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77" w:tblpY="18"/>
        <w:tblW w:w="10627" w:type="dxa"/>
        <w:tblLook w:val="04A0" w:firstRow="1" w:lastRow="0" w:firstColumn="1" w:lastColumn="0" w:noHBand="0" w:noVBand="1"/>
      </w:tblPr>
      <w:tblGrid>
        <w:gridCol w:w="1838"/>
        <w:gridCol w:w="3475"/>
        <w:gridCol w:w="1912"/>
        <w:gridCol w:w="3402"/>
      </w:tblGrid>
      <w:tr w:rsidR="008A7BD2" w14:paraId="1129C96A" w14:textId="77777777" w:rsidTr="00B60B64">
        <w:tc>
          <w:tcPr>
            <w:tcW w:w="1838" w:type="dxa"/>
            <w:shd w:val="clear" w:color="auto" w:fill="BFBFBF" w:themeFill="background1" w:themeFillShade="BF"/>
            <w:tcMar>
              <w:top w:w="113" w:type="dxa"/>
              <w:bottom w:w="113" w:type="dxa"/>
            </w:tcMar>
          </w:tcPr>
          <w:p w14:paraId="3855E5B0" w14:textId="77777777" w:rsidR="008A7BD2" w:rsidRPr="007B6AE0" w:rsidRDefault="008A7BD2" w:rsidP="00B60B64">
            <w:pPr>
              <w:rPr>
                <w:b/>
              </w:rPr>
            </w:pPr>
            <w:r w:rsidRPr="007B6AE0">
              <w:rPr>
                <w:b/>
              </w:rPr>
              <w:t>Module code and title:</w:t>
            </w:r>
          </w:p>
        </w:tc>
        <w:tc>
          <w:tcPr>
            <w:tcW w:w="3475" w:type="dxa"/>
            <w:tcMar>
              <w:top w:w="113" w:type="dxa"/>
              <w:bottom w:w="113" w:type="dxa"/>
            </w:tcMar>
          </w:tcPr>
          <w:p w14:paraId="52595319" w14:textId="31305038" w:rsidR="008A7BD2" w:rsidRPr="00820B94" w:rsidRDefault="00E85DC2" w:rsidP="00B60B64">
            <w:pPr>
              <w:rPr>
                <w:color w:val="FF0000"/>
              </w:rPr>
            </w:pPr>
            <w:r w:rsidRPr="00820B94">
              <w:t xml:space="preserve">Orientation for Success in Higher </w:t>
            </w:r>
            <w:r w:rsidR="00C27B13" w:rsidRPr="00820B94">
              <w:t>Education</w:t>
            </w:r>
          </w:p>
        </w:tc>
        <w:tc>
          <w:tcPr>
            <w:tcW w:w="1912" w:type="dxa"/>
            <w:shd w:val="clear" w:color="auto" w:fill="BFBFBF" w:themeFill="background1" w:themeFillShade="BF"/>
            <w:tcMar>
              <w:top w:w="113" w:type="dxa"/>
              <w:bottom w:w="113" w:type="dxa"/>
            </w:tcMar>
          </w:tcPr>
          <w:p w14:paraId="47D5CED5" w14:textId="77777777" w:rsidR="008A7BD2" w:rsidRPr="007B6AE0" w:rsidRDefault="008A7BD2" w:rsidP="00B60B64">
            <w:pPr>
              <w:rPr>
                <w:b/>
              </w:rPr>
            </w:pPr>
            <w:r w:rsidRPr="007B6AE0">
              <w:rPr>
                <w:b/>
              </w:rPr>
              <w:t>Module leader:</w:t>
            </w:r>
          </w:p>
        </w:tc>
        <w:tc>
          <w:tcPr>
            <w:tcW w:w="3402" w:type="dxa"/>
            <w:shd w:val="clear" w:color="auto" w:fill="auto"/>
            <w:tcMar>
              <w:top w:w="113" w:type="dxa"/>
              <w:bottom w:w="113" w:type="dxa"/>
            </w:tcMar>
          </w:tcPr>
          <w:p w14:paraId="17A6B205" w14:textId="7DFD02CD" w:rsidR="00077A08" w:rsidRDefault="005A0FFB" w:rsidP="00B60B64">
            <w:r>
              <w:t xml:space="preserve">B&amp;T </w:t>
            </w:r>
            <w:r w:rsidR="00A53227">
              <w:t>-</w:t>
            </w:r>
          </w:p>
          <w:p w14:paraId="706C98AB" w14:textId="3E812DAA" w:rsidR="00611DF6" w:rsidRPr="001A49B6" w:rsidRDefault="00611DF6" w:rsidP="00B60B64"/>
        </w:tc>
      </w:tr>
      <w:tr w:rsidR="008A7BD2" w14:paraId="4FE23700" w14:textId="77777777" w:rsidTr="00B60B64">
        <w:tc>
          <w:tcPr>
            <w:tcW w:w="1838" w:type="dxa"/>
            <w:shd w:val="clear" w:color="auto" w:fill="BFBFBF" w:themeFill="background1" w:themeFillShade="BF"/>
            <w:tcMar>
              <w:top w:w="113" w:type="dxa"/>
              <w:bottom w:w="113" w:type="dxa"/>
            </w:tcMar>
          </w:tcPr>
          <w:p w14:paraId="0B20B390" w14:textId="129EA1EE" w:rsidR="008A7BD2" w:rsidRPr="007B6AE0" w:rsidRDefault="00516FA8" w:rsidP="00B60B64">
            <w:pPr>
              <w:rPr>
                <w:b/>
              </w:rPr>
            </w:pPr>
            <w:r w:rsidRPr="007B6AE0">
              <w:rPr>
                <w:b/>
              </w:rPr>
              <w:t>Assignment type</w:t>
            </w:r>
            <w:r w:rsidR="008A7BD2" w:rsidRPr="007B6AE0">
              <w:rPr>
                <w:b/>
              </w:rPr>
              <w:t>:</w:t>
            </w:r>
          </w:p>
        </w:tc>
        <w:tc>
          <w:tcPr>
            <w:tcW w:w="3475" w:type="dxa"/>
            <w:tcMar>
              <w:top w:w="113" w:type="dxa"/>
              <w:bottom w:w="113" w:type="dxa"/>
            </w:tcMar>
          </w:tcPr>
          <w:p w14:paraId="00955CCE" w14:textId="2F75D7D2" w:rsidR="001D38F5" w:rsidRPr="001A49B6" w:rsidRDefault="00D246D4" w:rsidP="00B60B64">
            <w:r>
              <w:rPr>
                <w:rFonts w:cs="Arial"/>
              </w:rPr>
              <w:t xml:space="preserve">E-Portfolio </w:t>
            </w:r>
            <w:r w:rsidR="00077A08">
              <w:rPr>
                <w:rFonts w:cs="Arial"/>
              </w:rPr>
              <w:t>3000</w:t>
            </w:r>
            <w:r>
              <w:rPr>
                <w:rFonts w:cs="Arial"/>
              </w:rPr>
              <w:t xml:space="preserve"> words</w:t>
            </w:r>
          </w:p>
        </w:tc>
        <w:tc>
          <w:tcPr>
            <w:tcW w:w="1912" w:type="dxa"/>
            <w:shd w:val="clear" w:color="auto" w:fill="BFBFBF" w:themeFill="background1" w:themeFillShade="BF"/>
            <w:tcMar>
              <w:top w:w="113" w:type="dxa"/>
              <w:bottom w:w="113" w:type="dxa"/>
            </w:tcMar>
          </w:tcPr>
          <w:p w14:paraId="7D15F4DE" w14:textId="77777777" w:rsidR="008A7BD2" w:rsidRPr="007B6AE0" w:rsidRDefault="008A7BD2" w:rsidP="00B60B64">
            <w:pPr>
              <w:rPr>
                <w:b/>
              </w:rPr>
            </w:pPr>
            <w:r w:rsidRPr="007B6AE0">
              <w:rPr>
                <w:b/>
              </w:rPr>
              <w:t>Assessment weighting:</w:t>
            </w:r>
          </w:p>
        </w:tc>
        <w:tc>
          <w:tcPr>
            <w:tcW w:w="3402" w:type="dxa"/>
            <w:shd w:val="clear" w:color="auto" w:fill="auto"/>
            <w:tcMar>
              <w:top w:w="113" w:type="dxa"/>
              <w:bottom w:w="113" w:type="dxa"/>
            </w:tcMar>
          </w:tcPr>
          <w:p w14:paraId="4E5FE508" w14:textId="1FC6FBB5" w:rsidR="001D38F5" w:rsidRPr="001A49B6" w:rsidRDefault="00077A08" w:rsidP="00B60B64">
            <w:r>
              <w:t>10</w:t>
            </w:r>
            <w:r w:rsidR="001D38F5">
              <w:t>0%</w:t>
            </w:r>
          </w:p>
        </w:tc>
      </w:tr>
      <w:tr w:rsidR="008A7BD2" w14:paraId="7A05DD3F" w14:textId="77777777" w:rsidTr="00B60B64">
        <w:tc>
          <w:tcPr>
            <w:tcW w:w="1838" w:type="dxa"/>
            <w:shd w:val="clear" w:color="auto" w:fill="BFBFBF" w:themeFill="background1" w:themeFillShade="BF"/>
            <w:tcMar>
              <w:top w:w="113" w:type="dxa"/>
              <w:bottom w:w="113" w:type="dxa"/>
            </w:tcMar>
          </w:tcPr>
          <w:p w14:paraId="3464E5B3" w14:textId="0186C327" w:rsidR="008A7BD2" w:rsidRPr="00E642E3" w:rsidRDefault="008A7BD2" w:rsidP="00B60B64">
            <w:pPr>
              <w:rPr>
                <w:b/>
                <w:bCs/>
              </w:rPr>
            </w:pPr>
            <w:r w:rsidRPr="00E642E3">
              <w:rPr>
                <w:b/>
                <w:bCs/>
              </w:rPr>
              <w:t>Submission</w:t>
            </w:r>
            <w:r w:rsidR="009A622B" w:rsidRPr="00E642E3">
              <w:rPr>
                <w:b/>
                <w:bCs/>
              </w:rPr>
              <w:t xml:space="preserve"> due</w:t>
            </w:r>
            <w:r w:rsidRPr="00E642E3">
              <w:rPr>
                <w:b/>
                <w:bCs/>
              </w:rPr>
              <w:t xml:space="preserve"> date</w:t>
            </w:r>
            <w:r w:rsidR="006E07E8" w:rsidRPr="00E642E3">
              <w:rPr>
                <w:b/>
                <w:bCs/>
              </w:rPr>
              <w:t>s</w:t>
            </w:r>
            <w:r w:rsidRPr="00E642E3">
              <w:rPr>
                <w:b/>
                <w:bCs/>
              </w:rPr>
              <w:t>:</w:t>
            </w:r>
          </w:p>
        </w:tc>
        <w:tc>
          <w:tcPr>
            <w:tcW w:w="3475" w:type="dxa"/>
            <w:tcMar>
              <w:top w:w="113" w:type="dxa"/>
              <w:bottom w:w="113" w:type="dxa"/>
            </w:tcMar>
          </w:tcPr>
          <w:p w14:paraId="081D468D" w14:textId="36FB5D41" w:rsidR="00611DF6" w:rsidRPr="00611DF6" w:rsidRDefault="0019166E" w:rsidP="00611DF6">
            <w:pPr>
              <w:rPr>
                <w:b/>
                <w:bCs/>
              </w:rPr>
            </w:pPr>
            <w:r>
              <w:rPr>
                <w:b/>
                <w:bCs/>
              </w:rPr>
              <w:t>Thursday 28/03/2024</w:t>
            </w:r>
          </w:p>
          <w:p w14:paraId="1DCCD0AE" w14:textId="66284B63" w:rsidR="008A7BD2" w:rsidRPr="00697B29" w:rsidRDefault="003F5561" w:rsidP="003F5561">
            <w:r w:rsidRPr="00B54897">
              <w:t xml:space="preserve">        </w:t>
            </w:r>
          </w:p>
        </w:tc>
        <w:tc>
          <w:tcPr>
            <w:tcW w:w="1912" w:type="dxa"/>
            <w:shd w:val="clear" w:color="auto" w:fill="BFBFBF" w:themeFill="background1" w:themeFillShade="BF"/>
            <w:tcMar>
              <w:top w:w="113" w:type="dxa"/>
              <w:bottom w:w="113" w:type="dxa"/>
            </w:tcMar>
          </w:tcPr>
          <w:p w14:paraId="556E7615" w14:textId="58105481" w:rsidR="008A7BD2" w:rsidRPr="007B6AE0" w:rsidRDefault="00B54897" w:rsidP="00B60B64">
            <w:pPr>
              <w:rPr>
                <w:b/>
              </w:rPr>
            </w:pPr>
            <w:r>
              <w:rPr>
                <w:b/>
              </w:rPr>
              <w:t>Feedback Target:</w:t>
            </w:r>
          </w:p>
        </w:tc>
        <w:tc>
          <w:tcPr>
            <w:tcW w:w="3402" w:type="dxa"/>
            <w:shd w:val="clear" w:color="auto" w:fill="auto"/>
            <w:tcMar>
              <w:top w:w="113" w:type="dxa"/>
              <w:bottom w:w="113" w:type="dxa"/>
            </w:tcMar>
          </w:tcPr>
          <w:p w14:paraId="09B4D96D" w14:textId="141B52B3" w:rsidR="008A7BD2" w:rsidRPr="00E30D84" w:rsidRDefault="00B54897" w:rsidP="00B60B64">
            <w:pPr>
              <w:rPr>
                <w:highlight w:val="yellow"/>
              </w:rPr>
            </w:pPr>
            <w:r w:rsidRPr="00B54897">
              <w:t>3 weeks from submission</w:t>
            </w:r>
          </w:p>
        </w:tc>
      </w:tr>
    </w:tbl>
    <w:p w14:paraId="4E05B1FF" w14:textId="77777777" w:rsidR="008A7BD2" w:rsidRDefault="008A7BD2" w:rsidP="008A7BD2"/>
    <w:tbl>
      <w:tblPr>
        <w:tblStyle w:val="TableGrid"/>
        <w:tblW w:w="10632" w:type="dxa"/>
        <w:tblInd w:w="-856" w:type="dxa"/>
        <w:tblLook w:val="04A0" w:firstRow="1" w:lastRow="0" w:firstColumn="1" w:lastColumn="0" w:noHBand="0" w:noVBand="1"/>
      </w:tblPr>
      <w:tblGrid>
        <w:gridCol w:w="851"/>
        <w:gridCol w:w="9781"/>
      </w:tblGrid>
      <w:tr w:rsidR="008A7BD2" w14:paraId="172DD79D" w14:textId="77777777" w:rsidTr="00BC1792">
        <w:tc>
          <w:tcPr>
            <w:tcW w:w="10632" w:type="dxa"/>
            <w:gridSpan w:val="2"/>
            <w:shd w:val="clear" w:color="auto" w:fill="BFBFBF" w:themeFill="background1" w:themeFillShade="BF"/>
            <w:tcMar>
              <w:top w:w="113" w:type="dxa"/>
              <w:bottom w:w="113" w:type="dxa"/>
            </w:tcMar>
          </w:tcPr>
          <w:p w14:paraId="4B8A6412" w14:textId="53679741" w:rsidR="008A7BD2" w:rsidRPr="00E30D84" w:rsidRDefault="008A7BD2" w:rsidP="00B60B64">
            <w:pPr>
              <w:rPr>
                <w:b/>
              </w:rPr>
            </w:pPr>
            <w:r w:rsidRPr="00E30D84">
              <w:rPr>
                <w:b/>
              </w:rPr>
              <w:t xml:space="preserve">Assignment </w:t>
            </w:r>
            <w:r w:rsidR="00441162">
              <w:rPr>
                <w:b/>
              </w:rPr>
              <w:t>Overview</w:t>
            </w:r>
          </w:p>
        </w:tc>
      </w:tr>
      <w:tr w:rsidR="008A7BD2" w14:paraId="4EB1F0D3" w14:textId="77777777" w:rsidTr="00BC1792">
        <w:tc>
          <w:tcPr>
            <w:tcW w:w="10632" w:type="dxa"/>
            <w:gridSpan w:val="2"/>
            <w:tcBorders>
              <w:bottom w:val="single" w:sz="4" w:space="0" w:color="auto"/>
            </w:tcBorders>
            <w:tcMar>
              <w:top w:w="113" w:type="dxa"/>
              <w:bottom w:w="113" w:type="dxa"/>
            </w:tcMar>
          </w:tcPr>
          <w:p w14:paraId="247E8DFD" w14:textId="77777777" w:rsidR="00E225ED" w:rsidRDefault="00136957" w:rsidP="005B4179">
            <w:pPr>
              <w:spacing w:line="276" w:lineRule="auto"/>
              <w:jc w:val="both"/>
            </w:pPr>
            <w:r>
              <w:t xml:space="preserve">The assignment </w:t>
            </w:r>
            <w:r w:rsidR="000213A4">
              <w:t>w</w:t>
            </w:r>
            <w:r w:rsidR="00B46124">
              <w:t>ill</w:t>
            </w:r>
            <w:r w:rsidR="000213A4">
              <w:t xml:space="preserve"> require </w:t>
            </w:r>
            <w:r>
              <w:t>students</w:t>
            </w:r>
            <w:r w:rsidR="00322163">
              <w:t xml:space="preserve"> </w:t>
            </w:r>
            <w:r w:rsidR="00322163" w:rsidRPr="00322163">
              <w:t xml:space="preserve">to reflect on </w:t>
            </w:r>
            <w:r w:rsidR="00322163">
              <w:t>thei</w:t>
            </w:r>
            <w:r w:rsidR="00322163" w:rsidRPr="00322163">
              <w:t>r learning from the module to explain the importance of a reflective approach to learning and the value of formative feedback to inform and improve summative assessed work.</w:t>
            </w:r>
            <w:r>
              <w:t xml:space="preserve"> </w:t>
            </w:r>
          </w:p>
          <w:p w14:paraId="735A00AD" w14:textId="29A826A8" w:rsidR="008A7BD2" w:rsidRDefault="00222EBF" w:rsidP="005B4179">
            <w:pPr>
              <w:spacing w:line="276" w:lineRule="auto"/>
              <w:jc w:val="both"/>
            </w:pPr>
            <w:r>
              <w:t xml:space="preserve">It </w:t>
            </w:r>
            <w:r w:rsidR="000213A4">
              <w:t>will enable</w:t>
            </w:r>
            <w:r w:rsidR="00136957">
              <w:t xml:space="preserve"> </w:t>
            </w:r>
            <w:r w:rsidR="00B40509">
              <w:t xml:space="preserve">them </w:t>
            </w:r>
            <w:r w:rsidR="00B46124">
              <w:t xml:space="preserve">to </w:t>
            </w:r>
            <w:r w:rsidR="00136957">
              <w:t>demonstrate their knowledge and understanding of</w:t>
            </w:r>
            <w:r w:rsidR="000E6FA1" w:rsidRPr="00CE7005">
              <w:t xml:space="preserve"> </w:t>
            </w:r>
            <w:r w:rsidR="00090DCA" w:rsidRPr="00EE7056">
              <w:t xml:space="preserve">the cultural and behavioural expectations of studying for a degree in </w:t>
            </w:r>
            <w:r w:rsidR="0073379C">
              <w:rPr>
                <w:b/>
                <w:bCs/>
              </w:rPr>
              <w:t xml:space="preserve">Business and </w:t>
            </w:r>
            <w:r w:rsidR="00D812CC">
              <w:rPr>
                <w:b/>
                <w:bCs/>
              </w:rPr>
              <w:t xml:space="preserve">Tourism </w:t>
            </w:r>
            <w:r w:rsidR="00A64301">
              <w:rPr>
                <w:b/>
                <w:bCs/>
              </w:rPr>
              <w:t>M</w:t>
            </w:r>
            <w:r w:rsidR="00954564">
              <w:rPr>
                <w:b/>
                <w:bCs/>
              </w:rPr>
              <w:t>anagement</w:t>
            </w:r>
            <w:r w:rsidR="00057D7B">
              <w:t>,</w:t>
            </w:r>
            <w:r w:rsidR="005C5268">
              <w:t xml:space="preserve"> and </w:t>
            </w:r>
            <w:r w:rsidR="005B4179" w:rsidRPr="00175B0E">
              <w:t>the importance of peer-to-peer support and team working to enhance learning experience</w:t>
            </w:r>
            <w:r w:rsidR="005B4179">
              <w:t>.</w:t>
            </w:r>
          </w:p>
          <w:p w14:paraId="54B56A0A" w14:textId="02D4B59C" w:rsidR="0084754E" w:rsidRPr="00441162" w:rsidRDefault="0084754E" w:rsidP="005B4179">
            <w:pPr>
              <w:spacing w:line="276" w:lineRule="auto"/>
              <w:jc w:val="both"/>
            </w:pPr>
            <w:r>
              <w:t>Through explor</w:t>
            </w:r>
            <w:r w:rsidRPr="0084754E">
              <w:t>ing their strengths, weaknesses, opportunities,</w:t>
            </w:r>
            <w:r w:rsidR="00307158">
              <w:t xml:space="preserve"> </w:t>
            </w:r>
            <w:r w:rsidRPr="0084754E">
              <w:t xml:space="preserve">and threats more comprehensively </w:t>
            </w:r>
            <w:r>
              <w:t>t</w:t>
            </w:r>
            <w:r w:rsidRPr="0084754E">
              <w:t xml:space="preserve">his assignment will help students make a </w:t>
            </w:r>
            <w:r w:rsidR="00E225ED" w:rsidRPr="0084754E">
              <w:t>better career</w:t>
            </w:r>
            <w:r w:rsidR="00E225ED">
              <w:t xml:space="preserve"> decision</w:t>
            </w:r>
            <w:r w:rsidR="0089743D">
              <w:t xml:space="preserve"> in the </w:t>
            </w:r>
            <w:r w:rsidR="0089743D" w:rsidRPr="0084754E">
              <w:t>future</w:t>
            </w:r>
            <w:r w:rsidRPr="0084754E">
              <w:t>.</w:t>
            </w:r>
          </w:p>
        </w:tc>
      </w:tr>
      <w:tr w:rsidR="008A7BD2" w14:paraId="4F2D16B7" w14:textId="77777777" w:rsidTr="00BC1792">
        <w:tc>
          <w:tcPr>
            <w:tcW w:w="10632" w:type="dxa"/>
            <w:gridSpan w:val="2"/>
            <w:tcBorders>
              <w:left w:val="nil"/>
              <w:right w:val="nil"/>
            </w:tcBorders>
            <w:tcMar>
              <w:top w:w="113" w:type="dxa"/>
              <w:bottom w:w="113" w:type="dxa"/>
            </w:tcMar>
          </w:tcPr>
          <w:p w14:paraId="1B70BDC6" w14:textId="77777777" w:rsidR="008A7BD2" w:rsidRPr="00DD5CF1" w:rsidRDefault="008A7BD2" w:rsidP="00B60B64">
            <w:pPr>
              <w:rPr>
                <w:rFonts w:cs="Arial"/>
                <w:highlight w:val="yellow"/>
              </w:rPr>
            </w:pPr>
          </w:p>
        </w:tc>
      </w:tr>
      <w:tr w:rsidR="008A7BD2" w:rsidRPr="00216D0B" w14:paraId="5385EFA5" w14:textId="77777777" w:rsidTr="00BC1792">
        <w:tc>
          <w:tcPr>
            <w:tcW w:w="10632" w:type="dxa"/>
            <w:gridSpan w:val="2"/>
            <w:shd w:val="clear" w:color="auto" w:fill="BFBFBF" w:themeFill="background1" w:themeFillShade="BF"/>
            <w:tcMar>
              <w:top w:w="113" w:type="dxa"/>
              <w:bottom w:w="113" w:type="dxa"/>
            </w:tcMar>
          </w:tcPr>
          <w:p w14:paraId="0FCD56C1" w14:textId="7A635E43" w:rsidR="008A7BD2" w:rsidRPr="001A49B6" w:rsidRDefault="002E202D" w:rsidP="00B60B64">
            <w:pPr>
              <w:rPr>
                <w:b/>
              </w:rPr>
            </w:pPr>
            <w:r w:rsidRPr="001A49B6">
              <w:rPr>
                <w:b/>
              </w:rPr>
              <w:t>This assignment has been designed to provide you with an opportunity to demonstrate your achievement of the following module learning outcomes:</w:t>
            </w:r>
          </w:p>
        </w:tc>
      </w:tr>
      <w:tr w:rsidR="00E72808" w14:paraId="34155315" w14:textId="77777777" w:rsidTr="00BC1792">
        <w:tc>
          <w:tcPr>
            <w:tcW w:w="851" w:type="dxa"/>
            <w:tcMar>
              <w:top w:w="113" w:type="dxa"/>
              <w:bottom w:w="113" w:type="dxa"/>
            </w:tcMar>
          </w:tcPr>
          <w:p w14:paraId="75BA1553" w14:textId="4AFCBE8A" w:rsidR="00E72808" w:rsidRPr="00697B29" w:rsidRDefault="00AF625C" w:rsidP="00EE5990">
            <w:r w:rsidRPr="00697B29">
              <w:t xml:space="preserve">LO </w:t>
            </w:r>
            <w:r>
              <w:t>1</w:t>
            </w:r>
          </w:p>
        </w:tc>
        <w:tc>
          <w:tcPr>
            <w:tcW w:w="9781" w:type="dxa"/>
          </w:tcPr>
          <w:p w14:paraId="7ED10763" w14:textId="2CC0D9DA" w:rsidR="00E72808" w:rsidRPr="00EE7056" w:rsidRDefault="00C4008B" w:rsidP="00EA1788">
            <w:pPr>
              <w:spacing w:line="276" w:lineRule="auto"/>
              <w:jc w:val="both"/>
            </w:pPr>
            <w:r w:rsidRPr="00C4008B">
              <w:t xml:space="preserve">Understand the importance of a reflective approach to learning within the </w:t>
            </w:r>
            <w:r w:rsidR="000F6AD0">
              <w:t>Business</w:t>
            </w:r>
            <w:r w:rsidR="00954564">
              <w:t xml:space="preserve"> </w:t>
            </w:r>
            <w:r w:rsidR="00954564" w:rsidRPr="00C4008B">
              <w:t>and</w:t>
            </w:r>
            <w:r w:rsidRPr="00C4008B">
              <w:t xml:space="preserve"> </w:t>
            </w:r>
            <w:r w:rsidR="00D734EA">
              <w:t xml:space="preserve">Tourism </w:t>
            </w:r>
            <w:r w:rsidR="000F6AD0">
              <w:t>Management</w:t>
            </w:r>
            <w:r w:rsidR="00954564">
              <w:t xml:space="preserve"> </w:t>
            </w:r>
            <w:r w:rsidR="00F33B87" w:rsidRPr="00C4008B">
              <w:t>discipline.</w:t>
            </w:r>
            <w:r w:rsidRPr="00C4008B">
              <w:t xml:space="preserve">  </w:t>
            </w:r>
          </w:p>
        </w:tc>
      </w:tr>
      <w:tr w:rsidR="00E72808" w14:paraId="48DFD296" w14:textId="77777777" w:rsidTr="00BC1792">
        <w:tc>
          <w:tcPr>
            <w:tcW w:w="851" w:type="dxa"/>
            <w:tcMar>
              <w:top w:w="113" w:type="dxa"/>
              <w:bottom w:w="113" w:type="dxa"/>
            </w:tcMar>
          </w:tcPr>
          <w:p w14:paraId="413E3A59" w14:textId="36438C4E" w:rsidR="00E72808" w:rsidRPr="00697B29" w:rsidRDefault="002A5BF3" w:rsidP="00EE5990">
            <w:r w:rsidRPr="00697B29">
              <w:t>LO 2</w:t>
            </w:r>
          </w:p>
        </w:tc>
        <w:tc>
          <w:tcPr>
            <w:tcW w:w="9781" w:type="dxa"/>
          </w:tcPr>
          <w:p w14:paraId="0B514C11" w14:textId="5FED3383" w:rsidR="00E72808" w:rsidRPr="00EE7056" w:rsidRDefault="00283509" w:rsidP="00EA1788">
            <w:pPr>
              <w:spacing w:line="276" w:lineRule="auto"/>
              <w:jc w:val="both"/>
            </w:pPr>
            <w:r w:rsidRPr="00283509">
              <w:t>Demonstrate the ability to use feedback and feed-forward as an integral</w:t>
            </w:r>
            <w:r w:rsidR="005A0FFB">
              <w:t xml:space="preserve"> element</w:t>
            </w:r>
            <w:r w:rsidRPr="00283509">
              <w:t xml:space="preserve"> to inform and improve future formative and summative assessed work;</w:t>
            </w:r>
          </w:p>
        </w:tc>
      </w:tr>
      <w:tr w:rsidR="00EE5990" w14:paraId="69EC4137" w14:textId="54777C3F" w:rsidTr="00BC1792">
        <w:tc>
          <w:tcPr>
            <w:tcW w:w="851" w:type="dxa"/>
            <w:tcMar>
              <w:top w:w="113" w:type="dxa"/>
              <w:bottom w:w="113" w:type="dxa"/>
            </w:tcMar>
          </w:tcPr>
          <w:p w14:paraId="1090B7E8" w14:textId="2CE77B2A" w:rsidR="00EE5990" w:rsidRPr="00697B29" w:rsidRDefault="00EE5990" w:rsidP="00EE5990">
            <w:r w:rsidRPr="00697B29">
              <w:t xml:space="preserve">LO </w:t>
            </w:r>
            <w:r>
              <w:t>3</w:t>
            </w:r>
          </w:p>
        </w:tc>
        <w:tc>
          <w:tcPr>
            <w:tcW w:w="9781" w:type="dxa"/>
          </w:tcPr>
          <w:p w14:paraId="06E655C1" w14:textId="483CB117" w:rsidR="00EE5990" w:rsidRPr="00697B29" w:rsidRDefault="00EE5990" w:rsidP="00EA1788">
            <w:pPr>
              <w:spacing w:line="276" w:lineRule="auto"/>
              <w:jc w:val="both"/>
            </w:pPr>
            <w:r w:rsidRPr="00EE7056">
              <w:t xml:space="preserve">Demonstrate an understanding of the cultural and behavioural expectations of studying for a degree in </w:t>
            </w:r>
            <w:r w:rsidR="00D812CC">
              <w:t>Business and Tourism M</w:t>
            </w:r>
            <w:r w:rsidRPr="00EE7056">
              <w:t>anagement</w:t>
            </w:r>
            <w:r w:rsidR="00D95811">
              <w:t>.</w:t>
            </w:r>
          </w:p>
        </w:tc>
      </w:tr>
      <w:tr w:rsidR="00EE5990" w14:paraId="09B5ADFC" w14:textId="0BE89656" w:rsidTr="00BC1792">
        <w:tc>
          <w:tcPr>
            <w:tcW w:w="851" w:type="dxa"/>
            <w:tcMar>
              <w:top w:w="113" w:type="dxa"/>
              <w:bottom w:w="113" w:type="dxa"/>
            </w:tcMar>
          </w:tcPr>
          <w:p w14:paraId="278EBE43" w14:textId="6E533272" w:rsidR="00EE5990" w:rsidRPr="00697B29" w:rsidRDefault="00EE5990" w:rsidP="00EE5990">
            <w:r w:rsidRPr="00697B29">
              <w:t xml:space="preserve">LO </w:t>
            </w:r>
            <w:r>
              <w:t>4</w:t>
            </w:r>
          </w:p>
        </w:tc>
        <w:tc>
          <w:tcPr>
            <w:tcW w:w="9781" w:type="dxa"/>
          </w:tcPr>
          <w:p w14:paraId="74DC2A98" w14:textId="26E5458F" w:rsidR="00EE5990" w:rsidRPr="00697B29" w:rsidRDefault="0077398E" w:rsidP="00EE5990">
            <w:r w:rsidRPr="00175B0E">
              <w:t>Explain the importance of peer-to-peer support and team working to enhance</w:t>
            </w:r>
            <w:r w:rsidR="005A0FFB">
              <w:t xml:space="preserve"> the</w:t>
            </w:r>
            <w:r w:rsidRPr="00175B0E">
              <w:t xml:space="preserve"> learning experience.</w:t>
            </w:r>
          </w:p>
        </w:tc>
      </w:tr>
      <w:tr w:rsidR="00EE5990" w14:paraId="1F28ECF2" w14:textId="77777777" w:rsidTr="00BC1792">
        <w:trPr>
          <w:trHeight w:val="248"/>
        </w:trPr>
        <w:tc>
          <w:tcPr>
            <w:tcW w:w="10632" w:type="dxa"/>
            <w:gridSpan w:val="2"/>
            <w:tcBorders>
              <w:left w:val="nil"/>
              <w:right w:val="nil"/>
            </w:tcBorders>
            <w:tcMar>
              <w:top w:w="113" w:type="dxa"/>
              <w:bottom w:w="113" w:type="dxa"/>
            </w:tcMar>
          </w:tcPr>
          <w:p w14:paraId="58FDE437" w14:textId="77777777" w:rsidR="00EE5990" w:rsidRDefault="00EE5990" w:rsidP="00EE5990"/>
        </w:tc>
      </w:tr>
      <w:tr w:rsidR="00EE5990" w:rsidRPr="00216D0B" w14:paraId="04DDF31F" w14:textId="77777777" w:rsidTr="00BC1792">
        <w:tc>
          <w:tcPr>
            <w:tcW w:w="10632" w:type="dxa"/>
            <w:gridSpan w:val="2"/>
            <w:shd w:val="clear" w:color="auto" w:fill="BFBFBF" w:themeFill="background1" w:themeFillShade="BF"/>
            <w:tcMar>
              <w:top w:w="113" w:type="dxa"/>
              <w:bottom w:w="113" w:type="dxa"/>
            </w:tcMar>
          </w:tcPr>
          <w:p w14:paraId="0016C706" w14:textId="5C5B4124" w:rsidR="00EE5990" w:rsidRPr="005D323D" w:rsidRDefault="00EE5990" w:rsidP="00EE5990">
            <w:pPr>
              <w:rPr>
                <w:b/>
              </w:rPr>
            </w:pPr>
            <w:r>
              <w:rPr>
                <w:b/>
              </w:rPr>
              <w:t xml:space="preserve">Assignment </w:t>
            </w:r>
            <w:r w:rsidRPr="005D323D">
              <w:rPr>
                <w:b/>
              </w:rPr>
              <w:t>Task</w:t>
            </w:r>
            <w:r>
              <w:rPr>
                <w:b/>
              </w:rPr>
              <w:t xml:space="preserve"> and R</w:t>
            </w:r>
            <w:r w:rsidRPr="005D323D">
              <w:rPr>
                <w:b/>
              </w:rPr>
              <w:t>equirements</w:t>
            </w:r>
          </w:p>
        </w:tc>
      </w:tr>
      <w:tr w:rsidR="007B0759" w14:paraId="45F3D454" w14:textId="77777777" w:rsidTr="00BC1792">
        <w:tc>
          <w:tcPr>
            <w:tcW w:w="10632"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29CABD42" w14:textId="77777777" w:rsidR="00CE6314" w:rsidRPr="000A4C3B" w:rsidRDefault="00CE6314" w:rsidP="00CE6314">
            <w:pPr>
              <w:spacing w:line="360" w:lineRule="auto"/>
              <w:jc w:val="both"/>
              <w:rPr>
                <w:rFonts w:cs="Arial"/>
                <w:b/>
                <w:i/>
                <w:iCs/>
                <w:szCs w:val="24"/>
                <w:u w:val="single"/>
                <w:lang w:eastAsia="en-GB"/>
              </w:rPr>
            </w:pPr>
            <w:r w:rsidRPr="000A4C3B">
              <w:rPr>
                <w:rFonts w:cs="Arial"/>
                <w:b/>
                <w:i/>
                <w:iCs/>
                <w:szCs w:val="24"/>
                <w:u w:val="single"/>
                <w:lang w:eastAsia="en-GB"/>
              </w:rPr>
              <w:t>“E-Portfolio evidence that demonstrate learning from the module and personal audit as a student”.</w:t>
            </w:r>
          </w:p>
          <w:p w14:paraId="61CB4CE3" w14:textId="77777777" w:rsidR="00CE6314" w:rsidRDefault="00CE6314" w:rsidP="00CE6314">
            <w:pPr>
              <w:rPr>
                <w:rFonts w:eastAsia="Times New Roman" w:cs="Arial"/>
                <w:b/>
                <w:bCs/>
                <w:color w:val="000000"/>
                <w:lang w:val="en-US"/>
              </w:rPr>
            </w:pPr>
          </w:p>
          <w:p w14:paraId="4F519E58" w14:textId="77777777" w:rsidR="00CE6314" w:rsidRDefault="00CE6314" w:rsidP="00CE6314">
            <w:pPr>
              <w:rPr>
                <w:rFonts w:cs="Arial"/>
              </w:rPr>
            </w:pPr>
            <w:r w:rsidRPr="007B0759">
              <w:rPr>
                <w:rFonts w:eastAsia="Times New Roman" w:cs="Arial"/>
                <w:b/>
                <w:bCs/>
                <w:color w:val="000000"/>
                <w:lang w:val="en-US"/>
              </w:rPr>
              <w:t xml:space="preserve">DESCRIPTION OF THE TASK – </w:t>
            </w:r>
            <w:r w:rsidRPr="0096168C">
              <w:rPr>
                <w:rFonts w:cs="Arial"/>
                <w:b/>
                <w:szCs w:val="24"/>
                <w:lang w:eastAsia="en-GB"/>
              </w:rPr>
              <w:t>WHAT ARE YOU ASKED TO DO?</w:t>
            </w:r>
          </w:p>
          <w:p w14:paraId="093475CE" w14:textId="77777777" w:rsidR="00CE6314" w:rsidRDefault="00CE6314" w:rsidP="00CE6314">
            <w:pPr>
              <w:rPr>
                <w:rFonts w:cs="Arial"/>
              </w:rPr>
            </w:pPr>
          </w:p>
          <w:p w14:paraId="3BDD854C" w14:textId="38346244" w:rsidR="0001565C" w:rsidRPr="00291412" w:rsidRDefault="00AC37A8" w:rsidP="0001565C">
            <w:pPr>
              <w:rPr>
                <w:b/>
                <w:bCs/>
              </w:rPr>
            </w:pPr>
            <w:r w:rsidRPr="00291412">
              <w:rPr>
                <w:rFonts w:cs="Arial"/>
                <w:b/>
                <w:bCs/>
              </w:rPr>
              <w:t>Complete</w:t>
            </w:r>
            <w:r w:rsidR="0001565C" w:rsidRPr="00291412">
              <w:rPr>
                <w:b/>
                <w:bCs/>
              </w:rPr>
              <w:t xml:space="preserve"> an E-portfolio </w:t>
            </w:r>
            <w:r w:rsidRPr="00291412">
              <w:rPr>
                <w:b/>
                <w:bCs/>
              </w:rPr>
              <w:t xml:space="preserve">of 3000 words </w:t>
            </w:r>
            <w:r w:rsidR="0001565C" w:rsidRPr="00291412">
              <w:rPr>
                <w:b/>
                <w:bCs/>
              </w:rPr>
              <w:t xml:space="preserve">based on student’s reflection of their learning experience </w:t>
            </w:r>
            <w:r w:rsidR="00A178E8">
              <w:rPr>
                <w:b/>
                <w:bCs/>
              </w:rPr>
              <w:t xml:space="preserve">(Module 1 and 2) </w:t>
            </w:r>
            <w:r w:rsidR="00F536D4">
              <w:rPr>
                <w:b/>
                <w:bCs/>
              </w:rPr>
              <w:t>in</w:t>
            </w:r>
            <w:r w:rsidR="00A178E8">
              <w:rPr>
                <w:b/>
                <w:bCs/>
              </w:rPr>
              <w:t xml:space="preserve"> </w:t>
            </w:r>
            <w:r w:rsidR="00B14DE7" w:rsidRPr="00291412">
              <w:rPr>
                <w:b/>
                <w:bCs/>
              </w:rPr>
              <w:t>th</w:t>
            </w:r>
            <w:r w:rsidR="00291412" w:rsidRPr="00291412">
              <w:rPr>
                <w:b/>
                <w:bCs/>
              </w:rPr>
              <w:t xml:space="preserve">eir </w:t>
            </w:r>
            <w:r w:rsidR="003F19E0">
              <w:rPr>
                <w:b/>
                <w:bCs/>
              </w:rPr>
              <w:t xml:space="preserve">degree </w:t>
            </w:r>
            <w:r w:rsidR="00DC4114" w:rsidRPr="00291412">
              <w:rPr>
                <w:b/>
                <w:bCs/>
              </w:rPr>
              <w:t>programme</w:t>
            </w:r>
            <w:r w:rsidR="00DC4114">
              <w:rPr>
                <w:b/>
                <w:bCs/>
              </w:rPr>
              <w:t>.</w:t>
            </w:r>
          </w:p>
          <w:p w14:paraId="32FE40A8" w14:textId="77777777" w:rsidR="00CE6314" w:rsidRPr="009A0220" w:rsidRDefault="00CE6314" w:rsidP="00CE6314">
            <w:pPr>
              <w:spacing w:line="360" w:lineRule="auto"/>
              <w:jc w:val="both"/>
              <w:rPr>
                <w:b/>
                <w:bCs/>
                <w:u w:val="single"/>
              </w:rPr>
            </w:pPr>
          </w:p>
          <w:p w14:paraId="524F3EAA" w14:textId="56B3663E" w:rsidR="00D008BC" w:rsidRDefault="00CE6314" w:rsidP="00CE6314">
            <w:pPr>
              <w:spacing w:line="276" w:lineRule="auto"/>
              <w:jc w:val="both"/>
              <w:rPr>
                <w:rFonts w:cs="Arial"/>
                <w:szCs w:val="24"/>
                <w:lang w:eastAsia="en-GB"/>
              </w:rPr>
            </w:pPr>
            <w:r w:rsidRPr="00D0033D">
              <w:rPr>
                <w:rFonts w:cs="Arial"/>
              </w:rPr>
              <w:t>This task will require you to complete</w:t>
            </w:r>
            <w:r w:rsidRPr="00D0033D">
              <w:rPr>
                <w:rFonts w:cs="Arial"/>
                <w:szCs w:val="24"/>
                <w:lang w:eastAsia="en-GB"/>
              </w:rPr>
              <w:t xml:space="preserve"> an E-portfolio </w:t>
            </w:r>
            <w:r w:rsidR="00885B96" w:rsidRPr="00291412">
              <w:rPr>
                <w:b/>
                <w:bCs/>
              </w:rPr>
              <w:t xml:space="preserve">comprising of </w:t>
            </w:r>
            <w:r w:rsidR="00885B96" w:rsidRPr="00885B96">
              <w:rPr>
                <w:b/>
                <w:bCs/>
                <w:u w:val="single"/>
              </w:rPr>
              <w:t>Four documents</w:t>
            </w:r>
            <w:r w:rsidR="00885B96">
              <w:rPr>
                <w:b/>
                <w:bCs/>
                <w:u w:val="single"/>
              </w:rPr>
              <w:t>-</w:t>
            </w:r>
            <w:r w:rsidR="00885B96" w:rsidRPr="00885B96">
              <w:rPr>
                <w:b/>
                <w:bCs/>
              </w:rPr>
              <w:t xml:space="preserve"> </w:t>
            </w:r>
            <w:r w:rsidRPr="00D008BC">
              <w:rPr>
                <w:rFonts w:cs="Arial"/>
                <w:b/>
                <w:bCs/>
                <w:szCs w:val="24"/>
                <w:lang w:eastAsia="en-GB"/>
              </w:rPr>
              <w:t>A, B</w:t>
            </w:r>
            <w:r w:rsidR="00885B96" w:rsidRPr="00D008BC">
              <w:rPr>
                <w:rFonts w:cs="Arial"/>
                <w:b/>
                <w:bCs/>
                <w:szCs w:val="24"/>
                <w:lang w:eastAsia="en-GB"/>
              </w:rPr>
              <w:t>,</w:t>
            </w:r>
            <w:r w:rsidRPr="00D008BC">
              <w:rPr>
                <w:rFonts w:cs="Arial"/>
                <w:b/>
                <w:bCs/>
                <w:szCs w:val="24"/>
                <w:lang w:eastAsia="en-GB"/>
              </w:rPr>
              <w:t xml:space="preserve"> C </w:t>
            </w:r>
            <w:r w:rsidR="00885B96" w:rsidRPr="00D008BC">
              <w:rPr>
                <w:rFonts w:cs="Arial"/>
                <w:b/>
                <w:bCs/>
                <w:szCs w:val="24"/>
                <w:lang w:eastAsia="en-GB"/>
              </w:rPr>
              <w:t>and D</w:t>
            </w:r>
            <w:r w:rsidR="00A218A6">
              <w:rPr>
                <w:rFonts w:cs="Arial"/>
                <w:b/>
                <w:bCs/>
                <w:szCs w:val="24"/>
                <w:lang w:eastAsia="en-GB"/>
              </w:rPr>
              <w:t>,</w:t>
            </w:r>
          </w:p>
          <w:p w14:paraId="5F0332DD" w14:textId="4F4ADFB8" w:rsidR="00CE6314" w:rsidRPr="00D0033D" w:rsidRDefault="005A0FFB" w:rsidP="00CE6314">
            <w:pPr>
              <w:spacing w:line="276" w:lineRule="auto"/>
              <w:jc w:val="both"/>
              <w:rPr>
                <w:rFonts w:cs="Arial"/>
                <w:szCs w:val="24"/>
                <w:lang w:eastAsia="en-GB"/>
              </w:rPr>
            </w:pPr>
            <w:r w:rsidRPr="00D0033D">
              <w:rPr>
                <w:rFonts w:cs="Arial"/>
                <w:szCs w:val="24"/>
                <w:lang w:eastAsia="en-GB"/>
              </w:rPr>
              <w:t>(</w:t>
            </w:r>
            <w:r>
              <w:rPr>
                <w:rFonts w:cs="Arial"/>
                <w:szCs w:val="24"/>
                <w:lang w:eastAsia="en-GB"/>
              </w:rPr>
              <w:t xml:space="preserve">Sample </w:t>
            </w:r>
            <w:r w:rsidR="00CE6314" w:rsidRPr="00D0033D">
              <w:rPr>
                <w:rFonts w:cs="Arial"/>
              </w:rPr>
              <w:t>E-Portfolio template provided</w:t>
            </w:r>
            <w:r w:rsidR="00C11D51">
              <w:rPr>
                <w:rFonts w:cs="Arial"/>
              </w:rPr>
              <w:t xml:space="preserve"> in pages </w:t>
            </w:r>
            <w:r w:rsidR="003274E9">
              <w:rPr>
                <w:rFonts w:cs="Arial"/>
              </w:rPr>
              <w:t>6</w:t>
            </w:r>
            <w:r w:rsidR="00C11D51">
              <w:rPr>
                <w:rFonts w:cs="Arial"/>
              </w:rPr>
              <w:t>-</w:t>
            </w:r>
            <w:r w:rsidR="003274E9">
              <w:rPr>
                <w:rFonts w:cs="Arial"/>
              </w:rPr>
              <w:t>8</w:t>
            </w:r>
            <w:r w:rsidR="00CE6314" w:rsidRPr="00D0033D">
              <w:rPr>
                <w:rFonts w:cs="Arial"/>
                <w:szCs w:val="24"/>
                <w:lang w:eastAsia="en-GB"/>
              </w:rPr>
              <w:t>) which will demonstrate your learning from the module in relations to:</w:t>
            </w:r>
          </w:p>
          <w:p w14:paraId="0946C87C" w14:textId="7D24901E" w:rsidR="00D5637D" w:rsidRPr="006E0002" w:rsidRDefault="00D5637D" w:rsidP="00D5637D">
            <w:pPr>
              <w:rPr>
                <w:b/>
                <w:bCs/>
              </w:rPr>
            </w:pPr>
          </w:p>
          <w:p w14:paraId="50BF1AD8" w14:textId="47CB3240" w:rsidR="0027130D" w:rsidRPr="0027130D" w:rsidRDefault="00D5637D" w:rsidP="00387BF0">
            <w:pPr>
              <w:pStyle w:val="ListParagraph"/>
              <w:numPr>
                <w:ilvl w:val="0"/>
                <w:numId w:val="11"/>
              </w:numPr>
              <w:spacing w:after="0" w:line="360" w:lineRule="auto"/>
              <w:jc w:val="both"/>
              <w:rPr>
                <w:rFonts w:cs="Arial"/>
                <w:bCs/>
                <w:lang w:eastAsia="en-GB"/>
              </w:rPr>
            </w:pPr>
            <w:r w:rsidRPr="006E0002">
              <w:rPr>
                <w:b/>
                <w:bCs/>
              </w:rPr>
              <w:t>Reflection On learning</w:t>
            </w:r>
            <w:r>
              <w:rPr>
                <w:b/>
                <w:bCs/>
              </w:rPr>
              <w:t xml:space="preserve"> (1200 words)</w:t>
            </w:r>
            <w:r w:rsidR="002C20DA">
              <w:rPr>
                <w:b/>
                <w:bCs/>
              </w:rPr>
              <w:t xml:space="preserve"> </w:t>
            </w:r>
          </w:p>
          <w:p w14:paraId="75E123D6" w14:textId="15B7A141" w:rsidR="002C20DA" w:rsidRPr="009B132A" w:rsidRDefault="002C20DA" w:rsidP="00387BF0">
            <w:pPr>
              <w:pStyle w:val="ListParagraph"/>
              <w:numPr>
                <w:ilvl w:val="0"/>
                <w:numId w:val="13"/>
              </w:numPr>
              <w:spacing w:after="0" w:line="360" w:lineRule="auto"/>
              <w:jc w:val="both"/>
            </w:pPr>
            <w:r w:rsidRPr="009B132A">
              <w:t xml:space="preserve">An explanation of what is meant by reflective </w:t>
            </w:r>
            <w:r w:rsidR="009B132A" w:rsidRPr="009B132A">
              <w:t>learning</w:t>
            </w:r>
            <w:r w:rsidR="009B132A">
              <w:t xml:space="preserve"> and its importance for </w:t>
            </w:r>
            <w:r w:rsidR="007779CA">
              <w:t>learners in Higher Education/</w:t>
            </w:r>
            <w:r w:rsidR="00824FB7">
              <w:t>Business and Tourism</w:t>
            </w:r>
            <w:r w:rsidR="00CF2776">
              <w:t xml:space="preserve"> M</w:t>
            </w:r>
            <w:r w:rsidR="007779CA">
              <w:t>anagement Degree</w:t>
            </w:r>
            <w:r w:rsidR="00D21860">
              <w:t xml:space="preserve"> (150 words)</w:t>
            </w:r>
          </w:p>
          <w:p w14:paraId="47168EAA" w14:textId="6AC0C9EB" w:rsidR="007779CA" w:rsidRDefault="00216FF1" w:rsidP="00387BF0">
            <w:pPr>
              <w:pStyle w:val="ListParagraph"/>
              <w:numPr>
                <w:ilvl w:val="0"/>
                <w:numId w:val="13"/>
              </w:numPr>
              <w:spacing w:after="0" w:line="360" w:lineRule="auto"/>
            </w:pPr>
            <w:r>
              <w:t>D</w:t>
            </w:r>
            <w:r w:rsidR="003A56E0">
              <w:t xml:space="preserve">escription of a reflective model </w:t>
            </w:r>
            <w:r w:rsidR="00642234" w:rsidRPr="003A56E0">
              <w:t xml:space="preserve">(Kolb/Gibbs) </w:t>
            </w:r>
            <w:r w:rsidR="00582263">
              <w:t>(</w:t>
            </w:r>
            <w:r w:rsidR="00D93259">
              <w:t>45</w:t>
            </w:r>
            <w:r w:rsidR="00582263">
              <w:t>0 words)</w:t>
            </w:r>
          </w:p>
          <w:p w14:paraId="450AA60E" w14:textId="2B4DDA73" w:rsidR="00D5637D" w:rsidRDefault="00216FF1" w:rsidP="00387BF0">
            <w:pPr>
              <w:pStyle w:val="ListParagraph"/>
              <w:numPr>
                <w:ilvl w:val="0"/>
                <w:numId w:val="13"/>
              </w:numPr>
              <w:spacing w:after="0" w:line="360" w:lineRule="auto"/>
            </w:pPr>
            <w:r>
              <w:t>Definition</w:t>
            </w:r>
            <w:r w:rsidR="00B61805">
              <w:t xml:space="preserve">s </w:t>
            </w:r>
            <w:r>
              <w:t>of</w:t>
            </w:r>
            <w:r w:rsidR="00926D9D">
              <w:t xml:space="preserve"> formative </w:t>
            </w:r>
            <w:r w:rsidR="00E502AA">
              <w:t xml:space="preserve">and summative works with citations. </w:t>
            </w:r>
            <w:r w:rsidR="00EB7068">
              <w:t>Demonstrate how</w:t>
            </w:r>
            <w:r w:rsidR="00642234" w:rsidRPr="003A56E0">
              <w:t xml:space="preserve"> a reflective approach to your formative and summative evaluated work in Module-1 might enable you to feedforward and improve your work in </w:t>
            </w:r>
            <w:r w:rsidR="00BA26D0">
              <w:t xml:space="preserve">Module-2 and </w:t>
            </w:r>
            <w:r w:rsidR="00BA26D0" w:rsidRPr="003A56E0">
              <w:t>the upcoming modules</w:t>
            </w:r>
            <w:r w:rsidR="00642234" w:rsidRPr="003A56E0">
              <w:t xml:space="preserve">. </w:t>
            </w:r>
            <w:r w:rsidR="00D93259">
              <w:t>(450 words)</w:t>
            </w:r>
          </w:p>
          <w:p w14:paraId="54471AB6" w14:textId="7D0559F1" w:rsidR="00B61805" w:rsidRPr="009B132A" w:rsidRDefault="00EF6D56" w:rsidP="00387BF0">
            <w:pPr>
              <w:pStyle w:val="ListParagraph"/>
              <w:numPr>
                <w:ilvl w:val="0"/>
                <w:numId w:val="13"/>
              </w:numPr>
              <w:spacing w:after="0" w:line="360" w:lineRule="auto"/>
              <w:jc w:val="both"/>
            </w:pPr>
            <w:r>
              <w:t>Round</w:t>
            </w:r>
            <w:r w:rsidR="00B61805">
              <w:t>ing</w:t>
            </w:r>
            <w:r>
              <w:t xml:space="preserve"> up </w:t>
            </w:r>
            <w:r w:rsidR="00B61805">
              <w:t xml:space="preserve">of </w:t>
            </w:r>
            <w:r w:rsidR="00FC6925">
              <w:t xml:space="preserve">your </w:t>
            </w:r>
            <w:r w:rsidR="00FC6925" w:rsidRPr="00372093">
              <w:t>Reflection On learning</w:t>
            </w:r>
            <w:r w:rsidR="00FB3D8F" w:rsidRPr="001A1239">
              <w:t xml:space="preserve"> by</w:t>
            </w:r>
            <w:r w:rsidR="001A1239">
              <w:t xml:space="preserve"> </w:t>
            </w:r>
            <w:r w:rsidR="001A1239" w:rsidRPr="001A1239">
              <w:t>briefly restat</w:t>
            </w:r>
            <w:r w:rsidR="001A1239">
              <w:t>ing</w:t>
            </w:r>
            <w:r w:rsidR="001A1239" w:rsidRPr="001A1239">
              <w:t xml:space="preserve"> your main points, in addition to your final thought or reflection on the significance of the topic.</w:t>
            </w:r>
            <w:r w:rsidR="00B61805">
              <w:t xml:space="preserve"> (150 words)</w:t>
            </w:r>
          </w:p>
          <w:p w14:paraId="5C7593FC" w14:textId="46D88F7C" w:rsidR="00D5637D" w:rsidRPr="00E42CD4" w:rsidRDefault="00D5637D" w:rsidP="00B61805">
            <w:pPr>
              <w:ind w:left="360"/>
            </w:pPr>
          </w:p>
          <w:p w14:paraId="167B2F69" w14:textId="77777777" w:rsidR="00D5637D" w:rsidRDefault="00D5637D" w:rsidP="00D5637D">
            <w:pPr>
              <w:pStyle w:val="ListParagraph"/>
              <w:numPr>
                <w:ilvl w:val="0"/>
                <w:numId w:val="0"/>
              </w:numPr>
              <w:spacing w:after="0" w:line="360" w:lineRule="auto"/>
              <w:ind w:left="717"/>
              <w:jc w:val="both"/>
              <w:rPr>
                <w:rFonts w:cs="Arial"/>
                <w:bCs/>
                <w:lang w:eastAsia="en-GB"/>
              </w:rPr>
            </w:pPr>
          </w:p>
          <w:p w14:paraId="20264D2D" w14:textId="77348267" w:rsidR="0027130D" w:rsidRPr="0027130D" w:rsidRDefault="00CE6314" w:rsidP="00387BF0">
            <w:pPr>
              <w:pStyle w:val="ListParagraph"/>
              <w:numPr>
                <w:ilvl w:val="0"/>
                <w:numId w:val="11"/>
              </w:numPr>
              <w:spacing w:after="0" w:line="360" w:lineRule="auto"/>
              <w:jc w:val="both"/>
              <w:rPr>
                <w:rFonts w:cs="Arial"/>
                <w:b/>
                <w:lang w:eastAsia="en-GB"/>
              </w:rPr>
            </w:pPr>
            <w:r w:rsidRPr="00920D95">
              <w:rPr>
                <w:rFonts w:cs="Arial"/>
                <w:b/>
                <w:lang w:eastAsia="en-GB"/>
              </w:rPr>
              <w:t xml:space="preserve">Reflection on the cultural and behavioural expectations of studying for a degree in </w:t>
            </w:r>
            <w:r w:rsidR="00181F0D">
              <w:rPr>
                <w:rFonts w:cs="Arial"/>
                <w:b/>
                <w:lang w:eastAsia="en-GB"/>
              </w:rPr>
              <w:t>business</w:t>
            </w:r>
            <w:r w:rsidR="00D25376">
              <w:rPr>
                <w:rFonts w:cs="Arial"/>
                <w:b/>
                <w:lang w:eastAsia="en-GB"/>
              </w:rPr>
              <w:t xml:space="preserve"> a</w:t>
            </w:r>
            <w:r w:rsidR="00181F0D">
              <w:rPr>
                <w:rFonts w:cs="Arial"/>
                <w:b/>
                <w:lang w:eastAsia="en-GB"/>
              </w:rPr>
              <w:t xml:space="preserve">nd </w:t>
            </w:r>
            <w:r w:rsidRPr="00920D95">
              <w:rPr>
                <w:rFonts w:cs="Arial"/>
                <w:b/>
                <w:lang w:eastAsia="en-GB"/>
              </w:rPr>
              <w:t>management.</w:t>
            </w:r>
            <w:r w:rsidR="000A0916" w:rsidRPr="00920D95">
              <w:rPr>
                <w:rFonts w:cs="Arial"/>
                <w:b/>
                <w:lang w:eastAsia="en-GB"/>
              </w:rPr>
              <w:t xml:space="preserve"> (</w:t>
            </w:r>
            <w:r w:rsidR="00B7479A">
              <w:rPr>
                <w:rFonts w:cs="Arial"/>
                <w:b/>
                <w:lang w:eastAsia="en-GB"/>
              </w:rPr>
              <w:t>7</w:t>
            </w:r>
            <w:r w:rsidR="000A0916" w:rsidRPr="00920D95">
              <w:rPr>
                <w:rFonts w:cs="Arial"/>
                <w:b/>
                <w:lang w:eastAsia="en-GB"/>
              </w:rPr>
              <w:t>00 words)</w:t>
            </w:r>
          </w:p>
          <w:p w14:paraId="2DD12FD2" w14:textId="6709C33E" w:rsidR="00CE6314" w:rsidRPr="005529E2" w:rsidRDefault="00CE6314" w:rsidP="00387BF0">
            <w:pPr>
              <w:pStyle w:val="ListParagraph"/>
              <w:numPr>
                <w:ilvl w:val="0"/>
                <w:numId w:val="6"/>
              </w:numPr>
              <w:spacing w:after="0" w:line="360" w:lineRule="auto"/>
              <w:rPr>
                <w:rFonts w:cs="Arial"/>
                <w:bCs/>
                <w:lang w:eastAsia="en-GB"/>
              </w:rPr>
            </w:pPr>
            <w:r w:rsidRPr="00437C3C">
              <w:rPr>
                <w:rFonts w:cs="Arial"/>
                <w:bCs/>
                <w:lang w:eastAsia="en-GB"/>
              </w:rPr>
              <w:t xml:space="preserve">A reflection that </w:t>
            </w:r>
            <w:r w:rsidR="007F3D79">
              <w:rPr>
                <w:rFonts w:cs="Arial"/>
                <w:bCs/>
                <w:lang w:eastAsia="en-GB"/>
              </w:rPr>
              <w:t xml:space="preserve">demonstrates </w:t>
            </w:r>
            <w:r w:rsidRPr="00437C3C">
              <w:rPr>
                <w:rFonts w:eastAsia="Calibri" w:cs="Arial"/>
              </w:rPr>
              <w:t>you</w:t>
            </w:r>
            <w:r w:rsidR="007F3D79">
              <w:rPr>
                <w:rFonts w:eastAsia="Calibri" w:cs="Arial"/>
              </w:rPr>
              <w:t>r understanding of</w:t>
            </w:r>
            <w:r w:rsidR="00A924D4">
              <w:t xml:space="preserve"> t</w:t>
            </w:r>
            <w:r w:rsidR="00A924D4" w:rsidRPr="00437C3C">
              <w:rPr>
                <w:rFonts w:eastAsia="Calibri" w:cs="Arial"/>
              </w:rPr>
              <w:t xml:space="preserve">he cultural and behavioural expectations of studying for a degree in </w:t>
            </w:r>
            <w:r w:rsidR="008E17AA">
              <w:rPr>
                <w:rFonts w:eastAsia="Calibri" w:cs="Arial"/>
              </w:rPr>
              <w:t>Business</w:t>
            </w:r>
            <w:r w:rsidR="00A924D4" w:rsidRPr="00437C3C">
              <w:rPr>
                <w:rFonts w:eastAsia="Calibri" w:cs="Arial"/>
              </w:rPr>
              <w:t xml:space="preserve"> and </w:t>
            </w:r>
            <w:r w:rsidR="008E17AA">
              <w:rPr>
                <w:rFonts w:eastAsia="Calibri" w:cs="Arial"/>
              </w:rPr>
              <w:t>Tourism</w:t>
            </w:r>
            <w:r w:rsidR="00CF2776">
              <w:rPr>
                <w:rFonts w:eastAsia="Calibri" w:cs="Arial"/>
              </w:rPr>
              <w:t xml:space="preserve"> </w:t>
            </w:r>
            <w:r w:rsidR="008E17AA">
              <w:rPr>
                <w:rFonts w:eastAsia="Calibri" w:cs="Arial"/>
              </w:rPr>
              <w:t>M</w:t>
            </w:r>
            <w:r w:rsidR="00A924D4" w:rsidRPr="00437C3C">
              <w:rPr>
                <w:rFonts w:eastAsia="Calibri" w:cs="Arial"/>
              </w:rPr>
              <w:t xml:space="preserve">anagement </w:t>
            </w:r>
            <w:r w:rsidRPr="00437C3C">
              <w:rPr>
                <w:rFonts w:eastAsia="Calibri" w:cs="Arial"/>
              </w:rPr>
              <w:t xml:space="preserve">from </w:t>
            </w:r>
            <w:r w:rsidR="00A924D4" w:rsidRPr="00437C3C">
              <w:rPr>
                <w:rFonts w:eastAsia="Calibri" w:cs="Arial"/>
              </w:rPr>
              <w:t xml:space="preserve">the </w:t>
            </w:r>
            <w:r w:rsidR="00437C3C">
              <w:rPr>
                <w:rFonts w:eastAsia="Calibri" w:cs="Arial"/>
              </w:rPr>
              <w:t xml:space="preserve">current </w:t>
            </w:r>
            <w:r w:rsidR="00437C3C" w:rsidRPr="00437C3C">
              <w:rPr>
                <w:rFonts w:eastAsia="Calibri" w:cs="Arial"/>
              </w:rPr>
              <w:t>module.</w:t>
            </w:r>
            <w:r w:rsidR="00A924D4" w:rsidRPr="00437C3C">
              <w:rPr>
                <w:rFonts w:eastAsia="Calibri" w:cs="Arial"/>
              </w:rPr>
              <w:t xml:space="preserve"> </w:t>
            </w:r>
            <w:r w:rsidR="008F51FE">
              <w:rPr>
                <w:rFonts w:eastAsia="Calibri" w:cs="Arial"/>
              </w:rPr>
              <w:t>(</w:t>
            </w:r>
            <w:r w:rsidR="00B7479A">
              <w:rPr>
                <w:rFonts w:eastAsia="Calibri" w:cs="Arial"/>
              </w:rPr>
              <w:t>400</w:t>
            </w:r>
            <w:r w:rsidR="008F51FE">
              <w:rPr>
                <w:rFonts w:eastAsia="Calibri" w:cs="Arial"/>
              </w:rPr>
              <w:t xml:space="preserve"> words)</w:t>
            </w:r>
          </w:p>
          <w:p w14:paraId="3CBCA9A6" w14:textId="58DEFD63" w:rsidR="0027130D" w:rsidRPr="008B566B" w:rsidRDefault="007F3D79" w:rsidP="00387BF0">
            <w:pPr>
              <w:pStyle w:val="ListParagraph"/>
              <w:numPr>
                <w:ilvl w:val="0"/>
                <w:numId w:val="6"/>
              </w:numPr>
              <w:spacing w:after="0" w:line="360" w:lineRule="auto"/>
              <w:rPr>
                <w:rFonts w:cs="Arial"/>
                <w:bCs/>
                <w:lang w:eastAsia="en-GB"/>
              </w:rPr>
            </w:pPr>
            <w:r w:rsidRPr="006D1253">
              <w:rPr>
                <w:rFonts w:cs="Arial"/>
              </w:rPr>
              <w:t>An explanation of h</w:t>
            </w:r>
            <w:r w:rsidR="00CE6314" w:rsidRPr="006D1253">
              <w:rPr>
                <w:rFonts w:cs="Arial"/>
              </w:rPr>
              <w:t xml:space="preserve">ow will you </w:t>
            </w:r>
            <w:r w:rsidR="000A0916" w:rsidRPr="006D1253">
              <w:rPr>
                <w:rFonts w:cs="Arial"/>
              </w:rPr>
              <w:t xml:space="preserve">implement these </w:t>
            </w:r>
            <w:r w:rsidR="000A0916" w:rsidRPr="006D1253">
              <w:rPr>
                <w:rFonts w:eastAsia="Calibri" w:cs="Arial"/>
              </w:rPr>
              <w:t>cultural and behavioural expectations</w:t>
            </w:r>
            <w:r w:rsidR="00CE6314" w:rsidRPr="006D1253">
              <w:rPr>
                <w:rFonts w:cs="Arial"/>
              </w:rPr>
              <w:t xml:space="preserve"> in your future studies and work/career?</w:t>
            </w:r>
            <w:r w:rsidR="008F51FE" w:rsidRPr="006D1253">
              <w:rPr>
                <w:rFonts w:cs="Arial"/>
              </w:rPr>
              <w:t xml:space="preserve"> (</w:t>
            </w:r>
            <w:r w:rsidR="002F0546">
              <w:rPr>
                <w:rFonts w:cs="Arial"/>
              </w:rPr>
              <w:t>150</w:t>
            </w:r>
            <w:r w:rsidR="008F51FE" w:rsidRPr="006D1253">
              <w:rPr>
                <w:rFonts w:cs="Arial"/>
              </w:rPr>
              <w:t>)</w:t>
            </w:r>
          </w:p>
          <w:p w14:paraId="32340B3F" w14:textId="27820734" w:rsidR="00F76034" w:rsidRPr="007510BC" w:rsidRDefault="00AC135B" w:rsidP="00387BF0">
            <w:pPr>
              <w:pStyle w:val="ListParagraph"/>
              <w:numPr>
                <w:ilvl w:val="0"/>
                <w:numId w:val="6"/>
              </w:numPr>
              <w:spacing w:after="0" w:line="360" w:lineRule="auto"/>
              <w:rPr>
                <w:rFonts w:cs="Arial"/>
                <w:bCs/>
                <w:lang w:eastAsia="en-GB"/>
              </w:rPr>
            </w:pPr>
            <w:r>
              <w:rPr>
                <w:rFonts w:cs="Arial"/>
              </w:rPr>
              <w:t xml:space="preserve">Provide a </w:t>
            </w:r>
            <w:r w:rsidR="00071A9B">
              <w:rPr>
                <w:rFonts w:cs="Arial"/>
              </w:rPr>
              <w:t xml:space="preserve">realistic </w:t>
            </w:r>
            <w:r w:rsidR="00CE6314" w:rsidRPr="006172D3">
              <w:rPr>
                <w:rFonts w:cs="Arial"/>
              </w:rPr>
              <w:t>timeframe</w:t>
            </w:r>
            <w:r w:rsidR="004735C5">
              <w:rPr>
                <w:rFonts w:cs="Arial"/>
              </w:rPr>
              <w:t xml:space="preserve"> and dates</w:t>
            </w:r>
            <w:r w:rsidR="00CE6314" w:rsidRPr="006172D3">
              <w:rPr>
                <w:rFonts w:cs="Arial"/>
              </w:rPr>
              <w:t xml:space="preserve"> for the implementation of what you have learned</w:t>
            </w:r>
            <w:r w:rsidR="00580AA9">
              <w:rPr>
                <w:rFonts w:cs="Arial"/>
              </w:rPr>
              <w:t xml:space="preserve"> about </w:t>
            </w:r>
            <w:r w:rsidR="00580AA9" w:rsidRPr="00437C3C">
              <w:rPr>
                <w:rFonts w:eastAsia="Calibri" w:cs="Arial"/>
              </w:rPr>
              <w:t>cultural and behavioural expectations</w:t>
            </w:r>
            <w:r w:rsidR="008F51FE">
              <w:rPr>
                <w:rFonts w:eastAsia="Calibri" w:cs="Arial"/>
              </w:rPr>
              <w:t xml:space="preserve">. </w:t>
            </w:r>
            <w:r w:rsidRPr="008E709E">
              <w:rPr>
                <w:rFonts w:cs="Arial"/>
              </w:rPr>
              <w:t>W</w:t>
            </w:r>
            <w:r>
              <w:rPr>
                <w:rFonts w:cs="Arial"/>
              </w:rPr>
              <w:t>h</w:t>
            </w:r>
            <w:r w:rsidRPr="008E709E">
              <w:rPr>
                <w:rFonts w:cs="Arial"/>
              </w:rPr>
              <w:t xml:space="preserve">at resources and/or support </w:t>
            </w:r>
            <w:r w:rsidR="00382AC9">
              <w:rPr>
                <w:rFonts w:cs="Arial"/>
              </w:rPr>
              <w:t>would</w:t>
            </w:r>
            <w:r w:rsidRPr="008E709E">
              <w:rPr>
                <w:rFonts w:cs="Arial"/>
              </w:rPr>
              <w:t xml:space="preserve"> you need to implement what you have learned </w:t>
            </w:r>
            <w:r w:rsidR="008F51FE">
              <w:rPr>
                <w:rFonts w:cs="Arial"/>
              </w:rPr>
              <w:t>in futur</w:t>
            </w:r>
            <w:r w:rsidR="006E0908">
              <w:rPr>
                <w:rFonts w:cs="Arial"/>
              </w:rPr>
              <w:t>e, both personall</w:t>
            </w:r>
            <w:r w:rsidR="007F3D79">
              <w:rPr>
                <w:rFonts w:cs="Arial"/>
              </w:rPr>
              <w:t>y</w:t>
            </w:r>
            <w:r w:rsidR="006E0908">
              <w:rPr>
                <w:rFonts w:cs="Arial"/>
              </w:rPr>
              <w:t xml:space="preserve"> and professional</w:t>
            </w:r>
            <w:r w:rsidR="007F3D79">
              <w:rPr>
                <w:rFonts w:cs="Arial"/>
              </w:rPr>
              <w:t>ly</w:t>
            </w:r>
            <w:r w:rsidR="00382AC9">
              <w:rPr>
                <w:rFonts w:cs="Arial"/>
              </w:rPr>
              <w:t>? (</w:t>
            </w:r>
            <w:r w:rsidR="002F0546">
              <w:rPr>
                <w:rFonts w:cs="Arial"/>
              </w:rPr>
              <w:t>150</w:t>
            </w:r>
            <w:r w:rsidR="00382AC9">
              <w:rPr>
                <w:rFonts w:cs="Arial"/>
              </w:rPr>
              <w:t>)</w:t>
            </w:r>
          </w:p>
          <w:p w14:paraId="48D96A8E" w14:textId="77777777" w:rsidR="007F3D79" w:rsidRPr="00803D86" w:rsidRDefault="007F3D79" w:rsidP="007F3D79">
            <w:pPr>
              <w:pStyle w:val="ListParagraph"/>
              <w:numPr>
                <w:ilvl w:val="0"/>
                <w:numId w:val="0"/>
              </w:numPr>
              <w:spacing w:after="0" w:line="360" w:lineRule="auto"/>
              <w:ind w:left="1437"/>
              <w:rPr>
                <w:rFonts w:cs="Arial"/>
                <w:bCs/>
                <w:lang w:eastAsia="en-GB"/>
              </w:rPr>
            </w:pPr>
          </w:p>
          <w:p w14:paraId="43F0BAC8" w14:textId="24EFCEF8" w:rsidR="00CE6314" w:rsidRPr="00920D95" w:rsidRDefault="00CE6314" w:rsidP="00387BF0">
            <w:pPr>
              <w:pStyle w:val="ListParagraph"/>
              <w:numPr>
                <w:ilvl w:val="0"/>
                <w:numId w:val="11"/>
              </w:numPr>
              <w:spacing w:after="0" w:line="360" w:lineRule="auto"/>
              <w:jc w:val="both"/>
              <w:rPr>
                <w:rFonts w:cs="Arial"/>
                <w:b/>
                <w:lang w:eastAsia="en-GB"/>
              </w:rPr>
            </w:pPr>
            <w:r w:rsidRPr="00920D95">
              <w:rPr>
                <w:rFonts w:cs="Arial"/>
                <w:b/>
                <w:lang w:eastAsia="en-GB"/>
              </w:rPr>
              <w:t>Reflection on the importance of peer-to-peer support and team working to enhance learning experience.</w:t>
            </w:r>
            <w:r w:rsidR="0012451F">
              <w:rPr>
                <w:rFonts w:cs="Arial"/>
                <w:b/>
                <w:lang w:eastAsia="en-GB"/>
              </w:rPr>
              <w:t xml:space="preserve"> </w:t>
            </w:r>
            <w:r w:rsidR="00D33AA9">
              <w:rPr>
                <w:rFonts w:cs="Arial"/>
                <w:b/>
                <w:lang w:eastAsia="en-GB"/>
              </w:rPr>
              <w:t>(</w:t>
            </w:r>
            <w:r w:rsidR="00B7479A">
              <w:rPr>
                <w:rFonts w:cs="Arial"/>
                <w:b/>
                <w:lang w:eastAsia="en-GB"/>
              </w:rPr>
              <w:t>7</w:t>
            </w:r>
            <w:r w:rsidR="00D33AA9">
              <w:rPr>
                <w:rFonts w:cs="Arial"/>
                <w:b/>
                <w:lang w:eastAsia="en-GB"/>
              </w:rPr>
              <w:t>00 words)</w:t>
            </w:r>
          </w:p>
          <w:p w14:paraId="7B31C47B" w14:textId="5DA298B2" w:rsidR="00316354" w:rsidRPr="00316354" w:rsidRDefault="00CE6314" w:rsidP="00387BF0">
            <w:pPr>
              <w:pStyle w:val="ListParagraph"/>
              <w:numPr>
                <w:ilvl w:val="0"/>
                <w:numId w:val="14"/>
              </w:numPr>
              <w:spacing w:after="0" w:line="360" w:lineRule="auto"/>
              <w:jc w:val="both"/>
              <w:rPr>
                <w:rFonts w:cs="Arial"/>
                <w:bCs/>
                <w:lang w:eastAsia="en-GB"/>
              </w:rPr>
            </w:pPr>
            <w:r w:rsidRPr="00F57BAB">
              <w:rPr>
                <w:rFonts w:cs="Arial"/>
                <w:bCs/>
                <w:lang w:eastAsia="en-GB"/>
              </w:rPr>
              <w:t xml:space="preserve">A reflection </w:t>
            </w:r>
            <w:r w:rsidR="00085AFA" w:rsidRPr="00F57BAB">
              <w:rPr>
                <w:rFonts w:cs="Arial"/>
                <w:bCs/>
                <w:lang w:eastAsia="en-GB"/>
              </w:rPr>
              <w:t>on what peer-to-peer support and team working mean and why it is important for students in higher education.</w:t>
            </w:r>
            <w:r w:rsidR="00BE10E6" w:rsidRPr="00F57BAB">
              <w:rPr>
                <w:rFonts w:cs="Arial"/>
                <w:bCs/>
                <w:lang w:eastAsia="en-GB"/>
              </w:rPr>
              <w:t xml:space="preserve"> </w:t>
            </w:r>
            <w:r w:rsidR="00800C20">
              <w:rPr>
                <w:rFonts w:cs="Arial"/>
                <w:bCs/>
                <w:lang w:eastAsia="en-GB"/>
              </w:rPr>
              <w:t xml:space="preserve">You can draw example from the previous module to demonstrate </w:t>
            </w:r>
            <w:r w:rsidR="005064AC">
              <w:rPr>
                <w:rFonts w:cs="Arial"/>
                <w:bCs/>
                <w:lang w:eastAsia="en-GB"/>
              </w:rPr>
              <w:t>your understanding</w:t>
            </w:r>
            <w:r w:rsidR="002F0546">
              <w:rPr>
                <w:rFonts w:cs="Arial"/>
                <w:bCs/>
                <w:lang w:eastAsia="en-GB"/>
              </w:rPr>
              <w:t xml:space="preserve"> of the concepts</w:t>
            </w:r>
            <w:r w:rsidR="00316354">
              <w:rPr>
                <w:rFonts w:cs="Arial"/>
                <w:bCs/>
                <w:lang w:eastAsia="en-GB"/>
              </w:rPr>
              <w:t>.</w:t>
            </w:r>
            <w:r w:rsidR="002F0546">
              <w:rPr>
                <w:rFonts w:cs="Arial"/>
                <w:bCs/>
                <w:lang w:eastAsia="en-GB"/>
              </w:rPr>
              <w:t xml:space="preserve"> (400)</w:t>
            </w:r>
          </w:p>
          <w:p w14:paraId="3BF70792" w14:textId="589AE274" w:rsidR="00F57BAB" w:rsidRPr="00F57BAB" w:rsidRDefault="00085AFA" w:rsidP="00387BF0">
            <w:pPr>
              <w:pStyle w:val="ListParagraph"/>
              <w:numPr>
                <w:ilvl w:val="0"/>
                <w:numId w:val="14"/>
              </w:numPr>
              <w:spacing w:after="0" w:line="360" w:lineRule="auto"/>
              <w:jc w:val="both"/>
              <w:rPr>
                <w:rFonts w:cs="Arial"/>
                <w:bCs/>
                <w:lang w:eastAsia="en-GB"/>
              </w:rPr>
            </w:pPr>
            <w:r w:rsidRPr="00F57BAB">
              <w:rPr>
                <w:rFonts w:cs="Arial"/>
              </w:rPr>
              <w:t xml:space="preserve">An explanation of how will you implement </w:t>
            </w:r>
            <w:r w:rsidR="00BE10E6" w:rsidRPr="00F57BAB">
              <w:rPr>
                <w:rFonts w:cs="Arial"/>
                <w:bCs/>
                <w:lang w:eastAsia="en-GB"/>
              </w:rPr>
              <w:t xml:space="preserve">peer-to-peer support and team working </w:t>
            </w:r>
            <w:r w:rsidRPr="00F57BAB">
              <w:rPr>
                <w:rFonts w:cs="Arial"/>
              </w:rPr>
              <w:t xml:space="preserve">these </w:t>
            </w:r>
            <w:r w:rsidR="00CE6314" w:rsidRPr="00F57BAB">
              <w:rPr>
                <w:rFonts w:cs="Arial"/>
              </w:rPr>
              <w:t>in your future studies and work/career?</w:t>
            </w:r>
            <w:r w:rsidR="009C34B8">
              <w:rPr>
                <w:rFonts w:cs="Arial"/>
              </w:rPr>
              <w:t xml:space="preserve"> </w:t>
            </w:r>
            <w:r w:rsidR="002F0546">
              <w:rPr>
                <w:rFonts w:cs="Arial"/>
              </w:rPr>
              <w:t>(150)</w:t>
            </w:r>
          </w:p>
          <w:p w14:paraId="786314A0" w14:textId="0F8B7AD5" w:rsidR="00CE6314" w:rsidRPr="005519FB" w:rsidRDefault="00CE6314" w:rsidP="00387BF0">
            <w:pPr>
              <w:pStyle w:val="ListParagraph"/>
              <w:numPr>
                <w:ilvl w:val="0"/>
                <w:numId w:val="14"/>
              </w:numPr>
              <w:spacing w:after="0" w:line="360" w:lineRule="auto"/>
              <w:jc w:val="both"/>
              <w:rPr>
                <w:rFonts w:cs="Arial"/>
                <w:bCs/>
                <w:lang w:eastAsia="en-GB"/>
              </w:rPr>
            </w:pPr>
            <w:r w:rsidRPr="00F57BAB">
              <w:rPr>
                <w:rFonts w:cs="Arial"/>
              </w:rPr>
              <w:t>What resources and/or support do you need to implement what you have learned</w:t>
            </w:r>
            <w:r w:rsidR="004735C5" w:rsidRPr="00F57BAB">
              <w:rPr>
                <w:rFonts w:cs="Arial"/>
              </w:rPr>
              <w:t xml:space="preserve"> </w:t>
            </w:r>
            <w:r w:rsidR="004735C5">
              <w:rPr>
                <w:rFonts w:cs="Arial"/>
              </w:rPr>
              <w:t xml:space="preserve">about </w:t>
            </w:r>
            <w:r w:rsidR="004735C5" w:rsidRPr="00F57BAB">
              <w:rPr>
                <w:rFonts w:cs="Arial"/>
                <w:bCs/>
                <w:lang w:eastAsia="en-GB"/>
              </w:rPr>
              <w:t>peer-to-peer support and team working</w:t>
            </w:r>
            <w:r w:rsidRPr="00F57BAB">
              <w:rPr>
                <w:rFonts w:cs="Arial"/>
              </w:rPr>
              <w:t xml:space="preserve">? </w:t>
            </w:r>
            <w:r w:rsidR="004735C5">
              <w:rPr>
                <w:rFonts w:cs="Arial"/>
              </w:rPr>
              <w:t xml:space="preserve">Provide a realistic </w:t>
            </w:r>
            <w:r w:rsidR="004735C5" w:rsidRPr="006172D3">
              <w:rPr>
                <w:rFonts w:cs="Arial"/>
              </w:rPr>
              <w:t>timeframe</w:t>
            </w:r>
            <w:r w:rsidR="004735C5">
              <w:rPr>
                <w:rFonts w:cs="Arial"/>
              </w:rPr>
              <w:t xml:space="preserve"> and dates</w:t>
            </w:r>
            <w:r w:rsidR="004735C5" w:rsidRPr="006172D3">
              <w:rPr>
                <w:rFonts w:cs="Arial"/>
              </w:rPr>
              <w:t xml:space="preserve"> for the implementation of what you have learned</w:t>
            </w:r>
            <w:r w:rsidR="004735C5">
              <w:rPr>
                <w:rFonts w:cs="Arial"/>
              </w:rPr>
              <w:t xml:space="preserve"> about </w:t>
            </w:r>
            <w:r w:rsidR="0012451F" w:rsidRPr="00F57BAB">
              <w:rPr>
                <w:rFonts w:cs="Arial"/>
                <w:bCs/>
                <w:lang w:eastAsia="en-GB"/>
              </w:rPr>
              <w:t>peer-to-peer support and team working</w:t>
            </w:r>
            <w:r w:rsidRPr="00F57BAB">
              <w:rPr>
                <w:rFonts w:cs="Arial"/>
              </w:rPr>
              <w:t>?</w:t>
            </w:r>
            <w:r w:rsidR="002F0546">
              <w:rPr>
                <w:rFonts w:cs="Arial"/>
              </w:rPr>
              <w:t xml:space="preserve"> (150)</w:t>
            </w:r>
          </w:p>
          <w:p w14:paraId="74F3ED7B" w14:textId="77777777" w:rsidR="005519FB" w:rsidRPr="00F57BAB" w:rsidRDefault="005519FB" w:rsidP="005519FB">
            <w:pPr>
              <w:pStyle w:val="ListParagraph"/>
              <w:numPr>
                <w:ilvl w:val="0"/>
                <w:numId w:val="0"/>
              </w:numPr>
              <w:spacing w:after="0" w:line="360" w:lineRule="auto"/>
              <w:ind w:left="1077"/>
              <w:jc w:val="both"/>
              <w:rPr>
                <w:rFonts w:cs="Arial"/>
                <w:bCs/>
                <w:lang w:eastAsia="en-GB"/>
              </w:rPr>
            </w:pPr>
          </w:p>
          <w:p w14:paraId="60A8FE95" w14:textId="31CA72FD" w:rsidR="00316354" w:rsidRPr="00316354" w:rsidRDefault="00CE6314" w:rsidP="00387BF0">
            <w:pPr>
              <w:pStyle w:val="ListParagraph"/>
              <w:numPr>
                <w:ilvl w:val="0"/>
                <w:numId w:val="11"/>
              </w:numPr>
              <w:spacing w:after="0" w:line="360" w:lineRule="auto"/>
              <w:jc w:val="both"/>
              <w:rPr>
                <w:rFonts w:cs="Arial"/>
                <w:b/>
                <w:lang w:eastAsia="en-GB"/>
              </w:rPr>
            </w:pPr>
            <w:r w:rsidRPr="00316354">
              <w:rPr>
                <w:rFonts w:cs="Arial"/>
                <w:b/>
                <w:lang w:eastAsia="en-GB"/>
              </w:rPr>
              <w:t xml:space="preserve">A personal audit presented as a SWOT analysis, which evaluate your strengths, weaknesses, </w:t>
            </w:r>
            <w:r w:rsidR="00E413F0" w:rsidRPr="00316354">
              <w:rPr>
                <w:rFonts w:cs="Arial"/>
                <w:b/>
                <w:lang w:eastAsia="en-GB"/>
              </w:rPr>
              <w:t>opportunities,</w:t>
            </w:r>
            <w:r w:rsidRPr="00316354">
              <w:rPr>
                <w:rFonts w:cs="Arial"/>
                <w:b/>
                <w:lang w:eastAsia="en-GB"/>
              </w:rPr>
              <w:t xml:space="preserve"> and threats as a student.</w:t>
            </w:r>
            <w:r w:rsidR="009A5411">
              <w:rPr>
                <w:rFonts w:cs="Arial"/>
                <w:b/>
                <w:lang w:eastAsia="en-GB"/>
              </w:rPr>
              <w:t xml:space="preserve"> (</w:t>
            </w:r>
            <w:r w:rsidR="009C34B8">
              <w:rPr>
                <w:rFonts w:cs="Arial"/>
                <w:b/>
                <w:lang w:eastAsia="en-GB"/>
              </w:rPr>
              <w:t>4</w:t>
            </w:r>
            <w:r w:rsidR="009A5411">
              <w:rPr>
                <w:rFonts w:cs="Arial"/>
                <w:b/>
                <w:lang w:eastAsia="en-GB"/>
              </w:rPr>
              <w:t>00 words)</w:t>
            </w:r>
          </w:p>
          <w:p w14:paraId="0AC01F06" w14:textId="77777777" w:rsidR="00CE6314" w:rsidRDefault="00CE6314" w:rsidP="00CE6314"/>
          <w:p w14:paraId="0772E4AD" w14:textId="70988336" w:rsidR="00CE6314" w:rsidRDefault="00CE6314" w:rsidP="00CE6314">
            <w:pPr>
              <w:spacing w:line="360" w:lineRule="auto"/>
              <w:jc w:val="both"/>
            </w:pPr>
            <w:r>
              <w:rPr>
                <w:rFonts w:eastAsia="Calibri"/>
                <w:b/>
                <w:bCs/>
              </w:rPr>
              <w:t xml:space="preserve">Your work must be based on the topic covered in class and reliable research as well as have </w:t>
            </w:r>
            <w:r w:rsidR="009C34B8">
              <w:rPr>
                <w:rFonts w:eastAsia="Calibri"/>
                <w:b/>
                <w:bCs/>
              </w:rPr>
              <w:t>10 different sources</w:t>
            </w:r>
            <w:r w:rsidR="008B566B">
              <w:rPr>
                <w:rFonts w:eastAsia="Calibri"/>
                <w:b/>
                <w:bCs/>
              </w:rPr>
              <w:t xml:space="preserve"> from the reading list</w:t>
            </w:r>
            <w:r>
              <w:rPr>
                <w:rFonts w:eastAsia="Calibri"/>
                <w:b/>
                <w:bCs/>
              </w:rPr>
              <w:t xml:space="preserve"> within it.</w:t>
            </w:r>
            <w:r w:rsidRPr="1C082E2B">
              <w:t xml:space="preserve"> </w:t>
            </w:r>
            <w:r>
              <w:t>Please ensure you use both direct and indirect citations.</w:t>
            </w:r>
          </w:p>
          <w:p w14:paraId="06093051" w14:textId="77777777" w:rsidR="008B566B" w:rsidRDefault="008B566B" w:rsidP="00481B15">
            <w:pPr>
              <w:spacing w:line="360" w:lineRule="auto"/>
              <w:jc w:val="both"/>
              <w:rPr>
                <w:rFonts w:cs="Arial"/>
                <w:b/>
                <w:bCs/>
                <w:u w:val="single"/>
              </w:rPr>
            </w:pPr>
          </w:p>
          <w:p w14:paraId="1D81A4C1" w14:textId="2C16E984" w:rsidR="00481B15" w:rsidRPr="00297AA7" w:rsidRDefault="00481B15" w:rsidP="00481B15">
            <w:pPr>
              <w:spacing w:line="360" w:lineRule="auto"/>
              <w:jc w:val="both"/>
              <w:rPr>
                <w:rFonts w:cs="Arial"/>
                <w:b/>
                <w:bCs/>
                <w:u w:val="single"/>
              </w:rPr>
            </w:pPr>
            <w:r w:rsidRPr="00297AA7">
              <w:rPr>
                <w:rFonts w:cs="Arial"/>
                <w:b/>
                <w:bCs/>
                <w:u w:val="single"/>
              </w:rPr>
              <w:t>Notes:</w:t>
            </w:r>
          </w:p>
          <w:p w14:paraId="059573C9" w14:textId="7C9809EB" w:rsidR="002E0D74" w:rsidRDefault="00481B15" w:rsidP="00481B15">
            <w:pPr>
              <w:spacing w:line="360" w:lineRule="auto"/>
              <w:jc w:val="both"/>
              <w:rPr>
                <w:rFonts w:cs="Arial"/>
                <w:lang w:eastAsia="en-GB"/>
              </w:rPr>
            </w:pPr>
            <w:r w:rsidRPr="006A35E8">
              <w:rPr>
                <w:rFonts w:cs="Arial"/>
                <w:lang w:eastAsia="en-GB"/>
              </w:rPr>
              <w:t xml:space="preserve">The task requirement is an </w:t>
            </w:r>
            <w:r w:rsidRPr="006A35E8">
              <w:rPr>
                <w:rFonts w:cs="Arial"/>
                <w:b/>
                <w:bCs/>
                <w:u w:val="single"/>
                <w:lang w:eastAsia="en-GB"/>
              </w:rPr>
              <w:t>e-portfolio</w:t>
            </w:r>
            <w:r w:rsidRPr="006A35E8">
              <w:rPr>
                <w:rFonts w:cs="Arial"/>
                <w:lang w:eastAsia="en-GB"/>
              </w:rPr>
              <w:t xml:space="preserve"> of documents, not an essay, </w:t>
            </w:r>
            <w:r w:rsidR="00733C9D" w:rsidRPr="006A35E8">
              <w:rPr>
                <w:rFonts w:cs="Arial"/>
                <w:lang w:eastAsia="en-GB"/>
              </w:rPr>
              <w:t>report,</w:t>
            </w:r>
            <w:r w:rsidRPr="006A35E8">
              <w:rPr>
                <w:rFonts w:cs="Arial"/>
                <w:lang w:eastAsia="en-GB"/>
              </w:rPr>
              <w:t xml:space="preserve"> or reflective journal. As such, it can be written in the first and third person. </w:t>
            </w:r>
          </w:p>
          <w:p w14:paraId="260B3D80" w14:textId="46975A89" w:rsidR="00316354" w:rsidRPr="002E0D74" w:rsidRDefault="00481B15" w:rsidP="00481B15">
            <w:pPr>
              <w:spacing w:line="360" w:lineRule="auto"/>
              <w:jc w:val="both"/>
              <w:rPr>
                <w:rFonts w:cs="Arial"/>
                <w:b/>
                <w:bCs/>
                <w:color w:val="FF0000"/>
                <w:lang w:eastAsia="en-GB"/>
              </w:rPr>
            </w:pPr>
            <w:r w:rsidRPr="006A35E8">
              <w:rPr>
                <w:rFonts w:cs="Arial"/>
                <w:b/>
                <w:bCs/>
                <w:color w:val="FF0000"/>
                <w:lang w:eastAsia="en-GB"/>
              </w:rPr>
              <w:t>Please ensure therefore</w:t>
            </w:r>
            <w:r w:rsidR="00E86D4A">
              <w:rPr>
                <w:rFonts w:cs="Arial"/>
                <w:b/>
                <w:bCs/>
                <w:color w:val="FF0000"/>
                <w:lang w:eastAsia="en-GB"/>
              </w:rPr>
              <w:t>,</w:t>
            </w:r>
            <w:r w:rsidRPr="006A35E8">
              <w:rPr>
                <w:rFonts w:cs="Arial"/>
                <w:b/>
                <w:bCs/>
                <w:color w:val="FF0000"/>
                <w:lang w:eastAsia="en-GB"/>
              </w:rPr>
              <w:t xml:space="preserve"> that you use the appropriate e-portfolio template provided</w:t>
            </w:r>
            <w:r w:rsidRPr="00E86D4A">
              <w:rPr>
                <w:rFonts w:cs="Arial"/>
                <w:b/>
                <w:bCs/>
                <w:color w:val="FF0000"/>
                <w:lang w:eastAsia="en-GB"/>
              </w:rPr>
              <w:t>.</w:t>
            </w:r>
            <w:r w:rsidR="00C11D51" w:rsidRPr="00E86D4A">
              <w:rPr>
                <w:rFonts w:cs="Arial"/>
                <w:b/>
                <w:bCs/>
                <w:color w:val="FF0000"/>
                <w:lang w:eastAsia="en-GB"/>
              </w:rPr>
              <w:t xml:space="preserve"> </w:t>
            </w:r>
            <w:bookmarkStart w:id="0" w:name="_Hlk85011752"/>
            <w:r w:rsidR="00E86D4A" w:rsidRPr="00E86D4A">
              <w:rPr>
                <w:rFonts w:cs="Arial"/>
                <w:b/>
                <w:bCs/>
                <w:color w:val="FF0000"/>
                <w:lang w:eastAsia="en-GB"/>
              </w:rPr>
              <w:t>Make sure to fill in your</w:t>
            </w:r>
            <w:r w:rsidR="007566EF">
              <w:rPr>
                <w:rFonts w:cs="Arial"/>
                <w:b/>
                <w:bCs/>
                <w:color w:val="FF0000"/>
                <w:lang w:eastAsia="en-GB"/>
              </w:rPr>
              <w:t xml:space="preserve"> </w:t>
            </w:r>
            <w:r w:rsidR="00E86D4A" w:rsidRPr="00E86D4A">
              <w:rPr>
                <w:rFonts w:cs="Arial"/>
                <w:b/>
                <w:bCs/>
                <w:color w:val="FF0000"/>
                <w:lang w:eastAsia="en-GB"/>
              </w:rPr>
              <w:t>student ID number, module name, tutor name, academic year/group</w:t>
            </w:r>
            <w:bookmarkEnd w:id="0"/>
            <w:r w:rsidR="0000503E">
              <w:rPr>
                <w:rFonts w:cs="Arial"/>
                <w:b/>
                <w:bCs/>
                <w:color w:val="FF0000"/>
                <w:lang w:eastAsia="en-GB"/>
              </w:rPr>
              <w:t xml:space="preserve"> on the template</w:t>
            </w:r>
            <w:r w:rsidR="00E86D4A" w:rsidRPr="00E86D4A">
              <w:rPr>
                <w:rFonts w:cs="Arial"/>
                <w:b/>
                <w:bCs/>
                <w:color w:val="FF0000"/>
                <w:lang w:eastAsia="en-GB"/>
              </w:rPr>
              <w:t>.</w:t>
            </w:r>
            <w:r w:rsidR="00E86D4A" w:rsidRPr="00E86D4A">
              <w:rPr>
                <w:rFonts w:cs="Arial"/>
                <w:b/>
                <w:color w:val="FF0000"/>
                <w:lang w:eastAsia="en-GB"/>
              </w:rPr>
              <w:t xml:space="preserve"> </w:t>
            </w:r>
            <w:r w:rsidR="00040BBD">
              <w:rPr>
                <w:rFonts w:cs="Arial"/>
                <w:b/>
                <w:color w:val="FF0000"/>
                <w:lang w:eastAsia="en-GB"/>
              </w:rPr>
              <w:t xml:space="preserve">Refer to </w:t>
            </w:r>
            <w:r w:rsidR="00C11D51">
              <w:rPr>
                <w:rFonts w:cs="Arial"/>
                <w:b/>
                <w:bCs/>
                <w:color w:val="FF0000"/>
                <w:lang w:eastAsia="en-GB"/>
              </w:rPr>
              <w:t>page</w:t>
            </w:r>
            <w:r w:rsidR="003274E9">
              <w:rPr>
                <w:rFonts w:cs="Arial"/>
                <w:b/>
                <w:bCs/>
                <w:color w:val="FF0000"/>
                <w:lang w:eastAsia="en-GB"/>
              </w:rPr>
              <w:t>s</w:t>
            </w:r>
            <w:r w:rsidR="00C11D51">
              <w:rPr>
                <w:rFonts w:cs="Arial"/>
                <w:b/>
                <w:bCs/>
                <w:color w:val="FF0000"/>
                <w:lang w:eastAsia="en-GB"/>
              </w:rPr>
              <w:t xml:space="preserve"> </w:t>
            </w:r>
            <w:r w:rsidR="00733C9D">
              <w:rPr>
                <w:rFonts w:cs="Arial"/>
                <w:b/>
                <w:bCs/>
                <w:color w:val="FF0000"/>
                <w:lang w:eastAsia="en-GB"/>
              </w:rPr>
              <w:t>8</w:t>
            </w:r>
            <w:r w:rsidR="003274E9">
              <w:rPr>
                <w:rFonts w:cs="Arial"/>
                <w:b/>
                <w:bCs/>
                <w:color w:val="FF0000"/>
                <w:lang w:eastAsia="en-GB"/>
              </w:rPr>
              <w:t xml:space="preserve">- </w:t>
            </w:r>
            <w:r w:rsidR="00733C9D">
              <w:rPr>
                <w:rFonts w:cs="Arial"/>
                <w:b/>
                <w:bCs/>
                <w:color w:val="FF0000"/>
                <w:lang w:eastAsia="en-GB"/>
              </w:rPr>
              <w:t>1</w:t>
            </w:r>
            <w:r w:rsidR="00A06870">
              <w:rPr>
                <w:rFonts w:cs="Arial"/>
                <w:b/>
                <w:bCs/>
                <w:color w:val="FF0000"/>
                <w:lang w:eastAsia="en-GB"/>
              </w:rPr>
              <w:t>3</w:t>
            </w:r>
            <w:r w:rsidR="0016349C">
              <w:rPr>
                <w:rFonts w:cs="Arial"/>
                <w:b/>
                <w:bCs/>
                <w:color w:val="FF0000"/>
                <w:lang w:eastAsia="en-GB"/>
              </w:rPr>
              <w:t xml:space="preserve"> </w:t>
            </w:r>
            <w:r w:rsidR="00C11D51">
              <w:rPr>
                <w:rFonts w:cs="Arial"/>
                <w:b/>
                <w:bCs/>
                <w:color w:val="FF0000"/>
                <w:lang w:eastAsia="en-GB"/>
              </w:rPr>
              <w:t xml:space="preserve">for </w:t>
            </w:r>
            <w:r w:rsidR="00040BBD">
              <w:rPr>
                <w:rFonts w:cs="Arial"/>
                <w:b/>
                <w:bCs/>
                <w:color w:val="FF0000"/>
                <w:lang w:eastAsia="en-GB"/>
              </w:rPr>
              <w:t xml:space="preserve">a </w:t>
            </w:r>
            <w:r w:rsidR="00C11D51">
              <w:rPr>
                <w:rFonts w:cs="Arial"/>
                <w:b/>
                <w:bCs/>
                <w:color w:val="FF0000"/>
                <w:lang w:eastAsia="en-GB"/>
              </w:rPr>
              <w:t>copy</w:t>
            </w:r>
            <w:r w:rsidR="00040BBD">
              <w:rPr>
                <w:rFonts w:cs="Arial"/>
                <w:b/>
                <w:bCs/>
                <w:color w:val="FF0000"/>
                <w:lang w:eastAsia="en-GB"/>
              </w:rPr>
              <w:t xml:space="preserve"> of the E-portfolio</w:t>
            </w:r>
            <w:r w:rsidR="00C11D51">
              <w:rPr>
                <w:rFonts w:cs="Arial"/>
                <w:b/>
                <w:bCs/>
                <w:color w:val="FF0000"/>
                <w:lang w:eastAsia="en-GB"/>
              </w:rPr>
              <w:t>.</w:t>
            </w:r>
            <w:r w:rsidR="002E0D74">
              <w:rPr>
                <w:rFonts w:cs="Arial"/>
                <w:b/>
                <w:bCs/>
                <w:color w:val="FF0000"/>
                <w:lang w:eastAsia="en-GB"/>
              </w:rPr>
              <w:t xml:space="preserve"> </w:t>
            </w:r>
          </w:p>
          <w:p w14:paraId="6419502A" w14:textId="77777777" w:rsidR="00316354" w:rsidRDefault="00316354" w:rsidP="00481B15">
            <w:pPr>
              <w:spacing w:line="360" w:lineRule="auto"/>
              <w:jc w:val="both"/>
              <w:rPr>
                <w:rFonts w:cs="Arial"/>
                <w:lang w:eastAsia="en-GB"/>
              </w:rPr>
            </w:pPr>
          </w:p>
          <w:p w14:paraId="29520360" w14:textId="62164637" w:rsidR="00481B15" w:rsidRPr="006A35E8" w:rsidRDefault="00481B15" w:rsidP="00481B15">
            <w:pPr>
              <w:spacing w:line="360" w:lineRule="auto"/>
              <w:jc w:val="both"/>
              <w:rPr>
                <w:rFonts w:cs="Arial"/>
                <w:lang w:eastAsia="en-GB"/>
              </w:rPr>
            </w:pPr>
            <w:r w:rsidRPr="006A35E8">
              <w:rPr>
                <w:rFonts w:cs="Arial"/>
                <w:lang w:eastAsia="en-GB"/>
              </w:rPr>
              <w:t>Where you have used any sources, please ensure that the correct Canterbury Harvard Referencing conventions* are followed.</w:t>
            </w:r>
            <w:r w:rsidRPr="007B0759">
              <w:rPr>
                <w:rFonts w:cs="Arial"/>
                <w:b/>
                <w:lang w:eastAsia="en-GB"/>
              </w:rPr>
              <w:t xml:space="preserve"> *</w:t>
            </w:r>
            <w:r>
              <w:rPr>
                <w:rFonts w:cs="Arial"/>
                <w:b/>
                <w:lang w:eastAsia="en-GB"/>
              </w:rPr>
              <w:t xml:space="preserve"> </w:t>
            </w:r>
            <w:r w:rsidRPr="007B0759">
              <w:rPr>
                <w:rFonts w:cs="Arial"/>
                <w:b/>
                <w:lang w:eastAsia="en-GB"/>
              </w:rPr>
              <w:t>Please refer to the Canterbury Harvard Referencing Guide</w:t>
            </w:r>
            <w:r>
              <w:rPr>
                <w:rFonts w:cs="Arial"/>
                <w:b/>
                <w:lang w:eastAsia="en-GB"/>
              </w:rPr>
              <w:t xml:space="preserve"> Moodle.</w:t>
            </w:r>
          </w:p>
          <w:p w14:paraId="2E1A6725" w14:textId="72606008" w:rsidR="007B0759" w:rsidRPr="008E4FC4" w:rsidRDefault="007B0759" w:rsidP="00481B15">
            <w:pPr>
              <w:spacing w:line="360" w:lineRule="auto"/>
              <w:jc w:val="both"/>
              <w:rPr>
                <w:rFonts w:cs="Arial"/>
                <w:b/>
                <w:lang w:eastAsia="en-GB"/>
              </w:rPr>
            </w:pPr>
          </w:p>
        </w:tc>
      </w:tr>
      <w:tr w:rsidR="007B0759" w14:paraId="539A9380" w14:textId="77777777" w:rsidTr="00BC1792">
        <w:trPr>
          <w:trHeight w:val="188"/>
        </w:trPr>
        <w:tc>
          <w:tcPr>
            <w:tcW w:w="10632" w:type="dxa"/>
            <w:gridSpan w:val="2"/>
            <w:tcBorders>
              <w:left w:val="nil"/>
              <w:right w:val="nil"/>
            </w:tcBorders>
            <w:tcMar>
              <w:top w:w="113" w:type="dxa"/>
              <w:bottom w:w="113" w:type="dxa"/>
            </w:tcMar>
          </w:tcPr>
          <w:p w14:paraId="362564D8" w14:textId="3960981D" w:rsidR="007B0759" w:rsidRDefault="007B0759" w:rsidP="007B0759"/>
        </w:tc>
      </w:tr>
      <w:tr w:rsidR="007B0759" w:rsidRPr="00216D0B" w14:paraId="4B732405" w14:textId="77777777" w:rsidTr="00BC1792">
        <w:tc>
          <w:tcPr>
            <w:tcW w:w="10632" w:type="dxa"/>
            <w:gridSpan w:val="2"/>
            <w:shd w:val="clear" w:color="auto" w:fill="BFBFBF" w:themeFill="background1" w:themeFillShade="BF"/>
            <w:tcMar>
              <w:top w:w="113" w:type="dxa"/>
              <w:bottom w:w="113" w:type="dxa"/>
            </w:tcMar>
          </w:tcPr>
          <w:p w14:paraId="28792AFE" w14:textId="205CD90D" w:rsidR="007B0759" w:rsidRPr="00216D0B" w:rsidRDefault="007B0759" w:rsidP="007B0759">
            <w:pPr>
              <w:rPr>
                <w:b/>
              </w:rPr>
            </w:pPr>
            <w:r>
              <w:rPr>
                <w:b/>
              </w:rPr>
              <w:t>Assignment Guide and Format</w:t>
            </w:r>
            <w:r w:rsidR="00C11DE5">
              <w:rPr>
                <w:b/>
              </w:rPr>
              <w:t xml:space="preserve"> </w:t>
            </w:r>
          </w:p>
        </w:tc>
      </w:tr>
      <w:tr w:rsidR="007B0759" w:rsidRPr="00216D0B" w14:paraId="1D98EA45" w14:textId="77777777" w:rsidTr="00CD4AE2">
        <w:tc>
          <w:tcPr>
            <w:tcW w:w="10632" w:type="dxa"/>
            <w:gridSpan w:val="2"/>
            <w:shd w:val="clear" w:color="auto" w:fill="auto"/>
            <w:tcMar>
              <w:top w:w="113" w:type="dxa"/>
              <w:bottom w:w="113" w:type="dxa"/>
            </w:tcMar>
          </w:tcPr>
          <w:p w14:paraId="2721D4D6" w14:textId="77777777" w:rsidR="005851CD" w:rsidRDefault="005851CD" w:rsidP="005851CD">
            <w:pPr>
              <w:tabs>
                <w:tab w:val="left" w:pos="3168"/>
              </w:tabs>
              <w:spacing w:after="120"/>
              <w:jc w:val="both"/>
              <w:rPr>
                <w:rFonts w:cstheme="minorHAnsi"/>
                <w:b/>
                <w:bCs/>
                <w:sz w:val="24"/>
                <w:szCs w:val="24"/>
                <w:u w:val="single"/>
                <w:lang w:eastAsia="en-GB"/>
              </w:rPr>
            </w:pPr>
            <w:r>
              <w:rPr>
                <w:rFonts w:cstheme="minorHAnsi"/>
                <w:b/>
                <w:bCs/>
                <w:sz w:val="24"/>
                <w:szCs w:val="24"/>
                <w:u w:val="single"/>
                <w:lang w:eastAsia="en-GB"/>
              </w:rPr>
              <w:t>Your E-Portfolio needs to include the following:</w:t>
            </w:r>
          </w:p>
          <w:p w14:paraId="6D2E68A4" w14:textId="77777777" w:rsidR="00CE10CB" w:rsidRPr="00CE10CB" w:rsidRDefault="00E413F0" w:rsidP="00387BF0">
            <w:pPr>
              <w:pStyle w:val="ListParagraph"/>
              <w:numPr>
                <w:ilvl w:val="0"/>
                <w:numId w:val="15"/>
              </w:numPr>
              <w:spacing w:after="0" w:line="360" w:lineRule="auto"/>
              <w:rPr>
                <w:rFonts w:cs="Arial"/>
                <w:bCs/>
                <w:lang w:eastAsia="en-GB"/>
              </w:rPr>
            </w:pPr>
            <w:r w:rsidRPr="00E413F0">
              <w:rPr>
                <w:b/>
                <w:bCs/>
              </w:rPr>
              <w:t>Reflection On learning (1200 words)</w:t>
            </w:r>
            <w:r w:rsidR="00D04D85">
              <w:rPr>
                <w:b/>
                <w:bCs/>
              </w:rPr>
              <w:t xml:space="preserve"> </w:t>
            </w:r>
          </w:p>
          <w:p w14:paraId="4B9C89E2" w14:textId="77777777" w:rsidR="00165770" w:rsidRPr="00165770" w:rsidRDefault="00CE10CB" w:rsidP="00387BF0">
            <w:pPr>
              <w:pStyle w:val="ListParagraph"/>
              <w:numPr>
                <w:ilvl w:val="0"/>
                <w:numId w:val="16"/>
              </w:numPr>
              <w:spacing w:after="0" w:line="360" w:lineRule="auto"/>
              <w:rPr>
                <w:rFonts w:cs="Arial"/>
                <w:bCs/>
                <w:lang w:eastAsia="en-GB"/>
              </w:rPr>
            </w:pPr>
            <w:r w:rsidRPr="00C97FBB">
              <w:rPr>
                <w:u w:val="single"/>
              </w:rPr>
              <w:t>R</w:t>
            </w:r>
            <w:r w:rsidR="00E413F0" w:rsidRPr="00C97FBB">
              <w:rPr>
                <w:u w:val="single"/>
              </w:rPr>
              <w:t>eflective learning and its importance (150 words)</w:t>
            </w:r>
            <w:r w:rsidRPr="00C97FBB">
              <w:rPr>
                <w:u w:val="single"/>
              </w:rPr>
              <w:t>:</w:t>
            </w:r>
            <w:r>
              <w:t xml:space="preserve"> </w:t>
            </w:r>
            <w:r w:rsidRPr="00CE10CB">
              <w:rPr>
                <w:rFonts w:cs="Arial"/>
                <w:color w:val="000000" w:themeColor="text1"/>
              </w:rPr>
              <w:t>In your own words d</w:t>
            </w:r>
            <w:r w:rsidRPr="00CE10CB">
              <w:rPr>
                <w:rFonts w:eastAsia="Calibri" w:cs="Arial"/>
                <w:color w:val="000000" w:themeColor="text1"/>
              </w:rPr>
              <w:t xml:space="preserve">etail what you have learnt </w:t>
            </w:r>
            <w:r>
              <w:rPr>
                <w:rFonts w:eastAsia="Calibri" w:cs="Arial"/>
                <w:color w:val="000000" w:themeColor="text1"/>
              </w:rPr>
              <w:t>about</w:t>
            </w:r>
            <w:r w:rsidRPr="00CE10CB">
              <w:rPr>
                <w:rFonts w:eastAsia="Calibri" w:cs="Arial"/>
                <w:color w:val="000000" w:themeColor="text1"/>
              </w:rPr>
              <w:t xml:space="preserve"> the topic.</w:t>
            </w:r>
            <w:r w:rsidRPr="00CE10CB">
              <w:rPr>
                <w:rFonts w:eastAsia="Calibri" w:cs="Arial"/>
                <w:b/>
                <w:bCs/>
                <w:color w:val="000000" w:themeColor="text1"/>
              </w:rPr>
              <w:t xml:space="preserve"> </w:t>
            </w:r>
            <w:r w:rsidRPr="00CE10CB">
              <w:rPr>
                <w:rFonts w:eastAsia="Calibri" w:cs="Arial"/>
                <w:color w:val="000000" w:themeColor="text1"/>
              </w:rPr>
              <w:t>Ensure that you cover as much subtopics as possible.</w:t>
            </w:r>
            <w:r w:rsidRPr="00CE10CB">
              <w:rPr>
                <w:rFonts w:eastAsia="Calibri" w:cs="Arial"/>
                <w:b/>
                <w:bCs/>
                <w:color w:val="000000" w:themeColor="text1"/>
              </w:rPr>
              <w:t xml:space="preserve"> </w:t>
            </w:r>
            <w:r w:rsidRPr="00CE10CB">
              <w:rPr>
                <w:rFonts w:eastAsia="Calibri" w:cs="Arial"/>
                <w:i/>
                <w:iCs/>
                <w:color w:val="000000" w:themeColor="text1"/>
              </w:rPr>
              <w:t>Cite and reference academic sources to support your work.</w:t>
            </w:r>
            <w:r>
              <w:rPr>
                <w:rFonts w:eastAsia="Calibri" w:cs="Arial"/>
                <w:i/>
                <w:iCs/>
                <w:color w:val="000000" w:themeColor="text1"/>
              </w:rPr>
              <w:t xml:space="preserve"> </w:t>
            </w:r>
          </w:p>
          <w:p w14:paraId="37EEB3FC" w14:textId="4FBDA13B" w:rsidR="004F474C" w:rsidRPr="00D14DAB" w:rsidRDefault="00E413F0" w:rsidP="00387BF0">
            <w:pPr>
              <w:pStyle w:val="ListParagraph"/>
              <w:numPr>
                <w:ilvl w:val="0"/>
                <w:numId w:val="16"/>
              </w:numPr>
              <w:spacing w:after="0" w:line="360" w:lineRule="auto"/>
              <w:rPr>
                <w:rFonts w:cs="Arial"/>
                <w:bCs/>
                <w:lang w:eastAsia="en-GB"/>
              </w:rPr>
            </w:pPr>
            <w:r w:rsidRPr="00C97FBB">
              <w:rPr>
                <w:u w:val="single"/>
              </w:rPr>
              <w:t>Description of a reflective model (450 words)</w:t>
            </w:r>
            <w:r w:rsidR="00165770" w:rsidRPr="00C97FBB">
              <w:rPr>
                <w:u w:val="single"/>
              </w:rPr>
              <w:t>:</w:t>
            </w:r>
            <w:r w:rsidR="00165770">
              <w:t xml:space="preserve"> Choose a model for reflection</w:t>
            </w:r>
            <w:r w:rsidR="009D053A">
              <w:t xml:space="preserve">- </w:t>
            </w:r>
            <w:r w:rsidR="00165770" w:rsidRPr="003A56E0">
              <w:t>Kolb’s</w:t>
            </w:r>
            <w:r w:rsidR="009D053A">
              <w:t xml:space="preserve"> or </w:t>
            </w:r>
            <w:r w:rsidR="00165770" w:rsidRPr="003A56E0">
              <w:t>Gibbs</w:t>
            </w:r>
            <w:r w:rsidR="009D053A">
              <w:t xml:space="preserve"> and explain the different stages of the model. Look back at your learning in Module-1 and </w:t>
            </w:r>
            <w:r w:rsidR="003E23A6">
              <w:t xml:space="preserve">demonstrate how applying </w:t>
            </w:r>
            <w:r w:rsidR="003A1A38">
              <w:t xml:space="preserve">your chosen </w:t>
            </w:r>
            <w:r w:rsidR="003E23A6">
              <w:t>model would help you to</w:t>
            </w:r>
            <w:r w:rsidR="003A1A38">
              <w:t xml:space="preserve"> reflect and</w:t>
            </w:r>
            <w:r w:rsidR="003E23A6">
              <w:t xml:space="preserve"> </w:t>
            </w:r>
            <w:r w:rsidR="00930E37">
              <w:t>improve your learning in the current as well as future modules.</w:t>
            </w:r>
          </w:p>
          <w:p w14:paraId="38DF30D2" w14:textId="23344C6C" w:rsidR="00D14DAB" w:rsidRPr="004F474C" w:rsidRDefault="00D14DAB" w:rsidP="00D14DAB">
            <w:pPr>
              <w:pStyle w:val="ListParagraph"/>
              <w:numPr>
                <w:ilvl w:val="0"/>
                <w:numId w:val="0"/>
              </w:numPr>
              <w:spacing w:after="0" w:line="360" w:lineRule="auto"/>
              <w:ind w:left="1077"/>
              <w:rPr>
                <w:rFonts w:cs="Arial"/>
                <w:bCs/>
                <w:lang w:eastAsia="en-GB"/>
              </w:rPr>
            </w:pPr>
            <w:r w:rsidRPr="00371C3B">
              <w:rPr>
                <w:rFonts w:eastAsia="Calibri" w:cs="Arial"/>
                <w:i/>
                <w:iCs/>
                <w:color w:val="000000" w:themeColor="text1"/>
                <w:sz w:val="20"/>
                <w:szCs w:val="20"/>
              </w:rPr>
              <w:t>For example,</w:t>
            </w:r>
            <w:r w:rsidRPr="00387BF0">
              <w:rPr>
                <w:rFonts w:eastAsia="Calibri" w:cs="Arial"/>
                <w:b/>
                <w:bCs/>
                <w:color w:val="000000" w:themeColor="text1"/>
              </w:rPr>
              <w:t xml:space="preserve"> </w:t>
            </w:r>
            <w:r w:rsidRPr="00D14DAB">
              <w:rPr>
                <w:rFonts w:eastAsia="Calibri" w:cs="Arial"/>
                <w:i/>
                <w:iCs/>
                <w:color w:val="000000" w:themeColor="text1"/>
                <w:sz w:val="20"/>
                <w:szCs w:val="20"/>
              </w:rPr>
              <w:t xml:space="preserve">after learning about the importance of reflection </w:t>
            </w:r>
            <w:r>
              <w:rPr>
                <w:rFonts w:eastAsia="Calibri" w:cs="Arial"/>
                <w:i/>
                <w:iCs/>
                <w:color w:val="000000" w:themeColor="text1"/>
                <w:sz w:val="20"/>
                <w:szCs w:val="20"/>
              </w:rPr>
              <w:t>to improve my learning, I have applied Gibbs/Kolb’s model of reflection to analyse my learning experience from module 1. A step-by-step evaluation of my learning has provided me with greater insights</w:t>
            </w:r>
            <w:r w:rsidR="005F4A62">
              <w:rPr>
                <w:rFonts w:eastAsia="Calibri" w:cs="Arial"/>
                <w:i/>
                <w:iCs/>
                <w:color w:val="000000" w:themeColor="text1"/>
                <w:sz w:val="20"/>
                <w:szCs w:val="20"/>
              </w:rPr>
              <w:t xml:space="preserve"> into ways</w:t>
            </w:r>
            <w:r>
              <w:rPr>
                <w:rFonts w:cs="Arial"/>
                <w:i/>
                <w:iCs/>
                <w:sz w:val="20"/>
                <w:szCs w:val="20"/>
              </w:rPr>
              <w:t xml:space="preserve"> I can improve my learning </w:t>
            </w:r>
            <w:r w:rsidR="005F4A62">
              <w:rPr>
                <w:rFonts w:cs="Arial"/>
                <w:i/>
                <w:iCs/>
                <w:sz w:val="20"/>
                <w:szCs w:val="20"/>
              </w:rPr>
              <w:t xml:space="preserve">in the future. </w:t>
            </w:r>
          </w:p>
          <w:p w14:paraId="50CB4483" w14:textId="5BC86080" w:rsidR="007510BC" w:rsidRPr="007F7C5D" w:rsidRDefault="00713A2B" w:rsidP="00387BF0">
            <w:pPr>
              <w:pStyle w:val="ListParagraph"/>
              <w:numPr>
                <w:ilvl w:val="0"/>
                <w:numId w:val="16"/>
              </w:numPr>
              <w:spacing w:after="0" w:line="360" w:lineRule="auto"/>
              <w:rPr>
                <w:rFonts w:cs="Arial"/>
                <w:bCs/>
                <w:lang w:eastAsia="en-GB"/>
              </w:rPr>
            </w:pPr>
            <w:r w:rsidRPr="00C97FBB">
              <w:rPr>
                <w:u w:val="single"/>
              </w:rPr>
              <w:t xml:space="preserve">Using </w:t>
            </w:r>
            <w:r w:rsidR="004F474C" w:rsidRPr="00C97FBB">
              <w:rPr>
                <w:u w:val="single"/>
              </w:rPr>
              <w:t xml:space="preserve">reflective approach to feedback and feed-forward </w:t>
            </w:r>
            <w:r w:rsidRPr="00C97FBB">
              <w:rPr>
                <w:u w:val="single"/>
              </w:rPr>
              <w:t xml:space="preserve">to </w:t>
            </w:r>
            <w:r w:rsidR="004F474C" w:rsidRPr="00C97FBB">
              <w:rPr>
                <w:u w:val="single"/>
              </w:rPr>
              <w:t>inform and improve future formative and summative assessments</w:t>
            </w:r>
            <w:r w:rsidR="00C97FBB">
              <w:rPr>
                <w:u w:val="single"/>
              </w:rPr>
              <w:t xml:space="preserve"> </w:t>
            </w:r>
            <w:r w:rsidR="00C97FBB" w:rsidRPr="00C97FBB">
              <w:rPr>
                <w:u w:val="single"/>
              </w:rPr>
              <w:t>(450 words)</w:t>
            </w:r>
            <w:r w:rsidR="004F474C" w:rsidRPr="00C97FBB">
              <w:rPr>
                <w:u w:val="single"/>
              </w:rPr>
              <w:t>:</w:t>
            </w:r>
            <w:r w:rsidR="004F474C" w:rsidRPr="00C97FBB">
              <w:t xml:space="preserve"> </w:t>
            </w:r>
            <w:r w:rsidR="00E413F0">
              <w:t>Defin</w:t>
            </w:r>
            <w:r w:rsidR="004F474C">
              <w:t xml:space="preserve">e </w:t>
            </w:r>
            <w:r w:rsidR="00E413F0">
              <w:t xml:space="preserve">formative and summative works with citations. </w:t>
            </w:r>
            <w:r w:rsidR="00A178E8">
              <w:t xml:space="preserve">Provide examples from your learning in Module-1. </w:t>
            </w:r>
            <w:r w:rsidR="00C97FBB">
              <w:t xml:space="preserve">Look at your summative </w:t>
            </w:r>
            <w:r w:rsidR="0086572E">
              <w:t>feedback on Moodle for Module-1 and d</w:t>
            </w:r>
            <w:r w:rsidR="00E413F0">
              <w:t>emonstrate how</w:t>
            </w:r>
            <w:r w:rsidR="00E413F0" w:rsidRPr="003A56E0">
              <w:t xml:space="preserve"> a reflective approach to your summative evaluated work</w:t>
            </w:r>
            <w:r w:rsidR="003A0290">
              <w:t xml:space="preserve"> could</w:t>
            </w:r>
            <w:r w:rsidR="00E413F0" w:rsidRPr="003A56E0">
              <w:t xml:space="preserve"> enable</w:t>
            </w:r>
            <w:r w:rsidR="003A0290">
              <w:t xml:space="preserve"> </w:t>
            </w:r>
            <w:r w:rsidR="00E413F0" w:rsidRPr="003A56E0">
              <w:t xml:space="preserve">you to feedforward and improve your work in the upcoming modules. </w:t>
            </w:r>
          </w:p>
          <w:p w14:paraId="312B0590" w14:textId="58A1BC32" w:rsidR="007F7C5D" w:rsidRPr="007510BC" w:rsidRDefault="00D14DAB" w:rsidP="00D14DAB">
            <w:pPr>
              <w:pStyle w:val="ListParagraph"/>
              <w:numPr>
                <w:ilvl w:val="0"/>
                <w:numId w:val="0"/>
              </w:numPr>
              <w:spacing w:after="0" w:line="360" w:lineRule="auto"/>
              <w:ind w:left="1077"/>
              <w:jc w:val="both"/>
              <w:rPr>
                <w:rFonts w:cs="Arial"/>
                <w:bCs/>
                <w:lang w:eastAsia="en-GB"/>
              </w:rPr>
            </w:pPr>
            <w:r>
              <w:rPr>
                <w:rFonts w:eastAsia="Calibri" w:cs="Arial"/>
                <w:i/>
                <w:iCs/>
                <w:color w:val="000000" w:themeColor="text1"/>
                <w:sz w:val="20"/>
                <w:szCs w:val="20"/>
              </w:rPr>
              <w:t xml:space="preserve"> </w:t>
            </w:r>
            <w:r w:rsidR="007F7C5D" w:rsidRPr="00371C3B">
              <w:rPr>
                <w:rFonts w:eastAsia="Calibri" w:cs="Arial"/>
                <w:i/>
                <w:iCs/>
                <w:color w:val="000000" w:themeColor="text1"/>
                <w:sz w:val="20"/>
                <w:szCs w:val="20"/>
              </w:rPr>
              <w:t>For example,</w:t>
            </w:r>
            <w:r w:rsidR="007F7C5D" w:rsidRPr="00387BF0">
              <w:rPr>
                <w:rFonts w:eastAsia="Calibri" w:cs="Arial"/>
                <w:b/>
                <w:bCs/>
                <w:color w:val="000000" w:themeColor="text1"/>
              </w:rPr>
              <w:t xml:space="preserve"> </w:t>
            </w:r>
            <w:r w:rsidR="007F7C5D" w:rsidRPr="007F7C5D">
              <w:rPr>
                <w:rFonts w:eastAsia="Calibri" w:cs="Arial"/>
                <w:i/>
                <w:iCs/>
                <w:color w:val="000000" w:themeColor="text1"/>
                <w:sz w:val="20"/>
                <w:szCs w:val="20"/>
              </w:rPr>
              <w:t>looking at my summative essay feedback from Module-1,</w:t>
            </w:r>
            <w:r w:rsidR="007F7C5D" w:rsidRPr="00387BF0">
              <w:rPr>
                <w:rFonts w:cs="Arial"/>
                <w:i/>
                <w:iCs/>
                <w:sz w:val="20"/>
                <w:szCs w:val="20"/>
              </w:rPr>
              <w:t xml:space="preserve"> I have come to understand </w:t>
            </w:r>
            <w:r w:rsidR="007F7C5D">
              <w:rPr>
                <w:rFonts w:cs="Arial"/>
                <w:i/>
                <w:iCs/>
                <w:sz w:val="20"/>
                <w:szCs w:val="20"/>
              </w:rPr>
              <w:t xml:space="preserve">how I can improve my work in the current module. In my feedback I was advised to improve my referencing skills and follow the CCCU Harvard referencing style. I will feedforward this in writing my E-portfolio and ensure that I cite the references correctly in Module-2. </w:t>
            </w:r>
          </w:p>
          <w:p w14:paraId="4651BCFB" w14:textId="3F003B81" w:rsidR="00E413F0" w:rsidRPr="007510BC" w:rsidRDefault="00E413F0" w:rsidP="00387BF0">
            <w:pPr>
              <w:pStyle w:val="ListParagraph"/>
              <w:numPr>
                <w:ilvl w:val="0"/>
                <w:numId w:val="16"/>
              </w:numPr>
              <w:spacing w:after="0" w:line="360" w:lineRule="auto"/>
              <w:rPr>
                <w:rFonts w:cs="Arial"/>
                <w:bCs/>
                <w:lang w:eastAsia="en-GB"/>
              </w:rPr>
            </w:pPr>
            <w:r w:rsidRPr="00267316">
              <w:rPr>
                <w:u w:val="single"/>
              </w:rPr>
              <w:t>Rounding up</w:t>
            </w:r>
            <w:r w:rsidR="00267316" w:rsidRPr="00267316">
              <w:rPr>
                <w:u w:val="single"/>
              </w:rPr>
              <w:t xml:space="preserve"> (150 words):</w:t>
            </w:r>
            <w:r w:rsidRPr="00267316">
              <w:t xml:space="preserve"> </w:t>
            </w:r>
            <w:r w:rsidR="00267316">
              <w:t xml:space="preserve">Conclude your </w:t>
            </w:r>
            <w:r w:rsidR="007776FD" w:rsidRPr="007776FD">
              <w:rPr>
                <w:b/>
                <w:bCs/>
                <w:i/>
                <w:iCs/>
              </w:rPr>
              <w:t>Document-A: Reflection On learning</w:t>
            </w:r>
            <w:r w:rsidR="007776FD" w:rsidRPr="001A1239">
              <w:t xml:space="preserve"> </w:t>
            </w:r>
            <w:r w:rsidRPr="001A1239">
              <w:t>by</w:t>
            </w:r>
            <w:r>
              <w:t xml:space="preserve"> </w:t>
            </w:r>
            <w:r w:rsidRPr="001A1239">
              <w:t>briefly restat</w:t>
            </w:r>
            <w:r>
              <w:t>ing</w:t>
            </w:r>
            <w:r w:rsidRPr="001A1239">
              <w:t xml:space="preserve"> your main points, in addition to your final thought or reflection on the significance of the topic.</w:t>
            </w:r>
            <w:r>
              <w:t xml:space="preserve"> </w:t>
            </w:r>
          </w:p>
          <w:p w14:paraId="38060612" w14:textId="77777777" w:rsidR="007510BC" w:rsidRPr="007776FD" w:rsidRDefault="007510BC" w:rsidP="007776FD">
            <w:pPr>
              <w:spacing w:line="360" w:lineRule="auto"/>
              <w:jc w:val="both"/>
              <w:rPr>
                <w:rFonts w:cs="Arial"/>
                <w:bCs/>
                <w:lang w:eastAsia="en-GB"/>
              </w:rPr>
            </w:pPr>
          </w:p>
          <w:p w14:paraId="46D11757" w14:textId="6C5DED29" w:rsidR="007510BC" w:rsidRDefault="007510BC" w:rsidP="00387BF0">
            <w:pPr>
              <w:pStyle w:val="ListParagraph"/>
              <w:numPr>
                <w:ilvl w:val="0"/>
                <w:numId w:val="15"/>
              </w:numPr>
              <w:spacing w:after="0" w:line="360" w:lineRule="auto"/>
              <w:jc w:val="both"/>
              <w:rPr>
                <w:rFonts w:cs="Arial"/>
                <w:b/>
                <w:lang w:eastAsia="en-GB"/>
              </w:rPr>
            </w:pPr>
            <w:r w:rsidRPr="007510BC">
              <w:rPr>
                <w:rFonts w:cs="Arial"/>
                <w:b/>
                <w:lang w:eastAsia="en-GB"/>
              </w:rPr>
              <w:t xml:space="preserve">Reflection on the cultural and behavioural expectations of studying for a degree in </w:t>
            </w:r>
            <w:r w:rsidR="004B0136">
              <w:rPr>
                <w:rFonts w:cs="Arial"/>
                <w:b/>
                <w:lang w:eastAsia="en-GB"/>
              </w:rPr>
              <w:t>Business</w:t>
            </w:r>
            <w:r w:rsidR="00BD5CA3">
              <w:rPr>
                <w:rFonts w:cs="Arial"/>
                <w:b/>
                <w:lang w:eastAsia="en-GB"/>
              </w:rPr>
              <w:t xml:space="preserve"> and </w:t>
            </w:r>
            <w:r w:rsidR="004B0136">
              <w:rPr>
                <w:rFonts w:cs="Arial"/>
                <w:b/>
                <w:lang w:eastAsia="en-GB"/>
              </w:rPr>
              <w:t>Tourism</w:t>
            </w:r>
            <w:r w:rsidR="00BD5CA3">
              <w:rPr>
                <w:rFonts w:cs="Arial"/>
                <w:b/>
                <w:lang w:eastAsia="en-GB"/>
              </w:rPr>
              <w:t xml:space="preserve"> </w:t>
            </w:r>
            <w:r w:rsidR="004B0136">
              <w:rPr>
                <w:rFonts w:cs="Arial"/>
                <w:b/>
                <w:lang w:eastAsia="en-GB"/>
              </w:rPr>
              <w:t>M</w:t>
            </w:r>
            <w:r w:rsidRPr="007510BC">
              <w:rPr>
                <w:rFonts w:cs="Arial"/>
                <w:b/>
                <w:lang w:eastAsia="en-GB"/>
              </w:rPr>
              <w:t>anagement. (700 words)</w:t>
            </w:r>
          </w:p>
          <w:p w14:paraId="1D628583" w14:textId="77777777" w:rsidR="00387BF0" w:rsidRDefault="00387BF0" w:rsidP="00387BF0">
            <w:pPr>
              <w:pStyle w:val="ListParagraph"/>
              <w:numPr>
                <w:ilvl w:val="0"/>
                <w:numId w:val="0"/>
              </w:numPr>
              <w:spacing w:after="0" w:line="360" w:lineRule="auto"/>
              <w:ind w:left="717"/>
              <w:jc w:val="both"/>
              <w:rPr>
                <w:rFonts w:cs="Arial"/>
                <w:b/>
                <w:lang w:eastAsia="en-GB"/>
              </w:rPr>
            </w:pPr>
          </w:p>
          <w:p w14:paraId="15ECB20F" w14:textId="4DBF7E02" w:rsidR="00371C3B" w:rsidRPr="00371C3B" w:rsidRDefault="005851CD" w:rsidP="00387BF0">
            <w:pPr>
              <w:pStyle w:val="ListParagraph"/>
              <w:numPr>
                <w:ilvl w:val="0"/>
                <w:numId w:val="17"/>
              </w:numPr>
              <w:spacing w:after="0" w:line="360" w:lineRule="auto"/>
              <w:jc w:val="both"/>
              <w:rPr>
                <w:rFonts w:cs="Arial"/>
                <w:b/>
                <w:lang w:eastAsia="en-GB"/>
              </w:rPr>
            </w:pPr>
            <w:r w:rsidRPr="007776FD">
              <w:rPr>
                <w:rFonts w:eastAsia="Calibri" w:cs="Arial"/>
                <w:color w:val="000000" w:themeColor="text1"/>
                <w:u w:val="single"/>
              </w:rPr>
              <w:t>Reflection of Learning</w:t>
            </w:r>
            <w:r w:rsidR="00371C3B">
              <w:rPr>
                <w:rFonts w:eastAsia="Calibri" w:cs="Arial"/>
                <w:color w:val="000000" w:themeColor="text1"/>
                <w:u w:val="single"/>
              </w:rPr>
              <w:t xml:space="preserve"> (400 words)</w:t>
            </w:r>
            <w:r w:rsidRPr="007776FD">
              <w:rPr>
                <w:rFonts w:eastAsia="Calibri" w:cs="Arial"/>
                <w:color w:val="000000" w:themeColor="text1"/>
                <w:u w:val="single"/>
              </w:rPr>
              <w:t>:</w:t>
            </w:r>
            <w:r w:rsidRPr="00387BF0">
              <w:rPr>
                <w:rFonts w:eastAsia="Calibri" w:cs="Arial"/>
                <w:b/>
                <w:bCs/>
                <w:color w:val="000000" w:themeColor="text1"/>
              </w:rPr>
              <w:t xml:space="preserve"> </w:t>
            </w:r>
            <w:r w:rsidR="007776FD" w:rsidRPr="00387BF0">
              <w:rPr>
                <w:rFonts w:cs="Arial"/>
                <w:color w:val="000000" w:themeColor="text1"/>
              </w:rPr>
              <w:t>In your own words d</w:t>
            </w:r>
            <w:r w:rsidR="007776FD" w:rsidRPr="00387BF0">
              <w:rPr>
                <w:rFonts w:eastAsia="Calibri" w:cs="Arial"/>
                <w:color w:val="000000" w:themeColor="text1"/>
              </w:rPr>
              <w:t>etail what you have learnt</w:t>
            </w:r>
            <w:r w:rsidR="007776FD" w:rsidRPr="00387BF0">
              <w:rPr>
                <w:rFonts w:cs="Arial"/>
                <w:color w:val="000000" w:themeColor="text1"/>
              </w:rPr>
              <w:t xml:space="preserve"> </w:t>
            </w:r>
            <w:r w:rsidR="00371C3B">
              <w:rPr>
                <w:rFonts w:cs="Arial"/>
                <w:color w:val="000000" w:themeColor="text1"/>
              </w:rPr>
              <w:t xml:space="preserve">about the </w:t>
            </w:r>
            <w:r w:rsidR="007776FD" w:rsidRPr="00437C3C">
              <w:rPr>
                <w:rFonts w:eastAsia="Calibri" w:cs="Arial"/>
              </w:rPr>
              <w:t xml:space="preserve">cultural and behavioural expectations of studying for a degree in </w:t>
            </w:r>
            <w:r w:rsidR="008E17AA">
              <w:rPr>
                <w:rFonts w:eastAsia="Calibri" w:cs="Arial"/>
              </w:rPr>
              <w:t>Business</w:t>
            </w:r>
            <w:r w:rsidR="007776FD" w:rsidRPr="00437C3C">
              <w:rPr>
                <w:rFonts w:eastAsia="Calibri" w:cs="Arial"/>
              </w:rPr>
              <w:t xml:space="preserve"> and </w:t>
            </w:r>
            <w:r w:rsidR="008E17AA">
              <w:rPr>
                <w:rFonts w:eastAsia="Calibri" w:cs="Arial"/>
              </w:rPr>
              <w:t>Tourism</w:t>
            </w:r>
            <w:r w:rsidR="00BD5CA3">
              <w:rPr>
                <w:rFonts w:eastAsia="Calibri" w:cs="Arial"/>
              </w:rPr>
              <w:t xml:space="preserve"> </w:t>
            </w:r>
            <w:r w:rsidR="008E17AA">
              <w:rPr>
                <w:rFonts w:eastAsia="Calibri" w:cs="Arial"/>
              </w:rPr>
              <w:t>M</w:t>
            </w:r>
            <w:r w:rsidR="007776FD" w:rsidRPr="00437C3C">
              <w:rPr>
                <w:rFonts w:eastAsia="Calibri" w:cs="Arial"/>
              </w:rPr>
              <w:t xml:space="preserve">anagement from the </w:t>
            </w:r>
            <w:r w:rsidR="007776FD">
              <w:rPr>
                <w:rFonts w:eastAsia="Calibri" w:cs="Arial"/>
              </w:rPr>
              <w:t xml:space="preserve">current </w:t>
            </w:r>
            <w:r w:rsidR="007776FD" w:rsidRPr="00437C3C">
              <w:rPr>
                <w:rFonts w:eastAsia="Calibri" w:cs="Arial"/>
              </w:rPr>
              <w:t>module</w:t>
            </w:r>
            <w:r w:rsidRPr="00387BF0">
              <w:rPr>
                <w:rFonts w:eastAsia="Calibri" w:cs="Arial"/>
                <w:color w:val="000000" w:themeColor="text1"/>
              </w:rPr>
              <w:t>.</w:t>
            </w:r>
            <w:r w:rsidRPr="00387BF0">
              <w:rPr>
                <w:rFonts w:eastAsia="Calibri" w:cs="Arial"/>
                <w:b/>
                <w:bCs/>
                <w:color w:val="000000" w:themeColor="text1"/>
              </w:rPr>
              <w:t xml:space="preserve"> </w:t>
            </w:r>
            <w:r w:rsidRPr="00387BF0">
              <w:rPr>
                <w:rFonts w:eastAsia="Calibri" w:cs="Arial"/>
                <w:color w:val="000000" w:themeColor="text1"/>
              </w:rPr>
              <w:t>Ensure that you cover as much subtopics as possible.</w:t>
            </w:r>
            <w:r w:rsidRPr="00387BF0">
              <w:rPr>
                <w:rFonts w:eastAsia="Calibri" w:cs="Arial"/>
                <w:b/>
                <w:bCs/>
                <w:color w:val="000000" w:themeColor="text1"/>
              </w:rPr>
              <w:t xml:space="preserve"> </w:t>
            </w:r>
            <w:r w:rsidRPr="00371C3B">
              <w:rPr>
                <w:rFonts w:eastAsia="Calibri" w:cs="Arial"/>
                <w:color w:val="000000" w:themeColor="text1"/>
              </w:rPr>
              <w:t>Cite and reference academic sources to support your work</w:t>
            </w:r>
            <w:r w:rsidR="007343CF" w:rsidRPr="00371C3B">
              <w:rPr>
                <w:rFonts w:eastAsia="Calibri" w:cs="Arial"/>
                <w:b/>
                <w:bCs/>
                <w:color w:val="000000" w:themeColor="text1"/>
              </w:rPr>
              <w:t>.</w:t>
            </w:r>
            <w:r w:rsidR="007343CF" w:rsidRPr="00387BF0">
              <w:rPr>
                <w:rFonts w:eastAsia="Calibri" w:cs="Arial"/>
                <w:b/>
                <w:bCs/>
                <w:color w:val="000000" w:themeColor="text1"/>
              </w:rPr>
              <w:t xml:space="preserve"> </w:t>
            </w:r>
          </w:p>
          <w:p w14:paraId="02842EA9" w14:textId="376A0392" w:rsidR="005851CD" w:rsidRPr="00387BF0" w:rsidRDefault="007343CF" w:rsidP="00371C3B">
            <w:pPr>
              <w:pStyle w:val="ListParagraph"/>
              <w:numPr>
                <w:ilvl w:val="0"/>
                <w:numId w:val="0"/>
              </w:numPr>
              <w:spacing w:after="0" w:line="360" w:lineRule="auto"/>
              <w:ind w:left="717"/>
              <w:jc w:val="both"/>
              <w:rPr>
                <w:rFonts w:cs="Arial"/>
                <w:b/>
                <w:lang w:eastAsia="en-GB"/>
              </w:rPr>
            </w:pPr>
            <w:r w:rsidRPr="00371C3B">
              <w:rPr>
                <w:rFonts w:eastAsia="Calibri" w:cs="Arial"/>
                <w:i/>
                <w:iCs/>
                <w:color w:val="000000" w:themeColor="text1"/>
                <w:sz w:val="20"/>
                <w:szCs w:val="20"/>
              </w:rPr>
              <w:t>For example,</w:t>
            </w:r>
            <w:r w:rsidRPr="00387BF0">
              <w:rPr>
                <w:rFonts w:eastAsia="Calibri" w:cs="Arial"/>
                <w:b/>
                <w:bCs/>
                <w:color w:val="000000" w:themeColor="text1"/>
              </w:rPr>
              <w:t xml:space="preserve"> </w:t>
            </w:r>
            <w:r w:rsidR="001E374A" w:rsidRPr="00387BF0">
              <w:rPr>
                <w:rFonts w:eastAsia="Calibri" w:cs="Arial"/>
                <w:i/>
                <w:iCs/>
                <w:color w:val="000000" w:themeColor="text1"/>
                <w:sz w:val="20"/>
                <w:szCs w:val="20"/>
              </w:rPr>
              <w:t>After</w:t>
            </w:r>
            <w:r w:rsidR="00D54E36" w:rsidRPr="00387BF0">
              <w:rPr>
                <w:rFonts w:eastAsia="Calibri" w:cs="Arial"/>
                <w:i/>
                <w:iCs/>
                <w:sz w:val="20"/>
                <w:szCs w:val="20"/>
              </w:rPr>
              <w:t xml:space="preserve"> </w:t>
            </w:r>
            <w:r w:rsidR="006B4A9C" w:rsidRPr="00387BF0">
              <w:rPr>
                <w:rFonts w:eastAsia="Calibri" w:cs="Arial"/>
                <w:i/>
                <w:iCs/>
                <w:sz w:val="20"/>
                <w:szCs w:val="20"/>
              </w:rPr>
              <w:t>attending the lecture for</w:t>
            </w:r>
            <w:r w:rsidR="00D54E36" w:rsidRPr="00387BF0">
              <w:rPr>
                <w:rFonts w:eastAsia="Calibri" w:cs="Arial"/>
                <w:b/>
                <w:bCs/>
                <w:i/>
                <w:iCs/>
                <w:sz w:val="20"/>
                <w:szCs w:val="20"/>
              </w:rPr>
              <w:t xml:space="preserve"> </w:t>
            </w:r>
            <w:r w:rsidR="00D54E36" w:rsidRPr="00387BF0">
              <w:rPr>
                <w:rFonts w:cs="Arial"/>
                <w:i/>
                <w:iCs/>
                <w:sz w:val="20"/>
                <w:szCs w:val="20"/>
              </w:rPr>
              <w:t xml:space="preserve">behavioural expectations of studying for a degree in </w:t>
            </w:r>
            <w:r w:rsidR="004B0136">
              <w:rPr>
                <w:rFonts w:cs="Arial"/>
                <w:i/>
                <w:iCs/>
                <w:sz w:val="20"/>
                <w:szCs w:val="20"/>
              </w:rPr>
              <w:t>Business</w:t>
            </w:r>
            <w:r w:rsidR="00BD5CA3">
              <w:rPr>
                <w:rFonts w:cs="Arial"/>
                <w:i/>
                <w:iCs/>
                <w:sz w:val="20"/>
                <w:szCs w:val="20"/>
              </w:rPr>
              <w:t xml:space="preserve"> and </w:t>
            </w:r>
            <w:r w:rsidR="004B0136">
              <w:rPr>
                <w:rFonts w:cs="Arial"/>
                <w:i/>
                <w:iCs/>
                <w:sz w:val="20"/>
                <w:szCs w:val="20"/>
              </w:rPr>
              <w:t>Tourism</w:t>
            </w:r>
            <w:r w:rsidR="00D25376">
              <w:rPr>
                <w:rFonts w:cs="Arial"/>
                <w:i/>
                <w:iCs/>
                <w:sz w:val="20"/>
                <w:szCs w:val="20"/>
              </w:rPr>
              <w:t xml:space="preserve"> </w:t>
            </w:r>
            <w:r w:rsidR="004B0136">
              <w:rPr>
                <w:rFonts w:cs="Arial"/>
                <w:i/>
                <w:iCs/>
                <w:sz w:val="20"/>
                <w:szCs w:val="20"/>
              </w:rPr>
              <w:t>M</w:t>
            </w:r>
            <w:r w:rsidR="00D54E36" w:rsidRPr="00387BF0">
              <w:rPr>
                <w:rFonts w:cs="Arial"/>
                <w:i/>
                <w:iCs/>
                <w:sz w:val="20"/>
                <w:szCs w:val="20"/>
              </w:rPr>
              <w:t>anagement</w:t>
            </w:r>
            <w:r w:rsidR="00CA2AA6" w:rsidRPr="00387BF0">
              <w:rPr>
                <w:rFonts w:cs="Arial"/>
                <w:i/>
                <w:iCs/>
                <w:sz w:val="20"/>
                <w:szCs w:val="20"/>
              </w:rPr>
              <w:t>,</w:t>
            </w:r>
            <w:r w:rsidR="00D54E36" w:rsidRPr="00387BF0">
              <w:rPr>
                <w:rFonts w:cs="Arial"/>
                <w:i/>
                <w:iCs/>
                <w:sz w:val="20"/>
                <w:szCs w:val="20"/>
              </w:rPr>
              <w:t xml:space="preserve"> </w:t>
            </w:r>
            <w:r w:rsidRPr="00387BF0">
              <w:rPr>
                <w:rFonts w:cs="Arial"/>
                <w:i/>
                <w:iCs/>
                <w:sz w:val="20"/>
                <w:szCs w:val="20"/>
              </w:rPr>
              <w:t xml:space="preserve">I have come to understand what culture is and how it influences students’ behaviour </w:t>
            </w:r>
            <w:r w:rsidR="00CA2AA6" w:rsidRPr="00387BF0">
              <w:rPr>
                <w:rFonts w:cs="Arial"/>
                <w:i/>
                <w:iCs/>
                <w:sz w:val="20"/>
                <w:szCs w:val="20"/>
              </w:rPr>
              <w:t>in class and at work</w:t>
            </w:r>
            <w:r w:rsidR="00EE22F4" w:rsidRPr="00387BF0">
              <w:rPr>
                <w:rFonts w:cs="Arial"/>
                <w:i/>
                <w:iCs/>
                <w:sz w:val="20"/>
                <w:szCs w:val="20"/>
              </w:rPr>
              <w:t xml:space="preserve"> </w:t>
            </w:r>
            <w:r w:rsidRPr="00387BF0">
              <w:rPr>
                <w:rFonts w:cs="Arial"/>
                <w:i/>
                <w:iCs/>
                <w:sz w:val="20"/>
                <w:szCs w:val="20"/>
              </w:rPr>
              <w:t>a</w:t>
            </w:r>
            <w:r w:rsidR="00EE22F4" w:rsidRPr="00387BF0">
              <w:rPr>
                <w:rFonts w:cs="Arial"/>
                <w:i/>
                <w:iCs/>
                <w:sz w:val="20"/>
                <w:szCs w:val="20"/>
              </w:rPr>
              <w:t>s well as</w:t>
            </w:r>
            <w:r w:rsidRPr="00387BF0">
              <w:rPr>
                <w:rFonts w:cs="Arial"/>
                <w:i/>
                <w:iCs/>
                <w:sz w:val="20"/>
                <w:szCs w:val="20"/>
              </w:rPr>
              <w:t xml:space="preserve"> the important of attendance, punctuality</w:t>
            </w:r>
            <w:r w:rsidR="00DA3DD7" w:rsidRPr="00387BF0">
              <w:rPr>
                <w:rFonts w:cs="Arial"/>
                <w:i/>
                <w:iCs/>
                <w:sz w:val="20"/>
                <w:szCs w:val="20"/>
              </w:rPr>
              <w:t xml:space="preserve">, time management skill, </w:t>
            </w:r>
            <w:r w:rsidR="00C30AD2" w:rsidRPr="00387BF0">
              <w:rPr>
                <w:rFonts w:cs="Arial"/>
                <w:i/>
                <w:iCs/>
                <w:sz w:val="20"/>
                <w:szCs w:val="20"/>
                <w:lang w:val="en-US"/>
              </w:rPr>
              <w:t>perseverance</w:t>
            </w:r>
            <w:r w:rsidR="003C6E0A" w:rsidRPr="00387BF0">
              <w:rPr>
                <w:rFonts w:cs="Arial"/>
                <w:i/>
                <w:iCs/>
                <w:sz w:val="20"/>
                <w:szCs w:val="20"/>
                <w:lang w:val="en-US"/>
              </w:rPr>
              <w:t>, being passionate about ones course</w:t>
            </w:r>
            <w:r w:rsidR="00EE22F4" w:rsidRPr="00387BF0">
              <w:rPr>
                <w:rFonts w:cs="Arial"/>
                <w:i/>
                <w:iCs/>
                <w:sz w:val="20"/>
                <w:szCs w:val="20"/>
                <w:lang w:val="en-US"/>
              </w:rPr>
              <w:t xml:space="preserve">, good academic writing skill, </w:t>
            </w:r>
            <w:r w:rsidR="00CB630A" w:rsidRPr="00387BF0">
              <w:rPr>
                <w:rFonts w:cs="Arial"/>
                <w:i/>
                <w:iCs/>
                <w:sz w:val="20"/>
                <w:szCs w:val="20"/>
                <w:lang w:val="en-US"/>
              </w:rPr>
              <w:t>ability to work in group…then explain the key points further with practical examples.</w:t>
            </w:r>
          </w:p>
          <w:p w14:paraId="36793997" w14:textId="77777777" w:rsidR="00371C3B" w:rsidRPr="00371C3B" w:rsidRDefault="005851CD" w:rsidP="00371C3B">
            <w:pPr>
              <w:pStyle w:val="ListParagraph"/>
              <w:numPr>
                <w:ilvl w:val="0"/>
                <w:numId w:val="17"/>
              </w:numPr>
              <w:spacing w:after="0" w:line="360" w:lineRule="auto"/>
              <w:jc w:val="both"/>
              <w:rPr>
                <w:rFonts w:eastAsia="Calibri" w:cs="Arial"/>
                <w:b/>
                <w:bCs/>
                <w:color w:val="000000" w:themeColor="text1"/>
              </w:rPr>
            </w:pPr>
            <w:r w:rsidRPr="00371C3B">
              <w:rPr>
                <w:rFonts w:eastAsia="Calibri" w:cs="Arial"/>
                <w:color w:val="000000" w:themeColor="text1"/>
                <w:u w:val="single"/>
              </w:rPr>
              <w:t>Future Implications</w:t>
            </w:r>
            <w:r w:rsidR="00371C3B" w:rsidRPr="00371C3B">
              <w:rPr>
                <w:rFonts w:eastAsia="Calibri" w:cs="Arial"/>
                <w:color w:val="000000" w:themeColor="text1"/>
                <w:u w:val="single"/>
              </w:rPr>
              <w:t xml:space="preserve"> (150 words)</w:t>
            </w:r>
            <w:r w:rsidRPr="00371C3B">
              <w:rPr>
                <w:rFonts w:eastAsia="Calibri" w:cs="Arial"/>
                <w:color w:val="000000" w:themeColor="text1"/>
                <w:u w:val="single"/>
              </w:rPr>
              <w:t>:</w:t>
            </w:r>
            <w:r w:rsidRPr="00371C3B">
              <w:rPr>
                <w:rFonts w:eastAsia="Calibri" w:cs="Arial"/>
                <w:b/>
                <w:bCs/>
                <w:color w:val="000000" w:themeColor="text1"/>
              </w:rPr>
              <w:t xml:space="preserve"> </w:t>
            </w:r>
            <w:r w:rsidRPr="00371C3B">
              <w:rPr>
                <w:rFonts w:cs="Arial"/>
                <w:color w:val="000000" w:themeColor="text1"/>
              </w:rPr>
              <w:t xml:space="preserve">How will you use what you have learnt from topic A in your future studies and work? </w:t>
            </w:r>
          </w:p>
          <w:p w14:paraId="4A6C19AD" w14:textId="1636AF4C" w:rsidR="00CB630A" w:rsidRPr="00371C3B" w:rsidRDefault="00AB7831" w:rsidP="00371C3B">
            <w:pPr>
              <w:pStyle w:val="ListParagraph"/>
              <w:numPr>
                <w:ilvl w:val="0"/>
                <w:numId w:val="0"/>
              </w:numPr>
              <w:spacing w:after="0" w:line="360" w:lineRule="auto"/>
              <w:ind w:left="717"/>
              <w:jc w:val="both"/>
              <w:rPr>
                <w:rFonts w:eastAsia="Calibri" w:cs="Arial"/>
                <w:b/>
                <w:bCs/>
                <w:color w:val="000000" w:themeColor="text1"/>
              </w:rPr>
            </w:pPr>
            <w:r w:rsidRPr="00371C3B">
              <w:rPr>
                <w:rFonts w:cs="Arial"/>
                <w:i/>
                <w:iCs/>
                <w:sz w:val="20"/>
                <w:szCs w:val="20"/>
              </w:rPr>
              <w:t>For example,</w:t>
            </w:r>
            <w:r w:rsidRPr="00371C3B">
              <w:rPr>
                <w:rFonts w:eastAsia="Calibri" w:cs="Arial"/>
                <w:color w:val="000000" w:themeColor="text1"/>
              </w:rPr>
              <w:t xml:space="preserve"> </w:t>
            </w:r>
            <w:r w:rsidRPr="00371C3B">
              <w:rPr>
                <w:rFonts w:cs="Arial"/>
                <w:i/>
                <w:iCs/>
                <w:sz w:val="20"/>
                <w:szCs w:val="20"/>
              </w:rPr>
              <w:t xml:space="preserve">‘I will practise what I have learnt in relation to the cultural and behavioural expectations of studying for a degree in </w:t>
            </w:r>
            <w:r w:rsidR="008E17AA">
              <w:rPr>
                <w:rFonts w:cs="Arial"/>
                <w:i/>
                <w:iCs/>
                <w:sz w:val="20"/>
                <w:szCs w:val="20"/>
              </w:rPr>
              <w:t>Business</w:t>
            </w:r>
            <w:r w:rsidR="00D25376">
              <w:rPr>
                <w:rFonts w:cs="Arial"/>
                <w:i/>
                <w:iCs/>
                <w:sz w:val="20"/>
                <w:szCs w:val="20"/>
              </w:rPr>
              <w:t xml:space="preserve"> and </w:t>
            </w:r>
            <w:r w:rsidR="008E17AA">
              <w:rPr>
                <w:rFonts w:cs="Arial"/>
                <w:i/>
                <w:iCs/>
                <w:sz w:val="20"/>
                <w:szCs w:val="20"/>
              </w:rPr>
              <w:t>Tourism</w:t>
            </w:r>
            <w:r w:rsidRPr="00371C3B">
              <w:rPr>
                <w:rFonts w:cs="Arial"/>
                <w:i/>
                <w:iCs/>
                <w:sz w:val="20"/>
                <w:szCs w:val="20"/>
              </w:rPr>
              <w:t xml:space="preserve"> management by ensuring I am punctual to </w:t>
            </w:r>
            <w:r w:rsidR="000F75E8" w:rsidRPr="00371C3B">
              <w:rPr>
                <w:rFonts w:cs="Arial"/>
                <w:i/>
                <w:iCs/>
                <w:sz w:val="20"/>
                <w:szCs w:val="20"/>
              </w:rPr>
              <w:t xml:space="preserve">my classes and work, </w:t>
            </w:r>
            <w:r w:rsidRPr="00371C3B">
              <w:rPr>
                <w:rFonts w:cs="Arial"/>
                <w:i/>
                <w:iCs/>
                <w:sz w:val="20"/>
                <w:szCs w:val="20"/>
              </w:rPr>
              <w:t>timel</w:t>
            </w:r>
            <w:r w:rsidR="000F75E8" w:rsidRPr="00371C3B">
              <w:rPr>
                <w:rFonts w:cs="Arial"/>
                <w:i/>
                <w:iCs/>
                <w:sz w:val="20"/>
                <w:szCs w:val="20"/>
              </w:rPr>
              <w:t xml:space="preserve">ines are met in terms of </w:t>
            </w:r>
            <w:r w:rsidR="00FD45A3" w:rsidRPr="00371C3B">
              <w:rPr>
                <w:rFonts w:cs="Arial"/>
                <w:i/>
                <w:iCs/>
                <w:sz w:val="20"/>
                <w:szCs w:val="20"/>
              </w:rPr>
              <w:t xml:space="preserve">assignments and work </w:t>
            </w:r>
            <w:r w:rsidR="00F5657C" w:rsidRPr="00371C3B">
              <w:rPr>
                <w:rFonts w:cs="Arial"/>
                <w:i/>
                <w:iCs/>
                <w:sz w:val="20"/>
                <w:szCs w:val="20"/>
              </w:rPr>
              <w:t>task and</w:t>
            </w:r>
            <w:r w:rsidRPr="00371C3B">
              <w:rPr>
                <w:rFonts w:cs="Arial"/>
                <w:i/>
                <w:iCs/>
                <w:sz w:val="20"/>
                <w:szCs w:val="20"/>
              </w:rPr>
              <w:t xml:space="preserve"> </w:t>
            </w:r>
            <w:r w:rsidR="00E36E76" w:rsidRPr="00371C3B">
              <w:rPr>
                <w:rFonts w:cs="Arial"/>
                <w:i/>
                <w:iCs/>
                <w:sz w:val="20"/>
                <w:szCs w:val="20"/>
              </w:rPr>
              <w:t>always maintaining professional courtesy to my colleagues and staff in at the university and work</w:t>
            </w:r>
            <w:r w:rsidR="005763A8" w:rsidRPr="00371C3B">
              <w:rPr>
                <w:rFonts w:cs="Arial"/>
                <w:i/>
                <w:iCs/>
                <w:sz w:val="20"/>
                <w:szCs w:val="20"/>
              </w:rPr>
              <w:t>, etc.</w:t>
            </w:r>
          </w:p>
          <w:p w14:paraId="305D1E01" w14:textId="77777777" w:rsidR="00387983" w:rsidRDefault="005851CD" w:rsidP="00371C3B">
            <w:pPr>
              <w:pStyle w:val="ListParagraph"/>
              <w:numPr>
                <w:ilvl w:val="0"/>
                <w:numId w:val="17"/>
              </w:numPr>
              <w:spacing w:after="0" w:line="360" w:lineRule="auto"/>
              <w:jc w:val="both"/>
              <w:rPr>
                <w:rFonts w:eastAsia="Calibri" w:cs="Arial"/>
                <w:b/>
                <w:bCs/>
                <w:color w:val="000000" w:themeColor="text1"/>
              </w:rPr>
            </w:pPr>
            <w:r w:rsidRPr="009A1B96">
              <w:rPr>
                <w:rFonts w:eastAsia="Calibri" w:cs="Arial"/>
                <w:color w:val="000000" w:themeColor="text1"/>
                <w:u w:val="single"/>
              </w:rPr>
              <w:t>Implementation</w:t>
            </w:r>
            <w:r w:rsidR="00371C3B" w:rsidRPr="009A1B96">
              <w:rPr>
                <w:rFonts w:eastAsia="Calibri" w:cs="Arial"/>
                <w:color w:val="000000" w:themeColor="text1"/>
                <w:u w:val="single"/>
              </w:rPr>
              <w:t xml:space="preserve"> (150 words)</w:t>
            </w:r>
            <w:r w:rsidRPr="005763A8">
              <w:rPr>
                <w:rFonts w:eastAsia="Calibri" w:cs="Arial"/>
                <w:b/>
                <w:bCs/>
                <w:color w:val="000000" w:themeColor="text1"/>
              </w:rPr>
              <w:t xml:space="preserve">: </w:t>
            </w:r>
            <w:r w:rsidRPr="005763A8">
              <w:rPr>
                <w:rFonts w:cs="Arial"/>
                <w:color w:val="000000" w:themeColor="text1"/>
              </w:rPr>
              <w:t xml:space="preserve">What resources or support do you need to achieve this? </w:t>
            </w:r>
            <w:r w:rsidR="00456078" w:rsidRPr="00456078">
              <w:rPr>
                <w:rFonts w:cs="Arial"/>
              </w:rPr>
              <w:t>What resources and/or support do you need to achieve this? Including plans that such as taking extras support from your tutor and academic support team, attending training sessions, individual development activities, etc. You must include target dates and timeframe for implementation</w:t>
            </w:r>
            <w:r w:rsidR="00A93558" w:rsidRPr="005763A8">
              <w:rPr>
                <w:rFonts w:eastAsia="Calibri" w:cs="Arial"/>
                <w:b/>
                <w:bCs/>
                <w:color w:val="000000" w:themeColor="text1"/>
              </w:rPr>
              <w:t xml:space="preserve">. </w:t>
            </w:r>
          </w:p>
          <w:p w14:paraId="5ACCBB90" w14:textId="6B6D70D9" w:rsidR="00F66CD0" w:rsidRDefault="00CB630A" w:rsidP="00387983">
            <w:pPr>
              <w:pStyle w:val="ListParagraph"/>
              <w:numPr>
                <w:ilvl w:val="0"/>
                <w:numId w:val="0"/>
              </w:numPr>
              <w:spacing w:after="0" w:line="360" w:lineRule="auto"/>
              <w:ind w:left="717"/>
              <w:jc w:val="both"/>
              <w:rPr>
                <w:rFonts w:cs="Arial"/>
                <w:i/>
                <w:iCs/>
                <w:sz w:val="20"/>
                <w:szCs w:val="20"/>
              </w:rPr>
            </w:pPr>
            <w:r w:rsidRPr="005763A8">
              <w:rPr>
                <w:rFonts w:eastAsia="Calibri" w:cs="Arial"/>
                <w:i/>
                <w:iCs/>
                <w:color w:val="000000" w:themeColor="text1"/>
              </w:rPr>
              <w:t>For example,</w:t>
            </w:r>
            <w:r w:rsidRPr="005763A8">
              <w:rPr>
                <w:rFonts w:eastAsia="Calibri" w:cs="Arial"/>
                <w:color w:val="000000" w:themeColor="text1"/>
              </w:rPr>
              <w:t xml:space="preserve"> </w:t>
            </w:r>
            <w:r w:rsidRPr="005763A8">
              <w:rPr>
                <w:rFonts w:cs="Arial"/>
                <w:i/>
                <w:iCs/>
                <w:sz w:val="20"/>
                <w:szCs w:val="20"/>
              </w:rPr>
              <w:t xml:space="preserve">‘I will need the Academic support team </w:t>
            </w:r>
            <w:r w:rsidR="00691A52" w:rsidRPr="005763A8">
              <w:rPr>
                <w:rFonts w:cs="Arial"/>
                <w:i/>
                <w:iCs/>
                <w:sz w:val="20"/>
                <w:szCs w:val="20"/>
              </w:rPr>
              <w:t xml:space="preserve">help </w:t>
            </w:r>
            <w:r w:rsidR="00282C2A" w:rsidRPr="005763A8">
              <w:rPr>
                <w:rFonts w:cs="Arial"/>
                <w:i/>
                <w:iCs/>
                <w:sz w:val="20"/>
                <w:szCs w:val="20"/>
              </w:rPr>
              <w:t xml:space="preserve">for my study and </w:t>
            </w:r>
            <w:r w:rsidR="00691A52" w:rsidRPr="005763A8">
              <w:rPr>
                <w:rFonts w:cs="Arial"/>
                <w:i/>
                <w:iCs/>
                <w:sz w:val="20"/>
                <w:szCs w:val="20"/>
              </w:rPr>
              <w:t>academic</w:t>
            </w:r>
            <w:r w:rsidR="00282C2A" w:rsidRPr="005763A8">
              <w:rPr>
                <w:rFonts w:cs="Arial"/>
                <w:i/>
                <w:iCs/>
                <w:sz w:val="20"/>
                <w:szCs w:val="20"/>
              </w:rPr>
              <w:t xml:space="preserve"> writing skills</w:t>
            </w:r>
            <w:r w:rsidR="0041128C" w:rsidRPr="005763A8">
              <w:rPr>
                <w:rFonts w:cs="Arial"/>
                <w:i/>
                <w:iCs/>
                <w:sz w:val="20"/>
                <w:szCs w:val="20"/>
              </w:rPr>
              <w:t xml:space="preserve">. I still need to work on my referencing and paraphrasing skill. </w:t>
            </w:r>
            <w:r w:rsidR="00553C24" w:rsidRPr="005763A8">
              <w:rPr>
                <w:rFonts w:cs="Arial"/>
                <w:i/>
                <w:iCs/>
                <w:sz w:val="20"/>
                <w:szCs w:val="20"/>
              </w:rPr>
              <w:t>Therefore,</w:t>
            </w:r>
            <w:r w:rsidR="0041128C" w:rsidRPr="005763A8">
              <w:rPr>
                <w:rFonts w:cs="Arial"/>
                <w:i/>
                <w:iCs/>
                <w:sz w:val="20"/>
                <w:szCs w:val="20"/>
              </w:rPr>
              <w:t xml:space="preserve"> I will need to book a weekly one to one support</w:t>
            </w:r>
            <w:r w:rsidR="00553C24" w:rsidRPr="005763A8">
              <w:rPr>
                <w:rFonts w:cs="Arial"/>
                <w:i/>
                <w:iCs/>
                <w:sz w:val="20"/>
                <w:szCs w:val="20"/>
              </w:rPr>
              <w:t xml:space="preserve"> with the team. I also need to create a home </w:t>
            </w:r>
            <w:r w:rsidR="00D81661" w:rsidRPr="005763A8">
              <w:rPr>
                <w:rFonts w:cs="Arial"/>
                <w:i/>
                <w:iCs/>
                <w:sz w:val="20"/>
                <w:szCs w:val="20"/>
              </w:rPr>
              <w:t>timetable</w:t>
            </w:r>
            <w:r w:rsidR="00553C24" w:rsidRPr="005763A8">
              <w:rPr>
                <w:rFonts w:cs="Arial"/>
                <w:i/>
                <w:iCs/>
                <w:sz w:val="20"/>
                <w:szCs w:val="20"/>
              </w:rPr>
              <w:t xml:space="preserve"> for myself by </w:t>
            </w:r>
            <w:r w:rsidR="00F56112">
              <w:rPr>
                <w:rFonts w:cs="Arial"/>
                <w:i/>
                <w:iCs/>
                <w:sz w:val="20"/>
                <w:szCs w:val="20"/>
              </w:rPr>
              <w:t xml:space="preserve">Saturday </w:t>
            </w:r>
            <w:r w:rsidR="00AB01CA">
              <w:rPr>
                <w:rFonts w:cs="Arial"/>
                <w:i/>
                <w:iCs/>
                <w:sz w:val="20"/>
                <w:szCs w:val="20"/>
              </w:rPr>
              <w:t>12</w:t>
            </w:r>
            <w:r w:rsidR="00AB01CA" w:rsidRPr="00AB01CA">
              <w:rPr>
                <w:rFonts w:cs="Arial"/>
                <w:i/>
                <w:iCs/>
                <w:sz w:val="20"/>
                <w:szCs w:val="20"/>
                <w:vertAlign w:val="superscript"/>
              </w:rPr>
              <w:t>th</w:t>
            </w:r>
            <w:r w:rsidR="00AB01CA">
              <w:rPr>
                <w:rFonts w:cs="Arial"/>
                <w:i/>
                <w:iCs/>
                <w:sz w:val="20"/>
                <w:szCs w:val="20"/>
              </w:rPr>
              <w:t xml:space="preserve"> </w:t>
            </w:r>
            <w:r w:rsidR="005605C0">
              <w:rPr>
                <w:rFonts w:cs="Arial"/>
                <w:i/>
                <w:iCs/>
                <w:sz w:val="20"/>
                <w:szCs w:val="20"/>
              </w:rPr>
              <w:t>November</w:t>
            </w:r>
            <w:r w:rsidR="00AB01CA">
              <w:rPr>
                <w:rFonts w:cs="Arial"/>
                <w:i/>
                <w:iCs/>
                <w:sz w:val="20"/>
                <w:szCs w:val="20"/>
              </w:rPr>
              <w:t xml:space="preserve"> 202</w:t>
            </w:r>
            <w:r w:rsidR="008E17AA">
              <w:rPr>
                <w:rFonts w:cs="Arial"/>
                <w:i/>
                <w:iCs/>
                <w:sz w:val="20"/>
                <w:szCs w:val="20"/>
              </w:rPr>
              <w:t>3</w:t>
            </w:r>
            <w:r w:rsidR="00CB1B16" w:rsidRPr="005763A8">
              <w:rPr>
                <w:rFonts w:cs="Arial"/>
                <w:i/>
                <w:iCs/>
                <w:sz w:val="20"/>
                <w:szCs w:val="20"/>
              </w:rPr>
              <w:t xml:space="preserve"> to enable me review what </w:t>
            </w:r>
            <w:r w:rsidR="009B2570" w:rsidRPr="005763A8">
              <w:rPr>
                <w:rFonts w:cs="Arial"/>
                <w:i/>
                <w:iCs/>
                <w:sz w:val="20"/>
                <w:szCs w:val="20"/>
              </w:rPr>
              <w:t>I was</w:t>
            </w:r>
            <w:r w:rsidR="00CB1B16" w:rsidRPr="005763A8">
              <w:rPr>
                <w:rFonts w:cs="Arial"/>
                <w:i/>
                <w:iCs/>
                <w:sz w:val="20"/>
                <w:szCs w:val="20"/>
              </w:rPr>
              <w:t xml:space="preserve"> taught in class as well as meet my assignments deadline</w:t>
            </w:r>
            <w:r w:rsidR="005763A8" w:rsidRPr="005763A8">
              <w:rPr>
                <w:rFonts w:cs="Arial"/>
                <w:i/>
                <w:iCs/>
                <w:sz w:val="20"/>
                <w:szCs w:val="20"/>
              </w:rPr>
              <w:t>, etc.</w:t>
            </w:r>
          </w:p>
          <w:p w14:paraId="75E49EB7" w14:textId="77777777" w:rsidR="00231E7B" w:rsidRPr="005763A8" w:rsidRDefault="00231E7B" w:rsidP="00387983">
            <w:pPr>
              <w:pStyle w:val="ListParagraph"/>
              <w:numPr>
                <w:ilvl w:val="0"/>
                <w:numId w:val="0"/>
              </w:numPr>
              <w:spacing w:after="0" w:line="360" w:lineRule="auto"/>
              <w:ind w:left="717"/>
              <w:jc w:val="both"/>
              <w:rPr>
                <w:rFonts w:eastAsia="Calibri" w:cs="Arial"/>
                <w:b/>
                <w:bCs/>
                <w:color w:val="000000" w:themeColor="text1"/>
              </w:rPr>
            </w:pPr>
          </w:p>
          <w:p w14:paraId="1B882C78" w14:textId="77777777" w:rsidR="00CB630A" w:rsidRPr="005763A8" w:rsidRDefault="00CB630A" w:rsidP="00025040">
            <w:pPr>
              <w:pStyle w:val="ListParagraph"/>
              <w:numPr>
                <w:ilvl w:val="0"/>
                <w:numId w:val="0"/>
              </w:numPr>
              <w:spacing w:after="0" w:line="360" w:lineRule="auto"/>
              <w:ind w:left="1352"/>
              <w:jc w:val="both"/>
              <w:rPr>
                <w:rFonts w:eastAsia="Calibri" w:cs="Arial"/>
                <w:b/>
                <w:bCs/>
                <w:color w:val="000000" w:themeColor="text1"/>
              </w:rPr>
            </w:pPr>
          </w:p>
          <w:p w14:paraId="5894A270" w14:textId="77777777" w:rsidR="00387983" w:rsidRDefault="003C0AB9" w:rsidP="00387983">
            <w:pPr>
              <w:pStyle w:val="ListParagraph"/>
              <w:numPr>
                <w:ilvl w:val="0"/>
                <w:numId w:val="15"/>
              </w:numPr>
              <w:spacing w:after="0" w:line="360" w:lineRule="auto"/>
              <w:jc w:val="both"/>
              <w:rPr>
                <w:rFonts w:cs="Arial"/>
                <w:b/>
                <w:bCs/>
                <w:color w:val="000000" w:themeColor="text1"/>
              </w:rPr>
            </w:pPr>
            <w:r w:rsidRPr="00387983">
              <w:rPr>
                <w:rFonts w:cs="Arial"/>
                <w:b/>
                <w:bCs/>
                <w:color w:val="000000" w:themeColor="text1"/>
              </w:rPr>
              <w:t>Explain t</w:t>
            </w:r>
            <w:r w:rsidRPr="00387983">
              <w:rPr>
                <w:rFonts w:eastAsia="Calibri" w:cs="Arial"/>
                <w:b/>
                <w:bCs/>
                <w:color w:val="000000" w:themeColor="text1"/>
              </w:rPr>
              <w:t>he importance of peer-to-peer support and team working to enhance learning experience</w:t>
            </w:r>
            <w:r w:rsidRPr="00387983">
              <w:rPr>
                <w:rFonts w:cs="Arial"/>
                <w:b/>
                <w:bCs/>
                <w:color w:val="000000" w:themeColor="text1"/>
              </w:rPr>
              <w:t>.</w:t>
            </w:r>
          </w:p>
          <w:p w14:paraId="73FF4737" w14:textId="1138445C" w:rsidR="00387983" w:rsidRPr="00A838B4" w:rsidRDefault="003C0AB9" w:rsidP="00A838B4">
            <w:pPr>
              <w:pStyle w:val="ListParagraph"/>
              <w:numPr>
                <w:ilvl w:val="0"/>
                <w:numId w:val="22"/>
              </w:numPr>
              <w:spacing w:after="0" w:line="360" w:lineRule="auto"/>
              <w:jc w:val="both"/>
              <w:rPr>
                <w:rFonts w:cs="Arial"/>
                <w:b/>
                <w:bCs/>
                <w:color w:val="000000" w:themeColor="text1"/>
              </w:rPr>
            </w:pPr>
            <w:r w:rsidRPr="00A838B4">
              <w:rPr>
                <w:rFonts w:eastAsia="Calibri" w:cs="Arial"/>
                <w:color w:val="000000" w:themeColor="text1"/>
                <w:u w:val="single"/>
              </w:rPr>
              <w:t>Reflection of Learning</w:t>
            </w:r>
            <w:r w:rsidR="00387983" w:rsidRPr="00A838B4">
              <w:rPr>
                <w:rFonts w:eastAsia="Calibri" w:cs="Arial"/>
                <w:color w:val="000000" w:themeColor="text1"/>
                <w:u w:val="single"/>
              </w:rPr>
              <w:t xml:space="preserve"> (400 words)</w:t>
            </w:r>
            <w:r w:rsidRPr="00A838B4">
              <w:rPr>
                <w:rFonts w:eastAsia="Calibri" w:cs="Arial"/>
                <w:color w:val="000000" w:themeColor="text1"/>
                <w:u w:val="single"/>
              </w:rPr>
              <w:t>:</w:t>
            </w:r>
            <w:r w:rsidRPr="00A838B4">
              <w:rPr>
                <w:rFonts w:eastAsia="Calibri" w:cs="Arial"/>
                <w:color w:val="000000" w:themeColor="text1"/>
              </w:rPr>
              <w:t xml:space="preserve"> </w:t>
            </w:r>
            <w:r w:rsidRPr="00A838B4">
              <w:rPr>
                <w:rFonts w:cs="Arial"/>
                <w:color w:val="000000" w:themeColor="text1"/>
              </w:rPr>
              <w:t>In your own words d</w:t>
            </w:r>
            <w:r w:rsidRPr="00A838B4">
              <w:rPr>
                <w:rFonts w:eastAsia="Calibri" w:cs="Arial"/>
                <w:color w:val="000000" w:themeColor="text1"/>
              </w:rPr>
              <w:t xml:space="preserve">etail what you have learnt </w:t>
            </w:r>
            <w:r w:rsidR="00387983" w:rsidRPr="00A838B4">
              <w:rPr>
                <w:rFonts w:eastAsia="Calibri" w:cs="Arial"/>
                <w:color w:val="000000" w:themeColor="text1"/>
              </w:rPr>
              <w:t>about</w:t>
            </w:r>
            <w:r w:rsidRPr="00A838B4">
              <w:rPr>
                <w:rFonts w:eastAsia="Calibri" w:cs="Arial"/>
                <w:color w:val="000000" w:themeColor="text1"/>
              </w:rPr>
              <w:t xml:space="preserve"> the topic. Ensure that you cover as much subtopics as possible for peer-to-peer support and team working. Cite and reference academic sources to support your work</w:t>
            </w:r>
            <w:r w:rsidR="00387983" w:rsidRPr="00A838B4">
              <w:rPr>
                <w:rFonts w:eastAsia="Calibri" w:cs="Arial"/>
                <w:color w:val="000000" w:themeColor="text1"/>
              </w:rPr>
              <w:t xml:space="preserve">. </w:t>
            </w:r>
          </w:p>
          <w:p w14:paraId="680758E2" w14:textId="69D1C14F" w:rsidR="00387983" w:rsidRPr="00387983" w:rsidRDefault="00983129" w:rsidP="00387983">
            <w:pPr>
              <w:pStyle w:val="ListParagraph"/>
              <w:numPr>
                <w:ilvl w:val="0"/>
                <w:numId w:val="0"/>
              </w:numPr>
              <w:spacing w:after="0" w:line="360" w:lineRule="auto"/>
              <w:ind w:left="1077"/>
              <w:jc w:val="both"/>
              <w:rPr>
                <w:rFonts w:cs="Arial"/>
                <w:i/>
                <w:iCs/>
                <w:sz w:val="20"/>
                <w:szCs w:val="20"/>
                <w:lang w:val="en-US"/>
              </w:rPr>
            </w:pPr>
            <w:r w:rsidRPr="00387983">
              <w:rPr>
                <w:rFonts w:eastAsia="Calibri" w:cs="Arial"/>
                <w:i/>
                <w:iCs/>
                <w:sz w:val="20"/>
                <w:szCs w:val="20"/>
              </w:rPr>
              <w:t>For example</w:t>
            </w:r>
            <w:r w:rsidR="00387983">
              <w:rPr>
                <w:rFonts w:eastAsia="Calibri" w:cs="Arial"/>
                <w:i/>
                <w:iCs/>
                <w:sz w:val="20"/>
                <w:szCs w:val="20"/>
              </w:rPr>
              <w:t>:</w:t>
            </w:r>
            <w:r w:rsidRPr="00387983">
              <w:rPr>
                <w:rFonts w:eastAsia="Calibri" w:cs="Arial"/>
                <w:b/>
                <w:bCs/>
                <w:i/>
                <w:iCs/>
                <w:sz w:val="20"/>
                <w:szCs w:val="20"/>
              </w:rPr>
              <w:t xml:space="preserve"> </w:t>
            </w:r>
            <w:r w:rsidR="00387983" w:rsidRPr="00387983">
              <w:rPr>
                <w:rFonts w:eastAsia="Calibri" w:cs="Arial"/>
                <w:i/>
                <w:iCs/>
                <w:sz w:val="20"/>
                <w:szCs w:val="20"/>
              </w:rPr>
              <w:t>A</w:t>
            </w:r>
            <w:r w:rsidR="004D4F1B" w:rsidRPr="00387983">
              <w:rPr>
                <w:rFonts w:eastAsia="Calibri" w:cs="Arial"/>
                <w:i/>
                <w:iCs/>
                <w:sz w:val="20"/>
                <w:szCs w:val="20"/>
              </w:rPr>
              <w:t>fter</w:t>
            </w:r>
            <w:r w:rsidRPr="00387983">
              <w:rPr>
                <w:rFonts w:eastAsia="Calibri" w:cs="Arial"/>
                <w:i/>
                <w:iCs/>
                <w:sz w:val="20"/>
                <w:szCs w:val="20"/>
              </w:rPr>
              <w:t xml:space="preserve"> attending the class for</w:t>
            </w:r>
            <w:r w:rsidRPr="00387983">
              <w:rPr>
                <w:rFonts w:eastAsia="Calibri" w:cs="Arial"/>
                <w:b/>
                <w:bCs/>
                <w:i/>
                <w:iCs/>
                <w:sz w:val="20"/>
                <w:szCs w:val="20"/>
              </w:rPr>
              <w:t xml:space="preserve"> </w:t>
            </w:r>
            <w:r w:rsidRPr="00387983">
              <w:rPr>
                <w:rFonts w:cs="Arial"/>
                <w:i/>
                <w:iCs/>
                <w:sz w:val="20"/>
                <w:szCs w:val="20"/>
              </w:rPr>
              <w:t>the importance of peer-to-peer support and team working to enhance learning experience</w:t>
            </w:r>
            <w:r w:rsidR="00A45D37" w:rsidRPr="00387983">
              <w:rPr>
                <w:rFonts w:cs="Arial"/>
                <w:i/>
                <w:iCs/>
                <w:sz w:val="20"/>
                <w:szCs w:val="20"/>
              </w:rPr>
              <w:t xml:space="preserve"> I </w:t>
            </w:r>
            <w:r w:rsidR="00046D95" w:rsidRPr="00387983">
              <w:rPr>
                <w:rFonts w:cs="Arial"/>
                <w:i/>
                <w:iCs/>
                <w:sz w:val="20"/>
                <w:szCs w:val="20"/>
              </w:rPr>
              <w:t xml:space="preserve">now </w:t>
            </w:r>
            <w:r w:rsidR="00A45D37" w:rsidRPr="00387983">
              <w:rPr>
                <w:rFonts w:cs="Arial"/>
                <w:i/>
                <w:iCs/>
                <w:sz w:val="20"/>
                <w:szCs w:val="20"/>
              </w:rPr>
              <w:t xml:space="preserve">understand that I would not only learn from the </w:t>
            </w:r>
            <w:r w:rsidR="00046D95" w:rsidRPr="00387983">
              <w:rPr>
                <w:rFonts w:cs="Arial"/>
                <w:i/>
                <w:iCs/>
                <w:sz w:val="20"/>
                <w:szCs w:val="20"/>
              </w:rPr>
              <w:t>tutors,</w:t>
            </w:r>
            <w:r w:rsidR="00A45D37" w:rsidRPr="00387983">
              <w:rPr>
                <w:rFonts w:cs="Arial"/>
                <w:i/>
                <w:iCs/>
                <w:sz w:val="20"/>
                <w:szCs w:val="20"/>
              </w:rPr>
              <w:t xml:space="preserve"> but I can also learn from fellow students in the same course with me</w:t>
            </w:r>
            <w:r w:rsidR="00046D95" w:rsidRPr="00387983">
              <w:rPr>
                <w:rFonts w:cs="Arial"/>
                <w:i/>
                <w:iCs/>
                <w:sz w:val="20"/>
                <w:szCs w:val="20"/>
              </w:rPr>
              <w:t xml:space="preserve"> as well as my work colleagues at the same level with me</w:t>
            </w:r>
            <w:r w:rsidR="00046D95" w:rsidRPr="00387983">
              <w:rPr>
                <w:rFonts w:cs="Arial"/>
                <w:i/>
                <w:iCs/>
                <w:sz w:val="20"/>
                <w:szCs w:val="20"/>
                <w:lang w:val="en-US"/>
              </w:rPr>
              <w:t>…</w:t>
            </w:r>
            <w:r w:rsidR="005F6DE0" w:rsidRPr="00387983">
              <w:rPr>
                <w:rFonts w:cs="Arial"/>
                <w:i/>
                <w:iCs/>
                <w:sz w:val="20"/>
                <w:szCs w:val="20"/>
              </w:rPr>
              <w:t xml:space="preserve">, etc., </w:t>
            </w:r>
            <w:r w:rsidR="00046D95" w:rsidRPr="00387983">
              <w:rPr>
                <w:rFonts w:cs="Arial"/>
                <w:i/>
                <w:iCs/>
                <w:sz w:val="20"/>
                <w:szCs w:val="20"/>
                <w:lang w:val="en-US"/>
              </w:rPr>
              <w:t>then explain the key points further with practical examples.</w:t>
            </w:r>
          </w:p>
          <w:p w14:paraId="37673B17" w14:textId="72A1F493" w:rsidR="00387983" w:rsidRPr="00A838B4" w:rsidRDefault="003C0AB9" w:rsidP="00A838B4">
            <w:pPr>
              <w:pStyle w:val="ListParagraph"/>
              <w:numPr>
                <w:ilvl w:val="0"/>
                <w:numId w:val="22"/>
              </w:numPr>
              <w:spacing w:after="0" w:line="360" w:lineRule="auto"/>
              <w:rPr>
                <w:rFonts w:eastAsia="Calibri" w:cs="Arial"/>
                <w:b/>
                <w:bCs/>
                <w:color w:val="000000" w:themeColor="text1"/>
              </w:rPr>
            </w:pPr>
            <w:r w:rsidRPr="00A838B4">
              <w:rPr>
                <w:rFonts w:eastAsia="Calibri" w:cs="Arial"/>
                <w:color w:val="000000" w:themeColor="text1"/>
                <w:u w:val="single"/>
              </w:rPr>
              <w:t>Future Implications</w:t>
            </w:r>
            <w:r w:rsidR="00387983" w:rsidRPr="00A838B4">
              <w:rPr>
                <w:rFonts w:eastAsia="Calibri" w:cs="Arial"/>
                <w:color w:val="000000" w:themeColor="text1"/>
                <w:u w:val="single"/>
              </w:rPr>
              <w:t xml:space="preserve"> (150 words):</w:t>
            </w:r>
            <w:r w:rsidRPr="00A838B4">
              <w:rPr>
                <w:rFonts w:eastAsia="Calibri" w:cs="Arial"/>
                <w:b/>
                <w:bCs/>
                <w:color w:val="000000" w:themeColor="text1"/>
              </w:rPr>
              <w:t xml:space="preserve"> </w:t>
            </w:r>
            <w:r w:rsidRPr="00A838B4">
              <w:rPr>
                <w:rFonts w:cs="Arial"/>
                <w:color w:val="000000" w:themeColor="text1"/>
              </w:rPr>
              <w:t xml:space="preserve">How will you use what you have learnt from the topic in your future studies and work. </w:t>
            </w:r>
          </w:p>
          <w:p w14:paraId="0C79191F" w14:textId="160F79D5" w:rsidR="003C0AB9" w:rsidRPr="00A838B4" w:rsidRDefault="00A838B4" w:rsidP="00A838B4">
            <w:pPr>
              <w:spacing w:line="360" w:lineRule="auto"/>
              <w:ind w:left="1077" w:hanging="357"/>
              <w:rPr>
                <w:rFonts w:eastAsia="Calibri" w:cs="Arial"/>
                <w:b/>
                <w:bCs/>
                <w:color w:val="000000" w:themeColor="text1"/>
              </w:rPr>
            </w:pPr>
            <w:r>
              <w:rPr>
                <w:rFonts w:eastAsia="Calibri" w:cs="Arial"/>
                <w:i/>
                <w:iCs/>
                <w:color w:val="000000" w:themeColor="text1"/>
              </w:rPr>
              <w:t xml:space="preserve">      </w:t>
            </w:r>
            <w:r w:rsidR="00046D95" w:rsidRPr="00A838B4">
              <w:rPr>
                <w:rFonts w:eastAsia="Calibri" w:cs="Arial"/>
                <w:i/>
                <w:iCs/>
                <w:color w:val="000000" w:themeColor="text1"/>
              </w:rPr>
              <w:t>For example</w:t>
            </w:r>
            <w:r w:rsidR="00387983" w:rsidRPr="00A838B4">
              <w:rPr>
                <w:rFonts w:eastAsia="Calibri" w:cs="Arial"/>
                <w:i/>
                <w:iCs/>
                <w:color w:val="000000" w:themeColor="text1"/>
              </w:rPr>
              <w:t>:</w:t>
            </w:r>
            <w:r w:rsidR="00046D95" w:rsidRPr="00A838B4">
              <w:rPr>
                <w:rFonts w:eastAsia="Calibri" w:cs="Arial"/>
                <w:color w:val="000000" w:themeColor="text1"/>
              </w:rPr>
              <w:t xml:space="preserve"> </w:t>
            </w:r>
            <w:r w:rsidR="00046D95" w:rsidRPr="00A838B4">
              <w:rPr>
                <w:rFonts w:cs="Arial"/>
                <w:i/>
                <w:iCs/>
                <w:sz w:val="20"/>
                <w:szCs w:val="20"/>
              </w:rPr>
              <w:t>‘I will practise what I have learnt</w:t>
            </w:r>
            <w:r w:rsidR="00151787" w:rsidRPr="00A838B4">
              <w:rPr>
                <w:rFonts w:cs="Arial"/>
                <w:i/>
                <w:iCs/>
                <w:sz w:val="20"/>
                <w:szCs w:val="20"/>
              </w:rPr>
              <w:t xml:space="preserve"> in my </w:t>
            </w:r>
            <w:r w:rsidR="00B3365D" w:rsidRPr="00A838B4">
              <w:rPr>
                <w:rFonts w:cs="Arial"/>
                <w:i/>
                <w:iCs/>
                <w:sz w:val="20"/>
                <w:szCs w:val="20"/>
              </w:rPr>
              <w:t xml:space="preserve">studies and at work by participating </w:t>
            </w:r>
            <w:r w:rsidR="00CB3C4F" w:rsidRPr="00A838B4">
              <w:rPr>
                <w:rFonts w:cs="Arial"/>
                <w:i/>
                <w:iCs/>
                <w:sz w:val="20"/>
                <w:szCs w:val="20"/>
              </w:rPr>
              <w:t xml:space="preserve">effectively in group activities as well as supporting my </w:t>
            </w:r>
            <w:r w:rsidR="00C24042" w:rsidRPr="00A838B4">
              <w:rPr>
                <w:rFonts w:cs="Arial"/>
                <w:i/>
                <w:iCs/>
                <w:sz w:val="20"/>
                <w:szCs w:val="20"/>
              </w:rPr>
              <w:t>course mates</w:t>
            </w:r>
            <w:r w:rsidR="004E7A88" w:rsidRPr="00A838B4">
              <w:rPr>
                <w:rFonts w:cs="Arial"/>
                <w:i/>
                <w:iCs/>
                <w:sz w:val="20"/>
                <w:szCs w:val="20"/>
              </w:rPr>
              <w:t xml:space="preserve"> when they require clarification about certain </w:t>
            </w:r>
            <w:r w:rsidR="00C24042" w:rsidRPr="00A838B4">
              <w:rPr>
                <w:rFonts w:cs="Arial"/>
                <w:i/>
                <w:iCs/>
                <w:sz w:val="20"/>
                <w:szCs w:val="20"/>
              </w:rPr>
              <w:t>topic,</w:t>
            </w:r>
            <w:r w:rsidR="004E7A88" w:rsidRPr="00A838B4">
              <w:rPr>
                <w:rFonts w:cs="Arial"/>
                <w:i/>
                <w:iCs/>
                <w:sz w:val="20"/>
                <w:szCs w:val="20"/>
              </w:rPr>
              <w:t xml:space="preserve"> I have good idea about</w:t>
            </w:r>
            <w:r w:rsidR="005F6DE0" w:rsidRPr="00A838B4">
              <w:rPr>
                <w:rFonts w:cs="Arial"/>
                <w:i/>
                <w:iCs/>
                <w:sz w:val="20"/>
                <w:szCs w:val="20"/>
              </w:rPr>
              <w:t>, e</w:t>
            </w:r>
            <w:r w:rsidR="00C24042" w:rsidRPr="00A838B4">
              <w:rPr>
                <w:rFonts w:cs="Arial"/>
                <w:i/>
                <w:iCs/>
                <w:sz w:val="20"/>
                <w:szCs w:val="20"/>
              </w:rPr>
              <w:t>tc.</w:t>
            </w:r>
          </w:p>
          <w:p w14:paraId="2A167F21" w14:textId="388DE1C2" w:rsidR="00387983" w:rsidRPr="00387983" w:rsidRDefault="003C0AB9" w:rsidP="00A838B4">
            <w:pPr>
              <w:pStyle w:val="ListParagraph"/>
              <w:numPr>
                <w:ilvl w:val="0"/>
                <w:numId w:val="22"/>
              </w:numPr>
              <w:spacing w:after="0" w:line="360" w:lineRule="auto"/>
              <w:jc w:val="both"/>
              <w:rPr>
                <w:rFonts w:cs="Arial"/>
                <w:b/>
                <w:bCs/>
                <w:color w:val="000000" w:themeColor="text1"/>
                <w:u w:val="single"/>
              </w:rPr>
            </w:pPr>
            <w:r w:rsidRPr="00A838B4">
              <w:rPr>
                <w:rFonts w:eastAsia="Calibri" w:cs="Arial"/>
                <w:color w:val="000000" w:themeColor="text1"/>
                <w:u w:val="single"/>
              </w:rPr>
              <w:t>Implementation</w:t>
            </w:r>
            <w:r w:rsidR="00A838B4" w:rsidRPr="00A838B4">
              <w:rPr>
                <w:rFonts w:eastAsia="Calibri" w:cs="Arial"/>
                <w:color w:val="000000" w:themeColor="text1"/>
                <w:u w:val="single"/>
              </w:rPr>
              <w:t xml:space="preserve"> (150 words):</w:t>
            </w:r>
            <w:r w:rsidRPr="005763A8">
              <w:rPr>
                <w:rFonts w:eastAsia="Calibri" w:cs="Arial"/>
                <w:b/>
                <w:bCs/>
                <w:color w:val="000000" w:themeColor="text1"/>
              </w:rPr>
              <w:t xml:space="preserve"> </w:t>
            </w:r>
            <w:r w:rsidRPr="005763A8">
              <w:rPr>
                <w:rFonts w:cs="Arial"/>
                <w:color w:val="000000" w:themeColor="text1"/>
              </w:rPr>
              <w:t xml:space="preserve">What resources or support do you need to achieve this? </w:t>
            </w:r>
            <w:r w:rsidR="001C528C" w:rsidRPr="00456078">
              <w:rPr>
                <w:rFonts w:cs="Arial"/>
              </w:rPr>
              <w:t>What resources and/or support do you need to achieve this? Including plans that such as taking extras support from your tutor and academic support team, attending training sessions, individual development activities, etc. You must include target dates and timeframe for implementation</w:t>
            </w:r>
            <w:r w:rsidR="001C528C" w:rsidRPr="001C528C">
              <w:rPr>
                <w:rFonts w:ascii="Calibri" w:hAnsi="Calibri" w:cs="Calibri"/>
              </w:rPr>
              <w:t>.</w:t>
            </w:r>
            <w:r w:rsidR="001C528C" w:rsidRPr="001C528C">
              <w:rPr>
                <w:rFonts w:eastAsia="Calibri" w:cs="Arial"/>
                <w:b/>
                <w:bCs/>
              </w:rPr>
              <w:t xml:space="preserve"> </w:t>
            </w:r>
          </w:p>
          <w:p w14:paraId="1CC56D37" w14:textId="7701CFA4" w:rsidR="003C0AB9" w:rsidRPr="005763A8" w:rsidRDefault="00387983" w:rsidP="00387983">
            <w:pPr>
              <w:pStyle w:val="ListParagraph"/>
              <w:numPr>
                <w:ilvl w:val="0"/>
                <w:numId w:val="0"/>
              </w:numPr>
              <w:spacing w:after="0" w:line="360" w:lineRule="auto"/>
              <w:ind w:left="1210"/>
              <w:jc w:val="both"/>
              <w:rPr>
                <w:rFonts w:cs="Arial"/>
                <w:b/>
                <w:bCs/>
                <w:color w:val="000000" w:themeColor="text1"/>
                <w:u w:val="single"/>
              </w:rPr>
            </w:pPr>
            <w:r w:rsidRPr="005763A8">
              <w:rPr>
                <w:rFonts w:eastAsia="Calibri" w:cs="Arial"/>
                <w:i/>
                <w:iCs/>
                <w:color w:val="000000" w:themeColor="text1"/>
              </w:rPr>
              <w:t>For example</w:t>
            </w:r>
            <w:r>
              <w:rPr>
                <w:rFonts w:eastAsia="Calibri" w:cs="Arial"/>
                <w:i/>
                <w:iCs/>
                <w:color w:val="000000" w:themeColor="text1"/>
              </w:rPr>
              <w:t>:</w:t>
            </w:r>
            <w:r w:rsidRPr="005763A8">
              <w:rPr>
                <w:rFonts w:eastAsia="Calibri" w:cs="Arial"/>
                <w:i/>
                <w:iCs/>
                <w:sz w:val="20"/>
                <w:szCs w:val="20"/>
              </w:rPr>
              <w:t xml:space="preserve"> </w:t>
            </w:r>
            <w:r w:rsidR="00576757" w:rsidRPr="005763A8">
              <w:rPr>
                <w:rFonts w:eastAsia="Calibri" w:cs="Arial"/>
                <w:i/>
                <w:iCs/>
                <w:sz w:val="20"/>
                <w:szCs w:val="20"/>
              </w:rPr>
              <w:t xml:space="preserve">Plan may </w:t>
            </w:r>
            <w:r w:rsidR="00BD7130" w:rsidRPr="005763A8">
              <w:rPr>
                <w:rFonts w:cs="Arial"/>
                <w:i/>
                <w:iCs/>
                <w:sz w:val="20"/>
                <w:szCs w:val="20"/>
              </w:rPr>
              <w:t>include extras support from your tutor and academic support team</w:t>
            </w:r>
            <w:r w:rsidR="00A92D81" w:rsidRPr="005763A8">
              <w:rPr>
                <w:rFonts w:cs="Arial"/>
                <w:i/>
                <w:iCs/>
                <w:sz w:val="20"/>
                <w:szCs w:val="20"/>
              </w:rPr>
              <w:t xml:space="preserve"> to understand the topics better</w:t>
            </w:r>
            <w:r w:rsidR="00BD7130" w:rsidRPr="005763A8">
              <w:rPr>
                <w:rFonts w:cs="Arial"/>
                <w:i/>
                <w:iCs/>
                <w:sz w:val="20"/>
                <w:szCs w:val="20"/>
              </w:rPr>
              <w:t>, attending training sessions</w:t>
            </w:r>
            <w:r w:rsidR="00A92D81" w:rsidRPr="005763A8">
              <w:rPr>
                <w:rFonts w:cs="Arial"/>
                <w:i/>
                <w:iCs/>
                <w:sz w:val="20"/>
                <w:szCs w:val="20"/>
              </w:rPr>
              <w:t xml:space="preserve"> on confidence building</w:t>
            </w:r>
            <w:r w:rsidR="00BD7130" w:rsidRPr="005763A8">
              <w:rPr>
                <w:rFonts w:cs="Arial"/>
                <w:i/>
                <w:iCs/>
                <w:sz w:val="20"/>
                <w:szCs w:val="20"/>
              </w:rPr>
              <w:t>, individual development activities</w:t>
            </w:r>
            <w:r w:rsidR="00A92D81" w:rsidRPr="005763A8">
              <w:rPr>
                <w:rFonts w:cs="Arial"/>
                <w:i/>
                <w:iCs/>
                <w:sz w:val="20"/>
                <w:szCs w:val="20"/>
              </w:rPr>
              <w:t>, e.g., read more about the topic</w:t>
            </w:r>
            <w:r w:rsidR="00BD7130" w:rsidRPr="005763A8">
              <w:rPr>
                <w:rFonts w:cs="Arial"/>
                <w:i/>
                <w:iCs/>
                <w:sz w:val="20"/>
                <w:szCs w:val="20"/>
              </w:rPr>
              <w:t>, target dates and timeframe for implementation</w:t>
            </w:r>
            <w:r w:rsidR="005F6DE0" w:rsidRPr="005763A8">
              <w:rPr>
                <w:rFonts w:cs="Arial"/>
                <w:i/>
                <w:iCs/>
                <w:sz w:val="20"/>
                <w:szCs w:val="20"/>
              </w:rPr>
              <w:t>, etc.</w:t>
            </w:r>
          </w:p>
          <w:p w14:paraId="44BC2DDC" w14:textId="77777777" w:rsidR="00F66CD0" w:rsidRPr="006A4CD2" w:rsidRDefault="00F66CD0" w:rsidP="00F66CD0">
            <w:pPr>
              <w:pStyle w:val="ListParagraph"/>
              <w:numPr>
                <w:ilvl w:val="0"/>
                <w:numId w:val="0"/>
              </w:numPr>
              <w:spacing w:after="0" w:line="360" w:lineRule="auto"/>
              <w:ind w:left="1210"/>
              <w:rPr>
                <w:rFonts w:cs="Arial"/>
                <w:b/>
                <w:bCs/>
                <w:color w:val="000000" w:themeColor="text1"/>
                <w:u w:val="single"/>
              </w:rPr>
            </w:pPr>
          </w:p>
          <w:p w14:paraId="3C16F1A2" w14:textId="09A49243" w:rsidR="00AA3685" w:rsidRPr="00A838B4" w:rsidRDefault="00AA3685" w:rsidP="00A838B4">
            <w:pPr>
              <w:pStyle w:val="ListParagraph"/>
              <w:numPr>
                <w:ilvl w:val="0"/>
                <w:numId w:val="15"/>
              </w:numPr>
              <w:spacing w:after="0" w:line="276" w:lineRule="auto"/>
              <w:jc w:val="both"/>
              <w:rPr>
                <w:rFonts w:cs="Arial"/>
                <w:bCs/>
                <w:lang w:eastAsia="en-GB"/>
              </w:rPr>
            </w:pPr>
            <w:r w:rsidRPr="00A838B4">
              <w:rPr>
                <w:rFonts w:cs="Arial"/>
                <w:b/>
                <w:bCs/>
                <w:color w:val="000000" w:themeColor="text1"/>
              </w:rPr>
              <w:t xml:space="preserve">SWOT analysis: </w:t>
            </w:r>
            <w:r w:rsidRPr="00A838B4">
              <w:rPr>
                <w:rFonts w:cs="Arial"/>
                <w:bCs/>
                <w:lang w:eastAsia="en-GB"/>
              </w:rPr>
              <w:t>A personal audit presented as a SWOT analysis of yourself as a student.</w:t>
            </w:r>
          </w:p>
          <w:p w14:paraId="2B9478B5" w14:textId="77777777" w:rsidR="008123FA" w:rsidRPr="008123FA" w:rsidRDefault="00AA3685" w:rsidP="00387BF0">
            <w:pPr>
              <w:pStyle w:val="ListParagraph"/>
              <w:numPr>
                <w:ilvl w:val="0"/>
                <w:numId w:val="4"/>
              </w:numPr>
              <w:spacing w:after="0" w:line="276" w:lineRule="auto"/>
              <w:jc w:val="both"/>
              <w:rPr>
                <w:rFonts w:eastAsia="Calibri" w:cs="Arial"/>
                <w:b/>
                <w:bCs/>
                <w:color w:val="000000" w:themeColor="text1"/>
              </w:rPr>
            </w:pPr>
            <w:r w:rsidRPr="006A4CD2">
              <w:rPr>
                <w:rFonts w:eastAsia="Calibri" w:cs="Arial"/>
                <w:b/>
                <w:bCs/>
                <w:color w:val="000000" w:themeColor="text1"/>
              </w:rPr>
              <w:t xml:space="preserve">Strengths: </w:t>
            </w:r>
            <w:r w:rsidRPr="00697604">
              <w:rPr>
                <w:rFonts w:eastAsia="Calibri" w:cs="Arial"/>
                <w:color w:val="000000" w:themeColor="text1"/>
              </w:rPr>
              <w:t>Detail your personal strength as a student here.</w:t>
            </w:r>
            <w:r>
              <w:rPr>
                <w:rFonts w:eastAsia="Calibri" w:cs="Arial"/>
                <w:b/>
                <w:bCs/>
                <w:color w:val="000000" w:themeColor="text1"/>
              </w:rPr>
              <w:t xml:space="preserve"> </w:t>
            </w:r>
            <w:r w:rsidRPr="006A4CD2">
              <w:rPr>
                <w:rFonts w:eastAsia="Calibri" w:cs="Arial"/>
                <w:color w:val="000000" w:themeColor="text1"/>
              </w:rPr>
              <w:t>Student’s personal strengths in relation to learning</w:t>
            </w:r>
            <w:r>
              <w:rPr>
                <w:rFonts w:eastAsia="Calibri" w:cs="Arial"/>
                <w:color w:val="000000" w:themeColor="text1"/>
              </w:rPr>
              <w:t xml:space="preserve"> and education</w:t>
            </w:r>
            <w:r w:rsidRPr="006A4CD2">
              <w:rPr>
                <w:rFonts w:eastAsia="Calibri" w:cs="Arial"/>
                <w:color w:val="000000" w:themeColor="text1"/>
              </w:rPr>
              <w:t xml:space="preserve">. </w:t>
            </w:r>
          </w:p>
          <w:p w14:paraId="5740A1DA" w14:textId="610F85FF" w:rsidR="00AA3685" w:rsidRPr="006A4CD2" w:rsidRDefault="00AA3685" w:rsidP="00013C04">
            <w:pPr>
              <w:pStyle w:val="ListParagraph"/>
              <w:numPr>
                <w:ilvl w:val="0"/>
                <w:numId w:val="0"/>
              </w:numPr>
              <w:spacing w:after="0" w:line="276" w:lineRule="auto"/>
              <w:ind w:left="1069"/>
              <w:jc w:val="both"/>
              <w:rPr>
                <w:rFonts w:eastAsia="Calibri" w:cs="Arial"/>
                <w:b/>
                <w:bCs/>
                <w:color w:val="000000" w:themeColor="text1"/>
              </w:rPr>
            </w:pPr>
            <w:r w:rsidRPr="006A4CD2">
              <w:rPr>
                <w:rFonts w:eastAsia="Calibri" w:cs="Arial"/>
                <w:color w:val="000000" w:themeColor="text1"/>
              </w:rPr>
              <w:t xml:space="preserve">For example, </w:t>
            </w:r>
            <w:r w:rsidRPr="00065D1E">
              <w:rPr>
                <w:rFonts w:eastAsia="Calibri" w:cs="Arial"/>
                <w:i/>
                <w:iCs/>
                <w:color w:val="000000" w:themeColor="text1"/>
                <w:sz w:val="20"/>
                <w:szCs w:val="20"/>
              </w:rPr>
              <w:t>good ICT, communication, research, referencing, paraphrasing, paragraphing skills, etc.</w:t>
            </w:r>
            <w:r w:rsidRPr="006A4CD2">
              <w:rPr>
                <w:rFonts w:eastAsia="Calibri" w:cs="Arial"/>
                <w:color w:val="000000" w:themeColor="text1"/>
              </w:rPr>
              <w:t xml:space="preserve"> </w:t>
            </w:r>
            <w:r w:rsidRPr="006A4CD2">
              <w:rPr>
                <w:rFonts w:eastAsia="Calibri" w:cs="Arial"/>
                <w:b/>
                <w:bCs/>
                <w:color w:val="000000" w:themeColor="text1"/>
              </w:rPr>
              <w:t>(</w:t>
            </w:r>
            <w:r w:rsidR="00A838B4">
              <w:rPr>
                <w:rFonts w:eastAsia="Calibri" w:cs="Arial"/>
                <w:b/>
                <w:bCs/>
                <w:color w:val="000000" w:themeColor="text1"/>
              </w:rPr>
              <w:t>100</w:t>
            </w:r>
            <w:r w:rsidRPr="006A4CD2">
              <w:rPr>
                <w:rFonts w:eastAsia="Calibri" w:cs="Arial"/>
                <w:b/>
                <w:bCs/>
                <w:color w:val="000000" w:themeColor="text1"/>
              </w:rPr>
              <w:t xml:space="preserve"> words)</w:t>
            </w:r>
          </w:p>
          <w:p w14:paraId="1016571C" w14:textId="77777777" w:rsidR="00013C04" w:rsidRPr="00013C04" w:rsidRDefault="00AA3685" w:rsidP="00387BF0">
            <w:pPr>
              <w:pStyle w:val="ListParagraph"/>
              <w:numPr>
                <w:ilvl w:val="0"/>
                <w:numId w:val="4"/>
              </w:numPr>
              <w:spacing w:after="0" w:line="276" w:lineRule="auto"/>
              <w:jc w:val="both"/>
              <w:rPr>
                <w:rFonts w:eastAsia="Calibri" w:cs="Arial"/>
                <w:b/>
                <w:bCs/>
                <w:color w:val="000000" w:themeColor="text1"/>
              </w:rPr>
            </w:pPr>
            <w:r w:rsidRPr="006A4CD2">
              <w:rPr>
                <w:rFonts w:eastAsia="Calibri" w:cs="Arial"/>
                <w:b/>
                <w:bCs/>
                <w:color w:val="000000" w:themeColor="text1"/>
              </w:rPr>
              <w:t xml:space="preserve">Weaknesses: </w:t>
            </w:r>
            <w:r w:rsidRPr="00697604">
              <w:rPr>
                <w:rFonts w:eastAsia="Calibri" w:cs="Arial"/>
                <w:color w:val="000000" w:themeColor="text1"/>
              </w:rPr>
              <w:t xml:space="preserve">Detail your personal </w:t>
            </w:r>
            <w:r w:rsidRPr="006A4CD2">
              <w:rPr>
                <w:rFonts w:eastAsia="Calibri" w:cs="Arial"/>
                <w:color w:val="000000" w:themeColor="text1"/>
              </w:rPr>
              <w:t>weaknesses</w:t>
            </w:r>
            <w:r w:rsidRPr="00697604">
              <w:rPr>
                <w:rFonts w:eastAsia="Calibri" w:cs="Arial"/>
                <w:color w:val="000000" w:themeColor="text1"/>
              </w:rPr>
              <w:t xml:space="preserve"> as a student here.</w:t>
            </w:r>
            <w:r>
              <w:rPr>
                <w:rFonts w:eastAsia="Calibri" w:cs="Arial"/>
                <w:b/>
                <w:bCs/>
                <w:color w:val="000000" w:themeColor="text1"/>
              </w:rPr>
              <w:t xml:space="preserve"> </w:t>
            </w:r>
            <w:r w:rsidRPr="006A4CD2">
              <w:rPr>
                <w:rFonts w:eastAsia="Calibri" w:cs="Arial"/>
                <w:color w:val="000000" w:themeColor="text1"/>
              </w:rPr>
              <w:t>Student’s personal weaknesses in relation to learning</w:t>
            </w:r>
            <w:r>
              <w:rPr>
                <w:rFonts w:eastAsia="Calibri" w:cs="Arial"/>
                <w:color w:val="000000" w:themeColor="text1"/>
              </w:rPr>
              <w:t xml:space="preserve"> and education</w:t>
            </w:r>
            <w:r w:rsidRPr="006A4CD2">
              <w:rPr>
                <w:rFonts w:eastAsia="Calibri" w:cs="Arial"/>
                <w:color w:val="000000" w:themeColor="text1"/>
              </w:rPr>
              <w:t xml:space="preserve">. </w:t>
            </w:r>
          </w:p>
          <w:p w14:paraId="658E0567" w14:textId="189E685C" w:rsidR="00AA3685" w:rsidRPr="006A4CD2" w:rsidRDefault="00AA3685" w:rsidP="00013C04">
            <w:pPr>
              <w:pStyle w:val="ListParagraph"/>
              <w:numPr>
                <w:ilvl w:val="0"/>
                <w:numId w:val="0"/>
              </w:numPr>
              <w:spacing w:after="0" w:line="276" w:lineRule="auto"/>
              <w:ind w:left="1069"/>
              <w:jc w:val="both"/>
              <w:rPr>
                <w:rFonts w:eastAsia="Calibri" w:cs="Arial"/>
                <w:b/>
                <w:bCs/>
                <w:color w:val="000000" w:themeColor="text1"/>
              </w:rPr>
            </w:pPr>
            <w:r w:rsidRPr="006A4CD2">
              <w:rPr>
                <w:rFonts w:eastAsia="Calibri" w:cs="Arial"/>
                <w:color w:val="000000" w:themeColor="text1"/>
              </w:rPr>
              <w:t xml:space="preserve">For example, </w:t>
            </w:r>
            <w:r w:rsidRPr="00065D1E">
              <w:rPr>
                <w:rFonts w:eastAsia="Calibri" w:cs="Arial"/>
                <w:i/>
                <w:iCs/>
                <w:color w:val="000000" w:themeColor="text1"/>
                <w:sz w:val="20"/>
                <w:szCs w:val="20"/>
              </w:rPr>
              <w:t xml:space="preserve">lack of appropriate ICT, communication, research, </w:t>
            </w:r>
            <w:r w:rsidR="00D714F4">
              <w:rPr>
                <w:rFonts w:eastAsia="Calibri" w:cs="Arial"/>
                <w:i/>
                <w:iCs/>
                <w:color w:val="000000" w:themeColor="text1"/>
                <w:sz w:val="20"/>
                <w:szCs w:val="20"/>
              </w:rPr>
              <w:t xml:space="preserve">writing, </w:t>
            </w:r>
            <w:r w:rsidRPr="00065D1E">
              <w:rPr>
                <w:rFonts w:eastAsia="Calibri" w:cs="Arial"/>
                <w:i/>
                <w:iCs/>
                <w:color w:val="000000" w:themeColor="text1"/>
                <w:sz w:val="20"/>
                <w:szCs w:val="20"/>
              </w:rPr>
              <w:t>referencing, paraphrasing, paragraphing</w:t>
            </w:r>
            <w:r w:rsidR="00D714F4">
              <w:rPr>
                <w:rFonts w:eastAsia="Calibri" w:cs="Arial"/>
                <w:i/>
                <w:iCs/>
                <w:color w:val="000000" w:themeColor="text1"/>
                <w:sz w:val="20"/>
                <w:szCs w:val="20"/>
              </w:rPr>
              <w:t>, presentation</w:t>
            </w:r>
            <w:r w:rsidRPr="00065D1E">
              <w:rPr>
                <w:rFonts w:eastAsia="Calibri" w:cs="Arial"/>
                <w:i/>
                <w:iCs/>
                <w:color w:val="000000" w:themeColor="text1"/>
                <w:sz w:val="20"/>
                <w:szCs w:val="20"/>
              </w:rPr>
              <w:t xml:space="preserve"> skills, </w:t>
            </w:r>
            <w:r w:rsidR="00D714F4">
              <w:rPr>
                <w:rFonts w:eastAsia="Calibri" w:cs="Arial"/>
                <w:i/>
                <w:iCs/>
                <w:color w:val="000000" w:themeColor="text1"/>
                <w:sz w:val="20"/>
                <w:szCs w:val="20"/>
              </w:rPr>
              <w:t xml:space="preserve">lack of confidence, </w:t>
            </w:r>
            <w:r w:rsidRPr="00065D1E">
              <w:rPr>
                <w:rFonts w:eastAsia="Calibri" w:cs="Arial"/>
                <w:i/>
                <w:iCs/>
                <w:color w:val="000000" w:themeColor="text1"/>
                <w:sz w:val="20"/>
                <w:szCs w:val="20"/>
              </w:rPr>
              <w:t>etc</w:t>
            </w:r>
            <w:r w:rsidRPr="006A4CD2">
              <w:rPr>
                <w:rFonts w:eastAsia="Calibri" w:cs="Arial"/>
                <w:color w:val="000000" w:themeColor="text1"/>
              </w:rPr>
              <w:t xml:space="preserve">. </w:t>
            </w:r>
            <w:r w:rsidRPr="006A4CD2">
              <w:rPr>
                <w:rFonts w:eastAsia="Calibri" w:cs="Arial"/>
                <w:b/>
                <w:bCs/>
                <w:color w:val="000000" w:themeColor="text1"/>
              </w:rPr>
              <w:t>(</w:t>
            </w:r>
            <w:r w:rsidR="00A838B4">
              <w:rPr>
                <w:rFonts w:eastAsia="Calibri" w:cs="Arial"/>
                <w:b/>
                <w:bCs/>
                <w:color w:val="000000" w:themeColor="text1"/>
              </w:rPr>
              <w:t>100</w:t>
            </w:r>
            <w:r w:rsidRPr="006A4CD2">
              <w:rPr>
                <w:rFonts w:eastAsia="Calibri" w:cs="Arial"/>
                <w:b/>
                <w:bCs/>
                <w:color w:val="000000" w:themeColor="text1"/>
              </w:rPr>
              <w:t xml:space="preserve"> words)</w:t>
            </w:r>
          </w:p>
          <w:p w14:paraId="7A9EF6E3" w14:textId="77777777" w:rsidR="00013C04" w:rsidRPr="00013C04" w:rsidRDefault="00AA3685" w:rsidP="00387BF0">
            <w:pPr>
              <w:pStyle w:val="ListParagraph"/>
              <w:numPr>
                <w:ilvl w:val="0"/>
                <w:numId w:val="4"/>
              </w:numPr>
              <w:spacing w:after="0" w:line="276" w:lineRule="auto"/>
              <w:jc w:val="both"/>
              <w:rPr>
                <w:rFonts w:eastAsia="Calibri" w:cs="Arial"/>
                <w:b/>
                <w:bCs/>
                <w:color w:val="000000" w:themeColor="text1"/>
              </w:rPr>
            </w:pPr>
            <w:r w:rsidRPr="006A4CD2">
              <w:rPr>
                <w:rFonts w:eastAsia="Calibri" w:cs="Arial"/>
                <w:b/>
                <w:bCs/>
                <w:color w:val="000000" w:themeColor="text1"/>
              </w:rPr>
              <w:t xml:space="preserve">Opportunities: </w:t>
            </w:r>
            <w:r w:rsidRPr="006A4CD2">
              <w:rPr>
                <w:rFonts w:eastAsia="Calibri" w:cs="Arial"/>
                <w:color w:val="000000" w:themeColor="text1"/>
              </w:rPr>
              <w:t>Identify opportunities that might be available to you after gaining skills and degree.</w:t>
            </w:r>
          </w:p>
          <w:p w14:paraId="14723F20" w14:textId="3F72655D" w:rsidR="00AA3685" w:rsidRPr="006A4CD2" w:rsidRDefault="00AA3685" w:rsidP="00013C04">
            <w:pPr>
              <w:pStyle w:val="ListParagraph"/>
              <w:numPr>
                <w:ilvl w:val="0"/>
                <w:numId w:val="0"/>
              </w:numPr>
              <w:spacing w:after="0" w:line="276" w:lineRule="auto"/>
              <w:ind w:left="1069"/>
              <w:jc w:val="both"/>
              <w:rPr>
                <w:rFonts w:eastAsia="Calibri" w:cs="Arial"/>
                <w:b/>
                <w:bCs/>
                <w:color w:val="000000" w:themeColor="text1"/>
              </w:rPr>
            </w:pPr>
            <w:r w:rsidRPr="006A4CD2">
              <w:rPr>
                <w:rFonts w:eastAsia="Calibri" w:cs="Arial"/>
                <w:color w:val="000000" w:themeColor="text1"/>
              </w:rPr>
              <w:t xml:space="preserve">For example, </w:t>
            </w:r>
            <w:r w:rsidRPr="00065D1E">
              <w:rPr>
                <w:rFonts w:eastAsia="Calibri" w:cs="Arial"/>
                <w:i/>
                <w:iCs/>
                <w:color w:val="000000" w:themeColor="text1"/>
                <w:sz w:val="20"/>
                <w:szCs w:val="20"/>
              </w:rPr>
              <w:t>employment, promotion, knowledge to establish own business, etc.</w:t>
            </w:r>
            <w:r w:rsidRPr="006A4CD2">
              <w:rPr>
                <w:rFonts w:eastAsia="Calibri" w:cs="Arial"/>
                <w:color w:val="000000" w:themeColor="text1"/>
              </w:rPr>
              <w:t xml:space="preserve"> </w:t>
            </w:r>
            <w:r w:rsidRPr="006A4CD2">
              <w:rPr>
                <w:rFonts w:eastAsia="Calibri" w:cs="Arial"/>
                <w:b/>
                <w:bCs/>
                <w:color w:val="000000" w:themeColor="text1"/>
              </w:rPr>
              <w:t>(</w:t>
            </w:r>
            <w:r w:rsidR="00A838B4">
              <w:rPr>
                <w:rFonts w:eastAsia="Calibri" w:cs="Arial"/>
                <w:b/>
                <w:bCs/>
                <w:color w:val="000000" w:themeColor="text1"/>
              </w:rPr>
              <w:t>100</w:t>
            </w:r>
            <w:r w:rsidRPr="006A4CD2">
              <w:rPr>
                <w:rFonts w:eastAsia="Calibri" w:cs="Arial"/>
                <w:b/>
                <w:bCs/>
                <w:color w:val="000000" w:themeColor="text1"/>
              </w:rPr>
              <w:t xml:space="preserve"> words)</w:t>
            </w:r>
          </w:p>
          <w:p w14:paraId="7DEC6804" w14:textId="73494B35" w:rsidR="00AA3685" w:rsidRPr="005B3E52" w:rsidRDefault="00AA3685" w:rsidP="005B3E52">
            <w:pPr>
              <w:pStyle w:val="ListParagraph"/>
              <w:numPr>
                <w:ilvl w:val="0"/>
                <w:numId w:val="4"/>
              </w:numPr>
              <w:spacing w:after="0" w:line="276" w:lineRule="auto"/>
              <w:jc w:val="both"/>
              <w:rPr>
                <w:rFonts w:eastAsia="Calibri" w:cs="Arial"/>
                <w:b/>
                <w:bCs/>
                <w:color w:val="000000" w:themeColor="text1"/>
              </w:rPr>
            </w:pPr>
            <w:r w:rsidRPr="006A4CD2">
              <w:rPr>
                <w:rFonts w:eastAsia="Calibri" w:cs="Arial"/>
                <w:b/>
                <w:bCs/>
                <w:color w:val="000000" w:themeColor="text1"/>
              </w:rPr>
              <w:t xml:space="preserve">Threats: </w:t>
            </w:r>
            <w:r w:rsidRPr="006A4CD2">
              <w:rPr>
                <w:rFonts w:eastAsia="Calibri" w:cs="Arial"/>
                <w:color w:val="000000" w:themeColor="text1"/>
              </w:rPr>
              <w:t xml:space="preserve">Identify threats/factors envisaged that might stop you from gaining knowledge and skills from your studies as well as attaining the degree. </w:t>
            </w:r>
            <w:r w:rsidR="00FF253C" w:rsidRPr="005B3E52">
              <w:rPr>
                <w:rFonts w:eastAsia="Calibri" w:cs="Arial"/>
                <w:color w:val="000000" w:themeColor="text1"/>
              </w:rPr>
              <w:t xml:space="preserve">For example, </w:t>
            </w:r>
            <w:r w:rsidR="00AD7A9D" w:rsidRPr="005B3E52">
              <w:rPr>
                <w:rFonts w:eastAsia="Calibri" w:cs="Arial"/>
                <w:i/>
                <w:iCs/>
                <w:color w:val="000000" w:themeColor="text1"/>
                <w:sz w:val="20"/>
                <w:szCs w:val="20"/>
              </w:rPr>
              <w:t xml:space="preserve">ill health, family commitment, financial </w:t>
            </w:r>
            <w:r w:rsidR="00372F5F" w:rsidRPr="005B3E52">
              <w:rPr>
                <w:rFonts w:eastAsia="Calibri" w:cs="Arial"/>
                <w:i/>
                <w:iCs/>
                <w:color w:val="000000" w:themeColor="text1"/>
                <w:sz w:val="20"/>
                <w:szCs w:val="20"/>
              </w:rPr>
              <w:t>issues, work pressure and commitment, distance to university, etc.</w:t>
            </w:r>
            <w:r w:rsidR="00372F5F" w:rsidRPr="005B3E52">
              <w:rPr>
                <w:rFonts w:eastAsia="Calibri" w:cs="Arial"/>
                <w:color w:val="000000" w:themeColor="text1"/>
              </w:rPr>
              <w:t xml:space="preserve"> </w:t>
            </w:r>
            <w:r w:rsidRPr="005B3E52">
              <w:rPr>
                <w:rFonts w:eastAsia="Calibri" w:cs="Arial"/>
                <w:b/>
                <w:bCs/>
                <w:color w:val="000000" w:themeColor="text1"/>
              </w:rPr>
              <w:t>(</w:t>
            </w:r>
            <w:r w:rsidR="00A838B4" w:rsidRPr="005B3E52">
              <w:rPr>
                <w:rFonts w:eastAsia="Calibri" w:cs="Arial"/>
                <w:b/>
                <w:bCs/>
                <w:color w:val="000000" w:themeColor="text1"/>
              </w:rPr>
              <w:t xml:space="preserve">100 </w:t>
            </w:r>
            <w:r w:rsidRPr="005B3E52">
              <w:rPr>
                <w:rFonts w:eastAsia="Calibri" w:cs="Arial"/>
                <w:b/>
                <w:bCs/>
                <w:color w:val="000000" w:themeColor="text1"/>
              </w:rPr>
              <w:t>words).</w:t>
            </w:r>
            <w:r w:rsidRPr="005B3E52">
              <w:rPr>
                <w:rFonts w:cstheme="minorHAnsi"/>
                <w:b/>
                <w:lang w:eastAsia="en-GB"/>
              </w:rPr>
              <w:t xml:space="preserve">   </w:t>
            </w:r>
          </w:p>
          <w:p w14:paraId="715F66E6" w14:textId="77777777" w:rsidR="00AA3685" w:rsidRDefault="00AA3685" w:rsidP="00AA3685">
            <w:pPr>
              <w:spacing w:line="360" w:lineRule="auto"/>
              <w:jc w:val="both"/>
              <w:rPr>
                <w:rFonts w:eastAsia="Calibri"/>
                <w:b/>
                <w:bCs/>
                <w:u w:val="single"/>
              </w:rPr>
            </w:pPr>
          </w:p>
          <w:p w14:paraId="239E9EDA" w14:textId="77777777" w:rsidR="005B3E52" w:rsidRDefault="005B3E52" w:rsidP="00AA3685">
            <w:pPr>
              <w:spacing w:line="360" w:lineRule="auto"/>
              <w:jc w:val="both"/>
              <w:rPr>
                <w:rFonts w:eastAsia="Calibri"/>
                <w:b/>
                <w:bCs/>
                <w:u w:val="single"/>
              </w:rPr>
            </w:pPr>
          </w:p>
          <w:p w14:paraId="2F7A35F8" w14:textId="77777777" w:rsidR="005B3E52" w:rsidRDefault="005B3E52" w:rsidP="00AA3685">
            <w:pPr>
              <w:spacing w:line="360" w:lineRule="auto"/>
              <w:jc w:val="both"/>
              <w:rPr>
                <w:rFonts w:eastAsia="Calibri"/>
                <w:b/>
                <w:bCs/>
                <w:u w:val="single"/>
              </w:rPr>
            </w:pPr>
          </w:p>
          <w:p w14:paraId="73FB72B9" w14:textId="1740E412" w:rsidR="00AA3685" w:rsidRPr="007274A6" w:rsidRDefault="00AA3685" w:rsidP="00AA3685">
            <w:pPr>
              <w:spacing w:line="360" w:lineRule="auto"/>
              <w:jc w:val="both"/>
              <w:rPr>
                <w:rFonts w:eastAsia="Calibri"/>
                <w:b/>
                <w:bCs/>
                <w:u w:val="single"/>
              </w:rPr>
            </w:pPr>
            <w:r>
              <w:rPr>
                <w:rFonts w:eastAsia="Calibri"/>
                <w:b/>
                <w:bCs/>
                <w:u w:val="single"/>
              </w:rPr>
              <w:t>I</w:t>
            </w:r>
            <w:r w:rsidRPr="007274A6">
              <w:rPr>
                <w:rFonts w:eastAsia="Calibri"/>
                <w:b/>
                <w:bCs/>
                <w:u w:val="single"/>
              </w:rPr>
              <w:t>mportant:</w:t>
            </w:r>
          </w:p>
          <w:p w14:paraId="040CC2EE" w14:textId="05F3A9CC" w:rsidR="00427441" w:rsidRDefault="00427441" w:rsidP="00AA3685">
            <w:pPr>
              <w:spacing w:line="360" w:lineRule="auto"/>
              <w:jc w:val="both"/>
              <w:rPr>
                <w:rFonts w:cstheme="minorHAnsi"/>
                <w:b/>
                <w:bCs/>
                <w:lang w:eastAsia="en-GB"/>
              </w:rPr>
            </w:pPr>
            <w:r w:rsidRPr="00427441">
              <w:rPr>
                <w:rFonts w:eastAsia="Calibri"/>
                <w:b/>
                <w:bCs/>
              </w:rPr>
              <w:t xml:space="preserve">For credible work, rely </w:t>
            </w:r>
            <w:r w:rsidRPr="00427441">
              <w:rPr>
                <w:rFonts w:eastAsia="Calibri"/>
                <w:b/>
                <w:bCs/>
                <w:color w:val="FF0000"/>
              </w:rPr>
              <w:t xml:space="preserve">ONLY </w:t>
            </w:r>
            <w:r w:rsidRPr="00427441">
              <w:rPr>
                <w:rFonts w:eastAsia="Calibri"/>
                <w:b/>
                <w:bCs/>
              </w:rPr>
              <w:t>on the sources listed in the Handbook</w:t>
            </w:r>
            <w:r>
              <w:rPr>
                <w:rFonts w:eastAsia="Calibri"/>
                <w:b/>
                <w:bCs/>
              </w:rPr>
              <w:t xml:space="preserve"> and </w:t>
            </w:r>
            <w:r w:rsidRPr="00427441">
              <w:rPr>
                <w:rFonts w:eastAsia="Calibri"/>
                <w:b/>
                <w:bCs/>
              </w:rPr>
              <w:t xml:space="preserve">Assignment Guides. Use direct and indirect citations following the Harvard Referencing Guide from CCCU. </w:t>
            </w:r>
            <w:r w:rsidR="009E5723" w:rsidRPr="009E5723">
              <w:rPr>
                <w:rFonts w:eastAsia="Calibri"/>
                <w:b/>
                <w:bCs/>
              </w:rPr>
              <w:t>It's acceptable to cite the same book, article, or web source multiple times, drawing from various pages or internet sections</w:t>
            </w:r>
            <w:r w:rsidRPr="00427441">
              <w:rPr>
                <w:rFonts w:eastAsia="Calibri"/>
                <w:b/>
                <w:bCs/>
              </w:rPr>
              <w:t xml:space="preserve">. Aim for </w:t>
            </w:r>
            <w:r w:rsidR="009E5723">
              <w:rPr>
                <w:rFonts w:eastAsia="Calibri"/>
                <w:b/>
                <w:bCs/>
              </w:rPr>
              <w:t xml:space="preserve">a minimum of </w:t>
            </w:r>
            <w:r w:rsidRPr="00427441">
              <w:rPr>
                <w:rFonts w:eastAsia="Calibri"/>
                <w:b/>
                <w:bCs/>
                <w:color w:val="FF0000"/>
              </w:rPr>
              <w:t xml:space="preserve">10 </w:t>
            </w:r>
            <w:r w:rsidRPr="00427441">
              <w:rPr>
                <w:rFonts w:eastAsia="Calibri"/>
                <w:b/>
                <w:bCs/>
              </w:rPr>
              <w:t xml:space="preserve">in-text citations from </w:t>
            </w:r>
            <w:r w:rsidR="009E5723">
              <w:rPr>
                <w:rFonts w:eastAsia="Calibri"/>
                <w:b/>
                <w:bCs/>
              </w:rPr>
              <w:t xml:space="preserve">the </w:t>
            </w:r>
            <w:r w:rsidRPr="00427441">
              <w:rPr>
                <w:rFonts w:eastAsia="Calibri"/>
                <w:b/>
                <w:bCs/>
              </w:rPr>
              <w:t>materials specifie</w:t>
            </w:r>
            <w:r w:rsidR="009E5723">
              <w:rPr>
                <w:rFonts w:eastAsia="Calibri"/>
                <w:b/>
                <w:bCs/>
              </w:rPr>
              <w:t xml:space="preserve">d </w:t>
            </w:r>
            <w:r w:rsidR="009E5723" w:rsidRPr="009E5723">
              <w:rPr>
                <w:rFonts w:eastAsia="Calibri"/>
                <w:b/>
                <w:bCs/>
              </w:rPr>
              <w:t>(see list below)</w:t>
            </w:r>
            <w:r w:rsidR="009E5723">
              <w:rPr>
                <w:rFonts w:eastAsia="Calibri"/>
                <w:b/>
                <w:bCs/>
              </w:rPr>
              <w:t>.</w:t>
            </w:r>
          </w:p>
          <w:p w14:paraId="0FC1EC74" w14:textId="4F39EBA4" w:rsidR="00427441" w:rsidRPr="004A39D9" w:rsidRDefault="00427441" w:rsidP="00AA3685">
            <w:pPr>
              <w:spacing w:line="360" w:lineRule="auto"/>
              <w:jc w:val="both"/>
              <w:rPr>
                <w:rFonts w:ascii="Humnst777 Lt BT" w:hAnsi="Humnst777 Lt BT"/>
                <w:b/>
                <w:bCs/>
              </w:rPr>
            </w:pPr>
          </w:p>
        </w:tc>
      </w:tr>
      <w:tr w:rsidR="007B0759" w:rsidRPr="00216D0B" w14:paraId="2CE55CE3" w14:textId="77777777" w:rsidTr="00D61A33">
        <w:tc>
          <w:tcPr>
            <w:tcW w:w="10632" w:type="dxa"/>
            <w:gridSpan w:val="2"/>
            <w:tcBorders>
              <w:left w:val="nil"/>
              <w:right w:val="nil"/>
            </w:tcBorders>
            <w:shd w:val="clear" w:color="auto" w:fill="auto"/>
            <w:tcMar>
              <w:top w:w="113" w:type="dxa"/>
              <w:bottom w:w="113" w:type="dxa"/>
            </w:tcMar>
          </w:tcPr>
          <w:p w14:paraId="38F714FB" w14:textId="77777777" w:rsidR="007B0759" w:rsidRDefault="007B0759" w:rsidP="007B0759">
            <w:pPr>
              <w:rPr>
                <w:b/>
              </w:rPr>
            </w:pPr>
          </w:p>
          <w:p w14:paraId="081ABA83" w14:textId="77777777" w:rsidR="007566EF" w:rsidRDefault="007566EF" w:rsidP="007B0759">
            <w:pPr>
              <w:rPr>
                <w:b/>
              </w:rPr>
            </w:pPr>
          </w:p>
          <w:p w14:paraId="2291B3A4" w14:textId="77777777" w:rsidR="007566EF" w:rsidRDefault="007566EF" w:rsidP="007B0759">
            <w:pPr>
              <w:rPr>
                <w:b/>
              </w:rPr>
            </w:pPr>
          </w:p>
          <w:p w14:paraId="6C394AFA" w14:textId="77777777" w:rsidR="007566EF" w:rsidRDefault="007566EF" w:rsidP="007B0759">
            <w:pPr>
              <w:rPr>
                <w:b/>
              </w:rPr>
            </w:pPr>
          </w:p>
          <w:p w14:paraId="1CE589D4" w14:textId="2A1E6C9B" w:rsidR="007566EF" w:rsidRPr="00216D0B" w:rsidRDefault="007566EF" w:rsidP="007B0759">
            <w:pPr>
              <w:rPr>
                <w:b/>
              </w:rPr>
            </w:pPr>
          </w:p>
        </w:tc>
      </w:tr>
      <w:tr w:rsidR="007B0759" w:rsidRPr="00216D0B" w14:paraId="1E624361" w14:textId="77777777" w:rsidTr="00BC1792">
        <w:tc>
          <w:tcPr>
            <w:tcW w:w="10632" w:type="dxa"/>
            <w:gridSpan w:val="2"/>
            <w:shd w:val="clear" w:color="auto" w:fill="BFBFBF" w:themeFill="background1" w:themeFillShade="BF"/>
            <w:tcMar>
              <w:top w:w="113" w:type="dxa"/>
              <w:bottom w:w="113" w:type="dxa"/>
            </w:tcMar>
          </w:tcPr>
          <w:p w14:paraId="75D24306" w14:textId="79F1A4B7" w:rsidR="007B0759" w:rsidRPr="00216D0B" w:rsidRDefault="00482F99" w:rsidP="007B0759">
            <w:pPr>
              <w:rPr>
                <w:b/>
              </w:rPr>
            </w:pPr>
            <w:r>
              <w:rPr>
                <w:b/>
              </w:rPr>
              <w:t>Recommended Reading</w:t>
            </w:r>
          </w:p>
        </w:tc>
      </w:tr>
      <w:tr w:rsidR="007B0759" w:rsidRPr="00216D0B" w14:paraId="7DDF1134" w14:textId="77777777" w:rsidTr="001C4291">
        <w:tc>
          <w:tcPr>
            <w:tcW w:w="10632" w:type="dxa"/>
            <w:gridSpan w:val="2"/>
            <w:shd w:val="clear" w:color="auto" w:fill="auto"/>
            <w:tcMar>
              <w:top w:w="113" w:type="dxa"/>
              <w:bottom w:w="113" w:type="dxa"/>
            </w:tcMar>
          </w:tcPr>
          <w:p w14:paraId="332714BD" w14:textId="77777777" w:rsidR="005F4A62" w:rsidRPr="005F4A62" w:rsidRDefault="005F4A62" w:rsidP="005F4A62">
            <w:pPr>
              <w:pStyle w:val="ListParagraph"/>
              <w:numPr>
                <w:ilvl w:val="0"/>
                <w:numId w:val="5"/>
              </w:numPr>
              <w:spacing w:after="0" w:line="360" w:lineRule="auto"/>
              <w:jc w:val="both"/>
              <w:rPr>
                <w:sz w:val="20"/>
                <w:szCs w:val="20"/>
                <w:lang w:val="en-US"/>
              </w:rPr>
            </w:pPr>
            <w:r w:rsidRPr="005F4A62">
              <w:rPr>
                <w:sz w:val="20"/>
                <w:szCs w:val="20"/>
                <w:lang w:val="en-US"/>
              </w:rPr>
              <w:t>Bassot, B. (2020). The Reflective Journal. 3rd edition. London: Bloomsbury Academic.</w:t>
            </w:r>
          </w:p>
          <w:p w14:paraId="5CDC29AB" w14:textId="2BC76F7E" w:rsidR="00FB646E" w:rsidRPr="008C66CF" w:rsidRDefault="00FB646E" w:rsidP="00387BF0">
            <w:pPr>
              <w:pStyle w:val="ListParagraph"/>
              <w:numPr>
                <w:ilvl w:val="0"/>
                <w:numId w:val="5"/>
              </w:numPr>
              <w:spacing w:after="0" w:line="360" w:lineRule="auto"/>
              <w:jc w:val="both"/>
              <w:rPr>
                <w:sz w:val="20"/>
                <w:szCs w:val="20"/>
              </w:rPr>
            </w:pPr>
            <w:r w:rsidRPr="008C66CF">
              <w:rPr>
                <w:sz w:val="20"/>
                <w:szCs w:val="20"/>
                <w:lang w:val="en-US"/>
              </w:rPr>
              <w:t xml:space="preserve">Cheng, W. and Warren, M. (2000). Making a difference: Using peers to assess individual student's contributions to a group project. Teaching in higher education (5)2, 243-255. </w:t>
            </w:r>
          </w:p>
          <w:p w14:paraId="1D0CF178" w14:textId="6D062224" w:rsidR="002113C3" w:rsidRDefault="002113C3" w:rsidP="00387BF0">
            <w:pPr>
              <w:pStyle w:val="ListParagraph"/>
              <w:numPr>
                <w:ilvl w:val="0"/>
                <w:numId w:val="5"/>
              </w:numPr>
              <w:spacing w:after="0" w:line="360" w:lineRule="auto"/>
              <w:jc w:val="both"/>
              <w:rPr>
                <w:sz w:val="20"/>
                <w:szCs w:val="20"/>
              </w:rPr>
            </w:pPr>
            <w:r w:rsidRPr="008C66CF">
              <w:rPr>
                <w:sz w:val="20"/>
                <w:szCs w:val="20"/>
              </w:rPr>
              <w:t xml:space="preserve">Cottrell, S. (2019) </w:t>
            </w:r>
            <w:r w:rsidRPr="008C66CF">
              <w:rPr>
                <w:i/>
                <w:iCs/>
                <w:sz w:val="20"/>
                <w:szCs w:val="20"/>
              </w:rPr>
              <w:t>The Study Skills Handbook</w:t>
            </w:r>
            <w:r w:rsidRPr="008C66CF">
              <w:rPr>
                <w:sz w:val="20"/>
                <w:szCs w:val="20"/>
              </w:rPr>
              <w:t>. 5th ed. Basingstoke, Palgrave.</w:t>
            </w:r>
          </w:p>
          <w:p w14:paraId="57929531" w14:textId="77777777" w:rsidR="005F4A62" w:rsidRPr="005F4A62" w:rsidRDefault="005F4A62" w:rsidP="005F4A62">
            <w:pPr>
              <w:pStyle w:val="ListParagraph"/>
              <w:numPr>
                <w:ilvl w:val="0"/>
                <w:numId w:val="5"/>
              </w:numPr>
              <w:spacing w:after="0" w:line="360" w:lineRule="auto"/>
              <w:jc w:val="both"/>
              <w:rPr>
                <w:sz w:val="20"/>
                <w:szCs w:val="20"/>
              </w:rPr>
            </w:pPr>
            <w:r w:rsidRPr="005F4A62">
              <w:rPr>
                <w:sz w:val="20"/>
                <w:szCs w:val="20"/>
              </w:rPr>
              <w:t>Martin, S.R., Emich, K.J., McClean, E.J. and Woodruff, C.T. (2022). Keeping Teams Together: How Ethical Leadership Moderates the Effects of Performance on Team Efficacy and Social Integration. Journal of Business Ethics 176 (1):127-139.</w:t>
            </w:r>
          </w:p>
          <w:p w14:paraId="1F58AB80" w14:textId="1DD76683" w:rsidR="005F4A62" w:rsidRPr="008C66CF" w:rsidRDefault="005F4A62" w:rsidP="005F4A62">
            <w:pPr>
              <w:pStyle w:val="ListParagraph"/>
              <w:numPr>
                <w:ilvl w:val="0"/>
                <w:numId w:val="5"/>
              </w:numPr>
              <w:spacing w:after="0" w:line="360" w:lineRule="auto"/>
              <w:jc w:val="both"/>
              <w:rPr>
                <w:sz w:val="20"/>
                <w:szCs w:val="20"/>
              </w:rPr>
            </w:pPr>
            <w:r w:rsidRPr="005F4A62">
              <w:rPr>
                <w:sz w:val="20"/>
                <w:szCs w:val="20"/>
              </w:rPr>
              <w:t xml:space="preserve">Hatch M. J., Schultz M. (2002). The dynamics of </w:t>
            </w:r>
            <w:r w:rsidR="007C57F7" w:rsidRPr="005F4A62">
              <w:rPr>
                <w:sz w:val="20"/>
                <w:szCs w:val="20"/>
              </w:rPr>
              <w:t>organisational</w:t>
            </w:r>
            <w:r w:rsidRPr="005F4A62">
              <w:rPr>
                <w:sz w:val="20"/>
                <w:szCs w:val="20"/>
              </w:rPr>
              <w:t xml:space="preserve"> identity. Human Relations, 55, 989-1018.</w:t>
            </w:r>
          </w:p>
          <w:p w14:paraId="4C85CFEE" w14:textId="535D37E1" w:rsidR="004B5CAE" w:rsidRPr="008C66CF" w:rsidRDefault="004B5CAE" w:rsidP="00387BF0">
            <w:pPr>
              <w:pStyle w:val="ListParagraph"/>
              <w:numPr>
                <w:ilvl w:val="0"/>
                <w:numId w:val="5"/>
              </w:numPr>
              <w:spacing w:after="0" w:line="360" w:lineRule="auto"/>
              <w:jc w:val="both"/>
              <w:rPr>
                <w:sz w:val="20"/>
                <w:szCs w:val="20"/>
              </w:rPr>
            </w:pPr>
            <w:r w:rsidRPr="008C66CF">
              <w:rPr>
                <w:sz w:val="20"/>
                <w:szCs w:val="20"/>
              </w:rPr>
              <w:t xml:space="preserve">Schein, E.H. (2010). </w:t>
            </w:r>
            <w:r w:rsidR="007C57F7" w:rsidRPr="008C66CF">
              <w:rPr>
                <w:sz w:val="20"/>
                <w:szCs w:val="20"/>
              </w:rPr>
              <w:t>Organisational</w:t>
            </w:r>
            <w:r w:rsidRPr="008C66CF">
              <w:rPr>
                <w:sz w:val="20"/>
                <w:szCs w:val="20"/>
              </w:rPr>
              <w:t xml:space="preserve"> culture and leadership, 4th edition, San Francisco: </w:t>
            </w:r>
            <w:r w:rsidR="007C57F7" w:rsidRPr="008C66CF">
              <w:rPr>
                <w:sz w:val="20"/>
                <w:szCs w:val="20"/>
              </w:rPr>
              <w:t>Josses-Bass</w:t>
            </w:r>
            <w:r w:rsidRPr="008C66CF">
              <w:rPr>
                <w:sz w:val="20"/>
                <w:szCs w:val="20"/>
              </w:rPr>
              <w:t>.</w:t>
            </w:r>
          </w:p>
          <w:p w14:paraId="0C8BF591" w14:textId="72E937FE" w:rsidR="006F41E6" w:rsidRDefault="006F41E6" w:rsidP="00387BF0">
            <w:pPr>
              <w:pStyle w:val="ListParagraph"/>
              <w:numPr>
                <w:ilvl w:val="0"/>
                <w:numId w:val="5"/>
              </w:numPr>
              <w:spacing w:after="0" w:line="360" w:lineRule="auto"/>
              <w:jc w:val="both"/>
              <w:rPr>
                <w:sz w:val="20"/>
                <w:szCs w:val="20"/>
              </w:rPr>
            </w:pPr>
            <w:r w:rsidRPr="008C66CF">
              <w:rPr>
                <w:sz w:val="20"/>
                <w:szCs w:val="20"/>
              </w:rPr>
              <w:t>Schultz,</w:t>
            </w:r>
            <w:r w:rsidR="0068179E" w:rsidRPr="008C66CF">
              <w:rPr>
                <w:sz w:val="20"/>
                <w:szCs w:val="20"/>
              </w:rPr>
              <w:t xml:space="preserve"> M.</w:t>
            </w:r>
            <w:r w:rsidRPr="008C66CF">
              <w:rPr>
                <w:sz w:val="20"/>
                <w:szCs w:val="20"/>
              </w:rPr>
              <w:t xml:space="preserve"> (2011). Relationships Between Culture and </w:t>
            </w:r>
            <w:r w:rsidR="0068179E" w:rsidRPr="008C66CF">
              <w:rPr>
                <w:sz w:val="20"/>
                <w:szCs w:val="20"/>
              </w:rPr>
              <w:t>Institutions:</w:t>
            </w:r>
            <w:r w:rsidRPr="008C66CF">
              <w:rPr>
                <w:sz w:val="20"/>
                <w:szCs w:val="20"/>
              </w:rPr>
              <w:t xml:space="preserve"> New Interdependencies in a Global World?', Journal of Management Inquiry, no. 21, December, pp. 102 - 107.</w:t>
            </w:r>
          </w:p>
          <w:p w14:paraId="396D75CE" w14:textId="30EE992F" w:rsidR="00747FCC" w:rsidRPr="008C66CF" w:rsidRDefault="00747FCC" w:rsidP="00387BF0">
            <w:pPr>
              <w:pStyle w:val="ListParagraph"/>
              <w:numPr>
                <w:ilvl w:val="0"/>
                <w:numId w:val="5"/>
              </w:numPr>
              <w:spacing w:after="0" w:line="360" w:lineRule="auto"/>
              <w:jc w:val="both"/>
              <w:rPr>
                <w:sz w:val="20"/>
                <w:szCs w:val="20"/>
              </w:rPr>
            </w:pPr>
            <w:r w:rsidRPr="00747FCC">
              <w:rPr>
                <w:sz w:val="20"/>
                <w:szCs w:val="20"/>
              </w:rPr>
              <w:t>Smith, C. (2024) Gibbs reflective cycle, Making Business Matter (MBM). Available at: https://www.makingbusinessmatter.co.uk/gibbs-reflective-cycle/ (Accessed: 10 January 2024).</w:t>
            </w:r>
          </w:p>
          <w:p w14:paraId="78160242" w14:textId="4928575D" w:rsidR="001C200B" w:rsidRPr="008C66CF" w:rsidRDefault="001C200B" w:rsidP="00387BF0">
            <w:pPr>
              <w:pStyle w:val="ListParagraph"/>
              <w:numPr>
                <w:ilvl w:val="0"/>
                <w:numId w:val="5"/>
              </w:numPr>
              <w:spacing w:after="0" w:line="360" w:lineRule="auto"/>
              <w:jc w:val="both"/>
              <w:rPr>
                <w:sz w:val="20"/>
                <w:szCs w:val="20"/>
              </w:rPr>
            </w:pPr>
            <w:r w:rsidRPr="008C66CF">
              <w:rPr>
                <w:sz w:val="20"/>
                <w:szCs w:val="20"/>
              </w:rPr>
              <w:t xml:space="preserve">Tong, C., Wah </w:t>
            </w:r>
            <w:r w:rsidR="00173544" w:rsidRPr="008C66CF">
              <w:rPr>
                <w:sz w:val="20"/>
                <w:szCs w:val="20"/>
              </w:rPr>
              <w:t>Take</w:t>
            </w:r>
            <w:r w:rsidRPr="008C66CF">
              <w:rPr>
                <w:sz w:val="20"/>
                <w:szCs w:val="20"/>
              </w:rPr>
              <w:t xml:space="preserve">, W.I. and Wong, A. (2013) 'The Impact of Knowledge Sharing on the Relationship between </w:t>
            </w:r>
            <w:r w:rsidR="00173544" w:rsidRPr="008C66CF">
              <w:rPr>
                <w:sz w:val="20"/>
                <w:szCs w:val="20"/>
              </w:rPr>
              <w:t>Organisational</w:t>
            </w:r>
            <w:r w:rsidRPr="008C66CF">
              <w:rPr>
                <w:sz w:val="20"/>
                <w:szCs w:val="20"/>
              </w:rPr>
              <w:t xml:space="preserve"> Culture and Job Satisfaction: </w:t>
            </w:r>
            <w:r w:rsidR="00F41137" w:rsidRPr="008C66CF">
              <w:rPr>
                <w:sz w:val="20"/>
                <w:szCs w:val="20"/>
              </w:rPr>
              <w:t>The</w:t>
            </w:r>
            <w:r w:rsidRPr="008C66CF">
              <w:rPr>
                <w:sz w:val="20"/>
                <w:szCs w:val="20"/>
              </w:rPr>
              <w:t xml:space="preserve"> Perception of Information Communication and Technology (ICT) Practitioners in Hong Kong', International Journal of Human Resource Studies, vol. 3.</w:t>
            </w:r>
          </w:p>
          <w:p w14:paraId="04B3E512" w14:textId="4388003C" w:rsidR="007B0759" w:rsidRPr="00BD7A2D" w:rsidRDefault="00482F99" w:rsidP="00387BF0">
            <w:pPr>
              <w:pStyle w:val="ListParagraph"/>
              <w:numPr>
                <w:ilvl w:val="0"/>
                <w:numId w:val="5"/>
              </w:numPr>
              <w:spacing w:after="0" w:line="360" w:lineRule="auto"/>
              <w:jc w:val="both"/>
              <w:rPr>
                <w:lang w:val="en-US"/>
              </w:rPr>
            </w:pPr>
            <w:r w:rsidRPr="008C66CF">
              <w:rPr>
                <w:sz w:val="20"/>
                <w:szCs w:val="20"/>
                <w:lang w:val="en-US"/>
              </w:rPr>
              <w:t>Topping, K.P. (1998). Peer assessment between students in colleges and universities. Review of Educational Research, (68)3, 249–276.</w:t>
            </w:r>
          </w:p>
          <w:p w14:paraId="1AE53AB3" w14:textId="77777777" w:rsidR="00BD7A2D" w:rsidRPr="00BD7A2D" w:rsidRDefault="00BD7A2D" w:rsidP="00BD7A2D">
            <w:pPr>
              <w:pStyle w:val="ListParagraph"/>
              <w:numPr>
                <w:ilvl w:val="0"/>
                <w:numId w:val="5"/>
              </w:numPr>
              <w:spacing w:after="0" w:line="360" w:lineRule="auto"/>
              <w:jc w:val="both"/>
              <w:rPr>
                <w:sz w:val="20"/>
                <w:szCs w:val="20"/>
                <w:lang w:val="en-US"/>
              </w:rPr>
            </w:pPr>
            <w:r w:rsidRPr="00BD7A2D">
              <w:rPr>
                <w:sz w:val="20"/>
                <w:szCs w:val="20"/>
                <w:lang w:val="en-US"/>
              </w:rPr>
              <w:t xml:space="preserve">Williams, K., Woolliams, M., and Spiro, J. (2017). Pocket Study Skills: Reflective Writing. 3rd edition. </w:t>
            </w:r>
          </w:p>
          <w:p w14:paraId="53F1C9FF" w14:textId="03374374" w:rsidR="004954B6" w:rsidRPr="00BD7A2D" w:rsidRDefault="00BD7A2D" w:rsidP="00BD7A2D">
            <w:pPr>
              <w:pStyle w:val="ListParagraph"/>
              <w:numPr>
                <w:ilvl w:val="0"/>
                <w:numId w:val="0"/>
              </w:numPr>
              <w:spacing w:after="0" w:line="360" w:lineRule="auto"/>
              <w:ind w:left="720"/>
              <w:jc w:val="both"/>
              <w:rPr>
                <w:sz w:val="20"/>
                <w:szCs w:val="20"/>
                <w:lang w:val="en-US"/>
              </w:rPr>
            </w:pPr>
            <w:r w:rsidRPr="00BD7A2D">
              <w:rPr>
                <w:sz w:val="20"/>
                <w:szCs w:val="20"/>
                <w:lang w:val="en-US"/>
              </w:rPr>
              <w:t>Bloomsbury Publishing PLC.</w:t>
            </w:r>
          </w:p>
        </w:tc>
      </w:tr>
      <w:tr w:rsidR="007B0759" w:rsidRPr="00216D0B" w14:paraId="281BBF68" w14:textId="77777777" w:rsidTr="00BC1792">
        <w:tc>
          <w:tcPr>
            <w:tcW w:w="10632" w:type="dxa"/>
            <w:gridSpan w:val="2"/>
            <w:shd w:val="clear" w:color="auto" w:fill="BFBFBF" w:themeFill="background1" w:themeFillShade="BF"/>
            <w:tcMar>
              <w:top w:w="113" w:type="dxa"/>
              <w:bottom w:w="113" w:type="dxa"/>
            </w:tcMar>
          </w:tcPr>
          <w:p w14:paraId="6C1977F4" w14:textId="5863427C" w:rsidR="007B0759" w:rsidRPr="00216D0B" w:rsidRDefault="007B0759" w:rsidP="007B0759">
            <w:pPr>
              <w:rPr>
                <w:b/>
              </w:rPr>
            </w:pPr>
            <w:r w:rsidRPr="00216D0B">
              <w:rPr>
                <w:b/>
              </w:rPr>
              <w:t>Referencing and research requirements</w:t>
            </w:r>
          </w:p>
        </w:tc>
      </w:tr>
      <w:tr w:rsidR="007B0759" w14:paraId="43CB5F0D" w14:textId="77777777" w:rsidTr="00BC1792">
        <w:tc>
          <w:tcPr>
            <w:tcW w:w="10632" w:type="dxa"/>
            <w:gridSpan w:val="2"/>
            <w:tcBorders>
              <w:bottom w:val="single" w:sz="4" w:space="0" w:color="auto"/>
            </w:tcBorders>
            <w:tcMar>
              <w:top w:w="113" w:type="dxa"/>
              <w:bottom w:w="113" w:type="dxa"/>
            </w:tcMar>
          </w:tcPr>
          <w:p w14:paraId="00158D76" w14:textId="73980CF1" w:rsidR="007B0759" w:rsidRPr="0026221A" w:rsidRDefault="007B0759" w:rsidP="007B0759">
            <w:pPr>
              <w:rPr>
                <w:rFonts w:cs="Arial"/>
                <w:color w:val="000000" w:themeColor="text1"/>
              </w:rPr>
            </w:pPr>
            <w:r w:rsidRPr="0026221A">
              <w:rPr>
                <w:rFonts w:cs="Arial"/>
                <w:color w:val="000000" w:themeColor="text1"/>
              </w:rPr>
              <w:t xml:space="preserve">Please reference your work according to the Canterbury Harvard Referencing style guidance. You can access this on Moodle.  </w:t>
            </w:r>
          </w:p>
          <w:p w14:paraId="55E0A4DC" w14:textId="77777777" w:rsidR="007B0759" w:rsidRPr="0026221A" w:rsidRDefault="007B0759" w:rsidP="007B0759">
            <w:pPr>
              <w:rPr>
                <w:rFonts w:cs="Arial"/>
                <w:color w:val="000000" w:themeColor="text1"/>
              </w:rPr>
            </w:pPr>
          </w:p>
          <w:p w14:paraId="26216038" w14:textId="1869D138" w:rsidR="007B0759" w:rsidRPr="0026221A" w:rsidRDefault="007B0759" w:rsidP="007B0759">
            <w:pPr>
              <w:rPr>
                <w:rFonts w:cs="Arial"/>
                <w:color w:val="000000" w:themeColor="text1"/>
              </w:rPr>
            </w:pPr>
            <w:r w:rsidRPr="0026221A">
              <w:rPr>
                <w:rFonts w:cs="Arial"/>
                <w:color w:val="000000" w:themeColor="text1"/>
              </w:rPr>
              <w:t xml:space="preserve">For each reference used, provide the full Harvard reference within your references section and the core in-text citation if you are referencing something in your text. </w:t>
            </w:r>
          </w:p>
          <w:p w14:paraId="697512B7" w14:textId="77777777" w:rsidR="007B0759" w:rsidRPr="0026221A" w:rsidRDefault="007B0759" w:rsidP="007B0759">
            <w:pPr>
              <w:rPr>
                <w:rFonts w:cs="Arial"/>
                <w:color w:val="000000" w:themeColor="text1"/>
              </w:rPr>
            </w:pPr>
          </w:p>
          <w:p w14:paraId="33635C90" w14:textId="77777777" w:rsidR="007B0759" w:rsidRDefault="007B0759" w:rsidP="007B0759">
            <w:pPr>
              <w:rPr>
                <w:rFonts w:cs="Arial"/>
                <w:color w:val="000000" w:themeColor="text1"/>
              </w:rPr>
            </w:pPr>
            <w:r w:rsidRPr="0026221A">
              <w:rPr>
                <w:rFonts w:cs="Arial"/>
                <w:color w:val="000000" w:themeColor="text1"/>
              </w:rPr>
              <w:t>Include both direct and indirect citations from a wide variety of sources.</w:t>
            </w:r>
          </w:p>
          <w:p w14:paraId="25A8477D" w14:textId="5EA9CE7C" w:rsidR="00231E7B" w:rsidRPr="0026221A" w:rsidRDefault="00231E7B" w:rsidP="007B0759">
            <w:pPr>
              <w:rPr>
                <w:rFonts w:cs="Arial"/>
                <w:color w:val="000000" w:themeColor="text1"/>
              </w:rPr>
            </w:pPr>
          </w:p>
        </w:tc>
      </w:tr>
      <w:tr w:rsidR="007B0759" w14:paraId="61EBC0DF" w14:textId="77777777" w:rsidTr="00BC1792">
        <w:tc>
          <w:tcPr>
            <w:tcW w:w="10632" w:type="dxa"/>
            <w:gridSpan w:val="2"/>
            <w:tcBorders>
              <w:left w:val="nil"/>
              <w:right w:val="nil"/>
            </w:tcBorders>
            <w:tcMar>
              <w:top w:w="113" w:type="dxa"/>
              <w:bottom w:w="113" w:type="dxa"/>
            </w:tcMar>
          </w:tcPr>
          <w:p w14:paraId="6C0A4AFD" w14:textId="77777777" w:rsidR="007B0759" w:rsidRPr="009363CC" w:rsidRDefault="007B0759" w:rsidP="007B0759">
            <w:pPr>
              <w:rPr>
                <w:highlight w:val="yellow"/>
              </w:rPr>
            </w:pPr>
          </w:p>
        </w:tc>
      </w:tr>
      <w:tr w:rsidR="007B0759" w:rsidRPr="00216D0B" w14:paraId="0B0D0CEB" w14:textId="77777777" w:rsidTr="00BC1792">
        <w:tc>
          <w:tcPr>
            <w:tcW w:w="10632" w:type="dxa"/>
            <w:gridSpan w:val="2"/>
            <w:shd w:val="clear" w:color="auto" w:fill="BFBFBF" w:themeFill="background1" w:themeFillShade="BF"/>
            <w:tcMar>
              <w:top w:w="113" w:type="dxa"/>
              <w:bottom w:w="113" w:type="dxa"/>
            </w:tcMar>
          </w:tcPr>
          <w:p w14:paraId="2C5319AF" w14:textId="77777777" w:rsidR="007B0759" w:rsidRPr="0026221A" w:rsidRDefault="007B0759" w:rsidP="007B0759">
            <w:pPr>
              <w:rPr>
                <w:b/>
              </w:rPr>
            </w:pPr>
            <w:r w:rsidRPr="0026221A">
              <w:rPr>
                <w:b/>
              </w:rPr>
              <w:t>How your work will be assessed</w:t>
            </w:r>
          </w:p>
        </w:tc>
      </w:tr>
      <w:tr w:rsidR="007B0759" w14:paraId="59AA4C79" w14:textId="77777777" w:rsidTr="00BC1792">
        <w:tc>
          <w:tcPr>
            <w:tcW w:w="10632" w:type="dxa"/>
            <w:gridSpan w:val="2"/>
            <w:tcBorders>
              <w:bottom w:val="single" w:sz="4" w:space="0" w:color="auto"/>
            </w:tcBorders>
            <w:tcMar>
              <w:top w:w="113" w:type="dxa"/>
              <w:bottom w:w="113" w:type="dxa"/>
            </w:tcMar>
          </w:tcPr>
          <w:p w14:paraId="1094905A" w14:textId="77777777" w:rsidR="007B0759" w:rsidRPr="0026221A" w:rsidRDefault="007B0759" w:rsidP="00304A19">
            <w:pPr>
              <w:jc w:val="both"/>
            </w:pPr>
            <w:r w:rsidRPr="0026221A">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2E728006" w14:textId="77777777" w:rsidR="007B0759" w:rsidRPr="0026221A" w:rsidRDefault="007B0759" w:rsidP="00304A19">
            <w:pPr>
              <w:jc w:val="both"/>
            </w:pPr>
          </w:p>
          <w:p w14:paraId="230032D1" w14:textId="3E48994A" w:rsidR="007B0759" w:rsidRPr="0026221A" w:rsidRDefault="007B0759" w:rsidP="00304A19">
            <w:pPr>
              <w:jc w:val="both"/>
              <w:rPr>
                <w:rFonts w:cs="Arial"/>
              </w:rPr>
            </w:pPr>
            <w:r w:rsidRPr="0026221A">
              <w:rPr>
                <w:rFonts w:cs="Arial"/>
              </w:rPr>
              <w:t>This assignment will be marked according to the grading descriptors for Level 0.</w:t>
            </w:r>
          </w:p>
        </w:tc>
      </w:tr>
      <w:tr w:rsidR="007B0759" w14:paraId="65044D52" w14:textId="77777777" w:rsidTr="00BC1792">
        <w:tc>
          <w:tcPr>
            <w:tcW w:w="10632" w:type="dxa"/>
            <w:gridSpan w:val="2"/>
            <w:tcBorders>
              <w:left w:val="nil"/>
              <w:right w:val="nil"/>
            </w:tcBorders>
            <w:tcMar>
              <w:top w:w="113" w:type="dxa"/>
              <w:bottom w:w="113" w:type="dxa"/>
            </w:tcMar>
          </w:tcPr>
          <w:p w14:paraId="7544A1E9" w14:textId="77777777" w:rsidR="007B0759" w:rsidRPr="009363CC" w:rsidRDefault="007B0759" w:rsidP="007B0759">
            <w:pPr>
              <w:rPr>
                <w:highlight w:val="yellow"/>
              </w:rPr>
            </w:pPr>
          </w:p>
        </w:tc>
      </w:tr>
      <w:tr w:rsidR="007B0759" w:rsidRPr="00216D0B" w14:paraId="2180BDD5" w14:textId="77777777" w:rsidTr="00BC1792">
        <w:tc>
          <w:tcPr>
            <w:tcW w:w="10632" w:type="dxa"/>
            <w:gridSpan w:val="2"/>
            <w:shd w:val="clear" w:color="auto" w:fill="BFBFBF" w:themeFill="background1" w:themeFillShade="BF"/>
            <w:tcMar>
              <w:top w:w="113" w:type="dxa"/>
              <w:bottom w:w="113" w:type="dxa"/>
            </w:tcMar>
          </w:tcPr>
          <w:p w14:paraId="71172F5C" w14:textId="77777777" w:rsidR="007B0759" w:rsidRPr="0026221A" w:rsidRDefault="007B0759" w:rsidP="007B0759">
            <w:pPr>
              <w:rPr>
                <w:b/>
              </w:rPr>
            </w:pPr>
            <w:r w:rsidRPr="0026221A">
              <w:rPr>
                <w:b/>
              </w:rPr>
              <w:t>Submission details</w:t>
            </w:r>
          </w:p>
        </w:tc>
      </w:tr>
      <w:tr w:rsidR="007B0759" w14:paraId="47B54660" w14:textId="77777777" w:rsidTr="00BC1792">
        <w:tc>
          <w:tcPr>
            <w:tcW w:w="10632" w:type="dxa"/>
            <w:gridSpan w:val="2"/>
            <w:tcBorders>
              <w:bottom w:val="single" w:sz="4" w:space="0" w:color="auto"/>
            </w:tcBorders>
            <w:tcMar>
              <w:top w:w="113" w:type="dxa"/>
              <w:bottom w:w="113" w:type="dxa"/>
            </w:tcMar>
          </w:tcPr>
          <w:p w14:paraId="7737E56F" w14:textId="77777777" w:rsidR="007B0759" w:rsidRPr="0026221A" w:rsidRDefault="007B0759" w:rsidP="00F66CD0">
            <w:pPr>
              <w:pStyle w:val="Default"/>
              <w:jc w:val="both"/>
              <w:rPr>
                <w:sz w:val="22"/>
                <w:szCs w:val="22"/>
              </w:rPr>
            </w:pPr>
            <w:r w:rsidRPr="0026221A">
              <w:rPr>
                <w:sz w:val="22"/>
                <w:szCs w:val="22"/>
              </w:rPr>
              <w:t xml:space="preserve">This assignment should be submitted electronically via Moodle (module tutors will discuss this process with you during class time). </w:t>
            </w:r>
          </w:p>
          <w:p w14:paraId="3669C764" w14:textId="77777777" w:rsidR="007B0759" w:rsidRPr="0026221A" w:rsidRDefault="007B0759" w:rsidP="00F66CD0">
            <w:pPr>
              <w:pStyle w:val="Default"/>
              <w:jc w:val="both"/>
              <w:rPr>
                <w:sz w:val="22"/>
                <w:szCs w:val="22"/>
              </w:rPr>
            </w:pPr>
          </w:p>
          <w:p w14:paraId="5C432A74" w14:textId="66A3DF60" w:rsidR="007B0759" w:rsidRPr="0026221A" w:rsidRDefault="007B0759" w:rsidP="00CE57A0">
            <w:pPr>
              <w:pStyle w:val="Default"/>
              <w:numPr>
                <w:ilvl w:val="0"/>
                <w:numId w:val="3"/>
              </w:numPr>
              <w:spacing w:after="31" w:line="276" w:lineRule="auto"/>
              <w:jc w:val="both"/>
              <w:rPr>
                <w:sz w:val="22"/>
                <w:szCs w:val="22"/>
              </w:rPr>
            </w:pPr>
            <w:r w:rsidRPr="0026221A">
              <w:rPr>
                <w:sz w:val="22"/>
                <w:szCs w:val="22"/>
              </w:rPr>
              <w:t xml:space="preserve">Please ensure that your work has been saved in an appropriate file format (Microsoft Word, or PDF are the most widely used; Google Docs is also accepted). Your file must also contain at least 20 words of text, consist of fewer than 400 pages and be less than 40MB in size. </w:t>
            </w:r>
          </w:p>
          <w:p w14:paraId="301BF260" w14:textId="41A1C052" w:rsidR="007B0759" w:rsidRPr="0026221A" w:rsidRDefault="007B0759" w:rsidP="00CE57A0">
            <w:pPr>
              <w:pStyle w:val="Default"/>
              <w:numPr>
                <w:ilvl w:val="0"/>
                <w:numId w:val="3"/>
              </w:numPr>
              <w:spacing w:after="31" w:line="276" w:lineRule="auto"/>
              <w:jc w:val="both"/>
              <w:rPr>
                <w:sz w:val="22"/>
                <w:szCs w:val="22"/>
              </w:rPr>
            </w:pPr>
            <w:bookmarkStart w:id="1" w:name="_Hlk22891287"/>
            <w:r w:rsidRPr="0026221A">
              <w:rPr>
                <w:sz w:val="22"/>
                <w:szCs w:val="22"/>
              </w:rPr>
              <w:t xml:space="preserve">You can submit your work as many times as you like before the submission date. If you do submit </w:t>
            </w:r>
            <w:r w:rsidRPr="0026221A">
              <w:rPr>
                <w:rFonts w:cstheme="minorBidi"/>
                <w:color w:val="auto"/>
                <w:sz w:val="22"/>
                <w:szCs w:val="22"/>
              </w:rPr>
              <w:t>your work</w:t>
            </w:r>
            <w:r w:rsidRPr="0026221A">
              <w:rPr>
                <w:sz w:val="22"/>
                <w:szCs w:val="22"/>
              </w:rPr>
              <w:t xml:space="preserve"> more than once, your earlier submission will be replaced by the most recent version. </w:t>
            </w:r>
          </w:p>
          <w:p w14:paraId="4EB95756" w14:textId="2E618244" w:rsidR="007B0759" w:rsidRPr="0026221A" w:rsidRDefault="007B0759" w:rsidP="00CE57A0">
            <w:pPr>
              <w:pStyle w:val="Default"/>
              <w:numPr>
                <w:ilvl w:val="0"/>
                <w:numId w:val="3"/>
              </w:numPr>
              <w:spacing w:after="31" w:line="276" w:lineRule="auto"/>
              <w:jc w:val="both"/>
              <w:rPr>
                <w:rFonts w:cstheme="minorBidi"/>
                <w:b/>
                <w:bCs/>
                <w:color w:val="C00000"/>
                <w:sz w:val="22"/>
                <w:szCs w:val="22"/>
                <w:u w:val="single"/>
              </w:rPr>
            </w:pPr>
            <w:r w:rsidRPr="0026221A">
              <w:rPr>
                <w:rFonts w:cstheme="minorBidi"/>
                <w:b/>
                <w:bCs/>
                <w:color w:val="C00000"/>
                <w:sz w:val="22"/>
                <w:szCs w:val="22"/>
                <w:u w:val="single"/>
              </w:rPr>
              <w:t>Please ensure that you have submitted your work in the correct link on the assessment tab.</w:t>
            </w:r>
          </w:p>
          <w:p w14:paraId="566E0A50" w14:textId="16468050" w:rsidR="007B0759" w:rsidRPr="0026221A" w:rsidRDefault="007B0759" w:rsidP="00CE57A0">
            <w:pPr>
              <w:pStyle w:val="Default"/>
              <w:numPr>
                <w:ilvl w:val="0"/>
                <w:numId w:val="3"/>
              </w:numPr>
              <w:spacing w:line="276" w:lineRule="auto"/>
              <w:jc w:val="both"/>
              <w:rPr>
                <w:sz w:val="22"/>
                <w:szCs w:val="22"/>
              </w:rPr>
            </w:pPr>
            <w:r w:rsidRPr="0026221A">
              <w:rPr>
                <w:sz w:val="22"/>
                <w:szCs w:val="22"/>
              </w:rPr>
              <w:t xml:space="preserve">Once you have submitted your work, you will receive a digital receipt as proof of submission, which will be sent to your forwarded e-mail address (provided you have set this up). Please keep this receipt for future reference, along with the original electronic copy of your assignment </w:t>
            </w:r>
            <w:bookmarkEnd w:id="1"/>
          </w:p>
          <w:p w14:paraId="568E8317" w14:textId="5456A3C4" w:rsidR="007B0759" w:rsidRPr="0026221A" w:rsidRDefault="007B0759" w:rsidP="00CE57A0">
            <w:pPr>
              <w:pStyle w:val="ListParagraph"/>
              <w:numPr>
                <w:ilvl w:val="0"/>
                <w:numId w:val="2"/>
              </w:numPr>
              <w:tabs>
                <w:tab w:val="clear" w:pos="3168"/>
              </w:tabs>
              <w:spacing w:after="0" w:line="276" w:lineRule="auto"/>
              <w:contextualSpacing/>
              <w:jc w:val="both"/>
              <w:rPr>
                <w:rFonts w:cs="Arial"/>
              </w:rPr>
            </w:pPr>
            <w:r w:rsidRPr="0026221A">
              <w:rPr>
                <w:rFonts w:cs="Arial"/>
              </w:rPr>
              <w:t>You are reminded of the University’s regulations on academic misconduct, which can be viewed on the University website: Academic Misconduct Policy. In submitting your assignment, you are acknowledging that you have read and understood these regulations.</w:t>
            </w:r>
          </w:p>
          <w:p w14:paraId="3447F601" w14:textId="77777777" w:rsidR="007B0759" w:rsidRPr="0026221A" w:rsidRDefault="007B0759" w:rsidP="00B4474C"/>
        </w:tc>
      </w:tr>
      <w:tr w:rsidR="007B0759" w14:paraId="5B1C5E78" w14:textId="77777777" w:rsidTr="007B3883">
        <w:trPr>
          <w:trHeight w:val="147"/>
        </w:trPr>
        <w:tc>
          <w:tcPr>
            <w:tcW w:w="10632" w:type="dxa"/>
            <w:gridSpan w:val="2"/>
            <w:tcBorders>
              <w:left w:val="nil"/>
              <w:right w:val="nil"/>
            </w:tcBorders>
            <w:tcMar>
              <w:top w:w="113" w:type="dxa"/>
              <w:bottom w:w="113" w:type="dxa"/>
            </w:tcMar>
          </w:tcPr>
          <w:p w14:paraId="1059ABB1" w14:textId="77777777" w:rsidR="007B0759" w:rsidRDefault="007B0759" w:rsidP="007B0759"/>
        </w:tc>
      </w:tr>
    </w:tbl>
    <w:p w14:paraId="0E9EFC2C" w14:textId="043CE759" w:rsidR="001557AF" w:rsidRDefault="001557AF"/>
    <w:p w14:paraId="3BD84C5D" w14:textId="77777777" w:rsidR="00D06776" w:rsidRDefault="00D06776"/>
    <w:p w14:paraId="36E7ECF7" w14:textId="44CD7038" w:rsidR="00726E8E" w:rsidRDefault="00726E8E">
      <w:pPr>
        <w:sectPr w:rsidR="00726E8E" w:rsidSect="00AE2E24">
          <w:headerReference w:type="default" r:id="rId11"/>
          <w:footerReference w:type="default" r:id="rId12"/>
          <w:pgSz w:w="11906" w:h="16838"/>
          <w:pgMar w:top="1440" w:right="1440" w:bottom="1440" w:left="1440" w:header="708" w:footer="708" w:gutter="0"/>
          <w:cols w:space="708"/>
          <w:docGrid w:linePitch="360"/>
        </w:sectPr>
      </w:pPr>
      <w:r>
        <w:t>Please see below for assignment template</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726E8E" w:rsidRPr="00726E8E" w14:paraId="7533DC69" w14:textId="77777777" w:rsidTr="00C90F58">
        <w:trPr>
          <w:trHeight w:val="4119"/>
        </w:trPr>
        <w:tc>
          <w:tcPr>
            <w:tcW w:w="9026" w:type="dxa"/>
          </w:tcPr>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2123"/>
              <w:gridCol w:w="3629"/>
            </w:tblGrid>
            <w:tr w:rsidR="00726E8E" w:rsidRPr="00726E8E" w14:paraId="4C0BD450" w14:textId="77777777" w:rsidTr="00C90F58">
              <w:tc>
                <w:tcPr>
                  <w:tcW w:w="3388" w:type="dxa"/>
                  <w:hideMark/>
                </w:tcPr>
                <w:p w14:paraId="0716CF7B" w14:textId="77777777" w:rsidR="00726E8E" w:rsidRPr="00726E8E" w:rsidRDefault="00726E8E" w:rsidP="00726E8E">
                  <w:pPr>
                    <w:tabs>
                      <w:tab w:val="center" w:pos="4513"/>
                      <w:tab w:val="right" w:pos="9026"/>
                    </w:tabs>
                    <w:rPr>
                      <w:rFonts w:asciiTheme="minorHAnsi" w:hAnsiTheme="minorHAnsi"/>
                    </w:rPr>
                  </w:pPr>
                  <w:r w:rsidRPr="00726E8E">
                    <w:rPr>
                      <w:rFonts w:asciiTheme="minorHAnsi" w:hAnsiTheme="minorHAnsi"/>
                    </w:rPr>
                    <w:br w:type="page"/>
                  </w:r>
                  <w:r w:rsidRPr="00726E8E">
                    <w:rPr>
                      <w:rFonts w:asciiTheme="minorHAnsi" w:hAnsiTheme="minorHAnsi"/>
                      <w:noProof/>
                    </w:rPr>
                    <w:drawing>
                      <wp:inline distT="0" distB="0" distL="0" distR="0" wp14:anchorId="619B9BFB" wp14:editId="01A8F26D">
                        <wp:extent cx="1257300" cy="563880"/>
                        <wp:effectExtent l="0" t="0" r="0" b="762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563880"/>
                                </a:xfrm>
                                <a:prstGeom prst="rect">
                                  <a:avLst/>
                                </a:prstGeom>
                                <a:noFill/>
                                <a:ln>
                                  <a:noFill/>
                                </a:ln>
                              </pic:spPr>
                            </pic:pic>
                          </a:graphicData>
                        </a:graphic>
                      </wp:inline>
                    </w:drawing>
                  </w:r>
                </w:p>
              </w:tc>
              <w:tc>
                <w:tcPr>
                  <w:tcW w:w="2708" w:type="dxa"/>
                </w:tcPr>
                <w:p w14:paraId="11225191" w14:textId="77777777" w:rsidR="00726E8E" w:rsidRPr="00726E8E" w:rsidRDefault="00726E8E" w:rsidP="00726E8E">
                  <w:pPr>
                    <w:tabs>
                      <w:tab w:val="center" w:pos="4513"/>
                      <w:tab w:val="right" w:pos="9026"/>
                    </w:tabs>
                    <w:rPr>
                      <w:rFonts w:asciiTheme="minorHAnsi" w:hAnsiTheme="minorHAnsi"/>
                    </w:rPr>
                  </w:pPr>
                </w:p>
              </w:tc>
              <w:tc>
                <w:tcPr>
                  <w:tcW w:w="3969" w:type="dxa"/>
                  <w:hideMark/>
                </w:tcPr>
                <w:p w14:paraId="6C9FDDC6" w14:textId="77777777" w:rsidR="00726E8E" w:rsidRPr="00726E8E" w:rsidRDefault="00726E8E" w:rsidP="00726E8E">
                  <w:pPr>
                    <w:tabs>
                      <w:tab w:val="center" w:pos="4513"/>
                      <w:tab w:val="right" w:pos="9026"/>
                    </w:tabs>
                    <w:jc w:val="right"/>
                    <w:rPr>
                      <w:rFonts w:asciiTheme="minorHAnsi" w:hAnsiTheme="minorHAnsi"/>
                    </w:rPr>
                  </w:pPr>
                  <w:r w:rsidRPr="00726E8E">
                    <w:rPr>
                      <w:rFonts w:asciiTheme="minorHAnsi" w:hAnsiTheme="minorHAnsi"/>
                      <w:noProof/>
                    </w:rPr>
                    <w:drawing>
                      <wp:inline distT="0" distB="0" distL="0" distR="0" wp14:anchorId="285FEF89" wp14:editId="03752FAB">
                        <wp:extent cx="1463040" cy="55626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3040" cy="556260"/>
                                </a:xfrm>
                                <a:prstGeom prst="rect">
                                  <a:avLst/>
                                </a:prstGeom>
                                <a:noFill/>
                                <a:ln>
                                  <a:noFill/>
                                </a:ln>
                              </pic:spPr>
                            </pic:pic>
                          </a:graphicData>
                        </a:graphic>
                      </wp:inline>
                    </w:drawing>
                  </w:r>
                </w:p>
              </w:tc>
            </w:tr>
          </w:tbl>
          <w:p w14:paraId="7CDCE3BD" w14:textId="77777777" w:rsidR="00726E8E" w:rsidRPr="00726E8E" w:rsidRDefault="00726E8E" w:rsidP="00726E8E">
            <w:pPr>
              <w:jc w:val="center"/>
              <w:rPr>
                <w:rFonts w:asciiTheme="minorHAnsi" w:hAnsiTheme="minorHAnsi"/>
                <w:b/>
                <w:bCs/>
                <w:sz w:val="20"/>
                <w:szCs w:val="20"/>
              </w:rPr>
            </w:pPr>
          </w:p>
          <w:p w14:paraId="4119D254" w14:textId="77777777" w:rsidR="00726E8E" w:rsidRPr="00726E8E" w:rsidRDefault="00726E8E" w:rsidP="00726E8E">
            <w:pPr>
              <w:jc w:val="center"/>
              <w:rPr>
                <w:rFonts w:asciiTheme="minorHAnsi" w:hAnsiTheme="minorHAnsi"/>
                <w:b/>
                <w:bCs/>
                <w:sz w:val="56"/>
                <w:szCs w:val="56"/>
              </w:rPr>
            </w:pPr>
            <w:r w:rsidRPr="00726E8E">
              <w:rPr>
                <w:rFonts w:asciiTheme="minorHAnsi" w:hAnsiTheme="minorHAnsi"/>
                <w:b/>
                <w:bCs/>
                <w:sz w:val="56"/>
                <w:szCs w:val="56"/>
              </w:rPr>
              <w:t>Assessment Front Sheet</w:t>
            </w:r>
          </w:p>
          <w:tbl>
            <w:tblPr>
              <w:tblStyle w:val="TableGrid3"/>
              <w:tblW w:w="0" w:type="auto"/>
              <w:tblLook w:val="04A0" w:firstRow="1" w:lastRow="0" w:firstColumn="1" w:lastColumn="0" w:noHBand="0" w:noVBand="1"/>
            </w:tblPr>
            <w:tblGrid>
              <w:gridCol w:w="2440"/>
              <w:gridCol w:w="6360"/>
            </w:tblGrid>
            <w:tr w:rsidR="00726E8E" w:rsidRPr="00726E8E" w14:paraId="73393BD4" w14:textId="77777777" w:rsidTr="00C90F58">
              <w:trPr>
                <w:trHeight w:val="465"/>
              </w:trPr>
              <w:tc>
                <w:tcPr>
                  <w:tcW w:w="2440" w:type="dxa"/>
                  <w:shd w:val="clear" w:color="auto" w:fill="BDD6EE" w:themeFill="accent5" w:themeFillTint="66"/>
                  <w:vAlign w:val="center"/>
                </w:tcPr>
                <w:p w14:paraId="16A6C659" w14:textId="77777777" w:rsidR="00726E8E" w:rsidRPr="00726E8E" w:rsidRDefault="00726E8E" w:rsidP="00726E8E">
                  <w:pPr>
                    <w:jc w:val="center"/>
                    <w:rPr>
                      <w:rFonts w:asciiTheme="minorHAnsi" w:hAnsiTheme="minorHAnsi"/>
                      <w:b/>
                      <w:bCs/>
                    </w:rPr>
                  </w:pPr>
                  <w:r w:rsidRPr="00726E8E">
                    <w:rPr>
                      <w:rFonts w:asciiTheme="minorHAnsi" w:hAnsiTheme="minorHAnsi"/>
                      <w:b/>
                      <w:bCs/>
                    </w:rPr>
                    <w:t>Student First name/s</w:t>
                  </w:r>
                </w:p>
              </w:tc>
              <w:tc>
                <w:tcPr>
                  <w:tcW w:w="6360" w:type="dxa"/>
                  <w:vAlign w:val="center"/>
                </w:tcPr>
                <w:p w14:paraId="1713F20B" w14:textId="4D1FD0AA" w:rsidR="00726E8E" w:rsidRPr="00726E8E" w:rsidRDefault="004C4C5D" w:rsidP="00726E8E">
                  <w:pPr>
                    <w:rPr>
                      <w:rFonts w:asciiTheme="minorHAnsi" w:hAnsiTheme="minorHAnsi"/>
                      <w:sz w:val="24"/>
                      <w:szCs w:val="24"/>
                    </w:rPr>
                  </w:pPr>
                  <w:r>
                    <w:rPr>
                      <w:rFonts w:asciiTheme="minorHAnsi" w:hAnsiTheme="minorHAnsi"/>
                      <w:sz w:val="24"/>
                      <w:szCs w:val="24"/>
                    </w:rPr>
                    <w:t>Taha</w:t>
                  </w:r>
                </w:p>
              </w:tc>
            </w:tr>
            <w:tr w:rsidR="00726E8E" w:rsidRPr="00726E8E" w14:paraId="4B55205B" w14:textId="77777777" w:rsidTr="00C90F58">
              <w:trPr>
                <w:trHeight w:val="699"/>
              </w:trPr>
              <w:tc>
                <w:tcPr>
                  <w:tcW w:w="2440" w:type="dxa"/>
                  <w:shd w:val="clear" w:color="auto" w:fill="BDD6EE" w:themeFill="accent5" w:themeFillTint="66"/>
                  <w:vAlign w:val="center"/>
                </w:tcPr>
                <w:p w14:paraId="75B917D1" w14:textId="77777777" w:rsidR="00726E8E" w:rsidRPr="00726E8E" w:rsidRDefault="00726E8E" w:rsidP="00726E8E">
                  <w:pPr>
                    <w:jc w:val="center"/>
                    <w:rPr>
                      <w:rFonts w:asciiTheme="minorHAnsi" w:hAnsiTheme="minorHAnsi"/>
                      <w:b/>
                      <w:bCs/>
                    </w:rPr>
                  </w:pPr>
                  <w:r w:rsidRPr="00726E8E">
                    <w:rPr>
                      <w:rFonts w:asciiTheme="minorHAnsi" w:hAnsiTheme="minorHAnsi"/>
                      <w:b/>
                      <w:bCs/>
                    </w:rPr>
                    <w:t>Student Family Name / Surname</w:t>
                  </w:r>
                </w:p>
              </w:tc>
              <w:tc>
                <w:tcPr>
                  <w:tcW w:w="6360" w:type="dxa"/>
                  <w:vAlign w:val="center"/>
                </w:tcPr>
                <w:p w14:paraId="58D3AB07" w14:textId="02978770" w:rsidR="00726E8E" w:rsidRPr="00726E8E" w:rsidRDefault="00917B6E" w:rsidP="00726E8E">
                  <w:pPr>
                    <w:rPr>
                      <w:rFonts w:asciiTheme="minorHAnsi" w:hAnsiTheme="minorHAnsi"/>
                      <w:sz w:val="24"/>
                      <w:szCs w:val="24"/>
                    </w:rPr>
                  </w:pPr>
                  <w:r>
                    <w:rPr>
                      <w:rFonts w:asciiTheme="minorHAnsi" w:hAnsiTheme="minorHAnsi"/>
                      <w:sz w:val="24"/>
                      <w:szCs w:val="24"/>
                    </w:rPr>
                    <w:t>koko</w:t>
                  </w:r>
                </w:p>
              </w:tc>
            </w:tr>
            <w:tr w:rsidR="00726E8E" w:rsidRPr="00726E8E" w14:paraId="6621AF82" w14:textId="77777777" w:rsidTr="00C90F58">
              <w:trPr>
                <w:trHeight w:val="695"/>
              </w:trPr>
              <w:tc>
                <w:tcPr>
                  <w:tcW w:w="2440" w:type="dxa"/>
                  <w:shd w:val="clear" w:color="auto" w:fill="BDD6EE" w:themeFill="accent5" w:themeFillTint="66"/>
                  <w:vAlign w:val="center"/>
                </w:tcPr>
                <w:p w14:paraId="1BC723B8" w14:textId="77777777" w:rsidR="00726E8E" w:rsidRPr="00726E8E" w:rsidRDefault="00726E8E" w:rsidP="00726E8E">
                  <w:pPr>
                    <w:jc w:val="center"/>
                    <w:rPr>
                      <w:rFonts w:asciiTheme="minorHAnsi" w:hAnsiTheme="minorHAnsi"/>
                      <w:b/>
                      <w:bCs/>
                    </w:rPr>
                  </w:pPr>
                  <w:r w:rsidRPr="00726E8E">
                    <w:rPr>
                      <w:rFonts w:asciiTheme="minorHAnsi" w:hAnsiTheme="minorHAnsi"/>
                      <w:b/>
                      <w:bCs/>
                    </w:rPr>
                    <w:t>GBS ID Number</w:t>
                  </w:r>
                </w:p>
              </w:tc>
              <w:tc>
                <w:tcPr>
                  <w:tcW w:w="6360" w:type="dxa"/>
                  <w:vAlign w:val="center"/>
                </w:tcPr>
                <w:p w14:paraId="41B20975" w14:textId="2573691E" w:rsidR="00726E8E" w:rsidRPr="00726E8E" w:rsidRDefault="53C5CEA9" w:rsidP="00726E8E">
                  <w:pPr>
                    <w:rPr>
                      <w:rFonts w:asciiTheme="minorHAnsi" w:hAnsiTheme="minorHAnsi"/>
                      <w:sz w:val="24"/>
                      <w:szCs w:val="24"/>
                    </w:rPr>
                  </w:pPr>
                  <w:r w:rsidRPr="14A7A78B">
                    <w:rPr>
                      <w:rFonts w:asciiTheme="minorHAnsi" w:hAnsiTheme="minorHAnsi"/>
                      <w:sz w:val="24"/>
                      <w:szCs w:val="24"/>
                    </w:rPr>
                    <w:t>G</w:t>
                  </w:r>
                  <w:r w:rsidR="5C417EE4" w:rsidRPr="14A7A78B">
                    <w:rPr>
                      <w:rFonts w:asciiTheme="minorHAnsi" w:hAnsiTheme="minorHAnsi"/>
                      <w:sz w:val="24"/>
                      <w:szCs w:val="24"/>
                    </w:rPr>
                    <w:t>-</w:t>
                  </w:r>
                  <w:r w:rsidR="458D8CE2" w:rsidRPr="14A7A78B">
                    <w:rPr>
                      <w:rFonts w:asciiTheme="minorHAnsi" w:hAnsiTheme="minorHAnsi"/>
                      <w:sz w:val="24"/>
                      <w:szCs w:val="24"/>
                    </w:rPr>
                    <w:t>1</w:t>
                  </w:r>
                  <w:r w:rsidR="00917B6E">
                    <w:rPr>
                      <w:rFonts w:asciiTheme="minorHAnsi" w:hAnsiTheme="minorHAnsi"/>
                      <w:sz w:val="24"/>
                      <w:szCs w:val="24"/>
                    </w:rPr>
                    <w:t>54568</w:t>
                  </w:r>
                </w:p>
              </w:tc>
            </w:tr>
            <w:tr w:rsidR="00726E8E" w:rsidRPr="00726E8E" w14:paraId="1498666C" w14:textId="77777777" w:rsidTr="00C90F58">
              <w:tc>
                <w:tcPr>
                  <w:tcW w:w="2440" w:type="dxa"/>
                  <w:shd w:val="clear" w:color="auto" w:fill="BDD6EE" w:themeFill="accent5" w:themeFillTint="66"/>
                  <w:vAlign w:val="center"/>
                </w:tcPr>
                <w:p w14:paraId="3556FE8C" w14:textId="77777777" w:rsidR="00726E8E" w:rsidRPr="00726E8E" w:rsidRDefault="00726E8E" w:rsidP="00726E8E">
                  <w:pPr>
                    <w:jc w:val="center"/>
                    <w:rPr>
                      <w:rFonts w:asciiTheme="minorHAnsi" w:hAnsiTheme="minorHAnsi"/>
                      <w:b/>
                      <w:bCs/>
                    </w:rPr>
                  </w:pPr>
                  <w:r w:rsidRPr="00726E8E">
                    <w:rPr>
                      <w:rFonts w:asciiTheme="minorHAnsi" w:hAnsiTheme="minorHAnsi"/>
                      <w:b/>
                      <w:bCs/>
                    </w:rPr>
                    <w:t>Programme title</w:t>
                  </w:r>
                </w:p>
              </w:tc>
              <w:sdt>
                <w:sdtPr>
                  <w:rPr>
                    <w:rFonts w:asciiTheme="minorHAnsi" w:hAnsiTheme="minorHAnsi"/>
                    <w:sz w:val="24"/>
                    <w:szCs w:val="24"/>
                  </w:rPr>
                  <w:alias w:val="Programme Title"/>
                  <w:tag w:val="Programme Title"/>
                  <w:id w:val="-1539423103"/>
                  <w:placeholder>
                    <w:docPart w:val="1401C6E70FBBDC4C8C2EA5B32A7B7C0E"/>
                  </w:placeholder>
                  <w:comboBox>
                    <w:listItem w:value="Choose an item."/>
                    <w:listItem w:displayText="Business &amp; Tourism" w:value="Business &amp; Tourism"/>
                    <w:listItem w:displayText="Accounting &amp; Finance" w:value="Accounting &amp; Finance"/>
                  </w:comboBox>
                </w:sdtPr>
                <w:sdtContent>
                  <w:tc>
                    <w:tcPr>
                      <w:tcW w:w="6360" w:type="dxa"/>
                      <w:vAlign w:val="center"/>
                    </w:tcPr>
                    <w:p w14:paraId="656FFF0C" w14:textId="58783832" w:rsidR="00726E8E" w:rsidRPr="00726E8E" w:rsidRDefault="008D2B4C" w:rsidP="00726E8E">
                      <w:pPr>
                        <w:rPr>
                          <w:rFonts w:asciiTheme="minorHAnsi" w:hAnsiTheme="minorHAnsi"/>
                          <w:sz w:val="24"/>
                          <w:szCs w:val="24"/>
                        </w:rPr>
                      </w:pPr>
                      <w:r>
                        <w:rPr>
                          <w:rFonts w:asciiTheme="minorHAnsi" w:hAnsiTheme="minorHAnsi"/>
                          <w:sz w:val="24"/>
                          <w:szCs w:val="24"/>
                        </w:rPr>
                        <w:t xml:space="preserve">Business </w:t>
                      </w:r>
                      <w:r w:rsidR="004A2E21">
                        <w:rPr>
                          <w:rFonts w:asciiTheme="minorHAnsi" w:hAnsiTheme="minorHAnsi"/>
                          <w:sz w:val="24"/>
                          <w:szCs w:val="24"/>
                        </w:rPr>
                        <w:t xml:space="preserve">&amp; Tourism </w:t>
                      </w:r>
                    </w:p>
                  </w:tc>
                </w:sdtContent>
              </w:sdt>
            </w:tr>
            <w:tr w:rsidR="00726E8E" w:rsidRPr="00726E8E" w14:paraId="75A1B0AC" w14:textId="77777777" w:rsidTr="00C90F58">
              <w:tc>
                <w:tcPr>
                  <w:tcW w:w="2440" w:type="dxa"/>
                  <w:shd w:val="clear" w:color="auto" w:fill="BDD6EE" w:themeFill="accent5" w:themeFillTint="66"/>
                  <w:vAlign w:val="center"/>
                </w:tcPr>
                <w:p w14:paraId="359E08C3" w14:textId="77777777" w:rsidR="00726E8E" w:rsidRPr="00726E8E" w:rsidRDefault="00726E8E" w:rsidP="00726E8E">
                  <w:pPr>
                    <w:jc w:val="center"/>
                    <w:rPr>
                      <w:rFonts w:asciiTheme="minorHAnsi" w:hAnsiTheme="minorHAnsi"/>
                      <w:b/>
                      <w:bCs/>
                    </w:rPr>
                  </w:pPr>
                  <w:r w:rsidRPr="00726E8E">
                    <w:rPr>
                      <w:rFonts w:asciiTheme="minorHAnsi" w:hAnsiTheme="minorHAnsi"/>
                      <w:b/>
                      <w:bCs/>
                    </w:rPr>
                    <w:t>Cohort</w:t>
                  </w:r>
                </w:p>
              </w:tc>
              <w:sdt>
                <w:sdtPr>
                  <w:rPr>
                    <w:rFonts w:asciiTheme="minorHAnsi" w:hAnsiTheme="minorHAnsi"/>
                    <w:sz w:val="24"/>
                    <w:szCs w:val="24"/>
                  </w:rPr>
                  <w:alias w:val="Cohort"/>
                  <w:tag w:val="Cohort"/>
                  <w:id w:val="1503772371"/>
                  <w:placeholder>
                    <w:docPart w:val="6360B9A3B787384F9D4AA0D2203875D4"/>
                  </w:placeholder>
                  <w:dropDownList>
                    <w:listItem w:value="Choose an item."/>
                    <w:listItem w:displayText="June 2021" w:value="June 2021"/>
                    <w:listItem w:displayText="September 2021" w:value="September 2021"/>
                    <w:listItem w:displayText="January 2022" w:value="January 2022"/>
                    <w:listItem w:displayText="June 2022" w:value="June 2022"/>
                    <w:listItem w:displayText="September 2022" w:value="September 2022"/>
                    <w:listItem w:displayText="January 2023" w:value="January 2023"/>
                    <w:listItem w:displayText="June 2023" w:value="June 2023"/>
                    <w:listItem w:displayText="September 2023" w:value="September 2023"/>
                    <w:listItem w:displayText="January 2024" w:value="January 2024"/>
                  </w:dropDownList>
                </w:sdtPr>
                <w:sdtContent>
                  <w:tc>
                    <w:tcPr>
                      <w:tcW w:w="6360" w:type="dxa"/>
                      <w:vAlign w:val="center"/>
                    </w:tcPr>
                    <w:p w14:paraId="0AC2FE47" w14:textId="0794D52F" w:rsidR="00726E8E" w:rsidRPr="00726E8E" w:rsidRDefault="779F8AB5" w:rsidP="00726E8E">
                      <w:pPr>
                        <w:rPr>
                          <w:rFonts w:asciiTheme="minorHAnsi" w:hAnsiTheme="minorHAnsi"/>
                          <w:sz w:val="24"/>
                          <w:szCs w:val="24"/>
                        </w:rPr>
                      </w:pPr>
                      <w:r w:rsidRPr="6B31A6A3">
                        <w:rPr>
                          <w:rFonts w:asciiTheme="minorHAnsi" w:hAnsiTheme="minorHAnsi"/>
                          <w:sz w:val="24"/>
                          <w:szCs w:val="24"/>
                        </w:rPr>
                        <w:t>January 2024</w:t>
                      </w:r>
                    </w:p>
                  </w:tc>
                </w:sdtContent>
              </w:sdt>
            </w:tr>
            <w:tr w:rsidR="00726E8E" w:rsidRPr="00726E8E" w14:paraId="174A3A56" w14:textId="77777777" w:rsidTr="00C90F58">
              <w:tc>
                <w:tcPr>
                  <w:tcW w:w="2440" w:type="dxa"/>
                  <w:shd w:val="clear" w:color="auto" w:fill="BDD6EE" w:themeFill="accent5" w:themeFillTint="66"/>
                  <w:vAlign w:val="center"/>
                </w:tcPr>
                <w:p w14:paraId="5703B03E" w14:textId="77777777" w:rsidR="00726E8E" w:rsidRPr="00726E8E" w:rsidRDefault="00726E8E" w:rsidP="00726E8E">
                  <w:pPr>
                    <w:jc w:val="center"/>
                    <w:rPr>
                      <w:rFonts w:asciiTheme="minorHAnsi" w:hAnsiTheme="minorHAnsi"/>
                      <w:b/>
                      <w:bCs/>
                    </w:rPr>
                  </w:pPr>
                  <w:r w:rsidRPr="00726E8E">
                    <w:rPr>
                      <w:rFonts w:asciiTheme="minorHAnsi" w:hAnsiTheme="minorHAnsi"/>
                      <w:b/>
                      <w:bCs/>
                    </w:rPr>
                    <w:t>Level</w:t>
                  </w:r>
                </w:p>
              </w:tc>
              <w:sdt>
                <w:sdtPr>
                  <w:rPr>
                    <w:rFonts w:asciiTheme="minorHAnsi" w:hAnsiTheme="minorHAnsi"/>
                    <w:sz w:val="24"/>
                    <w:szCs w:val="24"/>
                  </w:rPr>
                  <w:alias w:val="Level"/>
                  <w:tag w:val="Level"/>
                  <w:id w:val="-3056831"/>
                  <w:placeholder>
                    <w:docPart w:val="C113C1B5135EED4587FA07153CB8270E"/>
                  </w:placeholder>
                  <w:dropDownList>
                    <w:listItem w:value="Choose an item."/>
                    <w:listItem w:displayText="Foundation" w:value="Foundation"/>
                    <w:listItem w:displayText="Level 4" w:value="Level 4"/>
                    <w:listItem w:displayText="Level 5" w:value="Level 5"/>
                    <w:listItem w:displayText="Level 6" w:value="Level 6"/>
                  </w:dropDownList>
                </w:sdtPr>
                <w:sdtContent>
                  <w:tc>
                    <w:tcPr>
                      <w:tcW w:w="6360" w:type="dxa"/>
                      <w:vAlign w:val="center"/>
                    </w:tcPr>
                    <w:p w14:paraId="438D1ACE" w14:textId="35805D47" w:rsidR="00726E8E" w:rsidRPr="00726E8E" w:rsidRDefault="758521A7" w:rsidP="00726E8E">
                      <w:pPr>
                        <w:rPr>
                          <w:rFonts w:asciiTheme="minorHAnsi" w:hAnsiTheme="minorHAnsi"/>
                          <w:sz w:val="24"/>
                          <w:szCs w:val="24"/>
                        </w:rPr>
                      </w:pPr>
                      <w:r w:rsidRPr="6B31A6A3">
                        <w:rPr>
                          <w:rFonts w:asciiTheme="minorHAnsi" w:hAnsiTheme="minorHAnsi"/>
                          <w:sz w:val="24"/>
                          <w:szCs w:val="24"/>
                        </w:rPr>
                        <w:t>Foundation</w:t>
                      </w:r>
                    </w:p>
                  </w:tc>
                </w:sdtContent>
              </w:sdt>
            </w:tr>
            <w:tr w:rsidR="00726E8E" w:rsidRPr="00726E8E" w14:paraId="35DBB35C" w14:textId="77777777" w:rsidTr="00C90F58">
              <w:tc>
                <w:tcPr>
                  <w:tcW w:w="2440" w:type="dxa"/>
                  <w:shd w:val="clear" w:color="auto" w:fill="BDD6EE" w:themeFill="accent5" w:themeFillTint="66"/>
                  <w:vAlign w:val="center"/>
                </w:tcPr>
                <w:p w14:paraId="15ACC57E" w14:textId="77777777" w:rsidR="00726E8E" w:rsidRPr="00726E8E" w:rsidRDefault="00726E8E" w:rsidP="00726E8E">
                  <w:pPr>
                    <w:jc w:val="center"/>
                    <w:rPr>
                      <w:rFonts w:asciiTheme="minorHAnsi" w:hAnsiTheme="minorHAnsi"/>
                      <w:b/>
                      <w:bCs/>
                    </w:rPr>
                  </w:pPr>
                  <w:r w:rsidRPr="00726E8E">
                    <w:rPr>
                      <w:rFonts w:asciiTheme="minorHAnsi" w:hAnsiTheme="minorHAnsi"/>
                      <w:b/>
                      <w:bCs/>
                    </w:rPr>
                    <w:t>Module Number</w:t>
                  </w:r>
                </w:p>
              </w:tc>
              <w:sdt>
                <w:sdtPr>
                  <w:rPr>
                    <w:rFonts w:asciiTheme="minorHAnsi" w:hAnsiTheme="minorHAnsi"/>
                    <w:sz w:val="24"/>
                    <w:szCs w:val="24"/>
                  </w:rPr>
                  <w:alias w:val="Module Number"/>
                  <w:tag w:val="Module Number"/>
                  <w:id w:val="407505278"/>
                  <w:placeholder>
                    <w:docPart w:val="B85AD01B96DAAA4496A7B289C632C388"/>
                  </w:placeholder>
                  <w:dropDownList>
                    <w:listItem w:value="Choose an item."/>
                    <w:listItem w:displayText="1" w:value="1"/>
                    <w:listItem w:displayText="2" w:value="2"/>
                    <w:listItem w:displayText="3" w:value="3"/>
                    <w:listItem w:displayText="4" w:value="4"/>
                    <w:listItem w:displayText="5" w:value="5"/>
                    <w:listItem w:displayText="6" w:value="6"/>
                  </w:dropDownList>
                </w:sdtPr>
                <w:sdtContent>
                  <w:tc>
                    <w:tcPr>
                      <w:tcW w:w="6360" w:type="dxa"/>
                      <w:vAlign w:val="center"/>
                    </w:tcPr>
                    <w:p w14:paraId="20213ADB" w14:textId="18631DF0" w:rsidR="00726E8E" w:rsidRPr="00726E8E" w:rsidRDefault="33A28FF9" w:rsidP="00726E8E">
                      <w:pPr>
                        <w:rPr>
                          <w:rFonts w:asciiTheme="minorHAnsi" w:hAnsiTheme="minorHAnsi"/>
                          <w:sz w:val="24"/>
                          <w:szCs w:val="24"/>
                        </w:rPr>
                      </w:pPr>
                      <w:r w:rsidRPr="6B31A6A3">
                        <w:rPr>
                          <w:rFonts w:asciiTheme="minorHAnsi" w:hAnsiTheme="minorHAnsi"/>
                          <w:sz w:val="24"/>
                          <w:szCs w:val="24"/>
                        </w:rPr>
                        <w:t>2</w:t>
                      </w:r>
                    </w:p>
                  </w:tc>
                </w:sdtContent>
              </w:sdt>
            </w:tr>
            <w:tr w:rsidR="00726E8E" w:rsidRPr="00726E8E" w14:paraId="797D3DAC" w14:textId="77777777" w:rsidTr="00C90F58">
              <w:tc>
                <w:tcPr>
                  <w:tcW w:w="2440" w:type="dxa"/>
                  <w:shd w:val="clear" w:color="auto" w:fill="BDD6EE" w:themeFill="accent5" w:themeFillTint="66"/>
                  <w:vAlign w:val="center"/>
                </w:tcPr>
                <w:p w14:paraId="487C950E" w14:textId="77777777" w:rsidR="00726E8E" w:rsidRPr="00726E8E" w:rsidRDefault="00726E8E" w:rsidP="00726E8E">
                  <w:pPr>
                    <w:jc w:val="center"/>
                    <w:rPr>
                      <w:rFonts w:asciiTheme="minorHAnsi" w:hAnsiTheme="minorHAnsi"/>
                      <w:b/>
                      <w:bCs/>
                    </w:rPr>
                  </w:pPr>
                  <w:r w:rsidRPr="00726E8E">
                    <w:rPr>
                      <w:rFonts w:asciiTheme="minorHAnsi" w:hAnsiTheme="minorHAnsi"/>
                      <w:b/>
                      <w:bCs/>
                    </w:rPr>
                    <w:t xml:space="preserve">Component of assessment </w:t>
                  </w:r>
                </w:p>
                <w:p w14:paraId="6E6F229C" w14:textId="77777777" w:rsidR="00726E8E" w:rsidRPr="00726E8E" w:rsidRDefault="00726E8E" w:rsidP="00726E8E">
                  <w:pPr>
                    <w:jc w:val="center"/>
                    <w:rPr>
                      <w:rFonts w:asciiTheme="minorHAnsi" w:hAnsiTheme="minorHAnsi"/>
                      <w:b/>
                      <w:bCs/>
                    </w:rPr>
                  </w:pPr>
                  <w:r w:rsidRPr="00726E8E">
                    <w:rPr>
                      <w:rFonts w:asciiTheme="minorHAnsi" w:hAnsiTheme="minorHAnsi"/>
                      <w:b/>
                      <w:bCs/>
                    </w:rPr>
                    <w:t>(either 1 or 2)</w:t>
                  </w:r>
                </w:p>
              </w:tc>
              <w:tc>
                <w:tcPr>
                  <w:tcW w:w="6360" w:type="dxa"/>
                  <w:vAlign w:val="center"/>
                </w:tcPr>
                <w:p w14:paraId="388FA36C" w14:textId="10667783" w:rsidR="00726E8E" w:rsidRPr="00726E8E" w:rsidRDefault="633AF7F4" w:rsidP="00726E8E">
                  <w:pPr>
                    <w:rPr>
                      <w:rFonts w:asciiTheme="minorHAnsi" w:hAnsiTheme="minorHAnsi"/>
                      <w:sz w:val="24"/>
                      <w:szCs w:val="24"/>
                    </w:rPr>
                  </w:pPr>
                  <w:r w:rsidRPr="6B31A6A3">
                    <w:rPr>
                      <w:rFonts w:asciiTheme="minorHAnsi" w:hAnsiTheme="minorHAnsi"/>
                      <w:sz w:val="24"/>
                      <w:szCs w:val="24"/>
                    </w:rPr>
                    <w:t>1</w:t>
                  </w:r>
                </w:p>
              </w:tc>
            </w:tr>
            <w:tr w:rsidR="00726E8E" w:rsidRPr="00726E8E" w14:paraId="59D30D39" w14:textId="77777777" w:rsidTr="00C90F58">
              <w:tc>
                <w:tcPr>
                  <w:tcW w:w="2440" w:type="dxa"/>
                  <w:shd w:val="clear" w:color="auto" w:fill="BDD6EE" w:themeFill="accent5" w:themeFillTint="66"/>
                  <w:vAlign w:val="center"/>
                </w:tcPr>
                <w:p w14:paraId="54B3EEB6" w14:textId="77777777" w:rsidR="00726E8E" w:rsidRPr="00726E8E" w:rsidRDefault="00726E8E" w:rsidP="00726E8E">
                  <w:pPr>
                    <w:jc w:val="center"/>
                    <w:rPr>
                      <w:rFonts w:asciiTheme="minorHAnsi" w:hAnsiTheme="minorHAnsi"/>
                      <w:b/>
                      <w:bCs/>
                    </w:rPr>
                  </w:pPr>
                  <w:r w:rsidRPr="00726E8E">
                    <w:rPr>
                      <w:rFonts w:asciiTheme="minorHAnsi" w:hAnsiTheme="minorHAnsi"/>
                      <w:b/>
                      <w:bCs/>
                    </w:rPr>
                    <w:t>Campus</w:t>
                  </w:r>
                </w:p>
              </w:tc>
              <w:sdt>
                <w:sdtPr>
                  <w:rPr>
                    <w:rFonts w:asciiTheme="minorHAnsi" w:hAnsiTheme="minorHAnsi"/>
                    <w:sz w:val="24"/>
                    <w:szCs w:val="24"/>
                  </w:rPr>
                  <w:alias w:val="Campus"/>
                  <w:tag w:val="Campus"/>
                  <w:id w:val="-1945144016"/>
                  <w:placeholder>
                    <w:docPart w:val="EC83EBA06B78144FB870119D3875B3A8"/>
                  </w:placeholder>
                  <w:dropDownList>
                    <w:listItem w:value="Choose an item."/>
                    <w:listItem w:displayText="Birmingham" w:value="Birmingham"/>
                    <w:listItem w:displayText="East London" w:value="East London"/>
                    <w:listItem w:displayText="Leeds" w:value="Leeds"/>
                    <w:listItem w:displayText="Manchester" w:value="Manchester"/>
                    <w:listItem w:displayText="West london" w:value="West london"/>
                  </w:dropDownList>
                </w:sdtPr>
                <w:sdtContent>
                  <w:tc>
                    <w:tcPr>
                      <w:tcW w:w="6360" w:type="dxa"/>
                      <w:vAlign w:val="center"/>
                    </w:tcPr>
                    <w:p w14:paraId="15D9A671" w14:textId="68640631" w:rsidR="00726E8E" w:rsidRPr="00726E8E" w:rsidRDefault="0D9D9A56" w:rsidP="00726E8E">
                      <w:pPr>
                        <w:rPr>
                          <w:rFonts w:asciiTheme="minorHAnsi" w:hAnsiTheme="minorHAnsi"/>
                          <w:sz w:val="24"/>
                          <w:szCs w:val="24"/>
                        </w:rPr>
                      </w:pPr>
                      <w:r w:rsidRPr="6B31A6A3">
                        <w:rPr>
                          <w:rFonts w:asciiTheme="minorHAnsi" w:hAnsiTheme="minorHAnsi"/>
                          <w:sz w:val="24"/>
                          <w:szCs w:val="24"/>
                        </w:rPr>
                        <w:t>Manchester</w:t>
                      </w:r>
                    </w:p>
                  </w:tc>
                </w:sdtContent>
              </w:sdt>
            </w:tr>
            <w:tr w:rsidR="00726E8E" w:rsidRPr="00726E8E" w14:paraId="65A663E5" w14:textId="77777777" w:rsidTr="00C90F58">
              <w:tc>
                <w:tcPr>
                  <w:tcW w:w="2440" w:type="dxa"/>
                  <w:shd w:val="clear" w:color="auto" w:fill="BDD6EE" w:themeFill="accent5" w:themeFillTint="66"/>
                  <w:vAlign w:val="center"/>
                </w:tcPr>
                <w:p w14:paraId="10AF2B30" w14:textId="77777777" w:rsidR="00726E8E" w:rsidRPr="00726E8E" w:rsidRDefault="00726E8E" w:rsidP="00726E8E">
                  <w:pPr>
                    <w:jc w:val="center"/>
                    <w:rPr>
                      <w:rFonts w:asciiTheme="minorHAnsi" w:hAnsiTheme="minorHAnsi"/>
                      <w:b/>
                      <w:bCs/>
                    </w:rPr>
                  </w:pPr>
                  <w:r w:rsidRPr="00726E8E">
                    <w:rPr>
                      <w:rFonts w:asciiTheme="minorHAnsi" w:hAnsiTheme="minorHAnsi"/>
                      <w:b/>
                      <w:bCs/>
                    </w:rPr>
                    <w:t>Group (A1, E2 etc)</w:t>
                  </w:r>
                </w:p>
              </w:tc>
              <w:tc>
                <w:tcPr>
                  <w:tcW w:w="6360" w:type="dxa"/>
                  <w:vAlign w:val="center"/>
                </w:tcPr>
                <w:p w14:paraId="2B187DFF" w14:textId="386C472B" w:rsidR="00726E8E" w:rsidRPr="00726E8E" w:rsidRDefault="5E619366" w:rsidP="00726E8E">
                  <w:pPr>
                    <w:rPr>
                      <w:rFonts w:asciiTheme="minorHAnsi" w:hAnsiTheme="minorHAnsi"/>
                      <w:sz w:val="24"/>
                      <w:szCs w:val="24"/>
                    </w:rPr>
                  </w:pPr>
                  <w:r w:rsidRPr="6B31A6A3">
                    <w:rPr>
                      <w:rFonts w:asciiTheme="minorHAnsi" w:hAnsiTheme="minorHAnsi"/>
                      <w:sz w:val="24"/>
                      <w:szCs w:val="24"/>
                    </w:rPr>
                    <w:t>A1</w:t>
                  </w:r>
                </w:p>
              </w:tc>
            </w:tr>
            <w:tr w:rsidR="00726E8E" w:rsidRPr="00726E8E" w14:paraId="0308B097" w14:textId="77777777" w:rsidTr="00C90F58">
              <w:tc>
                <w:tcPr>
                  <w:tcW w:w="2440" w:type="dxa"/>
                  <w:shd w:val="clear" w:color="auto" w:fill="BDD6EE" w:themeFill="accent5" w:themeFillTint="66"/>
                  <w:vAlign w:val="center"/>
                </w:tcPr>
                <w:p w14:paraId="3B53343D" w14:textId="67D06C4D" w:rsidR="00726E8E" w:rsidRPr="00726E8E" w:rsidRDefault="00726E8E" w:rsidP="00726E8E">
                  <w:pPr>
                    <w:jc w:val="center"/>
                    <w:rPr>
                      <w:rFonts w:asciiTheme="minorHAnsi" w:hAnsiTheme="minorHAnsi"/>
                      <w:b/>
                      <w:bCs/>
                    </w:rPr>
                  </w:pPr>
                  <w:r w:rsidRPr="00726E8E">
                    <w:rPr>
                      <w:rFonts w:asciiTheme="minorHAnsi" w:hAnsiTheme="minorHAnsi"/>
                      <w:b/>
                      <w:bCs/>
                    </w:rPr>
                    <w:t xml:space="preserve">Assessment Word Count </w:t>
                  </w:r>
                  <w:r w:rsidR="00205D6B" w:rsidRPr="00726E8E">
                    <w:rPr>
                      <w:rFonts w:asciiTheme="minorHAnsi" w:hAnsiTheme="minorHAnsi"/>
                      <w:b/>
                      <w:bCs/>
                    </w:rPr>
                    <w:t>submitted.</w:t>
                  </w:r>
                </w:p>
              </w:tc>
              <w:tc>
                <w:tcPr>
                  <w:tcW w:w="6360" w:type="dxa"/>
                  <w:vAlign w:val="center"/>
                </w:tcPr>
                <w:p w14:paraId="0207DF28" w14:textId="546ADB8E" w:rsidR="00726E8E" w:rsidRPr="00726E8E" w:rsidRDefault="50D65401" w:rsidP="00726E8E">
                  <w:pPr>
                    <w:rPr>
                      <w:rFonts w:asciiTheme="minorHAnsi" w:hAnsiTheme="minorHAnsi"/>
                      <w:sz w:val="24"/>
                      <w:szCs w:val="24"/>
                    </w:rPr>
                  </w:pPr>
                  <w:r w:rsidRPr="6B31A6A3">
                    <w:rPr>
                      <w:rFonts w:asciiTheme="minorHAnsi" w:hAnsiTheme="minorHAnsi"/>
                      <w:sz w:val="24"/>
                      <w:szCs w:val="24"/>
                    </w:rPr>
                    <w:t>3000</w:t>
                  </w:r>
                </w:p>
              </w:tc>
            </w:tr>
            <w:tr w:rsidR="00726E8E" w:rsidRPr="00726E8E" w14:paraId="3C44230B" w14:textId="77777777" w:rsidTr="00C90F58">
              <w:trPr>
                <w:trHeight w:val="605"/>
              </w:trPr>
              <w:tc>
                <w:tcPr>
                  <w:tcW w:w="2440" w:type="dxa"/>
                  <w:shd w:val="clear" w:color="auto" w:fill="BDD6EE" w:themeFill="accent5" w:themeFillTint="66"/>
                  <w:vAlign w:val="center"/>
                </w:tcPr>
                <w:p w14:paraId="7F6B4707" w14:textId="77777777" w:rsidR="00726E8E" w:rsidRPr="00726E8E" w:rsidRDefault="00726E8E" w:rsidP="00726E8E">
                  <w:pPr>
                    <w:jc w:val="center"/>
                    <w:rPr>
                      <w:rFonts w:asciiTheme="minorHAnsi" w:hAnsiTheme="minorHAnsi"/>
                      <w:b/>
                      <w:bCs/>
                    </w:rPr>
                  </w:pPr>
                  <w:r w:rsidRPr="00726E8E">
                    <w:rPr>
                      <w:rFonts w:asciiTheme="minorHAnsi" w:hAnsiTheme="minorHAnsi"/>
                      <w:b/>
                      <w:bCs/>
                    </w:rPr>
                    <w:t>Lecturer Name who taught the module</w:t>
                  </w:r>
                </w:p>
              </w:tc>
              <w:tc>
                <w:tcPr>
                  <w:tcW w:w="6360" w:type="dxa"/>
                  <w:vAlign w:val="center"/>
                </w:tcPr>
                <w:p w14:paraId="5190D4E4" w14:textId="1F43C53C" w:rsidR="00726E8E" w:rsidRPr="00726E8E" w:rsidRDefault="00290800" w:rsidP="00726E8E">
                  <w:pPr>
                    <w:rPr>
                      <w:rFonts w:asciiTheme="minorHAnsi" w:hAnsiTheme="minorHAnsi"/>
                      <w:sz w:val="24"/>
                      <w:szCs w:val="24"/>
                    </w:rPr>
                  </w:pPr>
                  <w:r>
                    <w:rPr>
                      <w:rFonts w:asciiTheme="minorHAnsi" w:hAnsiTheme="minorHAnsi"/>
                      <w:sz w:val="24"/>
                      <w:szCs w:val="24"/>
                    </w:rPr>
                    <w:t>Chu</w:t>
                  </w:r>
                  <w:r w:rsidR="004D66C1">
                    <w:rPr>
                      <w:rFonts w:asciiTheme="minorHAnsi" w:hAnsiTheme="minorHAnsi"/>
                      <w:sz w:val="24"/>
                      <w:szCs w:val="24"/>
                    </w:rPr>
                    <w:t>kwuka Ojeme</w:t>
                  </w:r>
                </w:p>
              </w:tc>
            </w:tr>
            <w:tr w:rsidR="00726E8E" w:rsidRPr="00726E8E" w14:paraId="5C264650" w14:textId="77777777" w:rsidTr="00C90F58">
              <w:trPr>
                <w:trHeight w:val="699"/>
              </w:trPr>
              <w:tc>
                <w:tcPr>
                  <w:tcW w:w="2440" w:type="dxa"/>
                  <w:shd w:val="clear" w:color="auto" w:fill="BDD6EE" w:themeFill="accent5" w:themeFillTint="66"/>
                  <w:vAlign w:val="center"/>
                </w:tcPr>
                <w:p w14:paraId="1D012C46" w14:textId="77777777" w:rsidR="00726E8E" w:rsidRPr="00726E8E" w:rsidRDefault="00726E8E" w:rsidP="00726E8E">
                  <w:pPr>
                    <w:jc w:val="center"/>
                    <w:rPr>
                      <w:rFonts w:asciiTheme="minorHAnsi" w:hAnsiTheme="minorHAnsi"/>
                      <w:b/>
                      <w:bCs/>
                    </w:rPr>
                  </w:pPr>
                  <w:r w:rsidRPr="00726E8E">
                    <w:rPr>
                      <w:rFonts w:asciiTheme="minorHAnsi" w:hAnsiTheme="minorHAnsi"/>
                      <w:b/>
                      <w:bCs/>
                    </w:rPr>
                    <w:t xml:space="preserve">Student Signature </w:t>
                  </w:r>
                  <w:r w:rsidRPr="00726E8E">
                    <w:rPr>
                      <w:rFonts w:asciiTheme="minorHAnsi" w:hAnsiTheme="minorHAnsi"/>
                    </w:rPr>
                    <w:t>(please type your name)</w:t>
                  </w:r>
                </w:p>
              </w:tc>
              <w:tc>
                <w:tcPr>
                  <w:tcW w:w="6360" w:type="dxa"/>
                  <w:vAlign w:val="center"/>
                </w:tcPr>
                <w:p w14:paraId="510C33A6" w14:textId="1394A135" w:rsidR="00726E8E" w:rsidRPr="00726E8E" w:rsidRDefault="00D14153" w:rsidP="00726E8E">
                  <w:pPr>
                    <w:rPr>
                      <w:rFonts w:asciiTheme="minorHAnsi" w:hAnsiTheme="minorHAnsi"/>
                      <w:sz w:val="24"/>
                      <w:szCs w:val="24"/>
                    </w:rPr>
                  </w:pPr>
                  <w:r>
                    <w:rPr>
                      <w:rFonts w:asciiTheme="minorHAnsi" w:hAnsiTheme="minorHAnsi"/>
                      <w:sz w:val="24"/>
                      <w:szCs w:val="24"/>
                    </w:rPr>
                    <w:t>T. koko</w:t>
                  </w:r>
                </w:p>
              </w:tc>
            </w:tr>
            <w:tr w:rsidR="00726E8E" w:rsidRPr="00726E8E" w14:paraId="56E20750" w14:textId="77777777" w:rsidTr="00C90F58">
              <w:trPr>
                <w:trHeight w:val="695"/>
              </w:trPr>
              <w:tc>
                <w:tcPr>
                  <w:tcW w:w="2440" w:type="dxa"/>
                  <w:shd w:val="clear" w:color="auto" w:fill="BDD6EE" w:themeFill="accent5" w:themeFillTint="66"/>
                  <w:vAlign w:val="center"/>
                </w:tcPr>
                <w:p w14:paraId="43645131" w14:textId="77777777" w:rsidR="00726E8E" w:rsidRPr="00726E8E" w:rsidRDefault="00726E8E" w:rsidP="00726E8E">
                  <w:pPr>
                    <w:jc w:val="center"/>
                    <w:rPr>
                      <w:rFonts w:asciiTheme="minorHAnsi" w:hAnsiTheme="minorHAnsi"/>
                    </w:rPr>
                  </w:pPr>
                  <w:r w:rsidRPr="00726E8E">
                    <w:rPr>
                      <w:rFonts w:asciiTheme="minorHAnsi" w:hAnsiTheme="minorHAnsi"/>
                      <w:b/>
                      <w:bCs/>
                    </w:rPr>
                    <w:t>Date</w:t>
                  </w:r>
                </w:p>
              </w:tc>
              <w:tc>
                <w:tcPr>
                  <w:tcW w:w="6360" w:type="dxa"/>
                  <w:vAlign w:val="center"/>
                </w:tcPr>
                <w:p w14:paraId="7A8B8E61" w14:textId="168E0ACB" w:rsidR="00726E8E" w:rsidRPr="00726E8E" w:rsidRDefault="00D14153" w:rsidP="00726E8E">
                  <w:pPr>
                    <w:rPr>
                      <w:rFonts w:asciiTheme="minorHAnsi" w:hAnsiTheme="minorHAnsi"/>
                      <w:sz w:val="24"/>
                      <w:szCs w:val="24"/>
                    </w:rPr>
                  </w:pPr>
                  <w:r>
                    <w:rPr>
                      <w:rFonts w:asciiTheme="minorHAnsi" w:hAnsiTheme="minorHAnsi"/>
                      <w:sz w:val="24"/>
                      <w:szCs w:val="24"/>
                    </w:rPr>
                    <w:t>28/03/2024</w:t>
                  </w:r>
                </w:p>
              </w:tc>
            </w:tr>
          </w:tbl>
          <w:p w14:paraId="383F6D71" w14:textId="77777777" w:rsidR="00726E8E" w:rsidRPr="00726E8E" w:rsidRDefault="00726E8E" w:rsidP="00726E8E">
            <w:pPr>
              <w:jc w:val="center"/>
              <w:rPr>
                <w:rFonts w:asciiTheme="minorHAnsi" w:hAnsiTheme="minorHAnsi"/>
                <w:b/>
                <w:bCs/>
                <w:sz w:val="56"/>
                <w:szCs w:val="56"/>
              </w:rPr>
            </w:pPr>
          </w:p>
          <w:p w14:paraId="745658AC" w14:textId="77777777" w:rsidR="00726E8E" w:rsidRPr="00726E8E" w:rsidRDefault="00726E8E" w:rsidP="00726E8E">
            <w:pPr>
              <w:rPr>
                <w:rFonts w:asciiTheme="minorHAnsi" w:hAnsiTheme="minorHAnsi"/>
              </w:rPr>
            </w:pPr>
            <w:r w:rsidRPr="00726E8E">
              <w:rPr>
                <w:rFonts w:asciiTheme="minorHAnsi" w:hAnsiTheme="minorHAnsi"/>
                <w:noProof/>
              </w:rPr>
              <w:drawing>
                <wp:inline distT="0" distB="0" distL="0" distR="0" wp14:anchorId="41B25EE1" wp14:editId="72EEBA92">
                  <wp:extent cx="5626100" cy="1462256"/>
                  <wp:effectExtent l="0" t="0" r="0" b="5080"/>
                  <wp:docPr id="858976812"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76812" name="Picture 1" descr="A white card with black text&#10;&#10;Description automatically generated"/>
                          <pic:cNvPicPr/>
                        </pic:nvPicPr>
                        <pic:blipFill>
                          <a:blip r:embed="rId15"/>
                          <a:stretch>
                            <a:fillRect/>
                          </a:stretch>
                        </pic:blipFill>
                        <pic:spPr>
                          <a:xfrm>
                            <a:off x="0" y="0"/>
                            <a:ext cx="5675515" cy="1475099"/>
                          </a:xfrm>
                          <a:prstGeom prst="rect">
                            <a:avLst/>
                          </a:prstGeom>
                        </pic:spPr>
                      </pic:pic>
                    </a:graphicData>
                  </a:graphic>
                </wp:inline>
              </w:drawing>
            </w:r>
          </w:p>
          <w:p w14:paraId="75A5F433" w14:textId="77777777" w:rsidR="00726E8E" w:rsidRPr="00726E8E" w:rsidRDefault="00726E8E" w:rsidP="00726E8E">
            <w:pPr>
              <w:rPr>
                <w:rFonts w:asciiTheme="minorHAnsi" w:eastAsia="Calibri" w:hAnsiTheme="minorHAnsi" w:cs="Arial"/>
                <w:b/>
                <w:bCs/>
                <w:sz w:val="28"/>
                <w:szCs w:val="28"/>
              </w:rPr>
            </w:pPr>
            <w:r w:rsidRPr="00726E8E">
              <w:rPr>
                <w:rFonts w:asciiTheme="minorHAnsi" w:hAnsiTheme="minorHAnsi"/>
                <w:b/>
                <w:bCs/>
              </w:rPr>
              <w:br/>
            </w:r>
            <w:r w:rsidRPr="00726E8E">
              <w:rPr>
                <w:rFonts w:asciiTheme="minorHAnsi" w:hAnsiTheme="minorHAnsi"/>
              </w:rPr>
              <w:br/>
            </w:r>
            <w:r w:rsidRPr="00726E8E">
              <w:rPr>
                <w:rFonts w:asciiTheme="minorHAnsi" w:hAnsiTheme="minorHAnsi"/>
              </w:rPr>
              <w:br/>
            </w:r>
            <w:r w:rsidRPr="00726E8E">
              <w:rPr>
                <w:rFonts w:asciiTheme="minorHAnsi" w:eastAsia="Calibri" w:hAnsiTheme="minorHAnsi" w:cs="Arial"/>
                <w:b/>
                <w:bCs/>
                <w:sz w:val="28"/>
                <w:szCs w:val="28"/>
              </w:rPr>
              <w:t>E-Portfolio for Reflection on Learning, SWOT Analysis and PDP (Personal Development Plan)</w:t>
            </w:r>
          </w:p>
          <w:p w14:paraId="7A964AD3" w14:textId="77777777" w:rsidR="00726E8E" w:rsidRPr="00726E8E" w:rsidRDefault="00726E8E" w:rsidP="00726E8E">
            <w:pPr>
              <w:rPr>
                <w:rFonts w:asciiTheme="minorHAnsi" w:eastAsia="Calibri" w:hAnsiTheme="minorHAnsi" w:cs="Arial"/>
                <w:b/>
                <w:bCs/>
                <w:sz w:val="28"/>
                <w:szCs w:val="28"/>
              </w:rPr>
            </w:pPr>
          </w:p>
          <w:p w14:paraId="72C17C0E" w14:textId="77777777" w:rsidR="00726E8E" w:rsidRPr="00726E8E" w:rsidRDefault="00726E8E" w:rsidP="00726E8E">
            <w:pPr>
              <w:spacing w:line="360" w:lineRule="auto"/>
              <w:rPr>
                <w:rFonts w:asciiTheme="minorHAnsi" w:eastAsia="Calibri" w:hAnsiTheme="minorHAnsi" w:cs="Arial"/>
                <w:b/>
                <w:bCs/>
                <w:sz w:val="24"/>
                <w:szCs w:val="24"/>
                <w:u w:val="single"/>
              </w:rPr>
            </w:pPr>
            <w:r w:rsidRPr="00726E8E">
              <w:rPr>
                <w:rFonts w:asciiTheme="minorHAnsi" w:eastAsia="Calibri" w:hAnsiTheme="minorHAnsi" w:cs="Arial"/>
                <w:b/>
                <w:bCs/>
                <w:sz w:val="24"/>
                <w:szCs w:val="24"/>
                <w:u w:val="single"/>
              </w:rPr>
              <w:t>Reflection on Learning</w:t>
            </w:r>
          </w:p>
          <w:p w14:paraId="03C12B96" w14:textId="77777777" w:rsidR="00726E8E" w:rsidRPr="00726E8E" w:rsidRDefault="00726E8E" w:rsidP="00726E8E">
            <w:pPr>
              <w:spacing w:line="360" w:lineRule="auto"/>
              <w:rPr>
                <w:rFonts w:asciiTheme="minorHAnsi" w:eastAsia="Times New Roman" w:hAnsiTheme="minorHAnsi" w:cs="Arial"/>
                <w:b/>
                <w:i/>
                <w:iCs/>
                <w:sz w:val="24"/>
                <w:szCs w:val="24"/>
              </w:rPr>
            </w:pPr>
            <w:r w:rsidRPr="00726E8E">
              <w:rPr>
                <w:rFonts w:asciiTheme="minorHAnsi" w:eastAsia="Times New Roman" w:hAnsiTheme="minorHAnsi" w:cs="Arial"/>
                <w:b/>
                <w:sz w:val="24"/>
                <w:szCs w:val="24"/>
              </w:rPr>
              <w:t xml:space="preserve">Planned outcome: </w:t>
            </w:r>
            <w:r w:rsidRPr="00726E8E">
              <w:rPr>
                <w:rFonts w:asciiTheme="minorHAnsi" w:eastAsia="Times New Roman" w:hAnsiTheme="minorHAnsi" w:cs="Arial"/>
                <w:b/>
                <w:i/>
                <w:iCs/>
                <w:sz w:val="24"/>
                <w:szCs w:val="24"/>
              </w:rPr>
              <w:t>Where do I want to be after completing these areas of learning in Module 2? What do I want to be doing? (3000 words)</w:t>
            </w:r>
          </w:p>
          <w:p w14:paraId="24B1CEC5" w14:textId="77777777" w:rsidR="00726E8E" w:rsidRPr="00726E8E" w:rsidRDefault="00726E8E" w:rsidP="00726E8E">
            <w:pPr>
              <w:spacing w:line="360" w:lineRule="auto"/>
              <w:rPr>
                <w:rFonts w:asciiTheme="minorHAnsi" w:eastAsia="Calibri" w:hAnsiTheme="minorHAnsi" w:cs="Arial"/>
                <w:b/>
                <w:bCs/>
                <w:i/>
                <w:color w:val="FF0000"/>
                <w:sz w:val="32"/>
                <w:szCs w:val="32"/>
                <w:u w:val="single"/>
              </w:rPr>
            </w:pPr>
            <w:r w:rsidRPr="00726E8E">
              <w:rPr>
                <w:rFonts w:asciiTheme="minorHAnsi" w:eastAsia="Calibri" w:hAnsiTheme="minorHAnsi" w:cs="Arial"/>
                <w:b/>
                <w:bCs/>
                <w:i/>
                <w:color w:val="FF0000"/>
                <w:sz w:val="32"/>
                <w:szCs w:val="32"/>
                <w:u w:val="single"/>
              </w:rPr>
              <w:t>Important Instruction to students:</w:t>
            </w:r>
          </w:p>
          <w:p w14:paraId="545614A9" w14:textId="77777777" w:rsidR="00726E8E" w:rsidRPr="00726E8E" w:rsidRDefault="00726E8E" w:rsidP="00726E8E">
            <w:pPr>
              <w:numPr>
                <w:ilvl w:val="0"/>
                <w:numId w:val="9"/>
              </w:numPr>
              <w:spacing w:line="360" w:lineRule="auto"/>
              <w:rPr>
                <w:rFonts w:asciiTheme="minorHAnsi" w:eastAsia="Calibri" w:hAnsiTheme="minorHAnsi" w:cs="Arial"/>
                <w:color w:val="FF0000"/>
              </w:rPr>
            </w:pPr>
            <w:r w:rsidRPr="00726E8E">
              <w:rPr>
                <w:rFonts w:asciiTheme="minorHAnsi" w:eastAsia="Calibri" w:hAnsiTheme="minorHAnsi" w:cs="Arial"/>
                <w:color w:val="FF0000"/>
              </w:rPr>
              <w:t xml:space="preserve">Prior to final submission </w:t>
            </w:r>
            <w:r w:rsidRPr="00726E8E">
              <w:rPr>
                <w:rFonts w:asciiTheme="minorHAnsi" w:eastAsia="Calibri" w:hAnsiTheme="minorHAnsi" w:cs="Arial"/>
                <w:b/>
                <w:bCs/>
                <w:color w:val="FF0000"/>
                <w:u w:val="single"/>
              </w:rPr>
              <w:t xml:space="preserve">please </w:t>
            </w:r>
            <w:r w:rsidRPr="00726E8E">
              <w:rPr>
                <w:rFonts w:asciiTheme="minorHAnsi" w:eastAsia="Calibri" w:hAnsiTheme="minorHAnsi" w:cs="Arial"/>
                <w:b/>
                <w:bCs/>
                <w:i/>
                <w:color w:val="FF0000"/>
                <w:u w:val="single"/>
              </w:rPr>
              <w:t>delete the red highlighted</w:t>
            </w:r>
            <w:r w:rsidRPr="00726E8E">
              <w:rPr>
                <w:rFonts w:asciiTheme="minorHAnsi" w:eastAsia="Calibri" w:hAnsiTheme="minorHAnsi" w:cs="Arial"/>
                <w:b/>
                <w:bCs/>
                <w:color w:val="FF0000"/>
                <w:u w:val="single"/>
              </w:rPr>
              <w:t xml:space="preserve"> </w:t>
            </w:r>
            <w:r w:rsidRPr="00726E8E">
              <w:rPr>
                <w:rFonts w:asciiTheme="minorHAnsi" w:eastAsia="Calibri" w:hAnsiTheme="minorHAnsi" w:cs="Arial"/>
                <w:b/>
                <w:bCs/>
                <w:i/>
                <w:iCs/>
                <w:color w:val="FF0000"/>
                <w:u w:val="single"/>
              </w:rPr>
              <w:t>instructions</w:t>
            </w:r>
            <w:r w:rsidRPr="00726E8E">
              <w:rPr>
                <w:rFonts w:asciiTheme="minorHAnsi" w:eastAsia="Calibri" w:hAnsiTheme="minorHAnsi" w:cs="Arial"/>
                <w:i/>
                <w:iCs/>
                <w:color w:val="FF0000"/>
              </w:rPr>
              <w:t xml:space="preserve"> </w:t>
            </w:r>
            <w:r w:rsidRPr="00726E8E">
              <w:rPr>
                <w:rFonts w:asciiTheme="minorHAnsi" w:eastAsia="Calibri" w:hAnsiTheme="minorHAnsi" w:cs="Arial"/>
                <w:color w:val="FF0000"/>
              </w:rPr>
              <w:t>from the table.</w:t>
            </w:r>
          </w:p>
          <w:p w14:paraId="056380F9" w14:textId="77777777" w:rsidR="00726E8E" w:rsidRPr="00726E8E" w:rsidRDefault="00726E8E" w:rsidP="00726E8E">
            <w:pPr>
              <w:numPr>
                <w:ilvl w:val="0"/>
                <w:numId w:val="9"/>
              </w:numPr>
              <w:spacing w:line="360" w:lineRule="auto"/>
              <w:rPr>
                <w:rFonts w:asciiTheme="minorHAnsi" w:eastAsia="Calibri" w:hAnsiTheme="minorHAnsi" w:cs="Arial"/>
                <w:color w:val="FF0000"/>
              </w:rPr>
            </w:pPr>
            <w:r w:rsidRPr="00726E8E">
              <w:rPr>
                <w:rFonts w:asciiTheme="minorHAnsi" w:eastAsia="Calibri" w:hAnsiTheme="minorHAnsi" w:cs="Arial"/>
                <w:color w:val="FF0000"/>
              </w:rPr>
              <w:t>Use as many additional pages as needed.</w:t>
            </w:r>
          </w:p>
          <w:p w14:paraId="5557814F" w14:textId="77777777" w:rsidR="00726E8E" w:rsidRPr="00726E8E" w:rsidRDefault="00726E8E" w:rsidP="00726E8E">
            <w:pPr>
              <w:numPr>
                <w:ilvl w:val="0"/>
                <w:numId w:val="9"/>
              </w:numPr>
              <w:spacing w:line="360" w:lineRule="auto"/>
              <w:rPr>
                <w:rFonts w:asciiTheme="minorHAnsi" w:eastAsia="Calibri" w:hAnsiTheme="minorHAnsi" w:cs="Arial"/>
                <w:color w:val="FF0000"/>
              </w:rPr>
            </w:pPr>
            <w:r w:rsidRPr="00726E8E">
              <w:rPr>
                <w:rFonts w:asciiTheme="minorHAnsi" w:eastAsia="Calibri" w:hAnsiTheme="minorHAnsi" w:cs="Arial"/>
                <w:color w:val="FF0000"/>
              </w:rPr>
              <w:t>E-portfolio is worth 100% of overall mark.</w:t>
            </w:r>
          </w:p>
          <w:p w14:paraId="2F94A969" w14:textId="19089E06" w:rsidR="00726E8E" w:rsidRPr="00726E8E" w:rsidRDefault="00726E8E" w:rsidP="00726E8E">
            <w:pPr>
              <w:rPr>
                <w:rFonts w:asciiTheme="minorHAnsi" w:hAnsiTheme="minorHAnsi"/>
              </w:rPr>
            </w:pPr>
            <w:r w:rsidRPr="00726E8E">
              <w:rPr>
                <w:rFonts w:asciiTheme="minorHAnsi" w:hAnsiTheme="minorHAnsi"/>
              </w:rPr>
              <w:br/>
            </w:r>
          </w:p>
        </w:tc>
      </w:tr>
    </w:tbl>
    <w:p w14:paraId="6D0E02F9" w14:textId="77777777" w:rsidR="00E90423" w:rsidRDefault="00E90423" w:rsidP="00E90423">
      <w:pPr>
        <w:spacing w:after="0" w:line="240" w:lineRule="auto"/>
        <w:rPr>
          <w:rFonts w:eastAsia="Times New Roman" w:cs="Times New Roman"/>
          <w:sz w:val="24"/>
          <w:szCs w:val="20"/>
        </w:rPr>
      </w:pPr>
    </w:p>
    <w:p w14:paraId="65D7AF23" w14:textId="77777777" w:rsidR="00726E8E" w:rsidRDefault="00726E8E" w:rsidP="00E90423">
      <w:pPr>
        <w:spacing w:after="0" w:line="240" w:lineRule="auto"/>
        <w:rPr>
          <w:rFonts w:eastAsia="Times New Roman" w:cs="Times New Roman"/>
          <w:sz w:val="24"/>
          <w:szCs w:val="20"/>
        </w:rPr>
      </w:pPr>
    </w:p>
    <w:p w14:paraId="662EBCF8" w14:textId="77777777" w:rsidR="00726E8E" w:rsidRDefault="00726E8E" w:rsidP="00E90423">
      <w:pPr>
        <w:spacing w:after="0" w:line="240" w:lineRule="auto"/>
        <w:rPr>
          <w:rFonts w:eastAsia="Times New Roman" w:cs="Times New Roman"/>
          <w:sz w:val="24"/>
          <w:szCs w:val="20"/>
        </w:rPr>
      </w:pPr>
    </w:p>
    <w:p w14:paraId="6A25A028" w14:textId="77777777" w:rsidR="00726E8E" w:rsidRDefault="00726E8E" w:rsidP="00E90423">
      <w:pPr>
        <w:spacing w:after="0" w:line="240" w:lineRule="auto"/>
        <w:rPr>
          <w:rFonts w:eastAsia="Times New Roman" w:cs="Times New Roman"/>
          <w:sz w:val="24"/>
          <w:szCs w:val="20"/>
        </w:rPr>
      </w:pPr>
    </w:p>
    <w:p w14:paraId="3D3234BA" w14:textId="77777777" w:rsidR="00726E8E" w:rsidRDefault="00726E8E" w:rsidP="00E90423">
      <w:pPr>
        <w:spacing w:after="0" w:line="240" w:lineRule="auto"/>
        <w:rPr>
          <w:rFonts w:eastAsia="Times New Roman" w:cs="Times New Roman"/>
          <w:sz w:val="24"/>
          <w:szCs w:val="20"/>
        </w:rPr>
      </w:pPr>
    </w:p>
    <w:p w14:paraId="6A3898D4" w14:textId="77777777" w:rsidR="00726E8E" w:rsidRDefault="00726E8E" w:rsidP="00E90423">
      <w:pPr>
        <w:spacing w:after="0" w:line="240" w:lineRule="auto"/>
        <w:rPr>
          <w:rFonts w:eastAsia="Times New Roman" w:cs="Times New Roman"/>
          <w:sz w:val="24"/>
          <w:szCs w:val="20"/>
        </w:rPr>
      </w:pPr>
    </w:p>
    <w:p w14:paraId="7FAF0ED0" w14:textId="77777777" w:rsidR="00726E8E" w:rsidRDefault="00726E8E" w:rsidP="00E90423">
      <w:pPr>
        <w:spacing w:after="0" w:line="240" w:lineRule="auto"/>
        <w:rPr>
          <w:rFonts w:eastAsia="Times New Roman" w:cs="Times New Roman"/>
          <w:sz w:val="24"/>
          <w:szCs w:val="20"/>
        </w:rPr>
      </w:pPr>
    </w:p>
    <w:p w14:paraId="7A59B72F" w14:textId="77777777" w:rsidR="00726E8E" w:rsidRDefault="00726E8E" w:rsidP="00E90423">
      <w:pPr>
        <w:spacing w:after="0" w:line="240" w:lineRule="auto"/>
        <w:rPr>
          <w:rFonts w:eastAsia="Times New Roman" w:cs="Times New Roman"/>
          <w:sz w:val="24"/>
          <w:szCs w:val="20"/>
        </w:rPr>
      </w:pPr>
    </w:p>
    <w:p w14:paraId="421411F4" w14:textId="77777777" w:rsidR="00726E8E" w:rsidRDefault="00726E8E" w:rsidP="00E90423">
      <w:pPr>
        <w:spacing w:after="0" w:line="240" w:lineRule="auto"/>
        <w:rPr>
          <w:rFonts w:eastAsia="Times New Roman" w:cs="Times New Roman"/>
          <w:sz w:val="24"/>
          <w:szCs w:val="20"/>
        </w:rPr>
      </w:pPr>
    </w:p>
    <w:p w14:paraId="30965874" w14:textId="77777777" w:rsidR="00726E8E" w:rsidRDefault="00726E8E" w:rsidP="00E90423">
      <w:pPr>
        <w:spacing w:after="0" w:line="240" w:lineRule="auto"/>
        <w:rPr>
          <w:rFonts w:eastAsia="Times New Roman" w:cs="Times New Roman"/>
          <w:sz w:val="24"/>
          <w:szCs w:val="20"/>
        </w:rPr>
      </w:pPr>
    </w:p>
    <w:p w14:paraId="3FDBCB61" w14:textId="77777777" w:rsidR="00726E8E" w:rsidRDefault="00726E8E" w:rsidP="00E90423">
      <w:pPr>
        <w:spacing w:after="0" w:line="240" w:lineRule="auto"/>
        <w:rPr>
          <w:rFonts w:eastAsia="Times New Roman" w:cs="Times New Roman"/>
          <w:sz w:val="24"/>
          <w:szCs w:val="20"/>
        </w:rPr>
      </w:pPr>
    </w:p>
    <w:p w14:paraId="63CCB7ED" w14:textId="77777777" w:rsidR="00726E8E" w:rsidRDefault="00726E8E" w:rsidP="00E90423">
      <w:pPr>
        <w:spacing w:after="0" w:line="240" w:lineRule="auto"/>
        <w:rPr>
          <w:rFonts w:eastAsia="Times New Roman" w:cs="Times New Roman"/>
          <w:sz w:val="24"/>
          <w:szCs w:val="20"/>
        </w:rPr>
      </w:pPr>
    </w:p>
    <w:p w14:paraId="328C73AB" w14:textId="77777777" w:rsidR="00726E8E" w:rsidRDefault="00726E8E" w:rsidP="00E90423">
      <w:pPr>
        <w:spacing w:after="0" w:line="240" w:lineRule="auto"/>
        <w:rPr>
          <w:rFonts w:eastAsia="Times New Roman" w:cs="Times New Roman"/>
          <w:sz w:val="24"/>
          <w:szCs w:val="20"/>
        </w:rPr>
      </w:pPr>
    </w:p>
    <w:p w14:paraId="5C7CECF8" w14:textId="77777777" w:rsidR="00726E8E" w:rsidRDefault="00726E8E" w:rsidP="00E90423">
      <w:pPr>
        <w:spacing w:after="0" w:line="240" w:lineRule="auto"/>
        <w:rPr>
          <w:rFonts w:eastAsia="Times New Roman" w:cs="Times New Roman"/>
          <w:sz w:val="24"/>
          <w:szCs w:val="20"/>
        </w:rPr>
      </w:pPr>
    </w:p>
    <w:p w14:paraId="56ABB3A6" w14:textId="77777777" w:rsidR="00726E8E" w:rsidRDefault="00726E8E" w:rsidP="00E90423">
      <w:pPr>
        <w:spacing w:after="0" w:line="240" w:lineRule="auto"/>
        <w:rPr>
          <w:rFonts w:eastAsia="Times New Roman" w:cs="Times New Roman"/>
          <w:sz w:val="24"/>
          <w:szCs w:val="20"/>
        </w:rPr>
      </w:pPr>
    </w:p>
    <w:p w14:paraId="2A4ACA17" w14:textId="77777777" w:rsidR="00726E8E" w:rsidRDefault="00726E8E" w:rsidP="00E90423">
      <w:pPr>
        <w:spacing w:after="0" w:line="240" w:lineRule="auto"/>
        <w:rPr>
          <w:rFonts w:eastAsia="Times New Roman" w:cs="Times New Roman"/>
          <w:sz w:val="24"/>
          <w:szCs w:val="20"/>
        </w:rPr>
      </w:pPr>
    </w:p>
    <w:p w14:paraId="790F14C7" w14:textId="77777777" w:rsidR="00726E8E" w:rsidRDefault="00726E8E" w:rsidP="00E90423">
      <w:pPr>
        <w:spacing w:after="0" w:line="240" w:lineRule="auto"/>
        <w:rPr>
          <w:rFonts w:eastAsia="Times New Roman" w:cs="Times New Roman"/>
          <w:sz w:val="24"/>
          <w:szCs w:val="20"/>
        </w:rPr>
      </w:pPr>
    </w:p>
    <w:p w14:paraId="6F5AF91F" w14:textId="77777777" w:rsidR="00726E8E" w:rsidRDefault="00726E8E" w:rsidP="00E90423">
      <w:pPr>
        <w:spacing w:after="0" w:line="240" w:lineRule="auto"/>
        <w:rPr>
          <w:rFonts w:eastAsia="Times New Roman" w:cs="Times New Roman"/>
          <w:sz w:val="24"/>
          <w:szCs w:val="20"/>
        </w:rPr>
      </w:pPr>
    </w:p>
    <w:p w14:paraId="6A5CE62F" w14:textId="77777777" w:rsidR="00726E8E" w:rsidRDefault="00726E8E" w:rsidP="00E90423">
      <w:pPr>
        <w:spacing w:after="0" w:line="240" w:lineRule="auto"/>
        <w:rPr>
          <w:rFonts w:eastAsia="Times New Roman" w:cs="Times New Roman"/>
          <w:sz w:val="24"/>
          <w:szCs w:val="20"/>
        </w:rPr>
      </w:pPr>
    </w:p>
    <w:p w14:paraId="6F4AEF3F" w14:textId="77777777" w:rsidR="00726E8E" w:rsidRDefault="00726E8E" w:rsidP="00E90423">
      <w:pPr>
        <w:spacing w:after="0" w:line="240" w:lineRule="auto"/>
        <w:rPr>
          <w:rFonts w:eastAsia="Times New Roman" w:cs="Times New Roman"/>
          <w:sz w:val="24"/>
          <w:szCs w:val="20"/>
        </w:rPr>
      </w:pPr>
    </w:p>
    <w:p w14:paraId="4C123A6E" w14:textId="77777777" w:rsidR="00726E8E" w:rsidRDefault="00726E8E" w:rsidP="00E90423">
      <w:pPr>
        <w:spacing w:after="0" w:line="240" w:lineRule="auto"/>
        <w:rPr>
          <w:rFonts w:eastAsia="Times New Roman" w:cs="Times New Roman"/>
          <w:sz w:val="24"/>
          <w:szCs w:val="20"/>
        </w:rPr>
      </w:pPr>
    </w:p>
    <w:p w14:paraId="452B4E4A" w14:textId="77777777" w:rsidR="00726E8E" w:rsidRDefault="00726E8E" w:rsidP="00E90423">
      <w:pPr>
        <w:spacing w:after="0" w:line="240" w:lineRule="auto"/>
        <w:rPr>
          <w:rFonts w:eastAsia="Times New Roman" w:cs="Times New Roman"/>
          <w:sz w:val="24"/>
          <w:szCs w:val="20"/>
        </w:rPr>
      </w:pPr>
    </w:p>
    <w:p w14:paraId="7BC5E538" w14:textId="77777777" w:rsidR="00726E8E" w:rsidRDefault="00726E8E" w:rsidP="00E90423">
      <w:pPr>
        <w:spacing w:after="0" w:line="240" w:lineRule="auto"/>
        <w:rPr>
          <w:rFonts w:eastAsia="Times New Roman" w:cs="Times New Roman"/>
          <w:sz w:val="24"/>
          <w:szCs w:val="20"/>
        </w:rPr>
      </w:pPr>
    </w:p>
    <w:p w14:paraId="403CC41C" w14:textId="77777777" w:rsidR="00726E8E" w:rsidRDefault="00726E8E" w:rsidP="00E90423">
      <w:pPr>
        <w:spacing w:after="0" w:line="240" w:lineRule="auto"/>
        <w:rPr>
          <w:rFonts w:eastAsia="Times New Roman" w:cs="Times New Roman"/>
          <w:sz w:val="24"/>
          <w:szCs w:val="20"/>
        </w:rPr>
      </w:pPr>
    </w:p>
    <w:p w14:paraId="7FA74DD0" w14:textId="77777777" w:rsidR="00726E8E" w:rsidRDefault="00726E8E" w:rsidP="00E90423">
      <w:pPr>
        <w:spacing w:after="0" w:line="240" w:lineRule="auto"/>
        <w:rPr>
          <w:rFonts w:eastAsia="Times New Roman" w:cs="Times New Roman"/>
          <w:sz w:val="24"/>
          <w:szCs w:val="20"/>
        </w:rPr>
      </w:pPr>
    </w:p>
    <w:p w14:paraId="36F7E58A" w14:textId="77777777" w:rsidR="00726E8E" w:rsidRDefault="00726E8E" w:rsidP="00E90423">
      <w:pPr>
        <w:spacing w:after="0" w:line="240" w:lineRule="auto"/>
        <w:rPr>
          <w:rFonts w:eastAsia="Times New Roman" w:cs="Times New Roman"/>
          <w:sz w:val="24"/>
          <w:szCs w:val="20"/>
        </w:rPr>
      </w:pPr>
    </w:p>
    <w:p w14:paraId="797F8A38" w14:textId="77777777" w:rsidR="00726E8E" w:rsidRDefault="00726E8E" w:rsidP="00E90423">
      <w:pPr>
        <w:spacing w:after="0" w:line="240" w:lineRule="auto"/>
        <w:rPr>
          <w:rFonts w:eastAsia="Times New Roman" w:cs="Times New Roman"/>
          <w:sz w:val="24"/>
          <w:szCs w:val="20"/>
        </w:rPr>
      </w:pPr>
    </w:p>
    <w:p w14:paraId="2179E968" w14:textId="77777777" w:rsidR="00726E8E" w:rsidRDefault="00726E8E" w:rsidP="00E90423">
      <w:pPr>
        <w:spacing w:after="0" w:line="240" w:lineRule="auto"/>
        <w:rPr>
          <w:rFonts w:eastAsia="Times New Roman" w:cs="Times New Roman"/>
          <w:sz w:val="24"/>
          <w:szCs w:val="20"/>
        </w:rPr>
      </w:pPr>
    </w:p>
    <w:p w14:paraId="49E73504" w14:textId="77777777" w:rsidR="00726E8E" w:rsidRDefault="00726E8E" w:rsidP="00E90423">
      <w:pPr>
        <w:spacing w:after="0" w:line="240" w:lineRule="auto"/>
        <w:rPr>
          <w:rFonts w:eastAsia="Times New Roman" w:cs="Times New Roman"/>
          <w:sz w:val="24"/>
          <w:szCs w:val="20"/>
        </w:rPr>
      </w:pPr>
    </w:p>
    <w:p w14:paraId="32CD4660" w14:textId="77777777" w:rsidR="00726E8E" w:rsidRDefault="00726E8E" w:rsidP="00E90423">
      <w:pPr>
        <w:spacing w:after="0" w:line="240" w:lineRule="auto"/>
        <w:rPr>
          <w:rFonts w:eastAsia="Times New Roman" w:cs="Times New Roman"/>
          <w:sz w:val="24"/>
          <w:szCs w:val="20"/>
        </w:rPr>
      </w:pPr>
    </w:p>
    <w:p w14:paraId="2653BCBC" w14:textId="77777777" w:rsidR="00726E8E" w:rsidRDefault="00726E8E" w:rsidP="00E90423">
      <w:pPr>
        <w:spacing w:after="0" w:line="240" w:lineRule="auto"/>
        <w:rPr>
          <w:rFonts w:eastAsia="Times New Roman" w:cs="Times New Roman"/>
          <w:sz w:val="24"/>
          <w:szCs w:val="20"/>
        </w:rPr>
      </w:pPr>
    </w:p>
    <w:p w14:paraId="1CD734F1" w14:textId="77777777" w:rsidR="00726E8E" w:rsidRPr="00E90423" w:rsidRDefault="00726E8E" w:rsidP="00E90423">
      <w:pPr>
        <w:spacing w:after="0" w:line="240" w:lineRule="auto"/>
        <w:rPr>
          <w:rFonts w:eastAsia="Times New Roman" w:cs="Times New Roman"/>
          <w:sz w:val="24"/>
          <w:szCs w:val="20"/>
        </w:rPr>
      </w:pPr>
    </w:p>
    <w:tbl>
      <w:tblPr>
        <w:tblW w:w="10288"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88"/>
      </w:tblGrid>
      <w:tr w:rsidR="00E90423" w:rsidRPr="00E90423" w14:paraId="6B4FCA7F" w14:textId="77777777" w:rsidTr="003526DB">
        <w:trPr>
          <w:trHeight w:val="1235"/>
        </w:trPr>
        <w:tc>
          <w:tcPr>
            <w:tcW w:w="10288" w:type="dxa"/>
            <w:shd w:val="clear" w:color="auto" w:fill="002060"/>
          </w:tcPr>
          <w:p w14:paraId="4D950D82" w14:textId="77777777" w:rsidR="00E90423" w:rsidRPr="000F019A" w:rsidRDefault="00E90423" w:rsidP="00E90423">
            <w:pPr>
              <w:spacing w:after="0" w:line="240" w:lineRule="auto"/>
              <w:rPr>
                <w:rFonts w:ascii="Times New Roman" w:eastAsia="Times New Roman" w:hAnsi="Times New Roman" w:cs="Times New Roman"/>
                <w:sz w:val="24"/>
                <w:szCs w:val="20"/>
              </w:rPr>
            </w:pPr>
          </w:p>
          <w:p w14:paraId="6A34023A" w14:textId="77777777" w:rsidR="00E90423" w:rsidRPr="000F019A" w:rsidRDefault="00E90423" w:rsidP="00E90423">
            <w:pPr>
              <w:keepNext/>
              <w:spacing w:after="0" w:line="240" w:lineRule="auto"/>
              <w:jc w:val="center"/>
              <w:outlineLvl w:val="0"/>
              <w:rPr>
                <w:rFonts w:eastAsia="Times New Roman" w:cs="Times New Roman"/>
                <w:b/>
                <w:color w:val="FFFFFF"/>
                <w:sz w:val="44"/>
                <w:szCs w:val="20"/>
              </w:rPr>
            </w:pPr>
            <w:r w:rsidRPr="000F019A">
              <w:rPr>
                <w:rFonts w:eastAsia="Times New Roman" w:cs="Times New Roman"/>
                <w:b/>
                <w:color w:val="FFFFFF"/>
                <w:sz w:val="44"/>
                <w:szCs w:val="20"/>
              </w:rPr>
              <w:t>E-Portfolio</w:t>
            </w:r>
          </w:p>
          <w:p w14:paraId="68464847" w14:textId="77777777" w:rsidR="00E90423" w:rsidRPr="000F019A" w:rsidRDefault="00E90423" w:rsidP="00E90423">
            <w:pPr>
              <w:spacing w:after="0" w:line="240" w:lineRule="auto"/>
              <w:rPr>
                <w:rFonts w:ascii="Times New Roman" w:eastAsia="Times New Roman" w:hAnsi="Times New Roman" w:cs="Times New Roman"/>
                <w:sz w:val="24"/>
                <w:szCs w:val="20"/>
              </w:rPr>
            </w:pPr>
          </w:p>
        </w:tc>
      </w:tr>
    </w:tbl>
    <w:p w14:paraId="6F1849E4" w14:textId="77777777" w:rsidR="00E90423" w:rsidRPr="00E90423" w:rsidRDefault="00E90423" w:rsidP="00E90423">
      <w:pPr>
        <w:spacing w:after="0" w:line="240" w:lineRule="auto"/>
        <w:rPr>
          <w:rFonts w:ascii="Times New Roman" w:eastAsia="Times New Roman" w:hAnsi="Times New Roman" w:cs="Times New Roman"/>
          <w:sz w:val="24"/>
          <w:szCs w:val="20"/>
        </w:rPr>
      </w:pPr>
    </w:p>
    <w:p w14:paraId="11D7B56E" w14:textId="77777777" w:rsidR="00E90423" w:rsidRPr="00E90423" w:rsidRDefault="00E90423" w:rsidP="00E90423">
      <w:pPr>
        <w:spacing w:after="0" w:line="240" w:lineRule="auto"/>
        <w:rPr>
          <w:rFonts w:ascii="Times New Roman" w:eastAsia="Times New Roman" w:hAnsi="Times New Roman" w:cs="Times New Roman"/>
          <w:sz w:val="24"/>
          <w:szCs w:val="20"/>
        </w:rPr>
      </w:pPr>
    </w:p>
    <w:tbl>
      <w:tblP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4"/>
        <w:gridCol w:w="4116"/>
        <w:gridCol w:w="1780"/>
        <w:gridCol w:w="2670"/>
      </w:tblGrid>
      <w:tr w:rsidR="00E90423" w:rsidRPr="00F179A5" w14:paraId="5823750B" w14:textId="77777777" w:rsidTr="2BD76989">
        <w:trPr>
          <w:trHeight w:val="482"/>
        </w:trPr>
        <w:tc>
          <w:tcPr>
            <w:tcW w:w="1754" w:type="dxa"/>
          </w:tcPr>
          <w:p w14:paraId="1B57EB58" w14:textId="77777777" w:rsidR="00E90423" w:rsidRPr="00F179A5" w:rsidRDefault="00E90423" w:rsidP="00E90423">
            <w:pPr>
              <w:spacing w:after="0" w:line="240" w:lineRule="auto"/>
              <w:rPr>
                <w:rFonts w:eastAsia="Times New Roman" w:cs="Arial"/>
                <w:b/>
                <w:bCs/>
                <w:sz w:val="24"/>
                <w:szCs w:val="24"/>
              </w:rPr>
            </w:pPr>
            <w:r w:rsidRPr="00F179A5">
              <w:rPr>
                <w:rFonts w:eastAsia="Calibri" w:cs="Arial"/>
                <w:b/>
                <w:bCs/>
                <w:sz w:val="24"/>
                <w:szCs w:val="24"/>
              </w:rPr>
              <w:t>Module name:</w:t>
            </w:r>
            <w:r w:rsidRPr="00F179A5">
              <w:rPr>
                <w:rFonts w:eastAsia="Times New Roman" w:cs="Arial"/>
                <w:b/>
                <w:bCs/>
                <w:sz w:val="24"/>
                <w:szCs w:val="24"/>
              </w:rPr>
              <w:t xml:space="preserve"> </w:t>
            </w:r>
          </w:p>
        </w:tc>
        <w:tc>
          <w:tcPr>
            <w:tcW w:w="4116" w:type="dxa"/>
          </w:tcPr>
          <w:p w14:paraId="5BE1B888" w14:textId="77777777" w:rsidR="00E90423" w:rsidRDefault="00E90423" w:rsidP="00E90423">
            <w:pPr>
              <w:spacing w:after="0" w:line="240" w:lineRule="auto"/>
              <w:rPr>
                <w:rFonts w:eastAsia="Times New Roman" w:cs="Arial"/>
                <w:sz w:val="24"/>
                <w:szCs w:val="24"/>
              </w:rPr>
            </w:pPr>
            <w:r w:rsidRPr="00F179A5">
              <w:rPr>
                <w:rFonts w:eastAsia="Times New Roman" w:cs="Arial"/>
                <w:sz w:val="24"/>
                <w:szCs w:val="24"/>
              </w:rPr>
              <w:t>Orientation for Success in Higher Education</w:t>
            </w:r>
          </w:p>
          <w:p w14:paraId="16EC5328" w14:textId="1DB5A0AC" w:rsidR="00F179A5" w:rsidRPr="00F179A5" w:rsidRDefault="00F179A5" w:rsidP="00E90423">
            <w:pPr>
              <w:spacing w:after="0" w:line="240" w:lineRule="auto"/>
              <w:rPr>
                <w:rFonts w:eastAsia="Times New Roman" w:cs="Arial"/>
                <w:b/>
                <w:bCs/>
                <w:sz w:val="24"/>
                <w:szCs w:val="24"/>
              </w:rPr>
            </w:pPr>
          </w:p>
        </w:tc>
        <w:tc>
          <w:tcPr>
            <w:tcW w:w="1780" w:type="dxa"/>
          </w:tcPr>
          <w:p w14:paraId="033EE440" w14:textId="77777777" w:rsidR="00E90423" w:rsidRPr="00F179A5" w:rsidRDefault="00E90423" w:rsidP="00E90423">
            <w:pPr>
              <w:spacing w:after="0" w:line="240" w:lineRule="auto"/>
              <w:rPr>
                <w:rFonts w:eastAsia="Times New Roman" w:cs="Arial"/>
                <w:b/>
                <w:bCs/>
                <w:sz w:val="24"/>
                <w:szCs w:val="24"/>
              </w:rPr>
            </w:pPr>
            <w:r w:rsidRPr="00F179A5">
              <w:rPr>
                <w:rFonts w:eastAsia="Times New Roman" w:cs="Arial"/>
                <w:b/>
                <w:bCs/>
                <w:sz w:val="24"/>
                <w:szCs w:val="24"/>
              </w:rPr>
              <w:t>Academic year:</w:t>
            </w:r>
          </w:p>
        </w:tc>
        <w:tc>
          <w:tcPr>
            <w:tcW w:w="2670" w:type="dxa"/>
          </w:tcPr>
          <w:p w14:paraId="1EC72000" w14:textId="0508963E" w:rsidR="00E90423" w:rsidRPr="00F179A5" w:rsidRDefault="00E90423" w:rsidP="00E90423">
            <w:pPr>
              <w:spacing w:after="0" w:line="240" w:lineRule="auto"/>
              <w:rPr>
                <w:rFonts w:eastAsia="Times New Roman" w:cs="Arial"/>
                <w:sz w:val="24"/>
                <w:szCs w:val="24"/>
              </w:rPr>
            </w:pPr>
            <w:r w:rsidRPr="00F179A5">
              <w:rPr>
                <w:rFonts w:eastAsia="Times New Roman" w:cs="Arial"/>
                <w:sz w:val="24"/>
                <w:szCs w:val="24"/>
              </w:rPr>
              <w:t>202</w:t>
            </w:r>
            <w:r w:rsidR="0063428B">
              <w:rPr>
                <w:rFonts w:eastAsia="Times New Roman" w:cs="Arial"/>
                <w:sz w:val="24"/>
                <w:szCs w:val="24"/>
              </w:rPr>
              <w:t>4</w:t>
            </w:r>
            <w:r w:rsidR="00313582">
              <w:rPr>
                <w:rFonts w:eastAsia="Times New Roman" w:cs="Arial"/>
                <w:sz w:val="24"/>
                <w:szCs w:val="24"/>
              </w:rPr>
              <w:t>-2025</w:t>
            </w:r>
          </w:p>
        </w:tc>
      </w:tr>
      <w:tr w:rsidR="00E90423" w:rsidRPr="00F179A5" w14:paraId="44213151" w14:textId="77777777" w:rsidTr="2BD76989">
        <w:trPr>
          <w:trHeight w:val="716"/>
        </w:trPr>
        <w:tc>
          <w:tcPr>
            <w:tcW w:w="1754" w:type="dxa"/>
          </w:tcPr>
          <w:p w14:paraId="617C2212" w14:textId="77777777" w:rsidR="00E90423" w:rsidRDefault="00E90423" w:rsidP="00E90423">
            <w:pPr>
              <w:spacing w:after="0" w:line="240" w:lineRule="auto"/>
              <w:rPr>
                <w:rFonts w:eastAsia="Times New Roman" w:cs="Arial"/>
                <w:b/>
                <w:bCs/>
                <w:sz w:val="24"/>
                <w:szCs w:val="24"/>
              </w:rPr>
            </w:pPr>
            <w:r w:rsidRPr="00F179A5">
              <w:rPr>
                <w:rFonts w:eastAsia="Times New Roman" w:cs="Arial"/>
                <w:b/>
                <w:bCs/>
                <w:sz w:val="24"/>
                <w:szCs w:val="24"/>
              </w:rPr>
              <w:t>Student ID number:</w:t>
            </w:r>
          </w:p>
          <w:p w14:paraId="634E1E0E" w14:textId="355A3A52" w:rsidR="00F179A5" w:rsidRPr="00F179A5" w:rsidRDefault="00F179A5" w:rsidP="00E90423">
            <w:pPr>
              <w:spacing w:after="0" w:line="240" w:lineRule="auto"/>
              <w:rPr>
                <w:rFonts w:eastAsia="Times New Roman" w:cs="Arial"/>
                <w:b/>
                <w:bCs/>
                <w:sz w:val="24"/>
                <w:szCs w:val="24"/>
              </w:rPr>
            </w:pPr>
          </w:p>
        </w:tc>
        <w:tc>
          <w:tcPr>
            <w:tcW w:w="4116" w:type="dxa"/>
          </w:tcPr>
          <w:p w14:paraId="46E3F0FA" w14:textId="207CCC56" w:rsidR="00E90423" w:rsidRPr="00F179A5" w:rsidRDefault="07C62725" w:rsidP="00E90423">
            <w:pPr>
              <w:spacing w:after="0" w:line="240" w:lineRule="auto"/>
              <w:rPr>
                <w:rFonts w:eastAsia="Times New Roman" w:cs="Arial"/>
                <w:b/>
                <w:bCs/>
                <w:sz w:val="24"/>
                <w:szCs w:val="24"/>
              </w:rPr>
            </w:pPr>
            <w:r w:rsidRPr="14A7A78B">
              <w:rPr>
                <w:rFonts w:eastAsia="Times New Roman" w:cs="Arial"/>
                <w:b/>
                <w:bCs/>
                <w:sz w:val="24"/>
                <w:szCs w:val="24"/>
              </w:rPr>
              <w:t>G-1</w:t>
            </w:r>
          </w:p>
        </w:tc>
        <w:tc>
          <w:tcPr>
            <w:tcW w:w="1780" w:type="dxa"/>
          </w:tcPr>
          <w:p w14:paraId="31A08442" w14:textId="77777777" w:rsidR="00E90423" w:rsidRPr="00F179A5" w:rsidRDefault="00E90423" w:rsidP="00E90423">
            <w:pPr>
              <w:spacing w:after="0" w:line="240" w:lineRule="auto"/>
              <w:rPr>
                <w:rFonts w:eastAsia="Times New Roman" w:cs="Arial"/>
                <w:b/>
                <w:bCs/>
                <w:sz w:val="24"/>
                <w:szCs w:val="24"/>
              </w:rPr>
            </w:pPr>
            <w:r w:rsidRPr="00F179A5">
              <w:rPr>
                <w:rFonts w:eastAsia="Calibri" w:cs="Arial"/>
                <w:b/>
                <w:bCs/>
                <w:sz w:val="24"/>
                <w:szCs w:val="24"/>
              </w:rPr>
              <w:t>Tutor name:</w:t>
            </w:r>
          </w:p>
        </w:tc>
        <w:tc>
          <w:tcPr>
            <w:tcW w:w="2670" w:type="dxa"/>
          </w:tcPr>
          <w:p w14:paraId="75FE9EDB" w14:textId="63AB092F" w:rsidR="00E90423" w:rsidRPr="00F179A5" w:rsidRDefault="1B2F8903" w:rsidP="00E90423">
            <w:pPr>
              <w:spacing w:after="0" w:line="240" w:lineRule="auto"/>
              <w:rPr>
                <w:rFonts w:eastAsia="Times New Roman" w:cs="Arial"/>
                <w:b/>
                <w:bCs/>
                <w:sz w:val="24"/>
                <w:szCs w:val="24"/>
              </w:rPr>
            </w:pPr>
            <w:r w:rsidRPr="2BD76989">
              <w:rPr>
                <w:rFonts w:eastAsia="Times New Roman" w:cs="Arial"/>
                <w:b/>
                <w:bCs/>
                <w:sz w:val="24"/>
                <w:szCs w:val="24"/>
              </w:rPr>
              <w:t>CHUKWA OJEME</w:t>
            </w:r>
          </w:p>
        </w:tc>
      </w:tr>
      <w:tr w:rsidR="00E90423" w:rsidRPr="00F179A5" w14:paraId="72E025F2" w14:textId="77777777" w:rsidTr="2BD76989">
        <w:trPr>
          <w:trHeight w:val="950"/>
        </w:trPr>
        <w:tc>
          <w:tcPr>
            <w:tcW w:w="1754" w:type="dxa"/>
          </w:tcPr>
          <w:p w14:paraId="4E478FD2" w14:textId="77777777" w:rsidR="00E90423" w:rsidRDefault="00E90423" w:rsidP="00E90423">
            <w:pPr>
              <w:spacing w:after="0" w:line="240" w:lineRule="auto"/>
              <w:rPr>
                <w:rFonts w:eastAsia="Times New Roman" w:cs="Arial"/>
                <w:b/>
                <w:bCs/>
                <w:sz w:val="24"/>
                <w:szCs w:val="24"/>
              </w:rPr>
            </w:pPr>
            <w:r w:rsidRPr="00F179A5">
              <w:rPr>
                <w:rFonts w:eastAsia="Times New Roman" w:cs="Arial"/>
                <w:b/>
                <w:bCs/>
                <w:sz w:val="24"/>
                <w:szCs w:val="24"/>
              </w:rPr>
              <w:t>Student group:</w:t>
            </w:r>
          </w:p>
          <w:p w14:paraId="0AF44AD6" w14:textId="77777777" w:rsidR="00F179A5" w:rsidRDefault="00F179A5" w:rsidP="00E90423">
            <w:pPr>
              <w:spacing w:after="0" w:line="240" w:lineRule="auto"/>
              <w:rPr>
                <w:rFonts w:eastAsia="Times New Roman" w:cs="Arial"/>
                <w:b/>
                <w:bCs/>
                <w:sz w:val="24"/>
                <w:szCs w:val="24"/>
              </w:rPr>
            </w:pPr>
          </w:p>
          <w:p w14:paraId="486DD0B5" w14:textId="2A654AD3" w:rsidR="00F179A5" w:rsidRPr="00F179A5" w:rsidRDefault="00F179A5" w:rsidP="00E90423">
            <w:pPr>
              <w:spacing w:after="0" w:line="240" w:lineRule="auto"/>
              <w:rPr>
                <w:rFonts w:eastAsia="Times New Roman" w:cs="Arial"/>
                <w:b/>
                <w:bCs/>
                <w:sz w:val="24"/>
                <w:szCs w:val="24"/>
              </w:rPr>
            </w:pPr>
          </w:p>
        </w:tc>
        <w:tc>
          <w:tcPr>
            <w:tcW w:w="4116" w:type="dxa"/>
          </w:tcPr>
          <w:p w14:paraId="37EC9941" w14:textId="3C0A02C1" w:rsidR="00E90423" w:rsidRPr="00F179A5" w:rsidRDefault="4A2D9FC9" w:rsidP="00E90423">
            <w:pPr>
              <w:spacing w:after="0" w:line="240" w:lineRule="auto"/>
              <w:rPr>
                <w:rFonts w:eastAsia="Times New Roman" w:cs="Arial"/>
                <w:b/>
                <w:bCs/>
                <w:sz w:val="24"/>
                <w:szCs w:val="24"/>
              </w:rPr>
            </w:pPr>
            <w:r w:rsidRPr="14A7A78B">
              <w:rPr>
                <w:rFonts w:eastAsia="Times New Roman" w:cs="Arial"/>
                <w:b/>
                <w:bCs/>
                <w:sz w:val="24"/>
                <w:szCs w:val="24"/>
              </w:rPr>
              <w:t>A1</w:t>
            </w:r>
          </w:p>
        </w:tc>
        <w:tc>
          <w:tcPr>
            <w:tcW w:w="1780" w:type="dxa"/>
          </w:tcPr>
          <w:p w14:paraId="0AC022DD" w14:textId="7EF68FE3" w:rsidR="00E90423" w:rsidRPr="00F179A5" w:rsidRDefault="00F179A5" w:rsidP="00E90423">
            <w:pPr>
              <w:spacing w:after="0" w:line="240" w:lineRule="auto"/>
              <w:rPr>
                <w:rFonts w:eastAsia="Calibri" w:cs="Arial"/>
                <w:b/>
                <w:bCs/>
                <w:sz w:val="24"/>
                <w:szCs w:val="24"/>
              </w:rPr>
            </w:pPr>
            <w:r>
              <w:rPr>
                <w:rFonts w:eastAsia="Calibri" w:cs="Arial"/>
                <w:b/>
                <w:bCs/>
                <w:sz w:val="24"/>
                <w:szCs w:val="24"/>
              </w:rPr>
              <w:t>C</w:t>
            </w:r>
            <w:r w:rsidR="00E90423" w:rsidRPr="00F179A5">
              <w:rPr>
                <w:rFonts w:eastAsia="Calibri" w:cs="Arial"/>
                <w:b/>
                <w:bCs/>
                <w:sz w:val="24"/>
                <w:szCs w:val="24"/>
              </w:rPr>
              <w:t>ampus:</w:t>
            </w:r>
          </w:p>
        </w:tc>
        <w:tc>
          <w:tcPr>
            <w:tcW w:w="2670" w:type="dxa"/>
          </w:tcPr>
          <w:p w14:paraId="0812AA82" w14:textId="37634EF3" w:rsidR="00F179A5" w:rsidRDefault="13F09674" w:rsidP="00E90423">
            <w:pPr>
              <w:spacing w:after="0" w:line="240" w:lineRule="auto"/>
              <w:rPr>
                <w:rFonts w:eastAsia="Times New Roman" w:cs="Arial"/>
                <w:b/>
                <w:bCs/>
                <w:sz w:val="24"/>
                <w:szCs w:val="24"/>
              </w:rPr>
            </w:pPr>
            <w:r w:rsidRPr="14A7A78B">
              <w:rPr>
                <w:rFonts w:eastAsia="Times New Roman" w:cs="Arial"/>
                <w:b/>
                <w:bCs/>
                <w:sz w:val="24"/>
                <w:szCs w:val="24"/>
              </w:rPr>
              <w:t xml:space="preserve"> </w:t>
            </w:r>
            <w:r w:rsidR="2C31D6B1" w:rsidRPr="14A7A78B">
              <w:rPr>
                <w:rFonts w:eastAsia="Times New Roman" w:cs="Arial"/>
                <w:b/>
                <w:bCs/>
                <w:sz w:val="24"/>
                <w:szCs w:val="24"/>
              </w:rPr>
              <w:t>MANCHESTER</w:t>
            </w:r>
          </w:p>
          <w:p w14:paraId="300FA3FD" w14:textId="77777777" w:rsidR="00F179A5" w:rsidRDefault="00F179A5" w:rsidP="00E90423">
            <w:pPr>
              <w:spacing w:after="0" w:line="240" w:lineRule="auto"/>
              <w:rPr>
                <w:rFonts w:eastAsia="Times New Roman" w:cs="Arial"/>
                <w:b/>
                <w:bCs/>
                <w:sz w:val="24"/>
                <w:szCs w:val="24"/>
              </w:rPr>
            </w:pPr>
          </w:p>
          <w:p w14:paraId="0806405F" w14:textId="4F23EB88" w:rsidR="00F179A5" w:rsidRPr="00F179A5" w:rsidRDefault="00F179A5" w:rsidP="00E90423">
            <w:pPr>
              <w:spacing w:after="0" w:line="240" w:lineRule="auto"/>
              <w:rPr>
                <w:rFonts w:eastAsia="Times New Roman" w:cs="Arial"/>
                <w:b/>
                <w:bCs/>
                <w:sz w:val="24"/>
                <w:szCs w:val="24"/>
              </w:rPr>
            </w:pPr>
          </w:p>
        </w:tc>
      </w:tr>
    </w:tbl>
    <w:p w14:paraId="1C1C9FEA" w14:textId="77777777" w:rsidR="00E90423" w:rsidRPr="00F179A5" w:rsidRDefault="00E90423" w:rsidP="00E90423">
      <w:pPr>
        <w:spacing w:after="0" w:line="240" w:lineRule="auto"/>
        <w:rPr>
          <w:rFonts w:ascii="Bookman Old Style" w:eastAsia="Calibri" w:hAnsi="Bookman Old Style" w:cs="Times New Roman"/>
          <w:b/>
          <w:bCs/>
          <w:sz w:val="24"/>
          <w:szCs w:val="24"/>
        </w:rPr>
      </w:pPr>
    </w:p>
    <w:p w14:paraId="761968A8" w14:textId="77777777" w:rsidR="00F179A5" w:rsidRPr="00F179A5" w:rsidRDefault="00F179A5" w:rsidP="00E90423">
      <w:pPr>
        <w:spacing w:after="0" w:line="240" w:lineRule="auto"/>
        <w:jc w:val="center"/>
        <w:rPr>
          <w:rFonts w:eastAsia="Calibri" w:cs="Arial"/>
          <w:b/>
          <w:bCs/>
          <w:sz w:val="24"/>
          <w:szCs w:val="24"/>
        </w:rPr>
      </w:pPr>
    </w:p>
    <w:p w14:paraId="337A11DB" w14:textId="77777777" w:rsidR="00F179A5" w:rsidRPr="00F179A5" w:rsidRDefault="00F179A5" w:rsidP="00E90423">
      <w:pPr>
        <w:spacing w:after="0" w:line="240" w:lineRule="auto"/>
        <w:jc w:val="center"/>
        <w:rPr>
          <w:rFonts w:eastAsia="Calibri" w:cs="Arial"/>
          <w:b/>
          <w:bCs/>
          <w:sz w:val="24"/>
          <w:szCs w:val="24"/>
        </w:rPr>
      </w:pPr>
    </w:p>
    <w:p w14:paraId="7A3D3570" w14:textId="77777777" w:rsidR="00F179A5" w:rsidRDefault="00F179A5" w:rsidP="00E90423">
      <w:pPr>
        <w:spacing w:after="0" w:line="240" w:lineRule="auto"/>
        <w:jc w:val="center"/>
        <w:rPr>
          <w:rFonts w:eastAsia="Calibri" w:cs="Arial"/>
          <w:b/>
          <w:bCs/>
          <w:sz w:val="24"/>
          <w:szCs w:val="24"/>
        </w:rPr>
      </w:pPr>
    </w:p>
    <w:p w14:paraId="112F962C" w14:textId="6D0BD6D2" w:rsidR="00E90423" w:rsidRPr="00F179A5" w:rsidRDefault="00E90423" w:rsidP="00E90423">
      <w:pPr>
        <w:spacing w:after="0" w:line="240" w:lineRule="auto"/>
        <w:jc w:val="center"/>
        <w:rPr>
          <w:rFonts w:eastAsia="Calibri" w:cs="Arial"/>
          <w:b/>
          <w:bCs/>
          <w:sz w:val="28"/>
          <w:szCs w:val="28"/>
        </w:rPr>
      </w:pPr>
      <w:r w:rsidRPr="00F179A5">
        <w:rPr>
          <w:rFonts w:eastAsia="Calibri" w:cs="Arial"/>
          <w:b/>
          <w:bCs/>
          <w:sz w:val="28"/>
          <w:szCs w:val="28"/>
        </w:rPr>
        <w:t>E-Portfolio for Reflection o</w:t>
      </w:r>
      <w:r w:rsidR="007058F0" w:rsidRPr="00F179A5">
        <w:rPr>
          <w:rFonts w:eastAsia="Calibri" w:cs="Arial"/>
          <w:b/>
          <w:bCs/>
          <w:sz w:val="28"/>
          <w:szCs w:val="28"/>
        </w:rPr>
        <w:t>n</w:t>
      </w:r>
      <w:r w:rsidRPr="00F179A5">
        <w:rPr>
          <w:rFonts w:eastAsia="Calibri" w:cs="Arial"/>
          <w:b/>
          <w:bCs/>
          <w:sz w:val="28"/>
          <w:szCs w:val="28"/>
        </w:rPr>
        <w:t xml:space="preserve"> Learning, SWOT Analysis and CPD Plan</w:t>
      </w:r>
    </w:p>
    <w:p w14:paraId="583CB7F6" w14:textId="77777777" w:rsidR="0022080D" w:rsidRPr="00F179A5" w:rsidRDefault="0022080D" w:rsidP="0022080D">
      <w:pPr>
        <w:spacing w:after="0" w:line="240" w:lineRule="auto"/>
        <w:rPr>
          <w:rFonts w:eastAsia="Calibri" w:cs="Arial"/>
          <w:b/>
          <w:bCs/>
          <w:sz w:val="28"/>
          <w:szCs w:val="28"/>
        </w:rPr>
      </w:pPr>
    </w:p>
    <w:p w14:paraId="7CE30BC1" w14:textId="1964EBE4" w:rsidR="007D4738" w:rsidRPr="00F179A5" w:rsidRDefault="00E90423" w:rsidP="007D4738">
      <w:pPr>
        <w:spacing w:after="0" w:line="360" w:lineRule="auto"/>
        <w:rPr>
          <w:rFonts w:eastAsia="Calibri" w:cs="Arial"/>
          <w:b/>
          <w:bCs/>
          <w:sz w:val="24"/>
          <w:szCs w:val="24"/>
          <w:u w:val="single"/>
        </w:rPr>
      </w:pPr>
      <w:r w:rsidRPr="00F179A5">
        <w:rPr>
          <w:rFonts w:eastAsia="Calibri" w:cs="Arial"/>
          <w:b/>
          <w:bCs/>
          <w:sz w:val="24"/>
          <w:szCs w:val="24"/>
          <w:u w:val="single"/>
        </w:rPr>
        <w:t>Reflection o</w:t>
      </w:r>
      <w:r w:rsidR="004A59E7" w:rsidRPr="00F179A5">
        <w:rPr>
          <w:rFonts w:eastAsia="Calibri" w:cs="Arial"/>
          <w:b/>
          <w:bCs/>
          <w:sz w:val="24"/>
          <w:szCs w:val="24"/>
          <w:u w:val="single"/>
        </w:rPr>
        <w:t>n</w:t>
      </w:r>
      <w:r w:rsidRPr="00F179A5">
        <w:rPr>
          <w:rFonts w:eastAsia="Calibri" w:cs="Arial"/>
          <w:b/>
          <w:bCs/>
          <w:sz w:val="24"/>
          <w:szCs w:val="24"/>
          <w:u w:val="single"/>
        </w:rPr>
        <w:t xml:space="preserve"> Learning</w:t>
      </w:r>
    </w:p>
    <w:p w14:paraId="713B9D7C" w14:textId="32024230" w:rsidR="00F179A5" w:rsidRPr="003526DB" w:rsidRDefault="00E90423" w:rsidP="007D4738">
      <w:pPr>
        <w:spacing w:after="0" w:line="360" w:lineRule="auto"/>
        <w:rPr>
          <w:rFonts w:eastAsia="Times New Roman" w:cs="Arial"/>
          <w:b/>
          <w:i/>
          <w:iCs/>
          <w:sz w:val="24"/>
          <w:szCs w:val="24"/>
        </w:rPr>
      </w:pPr>
      <w:r w:rsidRPr="00F179A5">
        <w:rPr>
          <w:rFonts w:eastAsia="Times New Roman" w:cs="Arial"/>
          <w:b/>
          <w:sz w:val="24"/>
          <w:szCs w:val="24"/>
        </w:rPr>
        <w:t xml:space="preserve">Planned outcome: </w:t>
      </w:r>
      <w:r w:rsidRPr="00F179A5">
        <w:rPr>
          <w:rFonts w:eastAsia="Times New Roman" w:cs="Arial"/>
          <w:b/>
          <w:i/>
          <w:iCs/>
          <w:sz w:val="24"/>
          <w:szCs w:val="24"/>
        </w:rPr>
        <w:t xml:space="preserve">Where do I want to be after completing these areas of learning in Module 2? What do I want to be doing? </w:t>
      </w:r>
      <w:r w:rsidR="00856997">
        <w:rPr>
          <w:rFonts w:eastAsia="Times New Roman" w:cs="Arial"/>
          <w:b/>
          <w:i/>
          <w:iCs/>
          <w:sz w:val="24"/>
          <w:szCs w:val="24"/>
        </w:rPr>
        <w:t>(3000</w:t>
      </w:r>
      <w:r w:rsidR="0028321A">
        <w:rPr>
          <w:rFonts w:eastAsia="Times New Roman" w:cs="Arial"/>
          <w:b/>
          <w:i/>
          <w:iCs/>
          <w:sz w:val="24"/>
          <w:szCs w:val="24"/>
        </w:rPr>
        <w:t xml:space="preserve"> words</w:t>
      </w:r>
      <w:r w:rsidR="003526DB">
        <w:rPr>
          <w:rFonts w:eastAsia="Times New Roman" w:cs="Arial"/>
          <w:b/>
          <w:i/>
          <w:iCs/>
          <w:sz w:val="24"/>
          <w:szCs w:val="24"/>
        </w:rPr>
        <w:t>)</w:t>
      </w:r>
    </w:p>
    <w:p w14:paraId="2F31BF5E" w14:textId="228739E3" w:rsidR="00F179A5" w:rsidRDefault="00F179A5" w:rsidP="007D4738">
      <w:pPr>
        <w:spacing w:after="0" w:line="360" w:lineRule="auto"/>
        <w:rPr>
          <w:rFonts w:eastAsia="Calibri" w:cs="Arial"/>
          <w:b/>
          <w:bCs/>
          <w:u w:val="single"/>
        </w:rPr>
      </w:pPr>
    </w:p>
    <w:p w14:paraId="09C035C9" w14:textId="77777777" w:rsidR="00F179A5" w:rsidRPr="0022080D" w:rsidRDefault="00F179A5" w:rsidP="007D4738">
      <w:pPr>
        <w:spacing w:after="0" w:line="360" w:lineRule="auto"/>
        <w:rPr>
          <w:rFonts w:eastAsia="Calibri" w:cs="Arial"/>
          <w:b/>
          <w:bCs/>
          <w:u w:val="single"/>
        </w:rPr>
      </w:pPr>
    </w:p>
    <w:tbl>
      <w:tblPr>
        <w:tblStyle w:val="TableGrid2"/>
        <w:tblW w:w="0" w:type="auto"/>
        <w:tblLook w:val="04A0" w:firstRow="1" w:lastRow="0" w:firstColumn="1" w:lastColumn="0" w:noHBand="0" w:noVBand="1"/>
      </w:tblPr>
      <w:tblGrid>
        <w:gridCol w:w="515"/>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gridCol w:w="217"/>
      </w:tblGrid>
      <w:tr w:rsidR="00C254E8" w:rsidRPr="00A16219" w14:paraId="2E6EAC77" w14:textId="10311F6E" w:rsidTr="002C0FD9">
        <w:tc>
          <w:tcPr>
            <w:tcW w:w="515" w:type="dxa"/>
            <w:shd w:val="clear" w:color="auto" w:fill="B4C6E7" w:themeFill="accent1" w:themeFillTint="66"/>
          </w:tcPr>
          <w:p w14:paraId="4F9528C3" w14:textId="51D732BA" w:rsidR="002C0FD9" w:rsidRDefault="002C0FD9" w:rsidP="00951C55">
            <w:pPr>
              <w:ind w:left="714" w:hanging="357"/>
              <w:jc w:val="both"/>
              <w:rPr>
                <w:rFonts w:cs="Arial"/>
                <w:b/>
                <w:bCs/>
                <w:sz w:val="22"/>
                <w:szCs w:val="22"/>
              </w:rPr>
            </w:pPr>
            <w:r w:rsidRPr="00A16219">
              <w:rPr>
                <w:rFonts w:cs="Arial"/>
                <w:b/>
                <w:bCs/>
                <w:sz w:val="22"/>
                <w:szCs w:val="22"/>
              </w:rPr>
              <w:t xml:space="preserve">Document- A: Reflection on learning (1200 words) </w:t>
            </w:r>
          </w:p>
          <w:p w14:paraId="47C1E834" w14:textId="77777777" w:rsidR="002C0FD9" w:rsidRPr="00A16219" w:rsidRDefault="002C0FD9" w:rsidP="00951C55">
            <w:pPr>
              <w:ind w:left="714" w:hanging="357"/>
              <w:jc w:val="both"/>
              <w:rPr>
                <w:rFonts w:cs="Arial"/>
                <w:bCs/>
                <w:sz w:val="22"/>
                <w:szCs w:val="22"/>
              </w:rPr>
            </w:pPr>
          </w:p>
          <w:p w14:paraId="2849B342" w14:textId="77777777" w:rsidR="002C0FD9" w:rsidRPr="00A16219" w:rsidRDefault="002C0FD9" w:rsidP="00E90423">
            <w:pPr>
              <w:jc w:val="both"/>
              <w:rPr>
                <w:rFonts w:cs="Arial"/>
                <w:sz w:val="22"/>
                <w:szCs w:val="22"/>
              </w:rPr>
            </w:pPr>
          </w:p>
        </w:tc>
        <w:tc>
          <w:tcPr>
            <w:tcW w:w="217" w:type="dxa"/>
            <w:shd w:val="clear" w:color="auto" w:fill="B4C6E7" w:themeFill="accent1" w:themeFillTint="66"/>
          </w:tcPr>
          <w:p w14:paraId="51DC6DA6"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63B1F55" w14:textId="62863642"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BA8CFB2"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178BA45" w14:textId="4BE858F0"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1F8EC7B4"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70AB7220" w14:textId="640290C5"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7C462BEF"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34DEAB47"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D5D9896"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6AB38B81"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04FBCBF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4ACCEFD1"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3318EF08"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E96D208"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62FBE063" w14:textId="490DE388"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73DC1D4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E5C8C3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1F7C7FF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0644DF2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1B30864D"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F9CE9E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478F88D7"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68817DB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4ABFC41F"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39D3A46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07575778"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3CC34BB8"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B3CA35E"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054189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4540A26A"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BA38782"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B927F9D"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E366767"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7829AB3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7199494B"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09DC200"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5F28484C"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276A84B2"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3C716885"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65C39792"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1B9AB367" w14:textId="77777777" w:rsidR="002C0FD9" w:rsidRPr="00A16219" w:rsidRDefault="002C0FD9" w:rsidP="00951C55">
            <w:pPr>
              <w:ind w:left="714" w:hanging="357"/>
              <w:jc w:val="both"/>
              <w:rPr>
                <w:rFonts w:cs="Arial"/>
                <w:b/>
                <w:bCs/>
              </w:rPr>
            </w:pPr>
          </w:p>
        </w:tc>
        <w:tc>
          <w:tcPr>
            <w:tcW w:w="217" w:type="dxa"/>
            <w:shd w:val="clear" w:color="auto" w:fill="B4C6E7" w:themeFill="accent1" w:themeFillTint="66"/>
          </w:tcPr>
          <w:p w14:paraId="18E13775" w14:textId="77777777" w:rsidR="002C0FD9" w:rsidRPr="00A16219" w:rsidRDefault="002C0FD9" w:rsidP="00951C55">
            <w:pPr>
              <w:ind w:left="714" w:hanging="357"/>
              <w:jc w:val="both"/>
              <w:rPr>
                <w:rFonts w:cs="Arial"/>
                <w:b/>
                <w:bCs/>
              </w:rPr>
            </w:pPr>
          </w:p>
        </w:tc>
      </w:tr>
      <w:tr w:rsidR="002C0FD9" w:rsidRPr="00A16219" w14:paraId="4A61A97A" w14:textId="09B84542" w:rsidTr="002C0FD9">
        <w:tc>
          <w:tcPr>
            <w:tcW w:w="515" w:type="dxa"/>
          </w:tcPr>
          <w:p w14:paraId="66DB21A0" w14:textId="247CE970" w:rsidR="002C0FD9" w:rsidRPr="00A16219" w:rsidRDefault="002C0FD9" w:rsidP="00437D0E">
            <w:pPr>
              <w:jc w:val="both"/>
              <w:rPr>
                <w:rFonts w:cs="Arial"/>
                <w:b/>
                <w:bCs/>
                <w:sz w:val="22"/>
                <w:szCs w:val="22"/>
              </w:rPr>
            </w:pPr>
            <w:r w:rsidRPr="00A16219">
              <w:rPr>
                <w:rFonts w:cs="Arial"/>
                <w:b/>
                <w:bCs/>
                <w:sz w:val="22"/>
                <w:szCs w:val="22"/>
              </w:rPr>
              <w:t>i. Reflective learning and its importance</w:t>
            </w:r>
          </w:p>
          <w:p w14:paraId="7FA5F381" w14:textId="2446A712" w:rsidR="002C0FD9" w:rsidRPr="00A16219" w:rsidRDefault="002C0FD9" w:rsidP="00A502F9">
            <w:pPr>
              <w:jc w:val="both"/>
              <w:rPr>
                <w:rFonts w:cs="Arial"/>
                <w:i/>
                <w:iCs/>
                <w:color w:val="FF0000"/>
                <w:sz w:val="21"/>
                <w:szCs w:val="21"/>
              </w:rPr>
            </w:pPr>
          </w:p>
          <w:p w14:paraId="1C7B89C9" w14:textId="77777777" w:rsidR="002C0FD9" w:rsidRPr="00A16219" w:rsidRDefault="002C0FD9" w:rsidP="00E90423">
            <w:pPr>
              <w:jc w:val="both"/>
              <w:rPr>
                <w:rFonts w:cs="Arial"/>
                <w:sz w:val="22"/>
                <w:szCs w:val="22"/>
              </w:rPr>
            </w:pPr>
          </w:p>
        </w:tc>
        <w:tc>
          <w:tcPr>
            <w:tcW w:w="217" w:type="dxa"/>
          </w:tcPr>
          <w:p w14:paraId="42549526" w14:textId="77777777" w:rsidR="002C0FD9" w:rsidRPr="00A16219" w:rsidRDefault="002C0FD9" w:rsidP="00437D0E">
            <w:pPr>
              <w:jc w:val="both"/>
              <w:rPr>
                <w:rFonts w:cs="Arial"/>
                <w:b/>
                <w:bCs/>
              </w:rPr>
            </w:pPr>
          </w:p>
        </w:tc>
        <w:tc>
          <w:tcPr>
            <w:tcW w:w="217" w:type="dxa"/>
          </w:tcPr>
          <w:p w14:paraId="374A8A0F" w14:textId="216BDEF1" w:rsidR="002C0FD9" w:rsidRPr="00A16219" w:rsidRDefault="002C0FD9" w:rsidP="00437D0E">
            <w:pPr>
              <w:jc w:val="both"/>
              <w:rPr>
                <w:rFonts w:cs="Arial"/>
                <w:b/>
                <w:bCs/>
              </w:rPr>
            </w:pPr>
          </w:p>
        </w:tc>
        <w:tc>
          <w:tcPr>
            <w:tcW w:w="217" w:type="dxa"/>
          </w:tcPr>
          <w:p w14:paraId="484D1E41" w14:textId="77777777" w:rsidR="002C0FD9" w:rsidRPr="00A16219" w:rsidRDefault="002C0FD9" w:rsidP="00437D0E">
            <w:pPr>
              <w:jc w:val="both"/>
              <w:rPr>
                <w:rFonts w:cs="Arial"/>
                <w:b/>
                <w:bCs/>
              </w:rPr>
            </w:pPr>
          </w:p>
        </w:tc>
        <w:tc>
          <w:tcPr>
            <w:tcW w:w="217" w:type="dxa"/>
          </w:tcPr>
          <w:p w14:paraId="0D829DB9" w14:textId="37D382C9" w:rsidR="002C0FD9" w:rsidRPr="00A16219" w:rsidRDefault="002C0FD9" w:rsidP="00437D0E">
            <w:pPr>
              <w:jc w:val="both"/>
              <w:rPr>
                <w:rFonts w:cs="Arial"/>
                <w:b/>
                <w:bCs/>
              </w:rPr>
            </w:pPr>
          </w:p>
        </w:tc>
        <w:tc>
          <w:tcPr>
            <w:tcW w:w="217" w:type="dxa"/>
          </w:tcPr>
          <w:p w14:paraId="66E97FCC" w14:textId="77777777" w:rsidR="002C0FD9" w:rsidRPr="00A16219" w:rsidRDefault="002C0FD9" w:rsidP="00437D0E">
            <w:pPr>
              <w:jc w:val="both"/>
              <w:rPr>
                <w:rFonts w:cs="Arial"/>
                <w:b/>
                <w:bCs/>
              </w:rPr>
            </w:pPr>
          </w:p>
        </w:tc>
        <w:tc>
          <w:tcPr>
            <w:tcW w:w="217" w:type="dxa"/>
          </w:tcPr>
          <w:p w14:paraId="60723A29" w14:textId="5488571C" w:rsidR="002C0FD9" w:rsidRPr="00A16219" w:rsidRDefault="002C0FD9" w:rsidP="00437D0E">
            <w:pPr>
              <w:jc w:val="both"/>
              <w:rPr>
                <w:rFonts w:cs="Arial"/>
                <w:b/>
                <w:bCs/>
              </w:rPr>
            </w:pPr>
          </w:p>
        </w:tc>
        <w:tc>
          <w:tcPr>
            <w:tcW w:w="217" w:type="dxa"/>
          </w:tcPr>
          <w:p w14:paraId="192E2232" w14:textId="77777777" w:rsidR="002C0FD9" w:rsidRPr="00A16219" w:rsidRDefault="002C0FD9" w:rsidP="00437D0E">
            <w:pPr>
              <w:jc w:val="both"/>
              <w:rPr>
                <w:rFonts w:cs="Arial"/>
                <w:b/>
                <w:bCs/>
              </w:rPr>
            </w:pPr>
          </w:p>
        </w:tc>
        <w:tc>
          <w:tcPr>
            <w:tcW w:w="217" w:type="dxa"/>
          </w:tcPr>
          <w:p w14:paraId="0FECDE1C" w14:textId="77777777" w:rsidR="002C0FD9" w:rsidRPr="00A16219" w:rsidRDefault="002C0FD9" w:rsidP="00437D0E">
            <w:pPr>
              <w:jc w:val="both"/>
              <w:rPr>
                <w:rFonts w:cs="Arial"/>
                <w:b/>
                <w:bCs/>
              </w:rPr>
            </w:pPr>
          </w:p>
        </w:tc>
        <w:tc>
          <w:tcPr>
            <w:tcW w:w="217" w:type="dxa"/>
          </w:tcPr>
          <w:p w14:paraId="0D1188F4" w14:textId="77777777" w:rsidR="002C0FD9" w:rsidRPr="00A16219" w:rsidRDefault="002C0FD9" w:rsidP="00437D0E">
            <w:pPr>
              <w:jc w:val="both"/>
              <w:rPr>
                <w:rFonts w:cs="Arial"/>
                <w:b/>
                <w:bCs/>
              </w:rPr>
            </w:pPr>
          </w:p>
        </w:tc>
        <w:tc>
          <w:tcPr>
            <w:tcW w:w="217" w:type="dxa"/>
          </w:tcPr>
          <w:p w14:paraId="74BFB5A1" w14:textId="77777777" w:rsidR="002C0FD9" w:rsidRPr="00A16219" w:rsidRDefault="002C0FD9" w:rsidP="00437D0E">
            <w:pPr>
              <w:jc w:val="both"/>
              <w:rPr>
                <w:rFonts w:cs="Arial"/>
                <w:b/>
                <w:bCs/>
              </w:rPr>
            </w:pPr>
          </w:p>
        </w:tc>
        <w:tc>
          <w:tcPr>
            <w:tcW w:w="217" w:type="dxa"/>
          </w:tcPr>
          <w:p w14:paraId="79A7DC25" w14:textId="77777777" w:rsidR="002C0FD9" w:rsidRPr="00A16219" w:rsidRDefault="002C0FD9" w:rsidP="00437D0E">
            <w:pPr>
              <w:jc w:val="both"/>
              <w:rPr>
                <w:rFonts w:cs="Arial"/>
                <w:b/>
                <w:bCs/>
              </w:rPr>
            </w:pPr>
          </w:p>
        </w:tc>
        <w:tc>
          <w:tcPr>
            <w:tcW w:w="217" w:type="dxa"/>
          </w:tcPr>
          <w:p w14:paraId="37B55E9E" w14:textId="77777777" w:rsidR="002C0FD9" w:rsidRPr="00A16219" w:rsidRDefault="002C0FD9" w:rsidP="00437D0E">
            <w:pPr>
              <w:jc w:val="both"/>
              <w:rPr>
                <w:rFonts w:cs="Arial"/>
                <w:b/>
                <w:bCs/>
              </w:rPr>
            </w:pPr>
          </w:p>
        </w:tc>
        <w:tc>
          <w:tcPr>
            <w:tcW w:w="217" w:type="dxa"/>
          </w:tcPr>
          <w:p w14:paraId="43FBB1E2" w14:textId="77777777" w:rsidR="002C0FD9" w:rsidRPr="00A16219" w:rsidRDefault="002C0FD9" w:rsidP="00437D0E">
            <w:pPr>
              <w:jc w:val="both"/>
              <w:rPr>
                <w:rFonts w:cs="Arial"/>
                <w:b/>
                <w:bCs/>
              </w:rPr>
            </w:pPr>
          </w:p>
        </w:tc>
        <w:tc>
          <w:tcPr>
            <w:tcW w:w="217" w:type="dxa"/>
          </w:tcPr>
          <w:p w14:paraId="29E406D1" w14:textId="77777777" w:rsidR="002C0FD9" w:rsidRPr="00A16219" w:rsidRDefault="002C0FD9" w:rsidP="00437D0E">
            <w:pPr>
              <w:jc w:val="both"/>
              <w:rPr>
                <w:rFonts w:cs="Arial"/>
                <w:b/>
                <w:bCs/>
              </w:rPr>
            </w:pPr>
          </w:p>
        </w:tc>
        <w:tc>
          <w:tcPr>
            <w:tcW w:w="217" w:type="dxa"/>
          </w:tcPr>
          <w:p w14:paraId="06DA21EA" w14:textId="10CC7D3A" w:rsidR="002C0FD9" w:rsidRPr="00A16219" w:rsidRDefault="002C0FD9" w:rsidP="00437D0E">
            <w:pPr>
              <w:jc w:val="both"/>
              <w:rPr>
                <w:rFonts w:cs="Arial"/>
                <w:b/>
                <w:bCs/>
              </w:rPr>
            </w:pPr>
          </w:p>
        </w:tc>
        <w:tc>
          <w:tcPr>
            <w:tcW w:w="217" w:type="dxa"/>
          </w:tcPr>
          <w:p w14:paraId="7953C54D" w14:textId="77777777" w:rsidR="002C0FD9" w:rsidRPr="00A16219" w:rsidRDefault="002C0FD9" w:rsidP="00437D0E">
            <w:pPr>
              <w:jc w:val="both"/>
              <w:rPr>
                <w:rFonts w:cs="Arial"/>
                <w:b/>
                <w:bCs/>
              </w:rPr>
            </w:pPr>
          </w:p>
        </w:tc>
        <w:tc>
          <w:tcPr>
            <w:tcW w:w="217" w:type="dxa"/>
          </w:tcPr>
          <w:p w14:paraId="1DC51D20" w14:textId="77777777" w:rsidR="002C0FD9" w:rsidRPr="00A16219" w:rsidRDefault="002C0FD9" w:rsidP="00437D0E">
            <w:pPr>
              <w:jc w:val="both"/>
              <w:rPr>
                <w:rFonts w:cs="Arial"/>
                <w:b/>
                <w:bCs/>
              </w:rPr>
            </w:pPr>
          </w:p>
        </w:tc>
        <w:tc>
          <w:tcPr>
            <w:tcW w:w="217" w:type="dxa"/>
          </w:tcPr>
          <w:p w14:paraId="2DFB1BBC" w14:textId="77777777" w:rsidR="002C0FD9" w:rsidRPr="00A16219" w:rsidRDefault="002C0FD9" w:rsidP="00437D0E">
            <w:pPr>
              <w:jc w:val="both"/>
              <w:rPr>
                <w:rFonts w:cs="Arial"/>
                <w:b/>
                <w:bCs/>
              </w:rPr>
            </w:pPr>
          </w:p>
        </w:tc>
        <w:tc>
          <w:tcPr>
            <w:tcW w:w="217" w:type="dxa"/>
          </w:tcPr>
          <w:p w14:paraId="1563BD3D" w14:textId="77777777" w:rsidR="002C0FD9" w:rsidRPr="00A16219" w:rsidRDefault="002C0FD9" w:rsidP="00437D0E">
            <w:pPr>
              <w:jc w:val="both"/>
              <w:rPr>
                <w:rFonts w:cs="Arial"/>
                <w:b/>
                <w:bCs/>
              </w:rPr>
            </w:pPr>
          </w:p>
        </w:tc>
        <w:tc>
          <w:tcPr>
            <w:tcW w:w="217" w:type="dxa"/>
          </w:tcPr>
          <w:p w14:paraId="2E5F7AA5" w14:textId="77777777" w:rsidR="002C0FD9" w:rsidRPr="00A16219" w:rsidRDefault="002C0FD9" w:rsidP="00437D0E">
            <w:pPr>
              <w:jc w:val="both"/>
              <w:rPr>
                <w:rFonts w:cs="Arial"/>
                <w:b/>
                <w:bCs/>
              </w:rPr>
            </w:pPr>
          </w:p>
        </w:tc>
        <w:tc>
          <w:tcPr>
            <w:tcW w:w="217" w:type="dxa"/>
          </w:tcPr>
          <w:p w14:paraId="1FF0C93C" w14:textId="77777777" w:rsidR="002C0FD9" w:rsidRPr="00A16219" w:rsidRDefault="002C0FD9" w:rsidP="00437D0E">
            <w:pPr>
              <w:jc w:val="both"/>
              <w:rPr>
                <w:rFonts w:cs="Arial"/>
                <w:b/>
                <w:bCs/>
              </w:rPr>
            </w:pPr>
          </w:p>
        </w:tc>
        <w:tc>
          <w:tcPr>
            <w:tcW w:w="217" w:type="dxa"/>
          </w:tcPr>
          <w:p w14:paraId="7D45B2CA" w14:textId="77777777" w:rsidR="002C0FD9" w:rsidRPr="00A16219" w:rsidRDefault="002C0FD9" w:rsidP="00437D0E">
            <w:pPr>
              <w:jc w:val="both"/>
              <w:rPr>
                <w:rFonts w:cs="Arial"/>
                <w:b/>
                <w:bCs/>
              </w:rPr>
            </w:pPr>
          </w:p>
        </w:tc>
        <w:tc>
          <w:tcPr>
            <w:tcW w:w="217" w:type="dxa"/>
          </w:tcPr>
          <w:p w14:paraId="75E8E9F6" w14:textId="77777777" w:rsidR="002C0FD9" w:rsidRPr="00A16219" w:rsidRDefault="002C0FD9" w:rsidP="00437D0E">
            <w:pPr>
              <w:jc w:val="both"/>
              <w:rPr>
                <w:rFonts w:cs="Arial"/>
                <w:b/>
                <w:bCs/>
              </w:rPr>
            </w:pPr>
          </w:p>
        </w:tc>
        <w:tc>
          <w:tcPr>
            <w:tcW w:w="217" w:type="dxa"/>
          </w:tcPr>
          <w:p w14:paraId="036488DE" w14:textId="77777777" w:rsidR="002C0FD9" w:rsidRPr="00A16219" w:rsidRDefault="002C0FD9" w:rsidP="00437D0E">
            <w:pPr>
              <w:jc w:val="both"/>
              <w:rPr>
                <w:rFonts w:cs="Arial"/>
                <w:b/>
                <w:bCs/>
              </w:rPr>
            </w:pPr>
          </w:p>
        </w:tc>
        <w:tc>
          <w:tcPr>
            <w:tcW w:w="217" w:type="dxa"/>
          </w:tcPr>
          <w:p w14:paraId="42E361EC" w14:textId="77777777" w:rsidR="002C0FD9" w:rsidRPr="00A16219" w:rsidRDefault="002C0FD9" w:rsidP="00437D0E">
            <w:pPr>
              <w:jc w:val="both"/>
              <w:rPr>
                <w:rFonts w:cs="Arial"/>
                <w:b/>
                <w:bCs/>
              </w:rPr>
            </w:pPr>
          </w:p>
        </w:tc>
        <w:tc>
          <w:tcPr>
            <w:tcW w:w="217" w:type="dxa"/>
          </w:tcPr>
          <w:p w14:paraId="28307A32" w14:textId="77777777" w:rsidR="002C0FD9" w:rsidRPr="00A16219" w:rsidRDefault="002C0FD9" w:rsidP="00437D0E">
            <w:pPr>
              <w:jc w:val="both"/>
              <w:rPr>
                <w:rFonts w:cs="Arial"/>
                <w:b/>
                <w:bCs/>
              </w:rPr>
            </w:pPr>
          </w:p>
        </w:tc>
        <w:tc>
          <w:tcPr>
            <w:tcW w:w="217" w:type="dxa"/>
          </w:tcPr>
          <w:p w14:paraId="66CC935F" w14:textId="77777777" w:rsidR="002C0FD9" w:rsidRPr="00A16219" w:rsidRDefault="002C0FD9" w:rsidP="00437D0E">
            <w:pPr>
              <w:jc w:val="both"/>
              <w:rPr>
                <w:rFonts w:cs="Arial"/>
                <w:b/>
                <w:bCs/>
              </w:rPr>
            </w:pPr>
          </w:p>
        </w:tc>
        <w:tc>
          <w:tcPr>
            <w:tcW w:w="217" w:type="dxa"/>
          </w:tcPr>
          <w:p w14:paraId="513EA117" w14:textId="77777777" w:rsidR="002C0FD9" w:rsidRPr="00A16219" w:rsidRDefault="002C0FD9" w:rsidP="00437D0E">
            <w:pPr>
              <w:jc w:val="both"/>
              <w:rPr>
                <w:rFonts w:cs="Arial"/>
                <w:b/>
                <w:bCs/>
              </w:rPr>
            </w:pPr>
          </w:p>
        </w:tc>
        <w:tc>
          <w:tcPr>
            <w:tcW w:w="217" w:type="dxa"/>
          </w:tcPr>
          <w:p w14:paraId="6AB6D9AD" w14:textId="77777777" w:rsidR="002C0FD9" w:rsidRPr="00A16219" w:rsidRDefault="002C0FD9" w:rsidP="00437D0E">
            <w:pPr>
              <w:jc w:val="both"/>
              <w:rPr>
                <w:rFonts w:cs="Arial"/>
                <w:b/>
                <w:bCs/>
              </w:rPr>
            </w:pPr>
          </w:p>
        </w:tc>
        <w:tc>
          <w:tcPr>
            <w:tcW w:w="217" w:type="dxa"/>
          </w:tcPr>
          <w:p w14:paraId="03C9B863" w14:textId="77777777" w:rsidR="002C0FD9" w:rsidRPr="00A16219" w:rsidRDefault="002C0FD9" w:rsidP="00437D0E">
            <w:pPr>
              <w:jc w:val="both"/>
              <w:rPr>
                <w:rFonts w:cs="Arial"/>
                <w:b/>
                <w:bCs/>
              </w:rPr>
            </w:pPr>
          </w:p>
        </w:tc>
        <w:tc>
          <w:tcPr>
            <w:tcW w:w="217" w:type="dxa"/>
          </w:tcPr>
          <w:p w14:paraId="6CB36F13" w14:textId="77777777" w:rsidR="002C0FD9" w:rsidRPr="00A16219" w:rsidRDefault="002C0FD9" w:rsidP="00437D0E">
            <w:pPr>
              <w:jc w:val="both"/>
              <w:rPr>
                <w:rFonts w:cs="Arial"/>
                <w:b/>
                <w:bCs/>
              </w:rPr>
            </w:pPr>
          </w:p>
        </w:tc>
        <w:tc>
          <w:tcPr>
            <w:tcW w:w="217" w:type="dxa"/>
          </w:tcPr>
          <w:p w14:paraId="3AB92630" w14:textId="77777777" w:rsidR="002C0FD9" w:rsidRPr="00A16219" w:rsidRDefault="002C0FD9" w:rsidP="00437D0E">
            <w:pPr>
              <w:jc w:val="both"/>
              <w:rPr>
                <w:rFonts w:cs="Arial"/>
                <w:b/>
                <w:bCs/>
              </w:rPr>
            </w:pPr>
          </w:p>
        </w:tc>
        <w:tc>
          <w:tcPr>
            <w:tcW w:w="217" w:type="dxa"/>
          </w:tcPr>
          <w:p w14:paraId="6BFAC3B2" w14:textId="77777777" w:rsidR="002C0FD9" w:rsidRPr="00A16219" w:rsidRDefault="002C0FD9" w:rsidP="00437D0E">
            <w:pPr>
              <w:jc w:val="both"/>
              <w:rPr>
                <w:rFonts w:cs="Arial"/>
                <w:b/>
                <w:bCs/>
              </w:rPr>
            </w:pPr>
          </w:p>
        </w:tc>
        <w:tc>
          <w:tcPr>
            <w:tcW w:w="217" w:type="dxa"/>
          </w:tcPr>
          <w:p w14:paraId="0E326FB7" w14:textId="77777777" w:rsidR="002C0FD9" w:rsidRPr="00A16219" w:rsidRDefault="002C0FD9" w:rsidP="00437D0E">
            <w:pPr>
              <w:jc w:val="both"/>
              <w:rPr>
                <w:rFonts w:cs="Arial"/>
                <w:b/>
                <w:bCs/>
              </w:rPr>
            </w:pPr>
          </w:p>
        </w:tc>
        <w:tc>
          <w:tcPr>
            <w:tcW w:w="217" w:type="dxa"/>
          </w:tcPr>
          <w:p w14:paraId="3FF4701C" w14:textId="77777777" w:rsidR="002C0FD9" w:rsidRPr="00A16219" w:rsidRDefault="002C0FD9" w:rsidP="00437D0E">
            <w:pPr>
              <w:jc w:val="both"/>
              <w:rPr>
                <w:rFonts w:cs="Arial"/>
                <w:b/>
                <w:bCs/>
              </w:rPr>
            </w:pPr>
          </w:p>
        </w:tc>
        <w:tc>
          <w:tcPr>
            <w:tcW w:w="217" w:type="dxa"/>
          </w:tcPr>
          <w:p w14:paraId="1F7DB798" w14:textId="77777777" w:rsidR="002C0FD9" w:rsidRPr="00A16219" w:rsidRDefault="002C0FD9" w:rsidP="00437D0E">
            <w:pPr>
              <w:jc w:val="both"/>
              <w:rPr>
                <w:rFonts w:cs="Arial"/>
                <w:b/>
                <w:bCs/>
              </w:rPr>
            </w:pPr>
          </w:p>
        </w:tc>
        <w:tc>
          <w:tcPr>
            <w:tcW w:w="217" w:type="dxa"/>
          </w:tcPr>
          <w:p w14:paraId="34F8F865" w14:textId="77777777" w:rsidR="002C0FD9" w:rsidRPr="00A16219" w:rsidRDefault="002C0FD9" w:rsidP="00437D0E">
            <w:pPr>
              <w:jc w:val="both"/>
              <w:rPr>
                <w:rFonts w:cs="Arial"/>
                <w:b/>
                <w:bCs/>
              </w:rPr>
            </w:pPr>
          </w:p>
        </w:tc>
        <w:tc>
          <w:tcPr>
            <w:tcW w:w="217" w:type="dxa"/>
          </w:tcPr>
          <w:p w14:paraId="4E5DFAAE" w14:textId="77777777" w:rsidR="002C0FD9" w:rsidRPr="00A16219" w:rsidRDefault="002C0FD9" w:rsidP="00437D0E">
            <w:pPr>
              <w:jc w:val="both"/>
              <w:rPr>
                <w:rFonts w:cs="Arial"/>
                <w:b/>
                <w:bCs/>
              </w:rPr>
            </w:pPr>
          </w:p>
        </w:tc>
        <w:tc>
          <w:tcPr>
            <w:tcW w:w="217" w:type="dxa"/>
          </w:tcPr>
          <w:p w14:paraId="0666C3B3" w14:textId="77777777" w:rsidR="002C0FD9" w:rsidRPr="00A16219" w:rsidRDefault="002C0FD9" w:rsidP="00437D0E">
            <w:pPr>
              <w:jc w:val="both"/>
              <w:rPr>
                <w:rFonts w:cs="Arial"/>
                <w:b/>
                <w:bCs/>
              </w:rPr>
            </w:pPr>
          </w:p>
        </w:tc>
        <w:tc>
          <w:tcPr>
            <w:tcW w:w="217" w:type="dxa"/>
          </w:tcPr>
          <w:p w14:paraId="2F6E5F61" w14:textId="77777777" w:rsidR="002C0FD9" w:rsidRPr="00A16219" w:rsidRDefault="002C0FD9" w:rsidP="00437D0E">
            <w:pPr>
              <w:jc w:val="both"/>
              <w:rPr>
                <w:rFonts w:cs="Arial"/>
                <w:b/>
                <w:bCs/>
              </w:rPr>
            </w:pPr>
          </w:p>
        </w:tc>
        <w:tc>
          <w:tcPr>
            <w:tcW w:w="217" w:type="dxa"/>
          </w:tcPr>
          <w:p w14:paraId="384DCC4E" w14:textId="77777777" w:rsidR="002C0FD9" w:rsidRPr="00A16219" w:rsidRDefault="002C0FD9" w:rsidP="00437D0E">
            <w:pPr>
              <w:jc w:val="both"/>
              <w:rPr>
                <w:rFonts w:cs="Arial"/>
                <w:b/>
                <w:bCs/>
              </w:rPr>
            </w:pPr>
          </w:p>
        </w:tc>
        <w:tc>
          <w:tcPr>
            <w:tcW w:w="217" w:type="dxa"/>
          </w:tcPr>
          <w:p w14:paraId="1BA38B6E" w14:textId="77777777" w:rsidR="002C0FD9" w:rsidRPr="00A16219" w:rsidRDefault="002C0FD9" w:rsidP="00437D0E">
            <w:pPr>
              <w:jc w:val="both"/>
              <w:rPr>
                <w:rFonts w:cs="Arial"/>
                <w:b/>
                <w:bCs/>
              </w:rPr>
            </w:pPr>
          </w:p>
        </w:tc>
      </w:tr>
      <w:tr w:rsidR="002C0FD9" w:rsidRPr="00A16219" w14:paraId="7C273332" w14:textId="33DDCA18" w:rsidTr="002C0FD9">
        <w:trPr>
          <w:trHeight w:val="1005"/>
        </w:trPr>
        <w:tc>
          <w:tcPr>
            <w:tcW w:w="515" w:type="dxa"/>
          </w:tcPr>
          <w:p w14:paraId="40859CA2" w14:textId="67521B74" w:rsidR="002C0FD9" w:rsidRPr="0076219E" w:rsidRDefault="002C0FD9" w:rsidP="00E90423">
            <w:pPr>
              <w:jc w:val="both"/>
              <w:rPr>
                <w:rFonts w:cs="Arial"/>
                <w:color w:val="FF0000"/>
                <w:sz w:val="21"/>
                <w:szCs w:val="21"/>
              </w:rPr>
            </w:pPr>
          </w:p>
          <w:p w14:paraId="2E118859" w14:textId="79F770CF" w:rsidR="002C0FD9" w:rsidRPr="0076219E" w:rsidRDefault="002C0FD9" w:rsidP="00E90423">
            <w:pPr>
              <w:jc w:val="both"/>
              <w:rPr>
                <w:rFonts w:cs="Arial"/>
                <w:color w:val="FF0000"/>
                <w:sz w:val="22"/>
                <w:szCs w:val="22"/>
              </w:rPr>
            </w:pPr>
            <w:r w:rsidRPr="00461B07">
              <w:rPr>
                <w:rFonts w:cs="Arial"/>
                <w:color w:val="FF0000"/>
                <w:sz w:val="22"/>
                <w:szCs w:val="22"/>
              </w:rPr>
              <w:t>Importance To succeed in business and tourism management, students need to possess academic skills such as planning, referencing, research, and time management. Finding and analysing data is a necessary part of research skills in order to comprehend consumer behaviou</w:t>
            </w:r>
            <w:r w:rsidRPr="00461B07">
              <w:rPr>
                <w:rFonts w:cs="Arial"/>
                <w:color w:val="FF0000"/>
              </w:rPr>
              <w:t>r</w:t>
            </w:r>
            <w:r w:rsidRPr="00461B07">
              <w:rPr>
                <w:rFonts w:cs="Arial"/>
                <w:color w:val="FF0000"/>
                <w:sz w:val="22"/>
                <w:szCs w:val="22"/>
              </w:rPr>
              <w:t xml:space="preserve"> and market trends. In an industry where things move quickly, time management and planning are crucial for meeting deadlines and prioritising work. Citations are also necessary for acknowledging sources and preventing plagiarism. I have improved my ability to conduct thorough research by using a variety of sources and have learnt how to properly cite sources using a variety of referencing styles thanks to projects and assignments. juggling work, school, and extracurricular activities has helped me become more organised and efficient by improving my time management and planning abilities. I want to strengthen these essential abilities for future success in my academic and professional endeavour</w:t>
            </w:r>
            <w:r w:rsidRPr="00461B07">
              <w:rPr>
                <w:rFonts w:cs="Arial"/>
                <w:color w:val="FF0000"/>
              </w:rPr>
              <w:t>s</w:t>
            </w:r>
            <w:r w:rsidRPr="00461B07">
              <w:rPr>
                <w:rFonts w:cs="Arial"/>
                <w:color w:val="FF0000"/>
                <w:sz w:val="22"/>
                <w:szCs w:val="22"/>
              </w:rPr>
              <w:t xml:space="preserve"> by practicing more and learning from others.</w:t>
            </w:r>
          </w:p>
          <w:p w14:paraId="6C1EFEF0" w14:textId="77777777" w:rsidR="002C0FD9" w:rsidRPr="00A16219" w:rsidRDefault="002C0FD9" w:rsidP="00E90423">
            <w:pPr>
              <w:jc w:val="both"/>
              <w:rPr>
                <w:rFonts w:cs="Arial"/>
                <w:sz w:val="22"/>
                <w:szCs w:val="22"/>
              </w:rPr>
            </w:pPr>
          </w:p>
        </w:tc>
        <w:tc>
          <w:tcPr>
            <w:tcW w:w="217" w:type="dxa"/>
          </w:tcPr>
          <w:p w14:paraId="381F7EC0" w14:textId="77777777" w:rsidR="002C0FD9" w:rsidRPr="0076219E" w:rsidRDefault="002C0FD9" w:rsidP="00E90423">
            <w:pPr>
              <w:jc w:val="both"/>
              <w:rPr>
                <w:rFonts w:cs="Arial"/>
                <w:color w:val="FF0000"/>
                <w:sz w:val="21"/>
                <w:szCs w:val="21"/>
              </w:rPr>
            </w:pPr>
          </w:p>
        </w:tc>
        <w:tc>
          <w:tcPr>
            <w:tcW w:w="217" w:type="dxa"/>
          </w:tcPr>
          <w:p w14:paraId="486633F9" w14:textId="3B6BF840" w:rsidR="002C0FD9" w:rsidRPr="0076219E" w:rsidRDefault="002C0FD9" w:rsidP="00E90423">
            <w:pPr>
              <w:jc w:val="both"/>
              <w:rPr>
                <w:rFonts w:cs="Arial"/>
                <w:color w:val="FF0000"/>
                <w:sz w:val="21"/>
                <w:szCs w:val="21"/>
              </w:rPr>
            </w:pPr>
          </w:p>
        </w:tc>
        <w:tc>
          <w:tcPr>
            <w:tcW w:w="217" w:type="dxa"/>
          </w:tcPr>
          <w:p w14:paraId="0189FDD6" w14:textId="77777777" w:rsidR="002C0FD9" w:rsidRPr="0076219E" w:rsidRDefault="002C0FD9" w:rsidP="00E90423">
            <w:pPr>
              <w:jc w:val="both"/>
              <w:rPr>
                <w:rFonts w:cs="Arial"/>
                <w:color w:val="FF0000"/>
                <w:sz w:val="21"/>
                <w:szCs w:val="21"/>
              </w:rPr>
            </w:pPr>
          </w:p>
        </w:tc>
        <w:tc>
          <w:tcPr>
            <w:tcW w:w="217" w:type="dxa"/>
          </w:tcPr>
          <w:p w14:paraId="07785E63" w14:textId="3FC4F223" w:rsidR="002C0FD9" w:rsidRPr="0076219E" w:rsidRDefault="002C0FD9" w:rsidP="00E90423">
            <w:pPr>
              <w:jc w:val="both"/>
              <w:rPr>
                <w:rFonts w:cs="Arial"/>
                <w:color w:val="FF0000"/>
                <w:sz w:val="21"/>
                <w:szCs w:val="21"/>
              </w:rPr>
            </w:pPr>
          </w:p>
        </w:tc>
        <w:tc>
          <w:tcPr>
            <w:tcW w:w="217" w:type="dxa"/>
          </w:tcPr>
          <w:p w14:paraId="2FC9B463" w14:textId="77777777" w:rsidR="002C0FD9" w:rsidRPr="0076219E" w:rsidRDefault="002C0FD9" w:rsidP="00E90423">
            <w:pPr>
              <w:jc w:val="both"/>
              <w:rPr>
                <w:rFonts w:cs="Arial"/>
                <w:color w:val="FF0000"/>
                <w:sz w:val="21"/>
                <w:szCs w:val="21"/>
              </w:rPr>
            </w:pPr>
          </w:p>
        </w:tc>
        <w:tc>
          <w:tcPr>
            <w:tcW w:w="217" w:type="dxa"/>
          </w:tcPr>
          <w:p w14:paraId="558FA128" w14:textId="2D288B65" w:rsidR="002C0FD9" w:rsidRPr="0076219E" w:rsidRDefault="002C0FD9" w:rsidP="00E90423">
            <w:pPr>
              <w:jc w:val="both"/>
              <w:rPr>
                <w:rFonts w:cs="Arial"/>
                <w:color w:val="FF0000"/>
                <w:sz w:val="21"/>
                <w:szCs w:val="21"/>
              </w:rPr>
            </w:pPr>
          </w:p>
        </w:tc>
        <w:tc>
          <w:tcPr>
            <w:tcW w:w="217" w:type="dxa"/>
          </w:tcPr>
          <w:p w14:paraId="02266842" w14:textId="77777777" w:rsidR="002C0FD9" w:rsidRPr="0076219E" w:rsidRDefault="002C0FD9" w:rsidP="00E90423">
            <w:pPr>
              <w:jc w:val="both"/>
              <w:rPr>
                <w:rFonts w:cs="Arial"/>
                <w:color w:val="FF0000"/>
                <w:sz w:val="21"/>
                <w:szCs w:val="21"/>
              </w:rPr>
            </w:pPr>
          </w:p>
        </w:tc>
        <w:tc>
          <w:tcPr>
            <w:tcW w:w="217" w:type="dxa"/>
          </w:tcPr>
          <w:p w14:paraId="65CE56AD" w14:textId="77777777" w:rsidR="002C0FD9" w:rsidRPr="0076219E" w:rsidRDefault="002C0FD9" w:rsidP="00E90423">
            <w:pPr>
              <w:jc w:val="both"/>
              <w:rPr>
                <w:rFonts w:cs="Arial"/>
                <w:color w:val="FF0000"/>
                <w:sz w:val="21"/>
                <w:szCs w:val="21"/>
              </w:rPr>
            </w:pPr>
          </w:p>
        </w:tc>
        <w:tc>
          <w:tcPr>
            <w:tcW w:w="217" w:type="dxa"/>
          </w:tcPr>
          <w:p w14:paraId="37E00CC8" w14:textId="77777777" w:rsidR="002C0FD9" w:rsidRPr="0076219E" w:rsidRDefault="002C0FD9" w:rsidP="00E90423">
            <w:pPr>
              <w:jc w:val="both"/>
              <w:rPr>
                <w:rFonts w:cs="Arial"/>
                <w:color w:val="FF0000"/>
                <w:sz w:val="21"/>
                <w:szCs w:val="21"/>
              </w:rPr>
            </w:pPr>
          </w:p>
        </w:tc>
        <w:tc>
          <w:tcPr>
            <w:tcW w:w="217" w:type="dxa"/>
          </w:tcPr>
          <w:p w14:paraId="295717A5" w14:textId="77777777" w:rsidR="002C0FD9" w:rsidRPr="0076219E" w:rsidRDefault="002C0FD9" w:rsidP="00E90423">
            <w:pPr>
              <w:jc w:val="both"/>
              <w:rPr>
                <w:rFonts w:cs="Arial"/>
                <w:color w:val="FF0000"/>
                <w:sz w:val="21"/>
                <w:szCs w:val="21"/>
              </w:rPr>
            </w:pPr>
          </w:p>
        </w:tc>
        <w:tc>
          <w:tcPr>
            <w:tcW w:w="217" w:type="dxa"/>
          </w:tcPr>
          <w:p w14:paraId="0D32D742" w14:textId="77777777" w:rsidR="002C0FD9" w:rsidRPr="0076219E" w:rsidRDefault="002C0FD9" w:rsidP="00E90423">
            <w:pPr>
              <w:jc w:val="both"/>
              <w:rPr>
                <w:rFonts w:cs="Arial"/>
                <w:color w:val="FF0000"/>
                <w:sz w:val="21"/>
                <w:szCs w:val="21"/>
              </w:rPr>
            </w:pPr>
          </w:p>
        </w:tc>
        <w:tc>
          <w:tcPr>
            <w:tcW w:w="217" w:type="dxa"/>
          </w:tcPr>
          <w:p w14:paraId="7278A8EF" w14:textId="77777777" w:rsidR="002C0FD9" w:rsidRPr="0076219E" w:rsidRDefault="002C0FD9" w:rsidP="00E90423">
            <w:pPr>
              <w:jc w:val="both"/>
              <w:rPr>
                <w:rFonts w:cs="Arial"/>
                <w:color w:val="FF0000"/>
                <w:sz w:val="21"/>
                <w:szCs w:val="21"/>
              </w:rPr>
            </w:pPr>
          </w:p>
        </w:tc>
        <w:tc>
          <w:tcPr>
            <w:tcW w:w="217" w:type="dxa"/>
          </w:tcPr>
          <w:p w14:paraId="19F5CE3D" w14:textId="77777777" w:rsidR="002C0FD9" w:rsidRPr="0076219E" w:rsidRDefault="002C0FD9" w:rsidP="00E90423">
            <w:pPr>
              <w:jc w:val="both"/>
              <w:rPr>
                <w:rFonts w:cs="Arial"/>
                <w:color w:val="FF0000"/>
                <w:sz w:val="21"/>
                <w:szCs w:val="21"/>
              </w:rPr>
            </w:pPr>
          </w:p>
        </w:tc>
        <w:tc>
          <w:tcPr>
            <w:tcW w:w="217" w:type="dxa"/>
          </w:tcPr>
          <w:p w14:paraId="05F5C5EB" w14:textId="77777777" w:rsidR="002C0FD9" w:rsidRPr="0076219E" w:rsidRDefault="002C0FD9" w:rsidP="00E90423">
            <w:pPr>
              <w:jc w:val="both"/>
              <w:rPr>
                <w:rFonts w:cs="Arial"/>
                <w:color w:val="FF0000"/>
                <w:sz w:val="21"/>
                <w:szCs w:val="21"/>
              </w:rPr>
            </w:pPr>
          </w:p>
        </w:tc>
        <w:tc>
          <w:tcPr>
            <w:tcW w:w="217" w:type="dxa"/>
          </w:tcPr>
          <w:p w14:paraId="2012D778" w14:textId="7C94715F" w:rsidR="002C0FD9" w:rsidRPr="0076219E" w:rsidRDefault="002C0FD9" w:rsidP="00E90423">
            <w:pPr>
              <w:jc w:val="both"/>
              <w:rPr>
                <w:rFonts w:cs="Arial"/>
                <w:color w:val="FF0000"/>
                <w:sz w:val="21"/>
                <w:szCs w:val="21"/>
              </w:rPr>
            </w:pPr>
          </w:p>
        </w:tc>
        <w:tc>
          <w:tcPr>
            <w:tcW w:w="217" w:type="dxa"/>
          </w:tcPr>
          <w:p w14:paraId="0DE0DBAE" w14:textId="77777777" w:rsidR="002C0FD9" w:rsidRPr="0076219E" w:rsidRDefault="002C0FD9" w:rsidP="00E90423">
            <w:pPr>
              <w:jc w:val="both"/>
              <w:rPr>
                <w:rFonts w:cs="Arial"/>
                <w:color w:val="FF0000"/>
                <w:sz w:val="21"/>
                <w:szCs w:val="21"/>
              </w:rPr>
            </w:pPr>
          </w:p>
        </w:tc>
        <w:tc>
          <w:tcPr>
            <w:tcW w:w="217" w:type="dxa"/>
          </w:tcPr>
          <w:p w14:paraId="065867D3" w14:textId="77777777" w:rsidR="002C0FD9" w:rsidRPr="0076219E" w:rsidRDefault="002C0FD9" w:rsidP="00E90423">
            <w:pPr>
              <w:jc w:val="both"/>
              <w:rPr>
                <w:rFonts w:cs="Arial"/>
                <w:color w:val="FF0000"/>
                <w:sz w:val="21"/>
                <w:szCs w:val="21"/>
              </w:rPr>
            </w:pPr>
          </w:p>
        </w:tc>
        <w:tc>
          <w:tcPr>
            <w:tcW w:w="217" w:type="dxa"/>
          </w:tcPr>
          <w:p w14:paraId="0893B351" w14:textId="77777777" w:rsidR="002C0FD9" w:rsidRPr="0076219E" w:rsidRDefault="002C0FD9" w:rsidP="00E90423">
            <w:pPr>
              <w:jc w:val="both"/>
              <w:rPr>
                <w:rFonts w:cs="Arial"/>
                <w:color w:val="FF0000"/>
                <w:sz w:val="21"/>
                <w:szCs w:val="21"/>
              </w:rPr>
            </w:pPr>
          </w:p>
        </w:tc>
        <w:tc>
          <w:tcPr>
            <w:tcW w:w="217" w:type="dxa"/>
          </w:tcPr>
          <w:p w14:paraId="2552DD9B" w14:textId="77777777" w:rsidR="002C0FD9" w:rsidRPr="0076219E" w:rsidRDefault="002C0FD9" w:rsidP="00E90423">
            <w:pPr>
              <w:jc w:val="both"/>
              <w:rPr>
                <w:rFonts w:cs="Arial"/>
                <w:color w:val="FF0000"/>
                <w:sz w:val="21"/>
                <w:szCs w:val="21"/>
              </w:rPr>
            </w:pPr>
          </w:p>
        </w:tc>
        <w:tc>
          <w:tcPr>
            <w:tcW w:w="217" w:type="dxa"/>
          </w:tcPr>
          <w:p w14:paraId="770C391B" w14:textId="77777777" w:rsidR="002C0FD9" w:rsidRPr="0076219E" w:rsidRDefault="002C0FD9" w:rsidP="00E90423">
            <w:pPr>
              <w:jc w:val="both"/>
              <w:rPr>
                <w:rFonts w:cs="Arial"/>
                <w:color w:val="FF0000"/>
                <w:sz w:val="21"/>
                <w:szCs w:val="21"/>
              </w:rPr>
            </w:pPr>
          </w:p>
        </w:tc>
        <w:tc>
          <w:tcPr>
            <w:tcW w:w="217" w:type="dxa"/>
          </w:tcPr>
          <w:p w14:paraId="2AF7AAAF" w14:textId="77777777" w:rsidR="002C0FD9" w:rsidRPr="0076219E" w:rsidRDefault="002C0FD9" w:rsidP="00E90423">
            <w:pPr>
              <w:jc w:val="both"/>
              <w:rPr>
                <w:rFonts w:cs="Arial"/>
                <w:color w:val="FF0000"/>
                <w:sz w:val="21"/>
                <w:szCs w:val="21"/>
              </w:rPr>
            </w:pPr>
          </w:p>
        </w:tc>
        <w:tc>
          <w:tcPr>
            <w:tcW w:w="217" w:type="dxa"/>
          </w:tcPr>
          <w:p w14:paraId="5E9EBDC7" w14:textId="77777777" w:rsidR="002C0FD9" w:rsidRPr="0076219E" w:rsidRDefault="002C0FD9" w:rsidP="00E90423">
            <w:pPr>
              <w:jc w:val="both"/>
              <w:rPr>
                <w:rFonts w:cs="Arial"/>
                <w:color w:val="FF0000"/>
                <w:sz w:val="21"/>
                <w:szCs w:val="21"/>
              </w:rPr>
            </w:pPr>
          </w:p>
        </w:tc>
        <w:tc>
          <w:tcPr>
            <w:tcW w:w="217" w:type="dxa"/>
          </w:tcPr>
          <w:p w14:paraId="0AE36AF1" w14:textId="77777777" w:rsidR="002C0FD9" w:rsidRPr="0076219E" w:rsidRDefault="002C0FD9" w:rsidP="00E90423">
            <w:pPr>
              <w:jc w:val="both"/>
              <w:rPr>
                <w:rFonts w:cs="Arial"/>
                <w:color w:val="FF0000"/>
                <w:sz w:val="21"/>
                <w:szCs w:val="21"/>
              </w:rPr>
            </w:pPr>
          </w:p>
        </w:tc>
        <w:tc>
          <w:tcPr>
            <w:tcW w:w="217" w:type="dxa"/>
          </w:tcPr>
          <w:p w14:paraId="518A4564" w14:textId="77777777" w:rsidR="002C0FD9" w:rsidRPr="0076219E" w:rsidRDefault="002C0FD9" w:rsidP="00E90423">
            <w:pPr>
              <w:jc w:val="both"/>
              <w:rPr>
                <w:rFonts w:cs="Arial"/>
                <w:color w:val="FF0000"/>
                <w:sz w:val="21"/>
                <w:szCs w:val="21"/>
              </w:rPr>
            </w:pPr>
          </w:p>
        </w:tc>
        <w:tc>
          <w:tcPr>
            <w:tcW w:w="217" w:type="dxa"/>
          </w:tcPr>
          <w:p w14:paraId="4094DCC1" w14:textId="77777777" w:rsidR="002C0FD9" w:rsidRPr="0076219E" w:rsidRDefault="002C0FD9" w:rsidP="00E90423">
            <w:pPr>
              <w:jc w:val="both"/>
              <w:rPr>
                <w:rFonts w:cs="Arial"/>
                <w:color w:val="FF0000"/>
                <w:sz w:val="21"/>
                <w:szCs w:val="21"/>
              </w:rPr>
            </w:pPr>
          </w:p>
        </w:tc>
        <w:tc>
          <w:tcPr>
            <w:tcW w:w="217" w:type="dxa"/>
          </w:tcPr>
          <w:p w14:paraId="29E5A045" w14:textId="77777777" w:rsidR="002C0FD9" w:rsidRPr="0076219E" w:rsidRDefault="002C0FD9" w:rsidP="00E90423">
            <w:pPr>
              <w:jc w:val="both"/>
              <w:rPr>
                <w:rFonts w:cs="Arial"/>
                <w:color w:val="FF0000"/>
                <w:sz w:val="21"/>
                <w:szCs w:val="21"/>
              </w:rPr>
            </w:pPr>
          </w:p>
        </w:tc>
        <w:tc>
          <w:tcPr>
            <w:tcW w:w="217" w:type="dxa"/>
          </w:tcPr>
          <w:p w14:paraId="69424DD5" w14:textId="77777777" w:rsidR="002C0FD9" w:rsidRPr="0076219E" w:rsidRDefault="002C0FD9" w:rsidP="00E90423">
            <w:pPr>
              <w:jc w:val="both"/>
              <w:rPr>
                <w:rFonts w:cs="Arial"/>
                <w:color w:val="FF0000"/>
                <w:sz w:val="21"/>
                <w:szCs w:val="21"/>
              </w:rPr>
            </w:pPr>
          </w:p>
        </w:tc>
        <w:tc>
          <w:tcPr>
            <w:tcW w:w="217" w:type="dxa"/>
          </w:tcPr>
          <w:p w14:paraId="2FB0CB42" w14:textId="77777777" w:rsidR="002C0FD9" w:rsidRPr="0076219E" w:rsidRDefault="002C0FD9" w:rsidP="00E90423">
            <w:pPr>
              <w:jc w:val="both"/>
              <w:rPr>
                <w:rFonts w:cs="Arial"/>
                <w:color w:val="FF0000"/>
                <w:sz w:val="21"/>
                <w:szCs w:val="21"/>
              </w:rPr>
            </w:pPr>
          </w:p>
        </w:tc>
        <w:tc>
          <w:tcPr>
            <w:tcW w:w="217" w:type="dxa"/>
          </w:tcPr>
          <w:p w14:paraId="2C726584" w14:textId="77777777" w:rsidR="002C0FD9" w:rsidRPr="0076219E" w:rsidRDefault="002C0FD9" w:rsidP="00E90423">
            <w:pPr>
              <w:jc w:val="both"/>
              <w:rPr>
                <w:rFonts w:cs="Arial"/>
                <w:color w:val="FF0000"/>
                <w:sz w:val="21"/>
                <w:szCs w:val="21"/>
              </w:rPr>
            </w:pPr>
          </w:p>
        </w:tc>
        <w:tc>
          <w:tcPr>
            <w:tcW w:w="217" w:type="dxa"/>
          </w:tcPr>
          <w:p w14:paraId="3BAD37D2" w14:textId="77777777" w:rsidR="002C0FD9" w:rsidRPr="0076219E" w:rsidRDefault="002C0FD9" w:rsidP="00E90423">
            <w:pPr>
              <w:jc w:val="both"/>
              <w:rPr>
                <w:rFonts w:cs="Arial"/>
                <w:color w:val="FF0000"/>
                <w:sz w:val="21"/>
                <w:szCs w:val="21"/>
              </w:rPr>
            </w:pPr>
          </w:p>
        </w:tc>
        <w:tc>
          <w:tcPr>
            <w:tcW w:w="217" w:type="dxa"/>
          </w:tcPr>
          <w:p w14:paraId="7F4335F9" w14:textId="77777777" w:rsidR="002C0FD9" w:rsidRPr="0076219E" w:rsidRDefault="002C0FD9" w:rsidP="00E90423">
            <w:pPr>
              <w:jc w:val="both"/>
              <w:rPr>
                <w:rFonts w:cs="Arial"/>
                <w:color w:val="FF0000"/>
                <w:sz w:val="21"/>
                <w:szCs w:val="21"/>
              </w:rPr>
            </w:pPr>
          </w:p>
        </w:tc>
        <w:tc>
          <w:tcPr>
            <w:tcW w:w="217" w:type="dxa"/>
          </w:tcPr>
          <w:p w14:paraId="507A849F" w14:textId="77777777" w:rsidR="002C0FD9" w:rsidRPr="0076219E" w:rsidRDefault="002C0FD9" w:rsidP="00E90423">
            <w:pPr>
              <w:jc w:val="both"/>
              <w:rPr>
                <w:rFonts w:cs="Arial"/>
                <w:color w:val="FF0000"/>
                <w:sz w:val="21"/>
                <w:szCs w:val="21"/>
              </w:rPr>
            </w:pPr>
          </w:p>
        </w:tc>
        <w:tc>
          <w:tcPr>
            <w:tcW w:w="217" w:type="dxa"/>
          </w:tcPr>
          <w:p w14:paraId="073EA8A6" w14:textId="77777777" w:rsidR="002C0FD9" w:rsidRPr="0076219E" w:rsidRDefault="002C0FD9" w:rsidP="00E90423">
            <w:pPr>
              <w:jc w:val="both"/>
              <w:rPr>
                <w:rFonts w:cs="Arial"/>
                <w:color w:val="FF0000"/>
                <w:sz w:val="21"/>
                <w:szCs w:val="21"/>
              </w:rPr>
            </w:pPr>
          </w:p>
        </w:tc>
        <w:tc>
          <w:tcPr>
            <w:tcW w:w="217" w:type="dxa"/>
          </w:tcPr>
          <w:p w14:paraId="09D89677" w14:textId="77777777" w:rsidR="002C0FD9" w:rsidRPr="0076219E" w:rsidRDefault="002C0FD9" w:rsidP="00E90423">
            <w:pPr>
              <w:jc w:val="both"/>
              <w:rPr>
                <w:rFonts w:cs="Arial"/>
                <w:color w:val="FF0000"/>
                <w:sz w:val="21"/>
                <w:szCs w:val="21"/>
              </w:rPr>
            </w:pPr>
          </w:p>
        </w:tc>
        <w:tc>
          <w:tcPr>
            <w:tcW w:w="217" w:type="dxa"/>
          </w:tcPr>
          <w:p w14:paraId="55110282" w14:textId="77777777" w:rsidR="002C0FD9" w:rsidRPr="0076219E" w:rsidRDefault="002C0FD9" w:rsidP="00E90423">
            <w:pPr>
              <w:jc w:val="both"/>
              <w:rPr>
                <w:rFonts w:cs="Arial"/>
                <w:color w:val="FF0000"/>
                <w:sz w:val="21"/>
                <w:szCs w:val="21"/>
              </w:rPr>
            </w:pPr>
          </w:p>
        </w:tc>
        <w:tc>
          <w:tcPr>
            <w:tcW w:w="217" w:type="dxa"/>
          </w:tcPr>
          <w:p w14:paraId="089A26AC" w14:textId="77777777" w:rsidR="002C0FD9" w:rsidRPr="0076219E" w:rsidRDefault="002C0FD9" w:rsidP="00E90423">
            <w:pPr>
              <w:jc w:val="both"/>
              <w:rPr>
                <w:rFonts w:cs="Arial"/>
                <w:color w:val="FF0000"/>
                <w:sz w:val="21"/>
                <w:szCs w:val="21"/>
              </w:rPr>
            </w:pPr>
          </w:p>
        </w:tc>
        <w:tc>
          <w:tcPr>
            <w:tcW w:w="217" w:type="dxa"/>
          </w:tcPr>
          <w:p w14:paraId="1CCA481D" w14:textId="77777777" w:rsidR="002C0FD9" w:rsidRPr="0076219E" w:rsidRDefault="002C0FD9" w:rsidP="00E90423">
            <w:pPr>
              <w:jc w:val="both"/>
              <w:rPr>
                <w:rFonts w:cs="Arial"/>
                <w:color w:val="FF0000"/>
                <w:sz w:val="21"/>
                <w:szCs w:val="21"/>
              </w:rPr>
            </w:pPr>
          </w:p>
        </w:tc>
        <w:tc>
          <w:tcPr>
            <w:tcW w:w="217" w:type="dxa"/>
          </w:tcPr>
          <w:p w14:paraId="173D39C8" w14:textId="77777777" w:rsidR="002C0FD9" w:rsidRPr="0076219E" w:rsidRDefault="002C0FD9" w:rsidP="00E90423">
            <w:pPr>
              <w:jc w:val="both"/>
              <w:rPr>
                <w:rFonts w:cs="Arial"/>
                <w:color w:val="FF0000"/>
                <w:sz w:val="21"/>
                <w:szCs w:val="21"/>
              </w:rPr>
            </w:pPr>
          </w:p>
        </w:tc>
        <w:tc>
          <w:tcPr>
            <w:tcW w:w="217" w:type="dxa"/>
          </w:tcPr>
          <w:p w14:paraId="22DE7ECE" w14:textId="77777777" w:rsidR="002C0FD9" w:rsidRPr="0076219E" w:rsidRDefault="002C0FD9" w:rsidP="00E90423">
            <w:pPr>
              <w:jc w:val="both"/>
              <w:rPr>
                <w:rFonts w:cs="Arial"/>
                <w:color w:val="FF0000"/>
                <w:sz w:val="21"/>
                <w:szCs w:val="21"/>
              </w:rPr>
            </w:pPr>
          </w:p>
        </w:tc>
        <w:tc>
          <w:tcPr>
            <w:tcW w:w="217" w:type="dxa"/>
          </w:tcPr>
          <w:p w14:paraId="4CB373CF" w14:textId="77777777" w:rsidR="002C0FD9" w:rsidRPr="0076219E" w:rsidRDefault="002C0FD9" w:rsidP="00E90423">
            <w:pPr>
              <w:jc w:val="both"/>
              <w:rPr>
                <w:rFonts w:cs="Arial"/>
                <w:color w:val="FF0000"/>
                <w:sz w:val="21"/>
                <w:szCs w:val="21"/>
              </w:rPr>
            </w:pPr>
          </w:p>
        </w:tc>
        <w:tc>
          <w:tcPr>
            <w:tcW w:w="217" w:type="dxa"/>
          </w:tcPr>
          <w:p w14:paraId="1B6EB746" w14:textId="77777777" w:rsidR="002C0FD9" w:rsidRPr="0076219E" w:rsidRDefault="002C0FD9" w:rsidP="00E90423">
            <w:pPr>
              <w:jc w:val="both"/>
              <w:rPr>
                <w:rFonts w:cs="Arial"/>
                <w:color w:val="FF0000"/>
                <w:sz w:val="21"/>
                <w:szCs w:val="21"/>
              </w:rPr>
            </w:pPr>
          </w:p>
        </w:tc>
        <w:tc>
          <w:tcPr>
            <w:tcW w:w="217" w:type="dxa"/>
          </w:tcPr>
          <w:p w14:paraId="0179C190" w14:textId="77777777" w:rsidR="002C0FD9" w:rsidRPr="0076219E" w:rsidRDefault="002C0FD9" w:rsidP="00E90423">
            <w:pPr>
              <w:jc w:val="both"/>
              <w:rPr>
                <w:rFonts w:cs="Arial"/>
                <w:color w:val="FF0000"/>
                <w:sz w:val="21"/>
                <w:szCs w:val="21"/>
              </w:rPr>
            </w:pPr>
          </w:p>
        </w:tc>
      </w:tr>
      <w:tr w:rsidR="002C0FD9" w:rsidRPr="00A16219" w14:paraId="70B0F965" w14:textId="35396D32" w:rsidTr="002C0FD9">
        <w:tc>
          <w:tcPr>
            <w:tcW w:w="515" w:type="dxa"/>
          </w:tcPr>
          <w:p w14:paraId="06E408AB" w14:textId="4184637D" w:rsidR="002C0FD9" w:rsidRPr="00A16219" w:rsidRDefault="002C0FD9" w:rsidP="00437D0E">
            <w:pPr>
              <w:jc w:val="both"/>
              <w:rPr>
                <w:rFonts w:cs="Arial"/>
                <w:bCs/>
                <w:sz w:val="22"/>
                <w:szCs w:val="22"/>
              </w:rPr>
            </w:pPr>
            <w:r w:rsidRPr="00A16219">
              <w:rPr>
                <w:rFonts w:cs="Arial"/>
                <w:b/>
                <w:bCs/>
                <w:sz w:val="22"/>
                <w:szCs w:val="22"/>
              </w:rPr>
              <w:t>ii. Description of a reflective model</w:t>
            </w:r>
            <w:r w:rsidRPr="00A16219">
              <w:rPr>
                <w:rFonts w:cs="Arial"/>
                <w:sz w:val="22"/>
                <w:szCs w:val="22"/>
              </w:rPr>
              <w:t>.</w:t>
            </w:r>
          </w:p>
          <w:p w14:paraId="1F4113F3" w14:textId="27762186" w:rsidR="002C0FD9" w:rsidRPr="0076219E" w:rsidRDefault="002C0FD9" w:rsidP="000F019A">
            <w:pPr>
              <w:jc w:val="both"/>
              <w:rPr>
                <w:rFonts w:cs="Arial"/>
                <w:i/>
                <w:iCs/>
                <w:color w:val="FF0000"/>
                <w:sz w:val="21"/>
                <w:szCs w:val="21"/>
              </w:rPr>
            </w:pPr>
            <w:r w:rsidRPr="00A16219">
              <w:rPr>
                <w:rFonts w:cs="Arial"/>
                <w:sz w:val="22"/>
                <w:szCs w:val="22"/>
              </w:rPr>
              <w:t xml:space="preserve"> </w:t>
            </w:r>
          </w:p>
          <w:p w14:paraId="62123CBD" w14:textId="77777777" w:rsidR="002C0FD9" w:rsidRPr="00A16219" w:rsidRDefault="002C0FD9" w:rsidP="00951C55">
            <w:pPr>
              <w:jc w:val="both"/>
              <w:rPr>
                <w:rFonts w:cs="Arial"/>
                <w:sz w:val="22"/>
                <w:szCs w:val="22"/>
              </w:rPr>
            </w:pPr>
          </w:p>
        </w:tc>
        <w:tc>
          <w:tcPr>
            <w:tcW w:w="217" w:type="dxa"/>
          </w:tcPr>
          <w:p w14:paraId="65E7628D" w14:textId="77777777" w:rsidR="002C0FD9" w:rsidRPr="00A16219" w:rsidRDefault="002C0FD9" w:rsidP="00437D0E">
            <w:pPr>
              <w:jc w:val="both"/>
              <w:rPr>
                <w:rFonts w:cs="Arial"/>
                <w:b/>
                <w:bCs/>
              </w:rPr>
            </w:pPr>
          </w:p>
        </w:tc>
        <w:tc>
          <w:tcPr>
            <w:tcW w:w="217" w:type="dxa"/>
          </w:tcPr>
          <w:p w14:paraId="36F26CC7" w14:textId="5CB6A511" w:rsidR="002C0FD9" w:rsidRPr="00A16219" w:rsidRDefault="002C0FD9" w:rsidP="00437D0E">
            <w:pPr>
              <w:jc w:val="both"/>
              <w:rPr>
                <w:rFonts w:cs="Arial"/>
                <w:b/>
                <w:bCs/>
              </w:rPr>
            </w:pPr>
          </w:p>
        </w:tc>
        <w:tc>
          <w:tcPr>
            <w:tcW w:w="217" w:type="dxa"/>
          </w:tcPr>
          <w:p w14:paraId="31EBC27E" w14:textId="77777777" w:rsidR="002C0FD9" w:rsidRPr="00A16219" w:rsidRDefault="002C0FD9" w:rsidP="00437D0E">
            <w:pPr>
              <w:jc w:val="both"/>
              <w:rPr>
                <w:rFonts w:cs="Arial"/>
                <w:b/>
                <w:bCs/>
              </w:rPr>
            </w:pPr>
          </w:p>
        </w:tc>
        <w:tc>
          <w:tcPr>
            <w:tcW w:w="217" w:type="dxa"/>
          </w:tcPr>
          <w:p w14:paraId="3DAA874E" w14:textId="2320871A" w:rsidR="002C0FD9" w:rsidRPr="00A16219" w:rsidRDefault="002C0FD9" w:rsidP="00437D0E">
            <w:pPr>
              <w:jc w:val="both"/>
              <w:rPr>
                <w:rFonts w:cs="Arial"/>
                <w:b/>
                <w:bCs/>
              </w:rPr>
            </w:pPr>
          </w:p>
        </w:tc>
        <w:tc>
          <w:tcPr>
            <w:tcW w:w="217" w:type="dxa"/>
          </w:tcPr>
          <w:p w14:paraId="52159C71" w14:textId="77777777" w:rsidR="002C0FD9" w:rsidRPr="00A16219" w:rsidRDefault="002C0FD9" w:rsidP="00437D0E">
            <w:pPr>
              <w:jc w:val="both"/>
              <w:rPr>
                <w:rFonts w:cs="Arial"/>
                <w:b/>
                <w:bCs/>
              </w:rPr>
            </w:pPr>
          </w:p>
        </w:tc>
        <w:tc>
          <w:tcPr>
            <w:tcW w:w="217" w:type="dxa"/>
          </w:tcPr>
          <w:p w14:paraId="1B1FB39E" w14:textId="15FD9E31" w:rsidR="002C0FD9" w:rsidRPr="00A16219" w:rsidRDefault="002C0FD9" w:rsidP="00437D0E">
            <w:pPr>
              <w:jc w:val="both"/>
              <w:rPr>
                <w:rFonts w:cs="Arial"/>
                <w:b/>
                <w:bCs/>
              </w:rPr>
            </w:pPr>
          </w:p>
        </w:tc>
        <w:tc>
          <w:tcPr>
            <w:tcW w:w="217" w:type="dxa"/>
          </w:tcPr>
          <w:p w14:paraId="2A3A7AAF" w14:textId="77777777" w:rsidR="002C0FD9" w:rsidRPr="00A16219" w:rsidRDefault="002C0FD9" w:rsidP="00437D0E">
            <w:pPr>
              <w:jc w:val="both"/>
              <w:rPr>
                <w:rFonts w:cs="Arial"/>
                <w:b/>
                <w:bCs/>
              </w:rPr>
            </w:pPr>
          </w:p>
        </w:tc>
        <w:tc>
          <w:tcPr>
            <w:tcW w:w="217" w:type="dxa"/>
          </w:tcPr>
          <w:p w14:paraId="08343955" w14:textId="77777777" w:rsidR="002C0FD9" w:rsidRPr="00A16219" w:rsidRDefault="002C0FD9" w:rsidP="00437D0E">
            <w:pPr>
              <w:jc w:val="both"/>
              <w:rPr>
                <w:rFonts w:cs="Arial"/>
                <w:b/>
                <w:bCs/>
              </w:rPr>
            </w:pPr>
          </w:p>
        </w:tc>
        <w:tc>
          <w:tcPr>
            <w:tcW w:w="217" w:type="dxa"/>
          </w:tcPr>
          <w:p w14:paraId="56881698" w14:textId="77777777" w:rsidR="002C0FD9" w:rsidRPr="00A16219" w:rsidRDefault="002C0FD9" w:rsidP="00437D0E">
            <w:pPr>
              <w:jc w:val="both"/>
              <w:rPr>
                <w:rFonts w:cs="Arial"/>
                <w:b/>
                <w:bCs/>
              </w:rPr>
            </w:pPr>
          </w:p>
        </w:tc>
        <w:tc>
          <w:tcPr>
            <w:tcW w:w="217" w:type="dxa"/>
          </w:tcPr>
          <w:p w14:paraId="3DD79F35" w14:textId="77777777" w:rsidR="002C0FD9" w:rsidRPr="00A16219" w:rsidRDefault="002C0FD9" w:rsidP="00437D0E">
            <w:pPr>
              <w:jc w:val="both"/>
              <w:rPr>
                <w:rFonts w:cs="Arial"/>
                <w:b/>
                <w:bCs/>
              </w:rPr>
            </w:pPr>
          </w:p>
        </w:tc>
        <w:tc>
          <w:tcPr>
            <w:tcW w:w="217" w:type="dxa"/>
          </w:tcPr>
          <w:p w14:paraId="140393DE" w14:textId="77777777" w:rsidR="002C0FD9" w:rsidRPr="00A16219" w:rsidRDefault="002C0FD9" w:rsidP="00437D0E">
            <w:pPr>
              <w:jc w:val="both"/>
              <w:rPr>
                <w:rFonts w:cs="Arial"/>
                <w:b/>
                <w:bCs/>
              </w:rPr>
            </w:pPr>
          </w:p>
        </w:tc>
        <w:tc>
          <w:tcPr>
            <w:tcW w:w="217" w:type="dxa"/>
          </w:tcPr>
          <w:p w14:paraId="684C566E" w14:textId="77777777" w:rsidR="002C0FD9" w:rsidRPr="00A16219" w:rsidRDefault="002C0FD9" w:rsidP="00437D0E">
            <w:pPr>
              <w:jc w:val="both"/>
              <w:rPr>
                <w:rFonts w:cs="Arial"/>
                <w:b/>
                <w:bCs/>
              </w:rPr>
            </w:pPr>
          </w:p>
        </w:tc>
        <w:tc>
          <w:tcPr>
            <w:tcW w:w="217" w:type="dxa"/>
          </w:tcPr>
          <w:p w14:paraId="539CAF4C" w14:textId="77777777" w:rsidR="002C0FD9" w:rsidRPr="00A16219" w:rsidRDefault="002C0FD9" w:rsidP="00437D0E">
            <w:pPr>
              <w:jc w:val="both"/>
              <w:rPr>
                <w:rFonts w:cs="Arial"/>
                <w:b/>
                <w:bCs/>
              </w:rPr>
            </w:pPr>
          </w:p>
        </w:tc>
        <w:tc>
          <w:tcPr>
            <w:tcW w:w="217" w:type="dxa"/>
          </w:tcPr>
          <w:p w14:paraId="3CFDE1AF" w14:textId="77777777" w:rsidR="002C0FD9" w:rsidRPr="00A16219" w:rsidRDefault="002C0FD9" w:rsidP="00437D0E">
            <w:pPr>
              <w:jc w:val="both"/>
              <w:rPr>
                <w:rFonts w:cs="Arial"/>
                <w:b/>
                <w:bCs/>
              </w:rPr>
            </w:pPr>
          </w:p>
        </w:tc>
        <w:tc>
          <w:tcPr>
            <w:tcW w:w="217" w:type="dxa"/>
          </w:tcPr>
          <w:p w14:paraId="1932B364" w14:textId="518F797B" w:rsidR="002C0FD9" w:rsidRPr="00A16219" w:rsidRDefault="002C0FD9" w:rsidP="00437D0E">
            <w:pPr>
              <w:jc w:val="both"/>
              <w:rPr>
                <w:rFonts w:cs="Arial"/>
                <w:b/>
                <w:bCs/>
              </w:rPr>
            </w:pPr>
          </w:p>
        </w:tc>
        <w:tc>
          <w:tcPr>
            <w:tcW w:w="217" w:type="dxa"/>
          </w:tcPr>
          <w:p w14:paraId="4918CE08" w14:textId="77777777" w:rsidR="002C0FD9" w:rsidRPr="00A16219" w:rsidRDefault="002C0FD9" w:rsidP="00437D0E">
            <w:pPr>
              <w:jc w:val="both"/>
              <w:rPr>
                <w:rFonts w:cs="Arial"/>
                <w:b/>
                <w:bCs/>
              </w:rPr>
            </w:pPr>
          </w:p>
        </w:tc>
        <w:tc>
          <w:tcPr>
            <w:tcW w:w="217" w:type="dxa"/>
          </w:tcPr>
          <w:p w14:paraId="57A4E66A" w14:textId="77777777" w:rsidR="002C0FD9" w:rsidRPr="00A16219" w:rsidRDefault="002C0FD9" w:rsidP="00437D0E">
            <w:pPr>
              <w:jc w:val="both"/>
              <w:rPr>
                <w:rFonts w:cs="Arial"/>
                <w:b/>
                <w:bCs/>
              </w:rPr>
            </w:pPr>
          </w:p>
        </w:tc>
        <w:tc>
          <w:tcPr>
            <w:tcW w:w="217" w:type="dxa"/>
          </w:tcPr>
          <w:p w14:paraId="6C2864B8" w14:textId="77777777" w:rsidR="002C0FD9" w:rsidRPr="00A16219" w:rsidRDefault="002C0FD9" w:rsidP="00437D0E">
            <w:pPr>
              <w:jc w:val="both"/>
              <w:rPr>
                <w:rFonts w:cs="Arial"/>
                <w:b/>
                <w:bCs/>
              </w:rPr>
            </w:pPr>
          </w:p>
        </w:tc>
        <w:tc>
          <w:tcPr>
            <w:tcW w:w="217" w:type="dxa"/>
          </w:tcPr>
          <w:p w14:paraId="64ACDC7B" w14:textId="77777777" w:rsidR="002C0FD9" w:rsidRPr="00A16219" w:rsidRDefault="002C0FD9" w:rsidP="00437D0E">
            <w:pPr>
              <w:jc w:val="both"/>
              <w:rPr>
                <w:rFonts w:cs="Arial"/>
                <w:b/>
                <w:bCs/>
              </w:rPr>
            </w:pPr>
          </w:p>
        </w:tc>
        <w:tc>
          <w:tcPr>
            <w:tcW w:w="217" w:type="dxa"/>
          </w:tcPr>
          <w:p w14:paraId="56933B44" w14:textId="77777777" w:rsidR="002C0FD9" w:rsidRPr="00A16219" w:rsidRDefault="002C0FD9" w:rsidP="00437D0E">
            <w:pPr>
              <w:jc w:val="both"/>
              <w:rPr>
                <w:rFonts w:cs="Arial"/>
                <w:b/>
                <w:bCs/>
              </w:rPr>
            </w:pPr>
          </w:p>
        </w:tc>
        <w:tc>
          <w:tcPr>
            <w:tcW w:w="217" w:type="dxa"/>
          </w:tcPr>
          <w:p w14:paraId="69557EB6" w14:textId="77777777" w:rsidR="002C0FD9" w:rsidRPr="00A16219" w:rsidRDefault="002C0FD9" w:rsidP="00437D0E">
            <w:pPr>
              <w:jc w:val="both"/>
              <w:rPr>
                <w:rFonts w:cs="Arial"/>
                <w:b/>
                <w:bCs/>
              </w:rPr>
            </w:pPr>
          </w:p>
        </w:tc>
        <w:tc>
          <w:tcPr>
            <w:tcW w:w="217" w:type="dxa"/>
          </w:tcPr>
          <w:p w14:paraId="771EECF4" w14:textId="77777777" w:rsidR="002C0FD9" w:rsidRPr="00A16219" w:rsidRDefault="002C0FD9" w:rsidP="00437D0E">
            <w:pPr>
              <w:jc w:val="both"/>
              <w:rPr>
                <w:rFonts w:cs="Arial"/>
                <w:b/>
                <w:bCs/>
              </w:rPr>
            </w:pPr>
          </w:p>
        </w:tc>
        <w:tc>
          <w:tcPr>
            <w:tcW w:w="217" w:type="dxa"/>
          </w:tcPr>
          <w:p w14:paraId="78754C04" w14:textId="77777777" w:rsidR="002C0FD9" w:rsidRPr="00A16219" w:rsidRDefault="002C0FD9" w:rsidP="00437D0E">
            <w:pPr>
              <w:jc w:val="both"/>
              <w:rPr>
                <w:rFonts w:cs="Arial"/>
                <w:b/>
                <w:bCs/>
              </w:rPr>
            </w:pPr>
          </w:p>
        </w:tc>
        <w:tc>
          <w:tcPr>
            <w:tcW w:w="217" w:type="dxa"/>
          </w:tcPr>
          <w:p w14:paraId="46F22D90" w14:textId="77777777" w:rsidR="002C0FD9" w:rsidRPr="00A16219" w:rsidRDefault="002C0FD9" w:rsidP="00437D0E">
            <w:pPr>
              <w:jc w:val="both"/>
              <w:rPr>
                <w:rFonts w:cs="Arial"/>
                <w:b/>
                <w:bCs/>
              </w:rPr>
            </w:pPr>
          </w:p>
        </w:tc>
        <w:tc>
          <w:tcPr>
            <w:tcW w:w="217" w:type="dxa"/>
          </w:tcPr>
          <w:p w14:paraId="53CACDBF" w14:textId="77777777" w:rsidR="002C0FD9" w:rsidRPr="00A16219" w:rsidRDefault="002C0FD9" w:rsidP="00437D0E">
            <w:pPr>
              <w:jc w:val="both"/>
              <w:rPr>
                <w:rFonts w:cs="Arial"/>
                <w:b/>
                <w:bCs/>
              </w:rPr>
            </w:pPr>
          </w:p>
        </w:tc>
        <w:tc>
          <w:tcPr>
            <w:tcW w:w="217" w:type="dxa"/>
          </w:tcPr>
          <w:p w14:paraId="2643E976" w14:textId="77777777" w:rsidR="002C0FD9" w:rsidRPr="00A16219" w:rsidRDefault="002C0FD9" w:rsidP="00437D0E">
            <w:pPr>
              <w:jc w:val="both"/>
              <w:rPr>
                <w:rFonts w:cs="Arial"/>
                <w:b/>
                <w:bCs/>
              </w:rPr>
            </w:pPr>
          </w:p>
        </w:tc>
        <w:tc>
          <w:tcPr>
            <w:tcW w:w="217" w:type="dxa"/>
          </w:tcPr>
          <w:p w14:paraId="16601BE0" w14:textId="77777777" w:rsidR="002C0FD9" w:rsidRPr="00A16219" w:rsidRDefault="002C0FD9" w:rsidP="00437D0E">
            <w:pPr>
              <w:jc w:val="both"/>
              <w:rPr>
                <w:rFonts w:cs="Arial"/>
                <w:b/>
                <w:bCs/>
              </w:rPr>
            </w:pPr>
          </w:p>
        </w:tc>
        <w:tc>
          <w:tcPr>
            <w:tcW w:w="217" w:type="dxa"/>
          </w:tcPr>
          <w:p w14:paraId="001A2936" w14:textId="77777777" w:rsidR="002C0FD9" w:rsidRPr="00A16219" w:rsidRDefault="002C0FD9" w:rsidP="00437D0E">
            <w:pPr>
              <w:jc w:val="both"/>
              <w:rPr>
                <w:rFonts w:cs="Arial"/>
                <w:b/>
                <w:bCs/>
              </w:rPr>
            </w:pPr>
          </w:p>
        </w:tc>
        <w:tc>
          <w:tcPr>
            <w:tcW w:w="217" w:type="dxa"/>
          </w:tcPr>
          <w:p w14:paraId="06AB9F03" w14:textId="77777777" w:rsidR="002C0FD9" w:rsidRPr="00A16219" w:rsidRDefault="002C0FD9" w:rsidP="00437D0E">
            <w:pPr>
              <w:jc w:val="both"/>
              <w:rPr>
                <w:rFonts w:cs="Arial"/>
                <w:b/>
                <w:bCs/>
              </w:rPr>
            </w:pPr>
          </w:p>
        </w:tc>
        <w:tc>
          <w:tcPr>
            <w:tcW w:w="217" w:type="dxa"/>
          </w:tcPr>
          <w:p w14:paraId="00FFF7E2" w14:textId="77777777" w:rsidR="002C0FD9" w:rsidRPr="00A16219" w:rsidRDefault="002C0FD9" w:rsidP="00437D0E">
            <w:pPr>
              <w:jc w:val="both"/>
              <w:rPr>
                <w:rFonts w:cs="Arial"/>
                <w:b/>
                <w:bCs/>
              </w:rPr>
            </w:pPr>
          </w:p>
        </w:tc>
        <w:tc>
          <w:tcPr>
            <w:tcW w:w="217" w:type="dxa"/>
          </w:tcPr>
          <w:p w14:paraId="76D54705" w14:textId="77777777" w:rsidR="002C0FD9" w:rsidRPr="00A16219" w:rsidRDefault="002C0FD9" w:rsidP="00437D0E">
            <w:pPr>
              <w:jc w:val="both"/>
              <w:rPr>
                <w:rFonts w:cs="Arial"/>
                <w:b/>
                <w:bCs/>
              </w:rPr>
            </w:pPr>
          </w:p>
        </w:tc>
        <w:tc>
          <w:tcPr>
            <w:tcW w:w="217" w:type="dxa"/>
          </w:tcPr>
          <w:p w14:paraId="6F128906" w14:textId="77777777" w:rsidR="002C0FD9" w:rsidRPr="00A16219" w:rsidRDefault="002C0FD9" w:rsidP="00437D0E">
            <w:pPr>
              <w:jc w:val="both"/>
              <w:rPr>
                <w:rFonts w:cs="Arial"/>
                <w:b/>
                <w:bCs/>
              </w:rPr>
            </w:pPr>
          </w:p>
        </w:tc>
        <w:tc>
          <w:tcPr>
            <w:tcW w:w="217" w:type="dxa"/>
          </w:tcPr>
          <w:p w14:paraId="351F9368" w14:textId="77777777" w:rsidR="002C0FD9" w:rsidRPr="00A16219" w:rsidRDefault="002C0FD9" w:rsidP="00437D0E">
            <w:pPr>
              <w:jc w:val="both"/>
              <w:rPr>
                <w:rFonts w:cs="Arial"/>
                <w:b/>
                <w:bCs/>
              </w:rPr>
            </w:pPr>
          </w:p>
        </w:tc>
        <w:tc>
          <w:tcPr>
            <w:tcW w:w="217" w:type="dxa"/>
          </w:tcPr>
          <w:p w14:paraId="1766C9BC" w14:textId="77777777" w:rsidR="002C0FD9" w:rsidRPr="00A16219" w:rsidRDefault="002C0FD9" w:rsidP="00437D0E">
            <w:pPr>
              <w:jc w:val="both"/>
              <w:rPr>
                <w:rFonts w:cs="Arial"/>
                <w:b/>
                <w:bCs/>
              </w:rPr>
            </w:pPr>
          </w:p>
        </w:tc>
        <w:tc>
          <w:tcPr>
            <w:tcW w:w="217" w:type="dxa"/>
          </w:tcPr>
          <w:p w14:paraId="5D55F9AD" w14:textId="77777777" w:rsidR="002C0FD9" w:rsidRPr="00A16219" w:rsidRDefault="002C0FD9" w:rsidP="00437D0E">
            <w:pPr>
              <w:jc w:val="both"/>
              <w:rPr>
                <w:rFonts w:cs="Arial"/>
                <w:b/>
                <w:bCs/>
              </w:rPr>
            </w:pPr>
          </w:p>
        </w:tc>
        <w:tc>
          <w:tcPr>
            <w:tcW w:w="217" w:type="dxa"/>
          </w:tcPr>
          <w:p w14:paraId="46584D85" w14:textId="77777777" w:rsidR="002C0FD9" w:rsidRPr="00A16219" w:rsidRDefault="002C0FD9" w:rsidP="00437D0E">
            <w:pPr>
              <w:jc w:val="both"/>
              <w:rPr>
                <w:rFonts w:cs="Arial"/>
                <w:b/>
                <w:bCs/>
              </w:rPr>
            </w:pPr>
          </w:p>
        </w:tc>
        <w:tc>
          <w:tcPr>
            <w:tcW w:w="217" w:type="dxa"/>
          </w:tcPr>
          <w:p w14:paraId="44A2C1D4" w14:textId="77777777" w:rsidR="002C0FD9" w:rsidRPr="00A16219" w:rsidRDefault="002C0FD9" w:rsidP="00437D0E">
            <w:pPr>
              <w:jc w:val="both"/>
              <w:rPr>
                <w:rFonts w:cs="Arial"/>
                <w:b/>
                <w:bCs/>
              </w:rPr>
            </w:pPr>
          </w:p>
        </w:tc>
        <w:tc>
          <w:tcPr>
            <w:tcW w:w="217" w:type="dxa"/>
          </w:tcPr>
          <w:p w14:paraId="32F2CC0A" w14:textId="77777777" w:rsidR="002C0FD9" w:rsidRPr="00A16219" w:rsidRDefault="002C0FD9" w:rsidP="00437D0E">
            <w:pPr>
              <w:jc w:val="both"/>
              <w:rPr>
                <w:rFonts w:cs="Arial"/>
                <w:b/>
                <w:bCs/>
              </w:rPr>
            </w:pPr>
          </w:p>
        </w:tc>
        <w:tc>
          <w:tcPr>
            <w:tcW w:w="217" w:type="dxa"/>
          </w:tcPr>
          <w:p w14:paraId="278A764C" w14:textId="77777777" w:rsidR="002C0FD9" w:rsidRPr="00A16219" w:rsidRDefault="002C0FD9" w:rsidP="00437D0E">
            <w:pPr>
              <w:jc w:val="both"/>
              <w:rPr>
                <w:rFonts w:cs="Arial"/>
                <w:b/>
                <w:bCs/>
              </w:rPr>
            </w:pPr>
          </w:p>
        </w:tc>
        <w:tc>
          <w:tcPr>
            <w:tcW w:w="217" w:type="dxa"/>
          </w:tcPr>
          <w:p w14:paraId="05E91336" w14:textId="77777777" w:rsidR="002C0FD9" w:rsidRPr="00A16219" w:rsidRDefault="002C0FD9" w:rsidP="00437D0E">
            <w:pPr>
              <w:jc w:val="both"/>
              <w:rPr>
                <w:rFonts w:cs="Arial"/>
                <w:b/>
                <w:bCs/>
              </w:rPr>
            </w:pPr>
          </w:p>
        </w:tc>
        <w:tc>
          <w:tcPr>
            <w:tcW w:w="217" w:type="dxa"/>
          </w:tcPr>
          <w:p w14:paraId="5992AAAC" w14:textId="77777777" w:rsidR="002C0FD9" w:rsidRPr="00A16219" w:rsidRDefault="002C0FD9" w:rsidP="00437D0E">
            <w:pPr>
              <w:jc w:val="both"/>
              <w:rPr>
                <w:rFonts w:cs="Arial"/>
                <w:b/>
                <w:bCs/>
              </w:rPr>
            </w:pPr>
          </w:p>
        </w:tc>
        <w:tc>
          <w:tcPr>
            <w:tcW w:w="217" w:type="dxa"/>
          </w:tcPr>
          <w:p w14:paraId="6AAA8131" w14:textId="77777777" w:rsidR="002C0FD9" w:rsidRPr="00A16219" w:rsidRDefault="002C0FD9" w:rsidP="00437D0E">
            <w:pPr>
              <w:jc w:val="both"/>
              <w:rPr>
                <w:rFonts w:cs="Arial"/>
                <w:b/>
                <w:bCs/>
              </w:rPr>
            </w:pPr>
          </w:p>
        </w:tc>
      </w:tr>
      <w:tr w:rsidR="002C0FD9" w:rsidRPr="00A16219" w14:paraId="63BDFD56" w14:textId="458C12C3" w:rsidTr="002C0FD9">
        <w:tc>
          <w:tcPr>
            <w:tcW w:w="515" w:type="dxa"/>
          </w:tcPr>
          <w:p w14:paraId="217E3505" w14:textId="5D32903C" w:rsidR="002C0FD9" w:rsidRPr="0076219E" w:rsidRDefault="002C0FD9" w:rsidP="00951C55">
            <w:pPr>
              <w:jc w:val="both"/>
              <w:rPr>
                <w:rFonts w:cs="Arial"/>
                <w:color w:val="FF0000"/>
                <w:sz w:val="21"/>
                <w:szCs w:val="21"/>
              </w:rPr>
            </w:pPr>
          </w:p>
          <w:p w14:paraId="50E19B68" w14:textId="0E8C931B" w:rsidR="002C0FD9" w:rsidRDefault="002C0FD9" w:rsidP="00E90423">
            <w:pPr>
              <w:jc w:val="both"/>
              <w:rPr>
                <w:rFonts w:cs="Arial"/>
                <w:color w:val="FF0000"/>
                <w:sz w:val="21"/>
                <w:szCs w:val="21"/>
              </w:rPr>
            </w:pPr>
          </w:p>
          <w:p w14:paraId="4E7858AB" w14:textId="32764A3E" w:rsidR="002C0FD9" w:rsidRPr="00FB5942" w:rsidRDefault="002C0FD9" w:rsidP="00FB5942">
            <w:pPr>
              <w:rPr>
                <w:rFonts w:cs="Arial"/>
                <w:color w:val="FF0000"/>
                <w:sz w:val="21"/>
                <w:szCs w:val="21"/>
              </w:rPr>
            </w:pPr>
            <w:r>
              <w:rPr>
                <w:rFonts w:cs="Arial"/>
                <w:color w:val="FF0000"/>
                <w:sz w:val="21"/>
                <w:szCs w:val="21"/>
              </w:rPr>
              <w:t xml:space="preserve">Model. when I </w:t>
            </w:r>
            <w:r w:rsidRPr="00FB5942">
              <w:rPr>
                <w:rFonts w:cs="Arial"/>
                <w:color w:val="FF0000"/>
                <w:sz w:val="21"/>
                <w:szCs w:val="21"/>
              </w:rPr>
              <w:t xml:space="preserve">examine my learning experience in Module 1 via the lens of Kolb's model, I see the unrealised potential for a deeper understanding of the material. I hope to create a more intricate reflection that may reveal underlying themes and related ideas by actively immersing myself in tangible experiences like readings and lectures. The synthesis of information may inspire new thoughts and viewpoints via the lens of abstract conceptualisation, expanding my toolkit for learning. The practical application of these recently discovered insights may then, by means of active experimentation, catalyse transformative learning outcomes, which will advance me toward academic excellence. transformative learning results that are pushing me to When I examine my learning experience in Module 1 via the lens of Kola’s model, I see the unrealised potential for a deeper understanding of the material. I hope to create a more intricate reflection that may reveal underlying themes and related ideas by actively immersing myself in tangible experiences like readings and lectures. The synthesis of information may inspire new thoughts and viewpoints via the lens of abstract conceptualisation, expanding my toolkit for learning. The practical application of these recently discovered insights may then, by means of active experimentation, catalyse transformative learning outcomes, which will advance me toward academic excellence. transformative learning results that are pushing me to When I examine my learning experience in Module 1 via the lens of Kola’s model, I see the unrealised potential for a deeper understanding of the material. I hope to create a more intricate reflection that may reveal underlying themes and related ideas by actively immersing myself in tangible experiences like readings and lectures. The synthesis of information may inspire new thoughts and viewpoints via the lens of abstract conceptualisation, expanding my toolkit for learning. The practical application of these recently discovered insights may then, by means of active experimentation, catalyse transformative learning outcomes, which will advance me toward academic excellence. transformative learning results that are pushing me to achieve academic success. </w:t>
            </w:r>
          </w:p>
          <w:p w14:paraId="79EE8151" w14:textId="249FDFB9" w:rsidR="002C0FD9" w:rsidRPr="00FB5942" w:rsidRDefault="002C0FD9" w:rsidP="00FB5942">
            <w:pPr>
              <w:rPr>
                <w:rFonts w:cs="Arial"/>
                <w:color w:val="FF0000"/>
                <w:sz w:val="21"/>
                <w:szCs w:val="21"/>
              </w:rPr>
            </w:pPr>
            <w:r>
              <w:rPr>
                <w:rFonts w:cs="Arial"/>
                <w:color w:val="FF0000"/>
                <w:sz w:val="21"/>
                <w:szCs w:val="21"/>
              </w:rPr>
              <w:t xml:space="preserve"> </w:t>
            </w:r>
          </w:p>
          <w:p w14:paraId="2C0B1FC4" w14:textId="4FBB217B" w:rsidR="002C0FD9" w:rsidRPr="0076219E" w:rsidRDefault="002C0FD9" w:rsidP="00E90423">
            <w:pPr>
              <w:jc w:val="both"/>
              <w:rPr>
                <w:rFonts w:cs="Arial"/>
                <w:color w:val="FF0000"/>
                <w:sz w:val="21"/>
                <w:szCs w:val="21"/>
              </w:rPr>
            </w:pPr>
            <w:r w:rsidRPr="00FB5942">
              <w:rPr>
                <w:rFonts w:cs="Arial"/>
                <w:color w:val="FF0000"/>
                <w:sz w:val="21"/>
                <w:szCs w:val="21"/>
              </w:rPr>
              <w:t>On the other hand, adopting Gibbs' reflective cycle within Module-1 would encourage a thorough examination of the educational environment. Every stage of the cycle, from eloquently summarising the educational encounters to revealing the complex emotional web entwined with these experiences, would function as a springboard for more in-depth reflection and practical insights. Together, assessing the effectiveness of these learning initiatives, analysing their effects critically, deriving insightful conclusions, and creating a calculated action plan for upcoming modules would open the door to a more targeted and intentional academic journey.</w:t>
            </w:r>
          </w:p>
          <w:p w14:paraId="7A13C6C9" w14:textId="77777777" w:rsidR="002C0FD9" w:rsidRPr="00A16219" w:rsidRDefault="002C0FD9" w:rsidP="00E90423">
            <w:pPr>
              <w:jc w:val="both"/>
              <w:rPr>
                <w:rFonts w:cs="Arial"/>
                <w:sz w:val="22"/>
                <w:szCs w:val="22"/>
              </w:rPr>
            </w:pPr>
          </w:p>
        </w:tc>
        <w:tc>
          <w:tcPr>
            <w:tcW w:w="217" w:type="dxa"/>
          </w:tcPr>
          <w:p w14:paraId="257963BD" w14:textId="77777777" w:rsidR="002C0FD9" w:rsidRPr="0076219E" w:rsidRDefault="002C0FD9" w:rsidP="00951C55">
            <w:pPr>
              <w:jc w:val="both"/>
              <w:rPr>
                <w:rFonts w:cs="Arial"/>
                <w:color w:val="FF0000"/>
                <w:sz w:val="21"/>
                <w:szCs w:val="21"/>
              </w:rPr>
            </w:pPr>
          </w:p>
        </w:tc>
        <w:tc>
          <w:tcPr>
            <w:tcW w:w="217" w:type="dxa"/>
          </w:tcPr>
          <w:p w14:paraId="6D24E2DD" w14:textId="73E14DFA" w:rsidR="002C0FD9" w:rsidRPr="0076219E" w:rsidRDefault="002C0FD9" w:rsidP="00951C55">
            <w:pPr>
              <w:jc w:val="both"/>
              <w:rPr>
                <w:rFonts w:cs="Arial"/>
                <w:color w:val="FF0000"/>
                <w:sz w:val="21"/>
                <w:szCs w:val="21"/>
              </w:rPr>
            </w:pPr>
          </w:p>
        </w:tc>
        <w:tc>
          <w:tcPr>
            <w:tcW w:w="217" w:type="dxa"/>
          </w:tcPr>
          <w:p w14:paraId="548054EB" w14:textId="77777777" w:rsidR="002C0FD9" w:rsidRPr="0076219E" w:rsidRDefault="002C0FD9" w:rsidP="00951C55">
            <w:pPr>
              <w:jc w:val="both"/>
              <w:rPr>
                <w:rFonts w:cs="Arial"/>
                <w:color w:val="FF0000"/>
                <w:sz w:val="21"/>
                <w:szCs w:val="21"/>
              </w:rPr>
            </w:pPr>
          </w:p>
        </w:tc>
        <w:tc>
          <w:tcPr>
            <w:tcW w:w="217" w:type="dxa"/>
          </w:tcPr>
          <w:p w14:paraId="4A09CE3A" w14:textId="54FBA1F0" w:rsidR="002C0FD9" w:rsidRPr="0076219E" w:rsidRDefault="002C0FD9" w:rsidP="00951C55">
            <w:pPr>
              <w:jc w:val="both"/>
              <w:rPr>
                <w:rFonts w:cs="Arial"/>
                <w:color w:val="FF0000"/>
                <w:sz w:val="21"/>
                <w:szCs w:val="21"/>
              </w:rPr>
            </w:pPr>
          </w:p>
        </w:tc>
        <w:tc>
          <w:tcPr>
            <w:tcW w:w="217" w:type="dxa"/>
          </w:tcPr>
          <w:p w14:paraId="75397596" w14:textId="77777777" w:rsidR="002C0FD9" w:rsidRPr="0076219E" w:rsidRDefault="002C0FD9" w:rsidP="00951C55">
            <w:pPr>
              <w:jc w:val="both"/>
              <w:rPr>
                <w:rFonts w:cs="Arial"/>
                <w:color w:val="FF0000"/>
                <w:sz w:val="21"/>
                <w:szCs w:val="21"/>
              </w:rPr>
            </w:pPr>
          </w:p>
        </w:tc>
        <w:tc>
          <w:tcPr>
            <w:tcW w:w="217" w:type="dxa"/>
          </w:tcPr>
          <w:p w14:paraId="05816632" w14:textId="1D25B126" w:rsidR="002C0FD9" w:rsidRPr="0076219E" w:rsidRDefault="002C0FD9" w:rsidP="00951C55">
            <w:pPr>
              <w:jc w:val="both"/>
              <w:rPr>
                <w:rFonts w:cs="Arial"/>
                <w:color w:val="FF0000"/>
                <w:sz w:val="21"/>
                <w:szCs w:val="21"/>
              </w:rPr>
            </w:pPr>
          </w:p>
        </w:tc>
        <w:tc>
          <w:tcPr>
            <w:tcW w:w="217" w:type="dxa"/>
          </w:tcPr>
          <w:p w14:paraId="503A38E5" w14:textId="77777777" w:rsidR="002C0FD9" w:rsidRPr="0076219E" w:rsidRDefault="002C0FD9" w:rsidP="00951C55">
            <w:pPr>
              <w:jc w:val="both"/>
              <w:rPr>
                <w:rFonts w:cs="Arial"/>
                <w:color w:val="FF0000"/>
                <w:sz w:val="21"/>
                <w:szCs w:val="21"/>
              </w:rPr>
            </w:pPr>
          </w:p>
        </w:tc>
        <w:tc>
          <w:tcPr>
            <w:tcW w:w="217" w:type="dxa"/>
          </w:tcPr>
          <w:p w14:paraId="0ECE2067" w14:textId="77777777" w:rsidR="002C0FD9" w:rsidRPr="0076219E" w:rsidRDefault="002C0FD9" w:rsidP="00951C55">
            <w:pPr>
              <w:jc w:val="both"/>
              <w:rPr>
                <w:rFonts w:cs="Arial"/>
                <w:color w:val="FF0000"/>
                <w:sz w:val="21"/>
                <w:szCs w:val="21"/>
              </w:rPr>
            </w:pPr>
          </w:p>
        </w:tc>
        <w:tc>
          <w:tcPr>
            <w:tcW w:w="217" w:type="dxa"/>
          </w:tcPr>
          <w:p w14:paraId="14BDC9CA" w14:textId="77777777" w:rsidR="002C0FD9" w:rsidRPr="0076219E" w:rsidRDefault="002C0FD9" w:rsidP="00951C55">
            <w:pPr>
              <w:jc w:val="both"/>
              <w:rPr>
                <w:rFonts w:cs="Arial"/>
                <w:color w:val="FF0000"/>
                <w:sz w:val="21"/>
                <w:szCs w:val="21"/>
              </w:rPr>
            </w:pPr>
          </w:p>
        </w:tc>
        <w:tc>
          <w:tcPr>
            <w:tcW w:w="217" w:type="dxa"/>
          </w:tcPr>
          <w:p w14:paraId="4FF310F7" w14:textId="77777777" w:rsidR="002C0FD9" w:rsidRPr="0076219E" w:rsidRDefault="002C0FD9" w:rsidP="00951C55">
            <w:pPr>
              <w:jc w:val="both"/>
              <w:rPr>
                <w:rFonts w:cs="Arial"/>
                <w:color w:val="FF0000"/>
                <w:sz w:val="21"/>
                <w:szCs w:val="21"/>
              </w:rPr>
            </w:pPr>
          </w:p>
        </w:tc>
        <w:tc>
          <w:tcPr>
            <w:tcW w:w="217" w:type="dxa"/>
          </w:tcPr>
          <w:p w14:paraId="3ADEB19E" w14:textId="77777777" w:rsidR="002C0FD9" w:rsidRPr="0076219E" w:rsidRDefault="002C0FD9" w:rsidP="00951C55">
            <w:pPr>
              <w:jc w:val="both"/>
              <w:rPr>
                <w:rFonts w:cs="Arial"/>
                <w:color w:val="FF0000"/>
                <w:sz w:val="21"/>
                <w:szCs w:val="21"/>
              </w:rPr>
            </w:pPr>
          </w:p>
        </w:tc>
        <w:tc>
          <w:tcPr>
            <w:tcW w:w="217" w:type="dxa"/>
          </w:tcPr>
          <w:p w14:paraId="0C50C4BB" w14:textId="77777777" w:rsidR="002C0FD9" w:rsidRPr="0076219E" w:rsidRDefault="002C0FD9" w:rsidP="00951C55">
            <w:pPr>
              <w:jc w:val="both"/>
              <w:rPr>
                <w:rFonts w:cs="Arial"/>
                <w:color w:val="FF0000"/>
                <w:sz w:val="21"/>
                <w:szCs w:val="21"/>
              </w:rPr>
            </w:pPr>
          </w:p>
        </w:tc>
        <w:tc>
          <w:tcPr>
            <w:tcW w:w="217" w:type="dxa"/>
          </w:tcPr>
          <w:p w14:paraId="1197F49B" w14:textId="77777777" w:rsidR="002C0FD9" w:rsidRPr="0076219E" w:rsidRDefault="002C0FD9" w:rsidP="00951C55">
            <w:pPr>
              <w:jc w:val="both"/>
              <w:rPr>
                <w:rFonts w:cs="Arial"/>
                <w:color w:val="FF0000"/>
                <w:sz w:val="21"/>
                <w:szCs w:val="21"/>
              </w:rPr>
            </w:pPr>
          </w:p>
        </w:tc>
        <w:tc>
          <w:tcPr>
            <w:tcW w:w="217" w:type="dxa"/>
          </w:tcPr>
          <w:p w14:paraId="0D8F9A68" w14:textId="77777777" w:rsidR="002C0FD9" w:rsidRPr="0076219E" w:rsidRDefault="002C0FD9" w:rsidP="00951C55">
            <w:pPr>
              <w:jc w:val="both"/>
              <w:rPr>
                <w:rFonts w:cs="Arial"/>
                <w:color w:val="FF0000"/>
                <w:sz w:val="21"/>
                <w:szCs w:val="21"/>
              </w:rPr>
            </w:pPr>
          </w:p>
        </w:tc>
        <w:tc>
          <w:tcPr>
            <w:tcW w:w="217" w:type="dxa"/>
          </w:tcPr>
          <w:p w14:paraId="4B3D82A3" w14:textId="7B55348E" w:rsidR="002C0FD9" w:rsidRPr="0076219E" w:rsidRDefault="002C0FD9" w:rsidP="00951C55">
            <w:pPr>
              <w:jc w:val="both"/>
              <w:rPr>
                <w:rFonts w:cs="Arial"/>
                <w:color w:val="FF0000"/>
                <w:sz w:val="21"/>
                <w:szCs w:val="21"/>
              </w:rPr>
            </w:pPr>
          </w:p>
        </w:tc>
        <w:tc>
          <w:tcPr>
            <w:tcW w:w="217" w:type="dxa"/>
          </w:tcPr>
          <w:p w14:paraId="11C9973C" w14:textId="77777777" w:rsidR="002C0FD9" w:rsidRPr="0076219E" w:rsidRDefault="002C0FD9" w:rsidP="00951C55">
            <w:pPr>
              <w:jc w:val="both"/>
              <w:rPr>
                <w:rFonts w:cs="Arial"/>
                <w:color w:val="FF0000"/>
                <w:sz w:val="21"/>
                <w:szCs w:val="21"/>
              </w:rPr>
            </w:pPr>
          </w:p>
        </w:tc>
        <w:tc>
          <w:tcPr>
            <w:tcW w:w="217" w:type="dxa"/>
          </w:tcPr>
          <w:p w14:paraId="7DBBA179" w14:textId="77777777" w:rsidR="002C0FD9" w:rsidRPr="0076219E" w:rsidRDefault="002C0FD9" w:rsidP="00951C55">
            <w:pPr>
              <w:jc w:val="both"/>
              <w:rPr>
                <w:rFonts w:cs="Arial"/>
                <w:color w:val="FF0000"/>
                <w:sz w:val="21"/>
                <w:szCs w:val="21"/>
              </w:rPr>
            </w:pPr>
          </w:p>
        </w:tc>
        <w:tc>
          <w:tcPr>
            <w:tcW w:w="217" w:type="dxa"/>
          </w:tcPr>
          <w:p w14:paraId="222EA681" w14:textId="77777777" w:rsidR="002C0FD9" w:rsidRPr="0076219E" w:rsidRDefault="002C0FD9" w:rsidP="00951C55">
            <w:pPr>
              <w:jc w:val="both"/>
              <w:rPr>
                <w:rFonts w:cs="Arial"/>
                <w:color w:val="FF0000"/>
                <w:sz w:val="21"/>
                <w:szCs w:val="21"/>
              </w:rPr>
            </w:pPr>
          </w:p>
        </w:tc>
        <w:tc>
          <w:tcPr>
            <w:tcW w:w="217" w:type="dxa"/>
          </w:tcPr>
          <w:p w14:paraId="72B66CF7" w14:textId="77777777" w:rsidR="002C0FD9" w:rsidRPr="0076219E" w:rsidRDefault="002C0FD9" w:rsidP="00951C55">
            <w:pPr>
              <w:jc w:val="both"/>
              <w:rPr>
                <w:rFonts w:cs="Arial"/>
                <w:color w:val="FF0000"/>
                <w:sz w:val="21"/>
                <w:szCs w:val="21"/>
              </w:rPr>
            </w:pPr>
          </w:p>
        </w:tc>
        <w:tc>
          <w:tcPr>
            <w:tcW w:w="217" w:type="dxa"/>
          </w:tcPr>
          <w:p w14:paraId="5B7F3238" w14:textId="77777777" w:rsidR="002C0FD9" w:rsidRPr="0076219E" w:rsidRDefault="002C0FD9" w:rsidP="00951C55">
            <w:pPr>
              <w:jc w:val="both"/>
              <w:rPr>
                <w:rFonts w:cs="Arial"/>
                <w:color w:val="FF0000"/>
                <w:sz w:val="21"/>
                <w:szCs w:val="21"/>
              </w:rPr>
            </w:pPr>
          </w:p>
        </w:tc>
        <w:tc>
          <w:tcPr>
            <w:tcW w:w="217" w:type="dxa"/>
          </w:tcPr>
          <w:p w14:paraId="39B67D2A" w14:textId="77777777" w:rsidR="002C0FD9" w:rsidRPr="0076219E" w:rsidRDefault="002C0FD9" w:rsidP="00951C55">
            <w:pPr>
              <w:jc w:val="both"/>
              <w:rPr>
                <w:rFonts w:cs="Arial"/>
                <w:color w:val="FF0000"/>
                <w:sz w:val="21"/>
                <w:szCs w:val="21"/>
              </w:rPr>
            </w:pPr>
          </w:p>
        </w:tc>
        <w:tc>
          <w:tcPr>
            <w:tcW w:w="217" w:type="dxa"/>
          </w:tcPr>
          <w:p w14:paraId="29B8957D" w14:textId="77777777" w:rsidR="002C0FD9" w:rsidRPr="0076219E" w:rsidRDefault="002C0FD9" w:rsidP="00951C55">
            <w:pPr>
              <w:jc w:val="both"/>
              <w:rPr>
                <w:rFonts w:cs="Arial"/>
                <w:color w:val="FF0000"/>
                <w:sz w:val="21"/>
                <w:szCs w:val="21"/>
              </w:rPr>
            </w:pPr>
          </w:p>
        </w:tc>
        <w:tc>
          <w:tcPr>
            <w:tcW w:w="217" w:type="dxa"/>
          </w:tcPr>
          <w:p w14:paraId="294B9D4D" w14:textId="77777777" w:rsidR="002C0FD9" w:rsidRPr="0076219E" w:rsidRDefault="002C0FD9" w:rsidP="00951C55">
            <w:pPr>
              <w:jc w:val="both"/>
              <w:rPr>
                <w:rFonts w:cs="Arial"/>
                <w:color w:val="FF0000"/>
                <w:sz w:val="21"/>
                <w:szCs w:val="21"/>
              </w:rPr>
            </w:pPr>
          </w:p>
        </w:tc>
        <w:tc>
          <w:tcPr>
            <w:tcW w:w="217" w:type="dxa"/>
          </w:tcPr>
          <w:p w14:paraId="54DE51FD" w14:textId="77777777" w:rsidR="002C0FD9" w:rsidRPr="0076219E" w:rsidRDefault="002C0FD9" w:rsidP="00951C55">
            <w:pPr>
              <w:jc w:val="both"/>
              <w:rPr>
                <w:rFonts w:cs="Arial"/>
                <w:color w:val="FF0000"/>
                <w:sz w:val="21"/>
                <w:szCs w:val="21"/>
              </w:rPr>
            </w:pPr>
          </w:p>
        </w:tc>
        <w:tc>
          <w:tcPr>
            <w:tcW w:w="217" w:type="dxa"/>
          </w:tcPr>
          <w:p w14:paraId="6FFC2788" w14:textId="77777777" w:rsidR="002C0FD9" w:rsidRPr="0076219E" w:rsidRDefault="002C0FD9" w:rsidP="00951C55">
            <w:pPr>
              <w:jc w:val="both"/>
              <w:rPr>
                <w:rFonts w:cs="Arial"/>
                <w:color w:val="FF0000"/>
                <w:sz w:val="21"/>
                <w:szCs w:val="21"/>
              </w:rPr>
            </w:pPr>
          </w:p>
        </w:tc>
        <w:tc>
          <w:tcPr>
            <w:tcW w:w="217" w:type="dxa"/>
          </w:tcPr>
          <w:p w14:paraId="37857754" w14:textId="77777777" w:rsidR="002C0FD9" w:rsidRPr="0076219E" w:rsidRDefault="002C0FD9" w:rsidP="00951C55">
            <w:pPr>
              <w:jc w:val="both"/>
              <w:rPr>
                <w:rFonts w:cs="Arial"/>
                <w:color w:val="FF0000"/>
                <w:sz w:val="21"/>
                <w:szCs w:val="21"/>
              </w:rPr>
            </w:pPr>
          </w:p>
        </w:tc>
        <w:tc>
          <w:tcPr>
            <w:tcW w:w="217" w:type="dxa"/>
          </w:tcPr>
          <w:p w14:paraId="163FB326" w14:textId="77777777" w:rsidR="002C0FD9" w:rsidRPr="0076219E" w:rsidRDefault="002C0FD9" w:rsidP="00951C55">
            <w:pPr>
              <w:jc w:val="both"/>
              <w:rPr>
                <w:rFonts w:cs="Arial"/>
                <w:color w:val="FF0000"/>
                <w:sz w:val="21"/>
                <w:szCs w:val="21"/>
              </w:rPr>
            </w:pPr>
          </w:p>
        </w:tc>
        <w:tc>
          <w:tcPr>
            <w:tcW w:w="217" w:type="dxa"/>
          </w:tcPr>
          <w:p w14:paraId="24C88648" w14:textId="77777777" w:rsidR="002C0FD9" w:rsidRPr="0076219E" w:rsidRDefault="002C0FD9" w:rsidP="00951C55">
            <w:pPr>
              <w:jc w:val="both"/>
              <w:rPr>
                <w:rFonts w:cs="Arial"/>
                <w:color w:val="FF0000"/>
                <w:sz w:val="21"/>
                <w:szCs w:val="21"/>
              </w:rPr>
            </w:pPr>
          </w:p>
        </w:tc>
        <w:tc>
          <w:tcPr>
            <w:tcW w:w="217" w:type="dxa"/>
          </w:tcPr>
          <w:p w14:paraId="3BD44AF4" w14:textId="77777777" w:rsidR="002C0FD9" w:rsidRPr="0076219E" w:rsidRDefault="002C0FD9" w:rsidP="00951C55">
            <w:pPr>
              <w:jc w:val="both"/>
              <w:rPr>
                <w:rFonts w:cs="Arial"/>
                <w:color w:val="FF0000"/>
                <w:sz w:val="21"/>
                <w:szCs w:val="21"/>
              </w:rPr>
            </w:pPr>
          </w:p>
        </w:tc>
        <w:tc>
          <w:tcPr>
            <w:tcW w:w="217" w:type="dxa"/>
          </w:tcPr>
          <w:p w14:paraId="5A4C4177" w14:textId="77777777" w:rsidR="002C0FD9" w:rsidRPr="0076219E" w:rsidRDefault="002C0FD9" w:rsidP="00951C55">
            <w:pPr>
              <w:jc w:val="both"/>
              <w:rPr>
                <w:rFonts w:cs="Arial"/>
                <w:color w:val="FF0000"/>
                <w:sz w:val="21"/>
                <w:szCs w:val="21"/>
              </w:rPr>
            </w:pPr>
          </w:p>
        </w:tc>
        <w:tc>
          <w:tcPr>
            <w:tcW w:w="217" w:type="dxa"/>
          </w:tcPr>
          <w:p w14:paraId="3A784F5E" w14:textId="77777777" w:rsidR="002C0FD9" w:rsidRPr="0076219E" w:rsidRDefault="002C0FD9" w:rsidP="00951C55">
            <w:pPr>
              <w:jc w:val="both"/>
              <w:rPr>
                <w:rFonts w:cs="Arial"/>
                <w:color w:val="FF0000"/>
                <w:sz w:val="21"/>
                <w:szCs w:val="21"/>
              </w:rPr>
            </w:pPr>
          </w:p>
        </w:tc>
        <w:tc>
          <w:tcPr>
            <w:tcW w:w="217" w:type="dxa"/>
          </w:tcPr>
          <w:p w14:paraId="34899A86" w14:textId="77777777" w:rsidR="002C0FD9" w:rsidRPr="0076219E" w:rsidRDefault="002C0FD9" w:rsidP="00951C55">
            <w:pPr>
              <w:jc w:val="both"/>
              <w:rPr>
                <w:rFonts w:cs="Arial"/>
                <w:color w:val="FF0000"/>
                <w:sz w:val="21"/>
                <w:szCs w:val="21"/>
              </w:rPr>
            </w:pPr>
          </w:p>
        </w:tc>
        <w:tc>
          <w:tcPr>
            <w:tcW w:w="217" w:type="dxa"/>
          </w:tcPr>
          <w:p w14:paraId="1DF9C433" w14:textId="77777777" w:rsidR="002C0FD9" w:rsidRPr="0076219E" w:rsidRDefault="002C0FD9" w:rsidP="00951C55">
            <w:pPr>
              <w:jc w:val="both"/>
              <w:rPr>
                <w:rFonts w:cs="Arial"/>
                <w:color w:val="FF0000"/>
                <w:sz w:val="21"/>
                <w:szCs w:val="21"/>
              </w:rPr>
            </w:pPr>
          </w:p>
        </w:tc>
        <w:tc>
          <w:tcPr>
            <w:tcW w:w="217" w:type="dxa"/>
          </w:tcPr>
          <w:p w14:paraId="11E890E0" w14:textId="77777777" w:rsidR="002C0FD9" w:rsidRPr="0076219E" w:rsidRDefault="002C0FD9" w:rsidP="00951C55">
            <w:pPr>
              <w:jc w:val="both"/>
              <w:rPr>
                <w:rFonts w:cs="Arial"/>
                <w:color w:val="FF0000"/>
                <w:sz w:val="21"/>
                <w:szCs w:val="21"/>
              </w:rPr>
            </w:pPr>
          </w:p>
        </w:tc>
        <w:tc>
          <w:tcPr>
            <w:tcW w:w="217" w:type="dxa"/>
          </w:tcPr>
          <w:p w14:paraId="220AABA2" w14:textId="77777777" w:rsidR="002C0FD9" w:rsidRPr="0076219E" w:rsidRDefault="002C0FD9" w:rsidP="00951C55">
            <w:pPr>
              <w:jc w:val="both"/>
              <w:rPr>
                <w:rFonts w:cs="Arial"/>
                <w:color w:val="FF0000"/>
                <w:sz w:val="21"/>
                <w:szCs w:val="21"/>
              </w:rPr>
            </w:pPr>
          </w:p>
        </w:tc>
        <w:tc>
          <w:tcPr>
            <w:tcW w:w="217" w:type="dxa"/>
          </w:tcPr>
          <w:p w14:paraId="0E67198E" w14:textId="77777777" w:rsidR="002C0FD9" w:rsidRPr="0076219E" w:rsidRDefault="002C0FD9" w:rsidP="00951C55">
            <w:pPr>
              <w:jc w:val="both"/>
              <w:rPr>
                <w:rFonts w:cs="Arial"/>
                <w:color w:val="FF0000"/>
                <w:sz w:val="21"/>
                <w:szCs w:val="21"/>
              </w:rPr>
            </w:pPr>
          </w:p>
        </w:tc>
        <w:tc>
          <w:tcPr>
            <w:tcW w:w="217" w:type="dxa"/>
          </w:tcPr>
          <w:p w14:paraId="244C1CCD" w14:textId="77777777" w:rsidR="002C0FD9" w:rsidRPr="0076219E" w:rsidRDefault="002C0FD9" w:rsidP="00951C55">
            <w:pPr>
              <w:jc w:val="both"/>
              <w:rPr>
                <w:rFonts w:cs="Arial"/>
                <w:color w:val="FF0000"/>
                <w:sz w:val="21"/>
                <w:szCs w:val="21"/>
              </w:rPr>
            </w:pPr>
          </w:p>
        </w:tc>
        <w:tc>
          <w:tcPr>
            <w:tcW w:w="217" w:type="dxa"/>
          </w:tcPr>
          <w:p w14:paraId="16F9B180" w14:textId="77777777" w:rsidR="002C0FD9" w:rsidRPr="0076219E" w:rsidRDefault="002C0FD9" w:rsidP="00951C55">
            <w:pPr>
              <w:jc w:val="both"/>
              <w:rPr>
                <w:rFonts w:cs="Arial"/>
                <w:color w:val="FF0000"/>
                <w:sz w:val="21"/>
                <w:szCs w:val="21"/>
              </w:rPr>
            </w:pPr>
          </w:p>
        </w:tc>
        <w:tc>
          <w:tcPr>
            <w:tcW w:w="217" w:type="dxa"/>
          </w:tcPr>
          <w:p w14:paraId="041B4ADA" w14:textId="77777777" w:rsidR="002C0FD9" w:rsidRPr="0076219E" w:rsidRDefault="002C0FD9" w:rsidP="00951C55">
            <w:pPr>
              <w:jc w:val="both"/>
              <w:rPr>
                <w:rFonts w:cs="Arial"/>
                <w:color w:val="FF0000"/>
                <w:sz w:val="21"/>
                <w:szCs w:val="21"/>
              </w:rPr>
            </w:pPr>
          </w:p>
        </w:tc>
        <w:tc>
          <w:tcPr>
            <w:tcW w:w="217" w:type="dxa"/>
          </w:tcPr>
          <w:p w14:paraId="26134E63" w14:textId="77777777" w:rsidR="002C0FD9" w:rsidRPr="0076219E" w:rsidRDefault="002C0FD9" w:rsidP="00951C55">
            <w:pPr>
              <w:jc w:val="both"/>
              <w:rPr>
                <w:rFonts w:cs="Arial"/>
                <w:color w:val="FF0000"/>
                <w:sz w:val="21"/>
                <w:szCs w:val="21"/>
              </w:rPr>
            </w:pPr>
          </w:p>
        </w:tc>
        <w:tc>
          <w:tcPr>
            <w:tcW w:w="217" w:type="dxa"/>
          </w:tcPr>
          <w:p w14:paraId="4DB2E07D" w14:textId="77777777" w:rsidR="002C0FD9" w:rsidRPr="0076219E" w:rsidRDefault="002C0FD9" w:rsidP="00951C55">
            <w:pPr>
              <w:jc w:val="both"/>
              <w:rPr>
                <w:rFonts w:cs="Arial"/>
                <w:color w:val="FF0000"/>
                <w:sz w:val="21"/>
                <w:szCs w:val="21"/>
              </w:rPr>
            </w:pPr>
          </w:p>
        </w:tc>
        <w:tc>
          <w:tcPr>
            <w:tcW w:w="217" w:type="dxa"/>
          </w:tcPr>
          <w:p w14:paraId="625B01E9" w14:textId="77777777" w:rsidR="002C0FD9" w:rsidRPr="0076219E" w:rsidRDefault="002C0FD9" w:rsidP="00951C55">
            <w:pPr>
              <w:jc w:val="both"/>
              <w:rPr>
                <w:rFonts w:cs="Arial"/>
                <w:color w:val="FF0000"/>
                <w:sz w:val="21"/>
                <w:szCs w:val="21"/>
              </w:rPr>
            </w:pPr>
          </w:p>
        </w:tc>
      </w:tr>
      <w:tr w:rsidR="002C0FD9" w:rsidRPr="00A16219" w14:paraId="2788FF36" w14:textId="22AEF81F" w:rsidTr="002C0FD9">
        <w:tc>
          <w:tcPr>
            <w:tcW w:w="515" w:type="dxa"/>
          </w:tcPr>
          <w:p w14:paraId="0AACB0E0" w14:textId="0517C4F7" w:rsidR="002C0FD9" w:rsidRPr="00A16219" w:rsidRDefault="002C0FD9" w:rsidP="00437D0E">
            <w:pPr>
              <w:jc w:val="both"/>
              <w:rPr>
                <w:rFonts w:cs="Arial"/>
                <w:b/>
                <w:bCs/>
                <w:sz w:val="22"/>
                <w:szCs w:val="22"/>
              </w:rPr>
            </w:pPr>
            <w:r w:rsidRPr="00A16219">
              <w:rPr>
                <w:rFonts w:cs="Arial"/>
                <w:b/>
                <w:bCs/>
                <w:sz w:val="22"/>
                <w:szCs w:val="22"/>
              </w:rPr>
              <w:t xml:space="preserve">iii. Using reflective approach to feedback and feed-forward to inform and improve future formative and summative assessments. </w:t>
            </w:r>
          </w:p>
          <w:p w14:paraId="28EF89E1" w14:textId="53638605" w:rsidR="002C0FD9" w:rsidRDefault="002C0FD9" w:rsidP="00E90423">
            <w:pPr>
              <w:jc w:val="both"/>
              <w:rPr>
                <w:rFonts w:cs="Arial"/>
                <w:i/>
                <w:iCs/>
                <w:color w:val="FF0000"/>
                <w:sz w:val="21"/>
                <w:szCs w:val="21"/>
              </w:rPr>
            </w:pPr>
          </w:p>
          <w:p w14:paraId="0847049F" w14:textId="41CE7872" w:rsidR="002C0FD9" w:rsidRPr="0076219E" w:rsidRDefault="002C0FD9" w:rsidP="00E90423">
            <w:pPr>
              <w:jc w:val="both"/>
              <w:rPr>
                <w:rFonts w:cs="Arial"/>
                <w:i/>
                <w:iCs/>
                <w:color w:val="FF0000"/>
                <w:sz w:val="21"/>
                <w:szCs w:val="21"/>
              </w:rPr>
            </w:pPr>
          </w:p>
        </w:tc>
        <w:tc>
          <w:tcPr>
            <w:tcW w:w="217" w:type="dxa"/>
          </w:tcPr>
          <w:p w14:paraId="6C8D855B" w14:textId="77777777" w:rsidR="002C0FD9" w:rsidRPr="00A16219" w:rsidRDefault="002C0FD9" w:rsidP="00437D0E">
            <w:pPr>
              <w:jc w:val="both"/>
              <w:rPr>
                <w:rFonts w:cs="Arial"/>
                <w:b/>
                <w:bCs/>
              </w:rPr>
            </w:pPr>
          </w:p>
        </w:tc>
        <w:tc>
          <w:tcPr>
            <w:tcW w:w="217" w:type="dxa"/>
          </w:tcPr>
          <w:p w14:paraId="63D4BC53" w14:textId="5F66245A" w:rsidR="002C0FD9" w:rsidRPr="00A16219" w:rsidRDefault="002C0FD9" w:rsidP="00437D0E">
            <w:pPr>
              <w:jc w:val="both"/>
              <w:rPr>
                <w:rFonts w:cs="Arial"/>
                <w:b/>
                <w:bCs/>
              </w:rPr>
            </w:pPr>
          </w:p>
        </w:tc>
        <w:tc>
          <w:tcPr>
            <w:tcW w:w="217" w:type="dxa"/>
          </w:tcPr>
          <w:p w14:paraId="0AA6395D" w14:textId="77777777" w:rsidR="002C0FD9" w:rsidRPr="00A16219" w:rsidRDefault="002C0FD9" w:rsidP="00437D0E">
            <w:pPr>
              <w:jc w:val="both"/>
              <w:rPr>
                <w:rFonts w:cs="Arial"/>
                <w:b/>
                <w:bCs/>
              </w:rPr>
            </w:pPr>
          </w:p>
        </w:tc>
        <w:tc>
          <w:tcPr>
            <w:tcW w:w="217" w:type="dxa"/>
          </w:tcPr>
          <w:p w14:paraId="79325DC3" w14:textId="0CD60C65" w:rsidR="002C0FD9" w:rsidRPr="00A16219" w:rsidRDefault="002C0FD9" w:rsidP="00437D0E">
            <w:pPr>
              <w:jc w:val="both"/>
              <w:rPr>
                <w:rFonts w:cs="Arial"/>
                <w:b/>
                <w:bCs/>
              </w:rPr>
            </w:pPr>
          </w:p>
        </w:tc>
        <w:tc>
          <w:tcPr>
            <w:tcW w:w="217" w:type="dxa"/>
          </w:tcPr>
          <w:p w14:paraId="1C43EAE4" w14:textId="77777777" w:rsidR="002C0FD9" w:rsidRPr="00A16219" w:rsidRDefault="002C0FD9" w:rsidP="00437D0E">
            <w:pPr>
              <w:jc w:val="both"/>
              <w:rPr>
                <w:rFonts w:cs="Arial"/>
                <w:b/>
                <w:bCs/>
              </w:rPr>
            </w:pPr>
          </w:p>
        </w:tc>
        <w:tc>
          <w:tcPr>
            <w:tcW w:w="217" w:type="dxa"/>
          </w:tcPr>
          <w:p w14:paraId="61718861" w14:textId="4E53A01D" w:rsidR="002C0FD9" w:rsidRPr="00A16219" w:rsidRDefault="002C0FD9" w:rsidP="00437D0E">
            <w:pPr>
              <w:jc w:val="both"/>
              <w:rPr>
                <w:rFonts w:cs="Arial"/>
                <w:b/>
                <w:bCs/>
              </w:rPr>
            </w:pPr>
          </w:p>
        </w:tc>
        <w:tc>
          <w:tcPr>
            <w:tcW w:w="217" w:type="dxa"/>
          </w:tcPr>
          <w:p w14:paraId="5B89CA40" w14:textId="77777777" w:rsidR="002C0FD9" w:rsidRPr="00A16219" w:rsidRDefault="002C0FD9" w:rsidP="00437D0E">
            <w:pPr>
              <w:jc w:val="both"/>
              <w:rPr>
                <w:rFonts w:cs="Arial"/>
                <w:b/>
                <w:bCs/>
              </w:rPr>
            </w:pPr>
          </w:p>
        </w:tc>
        <w:tc>
          <w:tcPr>
            <w:tcW w:w="217" w:type="dxa"/>
          </w:tcPr>
          <w:p w14:paraId="6612F23A" w14:textId="77777777" w:rsidR="002C0FD9" w:rsidRPr="00A16219" w:rsidRDefault="002C0FD9" w:rsidP="00437D0E">
            <w:pPr>
              <w:jc w:val="both"/>
              <w:rPr>
                <w:rFonts w:cs="Arial"/>
                <w:b/>
                <w:bCs/>
              </w:rPr>
            </w:pPr>
          </w:p>
        </w:tc>
        <w:tc>
          <w:tcPr>
            <w:tcW w:w="217" w:type="dxa"/>
          </w:tcPr>
          <w:p w14:paraId="7FE39653" w14:textId="77777777" w:rsidR="002C0FD9" w:rsidRPr="00A16219" w:rsidRDefault="002C0FD9" w:rsidP="00437D0E">
            <w:pPr>
              <w:jc w:val="both"/>
              <w:rPr>
                <w:rFonts w:cs="Arial"/>
                <w:b/>
                <w:bCs/>
              </w:rPr>
            </w:pPr>
          </w:p>
        </w:tc>
        <w:tc>
          <w:tcPr>
            <w:tcW w:w="217" w:type="dxa"/>
          </w:tcPr>
          <w:p w14:paraId="590AE6A3" w14:textId="77777777" w:rsidR="002C0FD9" w:rsidRPr="00A16219" w:rsidRDefault="002C0FD9" w:rsidP="00437D0E">
            <w:pPr>
              <w:jc w:val="both"/>
              <w:rPr>
                <w:rFonts w:cs="Arial"/>
                <w:b/>
                <w:bCs/>
              </w:rPr>
            </w:pPr>
          </w:p>
        </w:tc>
        <w:tc>
          <w:tcPr>
            <w:tcW w:w="217" w:type="dxa"/>
          </w:tcPr>
          <w:p w14:paraId="123ED80E" w14:textId="77777777" w:rsidR="002C0FD9" w:rsidRPr="00A16219" w:rsidRDefault="002C0FD9" w:rsidP="00437D0E">
            <w:pPr>
              <w:jc w:val="both"/>
              <w:rPr>
                <w:rFonts w:cs="Arial"/>
                <w:b/>
                <w:bCs/>
              </w:rPr>
            </w:pPr>
          </w:p>
        </w:tc>
        <w:tc>
          <w:tcPr>
            <w:tcW w:w="217" w:type="dxa"/>
          </w:tcPr>
          <w:p w14:paraId="0FF34697" w14:textId="77777777" w:rsidR="002C0FD9" w:rsidRPr="00A16219" w:rsidRDefault="002C0FD9" w:rsidP="00437D0E">
            <w:pPr>
              <w:jc w:val="both"/>
              <w:rPr>
                <w:rFonts w:cs="Arial"/>
                <w:b/>
                <w:bCs/>
              </w:rPr>
            </w:pPr>
          </w:p>
        </w:tc>
        <w:tc>
          <w:tcPr>
            <w:tcW w:w="217" w:type="dxa"/>
          </w:tcPr>
          <w:p w14:paraId="02E7B67F" w14:textId="77777777" w:rsidR="002C0FD9" w:rsidRPr="00A16219" w:rsidRDefault="002C0FD9" w:rsidP="00437D0E">
            <w:pPr>
              <w:jc w:val="both"/>
              <w:rPr>
                <w:rFonts w:cs="Arial"/>
                <w:b/>
                <w:bCs/>
              </w:rPr>
            </w:pPr>
          </w:p>
        </w:tc>
        <w:tc>
          <w:tcPr>
            <w:tcW w:w="217" w:type="dxa"/>
          </w:tcPr>
          <w:p w14:paraId="0E50DCFD" w14:textId="77777777" w:rsidR="002C0FD9" w:rsidRPr="00A16219" w:rsidRDefault="002C0FD9" w:rsidP="00437D0E">
            <w:pPr>
              <w:jc w:val="both"/>
              <w:rPr>
                <w:rFonts w:cs="Arial"/>
                <w:b/>
                <w:bCs/>
              </w:rPr>
            </w:pPr>
          </w:p>
        </w:tc>
        <w:tc>
          <w:tcPr>
            <w:tcW w:w="217" w:type="dxa"/>
          </w:tcPr>
          <w:p w14:paraId="6775D563" w14:textId="53D323D8" w:rsidR="002C0FD9" w:rsidRPr="00A16219" w:rsidRDefault="002C0FD9" w:rsidP="00437D0E">
            <w:pPr>
              <w:jc w:val="both"/>
              <w:rPr>
                <w:rFonts w:cs="Arial"/>
                <w:b/>
                <w:bCs/>
              </w:rPr>
            </w:pPr>
          </w:p>
        </w:tc>
        <w:tc>
          <w:tcPr>
            <w:tcW w:w="217" w:type="dxa"/>
          </w:tcPr>
          <w:p w14:paraId="2E881A52" w14:textId="77777777" w:rsidR="002C0FD9" w:rsidRPr="00A16219" w:rsidRDefault="002C0FD9" w:rsidP="00437D0E">
            <w:pPr>
              <w:jc w:val="both"/>
              <w:rPr>
                <w:rFonts w:cs="Arial"/>
                <w:b/>
                <w:bCs/>
              </w:rPr>
            </w:pPr>
          </w:p>
        </w:tc>
        <w:tc>
          <w:tcPr>
            <w:tcW w:w="217" w:type="dxa"/>
          </w:tcPr>
          <w:p w14:paraId="36669016" w14:textId="77777777" w:rsidR="002C0FD9" w:rsidRPr="00A16219" w:rsidRDefault="002C0FD9" w:rsidP="00437D0E">
            <w:pPr>
              <w:jc w:val="both"/>
              <w:rPr>
                <w:rFonts w:cs="Arial"/>
                <w:b/>
                <w:bCs/>
              </w:rPr>
            </w:pPr>
          </w:p>
        </w:tc>
        <w:tc>
          <w:tcPr>
            <w:tcW w:w="217" w:type="dxa"/>
          </w:tcPr>
          <w:p w14:paraId="17B25CBC" w14:textId="77777777" w:rsidR="002C0FD9" w:rsidRPr="00A16219" w:rsidRDefault="002C0FD9" w:rsidP="00437D0E">
            <w:pPr>
              <w:jc w:val="both"/>
              <w:rPr>
                <w:rFonts w:cs="Arial"/>
                <w:b/>
                <w:bCs/>
              </w:rPr>
            </w:pPr>
          </w:p>
        </w:tc>
        <w:tc>
          <w:tcPr>
            <w:tcW w:w="217" w:type="dxa"/>
          </w:tcPr>
          <w:p w14:paraId="309C4960" w14:textId="77777777" w:rsidR="002C0FD9" w:rsidRPr="00A16219" w:rsidRDefault="002C0FD9" w:rsidP="00437D0E">
            <w:pPr>
              <w:jc w:val="both"/>
              <w:rPr>
                <w:rFonts w:cs="Arial"/>
                <w:b/>
                <w:bCs/>
              </w:rPr>
            </w:pPr>
          </w:p>
        </w:tc>
        <w:tc>
          <w:tcPr>
            <w:tcW w:w="217" w:type="dxa"/>
          </w:tcPr>
          <w:p w14:paraId="76B7C0BD" w14:textId="77777777" w:rsidR="002C0FD9" w:rsidRPr="00A16219" w:rsidRDefault="002C0FD9" w:rsidP="00437D0E">
            <w:pPr>
              <w:jc w:val="both"/>
              <w:rPr>
                <w:rFonts w:cs="Arial"/>
                <w:b/>
                <w:bCs/>
              </w:rPr>
            </w:pPr>
          </w:p>
        </w:tc>
        <w:tc>
          <w:tcPr>
            <w:tcW w:w="217" w:type="dxa"/>
          </w:tcPr>
          <w:p w14:paraId="0269FCD6" w14:textId="77777777" w:rsidR="002C0FD9" w:rsidRPr="00A16219" w:rsidRDefault="002C0FD9" w:rsidP="00437D0E">
            <w:pPr>
              <w:jc w:val="both"/>
              <w:rPr>
                <w:rFonts w:cs="Arial"/>
                <w:b/>
                <w:bCs/>
              </w:rPr>
            </w:pPr>
          </w:p>
        </w:tc>
        <w:tc>
          <w:tcPr>
            <w:tcW w:w="217" w:type="dxa"/>
          </w:tcPr>
          <w:p w14:paraId="2D71754F" w14:textId="77777777" w:rsidR="002C0FD9" w:rsidRPr="00A16219" w:rsidRDefault="002C0FD9" w:rsidP="00437D0E">
            <w:pPr>
              <w:jc w:val="both"/>
              <w:rPr>
                <w:rFonts w:cs="Arial"/>
                <w:b/>
                <w:bCs/>
              </w:rPr>
            </w:pPr>
          </w:p>
        </w:tc>
        <w:tc>
          <w:tcPr>
            <w:tcW w:w="217" w:type="dxa"/>
          </w:tcPr>
          <w:p w14:paraId="74AE2C71" w14:textId="77777777" w:rsidR="002C0FD9" w:rsidRPr="00A16219" w:rsidRDefault="002C0FD9" w:rsidP="00437D0E">
            <w:pPr>
              <w:jc w:val="both"/>
              <w:rPr>
                <w:rFonts w:cs="Arial"/>
                <w:b/>
                <w:bCs/>
              </w:rPr>
            </w:pPr>
          </w:p>
        </w:tc>
        <w:tc>
          <w:tcPr>
            <w:tcW w:w="217" w:type="dxa"/>
          </w:tcPr>
          <w:p w14:paraId="58EBD599" w14:textId="77777777" w:rsidR="002C0FD9" w:rsidRPr="00A16219" w:rsidRDefault="002C0FD9" w:rsidP="00437D0E">
            <w:pPr>
              <w:jc w:val="both"/>
              <w:rPr>
                <w:rFonts w:cs="Arial"/>
                <w:b/>
                <w:bCs/>
              </w:rPr>
            </w:pPr>
          </w:p>
        </w:tc>
        <w:tc>
          <w:tcPr>
            <w:tcW w:w="217" w:type="dxa"/>
          </w:tcPr>
          <w:p w14:paraId="6A6E33A8" w14:textId="77777777" w:rsidR="002C0FD9" w:rsidRPr="00A16219" w:rsidRDefault="002C0FD9" w:rsidP="00437D0E">
            <w:pPr>
              <w:jc w:val="both"/>
              <w:rPr>
                <w:rFonts w:cs="Arial"/>
                <w:b/>
                <w:bCs/>
              </w:rPr>
            </w:pPr>
          </w:p>
        </w:tc>
        <w:tc>
          <w:tcPr>
            <w:tcW w:w="217" w:type="dxa"/>
          </w:tcPr>
          <w:p w14:paraId="20C0B582" w14:textId="77777777" w:rsidR="002C0FD9" w:rsidRPr="00A16219" w:rsidRDefault="002C0FD9" w:rsidP="00437D0E">
            <w:pPr>
              <w:jc w:val="both"/>
              <w:rPr>
                <w:rFonts w:cs="Arial"/>
                <w:b/>
                <w:bCs/>
              </w:rPr>
            </w:pPr>
          </w:p>
        </w:tc>
        <w:tc>
          <w:tcPr>
            <w:tcW w:w="217" w:type="dxa"/>
          </w:tcPr>
          <w:p w14:paraId="1C001146" w14:textId="77777777" w:rsidR="002C0FD9" w:rsidRPr="00A16219" w:rsidRDefault="002C0FD9" w:rsidP="00437D0E">
            <w:pPr>
              <w:jc w:val="both"/>
              <w:rPr>
                <w:rFonts w:cs="Arial"/>
                <w:b/>
                <w:bCs/>
              </w:rPr>
            </w:pPr>
          </w:p>
        </w:tc>
        <w:tc>
          <w:tcPr>
            <w:tcW w:w="217" w:type="dxa"/>
          </w:tcPr>
          <w:p w14:paraId="49A36420" w14:textId="77777777" w:rsidR="002C0FD9" w:rsidRPr="00A16219" w:rsidRDefault="002C0FD9" w:rsidP="00437D0E">
            <w:pPr>
              <w:jc w:val="both"/>
              <w:rPr>
                <w:rFonts w:cs="Arial"/>
                <w:b/>
                <w:bCs/>
              </w:rPr>
            </w:pPr>
          </w:p>
        </w:tc>
        <w:tc>
          <w:tcPr>
            <w:tcW w:w="217" w:type="dxa"/>
          </w:tcPr>
          <w:p w14:paraId="1C44F439" w14:textId="77777777" w:rsidR="002C0FD9" w:rsidRPr="00A16219" w:rsidRDefault="002C0FD9" w:rsidP="00437D0E">
            <w:pPr>
              <w:jc w:val="both"/>
              <w:rPr>
                <w:rFonts w:cs="Arial"/>
                <w:b/>
                <w:bCs/>
              </w:rPr>
            </w:pPr>
          </w:p>
        </w:tc>
        <w:tc>
          <w:tcPr>
            <w:tcW w:w="217" w:type="dxa"/>
          </w:tcPr>
          <w:p w14:paraId="1C59E4F5" w14:textId="77777777" w:rsidR="002C0FD9" w:rsidRPr="00A16219" w:rsidRDefault="002C0FD9" w:rsidP="00437D0E">
            <w:pPr>
              <w:jc w:val="both"/>
              <w:rPr>
                <w:rFonts w:cs="Arial"/>
                <w:b/>
                <w:bCs/>
              </w:rPr>
            </w:pPr>
          </w:p>
        </w:tc>
        <w:tc>
          <w:tcPr>
            <w:tcW w:w="217" w:type="dxa"/>
          </w:tcPr>
          <w:p w14:paraId="3FB151F6" w14:textId="77777777" w:rsidR="002C0FD9" w:rsidRPr="00A16219" w:rsidRDefault="002C0FD9" w:rsidP="00437D0E">
            <w:pPr>
              <w:jc w:val="both"/>
              <w:rPr>
                <w:rFonts w:cs="Arial"/>
                <w:b/>
                <w:bCs/>
              </w:rPr>
            </w:pPr>
          </w:p>
        </w:tc>
        <w:tc>
          <w:tcPr>
            <w:tcW w:w="217" w:type="dxa"/>
          </w:tcPr>
          <w:p w14:paraId="10A224BC" w14:textId="77777777" w:rsidR="002C0FD9" w:rsidRPr="00A16219" w:rsidRDefault="002C0FD9" w:rsidP="00437D0E">
            <w:pPr>
              <w:jc w:val="both"/>
              <w:rPr>
                <w:rFonts w:cs="Arial"/>
                <w:b/>
                <w:bCs/>
              </w:rPr>
            </w:pPr>
          </w:p>
        </w:tc>
        <w:tc>
          <w:tcPr>
            <w:tcW w:w="217" w:type="dxa"/>
          </w:tcPr>
          <w:p w14:paraId="3767F605" w14:textId="77777777" w:rsidR="002C0FD9" w:rsidRPr="00A16219" w:rsidRDefault="002C0FD9" w:rsidP="00437D0E">
            <w:pPr>
              <w:jc w:val="both"/>
              <w:rPr>
                <w:rFonts w:cs="Arial"/>
                <w:b/>
                <w:bCs/>
              </w:rPr>
            </w:pPr>
          </w:p>
        </w:tc>
        <w:tc>
          <w:tcPr>
            <w:tcW w:w="217" w:type="dxa"/>
          </w:tcPr>
          <w:p w14:paraId="2A5600B9" w14:textId="77777777" w:rsidR="002C0FD9" w:rsidRPr="00A16219" w:rsidRDefault="002C0FD9" w:rsidP="00437D0E">
            <w:pPr>
              <w:jc w:val="both"/>
              <w:rPr>
                <w:rFonts w:cs="Arial"/>
                <w:b/>
                <w:bCs/>
              </w:rPr>
            </w:pPr>
          </w:p>
        </w:tc>
        <w:tc>
          <w:tcPr>
            <w:tcW w:w="217" w:type="dxa"/>
          </w:tcPr>
          <w:p w14:paraId="40668A0E" w14:textId="77777777" w:rsidR="002C0FD9" w:rsidRPr="00A16219" w:rsidRDefault="002C0FD9" w:rsidP="00437D0E">
            <w:pPr>
              <w:jc w:val="both"/>
              <w:rPr>
                <w:rFonts w:cs="Arial"/>
                <w:b/>
                <w:bCs/>
              </w:rPr>
            </w:pPr>
          </w:p>
        </w:tc>
        <w:tc>
          <w:tcPr>
            <w:tcW w:w="217" w:type="dxa"/>
          </w:tcPr>
          <w:p w14:paraId="38CB148D" w14:textId="77777777" w:rsidR="002C0FD9" w:rsidRPr="00A16219" w:rsidRDefault="002C0FD9" w:rsidP="00437D0E">
            <w:pPr>
              <w:jc w:val="both"/>
              <w:rPr>
                <w:rFonts w:cs="Arial"/>
                <w:b/>
                <w:bCs/>
              </w:rPr>
            </w:pPr>
          </w:p>
        </w:tc>
        <w:tc>
          <w:tcPr>
            <w:tcW w:w="217" w:type="dxa"/>
          </w:tcPr>
          <w:p w14:paraId="61E03A6A" w14:textId="77777777" w:rsidR="002C0FD9" w:rsidRPr="00A16219" w:rsidRDefault="002C0FD9" w:rsidP="00437D0E">
            <w:pPr>
              <w:jc w:val="both"/>
              <w:rPr>
                <w:rFonts w:cs="Arial"/>
                <w:b/>
                <w:bCs/>
              </w:rPr>
            </w:pPr>
          </w:p>
        </w:tc>
        <w:tc>
          <w:tcPr>
            <w:tcW w:w="217" w:type="dxa"/>
          </w:tcPr>
          <w:p w14:paraId="722DE280" w14:textId="77777777" w:rsidR="002C0FD9" w:rsidRPr="00A16219" w:rsidRDefault="002C0FD9" w:rsidP="00437D0E">
            <w:pPr>
              <w:jc w:val="both"/>
              <w:rPr>
                <w:rFonts w:cs="Arial"/>
                <w:b/>
                <w:bCs/>
              </w:rPr>
            </w:pPr>
          </w:p>
        </w:tc>
        <w:tc>
          <w:tcPr>
            <w:tcW w:w="217" w:type="dxa"/>
          </w:tcPr>
          <w:p w14:paraId="65573B37" w14:textId="77777777" w:rsidR="002C0FD9" w:rsidRPr="00A16219" w:rsidRDefault="002C0FD9" w:rsidP="00437D0E">
            <w:pPr>
              <w:jc w:val="both"/>
              <w:rPr>
                <w:rFonts w:cs="Arial"/>
                <w:b/>
                <w:bCs/>
              </w:rPr>
            </w:pPr>
          </w:p>
        </w:tc>
        <w:tc>
          <w:tcPr>
            <w:tcW w:w="217" w:type="dxa"/>
          </w:tcPr>
          <w:p w14:paraId="5E878A6A" w14:textId="77777777" w:rsidR="002C0FD9" w:rsidRPr="00A16219" w:rsidRDefault="002C0FD9" w:rsidP="00437D0E">
            <w:pPr>
              <w:jc w:val="both"/>
              <w:rPr>
                <w:rFonts w:cs="Arial"/>
                <w:b/>
                <w:bCs/>
              </w:rPr>
            </w:pPr>
          </w:p>
        </w:tc>
        <w:tc>
          <w:tcPr>
            <w:tcW w:w="217" w:type="dxa"/>
          </w:tcPr>
          <w:p w14:paraId="10D5F1C2" w14:textId="77777777" w:rsidR="002C0FD9" w:rsidRPr="00A16219" w:rsidRDefault="002C0FD9" w:rsidP="00437D0E">
            <w:pPr>
              <w:jc w:val="both"/>
              <w:rPr>
                <w:rFonts w:cs="Arial"/>
                <w:b/>
                <w:bCs/>
              </w:rPr>
            </w:pPr>
          </w:p>
        </w:tc>
        <w:tc>
          <w:tcPr>
            <w:tcW w:w="217" w:type="dxa"/>
          </w:tcPr>
          <w:p w14:paraId="7AA84C81" w14:textId="77777777" w:rsidR="002C0FD9" w:rsidRPr="00A16219" w:rsidRDefault="002C0FD9" w:rsidP="00437D0E">
            <w:pPr>
              <w:jc w:val="both"/>
              <w:rPr>
                <w:rFonts w:cs="Arial"/>
                <w:b/>
                <w:bCs/>
              </w:rPr>
            </w:pPr>
          </w:p>
        </w:tc>
      </w:tr>
      <w:tr w:rsidR="002C0FD9" w:rsidRPr="00A16219" w14:paraId="4D521264" w14:textId="6FBE88ED" w:rsidTr="002C0FD9">
        <w:tc>
          <w:tcPr>
            <w:tcW w:w="515" w:type="dxa"/>
          </w:tcPr>
          <w:p w14:paraId="2822F7EB" w14:textId="5A2E5930" w:rsidR="002C0FD9" w:rsidRPr="0076219E" w:rsidRDefault="002C0FD9" w:rsidP="00951C55">
            <w:pPr>
              <w:jc w:val="both"/>
              <w:rPr>
                <w:rFonts w:cs="Arial"/>
                <w:color w:val="FF0000"/>
                <w:sz w:val="21"/>
                <w:szCs w:val="21"/>
              </w:rPr>
            </w:pPr>
          </w:p>
          <w:p w14:paraId="58607757" w14:textId="77777777" w:rsidR="002C0FD9" w:rsidRPr="00965449" w:rsidRDefault="002C0FD9" w:rsidP="00965449">
            <w:pPr>
              <w:rPr>
                <w:rFonts w:cs="Arial"/>
                <w:color w:val="FF0000"/>
                <w:sz w:val="21"/>
                <w:szCs w:val="21"/>
              </w:rPr>
            </w:pPr>
            <w:r w:rsidRPr="00965449">
              <w:rPr>
                <w:rFonts w:cs="Arial"/>
                <w:color w:val="FF0000"/>
                <w:sz w:val="21"/>
                <w:szCs w:val="21"/>
              </w:rPr>
              <w:t xml:space="preserve">Summative and formative assessments </w:t>
            </w:r>
          </w:p>
          <w:p w14:paraId="765A1C66" w14:textId="07CF3CA5" w:rsidR="002C0FD9" w:rsidRPr="0076219E" w:rsidRDefault="002C0FD9" w:rsidP="00951C55">
            <w:pPr>
              <w:jc w:val="both"/>
              <w:rPr>
                <w:rFonts w:cs="Arial"/>
                <w:color w:val="FF0000"/>
                <w:sz w:val="21"/>
                <w:szCs w:val="21"/>
              </w:rPr>
            </w:pPr>
            <w:r w:rsidRPr="00965449">
              <w:rPr>
                <w:rFonts w:cs="Arial"/>
                <w:color w:val="FF0000"/>
                <w:sz w:val="21"/>
                <w:szCs w:val="21"/>
              </w:rPr>
              <w:t>Discover how to prepare for foundational degree coursework. Bedford and Wilson stress the need of taking a reflective approach to feedback and feed-forward in order to enhance subsequent formative and summative assessments. Students can pinpoint areas that need development and adjust their study techniques by carefully examining feedback from instructors and peers. Engaging in this reflective process helps students identify their weaknesses and allows them to track their progress and set goals for future assessments. By including feed-forward and feedback in their study routines, students can enhance their learning process and achieve greater success in their foundation degree studies. It is commendable that you are proactively enhancing your academic research, planning, and time management abilities. Receiving feedback from teachers</w:t>
            </w:r>
          </w:p>
          <w:p w14:paraId="21AB8D22" w14:textId="794C11F7" w:rsidR="002C0FD9" w:rsidRPr="00A16219" w:rsidRDefault="002C0FD9" w:rsidP="00951C55">
            <w:pPr>
              <w:jc w:val="both"/>
              <w:rPr>
                <w:rFonts w:cs="Arial"/>
                <w:sz w:val="22"/>
                <w:szCs w:val="22"/>
              </w:rPr>
            </w:pPr>
          </w:p>
        </w:tc>
        <w:tc>
          <w:tcPr>
            <w:tcW w:w="217" w:type="dxa"/>
          </w:tcPr>
          <w:p w14:paraId="583295A5" w14:textId="77777777" w:rsidR="002C0FD9" w:rsidRPr="0076219E" w:rsidRDefault="002C0FD9" w:rsidP="00951C55">
            <w:pPr>
              <w:jc w:val="both"/>
              <w:rPr>
                <w:rFonts w:cs="Arial"/>
                <w:color w:val="FF0000"/>
                <w:sz w:val="21"/>
                <w:szCs w:val="21"/>
              </w:rPr>
            </w:pPr>
          </w:p>
        </w:tc>
        <w:tc>
          <w:tcPr>
            <w:tcW w:w="217" w:type="dxa"/>
          </w:tcPr>
          <w:p w14:paraId="3ED90A98" w14:textId="47CE80DE" w:rsidR="002C0FD9" w:rsidRPr="0076219E" w:rsidRDefault="002C0FD9" w:rsidP="00951C55">
            <w:pPr>
              <w:jc w:val="both"/>
              <w:rPr>
                <w:rFonts w:cs="Arial"/>
                <w:color w:val="FF0000"/>
                <w:sz w:val="21"/>
                <w:szCs w:val="21"/>
              </w:rPr>
            </w:pPr>
          </w:p>
        </w:tc>
        <w:tc>
          <w:tcPr>
            <w:tcW w:w="217" w:type="dxa"/>
          </w:tcPr>
          <w:p w14:paraId="0F63543B" w14:textId="77777777" w:rsidR="002C0FD9" w:rsidRPr="0076219E" w:rsidRDefault="002C0FD9" w:rsidP="00951C55">
            <w:pPr>
              <w:jc w:val="both"/>
              <w:rPr>
                <w:rFonts w:cs="Arial"/>
                <w:color w:val="FF0000"/>
                <w:sz w:val="21"/>
                <w:szCs w:val="21"/>
              </w:rPr>
            </w:pPr>
          </w:p>
        </w:tc>
        <w:tc>
          <w:tcPr>
            <w:tcW w:w="217" w:type="dxa"/>
          </w:tcPr>
          <w:p w14:paraId="5F6871A8" w14:textId="7CACE1E7" w:rsidR="002C0FD9" w:rsidRPr="0076219E" w:rsidRDefault="002C0FD9" w:rsidP="00951C55">
            <w:pPr>
              <w:jc w:val="both"/>
              <w:rPr>
                <w:rFonts w:cs="Arial"/>
                <w:color w:val="FF0000"/>
                <w:sz w:val="21"/>
                <w:szCs w:val="21"/>
              </w:rPr>
            </w:pPr>
          </w:p>
        </w:tc>
        <w:tc>
          <w:tcPr>
            <w:tcW w:w="217" w:type="dxa"/>
          </w:tcPr>
          <w:p w14:paraId="44DD2B19" w14:textId="77777777" w:rsidR="002C0FD9" w:rsidRPr="0076219E" w:rsidRDefault="002C0FD9" w:rsidP="00951C55">
            <w:pPr>
              <w:jc w:val="both"/>
              <w:rPr>
                <w:rFonts w:cs="Arial"/>
                <w:color w:val="FF0000"/>
                <w:sz w:val="21"/>
                <w:szCs w:val="21"/>
              </w:rPr>
            </w:pPr>
          </w:p>
        </w:tc>
        <w:tc>
          <w:tcPr>
            <w:tcW w:w="217" w:type="dxa"/>
          </w:tcPr>
          <w:p w14:paraId="501EE4F7" w14:textId="3D0E0F29" w:rsidR="002C0FD9" w:rsidRPr="0076219E" w:rsidRDefault="002C0FD9" w:rsidP="00951C55">
            <w:pPr>
              <w:jc w:val="both"/>
              <w:rPr>
                <w:rFonts w:cs="Arial"/>
                <w:color w:val="FF0000"/>
                <w:sz w:val="21"/>
                <w:szCs w:val="21"/>
              </w:rPr>
            </w:pPr>
          </w:p>
        </w:tc>
        <w:tc>
          <w:tcPr>
            <w:tcW w:w="217" w:type="dxa"/>
          </w:tcPr>
          <w:p w14:paraId="4C42C68D" w14:textId="77777777" w:rsidR="002C0FD9" w:rsidRPr="0076219E" w:rsidRDefault="002C0FD9" w:rsidP="00951C55">
            <w:pPr>
              <w:jc w:val="both"/>
              <w:rPr>
                <w:rFonts w:cs="Arial"/>
                <w:color w:val="FF0000"/>
                <w:sz w:val="21"/>
                <w:szCs w:val="21"/>
              </w:rPr>
            </w:pPr>
          </w:p>
        </w:tc>
        <w:tc>
          <w:tcPr>
            <w:tcW w:w="217" w:type="dxa"/>
          </w:tcPr>
          <w:p w14:paraId="7ABAFAE9" w14:textId="77777777" w:rsidR="002C0FD9" w:rsidRPr="0076219E" w:rsidRDefault="002C0FD9" w:rsidP="00951C55">
            <w:pPr>
              <w:jc w:val="both"/>
              <w:rPr>
                <w:rFonts w:cs="Arial"/>
                <w:color w:val="FF0000"/>
                <w:sz w:val="21"/>
                <w:szCs w:val="21"/>
              </w:rPr>
            </w:pPr>
          </w:p>
        </w:tc>
        <w:tc>
          <w:tcPr>
            <w:tcW w:w="217" w:type="dxa"/>
          </w:tcPr>
          <w:p w14:paraId="7238A864" w14:textId="77777777" w:rsidR="002C0FD9" w:rsidRPr="0076219E" w:rsidRDefault="002C0FD9" w:rsidP="00951C55">
            <w:pPr>
              <w:jc w:val="both"/>
              <w:rPr>
                <w:rFonts w:cs="Arial"/>
                <w:color w:val="FF0000"/>
                <w:sz w:val="21"/>
                <w:szCs w:val="21"/>
              </w:rPr>
            </w:pPr>
          </w:p>
        </w:tc>
        <w:tc>
          <w:tcPr>
            <w:tcW w:w="217" w:type="dxa"/>
          </w:tcPr>
          <w:p w14:paraId="02A0E5D0" w14:textId="77777777" w:rsidR="002C0FD9" w:rsidRPr="0076219E" w:rsidRDefault="002C0FD9" w:rsidP="00951C55">
            <w:pPr>
              <w:jc w:val="both"/>
              <w:rPr>
                <w:rFonts w:cs="Arial"/>
                <w:color w:val="FF0000"/>
                <w:sz w:val="21"/>
                <w:szCs w:val="21"/>
              </w:rPr>
            </w:pPr>
          </w:p>
        </w:tc>
        <w:tc>
          <w:tcPr>
            <w:tcW w:w="217" w:type="dxa"/>
          </w:tcPr>
          <w:p w14:paraId="719D1C2D" w14:textId="77777777" w:rsidR="002C0FD9" w:rsidRPr="0076219E" w:rsidRDefault="002C0FD9" w:rsidP="00951C55">
            <w:pPr>
              <w:jc w:val="both"/>
              <w:rPr>
                <w:rFonts w:cs="Arial"/>
                <w:color w:val="FF0000"/>
                <w:sz w:val="21"/>
                <w:szCs w:val="21"/>
              </w:rPr>
            </w:pPr>
          </w:p>
        </w:tc>
        <w:tc>
          <w:tcPr>
            <w:tcW w:w="217" w:type="dxa"/>
          </w:tcPr>
          <w:p w14:paraId="334ECC5B" w14:textId="77777777" w:rsidR="002C0FD9" w:rsidRPr="0076219E" w:rsidRDefault="002C0FD9" w:rsidP="00951C55">
            <w:pPr>
              <w:jc w:val="both"/>
              <w:rPr>
                <w:rFonts w:cs="Arial"/>
                <w:color w:val="FF0000"/>
                <w:sz w:val="21"/>
                <w:szCs w:val="21"/>
              </w:rPr>
            </w:pPr>
          </w:p>
        </w:tc>
        <w:tc>
          <w:tcPr>
            <w:tcW w:w="217" w:type="dxa"/>
          </w:tcPr>
          <w:p w14:paraId="71029FF0" w14:textId="77777777" w:rsidR="002C0FD9" w:rsidRPr="0076219E" w:rsidRDefault="002C0FD9" w:rsidP="00951C55">
            <w:pPr>
              <w:jc w:val="both"/>
              <w:rPr>
                <w:rFonts w:cs="Arial"/>
                <w:color w:val="FF0000"/>
                <w:sz w:val="21"/>
                <w:szCs w:val="21"/>
              </w:rPr>
            </w:pPr>
          </w:p>
        </w:tc>
        <w:tc>
          <w:tcPr>
            <w:tcW w:w="217" w:type="dxa"/>
          </w:tcPr>
          <w:p w14:paraId="0CBEB513" w14:textId="77777777" w:rsidR="002C0FD9" w:rsidRPr="0076219E" w:rsidRDefault="002C0FD9" w:rsidP="00951C55">
            <w:pPr>
              <w:jc w:val="both"/>
              <w:rPr>
                <w:rFonts w:cs="Arial"/>
                <w:color w:val="FF0000"/>
                <w:sz w:val="21"/>
                <w:szCs w:val="21"/>
              </w:rPr>
            </w:pPr>
          </w:p>
        </w:tc>
        <w:tc>
          <w:tcPr>
            <w:tcW w:w="217" w:type="dxa"/>
          </w:tcPr>
          <w:p w14:paraId="32AC1224" w14:textId="1807B517" w:rsidR="002C0FD9" w:rsidRPr="0076219E" w:rsidRDefault="002C0FD9" w:rsidP="00951C55">
            <w:pPr>
              <w:jc w:val="both"/>
              <w:rPr>
                <w:rFonts w:cs="Arial"/>
                <w:color w:val="FF0000"/>
                <w:sz w:val="21"/>
                <w:szCs w:val="21"/>
              </w:rPr>
            </w:pPr>
          </w:p>
        </w:tc>
        <w:tc>
          <w:tcPr>
            <w:tcW w:w="217" w:type="dxa"/>
          </w:tcPr>
          <w:p w14:paraId="0E40B4EA" w14:textId="77777777" w:rsidR="002C0FD9" w:rsidRPr="0076219E" w:rsidRDefault="002C0FD9" w:rsidP="00951C55">
            <w:pPr>
              <w:jc w:val="both"/>
              <w:rPr>
                <w:rFonts w:cs="Arial"/>
                <w:color w:val="FF0000"/>
                <w:sz w:val="21"/>
                <w:szCs w:val="21"/>
              </w:rPr>
            </w:pPr>
          </w:p>
        </w:tc>
        <w:tc>
          <w:tcPr>
            <w:tcW w:w="217" w:type="dxa"/>
          </w:tcPr>
          <w:p w14:paraId="63693392" w14:textId="77777777" w:rsidR="002C0FD9" w:rsidRPr="0076219E" w:rsidRDefault="002C0FD9" w:rsidP="00951C55">
            <w:pPr>
              <w:jc w:val="both"/>
              <w:rPr>
                <w:rFonts w:cs="Arial"/>
                <w:color w:val="FF0000"/>
                <w:sz w:val="21"/>
                <w:szCs w:val="21"/>
              </w:rPr>
            </w:pPr>
          </w:p>
        </w:tc>
        <w:tc>
          <w:tcPr>
            <w:tcW w:w="217" w:type="dxa"/>
          </w:tcPr>
          <w:p w14:paraId="55EC5B94" w14:textId="77777777" w:rsidR="002C0FD9" w:rsidRPr="0076219E" w:rsidRDefault="002C0FD9" w:rsidP="00951C55">
            <w:pPr>
              <w:jc w:val="both"/>
              <w:rPr>
                <w:rFonts w:cs="Arial"/>
                <w:color w:val="FF0000"/>
                <w:sz w:val="21"/>
                <w:szCs w:val="21"/>
              </w:rPr>
            </w:pPr>
          </w:p>
        </w:tc>
        <w:tc>
          <w:tcPr>
            <w:tcW w:w="217" w:type="dxa"/>
          </w:tcPr>
          <w:p w14:paraId="67821A0D" w14:textId="77777777" w:rsidR="002C0FD9" w:rsidRPr="0076219E" w:rsidRDefault="002C0FD9" w:rsidP="00951C55">
            <w:pPr>
              <w:jc w:val="both"/>
              <w:rPr>
                <w:rFonts w:cs="Arial"/>
                <w:color w:val="FF0000"/>
                <w:sz w:val="21"/>
                <w:szCs w:val="21"/>
              </w:rPr>
            </w:pPr>
          </w:p>
        </w:tc>
        <w:tc>
          <w:tcPr>
            <w:tcW w:w="217" w:type="dxa"/>
          </w:tcPr>
          <w:p w14:paraId="052E4409" w14:textId="77777777" w:rsidR="002C0FD9" w:rsidRPr="0076219E" w:rsidRDefault="002C0FD9" w:rsidP="00951C55">
            <w:pPr>
              <w:jc w:val="both"/>
              <w:rPr>
                <w:rFonts w:cs="Arial"/>
                <w:color w:val="FF0000"/>
                <w:sz w:val="21"/>
                <w:szCs w:val="21"/>
              </w:rPr>
            </w:pPr>
          </w:p>
        </w:tc>
        <w:tc>
          <w:tcPr>
            <w:tcW w:w="217" w:type="dxa"/>
          </w:tcPr>
          <w:p w14:paraId="5AF4C28B" w14:textId="77777777" w:rsidR="002C0FD9" w:rsidRPr="0076219E" w:rsidRDefault="002C0FD9" w:rsidP="00951C55">
            <w:pPr>
              <w:jc w:val="both"/>
              <w:rPr>
                <w:rFonts w:cs="Arial"/>
                <w:color w:val="FF0000"/>
                <w:sz w:val="21"/>
                <w:szCs w:val="21"/>
              </w:rPr>
            </w:pPr>
          </w:p>
        </w:tc>
        <w:tc>
          <w:tcPr>
            <w:tcW w:w="217" w:type="dxa"/>
          </w:tcPr>
          <w:p w14:paraId="7B97DA2A" w14:textId="77777777" w:rsidR="002C0FD9" w:rsidRPr="0076219E" w:rsidRDefault="002C0FD9" w:rsidP="00951C55">
            <w:pPr>
              <w:jc w:val="both"/>
              <w:rPr>
                <w:rFonts w:cs="Arial"/>
                <w:color w:val="FF0000"/>
                <w:sz w:val="21"/>
                <w:szCs w:val="21"/>
              </w:rPr>
            </w:pPr>
          </w:p>
        </w:tc>
        <w:tc>
          <w:tcPr>
            <w:tcW w:w="217" w:type="dxa"/>
          </w:tcPr>
          <w:p w14:paraId="0B997705" w14:textId="77777777" w:rsidR="002C0FD9" w:rsidRPr="0076219E" w:rsidRDefault="002C0FD9" w:rsidP="00951C55">
            <w:pPr>
              <w:jc w:val="both"/>
              <w:rPr>
                <w:rFonts w:cs="Arial"/>
                <w:color w:val="FF0000"/>
                <w:sz w:val="21"/>
                <w:szCs w:val="21"/>
              </w:rPr>
            </w:pPr>
          </w:p>
        </w:tc>
        <w:tc>
          <w:tcPr>
            <w:tcW w:w="217" w:type="dxa"/>
          </w:tcPr>
          <w:p w14:paraId="1977B4BD" w14:textId="77777777" w:rsidR="002C0FD9" w:rsidRPr="0076219E" w:rsidRDefault="002C0FD9" w:rsidP="00951C55">
            <w:pPr>
              <w:jc w:val="both"/>
              <w:rPr>
                <w:rFonts w:cs="Arial"/>
                <w:color w:val="FF0000"/>
                <w:sz w:val="21"/>
                <w:szCs w:val="21"/>
              </w:rPr>
            </w:pPr>
          </w:p>
        </w:tc>
        <w:tc>
          <w:tcPr>
            <w:tcW w:w="217" w:type="dxa"/>
          </w:tcPr>
          <w:p w14:paraId="205D79CC" w14:textId="77777777" w:rsidR="002C0FD9" w:rsidRPr="0076219E" w:rsidRDefault="002C0FD9" w:rsidP="00951C55">
            <w:pPr>
              <w:jc w:val="both"/>
              <w:rPr>
                <w:rFonts w:cs="Arial"/>
                <w:color w:val="FF0000"/>
                <w:sz w:val="21"/>
                <w:szCs w:val="21"/>
              </w:rPr>
            </w:pPr>
          </w:p>
        </w:tc>
        <w:tc>
          <w:tcPr>
            <w:tcW w:w="217" w:type="dxa"/>
          </w:tcPr>
          <w:p w14:paraId="3D16575C" w14:textId="77777777" w:rsidR="002C0FD9" w:rsidRPr="0076219E" w:rsidRDefault="002C0FD9" w:rsidP="00951C55">
            <w:pPr>
              <w:jc w:val="both"/>
              <w:rPr>
                <w:rFonts w:cs="Arial"/>
                <w:color w:val="FF0000"/>
                <w:sz w:val="21"/>
                <w:szCs w:val="21"/>
              </w:rPr>
            </w:pPr>
          </w:p>
        </w:tc>
        <w:tc>
          <w:tcPr>
            <w:tcW w:w="217" w:type="dxa"/>
          </w:tcPr>
          <w:p w14:paraId="1D222C81" w14:textId="77777777" w:rsidR="002C0FD9" w:rsidRPr="0076219E" w:rsidRDefault="002C0FD9" w:rsidP="00951C55">
            <w:pPr>
              <w:jc w:val="both"/>
              <w:rPr>
                <w:rFonts w:cs="Arial"/>
                <w:color w:val="FF0000"/>
                <w:sz w:val="21"/>
                <w:szCs w:val="21"/>
              </w:rPr>
            </w:pPr>
          </w:p>
        </w:tc>
        <w:tc>
          <w:tcPr>
            <w:tcW w:w="217" w:type="dxa"/>
          </w:tcPr>
          <w:p w14:paraId="431220A9" w14:textId="77777777" w:rsidR="002C0FD9" w:rsidRPr="0076219E" w:rsidRDefault="002C0FD9" w:rsidP="00951C55">
            <w:pPr>
              <w:jc w:val="both"/>
              <w:rPr>
                <w:rFonts w:cs="Arial"/>
                <w:color w:val="FF0000"/>
                <w:sz w:val="21"/>
                <w:szCs w:val="21"/>
              </w:rPr>
            </w:pPr>
          </w:p>
        </w:tc>
        <w:tc>
          <w:tcPr>
            <w:tcW w:w="217" w:type="dxa"/>
          </w:tcPr>
          <w:p w14:paraId="297BDE65" w14:textId="77777777" w:rsidR="002C0FD9" w:rsidRPr="0076219E" w:rsidRDefault="002C0FD9" w:rsidP="00951C55">
            <w:pPr>
              <w:jc w:val="both"/>
              <w:rPr>
                <w:rFonts w:cs="Arial"/>
                <w:color w:val="FF0000"/>
                <w:sz w:val="21"/>
                <w:szCs w:val="21"/>
              </w:rPr>
            </w:pPr>
          </w:p>
        </w:tc>
        <w:tc>
          <w:tcPr>
            <w:tcW w:w="217" w:type="dxa"/>
          </w:tcPr>
          <w:p w14:paraId="100F8ADB" w14:textId="77777777" w:rsidR="002C0FD9" w:rsidRPr="0076219E" w:rsidRDefault="002C0FD9" w:rsidP="00951C55">
            <w:pPr>
              <w:jc w:val="both"/>
              <w:rPr>
                <w:rFonts w:cs="Arial"/>
                <w:color w:val="FF0000"/>
                <w:sz w:val="21"/>
                <w:szCs w:val="21"/>
              </w:rPr>
            </w:pPr>
          </w:p>
        </w:tc>
        <w:tc>
          <w:tcPr>
            <w:tcW w:w="217" w:type="dxa"/>
          </w:tcPr>
          <w:p w14:paraId="3F4EB5F2" w14:textId="77777777" w:rsidR="002C0FD9" w:rsidRPr="0076219E" w:rsidRDefault="002C0FD9" w:rsidP="00951C55">
            <w:pPr>
              <w:jc w:val="both"/>
              <w:rPr>
                <w:rFonts w:cs="Arial"/>
                <w:color w:val="FF0000"/>
                <w:sz w:val="21"/>
                <w:szCs w:val="21"/>
              </w:rPr>
            </w:pPr>
          </w:p>
        </w:tc>
        <w:tc>
          <w:tcPr>
            <w:tcW w:w="217" w:type="dxa"/>
          </w:tcPr>
          <w:p w14:paraId="49A6DC35" w14:textId="77777777" w:rsidR="002C0FD9" w:rsidRPr="0076219E" w:rsidRDefault="002C0FD9" w:rsidP="00951C55">
            <w:pPr>
              <w:jc w:val="both"/>
              <w:rPr>
                <w:rFonts w:cs="Arial"/>
                <w:color w:val="FF0000"/>
                <w:sz w:val="21"/>
                <w:szCs w:val="21"/>
              </w:rPr>
            </w:pPr>
          </w:p>
        </w:tc>
        <w:tc>
          <w:tcPr>
            <w:tcW w:w="217" w:type="dxa"/>
          </w:tcPr>
          <w:p w14:paraId="215AA82F" w14:textId="77777777" w:rsidR="002C0FD9" w:rsidRPr="0076219E" w:rsidRDefault="002C0FD9" w:rsidP="00951C55">
            <w:pPr>
              <w:jc w:val="both"/>
              <w:rPr>
                <w:rFonts w:cs="Arial"/>
                <w:color w:val="FF0000"/>
                <w:sz w:val="21"/>
                <w:szCs w:val="21"/>
              </w:rPr>
            </w:pPr>
          </w:p>
        </w:tc>
        <w:tc>
          <w:tcPr>
            <w:tcW w:w="217" w:type="dxa"/>
          </w:tcPr>
          <w:p w14:paraId="2DF2DF21" w14:textId="77777777" w:rsidR="002C0FD9" w:rsidRPr="0076219E" w:rsidRDefault="002C0FD9" w:rsidP="00951C55">
            <w:pPr>
              <w:jc w:val="both"/>
              <w:rPr>
                <w:rFonts w:cs="Arial"/>
                <w:color w:val="FF0000"/>
                <w:sz w:val="21"/>
                <w:szCs w:val="21"/>
              </w:rPr>
            </w:pPr>
          </w:p>
        </w:tc>
        <w:tc>
          <w:tcPr>
            <w:tcW w:w="217" w:type="dxa"/>
          </w:tcPr>
          <w:p w14:paraId="5966B679" w14:textId="77777777" w:rsidR="002C0FD9" w:rsidRPr="0076219E" w:rsidRDefault="002C0FD9" w:rsidP="00951C55">
            <w:pPr>
              <w:jc w:val="both"/>
              <w:rPr>
                <w:rFonts w:cs="Arial"/>
                <w:color w:val="FF0000"/>
                <w:sz w:val="21"/>
                <w:szCs w:val="21"/>
              </w:rPr>
            </w:pPr>
          </w:p>
        </w:tc>
        <w:tc>
          <w:tcPr>
            <w:tcW w:w="217" w:type="dxa"/>
          </w:tcPr>
          <w:p w14:paraId="547336B8" w14:textId="77777777" w:rsidR="002C0FD9" w:rsidRPr="0076219E" w:rsidRDefault="002C0FD9" w:rsidP="00951C55">
            <w:pPr>
              <w:jc w:val="both"/>
              <w:rPr>
                <w:rFonts w:cs="Arial"/>
                <w:color w:val="FF0000"/>
                <w:sz w:val="21"/>
                <w:szCs w:val="21"/>
              </w:rPr>
            </w:pPr>
          </w:p>
        </w:tc>
        <w:tc>
          <w:tcPr>
            <w:tcW w:w="217" w:type="dxa"/>
          </w:tcPr>
          <w:p w14:paraId="630706DC" w14:textId="77777777" w:rsidR="002C0FD9" w:rsidRPr="0076219E" w:rsidRDefault="002C0FD9" w:rsidP="00951C55">
            <w:pPr>
              <w:jc w:val="both"/>
              <w:rPr>
                <w:rFonts w:cs="Arial"/>
                <w:color w:val="FF0000"/>
                <w:sz w:val="21"/>
                <w:szCs w:val="21"/>
              </w:rPr>
            </w:pPr>
          </w:p>
        </w:tc>
        <w:tc>
          <w:tcPr>
            <w:tcW w:w="217" w:type="dxa"/>
          </w:tcPr>
          <w:p w14:paraId="1F9F13D8" w14:textId="77777777" w:rsidR="002C0FD9" w:rsidRPr="0076219E" w:rsidRDefault="002C0FD9" w:rsidP="00951C55">
            <w:pPr>
              <w:jc w:val="both"/>
              <w:rPr>
                <w:rFonts w:cs="Arial"/>
                <w:color w:val="FF0000"/>
                <w:sz w:val="21"/>
                <w:szCs w:val="21"/>
              </w:rPr>
            </w:pPr>
          </w:p>
        </w:tc>
        <w:tc>
          <w:tcPr>
            <w:tcW w:w="217" w:type="dxa"/>
          </w:tcPr>
          <w:p w14:paraId="34C90ADA" w14:textId="77777777" w:rsidR="002C0FD9" w:rsidRPr="0076219E" w:rsidRDefault="002C0FD9" w:rsidP="00951C55">
            <w:pPr>
              <w:jc w:val="both"/>
              <w:rPr>
                <w:rFonts w:cs="Arial"/>
                <w:color w:val="FF0000"/>
                <w:sz w:val="21"/>
                <w:szCs w:val="21"/>
              </w:rPr>
            </w:pPr>
          </w:p>
        </w:tc>
        <w:tc>
          <w:tcPr>
            <w:tcW w:w="217" w:type="dxa"/>
          </w:tcPr>
          <w:p w14:paraId="1FB22EAE" w14:textId="77777777" w:rsidR="002C0FD9" w:rsidRPr="0076219E" w:rsidRDefault="002C0FD9" w:rsidP="00951C55">
            <w:pPr>
              <w:jc w:val="both"/>
              <w:rPr>
                <w:rFonts w:cs="Arial"/>
                <w:color w:val="FF0000"/>
                <w:sz w:val="21"/>
                <w:szCs w:val="21"/>
              </w:rPr>
            </w:pPr>
          </w:p>
        </w:tc>
        <w:tc>
          <w:tcPr>
            <w:tcW w:w="217" w:type="dxa"/>
          </w:tcPr>
          <w:p w14:paraId="11B588C1" w14:textId="77777777" w:rsidR="002C0FD9" w:rsidRPr="0076219E" w:rsidRDefault="002C0FD9" w:rsidP="00951C55">
            <w:pPr>
              <w:jc w:val="both"/>
              <w:rPr>
                <w:rFonts w:cs="Arial"/>
                <w:color w:val="FF0000"/>
                <w:sz w:val="21"/>
                <w:szCs w:val="21"/>
              </w:rPr>
            </w:pPr>
          </w:p>
        </w:tc>
        <w:tc>
          <w:tcPr>
            <w:tcW w:w="217" w:type="dxa"/>
          </w:tcPr>
          <w:p w14:paraId="7C4C08C9" w14:textId="77777777" w:rsidR="002C0FD9" w:rsidRPr="0076219E" w:rsidRDefault="002C0FD9" w:rsidP="00951C55">
            <w:pPr>
              <w:jc w:val="both"/>
              <w:rPr>
                <w:rFonts w:cs="Arial"/>
                <w:color w:val="FF0000"/>
                <w:sz w:val="21"/>
                <w:szCs w:val="21"/>
              </w:rPr>
            </w:pPr>
          </w:p>
        </w:tc>
      </w:tr>
      <w:tr w:rsidR="002C0FD9" w:rsidRPr="00A16219" w14:paraId="2C3DA871" w14:textId="33D15CCB" w:rsidTr="002C0FD9">
        <w:tc>
          <w:tcPr>
            <w:tcW w:w="515" w:type="dxa"/>
          </w:tcPr>
          <w:p w14:paraId="12E03616" w14:textId="2DA242E6" w:rsidR="002C0FD9" w:rsidRPr="009651D6" w:rsidRDefault="002C0FD9" w:rsidP="009651D6">
            <w:pPr>
              <w:jc w:val="both"/>
              <w:rPr>
                <w:rFonts w:cs="Arial"/>
                <w:b/>
                <w:bCs/>
                <w:sz w:val="22"/>
                <w:szCs w:val="22"/>
              </w:rPr>
            </w:pPr>
            <w:r w:rsidRPr="00A16219">
              <w:rPr>
                <w:rFonts w:cs="Arial"/>
                <w:b/>
                <w:bCs/>
                <w:sz w:val="22"/>
                <w:szCs w:val="22"/>
              </w:rPr>
              <w:t>iv. Conclusion</w:t>
            </w:r>
          </w:p>
          <w:p w14:paraId="4EBFB989" w14:textId="088935C3" w:rsidR="002C0FD9" w:rsidRPr="00A16219" w:rsidRDefault="002C0FD9" w:rsidP="00437D0E">
            <w:pPr>
              <w:jc w:val="both"/>
              <w:rPr>
                <w:rFonts w:cs="Arial"/>
                <w:sz w:val="22"/>
                <w:szCs w:val="22"/>
              </w:rPr>
            </w:pPr>
          </w:p>
        </w:tc>
        <w:tc>
          <w:tcPr>
            <w:tcW w:w="217" w:type="dxa"/>
          </w:tcPr>
          <w:p w14:paraId="3768B835" w14:textId="77777777" w:rsidR="002C0FD9" w:rsidRPr="00A16219" w:rsidRDefault="002C0FD9" w:rsidP="009651D6">
            <w:pPr>
              <w:jc w:val="both"/>
              <w:rPr>
                <w:rFonts w:cs="Arial"/>
                <w:b/>
                <w:bCs/>
              </w:rPr>
            </w:pPr>
          </w:p>
        </w:tc>
        <w:tc>
          <w:tcPr>
            <w:tcW w:w="217" w:type="dxa"/>
          </w:tcPr>
          <w:p w14:paraId="1EF1CBD6" w14:textId="12D6041E" w:rsidR="002C0FD9" w:rsidRPr="00A16219" w:rsidRDefault="002C0FD9" w:rsidP="009651D6">
            <w:pPr>
              <w:jc w:val="both"/>
              <w:rPr>
                <w:rFonts w:cs="Arial"/>
                <w:b/>
                <w:bCs/>
              </w:rPr>
            </w:pPr>
          </w:p>
        </w:tc>
        <w:tc>
          <w:tcPr>
            <w:tcW w:w="217" w:type="dxa"/>
          </w:tcPr>
          <w:p w14:paraId="26FA1643" w14:textId="77777777" w:rsidR="002C0FD9" w:rsidRPr="00A16219" w:rsidRDefault="002C0FD9" w:rsidP="009651D6">
            <w:pPr>
              <w:jc w:val="both"/>
              <w:rPr>
                <w:rFonts w:cs="Arial"/>
                <w:b/>
                <w:bCs/>
              </w:rPr>
            </w:pPr>
          </w:p>
        </w:tc>
        <w:tc>
          <w:tcPr>
            <w:tcW w:w="217" w:type="dxa"/>
          </w:tcPr>
          <w:p w14:paraId="25F7ED05" w14:textId="0FB4D272" w:rsidR="002C0FD9" w:rsidRPr="00A16219" w:rsidRDefault="002C0FD9" w:rsidP="009651D6">
            <w:pPr>
              <w:jc w:val="both"/>
              <w:rPr>
                <w:rFonts w:cs="Arial"/>
                <w:b/>
                <w:bCs/>
              </w:rPr>
            </w:pPr>
          </w:p>
        </w:tc>
        <w:tc>
          <w:tcPr>
            <w:tcW w:w="217" w:type="dxa"/>
          </w:tcPr>
          <w:p w14:paraId="334C8D58" w14:textId="77777777" w:rsidR="002C0FD9" w:rsidRPr="00A16219" w:rsidRDefault="002C0FD9" w:rsidP="009651D6">
            <w:pPr>
              <w:jc w:val="both"/>
              <w:rPr>
                <w:rFonts w:cs="Arial"/>
                <w:b/>
                <w:bCs/>
              </w:rPr>
            </w:pPr>
          </w:p>
        </w:tc>
        <w:tc>
          <w:tcPr>
            <w:tcW w:w="217" w:type="dxa"/>
          </w:tcPr>
          <w:p w14:paraId="23649437" w14:textId="393AF5E4" w:rsidR="002C0FD9" w:rsidRPr="00A16219" w:rsidRDefault="002C0FD9" w:rsidP="009651D6">
            <w:pPr>
              <w:jc w:val="both"/>
              <w:rPr>
                <w:rFonts w:cs="Arial"/>
                <w:b/>
                <w:bCs/>
              </w:rPr>
            </w:pPr>
          </w:p>
        </w:tc>
        <w:tc>
          <w:tcPr>
            <w:tcW w:w="217" w:type="dxa"/>
          </w:tcPr>
          <w:p w14:paraId="6496BEF8" w14:textId="77777777" w:rsidR="002C0FD9" w:rsidRPr="00A16219" w:rsidRDefault="002C0FD9" w:rsidP="009651D6">
            <w:pPr>
              <w:jc w:val="both"/>
              <w:rPr>
                <w:rFonts w:cs="Arial"/>
                <w:b/>
                <w:bCs/>
              </w:rPr>
            </w:pPr>
          </w:p>
        </w:tc>
        <w:tc>
          <w:tcPr>
            <w:tcW w:w="217" w:type="dxa"/>
          </w:tcPr>
          <w:p w14:paraId="4CECFB24" w14:textId="77777777" w:rsidR="002C0FD9" w:rsidRPr="00A16219" w:rsidRDefault="002C0FD9" w:rsidP="009651D6">
            <w:pPr>
              <w:jc w:val="both"/>
              <w:rPr>
                <w:rFonts w:cs="Arial"/>
                <w:b/>
                <w:bCs/>
              </w:rPr>
            </w:pPr>
          </w:p>
        </w:tc>
        <w:tc>
          <w:tcPr>
            <w:tcW w:w="217" w:type="dxa"/>
          </w:tcPr>
          <w:p w14:paraId="3A6B653A" w14:textId="77777777" w:rsidR="002C0FD9" w:rsidRPr="00A16219" w:rsidRDefault="002C0FD9" w:rsidP="009651D6">
            <w:pPr>
              <w:jc w:val="both"/>
              <w:rPr>
                <w:rFonts w:cs="Arial"/>
                <w:b/>
                <w:bCs/>
              </w:rPr>
            </w:pPr>
          </w:p>
        </w:tc>
        <w:tc>
          <w:tcPr>
            <w:tcW w:w="217" w:type="dxa"/>
          </w:tcPr>
          <w:p w14:paraId="4517310B" w14:textId="77777777" w:rsidR="002C0FD9" w:rsidRPr="00A16219" w:rsidRDefault="002C0FD9" w:rsidP="009651D6">
            <w:pPr>
              <w:jc w:val="both"/>
              <w:rPr>
                <w:rFonts w:cs="Arial"/>
                <w:b/>
                <w:bCs/>
              </w:rPr>
            </w:pPr>
          </w:p>
        </w:tc>
        <w:tc>
          <w:tcPr>
            <w:tcW w:w="217" w:type="dxa"/>
          </w:tcPr>
          <w:p w14:paraId="25C15E12" w14:textId="77777777" w:rsidR="002C0FD9" w:rsidRPr="00A16219" w:rsidRDefault="002C0FD9" w:rsidP="009651D6">
            <w:pPr>
              <w:jc w:val="both"/>
              <w:rPr>
                <w:rFonts w:cs="Arial"/>
                <w:b/>
                <w:bCs/>
              </w:rPr>
            </w:pPr>
          </w:p>
        </w:tc>
        <w:tc>
          <w:tcPr>
            <w:tcW w:w="217" w:type="dxa"/>
          </w:tcPr>
          <w:p w14:paraId="0642A1AC" w14:textId="77777777" w:rsidR="002C0FD9" w:rsidRPr="00A16219" w:rsidRDefault="002C0FD9" w:rsidP="009651D6">
            <w:pPr>
              <w:jc w:val="both"/>
              <w:rPr>
                <w:rFonts w:cs="Arial"/>
                <w:b/>
                <w:bCs/>
              </w:rPr>
            </w:pPr>
          </w:p>
        </w:tc>
        <w:tc>
          <w:tcPr>
            <w:tcW w:w="217" w:type="dxa"/>
          </w:tcPr>
          <w:p w14:paraId="454101C0" w14:textId="77777777" w:rsidR="002C0FD9" w:rsidRPr="00A16219" w:rsidRDefault="002C0FD9" w:rsidP="009651D6">
            <w:pPr>
              <w:jc w:val="both"/>
              <w:rPr>
                <w:rFonts w:cs="Arial"/>
                <w:b/>
                <w:bCs/>
              </w:rPr>
            </w:pPr>
          </w:p>
        </w:tc>
        <w:tc>
          <w:tcPr>
            <w:tcW w:w="217" w:type="dxa"/>
          </w:tcPr>
          <w:p w14:paraId="69ECFA6A" w14:textId="77777777" w:rsidR="002C0FD9" w:rsidRPr="00A16219" w:rsidRDefault="002C0FD9" w:rsidP="009651D6">
            <w:pPr>
              <w:jc w:val="both"/>
              <w:rPr>
                <w:rFonts w:cs="Arial"/>
                <w:b/>
                <w:bCs/>
              </w:rPr>
            </w:pPr>
          </w:p>
        </w:tc>
        <w:tc>
          <w:tcPr>
            <w:tcW w:w="217" w:type="dxa"/>
          </w:tcPr>
          <w:p w14:paraId="5A29945B" w14:textId="7DC6C127" w:rsidR="002C0FD9" w:rsidRPr="00A16219" w:rsidRDefault="002C0FD9" w:rsidP="009651D6">
            <w:pPr>
              <w:jc w:val="both"/>
              <w:rPr>
                <w:rFonts w:cs="Arial"/>
                <w:b/>
                <w:bCs/>
              </w:rPr>
            </w:pPr>
          </w:p>
        </w:tc>
        <w:tc>
          <w:tcPr>
            <w:tcW w:w="217" w:type="dxa"/>
          </w:tcPr>
          <w:p w14:paraId="082D597A" w14:textId="77777777" w:rsidR="002C0FD9" w:rsidRPr="00A16219" w:rsidRDefault="002C0FD9" w:rsidP="009651D6">
            <w:pPr>
              <w:jc w:val="both"/>
              <w:rPr>
                <w:rFonts w:cs="Arial"/>
                <w:b/>
                <w:bCs/>
              </w:rPr>
            </w:pPr>
          </w:p>
        </w:tc>
        <w:tc>
          <w:tcPr>
            <w:tcW w:w="217" w:type="dxa"/>
          </w:tcPr>
          <w:p w14:paraId="4ECE5ECF" w14:textId="77777777" w:rsidR="002C0FD9" w:rsidRPr="00A16219" w:rsidRDefault="002C0FD9" w:rsidP="009651D6">
            <w:pPr>
              <w:jc w:val="both"/>
              <w:rPr>
                <w:rFonts w:cs="Arial"/>
                <w:b/>
                <w:bCs/>
              </w:rPr>
            </w:pPr>
          </w:p>
        </w:tc>
        <w:tc>
          <w:tcPr>
            <w:tcW w:w="217" w:type="dxa"/>
          </w:tcPr>
          <w:p w14:paraId="5E17FB99" w14:textId="77777777" w:rsidR="002C0FD9" w:rsidRPr="00A16219" w:rsidRDefault="002C0FD9" w:rsidP="009651D6">
            <w:pPr>
              <w:jc w:val="both"/>
              <w:rPr>
                <w:rFonts w:cs="Arial"/>
                <w:b/>
                <w:bCs/>
              </w:rPr>
            </w:pPr>
          </w:p>
        </w:tc>
        <w:tc>
          <w:tcPr>
            <w:tcW w:w="217" w:type="dxa"/>
          </w:tcPr>
          <w:p w14:paraId="591BF299" w14:textId="77777777" w:rsidR="002C0FD9" w:rsidRPr="00A16219" w:rsidRDefault="002C0FD9" w:rsidP="009651D6">
            <w:pPr>
              <w:jc w:val="both"/>
              <w:rPr>
                <w:rFonts w:cs="Arial"/>
                <w:b/>
                <w:bCs/>
              </w:rPr>
            </w:pPr>
          </w:p>
        </w:tc>
        <w:tc>
          <w:tcPr>
            <w:tcW w:w="217" w:type="dxa"/>
          </w:tcPr>
          <w:p w14:paraId="2036C581" w14:textId="77777777" w:rsidR="002C0FD9" w:rsidRPr="00A16219" w:rsidRDefault="002C0FD9" w:rsidP="009651D6">
            <w:pPr>
              <w:jc w:val="both"/>
              <w:rPr>
                <w:rFonts w:cs="Arial"/>
                <w:b/>
                <w:bCs/>
              </w:rPr>
            </w:pPr>
          </w:p>
        </w:tc>
        <w:tc>
          <w:tcPr>
            <w:tcW w:w="217" w:type="dxa"/>
          </w:tcPr>
          <w:p w14:paraId="7043AB3F" w14:textId="77777777" w:rsidR="002C0FD9" w:rsidRPr="00A16219" w:rsidRDefault="002C0FD9" w:rsidP="009651D6">
            <w:pPr>
              <w:jc w:val="both"/>
              <w:rPr>
                <w:rFonts w:cs="Arial"/>
                <w:b/>
                <w:bCs/>
              </w:rPr>
            </w:pPr>
          </w:p>
        </w:tc>
        <w:tc>
          <w:tcPr>
            <w:tcW w:w="217" w:type="dxa"/>
          </w:tcPr>
          <w:p w14:paraId="01E1B7E2" w14:textId="77777777" w:rsidR="002C0FD9" w:rsidRPr="00A16219" w:rsidRDefault="002C0FD9" w:rsidP="009651D6">
            <w:pPr>
              <w:jc w:val="both"/>
              <w:rPr>
                <w:rFonts w:cs="Arial"/>
                <w:b/>
                <w:bCs/>
              </w:rPr>
            </w:pPr>
          </w:p>
        </w:tc>
        <w:tc>
          <w:tcPr>
            <w:tcW w:w="217" w:type="dxa"/>
          </w:tcPr>
          <w:p w14:paraId="4B580E4D" w14:textId="77777777" w:rsidR="002C0FD9" w:rsidRPr="00A16219" w:rsidRDefault="002C0FD9" w:rsidP="009651D6">
            <w:pPr>
              <w:jc w:val="both"/>
              <w:rPr>
                <w:rFonts w:cs="Arial"/>
                <w:b/>
                <w:bCs/>
              </w:rPr>
            </w:pPr>
          </w:p>
        </w:tc>
        <w:tc>
          <w:tcPr>
            <w:tcW w:w="217" w:type="dxa"/>
          </w:tcPr>
          <w:p w14:paraId="0C297878" w14:textId="77777777" w:rsidR="002C0FD9" w:rsidRPr="00A16219" w:rsidRDefault="002C0FD9" w:rsidP="009651D6">
            <w:pPr>
              <w:jc w:val="both"/>
              <w:rPr>
                <w:rFonts w:cs="Arial"/>
                <w:b/>
                <w:bCs/>
              </w:rPr>
            </w:pPr>
          </w:p>
        </w:tc>
        <w:tc>
          <w:tcPr>
            <w:tcW w:w="217" w:type="dxa"/>
          </w:tcPr>
          <w:p w14:paraId="2DFF4B91" w14:textId="77777777" w:rsidR="002C0FD9" w:rsidRPr="00A16219" w:rsidRDefault="002C0FD9" w:rsidP="009651D6">
            <w:pPr>
              <w:jc w:val="both"/>
              <w:rPr>
                <w:rFonts w:cs="Arial"/>
                <w:b/>
                <w:bCs/>
              </w:rPr>
            </w:pPr>
          </w:p>
        </w:tc>
        <w:tc>
          <w:tcPr>
            <w:tcW w:w="217" w:type="dxa"/>
          </w:tcPr>
          <w:p w14:paraId="3602C774" w14:textId="77777777" w:rsidR="002C0FD9" w:rsidRPr="00A16219" w:rsidRDefault="002C0FD9" w:rsidP="009651D6">
            <w:pPr>
              <w:jc w:val="both"/>
              <w:rPr>
                <w:rFonts w:cs="Arial"/>
                <w:b/>
                <w:bCs/>
              </w:rPr>
            </w:pPr>
          </w:p>
        </w:tc>
        <w:tc>
          <w:tcPr>
            <w:tcW w:w="217" w:type="dxa"/>
          </w:tcPr>
          <w:p w14:paraId="23AA7573" w14:textId="77777777" w:rsidR="002C0FD9" w:rsidRPr="00A16219" w:rsidRDefault="002C0FD9" w:rsidP="009651D6">
            <w:pPr>
              <w:jc w:val="both"/>
              <w:rPr>
                <w:rFonts w:cs="Arial"/>
                <w:b/>
                <w:bCs/>
              </w:rPr>
            </w:pPr>
          </w:p>
        </w:tc>
        <w:tc>
          <w:tcPr>
            <w:tcW w:w="217" w:type="dxa"/>
          </w:tcPr>
          <w:p w14:paraId="5D687B1E" w14:textId="77777777" w:rsidR="002C0FD9" w:rsidRPr="00A16219" w:rsidRDefault="002C0FD9" w:rsidP="009651D6">
            <w:pPr>
              <w:jc w:val="both"/>
              <w:rPr>
                <w:rFonts w:cs="Arial"/>
                <w:b/>
                <w:bCs/>
              </w:rPr>
            </w:pPr>
          </w:p>
        </w:tc>
        <w:tc>
          <w:tcPr>
            <w:tcW w:w="217" w:type="dxa"/>
          </w:tcPr>
          <w:p w14:paraId="0C480C89" w14:textId="77777777" w:rsidR="002C0FD9" w:rsidRPr="00A16219" w:rsidRDefault="002C0FD9" w:rsidP="009651D6">
            <w:pPr>
              <w:jc w:val="both"/>
              <w:rPr>
                <w:rFonts w:cs="Arial"/>
                <w:b/>
                <w:bCs/>
              </w:rPr>
            </w:pPr>
          </w:p>
        </w:tc>
        <w:tc>
          <w:tcPr>
            <w:tcW w:w="217" w:type="dxa"/>
          </w:tcPr>
          <w:p w14:paraId="4315A70E" w14:textId="77777777" w:rsidR="002C0FD9" w:rsidRPr="00A16219" w:rsidRDefault="002C0FD9" w:rsidP="009651D6">
            <w:pPr>
              <w:jc w:val="both"/>
              <w:rPr>
                <w:rFonts w:cs="Arial"/>
                <w:b/>
                <w:bCs/>
              </w:rPr>
            </w:pPr>
          </w:p>
        </w:tc>
        <w:tc>
          <w:tcPr>
            <w:tcW w:w="217" w:type="dxa"/>
          </w:tcPr>
          <w:p w14:paraId="30B6A246" w14:textId="77777777" w:rsidR="002C0FD9" w:rsidRPr="00A16219" w:rsidRDefault="002C0FD9" w:rsidP="009651D6">
            <w:pPr>
              <w:jc w:val="both"/>
              <w:rPr>
                <w:rFonts w:cs="Arial"/>
                <w:b/>
                <w:bCs/>
              </w:rPr>
            </w:pPr>
          </w:p>
        </w:tc>
        <w:tc>
          <w:tcPr>
            <w:tcW w:w="217" w:type="dxa"/>
          </w:tcPr>
          <w:p w14:paraId="697C1744" w14:textId="77777777" w:rsidR="002C0FD9" w:rsidRPr="00A16219" w:rsidRDefault="002C0FD9" w:rsidP="009651D6">
            <w:pPr>
              <w:jc w:val="both"/>
              <w:rPr>
                <w:rFonts w:cs="Arial"/>
                <w:b/>
                <w:bCs/>
              </w:rPr>
            </w:pPr>
          </w:p>
        </w:tc>
        <w:tc>
          <w:tcPr>
            <w:tcW w:w="217" w:type="dxa"/>
          </w:tcPr>
          <w:p w14:paraId="5895829D" w14:textId="77777777" w:rsidR="002C0FD9" w:rsidRPr="00A16219" w:rsidRDefault="002C0FD9" w:rsidP="009651D6">
            <w:pPr>
              <w:jc w:val="both"/>
              <w:rPr>
                <w:rFonts w:cs="Arial"/>
                <w:b/>
                <w:bCs/>
              </w:rPr>
            </w:pPr>
          </w:p>
        </w:tc>
        <w:tc>
          <w:tcPr>
            <w:tcW w:w="217" w:type="dxa"/>
          </w:tcPr>
          <w:p w14:paraId="7AC0A4FC" w14:textId="77777777" w:rsidR="002C0FD9" w:rsidRPr="00A16219" w:rsidRDefault="002C0FD9" w:rsidP="009651D6">
            <w:pPr>
              <w:jc w:val="both"/>
              <w:rPr>
                <w:rFonts w:cs="Arial"/>
                <w:b/>
                <w:bCs/>
              </w:rPr>
            </w:pPr>
          </w:p>
        </w:tc>
        <w:tc>
          <w:tcPr>
            <w:tcW w:w="217" w:type="dxa"/>
          </w:tcPr>
          <w:p w14:paraId="4B866396" w14:textId="77777777" w:rsidR="002C0FD9" w:rsidRPr="00A16219" w:rsidRDefault="002C0FD9" w:rsidP="009651D6">
            <w:pPr>
              <w:jc w:val="both"/>
              <w:rPr>
                <w:rFonts w:cs="Arial"/>
                <w:b/>
                <w:bCs/>
              </w:rPr>
            </w:pPr>
          </w:p>
        </w:tc>
        <w:tc>
          <w:tcPr>
            <w:tcW w:w="217" w:type="dxa"/>
          </w:tcPr>
          <w:p w14:paraId="7DA75E0F" w14:textId="77777777" w:rsidR="002C0FD9" w:rsidRPr="00A16219" w:rsidRDefault="002C0FD9" w:rsidP="009651D6">
            <w:pPr>
              <w:jc w:val="both"/>
              <w:rPr>
                <w:rFonts w:cs="Arial"/>
                <w:b/>
                <w:bCs/>
              </w:rPr>
            </w:pPr>
          </w:p>
        </w:tc>
        <w:tc>
          <w:tcPr>
            <w:tcW w:w="217" w:type="dxa"/>
          </w:tcPr>
          <w:p w14:paraId="18D06D39" w14:textId="77777777" w:rsidR="002C0FD9" w:rsidRPr="00A16219" w:rsidRDefault="002C0FD9" w:rsidP="009651D6">
            <w:pPr>
              <w:jc w:val="both"/>
              <w:rPr>
                <w:rFonts w:cs="Arial"/>
                <w:b/>
                <w:bCs/>
              </w:rPr>
            </w:pPr>
          </w:p>
        </w:tc>
        <w:tc>
          <w:tcPr>
            <w:tcW w:w="217" w:type="dxa"/>
          </w:tcPr>
          <w:p w14:paraId="0EFADC48" w14:textId="77777777" w:rsidR="002C0FD9" w:rsidRPr="00A16219" w:rsidRDefault="002C0FD9" w:rsidP="009651D6">
            <w:pPr>
              <w:jc w:val="both"/>
              <w:rPr>
                <w:rFonts w:cs="Arial"/>
                <w:b/>
                <w:bCs/>
              </w:rPr>
            </w:pPr>
          </w:p>
        </w:tc>
        <w:tc>
          <w:tcPr>
            <w:tcW w:w="217" w:type="dxa"/>
          </w:tcPr>
          <w:p w14:paraId="48E16EF4" w14:textId="77777777" w:rsidR="002C0FD9" w:rsidRPr="00A16219" w:rsidRDefault="002C0FD9" w:rsidP="009651D6">
            <w:pPr>
              <w:jc w:val="both"/>
              <w:rPr>
                <w:rFonts w:cs="Arial"/>
                <w:b/>
                <w:bCs/>
              </w:rPr>
            </w:pPr>
          </w:p>
        </w:tc>
        <w:tc>
          <w:tcPr>
            <w:tcW w:w="217" w:type="dxa"/>
          </w:tcPr>
          <w:p w14:paraId="0B6A5458" w14:textId="77777777" w:rsidR="002C0FD9" w:rsidRPr="00A16219" w:rsidRDefault="002C0FD9" w:rsidP="009651D6">
            <w:pPr>
              <w:jc w:val="both"/>
              <w:rPr>
                <w:rFonts w:cs="Arial"/>
                <w:b/>
                <w:bCs/>
              </w:rPr>
            </w:pPr>
          </w:p>
        </w:tc>
        <w:tc>
          <w:tcPr>
            <w:tcW w:w="217" w:type="dxa"/>
          </w:tcPr>
          <w:p w14:paraId="0932754F" w14:textId="77777777" w:rsidR="002C0FD9" w:rsidRPr="00A16219" w:rsidRDefault="002C0FD9" w:rsidP="009651D6">
            <w:pPr>
              <w:jc w:val="both"/>
              <w:rPr>
                <w:rFonts w:cs="Arial"/>
                <w:b/>
                <w:bCs/>
              </w:rPr>
            </w:pPr>
          </w:p>
        </w:tc>
        <w:tc>
          <w:tcPr>
            <w:tcW w:w="217" w:type="dxa"/>
          </w:tcPr>
          <w:p w14:paraId="6FCB1A28" w14:textId="77777777" w:rsidR="002C0FD9" w:rsidRPr="00A16219" w:rsidRDefault="002C0FD9" w:rsidP="009651D6">
            <w:pPr>
              <w:jc w:val="both"/>
              <w:rPr>
                <w:rFonts w:cs="Arial"/>
                <w:b/>
                <w:bCs/>
              </w:rPr>
            </w:pPr>
          </w:p>
        </w:tc>
      </w:tr>
      <w:tr w:rsidR="002C0FD9" w:rsidRPr="00A16219" w14:paraId="713D4206" w14:textId="0B954409" w:rsidTr="002C0FD9">
        <w:trPr>
          <w:trHeight w:val="635"/>
        </w:trPr>
        <w:tc>
          <w:tcPr>
            <w:tcW w:w="515" w:type="dxa"/>
          </w:tcPr>
          <w:p w14:paraId="1822D76F" w14:textId="64ECDB3D" w:rsidR="002C0FD9" w:rsidRPr="00CA25CF" w:rsidRDefault="002C0FD9" w:rsidP="00CA25CF">
            <w:pPr>
              <w:rPr>
                <w:rFonts w:cs="Arial"/>
                <w:color w:val="FF0000"/>
                <w:sz w:val="21"/>
                <w:szCs w:val="21"/>
              </w:rPr>
            </w:pPr>
          </w:p>
          <w:p w14:paraId="0BAF8BA1" w14:textId="77777777" w:rsidR="002C0FD9" w:rsidRPr="00CA25CF" w:rsidRDefault="002C0FD9" w:rsidP="00CA25CF">
            <w:pPr>
              <w:rPr>
                <w:rFonts w:cs="Arial"/>
                <w:color w:val="FF0000"/>
                <w:sz w:val="21"/>
                <w:szCs w:val="21"/>
              </w:rPr>
            </w:pPr>
          </w:p>
          <w:p w14:paraId="688C4BD8" w14:textId="1FE89D4C" w:rsidR="002C0FD9" w:rsidRPr="00CA25CF" w:rsidRDefault="002C0FD9" w:rsidP="00CA25CF">
            <w:pPr>
              <w:rPr>
                <w:rFonts w:cs="Arial"/>
                <w:color w:val="FF0000"/>
                <w:sz w:val="21"/>
                <w:szCs w:val="21"/>
              </w:rPr>
            </w:pPr>
            <w:r w:rsidRPr="00CA25CF">
              <w:rPr>
                <w:rFonts w:cs="Arial"/>
                <w:color w:val="FF0000"/>
                <w:sz w:val="21"/>
                <w:szCs w:val="21"/>
              </w:rPr>
              <w:t>collectively: How Performance Impacts Team Effectiveness and Social Integration Are Modulated by Ethical Leadership," The vital role that moral leadership plays in preserving the cohesiveness and productivity of a team is examined by Martin, Emich, McClean, and Woodruff (2022). Their results imply that moral leadership acts as a buffer, reducing the detrimental effects of output on social integration and team efficacy. This emphasises how important it is for companies to develop an ethical leadership culture in order to promote productive teams and results.</w:t>
            </w:r>
          </w:p>
          <w:p w14:paraId="69468BB0" w14:textId="77777777" w:rsidR="002C0FD9" w:rsidRPr="00CA25CF" w:rsidRDefault="002C0FD9" w:rsidP="00CA25CF">
            <w:pPr>
              <w:rPr>
                <w:rFonts w:cs="Arial"/>
                <w:color w:val="FF0000"/>
                <w:sz w:val="21"/>
                <w:szCs w:val="21"/>
              </w:rPr>
            </w:pPr>
            <w:r w:rsidRPr="00CA25CF">
              <w:rPr>
                <w:rFonts w:cs="Arial"/>
                <w:color w:val="FF0000"/>
                <w:sz w:val="21"/>
                <w:szCs w:val="21"/>
              </w:rPr>
              <w:t xml:space="preserve"> </w:t>
            </w:r>
          </w:p>
          <w:p w14:paraId="6AB4A1B5" w14:textId="7734EA86" w:rsidR="002C0FD9" w:rsidRDefault="002C0FD9" w:rsidP="00E90423">
            <w:pPr>
              <w:jc w:val="both"/>
              <w:rPr>
                <w:rFonts w:cs="Arial"/>
                <w:color w:val="FF0000"/>
                <w:sz w:val="21"/>
                <w:szCs w:val="21"/>
              </w:rPr>
            </w:pPr>
            <w:r w:rsidRPr="00CA25CF">
              <w:rPr>
                <w:rFonts w:cs="Arial"/>
                <w:color w:val="FF0000"/>
                <w:sz w:val="21"/>
                <w:szCs w:val="21"/>
              </w:rPr>
              <w:t>The study concludes by highlighting the significance of moral leadership in building robust and cohesive teams. Leaders can foster an atmosphere where team members feel encouraged, appreciated, and motivated to work together to achieve common goals by placing a strong emphasis on moral behaviour and values. This study provides an insightful</w:t>
            </w:r>
          </w:p>
          <w:p w14:paraId="54919CE8" w14:textId="450EFAB4" w:rsidR="002C0FD9" w:rsidRPr="00A16219" w:rsidRDefault="002C0FD9" w:rsidP="00E90423">
            <w:pPr>
              <w:jc w:val="both"/>
              <w:rPr>
                <w:rFonts w:cs="Arial"/>
                <w:color w:val="FF0000"/>
                <w:sz w:val="22"/>
                <w:szCs w:val="22"/>
              </w:rPr>
            </w:pPr>
          </w:p>
        </w:tc>
        <w:tc>
          <w:tcPr>
            <w:tcW w:w="217" w:type="dxa"/>
          </w:tcPr>
          <w:p w14:paraId="1D3CFCE5" w14:textId="77777777" w:rsidR="002C0FD9" w:rsidRPr="00CA25CF" w:rsidRDefault="002C0FD9" w:rsidP="00CA25CF">
            <w:pPr>
              <w:rPr>
                <w:rFonts w:cs="Arial"/>
                <w:color w:val="FF0000"/>
                <w:sz w:val="21"/>
                <w:szCs w:val="21"/>
              </w:rPr>
            </w:pPr>
          </w:p>
        </w:tc>
        <w:tc>
          <w:tcPr>
            <w:tcW w:w="217" w:type="dxa"/>
          </w:tcPr>
          <w:p w14:paraId="35D3B462" w14:textId="5F460BBB" w:rsidR="002C0FD9" w:rsidRPr="00CA25CF" w:rsidRDefault="002C0FD9" w:rsidP="00CA25CF">
            <w:pPr>
              <w:rPr>
                <w:rFonts w:cs="Arial"/>
                <w:color w:val="FF0000"/>
                <w:sz w:val="21"/>
                <w:szCs w:val="21"/>
              </w:rPr>
            </w:pPr>
          </w:p>
        </w:tc>
        <w:tc>
          <w:tcPr>
            <w:tcW w:w="217" w:type="dxa"/>
          </w:tcPr>
          <w:p w14:paraId="68DD5284" w14:textId="77777777" w:rsidR="002C0FD9" w:rsidRPr="00CA25CF" w:rsidRDefault="002C0FD9" w:rsidP="00CA25CF">
            <w:pPr>
              <w:rPr>
                <w:rFonts w:cs="Arial"/>
                <w:color w:val="FF0000"/>
                <w:sz w:val="21"/>
                <w:szCs w:val="21"/>
              </w:rPr>
            </w:pPr>
          </w:p>
        </w:tc>
        <w:tc>
          <w:tcPr>
            <w:tcW w:w="217" w:type="dxa"/>
          </w:tcPr>
          <w:p w14:paraId="61F0CC18" w14:textId="4E27D32D" w:rsidR="002C0FD9" w:rsidRPr="00CA25CF" w:rsidRDefault="002C0FD9" w:rsidP="00CA25CF">
            <w:pPr>
              <w:rPr>
                <w:rFonts w:cs="Arial"/>
                <w:color w:val="FF0000"/>
                <w:sz w:val="21"/>
                <w:szCs w:val="21"/>
              </w:rPr>
            </w:pPr>
          </w:p>
        </w:tc>
        <w:tc>
          <w:tcPr>
            <w:tcW w:w="217" w:type="dxa"/>
          </w:tcPr>
          <w:p w14:paraId="6DD29333" w14:textId="77777777" w:rsidR="002C0FD9" w:rsidRPr="00CA25CF" w:rsidRDefault="002C0FD9" w:rsidP="00CA25CF">
            <w:pPr>
              <w:rPr>
                <w:rFonts w:cs="Arial"/>
                <w:color w:val="FF0000"/>
                <w:sz w:val="21"/>
                <w:szCs w:val="21"/>
              </w:rPr>
            </w:pPr>
          </w:p>
        </w:tc>
        <w:tc>
          <w:tcPr>
            <w:tcW w:w="217" w:type="dxa"/>
          </w:tcPr>
          <w:p w14:paraId="0D4B5E28" w14:textId="7843F3E7" w:rsidR="002C0FD9" w:rsidRPr="00CA25CF" w:rsidRDefault="002C0FD9" w:rsidP="00CA25CF">
            <w:pPr>
              <w:rPr>
                <w:rFonts w:cs="Arial"/>
                <w:color w:val="FF0000"/>
                <w:sz w:val="21"/>
                <w:szCs w:val="21"/>
              </w:rPr>
            </w:pPr>
          </w:p>
        </w:tc>
        <w:tc>
          <w:tcPr>
            <w:tcW w:w="217" w:type="dxa"/>
          </w:tcPr>
          <w:p w14:paraId="1F67EF50" w14:textId="77777777" w:rsidR="002C0FD9" w:rsidRPr="00CA25CF" w:rsidRDefault="002C0FD9" w:rsidP="00CA25CF">
            <w:pPr>
              <w:rPr>
                <w:rFonts w:cs="Arial"/>
                <w:color w:val="FF0000"/>
                <w:sz w:val="21"/>
                <w:szCs w:val="21"/>
              </w:rPr>
            </w:pPr>
          </w:p>
        </w:tc>
        <w:tc>
          <w:tcPr>
            <w:tcW w:w="217" w:type="dxa"/>
          </w:tcPr>
          <w:p w14:paraId="3A96E146" w14:textId="77777777" w:rsidR="002C0FD9" w:rsidRPr="00CA25CF" w:rsidRDefault="002C0FD9" w:rsidP="00CA25CF">
            <w:pPr>
              <w:rPr>
                <w:rFonts w:cs="Arial"/>
                <w:color w:val="FF0000"/>
                <w:sz w:val="21"/>
                <w:szCs w:val="21"/>
              </w:rPr>
            </w:pPr>
          </w:p>
        </w:tc>
        <w:tc>
          <w:tcPr>
            <w:tcW w:w="217" w:type="dxa"/>
          </w:tcPr>
          <w:p w14:paraId="494D1C83" w14:textId="77777777" w:rsidR="002C0FD9" w:rsidRPr="00CA25CF" w:rsidRDefault="002C0FD9" w:rsidP="00CA25CF">
            <w:pPr>
              <w:rPr>
                <w:rFonts w:cs="Arial"/>
                <w:color w:val="FF0000"/>
                <w:sz w:val="21"/>
                <w:szCs w:val="21"/>
              </w:rPr>
            </w:pPr>
          </w:p>
        </w:tc>
        <w:tc>
          <w:tcPr>
            <w:tcW w:w="217" w:type="dxa"/>
          </w:tcPr>
          <w:p w14:paraId="2E4B9E84" w14:textId="77777777" w:rsidR="002C0FD9" w:rsidRPr="00CA25CF" w:rsidRDefault="002C0FD9" w:rsidP="00CA25CF">
            <w:pPr>
              <w:rPr>
                <w:rFonts w:cs="Arial"/>
                <w:color w:val="FF0000"/>
                <w:sz w:val="21"/>
                <w:szCs w:val="21"/>
              </w:rPr>
            </w:pPr>
          </w:p>
        </w:tc>
        <w:tc>
          <w:tcPr>
            <w:tcW w:w="217" w:type="dxa"/>
          </w:tcPr>
          <w:p w14:paraId="260CE806" w14:textId="77777777" w:rsidR="002C0FD9" w:rsidRPr="00CA25CF" w:rsidRDefault="002C0FD9" w:rsidP="00CA25CF">
            <w:pPr>
              <w:rPr>
                <w:rFonts w:cs="Arial"/>
                <w:color w:val="FF0000"/>
                <w:sz w:val="21"/>
                <w:szCs w:val="21"/>
              </w:rPr>
            </w:pPr>
          </w:p>
        </w:tc>
        <w:tc>
          <w:tcPr>
            <w:tcW w:w="217" w:type="dxa"/>
          </w:tcPr>
          <w:p w14:paraId="582DFF40" w14:textId="77777777" w:rsidR="002C0FD9" w:rsidRPr="00CA25CF" w:rsidRDefault="002C0FD9" w:rsidP="00CA25CF">
            <w:pPr>
              <w:rPr>
                <w:rFonts w:cs="Arial"/>
                <w:color w:val="FF0000"/>
                <w:sz w:val="21"/>
                <w:szCs w:val="21"/>
              </w:rPr>
            </w:pPr>
          </w:p>
        </w:tc>
        <w:tc>
          <w:tcPr>
            <w:tcW w:w="217" w:type="dxa"/>
          </w:tcPr>
          <w:p w14:paraId="77A6289E" w14:textId="77777777" w:rsidR="002C0FD9" w:rsidRPr="00CA25CF" w:rsidRDefault="002C0FD9" w:rsidP="00CA25CF">
            <w:pPr>
              <w:rPr>
                <w:rFonts w:cs="Arial"/>
                <w:color w:val="FF0000"/>
                <w:sz w:val="21"/>
                <w:szCs w:val="21"/>
              </w:rPr>
            </w:pPr>
          </w:p>
        </w:tc>
        <w:tc>
          <w:tcPr>
            <w:tcW w:w="217" w:type="dxa"/>
          </w:tcPr>
          <w:p w14:paraId="3C712498" w14:textId="77777777" w:rsidR="002C0FD9" w:rsidRPr="00CA25CF" w:rsidRDefault="002C0FD9" w:rsidP="00CA25CF">
            <w:pPr>
              <w:rPr>
                <w:rFonts w:cs="Arial"/>
                <w:color w:val="FF0000"/>
                <w:sz w:val="21"/>
                <w:szCs w:val="21"/>
              </w:rPr>
            </w:pPr>
          </w:p>
        </w:tc>
        <w:tc>
          <w:tcPr>
            <w:tcW w:w="217" w:type="dxa"/>
          </w:tcPr>
          <w:p w14:paraId="1708DAC1" w14:textId="71F40CAB" w:rsidR="002C0FD9" w:rsidRPr="00CA25CF" w:rsidRDefault="002C0FD9" w:rsidP="00CA25CF">
            <w:pPr>
              <w:rPr>
                <w:rFonts w:cs="Arial"/>
                <w:color w:val="FF0000"/>
                <w:sz w:val="21"/>
                <w:szCs w:val="21"/>
              </w:rPr>
            </w:pPr>
          </w:p>
        </w:tc>
        <w:tc>
          <w:tcPr>
            <w:tcW w:w="217" w:type="dxa"/>
          </w:tcPr>
          <w:p w14:paraId="49BCDF27" w14:textId="77777777" w:rsidR="002C0FD9" w:rsidRPr="00CA25CF" w:rsidRDefault="002C0FD9" w:rsidP="00CA25CF">
            <w:pPr>
              <w:rPr>
                <w:rFonts w:cs="Arial"/>
                <w:color w:val="FF0000"/>
                <w:sz w:val="21"/>
                <w:szCs w:val="21"/>
              </w:rPr>
            </w:pPr>
          </w:p>
        </w:tc>
        <w:tc>
          <w:tcPr>
            <w:tcW w:w="217" w:type="dxa"/>
          </w:tcPr>
          <w:p w14:paraId="6DC9A81E" w14:textId="77777777" w:rsidR="002C0FD9" w:rsidRPr="00CA25CF" w:rsidRDefault="002C0FD9" w:rsidP="00CA25CF">
            <w:pPr>
              <w:rPr>
                <w:rFonts w:cs="Arial"/>
                <w:color w:val="FF0000"/>
                <w:sz w:val="21"/>
                <w:szCs w:val="21"/>
              </w:rPr>
            </w:pPr>
          </w:p>
        </w:tc>
        <w:tc>
          <w:tcPr>
            <w:tcW w:w="217" w:type="dxa"/>
          </w:tcPr>
          <w:p w14:paraId="6C4375A4" w14:textId="77777777" w:rsidR="002C0FD9" w:rsidRPr="00CA25CF" w:rsidRDefault="002C0FD9" w:rsidP="00CA25CF">
            <w:pPr>
              <w:rPr>
                <w:rFonts w:cs="Arial"/>
                <w:color w:val="FF0000"/>
                <w:sz w:val="21"/>
                <w:szCs w:val="21"/>
              </w:rPr>
            </w:pPr>
          </w:p>
        </w:tc>
        <w:tc>
          <w:tcPr>
            <w:tcW w:w="217" w:type="dxa"/>
          </w:tcPr>
          <w:p w14:paraId="7305003F" w14:textId="77777777" w:rsidR="002C0FD9" w:rsidRPr="00CA25CF" w:rsidRDefault="002C0FD9" w:rsidP="00CA25CF">
            <w:pPr>
              <w:rPr>
                <w:rFonts w:cs="Arial"/>
                <w:color w:val="FF0000"/>
                <w:sz w:val="21"/>
                <w:szCs w:val="21"/>
              </w:rPr>
            </w:pPr>
          </w:p>
        </w:tc>
        <w:tc>
          <w:tcPr>
            <w:tcW w:w="217" w:type="dxa"/>
          </w:tcPr>
          <w:p w14:paraId="21E771D7" w14:textId="77777777" w:rsidR="002C0FD9" w:rsidRPr="00CA25CF" w:rsidRDefault="002C0FD9" w:rsidP="00CA25CF">
            <w:pPr>
              <w:rPr>
                <w:rFonts w:cs="Arial"/>
                <w:color w:val="FF0000"/>
                <w:sz w:val="21"/>
                <w:szCs w:val="21"/>
              </w:rPr>
            </w:pPr>
          </w:p>
        </w:tc>
        <w:tc>
          <w:tcPr>
            <w:tcW w:w="217" w:type="dxa"/>
          </w:tcPr>
          <w:p w14:paraId="47070FCF" w14:textId="77777777" w:rsidR="002C0FD9" w:rsidRPr="00CA25CF" w:rsidRDefault="002C0FD9" w:rsidP="00CA25CF">
            <w:pPr>
              <w:rPr>
                <w:rFonts w:cs="Arial"/>
                <w:color w:val="FF0000"/>
                <w:sz w:val="21"/>
                <w:szCs w:val="21"/>
              </w:rPr>
            </w:pPr>
          </w:p>
        </w:tc>
        <w:tc>
          <w:tcPr>
            <w:tcW w:w="217" w:type="dxa"/>
          </w:tcPr>
          <w:p w14:paraId="785FCB3B" w14:textId="77777777" w:rsidR="002C0FD9" w:rsidRPr="00CA25CF" w:rsidRDefault="002C0FD9" w:rsidP="00CA25CF">
            <w:pPr>
              <w:rPr>
                <w:rFonts w:cs="Arial"/>
                <w:color w:val="FF0000"/>
                <w:sz w:val="21"/>
                <w:szCs w:val="21"/>
              </w:rPr>
            </w:pPr>
          </w:p>
        </w:tc>
        <w:tc>
          <w:tcPr>
            <w:tcW w:w="217" w:type="dxa"/>
          </w:tcPr>
          <w:p w14:paraId="0E049EF5" w14:textId="77777777" w:rsidR="002C0FD9" w:rsidRPr="00CA25CF" w:rsidRDefault="002C0FD9" w:rsidP="00CA25CF">
            <w:pPr>
              <w:rPr>
                <w:rFonts w:cs="Arial"/>
                <w:color w:val="FF0000"/>
                <w:sz w:val="21"/>
                <w:szCs w:val="21"/>
              </w:rPr>
            </w:pPr>
          </w:p>
        </w:tc>
        <w:tc>
          <w:tcPr>
            <w:tcW w:w="217" w:type="dxa"/>
          </w:tcPr>
          <w:p w14:paraId="6252CE88" w14:textId="77777777" w:rsidR="002C0FD9" w:rsidRPr="00CA25CF" w:rsidRDefault="002C0FD9" w:rsidP="00CA25CF">
            <w:pPr>
              <w:rPr>
                <w:rFonts w:cs="Arial"/>
                <w:color w:val="FF0000"/>
                <w:sz w:val="21"/>
                <w:szCs w:val="21"/>
              </w:rPr>
            </w:pPr>
          </w:p>
        </w:tc>
        <w:tc>
          <w:tcPr>
            <w:tcW w:w="217" w:type="dxa"/>
          </w:tcPr>
          <w:p w14:paraId="1DCA13B8" w14:textId="77777777" w:rsidR="002C0FD9" w:rsidRPr="00CA25CF" w:rsidRDefault="002C0FD9" w:rsidP="00CA25CF">
            <w:pPr>
              <w:rPr>
                <w:rFonts w:cs="Arial"/>
                <w:color w:val="FF0000"/>
                <w:sz w:val="21"/>
                <w:szCs w:val="21"/>
              </w:rPr>
            </w:pPr>
          </w:p>
        </w:tc>
        <w:tc>
          <w:tcPr>
            <w:tcW w:w="217" w:type="dxa"/>
          </w:tcPr>
          <w:p w14:paraId="6C634B4A" w14:textId="77777777" w:rsidR="002C0FD9" w:rsidRPr="00CA25CF" w:rsidRDefault="002C0FD9" w:rsidP="00CA25CF">
            <w:pPr>
              <w:rPr>
                <w:rFonts w:cs="Arial"/>
                <w:color w:val="FF0000"/>
                <w:sz w:val="21"/>
                <w:szCs w:val="21"/>
              </w:rPr>
            </w:pPr>
          </w:p>
        </w:tc>
        <w:tc>
          <w:tcPr>
            <w:tcW w:w="217" w:type="dxa"/>
          </w:tcPr>
          <w:p w14:paraId="384C40BB" w14:textId="77777777" w:rsidR="002C0FD9" w:rsidRPr="00CA25CF" w:rsidRDefault="002C0FD9" w:rsidP="00CA25CF">
            <w:pPr>
              <w:rPr>
                <w:rFonts w:cs="Arial"/>
                <w:color w:val="FF0000"/>
                <w:sz w:val="21"/>
                <w:szCs w:val="21"/>
              </w:rPr>
            </w:pPr>
          </w:p>
        </w:tc>
        <w:tc>
          <w:tcPr>
            <w:tcW w:w="217" w:type="dxa"/>
          </w:tcPr>
          <w:p w14:paraId="605C2085" w14:textId="77777777" w:rsidR="002C0FD9" w:rsidRPr="00CA25CF" w:rsidRDefault="002C0FD9" w:rsidP="00CA25CF">
            <w:pPr>
              <w:rPr>
                <w:rFonts w:cs="Arial"/>
                <w:color w:val="FF0000"/>
                <w:sz w:val="21"/>
                <w:szCs w:val="21"/>
              </w:rPr>
            </w:pPr>
          </w:p>
        </w:tc>
        <w:tc>
          <w:tcPr>
            <w:tcW w:w="217" w:type="dxa"/>
          </w:tcPr>
          <w:p w14:paraId="49587F4F" w14:textId="77777777" w:rsidR="002C0FD9" w:rsidRPr="00CA25CF" w:rsidRDefault="002C0FD9" w:rsidP="00CA25CF">
            <w:pPr>
              <w:rPr>
                <w:rFonts w:cs="Arial"/>
                <w:color w:val="FF0000"/>
                <w:sz w:val="21"/>
                <w:szCs w:val="21"/>
              </w:rPr>
            </w:pPr>
          </w:p>
        </w:tc>
        <w:tc>
          <w:tcPr>
            <w:tcW w:w="217" w:type="dxa"/>
          </w:tcPr>
          <w:p w14:paraId="6318D03D" w14:textId="77777777" w:rsidR="002C0FD9" w:rsidRPr="00CA25CF" w:rsidRDefault="002C0FD9" w:rsidP="00CA25CF">
            <w:pPr>
              <w:rPr>
                <w:rFonts w:cs="Arial"/>
                <w:color w:val="FF0000"/>
                <w:sz w:val="21"/>
                <w:szCs w:val="21"/>
              </w:rPr>
            </w:pPr>
          </w:p>
        </w:tc>
        <w:tc>
          <w:tcPr>
            <w:tcW w:w="217" w:type="dxa"/>
          </w:tcPr>
          <w:p w14:paraId="49F9AC7F" w14:textId="77777777" w:rsidR="002C0FD9" w:rsidRPr="00CA25CF" w:rsidRDefault="002C0FD9" w:rsidP="00CA25CF">
            <w:pPr>
              <w:rPr>
                <w:rFonts w:cs="Arial"/>
                <w:color w:val="FF0000"/>
                <w:sz w:val="21"/>
                <w:szCs w:val="21"/>
              </w:rPr>
            </w:pPr>
          </w:p>
        </w:tc>
        <w:tc>
          <w:tcPr>
            <w:tcW w:w="217" w:type="dxa"/>
          </w:tcPr>
          <w:p w14:paraId="0A5B530A" w14:textId="77777777" w:rsidR="002C0FD9" w:rsidRPr="00CA25CF" w:rsidRDefault="002C0FD9" w:rsidP="00CA25CF">
            <w:pPr>
              <w:rPr>
                <w:rFonts w:cs="Arial"/>
                <w:color w:val="FF0000"/>
                <w:sz w:val="21"/>
                <w:szCs w:val="21"/>
              </w:rPr>
            </w:pPr>
          </w:p>
        </w:tc>
        <w:tc>
          <w:tcPr>
            <w:tcW w:w="217" w:type="dxa"/>
          </w:tcPr>
          <w:p w14:paraId="6C8D645F" w14:textId="77777777" w:rsidR="002C0FD9" w:rsidRPr="00CA25CF" w:rsidRDefault="002C0FD9" w:rsidP="00CA25CF">
            <w:pPr>
              <w:rPr>
                <w:rFonts w:cs="Arial"/>
                <w:color w:val="FF0000"/>
                <w:sz w:val="21"/>
                <w:szCs w:val="21"/>
              </w:rPr>
            </w:pPr>
          </w:p>
        </w:tc>
        <w:tc>
          <w:tcPr>
            <w:tcW w:w="217" w:type="dxa"/>
          </w:tcPr>
          <w:p w14:paraId="07508421" w14:textId="77777777" w:rsidR="002C0FD9" w:rsidRPr="00CA25CF" w:rsidRDefault="002C0FD9" w:rsidP="00CA25CF">
            <w:pPr>
              <w:rPr>
                <w:rFonts w:cs="Arial"/>
                <w:color w:val="FF0000"/>
                <w:sz w:val="21"/>
                <w:szCs w:val="21"/>
              </w:rPr>
            </w:pPr>
          </w:p>
        </w:tc>
        <w:tc>
          <w:tcPr>
            <w:tcW w:w="217" w:type="dxa"/>
          </w:tcPr>
          <w:p w14:paraId="36E9A3F4" w14:textId="77777777" w:rsidR="002C0FD9" w:rsidRPr="00CA25CF" w:rsidRDefault="002C0FD9" w:rsidP="00CA25CF">
            <w:pPr>
              <w:rPr>
                <w:rFonts w:cs="Arial"/>
                <w:color w:val="FF0000"/>
                <w:sz w:val="21"/>
                <w:szCs w:val="21"/>
              </w:rPr>
            </w:pPr>
          </w:p>
        </w:tc>
        <w:tc>
          <w:tcPr>
            <w:tcW w:w="217" w:type="dxa"/>
          </w:tcPr>
          <w:p w14:paraId="3C43A9CC" w14:textId="77777777" w:rsidR="002C0FD9" w:rsidRPr="00CA25CF" w:rsidRDefault="002C0FD9" w:rsidP="00CA25CF">
            <w:pPr>
              <w:rPr>
                <w:rFonts w:cs="Arial"/>
                <w:color w:val="FF0000"/>
                <w:sz w:val="21"/>
                <w:szCs w:val="21"/>
              </w:rPr>
            </w:pPr>
          </w:p>
        </w:tc>
        <w:tc>
          <w:tcPr>
            <w:tcW w:w="217" w:type="dxa"/>
          </w:tcPr>
          <w:p w14:paraId="0AD5CF01" w14:textId="77777777" w:rsidR="002C0FD9" w:rsidRPr="00CA25CF" w:rsidRDefault="002C0FD9" w:rsidP="00CA25CF">
            <w:pPr>
              <w:rPr>
                <w:rFonts w:cs="Arial"/>
                <w:color w:val="FF0000"/>
                <w:sz w:val="21"/>
                <w:szCs w:val="21"/>
              </w:rPr>
            </w:pPr>
          </w:p>
        </w:tc>
        <w:tc>
          <w:tcPr>
            <w:tcW w:w="217" w:type="dxa"/>
          </w:tcPr>
          <w:p w14:paraId="47730F50" w14:textId="77777777" w:rsidR="002C0FD9" w:rsidRPr="00CA25CF" w:rsidRDefault="002C0FD9" w:rsidP="00CA25CF">
            <w:pPr>
              <w:rPr>
                <w:rFonts w:cs="Arial"/>
                <w:color w:val="FF0000"/>
                <w:sz w:val="21"/>
                <w:szCs w:val="21"/>
              </w:rPr>
            </w:pPr>
          </w:p>
        </w:tc>
        <w:tc>
          <w:tcPr>
            <w:tcW w:w="217" w:type="dxa"/>
          </w:tcPr>
          <w:p w14:paraId="241F4183" w14:textId="77777777" w:rsidR="002C0FD9" w:rsidRPr="00CA25CF" w:rsidRDefault="002C0FD9" w:rsidP="00CA25CF">
            <w:pPr>
              <w:rPr>
                <w:rFonts w:cs="Arial"/>
                <w:color w:val="FF0000"/>
                <w:sz w:val="21"/>
                <w:szCs w:val="21"/>
              </w:rPr>
            </w:pPr>
          </w:p>
        </w:tc>
        <w:tc>
          <w:tcPr>
            <w:tcW w:w="217" w:type="dxa"/>
          </w:tcPr>
          <w:p w14:paraId="5E210313" w14:textId="77777777" w:rsidR="002C0FD9" w:rsidRPr="00CA25CF" w:rsidRDefault="002C0FD9" w:rsidP="00CA25CF">
            <w:pPr>
              <w:rPr>
                <w:rFonts w:cs="Arial"/>
                <w:color w:val="FF0000"/>
                <w:sz w:val="21"/>
                <w:szCs w:val="21"/>
              </w:rPr>
            </w:pPr>
          </w:p>
        </w:tc>
        <w:tc>
          <w:tcPr>
            <w:tcW w:w="217" w:type="dxa"/>
          </w:tcPr>
          <w:p w14:paraId="337FCA7E" w14:textId="77777777" w:rsidR="002C0FD9" w:rsidRPr="00CA25CF" w:rsidRDefault="002C0FD9" w:rsidP="00CA25CF">
            <w:pPr>
              <w:rPr>
                <w:rFonts w:cs="Arial"/>
                <w:color w:val="FF0000"/>
                <w:sz w:val="21"/>
                <w:szCs w:val="21"/>
              </w:rPr>
            </w:pPr>
          </w:p>
        </w:tc>
        <w:tc>
          <w:tcPr>
            <w:tcW w:w="217" w:type="dxa"/>
          </w:tcPr>
          <w:p w14:paraId="48880E67" w14:textId="77777777" w:rsidR="002C0FD9" w:rsidRPr="00CA25CF" w:rsidRDefault="002C0FD9" w:rsidP="00CA25CF">
            <w:pPr>
              <w:rPr>
                <w:rFonts w:cs="Arial"/>
                <w:color w:val="FF0000"/>
                <w:sz w:val="21"/>
                <w:szCs w:val="21"/>
              </w:rPr>
            </w:pPr>
          </w:p>
        </w:tc>
      </w:tr>
      <w:tr w:rsidR="002C0FD9" w:rsidRPr="00A16219" w14:paraId="0A14DEE4" w14:textId="3EDBDE81" w:rsidTr="002C0FD9">
        <w:trPr>
          <w:trHeight w:val="635"/>
        </w:trPr>
        <w:tc>
          <w:tcPr>
            <w:tcW w:w="515" w:type="dxa"/>
          </w:tcPr>
          <w:p w14:paraId="09882811" w14:textId="77777777" w:rsidR="002C0FD9" w:rsidRPr="00CA25CF" w:rsidRDefault="002C0FD9" w:rsidP="00CA25CF">
            <w:pPr>
              <w:rPr>
                <w:rFonts w:cs="Arial"/>
                <w:color w:val="FF0000"/>
                <w:sz w:val="21"/>
                <w:szCs w:val="21"/>
              </w:rPr>
            </w:pPr>
          </w:p>
        </w:tc>
        <w:tc>
          <w:tcPr>
            <w:tcW w:w="217" w:type="dxa"/>
          </w:tcPr>
          <w:p w14:paraId="30FA0AAF" w14:textId="77777777" w:rsidR="002C0FD9" w:rsidRPr="00CA25CF" w:rsidRDefault="002C0FD9" w:rsidP="00CA25CF">
            <w:pPr>
              <w:rPr>
                <w:rFonts w:cs="Arial"/>
                <w:color w:val="FF0000"/>
                <w:sz w:val="21"/>
                <w:szCs w:val="21"/>
              </w:rPr>
            </w:pPr>
          </w:p>
        </w:tc>
        <w:tc>
          <w:tcPr>
            <w:tcW w:w="217" w:type="dxa"/>
          </w:tcPr>
          <w:p w14:paraId="4775B7B1" w14:textId="097036FC" w:rsidR="002C0FD9" w:rsidRPr="00CA25CF" w:rsidRDefault="002C0FD9" w:rsidP="00CA25CF">
            <w:pPr>
              <w:rPr>
                <w:rFonts w:cs="Arial"/>
                <w:color w:val="FF0000"/>
                <w:sz w:val="21"/>
                <w:szCs w:val="21"/>
              </w:rPr>
            </w:pPr>
          </w:p>
        </w:tc>
        <w:tc>
          <w:tcPr>
            <w:tcW w:w="217" w:type="dxa"/>
          </w:tcPr>
          <w:p w14:paraId="6D7A4215" w14:textId="77777777" w:rsidR="002C0FD9" w:rsidRPr="00CA25CF" w:rsidRDefault="002C0FD9" w:rsidP="00CA25CF">
            <w:pPr>
              <w:rPr>
                <w:rFonts w:cs="Arial"/>
                <w:color w:val="FF0000"/>
                <w:sz w:val="21"/>
                <w:szCs w:val="21"/>
              </w:rPr>
            </w:pPr>
          </w:p>
        </w:tc>
        <w:tc>
          <w:tcPr>
            <w:tcW w:w="217" w:type="dxa"/>
          </w:tcPr>
          <w:p w14:paraId="1CEA6353" w14:textId="6355CBD9" w:rsidR="002C0FD9" w:rsidRPr="00CA25CF" w:rsidRDefault="002C0FD9" w:rsidP="00CA25CF">
            <w:pPr>
              <w:rPr>
                <w:rFonts w:cs="Arial"/>
                <w:color w:val="FF0000"/>
                <w:sz w:val="21"/>
                <w:szCs w:val="21"/>
              </w:rPr>
            </w:pPr>
          </w:p>
        </w:tc>
        <w:tc>
          <w:tcPr>
            <w:tcW w:w="217" w:type="dxa"/>
          </w:tcPr>
          <w:p w14:paraId="66F127AA" w14:textId="77777777" w:rsidR="002C0FD9" w:rsidRPr="00CA25CF" w:rsidRDefault="002C0FD9" w:rsidP="00CA25CF">
            <w:pPr>
              <w:rPr>
                <w:rFonts w:cs="Arial"/>
                <w:color w:val="FF0000"/>
                <w:sz w:val="21"/>
                <w:szCs w:val="21"/>
              </w:rPr>
            </w:pPr>
          </w:p>
        </w:tc>
        <w:tc>
          <w:tcPr>
            <w:tcW w:w="217" w:type="dxa"/>
          </w:tcPr>
          <w:p w14:paraId="4AAA1A17" w14:textId="7B0228F6" w:rsidR="002C0FD9" w:rsidRPr="00CA25CF" w:rsidRDefault="002C0FD9" w:rsidP="00CA25CF">
            <w:pPr>
              <w:rPr>
                <w:rFonts w:cs="Arial"/>
                <w:color w:val="FF0000"/>
                <w:sz w:val="21"/>
                <w:szCs w:val="21"/>
              </w:rPr>
            </w:pPr>
          </w:p>
        </w:tc>
        <w:tc>
          <w:tcPr>
            <w:tcW w:w="217" w:type="dxa"/>
          </w:tcPr>
          <w:p w14:paraId="7AB7AEC2" w14:textId="77777777" w:rsidR="002C0FD9" w:rsidRPr="00CA25CF" w:rsidRDefault="002C0FD9" w:rsidP="00CA25CF">
            <w:pPr>
              <w:rPr>
                <w:rFonts w:cs="Arial"/>
                <w:color w:val="FF0000"/>
                <w:sz w:val="21"/>
                <w:szCs w:val="21"/>
              </w:rPr>
            </w:pPr>
          </w:p>
        </w:tc>
        <w:tc>
          <w:tcPr>
            <w:tcW w:w="217" w:type="dxa"/>
          </w:tcPr>
          <w:p w14:paraId="14F30EAA" w14:textId="77777777" w:rsidR="002C0FD9" w:rsidRPr="00CA25CF" w:rsidRDefault="002C0FD9" w:rsidP="00CA25CF">
            <w:pPr>
              <w:rPr>
                <w:rFonts w:cs="Arial"/>
                <w:color w:val="FF0000"/>
                <w:sz w:val="21"/>
                <w:szCs w:val="21"/>
              </w:rPr>
            </w:pPr>
          </w:p>
        </w:tc>
        <w:tc>
          <w:tcPr>
            <w:tcW w:w="217" w:type="dxa"/>
          </w:tcPr>
          <w:p w14:paraId="4B8658D0" w14:textId="77777777" w:rsidR="002C0FD9" w:rsidRPr="00CA25CF" w:rsidRDefault="002C0FD9" w:rsidP="00CA25CF">
            <w:pPr>
              <w:rPr>
                <w:rFonts w:cs="Arial"/>
                <w:color w:val="FF0000"/>
                <w:sz w:val="21"/>
                <w:szCs w:val="21"/>
              </w:rPr>
            </w:pPr>
          </w:p>
        </w:tc>
        <w:tc>
          <w:tcPr>
            <w:tcW w:w="217" w:type="dxa"/>
          </w:tcPr>
          <w:p w14:paraId="7C0A0138" w14:textId="77777777" w:rsidR="002C0FD9" w:rsidRPr="00CA25CF" w:rsidRDefault="002C0FD9" w:rsidP="00CA25CF">
            <w:pPr>
              <w:rPr>
                <w:rFonts w:cs="Arial"/>
                <w:color w:val="FF0000"/>
                <w:sz w:val="21"/>
                <w:szCs w:val="21"/>
              </w:rPr>
            </w:pPr>
          </w:p>
        </w:tc>
        <w:tc>
          <w:tcPr>
            <w:tcW w:w="217" w:type="dxa"/>
          </w:tcPr>
          <w:p w14:paraId="26DDC37F" w14:textId="77777777" w:rsidR="002C0FD9" w:rsidRPr="00CA25CF" w:rsidRDefault="002C0FD9" w:rsidP="00CA25CF">
            <w:pPr>
              <w:rPr>
                <w:rFonts w:cs="Arial"/>
                <w:color w:val="FF0000"/>
                <w:sz w:val="21"/>
                <w:szCs w:val="21"/>
              </w:rPr>
            </w:pPr>
          </w:p>
        </w:tc>
        <w:tc>
          <w:tcPr>
            <w:tcW w:w="217" w:type="dxa"/>
          </w:tcPr>
          <w:p w14:paraId="24A1A63F" w14:textId="77777777" w:rsidR="002C0FD9" w:rsidRPr="00CA25CF" w:rsidRDefault="002C0FD9" w:rsidP="00CA25CF">
            <w:pPr>
              <w:rPr>
                <w:rFonts w:cs="Arial"/>
                <w:color w:val="FF0000"/>
                <w:sz w:val="21"/>
                <w:szCs w:val="21"/>
              </w:rPr>
            </w:pPr>
          </w:p>
        </w:tc>
        <w:tc>
          <w:tcPr>
            <w:tcW w:w="217" w:type="dxa"/>
          </w:tcPr>
          <w:p w14:paraId="687380D2" w14:textId="77777777" w:rsidR="002C0FD9" w:rsidRPr="00CA25CF" w:rsidRDefault="002C0FD9" w:rsidP="00CA25CF">
            <w:pPr>
              <w:rPr>
                <w:rFonts w:cs="Arial"/>
                <w:color w:val="FF0000"/>
                <w:sz w:val="21"/>
                <w:szCs w:val="21"/>
              </w:rPr>
            </w:pPr>
          </w:p>
        </w:tc>
        <w:tc>
          <w:tcPr>
            <w:tcW w:w="217" w:type="dxa"/>
          </w:tcPr>
          <w:p w14:paraId="3221F280" w14:textId="77777777" w:rsidR="002C0FD9" w:rsidRPr="00CA25CF" w:rsidRDefault="002C0FD9" w:rsidP="00CA25CF">
            <w:pPr>
              <w:rPr>
                <w:rFonts w:cs="Arial"/>
                <w:color w:val="FF0000"/>
                <w:sz w:val="21"/>
                <w:szCs w:val="21"/>
              </w:rPr>
            </w:pPr>
          </w:p>
        </w:tc>
        <w:tc>
          <w:tcPr>
            <w:tcW w:w="217" w:type="dxa"/>
          </w:tcPr>
          <w:p w14:paraId="46F0DF9A" w14:textId="6F867994" w:rsidR="002C0FD9" w:rsidRPr="00CA25CF" w:rsidRDefault="002C0FD9" w:rsidP="00CA25CF">
            <w:pPr>
              <w:rPr>
                <w:rFonts w:cs="Arial"/>
                <w:color w:val="FF0000"/>
                <w:sz w:val="21"/>
                <w:szCs w:val="21"/>
              </w:rPr>
            </w:pPr>
          </w:p>
        </w:tc>
        <w:tc>
          <w:tcPr>
            <w:tcW w:w="217" w:type="dxa"/>
          </w:tcPr>
          <w:p w14:paraId="21BEF1D6" w14:textId="77777777" w:rsidR="002C0FD9" w:rsidRPr="00CA25CF" w:rsidRDefault="002C0FD9" w:rsidP="00CA25CF">
            <w:pPr>
              <w:rPr>
                <w:rFonts w:cs="Arial"/>
                <w:color w:val="FF0000"/>
                <w:sz w:val="21"/>
                <w:szCs w:val="21"/>
              </w:rPr>
            </w:pPr>
          </w:p>
        </w:tc>
        <w:tc>
          <w:tcPr>
            <w:tcW w:w="217" w:type="dxa"/>
          </w:tcPr>
          <w:p w14:paraId="35505EE2" w14:textId="77777777" w:rsidR="002C0FD9" w:rsidRPr="00CA25CF" w:rsidRDefault="002C0FD9" w:rsidP="00CA25CF">
            <w:pPr>
              <w:rPr>
                <w:rFonts w:cs="Arial"/>
                <w:color w:val="FF0000"/>
                <w:sz w:val="21"/>
                <w:szCs w:val="21"/>
              </w:rPr>
            </w:pPr>
          </w:p>
        </w:tc>
        <w:tc>
          <w:tcPr>
            <w:tcW w:w="217" w:type="dxa"/>
          </w:tcPr>
          <w:p w14:paraId="6754CA28" w14:textId="77777777" w:rsidR="002C0FD9" w:rsidRPr="00CA25CF" w:rsidRDefault="002C0FD9" w:rsidP="00CA25CF">
            <w:pPr>
              <w:rPr>
                <w:rFonts w:cs="Arial"/>
                <w:color w:val="FF0000"/>
                <w:sz w:val="21"/>
                <w:szCs w:val="21"/>
              </w:rPr>
            </w:pPr>
          </w:p>
        </w:tc>
        <w:tc>
          <w:tcPr>
            <w:tcW w:w="217" w:type="dxa"/>
          </w:tcPr>
          <w:p w14:paraId="3ADC5A5E" w14:textId="77777777" w:rsidR="002C0FD9" w:rsidRPr="00CA25CF" w:rsidRDefault="002C0FD9" w:rsidP="00CA25CF">
            <w:pPr>
              <w:rPr>
                <w:rFonts w:cs="Arial"/>
                <w:color w:val="FF0000"/>
                <w:sz w:val="21"/>
                <w:szCs w:val="21"/>
              </w:rPr>
            </w:pPr>
          </w:p>
        </w:tc>
        <w:tc>
          <w:tcPr>
            <w:tcW w:w="217" w:type="dxa"/>
          </w:tcPr>
          <w:p w14:paraId="328388F6" w14:textId="77777777" w:rsidR="002C0FD9" w:rsidRPr="00CA25CF" w:rsidRDefault="002C0FD9" w:rsidP="00CA25CF">
            <w:pPr>
              <w:rPr>
                <w:rFonts w:cs="Arial"/>
                <w:color w:val="FF0000"/>
                <w:sz w:val="21"/>
                <w:szCs w:val="21"/>
              </w:rPr>
            </w:pPr>
          </w:p>
        </w:tc>
        <w:tc>
          <w:tcPr>
            <w:tcW w:w="217" w:type="dxa"/>
          </w:tcPr>
          <w:p w14:paraId="7B2A23C6" w14:textId="77777777" w:rsidR="002C0FD9" w:rsidRPr="00CA25CF" w:rsidRDefault="002C0FD9" w:rsidP="00CA25CF">
            <w:pPr>
              <w:rPr>
                <w:rFonts w:cs="Arial"/>
                <w:color w:val="FF0000"/>
                <w:sz w:val="21"/>
                <w:szCs w:val="21"/>
              </w:rPr>
            </w:pPr>
          </w:p>
        </w:tc>
        <w:tc>
          <w:tcPr>
            <w:tcW w:w="217" w:type="dxa"/>
          </w:tcPr>
          <w:p w14:paraId="13F3DF0C" w14:textId="77777777" w:rsidR="002C0FD9" w:rsidRPr="00CA25CF" w:rsidRDefault="002C0FD9" w:rsidP="00CA25CF">
            <w:pPr>
              <w:rPr>
                <w:rFonts w:cs="Arial"/>
                <w:color w:val="FF0000"/>
                <w:sz w:val="21"/>
                <w:szCs w:val="21"/>
              </w:rPr>
            </w:pPr>
          </w:p>
        </w:tc>
        <w:tc>
          <w:tcPr>
            <w:tcW w:w="217" w:type="dxa"/>
          </w:tcPr>
          <w:p w14:paraId="0DC07D38" w14:textId="77777777" w:rsidR="002C0FD9" w:rsidRPr="00CA25CF" w:rsidRDefault="002C0FD9" w:rsidP="00CA25CF">
            <w:pPr>
              <w:rPr>
                <w:rFonts w:cs="Arial"/>
                <w:color w:val="FF0000"/>
                <w:sz w:val="21"/>
                <w:szCs w:val="21"/>
              </w:rPr>
            </w:pPr>
          </w:p>
        </w:tc>
        <w:tc>
          <w:tcPr>
            <w:tcW w:w="217" w:type="dxa"/>
          </w:tcPr>
          <w:p w14:paraId="2C90871D" w14:textId="77777777" w:rsidR="002C0FD9" w:rsidRPr="00CA25CF" w:rsidRDefault="002C0FD9" w:rsidP="00CA25CF">
            <w:pPr>
              <w:rPr>
                <w:rFonts w:cs="Arial"/>
                <w:color w:val="FF0000"/>
                <w:sz w:val="21"/>
                <w:szCs w:val="21"/>
              </w:rPr>
            </w:pPr>
          </w:p>
        </w:tc>
        <w:tc>
          <w:tcPr>
            <w:tcW w:w="217" w:type="dxa"/>
          </w:tcPr>
          <w:p w14:paraId="3F9C3F19" w14:textId="77777777" w:rsidR="002C0FD9" w:rsidRPr="00CA25CF" w:rsidRDefault="002C0FD9" w:rsidP="00CA25CF">
            <w:pPr>
              <w:rPr>
                <w:rFonts w:cs="Arial"/>
                <w:color w:val="FF0000"/>
                <w:sz w:val="21"/>
                <w:szCs w:val="21"/>
              </w:rPr>
            </w:pPr>
          </w:p>
        </w:tc>
        <w:tc>
          <w:tcPr>
            <w:tcW w:w="217" w:type="dxa"/>
          </w:tcPr>
          <w:p w14:paraId="682D7A92" w14:textId="77777777" w:rsidR="002C0FD9" w:rsidRPr="00CA25CF" w:rsidRDefault="002C0FD9" w:rsidP="00CA25CF">
            <w:pPr>
              <w:rPr>
                <w:rFonts w:cs="Arial"/>
                <w:color w:val="FF0000"/>
                <w:sz w:val="21"/>
                <w:szCs w:val="21"/>
              </w:rPr>
            </w:pPr>
          </w:p>
        </w:tc>
        <w:tc>
          <w:tcPr>
            <w:tcW w:w="217" w:type="dxa"/>
          </w:tcPr>
          <w:p w14:paraId="33C420BC" w14:textId="77777777" w:rsidR="002C0FD9" w:rsidRPr="00CA25CF" w:rsidRDefault="002C0FD9" w:rsidP="00CA25CF">
            <w:pPr>
              <w:rPr>
                <w:rFonts w:cs="Arial"/>
                <w:color w:val="FF0000"/>
                <w:sz w:val="21"/>
                <w:szCs w:val="21"/>
              </w:rPr>
            </w:pPr>
          </w:p>
        </w:tc>
        <w:tc>
          <w:tcPr>
            <w:tcW w:w="217" w:type="dxa"/>
          </w:tcPr>
          <w:p w14:paraId="0628A325" w14:textId="77777777" w:rsidR="002C0FD9" w:rsidRPr="00CA25CF" w:rsidRDefault="002C0FD9" w:rsidP="00CA25CF">
            <w:pPr>
              <w:rPr>
                <w:rFonts w:cs="Arial"/>
                <w:color w:val="FF0000"/>
                <w:sz w:val="21"/>
                <w:szCs w:val="21"/>
              </w:rPr>
            </w:pPr>
          </w:p>
        </w:tc>
        <w:tc>
          <w:tcPr>
            <w:tcW w:w="217" w:type="dxa"/>
          </w:tcPr>
          <w:p w14:paraId="6007638F" w14:textId="77777777" w:rsidR="002C0FD9" w:rsidRPr="00CA25CF" w:rsidRDefault="002C0FD9" w:rsidP="00CA25CF">
            <w:pPr>
              <w:rPr>
                <w:rFonts w:cs="Arial"/>
                <w:color w:val="FF0000"/>
                <w:sz w:val="21"/>
                <w:szCs w:val="21"/>
              </w:rPr>
            </w:pPr>
          </w:p>
        </w:tc>
        <w:tc>
          <w:tcPr>
            <w:tcW w:w="217" w:type="dxa"/>
          </w:tcPr>
          <w:p w14:paraId="168349BB" w14:textId="77777777" w:rsidR="002C0FD9" w:rsidRPr="00CA25CF" w:rsidRDefault="002C0FD9" w:rsidP="00CA25CF">
            <w:pPr>
              <w:rPr>
                <w:rFonts w:cs="Arial"/>
                <w:color w:val="FF0000"/>
                <w:sz w:val="21"/>
                <w:szCs w:val="21"/>
              </w:rPr>
            </w:pPr>
          </w:p>
        </w:tc>
        <w:tc>
          <w:tcPr>
            <w:tcW w:w="217" w:type="dxa"/>
          </w:tcPr>
          <w:p w14:paraId="45B04A2C" w14:textId="77777777" w:rsidR="002C0FD9" w:rsidRPr="00CA25CF" w:rsidRDefault="002C0FD9" w:rsidP="00CA25CF">
            <w:pPr>
              <w:rPr>
                <w:rFonts w:cs="Arial"/>
                <w:color w:val="FF0000"/>
                <w:sz w:val="21"/>
                <w:szCs w:val="21"/>
              </w:rPr>
            </w:pPr>
          </w:p>
        </w:tc>
        <w:tc>
          <w:tcPr>
            <w:tcW w:w="217" w:type="dxa"/>
          </w:tcPr>
          <w:p w14:paraId="171A5F84" w14:textId="77777777" w:rsidR="002C0FD9" w:rsidRPr="00CA25CF" w:rsidRDefault="002C0FD9" w:rsidP="00CA25CF">
            <w:pPr>
              <w:rPr>
                <w:rFonts w:cs="Arial"/>
                <w:color w:val="FF0000"/>
                <w:sz w:val="21"/>
                <w:szCs w:val="21"/>
              </w:rPr>
            </w:pPr>
          </w:p>
        </w:tc>
        <w:tc>
          <w:tcPr>
            <w:tcW w:w="217" w:type="dxa"/>
          </w:tcPr>
          <w:p w14:paraId="69CF0326" w14:textId="77777777" w:rsidR="002C0FD9" w:rsidRPr="00CA25CF" w:rsidRDefault="002C0FD9" w:rsidP="00CA25CF">
            <w:pPr>
              <w:rPr>
                <w:rFonts w:cs="Arial"/>
                <w:color w:val="FF0000"/>
                <w:sz w:val="21"/>
                <w:szCs w:val="21"/>
              </w:rPr>
            </w:pPr>
          </w:p>
        </w:tc>
        <w:tc>
          <w:tcPr>
            <w:tcW w:w="217" w:type="dxa"/>
          </w:tcPr>
          <w:p w14:paraId="45B8AB7C" w14:textId="77777777" w:rsidR="002C0FD9" w:rsidRPr="00CA25CF" w:rsidRDefault="002C0FD9" w:rsidP="00CA25CF">
            <w:pPr>
              <w:rPr>
                <w:rFonts w:cs="Arial"/>
                <w:color w:val="FF0000"/>
                <w:sz w:val="21"/>
                <w:szCs w:val="21"/>
              </w:rPr>
            </w:pPr>
          </w:p>
        </w:tc>
        <w:tc>
          <w:tcPr>
            <w:tcW w:w="217" w:type="dxa"/>
          </w:tcPr>
          <w:p w14:paraId="5897965A" w14:textId="77777777" w:rsidR="002C0FD9" w:rsidRPr="00CA25CF" w:rsidRDefault="002C0FD9" w:rsidP="00CA25CF">
            <w:pPr>
              <w:rPr>
                <w:rFonts w:cs="Arial"/>
                <w:color w:val="FF0000"/>
                <w:sz w:val="21"/>
                <w:szCs w:val="21"/>
              </w:rPr>
            </w:pPr>
          </w:p>
        </w:tc>
        <w:tc>
          <w:tcPr>
            <w:tcW w:w="217" w:type="dxa"/>
          </w:tcPr>
          <w:p w14:paraId="4A6FE086" w14:textId="77777777" w:rsidR="002C0FD9" w:rsidRPr="00CA25CF" w:rsidRDefault="002C0FD9" w:rsidP="00CA25CF">
            <w:pPr>
              <w:rPr>
                <w:rFonts w:cs="Arial"/>
                <w:color w:val="FF0000"/>
                <w:sz w:val="21"/>
                <w:szCs w:val="21"/>
              </w:rPr>
            </w:pPr>
          </w:p>
        </w:tc>
        <w:tc>
          <w:tcPr>
            <w:tcW w:w="217" w:type="dxa"/>
          </w:tcPr>
          <w:p w14:paraId="410548C0" w14:textId="77777777" w:rsidR="002C0FD9" w:rsidRPr="00CA25CF" w:rsidRDefault="002C0FD9" w:rsidP="00CA25CF">
            <w:pPr>
              <w:rPr>
                <w:rFonts w:cs="Arial"/>
                <w:color w:val="FF0000"/>
                <w:sz w:val="21"/>
                <w:szCs w:val="21"/>
              </w:rPr>
            </w:pPr>
          </w:p>
        </w:tc>
        <w:tc>
          <w:tcPr>
            <w:tcW w:w="217" w:type="dxa"/>
          </w:tcPr>
          <w:p w14:paraId="02C4BFF3" w14:textId="77777777" w:rsidR="002C0FD9" w:rsidRPr="00CA25CF" w:rsidRDefault="002C0FD9" w:rsidP="00CA25CF">
            <w:pPr>
              <w:rPr>
                <w:rFonts w:cs="Arial"/>
                <w:color w:val="FF0000"/>
                <w:sz w:val="21"/>
                <w:szCs w:val="21"/>
              </w:rPr>
            </w:pPr>
          </w:p>
        </w:tc>
        <w:tc>
          <w:tcPr>
            <w:tcW w:w="217" w:type="dxa"/>
          </w:tcPr>
          <w:p w14:paraId="51048AB8" w14:textId="77777777" w:rsidR="002C0FD9" w:rsidRPr="00CA25CF" w:rsidRDefault="002C0FD9" w:rsidP="00CA25CF">
            <w:pPr>
              <w:rPr>
                <w:rFonts w:cs="Arial"/>
                <w:color w:val="FF0000"/>
                <w:sz w:val="21"/>
                <w:szCs w:val="21"/>
              </w:rPr>
            </w:pPr>
          </w:p>
        </w:tc>
        <w:tc>
          <w:tcPr>
            <w:tcW w:w="217" w:type="dxa"/>
          </w:tcPr>
          <w:p w14:paraId="364A8C97" w14:textId="77777777" w:rsidR="002C0FD9" w:rsidRPr="00CA25CF" w:rsidRDefault="002C0FD9" w:rsidP="00CA25CF">
            <w:pPr>
              <w:rPr>
                <w:rFonts w:cs="Arial"/>
                <w:color w:val="FF0000"/>
                <w:sz w:val="21"/>
                <w:szCs w:val="21"/>
              </w:rPr>
            </w:pPr>
          </w:p>
        </w:tc>
        <w:tc>
          <w:tcPr>
            <w:tcW w:w="217" w:type="dxa"/>
          </w:tcPr>
          <w:p w14:paraId="65003BDE" w14:textId="77777777" w:rsidR="002C0FD9" w:rsidRPr="00CA25CF" w:rsidRDefault="002C0FD9" w:rsidP="00CA25CF">
            <w:pPr>
              <w:rPr>
                <w:rFonts w:cs="Arial"/>
                <w:color w:val="FF0000"/>
                <w:sz w:val="21"/>
                <w:szCs w:val="21"/>
              </w:rPr>
            </w:pPr>
          </w:p>
        </w:tc>
        <w:tc>
          <w:tcPr>
            <w:tcW w:w="217" w:type="dxa"/>
          </w:tcPr>
          <w:p w14:paraId="5505AAA2" w14:textId="77777777" w:rsidR="002C0FD9" w:rsidRPr="00CA25CF" w:rsidRDefault="002C0FD9" w:rsidP="00CA25CF">
            <w:pPr>
              <w:rPr>
                <w:rFonts w:cs="Arial"/>
                <w:color w:val="FF0000"/>
                <w:sz w:val="21"/>
                <w:szCs w:val="21"/>
              </w:rPr>
            </w:pPr>
          </w:p>
        </w:tc>
      </w:tr>
      <w:tr w:rsidR="002C0FD9" w:rsidRPr="00A16219" w14:paraId="475D4D71" w14:textId="52CF85EB" w:rsidTr="002C0FD9">
        <w:trPr>
          <w:trHeight w:val="635"/>
        </w:trPr>
        <w:tc>
          <w:tcPr>
            <w:tcW w:w="515" w:type="dxa"/>
          </w:tcPr>
          <w:p w14:paraId="5DB77F48" w14:textId="77777777" w:rsidR="002C0FD9" w:rsidRPr="00CA25CF" w:rsidRDefault="002C0FD9" w:rsidP="00CA25CF">
            <w:pPr>
              <w:rPr>
                <w:rFonts w:cs="Arial"/>
                <w:color w:val="FF0000"/>
                <w:sz w:val="21"/>
                <w:szCs w:val="21"/>
              </w:rPr>
            </w:pPr>
          </w:p>
        </w:tc>
        <w:tc>
          <w:tcPr>
            <w:tcW w:w="217" w:type="dxa"/>
          </w:tcPr>
          <w:p w14:paraId="5C00C9AC" w14:textId="77777777" w:rsidR="002C0FD9" w:rsidRPr="00CA25CF" w:rsidRDefault="002C0FD9" w:rsidP="00CA25CF">
            <w:pPr>
              <w:rPr>
                <w:rFonts w:cs="Arial"/>
                <w:color w:val="FF0000"/>
                <w:sz w:val="21"/>
                <w:szCs w:val="21"/>
              </w:rPr>
            </w:pPr>
          </w:p>
        </w:tc>
        <w:tc>
          <w:tcPr>
            <w:tcW w:w="217" w:type="dxa"/>
          </w:tcPr>
          <w:p w14:paraId="639ADEAC" w14:textId="004B18BD" w:rsidR="002C0FD9" w:rsidRPr="00CA25CF" w:rsidRDefault="002C0FD9" w:rsidP="00CA25CF">
            <w:pPr>
              <w:rPr>
                <w:rFonts w:cs="Arial"/>
                <w:color w:val="FF0000"/>
                <w:sz w:val="21"/>
                <w:szCs w:val="21"/>
              </w:rPr>
            </w:pPr>
          </w:p>
        </w:tc>
        <w:tc>
          <w:tcPr>
            <w:tcW w:w="217" w:type="dxa"/>
          </w:tcPr>
          <w:p w14:paraId="63CF9973" w14:textId="77777777" w:rsidR="002C0FD9" w:rsidRPr="00CA25CF" w:rsidRDefault="002C0FD9" w:rsidP="00CA25CF">
            <w:pPr>
              <w:rPr>
                <w:rFonts w:cs="Arial"/>
                <w:color w:val="FF0000"/>
                <w:sz w:val="21"/>
                <w:szCs w:val="21"/>
              </w:rPr>
            </w:pPr>
          </w:p>
        </w:tc>
        <w:tc>
          <w:tcPr>
            <w:tcW w:w="217" w:type="dxa"/>
          </w:tcPr>
          <w:p w14:paraId="6AD43558" w14:textId="28627281" w:rsidR="002C0FD9" w:rsidRPr="00CA25CF" w:rsidRDefault="002C0FD9" w:rsidP="00CA25CF">
            <w:pPr>
              <w:rPr>
                <w:rFonts w:cs="Arial"/>
                <w:color w:val="FF0000"/>
                <w:sz w:val="21"/>
                <w:szCs w:val="21"/>
              </w:rPr>
            </w:pPr>
          </w:p>
        </w:tc>
        <w:tc>
          <w:tcPr>
            <w:tcW w:w="217" w:type="dxa"/>
          </w:tcPr>
          <w:p w14:paraId="6A0F51D9" w14:textId="77777777" w:rsidR="002C0FD9" w:rsidRPr="00CA25CF" w:rsidRDefault="002C0FD9" w:rsidP="00CA25CF">
            <w:pPr>
              <w:rPr>
                <w:rFonts w:cs="Arial"/>
                <w:color w:val="FF0000"/>
                <w:sz w:val="21"/>
                <w:szCs w:val="21"/>
              </w:rPr>
            </w:pPr>
          </w:p>
        </w:tc>
        <w:tc>
          <w:tcPr>
            <w:tcW w:w="217" w:type="dxa"/>
          </w:tcPr>
          <w:p w14:paraId="77B24573" w14:textId="72420C06" w:rsidR="002C0FD9" w:rsidRPr="00CA25CF" w:rsidRDefault="002C0FD9" w:rsidP="00CA25CF">
            <w:pPr>
              <w:rPr>
                <w:rFonts w:cs="Arial"/>
                <w:color w:val="FF0000"/>
                <w:sz w:val="21"/>
                <w:szCs w:val="21"/>
              </w:rPr>
            </w:pPr>
          </w:p>
        </w:tc>
        <w:tc>
          <w:tcPr>
            <w:tcW w:w="217" w:type="dxa"/>
          </w:tcPr>
          <w:p w14:paraId="0D1F3455" w14:textId="77777777" w:rsidR="002C0FD9" w:rsidRPr="00CA25CF" w:rsidRDefault="002C0FD9" w:rsidP="00CA25CF">
            <w:pPr>
              <w:rPr>
                <w:rFonts w:cs="Arial"/>
                <w:color w:val="FF0000"/>
                <w:sz w:val="21"/>
                <w:szCs w:val="21"/>
              </w:rPr>
            </w:pPr>
          </w:p>
        </w:tc>
        <w:tc>
          <w:tcPr>
            <w:tcW w:w="217" w:type="dxa"/>
          </w:tcPr>
          <w:p w14:paraId="4587920C" w14:textId="77777777" w:rsidR="002C0FD9" w:rsidRPr="00CA25CF" w:rsidRDefault="002C0FD9" w:rsidP="00CA25CF">
            <w:pPr>
              <w:rPr>
                <w:rFonts w:cs="Arial"/>
                <w:color w:val="FF0000"/>
                <w:sz w:val="21"/>
                <w:szCs w:val="21"/>
              </w:rPr>
            </w:pPr>
          </w:p>
        </w:tc>
        <w:tc>
          <w:tcPr>
            <w:tcW w:w="217" w:type="dxa"/>
          </w:tcPr>
          <w:p w14:paraId="7CFAA122" w14:textId="77777777" w:rsidR="002C0FD9" w:rsidRPr="00CA25CF" w:rsidRDefault="002C0FD9" w:rsidP="00CA25CF">
            <w:pPr>
              <w:rPr>
                <w:rFonts w:cs="Arial"/>
                <w:color w:val="FF0000"/>
                <w:sz w:val="21"/>
                <w:szCs w:val="21"/>
              </w:rPr>
            </w:pPr>
          </w:p>
        </w:tc>
        <w:tc>
          <w:tcPr>
            <w:tcW w:w="217" w:type="dxa"/>
          </w:tcPr>
          <w:p w14:paraId="3604A032" w14:textId="77777777" w:rsidR="002C0FD9" w:rsidRPr="00CA25CF" w:rsidRDefault="002C0FD9" w:rsidP="00CA25CF">
            <w:pPr>
              <w:rPr>
                <w:rFonts w:cs="Arial"/>
                <w:color w:val="FF0000"/>
                <w:sz w:val="21"/>
                <w:szCs w:val="21"/>
              </w:rPr>
            </w:pPr>
          </w:p>
        </w:tc>
        <w:tc>
          <w:tcPr>
            <w:tcW w:w="217" w:type="dxa"/>
          </w:tcPr>
          <w:p w14:paraId="6A8267F7" w14:textId="77777777" w:rsidR="002C0FD9" w:rsidRPr="00CA25CF" w:rsidRDefault="002C0FD9" w:rsidP="00CA25CF">
            <w:pPr>
              <w:rPr>
                <w:rFonts w:cs="Arial"/>
                <w:color w:val="FF0000"/>
                <w:sz w:val="21"/>
                <w:szCs w:val="21"/>
              </w:rPr>
            </w:pPr>
          </w:p>
        </w:tc>
        <w:tc>
          <w:tcPr>
            <w:tcW w:w="217" w:type="dxa"/>
          </w:tcPr>
          <w:p w14:paraId="27DB6BB6" w14:textId="77777777" w:rsidR="002C0FD9" w:rsidRPr="00CA25CF" w:rsidRDefault="002C0FD9" w:rsidP="00CA25CF">
            <w:pPr>
              <w:rPr>
                <w:rFonts w:cs="Arial"/>
                <w:color w:val="FF0000"/>
                <w:sz w:val="21"/>
                <w:szCs w:val="21"/>
              </w:rPr>
            </w:pPr>
          </w:p>
        </w:tc>
        <w:tc>
          <w:tcPr>
            <w:tcW w:w="217" w:type="dxa"/>
          </w:tcPr>
          <w:p w14:paraId="27BFFE0F" w14:textId="77777777" w:rsidR="002C0FD9" w:rsidRPr="00CA25CF" w:rsidRDefault="002C0FD9" w:rsidP="00CA25CF">
            <w:pPr>
              <w:rPr>
                <w:rFonts w:cs="Arial"/>
                <w:color w:val="FF0000"/>
                <w:sz w:val="21"/>
                <w:szCs w:val="21"/>
              </w:rPr>
            </w:pPr>
          </w:p>
        </w:tc>
        <w:tc>
          <w:tcPr>
            <w:tcW w:w="217" w:type="dxa"/>
          </w:tcPr>
          <w:p w14:paraId="0B82503B" w14:textId="77777777" w:rsidR="002C0FD9" w:rsidRPr="00CA25CF" w:rsidRDefault="002C0FD9" w:rsidP="00CA25CF">
            <w:pPr>
              <w:rPr>
                <w:rFonts w:cs="Arial"/>
                <w:color w:val="FF0000"/>
                <w:sz w:val="21"/>
                <w:szCs w:val="21"/>
              </w:rPr>
            </w:pPr>
          </w:p>
        </w:tc>
        <w:tc>
          <w:tcPr>
            <w:tcW w:w="217" w:type="dxa"/>
          </w:tcPr>
          <w:p w14:paraId="1BFFD75F" w14:textId="0AFA75D8" w:rsidR="002C0FD9" w:rsidRPr="00CA25CF" w:rsidRDefault="002C0FD9" w:rsidP="00CA25CF">
            <w:pPr>
              <w:rPr>
                <w:rFonts w:cs="Arial"/>
                <w:color w:val="FF0000"/>
                <w:sz w:val="21"/>
                <w:szCs w:val="21"/>
              </w:rPr>
            </w:pPr>
          </w:p>
        </w:tc>
        <w:tc>
          <w:tcPr>
            <w:tcW w:w="217" w:type="dxa"/>
          </w:tcPr>
          <w:p w14:paraId="40F60691" w14:textId="77777777" w:rsidR="002C0FD9" w:rsidRPr="00CA25CF" w:rsidRDefault="002C0FD9" w:rsidP="00CA25CF">
            <w:pPr>
              <w:rPr>
                <w:rFonts w:cs="Arial"/>
                <w:color w:val="FF0000"/>
                <w:sz w:val="21"/>
                <w:szCs w:val="21"/>
              </w:rPr>
            </w:pPr>
          </w:p>
        </w:tc>
        <w:tc>
          <w:tcPr>
            <w:tcW w:w="217" w:type="dxa"/>
          </w:tcPr>
          <w:p w14:paraId="3966C537" w14:textId="77777777" w:rsidR="002C0FD9" w:rsidRPr="00CA25CF" w:rsidRDefault="002C0FD9" w:rsidP="00CA25CF">
            <w:pPr>
              <w:rPr>
                <w:rFonts w:cs="Arial"/>
                <w:color w:val="FF0000"/>
                <w:sz w:val="21"/>
                <w:szCs w:val="21"/>
              </w:rPr>
            </w:pPr>
          </w:p>
        </w:tc>
        <w:tc>
          <w:tcPr>
            <w:tcW w:w="217" w:type="dxa"/>
          </w:tcPr>
          <w:p w14:paraId="36A88EF8" w14:textId="77777777" w:rsidR="002C0FD9" w:rsidRPr="00CA25CF" w:rsidRDefault="002C0FD9" w:rsidP="00CA25CF">
            <w:pPr>
              <w:rPr>
                <w:rFonts w:cs="Arial"/>
                <w:color w:val="FF0000"/>
                <w:sz w:val="21"/>
                <w:szCs w:val="21"/>
              </w:rPr>
            </w:pPr>
          </w:p>
        </w:tc>
        <w:tc>
          <w:tcPr>
            <w:tcW w:w="217" w:type="dxa"/>
          </w:tcPr>
          <w:p w14:paraId="7B819E93" w14:textId="77777777" w:rsidR="002C0FD9" w:rsidRPr="00CA25CF" w:rsidRDefault="002C0FD9" w:rsidP="00CA25CF">
            <w:pPr>
              <w:rPr>
                <w:rFonts w:cs="Arial"/>
                <w:color w:val="FF0000"/>
                <w:sz w:val="21"/>
                <w:szCs w:val="21"/>
              </w:rPr>
            </w:pPr>
          </w:p>
        </w:tc>
        <w:tc>
          <w:tcPr>
            <w:tcW w:w="217" w:type="dxa"/>
          </w:tcPr>
          <w:p w14:paraId="36AD6F7B" w14:textId="77777777" w:rsidR="002C0FD9" w:rsidRPr="00CA25CF" w:rsidRDefault="002C0FD9" w:rsidP="00CA25CF">
            <w:pPr>
              <w:rPr>
                <w:rFonts w:cs="Arial"/>
                <w:color w:val="FF0000"/>
                <w:sz w:val="21"/>
                <w:szCs w:val="21"/>
              </w:rPr>
            </w:pPr>
          </w:p>
        </w:tc>
        <w:tc>
          <w:tcPr>
            <w:tcW w:w="217" w:type="dxa"/>
          </w:tcPr>
          <w:p w14:paraId="369A81C0" w14:textId="77777777" w:rsidR="002C0FD9" w:rsidRPr="00CA25CF" w:rsidRDefault="002C0FD9" w:rsidP="00CA25CF">
            <w:pPr>
              <w:rPr>
                <w:rFonts w:cs="Arial"/>
                <w:color w:val="FF0000"/>
                <w:sz w:val="21"/>
                <w:szCs w:val="21"/>
              </w:rPr>
            </w:pPr>
          </w:p>
        </w:tc>
        <w:tc>
          <w:tcPr>
            <w:tcW w:w="217" w:type="dxa"/>
          </w:tcPr>
          <w:p w14:paraId="7E515F49" w14:textId="77777777" w:rsidR="002C0FD9" w:rsidRPr="00CA25CF" w:rsidRDefault="002C0FD9" w:rsidP="00CA25CF">
            <w:pPr>
              <w:rPr>
                <w:rFonts w:cs="Arial"/>
                <w:color w:val="FF0000"/>
                <w:sz w:val="21"/>
                <w:szCs w:val="21"/>
              </w:rPr>
            </w:pPr>
          </w:p>
        </w:tc>
        <w:tc>
          <w:tcPr>
            <w:tcW w:w="217" w:type="dxa"/>
          </w:tcPr>
          <w:p w14:paraId="12C16856" w14:textId="77777777" w:rsidR="002C0FD9" w:rsidRPr="00CA25CF" w:rsidRDefault="002C0FD9" w:rsidP="00CA25CF">
            <w:pPr>
              <w:rPr>
                <w:rFonts w:cs="Arial"/>
                <w:color w:val="FF0000"/>
                <w:sz w:val="21"/>
                <w:szCs w:val="21"/>
              </w:rPr>
            </w:pPr>
          </w:p>
        </w:tc>
        <w:tc>
          <w:tcPr>
            <w:tcW w:w="217" w:type="dxa"/>
          </w:tcPr>
          <w:p w14:paraId="20CC659D" w14:textId="77777777" w:rsidR="002C0FD9" w:rsidRPr="00CA25CF" w:rsidRDefault="002C0FD9" w:rsidP="00CA25CF">
            <w:pPr>
              <w:rPr>
                <w:rFonts w:cs="Arial"/>
                <w:color w:val="FF0000"/>
                <w:sz w:val="21"/>
                <w:szCs w:val="21"/>
              </w:rPr>
            </w:pPr>
          </w:p>
        </w:tc>
        <w:tc>
          <w:tcPr>
            <w:tcW w:w="217" w:type="dxa"/>
          </w:tcPr>
          <w:p w14:paraId="5C62FE9E" w14:textId="77777777" w:rsidR="002C0FD9" w:rsidRPr="00CA25CF" w:rsidRDefault="002C0FD9" w:rsidP="00CA25CF">
            <w:pPr>
              <w:rPr>
                <w:rFonts w:cs="Arial"/>
                <w:color w:val="FF0000"/>
                <w:sz w:val="21"/>
                <w:szCs w:val="21"/>
              </w:rPr>
            </w:pPr>
          </w:p>
        </w:tc>
        <w:tc>
          <w:tcPr>
            <w:tcW w:w="217" w:type="dxa"/>
          </w:tcPr>
          <w:p w14:paraId="5CCED148" w14:textId="77777777" w:rsidR="002C0FD9" w:rsidRPr="00CA25CF" w:rsidRDefault="002C0FD9" w:rsidP="00CA25CF">
            <w:pPr>
              <w:rPr>
                <w:rFonts w:cs="Arial"/>
                <w:color w:val="FF0000"/>
                <w:sz w:val="21"/>
                <w:szCs w:val="21"/>
              </w:rPr>
            </w:pPr>
          </w:p>
        </w:tc>
        <w:tc>
          <w:tcPr>
            <w:tcW w:w="217" w:type="dxa"/>
          </w:tcPr>
          <w:p w14:paraId="053FA7DA" w14:textId="77777777" w:rsidR="002C0FD9" w:rsidRPr="00CA25CF" w:rsidRDefault="002C0FD9" w:rsidP="00CA25CF">
            <w:pPr>
              <w:rPr>
                <w:rFonts w:cs="Arial"/>
                <w:color w:val="FF0000"/>
                <w:sz w:val="21"/>
                <w:szCs w:val="21"/>
              </w:rPr>
            </w:pPr>
          </w:p>
        </w:tc>
        <w:tc>
          <w:tcPr>
            <w:tcW w:w="217" w:type="dxa"/>
          </w:tcPr>
          <w:p w14:paraId="761710DC" w14:textId="77777777" w:rsidR="002C0FD9" w:rsidRPr="00CA25CF" w:rsidRDefault="002C0FD9" w:rsidP="00CA25CF">
            <w:pPr>
              <w:rPr>
                <w:rFonts w:cs="Arial"/>
                <w:color w:val="FF0000"/>
                <w:sz w:val="21"/>
                <w:szCs w:val="21"/>
              </w:rPr>
            </w:pPr>
          </w:p>
        </w:tc>
        <w:tc>
          <w:tcPr>
            <w:tcW w:w="217" w:type="dxa"/>
          </w:tcPr>
          <w:p w14:paraId="6DEED0BD" w14:textId="77777777" w:rsidR="002C0FD9" w:rsidRPr="00CA25CF" w:rsidRDefault="002C0FD9" w:rsidP="00CA25CF">
            <w:pPr>
              <w:rPr>
                <w:rFonts w:cs="Arial"/>
                <w:color w:val="FF0000"/>
                <w:sz w:val="21"/>
                <w:szCs w:val="21"/>
              </w:rPr>
            </w:pPr>
          </w:p>
        </w:tc>
        <w:tc>
          <w:tcPr>
            <w:tcW w:w="217" w:type="dxa"/>
          </w:tcPr>
          <w:p w14:paraId="7DCAD66C" w14:textId="77777777" w:rsidR="002C0FD9" w:rsidRPr="00CA25CF" w:rsidRDefault="002C0FD9" w:rsidP="00CA25CF">
            <w:pPr>
              <w:rPr>
                <w:rFonts w:cs="Arial"/>
                <w:color w:val="FF0000"/>
                <w:sz w:val="21"/>
                <w:szCs w:val="21"/>
              </w:rPr>
            </w:pPr>
          </w:p>
        </w:tc>
        <w:tc>
          <w:tcPr>
            <w:tcW w:w="217" w:type="dxa"/>
          </w:tcPr>
          <w:p w14:paraId="6990DF7F" w14:textId="77777777" w:rsidR="002C0FD9" w:rsidRPr="00CA25CF" w:rsidRDefault="002C0FD9" w:rsidP="00CA25CF">
            <w:pPr>
              <w:rPr>
                <w:rFonts w:cs="Arial"/>
                <w:color w:val="FF0000"/>
                <w:sz w:val="21"/>
                <w:szCs w:val="21"/>
              </w:rPr>
            </w:pPr>
          </w:p>
        </w:tc>
        <w:tc>
          <w:tcPr>
            <w:tcW w:w="217" w:type="dxa"/>
          </w:tcPr>
          <w:p w14:paraId="75DB0B7C" w14:textId="77777777" w:rsidR="002C0FD9" w:rsidRPr="00CA25CF" w:rsidRDefault="002C0FD9" w:rsidP="00CA25CF">
            <w:pPr>
              <w:rPr>
                <w:rFonts w:cs="Arial"/>
                <w:color w:val="FF0000"/>
                <w:sz w:val="21"/>
                <w:szCs w:val="21"/>
              </w:rPr>
            </w:pPr>
          </w:p>
        </w:tc>
        <w:tc>
          <w:tcPr>
            <w:tcW w:w="217" w:type="dxa"/>
          </w:tcPr>
          <w:p w14:paraId="6F549A04" w14:textId="77777777" w:rsidR="002C0FD9" w:rsidRPr="00CA25CF" w:rsidRDefault="002C0FD9" w:rsidP="00CA25CF">
            <w:pPr>
              <w:rPr>
                <w:rFonts w:cs="Arial"/>
                <w:color w:val="FF0000"/>
                <w:sz w:val="21"/>
                <w:szCs w:val="21"/>
              </w:rPr>
            </w:pPr>
          </w:p>
        </w:tc>
        <w:tc>
          <w:tcPr>
            <w:tcW w:w="217" w:type="dxa"/>
          </w:tcPr>
          <w:p w14:paraId="1BA582F7" w14:textId="77777777" w:rsidR="002C0FD9" w:rsidRPr="00CA25CF" w:rsidRDefault="002C0FD9" w:rsidP="00CA25CF">
            <w:pPr>
              <w:rPr>
                <w:rFonts w:cs="Arial"/>
                <w:color w:val="FF0000"/>
                <w:sz w:val="21"/>
                <w:szCs w:val="21"/>
              </w:rPr>
            </w:pPr>
          </w:p>
        </w:tc>
        <w:tc>
          <w:tcPr>
            <w:tcW w:w="217" w:type="dxa"/>
          </w:tcPr>
          <w:p w14:paraId="379E0CC8" w14:textId="77777777" w:rsidR="002C0FD9" w:rsidRPr="00CA25CF" w:rsidRDefault="002C0FD9" w:rsidP="00CA25CF">
            <w:pPr>
              <w:rPr>
                <w:rFonts w:cs="Arial"/>
                <w:color w:val="FF0000"/>
                <w:sz w:val="21"/>
                <w:szCs w:val="21"/>
              </w:rPr>
            </w:pPr>
          </w:p>
        </w:tc>
        <w:tc>
          <w:tcPr>
            <w:tcW w:w="217" w:type="dxa"/>
          </w:tcPr>
          <w:p w14:paraId="455D2055" w14:textId="77777777" w:rsidR="002C0FD9" w:rsidRPr="00CA25CF" w:rsidRDefault="002C0FD9" w:rsidP="00CA25CF">
            <w:pPr>
              <w:rPr>
                <w:rFonts w:cs="Arial"/>
                <w:color w:val="FF0000"/>
                <w:sz w:val="21"/>
                <w:szCs w:val="21"/>
              </w:rPr>
            </w:pPr>
          </w:p>
        </w:tc>
        <w:tc>
          <w:tcPr>
            <w:tcW w:w="217" w:type="dxa"/>
          </w:tcPr>
          <w:p w14:paraId="20AE4841" w14:textId="77777777" w:rsidR="002C0FD9" w:rsidRPr="00CA25CF" w:rsidRDefault="002C0FD9" w:rsidP="00CA25CF">
            <w:pPr>
              <w:rPr>
                <w:rFonts w:cs="Arial"/>
                <w:color w:val="FF0000"/>
                <w:sz w:val="21"/>
                <w:szCs w:val="21"/>
              </w:rPr>
            </w:pPr>
          </w:p>
        </w:tc>
        <w:tc>
          <w:tcPr>
            <w:tcW w:w="217" w:type="dxa"/>
          </w:tcPr>
          <w:p w14:paraId="5916A441" w14:textId="77777777" w:rsidR="002C0FD9" w:rsidRPr="00CA25CF" w:rsidRDefault="002C0FD9" w:rsidP="00CA25CF">
            <w:pPr>
              <w:rPr>
                <w:rFonts w:cs="Arial"/>
                <w:color w:val="FF0000"/>
                <w:sz w:val="21"/>
                <w:szCs w:val="21"/>
              </w:rPr>
            </w:pPr>
          </w:p>
        </w:tc>
        <w:tc>
          <w:tcPr>
            <w:tcW w:w="217" w:type="dxa"/>
          </w:tcPr>
          <w:p w14:paraId="54A825C2" w14:textId="77777777" w:rsidR="002C0FD9" w:rsidRPr="00CA25CF" w:rsidRDefault="002C0FD9" w:rsidP="00CA25CF">
            <w:pPr>
              <w:rPr>
                <w:rFonts w:cs="Arial"/>
                <w:color w:val="FF0000"/>
                <w:sz w:val="21"/>
                <w:szCs w:val="21"/>
              </w:rPr>
            </w:pPr>
          </w:p>
        </w:tc>
        <w:tc>
          <w:tcPr>
            <w:tcW w:w="217" w:type="dxa"/>
          </w:tcPr>
          <w:p w14:paraId="51BD5CA4" w14:textId="77777777" w:rsidR="002C0FD9" w:rsidRPr="00CA25CF" w:rsidRDefault="002C0FD9" w:rsidP="00CA25CF">
            <w:pPr>
              <w:rPr>
                <w:rFonts w:cs="Arial"/>
                <w:color w:val="FF0000"/>
                <w:sz w:val="21"/>
                <w:szCs w:val="21"/>
              </w:rPr>
            </w:pPr>
          </w:p>
        </w:tc>
        <w:tc>
          <w:tcPr>
            <w:tcW w:w="217" w:type="dxa"/>
          </w:tcPr>
          <w:p w14:paraId="6897DF42" w14:textId="77777777" w:rsidR="002C0FD9" w:rsidRPr="00CA25CF" w:rsidRDefault="002C0FD9" w:rsidP="00CA25CF">
            <w:pPr>
              <w:rPr>
                <w:rFonts w:cs="Arial"/>
                <w:color w:val="FF0000"/>
                <w:sz w:val="21"/>
                <w:szCs w:val="21"/>
              </w:rPr>
            </w:pPr>
          </w:p>
        </w:tc>
        <w:tc>
          <w:tcPr>
            <w:tcW w:w="217" w:type="dxa"/>
          </w:tcPr>
          <w:p w14:paraId="255CE575" w14:textId="77777777" w:rsidR="002C0FD9" w:rsidRPr="00CA25CF" w:rsidRDefault="002C0FD9" w:rsidP="00CA25CF">
            <w:pPr>
              <w:rPr>
                <w:rFonts w:cs="Arial"/>
                <w:color w:val="FF0000"/>
                <w:sz w:val="21"/>
                <w:szCs w:val="21"/>
              </w:rPr>
            </w:pPr>
          </w:p>
        </w:tc>
      </w:tr>
      <w:tr w:rsidR="002C0FD9" w:rsidRPr="00A16219" w14:paraId="2DAB367C" w14:textId="0CA87AD7" w:rsidTr="002C0FD9">
        <w:trPr>
          <w:trHeight w:val="635"/>
        </w:trPr>
        <w:tc>
          <w:tcPr>
            <w:tcW w:w="515" w:type="dxa"/>
          </w:tcPr>
          <w:p w14:paraId="6170C389" w14:textId="77777777" w:rsidR="002C0FD9" w:rsidRPr="00CA25CF" w:rsidRDefault="002C0FD9" w:rsidP="00CA25CF">
            <w:pPr>
              <w:rPr>
                <w:rFonts w:cs="Arial"/>
                <w:color w:val="FF0000"/>
                <w:sz w:val="21"/>
                <w:szCs w:val="21"/>
              </w:rPr>
            </w:pPr>
          </w:p>
        </w:tc>
        <w:tc>
          <w:tcPr>
            <w:tcW w:w="217" w:type="dxa"/>
          </w:tcPr>
          <w:p w14:paraId="58E0981B" w14:textId="77777777" w:rsidR="002C0FD9" w:rsidRPr="00CA25CF" w:rsidRDefault="002C0FD9" w:rsidP="00CA25CF">
            <w:pPr>
              <w:rPr>
                <w:rFonts w:cs="Arial"/>
                <w:color w:val="FF0000"/>
                <w:sz w:val="21"/>
                <w:szCs w:val="21"/>
              </w:rPr>
            </w:pPr>
          </w:p>
        </w:tc>
        <w:tc>
          <w:tcPr>
            <w:tcW w:w="217" w:type="dxa"/>
          </w:tcPr>
          <w:p w14:paraId="3E0A56A8" w14:textId="0FA570AF" w:rsidR="002C0FD9" w:rsidRPr="00CA25CF" w:rsidRDefault="002C0FD9" w:rsidP="00CA25CF">
            <w:pPr>
              <w:rPr>
                <w:rFonts w:cs="Arial"/>
                <w:color w:val="FF0000"/>
                <w:sz w:val="21"/>
                <w:szCs w:val="21"/>
              </w:rPr>
            </w:pPr>
          </w:p>
        </w:tc>
        <w:tc>
          <w:tcPr>
            <w:tcW w:w="217" w:type="dxa"/>
          </w:tcPr>
          <w:p w14:paraId="3608CF58" w14:textId="77777777" w:rsidR="002C0FD9" w:rsidRPr="00CA25CF" w:rsidRDefault="002C0FD9" w:rsidP="00CA25CF">
            <w:pPr>
              <w:rPr>
                <w:rFonts w:cs="Arial"/>
                <w:color w:val="FF0000"/>
                <w:sz w:val="21"/>
                <w:szCs w:val="21"/>
              </w:rPr>
            </w:pPr>
          </w:p>
        </w:tc>
        <w:tc>
          <w:tcPr>
            <w:tcW w:w="217" w:type="dxa"/>
          </w:tcPr>
          <w:p w14:paraId="79A50F94" w14:textId="65DEF924" w:rsidR="002C0FD9" w:rsidRPr="00CA25CF" w:rsidRDefault="002C0FD9" w:rsidP="00CA25CF">
            <w:pPr>
              <w:rPr>
                <w:rFonts w:cs="Arial"/>
                <w:color w:val="FF0000"/>
                <w:sz w:val="21"/>
                <w:szCs w:val="21"/>
              </w:rPr>
            </w:pPr>
          </w:p>
        </w:tc>
        <w:tc>
          <w:tcPr>
            <w:tcW w:w="217" w:type="dxa"/>
          </w:tcPr>
          <w:p w14:paraId="4C53A337" w14:textId="77777777" w:rsidR="002C0FD9" w:rsidRPr="00CA25CF" w:rsidRDefault="002C0FD9" w:rsidP="00CA25CF">
            <w:pPr>
              <w:rPr>
                <w:rFonts w:cs="Arial"/>
                <w:color w:val="FF0000"/>
                <w:sz w:val="21"/>
                <w:szCs w:val="21"/>
              </w:rPr>
            </w:pPr>
          </w:p>
        </w:tc>
        <w:tc>
          <w:tcPr>
            <w:tcW w:w="217" w:type="dxa"/>
          </w:tcPr>
          <w:p w14:paraId="0F0667AF" w14:textId="5BD44698" w:rsidR="002C0FD9" w:rsidRPr="00CA25CF" w:rsidRDefault="002C0FD9" w:rsidP="00CA25CF">
            <w:pPr>
              <w:rPr>
                <w:rFonts w:cs="Arial"/>
                <w:color w:val="FF0000"/>
                <w:sz w:val="21"/>
                <w:szCs w:val="21"/>
              </w:rPr>
            </w:pPr>
          </w:p>
        </w:tc>
        <w:tc>
          <w:tcPr>
            <w:tcW w:w="217" w:type="dxa"/>
          </w:tcPr>
          <w:p w14:paraId="03C45D60" w14:textId="77777777" w:rsidR="002C0FD9" w:rsidRPr="00CA25CF" w:rsidRDefault="002C0FD9" w:rsidP="00CA25CF">
            <w:pPr>
              <w:rPr>
                <w:rFonts w:cs="Arial"/>
                <w:color w:val="FF0000"/>
                <w:sz w:val="21"/>
                <w:szCs w:val="21"/>
              </w:rPr>
            </w:pPr>
          </w:p>
        </w:tc>
        <w:tc>
          <w:tcPr>
            <w:tcW w:w="217" w:type="dxa"/>
          </w:tcPr>
          <w:p w14:paraId="4411C6F2" w14:textId="77777777" w:rsidR="002C0FD9" w:rsidRPr="00CA25CF" w:rsidRDefault="002C0FD9" w:rsidP="00CA25CF">
            <w:pPr>
              <w:rPr>
                <w:rFonts w:cs="Arial"/>
                <w:color w:val="FF0000"/>
                <w:sz w:val="21"/>
                <w:szCs w:val="21"/>
              </w:rPr>
            </w:pPr>
          </w:p>
        </w:tc>
        <w:tc>
          <w:tcPr>
            <w:tcW w:w="217" w:type="dxa"/>
          </w:tcPr>
          <w:p w14:paraId="7909FC51" w14:textId="77777777" w:rsidR="002C0FD9" w:rsidRPr="00CA25CF" w:rsidRDefault="002C0FD9" w:rsidP="00CA25CF">
            <w:pPr>
              <w:rPr>
                <w:rFonts w:cs="Arial"/>
                <w:color w:val="FF0000"/>
                <w:sz w:val="21"/>
                <w:szCs w:val="21"/>
              </w:rPr>
            </w:pPr>
          </w:p>
        </w:tc>
        <w:tc>
          <w:tcPr>
            <w:tcW w:w="217" w:type="dxa"/>
          </w:tcPr>
          <w:p w14:paraId="0F21976E" w14:textId="77777777" w:rsidR="002C0FD9" w:rsidRPr="00CA25CF" w:rsidRDefault="002C0FD9" w:rsidP="00CA25CF">
            <w:pPr>
              <w:rPr>
                <w:rFonts w:cs="Arial"/>
                <w:color w:val="FF0000"/>
                <w:sz w:val="21"/>
                <w:szCs w:val="21"/>
              </w:rPr>
            </w:pPr>
          </w:p>
        </w:tc>
        <w:tc>
          <w:tcPr>
            <w:tcW w:w="217" w:type="dxa"/>
          </w:tcPr>
          <w:p w14:paraId="16BB0EEF" w14:textId="77777777" w:rsidR="002C0FD9" w:rsidRPr="00CA25CF" w:rsidRDefault="002C0FD9" w:rsidP="00CA25CF">
            <w:pPr>
              <w:rPr>
                <w:rFonts w:cs="Arial"/>
                <w:color w:val="FF0000"/>
                <w:sz w:val="21"/>
                <w:szCs w:val="21"/>
              </w:rPr>
            </w:pPr>
          </w:p>
        </w:tc>
        <w:tc>
          <w:tcPr>
            <w:tcW w:w="217" w:type="dxa"/>
          </w:tcPr>
          <w:p w14:paraId="2138B49A" w14:textId="77777777" w:rsidR="002C0FD9" w:rsidRPr="00CA25CF" w:rsidRDefault="002C0FD9" w:rsidP="00CA25CF">
            <w:pPr>
              <w:rPr>
                <w:rFonts w:cs="Arial"/>
                <w:color w:val="FF0000"/>
                <w:sz w:val="21"/>
                <w:szCs w:val="21"/>
              </w:rPr>
            </w:pPr>
          </w:p>
        </w:tc>
        <w:tc>
          <w:tcPr>
            <w:tcW w:w="217" w:type="dxa"/>
          </w:tcPr>
          <w:p w14:paraId="17754041" w14:textId="77777777" w:rsidR="002C0FD9" w:rsidRPr="00CA25CF" w:rsidRDefault="002C0FD9" w:rsidP="00CA25CF">
            <w:pPr>
              <w:rPr>
                <w:rFonts w:cs="Arial"/>
                <w:color w:val="FF0000"/>
                <w:sz w:val="21"/>
                <w:szCs w:val="21"/>
              </w:rPr>
            </w:pPr>
          </w:p>
        </w:tc>
        <w:tc>
          <w:tcPr>
            <w:tcW w:w="217" w:type="dxa"/>
          </w:tcPr>
          <w:p w14:paraId="082EBBF5" w14:textId="77777777" w:rsidR="002C0FD9" w:rsidRPr="00CA25CF" w:rsidRDefault="002C0FD9" w:rsidP="00CA25CF">
            <w:pPr>
              <w:rPr>
                <w:rFonts w:cs="Arial"/>
                <w:color w:val="FF0000"/>
                <w:sz w:val="21"/>
                <w:szCs w:val="21"/>
              </w:rPr>
            </w:pPr>
          </w:p>
        </w:tc>
        <w:tc>
          <w:tcPr>
            <w:tcW w:w="217" w:type="dxa"/>
          </w:tcPr>
          <w:p w14:paraId="44BECA29" w14:textId="553DEF4A" w:rsidR="002C0FD9" w:rsidRPr="00CA25CF" w:rsidRDefault="002C0FD9" w:rsidP="00CA25CF">
            <w:pPr>
              <w:rPr>
                <w:rFonts w:cs="Arial"/>
                <w:color w:val="FF0000"/>
                <w:sz w:val="21"/>
                <w:szCs w:val="21"/>
              </w:rPr>
            </w:pPr>
          </w:p>
        </w:tc>
        <w:tc>
          <w:tcPr>
            <w:tcW w:w="217" w:type="dxa"/>
          </w:tcPr>
          <w:p w14:paraId="665E703E" w14:textId="77777777" w:rsidR="002C0FD9" w:rsidRPr="00CA25CF" w:rsidRDefault="002C0FD9" w:rsidP="00CA25CF">
            <w:pPr>
              <w:rPr>
                <w:rFonts w:cs="Arial"/>
                <w:color w:val="FF0000"/>
                <w:sz w:val="21"/>
                <w:szCs w:val="21"/>
              </w:rPr>
            </w:pPr>
          </w:p>
        </w:tc>
        <w:tc>
          <w:tcPr>
            <w:tcW w:w="217" w:type="dxa"/>
          </w:tcPr>
          <w:p w14:paraId="5004E333" w14:textId="77777777" w:rsidR="002C0FD9" w:rsidRPr="00CA25CF" w:rsidRDefault="002C0FD9" w:rsidP="00CA25CF">
            <w:pPr>
              <w:rPr>
                <w:rFonts w:cs="Arial"/>
                <w:color w:val="FF0000"/>
                <w:sz w:val="21"/>
                <w:szCs w:val="21"/>
              </w:rPr>
            </w:pPr>
          </w:p>
        </w:tc>
        <w:tc>
          <w:tcPr>
            <w:tcW w:w="217" w:type="dxa"/>
          </w:tcPr>
          <w:p w14:paraId="668CEBD9" w14:textId="77777777" w:rsidR="002C0FD9" w:rsidRPr="00CA25CF" w:rsidRDefault="002C0FD9" w:rsidP="00CA25CF">
            <w:pPr>
              <w:rPr>
                <w:rFonts w:cs="Arial"/>
                <w:color w:val="FF0000"/>
                <w:sz w:val="21"/>
                <w:szCs w:val="21"/>
              </w:rPr>
            </w:pPr>
          </w:p>
        </w:tc>
        <w:tc>
          <w:tcPr>
            <w:tcW w:w="217" w:type="dxa"/>
          </w:tcPr>
          <w:p w14:paraId="4740D93F" w14:textId="77777777" w:rsidR="002C0FD9" w:rsidRPr="00CA25CF" w:rsidRDefault="002C0FD9" w:rsidP="00CA25CF">
            <w:pPr>
              <w:rPr>
                <w:rFonts w:cs="Arial"/>
                <w:color w:val="FF0000"/>
                <w:sz w:val="21"/>
                <w:szCs w:val="21"/>
              </w:rPr>
            </w:pPr>
          </w:p>
        </w:tc>
        <w:tc>
          <w:tcPr>
            <w:tcW w:w="217" w:type="dxa"/>
          </w:tcPr>
          <w:p w14:paraId="1DDB1191" w14:textId="77777777" w:rsidR="002C0FD9" w:rsidRPr="00CA25CF" w:rsidRDefault="002C0FD9" w:rsidP="00CA25CF">
            <w:pPr>
              <w:rPr>
                <w:rFonts w:cs="Arial"/>
                <w:color w:val="FF0000"/>
                <w:sz w:val="21"/>
                <w:szCs w:val="21"/>
              </w:rPr>
            </w:pPr>
          </w:p>
        </w:tc>
        <w:tc>
          <w:tcPr>
            <w:tcW w:w="217" w:type="dxa"/>
          </w:tcPr>
          <w:p w14:paraId="783DACAE" w14:textId="77777777" w:rsidR="002C0FD9" w:rsidRPr="00CA25CF" w:rsidRDefault="002C0FD9" w:rsidP="00CA25CF">
            <w:pPr>
              <w:rPr>
                <w:rFonts w:cs="Arial"/>
                <w:color w:val="FF0000"/>
                <w:sz w:val="21"/>
                <w:szCs w:val="21"/>
              </w:rPr>
            </w:pPr>
          </w:p>
        </w:tc>
        <w:tc>
          <w:tcPr>
            <w:tcW w:w="217" w:type="dxa"/>
          </w:tcPr>
          <w:p w14:paraId="367D33C4" w14:textId="77777777" w:rsidR="002C0FD9" w:rsidRPr="00CA25CF" w:rsidRDefault="002C0FD9" w:rsidP="00CA25CF">
            <w:pPr>
              <w:rPr>
                <w:rFonts w:cs="Arial"/>
                <w:color w:val="FF0000"/>
                <w:sz w:val="21"/>
                <w:szCs w:val="21"/>
              </w:rPr>
            </w:pPr>
          </w:p>
        </w:tc>
        <w:tc>
          <w:tcPr>
            <w:tcW w:w="217" w:type="dxa"/>
          </w:tcPr>
          <w:p w14:paraId="7C37BFBD" w14:textId="77777777" w:rsidR="002C0FD9" w:rsidRPr="00CA25CF" w:rsidRDefault="002C0FD9" w:rsidP="00CA25CF">
            <w:pPr>
              <w:rPr>
                <w:rFonts w:cs="Arial"/>
                <w:color w:val="FF0000"/>
                <w:sz w:val="21"/>
                <w:szCs w:val="21"/>
              </w:rPr>
            </w:pPr>
          </w:p>
        </w:tc>
        <w:tc>
          <w:tcPr>
            <w:tcW w:w="217" w:type="dxa"/>
          </w:tcPr>
          <w:p w14:paraId="01C3B830" w14:textId="77777777" w:rsidR="002C0FD9" w:rsidRPr="00CA25CF" w:rsidRDefault="002C0FD9" w:rsidP="00CA25CF">
            <w:pPr>
              <w:rPr>
                <w:rFonts w:cs="Arial"/>
                <w:color w:val="FF0000"/>
                <w:sz w:val="21"/>
                <w:szCs w:val="21"/>
              </w:rPr>
            </w:pPr>
          </w:p>
        </w:tc>
        <w:tc>
          <w:tcPr>
            <w:tcW w:w="217" w:type="dxa"/>
          </w:tcPr>
          <w:p w14:paraId="4C7DCCF3" w14:textId="77777777" w:rsidR="002C0FD9" w:rsidRPr="00CA25CF" w:rsidRDefault="002C0FD9" w:rsidP="00CA25CF">
            <w:pPr>
              <w:rPr>
                <w:rFonts w:cs="Arial"/>
                <w:color w:val="FF0000"/>
                <w:sz w:val="21"/>
                <w:szCs w:val="21"/>
              </w:rPr>
            </w:pPr>
          </w:p>
        </w:tc>
        <w:tc>
          <w:tcPr>
            <w:tcW w:w="217" w:type="dxa"/>
          </w:tcPr>
          <w:p w14:paraId="112C5302" w14:textId="77777777" w:rsidR="002C0FD9" w:rsidRPr="00CA25CF" w:rsidRDefault="002C0FD9" w:rsidP="00CA25CF">
            <w:pPr>
              <w:rPr>
                <w:rFonts w:cs="Arial"/>
                <w:color w:val="FF0000"/>
                <w:sz w:val="21"/>
                <w:szCs w:val="21"/>
              </w:rPr>
            </w:pPr>
          </w:p>
        </w:tc>
        <w:tc>
          <w:tcPr>
            <w:tcW w:w="217" w:type="dxa"/>
          </w:tcPr>
          <w:p w14:paraId="6C793E34" w14:textId="77777777" w:rsidR="002C0FD9" w:rsidRPr="00CA25CF" w:rsidRDefault="002C0FD9" w:rsidP="00CA25CF">
            <w:pPr>
              <w:rPr>
                <w:rFonts w:cs="Arial"/>
                <w:color w:val="FF0000"/>
                <w:sz w:val="21"/>
                <w:szCs w:val="21"/>
              </w:rPr>
            </w:pPr>
          </w:p>
        </w:tc>
        <w:tc>
          <w:tcPr>
            <w:tcW w:w="217" w:type="dxa"/>
          </w:tcPr>
          <w:p w14:paraId="02543FDD" w14:textId="77777777" w:rsidR="002C0FD9" w:rsidRPr="00CA25CF" w:rsidRDefault="002C0FD9" w:rsidP="00CA25CF">
            <w:pPr>
              <w:rPr>
                <w:rFonts w:cs="Arial"/>
                <w:color w:val="FF0000"/>
                <w:sz w:val="21"/>
                <w:szCs w:val="21"/>
              </w:rPr>
            </w:pPr>
          </w:p>
        </w:tc>
        <w:tc>
          <w:tcPr>
            <w:tcW w:w="217" w:type="dxa"/>
          </w:tcPr>
          <w:p w14:paraId="7522B535" w14:textId="77777777" w:rsidR="002C0FD9" w:rsidRPr="00CA25CF" w:rsidRDefault="002C0FD9" w:rsidP="00CA25CF">
            <w:pPr>
              <w:rPr>
                <w:rFonts w:cs="Arial"/>
                <w:color w:val="FF0000"/>
                <w:sz w:val="21"/>
                <w:szCs w:val="21"/>
              </w:rPr>
            </w:pPr>
          </w:p>
        </w:tc>
        <w:tc>
          <w:tcPr>
            <w:tcW w:w="217" w:type="dxa"/>
          </w:tcPr>
          <w:p w14:paraId="4F8EADBD" w14:textId="77777777" w:rsidR="002C0FD9" w:rsidRPr="00CA25CF" w:rsidRDefault="002C0FD9" w:rsidP="00CA25CF">
            <w:pPr>
              <w:rPr>
                <w:rFonts w:cs="Arial"/>
                <w:color w:val="FF0000"/>
                <w:sz w:val="21"/>
                <w:szCs w:val="21"/>
              </w:rPr>
            </w:pPr>
          </w:p>
        </w:tc>
        <w:tc>
          <w:tcPr>
            <w:tcW w:w="217" w:type="dxa"/>
          </w:tcPr>
          <w:p w14:paraId="2FAC0341" w14:textId="77777777" w:rsidR="002C0FD9" w:rsidRPr="00CA25CF" w:rsidRDefault="002C0FD9" w:rsidP="00CA25CF">
            <w:pPr>
              <w:rPr>
                <w:rFonts w:cs="Arial"/>
                <w:color w:val="FF0000"/>
                <w:sz w:val="21"/>
                <w:szCs w:val="21"/>
              </w:rPr>
            </w:pPr>
          </w:p>
        </w:tc>
        <w:tc>
          <w:tcPr>
            <w:tcW w:w="217" w:type="dxa"/>
          </w:tcPr>
          <w:p w14:paraId="7505950C" w14:textId="77777777" w:rsidR="002C0FD9" w:rsidRPr="00CA25CF" w:rsidRDefault="002C0FD9" w:rsidP="00CA25CF">
            <w:pPr>
              <w:rPr>
                <w:rFonts w:cs="Arial"/>
                <w:color w:val="FF0000"/>
                <w:sz w:val="21"/>
                <w:szCs w:val="21"/>
              </w:rPr>
            </w:pPr>
          </w:p>
        </w:tc>
        <w:tc>
          <w:tcPr>
            <w:tcW w:w="217" w:type="dxa"/>
          </w:tcPr>
          <w:p w14:paraId="7233F5A7" w14:textId="77777777" w:rsidR="002C0FD9" w:rsidRPr="00CA25CF" w:rsidRDefault="002C0FD9" w:rsidP="00CA25CF">
            <w:pPr>
              <w:rPr>
                <w:rFonts w:cs="Arial"/>
                <w:color w:val="FF0000"/>
                <w:sz w:val="21"/>
                <w:szCs w:val="21"/>
              </w:rPr>
            </w:pPr>
          </w:p>
        </w:tc>
        <w:tc>
          <w:tcPr>
            <w:tcW w:w="217" w:type="dxa"/>
          </w:tcPr>
          <w:p w14:paraId="4E63F117" w14:textId="77777777" w:rsidR="002C0FD9" w:rsidRPr="00CA25CF" w:rsidRDefault="002C0FD9" w:rsidP="00CA25CF">
            <w:pPr>
              <w:rPr>
                <w:rFonts w:cs="Arial"/>
                <w:color w:val="FF0000"/>
                <w:sz w:val="21"/>
                <w:szCs w:val="21"/>
              </w:rPr>
            </w:pPr>
          </w:p>
        </w:tc>
        <w:tc>
          <w:tcPr>
            <w:tcW w:w="217" w:type="dxa"/>
          </w:tcPr>
          <w:p w14:paraId="6B24EF12" w14:textId="77777777" w:rsidR="002C0FD9" w:rsidRPr="00CA25CF" w:rsidRDefault="002C0FD9" w:rsidP="00CA25CF">
            <w:pPr>
              <w:rPr>
                <w:rFonts w:cs="Arial"/>
                <w:color w:val="FF0000"/>
                <w:sz w:val="21"/>
                <w:szCs w:val="21"/>
              </w:rPr>
            </w:pPr>
          </w:p>
        </w:tc>
        <w:tc>
          <w:tcPr>
            <w:tcW w:w="217" w:type="dxa"/>
          </w:tcPr>
          <w:p w14:paraId="02F47F14" w14:textId="77777777" w:rsidR="002C0FD9" w:rsidRPr="00CA25CF" w:rsidRDefault="002C0FD9" w:rsidP="00CA25CF">
            <w:pPr>
              <w:rPr>
                <w:rFonts w:cs="Arial"/>
                <w:color w:val="FF0000"/>
                <w:sz w:val="21"/>
                <w:szCs w:val="21"/>
              </w:rPr>
            </w:pPr>
          </w:p>
        </w:tc>
        <w:tc>
          <w:tcPr>
            <w:tcW w:w="217" w:type="dxa"/>
          </w:tcPr>
          <w:p w14:paraId="78BBC734" w14:textId="77777777" w:rsidR="002C0FD9" w:rsidRPr="00CA25CF" w:rsidRDefault="002C0FD9" w:rsidP="00CA25CF">
            <w:pPr>
              <w:rPr>
                <w:rFonts w:cs="Arial"/>
                <w:color w:val="FF0000"/>
                <w:sz w:val="21"/>
                <w:szCs w:val="21"/>
              </w:rPr>
            </w:pPr>
          </w:p>
        </w:tc>
        <w:tc>
          <w:tcPr>
            <w:tcW w:w="217" w:type="dxa"/>
          </w:tcPr>
          <w:p w14:paraId="56D604C9" w14:textId="77777777" w:rsidR="002C0FD9" w:rsidRPr="00CA25CF" w:rsidRDefault="002C0FD9" w:rsidP="00CA25CF">
            <w:pPr>
              <w:rPr>
                <w:rFonts w:cs="Arial"/>
                <w:color w:val="FF0000"/>
                <w:sz w:val="21"/>
                <w:szCs w:val="21"/>
              </w:rPr>
            </w:pPr>
          </w:p>
        </w:tc>
        <w:tc>
          <w:tcPr>
            <w:tcW w:w="217" w:type="dxa"/>
          </w:tcPr>
          <w:p w14:paraId="6B827D31" w14:textId="77777777" w:rsidR="002C0FD9" w:rsidRPr="00CA25CF" w:rsidRDefault="002C0FD9" w:rsidP="00CA25CF">
            <w:pPr>
              <w:rPr>
                <w:rFonts w:cs="Arial"/>
                <w:color w:val="FF0000"/>
                <w:sz w:val="21"/>
                <w:szCs w:val="21"/>
              </w:rPr>
            </w:pPr>
          </w:p>
        </w:tc>
        <w:tc>
          <w:tcPr>
            <w:tcW w:w="217" w:type="dxa"/>
          </w:tcPr>
          <w:p w14:paraId="0809A968" w14:textId="77777777" w:rsidR="002C0FD9" w:rsidRPr="00CA25CF" w:rsidRDefault="002C0FD9" w:rsidP="00CA25CF">
            <w:pPr>
              <w:rPr>
                <w:rFonts w:cs="Arial"/>
                <w:color w:val="FF0000"/>
                <w:sz w:val="21"/>
                <w:szCs w:val="21"/>
              </w:rPr>
            </w:pPr>
          </w:p>
        </w:tc>
        <w:tc>
          <w:tcPr>
            <w:tcW w:w="217" w:type="dxa"/>
          </w:tcPr>
          <w:p w14:paraId="75B49DC5" w14:textId="77777777" w:rsidR="002C0FD9" w:rsidRPr="00CA25CF" w:rsidRDefault="002C0FD9" w:rsidP="00CA25CF">
            <w:pPr>
              <w:rPr>
                <w:rFonts w:cs="Arial"/>
                <w:color w:val="FF0000"/>
                <w:sz w:val="21"/>
                <w:szCs w:val="21"/>
              </w:rPr>
            </w:pPr>
          </w:p>
        </w:tc>
        <w:tc>
          <w:tcPr>
            <w:tcW w:w="217" w:type="dxa"/>
          </w:tcPr>
          <w:p w14:paraId="2D15881A" w14:textId="77777777" w:rsidR="002C0FD9" w:rsidRPr="00CA25CF" w:rsidRDefault="002C0FD9" w:rsidP="00CA25CF">
            <w:pPr>
              <w:rPr>
                <w:rFonts w:cs="Arial"/>
                <w:color w:val="FF0000"/>
                <w:sz w:val="21"/>
                <w:szCs w:val="21"/>
              </w:rPr>
            </w:pPr>
          </w:p>
        </w:tc>
      </w:tr>
      <w:tr w:rsidR="002C0FD9" w:rsidRPr="00A16219" w14:paraId="46E4A506" w14:textId="51FA0B67" w:rsidTr="002C0FD9">
        <w:trPr>
          <w:trHeight w:val="635"/>
        </w:trPr>
        <w:tc>
          <w:tcPr>
            <w:tcW w:w="515" w:type="dxa"/>
          </w:tcPr>
          <w:p w14:paraId="1C560984" w14:textId="77777777" w:rsidR="002C0FD9" w:rsidRPr="00CA25CF" w:rsidRDefault="002C0FD9" w:rsidP="00CA25CF">
            <w:pPr>
              <w:rPr>
                <w:rFonts w:cs="Arial"/>
                <w:color w:val="FF0000"/>
                <w:sz w:val="21"/>
                <w:szCs w:val="21"/>
              </w:rPr>
            </w:pPr>
          </w:p>
        </w:tc>
        <w:tc>
          <w:tcPr>
            <w:tcW w:w="217" w:type="dxa"/>
          </w:tcPr>
          <w:p w14:paraId="2D87E863" w14:textId="77777777" w:rsidR="002C0FD9" w:rsidRPr="00CA25CF" w:rsidRDefault="002C0FD9" w:rsidP="00CA25CF">
            <w:pPr>
              <w:rPr>
                <w:rFonts w:cs="Arial"/>
                <w:color w:val="FF0000"/>
                <w:sz w:val="21"/>
                <w:szCs w:val="21"/>
              </w:rPr>
            </w:pPr>
          </w:p>
        </w:tc>
        <w:tc>
          <w:tcPr>
            <w:tcW w:w="217" w:type="dxa"/>
          </w:tcPr>
          <w:p w14:paraId="2BB7D7F5" w14:textId="5A8B4FF9" w:rsidR="002C0FD9" w:rsidRPr="00CA25CF" w:rsidRDefault="002C0FD9" w:rsidP="00CA25CF">
            <w:pPr>
              <w:rPr>
                <w:rFonts w:cs="Arial"/>
                <w:color w:val="FF0000"/>
                <w:sz w:val="21"/>
                <w:szCs w:val="21"/>
              </w:rPr>
            </w:pPr>
          </w:p>
        </w:tc>
        <w:tc>
          <w:tcPr>
            <w:tcW w:w="217" w:type="dxa"/>
          </w:tcPr>
          <w:p w14:paraId="32A6A79B" w14:textId="77777777" w:rsidR="002C0FD9" w:rsidRPr="00CA25CF" w:rsidRDefault="002C0FD9" w:rsidP="00CA25CF">
            <w:pPr>
              <w:rPr>
                <w:rFonts w:cs="Arial"/>
                <w:color w:val="FF0000"/>
                <w:sz w:val="21"/>
                <w:szCs w:val="21"/>
              </w:rPr>
            </w:pPr>
          </w:p>
        </w:tc>
        <w:tc>
          <w:tcPr>
            <w:tcW w:w="217" w:type="dxa"/>
          </w:tcPr>
          <w:p w14:paraId="3B840E71" w14:textId="36B40167" w:rsidR="002C0FD9" w:rsidRPr="00CA25CF" w:rsidRDefault="002C0FD9" w:rsidP="00CA25CF">
            <w:pPr>
              <w:rPr>
                <w:rFonts w:cs="Arial"/>
                <w:color w:val="FF0000"/>
                <w:sz w:val="21"/>
                <w:szCs w:val="21"/>
              </w:rPr>
            </w:pPr>
          </w:p>
        </w:tc>
        <w:tc>
          <w:tcPr>
            <w:tcW w:w="217" w:type="dxa"/>
          </w:tcPr>
          <w:p w14:paraId="542AC929" w14:textId="77777777" w:rsidR="002C0FD9" w:rsidRPr="00CA25CF" w:rsidRDefault="002C0FD9" w:rsidP="00CA25CF">
            <w:pPr>
              <w:rPr>
                <w:rFonts w:cs="Arial"/>
                <w:color w:val="FF0000"/>
                <w:sz w:val="21"/>
                <w:szCs w:val="21"/>
              </w:rPr>
            </w:pPr>
          </w:p>
        </w:tc>
        <w:tc>
          <w:tcPr>
            <w:tcW w:w="217" w:type="dxa"/>
          </w:tcPr>
          <w:p w14:paraId="49C92782" w14:textId="4730F06B" w:rsidR="002C0FD9" w:rsidRPr="00CA25CF" w:rsidRDefault="002C0FD9" w:rsidP="00CA25CF">
            <w:pPr>
              <w:rPr>
                <w:rFonts w:cs="Arial"/>
                <w:color w:val="FF0000"/>
                <w:sz w:val="21"/>
                <w:szCs w:val="21"/>
              </w:rPr>
            </w:pPr>
          </w:p>
        </w:tc>
        <w:tc>
          <w:tcPr>
            <w:tcW w:w="217" w:type="dxa"/>
          </w:tcPr>
          <w:p w14:paraId="44FD9366" w14:textId="77777777" w:rsidR="002C0FD9" w:rsidRPr="00CA25CF" w:rsidRDefault="002C0FD9" w:rsidP="00CA25CF">
            <w:pPr>
              <w:rPr>
                <w:rFonts w:cs="Arial"/>
                <w:color w:val="FF0000"/>
                <w:sz w:val="21"/>
                <w:szCs w:val="21"/>
              </w:rPr>
            </w:pPr>
          </w:p>
        </w:tc>
        <w:tc>
          <w:tcPr>
            <w:tcW w:w="217" w:type="dxa"/>
          </w:tcPr>
          <w:p w14:paraId="2F2D1FFB" w14:textId="77777777" w:rsidR="002C0FD9" w:rsidRPr="00CA25CF" w:rsidRDefault="002C0FD9" w:rsidP="00CA25CF">
            <w:pPr>
              <w:rPr>
                <w:rFonts w:cs="Arial"/>
                <w:color w:val="FF0000"/>
                <w:sz w:val="21"/>
                <w:szCs w:val="21"/>
              </w:rPr>
            </w:pPr>
          </w:p>
        </w:tc>
        <w:tc>
          <w:tcPr>
            <w:tcW w:w="217" w:type="dxa"/>
          </w:tcPr>
          <w:p w14:paraId="7130B0BB" w14:textId="77777777" w:rsidR="002C0FD9" w:rsidRPr="00CA25CF" w:rsidRDefault="002C0FD9" w:rsidP="00CA25CF">
            <w:pPr>
              <w:rPr>
                <w:rFonts w:cs="Arial"/>
                <w:color w:val="FF0000"/>
                <w:sz w:val="21"/>
                <w:szCs w:val="21"/>
              </w:rPr>
            </w:pPr>
          </w:p>
        </w:tc>
        <w:tc>
          <w:tcPr>
            <w:tcW w:w="217" w:type="dxa"/>
          </w:tcPr>
          <w:p w14:paraId="73F8D9E3" w14:textId="77777777" w:rsidR="002C0FD9" w:rsidRPr="00CA25CF" w:rsidRDefault="002C0FD9" w:rsidP="00CA25CF">
            <w:pPr>
              <w:rPr>
                <w:rFonts w:cs="Arial"/>
                <w:color w:val="FF0000"/>
                <w:sz w:val="21"/>
                <w:szCs w:val="21"/>
              </w:rPr>
            </w:pPr>
          </w:p>
        </w:tc>
        <w:tc>
          <w:tcPr>
            <w:tcW w:w="217" w:type="dxa"/>
          </w:tcPr>
          <w:p w14:paraId="2CCBBF25" w14:textId="77777777" w:rsidR="002C0FD9" w:rsidRPr="00CA25CF" w:rsidRDefault="002C0FD9" w:rsidP="00CA25CF">
            <w:pPr>
              <w:rPr>
                <w:rFonts w:cs="Arial"/>
                <w:color w:val="FF0000"/>
                <w:sz w:val="21"/>
                <w:szCs w:val="21"/>
              </w:rPr>
            </w:pPr>
          </w:p>
        </w:tc>
        <w:tc>
          <w:tcPr>
            <w:tcW w:w="217" w:type="dxa"/>
          </w:tcPr>
          <w:p w14:paraId="1F70B4A7" w14:textId="77777777" w:rsidR="002C0FD9" w:rsidRPr="00CA25CF" w:rsidRDefault="002C0FD9" w:rsidP="00CA25CF">
            <w:pPr>
              <w:rPr>
                <w:rFonts w:cs="Arial"/>
                <w:color w:val="FF0000"/>
                <w:sz w:val="21"/>
                <w:szCs w:val="21"/>
              </w:rPr>
            </w:pPr>
          </w:p>
        </w:tc>
        <w:tc>
          <w:tcPr>
            <w:tcW w:w="217" w:type="dxa"/>
          </w:tcPr>
          <w:p w14:paraId="41CF25B6" w14:textId="77777777" w:rsidR="002C0FD9" w:rsidRPr="00CA25CF" w:rsidRDefault="002C0FD9" w:rsidP="00CA25CF">
            <w:pPr>
              <w:rPr>
                <w:rFonts w:cs="Arial"/>
                <w:color w:val="FF0000"/>
                <w:sz w:val="21"/>
                <w:szCs w:val="21"/>
              </w:rPr>
            </w:pPr>
          </w:p>
        </w:tc>
        <w:tc>
          <w:tcPr>
            <w:tcW w:w="217" w:type="dxa"/>
          </w:tcPr>
          <w:p w14:paraId="42E6960D" w14:textId="77777777" w:rsidR="002C0FD9" w:rsidRPr="00CA25CF" w:rsidRDefault="002C0FD9" w:rsidP="00CA25CF">
            <w:pPr>
              <w:rPr>
                <w:rFonts w:cs="Arial"/>
                <w:color w:val="FF0000"/>
                <w:sz w:val="21"/>
                <w:szCs w:val="21"/>
              </w:rPr>
            </w:pPr>
          </w:p>
        </w:tc>
        <w:tc>
          <w:tcPr>
            <w:tcW w:w="217" w:type="dxa"/>
          </w:tcPr>
          <w:p w14:paraId="437466C1" w14:textId="619F1673" w:rsidR="002C0FD9" w:rsidRPr="00CA25CF" w:rsidRDefault="002C0FD9" w:rsidP="00CA25CF">
            <w:pPr>
              <w:rPr>
                <w:rFonts w:cs="Arial"/>
                <w:color w:val="FF0000"/>
                <w:sz w:val="21"/>
                <w:szCs w:val="21"/>
              </w:rPr>
            </w:pPr>
          </w:p>
        </w:tc>
        <w:tc>
          <w:tcPr>
            <w:tcW w:w="217" w:type="dxa"/>
          </w:tcPr>
          <w:p w14:paraId="6396CE1B" w14:textId="77777777" w:rsidR="002C0FD9" w:rsidRPr="00CA25CF" w:rsidRDefault="002C0FD9" w:rsidP="00CA25CF">
            <w:pPr>
              <w:rPr>
                <w:rFonts w:cs="Arial"/>
                <w:color w:val="FF0000"/>
                <w:sz w:val="21"/>
                <w:szCs w:val="21"/>
              </w:rPr>
            </w:pPr>
          </w:p>
        </w:tc>
        <w:tc>
          <w:tcPr>
            <w:tcW w:w="217" w:type="dxa"/>
          </w:tcPr>
          <w:p w14:paraId="2B6DD367" w14:textId="77777777" w:rsidR="002C0FD9" w:rsidRPr="00CA25CF" w:rsidRDefault="002C0FD9" w:rsidP="00CA25CF">
            <w:pPr>
              <w:rPr>
                <w:rFonts w:cs="Arial"/>
                <w:color w:val="FF0000"/>
                <w:sz w:val="21"/>
                <w:szCs w:val="21"/>
              </w:rPr>
            </w:pPr>
          </w:p>
        </w:tc>
        <w:tc>
          <w:tcPr>
            <w:tcW w:w="217" w:type="dxa"/>
          </w:tcPr>
          <w:p w14:paraId="2F53D7FB" w14:textId="77777777" w:rsidR="002C0FD9" w:rsidRPr="00CA25CF" w:rsidRDefault="002C0FD9" w:rsidP="00CA25CF">
            <w:pPr>
              <w:rPr>
                <w:rFonts w:cs="Arial"/>
                <w:color w:val="FF0000"/>
                <w:sz w:val="21"/>
                <w:szCs w:val="21"/>
              </w:rPr>
            </w:pPr>
          </w:p>
        </w:tc>
        <w:tc>
          <w:tcPr>
            <w:tcW w:w="217" w:type="dxa"/>
          </w:tcPr>
          <w:p w14:paraId="3E918F8D" w14:textId="77777777" w:rsidR="002C0FD9" w:rsidRPr="00CA25CF" w:rsidRDefault="002C0FD9" w:rsidP="00CA25CF">
            <w:pPr>
              <w:rPr>
                <w:rFonts w:cs="Arial"/>
                <w:color w:val="FF0000"/>
                <w:sz w:val="21"/>
                <w:szCs w:val="21"/>
              </w:rPr>
            </w:pPr>
          </w:p>
        </w:tc>
        <w:tc>
          <w:tcPr>
            <w:tcW w:w="217" w:type="dxa"/>
          </w:tcPr>
          <w:p w14:paraId="713CE61E" w14:textId="77777777" w:rsidR="002C0FD9" w:rsidRPr="00CA25CF" w:rsidRDefault="002C0FD9" w:rsidP="00CA25CF">
            <w:pPr>
              <w:rPr>
                <w:rFonts w:cs="Arial"/>
                <w:color w:val="FF0000"/>
                <w:sz w:val="21"/>
                <w:szCs w:val="21"/>
              </w:rPr>
            </w:pPr>
          </w:p>
        </w:tc>
        <w:tc>
          <w:tcPr>
            <w:tcW w:w="217" w:type="dxa"/>
          </w:tcPr>
          <w:p w14:paraId="4854FB31" w14:textId="77777777" w:rsidR="002C0FD9" w:rsidRPr="00CA25CF" w:rsidRDefault="002C0FD9" w:rsidP="00CA25CF">
            <w:pPr>
              <w:rPr>
                <w:rFonts w:cs="Arial"/>
                <w:color w:val="FF0000"/>
                <w:sz w:val="21"/>
                <w:szCs w:val="21"/>
              </w:rPr>
            </w:pPr>
          </w:p>
        </w:tc>
        <w:tc>
          <w:tcPr>
            <w:tcW w:w="217" w:type="dxa"/>
          </w:tcPr>
          <w:p w14:paraId="009440B2" w14:textId="77777777" w:rsidR="002C0FD9" w:rsidRPr="00CA25CF" w:rsidRDefault="002C0FD9" w:rsidP="00CA25CF">
            <w:pPr>
              <w:rPr>
                <w:rFonts w:cs="Arial"/>
                <w:color w:val="FF0000"/>
                <w:sz w:val="21"/>
                <w:szCs w:val="21"/>
              </w:rPr>
            </w:pPr>
          </w:p>
        </w:tc>
        <w:tc>
          <w:tcPr>
            <w:tcW w:w="217" w:type="dxa"/>
          </w:tcPr>
          <w:p w14:paraId="52828AB6" w14:textId="77777777" w:rsidR="002C0FD9" w:rsidRPr="00CA25CF" w:rsidRDefault="002C0FD9" w:rsidP="00CA25CF">
            <w:pPr>
              <w:rPr>
                <w:rFonts w:cs="Arial"/>
                <w:color w:val="FF0000"/>
                <w:sz w:val="21"/>
                <w:szCs w:val="21"/>
              </w:rPr>
            </w:pPr>
          </w:p>
        </w:tc>
        <w:tc>
          <w:tcPr>
            <w:tcW w:w="217" w:type="dxa"/>
          </w:tcPr>
          <w:p w14:paraId="75103BBC" w14:textId="77777777" w:rsidR="002C0FD9" w:rsidRPr="00CA25CF" w:rsidRDefault="002C0FD9" w:rsidP="00CA25CF">
            <w:pPr>
              <w:rPr>
                <w:rFonts w:cs="Arial"/>
                <w:color w:val="FF0000"/>
                <w:sz w:val="21"/>
                <w:szCs w:val="21"/>
              </w:rPr>
            </w:pPr>
          </w:p>
        </w:tc>
        <w:tc>
          <w:tcPr>
            <w:tcW w:w="217" w:type="dxa"/>
          </w:tcPr>
          <w:p w14:paraId="0AD09BE1" w14:textId="77777777" w:rsidR="002C0FD9" w:rsidRPr="00CA25CF" w:rsidRDefault="002C0FD9" w:rsidP="00CA25CF">
            <w:pPr>
              <w:rPr>
                <w:rFonts w:cs="Arial"/>
                <w:color w:val="FF0000"/>
                <w:sz w:val="21"/>
                <w:szCs w:val="21"/>
              </w:rPr>
            </w:pPr>
          </w:p>
        </w:tc>
        <w:tc>
          <w:tcPr>
            <w:tcW w:w="217" w:type="dxa"/>
          </w:tcPr>
          <w:p w14:paraId="7FF8AE86" w14:textId="77777777" w:rsidR="002C0FD9" w:rsidRPr="00CA25CF" w:rsidRDefault="002C0FD9" w:rsidP="00CA25CF">
            <w:pPr>
              <w:rPr>
                <w:rFonts w:cs="Arial"/>
                <w:color w:val="FF0000"/>
                <w:sz w:val="21"/>
                <w:szCs w:val="21"/>
              </w:rPr>
            </w:pPr>
          </w:p>
        </w:tc>
        <w:tc>
          <w:tcPr>
            <w:tcW w:w="217" w:type="dxa"/>
          </w:tcPr>
          <w:p w14:paraId="024C35D5" w14:textId="77777777" w:rsidR="002C0FD9" w:rsidRPr="00CA25CF" w:rsidRDefault="002C0FD9" w:rsidP="00CA25CF">
            <w:pPr>
              <w:rPr>
                <w:rFonts w:cs="Arial"/>
                <w:color w:val="FF0000"/>
                <w:sz w:val="21"/>
                <w:szCs w:val="21"/>
              </w:rPr>
            </w:pPr>
          </w:p>
        </w:tc>
        <w:tc>
          <w:tcPr>
            <w:tcW w:w="217" w:type="dxa"/>
          </w:tcPr>
          <w:p w14:paraId="40B9D61D" w14:textId="77777777" w:rsidR="002C0FD9" w:rsidRPr="00CA25CF" w:rsidRDefault="002C0FD9" w:rsidP="00CA25CF">
            <w:pPr>
              <w:rPr>
                <w:rFonts w:cs="Arial"/>
                <w:color w:val="FF0000"/>
                <w:sz w:val="21"/>
                <w:szCs w:val="21"/>
              </w:rPr>
            </w:pPr>
          </w:p>
        </w:tc>
        <w:tc>
          <w:tcPr>
            <w:tcW w:w="217" w:type="dxa"/>
          </w:tcPr>
          <w:p w14:paraId="3457F70C" w14:textId="77777777" w:rsidR="002C0FD9" w:rsidRPr="00CA25CF" w:rsidRDefault="002C0FD9" w:rsidP="00CA25CF">
            <w:pPr>
              <w:rPr>
                <w:rFonts w:cs="Arial"/>
                <w:color w:val="FF0000"/>
                <w:sz w:val="21"/>
                <w:szCs w:val="21"/>
              </w:rPr>
            </w:pPr>
          </w:p>
        </w:tc>
        <w:tc>
          <w:tcPr>
            <w:tcW w:w="217" w:type="dxa"/>
          </w:tcPr>
          <w:p w14:paraId="2DAD500B" w14:textId="77777777" w:rsidR="002C0FD9" w:rsidRPr="00CA25CF" w:rsidRDefault="002C0FD9" w:rsidP="00CA25CF">
            <w:pPr>
              <w:rPr>
                <w:rFonts w:cs="Arial"/>
                <w:color w:val="FF0000"/>
                <w:sz w:val="21"/>
                <w:szCs w:val="21"/>
              </w:rPr>
            </w:pPr>
          </w:p>
        </w:tc>
        <w:tc>
          <w:tcPr>
            <w:tcW w:w="217" w:type="dxa"/>
          </w:tcPr>
          <w:p w14:paraId="6CE470D0" w14:textId="77777777" w:rsidR="002C0FD9" w:rsidRPr="00CA25CF" w:rsidRDefault="002C0FD9" w:rsidP="00CA25CF">
            <w:pPr>
              <w:rPr>
                <w:rFonts w:cs="Arial"/>
                <w:color w:val="FF0000"/>
                <w:sz w:val="21"/>
                <w:szCs w:val="21"/>
              </w:rPr>
            </w:pPr>
          </w:p>
        </w:tc>
        <w:tc>
          <w:tcPr>
            <w:tcW w:w="217" w:type="dxa"/>
          </w:tcPr>
          <w:p w14:paraId="12C8CBF5" w14:textId="77777777" w:rsidR="002C0FD9" w:rsidRPr="00CA25CF" w:rsidRDefault="002C0FD9" w:rsidP="00CA25CF">
            <w:pPr>
              <w:rPr>
                <w:rFonts w:cs="Arial"/>
                <w:color w:val="FF0000"/>
                <w:sz w:val="21"/>
                <w:szCs w:val="21"/>
              </w:rPr>
            </w:pPr>
          </w:p>
        </w:tc>
        <w:tc>
          <w:tcPr>
            <w:tcW w:w="217" w:type="dxa"/>
          </w:tcPr>
          <w:p w14:paraId="3C453B2A" w14:textId="77777777" w:rsidR="002C0FD9" w:rsidRPr="00CA25CF" w:rsidRDefault="002C0FD9" w:rsidP="00CA25CF">
            <w:pPr>
              <w:rPr>
                <w:rFonts w:cs="Arial"/>
                <w:color w:val="FF0000"/>
                <w:sz w:val="21"/>
                <w:szCs w:val="21"/>
              </w:rPr>
            </w:pPr>
          </w:p>
        </w:tc>
        <w:tc>
          <w:tcPr>
            <w:tcW w:w="217" w:type="dxa"/>
          </w:tcPr>
          <w:p w14:paraId="46FB86D6" w14:textId="77777777" w:rsidR="002C0FD9" w:rsidRPr="00CA25CF" w:rsidRDefault="002C0FD9" w:rsidP="00CA25CF">
            <w:pPr>
              <w:rPr>
                <w:rFonts w:cs="Arial"/>
                <w:color w:val="FF0000"/>
                <w:sz w:val="21"/>
                <w:szCs w:val="21"/>
              </w:rPr>
            </w:pPr>
          </w:p>
        </w:tc>
        <w:tc>
          <w:tcPr>
            <w:tcW w:w="217" w:type="dxa"/>
          </w:tcPr>
          <w:p w14:paraId="3A708BA5" w14:textId="77777777" w:rsidR="002C0FD9" w:rsidRPr="00CA25CF" w:rsidRDefault="002C0FD9" w:rsidP="00CA25CF">
            <w:pPr>
              <w:rPr>
                <w:rFonts w:cs="Arial"/>
                <w:color w:val="FF0000"/>
                <w:sz w:val="21"/>
                <w:szCs w:val="21"/>
              </w:rPr>
            </w:pPr>
          </w:p>
        </w:tc>
        <w:tc>
          <w:tcPr>
            <w:tcW w:w="217" w:type="dxa"/>
          </w:tcPr>
          <w:p w14:paraId="0AAA12DC" w14:textId="77777777" w:rsidR="002C0FD9" w:rsidRPr="00CA25CF" w:rsidRDefault="002C0FD9" w:rsidP="00CA25CF">
            <w:pPr>
              <w:rPr>
                <w:rFonts w:cs="Arial"/>
                <w:color w:val="FF0000"/>
                <w:sz w:val="21"/>
                <w:szCs w:val="21"/>
              </w:rPr>
            </w:pPr>
          </w:p>
        </w:tc>
        <w:tc>
          <w:tcPr>
            <w:tcW w:w="217" w:type="dxa"/>
          </w:tcPr>
          <w:p w14:paraId="39A23433" w14:textId="77777777" w:rsidR="002C0FD9" w:rsidRPr="00CA25CF" w:rsidRDefault="002C0FD9" w:rsidP="00CA25CF">
            <w:pPr>
              <w:rPr>
                <w:rFonts w:cs="Arial"/>
                <w:color w:val="FF0000"/>
                <w:sz w:val="21"/>
                <w:szCs w:val="21"/>
              </w:rPr>
            </w:pPr>
          </w:p>
        </w:tc>
        <w:tc>
          <w:tcPr>
            <w:tcW w:w="217" w:type="dxa"/>
          </w:tcPr>
          <w:p w14:paraId="1EB95DCC" w14:textId="77777777" w:rsidR="002C0FD9" w:rsidRPr="00CA25CF" w:rsidRDefault="002C0FD9" w:rsidP="00CA25CF">
            <w:pPr>
              <w:rPr>
                <w:rFonts w:cs="Arial"/>
                <w:color w:val="FF0000"/>
                <w:sz w:val="21"/>
                <w:szCs w:val="21"/>
              </w:rPr>
            </w:pPr>
          </w:p>
        </w:tc>
        <w:tc>
          <w:tcPr>
            <w:tcW w:w="217" w:type="dxa"/>
          </w:tcPr>
          <w:p w14:paraId="485029B5" w14:textId="77777777" w:rsidR="002C0FD9" w:rsidRPr="00CA25CF" w:rsidRDefault="002C0FD9" w:rsidP="00CA25CF">
            <w:pPr>
              <w:rPr>
                <w:rFonts w:cs="Arial"/>
                <w:color w:val="FF0000"/>
                <w:sz w:val="21"/>
                <w:szCs w:val="21"/>
              </w:rPr>
            </w:pPr>
          </w:p>
        </w:tc>
        <w:tc>
          <w:tcPr>
            <w:tcW w:w="217" w:type="dxa"/>
          </w:tcPr>
          <w:p w14:paraId="465CF359" w14:textId="77777777" w:rsidR="002C0FD9" w:rsidRPr="00CA25CF" w:rsidRDefault="002C0FD9" w:rsidP="00CA25CF">
            <w:pPr>
              <w:rPr>
                <w:rFonts w:cs="Arial"/>
                <w:color w:val="FF0000"/>
                <w:sz w:val="21"/>
                <w:szCs w:val="21"/>
              </w:rPr>
            </w:pPr>
          </w:p>
        </w:tc>
        <w:tc>
          <w:tcPr>
            <w:tcW w:w="217" w:type="dxa"/>
          </w:tcPr>
          <w:p w14:paraId="76F07B10" w14:textId="77777777" w:rsidR="002C0FD9" w:rsidRPr="00CA25CF" w:rsidRDefault="002C0FD9" w:rsidP="00CA25CF">
            <w:pPr>
              <w:rPr>
                <w:rFonts w:cs="Arial"/>
                <w:color w:val="FF0000"/>
                <w:sz w:val="21"/>
                <w:szCs w:val="21"/>
              </w:rPr>
            </w:pPr>
          </w:p>
        </w:tc>
        <w:tc>
          <w:tcPr>
            <w:tcW w:w="217" w:type="dxa"/>
          </w:tcPr>
          <w:p w14:paraId="02AE1DEF" w14:textId="77777777" w:rsidR="002C0FD9" w:rsidRPr="00CA25CF" w:rsidRDefault="002C0FD9" w:rsidP="00CA25CF">
            <w:pPr>
              <w:rPr>
                <w:rFonts w:cs="Arial"/>
                <w:color w:val="FF0000"/>
                <w:sz w:val="21"/>
                <w:szCs w:val="21"/>
              </w:rPr>
            </w:pPr>
          </w:p>
        </w:tc>
      </w:tr>
      <w:tr w:rsidR="002C0FD9" w:rsidRPr="00A16219" w14:paraId="75CCD45D" w14:textId="6EC423BC" w:rsidTr="002C0FD9">
        <w:trPr>
          <w:trHeight w:val="635"/>
        </w:trPr>
        <w:tc>
          <w:tcPr>
            <w:tcW w:w="515" w:type="dxa"/>
          </w:tcPr>
          <w:p w14:paraId="4C9BBAE9" w14:textId="77777777" w:rsidR="002C0FD9" w:rsidRPr="00CA25CF" w:rsidRDefault="002C0FD9" w:rsidP="00CA25CF">
            <w:pPr>
              <w:rPr>
                <w:rFonts w:cs="Arial"/>
                <w:color w:val="FF0000"/>
                <w:sz w:val="21"/>
                <w:szCs w:val="21"/>
              </w:rPr>
            </w:pPr>
          </w:p>
        </w:tc>
        <w:tc>
          <w:tcPr>
            <w:tcW w:w="217" w:type="dxa"/>
          </w:tcPr>
          <w:p w14:paraId="3AC6105B" w14:textId="77777777" w:rsidR="002C0FD9" w:rsidRPr="00CA25CF" w:rsidRDefault="002C0FD9" w:rsidP="00CA25CF">
            <w:pPr>
              <w:rPr>
                <w:rFonts w:cs="Arial"/>
                <w:color w:val="FF0000"/>
                <w:sz w:val="21"/>
                <w:szCs w:val="21"/>
              </w:rPr>
            </w:pPr>
          </w:p>
        </w:tc>
        <w:tc>
          <w:tcPr>
            <w:tcW w:w="217" w:type="dxa"/>
          </w:tcPr>
          <w:p w14:paraId="0D5E4D6C" w14:textId="3C7A4C18" w:rsidR="002C0FD9" w:rsidRPr="00CA25CF" w:rsidRDefault="002C0FD9" w:rsidP="00CA25CF">
            <w:pPr>
              <w:rPr>
                <w:rFonts w:cs="Arial"/>
                <w:color w:val="FF0000"/>
                <w:sz w:val="21"/>
                <w:szCs w:val="21"/>
              </w:rPr>
            </w:pPr>
          </w:p>
        </w:tc>
        <w:tc>
          <w:tcPr>
            <w:tcW w:w="217" w:type="dxa"/>
          </w:tcPr>
          <w:p w14:paraId="17D5BD3A" w14:textId="77777777" w:rsidR="002C0FD9" w:rsidRPr="00CA25CF" w:rsidRDefault="002C0FD9" w:rsidP="00CA25CF">
            <w:pPr>
              <w:rPr>
                <w:rFonts w:cs="Arial"/>
                <w:color w:val="FF0000"/>
                <w:sz w:val="21"/>
                <w:szCs w:val="21"/>
              </w:rPr>
            </w:pPr>
          </w:p>
        </w:tc>
        <w:tc>
          <w:tcPr>
            <w:tcW w:w="217" w:type="dxa"/>
          </w:tcPr>
          <w:p w14:paraId="434E09D4" w14:textId="6115AE8A" w:rsidR="002C0FD9" w:rsidRPr="00CA25CF" w:rsidRDefault="002C0FD9" w:rsidP="00CA25CF">
            <w:pPr>
              <w:rPr>
                <w:rFonts w:cs="Arial"/>
                <w:color w:val="FF0000"/>
                <w:sz w:val="21"/>
                <w:szCs w:val="21"/>
              </w:rPr>
            </w:pPr>
          </w:p>
        </w:tc>
        <w:tc>
          <w:tcPr>
            <w:tcW w:w="217" w:type="dxa"/>
          </w:tcPr>
          <w:p w14:paraId="23DBF338" w14:textId="77777777" w:rsidR="002C0FD9" w:rsidRPr="00CA25CF" w:rsidRDefault="002C0FD9" w:rsidP="00CA25CF">
            <w:pPr>
              <w:rPr>
                <w:rFonts w:cs="Arial"/>
                <w:color w:val="FF0000"/>
                <w:sz w:val="21"/>
                <w:szCs w:val="21"/>
              </w:rPr>
            </w:pPr>
          </w:p>
        </w:tc>
        <w:tc>
          <w:tcPr>
            <w:tcW w:w="217" w:type="dxa"/>
          </w:tcPr>
          <w:p w14:paraId="4289C0C7" w14:textId="229EDB41" w:rsidR="002C0FD9" w:rsidRPr="00CA25CF" w:rsidRDefault="002C0FD9" w:rsidP="00CA25CF">
            <w:pPr>
              <w:rPr>
                <w:rFonts w:cs="Arial"/>
                <w:color w:val="FF0000"/>
                <w:sz w:val="21"/>
                <w:szCs w:val="21"/>
              </w:rPr>
            </w:pPr>
          </w:p>
        </w:tc>
        <w:tc>
          <w:tcPr>
            <w:tcW w:w="217" w:type="dxa"/>
          </w:tcPr>
          <w:p w14:paraId="39B56E9B" w14:textId="77777777" w:rsidR="002C0FD9" w:rsidRPr="00CA25CF" w:rsidRDefault="002C0FD9" w:rsidP="00CA25CF">
            <w:pPr>
              <w:rPr>
                <w:rFonts w:cs="Arial"/>
                <w:color w:val="FF0000"/>
                <w:sz w:val="21"/>
                <w:szCs w:val="21"/>
              </w:rPr>
            </w:pPr>
          </w:p>
        </w:tc>
        <w:tc>
          <w:tcPr>
            <w:tcW w:w="217" w:type="dxa"/>
          </w:tcPr>
          <w:p w14:paraId="56BC6ECF" w14:textId="77777777" w:rsidR="002C0FD9" w:rsidRPr="00CA25CF" w:rsidRDefault="002C0FD9" w:rsidP="00CA25CF">
            <w:pPr>
              <w:rPr>
                <w:rFonts w:cs="Arial"/>
                <w:color w:val="FF0000"/>
                <w:sz w:val="21"/>
                <w:szCs w:val="21"/>
              </w:rPr>
            </w:pPr>
          </w:p>
        </w:tc>
        <w:tc>
          <w:tcPr>
            <w:tcW w:w="217" w:type="dxa"/>
          </w:tcPr>
          <w:p w14:paraId="15F3D976" w14:textId="77777777" w:rsidR="002C0FD9" w:rsidRPr="00CA25CF" w:rsidRDefault="002C0FD9" w:rsidP="00CA25CF">
            <w:pPr>
              <w:rPr>
                <w:rFonts w:cs="Arial"/>
                <w:color w:val="FF0000"/>
                <w:sz w:val="21"/>
                <w:szCs w:val="21"/>
              </w:rPr>
            </w:pPr>
          </w:p>
        </w:tc>
        <w:tc>
          <w:tcPr>
            <w:tcW w:w="217" w:type="dxa"/>
          </w:tcPr>
          <w:p w14:paraId="46EA4AAD" w14:textId="77777777" w:rsidR="002C0FD9" w:rsidRPr="00CA25CF" w:rsidRDefault="002C0FD9" w:rsidP="00CA25CF">
            <w:pPr>
              <w:rPr>
                <w:rFonts w:cs="Arial"/>
                <w:color w:val="FF0000"/>
                <w:sz w:val="21"/>
                <w:szCs w:val="21"/>
              </w:rPr>
            </w:pPr>
          </w:p>
        </w:tc>
        <w:tc>
          <w:tcPr>
            <w:tcW w:w="217" w:type="dxa"/>
          </w:tcPr>
          <w:p w14:paraId="253F9B47" w14:textId="77777777" w:rsidR="002C0FD9" w:rsidRPr="00CA25CF" w:rsidRDefault="002C0FD9" w:rsidP="00CA25CF">
            <w:pPr>
              <w:rPr>
                <w:rFonts w:cs="Arial"/>
                <w:color w:val="FF0000"/>
                <w:sz w:val="21"/>
                <w:szCs w:val="21"/>
              </w:rPr>
            </w:pPr>
          </w:p>
        </w:tc>
        <w:tc>
          <w:tcPr>
            <w:tcW w:w="217" w:type="dxa"/>
          </w:tcPr>
          <w:p w14:paraId="1434B0C3" w14:textId="77777777" w:rsidR="002C0FD9" w:rsidRPr="00CA25CF" w:rsidRDefault="002C0FD9" w:rsidP="00CA25CF">
            <w:pPr>
              <w:rPr>
                <w:rFonts w:cs="Arial"/>
                <w:color w:val="FF0000"/>
                <w:sz w:val="21"/>
                <w:szCs w:val="21"/>
              </w:rPr>
            </w:pPr>
          </w:p>
        </w:tc>
        <w:tc>
          <w:tcPr>
            <w:tcW w:w="217" w:type="dxa"/>
          </w:tcPr>
          <w:p w14:paraId="446DE4A2" w14:textId="77777777" w:rsidR="002C0FD9" w:rsidRPr="00CA25CF" w:rsidRDefault="002C0FD9" w:rsidP="00CA25CF">
            <w:pPr>
              <w:rPr>
                <w:rFonts w:cs="Arial"/>
                <w:color w:val="FF0000"/>
                <w:sz w:val="21"/>
                <w:szCs w:val="21"/>
              </w:rPr>
            </w:pPr>
          </w:p>
        </w:tc>
        <w:tc>
          <w:tcPr>
            <w:tcW w:w="217" w:type="dxa"/>
          </w:tcPr>
          <w:p w14:paraId="46E8F2BE" w14:textId="77777777" w:rsidR="002C0FD9" w:rsidRPr="00CA25CF" w:rsidRDefault="002C0FD9" w:rsidP="00CA25CF">
            <w:pPr>
              <w:rPr>
                <w:rFonts w:cs="Arial"/>
                <w:color w:val="FF0000"/>
                <w:sz w:val="21"/>
                <w:szCs w:val="21"/>
              </w:rPr>
            </w:pPr>
          </w:p>
        </w:tc>
        <w:tc>
          <w:tcPr>
            <w:tcW w:w="217" w:type="dxa"/>
          </w:tcPr>
          <w:p w14:paraId="562065BC" w14:textId="1C21C62D" w:rsidR="002C0FD9" w:rsidRPr="00CA25CF" w:rsidRDefault="002C0FD9" w:rsidP="00CA25CF">
            <w:pPr>
              <w:rPr>
                <w:rFonts w:cs="Arial"/>
                <w:color w:val="FF0000"/>
                <w:sz w:val="21"/>
                <w:szCs w:val="21"/>
              </w:rPr>
            </w:pPr>
          </w:p>
        </w:tc>
        <w:tc>
          <w:tcPr>
            <w:tcW w:w="217" w:type="dxa"/>
          </w:tcPr>
          <w:p w14:paraId="33EBB770" w14:textId="77777777" w:rsidR="002C0FD9" w:rsidRPr="00CA25CF" w:rsidRDefault="002C0FD9" w:rsidP="00CA25CF">
            <w:pPr>
              <w:rPr>
                <w:rFonts w:cs="Arial"/>
                <w:color w:val="FF0000"/>
                <w:sz w:val="21"/>
                <w:szCs w:val="21"/>
              </w:rPr>
            </w:pPr>
          </w:p>
        </w:tc>
        <w:tc>
          <w:tcPr>
            <w:tcW w:w="217" w:type="dxa"/>
          </w:tcPr>
          <w:p w14:paraId="74E90ADE" w14:textId="77777777" w:rsidR="002C0FD9" w:rsidRPr="00CA25CF" w:rsidRDefault="002C0FD9" w:rsidP="00CA25CF">
            <w:pPr>
              <w:rPr>
                <w:rFonts w:cs="Arial"/>
                <w:color w:val="FF0000"/>
                <w:sz w:val="21"/>
                <w:szCs w:val="21"/>
              </w:rPr>
            </w:pPr>
          </w:p>
        </w:tc>
        <w:tc>
          <w:tcPr>
            <w:tcW w:w="217" w:type="dxa"/>
          </w:tcPr>
          <w:p w14:paraId="2B52D5EB" w14:textId="77777777" w:rsidR="002C0FD9" w:rsidRPr="00CA25CF" w:rsidRDefault="002C0FD9" w:rsidP="00CA25CF">
            <w:pPr>
              <w:rPr>
                <w:rFonts w:cs="Arial"/>
                <w:color w:val="FF0000"/>
                <w:sz w:val="21"/>
                <w:szCs w:val="21"/>
              </w:rPr>
            </w:pPr>
          </w:p>
        </w:tc>
        <w:tc>
          <w:tcPr>
            <w:tcW w:w="217" w:type="dxa"/>
          </w:tcPr>
          <w:p w14:paraId="23E5682C" w14:textId="77777777" w:rsidR="002C0FD9" w:rsidRPr="00CA25CF" w:rsidRDefault="002C0FD9" w:rsidP="00CA25CF">
            <w:pPr>
              <w:rPr>
                <w:rFonts w:cs="Arial"/>
                <w:color w:val="FF0000"/>
                <w:sz w:val="21"/>
                <w:szCs w:val="21"/>
              </w:rPr>
            </w:pPr>
          </w:p>
        </w:tc>
        <w:tc>
          <w:tcPr>
            <w:tcW w:w="217" w:type="dxa"/>
          </w:tcPr>
          <w:p w14:paraId="32DA249F" w14:textId="77777777" w:rsidR="002C0FD9" w:rsidRPr="00CA25CF" w:rsidRDefault="002C0FD9" w:rsidP="00CA25CF">
            <w:pPr>
              <w:rPr>
                <w:rFonts w:cs="Arial"/>
                <w:color w:val="FF0000"/>
                <w:sz w:val="21"/>
                <w:szCs w:val="21"/>
              </w:rPr>
            </w:pPr>
          </w:p>
        </w:tc>
        <w:tc>
          <w:tcPr>
            <w:tcW w:w="217" w:type="dxa"/>
          </w:tcPr>
          <w:p w14:paraId="75BBA9EC" w14:textId="77777777" w:rsidR="002C0FD9" w:rsidRPr="00CA25CF" w:rsidRDefault="002C0FD9" w:rsidP="00CA25CF">
            <w:pPr>
              <w:rPr>
                <w:rFonts w:cs="Arial"/>
                <w:color w:val="FF0000"/>
                <w:sz w:val="21"/>
                <w:szCs w:val="21"/>
              </w:rPr>
            </w:pPr>
          </w:p>
        </w:tc>
        <w:tc>
          <w:tcPr>
            <w:tcW w:w="217" w:type="dxa"/>
          </w:tcPr>
          <w:p w14:paraId="759BC85F" w14:textId="77777777" w:rsidR="002C0FD9" w:rsidRPr="00CA25CF" w:rsidRDefault="002C0FD9" w:rsidP="00CA25CF">
            <w:pPr>
              <w:rPr>
                <w:rFonts w:cs="Arial"/>
                <w:color w:val="FF0000"/>
                <w:sz w:val="21"/>
                <w:szCs w:val="21"/>
              </w:rPr>
            </w:pPr>
          </w:p>
        </w:tc>
        <w:tc>
          <w:tcPr>
            <w:tcW w:w="217" w:type="dxa"/>
          </w:tcPr>
          <w:p w14:paraId="7462E60F" w14:textId="77777777" w:rsidR="002C0FD9" w:rsidRPr="00CA25CF" w:rsidRDefault="002C0FD9" w:rsidP="00CA25CF">
            <w:pPr>
              <w:rPr>
                <w:rFonts w:cs="Arial"/>
                <w:color w:val="FF0000"/>
                <w:sz w:val="21"/>
                <w:szCs w:val="21"/>
              </w:rPr>
            </w:pPr>
          </w:p>
        </w:tc>
        <w:tc>
          <w:tcPr>
            <w:tcW w:w="217" w:type="dxa"/>
          </w:tcPr>
          <w:p w14:paraId="1120CFE7" w14:textId="77777777" w:rsidR="002C0FD9" w:rsidRPr="00CA25CF" w:rsidRDefault="002C0FD9" w:rsidP="00CA25CF">
            <w:pPr>
              <w:rPr>
                <w:rFonts w:cs="Arial"/>
                <w:color w:val="FF0000"/>
                <w:sz w:val="21"/>
                <w:szCs w:val="21"/>
              </w:rPr>
            </w:pPr>
          </w:p>
        </w:tc>
        <w:tc>
          <w:tcPr>
            <w:tcW w:w="217" w:type="dxa"/>
          </w:tcPr>
          <w:p w14:paraId="32D48D89" w14:textId="77777777" w:rsidR="002C0FD9" w:rsidRPr="00CA25CF" w:rsidRDefault="002C0FD9" w:rsidP="00CA25CF">
            <w:pPr>
              <w:rPr>
                <w:rFonts w:cs="Arial"/>
                <w:color w:val="FF0000"/>
                <w:sz w:val="21"/>
                <w:szCs w:val="21"/>
              </w:rPr>
            </w:pPr>
          </w:p>
        </w:tc>
        <w:tc>
          <w:tcPr>
            <w:tcW w:w="217" w:type="dxa"/>
          </w:tcPr>
          <w:p w14:paraId="1F469896" w14:textId="77777777" w:rsidR="002C0FD9" w:rsidRPr="00CA25CF" w:rsidRDefault="002C0FD9" w:rsidP="00CA25CF">
            <w:pPr>
              <w:rPr>
                <w:rFonts w:cs="Arial"/>
                <w:color w:val="FF0000"/>
                <w:sz w:val="21"/>
                <w:szCs w:val="21"/>
              </w:rPr>
            </w:pPr>
          </w:p>
        </w:tc>
        <w:tc>
          <w:tcPr>
            <w:tcW w:w="217" w:type="dxa"/>
          </w:tcPr>
          <w:p w14:paraId="725887D5" w14:textId="77777777" w:rsidR="002C0FD9" w:rsidRPr="00CA25CF" w:rsidRDefault="002C0FD9" w:rsidP="00CA25CF">
            <w:pPr>
              <w:rPr>
                <w:rFonts w:cs="Arial"/>
                <w:color w:val="FF0000"/>
                <w:sz w:val="21"/>
                <w:szCs w:val="21"/>
              </w:rPr>
            </w:pPr>
          </w:p>
        </w:tc>
        <w:tc>
          <w:tcPr>
            <w:tcW w:w="217" w:type="dxa"/>
          </w:tcPr>
          <w:p w14:paraId="495FF24F" w14:textId="77777777" w:rsidR="002C0FD9" w:rsidRPr="00CA25CF" w:rsidRDefault="002C0FD9" w:rsidP="00CA25CF">
            <w:pPr>
              <w:rPr>
                <w:rFonts w:cs="Arial"/>
                <w:color w:val="FF0000"/>
                <w:sz w:val="21"/>
                <w:szCs w:val="21"/>
              </w:rPr>
            </w:pPr>
          </w:p>
        </w:tc>
        <w:tc>
          <w:tcPr>
            <w:tcW w:w="217" w:type="dxa"/>
          </w:tcPr>
          <w:p w14:paraId="00DFAB2D" w14:textId="77777777" w:rsidR="002C0FD9" w:rsidRPr="00CA25CF" w:rsidRDefault="002C0FD9" w:rsidP="00CA25CF">
            <w:pPr>
              <w:rPr>
                <w:rFonts w:cs="Arial"/>
                <w:color w:val="FF0000"/>
                <w:sz w:val="21"/>
                <w:szCs w:val="21"/>
              </w:rPr>
            </w:pPr>
          </w:p>
        </w:tc>
        <w:tc>
          <w:tcPr>
            <w:tcW w:w="217" w:type="dxa"/>
          </w:tcPr>
          <w:p w14:paraId="1FB69519" w14:textId="77777777" w:rsidR="002C0FD9" w:rsidRPr="00CA25CF" w:rsidRDefault="002C0FD9" w:rsidP="00CA25CF">
            <w:pPr>
              <w:rPr>
                <w:rFonts w:cs="Arial"/>
                <w:color w:val="FF0000"/>
                <w:sz w:val="21"/>
                <w:szCs w:val="21"/>
              </w:rPr>
            </w:pPr>
          </w:p>
        </w:tc>
        <w:tc>
          <w:tcPr>
            <w:tcW w:w="217" w:type="dxa"/>
          </w:tcPr>
          <w:p w14:paraId="3A8298F4" w14:textId="77777777" w:rsidR="002C0FD9" w:rsidRPr="00CA25CF" w:rsidRDefault="002C0FD9" w:rsidP="00CA25CF">
            <w:pPr>
              <w:rPr>
                <w:rFonts w:cs="Arial"/>
                <w:color w:val="FF0000"/>
                <w:sz w:val="21"/>
                <w:szCs w:val="21"/>
              </w:rPr>
            </w:pPr>
          </w:p>
        </w:tc>
        <w:tc>
          <w:tcPr>
            <w:tcW w:w="217" w:type="dxa"/>
          </w:tcPr>
          <w:p w14:paraId="3F32A8D0" w14:textId="77777777" w:rsidR="002C0FD9" w:rsidRPr="00CA25CF" w:rsidRDefault="002C0FD9" w:rsidP="00CA25CF">
            <w:pPr>
              <w:rPr>
                <w:rFonts w:cs="Arial"/>
                <w:color w:val="FF0000"/>
                <w:sz w:val="21"/>
                <w:szCs w:val="21"/>
              </w:rPr>
            </w:pPr>
          </w:p>
        </w:tc>
        <w:tc>
          <w:tcPr>
            <w:tcW w:w="217" w:type="dxa"/>
          </w:tcPr>
          <w:p w14:paraId="1582FF78" w14:textId="77777777" w:rsidR="002C0FD9" w:rsidRPr="00CA25CF" w:rsidRDefault="002C0FD9" w:rsidP="00CA25CF">
            <w:pPr>
              <w:rPr>
                <w:rFonts w:cs="Arial"/>
                <w:color w:val="FF0000"/>
                <w:sz w:val="21"/>
                <w:szCs w:val="21"/>
              </w:rPr>
            </w:pPr>
          </w:p>
        </w:tc>
        <w:tc>
          <w:tcPr>
            <w:tcW w:w="217" w:type="dxa"/>
          </w:tcPr>
          <w:p w14:paraId="5D8F5225" w14:textId="77777777" w:rsidR="002C0FD9" w:rsidRPr="00CA25CF" w:rsidRDefault="002C0FD9" w:rsidP="00CA25CF">
            <w:pPr>
              <w:rPr>
                <w:rFonts w:cs="Arial"/>
                <w:color w:val="FF0000"/>
                <w:sz w:val="21"/>
                <w:szCs w:val="21"/>
              </w:rPr>
            </w:pPr>
          </w:p>
        </w:tc>
        <w:tc>
          <w:tcPr>
            <w:tcW w:w="217" w:type="dxa"/>
          </w:tcPr>
          <w:p w14:paraId="5E4F2E14" w14:textId="77777777" w:rsidR="002C0FD9" w:rsidRPr="00CA25CF" w:rsidRDefault="002C0FD9" w:rsidP="00CA25CF">
            <w:pPr>
              <w:rPr>
                <w:rFonts w:cs="Arial"/>
                <w:color w:val="FF0000"/>
                <w:sz w:val="21"/>
                <w:szCs w:val="21"/>
              </w:rPr>
            </w:pPr>
          </w:p>
        </w:tc>
        <w:tc>
          <w:tcPr>
            <w:tcW w:w="217" w:type="dxa"/>
          </w:tcPr>
          <w:p w14:paraId="1EA7B0E6" w14:textId="77777777" w:rsidR="002C0FD9" w:rsidRPr="00CA25CF" w:rsidRDefault="002C0FD9" w:rsidP="00CA25CF">
            <w:pPr>
              <w:rPr>
                <w:rFonts w:cs="Arial"/>
                <w:color w:val="FF0000"/>
                <w:sz w:val="21"/>
                <w:szCs w:val="21"/>
              </w:rPr>
            </w:pPr>
          </w:p>
        </w:tc>
        <w:tc>
          <w:tcPr>
            <w:tcW w:w="217" w:type="dxa"/>
          </w:tcPr>
          <w:p w14:paraId="223A3628" w14:textId="77777777" w:rsidR="002C0FD9" w:rsidRPr="00CA25CF" w:rsidRDefault="002C0FD9" w:rsidP="00CA25CF">
            <w:pPr>
              <w:rPr>
                <w:rFonts w:cs="Arial"/>
                <w:color w:val="FF0000"/>
                <w:sz w:val="21"/>
                <w:szCs w:val="21"/>
              </w:rPr>
            </w:pPr>
          </w:p>
        </w:tc>
        <w:tc>
          <w:tcPr>
            <w:tcW w:w="217" w:type="dxa"/>
          </w:tcPr>
          <w:p w14:paraId="2E3C64C3" w14:textId="77777777" w:rsidR="002C0FD9" w:rsidRPr="00CA25CF" w:rsidRDefault="002C0FD9" w:rsidP="00CA25CF">
            <w:pPr>
              <w:rPr>
                <w:rFonts w:cs="Arial"/>
                <w:color w:val="FF0000"/>
                <w:sz w:val="21"/>
                <w:szCs w:val="21"/>
              </w:rPr>
            </w:pPr>
          </w:p>
        </w:tc>
        <w:tc>
          <w:tcPr>
            <w:tcW w:w="217" w:type="dxa"/>
          </w:tcPr>
          <w:p w14:paraId="5DF26A93" w14:textId="77777777" w:rsidR="002C0FD9" w:rsidRPr="00CA25CF" w:rsidRDefault="002C0FD9" w:rsidP="00CA25CF">
            <w:pPr>
              <w:rPr>
                <w:rFonts w:cs="Arial"/>
                <w:color w:val="FF0000"/>
                <w:sz w:val="21"/>
                <w:szCs w:val="21"/>
              </w:rPr>
            </w:pPr>
          </w:p>
        </w:tc>
        <w:tc>
          <w:tcPr>
            <w:tcW w:w="217" w:type="dxa"/>
          </w:tcPr>
          <w:p w14:paraId="37EF6C29" w14:textId="77777777" w:rsidR="002C0FD9" w:rsidRPr="00CA25CF" w:rsidRDefault="002C0FD9" w:rsidP="00CA25CF">
            <w:pPr>
              <w:rPr>
                <w:rFonts w:cs="Arial"/>
                <w:color w:val="FF0000"/>
                <w:sz w:val="21"/>
                <w:szCs w:val="21"/>
              </w:rPr>
            </w:pPr>
          </w:p>
        </w:tc>
        <w:tc>
          <w:tcPr>
            <w:tcW w:w="217" w:type="dxa"/>
          </w:tcPr>
          <w:p w14:paraId="771523CD" w14:textId="77777777" w:rsidR="002C0FD9" w:rsidRPr="00CA25CF" w:rsidRDefault="002C0FD9" w:rsidP="00CA25CF">
            <w:pPr>
              <w:rPr>
                <w:rFonts w:cs="Arial"/>
                <w:color w:val="FF0000"/>
                <w:sz w:val="21"/>
                <w:szCs w:val="21"/>
              </w:rPr>
            </w:pPr>
          </w:p>
        </w:tc>
        <w:tc>
          <w:tcPr>
            <w:tcW w:w="217" w:type="dxa"/>
          </w:tcPr>
          <w:p w14:paraId="010B778C" w14:textId="77777777" w:rsidR="002C0FD9" w:rsidRPr="00CA25CF" w:rsidRDefault="002C0FD9" w:rsidP="00CA25CF">
            <w:pPr>
              <w:rPr>
                <w:rFonts w:cs="Arial"/>
                <w:color w:val="FF0000"/>
                <w:sz w:val="21"/>
                <w:szCs w:val="21"/>
              </w:rPr>
            </w:pPr>
          </w:p>
        </w:tc>
      </w:tr>
      <w:tr w:rsidR="002C0FD9" w:rsidRPr="00A16219" w14:paraId="0A9F024A" w14:textId="4C8982C5" w:rsidTr="002C0FD9">
        <w:trPr>
          <w:trHeight w:val="635"/>
        </w:trPr>
        <w:tc>
          <w:tcPr>
            <w:tcW w:w="515" w:type="dxa"/>
          </w:tcPr>
          <w:p w14:paraId="4DFBF376" w14:textId="77777777" w:rsidR="002C0FD9" w:rsidRPr="00CA25CF" w:rsidRDefault="002C0FD9" w:rsidP="00CA25CF">
            <w:pPr>
              <w:rPr>
                <w:rFonts w:cs="Arial"/>
                <w:color w:val="FF0000"/>
                <w:sz w:val="21"/>
                <w:szCs w:val="21"/>
              </w:rPr>
            </w:pPr>
          </w:p>
        </w:tc>
        <w:tc>
          <w:tcPr>
            <w:tcW w:w="217" w:type="dxa"/>
          </w:tcPr>
          <w:p w14:paraId="6C55EB4C" w14:textId="77777777" w:rsidR="002C0FD9" w:rsidRPr="00CA25CF" w:rsidRDefault="002C0FD9" w:rsidP="00CA25CF">
            <w:pPr>
              <w:rPr>
                <w:rFonts w:cs="Arial"/>
                <w:color w:val="FF0000"/>
                <w:sz w:val="21"/>
                <w:szCs w:val="21"/>
              </w:rPr>
            </w:pPr>
          </w:p>
        </w:tc>
        <w:tc>
          <w:tcPr>
            <w:tcW w:w="217" w:type="dxa"/>
          </w:tcPr>
          <w:p w14:paraId="55B7E37C" w14:textId="3A6FC143" w:rsidR="002C0FD9" w:rsidRPr="00CA25CF" w:rsidRDefault="002C0FD9" w:rsidP="00CA25CF">
            <w:pPr>
              <w:rPr>
                <w:rFonts w:cs="Arial"/>
                <w:color w:val="FF0000"/>
                <w:sz w:val="21"/>
                <w:szCs w:val="21"/>
              </w:rPr>
            </w:pPr>
          </w:p>
        </w:tc>
        <w:tc>
          <w:tcPr>
            <w:tcW w:w="217" w:type="dxa"/>
          </w:tcPr>
          <w:p w14:paraId="669E0C29" w14:textId="77777777" w:rsidR="002C0FD9" w:rsidRPr="00CA25CF" w:rsidRDefault="002C0FD9" w:rsidP="00CA25CF">
            <w:pPr>
              <w:rPr>
                <w:rFonts w:cs="Arial"/>
                <w:color w:val="FF0000"/>
                <w:sz w:val="21"/>
                <w:szCs w:val="21"/>
              </w:rPr>
            </w:pPr>
          </w:p>
        </w:tc>
        <w:tc>
          <w:tcPr>
            <w:tcW w:w="217" w:type="dxa"/>
          </w:tcPr>
          <w:p w14:paraId="1F32E823" w14:textId="69045782" w:rsidR="002C0FD9" w:rsidRPr="00CA25CF" w:rsidRDefault="002C0FD9" w:rsidP="00CA25CF">
            <w:pPr>
              <w:rPr>
                <w:rFonts w:cs="Arial"/>
                <w:color w:val="FF0000"/>
                <w:sz w:val="21"/>
                <w:szCs w:val="21"/>
              </w:rPr>
            </w:pPr>
          </w:p>
        </w:tc>
        <w:tc>
          <w:tcPr>
            <w:tcW w:w="217" w:type="dxa"/>
          </w:tcPr>
          <w:p w14:paraId="7F004E91" w14:textId="77777777" w:rsidR="002C0FD9" w:rsidRPr="00CA25CF" w:rsidRDefault="002C0FD9" w:rsidP="00CA25CF">
            <w:pPr>
              <w:rPr>
                <w:rFonts w:cs="Arial"/>
                <w:color w:val="FF0000"/>
                <w:sz w:val="21"/>
                <w:szCs w:val="21"/>
              </w:rPr>
            </w:pPr>
          </w:p>
        </w:tc>
        <w:tc>
          <w:tcPr>
            <w:tcW w:w="217" w:type="dxa"/>
          </w:tcPr>
          <w:p w14:paraId="5BEF1604" w14:textId="09190073" w:rsidR="002C0FD9" w:rsidRPr="00CA25CF" w:rsidRDefault="002C0FD9" w:rsidP="00CA25CF">
            <w:pPr>
              <w:rPr>
                <w:rFonts w:cs="Arial"/>
                <w:color w:val="FF0000"/>
                <w:sz w:val="21"/>
                <w:szCs w:val="21"/>
              </w:rPr>
            </w:pPr>
          </w:p>
        </w:tc>
        <w:tc>
          <w:tcPr>
            <w:tcW w:w="217" w:type="dxa"/>
          </w:tcPr>
          <w:p w14:paraId="7E2C8F8F" w14:textId="77777777" w:rsidR="002C0FD9" w:rsidRPr="00CA25CF" w:rsidRDefault="002C0FD9" w:rsidP="00CA25CF">
            <w:pPr>
              <w:rPr>
                <w:rFonts w:cs="Arial"/>
                <w:color w:val="FF0000"/>
                <w:sz w:val="21"/>
                <w:szCs w:val="21"/>
              </w:rPr>
            </w:pPr>
          </w:p>
        </w:tc>
        <w:tc>
          <w:tcPr>
            <w:tcW w:w="217" w:type="dxa"/>
          </w:tcPr>
          <w:p w14:paraId="19444A7B" w14:textId="77777777" w:rsidR="002C0FD9" w:rsidRPr="00CA25CF" w:rsidRDefault="002C0FD9" w:rsidP="00CA25CF">
            <w:pPr>
              <w:rPr>
                <w:rFonts w:cs="Arial"/>
                <w:color w:val="FF0000"/>
                <w:sz w:val="21"/>
                <w:szCs w:val="21"/>
              </w:rPr>
            </w:pPr>
          </w:p>
        </w:tc>
        <w:tc>
          <w:tcPr>
            <w:tcW w:w="217" w:type="dxa"/>
          </w:tcPr>
          <w:p w14:paraId="6BEA1730" w14:textId="77777777" w:rsidR="002C0FD9" w:rsidRPr="00CA25CF" w:rsidRDefault="002C0FD9" w:rsidP="00CA25CF">
            <w:pPr>
              <w:rPr>
                <w:rFonts w:cs="Arial"/>
                <w:color w:val="FF0000"/>
                <w:sz w:val="21"/>
                <w:szCs w:val="21"/>
              </w:rPr>
            </w:pPr>
          </w:p>
        </w:tc>
        <w:tc>
          <w:tcPr>
            <w:tcW w:w="217" w:type="dxa"/>
          </w:tcPr>
          <w:p w14:paraId="0E8889B9" w14:textId="77777777" w:rsidR="002C0FD9" w:rsidRPr="00CA25CF" w:rsidRDefault="002C0FD9" w:rsidP="00CA25CF">
            <w:pPr>
              <w:rPr>
                <w:rFonts w:cs="Arial"/>
                <w:color w:val="FF0000"/>
                <w:sz w:val="21"/>
                <w:szCs w:val="21"/>
              </w:rPr>
            </w:pPr>
          </w:p>
        </w:tc>
        <w:tc>
          <w:tcPr>
            <w:tcW w:w="217" w:type="dxa"/>
          </w:tcPr>
          <w:p w14:paraId="2718264C" w14:textId="77777777" w:rsidR="002C0FD9" w:rsidRPr="00CA25CF" w:rsidRDefault="002C0FD9" w:rsidP="00CA25CF">
            <w:pPr>
              <w:rPr>
                <w:rFonts w:cs="Arial"/>
                <w:color w:val="FF0000"/>
                <w:sz w:val="21"/>
                <w:szCs w:val="21"/>
              </w:rPr>
            </w:pPr>
          </w:p>
        </w:tc>
        <w:tc>
          <w:tcPr>
            <w:tcW w:w="217" w:type="dxa"/>
          </w:tcPr>
          <w:p w14:paraId="6481EBE7" w14:textId="77777777" w:rsidR="002C0FD9" w:rsidRPr="00CA25CF" w:rsidRDefault="002C0FD9" w:rsidP="00CA25CF">
            <w:pPr>
              <w:rPr>
                <w:rFonts w:cs="Arial"/>
                <w:color w:val="FF0000"/>
                <w:sz w:val="21"/>
                <w:szCs w:val="21"/>
              </w:rPr>
            </w:pPr>
          </w:p>
        </w:tc>
        <w:tc>
          <w:tcPr>
            <w:tcW w:w="217" w:type="dxa"/>
          </w:tcPr>
          <w:p w14:paraId="6743E2E5" w14:textId="77777777" w:rsidR="002C0FD9" w:rsidRPr="00CA25CF" w:rsidRDefault="002C0FD9" w:rsidP="00CA25CF">
            <w:pPr>
              <w:rPr>
                <w:rFonts w:cs="Arial"/>
                <w:color w:val="FF0000"/>
                <w:sz w:val="21"/>
                <w:szCs w:val="21"/>
              </w:rPr>
            </w:pPr>
          </w:p>
        </w:tc>
        <w:tc>
          <w:tcPr>
            <w:tcW w:w="217" w:type="dxa"/>
          </w:tcPr>
          <w:p w14:paraId="32644D33" w14:textId="77777777" w:rsidR="002C0FD9" w:rsidRPr="00CA25CF" w:rsidRDefault="002C0FD9" w:rsidP="00CA25CF">
            <w:pPr>
              <w:rPr>
                <w:rFonts w:cs="Arial"/>
                <w:color w:val="FF0000"/>
                <w:sz w:val="21"/>
                <w:szCs w:val="21"/>
              </w:rPr>
            </w:pPr>
          </w:p>
        </w:tc>
        <w:tc>
          <w:tcPr>
            <w:tcW w:w="217" w:type="dxa"/>
          </w:tcPr>
          <w:p w14:paraId="0B387AD3" w14:textId="5C0725DC" w:rsidR="002C0FD9" w:rsidRPr="00CA25CF" w:rsidRDefault="002C0FD9" w:rsidP="00CA25CF">
            <w:pPr>
              <w:rPr>
                <w:rFonts w:cs="Arial"/>
                <w:color w:val="FF0000"/>
                <w:sz w:val="21"/>
                <w:szCs w:val="21"/>
              </w:rPr>
            </w:pPr>
          </w:p>
        </w:tc>
        <w:tc>
          <w:tcPr>
            <w:tcW w:w="217" w:type="dxa"/>
          </w:tcPr>
          <w:p w14:paraId="10CCB225" w14:textId="77777777" w:rsidR="002C0FD9" w:rsidRPr="00CA25CF" w:rsidRDefault="002C0FD9" w:rsidP="00CA25CF">
            <w:pPr>
              <w:rPr>
                <w:rFonts w:cs="Arial"/>
                <w:color w:val="FF0000"/>
                <w:sz w:val="21"/>
                <w:szCs w:val="21"/>
              </w:rPr>
            </w:pPr>
          </w:p>
        </w:tc>
        <w:tc>
          <w:tcPr>
            <w:tcW w:w="217" w:type="dxa"/>
          </w:tcPr>
          <w:p w14:paraId="17DADF7B" w14:textId="77777777" w:rsidR="002C0FD9" w:rsidRPr="00CA25CF" w:rsidRDefault="002C0FD9" w:rsidP="00CA25CF">
            <w:pPr>
              <w:rPr>
                <w:rFonts w:cs="Arial"/>
                <w:color w:val="FF0000"/>
                <w:sz w:val="21"/>
                <w:szCs w:val="21"/>
              </w:rPr>
            </w:pPr>
          </w:p>
        </w:tc>
        <w:tc>
          <w:tcPr>
            <w:tcW w:w="217" w:type="dxa"/>
          </w:tcPr>
          <w:p w14:paraId="42BC2157" w14:textId="77777777" w:rsidR="002C0FD9" w:rsidRPr="00CA25CF" w:rsidRDefault="002C0FD9" w:rsidP="00CA25CF">
            <w:pPr>
              <w:rPr>
                <w:rFonts w:cs="Arial"/>
                <w:color w:val="FF0000"/>
                <w:sz w:val="21"/>
                <w:szCs w:val="21"/>
              </w:rPr>
            </w:pPr>
          </w:p>
        </w:tc>
        <w:tc>
          <w:tcPr>
            <w:tcW w:w="217" w:type="dxa"/>
          </w:tcPr>
          <w:p w14:paraId="4657CE29" w14:textId="77777777" w:rsidR="002C0FD9" w:rsidRPr="00CA25CF" w:rsidRDefault="002C0FD9" w:rsidP="00CA25CF">
            <w:pPr>
              <w:rPr>
                <w:rFonts w:cs="Arial"/>
                <w:color w:val="FF0000"/>
                <w:sz w:val="21"/>
                <w:szCs w:val="21"/>
              </w:rPr>
            </w:pPr>
          </w:p>
        </w:tc>
        <w:tc>
          <w:tcPr>
            <w:tcW w:w="217" w:type="dxa"/>
          </w:tcPr>
          <w:p w14:paraId="318CE6A5" w14:textId="77777777" w:rsidR="002C0FD9" w:rsidRPr="00CA25CF" w:rsidRDefault="002C0FD9" w:rsidP="00CA25CF">
            <w:pPr>
              <w:rPr>
                <w:rFonts w:cs="Arial"/>
                <w:color w:val="FF0000"/>
                <w:sz w:val="21"/>
                <w:szCs w:val="21"/>
              </w:rPr>
            </w:pPr>
          </w:p>
        </w:tc>
        <w:tc>
          <w:tcPr>
            <w:tcW w:w="217" w:type="dxa"/>
          </w:tcPr>
          <w:p w14:paraId="05790310" w14:textId="77777777" w:rsidR="002C0FD9" w:rsidRPr="00CA25CF" w:rsidRDefault="002C0FD9" w:rsidP="00CA25CF">
            <w:pPr>
              <w:rPr>
                <w:rFonts w:cs="Arial"/>
                <w:color w:val="FF0000"/>
                <w:sz w:val="21"/>
                <w:szCs w:val="21"/>
              </w:rPr>
            </w:pPr>
          </w:p>
        </w:tc>
        <w:tc>
          <w:tcPr>
            <w:tcW w:w="217" w:type="dxa"/>
          </w:tcPr>
          <w:p w14:paraId="526AA7D4" w14:textId="77777777" w:rsidR="002C0FD9" w:rsidRPr="00CA25CF" w:rsidRDefault="002C0FD9" w:rsidP="00CA25CF">
            <w:pPr>
              <w:rPr>
                <w:rFonts w:cs="Arial"/>
                <w:color w:val="FF0000"/>
                <w:sz w:val="21"/>
                <w:szCs w:val="21"/>
              </w:rPr>
            </w:pPr>
          </w:p>
        </w:tc>
        <w:tc>
          <w:tcPr>
            <w:tcW w:w="217" w:type="dxa"/>
          </w:tcPr>
          <w:p w14:paraId="60B55398" w14:textId="77777777" w:rsidR="002C0FD9" w:rsidRPr="00CA25CF" w:rsidRDefault="002C0FD9" w:rsidP="00CA25CF">
            <w:pPr>
              <w:rPr>
                <w:rFonts w:cs="Arial"/>
                <w:color w:val="FF0000"/>
                <w:sz w:val="21"/>
                <w:szCs w:val="21"/>
              </w:rPr>
            </w:pPr>
          </w:p>
        </w:tc>
        <w:tc>
          <w:tcPr>
            <w:tcW w:w="217" w:type="dxa"/>
          </w:tcPr>
          <w:p w14:paraId="2754D76B" w14:textId="77777777" w:rsidR="002C0FD9" w:rsidRPr="00CA25CF" w:rsidRDefault="002C0FD9" w:rsidP="00CA25CF">
            <w:pPr>
              <w:rPr>
                <w:rFonts w:cs="Arial"/>
                <w:color w:val="FF0000"/>
                <w:sz w:val="21"/>
                <w:szCs w:val="21"/>
              </w:rPr>
            </w:pPr>
          </w:p>
        </w:tc>
        <w:tc>
          <w:tcPr>
            <w:tcW w:w="217" w:type="dxa"/>
          </w:tcPr>
          <w:p w14:paraId="7CD8FE9B" w14:textId="77777777" w:rsidR="002C0FD9" w:rsidRPr="00CA25CF" w:rsidRDefault="002C0FD9" w:rsidP="00CA25CF">
            <w:pPr>
              <w:rPr>
                <w:rFonts w:cs="Arial"/>
                <w:color w:val="FF0000"/>
                <w:sz w:val="21"/>
                <w:szCs w:val="21"/>
              </w:rPr>
            </w:pPr>
          </w:p>
        </w:tc>
        <w:tc>
          <w:tcPr>
            <w:tcW w:w="217" w:type="dxa"/>
          </w:tcPr>
          <w:p w14:paraId="2BAC7F3D" w14:textId="77777777" w:rsidR="002C0FD9" w:rsidRPr="00CA25CF" w:rsidRDefault="002C0FD9" w:rsidP="00CA25CF">
            <w:pPr>
              <w:rPr>
                <w:rFonts w:cs="Arial"/>
                <w:color w:val="FF0000"/>
                <w:sz w:val="21"/>
                <w:szCs w:val="21"/>
              </w:rPr>
            </w:pPr>
          </w:p>
        </w:tc>
        <w:tc>
          <w:tcPr>
            <w:tcW w:w="217" w:type="dxa"/>
          </w:tcPr>
          <w:p w14:paraId="139A1577" w14:textId="77777777" w:rsidR="002C0FD9" w:rsidRPr="00CA25CF" w:rsidRDefault="002C0FD9" w:rsidP="00CA25CF">
            <w:pPr>
              <w:rPr>
                <w:rFonts w:cs="Arial"/>
                <w:color w:val="FF0000"/>
                <w:sz w:val="21"/>
                <w:szCs w:val="21"/>
              </w:rPr>
            </w:pPr>
          </w:p>
        </w:tc>
        <w:tc>
          <w:tcPr>
            <w:tcW w:w="217" w:type="dxa"/>
          </w:tcPr>
          <w:p w14:paraId="19362297" w14:textId="77777777" w:rsidR="002C0FD9" w:rsidRPr="00CA25CF" w:rsidRDefault="002C0FD9" w:rsidP="00CA25CF">
            <w:pPr>
              <w:rPr>
                <w:rFonts w:cs="Arial"/>
                <w:color w:val="FF0000"/>
                <w:sz w:val="21"/>
                <w:szCs w:val="21"/>
              </w:rPr>
            </w:pPr>
          </w:p>
        </w:tc>
        <w:tc>
          <w:tcPr>
            <w:tcW w:w="217" w:type="dxa"/>
          </w:tcPr>
          <w:p w14:paraId="4CD9C2B6" w14:textId="77777777" w:rsidR="002C0FD9" w:rsidRPr="00CA25CF" w:rsidRDefault="002C0FD9" w:rsidP="00CA25CF">
            <w:pPr>
              <w:rPr>
                <w:rFonts w:cs="Arial"/>
                <w:color w:val="FF0000"/>
                <w:sz w:val="21"/>
                <w:szCs w:val="21"/>
              </w:rPr>
            </w:pPr>
          </w:p>
        </w:tc>
        <w:tc>
          <w:tcPr>
            <w:tcW w:w="217" w:type="dxa"/>
          </w:tcPr>
          <w:p w14:paraId="590FA15F" w14:textId="77777777" w:rsidR="002C0FD9" w:rsidRPr="00CA25CF" w:rsidRDefault="002C0FD9" w:rsidP="00CA25CF">
            <w:pPr>
              <w:rPr>
                <w:rFonts w:cs="Arial"/>
                <w:color w:val="FF0000"/>
                <w:sz w:val="21"/>
                <w:szCs w:val="21"/>
              </w:rPr>
            </w:pPr>
          </w:p>
        </w:tc>
        <w:tc>
          <w:tcPr>
            <w:tcW w:w="217" w:type="dxa"/>
          </w:tcPr>
          <w:p w14:paraId="47AEB0DF" w14:textId="77777777" w:rsidR="002C0FD9" w:rsidRPr="00CA25CF" w:rsidRDefault="002C0FD9" w:rsidP="00CA25CF">
            <w:pPr>
              <w:rPr>
                <w:rFonts w:cs="Arial"/>
                <w:color w:val="FF0000"/>
                <w:sz w:val="21"/>
                <w:szCs w:val="21"/>
              </w:rPr>
            </w:pPr>
          </w:p>
        </w:tc>
        <w:tc>
          <w:tcPr>
            <w:tcW w:w="217" w:type="dxa"/>
          </w:tcPr>
          <w:p w14:paraId="13C4426A" w14:textId="77777777" w:rsidR="002C0FD9" w:rsidRPr="00CA25CF" w:rsidRDefault="002C0FD9" w:rsidP="00CA25CF">
            <w:pPr>
              <w:rPr>
                <w:rFonts w:cs="Arial"/>
                <w:color w:val="FF0000"/>
                <w:sz w:val="21"/>
                <w:szCs w:val="21"/>
              </w:rPr>
            </w:pPr>
          </w:p>
        </w:tc>
        <w:tc>
          <w:tcPr>
            <w:tcW w:w="217" w:type="dxa"/>
          </w:tcPr>
          <w:p w14:paraId="6B34A975" w14:textId="77777777" w:rsidR="002C0FD9" w:rsidRPr="00CA25CF" w:rsidRDefault="002C0FD9" w:rsidP="00CA25CF">
            <w:pPr>
              <w:rPr>
                <w:rFonts w:cs="Arial"/>
                <w:color w:val="FF0000"/>
                <w:sz w:val="21"/>
                <w:szCs w:val="21"/>
              </w:rPr>
            </w:pPr>
          </w:p>
        </w:tc>
        <w:tc>
          <w:tcPr>
            <w:tcW w:w="217" w:type="dxa"/>
          </w:tcPr>
          <w:p w14:paraId="5E55DC3F" w14:textId="77777777" w:rsidR="002C0FD9" w:rsidRPr="00CA25CF" w:rsidRDefault="002C0FD9" w:rsidP="00CA25CF">
            <w:pPr>
              <w:rPr>
                <w:rFonts w:cs="Arial"/>
                <w:color w:val="FF0000"/>
                <w:sz w:val="21"/>
                <w:szCs w:val="21"/>
              </w:rPr>
            </w:pPr>
          </w:p>
        </w:tc>
        <w:tc>
          <w:tcPr>
            <w:tcW w:w="217" w:type="dxa"/>
          </w:tcPr>
          <w:p w14:paraId="1EEF4890" w14:textId="77777777" w:rsidR="002C0FD9" w:rsidRPr="00CA25CF" w:rsidRDefault="002C0FD9" w:rsidP="00CA25CF">
            <w:pPr>
              <w:rPr>
                <w:rFonts w:cs="Arial"/>
                <w:color w:val="FF0000"/>
                <w:sz w:val="21"/>
                <w:szCs w:val="21"/>
              </w:rPr>
            </w:pPr>
          </w:p>
        </w:tc>
        <w:tc>
          <w:tcPr>
            <w:tcW w:w="217" w:type="dxa"/>
          </w:tcPr>
          <w:p w14:paraId="5CBF7076" w14:textId="77777777" w:rsidR="002C0FD9" w:rsidRPr="00CA25CF" w:rsidRDefault="002C0FD9" w:rsidP="00CA25CF">
            <w:pPr>
              <w:rPr>
                <w:rFonts w:cs="Arial"/>
                <w:color w:val="FF0000"/>
                <w:sz w:val="21"/>
                <w:szCs w:val="21"/>
              </w:rPr>
            </w:pPr>
          </w:p>
        </w:tc>
        <w:tc>
          <w:tcPr>
            <w:tcW w:w="217" w:type="dxa"/>
          </w:tcPr>
          <w:p w14:paraId="374A48E4" w14:textId="77777777" w:rsidR="002C0FD9" w:rsidRPr="00CA25CF" w:rsidRDefault="002C0FD9" w:rsidP="00CA25CF">
            <w:pPr>
              <w:rPr>
                <w:rFonts w:cs="Arial"/>
                <w:color w:val="FF0000"/>
                <w:sz w:val="21"/>
                <w:szCs w:val="21"/>
              </w:rPr>
            </w:pPr>
          </w:p>
        </w:tc>
        <w:tc>
          <w:tcPr>
            <w:tcW w:w="217" w:type="dxa"/>
          </w:tcPr>
          <w:p w14:paraId="37DB2D7E" w14:textId="77777777" w:rsidR="002C0FD9" w:rsidRPr="00CA25CF" w:rsidRDefault="002C0FD9" w:rsidP="00CA25CF">
            <w:pPr>
              <w:rPr>
                <w:rFonts w:cs="Arial"/>
                <w:color w:val="FF0000"/>
                <w:sz w:val="21"/>
                <w:szCs w:val="21"/>
              </w:rPr>
            </w:pPr>
          </w:p>
        </w:tc>
        <w:tc>
          <w:tcPr>
            <w:tcW w:w="217" w:type="dxa"/>
          </w:tcPr>
          <w:p w14:paraId="6E6D0C5E" w14:textId="77777777" w:rsidR="002C0FD9" w:rsidRPr="00CA25CF" w:rsidRDefault="002C0FD9" w:rsidP="00CA25CF">
            <w:pPr>
              <w:rPr>
                <w:rFonts w:cs="Arial"/>
                <w:color w:val="FF0000"/>
                <w:sz w:val="21"/>
                <w:szCs w:val="21"/>
              </w:rPr>
            </w:pPr>
          </w:p>
        </w:tc>
        <w:tc>
          <w:tcPr>
            <w:tcW w:w="217" w:type="dxa"/>
          </w:tcPr>
          <w:p w14:paraId="68806AEE" w14:textId="77777777" w:rsidR="002C0FD9" w:rsidRPr="00CA25CF" w:rsidRDefault="002C0FD9" w:rsidP="00CA25CF">
            <w:pPr>
              <w:rPr>
                <w:rFonts w:cs="Arial"/>
                <w:color w:val="FF0000"/>
                <w:sz w:val="21"/>
                <w:szCs w:val="21"/>
              </w:rPr>
            </w:pPr>
          </w:p>
        </w:tc>
        <w:tc>
          <w:tcPr>
            <w:tcW w:w="217" w:type="dxa"/>
          </w:tcPr>
          <w:p w14:paraId="2193252C" w14:textId="77777777" w:rsidR="002C0FD9" w:rsidRPr="00CA25CF" w:rsidRDefault="002C0FD9" w:rsidP="00CA25CF">
            <w:pPr>
              <w:rPr>
                <w:rFonts w:cs="Arial"/>
                <w:color w:val="FF0000"/>
                <w:sz w:val="21"/>
                <w:szCs w:val="21"/>
              </w:rPr>
            </w:pPr>
          </w:p>
        </w:tc>
        <w:tc>
          <w:tcPr>
            <w:tcW w:w="217" w:type="dxa"/>
          </w:tcPr>
          <w:p w14:paraId="2505D45D" w14:textId="77777777" w:rsidR="002C0FD9" w:rsidRPr="00CA25CF" w:rsidRDefault="002C0FD9" w:rsidP="00CA25CF">
            <w:pPr>
              <w:rPr>
                <w:rFonts w:cs="Arial"/>
                <w:color w:val="FF0000"/>
                <w:sz w:val="21"/>
                <w:szCs w:val="21"/>
              </w:rPr>
            </w:pPr>
          </w:p>
        </w:tc>
      </w:tr>
      <w:tr w:rsidR="002C0FD9" w:rsidRPr="00A16219" w14:paraId="2EF4CDE2" w14:textId="03E00A97" w:rsidTr="002C0FD9">
        <w:trPr>
          <w:trHeight w:val="635"/>
        </w:trPr>
        <w:tc>
          <w:tcPr>
            <w:tcW w:w="515" w:type="dxa"/>
          </w:tcPr>
          <w:p w14:paraId="11277620" w14:textId="77777777" w:rsidR="002C0FD9" w:rsidRPr="00CA25CF" w:rsidRDefault="002C0FD9" w:rsidP="00CA25CF">
            <w:pPr>
              <w:rPr>
                <w:rFonts w:cs="Arial"/>
                <w:color w:val="FF0000"/>
                <w:sz w:val="21"/>
                <w:szCs w:val="21"/>
              </w:rPr>
            </w:pPr>
          </w:p>
        </w:tc>
        <w:tc>
          <w:tcPr>
            <w:tcW w:w="217" w:type="dxa"/>
          </w:tcPr>
          <w:p w14:paraId="2A4F1F82" w14:textId="77777777" w:rsidR="002C0FD9" w:rsidRPr="00CA25CF" w:rsidRDefault="002C0FD9" w:rsidP="00CA25CF">
            <w:pPr>
              <w:rPr>
                <w:rFonts w:cs="Arial"/>
                <w:color w:val="FF0000"/>
                <w:sz w:val="21"/>
                <w:szCs w:val="21"/>
              </w:rPr>
            </w:pPr>
          </w:p>
        </w:tc>
        <w:tc>
          <w:tcPr>
            <w:tcW w:w="217" w:type="dxa"/>
          </w:tcPr>
          <w:p w14:paraId="31EB67AB" w14:textId="02A5B64B" w:rsidR="002C0FD9" w:rsidRPr="00CA25CF" w:rsidRDefault="002C0FD9" w:rsidP="00CA25CF">
            <w:pPr>
              <w:rPr>
                <w:rFonts w:cs="Arial"/>
                <w:color w:val="FF0000"/>
                <w:sz w:val="21"/>
                <w:szCs w:val="21"/>
              </w:rPr>
            </w:pPr>
          </w:p>
        </w:tc>
        <w:tc>
          <w:tcPr>
            <w:tcW w:w="217" w:type="dxa"/>
          </w:tcPr>
          <w:p w14:paraId="4B179F06" w14:textId="77777777" w:rsidR="002C0FD9" w:rsidRPr="00CA25CF" w:rsidRDefault="002C0FD9" w:rsidP="00CA25CF">
            <w:pPr>
              <w:rPr>
                <w:rFonts w:cs="Arial"/>
                <w:color w:val="FF0000"/>
                <w:sz w:val="21"/>
                <w:szCs w:val="21"/>
              </w:rPr>
            </w:pPr>
          </w:p>
        </w:tc>
        <w:tc>
          <w:tcPr>
            <w:tcW w:w="217" w:type="dxa"/>
          </w:tcPr>
          <w:p w14:paraId="68725C11" w14:textId="399CAFF8" w:rsidR="002C0FD9" w:rsidRPr="00CA25CF" w:rsidRDefault="002C0FD9" w:rsidP="00CA25CF">
            <w:pPr>
              <w:rPr>
                <w:rFonts w:cs="Arial"/>
                <w:color w:val="FF0000"/>
                <w:sz w:val="21"/>
                <w:szCs w:val="21"/>
              </w:rPr>
            </w:pPr>
          </w:p>
        </w:tc>
        <w:tc>
          <w:tcPr>
            <w:tcW w:w="217" w:type="dxa"/>
          </w:tcPr>
          <w:p w14:paraId="0642E6EC" w14:textId="77777777" w:rsidR="002C0FD9" w:rsidRPr="00CA25CF" w:rsidRDefault="002C0FD9" w:rsidP="00CA25CF">
            <w:pPr>
              <w:rPr>
                <w:rFonts w:cs="Arial"/>
                <w:color w:val="FF0000"/>
                <w:sz w:val="21"/>
                <w:szCs w:val="21"/>
              </w:rPr>
            </w:pPr>
          </w:p>
        </w:tc>
        <w:tc>
          <w:tcPr>
            <w:tcW w:w="217" w:type="dxa"/>
          </w:tcPr>
          <w:p w14:paraId="50E5DB00" w14:textId="421CDDB6" w:rsidR="002C0FD9" w:rsidRPr="00CA25CF" w:rsidRDefault="002C0FD9" w:rsidP="00CA25CF">
            <w:pPr>
              <w:rPr>
                <w:rFonts w:cs="Arial"/>
                <w:color w:val="FF0000"/>
                <w:sz w:val="21"/>
                <w:szCs w:val="21"/>
              </w:rPr>
            </w:pPr>
          </w:p>
        </w:tc>
        <w:tc>
          <w:tcPr>
            <w:tcW w:w="217" w:type="dxa"/>
          </w:tcPr>
          <w:p w14:paraId="1D0F81A5" w14:textId="77777777" w:rsidR="002C0FD9" w:rsidRPr="00CA25CF" w:rsidRDefault="002C0FD9" w:rsidP="00CA25CF">
            <w:pPr>
              <w:rPr>
                <w:rFonts w:cs="Arial"/>
                <w:color w:val="FF0000"/>
                <w:sz w:val="21"/>
                <w:szCs w:val="21"/>
              </w:rPr>
            </w:pPr>
          </w:p>
        </w:tc>
        <w:tc>
          <w:tcPr>
            <w:tcW w:w="217" w:type="dxa"/>
          </w:tcPr>
          <w:p w14:paraId="53729573" w14:textId="77777777" w:rsidR="002C0FD9" w:rsidRPr="00CA25CF" w:rsidRDefault="002C0FD9" w:rsidP="00CA25CF">
            <w:pPr>
              <w:rPr>
                <w:rFonts w:cs="Arial"/>
                <w:color w:val="FF0000"/>
                <w:sz w:val="21"/>
                <w:szCs w:val="21"/>
              </w:rPr>
            </w:pPr>
          </w:p>
        </w:tc>
        <w:tc>
          <w:tcPr>
            <w:tcW w:w="217" w:type="dxa"/>
          </w:tcPr>
          <w:p w14:paraId="6DDC3A36" w14:textId="77777777" w:rsidR="002C0FD9" w:rsidRPr="00CA25CF" w:rsidRDefault="002C0FD9" w:rsidP="00CA25CF">
            <w:pPr>
              <w:rPr>
                <w:rFonts w:cs="Arial"/>
                <w:color w:val="FF0000"/>
                <w:sz w:val="21"/>
                <w:szCs w:val="21"/>
              </w:rPr>
            </w:pPr>
          </w:p>
        </w:tc>
        <w:tc>
          <w:tcPr>
            <w:tcW w:w="217" w:type="dxa"/>
          </w:tcPr>
          <w:p w14:paraId="34B216DD" w14:textId="77777777" w:rsidR="002C0FD9" w:rsidRPr="00CA25CF" w:rsidRDefault="002C0FD9" w:rsidP="00CA25CF">
            <w:pPr>
              <w:rPr>
                <w:rFonts w:cs="Arial"/>
                <w:color w:val="FF0000"/>
                <w:sz w:val="21"/>
                <w:szCs w:val="21"/>
              </w:rPr>
            </w:pPr>
          </w:p>
        </w:tc>
        <w:tc>
          <w:tcPr>
            <w:tcW w:w="217" w:type="dxa"/>
          </w:tcPr>
          <w:p w14:paraId="2F23EFAF" w14:textId="77777777" w:rsidR="002C0FD9" w:rsidRPr="00CA25CF" w:rsidRDefault="002C0FD9" w:rsidP="00CA25CF">
            <w:pPr>
              <w:rPr>
                <w:rFonts w:cs="Arial"/>
                <w:color w:val="FF0000"/>
                <w:sz w:val="21"/>
                <w:szCs w:val="21"/>
              </w:rPr>
            </w:pPr>
          </w:p>
        </w:tc>
        <w:tc>
          <w:tcPr>
            <w:tcW w:w="217" w:type="dxa"/>
          </w:tcPr>
          <w:p w14:paraId="10AEC66C" w14:textId="77777777" w:rsidR="002C0FD9" w:rsidRPr="00CA25CF" w:rsidRDefault="002C0FD9" w:rsidP="00CA25CF">
            <w:pPr>
              <w:rPr>
                <w:rFonts w:cs="Arial"/>
                <w:color w:val="FF0000"/>
                <w:sz w:val="21"/>
                <w:szCs w:val="21"/>
              </w:rPr>
            </w:pPr>
          </w:p>
        </w:tc>
        <w:tc>
          <w:tcPr>
            <w:tcW w:w="217" w:type="dxa"/>
          </w:tcPr>
          <w:p w14:paraId="1BFED968" w14:textId="77777777" w:rsidR="002C0FD9" w:rsidRPr="00CA25CF" w:rsidRDefault="002C0FD9" w:rsidP="00CA25CF">
            <w:pPr>
              <w:rPr>
                <w:rFonts w:cs="Arial"/>
                <w:color w:val="FF0000"/>
                <w:sz w:val="21"/>
                <w:szCs w:val="21"/>
              </w:rPr>
            </w:pPr>
          </w:p>
        </w:tc>
        <w:tc>
          <w:tcPr>
            <w:tcW w:w="217" w:type="dxa"/>
          </w:tcPr>
          <w:p w14:paraId="1AE718CA" w14:textId="77777777" w:rsidR="002C0FD9" w:rsidRPr="00CA25CF" w:rsidRDefault="002C0FD9" w:rsidP="00CA25CF">
            <w:pPr>
              <w:rPr>
                <w:rFonts w:cs="Arial"/>
                <w:color w:val="FF0000"/>
                <w:sz w:val="21"/>
                <w:szCs w:val="21"/>
              </w:rPr>
            </w:pPr>
          </w:p>
        </w:tc>
        <w:tc>
          <w:tcPr>
            <w:tcW w:w="217" w:type="dxa"/>
          </w:tcPr>
          <w:p w14:paraId="14376DB2" w14:textId="5526FADB" w:rsidR="002C0FD9" w:rsidRPr="00CA25CF" w:rsidRDefault="002C0FD9" w:rsidP="00CA25CF">
            <w:pPr>
              <w:rPr>
                <w:rFonts w:cs="Arial"/>
                <w:color w:val="FF0000"/>
                <w:sz w:val="21"/>
                <w:szCs w:val="21"/>
              </w:rPr>
            </w:pPr>
          </w:p>
        </w:tc>
        <w:tc>
          <w:tcPr>
            <w:tcW w:w="217" w:type="dxa"/>
          </w:tcPr>
          <w:p w14:paraId="2D77F386" w14:textId="77777777" w:rsidR="002C0FD9" w:rsidRPr="00CA25CF" w:rsidRDefault="002C0FD9" w:rsidP="00CA25CF">
            <w:pPr>
              <w:rPr>
                <w:rFonts w:cs="Arial"/>
                <w:color w:val="FF0000"/>
                <w:sz w:val="21"/>
                <w:szCs w:val="21"/>
              </w:rPr>
            </w:pPr>
          </w:p>
        </w:tc>
        <w:tc>
          <w:tcPr>
            <w:tcW w:w="217" w:type="dxa"/>
          </w:tcPr>
          <w:p w14:paraId="6DC61572" w14:textId="77777777" w:rsidR="002C0FD9" w:rsidRPr="00CA25CF" w:rsidRDefault="002C0FD9" w:rsidP="00CA25CF">
            <w:pPr>
              <w:rPr>
                <w:rFonts w:cs="Arial"/>
                <w:color w:val="FF0000"/>
                <w:sz w:val="21"/>
                <w:szCs w:val="21"/>
              </w:rPr>
            </w:pPr>
          </w:p>
        </w:tc>
        <w:tc>
          <w:tcPr>
            <w:tcW w:w="217" w:type="dxa"/>
          </w:tcPr>
          <w:p w14:paraId="6331B857" w14:textId="77777777" w:rsidR="002C0FD9" w:rsidRPr="00CA25CF" w:rsidRDefault="002C0FD9" w:rsidP="00CA25CF">
            <w:pPr>
              <w:rPr>
                <w:rFonts w:cs="Arial"/>
                <w:color w:val="FF0000"/>
                <w:sz w:val="21"/>
                <w:szCs w:val="21"/>
              </w:rPr>
            </w:pPr>
          </w:p>
        </w:tc>
        <w:tc>
          <w:tcPr>
            <w:tcW w:w="217" w:type="dxa"/>
          </w:tcPr>
          <w:p w14:paraId="0579BA1A" w14:textId="77777777" w:rsidR="002C0FD9" w:rsidRPr="00CA25CF" w:rsidRDefault="002C0FD9" w:rsidP="00CA25CF">
            <w:pPr>
              <w:rPr>
                <w:rFonts w:cs="Arial"/>
                <w:color w:val="FF0000"/>
                <w:sz w:val="21"/>
                <w:szCs w:val="21"/>
              </w:rPr>
            </w:pPr>
          </w:p>
        </w:tc>
        <w:tc>
          <w:tcPr>
            <w:tcW w:w="217" w:type="dxa"/>
          </w:tcPr>
          <w:p w14:paraId="29E5186A" w14:textId="77777777" w:rsidR="002C0FD9" w:rsidRPr="00CA25CF" w:rsidRDefault="002C0FD9" w:rsidP="00CA25CF">
            <w:pPr>
              <w:rPr>
                <w:rFonts w:cs="Arial"/>
                <w:color w:val="FF0000"/>
                <w:sz w:val="21"/>
                <w:szCs w:val="21"/>
              </w:rPr>
            </w:pPr>
          </w:p>
        </w:tc>
        <w:tc>
          <w:tcPr>
            <w:tcW w:w="217" w:type="dxa"/>
          </w:tcPr>
          <w:p w14:paraId="54E67159" w14:textId="77777777" w:rsidR="002C0FD9" w:rsidRPr="00CA25CF" w:rsidRDefault="002C0FD9" w:rsidP="00CA25CF">
            <w:pPr>
              <w:rPr>
                <w:rFonts w:cs="Arial"/>
                <w:color w:val="FF0000"/>
                <w:sz w:val="21"/>
                <w:szCs w:val="21"/>
              </w:rPr>
            </w:pPr>
          </w:p>
        </w:tc>
        <w:tc>
          <w:tcPr>
            <w:tcW w:w="217" w:type="dxa"/>
          </w:tcPr>
          <w:p w14:paraId="450303D1" w14:textId="77777777" w:rsidR="002C0FD9" w:rsidRPr="00CA25CF" w:rsidRDefault="002C0FD9" w:rsidP="00CA25CF">
            <w:pPr>
              <w:rPr>
                <w:rFonts w:cs="Arial"/>
                <w:color w:val="FF0000"/>
                <w:sz w:val="21"/>
                <w:szCs w:val="21"/>
              </w:rPr>
            </w:pPr>
          </w:p>
        </w:tc>
        <w:tc>
          <w:tcPr>
            <w:tcW w:w="217" w:type="dxa"/>
          </w:tcPr>
          <w:p w14:paraId="1FB65546" w14:textId="77777777" w:rsidR="002C0FD9" w:rsidRPr="00CA25CF" w:rsidRDefault="002C0FD9" w:rsidP="00CA25CF">
            <w:pPr>
              <w:rPr>
                <w:rFonts w:cs="Arial"/>
                <w:color w:val="FF0000"/>
                <w:sz w:val="21"/>
                <w:szCs w:val="21"/>
              </w:rPr>
            </w:pPr>
          </w:p>
        </w:tc>
        <w:tc>
          <w:tcPr>
            <w:tcW w:w="217" w:type="dxa"/>
          </w:tcPr>
          <w:p w14:paraId="30F22AEF" w14:textId="77777777" w:rsidR="002C0FD9" w:rsidRPr="00CA25CF" w:rsidRDefault="002C0FD9" w:rsidP="00CA25CF">
            <w:pPr>
              <w:rPr>
                <w:rFonts w:cs="Arial"/>
                <w:color w:val="FF0000"/>
                <w:sz w:val="21"/>
                <w:szCs w:val="21"/>
              </w:rPr>
            </w:pPr>
          </w:p>
        </w:tc>
        <w:tc>
          <w:tcPr>
            <w:tcW w:w="217" w:type="dxa"/>
          </w:tcPr>
          <w:p w14:paraId="5565D7C2" w14:textId="77777777" w:rsidR="002C0FD9" w:rsidRPr="00CA25CF" w:rsidRDefault="002C0FD9" w:rsidP="00CA25CF">
            <w:pPr>
              <w:rPr>
                <w:rFonts w:cs="Arial"/>
                <w:color w:val="FF0000"/>
                <w:sz w:val="21"/>
                <w:szCs w:val="21"/>
              </w:rPr>
            </w:pPr>
          </w:p>
        </w:tc>
        <w:tc>
          <w:tcPr>
            <w:tcW w:w="217" w:type="dxa"/>
          </w:tcPr>
          <w:p w14:paraId="3F130B83" w14:textId="77777777" w:rsidR="002C0FD9" w:rsidRPr="00CA25CF" w:rsidRDefault="002C0FD9" w:rsidP="00CA25CF">
            <w:pPr>
              <w:rPr>
                <w:rFonts w:cs="Arial"/>
                <w:color w:val="FF0000"/>
                <w:sz w:val="21"/>
                <w:szCs w:val="21"/>
              </w:rPr>
            </w:pPr>
          </w:p>
        </w:tc>
        <w:tc>
          <w:tcPr>
            <w:tcW w:w="217" w:type="dxa"/>
          </w:tcPr>
          <w:p w14:paraId="58AD78DB" w14:textId="77777777" w:rsidR="002C0FD9" w:rsidRPr="00CA25CF" w:rsidRDefault="002C0FD9" w:rsidP="00CA25CF">
            <w:pPr>
              <w:rPr>
                <w:rFonts w:cs="Arial"/>
                <w:color w:val="FF0000"/>
                <w:sz w:val="21"/>
                <w:szCs w:val="21"/>
              </w:rPr>
            </w:pPr>
          </w:p>
        </w:tc>
        <w:tc>
          <w:tcPr>
            <w:tcW w:w="217" w:type="dxa"/>
          </w:tcPr>
          <w:p w14:paraId="1202425A" w14:textId="77777777" w:rsidR="002C0FD9" w:rsidRPr="00CA25CF" w:rsidRDefault="002C0FD9" w:rsidP="00CA25CF">
            <w:pPr>
              <w:rPr>
                <w:rFonts w:cs="Arial"/>
                <w:color w:val="FF0000"/>
                <w:sz w:val="21"/>
                <w:szCs w:val="21"/>
              </w:rPr>
            </w:pPr>
          </w:p>
        </w:tc>
        <w:tc>
          <w:tcPr>
            <w:tcW w:w="217" w:type="dxa"/>
          </w:tcPr>
          <w:p w14:paraId="7BB83389" w14:textId="77777777" w:rsidR="002C0FD9" w:rsidRPr="00CA25CF" w:rsidRDefault="002C0FD9" w:rsidP="00CA25CF">
            <w:pPr>
              <w:rPr>
                <w:rFonts w:cs="Arial"/>
                <w:color w:val="FF0000"/>
                <w:sz w:val="21"/>
                <w:szCs w:val="21"/>
              </w:rPr>
            </w:pPr>
          </w:p>
        </w:tc>
        <w:tc>
          <w:tcPr>
            <w:tcW w:w="217" w:type="dxa"/>
          </w:tcPr>
          <w:p w14:paraId="649DFB7D" w14:textId="77777777" w:rsidR="002C0FD9" w:rsidRPr="00CA25CF" w:rsidRDefault="002C0FD9" w:rsidP="00CA25CF">
            <w:pPr>
              <w:rPr>
                <w:rFonts w:cs="Arial"/>
                <w:color w:val="FF0000"/>
                <w:sz w:val="21"/>
                <w:szCs w:val="21"/>
              </w:rPr>
            </w:pPr>
          </w:p>
        </w:tc>
        <w:tc>
          <w:tcPr>
            <w:tcW w:w="217" w:type="dxa"/>
          </w:tcPr>
          <w:p w14:paraId="1BC5D9D5" w14:textId="77777777" w:rsidR="002C0FD9" w:rsidRPr="00CA25CF" w:rsidRDefault="002C0FD9" w:rsidP="00CA25CF">
            <w:pPr>
              <w:rPr>
                <w:rFonts w:cs="Arial"/>
                <w:color w:val="FF0000"/>
                <w:sz w:val="21"/>
                <w:szCs w:val="21"/>
              </w:rPr>
            </w:pPr>
          </w:p>
        </w:tc>
        <w:tc>
          <w:tcPr>
            <w:tcW w:w="217" w:type="dxa"/>
          </w:tcPr>
          <w:p w14:paraId="104277AE" w14:textId="77777777" w:rsidR="002C0FD9" w:rsidRPr="00CA25CF" w:rsidRDefault="002C0FD9" w:rsidP="00CA25CF">
            <w:pPr>
              <w:rPr>
                <w:rFonts w:cs="Arial"/>
                <w:color w:val="FF0000"/>
                <w:sz w:val="21"/>
                <w:szCs w:val="21"/>
              </w:rPr>
            </w:pPr>
          </w:p>
        </w:tc>
        <w:tc>
          <w:tcPr>
            <w:tcW w:w="217" w:type="dxa"/>
          </w:tcPr>
          <w:p w14:paraId="60F603A2" w14:textId="77777777" w:rsidR="002C0FD9" w:rsidRPr="00CA25CF" w:rsidRDefault="002C0FD9" w:rsidP="00CA25CF">
            <w:pPr>
              <w:rPr>
                <w:rFonts w:cs="Arial"/>
                <w:color w:val="FF0000"/>
                <w:sz w:val="21"/>
                <w:szCs w:val="21"/>
              </w:rPr>
            </w:pPr>
          </w:p>
        </w:tc>
        <w:tc>
          <w:tcPr>
            <w:tcW w:w="217" w:type="dxa"/>
          </w:tcPr>
          <w:p w14:paraId="58F64B3F" w14:textId="77777777" w:rsidR="002C0FD9" w:rsidRPr="00CA25CF" w:rsidRDefault="002C0FD9" w:rsidP="00CA25CF">
            <w:pPr>
              <w:rPr>
                <w:rFonts w:cs="Arial"/>
                <w:color w:val="FF0000"/>
                <w:sz w:val="21"/>
                <w:szCs w:val="21"/>
              </w:rPr>
            </w:pPr>
          </w:p>
        </w:tc>
        <w:tc>
          <w:tcPr>
            <w:tcW w:w="217" w:type="dxa"/>
          </w:tcPr>
          <w:p w14:paraId="7BB19137" w14:textId="77777777" w:rsidR="002C0FD9" w:rsidRPr="00CA25CF" w:rsidRDefault="002C0FD9" w:rsidP="00CA25CF">
            <w:pPr>
              <w:rPr>
                <w:rFonts w:cs="Arial"/>
                <w:color w:val="FF0000"/>
                <w:sz w:val="21"/>
                <w:szCs w:val="21"/>
              </w:rPr>
            </w:pPr>
          </w:p>
        </w:tc>
        <w:tc>
          <w:tcPr>
            <w:tcW w:w="217" w:type="dxa"/>
          </w:tcPr>
          <w:p w14:paraId="661CE94F" w14:textId="77777777" w:rsidR="002C0FD9" w:rsidRPr="00CA25CF" w:rsidRDefault="002C0FD9" w:rsidP="00CA25CF">
            <w:pPr>
              <w:rPr>
                <w:rFonts w:cs="Arial"/>
                <w:color w:val="FF0000"/>
                <w:sz w:val="21"/>
                <w:szCs w:val="21"/>
              </w:rPr>
            </w:pPr>
          </w:p>
        </w:tc>
        <w:tc>
          <w:tcPr>
            <w:tcW w:w="217" w:type="dxa"/>
          </w:tcPr>
          <w:p w14:paraId="7E2F5EFA" w14:textId="77777777" w:rsidR="002C0FD9" w:rsidRPr="00CA25CF" w:rsidRDefault="002C0FD9" w:rsidP="00CA25CF">
            <w:pPr>
              <w:rPr>
                <w:rFonts w:cs="Arial"/>
                <w:color w:val="FF0000"/>
                <w:sz w:val="21"/>
                <w:szCs w:val="21"/>
              </w:rPr>
            </w:pPr>
          </w:p>
        </w:tc>
        <w:tc>
          <w:tcPr>
            <w:tcW w:w="217" w:type="dxa"/>
          </w:tcPr>
          <w:p w14:paraId="7A5B9082" w14:textId="77777777" w:rsidR="002C0FD9" w:rsidRPr="00CA25CF" w:rsidRDefault="002C0FD9" w:rsidP="00CA25CF">
            <w:pPr>
              <w:rPr>
                <w:rFonts w:cs="Arial"/>
                <w:color w:val="FF0000"/>
                <w:sz w:val="21"/>
                <w:szCs w:val="21"/>
              </w:rPr>
            </w:pPr>
          </w:p>
        </w:tc>
        <w:tc>
          <w:tcPr>
            <w:tcW w:w="217" w:type="dxa"/>
          </w:tcPr>
          <w:p w14:paraId="25C3B673" w14:textId="77777777" w:rsidR="002C0FD9" w:rsidRPr="00CA25CF" w:rsidRDefault="002C0FD9" w:rsidP="00CA25CF">
            <w:pPr>
              <w:rPr>
                <w:rFonts w:cs="Arial"/>
                <w:color w:val="FF0000"/>
                <w:sz w:val="21"/>
                <w:szCs w:val="21"/>
              </w:rPr>
            </w:pPr>
          </w:p>
        </w:tc>
        <w:tc>
          <w:tcPr>
            <w:tcW w:w="217" w:type="dxa"/>
          </w:tcPr>
          <w:p w14:paraId="603B30EB" w14:textId="77777777" w:rsidR="002C0FD9" w:rsidRPr="00CA25CF" w:rsidRDefault="002C0FD9" w:rsidP="00CA25CF">
            <w:pPr>
              <w:rPr>
                <w:rFonts w:cs="Arial"/>
                <w:color w:val="FF0000"/>
                <w:sz w:val="21"/>
                <w:szCs w:val="21"/>
              </w:rPr>
            </w:pPr>
          </w:p>
        </w:tc>
        <w:tc>
          <w:tcPr>
            <w:tcW w:w="217" w:type="dxa"/>
          </w:tcPr>
          <w:p w14:paraId="59D08ABA" w14:textId="77777777" w:rsidR="002C0FD9" w:rsidRPr="00CA25CF" w:rsidRDefault="002C0FD9" w:rsidP="00CA25CF">
            <w:pPr>
              <w:rPr>
                <w:rFonts w:cs="Arial"/>
                <w:color w:val="FF0000"/>
                <w:sz w:val="21"/>
                <w:szCs w:val="21"/>
              </w:rPr>
            </w:pPr>
          </w:p>
        </w:tc>
        <w:tc>
          <w:tcPr>
            <w:tcW w:w="217" w:type="dxa"/>
          </w:tcPr>
          <w:p w14:paraId="3066D5DE" w14:textId="77777777" w:rsidR="002C0FD9" w:rsidRPr="00CA25CF" w:rsidRDefault="002C0FD9" w:rsidP="00CA25CF">
            <w:pPr>
              <w:rPr>
                <w:rFonts w:cs="Arial"/>
                <w:color w:val="FF0000"/>
                <w:sz w:val="21"/>
                <w:szCs w:val="21"/>
              </w:rPr>
            </w:pPr>
          </w:p>
        </w:tc>
      </w:tr>
      <w:tr w:rsidR="002C0FD9" w:rsidRPr="00A16219" w14:paraId="5AC765F4" w14:textId="73155DB8" w:rsidTr="002C0FD9">
        <w:trPr>
          <w:trHeight w:val="635"/>
        </w:trPr>
        <w:tc>
          <w:tcPr>
            <w:tcW w:w="515" w:type="dxa"/>
          </w:tcPr>
          <w:p w14:paraId="008B2AE0" w14:textId="77777777" w:rsidR="002C0FD9" w:rsidRPr="00CA25CF" w:rsidRDefault="002C0FD9" w:rsidP="00CA25CF">
            <w:pPr>
              <w:rPr>
                <w:rFonts w:cs="Arial"/>
                <w:color w:val="FF0000"/>
                <w:sz w:val="21"/>
                <w:szCs w:val="21"/>
              </w:rPr>
            </w:pPr>
          </w:p>
        </w:tc>
        <w:tc>
          <w:tcPr>
            <w:tcW w:w="217" w:type="dxa"/>
          </w:tcPr>
          <w:p w14:paraId="109931D4" w14:textId="77777777" w:rsidR="002C0FD9" w:rsidRPr="00CA25CF" w:rsidRDefault="002C0FD9" w:rsidP="00CA25CF">
            <w:pPr>
              <w:rPr>
                <w:rFonts w:cs="Arial"/>
                <w:color w:val="FF0000"/>
                <w:sz w:val="21"/>
                <w:szCs w:val="21"/>
              </w:rPr>
            </w:pPr>
          </w:p>
        </w:tc>
        <w:tc>
          <w:tcPr>
            <w:tcW w:w="217" w:type="dxa"/>
          </w:tcPr>
          <w:p w14:paraId="75F889B2" w14:textId="21ECB2EF" w:rsidR="002C0FD9" w:rsidRPr="00CA25CF" w:rsidRDefault="002C0FD9" w:rsidP="00CA25CF">
            <w:pPr>
              <w:rPr>
                <w:rFonts w:cs="Arial"/>
                <w:color w:val="FF0000"/>
                <w:sz w:val="21"/>
                <w:szCs w:val="21"/>
              </w:rPr>
            </w:pPr>
          </w:p>
        </w:tc>
        <w:tc>
          <w:tcPr>
            <w:tcW w:w="217" w:type="dxa"/>
          </w:tcPr>
          <w:p w14:paraId="758B8CAB" w14:textId="77777777" w:rsidR="002C0FD9" w:rsidRPr="00CA25CF" w:rsidRDefault="002C0FD9" w:rsidP="00CA25CF">
            <w:pPr>
              <w:rPr>
                <w:rFonts w:cs="Arial"/>
                <w:color w:val="FF0000"/>
                <w:sz w:val="21"/>
                <w:szCs w:val="21"/>
              </w:rPr>
            </w:pPr>
          </w:p>
        </w:tc>
        <w:tc>
          <w:tcPr>
            <w:tcW w:w="217" w:type="dxa"/>
          </w:tcPr>
          <w:p w14:paraId="7B2C17E9" w14:textId="3ABCBC2B" w:rsidR="002C0FD9" w:rsidRPr="00CA25CF" w:rsidRDefault="002C0FD9" w:rsidP="00CA25CF">
            <w:pPr>
              <w:rPr>
                <w:rFonts w:cs="Arial"/>
                <w:color w:val="FF0000"/>
                <w:sz w:val="21"/>
                <w:szCs w:val="21"/>
              </w:rPr>
            </w:pPr>
          </w:p>
        </w:tc>
        <w:tc>
          <w:tcPr>
            <w:tcW w:w="217" w:type="dxa"/>
          </w:tcPr>
          <w:p w14:paraId="659E3D9A" w14:textId="77777777" w:rsidR="002C0FD9" w:rsidRPr="00CA25CF" w:rsidRDefault="002C0FD9" w:rsidP="00CA25CF">
            <w:pPr>
              <w:rPr>
                <w:rFonts w:cs="Arial"/>
                <w:color w:val="FF0000"/>
                <w:sz w:val="21"/>
                <w:szCs w:val="21"/>
              </w:rPr>
            </w:pPr>
          </w:p>
        </w:tc>
        <w:tc>
          <w:tcPr>
            <w:tcW w:w="217" w:type="dxa"/>
          </w:tcPr>
          <w:p w14:paraId="4D6DDE5D" w14:textId="0B05DE41" w:rsidR="002C0FD9" w:rsidRPr="00CA25CF" w:rsidRDefault="002C0FD9" w:rsidP="00CA25CF">
            <w:pPr>
              <w:rPr>
                <w:rFonts w:cs="Arial"/>
                <w:color w:val="FF0000"/>
                <w:sz w:val="21"/>
                <w:szCs w:val="21"/>
              </w:rPr>
            </w:pPr>
          </w:p>
        </w:tc>
        <w:tc>
          <w:tcPr>
            <w:tcW w:w="217" w:type="dxa"/>
          </w:tcPr>
          <w:p w14:paraId="0AF86A15" w14:textId="77777777" w:rsidR="002C0FD9" w:rsidRPr="00CA25CF" w:rsidRDefault="002C0FD9" w:rsidP="00CA25CF">
            <w:pPr>
              <w:rPr>
                <w:rFonts w:cs="Arial"/>
                <w:color w:val="FF0000"/>
                <w:sz w:val="21"/>
                <w:szCs w:val="21"/>
              </w:rPr>
            </w:pPr>
          </w:p>
        </w:tc>
        <w:tc>
          <w:tcPr>
            <w:tcW w:w="217" w:type="dxa"/>
          </w:tcPr>
          <w:p w14:paraId="499326A5" w14:textId="77777777" w:rsidR="002C0FD9" w:rsidRPr="00CA25CF" w:rsidRDefault="002C0FD9" w:rsidP="00CA25CF">
            <w:pPr>
              <w:rPr>
                <w:rFonts w:cs="Arial"/>
                <w:color w:val="FF0000"/>
                <w:sz w:val="21"/>
                <w:szCs w:val="21"/>
              </w:rPr>
            </w:pPr>
          </w:p>
        </w:tc>
        <w:tc>
          <w:tcPr>
            <w:tcW w:w="217" w:type="dxa"/>
          </w:tcPr>
          <w:p w14:paraId="2D3E72F0" w14:textId="77777777" w:rsidR="002C0FD9" w:rsidRPr="00CA25CF" w:rsidRDefault="002C0FD9" w:rsidP="00CA25CF">
            <w:pPr>
              <w:rPr>
                <w:rFonts w:cs="Arial"/>
                <w:color w:val="FF0000"/>
                <w:sz w:val="21"/>
                <w:szCs w:val="21"/>
              </w:rPr>
            </w:pPr>
          </w:p>
        </w:tc>
        <w:tc>
          <w:tcPr>
            <w:tcW w:w="217" w:type="dxa"/>
          </w:tcPr>
          <w:p w14:paraId="4FCC1BB5" w14:textId="77777777" w:rsidR="002C0FD9" w:rsidRPr="00CA25CF" w:rsidRDefault="002C0FD9" w:rsidP="00CA25CF">
            <w:pPr>
              <w:rPr>
                <w:rFonts w:cs="Arial"/>
                <w:color w:val="FF0000"/>
                <w:sz w:val="21"/>
                <w:szCs w:val="21"/>
              </w:rPr>
            </w:pPr>
          </w:p>
        </w:tc>
        <w:tc>
          <w:tcPr>
            <w:tcW w:w="217" w:type="dxa"/>
          </w:tcPr>
          <w:p w14:paraId="644FC345" w14:textId="77777777" w:rsidR="002C0FD9" w:rsidRPr="00CA25CF" w:rsidRDefault="002C0FD9" w:rsidP="00CA25CF">
            <w:pPr>
              <w:rPr>
                <w:rFonts w:cs="Arial"/>
                <w:color w:val="FF0000"/>
                <w:sz w:val="21"/>
                <w:szCs w:val="21"/>
              </w:rPr>
            </w:pPr>
          </w:p>
        </w:tc>
        <w:tc>
          <w:tcPr>
            <w:tcW w:w="217" w:type="dxa"/>
          </w:tcPr>
          <w:p w14:paraId="63032A12" w14:textId="77777777" w:rsidR="002C0FD9" w:rsidRPr="00CA25CF" w:rsidRDefault="002C0FD9" w:rsidP="00CA25CF">
            <w:pPr>
              <w:rPr>
                <w:rFonts w:cs="Arial"/>
                <w:color w:val="FF0000"/>
                <w:sz w:val="21"/>
                <w:szCs w:val="21"/>
              </w:rPr>
            </w:pPr>
          </w:p>
        </w:tc>
        <w:tc>
          <w:tcPr>
            <w:tcW w:w="217" w:type="dxa"/>
          </w:tcPr>
          <w:p w14:paraId="0B71E5FC" w14:textId="77777777" w:rsidR="002C0FD9" w:rsidRPr="00CA25CF" w:rsidRDefault="002C0FD9" w:rsidP="00CA25CF">
            <w:pPr>
              <w:rPr>
                <w:rFonts w:cs="Arial"/>
                <w:color w:val="FF0000"/>
                <w:sz w:val="21"/>
                <w:szCs w:val="21"/>
              </w:rPr>
            </w:pPr>
          </w:p>
        </w:tc>
        <w:tc>
          <w:tcPr>
            <w:tcW w:w="217" w:type="dxa"/>
          </w:tcPr>
          <w:p w14:paraId="2B90A82D" w14:textId="77777777" w:rsidR="002C0FD9" w:rsidRPr="00CA25CF" w:rsidRDefault="002C0FD9" w:rsidP="00CA25CF">
            <w:pPr>
              <w:rPr>
                <w:rFonts w:cs="Arial"/>
                <w:color w:val="FF0000"/>
                <w:sz w:val="21"/>
                <w:szCs w:val="21"/>
              </w:rPr>
            </w:pPr>
          </w:p>
        </w:tc>
        <w:tc>
          <w:tcPr>
            <w:tcW w:w="217" w:type="dxa"/>
          </w:tcPr>
          <w:p w14:paraId="2FC77399" w14:textId="03F78417" w:rsidR="002C0FD9" w:rsidRPr="00CA25CF" w:rsidRDefault="002C0FD9" w:rsidP="00CA25CF">
            <w:pPr>
              <w:rPr>
                <w:rFonts w:cs="Arial"/>
                <w:color w:val="FF0000"/>
                <w:sz w:val="21"/>
                <w:szCs w:val="21"/>
              </w:rPr>
            </w:pPr>
          </w:p>
        </w:tc>
        <w:tc>
          <w:tcPr>
            <w:tcW w:w="217" w:type="dxa"/>
          </w:tcPr>
          <w:p w14:paraId="11AA9325" w14:textId="77777777" w:rsidR="002C0FD9" w:rsidRPr="00CA25CF" w:rsidRDefault="002C0FD9" w:rsidP="00CA25CF">
            <w:pPr>
              <w:rPr>
                <w:rFonts w:cs="Arial"/>
                <w:color w:val="FF0000"/>
                <w:sz w:val="21"/>
                <w:szCs w:val="21"/>
              </w:rPr>
            </w:pPr>
          </w:p>
        </w:tc>
        <w:tc>
          <w:tcPr>
            <w:tcW w:w="217" w:type="dxa"/>
          </w:tcPr>
          <w:p w14:paraId="57DBAEC2" w14:textId="77777777" w:rsidR="002C0FD9" w:rsidRPr="00CA25CF" w:rsidRDefault="002C0FD9" w:rsidP="00CA25CF">
            <w:pPr>
              <w:rPr>
                <w:rFonts w:cs="Arial"/>
                <w:color w:val="FF0000"/>
                <w:sz w:val="21"/>
                <w:szCs w:val="21"/>
              </w:rPr>
            </w:pPr>
          </w:p>
        </w:tc>
        <w:tc>
          <w:tcPr>
            <w:tcW w:w="217" w:type="dxa"/>
          </w:tcPr>
          <w:p w14:paraId="21CC2AC9" w14:textId="77777777" w:rsidR="002C0FD9" w:rsidRPr="00CA25CF" w:rsidRDefault="002C0FD9" w:rsidP="00CA25CF">
            <w:pPr>
              <w:rPr>
                <w:rFonts w:cs="Arial"/>
                <w:color w:val="FF0000"/>
                <w:sz w:val="21"/>
                <w:szCs w:val="21"/>
              </w:rPr>
            </w:pPr>
          </w:p>
        </w:tc>
        <w:tc>
          <w:tcPr>
            <w:tcW w:w="217" w:type="dxa"/>
          </w:tcPr>
          <w:p w14:paraId="3092207C" w14:textId="77777777" w:rsidR="002C0FD9" w:rsidRPr="00CA25CF" w:rsidRDefault="002C0FD9" w:rsidP="00CA25CF">
            <w:pPr>
              <w:rPr>
                <w:rFonts w:cs="Arial"/>
                <w:color w:val="FF0000"/>
                <w:sz w:val="21"/>
                <w:szCs w:val="21"/>
              </w:rPr>
            </w:pPr>
          </w:p>
        </w:tc>
        <w:tc>
          <w:tcPr>
            <w:tcW w:w="217" w:type="dxa"/>
          </w:tcPr>
          <w:p w14:paraId="70F5091D" w14:textId="77777777" w:rsidR="002C0FD9" w:rsidRPr="00CA25CF" w:rsidRDefault="002C0FD9" w:rsidP="00CA25CF">
            <w:pPr>
              <w:rPr>
                <w:rFonts w:cs="Arial"/>
                <w:color w:val="FF0000"/>
                <w:sz w:val="21"/>
                <w:szCs w:val="21"/>
              </w:rPr>
            </w:pPr>
          </w:p>
        </w:tc>
        <w:tc>
          <w:tcPr>
            <w:tcW w:w="217" w:type="dxa"/>
          </w:tcPr>
          <w:p w14:paraId="036B9619" w14:textId="77777777" w:rsidR="002C0FD9" w:rsidRPr="00CA25CF" w:rsidRDefault="002C0FD9" w:rsidP="00CA25CF">
            <w:pPr>
              <w:rPr>
                <w:rFonts w:cs="Arial"/>
                <w:color w:val="FF0000"/>
                <w:sz w:val="21"/>
                <w:szCs w:val="21"/>
              </w:rPr>
            </w:pPr>
          </w:p>
        </w:tc>
        <w:tc>
          <w:tcPr>
            <w:tcW w:w="217" w:type="dxa"/>
          </w:tcPr>
          <w:p w14:paraId="15B94CFD" w14:textId="77777777" w:rsidR="002C0FD9" w:rsidRPr="00CA25CF" w:rsidRDefault="002C0FD9" w:rsidP="00CA25CF">
            <w:pPr>
              <w:rPr>
                <w:rFonts w:cs="Arial"/>
                <w:color w:val="FF0000"/>
                <w:sz w:val="21"/>
                <w:szCs w:val="21"/>
              </w:rPr>
            </w:pPr>
          </w:p>
        </w:tc>
        <w:tc>
          <w:tcPr>
            <w:tcW w:w="217" w:type="dxa"/>
          </w:tcPr>
          <w:p w14:paraId="00CB4408" w14:textId="77777777" w:rsidR="002C0FD9" w:rsidRPr="00CA25CF" w:rsidRDefault="002C0FD9" w:rsidP="00CA25CF">
            <w:pPr>
              <w:rPr>
                <w:rFonts w:cs="Arial"/>
                <w:color w:val="FF0000"/>
                <w:sz w:val="21"/>
                <w:szCs w:val="21"/>
              </w:rPr>
            </w:pPr>
          </w:p>
        </w:tc>
        <w:tc>
          <w:tcPr>
            <w:tcW w:w="217" w:type="dxa"/>
          </w:tcPr>
          <w:p w14:paraId="10FD8A47" w14:textId="77777777" w:rsidR="002C0FD9" w:rsidRPr="00CA25CF" w:rsidRDefault="002C0FD9" w:rsidP="00CA25CF">
            <w:pPr>
              <w:rPr>
                <w:rFonts w:cs="Arial"/>
                <w:color w:val="FF0000"/>
                <w:sz w:val="21"/>
                <w:szCs w:val="21"/>
              </w:rPr>
            </w:pPr>
          </w:p>
        </w:tc>
        <w:tc>
          <w:tcPr>
            <w:tcW w:w="217" w:type="dxa"/>
          </w:tcPr>
          <w:p w14:paraId="69AE6F14" w14:textId="77777777" w:rsidR="002C0FD9" w:rsidRPr="00CA25CF" w:rsidRDefault="002C0FD9" w:rsidP="00CA25CF">
            <w:pPr>
              <w:rPr>
                <w:rFonts w:cs="Arial"/>
                <w:color w:val="FF0000"/>
                <w:sz w:val="21"/>
                <w:szCs w:val="21"/>
              </w:rPr>
            </w:pPr>
          </w:p>
        </w:tc>
        <w:tc>
          <w:tcPr>
            <w:tcW w:w="217" w:type="dxa"/>
          </w:tcPr>
          <w:p w14:paraId="63E83AD4" w14:textId="77777777" w:rsidR="002C0FD9" w:rsidRPr="00CA25CF" w:rsidRDefault="002C0FD9" w:rsidP="00CA25CF">
            <w:pPr>
              <w:rPr>
                <w:rFonts w:cs="Arial"/>
                <w:color w:val="FF0000"/>
                <w:sz w:val="21"/>
                <w:szCs w:val="21"/>
              </w:rPr>
            </w:pPr>
          </w:p>
        </w:tc>
        <w:tc>
          <w:tcPr>
            <w:tcW w:w="217" w:type="dxa"/>
          </w:tcPr>
          <w:p w14:paraId="5F25B01B" w14:textId="77777777" w:rsidR="002C0FD9" w:rsidRPr="00CA25CF" w:rsidRDefault="002C0FD9" w:rsidP="00CA25CF">
            <w:pPr>
              <w:rPr>
                <w:rFonts w:cs="Arial"/>
                <w:color w:val="FF0000"/>
                <w:sz w:val="21"/>
                <w:szCs w:val="21"/>
              </w:rPr>
            </w:pPr>
          </w:p>
        </w:tc>
        <w:tc>
          <w:tcPr>
            <w:tcW w:w="217" w:type="dxa"/>
          </w:tcPr>
          <w:p w14:paraId="43E1D486" w14:textId="77777777" w:rsidR="002C0FD9" w:rsidRPr="00CA25CF" w:rsidRDefault="002C0FD9" w:rsidP="00CA25CF">
            <w:pPr>
              <w:rPr>
                <w:rFonts w:cs="Arial"/>
                <w:color w:val="FF0000"/>
                <w:sz w:val="21"/>
                <w:szCs w:val="21"/>
              </w:rPr>
            </w:pPr>
          </w:p>
        </w:tc>
        <w:tc>
          <w:tcPr>
            <w:tcW w:w="217" w:type="dxa"/>
          </w:tcPr>
          <w:p w14:paraId="49A2F4EB" w14:textId="77777777" w:rsidR="002C0FD9" w:rsidRPr="00CA25CF" w:rsidRDefault="002C0FD9" w:rsidP="00CA25CF">
            <w:pPr>
              <w:rPr>
                <w:rFonts w:cs="Arial"/>
                <w:color w:val="FF0000"/>
                <w:sz w:val="21"/>
                <w:szCs w:val="21"/>
              </w:rPr>
            </w:pPr>
          </w:p>
        </w:tc>
        <w:tc>
          <w:tcPr>
            <w:tcW w:w="217" w:type="dxa"/>
          </w:tcPr>
          <w:p w14:paraId="0B9AA5DA" w14:textId="77777777" w:rsidR="002C0FD9" w:rsidRPr="00CA25CF" w:rsidRDefault="002C0FD9" w:rsidP="00CA25CF">
            <w:pPr>
              <w:rPr>
                <w:rFonts w:cs="Arial"/>
                <w:color w:val="FF0000"/>
                <w:sz w:val="21"/>
                <w:szCs w:val="21"/>
              </w:rPr>
            </w:pPr>
          </w:p>
        </w:tc>
        <w:tc>
          <w:tcPr>
            <w:tcW w:w="217" w:type="dxa"/>
          </w:tcPr>
          <w:p w14:paraId="46D964CD" w14:textId="77777777" w:rsidR="002C0FD9" w:rsidRPr="00CA25CF" w:rsidRDefault="002C0FD9" w:rsidP="00CA25CF">
            <w:pPr>
              <w:rPr>
                <w:rFonts w:cs="Arial"/>
                <w:color w:val="FF0000"/>
                <w:sz w:val="21"/>
                <w:szCs w:val="21"/>
              </w:rPr>
            </w:pPr>
          </w:p>
        </w:tc>
        <w:tc>
          <w:tcPr>
            <w:tcW w:w="217" w:type="dxa"/>
          </w:tcPr>
          <w:p w14:paraId="1CFCE6B0" w14:textId="77777777" w:rsidR="002C0FD9" w:rsidRPr="00CA25CF" w:rsidRDefault="002C0FD9" w:rsidP="00CA25CF">
            <w:pPr>
              <w:rPr>
                <w:rFonts w:cs="Arial"/>
                <w:color w:val="FF0000"/>
                <w:sz w:val="21"/>
                <w:szCs w:val="21"/>
              </w:rPr>
            </w:pPr>
          </w:p>
        </w:tc>
        <w:tc>
          <w:tcPr>
            <w:tcW w:w="217" w:type="dxa"/>
          </w:tcPr>
          <w:p w14:paraId="2D2ABC17" w14:textId="77777777" w:rsidR="002C0FD9" w:rsidRPr="00CA25CF" w:rsidRDefault="002C0FD9" w:rsidP="00CA25CF">
            <w:pPr>
              <w:rPr>
                <w:rFonts w:cs="Arial"/>
                <w:color w:val="FF0000"/>
                <w:sz w:val="21"/>
                <w:szCs w:val="21"/>
              </w:rPr>
            </w:pPr>
          </w:p>
        </w:tc>
        <w:tc>
          <w:tcPr>
            <w:tcW w:w="217" w:type="dxa"/>
          </w:tcPr>
          <w:p w14:paraId="5B7E8323" w14:textId="77777777" w:rsidR="002C0FD9" w:rsidRPr="00CA25CF" w:rsidRDefault="002C0FD9" w:rsidP="00CA25CF">
            <w:pPr>
              <w:rPr>
                <w:rFonts w:cs="Arial"/>
                <w:color w:val="FF0000"/>
                <w:sz w:val="21"/>
                <w:szCs w:val="21"/>
              </w:rPr>
            </w:pPr>
          </w:p>
        </w:tc>
        <w:tc>
          <w:tcPr>
            <w:tcW w:w="217" w:type="dxa"/>
          </w:tcPr>
          <w:p w14:paraId="1F79CC2E" w14:textId="77777777" w:rsidR="002C0FD9" w:rsidRPr="00CA25CF" w:rsidRDefault="002C0FD9" w:rsidP="00CA25CF">
            <w:pPr>
              <w:rPr>
                <w:rFonts w:cs="Arial"/>
                <w:color w:val="FF0000"/>
                <w:sz w:val="21"/>
                <w:szCs w:val="21"/>
              </w:rPr>
            </w:pPr>
          </w:p>
        </w:tc>
        <w:tc>
          <w:tcPr>
            <w:tcW w:w="217" w:type="dxa"/>
          </w:tcPr>
          <w:p w14:paraId="1E9ABADC" w14:textId="77777777" w:rsidR="002C0FD9" w:rsidRPr="00CA25CF" w:rsidRDefault="002C0FD9" w:rsidP="00CA25CF">
            <w:pPr>
              <w:rPr>
                <w:rFonts w:cs="Arial"/>
                <w:color w:val="FF0000"/>
                <w:sz w:val="21"/>
                <w:szCs w:val="21"/>
              </w:rPr>
            </w:pPr>
          </w:p>
        </w:tc>
        <w:tc>
          <w:tcPr>
            <w:tcW w:w="217" w:type="dxa"/>
          </w:tcPr>
          <w:p w14:paraId="30FF3B9A" w14:textId="77777777" w:rsidR="002C0FD9" w:rsidRPr="00CA25CF" w:rsidRDefault="002C0FD9" w:rsidP="00CA25CF">
            <w:pPr>
              <w:rPr>
                <w:rFonts w:cs="Arial"/>
                <w:color w:val="FF0000"/>
                <w:sz w:val="21"/>
                <w:szCs w:val="21"/>
              </w:rPr>
            </w:pPr>
          </w:p>
        </w:tc>
        <w:tc>
          <w:tcPr>
            <w:tcW w:w="217" w:type="dxa"/>
          </w:tcPr>
          <w:p w14:paraId="4A9E46D4" w14:textId="77777777" w:rsidR="002C0FD9" w:rsidRPr="00CA25CF" w:rsidRDefault="002C0FD9" w:rsidP="00CA25CF">
            <w:pPr>
              <w:rPr>
                <w:rFonts w:cs="Arial"/>
                <w:color w:val="FF0000"/>
                <w:sz w:val="21"/>
                <w:szCs w:val="21"/>
              </w:rPr>
            </w:pPr>
          </w:p>
        </w:tc>
        <w:tc>
          <w:tcPr>
            <w:tcW w:w="217" w:type="dxa"/>
          </w:tcPr>
          <w:p w14:paraId="35102296" w14:textId="77777777" w:rsidR="002C0FD9" w:rsidRPr="00CA25CF" w:rsidRDefault="002C0FD9" w:rsidP="00CA25CF">
            <w:pPr>
              <w:rPr>
                <w:rFonts w:cs="Arial"/>
                <w:color w:val="FF0000"/>
                <w:sz w:val="21"/>
                <w:szCs w:val="21"/>
              </w:rPr>
            </w:pPr>
          </w:p>
        </w:tc>
        <w:tc>
          <w:tcPr>
            <w:tcW w:w="217" w:type="dxa"/>
          </w:tcPr>
          <w:p w14:paraId="470B99BA" w14:textId="77777777" w:rsidR="002C0FD9" w:rsidRPr="00CA25CF" w:rsidRDefault="002C0FD9" w:rsidP="00CA25CF">
            <w:pPr>
              <w:rPr>
                <w:rFonts w:cs="Arial"/>
                <w:color w:val="FF0000"/>
                <w:sz w:val="21"/>
                <w:szCs w:val="21"/>
              </w:rPr>
            </w:pPr>
          </w:p>
        </w:tc>
        <w:tc>
          <w:tcPr>
            <w:tcW w:w="217" w:type="dxa"/>
          </w:tcPr>
          <w:p w14:paraId="2315481E" w14:textId="77777777" w:rsidR="002C0FD9" w:rsidRPr="00CA25CF" w:rsidRDefault="002C0FD9" w:rsidP="00CA25CF">
            <w:pPr>
              <w:rPr>
                <w:rFonts w:cs="Arial"/>
                <w:color w:val="FF0000"/>
                <w:sz w:val="21"/>
                <w:szCs w:val="21"/>
              </w:rPr>
            </w:pPr>
          </w:p>
        </w:tc>
        <w:tc>
          <w:tcPr>
            <w:tcW w:w="217" w:type="dxa"/>
          </w:tcPr>
          <w:p w14:paraId="027C6EAF" w14:textId="77777777" w:rsidR="002C0FD9" w:rsidRPr="00CA25CF" w:rsidRDefault="002C0FD9" w:rsidP="00CA25CF">
            <w:pPr>
              <w:rPr>
                <w:rFonts w:cs="Arial"/>
                <w:color w:val="FF0000"/>
                <w:sz w:val="21"/>
                <w:szCs w:val="21"/>
              </w:rPr>
            </w:pPr>
          </w:p>
        </w:tc>
      </w:tr>
      <w:tr w:rsidR="002C0FD9" w:rsidRPr="00A16219" w14:paraId="78F7C7DB" w14:textId="041EFD5B" w:rsidTr="002C0FD9">
        <w:trPr>
          <w:trHeight w:val="635"/>
        </w:trPr>
        <w:tc>
          <w:tcPr>
            <w:tcW w:w="515" w:type="dxa"/>
          </w:tcPr>
          <w:p w14:paraId="2E9F236C" w14:textId="77777777" w:rsidR="002C0FD9" w:rsidRPr="00CA25CF" w:rsidRDefault="002C0FD9" w:rsidP="00CA25CF">
            <w:pPr>
              <w:rPr>
                <w:rFonts w:cs="Arial"/>
                <w:color w:val="FF0000"/>
                <w:sz w:val="21"/>
                <w:szCs w:val="21"/>
              </w:rPr>
            </w:pPr>
          </w:p>
        </w:tc>
        <w:tc>
          <w:tcPr>
            <w:tcW w:w="217" w:type="dxa"/>
          </w:tcPr>
          <w:p w14:paraId="232FCF28" w14:textId="77777777" w:rsidR="002C0FD9" w:rsidRPr="00CA25CF" w:rsidRDefault="002C0FD9" w:rsidP="00CA25CF">
            <w:pPr>
              <w:rPr>
                <w:rFonts w:cs="Arial"/>
                <w:color w:val="FF0000"/>
                <w:sz w:val="21"/>
                <w:szCs w:val="21"/>
              </w:rPr>
            </w:pPr>
          </w:p>
        </w:tc>
        <w:tc>
          <w:tcPr>
            <w:tcW w:w="217" w:type="dxa"/>
          </w:tcPr>
          <w:p w14:paraId="2A1EC1A6" w14:textId="74420111" w:rsidR="002C0FD9" w:rsidRPr="00CA25CF" w:rsidRDefault="002C0FD9" w:rsidP="00CA25CF">
            <w:pPr>
              <w:rPr>
                <w:rFonts w:cs="Arial"/>
                <w:color w:val="FF0000"/>
                <w:sz w:val="21"/>
                <w:szCs w:val="21"/>
              </w:rPr>
            </w:pPr>
          </w:p>
        </w:tc>
        <w:tc>
          <w:tcPr>
            <w:tcW w:w="217" w:type="dxa"/>
          </w:tcPr>
          <w:p w14:paraId="234CE30A" w14:textId="77777777" w:rsidR="002C0FD9" w:rsidRPr="00CA25CF" w:rsidRDefault="002C0FD9" w:rsidP="00CA25CF">
            <w:pPr>
              <w:rPr>
                <w:rFonts w:cs="Arial"/>
                <w:color w:val="FF0000"/>
                <w:sz w:val="21"/>
                <w:szCs w:val="21"/>
              </w:rPr>
            </w:pPr>
          </w:p>
        </w:tc>
        <w:tc>
          <w:tcPr>
            <w:tcW w:w="217" w:type="dxa"/>
          </w:tcPr>
          <w:p w14:paraId="6E758079" w14:textId="72042002" w:rsidR="002C0FD9" w:rsidRPr="00CA25CF" w:rsidRDefault="002C0FD9" w:rsidP="00CA25CF">
            <w:pPr>
              <w:rPr>
                <w:rFonts w:cs="Arial"/>
                <w:color w:val="FF0000"/>
                <w:sz w:val="21"/>
                <w:szCs w:val="21"/>
              </w:rPr>
            </w:pPr>
          </w:p>
        </w:tc>
        <w:tc>
          <w:tcPr>
            <w:tcW w:w="217" w:type="dxa"/>
          </w:tcPr>
          <w:p w14:paraId="2CCE8ADC" w14:textId="77777777" w:rsidR="002C0FD9" w:rsidRPr="00CA25CF" w:rsidRDefault="002C0FD9" w:rsidP="00CA25CF">
            <w:pPr>
              <w:rPr>
                <w:rFonts w:cs="Arial"/>
                <w:color w:val="FF0000"/>
                <w:sz w:val="21"/>
                <w:szCs w:val="21"/>
              </w:rPr>
            </w:pPr>
          </w:p>
        </w:tc>
        <w:tc>
          <w:tcPr>
            <w:tcW w:w="217" w:type="dxa"/>
          </w:tcPr>
          <w:p w14:paraId="63956EE3" w14:textId="3A2D146E" w:rsidR="002C0FD9" w:rsidRPr="00CA25CF" w:rsidRDefault="002C0FD9" w:rsidP="00CA25CF">
            <w:pPr>
              <w:rPr>
                <w:rFonts w:cs="Arial"/>
                <w:color w:val="FF0000"/>
                <w:sz w:val="21"/>
                <w:szCs w:val="21"/>
              </w:rPr>
            </w:pPr>
          </w:p>
        </w:tc>
        <w:tc>
          <w:tcPr>
            <w:tcW w:w="217" w:type="dxa"/>
          </w:tcPr>
          <w:p w14:paraId="76CBDEF1" w14:textId="77777777" w:rsidR="002C0FD9" w:rsidRPr="00CA25CF" w:rsidRDefault="002C0FD9" w:rsidP="00CA25CF">
            <w:pPr>
              <w:rPr>
                <w:rFonts w:cs="Arial"/>
                <w:color w:val="FF0000"/>
                <w:sz w:val="21"/>
                <w:szCs w:val="21"/>
              </w:rPr>
            </w:pPr>
          </w:p>
        </w:tc>
        <w:tc>
          <w:tcPr>
            <w:tcW w:w="217" w:type="dxa"/>
          </w:tcPr>
          <w:p w14:paraId="6B8DA05D" w14:textId="77777777" w:rsidR="002C0FD9" w:rsidRPr="00CA25CF" w:rsidRDefault="002C0FD9" w:rsidP="00CA25CF">
            <w:pPr>
              <w:rPr>
                <w:rFonts w:cs="Arial"/>
                <w:color w:val="FF0000"/>
                <w:sz w:val="21"/>
                <w:szCs w:val="21"/>
              </w:rPr>
            </w:pPr>
          </w:p>
        </w:tc>
        <w:tc>
          <w:tcPr>
            <w:tcW w:w="217" w:type="dxa"/>
          </w:tcPr>
          <w:p w14:paraId="334DFA56" w14:textId="77777777" w:rsidR="002C0FD9" w:rsidRPr="00CA25CF" w:rsidRDefault="002C0FD9" w:rsidP="00CA25CF">
            <w:pPr>
              <w:rPr>
                <w:rFonts w:cs="Arial"/>
                <w:color w:val="FF0000"/>
                <w:sz w:val="21"/>
                <w:szCs w:val="21"/>
              </w:rPr>
            </w:pPr>
          </w:p>
        </w:tc>
        <w:tc>
          <w:tcPr>
            <w:tcW w:w="217" w:type="dxa"/>
          </w:tcPr>
          <w:p w14:paraId="518973F5" w14:textId="77777777" w:rsidR="002C0FD9" w:rsidRPr="00CA25CF" w:rsidRDefault="002C0FD9" w:rsidP="00CA25CF">
            <w:pPr>
              <w:rPr>
                <w:rFonts w:cs="Arial"/>
                <w:color w:val="FF0000"/>
                <w:sz w:val="21"/>
                <w:szCs w:val="21"/>
              </w:rPr>
            </w:pPr>
          </w:p>
        </w:tc>
        <w:tc>
          <w:tcPr>
            <w:tcW w:w="217" w:type="dxa"/>
          </w:tcPr>
          <w:p w14:paraId="2132591E" w14:textId="77777777" w:rsidR="002C0FD9" w:rsidRPr="00CA25CF" w:rsidRDefault="002C0FD9" w:rsidP="00CA25CF">
            <w:pPr>
              <w:rPr>
                <w:rFonts w:cs="Arial"/>
                <w:color w:val="FF0000"/>
                <w:sz w:val="21"/>
                <w:szCs w:val="21"/>
              </w:rPr>
            </w:pPr>
          </w:p>
        </w:tc>
        <w:tc>
          <w:tcPr>
            <w:tcW w:w="217" w:type="dxa"/>
          </w:tcPr>
          <w:p w14:paraId="2391A8F2" w14:textId="77777777" w:rsidR="002C0FD9" w:rsidRPr="00CA25CF" w:rsidRDefault="002C0FD9" w:rsidP="00CA25CF">
            <w:pPr>
              <w:rPr>
                <w:rFonts w:cs="Arial"/>
                <w:color w:val="FF0000"/>
                <w:sz w:val="21"/>
                <w:szCs w:val="21"/>
              </w:rPr>
            </w:pPr>
          </w:p>
        </w:tc>
        <w:tc>
          <w:tcPr>
            <w:tcW w:w="217" w:type="dxa"/>
          </w:tcPr>
          <w:p w14:paraId="260B059C" w14:textId="77777777" w:rsidR="002C0FD9" w:rsidRPr="00CA25CF" w:rsidRDefault="002C0FD9" w:rsidP="00CA25CF">
            <w:pPr>
              <w:rPr>
                <w:rFonts w:cs="Arial"/>
                <w:color w:val="FF0000"/>
                <w:sz w:val="21"/>
                <w:szCs w:val="21"/>
              </w:rPr>
            </w:pPr>
          </w:p>
        </w:tc>
        <w:tc>
          <w:tcPr>
            <w:tcW w:w="217" w:type="dxa"/>
          </w:tcPr>
          <w:p w14:paraId="0FE30645" w14:textId="77777777" w:rsidR="002C0FD9" w:rsidRPr="00CA25CF" w:rsidRDefault="002C0FD9" w:rsidP="00CA25CF">
            <w:pPr>
              <w:rPr>
                <w:rFonts w:cs="Arial"/>
                <w:color w:val="FF0000"/>
                <w:sz w:val="21"/>
                <w:szCs w:val="21"/>
              </w:rPr>
            </w:pPr>
          </w:p>
        </w:tc>
        <w:tc>
          <w:tcPr>
            <w:tcW w:w="217" w:type="dxa"/>
          </w:tcPr>
          <w:p w14:paraId="64FDA190" w14:textId="3ECA222B" w:rsidR="002C0FD9" w:rsidRPr="00CA25CF" w:rsidRDefault="002C0FD9" w:rsidP="00CA25CF">
            <w:pPr>
              <w:rPr>
                <w:rFonts w:cs="Arial"/>
                <w:color w:val="FF0000"/>
                <w:sz w:val="21"/>
                <w:szCs w:val="21"/>
              </w:rPr>
            </w:pPr>
          </w:p>
        </w:tc>
        <w:tc>
          <w:tcPr>
            <w:tcW w:w="217" w:type="dxa"/>
          </w:tcPr>
          <w:p w14:paraId="712BF7E3" w14:textId="77777777" w:rsidR="002C0FD9" w:rsidRPr="00CA25CF" w:rsidRDefault="002C0FD9" w:rsidP="00CA25CF">
            <w:pPr>
              <w:rPr>
                <w:rFonts w:cs="Arial"/>
                <w:color w:val="FF0000"/>
                <w:sz w:val="21"/>
                <w:szCs w:val="21"/>
              </w:rPr>
            </w:pPr>
          </w:p>
        </w:tc>
        <w:tc>
          <w:tcPr>
            <w:tcW w:w="217" w:type="dxa"/>
          </w:tcPr>
          <w:p w14:paraId="3ED1B2DB" w14:textId="77777777" w:rsidR="002C0FD9" w:rsidRPr="00CA25CF" w:rsidRDefault="002C0FD9" w:rsidP="00CA25CF">
            <w:pPr>
              <w:rPr>
                <w:rFonts w:cs="Arial"/>
                <w:color w:val="FF0000"/>
                <w:sz w:val="21"/>
                <w:szCs w:val="21"/>
              </w:rPr>
            </w:pPr>
          </w:p>
        </w:tc>
        <w:tc>
          <w:tcPr>
            <w:tcW w:w="217" w:type="dxa"/>
          </w:tcPr>
          <w:p w14:paraId="0DC74AE9" w14:textId="77777777" w:rsidR="002C0FD9" w:rsidRPr="00CA25CF" w:rsidRDefault="002C0FD9" w:rsidP="00CA25CF">
            <w:pPr>
              <w:rPr>
                <w:rFonts w:cs="Arial"/>
                <w:color w:val="FF0000"/>
                <w:sz w:val="21"/>
                <w:szCs w:val="21"/>
              </w:rPr>
            </w:pPr>
          </w:p>
        </w:tc>
        <w:tc>
          <w:tcPr>
            <w:tcW w:w="217" w:type="dxa"/>
          </w:tcPr>
          <w:p w14:paraId="31918DD5" w14:textId="77777777" w:rsidR="002C0FD9" w:rsidRPr="00CA25CF" w:rsidRDefault="002C0FD9" w:rsidP="00CA25CF">
            <w:pPr>
              <w:rPr>
                <w:rFonts w:cs="Arial"/>
                <w:color w:val="FF0000"/>
                <w:sz w:val="21"/>
                <w:szCs w:val="21"/>
              </w:rPr>
            </w:pPr>
          </w:p>
        </w:tc>
        <w:tc>
          <w:tcPr>
            <w:tcW w:w="217" w:type="dxa"/>
          </w:tcPr>
          <w:p w14:paraId="37FAFF45" w14:textId="77777777" w:rsidR="002C0FD9" w:rsidRPr="00CA25CF" w:rsidRDefault="002C0FD9" w:rsidP="00CA25CF">
            <w:pPr>
              <w:rPr>
                <w:rFonts w:cs="Arial"/>
                <w:color w:val="FF0000"/>
                <w:sz w:val="21"/>
                <w:szCs w:val="21"/>
              </w:rPr>
            </w:pPr>
          </w:p>
        </w:tc>
        <w:tc>
          <w:tcPr>
            <w:tcW w:w="217" w:type="dxa"/>
          </w:tcPr>
          <w:p w14:paraId="331FBA35" w14:textId="77777777" w:rsidR="002C0FD9" w:rsidRPr="00CA25CF" w:rsidRDefault="002C0FD9" w:rsidP="00CA25CF">
            <w:pPr>
              <w:rPr>
                <w:rFonts w:cs="Arial"/>
                <w:color w:val="FF0000"/>
                <w:sz w:val="21"/>
                <w:szCs w:val="21"/>
              </w:rPr>
            </w:pPr>
          </w:p>
        </w:tc>
        <w:tc>
          <w:tcPr>
            <w:tcW w:w="217" w:type="dxa"/>
          </w:tcPr>
          <w:p w14:paraId="33EA4C7F" w14:textId="77777777" w:rsidR="002C0FD9" w:rsidRPr="00CA25CF" w:rsidRDefault="002C0FD9" w:rsidP="00CA25CF">
            <w:pPr>
              <w:rPr>
                <w:rFonts w:cs="Arial"/>
                <w:color w:val="FF0000"/>
                <w:sz w:val="21"/>
                <w:szCs w:val="21"/>
              </w:rPr>
            </w:pPr>
          </w:p>
        </w:tc>
        <w:tc>
          <w:tcPr>
            <w:tcW w:w="217" w:type="dxa"/>
          </w:tcPr>
          <w:p w14:paraId="3E858612" w14:textId="77777777" w:rsidR="002C0FD9" w:rsidRPr="00CA25CF" w:rsidRDefault="002C0FD9" w:rsidP="00CA25CF">
            <w:pPr>
              <w:rPr>
                <w:rFonts w:cs="Arial"/>
                <w:color w:val="FF0000"/>
                <w:sz w:val="21"/>
                <w:szCs w:val="21"/>
              </w:rPr>
            </w:pPr>
          </w:p>
        </w:tc>
        <w:tc>
          <w:tcPr>
            <w:tcW w:w="217" w:type="dxa"/>
          </w:tcPr>
          <w:p w14:paraId="23752387" w14:textId="77777777" w:rsidR="002C0FD9" w:rsidRPr="00CA25CF" w:rsidRDefault="002C0FD9" w:rsidP="00CA25CF">
            <w:pPr>
              <w:rPr>
                <w:rFonts w:cs="Arial"/>
                <w:color w:val="FF0000"/>
                <w:sz w:val="21"/>
                <w:szCs w:val="21"/>
              </w:rPr>
            </w:pPr>
          </w:p>
        </w:tc>
        <w:tc>
          <w:tcPr>
            <w:tcW w:w="217" w:type="dxa"/>
          </w:tcPr>
          <w:p w14:paraId="5FE0B45A" w14:textId="77777777" w:rsidR="002C0FD9" w:rsidRPr="00CA25CF" w:rsidRDefault="002C0FD9" w:rsidP="00CA25CF">
            <w:pPr>
              <w:rPr>
                <w:rFonts w:cs="Arial"/>
                <w:color w:val="FF0000"/>
                <w:sz w:val="21"/>
                <w:szCs w:val="21"/>
              </w:rPr>
            </w:pPr>
          </w:p>
        </w:tc>
        <w:tc>
          <w:tcPr>
            <w:tcW w:w="217" w:type="dxa"/>
          </w:tcPr>
          <w:p w14:paraId="4A73D762" w14:textId="77777777" w:rsidR="002C0FD9" w:rsidRPr="00CA25CF" w:rsidRDefault="002C0FD9" w:rsidP="00CA25CF">
            <w:pPr>
              <w:rPr>
                <w:rFonts w:cs="Arial"/>
                <w:color w:val="FF0000"/>
                <w:sz w:val="21"/>
                <w:szCs w:val="21"/>
              </w:rPr>
            </w:pPr>
          </w:p>
        </w:tc>
        <w:tc>
          <w:tcPr>
            <w:tcW w:w="217" w:type="dxa"/>
          </w:tcPr>
          <w:p w14:paraId="591A99A6" w14:textId="77777777" w:rsidR="002C0FD9" w:rsidRPr="00CA25CF" w:rsidRDefault="002C0FD9" w:rsidP="00CA25CF">
            <w:pPr>
              <w:rPr>
                <w:rFonts w:cs="Arial"/>
                <w:color w:val="FF0000"/>
                <w:sz w:val="21"/>
                <w:szCs w:val="21"/>
              </w:rPr>
            </w:pPr>
          </w:p>
        </w:tc>
        <w:tc>
          <w:tcPr>
            <w:tcW w:w="217" w:type="dxa"/>
          </w:tcPr>
          <w:p w14:paraId="6C856758" w14:textId="77777777" w:rsidR="002C0FD9" w:rsidRPr="00CA25CF" w:rsidRDefault="002C0FD9" w:rsidP="00CA25CF">
            <w:pPr>
              <w:rPr>
                <w:rFonts w:cs="Arial"/>
                <w:color w:val="FF0000"/>
                <w:sz w:val="21"/>
                <w:szCs w:val="21"/>
              </w:rPr>
            </w:pPr>
          </w:p>
        </w:tc>
        <w:tc>
          <w:tcPr>
            <w:tcW w:w="217" w:type="dxa"/>
          </w:tcPr>
          <w:p w14:paraId="54DA8657" w14:textId="77777777" w:rsidR="002C0FD9" w:rsidRPr="00CA25CF" w:rsidRDefault="002C0FD9" w:rsidP="00CA25CF">
            <w:pPr>
              <w:rPr>
                <w:rFonts w:cs="Arial"/>
                <w:color w:val="FF0000"/>
                <w:sz w:val="21"/>
                <w:szCs w:val="21"/>
              </w:rPr>
            </w:pPr>
          </w:p>
        </w:tc>
        <w:tc>
          <w:tcPr>
            <w:tcW w:w="217" w:type="dxa"/>
          </w:tcPr>
          <w:p w14:paraId="5E609CAF" w14:textId="77777777" w:rsidR="002C0FD9" w:rsidRPr="00CA25CF" w:rsidRDefault="002C0FD9" w:rsidP="00CA25CF">
            <w:pPr>
              <w:rPr>
                <w:rFonts w:cs="Arial"/>
                <w:color w:val="FF0000"/>
                <w:sz w:val="21"/>
                <w:szCs w:val="21"/>
              </w:rPr>
            </w:pPr>
          </w:p>
        </w:tc>
        <w:tc>
          <w:tcPr>
            <w:tcW w:w="217" w:type="dxa"/>
          </w:tcPr>
          <w:p w14:paraId="3B67C0B0" w14:textId="77777777" w:rsidR="002C0FD9" w:rsidRPr="00CA25CF" w:rsidRDefault="002C0FD9" w:rsidP="00CA25CF">
            <w:pPr>
              <w:rPr>
                <w:rFonts w:cs="Arial"/>
                <w:color w:val="FF0000"/>
                <w:sz w:val="21"/>
                <w:szCs w:val="21"/>
              </w:rPr>
            </w:pPr>
          </w:p>
        </w:tc>
        <w:tc>
          <w:tcPr>
            <w:tcW w:w="217" w:type="dxa"/>
          </w:tcPr>
          <w:p w14:paraId="1657F4FC" w14:textId="77777777" w:rsidR="002C0FD9" w:rsidRPr="00CA25CF" w:rsidRDefault="002C0FD9" w:rsidP="00CA25CF">
            <w:pPr>
              <w:rPr>
                <w:rFonts w:cs="Arial"/>
                <w:color w:val="FF0000"/>
                <w:sz w:val="21"/>
                <w:szCs w:val="21"/>
              </w:rPr>
            </w:pPr>
          </w:p>
        </w:tc>
        <w:tc>
          <w:tcPr>
            <w:tcW w:w="217" w:type="dxa"/>
          </w:tcPr>
          <w:p w14:paraId="475E213E" w14:textId="77777777" w:rsidR="002C0FD9" w:rsidRPr="00CA25CF" w:rsidRDefault="002C0FD9" w:rsidP="00CA25CF">
            <w:pPr>
              <w:rPr>
                <w:rFonts w:cs="Arial"/>
                <w:color w:val="FF0000"/>
                <w:sz w:val="21"/>
                <w:szCs w:val="21"/>
              </w:rPr>
            </w:pPr>
          </w:p>
        </w:tc>
        <w:tc>
          <w:tcPr>
            <w:tcW w:w="217" w:type="dxa"/>
          </w:tcPr>
          <w:p w14:paraId="012E1C1F" w14:textId="77777777" w:rsidR="002C0FD9" w:rsidRPr="00CA25CF" w:rsidRDefault="002C0FD9" w:rsidP="00CA25CF">
            <w:pPr>
              <w:rPr>
                <w:rFonts w:cs="Arial"/>
                <w:color w:val="FF0000"/>
                <w:sz w:val="21"/>
                <w:szCs w:val="21"/>
              </w:rPr>
            </w:pPr>
          </w:p>
        </w:tc>
        <w:tc>
          <w:tcPr>
            <w:tcW w:w="217" w:type="dxa"/>
          </w:tcPr>
          <w:p w14:paraId="60F98782" w14:textId="77777777" w:rsidR="002C0FD9" w:rsidRPr="00CA25CF" w:rsidRDefault="002C0FD9" w:rsidP="00CA25CF">
            <w:pPr>
              <w:rPr>
                <w:rFonts w:cs="Arial"/>
                <w:color w:val="FF0000"/>
                <w:sz w:val="21"/>
                <w:szCs w:val="21"/>
              </w:rPr>
            </w:pPr>
          </w:p>
        </w:tc>
        <w:tc>
          <w:tcPr>
            <w:tcW w:w="217" w:type="dxa"/>
          </w:tcPr>
          <w:p w14:paraId="5FD0738C" w14:textId="77777777" w:rsidR="002C0FD9" w:rsidRPr="00CA25CF" w:rsidRDefault="002C0FD9" w:rsidP="00CA25CF">
            <w:pPr>
              <w:rPr>
                <w:rFonts w:cs="Arial"/>
                <w:color w:val="FF0000"/>
                <w:sz w:val="21"/>
                <w:szCs w:val="21"/>
              </w:rPr>
            </w:pPr>
          </w:p>
        </w:tc>
        <w:tc>
          <w:tcPr>
            <w:tcW w:w="217" w:type="dxa"/>
          </w:tcPr>
          <w:p w14:paraId="5AEDA7B0" w14:textId="77777777" w:rsidR="002C0FD9" w:rsidRPr="00CA25CF" w:rsidRDefault="002C0FD9" w:rsidP="00CA25CF">
            <w:pPr>
              <w:rPr>
                <w:rFonts w:cs="Arial"/>
                <w:color w:val="FF0000"/>
                <w:sz w:val="21"/>
                <w:szCs w:val="21"/>
              </w:rPr>
            </w:pPr>
          </w:p>
        </w:tc>
        <w:tc>
          <w:tcPr>
            <w:tcW w:w="217" w:type="dxa"/>
          </w:tcPr>
          <w:p w14:paraId="6A46DF01" w14:textId="77777777" w:rsidR="002C0FD9" w:rsidRPr="00CA25CF" w:rsidRDefault="002C0FD9" w:rsidP="00CA25CF">
            <w:pPr>
              <w:rPr>
                <w:rFonts w:cs="Arial"/>
                <w:color w:val="FF0000"/>
                <w:sz w:val="21"/>
                <w:szCs w:val="21"/>
              </w:rPr>
            </w:pPr>
          </w:p>
        </w:tc>
        <w:tc>
          <w:tcPr>
            <w:tcW w:w="217" w:type="dxa"/>
          </w:tcPr>
          <w:p w14:paraId="3BE621EC" w14:textId="77777777" w:rsidR="002C0FD9" w:rsidRPr="00CA25CF" w:rsidRDefault="002C0FD9" w:rsidP="00CA25CF">
            <w:pPr>
              <w:rPr>
                <w:rFonts w:cs="Arial"/>
                <w:color w:val="FF0000"/>
                <w:sz w:val="21"/>
                <w:szCs w:val="21"/>
              </w:rPr>
            </w:pPr>
          </w:p>
        </w:tc>
        <w:tc>
          <w:tcPr>
            <w:tcW w:w="217" w:type="dxa"/>
          </w:tcPr>
          <w:p w14:paraId="06B03E8B" w14:textId="77777777" w:rsidR="002C0FD9" w:rsidRPr="00CA25CF" w:rsidRDefault="002C0FD9" w:rsidP="00CA25CF">
            <w:pPr>
              <w:rPr>
                <w:rFonts w:cs="Arial"/>
                <w:color w:val="FF0000"/>
                <w:sz w:val="21"/>
                <w:szCs w:val="21"/>
              </w:rPr>
            </w:pPr>
          </w:p>
        </w:tc>
        <w:tc>
          <w:tcPr>
            <w:tcW w:w="217" w:type="dxa"/>
          </w:tcPr>
          <w:p w14:paraId="325C0BE0" w14:textId="77777777" w:rsidR="002C0FD9" w:rsidRPr="00CA25CF" w:rsidRDefault="002C0FD9" w:rsidP="00CA25CF">
            <w:pPr>
              <w:rPr>
                <w:rFonts w:cs="Arial"/>
                <w:color w:val="FF0000"/>
                <w:sz w:val="21"/>
                <w:szCs w:val="21"/>
              </w:rPr>
            </w:pPr>
          </w:p>
        </w:tc>
        <w:tc>
          <w:tcPr>
            <w:tcW w:w="217" w:type="dxa"/>
          </w:tcPr>
          <w:p w14:paraId="10405EC1" w14:textId="77777777" w:rsidR="002C0FD9" w:rsidRPr="00CA25CF" w:rsidRDefault="002C0FD9" w:rsidP="00CA25CF">
            <w:pPr>
              <w:rPr>
                <w:rFonts w:cs="Arial"/>
                <w:color w:val="FF0000"/>
                <w:sz w:val="21"/>
                <w:szCs w:val="21"/>
              </w:rPr>
            </w:pPr>
          </w:p>
        </w:tc>
      </w:tr>
      <w:tr w:rsidR="002C0FD9" w:rsidRPr="00A16219" w14:paraId="0A4066D8" w14:textId="212357A7" w:rsidTr="002C0FD9">
        <w:trPr>
          <w:trHeight w:val="635"/>
        </w:trPr>
        <w:tc>
          <w:tcPr>
            <w:tcW w:w="515" w:type="dxa"/>
          </w:tcPr>
          <w:p w14:paraId="4017FCAD" w14:textId="77777777" w:rsidR="002C0FD9" w:rsidRPr="00CA25CF" w:rsidRDefault="002C0FD9" w:rsidP="00CA25CF">
            <w:pPr>
              <w:rPr>
                <w:rFonts w:cs="Arial"/>
                <w:color w:val="FF0000"/>
                <w:sz w:val="21"/>
                <w:szCs w:val="21"/>
              </w:rPr>
            </w:pPr>
          </w:p>
        </w:tc>
        <w:tc>
          <w:tcPr>
            <w:tcW w:w="217" w:type="dxa"/>
          </w:tcPr>
          <w:p w14:paraId="095DBAF2" w14:textId="77777777" w:rsidR="002C0FD9" w:rsidRPr="00CA25CF" w:rsidRDefault="002C0FD9" w:rsidP="00CA25CF">
            <w:pPr>
              <w:rPr>
                <w:rFonts w:cs="Arial"/>
                <w:color w:val="FF0000"/>
                <w:sz w:val="21"/>
                <w:szCs w:val="21"/>
              </w:rPr>
            </w:pPr>
          </w:p>
        </w:tc>
        <w:tc>
          <w:tcPr>
            <w:tcW w:w="217" w:type="dxa"/>
          </w:tcPr>
          <w:p w14:paraId="73454951" w14:textId="4754556B" w:rsidR="002C0FD9" w:rsidRPr="00CA25CF" w:rsidRDefault="002C0FD9" w:rsidP="00CA25CF">
            <w:pPr>
              <w:rPr>
                <w:rFonts w:cs="Arial"/>
                <w:color w:val="FF0000"/>
                <w:sz w:val="21"/>
                <w:szCs w:val="21"/>
              </w:rPr>
            </w:pPr>
          </w:p>
        </w:tc>
        <w:tc>
          <w:tcPr>
            <w:tcW w:w="217" w:type="dxa"/>
          </w:tcPr>
          <w:p w14:paraId="6292C27F" w14:textId="77777777" w:rsidR="002C0FD9" w:rsidRPr="00CA25CF" w:rsidRDefault="002C0FD9" w:rsidP="00CA25CF">
            <w:pPr>
              <w:rPr>
                <w:rFonts w:cs="Arial"/>
                <w:color w:val="FF0000"/>
                <w:sz w:val="21"/>
                <w:szCs w:val="21"/>
              </w:rPr>
            </w:pPr>
          </w:p>
        </w:tc>
        <w:tc>
          <w:tcPr>
            <w:tcW w:w="217" w:type="dxa"/>
          </w:tcPr>
          <w:p w14:paraId="441AABC6" w14:textId="4ADEDB60" w:rsidR="002C0FD9" w:rsidRPr="00CA25CF" w:rsidRDefault="002C0FD9" w:rsidP="00CA25CF">
            <w:pPr>
              <w:rPr>
                <w:rFonts w:cs="Arial"/>
                <w:color w:val="FF0000"/>
                <w:sz w:val="21"/>
                <w:szCs w:val="21"/>
              </w:rPr>
            </w:pPr>
          </w:p>
        </w:tc>
        <w:tc>
          <w:tcPr>
            <w:tcW w:w="217" w:type="dxa"/>
          </w:tcPr>
          <w:p w14:paraId="4E3CB4CE" w14:textId="77777777" w:rsidR="002C0FD9" w:rsidRPr="00CA25CF" w:rsidRDefault="002C0FD9" w:rsidP="00CA25CF">
            <w:pPr>
              <w:rPr>
                <w:rFonts w:cs="Arial"/>
                <w:color w:val="FF0000"/>
                <w:sz w:val="21"/>
                <w:szCs w:val="21"/>
              </w:rPr>
            </w:pPr>
          </w:p>
        </w:tc>
        <w:tc>
          <w:tcPr>
            <w:tcW w:w="217" w:type="dxa"/>
          </w:tcPr>
          <w:p w14:paraId="09F10F91" w14:textId="77777777" w:rsidR="002C0FD9" w:rsidRPr="00CA25CF" w:rsidRDefault="002C0FD9" w:rsidP="00CA25CF">
            <w:pPr>
              <w:rPr>
                <w:rFonts w:cs="Arial"/>
                <w:color w:val="FF0000"/>
                <w:sz w:val="21"/>
                <w:szCs w:val="21"/>
              </w:rPr>
            </w:pPr>
          </w:p>
        </w:tc>
        <w:tc>
          <w:tcPr>
            <w:tcW w:w="217" w:type="dxa"/>
          </w:tcPr>
          <w:p w14:paraId="7FEEE126" w14:textId="77777777" w:rsidR="002C0FD9" w:rsidRPr="00CA25CF" w:rsidRDefault="002C0FD9" w:rsidP="00CA25CF">
            <w:pPr>
              <w:rPr>
                <w:rFonts w:cs="Arial"/>
                <w:color w:val="FF0000"/>
                <w:sz w:val="21"/>
                <w:szCs w:val="21"/>
              </w:rPr>
            </w:pPr>
          </w:p>
        </w:tc>
        <w:tc>
          <w:tcPr>
            <w:tcW w:w="217" w:type="dxa"/>
          </w:tcPr>
          <w:p w14:paraId="1C3785D2" w14:textId="77777777" w:rsidR="002C0FD9" w:rsidRPr="00CA25CF" w:rsidRDefault="002C0FD9" w:rsidP="00CA25CF">
            <w:pPr>
              <w:rPr>
                <w:rFonts w:cs="Arial"/>
                <w:color w:val="FF0000"/>
                <w:sz w:val="21"/>
                <w:szCs w:val="21"/>
              </w:rPr>
            </w:pPr>
          </w:p>
        </w:tc>
        <w:tc>
          <w:tcPr>
            <w:tcW w:w="217" w:type="dxa"/>
          </w:tcPr>
          <w:p w14:paraId="191585D5" w14:textId="77777777" w:rsidR="002C0FD9" w:rsidRPr="00CA25CF" w:rsidRDefault="002C0FD9" w:rsidP="00CA25CF">
            <w:pPr>
              <w:rPr>
                <w:rFonts w:cs="Arial"/>
                <w:color w:val="FF0000"/>
                <w:sz w:val="21"/>
                <w:szCs w:val="21"/>
              </w:rPr>
            </w:pPr>
          </w:p>
        </w:tc>
        <w:tc>
          <w:tcPr>
            <w:tcW w:w="217" w:type="dxa"/>
          </w:tcPr>
          <w:p w14:paraId="69BC0D39" w14:textId="77777777" w:rsidR="002C0FD9" w:rsidRPr="00CA25CF" w:rsidRDefault="002C0FD9" w:rsidP="00CA25CF">
            <w:pPr>
              <w:rPr>
                <w:rFonts w:cs="Arial"/>
                <w:color w:val="FF0000"/>
                <w:sz w:val="21"/>
                <w:szCs w:val="21"/>
              </w:rPr>
            </w:pPr>
          </w:p>
        </w:tc>
        <w:tc>
          <w:tcPr>
            <w:tcW w:w="217" w:type="dxa"/>
          </w:tcPr>
          <w:p w14:paraId="6E544388" w14:textId="77777777" w:rsidR="002C0FD9" w:rsidRPr="00CA25CF" w:rsidRDefault="002C0FD9" w:rsidP="00CA25CF">
            <w:pPr>
              <w:rPr>
                <w:rFonts w:cs="Arial"/>
                <w:color w:val="FF0000"/>
                <w:sz w:val="21"/>
                <w:szCs w:val="21"/>
              </w:rPr>
            </w:pPr>
          </w:p>
        </w:tc>
        <w:tc>
          <w:tcPr>
            <w:tcW w:w="217" w:type="dxa"/>
          </w:tcPr>
          <w:p w14:paraId="31AFB3F7" w14:textId="77777777" w:rsidR="002C0FD9" w:rsidRPr="00CA25CF" w:rsidRDefault="002C0FD9" w:rsidP="00CA25CF">
            <w:pPr>
              <w:rPr>
                <w:rFonts w:cs="Arial"/>
                <w:color w:val="FF0000"/>
                <w:sz w:val="21"/>
                <w:szCs w:val="21"/>
              </w:rPr>
            </w:pPr>
          </w:p>
        </w:tc>
        <w:tc>
          <w:tcPr>
            <w:tcW w:w="217" w:type="dxa"/>
          </w:tcPr>
          <w:p w14:paraId="3C97D270" w14:textId="77777777" w:rsidR="002C0FD9" w:rsidRPr="00CA25CF" w:rsidRDefault="002C0FD9" w:rsidP="00CA25CF">
            <w:pPr>
              <w:rPr>
                <w:rFonts w:cs="Arial"/>
                <w:color w:val="FF0000"/>
                <w:sz w:val="21"/>
                <w:szCs w:val="21"/>
              </w:rPr>
            </w:pPr>
          </w:p>
        </w:tc>
        <w:tc>
          <w:tcPr>
            <w:tcW w:w="217" w:type="dxa"/>
          </w:tcPr>
          <w:p w14:paraId="2770E602" w14:textId="77777777" w:rsidR="002C0FD9" w:rsidRPr="00CA25CF" w:rsidRDefault="002C0FD9" w:rsidP="00CA25CF">
            <w:pPr>
              <w:rPr>
                <w:rFonts w:cs="Arial"/>
                <w:color w:val="FF0000"/>
                <w:sz w:val="21"/>
                <w:szCs w:val="21"/>
              </w:rPr>
            </w:pPr>
          </w:p>
        </w:tc>
        <w:tc>
          <w:tcPr>
            <w:tcW w:w="217" w:type="dxa"/>
          </w:tcPr>
          <w:p w14:paraId="7B121789" w14:textId="40B5DEF7" w:rsidR="002C0FD9" w:rsidRPr="00CA25CF" w:rsidRDefault="002C0FD9" w:rsidP="00CA25CF">
            <w:pPr>
              <w:rPr>
                <w:rFonts w:cs="Arial"/>
                <w:color w:val="FF0000"/>
                <w:sz w:val="21"/>
                <w:szCs w:val="21"/>
              </w:rPr>
            </w:pPr>
          </w:p>
        </w:tc>
        <w:tc>
          <w:tcPr>
            <w:tcW w:w="217" w:type="dxa"/>
          </w:tcPr>
          <w:p w14:paraId="001DDDE2" w14:textId="77777777" w:rsidR="002C0FD9" w:rsidRPr="00CA25CF" w:rsidRDefault="002C0FD9" w:rsidP="00CA25CF">
            <w:pPr>
              <w:rPr>
                <w:rFonts w:cs="Arial"/>
                <w:color w:val="FF0000"/>
                <w:sz w:val="21"/>
                <w:szCs w:val="21"/>
              </w:rPr>
            </w:pPr>
          </w:p>
        </w:tc>
        <w:tc>
          <w:tcPr>
            <w:tcW w:w="217" w:type="dxa"/>
          </w:tcPr>
          <w:p w14:paraId="14D5C500" w14:textId="77777777" w:rsidR="002C0FD9" w:rsidRPr="00CA25CF" w:rsidRDefault="002C0FD9" w:rsidP="00CA25CF">
            <w:pPr>
              <w:rPr>
                <w:rFonts w:cs="Arial"/>
                <w:color w:val="FF0000"/>
                <w:sz w:val="21"/>
                <w:szCs w:val="21"/>
              </w:rPr>
            </w:pPr>
          </w:p>
        </w:tc>
        <w:tc>
          <w:tcPr>
            <w:tcW w:w="217" w:type="dxa"/>
          </w:tcPr>
          <w:p w14:paraId="67F356AF" w14:textId="77777777" w:rsidR="002C0FD9" w:rsidRPr="00CA25CF" w:rsidRDefault="002C0FD9" w:rsidP="00CA25CF">
            <w:pPr>
              <w:rPr>
                <w:rFonts w:cs="Arial"/>
                <w:color w:val="FF0000"/>
                <w:sz w:val="21"/>
                <w:szCs w:val="21"/>
              </w:rPr>
            </w:pPr>
          </w:p>
        </w:tc>
        <w:tc>
          <w:tcPr>
            <w:tcW w:w="217" w:type="dxa"/>
          </w:tcPr>
          <w:p w14:paraId="7D515CEE" w14:textId="77777777" w:rsidR="002C0FD9" w:rsidRPr="00CA25CF" w:rsidRDefault="002C0FD9" w:rsidP="00CA25CF">
            <w:pPr>
              <w:rPr>
                <w:rFonts w:cs="Arial"/>
                <w:color w:val="FF0000"/>
                <w:sz w:val="21"/>
                <w:szCs w:val="21"/>
              </w:rPr>
            </w:pPr>
          </w:p>
        </w:tc>
        <w:tc>
          <w:tcPr>
            <w:tcW w:w="217" w:type="dxa"/>
          </w:tcPr>
          <w:p w14:paraId="35671551" w14:textId="77777777" w:rsidR="002C0FD9" w:rsidRPr="00CA25CF" w:rsidRDefault="002C0FD9" w:rsidP="00CA25CF">
            <w:pPr>
              <w:rPr>
                <w:rFonts w:cs="Arial"/>
                <w:color w:val="FF0000"/>
                <w:sz w:val="21"/>
                <w:szCs w:val="21"/>
              </w:rPr>
            </w:pPr>
          </w:p>
        </w:tc>
        <w:tc>
          <w:tcPr>
            <w:tcW w:w="217" w:type="dxa"/>
          </w:tcPr>
          <w:p w14:paraId="4EA98BD5" w14:textId="77777777" w:rsidR="002C0FD9" w:rsidRPr="00CA25CF" w:rsidRDefault="002C0FD9" w:rsidP="00CA25CF">
            <w:pPr>
              <w:rPr>
                <w:rFonts w:cs="Arial"/>
                <w:color w:val="FF0000"/>
                <w:sz w:val="21"/>
                <w:szCs w:val="21"/>
              </w:rPr>
            </w:pPr>
          </w:p>
        </w:tc>
        <w:tc>
          <w:tcPr>
            <w:tcW w:w="217" w:type="dxa"/>
          </w:tcPr>
          <w:p w14:paraId="63E66F24" w14:textId="77777777" w:rsidR="002C0FD9" w:rsidRPr="00CA25CF" w:rsidRDefault="002C0FD9" w:rsidP="00CA25CF">
            <w:pPr>
              <w:rPr>
                <w:rFonts w:cs="Arial"/>
                <w:color w:val="FF0000"/>
                <w:sz w:val="21"/>
                <w:szCs w:val="21"/>
              </w:rPr>
            </w:pPr>
          </w:p>
        </w:tc>
        <w:tc>
          <w:tcPr>
            <w:tcW w:w="217" w:type="dxa"/>
          </w:tcPr>
          <w:p w14:paraId="1A42B13D" w14:textId="77777777" w:rsidR="002C0FD9" w:rsidRPr="00CA25CF" w:rsidRDefault="002C0FD9" w:rsidP="00CA25CF">
            <w:pPr>
              <w:rPr>
                <w:rFonts w:cs="Arial"/>
                <w:color w:val="FF0000"/>
                <w:sz w:val="21"/>
                <w:szCs w:val="21"/>
              </w:rPr>
            </w:pPr>
          </w:p>
        </w:tc>
        <w:tc>
          <w:tcPr>
            <w:tcW w:w="217" w:type="dxa"/>
          </w:tcPr>
          <w:p w14:paraId="0B963FFD" w14:textId="77777777" w:rsidR="002C0FD9" w:rsidRPr="00CA25CF" w:rsidRDefault="002C0FD9" w:rsidP="00CA25CF">
            <w:pPr>
              <w:rPr>
                <w:rFonts w:cs="Arial"/>
                <w:color w:val="FF0000"/>
                <w:sz w:val="21"/>
                <w:szCs w:val="21"/>
              </w:rPr>
            </w:pPr>
          </w:p>
        </w:tc>
        <w:tc>
          <w:tcPr>
            <w:tcW w:w="217" w:type="dxa"/>
          </w:tcPr>
          <w:p w14:paraId="1E2183AF" w14:textId="77777777" w:rsidR="002C0FD9" w:rsidRPr="00CA25CF" w:rsidRDefault="002C0FD9" w:rsidP="00CA25CF">
            <w:pPr>
              <w:rPr>
                <w:rFonts w:cs="Arial"/>
                <w:color w:val="FF0000"/>
                <w:sz w:val="21"/>
                <w:szCs w:val="21"/>
              </w:rPr>
            </w:pPr>
          </w:p>
        </w:tc>
        <w:tc>
          <w:tcPr>
            <w:tcW w:w="217" w:type="dxa"/>
          </w:tcPr>
          <w:p w14:paraId="06C5A1F3" w14:textId="77777777" w:rsidR="002C0FD9" w:rsidRPr="00CA25CF" w:rsidRDefault="002C0FD9" w:rsidP="00CA25CF">
            <w:pPr>
              <w:rPr>
                <w:rFonts w:cs="Arial"/>
                <w:color w:val="FF0000"/>
                <w:sz w:val="21"/>
                <w:szCs w:val="21"/>
              </w:rPr>
            </w:pPr>
          </w:p>
        </w:tc>
        <w:tc>
          <w:tcPr>
            <w:tcW w:w="217" w:type="dxa"/>
          </w:tcPr>
          <w:p w14:paraId="66E2A4CB" w14:textId="77777777" w:rsidR="002C0FD9" w:rsidRPr="00CA25CF" w:rsidRDefault="002C0FD9" w:rsidP="00CA25CF">
            <w:pPr>
              <w:rPr>
                <w:rFonts w:cs="Arial"/>
                <w:color w:val="FF0000"/>
                <w:sz w:val="21"/>
                <w:szCs w:val="21"/>
              </w:rPr>
            </w:pPr>
          </w:p>
        </w:tc>
        <w:tc>
          <w:tcPr>
            <w:tcW w:w="217" w:type="dxa"/>
          </w:tcPr>
          <w:p w14:paraId="1FD8DE75" w14:textId="77777777" w:rsidR="002C0FD9" w:rsidRPr="00CA25CF" w:rsidRDefault="002C0FD9" w:rsidP="00CA25CF">
            <w:pPr>
              <w:rPr>
                <w:rFonts w:cs="Arial"/>
                <w:color w:val="FF0000"/>
                <w:sz w:val="21"/>
                <w:szCs w:val="21"/>
              </w:rPr>
            </w:pPr>
          </w:p>
        </w:tc>
        <w:tc>
          <w:tcPr>
            <w:tcW w:w="217" w:type="dxa"/>
          </w:tcPr>
          <w:p w14:paraId="5DDAF8C2" w14:textId="77777777" w:rsidR="002C0FD9" w:rsidRPr="00CA25CF" w:rsidRDefault="002C0FD9" w:rsidP="00CA25CF">
            <w:pPr>
              <w:rPr>
                <w:rFonts w:cs="Arial"/>
                <w:color w:val="FF0000"/>
                <w:sz w:val="21"/>
                <w:szCs w:val="21"/>
              </w:rPr>
            </w:pPr>
          </w:p>
        </w:tc>
        <w:tc>
          <w:tcPr>
            <w:tcW w:w="217" w:type="dxa"/>
          </w:tcPr>
          <w:p w14:paraId="3486048B" w14:textId="77777777" w:rsidR="002C0FD9" w:rsidRPr="00CA25CF" w:rsidRDefault="002C0FD9" w:rsidP="00CA25CF">
            <w:pPr>
              <w:rPr>
                <w:rFonts w:cs="Arial"/>
                <w:color w:val="FF0000"/>
                <w:sz w:val="21"/>
                <w:szCs w:val="21"/>
              </w:rPr>
            </w:pPr>
          </w:p>
        </w:tc>
        <w:tc>
          <w:tcPr>
            <w:tcW w:w="217" w:type="dxa"/>
          </w:tcPr>
          <w:p w14:paraId="146908B6" w14:textId="77777777" w:rsidR="002C0FD9" w:rsidRPr="00CA25CF" w:rsidRDefault="002C0FD9" w:rsidP="00CA25CF">
            <w:pPr>
              <w:rPr>
                <w:rFonts w:cs="Arial"/>
                <w:color w:val="FF0000"/>
                <w:sz w:val="21"/>
                <w:szCs w:val="21"/>
              </w:rPr>
            </w:pPr>
          </w:p>
        </w:tc>
        <w:tc>
          <w:tcPr>
            <w:tcW w:w="217" w:type="dxa"/>
          </w:tcPr>
          <w:p w14:paraId="1C7FFB25" w14:textId="77777777" w:rsidR="002C0FD9" w:rsidRPr="00CA25CF" w:rsidRDefault="002C0FD9" w:rsidP="00CA25CF">
            <w:pPr>
              <w:rPr>
                <w:rFonts w:cs="Arial"/>
                <w:color w:val="FF0000"/>
                <w:sz w:val="21"/>
                <w:szCs w:val="21"/>
              </w:rPr>
            </w:pPr>
          </w:p>
        </w:tc>
        <w:tc>
          <w:tcPr>
            <w:tcW w:w="217" w:type="dxa"/>
          </w:tcPr>
          <w:p w14:paraId="74D289CA" w14:textId="77777777" w:rsidR="002C0FD9" w:rsidRPr="00CA25CF" w:rsidRDefault="002C0FD9" w:rsidP="00CA25CF">
            <w:pPr>
              <w:rPr>
                <w:rFonts w:cs="Arial"/>
                <w:color w:val="FF0000"/>
                <w:sz w:val="21"/>
                <w:szCs w:val="21"/>
              </w:rPr>
            </w:pPr>
          </w:p>
        </w:tc>
        <w:tc>
          <w:tcPr>
            <w:tcW w:w="217" w:type="dxa"/>
          </w:tcPr>
          <w:p w14:paraId="4BFCF1EF" w14:textId="77777777" w:rsidR="002C0FD9" w:rsidRPr="00CA25CF" w:rsidRDefault="002C0FD9" w:rsidP="00CA25CF">
            <w:pPr>
              <w:rPr>
                <w:rFonts w:cs="Arial"/>
                <w:color w:val="FF0000"/>
                <w:sz w:val="21"/>
                <w:szCs w:val="21"/>
              </w:rPr>
            </w:pPr>
          </w:p>
        </w:tc>
        <w:tc>
          <w:tcPr>
            <w:tcW w:w="217" w:type="dxa"/>
          </w:tcPr>
          <w:p w14:paraId="41DA38B6" w14:textId="77777777" w:rsidR="002C0FD9" w:rsidRPr="00CA25CF" w:rsidRDefault="002C0FD9" w:rsidP="00CA25CF">
            <w:pPr>
              <w:rPr>
                <w:rFonts w:cs="Arial"/>
                <w:color w:val="FF0000"/>
                <w:sz w:val="21"/>
                <w:szCs w:val="21"/>
              </w:rPr>
            </w:pPr>
          </w:p>
        </w:tc>
        <w:tc>
          <w:tcPr>
            <w:tcW w:w="217" w:type="dxa"/>
          </w:tcPr>
          <w:p w14:paraId="6BBE849E" w14:textId="77777777" w:rsidR="002C0FD9" w:rsidRPr="00CA25CF" w:rsidRDefault="002C0FD9" w:rsidP="00CA25CF">
            <w:pPr>
              <w:rPr>
                <w:rFonts w:cs="Arial"/>
                <w:color w:val="FF0000"/>
                <w:sz w:val="21"/>
                <w:szCs w:val="21"/>
              </w:rPr>
            </w:pPr>
          </w:p>
        </w:tc>
        <w:tc>
          <w:tcPr>
            <w:tcW w:w="217" w:type="dxa"/>
          </w:tcPr>
          <w:p w14:paraId="06F28DD3" w14:textId="77777777" w:rsidR="002C0FD9" w:rsidRPr="00CA25CF" w:rsidRDefault="002C0FD9" w:rsidP="00CA25CF">
            <w:pPr>
              <w:rPr>
                <w:rFonts w:cs="Arial"/>
                <w:color w:val="FF0000"/>
                <w:sz w:val="21"/>
                <w:szCs w:val="21"/>
              </w:rPr>
            </w:pPr>
          </w:p>
        </w:tc>
        <w:tc>
          <w:tcPr>
            <w:tcW w:w="217" w:type="dxa"/>
          </w:tcPr>
          <w:p w14:paraId="223784D6" w14:textId="77777777" w:rsidR="002C0FD9" w:rsidRPr="00CA25CF" w:rsidRDefault="002C0FD9" w:rsidP="00CA25CF">
            <w:pPr>
              <w:rPr>
                <w:rFonts w:cs="Arial"/>
                <w:color w:val="FF0000"/>
                <w:sz w:val="21"/>
                <w:szCs w:val="21"/>
              </w:rPr>
            </w:pPr>
          </w:p>
        </w:tc>
        <w:tc>
          <w:tcPr>
            <w:tcW w:w="217" w:type="dxa"/>
          </w:tcPr>
          <w:p w14:paraId="46EFCD86" w14:textId="77777777" w:rsidR="002C0FD9" w:rsidRPr="00CA25CF" w:rsidRDefault="002C0FD9" w:rsidP="00CA25CF">
            <w:pPr>
              <w:rPr>
                <w:rFonts w:cs="Arial"/>
                <w:color w:val="FF0000"/>
                <w:sz w:val="21"/>
                <w:szCs w:val="21"/>
              </w:rPr>
            </w:pPr>
          </w:p>
        </w:tc>
        <w:tc>
          <w:tcPr>
            <w:tcW w:w="217" w:type="dxa"/>
          </w:tcPr>
          <w:p w14:paraId="78AC67F7" w14:textId="77777777" w:rsidR="002C0FD9" w:rsidRPr="00CA25CF" w:rsidRDefault="002C0FD9" w:rsidP="00CA25CF">
            <w:pPr>
              <w:rPr>
                <w:rFonts w:cs="Arial"/>
                <w:color w:val="FF0000"/>
                <w:sz w:val="21"/>
                <w:szCs w:val="21"/>
              </w:rPr>
            </w:pPr>
          </w:p>
        </w:tc>
        <w:tc>
          <w:tcPr>
            <w:tcW w:w="217" w:type="dxa"/>
          </w:tcPr>
          <w:p w14:paraId="091D6A37" w14:textId="77777777" w:rsidR="002C0FD9" w:rsidRPr="00CA25CF" w:rsidRDefault="002C0FD9" w:rsidP="00CA25CF">
            <w:pPr>
              <w:rPr>
                <w:rFonts w:cs="Arial"/>
                <w:color w:val="FF0000"/>
                <w:sz w:val="21"/>
                <w:szCs w:val="21"/>
              </w:rPr>
            </w:pPr>
          </w:p>
        </w:tc>
        <w:tc>
          <w:tcPr>
            <w:tcW w:w="217" w:type="dxa"/>
          </w:tcPr>
          <w:p w14:paraId="488080A5" w14:textId="77777777" w:rsidR="002C0FD9" w:rsidRPr="00CA25CF" w:rsidRDefault="002C0FD9" w:rsidP="00CA25CF">
            <w:pPr>
              <w:rPr>
                <w:rFonts w:cs="Arial"/>
                <w:color w:val="FF0000"/>
                <w:sz w:val="21"/>
                <w:szCs w:val="21"/>
              </w:rPr>
            </w:pPr>
          </w:p>
        </w:tc>
      </w:tr>
      <w:tr w:rsidR="002C0FD9" w:rsidRPr="00A16219" w14:paraId="70CE45F3" w14:textId="04C90893" w:rsidTr="002C0FD9">
        <w:trPr>
          <w:trHeight w:val="635"/>
        </w:trPr>
        <w:tc>
          <w:tcPr>
            <w:tcW w:w="515" w:type="dxa"/>
          </w:tcPr>
          <w:p w14:paraId="63B61F7E" w14:textId="77777777" w:rsidR="002C0FD9" w:rsidRPr="00CA25CF" w:rsidRDefault="002C0FD9" w:rsidP="00CA25CF">
            <w:pPr>
              <w:rPr>
                <w:rFonts w:cs="Arial"/>
                <w:color w:val="FF0000"/>
                <w:sz w:val="21"/>
                <w:szCs w:val="21"/>
              </w:rPr>
            </w:pPr>
          </w:p>
        </w:tc>
        <w:tc>
          <w:tcPr>
            <w:tcW w:w="217" w:type="dxa"/>
          </w:tcPr>
          <w:p w14:paraId="59DCE21C" w14:textId="77777777" w:rsidR="002C0FD9" w:rsidRPr="00CA25CF" w:rsidRDefault="002C0FD9" w:rsidP="00CA25CF">
            <w:pPr>
              <w:rPr>
                <w:rFonts w:cs="Arial"/>
                <w:color w:val="FF0000"/>
                <w:sz w:val="21"/>
                <w:szCs w:val="21"/>
              </w:rPr>
            </w:pPr>
          </w:p>
        </w:tc>
        <w:tc>
          <w:tcPr>
            <w:tcW w:w="217" w:type="dxa"/>
          </w:tcPr>
          <w:p w14:paraId="5CE3195C" w14:textId="1B09966F" w:rsidR="002C0FD9" w:rsidRPr="00CA25CF" w:rsidRDefault="002C0FD9" w:rsidP="00CA25CF">
            <w:pPr>
              <w:rPr>
                <w:rFonts w:cs="Arial"/>
                <w:color w:val="FF0000"/>
                <w:sz w:val="21"/>
                <w:szCs w:val="21"/>
              </w:rPr>
            </w:pPr>
          </w:p>
        </w:tc>
        <w:tc>
          <w:tcPr>
            <w:tcW w:w="217" w:type="dxa"/>
          </w:tcPr>
          <w:p w14:paraId="753BC5B6" w14:textId="77777777" w:rsidR="002C0FD9" w:rsidRPr="00CA25CF" w:rsidRDefault="002C0FD9" w:rsidP="00CA25CF">
            <w:pPr>
              <w:rPr>
                <w:rFonts w:cs="Arial"/>
                <w:color w:val="FF0000"/>
                <w:sz w:val="21"/>
                <w:szCs w:val="21"/>
              </w:rPr>
            </w:pPr>
          </w:p>
        </w:tc>
        <w:tc>
          <w:tcPr>
            <w:tcW w:w="217" w:type="dxa"/>
          </w:tcPr>
          <w:p w14:paraId="0F50D08A" w14:textId="585CA53C" w:rsidR="002C0FD9" w:rsidRPr="00CA25CF" w:rsidRDefault="002C0FD9" w:rsidP="00CA25CF">
            <w:pPr>
              <w:rPr>
                <w:rFonts w:cs="Arial"/>
                <w:color w:val="FF0000"/>
                <w:sz w:val="21"/>
                <w:szCs w:val="21"/>
              </w:rPr>
            </w:pPr>
          </w:p>
        </w:tc>
        <w:tc>
          <w:tcPr>
            <w:tcW w:w="217" w:type="dxa"/>
          </w:tcPr>
          <w:p w14:paraId="2A5D0A1D" w14:textId="77777777" w:rsidR="002C0FD9" w:rsidRPr="00CA25CF" w:rsidRDefault="002C0FD9" w:rsidP="00CA25CF">
            <w:pPr>
              <w:rPr>
                <w:rFonts w:cs="Arial"/>
                <w:color w:val="FF0000"/>
                <w:sz w:val="21"/>
                <w:szCs w:val="21"/>
              </w:rPr>
            </w:pPr>
          </w:p>
        </w:tc>
        <w:tc>
          <w:tcPr>
            <w:tcW w:w="217" w:type="dxa"/>
          </w:tcPr>
          <w:p w14:paraId="4E59B50E" w14:textId="77777777" w:rsidR="002C0FD9" w:rsidRPr="00CA25CF" w:rsidRDefault="002C0FD9" w:rsidP="00CA25CF">
            <w:pPr>
              <w:rPr>
                <w:rFonts w:cs="Arial"/>
                <w:color w:val="FF0000"/>
                <w:sz w:val="21"/>
                <w:szCs w:val="21"/>
              </w:rPr>
            </w:pPr>
          </w:p>
        </w:tc>
        <w:tc>
          <w:tcPr>
            <w:tcW w:w="217" w:type="dxa"/>
          </w:tcPr>
          <w:p w14:paraId="6283AE9A" w14:textId="77777777" w:rsidR="002C0FD9" w:rsidRPr="00CA25CF" w:rsidRDefault="002C0FD9" w:rsidP="00CA25CF">
            <w:pPr>
              <w:rPr>
                <w:rFonts w:cs="Arial"/>
                <w:color w:val="FF0000"/>
                <w:sz w:val="21"/>
                <w:szCs w:val="21"/>
              </w:rPr>
            </w:pPr>
          </w:p>
        </w:tc>
        <w:tc>
          <w:tcPr>
            <w:tcW w:w="217" w:type="dxa"/>
          </w:tcPr>
          <w:p w14:paraId="7E6688CE" w14:textId="77777777" w:rsidR="002C0FD9" w:rsidRPr="00CA25CF" w:rsidRDefault="002C0FD9" w:rsidP="00CA25CF">
            <w:pPr>
              <w:rPr>
                <w:rFonts w:cs="Arial"/>
                <w:color w:val="FF0000"/>
                <w:sz w:val="21"/>
                <w:szCs w:val="21"/>
              </w:rPr>
            </w:pPr>
          </w:p>
        </w:tc>
        <w:tc>
          <w:tcPr>
            <w:tcW w:w="217" w:type="dxa"/>
          </w:tcPr>
          <w:p w14:paraId="3E9B5520" w14:textId="77777777" w:rsidR="002C0FD9" w:rsidRPr="00CA25CF" w:rsidRDefault="002C0FD9" w:rsidP="00CA25CF">
            <w:pPr>
              <w:rPr>
                <w:rFonts w:cs="Arial"/>
                <w:color w:val="FF0000"/>
                <w:sz w:val="21"/>
                <w:szCs w:val="21"/>
              </w:rPr>
            </w:pPr>
          </w:p>
        </w:tc>
        <w:tc>
          <w:tcPr>
            <w:tcW w:w="217" w:type="dxa"/>
          </w:tcPr>
          <w:p w14:paraId="681D8410" w14:textId="77777777" w:rsidR="002C0FD9" w:rsidRPr="00CA25CF" w:rsidRDefault="002C0FD9" w:rsidP="00CA25CF">
            <w:pPr>
              <w:rPr>
                <w:rFonts w:cs="Arial"/>
                <w:color w:val="FF0000"/>
                <w:sz w:val="21"/>
                <w:szCs w:val="21"/>
              </w:rPr>
            </w:pPr>
          </w:p>
        </w:tc>
        <w:tc>
          <w:tcPr>
            <w:tcW w:w="217" w:type="dxa"/>
          </w:tcPr>
          <w:p w14:paraId="4F60590A" w14:textId="77777777" w:rsidR="002C0FD9" w:rsidRPr="00CA25CF" w:rsidRDefault="002C0FD9" w:rsidP="00CA25CF">
            <w:pPr>
              <w:rPr>
                <w:rFonts w:cs="Arial"/>
                <w:color w:val="FF0000"/>
                <w:sz w:val="21"/>
                <w:szCs w:val="21"/>
              </w:rPr>
            </w:pPr>
          </w:p>
        </w:tc>
        <w:tc>
          <w:tcPr>
            <w:tcW w:w="217" w:type="dxa"/>
          </w:tcPr>
          <w:p w14:paraId="3E44BECE" w14:textId="77777777" w:rsidR="002C0FD9" w:rsidRPr="00CA25CF" w:rsidRDefault="002C0FD9" w:rsidP="00CA25CF">
            <w:pPr>
              <w:rPr>
                <w:rFonts w:cs="Arial"/>
                <w:color w:val="FF0000"/>
                <w:sz w:val="21"/>
                <w:szCs w:val="21"/>
              </w:rPr>
            </w:pPr>
          </w:p>
        </w:tc>
        <w:tc>
          <w:tcPr>
            <w:tcW w:w="217" w:type="dxa"/>
          </w:tcPr>
          <w:p w14:paraId="6E58CD6F" w14:textId="77777777" w:rsidR="002C0FD9" w:rsidRPr="00CA25CF" w:rsidRDefault="002C0FD9" w:rsidP="00CA25CF">
            <w:pPr>
              <w:rPr>
                <w:rFonts w:cs="Arial"/>
                <w:color w:val="FF0000"/>
                <w:sz w:val="21"/>
                <w:szCs w:val="21"/>
              </w:rPr>
            </w:pPr>
          </w:p>
        </w:tc>
        <w:tc>
          <w:tcPr>
            <w:tcW w:w="217" w:type="dxa"/>
          </w:tcPr>
          <w:p w14:paraId="5FCE0B0A" w14:textId="77777777" w:rsidR="002C0FD9" w:rsidRPr="00CA25CF" w:rsidRDefault="002C0FD9" w:rsidP="00CA25CF">
            <w:pPr>
              <w:rPr>
                <w:rFonts w:cs="Arial"/>
                <w:color w:val="FF0000"/>
                <w:sz w:val="21"/>
                <w:szCs w:val="21"/>
              </w:rPr>
            </w:pPr>
          </w:p>
        </w:tc>
        <w:tc>
          <w:tcPr>
            <w:tcW w:w="217" w:type="dxa"/>
          </w:tcPr>
          <w:p w14:paraId="036CEB72" w14:textId="7C811098" w:rsidR="002C0FD9" w:rsidRPr="00CA25CF" w:rsidRDefault="002C0FD9" w:rsidP="00CA25CF">
            <w:pPr>
              <w:rPr>
                <w:rFonts w:cs="Arial"/>
                <w:color w:val="FF0000"/>
                <w:sz w:val="21"/>
                <w:szCs w:val="21"/>
              </w:rPr>
            </w:pPr>
          </w:p>
        </w:tc>
        <w:tc>
          <w:tcPr>
            <w:tcW w:w="217" w:type="dxa"/>
          </w:tcPr>
          <w:p w14:paraId="04911EFA" w14:textId="77777777" w:rsidR="002C0FD9" w:rsidRPr="00CA25CF" w:rsidRDefault="002C0FD9" w:rsidP="00CA25CF">
            <w:pPr>
              <w:rPr>
                <w:rFonts w:cs="Arial"/>
                <w:color w:val="FF0000"/>
                <w:sz w:val="21"/>
                <w:szCs w:val="21"/>
              </w:rPr>
            </w:pPr>
          </w:p>
        </w:tc>
        <w:tc>
          <w:tcPr>
            <w:tcW w:w="217" w:type="dxa"/>
          </w:tcPr>
          <w:p w14:paraId="4E5E16E4" w14:textId="77777777" w:rsidR="002C0FD9" w:rsidRPr="00CA25CF" w:rsidRDefault="002C0FD9" w:rsidP="00CA25CF">
            <w:pPr>
              <w:rPr>
                <w:rFonts w:cs="Arial"/>
                <w:color w:val="FF0000"/>
                <w:sz w:val="21"/>
                <w:szCs w:val="21"/>
              </w:rPr>
            </w:pPr>
          </w:p>
        </w:tc>
        <w:tc>
          <w:tcPr>
            <w:tcW w:w="217" w:type="dxa"/>
          </w:tcPr>
          <w:p w14:paraId="0AA0F9E7" w14:textId="77777777" w:rsidR="002C0FD9" w:rsidRPr="00CA25CF" w:rsidRDefault="002C0FD9" w:rsidP="00CA25CF">
            <w:pPr>
              <w:rPr>
                <w:rFonts w:cs="Arial"/>
                <w:color w:val="FF0000"/>
                <w:sz w:val="21"/>
                <w:szCs w:val="21"/>
              </w:rPr>
            </w:pPr>
          </w:p>
        </w:tc>
        <w:tc>
          <w:tcPr>
            <w:tcW w:w="217" w:type="dxa"/>
          </w:tcPr>
          <w:p w14:paraId="5C9FDAEC" w14:textId="77777777" w:rsidR="002C0FD9" w:rsidRPr="00CA25CF" w:rsidRDefault="002C0FD9" w:rsidP="00CA25CF">
            <w:pPr>
              <w:rPr>
                <w:rFonts w:cs="Arial"/>
                <w:color w:val="FF0000"/>
                <w:sz w:val="21"/>
                <w:szCs w:val="21"/>
              </w:rPr>
            </w:pPr>
          </w:p>
        </w:tc>
        <w:tc>
          <w:tcPr>
            <w:tcW w:w="217" w:type="dxa"/>
          </w:tcPr>
          <w:p w14:paraId="7B9E7EED" w14:textId="77777777" w:rsidR="002C0FD9" w:rsidRPr="00CA25CF" w:rsidRDefault="002C0FD9" w:rsidP="00CA25CF">
            <w:pPr>
              <w:rPr>
                <w:rFonts w:cs="Arial"/>
                <w:color w:val="FF0000"/>
                <w:sz w:val="21"/>
                <w:szCs w:val="21"/>
              </w:rPr>
            </w:pPr>
          </w:p>
        </w:tc>
        <w:tc>
          <w:tcPr>
            <w:tcW w:w="217" w:type="dxa"/>
          </w:tcPr>
          <w:p w14:paraId="0A783938" w14:textId="77777777" w:rsidR="002C0FD9" w:rsidRPr="00CA25CF" w:rsidRDefault="002C0FD9" w:rsidP="00CA25CF">
            <w:pPr>
              <w:rPr>
                <w:rFonts w:cs="Arial"/>
                <w:color w:val="FF0000"/>
                <w:sz w:val="21"/>
                <w:szCs w:val="21"/>
              </w:rPr>
            </w:pPr>
          </w:p>
        </w:tc>
        <w:tc>
          <w:tcPr>
            <w:tcW w:w="217" w:type="dxa"/>
          </w:tcPr>
          <w:p w14:paraId="2F5AB529" w14:textId="77777777" w:rsidR="002C0FD9" w:rsidRPr="00CA25CF" w:rsidRDefault="002C0FD9" w:rsidP="00CA25CF">
            <w:pPr>
              <w:rPr>
                <w:rFonts w:cs="Arial"/>
                <w:color w:val="FF0000"/>
                <w:sz w:val="21"/>
                <w:szCs w:val="21"/>
              </w:rPr>
            </w:pPr>
          </w:p>
        </w:tc>
        <w:tc>
          <w:tcPr>
            <w:tcW w:w="217" w:type="dxa"/>
          </w:tcPr>
          <w:p w14:paraId="45E4C3DB" w14:textId="77777777" w:rsidR="002C0FD9" w:rsidRPr="00CA25CF" w:rsidRDefault="002C0FD9" w:rsidP="00CA25CF">
            <w:pPr>
              <w:rPr>
                <w:rFonts w:cs="Arial"/>
                <w:color w:val="FF0000"/>
                <w:sz w:val="21"/>
                <w:szCs w:val="21"/>
              </w:rPr>
            </w:pPr>
          </w:p>
        </w:tc>
        <w:tc>
          <w:tcPr>
            <w:tcW w:w="217" w:type="dxa"/>
          </w:tcPr>
          <w:p w14:paraId="743A79DA" w14:textId="77777777" w:rsidR="002C0FD9" w:rsidRPr="00CA25CF" w:rsidRDefault="002C0FD9" w:rsidP="00CA25CF">
            <w:pPr>
              <w:rPr>
                <w:rFonts w:cs="Arial"/>
                <w:color w:val="FF0000"/>
                <w:sz w:val="21"/>
                <w:szCs w:val="21"/>
              </w:rPr>
            </w:pPr>
          </w:p>
        </w:tc>
        <w:tc>
          <w:tcPr>
            <w:tcW w:w="217" w:type="dxa"/>
          </w:tcPr>
          <w:p w14:paraId="0261A379" w14:textId="77777777" w:rsidR="002C0FD9" w:rsidRPr="00CA25CF" w:rsidRDefault="002C0FD9" w:rsidP="00CA25CF">
            <w:pPr>
              <w:rPr>
                <w:rFonts w:cs="Arial"/>
                <w:color w:val="FF0000"/>
                <w:sz w:val="21"/>
                <w:szCs w:val="21"/>
              </w:rPr>
            </w:pPr>
          </w:p>
        </w:tc>
        <w:tc>
          <w:tcPr>
            <w:tcW w:w="217" w:type="dxa"/>
          </w:tcPr>
          <w:p w14:paraId="76C9156C" w14:textId="77777777" w:rsidR="002C0FD9" w:rsidRPr="00CA25CF" w:rsidRDefault="002C0FD9" w:rsidP="00CA25CF">
            <w:pPr>
              <w:rPr>
                <w:rFonts w:cs="Arial"/>
                <w:color w:val="FF0000"/>
                <w:sz w:val="21"/>
                <w:szCs w:val="21"/>
              </w:rPr>
            </w:pPr>
          </w:p>
        </w:tc>
        <w:tc>
          <w:tcPr>
            <w:tcW w:w="217" w:type="dxa"/>
          </w:tcPr>
          <w:p w14:paraId="1B47C07B" w14:textId="77777777" w:rsidR="002C0FD9" w:rsidRPr="00CA25CF" w:rsidRDefault="002C0FD9" w:rsidP="00CA25CF">
            <w:pPr>
              <w:rPr>
                <w:rFonts w:cs="Arial"/>
                <w:color w:val="FF0000"/>
                <w:sz w:val="21"/>
                <w:szCs w:val="21"/>
              </w:rPr>
            </w:pPr>
          </w:p>
        </w:tc>
        <w:tc>
          <w:tcPr>
            <w:tcW w:w="217" w:type="dxa"/>
          </w:tcPr>
          <w:p w14:paraId="2AAFFCD6" w14:textId="77777777" w:rsidR="002C0FD9" w:rsidRPr="00CA25CF" w:rsidRDefault="002C0FD9" w:rsidP="00CA25CF">
            <w:pPr>
              <w:rPr>
                <w:rFonts w:cs="Arial"/>
                <w:color w:val="FF0000"/>
                <w:sz w:val="21"/>
                <w:szCs w:val="21"/>
              </w:rPr>
            </w:pPr>
          </w:p>
        </w:tc>
        <w:tc>
          <w:tcPr>
            <w:tcW w:w="217" w:type="dxa"/>
          </w:tcPr>
          <w:p w14:paraId="3C836287" w14:textId="77777777" w:rsidR="002C0FD9" w:rsidRPr="00CA25CF" w:rsidRDefault="002C0FD9" w:rsidP="00CA25CF">
            <w:pPr>
              <w:rPr>
                <w:rFonts w:cs="Arial"/>
                <w:color w:val="FF0000"/>
                <w:sz w:val="21"/>
                <w:szCs w:val="21"/>
              </w:rPr>
            </w:pPr>
          </w:p>
        </w:tc>
        <w:tc>
          <w:tcPr>
            <w:tcW w:w="217" w:type="dxa"/>
          </w:tcPr>
          <w:p w14:paraId="1767A525" w14:textId="77777777" w:rsidR="002C0FD9" w:rsidRPr="00CA25CF" w:rsidRDefault="002C0FD9" w:rsidP="00CA25CF">
            <w:pPr>
              <w:rPr>
                <w:rFonts w:cs="Arial"/>
                <w:color w:val="FF0000"/>
                <w:sz w:val="21"/>
                <w:szCs w:val="21"/>
              </w:rPr>
            </w:pPr>
          </w:p>
        </w:tc>
        <w:tc>
          <w:tcPr>
            <w:tcW w:w="217" w:type="dxa"/>
          </w:tcPr>
          <w:p w14:paraId="7E373695" w14:textId="77777777" w:rsidR="002C0FD9" w:rsidRPr="00CA25CF" w:rsidRDefault="002C0FD9" w:rsidP="00CA25CF">
            <w:pPr>
              <w:rPr>
                <w:rFonts w:cs="Arial"/>
                <w:color w:val="FF0000"/>
                <w:sz w:val="21"/>
                <w:szCs w:val="21"/>
              </w:rPr>
            </w:pPr>
          </w:p>
        </w:tc>
        <w:tc>
          <w:tcPr>
            <w:tcW w:w="217" w:type="dxa"/>
          </w:tcPr>
          <w:p w14:paraId="2735F089" w14:textId="77777777" w:rsidR="002C0FD9" w:rsidRPr="00CA25CF" w:rsidRDefault="002C0FD9" w:rsidP="00CA25CF">
            <w:pPr>
              <w:rPr>
                <w:rFonts w:cs="Arial"/>
                <w:color w:val="FF0000"/>
                <w:sz w:val="21"/>
                <w:szCs w:val="21"/>
              </w:rPr>
            </w:pPr>
          </w:p>
        </w:tc>
        <w:tc>
          <w:tcPr>
            <w:tcW w:w="217" w:type="dxa"/>
          </w:tcPr>
          <w:p w14:paraId="5B597BBA" w14:textId="77777777" w:rsidR="002C0FD9" w:rsidRPr="00CA25CF" w:rsidRDefault="002C0FD9" w:rsidP="00CA25CF">
            <w:pPr>
              <w:rPr>
                <w:rFonts w:cs="Arial"/>
                <w:color w:val="FF0000"/>
                <w:sz w:val="21"/>
                <w:szCs w:val="21"/>
              </w:rPr>
            </w:pPr>
          </w:p>
        </w:tc>
        <w:tc>
          <w:tcPr>
            <w:tcW w:w="217" w:type="dxa"/>
          </w:tcPr>
          <w:p w14:paraId="12EC851C" w14:textId="77777777" w:rsidR="002C0FD9" w:rsidRPr="00CA25CF" w:rsidRDefault="002C0FD9" w:rsidP="00CA25CF">
            <w:pPr>
              <w:rPr>
                <w:rFonts w:cs="Arial"/>
                <w:color w:val="FF0000"/>
                <w:sz w:val="21"/>
                <w:szCs w:val="21"/>
              </w:rPr>
            </w:pPr>
          </w:p>
        </w:tc>
        <w:tc>
          <w:tcPr>
            <w:tcW w:w="217" w:type="dxa"/>
          </w:tcPr>
          <w:p w14:paraId="16BB444A" w14:textId="77777777" w:rsidR="002C0FD9" w:rsidRPr="00CA25CF" w:rsidRDefault="002C0FD9" w:rsidP="00CA25CF">
            <w:pPr>
              <w:rPr>
                <w:rFonts w:cs="Arial"/>
                <w:color w:val="FF0000"/>
                <w:sz w:val="21"/>
                <w:szCs w:val="21"/>
              </w:rPr>
            </w:pPr>
          </w:p>
        </w:tc>
        <w:tc>
          <w:tcPr>
            <w:tcW w:w="217" w:type="dxa"/>
          </w:tcPr>
          <w:p w14:paraId="29377871" w14:textId="77777777" w:rsidR="002C0FD9" w:rsidRPr="00CA25CF" w:rsidRDefault="002C0FD9" w:rsidP="00CA25CF">
            <w:pPr>
              <w:rPr>
                <w:rFonts w:cs="Arial"/>
                <w:color w:val="FF0000"/>
                <w:sz w:val="21"/>
                <w:szCs w:val="21"/>
              </w:rPr>
            </w:pPr>
          </w:p>
        </w:tc>
        <w:tc>
          <w:tcPr>
            <w:tcW w:w="217" w:type="dxa"/>
          </w:tcPr>
          <w:p w14:paraId="50144B4F" w14:textId="77777777" w:rsidR="002C0FD9" w:rsidRPr="00CA25CF" w:rsidRDefault="002C0FD9" w:rsidP="00CA25CF">
            <w:pPr>
              <w:rPr>
                <w:rFonts w:cs="Arial"/>
                <w:color w:val="FF0000"/>
                <w:sz w:val="21"/>
                <w:szCs w:val="21"/>
              </w:rPr>
            </w:pPr>
          </w:p>
        </w:tc>
        <w:tc>
          <w:tcPr>
            <w:tcW w:w="217" w:type="dxa"/>
          </w:tcPr>
          <w:p w14:paraId="359A01BF" w14:textId="77777777" w:rsidR="002C0FD9" w:rsidRPr="00CA25CF" w:rsidRDefault="002C0FD9" w:rsidP="00CA25CF">
            <w:pPr>
              <w:rPr>
                <w:rFonts w:cs="Arial"/>
                <w:color w:val="FF0000"/>
                <w:sz w:val="21"/>
                <w:szCs w:val="21"/>
              </w:rPr>
            </w:pPr>
          </w:p>
        </w:tc>
        <w:tc>
          <w:tcPr>
            <w:tcW w:w="217" w:type="dxa"/>
          </w:tcPr>
          <w:p w14:paraId="7041D360" w14:textId="77777777" w:rsidR="002C0FD9" w:rsidRPr="00CA25CF" w:rsidRDefault="002C0FD9" w:rsidP="00CA25CF">
            <w:pPr>
              <w:rPr>
                <w:rFonts w:cs="Arial"/>
                <w:color w:val="FF0000"/>
                <w:sz w:val="21"/>
                <w:szCs w:val="21"/>
              </w:rPr>
            </w:pPr>
          </w:p>
        </w:tc>
        <w:tc>
          <w:tcPr>
            <w:tcW w:w="217" w:type="dxa"/>
          </w:tcPr>
          <w:p w14:paraId="285705A9" w14:textId="77777777" w:rsidR="002C0FD9" w:rsidRPr="00CA25CF" w:rsidRDefault="002C0FD9" w:rsidP="00CA25CF">
            <w:pPr>
              <w:rPr>
                <w:rFonts w:cs="Arial"/>
                <w:color w:val="FF0000"/>
                <w:sz w:val="21"/>
                <w:szCs w:val="21"/>
              </w:rPr>
            </w:pPr>
          </w:p>
        </w:tc>
        <w:tc>
          <w:tcPr>
            <w:tcW w:w="217" w:type="dxa"/>
          </w:tcPr>
          <w:p w14:paraId="2D80DA92" w14:textId="77777777" w:rsidR="002C0FD9" w:rsidRPr="00CA25CF" w:rsidRDefault="002C0FD9" w:rsidP="00CA25CF">
            <w:pPr>
              <w:rPr>
                <w:rFonts w:cs="Arial"/>
                <w:color w:val="FF0000"/>
                <w:sz w:val="21"/>
                <w:szCs w:val="21"/>
              </w:rPr>
            </w:pPr>
          </w:p>
        </w:tc>
        <w:tc>
          <w:tcPr>
            <w:tcW w:w="217" w:type="dxa"/>
          </w:tcPr>
          <w:p w14:paraId="434DD307" w14:textId="77777777" w:rsidR="002C0FD9" w:rsidRPr="00CA25CF" w:rsidRDefault="002C0FD9" w:rsidP="00CA25CF">
            <w:pPr>
              <w:rPr>
                <w:rFonts w:cs="Arial"/>
                <w:color w:val="FF0000"/>
                <w:sz w:val="21"/>
                <w:szCs w:val="21"/>
              </w:rPr>
            </w:pPr>
          </w:p>
        </w:tc>
      </w:tr>
      <w:tr w:rsidR="002C0FD9" w:rsidRPr="00A16219" w14:paraId="015028D6" w14:textId="5F5D8E0A" w:rsidTr="002C0FD9">
        <w:trPr>
          <w:trHeight w:val="635"/>
        </w:trPr>
        <w:tc>
          <w:tcPr>
            <w:tcW w:w="515" w:type="dxa"/>
          </w:tcPr>
          <w:p w14:paraId="345E6CB8" w14:textId="77777777" w:rsidR="002C0FD9" w:rsidRPr="00CA25CF" w:rsidRDefault="002C0FD9" w:rsidP="00CA25CF">
            <w:pPr>
              <w:rPr>
                <w:rFonts w:cs="Arial"/>
                <w:color w:val="FF0000"/>
                <w:sz w:val="21"/>
                <w:szCs w:val="21"/>
              </w:rPr>
            </w:pPr>
          </w:p>
        </w:tc>
        <w:tc>
          <w:tcPr>
            <w:tcW w:w="217" w:type="dxa"/>
          </w:tcPr>
          <w:p w14:paraId="60F5638A" w14:textId="77777777" w:rsidR="002C0FD9" w:rsidRPr="00CA25CF" w:rsidRDefault="002C0FD9" w:rsidP="00CA25CF">
            <w:pPr>
              <w:rPr>
                <w:rFonts w:cs="Arial"/>
                <w:color w:val="FF0000"/>
                <w:sz w:val="21"/>
                <w:szCs w:val="21"/>
              </w:rPr>
            </w:pPr>
          </w:p>
        </w:tc>
        <w:tc>
          <w:tcPr>
            <w:tcW w:w="217" w:type="dxa"/>
          </w:tcPr>
          <w:p w14:paraId="257DA8D6" w14:textId="40DC5D55" w:rsidR="002C0FD9" w:rsidRPr="00CA25CF" w:rsidRDefault="002C0FD9" w:rsidP="00CA25CF">
            <w:pPr>
              <w:rPr>
                <w:rFonts w:cs="Arial"/>
                <w:color w:val="FF0000"/>
                <w:sz w:val="21"/>
                <w:szCs w:val="21"/>
              </w:rPr>
            </w:pPr>
          </w:p>
        </w:tc>
        <w:tc>
          <w:tcPr>
            <w:tcW w:w="217" w:type="dxa"/>
          </w:tcPr>
          <w:p w14:paraId="7D824B45" w14:textId="77777777" w:rsidR="002C0FD9" w:rsidRPr="00CA25CF" w:rsidRDefault="002C0FD9" w:rsidP="00CA25CF">
            <w:pPr>
              <w:rPr>
                <w:rFonts w:cs="Arial"/>
                <w:color w:val="FF0000"/>
                <w:sz w:val="21"/>
                <w:szCs w:val="21"/>
              </w:rPr>
            </w:pPr>
          </w:p>
        </w:tc>
        <w:tc>
          <w:tcPr>
            <w:tcW w:w="217" w:type="dxa"/>
          </w:tcPr>
          <w:p w14:paraId="60C2D2FC" w14:textId="56D326BF" w:rsidR="002C0FD9" w:rsidRPr="00CA25CF" w:rsidRDefault="002C0FD9" w:rsidP="00CA25CF">
            <w:pPr>
              <w:rPr>
                <w:rFonts w:cs="Arial"/>
                <w:color w:val="FF0000"/>
                <w:sz w:val="21"/>
                <w:szCs w:val="21"/>
              </w:rPr>
            </w:pPr>
          </w:p>
        </w:tc>
        <w:tc>
          <w:tcPr>
            <w:tcW w:w="217" w:type="dxa"/>
          </w:tcPr>
          <w:p w14:paraId="2D25050F" w14:textId="77777777" w:rsidR="002C0FD9" w:rsidRPr="00CA25CF" w:rsidRDefault="002C0FD9" w:rsidP="00CA25CF">
            <w:pPr>
              <w:rPr>
                <w:rFonts w:cs="Arial"/>
                <w:color w:val="FF0000"/>
                <w:sz w:val="21"/>
                <w:szCs w:val="21"/>
              </w:rPr>
            </w:pPr>
          </w:p>
        </w:tc>
        <w:tc>
          <w:tcPr>
            <w:tcW w:w="217" w:type="dxa"/>
          </w:tcPr>
          <w:p w14:paraId="003FDF6E" w14:textId="77777777" w:rsidR="002C0FD9" w:rsidRPr="00CA25CF" w:rsidRDefault="002C0FD9" w:rsidP="00CA25CF">
            <w:pPr>
              <w:rPr>
                <w:rFonts w:cs="Arial"/>
                <w:color w:val="FF0000"/>
                <w:sz w:val="21"/>
                <w:szCs w:val="21"/>
              </w:rPr>
            </w:pPr>
          </w:p>
        </w:tc>
        <w:tc>
          <w:tcPr>
            <w:tcW w:w="217" w:type="dxa"/>
          </w:tcPr>
          <w:p w14:paraId="2D6B1D4F" w14:textId="77777777" w:rsidR="002C0FD9" w:rsidRPr="00CA25CF" w:rsidRDefault="002C0FD9" w:rsidP="00CA25CF">
            <w:pPr>
              <w:rPr>
                <w:rFonts w:cs="Arial"/>
                <w:color w:val="FF0000"/>
                <w:sz w:val="21"/>
                <w:szCs w:val="21"/>
              </w:rPr>
            </w:pPr>
          </w:p>
        </w:tc>
        <w:tc>
          <w:tcPr>
            <w:tcW w:w="217" w:type="dxa"/>
          </w:tcPr>
          <w:p w14:paraId="721F53EF" w14:textId="77777777" w:rsidR="002C0FD9" w:rsidRPr="00CA25CF" w:rsidRDefault="002C0FD9" w:rsidP="00CA25CF">
            <w:pPr>
              <w:rPr>
                <w:rFonts w:cs="Arial"/>
                <w:color w:val="FF0000"/>
                <w:sz w:val="21"/>
                <w:szCs w:val="21"/>
              </w:rPr>
            </w:pPr>
          </w:p>
        </w:tc>
        <w:tc>
          <w:tcPr>
            <w:tcW w:w="217" w:type="dxa"/>
          </w:tcPr>
          <w:p w14:paraId="36E3ECF0" w14:textId="77777777" w:rsidR="002C0FD9" w:rsidRPr="00CA25CF" w:rsidRDefault="002C0FD9" w:rsidP="00CA25CF">
            <w:pPr>
              <w:rPr>
                <w:rFonts w:cs="Arial"/>
                <w:color w:val="FF0000"/>
                <w:sz w:val="21"/>
                <w:szCs w:val="21"/>
              </w:rPr>
            </w:pPr>
          </w:p>
        </w:tc>
        <w:tc>
          <w:tcPr>
            <w:tcW w:w="217" w:type="dxa"/>
          </w:tcPr>
          <w:p w14:paraId="6105896E" w14:textId="77777777" w:rsidR="002C0FD9" w:rsidRPr="00CA25CF" w:rsidRDefault="002C0FD9" w:rsidP="00CA25CF">
            <w:pPr>
              <w:rPr>
                <w:rFonts w:cs="Arial"/>
                <w:color w:val="FF0000"/>
                <w:sz w:val="21"/>
                <w:szCs w:val="21"/>
              </w:rPr>
            </w:pPr>
          </w:p>
        </w:tc>
        <w:tc>
          <w:tcPr>
            <w:tcW w:w="217" w:type="dxa"/>
          </w:tcPr>
          <w:p w14:paraId="2C761D6D" w14:textId="77777777" w:rsidR="002C0FD9" w:rsidRPr="00CA25CF" w:rsidRDefault="002C0FD9" w:rsidP="00CA25CF">
            <w:pPr>
              <w:rPr>
                <w:rFonts w:cs="Arial"/>
                <w:color w:val="FF0000"/>
                <w:sz w:val="21"/>
                <w:szCs w:val="21"/>
              </w:rPr>
            </w:pPr>
          </w:p>
        </w:tc>
        <w:tc>
          <w:tcPr>
            <w:tcW w:w="217" w:type="dxa"/>
          </w:tcPr>
          <w:p w14:paraId="4A53979E" w14:textId="77777777" w:rsidR="002C0FD9" w:rsidRPr="00CA25CF" w:rsidRDefault="002C0FD9" w:rsidP="00CA25CF">
            <w:pPr>
              <w:rPr>
                <w:rFonts w:cs="Arial"/>
                <w:color w:val="FF0000"/>
                <w:sz w:val="21"/>
                <w:szCs w:val="21"/>
              </w:rPr>
            </w:pPr>
          </w:p>
        </w:tc>
        <w:tc>
          <w:tcPr>
            <w:tcW w:w="217" w:type="dxa"/>
          </w:tcPr>
          <w:p w14:paraId="03EC6B02" w14:textId="77777777" w:rsidR="002C0FD9" w:rsidRPr="00CA25CF" w:rsidRDefault="002C0FD9" w:rsidP="00CA25CF">
            <w:pPr>
              <w:rPr>
                <w:rFonts w:cs="Arial"/>
                <w:color w:val="FF0000"/>
                <w:sz w:val="21"/>
                <w:szCs w:val="21"/>
              </w:rPr>
            </w:pPr>
          </w:p>
        </w:tc>
        <w:tc>
          <w:tcPr>
            <w:tcW w:w="217" w:type="dxa"/>
          </w:tcPr>
          <w:p w14:paraId="1FD1E0B4" w14:textId="77777777" w:rsidR="002C0FD9" w:rsidRPr="00CA25CF" w:rsidRDefault="002C0FD9" w:rsidP="00CA25CF">
            <w:pPr>
              <w:rPr>
                <w:rFonts w:cs="Arial"/>
                <w:color w:val="FF0000"/>
                <w:sz w:val="21"/>
                <w:szCs w:val="21"/>
              </w:rPr>
            </w:pPr>
          </w:p>
        </w:tc>
        <w:tc>
          <w:tcPr>
            <w:tcW w:w="217" w:type="dxa"/>
          </w:tcPr>
          <w:p w14:paraId="569A72A2" w14:textId="57ABBA85" w:rsidR="002C0FD9" w:rsidRPr="00CA25CF" w:rsidRDefault="002C0FD9" w:rsidP="00CA25CF">
            <w:pPr>
              <w:rPr>
                <w:rFonts w:cs="Arial"/>
                <w:color w:val="FF0000"/>
                <w:sz w:val="21"/>
                <w:szCs w:val="21"/>
              </w:rPr>
            </w:pPr>
          </w:p>
        </w:tc>
        <w:tc>
          <w:tcPr>
            <w:tcW w:w="217" w:type="dxa"/>
          </w:tcPr>
          <w:p w14:paraId="7E2C8AFD" w14:textId="77777777" w:rsidR="002C0FD9" w:rsidRPr="00CA25CF" w:rsidRDefault="002C0FD9" w:rsidP="00CA25CF">
            <w:pPr>
              <w:rPr>
                <w:rFonts w:cs="Arial"/>
                <w:color w:val="FF0000"/>
                <w:sz w:val="21"/>
                <w:szCs w:val="21"/>
              </w:rPr>
            </w:pPr>
          </w:p>
        </w:tc>
        <w:tc>
          <w:tcPr>
            <w:tcW w:w="217" w:type="dxa"/>
          </w:tcPr>
          <w:p w14:paraId="0DDCF975" w14:textId="77777777" w:rsidR="002C0FD9" w:rsidRPr="00CA25CF" w:rsidRDefault="002C0FD9" w:rsidP="00CA25CF">
            <w:pPr>
              <w:rPr>
                <w:rFonts w:cs="Arial"/>
                <w:color w:val="FF0000"/>
                <w:sz w:val="21"/>
                <w:szCs w:val="21"/>
              </w:rPr>
            </w:pPr>
          </w:p>
        </w:tc>
        <w:tc>
          <w:tcPr>
            <w:tcW w:w="217" w:type="dxa"/>
          </w:tcPr>
          <w:p w14:paraId="715AC668" w14:textId="77777777" w:rsidR="002C0FD9" w:rsidRPr="00CA25CF" w:rsidRDefault="002C0FD9" w:rsidP="00CA25CF">
            <w:pPr>
              <w:rPr>
                <w:rFonts w:cs="Arial"/>
                <w:color w:val="FF0000"/>
                <w:sz w:val="21"/>
                <w:szCs w:val="21"/>
              </w:rPr>
            </w:pPr>
          </w:p>
        </w:tc>
        <w:tc>
          <w:tcPr>
            <w:tcW w:w="217" w:type="dxa"/>
          </w:tcPr>
          <w:p w14:paraId="427A79DE" w14:textId="77777777" w:rsidR="002C0FD9" w:rsidRPr="00CA25CF" w:rsidRDefault="002C0FD9" w:rsidP="00CA25CF">
            <w:pPr>
              <w:rPr>
                <w:rFonts w:cs="Arial"/>
                <w:color w:val="FF0000"/>
                <w:sz w:val="21"/>
                <w:szCs w:val="21"/>
              </w:rPr>
            </w:pPr>
          </w:p>
        </w:tc>
        <w:tc>
          <w:tcPr>
            <w:tcW w:w="217" w:type="dxa"/>
          </w:tcPr>
          <w:p w14:paraId="6FA21DAD" w14:textId="77777777" w:rsidR="002C0FD9" w:rsidRPr="00CA25CF" w:rsidRDefault="002C0FD9" w:rsidP="00CA25CF">
            <w:pPr>
              <w:rPr>
                <w:rFonts w:cs="Arial"/>
                <w:color w:val="FF0000"/>
                <w:sz w:val="21"/>
                <w:szCs w:val="21"/>
              </w:rPr>
            </w:pPr>
          </w:p>
        </w:tc>
        <w:tc>
          <w:tcPr>
            <w:tcW w:w="217" w:type="dxa"/>
          </w:tcPr>
          <w:p w14:paraId="3959627F" w14:textId="77777777" w:rsidR="002C0FD9" w:rsidRPr="00CA25CF" w:rsidRDefault="002C0FD9" w:rsidP="00CA25CF">
            <w:pPr>
              <w:rPr>
                <w:rFonts w:cs="Arial"/>
                <w:color w:val="FF0000"/>
                <w:sz w:val="21"/>
                <w:szCs w:val="21"/>
              </w:rPr>
            </w:pPr>
          </w:p>
        </w:tc>
        <w:tc>
          <w:tcPr>
            <w:tcW w:w="217" w:type="dxa"/>
          </w:tcPr>
          <w:p w14:paraId="231EFB16" w14:textId="77777777" w:rsidR="002C0FD9" w:rsidRPr="00CA25CF" w:rsidRDefault="002C0FD9" w:rsidP="00CA25CF">
            <w:pPr>
              <w:rPr>
                <w:rFonts w:cs="Arial"/>
                <w:color w:val="FF0000"/>
                <w:sz w:val="21"/>
                <w:szCs w:val="21"/>
              </w:rPr>
            </w:pPr>
          </w:p>
        </w:tc>
        <w:tc>
          <w:tcPr>
            <w:tcW w:w="217" w:type="dxa"/>
          </w:tcPr>
          <w:p w14:paraId="76935295" w14:textId="77777777" w:rsidR="002C0FD9" w:rsidRPr="00CA25CF" w:rsidRDefault="002C0FD9" w:rsidP="00CA25CF">
            <w:pPr>
              <w:rPr>
                <w:rFonts w:cs="Arial"/>
                <w:color w:val="FF0000"/>
                <w:sz w:val="21"/>
                <w:szCs w:val="21"/>
              </w:rPr>
            </w:pPr>
          </w:p>
        </w:tc>
        <w:tc>
          <w:tcPr>
            <w:tcW w:w="217" w:type="dxa"/>
          </w:tcPr>
          <w:p w14:paraId="0CD404EF" w14:textId="77777777" w:rsidR="002C0FD9" w:rsidRPr="00CA25CF" w:rsidRDefault="002C0FD9" w:rsidP="00CA25CF">
            <w:pPr>
              <w:rPr>
                <w:rFonts w:cs="Arial"/>
                <w:color w:val="FF0000"/>
                <w:sz w:val="21"/>
                <w:szCs w:val="21"/>
              </w:rPr>
            </w:pPr>
          </w:p>
        </w:tc>
        <w:tc>
          <w:tcPr>
            <w:tcW w:w="217" w:type="dxa"/>
          </w:tcPr>
          <w:p w14:paraId="3CCE0065" w14:textId="77777777" w:rsidR="002C0FD9" w:rsidRPr="00CA25CF" w:rsidRDefault="002C0FD9" w:rsidP="00CA25CF">
            <w:pPr>
              <w:rPr>
                <w:rFonts w:cs="Arial"/>
                <w:color w:val="FF0000"/>
                <w:sz w:val="21"/>
                <w:szCs w:val="21"/>
              </w:rPr>
            </w:pPr>
          </w:p>
        </w:tc>
        <w:tc>
          <w:tcPr>
            <w:tcW w:w="217" w:type="dxa"/>
          </w:tcPr>
          <w:p w14:paraId="45F1E5AD" w14:textId="77777777" w:rsidR="002C0FD9" w:rsidRPr="00CA25CF" w:rsidRDefault="002C0FD9" w:rsidP="00CA25CF">
            <w:pPr>
              <w:rPr>
                <w:rFonts w:cs="Arial"/>
                <w:color w:val="FF0000"/>
                <w:sz w:val="21"/>
                <w:szCs w:val="21"/>
              </w:rPr>
            </w:pPr>
          </w:p>
        </w:tc>
        <w:tc>
          <w:tcPr>
            <w:tcW w:w="217" w:type="dxa"/>
          </w:tcPr>
          <w:p w14:paraId="6C050685" w14:textId="77777777" w:rsidR="002C0FD9" w:rsidRPr="00CA25CF" w:rsidRDefault="002C0FD9" w:rsidP="00CA25CF">
            <w:pPr>
              <w:rPr>
                <w:rFonts w:cs="Arial"/>
                <w:color w:val="FF0000"/>
                <w:sz w:val="21"/>
                <w:szCs w:val="21"/>
              </w:rPr>
            </w:pPr>
          </w:p>
        </w:tc>
        <w:tc>
          <w:tcPr>
            <w:tcW w:w="217" w:type="dxa"/>
          </w:tcPr>
          <w:p w14:paraId="17D81301" w14:textId="77777777" w:rsidR="002C0FD9" w:rsidRPr="00CA25CF" w:rsidRDefault="002C0FD9" w:rsidP="00CA25CF">
            <w:pPr>
              <w:rPr>
                <w:rFonts w:cs="Arial"/>
                <w:color w:val="FF0000"/>
                <w:sz w:val="21"/>
                <w:szCs w:val="21"/>
              </w:rPr>
            </w:pPr>
          </w:p>
        </w:tc>
        <w:tc>
          <w:tcPr>
            <w:tcW w:w="217" w:type="dxa"/>
          </w:tcPr>
          <w:p w14:paraId="575DDC69" w14:textId="77777777" w:rsidR="002C0FD9" w:rsidRPr="00CA25CF" w:rsidRDefault="002C0FD9" w:rsidP="00CA25CF">
            <w:pPr>
              <w:rPr>
                <w:rFonts w:cs="Arial"/>
                <w:color w:val="FF0000"/>
                <w:sz w:val="21"/>
                <w:szCs w:val="21"/>
              </w:rPr>
            </w:pPr>
          </w:p>
        </w:tc>
        <w:tc>
          <w:tcPr>
            <w:tcW w:w="217" w:type="dxa"/>
          </w:tcPr>
          <w:p w14:paraId="46DD9A2F" w14:textId="77777777" w:rsidR="002C0FD9" w:rsidRPr="00CA25CF" w:rsidRDefault="002C0FD9" w:rsidP="00CA25CF">
            <w:pPr>
              <w:rPr>
                <w:rFonts w:cs="Arial"/>
                <w:color w:val="FF0000"/>
                <w:sz w:val="21"/>
                <w:szCs w:val="21"/>
              </w:rPr>
            </w:pPr>
          </w:p>
        </w:tc>
        <w:tc>
          <w:tcPr>
            <w:tcW w:w="217" w:type="dxa"/>
          </w:tcPr>
          <w:p w14:paraId="3E70E872" w14:textId="77777777" w:rsidR="002C0FD9" w:rsidRPr="00CA25CF" w:rsidRDefault="002C0FD9" w:rsidP="00CA25CF">
            <w:pPr>
              <w:rPr>
                <w:rFonts w:cs="Arial"/>
                <w:color w:val="FF0000"/>
                <w:sz w:val="21"/>
                <w:szCs w:val="21"/>
              </w:rPr>
            </w:pPr>
          </w:p>
        </w:tc>
        <w:tc>
          <w:tcPr>
            <w:tcW w:w="217" w:type="dxa"/>
          </w:tcPr>
          <w:p w14:paraId="0C92426C" w14:textId="77777777" w:rsidR="002C0FD9" w:rsidRPr="00CA25CF" w:rsidRDefault="002C0FD9" w:rsidP="00CA25CF">
            <w:pPr>
              <w:rPr>
                <w:rFonts w:cs="Arial"/>
                <w:color w:val="FF0000"/>
                <w:sz w:val="21"/>
                <w:szCs w:val="21"/>
              </w:rPr>
            </w:pPr>
          </w:p>
        </w:tc>
        <w:tc>
          <w:tcPr>
            <w:tcW w:w="217" w:type="dxa"/>
          </w:tcPr>
          <w:p w14:paraId="620AD704" w14:textId="77777777" w:rsidR="002C0FD9" w:rsidRPr="00CA25CF" w:rsidRDefault="002C0FD9" w:rsidP="00CA25CF">
            <w:pPr>
              <w:rPr>
                <w:rFonts w:cs="Arial"/>
                <w:color w:val="FF0000"/>
                <w:sz w:val="21"/>
                <w:szCs w:val="21"/>
              </w:rPr>
            </w:pPr>
          </w:p>
        </w:tc>
        <w:tc>
          <w:tcPr>
            <w:tcW w:w="217" w:type="dxa"/>
          </w:tcPr>
          <w:p w14:paraId="54E78D9E" w14:textId="77777777" w:rsidR="002C0FD9" w:rsidRPr="00CA25CF" w:rsidRDefault="002C0FD9" w:rsidP="00CA25CF">
            <w:pPr>
              <w:rPr>
                <w:rFonts w:cs="Arial"/>
                <w:color w:val="FF0000"/>
                <w:sz w:val="21"/>
                <w:szCs w:val="21"/>
              </w:rPr>
            </w:pPr>
          </w:p>
        </w:tc>
        <w:tc>
          <w:tcPr>
            <w:tcW w:w="217" w:type="dxa"/>
          </w:tcPr>
          <w:p w14:paraId="5230C615" w14:textId="77777777" w:rsidR="002C0FD9" w:rsidRPr="00CA25CF" w:rsidRDefault="002C0FD9" w:rsidP="00CA25CF">
            <w:pPr>
              <w:rPr>
                <w:rFonts w:cs="Arial"/>
                <w:color w:val="FF0000"/>
                <w:sz w:val="21"/>
                <w:szCs w:val="21"/>
              </w:rPr>
            </w:pPr>
          </w:p>
        </w:tc>
        <w:tc>
          <w:tcPr>
            <w:tcW w:w="217" w:type="dxa"/>
          </w:tcPr>
          <w:p w14:paraId="342BEBBF" w14:textId="77777777" w:rsidR="002C0FD9" w:rsidRPr="00CA25CF" w:rsidRDefault="002C0FD9" w:rsidP="00CA25CF">
            <w:pPr>
              <w:rPr>
                <w:rFonts w:cs="Arial"/>
                <w:color w:val="FF0000"/>
                <w:sz w:val="21"/>
                <w:szCs w:val="21"/>
              </w:rPr>
            </w:pPr>
          </w:p>
        </w:tc>
        <w:tc>
          <w:tcPr>
            <w:tcW w:w="217" w:type="dxa"/>
          </w:tcPr>
          <w:p w14:paraId="13FFC93E" w14:textId="77777777" w:rsidR="002C0FD9" w:rsidRPr="00CA25CF" w:rsidRDefault="002C0FD9" w:rsidP="00CA25CF">
            <w:pPr>
              <w:rPr>
                <w:rFonts w:cs="Arial"/>
                <w:color w:val="FF0000"/>
                <w:sz w:val="21"/>
                <w:szCs w:val="21"/>
              </w:rPr>
            </w:pPr>
          </w:p>
        </w:tc>
        <w:tc>
          <w:tcPr>
            <w:tcW w:w="217" w:type="dxa"/>
          </w:tcPr>
          <w:p w14:paraId="56D8149B" w14:textId="77777777" w:rsidR="002C0FD9" w:rsidRPr="00CA25CF" w:rsidRDefault="002C0FD9" w:rsidP="00CA25CF">
            <w:pPr>
              <w:rPr>
                <w:rFonts w:cs="Arial"/>
                <w:color w:val="FF0000"/>
                <w:sz w:val="21"/>
                <w:szCs w:val="21"/>
              </w:rPr>
            </w:pPr>
          </w:p>
        </w:tc>
        <w:tc>
          <w:tcPr>
            <w:tcW w:w="217" w:type="dxa"/>
          </w:tcPr>
          <w:p w14:paraId="3A9B6A48" w14:textId="77777777" w:rsidR="002C0FD9" w:rsidRPr="00CA25CF" w:rsidRDefault="002C0FD9" w:rsidP="00CA25CF">
            <w:pPr>
              <w:rPr>
                <w:rFonts w:cs="Arial"/>
                <w:color w:val="FF0000"/>
                <w:sz w:val="21"/>
                <w:szCs w:val="21"/>
              </w:rPr>
            </w:pPr>
          </w:p>
        </w:tc>
        <w:tc>
          <w:tcPr>
            <w:tcW w:w="217" w:type="dxa"/>
          </w:tcPr>
          <w:p w14:paraId="77491C2D" w14:textId="77777777" w:rsidR="002C0FD9" w:rsidRPr="00CA25CF" w:rsidRDefault="002C0FD9" w:rsidP="00CA25CF">
            <w:pPr>
              <w:rPr>
                <w:rFonts w:cs="Arial"/>
                <w:color w:val="FF0000"/>
                <w:sz w:val="21"/>
                <w:szCs w:val="21"/>
              </w:rPr>
            </w:pPr>
          </w:p>
        </w:tc>
        <w:tc>
          <w:tcPr>
            <w:tcW w:w="217" w:type="dxa"/>
          </w:tcPr>
          <w:p w14:paraId="4ACAEA40" w14:textId="77777777" w:rsidR="002C0FD9" w:rsidRPr="00CA25CF" w:rsidRDefault="002C0FD9" w:rsidP="00CA25CF">
            <w:pPr>
              <w:rPr>
                <w:rFonts w:cs="Arial"/>
                <w:color w:val="FF0000"/>
                <w:sz w:val="21"/>
                <w:szCs w:val="21"/>
              </w:rPr>
            </w:pPr>
          </w:p>
        </w:tc>
        <w:tc>
          <w:tcPr>
            <w:tcW w:w="217" w:type="dxa"/>
          </w:tcPr>
          <w:p w14:paraId="6589757C" w14:textId="77777777" w:rsidR="002C0FD9" w:rsidRPr="00CA25CF" w:rsidRDefault="002C0FD9" w:rsidP="00CA25CF">
            <w:pPr>
              <w:rPr>
                <w:rFonts w:cs="Arial"/>
                <w:color w:val="FF0000"/>
                <w:sz w:val="21"/>
                <w:szCs w:val="21"/>
              </w:rPr>
            </w:pPr>
          </w:p>
        </w:tc>
      </w:tr>
      <w:tr w:rsidR="002C0FD9" w:rsidRPr="00A16219" w14:paraId="7FF0865A" w14:textId="0D45798B" w:rsidTr="002C0FD9">
        <w:trPr>
          <w:trHeight w:val="635"/>
        </w:trPr>
        <w:tc>
          <w:tcPr>
            <w:tcW w:w="515" w:type="dxa"/>
          </w:tcPr>
          <w:p w14:paraId="7B3B4007" w14:textId="77777777" w:rsidR="002C0FD9" w:rsidRPr="00CA25CF" w:rsidRDefault="002C0FD9" w:rsidP="00CA25CF">
            <w:pPr>
              <w:rPr>
                <w:rFonts w:cs="Arial"/>
                <w:color w:val="FF0000"/>
                <w:sz w:val="21"/>
                <w:szCs w:val="21"/>
              </w:rPr>
            </w:pPr>
          </w:p>
        </w:tc>
        <w:tc>
          <w:tcPr>
            <w:tcW w:w="217" w:type="dxa"/>
          </w:tcPr>
          <w:p w14:paraId="673563BC" w14:textId="77777777" w:rsidR="002C0FD9" w:rsidRPr="00CA25CF" w:rsidRDefault="002C0FD9" w:rsidP="00CA25CF">
            <w:pPr>
              <w:rPr>
                <w:rFonts w:cs="Arial"/>
                <w:color w:val="FF0000"/>
                <w:sz w:val="21"/>
                <w:szCs w:val="21"/>
              </w:rPr>
            </w:pPr>
          </w:p>
        </w:tc>
        <w:tc>
          <w:tcPr>
            <w:tcW w:w="217" w:type="dxa"/>
          </w:tcPr>
          <w:p w14:paraId="2B1445C8" w14:textId="1A9BD48A" w:rsidR="002C0FD9" w:rsidRPr="00CA25CF" w:rsidRDefault="002C0FD9" w:rsidP="00CA25CF">
            <w:pPr>
              <w:rPr>
                <w:rFonts w:cs="Arial"/>
                <w:color w:val="FF0000"/>
                <w:sz w:val="21"/>
                <w:szCs w:val="21"/>
              </w:rPr>
            </w:pPr>
          </w:p>
        </w:tc>
        <w:tc>
          <w:tcPr>
            <w:tcW w:w="217" w:type="dxa"/>
          </w:tcPr>
          <w:p w14:paraId="5C8638F9" w14:textId="77777777" w:rsidR="002C0FD9" w:rsidRPr="00CA25CF" w:rsidRDefault="002C0FD9" w:rsidP="00CA25CF">
            <w:pPr>
              <w:rPr>
                <w:rFonts w:cs="Arial"/>
                <w:color w:val="FF0000"/>
                <w:sz w:val="21"/>
                <w:szCs w:val="21"/>
              </w:rPr>
            </w:pPr>
          </w:p>
        </w:tc>
        <w:tc>
          <w:tcPr>
            <w:tcW w:w="217" w:type="dxa"/>
          </w:tcPr>
          <w:p w14:paraId="43C5C4A0" w14:textId="3044DAAF" w:rsidR="002C0FD9" w:rsidRPr="00CA25CF" w:rsidRDefault="002C0FD9" w:rsidP="00CA25CF">
            <w:pPr>
              <w:rPr>
                <w:rFonts w:cs="Arial"/>
                <w:color w:val="FF0000"/>
                <w:sz w:val="21"/>
                <w:szCs w:val="21"/>
              </w:rPr>
            </w:pPr>
          </w:p>
        </w:tc>
        <w:tc>
          <w:tcPr>
            <w:tcW w:w="217" w:type="dxa"/>
          </w:tcPr>
          <w:p w14:paraId="15150618" w14:textId="77777777" w:rsidR="002C0FD9" w:rsidRPr="00CA25CF" w:rsidRDefault="002C0FD9" w:rsidP="00CA25CF">
            <w:pPr>
              <w:rPr>
                <w:rFonts w:cs="Arial"/>
                <w:color w:val="FF0000"/>
                <w:sz w:val="21"/>
                <w:szCs w:val="21"/>
              </w:rPr>
            </w:pPr>
          </w:p>
        </w:tc>
        <w:tc>
          <w:tcPr>
            <w:tcW w:w="217" w:type="dxa"/>
          </w:tcPr>
          <w:p w14:paraId="629783A2" w14:textId="77777777" w:rsidR="002C0FD9" w:rsidRPr="00CA25CF" w:rsidRDefault="002C0FD9" w:rsidP="00CA25CF">
            <w:pPr>
              <w:rPr>
                <w:rFonts w:cs="Arial"/>
                <w:color w:val="FF0000"/>
                <w:sz w:val="21"/>
                <w:szCs w:val="21"/>
              </w:rPr>
            </w:pPr>
          </w:p>
        </w:tc>
        <w:tc>
          <w:tcPr>
            <w:tcW w:w="217" w:type="dxa"/>
          </w:tcPr>
          <w:p w14:paraId="69A1D18A" w14:textId="77777777" w:rsidR="002C0FD9" w:rsidRPr="00CA25CF" w:rsidRDefault="002C0FD9" w:rsidP="00CA25CF">
            <w:pPr>
              <w:rPr>
                <w:rFonts w:cs="Arial"/>
                <w:color w:val="FF0000"/>
                <w:sz w:val="21"/>
                <w:szCs w:val="21"/>
              </w:rPr>
            </w:pPr>
          </w:p>
        </w:tc>
        <w:tc>
          <w:tcPr>
            <w:tcW w:w="217" w:type="dxa"/>
          </w:tcPr>
          <w:p w14:paraId="708A4787" w14:textId="77777777" w:rsidR="002C0FD9" w:rsidRPr="00CA25CF" w:rsidRDefault="002C0FD9" w:rsidP="00CA25CF">
            <w:pPr>
              <w:rPr>
                <w:rFonts w:cs="Arial"/>
                <w:color w:val="FF0000"/>
                <w:sz w:val="21"/>
                <w:szCs w:val="21"/>
              </w:rPr>
            </w:pPr>
          </w:p>
        </w:tc>
        <w:tc>
          <w:tcPr>
            <w:tcW w:w="217" w:type="dxa"/>
          </w:tcPr>
          <w:p w14:paraId="03E70247" w14:textId="77777777" w:rsidR="002C0FD9" w:rsidRPr="00CA25CF" w:rsidRDefault="002C0FD9" w:rsidP="00CA25CF">
            <w:pPr>
              <w:rPr>
                <w:rFonts w:cs="Arial"/>
                <w:color w:val="FF0000"/>
                <w:sz w:val="21"/>
                <w:szCs w:val="21"/>
              </w:rPr>
            </w:pPr>
          </w:p>
        </w:tc>
        <w:tc>
          <w:tcPr>
            <w:tcW w:w="217" w:type="dxa"/>
          </w:tcPr>
          <w:p w14:paraId="504F176A" w14:textId="77777777" w:rsidR="002C0FD9" w:rsidRPr="00CA25CF" w:rsidRDefault="002C0FD9" w:rsidP="00CA25CF">
            <w:pPr>
              <w:rPr>
                <w:rFonts w:cs="Arial"/>
                <w:color w:val="FF0000"/>
                <w:sz w:val="21"/>
                <w:szCs w:val="21"/>
              </w:rPr>
            </w:pPr>
          </w:p>
        </w:tc>
        <w:tc>
          <w:tcPr>
            <w:tcW w:w="217" w:type="dxa"/>
          </w:tcPr>
          <w:p w14:paraId="05420B23" w14:textId="77777777" w:rsidR="002C0FD9" w:rsidRPr="00CA25CF" w:rsidRDefault="002C0FD9" w:rsidP="00CA25CF">
            <w:pPr>
              <w:rPr>
                <w:rFonts w:cs="Arial"/>
                <w:color w:val="FF0000"/>
                <w:sz w:val="21"/>
                <w:szCs w:val="21"/>
              </w:rPr>
            </w:pPr>
          </w:p>
        </w:tc>
        <w:tc>
          <w:tcPr>
            <w:tcW w:w="217" w:type="dxa"/>
          </w:tcPr>
          <w:p w14:paraId="51B1F815" w14:textId="77777777" w:rsidR="002C0FD9" w:rsidRPr="00CA25CF" w:rsidRDefault="002C0FD9" w:rsidP="00CA25CF">
            <w:pPr>
              <w:rPr>
                <w:rFonts w:cs="Arial"/>
                <w:color w:val="FF0000"/>
                <w:sz w:val="21"/>
                <w:szCs w:val="21"/>
              </w:rPr>
            </w:pPr>
          </w:p>
        </w:tc>
        <w:tc>
          <w:tcPr>
            <w:tcW w:w="217" w:type="dxa"/>
          </w:tcPr>
          <w:p w14:paraId="33872A93" w14:textId="77777777" w:rsidR="002C0FD9" w:rsidRPr="00CA25CF" w:rsidRDefault="002C0FD9" w:rsidP="00CA25CF">
            <w:pPr>
              <w:rPr>
                <w:rFonts w:cs="Arial"/>
                <w:color w:val="FF0000"/>
                <w:sz w:val="21"/>
                <w:szCs w:val="21"/>
              </w:rPr>
            </w:pPr>
          </w:p>
        </w:tc>
        <w:tc>
          <w:tcPr>
            <w:tcW w:w="217" w:type="dxa"/>
          </w:tcPr>
          <w:p w14:paraId="63792749" w14:textId="77777777" w:rsidR="002C0FD9" w:rsidRPr="00CA25CF" w:rsidRDefault="002C0FD9" w:rsidP="00CA25CF">
            <w:pPr>
              <w:rPr>
                <w:rFonts w:cs="Arial"/>
                <w:color w:val="FF0000"/>
                <w:sz w:val="21"/>
                <w:szCs w:val="21"/>
              </w:rPr>
            </w:pPr>
          </w:p>
        </w:tc>
        <w:tc>
          <w:tcPr>
            <w:tcW w:w="217" w:type="dxa"/>
          </w:tcPr>
          <w:p w14:paraId="2F015701" w14:textId="15797BAD" w:rsidR="002C0FD9" w:rsidRPr="00CA25CF" w:rsidRDefault="002C0FD9" w:rsidP="00CA25CF">
            <w:pPr>
              <w:rPr>
                <w:rFonts w:cs="Arial"/>
                <w:color w:val="FF0000"/>
                <w:sz w:val="21"/>
                <w:szCs w:val="21"/>
              </w:rPr>
            </w:pPr>
          </w:p>
        </w:tc>
        <w:tc>
          <w:tcPr>
            <w:tcW w:w="217" w:type="dxa"/>
          </w:tcPr>
          <w:p w14:paraId="61739475" w14:textId="77777777" w:rsidR="002C0FD9" w:rsidRPr="00CA25CF" w:rsidRDefault="002C0FD9" w:rsidP="00CA25CF">
            <w:pPr>
              <w:rPr>
                <w:rFonts w:cs="Arial"/>
                <w:color w:val="FF0000"/>
                <w:sz w:val="21"/>
                <w:szCs w:val="21"/>
              </w:rPr>
            </w:pPr>
          </w:p>
        </w:tc>
        <w:tc>
          <w:tcPr>
            <w:tcW w:w="217" w:type="dxa"/>
          </w:tcPr>
          <w:p w14:paraId="2A133734" w14:textId="77777777" w:rsidR="002C0FD9" w:rsidRPr="00CA25CF" w:rsidRDefault="002C0FD9" w:rsidP="00CA25CF">
            <w:pPr>
              <w:rPr>
                <w:rFonts w:cs="Arial"/>
                <w:color w:val="FF0000"/>
                <w:sz w:val="21"/>
                <w:szCs w:val="21"/>
              </w:rPr>
            </w:pPr>
          </w:p>
        </w:tc>
        <w:tc>
          <w:tcPr>
            <w:tcW w:w="217" w:type="dxa"/>
          </w:tcPr>
          <w:p w14:paraId="3E39928B" w14:textId="77777777" w:rsidR="002C0FD9" w:rsidRPr="00CA25CF" w:rsidRDefault="002C0FD9" w:rsidP="00CA25CF">
            <w:pPr>
              <w:rPr>
                <w:rFonts w:cs="Arial"/>
                <w:color w:val="FF0000"/>
                <w:sz w:val="21"/>
                <w:szCs w:val="21"/>
              </w:rPr>
            </w:pPr>
          </w:p>
        </w:tc>
        <w:tc>
          <w:tcPr>
            <w:tcW w:w="217" w:type="dxa"/>
          </w:tcPr>
          <w:p w14:paraId="41B7B15E" w14:textId="77777777" w:rsidR="002C0FD9" w:rsidRPr="00CA25CF" w:rsidRDefault="002C0FD9" w:rsidP="00CA25CF">
            <w:pPr>
              <w:rPr>
                <w:rFonts w:cs="Arial"/>
                <w:color w:val="FF0000"/>
                <w:sz w:val="21"/>
                <w:szCs w:val="21"/>
              </w:rPr>
            </w:pPr>
          </w:p>
        </w:tc>
        <w:tc>
          <w:tcPr>
            <w:tcW w:w="217" w:type="dxa"/>
          </w:tcPr>
          <w:p w14:paraId="3F1C38F1" w14:textId="77777777" w:rsidR="002C0FD9" w:rsidRPr="00CA25CF" w:rsidRDefault="002C0FD9" w:rsidP="00CA25CF">
            <w:pPr>
              <w:rPr>
                <w:rFonts w:cs="Arial"/>
                <w:color w:val="FF0000"/>
                <w:sz w:val="21"/>
                <w:szCs w:val="21"/>
              </w:rPr>
            </w:pPr>
          </w:p>
        </w:tc>
        <w:tc>
          <w:tcPr>
            <w:tcW w:w="217" w:type="dxa"/>
          </w:tcPr>
          <w:p w14:paraId="38C14E91" w14:textId="77777777" w:rsidR="002C0FD9" w:rsidRPr="00CA25CF" w:rsidRDefault="002C0FD9" w:rsidP="00CA25CF">
            <w:pPr>
              <w:rPr>
                <w:rFonts w:cs="Arial"/>
                <w:color w:val="FF0000"/>
                <w:sz w:val="21"/>
                <w:szCs w:val="21"/>
              </w:rPr>
            </w:pPr>
          </w:p>
        </w:tc>
        <w:tc>
          <w:tcPr>
            <w:tcW w:w="217" w:type="dxa"/>
          </w:tcPr>
          <w:p w14:paraId="3D547149" w14:textId="77777777" w:rsidR="002C0FD9" w:rsidRPr="00CA25CF" w:rsidRDefault="002C0FD9" w:rsidP="00CA25CF">
            <w:pPr>
              <w:rPr>
                <w:rFonts w:cs="Arial"/>
                <w:color w:val="FF0000"/>
                <w:sz w:val="21"/>
                <w:szCs w:val="21"/>
              </w:rPr>
            </w:pPr>
          </w:p>
        </w:tc>
        <w:tc>
          <w:tcPr>
            <w:tcW w:w="217" w:type="dxa"/>
          </w:tcPr>
          <w:p w14:paraId="6B8AC24D" w14:textId="77777777" w:rsidR="002C0FD9" w:rsidRPr="00CA25CF" w:rsidRDefault="002C0FD9" w:rsidP="00CA25CF">
            <w:pPr>
              <w:rPr>
                <w:rFonts w:cs="Arial"/>
                <w:color w:val="FF0000"/>
                <w:sz w:val="21"/>
                <w:szCs w:val="21"/>
              </w:rPr>
            </w:pPr>
          </w:p>
        </w:tc>
        <w:tc>
          <w:tcPr>
            <w:tcW w:w="217" w:type="dxa"/>
          </w:tcPr>
          <w:p w14:paraId="454CFA6F" w14:textId="77777777" w:rsidR="002C0FD9" w:rsidRPr="00CA25CF" w:rsidRDefault="002C0FD9" w:rsidP="00CA25CF">
            <w:pPr>
              <w:rPr>
                <w:rFonts w:cs="Arial"/>
                <w:color w:val="FF0000"/>
                <w:sz w:val="21"/>
                <w:szCs w:val="21"/>
              </w:rPr>
            </w:pPr>
          </w:p>
        </w:tc>
        <w:tc>
          <w:tcPr>
            <w:tcW w:w="217" w:type="dxa"/>
          </w:tcPr>
          <w:p w14:paraId="353054E8" w14:textId="77777777" w:rsidR="002C0FD9" w:rsidRPr="00CA25CF" w:rsidRDefault="002C0FD9" w:rsidP="00CA25CF">
            <w:pPr>
              <w:rPr>
                <w:rFonts w:cs="Arial"/>
                <w:color w:val="FF0000"/>
                <w:sz w:val="21"/>
                <w:szCs w:val="21"/>
              </w:rPr>
            </w:pPr>
          </w:p>
        </w:tc>
        <w:tc>
          <w:tcPr>
            <w:tcW w:w="217" w:type="dxa"/>
          </w:tcPr>
          <w:p w14:paraId="1A36274B" w14:textId="77777777" w:rsidR="002C0FD9" w:rsidRPr="00CA25CF" w:rsidRDefault="002C0FD9" w:rsidP="00CA25CF">
            <w:pPr>
              <w:rPr>
                <w:rFonts w:cs="Arial"/>
                <w:color w:val="FF0000"/>
                <w:sz w:val="21"/>
                <w:szCs w:val="21"/>
              </w:rPr>
            </w:pPr>
          </w:p>
        </w:tc>
        <w:tc>
          <w:tcPr>
            <w:tcW w:w="217" w:type="dxa"/>
          </w:tcPr>
          <w:p w14:paraId="2A8E2803" w14:textId="77777777" w:rsidR="002C0FD9" w:rsidRPr="00CA25CF" w:rsidRDefault="002C0FD9" w:rsidP="00CA25CF">
            <w:pPr>
              <w:rPr>
                <w:rFonts w:cs="Arial"/>
                <w:color w:val="FF0000"/>
                <w:sz w:val="21"/>
                <w:szCs w:val="21"/>
              </w:rPr>
            </w:pPr>
          </w:p>
        </w:tc>
        <w:tc>
          <w:tcPr>
            <w:tcW w:w="217" w:type="dxa"/>
          </w:tcPr>
          <w:p w14:paraId="2AA1C4AC" w14:textId="77777777" w:rsidR="002C0FD9" w:rsidRPr="00CA25CF" w:rsidRDefault="002C0FD9" w:rsidP="00CA25CF">
            <w:pPr>
              <w:rPr>
                <w:rFonts w:cs="Arial"/>
                <w:color w:val="FF0000"/>
                <w:sz w:val="21"/>
                <w:szCs w:val="21"/>
              </w:rPr>
            </w:pPr>
          </w:p>
        </w:tc>
        <w:tc>
          <w:tcPr>
            <w:tcW w:w="217" w:type="dxa"/>
          </w:tcPr>
          <w:p w14:paraId="1B02BC33" w14:textId="77777777" w:rsidR="002C0FD9" w:rsidRPr="00CA25CF" w:rsidRDefault="002C0FD9" w:rsidP="00CA25CF">
            <w:pPr>
              <w:rPr>
                <w:rFonts w:cs="Arial"/>
                <w:color w:val="FF0000"/>
                <w:sz w:val="21"/>
                <w:szCs w:val="21"/>
              </w:rPr>
            </w:pPr>
          </w:p>
        </w:tc>
        <w:tc>
          <w:tcPr>
            <w:tcW w:w="217" w:type="dxa"/>
          </w:tcPr>
          <w:p w14:paraId="52FAAF77" w14:textId="77777777" w:rsidR="002C0FD9" w:rsidRPr="00CA25CF" w:rsidRDefault="002C0FD9" w:rsidP="00CA25CF">
            <w:pPr>
              <w:rPr>
                <w:rFonts w:cs="Arial"/>
                <w:color w:val="FF0000"/>
                <w:sz w:val="21"/>
                <w:szCs w:val="21"/>
              </w:rPr>
            </w:pPr>
          </w:p>
        </w:tc>
        <w:tc>
          <w:tcPr>
            <w:tcW w:w="217" w:type="dxa"/>
          </w:tcPr>
          <w:p w14:paraId="762A583F" w14:textId="77777777" w:rsidR="002C0FD9" w:rsidRPr="00CA25CF" w:rsidRDefault="002C0FD9" w:rsidP="00CA25CF">
            <w:pPr>
              <w:rPr>
                <w:rFonts w:cs="Arial"/>
                <w:color w:val="FF0000"/>
                <w:sz w:val="21"/>
                <w:szCs w:val="21"/>
              </w:rPr>
            </w:pPr>
          </w:p>
        </w:tc>
        <w:tc>
          <w:tcPr>
            <w:tcW w:w="217" w:type="dxa"/>
          </w:tcPr>
          <w:p w14:paraId="518857EE" w14:textId="77777777" w:rsidR="002C0FD9" w:rsidRPr="00CA25CF" w:rsidRDefault="002C0FD9" w:rsidP="00CA25CF">
            <w:pPr>
              <w:rPr>
                <w:rFonts w:cs="Arial"/>
                <w:color w:val="FF0000"/>
                <w:sz w:val="21"/>
                <w:szCs w:val="21"/>
              </w:rPr>
            </w:pPr>
          </w:p>
        </w:tc>
        <w:tc>
          <w:tcPr>
            <w:tcW w:w="217" w:type="dxa"/>
          </w:tcPr>
          <w:p w14:paraId="76A226A4" w14:textId="77777777" w:rsidR="002C0FD9" w:rsidRPr="00CA25CF" w:rsidRDefault="002C0FD9" w:rsidP="00CA25CF">
            <w:pPr>
              <w:rPr>
                <w:rFonts w:cs="Arial"/>
                <w:color w:val="FF0000"/>
                <w:sz w:val="21"/>
                <w:szCs w:val="21"/>
              </w:rPr>
            </w:pPr>
          </w:p>
        </w:tc>
        <w:tc>
          <w:tcPr>
            <w:tcW w:w="217" w:type="dxa"/>
          </w:tcPr>
          <w:p w14:paraId="45B151F8" w14:textId="77777777" w:rsidR="002C0FD9" w:rsidRPr="00CA25CF" w:rsidRDefault="002C0FD9" w:rsidP="00CA25CF">
            <w:pPr>
              <w:rPr>
                <w:rFonts w:cs="Arial"/>
                <w:color w:val="FF0000"/>
                <w:sz w:val="21"/>
                <w:szCs w:val="21"/>
              </w:rPr>
            </w:pPr>
          </w:p>
        </w:tc>
        <w:tc>
          <w:tcPr>
            <w:tcW w:w="217" w:type="dxa"/>
          </w:tcPr>
          <w:p w14:paraId="3EA2829E" w14:textId="77777777" w:rsidR="002C0FD9" w:rsidRPr="00CA25CF" w:rsidRDefault="002C0FD9" w:rsidP="00CA25CF">
            <w:pPr>
              <w:rPr>
                <w:rFonts w:cs="Arial"/>
                <w:color w:val="FF0000"/>
                <w:sz w:val="21"/>
                <w:szCs w:val="21"/>
              </w:rPr>
            </w:pPr>
          </w:p>
        </w:tc>
        <w:tc>
          <w:tcPr>
            <w:tcW w:w="217" w:type="dxa"/>
          </w:tcPr>
          <w:p w14:paraId="7B79B3F9" w14:textId="77777777" w:rsidR="002C0FD9" w:rsidRPr="00CA25CF" w:rsidRDefault="002C0FD9" w:rsidP="00CA25CF">
            <w:pPr>
              <w:rPr>
                <w:rFonts w:cs="Arial"/>
                <w:color w:val="FF0000"/>
                <w:sz w:val="21"/>
                <w:szCs w:val="21"/>
              </w:rPr>
            </w:pPr>
          </w:p>
        </w:tc>
        <w:tc>
          <w:tcPr>
            <w:tcW w:w="217" w:type="dxa"/>
          </w:tcPr>
          <w:p w14:paraId="06FA49BA" w14:textId="77777777" w:rsidR="002C0FD9" w:rsidRPr="00CA25CF" w:rsidRDefault="002C0FD9" w:rsidP="00CA25CF">
            <w:pPr>
              <w:rPr>
                <w:rFonts w:cs="Arial"/>
                <w:color w:val="FF0000"/>
                <w:sz w:val="21"/>
                <w:szCs w:val="21"/>
              </w:rPr>
            </w:pPr>
          </w:p>
        </w:tc>
        <w:tc>
          <w:tcPr>
            <w:tcW w:w="217" w:type="dxa"/>
          </w:tcPr>
          <w:p w14:paraId="4AEB1832" w14:textId="77777777" w:rsidR="002C0FD9" w:rsidRPr="00CA25CF" w:rsidRDefault="002C0FD9" w:rsidP="00CA25CF">
            <w:pPr>
              <w:rPr>
                <w:rFonts w:cs="Arial"/>
                <w:color w:val="FF0000"/>
                <w:sz w:val="21"/>
                <w:szCs w:val="21"/>
              </w:rPr>
            </w:pPr>
          </w:p>
        </w:tc>
        <w:tc>
          <w:tcPr>
            <w:tcW w:w="217" w:type="dxa"/>
          </w:tcPr>
          <w:p w14:paraId="380C15C6" w14:textId="77777777" w:rsidR="002C0FD9" w:rsidRPr="00CA25CF" w:rsidRDefault="002C0FD9" w:rsidP="00CA25CF">
            <w:pPr>
              <w:rPr>
                <w:rFonts w:cs="Arial"/>
                <w:color w:val="FF0000"/>
                <w:sz w:val="21"/>
                <w:szCs w:val="21"/>
              </w:rPr>
            </w:pPr>
          </w:p>
        </w:tc>
        <w:tc>
          <w:tcPr>
            <w:tcW w:w="217" w:type="dxa"/>
          </w:tcPr>
          <w:p w14:paraId="42AC1E14" w14:textId="77777777" w:rsidR="002C0FD9" w:rsidRPr="00CA25CF" w:rsidRDefault="002C0FD9" w:rsidP="00CA25CF">
            <w:pPr>
              <w:rPr>
                <w:rFonts w:cs="Arial"/>
                <w:color w:val="FF0000"/>
                <w:sz w:val="21"/>
                <w:szCs w:val="21"/>
              </w:rPr>
            </w:pPr>
          </w:p>
        </w:tc>
        <w:tc>
          <w:tcPr>
            <w:tcW w:w="217" w:type="dxa"/>
          </w:tcPr>
          <w:p w14:paraId="600AB43D" w14:textId="77777777" w:rsidR="002C0FD9" w:rsidRPr="00CA25CF" w:rsidRDefault="002C0FD9" w:rsidP="00CA25CF">
            <w:pPr>
              <w:rPr>
                <w:rFonts w:cs="Arial"/>
                <w:color w:val="FF0000"/>
                <w:sz w:val="21"/>
                <w:szCs w:val="21"/>
              </w:rPr>
            </w:pPr>
          </w:p>
        </w:tc>
        <w:tc>
          <w:tcPr>
            <w:tcW w:w="217" w:type="dxa"/>
          </w:tcPr>
          <w:p w14:paraId="15B1733C" w14:textId="77777777" w:rsidR="002C0FD9" w:rsidRPr="00CA25CF" w:rsidRDefault="002C0FD9" w:rsidP="00CA25CF">
            <w:pPr>
              <w:rPr>
                <w:rFonts w:cs="Arial"/>
                <w:color w:val="FF0000"/>
                <w:sz w:val="21"/>
                <w:szCs w:val="21"/>
              </w:rPr>
            </w:pPr>
          </w:p>
        </w:tc>
      </w:tr>
      <w:tr w:rsidR="002C0FD9" w:rsidRPr="00A16219" w14:paraId="707752FD" w14:textId="13C4343D" w:rsidTr="002C0FD9">
        <w:trPr>
          <w:trHeight w:val="635"/>
        </w:trPr>
        <w:tc>
          <w:tcPr>
            <w:tcW w:w="515" w:type="dxa"/>
          </w:tcPr>
          <w:p w14:paraId="495F2820" w14:textId="77777777" w:rsidR="002C0FD9" w:rsidRPr="00CA25CF" w:rsidRDefault="002C0FD9" w:rsidP="00CA25CF">
            <w:pPr>
              <w:rPr>
                <w:rFonts w:cs="Arial"/>
                <w:color w:val="FF0000"/>
                <w:sz w:val="21"/>
                <w:szCs w:val="21"/>
              </w:rPr>
            </w:pPr>
          </w:p>
        </w:tc>
        <w:tc>
          <w:tcPr>
            <w:tcW w:w="217" w:type="dxa"/>
          </w:tcPr>
          <w:p w14:paraId="5A98FED5" w14:textId="77777777" w:rsidR="002C0FD9" w:rsidRPr="00CA25CF" w:rsidRDefault="002C0FD9" w:rsidP="00CA25CF">
            <w:pPr>
              <w:rPr>
                <w:rFonts w:cs="Arial"/>
                <w:color w:val="FF0000"/>
                <w:sz w:val="21"/>
                <w:szCs w:val="21"/>
              </w:rPr>
            </w:pPr>
          </w:p>
        </w:tc>
        <w:tc>
          <w:tcPr>
            <w:tcW w:w="217" w:type="dxa"/>
          </w:tcPr>
          <w:p w14:paraId="62933003" w14:textId="4EBA4294" w:rsidR="002C0FD9" w:rsidRPr="00CA25CF" w:rsidRDefault="002C0FD9" w:rsidP="00CA25CF">
            <w:pPr>
              <w:rPr>
                <w:rFonts w:cs="Arial"/>
                <w:color w:val="FF0000"/>
                <w:sz w:val="21"/>
                <w:szCs w:val="21"/>
              </w:rPr>
            </w:pPr>
          </w:p>
        </w:tc>
        <w:tc>
          <w:tcPr>
            <w:tcW w:w="217" w:type="dxa"/>
          </w:tcPr>
          <w:p w14:paraId="35D4F8FC" w14:textId="77777777" w:rsidR="002C0FD9" w:rsidRPr="00CA25CF" w:rsidRDefault="002C0FD9" w:rsidP="00CA25CF">
            <w:pPr>
              <w:rPr>
                <w:rFonts w:cs="Arial"/>
                <w:color w:val="FF0000"/>
                <w:sz w:val="21"/>
                <w:szCs w:val="21"/>
              </w:rPr>
            </w:pPr>
          </w:p>
        </w:tc>
        <w:tc>
          <w:tcPr>
            <w:tcW w:w="217" w:type="dxa"/>
          </w:tcPr>
          <w:p w14:paraId="43A5BB81" w14:textId="15E96504" w:rsidR="002C0FD9" w:rsidRPr="00CA25CF" w:rsidRDefault="002C0FD9" w:rsidP="00CA25CF">
            <w:pPr>
              <w:rPr>
                <w:rFonts w:cs="Arial"/>
                <w:color w:val="FF0000"/>
                <w:sz w:val="21"/>
                <w:szCs w:val="21"/>
              </w:rPr>
            </w:pPr>
          </w:p>
        </w:tc>
        <w:tc>
          <w:tcPr>
            <w:tcW w:w="217" w:type="dxa"/>
          </w:tcPr>
          <w:p w14:paraId="48172A97" w14:textId="77777777" w:rsidR="002C0FD9" w:rsidRPr="00CA25CF" w:rsidRDefault="002C0FD9" w:rsidP="00CA25CF">
            <w:pPr>
              <w:rPr>
                <w:rFonts w:cs="Arial"/>
                <w:color w:val="FF0000"/>
                <w:sz w:val="21"/>
                <w:szCs w:val="21"/>
              </w:rPr>
            </w:pPr>
          </w:p>
        </w:tc>
        <w:tc>
          <w:tcPr>
            <w:tcW w:w="217" w:type="dxa"/>
          </w:tcPr>
          <w:p w14:paraId="3BC9BDD2" w14:textId="77777777" w:rsidR="002C0FD9" w:rsidRPr="00CA25CF" w:rsidRDefault="002C0FD9" w:rsidP="00CA25CF">
            <w:pPr>
              <w:rPr>
                <w:rFonts w:cs="Arial"/>
                <w:color w:val="FF0000"/>
                <w:sz w:val="21"/>
                <w:szCs w:val="21"/>
              </w:rPr>
            </w:pPr>
          </w:p>
        </w:tc>
        <w:tc>
          <w:tcPr>
            <w:tcW w:w="217" w:type="dxa"/>
          </w:tcPr>
          <w:p w14:paraId="4583E865" w14:textId="77777777" w:rsidR="002C0FD9" w:rsidRPr="00CA25CF" w:rsidRDefault="002C0FD9" w:rsidP="00CA25CF">
            <w:pPr>
              <w:rPr>
                <w:rFonts w:cs="Arial"/>
                <w:color w:val="FF0000"/>
                <w:sz w:val="21"/>
                <w:szCs w:val="21"/>
              </w:rPr>
            </w:pPr>
          </w:p>
        </w:tc>
        <w:tc>
          <w:tcPr>
            <w:tcW w:w="217" w:type="dxa"/>
          </w:tcPr>
          <w:p w14:paraId="5015743D" w14:textId="77777777" w:rsidR="002C0FD9" w:rsidRPr="00CA25CF" w:rsidRDefault="002C0FD9" w:rsidP="00CA25CF">
            <w:pPr>
              <w:rPr>
                <w:rFonts w:cs="Arial"/>
                <w:color w:val="FF0000"/>
                <w:sz w:val="21"/>
                <w:szCs w:val="21"/>
              </w:rPr>
            </w:pPr>
          </w:p>
        </w:tc>
        <w:tc>
          <w:tcPr>
            <w:tcW w:w="217" w:type="dxa"/>
          </w:tcPr>
          <w:p w14:paraId="62193A59" w14:textId="77777777" w:rsidR="002C0FD9" w:rsidRPr="00CA25CF" w:rsidRDefault="002C0FD9" w:rsidP="00CA25CF">
            <w:pPr>
              <w:rPr>
                <w:rFonts w:cs="Arial"/>
                <w:color w:val="FF0000"/>
                <w:sz w:val="21"/>
                <w:szCs w:val="21"/>
              </w:rPr>
            </w:pPr>
          </w:p>
        </w:tc>
        <w:tc>
          <w:tcPr>
            <w:tcW w:w="217" w:type="dxa"/>
          </w:tcPr>
          <w:p w14:paraId="7CE061A3" w14:textId="77777777" w:rsidR="002C0FD9" w:rsidRPr="00CA25CF" w:rsidRDefault="002C0FD9" w:rsidP="00CA25CF">
            <w:pPr>
              <w:rPr>
                <w:rFonts w:cs="Arial"/>
                <w:color w:val="FF0000"/>
                <w:sz w:val="21"/>
                <w:szCs w:val="21"/>
              </w:rPr>
            </w:pPr>
          </w:p>
        </w:tc>
        <w:tc>
          <w:tcPr>
            <w:tcW w:w="217" w:type="dxa"/>
          </w:tcPr>
          <w:p w14:paraId="470EAD57" w14:textId="77777777" w:rsidR="002C0FD9" w:rsidRPr="00CA25CF" w:rsidRDefault="002C0FD9" w:rsidP="00CA25CF">
            <w:pPr>
              <w:rPr>
                <w:rFonts w:cs="Arial"/>
                <w:color w:val="FF0000"/>
                <w:sz w:val="21"/>
                <w:szCs w:val="21"/>
              </w:rPr>
            </w:pPr>
          </w:p>
        </w:tc>
        <w:tc>
          <w:tcPr>
            <w:tcW w:w="217" w:type="dxa"/>
          </w:tcPr>
          <w:p w14:paraId="191CB780" w14:textId="77777777" w:rsidR="002C0FD9" w:rsidRPr="00CA25CF" w:rsidRDefault="002C0FD9" w:rsidP="00CA25CF">
            <w:pPr>
              <w:rPr>
                <w:rFonts w:cs="Arial"/>
                <w:color w:val="FF0000"/>
                <w:sz w:val="21"/>
                <w:szCs w:val="21"/>
              </w:rPr>
            </w:pPr>
          </w:p>
        </w:tc>
        <w:tc>
          <w:tcPr>
            <w:tcW w:w="217" w:type="dxa"/>
          </w:tcPr>
          <w:p w14:paraId="7DB87B9E" w14:textId="77777777" w:rsidR="002C0FD9" w:rsidRPr="00CA25CF" w:rsidRDefault="002C0FD9" w:rsidP="00CA25CF">
            <w:pPr>
              <w:rPr>
                <w:rFonts w:cs="Arial"/>
                <w:color w:val="FF0000"/>
                <w:sz w:val="21"/>
                <w:szCs w:val="21"/>
              </w:rPr>
            </w:pPr>
          </w:p>
        </w:tc>
        <w:tc>
          <w:tcPr>
            <w:tcW w:w="217" w:type="dxa"/>
          </w:tcPr>
          <w:p w14:paraId="296B5F99" w14:textId="77777777" w:rsidR="002C0FD9" w:rsidRPr="00CA25CF" w:rsidRDefault="002C0FD9" w:rsidP="00CA25CF">
            <w:pPr>
              <w:rPr>
                <w:rFonts w:cs="Arial"/>
                <w:color w:val="FF0000"/>
                <w:sz w:val="21"/>
                <w:szCs w:val="21"/>
              </w:rPr>
            </w:pPr>
          </w:p>
        </w:tc>
        <w:tc>
          <w:tcPr>
            <w:tcW w:w="217" w:type="dxa"/>
          </w:tcPr>
          <w:p w14:paraId="72AE1A47" w14:textId="114646C3" w:rsidR="002C0FD9" w:rsidRPr="00CA25CF" w:rsidRDefault="002C0FD9" w:rsidP="00CA25CF">
            <w:pPr>
              <w:rPr>
                <w:rFonts w:cs="Arial"/>
                <w:color w:val="FF0000"/>
                <w:sz w:val="21"/>
                <w:szCs w:val="21"/>
              </w:rPr>
            </w:pPr>
          </w:p>
        </w:tc>
        <w:tc>
          <w:tcPr>
            <w:tcW w:w="217" w:type="dxa"/>
          </w:tcPr>
          <w:p w14:paraId="1C33049D" w14:textId="77777777" w:rsidR="002C0FD9" w:rsidRPr="00CA25CF" w:rsidRDefault="002C0FD9" w:rsidP="00CA25CF">
            <w:pPr>
              <w:rPr>
                <w:rFonts w:cs="Arial"/>
                <w:color w:val="FF0000"/>
                <w:sz w:val="21"/>
                <w:szCs w:val="21"/>
              </w:rPr>
            </w:pPr>
          </w:p>
        </w:tc>
        <w:tc>
          <w:tcPr>
            <w:tcW w:w="217" w:type="dxa"/>
          </w:tcPr>
          <w:p w14:paraId="6C44C762" w14:textId="77777777" w:rsidR="002C0FD9" w:rsidRPr="00CA25CF" w:rsidRDefault="002C0FD9" w:rsidP="00CA25CF">
            <w:pPr>
              <w:rPr>
                <w:rFonts w:cs="Arial"/>
                <w:color w:val="FF0000"/>
                <w:sz w:val="21"/>
                <w:szCs w:val="21"/>
              </w:rPr>
            </w:pPr>
          </w:p>
        </w:tc>
        <w:tc>
          <w:tcPr>
            <w:tcW w:w="217" w:type="dxa"/>
          </w:tcPr>
          <w:p w14:paraId="25A1FE54" w14:textId="77777777" w:rsidR="002C0FD9" w:rsidRPr="00CA25CF" w:rsidRDefault="002C0FD9" w:rsidP="00CA25CF">
            <w:pPr>
              <w:rPr>
                <w:rFonts w:cs="Arial"/>
                <w:color w:val="FF0000"/>
                <w:sz w:val="21"/>
                <w:szCs w:val="21"/>
              </w:rPr>
            </w:pPr>
          </w:p>
        </w:tc>
        <w:tc>
          <w:tcPr>
            <w:tcW w:w="217" w:type="dxa"/>
          </w:tcPr>
          <w:p w14:paraId="52A69C6E" w14:textId="77777777" w:rsidR="002C0FD9" w:rsidRPr="00CA25CF" w:rsidRDefault="002C0FD9" w:rsidP="00CA25CF">
            <w:pPr>
              <w:rPr>
                <w:rFonts w:cs="Arial"/>
                <w:color w:val="FF0000"/>
                <w:sz w:val="21"/>
                <w:szCs w:val="21"/>
              </w:rPr>
            </w:pPr>
          </w:p>
        </w:tc>
        <w:tc>
          <w:tcPr>
            <w:tcW w:w="217" w:type="dxa"/>
          </w:tcPr>
          <w:p w14:paraId="5CCBFF7A" w14:textId="77777777" w:rsidR="002C0FD9" w:rsidRPr="00CA25CF" w:rsidRDefault="002C0FD9" w:rsidP="00CA25CF">
            <w:pPr>
              <w:rPr>
                <w:rFonts w:cs="Arial"/>
                <w:color w:val="FF0000"/>
                <w:sz w:val="21"/>
                <w:szCs w:val="21"/>
              </w:rPr>
            </w:pPr>
          </w:p>
        </w:tc>
        <w:tc>
          <w:tcPr>
            <w:tcW w:w="217" w:type="dxa"/>
          </w:tcPr>
          <w:p w14:paraId="1914CB28" w14:textId="77777777" w:rsidR="002C0FD9" w:rsidRPr="00CA25CF" w:rsidRDefault="002C0FD9" w:rsidP="00CA25CF">
            <w:pPr>
              <w:rPr>
                <w:rFonts w:cs="Arial"/>
                <w:color w:val="FF0000"/>
                <w:sz w:val="21"/>
                <w:szCs w:val="21"/>
              </w:rPr>
            </w:pPr>
          </w:p>
        </w:tc>
        <w:tc>
          <w:tcPr>
            <w:tcW w:w="217" w:type="dxa"/>
          </w:tcPr>
          <w:p w14:paraId="6914CF91" w14:textId="77777777" w:rsidR="002C0FD9" w:rsidRPr="00CA25CF" w:rsidRDefault="002C0FD9" w:rsidP="00CA25CF">
            <w:pPr>
              <w:rPr>
                <w:rFonts w:cs="Arial"/>
                <w:color w:val="FF0000"/>
                <w:sz w:val="21"/>
                <w:szCs w:val="21"/>
              </w:rPr>
            </w:pPr>
          </w:p>
        </w:tc>
        <w:tc>
          <w:tcPr>
            <w:tcW w:w="217" w:type="dxa"/>
          </w:tcPr>
          <w:p w14:paraId="5E6BCB7C" w14:textId="77777777" w:rsidR="002C0FD9" w:rsidRPr="00CA25CF" w:rsidRDefault="002C0FD9" w:rsidP="00CA25CF">
            <w:pPr>
              <w:rPr>
                <w:rFonts w:cs="Arial"/>
                <w:color w:val="FF0000"/>
                <w:sz w:val="21"/>
                <w:szCs w:val="21"/>
              </w:rPr>
            </w:pPr>
          </w:p>
        </w:tc>
        <w:tc>
          <w:tcPr>
            <w:tcW w:w="217" w:type="dxa"/>
          </w:tcPr>
          <w:p w14:paraId="686A3DC5" w14:textId="77777777" w:rsidR="002C0FD9" w:rsidRPr="00CA25CF" w:rsidRDefault="002C0FD9" w:rsidP="00CA25CF">
            <w:pPr>
              <w:rPr>
                <w:rFonts w:cs="Arial"/>
                <w:color w:val="FF0000"/>
                <w:sz w:val="21"/>
                <w:szCs w:val="21"/>
              </w:rPr>
            </w:pPr>
          </w:p>
        </w:tc>
        <w:tc>
          <w:tcPr>
            <w:tcW w:w="217" w:type="dxa"/>
          </w:tcPr>
          <w:p w14:paraId="4ED093B8" w14:textId="77777777" w:rsidR="002C0FD9" w:rsidRPr="00CA25CF" w:rsidRDefault="002C0FD9" w:rsidP="00CA25CF">
            <w:pPr>
              <w:rPr>
                <w:rFonts w:cs="Arial"/>
                <w:color w:val="FF0000"/>
                <w:sz w:val="21"/>
                <w:szCs w:val="21"/>
              </w:rPr>
            </w:pPr>
          </w:p>
        </w:tc>
        <w:tc>
          <w:tcPr>
            <w:tcW w:w="217" w:type="dxa"/>
          </w:tcPr>
          <w:p w14:paraId="32BFDBED" w14:textId="77777777" w:rsidR="002C0FD9" w:rsidRPr="00CA25CF" w:rsidRDefault="002C0FD9" w:rsidP="00CA25CF">
            <w:pPr>
              <w:rPr>
                <w:rFonts w:cs="Arial"/>
                <w:color w:val="FF0000"/>
                <w:sz w:val="21"/>
                <w:szCs w:val="21"/>
              </w:rPr>
            </w:pPr>
          </w:p>
        </w:tc>
        <w:tc>
          <w:tcPr>
            <w:tcW w:w="217" w:type="dxa"/>
          </w:tcPr>
          <w:p w14:paraId="0564E406" w14:textId="77777777" w:rsidR="002C0FD9" w:rsidRPr="00CA25CF" w:rsidRDefault="002C0FD9" w:rsidP="00CA25CF">
            <w:pPr>
              <w:rPr>
                <w:rFonts w:cs="Arial"/>
                <w:color w:val="FF0000"/>
                <w:sz w:val="21"/>
                <w:szCs w:val="21"/>
              </w:rPr>
            </w:pPr>
          </w:p>
        </w:tc>
        <w:tc>
          <w:tcPr>
            <w:tcW w:w="217" w:type="dxa"/>
          </w:tcPr>
          <w:p w14:paraId="0A8C7441" w14:textId="77777777" w:rsidR="002C0FD9" w:rsidRPr="00CA25CF" w:rsidRDefault="002C0FD9" w:rsidP="00CA25CF">
            <w:pPr>
              <w:rPr>
                <w:rFonts w:cs="Arial"/>
                <w:color w:val="FF0000"/>
                <w:sz w:val="21"/>
                <w:szCs w:val="21"/>
              </w:rPr>
            </w:pPr>
          </w:p>
        </w:tc>
        <w:tc>
          <w:tcPr>
            <w:tcW w:w="217" w:type="dxa"/>
          </w:tcPr>
          <w:p w14:paraId="49548C52" w14:textId="77777777" w:rsidR="002C0FD9" w:rsidRPr="00CA25CF" w:rsidRDefault="002C0FD9" w:rsidP="00CA25CF">
            <w:pPr>
              <w:rPr>
                <w:rFonts w:cs="Arial"/>
                <w:color w:val="FF0000"/>
                <w:sz w:val="21"/>
                <w:szCs w:val="21"/>
              </w:rPr>
            </w:pPr>
          </w:p>
        </w:tc>
        <w:tc>
          <w:tcPr>
            <w:tcW w:w="217" w:type="dxa"/>
          </w:tcPr>
          <w:p w14:paraId="4B981428" w14:textId="77777777" w:rsidR="002C0FD9" w:rsidRPr="00CA25CF" w:rsidRDefault="002C0FD9" w:rsidP="00CA25CF">
            <w:pPr>
              <w:rPr>
                <w:rFonts w:cs="Arial"/>
                <w:color w:val="FF0000"/>
                <w:sz w:val="21"/>
                <w:szCs w:val="21"/>
              </w:rPr>
            </w:pPr>
          </w:p>
        </w:tc>
        <w:tc>
          <w:tcPr>
            <w:tcW w:w="217" w:type="dxa"/>
          </w:tcPr>
          <w:p w14:paraId="244A31BA" w14:textId="77777777" w:rsidR="002C0FD9" w:rsidRPr="00CA25CF" w:rsidRDefault="002C0FD9" w:rsidP="00CA25CF">
            <w:pPr>
              <w:rPr>
                <w:rFonts w:cs="Arial"/>
                <w:color w:val="FF0000"/>
                <w:sz w:val="21"/>
                <w:szCs w:val="21"/>
              </w:rPr>
            </w:pPr>
          </w:p>
        </w:tc>
        <w:tc>
          <w:tcPr>
            <w:tcW w:w="217" w:type="dxa"/>
          </w:tcPr>
          <w:p w14:paraId="4D627553" w14:textId="77777777" w:rsidR="002C0FD9" w:rsidRPr="00CA25CF" w:rsidRDefault="002C0FD9" w:rsidP="00CA25CF">
            <w:pPr>
              <w:rPr>
                <w:rFonts w:cs="Arial"/>
                <w:color w:val="FF0000"/>
                <w:sz w:val="21"/>
                <w:szCs w:val="21"/>
              </w:rPr>
            </w:pPr>
          </w:p>
        </w:tc>
        <w:tc>
          <w:tcPr>
            <w:tcW w:w="217" w:type="dxa"/>
          </w:tcPr>
          <w:p w14:paraId="553BD94D" w14:textId="77777777" w:rsidR="002C0FD9" w:rsidRPr="00CA25CF" w:rsidRDefault="002C0FD9" w:rsidP="00CA25CF">
            <w:pPr>
              <w:rPr>
                <w:rFonts w:cs="Arial"/>
                <w:color w:val="FF0000"/>
                <w:sz w:val="21"/>
                <w:szCs w:val="21"/>
              </w:rPr>
            </w:pPr>
          </w:p>
        </w:tc>
        <w:tc>
          <w:tcPr>
            <w:tcW w:w="217" w:type="dxa"/>
          </w:tcPr>
          <w:p w14:paraId="740C4B3E" w14:textId="77777777" w:rsidR="002C0FD9" w:rsidRPr="00CA25CF" w:rsidRDefault="002C0FD9" w:rsidP="00CA25CF">
            <w:pPr>
              <w:rPr>
                <w:rFonts w:cs="Arial"/>
                <w:color w:val="FF0000"/>
                <w:sz w:val="21"/>
                <w:szCs w:val="21"/>
              </w:rPr>
            </w:pPr>
          </w:p>
        </w:tc>
        <w:tc>
          <w:tcPr>
            <w:tcW w:w="217" w:type="dxa"/>
          </w:tcPr>
          <w:p w14:paraId="16AF756C" w14:textId="77777777" w:rsidR="002C0FD9" w:rsidRPr="00CA25CF" w:rsidRDefault="002C0FD9" w:rsidP="00CA25CF">
            <w:pPr>
              <w:rPr>
                <w:rFonts w:cs="Arial"/>
                <w:color w:val="FF0000"/>
                <w:sz w:val="21"/>
                <w:szCs w:val="21"/>
              </w:rPr>
            </w:pPr>
          </w:p>
        </w:tc>
        <w:tc>
          <w:tcPr>
            <w:tcW w:w="217" w:type="dxa"/>
          </w:tcPr>
          <w:p w14:paraId="6438794A" w14:textId="77777777" w:rsidR="002C0FD9" w:rsidRPr="00CA25CF" w:rsidRDefault="002C0FD9" w:rsidP="00CA25CF">
            <w:pPr>
              <w:rPr>
                <w:rFonts w:cs="Arial"/>
                <w:color w:val="FF0000"/>
                <w:sz w:val="21"/>
                <w:szCs w:val="21"/>
              </w:rPr>
            </w:pPr>
          </w:p>
        </w:tc>
        <w:tc>
          <w:tcPr>
            <w:tcW w:w="217" w:type="dxa"/>
          </w:tcPr>
          <w:p w14:paraId="6591E98B" w14:textId="77777777" w:rsidR="002C0FD9" w:rsidRPr="00CA25CF" w:rsidRDefault="002C0FD9" w:rsidP="00CA25CF">
            <w:pPr>
              <w:rPr>
                <w:rFonts w:cs="Arial"/>
                <w:color w:val="FF0000"/>
                <w:sz w:val="21"/>
                <w:szCs w:val="21"/>
              </w:rPr>
            </w:pPr>
          </w:p>
        </w:tc>
        <w:tc>
          <w:tcPr>
            <w:tcW w:w="217" w:type="dxa"/>
          </w:tcPr>
          <w:p w14:paraId="29B95549" w14:textId="77777777" w:rsidR="002C0FD9" w:rsidRPr="00CA25CF" w:rsidRDefault="002C0FD9" w:rsidP="00CA25CF">
            <w:pPr>
              <w:rPr>
                <w:rFonts w:cs="Arial"/>
                <w:color w:val="FF0000"/>
                <w:sz w:val="21"/>
                <w:szCs w:val="21"/>
              </w:rPr>
            </w:pPr>
          </w:p>
        </w:tc>
        <w:tc>
          <w:tcPr>
            <w:tcW w:w="217" w:type="dxa"/>
          </w:tcPr>
          <w:p w14:paraId="4609988D" w14:textId="77777777" w:rsidR="002C0FD9" w:rsidRPr="00CA25CF" w:rsidRDefault="002C0FD9" w:rsidP="00CA25CF">
            <w:pPr>
              <w:rPr>
                <w:rFonts w:cs="Arial"/>
                <w:color w:val="FF0000"/>
                <w:sz w:val="21"/>
                <w:szCs w:val="21"/>
              </w:rPr>
            </w:pPr>
          </w:p>
        </w:tc>
        <w:tc>
          <w:tcPr>
            <w:tcW w:w="217" w:type="dxa"/>
          </w:tcPr>
          <w:p w14:paraId="792E3A8D" w14:textId="77777777" w:rsidR="002C0FD9" w:rsidRPr="00CA25CF" w:rsidRDefault="002C0FD9" w:rsidP="00CA25CF">
            <w:pPr>
              <w:rPr>
                <w:rFonts w:cs="Arial"/>
                <w:color w:val="FF0000"/>
                <w:sz w:val="21"/>
                <w:szCs w:val="21"/>
              </w:rPr>
            </w:pPr>
          </w:p>
        </w:tc>
        <w:tc>
          <w:tcPr>
            <w:tcW w:w="217" w:type="dxa"/>
          </w:tcPr>
          <w:p w14:paraId="7D89318C" w14:textId="77777777" w:rsidR="002C0FD9" w:rsidRPr="00CA25CF" w:rsidRDefault="002C0FD9" w:rsidP="00CA25CF">
            <w:pPr>
              <w:rPr>
                <w:rFonts w:cs="Arial"/>
                <w:color w:val="FF0000"/>
                <w:sz w:val="21"/>
                <w:szCs w:val="21"/>
              </w:rPr>
            </w:pPr>
          </w:p>
        </w:tc>
        <w:tc>
          <w:tcPr>
            <w:tcW w:w="217" w:type="dxa"/>
          </w:tcPr>
          <w:p w14:paraId="133ED181" w14:textId="77777777" w:rsidR="002C0FD9" w:rsidRPr="00CA25CF" w:rsidRDefault="002C0FD9" w:rsidP="00CA25CF">
            <w:pPr>
              <w:rPr>
                <w:rFonts w:cs="Arial"/>
                <w:color w:val="FF0000"/>
                <w:sz w:val="21"/>
                <w:szCs w:val="21"/>
              </w:rPr>
            </w:pPr>
          </w:p>
        </w:tc>
      </w:tr>
      <w:tr w:rsidR="002C0FD9" w:rsidRPr="00A16219" w14:paraId="4D1665A1" w14:textId="75B98759" w:rsidTr="002C0FD9">
        <w:trPr>
          <w:trHeight w:val="635"/>
        </w:trPr>
        <w:tc>
          <w:tcPr>
            <w:tcW w:w="515" w:type="dxa"/>
          </w:tcPr>
          <w:p w14:paraId="2CB7AE1F" w14:textId="77777777" w:rsidR="002C0FD9" w:rsidRPr="00CA25CF" w:rsidRDefault="002C0FD9" w:rsidP="00CA25CF">
            <w:pPr>
              <w:rPr>
                <w:rFonts w:cs="Arial"/>
                <w:color w:val="FF0000"/>
                <w:sz w:val="21"/>
                <w:szCs w:val="21"/>
              </w:rPr>
            </w:pPr>
          </w:p>
        </w:tc>
        <w:tc>
          <w:tcPr>
            <w:tcW w:w="217" w:type="dxa"/>
          </w:tcPr>
          <w:p w14:paraId="3A84DA97" w14:textId="77777777" w:rsidR="002C0FD9" w:rsidRPr="00CA25CF" w:rsidRDefault="002C0FD9" w:rsidP="00CA25CF">
            <w:pPr>
              <w:rPr>
                <w:rFonts w:cs="Arial"/>
                <w:color w:val="FF0000"/>
                <w:sz w:val="21"/>
                <w:szCs w:val="21"/>
              </w:rPr>
            </w:pPr>
          </w:p>
        </w:tc>
        <w:tc>
          <w:tcPr>
            <w:tcW w:w="217" w:type="dxa"/>
          </w:tcPr>
          <w:p w14:paraId="1D9F98A1" w14:textId="4124C420" w:rsidR="002C0FD9" w:rsidRPr="00CA25CF" w:rsidRDefault="002C0FD9" w:rsidP="00CA25CF">
            <w:pPr>
              <w:rPr>
                <w:rFonts w:cs="Arial"/>
                <w:color w:val="FF0000"/>
                <w:sz w:val="21"/>
                <w:szCs w:val="21"/>
              </w:rPr>
            </w:pPr>
          </w:p>
        </w:tc>
        <w:tc>
          <w:tcPr>
            <w:tcW w:w="217" w:type="dxa"/>
          </w:tcPr>
          <w:p w14:paraId="14AAD9A7" w14:textId="77777777" w:rsidR="002C0FD9" w:rsidRPr="00CA25CF" w:rsidRDefault="002C0FD9" w:rsidP="00CA25CF">
            <w:pPr>
              <w:rPr>
                <w:rFonts w:cs="Arial"/>
                <w:color w:val="FF0000"/>
                <w:sz w:val="21"/>
                <w:szCs w:val="21"/>
              </w:rPr>
            </w:pPr>
          </w:p>
        </w:tc>
        <w:tc>
          <w:tcPr>
            <w:tcW w:w="217" w:type="dxa"/>
          </w:tcPr>
          <w:p w14:paraId="0EAF2944" w14:textId="633573DD" w:rsidR="002C0FD9" w:rsidRPr="00CA25CF" w:rsidRDefault="002C0FD9" w:rsidP="00CA25CF">
            <w:pPr>
              <w:rPr>
                <w:rFonts w:cs="Arial"/>
                <w:color w:val="FF0000"/>
                <w:sz w:val="21"/>
                <w:szCs w:val="21"/>
              </w:rPr>
            </w:pPr>
          </w:p>
        </w:tc>
        <w:tc>
          <w:tcPr>
            <w:tcW w:w="217" w:type="dxa"/>
          </w:tcPr>
          <w:p w14:paraId="70CEC1D5" w14:textId="77777777" w:rsidR="002C0FD9" w:rsidRPr="00CA25CF" w:rsidRDefault="002C0FD9" w:rsidP="00CA25CF">
            <w:pPr>
              <w:rPr>
                <w:rFonts w:cs="Arial"/>
                <w:color w:val="FF0000"/>
                <w:sz w:val="21"/>
                <w:szCs w:val="21"/>
              </w:rPr>
            </w:pPr>
          </w:p>
        </w:tc>
        <w:tc>
          <w:tcPr>
            <w:tcW w:w="217" w:type="dxa"/>
          </w:tcPr>
          <w:p w14:paraId="46EF080E" w14:textId="77777777" w:rsidR="002C0FD9" w:rsidRPr="00CA25CF" w:rsidRDefault="002C0FD9" w:rsidP="00CA25CF">
            <w:pPr>
              <w:rPr>
                <w:rFonts w:cs="Arial"/>
                <w:color w:val="FF0000"/>
                <w:sz w:val="21"/>
                <w:szCs w:val="21"/>
              </w:rPr>
            </w:pPr>
          </w:p>
        </w:tc>
        <w:tc>
          <w:tcPr>
            <w:tcW w:w="217" w:type="dxa"/>
          </w:tcPr>
          <w:p w14:paraId="5B14EEB4" w14:textId="77777777" w:rsidR="002C0FD9" w:rsidRPr="00CA25CF" w:rsidRDefault="002C0FD9" w:rsidP="00CA25CF">
            <w:pPr>
              <w:rPr>
                <w:rFonts w:cs="Arial"/>
                <w:color w:val="FF0000"/>
                <w:sz w:val="21"/>
                <w:szCs w:val="21"/>
              </w:rPr>
            </w:pPr>
          </w:p>
        </w:tc>
        <w:tc>
          <w:tcPr>
            <w:tcW w:w="217" w:type="dxa"/>
          </w:tcPr>
          <w:p w14:paraId="7FEAD575" w14:textId="77777777" w:rsidR="002C0FD9" w:rsidRPr="00CA25CF" w:rsidRDefault="002C0FD9" w:rsidP="00CA25CF">
            <w:pPr>
              <w:rPr>
                <w:rFonts w:cs="Arial"/>
                <w:color w:val="FF0000"/>
                <w:sz w:val="21"/>
                <w:szCs w:val="21"/>
              </w:rPr>
            </w:pPr>
          </w:p>
        </w:tc>
        <w:tc>
          <w:tcPr>
            <w:tcW w:w="217" w:type="dxa"/>
          </w:tcPr>
          <w:p w14:paraId="6F0BF312" w14:textId="77777777" w:rsidR="002C0FD9" w:rsidRPr="00CA25CF" w:rsidRDefault="002C0FD9" w:rsidP="00CA25CF">
            <w:pPr>
              <w:rPr>
                <w:rFonts w:cs="Arial"/>
                <w:color w:val="FF0000"/>
                <w:sz w:val="21"/>
                <w:szCs w:val="21"/>
              </w:rPr>
            </w:pPr>
          </w:p>
        </w:tc>
        <w:tc>
          <w:tcPr>
            <w:tcW w:w="217" w:type="dxa"/>
          </w:tcPr>
          <w:p w14:paraId="3878FD30" w14:textId="77777777" w:rsidR="002C0FD9" w:rsidRPr="00CA25CF" w:rsidRDefault="002C0FD9" w:rsidP="00CA25CF">
            <w:pPr>
              <w:rPr>
                <w:rFonts w:cs="Arial"/>
                <w:color w:val="FF0000"/>
                <w:sz w:val="21"/>
                <w:szCs w:val="21"/>
              </w:rPr>
            </w:pPr>
          </w:p>
        </w:tc>
        <w:tc>
          <w:tcPr>
            <w:tcW w:w="217" w:type="dxa"/>
          </w:tcPr>
          <w:p w14:paraId="1495F9D3" w14:textId="77777777" w:rsidR="002C0FD9" w:rsidRPr="00CA25CF" w:rsidRDefault="002C0FD9" w:rsidP="00CA25CF">
            <w:pPr>
              <w:rPr>
                <w:rFonts w:cs="Arial"/>
                <w:color w:val="FF0000"/>
                <w:sz w:val="21"/>
                <w:szCs w:val="21"/>
              </w:rPr>
            </w:pPr>
          </w:p>
        </w:tc>
        <w:tc>
          <w:tcPr>
            <w:tcW w:w="217" w:type="dxa"/>
          </w:tcPr>
          <w:p w14:paraId="589DCFE5" w14:textId="77777777" w:rsidR="002C0FD9" w:rsidRPr="00CA25CF" w:rsidRDefault="002C0FD9" w:rsidP="00CA25CF">
            <w:pPr>
              <w:rPr>
                <w:rFonts w:cs="Arial"/>
                <w:color w:val="FF0000"/>
                <w:sz w:val="21"/>
                <w:szCs w:val="21"/>
              </w:rPr>
            </w:pPr>
          </w:p>
        </w:tc>
        <w:tc>
          <w:tcPr>
            <w:tcW w:w="217" w:type="dxa"/>
          </w:tcPr>
          <w:p w14:paraId="393D5F88" w14:textId="77777777" w:rsidR="002C0FD9" w:rsidRPr="00CA25CF" w:rsidRDefault="002C0FD9" w:rsidP="00CA25CF">
            <w:pPr>
              <w:rPr>
                <w:rFonts w:cs="Arial"/>
                <w:color w:val="FF0000"/>
                <w:sz w:val="21"/>
                <w:szCs w:val="21"/>
              </w:rPr>
            </w:pPr>
          </w:p>
        </w:tc>
        <w:tc>
          <w:tcPr>
            <w:tcW w:w="217" w:type="dxa"/>
          </w:tcPr>
          <w:p w14:paraId="0286A7FF" w14:textId="77777777" w:rsidR="002C0FD9" w:rsidRPr="00CA25CF" w:rsidRDefault="002C0FD9" w:rsidP="00CA25CF">
            <w:pPr>
              <w:rPr>
                <w:rFonts w:cs="Arial"/>
                <w:color w:val="FF0000"/>
                <w:sz w:val="21"/>
                <w:szCs w:val="21"/>
              </w:rPr>
            </w:pPr>
          </w:p>
        </w:tc>
        <w:tc>
          <w:tcPr>
            <w:tcW w:w="217" w:type="dxa"/>
          </w:tcPr>
          <w:p w14:paraId="198011B1" w14:textId="02BF4C9D" w:rsidR="002C0FD9" w:rsidRPr="00CA25CF" w:rsidRDefault="002C0FD9" w:rsidP="00CA25CF">
            <w:pPr>
              <w:rPr>
                <w:rFonts w:cs="Arial"/>
                <w:color w:val="FF0000"/>
                <w:sz w:val="21"/>
                <w:szCs w:val="21"/>
              </w:rPr>
            </w:pPr>
          </w:p>
        </w:tc>
        <w:tc>
          <w:tcPr>
            <w:tcW w:w="217" w:type="dxa"/>
          </w:tcPr>
          <w:p w14:paraId="6133807A" w14:textId="77777777" w:rsidR="002C0FD9" w:rsidRPr="00CA25CF" w:rsidRDefault="002C0FD9" w:rsidP="00CA25CF">
            <w:pPr>
              <w:rPr>
                <w:rFonts w:cs="Arial"/>
                <w:color w:val="FF0000"/>
                <w:sz w:val="21"/>
                <w:szCs w:val="21"/>
              </w:rPr>
            </w:pPr>
          </w:p>
        </w:tc>
        <w:tc>
          <w:tcPr>
            <w:tcW w:w="217" w:type="dxa"/>
          </w:tcPr>
          <w:p w14:paraId="0FD4BC9D" w14:textId="77777777" w:rsidR="002C0FD9" w:rsidRPr="00CA25CF" w:rsidRDefault="002C0FD9" w:rsidP="00CA25CF">
            <w:pPr>
              <w:rPr>
                <w:rFonts w:cs="Arial"/>
                <w:color w:val="FF0000"/>
                <w:sz w:val="21"/>
                <w:szCs w:val="21"/>
              </w:rPr>
            </w:pPr>
          </w:p>
        </w:tc>
        <w:tc>
          <w:tcPr>
            <w:tcW w:w="217" w:type="dxa"/>
          </w:tcPr>
          <w:p w14:paraId="6F5482E9" w14:textId="77777777" w:rsidR="002C0FD9" w:rsidRPr="00CA25CF" w:rsidRDefault="002C0FD9" w:rsidP="00CA25CF">
            <w:pPr>
              <w:rPr>
                <w:rFonts w:cs="Arial"/>
                <w:color w:val="FF0000"/>
                <w:sz w:val="21"/>
                <w:szCs w:val="21"/>
              </w:rPr>
            </w:pPr>
          </w:p>
        </w:tc>
        <w:tc>
          <w:tcPr>
            <w:tcW w:w="217" w:type="dxa"/>
          </w:tcPr>
          <w:p w14:paraId="182F2779" w14:textId="77777777" w:rsidR="002C0FD9" w:rsidRPr="00CA25CF" w:rsidRDefault="002C0FD9" w:rsidP="00CA25CF">
            <w:pPr>
              <w:rPr>
                <w:rFonts w:cs="Arial"/>
                <w:color w:val="FF0000"/>
                <w:sz w:val="21"/>
                <w:szCs w:val="21"/>
              </w:rPr>
            </w:pPr>
          </w:p>
        </w:tc>
        <w:tc>
          <w:tcPr>
            <w:tcW w:w="217" w:type="dxa"/>
          </w:tcPr>
          <w:p w14:paraId="640A05FA" w14:textId="77777777" w:rsidR="002C0FD9" w:rsidRPr="00CA25CF" w:rsidRDefault="002C0FD9" w:rsidP="00CA25CF">
            <w:pPr>
              <w:rPr>
                <w:rFonts w:cs="Arial"/>
                <w:color w:val="FF0000"/>
                <w:sz w:val="21"/>
                <w:szCs w:val="21"/>
              </w:rPr>
            </w:pPr>
          </w:p>
        </w:tc>
        <w:tc>
          <w:tcPr>
            <w:tcW w:w="217" w:type="dxa"/>
          </w:tcPr>
          <w:p w14:paraId="6F942A6C" w14:textId="77777777" w:rsidR="002C0FD9" w:rsidRPr="00CA25CF" w:rsidRDefault="002C0FD9" w:rsidP="00CA25CF">
            <w:pPr>
              <w:rPr>
                <w:rFonts w:cs="Arial"/>
                <w:color w:val="FF0000"/>
                <w:sz w:val="21"/>
                <w:szCs w:val="21"/>
              </w:rPr>
            </w:pPr>
          </w:p>
        </w:tc>
        <w:tc>
          <w:tcPr>
            <w:tcW w:w="217" w:type="dxa"/>
          </w:tcPr>
          <w:p w14:paraId="698A6474" w14:textId="77777777" w:rsidR="002C0FD9" w:rsidRPr="00CA25CF" w:rsidRDefault="002C0FD9" w:rsidP="00CA25CF">
            <w:pPr>
              <w:rPr>
                <w:rFonts w:cs="Arial"/>
                <w:color w:val="FF0000"/>
                <w:sz w:val="21"/>
                <w:szCs w:val="21"/>
              </w:rPr>
            </w:pPr>
          </w:p>
        </w:tc>
        <w:tc>
          <w:tcPr>
            <w:tcW w:w="217" w:type="dxa"/>
          </w:tcPr>
          <w:p w14:paraId="7D3CB165" w14:textId="77777777" w:rsidR="002C0FD9" w:rsidRPr="00CA25CF" w:rsidRDefault="002C0FD9" w:rsidP="00CA25CF">
            <w:pPr>
              <w:rPr>
                <w:rFonts w:cs="Arial"/>
                <w:color w:val="FF0000"/>
                <w:sz w:val="21"/>
                <w:szCs w:val="21"/>
              </w:rPr>
            </w:pPr>
          </w:p>
        </w:tc>
        <w:tc>
          <w:tcPr>
            <w:tcW w:w="217" w:type="dxa"/>
          </w:tcPr>
          <w:p w14:paraId="1C6E682E" w14:textId="77777777" w:rsidR="002C0FD9" w:rsidRPr="00CA25CF" w:rsidRDefault="002C0FD9" w:rsidP="00CA25CF">
            <w:pPr>
              <w:rPr>
                <w:rFonts w:cs="Arial"/>
                <w:color w:val="FF0000"/>
                <w:sz w:val="21"/>
                <w:szCs w:val="21"/>
              </w:rPr>
            </w:pPr>
          </w:p>
        </w:tc>
        <w:tc>
          <w:tcPr>
            <w:tcW w:w="217" w:type="dxa"/>
          </w:tcPr>
          <w:p w14:paraId="529F632F" w14:textId="77777777" w:rsidR="002C0FD9" w:rsidRPr="00CA25CF" w:rsidRDefault="002C0FD9" w:rsidP="00CA25CF">
            <w:pPr>
              <w:rPr>
                <w:rFonts w:cs="Arial"/>
                <w:color w:val="FF0000"/>
                <w:sz w:val="21"/>
                <w:szCs w:val="21"/>
              </w:rPr>
            </w:pPr>
          </w:p>
        </w:tc>
        <w:tc>
          <w:tcPr>
            <w:tcW w:w="217" w:type="dxa"/>
          </w:tcPr>
          <w:p w14:paraId="47ACDDF0" w14:textId="77777777" w:rsidR="002C0FD9" w:rsidRPr="00CA25CF" w:rsidRDefault="002C0FD9" w:rsidP="00CA25CF">
            <w:pPr>
              <w:rPr>
                <w:rFonts w:cs="Arial"/>
                <w:color w:val="FF0000"/>
                <w:sz w:val="21"/>
                <w:szCs w:val="21"/>
              </w:rPr>
            </w:pPr>
          </w:p>
        </w:tc>
        <w:tc>
          <w:tcPr>
            <w:tcW w:w="217" w:type="dxa"/>
          </w:tcPr>
          <w:p w14:paraId="4DCB0E30" w14:textId="77777777" w:rsidR="002C0FD9" w:rsidRPr="00CA25CF" w:rsidRDefault="002C0FD9" w:rsidP="00CA25CF">
            <w:pPr>
              <w:rPr>
                <w:rFonts w:cs="Arial"/>
                <w:color w:val="FF0000"/>
                <w:sz w:val="21"/>
                <w:szCs w:val="21"/>
              </w:rPr>
            </w:pPr>
          </w:p>
        </w:tc>
        <w:tc>
          <w:tcPr>
            <w:tcW w:w="217" w:type="dxa"/>
          </w:tcPr>
          <w:p w14:paraId="01EC24A7" w14:textId="77777777" w:rsidR="002C0FD9" w:rsidRPr="00CA25CF" w:rsidRDefault="002C0FD9" w:rsidP="00CA25CF">
            <w:pPr>
              <w:rPr>
                <w:rFonts w:cs="Arial"/>
                <w:color w:val="FF0000"/>
                <w:sz w:val="21"/>
                <w:szCs w:val="21"/>
              </w:rPr>
            </w:pPr>
          </w:p>
        </w:tc>
        <w:tc>
          <w:tcPr>
            <w:tcW w:w="217" w:type="dxa"/>
          </w:tcPr>
          <w:p w14:paraId="5B46CCA5" w14:textId="77777777" w:rsidR="002C0FD9" w:rsidRPr="00CA25CF" w:rsidRDefault="002C0FD9" w:rsidP="00CA25CF">
            <w:pPr>
              <w:rPr>
                <w:rFonts w:cs="Arial"/>
                <w:color w:val="FF0000"/>
                <w:sz w:val="21"/>
                <w:szCs w:val="21"/>
              </w:rPr>
            </w:pPr>
          </w:p>
        </w:tc>
        <w:tc>
          <w:tcPr>
            <w:tcW w:w="217" w:type="dxa"/>
          </w:tcPr>
          <w:p w14:paraId="4625B5B4" w14:textId="77777777" w:rsidR="002C0FD9" w:rsidRPr="00CA25CF" w:rsidRDefault="002C0FD9" w:rsidP="00CA25CF">
            <w:pPr>
              <w:rPr>
                <w:rFonts w:cs="Arial"/>
                <w:color w:val="FF0000"/>
                <w:sz w:val="21"/>
                <w:szCs w:val="21"/>
              </w:rPr>
            </w:pPr>
          </w:p>
        </w:tc>
        <w:tc>
          <w:tcPr>
            <w:tcW w:w="217" w:type="dxa"/>
          </w:tcPr>
          <w:p w14:paraId="2FB88A1E" w14:textId="77777777" w:rsidR="002C0FD9" w:rsidRPr="00CA25CF" w:rsidRDefault="002C0FD9" w:rsidP="00CA25CF">
            <w:pPr>
              <w:rPr>
                <w:rFonts w:cs="Arial"/>
                <w:color w:val="FF0000"/>
                <w:sz w:val="21"/>
                <w:szCs w:val="21"/>
              </w:rPr>
            </w:pPr>
          </w:p>
        </w:tc>
        <w:tc>
          <w:tcPr>
            <w:tcW w:w="217" w:type="dxa"/>
          </w:tcPr>
          <w:p w14:paraId="55975E90" w14:textId="77777777" w:rsidR="002C0FD9" w:rsidRPr="00CA25CF" w:rsidRDefault="002C0FD9" w:rsidP="00CA25CF">
            <w:pPr>
              <w:rPr>
                <w:rFonts w:cs="Arial"/>
                <w:color w:val="FF0000"/>
                <w:sz w:val="21"/>
                <w:szCs w:val="21"/>
              </w:rPr>
            </w:pPr>
          </w:p>
        </w:tc>
        <w:tc>
          <w:tcPr>
            <w:tcW w:w="217" w:type="dxa"/>
          </w:tcPr>
          <w:p w14:paraId="2B13A6F6" w14:textId="77777777" w:rsidR="002C0FD9" w:rsidRPr="00CA25CF" w:rsidRDefault="002C0FD9" w:rsidP="00CA25CF">
            <w:pPr>
              <w:rPr>
                <w:rFonts w:cs="Arial"/>
                <w:color w:val="FF0000"/>
                <w:sz w:val="21"/>
                <w:szCs w:val="21"/>
              </w:rPr>
            </w:pPr>
          </w:p>
        </w:tc>
        <w:tc>
          <w:tcPr>
            <w:tcW w:w="217" w:type="dxa"/>
          </w:tcPr>
          <w:p w14:paraId="2BF8ED61" w14:textId="77777777" w:rsidR="002C0FD9" w:rsidRPr="00CA25CF" w:rsidRDefault="002C0FD9" w:rsidP="00CA25CF">
            <w:pPr>
              <w:rPr>
                <w:rFonts w:cs="Arial"/>
                <w:color w:val="FF0000"/>
                <w:sz w:val="21"/>
                <w:szCs w:val="21"/>
              </w:rPr>
            </w:pPr>
          </w:p>
        </w:tc>
        <w:tc>
          <w:tcPr>
            <w:tcW w:w="217" w:type="dxa"/>
          </w:tcPr>
          <w:p w14:paraId="07B77D0E" w14:textId="77777777" w:rsidR="002C0FD9" w:rsidRPr="00CA25CF" w:rsidRDefault="002C0FD9" w:rsidP="00CA25CF">
            <w:pPr>
              <w:rPr>
                <w:rFonts w:cs="Arial"/>
                <w:color w:val="FF0000"/>
                <w:sz w:val="21"/>
                <w:szCs w:val="21"/>
              </w:rPr>
            </w:pPr>
          </w:p>
        </w:tc>
        <w:tc>
          <w:tcPr>
            <w:tcW w:w="217" w:type="dxa"/>
          </w:tcPr>
          <w:p w14:paraId="25453B42" w14:textId="77777777" w:rsidR="002C0FD9" w:rsidRPr="00CA25CF" w:rsidRDefault="002C0FD9" w:rsidP="00CA25CF">
            <w:pPr>
              <w:rPr>
                <w:rFonts w:cs="Arial"/>
                <w:color w:val="FF0000"/>
                <w:sz w:val="21"/>
                <w:szCs w:val="21"/>
              </w:rPr>
            </w:pPr>
          </w:p>
        </w:tc>
        <w:tc>
          <w:tcPr>
            <w:tcW w:w="217" w:type="dxa"/>
          </w:tcPr>
          <w:p w14:paraId="6BFF1D27" w14:textId="77777777" w:rsidR="002C0FD9" w:rsidRPr="00CA25CF" w:rsidRDefault="002C0FD9" w:rsidP="00CA25CF">
            <w:pPr>
              <w:rPr>
                <w:rFonts w:cs="Arial"/>
                <w:color w:val="FF0000"/>
                <w:sz w:val="21"/>
                <w:szCs w:val="21"/>
              </w:rPr>
            </w:pPr>
          </w:p>
        </w:tc>
        <w:tc>
          <w:tcPr>
            <w:tcW w:w="217" w:type="dxa"/>
          </w:tcPr>
          <w:p w14:paraId="350E5AA1" w14:textId="77777777" w:rsidR="002C0FD9" w:rsidRPr="00CA25CF" w:rsidRDefault="002C0FD9" w:rsidP="00CA25CF">
            <w:pPr>
              <w:rPr>
                <w:rFonts w:cs="Arial"/>
                <w:color w:val="FF0000"/>
                <w:sz w:val="21"/>
                <w:szCs w:val="21"/>
              </w:rPr>
            </w:pPr>
          </w:p>
        </w:tc>
        <w:tc>
          <w:tcPr>
            <w:tcW w:w="217" w:type="dxa"/>
          </w:tcPr>
          <w:p w14:paraId="02B796E7" w14:textId="77777777" w:rsidR="002C0FD9" w:rsidRPr="00CA25CF" w:rsidRDefault="002C0FD9" w:rsidP="00CA25CF">
            <w:pPr>
              <w:rPr>
                <w:rFonts w:cs="Arial"/>
                <w:color w:val="FF0000"/>
                <w:sz w:val="21"/>
                <w:szCs w:val="21"/>
              </w:rPr>
            </w:pPr>
          </w:p>
        </w:tc>
        <w:tc>
          <w:tcPr>
            <w:tcW w:w="217" w:type="dxa"/>
          </w:tcPr>
          <w:p w14:paraId="5824C92C" w14:textId="77777777" w:rsidR="002C0FD9" w:rsidRPr="00CA25CF" w:rsidRDefault="002C0FD9" w:rsidP="00CA25CF">
            <w:pPr>
              <w:rPr>
                <w:rFonts w:cs="Arial"/>
                <w:color w:val="FF0000"/>
                <w:sz w:val="21"/>
                <w:szCs w:val="21"/>
              </w:rPr>
            </w:pPr>
          </w:p>
        </w:tc>
        <w:tc>
          <w:tcPr>
            <w:tcW w:w="217" w:type="dxa"/>
          </w:tcPr>
          <w:p w14:paraId="1646921A" w14:textId="77777777" w:rsidR="002C0FD9" w:rsidRPr="00CA25CF" w:rsidRDefault="002C0FD9" w:rsidP="00CA25CF">
            <w:pPr>
              <w:rPr>
                <w:rFonts w:cs="Arial"/>
                <w:color w:val="FF0000"/>
                <w:sz w:val="21"/>
                <w:szCs w:val="21"/>
              </w:rPr>
            </w:pPr>
          </w:p>
        </w:tc>
        <w:tc>
          <w:tcPr>
            <w:tcW w:w="217" w:type="dxa"/>
          </w:tcPr>
          <w:p w14:paraId="2C5FB641" w14:textId="77777777" w:rsidR="002C0FD9" w:rsidRPr="00CA25CF" w:rsidRDefault="002C0FD9" w:rsidP="00CA25CF">
            <w:pPr>
              <w:rPr>
                <w:rFonts w:cs="Arial"/>
                <w:color w:val="FF0000"/>
                <w:sz w:val="21"/>
                <w:szCs w:val="21"/>
              </w:rPr>
            </w:pPr>
          </w:p>
        </w:tc>
      </w:tr>
      <w:tr w:rsidR="002C0FD9" w:rsidRPr="00A16219" w14:paraId="3E12661A" w14:textId="16C09E9A" w:rsidTr="002C0FD9">
        <w:trPr>
          <w:trHeight w:val="635"/>
        </w:trPr>
        <w:tc>
          <w:tcPr>
            <w:tcW w:w="515" w:type="dxa"/>
          </w:tcPr>
          <w:p w14:paraId="6F459D17" w14:textId="77777777" w:rsidR="002C0FD9" w:rsidRPr="00CA25CF" w:rsidRDefault="002C0FD9" w:rsidP="00CA25CF">
            <w:pPr>
              <w:rPr>
                <w:rFonts w:cs="Arial"/>
                <w:color w:val="FF0000"/>
                <w:sz w:val="21"/>
                <w:szCs w:val="21"/>
              </w:rPr>
            </w:pPr>
          </w:p>
        </w:tc>
        <w:tc>
          <w:tcPr>
            <w:tcW w:w="217" w:type="dxa"/>
          </w:tcPr>
          <w:p w14:paraId="50155862" w14:textId="77777777" w:rsidR="002C0FD9" w:rsidRPr="00CA25CF" w:rsidRDefault="002C0FD9" w:rsidP="00CA25CF">
            <w:pPr>
              <w:rPr>
                <w:rFonts w:cs="Arial"/>
                <w:color w:val="FF0000"/>
                <w:sz w:val="21"/>
                <w:szCs w:val="21"/>
              </w:rPr>
            </w:pPr>
          </w:p>
        </w:tc>
        <w:tc>
          <w:tcPr>
            <w:tcW w:w="217" w:type="dxa"/>
          </w:tcPr>
          <w:p w14:paraId="5CA85FC2" w14:textId="473825F7" w:rsidR="002C0FD9" w:rsidRPr="00CA25CF" w:rsidRDefault="002C0FD9" w:rsidP="00CA25CF">
            <w:pPr>
              <w:rPr>
                <w:rFonts w:cs="Arial"/>
                <w:color w:val="FF0000"/>
                <w:sz w:val="21"/>
                <w:szCs w:val="21"/>
              </w:rPr>
            </w:pPr>
          </w:p>
        </w:tc>
        <w:tc>
          <w:tcPr>
            <w:tcW w:w="217" w:type="dxa"/>
          </w:tcPr>
          <w:p w14:paraId="510CE851" w14:textId="77777777" w:rsidR="002C0FD9" w:rsidRPr="00CA25CF" w:rsidRDefault="002C0FD9" w:rsidP="00CA25CF">
            <w:pPr>
              <w:rPr>
                <w:rFonts w:cs="Arial"/>
                <w:color w:val="FF0000"/>
                <w:sz w:val="21"/>
                <w:szCs w:val="21"/>
              </w:rPr>
            </w:pPr>
          </w:p>
        </w:tc>
        <w:tc>
          <w:tcPr>
            <w:tcW w:w="217" w:type="dxa"/>
          </w:tcPr>
          <w:p w14:paraId="426E7E9A" w14:textId="39BADF15" w:rsidR="002C0FD9" w:rsidRPr="00CA25CF" w:rsidRDefault="002C0FD9" w:rsidP="00CA25CF">
            <w:pPr>
              <w:rPr>
                <w:rFonts w:cs="Arial"/>
                <w:color w:val="FF0000"/>
                <w:sz w:val="21"/>
                <w:szCs w:val="21"/>
              </w:rPr>
            </w:pPr>
          </w:p>
        </w:tc>
        <w:tc>
          <w:tcPr>
            <w:tcW w:w="217" w:type="dxa"/>
          </w:tcPr>
          <w:p w14:paraId="23FBADB8" w14:textId="77777777" w:rsidR="002C0FD9" w:rsidRPr="00CA25CF" w:rsidRDefault="002C0FD9" w:rsidP="00CA25CF">
            <w:pPr>
              <w:rPr>
                <w:rFonts w:cs="Arial"/>
                <w:color w:val="FF0000"/>
                <w:sz w:val="21"/>
                <w:szCs w:val="21"/>
              </w:rPr>
            </w:pPr>
          </w:p>
        </w:tc>
        <w:tc>
          <w:tcPr>
            <w:tcW w:w="217" w:type="dxa"/>
          </w:tcPr>
          <w:p w14:paraId="0944222C" w14:textId="77777777" w:rsidR="002C0FD9" w:rsidRPr="00CA25CF" w:rsidRDefault="002C0FD9" w:rsidP="00CA25CF">
            <w:pPr>
              <w:rPr>
                <w:rFonts w:cs="Arial"/>
                <w:color w:val="FF0000"/>
                <w:sz w:val="21"/>
                <w:szCs w:val="21"/>
              </w:rPr>
            </w:pPr>
          </w:p>
        </w:tc>
        <w:tc>
          <w:tcPr>
            <w:tcW w:w="217" w:type="dxa"/>
          </w:tcPr>
          <w:p w14:paraId="15DF998D" w14:textId="77777777" w:rsidR="002C0FD9" w:rsidRPr="00CA25CF" w:rsidRDefault="002C0FD9" w:rsidP="00CA25CF">
            <w:pPr>
              <w:rPr>
                <w:rFonts w:cs="Arial"/>
                <w:color w:val="FF0000"/>
                <w:sz w:val="21"/>
                <w:szCs w:val="21"/>
              </w:rPr>
            </w:pPr>
          </w:p>
        </w:tc>
        <w:tc>
          <w:tcPr>
            <w:tcW w:w="217" w:type="dxa"/>
          </w:tcPr>
          <w:p w14:paraId="091966DA" w14:textId="77777777" w:rsidR="002C0FD9" w:rsidRPr="00CA25CF" w:rsidRDefault="002C0FD9" w:rsidP="00CA25CF">
            <w:pPr>
              <w:rPr>
                <w:rFonts w:cs="Arial"/>
                <w:color w:val="FF0000"/>
                <w:sz w:val="21"/>
                <w:szCs w:val="21"/>
              </w:rPr>
            </w:pPr>
          </w:p>
        </w:tc>
        <w:tc>
          <w:tcPr>
            <w:tcW w:w="217" w:type="dxa"/>
          </w:tcPr>
          <w:p w14:paraId="2E8B7DED" w14:textId="77777777" w:rsidR="002C0FD9" w:rsidRPr="00CA25CF" w:rsidRDefault="002C0FD9" w:rsidP="00CA25CF">
            <w:pPr>
              <w:rPr>
                <w:rFonts w:cs="Arial"/>
                <w:color w:val="FF0000"/>
                <w:sz w:val="21"/>
                <w:szCs w:val="21"/>
              </w:rPr>
            </w:pPr>
          </w:p>
        </w:tc>
        <w:tc>
          <w:tcPr>
            <w:tcW w:w="217" w:type="dxa"/>
          </w:tcPr>
          <w:p w14:paraId="386AAE61" w14:textId="77777777" w:rsidR="002C0FD9" w:rsidRPr="00CA25CF" w:rsidRDefault="002C0FD9" w:rsidP="00CA25CF">
            <w:pPr>
              <w:rPr>
                <w:rFonts w:cs="Arial"/>
                <w:color w:val="FF0000"/>
                <w:sz w:val="21"/>
                <w:szCs w:val="21"/>
              </w:rPr>
            </w:pPr>
          </w:p>
        </w:tc>
        <w:tc>
          <w:tcPr>
            <w:tcW w:w="217" w:type="dxa"/>
          </w:tcPr>
          <w:p w14:paraId="6FB09943" w14:textId="77777777" w:rsidR="002C0FD9" w:rsidRPr="00CA25CF" w:rsidRDefault="002C0FD9" w:rsidP="00CA25CF">
            <w:pPr>
              <w:rPr>
                <w:rFonts w:cs="Arial"/>
                <w:color w:val="FF0000"/>
                <w:sz w:val="21"/>
                <w:szCs w:val="21"/>
              </w:rPr>
            </w:pPr>
          </w:p>
        </w:tc>
        <w:tc>
          <w:tcPr>
            <w:tcW w:w="217" w:type="dxa"/>
          </w:tcPr>
          <w:p w14:paraId="64F495A6" w14:textId="77777777" w:rsidR="002C0FD9" w:rsidRPr="00CA25CF" w:rsidRDefault="002C0FD9" w:rsidP="00CA25CF">
            <w:pPr>
              <w:rPr>
                <w:rFonts w:cs="Arial"/>
                <w:color w:val="FF0000"/>
                <w:sz w:val="21"/>
                <w:szCs w:val="21"/>
              </w:rPr>
            </w:pPr>
          </w:p>
        </w:tc>
        <w:tc>
          <w:tcPr>
            <w:tcW w:w="217" w:type="dxa"/>
          </w:tcPr>
          <w:p w14:paraId="161DFA51" w14:textId="77777777" w:rsidR="002C0FD9" w:rsidRPr="00CA25CF" w:rsidRDefault="002C0FD9" w:rsidP="00CA25CF">
            <w:pPr>
              <w:rPr>
                <w:rFonts w:cs="Arial"/>
                <w:color w:val="FF0000"/>
                <w:sz w:val="21"/>
                <w:szCs w:val="21"/>
              </w:rPr>
            </w:pPr>
          </w:p>
        </w:tc>
        <w:tc>
          <w:tcPr>
            <w:tcW w:w="217" w:type="dxa"/>
          </w:tcPr>
          <w:p w14:paraId="1718B651" w14:textId="77777777" w:rsidR="002C0FD9" w:rsidRPr="00CA25CF" w:rsidRDefault="002C0FD9" w:rsidP="00CA25CF">
            <w:pPr>
              <w:rPr>
                <w:rFonts w:cs="Arial"/>
                <w:color w:val="FF0000"/>
                <w:sz w:val="21"/>
                <w:szCs w:val="21"/>
              </w:rPr>
            </w:pPr>
          </w:p>
        </w:tc>
        <w:tc>
          <w:tcPr>
            <w:tcW w:w="217" w:type="dxa"/>
          </w:tcPr>
          <w:p w14:paraId="2937A0BC" w14:textId="15D4359C" w:rsidR="002C0FD9" w:rsidRPr="00CA25CF" w:rsidRDefault="002C0FD9" w:rsidP="00CA25CF">
            <w:pPr>
              <w:rPr>
                <w:rFonts w:cs="Arial"/>
                <w:color w:val="FF0000"/>
                <w:sz w:val="21"/>
                <w:szCs w:val="21"/>
              </w:rPr>
            </w:pPr>
          </w:p>
        </w:tc>
        <w:tc>
          <w:tcPr>
            <w:tcW w:w="217" w:type="dxa"/>
          </w:tcPr>
          <w:p w14:paraId="561E1EB8" w14:textId="77777777" w:rsidR="002C0FD9" w:rsidRPr="00CA25CF" w:rsidRDefault="002C0FD9" w:rsidP="00CA25CF">
            <w:pPr>
              <w:rPr>
                <w:rFonts w:cs="Arial"/>
                <w:color w:val="FF0000"/>
                <w:sz w:val="21"/>
                <w:szCs w:val="21"/>
              </w:rPr>
            </w:pPr>
          </w:p>
        </w:tc>
        <w:tc>
          <w:tcPr>
            <w:tcW w:w="217" w:type="dxa"/>
          </w:tcPr>
          <w:p w14:paraId="5C8D4B30" w14:textId="77777777" w:rsidR="002C0FD9" w:rsidRPr="00CA25CF" w:rsidRDefault="002C0FD9" w:rsidP="00CA25CF">
            <w:pPr>
              <w:rPr>
                <w:rFonts w:cs="Arial"/>
                <w:color w:val="FF0000"/>
                <w:sz w:val="21"/>
                <w:szCs w:val="21"/>
              </w:rPr>
            </w:pPr>
          </w:p>
        </w:tc>
        <w:tc>
          <w:tcPr>
            <w:tcW w:w="217" w:type="dxa"/>
          </w:tcPr>
          <w:p w14:paraId="338A622E" w14:textId="77777777" w:rsidR="002C0FD9" w:rsidRPr="00CA25CF" w:rsidRDefault="002C0FD9" w:rsidP="00CA25CF">
            <w:pPr>
              <w:rPr>
                <w:rFonts w:cs="Arial"/>
                <w:color w:val="FF0000"/>
                <w:sz w:val="21"/>
                <w:szCs w:val="21"/>
              </w:rPr>
            </w:pPr>
          </w:p>
        </w:tc>
        <w:tc>
          <w:tcPr>
            <w:tcW w:w="217" w:type="dxa"/>
          </w:tcPr>
          <w:p w14:paraId="5EE54E35" w14:textId="77777777" w:rsidR="002C0FD9" w:rsidRPr="00CA25CF" w:rsidRDefault="002C0FD9" w:rsidP="00CA25CF">
            <w:pPr>
              <w:rPr>
                <w:rFonts w:cs="Arial"/>
                <w:color w:val="FF0000"/>
                <w:sz w:val="21"/>
                <w:szCs w:val="21"/>
              </w:rPr>
            </w:pPr>
          </w:p>
        </w:tc>
        <w:tc>
          <w:tcPr>
            <w:tcW w:w="217" w:type="dxa"/>
          </w:tcPr>
          <w:p w14:paraId="1DF63CBE" w14:textId="77777777" w:rsidR="002C0FD9" w:rsidRPr="00CA25CF" w:rsidRDefault="002C0FD9" w:rsidP="00CA25CF">
            <w:pPr>
              <w:rPr>
                <w:rFonts w:cs="Arial"/>
                <w:color w:val="FF0000"/>
                <w:sz w:val="21"/>
                <w:szCs w:val="21"/>
              </w:rPr>
            </w:pPr>
          </w:p>
        </w:tc>
        <w:tc>
          <w:tcPr>
            <w:tcW w:w="217" w:type="dxa"/>
          </w:tcPr>
          <w:p w14:paraId="0A8517AC" w14:textId="77777777" w:rsidR="002C0FD9" w:rsidRPr="00CA25CF" w:rsidRDefault="002C0FD9" w:rsidP="00CA25CF">
            <w:pPr>
              <w:rPr>
                <w:rFonts w:cs="Arial"/>
                <w:color w:val="FF0000"/>
                <w:sz w:val="21"/>
                <w:szCs w:val="21"/>
              </w:rPr>
            </w:pPr>
          </w:p>
        </w:tc>
        <w:tc>
          <w:tcPr>
            <w:tcW w:w="217" w:type="dxa"/>
          </w:tcPr>
          <w:p w14:paraId="76913270" w14:textId="77777777" w:rsidR="002C0FD9" w:rsidRPr="00CA25CF" w:rsidRDefault="002C0FD9" w:rsidP="00CA25CF">
            <w:pPr>
              <w:rPr>
                <w:rFonts w:cs="Arial"/>
                <w:color w:val="FF0000"/>
                <w:sz w:val="21"/>
                <w:szCs w:val="21"/>
              </w:rPr>
            </w:pPr>
          </w:p>
        </w:tc>
        <w:tc>
          <w:tcPr>
            <w:tcW w:w="217" w:type="dxa"/>
          </w:tcPr>
          <w:p w14:paraId="3B48F13E" w14:textId="77777777" w:rsidR="002C0FD9" w:rsidRPr="00CA25CF" w:rsidRDefault="002C0FD9" w:rsidP="00CA25CF">
            <w:pPr>
              <w:rPr>
                <w:rFonts w:cs="Arial"/>
                <w:color w:val="FF0000"/>
                <w:sz w:val="21"/>
                <w:szCs w:val="21"/>
              </w:rPr>
            </w:pPr>
          </w:p>
        </w:tc>
        <w:tc>
          <w:tcPr>
            <w:tcW w:w="217" w:type="dxa"/>
          </w:tcPr>
          <w:p w14:paraId="785BA96B" w14:textId="77777777" w:rsidR="002C0FD9" w:rsidRPr="00CA25CF" w:rsidRDefault="002C0FD9" w:rsidP="00CA25CF">
            <w:pPr>
              <w:rPr>
                <w:rFonts w:cs="Arial"/>
                <w:color w:val="FF0000"/>
                <w:sz w:val="21"/>
                <w:szCs w:val="21"/>
              </w:rPr>
            </w:pPr>
          </w:p>
        </w:tc>
        <w:tc>
          <w:tcPr>
            <w:tcW w:w="217" w:type="dxa"/>
          </w:tcPr>
          <w:p w14:paraId="6F7F5C2A" w14:textId="77777777" w:rsidR="002C0FD9" w:rsidRPr="00CA25CF" w:rsidRDefault="002C0FD9" w:rsidP="00CA25CF">
            <w:pPr>
              <w:rPr>
                <w:rFonts w:cs="Arial"/>
                <w:color w:val="FF0000"/>
                <w:sz w:val="21"/>
                <w:szCs w:val="21"/>
              </w:rPr>
            </w:pPr>
          </w:p>
        </w:tc>
        <w:tc>
          <w:tcPr>
            <w:tcW w:w="217" w:type="dxa"/>
          </w:tcPr>
          <w:p w14:paraId="03FF9F7D" w14:textId="77777777" w:rsidR="002C0FD9" w:rsidRPr="00CA25CF" w:rsidRDefault="002C0FD9" w:rsidP="00CA25CF">
            <w:pPr>
              <w:rPr>
                <w:rFonts w:cs="Arial"/>
                <w:color w:val="FF0000"/>
                <w:sz w:val="21"/>
                <w:szCs w:val="21"/>
              </w:rPr>
            </w:pPr>
          </w:p>
        </w:tc>
        <w:tc>
          <w:tcPr>
            <w:tcW w:w="217" w:type="dxa"/>
          </w:tcPr>
          <w:p w14:paraId="00962501" w14:textId="77777777" w:rsidR="002C0FD9" w:rsidRPr="00CA25CF" w:rsidRDefault="002C0FD9" w:rsidP="00CA25CF">
            <w:pPr>
              <w:rPr>
                <w:rFonts w:cs="Arial"/>
                <w:color w:val="FF0000"/>
                <w:sz w:val="21"/>
                <w:szCs w:val="21"/>
              </w:rPr>
            </w:pPr>
          </w:p>
        </w:tc>
        <w:tc>
          <w:tcPr>
            <w:tcW w:w="217" w:type="dxa"/>
          </w:tcPr>
          <w:p w14:paraId="1B163962" w14:textId="77777777" w:rsidR="002C0FD9" w:rsidRPr="00CA25CF" w:rsidRDefault="002C0FD9" w:rsidP="00CA25CF">
            <w:pPr>
              <w:rPr>
                <w:rFonts w:cs="Arial"/>
                <w:color w:val="FF0000"/>
                <w:sz w:val="21"/>
                <w:szCs w:val="21"/>
              </w:rPr>
            </w:pPr>
          </w:p>
        </w:tc>
        <w:tc>
          <w:tcPr>
            <w:tcW w:w="217" w:type="dxa"/>
          </w:tcPr>
          <w:p w14:paraId="3EA429E9" w14:textId="77777777" w:rsidR="002C0FD9" w:rsidRPr="00CA25CF" w:rsidRDefault="002C0FD9" w:rsidP="00CA25CF">
            <w:pPr>
              <w:rPr>
                <w:rFonts w:cs="Arial"/>
                <w:color w:val="FF0000"/>
                <w:sz w:val="21"/>
                <w:szCs w:val="21"/>
              </w:rPr>
            </w:pPr>
          </w:p>
        </w:tc>
        <w:tc>
          <w:tcPr>
            <w:tcW w:w="217" w:type="dxa"/>
          </w:tcPr>
          <w:p w14:paraId="3AE8B5A9" w14:textId="77777777" w:rsidR="002C0FD9" w:rsidRPr="00CA25CF" w:rsidRDefault="002C0FD9" w:rsidP="00CA25CF">
            <w:pPr>
              <w:rPr>
                <w:rFonts w:cs="Arial"/>
                <w:color w:val="FF0000"/>
                <w:sz w:val="21"/>
                <w:szCs w:val="21"/>
              </w:rPr>
            </w:pPr>
          </w:p>
        </w:tc>
        <w:tc>
          <w:tcPr>
            <w:tcW w:w="217" w:type="dxa"/>
          </w:tcPr>
          <w:p w14:paraId="0C8DE6BF" w14:textId="77777777" w:rsidR="002C0FD9" w:rsidRPr="00CA25CF" w:rsidRDefault="002C0FD9" w:rsidP="00CA25CF">
            <w:pPr>
              <w:rPr>
                <w:rFonts w:cs="Arial"/>
                <w:color w:val="FF0000"/>
                <w:sz w:val="21"/>
                <w:szCs w:val="21"/>
              </w:rPr>
            </w:pPr>
          </w:p>
        </w:tc>
        <w:tc>
          <w:tcPr>
            <w:tcW w:w="217" w:type="dxa"/>
          </w:tcPr>
          <w:p w14:paraId="3AD9D267" w14:textId="77777777" w:rsidR="002C0FD9" w:rsidRPr="00CA25CF" w:rsidRDefault="002C0FD9" w:rsidP="00CA25CF">
            <w:pPr>
              <w:rPr>
                <w:rFonts w:cs="Arial"/>
                <w:color w:val="FF0000"/>
                <w:sz w:val="21"/>
                <w:szCs w:val="21"/>
              </w:rPr>
            </w:pPr>
          </w:p>
        </w:tc>
        <w:tc>
          <w:tcPr>
            <w:tcW w:w="217" w:type="dxa"/>
          </w:tcPr>
          <w:p w14:paraId="516988EB" w14:textId="77777777" w:rsidR="002C0FD9" w:rsidRPr="00CA25CF" w:rsidRDefault="002C0FD9" w:rsidP="00CA25CF">
            <w:pPr>
              <w:rPr>
                <w:rFonts w:cs="Arial"/>
                <w:color w:val="FF0000"/>
                <w:sz w:val="21"/>
                <w:szCs w:val="21"/>
              </w:rPr>
            </w:pPr>
          </w:p>
        </w:tc>
        <w:tc>
          <w:tcPr>
            <w:tcW w:w="217" w:type="dxa"/>
          </w:tcPr>
          <w:p w14:paraId="58B66E7F" w14:textId="77777777" w:rsidR="002C0FD9" w:rsidRPr="00CA25CF" w:rsidRDefault="002C0FD9" w:rsidP="00CA25CF">
            <w:pPr>
              <w:rPr>
                <w:rFonts w:cs="Arial"/>
                <w:color w:val="FF0000"/>
                <w:sz w:val="21"/>
                <w:szCs w:val="21"/>
              </w:rPr>
            </w:pPr>
          </w:p>
        </w:tc>
        <w:tc>
          <w:tcPr>
            <w:tcW w:w="217" w:type="dxa"/>
          </w:tcPr>
          <w:p w14:paraId="69B9D0C8" w14:textId="77777777" w:rsidR="002C0FD9" w:rsidRPr="00CA25CF" w:rsidRDefault="002C0FD9" w:rsidP="00CA25CF">
            <w:pPr>
              <w:rPr>
                <w:rFonts w:cs="Arial"/>
                <w:color w:val="FF0000"/>
                <w:sz w:val="21"/>
                <w:szCs w:val="21"/>
              </w:rPr>
            </w:pPr>
          </w:p>
        </w:tc>
        <w:tc>
          <w:tcPr>
            <w:tcW w:w="217" w:type="dxa"/>
          </w:tcPr>
          <w:p w14:paraId="188B6FE9" w14:textId="77777777" w:rsidR="002C0FD9" w:rsidRPr="00CA25CF" w:rsidRDefault="002C0FD9" w:rsidP="00CA25CF">
            <w:pPr>
              <w:rPr>
                <w:rFonts w:cs="Arial"/>
                <w:color w:val="FF0000"/>
                <w:sz w:val="21"/>
                <w:szCs w:val="21"/>
              </w:rPr>
            </w:pPr>
          </w:p>
        </w:tc>
        <w:tc>
          <w:tcPr>
            <w:tcW w:w="217" w:type="dxa"/>
          </w:tcPr>
          <w:p w14:paraId="3850FCA9" w14:textId="77777777" w:rsidR="002C0FD9" w:rsidRPr="00CA25CF" w:rsidRDefault="002C0FD9" w:rsidP="00CA25CF">
            <w:pPr>
              <w:rPr>
                <w:rFonts w:cs="Arial"/>
                <w:color w:val="FF0000"/>
                <w:sz w:val="21"/>
                <w:szCs w:val="21"/>
              </w:rPr>
            </w:pPr>
          </w:p>
        </w:tc>
        <w:tc>
          <w:tcPr>
            <w:tcW w:w="217" w:type="dxa"/>
          </w:tcPr>
          <w:p w14:paraId="15F9B005" w14:textId="77777777" w:rsidR="002C0FD9" w:rsidRPr="00CA25CF" w:rsidRDefault="002C0FD9" w:rsidP="00CA25CF">
            <w:pPr>
              <w:rPr>
                <w:rFonts w:cs="Arial"/>
                <w:color w:val="FF0000"/>
                <w:sz w:val="21"/>
                <w:szCs w:val="21"/>
              </w:rPr>
            </w:pPr>
          </w:p>
        </w:tc>
        <w:tc>
          <w:tcPr>
            <w:tcW w:w="217" w:type="dxa"/>
          </w:tcPr>
          <w:p w14:paraId="26E27461" w14:textId="77777777" w:rsidR="002C0FD9" w:rsidRPr="00CA25CF" w:rsidRDefault="002C0FD9" w:rsidP="00CA25CF">
            <w:pPr>
              <w:rPr>
                <w:rFonts w:cs="Arial"/>
                <w:color w:val="FF0000"/>
                <w:sz w:val="21"/>
                <w:szCs w:val="21"/>
              </w:rPr>
            </w:pPr>
          </w:p>
        </w:tc>
        <w:tc>
          <w:tcPr>
            <w:tcW w:w="217" w:type="dxa"/>
          </w:tcPr>
          <w:p w14:paraId="5897686E" w14:textId="77777777" w:rsidR="002C0FD9" w:rsidRPr="00CA25CF" w:rsidRDefault="002C0FD9" w:rsidP="00CA25CF">
            <w:pPr>
              <w:rPr>
                <w:rFonts w:cs="Arial"/>
                <w:color w:val="FF0000"/>
                <w:sz w:val="21"/>
                <w:szCs w:val="21"/>
              </w:rPr>
            </w:pPr>
          </w:p>
        </w:tc>
        <w:tc>
          <w:tcPr>
            <w:tcW w:w="217" w:type="dxa"/>
          </w:tcPr>
          <w:p w14:paraId="438E30D5" w14:textId="77777777" w:rsidR="002C0FD9" w:rsidRPr="00CA25CF" w:rsidRDefault="002C0FD9" w:rsidP="00CA25CF">
            <w:pPr>
              <w:rPr>
                <w:rFonts w:cs="Arial"/>
                <w:color w:val="FF0000"/>
                <w:sz w:val="21"/>
                <w:szCs w:val="21"/>
              </w:rPr>
            </w:pPr>
          </w:p>
        </w:tc>
        <w:tc>
          <w:tcPr>
            <w:tcW w:w="217" w:type="dxa"/>
          </w:tcPr>
          <w:p w14:paraId="40F4324C" w14:textId="77777777" w:rsidR="002C0FD9" w:rsidRPr="00CA25CF" w:rsidRDefault="002C0FD9" w:rsidP="00CA25CF">
            <w:pPr>
              <w:rPr>
                <w:rFonts w:cs="Arial"/>
                <w:color w:val="FF0000"/>
                <w:sz w:val="21"/>
                <w:szCs w:val="21"/>
              </w:rPr>
            </w:pPr>
          </w:p>
        </w:tc>
      </w:tr>
      <w:tr w:rsidR="002C0FD9" w:rsidRPr="00A16219" w14:paraId="11A0A9C9" w14:textId="610DCDC9" w:rsidTr="002C0FD9">
        <w:trPr>
          <w:trHeight w:val="635"/>
        </w:trPr>
        <w:tc>
          <w:tcPr>
            <w:tcW w:w="515" w:type="dxa"/>
          </w:tcPr>
          <w:p w14:paraId="62E3CFE8" w14:textId="77777777" w:rsidR="002C0FD9" w:rsidRPr="00CA25CF" w:rsidRDefault="002C0FD9" w:rsidP="00CA25CF">
            <w:pPr>
              <w:rPr>
                <w:rFonts w:cs="Arial"/>
                <w:color w:val="FF0000"/>
                <w:sz w:val="21"/>
                <w:szCs w:val="21"/>
              </w:rPr>
            </w:pPr>
          </w:p>
        </w:tc>
        <w:tc>
          <w:tcPr>
            <w:tcW w:w="217" w:type="dxa"/>
          </w:tcPr>
          <w:p w14:paraId="43E4673B" w14:textId="77777777" w:rsidR="002C0FD9" w:rsidRPr="00CA25CF" w:rsidRDefault="002C0FD9" w:rsidP="00CA25CF">
            <w:pPr>
              <w:rPr>
                <w:rFonts w:cs="Arial"/>
                <w:color w:val="FF0000"/>
                <w:sz w:val="21"/>
                <w:szCs w:val="21"/>
              </w:rPr>
            </w:pPr>
          </w:p>
        </w:tc>
        <w:tc>
          <w:tcPr>
            <w:tcW w:w="217" w:type="dxa"/>
          </w:tcPr>
          <w:p w14:paraId="58ABD6AA" w14:textId="565CDF03" w:rsidR="002C0FD9" w:rsidRPr="00CA25CF" w:rsidRDefault="002C0FD9" w:rsidP="00CA25CF">
            <w:pPr>
              <w:rPr>
                <w:rFonts w:cs="Arial"/>
                <w:color w:val="FF0000"/>
                <w:sz w:val="21"/>
                <w:szCs w:val="21"/>
              </w:rPr>
            </w:pPr>
          </w:p>
        </w:tc>
        <w:tc>
          <w:tcPr>
            <w:tcW w:w="217" w:type="dxa"/>
          </w:tcPr>
          <w:p w14:paraId="49ABFEF6" w14:textId="77777777" w:rsidR="002C0FD9" w:rsidRPr="00CA25CF" w:rsidRDefault="002C0FD9" w:rsidP="00CA25CF">
            <w:pPr>
              <w:rPr>
                <w:rFonts w:cs="Arial"/>
                <w:color w:val="FF0000"/>
                <w:sz w:val="21"/>
                <w:szCs w:val="21"/>
              </w:rPr>
            </w:pPr>
          </w:p>
        </w:tc>
        <w:tc>
          <w:tcPr>
            <w:tcW w:w="217" w:type="dxa"/>
          </w:tcPr>
          <w:p w14:paraId="53571A5D" w14:textId="3F3AB12E" w:rsidR="002C0FD9" w:rsidRPr="00CA25CF" w:rsidRDefault="002C0FD9" w:rsidP="00CA25CF">
            <w:pPr>
              <w:rPr>
                <w:rFonts w:cs="Arial"/>
                <w:color w:val="FF0000"/>
                <w:sz w:val="21"/>
                <w:szCs w:val="21"/>
              </w:rPr>
            </w:pPr>
          </w:p>
        </w:tc>
        <w:tc>
          <w:tcPr>
            <w:tcW w:w="217" w:type="dxa"/>
          </w:tcPr>
          <w:p w14:paraId="4F9B3D1F" w14:textId="77777777" w:rsidR="002C0FD9" w:rsidRPr="00CA25CF" w:rsidRDefault="002C0FD9" w:rsidP="00CA25CF">
            <w:pPr>
              <w:rPr>
                <w:rFonts w:cs="Arial"/>
                <w:color w:val="FF0000"/>
                <w:sz w:val="21"/>
                <w:szCs w:val="21"/>
              </w:rPr>
            </w:pPr>
          </w:p>
        </w:tc>
        <w:tc>
          <w:tcPr>
            <w:tcW w:w="217" w:type="dxa"/>
          </w:tcPr>
          <w:p w14:paraId="1184B837" w14:textId="77777777" w:rsidR="002C0FD9" w:rsidRPr="00CA25CF" w:rsidRDefault="002C0FD9" w:rsidP="00CA25CF">
            <w:pPr>
              <w:rPr>
                <w:rFonts w:cs="Arial"/>
                <w:color w:val="FF0000"/>
                <w:sz w:val="21"/>
                <w:szCs w:val="21"/>
              </w:rPr>
            </w:pPr>
          </w:p>
        </w:tc>
        <w:tc>
          <w:tcPr>
            <w:tcW w:w="217" w:type="dxa"/>
          </w:tcPr>
          <w:p w14:paraId="2B9BC350" w14:textId="77777777" w:rsidR="002C0FD9" w:rsidRPr="00CA25CF" w:rsidRDefault="002C0FD9" w:rsidP="00CA25CF">
            <w:pPr>
              <w:rPr>
                <w:rFonts w:cs="Arial"/>
                <w:color w:val="FF0000"/>
                <w:sz w:val="21"/>
                <w:szCs w:val="21"/>
              </w:rPr>
            </w:pPr>
          </w:p>
        </w:tc>
        <w:tc>
          <w:tcPr>
            <w:tcW w:w="217" w:type="dxa"/>
          </w:tcPr>
          <w:p w14:paraId="4241BB57" w14:textId="77777777" w:rsidR="002C0FD9" w:rsidRPr="00CA25CF" w:rsidRDefault="002C0FD9" w:rsidP="00CA25CF">
            <w:pPr>
              <w:rPr>
                <w:rFonts w:cs="Arial"/>
                <w:color w:val="FF0000"/>
                <w:sz w:val="21"/>
                <w:szCs w:val="21"/>
              </w:rPr>
            </w:pPr>
          </w:p>
        </w:tc>
        <w:tc>
          <w:tcPr>
            <w:tcW w:w="217" w:type="dxa"/>
          </w:tcPr>
          <w:p w14:paraId="6EBCBF1C" w14:textId="77777777" w:rsidR="002C0FD9" w:rsidRPr="00CA25CF" w:rsidRDefault="002C0FD9" w:rsidP="00CA25CF">
            <w:pPr>
              <w:rPr>
                <w:rFonts w:cs="Arial"/>
                <w:color w:val="FF0000"/>
                <w:sz w:val="21"/>
                <w:szCs w:val="21"/>
              </w:rPr>
            </w:pPr>
          </w:p>
        </w:tc>
        <w:tc>
          <w:tcPr>
            <w:tcW w:w="217" w:type="dxa"/>
          </w:tcPr>
          <w:p w14:paraId="59FC9273" w14:textId="77777777" w:rsidR="002C0FD9" w:rsidRPr="00CA25CF" w:rsidRDefault="002C0FD9" w:rsidP="00CA25CF">
            <w:pPr>
              <w:rPr>
                <w:rFonts w:cs="Arial"/>
                <w:color w:val="FF0000"/>
                <w:sz w:val="21"/>
                <w:szCs w:val="21"/>
              </w:rPr>
            </w:pPr>
          </w:p>
        </w:tc>
        <w:tc>
          <w:tcPr>
            <w:tcW w:w="217" w:type="dxa"/>
          </w:tcPr>
          <w:p w14:paraId="498B3A97" w14:textId="77777777" w:rsidR="002C0FD9" w:rsidRPr="00CA25CF" w:rsidRDefault="002C0FD9" w:rsidP="00CA25CF">
            <w:pPr>
              <w:rPr>
                <w:rFonts w:cs="Arial"/>
                <w:color w:val="FF0000"/>
                <w:sz w:val="21"/>
                <w:szCs w:val="21"/>
              </w:rPr>
            </w:pPr>
          </w:p>
        </w:tc>
        <w:tc>
          <w:tcPr>
            <w:tcW w:w="217" w:type="dxa"/>
          </w:tcPr>
          <w:p w14:paraId="7D539382" w14:textId="77777777" w:rsidR="002C0FD9" w:rsidRPr="00CA25CF" w:rsidRDefault="002C0FD9" w:rsidP="00CA25CF">
            <w:pPr>
              <w:rPr>
                <w:rFonts w:cs="Arial"/>
                <w:color w:val="FF0000"/>
                <w:sz w:val="21"/>
                <w:szCs w:val="21"/>
              </w:rPr>
            </w:pPr>
          </w:p>
        </w:tc>
        <w:tc>
          <w:tcPr>
            <w:tcW w:w="217" w:type="dxa"/>
          </w:tcPr>
          <w:p w14:paraId="0A4EEE92" w14:textId="77777777" w:rsidR="002C0FD9" w:rsidRPr="00CA25CF" w:rsidRDefault="002C0FD9" w:rsidP="00CA25CF">
            <w:pPr>
              <w:rPr>
                <w:rFonts w:cs="Arial"/>
                <w:color w:val="FF0000"/>
                <w:sz w:val="21"/>
                <w:szCs w:val="21"/>
              </w:rPr>
            </w:pPr>
          </w:p>
        </w:tc>
        <w:tc>
          <w:tcPr>
            <w:tcW w:w="217" w:type="dxa"/>
          </w:tcPr>
          <w:p w14:paraId="112312C3" w14:textId="77777777" w:rsidR="002C0FD9" w:rsidRPr="00CA25CF" w:rsidRDefault="002C0FD9" w:rsidP="00CA25CF">
            <w:pPr>
              <w:rPr>
                <w:rFonts w:cs="Arial"/>
                <w:color w:val="FF0000"/>
                <w:sz w:val="21"/>
                <w:szCs w:val="21"/>
              </w:rPr>
            </w:pPr>
          </w:p>
        </w:tc>
        <w:tc>
          <w:tcPr>
            <w:tcW w:w="217" w:type="dxa"/>
          </w:tcPr>
          <w:p w14:paraId="4C3CA8B3" w14:textId="665E1468" w:rsidR="002C0FD9" w:rsidRPr="00CA25CF" w:rsidRDefault="002C0FD9" w:rsidP="00CA25CF">
            <w:pPr>
              <w:rPr>
                <w:rFonts w:cs="Arial"/>
                <w:color w:val="FF0000"/>
                <w:sz w:val="21"/>
                <w:szCs w:val="21"/>
              </w:rPr>
            </w:pPr>
          </w:p>
        </w:tc>
        <w:tc>
          <w:tcPr>
            <w:tcW w:w="217" w:type="dxa"/>
          </w:tcPr>
          <w:p w14:paraId="4E20BC95" w14:textId="77777777" w:rsidR="002C0FD9" w:rsidRPr="00CA25CF" w:rsidRDefault="002C0FD9" w:rsidP="00CA25CF">
            <w:pPr>
              <w:rPr>
                <w:rFonts w:cs="Arial"/>
                <w:color w:val="FF0000"/>
                <w:sz w:val="21"/>
                <w:szCs w:val="21"/>
              </w:rPr>
            </w:pPr>
          </w:p>
        </w:tc>
        <w:tc>
          <w:tcPr>
            <w:tcW w:w="217" w:type="dxa"/>
          </w:tcPr>
          <w:p w14:paraId="58EF8D00" w14:textId="77777777" w:rsidR="002C0FD9" w:rsidRPr="00CA25CF" w:rsidRDefault="002C0FD9" w:rsidP="00CA25CF">
            <w:pPr>
              <w:rPr>
                <w:rFonts w:cs="Arial"/>
                <w:color w:val="FF0000"/>
                <w:sz w:val="21"/>
                <w:szCs w:val="21"/>
              </w:rPr>
            </w:pPr>
          </w:p>
        </w:tc>
        <w:tc>
          <w:tcPr>
            <w:tcW w:w="217" w:type="dxa"/>
          </w:tcPr>
          <w:p w14:paraId="79010FEA" w14:textId="77777777" w:rsidR="002C0FD9" w:rsidRPr="00CA25CF" w:rsidRDefault="002C0FD9" w:rsidP="00CA25CF">
            <w:pPr>
              <w:rPr>
                <w:rFonts w:cs="Arial"/>
                <w:color w:val="FF0000"/>
                <w:sz w:val="21"/>
                <w:szCs w:val="21"/>
              </w:rPr>
            </w:pPr>
          </w:p>
        </w:tc>
        <w:tc>
          <w:tcPr>
            <w:tcW w:w="217" w:type="dxa"/>
          </w:tcPr>
          <w:p w14:paraId="38CC78D2" w14:textId="77777777" w:rsidR="002C0FD9" w:rsidRPr="00CA25CF" w:rsidRDefault="002C0FD9" w:rsidP="00CA25CF">
            <w:pPr>
              <w:rPr>
                <w:rFonts w:cs="Arial"/>
                <w:color w:val="FF0000"/>
                <w:sz w:val="21"/>
                <w:szCs w:val="21"/>
              </w:rPr>
            </w:pPr>
          </w:p>
        </w:tc>
        <w:tc>
          <w:tcPr>
            <w:tcW w:w="217" w:type="dxa"/>
          </w:tcPr>
          <w:p w14:paraId="1743F106" w14:textId="77777777" w:rsidR="002C0FD9" w:rsidRPr="00CA25CF" w:rsidRDefault="002C0FD9" w:rsidP="00CA25CF">
            <w:pPr>
              <w:rPr>
                <w:rFonts w:cs="Arial"/>
                <w:color w:val="FF0000"/>
                <w:sz w:val="21"/>
                <w:szCs w:val="21"/>
              </w:rPr>
            </w:pPr>
          </w:p>
        </w:tc>
        <w:tc>
          <w:tcPr>
            <w:tcW w:w="217" w:type="dxa"/>
          </w:tcPr>
          <w:p w14:paraId="248239C4" w14:textId="77777777" w:rsidR="002C0FD9" w:rsidRPr="00CA25CF" w:rsidRDefault="002C0FD9" w:rsidP="00CA25CF">
            <w:pPr>
              <w:rPr>
                <w:rFonts w:cs="Arial"/>
                <w:color w:val="FF0000"/>
                <w:sz w:val="21"/>
                <w:szCs w:val="21"/>
              </w:rPr>
            </w:pPr>
          </w:p>
        </w:tc>
        <w:tc>
          <w:tcPr>
            <w:tcW w:w="217" w:type="dxa"/>
          </w:tcPr>
          <w:p w14:paraId="699C7A06" w14:textId="77777777" w:rsidR="002C0FD9" w:rsidRPr="00CA25CF" w:rsidRDefault="002C0FD9" w:rsidP="00CA25CF">
            <w:pPr>
              <w:rPr>
                <w:rFonts w:cs="Arial"/>
                <w:color w:val="FF0000"/>
                <w:sz w:val="21"/>
                <w:szCs w:val="21"/>
              </w:rPr>
            </w:pPr>
          </w:p>
        </w:tc>
        <w:tc>
          <w:tcPr>
            <w:tcW w:w="217" w:type="dxa"/>
          </w:tcPr>
          <w:p w14:paraId="33022880" w14:textId="77777777" w:rsidR="002C0FD9" w:rsidRPr="00CA25CF" w:rsidRDefault="002C0FD9" w:rsidP="00CA25CF">
            <w:pPr>
              <w:rPr>
                <w:rFonts w:cs="Arial"/>
                <w:color w:val="FF0000"/>
                <w:sz w:val="21"/>
                <w:szCs w:val="21"/>
              </w:rPr>
            </w:pPr>
          </w:p>
        </w:tc>
        <w:tc>
          <w:tcPr>
            <w:tcW w:w="217" w:type="dxa"/>
          </w:tcPr>
          <w:p w14:paraId="74D874B0" w14:textId="77777777" w:rsidR="002C0FD9" w:rsidRPr="00CA25CF" w:rsidRDefault="002C0FD9" w:rsidP="00CA25CF">
            <w:pPr>
              <w:rPr>
                <w:rFonts w:cs="Arial"/>
                <w:color w:val="FF0000"/>
                <w:sz w:val="21"/>
                <w:szCs w:val="21"/>
              </w:rPr>
            </w:pPr>
          </w:p>
        </w:tc>
        <w:tc>
          <w:tcPr>
            <w:tcW w:w="217" w:type="dxa"/>
          </w:tcPr>
          <w:p w14:paraId="2F017B00" w14:textId="77777777" w:rsidR="002C0FD9" w:rsidRPr="00CA25CF" w:rsidRDefault="002C0FD9" w:rsidP="00CA25CF">
            <w:pPr>
              <w:rPr>
                <w:rFonts w:cs="Arial"/>
                <w:color w:val="FF0000"/>
                <w:sz w:val="21"/>
                <w:szCs w:val="21"/>
              </w:rPr>
            </w:pPr>
          </w:p>
        </w:tc>
        <w:tc>
          <w:tcPr>
            <w:tcW w:w="217" w:type="dxa"/>
          </w:tcPr>
          <w:p w14:paraId="66D87A9A" w14:textId="77777777" w:rsidR="002C0FD9" w:rsidRPr="00CA25CF" w:rsidRDefault="002C0FD9" w:rsidP="00CA25CF">
            <w:pPr>
              <w:rPr>
                <w:rFonts w:cs="Arial"/>
                <w:color w:val="FF0000"/>
                <w:sz w:val="21"/>
                <w:szCs w:val="21"/>
              </w:rPr>
            </w:pPr>
          </w:p>
        </w:tc>
        <w:tc>
          <w:tcPr>
            <w:tcW w:w="217" w:type="dxa"/>
          </w:tcPr>
          <w:p w14:paraId="19E44A5A" w14:textId="77777777" w:rsidR="002C0FD9" w:rsidRPr="00CA25CF" w:rsidRDefault="002C0FD9" w:rsidP="00CA25CF">
            <w:pPr>
              <w:rPr>
                <w:rFonts w:cs="Arial"/>
                <w:color w:val="FF0000"/>
                <w:sz w:val="21"/>
                <w:szCs w:val="21"/>
              </w:rPr>
            </w:pPr>
          </w:p>
        </w:tc>
        <w:tc>
          <w:tcPr>
            <w:tcW w:w="217" w:type="dxa"/>
          </w:tcPr>
          <w:p w14:paraId="66052174" w14:textId="77777777" w:rsidR="002C0FD9" w:rsidRPr="00CA25CF" w:rsidRDefault="002C0FD9" w:rsidP="00CA25CF">
            <w:pPr>
              <w:rPr>
                <w:rFonts w:cs="Arial"/>
                <w:color w:val="FF0000"/>
                <w:sz w:val="21"/>
                <w:szCs w:val="21"/>
              </w:rPr>
            </w:pPr>
          </w:p>
        </w:tc>
        <w:tc>
          <w:tcPr>
            <w:tcW w:w="217" w:type="dxa"/>
          </w:tcPr>
          <w:p w14:paraId="6DE15945" w14:textId="77777777" w:rsidR="002C0FD9" w:rsidRPr="00CA25CF" w:rsidRDefault="002C0FD9" w:rsidP="00CA25CF">
            <w:pPr>
              <w:rPr>
                <w:rFonts w:cs="Arial"/>
                <w:color w:val="FF0000"/>
                <w:sz w:val="21"/>
                <w:szCs w:val="21"/>
              </w:rPr>
            </w:pPr>
          </w:p>
        </w:tc>
        <w:tc>
          <w:tcPr>
            <w:tcW w:w="217" w:type="dxa"/>
          </w:tcPr>
          <w:p w14:paraId="792AAF1D" w14:textId="77777777" w:rsidR="002C0FD9" w:rsidRPr="00CA25CF" w:rsidRDefault="002C0FD9" w:rsidP="00CA25CF">
            <w:pPr>
              <w:rPr>
                <w:rFonts w:cs="Arial"/>
                <w:color w:val="FF0000"/>
                <w:sz w:val="21"/>
                <w:szCs w:val="21"/>
              </w:rPr>
            </w:pPr>
          </w:p>
        </w:tc>
        <w:tc>
          <w:tcPr>
            <w:tcW w:w="217" w:type="dxa"/>
          </w:tcPr>
          <w:p w14:paraId="758CDFE5" w14:textId="77777777" w:rsidR="002C0FD9" w:rsidRPr="00CA25CF" w:rsidRDefault="002C0FD9" w:rsidP="00CA25CF">
            <w:pPr>
              <w:rPr>
                <w:rFonts w:cs="Arial"/>
                <w:color w:val="FF0000"/>
                <w:sz w:val="21"/>
                <w:szCs w:val="21"/>
              </w:rPr>
            </w:pPr>
          </w:p>
        </w:tc>
        <w:tc>
          <w:tcPr>
            <w:tcW w:w="217" w:type="dxa"/>
          </w:tcPr>
          <w:p w14:paraId="387657D7" w14:textId="77777777" w:rsidR="002C0FD9" w:rsidRPr="00CA25CF" w:rsidRDefault="002C0FD9" w:rsidP="00CA25CF">
            <w:pPr>
              <w:rPr>
                <w:rFonts w:cs="Arial"/>
                <w:color w:val="FF0000"/>
                <w:sz w:val="21"/>
                <w:szCs w:val="21"/>
              </w:rPr>
            </w:pPr>
          </w:p>
        </w:tc>
        <w:tc>
          <w:tcPr>
            <w:tcW w:w="217" w:type="dxa"/>
          </w:tcPr>
          <w:p w14:paraId="2F14B27E" w14:textId="77777777" w:rsidR="002C0FD9" w:rsidRPr="00CA25CF" w:rsidRDefault="002C0FD9" w:rsidP="00CA25CF">
            <w:pPr>
              <w:rPr>
                <w:rFonts w:cs="Arial"/>
                <w:color w:val="FF0000"/>
                <w:sz w:val="21"/>
                <w:szCs w:val="21"/>
              </w:rPr>
            </w:pPr>
          </w:p>
        </w:tc>
        <w:tc>
          <w:tcPr>
            <w:tcW w:w="217" w:type="dxa"/>
          </w:tcPr>
          <w:p w14:paraId="48104804" w14:textId="77777777" w:rsidR="002C0FD9" w:rsidRPr="00CA25CF" w:rsidRDefault="002C0FD9" w:rsidP="00CA25CF">
            <w:pPr>
              <w:rPr>
                <w:rFonts w:cs="Arial"/>
                <w:color w:val="FF0000"/>
                <w:sz w:val="21"/>
                <w:szCs w:val="21"/>
              </w:rPr>
            </w:pPr>
          </w:p>
        </w:tc>
        <w:tc>
          <w:tcPr>
            <w:tcW w:w="217" w:type="dxa"/>
          </w:tcPr>
          <w:p w14:paraId="33A79CCB" w14:textId="77777777" w:rsidR="002C0FD9" w:rsidRPr="00CA25CF" w:rsidRDefault="002C0FD9" w:rsidP="00CA25CF">
            <w:pPr>
              <w:rPr>
                <w:rFonts w:cs="Arial"/>
                <w:color w:val="FF0000"/>
                <w:sz w:val="21"/>
                <w:szCs w:val="21"/>
              </w:rPr>
            </w:pPr>
          </w:p>
        </w:tc>
        <w:tc>
          <w:tcPr>
            <w:tcW w:w="217" w:type="dxa"/>
          </w:tcPr>
          <w:p w14:paraId="4036DB55" w14:textId="77777777" w:rsidR="002C0FD9" w:rsidRPr="00CA25CF" w:rsidRDefault="002C0FD9" w:rsidP="00CA25CF">
            <w:pPr>
              <w:rPr>
                <w:rFonts w:cs="Arial"/>
                <w:color w:val="FF0000"/>
                <w:sz w:val="21"/>
                <w:szCs w:val="21"/>
              </w:rPr>
            </w:pPr>
          </w:p>
        </w:tc>
        <w:tc>
          <w:tcPr>
            <w:tcW w:w="217" w:type="dxa"/>
          </w:tcPr>
          <w:p w14:paraId="13891F94" w14:textId="77777777" w:rsidR="002C0FD9" w:rsidRPr="00CA25CF" w:rsidRDefault="002C0FD9" w:rsidP="00CA25CF">
            <w:pPr>
              <w:rPr>
                <w:rFonts w:cs="Arial"/>
                <w:color w:val="FF0000"/>
                <w:sz w:val="21"/>
                <w:szCs w:val="21"/>
              </w:rPr>
            </w:pPr>
          </w:p>
        </w:tc>
        <w:tc>
          <w:tcPr>
            <w:tcW w:w="217" w:type="dxa"/>
          </w:tcPr>
          <w:p w14:paraId="0E8D2020" w14:textId="77777777" w:rsidR="002C0FD9" w:rsidRPr="00CA25CF" w:rsidRDefault="002C0FD9" w:rsidP="00CA25CF">
            <w:pPr>
              <w:rPr>
                <w:rFonts w:cs="Arial"/>
                <w:color w:val="FF0000"/>
                <w:sz w:val="21"/>
                <w:szCs w:val="21"/>
              </w:rPr>
            </w:pPr>
          </w:p>
        </w:tc>
        <w:tc>
          <w:tcPr>
            <w:tcW w:w="217" w:type="dxa"/>
          </w:tcPr>
          <w:p w14:paraId="5716174F" w14:textId="77777777" w:rsidR="002C0FD9" w:rsidRPr="00CA25CF" w:rsidRDefault="002C0FD9" w:rsidP="00CA25CF">
            <w:pPr>
              <w:rPr>
                <w:rFonts w:cs="Arial"/>
                <w:color w:val="FF0000"/>
                <w:sz w:val="21"/>
                <w:szCs w:val="21"/>
              </w:rPr>
            </w:pPr>
          </w:p>
        </w:tc>
        <w:tc>
          <w:tcPr>
            <w:tcW w:w="217" w:type="dxa"/>
          </w:tcPr>
          <w:p w14:paraId="05890792" w14:textId="77777777" w:rsidR="002C0FD9" w:rsidRPr="00CA25CF" w:rsidRDefault="002C0FD9" w:rsidP="00CA25CF">
            <w:pPr>
              <w:rPr>
                <w:rFonts w:cs="Arial"/>
                <w:color w:val="FF0000"/>
                <w:sz w:val="21"/>
                <w:szCs w:val="21"/>
              </w:rPr>
            </w:pPr>
          </w:p>
        </w:tc>
        <w:tc>
          <w:tcPr>
            <w:tcW w:w="217" w:type="dxa"/>
          </w:tcPr>
          <w:p w14:paraId="74F425A8" w14:textId="77777777" w:rsidR="002C0FD9" w:rsidRPr="00CA25CF" w:rsidRDefault="002C0FD9" w:rsidP="00CA25CF">
            <w:pPr>
              <w:rPr>
                <w:rFonts w:cs="Arial"/>
                <w:color w:val="FF0000"/>
                <w:sz w:val="21"/>
                <w:szCs w:val="21"/>
              </w:rPr>
            </w:pPr>
          </w:p>
        </w:tc>
        <w:tc>
          <w:tcPr>
            <w:tcW w:w="217" w:type="dxa"/>
          </w:tcPr>
          <w:p w14:paraId="55559205" w14:textId="77777777" w:rsidR="002C0FD9" w:rsidRPr="00CA25CF" w:rsidRDefault="002C0FD9" w:rsidP="00CA25CF">
            <w:pPr>
              <w:rPr>
                <w:rFonts w:cs="Arial"/>
                <w:color w:val="FF0000"/>
                <w:sz w:val="21"/>
                <w:szCs w:val="21"/>
              </w:rPr>
            </w:pPr>
          </w:p>
        </w:tc>
      </w:tr>
      <w:tr w:rsidR="002C0FD9" w:rsidRPr="00A16219" w14:paraId="33EA9396" w14:textId="065521BA" w:rsidTr="002C0FD9">
        <w:trPr>
          <w:trHeight w:val="635"/>
        </w:trPr>
        <w:tc>
          <w:tcPr>
            <w:tcW w:w="515" w:type="dxa"/>
          </w:tcPr>
          <w:p w14:paraId="5B9E2FB4" w14:textId="77777777" w:rsidR="002C0FD9" w:rsidRPr="00CA25CF" w:rsidRDefault="002C0FD9" w:rsidP="00CA25CF">
            <w:pPr>
              <w:rPr>
                <w:rFonts w:cs="Arial"/>
                <w:color w:val="FF0000"/>
                <w:sz w:val="21"/>
                <w:szCs w:val="21"/>
              </w:rPr>
            </w:pPr>
          </w:p>
        </w:tc>
        <w:tc>
          <w:tcPr>
            <w:tcW w:w="217" w:type="dxa"/>
          </w:tcPr>
          <w:p w14:paraId="3C07F5D6" w14:textId="77777777" w:rsidR="002C0FD9" w:rsidRPr="00CA25CF" w:rsidRDefault="002C0FD9" w:rsidP="00CA25CF">
            <w:pPr>
              <w:rPr>
                <w:rFonts w:cs="Arial"/>
                <w:color w:val="FF0000"/>
                <w:sz w:val="21"/>
                <w:szCs w:val="21"/>
              </w:rPr>
            </w:pPr>
          </w:p>
        </w:tc>
        <w:tc>
          <w:tcPr>
            <w:tcW w:w="217" w:type="dxa"/>
          </w:tcPr>
          <w:p w14:paraId="5E98E242" w14:textId="12F42A50" w:rsidR="002C0FD9" w:rsidRPr="00CA25CF" w:rsidRDefault="002C0FD9" w:rsidP="00CA25CF">
            <w:pPr>
              <w:rPr>
                <w:rFonts w:cs="Arial"/>
                <w:color w:val="FF0000"/>
                <w:sz w:val="21"/>
                <w:szCs w:val="21"/>
              </w:rPr>
            </w:pPr>
          </w:p>
        </w:tc>
        <w:tc>
          <w:tcPr>
            <w:tcW w:w="217" w:type="dxa"/>
          </w:tcPr>
          <w:p w14:paraId="150221D3" w14:textId="77777777" w:rsidR="002C0FD9" w:rsidRPr="00CA25CF" w:rsidRDefault="002C0FD9" w:rsidP="00CA25CF">
            <w:pPr>
              <w:rPr>
                <w:rFonts w:cs="Arial"/>
                <w:color w:val="FF0000"/>
                <w:sz w:val="21"/>
                <w:szCs w:val="21"/>
              </w:rPr>
            </w:pPr>
          </w:p>
        </w:tc>
        <w:tc>
          <w:tcPr>
            <w:tcW w:w="217" w:type="dxa"/>
          </w:tcPr>
          <w:p w14:paraId="2A2CDDF6" w14:textId="26B1FB4B" w:rsidR="002C0FD9" w:rsidRPr="00CA25CF" w:rsidRDefault="002C0FD9" w:rsidP="00CA25CF">
            <w:pPr>
              <w:rPr>
                <w:rFonts w:cs="Arial"/>
                <w:color w:val="FF0000"/>
                <w:sz w:val="21"/>
                <w:szCs w:val="21"/>
              </w:rPr>
            </w:pPr>
          </w:p>
        </w:tc>
        <w:tc>
          <w:tcPr>
            <w:tcW w:w="217" w:type="dxa"/>
          </w:tcPr>
          <w:p w14:paraId="164BF3FF" w14:textId="77777777" w:rsidR="002C0FD9" w:rsidRPr="00CA25CF" w:rsidRDefault="002C0FD9" w:rsidP="00CA25CF">
            <w:pPr>
              <w:rPr>
                <w:rFonts w:cs="Arial"/>
                <w:color w:val="FF0000"/>
                <w:sz w:val="21"/>
                <w:szCs w:val="21"/>
              </w:rPr>
            </w:pPr>
          </w:p>
        </w:tc>
        <w:tc>
          <w:tcPr>
            <w:tcW w:w="217" w:type="dxa"/>
          </w:tcPr>
          <w:p w14:paraId="7ADC3801" w14:textId="77777777" w:rsidR="002C0FD9" w:rsidRPr="00CA25CF" w:rsidRDefault="002C0FD9" w:rsidP="00CA25CF">
            <w:pPr>
              <w:rPr>
                <w:rFonts w:cs="Arial"/>
                <w:color w:val="FF0000"/>
                <w:sz w:val="21"/>
                <w:szCs w:val="21"/>
              </w:rPr>
            </w:pPr>
          </w:p>
        </w:tc>
        <w:tc>
          <w:tcPr>
            <w:tcW w:w="217" w:type="dxa"/>
          </w:tcPr>
          <w:p w14:paraId="6D5D6B4E" w14:textId="77777777" w:rsidR="002C0FD9" w:rsidRPr="00CA25CF" w:rsidRDefault="002C0FD9" w:rsidP="00CA25CF">
            <w:pPr>
              <w:rPr>
                <w:rFonts w:cs="Arial"/>
                <w:color w:val="FF0000"/>
                <w:sz w:val="21"/>
                <w:szCs w:val="21"/>
              </w:rPr>
            </w:pPr>
          </w:p>
        </w:tc>
        <w:tc>
          <w:tcPr>
            <w:tcW w:w="217" w:type="dxa"/>
          </w:tcPr>
          <w:p w14:paraId="02C78B0F" w14:textId="77777777" w:rsidR="002C0FD9" w:rsidRPr="00CA25CF" w:rsidRDefault="002C0FD9" w:rsidP="00CA25CF">
            <w:pPr>
              <w:rPr>
                <w:rFonts w:cs="Arial"/>
                <w:color w:val="FF0000"/>
                <w:sz w:val="21"/>
                <w:szCs w:val="21"/>
              </w:rPr>
            </w:pPr>
          </w:p>
        </w:tc>
        <w:tc>
          <w:tcPr>
            <w:tcW w:w="217" w:type="dxa"/>
          </w:tcPr>
          <w:p w14:paraId="3C2E60EB" w14:textId="77777777" w:rsidR="002C0FD9" w:rsidRPr="00CA25CF" w:rsidRDefault="002C0FD9" w:rsidP="00CA25CF">
            <w:pPr>
              <w:rPr>
                <w:rFonts w:cs="Arial"/>
                <w:color w:val="FF0000"/>
                <w:sz w:val="21"/>
                <w:szCs w:val="21"/>
              </w:rPr>
            </w:pPr>
          </w:p>
        </w:tc>
        <w:tc>
          <w:tcPr>
            <w:tcW w:w="217" w:type="dxa"/>
          </w:tcPr>
          <w:p w14:paraId="5A48E021" w14:textId="77777777" w:rsidR="002C0FD9" w:rsidRPr="00CA25CF" w:rsidRDefault="002C0FD9" w:rsidP="00CA25CF">
            <w:pPr>
              <w:rPr>
                <w:rFonts w:cs="Arial"/>
                <w:color w:val="FF0000"/>
                <w:sz w:val="21"/>
                <w:szCs w:val="21"/>
              </w:rPr>
            </w:pPr>
          </w:p>
        </w:tc>
        <w:tc>
          <w:tcPr>
            <w:tcW w:w="217" w:type="dxa"/>
          </w:tcPr>
          <w:p w14:paraId="38CB2AC7" w14:textId="77777777" w:rsidR="002C0FD9" w:rsidRPr="00CA25CF" w:rsidRDefault="002C0FD9" w:rsidP="00CA25CF">
            <w:pPr>
              <w:rPr>
                <w:rFonts w:cs="Arial"/>
                <w:color w:val="FF0000"/>
                <w:sz w:val="21"/>
                <w:szCs w:val="21"/>
              </w:rPr>
            </w:pPr>
          </w:p>
        </w:tc>
        <w:tc>
          <w:tcPr>
            <w:tcW w:w="217" w:type="dxa"/>
          </w:tcPr>
          <w:p w14:paraId="6534F77F" w14:textId="77777777" w:rsidR="002C0FD9" w:rsidRPr="00CA25CF" w:rsidRDefault="002C0FD9" w:rsidP="00CA25CF">
            <w:pPr>
              <w:rPr>
                <w:rFonts w:cs="Arial"/>
                <w:color w:val="FF0000"/>
                <w:sz w:val="21"/>
                <w:szCs w:val="21"/>
              </w:rPr>
            </w:pPr>
          </w:p>
        </w:tc>
        <w:tc>
          <w:tcPr>
            <w:tcW w:w="217" w:type="dxa"/>
          </w:tcPr>
          <w:p w14:paraId="3C07AFDC" w14:textId="77777777" w:rsidR="002C0FD9" w:rsidRPr="00CA25CF" w:rsidRDefault="002C0FD9" w:rsidP="00CA25CF">
            <w:pPr>
              <w:rPr>
                <w:rFonts w:cs="Arial"/>
                <w:color w:val="FF0000"/>
                <w:sz w:val="21"/>
                <w:szCs w:val="21"/>
              </w:rPr>
            </w:pPr>
          </w:p>
        </w:tc>
        <w:tc>
          <w:tcPr>
            <w:tcW w:w="217" w:type="dxa"/>
          </w:tcPr>
          <w:p w14:paraId="0DF253E8" w14:textId="77777777" w:rsidR="002C0FD9" w:rsidRPr="00CA25CF" w:rsidRDefault="002C0FD9" w:rsidP="00CA25CF">
            <w:pPr>
              <w:rPr>
                <w:rFonts w:cs="Arial"/>
                <w:color w:val="FF0000"/>
                <w:sz w:val="21"/>
                <w:szCs w:val="21"/>
              </w:rPr>
            </w:pPr>
          </w:p>
        </w:tc>
        <w:tc>
          <w:tcPr>
            <w:tcW w:w="217" w:type="dxa"/>
          </w:tcPr>
          <w:p w14:paraId="4F59FCF3" w14:textId="51AA067B" w:rsidR="002C0FD9" w:rsidRPr="00CA25CF" w:rsidRDefault="002C0FD9" w:rsidP="00CA25CF">
            <w:pPr>
              <w:rPr>
                <w:rFonts w:cs="Arial"/>
                <w:color w:val="FF0000"/>
                <w:sz w:val="21"/>
                <w:szCs w:val="21"/>
              </w:rPr>
            </w:pPr>
          </w:p>
        </w:tc>
        <w:tc>
          <w:tcPr>
            <w:tcW w:w="217" w:type="dxa"/>
          </w:tcPr>
          <w:p w14:paraId="4A49C3AE" w14:textId="77777777" w:rsidR="002C0FD9" w:rsidRPr="00CA25CF" w:rsidRDefault="002C0FD9" w:rsidP="00CA25CF">
            <w:pPr>
              <w:rPr>
                <w:rFonts w:cs="Arial"/>
                <w:color w:val="FF0000"/>
                <w:sz w:val="21"/>
                <w:szCs w:val="21"/>
              </w:rPr>
            </w:pPr>
          </w:p>
        </w:tc>
        <w:tc>
          <w:tcPr>
            <w:tcW w:w="217" w:type="dxa"/>
          </w:tcPr>
          <w:p w14:paraId="0AE4B60B" w14:textId="77777777" w:rsidR="002C0FD9" w:rsidRPr="00CA25CF" w:rsidRDefault="002C0FD9" w:rsidP="00CA25CF">
            <w:pPr>
              <w:rPr>
                <w:rFonts w:cs="Arial"/>
                <w:color w:val="FF0000"/>
                <w:sz w:val="21"/>
                <w:szCs w:val="21"/>
              </w:rPr>
            </w:pPr>
          </w:p>
        </w:tc>
        <w:tc>
          <w:tcPr>
            <w:tcW w:w="217" w:type="dxa"/>
          </w:tcPr>
          <w:p w14:paraId="03287095" w14:textId="77777777" w:rsidR="002C0FD9" w:rsidRPr="00CA25CF" w:rsidRDefault="002C0FD9" w:rsidP="00CA25CF">
            <w:pPr>
              <w:rPr>
                <w:rFonts w:cs="Arial"/>
                <w:color w:val="FF0000"/>
                <w:sz w:val="21"/>
                <w:szCs w:val="21"/>
              </w:rPr>
            </w:pPr>
          </w:p>
        </w:tc>
        <w:tc>
          <w:tcPr>
            <w:tcW w:w="217" w:type="dxa"/>
          </w:tcPr>
          <w:p w14:paraId="4173BA87" w14:textId="77777777" w:rsidR="002C0FD9" w:rsidRPr="00CA25CF" w:rsidRDefault="002C0FD9" w:rsidP="00CA25CF">
            <w:pPr>
              <w:rPr>
                <w:rFonts w:cs="Arial"/>
                <w:color w:val="FF0000"/>
                <w:sz w:val="21"/>
                <w:szCs w:val="21"/>
              </w:rPr>
            </w:pPr>
          </w:p>
        </w:tc>
        <w:tc>
          <w:tcPr>
            <w:tcW w:w="217" w:type="dxa"/>
          </w:tcPr>
          <w:p w14:paraId="0FC7A1F1" w14:textId="77777777" w:rsidR="002C0FD9" w:rsidRPr="00CA25CF" w:rsidRDefault="002C0FD9" w:rsidP="00CA25CF">
            <w:pPr>
              <w:rPr>
                <w:rFonts w:cs="Arial"/>
                <w:color w:val="FF0000"/>
                <w:sz w:val="21"/>
                <w:szCs w:val="21"/>
              </w:rPr>
            </w:pPr>
          </w:p>
        </w:tc>
        <w:tc>
          <w:tcPr>
            <w:tcW w:w="217" w:type="dxa"/>
          </w:tcPr>
          <w:p w14:paraId="789C5D4F" w14:textId="77777777" w:rsidR="002C0FD9" w:rsidRPr="00CA25CF" w:rsidRDefault="002C0FD9" w:rsidP="00CA25CF">
            <w:pPr>
              <w:rPr>
                <w:rFonts w:cs="Arial"/>
                <w:color w:val="FF0000"/>
                <w:sz w:val="21"/>
                <w:szCs w:val="21"/>
              </w:rPr>
            </w:pPr>
          </w:p>
        </w:tc>
        <w:tc>
          <w:tcPr>
            <w:tcW w:w="217" w:type="dxa"/>
          </w:tcPr>
          <w:p w14:paraId="0AFB808A" w14:textId="77777777" w:rsidR="002C0FD9" w:rsidRPr="00CA25CF" w:rsidRDefault="002C0FD9" w:rsidP="00CA25CF">
            <w:pPr>
              <w:rPr>
                <w:rFonts w:cs="Arial"/>
                <w:color w:val="FF0000"/>
                <w:sz w:val="21"/>
                <w:szCs w:val="21"/>
              </w:rPr>
            </w:pPr>
          </w:p>
        </w:tc>
        <w:tc>
          <w:tcPr>
            <w:tcW w:w="217" w:type="dxa"/>
          </w:tcPr>
          <w:p w14:paraId="6D7EE8CD" w14:textId="77777777" w:rsidR="002C0FD9" w:rsidRPr="00CA25CF" w:rsidRDefault="002C0FD9" w:rsidP="00CA25CF">
            <w:pPr>
              <w:rPr>
                <w:rFonts w:cs="Arial"/>
                <w:color w:val="FF0000"/>
                <w:sz w:val="21"/>
                <w:szCs w:val="21"/>
              </w:rPr>
            </w:pPr>
          </w:p>
        </w:tc>
        <w:tc>
          <w:tcPr>
            <w:tcW w:w="217" w:type="dxa"/>
          </w:tcPr>
          <w:p w14:paraId="38B5E2EE" w14:textId="77777777" w:rsidR="002C0FD9" w:rsidRPr="00CA25CF" w:rsidRDefault="002C0FD9" w:rsidP="00CA25CF">
            <w:pPr>
              <w:rPr>
                <w:rFonts w:cs="Arial"/>
                <w:color w:val="FF0000"/>
                <w:sz w:val="21"/>
                <w:szCs w:val="21"/>
              </w:rPr>
            </w:pPr>
          </w:p>
        </w:tc>
        <w:tc>
          <w:tcPr>
            <w:tcW w:w="217" w:type="dxa"/>
          </w:tcPr>
          <w:p w14:paraId="34CF91DD" w14:textId="77777777" w:rsidR="002C0FD9" w:rsidRPr="00CA25CF" w:rsidRDefault="002C0FD9" w:rsidP="00CA25CF">
            <w:pPr>
              <w:rPr>
                <w:rFonts w:cs="Arial"/>
                <w:color w:val="FF0000"/>
                <w:sz w:val="21"/>
                <w:szCs w:val="21"/>
              </w:rPr>
            </w:pPr>
          </w:p>
        </w:tc>
        <w:tc>
          <w:tcPr>
            <w:tcW w:w="217" w:type="dxa"/>
          </w:tcPr>
          <w:p w14:paraId="1A1B971D" w14:textId="77777777" w:rsidR="002C0FD9" w:rsidRPr="00CA25CF" w:rsidRDefault="002C0FD9" w:rsidP="00CA25CF">
            <w:pPr>
              <w:rPr>
                <w:rFonts w:cs="Arial"/>
                <w:color w:val="FF0000"/>
                <w:sz w:val="21"/>
                <w:szCs w:val="21"/>
              </w:rPr>
            </w:pPr>
          </w:p>
        </w:tc>
        <w:tc>
          <w:tcPr>
            <w:tcW w:w="217" w:type="dxa"/>
          </w:tcPr>
          <w:p w14:paraId="2F81067B" w14:textId="77777777" w:rsidR="002C0FD9" w:rsidRPr="00CA25CF" w:rsidRDefault="002C0FD9" w:rsidP="00CA25CF">
            <w:pPr>
              <w:rPr>
                <w:rFonts w:cs="Arial"/>
                <w:color w:val="FF0000"/>
                <w:sz w:val="21"/>
                <w:szCs w:val="21"/>
              </w:rPr>
            </w:pPr>
          </w:p>
        </w:tc>
        <w:tc>
          <w:tcPr>
            <w:tcW w:w="217" w:type="dxa"/>
          </w:tcPr>
          <w:p w14:paraId="03E27973" w14:textId="77777777" w:rsidR="002C0FD9" w:rsidRPr="00CA25CF" w:rsidRDefault="002C0FD9" w:rsidP="00CA25CF">
            <w:pPr>
              <w:rPr>
                <w:rFonts w:cs="Arial"/>
                <w:color w:val="FF0000"/>
                <w:sz w:val="21"/>
                <w:szCs w:val="21"/>
              </w:rPr>
            </w:pPr>
          </w:p>
        </w:tc>
        <w:tc>
          <w:tcPr>
            <w:tcW w:w="217" w:type="dxa"/>
          </w:tcPr>
          <w:p w14:paraId="2259DF4F" w14:textId="77777777" w:rsidR="002C0FD9" w:rsidRPr="00CA25CF" w:rsidRDefault="002C0FD9" w:rsidP="00CA25CF">
            <w:pPr>
              <w:rPr>
                <w:rFonts w:cs="Arial"/>
                <w:color w:val="FF0000"/>
                <w:sz w:val="21"/>
                <w:szCs w:val="21"/>
              </w:rPr>
            </w:pPr>
          </w:p>
        </w:tc>
        <w:tc>
          <w:tcPr>
            <w:tcW w:w="217" w:type="dxa"/>
          </w:tcPr>
          <w:p w14:paraId="6CD8ABD1" w14:textId="77777777" w:rsidR="002C0FD9" w:rsidRPr="00CA25CF" w:rsidRDefault="002C0FD9" w:rsidP="00CA25CF">
            <w:pPr>
              <w:rPr>
                <w:rFonts w:cs="Arial"/>
                <w:color w:val="FF0000"/>
                <w:sz w:val="21"/>
                <w:szCs w:val="21"/>
              </w:rPr>
            </w:pPr>
          </w:p>
        </w:tc>
        <w:tc>
          <w:tcPr>
            <w:tcW w:w="217" w:type="dxa"/>
          </w:tcPr>
          <w:p w14:paraId="4F447420" w14:textId="77777777" w:rsidR="002C0FD9" w:rsidRPr="00CA25CF" w:rsidRDefault="002C0FD9" w:rsidP="00CA25CF">
            <w:pPr>
              <w:rPr>
                <w:rFonts w:cs="Arial"/>
                <w:color w:val="FF0000"/>
                <w:sz w:val="21"/>
                <w:szCs w:val="21"/>
              </w:rPr>
            </w:pPr>
          </w:p>
        </w:tc>
        <w:tc>
          <w:tcPr>
            <w:tcW w:w="217" w:type="dxa"/>
          </w:tcPr>
          <w:p w14:paraId="1027CB91" w14:textId="77777777" w:rsidR="002C0FD9" w:rsidRPr="00CA25CF" w:rsidRDefault="002C0FD9" w:rsidP="00CA25CF">
            <w:pPr>
              <w:rPr>
                <w:rFonts w:cs="Arial"/>
                <w:color w:val="FF0000"/>
                <w:sz w:val="21"/>
                <w:szCs w:val="21"/>
              </w:rPr>
            </w:pPr>
          </w:p>
        </w:tc>
        <w:tc>
          <w:tcPr>
            <w:tcW w:w="217" w:type="dxa"/>
          </w:tcPr>
          <w:p w14:paraId="61B92848" w14:textId="77777777" w:rsidR="002C0FD9" w:rsidRPr="00CA25CF" w:rsidRDefault="002C0FD9" w:rsidP="00CA25CF">
            <w:pPr>
              <w:rPr>
                <w:rFonts w:cs="Arial"/>
                <w:color w:val="FF0000"/>
                <w:sz w:val="21"/>
                <w:szCs w:val="21"/>
              </w:rPr>
            </w:pPr>
          </w:p>
        </w:tc>
        <w:tc>
          <w:tcPr>
            <w:tcW w:w="217" w:type="dxa"/>
          </w:tcPr>
          <w:p w14:paraId="174B2B40" w14:textId="77777777" w:rsidR="002C0FD9" w:rsidRPr="00CA25CF" w:rsidRDefault="002C0FD9" w:rsidP="00CA25CF">
            <w:pPr>
              <w:rPr>
                <w:rFonts w:cs="Arial"/>
                <w:color w:val="FF0000"/>
                <w:sz w:val="21"/>
                <w:szCs w:val="21"/>
              </w:rPr>
            </w:pPr>
          </w:p>
        </w:tc>
        <w:tc>
          <w:tcPr>
            <w:tcW w:w="217" w:type="dxa"/>
          </w:tcPr>
          <w:p w14:paraId="39C6E89A" w14:textId="77777777" w:rsidR="002C0FD9" w:rsidRPr="00CA25CF" w:rsidRDefault="002C0FD9" w:rsidP="00CA25CF">
            <w:pPr>
              <w:rPr>
                <w:rFonts w:cs="Arial"/>
                <w:color w:val="FF0000"/>
                <w:sz w:val="21"/>
                <w:szCs w:val="21"/>
              </w:rPr>
            </w:pPr>
          </w:p>
        </w:tc>
        <w:tc>
          <w:tcPr>
            <w:tcW w:w="217" w:type="dxa"/>
          </w:tcPr>
          <w:p w14:paraId="1ED6382F" w14:textId="77777777" w:rsidR="002C0FD9" w:rsidRPr="00CA25CF" w:rsidRDefault="002C0FD9" w:rsidP="00CA25CF">
            <w:pPr>
              <w:rPr>
                <w:rFonts w:cs="Arial"/>
                <w:color w:val="FF0000"/>
                <w:sz w:val="21"/>
                <w:szCs w:val="21"/>
              </w:rPr>
            </w:pPr>
          </w:p>
        </w:tc>
        <w:tc>
          <w:tcPr>
            <w:tcW w:w="217" w:type="dxa"/>
          </w:tcPr>
          <w:p w14:paraId="1B362D8E" w14:textId="77777777" w:rsidR="002C0FD9" w:rsidRPr="00CA25CF" w:rsidRDefault="002C0FD9" w:rsidP="00CA25CF">
            <w:pPr>
              <w:rPr>
                <w:rFonts w:cs="Arial"/>
                <w:color w:val="FF0000"/>
                <w:sz w:val="21"/>
                <w:szCs w:val="21"/>
              </w:rPr>
            </w:pPr>
          </w:p>
        </w:tc>
        <w:tc>
          <w:tcPr>
            <w:tcW w:w="217" w:type="dxa"/>
          </w:tcPr>
          <w:p w14:paraId="087E6932" w14:textId="77777777" w:rsidR="002C0FD9" w:rsidRPr="00CA25CF" w:rsidRDefault="002C0FD9" w:rsidP="00CA25CF">
            <w:pPr>
              <w:rPr>
                <w:rFonts w:cs="Arial"/>
                <w:color w:val="FF0000"/>
                <w:sz w:val="21"/>
                <w:szCs w:val="21"/>
              </w:rPr>
            </w:pPr>
          </w:p>
        </w:tc>
        <w:tc>
          <w:tcPr>
            <w:tcW w:w="217" w:type="dxa"/>
          </w:tcPr>
          <w:p w14:paraId="74965703" w14:textId="77777777" w:rsidR="002C0FD9" w:rsidRPr="00CA25CF" w:rsidRDefault="002C0FD9" w:rsidP="00CA25CF">
            <w:pPr>
              <w:rPr>
                <w:rFonts w:cs="Arial"/>
                <w:color w:val="FF0000"/>
                <w:sz w:val="21"/>
                <w:szCs w:val="21"/>
              </w:rPr>
            </w:pPr>
          </w:p>
        </w:tc>
        <w:tc>
          <w:tcPr>
            <w:tcW w:w="217" w:type="dxa"/>
          </w:tcPr>
          <w:p w14:paraId="4695029A" w14:textId="77777777" w:rsidR="002C0FD9" w:rsidRPr="00CA25CF" w:rsidRDefault="002C0FD9" w:rsidP="00CA25CF">
            <w:pPr>
              <w:rPr>
                <w:rFonts w:cs="Arial"/>
                <w:color w:val="FF0000"/>
                <w:sz w:val="21"/>
                <w:szCs w:val="21"/>
              </w:rPr>
            </w:pPr>
          </w:p>
        </w:tc>
        <w:tc>
          <w:tcPr>
            <w:tcW w:w="217" w:type="dxa"/>
          </w:tcPr>
          <w:p w14:paraId="5D91B92B" w14:textId="77777777" w:rsidR="002C0FD9" w:rsidRPr="00CA25CF" w:rsidRDefault="002C0FD9" w:rsidP="00CA25CF">
            <w:pPr>
              <w:rPr>
                <w:rFonts w:cs="Arial"/>
                <w:color w:val="FF0000"/>
                <w:sz w:val="21"/>
                <w:szCs w:val="21"/>
              </w:rPr>
            </w:pPr>
          </w:p>
        </w:tc>
        <w:tc>
          <w:tcPr>
            <w:tcW w:w="217" w:type="dxa"/>
          </w:tcPr>
          <w:p w14:paraId="3A797DB0" w14:textId="77777777" w:rsidR="002C0FD9" w:rsidRPr="00CA25CF" w:rsidRDefault="002C0FD9" w:rsidP="00CA25CF">
            <w:pPr>
              <w:rPr>
                <w:rFonts w:cs="Arial"/>
                <w:color w:val="FF0000"/>
                <w:sz w:val="21"/>
                <w:szCs w:val="21"/>
              </w:rPr>
            </w:pPr>
          </w:p>
        </w:tc>
      </w:tr>
      <w:tr w:rsidR="002C0FD9" w:rsidRPr="00A16219" w14:paraId="2F948FF1" w14:textId="56235667" w:rsidTr="002C0FD9">
        <w:trPr>
          <w:trHeight w:val="635"/>
        </w:trPr>
        <w:tc>
          <w:tcPr>
            <w:tcW w:w="515" w:type="dxa"/>
          </w:tcPr>
          <w:p w14:paraId="492CABE5" w14:textId="77777777" w:rsidR="002C0FD9" w:rsidRPr="00CA25CF" w:rsidRDefault="002C0FD9" w:rsidP="00CA25CF">
            <w:pPr>
              <w:rPr>
                <w:rFonts w:cs="Arial"/>
                <w:color w:val="FF0000"/>
                <w:sz w:val="21"/>
                <w:szCs w:val="21"/>
              </w:rPr>
            </w:pPr>
          </w:p>
        </w:tc>
        <w:tc>
          <w:tcPr>
            <w:tcW w:w="217" w:type="dxa"/>
          </w:tcPr>
          <w:p w14:paraId="7F4BDB98" w14:textId="77777777" w:rsidR="002C0FD9" w:rsidRPr="00CA25CF" w:rsidRDefault="002C0FD9" w:rsidP="00CA25CF">
            <w:pPr>
              <w:rPr>
                <w:rFonts w:cs="Arial"/>
                <w:color w:val="FF0000"/>
                <w:sz w:val="21"/>
                <w:szCs w:val="21"/>
              </w:rPr>
            </w:pPr>
          </w:p>
        </w:tc>
        <w:tc>
          <w:tcPr>
            <w:tcW w:w="217" w:type="dxa"/>
          </w:tcPr>
          <w:p w14:paraId="51CB5831" w14:textId="28AC9138" w:rsidR="002C0FD9" w:rsidRPr="00CA25CF" w:rsidRDefault="002C0FD9" w:rsidP="00CA25CF">
            <w:pPr>
              <w:rPr>
                <w:rFonts w:cs="Arial"/>
                <w:color w:val="FF0000"/>
                <w:sz w:val="21"/>
                <w:szCs w:val="21"/>
              </w:rPr>
            </w:pPr>
          </w:p>
        </w:tc>
        <w:tc>
          <w:tcPr>
            <w:tcW w:w="217" w:type="dxa"/>
          </w:tcPr>
          <w:p w14:paraId="070B3212" w14:textId="77777777" w:rsidR="002C0FD9" w:rsidRPr="00CA25CF" w:rsidRDefault="002C0FD9" w:rsidP="00CA25CF">
            <w:pPr>
              <w:rPr>
                <w:rFonts w:cs="Arial"/>
                <w:color w:val="FF0000"/>
                <w:sz w:val="21"/>
                <w:szCs w:val="21"/>
              </w:rPr>
            </w:pPr>
          </w:p>
        </w:tc>
        <w:tc>
          <w:tcPr>
            <w:tcW w:w="217" w:type="dxa"/>
          </w:tcPr>
          <w:p w14:paraId="01032E24" w14:textId="15D427E5" w:rsidR="002C0FD9" w:rsidRPr="00CA25CF" w:rsidRDefault="002C0FD9" w:rsidP="00CA25CF">
            <w:pPr>
              <w:rPr>
                <w:rFonts w:cs="Arial"/>
                <w:color w:val="FF0000"/>
                <w:sz w:val="21"/>
                <w:szCs w:val="21"/>
              </w:rPr>
            </w:pPr>
          </w:p>
        </w:tc>
        <w:tc>
          <w:tcPr>
            <w:tcW w:w="217" w:type="dxa"/>
          </w:tcPr>
          <w:p w14:paraId="720DC27D" w14:textId="77777777" w:rsidR="002C0FD9" w:rsidRPr="00CA25CF" w:rsidRDefault="002C0FD9" w:rsidP="00CA25CF">
            <w:pPr>
              <w:rPr>
                <w:rFonts w:cs="Arial"/>
                <w:color w:val="FF0000"/>
                <w:sz w:val="21"/>
                <w:szCs w:val="21"/>
              </w:rPr>
            </w:pPr>
          </w:p>
        </w:tc>
        <w:tc>
          <w:tcPr>
            <w:tcW w:w="217" w:type="dxa"/>
          </w:tcPr>
          <w:p w14:paraId="14EB2415" w14:textId="77777777" w:rsidR="002C0FD9" w:rsidRPr="00CA25CF" w:rsidRDefault="002C0FD9" w:rsidP="00CA25CF">
            <w:pPr>
              <w:rPr>
                <w:rFonts w:cs="Arial"/>
                <w:color w:val="FF0000"/>
                <w:sz w:val="21"/>
                <w:szCs w:val="21"/>
              </w:rPr>
            </w:pPr>
          </w:p>
        </w:tc>
        <w:tc>
          <w:tcPr>
            <w:tcW w:w="217" w:type="dxa"/>
          </w:tcPr>
          <w:p w14:paraId="1BD40370" w14:textId="77777777" w:rsidR="002C0FD9" w:rsidRPr="00CA25CF" w:rsidRDefault="002C0FD9" w:rsidP="00CA25CF">
            <w:pPr>
              <w:rPr>
                <w:rFonts w:cs="Arial"/>
                <w:color w:val="FF0000"/>
                <w:sz w:val="21"/>
                <w:szCs w:val="21"/>
              </w:rPr>
            </w:pPr>
          </w:p>
        </w:tc>
        <w:tc>
          <w:tcPr>
            <w:tcW w:w="217" w:type="dxa"/>
          </w:tcPr>
          <w:p w14:paraId="7845BCDF" w14:textId="77777777" w:rsidR="002C0FD9" w:rsidRPr="00CA25CF" w:rsidRDefault="002C0FD9" w:rsidP="00CA25CF">
            <w:pPr>
              <w:rPr>
                <w:rFonts w:cs="Arial"/>
                <w:color w:val="FF0000"/>
                <w:sz w:val="21"/>
                <w:szCs w:val="21"/>
              </w:rPr>
            </w:pPr>
          </w:p>
        </w:tc>
        <w:tc>
          <w:tcPr>
            <w:tcW w:w="217" w:type="dxa"/>
          </w:tcPr>
          <w:p w14:paraId="266BA396" w14:textId="77777777" w:rsidR="002C0FD9" w:rsidRPr="00CA25CF" w:rsidRDefault="002C0FD9" w:rsidP="00CA25CF">
            <w:pPr>
              <w:rPr>
                <w:rFonts w:cs="Arial"/>
                <w:color w:val="FF0000"/>
                <w:sz w:val="21"/>
                <w:szCs w:val="21"/>
              </w:rPr>
            </w:pPr>
          </w:p>
        </w:tc>
        <w:tc>
          <w:tcPr>
            <w:tcW w:w="217" w:type="dxa"/>
          </w:tcPr>
          <w:p w14:paraId="0A6F6C9D" w14:textId="77777777" w:rsidR="002C0FD9" w:rsidRPr="00CA25CF" w:rsidRDefault="002C0FD9" w:rsidP="00CA25CF">
            <w:pPr>
              <w:rPr>
                <w:rFonts w:cs="Arial"/>
                <w:color w:val="FF0000"/>
                <w:sz w:val="21"/>
                <w:szCs w:val="21"/>
              </w:rPr>
            </w:pPr>
          </w:p>
        </w:tc>
        <w:tc>
          <w:tcPr>
            <w:tcW w:w="217" w:type="dxa"/>
          </w:tcPr>
          <w:p w14:paraId="6FA68292" w14:textId="77777777" w:rsidR="002C0FD9" w:rsidRPr="00CA25CF" w:rsidRDefault="002C0FD9" w:rsidP="00CA25CF">
            <w:pPr>
              <w:rPr>
                <w:rFonts w:cs="Arial"/>
                <w:color w:val="FF0000"/>
                <w:sz w:val="21"/>
                <w:szCs w:val="21"/>
              </w:rPr>
            </w:pPr>
          </w:p>
        </w:tc>
        <w:tc>
          <w:tcPr>
            <w:tcW w:w="217" w:type="dxa"/>
          </w:tcPr>
          <w:p w14:paraId="61EC1C70" w14:textId="77777777" w:rsidR="002C0FD9" w:rsidRPr="00CA25CF" w:rsidRDefault="002C0FD9" w:rsidP="00CA25CF">
            <w:pPr>
              <w:rPr>
                <w:rFonts w:cs="Arial"/>
                <w:color w:val="FF0000"/>
                <w:sz w:val="21"/>
                <w:szCs w:val="21"/>
              </w:rPr>
            </w:pPr>
          </w:p>
        </w:tc>
        <w:tc>
          <w:tcPr>
            <w:tcW w:w="217" w:type="dxa"/>
          </w:tcPr>
          <w:p w14:paraId="3A0BE934" w14:textId="77777777" w:rsidR="002C0FD9" w:rsidRPr="00CA25CF" w:rsidRDefault="002C0FD9" w:rsidP="00CA25CF">
            <w:pPr>
              <w:rPr>
                <w:rFonts w:cs="Arial"/>
                <w:color w:val="FF0000"/>
                <w:sz w:val="21"/>
                <w:szCs w:val="21"/>
              </w:rPr>
            </w:pPr>
          </w:p>
        </w:tc>
        <w:tc>
          <w:tcPr>
            <w:tcW w:w="217" w:type="dxa"/>
          </w:tcPr>
          <w:p w14:paraId="75FE34AC" w14:textId="77777777" w:rsidR="002C0FD9" w:rsidRPr="00CA25CF" w:rsidRDefault="002C0FD9" w:rsidP="00CA25CF">
            <w:pPr>
              <w:rPr>
                <w:rFonts w:cs="Arial"/>
                <w:color w:val="FF0000"/>
                <w:sz w:val="21"/>
                <w:szCs w:val="21"/>
              </w:rPr>
            </w:pPr>
          </w:p>
        </w:tc>
        <w:tc>
          <w:tcPr>
            <w:tcW w:w="217" w:type="dxa"/>
          </w:tcPr>
          <w:p w14:paraId="2FE072B0" w14:textId="45480DC9" w:rsidR="002C0FD9" w:rsidRPr="00CA25CF" w:rsidRDefault="002C0FD9" w:rsidP="00CA25CF">
            <w:pPr>
              <w:rPr>
                <w:rFonts w:cs="Arial"/>
                <w:color w:val="FF0000"/>
                <w:sz w:val="21"/>
                <w:szCs w:val="21"/>
              </w:rPr>
            </w:pPr>
          </w:p>
        </w:tc>
        <w:tc>
          <w:tcPr>
            <w:tcW w:w="217" w:type="dxa"/>
          </w:tcPr>
          <w:p w14:paraId="509CA666" w14:textId="77777777" w:rsidR="002C0FD9" w:rsidRPr="00CA25CF" w:rsidRDefault="002C0FD9" w:rsidP="00CA25CF">
            <w:pPr>
              <w:rPr>
                <w:rFonts w:cs="Arial"/>
                <w:color w:val="FF0000"/>
                <w:sz w:val="21"/>
                <w:szCs w:val="21"/>
              </w:rPr>
            </w:pPr>
          </w:p>
        </w:tc>
        <w:tc>
          <w:tcPr>
            <w:tcW w:w="217" w:type="dxa"/>
          </w:tcPr>
          <w:p w14:paraId="24A87671" w14:textId="77777777" w:rsidR="002C0FD9" w:rsidRPr="00CA25CF" w:rsidRDefault="002C0FD9" w:rsidP="00CA25CF">
            <w:pPr>
              <w:rPr>
                <w:rFonts w:cs="Arial"/>
                <w:color w:val="FF0000"/>
                <w:sz w:val="21"/>
                <w:szCs w:val="21"/>
              </w:rPr>
            </w:pPr>
          </w:p>
        </w:tc>
        <w:tc>
          <w:tcPr>
            <w:tcW w:w="217" w:type="dxa"/>
          </w:tcPr>
          <w:p w14:paraId="6DD4894A" w14:textId="77777777" w:rsidR="002C0FD9" w:rsidRPr="00CA25CF" w:rsidRDefault="002C0FD9" w:rsidP="00CA25CF">
            <w:pPr>
              <w:rPr>
                <w:rFonts w:cs="Arial"/>
                <w:color w:val="FF0000"/>
                <w:sz w:val="21"/>
                <w:szCs w:val="21"/>
              </w:rPr>
            </w:pPr>
          </w:p>
        </w:tc>
        <w:tc>
          <w:tcPr>
            <w:tcW w:w="217" w:type="dxa"/>
          </w:tcPr>
          <w:p w14:paraId="0DA3DD96" w14:textId="77777777" w:rsidR="002C0FD9" w:rsidRPr="00CA25CF" w:rsidRDefault="002C0FD9" w:rsidP="00CA25CF">
            <w:pPr>
              <w:rPr>
                <w:rFonts w:cs="Arial"/>
                <w:color w:val="FF0000"/>
                <w:sz w:val="21"/>
                <w:szCs w:val="21"/>
              </w:rPr>
            </w:pPr>
          </w:p>
        </w:tc>
        <w:tc>
          <w:tcPr>
            <w:tcW w:w="217" w:type="dxa"/>
          </w:tcPr>
          <w:p w14:paraId="62788727" w14:textId="77777777" w:rsidR="002C0FD9" w:rsidRPr="00CA25CF" w:rsidRDefault="002C0FD9" w:rsidP="00CA25CF">
            <w:pPr>
              <w:rPr>
                <w:rFonts w:cs="Arial"/>
                <w:color w:val="FF0000"/>
                <w:sz w:val="21"/>
                <w:szCs w:val="21"/>
              </w:rPr>
            </w:pPr>
          </w:p>
        </w:tc>
        <w:tc>
          <w:tcPr>
            <w:tcW w:w="217" w:type="dxa"/>
          </w:tcPr>
          <w:p w14:paraId="44E5BDD5" w14:textId="77777777" w:rsidR="002C0FD9" w:rsidRPr="00CA25CF" w:rsidRDefault="002C0FD9" w:rsidP="00CA25CF">
            <w:pPr>
              <w:rPr>
                <w:rFonts w:cs="Arial"/>
                <w:color w:val="FF0000"/>
                <w:sz w:val="21"/>
                <w:szCs w:val="21"/>
              </w:rPr>
            </w:pPr>
          </w:p>
        </w:tc>
        <w:tc>
          <w:tcPr>
            <w:tcW w:w="217" w:type="dxa"/>
          </w:tcPr>
          <w:p w14:paraId="24B68862" w14:textId="77777777" w:rsidR="002C0FD9" w:rsidRPr="00CA25CF" w:rsidRDefault="002C0FD9" w:rsidP="00CA25CF">
            <w:pPr>
              <w:rPr>
                <w:rFonts w:cs="Arial"/>
                <w:color w:val="FF0000"/>
                <w:sz w:val="21"/>
                <w:szCs w:val="21"/>
              </w:rPr>
            </w:pPr>
          </w:p>
        </w:tc>
        <w:tc>
          <w:tcPr>
            <w:tcW w:w="217" w:type="dxa"/>
          </w:tcPr>
          <w:p w14:paraId="099ADEB6" w14:textId="77777777" w:rsidR="002C0FD9" w:rsidRPr="00CA25CF" w:rsidRDefault="002C0FD9" w:rsidP="00CA25CF">
            <w:pPr>
              <w:rPr>
                <w:rFonts w:cs="Arial"/>
                <w:color w:val="FF0000"/>
                <w:sz w:val="21"/>
                <w:szCs w:val="21"/>
              </w:rPr>
            </w:pPr>
          </w:p>
        </w:tc>
        <w:tc>
          <w:tcPr>
            <w:tcW w:w="217" w:type="dxa"/>
          </w:tcPr>
          <w:p w14:paraId="155EAE0F" w14:textId="77777777" w:rsidR="002C0FD9" w:rsidRPr="00CA25CF" w:rsidRDefault="002C0FD9" w:rsidP="00CA25CF">
            <w:pPr>
              <w:rPr>
                <w:rFonts w:cs="Arial"/>
                <w:color w:val="FF0000"/>
                <w:sz w:val="21"/>
                <w:szCs w:val="21"/>
              </w:rPr>
            </w:pPr>
          </w:p>
        </w:tc>
        <w:tc>
          <w:tcPr>
            <w:tcW w:w="217" w:type="dxa"/>
          </w:tcPr>
          <w:p w14:paraId="6C4822EE" w14:textId="77777777" w:rsidR="002C0FD9" w:rsidRPr="00CA25CF" w:rsidRDefault="002C0FD9" w:rsidP="00CA25CF">
            <w:pPr>
              <w:rPr>
                <w:rFonts w:cs="Arial"/>
                <w:color w:val="FF0000"/>
                <w:sz w:val="21"/>
                <w:szCs w:val="21"/>
              </w:rPr>
            </w:pPr>
          </w:p>
        </w:tc>
        <w:tc>
          <w:tcPr>
            <w:tcW w:w="217" w:type="dxa"/>
          </w:tcPr>
          <w:p w14:paraId="2670E81E" w14:textId="77777777" w:rsidR="002C0FD9" w:rsidRPr="00CA25CF" w:rsidRDefault="002C0FD9" w:rsidP="00CA25CF">
            <w:pPr>
              <w:rPr>
                <w:rFonts w:cs="Arial"/>
                <w:color w:val="FF0000"/>
                <w:sz w:val="21"/>
                <w:szCs w:val="21"/>
              </w:rPr>
            </w:pPr>
          </w:p>
        </w:tc>
        <w:tc>
          <w:tcPr>
            <w:tcW w:w="217" w:type="dxa"/>
          </w:tcPr>
          <w:p w14:paraId="548590B4" w14:textId="77777777" w:rsidR="002C0FD9" w:rsidRPr="00CA25CF" w:rsidRDefault="002C0FD9" w:rsidP="00CA25CF">
            <w:pPr>
              <w:rPr>
                <w:rFonts w:cs="Arial"/>
                <w:color w:val="FF0000"/>
                <w:sz w:val="21"/>
                <w:szCs w:val="21"/>
              </w:rPr>
            </w:pPr>
          </w:p>
        </w:tc>
        <w:tc>
          <w:tcPr>
            <w:tcW w:w="217" w:type="dxa"/>
          </w:tcPr>
          <w:p w14:paraId="230D2003" w14:textId="77777777" w:rsidR="002C0FD9" w:rsidRPr="00CA25CF" w:rsidRDefault="002C0FD9" w:rsidP="00CA25CF">
            <w:pPr>
              <w:rPr>
                <w:rFonts w:cs="Arial"/>
                <w:color w:val="FF0000"/>
                <w:sz w:val="21"/>
                <w:szCs w:val="21"/>
              </w:rPr>
            </w:pPr>
          </w:p>
        </w:tc>
        <w:tc>
          <w:tcPr>
            <w:tcW w:w="217" w:type="dxa"/>
          </w:tcPr>
          <w:p w14:paraId="4991C5AB" w14:textId="77777777" w:rsidR="002C0FD9" w:rsidRPr="00CA25CF" w:rsidRDefault="002C0FD9" w:rsidP="00CA25CF">
            <w:pPr>
              <w:rPr>
                <w:rFonts w:cs="Arial"/>
                <w:color w:val="FF0000"/>
                <w:sz w:val="21"/>
                <w:szCs w:val="21"/>
              </w:rPr>
            </w:pPr>
          </w:p>
        </w:tc>
        <w:tc>
          <w:tcPr>
            <w:tcW w:w="217" w:type="dxa"/>
          </w:tcPr>
          <w:p w14:paraId="7858FBE5" w14:textId="77777777" w:rsidR="002C0FD9" w:rsidRPr="00CA25CF" w:rsidRDefault="002C0FD9" w:rsidP="00CA25CF">
            <w:pPr>
              <w:rPr>
                <w:rFonts w:cs="Arial"/>
                <w:color w:val="FF0000"/>
                <w:sz w:val="21"/>
                <w:szCs w:val="21"/>
              </w:rPr>
            </w:pPr>
          </w:p>
        </w:tc>
        <w:tc>
          <w:tcPr>
            <w:tcW w:w="217" w:type="dxa"/>
          </w:tcPr>
          <w:p w14:paraId="08C48B0A" w14:textId="77777777" w:rsidR="002C0FD9" w:rsidRPr="00CA25CF" w:rsidRDefault="002C0FD9" w:rsidP="00CA25CF">
            <w:pPr>
              <w:rPr>
                <w:rFonts w:cs="Arial"/>
                <w:color w:val="FF0000"/>
                <w:sz w:val="21"/>
                <w:szCs w:val="21"/>
              </w:rPr>
            </w:pPr>
          </w:p>
        </w:tc>
        <w:tc>
          <w:tcPr>
            <w:tcW w:w="217" w:type="dxa"/>
          </w:tcPr>
          <w:p w14:paraId="7716A212" w14:textId="77777777" w:rsidR="002C0FD9" w:rsidRPr="00CA25CF" w:rsidRDefault="002C0FD9" w:rsidP="00CA25CF">
            <w:pPr>
              <w:rPr>
                <w:rFonts w:cs="Arial"/>
                <w:color w:val="FF0000"/>
                <w:sz w:val="21"/>
                <w:szCs w:val="21"/>
              </w:rPr>
            </w:pPr>
          </w:p>
        </w:tc>
        <w:tc>
          <w:tcPr>
            <w:tcW w:w="217" w:type="dxa"/>
          </w:tcPr>
          <w:p w14:paraId="3A548985" w14:textId="77777777" w:rsidR="002C0FD9" w:rsidRPr="00CA25CF" w:rsidRDefault="002C0FD9" w:rsidP="00CA25CF">
            <w:pPr>
              <w:rPr>
                <w:rFonts w:cs="Arial"/>
                <w:color w:val="FF0000"/>
                <w:sz w:val="21"/>
                <w:szCs w:val="21"/>
              </w:rPr>
            </w:pPr>
          </w:p>
        </w:tc>
        <w:tc>
          <w:tcPr>
            <w:tcW w:w="217" w:type="dxa"/>
          </w:tcPr>
          <w:p w14:paraId="582C8C41" w14:textId="77777777" w:rsidR="002C0FD9" w:rsidRPr="00CA25CF" w:rsidRDefault="002C0FD9" w:rsidP="00CA25CF">
            <w:pPr>
              <w:rPr>
                <w:rFonts w:cs="Arial"/>
                <w:color w:val="FF0000"/>
                <w:sz w:val="21"/>
                <w:szCs w:val="21"/>
              </w:rPr>
            </w:pPr>
          </w:p>
        </w:tc>
        <w:tc>
          <w:tcPr>
            <w:tcW w:w="217" w:type="dxa"/>
          </w:tcPr>
          <w:p w14:paraId="400D8AC1" w14:textId="77777777" w:rsidR="002C0FD9" w:rsidRPr="00CA25CF" w:rsidRDefault="002C0FD9" w:rsidP="00CA25CF">
            <w:pPr>
              <w:rPr>
                <w:rFonts w:cs="Arial"/>
                <w:color w:val="FF0000"/>
                <w:sz w:val="21"/>
                <w:szCs w:val="21"/>
              </w:rPr>
            </w:pPr>
          </w:p>
        </w:tc>
        <w:tc>
          <w:tcPr>
            <w:tcW w:w="217" w:type="dxa"/>
          </w:tcPr>
          <w:p w14:paraId="6290F297" w14:textId="77777777" w:rsidR="002C0FD9" w:rsidRPr="00CA25CF" w:rsidRDefault="002C0FD9" w:rsidP="00CA25CF">
            <w:pPr>
              <w:rPr>
                <w:rFonts w:cs="Arial"/>
                <w:color w:val="FF0000"/>
                <w:sz w:val="21"/>
                <w:szCs w:val="21"/>
              </w:rPr>
            </w:pPr>
          </w:p>
        </w:tc>
        <w:tc>
          <w:tcPr>
            <w:tcW w:w="217" w:type="dxa"/>
          </w:tcPr>
          <w:p w14:paraId="6DB77AF2" w14:textId="77777777" w:rsidR="002C0FD9" w:rsidRPr="00CA25CF" w:rsidRDefault="002C0FD9" w:rsidP="00CA25CF">
            <w:pPr>
              <w:rPr>
                <w:rFonts w:cs="Arial"/>
                <w:color w:val="FF0000"/>
                <w:sz w:val="21"/>
                <w:szCs w:val="21"/>
              </w:rPr>
            </w:pPr>
          </w:p>
        </w:tc>
        <w:tc>
          <w:tcPr>
            <w:tcW w:w="217" w:type="dxa"/>
          </w:tcPr>
          <w:p w14:paraId="32F48BED" w14:textId="77777777" w:rsidR="002C0FD9" w:rsidRPr="00CA25CF" w:rsidRDefault="002C0FD9" w:rsidP="00CA25CF">
            <w:pPr>
              <w:rPr>
                <w:rFonts w:cs="Arial"/>
                <w:color w:val="FF0000"/>
                <w:sz w:val="21"/>
                <w:szCs w:val="21"/>
              </w:rPr>
            </w:pPr>
          </w:p>
        </w:tc>
        <w:tc>
          <w:tcPr>
            <w:tcW w:w="217" w:type="dxa"/>
          </w:tcPr>
          <w:p w14:paraId="6AA8E03B" w14:textId="77777777" w:rsidR="002C0FD9" w:rsidRPr="00CA25CF" w:rsidRDefault="002C0FD9" w:rsidP="00CA25CF">
            <w:pPr>
              <w:rPr>
                <w:rFonts w:cs="Arial"/>
                <w:color w:val="FF0000"/>
                <w:sz w:val="21"/>
                <w:szCs w:val="21"/>
              </w:rPr>
            </w:pPr>
          </w:p>
        </w:tc>
        <w:tc>
          <w:tcPr>
            <w:tcW w:w="217" w:type="dxa"/>
          </w:tcPr>
          <w:p w14:paraId="6BAF2F2B" w14:textId="77777777" w:rsidR="002C0FD9" w:rsidRPr="00CA25CF" w:rsidRDefault="002C0FD9" w:rsidP="00CA25CF">
            <w:pPr>
              <w:rPr>
                <w:rFonts w:cs="Arial"/>
                <w:color w:val="FF0000"/>
                <w:sz w:val="21"/>
                <w:szCs w:val="21"/>
              </w:rPr>
            </w:pPr>
          </w:p>
        </w:tc>
        <w:tc>
          <w:tcPr>
            <w:tcW w:w="217" w:type="dxa"/>
          </w:tcPr>
          <w:p w14:paraId="3AB16880" w14:textId="77777777" w:rsidR="002C0FD9" w:rsidRPr="00CA25CF" w:rsidRDefault="002C0FD9" w:rsidP="00CA25CF">
            <w:pPr>
              <w:rPr>
                <w:rFonts w:cs="Arial"/>
                <w:color w:val="FF0000"/>
                <w:sz w:val="21"/>
                <w:szCs w:val="21"/>
              </w:rPr>
            </w:pPr>
          </w:p>
        </w:tc>
        <w:tc>
          <w:tcPr>
            <w:tcW w:w="217" w:type="dxa"/>
          </w:tcPr>
          <w:p w14:paraId="4302D549" w14:textId="77777777" w:rsidR="002C0FD9" w:rsidRPr="00CA25CF" w:rsidRDefault="002C0FD9" w:rsidP="00CA25CF">
            <w:pPr>
              <w:rPr>
                <w:rFonts w:cs="Arial"/>
                <w:color w:val="FF0000"/>
                <w:sz w:val="21"/>
                <w:szCs w:val="21"/>
              </w:rPr>
            </w:pPr>
          </w:p>
        </w:tc>
      </w:tr>
      <w:tr w:rsidR="002C0FD9" w:rsidRPr="00A16219" w14:paraId="51347A5C" w14:textId="7D60F2AE" w:rsidTr="002C0FD9">
        <w:trPr>
          <w:trHeight w:val="635"/>
        </w:trPr>
        <w:tc>
          <w:tcPr>
            <w:tcW w:w="515" w:type="dxa"/>
          </w:tcPr>
          <w:p w14:paraId="7162E97D" w14:textId="77777777" w:rsidR="002C0FD9" w:rsidRPr="00CA25CF" w:rsidRDefault="002C0FD9" w:rsidP="00CA25CF">
            <w:pPr>
              <w:rPr>
                <w:rFonts w:cs="Arial"/>
                <w:color w:val="FF0000"/>
                <w:sz w:val="21"/>
                <w:szCs w:val="21"/>
              </w:rPr>
            </w:pPr>
          </w:p>
        </w:tc>
        <w:tc>
          <w:tcPr>
            <w:tcW w:w="217" w:type="dxa"/>
          </w:tcPr>
          <w:p w14:paraId="1BA03C52" w14:textId="77777777" w:rsidR="002C0FD9" w:rsidRPr="00CA25CF" w:rsidRDefault="002C0FD9" w:rsidP="00CA25CF">
            <w:pPr>
              <w:rPr>
                <w:rFonts w:cs="Arial"/>
                <w:color w:val="FF0000"/>
                <w:sz w:val="21"/>
                <w:szCs w:val="21"/>
              </w:rPr>
            </w:pPr>
          </w:p>
        </w:tc>
        <w:tc>
          <w:tcPr>
            <w:tcW w:w="217" w:type="dxa"/>
          </w:tcPr>
          <w:p w14:paraId="7AA4518C" w14:textId="00216159" w:rsidR="002C0FD9" w:rsidRPr="00CA25CF" w:rsidRDefault="002C0FD9" w:rsidP="00CA25CF">
            <w:pPr>
              <w:rPr>
                <w:rFonts w:cs="Arial"/>
                <w:color w:val="FF0000"/>
                <w:sz w:val="21"/>
                <w:szCs w:val="21"/>
              </w:rPr>
            </w:pPr>
          </w:p>
        </w:tc>
        <w:tc>
          <w:tcPr>
            <w:tcW w:w="217" w:type="dxa"/>
          </w:tcPr>
          <w:p w14:paraId="079EF21D" w14:textId="77777777" w:rsidR="002C0FD9" w:rsidRPr="00CA25CF" w:rsidRDefault="002C0FD9" w:rsidP="00CA25CF">
            <w:pPr>
              <w:rPr>
                <w:rFonts w:cs="Arial"/>
                <w:color w:val="FF0000"/>
                <w:sz w:val="21"/>
                <w:szCs w:val="21"/>
              </w:rPr>
            </w:pPr>
          </w:p>
        </w:tc>
        <w:tc>
          <w:tcPr>
            <w:tcW w:w="217" w:type="dxa"/>
          </w:tcPr>
          <w:p w14:paraId="0CD972B4" w14:textId="6E1DC86D" w:rsidR="002C0FD9" w:rsidRPr="00CA25CF" w:rsidRDefault="002C0FD9" w:rsidP="00CA25CF">
            <w:pPr>
              <w:rPr>
                <w:rFonts w:cs="Arial"/>
                <w:color w:val="FF0000"/>
                <w:sz w:val="21"/>
                <w:szCs w:val="21"/>
              </w:rPr>
            </w:pPr>
          </w:p>
        </w:tc>
        <w:tc>
          <w:tcPr>
            <w:tcW w:w="217" w:type="dxa"/>
          </w:tcPr>
          <w:p w14:paraId="0D122D33" w14:textId="77777777" w:rsidR="002C0FD9" w:rsidRPr="00CA25CF" w:rsidRDefault="002C0FD9" w:rsidP="00CA25CF">
            <w:pPr>
              <w:rPr>
                <w:rFonts w:cs="Arial"/>
                <w:color w:val="FF0000"/>
                <w:sz w:val="21"/>
                <w:szCs w:val="21"/>
              </w:rPr>
            </w:pPr>
          </w:p>
        </w:tc>
        <w:tc>
          <w:tcPr>
            <w:tcW w:w="217" w:type="dxa"/>
          </w:tcPr>
          <w:p w14:paraId="0D5CADC9" w14:textId="77777777" w:rsidR="002C0FD9" w:rsidRPr="00CA25CF" w:rsidRDefault="002C0FD9" w:rsidP="00CA25CF">
            <w:pPr>
              <w:rPr>
                <w:rFonts w:cs="Arial"/>
                <w:color w:val="FF0000"/>
                <w:sz w:val="21"/>
                <w:szCs w:val="21"/>
              </w:rPr>
            </w:pPr>
          </w:p>
        </w:tc>
        <w:tc>
          <w:tcPr>
            <w:tcW w:w="217" w:type="dxa"/>
          </w:tcPr>
          <w:p w14:paraId="3783AA99" w14:textId="77777777" w:rsidR="002C0FD9" w:rsidRPr="00CA25CF" w:rsidRDefault="002C0FD9" w:rsidP="00CA25CF">
            <w:pPr>
              <w:rPr>
                <w:rFonts w:cs="Arial"/>
                <w:color w:val="FF0000"/>
                <w:sz w:val="21"/>
                <w:szCs w:val="21"/>
              </w:rPr>
            </w:pPr>
          </w:p>
        </w:tc>
        <w:tc>
          <w:tcPr>
            <w:tcW w:w="217" w:type="dxa"/>
          </w:tcPr>
          <w:p w14:paraId="0932C093" w14:textId="77777777" w:rsidR="002C0FD9" w:rsidRPr="00CA25CF" w:rsidRDefault="002C0FD9" w:rsidP="00CA25CF">
            <w:pPr>
              <w:rPr>
                <w:rFonts w:cs="Arial"/>
                <w:color w:val="FF0000"/>
                <w:sz w:val="21"/>
                <w:szCs w:val="21"/>
              </w:rPr>
            </w:pPr>
          </w:p>
        </w:tc>
        <w:tc>
          <w:tcPr>
            <w:tcW w:w="217" w:type="dxa"/>
          </w:tcPr>
          <w:p w14:paraId="7B126A9E" w14:textId="77777777" w:rsidR="002C0FD9" w:rsidRPr="00CA25CF" w:rsidRDefault="002C0FD9" w:rsidP="00CA25CF">
            <w:pPr>
              <w:rPr>
                <w:rFonts w:cs="Arial"/>
                <w:color w:val="FF0000"/>
                <w:sz w:val="21"/>
                <w:szCs w:val="21"/>
              </w:rPr>
            </w:pPr>
          </w:p>
        </w:tc>
        <w:tc>
          <w:tcPr>
            <w:tcW w:w="217" w:type="dxa"/>
          </w:tcPr>
          <w:p w14:paraId="0C91177A" w14:textId="77777777" w:rsidR="002C0FD9" w:rsidRPr="00CA25CF" w:rsidRDefault="002C0FD9" w:rsidP="00CA25CF">
            <w:pPr>
              <w:rPr>
                <w:rFonts w:cs="Arial"/>
                <w:color w:val="FF0000"/>
                <w:sz w:val="21"/>
                <w:szCs w:val="21"/>
              </w:rPr>
            </w:pPr>
          </w:p>
        </w:tc>
        <w:tc>
          <w:tcPr>
            <w:tcW w:w="217" w:type="dxa"/>
          </w:tcPr>
          <w:p w14:paraId="353E6256" w14:textId="77777777" w:rsidR="002C0FD9" w:rsidRPr="00CA25CF" w:rsidRDefault="002C0FD9" w:rsidP="00CA25CF">
            <w:pPr>
              <w:rPr>
                <w:rFonts w:cs="Arial"/>
                <w:color w:val="FF0000"/>
                <w:sz w:val="21"/>
                <w:szCs w:val="21"/>
              </w:rPr>
            </w:pPr>
          </w:p>
        </w:tc>
        <w:tc>
          <w:tcPr>
            <w:tcW w:w="217" w:type="dxa"/>
          </w:tcPr>
          <w:p w14:paraId="354F4DDE" w14:textId="77777777" w:rsidR="002C0FD9" w:rsidRPr="00CA25CF" w:rsidRDefault="002C0FD9" w:rsidP="00CA25CF">
            <w:pPr>
              <w:rPr>
                <w:rFonts w:cs="Arial"/>
                <w:color w:val="FF0000"/>
                <w:sz w:val="21"/>
                <w:szCs w:val="21"/>
              </w:rPr>
            </w:pPr>
          </w:p>
        </w:tc>
        <w:tc>
          <w:tcPr>
            <w:tcW w:w="217" w:type="dxa"/>
          </w:tcPr>
          <w:p w14:paraId="3E6B0235" w14:textId="77777777" w:rsidR="002C0FD9" w:rsidRPr="00CA25CF" w:rsidRDefault="002C0FD9" w:rsidP="00CA25CF">
            <w:pPr>
              <w:rPr>
                <w:rFonts w:cs="Arial"/>
                <w:color w:val="FF0000"/>
                <w:sz w:val="21"/>
                <w:szCs w:val="21"/>
              </w:rPr>
            </w:pPr>
          </w:p>
        </w:tc>
        <w:tc>
          <w:tcPr>
            <w:tcW w:w="217" w:type="dxa"/>
          </w:tcPr>
          <w:p w14:paraId="2A408CD0" w14:textId="77777777" w:rsidR="002C0FD9" w:rsidRPr="00CA25CF" w:rsidRDefault="002C0FD9" w:rsidP="00CA25CF">
            <w:pPr>
              <w:rPr>
                <w:rFonts w:cs="Arial"/>
                <w:color w:val="FF0000"/>
                <w:sz w:val="21"/>
                <w:szCs w:val="21"/>
              </w:rPr>
            </w:pPr>
          </w:p>
        </w:tc>
        <w:tc>
          <w:tcPr>
            <w:tcW w:w="217" w:type="dxa"/>
          </w:tcPr>
          <w:p w14:paraId="6918AC63" w14:textId="381E9B26" w:rsidR="002C0FD9" w:rsidRPr="00CA25CF" w:rsidRDefault="002C0FD9" w:rsidP="00CA25CF">
            <w:pPr>
              <w:rPr>
                <w:rFonts w:cs="Arial"/>
                <w:color w:val="FF0000"/>
                <w:sz w:val="21"/>
                <w:szCs w:val="21"/>
              </w:rPr>
            </w:pPr>
          </w:p>
        </w:tc>
        <w:tc>
          <w:tcPr>
            <w:tcW w:w="217" w:type="dxa"/>
          </w:tcPr>
          <w:p w14:paraId="729A47D3" w14:textId="77777777" w:rsidR="002C0FD9" w:rsidRPr="00CA25CF" w:rsidRDefault="002C0FD9" w:rsidP="00CA25CF">
            <w:pPr>
              <w:rPr>
                <w:rFonts w:cs="Arial"/>
                <w:color w:val="FF0000"/>
                <w:sz w:val="21"/>
                <w:szCs w:val="21"/>
              </w:rPr>
            </w:pPr>
          </w:p>
        </w:tc>
        <w:tc>
          <w:tcPr>
            <w:tcW w:w="217" w:type="dxa"/>
          </w:tcPr>
          <w:p w14:paraId="23C25F24" w14:textId="77777777" w:rsidR="002C0FD9" w:rsidRPr="00CA25CF" w:rsidRDefault="002C0FD9" w:rsidP="00CA25CF">
            <w:pPr>
              <w:rPr>
                <w:rFonts w:cs="Arial"/>
                <w:color w:val="FF0000"/>
                <w:sz w:val="21"/>
                <w:szCs w:val="21"/>
              </w:rPr>
            </w:pPr>
          </w:p>
        </w:tc>
        <w:tc>
          <w:tcPr>
            <w:tcW w:w="217" w:type="dxa"/>
          </w:tcPr>
          <w:p w14:paraId="72C8BAB9" w14:textId="77777777" w:rsidR="002C0FD9" w:rsidRPr="00CA25CF" w:rsidRDefault="002C0FD9" w:rsidP="00CA25CF">
            <w:pPr>
              <w:rPr>
                <w:rFonts w:cs="Arial"/>
                <w:color w:val="FF0000"/>
                <w:sz w:val="21"/>
                <w:szCs w:val="21"/>
              </w:rPr>
            </w:pPr>
          </w:p>
        </w:tc>
        <w:tc>
          <w:tcPr>
            <w:tcW w:w="217" w:type="dxa"/>
          </w:tcPr>
          <w:p w14:paraId="19B03276" w14:textId="77777777" w:rsidR="002C0FD9" w:rsidRPr="00CA25CF" w:rsidRDefault="002C0FD9" w:rsidP="00CA25CF">
            <w:pPr>
              <w:rPr>
                <w:rFonts w:cs="Arial"/>
                <w:color w:val="FF0000"/>
                <w:sz w:val="21"/>
                <w:szCs w:val="21"/>
              </w:rPr>
            </w:pPr>
          </w:p>
        </w:tc>
        <w:tc>
          <w:tcPr>
            <w:tcW w:w="217" w:type="dxa"/>
          </w:tcPr>
          <w:p w14:paraId="178C97E2" w14:textId="77777777" w:rsidR="002C0FD9" w:rsidRPr="00CA25CF" w:rsidRDefault="002C0FD9" w:rsidP="00CA25CF">
            <w:pPr>
              <w:rPr>
                <w:rFonts w:cs="Arial"/>
                <w:color w:val="FF0000"/>
                <w:sz w:val="21"/>
                <w:szCs w:val="21"/>
              </w:rPr>
            </w:pPr>
          </w:p>
        </w:tc>
        <w:tc>
          <w:tcPr>
            <w:tcW w:w="217" w:type="dxa"/>
          </w:tcPr>
          <w:p w14:paraId="07AB89BA" w14:textId="77777777" w:rsidR="002C0FD9" w:rsidRPr="00CA25CF" w:rsidRDefault="002C0FD9" w:rsidP="00CA25CF">
            <w:pPr>
              <w:rPr>
                <w:rFonts w:cs="Arial"/>
                <w:color w:val="FF0000"/>
                <w:sz w:val="21"/>
                <w:szCs w:val="21"/>
              </w:rPr>
            </w:pPr>
          </w:p>
        </w:tc>
        <w:tc>
          <w:tcPr>
            <w:tcW w:w="217" w:type="dxa"/>
          </w:tcPr>
          <w:p w14:paraId="0B4AED15" w14:textId="77777777" w:rsidR="002C0FD9" w:rsidRPr="00CA25CF" w:rsidRDefault="002C0FD9" w:rsidP="00CA25CF">
            <w:pPr>
              <w:rPr>
                <w:rFonts w:cs="Arial"/>
                <w:color w:val="FF0000"/>
                <w:sz w:val="21"/>
                <w:szCs w:val="21"/>
              </w:rPr>
            </w:pPr>
          </w:p>
        </w:tc>
        <w:tc>
          <w:tcPr>
            <w:tcW w:w="217" w:type="dxa"/>
          </w:tcPr>
          <w:p w14:paraId="5475F972" w14:textId="77777777" w:rsidR="002C0FD9" w:rsidRPr="00CA25CF" w:rsidRDefault="002C0FD9" w:rsidP="00CA25CF">
            <w:pPr>
              <w:rPr>
                <w:rFonts w:cs="Arial"/>
                <w:color w:val="FF0000"/>
                <w:sz w:val="21"/>
                <w:szCs w:val="21"/>
              </w:rPr>
            </w:pPr>
          </w:p>
        </w:tc>
        <w:tc>
          <w:tcPr>
            <w:tcW w:w="217" w:type="dxa"/>
          </w:tcPr>
          <w:p w14:paraId="4CEF7ACE" w14:textId="77777777" w:rsidR="002C0FD9" w:rsidRPr="00CA25CF" w:rsidRDefault="002C0FD9" w:rsidP="00CA25CF">
            <w:pPr>
              <w:rPr>
                <w:rFonts w:cs="Arial"/>
                <w:color w:val="FF0000"/>
                <w:sz w:val="21"/>
                <w:szCs w:val="21"/>
              </w:rPr>
            </w:pPr>
          </w:p>
        </w:tc>
        <w:tc>
          <w:tcPr>
            <w:tcW w:w="217" w:type="dxa"/>
          </w:tcPr>
          <w:p w14:paraId="1A471C5C" w14:textId="77777777" w:rsidR="002C0FD9" w:rsidRPr="00CA25CF" w:rsidRDefault="002C0FD9" w:rsidP="00CA25CF">
            <w:pPr>
              <w:rPr>
                <w:rFonts w:cs="Arial"/>
                <w:color w:val="FF0000"/>
                <w:sz w:val="21"/>
                <w:szCs w:val="21"/>
              </w:rPr>
            </w:pPr>
          </w:p>
        </w:tc>
        <w:tc>
          <w:tcPr>
            <w:tcW w:w="217" w:type="dxa"/>
          </w:tcPr>
          <w:p w14:paraId="3517C200" w14:textId="77777777" w:rsidR="002C0FD9" w:rsidRPr="00CA25CF" w:rsidRDefault="002C0FD9" w:rsidP="00CA25CF">
            <w:pPr>
              <w:rPr>
                <w:rFonts w:cs="Arial"/>
                <w:color w:val="FF0000"/>
                <w:sz w:val="21"/>
                <w:szCs w:val="21"/>
              </w:rPr>
            </w:pPr>
          </w:p>
        </w:tc>
        <w:tc>
          <w:tcPr>
            <w:tcW w:w="217" w:type="dxa"/>
          </w:tcPr>
          <w:p w14:paraId="6B7A45E6" w14:textId="77777777" w:rsidR="002C0FD9" w:rsidRPr="00CA25CF" w:rsidRDefault="002C0FD9" w:rsidP="00CA25CF">
            <w:pPr>
              <w:rPr>
                <w:rFonts w:cs="Arial"/>
                <w:color w:val="FF0000"/>
                <w:sz w:val="21"/>
                <w:szCs w:val="21"/>
              </w:rPr>
            </w:pPr>
          </w:p>
        </w:tc>
        <w:tc>
          <w:tcPr>
            <w:tcW w:w="217" w:type="dxa"/>
          </w:tcPr>
          <w:p w14:paraId="4CD888D5" w14:textId="77777777" w:rsidR="002C0FD9" w:rsidRPr="00CA25CF" w:rsidRDefault="002C0FD9" w:rsidP="00CA25CF">
            <w:pPr>
              <w:rPr>
                <w:rFonts w:cs="Arial"/>
                <w:color w:val="FF0000"/>
                <w:sz w:val="21"/>
                <w:szCs w:val="21"/>
              </w:rPr>
            </w:pPr>
          </w:p>
        </w:tc>
        <w:tc>
          <w:tcPr>
            <w:tcW w:w="217" w:type="dxa"/>
          </w:tcPr>
          <w:p w14:paraId="2A062C05" w14:textId="77777777" w:rsidR="002C0FD9" w:rsidRPr="00CA25CF" w:rsidRDefault="002C0FD9" w:rsidP="00CA25CF">
            <w:pPr>
              <w:rPr>
                <w:rFonts w:cs="Arial"/>
                <w:color w:val="FF0000"/>
                <w:sz w:val="21"/>
                <w:szCs w:val="21"/>
              </w:rPr>
            </w:pPr>
          </w:p>
        </w:tc>
        <w:tc>
          <w:tcPr>
            <w:tcW w:w="217" w:type="dxa"/>
          </w:tcPr>
          <w:p w14:paraId="49D39116" w14:textId="77777777" w:rsidR="002C0FD9" w:rsidRPr="00CA25CF" w:rsidRDefault="002C0FD9" w:rsidP="00CA25CF">
            <w:pPr>
              <w:rPr>
                <w:rFonts w:cs="Arial"/>
                <w:color w:val="FF0000"/>
                <w:sz w:val="21"/>
                <w:szCs w:val="21"/>
              </w:rPr>
            </w:pPr>
          </w:p>
        </w:tc>
        <w:tc>
          <w:tcPr>
            <w:tcW w:w="217" w:type="dxa"/>
          </w:tcPr>
          <w:p w14:paraId="5471C797" w14:textId="77777777" w:rsidR="002C0FD9" w:rsidRPr="00CA25CF" w:rsidRDefault="002C0FD9" w:rsidP="00CA25CF">
            <w:pPr>
              <w:rPr>
                <w:rFonts w:cs="Arial"/>
                <w:color w:val="FF0000"/>
                <w:sz w:val="21"/>
                <w:szCs w:val="21"/>
              </w:rPr>
            </w:pPr>
          </w:p>
        </w:tc>
        <w:tc>
          <w:tcPr>
            <w:tcW w:w="217" w:type="dxa"/>
          </w:tcPr>
          <w:p w14:paraId="2C02DA73" w14:textId="77777777" w:rsidR="002C0FD9" w:rsidRPr="00CA25CF" w:rsidRDefault="002C0FD9" w:rsidP="00CA25CF">
            <w:pPr>
              <w:rPr>
                <w:rFonts w:cs="Arial"/>
                <w:color w:val="FF0000"/>
                <w:sz w:val="21"/>
                <w:szCs w:val="21"/>
              </w:rPr>
            </w:pPr>
          </w:p>
        </w:tc>
        <w:tc>
          <w:tcPr>
            <w:tcW w:w="217" w:type="dxa"/>
          </w:tcPr>
          <w:p w14:paraId="04834B84" w14:textId="77777777" w:rsidR="002C0FD9" w:rsidRPr="00CA25CF" w:rsidRDefault="002C0FD9" w:rsidP="00CA25CF">
            <w:pPr>
              <w:rPr>
                <w:rFonts w:cs="Arial"/>
                <w:color w:val="FF0000"/>
                <w:sz w:val="21"/>
                <w:szCs w:val="21"/>
              </w:rPr>
            </w:pPr>
          </w:p>
        </w:tc>
        <w:tc>
          <w:tcPr>
            <w:tcW w:w="217" w:type="dxa"/>
          </w:tcPr>
          <w:p w14:paraId="3BF4C359" w14:textId="77777777" w:rsidR="002C0FD9" w:rsidRPr="00CA25CF" w:rsidRDefault="002C0FD9" w:rsidP="00CA25CF">
            <w:pPr>
              <w:rPr>
                <w:rFonts w:cs="Arial"/>
                <w:color w:val="FF0000"/>
                <w:sz w:val="21"/>
                <w:szCs w:val="21"/>
              </w:rPr>
            </w:pPr>
          </w:p>
        </w:tc>
        <w:tc>
          <w:tcPr>
            <w:tcW w:w="217" w:type="dxa"/>
          </w:tcPr>
          <w:p w14:paraId="37F6F03E" w14:textId="77777777" w:rsidR="002C0FD9" w:rsidRPr="00CA25CF" w:rsidRDefault="002C0FD9" w:rsidP="00CA25CF">
            <w:pPr>
              <w:rPr>
                <w:rFonts w:cs="Arial"/>
                <w:color w:val="FF0000"/>
                <w:sz w:val="21"/>
                <w:szCs w:val="21"/>
              </w:rPr>
            </w:pPr>
          </w:p>
        </w:tc>
        <w:tc>
          <w:tcPr>
            <w:tcW w:w="217" w:type="dxa"/>
          </w:tcPr>
          <w:p w14:paraId="176B5C3C" w14:textId="77777777" w:rsidR="002C0FD9" w:rsidRPr="00CA25CF" w:rsidRDefault="002C0FD9" w:rsidP="00CA25CF">
            <w:pPr>
              <w:rPr>
                <w:rFonts w:cs="Arial"/>
                <w:color w:val="FF0000"/>
                <w:sz w:val="21"/>
                <w:szCs w:val="21"/>
              </w:rPr>
            </w:pPr>
          </w:p>
        </w:tc>
        <w:tc>
          <w:tcPr>
            <w:tcW w:w="217" w:type="dxa"/>
          </w:tcPr>
          <w:p w14:paraId="0CBE17E2" w14:textId="77777777" w:rsidR="002C0FD9" w:rsidRPr="00CA25CF" w:rsidRDefault="002C0FD9" w:rsidP="00CA25CF">
            <w:pPr>
              <w:rPr>
                <w:rFonts w:cs="Arial"/>
                <w:color w:val="FF0000"/>
                <w:sz w:val="21"/>
                <w:szCs w:val="21"/>
              </w:rPr>
            </w:pPr>
          </w:p>
        </w:tc>
        <w:tc>
          <w:tcPr>
            <w:tcW w:w="217" w:type="dxa"/>
          </w:tcPr>
          <w:p w14:paraId="73A6E169" w14:textId="77777777" w:rsidR="002C0FD9" w:rsidRPr="00CA25CF" w:rsidRDefault="002C0FD9" w:rsidP="00CA25CF">
            <w:pPr>
              <w:rPr>
                <w:rFonts w:cs="Arial"/>
                <w:color w:val="FF0000"/>
                <w:sz w:val="21"/>
                <w:szCs w:val="21"/>
              </w:rPr>
            </w:pPr>
          </w:p>
        </w:tc>
        <w:tc>
          <w:tcPr>
            <w:tcW w:w="217" w:type="dxa"/>
          </w:tcPr>
          <w:p w14:paraId="64226EB5" w14:textId="77777777" w:rsidR="002C0FD9" w:rsidRPr="00CA25CF" w:rsidRDefault="002C0FD9" w:rsidP="00CA25CF">
            <w:pPr>
              <w:rPr>
                <w:rFonts w:cs="Arial"/>
                <w:color w:val="FF0000"/>
                <w:sz w:val="21"/>
                <w:szCs w:val="21"/>
              </w:rPr>
            </w:pPr>
          </w:p>
        </w:tc>
        <w:tc>
          <w:tcPr>
            <w:tcW w:w="217" w:type="dxa"/>
          </w:tcPr>
          <w:p w14:paraId="17FDEF72" w14:textId="77777777" w:rsidR="002C0FD9" w:rsidRPr="00CA25CF" w:rsidRDefault="002C0FD9" w:rsidP="00CA25CF">
            <w:pPr>
              <w:rPr>
                <w:rFonts w:cs="Arial"/>
                <w:color w:val="FF0000"/>
                <w:sz w:val="21"/>
                <w:szCs w:val="21"/>
              </w:rPr>
            </w:pPr>
          </w:p>
        </w:tc>
        <w:tc>
          <w:tcPr>
            <w:tcW w:w="217" w:type="dxa"/>
          </w:tcPr>
          <w:p w14:paraId="03D7AC27" w14:textId="77777777" w:rsidR="002C0FD9" w:rsidRPr="00CA25CF" w:rsidRDefault="002C0FD9" w:rsidP="00CA25CF">
            <w:pPr>
              <w:rPr>
                <w:rFonts w:cs="Arial"/>
                <w:color w:val="FF0000"/>
                <w:sz w:val="21"/>
                <w:szCs w:val="21"/>
              </w:rPr>
            </w:pPr>
          </w:p>
        </w:tc>
        <w:tc>
          <w:tcPr>
            <w:tcW w:w="217" w:type="dxa"/>
          </w:tcPr>
          <w:p w14:paraId="03F40F71" w14:textId="77777777" w:rsidR="002C0FD9" w:rsidRPr="00CA25CF" w:rsidRDefault="002C0FD9" w:rsidP="00CA25CF">
            <w:pPr>
              <w:rPr>
                <w:rFonts w:cs="Arial"/>
                <w:color w:val="FF0000"/>
                <w:sz w:val="21"/>
                <w:szCs w:val="21"/>
              </w:rPr>
            </w:pPr>
          </w:p>
        </w:tc>
      </w:tr>
      <w:tr w:rsidR="002C0FD9" w:rsidRPr="00A16219" w14:paraId="4FA551EC" w14:textId="6FE9DEE8" w:rsidTr="002C0FD9">
        <w:trPr>
          <w:trHeight w:val="635"/>
        </w:trPr>
        <w:tc>
          <w:tcPr>
            <w:tcW w:w="515" w:type="dxa"/>
          </w:tcPr>
          <w:p w14:paraId="6546FFE6" w14:textId="77777777" w:rsidR="002C0FD9" w:rsidRPr="00CA25CF" w:rsidRDefault="002C0FD9" w:rsidP="00CA25CF">
            <w:pPr>
              <w:rPr>
                <w:rFonts w:cs="Arial"/>
                <w:color w:val="FF0000"/>
                <w:sz w:val="21"/>
                <w:szCs w:val="21"/>
              </w:rPr>
            </w:pPr>
          </w:p>
        </w:tc>
        <w:tc>
          <w:tcPr>
            <w:tcW w:w="217" w:type="dxa"/>
          </w:tcPr>
          <w:p w14:paraId="68E7E9FC" w14:textId="77777777" w:rsidR="002C0FD9" w:rsidRPr="00CA25CF" w:rsidRDefault="002C0FD9" w:rsidP="00CA25CF">
            <w:pPr>
              <w:rPr>
                <w:rFonts w:cs="Arial"/>
                <w:color w:val="FF0000"/>
                <w:sz w:val="21"/>
                <w:szCs w:val="21"/>
              </w:rPr>
            </w:pPr>
          </w:p>
        </w:tc>
        <w:tc>
          <w:tcPr>
            <w:tcW w:w="217" w:type="dxa"/>
          </w:tcPr>
          <w:p w14:paraId="6FD40AA5" w14:textId="5CA96080" w:rsidR="002C0FD9" w:rsidRPr="00CA25CF" w:rsidRDefault="002C0FD9" w:rsidP="00CA25CF">
            <w:pPr>
              <w:rPr>
                <w:rFonts w:cs="Arial"/>
                <w:color w:val="FF0000"/>
                <w:sz w:val="21"/>
                <w:szCs w:val="21"/>
              </w:rPr>
            </w:pPr>
          </w:p>
        </w:tc>
        <w:tc>
          <w:tcPr>
            <w:tcW w:w="217" w:type="dxa"/>
          </w:tcPr>
          <w:p w14:paraId="22A810B4" w14:textId="77777777" w:rsidR="002C0FD9" w:rsidRPr="00CA25CF" w:rsidRDefault="002C0FD9" w:rsidP="00CA25CF">
            <w:pPr>
              <w:rPr>
                <w:rFonts w:cs="Arial"/>
                <w:color w:val="FF0000"/>
                <w:sz w:val="21"/>
                <w:szCs w:val="21"/>
              </w:rPr>
            </w:pPr>
          </w:p>
        </w:tc>
        <w:tc>
          <w:tcPr>
            <w:tcW w:w="217" w:type="dxa"/>
          </w:tcPr>
          <w:p w14:paraId="34A951F4" w14:textId="6A4CE2DC" w:rsidR="002C0FD9" w:rsidRPr="00CA25CF" w:rsidRDefault="002C0FD9" w:rsidP="00CA25CF">
            <w:pPr>
              <w:rPr>
                <w:rFonts w:cs="Arial"/>
                <w:color w:val="FF0000"/>
                <w:sz w:val="21"/>
                <w:szCs w:val="21"/>
              </w:rPr>
            </w:pPr>
          </w:p>
        </w:tc>
        <w:tc>
          <w:tcPr>
            <w:tcW w:w="217" w:type="dxa"/>
          </w:tcPr>
          <w:p w14:paraId="5EB9DAC6" w14:textId="77777777" w:rsidR="002C0FD9" w:rsidRPr="00CA25CF" w:rsidRDefault="002C0FD9" w:rsidP="00CA25CF">
            <w:pPr>
              <w:rPr>
                <w:rFonts w:cs="Arial"/>
                <w:color w:val="FF0000"/>
                <w:sz w:val="21"/>
                <w:szCs w:val="21"/>
              </w:rPr>
            </w:pPr>
          </w:p>
        </w:tc>
        <w:tc>
          <w:tcPr>
            <w:tcW w:w="217" w:type="dxa"/>
          </w:tcPr>
          <w:p w14:paraId="1B0AD5AB" w14:textId="77777777" w:rsidR="002C0FD9" w:rsidRPr="00CA25CF" w:rsidRDefault="002C0FD9" w:rsidP="00CA25CF">
            <w:pPr>
              <w:rPr>
                <w:rFonts w:cs="Arial"/>
                <w:color w:val="FF0000"/>
                <w:sz w:val="21"/>
                <w:szCs w:val="21"/>
              </w:rPr>
            </w:pPr>
          </w:p>
        </w:tc>
        <w:tc>
          <w:tcPr>
            <w:tcW w:w="217" w:type="dxa"/>
          </w:tcPr>
          <w:p w14:paraId="09B3BEA4" w14:textId="77777777" w:rsidR="002C0FD9" w:rsidRPr="00CA25CF" w:rsidRDefault="002C0FD9" w:rsidP="00CA25CF">
            <w:pPr>
              <w:rPr>
                <w:rFonts w:cs="Arial"/>
                <w:color w:val="FF0000"/>
                <w:sz w:val="21"/>
                <w:szCs w:val="21"/>
              </w:rPr>
            </w:pPr>
          </w:p>
        </w:tc>
        <w:tc>
          <w:tcPr>
            <w:tcW w:w="217" w:type="dxa"/>
          </w:tcPr>
          <w:p w14:paraId="2E44464D" w14:textId="77777777" w:rsidR="002C0FD9" w:rsidRPr="00CA25CF" w:rsidRDefault="002C0FD9" w:rsidP="00CA25CF">
            <w:pPr>
              <w:rPr>
                <w:rFonts w:cs="Arial"/>
                <w:color w:val="FF0000"/>
                <w:sz w:val="21"/>
                <w:szCs w:val="21"/>
              </w:rPr>
            </w:pPr>
          </w:p>
        </w:tc>
        <w:tc>
          <w:tcPr>
            <w:tcW w:w="217" w:type="dxa"/>
          </w:tcPr>
          <w:p w14:paraId="0C49B797" w14:textId="77777777" w:rsidR="002C0FD9" w:rsidRPr="00CA25CF" w:rsidRDefault="002C0FD9" w:rsidP="00CA25CF">
            <w:pPr>
              <w:rPr>
                <w:rFonts w:cs="Arial"/>
                <w:color w:val="FF0000"/>
                <w:sz w:val="21"/>
                <w:szCs w:val="21"/>
              </w:rPr>
            </w:pPr>
          </w:p>
        </w:tc>
        <w:tc>
          <w:tcPr>
            <w:tcW w:w="217" w:type="dxa"/>
          </w:tcPr>
          <w:p w14:paraId="0314D781" w14:textId="77777777" w:rsidR="002C0FD9" w:rsidRPr="00CA25CF" w:rsidRDefault="002C0FD9" w:rsidP="00CA25CF">
            <w:pPr>
              <w:rPr>
                <w:rFonts w:cs="Arial"/>
                <w:color w:val="FF0000"/>
                <w:sz w:val="21"/>
                <w:szCs w:val="21"/>
              </w:rPr>
            </w:pPr>
          </w:p>
        </w:tc>
        <w:tc>
          <w:tcPr>
            <w:tcW w:w="217" w:type="dxa"/>
          </w:tcPr>
          <w:p w14:paraId="519C1374" w14:textId="77777777" w:rsidR="002C0FD9" w:rsidRPr="00CA25CF" w:rsidRDefault="002C0FD9" w:rsidP="00CA25CF">
            <w:pPr>
              <w:rPr>
                <w:rFonts w:cs="Arial"/>
                <w:color w:val="FF0000"/>
                <w:sz w:val="21"/>
                <w:szCs w:val="21"/>
              </w:rPr>
            </w:pPr>
          </w:p>
        </w:tc>
        <w:tc>
          <w:tcPr>
            <w:tcW w:w="217" w:type="dxa"/>
          </w:tcPr>
          <w:p w14:paraId="6BA32DB2" w14:textId="77777777" w:rsidR="002C0FD9" w:rsidRPr="00CA25CF" w:rsidRDefault="002C0FD9" w:rsidP="00CA25CF">
            <w:pPr>
              <w:rPr>
                <w:rFonts w:cs="Arial"/>
                <w:color w:val="FF0000"/>
                <w:sz w:val="21"/>
                <w:szCs w:val="21"/>
              </w:rPr>
            </w:pPr>
          </w:p>
        </w:tc>
        <w:tc>
          <w:tcPr>
            <w:tcW w:w="217" w:type="dxa"/>
          </w:tcPr>
          <w:p w14:paraId="6E1CED5D" w14:textId="77777777" w:rsidR="002C0FD9" w:rsidRPr="00CA25CF" w:rsidRDefault="002C0FD9" w:rsidP="00CA25CF">
            <w:pPr>
              <w:rPr>
                <w:rFonts w:cs="Arial"/>
                <w:color w:val="FF0000"/>
                <w:sz w:val="21"/>
                <w:szCs w:val="21"/>
              </w:rPr>
            </w:pPr>
          </w:p>
        </w:tc>
        <w:tc>
          <w:tcPr>
            <w:tcW w:w="217" w:type="dxa"/>
          </w:tcPr>
          <w:p w14:paraId="66CAF19C" w14:textId="77777777" w:rsidR="002C0FD9" w:rsidRPr="00CA25CF" w:rsidRDefault="002C0FD9" w:rsidP="00CA25CF">
            <w:pPr>
              <w:rPr>
                <w:rFonts w:cs="Arial"/>
                <w:color w:val="FF0000"/>
                <w:sz w:val="21"/>
                <w:szCs w:val="21"/>
              </w:rPr>
            </w:pPr>
          </w:p>
        </w:tc>
        <w:tc>
          <w:tcPr>
            <w:tcW w:w="217" w:type="dxa"/>
          </w:tcPr>
          <w:p w14:paraId="2ADEC211" w14:textId="37E6D9F4" w:rsidR="002C0FD9" w:rsidRPr="00CA25CF" w:rsidRDefault="002C0FD9" w:rsidP="00CA25CF">
            <w:pPr>
              <w:rPr>
                <w:rFonts w:cs="Arial"/>
                <w:color w:val="FF0000"/>
                <w:sz w:val="21"/>
                <w:szCs w:val="21"/>
              </w:rPr>
            </w:pPr>
          </w:p>
        </w:tc>
        <w:tc>
          <w:tcPr>
            <w:tcW w:w="217" w:type="dxa"/>
          </w:tcPr>
          <w:p w14:paraId="3EC7D4A0" w14:textId="77777777" w:rsidR="002C0FD9" w:rsidRPr="00CA25CF" w:rsidRDefault="002C0FD9" w:rsidP="00CA25CF">
            <w:pPr>
              <w:rPr>
                <w:rFonts w:cs="Arial"/>
                <w:color w:val="FF0000"/>
                <w:sz w:val="21"/>
                <w:szCs w:val="21"/>
              </w:rPr>
            </w:pPr>
          </w:p>
        </w:tc>
        <w:tc>
          <w:tcPr>
            <w:tcW w:w="217" w:type="dxa"/>
          </w:tcPr>
          <w:p w14:paraId="1334DEC9" w14:textId="77777777" w:rsidR="002C0FD9" w:rsidRPr="00CA25CF" w:rsidRDefault="002C0FD9" w:rsidP="00CA25CF">
            <w:pPr>
              <w:rPr>
                <w:rFonts w:cs="Arial"/>
                <w:color w:val="FF0000"/>
                <w:sz w:val="21"/>
                <w:szCs w:val="21"/>
              </w:rPr>
            </w:pPr>
          </w:p>
        </w:tc>
        <w:tc>
          <w:tcPr>
            <w:tcW w:w="217" w:type="dxa"/>
          </w:tcPr>
          <w:p w14:paraId="6E5384A2" w14:textId="77777777" w:rsidR="002C0FD9" w:rsidRPr="00CA25CF" w:rsidRDefault="002C0FD9" w:rsidP="00CA25CF">
            <w:pPr>
              <w:rPr>
                <w:rFonts w:cs="Arial"/>
                <w:color w:val="FF0000"/>
                <w:sz w:val="21"/>
                <w:szCs w:val="21"/>
              </w:rPr>
            </w:pPr>
          </w:p>
        </w:tc>
        <w:tc>
          <w:tcPr>
            <w:tcW w:w="217" w:type="dxa"/>
          </w:tcPr>
          <w:p w14:paraId="15141CDC" w14:textId="77777777" w:rsidR="002C0FD9" w:rsidRPr="00CA25CF" w:rsidRDefault="002C0FD9" w:rsidP="00CA25CF">
            <w:pPr>
              <w:rPr>
                <w:rFonts w:cs="Arial"/>
                <w:color w:val="FF0000"/>
                <w:sz w:val="21"/>
                <w:szCs w:val="21"/>
              </w:rPr>
            </w:pPr>
          </w:p>
        </w:tc>
        <w:tc>
          <w:tcPr>
            <w:tcW w:w="217" w:type="dxa"/>
          </w:tcPr>
          <w:p w14:paraId="3FA3EDE0" w14:textId="77777777" w:rsidR="002C0FD9" w:rsidRPr="00CA25CF" w:rsidRDefault="002C0FD9" w:rsidP="00CA25CF">
            <w:pPr>
              <w:rPr>
                <w:rFonts w:cs="Arial"/>
                <w:color w:val="FF0000"/>
                <w:sz w:val="21"/>
                <w:szCs w:val="21"/>
              </w:rPr>
            </w:pPr>
          </w:p>
        </w:tc>
        <w:tc>
          <w:tcPr>
            <w:tcW w:w="217" w:type="dxa"/>
          </w:tcPr>
          <w:p w14:paraId="0EE98EEF" w14:textId="77777777" w:rsidR="002C0FD9" w:rsidRPr="00CA25CF" w:rsidRDefault="002C0FD9" w:rsidP="00CA25CF">
            <w:pPr>
              <w:rPr>
                <w:rFonts w:cs="Arial"/>
                <w:color w:val="FF0000"/>
                <w:sz w:val="21"/>
                <w:szCs w:val="21"/>
              </w:rPr>
            </w:pPr>
          </w:p>
        </w:tc>
        <w:tc>
          <w:tcPr>
            <w:tcW w:w="217" w:type="dxa"/>
          </w:tcPr>
          <w:p w14:paraId="7A196DC7" w14:textId="77777777" w:rsidR="002C0FD9" w:rsidRPr="00CA25CF" w:rsidRDefault="002C0FD9" w:rsidP="00CA25CF">
            <w:pPr>
              <w:rPr>
                <w:rFonts w:cs="Arial"/>
                <w:color w:val="FF0000"/>
                <w:sz w:val="21"/>
                <w:szCs w:val="21"/>
              </w:rPr>
            </w:pPr>
          </w:p>
        </w:tc>
        <w:tc>
          <w:tcPr>
            <w:tcW w:w="217" w:type="dxa"/>
          </w:tcPr>
          <w:p w14:paraId="3C95631B" w14:textId="77777777" w:rsidR="002C0FD9" w:rsidRPr="00CA25CF" w:rsidRDefault="002C0FD9" w:rsidP="00CA25CF">
            <w:pPr>
              <w:rPr>
                <w:rFonts w:cs="Arial"/>
                <w:color w:val="FF0000"/>
                <w:sz w:val="21"/>
                <w:szCs w:val="21"/>
              </w:rPr>
            </w:pPr>
          </w:p>
        </w:tc>
        <w:tc>
          <w:tcPr>
            <w:tcW w:w="217" w:type="dxa"/>
          </w:tcPr>
          <w:p w14:paraId="4A07C75E" w14:textId="77777777" w:rsidR="002C0FD9" w:rsidRPr="00CA25CF" w:rsidRDefault="002C0FD9" w:rsidP="00CA25CF">
            <w:pPr>
              <w:rPr>
                <w:rFonts w:cs="Arial"/>
                <w:color w:val="FF0000"/>
                <w:sz w:val="21"/>
                <w:szCs w:val="21"/>
              </w:rPr>
            </w:pPr>
          </w:p>
        </w:tc>
        <w:tc>
          <w:tcPr>
            <w:tcW w:w="217" w:type="dxa"/>
          </w:tcPr>
          <w:p w14:paraId="277842B5" w14:textId="77777777" w:rsidR="002C0FD9" w:rsidRPr="00CA25CF" w:rsidRDefault="002C0FD9" w:rsidP="00CA25CF">
            <w:pPr>
              <w:rPr>
                <w:rFonts w:cs="Arial"/>
                <w:color w:val="FF0000"/>
                <w:sz w:val="21"/>
                <w:szCs w:val="21"/>
              </w:rPr>
            </w:pPr>
          </w:p>
        </w:tc>
        <w:tc>
          <w:tcPr>
            <w:tcW w:w="217" w:type="dxa"/>
          </w:tcPr>
          <w:p w14:paraId="4BA3E043" w14:textId="77777777" w:rsidR="002C0FD9" w:rsidRPr="00CA25CF" w:rsidRDefault="002C0FD9" w:rsidP="00CA25CF">
            <w:pPr>
              <w:rPr>
                <w:rFonts w:cs="Arial"/>
                <w:color w:val="FF0000"/>
                <w:sz w:val="21"/>
                <w:szCs w:val="21"/>
              </w:rPr>
            </w:pPr>
          </w:p>
        </w:tc>
        <w:tc>
          <w:tcPr>
            <w:tcW w:w="217" w:type="dxa"/>
          </w:tcPr>
          <w:p w14:paraId="68DF4141" w14:textId="77777777" w:rsidR="002C0FD9" w:rsidRPr="00CA25CF" w:rsidRDefault="002C0FD9" w:rsidP="00CA25CF">
            <w:pPr>
              <w:rPr>
                <w:rFonts w:cs="Arial"/>
                <w:color w:val="FF0000"/>
                <w:sz w:val="21"/>
                <w:szCs w:val="21"/>
              </w:rPr>
            </w:pPr>
          </w:p>
        </w:tc>
        <w:tc>
          <w:tcPr>
            <w:tcW w:w="217" w:type="dxa"/>
          </w:tcPr>
          <w:p w14:paraId="57D74F6D" w14:textId="77777777" w:rsidR="002C0FD9" w:rsidRPr="00CA25CF" w:rsidRDefault="002C0FD9" w:rsidP="00CA25CF">
            <w:pPr>
              <w:rPr>
                <w:rFonts w:cs="Arial"/>
                <w:color w:val="FF0000"/>
                <w:sz w:val="21"/>
                <w:szCs w:val="21"/>
              </w:rPr>
            </w:pPr>
          </w:p>
        </w:tc>
        <w:tc>
          <w:tcPr>
            <w:tcW w:w="217" w:type="dxa"/>
          </w:tcPr>
          <w:p w14:paraId="7A0EE940" w14:textId="77777777" w:rsidR="002C0FD9" w:rsidRPr="00CA25CF" w:rsidRDefault="002C0FD9" w:rsidP="00CA25CF">
            <w:pPr>
              <w:rPr>
                <w:rFonts w:cs="Arial"/>
                <w:color w:val="FF0000"/>
                <w:sz w:val="21"/>
                <w:szCs w:val="21"/>
              </w:rPr>
            </w:pPr>
          </w:p>
        </w:tc>
        <w:tc>
          <w:tcPr>
            <w:tcW w:w="217" w:type="dxa"/>
          </w:tcPr>
          <w:p w14:paraId="29174898" w14:textId="77777777" w:rsidR="002C0FD9" w:rsidRPr="00CA25CF" w:rsidRDefault="002C0FD9" w:rsidP="00CA25CF">
            <w:pPr>
              <w:rPr>
                <w:rFonts w:cs="Arial"/>
                <w:color w:val="FF0000"/>
                <w:sz w:val="21"/>
                <w:szCs w:val="21"/>
              </w:rPr>
            </w:pPr>
          </w:p>
        </w:tc>
        <w:tc>
          <w:tcPr>
            <w:tcW w:w="217" w:type="dxa"/>
          </w:tcPr>
          <w:p w14:paraId="7D48AAEF" w14:textId="77777777" w:rsidR="002C0FD9" w:rsidRPr="00CA25CF" w:rsidRDefault="002C0FD9" w:rsidP="00CA25CF">
            <w:pPr>
              <w:rPr>
                <w:rFonts w:cs="Arial"/>
                <w:color w:val="FF0000"/>
                <w:sz w:val="21"/>
                <w:szCs w:val="21"/>
              </w:rPr>
            </w:pPr>
          </w:p>
        </w:tc>
        <w:tc>
          <w:tcPr>
            <w:tcW w:w="217" w:type="dxa"/>
          </w:tcPr>
          <w:p w14:paraId="67D28A1C" w14:textId="77777777" w:rsidR="002C0FD9" w:rsidRPr="00CA25CF" w:rsidRDefault="002C0FD9" w:rsidP="00CA25CF">
            <w:pPr>
              <w:rPr>
                <w:rFonts w:cs="Arial"/>
                <w:color w:val="FF0000"/>
                <w:sz w:val="21"/>
                <w:szCs w:val="21"/>
              </w:rPr>
            </w:pPr>
          </w:p>
        </w:tc>
        <w:tc>
          <w:tcPr>
            <w:tcW w:w="217" w:type="dxa"/>
          </w:tcPr>
          <w:p w14:paraId="1309349C" w14:textId="77777777" w:rsidR="002C0FD9" w:rsidRPr="00CA25CF" w:rsidRDefault="002C0FD9" w:rsidP="00CA25CF">
            <w:pPr>
              <w:rPr>
                <w:rFonts w:cs="Arial"/>
                <w:color w:val="FF0000"/>
                <w:sz w:val="21"/>
                <w:szCs w:val="21"/>
              </w:rPr>
            </w:pPr>
          </w:p>
        </w:tc>
        <w:tc>
          <w:tcPr>
            <w:tcW w:w="217" w:type="dxa"/>
          </w:tcPr>
          <w:p w14:paraId="6333EF61" w14:textId="77777777" w:rsidR="002C0FD9" w:rsidRPr="00CA25CF" w:rsidRDefault="002C0FD9" w:rsidP="00CA25CF">
            <w:pPr>
              <w:rPr>
                <w:rFonts w:cs="Arial"/>
                <w:color w:val="FF0000"/>
                <w:sz w:val="21"/>
                <w:szCs w:val="21"/>
              </w:rPr>
            </w:pPr>
          </w:p>
        </w:tc>
        <w:tc>
          <w:tcPr>
            <w:tcW w:w="217" w:type="dxa"/>
          </w:tcPr>
          <w:p w14:paraId="5A734A9B" w14:textId="77777777" w:rsidR="002C0FD9" w:rsidRPr="00CA25CF" w:rsidRDefault="002C0FD9" w:rsidP="00CA25CF">
            <w:pPr>
              <w:rPr>
                <w:rFonts w:cs="Arial"/>
                <w:color w:val="FF0000"/>
                <w:sz w:val="21"/>
                <w:szCs w:val="21"/>
              </w:rPr>
            </w:pPr>
          </w:p>
        </w:tc>
        <w:tc>
          <w:tcPr>
            <w:tcW w:w="217" w:type="dxa"/>
          </w:tcPr>
          <w:p w14:paraId="14020B81" w14:textId="77777777" w:rsidR="002C0FD9" w:rsidRPr="00CA25CF" w:rsidRDefault="002C0FD9" w:rsidP="00CA25CF">
            <w:pPr>
              <w:rPr>
                <w:rFonts w:cs="Arial"/>
                <w:color w:val="FF0000"/>
                <w:sz w:val="21"/>
                <w:szCs w:val="21"/>
              </w:rPr>
            </w:pPr>
          </w:p>
        </w:tc>
        <w:tc>
          <w:tcPr>
            <w:tcW w:w="217" w:type="dxa"/>
          </w:tcPr>
          <w:p w14:paraId="2D801C9F" w14:textId="77777777" w:rsidR="002C0FD9" w:rsidRPr="00CA25CF" w:rsidRDefault="002C0FD9" w:rsidP="00CA25CF">
            <w:pPr>
              <w:rPr>
                <w:rFonts w:cs="Arial"/>
                <w:color w:val="FF0000"/>
                <w:sz w:val="21"/>
                <w:szCs w:val="21"/>
              </w:rPr>
            </w:pPr>
          </w:p>
        </w:tc>
        <w:tc>
          <w:tcPr>
            <w:tcW w:w="217" w:type="dxa"/>
          </w:tcPr>
          <w:p w14:paraId="26D6C18D" w14:textId="77777777" w:rsidR="002C0FD9" w:rsidRPr="00CA25CF" w:rsidRDefault="002C0FD9" w:rsidP="00CA25CF">
            <w:pPr>
              <w:rPr>
                <w:rFonts w:cs="Arial"/>
                <w:color w:val="FF0000"/>
                <w:sz w:val="21"/>
                <w:szCs w:val="21"/>
              </w:rPr>
            </w:pPr>
          </w:p>
        </w:tc>
        <w:tc>
          <w:tcPr>
            <w:tcW w:w="217" w:type="dxa"/>
          </w:tcPr>
          <w:p w14:paraId="17CC0422" w14:textId="77777777" w:rsidR="002C0FD9" w:rsidRPr="00CA25CF" w:rsidRDefault="002C0FD9" w:rsidP="00CA25CF">
            <w:pPr>
              <w:rPr>
                <w:rFonts w:cs="Arial"/>
                <w:color w:val="FF0000"/>
                <w:sz w:val="21"/>
                <w:szCs w:val="21"/>
              </w:rPr>
            </w:pPr>
          </w:p>
        </w:tc>
        <w:tc>
          <w:tcPr>
            <w:tcW w:w="217" w:type="dxa"/>
          </w:tcPr>
          <w:p w14:paraId="08C751E4" w14:textId="77777777" w:rsidR="002C0FD9" w:rsidRPr="00CA25CF" w:rsidRDefault="002C0FD9" w:rsidP="00CA25CF">
            <w:pPr>
              <w:rPr>
                <w:rFonts w:cs="Arial"/>
                <w:color w:val="FF0000"/>
                <w:sz w:val="21"/>
                <w:szCs w:val="21"/>
              </w:rPr>
            </w:pPr>
          </w:p>
        </w:tc>
        <w:tc>
          <w:tcPr>
            <w:tcW w:w="217" w:type="dxa"/>
          </w:tcPr>
          <w:p w14:paraId="619D3A85" w14:textId="77777777" w:rsidR="002C0FD9" w:rsidRPr="00CA25CF" w:rsidRDefault="002C0FD9" w:rsidP="00CA25CF">
            <w:pPr>
              <w:rPr>
                <w:rFonts w:cs="Arial"/>
                <w:color w:val="FF0000"/>
                <w:sz w:val="21"/>
                <w:szCs w:val="21"/>
              </w:rPr>
            </w:pPr>
          </w:p>
        </w:tc>
        <w:tc>
          <w:tcPr>
            <w:tcW w:w="217" w:type="dxa"/>
          </w:tcPr>
          <w:p w14:paraId="67DADDFA" w14:textId="77777777" w:rsidR="002C0FD9" w:rsidRPr="00CA25CF" w:rsidRDefault="002C0FD9" w:rsidP="00CA25CF">
            <w:pPr>
              <w:rPr>
                <w:rFonts w:cs="Arial"/>
                <w:color w:val="FF0000"/>
                <w:sz w:val="21"/>
                <w:szCs w:val="21"/>
              </w:rPr>
            </w:pPr>
          </w:p>
        </w:tc>
      </w:tr>
      <w:tr w:rsidR="002C0FD9" w:rsidRPr="00A16219" w14:paraId="3941B98F" w14:textId="2F0EB8B9" w:rsidTr="002C0FD9">
        <w:trPr>
          <w:trHeight w:val="635"/>
        </w:trPr>
        <w:tc>
          <w:tcPr>
            <w:tcW w:w="515" w:type="dxa"/>
          </w:tcPr>
          <w:p w14:paraId="1444BB5B" w14:textId="77777777" w:rsidR="002C0FD9" w:rsidRPr="00CA25CF" w:rsidRDefault="002C0FD9" w:rsidP="00CA25CF">
            <w:pPr>
              <w:rPr>
                <w:rFonts w:cs="Arial"/>
                <w:color w:val="FF0000"/>
                <w:sz w:val="21"/>
                <w:szCs w:val="21"/>
              </w:rPr>
            </w:pPr>
          </w:p>
        </w:tc>
        <w:tc>
          <w:tcPr>
            <w:tcW w:w="217" w:type="dxa"/>
          </w:tcPr>
          <w:p w14:paraId="045680D9" w14:textId="77777777" w:rsidR="002C0FD9" w:rsidRPr="00CA25CF" w:rsidRDefault="002C0FD9" w:rsidP="00CA25CF">
            <w:pPr>
              <w:rPr>
                <w:rFonts w:cs="Arial"/>
                <w:color w:val="FF0000"/>
                <w:sz w:val="21"/>
                <w:szCs w:val="21"/>
              </w:rPr>
            </w:pPr>
          </w:p>
        </w:tc>
        <w:tc>
          <w:tcPr>
            <w:tcW w:w="217" w:type="dxa"/>
          </w:tcPr>
          <w:p w14:paraId="2BD445C3" w14:textId="6C7CA1C2" w:rsidR="002C0FD9" w:rsidRPr="00CA25CF" w:rsidRDefault="002C0FD9" w:rsidP="00CA25CF">
            <w:pPr>
              <w:rPr>
                <w:rFonts w:cs="Arial"/>
                <w:color w:val="FF0000"/>
                <w:sz w:val="21"/>
                <w:szCs w:val="21"/>
              </w:rPr>
            </w:pPr>
          </w:p>
        </w:tc>
        <w:tc>
          <w:tcPr>
            <w:tcW w:w="217" w:type="dxa"/>
          </w:tcPr>
          <w:p w14:paraId="60E5FECF" w14:textId="77777777" w:rsidR="002C0FD9" w:rsidRPr="00CA25CF" w:rsidRDefault="002C0FD9" w:rsidP="00CA25CF">
            <w:pPr>
              <w:rPr>
                <w:rFonts w:cs="Arial"/>
                <w:color w:val="FF0000"/>
                <w:sz w:val="21"/>
                <w:szCs w:val="21"/>
              </w:rPr>
            </w:pPr>
          </w:p>
        </w:tc>
        <w:tc>
          <w:tcPr>
            <w:tcW w:w="217" w:type="dxa"/>
          </w:tcPr>
          <w:p w14:paraId="09850A0F" w14:textId="0354A260" w:rsidR="002C0FD9" w:rsidRPr="00CA25CF" w:rsidRDefault="002C0FD9" w:rsidP="00CA25CF">
            <w:pPr>
              <w:rPr>
                <w:rFonts w:cs="Arial"/>
                <w:color w:val="FF0000"/>
                <w:sz w:val="21"/>
                <w:szCs w:val="21"/>
              </w:rPr>
            </w:pPr>
          </w:p>
        </w:tc>
        <w:tc>
          <w:tcPr>
            <w:tcW w:w="217" w:type="dxa"/>
          </w:tcPr>
          <w:p w14:paraId="4FDF881D" w14:textId="77777777" w:rsidR="002C0FD9" w:rsidRPr="00CA25CF" w:rsidRDefault="002C0FD9" w:rsidP="00CA25CF">
            <w:pPr>
              <w:rPr>
                <w:rFonts w:cs="Arial"/>
                <w:color w:val="FF0000"/>
                <w:sz w:val="21"/>
                <w:szCs w:val="21"/>
              </w:rPr>
            </w:pPr>
          </w:p>
        </w:tc>
        <w:tc>
          <w:tcPr>
            <w:tcW w:w="217" w:type="dxa"/>
          </w:tcPr>
          <w:p w14:paraId="4D758FE2" w14:textId="77777777" w:rsidR="002C0FD9" w:rsidRPr="00CA25CF" w:rsidRDefault="002C0FD9" w:rsidP="00CA25CF">
            <w:pPr>
              <w:rPr>
                <w:rFonts w:cs="Arial"/>
                <w:color w:val="FF0000"/>
                <w:sz w:val="21"/>
                <w:szCs w:val="21"/>
              </w:rPr>
            </w:pPr>
          </w:p>
        </w:tc>
        <w:tc>
          <w:tcPr>
            <w:tcW w:w="217" w:type="dxa"/>
          </w:tcPr>
          <w:p w14:paraId="321DB8A7" w14:textId="77777777" w:rsidR="002C0FD9" w:rsidRPr="00CA25CF" w:rsidRDefault="002C0FD9" w:rsidP="00CA25CF">
            <w:pPr>
              <w:rPr>
                <w:rFonts w:cs="Arial"/>
                <w:color w:val="FF0000"/>
                <w:sz w:val="21"/>
                <w:szCs w:val="21"/>
              </w:rPr>
            </w:pPr>
          </w:p>
        </w:tc>
        <w:tc>
          <w:tcPr>
            <w:tcW w:w="217" w:type="dxa"/>
          </w:tcPr>
          <w:p w14:paraId="021A4554" w14:textId="77777777" w:rsidR="002C0FD9" w:rsidRPr="00CA25CF" w:rsidRDefault="002C0FD9" w:rsidP="00CA25CF">
            <w:pPr>
              <w:rPr>
                <w:rFonts w:cs="Arial"/>
                <w:color w:val="FF0000"/>
                <w:sz w:val="21"/>
                <w:szCs w:val="21"/>
              </w:rPr>
            </w:pPr>
          </w:p>
        </w:tc>
        <w:tc>
          <w:tcPr>
            <w:tcW w:w="217" w:type="dxa"/>
          </w:tcPr>
          <w:p w14:paraId="44E25FC9" w14:textId="77777777" w:rsidR="002C0FD9" w:rsidRPr="00CA25CF" w:rsidRDefault="002C0FD9" w:rsidP="00CA25CF">
            <w:pPr>
              <w:rPr>
                <w:rFonts w:cs="Arial"/>
                <w:color w:val="FF0000"/>
                <w:sz w:val="21"/>
                <w:szCs w:val="21"/>
              </w:rPr>
            </w:pPr>
          </w:p>
        </w:tc>
        <w:tc>
          <w:tcPr>
            <w:tcW w:w="217" w:type="dxa"/>
          </w:tcPr>
          <w:p w14:paraId="3B818BAC" w14:textId="77777777" w:rsidR="002C0FD9" w:rsidRPr="00CA25CF" w:rsidRDefault="002C0FD9" w:rsidP="00CA25CF">
            <w:pPr>
              <w:rPr>
                <w:rFonts w:cs="Arial"/>
                <w:color w:val="FF0000"/>
                <w:sz w:val="21"/>
                <w:szCs w:val="21"/>
              </w:rPr>
            </w:pPr>
          </w:p>
        </w:tc>
        <w:tc>
          <w:tcPr>
            <w:tcW w:w="217" w:type="dxa"/>
          </w:tcPr>
          <w:p w14:paraId="73D8144E" w14:textId="77777777" w:rsidR="002C0FD9" w:rsidRPr="00CA25CF" w:rsidRDefault="002C0FD9" w:rsidP="00CA25CF">
            <w:pPr>
              <w:rPr>
                <w:rFonts w:cs="Arial"/>
                <w:color w:val="FF0000"/>
                <w:sz w:val="21"/>
                <w:szCs w:val="21"/>
              </w:rPr>
            </w:pPr>
          </w:p>
        </w:tc>
        <w:tc>
          <w:tcPr>
            <w:tcW w:w="217" w:type="dxa"/>
          </w:tcPr>
          <w:p w14:paraId="438FF7D6" w14:textId="77777777" w:rsidR="002C0FD9" w:rsidRPr="00CA25CF" w:rsidRDefault="002C0FD9" w:rsidP="00CA25CF">
            <w:pPr>
              <w:rPr>
                <w:rFonts w:cs="Arial"/>
                <w:color w:val="FF0000"/>
                <w:sz w:val="21"/>
                <w:szCs w:val="21"/>
              </w:rPr>
            </w:pPr>
          </w:p>
        </w:tc>
        <w:tc>
          <w:tcPr>
            <w:tcW w:w="217" w:type="dxa"/>
          </w:tcPr>
          <w:p w14:paraId="05239E31" w14:textId="77777777" w:rsidR="002C0FD9" w:rsidRPr="00CA25CF" w:rsidRDefault="002C0FD9" w:rsidP="00CA25CF">
            <w:pPr>
              <w:rPr>
                <w:rFonts w:cs="Arial"/>
                <w:color w:val="FF0000"/>
                <w:sz w:val="21"/>
                <w:szCs w:val="21"/>
              </w:rPr>
            </w:pPr>
          </w:p>
        </w:tc>
        <w:tc>
          <w:tcPr>
            <w:tcW w:w="217" w:type="dxa"/>
          </w:tcPr>
          <w:p w14:paraId="42788249" w14:textId="77777777" w:rsidR="002C0FD9" w:rsidRPr="00CA25CF" w:rsidRDefault="002C0FD9" w:rsidP="00CA25CF">
            <w:pPr>
              <w:rPr>
                <w:rFonts w:cs="Arial"/>
                <w:color w:val="FF0000"/>
                <w:sz w:val="21"/>
                <w:szCs w:val="21"/>
              </w:rPr>
            </w:pPr>
          </w:p>
        </w:tc>
        <w:tc>
          <w:tcPr>
            <w:tcW w:w="217" w:type="dxa"/>
          </w:tcPr>
          <w:p w14:paraId="3F63AE5E" w14:textId="24F5BB2C" w:rsidR="002C0FD9" w:rsidRPr="00CA25CF" w:rsidRDefault="002C0FD9" w:rsidP="00CA25CF">
            <w:pPr>
              <w:rPr>
                <w:rFonts w:cs="Arial"/>
                <w:color w:val="FF0000"/>
                <w:sz w:val="21"/>
                <w:szCs w:val="21"/>
              </w:rPr>
            </w:pPr>
          </w:p>
        </w:tc>
        <w:tc>
          <w:tcPr>
            <w:tcW w:w="217" w:type="dxa"/>
          </w:tcPr>
          <w:p w14:paraId="6E251F8B" w14:textId="77777777" w:rsidR="002C0FD9" w:rsidRPr="00CA25CF" w:rsidRDefault="002C0FD9" w:rsidP="00CA25CF">
            <w:pPr>
              <w:rPr>
                <w:rFonts w:cs="Arial"/>
                <w:color w:val="FF0000"/>
                <w:sz w:val="21"/>
                <w:szCs w:val="21"/>
              </w:rPr>
            </w:pPr>
          </w:p>
        </w:tc>
        <w:tc>
          <w:tcPr>
            <w:tcW w:w="217" w:type="dxa"/>
          </w:tcPr>
          <w:p w14:paraId="2137F7B5" w14:textId="77777777" w:rsidR="002C0FD9" w:rsidRPr="00CA25CF" w:rsidRDefault="002C0FD9" w:rsidP="00CA25CF">
            <w:pPr>
              <w:rPr>
                <w:rFonts w:cs="Arial"/>
                <w:color w:val="FF0000"/>
                <w:sz w:val="21"/>
                <w:szCs w:val="21"/>
              </w:rPr>
            </w:pPr>
          </w:p>
        </w:tc>
        <w:tc>
          <w:tcPr>
            <w:tcW w:w="217" w:type="dxa"/>
          </w:tcPr>
          <w:p w14:paraId="7B2696EB" w14:textId="77777777" w:rsidR="002C0FD9" w:rsidRPr="00CA25CF" w:rsidRDefault="002C0FD9" w:rsidP="00CA25CF">
            <w:pPr>
              <w:rPr>
                <w:rFonts w:cs="Arial"/>
                <w:color w:val="FF0000"/>
                <w:sz w:val="21"/>
                <w:szCs w:val="21"/>
              </w:rPr>
            </w:pPr>
          </w:p>
        </w:tc>
        <w:tc>
          <w:tcPr>
            <w:tcW w:w="217" w:type="dxa"/>
          </w:tcPr>
          <w:p w14:paraId="1278B01B" w14:textId="77777777" w:rsidR="002C0FD9" w:rsidRPr="00CA25CF" w:rsidRDefault="002C0FD9" w:rsidP="00CA25CF">
            <w:pPr>
              <w:rPr>
                <w:rFonts w:cs="Arial"/>
                <w:color w:val="FF0000"/>
                <w:sz w:val="21"/>
                <w:szCs w:val="21"/>
              </w:rPr>
            </w:pPr>
          </w:p>
        </w:tc>
        <w:tc>
          <w:tcPr>
            <w:tcW w:w="217" w:type="dxa"/>
          </w:tcPr>
          <w:p w14:paraId="3B08C384" w14:textId="77777777" w:rsidR="002C0FD9" w:rsidRPr="00CA25CF" w:rsidRDefault="002C0FD9" w:rsidP="00CA25CF">
            <w:pPr>
              <w:rPr>
                <w:rFonts w:cs="Arial"/>
                <w:color w:val="FF0000"/>
                <w:sz w:val="21"/>
                <w:szCs w:val="21"/>
              </w:rPr>
            </w:pPr>
          </w:p>
        </w:tc>
        <w:tc>
          <w:tcPr>
            <w:tcW w:w="217" w:type="dxa"/>
          </w:tcPr>
          <w:p w14:paraId="5A417246" w14:textId="77777777" w:rsidR="002C0FD9" w:rsidRPr="00CA25CF" w:rsidRDefault="002C0FD9" w:rsidP="00CA25CF">
            <w:pPr>
              <w:rPr>
                <w:rFonts w:cs="Arial"/>
                <w:color w:val="FF0000"/>
                <w:sz w:val="21"/>
                <w:szCs w:val="21"/>
              </w:rPr>
            </w:pPr>
          </w:p>
        </w:tc>
        <w:tc>
          <w:tcPr>
            <w:tcW w:w="217" w:type="dxa"/>
          </w:tcPr>
          <w:p w14:paraId="62D1693F" w14:textId="77777777" w:rsidR="002C0FD9" w:rsidRPr="00CA25CF" w:rsidRDefault="002C0FD9" w:rsidP="00CA25CF">
            <w:pPr>
              <w:rPr>
                <w:rFonts w:cs="Arial"/>
                <w:color w:val="FF0000"/>
                <w:sz w:val="21"/>
                <w:szCs w:val="21"/>
              </w:rPr>
            </w:pPr>
          </w:p>
        </w:tc>
        <w:tc>
          <w:tcPr>
            <w:tcW w:w="217" w:type="dxa"/>
          </w:tcPr>
          <w:p w14:paraId="16BF8023" w14:textId="77777777" w:rsidR="002C0FD9" w:rsidRPr="00CA25CF" w:rsidRDefault="002C0FD9" w:rsidP="00CA25CF">
            <w:pPr>
              <w:rPr>
                <w:rFonts w:cs="Arial"/>
                <w:color w:val="FF0000"/>
                <w:sz w:val="21"/>
                <w:szCs w:val="21"/>
              </w:rPr>
            </w:pPr>
          </w:p>
        </w:tc>
        <w:tc>
          <w:tcPr>
            <w:tcW w:w="217" w:type="dxa"/>
          </w:tcPr>
          <w:p w14:paraId="4BA387EB" w14:textId="77777777" w:rsidR="002C0FD9" w:rsidRPr="00CA25CF" w:rsidRDefault="002C0FD9" w:rsidP="00CA25CF">
            <w:pPr>
              <w:rPr>
                <w:rFonts w:cs="Arial"/>
                <w:color w:val="FF0000"/>
                <w:sz w:val="21"/>
                <w:szCs w:val="21"/>
              </w:rPr>
            </w:pPr>
          </w:p>
        </w:tc>
        <w:tc>
          <w:tcPr>
            <w:tcW w:w="217" w:type="dxa"/>
          </w:tcPr>
          <w:p w14:paraId="5BA22DF7" w14:textId="77777777" w:rsidR="002C0FD9" w:rsidRPr="00CA25CF" w:rsidRDefault="002C0FD9" w:rsidP="00CA25CF">
            <w:pPr>
              <w:rPr>
                <w:rFonts w:cs="Arial"/>
                <w:color w:val="FF0000"/>
                <w:sz w:val="21"/>
                <w:szCs w:val="21"/>
              </w:rPr>
            </w:pPr>
          </w:p>
        </w:tc>
        <w:tc>
          <w:tcPr>
            <w:tcW w:w="217" w:type="dxa"/>
          </w:tcPr>
          <w:p w14:paraId="77CA56A3" w14:textId="77777777" w:rsidR="002C0FD9" w:rsidRPr="00CA25CF" w:rsidRDefault="002C0FD9" w:rsidP="00CA25CF">
            <w:pPr>
              <w:rPr>
                <w:rFonts w:cs="Arial"/>
                <w:color w:val="FF0000"/>
                <w:sz w:val="21"/>
                <w:szCs w:val="21"/>
              </w:rPr>
            </w:pPr>
          </w:p>
        </w:tc>
        <w:tc>
          <w:tcPr>
            <w:tcW w:w="217" w:type="dxa"/>
          </w:tcPr>
          <w:p w14:paraId="286A995C" w14:textId="77777777" w:rsidR="002C0FD9" w:rsidRPr="00CA25CF" w:rsidRDefault="002C0FD9" w:rsidP="00CA25CF">
            <w:pPr>
              <w:rPr>
                <w:rFonts w:cs="Arial"/>
                <w:color w:val="FF0000"/>
                <w:sz w:val="21"/>
                <w:szCs w:val="21"/>
              </w:rPr>
            </w:pPr>
          </w:p>
        </w:tc>
        <w:tc>
          <w:tcPr>
            <w:tcW w:w="217" w:type="dxa"/>
          </w:tcPr>
          <w:p w14:paraId="1C8A38B7" w14:textId="77777777" w:rsidR="002C0FD9" w:rsidRPr="00CA25CF" w:rsidRDefault="002C0FD9" w:rsidP="00CA25CF">
            <w:pPr>
              <w:rPr>
                <w:rFonts w:cs="Arial"/>
                <w:color w:val="FF0000"/>
                <w:sz w:val="21"/>
                <w:szCs w:val="21"/>
              </w:rPr>
            </w:pPr>
          </w:p>
        </w:tc>
        <w:tc>
          <w:tcPr>
            <w:tcW w:w="217" w:type="dxa"/>
          </w:tcPr>
          <w:p w14:paraId="7DAE733B" w14:textId="77777777" w:rsidR="002C0FD9" w:rsidRPr="00CA25CF" w:rsidRDefault="002C0FD9" w:rsidP="00CA25CF">
            <w:pPr>
              <w:rPr>
                <w:rFonts w:cs="Arial"/>
                <w:color w:val="FF0000"/>
                <w:sz w:val="21"/>
                <w:szCs w:val="21"/>
              </w:rPr>
            </w:pPr>
          </w:p>
        </w:tc>
        <w:tc>
          <w:tcPr>
            <w:tcW w:w="217" w:type="dxa"/>
          </w:tcPr>
          <w:p w14:paraId="2887ABD3" w14:textId="77777777" w:rsidR="002C0FD9" w:rsidRPr="00CA25CF" w:rsidRDefault="002C0FD9" w:rsidP="00CA25CF">
            <w:pPr>
              <w:rPr>
                <w:rFonts w:cs="Arial"/>
                <w:color w:val="FF0000"/>
                <w:sz w:val="21"/>
                <w:szCs w:val="21"/>
              </w:rPr>
            </w:pPr>
          </w:p>
        </w:tc>
        <w:tc>
          <w:tcPr>
            <w:tcW w:w="217" w:type="dxa"/>
          </w:tcPr>
          <w:p w14:paraId="77D78E32" w14:textId="77777777" w:rsidR="002C0FD9" w:rsidRPr="00CA25CF" w:rsidRDefault="002C0FD9" w:rsidP="00CA25CF">
            <w:pPr>
              <w:rPr>
                <w:rFonts w:cs="Arial"/>
                <w:color w:val="FF0000"/>
                <w:sz w:val="21"/>
                <w:szCs w:val="21"/>
              </w:rPr>
            </w:pPr>
          </w:p>
        </w:tc>
        <w:tc>
          <w:tcPr>
            <w:tcW w:w="217" w:type="dxa"/>
          </w:tcPr>
          <w:p w14:paraId="23771E7C" w14:textId="77777777" w:rsidR="002C0FD9" w:rsidRPr="00CA25CF" w:rsidRDefault="002C0FD9" w:rsidP="00CA25CF">
            <w:pPr>
              <w:rPr>
                <w:rFonts w:cs="Arial"/>
                <w:color w:val="FF0000"/>
                <w:sz w:val="21"/>
                <w:szCs w:val="21"/>
              </w:rPr>
            </w:pPr>
          </w:p>
        </w:tc>
        <w:tc>
          <w:tcPr>
            <w:tcW w:w="217" w:type="dxa"/>
          </w:tcPr>
          <w:p w14:paraId="2BD93A5D" w14:textId="77777777" w:rsidR="002C0FD9" w:rsidRPr="00CA25CF" w:rsidRDefault="002C0FD9" w:rsidP="00CA25CF">
            <w:pPr>
              <w:rPr>
                <w:rFonts w:cs="Arial"/>
                <w:color w:val="FF0000"/>
                <w:sz w:val="21"/>
                <w:szCs w:val="21"/>
              </w:rPr>
            </w:pPr>
          </w:p>
        </w:tc>
        <w:tc>
          <w:tcPr>
            <w:tcW w:w="217" w:type="dxa"/>
          </w:tcPr>
          <w:p w14:paraId="47A0C7EB" w14:textId="77777777" w:rsidR="002C0FD9" w:rsidRPr="00CA25CF" w:rsidRDefault="002C0FD9" w:rsidP="00CA25CF">
            <w:pPr>
              <w:rPr>
                <w:rFonts w:cs="Arial"/>
                <w:color w:val="FF0000"/>
                <w:sz w:val="21"/>
                <w:szCs w:val="21"/>
              </w:rPr>
            </w:pPr>
          </w:p>
        </w:tc>
        <w:tc>
          <w:tcPr>
            <w:tcW w:w="217" w:type="dxa"/>
          </w:tcPr>
          <w:p w14:paraId="7E225CCE" w14:textId="77777777" w:rsidR="002C0FD9" w:rsidRPr="00CA25CF" w:rsidRDefault="002C0FD9" w:rsidP="00CA25CF">
            <w:pPr>
              <w:rPr>
                <w:rFonts w:cs="Arial"/>
                <w:color w:val="FF0000"/>
                <w:sz w:val="21"/>
                <w:szCs w:val="21"/>
              </w:rPr>
            </w:pPr>
          </w:p>
        </w:tc>
        <w:tc>
          <w:tcPr>
            <w:tcW w:w="217" w:type="dxa"/>
          </w:tcPr>
          <w:p w14:paraId="074F5442" w14:textId="77777777" w:rsidR="002C0FD9" w:rsidRPr="00CA25CF" w:rsidRDefault="002C0FD9" w:rsidP="00CA25CF">
            <w:pPr>
              <w:rPr>
                <w:rFonts w:cs="Arial"/>
                <w:color w:val="FF0000"/>
                <w:sz w:val="21"/>
                <w:szCs w:val="21"/>
              </w:rPr>
            </w:pPr>
          </w:p>
        </w:tc>
        <w:tc>
          <w:tcPr>
            <w:tcW w:w="217" w:type="dxa"/>
          </w:tcPr>
          <w:p w14:paraId="09602067" w14:textId="77777777" w:rsidR="002C0FD9" w:rsidRPr="00CA25CF" w:rsidRDefault="002C0FD9" w:rsidP="00CA25CF">
            <w:pPr>
              <w:rPr>
                <w:rFonts w:cs="Arial"/>
                <w:color w:val="FF0000"/>
                <w:sz w:val="21"/>
                <w:szCs w:val="21"/>
              </w:rPr>
            </w:pPr>
          </w:p>
        </w:tc>
        <w:tc>
          <w:tcPr>
            <w:tcW w:w="217" w:type="dxa"/>
          </w:tcPr>
          <w:p w14:paraId="47C7BA47" w14:textId="77777777" w:rsidR="002C0FD9" w:rsidRPr="00CA25CF" w:rsidRDefault="002C0FD9" w:rsidP="00CA25CF">
            <w:pPr>
              <w:rPr>
                <w:rFonts w:cs="Arial"/>
                <w:color w:val="FF0000"/>
                <w:sz w:val="21"/>
                <w:szCs w:val="21"/>
              </w:rPr>
            </w:pPr>
          </w:p>
        </w:tc>
        <w:tc>
          <w:tcPr>
            <w:tcW w:w="217" w:type="dxa"/>
          </w:tcPr>
          <w:p w14:paraId="54420BBC" w14:textId="77777777" w:rsidR="002C0FD9" w:rsidRPr="00CA25CF" w:rsidRDefault="002C0FD9" w:rsidP="00CA25CF">
            <w:pPr>
              <w:rPr>
                <w:rFonts w:cs="Arial"/>
                <w:color w:val="FF0000"/>
                <w:sz w:val="21"/>
                <w:szCs w:val="21"/>
              </w:rPr>
            </w:pPr>
          </w:p>
        </w:tc>
        <w:tc>
          <w:tcPr>
            <w:tcW w:w="217" w:type="dxa"/>
          </w:tcPr>
          <w:p w14:paraId="04C91241" w14:textId="77777777" w:rsidR="002C0FD9" w:rsidRPr="00CA25CF" w:rsidRDefault="002C0FD9" w:rsidP="00CA25CF">
            <w:pPr>
              <w:rPr>
                <w:rFonts w:cs="Arial"/>
                <w:color w:val="FF0000"/>
                <w:sz w:val="21"/>
                <w:szCs w:val="21"/>
              </w:rPr>
            </w:pPr>
          </w:p>
        </w:tc>
        <w:tc>
          <w:tcPr>
            <w:tcW w:w="217" w:type="dxa"/>
          </w:tcPr>
          <w:p w14:paraId="30CDEAC2" w14:textId="77777777" w:rsidR="002C0FD9" w:rsidRPr="00CA25CF" w:rsidRDefault="002C0FD9" w:rsidP="00CA25CF">
            <w:pPr>
              <w:rPr>
                <w:rFonts w:cs="Arial"/>
                <w:color w:val="FF0000"/>
                <w:sz w:val="21"/>
                <w:szCs w:val="21"/>
              </w:rPr>
            </w:pPr>
          </w:p>
        </w:tc>
        <w:tc>
          <w:tcPr>
            <w:tcW w:w="217" w:type="dxa"/>
          </w:tcPr>
          <w:p w14:paraId="66B3CF38" w14:textId="77777777" w:rsidR="002C0FD9" w:rsidRPr="00CA25CF" w:rsidRDefault="002C0FD9" w:rsidP="00CA25CF">
            <w:pPr>
              <w:rPr>
                <w:rFonts w:cs="Arial"/>
                <w:color w:val="FF0000"/>
                <w:sz w:val="21"/>
                <w:szCs w:val="21"/>
              </w:rPr>
            </w:pPr>
          </w:p>
        </w:tc>
      </w:tr>
      <w:tr w:rsidR="002C0FD9" w:rsidRPr="00A16219" w14:paraId="021FE300" w14:textId="49ED2709" w:rsidTr="002C0FD9">
        <w:trPr>
          <w:trHeight w:val="635"/>
        </w:trPr>
        <w:tc>
          <w:tcPr>
            <w:tcW w:w="515" w:type="dxa"/>
          </w:tcPr>
          <w:p w14:paraId="29786317" w14:textId="77777777" w:rsidR="002C0FD9" w:rsidRPr="00CA25CF" w:rsidRDefault="002C0FD9" w:rsidP="00CA25CF">
            <w:pPr>
              <w:rPr>
                <w:rFonts w:cs="Arial"/>
                <w:color w:val="FF0000"/>
                <w:sz w:val="21"/>
                <w:szCs w:val="21"/>
              </w:rPr>
            </w:pPr>
          </w:p>
        </w:tc>
        <w:tc>
          <w:tcPr>
            <w:tcW w:w="217" w:type="dxa"/>
          </w:tcPr>
          <w:p w14:paraId="7E745AF7" w14:textId="77777777" w:rsidR="002C0FD9" w:rsidRPr="00CA25CF" w:rsidRDefault="002C0FD9" w:rsidP="00CA25CF">
            <w:pPr>
              <w:rPr>
                <w:rFonts w:cs="Arial"/>
                <w:color w:val="FF0000"/>
                <w:sz w:val="21"/>
                <w:szCs w:val="21"/>
              </w:rPr>
            </w:pPr>
          </w:p>
        </w:tc>
        <w:tc>
          <w:tcPr>
            <w:tcW w:w="217" w:type="dxa"/>
          </w:tcPr>
          <w:p w14:paraId="0A7E2F6B" w14:textId="01C85BBF" w:rsidR="002C0FD9" w:rsidRPr="00CA25CF" w:rsidRDefault="002C0FD9" w:rsidP="00CA25CF">
            <w:pPr>
              <w:rPr>
                <w:rFonts w:cs="Arial"/>
                <w:color w:val="FF0000"/>
                <w:sz w:val="21"/>
                <w:szCs w:val="21"/>
              </w:rPr>
            </w:pPr>
          </w:p>
        </w:tc>
        <w:tc>
          <w:tcPr>
            <w:tcW w:w="217" w:type="dxa"/>
          </w:tcPr>
          <w:p w14:paraId="25B7F8B2" w14:textId="77777777" w:rsidR="002C0FD9" w:rsidRPr="00CA25CF" w:rsidRDefault="002C0FD9" w:rsidP="00CA25CF">
            <w:pPr>
              <w:rPr>
                <w:rFonts w:cs="Arial"/>
                <w:color w:val="FF0000"/>
                <w:sz w:val="21"/>
                <w:szCs w:val="21"/>
              </w:rPr>
            </w:pPr>
          </w:p>
        </w:tc>
        <w:tc>
          <w:tcPr>
            <w:tcW w:w="217" w:type="dxa"/>
          </w:tcPr>
          <w:p w14:paraId="25EDC8FB" w14:textId="309A2CDD" w:rsidR="002C0FD9" w:rsidRPr="00CA25CF" w:rsidRDefault="002C0FD9" w:rsidP="00CA25CF">
            <w:pPr>
              <w:rPr>
                <w:rFonts w:cs="Arial"/>
                <w:color w:val="FF0000"/>
                <w:sz w:val="21"/>
                <w:szCs w:val="21"/>
              </w:rPr>
            </w:pPr>
          </w:p>
        </w:tc>
        <w:tc>
          <w:tcPr>
            <w:tcW w:w="217" w:type="dxa"/>
          </w:tcPr>
          <w:p w14:paraId="2E4405FF" w14:textId="77777777" w:rsidR="002C0FD9" w:rsidRPr="00CA25CF" w:rsidRDefault="002C0FD9" w:rsidP="00CA25CF">
            <w:pPr>
              <w:rPr>
                <w:rFonts w:cs="Arial"/>
                <w:color w:val="FF0000"/>
                <w:sz w:val="21"/>
                <w:szCs w:val="21"/>
              </w:rPr>
            </w:pPr>
          </w:p>
        </w:tc>
        <w:tc>
          <w:tcPr>
            <w:tcW w:w="217" w:type="dxa"/>
          </w:tcPr>
          <w:p w14:paraId="02A6E60D" w14:textId="77777777" w:rsidR="002C0FD9" w:rsidRPr="00CA25CF" w:rsidRDefault="002C0FD9" w:rsidP="00CA25CF">
            <w:pPr>
              <w:rPr>
                <w:rFonts w:cs="Arial"/>
                <w:color w:val="FF0000"/>
                <w:sz w:val="21"/>
                <w:szCs w:val="21"/>
              </w:rPr>
            </w:pPr>
          </w:p>
        </w:tc>
        <w:tc>
          <w:tcPr>
            <w:tcW w:w="217" w:type="dxa"/>
          </w:tcPr>
          <w:p w14:paraId="57D42F1A" w14:textId="77777777" w:rsidR="002C0FD9" w:rsidRPr="00CA25CF" w:rsidRDefault="002C0FD9" w:rsidP="00CA25CF">
            <w:pPr>
              <w:rPr>
                <w:rFonts w:cs="Arial"/>
                <w:color w:val="FF0000"/>
                <w:sz w:val="21"/>
                <w:szCs w:val="21"/>
              </w:rPr>
            </w:pPr>
          </w:p>
        </w:tc>
        <w:tc>
          <w:tcPr>
            <w:tcW w:w="217" w:type="dxa"/>
          </w:tcPr>
          <w:p w14:paraId="2F3B536D" w14:textId="77777777" w:rsidR="002C0FD9" w:rsidRPr="00CA25CF" w:rsidRDefault="002C0FD9" w:rsidP="00CA25CF">
            <w:pPr>
              <w:rPr>
                <w:rFonts w:cs="Arial"/>
                <w:color w:val="FF0000"/>
                <w:sz w:val="21"/>
                <w:szCs w:val="21"/>
              </w:rPr>
            </w:pPr>
          </w:p>
        </w:tc>
        <w:tc>
          <w:tcPr>
            <w:tcW w:w="217" w:type="dxa"/>
          </w:tcPr>
          <w:p w14:paraId="11FC4B80" w14:textId="77777777" w:rsidR="002C0FD9" w:rsidRPr="00CA25CF" w:rsidRDefault="002C0FD9" w:rsidP="00CA25CF">
            <w:pPr>
              <w:rPr>
                <w:rFonts w:cs="Arial"/>
                <w:color w:val="FF0000"/>
                <w:sz w:val="21"/>
                <w:szCs w:val="21"/>
              </w:rPr>
            </w:pPr>
          </w:p>
        </w:tc>
        <w:tc>
          <w:tcPr>
            <w:tcW w:w="217" w:type="dxa"/>
          </w:tcPr>
          <w:p w14:paraId="16E92B3E" w14:textId="77777777" w:rsidR="002C0FD9" w:rsidRPr="00CA25CF" w:rsidRDefault="002C0FD9" w:rsidP="00CA25CF">
            <w:pPr>
              <w:rPr>
                <w:rFonts w:cs="Arial"/>
                <w:color w:val="FF0000"/>
                <w:sz w:val="21"/>
                <w:szCs w:val="21"/>
              </w:rPr>
            </w:pPr>
          </w:p>
        </w:tc>
        <w:tc>
          <w:tcPr>
            <w:tcW w:w="217" w:type="dxa"/>
          </w:tcPr>
          <w:p w14:paraId="0A2CB6C7" w14:textId="77777777" w:rsidR="002C0FD9" w:rsidRPr="00CA25CF" w:rsidRDefault="002C0FD9" w:rsidP="00CA25CF">
            <w:pPr>
              <w:rPr>
                <w:rFonts w:cs="Arial"/>
                <w:color w:val="FF0000"/>
                <w:sz w:val="21"/>
                <w:szCs w:val="21"/>
              </w:rPr>
            </w:pPr>
          </w:p>
        </w:tc>
        <w:tc>
          <w:tcPr>
            <w:tcW w:w="217" w:type="dxa"/>
          </w:tcPr>
          <w:p w14:paraId="706CAE2E" w14:textId="77777777" w:rsidR="002C0FD9" w:rsidRPr="00CA25CF" w:rsidRDefault="002C0FD9" w:rsidP="00CA25CF">
            <w:pPr>
              <w:rPr>
                <w:rFonts w:cs="Arial"/>
                <w:color w:val="FF0000"/>
                <w:sz w:val="21"/>
                <w:szCs w:val="21"/>
              </w:rPr>
            </w:pPr>
          </w:p>
        </w:tc>
        <w:tc>
          <w:tcPr>
            <w:tcW w:w="217" w:type="dxa"/>
          </w:tcPr>
          <w:p w14:paraId="14631C44" w14:textId="77777777" w:rsidR="002C0FD9" w:rsidRPr="00CA25CF" w:rsidRDefault="002C0FD9" w:rsidP="00CA25CF">
            <w:pPr>
              <w:rPr>
                <w:rFonts w:cs="Arial"/>
                <w:color w:val="FF0000"/>
                <w:sz w:val="21"/>
                <w:szCs w:val="21"/>
              </w:rPr>
            </w:pPr>
          </w:p>
        </w:tc>
        <w:tc>
          <w:tcPr>
            <w:tcW w:w="217" w:type="dxa"/>
          </w:tcPr>
          <w:p w14:paraId="3940126D" w14:textId="77777777" w:rsidR="002C0FD9" w:rsidRPr="00CA25CF" w:rsidRDefault="002C0FD9" w:rsidP="00CA25CF">
            <w:pPr>
              <w:rPr>
                <w:rFonts w:cs="Arial"/>
                <w:color w:val="FF0000"/>
                <w:sz w:val="21"/>
                <w:szCs w:val="21"/>
              </w:rPr>
            </w:pPr>
          </w:p>
        </w:tc>
        <w:tc>
          <w:tcPr>
            <w:tcW w:w="217" w:type="dxa"/>
          </w:tcPr>
          <w:p w14:paraId="6D986853" w14:textId="59370803" w:rsidR="002C0FD9" w:rsidRPr="00CA25CF" w:rsidRDefault="002C0FD9" w:rsidP="00CA25CF">
            <w:pPr>
              <w:rPr>
                <w:rFonts w:cs="Arial"/>
                <w:color w:val="FF0000"/>
                <w:sz w:val="21"/>
                <w:szCs w:val="21"/>
              </w:rPr>
            </w:pPr>
          </w:p>
        </w:tc>
        <w:tc>
          <w:tcPr>
            <w:tcW w:w="217" w:type="dxa"/>
          </w:tcPr>
          <w:p w14:paraId="0AE72015" w14:textId="77777777" w:rsidR="002C0FD9" w:rsidRPr="00CA25CF" w:rsidRDefault="002C0FD9" w:rsidP="00CA25CF">
            <w:pPr>
              <w:rPr>
                <w:rFonts w:cs="Arial"/>
                <w:color w:val="FF0000"/>
                <w:sz w:val="21"/>
                <w:szCs w:val="21"/>
              </w:rPr>
            </w:pPr>
          </w:p>
        </w:tc>
        <w:tc>
          <w:tcPr>
            <w:tcW w:w="217" w:type="dxa"/>
          </w:tcPr>
          <w:p w14:paraId="5FC676B5" w14:textId="77777777" w:rsidR="002C0FD9" w:rsidRPr="00CA25CF" w:rsidRDefault="002C0FD9" w:rsidP="00CA25CF">
            <w:pPr>
              <w:rPr>
                <w:rFonts w:cs="Arial"/>
                <w:color w:val="FF0000"/>
                <w:sz w:val="21"/>
                <w:szCs w:val="21"/>
              </w:rPr>
            </w:pPr>
          </w:p>
        </w:tc>
        <w:tc>
          <w:tcPr>
            <w:tcW w:w="217" w:type="dxa"/>
          </w:tcPr>
          <w:p w14:paraId="5BC4D69E" w14:textId="77777777" w:rsidR="002C0FD9" w:rsidRPr="00CA25CF" w:rsidRDefault="002C0FD9" w:rsidP="00CA25CF">
            <w:pPr>
              <w:rPr>
                <w:rFonts w:cs="Arial"/>
                <w:color w:val="FF0000"/>
                <w:sz w:val="21"/>
                <w:szCs w:val="21"/>
              </w:rPr>
            </w:pPr>
          </w:p>
        </w:tc>
        <w:tc>
          <w:tcPr>
            <w:tcW w:w="217" w:type="dxa"/>
          </w:tcPr>
          <w:p w14:paraId="296A5593" w14:textId="77777777" w:rsidR="002C0FD9" w:rsidRPr="00CA25CF" w:rsidRDefault="002C0FD9" w:rsidP="00CA25CF">
            <w:pPr>
              <w:rPr>
                <w:rFonts w:cs="Arial"/>
                <w:color w:val="FF0000"/>
                <w:sz w:val="21"/>
                <w:szCs w:val="21"/>
              </w:rPr>
            </w:pPr>
          </w:p>
        </w:tc>
        <w:tc>
          <w:tcPr>
            <w:tcW w:w="217" w:type="dxa"/>
          </w:tcPr>
          <w:p w14:paraId="6F61AAA3" w14:textId="77777777" w:rsidR="002C0FD9" w:rsidRPr="00CA25CF" w:rsidRDefault="002C0FD9" w:rsidP="00CA25CF">
            <w:pPr>
              <w:rPr>
                <w:rFonts w:cs="Arial"/>
                <w:color w:val="FF0000"/>
                <w:sz w:val="21"/>
                <w:szCs w:val="21"/>
              </w:rPr>
            </w:pPr>
          </w:p>
        </w:tc>
        <w:tc>
          <w:tcPr>
            <w:tcW w:w="217" w:type="dxa"/>
          </w:tcPr>
          <w:p w14:paraId="10DC1EF0" w14:textId="77777777" w:rsidR="002C0FD9" w:rsidRPr="00CA25CF" w:rsidRDefault="002C0FD9" w:rsidP="00CA25CF">
            <w:pPr>
              <w:rPr>
                <w:rFonts w:cs="Arial"/>
                <w:color w:val="FF0000"/>
                <w:sz w:val="21"/>
                <w:szCs w:val="21"/>
              </w:rPr>
            </w:pPr>
          </w:p>
        </w:tc>
        <w:tc>
          <w:tcPr>
            <w:tcW w:w="217" w:type="dxa"/>
          </w:tcPr>
          <w:p w14:paraId="29FF53C5" w14:textId="77777777" w:rsidR="002C0FD9" w:rsidRPr="00CA25CF" w:rsidRDefault="002C0FD9" w:rsidP="00CA25CF">
            <w:pPr>
              <w:rPr>
                <w:rFonts w:cs="Arial"/>
                <w:color w:val="FF0000"/>
                <w:sz w:val="21"/>
                <w:szCs w:val="21"/>
              </w:rPr>
            </w:pPr>
          </w:p>
        </w:tc>
        <w:tc>
          <w:tcPr>
            <w:tcW w:w="217" w:type="dxa"/>
          </w:tcPr>
          <w:p w14:paraId="433D7BB1" w14:textId="77777777" w:rsidR="002C0FD9" w:rsidRPr="00CA25CF" w:rsidRDefault="002C0FD9" w:rsidP="00CA25CF">
            <w:pPr>
              <w:rPr>
                <w:rFonts w:cs="Arial"/>
                <w:color w:val="FF0000"/>
                <w:sz w:val="21"/>
                <w:szCs w:val="21"/>
              </w:rPr>
            </w:pPr>
          </w:p>
        </w:tc>
        <w:tc>
          <w:tcPr>
            <w:tcW w:w="217" w:type="dxa"/>
          </w:tcPr>
          <w:p w14:paraId="28BF07F3" w14:textId="77777777" w:rsidR="002C0FD9" w:rsidRPr="00CA25CF" w:rsidRDefault="002C0FD9" w:rsidP="00CA25CF">
            <w:pPr>
              <w:rPr>
                <w:rFonts w:cs="Arial"/>
                <w:color w:val="FF0000"/>
                <w:sz w:val="21"/>
                <w:szCs w:val="21"/>
              </w:rPr>
            </w:pPr>
          </w:p>
        </w:tc>
        <w:tc>
          <w:tcPr>
            <w:tcW w:w="217" w:type="dxa"/>
          </w:tcPr>
          <w:p w14:paraId="43A0B62A" w14:textId="77777777" w:rsidR="002C0FD9" w:rsidRPr="00CA25CF" w:rsidRDefault="002C0FD9" w:rsidP="00CA25CF">
            <w:pPr>
              <w:rPr>
                <w:rFonts w:cs="Arial"/>
                <w:color w:val="FF0000"/>
                <w:sz w:val="21"/>
                <w:szCs w:val="21"/>
              </w:rPr>
            </w:pPr>
          </w:p>
        </w:tc>
        <w:tc>
          <w:tcPr>
            <w:tcW w:w="217" w:type="dxa"/>
          </w:tcPr>
          <w:p w14:paraId="07794EA4" w14:textId="77777777" w:rsidR="002C0FD9" w:rsidRPr="00CA25CF" w:rsidRDefault="002C0FD9" w:rsidP="00CA25CF">
            <w:pPr>
              <w:rPr>
                <w:rFonts w:cs="Arial"/>
                <w:color w:val="FF0000"/>
                <w:sz w:val="21"/>
                <w:szCs w:val="21"/>
              </w:rPr>
            </w:pPr>
          </w:p>
        </w:tc>
        <w:tc>
          <w:tcPr>
            <w:tcW w:w="217" w:type="dxa"/>
          </w:tcPr>
          <w:p w14:paraId="53CA93D6" w14:textId="77777777" w:rsidR="002C0FD9" w:rsidRPr="00CA25CF" w:rsidRDefault="002C0FD9" w:rsidP="00CA25CF">
            <w:pPr>
              <w:rPr>
                <w:rFonts w:cs="Arial"/>
                <w:color w:val="FF0000"/>
                <w:sz w:val="21"/>
                <w:szCs w:val="21"/>
              </w:rPr>
            </w:pPr>
          </w:p>
        </w:tc>
        <w:tc>
          <w:tcPr>
            <w:tcW w:w="217" w:type="dxa"/>
          </w:tcPr>
          <w:p w14:paraId="1D9663AB" w14:textId="77777777" w:rsidR="002C0FD9" w:rsidRPr="00CA25CF" w:rsidRDefault="002C0FD9" w:rsidP="00CA25CF">
            <w:pPr>
              <w:rPr>
                <w:rFonts w:cs="Arial"/>
                <w:color w:val="FF0000"/>
                <w:sz w:val="21"/>
                <w:szCs w:val="21"/>
              </w:rPr>
            </w:pPr>
          </w:p>
        </w:tc>
        <w:tc>
          <w:tcPr>
            <w:tcW w:w="217" w:type="dxa"/>
          </w:tcPr>
          <w:p w14:paraId="2D7A5251" w14:textId="77777777" w:rsidR="002C0FD9" w:rsidRPr="00CA25CF" w:rsidRDefault="002C0FD9" w:rsidP="00CA25CF">
            <w:pPr>
              <w:rPr>
                <w:rFonts w:cs="Arial"/>
                <w:color w:val="FF0000"/>
                <w:sz w:val="21"/>
                <w:szCs w:val="21"/>
              </w:rPr>
            </w:pPr>
          </w:p>
        </w:tc>
        <w:tc>
          <w:tcPr>
            <w:tcW w:w="217" w:type="dxa"/>
          </w:tcPr>
          <w:p w14:paraId="48B4B3EF" w14:textId="77777777" w:rsidR="002C0FD9" w:rsidRPr="00CA25CF" w:rsidRDefault="002C0FD9" w:rsidP="00CA25CF">
            <w:pPr>
              <w:rPr>
                <w:rFonts w:cs="Arial"/>
                <w:color w:val="FF0000"/>
                <w:sz w:val="21"/>
                <w:szCs w:val="21"/>
              </w:rPr>
            </w:pPr>
          </w:p>
        </w:tc>
        <w:tc>
          <w:tcPr>
            <w:tcW w:w="217" w:type="dxa"/>
          </w:tcPr>
          <w:p w14:paraId="5767AEBD" w14:textId="77777777" w:rsidR="002C0FD9" w:rsidRPr="00CA25CF" w:rsidRDefault="002C0FD9" w:rsidP="00CA25CF">
            <w:pPr>
              <w:rPr>
                <w:rFonts w:cs="Arial"/>
                <w:color w:val="FF0000"/>
                <w:sz w:val="21"/>
                <w:szCs w:val="21"/>
              </w:rPr>
            </w:pPr>
          </w:p>
        </w:tc>
        <w:tc>
          <w:tcPr>
            <w:tcW w:w="217" w:type="dxa"/>
          </w:tcPr>
          <w:p w14:paraId="3FA77D79" w14:textId="77777777" w:rsidR="002C0FD9" w:rsidRPr="00CA25CF" w:rsidRDefault="002C0FD9" w:rsidP="00CA25CF">
            <w:pPr>
              <w:rPr>
                <w:rFonts w:cs="Arial"/>
                <w:color w:val="FF0000"/>
                <w:sz w:val="21"/>
                <w:szCs w:val="21"/>
              </w:rPr>
            </w:pPr>
          </w:p>
        </w:tc>
        <w:tc>
          <w:tcPr>
            <w:tcW w:w="217" w:type="dxa"/>
          </w:tcPr>
          <w:p w14:paraId="17856B9E" w14:textId="77777777" w:rsidR="002C0FD9" w:rsidRPr="00CA25CF" w:rsidRDefault="002C0FD9" w:rsidP="00CA25CF">
            <w:pPr>
              <w:rPr>
                <w:rFonts w:cs="Arial"/>
                <w:color w:val="FF0000"/>
                <w:sz w:val="21"/>
                <w:szCs w:val="21"/>
              </w:rPr>
            </w:pPr>
          </w:p>
        </w:tc>
        <w:tc>
          <w:tcPr>
            <w:tcW w:w="217" w:type="dxa"/>
          </w:tcPr>
          <w:p w14:paraId="747E4C02" w14:textId="77777777" w:rsidR="002C0FD9" w:rsidRPr="00CA25CF" w:rsidRDefault="002C0FD9" w:rsidP="00CA25CF">
            <w:pPr>
              <w:rPr>
                <w:rFonts w:cs="Arial"/>
                <w:color w:val="FF0000"/>
                <w:sz w:val="21"/>
                <w:szCs w:val="21"/>
              </w:rPr>
            </w:pPr>
          </w:p>
        </w:tc>
        <w:tc>
          <w:tcPr>
            <w:tcW w:w="217" w:type="dxa"/>
          </w:tcPr>
          <w:p w14:paraId="2C36F119" w14:textId="77777777" w:rsidR="002C0FD9" w:rsidRPr="00CA25CF" w:rsidRDefault="002C0FD9" w:rsidP="00CA25CF">
            <w:pPr>
              <w:rPr>
                <w:rFonts w:cs="Arial"/>
                <w:color w:val="FF0000"/>
                <w:sz w:val="21"/>
                <w:szCs w:val="21"/>
              </w:rPr>
            </w:pPr>
          </w:p>
        </w:tc>
        <w:tc>
          <w:tcPr>
            <w:tcW w:w="217" w:type="dxa"/>
          </w:tcPr>
          <w:p w14:paraId="52CC1609" w14:textId="77777777" w:rsidR="002C0FD9" w:rsidRPr="00CA25CF" w:rsidRDefault="002C0FD9" w:rsidP="00CA25CF">
            <w:pPr>
              <w:rPr>
                <w:rFonts w:cs="Arial"/>
                <w:color w:val="FF0000"/>
                <w:sz w:val="21"/>
                <w:szCs w:val="21"/>
              </w:rPr>
            </w:pPr>
          </w:p>
        </w:tc>
        <w:tc>
          <w:tcPr>
            <w:tcW w:w="217" w:type="dxa"/>
          </w:tcPr>
          <w:p w14:paraId="7A763BD2" w14:textId="77777777" w:rsidR="002C0FD9" w:rsidRPr="00CA25CF" w:rsidRDefault="002C0FD9" w:rsidP="00CA25CF">
            <w:pPr>
              <w:rPr>
                <w:rFonts w:cs="Arial"/>
                <w:color w:val="FF0000"/>
                <w:sz w:val="21"/>
                <w:szCs w:val="21"/>
              </w:rPr>
            </w:pPr>
          </w:p>
        </w:tc>
        <w:tc>
          <w:tcPr>
            <w:tcW w:w="217" w:type="dxa"/>
          </w:tcPr>
          <w:p w14:paraId="24E1DE5A" w14:textId="77777777" w:rsidR="002C0FD9" w:rsidRPr="00CA25CF" w:rsidRDefault="002C0FD9" w:rsidP="00CA25CF">
            <w:pPr>
              <w:rPr>
                <w:rFonts w:cs="Arial"/>
                <w:color w:val="FF0000"/>
                <w:sz w:val="21"/>
                <w:szCs w:val="21"/>
              </w:rPr>
            </w:pPr>
          </w:p>
        </w:tc>
        <w:tc>
          <w:tcPr>
            <w:tcW w:w="217" w:type="dxa"/>
          </w:tcPr>
          <w:p w14:paraId="081BEE4D" w14:textId="77777777" w:rsidR="002C0FD9" w:rsidRPr="00CA25CF" w:rsidRDefault="002C0FD9" w:rsidP="00CA25CF">
            <w:pPr>
              <w:rPr>
                <w:rFonts w:cs="Arial"/>
                <w:color w:val="FF0000"/>
                <w:sz w:val="21"/>
                <w:szCs w:val="21"/>
              </w:rPr>
            </w:pPr>
          </w:p>
        </w:tc>
        <w:tc>
          <w:tcPr>
            <w:tcW w:w="217" w:type="dxa"/>
          </w:tcPr>
          <w:p w14:paraId="3291BE04" w14:textId="77777777" w:rsidR="002C0FD9" w:rsidRPr="00CA25CF" w:rsidRDefault="002C0FD9" w:rsidP="00CA25CF">
            <w:pPr>
              <w:rPr>
                <w:rFonts w:cs="Arial"/>
                <w:color w:val="FF0000"/>
                <w:sz w:val="21"/>
                <w:szCs w:val="21"/>
              </w:rPr>
            </w:pPr>
          </w:p>
        </w:tc>
        <w:tc>
          <w:tcPr>
            <w:tcW w:w="217" w:type="dxa"/>
          </w:tcPr>
          <w:p w14:paraId="1C336237" w14:textId="77777777" w:rsidR="002C0FD9" w:rsidRPr="00CA25CF" w:rsidRDefault="002C0FD9" w:rsidP="00CA25CF">
            <w:pPr>
              <w:rPr>
                <w:rFonts w:cs="Arial"/>
                <w:color w:val="FF0000"/>
                <w:sz w:val="21"/>
                <w:szCs w:val="21"/>
              </w:rPr>
            </w:pPr>
          </w:p>
        </w:tc>
        <w:tc>
          <w:tcPr>
            <w:tcW w:w="217" w:type="dxa"/>
          </w:tcPr>
          <w:p w14:paraId="7A4BABBF" w14:textId="77777777" w:rsidR="002C0FD9" w:rsidRPr="00CA25CF" w:rsidRDefault="002C0FD9" w:rsidP="00CA25CF">
            <w:pPr>
              <w:rPr>
                <w:rFonts w:cs="Arial"/>
                <w:color w:val="FF0000"/>
                <w:sz w:val="21"/>
                <w:szCs w:val="21"/>
              </w:rPr>
            </w:pPr>
          </w:p>
        </w:tc>
      </w:tr>
      <w:tr w:rsidR="002C0FD9" w:rsidRPr="00A16219" w14:paraId="1D5D4BF3" w14:textId="39874426" w:rsidTr="002C0FD9">
        <w:trPr>
          <w:trHeight w:val="635"/>
        </w:trPr>
        <w:tc>
          <w:tcPr>
            <w:tcW w:w="515" w:type="dxa"/>
          </w:tcPr>
          <w:p w14:paraId="1C54265B" w14:textId="77777777" w:rsidR="002C0FD9" w:rsidRPr="00CA25CF" w:rsidRDefault="002C0FD9" w:rsidP="00CA25CF">
            <w:pPr>
              <w:rPr>
                <w:rFonts w:cs="Arial"/>
                <w:color w:val="FF0000"/>
                <w:sz w:val="21"/>
                <w:szCs w:val="21"/>
              </w:rPr>
            </w:pPr>
          </w:p>
        </w:tc>
        <w:tc>
          <w:tcPr>
            <w:tcW w:w="217" w:type="dxa"/>
          </w:tcPr>
          <w:p w14:paraId="01354BB9" w14:textId="77777777" w:rsidR="002C0FD9" w:rsidRPr="00CA25CF" w:rsidRDefault="002C0FD9" w:rsidP="00CA25CF">
            <w:pPr>
              <w:rPr>
                <w:rFonts w:cs="Arial"/>
                <w:color w:val="FF0000"/>
                <w:sz w:val="21"/>
                <w:szCs w:val="21"/>
              </w:rPr>
            </w:pPr>
          </w:p>
        </w:tc>
        <w:tc>
          <w:tcPr>
            <w:tcW w:w="217" w:type="dxa"/>
          </w:tcPr>
          <w:p w14:paraId="6350431B" w14:textId="141192B1" w:rsidR="002C0FD9" w:rsidRPr="00CA25CF" w:rsidRDefault="002C0FD9" w:rsidP="00CA25CF">
            <w:pPr>
              <w:rPr>
                <w:rFonts w:cs="Arial"/>
                <w:color w:val="FF0000"/>
                <w:sz w:val="21"/>
                <w:szCs w:val="21"/>
              </w:rPr>
            </w:pPr>
          </w:p>
        </w:tc>
        <w:tc>
          <w:tcPr>
            <w:tcW w:w="217" w:type="dxa"/>
          </w:tcPr>
          <w:p w14:paraId="170ECE56" w14:textId="77777777" w:rsidR="002C0FD9" w:rsidRPr="00CA25CF" w:rsidRDefault="002C0FD9" w:rsidP="00CA25CF">
            <w:pPr>
              <w:rPr>
                <w:rFonts w:cs="Arial"/>
                <w:color w:val="FF0000"/>
                <w:sz w:val="21"/>
                <w:szCs w:val="21"/>
              </w:rPr>
            </w:pPr>
          </w:p>
        </w:tc>
        <w:tc>
          <w:tcPr>
            <w:tcW w:w="217" w:type="dxa"/>
          </w:tcPr>
          <w:p w14:paraId="192B4FAF" w14:textId="490D1C98" w:rsidR="002C0FD9" w:rsidRPr="00CA25CF" w:rsidRDefault="002C0FD9" w:rsidP="00CA25CF">
            <w:pPr>
              <w:rPr>
                <w:rFonts w:cs="Arial"/>
                <w:color w:val="FF0000"/>
                <w:sz w:val="21"/>
                <w:szCs w:val="21"/>
              </w:rPr>
            </w:pPr>
          </w:p>
        </w:tc>
        <w:tc>
          <w:tcPr>
            <w:tcW w:w="217" w:type="dxa"/>
          </w:tcPr>
          <w:p w14:paraId="2D9C9D21" w14:textId="77777777" w:rsidR="002C0FD9" w:rsidRPr="00CA25CF" w:rsidRDefault="002C0FD9" w:rsidP="00CA25CF">
            <w:pPr>
              <w:rPr>
                <w:rFonts w:cs="Arial"/>
                <w:color w:val="FF0000"/>
                <w:sz w:val="21"/>
                <w:szCs w:val="21"/>
              </w:rPr>
            </w:pPr>
          </w:p>
        </w:tc>
        <w:tc>
          <w:tcPr>
            <w:tcW w:w="217" w:type="dxa"/>
          </w:tcPr>
          <w:p w14:paraId="6C44C970" w14:textId="77777777" w:rsidR="002C0FD9" w:rsidRPr="00CA25CF" w:rsidRDefault="002C0FD9" w:rsidP="00CA25CF">
            <w:pPr>
              <w:rPr>
                <w:rFonts w:cs="Arial"/>
                <w:color w:val="FF0000"/>
                <w:sz w:val="21"/>
                <w:szCs w:val="21"/>
              </w:rPr>
            </w:pPr>
          </w:p>
        </w:tc>
        <w:tc>
          <w:tcPr>
            <w:tcW w:w="217" w:type="dxa"/>
          </w:tcPr>
          <w:p w14:paraId="25F0AE59" w14:textId="77777777" w:rsidR="002C0FD9" w:rsidRPr="00CA25CF" w:rsidRDefault="002C0FD9" w:rsidP="00CA25CF">
            <w:pPr>
              <w:rPr>
                <w:rFonts w:cs="Arial"/>
                <w:color w:val="FF0000"/>
                <w:sz w:val="21"/>
                <w:szCs w:val="21"/>
              </w:rPr>
            </w:pPr>
          </w:p>
        </w:tc>
        <w:tc>
          <w:tcPr>
            <w:tcW w:w="217" w:type="dxa"/>
          </w:tcPr>
          <w:p w14:paraId="57BD4352" w14:textId="77777777" w:rsidR="002C0FD9" w:rsidRPr="00CA25CF" w:rsidRDefault="002C0FD9" w:rsidP="00CA25CF">
            <w:pPr>
              <w:rPr>
                <w:rFonts w:cs="Arial"/>
                <w:color w:val="FF0000"/>
                <w:sz w:val="21"/>
                <w:szCs w:val="21"/>
              </w:rPr>
            </w:pPr>
          </w:p>
        </w:tc>
        <w:tc>
          <w:tcPr>
            <w:tcW w:w="217" w:type="dxa"/>
          </w:tcPr>
          <w:p w14:paraId="12CC8EC9" w14:textId="77777777" w:rsidR="002C0FD9" w:rsidRPr="00CA25CF" w:rsidRDefault="002C0FD9" w:rsidP="00CA25CF">
            <w:pPr>
              <w:rPr>
                <w:rFonts w:cs="Arial"/>
                <w:color w:val="FF0000"/>
                <w:sz w:val="21"/>
                <w:szCs w:val="21"/>
              </w:rPr>
            </w:pPr>
          </w:p>
        </w:tc>
        <w:tc>
          <w:tcPr>
            <w:tcW w:w="217" w:type="dxa"/>
          </w:tcPr>
          <w:p w14:paraId="4C8E815F" w14:textId="77777777" w:rsidR="002C0FD9" w:rsidRPr="00CA25CF" w:rsidRDefault="002C0FD9" w:rsidP="00CA25CF">
            <w:pPr>
              <w:rPr>
                <w:rFonts w:cs="Arial"/>
                <w:color w:val="FF0000"/>
                <w:sz w:val="21"/>
                <w:szCs w:val="21"/>
              </w:rPr>
            </w:pPr>
          </w:p>
        </w:tc>
        <w:tc>
          <w:tcPr>
            <w:tcW w:w="217" w:type="dxa"/>
          </w:tcPr>
          <w:p w14:paraId="1205F6E0" w14:textId="77777777" w:rsidR="002C0FD9" w:rsidRPr="00CA25CF" w:rsidRDefault="002C0FD9" w:rsidP="00CA25CF">
            <w:pPr>
              <w:rPr>
                <w:rFonts w:cs="Arial"/>
                <w:color w:val="FF0000"/>
                <w:sz w:val="21"/>
                <w:szCs w:val="21"/>
              </w:rPr>
            </w:pPr>
          </w:p>
        </w:tc>
        <w:tc>
          <w:tcPr>
            <w:tcW w:w="217" w:type="dxa"/>
          </w:tcPr>
          <w:p w14:paraId="09DCAF4B" w14:textId="77777777" w:rsidR="002C0FD9" w:rsidRPr="00CA25CF" w:rsidRDefault="002C0FD9" w:rsidP="00CA25CF">
            <w:pPr>
              <w:rPr>
                <w:rFonts w:cs="Arial"/>
                <w:color w:val="FF0000"/>
                <w:sz w:val="21"/>
                <w:szCs w:val="21"/>
              </w:rPr>
            </w:pPr>
          </w:p>
        </w:tc>
        <w:tc>
          <w:tcPr>
            <w:tcW w:w="217" w:type="dxa"/>
          </w:tcPr>
          <w:p w14:paraId="723D8165" w14:textId="77777777" w:rsidR="002C0FD9" w:rsidRPr="00CA25CF" w:rsidRDefault="002C0FD9" w:rsidP="00CA25CF">
            <w:pPr>
              <w:rPr>
                <w:rFonts w:cs="Arial"/>
                <w:color w:val="FF0000"/>
                <w:sz w:val="21"/>
                <w:szCs w:val="21"/>
              </w:rPr>
            </w:pPr>
          </w:p>
        </w:tc>
        <w:tc>
          <w:tcPr>
            <w:tcW w:w="217" w:type="dxa"/>
          </w:tcPr>
          <w:p w14:paraId="3C9A05E3" w14:textId="77777777" w:rsidR="002C0FD9" w:rsidRPr="00CA25CF" w:rsidRDefault="002C0FD9" w:rsidP="00CA25CF">
            <w:pPr>
              <w:rPr>
                <w:rFonts w:cs="Arial"/>
                <w:color w:val="FF0000"/>
                <w:sz w:val="21"/>
                <w:szCs w:val="21"/>
              </w:rPr>
            </w:pPr>
          </w:p>
        </w:tc>
        <w:tc>
          <w:tcPr>
            <w:tcW w:w="217" w:type="dxa"/>
          </w:tcPr>
          <w:p w14:paraId="771E4D13" w14:textId="61ECE294" w:rsidR="002C0FD9" w:rsidRPr="00CA25CF" w:rsidRDefault="002C0FD9" w:rsidP="00CA25CF">
            <w:pPr>
              <w:rPr>
                <w:rFonts w:cs="Arial"/>
                <w:color w:val="FF0000"/>
                <w:sz w:val="21"/>
                <w:szCs w:val="21"/>
              </w:rPr>
            </w:pPr>
          </w:p>
        </w:tc>
        <w:tc>
          <w:tcPr>
            <w:tcW w:w="217" w:type="dxa"/>
          </w:tcPr>
          <w:p w14:paraId="607FC703" w14:textId="77777777" w:rsidR="002C0FD9" w:rsidRPr="00CA25CF" w:rsidRDefault="002C0FD9" w:rsidP="00CA25CF">
            <w:pPr>
              <w:rPr>
                <w:rFonts w:cs="Arial"/>
                <w:color w:val="FF0000"/>
                <w:sz w:val="21"/>
                <w:szCs w:val="21"/>
              </w:rPr>
            </w:pPr>
          </w:p>
        </w:tc>
        <w:tc>
          <w:tcPr>
            <w:tcW w:w="217" w:type="dxa"/>
          </w:tcPr>
          <w:p w14:paraId="2102BAB3" w14:textId="77777777" w:rsidR="002C0FD9" w:rsidRPr="00CA25CF" w:rsidRDefault="002C0FD9" w:rsidP="00CA25CF">
            <w:pPr>
              <w:rPr>
                <w:rFonts w:cs="Arial"/>
                <w:color w:val="FF0000"/>
                <w:sz w:val="21"/>
                <w:szCs w:val="21"/>
              </w:rPr>
            </w:pPr>
          </w:p>
        </w:tc>
        <w:tc>
          <w:tcPr>
            <w:tcW w:w="217" w:type="dxa"/>
          </w:tcPr>
          <w:p w14:paraId="00C11B21" w14:textId="77777777" w:rsidR="002C0FD9" w:rsidRPr="00CA25CF" w:rsidRDefault="002C0FD9" w:rsidP="00CA25CF">
            <w:pPr>
              <w:rPr>
                <w:rFonts w:cs="Arial"/>
                <w:color w:val="FF0000"/>
                <w:sz w:val="21"/>
                <w:szCs w:val="21"/>
              </w:rPr>
            </w:pPr>
          </w:p>
        </w:tc>
        <w:tc>
          <w:tcPr>
            <w:tcW w:w="217" w:type="dxa"/>
          </w:tcPr>
          <w:p w14:paraId="0B3A7A03" w14:textId="77777777" w:rsidR="002C0FD9" w:rsidRPr="00CA25CF" w:rsidRDefault="002C0FD9" w:rsidP="00CA25CF">
            <w:pPr>
              <w:rPr>
                <w:rFonts w:cs="Arial"/>
                <w:color w:val="FF0000"/>
                <w:sz w:val="21"/>
                <w:szCs w:val="21"/>
              </w:rPr>
            </w:pPr>
          </w:p>
        </w:tc>
        <w:tc>
          <w:tcPr>
            <w:tcW w:w="217" w:type="dxa"/>
          </w:tcPr>
          <w:p w14:paraId="5D678155" w14:textId="77777777" w:rsidR="002C0FD9" w:rsidRPr="00CA25CF" w:rsidRDefault="002C0FD9" w:rsidP="00CA25CF">
            <w:pPr>
              <w:rPr>
                <w:rFonts w:cs="Arial"/>
                <w:color w:val="FF0000"/>
                <w:sz w:val="21"/>
                <w:szCs w:val="21"/>
              </w:rPr>
            </w:pPr>
          </w:p>
        </w:tc>
        <w:tc>
          <w:tcPr>
            <w:tcW w:w="217" w:type="dxa"/>
          </w:tcPr>
          <w:p w14:paraId="66D980B7" w14:textId="77777777" w:rsidR="002C0FD9" w:rsidRPr="00CA25CF" w:rsidRDefault="002C0FD9" w:rsidP="00CA25CF">
            <w:pPr>
              <w:rPr>
                <w:rFonts w:cs="Arial"/>
                <w:color w:val="FF0000"/>
                <w:sz w:val="21"/>
                <w:szCs w:val="21"/>
              </w:rPr>
            </w:pPr>
          </w:p>
        </w:tc>
        <w:tc>
          <w:tcPr>
            <w:tcW w:w="217" w:type="dxa"/>
          </w:tcPr>
          <w:p w14:paraId="154E3E26" w14:textId="77777777" w:rsidR="002C0FD9" w:rsidRPr="00CA25CF" w:rsidRDefault="002C0FD9" w:rsidP="00CA25CF">
            <w:pPr>
              <w:rPr>
                <w:rFonts w:cs="Arial"/>
                <w:color w:val="FF0000"/>
                <w:sz w:val="21"/>
                <w:szCs w:val="21"/>
              </w:rPr>
            </w:pPr>
          </w:p>
        </w:tc>
        <w:tc>
          <w:tcPr>
            <w:tcW w:w="217" w:type="dxa"/>
          </w:tcPr>
          <w:p w14:paraId="75B2F132" w14:textId="77777777" w:rsidR="002C0FD9" w:rsidRPr="00CA25CF" w:rsidRDefault="002C0FD9" w:rsidP="00CA25CF">
            <w:pPr>
              <w:rPr>
                <w:rFonts w:cs="Arial"/>
                <w:color w:val="FF0000"/>
                <w:sz w:val="21"/>
                <w:szCs w:val="21"/>
              </w:rPr>
            </w:pPr>
          </w:p>
        </w:tc>
        <w:tc>
          <w:tcPr>
            <w:tcW w:w="217" w:type="dxa"/>
          </w:tcPr>
          <w:p w14:paraId="6CDC109C" w14:textId="77777777" w:rsidR="002C0FD9" w:rsidRPr="00CA25CF" w:rsidRDefault="002C0FD9" w:rsidP="00CA25CF">
            <w:pPr>
              <w:rPr>
                <w:rFonts w:cs="Arial"/>
                <w:color w:val="FF0000"/>
                <w:sz w:val="21"/>
                <w:szCs w:val="21"/>
              </w:rPr>
            </w:pPr>
          </w:p>
        </w:tc>
        <w:tc>
          <w:tcPr>
            <w:tcW w:w="217" w:type="dxa"/>
          </w:tcPr>
          <w:p w14:paraId="51761DD7" w14:textId="77777777" w:rsidR="002C0FD9" w:rsidRPr="00CA25CF" w:rsidRDefault="002C0FD9" w:rsidP="00CA25CF">
            <w:pPr>
              <w:rPr>
                <w:rFonts w:cs="Arial"/>
                <w:color w:val="FF0000"/>
                <w:sz w:val="21"/>
                <w:szCs w:val="21"/>
              </w:rPr>
            </w:pPr>
          </w:p>
        </w:tc>
        <w:tc>
          <w:tcPr>
            <w:tcW w:w="217" w:type="dxa"/>
          </w:tcPr>
          <w:p w14:paraId="3B63B3F9" w14:textId="77777777" w:rsidR="002C0FD9" w:rsidRPr="00CA25CF" w:rsidRDefault="002C0FD9" w:rsidP="00CA25CF">
            <w:pPr>
              <w:rPr>
                <w:rFonts w:cs="Arial"/>
                <w:color w:val="FF0000"/>
                <w:sz w:val="21"/>
                <w:szCs w:val="21"/>
              </w:rPr>
            </w:pPr>
          </w:p>
        </w:tc>
        <w:tc>
          <w:tcPr>
            <w:tcW w:w="217" w:type="dxa"/>
          </w:tcPr>
          <w:p w14:paraId="7AFC1C63" w14:textId="77777777" w:rsidR="002C0FD9" w:rsidRPr="00CA25CF" w:rsidRDefault="002C0FD9" w:rsidP="00CA25CF">
            <w:pPr>
              <w:rPr>
                <w:rFonts w:cs="Arial"/>
                <w:color w:val="FF0000"/>
                <w:sz w:val="21"/>
                <w:szCs w:val="21"/>
              </w:rPr>
            </w:pPr>
          </w:p>
        </w:tc>
        <w:tc>
          <w:tcPr>
            <w:tcW w:w="217" w:type="dxa"/>
          </w:tcPr>
          <w:p w14:paraId="34DA065D" w14:textId="77777777" w:rsidR="002C0FD9" w:rsidRPr="00CA25CF" w:rsidRDefault="002C0FD9" w:rsidP="00CA25CF">
            <w:pPr>
              <w:rPr>
                <w:rFonts w:cs="Arial"/>
                <w:color w:val="FF0000"/>
                <w:sz w:val="21"/>
                <w:szCs w:val="21"/>
              </w:rPr>
            </w:pPr>
          </w:p>
        </w:tc>
        <w:tc>
          <w:tcPr>
            <w:tcW w:w="217" w:type="dxa"/>
          </w:tcPr>
          <w:p w14:paraId="2B32F621" w14:textId="77777777" w:rsidR="002C0FD9" w:rsidRPr="00CA25CF" w:rsidRDefault="002C0FD9" w:rsidP="00CA25CF">
            <w:pPr>
              <w:rPr>
                <w:rFonts w:cs="Arial"/>
                <w:color w:val="FF0000"/>
                <w:sz w:val="21"/>
                <w:szCs w:val="21"/>
              </w:rPr>
            </w:pPr>
          </w:p>
        </w:tc>
        <w:tc>
          <w:tcPr>
            <w:tcW w:w="217" w:type="dxa"/>
          </w:tcPr>
          <w:p w14:paraId="5D190962" w14:textId="77777777" w:rsidR="002C0FD9" w:rsidRPr="00CA25CF" w:rsidRDefault="002C0FD9" w:rsidP="00CA25CF">
            <w:pPr>
              <w:rPr>
                <w:rFonts w:cs="Arial"/>
                <w:color w:val="FF0000"/>
                <w:sz w:val="21"/>
                <w:szCs w:val="21"/>
              </w:rPr>
            </w:pPr>
          </w:p>
        </w:tc>
        <w:tc>
          <w:tcPr>
            <w:tcW w:w="217" w:type="dxa"/>
          </w:tcPr>
          <w:p w14:paraId="2489D3B0" w14:textId="77777777" w:rsidR="002C0FD9" w:rsidRPr="00CA25CF" w:rsidRDefault="002C0FD9" w:rsidP="00CA25CF">
            <w:pPr>
              <w:rPr>
                <w:rFonts w:cs="Arial"/>
                <w:color w:val="FF0000"/>
                <w:sz w:val="21"/>
                <w:szCs w:val="21"/>
              </w:rPr>
            </w:pPr>
          </w:p>
        </w:tc>
        <w:tc>
          <w:tcPr>
            <w:tcW w:w="217" w:type="dxa"/>
          </w:tcPr>
          <w:p w14:paraId="568ACDAB" w14:textId="77777777" w:rsidR="002C0FD9" w:rsidRPr="00CA25CF" w:rsidRDefault="002C0FD9" w:rsidP="00CA25CF">
            <w:pPr>
              <w:rPr>
                <w:rFonts w:cs="Arial"/>
                <w:color w:val="FF0000"/>
                <w:sz w:val="21"/>
                <w:szCs w:val="21"/>
              </w:rPr>
            </w:pPr>
          </w:p>
        </w:tc>
        <w:tc>
          <w:tcPr>
            <w:tcW w:w="217" w:type="dxa"/>
          </w:tcPr>
          <w:p w14:paraId="260104F2" w14:textId="77777777" w:rsidR="002C0FD9" w:rsidRPr="00CA25CF" w:rsidRDefault="002C0FD9" w:rsidP="00CA25CF">
            <w:pPr>
              <w:rPr>
                <w:rFonts w:cs="Arial"/>
                <w:color w:val="FF0000"/>
                <w:sz w:val="21"/>
                <w:szCs w:val="21"/>
              </w:rPr>
            </w:pPr>
          </w:p>
        </w:tc>
        <w:tc>
          <w:tcPr>
            <w:tcW w:w="217" w:type="dxa"/>
          </w:tcPr>
          <w:p w14:paraId="10277A01" w14:textId="77777777" w:rsidR="002C0FD9" w:rsidRPr="00CA25CF" w:rsidRDefault="002C0FD9" w:rsidP="00CA25CF">
            <w:pPr>
              <w:rPr>
                <w:rFonts w:cs="Arial"/>
                <w:color w:val="FF0000"/>
                <w:sz w:val="21"/>
                <w:szCs w:val="21"/>
              </w:rPr>
            </w:pPr>
          </w:p>
        </w:tc>
        <w:tc>
          <w:tcPr>
            <w:tcW w:w="217" w:type="dxa"/>
          </w:tcPr>
          <w:p w14:paraId="558033C8" w14:textId="77777777" w:rsidR="002C0FD9" w:rsidRPr="00CA25CF" w:rsidRDefault="002C0FD9" w:rsidP="00CA25CF">
            <w:pPr>
              <w:rPr>
                <w:rFonts w:cs="Arial"/>
                <w:color w:val="FF0000"/>
                <w:sz w:val="21"/>
                <w:szCs w:val="21"/>
              </w:rPr>
            </w:pPr>
          </w:p>
        </w:tc>
        <w:tc>
          <w:tcPr>
            <w:tcW w:w="217" w:type="dxa"/>
          </w:tcPr>
          <w:p w14:paraId="324F5B12" w14:textId="77777777" w:rsidR="002C0FD9" w:rsidRPr="00CA25CF" w:rsidRDefault="002C0FD9" w:rsidP="00CA25CF">
            <w:pPr>
              <w:rPr>
                <w:rFonts w:cs="Arial"/>
                <w:color w:val="FF0000"/>
                <w:sz w:val="21"/>
                <w:szCs w:val="21"/>
              </w:rPr>
            </w:pPr>
          </w:p>
        </w:tc>
        <w:tc>
          <w:tcPr>
            <w:tcW w:w="217" w:type="dxa"/>
          </w:tcPr>
          <w:p w14:paraId="29658C18" w14:textId="77777777" w:rsidR="002C0FD9" w:rsidRPr="00CA25CF" w:rsidRDefault="002C0FD9" w:rsidP="00CA25CF">
            <w:pPr>
              <w:rPr>
                <w:rFonts w:cs="Arial"/>
                <w:color w:val="FF0000"/>
                <w:sz w:val="21"/>
                <w:szCs w:val="21"/>
              </w:rPr>
            </w:pPr>
          </w:p>
        </w:tc>
        <w:tc>
          <w:tcPr>
            <w:tcW w:w="217" w:type="dxa"/>
          </w:tcPr>
          <w:p w14:paraId="37BC444B" w14:textId="77777777" w:rsidR="002C0FD9" w:rsidRPr="00CA25CF" w:rsidRDefault="002C0FD9" w:rsidP="00CA25CF">
            <w:pPr>
              <w:rPr>
                <w:rFonts w:cs="Arial"/>
                <w:color w:val="FF0000"/>
                <w:sz w:val="21"/>
                <w:szCs w:val="21"/>
              </w:rPr>
            </w:pPr>
          </w:p>
        </w:tc>
        <w:tc>
          <w:tcPr>
            <w:tcW w:w="217" w:type="dxa"/>
          </w:tcPr>
          <w:p w14:paraId="4C94C757" w14:textId="77777777" w:rsidR="002C0FD9" w:rsidRPr="00CA25CF" w:rsidRDefault="002C0FD9" w:rsidP="00CA25CF">
            <w:pPr>
              <w:rPr>
                <w:rFonts w:cs="Arial"/>
                <w:color w:val="FF0000"/>
                <w:sz w:val="21"/>
                <w:szCs w:val="21"/>
              </w:rPr>
            </w:pPr>
          </w:p>
        </w:tc>
        <w:tc>
          <w:tcPr>
            <w:tcW w:w="217" w:type="dxa"/>
          </w:tcPr>
          <w:p w14:paraId="02B02322" w14:textId="77777777" w:rsidR="002C0FD9" w:rsidRPr="00CA25CF" w:rsidRDefault="002C0FD9" w:rsidP="00CA25CF">
            <w:pPr>
              <w:rPr>
                <w:rFonts w:cs="Arial"/>
                <w:color w:val="FF0000"/>
                <w:sz w:val="21"/>
                <w:szCs w:val="21"/>
              </w:rPr>
            </w:pPr>
          </w:p>
        </w:tc>
        <w:tc>
          <w:tcPr>
            <w:tcW w:w="217" w:type="dxa"/>
          </w:tcPr>
          <w:p w14:paraId="3A40909D" w14:textId="77777777" w:rsidR="002C0FD9" w:rsidRPr="00CA25CF" w:rsidRDefault="002C0FD9" w:rsidP="00CA25CF">
            <w:pPr>
              <w:rPr>
                <w:rFonts w:cs="Arial"/>
                <w:color w:val="FF0000"/>
                <w:sz w:val="21"/>
                <w:szCs w:val="21"/>
              </w:rPr>
            </w:pPr>
          </w:p>
        </w:tc>
        <w:tc>
          <w:tcPr>
            <w:tcW w:w="217" w:type="dxa"/>
          </w:tcPr>
          <w:p w14:paraId="59F8B8E5" w14:textId="77777777" w:rsidR="002C0FD9" w:rsidRPr="00CA25CF" w:rsidRDefault="002C0FD9" w:rsidP="00CA25CF">
            <w:pPr>
              <w:rPr>
                <w:rFonts w:cs="Arial"/>
                <w:color w:val="FF0000"/>
                <w:sz w:val="21"/>
                <w:szCs w:val="21"/>
              </w:rPr>
            </w:pPr>
          </w:p>
        </w:tc>
      </w:tr>
      <w:tr w:rsidR="002C0FD9" w:rsidRPr="00A16219" w14:paraId="17B2B7EF" w14:textId="4A2E321B" w:rsidTr="002C0FD9">
        <w:trPr>
          <w:trHeight w:val="635"/>
        </w:trPr>
        <w:tc>
          <w:tcPr>
            <w:tcW w:w="515" w:type="dxa"/>
          </w:tcPr>
          <w:p w14:paraId="1F3764EC" w14:textId="77777777" w:rsidR="002C0FD9" w:rsidRPr="00CA25CF" w:rsidRDefault="002C0FD9" w:rsidP="00CA25CF">
            <w:pPr>
              <w:rPr>
                <w:rFonts w:cs="Arial"/>
                <w:color w:val="FF0000"/>
                <w:sz w:val="21"/>
                <w:szCs w:val="21"/>
              </w:rPr>
            </w:pPr>
          </w:p>
        </w:tc>
        <w:tc>
          <w:tcPr>
            <w:tcW w:w="217" w:type="dxa"/>
          </w:tcPr>
          <w:p w14:paraId="4FC6AE7D" w14:textId="77777777" w:rsidR="002C0FD9" w:rsidRPr="00CA25CF" w:rsidRDefault="002C0FD9" w:rsidP="00CA25CF">
            <w:pPr>
              <w:rPr>
                <w:rFonts w:cs="Arial"/>
                <w:color w:val="FF0000"/>
                <w:sz w:val="21"/>
                <w:szCs w:val="21"/>
              </w:rPr>
            </w:pPr>
          </w:p>
        </w:tc>
        <w:tc>
          <w:tcPr>
            <w:tcW w:w="217" w:type="dxa"/>
          </w:tcPr>
          <w:p w14:paraId="2B277BB1" w14:textId="07C94773" w:rsidR="002C0FD9" w:rsidRPr="00CA25CF" w:rsidRDefault="002C0FD9" w:rsidP="00CA25CF">
            <w:pPr>
              <w:rPr>
                <w:rFonts w:cs="Arial"/>
                <w:color w:val="FF0000"/>
                <w:sz w:val="21"/>
                <w:szCs w:val="21"/>
              </w:rPr>
            </w:pPr>
          </w:p>
        </w:tc>
        <w:tc>
          <w:tcPr>
            <w:tcW w:w="217" w:type="dxa"/>
          </w:tcPr>
          <w:p w14:paraId="69F90E4A" w14:textId="77777777" w:rsidR="002C0FD9" w:rsidRPr="00CA25CF" w:rsidRDefault="002C0FD9" w:rsidP="00CA25CF">
            <w:pPr>
              <w:rPr>
                <w:rFonts w:cs="Arial"/>
                <w:color w:val="FF0000"/>
                <w:sz w:val="21"/>
                <w:szCs w:val="21"/>
              </w:rPr>
            </w:pPr>
          </w:p>
        </w:tc>
        <w:tc>
          <w:tcPr>
            <w:tcW w:w="217" w:type="dxa"/>
          </w:tcPr>
          <w:p w14:paraId="24C0F37E" w14:textId="49194857" w:rsidR="002C0FD9" w:rsidRPr="00CA25CF" w:rsidRDefault="002C0FD9" w:rsidP="00CA25CF">
            <w:pPr>
              <w:rPr>
                <w:rFonts w:cs="Arial"/>
                <w:color w:val="FF0000"/>
                <w:sz w:val="21"/>
                <w:szCs w:val="21"/>
              </w:rPr>
            </w:pPr>
          </w:p>
        </w:tc>
        <w:tc>
          <w:tcPr>
            <w:tcW w:w="217" w:type="dxa"/>
          </w:tcPr>
          <w:p w14:paraId="1949F979" w14:textId="77777777" w:rsidR="002C0FD9" w:rsidRPr="00CA25CF" w:rsidRDefault="002C0FD9" w:rsidP="00CA25CF">
            <w:pPr>
              <w:rPr>
                <w:rFonts w:cs="Arial"/>
                <w:color w:val="FF0000"/>
                <w:sz w:val="21"/>
                <w:szCs w:val="21"/>
              </w:rPr>
            </w:pPr>
          </w:p>
        </w:tc>
        <w:tc>
          <w:tcPr>
            <w:tcW w:w="217" w:type="dxa"/>
          </w:tcPr>
          <w:p w14:paraId="45F4627C" w14:textId="77777777" w:rsidR="002C0FD9" w:rsidRPr="00CA25CF" w:rsidRDefault="002C0FD9" w:rsidP="00CA25CF">
            <w:pPr>
              <w:rPr>
                <w:rFonts w:cs="Arial"/>
                <w:color w:val="FF0000"/>
                <w:sz w:val="21"/>
                <w:szCs w:val="21"/>
              </w:rPr>
            </w:pPr>
          </w:p>
        </w:tc>
        <w:tc>
          <w:tcPr>
            <w:tcW w:w="217" w:type="dxa"/>
          </w:tcPr>
          <w:p w14:paraId="4B730C7B" w14:textId="77777777" w:rsidR="002C0FD9" w:rsidRPr="00CA25CF" w:rsidRDefault="002C0FD9" w:rsidP="00CA25CF">
            <w:pPr>
              <w:rPr>
                <w:rFonts w:cs="Arial"/>
                <w:color w:val="FF0000"/>
                <w:sz w:val="21"/>
                <w:szCs w:val="21"/>
              </w:rPr>
            </w:pPr>
          </w:p>
        </w:tc>
        <w:tc>
          <w:tcPr>
            <w:tcW w:w="217" w:type="dxa"/>
          </w:tcPr>
          <w:p w14:paraId="0CB2F975" w14:textId="77777777" w:rsidR="002C0FD9" w:rsidRPr="00CA25CF" w:rsidRDefault="002C0FD9" w:rsidP="00CA25CF">
            <w:pPr>
              <w:rPr>
                <w:rFonts w:cs="Arial"/>
                <w:color w:val="FF0000"/>
                <w:sz w:val="21"/>
                <w:szCs w:val="21"/>
              </w:rPr>
            </w:pPr>
          </w:p>
        </w:tc>
        <w:tc>
          <w:tcPr>
            <w:tcW w:w="217" w:type="dxa"/>
          </w:tcPr>
          <w:p w14:paraId="4918A7D7" w14:textId="77777777" w:rsidR="002C0FD9" w:rsidRPr="00CA25CF" w:rsidRDefault="002C0FD9" w:rsidP="00CA25CF">
            <w:pPr>
              <w:rPr>
                <w:rFonts w:cs="Arial"/>
                <w:color w:val="FF0000"/>
                <w:sz w:val="21"/>
                <w:szCs w:val="21"/>
              </w:rPr>
            </w:pPr>
          </w:p>
        </w:tc>
        <w:tc>
          <w:tcPr>
            <w:tcW w:w="217" w:type="dxa"/>
          </w:tcPr>
          <w:p w14:paraId="51EBAEA2" w14:textId="77777777" w:rsidR="002C0FD9" w:rsidRPr="00CA25CF" w:rsidRDefault="002C0FD9" w:rsidP="00CA25CF">
            <w:pPr>
              <w:rPr>
                <w:rFonts w:cs="Arial"/>
                <w:color w:val="FF0000"/>
                <w:sz w:val="21"/>
                <w:szCs w:val="21"/>
              </w:rPr>
            </w:pPr>
          </w:p>
        </w:tc>
        <w:tc>
          <w:tcPr>
            <w:tcW w:w="217" w:type="dxa"/>
          </w:tcPr>
          <w:p w14:paraId="59975A49" w14:textId="77777777" w:rsidR="002C0FD9" w:rsidRPr="00CA25CF" w:rsidRDefault="002C0FD9" w:rsidP="00CA25CF">
            <w:pPr>
              <w:rPr>
                <w:rFonts w:cs="Arial"/>
                <w:color w:val="FF0000"/>
                <w:sz w:val="21"/>
                <w:szCs w:val="21"/>
              </w:rPr>
            </w:pPr>
          </w:p>
        </w:tc>
        <w:tc>
          <w:tcPr>
            <w:tcW w:w="217" w:type="dxa"/>
          </w:tcPr>
          <w:p w14:paraId="1E6F8FC4" w14:textId="77777777" w:rsidR="002C0FD9" w:rsidRPr="00CA25CF" w:rsidRDefault="002C0FD9" w:rsidP="00CA25CF">
            <w:pPr>
              <w:rPr>
                <w:rFonts w:cs="Arial"/>
                <w:color w:val="FF0000"/>
                <w:sz w:val="21"/>
                <w:szCs w:val="21"/>
              </w:rPr>
            </w:pPr>
          </w:p>
        </w:tc>
        <w:tc>
          <w:tcPr>
            <w:tcW w:w="217" w:type="dxa"/>
          </w:tcPr>
          <w:p w14:paraId="38EB2599" w14:textId="77777777" w:rsidR="002C0FD9" w:rsidRPr="00CA25CF" w:rsidRDefault="002C0FD9" w:rsidP="00CA25CF">
            <w:pPr>
              <w:rPr>
                <w:rFonts w:cs="Arial"/>
                <w:color w:val="FF0000"/>
                <w:sz w:val="21"/>
                <w:szCs w:val="21"/>
              </w:rPr>
            </w:pPr>
          </w:p>
        </w:tc>
        <w:tc>
          <w:tcPr>
            <w:tcW w:w="217" w:type="dxa"/>
          </w:tcPr>
          <w:p w14:paraId="300E3ECB" w14:textId="77777777" w:rsidR="002C0FD9" w:rsidRPr="00CA25CF" w:rsidRDefault="002C0FD9" w:rsidP="00CA25CF">
            <w:pPr>
              <w:rPr>
                <w:rFonts w:cs="Arial"/>
                <w:color w:val="FF0000"/>
                <w:sz w:val="21"/>
                <w:szCs w:val="21"/>
              </w:rPr>
            </w:pPr>
          </w:p>
        </w:tc>
        <w:tc>
          <w:tcPr>
            <w:tcW w:w="217" w:type="dxa"/>
          </w:tcPr>
          <w:p w14:paraId="5C728A37" w14:textId="70F89D2F" w:rsidR="002C0FD9" w:rsidRPr="00CA25CF" w:rsidRDefault="002C0FD9" w:rsidP="00CA25CF">
            <w:pPr>
              <w:rPr>
                <w:rFonts w:cs="Arial"/>
                <w:color w:val="FF0000"/>
                <w:sz w:val="21"/>
                <w:szCs w:val="21"/>
              </w:rPr>
            </w:pPr>
          </w:p>
        </w:tc>
        <w:tc>
          <w:tcPr>
            <w:tcW w:w="217" w:type="dxa"/>
          </w:tcPr>
          <w:p w14:paraId="312D535F" w14:textId="77777777" w:rsidR="002C0FD9" w:rsidRPr="00CA25CF" w:rsidRDefault="002C0FD9" w:rsidP="00CA25CF">
            <w:pPr>
              <w:rPr>
                <w:rFonts w:cs="Arial"/>
                <w:color w:val="FF0000"/>
                <w:sz w:val="21"/>
                <w:szCs w:val="21"/>
              </w:rPr>
            </w:pPr>
          </w:p>
        </w:tc>
        <w:tc>
          <w:tcPr>
            <w:tcW w:w="217" w:type="dxa"/>
          </w:tcPr>
          <w:p w14:paraId="32E432DD" w14:textId="77777777" w:rsidR="002C0FD9" w:rsidRPr="00CA25CF" w:rsidRDefault="002C0FD9" w:rsidP="00CA25CF">
            <w:pPr>
              <w:rPr>
                <w:rFonts w:cs="Arial"/>
                <w:color w:val="FF0000"/>
                <w:sz w:val="21"/>
                <w:szCs w:val="21"/>
              </w:rPr>
            </w:pPr>
          </w:p>
        </w:tc>
        <w:tc>
          <w:tcPr>
            <w:tcW w:w="217" w:type="dxa"/>
          </w:tcPr>
          <w:p w14:paraId="77800978" w14:textId="77777777" w:rsidR="002C0FD9" w:rsidRPr="00CA25CF" w:rsidRDefault="002C0FD9" w:rsidP="00CA25CF">
            <w:pPr>
              <w:rPr>
                <w:rFonts w:cs="Arial"/>
                <w:color w:val="FF0000"/>
                <w:sz w:val="21"/>
                <w:szCs w:val="21"/>
              </w:rPr>
            </w:pPr>
          </w:p>
        </w:tc>
        <w:tc>
          <w:tcPr>
            <w:tcW w:w="217" w:type="dxa"/>
          </w:tcPr>
          <w:p w14:paraId="05F841D9" w14:textId="77777777" w:rsidR="002C0FD9" w:rsidRPr="00CA25CF" w:rsidRDefault="002C0FD9" w:rsidP="00CA25CF">
            <w:pPr>
              <w:rPr>
                <w:rFonts w:cs="Arial"/>
                <w:color w:val="FF0000"/>
                <w:sz w:val="21"/>
                <w:szCs w:val="21"/>
              </w:rPr>
            </w:pPr>
          </w:p>
        </w:tc>
        <w:tc>
          <w:tcPr>
            <w:tcW w:w="217" w:type="dxa"/>
          </w:tcPr>
          <w:p w14:paraId="2002E20C" w14:textId="77777777" w:rsidR="002C0FD9" w:rsidRPr="00CA25CF" w:rsidRDefault="002C0FD9" w:rsidP="00CA25CF">
            <w:pPr>
              <w:rPr>
                <w:rFonts w:cs="Arial"/>
                <w:color w:val="FF0000"/>
                <w:sz w:val="21"/>
                <w:szCs w:val="21"/>
              </w:rPr>
            </w:pPr>
          </w:p>
        </w:tc>
        <w:tc>
          <w:tcPr>
            <w:tcW w:w="217" w:type="dxa"/>
          </w:tcPr>
          <w:p w14:paraId="29A6B363" w14:textId="77777777" w:rsidR="002C0FD9" w:rsidRPr="00CA25CF" w:rsidRDefault="002C0FD9" w:rsidP="00CA25CF">
            <w:pPr>
              <w:rPr>
                <w:rFonts w:cs="Arial"/>
                <w:color w:val="FF0000"/>
                <w:sz w:val="21"/>
                <w:szCs w:val="21"/>
              </w:rPr>
            </w:pPr>
          </w:p>
        </w:tc>
        <w:tc>
          <w:tcPr>
            <w:tcW w:w="217" w:type="dxa"/>
          </w:tcPr>
          <w:p w14:paraId="6945084D" w14:textId="77777777" w:rsidR="002C0FD9" w:rsidRPr="00CA25CF" w:rsidRDefault="002C0FD9" w:rsidP="00CA25CF">
            <w:pPr>
              <w:rPr>
                <w:rFonts w:cs="Arial"/>
                <w:color w:val="FF0000"/>
                <w:sz w:val="21"/>
                <w:szCs w:val="21"/>
              </w:rPr>
            </w:pPr>
          </w:p>
        </w:tc>
        <w:tc>
          <w:tcPr>
            <w:tcW w:w="217" w:type="dxa"/>
          </w:tcPr>
          <w:p w14:paraId="185C71A7" w14:textId="77777777" w:rsidR="002C0FD9" w:rsidRPr="00CA25CF" w:rsidRDefault="002C0FD9" w:rsidP="00CA25CF">
            <w:pPr>
              <w:rPr>
                <w:rFonts w:cs="Arial"/>
                <w:color w:val="FF0000"/>
                <w:sz w:val="21"/>
                <w:szCs w:val="21"/>
              </w:rPr>
            </w:pPr>
          </w:p>
        </w:tc>
        <w:tc>
          <w:tcPr>
            <w:tcW w:w="217" w:type="dxa"/>
          </w:tcPr>
          <w:p w14:paraId="2D80DAED" w14:textId="77777777" w:rsidR="002C0FD9" w:rsidRPr="00CA25CF" w:rsidRDefault="002C0FD9" w:rsidP="00CA25CF">
            <w:pPr>
              <w:rPr>
                <w:rFonts w:cs="Arial"/>
                <w:color w:val="FF0000"/>
                <w:sz w:val="21"/>
                <w:szCs w:val="21"/>
              </w:rPr>
            </w:pPr>
          </w:p>
        </w:tc>
        <w:tc>
          <w:tcPr>
            <w:tcW w:w="217" w:type="dxa"/>
          </w:tcPr>
          <w:p w14:paraId="435B85F9" w14:textId="77777777" w:rsidR="002C0FD9" w:rsidRPr="00CA25CF" w:rsidRDefault="002C0FD9" w:rsidP="00CA25CF">
            <w:pPr>
              <w:rPr>
                <w:rFonts w:cs="Arial"/>
                <w:color w:val="FF0000"/>
                <w:sz w:val="21"/>
                <w:szCs w:val="21"/>
              </w:rPr>
            </w:pPr>
          </w:p>
        </w:tc>
        <w:tc>
          <w:tcPr>
            <w:tcW w:w="217" w:type="dxa"/>
          </w:tcPr>
          <w:p w14:paraId="292F6D10" w14:textId="77777777" w:rsidR="002C0FD9" w:rsidRPr="00CA25CF" w:rsidRDefault="002C0FD9" w:rsidP="00CA25CF">
            <w:pPr>
              <w:rPr>
                <w:rFonts w:cs="Arial"/>
                <w:color w:val="FF0000"/>
                <w:sz w:val="21"/>
                <w:szCs w:val="21"/>
              </w:rPr>
            </w:pPr>
          </w:p>
        </w:tc>
        <w:tc>
          <w:tcPr>
            <w:tcW w:w="217" w:type="dxa"/>
          </w:tcPr>
          <w:p w14:paraId="1B77BCDB" w14:textId="77777777" w:rsidR="002C0FD9" w:rsidRPr="00CA25CF" w:rsidRDefault="002C0FD9" w:rsidP="00CA25CF">
            <w:pPr>
              <w:rPr>
                <w:rFonts w:cs="Arial"/>
                <w:color w:val="FF0000"/>
                <w:sz w:val="21"/>
                <w:szCs w:val="21"/>
              </w:rPr>
            </w:pPr>
          </w:p>
        </w:tc>
        <w:tc>
          <w:tcPr>
            <w:tcW w:w="217" w:type="dxa"/>
          </w:tcPr>
          <w:p w14:paraId="5B94E051" w14:textId="77777777" w:rsidR="002C0FD9" w:rsidRPr="00CA25CF" w:rsidRDefault="002C0FD9" w:rsidP="00CA25CF">
            <w:pPr>
              <w:rPr>
                <w:rFonts w:cs="Arial"/>
                <w:color w:val="FF0000"/>
                <w:sz w:val="21"/>
                <w:szCs w:val="21"/>
              </w:rPr>
            </w:pPr>
          </w:p>
        </w:tc>
        <w:tc>
          <w:tcPr>
            <w:tcW w:w="217" w:type="dxa"/>
          </w:tcPr>
          <w:p w14:paraId="796E7D8E" w14:textId="77777777" w:rsidR="002C0FD9" w:rsidRPr="00CA25CF" w:rsidRDefault="002C0FD9" w:rsidP="00CA25CF">
            <w:pPr>
              <w:rPr>
                <w:rFonts w:cs="Arial"/>
                <w:color w:val="FF0000"/>
                <w:sz w:val="21"/>
                <w:szCs w:val="21"/>
              </w:rPr>
            </w:pPr>
          </w:p>
        </w:tc>
        <w:tc>
          <w:tcPr>
            <w:tcW w:w="217" w:type="dxa"/>
          </w:tcPr>
          <w:p w14:paraId="1ED3B3A3" w14:textId="77777777" w:rsidR="002C0FD9" w:rsidRPr="00CA25CF" w:rsidRDefault="002C0FD9" w:rsidP="00CA25CF">
            <w:pPr>
              <w:rPr>
                <w:rFonts w:cs="Arial"/>
                <w:color w:val="FF0000"/>
                <w:sz w:val="21"/>
                <w:szCs w:val="21"/>
              </w:rPr>
            </w:pPr>
          </w:p>
        </w:tc>
        <w:tc>
          <w:tcPr>
            <w:tcW w:w="217" w:type="dxa"/>
          </w:tcPr>
          <w:p w14:paraId="3A9F4237" w14:textId="77777777" w:rsidR="002C0FD9" w:rsidRPr="00CA25CF" w:rsidRDefault="002C0FD9" w:rsidP="00CA25CF">
            <w:pPr>
              <w:rPr>
                <w:rFonts w:cs="Arial"/>
                <w:color w:val="FF0000"/>
                <w:sz w:val="21"/>
                <w:szCs w:val="21"/>
              </w:rPr>
            </w:pPr>
          </w:p>
        </w:tc>
        <w:tc>
          <w:tcPr>
            <w:tcW w:w="217" w:type="dxa"/>
          </w:tcPr>
          <w:p w14:paraId="0ABC1532" w14:textId="77777777" w:rsidR="002C0FD9" w:rsidRPr="00CA25CF" w:rsidRDefault="002C0FD9" w:rsidP="00CA25CF">
            <w:pPr>
              <w:rPr>
                <w:rFonts w:cs="Arial"/>
                <w:color w:val="FF0000"/>
                <w:sz w:val="21"/>
                <w:szCs w:val="21"/>
              </w:rPr>
            </w:pPr>
          </w:p>
        </w:tc>
        <w:tc>
          <w:tcPr>
            <w:tcW w:w="217" w:type="dxa"/>
          </w:tcPr>
          <w:p w14:paraId="6C85D124" w14:textId="77777777" w:rsidR="002C0FD9" w:rsidRPr="00CA25CF" w:rsidRDefault="002C0FD9" w:rsidP="00CA25CF">
            <w:pPr>
              <w:rPr>
                <w:rFonts w:cs="Arial"/>
                <w:color w:val="FF0000"/>
                <w:sz w:val="21"/>
                <w:szCs w:val="21"/>
              </w:rPr>
            </w:pPr>
          </w:p>
        </w:tc>
        <w:tc>
          <w:tcPr>
            <w:tcW w:w="217" w:type="dxa"/>
          </w:tcPr>
          <w:p w14:paraId="64B531D6" w14:textId="77777777" w:rsidR="002C0FD9" w:rsidRPr="00CA25CF" w:rsidRDefault="002C0FD9" w:rsidP="00CA25CF">
            <w:pPr>
              <w:rPr>
                <w:rFonts w:cs="Arial"/>
                <w:color w:val="FF0000"/>
                <w:sz w:val="21"/>
                <w:szCs w:val="21"/>
              </w:rPr>
            </w:pPr>
          </w:p>
        </w:tc>
        <w:tc>
          <w:tcPr>
            <w:tcW w:w="217" w:type="dxa"/>
          </w:tcPr>
          <w:p w14:paraId="1645BDD4" w14:textId="77777777" w:rsidR="002C0FD9" w:rsidRPr="00CA25CF" w:rsidRDefault="002C0FD9" w:rsidP="00CA25CF">
            <w:pPr>
              <w:rPr>
                <w:rFonts w:cs="Arial"/>
                <w:color w:val="FF0000"/>
                <w:sz w:val="21"/>
                <w:szCs w:val="21"/>
              </w:rPr>
            </w:pPr>
          </w:p>
        </w:tc>
        <w:tc>
          <w:tcPr>
            <w:tcW w:w="217" w:type="dxa"/>
          </w:tcPr>
          <w:p w14:paraId="0C9034C0" w14:textId="77777777" w:rsidR="002C0FD9" w:rsidRPr="00CA25CF" w:rsidRDefault="002C0FD9" w:rsidP="00CA25CF">
            <w:pPr>
              <w:rPr>
                <w:rFonts w:cs="Arial"/>
                <w:color w:val="FF0000"/>
                <w:sz w:val="21"/>
                <w:szCs w:val="21"/>
              </w:rPr>
            </w:pPr>
          </w:p>
        </w:tc>
        <w:tc>
          <w:tcPr>
            <w:tcW w:w="217" w:type="dxa"/>
          </w:tcPr>
          <w:p w14:paraId="13446F36" w14:textId="77777777" w:rsidR="002C0FD9" w:rsidRPr="00CA25CF" w:rsidRDefault="002C0FD9" w:rsidP="00CA25CF">
            <w:pPr>
              <w:rPr>
                <w:rFonts w:cs="Arial"/>
                <w:color w:val="FF0000"/>
                <w:sz w:val="21"/>
                <w:szCs w:val="21"/>
              </w:rPr>
            </w:pPr>
          </w:p>
        </w:tc>
        <w:tc>
          <w:tcPr>
            <w:tcW w:w="217" w:type="dxa"/>
          </w:tcPr>
          <w:p w14:paraId="436B2CB4" w14:textId="77777777" w:rsidR="002C0FD9" w:rsidRPr="00CA25CF" w:rsidRDefault="002C0FD9" w:rsidP="00CA25CF">
            <w:pPr>
              <w:rPr>
                <w:rFonts w:cs="Arial"/>
                <w:color w:val="FF0000"/>
                <w:sz w:val="21"/>
                <w:szCs w:val="21"/>
              </w:rPr>
            </w:pPr>
          </w:p>
        </w:tc>
        <w:tc>
          <w:tcPr>
            <w:tcW w:w="217" w:type="dxa"/>
          </w:tcPr>
          <w:p w14:paraId="019ED72D" w14:textId="77777777" w:rsidR="002C0FD9" w:rsidRPr="00CA25CF" w:rsidRDefault="002C0FD9" w:rsidP="00CA25CF">
            <w:pPr>
              <w:rPr>
                <w:rFonts w:cs="Arial"/>
                <w:color w:val="FF0000"/>
                <w:sz w:val="21"/>
                <w:szCs w:val="21"/>
              </w:rPr>
            </w:pPr>
          </w:p>
        </w:tc>
        <w:tc>
          <w:tcPr>
            <w:tcW w:w="217" w:type="dxa"/>
          </w:tcPr>
          <w:p w14:paraId="45B18E66" w14:textId="77777777" w:rsidR="002C0FD9" w:rsidRPr="00CA25CF" w:rsidRDefault="002C0FD9" w:rsidP="00CA25CF">
            <w:pPr>
              <w:rPr>
                <w:rFonts w:cs="Arial"/>
                <w:color w:val="FF0000"/>
                <w:sz w:val="21"/>
                <w:szCs w:val="21"/>
              </w:rPr>
            </w:pPr>
          </w:p>
        </w:tc>
        <w:tc>
          <w:tcPr>
            <w:tcW w:w="217" w:type="dxa"/>
          </w:tcPr>
          <w:p w14:paraId="47B0A99C" w14:textId="77777777" w:rsidR="002C0FD9" w:rsidRPr="00CA25CF" w:rsidRDefault="002C0FD9" w:rsidP="00CA25CF">
            <w:pPr>
              <w:rPr>
                <w:rFonts w:cs="Arial"/>
                <w:color w:val="FF0000"/>
                <w:sz w:val="21"/>
                <w:szCs w:val="21"/>
              </w:rPr>
            </w:pPr>
          </w:p>
        </w:tc>
        <w:tc>
          <w:tcPr>
            <w:tcW w:w="217" w:type="dxa"/>
          </w:tcPr>
          <w:p w14:paraId="5F67A0B5" w14:textId="77777777" w:rsidR="002C0FD9" w:rsidRPr="00CA25CF" w:rsidRDefault="002C0FD9" w:rsidP="00CA25CF">
            <w:pPr>
              <w:rPr>
                <w:rFonts w:cs="Arial"/>
                <w:color w:val="FF0000"/>
                <w:sz w:val="21"/>
                <w:szCs w:val="21"/>
              </w:rPr>
            </w:pPr>
          </w:p>
        </w:tc>
      </w:tr>
      <w:tr w:rsidR="002C0FD9" w:rsidRPr="00A16219" w14:paraId="163BD95B" w14:textId="798FB466" w:rsidTr="002C0FD9">
        <w:trPr>
          <w:trHeight w:val="635"/>
        </w:trPr>
        <w:tc>
          <w:tcPr>
            <w:tcW w:w="515" w:type="dxa"/>
          </w:tcPr>
          <w:p w14:paraId="3E46F8DB" w14:textId="77777777" w:rsidR="002C0FD9" w:rsidRPr="00CA25CF" w:rsidRDefault="002C0FD9" w:rsidP="00CA25CF">
            <w:pPr>
              <w:rPr>
                <w:rFonts w:cs="Arial"/>
                <w:color w:val="FF0000"/>
                <w:sz w:val="21"/>
                <w:szCs w:val="21"/>
              </w:rPr>
            </w:pPr>
          </w:p>
        </w:tc>
        <w:tc>
          <w:tcPr>
            <w:tcW w:w="217" w:type="dxa"/>
          </w:tcPr>
          <w:p w14:paraId="267E6FD5" w14:textId="77777777" w:rsidR="002C0FD9" w:rsidRPr="00CA25CF" w:rsidRDefault="002C0FD9" w:rsidP="00CA25CF">
            <w:pPr>
              <w:rPr>
                <w:rFonts w:cs="Arial"/>
                <w:color w:val="FF0000"/>
                <w:sz w:val="21"/>
                <w:szCs w:val="21"/>
              </w:rPr>
            </w:pPr>
          </w:p>
        </w:tc>
        <w:tc>
          <w:tcPr>
            <w:tcW w:w="217" w:type="dxa"/>
          </w:tcPr>
          <w:p w14:paraId="43C5C9C4" w14:textId="30577709" w:rsidR="002C0FD9" w:rsidRPr="00CA25CF" w:rsidRDefault="002C0FD9" w:rsidP="00CA25CF">
            <w:pPr>
              <w:rPr>
                <w:rFonts w:cs="Arial"/>
                <w:color w:val="FF0000"/>
                <w:sz w:val="21"/>
                <w:szCs w:val="21"/>
              </w:rPr>
            </w:pPr>
          </w:p>
        </w:tc>
        <w:tc>
          <w:tcPr>
            <w:tcW w:w="217" w:type="dxa"/>
          </w:tcPr>
          <w:p w14:paraId="2B617CCB" w14:textId="77777777" w:rsidR="002C0FD9" w:rsidRPr="00CA25CF" w:rsidRDefault="002C0FD9" w:rsidP="00CA25CF">
            <w:pPr>
              <w:rPr>
                <w:rFonts w:cs="Arial"/>
                <w:color w:val="FF0000"/>
                <w:sz w:val="21"/>
                <w:szCs w:val="21"/>
              </w:rPr>
            </w:pPr>
          </w:p>
        </w:tc>
        <w:tc>
          <w:tcPr>
            <w:tcW w:w="217" w:type="dxa"/>
          </w:tcPr>
          <w:p w14:paraId="15DA46BD" w14:textId="3D456C88" w:rsidR="002C0FD9" w:rsidRPr="00CA25CF" w:rsidRDefault="002C0FD9" w:rsidP="00CA25CF">
            <w:pPr>
              <w:rPr>
                <w:rFonts w:cs="Arial"/>
                <w:color w:val="FF0000"/>
                <w:sz w:val="21"/>
                <w:szCs w:val="21"/>
              </w:rPr>
            </w:pPr>
          </w:p>
        </w:tc>
        <w:tc>
          <w:tcPr>
            <w:tcW w:w="217" w:type="dxa"/>
          </w:tcPr>
          <w:p w14:paraId="71D86EAA" w14:textId="77777777" w:rsidR="002C0FD9" w:rsidRPr="00CA25CF" w:rsidRDefault="002C0FD9" w:rsidP="00CA25CF">
            <w:pPr>
              <w:rPr>
                <w:rFonts w:cs="Arial"/>
                <w:color w:val="FF0000"/>
                <w:sz w:val="21"/>
                <w:szCs w:val="21"/>
              </w:rPr>
            </w:pPr>
          </w:p>
        </w:tc>
        <w:tc>
          <w:tcPr>
            <w:tcW w:w="217" w:type="dxa"/>
          </w:tcPr>
          <w:p w14:paraId="171A5DD5" w14:textId="77777777" w:rsidR="002C0FD9" w:rsidRPr="00CA25CF" w:rsidRDefault="002C0FD9" w:rsidP="00CA25CF">
            <w:pPr>
              <w:rPr>
                <w:rFonts w:cs="Arial"/>
                <w:color w:val="FF0000"/>
                <w:sz w:val="21"/>
                <w:szCs w:val="21"/>
              </w:rPr>
            </w:pPr>
          </w:p>
        </w:tc>
        <w:tc>
          <w:tcPr>
            <w:tcW w:w="217" w:type="dxa"/>
          </w:tcPr>
          <w:p w14:paraId="698E6169" w14:textId="77777777" w:rsidR="002C0FD9" w:rsidRPr="00CA25CF" w:rsidRDefault="002C0FD9" w:rsidP="00CA25CF">
            <w:pPr>
              <w:rPr>
                <w:rFonts w:cs="Arial"/>
                <w:color w:val="FF0000"/>
                <w:sz w:val="21"/>
                <w:szCs w:val="21"/>
              </w:rPr>
            </w:pPr>
          </w:p>
        </w:tc>
        <w:tc>
          <w:tcPr>
            <w:tcW w:w="217" w:type="dxa"/>
          </w:tcPr>
          <w:p w14:paraId="2B8B553C" w14:textId="77777777" w:rsidR="002C0FD9" w:rsidRPr="00CA25CF" w:rsidRDefault="002C0FD9" w:rsidP="00CA25CF">
            <w:pPr>
              <w:rPr>
                <w:rFonts w:cs="Arial"/>
                <w:color w:val="FF0000"/>
                <w:sz w:val="21"/>
                <w:szCs w:val="21"/>
              </w:rPr>
            </w:pPr>
          </w:p>
        </w:tc>
        <w:tc>
          <w:tcPr>
            <w:tcW w:w="217" w:type="dxa"/>
          </w:tcPr>
          <w:p w14:paraId="1B51B80A" w14:textId="77777777" w:rsidR="002C0FD9" w:rsidRPr="00CA25CF" w:rsidRDefault="002C0FD9" w:rsidP="00CA25CF">
            <w:pPr>
              <w:rPr>
                <w:rFonts w:cs="Arial"/>
                <w:color w:val="FF0000"/>
                <w:sz w:val="21"/>
                <w:szCs w:val="21"/>
              </w:rPr>
            </w:pPr>
          </w:p>
        </w:tc>
        <w:tc>
          <w:tcPr>
            <w:tcW w:w="217" w:type="dxa"/>
          </w:tcPr>
          <w:p w14:paraId="290E17EC" w14:textId="77777777" w:rsidR="002C0FD9" w:rsidRPr="00CA25CF" w:rsidRDefault="002C0FD9" w:rsidP="00CA25CF">
            <w:pPr>
              <w:rPr>
                <w:rFonts w:cs="Arial"/>
                <w:color w:val="FF0000"/>
                <w:sz w:val="21"/>
                <w:szCs w:val="21"/>
              </w:rPr>
            </w:pPr>
          </w:p>
        </w:tc>
        <w:tc>
          <w:tcPr>
            <w:tcW w:w="217" w:type="dxa"/>
          </w:tcPr>
          <w:p w14:paraId="1CB88CBB" w14:textId="77777777" w:rsidR="002C0FD9" w:rsidRPr="00CA25CF" w:rsidRDefault="002C0FD9" w:rsidP="00CA25CF">
            <w:pPr>
              <w:rPr>
                <w:rFonts w:cs="Arial"/>
                <w:color w:val="FF0000"/>
                <w:sz w:val="21"/>
                <w:szCs w:val="21"/>
              </w:rPr>
            </w:pPr>
          </w:p>
        </w:tc>
        <w:tc>
          <w:tcPr>
            <w:tcW w:w="217" w:type="dxa"/>
          </w:tcPr>
          <w:p w14:paraId="6EFBAD29" w14:textId="77777777" w:rsidR="002C0FD9" w:rsidRPr="00CA25CF" w:rsidRDefault="002C0FD9" w:rsidP="00CA25CF">
            <w:pPr>
              <w:rPr>
                <w:rFonts w:cs="Arial"/>
                <w:color w:val="FF0000"/>
                <w:sz w:val="21"/>
                <w:szCs w:val="21"/>
              </w:rPr>
            </w:pPr>
          </w:p>
        </w:tc>
        <w:tc>
          <w:tcPr>
            <w:tcW w:w="217" w:type="dxa"/>
          </w:tcPr>
          <w:p w14:paraId="482EE5D2" w14:textId="77777777" w:rsidR="002C0FD9" w:rsidRPr="00CA25CF" w:rsidRDefault="002C0FD9" w:rsidP="00CA25CF">
            <w:pPr>
              <w:rPr>
                <w:rFonts w:cs="Arial"/>
                <w:color w:val="FF0000"/>
                <w:sz w:val="21"/>
                <w:szCs w:val="21"/>
              </w:rPr>
            </w:pPr>
          </w:p>
        </w:tc>
        <w:tc>
          <w:tcPr>
            <w:tcW w:w="217" w:type="dxa"/>
          </w:tcPr>
          <w:p w14:paraId="4A3380BB" w14:textId="77777777" w:rsidR="002C0FD9" w:rsidRPr="00CA25CF" w:rsidRDefault="002C0FD9" w:rsidP="00CA25CF">
            <w:pPr>
              <w:rPr>
                <w:rFonts w:cs="Arial"/>
                <w:color w:val="FF0000"/>
                <w:sz w:val="21"/>
                <w:szCs w:val="21"/>
              </w:rPr>
            </w:pPr>
          </w:p>
        </w:tc>
        <w:tc>
          <w:tcPr>
            <w:tcW w:w="217" w:type="dxa"/>
          </w:tcPr>
          <w:p w14:paraId="333BE13D" w14:textId="0BE356F3" w:rsidR="002C0FD9" w:rsidRPr="00CA25CF" w:rsidRDefault="002C0FD9" w:rsidP="00CA25CF">
            <w:pPr>
              <w:rPr>
                <w:rFonts w:cs="Arial"/>
                <w:color w:val="FF0000"/>
                <w:sz w:val="21"/>
                <w:szCs w:val="21"/>
              </w:rPr>
            </w:pPr>
          </w:p>
        </w:tc>
        <w:tc>
          <w:tcPr>
            <w:tcW w:w="217" w:type="dxa"/>
          </w:tcPr>
          <w:p w14:paraId="1B3CA738" w14:textId="77777777" w:rsidR="002C0FD9" w:rsidRPr="00CA25CF" w:rsidRDefault="002C0FD9" w:rsidP="00CA25CF">
            <w:pPr>
              <w:rPr>
                <w:rFonts w:cs="Arial"/>
                <w:color w:val="FF0000"/>
                <w:sz w:val="21"/>
                <w:szCs w:val="21"/>
              </w:rPr>
            </w:pPr>
          </w:p>
        </w:tc>
        <w:tc>
          <w:tcPr>
            <w:tcW w:w="217" w:type="dxa"/>
          </w:tcPr>
          <w:p w14:paraId="00E7E2D1" w14:textId="77777777" w:rsidR="002C0FD9" w:rsidRPr="00CA25CF" w:rsidRDefault="002C0FD9" w:rsidP="00CA25CF">
            <w:pPr>
              <w:rPr>
                <w:rFonts w:cs="Arial"/>
                <w:color w:val="FF0000"/>
                <w:sz w:val="21"/>
                <w:szCs w:val="21"/>
              </w:rPr>
            </w:pPr>
          </w:p>
        </w:tc>
        <w:tc>
          <w:tcPr>
            <w:tcW w:w="217" w:type="dxa"/>
          </w:tcPr>
          <w:p w14:paraId="5AF52CBD" w14:textId="77777777" w:rsidR="002C0FD9" w:rsidRPr="00CA25CF" w:rsidRDefault="002C0FD9" w:rsidP="00CA25CF">
            <w:pPr>
              <w:rPr>
                <w:rFonts w:cs="Arial"/>
                <w:color w:val="FF0000"/>
                <w:sz w:val="21"/>
                <w:szCs w:val="21"/>
              </w:rPr>
            </w:pPr>
          </w:p>
        </w:tc>
        <w:tc>
          <w:tcPr>
            <w:tcW w:w="217" w:type="dxa"/>
          </w:tcPr>
          <w:p w14:paraId="0AC22D13" w14:textId="77777777" w:rsidR="002C0FD9" w:rsidRPr="00CA25CF" w:rsidRDefault="002C0FD9" w:rsidP="00CA25CF">
            <w:pPr>
              <w:rPr>
                <w:rFonts w:cs="Arial"/>
                <w:color w:val="FF0000"/>
                <w:sz w:val="21"/>
                <w:szCs w:val="21"/>
              </w:rPr>
            </w:pPr>
          </w:p>
        </w:tc>
        <w:tc>
          <w:tcPr>
            <w:tcW w:w="217" w:type="dxa"/>
          </w:tcPr>
          <w:p w14:paraId="5647EBBF" w14:textId="77777777" w:rsidR="002C0FD9" w:rsidRPr="00CA25CF" w:rsidRDefault="002C0FD9" w:rsidP="00CA25CF">
            <w:pPr>
              <w:rPr>
                <w:rFonts w:cs="Arial"/>
                <w:color w:val="FF0000"/>
                <w:sz w:val="21"/>
                <w:szCs w:val="21"/>
              </w:rPr>
            </w:pPr>
          </w:p>
        </w:tc>
        <w:tc>
          <w:tcPr>
            <w:tcW w:w="217" w:type="dxa"/>
          </w:tcPr>
          <w:p w14:paraId="202BE0EB" w14:textId="77777777" w:rsidR="002C0FD9" w:rsidRPr="00CA25CF" w:rsidRDefault="002C0FD9" w:rsidP="00CA25CF">
            <w:pPr>
              <w:rPr>
                <w:rFonts w:cs="Arial"/>
                <w:color w:val="FF0000"/>
                <w:sz w:val="21"/>
                <w:szCs w:val="21"/>
              </w:rPr>
            </w:pPr>
          </w:p>
        </w:tc>
        <w:tc>
          <w:tcPr>
            <w:tcW w:w="217" w:type="dxa"/>
          </w:tcPr>
          <w:p w14:paraId="1908B38E" w14:textId="77777777" w:rsidR="002C0FD9" w:rsidRPr="00CA25CF" w:rsidRDefault="002C0FD9" w:rsidP="00CA25CF">
            <w:pPr>
              <w:rPr>
                <w:rFonts w:cs="Arial"/>
                <w:color w:val="FF0000"/>
                <w:sz w:val="21"/>
                <w:szCs w:val="21"/>
              </w:rPr>
            </w:pPr>
          </w:p>
        </w:tc>
        <w:tc>
          <w:tcPr>
            <w:tcW w:w="217" w:type="dxa"/>
          </w:tcPr>
          <w:p w14:paraId="7DDD03DB" w14:textId="77777777" w:rsidR="002C0FD9" w:rsidRPr="00CA25CF" w:rsidRDefault="002C0FD9" w:rsidP="00CA25CF">
            <w:pPr>
              <w:rPr>
                <w:rFonts w:cs="Arial"/>
                <w:color w:val="FF0000"/>
                <w:sz w:val="21"/>
                <w:szCs w:val="21"/>
              </w:rPr>
            </w:pPr>
          </w:p>
        </w:tc>
        <w:tc>
          <w:tcPr>
            <w:tcW w:w="217" w:type="dxa"/>
          </w:tcPr>
          <w:p w14:paraId="22E9EE62" w14:textId="77777777" w:rsidR="002C0FD9" w:rsidRPr="00CA25CF" w:rsidRDefault="002C0FD9" w:rsidP="00CA25CF">
            <w:pPr>
              <w:rPr>
                <w:rFonts w:cs="Arial"/>
                <w:color w:val="FF0000"/>
                <w:sz w:val="21"/>
                <w:szCs w:val="21"/>
              </w:rPr>
            </w:pPr>
          </w:p>
        </w:tc>
        <w:tc>
          <w:tcPr>
            <w:tcW w:w="217" w:type="dxa"/>
          </w:tcPr>
          <w:p w14:paraId="036AE8D1" w14:textId="77777777" w:rsidR="002C0FD9" w:rsidRPr="00CA25CF" w:rsidRDefault="002C0FD9" w:rsidP="00CA25CF">
            <w:pPr>
              <w:rPr>
                <w:rFonts w:cs="Arial"/>
                <w:color w:val="FF0000"/>
                <w:sz w:val="21"/>
                <w:szCs w:val="21"/>
              </w:rPr>
            </w:pPr>
          </w:p>
        </w:tc>
        <w:tc>
          <w:tcPr>
            <w:tcW w:w="217" w:type="dxa"/>
          </w:tcPr>
          <w:p w14:paraId="37724AC8" w14:textId="77777777" w:rsidR="002C0FD9" w:rsidRPr="00CA25CF" w:rsidRDefault="002C0FD9" w:rsidP="00CA25CF">
            <w:pPr>
              <w:rPr>
                <w:rFonts w:cs="Arial"/>
                <w:color w:val="FF0000"/>
                <w:sz w:val="21"/>
                <w:szCs w:val="21"/>
              </w:rPr>
            </w:pPr>
          </w:p>
        </w:tc>
        <w:tc>
          <w:tcPr>
            <w:tcW w:w="217" w:type="dxa"/>
          </w:tcPr>
          <w:p w14:paraId="36AB9E9E" w14:textId="77777777" w:rsidR="002C0FD9" w:rsidRPr="00CA25CF" w:rsidRDefault="002C0FD9" w:rsidP="00CA25CF">
            <w:pPr>
              <w:rPr>
                <w:rFonts w:cs="Arial"/>
                <w:color w:val="FF0000"/>
                <w:sz w:val="21"/>
                <w:szCs w:val="21"/>
              </w:rPr>
            </w:pPr>
          </w:p>
        </w:tc>
        <w:tc>
          <w:tcPr>
            <w:tcW w:w="217" w:type="dxa"/>
          </w:tcPr>
          <w:p w14:paraId="70F0E392" w14:textId="77777777" w:rsidR="002C0FD9" w:rsidRPr="00CA25CF" w:rsidRDefault="002C0FD9" w:rsidP="00CA25CF">
            <w:pPr>
              <w:rPr>
                <w:rFonts w:cs="Arial"/>
                <w:color w:val="FF0000"/>
                <w:sz w:val="21"/>
                <w:szCs w:val="21"/>
              </w:rPr>
            </w:pPr>
          </w:p>
        </w:tc>
        <w:tc>
          <w:tcPr>
            <w:tcW w:w="217" w:type="dxa"/>
          </w:tcPr>
          <w:p w14:paraId="64573F83" w14:textId="77777777" w:rsidR="002C0FD9" w:rsidRPr="00CA25CF" w:rsidRDefault="002C0FD9" w:rsidP="00CA25CF">
            <w:pPr>
              <w:rPr>
                <w:rFonts w:cs="Arial"/>
                <w:color w:val="FF0000"/>
                <w:sz w:val="21"/>
                <w:szCs w:val="21"/>
              </w:rPr>
            </w:pPr>
          </w:p>
        </w:tc>
        <w:tc>
          <w:tcPr>
            <w:tcW w:w="217" w:type="dxa"/>
          </w:tcPr>
          <w:p w14:paraId="022C7EF4" w14:textId="77777777" w:rsidR="002C0FD9" w:rsidRPr="00CA25CF" w:rsidRDefault="002C0FD9" w:rsidP="00CA25CF">
            <w:pPr>
              <w:rPr>
                <w:rFonts w:cs="Arial"/>
                <w:color w:val="FF0000"/>
                <w:sz w:val="21"/>
                <w:szCs w:val="21"/>
              </w:rPr>
            </w:pPr>
          </w:p>
        </w:tc>
        <w:tc>
          <w:tcPr>
            <w:tcW w:w="217" w:type="dxa"/>
          </w:tcPr>
          <w:p w14:paraId="000EFB82" w14:textId="77777777" w:rsidR="002C0FD9" w:rsidRPr="00CA25CF" w:rsidRDefault="002C0FD9" w:rsidP="00CA25CF">
            <w:pPr>
              <w:rPr>
                <w:rFonts w:cs="Arial"/>
                <w:color w:val="FF0000"/>
                <w:sz w:val="21"/>
                <w:szCs w:val="21"/>
              </w:rPr>
            </w:pPr>
          </w:p>
        </w:tc>
        <w:tc>
          <w:tcPr>
            <w:tcW w:w="217" w:type="dxa"/>
          </w:tcPr>
          <w:p w14:paraId="59D36BCA" w14:textId="77777777" w:rsidR="002C0FD9" w:rsidRPr="00CA25CF" w:rsidRDefault="002C0FD9" w:rsidP="00CA25CF">
            <w:pPr>
              <w:rPr>
                <w:rFonts w:cs="Arial"/>
                <w:color w:val="FF0000"/>
                <w:sz w:val="21"/>
                <w:szCs w:val="21"/>
              </w:rPr>
            </w:pPr>
          </w:p>
        </w:tc>
        <w:tc>
          <w:tcPr>
            <w:tcW w:w="217" w:type="dxa"/>
          </w:tcPr>
          <w:p w14:paraId="1EDB12C0" w14:textId="77777777" w:rsidR="002C0FD9" w:rsidRPr="00CA25CF" w:rsidRDefault="002C0FD9" w:rsidP="00CA25CF">
            <w:pPr>
              <w:rPr>
                <w:rFonts w:cs="Arial"/>
                <w:color w:val="FF0000"/>
                <w:sz w:val="21"/>
                <w:szCs w:val="21"/>
              </w:rPr>
            </w:pPr>
          </w:p>
        </w:tc>
        <w:tc>
          <w:tcPr>
            <w:tcW w:w="217" w:type="dxa"/>
          </w:tcPr>
          <w:p w14:paraId="556B07A5" w14:textId="77777777" w:rsidR="002C0FD9" w:rsidRPr="00CA25CF" w:rsidRDefault="002C0FD9" w:rsidP="00CA25CF">
            <w:pPr>
              <w:rPr>
                <w:rFonts w:cs="Arial"/>
                <w:color w:val="FF0000"/>
                <w:sz w:val="21"/>
                <w:szCs w:val="21"/>
              </w:rPr>
            </w:pPr>
          </w:p>
        </w:tc>
        <w:tc>
          <w:tcPr>
            <w:tcW w:w="217" w:type="dxa"/>
          </w:tcPr>
          <w:p w14:paraId="0611321E" w14:textId="77777777" w:rsidR="002C0FD9" w:rsidRPr="00CA25CF" w:rsidRDefault="002C0FD9" w:rsidP="00CA25CF">
            <w:pPr>
              <w:rPr>
                <w:rFonts w:cs="Arial"/>
                <w:color w:val="FF0000"/>
                <w:sz w:val="21"/>
                <w:szCs w:val="21"/>
              </w:rPr>
            </w:pPr>
          </w:p>
        </w:tc>
        <w:tc>
          <w:tcPr>
            <w:tcW w:w="217" w:type="dxa"/>
          </w:tcPr>
          <w:p w14:paraId="5CBC4EF6" w14:textId="77777777" w:rsidR="002C0FD9" w:rsidRPr="00CA25CF" w:rsidRDefault="002C0FD9" w:rsidP="00CA25CF">
            <w:pPr>
              <w:rPr>
                <w:rFonts w:cs="Arial"/>
                <w:color w:val="FF0000"/>
                <w:sz w:val="21"/>
                <w:szCs w:val="21"/>
              </w:rPr>
            </w:pPr>
          </w:p>
        </w:tc>
        <w:tc>
          <w:tcPr>
            <w:tcW w:w="217" w:type="dxa"/>
          </w:tcPr>
          <w:p w14:paraId="3F2E17B2" w14:textId="77777777" w:rsidR="002C0FD9" w:rsidRPr="00CA25CF" w:rsidRDefault="002C0FD9" w:rsidP="00CA25CF">
            <w:pPr>
              <w:rPr>
                <w:rFonts w:cs="Arial"/>
                <w:color w:val="FF0000"/>
                <w:sz w:val="21"/>
                <w:szCs w:val="21"/>
              </w:rPr>
            </w:pPr>
          </w:p>
        </w:tc>
        <w:tc>
          <w:tcPr>
            <w:tcW w:w="217" w:type="dxa"/>
          </w:tcPr>
          <w:p w14:paraId="664FE9D1" w14:textId="77777777" w:rsidR="002C0FD9" w:rsidRPr="00CA25CF" w:rsidRDefault="002C0FD9" w:rsidP="00CA25CF">
            <w:pPr>
              <w:rPr>
                <w:rFonts w:cs="Arial"/>
                <w:color w:val="FF0000"/>
                <w:sz w:val="21"/>
                <w:szCs w:val="21"/>
              </w:rPr>
            </w:pPr>
          </w:p>
        </w:tc>
        <w:tc>
          <w:tcPr>
            <w:tcW w:w="217" w:type="dxa"/>
          </w:tcPr>
          <w:p w14:paraId="22C9F52F" w14:textId="77777777" w:rsidR="002C0FD9" w:rsidRPr="00CA25CF" w:rsidRDefault="002C0FD9" w:rsidP="00CA25CF">
            <w:pPr>
              <w:rPr>
                <w:rFonts w:cs="Arial"/>
                <w:color w:val="FF0000"/>
                <w:sz w:val="21"/>
                <w:szCs w:val="21"/>
              </w:rPr>
            </w:pPr>
          </w:p>
        </w:tc>
        <w:tc>
          <w:tcPr>
            <w:tcW w:w="217" w:type="dxa"/>
          </w:tcPr>
          <w:p w14:paraId="38CFC206" w14:textId="77777777" w:rsidR="002C0FD9" w:rsidRPr="00CA25CF" w:rsidRDefault="002C0FD9" w:rsidP="00CA25CF">
            <w:pPr>
              <w:rPr>
                <w:rFonts w:cs="Arial"/>
                <w:color w:val="FF0000"/>
                <w:sz w:val="21"/>
                <w:szCs w:val="21"/>
              </w:rPr>
            </w:pPr>
          </w:p>
        </w:tc>
        <w:tc>
          <w:tcPr>
            <w:tcW w:w="217" w:type="dxa"/>
          </w:tcPr>
          <w:p w14:paraId="155331A1" w14:textId="77777777" w:rsidR="002C0FD9" w:rsidRPr="00CA25CF" w:rsidRDefault="002C0FD9" w:rsidP="00CA25CF">
            <w:pPr>
              <w:rPr>
                <w:rFonts w:cs="Arial"/>
                <w:color w:val="FF0000"/>
                <w:sz w:val="21"/>
                <w:szCs w:val="21"/>
              </w:rPr>
            </w:pPr>
          </w:p>
        </w:tc>
        <w:tc>
          <w:tcPr>
            <w:tcW w:w="217" w:type="dxa"/>
          </w:tcPr>
          <w:p w14:paraId="33A3B1F9" w14:textId="77777777" w:rsidR="002C0FD9" w:rsidRPr="00CA25CF" w:rsidRDefault="002C0FD9" w:rsidP="00CA25CF">
            <w:pPr>
              <w:rPr>
                <w:rFonts w:cs="Arial"/>
                <w:color w:val="FF0000"/>
                <w:sz w:val="21"/>
                <w:szCs w:val="21"/>
              </w:rPr>
            </w:pPr>
          </w:p>
        </w:tc>
      </w:tr>
      <w:tr w:rsidR="002C0FD9" w:rsidRPr="00A16219" w14:paraId="6928AA8A" w14:textId="5A607673" w:rsidTr="002C0FD9">
        <w:trPr>
          <w:trHeight w:val="635"/>
        </w:trPr>
        <w:tc>
          <w:tcPr>
            <w:tcW w:w="515" w:type="dxa"/>
          </w:tcPr>
          <w:p w14:paraId="110E343B" w14:textId="77777777" w:rsidR="002C0FD9" w:rsidRPr="00CA25CF" w:rsidRDefault="002C0FD9" w:rsidP="00CA25CF">
            <w:pPr>
              <w:rPr>
                <w:rFonts w:cs="Arial"/>
                <w:color w:val="FF0000"/>
                <w:sz w:val="21"/>
                <w:szCs w:val="21"/>
              </w:rPr>
            </w:pPr>
          </w:p>
        </w:tc>
        <w:tc>
          <w:tcPr>
            <w:tcW w:w="217" w:type="dxa"/>
          </w:tcPr>
          <w:p w14:paraId="75CCD10B" w14:textId="77777777" w:rsidR="002C0FD9" w:rsidRPr="00CA25CF" w:rsidRDefault="002C0FD9" w:rsidP="00CA25CF">
            <w:pPr>
              <w:rPr>
                <w:rFonts w:cs="Arial"/>
                <w:color w:val="FF0000"/>
                <w:sz w:val="21"/>
                <w:szCs w:val="21"/>
              </w:rPr>
            </w:pPr>
          </w:p>
        </w:tc>
        <w:tc>
          <w:tcPr>
            <w:tcW w:w="217" w:type="dxa"/>
          </w:tcPr>
          <w:p w14:paraId="68F66970" w14:textId="399A76D0" w:rsidR="002C0FD9" w:rsidRPr="00CA25CF" w:rsidRDefault="002C0FD9" w:rsidP="00CA25CF">
            <w:pPr>
              <w:rPr>
                <w:rFonts w:cs="Arial"/>
                <w:color w:val="FF0000"/>
                <w:sz w:val="21"/>
                <w:szCs w:val="21"/>
              </w:rPr>
            </w:pPr>
          </w:p>
        </w:tc>
        <w:tc>
          <w:tcPr>
            <w:tcW w:w="217" w:type="dxa"/>
          </w:tcPr>
          <w:p w14:paraId="1BBF4371" w14:textId="77777777" w:rsidR="002C0FD9" w:rsidRPr="00CA25CF" w:rsidRDefault="002C0FD9" w:rsidP="00CA25CF">
            <w:pPr>
              <w:rPr>
                <w:rFonts w:cs="Arial"/>
                <w:color w:val="FF0000"/>
                <w:sz w:val="21"/>
                <w:szCs w:val="21"/>
              </w:rPr>
            </w:pPr>
          </w:p>
        </w:tc>
        <w:tc>
          <w:tcPr>
            <w:tcW w:w="217" w:type="dxa"/>
          </w:tcPr>
          <w:p w14:paraId="5037DBC2" w14:textId="0539F6D7" w:rsidR="002C0FD9" w:rsidRPr="00CA25CF" w:rsidRDefault="002C0FD9" w:rsidP="00CA25CF">
            <w:pPr>
              <w:rPr>
                <w:rFonts w:cs="Arial"/>
                <w:color w:val="FF0000"/>
                <w:sz w:val="21"/>
                <w:szCs w:val="21"/>
              </w:rPr>
            </w:pPr>
          </w:p>
        </w:tc>
        <w:tc>
          <w:tcPr>
            <w:tcW w:w="217" w:type="dxa"/>
          </w:tcPr>
          <w:p w14:paraId="09F674CD" w14:textId="77777777" w:rsidR="002C0FD9" w:rsidRPr="00CA25CF" w:rsidRDefault="002C0FD9" w:rsidP="00CA25CF">
            <w:pPr>
              <w:rPr>
                <w:rFonts w:cs="Arial"/>
                <w:color w:val="FF0000"/>
                <w:sz w:val="21"/>
                <w:szCs w:val="21"/>
              </w:rPr>
            </w:pPr>
          </w:p>
        </w:tc>
        <w:tc>
          <w:tcPr>
            <w:tcW w:w="217" w:type="dxa"/>
          </w:tcPr>
          <w:p w14:paraId="4EEB8F59" w14:textId="77777777" w:rsidR="002C0FD9" w:rsidRPr="00CA25CF" w:rsidRDefault="002C0FD9" w:rsidP="00CA25CF">
            <w:pPr>
              <w:rPr>
                <w:rFonts w:cs="Arial"/>
                <w:color w:val="FF0000"/>
                <w:sz w:val="21"/>
                <w:szCs w:val="21"/>
              </w:rPr>
            </w:pPr>
          </w:p>
        </w:tc>
        <w:tc>
          <w:tcPr>
            <w:tcW w:w="217" w:type="dxa"/>
          </w:tcPr>
          <w:p w14:paraId="3DE72FFC" w14:textId="77777777" w:rsidR="002C0FD9" w:rsidRPr="00CA25CF" w:rsidRDefault="002C0FD9" w:rsidP="00CA25CF">
            <w:pPr>
              <w:rPr>
                <w:rFonts w:cs="Arial"/>
                <w:color w:val="FF0000"/>
                <w:sz w:val="21"/>
                <w:szCs w:val="21"/>
              </w:rPr>
            </w:pPr>
          </w:p>
        </w:tc>
        <w:tc>
          <w:tcPr>
            <w:tcW w:w="217" w:type="dxa"/>
          </w:tcPr>
          <w:p w14:paraId="26A9B7D5" w14:textId="77777777" w:rsidR="002C0FD9" w:rsidRPr="00CA25CF" w:rsidRDefault="002C0FD9" w:rsidP="00CA25CF">
            <w:pPr>
              <w:rPr>
                <w:rFonts w:cs="Arial"/>
                <w:color w:val="FF0000"/>
                <w:sz w:val="21"/>
                <w:szCs w:val="21"/>
              </w:rPr>
            </w:pPr>
          </w:p>
        </w:tc>
        <w:tc>
          <w:tcPr>
            <w:tcW w:w="217" w:type="dxa"/>
          </w:tcPr>
          <w:p w14:paraId="57FE398C" w14:textId="77777777" w:rsidR="002C0FD9" w:rsidRPr="00CA25CF" w:rsidRDefault="002C0FD9" w:rsidP="00CA25CF">
            <w:pPr>
              <w:rPr>
                <w:rFonts w:cs="Arial"/>
                <w:color w:val="FF0000"/>
                <w:sz w:val="21"/>
                <w:szCs w:val="21"/>
              </w:rPr>
            </w:pPr>
          </w:p>
        </w:tc>
        <w:tc>
          <w:tcPr>
            <w:tcW w:w="217" w:type="dxa"/>
          </w:tcPr>
          <w:p w14:paraId="4EF2A186" w14:textId="77777777" w:rsidR="002C0FD9" w:rsidRPr="00CA25CF" w:rsidRDefault="002C0FD9" w:rsidP="00CA25CF">
            <w:pPr>
              <w:rPr>
                <w:rFonts w:cs="Arial"/>
                <w:color w:val="FF0000"/>
                <w:sz w:val="21"/>
                <w:szCs w:val="21"/>
              </w:rPr>
            </w:pPr>
          </w:p>
        </w:tc>
        <w:tc>
          <w:tcPr>
            <w:tcW w:w="217" w:type="dxa"/>
          </w:tcPr>
          <w:p w14:paraId="4D2B8093" w14:textId="77777777" w:rsidR="002C0FD9" w:rsidRPr="00CA25CF" w:rsidRDefault="002C0FD9" w:rsidP="00CA25CF">
            <w:pPr>
              <w:rPr>
                <w:rFonts w:cs="Arial"/>
                <w:color w:val="FF0000"/>
                <w:sz w:val="21"/>
                <w:szCs w:val="21"/>
              </w:rPr>
            </w:pPr>
          </w:p>
        </w:tc>
        <w:tc>
          <w:tcPr>
            <w:tcW w:w="217" w:type="dxa"/>
          </w:tcPr>
          <w:p w14:paraId="18F05AA6" w14:textId="77777777" w:rsidR="002C0FD9" w:rsidRPr="00CA25CF" w:rsidRDefault="002C0FD9" w:rsidP="00CA25CF">
            <w:pPr>
              <w:rPr>
                <w:rFonts w:cs="Arial"/>
                <w:color w:val="FF0000"/>
                <w:sz w:val="21"/>
                <w:szCs w:val="21"/>
              </w:rPr>
            </w:pPr>
          </w:p>
        </w:tc>
        <w:tc>
          <w:tcPr>
            <w:tcW w:w="217" w:type="dxa"/>
          </w:tcPr>
          <w:p w14:paraId="57D26493" w14:textId="77777777" w:rsidR="002C0FD9" w:rsidRPr="00CA25CF" w:rsidRDefault="002C0FD9" w:rsidP="00CA25CF">
            <w:pPr>
              <w:rPr>
                <w:rFonts w:cs="Arial"/>
                <w:color w:val="FF0000"/>
                <w:sz w:val="21"/>
                <w:szCs w:val="21"/>
              </w:rPr>
            </w:pPr>
          </w:p>
        </w:tc>
        <w:tc>
          <w:tcPr>
            <w:tcW w:w="217" w:type="dxa"/>
          </w:tcPr>
          <w:p w14:paraId="3D69462D" w14:textId="77777777" w:rsidR="002C0FD9" w:rsidRPr="00CA25CF" w:rsidRDefault="002C0FD9" w:rsidP="00CA25CF">
            <w:pPr>
              <w:rPr>
                <w:rFonts w:cs="Arial"/>
                <w:color w:val="FF0000"/>
                <w:sz w:val="21"/>
                <w:szCs w:val="21"/>
              </w:rPr>
            </w:pPr>
          </w:p>
        </w:tc>
        <w:tc>
          <w:tcPr>
            <w:tcW w:w="217" w:type="dxa"/>
          </w:tcPr>
          <w:p w14:paraId="1D40C2DB" w14:textId="3E498CC2" w:rsidR="002C0FD9" w:rsidRPr="00CA25CF" w:rsidRDefault="002C0FD9" w:rsidP="00CA25CF">
            <w:pPr>
              <w:rPr>
                <w:rFonts w:cs="Arial"/>
                <w:color w:val="FF0000"/>
                <w:sz w:val="21"/>
                <w:szCs w:val="21"/>
              </w:rPr>
            </w:pPr>
          </w:p>
        </w:tc>
        <w:tc>
          <w:tcPr>
            <w:tcW w:w="217" w:type="dxa"/>
          </w:tcPr>
          <w:p w14:paraId="58800BD9" w14:textId="77777777" w:rsidR="002C0FD9" w:rsidRPr="00CA25CF" w:rsidRDefault="002C0FD9" w:rsidP="00CA25CF">
            <w:pPr>
              <w:rPr>
                <w:rFonts w:cs="Arial"/>
                <w:color w:val="FF0000"/>
                <w:sz w:val="21"/>
                <w:szCs w:val="21"/>
              </w:rPr>
            </w:pPr>
          </w:p>
        </w:tc>
        <w:tc>
          <w:tcPr>
            <w:tcW w:w="217" w:type="dxa"/>
          </w:tcPr>
          <w:p w14:paraId="435357D4" w14:textId="77777777" w:rsidR="002C0FD9" w:rsidRPr="00CA25CF" w:rsidRDefault="002C0FD9" w:rsidP="00CA25CF">
            <w:pPr>
              <w:rPr>
                <w:rFonts w:cs="Arial"/>
                <w:color w:val="FF0000"/>
                <w:sz w:val="21"/>
                <w:szCs w:val="21"/>
              </w:rPr>
            </w:pPr>
          </w:p>
        </w:tc>
        <w:tc>
          <w:tcPr>
            <w:tcW w:w="217" w:type="dxa"/>
          </w:tcPr>
          <w:p w14:paraId="6F5D2B3E" w14:textId="77777777" w:rsidR="002C0FD9" w:rsidRPr="00CA25CF" w:rsidRDefault="002C0FD9" w:rsidP="00CA25CF">
            <w:pPr>
              <w:rPr>
                <w:rFonts w:cs="Arial"/>
                <w:color w:val="FF0000"/>
                <w:sz w:val="21"/>
                <w:szCs w:val="21"/>
              </w:rPr>
            </w:pPr>
          </w:p>
        </w:tc>
        <w:tc>
          <w:tcPr>
            <w:tcW w:w="217" w:type="dxa"/>
          </w:tcPr>
          <w:p w14:paraId="6450D172" w14:textId="77777777" w:rsidR="002C0FD9" w:rsidRPr="00CA25CF" w:rsidRDefault="002C0FD9" w:rsidP="00CA25CF">
            <w:pPr>
              <w:rPr>
                <w:rFonts w:cs="Arial"/>
                <w:color w:val="FF0000"/>
                <w:sz w:val="21"/>
                <w:szCs w:val="21"/>
              </w:rPr>
            </w:pPr>
          </w:p>
        </w:tc>
        <w:tc>
          <w:tcPr>
            <w:tcW w:w="217" w:type="dxa"/>
          </w:tcPr>
          <w:p w14:paraId="0B800039" w14:textId="77777777" w:rsidR="002C0FD9" w:rsidRPr="00CA25CF" w:rsidRDefault="002C0FD9" w:rsidP="00CA25CF">
            <w:pPr>
              <w:rPr>
                <w:rFonts w:cs="Arial"/>
                <w:color w:val="FF0000"/>
                <w:sz w:val="21"/>
                <w:szCs w:val="21"/>
              </w:rPr>
            </w:pPr>
          </w:p>
        </w:tc>
        <w:tc>
          <w:tcPr>
            <w:tcW w:w="217" w:type="dxa"/>
          </w:tcPr>
          <w:p w14:paraId="48953D35" w14:textId="77777777" w:rsidR="002C0FD9" w:rsidRPr="00CA25CF" w:rsidRDefault="002C0FD9" w:rsidP="00CA25CF">
            <w:pPr>
              <w:rPr>
                <w:rFonts w:cs="Arial"/>
                <w:color w:val="FF0000"/>
                <w:sz w:val="21"/>
                <w:szCs w:val="21"/>
              </w:rPr>
            </w:pPr>
          </w:p>
        </w:tc>
        <w:tc>
          <w:tcPr>
            <w:tcW w:w="217" w:type="dxa"/>
          </w:tcPr>
          <w:p w14:paraId="41AD121D" w14:textId="77777777" w:rsidR="002C0FD9" w:rsidRPr="00CA25CF" w:rsidRDefault="002C0FD9" w:rsidP="00CA25CF">
            <w:pPr>
              <w:rPr>
                <w:rFonts w:cs="Arial"/>
                <w:color w:val="FF0000"/>
                <w:sz w:val="21"/>
                <w:szCs w:val="21"/>
              </w:rPr>
            </w:pPr>
          </w:p>
        </w:tc>
        <w:tc>
          <w:tcPr>
            <w:tcW w:w="217" w:type="dxa"/>
          </w:tcPr>
          <w:p w14:paraId="279CB170" w14:textId="77777777" w:rsidR="002C0FD9" w:rsidRPr="00CA25CF" w:rsidRDefault="002C0FD9" w:rsidP="00CA25CF">
            <w:pPr>
              <w:rPr>
                <w:rFonts w:cs="Arial"/>
                <w:color w:val="FF0000"/>
                <w:sz w:val="21"/>
                <w:szCs w:val="21"/>
              </w:rPr>
            </w:pPr>
          </w:p>
        </w:tc>
        <w:tc>
          <w:tcPr>
            <w:tcW w:w="217" w:type="dxa"/>
          </w:tcPr>
          <w:p w14:paraId="414FD36E" w14:textId="77777777" w:rsidR="002C0FD9" w:rsidRPr="00CA25CF" w:rsidRDefault="002C0FD9" w:rsidP="00CA25CF">
            <w:pPr>
              <w:rPr>
                <w:rFonts w:cs="Arial"/>
                <w:color w:val="FF0000"/>
                <w:sz w:val="21"/>
                <w:szCs w:val="21"/>
              </w:rPr>
            </w:pPr>
          </w:p>
        </w:tc>
        <w:tc>
          <w:tcPr>
            <w:tcW w:w="217" w:type="dxa"/>
          </w:tcPr>
          <w:p w14:paraId="2E6EF037" w14:textId="77777777" w:rsidR="002C0FD9" w:rsidRPr="00CA25CF" w:rsidRDefault="002C0FD9" w:rsidP="00CA25CF">
            <w:pPr>
              <w:rPr>
                <w:rFonts w:cs="Arial"/>
                <w:color w:val="FF0000"/>
                <w:sz w:val="21"/>
                <w:szCs w:val="21"/>
              </w:rPr>
            </w:pPr>
          </w:p>
        </w:tc>
        <w:tc>
          <w:tcPr>
            <w:tcW w:w="217" w:type="dxa"/>
          </w:tcPr>
          <w:p w14:paraId="71022BDE" w14:textId="77777777" w:rsidR="002C0FD9" w:rsidRPr="00CA25CF" w:rsidRDefault="002C0FD9" w:rsidP="00CA25CF">
            <w:pPr>
              <w:rPr>
                <w:rFonts w:cs="Arial"/>
                <w:color w:val="FF0000"/>
                <w:sz w:val="21"/>
                <w:szCs w:val="21"/>
              </w:rPr>
            </w:pPr>
          </w:p>
        </w:tc>
        <w:tc>
          <w:tcPr>
            <w:tcW w:w="217" w:type="dxa"/>
          </w:tcPr>
          <w:p w14:paraId="7B59E532" w14:textId="77777777" w:rsidR="002C0FD9" w:rsidRPr="00CA25CF" w:rsidRDefault="002C0FD9" w:rsidP="00CA25CF">
            <w:pPr>
              <w:rPr>
                <w:rFonts w:cs="Arial"/>
                <w:color w:val="FF0000"/>
                <w:sz w:val="21"/>
                <w:szCs w:val="21"/>
              </w:rPr>
            </w:pPr>
          </w:p>
        </w:tc>
        <w:tc>
          <w:tcPr>
            <w:tcW w:w="217" w:type="dxa"/>
          </w:tcPr>
          <w:p w14:paraId="42BAB19D" w14:textId="77777777" w:rsidR="002C0FD9" w:rsidRPr="00CA25CF" w:rsidRDefault="002C0FD9" w:rsidP="00CA25CF">
            <w:pPr>
              <w:rPr>
                <w:rFonts w:cs="Arial"/>
                <w:color w:val="FF0000"/>
                <w:sz w:val="21"/>
                <w:szCs w:val="21"/>
              </w:rPr>
            </w:pPr>
          </w:p>
        </w:tc>
        <w:tc>
          <w:tcPr>
            <w:tcW w:w="217" w:type="dxa"/>
          </w:tcPr>
          <w:p w14:paraId="0F3CB705" w14:textId="77777777" w:rsidR="002C0FD9" w:rsidRPr="00CA25CF" w:rsidRDefault="002C0FD9" w:rsidP="00CA25CF">
            <w:pPr>
              <w:rPr>
                <w:rFonts w:cs="Arial"/>
                <w:color w:val="FF0000"/>
                <w:sz w:val="21"/>
                <w:szCs w:val="21"/>
              </w:rPr>
            </w:pPr>
          </w:p>
        </w:tc>
        <w:tc>
          <w:tcPr>
            <w:tcW w:w="217" w:type="dxa"/>
          </w:tcPr>
          <w:p w14:paraId="2745EC45" w14:textId="77777777" w:rsidR="002C0FD9" w:rsidRPr="00CA25CF" w:rsidRDefault="002C0FD9" w:rsidP="00CA25CF">
            <w:pPr>
              <w:rPr>
                <w:rFonts w:cs="Arial"/>
                <w:color w:val="FF0000"/>
                <w:sz w:val="21"/>
                <w:szCs w:val="21"/>
              </w:rPr>
            </w:pPr>
          </w:p>
        </w:tc>
        <w:tc>
          <w:tcPr>
            <w:tcW w:w="217" w:type="dxa"/>
          </w:tcPr>
          <w:p w14:paraId="4085E869" w14:textId="77777777" w:rsidR="002C0FD9" w:rsidRPr="00CA25CF" w:rsidRDefault="002C0FD9" w:rsidP="00CA25CF">
            <w:pPr>
              <w:rPr>
                <w:rFonts w:cs="Arial"/>
                <w:color w:val="FF0000"/>
                <w:sz w:val="21"/>
                <w:szCs w:val="21"/>
              </w:rPr>
            </w:pPr>
          </w:p>
        </w:tc>
        <w:tc>
          <w:tcPr>
            <w:tcW w:w="217" w:type="dxa"/>
          </w:tcPr>
          <w:p w14:paraId="6C31D9B6" w14:textId="77777777" w:rsidR="002C0FD9" w:rsidRPr="00CA25CF" w:rsidRDefault="002C0FD9" w:rsidP="00CA25CF">
            <w:pPr>
              <w:rPr>
                <w:rFonts w:cs="Arial"/>
                <w:color w:val="FF0000"/>
                <w:sz w:val="21"/>
                <w:szCs w:val="21"/>
              </w:rPr>
            </w:pPr>
          </w:p>
        </w:tc>
        <w:tc>
          <w:tcPr>
            <w:tcW w:w="217" w:type="dxa"/>
          </w:tcPr>
          <w:p w14:paraId="4F7A0597" w14:textId="77777777" w:rsidR="002C0FD9" w:rsidRPr="00CA25CF" w:rsidRDefault="002C0FD9" w:rsidP="00CA25CF">
            <w:pPr>
              <w:rPr>
                <w:rFonts w:cs="Arial"/>
                <w:color w:val="FF0000"/>
                <w:sz w:val="21"/>
                <w:szCs w:val="21"/>
              </w:rPr>
            </w:pPr>
          </w:p>
        </w:tc>
        <w:tc>
          <w:tcPr>
            <w:tcW w:w="217" w:type="dxa"/>
          </w:tcPr>
          <w:p w14:paraId="1735500B" w14:textId="77777777" w:rsidR="002C0FD9" w:rsidRPr="00CA25CF" w:rsidRDefault="002C0FD9" w:rsidP="00CA25CF">
            <w:pPr>
              <w:rPr>
                <w:rFonts w:cs="Arial"/>
                <w:color w:val="FF0000"/>
                <w:sz w:val="21"/>
                <w:szCs w:val="21"/>
              </w:rPr>
            </w:pPr>
          </w:p>
        </w:tc>
        <w:tc>
          <w:tcPr>
            <w:tcW w:w="217" w:type="dxa"/>
          </w:tcPr>
          <w:p w14:paraId="734C75D5" w14:textId="77777777" w:rsidR="002C0FD9" w:rsidRPr="00CA25CF" w:rsidRDefault="002C0FD9" w:rsidP="00CA25CF">
            <w:pPr>
              <w:rPr>
                <w:rFonts w:cs="Arial"/>
                <w:color w:val="FF0000"/>
                <w:sz w:val="21"/>
                <w:szCs w:val="21"/>
              </w:rPr>
            </w:pPr>
          </w:p>
        </w:tc>
        <w:tc>
          <w:tcPr>
            <w:tcW w:w="217" w:type="dxa"/>
          </w:tcPr>
          <w:p w14:paraId="5751634A" w14:textId="77777777" w:rsidR="002C0FD9" w:rsidRPr="00CA25CF" w:rsidRDefault="002C0FD9" w:rsidP="00CA25CF">
            <w:pPr>
              <w:rPr>
                <w:rFonts w:cs="Arial"/>
                <w:color w:val="FF0000"/>
                <w:sz w:val="21"/>
                <w:szCs w:val="21"/>
              </w:rPr>
            </w:pPr>
          </w:p>
        </w:tc>
        <w:tc>
          <w:tcPr>
            <w:tcW w:w="217" w:type="dxa"/>
          </w:tcPr>
          <w:p w14:paraId="685AF1E9" w14:textId="77777777" w:rsidR="002C0FD9" w:rsidRPr="00CA25CF" w:rsidRDefault="002C0FD9" w:rsidP="00CA25CF">
            <w:pPr>
              <w:rPr>
                <w:rFonts w:cs="Arial"/>
                <w:color w:val="FF0000"/>
                <w:sz w:val="21"/>
                <w:szCs w:val="21"/>
              </w:rPr>
            </w:pPr>
          </w:p>
        </w:tc>
        <w:tc>
          <w:tcPr>
            <w:tcW w:w="217" w:type="dxa"/>
          </w:tcPr>
          <w:p w14:paraId="03FF644B" w14:textId="77777777" w:rsidR="002C0FD9" w:rsidRPr="00CA25CF" w:rsidRDefault="002C0FD9" w:rsidP="00CA25CF">
            <w:pPr>
              <w:rPr>
                <w:rFonts w:cs="Arial"/>
                <w:color w:val="FF0000"/>
                <w:sz w:val="21"/>
                <w:szCs w:val="21"/>
              </w:rPr>
            </w:pPr>
          </w:p>
        </w:tc>
        <w:tc>
          <w:tcPr>
            <w:tcW w:w="217" w:type="dxa"/>
          </w:tcPr>
          <w:p w14:paraId="77B75341" w14:textId="77777777" w:rsidR="002C0FD9" w:rsidRPr="00CA25CF" w:rsidRDefault="002C0FD9" w:rsidP="00CA25CF">
            <w:pPr>
              <w:rPr>
                <w:rFonts w:cs="Arial"/>
                <w:color w:val="FF0000"/>
                <w:sz w:val="21"/>
                <w:szCs w:val="21"/>
              </w:rPr>
            </w:pPr>
          </w:p>
        </w:tc>
        <w:tc>
          <w:tcPr>
            <w:tcW w:w="217" w:type="dxa"/>
          </w:tcPr>
          <w:p w14:paraId="4F01E5CA" w14:textId="77777777" w:rsidR="002C0FD9" w:rsidRPr="00CA25CF" w:rsidRDefault="002C0FD9" w:rsidP="00CA25CF">
            <w:pPr>
              <w:rPr>
                <w:rFonts w:cs="Arial"/>
                <w:color w:val="FF0000"/>
                <w:sz w:val="21"/>
                <w:szCs w:val="21"/>
              </w:rPr>
            </w:pPr>
          </w:p>
        </w:tc>
        <w:tc>
          <w:tcPr>
            <w:tcW w:w="217" w:type="dxa"/>
          </w:tcPr>
          <w:p w14:paraId="16D955EB" w14:textId="77777777" w:rsidR="002C0FD9" w:rsidRPr="00CA25CF" w:rsidRDefault="002C0FD9" w:rsidP="00CA25CF">
            <w:pPr>
              <w:rPr>
                <w:rFonts w:cs="Arial"/>
                <w:color w:val="FF0000"/>
                <w:sz w:val="21"/>
                <w:szCs w:val="21"/>
              </w:rPr>
            </w:pPr>
          </w:p>
        </w:tc>
        <w:tc>
          <w:tcPr>
            <w:tcW w:w="217" w:type="dxa"/>
          </w:tcPr>
          <w:p w14:paraId="2AC1E28D" w14:textId="77777777" w:rsidR="002C0FD9" w:rsidRPr="00CA25CF" w:rsidRDefault="002C0FD9" w:rsidP="00CA25CF">
            <w:pPr>
              <w:rPr>
                <w:rFonts w:cs="Arial"/>
                <w:color w:val="FF0000"/>
                <w:sz w:val="21"/>
                <w:szCs w:val="21"/>
              </w:rPr>
            </w:pPr>
          </w:p>
        </w:tc>
      </w:tr>
      <w:tr w:rsidR="002C0FD9" w:rsidRPr="00A16219" w14:paraId="326098B4" w14:textId="2A65AC47" w:rsidTr="002C0FD9">
        <w:trPr>
          <w:trHeight w:val="635"/>
        </w:trPr>
        <w:tc>
          <w:tcPr>
            <w:tcW w:w="515" w:type="dxa"/>
          </w:tcPr>
          <w:p w14:paraId="6A15C30B" w14:textId="77777777" w:rsidR="002C0FD9" w:rsidRPr="00CA25CF" w:rsidRDefault="002C0FD9" w:rsidP="00CA25CF">
            <w:pPr>
              <w:rPr>
                <w:rFonts w:cs="Arial"/>
                <w:color w:val="FF0000"/>
                <w:sz w:val="21"/>
                <w:szCs w:val="21"/>
              </w:rPr>
            </w:pPr>
          </w:p>
        </w:tc>
        <w:tc>
          <w:tcPr>
            <w:tcW w:w="217" w:type="dxa"/>
          </w:tcPr>
          <w:p w14:paraId="25263869" w14:textId="77777777" w:rsidR="002C0FD9" w:rsidRPr="00CA25CF" w:rsidRDefault="002C0FD9" w:rsidP="00CA25CF">
            <w:pPr>
              <w:rPr>
                <w:rFonts w:cs="Arial"/>
                <w:color w:val="FF0000"/>
                <w:sz w:val="21"/>
                <w:szCs w:val="21"/>
              </w:rPr>
            </w:pPr>
          </w:p>
        </w:tc>
        <w:tc>
          <w:tcPr>
            <w:tcW w:w="217" w:type="dxa"/>
          </w:tcPr>
          <w:p w14:paraId="5FE86F1C" w14:textId="36C7AC35" w:rsidR="002C0FD9" w:rsidRPr="00CA25CF" w:rsidRDefault="002C0FD9" w:rsidP="00CA25CF">
            <w:pPr>
              <w:rPr>
                <w:rFonts w:cs="Arial"/>
                <w:color w:val="FF0000"/>
                <w:sz w:val="21"/>
                <w:szCs w:val="21"/>
              </w:rPr>
            </w:pPr>
          </w:p>
        </w:tc>
        <w:tc>
          <w:tcPr>
            <w:tcW w:w="217" w:type="dxa"/>
          </w:tcPr>
          <w:p w14:paraId="13B55816" w14:textId="77777777" w:rsidR="002C0FD9" w:rsidRPr="00CA25CF" w:rsidRDefault="002C0FD9" w:rsidP="00CA25CF">
            <w:pPr>
              <w:rPr>
                <w:rFonts w:cs="Arial"/>
                <w:color w:val="FF0000"/>
                <w:sz w:val="21"/>
                <w:szCs w:val="21"/>
              </w:rPr>
            </w:pPr>
          </w:p>
        </w:tc>
        <w:tc>
          <w:tcPr>
            <w:tcW w:w="217" w:type="dxa"/>
          </w:tcPr>
          <w:p w14:paraId="72FB7782" w14:textId="65C362E2" w:rsidR="002C0FD9" w:rsidRPr="00CA25CF" w:rsidRDefault="002C0FD9" w:rsidP="00CA25CF">
            <w:pPr>
              <w:rPr>
                <w:rFonts w:cs="Arial"/>
                <w:color w:val="FF0000"/>
                <w:sz w:val="21"/>
                <w:szCs w:val="21"/>
              </w:rPr>
            </w:pPr>
          </w:p>
        </w:tc>
        <w:tc>
          <w:tcPr>
            <w:tcW w:w="217" w:type="dxa"/>
          </w:tcPr>
          <w:p w14:paraId="3424BD79" w14:textId="77777777" w:rsidR="002C0FD9" w:rsidRPr="00CA25CF" w:rsidRDefault="002C0FD9" w:rsidP="00CA25CF">
            <w:pPr>
              <w:rPr>
                <w:rFonts w:cs="Arial"/>
                <w:color w:val="FF0000"/>
                <w:sz w:val="21"/>
                <w:szCs w:val="21"/>
              </w:rPr>
            </w:pPr>
          </w:p>
        </w:tc>
        <w:tc>
          <w:tcPr>
            <w:tcW w:w="217" w:type="dxa"/>
          </w:tcPr>
          <w:p w14:paraId="00859F8E" w14:textId="77777777" w:rsidR="002C0FD9" w:rsidRPr="00CA25CF" w:rsidRDefault="002C0FD9" w:rsidP="00CA25CF">
            <w:pPr>
              <w:rPr>
                <w:rFonts w:cs="Arial"/>
                <w:color w:val="FF0000"/>
                <w:sz w:val="21"/>
                <w:szCs w:val="21"/>
              </w:rPr>
            </w:pPr>
          </w:p>
        </w:tc>
        <w:tc>
          <w:tcPr>
            <w:tcW w:w="217" w:type="dxa"/>
          </w:tcPr>
          <w:p w14:paraId="2146C0D6" w14:textId="77777777" w:rsidR="002C0FD9" w:rsidRPr="00CA25CF" w:rsidRDefault="002C0FD9" w:rsidP="00CA25CF">
            <w:pPr>
              <w:rPr>
                <w:rFonts w:cs="Arial"/>
                <w:color w:val="FF0000"/>
                <w:sz w:val="21"/>
                <w:szCs w:val="21"/>
              </w:rPr>
            </w:pPr>
          </w:p>
        </w:tc>
        <w:tc>
          <w:tcPr>
            <w:tcW w:w="217" w:type="dxa"/>
          </w:tcPr>
          <w:p w14:paraId="0862D9B7" w14:textId="77777777" w:rsidR="002C0FD9" w:rsidRPr="00CA25CF" w:rsidRDefault="002C0FD9" w:rsidP="00CA25CF">
            <w:pPr>
              <w:rPr>
                <w:rFonts w:cs="Arial"/>
                <w:color w:val="FF0000"/>
                <w:sz w:val="21"/>
                <w:szCs w:val="21"/>
              </w:rPr>
            </w:pPr>
          </w:p>
        </w:tc>
        <w:tc>
          <w:tcPr>
            <w:tcW w:w="217" w:type="dxa"/>
          </w:tcPr>
          <w:p w14:paraId="5346EF43" w14:textId="77777777" w:rsidR="002C0FD9" w:rsidRPr="00CA25CF" w:rsidRDefault="002C0FD9" w:rsidP="00CA25CF">
            <w:pPr>
              <w:rPr>
                <w:rFonts w:cs="Arial"/>
                <w:color w:val="FF0000"/>
                <w:sz w:val="21"/>
                <w:szCs w:val="21"/>
              </w:rPr>
            </w:pPr>
          </w:p>
        </w:tc>
        <w:tc>
          <w:tcPr>
            <w:tcW w:w="217" w:type="dxa"/>
          </w:tcPr>
          <w:p w14:paraId="6355B681" w14:textId="77777777" w:rsidR="002C0FD9" w:rsidRPr="00CA25CF" w:rsidRDefault="002C0FD9" w:rsidP="00CA25CF">
            <w:pPr>
              <w:rPr>
                <w:rFonts w:cs="Arial"/>
                <w:color w:val="FF0000"/>
                <w:sz w:val="21"/>
                <w:szCs w:val="21"/>
              </w:rPr>
            </w:pPr>
          </w:p>
        </w:tc>
        <w:tc>
          <w:tcPr>
            <w:tcW w:w="217" w:type="dxa"/>
          </w:tcPr>
          <w:p w14:paraId="6A47528B" w14:textId="77777777" w:rsidR="002C0FD9" w:rsidRPr="00CA25CF" w:rsidRDefault="002C0FD9" w:rsidP="00CA25CF">
            <w:pPr>
              <w:rPr>
                <w:rFonts w:cs="Arial"/>
                <w:color w:val="FF0000"/>
                <w:sz w:val="21"/>
                <w:szCs w:val="21"/>
              </w:rPr>
            </w:pPr>
          </w:p>
        </w:tc>
        <w:tc>
          <w:tcPr>
            <w:tcW w:w="217" w:type="dxa"/>
          </w:tcPr>
          <w:p w14:paraId="4D369CF9" w14:textId="77777777" w:rsidR="002C0FD9" w:rsidRPr="00CA25CF" w:rsidRDefault="002C0FD9" w:rsidP="00CA25CF">
            <w:pPr>
              <w:rPr>
                <w:rFonts w:cs="Arial"/>
                <w:color w:val="FF0000"/>
                <w:sz w:val="21"/>
                <w:szCs w:val="21"/>
              </w:rPr>
            </w:pPr>
          </w:p>
        </w:tc>
        <w:tc>
          <w:tcPr>
            <w:tcW w:w="217" w:type="dxa"/>
          </w:tcPr>
          <w:p w14:paraId="4330EDAC" w14:textId="77777777" w:rsidR="002C0FD9" w:rsidRPr="00CA25CF" w:rsidRDefault="002C0FD9" w:rsidP="00CA25CF">
            <w:pPr>
              <w:rPr>
                <w:rFonts w:cs="Arial"/>
                <w:color w:val="FF0000"/>
                <w:sz w:val="21"/>
                <w:szCs w:val="21"/>
              </w:rPr>
            </w:pPr>
          </w:p>
        </w:tc>
        <w:tc>
          <w:tcPr>
            <w:tcW w:w="217" w:type="dxa"/>
          </w:tcPr>
          <w:p w14:paraId="471ACAEE" w14:textId="77777777" w:rsidR="002C0FD9" w:rsidRPr="00CA25CF" w:rsidRDefault="002C0FD9" w:rsidP="00CA25CF">
            <w:pPr>
              <w:rPr>
                <w:rFonts w:cs="Arial"/>
                <w:color w:val="FF0000"/>
                <w:sz w:val="21"/>
                <w:szCs w:val="21"/>
              </w:rPr>
            </w:pPr>
          </w:p>
        </w:tc>
        <w:tc>
          <w:tcPr>
            <w:tcW w:w="217" w:type="dxa"/>
          </w:tcPr>
          <w:p w14:paraId="5D660C45" w14:textId="6E4C83A2" w:rsidR="002C0FD9" w:rsidRPr="00CA25CF" w:rsidRDefault="002C0FD9" w:rsidP="00CA25CF">
            <w:pPr>
              <w:rPr>
                <w:rFonts w:cs="Arial"/>
                <w:color w:val="FF0000"/>
                <w:sz w:val="21"/>
                <w:szCs w:val="21"/>
              </w:rPr>
            </w:pPr>
          </w:p>
        </w:tc>
        <w:tc>
          <w:tcPr>
            <w:tcW w:w="217" w:type="dxa"/>
          </w:tcPr>
          <w:p w14:paraId="2EF1A4BC" w14:textId="77777777" w:rsidR="002C0FD9" w:rsidRPr="00CA25CF" w:rsidRDefault="002C0FD9" w:rsidP="00CA25CF">
            <w:pPr>
              <w:rPr>
                <w:rFonts w:cs="Arial"/>
                <w:color w:val="FF0000"/>
                <w:sz w:val="21"/>
                <w:szCs w:val="21"/>
              </w:rPr>
            </w:pPr>
          </w:p>
        </w:tc>
        <w:tc>
          <w:tcPr>
            <w:tcW w:w="217" w:type="dxa"/>
          </w:tcPr>
          <w:p w14:paraId="074988D5" w14:textId="77777777" w:rsidR="002C0FD9" w:rsidRPr="00CA25CF" w:rsidRDefault="002C0FD9" w:rsidP="00CA25CF">
            <w:pPr>
              <w:rPr>
                <w:rFonts w:cs="Arial"/>
                <w:color w:val="FF0000"/>
                <w:sz w:val="21"/>
                <w:szCs w:val="21"/>
              </w:rPr>
            </w:pPr>
          </w:p>
        </w:tc>
        <w:tc>
          <w:tcPr>
            <w:tcW w:w="217" w:type="dxa"/>
          </w:tcPr>
          <w:p w14:paraId="2B130043" w14:textId="77777777" w:rsidR="002C0FD9" w:rsidRPr="00CA25CF" w:rsidRDefault="002C0FD9" w:rsidP="00CA25CF">
            <w:pPr>
              <w:rPr>
                <w:rFonts w:cs="Arial"/>
                <w:color w:val="FF0000"/>
                <w:sz w:val="21"/>
                <w:szCs w:val="21"/>
              </w:rPr>
            </w:pPr>
          </w:p>
        </w:tc>
        <w:tc>
          <w:tcPr>
            <w:tcW w:w="217" w:type="dxa"/>
          </w:tcPr>
          <w:p w14:paraId="12FDDC9D" w14:textId="77777777" w:rsidR="002C0FD9" w:rsidRPr="00CA25CF" w:rsidRDefault="002C0FD9" w:rsidP="00CA25CF">
            <w:pPr>
              <w:rPr>
                <w:rFonts w:cs="Arial"/>
                <w:color w:val="FF0000"/>
                <w:sz w:val="21"/>
                <w:szCs w:val="21"/>
              </w:rPr>
            </w:pPr>
          </w:p>
        </w:tc>
        <w:tc>
          <w:tcPr>
            <w:tcW w:w="217" w:type="dxa"/>
          </w:tcPr>
          <w:p w14:paraId="30053772" w14:textId="77777777" w:rsidR="002C0FD9" w:rsidRPr="00CA25CF" w:rsidRDefault="002C0FD9" w:rsidP="00CA25CF">
            <w:pPr>
              <w:rPr>
                <w:rFonts w:cs="Arial"/>
                <w:color w:val="FF0000"/>
                <w:sz w:val="21"/>
                <w:szCs w:val="21"/>
              </w:rPr>
            </w:pPr>
          </w:p>
        </w:tc>
        <w:tc>
          <w:tcPr>
            <w:tcW w:w="217" w:type="dxa"/>
          </w:tcPr>
          <w:p w14:paraId="532CE408" w14:textId="77777777" w:rsidR="002C0FD9" w:rsidRPr="00CA25CF" w:rsidRDefault="002C0FD9" w:rsidP="00CA25CF">
            <w:pPr>
              <w:rPr>
                <w:rFonts w:cs="Arial"/>
                <w:color w:val="FF0000"/>
                <w:sz w:val="21"/>
                <w:szCs w:val="21"/>
              </w:rPr>
            </w:pPr>
          </w:p>
        </w:tc>
        <w:tc>
          <w:tcPr>
            <w:tcW w:w="217" w:type="dxa"/>
          </w:tcPr>
          <w:p w14:paraId="198EF2AB" w14:textId="77777777" w:rsidR="002C0FD9" w:rsidRPr="00CA25CF" w:rsidRDefault="002C0FD9" w:rsidP="00CA25CF">
            <w:pPr>
              <w:rPr>
                <w:rFonts w:cs="Arial"/>
                <w:color w:val="FF0000"/>
                <w:sz w:val="21"/>
                <w:szCs w:val="21"/>
              </w:rPr>
            </w:pPr>
          </w:p>
        </w:tc>
        <w:tc>
          <w:tcPr>
            <w:tcW w:w="217" w:type="dxa"/>
          </w:tcPr>
          <w:p w14:paraId="1C00398E" w14:textId="77777777" w:rsidR="002C0FD9" w:rsidRPr="00CA25CF" w:rsidRDefault="002C0FD9" w:rsidP="00CA25CF">
            <w:pPr>
              <w:rPr>
                <w:rFonts w:cs="Arial"/>
                <w:color w:val="FF0000"/>
                <w:sz w:val="21"/>
                <w:szCs w:val="21"/>
              </w:rPr>
            </w:pPr>
          </w:p>
        </w:tc>
        <w:tc>
          <w:tcPr>
            <w:tcW w:w="217" w:type="dxa"/>
          </w:tcPr>
          <w:p w14:paraId="4FACAF3D" w14:textId="77777777" w:rsidR="002C0FD9" w:rsidRPr="00CA25CF" w:rsidRDefault="002C0FD9" w:rsidP="00CA25CF">
            <w:pPr>
              <w:rPr>
                <w:rFonts w:cs="Arial"/>
                <w:color w:val="FF0000"/>
                <w:sz w:val="21"/>
                <w:szCs w:val="21"/>
              </w:rPr>
            </w:pPr>
          </w:p>
        </w:tc>
        <w:tc>
          <w:tcPr>
            <w:tcW w:w="217" w:type="dxa"/>
          </w:tcPr>
          <w:p w14:paraId="2ECB88E9" w14:textId="77777777" w:rsidR="002C0FD9" w:rsidRPr="00CA25CF" w:rsidRDefault="002C0FD9" w:rsidP="00CA25CF">
            <w:pPr>
              <w:rPr>
                <w:rFonts w:cs="Arial"/>
                <w:color w:val="FF0000"/>
                <w:sz w:val="21"/>
                <w:szCs w:val="21"/>
              </w:rPr>
            </w:pPr>
          </w:p>
        </w:tc>
        <w:tc>
          <w:tcPr>
            <w:tcW w:w="217" w:type="dxa"/>
          </w:tcPr>
          <w:p w14:paraId="51500CA3" w14:textId="77777777" w:rsidR="002C0FD9" w:rsidRPr="00CA25CF" w:rsidRDefault="002C0FD9" w:rsidP="00CA25CF">
            <w:pPr>
              <w:rPr>
                <w:rFonts w:cs="Arial"/>
                <w:color w:val="FF0000"/>
                <w:sz w:val="21"/>
                <w:szCs w:val="21"/>
              </w:rPr>
            </w:pPr>
          </w:p>
        </w:tc>
        <w:tc>
          <w:tcPr>
            <w:tcW w:w="217" w:type="dxa"/>
          </w:tcPr>
          <w:p w14:paraId="0701B9B0" w14:textId="77777777" w:rsidR="002C0FD9" w:rsidRPr="00CA25CF" w:rsidRDefault="002C0FD9" w:rsidP="00CA25CF">
            <w:pPr>
              <w:rPr>
                <w:rFonts w:cs="Arial"/>
                <w:color w:val="FF0000"/>
                <w:sz w:val="21"/>
                <w:szCs w:val="21"/>
              </w:rPr>
            </w:pPr>
          </w:p>
        </w:tc>
        <w:tc>
          <w:tcPr>
            <w:tcW w:w="217" w:type="dxa"/>
          </w:tcPr>
          <w:p w14:paraId="683D3AB3" w14:textId="77777777" w:rsidR="002C0FD9" w:rsidRPr="00CA25CF" w:rsidRDefault="002C0FD9" w:rsidP="00CA25CF">
            <w:pPr>
              <w:rPr>
                <w:rFonts w:cs="Arial"/>
                <w:color w:val="FF0000"/>
                <w:sz w:val="21"/>
                <w:szCs w:val="21"/>
              </w:rPr>
            </w:pPr>
          </w:p>
        </w:tc>
        <w:tc>
          <w:tcPr>
            <w:tcW w:w="217" w:type="dxa"/>
          </w:tcPr>
          <w:p w14:paraId="1001D3D9" w14:textId="77777777" w:rsidR="002C0FD9" w:rsidRPr="00CA25CF" w:rsidRDefault="002C0FD9" w:rsidP="00CA25CF">
            <w:pPr>
              <w:rPr>
                <w:rFonts w:cs="Arial"/>
                <w:color w:val="FF0000"/>
                <w:sz w:val="21"/>
                <w:szCs w:val="21"/>
              </w:rPr>
            </w:pPr>
          </w:p>
        </w:tc>
        <w:tc>
          <w:tcPr>
            <w:tcW w:w="217" w:type="dxa"/>
          </w:tcPr>
          <w:p w14:paraId="3128F81C" w14:textId="77777777" w:rsidR="002C0FD9" w:rsidRPr="00CA25CF" w:rsidRDefault="002C0FD9" w:rsidP="00CA25CF">
            <w:pPr>
              <w:rPr>
                <w:rFonts w:cs="Arial"/>
                <w:color w:val="FF0000"/>
                <w:sz w:val="21"/>
                <w:szCs w:val="21"/>
              </w:rPr>
            </w:pPr>
          </w:p>
        </w:tc>
        <w:tc>
          <w:tcPr>
            <w:tcW w:w="217" w:type="dxa"/>
          </w:tcPr>
          <w:p w14:paraId="0BC32091" w14:textId="77777777" w:rsidR="002C0FD9" w:rsidRPr="00CA25CF" w:rsidRDefault="002C0FD9" w:rsidP="00CA25CF">
            <w:pPr>
              <w:rPr>
                <w:rFonts w:cs="Arial"/>
                <w:color w:val="FF0000"/>
                <w:sz w:val="21"/>
                <w:szCs w:val="21"/>
              </w:rPr>
            </w:pPr>
          </w:p>
        </w:tc>
        <w:tc>
          <w:tcPr>
            <w:tcW w:w="217" w:type="dxa"/>
          </w:tcPr>
          <w:p w14:paraId="57C51EB6" w14:textId="77777777" w:rsidR="002C0FD9" w:rsidRPr="00CA25CF" w:rsidRDefault="002C0FD9" w:rsidP="00CA25CF">
            <w:pPr>
              <w:rPr>
                <w:rFonts w:cs="Arial"/>
                <w:color w:val="FF0000"/>
                <w:sz w:val="21"/>
                <w:szCs w:val="21"/>
              </w:rPr>
            </w:pPr>
          </w:p>
        </w:tc>
        <w:tc>
          <w:tcPr>
            <w:tcW w:w="217" w:type="dxa"/>
          </w:tcPr>
          <w:p w14:paraId="40380342" w14:textId="77777777" w:rsidR="002C0FD9" w:rsidRPr="00CA25CF" w:rsidRDefault="002C0FD9" w:rsidP="00CA25CF">
            <w:pPr>
              <w:rPr>
                <w:rFonts w:cs="Arial"/>
                <w:color w:val="FF0000"/>
                <w:sz w:val="21"/>
                <w:szCs w:val="21"/>
              </w:rPr>
            </w:pPr>
          </w:p>
        </w:tc>
        <w:tc>
          <w:tcPr>
            <w:tcW w:w="217" w:type="dxa"/>
          </w:tcPr>
          <w:p w14:paraId="3FE1DE55" w14:textId="77777777" w:rsidR="002C0FD9" w:rsidRPr="00CA25CF" w:rsidRDefault="002C0FD9" w:rsidP="00CA25CF">
            <w:pPr>
              <w:rPr>
                <w:rFonts w:cs="Arial"/>
                <w:color w:val="FF0000"/>
                <w:sz w:val="21"/>
                <w:szCs w:val="21"/>
              </w:rPr>
            </w:pPr>
          </w:p>
        </w:tc>
        <w:tc>
          <w:tcPr>
            <w:tcW w:w="217" w:type="dxa"/>
          </w:tcPr>
          <w:p w14:paraId="571B372C" w14:textId="77777777" w:rsidR="002C0FD9" w:rsidRPr="00CA25CF" w:rsidRDefault="002C0FD9" w:rsidP="00CA25CF">
            <w:pPr>
              <w:rPr>
                <w:rFonts w:cs="Arial"/>
                <w:color w:val="FF0000"/>
                <w:sz w:val="21"/>
                <w:szCs w:val="21"/>
              </w:rPr>
            </w:pPr>
          </w:p>
        </w:tc>
        <w:tc>
          <w:tcPr>
            <w:tcW w:w="217" w:type="dxa"/>
          </w:tcPr>
          <w:p w14:paraId="4A207A16" w14:textId="77777777" w:rsidR="002C0FD9" w:rsidRPr="00CA25CF" w:rsidRDefault="002C0FD9" w:rsidP="00CA25CF">
            <w:pPr>
              <w:rPr>
                <w:rFonts w:cs="Arial"/>
                <w:color w:val="FF0000"/>
                <w:sz w:val="21"/>
                <w:szCs w:val="21"/>
              </w:rPr>
            </w:pPr>
          </w:p>
        </w:tc>
        <w:tc>
          <w:tcPr>
            <w:tcW w:w="217" w:type="dxa"/>
          </w:tcPr>
          <w:p w14:paraId="5AF8756F" w14:textId="77777777" w:rsidR="002C0FD9" w:rsidRPr="00CA25CF" w:rsidRDefault="002C0FD9" w:rsidP="00CA25CF">
            <w:pPr>
              <w:rPr>
                <w:rFonts w:cs="Arial"/>
                <w:color w:val="FF0000"/>
                <w:sz w:val="21"/>
                <w:szCs w:val="21"/>
              </w:rPr>
            </w:pPr>
          </w:p>
        </w:tc>
        <w:tc>
          <w:tcPr>
            <w:tcW w:w="217" w:type="dxa"/>
          </w:tcPr>
          <w:p w14:paraId="08BDFC31" w14:textId="77777777" w:rsidR="002C0FD9" w:rsidRPr="00CA25CF" w:rsidRDefault="002C0FD9" w:rsidP="00CA25CF">
            <w:pPr>
              <w:rPr>
                <w:rFonts w:cs="Arial"/>
                <w:color w:val="FF0000"/>
                <w:sz w:val="21"/>
                <w:szCs w:val="21"/>
              </w:rPr>
            </w:pPr>
          </w:p>
        </w:tc>
        <w:tc>
          <w:tcPr>
            <w:tcW w:w="217" w:type="dxa"/>
          </w:tcPr>
          <w:p w14:paraId="7B80A79C" w14:textId="77777777" w:rsidR="002C0FD9" w:rsidRPr="00CA25CF" w:rsidRDefault="002C0FD9" w:rsidP="00CA25CF">
            <w:pPr>
              <w:rPr>
                <w:rFonts w:cs="Arial"/>
                <w:color w:val="FF0000"/>
                <w:sz w:val="21"/>
                <w:szCs w:val="21"/>
              </w:rPr>
            </w:pPr>
          </w:p>
        </w:tc>
        <w:tc>
          <w:tcPr>
            <w:tcW w:w="217" w:type="dxa"/>
          </w:tcPr>
          <w:p w14:paraId="11AAF446" w14:textId="77777777" w:rsidR="002C0FD9" w:rsidRPr="00CA25CF" w:rsidRDefault="002C0FD9" w:rsidP="00CA25CF">
            <w:pPr>
              <w:rPr>
                <w:rFonts w:cs="Arial"/>
                <w:color w:val="FF0000"/>
                <w:sz w:val="21"/>
                <w:szCs w:val="21"/>
              </w:rPr>
            </w:pPr>
          </w:p>
        </w:tc>
        <w:tc>
          <w:tcPr>
            <w:tcW w:w="217" w:type="dxa"/>
          </w:tcPr>
          <w:p w14:paraId="6669EAC8" w14:textId="77777777" w:rsidR="002C0FD9" w:rsidRPr="00CA25CF" w:rsidRDefault="002C0FD9" w:rsidP="00CA25CF">
            <w:pPr>
              <w:rPr>
                <w:rFonts w:cs="Arial"/>
                <w:color w:val="FF0000"/>
                <w:sz w:val="21"/>
                <w:szCs w:val="21"/>
              </w:rPr>
            </w:pPr>
          </w:p>
        </w:tc>
        <w:tc>
          <w:tcPr>
            <w:tcW w:w="217" w:type="dxa"/>
          </w:tcPr>
          <w:p w14:paraId="0860F432" w14:textId="77777777" w:rsidR="002C0FD9" w:rsidRPr="00CA25CF" w:rsidRDefault="002C0FD9" w:rsidP="00CA25CF">
            <w:pPr>
              <w:rPr>
                <w:rFonts w:cs="Arial"/>
                <w:color w:val="FF0000"/>
                <w:sz w:val="21"/>
                <w:szCs w:val="21"/>
              </w:rPr>
            </w:pPr>
          </w:p>
        </w:tc>
      </w:tr>
      <w:tr w:rsidR="002C0FD9" w:rsidRPr="00A16219" w14:paraId="6524A666" w14:textId="31DA1FDA" w:rsidTr="002C0FD9">
        <w:trPr>
          <w:trHeight w:val="635"/>
        </w:trPr>
        <w:tc>
          <w:tcPr>
            <w:tcW w:w="515" w:type="dxa"/>
          </w:tcPr>
          <w:p w14:paraId="3ECEF0E5" w14:textId="77777777" w:rsidR="002C0FD9" w:rsidRPr="00CA25CF" w:rsidRDefault="002C0FD9" w:rsidP="00CA25CF">
            <w:pPr>
              <w:rPr>
                <w:rFonts w:cs="Arial"/>
                <w:color w:val="FF0000"/>
                <w:sz w:val="21"/>
                <w:szCs w:val="21"/>
              </w:rPr>
            </w:pPr>
          </w:p>
        </w:tc>
        <w:tc>
          <w:tcPr>
            <w:tcW w:w="217" w:type="dxa"/>
          </w:tcPr>
          <w:p w14:paraId="770A1CF7" w14:textId="77777777" w:rsidR="002C0FD9" w:rsidRPr="00CA25CF" w:rsidRDefault="002C0FD9" w:rsidP="00CA25CF">
            <w:pPr>
              <w:rPr>
                <w:rFonts w:cs="Arial"/>
                <w:color w:val="FF0000"/>
                <w:sz w:val="21"/>
                <w:szCs w:val="21"/>
              </w:rPr>
            </w:pPr>
          </w:p>
        </w:tc>
        <w:tc>
          <w:tcPr>
            <w:tcW w:w="217" w:type="dxa"/>
          </w:tcPr>
          <w:p w14:paraId="23FC4591" w14:textId="29D1F754" w:rsidR="002C0FD9" w:rsidRPr="00CA25CF" w:rsidRDefault="002C0FD9" w:rsidP="00CA25CF">
            <w:pPr>
              <w:rPr>
                <w:rFonts w:cs="Arial"/>
                <w:color w:val="FF0000"/>
                <w:sz w:val="21"/>
                <w:szCs w:val="21"/>
              </w:rPr>
            </w:pPr>
          </w:p>
        </w:tc>
        <w:tc>
          <w:tcPr>
            <w:tcW w:w="217" w:type="dxa"/>
          </w:tcPr>
          <w:p w14:paraId="197927B6" w14:textId="77777777" w:rsidR="002C0FD9" w:rsidRPr="00CA25CF" w:rsidRDefault="002C0FD9" w:rsidP="00CA25CF">
            <w:pPr>
              <w:rPr>
                <w:rFonts w:cs="Arial"/>
                <w:color w:val="FF0000"/>
                <w:sz w:val="21"/>
                <w:szCs w:val="21"/>
              </w:rPr>
            </w:pPr>
          </w:p>
        </w:tc>
        <w:tc>
          <w:tcPr>
            <w:tcW w:w="217" w:type="dxa"/>
          </w:tcPr>
          <w:p w14:paraId="200588AB" w14:textId="44D0CDEF" w:rsidR="002C0FD9" w:rsidRPr="00CA25CF" w:rsidRDefault="002C0FD9" w:rsidP="00CA25CF">
            <w:pPr>
              <w:rPr>
                <w:rFonts w:cs="Arial"/>
                <w:color w:val="FF0000"/>
                <w:sz w:val="21"/>
                <w:szCs w:val="21"/>
              </w:rPr>
            </w:pPr>
          </w:p>
        </w:tc>
        <w:tc>
          <w:tcPr>
            <w:tcW w:w="217" w:type="dxa"/>
          </w:tcPr>
          <w:p w14:paraId="0F58DC6B" w14:textId="77777777" w:rsidR="002C0FD9" w:rsidRPr="00CA25CF" w:rsidRDefault="002C0FD9" w:rsidP="00CA25CF">
            <w:pPr>
              <w:rPr>
                <w:rFonts w:cs="Arial"/>
                <w:color w:val="FF0000"/>
                <w:sz w:val="21"/>
                <w:szCs w:val="21"/>
              </w:rPr>
            </w:pPr>
          </w:p>
        </w:tc>
        <w:tc>
          <w:tcPr>
            <w:tcW w:w="217" w:type="dxa"/>
          </w:tcPr>
          <w:p w14:paraId="5F0CB59C" w14:textId="77777777" w:rsidR="002C0FD9" w:rsidRPr="00CA25CF" w:rsidRDefault="002C0FD9" w:rsidP="00CA25CF">
            <w:pPr>
              <w:rPr>
                <w:rFonts w:cs="Arial"/>
                <w:color w:val="FF0000"/>
                <w:sz w:val="21"/>
                <w:szCs w:val="21"/>
              </w:rPr>
            </w:pPr>
          </w:p>
        </w:tc>
        <w:tc>
          <w:tcPr>
            <w:tcW w:w="217" w:type="dxa"/>
          </w:tcPr>
          <w:p w14:paraId="059FF91E" w14:textId="77777777" w:rsidR="002C0FD9" w:rsidRPr="00CA25CF" w:rsidRDefault="002C0FD9" w:rsidP="00CA25CF">
            <w:pPr>
              <w:rPr>
                <w:rFonts w:cs="Arial"/>
                <w:color w:val="FF0000"/>
                <w:sz w:val="21"/>
                <w:szCs w:val="21"/>
              </w:rPr>
            </w:pPr>
          </w:p>
        </w:tc>
        <w:tc>
          <w:tcPr>
            <w:tcW w:w="217" w:type="dxa"/>
          </w:tcPr>
          <w:p w14:paraId="1F3BB42E" w14:textId="77777777" w:rsidR="002C0FD9" w:rsidRPr="00CA25CF" w:rsidRDefault="002C0FD9" w:rsidP="00CA25CF">
            <w:pPr>
              <w:rPr>
                <w:rFonts w:cs="Arial"/>
                <w:color w:val="FF0000"/>
                <w:sz w:val="21"/>
                <w:szCs w:val="21"/>
              </w:rPr>
            </w:pPr>
          </w:p>
        </w:tc>
        <w:tc>
          <w:tcPr>
            <w:tcW w:w="217" w:type="dxa"/>
          </w:tcPr>
          <w:p w14:paraId="507BFCDC" w14:textId="77777777" w:rsidR="002C0FD9" w:rsidRPr="00CA25CF" w:rsidRDefault="002C0FD9" w:rsidP="00CA25CF">
            <w:pPr>
              <w:rPr>
                <w:rFonts w:cs="Arial"/>
                <w:color w:val="FF0000"/>
                <w:sz w:val="21"/>
                <w:szCs w:val="21"/>
              </w:rPr>
            </w:pPr>
          </w:p>
        </w:tc>
        <w:tc>
          <w:tcPr>
            <w:tcW w:w="217" w:type="dxa"/>
          </w:tcPr>
          <w:p w14:paraId="3FA06DF2" w14:textId="77777777" w:rsidR="002C0FD9" w:rsidRPr="00CA25CF" w:rsidRDefault="002C0FD9" w:rsidP="00CA25CF">
            <w:pPr>
              <w:rPr>
                <w:rFonts w:cs="Arial"/>
                <w:color w:val="FF0000"/>
                <w:sz w:val="21"/>
                <w:szCs w:val="21"/>
              </w:rPr>
            </w:pPr>
          </w:p>
        </w:tc>
        <w:tc>
          <w:tcPr>
            <w:tcW w:w="217" w:type="dxa"/>
          </w:tcPr>
          <w:p w14:paraId="08A6B795" w14:textId="77777777" w:rsidR="002C0FD9" w:rsidRPr="00CA25CF" w:rsidRDefault="002C0FD9" w:rsidP="00CA25CF">
            <w:pPr>
              <w:rPr>
                <w:rFonts w:cs="Arial"/>
                <w:color w:val="FF0000"/>
                <w:sz w:val="21"/>
                <w:szCs w:val="21"/>
              </w:rPr>
            </w:pPr>
          </w:p>
        </w:tc>
        <w:tc>
          <w:tcPr>
            <w:tcW w:w="217" w:type="dxa"/>
          </w:tcPr>
          <w:p w14:paraId="7EDD7A5C" w14:textId="77777777" w:rsidR="002C0FD9" w:rsidRPr="00CA25CF" w:rsidRDefault="002C0FD9" w:rsidP="00CA25CF">
            <w:pPr>
              <w:rPr>
                <w:rFonts w:cs="Arial"/>
                <w:color w:val="FF0000"/>
                <w:sz w:val="21"/>
                <w:szCs w:val="21"/>
              </w:rPr>
            </w:pPr>
          </w:p>
        </w:tc>
        <w:tc>
          <w:tcPr>
            <w:tcW w:w="217" w:type="dxa"/>
          </w:tcPr>
          <w:p w14:paraId="11AC1436" w14:textId="77777777" w:rsidR="002C0FD9" w:rsidRPr="00CA25CF" w:rsidRDefault="002C0FD9" w:rsidP="00CA25CF">
            <w:pPr>
              <w:rPr>
                <w:rFonts w:cs="Arial"/>
                <w:color w:val="FF0000"/>
                <w:sz w:val="21"/>
                <w:szCs w:val="21"/>
              </w:rPr>
            </w:pPr>
          </w:p>
        </w:tc>
        <w:tc>
          <w:tcPr>
            <w:tcW w:w="217" w:type="dxa"/>
          </w:tcPr>
          <w:p w14:paraId="1190079A" w14:textId="77777777" w:rsidR="002C0FD9" w:rsidRPr="00CA25CF" w:rsidRDefault="002C0FD9" w:rsidP="00CA25CF">
            <w:pPr>
              <w:rPr>
                <w:rFonts w:cs="Arial"/>
                <w:color w:val="FF0000"/>
                <w:sz w:val="21"/>
                <w:szCs w:val="21"/>
              </w:rPr>
            </w:pPr>
          </w:p>
        </w:tc>
        <w:tc>
          <w:tcPr>
            <w:tcW w:w="217" w:type="dxa"/>
          </w:tcPr>
          <w:p w14:paraId="74B9E122" w14:textId="44F251DF" w:rsidR="002C0FD9" w:rsidRPr="00CA25CF" w:rsidRDefault="002C0FD9" w:rsidP="00CA25CF">
            <w:pPr>
              <w:rPr>
                <w:rFonts w:cs="Arial"/>
                <w:color w:val="FF0000"/>
                <w:sz w:val="21"/>
                <w:szCs w:val="21"/>
              </w:rPr>
            </w:pPr>
          </w:p>
        </w:tc>
        <w:tc>
          <w:tcPr>
            <w:tcW w:w="217" w:type="dxa"/>
          </w:tcPr>
          <w:p w14:paraId="19FEDDF3" w14:textId="77777777" w:rsidR="002C0FD9" w:rsidRPr="00CA25CF" w:rsidRDefault="002C0FD9" w:rsidP="00CA25CF">
            <w:pPr>
              <w:rPr>
                <w:rFonts w:cs="Arial"/>
                <w:color w:val="FF0000"/>
                <w:sz w:val="21"/>
                <w:szCs w:val="21"/>
              </w:rPr>
            </w:pPr>
          </w:p>
        </w:tc>
        <w:tc>
          <w:tcPr>
            <w:tcW w:w="217" w:type="dxa"/>
          </w:tcPr>
          <w:p w14:paraId="61956BD9" w14:textId="77777777" w:rsidR="002C0FD9" w:rsidRPr="00CA25CF" w:rsidRDefault="002C0FD9" w:rsidP="00CA25CF">
            <w:pPr>
              <w:rPr>
                <w:rFonts w:cs="Arial"/>
                <w:color w:val="FF0000"/>
                <w:sz w:val="21"/>
                <w:szCs w:val="21"/>
              </w:rPr>
            </w:pPr>
          </w:p>
        </w:tc>
        <w:tc>
          <w:tcPr>
            <w:tcW w:w="217" w:type="dxa"/>
          </w:tcPr>
          <w:p w14:paraId="3C5742FE" w14:textId="77777777" w:rsidR="002C0FD9" w:rsidRPr="00CA25CF" w:rsidRDefault="002C0FD9" w:rsidP="00CA25CF">
            <w:pPr>
              <w:rPr>
                <w:rFonts w:cs="Arial"/>
                <w:color w:val="FF0000"/>
                <w:sz w:val="21"/>
                <w:szCs w:val="21"/>
              </w:rPr>
            </w:pPr>
          </w:p>
        </w:tc>
        <w:tc>
          <w:tcPr>
            <w:tcW w:w="217" w:type="dxa"/>
          </w:tcPr>
          <w:p w14:paraId="7AB1D7F9" w14:textId="77777777" w:rsidR="002C0FD9" w:rsidRPr="00CA25CF" w:rsidRDefault="002C0FD9" w:rsidP="00CA25CF">
            <w:pPr>
              <w:rPr>
                <w:rFonts w:cs="Arial"/>
                <w:color w:val="FF0000"/>
                <w:sz w:val="21"/>
                <w:szCs w:val="21"/>
              </w:rPr>
            </w:pPr>
          </w:p>
        </w:tc>
        <w:tc>
          <w:tcPr>
            <w:tcW w:w="217" w:type="dxa"/>
          </w:tcPr>
          <w:p w14:paraId="13B75329" w14:textId="77777777" w:rsidR="002C0FD9" w:rsidRPr="00CA25CF" w:rsidRDefault="002C0FD9" w:rsidP="00CA25CF">
            <w:pPr>
              <w:rPr>
                <w:rFonts w:cs="Arial"/>
                <w:color w:val="FF0000"/>
                <w:sz w:val="21"/>
                <w:szCs w:val="21"/>
              </w:rPr>
            </w:pPr>
          </w:p>
        </w:tc>
        <w:tc>
          <w:tcPr>
            <w:tcW w:w="217" w:type="dxa"/>
          </w:tcPr>
          <w:p w14:paraId="7AFE0E5A" w14:textId="77777777" w:rsidR="002C0FD9" w:rsidRPr="00CA25CF" w:rsidRDefault="002C0FD9" w:rsidP="00CA25CF">
            <w:pPr>
              <w:rPr>
                <w:rFonts w:cs="Arial"/>
                <w:color w:val="FF0000"/>
                <w:sz w:val="21"/>
                <w:szCs w:val="21"/>
              </w:rPr>
            </w:pPr>
          </w:p>
        </w:tc>
        <w:tc>
          <w:tcPr>
            <w:tcW w:w="217" w:type="dxa"/>
          </w:tcPr>
          <w:p w14:paraId="1804C078" w14:textId="77777777" w:rsidR="002C0FD9" w:rsidRPr="00CA25CF" w:rsidRDefault="002C0FD9" w:rsidP="00CA25CF">
            <w:pPr>
              <w:rPr>
                <w:rFonts w:cs="Arial"/>
                <w:color w:val="FF0000"/>
                <w:sz w:val="21"/>
                <w:szCs w:val="21"/>
              </w:rPr>
            </w:pPr>
          </w:p>
        </w:tc>
        <w:tc>
          <w:tcPr>
            <w:tcW w:w="217" w:type="dxa"/>
          </w:tcPr>
          <w:p w14:paraId="09588002" w14:textId="77777777" w:rsidR="002C0FD9" w:rsidRPr="00CA25CF" w:rsidRDefault="002C0FD9" w:rsidP="00CA25CF">
            <w:pPr>
              <w:rPr>
                <w:rFonts w:cs="Arial"/>
                <w:color w:val="FF0000"/>
                <w:sz w:val="21"/>
                <w:szCs w:val="21"/>
              </w:rPr>
            </w:pPr>
          </w:p>
        </w:tc>
        <w:tc>
          <w:tcPr>
            <w:tcW w:w="217" w:type="dxa"/>
          </w:tcPr>
          <w:p w14:paraId="233379FC" w14:textId="77777777" w:rsidR="002C0FD9" w:rsidRPr="00CA25CF" w:rsidRDefault="002C0FD9" w:rsidP="00CA25CF">
            <w:pPr>
              <w:rPr>
                <w:rFonts w:cs="Arial"/>
                <w:color w:val="FF0000"/>
                <w:sz w:val="21"/>
                <w:szCs w:val="21"/>
              </w:rPr>
            </w:pPr>
          </w:p>
        </w:tc>
        <w:tc>
          <w:tcPr>
            <w:tcW w:w="217" w:type="dxa"/>
          </w:tcPr>
          <w:p w14:paraId="08DB874D" w14:textId="77777777" w:rsidR="002C0FD9" w:rsidRPr="00CA25CF" w:rsidRDefault="002C0FD9" w:rsidP="00CA25CF">
            <w:pPr>
              <w:rPr>
                <w:rFonts w:cs="Arial"/>
                <w:color w:val="FF0000"/>
                <w:sz w:val="21"/>
                <w:szCs w:val="21"/>
              </w:rPr>
            </w:pPr>
          </w:p>
        </w:tc>
        <w:tc>
          <w:tcPr>
            <w:tcW w:w="217" w:type="dxa"/>
          </w:tcPr>
          <w:p w14:paraId="68E244C6" w14:textId="77777777" w:rsidR="002C0FD9" w:rsidRPr="00CA25CF" w:rsidRDefault="002C0FD9" w:rsidP="00CA25CF">
            <w:pPr>
              <w:rPr>
                <w:rFonts w:cs="Arial"/>
                <w:color w:val="FF0000"/>
                <w:sz w:val="21"/>
                <w:szCs w:val="21"/>
              </w:rPr>
            </w:pPr>
          </w:p>
        </w:tc>
        <w:tc>
          <w:tcPr>
            <w:tcW w:w="217" w:type="dxa"/>
          </w:tcPr>
          <w:p w14:paraId="4B755BC9" w14:textId="77777777" w:rsidR="002C0FD9" w:rsidRPr="00CA25CF" w:rsidRDefault="002C0FD9" w:rsidP="00CA25CF">
            <w:pPr>
              <w:rPr>
                <w:rFonts w:cs="Arial"/>
                <w:color w:val="FF0000"/>
                <w:sz w:val="21"/>
                <w:szCs w:val="21"/>
              </w:rPr>
            </w:pPr>
          </w:p>
        </w:tc>
        <w:tc>
          <w:tcPr>
            <w:tcW w:w="217" w:type="dxa"/>
          </w:tcPr>
          <w:p w14:paraId="704F1186" w14:textId="77777777" w:rsidR="002C0FD9" w:rsidRPr="00CA25CF" w:rsidRDefault="002C0FD9" w:rsidP="00CA25CF">
            <w:pPr>
              <w:rPr>
                <w:rFonts w:cs="Arial"/>
                <w:color w:val="FF0000"/>
                <w:sz w:val="21"/>
                <w:szCs w:val="21"/>
              </w:rPr>
            </w:pPr>
          </w:p>
        </w:tc>
        <w:tc>
          <w:tcPr>
            <w:tcW w:w="217" w:type="dxa"/>
          </w:tcPr>
          <w:p w14:paraId="246023EA" w14:textId="77777777" w:rsidR="002C0FD9" w:rsidRPr="00CA25CF" w:rsidRDefault="002C0FD9" w:rsidP="00CA25CF">
            <w:pPr>
              <w:rPr>
                <w:rFonts w:cs="Arial"/>
                <w:color w:val="FF0000"/>
                <w:sz w:val="21"/>
                <w:szCs w:val="21"/>
              </w:rPr>
            </w:pPr>
          </w:p>
        </w:tc>
        <w:tc>
          <w:tcPr>
            <w:tcW w:w="217" w:type="dxa"/>
          </w:tcPr>
          <w:p w14:paraId="174E8095" w14:textId="77777777" w:rsidR="002C0FD9" w:rsidRPr="00CA25CF" w:rsidRDefault="002C0FD9" w:rsidP="00CA25CF">
            <w:pPr>
              <w:rPr>
                <w:rFonts w:cs="Arial"/>
                <w:color w:val="FF0000"/>
                <w:sz w:val="21"/>
                <w:szCs w:val="21"/>
              </w:rPr>
            </w:pPr>
          </w:p>
        </w:tc>
        <w:tc>
          <w:tcPr>
            <w:tcW w:w="217" w:type="dxa"/>
          </w:tcPr>
          <w:p w14:paraId="39A78CED" w14:textId="77777777" w:rsidR="002C0FD9" w:rsidRPr="00CA25CF" w:rsidRDefault="002C0FD9" w:rsidP="00CA25CF">
            <w:pPr>
              <w:rPr>
                <w:rFonts w:cs="Arial"/>
                <w:color w:val="FF0000"/>
                <w:sz w:val="21"/>
                <w:szCs w:val="21"/>
              </w:rPr>
            </w:pPr>
          </w:p>
        </w:tc>
        <w:tc>
          <w:tcPr>
            <w:tcW w:w="217" w:type="dxa"/>
          </w:tcPr>
          <w:p w14:paraId="6BD62DCC" w14:textId="77777777" w:rsidR="002C0FD9" w:rsidRPr="00CA25CF" w:rsidRDefault="002C0FD9" w:rsidP="00CA25CF">
            <w:pPr>
              <w:rPr>
                <w:rFonts w:cs="Arial"/>
                <w:color w:val="FF0000"/>
                <w:sz w:val="21"/>
                <w:szCs w:val="21"/>
              </w:rPr>
            </w:pPr>
          </w:p>
        </w:tc>
        <w:tc>
          <w:tcPr>
            <w:tcW w:w="217" w:type="dxa"/>
          </w:tcPr>
          <w:p w14:paraId="12A7D2D0" w14:textId="77777777" w:rsidR="002C0FD9" w:rsidRPr="00CA25CF" w:rsidRDefault="002C0FD9" w:rsidP="00CA25CF">
            <w:pPr>
              <w:rPr>
                <w:rFonts w:cs="Arial"/>
                <w:color w:val="FF0000"/>
                <w:sz w:val="21"/>
                <w:szCs w:val="21"/>
              </w:rPr>
            </w:pPr>
          </w:p>
        </w:tc>
        <w:tc>
          <w:tcPr>
            <w:tcW w:w="217" w:type="dxa"/>
          </w:tcPr>
          <w:p w14:paraId="4B4F3806" w14:textId="77777777" w:rsidR="002C0FD9" w:rsidRPr="00CA25CF" w:rsidRDefault="002C0FD9" w:rsidP="00CA25CF">
            <w:pPr>
              <w:rPr>
                <w:rFonts w:cs="Arial"/>
                <w:color w:val="FF0000"/>
                <w:sz w:val="21"/>
                <w:szCs w:val="21"/>
              </w:rPr>
            </w:pPr>
          </w:p>
        </w:tc>
        <w:tc>
          <w:tcPr>
            <w:tcW w:w="217" w:type="dxa"/>
          </w:tcPr>
          <w:p w14:paraId="39251C71" w14:textId="77777777" w:rsidR="002C0FD9" w:rsidRPr="00CA25CF" w:rsidRDefault="002C0FD9" w:rsidP="00CA25CF">
            <w:pPr>
              <w:rPr>
                <w:rFonts w:cs="Arial"/>
                <w:color w:val="FF0000"/>
                <w:sz w:val="21"/>
                <w:szCs w:val="21"/>
              </w:rPr>
            </w:pPr>
          </w:p>
        </w:tc>
        <w:tc>
          <w:tcPr>
            <w:tcW w:w="217" w:type="dxa"/>
          </w:tcPr>
          <w:p w14:paraId="5FC0E1DB" w14:textId="77777777" w:rsidR="002C0FD9" w:rsidRPr="00CA25CF" w:rsidRDefault="002C0FD9" w:rsidP="00CA25CF">
            <w:pPr>
              <w:rPr>
                <w:rFonts w:cs="Arial"/>
                <w:color w:val="FF0000"/>
                <w:sz w:val="21"/>
                <w:szCs w:val="21"/>
              </w:rPr>
            </w:pPr>
          </w:p>
        </w:tc>
        <w:tc>
          <w:tcPr>
            <w:tcW w:w="217" w:type="dxa"/>
          </w:tcPr>
          <w:p w14:paraId="05A5815A" w14:textId="77777777" w:rsidR="002C0FD9" w:rsidRPr="00CA25CF" w:rsidRDefault="002C0FD9" w:rsidP="00CA25CF">
            <w:pPr>
              <w:rPr>
                <w:rFonts w:cs="Arial"/>
                <w:color w:val="FF0000"/>
                <w:sz w:val="21"/>
                <w:szCs w:val="21"/>
              </w:rPr>
            </w:pPr>
          </w:p>
        </w:tc>
        <w:tc>
          <w:tcPr>
            <w:tcW w:w="217" w:type="dxa"/>
          </w:tcPr>
          <w:p w14:paraId="396017A9" w14:textId="77777777" w:rsidR="002C0FD9" w:rsidRPr="00CA25CF" w:rsidRDefault="002C0FD9" w:rsidP="00CA25CF">
            <w:pPr>
              <w:rPr>
                <w:rFonts w:cs="Arial"/>
                <w:color w:val="FF0000"/>
                <w:sz w:val="21"/>
                <w:szCs w:val="21"/>
              </w:rPr>
            </w:pPr>
          </w:p>
        </w:tc>
        <w:tc>
          <w:tcPr>
            <w:tcW w:w="217" w:type="dxa"/>
          </w:tcPr>
          <w:p w14:paraId="3678908D" w14:textId="77777777" w:rsidR="002C0FD9" w:rsidRPr="00CA25CF" w:rsidRDefault="002C0FD9" w:rsidP="00CA25CF">
            <w:pPr>
              <w:rPr>
                <w:rFonts w:cs="Arial"/>
                <w:color w:val="FF0000"/>
                <w:sz w:val="21"/>
                <w:szCs w:val="21"/>
              </w:rPr>
            </w:pPr>
          </w:p>
        </w:tc>
        <w:tc>
          <w:tcPr>
            <w:tcW w:w="217" w:type="dxa"/>
          </w:tcPr>
          <w:p w14:paraId="4A4E491D" w14:textId="77777777" w:rsidR="002C0FD9" w:rsidRPr="00CA25CF" w:rsidRDefault="002C0FD9" w:rsidP="00CA25CF">
            <w:pPr>
              <w:rPr>
                <w:rFonts w:cs="Arial"/>
                <w:color w:val="FF0000"/>
                <w:sz w:val="21"/>
                <w:szCs w:val="21"/>
              </w:rPr>
            </w:pPr>
          </w:p>
        </w:tc>
        <w:tc>
          <w:tcPr>
            <w:tcW w:w="217" w:type="dxa"/>
          </w:tcPr>
          <w:p w14:paraId="3857B9D9" w14:textId="77777777" w:rsidR="002C0FD9" w:rsidRPr="00CA25CF" w:rsidRDefault="002C0FD9" w:rsidP="00CA25CF">
            <w:pPr>
              <w:rPr>
                <w:rFonts w:cs="Arial"/>
                <w:color w:val="FF0000"/>
                <w:sz w:val="21"/>
                <w:szCs w:val="21"/>
              </w:rPr>
            </w:pPr>
          </w:p>
        </w:tc>
        <w:tc>
          <w:tcPr>
            <w:tcW w:w="217" w:type="dxa"/>
          </w:tcPr>
          <w:p w14:paraId="18818B48" w14:textId="77777777" w:rsidR="002C0FD9" w:rsidRPr="00CA25CF" w:rsidRDefault="002C0FD9" w:rsidP="00CA25CF">
            <w:pPr>
              <w:rPr>
                <w:rFonts w:cs="Arial"/>
                <w:color w:val="FF0000"/>
                <w:sz w:val="21"/>
                <w:szCs w:val="21"/>
              </w:rPr>
            </w:pPr>
          </w:p>
        </w:tc>
      </w:tr>
      <w:tr w:rsidR="002C0FD9" w:rsidRPr="00A16219" w14:paraId="3919107C" w14:textId="6174673F" w:rsidTr="002C0FD9">
        <w:trPr>
          <w:trHeight w:val="635"/>
        </w:trPr>
        <w:tc>
          <w:tcPr>
            <w:tcW w:w="515" w:type="dxa"/>
          </w:tcPr>
          <w:p w14:paraId="4A10813A" w14:textId="77777777" w:rsidR="002C0FD9" w:rsidRPr="00CA25CF" w:rsidRDefault="002C0FD9" w:rsidP="00CA25CF">
            <w:pPr>
              <w:rPr>
                <w:rFonts w:cs="Arial"/>
                <w:color w:val="FF0000"/>
                <w:sz w:val="21"/>
                <w:szCs w:val="21"/>
              </w:rPr>
            </w:pPr>
          </w:p>
        </w:tc>
        <w:tc>
          <w:tcPr>
            <w:tcW w:w="217" w:type="dxa"/>
          </w:tcPr>
          <w:p w14:paraId="0F51CA26" w14:textId="77777777" w:rsidR="002C0FD9" w:rsidRPr="00CA25CF" w:rsidRDefault="002C0FD9" w:rsidP="00CA25CF">
            <w:pPr>
              <w:rPr>
                <w:rFonts w:cs="Arial"/>
                <w:color w:val="FF0000"/>
                <w:sz w:val="21"/>
                <w:szCs w:val="21"/>
              </w:rPr>
            </w:pPr>
          </w:p>
        </w:tc>
        <w:tc>
          <w:tcPr>
            <w:tcW w:w="217" w:type="dxa"/>
          </w:tcPr>
          <w:p w14:paraId="763A76AB" w14:textId="22040573" w:rsidR="002C0FD9" w:rsidRPr="00CA25CF" w:rsidRDefault="002C0FD9" w:rsidP="00CA25CF">
            <w:pPr>
              <w:rPr>
                <w:rFonts w:cs="Arial"/>
                <w:color w:val="FF0000"/>
                <w:sz w:val="21"/>
                <w:szCs w:val="21"/>
              </w:rPr>
            </w:pPr>
          </w:p>
        </w:tc>
        <w:tc>
          <w:tcPr>
            <w:tcW w:w="217" w:type="dxa"/>
          </w:tcPr>
          <w:p w14:paraId="49C1406A" w14:textId="77777777" w:rsidR="002C0FD9" w:rsidRPr="00CA25CF" w:rsidRDefault="002C0FD9" w:rsidP="00CA25CF">
            <w:pPr>
              <w:rPr>
                <w:rFonts w:cs="Arial"/>
                <w:color w:val="FF0000"/>
                <w:sz w:val="21"/>
                <w:szCs w:val="21"/>
              </w:rPr>
            </w:pPr>
          </w:p>
        </w:tc>
        <w:tc>
          <w:tcPr>
            <w:tcW w:w="217" w:type="dxa"/>
          </w:tcPr>
          <w:p w14:paraId="3BE76DD7" w14:textId="089EA8E0" w:rsidR="002C0FD9" w:rsidRPr="00CA25CF" w:rsidRDefault="002C0FD9" w:rsidP="00CA25CF">
            <w:pPr>
              <w:rPr>
                <w:rFonts w:cs="Arial"/>
                <w:color w:val="FF0000"/>
                <w:sz w:val="21"/>
                <w:szCs w:val="21"/>
              </w:rPr>
            </w:pPr>
          </w:p>
        </w:tc>
        <w:tc>
          <w:tcPr>
            <w:tcW w:w="217" w:type="dxa"/>
          </w:tcPr>
          <w:p w14:paraId="386DA45A" w14:textId="77777777" w:rsidR="002C0FD9" w:rsidRPr="00CA25CF" w:rsidRDefault="002C0FD9" w:rsidP="00CA25CF">
            <w:pPr>
              <w:rPr>
                <w:rFonts w:cs="Arial"/>
                <w:color w:val="FF0000"/>
                <w:sz w:val="21"/>
                <w:szCs w:val="21"/>
              </w:rPr>
            </w:pPr>
          </w:p>
        </w:tc>
        <w:tc>
          <w:tcPr>
            <w:tcW w:w="217" w:type="dxa"/>
          </w:tcPr>
          <w:p w14:paraId="6146E2F7" w14:textId="77777777" w:rsidR="002C0FD9" w:rsidRPr="00CA25CF" w:rsidRDefault="002C0FD9" w:rsidP="00CA25CF">
            <w:pPr>
              <w:rPr>
                <w:rFonts w:cs="Arial"/>
                <w:color w:val="FF0000"/>
                <w:sz w:val="21"/>
                <w:szCs w:val="21"/>
              </w:rPr>
            </w:pPr>
          </w:p>
        </w:tc>
        <w:tc>
          <w:tcPr>
            <w:tcW w:w="217" w:type="dxa"/>
          </w:tcPr>
          <w:p w14:paraId="777E0880" w14:textId="77777777" w:rsidR="002C0FD9" w:rsidRPr="00CA25CF" w:rsidRDefault="002C0FD9" w:rsidP="00CA25CF">
            <w:pPr>
              <w:rPr>
                <w:rFonts w:cs="Arial"/>
                <w:color w:val="FF0000"/>
                <w:sz w:val="21"/>
                <w:szCs w:val="21"/>
              </w:rPr>
            </w:pPr>
          </w:p>
        </w:tc>
        <w:tc>
          <w:tcPr>
            <w:tcW w:w="217" w:type="dxa"/>
          </w:tcPr>
          <w:p w14:paraId="052F2865" w14:textId="77777777" w:rsidR="002C0FD9" w:rsidRPr="00CA25CF" w:rsidRDefault="002C0FD9" w:rsidP="00CA25CF">
            <w:pPr>
              <w:rPr>
                <w:rFonts w:cs="Arial"/>
                <w:color w:val="FF0000"/>
                <w:sz w:val="21"/>
                <w:szCs w:val="21"/>
              </w:rPr>
            </w:pPr>
          </w:p>
        </w:tc>
        <w:tc>
          <w:tcPr>
            <w:tcW w:w="217" w:type="dxa"/>
          </w:tcPr>
          <w:p w14:paraId="7D2D6B94" w14:textId="77777777" w:rsidR="002C0FD9" w:rsidRPr="00CA25CF" w:rsidRDefault="002C0FD9" w:rsidP="00CA25CF">
            <w:pPr>
              <w:rPr>
                <w:rFonts w:cs="Arial"/>
                <w:color w:val="FF0000"/>
                <w:sz w:val="21"/>
                <w:szCs w:val="21"/>
              </w:rPr>
            </w:pPr>
          </w:p>
        </w:tc>
        <w:tc>
          <w:tcPr>
            <w:tcW w:w="217" w:type="dxa"/>
          </w:tcPr>
          <w:p w14:paraId="5284FDA5" w14:textId="77777777" w:rsidR="002C0FD9" w:rsidRPr="00CA25CF" w:rsidRDefault="002C0FD9" w:rsidP="00CA25CF">
            <w:pPr>
              <w:rPr>
                <w:rFonts w:cs="Arial"/>
                <w:color w:val="FF0000"/>
                <w:sz w:val="21"/>
                <w:szCs w:val="21"/>
              </w:rPr>
            </w:pPr>
          </w:p>
        </w:tc>
        <w:tc>
          <w:tcPr>
            <w:tcW w:w="217" w:type="dxa"/>
          </w:tcPr>
          <w:p w14:paraId="5303822D" w14:textId="77777777" w:rsidR="002C0FD9" w:rsidRPr="00CA25CF" w:rsidRDefault="002C0FD9" w:rsidP="00CA25CF">
            <w:pPr>
              <w:rPr>
                <w:rFonts w:cs="Arial"/>
                <w:color w:val="FF0000"/>
                <w:sz w:val="21"/>
                <w:szCs w:val="21"/>
              </w:rPr>
            </w:pPr>
          </w:p>
        </w:tc>
        <w:tc>
          <w:tcPr>
            <w:tcW w:w="217" w:type="dxa"/>
          </w:tcPr>
          <w:p w14:paraId="48A5CD04" w14:textId="77777777" w:rsidR="002C0FD9" w:rsidRPr="00CA25CF" w:rsidRDefault="002C0FD9" w:rsidP="00CA25CF">
            <w:pPr>
              <w:rPr>
                <w:rFonts w:cs="Arial"/>
                <w:color w:val="FF0000"/>
                <w:sz w:val="21"/>
                <w:szCs w:val="21"/>
              </w:rPr>
            </w:pPr>
          </w:p>
        </w:tc>
        <w:tc>
          <w:tcPr>
            <w:tcW w:w="217" w:type="dxa"/>
          </w:tcPr>
          <w:p w14:paraId="1BB6F609" w14:textId="77777777" w:rsidR="002C0FD9" w:rsidRPr="00CA25CF" w:rsidRDefault="002C0FD9" w:rsidP="00CA25CF">
            <w:pPr>
              <w:rPr>
                <w:rFonts w:cs="Arial"/>
                <w:color w:val="FF0000"/>
                <w:sz w:val="21"/>
                <w:szCs w:val="21"/>
              </w:rPr>
            </w:pPr>
          </w:p>
        </w:tc>
        <w:tc>
          <w:tcPr>
            <w:tcW w:w="217" w:type="dxa"/>
          </w:tcPr>
          <w:p w14:paraId="55097A1B" w14:textId="77777777" w:rsidR="002C0FD9" w:rsidRPr="00CA25CF" w:rsidRDefault="002C0FD9" w:rsidP="00CA25CF">
            <w:pPr>
              <w:rPr>
                <w:rFonts w:cs="Arial"/>
                <w:color w:val="FF0000"/>
                <w:sz w:val="21"/>
                <w:szCs w:val="21"/>
              </w:rPr>
            </w:pPr>
          </w:p>
        </w:tc>
        <w:tc>
          <w:tcPr>
            <w:tcW w:w="217" w:type="dxa"/>
          </w:tcPr>
          <w:p w14:paraId="6C7C2600" w14:textId="00C0F2CC" w:rsidR="002C0FD9" w:rsidRPr="00CA25CF" w:rsidRDefault="002C0FD9" w:rsidP="00CA25CF">
            <w:pPr>
              <w:rPr>
                <w:rFonts w:cs="Arial"/>
                <w:color w:val="FF0000"/>
                <w:sz w:val="21"/>
                <w:szCs w:val="21"/>
              </w:rPr>
            </w:pPr>
          </w:p>
        </w:tc>
        <w:tc>
          <w:tcPr>
            <w:tcW w:w="217" w:type="dxa"/>
          </w:tcPr>
          <w:p w14:paraId="71CAB300" w14:textId="77777777" w:rsidR="002C0FD9" w:rsidRPr="00CA25CF" w:rsidRDefault="002C0FD9" w:rsidP="00CA25CF">
            <w:pPr>
              <w:rPr>
                <w:rFonts w:cs="Arial"/>
                <w:color w:val="FF0000"/>
                <w:sz w:val="21"/>
                <w:szCs w:val="21"/>
              </w:rPr>
            </w:pPr>
          </w:p>
        </w:tc>
        <w:tc>
          <w:tcPr>
            <w:tcW w:w="217" w:type="dxa"/>
          </w:tcPr>
          <w:p w14:paraId="08420183" w14:textId="77777777" w:rsidR="002C0FD9" w:rsidRPr="00CA25CF" w:rsidRDefault="002C0FD9" w:rsidP="00CA25CF">
            <w:pPr>
              <w:rPr>
                <w:rFonts w:cs="Arial"/>
                <w:color w:val="FF0000"/>
                <w:sz w:val="21"/>
                <w:szCs w:val="21"/>
              </w:rPr>
            </w:pPr>
          </w:p>
        </w:tc>
        <w:tc>
          <w:tcPr>
            <w:tcW w:w="217" w:type="dxa"/>
          </w:tcPr>
          <w:p w14:paraId="6740B177" w14:textId="77777777" w:rsidR="002C0FD9" w:rsidRPr="00CA25CF" w:rsidRDefault="002C0FD9" w:rsidP="00CA25CF">
            <w:pPr>
              <w:rPr>
                <w:rFonts w:cs="Arial"/>
                <w:color w:val="FF0000"/>
                <w:sz w:val="21"/>
                <w:szCs w:val="21"/>
              </w:rPr>
            </w:pPr>
          </w:p>
        </w:tc>
        <w:tc>
          <w:tcPr>
            <w:tcW w:w="217" w:type="dxa"/>
          </w:tcPr>
          <w:p w14:paraId="37E508E2" w14:textId="77777777" w:rsidR="002C0FD9" w:rsidRPr="00CA25CF" w:rsidRDefault="002C0FD9" w:rsidP="00CA25CF">
            <w:pPr>
              <w:rPr>
                <w:rFonts w:cs="Arial"/>
                <w:color w:val="FF0000"/>
                <w:sz w:val="21"/>
                <w:szCs w:val="21"/>
              </w:rPr>
            </w:pPr>
          </w:p>
        </w:tc>
        <w:tc>
          <w:tcPr>
            <w:tcW w:w="217" w:type="dxa"/>
          </w:tcPr>
          <w:p w14:paraId="68929A18" w14:textId="77777777" w:rsidR="002C0FD9" w:rsidRPr="00CA25CF" w:rsidRDefault="002C0FD9" w:rsidP="00CA25CF">
            <w:pPr>
              <w:rPr>
                <w:rFonts w:cs="Arial"/>
                <w:color w:val="FF0000"/>
                <w:sz w:val="21"/>
                <w:szCs w:val="21"/>
              </w:rPr>
            </w:pPr>
          </w:p>
        </w:tc>
        <w:tc>
          <w:tcPr>
            <w:tcW w:w="217" w:type="dxa"/>
          </w:tcPr>
          <w:p w14:paraId="5B2E7C4F" w14:textId="77777777" w:rsidR="002C0FD9" w:rsidRPr="00CA25CF" w:rsidRDefault="002C0FD9" w:rsidP="00CA25CF">
            <w:pPr>
              <w:rPr>
                <w:rFonts w:cs="Arial"/>
                <w:color w:val="FF0000"/>
                <w:sz w:val="21"/>
                <w:szCs w:val="21"/>
              </w:rPr>
            </w:pPr>
          </w:p>
        </w:tc>
        <w:tc>
          <w:tcPr>
            <w:tcW w:w="217" w:type="dxa"/>
          </w:tcPr>
          <w:p w14:paraId="49A9D8CB" w14:textId="77777777" w:rsidR="002C0FD9" w:rsidRPr="00CA25CF" w:rsidRDefault="002C0FD9" w:rsidP="00CA25CF">
            <w:pPr>
              <w:rPr>
                <w:rFonts w:cs="Arial"/>
                <w:color w:val="FF0000"/>
                <w:sz w:val="21"/>
                <w:szCs w:val="21"/>
              </w:rPr>
            </w:pPr>
          </w:p>
        </w:tc>
        <w:tc>
          <w:tcPr>
            <w:tcW w:w="217" w:type="dxa"/>
          </w:tcPr>
          <w:p w14:paraId="13EEB5B8" w14:textId="77777777" w:rsidR="002C0FD9" w:rsidRPr="00CA25CF" w:rsidRDefault="002C0FD9" w:rsidP="00CA25CF">
            <w:pPr>
              <w:rPr>
                <w:rFonts w:cs="Arial"/>
                <w:color w:val="FF0000"/>
                <w:sz w:val="21"/>
                <w:szCs w:val="21"/>
              </w:rPr>
            </w:pPr>
          </w:p>
        </w:tc>
        <w:tc>
          <w:tcPr>
            <w:tcW w:w="217" w:type="dxa"/>
          </w:tcPr>
          <w:p w14:paraId="47BE22BE" w14:textId="77777777" w:rsidR="002C0FD9" w:rsidRPr="00CA25CF" w:rsidRDefault="002C0FD9" w:rsidP="00CA25CF">
            <w:pPr>
              <w:rPr>
                <w:rFonts w:cs="Arial"/>
                <w:color w:val="FF0000"/>
                <w:sz w:val="21"/>
                <w:szCs w:val="21"/>
              </w:rPr>
            </w:pPr>
          </w:p>
        </w:tc>
        <w:tc>
          <w:tcPr>
            <w:tcW w:w="217" w:type="dxa"/>
          </w:tcPr>
          <w:p w14:paraId="6447B720" w14:textId="77777777" w:rsidR="002C0FD9" w:rsidRPr="00CA25CF" w:rsidRDefault="002C0FD9" w:rsidP="00CA25CF">
            <w:pPr>
              <w:rPr>
                <w:rFonts w:cs="Arial"/>
                <w:color w:val="FF0000"/>
                <w:sz w:val="21"/>
                <w:szCs w:val="21"/>
              </w:rPr>
            </w:pPr>
          </w:p>
        </w:tc>
        <w:tc>
          <w:tcPr>
            <w:tcW w:w="217" w:type="dxa"/>
          </w:tcPr>
          <w:p w14:paraId="2E493A3E" w14:textId="77777777" w:rsidR="002C0FD9" w:rsidRPr="00CA25CF" w:rsidRDefault="002C0FD9" w:rsidP="00CA25CF">
            <w:pPr>
              <w:rPr>
                <w:rFonts w:cs="Arial"/>
                <w:color w:val="FF0000"/>
                <w:sz w:val="21"/>
                <w:szCs w:val="21"/>
              </w:rPr>
            </w:pPr>
          </w:p>
        </w:tc>
        <w:tc>
          <w:tcPr>
            <w:tcW w:w="217" w:type="dxa"/>
          </w:tcPr>
          <w:p w14:paraId="4A4C1A6A" w14:textId="77777777" w:rsidR="002C0FD9" w:rsidRPr="00CA25CF" w:rsidRDefault="002C0FD9" w:rsidP="00CA25CF">
            <w:pPr>
              <w:rPr>
                <w:rFonts w:cs="Arial"/>
                <w:color w:val="FF0000"/>
                <w:sz w:val="21"/>
                <w:szCs w:val="21"/>
              </w:rPr>
            </w:pPr>
          </w:p>
        </w:tc>
        <w:tc>
          <w:tcPr>
            <w:tcW w:w="217" w:type="dxa"/>
          </w:tcPr>
          <w:p w14:paraId="649E2FB2" w14:textId="77777777" w:rsidR="002C0FD9" w:rsidRPr="00CA25CF" w:rsidRDefault="002C0FD9" w:rsidP="00CA25CF">
            <w:pPr>
              <w:rPr>
                <w:rFonts w:cs="Arial"/>
                <w:color w:val="FF0000"/>
                <w:sz w:val="21"/>
                <w:szCs w:val="21"/>
              </w:rPr>
            </w:pPr>
          </w:p>
        </w:tc>
        <w:tc>
          <w:tcPr>
            <w:tcW w:w="217" w:type="dxa"/>
          </w:tcPr>
          <w:p w14:paraId="23989BAE" w14:textId="77777777" w:rsidR="002C0FD9" w:rsidRPr="00CA25CF" w:rsidRDefault="002C0FD9" w:rsidP="00CA25CF">
            <w:pPr>
              <w:rPr>
                <w:rFonts w:cs="Arial"/>
                <w:color w:val="FF0000"/>
                <w:sz w:val="21"/>
                <w:szCs w:val="21"/>
              </w:rPr>
            </w:pPr>
          </w:p>
        </w:tc>
        <w:tc>
          <w:tcPr>
            <w:tcW w:w="217" w:type="dxa"/>
          </w:tcPr>
          <w:p w14:paraId="309917C9" w14:textId="77777777" w:rsidR="002C0FD9" w:rsidRPr="00CA25CF" w:rsidRDefault="002C0FD9" w:rsidP="00CA25CF">
            <w:pPr>
              <w:rPr>
                <w:rFonts w:cs="Arial"/>
                <w:color w:val="FF0000"/>
                <w:sz w:val="21"/>
                <w:szCs w:val="21"/>
              </w:rPr>
            </w:pPr>
          </w:p>
        </w:tc>
        <w:tc>
          <w:tcPr>
            <w:tcW w:w="217" w:type="dxa"/>
          </w:tcPr>
          <w:p w14:paraId="7C324EFC" w14:textId="77777777" w:rsidR="002C0FD9" w:rsidRPr="00CA25CF" w:rsidRDefault="002C0FD9" w:rsidP="00CA25CF">
            <w:pPr>
              <w:rPr>
                <w:rFonts w:cs="Arial"/>
                <w:color w:val="FF0000"/>
                <w:sz w:val="21"/>
                <w:szCs w:val="21"/>
              </w:rPr>
            </w:pPr>
          </w:p>
        </w:tc>
        <w:tc>
          <w:tcPr>
            <w:tcW w:w="217" w:type="dxa"/>
          </w:tcPr>
          <w:p w14:paraId="310D1900" w14:textId="77777777" w:rsidR="002C0FD9" w:rsidRPr="00CA25CF" w:rsidRDefault="002C0FD9" w:rsidP="00CA25CF">
            <w:pPr>
              <w:rPr>
                <w:rFonts w:cs="Arial"/>
                <w:color w:val="FF0000"/>
                <w:sz w:val="21"/>
                <w:szCs w:val="21"/>
              </w:rPr>
            </w:pPr>
          </w:p>
        </w:tc>
        <w:tc>
          <w:tcPr>
            <w:tcW w:w="217" w:type="dxa"/>
          </w:tcPr>
          <w:p w14:paraId="5E84EDCA" w14:textId="77777777" w:rsidR="002C0FD9" w:rsidRPr="00CA25CF" w:rsidRDefault="002C0FD9" w:rsidP="00CA25CF">
            <w:pPr>
              <w:rPr>
                <w:rFonts w:cs="Arial"/>
                <w:color w:val="FF0000"/>
                <w:sz w:val="21"/>
                <w:szCs w:val="21"/>
              </w:rPr>
            </w:pPr>
          </w:p>
        </w:tc>
        <w:tc>
          <w:tcPr>
            <w:tcW w:w="217" w:type="dxa"/>
          </w:tcPr>
          <w:p w14:paraId="2CA34197" w14:textId="77777777" w:rsidR="002C0FD9" w:rsidRPr="00CA25CF" w:rsidRDefault="002C0FD9" w:rsidP="00CA25CF">
            <w:pPr>
              <w:rPr>
                <w:rFonts w:cs="Arial"/>
                <w:color w:val="FF0000"/>
                <w:sz w:val="21"/>
                <w:szCs w:val="21"/>
              </w:rPr>
            </w:pPr>
          </w:p>
        </w:tc>
        <w:tc>
          <w:tcPr>
            <w:tcW w:w="217" w:type="dxa"/>
          </w:tcPr>
          <w:p w14:paraId="0E180437" w14:textId="77777777" w:rsidR="002C0FD9" w:rsidRPr="00CA25CF" w:rsidRDefault="002C0FD9" w:rsidP="00CA25CF">
            <w:pPr>
              <w:rPr>
                <w:rFonts w:cs="Arial"/>
                <w:color w:val="FF0000"/>
                <w:sz w:val="21"/>
                <w:szCs w:val="21"/>
              </w:rPr>
            </w:pPr>
          </w:p>
        </w:tc>
        <w:tc>
          <w:tcPr>
            <w:tcW w:w="217" w:type="dxa"/>
          </w:tcPr>
          <w:p w14:paraId="4A667AF6" w14:textId="77777777" w:rsidR="002C0FD9" w:rsidRPr="00CA25CF" w:rsidRDefault="002C0FD9" w:rsidP="00CA25CF">
            <w:pPr>
              <w:rPr>
                <w:rFonts w:cs="Arial"/>
                <w:color w:val="FF0000"/>
                <w:sz w:val="21"/>
                <w:szCs w:val="21"/>
              </w:rPr>
            </w:pPr>
          </w:p>
        </w:tc>
        <w:tc>
          <w:tcPr>
            <w:tcW w:w="217" w:type="dxa"/>
          </w:tcPr>
          <w:p w14:paraId="5888060F" w14:textId="77777777" w:rsidR="002C0FD9" w:rsidRPr="00CA25CF" w:rsidRDefault="002C0FD9" w:rsidP="00CA25CF">
            <w:pPr>
              <w:rPr>
                <w:rFonts w:cs="Arial"/>
                <w:color w:val="FF0000"/>
                <w:sz w:val="21"/>
                <w:szCs w:val="21"/>
              </w:rPr>
            </w:pPr>
          </w:p>
        </w:tc>
        <w:tc>
          <w:tcPr>
            <w:tcW w:w="217" w:type="dxa"/>
          </w:tcPr>
          <w:p w14:paraId="755D4D5B" w14:textId="77777777" w:rsidR="002C0FD9" w:rsidRPr="00CA25CF" w:rsidRDefault="002C0FD9" w:rsidP="00CA25CF">
            <w:pPr>
              <w:rPr>
                <w:rFonts w:cs="Arial"/>
                <w:color w:val="FF0000"/>
                <w:sz w:val="21"/>
                <w:szCs w:val="21"/>
              </w:rPr>
            </w:pPr>
          </w:p>
        </w:tc>
        <w:tc>
          <w:tcPr>
            <w:tcW w:w="217" w:type="dxa"/>
          </w:tcPr>
          <w:p w14:paraId="176D8915" w14:textId="77777777" w:rsidR="002C0FD9" w:rsidRPr="00CA25CF" w:rsidRDefault="002C0FD9" w:rsidP="00CA25CF">
            <w:pPr>
              <w:rPr>
                <w:rFonts w:cs="Arial"/>
                <w:color w:val="FF0000"/>
                <w:sz w:val="21"/>
                <w:szCs w:val="21"/>
              </w:rPr>
            </w:pPr>
          </w:p>
        </w:tc>
        <w:tc>
          <w:tcPr>
            <w:tcW w:w="217" w:type="dxa"/>
          </w:tcPr>
          <w:p w14:paraId="6030A931" w14:textId="77777777" w:rsidR="002C0FD9" w:rsidRPr="00CA25CF" w:rsidRDefault="002C0FD9" w:rsidP="00CA25CF">
            <w:pPr>
              <w:rPr>
                <w:rFonts w:cs="Arial"/>
                <w:color w:val="FF0000"/>
                <w:sz w:val="21"/>
                <w:szCs w:val="21"/>
              </w:rPr>
            </w:pPr>
          </w:p>
        </w:tc>
        <w:tc>
          <w:tcPr>
            <w:tcW w:w="217" w:type="dxa"/>
          </w:tcPr>
          <w:p w14:paraId="45D7B057" w14:textId="77777777" w:rsidR="002C0FD9" w:rsidRPr="00CA25CF" w:rsidRDefault="002C0FD9" w:rsidP="00CA25CF">
            <w:pPr>
              <w:rPr>
                <w:rFonts w:cs="Arial"/>
                <w:color w:val="FF0000"/>
                <w:sz w:val="21"/>
                <w:szCs w:val="21"/>
              </w:rPr>
            </w:pPr>
          </w:p>
        </w:tc>
        <w:tc>
          <w:tcPr>
            <w:tcW w:w="217" w:type="dxa"/>
          </w:tcPr>
          <w:p w14:paraId="7E94D6E3" w14:textId="77777777" w:rsidR="002C0FD9" w:rsidRPr="00CA25CF" w:rsidRDefault="002C0FD9" w:rsidP="00CA25CF">
            <w:pPr>
              <w:rPr>
                <w:rFonts w:cs="Arial"/>
                <w:color w:val="FF0000"/>
                <w:sz w:val="21"/>
                <w:szCs w:val="21"/>
              </w:rPr>
            </w:pPr>
          </w:p>
        </w:tc>
      </w:tr>
      <w:tr w:rsidR="002C0FD9" w:rsidRPr="00A16219" w14:paraId="1EEB858E" w14:textId="4AF2D627" w:rsidTr="002C0FD9">
        <w:trPr>
          <w:trHeight w:val="635"/>
        </w:trPr>
        <w:tc>
          <w:tcPr>
            <w:tcW w:w="515" w:type="dxa"/>
          </w:tcPr>
          <w:p w14:paraId="119A33CD" w14:textId="77777777" w:rsidR="002C0FD9" w:rsidRPr="00CA25CF" w:rsidRDefault="002C0FD9" w:rsidP="00CA25CF">
            <w:pPr>
              <w:rPr>
                <w:rFonts w:cs="Arial"/>
                <w:color w:val="FF0000"/>
                <w:sz w:val="21"/>
                <w:szCs w:val="21"/>
              </w:rPr>
            </w:pPr>
          </w:p>
        </w:tc>
        <w:tc>
          <w:tcPr>
            <w:tcW w:w="217" w:type="dxa"/>
          </w:tcPr>
          <w:p w14:paraId="31FB7779" w14:textId="77777777" w:rsidR="002C0FD9" w:rsidRPr="00CA25CF" w:rsidRDefault="002C0FD9" w:rsidP="00CA25CF">
            <w:pPr>
              <w:rPr>
                <w:rFonts w:cs="Arial"/>
                <w:color w:val="FF0000"/>
                <w:sz w:val="21"/>
                <w:szCs w:val="21"/>
              </w:rPr>
            </w:pPr>
          </w:p>
        </w:tc>
        <w:tc>
          <w:tcPr>
            <w:tcW w:w="217" w:type="dxa"/>
          </w:tcPr>
          <w:p w14:paraId="63C1EF46" w14:textId="35E51FA3" w:rsidR="002C0FD9" w:rsidRPr="00CA25CF" w:rsidRDefault="002C0FD9" w:rsidP="00CA25CF">
            <w:pPr>
              <w:rPr>
                <w:rFonts w:cs="Arial"/>
                <w:color w:val="FF0000"/>
                <w:sz w:val="21"/>
                <w:szCs w:val="21"/>
              </w:rPr>
            </w:pPr>
          </w:p>
        </w:tc>
        <w:tc>
          <w:tcPr>
            <w:tcW w:w="217" w:type="dxa"/>
          </w:tcPr>
          <w:p w14:paraId="49041B6C" w14:textId="77777777" w:rsidR="002C0FD9" w:rsidRPr="00CA25CF" w:rsidRDefault="002C0FD9" w:rsidP="00CA25CF">
            <w:pPr>
              <w:rPr>
                <w:rFonts w:cs="Arial"/>
                <w:color w:val="FF0000"/>
                <w:sz w:val="21"/>
                <w:szCs w:val="21"/>
              </w:rPr>
            </w:pPr>
          </w:p>
        </w:tc>
        <w:tc>
          <w:tcPr>
            <w:tcW w:w="217" w:type="dxa"/>
          </w:tcPr>
          <w:p w14:paraId="22054C4A" w14:textId="37300A33" w:rsidR="002C0FD9" w:rsidRPr="00CA25CF" w:rsidRDefault="002C0FD9" w:rsidP="00CA25CF">
            <w:pPr>
              <w:rPr>
                <w:rFonts w:cs="Arial"/>
                <w:color w:val="FF0000"/>
                <w:sz w:val="21"/>
                <w:szCs w:val="21"/>
              </w:rPr>
            </w:pPr>
          </w:p>
        </w:tc>
        <w:tc>
          <w:tcPr>
            <w:tcW w:w="217" w:type="dxa"/>
          </w:tcPr>
          <w:p w14:paraId="404C7006" w14:textId="77777777" w:rsidR="002C0FD9" w:rsidRPr="00CA25CF" w:rsidRDefault="002C0FD9" w:rsidP="00CA25CF">
            <w:pPr>
              <w:rPr>
                <w:rFonts w:cs="Arial"/>
                <w:color w:val="FF0000"/>
                <w:sz w:val="21"/>
                <w:szCs w:val="21"/>
              </w:rPr>
            </w:pPr>
          </w:p>
        </w:tc>
        <w:tc>
          <w:tcPr>
            <w:tcW w:w="217" w:type="dxa"/>
          </w:tcPr>
          <w:p w14:paraId="4F727869" w14:textId="77777777" w:rsidR="002C0FD9" w:rsidRPr="00CA25CF" w:rsidRDefault="002C0FD9" w:rsidP="00CA25CF">
            <w:pPr>
              <w:rPr>
                <w:rFonts w:cs="Arial"/>
                <w:color w:val="FF0000"/>
                <w:sz w:val="21"/>
                <w:szCs w:val="21"/>
              </w:rPr>
            </w:pPr>
          </w:p>
        </w:tc>
        <w:tc>
          <w:tcPr>
            <w:tcW w:w="217" w:type="dxa"/>
          </w:tcPr>
          <w:p w14:paraId="75823300" w14:textId="77777777" w:rsidR="002C0FD9" w:rsidRPr="00CA25CF" w:rsidRDefault="002C0FD9" w:rsidP="00CA25CF">
            <w:pPr>
              <w:rPr>
                <w:rFonts w:cs="Arial"/>
                <w:color w:val="FF0000"/>
                <w:sz w:val="21"/>
                <w:szCs w:val="21"/>
              </w:rPr>
            </w:pPr>
          </w:p>
        </w:tc>
        <w:tc>
          <w:tcPr>
            <w:tcW w:w="217" w:type="dxa"/>
          </w:tcPr>
          <w:p w14:paraId="4523C447" w14:textId="77777777" w:rsidR="002C0FD9" w:rsidRPr="00CA25CF" w:rsidRDefault="002C0FD9" w:rsidP="00CA25CF">
            <w:pPr>
              <w:rPr>
                <w:rFonts w:cs="Arial"/>
                <w:color w:val="FF0000"/>
                <w:sz w:val="21"/>
                <w:szCs w:val="21"/>
              </w:rPr>
            </w:pPr>
          </w:p>
        </w:tc>
        <w:tc>
          <w:tcPr>
            <w:tcW w:w="217" w:type="dxa"/>
          </w:tcPr>
          <w:p w14:paraId="082D9FA7" w14:textId="77777777" w:rsidR="002C0FD9" w:rsidRPr="00CA25CF" w:rsidRDefault="002C0FD9" w:rsidP="00CA25CF">
            <w:pPr>
              <w:rPr>
                <w:rFonts w:cs="Arial"/>
                <w:color w:val="FF0000"/>
                <w:sz w:val="21"/>
                <w:szCs w:val="21"/>
              </w:rPr>
            </w:pPr>
          </w:p>
        </w:tc>
        <w:tc>
          <w:tcPr>
            <w:tcW w:w="217" w:type="dxa"/>
          </w:tcPr>
          <w:p w14:paraId="5952848F" w14:textId="77777777" w:rsidR="002C0FD9" w:rsidRPr="00CA25CF" w:rsidRDefault="002C0FD9" w:rsidP="00CA25CF">
            <w:pPr>
              <w:rPr>
                <w:rFonts w:cs="Arial"/>
                <w:color w:val="FF0000"/>
                <w:sz w:val="21"/>
                <w:szCs w:val="21"/>
              </w:rPr>
            </w:pPr>
          </w:p>
        </w:tc>
        <w:tc>
          <w:tcPr>
            <w:tcW w:w="217" w:type="dxa"/>
          </w:tcPr>
          <w:p w14:paraId="4DB4594F" w14:textId="77777777" w:rsidR="002C0FD9" w:rsidRPr="00CA25CF" w:rsidRDefault="002C0FD9" w:rsidP="00CA25CF">
            <w:pPr>
              <w:rPr>
                <w:rFonts w:cs="Arial"/>
                <w:color w:val="FF0000"/>
                <w:sz w:val="21"/>
                <w:szCs w:val="21"/>
              </w:rPr>
            </w:pPr>
          </w:p>
        </w:tc>
        <w:tc>
          <w:tcPr>
            <w:tcW w:w="217" w:type="dxa"/>
          </w:tcPr>
          <w:p w14:paraId="1AD3131A" w14:textId="77777777" w:rsidR="002C0FD9" w:rsidRPr="00CA25CF" w:rsidRDefault="002C0FD9" w:rsidP="00CA25CF">
            <w:pPr>
              <w:rPr>
                <w:rFonts w:cs="Arial"/>
                <w:color w:val="FF0000"/>
                <w:sz w:val="21"/>
                <w:szCs w:val="21"/>
              </w:rPr>
            </w:pPr>
          </w:p>
        </w:tc>
        <w:tc>
          <w:tcPr>
            <w:tcW w:w="217" w:type="dxa"/>
          </w:tcPr>
          <w:p w14:paraId="2E909966" w14:textId="77777777" w:rsidR="002C0FD9" w:rsidRPr="00CA25CF" w:rsidRDefault="002C0FD9" w:rsidP="00CA25CF">
            <w:pPr>
              <w:rPr>
                <w:rFonts w:cs="Arial"/>
                <w:color w:val="FF0000"/>
                <w:sz w:val="21"/>
                <w:szCs w:val="21"/>
              </w:rPr>
            </w:pPr>
          </w:p>
        </w:tc>
        <w:tc>
          <w:tcPr>
            <w:tcW w:w="217" w:type="dxa"/>
          </w:tcPr>
          <w:p w14:paraId="7C59A66F" w14:textId="77777777" w:rsidR="002C0FD9" w:rsidRPr="00CA25CF" w:rsidRDefault="002C0FD9" w:rsidP="00CA25CF">
            <w:pPr>
              <w:rPr>
                <w:rFonts w:cs="Arial"/>
                <w:color w:val="FF0000"/>
                <w:sz w:val="21"/>
                <w:szCs w:val="21"/>
              </w:rPr>
            </w:pPr>
          </w:p>
        </w:tc>
        <w:tc>
          <w:tcPr>
            <w:tcW w:w="217" w:type="dxa"/>
          </w:tcPr>
          <w:p w14:paraId="3234A06B" w14:textId="6E4AC2E5" w:rsidR="002C0FD9" w:rsidRPr="00CA25CF" w:rsidRDefault="002C0FD9" w:rsidP="00CA25CF">
            <w:pPr>
              <w:rPr>
                <w:rFonts w:cs="Arial"/>
                <w:color w:val="FF0000"/>
                <w:sz w:val="21"/>
                <w:szCs w:val="21"/>
              </w:rPr>
            </w:pPr>
          </w:p>
        </w:tc>
        <w:tc>
          <w:tcPr>
            <w:tcW w:w="217" w:type="dxa"/>
          </w:tcPr>
          <w:p w14:paraId="27FAEABC" w14:textId="77777777" w:rsidR="002C0FD9" w:rsidRPr="00CA25CF" w:rsidRDefault="002C0FD9" w:rsidP="00CA25CF">
            <w:pPr>
              <w:rPr>
                <w:rFonts w:cs="Arial"/>
                <w:color w:val="FF0000"/>
                <w:sz w:val="21"/>
                <w:szCs w:val="21"/>
              </w:rPr>
            </w:pPr>
          </w:p>
        </w:tc>
        <w:tc>
          <w:tcPr>
            <w:tcW w:w="217" w:type="dxa"/>
          </w:tcPr>
          <w:p w14:paraId="600BFB2C" w14:textId="77777777" w:rsidR="002C0FD9" w:rsidRPr="00CA25CF" w:rsidRDefault="002C0FD9" w:rsidP="00CA25CF">
            <w:pPr>
              <w:rPr>
                <w:rFonts w:cs="Arial"/>
                <w:color w:val="FF0000"/>
                <w:sz w:val="21"/>
                <w:szCs w:val="21"/>
              </w:rPr>
            </w:pPr>
          </w:p>
        </w:tc>
        <w:tc>
          <w:tcPr>
            <w:tcW w:w="217" w:type="dxa"/>
          </w:tcPr>
          <w:p w14:paraId="46AFAEC3" w14:textId="77777777" w:rsidR="002C0FD9" w:rsidRPr="00CA25CF" w:rsidRDefault="002C0FD9" w:rsidP="00CA25CF">
            <w:pPr>
              <w:rPr>
                <w:rFonts w:cs="Arial"/>
                <w:color w:val="FF0000"/>
                <w:sz w:val="21"/>
                <w:szCs w:val="21"/>
              </w:rPr>
            </w:pPr>
          </w:p>
        </w:tc>
        <w:tc>
          <w:tcPr>
            <w:tcW w:w="217" w:type="dxa"/>
          </w:tcPr>
          <w:p w14:paraId="5CD03845" w14:textId="77777777" w:rsidR="002C0FD9" w:rsidRPr="00CA25CF" w:rsidRDefault="002C0FD9" w:rsidP="00CA25CF">
            <w:pPr>
              <w:rPr>
                <w:rFonts w:cs="Arial"/>
                <w:color w:val="FF0000"/>
                <w:sz w:val="21"/>
                <w:szCs w:val="21"/>
              </w:rPr>
            </w:pPr>
          </w:p>
        </w:tc>
        <w:tc>
          <w:tcPr>
            <w:tcW w:w="217" w:type="dxa"/>
          </w:tcPr>
          <w:p w14:paraId="3B0B8935" w14:textId="77777777" w:rsidR="002C0FD9" w:rsidRPr="00CA25CF" w:rsidRDefault="002C0FD9" w:rsidP="00CA25CF">
            <w:pPr>
              <w:rPr>
                <w:rFonts w:cs="Arial"/>
                <w:color w:val="FF0000"/>
                <w:sz w:val="21"/>
                <w:szCs w:val="21"/>
              </w:rPr>
            </w:pPr>
          </w:p>
        </w:tc>
        <w:tc>
          <w:tcPr>
            <w:tcW w:w="217" w:type="dxa"/>
          </w:tcPr>
          <w:p w14:paraId="449B7D70" w14:textId="77777777" w:rsidR="002C0FD9" w:rsidRPr="00CA25CF" w:rsidRDefault="002C0FD9" w:rsidP="00CA25CF">
            <w:pPr>
              <w:rPr>
                <w:rFonts w:cs="Arial"/>
                <w:color w:val="FF0000"/>
                <w:sz w:val="21"/>
                <w:szCs w:val="21"/>
              </w:rPr>
            </w:pPr>
          </w:p>
        </w:tc>
        <w:tc>
          <w:tcPr>
            <w:tcW w:w="217" w:type="dxa"/>
          </w:tcPr>
          <w:p w14:paraId="610E7FBE" w14:textId="77777777" w:rsidR="002C0FD9" w:rsidRPr="00CA25CF" w:rsidRDefault="002C0FD9" w:rsidP="00CA25CF">
            <w:pPr>
              <w:rPr>
                <w:rFonts w:cs="Arial"/>
                <w:color w:val="FF0000"/>
                <w:sz w:val="21"/>
                <w:szCs w:val="21"/>
              </w:rPr>
            </w:pPr>
          </w:p>
        </w:tc>
        <w:tc>
          <w:tcPr>
            <w:tcW w:w="217" w:type="dxa"/>
          </w:tcPr>
          <w:p w14:paraId="0447733E" w14:textId="77777777" w:rsidR="002C0FD9" w:rsidRPr="00CA25CF" w:rsidRDefault="002C0FD9" w:rsidP="00CA25CF">
            <w:pPr>
              <w:rPr>
                <w:rFonts w:cs="Arial"/>
                <w:color w:val="FF0000"/>
                <w:sz w:val="21"/>
                <w:szCs w:val="21"/>
              </w:rPr>
            </w:pPr>
          </w:p>
        </w:tc>
        <w:tc>
          <w:tcPr>
            <w:tcW w:w="217" w:type="dxa"/>
          </w:tcPr>
          <w:p w14:paraId="441CD57C" w14:textId="77777777" w:rsidR="002C0FD9" w:rsidRPr="00CA25CF" w:rsidRDefault="002C0FD9" w:rsidP="00CA25CF">
            <w:pPr>
              <w:rPr>
                <w:rFonts w:cs="Arial"/>
                <w:color w:val="FF0000"/>
                <w:sz w:val="21"/>
                <w:szCs w:val="21"/>
              </w:rPr>
            </w:pPr>
          </w:p>
        </w:tc>
        <w:tc>
          <w:tcPr>
            <w:tcW w:w="217" w:type="dxa"/>
          </w:tcPr>
          <w:p w14:paraId="2136C639" w14:textId="77777777" w:rsidR="002C0FD9" w:rsidRPr="00CA25CF" w:rsidRDefault="002C0FD9" w:rsidP="00CA25CF">
            <w:pPr>
              <w:rPr>
                <w:rFonts w:cs="Arial"/>
                <w:color w:val="FF0000"/>
                <w:sz w:val="21"/>
                <w:szCs w:val="21"/>
              </w:rPr>
            </w:pPr>
          </w:p>
        </w:tc>
        <w:tc>
          <w:tcPr>
            <w:tcW w:w="217" w:type="dxa"/>
          </w:tcPr>
          <w:p w14:paraId="4D5F39D2" w14:textId="77777777" w:rsidR="002C0FD9" w:rsidRPr="00CA25CF" w:rsidRDefault="002C0FD9" w:rsidP="00CA25CF">
            <w:pPr>
              <w:rPr>
                <w:rFonts w:cs="Arial"/>
                <w:color w:val="FF0000"/>
                <w:sz w:val="21"/>
                <w:szCs w:val="21"/>
              </w:rPr>
            </w:pPr>
          </w:p>
        </w:tc>
        <w:tc>
          <w:tcPr>
            <w:tcW w:w="217" w:type="dxa"/>
          </w:tcPr>
          <w:p w14:paraId="593A0135" w14:textId="77777777" w:rsidR="002C0FD9" w:rsidRPr="00CA25CF" w:rsidRDefault="002C0FD9" w:rsidP="00CA25CF">
            <w:pPr>
              <w:rPr>
                <w:rFonts w:cs="Arial"/>
                <w:color w:val="FF0000"/>
                <w:sz w:val="21"/>
                <w:szCs w:val="21"/>
              </w:rPr>
            </w:pPr>
          </w:p>
        </w:tc>
        <w:tc>
          <w:tcPr>
            <w:tcW w:w="217" w:type="dxa"/>
          </w:tcPr>
          <w:p w14:paraId="214D38E1" w14:textId="77777777" w:rsidR="002C0FD9" w:rsidRPr="00CA25CF" w:rsidRDefault="002C0FD9" w:rsidP="00CA25CF">
            <w:pPr>
              <w:rPr>
                <w:rFonts w:cs="Arial"/>
                <w:color w:val="FF0000"/>
                <w:sz w:val="21"/>
                <w:szCs w:val="21"/>
              </w:rPr>
            </w:pPr>
          </w:p>
        </w:tc>
        <w:tc>
          <w:tcPr>
            <w:tcW w:w="217" w:type="dxa"/>
          </w:tcPr>
          <w:p w14:paraId="2A8BD56C" w14:textId="77777777" w:rsidR="002C0FD9" w:rsidRPr="00CA25CF" w:rsidRDefault="002C0FD9" w:rsidP="00CA25CF">
            <w:pPr>
              <w:rPr>
                <w:rFonts w:cs="Arial"/>
                <w:color w:val="FF0000"/>
                <w:sz w:val="21"/>
                <w:szCs w:val="21"/>
              </w:rPr>
            </w:pPr>
          </w:p>
        </w:tc>
        <w:tc>
          <w:tcPr>
            <w:tcW w:w="217" w:type="dxa"/>
          </w:tcPr>
          <w:p w14:paraId="5187673A" w14:textId="77777777" w:rsidR="002C0FD9" w:rsidRPr="00CA25CF" w:rsidRDefault="002C0FD9" w:rsidP="00CA25CF">
            <w:pPr>
              <w:rPr>
                <w:rFonts w:cs="Arial"/>
                <w:color w:val="FF0000"/>
                <w:sz w:val="21"/>
                <w:szCs w:val="21"/>
              </w:rPr>
            </w:pPr>
          </w:p>
        </w:tc>
        <w:tc>
          <w:tcPr>
            <w:tcW w:w="217" w:type="dxa"/>
          </w:tcPr>
          <w:p w14:paraId="528FF17D" w14:textId="77777777" w:rsidR="002C0FD9" w:rsidRPr="00CA25CF" w:rsidRDefault="002C0FD9" w:rsidP="00CA25CF">
            <w:pPr>
              <w:rPr>
                <w:rFonts w:cs="Arial"/>
                <w:color w:val="FF0000"/>
                <w:sz w:val="21"/>
                <w:szCs w:val="21"/>
              </w:rPr>
            </w:pPr>
          </w:p>
        </w:tc>
        <w:tc>
          <w:tcPr>
            <w:tcW w:w="217" w:type="dxa"/>
          </w:tcPr>
          <w:p w14:paraId="773024F2" w14:textId="77777777" w:rsidR="002C0FD9" w:rsidRPr="00CA25CF" w:rsidRDefault="002C0FD9" w:rsidP="00CA25CF">
            <w:pPr>
              <w:rPr>
                <w:rFonts w:cs="Arial"/>
                <w:color w:val="FF0000"/>
                <w:sz w:val="21"/>
                <w:szCs w:val="21"/>
              </w:rPr>
            </w:pPr>
          </w:p>
        </w:tc>
        <w:tc>
          <w:tcPr>
            <w:tcW w:w="217" w:type="dxa"/>
          </w:tcPr>
          <w:p w14:paraId="0D063E45" w14:textId="77777777" w:rsidR="002C0FD9" w:rsidRPr="00CA25CF" w:rsidRDefault="002C0FD9" w:rsidP="00CA25CF">
            <w:pPr>
              <w:rPr>
                <w:rFonts w:cs="Arial"/>
                <w:color w:val="FF0000"/>
                <w:sz w:val="21"/>
                <w:szCs w:val="21"/>
              </w:rPr>
            </w:pPr>
          </w:p>
        </w:tc>
        <w:tc>
          <w:tcPr>
            <w:tcW w:w="217" w:type="dxa"/>
          </w:tcPr>
          <w:p w14:paraId="438F9530" w14:textId="77777777" w:rsidR="002C0FD9" w:rsidRPr="00CA25CF" w:rsidRDefault="002C0FD9" w:rsidP="00CA25CF">
            <w:pPr>
              <w:rPr>
                <w:rFonts w:cs="Arial"/>
                <w:color w:val="FF0000"/>
                <w:sz w:val="21"/>
                <w:szCs w:val="21"/>
              </w:rPr>
            </w:pPr>
          </w:p>
        </w:tc>
        <w:tc>
          <w:tcPr>
            <w:tcW w:w="217" w:type="dxa"/>
          </w:tcPr>
          <w:p w14:paraId="765B2E26" w14:textId="77777777" w:rsidR="002C0FD9" w:rsidRPr="00CA25CF" w:rsidRDefault="002C0FD9" w:rsidP="00CA25CF">
            <w:pPr>
              <w:rPr>
                <w:rFonts w:cs="Arial"/>
                <w:color w:val="FF0000"/>
                <w:sz w:val="21"/>
                <w:szCs w:val="21"/>
              </w:rPr>
            </w:pPr>
          </w:p>
        </w:tc>
        <w:tc>
          <w:tcPr>
            <w:tcW w:w="217" w:type="dxa"/>
          </w:tcPr>
          <w:p w14:paraId="23064E3C" w14:textId="77777777" w:rsidR="002C0FD9" w:rsidRPr="00CA25CF" w:rsidRDefault="002C0FD9" w:rsidP="00CA25CF">
            <w:pPr>
              <w:rPr>
                <w:rFonts w:cs="Arial"/>
                <w:color w:val="FF0000"/>
                <w:sz w:val="21"/>
                <w:szCs w:val="21"/>
              </w:rPr>
            </w:pPr>
          </w:p>
        </w:tc>
        <w:tc>
          <w:tcPr>
            <w:tcW w:w="217" w:type="dxa"/>
          </w:tcPr>
          <w:p w14:paraId="43F412F6" w14:textId="77777777" w:rsidR="002C0FD9" w:rsidRPr="00CA25CF" w:rsidRDefault="002C0FD9" w:rsidP="00CA25CF">
            <w:pPr>
              <w:rPr>
                <w:rFonts w:cs="Arial"/>
                <w:color w:val="FF0000"/>
                <w:sz w:val="21"/>
                <w:szCs w:val="21"/>
              </w:rPr>
            </w:pPr>
          </w:p>
        </w:tc>
        <w:tc>
          <w:tcPr>
            <w:tcW w:w="217" w:type="dxa"/>
          </w:tcPr>
          <w:p w14:paraId="058845EE" w14:textId="77777777" w:rsidR="002C0FD9" w:rsidRPr="00CA25CF" w:rsidRDefault="002C0FD9" w:rsidP="00CA25CF">
            <w:pPr>
              <w:rPr>
                <w:rFonts w:cs="Arial"/>
                <w:color w:val="FF0000"/>
                <w:sz w:val="21"/>
                <w:szCs w:val="21"/>
              </w:rPr>
            </w:pPr>
          </w:p>
        </w:tc>
        <w:tc>
          <w:tcPr>
            <w:tcW w:w="217" w:type="dxa"/>
          </w:tcPr>
          <w:p w14:paraId="57EF77C7" w14:textId="77777777" w:rsidR="002C0FD9" w:rsidRPr="00CA25CF" w:rsidRDefault="002C0FD9" w:rsidP="00CA25CF">
            <w:pPr>
              <w:rPr>
                <w:rFonts w:cs="Arial"/>
                <w:color w:val="FF0000"/>
                <w:sz w:val="21"/>
                <w:szCs w:val="21"/>
              </w:rPr>
            </w:pPr>
          </w:p>
        </w:tc>
        <w:tc>
          <w:tcPr>
            <w:tcW w:w="217" w:type="dxa"/>
          </w:tcPr>
          <w:p w14:paraId="18D2EF9A" w14:textId="77777777" w:rsidR="002C0FD9" w:rsidRPr="00CA25CF" w:rsidRDefault="002C0FD9" w:rsidP="00CA25CF">
            <w:pPr>
              <w:rPr>
                <w:rFonts w:cs="Arial"/>
                <w:color w:val="FF0000"/>
                <w:sz w:val="21"/>
                <w:szCs w:val="21"/>
              </w:rPr>
            </w:pPr>
          </w:p>
        </w:tc>
        <w:tc>
          <w:tcPr>
            <w:tcW w:w="217" w:type="dxa"/>
          </w:tcPr>
          <w:p w14:paraId="6F3EA668" w14:textId="77777777" w:rsidR="002C0FD9" w:rsidRPr="00CA25CF" w:rsidRDefault="002C0FD9" w:rsidP="00CA25CF">
            <w:pPr>
              <w:rPr>
                <w:rFonts w:cs="Arial"/>
                <w:color w:val="FF0000"/>
                <w:sz w:val="21"/>
                <w:szCs w:val="21"/>
              </w:rPr>
            </w:pPr>
          </w:p>
        </w:tc>
        <w:tc>
          <w:tcPr>
            <w:tcW w:w="217" w:type="dxa"/>
          </w:tcPr>
          <w:p w14:paraId="5182DE37" w14:textId="77777777" w:rsidR="002C0FD9" w:rsidRPr="00CA25CF" w:rsidRDefault="002C0FD9" w:rsidP="00CA25CF">
            <w:pPr>
              <w:rPr>
                <w:rFonts w:cs="Arial"/>
                <w:color w:val="FF0000"/>
                <w:sz w:val="21"/>
                <w:szCs w:val="21"/>
              </w:rPr>
            </w:pPr>
          </w:p>
        </w:tc>
      </w:tr>
      <w:tr w:rsidR="002C0FD9" w:rsidRPr="00A16219" w14:paraId="07BA1464" w14:textId="6A986FE8" w:rsidTr="002C0FD9">
        <w:trPr>
          <w:trHeight w:val="635"/>
        </w:trPr>
        <w:tc>
          <w:tcPr>
            <w:tcW w:w="515" w:type="dxa"/>
          </w:tcPr>
          <w:p w14:paraId="4C6F6A7B" w14:textId="77777777" w:rsidR="002C0FD9" w:rsidRPr="00CA25CF" w:rsidRDefault="002C0FD9" w:rsidP="00CA25CF">
            <w:pPr>
              <w:rPr>
                <w:rFonts w:cs="Arial"/>
                <w:color w:val="FF0000"/>
                <w:sz w:val="21"/>
                <w:szCs w:val="21"/>
              </w:rPr>
            </w:pPr>
          </w:p>
        </w:tc>
        <w:tc>
          <w:tcPr>
            <w:tcW w:w="217" w:type="dxa"/>
          </w:tcPr>
          <w:p w14:paraId="502B029E" w14:textId="77777777" w:rsidR="002C0FD9" w:rsidRPr="00CA25CF" w:rsidRDefault="002C0FD9" w:rsidP="00CA25CF">
            <w:pPr>
              <w:rPr>
                <w:rFonts w:cs="Arial"/>
                <w:color w:val="FF0000"/>
                <w:sz w:val="21"/>
                <w:szCs w:val="21"/>
              </w:rPr>
            </w:pPr>
          </w:p>
        </w:tc>
        <w:tc>
          <w:tcPr>
            <w:tcW w:w="217" w:type="dxa"/>
          </w:tcPr>
          <w:p w14:paraId="6954DEFA" w14:textId="138E2B97" w:rsidR="002C0FD9" w:rsidRPr="00CA25CF" w:rsidRDefault="002C0FD9" w:rsidP="00CA25CF">
            <w:pPr>
              <w:rPr>
                <w:rFonts w:cs="Arial"/>
                <w:color w:val="FF0000"/>
                <w:sz w:val="21"/>
                <w:szCs w:val="21"/>
              </w:rPr>
            </w:pPr>
          </w:p>
        </w:tc>
        <w:tc>
          <w:tcPr>
            <w:tcW w:w="217" w:type="dxa"/>
          </w:tcPr>
          <w:p w14:paraId="3B010716" w14:textId="77777777" w:rsidR="002C0FD9" w:rsidRPr="00CA25CF" w:rsidRDefault="002C0FD9" w:rsidP="00CA25CF">
            <w:pPr>
              <w:rPr>
                <w:rFonts w:cs="Arial"/>
                <w:color w:val="FF0000"/>
                <w:sz w:val="21"/>
                <w:szCs w:val="21"/>
              </w:rPr>
            </w:pPr>
          </w:p>
        </w:tc>
        <w:tc>
          <w:tcPr>
            <w:tcW w:w="217" w:type="dxa"/>
          </w:tcPr>
          <w:p w14:paraId="77FB050B" w14:textId="3858A00E" w:rsidR="002C0FD9" w:rsidRPr="00CA25CF" w:rsidRDefault="002C0FD9" w:rsidP="00CA25CF">
            <w:pPr>
              <w:rPr>
                <w:rFonts w:cs="Arial"/>
                <w:color w:val="FF0000"/>
                <w:sz w:val="21"/>
                <w:szCs w:val="21"/>
              </w:rPr>
            </w:pPr>
          </w:p>
        </w:tc>
        <w:tc>
          <w:tcPr>
            <w:tcW w:w="217" w:type="dxa"/>
          </w:tcPr>
          <w:p w14:paraId="73FD6A3C" w14:textId="77777777" w:rsidR="002C0FD9" w:rsidRPr="00CA25CF" w:rsidRDefault="002C0FD9" w:rsidP="00CA25CF">
            <w:pPr>
              <w:rPr>
                <w:rFonts w:cs="Arial"/>
                <w:color w:val="FF0000"/>
                <w:sz w:val="21"/>
                <w:szCs w:val="21"/>
              </w:rPr>
            </w:pPr>
          </w:p>
        </w:tc>
        <w:tc>
          <w:tcPr>
            <w:tcW w:w="217" w:type="dxa"/>
          </w:tcPr>
          <w:p w14:paraId="5BE16792" w14:textId="77777777" w:rsidR="002C0FD9" w:rsidRPr="00CA25CF" w:rsidRDefault="002C0FD9" w:rsidP="00CA25CF">
            <w:pPr>
              <w:rPr>
                <w:rFonts w:cs="Arial"/>
                <w:color w:val="FF0000"/>
                <w:sz w:val="21"/>
                <w:szCs w:val="21"/>
              </w:rPr>
            </w:pPr>
          </w:p>
        </w:tc>
        <w:tc>
          <w:tcPr>
            <w:tcW w:w="217" w:type="dxa"/>
          </w:tcPr>
          <w:p w14:paraId="714F3BE8" w14:textId="77777777" w:rsidR="002C0FD9" w:rsidRPr="00CA25CF" w:rsidRDefault="002C0FD9" w:rsidP="00CA25CF">
            <w:pPr>
              <w:rPr>
                <w:rFonts w:cs="Arial"/>
                <w:color w:val="FF0000"/>
                <w:sz w:val="21"/>
                <w:szCs w:val="21"/>
              </w:rPr>
            </w:pPr>
          </w:p>
        </w:tc>
        <w:tc>
          <w:tcPr>
            <w:tcW w:w="217" w:type="dxa"/>
          </w:tcPr>
          <w:p w14:paraId="0B92F893" w14:textId="77777777" w:rsidR="002C0FD9" w:rsidRPr="00CA25CF" w:rsidRDefault="002C0FD9" w:rsidP="00CA25CF">
            <w:pPr>
              <w:rPr>
                <w:rFonts w:cs="Arial"/>
                <w:color w:val="FF0000"/>
                <w:sz w:val="21"/>
                <w:szCs w:val="21"/>
              </w:rPr>
            </w:pPr>
          </w:p>
        </w:tc>
        <w:tc>
          <w:tcPr>
            <w:tcW w:w="217" w:type="dxa"/>
          </w:tcPr>
          <w:p w14:paraId="2056CB03" w14:textId="77777777" w:rsidR="002C0FD9" w:rsidRPr="00CA25CF" w:rsidRDefault="002C0FD9" w:rsidP="00CA25CF">
            <w:pPr>
              <w:rPr>
                <w:rFonts w:cs="Arial"/>
                <w:color w:val="FF0000"/>
                <w:sz w:val="21"/>
                <w:szCs w:val="21"/>
              </w:rPr>
            </w:pPr>
          </w:p>
        </w:tc>
        <w:tc>
          <w:tcPr>
            <w:tcW w:w="217" w:type="dxa"/>
          </w:tcPr>
          <w:p w14:paraId="3CB700FD" w14:textId="77777777" w:rsidR="002C0FD9" w:rsidRPr="00CA25CF" w:rsidRDefault="002C0FD9" w:rsidP="00CA25CF">
            <w:pPr>
              <w:rPr>
                <w:rFonts w:cs="Arial"/>
                <w:color w:val="FF0000"/>
                <w:sz w:val="21"/>
                <w:szCs w:val="21"/>
              </w:rPr>
            </w:pPr>
          </w:p>
        </w:tc>
        <w:tc>
          <w:tcPr>
            <w:tcW w:w="217" w:type="dxa"/>
          </w:tcPr>
          <w:p w14:paraId="53ADCE03" w14:textId="77777777" w:rsidR="002C0FD9" w:rsidRPr="00CA25CF" w:rsidRDefault="002C0FD9" w:rsidP="00CA25CF">
            <w:pPr>
              <w:rPr>
                <w:rFonts w:cs="Arial"/>
                <w:color w:val="FF0000"/>
                <w:sz w:val="21"/>
                <w:szCs w:val="21"/>
              </w:rPr>
            </w:pPr>
          </w:p>
        </w:tc>
        <w:tc>
          <w:tcPr>
            <w:tcW w:w="217" w:type="dxa"/>
          </w:tcPr>
          <w:p w14:paraId="4DC53CB4" w14:textId="77777777" w:rsidR="002C0FD9" w:rsidRPr="00CA25CF" w:rsidRDefault="002C0FD9" w:rsidP="00CA25CF">
            <w:pPr>
              <w:rPr>
                <w:rFonts w:cs="Arial"/>
                <w:color w:val="FF0000"/>
                <w:sz w:val="21"/>
                <w:szCs w:val="21"/>
              </w:rPr>
            </w:pPr>
          </w:p>
        </w:tc>
        <w:tc>
          <w:tcPr>
            <w:tcW w:w="217" w:type="dxa"/>
          </w:tcPr>
          <w:p w14:paraId="22B6A9A6" w14:textId="77777777" w:rsidR="002C0FD9" w:rsidRPr="00CA25CF" w:rsidRDefault="002C0FD9" w:rsidP="00CA25CF">
            <w:pPr>
              <w:rPr>
                <w:rFonts w:cs="Arial"/>
                <w:color w:val="FF0000"/>
                <w:sz w:val="21"/>
                <w:szCs w:val="21"/>
              </w:rPr>
            </w:pPr>
          </w:p>
        </w:tc>
        <w:tc>
          <w:tcPr>
            <w:tcW w:w="217" w:type="dxa"/>
          </w:tcPr>
          <w:p w14:paraId="5496FA21" w14:textId="77777777" w:rsidR="002C0FD9" w:rsidRPr="00CA25CF" w:rsidRDefault="002C0FD9" w:rsidP="00CA25CF">
            <w:pPr>
              <w:rPr>
                <w:rFonts w:cs="Arial"/>
                <w:color w:val="FF0000"/>
                <w:sz w:val="21"/>
                <w:szCs w:val="21"/>
              </w:rPr>
            </w:pPr>
          </w:p>
        </w:tc>
        <w:tc>
          <w:tcPr>
            <w:tcW w:w="217" w:type="dxa"/>
          </w:tcPr>
          <w:p w14:paraId="16DD1F6A" w14:textId="28E59BB3" w:rsidR="002C0FD9" w:rsidRPr="00CA25CF" w:rsidRDefault="002C0FD9" w:rsidP="00CA25CF">
            <w:pPr>
              <w:rPr>
                <w:rFonts w:cs="Arial"/>
                <w:color w:val="FF0000"/>
                <w:sz w:val="21"/>
                <w:szCs w:val="21"/>
              </w:rPr>
            </w:pPr>
          </w:p>
        </w:tc>
        <w:tc>
          <w:tcPr>
            <w:tcW w:w="217" w:type="dxa"/>
          </w:tcPr>
          <w:p w14:paraId="3C0AE785" w14:textId="77777777" w:rsidR="002C0FD9" w:rsidRPr="00CA25CF" w:rsidRDefault="002C0FD9" w:rsidP="00CA25CF">
            <w:pPr>
              <w:rPr>
                <w:rFonts w:cs="Arial"/>
                <w:color w:val="FF0000"/>
                <w:sz w:val="21"/>
                <w:szCs w:val="21"/>
              </w:rPr>
            </w:pPr>
          </w:p>
        </w:tc>
        <w:tc>
          <w:tcPr>
            <w:tcW w:w="217" w:type="dxa"/>
          </w:tcPr>
          <w:p w14:paraId="0960B422" w14:textId="77777777" w:rsidR="002C0FD9" w:rsidRPr="00CA25CF" w:rsidRDefault="002C0FD9" w:rsidP="00CA25CF">
            <w:pPr>
              <w:rPr>
                <w:rFonts w:cs="Arial"/>
                <w:color w:val="FF0000"/>
                <w:sz w:val="21"/>
                <w:szCs w:val="21"/>
              </w:rPr>
            </w:pPr>
          </w:p>
        </w:tc>
        <w:tc>
          <w:tcPr>
            <w:tcW w:w="217" w:type="dxa"/>
          </w:tcPr>
          <w:p w14:paraId="5DEB3585" w14:textId="77777777" w:rsidR="002C0FD9" w:rsidRPr="00CA25CF" w:rsidRDefault="002C0FD9" w:rsidP="00CA25CF">
            <w:pPr>
              <w:rPr>
                <w:rFonts w:cs="Arial"/>
                <w:color w:val="FF0000"/>
                <w:sz w:val="21"/>
                <w:szCs w:val="21"/>
              </w:rPr>
            </w:pPr>
          </w:p>
        </w:tc>
        <w:tc>
          <w:tcPr>
            <w:tcW w:w="217" w:type="dxa"/>
          </w:tcPr>
          <w:p w14:paraId="23711FDC" w14:textId="77777777" w:rsidR="002C0FD9" w:rsidRPr="00CA25CF" w:rsidRDefault="002C0FD9" w:rsidP="00CA25CF">
            <w:pPr>
              <w:rPr>
                <w:rFonts w:cs="Arial"/>
                <w:color w:val="FF0000"/>
                <w:sz w:val="21"/>
                <w:szCs w:val="21"/>
              </w:rPr>
            </w:pPr>
          </w:p>
        </w:tc>
        <w:tc>
          <w:tcPr>
            <w:tcW w:w="217" w:type="dxa"/>
          </w:tcPr>
          <w:p w14:paraId="45E00E04" w14:textId="77777777" w:rsidR="002C0FD9" w:rsidRPr="00CA25CF" w:rsidRDefault="002C0FD9" w:rsidP="00CA25CF">
            <w:pPr>
              <w:rPr>
                <w:rFonts w:cs="Arial"/>
                <w:color w:val="FF0000"/>
                <w:sz w:val="21"/>
                <w:szCs w:val="21"/>
              </w:rPr>
            </w:pPr>
          </w:p>
        </w:tc>
        <w:tc>
          <w:tcPr>
            <w:tcW w:w="217" w:type="dxa"/>
          </w:tcPr>
          <w:p w14:paraId="3F869A27" w14:textId="77777777" w:rsidR="002C0FD9" w:rsidRPr="00CA25CF" w:rsidRDefault="002C0FD9" w:rsidP="00CA25CF">
            <w:pPr>
              <w:rPr>
                <w:rFonts w:cs="Arial"/>
                <w:color w:val="FF0000"/>
                <w:sz w:val="21"/>
                <w:szCs w:val="21"/>
              </w:rPr>
            </w:pPr>
          </w:p>
        </w:tc>
        <w:tc>
          <w:tcPr>
            <w:tcW w:w="217" w:type="dxa"/>
          </w:tcPr>
          <w:p w14:paraId="750A0C04" w14:textId="77777777" w:rsidR="002C0FD9" w:rsidRPr="00CA25CF" w:rsidRDefault="002C0FD9" w:rsidP="00CA25CF">
            <w:pPr>
              <w:rPr>
                <w:rFonts w:cs="Arial"/>
                <w:color w:val="FF0000"/>
                <w:sz w:val="21"/>
                <w:szCs w:val="21"/>
              </w:rPr>
            </w:pPr>
          </w:p>
        </w:tc>
        <w:tc>
          <w:tcPr>
            <w:tcW w:w="217" w:type="dxa"/>
          </w:tcPr>
          <w:p w14:paraId="1D7BF582" w14:textId="77777777" w:rsidR="002C0FD9" w:rsidRPr="00CA25CF" w:rsidRDefault="002C0FD9" w:rsidP="00CA25CF">
            <w:pPr>
              <w:rPr>
                <w:rFonts w:cs="Arial"/>
                <w:color w:val="FF0000"/>
                <w:sz w:val="21"/>
                <w:szCs w:val="21"/>
              </w:rPr>
            </w:pPr>
          </w:p>
        </w:tc>
        <w:tc>
          <w:tcPr>
            <w:tcW w:w="217" w:type="dxa"/>
          </w:tcPr>
          <w:p w14:paraId="3786400A" w14:textId="77777777" w:rsidR="002C0FD9" w:rsidRPr="00CA25CF" w:rsidRDefault="002C0FD9" w:rsidP="00CA25CF">
            <w:pPr>
              <w:rPr>
                <w:rFonts w:cs="Arial"/>
                <w:color w:val="FF0000"/>
                <w:sz w:val="21"/>
                <w:szCs w:val="21"/>
              </w:rPr>
            </w:pPr>
          </w:p>
        </w:tc>
        <w:tc>
          <w:tcPr>
            <w:tcW w:w="217" w:type="dxa"/>
          </w:tcPr>
          <w:p w14:paraId="345381DF" w14:textId="77777777" w:rsidR="002C0FD9" w:rsidRPr="00CA25CF" w:rsidRDefault="002C0FD9" w:rsidP="00CA25CF">
            <w:pPr>
              <w:rPr>
                <w:rFonts w:cs="Arial"/>
                <w:color w:val="FF0000"/>
                <w:sz w:val="21"/>
                <w:szCs w:val="21"/>
              </w:rPr>
            </w:pPr>
          </w:p>
        </w:tc>
        <w:tc>
          <w:tcPr>
            <w:tcW w:w="217" w:type="dxa"/>
          </w:tcPr>
          <w:p w14:paraId="02AA115F" w14:textId="77777777" w:rsidR="002C0FD9" w:rsidRPr="00CA25CF" w:rsidRDefault="002C0FD9" w:rsidP="00CA25CF">
            <w:pPr>
              <w:rPr>
                <w:rFonts w:cs="Arial"/>
                <w:color w:val="FF0000"/>
                <w:sz w:val="21"/>
                <w:szCs w:val="21"/>
              </w:rPr>
            </w:pPr>
          </w:p>
        </w:tc>
        <w:tc>
          <w:tcPr>
            <w:tcW w:w="217" w:type="dxa"/>
          </w:tcPr>
          <w:p w14:paraId="51691651" w14:textId="77777777" w:rsidR="002C0FD9" w:rsidRPr="00CA25CF" w:rsidRDefault="002C0FD9" w:rsidP="00CA25CF">
            <w:pPr>
              <w:rPr>
                <w:rFonts w:cs="Arial"/>
                <w:color w:val="FF0000"/>
                <w:sz w:val="21"/>
                <w:szCs w:val="21"/>
              </w:rPr>
            </w:pPr>
          </w:p>
        </w:tc>
        <w:tc>
          <w:tcPr>
            <w:tcW w:w="217" w:type="dxa"/>
          </w:tcPr>
          <w:p w14:paraId="478A1318" w14:textId="77777777" w:rsidR="002C0FD9" w:rsidRPr="00CA25CF" w:rsidRDefault="002C0FD9" w:rsidP="00CA25CF">
            <w:pPr>
              <w:rPr>
                <w:rFonts w:cs="Arial"/>
                <w:color w:val="FF0000"/>
                <w:sz w:val="21"/>
                <w:szCs w:val="21"/>
              </w:rPr>
            </w:pPr>
          </w:p>
        </w:tc>
        <w:tc>
          <w:tcPr>
            <w:tcW w:w="217" w:type="dxa"/>
          </w:tcPr>
          <w:p w14:paraId="170B5F41" w14:textId="77777777" w:rsidR="002C0FD9" w:rsidRPr="00CA25CF" w:rsidRDefault="002C0FD9" w:rsidP="00CA25CF">
            <w:pPr>
              <w:rPr>
                <w:rFonts w:cs="Arial"/>
                <w:color w:val="FF0000"/>
                <w:sz w:val="21"/>
                <w:szCs w:val="21"/>
              </w:rPr>
            </w:pPr>
          </w:p>
        </w:tc>
        <w:tc>
          <w:tcPr>
            <w:tcW w:w="217" w:type="dxa"/>
          </w:tcPr>
          <w:p w14:paraId="2A520ACB" w14:textId="77777777" w:rsidR="002C0FD9" w:rsidRPr="00CA25CF" w:rsidRDefault="002C0FD9" w:rsidP="00CA25CF">
            <w:pPr>
              <w:rPr>
                <w:rFonts w:cs="Arial"/>
                <w:color w:val="FF0000"/>
                <w:sz w:val="21"/>
                <w:szCs w:val="21"/>
              </w:rPr>
            </w:pPr>
          </w:p>
        </w:tc>
        <w:tc>
          <w:tcPr>
            <w:tcW w:w="217" w:type="dxa"/>
          </w:tcPr>
          <w:p w14:paraId="2874E0D8" w14:textId="77777777" w:rsidR="002C0FD9" w:rsidRPr="00CA25CF" w:rsidRDefault="002C0FD9" w:rsidP="00CA25CF">
            <w:pPr>
              <w:rPr>
                <w:rFonts w:cs="Arial"/>
                <w:color w:val="FF0000"/>
                <w:sz w:val="21"/>
                <w:szCs w:val="21"/>
              </w:rPr>
            </w:pPr>
          </w:p>
        </w:tc>
        <w:tc>
          <w:tcPr>
            <w:tcW w:w="217" w:type="dxa"/>
          </w:tcPr>
          <w:p w14:paraId="26E282CE" w14:textId="77777777" w:rsidR="002C0FD9" w:rsidRPr="00CA25CF" w:rsidRDefault="002C0FD9" w:rsidP="00CA25CF">
            <w:pPr>
              <w:rPr>
                <w:rFonts w:cs="Arial"/>
                <w:color w:val="FF0000"/>
                <w:sz w:val="21"/>
                <w:szCs w:val="21"/>
              </w:rPr>
            </w:pPr>
          </w:p>
        </w:tc>
        <w:tc>
          <w:tcPr>
            <w:tcW w:w="217" w:type="dxa"/>
          </w:tcPr>
          <w:p w14:paraId="5AC0E57C" w14:textId="77777777" w:rsidR="002C0FD9" w:rsidRPr="00CA25CF" w:rsidRDefault="002C0FD9" w:rsidP="00CA25CF">
            <w:pPr>
              <w:rPr>
                <w:rFonts w:cs="Arial"/>
                <w:color w:val="FF0000"/>
                <w:sz w:val="21"/>
                <w:szCs w:val="21"/>
              </w:rPr>
            </w:pPr>
          </w:p>
        </w:tc>
        <w:tc>
          <w:tcPr>
            <w:tcW w:w="217" w:type="dxa"/>
          </w:tcPr>
          <w:p w14:paraId="3530BF48" w14:textId="77777777" w:rsidR="002C0FD9" w:rsidRPr="00CA25CF" w:rsidRDefault="002C0FD9" w:rsidP="00CA25CF">
            <w:pPr>
              <w:rPr>
                <w:rFonts w:cs="Arial"/>
                <w:color w:val="FF0000"/>
                <w:sz w:val="21"/>
                <w:szCs w:val="21"/>
              </w:rPr>
            </w:pPr>
          </w:p>
        </w:tc>
        <w:tc>
          <w:tcPr>
            <w:tcW w:w="217" w:type="dxa"/>
          </w:tcPr>
          <w:p w14:paraId="2A2702F3" w14:textId="77777777" w:rsidR="002C0FD9" w:rsidRPr="00CA25CF" w:rsidRDefault="002C0FD9" w:rsidP="00CA25CF">
            <w:pPr>
              <w:rPr>
                <w:rFonts w:cs="Arial"/>
                <w:color w:val="FF0000"/>
                <w:sz w:val="21"/>
                <w:szCs w:val="21"/>
              </w:rPr>
            </w:pPr>
          </w:p>
        </w:tc>
        <w:tc>
          <w:tcPr>
            <w:tcW w:w="217" w:type="dxa"/>
          </w:tcPr>
          <w:p w14:paraId="35A8FD4B" w14:textId="77777777" w:rsidR="002C0FD9" w:rsidRPr="00CA25CF" w:rsidRDefault="002C0FD9" w:rsidP="00CA25CF">
            <w:pPr>
              <w:rPr>
                <w:rFonts w:cs="Arial"/>
                <w:color w:val="FF0000"/>
                <w:sz w:val="21"/>
                <w:szCs w:val="21"/>
              </w:rPr>
            </w:pPr>
          </w:p>
        </w:tc>
        <w:tc>
          <w:tcPr>
            <w:tcW w:w="217" w:type="dxa"/>
          </w:tcPr>
          <w:p w14:paraId="2F09F7FF" w14:textId="77777777" w:rsidR="002C0FD9" w:rsidRPr="00CA25CF" w:rsidRDefault="002C0FD9" w:rsidP="00CA25CF">
            <w:pPr>
              <w:rPr>
                <w:rFonts w:cs="Arial"/>
                <w:color w:val="FF0000"/>
                <w:sz w:val="21"/>
                <w:szCs w:val="21"/>
              </w:rPr>
            </w:pPr>
          </w:p>
        </w:tc>
        <w:tc>
          <w:tcPr>
            <w:tcW w:w="217" w:type="dxa"/>
          </w:tcPr>
          <w:p w14:paraId="2C7BABA2" w14:textId="77777777" w:rsidR="002C0FD9" w:rsidRPr="00CA25CF" w:rsidRDefault="002C0FD9" w:rsidP="00CA25CF">
            <w:pPr>
              <w:rPr>
                <w:rFonts w:cs="Arial"/>
                <w:color w:val="FF0000"/>
                <w:sz w:val="21"/>
                <w:szCs w:val="21"/>
              </w:rPr>
            </w:pPr>
          </w:p>
        </w:tc>
        <w:tc>
          <w:tcPr>
            <w:tcW w:w="217" w:type="dxa"/>
          </w:tcPr>
          <w:p w14:paraId="1F742FF5" w14:textId="77777777" w:rsidR="002C0FD9" w:rsidRPr="00CA25CF" w:rsidRDefault="002C0FD9" w:rsidP="00CA25CF">
            <w:pPr>
              <w:rPr>
                <w:rFonts w:cs="Arial"/>
                <w:color w:val="FF0000"/>
                <w:sz w:val="21"/>
                <w:szCs w:val="21"/>
              </w:rPr>
            </w:pPr>
          </w:p>
        </w:tc>
        <w:tc>
          <w:tcPr>
            <w:tcW w:w="217" w:type="dxa"/>
          </w:tcPr>
          <w:p w14:paraId="47609622" w14:textId="77777777" w:rsidR="002C0FD9" w:rsidRPr="00CA25CF" w:rsidRDefault="002C0FD9" w:rsidP="00CA25CF">
            <w:pPr>
              <w:rPr>
                <w:rFonts w:cs="Arial"/>
                <w:color w:val="FF0000"/>
                <w:sz w:val="21"/>
                <w:szCs w:val="21"/>
              </w:rPr>
            </w:pPr>
          </w:p>
        </w:tc>
        <w:tc>
          <w:tcPr>
            <w:tcW w:w="217" w:type="dxa"/>
          </w:tcPr>
          <w:p w14:paraId="5F6C5ECE" w14:textId="77777777" w:rsidR="002C0FD9" w:rsidRPr="00CA25CF" w:rsidRDefault="002C0FD9" w:rsidP="00CA25CF">
            <w:pPr>
              <w:rPr>
                <w:rFonts w:cs="Arial"/>
                <w:color w:val="FF0000"/>
                <w:sz w:val="21"/>
                <w:szCs w:val="21"/>
              </w:rPr>
            </w:pPr>
          </w:p>
        </w:tc>
        <w:tc>
          <w:tcPr>
            <w:tcW w:w="217" w:type="dxa"/>
          </w:tcPr>
          <w:p w14:paraId="5B7DF77A" w14:textId="77777777" w:rsidR="002C0FD9" w:rsidRPr="00CA25CF" w:rsidRDefault="002C0FD9" w:rsidP="00CA25CF">
            <w:pPr>
              <w:rPr>
                <w:rFonts w:cs="Arial"/>
                <w:color w:val="FF0000"/>
                <w:sz w:val="21"/>
                <w:szCs w:val="21"/>
              </w:rPr>
            </w:pPr>
          </w:p>
        </w:tc>
      </w:tr>
      <w:tr w:rsidR="002C0FD9" w:rsidRPr="00A16219" w14:paraId="60FCA7B1" w14:textId="5DDC7018" w:rsidTr="002C0FD9">
        <w:trPr>
          <w:trHeight w:val="635"/>
        </w:trPr>
        <w:tc>
          <w:tcPr>
            <w:tcW w:w="515" w:type="dxa"/>
          </w:tcPr>
          <w:p w14:paraId="08AD0365" w14:textId="77777777" w:rsidR="002C0FD9" w:rsidRPr="00CA25CF" w:rsidRDefault="002C0FD9" w:rsidP="00CA25CF">
            <w:pPr>
              <w:rPr>
                <w:rFonts w:cs="Arial"/>
                <w:color w:val="FF0000"/>
                <w:sz w:val="21"/>
                <w:szCs w:val="21"/>
              </w:rPr>
            </w:pPr>
          </w:p>
        </w:tc>
        <w:tc>
          <w:tcPr>
            <w:tcW w:w="217" w:type="dxa"/>
          </w:tcPr>
          <w:p w14:paraId="3097C95E" w14:textId="77777777" w:rsidR="002C0FD9" w:rsidRPr="00CA25CF" w:rsidRDefault="002C0FD9" w:rsidP="00CA25CF">
            <w:pPr>
              <w:rPr>
                <w:rFonts w:cs="Arial"/>
                <w:color w:val="FF0000"/>
                <w:sz w:val="21"/>
                <w:szCs w:val="21"/>
              </w:rPr>
            </w:pPr>
          </w:p>
        </w:tc>
        <w:tc>
          <w:tcPr>
            <w:tcW w:w="217" w:type="dxa"/>
          </w:tcPr>
          <w:p w14:paraId="7067DC9B" w14:textId="20FD4DA0" w:rsidR="002C0FD9" w:rsidRPr="00CA25CF" w:rsidRDefault="002C0FD9" w:rsidP="00CA25CF">
            <w:pPr>
              <w:rPr>
                <w:rFonts w:cs="Arial"/>
                <w:color w:val="FF0000"/>
                <w:sz w:val="21"/>
                <w:szCs w:val="21"/>
              </w:rPr>
            </w:pPr>
          </w:p>
        </w:tc>
        <w:tc>
          <w:tcPr>
            <w:tcW w:w="217" w:type="dxa"/>
          </w:tcPr>
          <w:p w14:paraId="2FAD30E3" w14:textId="77777777" w:rsidR="002C0FD9" w:rsidRPr="00CA25CF" w:rsidRDefault="002C0FD9" w:rsidP="00CA25CF">
            <w:pPr>
              <w:rPr>
                <w:rFonts w:cs="Arial"/>
                <w:color w:val="FF0000"/>
                <w:sz w:val="21"/>
                <w:szCs w:val="21"/>
              </w:rPr>
            </w:pPr>
          </w:p>
        </w:tc>
        <w:tc>
          <w:tcPr>
            <w:tcW w:w="217" w:type="dxa"/>
          </w:tcPr>
          <w:p w14:paraId="5B8718DF" w14:textId="00394232" w:rsidR="002C0FD9" w:rsidRPr="00CA25CF" w:rsidRDefault="002C0FD9" w:rsidP="00CA25CF">
            <w:pPr>
              <w:rPr>
                <w:rFonts w:cs="Arial"/>
                <w:color w:val="FF0000"/>
                <w:sz w:val="21"/>
                <w:szCs w:val="21"/>
              </w:rPr>
            </w:pPr>
          </w:p>
        </w:tc>
        <w:tc>
          <w:tcPr>
            <w:tcW w:w="217" w:type="dxa"/>
          </w:tcPr>
          <w:p w14:paraId="68D218DF" w14:textId="77777777" w:rsidR="002C0FD9" w:rsidRPr="00CA25CF" w:rsidRDefault="002C0FD9" w:rsidP="00CA25CF">
            <w:pPr>
              <w:rPr>
                <w:rFonts w:cs="Arial"/>
                <w:color w:val="FF0000"/>
                <w:sz w:val="21"/>
                <w:szCs w:val="21"/>
              </w:rPr>
            </w:pPr>
          </w:p>
        </w:tc>
        <w:tc>
          <w:tcPr>
            <w:tcW w:w="217" w:type="dxa"/>
          </w:tcPr>
          <w:p w14:paraId="5F11187F" w14:textId="77777777" w:rsidR="002C0FD9" w:rsidRPr="00CA25CF" w:rsidRDefault="002C0FD9" w:rsidP="00CA25CF">
            <w:pPr>
              <w:rPr>
                <w:rFonts w:cs="Arial"/>
                <w:color w:val="FF0000"/>
                <w:sz w:val="21"/>
                <w:szCs w:val="21"/>
              </w:rPr>
            </w:pPr>
          </w:p>
        </w:tc>
        <w:tc>
          <w:tcPr>
            <w:tcW w:w="217" w:type="dxa"/>
          </w:tcPr>
          <w:p w14:paraId="2DE5B926" w14:textId="77777777" w:rsidR="002C0FD9" w:rsidRPr="00CA25CF" w:rsidRDefault="002C0FD9" w:rsidP="00CA25CF">
            <w:pPr>
              <w:rPr>
                <w:rFonts w:cs="Arial"/>
                <w:color w:val="FF0000"/>
                <w:sz w:val="21"/>
                <w:szCs w:val="21"/>
              </w:rPr>
            </w:pPr>
          </w:p>
        </w:tc>
        <w:tc>
          <w:tcPr>
            <w:tcW w:w="217" w:type="dxa"/>
          </w:tcPr>
          <w:p w14:paraId="21FD06A0" w14:textId="77777777" w:rsidR="002C0FD9" w:rsidRPr="00CA25CF" w:rsidRDefault="002C0FD9" w:rsidP="00CA25CF">
            <w:pPr>
              <w:rPr>
                <w:rFonts w:cs="Arial"/>
                <w:color w:val="FF0000"/>
                <w:sz w:val="21"/>
                <w:szCs w:val="21"/>
              </w:rPr>
            </w:pPr>
          </w:p>
        </w:tc>
        <w:tc>
          <w:tcPr>
            <w:tcW w:w="217" w:type="dxa"/>
          </w:tcPr>
          <w:p w14:paraId="02F3DA7B" w14:textId="77777777" w:rsidR="002C0FD9" w:rsidRPr="00CA25CF" w:rsidRDefault="002C0FD9" w:rsidP="00CA25CF">
            <w:pPr>
              <w:rPr>
                <w:rFonts w:cs="Arial"/>
                <w:color w:val="FF0000"/>
                <w:sz w:val="21"/>
                <w:szCs w:val="21"/>
              </w:rPr>
            </w:pPr>
          </w:p>
        </w:tc>
        <w:tc>
          <w:tcPr>
            <w:tcW w:w="217" w:type="dxa"/>
          </w:tcPr>
          <w:p w14:paraId="6011568E" w14:textId="77777777" w:rsidR="002C0FD9" w:rsidRPr="00CA25CF" w:rsidRDefault="002C0FD9" w:rsidP="00CA25CF">
            <w:pPr>
              <w:rPr>
                <w:rFonts w:cs="Arial"/>
                <w:color w:val="FF0000"/>
                <w:sz w:val="21"/>
                <w:szCs w:val="21"/>
              </w:rPr>
            </w:pPr>
          </w:p>
        </w:tc>
        <w:tc>
          <w:tcPr>
            <w:tcW w:w="217" w:type="dxa"/>
          </w:tcPr>
          <w:p w14:paraId="1432766F" w14:textId="77777777" w:rsidR="002C0FD9" w:rsidRPr="00CA25CF" w:rsidRDefault="002C0FD9" w:rsidP="00CA25CF">
            <w:pPr>
              <w:rPr>
                <w:rFonts w:cs="Arial"/>
                <w:color w:val="FF0000"/>
                <w:sz w:val="21"/>
                <w:szCs w:val="21"/>
              </w:rPr>
            </w:pPr>
          </w:p>
        </w:tc>
        <w:tc>
          <w:tcPr>
            <w:tcW w:w="217" w:type="dxa"/>
          </w:tcPr>
          <w:p w14:paraId="6EF63991" w14:textId="77777777" w:rsidR="002C0FD9" w:rsidRPr="00CA25CF" w:rsidRDefault="002C0FD9" w:rsidP="00CA25CF">
            <w:pPr>
              <w:rPr>
                <w:rFonts w:cs="Arial"/>
                <w:color w:val="FF0000"/>
                <w:sz w:val="21"/>
                <w:szCs w:val="21"/>
              </w:rPr>
            </w:pPr>
          </w:p>
        </w:tc>
        <w:tc>
          <w:tcPr>
            <w:tcW w:w="217" w:type="dxa"/>
          </w:tcPr>
          <w:p w14:paraId="770B672F" w14:textId="77777777" w:rsidR="002C0FD9" w:rsidRPr="00CA25CF" w:rsidRDefault="002C0FD9" w:rsidP="00CA25CF">
            <w:pPr>
              <w:rPr>
                <w:rFonts w:cs="Arial"/>
                <w:color w:val="FF0000"/>
                <w:sz w:val="21"/>
                <w:szCs w:val="21"/>
              </w:rPr>
            </w:pPr>
          </w:p>
        </w:tc>
        <w:tc>
          <w:tcPr>
            <w:tcW w:w="217" w:type="dxa"/>
          </w:tcPr>
          <w:p w14:paraId="0B826B7E" w14:textId="77777777" w:rsidR="002C0FD9" w:rsidRPr="00CA25CF" w:rsidRDefault="002C0FD9" w:rsidP="00CA25CF">
            <w:pPr>
              <w:rPr>
                <w:rFonts w:cs="Arial"/>
                <w:color w:val="FF0000"/>
                <w:sz w:val="21"/>
                <w:szCs w:val="21"/>
              </w:rPr>
            </w:pPr>
          </w:p>
        </w:tc>
        <w:tc>
          <w:tcPr>
            <w:tcW w:w="217" w:type="dxa"/>
          </w:tcPr>
          <w:p w14:paraId="48A4DBF4" w14:textId="17B1FB29" w:rsidR="002C0FD9" w:rsidRPr="00CA25CF" w:rsidRDefault="002C0FD9" w:rsidP="00CA25CF">
            <w:pPr>
              <w:rPr>
                <w:rFonts w:cs="Arial"/>
                <w:color w:val="FF0000"/>
                <w:sz w:val="21"/>
                <w:szCs w:val="21"/>
              </w:rPr>
            </w:pPr>
          </w:p>
        </w:tc>
        <w:tc>
          <w:tcPr>
            <w:tcW w:w="217" w:type="dxa"/>
          </w:tcPr>
          <w:p w14:paraId="7796F162" w14:textId="77777777" w:rsidR="002C0FD9" w:rsidRPr="00CA25CF" w:rsidRDefault="002C0FD9" w:rsidP="00CA25CF">
            <w:pPr>
              <w:rPr>
                <w:rFonts w:cs="Arial"/>
                <w:color w:val="FF0000"/>
                <w:sz w:val="21"/>
                <w:szCs w:val="21"/>
              </w:rPr>
            </w:pPr>
          </w:p>
        </w:tc>
        <w:tc>
          <w:tcPr>
            <w:tcW w:w="217" w:type="dxa"/>
          </w:tcPr>
          <w:p w14:paraId="74B74352" w14:textId="77777777" w:rsidR="002C0FD9" w:rsidRPr="00CA25CF" w:rsidRDefault="002C0FD9" w:rsidP="00CA25CF">
            <w:pPr>
              <w:rPr>
                <w:rFonts w:cs="Arial"/>
                <w:color w:val="FF0000"/>
                <w:sz w:val="21"/>
                <w:szCs w:val="21"/>
              </w:rPr>
            </w:pPr>
          </w:p>
        </w:tc>
        <w:tc>
          <w:tcPr>
            <w:tcW w:w="217" w:type="dxa"/>
          </w:tcPr>
          <w:p w14:paraId="359E9142" w14:textId="77777777" w:rsidR="002C0FD9" w:rsidRPr="00CA25CF" w:rsidRDefault="002C0FD9" w:rsidP="00CA25CF">
            <w:pPr>
              <w:rPr>
                <w:rFonts w:cs="Arial"/>
                <w:color w:val="FF0000"/>
                <w:sz w:val="21"/>
                <w:szCs w:val="21"/>
              </w:rPr>
            </w:pPr>
          </w:p>
        </w:tc>
        <w:tc>
          <w:tcPr>
            <w:tcW w:w="217" w:type="dxa"/>
          </w:tcPr>
          <w:p w14:paraId="1F375D2E" w14:textId="77777777" w:rsidR="002C0FD9" w:rsidRPr="00CA25CF" w:rsidRDefault="002C0FD9" w:rsidP="00CA25CF">
            <w:pPr>
              <w:rPr>
                <w:rFonts w:cs="Arial"/>
                <w:color w:val="FF0000"/>
                <w:sz w:val="21"/>
                <w:szCs w:val="21"/>
              </w:rPr>
            </w:pPr>
          </w:p>
        </w:tc>
        <w:tc>
          <w:tcPr>
            <w:tcW w:w="217" w:type="dxa"/>
          </w:tcPr>
          <w:p w14:paraId="29FE7D23" w14:textId="77777777" w:rsidR="002C0FD9" w:rsidRPr="00CA25CF" w:rsidRDefault="002C0FD9" w:rsidP="00CA25CF">
            <w:pPr>
              <w:rPr>
                <w:rFonts w:cs="Arial"/>
                <w:color w:val="FF0000"/>
                <w:sz w:val="21"/>
                <w:szCs w:val="21"/>
              </w:rPr>
            </w:pPr>
          </w:p>
        </w:tc>
        <w:tc>
          <w:tcPr>
            <w:tcW w:w="217" w:type="dxa"/>
          </w:tcPr>
          <w:p w14:paraId="23136FDF" w14:textId="77777777" w:rsidR="002C0FD9" w:rsidRPr="00CA25CF" w:rsidRDefault="002C0FD9" w:rsidP="00CA25CF">
            <w:pPr>
              <w:rPr>
                <w:rFonts w:cs="Arial"/>
                <w:color w:val="FF0000"/>
                <w:sz w:val="21"/>
                <w:szCs w:val="21"/>
              </w:rPr>
            </w:pPr>
          </w:p>
        </w:tc>
        <w:tc>
          <w:tcPr>
            <w:tcW w:w="217" w:type="dxa"/>
          </w:tcPr>
          <w:p w14:paraId="6CC52C12" w14:textId="77777777" w:rsidR="002C0FD9" w:rsidRPr="00CA25CF" w:rsidRDefault="002C0FD9" w:rsidP="00CA25CF">
            <w:pPr>
              <w:rPr>
                <w:rFonts w:cs="Arial"/>
                <w:color w:val="FF0000"/>
                <w:sz w:val="21"/>
                <w:szCs w:val="21"/>
              </w:rPr>
            </w:pPr>
          </w:p>
        </w:tc>
        <w:tc>
          <w:tcPr>
            <w:tcW w:w="217" w:type="dxa"/>
          </w:tcPr>
          <w:p w14:paraId="6338A932" w14:textId="77777777" w:rsidR="002C0FD9" w:rsidRPr="00CA25CF" w:rsidRDefault="002C0FD9" w:rsidP="00CA25CF">
            <w:pPr>
              <w:rPr>
                <w:rFonts w:cs="Arial"/>
                <w:color w:val="FF0000"/>
                <w:sz w:val="21"/>
                <w:szCs w:val="21"/>
              </w:rPr>
            </w:pPr>
          </w:p>
        </w:tc>
        <w:tc>
          <w:tcPr>
            <w:tcW w:w="217" w:type="dxa"/>
          </w:tcPr>
          <w:p w14:paraId="0FBFCA58" w14:textId="77777777" w:rsidR="002C0FD9" w:rsidRPr="00CA25CF" w:rsidRDefault="002C0FD9" w:rsidP="00CA25CF">
            <w:pPr>
              <w:rPr>
                <w:rFonts w:cs="Arial"/>
                <w:color w:val="FF0000"/>
                <w:sz w:val="21"/>
                <w:szCs w:val="21"/>
              </w:rPr>
            </w:pPr>
          </w:p>
        </w:tc>
        <w:tc>
          <w:tcPr>
            <w:tcW w:w="217" w:type="dxa"/>
          </w:tcPr>
          <w:p w14:paraId="4BC24A04" w14:textId="77777777" w:rsidR="002C0FD9" w:rsidRPr="00CA25CF" w:rsidRDefault="002C0FD9" w:rsidP="00CA25CF">
            <w:pPr>
              <w:rPr>
                <w:rFonts w:cs="Arial"/>
                <w:color w:val="FF0000"/>
                <w:sz w:val="21"/>
                <w:szCs w:val="21"/>
              </w:rPr>
            </w:pPr>
          </w:p>
        </w:tc>
        <w:tc>
          <w:tcPr>
            <w:tcW w:w="217" w:type="dxa"/>
          </w:tcPr>
          <w:p w14:paraId="779E5032" w14:textId="77777777" w:rsidR="002C0FD9" w:rsidRPr="00CA25CF" w:rsidRDefault="002C0FD9" w:rsidP="00CA25CF">
            <w:pPr>
              <w:rPr>
                <w:rFonts w:cs="Arial"/>
                <w:color w:val="FF0000"/>
                <w:sz w:val="21"/>
                <w:szCs w:val="21"/>
              </w:rPr>
            </w:pPr>
          </w:p>
        </w:tc>
        <w:tc>
          <w:tcPr>
            <w:tcW w:w="217" w:type="dxa"/>
          </w:tcPr>
          <w:p w14:paraId="0F7778B7" w14:textId="77777777" w:rsidR="002C0FD9" w:rsidRPr="00CA25CF" w:rsidRDefault="002C0FD9" w:rsidP="00CA25CF">
            <w:pPr>
              <w:rPr>
                <w:rFonts w:cs="Arial"/>
                <w:color w:val="FF0000"/>
                <w:sz w:val="21"/>
                <w:szCs w:val="21"/>
              </w:rPr>
            </w:pPr>
          </w:p>
        </w:tc>
        <w:tc>
          <w:tcPr>
            <w:tcW w:w="217" w:type="dxa"/>
          </w:tcPr>
          <w:p w14:paraId="755EC331" w14:textId="77777777" w:rsidR="002C0FD9" w:rsidRPr="00CA25CF" w:rsidRDefault="002C0FD9" w:rsidP="00CA25CF">
            <w:pPr>
              <w:rPr>
                <w:rFonts w:cs="Arial"/>
                <w:color w:val="FF0000"/>
                <w:sz w:val="21"/>
                <w:szCs w:val="21"/>
              </w:rPr>
            </w:pPr>
          </w:p>
        </w:tc>
        <w:tc>
          <w:tcPr>
            <w:tcW w:w="217" w:type="dxa"/>
          </w:tcPr>
          <w:p w14:paraId="4F733047" w14:textId="77777777" w:rsidR="002C0FD9" w:rsidRPr="00CA25CF" w:rsidRDefault="002C0FD9" w:rsidP="00CA25CF">
            <w:pPr>
              <w:rPr>
                <w:rFonts w:cs="Arial"/>
                <w:color w:val="FF0000"/>
                <w:sz w:val="21"/>
                <w:szCs w:val="21"/>
              </w:rPr>
            </w:pPr>
          </w:p>
        </w:tc>
        <w:tc>
          <w:tcPr>
            <w:tcW w:w="217" w:type="dxa"/>
          </w:tcPr>
          <w:p w14:paraId="110FE8D7" w14:textId="77777777" w:rsidR="002C0FD9" w:rsidRPr="00CA25CF" w:rsidRDefault="002C0FD9" w:rsidP="00CA25CF">
            <w:pPr>
              <w:rPr>
                <w:rFonts w:cs="Arial"/>
                <w:color w:val="FF0000"/>
                <w:sz w:val="21"/>
                <w:szCs w:val="21"/>
              </w:rPr>
            </w:pPr>
          </w:p>
        </w:tc>
        <w:tc>
          <w:tcPr>
            <w:tcW w:w="217" w:type="dxa"/>
          </w:tcPr>
          <w:p w14:paraId="2A6439CD" w14:textId="77777777" w:rsidR="002C0FD9" w:rsidRPr="00CA25CF" w:rsidRDefault="002C0FD9" w:rsidP="00CA25CF">
            <w:pPr>
              <w:rPr>
                <w:rFonts w:cs="Arial"/>
                <w:color w:val="FF0000"/>
                <w:sz w:val="21"/>
                <w:szCs w:val="21"/>
              </w:rPr>
            </w:pPr>
          </w:p>
        </w:tc>
        <w:tc>
          <w:tcPr>
            <w:tcW w:w="217" w:type="dxa"/>
          </w:tcPr>
          <w:p w14:paraId="620A4211" w14:textId="77777777" w:rsidR="002C0FD9" w:rsidRPr="00CA25CF" w:rsidRDefault="002C0FD9" w:rsidP="00CA25CF">
            <w:pPr>
              <w:rPr>
                <w:rFonts w:cs="Arial"/>
                <w:color w:val="FF0000"/>
                <w:sz w:val="21"/>
                <w:szCs w:val="21"/>
              </w:rPr>
            </w:pPr>
          </w:p>
        </w:tc>
        <w:tc>
          <w:tcPr>
            <w:tcW w:w="217" w:type="dxa"/>
          </w:tcPr>
          <w:p w14:paraId="3E9562CA" w14:textId="77777777" w:rsidR="002C0FD9" w:rsidRPr="00CA25CF" w:rsidRDefault="002C0FD9" w:rsidP="00CA25CF">
            <w:pPr>
              <w:rPr>
                <w:rFonts w:cs="Arial"/>
                <w:color w:val="FF0000"/>
                <w:sz w:val="21"/>
                <w:szCs w:val="21"/>
              </w:rPr>
            </w:pPr>
          </w:p>
        </w:tc>
        <w:tc>
          <w:tcPr>
            <w:tcW w:w="217" w:type="dxa"/>
          </w:tcPr>
          <w:p w14:paraId="03FBA658" w14:textId="77777777" w:rsidR="002C0FD9" w:rsidRPr="00CA25CF" w:rsidRDefault="002C0FD9" w:rsidP="00CA25CF">
            <w:pPr>
              <w:rPr>
                <w:rFonts w:cs="Arial"/>
                <w:color w:val="FF0000"/>
                <w:sz w:val="21"/>
                <w:szCs w:val="21"/>
              </w:rPr>
            </w:pPr>
          </w:p>
        </w:tc>
        <w:tc>
          <w:tcPr>
            <w:tcW w:w="217" w:type="dxa"/>
          </w:tcPr>
          <w:p w14:paraId="682931F8" w14:textId="77777777" w:rsidR="002C0FD9" w:rsidRPr="00CA25CF" w:rsidRDefault="002C0FD9" w:rsidP="00CA25CF">
            <w:pPr>
              <w:rPr>
                <w:rFonts w:cs="Arial"/>
                <w:color w:val="FF0000"/>
                <w:sz w:val="21"/>
                <w:szCs w:val="21"/>
              </w:rPr>
            </w:pPr>
          </w:p>
        </w:tc>
        <w:tc>
          <w:tcPr>
            <w:tcW w:w="217" w:type="dxa"/>
          </w:tcPr>
          <w:p w14:paraId="0F6ED32F" w14:textId="77777777" w:rsidR="002C0FD9" w:rsidRPr="00CA25CF" w:rsidRDefault="002C0FD9" w:rsidP="00CA25CF">
            <w:pPr>
              <w:rPr>
                <w:rFonts w:cs="Arial"/>
                <w:color w:val="FF0000"/>
                <w:sz w:val="21"/>
                <w:szCs w:val="21"/>
              </w:rPr>
            </w:pPr>
          </w:p>
        </w:tc>
        <w:tc>
          <w:tcPr>
            <w:tcW w:w="217" w:type="dxa"/>
          </w:tcPr>
          <w:p w14:paraId="29A86E9E" w14:textId="77777777" w:rsidR="002C0FD9" w:rsidRPr="00CA25CF" w:rsidRDefault="002C0FD9" w:rsidP="00CA25CF">
            <w:pPr>
              <w:rPr>
                <w:rFonts w:cs="Arial"/>
                <w:color w:val="FF0000"/>
                <w:sz w:val="21"/>
                <w:szCs w:val="21"/>
              </w:rPr>
            </w:pPr>
          </w:p>
        </w:tc>
        <w:tc>
          <w:tcPr>
            <w:tcW w:w="217" w:type="dxa"/>
          </w:tcPr>
          <w:p w14:paraId="3DA8743F" w14:textId="77777777" w:rsidR="002C0FD9" w:rsidRPr="00CA25CF" w:rsidRDefault="002C0FD9" w:rsidP="00CA25CF">
            <w:pPr>
              <w:rPr>
                <w:rFonts w:cs="Arial"/>
                <w:color w:val="FF0000"/>
                <w:sz w:val="21"/>
                <w:szCs w:val="21"/>
              </w:rPr>
            </w:pPr>
          </w:p>
        </w:tc>
        <w:tc>
          <w:tcPr>
            <w:tcW w:w="217" w:type="dxa"/>
          </w:tcPr>
          <w:p w14:paraId="02806E5B" w14:textId="77777777" w:rsidR="002C0FD9" w:rsidRPr="00CA25CF" w:rsidRDefault="002C0FD9" w:rsidP="00CA25CF">
            <w:pPr>
              <w:rPr>
                <w:rFonts w:cs="Arial"/>
                <w:color w:val="FF0000"/>
                <w:sz w:val="21"/>
                <w:szCs w:val="21"/>
              </w:rPr>
            </w:pPr>
          </w:p>
        </w:tc>
        <w:tc>
          <w:tcPr>
            <w:tcW w:w="217" w:type="dxa"/>
          </w:tcPr>
          <w:p w14:paraId="141647E4" w14:textId="77777777" w:rsidR="002C0FD9" w:rsidRPr="00CA25CF" w:rsidRDefault="002C0FD9" w:rsidP="00CA25CF">
            <w:pPr>
              <w:rPr>
                <w:rFonts w:cs="Arial"/>
                <w:color w:val="FF0000"/>
                <w:sz w:val="21"/>
                <w:szCs w:val="21"/>
              </w:rPr>
            </w:pPr>
          </w:p>
        </w:tc>
        <w:tc>
          <w:tcPr>
            <w:tcW w:w="217" w:type="dxa"/>
          </w:tcPr>
          <w:p w14:paraId="35D0BD76" w14:textId="77777777" w:rsidR="002C0FD9" w:rsidRPr="00CA25CF" w:rsidRDefault="002C0FD9" w:rsidP="00CA25CF">
            <w:pPr>
              <w:rPr>
                <w:rFonts w:cs="Arial"/>
                <w:color w:val="FF0000"/>
                <w:sz w:val="21"/>
                <w:szCs w:val="21"/>
              </w:rPr>
            </w:pPr>
          </w:p>
        </w:tc>
        <w:tc>
          <w:tcPr>
            <w:tcW w:w="217" w:type="dxa"/>
          </w:tcPr>
          <w:p w14:paraId="24013B39" w14:textId="77777777" w:rsidR="002C0FD9" w:rsidRPr="00CA25CF" w:rsidRDefault="002C0FD9" w:rsidP="00CA25CF">
            <w:pPr>
              <w:rPr>
                <w:rFonts w:cs="Arial"/>
                <w:color w:val="FF0000"/>
                <w:sz w:val="21"/>
                <w:szCs w:val="21"/>
              </w:rPr>
            </w:pPr>
          </w:p>
        </w:tc>
      </w:tr>
      <w:tr w:rsidR="002C0FD9" w:rsidRPr="00A16219" w14:paraId="6A3AF68C" w14:textId="101365E4" w:rsidTr="002C0FD9">
        <w:trPr>
          <w:trHeight w:val="635"/>
        </w:trPr>
        <w:tc>
          <w:tcPr>
            <w:tcW w:w="515" w:type="dxa"/>
          </w:tcPr>
          <w:p w14:paraId="57BA16AD" w14:textId="77777777" w:rsidR="002C0FD9" w:rsidRPr="00CA25CF" w:rsidRDefault="002C0FD9" w:rsidP="00CA25CF">
            <w:pPr>
              <w:rPr>
                <w:rFonts w:cs="Arial"/>
                <w:color w:val="FF0000"/>
                <w:sz w:val="21"/>
                <w:szCs w:val="21"/>
              </w:rPr>
            </w:pPr>
          </w:p>
        </w:tc>
        <w:tc>
          <w:tcPr>
            <w:tcW w:w="217" w:type="dxa"/>
          </w:tcPr>
          <w:p w14:paraId="63F1A3A3" w14:textId="77777777" w:rsidR="002C0FD9" w:rsidRPr="00CA25CF" w:rsidRDefault="002C0FD9" w:rsidP="00CA25CF">
            <w:pPr>
              <w:rPr>
                <w:rFonts w:cs="Arial"/>
                <w:color w:val="FF0000"/>
                <w:sz w:val="21"/>
                <w:szCs w:val="21"/>
              </w:rPr>
            </w:pPr>
          </w:p>
        </w:tc>
        <w:tc>
          <w:tcPr>
            <w:tcW w:w="217" w:type="dxa"/>
          </w:tcPr>
          <w:p w14:paraId="1904E1D6" w14:textId="468B2AB1" w:rsidR="002C0FD9" w:rsidRPr="00CA25CF" w:rsidRDefault="002C0FD9" w:rsidP="00CA25CF">
            <w:pPr>
              <w:rPr>
                <w:rFonts w:cs="Arial"/>
                <w:color w:val="FF0000"/>
                <w:sz w:val="21"/>
                <w:szCs w:val="21"/>
              </w:rPr>
            </w:pPr>
          </w:p>
        </w:tc>
        <w:tc>
          <w:tcPr>
            <w:tcW w:w="217" w:type="dxa"/>
          </w:tcPr>
          <w:p w14:paraId="648E3A6C" w14:textId="77777777" w:rsidR="002C0FD9" w:rsidRPr="00CA25CF" w:rsidRDefault="002C0FD9" w:rsidP="00CA25CF">
            <w:pPr>
              <w:rPr>
                <w:rFonts w:cs="Arial"/>
                <w:color w:val="FF0000"/>
                <w:sz w:val="21"/>
                <w:szCs w:val="21"/>
              </w:rPr>
            </w:pPr>
          </w:p>
        </w:tc>
        <w:tc>
          <w:tcPr>
            <w:tcW w:w="217" w:type="dxa"/>
          </w:tcPr>
          <w:p w14:paraId="6B58934D" w14:textId="1FD90B2B" w:rsidR="002C0FD9" w:rsidRPr="00CA25CF" w:rsidRDefault="002C0FD9" w:rsidP="00CA25CF">
            <w:pPr>
              <w:rPr>
                <w:rFonts w:cs="Arial"/>
                <w:color w:val="FF0000"/>
                <w:sz w:val="21"/>
                <w:szCs w:val="21"/>
              </w:rPr>
            </w:pPr>
          </w:p>
        </w:tc>
        <w:tc>
          <w:tcPr>
            <w:tcW w:w="217" w:type="dxa"/>
          </w:tcPr>
          <w:p w14:paraId="4017D288" w14:textId="77777777" w:rsidR="002C0FD9" w:rsidRPr="00CA25CF" w:rsidRDefault="002C0FD9" w:rsidP="00CA25CF">
            <w:pPr>
              <w:rPr>
                <w:rFonts w:cs="Arial"/>
                <w:color w:val="FF0000"/>
                <w:sz w:val="21"/>
                <w:szCs w:val="21"/>
              </w:rPr>
            </w:pPr>
          </w:p>
        </w:tc>
        <w:tc>
          <w:tcPr>
            <w:tcW w:w="217" w:type="dxa"/>
          </w:tcPr>
          <w:p w14:paraId="6CF471E9" w14:textId="77777777" w:rsidR="002C0FD9" w:rsidRPr="00CA25CF" w:rsidRDefault="002C0FD9" w:rsidP="00CA25CF">
            <w:pPr>
              <w:rPr>
                <w:rFonts w:cs="Arial"/>
                <w:color w:val="FF0000"/>
                <w:sz w:val="21"/>
                <w:szCs w:val="21"/>
              </w:rPr>
            </w:pPr>
          </w:p>
        </w:tc>
        <w:tc>
          <w:tcPr>
            <w:tcW w:w="217" w:type="dxa"/>
          </w:tcPr>
          <w:p w14:paraId="78C2F4EC" w14:textId="77777777" w:rsidR="002C0FD9" w:rsidRPr="00CA25CF" w:rsidRDefault="002C0FD9" w:rsidP="00CA25CF">
            <w:pPr>
              <w:rPr>
                <w:rFonts w:cs="Arial"/>
                <w:color w:val="FF0000"/>
                <w:sz w:val="21"/>
                <w:szCs w:val="21"/>
              </w:rPr>
            </w:pPr>
          </w:p>
        </w:tc>
        <w:tc>
          <w:tcPr>
            <w:tcW w:w="217" w:type="dxa"/>
          </w:tcPr>
          <w:p w14:paraId="60A09ABA" w14:textId="77777777" w:rsidR="002C0FD9" w:rsidRPr="00CA25CF" w:rsidRDefault="002C0FD9" w:rsidP="00CA25CF">
            <w:pPr>
              <w:rPr>
                <w:rFonts w:cs="Arial"/>
                <w:color w:val="FF0000"/>
                <w:sz w:val="21"/>
                <w:szCs w:val="21"/>
              </w:rPr>
            </w:pPr>
          </w:p>
        </w:tc>
        <w:tc>
          <w:tcPr>
            <w:tcW w:w="217" w:type="dxa"/>
          </w:tcPr>
          <w:p w14:paraId="0C5CCD95" w14:textId="77777777" w:rsidR="002C0FD9" w:rsidRPr="00CA25CF" w:rsidRDefault="002C0FD9" w:rsidP="00CA25CF">
            <w:pPr>
              <w:rPr>
                <w:rFonts w:cs="Arial"/>
                <w:color w:val="FF0000"/>
                <w:sz w:val="21"/>
                <w:szCs w:val="21"/>
              </w:rPr>
            </w:pPr>
          </w:p>
        </w:tc>
        <w:tc>
          <w:tcPr>
            <w:tcW w:w="217" w:type="dxa"/>
          </w:tcPr>
          <w:p w14:paraId="5F4771D8" w14:textId="77777777" w:rsidR="002C0FD9" w:rsidRPr="00CA25CF" w:rsidRDefault="002C0FD9" w:rsidP="00CA25CF">
            <w:pPr>
              <w:rPr>
                <w:rFonts w:cs="Arial"/>
                <w:color w:val="FF0000"/>
                <w:sz w:val="21"/>
                <w:szCs w:val="21"/>
              </w:rPr>
            </w:pPr>
          </w:p>
        </w:tc>
        <w:tc>
          <w:tcPr>
            <w:tcW w:w="217" w:type="dxa"/>
          </w:tcPr>
          <w:p w14:paraId="52E74575" w14:textId="77777777" w:rsidR="002C0FD9" w:rsidRPr="00CA25CF" w:rsidRDefault="002C0FD9" w:rsidP="00CA25CF">
            <w:pPr>
              <w:rPr>
                <w:rFonts w:cs="Arial"/>
                <w:color w:val="FF0000"/>
                <w:sz w:val="21"/>
                <w:szCs w:val="21"/>
              </w:rPr>
            </w:pPr>
          </w:p>
        </w:tc>
        <w:tc>
          <w:tcPr>
            <w:tcW w:w="217" w:type="dxa"/>
          </w:tcPr>
          <w:p w14:paraId="0D60791E" w14:textId="77777777" w:rsidR="002C0FD9" w:rsidRPr="00CA25CF" w:rsidRDefault="002C0FD9" w:rsidP="00CA25CF">
            <w:pPr>
              <w:rPr>
                <w:rFonts w:cs="Arial"/>
                <w:color w:val="FF0000"/>
                <w:sz w:val="21"/>
                <w:szCs w:val="21"/>
              </w:rPr>
            </w:pPr>
          </w:p>
        </w:tc>
        <w:tc>
          <w:tcPr>
            <w:tcW w:w="217" w:type="dxa"/>
          </w:tcPr>
          <w:p w14:paraId="49131EAF" w14:textId="77777777" w:rsidR="002C0FD9" w:rsidRPr="00CA25CF" w:rsidRDefault="002C0FD9" w:rsidP="00CA25CF">
            <w:pPr>
              <w:rPr>
                <w:rFonts w:cs="Arial"/>
                <w:color w:val="FF0000"/>
                <w:sz w:val="21"/>
                <w:szCs w:val="21"/>
              </w:rPr>
            </w:pPr>
          </w:p>
        </w:tc>
        <w:tc>
          <w:tcPr>
            <w:tcW w:w="217" w:type="dxa"/>
          </w:tcPr>
          <w:p w14:paraId="7D8CEE8C" w14:textId="77777777" w:rsidR="002C0FD9" w:rsidRPr="00CA25CF" w:rsidRDefault="002C0FD9" w:rsidP="00CA25CF">
            <w:pPr>
              <w:rPr>
                <w:rFonts w:cs="Arial"/>
                <w:color w:val="FF0000"/>
                <w:sz w:val="21"/>
                <w:szCs w:val="21"/>
              </w:rPr>
            </w:pPr>
          </w:p>
        </w:tc>
        <w:tc>
          <w:tcPr>
            <w:tcW w:w="217" w:type="dxa"/>
          </w:tcPr>
          <w:p w14:paraId="48DAAA8B" w14:textId="5FFF4FAD" w:rsidR="002C0FD9" w:rsidRPr="00CA25CF" w:rsidRDefault="002C0FD9" w:rsidP="00CA25CF">
            <w:pPr>
              <w:rPr>
                <w:rFonts w:cs="Arial"/>
                <w:color w:val="FF0000"/>
                <w:sz w:val="21"/>
                <w:szCs w:val="21"/>
              </w:rPr>
            </w:pPr>
          </w:p>
        </w:tc>
        <w:tc>
          <w:tcPr>
            <w:tcW w:w="217" w:type="dxa"/>
          </w:tcPr>
          <w:p w14:paraId="07CD7F8D" w14:textId="77777777" w:rsidR="002C0FD9" w:rsidRPr="00CA25CF" w:rsidRDefault="002C0FD9" w:rsidP="00CA25CF">
            <w:pPr>
              <w:rPr>
                <w:rFonts w:cs="Arial"/>
                <w:color w:val="FF0000"/>
                <w:sz w:val="21"/>
                <w:szCs w:val="21"/>
              </w:rPr>
            </w:pPr>
          </w:p>
        </w:tc>
        <w:tc>
          <w:tcPr>
            <w:tcW w:w="217" w:type="dxa"/>
          </w:tcPr>
          <w:p w14:paraId="71A2EAA8" w14:textId="77777777" w:rsidR="002C0FD9" w:rsidRPr="00CA25CF" w:rsidRDefault="002C0FD9" w:rsidP="00CA25CF">
            <w:pPr>
              <w:rPr>
                <w:rFonts w:cs="Arial"/>
                <w:color w:val="FF0000"/>
                <w:sz w:val="21"/>
                <w:szCs w:val="21"/>
              </w:rPr>
            </w:pPr>
          </w:p>
        </w:tc>
        <w:tc>
          <w:tcPr>
            <w:tcW w:w="217" w:type="dxa"/>
          </w:tcPr>
          <w:p w14:paraId="12113634" w14:textId="77777777" w:rsidR="002C0FD9" w:rsidRPr="00CA25CF" w:rsidRDefault="002C0FD9" w:rsidP="00CA25CF">
            <w:pPr>
              <w:rPr>
                <w:rFonts w:cs="Arial"/>
                <w:color w:val="FF0000"/>
                <w:sz w:val="21"/>
                <w:szCs w:val="21"/>
              </w:rPr>
            </w:pPr>
          </w:p>
        </w:tc>
        <w:tc>
          <w:tcPr>
            <w:tcW w:w="217" w:type="dxa"/>
          </w:tcPr>
          <w:p w14:paraId="39593671" w14:textId="77777777" w:rsidR="002C0FD9" w:rsidRPr="00CA25CF" w:rsidRDefault="002C0FD9" w:rsidP="00CA25CF">
            <w:pPr>
              <w:rPr>
                <w:rFonts w:cs="Arial"/>
                <w:color w:val="FF0000"/>
                <w:sz w:val="21"/>
                <w:szCs w:val="21"/>
              </w:rPr>
            </w:pPr>
          </w:p>
        </w:tc>
        <w:tc>
          <w:tcPr>
            <w:tcW w:w="217" w:type="dxa"/>
          </w:tcPr>
          <w:p w14:paraId="2E8A66D1" w14:textId="77777777" w:rsidR="002C0FD9" w:rsidRPr="00CA25CF" w:rsidRDefault="002C0FD9" w:rsidP="00CA25CF">
            <w:pPr>
              <w:rPr>
                <w:rFonts w:cs="Arial"/>
                <w:color w:val="FF0000"/>
                <w:sz w:val="21"/>
                <w:szCs w:val="21"/>
              </w:rPr>
            </w:pPr>
          </w:p>
        </w:tc>
        <w:tc>
          <w:tcPr>
            <w:tcW w:w="217" w:type="dxa"/>
          </w:tcPr>
          <w:p w14:paraId="0E972AA2" w14:textId="77777777" w:rsidR="002C0FD9" w:rsidRPr="00CA25CF" w:rsidRDefault="002C0FD9" w:rsidP="00CA25CF">
            <w:pPr>
              <w:rPr>
                <w:rFonts w:cs="Arial"/>
                <w:color w:val="FF0000"/>
                <w:sz w:val="21"/>
                <w:szCs w:val="21"/>
              </w:rPr>
            </w:pPr>
          </w:p>
        </w:tc>
        <w:tc>
          <w:tcPr>
            <w:tcW w:w="217" w:type="dxa"/>
          </w:tcPr>
          <w:p w14:paraId="53388E54" w14:textId="77777777" w:rsidR="002C0FD9" w:rsidRPr="00CA25CF" w:rsidRDefault="002C0FD9" w:rsidP="00CA25CF">
            <w:pPr>
              <w:rPr>
                <w:rFonts w:cs="Arial"/>
                <w:color w:val="FF0000"/>
                <w:sz w:val="21"/>
                <w:szCs w:val="21"/>
              </w:rPr>
            </w:pPr>
          </w:p>
        </w:tc>
        <w:tc>
          <w:tcPr>
            <w:tcW w:w="217" w:type="dxa"/>
          </w:tcPr>
          <w:p w14:paraId="3BB916B1" w14:textId="77777777" w:rsidR="002C0FD9" w:rsidRPr="00CA25CF" w:rsidRDefault="002C0FD9" w:rsidP="00CA25CF">
            <w:pPr>
              <w:rPr>
                <w:rFonts w:cs="Arial"/>
                <w:color w:val="FF0000"/>
                <w:sz w:val="21"/>
                <w:szCs w:val="21"/>
              </w:rPr>
            </w:pPr>
          </w:p>
        </w:tc>
        <w:tc>
          <w:tcPr>
            <w:tcW w:w="217" w:type="dxa"/>
          </w:tcPr>
          <w:p w14:paraId="46A8468A" w14:textId="77777777" w:rsidR="002C0FD9" w:rsidRPr="00CA25CF" w:rsidRDefault="002C0FD9" w:rsidP="00CA25CF">
            <w:pPr>
              <w:rPr>
                <w:rFonts w:cs="Arial"/>
                <w:color w:val="FF0000"/>
                <w:sz w:val="21"/>
                <w:szCs w:val="21"/>
              </w:rPr>
            </w:pPr>
          </w:p>
        </w:tc>
        <w:tc>
          <w:tcPr>
            <w:tcW w:w="217" w:type="dxa"/>
          </w:tcPr>
          <w:p w14:paraId="40A6E57D" w14:textId="77777777" w:rsidR="002C0FD9" w:rsidRPr="00CA25CF" w:rsidRDefault="002C0FD9" w:rsidP="00CA25CF">
            <w:pPr>
              <w:rPr>
                <w:rFonts w:cs="Arial"/>
                <w:color w:val="FF0000"/>
                <w:sz w:val="21"/>
                <w:szCs w:val="21"/>
              </w:rPr>
            </w:pPr>
          </w:p>
        </w:tc>
        <w:tc>
          <w:tcPr>
            <w:tcW w:w="217" w:type="dxa"/>
          </w:tcPr>
          <w:p w14:paraId="5DBEBF94" w14:textId="77777777" w:rsidR="002C0FD9" w:rsidRPr="00CA25CF" w:rsidRDefault="002C0FD9" w:rsidP="00CA25CF">
            <w:pPr>
              <w:rPr>
                <w:rFonts w:cs="Arial"/>
                <w:color w:val="FF0000"/>
                <w:sz w:val="21"/>
                <w:szCs w:val="21"/>
              </w:rPr>
            </w:pPr>
          </w:p>
        </w:tc>
        <w:tc>
          <w:tcPr>
            <w:tcW w:w="217" w:type="dxa"/>
          </w:tcPr>
          <w:p w14:paraId="79C8826E" w14:textId="77777777" w:rsidR="002C0FD9" w:rsidRPr="00CA25CF" w:rsidRDefault="002C0FD9" w:rsidP="00CA25CF">
            <w:pPr>
              <w:rPr>
                <w:rFonts w:cs="Arial"/>
                <w:color w:val="FF0000"/>
                <w:sz w:val="21"/>
                <w:szCs w:val="21"/>
              </w:rPr>
            </w:pPr>
          </w:p>
        </w:tc>
        <w:tc>
          <w:tcPr>
            <w:tcW w:w="217" w:type="dxa"/>
          </w:tcPr>
          <w:p w14:paraId="1C40A4DB" w14:textId="77777777" w:rsidR="002C0FD9" w:rsidRPr="00CA25CF" w:rsidRDefault="002C0FD9" w:rsidP="00CA25CF">
            <w:pPr>
              <w:rPr>
                <w:rFonts w:cs="Arial"/>
                <w:color w:val="FF0000"/>
                <w:sz w:val="21"/>
                <w:szCs w:val="21"/>
              </w:rPr>
            </w:pPr>
          </w:p>
        </w:tc>
        <w:tc>
          <w:tcPr>
            <w:tcW w:w="217" w:type="dxa"/>
          </w:tcPr>
          <w:p w14:paraId="770138CD" w14:textId="77777777" w:rsidR="002C0FD9" w:rsidRPr="00CA25CF" w:rsidRDefault="002C0FD9" w:rsidP="00CA25CF">
            <w:pPr>
              <w:rPr>
                <w:rFonts w:cs="Arial"/>
                <w:color w:val="FF0000"/>
                <w:sz w:val="21"/>
                <w:szCs w:val="21"/>
              </w:rPr>
            </w:pPr>
          </w:p>
        </w:tc>
        <w:tc>
          <w:tcPr>
            <w:tcW w:w="217" w:type="dxa"/>
          </w:tcPr>
          <w:p w14:paraId="04ED091C" w14:textId="77777777" w:rsidR="002C0FD9" w:rsidRPr="00CA25CF" w:rsidRDefault="002C0FD9" w:rsidP="00CA25CF">
            <w:pPr>
              <w:rPr>
                <w:rFonts w:cs="Arial"/>
                <w:color w:val="FF0000"/>
                <w:sz w:val="21"/>
                <w:szCs w:val="21"/>
              </w:rPr>
            </w:pPr>
          </w:p>
        </w:tc>
        <w:tc>
          <w:tcPr>
            <w:tcW w:w="217" w:type="dxa"/>
          </w:tcPr>
          <w:p w14:paraId="14833B96" w14:textId="77777777" w:rsidR="002C0FD9" w:rsidRPr="00CA25CF" w:rsidRDefault="002C0FD9" w:rsidP="00CA25CF">
            <w:pPr>
              <w:rPr>
                <w:rFonts w:cs="Arial"/>
                <w:color w:val="FF0000"/>
                <w:sz w:val="21"/>
                <w:szCs w:val="21"/>
              </w:rPr>
            </w:pPr>
          </w:p>
        </w:tc>
        <w:tc>
          <w:tcPr>
            <w:tcW w:w="217" w:type="dxa"/>
          </w:tcPr>
          <w:p w14:paraId="099196C1" w14:textId="77777777" w:rsidR="002C0FD9" w:rsidRPr="00CA25CF" w:rsidRDefault="002C0FD9" w:rsidP="00CA25CF">
            <w:pPr>
              <w:rPr>
                <w:rFonts w:cs="Arial"/>
                <w:color w:val="FF0000"/>
                <w:sz w:val="21"/>
                <w:szCs w:val="21"/>
              </w:rPr>
            </w:pPr>
          </w:p>
        </w:tc>
        <w:tc>
          <w:tcPr>
            <w:tcW w:w="217" w:type="dxa"/>
          </w:tcPr>
          <w:p w14:paraId="31511280" w14:textId="77777777" w:rsidR="002C0FD9" w:rsidRPr="00CA25CF" w:rsidRDefault="002C0FD9" w:rsidP="00CA25CF">
            <w:pPr>
              <w:rPr>
                <w:rFonts w:cs="Arial"/>
                <w:color w:val="FF0000"/>
                <w:sz w:val="21"/>
                <w:szCs w:val="21"/>
              </w:rPr>
            </w:pPr>
          </w:p>
        </w:tc>
        <w:tc>
          <w:tcPr>
            <w:tcW w:w="217" w:type="dxa"/>
          </w:tcPr>
          <w:p w14:paraId="0E3F8EAC" w14:textId="77777777" w:rsidR="002C0FD9" w:rsidRPr="00CA25CF" w:rsidRDefault="002C0FD9" w:rsidP="00CA25CF">
            <w:pPr>
              <w:rPr>
                <w:rFonts w:cs="Arial"/>
                <w:color w:val="FF0000"/>
                <w:sz w:val="21"/>
                <w:szCs w:val="21"/>
              </w:rPr>
            </w:pPr>
          </w:p>
        </w:tc>
        <w:tc>
          <w:tcPr>
            <w:tcW w:w="217" w:type="dxa"/>
          </w:tcPr>
          <w:p w14:paraId="37510B9D" w14:textId="77777777" w:rsidR="002C0FD9" w:rsidRPr="00CA25CF" w:rsidRDefault="002C0FD9" w:rsidP="00CA25CF">
            <w:pPr>
              <w:rPr>
                <w:rFonts w:cs="Arial"/>
                <w:color w:val="FF0000"/>
                <w:sz w:val="21"/>
                <w:szCs w:val="21"/>
              </w:rPr>
            </w:pPr>
          </w:p>
        </w:tc>
        <w:tc>
          <w:tcPr>
            <w:tcW w:w="217" w:type="dxa"/>
          </w:tcPr>
          <w:p w14:paraId="3B37698A" w14:textId="77777777" w:rsidR="002C0FD9" w:rsidRPr="00CA25CF" w:rsidRDefault="002C0FD9" w:rsidP="00CA25CF">
            <w:pPr>
              <w:rPr>
                <w:rFonts w:cs="Arial"/>
                <w:color w:val="FF0000"/>
                <w:sz w:val="21"/>
                <w:szCs w:val="21"/>
              </w:rPr>
            </w:pPr>
          </w:p>
        </w:tc>
        <w:tc>
          <w:tcPr>
            <w:tcW w:w="217" w:type="dxa"/>
          </w:tcPr>
          <w:p w14:paraId="57D8B55D" w14:textId="77777777" w:rsidR="002C0FD9" w:rsidRPr="00CA25CF" w:rsidRDefault="002C0FD9" w:rsidP="00CA25CF">
            <w:pPr>
              <w:rPr>
                <w:rFonts w:cs="Arial"/>
                <w:color w:val="FF0000"/>
                <w:sz w:val="21"/>
                <w:szCs w:val="21"/>
              </w:rPr>
            </w:pPr>
          </w:p>
        </w:tc>
        <w:tc>
          <w:tcPr>
            <w:tcW w:w="217" w:type="dxa"/>
          </w:tcPr>
          <w:p w14:paraId="2FB28FA5" w14:textId="77777777" w:rsidR="002C0FD9" w:rsidRPr="00CA25CF" w:rsidRDefault="002C0FD9" w:rsidP="00CA25CF">
            <w:pPr>
              <w:rPr>
                <w:rFonts w:cs="Arial"/>
                <w:color w:val="FF0000"/>
                <w:sz w:val="21"/>
                <w:szCs w:val="21"/>
              </w:rPr>
            </w:pPr>
          </w:p>
        </w:tc>
        <w:tc>
          <w:tcPr>
            <w:tcW w:w="217" w:type="dxa"/>
          </w:tcPr>
          <w:p w14:paraId="703D8521" w14:textId="77777777" w:rsidR="002C0FD9" w:rsidRPr="00CA25CF" w:rsidRDefault="002C0FD9" w:rsidP="00CA25CF">
            <w:pPr>
              <w:rPr>
                <w:rFonts w:cs="Arial"/>
                <w:color w:val="FF0000"/>
                <w:sz w:val="21"/>
                <w:szCs w:val="21"/>
              </w:rPr>
            </w:pPr>
          </w:p>
        </w:tc>
        <w:tc>
          <w:tcPr>
            <w:tcW w:w="217" w:type="dxa"/>
          </w:tcPr>
          <w:p w14:paraId="03293B2D" w14:textId="77777777" w:rsidR="002C0FD9" w:rsidRPr="00CA25CF" w:rsidRDefault="002C0FD9" w:rsidP="00CA25CF">
            <w:pPr>
              <w:rPr>
                <w:rFonts w:cs="Arial"/>
                <w:color w:val="FF0000"/>
                <w:sz w:val="21"/>
                <w:szCs w:val="21"/>
              </w:rPr>
            </w:pPr>
          </w:p>
        </w:tc>
        <w:tc>
          <w:tcPr>
            <w:tcW w:w="217" w:type="dxa"/>
          </w:tcPr>
          <w:p w14:paraId="5FCFEE4F" w14:textId="77777777" w:rsidR="002C0FD9" w:rsidRPr="00CA25CF" w:rsidRDefault="002C0FD9" w:rsidP="00CA25CF">
            <w:pPr>
              <w:rPr>
                <w:rFonts w:cs="Arial"/>
                <w:color w:val="FF0000"/>
                <w:sz w:val="21"/>
                <w:szCs w:val="21"/>
              </w:rPr>
            </w:pPr>
          </w:p>
        </w:tc>
        <w:tc>
          <w:tcPr>
            <w:tcW w:w="217" w:type="dxa"/>
          </w:tcPr>
          <w:p w14:paraId="46F6390C" w14:textId="77777777" w:rsidR="002C0FD9" w:rsidRPr="00CA25CF" w:rsidRDefault="002C0FD9" w:rsidP="00CA25CF">
            <w:pPr>
              <w:rPr>
                <w:rFonts w:cs="Arial"/>
                <w:color w:val="FF0000"/>
                <w:sz w:val="21"/>
                <w:szCs w:val="21"/>
              </w:rPr>
            </w:pPr>
          </w:p>
        </w:tc>
      </w:tr>
      <w:tr w:rsidR="002C0FD9" w:rsidRPr="00A16219" w14:paraId="1B72CA24" w14:textId="2FE82AE3" w:rsidTr="002C0FD9">
        <w:trPr>
          <w:trHeight w:val="635"/>
        </w:trPr>
        <w:tc>
          <w:tcPr>
            <w:tcW w:w="515" w:type="dxa"/>
          </w:tcPr>
          <w:p w14:paraId="73113997" w14:textId="4C660A60" w:rsidR="002C0FD9" w:rsidRPr="00CA25CF" w:rsidRDefault="002C0FD9" w:rsidP="00CA25CF">
            <w:pPr>
              <w:rPr>
                <w:rFonts w:cs="Arial"/>
                <w:color w:val="FF0000"/>
                <w:sz w:val="21"/>
                <w:szCs w:val="21"/>
              </w:rPr>
            </w:pPr>
          </w:p>
        </w:tc>
        <w:tc>
          <w:tcPr>
            <w:tcW w:w="217" w:type="dxa"/>
          </w:tcPr>
          <w:p w14:paraId="2BE6FD78" w14:textId="77777777" w:rsidR="002C0FD9" w:rsidRPr="00CA25CF" w:rsidRDefault="002C0FD9" w:rsidP="00CA25CF">
            <w:pPr>
              <w:rPr>
                <w:rFonts w:cs="Arial"/>
                <w:color w:val="FF0000"/>
                <w:sz w:val="21"/>
                <w:szCs w:val="21"/>
              </w:rPr>
            </w:pPr>
          </w:p>
        </w:tc>
        <w:tc>
          <w:tcPr>
            <w:tcW w:w="217" w:type="dxa"/>
          </w:tcPr>
          <w:p w14:paraId="76DB42CC" w14:textId="2633CA5C" w:rsidR="002C0FD9" w:rsidRPr="00CA25CF" w:rsidRDefault="002C0FD9" w:rsidP="00CA25CF">
            <w:pPr>
              <w:rPr>
                <w:rFonts w:cs="Arial"/>
                <w:color w:val="FF0000"/>
                <w:sz w:val="21"/>
                <w:szCs w:val="21"/>
              </w:rPr>
            </w:pPr>
          </w:p>
        </w:tc>
        <w:tc>
          <w:tcPr>
            <w:tcW w:w="217" w:type="dxa"/>
          </w:tcPr>
          <w:p w14:paraId="07C08A13" w14:textId="77777777" w:rsidR="002C0FD9" w:rsidRPr="00CA25CF" w:rsidRDefault="002C0FD9" w:rsidP="00CA25CF">
            <w:pPr>
              <w:rPr>
                <w:rFonts w:cs="Arial"/>
                <w:color w:val="FF0000"/>
                <w:sz w:val="21"/>
                <w:szCs w:val="21"/>
              </w:rPr>
            </w:pPr>
          </w:p>
        </w:tc>
        <w:tc>
          <w:tcPr>
            <w:tcW w:w="217" w:type="dxa"/>
          </w:tcPr>
          <w:p w14:paraId="549E905B" w14:textId="1C97D484" w:rsidR="002C0FD9" w:rsidRPr="00CA25CF" w:rsidRDefault="002C0FD9" w:rsidP="00CA25CF">
            <w:pPr>
              <w:rPr>
                <w:rFonts w:cs="Arial"/>
                <w:color w:val="FF0000"/>
                <w:sz w:val="21"/>
                <w:szCs w:val="21"/>
              </w:rPr>
            </w:pPr>
          </w:p>
        </w:tc>
        <w:tc>
          <w:tcPr>
            <w:tcW w:w="217" w:type="dxa"/>
          </w:tcPr>
          <w:p w14:paraId="6214E3D3" w14:textId="77777777" w:rsidR="002C0FD9" w:rsidRPr="00CA25CF" w:rsidRDefault="002C0FD9" w:rsidP="00CA25CF">
            <w:pPr>
              <w:rPr>
                <w:rFonts w:cs="Arial"/>
                <w:color w:val="FF0000"/>
                <w:sz w:val="21"/>
                <w:szCs w:val="21"/>
              </w:rPr>
            </w:pPr>
          </w:p>
        </w:tc>
        <w:tc>
          <w:tcPr>
            <w:tcW w:w="217" w:type="dxa"/>
          </w:tcPr>
          <w:p w14:paraId="5674FDA7" w14:textId="77777777" w:rsidR="002C0FD9" w:rsidRPr="00CA25CF" w:rsidRDefault="002C0FD9" w:rsidP="00CA25CF">
            <w:pPr>
              <w:rPr>
                <w:rFonts w:cs="Arial"/>
                <w:color w:val="FF0000"/>
                <w:sz w:val="21"/>
                <w:szCs w:val="21"/>
              </w:rPr>
            </w:pPr>
          </w:p>
        </w:tc>
        <w:tc>
          <w:tcPr>
            <w:tcW w:w="217" w:type="dxa"/>
          </w:tcPr>
          <w:p w14:paraId="6133CE00" w14:textId="77777777" w:rsidR="002C0FD9" w:rsidRPr="00CA25CF" w:rsidRDefault="002C0FD9" w:rsidP="00CA25CF">
            <w:pPr>
              <w:rPr>
                <w:rFonts w:cs="Arial"/>
                <w:color w:val="FF0000"/>
                <w:sz w:val="21"/>
                <w:szCs w:val="21"/>
              </w:rPr>
            </w:pPr>
          </w:p>
        </w:tc>
        <w:tc>
          <w:tcPr>
            <w:tcW w:w="217" w:type="dxa"/>
          </w:tcPr>
          <w:p w14:paraId="5832019F" w14:textId="77777777" w:rsidR="002C0FD9" w:rsidRPr="00CA25CF" w:rsidRDefault="002C0FD9" w:rsidP="00CA25CF">
            <w:pPr>
              <w:rPr>
                <w:rFonts w:cs="Arial"/>
                <w:color w:val="FF0000"/>
                <w:sz w:val="21"/>
                <w:szCs w:val="21"/>
              </w:rPr>
            </w:pPr>
          </w:p>
        </w:tc>
        <w:tc>
          <w:tcPr>
            <w:tcW w:w="217" w:type="dxa"/>
          </w:tcPr>
          <w:p w14:paraId="11751EE9" w14:textId="77777777" w:rsidR="002C0FD9" w:rsidRPr="00CA25CF" w:rsidRDefault="002C0FD9" w:rsidP="00CA25CF">
            <w:pPr>
              <w:rPr>
                <w:rFonts w:cs="Arial"/>
                <w:color w:val="FF0000"/>
                <w:sz w:val="21"/>
                <w:szCs w:val="21"/>
              </w:rPr>
            </w:pPr>
          </w:p>
        </w:tc>
        <w:tc>
          <w:tcPr>
            <w:tcW w:w="217" w:type="dxa"/>
          </w:tcPr>
          <w:p w14:paraId="552F8492" w14:textId="77777777" w:rsidR="002C0FD9" w:rsidRPr="00CA25CF" w:rsidRDefault="002C0FD9" w:rsidP="00CA25CF">
            <w:pPr>
              <w:rPr>
                <w:rFonts w:cs="Arial"/>
                <w:color w:val="FF0000"/>
                <w:sz w:val="21"/>
                <w:szCs w:val="21"/>
              </w:rPr>
            </w:pPr>
          </w:p>
        </w:tc>
        <w:tc>
          <w:tcPr>
            <w:tcW w:w="217" w:type="dxa"/>
          </w:tcPr>
          <w:p w14:paraId="1AFDAA29" w14:textId="77777777" w:rsidR="002C0FD9" w:rsidRPr="00CA25CF" w:rsidRDefault="002C0FD9" w:rsidP="00CA25CF">
            <w:pPr>
              <w:rPr>
                <w:rFonts w:cs="Arial"/>
                <w:color w:val="FF0000"/>
                <w:sz w:val="21"/>
                <w:szCs w:val="21"/>
              </w:rPr>
            </w:pPr>
          </w:p>
        </w:tc>
        <w:tc>
          <w:tcPr>
            <w:tcW w:w="217" w:type="dxa"/>
          </w:tcPr>
          <w:p w14:paraId="1075A790" w14:textId="77777777" w:rsidR="002C0FD9" w:rsidRPr="00CA25CF" w:rsidRDefault="002C0FD9" w:rsidP="00CA25CF">
            <w:pPr>
              <w:rPr>
                <w:rFonts w:cs="Arial"/>
                <w:color w:val="FF0000"/>
                <w:sz w:val="21"/>
                <w:szCs w:val="21"/>
              </w:rPr>
            </w:pPr>
          </w:p>
        </w:tc>
        <w:tc>
          <w:tcPr>
            <w:tcW w:w="217" w:type="dxa"/>
          </w:tcPr>
          <w:p w14:paraId="0CA9E96D" w14:textId="77777777" w:rsidR="002C0FD9" w:rsidRPr="00CA25CF" w:rsidRDefault="002C0FD9" w:rsidP="00CA25CF">
            <w:pPr>
              <w:rPr>
                <w:rFonts w:cs="Arial"/>
                <w:color w:val="FF0000"/>
                <w:sz w:val="21"/>
                <w:szCs w:val="21"/>
              </w:rPr>
            </w:pPr>
          </w:p>
        </w:tc>
        <w:tc>
          <w:tcPr>
            <w:tcW w:w="217" w:type="dxa"/>
          </w:tcPr>
          <w:p w14:paraId="6D6CB138" w14:textId="77777777" w:rsidR="002C0FD9" w:rsidRPr="00CA25CF" w:rsidRDefault="002C0FD9" w:rsidP="00CA25CF">
            <w:pPr>
              <w:rPr>
                <w:rFonts w:cs="Arial"/>
                <w:color w:val="FF0000"/>
                <w:sz w:val="21"/>
                <w:szCs w:val="21"/>
              </w:rPr>
            </w:pPr>
          </w:p>
        </w:tc>
        <w:tc>
          <w:tcPr>
            <w:tcW w:w="217" w:type="dxa"/>
          </w:tcPr>
          <w:p w14:paraId="219E632E" w14:textId="18F05D25" w:rsidR="002C0FD9" w:rsidRPr="00CA25CF" w:rsidRDefault="002C0FD9" w:rsidP="00CA25CF">
            <w:pPr>
              <w:rPr>
                <w:rFonts w:cs="Arial"/>
                <w:color w:val="FF0000"/>
                <w:sz w:val="21"/>
                <w:szCs w:val="21"/>
              </w:rPr>
            </w:pPr>
          </w:p>
        </w:tc>
        <w:tc>
          <w:tcPr>
            <w:tcW w:w="217" w:type="dxa"/>
          </w:tcPr>
          <w:p w14:paraId="544F946E" w14:textId="77777777" w:rsidR="002C0FD9" w:rsidRPr="00CA25CF" w:rsidRDefault="002C0FD9" w:rsidP="00CA25CF">
            <w:pPr>
              <w:rPr>
                <w:rFonts w:cs="Arial"/>
                <w:color w:val="FF0000"/>
                <w:sz w:val="21"/>
                <w:szCs w:val="21"/>
              </w:rPr>
            </w:pPr>
          </w:p>
        </w:tc>
        <w:tc>
          <w:tcPr>
            <w:tcW w:w="217" w:type="dxa"/>
          </w:tcPr>
          <w:p w14:paraId="0BFE2D0F" w14:textId="77777777" w:rsidR="002C0FD9" w:rsidRPr="00CA25CF" w:rsidRDefault="002C0FD9" w:rsidP="00CA25CF">
            <w:pPr>
              <w:rPr>
                <w:rFonts w:cs="Arial"/>
                <w:color w:val="FF0000"/>
                <w:sz w:val="21"/>
                <w:szCs w:val="21"/>
              </w:rPr>
            </w:pPr>
          </w:p>
        </w:tc>
        <w:tc>
          <w:tcPr>
            <w:tcW w:w="217" w:type="dxa"/>
          </w:tcPr>
          <w:p w14:paraId="31135DE9" w14:textId="77777777" w:rsidR="002C0FD9" w:rsidRPr="00CA25CF" w:rsidRDefault="002C0FD9" w:rsidP="00CA25CF">
            <w:pPr>
              <w:rPr>
                <w:rFonts w:cs="Arial"/>
                <w:color w:val="FF0000"/>
                <w:sz w:val="21"/>
                <w:szCs w:val="21"/>
              </w:rPr>
            </w:pPr>
          </w:p>
        </w:tc>
        <w:tc>
          <w:tcPr>
            <w:tcW w:w="217" w:type="dxa"/>
          </w:tcPr>
          <w:p w14:paraId="4F0675BB" w14:textId="77777777" w:rsidR="002C0FD9" w:rsidRPr="00CA25CF" w:rsidRDefault="002C0FD9" w:rsidP="00CA25CF">
            <w:pPr>
              <w:rPr>
                <w:rFonts w:cs="Arial"/>
                <w:color w:val="FF0000"/>
                <w:sz w:val="21"/>
                <w:szCs w:val="21"/>
              </w:rPr>
            </w:pPr>
          </w:p>
        </w:tc>
        <w:tc>
          <w:tcPr>
            <w:tcW w:w="217" w:type="dxa"/>
          </w:tcPr>
          <w:p w14:paraId="45DF68B7" w14:textId="77777777" w:rsidR="002C0FD9" w:rsidRPr="00CA25CF" w:rsidRDefault="002C0FD9" w:rsidP="00CA25CF">
            <w:pPr>
              <w:rPr>
                <w:rFonts w:cs="Arial"/>
                <w:color w:val="FF0000"/>
                <w:sz w:val="21"/>
                <w:szCs w:val="21"/>
              </w:rPr>
            </w:pPr>
          </w:p>
        </w:tc>
        <w:tc>
          <w:tcPr>
            <w:tcW w:w="217" w:type="dxa"/>
          </w:tcPr>
          <w:p w14:paraId="26C10FE5" w14:textId="77777777" w:rsidR="002C0FD9" w:rsidRPr="00CA25CF" w:rsidRDefault="002C0FD9" w:rsidP="00CA25CF">
            <w:pPr>
              <w:rPr>
                <w:rFonts w:cs="Arial"/>
                <w:color w:val="FF0000"/>
                <w:sz w:val="21"/>
                <w:szCs w:val="21"/>
              </w:rPr>
            </w:pPr>
          </w:p>
        </w:tc>
        <w:tc>
          <w:tcPr>
            <w:tcW w:w="217" w:type="dxa"/>
          </w:tcPr>
          <w:p w14:paraId="78C2259F" w14:textId="77777777" w:rsidR="002C0FD9" w:rsidRPr="00CA25CF" w:rsidRDefault="002C0FD9" w:rsidP="00CA25CF">
            <w:pPr>
              <w:rPr>
                <w:rFonts w:cs="Arial"/>
                <w:color w:val="FF0000"/>
                <w:sz w:val="21"/>
                <w:szCs w:val="21"/>
              </w:rPr>
            </w:pPr>
          </w:p>
        </w:tc>
        <w:tc>
          <w:tcPr>
            <w:tcW w:w="217" w:type="dxa"/>
          </w:tcPr>
          <w:p w14:paraId="4B2A38D3" w14:textId="77777777" w:rsidR="002C0FD9" w:rsidRPr="00CA25CF" w:rsidRDefault="002C0FD9" w:rsidP="00CA25CF">
            <w:pPr>
              <w:rPr>
                <w:rFonts w:cs="Arial"/>
                <w:color w:val="FF0000"/>
                <w:sz w:val="21"/>
                <w:szCs w:val="21"/>
              </w:rPr>
            </w:pPr>
          </w:p>
        </w:tc>
        <w:tc>
          <w:tcPr>
            <w:tcW w:w="217" w:type="dxa"/>
          </w:tcPr>
          <w:p w14:paraId="2DD2DE6E" w14:textId="77777777" w:rsidR="002C0FD9" w:rsidRPr="00CA25CF" w:rsidRDefault="002C0FD9" w:rsidP="00CA25CF">
            <w:pPr>
              <w:rPr>
                <w:rFonts w:cs="Arial"/>
                <w:color w:val="FF0000"/>
                <w:sz w:val="21"/>
                <w:szCs w:val="21"/>
              </w:rPr>
            </w:pPr>
          </w:p>
        </w:tc>
        <w:tc>
          <w:tcPr>
            <w:tcW w:w="217" w:type="dxa"/>
          </w:tcPr>
          <w:p w14:paraId="0DABEB65" w14:textId="77777777" w:rsidR="002C0FD9" w:rsidRPr="00CA25CF" w:rsidRDefault="002C0FD9" w:rsidP="00CA25CF">
            <w:pPr>
              <w:rPr>
                <w:rFonts w:cs="Arial"/>
                <w:color w:val="FF0000"/>
                <w:sz w:val="21"/>
                <w:szCs w:val="21"/>
              </w:rPr>
            </w:pPr>
          </w:p>
        </w:tc>
        <w:tc>
          <w:tcPr>
            <w:tcW w:w="217" w:type="dxa"/>
          </w:tcPr>
          <w:p w14:paraId="17723578" w14:textId="77777777" w:rsidR="002C0FD9" w:rsidRPr="00CA25CF" w:rsidRDefault="002C0FD9" w:rsidP="00CA25CF">
            <w:pPr>
              <w:rPr>
                <w:rFonts w:cs="Arial"/>
                <w:color w:val="FF0000"/>
                <w:sz w:val="21"/>
                <w:szCs w:val="21"/>
              </w:rPr>
            </w:pPr>
          </w:p>
        </w:tc>
        <w:tc>
          <w:tcPr>
            <w:tcW w:w="217" w:type="dxa"/>
          </w:tcPr>
          <w:p w14:paraId="137A03C7" w14:textId="77777777" w:rsidR="002C0FD9" w:rsidRPr="00CA25CF" w:rsidRDefault="002C0FD9" w:rsidP="00CA25CF">
            <w:pPr>
              <w:rPr>
                <w:rFonts w:cs="Arial"/>
                <w:color w:val="FF0000"/>
                <w:sz w:val="21"/>
                <w:szCs w:val="21"/>
              </w:rPr>
            </w:pPr>
          </w:p>
        </w:tc>
        <w:tc>
          <w:tcPr>
            <w:tcW w:w="217" w:type="dxa"/>
          </w:tcPr>
          <w:p w14:paraId="4AEFB233" w14:textId="77777777" w:rsidR="002C0FD9" w:rsidRPr="00CA25CF" w:rsidRDefault="002C0FD9" w:rsidP="00CA25CF">
            <w:pPr>
              <w:rPr>
                <w:rFonts w:cs="Arial"/>
                <w:color w:val="FF0000"/>
                <w:sz w:val="21"/>
                <w:szCs w:val="21"/>
              </w:rPr>
            </w:pPr>
          </w:p>
        </w:tc>
        <w:tc>
          <w:tcPr>
            <w:tcW w:w="217" w:type="dxa"/>
          </w:tcPr>
          <w:p w14:paraId="68941E40" w14:textId="77777777" w:rsidR="002C0FD9" w:rsidRPr="00CA25CF" w:rsidRDefault="002C0FD9" w:rsidP="00CA25CF">
            <w:pPr>
              <w:rPr>
                <w:rFonts w:cs="Arial"/>
                <w:color w:val="FF0000"/>
                <w:sz w:val="21"/>
                <w:szCs w:val="21"/>
              </w:rPr>
            </w:pPr>
          </w:p>
        </w:tc>
        <w:tc>
          <w:tcPr>
            <w:tcW w:w="217" w:type="dxa"/>
          </w:tcPr>
          <w:p w14:paraId="15596148" w14:textId="77777777" w:rsidR="002C0FD9" w:rsidRPr="00CA25CF" w:rsidRDefault="002C0FD9" w:rsidP="00CA25CF">
            <w:pPr>
              <w:rPr>
                <w:rFonts w:cs="Arial"/>
                <w:color w:val="FF0000"/>
                <w:sz w:val="21"/>
                <w:szCs w:val="21"/>
              </w:rPr>
            </w:pPr>
          </w:p>
        </w:tc>
        <w:tc>
          <w:tcPr>
            <w:tcW w:w="217" w:type="dxa"/>
          </w:tcPr>
          <w:p w14:paraId="20F5CD71" w14:textId="77777777" w:rsidR="002C0FD9" w:rsidRPr="00CA25CF" w:rsidRDefault="002C0FD9" w:rsidP="00CA25CF">
            <w:pPr>
              <w:rPr>
                <w:rFonts w:cs="Arial"/>
                <w:color w:val="FF0000"/>
                <w:sz w:val="21"/>
                <w:szCs w:val="21"/>
              </w:rPr>
            </w:pPr>
          </w:p>
        </w:tc>
        <w:tc>
          <w:tcPr>
            <w:tcW w:w="217" w:type="dxa"/>
          </w:tcPr>
          <w:p w14:paraId="10D72A11" w14:textId="77777777" w:rsidR="002C0FD9" w:rsidRPr="00CA25CF" w:rsidRDefault="002C0FD9" w:rsidP="00CA25CF">
            <w:pPr>
              <w:rPr>
                <w:rFonts w:cs="Arial"/>
                <w:color w:val="FF0000"/>
                <w:sz w:val="21"/>
                <w:szCs w:val="21"/>
              </w:rPr>
            </w:pPr>
          </w:p>
        </w:tc>
        <w:tc>
          <w:tcPr>
            <w:tcW w:w="217" w:type="dxa"/>
          </w:tcPr>
          <w:p w14:paraId="297582A1" w14:textId="77777777" w:rsidR="002C0FD9" w:rsidRPr="00CA25CF" w:rsidRDefault="002C0FD9" w:rsidP="00CA25CF">
            <w:pPr>
              <w:rPr>
                <w:rFonts w:cs="Arial"/>
                <w:color w:val="FF0000"/>
                <w:sz w:val="21"/>
                <w:szCs w:val="21"/>
              </w:rPr>
            </w:pPr>
          </w:p>
        </w:tc>
        <w:tc>
          <w:tcPr>
            <w:tcW w:w="217" w:type="dxa"/>
          </w:tcPr>
          <w:p w14:paraId="1C2113A9" w14:textId="77777777" w:rsidR="002C0FD9" w:rsidRPr="00CA25CF" w:rsidRDefault="002C0FD9" w:rsidP="00CA25CF">
            <w:pPr>
              <w:rPr>
                <w:rFonts w:cs="Arial"/>
                <w:color w:val="FF0000"/>
                <w:sz w:val="21"/>
                <w:szCs w:val="21"/>
              </w:rPr>
            </w:pPr>
          </w:p>
        </w:tc>
        <w:tc>
          <w:tcPr>
            <w:tcW w:w="217" w:type="dxa"/>
          </w:tcPr>
          <w:p w14:paraId="3BFC0493" w14:textId="77777777" w:rsidR="002C0FD9" w:rsidRPr="00CA25CF" w:rsidRDefault="002C0FD9" w:rsidP="00CA25CF">
            <w:pPr>
              <w:rPr>
                <w:rFonts w:cs="Arial"/>
                <w:color w:val="FF0000"/>
                <w:sz w:val="21"/>
                <w:szCs w:val="21"/>
              </w:rPr>
            </w:pPr>
          </w:p>
        </w:tc>
        <w:tc>
          <w:tcPr>
            <w:tcW w:w="217" w:type="dxa"/>
          </w:tcPr>
          <w:p w14:paraId="4E484E7F" w14:textId="77777777" w:rsidR="002C0FD9" w:rsidRPr="00CA25CF" w:rsidRDefault="002C0FD9" w:rsidP="00CA25CF">
            <w:pPr>
              <w:rPr>
                <w:rFonts w:cs="Arial"/>
                <w:color w:val="FF0000"/>
                <w:sz w:val="21"/>
                <w:szCs w:val="21"/>
              </w:rPr>
            </w:pPr>
          </w:p>
        </w:tc>
        <w:tc>
          <w:tcPr>
            <w:tcW w:w="217" w:type="dxa"/>
          </w:tcPr>
          <w:p w14:paraId="46F848D6" w14:textId="77777777" w:rsidR="002C0FD9" w:rsidRPr="00CA25CF" w:rsidRDefault="002C0FD9" w:rsidP="00CA25CF">
            <w:pPr>
              <w:rPr>
                <w:rFonts w:cs="Arial"/>
                <w:color w:val="FF0000"/>
                <w:sz w:val="21"/>
                <w:szCs w:val="21"/>
              </w:rPr>
            </w:pPr>
          </w:p>
        </w:tc>
        <w:tc>
          <w:tcPr>
            <w:tcW w:w="217" w:type="dxa"/>
          </w:tcPr>
          <w:p w14:paraId="3E0F0665" w14:textId="77777777" w:rsidR="002C0FD9" w:rsidRPr="00CA25CF" w:rsidRDefault="002C0FD9" w:rsidP="00CA25CF">
            <w:pPr>
              <w:rPr>
                <w:rFonts w:cs="Arial"/>
                <w:color w:val="FF0000"/>
                <w:sz w:val="21"/>
                <w:szCs w:val="21"/>
              </w:rPr>
            </w:pPr>
          </w:p>
        </w:tc>
        <w:tc>
          <w:tcPr>
            <w:tcW w:w="217" w:type="dxa"/>
          </w:tcPr>
          <w:p w14:paraId="6175238F" w14:textId="77777777" w:rsidR="002C0FD9" w:rsidRPr="00CA25CF" w:rsidRDefault="002C0FD9" w:rsidP="00CA25CF">
            <w:pPr>
              <w:rPr>
                <w:rFonts w:cs="Arial"/>
                <w:color w:val="FF0000"/>
                <w:sz w:val="21"/>
                <w:szCs w:val="21"/>
              </w:rPr>
            </w:pPr>
          </w:p>
        </w:tc>
        <w:tc>
          <w:tcPr>
            <w:tcW w:w="217" w:type="dxa"/>
          </w:tcPr>
          <w:p w14:paraId="65E2211A" w14:textId="77777777" w:rsidR="002C0FD9" w:rsidRPr="00CA25CF" w:rsidRDefault="002C0FD9" w:rsidP="00CA25CF">
            <w:pPr>
              <w:rPr>
                <w:rFonts w:cs="Arial"/>
                <w:color w:val="FF0000"/>
                <w:sz w:val="21"/>
                <w:szCs w:val="21"/>
              </w:rPr>
            </w:pPr>
          </w:p>
        </w:tc>
        <w:tc>
          <w:tcPr>
            <w:tcW w:w="217" w:type="dxa"/>
          </w:tcPr>
          <w:p w14:paraId="2F1CE1D3" w14:textId="77777777" w:rsidR="002C0FD9" w:rsidRPr="00CA25CF" w:rsidRDefault="002C0FD9" w:rsidP="00CA25CF">
            <w:pPr>
              <w:rPr>
                <w:rFonts w:cs="Arial"/>
                <w:color w:val="FF0000"/>
                <w:sz w:val="21"/>
                <w:szCs w:val="21"/>
              </w:rPr>
            </w:pPr>
          </w:p>
        </w:tc>
        <w:tc>
          <w:tcPr>
            <w:tcW w:w="217" w:type="dxa"/>
          </w:tcPr>
          <w:p w14:paraId="02102D67" w14:textId="77777777" w:rsidR="002C0FD9" w:rsidRPr="00CA25CF" w:rsidRDefault="002C0FD9" w:rsidP="00CA25CF">
            <w:pPr>
              <w:rPr>
                <w:rFonts w:cs="Arial"/>
                <w:color w:val="FF0000"/>
                <w:sz w:val="21"/>
                <w:szCs w:val="21"/>
              </w:rPr>
            </w:pPr>
          </w:p>
        </w:tc>
      </w:tr>
      <w:tr w:rsidR="002C0FD9" w:rsidRPr="00A16219" w14:paraId="4551D744" w14:textId="24F0F82B" w:rsidTr="002C0FD9">
        <w:trPr>
          <w:trHeight w:val="635"/>
        </w:trPr>
        <w:tc>
          <w:tcPr>
            <w:tcW w:w="515" w:type="dxa"/>
          </w:tcPr>
          <w:p w14:paraId="1DC18F63" w14:textId="77777777" w:rsidR="002C0FD9" w:rsidRPr="00CA25CF" w:rsidRDefault="002C0FD9" w:rsidP="00CA25CF">
            <w:pPr>
              <w:rPr>
                <w:rFonts w:cs="Arial"/>
                <w:color w:val="FF0000"/>
                <w:sz w:val="21"/>
                <w:szCs w:val="21"/>
              </w:rPr>
            </w:pPr>
          </w:p>
        </w:tc>
        <w:tc>
          <w:tcPr>
            <w:tcW w:w="217" w:type="dxa"/>
          </w:tcPr>
          <w:p w14:paraId="4B961105" w14:textId="77777777" w:rsidR="002C0FD9" w:rsidRPr="00CA25CF" w:rsidRDefault="002C0FD9" w:rsidP="00CA25CF">
            <w:pPr>
              <w:rPr>
                <w:rFonts w:cs="Arial"/>
                <w:color w:val="FF0000"/>
                <w:sz w:val="21"/>
                <w:szCs w:val="21"/>
              </w:rPr>
            </w:pPr>
          </w:p>
        </w:tc>
        <w:tc>
          <w:tcPr>
            <w:tcW w:w="217" w:type="dxa"/>
          </w:tcPr>
          <w:p w14:paraId="25A6874F" w14:textId="510518D2" w:rsidR="002C0FD9" w:rsidRPr="00CA25CF" w:rsidRDefault="002C0FD9" w:rsidP="00CA25CF">
            <w:pPr>
              <w:rPr>
                <w:rFonts w:cs="Arial"/>
                <w:color w:val="FF0000"/>
                <w:sz w:val="21"/>
                <w:szCs w:val="21"/>
              </w:rPr>
            </w:pPr>
          </w:p>
        </w:tc>
        <w:tc>
          <w:tcPr>
            <w:tcW w:w="217" w:type="dxa"/>
          </w:tcPr>
          <w:p w14:paraId="09B91B71" w14:textId="77777777" w:rsidR="002C0FD9" w:rsidRPr="00CA25CF" w:rsidRDefault="002C0FD9" w:rsidP="00CA25CF">
            <w:pPr>
              <w:rPr>
                <w:rFonts w:cs="Arial"/>
                <w:color w:val="FF0000"/>
                <w:sz w:val="21"/>
                <w:szCs w:val="21"/>
              </w:rPr>
            </w:pPr>
          </w:p>
        </w:tc>
        <w:tc>
          <w:tcPr>
            <w:tcW w:w="217" w:type="dxa"/>
          </w:tcPr>
          <w:p w14:paraId="00A199F9" w14:textId="647C258A" w:rsidR="002C0FD9" w:rsidRPr="00CA25CF" w:rsidRDefault="002C0FD9" w:rsidP="00CA25CF">
            <w:pPr>
              <w:rPr>
                <w:rFonts w:cs="Arial"/>
                <w:color w:val="FF0000"/>
                <w:sz w:val="21"/>
                <w:szCs w:val="21"/>
              </w:rPr>
            </w:pPr>
          </w:p>
        </w:tc>
        <w:tc>
          <w:tcPr>
            <w:tcW w:w="217" w:type="dxa"/>
          </w:tcPr>
          <w:p w14:paraId="529CA8BE" w14:textId="77777777" w:rsidR="002C0FD9" w:rsidRPr="00CA25CF" w:rsidRDefault="002C0FD9" w:rsidP="00CA25CF">
            <w:pPr>
              <w:rPr>
                <w:rFonts w:cs="Arial"/>
                <w:color w:val="FF0000"/>
                <w:sz w:val="21"/>
                <w:szCs w:val="21"/>
              </w:rPr>
            </w:pPr>
          </w:p>
        </w:tc>
        <w:tc>
          <w:tcPr>
            <w:tcW w:w="217" w:type="dxa"/>
          </w:tcPr>
          <w:p w14:paraId="5F025F35" w14:textId="77777777" w:rsidR="002C0FD9" w:rsidRPr="00CA25CF" w:rsidRDefault="002C0FD9" w:rsidP="00CA25CF">
            <w:pPr>
              <w:rPr>
                <w:rFonts w:cs="Arial"/>
                <w:color w:val="FF0000"/>
                <w:sz w:val="21"/>
                <w:szCs w:val="21"/>
              </w:rPr>
            </w:pPr>
          </w:p>
        </w:tc>
        <w:tc>
          <w:tcPr>
            <w:tcW w:w="217" w:type="dxa"/>
          </w:tcPr>
          <w:p w14:paraId="790B65EB" w14:textId="77777777" w:rsidR="002C0FD9" w:rsidRPr="00CA25CF" w:rsidRDefault="002C0FD9" w:rsidP="00CA25CF">
            <w:pPr>
              <w:rPr>
                <w:rFonts w:cs="Arial"/>
                <w:color w:val="FF0000"/>
                <w:sz w:val="21"/>
                <w:szCs w:val="21"/>
              </w:rPr>
            </w:pPr>
          </w:p>
        </w:tc>
        <w:tc>
          <w:tcPr>
            <w:tcW w:w="217" w:type="dxa"/>
          </w:tcPr>
          <w:p w14:paraId="5A5E4694" w14:textId="77777777" w:rsidR="002C0FD9" w:rsidRPr="00CA25CF" w:rsidRDefault="002C0FD9" w:rsidP="00CA25CF">
            <w:pPr>
              <w:rPr>
                <w:rFonts w:cs="Arial"/>
                <w:color w:val="FF0000"/>
                <w:sz w:val="21"/>
                <w:szCs w:val="21"/>
              </w:rPr>
            </w:pPr>
          </w:p>
        </w:tc>
        <w:tc>
          <w:tcPr>
            <w:tcW w:w="217" w:type="dxa"/>
          </w:tcPr>
          <w:p w14:paraId="6DC6748E" w14:textId="77777777" w:rsidR="002C0FD9" w:rsidRPr="00CA25CF" w:rsidRDefault="002C0FD9" w:rsidP="00CA25CF">
            <w:pPr>
              <w:rPr>
                <w:rFonts w:cs="Arial"/>
                <w:color w:val="FF0000"/>
                <w:sz w:val="21"/>
                <w:szCs w:val="21"/>
              </w:rPr>
            </w:pPr>
          </w:p>
        </w:tc>
        <w:tc>
          <w:tcPr>
            <w:tcW w:w="217" w:type="dxa"/>
          </w:tcPr>
          <w:p w14:paraId="71724ECA" w14:textId="77777777" w:rsidR="002C0FD9" w:rsidRPr="00CA25CF" w:rsidRDefault="002C0FD9" w:rsidP="00CA25CF">
            <w:pPr>
              <w:rPr>
                <w:rFonts w:cs="Arial"/>
                <w:color w:val="FF0000"/>
                <w:sz w:val="21"/>
                <w:szCs w:val="21"/>
              </w:rPr>
            </w:pPr>
          </w:p>
        </w:tc>
        <w:tc>
          <w:tcPr>
            <w:tcW w:w="217" w:type="dxa"/>
          </w:tcPr>
          <w:p w14:paraId="4945881B" w14:textId="77777777" w:rsidR="002C0FD9" w:rsidRPr="00CA25CF" w:rsidRDefault="002C0FD9" w:rsidP="00CA25CF">
            <w:pPr>
              <w:rPr>
                <w:rFonts w:cs="Arial"/>
                <w:color w:val="FF0000"/>
                <w:sz w:val="21"/>
                <w:szCs w:val="21"/>
              </w:rPr>
            </w:pPr>
          </w:p>
        </w:tc>
        <w:tc>
          <w:tcPr>
            <w:tcW w:w="217" w:type="dxa"/>
          </w:tcPr>
          <w:p w14:paraId="0B833CDE" w14:textId="77777777" w:rsidR="002C0FD9" w:rsidRPr="00CA25CF" w:rsidRDefault="002C0FD9" w:rsidP="00CA25CF">
            <w:pPr>
              <w:rPr>
                <w:rFonts w:cs="Arial"/>
                <w:color w:val="FF0000"/>
                <w:sz w:val="21"/>
                <w:szCs w:val="21"/>
              </w:rPr>
            </w:pPr>
          </w:p>
        </w:tc>
        <w:tc>
          <w:tcPr>
            <w:tcW w:w="217" w:type="dxa"/>
          </w:tcPr>
          <w:p w14:paraId="44C2C7F2" w14:textId="77777777" w:rsidR="002C0FD9" w:rsidRPr="00CA25CF" w:rsidRDefault="002C0FD9" w:rsidP="00CA25CF">
            <w:pPr>
              <w:rPr>
                <w:rFonts w:cs="Arial"/>
                <w:color w:val="FF0000"/>
                <w:sz w:val="21"/>
                <w:szCs w:val="21"/>
              </w:rPr>
            </w:pPr>
          </w:p>
        </w:tc>
        <w:tc>
          <w:tcPr>
            <w:tcW w:w="217" w:type="dxa"/>
          </w:tcPr>
          <w:p w14:paraId="7F7D6AB3" w14:textId="77777777" w:rsidR="002C0FD9" w:rsidRPr="00CA25CF" w:rsidRDefault="002C0FD9" w:rsidP="00CA25CF">
            <w:pPr>
              <w:rPr>
                <w:rFonts w:cs="Arial"/>
                <w:color w:val="FF0000"/>
                <w:sz w:val="21"/>
                <w:szCs w:val="21"/>
              </w:rPr>
            </w:pPr>
          </w:p>
        </w:tc>
        <w:tc>
          <w:tcPr>
            <w:tcW w:w="217" w:type="dxa"/>
          </w:tcPr>
          <w:p w14:paraId="1F25A865" w14:textId="4979A290" w:rsidR="002C0FD9" w:rsidRPr="00CA25CF" w:rsidRDefault="002C0FD9" w:rsidP="00CA25CF">
            <w:pPr>
              <w:rPr>
                <w:rFonts w:cs="Arial"/>
                <w:color w:val="FF0000"/>
                <w:sz w:val="21"/>
                <w:szCs w:val="21"/>
              </w:rPr>
            </w:pPr>
          </w:p>
        </w:tc>
        <w:tc>
          <w:tcPr>
            <w:tcW w:w="217" w:type="dxa"/>
          </w:tcPr>
          <w:p w14:paraId="02B9EBF5" w14:textId="77777777" w:rsidR="002C0FD9" w:rsidRPr="00CA25CF" w:rsidRDefault="002C0FD9" w:rsidP="00CA25CF">
            <w:pPr>
              <w:rPr>
                <w:rFonts w:cs="Arial"/>
                <w:color w:val="FF0000"/>
                <w:sz w:val="21"/>
                <w:szCs w:val="21"/>
              </w:rPr>
            </w:pPr>
          </w:p>
        </w:tc>
        <w:tc>
          <w:tcPr>
            <w:tcW w:w="217" w:type="dxa"/>
          </w:tcPr>
          <w:p w14:paraId="319DD180" w14:textId="77777777" w:rsidR="002C0FD9" w:rsidRPr="00CA25CF" w:rsidRDefault="002C0FD9" w:rsidP="00CA25CF">
            <w:pPr>
              <w:rPr>
                <w:rFonts w:cs="Arial"/>
                <w:color w:val="FF0000"/>
                <w:sz w:val="21"/>
                <w:szCs w:val="21"/>
              </w:rPr>
            </w:pPr>
          </w:p>
        </w:tc>
        <w:tc>
          <w:tcPr>
            <w:tcW w:w="217" w:type="dxa"/>
          </w:tcPr>
          <w:p w14:paraId="0E7AD786" w14:textId="77777777" w:rsidR="002C0FD9" w:rsidRPr="00CA25CF" w:rsidRDefault="002C0FD9" w:rsidP="00CA25CF">
            <w:pPr>
              <w:rPr>
                <w:rFonts w:cs="Arial"/>
                <w:color w:val="FF0000"/>
                <w:sz w:val="21"/>
                <w:szCs w:val="21"/>
              </w:rPr>
            </w:pPr>
          </w:p>
        </w:tc>
        <w:tc>
          <w:tcPr>
            <w:tcW w:w="217" w:type="dxa"/>
          </w:tcPr>
          <w:p w14:paraId="19AAE6C1" w14:textId="77777777" w:rsidR="002C0FD9" w:rsidRPr="00CA25CF" w:rsidRDefault="002C0FD9" w:rsidP="00CA25CF">
            <w:pPr>
              <w:rPr>
                <w:rFonts w:cs="Arial"/>
                <w:color w:val="FF0000"/>
                <w:sz w:val="21"/>
                <w:szCs w:val="21"/>
              </w:rPr>
            </w:pPr>
          </w:p>
        </w:tc>
        <w:tc>
          <w:tcPr>
            <w:tcW w:w="217" w:type="dxa"/>
          </w:tcPr>
          <w:p w14:paraId="4C6340FF" w14:textId="77777777" w:rsidR="002C0FD9" w:rsidRPr="00CA25CF" w:rsidRDefault="002C0FD9" w:rsidP="00CA25CF">
            <w:pPr>
              <w:rPr>
                <w:rFonts w:cs="Arial"/>
                <w:color w:val="FF0000"/>
                <w:sz w:val="21"/>
                <w:szCs w:val="21"/>
              </w:rPr>
            </w:pPr>
          </w:p>
        </w:tc>
        <w:tc>
          <w:tcPr>
            <w:tcW w:w="217" w:type="dxa"/>
          </w:tcPr>
          <w:p w14:paraId="16C14A09" w14:textId="77777777" w:rsidR="002C0FD9" w:rsidRPr="00CA25CF" w:rsidRDefault="002C0FD9" w:rsidP="00CA25CF">
            <w:pPr>
              <w:rPr>
                <w:rFonts w:cs="Arial"/>
                <w:color w:val="FF0000"/>
                <w:sz w:val="21"/>
                <w:szCs w:val="21"/>
              </w:rPr>
            </w:pPr>
          </w:p>
        </w:tc>
        <w:tc>
          <w:tcPr>
            <w:tcW w:w="217" w:type="dxa"/>
          </w:tcPr>
          <w:p w14:paraId="4B6D4903" w14:textId="77777777" w:rsidR="002C0FD9" w:rsidRPr="00CA25CF" w:rsidRDefault="002C0FD9" w:rsidP="00CA25CF">
            <w:pPr>
              <w:rPr>
                <w:rFonts w:cs="Arial"/>
                <w:color w:val="FF0000"/>
                <w:sz w:val="21"/>
                <w:szCs w:val="21"/>
              </w:rPr>
            </w:pPr>
          </w:p>
        </w:tc>
        <w:tc>
          <w:tcPr>
            <w:tcW w:w="217" w:type="dxa"/>
          </w:tcPr>
          <w:p w14:paraId="3A96C531" w14:textId="77777777" w:rsidR="002C0FD9" w:rsidRPr="00CA25CF" w:rsidRDefault="002C0FD9" w:rsidP="00CA25CF">
            <w:pPr>
              <w:rPr>
                <w:rFonts w:cs="Arial"/>
                <w:color w:val="FF0000"/>
                <w:sz w:val="21"/>
                <w:szCs w:val="21"/>
              </w:rPr>
            </w:pPr>
          </w:p>
        </w:tc>
        <w:tc>
          <w:tcPr>
            <w:tcW w:w="217" w:type="dxa"/>
          </w:tcPr>
          <w:p w14:paraId="4517BF1E" w14:textId="77777777" w:rsidR="002C0FD9" w:rsidRPr="00CA25CF" w:rsidRDefault="002C0FD9" w:rsidP="00CA25CF">
            <w:pPr>
              <w:rPr>
                <w:rFonts w:cs="Arial"/>
                <w:color w:val="FF0000"/>
                <w:sz w:val="21"/>
                <w:szCs w:val="21"/>
              </w:rPr>
            </w:pPr>
          </w:p>
        </w:tc>
        <w:tc>
          <w:tcPr>
            <w:tcW w:w="217" w:type="dxa"/>
          </w:tcPr>
          <w:p w14:paraId="3B0BC554" w14:textId="77777777" w:rsidR="002C0FD9" w:rsidRPr="00CA25CF" w:rsidRDefault="002C0FD9" w:rsidP="00CA25CF">
            <w:pPr>
              <w:rPr>
                <w:rFonts w:cs="Arial"/>
                <w:color w:val="FF0000"/>
                <w:sz w:val="21"/>
                <w:szCs w:val="21"/>
              </w:rPr>
            </w:pPr>
          </w:p>
        </w:tc>
        <w:tc>
          <w:tcPr>
            <w:tcW w:w="217" w:type="dxa"/>
          </w:tcPr>
          <w:p w14:paraId="4D9E02C7" w14:textId="77777777" w:rsidR="002C0FD9" w:rsidRPr="00CA25CF" w:rsidRDefault="002C0FD9" w:rsidP="00CA25CF">
            <w:pPr>
              <w:rPr>
                <w:rFonts w:cs="Arial"/>
                <w:color w:val="FF0000"/>
                <w:sz w:val="21"/>
                <w:szCs w:val="21"/>
              </w:rPr>
            </w:pPr>
          </w:p>
        </w:tc>
        <w:tc>
          <w:tcPr>
            <w:tcW w:w="217" w:type="dxa"/>
          </w:tcPr>
          <w:p w14:paraId="41DD6F46" w14:textId="77777777" w:rsidR="002C0FD9" w:rsidRPr="00CA25CF" w:rsidRDefault="002C0FD9" w:rsidP="00CA25CF">
            <w:pPr>
              <w:rPr>
                <w:rFonts w:cs="Arial"/>
                <w:color w:val="FF0000"/>
                <w:sz w:val="21"/>
                <w:szCs w:val="21"/>
              </w:rPr>
            </w:pPr>
          </w:p>
        </w:tc>
        <w:tc>
          <w:tcPr>
            <w:tcW w:w="217" w:type="dxa"/>
          </w:tcPr>
          <w:p w14:paraId="6702A83E" w14:textId="77777777" w:rsidR="002C0FD9" w:rsidRPr="00CA25CF" w:rsidRDefault="002C0FD9" w:rsidP="00CA25CF">
            <w:pPr>
              <w:rPr>
                <w:rFonts w:cs="Arial"/>
                <w:color w:val="FF0000"/>
                <w:sz w:val="21"/>
                <w:szCs w:val="21"/>
              </w:rPr>
            </w:pPr>
          </w:p>
        </w:tc>
        <w:tc>
          <w:tcPr>
            <w:tcW w:w="217" w:type="dxa"/>
          </w:tcPr>
          <w:p w14:paraId="6BFD4E3A" w14:textId="77777777" w:rsidR="002C0FD9" w:rsidRPr="00CA25CF" w:rsidRDefault="002C0FD9" w:rsidP="00CA25CF">
            <w:pPr>
              <w:rPr>
                <w:rFonts w:cs="Arial"/>
                <w:color w:val="FF0000"/>
                <w:sz w:val="21"/>
                <w:szCs w:val="21"/>
              </w:rPr>
            </w:pPr>
          </w:p>
        </w:tc>
        <w:tc>
          <w:tcPr>
            <w:tcW w:w="217" w:type="dxa"/>
          </w:tcPr>
          <w:p w14:paraId="6FAF0300" w14:textId="77777777" w:rsidR="002C0FD9" w:rsidRPr="00CA25CF" w:rsidRDefault="002C0FD9" w:rsidP="00CA25CF">
            <w:pPr>
              <w:rPr>
                <w:rFonts w:cs="Arial"/>
                <w:color w:val="FF0000"/>
                <w:sz w:val="21"/>
                <w:szCs w:val="21"/>
              </w:rPr>
            </w:pPr>
          </w:p>
        </w:tc>
        <w:tc>
          <w:tcPr>
            <w:tcW w:w="217" w:type="dxa"/>
          </w:tcPr>
          <w:p w14:paraId="2813017A" w14:textId="77777777" w:rsidR="002C0FD9" w:rsidRPr="00CA25CF" w:rsidRDefault="002C0FD9" w:rsidP="00CA25CF">
            <w:pPr>
              <w:rPr>
                <w:rFonts w:cs="Arial"/>
                <w:color w:val="FF0000"/>
                <w:sz w:val="21"/>
                <w:szCs w:val="21"/>
              </w:rPr>
            </w:pPr>
          </w:p>
        </w:tc>
        <w:tc>
          <w:tcPr>
            <w:tcW w:w="217" w:type="dxa"/>
          </w:tcPr>
          <w:p w14:paraId="7C2C5D23" w14:textId="77777777" w:rsidR="002C0FD9" w:rsidRPr="00CA25CF" w:rsidRDefault="002C0FD9" w:rsidP="00CA25CF">
            <w:pPr>
              <w:rPr>
                <w:rFonts w:cs="Arial"/>
                <w:color w:val="FF0000"/>
                <w:sz w:val="21"/>
                <w:szCs w:val="21"/>
              </w:rPr>
            </w:pPr>
          </w:p>
        </w:tc>
        <w:tc>
          <w:tcPr>
            <w:tcW w:w="217" w:type="dxa"/>
          </w:tcPr>
          <w:p w14:paraId="4CFE1448" w14:textId="77777777" w:rsidR="002C0FD9" w:rsidRPr="00CA25CF" w:rsidRDefault="002C0FD9" w:rsidP="00CA25CF">
            <w:pPr>
              <w:rPr>
                <w:rFonts w:cs="Arial"/>
                <w:color w:val="FF0000"/>
                <w:sz w:val="21"/>
                <w:szCs w:val="21"/>
              </w:rPr>
            </w:pPr>
          </w:p>
        </w:tc>
        <w:tc>
          <w:tcPr>
            <w:tcW w:w="217" w:type="dxa"/>
          </w:tcPr>
          <w:p w14:paraId="4A5CDEB4" w14:textId="77777777" w:rsidR="002C0FD9" w:rsidRPr="00CA25CF" w:rsidRDefault="002C0FD9" w:rsidP="00CA25CF">
            <w:pPr>
              <w:rPr>
                <w:rFonts w:cs="Arial"/>
                <w:color w:val="FF0000"/>
                <w:sz w:val="21"/>
                <w:szCs w:val="21"/>
              </w:rPr>
            </w:pPr>
          </w:p>
        </w:tc>
        <w:tc>
          <w:tcPr>
            <w:tcW w:w="217" w:type="dxa"/>
          </w:tcPr>
          <w:p w14:paraId="67D88358" w14:textId="77777777" w:rsidR="002C0FD9" w:rsidRPr="00CA25CF" w:rsidRDefault="002C0FD9" w:rsidP="00CA25CF">
            <w:pPr>
              <w:rPr>
                <w:rFonts w:cs="Arial"/>
                <w:color w:val="FF0000"/>
                <w:sz w:val="21"/>
                <w:szCs w:val="21"/>
              </w:rPr>
            </w:pPr>
          </w:p>
        </w:tc>
        <w:tc>
          <w:tcPr>
            <w:tcW w:w="217" w:type="dxa"/>
          </w:tcPr>
          <w:p w14:paraId="7833ACA5" w14:textId="77777777" w:rsidR="002C0FD9" w:rsidRPr="00CA25CF" w:rsidRDefault="002C0FD9" w:rsidP="00CA25CF">
            <w:pPr>
              <w:rPr>
                <w:rFonts w:cs="Arial"/>
                <w:color w:val="FF0000"/>
                <w:sz w:val="21"/>
                <w:szCs w:val="21"/>
              </w:rPr>
            </w:pPr>
          </w:p>
        </w:tc>
        <w:tc>
          <w:tcPr>
            <w:tcW w:w="217" w:type="dxa"/>
          </w:tcPr>
          <w:p w14:paraId="7173226F" w14:textId="77777777" w:rsidR="002C0FD9" w:rsidRPr="00CA25CF" w:rsidRDefault="002C0FD9" w:rsidP="00CA25CF">
            <w:pPr>
              <w:rPr>
                <w:rFonts w:cs="Arial"/>
                <w:color w:val="FF0000"/>
                <w:sz w:val="21"/>
                <w:szCs w:val="21"/>
              </w:rPr>
            </w:pPr>
          </w:p>
        </w:tc>
        <w:tc>
          <w:tcPr>
            <w:tcW w:w="217" w:type="dxa"/>
          </w:tcPr>
          <w:p w14:paraId="68FCFD20" w14:textId="77777777" w:rsidR="002C0FD9" w:rsidRPr="00CA25CF" w:rsidRDefault="002C0FD9" w:rsidP="00CA25CF">
            <w:pPr>
              <w:rPr>
                <w:rFonts w:cs="Arial"/>
                <w:color w:val="FF0000"/>
                <w:sz w:val="21"/>
                <w:szCs w:val="21"/>
              </w:rPr>
            </w:pPr>
          </w:p>
        </w:tc>
        <w:tc>
          <w:tcPr>
            <w:tcW w:w="217" w:type="dxa"/>
          </w:tcPr>
          <w:p w14:paraId="4C8797C1" w14:textId="77777777" w:rsidR="002C0FD9" w:rsidRPr="00CA25CF" w:rsidRDefault="002C0FD9" w:rsidP="00CA25CF">
            <w:pPr>
              <w:rPr>
                <w:rFonts w:cs="Arial"/>
                <w:color w:val="FF0000"/>
                <w:sz w:val="21"/>
                <w:szCs w:val="21"/>
              </w:rPr>
            </w:pPr>
          </w:p>
        </w:tc>
        <w:tc>
          <w:tcPr>
            <w:tcW w:w="217" w:type="dxa"/>
          </w:tcPr>
          <w:p w14:paraId="08D5ACDF" w14:textId="77777777" w:rsidR="002C0FD9" w:rsidRPr="00CA25CF" w:rsidRDefault="002C0FD9" w:rsidP="00CA25CF">
            <w:pPr>
              <w:rPr>
                <w:rFonts w:cs="Arial"/>
                <w:color w:val="FF0000"/>
                <w:sz w:val="21"/>
                <w:szCs w:val="21"/>
              </w:rPr>
            </w:pPr>
          </w:p>
        </w:tc>
        <w:tc>
          <w:tcPr>
            <w:tcW w:w="217" w:type="dxa"/>
          </w:tcPr>
          <w:p w14:paraId="08558DC1" w14:textId="77777777" w:rsidR="002C0FD9" w:rsidRPr="00CA25CF" w:rsidRDefault="002C0FD9" w:rsidP="00CA25CF">
            <w:pPr>
              <w:rPr>
                <w:rFonts w:cs="Arial"/>
                <w:color w:val="FF0000"/>
                <w:sz w:val="21"/>
                <w:szCs w:val="21"/>
              </w:rPr>
            </w:pPr>
          </w:p>
        </w:tc>
        <w:tc>
          <w:tcPr>
            <w:tcW w:w="217" w:type="dxa"/>
          </w:tcPr>
          <w:p w14:paraId="552BD511" w14:textId="77777777" w:rsidR="002C0FD9" w:rsidRPr="00CA25CF" w:rsidRDefault="002C0FD9" w:rsidP="00CA25CF">
            <w:pPr>
              <w:rPr>
                <w:rFonts w:cs="Arial"/>
                <w:color w:val="FF0000"/>
                <w:sz w:val="21"/>
                <w:szCs w:val="21"/>
              </w:rPr>
            </w:pPr>
          </w:p>
        </w:tc>
      </w:tr>
      <w:tr w:rsidR="002C0FD9" w:rsidRPr="00A16219" w14:paraId="69C8953A" w14:textId="3EB0B505" w:rsidTr="002C0FD9">
        <w:trPr>
          <w:trHeight w:val="635"/>
        </w:trPr>
        <w:tc>
          <w:tcPr>
            <w:tcW w:w="515" w:type="dxa"/>
          </w:tcPr>
          <w:p w14:paraId="6FBC1EF2" w14:textId="77777777" w:rsidR="002C0FD9" w:rsidRPr="00CA25CF" w:rsidRDefault="002C0FD9" w:rsidP="00CA25CF">
            <w:pPr>
              <w:rPr>
                <w:rFonts w:cs="Arial"/>
                <w:color w:val="FF0000"/>
                <w:sz w:val="21"/>
                <w:szCs w:val="21"/>
              </w:rPr>
            </w:pPr>
          </w:p>
        </w:tc>
        <w:tc>
          <w:tcPr>
            <w:tcW w:w="217" w:type="dxa"/>
          </w:tcPr>
          <w:p w14:paraId="02534097" w14:textId="77777777" w:rsidR="002C0FD9" w:rsidRPr="00CA25CF" w:rsidRDefault="002C0FD9" w:rsidP="00CA25CF">
            <w:pPr>
              <w:rPr>
                <w:rFonts w:cs="Arial"/>
                <w:color w:val="FF0000"/>
                <w:sz w:val="21"/>
                <w:szCs w:val="21"/>
              </w:rPr>
            </w:pPr>
          </w:p>
        </w:tc>
        <w:tc>
          <w:tcPr>
            <w:tcW w:w="217" w:type="dxa"/>
          </w:tcPr>
          <w:p w14:paraId="1EFC228D" w14:textId="1CA508E7" w:rsidR="002C0FD9" w:rsidRPr="00CA25CF" w:rsidRDefault="002C0FD9" w:rsidP="00CA25CF">
            <w:pPr>
              <w:rPr>
                <w:rFonts w:cs="Arial"/>
                <w:color w:val="FF0000"/>
                <w:sz w:val="21"/>
                <w:szCs w:val="21"/>
              </w:rPr>
            </w:pPr>
          </w:p>
        </w:tc>
        <w:tc>
          <w:tcPr>
            <w:tcW w:w="217" w:type="dxa"/>
          </w:tcPr>
          <w:p w14:paraId="5926BEB8" w14:textId="77777777" w:rsidR="002C0FD9" w:rsidRPr="00CA25CF" w:rsidRDefault="002C0FD9" w:rsidP="00CA25CF">
            <w:pPr>
              <w:rPr>
                <w:rFonts w:cs="Arial"/>
                <w:color w:val="FF0000"/>
                <w:sz w:val="21"/>
                <w:szCs w:val="21"/>
              </w:rPr>
            </w:pPr>
          </w:p>
        </w:tc>
        <w:tc>
          <w:tcPr>
            <w:tcW w:w="217" w:type="dxa"/>
          </w:tcPr>
          <w:p w14:paraId="49C63FA2" w14:textId="57A7BDBC" w:rsidR="002C0FD9" w:rsidRPr="00CA25CF" w:rsidRDefault="002C0FD9" w:rsidP="00CA25CF">
            <w:pPr>
              <w:rPr>
                <w:rFonts w:cs="Arial"/>
                <w:color w:val="FF0000"/>
                <w:sz w:val="21"/>
                <w:szCs w:val="21"/>
              </w:rPr>
            </w:pPr>
          </w:p>
        </w:tc>
        <w:tc>
          <w:tcPr>
            <w:tcW w:w="217" w:type="dxa"/>
          </w:tcPr>
          <w:p w14:paraId="5583FD78" w14:textId="77777777" w:rsidR="002C0FD9" w:rsidRPr="00CA25CF" w:rsidRDefault="002C0FD9" w:rsidP="00CA25CF">
            <w:pPr>
              <w:rPr>
                <w:rFonts w:cs="Arial"/>
                <w:color w:val="FF0000"/>
                <w:sz w:val="21"/>
                <w:szCs w:val="21"/>
              </w:rPr>
            </w:pPr>
          </w:p>
        </w:tc>
        <w:tc>
          <w:tcPr>
            <w:tcW w:w="217" w:type="dxa"/>
          </w:tcPr>
          <w:p w14:paraId="439FD9B5" w14:textId="77777777" w:rsidR="002C0FD9" w:rsidRPr="00CA25CF" w:rsidRDefault="002C0FD9" w:rsidP="00CA25CF">
            <w:pPr>
              <w:rPr>
                <w:rFonts w:cs="Arial"/>
                <w:color w:val="FF0000"/>
                <w:sz w:val="21"/>
                <w:szCs w:val="21"/>
              </w:rPr>
            </w:pPr>
          </w:p>
        </w:tc>
        <w:tc>
          <w:tcPr>
            <w:tcW w:w="217" w:type="dxa"/>
          </w:tcPr>
          <w:p w14:paraId="666FCAEB" w14:textId="77777777" w:rsidR="002C0FD9" w:rsidRPr="00CA25CF" w:rsidRDefault="002C0FD9" w:rsidP="00CA25CF">
            <w:pPr>
              <w:rPr>
                <w:rFonts w:cs="Arial"/>
                <w:color w:val="FF0000"/>
                <w:sz w:val="21"/>
                <w:szCs w:val="21"/>
              </w:rPr>
            </w:pPr>
          </w:p>
        </w:tc>
        <w:tc>
          <w:tcPr>
            <w:tcW w:w="217" w:type="dxa"/>
          </w:tcPr>
          <w:p w14:paraId="67D25ADB" w14:textId="77777777" w:rsidR="002C0FD9" w:rsidRPr="00CA25CF" w:rsidRDefault="002C0FD9" w:rsidP="00CA25CF">
            <w:pPr>
              <w:rPr>
                <w:rFonts w:cs="Arial"/>
                <w:color w:val="FF0000"/>
                <w:sz w:val="21"/>
                <w:szCs w:val="21"/>
              </w:rPr>
            </w:pPr>
          </w:p>
        </w:tc>
        <w:tc>
          <w:tcPr>
            <w:tcW w:w="217" w:type="dxa"/>
          </w:tcPr>
          <w:p w14:paraId="0BF47740" w14:textId="77777777" w:rsidR="002C0FD9" w:rsidRPr="00CA25CF" w:rsidRDefault="002C0FD9" w:rsidP="00CA25CF">
            <w:pPr>
              <w:rPr>
                <w:rFonts w:cs="Arial"/>
                <w:color w:val="FF0000"/>
                <w:sz w:val="21"/>
                <w:szCs w:val="21"/>
              </w:rPr>
            </w:pPr>
          </w:p>
        </w:tc>
        <w:tc>
          <w:tcPr>
            <w:tcW w:w="217" w:type="dxa"/>
          </w:tcPr>
          <w:p w14:paraId="3C8F971C" w14:textId="77777777" w:rsidR="002C0FD9" w:rsidRPr="00CA25CF" w:rsidRDefault="002C0FD9" w:rsidP="00CA25CF">
            <w:pPr>
              <w:rPr>
                <w:rFonts w:cs="Arial"/>
                <w:color w:val="FF0000"/>
                <w:sz w:val="21"/>
                <w:szCs w:val="21"/>
              </w:rPr>
            </w:pPr>
          </w:p>
        </w:tc>
        <w:tc>
          <w:tcPr>
            <w:tcW w:w="217" w:type="dxa"/>
          </w:tcPr>
          <w:p w14:paraId="6BA4E43C" w14:textId="77777777" w:rsidR="002C0FD9" w:rsidRPr="00CA25CF" w:rsidRDefault="002C0FD9" w:rsidP="00CA25CF">
            <w:pPr>
              <w:rPr>
                <w:rFonts w:cs="Arial"/>
                <w:color w:val="FF0000"/>
                <w:sz w:val="21"/>
                <w:szCs w:val="21"/>
              </w:rPr>
            </w:pPr>
          </w:p>
        </w:tc>
        <w:tc>
          <w:tcPr>
            <w:tcW w:w="217" w:type="dxa"/>
          </w:tcPr>
          <w:p w14:paraId="2FD4D48C" w14:textId="77777777" w:rsidR="002C0FD9" w:rsidRPr="00CA25CF" w:rsidRDefault="002C0FD9" w:rsidP="00CA25CF">
            <w:pPr>
              <w:rPr>
                <w:rFonts w:cs="Arial"/>
                <w:color w:val="FF0000"/>
                <w:sz w:val="21"/>
                <w:szCs w:val="21"/>
              </w:rPr>
            </w:pPr>
          </w:p>
        </w:tc>
        <w:tc>
          <w:tcPr>
            <w:tcW w:w="217" w:type="dxa"/>
          </w:tcPr>
          <w:p w14:paraId="12EAD75A" w14:textId="77777777" w:rsidR="002C0FD9" w:rsidRPr="00CA25CF" w:rsidRDefault="002C0FD9" w:rsidP="00CA25CF">
            <w:pPr>
              <w:rPr>
                <w:rFonts w:cs="Arial"/>
                <w:color w:val="FF0000"/>
                <w:sz w:val="21"/>
                <w:szCs w:val="21"/>
              </w:rPr>
            </w:pPr>
          </w:p>
        </w:tc>
        <w:tc>
          <w:tcPr>
            <w:tcW w:w="217" w:type="dxa"/>
          </w:tcPr>
          <w:p w14:paraId="56545F07" w14:textId="77777777" w:rsidR="002C0FD9" w:rsidRPr="00CA25CF" w:rsidRDefault="002C0FD9" w:rsidP="00CA25CF">
            <w:pPr>
              <w:rPr>
                <w:rFonts w:cs="Arial"/>
                <w:color w:val="FF0000"/>
                <w:sz w:val="21"/>
                <w:szCs w:val="21"/>
              </w:rPr>
            </w:pPr>
          </w:p>
        </w:tc>
        <w:tc>
          <w:tcPr>
            <w:tcW w:w="217" w:type="dxa"/>
          </w:tcPr>
          <w:p w14:paraId="7DBFBE90" w14:textId="064A34A5" w:rsidR="002C0FD9" w:rsidRPr="00CA25CF" w:rsidRDefault="002C0FD9" w:rsidP="00CA25CF">
            <w:pPr>
              <w:rPr>
                <w:rFonts w:cs="Arial"/>
                <w:color w:val="FF0000"/>
                <w:sz w:val="21"/>
                <w:szCs w:val="21"/>
              </w:rPr>
            </w:pPr>
          </w:p>
        </w:tc>
        <w:tc>
          <w:tcPr>
            <w:tcW w:w="217" w:type="dxa"/>
          </w:tcPr>
          <w:p w14:paraId="3FFE93FF" w14:textId="77777777" w:rsidR="002C0FD9" w:rsidRPr="00CA25CF" w:rsidRDefault="002C0FD9" w:rsidP="00CA25CF">
            <w:pPr>
              <w:rPr>
                <w:rFonts w:cs="Arial"/>
                <w:color w:val="FF0000"/>
                <w:sz w:val="21"/>
                <w:szCs w:val="21"/>
              </w:rPr>
            </w:pPr>
          </w:p>
        </w:tc>
        <w:tc>
          <w:tcPr>
            <w:tcW w:w="217" w:type="dxa"/>
          </w:tcPr>
          <w:p w14:paraId="248076E1" w14:textId="77777777" w:rsidR="002C0FD9" w:rsidRPr="00CA25CF" w:rsidRDefault="002C0FD9" w:rsidP="00CA25CF">
            <w:pPr>
              <w:rPr>
                <w:rFonts w:cs="Arial"/>
                <w:color w:val="FF0000"/>
                <w:sz w:val="21"/>
                <w:szCs w:val="21"/>
              </w:rPr>
            </w:pPr>
          </w:p>
        </w:tc>
        <w:tc>
          <w:tcPr>
            <w:tcW w:w="217" w:type="dxa"/>
          </w:tcPr>
          <w:p w14:paraId="6F5D5606" w14:textId="77777777" w:rsidR="002C0FD9" w:rsidRPr="00CA25CF" w:rsidRDefault="002C0FD9" w:rsidP="00CA25CF">
            <w:pPr>
              <w:rPr>
                <w:rFonts w:cs="Arial"/>
                <w:color w:val="FF0000"/>
                <w:sz w:val="21"/>
                <w:szCs w:val="21"/>
              </w:rPr>
            </w:pPr>
          </w:p>
        </w:tc>
        <w:tc>
          <w:tcPr>
            <w:tcW w:w="217" w:type="dxa"/>
          </w:tcPr>
          <w:p w14:paraId="6ABA1E89" w14:textId="77777777" w:rsidR="002C0FD9" w:rsidRPr="00CA25CF" w:rsidRDefault="002C0FD9" w:rsidP="00CA25CF">
            <w:pPr>
              <w:rPr>
                <w:rFonts w:cs="Arial"/>
                <w:color w:val="FF0000"/>
                <w:sz w:val="21"/>
                <w:szCs w:val="21"/>
              </w:rPr>
            </w:pPr>
          </w:p>
        </w:tc>
        <w:tc>
          <w:tcPr>
            <w:tcW w:w="217" w:type="dxa"/>
          </w:tcPr>
          <w:p w14:paraId="01325F71" w14:textId="77777777" w:rsidR="002C0FD9" w:rsidRPr="00CA25CF" w:rsidRDefault="002C0FD9" w:rsidP="00CA25CF">
            <w:pPr>
              <w:rPr>
                <w:rFonts w:cs="Arial"/>
                <w:color w:val="FF0000"/>
                <w:sz w:val="21"/>
                <w:szCs w:val="21"/>
              </w:rPr>
            </w:pPr>
          </w:p>
        </w:tc>
        <w:tc>
          <w:tcPr>
            <w:tcW w:w="217" w:type="dxa"/>
          </w:tcPr>
          <w:p w14:paraId="04841439" w14:textId="77777777" w:rsidR="002C0FD9" w:rsidRPr="00CA25CF" w:rsidRDefault="002C0FD9" w:rsidP="00CA25CF">
            <w:pPr>
              <w:rPr>
                <w:rFonts w:cs="Arial"/>
                <w:color w:val="FF0000"/>
                <w:sz w:val="21"/>
                <w:szCs w:val="21"/>
              </w:rPr>
            </w:pPr>
          </w:p>
        </w:tc>
        <w:tc>
          <w:tcPr>
            <w:tcW w:w="217" w:type="dxa"/>
          </w:tcPr>
          <w:p w14:paraId="1C1D58A3" w14:textId="77777777" w:rsidR="002C0FD9" w:rsidRPr="00CA25CF" w:rsidRDefault="002C0FD9" w:rsidP="00CA25CF">
            <w:pPr>
              <w:rPr>
                <w:rFonts w:cs="Arial"/>
                <w:color w:val="FF0000"/>
                <w:sz w:val="21"/>
                <w:szCs w:val="21"/>
              </w:rPr>
            </w:pPr>
          </w:p>
        </w:tc>
        <w:tc>
          <w:tcPr>
            <w:tcW w:w="217" w:type="dxa"/>
          </w:tcPr>
          <w:p w14:paraId="2CDE1432" w14:textId="77777777" w:rsidR="002C0FD9" w:rsidRPr="00CA25CF" w:rsidRDefault="002C0FD9" w:rsidP="00CA25CF">
            <w:pPr>
              <w:rPr>
                <w:rFonts w:cs="Arial"/>
                <w:color w:val="FF0000"/>
                <w:sz w:val="21"/>
                <w:szCs w:val="21"/>
              </w:rPr>
            </w:pPr>
          </w:p>
        </w:tc>
        <w:tc>
          <w:tcPr>
            <w:tcW w:w="217" w:type="dxa"/>
          </w:tcPr>
          <w:p w14:paraId="5EB997BB" w14:textId="77777777" w:rsidR="002C0FD9" w:rsidRPr="00CA25CF" w:rsidRDefault="002C0FD9" w:rsidP="00CA25CF">
            <w:pPr>
              <w:rPr>
                <w:rFonts w:cs="Arial"/>
                <w:color w:val="FF0000"/>
                <w:sz w:val="21"/>
                <w:szCs w:val="21"/>
              </w:rPr>
            </w:pPr>
          </w:p>
        </w:tc>
        <w:tc>
          <w:tcPr>
            <w:tcW w:w="217" w:type="dxa"/>
          </w:tcPr>
          <w:p w14:paraId="10FECB69" w14:textId="77777777" w:rsidR="002C0FD9" w:rsidRPr="00CA25CF" w:rsidRDefault="002C0FD9" w:rsidP="00CA25CF">
            <w:pPr>
              <w:rPr>
                <w:rFonts w:cs="Arial"/>
                <w:color w:val="FF0000"/>
                <w:sz w:val="21"/>
                <w:szCs w:val="21"/>
              </w:rPr>
            </w:pPr>
          </w:p>
        </w:tc>
        <w:tc>
          <w:tcPr>
            <w:tcW w:w="217" w:type="dxa"/>
          </w:tcPr>
          <w:p w14:paraId="19CE32E5" w14:textId="77777777" w:rsidR="002C0FD9" w:rsidRPr="00CA25CF" w:rsidRDefault="002C0FD9" w:rsidP="00CA25CF">
            <w:pPr>
              <w:rPr>
                <w:rFonts w:cs="Arial"/>
                <w:color w:val="FF0000"/>
                <w:sz w:val="21"/>
                <w:szCs w:val="21"/>
              </w:rPr>
            </w:pPr>
          </w:p>
        </w:tc>
        <w:tc>
          <w:tcPr>
            <w:tcW w:w="217" w:type="dxa"/>
          </w:tcPr>
          <w:p w14:paraId="16833411" w14:textId="77777777" w:rsidR="002C0FD9" w:rsidRPr="00CA25CF" w:rsidRDefault="002C0FD9" w:rsidP="00CA25CF">
            <w:pPr>
              <w:rPr>
                <w:rFonts w:cs="Arial"/>
                <w:color w:val="FF0000"/>
                <w:sz w:val="21"/>
                <w:szCs w:val="21"/>
              </w:rPr>
            </w:pPr>
          </w:p>
        </w:tc>
        <w:tc>
          <w:tcPr>
            <w:tcW w:w="217" w:type="dxa"/>
          </w:tcPr>
          <w:p w14:paraId="42711E7B" w14:textId="77777777" w:rsidR="002C0FD9" w:rsidRPr="00CA25CF" w:rsidRDefault="002C0FD9" w:rsidP="00CA25CF">
            <w:pPr>
              <w:rPr>
                <w:rFonts w:cs="Arial"/>
                <w:color w:val="FF0000"/>
                <w:sz w:val="21"/>
                <w:szCs w:val="21"/>
              </w:rPr>
            </w:pPr>
          </w:p>
        </w:tc>
        <w:tc>
          <w:tcPr>
            <w:tcW w:w="217" w:type="dxa"/>
          </w:tcPr>
          <w:p w14:paraId="08AB3844" w14:textId="77777777" w:rsidR="002C0FD9" w:rsidRPr="00CA25CF" w:rsidRDefault="002C0FD9" w:rsidP="00CA25CF">
            <w:pPr>
              <w:rPr>
                <w:rFonts w:cs="Arial"/>
                <w:color w:val="FF0000"/>
                <w:sz w:val="21"/>
                <w:szCs w:val="21"/>
              </w:rPr>
            </w:pPr>
          </w:p>
        </w:tc>
        <w:tc>
          <w:tcPr>
            <w:tcW w:w="217" w:type="dxa"/>
          </w:tcPr>
          <w:p w14:paraId="2B9A4B8A" w14:textId="77777777" w:rsidR="002C0FD9" w:rsidRPr="00CA25CF" w:rsidRDefault="002C0FD9" w:rsidP="00CA25CF">
            <w:pPr>
              <w:rPr>
                <w:rFonts w:cs="Arial"/>
                <w:color w:val="FF0000"/>
                <w:sz w:val="21"/>
                <w:szCs w:val="21"/>
              </w:rPr>
            </w:pPr>
          </w:p>
        </w:tc>
        <w:tc>
          <w:tcPr>
            <w:tcW w:w="217" w:type="dxa"/>
          </w:tcPr>
          <w:p w14:paraId="5950C7DF" w14:textId="77777777" w:rsidR="002C0FD9" w:rsidRPr="00CA25CF" w:rsidRDefault="002C0FD9" w:rsidP="00CA25CF">
            <w:pPr>
              <w:rPr>
                <w:rFonts w:cs="Arial"/>
                <w:color w:val="FF0000"/>
                <w:sz w:val="21"/>
                <w:szCs w:val="21"/>
              </w:rPr>
            </w:pPr>
          </w:p>
        </w:tc>
        <w:tc>
          <w:tcPr>
            <w:tcW w:w="217" w:type="dxa"/>
          </w:tcPr>
          <w:p w14:paraId="0B108E95" w14:textId="77777777" w:rsidR="002C0FD9" w:rsidRPr="00CA25CF" w:rsidRDefault="002C0FD9" w:rsidP="00CA25CF">
            <w:pPr>
              <w:rPr>
                <w:rFonts w:cs="Arial"/>
                <w:color w:val="FF0000"/>
                <w:sz w:val="21"/>
                <w:szCs w:val="21"/>
              </w:rPr>
            </w:pPr>
          </w:p>
        </w:tc>
        <w:tc>
          <w:tcPr>
            <w:tcW w:w="217" w:type="dxa"/>
          </w:tcPr>
          <w:p w14:paraId="153A9212" w14:textId="77777777" w:rsidR="002C0FD9" w:rsidRPr="00CA25CF" w:rsidRDefault="002C0FD9" w:rsidP="00CA25CF">
            <w:pPr>
              <w:rPr>
                <w:rFonts w:cs="Arial"/>
                <w:color w:val="FF0000"/>
                <w:sz w:val="21"/>
                <w:szCs w:val="21"/>
              </w:rPr>
            </w:pPr>
          </w:p>
        </w:tc>
        <w:tc>
          <w:tcPr>
            <w:tcW w:w="217" w:type="dxa"/>
          </w:tcPr>
          <w:p w14:paraId="030268E7" w14:textId="77777777" w:rsidR="002C0FD9" w:rsidRPr="00CA25CF" w:rsidRDefault="002C0FD9" w:rsidP="00CA25CF">
            <w:pPr>
              <w:rPr>
                <w:rFonts w:cs="Arial"/>
                <w:color w:val="FF0000"/>
                <w:sz w:val="21"/>
                <w:szCs w:val="21"/>
              </w:rPr>
            </w:pPr>
          </w:p>
        </w:tc>
        <w:tc>
          <w:tcPr>
            <w:tcW w:w="217" w:type="dxa"/>
          </w:tcPr>
          <w:p w14:paraId="0E7F076A" w14:textId="77777777" w:rsidR="002C0FD9" w:rsidRPr="00CA25CF" w:rsidRDefault="002C0FD9" w:rsidP="00CA25CF">
            <w:pPr>
              <w:rPr>
                <w:rFonts w:cs="Arial"/>
                <w:color w:val="FF0000"/>
                <w:sz w:val="21"/>
                <w:szCs w:val="21"/>
              </w:rPr>
            </w:pPr>
          </w:p>
        </w:tc>
        <w:tc>
          <w:tcPr>
            <w:tcW w:w="217" w:type="dxa"/>
          </w:tcPr>
          <w:p w14:paraId="3A4C2868" w14:textId="77777777" w:rsidR="002C0FD9" w:rsidRPr="00CA25CF" w:rsidRDefault="002C0FD9" w:rsidP="00CA25CF">
            <w:pPr>
              <w:rPr>
                <w:rFonts w:cs="Arial"/>
                <w:color w:val="FF0000"/>
                <w:sz w:val="21"/>
                <w:szCs w:val="21"/>
              </w:rPr>
            </w:pPr>
          </w:p>
        </w:tc>
        <w:tc>
          <w:tcPr>
            <w:tcW w:w="217" w:type="dxa"/>
          </w:tcPr>
          <w:p w14:paraId="16B6DF6C" w14:textId="77777777" w:rsidR="002C0FD9" w:rsidRPr="00CA25CF" w:rsidRDefault="002C0FD9" w:rsidP="00CA25CF">
            <w:pPr>
              <w:rPr>
                <w:rFonts w:cs="Arial"/>
                <w:color w:val="FF0000"/>
                <w:sz w:val="21"/>
                <w:szCs w:val="21"/>
              </w:rPr>
            </w:pPr>
          </w:p>
        </w:tc>
        <w:tc>
          <w:tcPr>
            <w:tcW w:w="217" w:type="dxa"/>
          </w:tcPr>
          <w:p w14:paraId="00A5EA36" w14:textId="77777777" w:rsidR="002C0FD9" w:rsidRPr="00CA25CF" w:rsidRDefault="002C0FD9" w:rsidP="00CA25CF">
            <w:pPr>
              <w:rPr>
                <w:rFonts w:cs="Arial"/>
                <w:color w:val="FF0000"/>
                <w:sz w:val="21"/>
                <w:szCs w:val="21"/>
              </w:rPr>
            </w:pPr>
          </w:p>
        </w:tc>
        <w:tc>
          <w:tcPr>
            <w:tcW w:w="217" w:type="dxa"/>
          </w:tcPr>
          <w:p w14:paraId="7816C107" w14:textId="77777777" w:rsidR="002C0FD9" w:rsidRPr="00CA25CF" w:rsidRDefault="002C0FD9" w:rsidP="00CA25CF">
            <w:pPr>
              <w:rPr>
                <w:rFonts w:cs="Arial"/>
                <w:color w:val="FF0000"/>
                <w:sz w:val="21"/>
                <w:szCs w:val="21"/>
              </w:rPr>
            </w:pPr>
          </w:p>
        </w:tc>
        <w:tc>
          <w:tcPr>
            <w:tcW w:w="217" w:type="dxa"/>
          </w:tcPr>
          <w:p w14:paraId="1BF81837" w14:textId="77777777" w:rsidR="002C0FD9" w:rsidRPr="00CA25CF" w:rsidRDefault="002C0FD9" w:rsidP="00CA25CF">
            <w:pPr>
              <w:rPr>
                <w:rFonts w:cs="Arial"/>
                <w:color w:val="FF0000"/>
                <w:sz w:val="21"/>
                <w:szCs w:val="21"/>
              </w:rPr>
            </w:pPr>
          </w:p>
        </w:tc>
        <w:tc>
          <w:tcPr>
            <w:tcW w:w="217" w:type="dxa"/>
          </w:tcPr>
          <w:p w14:paraId="17C5BFCA" w14:textId="77777777" w:rsidR="002C0FD9" w:rsidRPr="00CA25CF" w:rsidRDefault="002C0FD9" w:rsidP="00CA25CF">
            <w:pPr>
              <w:rPr>
                <w:rFonts w:cs="Arial"/>
                <w:color w:val="FF0000"/>
                <w:sz w:val="21"/>
                <w:szCs w:val="21"/>
              </w:rPr>
            </w:pPr>
          </w:p>
        </w:tc>
        <w:tc>
          <w:tcPr>
            <w:tcW w:w="217" w:type="dxa"/>
          </w:tcPr>
          <w:p w14:paraId="185B58A4" w14:textId="77777777" w:rsidR="002C0FD9" w:rsidRPr="00CA25CF" w:rsidRDefault="002C0FD9" w:rsidP="00CA25CF">
            <w:pPr>
              <w:rPr>
                <w:rFonts w:cs="Arial"/>
                <w:color w:val="FF0000"/>
                <w:sz w:val="21"/>
                <w:szCs w:val="21"/>
              </w:rPr>
            </w:pPr>
          </w:p>
        </w:tc>
      </w:tr>
      <w:tr w:rsidR="002C0FD9" w:rsidRPr="00A16219" w14:paraId="41BBF5ED" w14:textId="283C6E2E" w:rsidTr="002C0FD9">
        <w:trPr>
          <w:trHeight w:val="635"/>
        </w:trPr>
        <w:tc>
          <w:tcPr>
            <w:tcW w:w="515" w:type="dxa"/>
          </w:tcPr>
          <w:p w14:paraId="4F11B593" w14:textId="77777777" w:rsidR="002C0FD9" w:rsidRPr="00CA25CF" w:rsidRDefault="002C0FD9" w:rsidP="00CA25CF">
            <w:pPr>
              <w:rPr>
                <w:rFonts w:cs="Arial"/>
                <w:color w:val="FF0000"/>
                <w:sz w:val="21"/>
                <w:szCs w:val="21"/>
              </w:rPr>
            </w:pPr>
          </w:p>
        </w:tc>
        <w:tc>
          <w:tcPr>
            <w:tcW w:w="217" w:type="dxa"/>
          </w:tcPr>
          <w:p w14:paraId="594108E0" w14:textId="77777777" w:rsidR="002C0FD9" w:rsidRPr="00CA25CF" w:rsidRDefault="002C0FD9" w:rsidP="00CA25CF">
            <w:pPr>
              <w:rPr>
                <w:rFonts w:cs="Arial"/>
                <w:color w:val="FF0000"/>
                <w:sz w:val="21"/>
                <w:szCs w:val="21"/>
              </w:rPr>
            </w:pPr>
          </w:p>
        </w:tc>
        <w:tc>
          <w:tcPr>
            <w:tcW w:w="217" w:type="dxa"/>
          </w:tcPr>
          <w:p w14:paraId="756FAAA1" w14:textId="2D816D0B" w:rsidR="002C0FD9" w:rsidRPr="00CA25CF" w:rsidRDefault="002C0FD9" w:rsidP="00CA25CF">
            <w:pPr>
              <w:rPr>
                <w:rFonts w:cs="Arial"/>
                <w:color w:val="FF0000"/>
                <w:sz w:val="21"/>
                <w:szCs w:val="21"/>
              </w:rPr>
            </w:pPr>
          </w:p>
        </w:tc>
        <w:tc>
          <w:tcPr>
            <w:tcW w:w="217" w:type="dxa"/>
          </w:tcPr>
          <w:p w14:paraId="19EF5C07" w14:textId="77777777" w:rsidR="002C0FD9" w:rsidRPr="00CA25CF" w:rsidRDefault="002C0FD9" w:rsidP="00CA25CF">
            <w:pPr>
              <w:rPr>
                <w:rFonts w:cs="Arial"/>
                <w:color w:val="FF0000"/>
                <w:sz w:val="21"/>
                <w:szCs w:val="21"/>
              </w:rPr>
            </w:pPr>
          </w:p>
        </w:tc>
        <w:tc>
          <w:tcPr>
            <w:tcW w:w="217" w:type="dxa"/>
          </w:tcPr>
          <w:p w14:paraId="57F1E7B6" w14:textId="789C2975" w:rsidR="002C0FD9" w:rsidRPr="00CA25CF" w:rsidRDefault="002C0FD9" w:rsidP="00CA25CF">
            <w:pPr>
              <w:rPr>
                <w:rFonts w:cs="Arial"/>
                <w:color w:val="FF0000"/>
                <w:sz w:val="21"/>
                <w:szCs w:val="21"/>
              </w:rPr>
            </w:pPr>
          </w:p>
        </w:tc>
        <w:tc>
          <w:tcPr>
            <w:tcW w:w="217" w:type="dxa"/>
          </w:tcPr>
          <w:p w14:paraId="7653094E" w14:textId="77777777" w:rsidR="002C0FD9" w:rsidRPr="00CA25CF" w:rsidRDefault="002C0FD9" w:rsidP="00CA25CF">
            <w:pPr>
              <w:rPr>
                <w:rFonts w:cs="Arial"/>
                <w:color w:val="FF0000"/>
                <w:sz w:val="21"/>
                <w:szCs w:val="21"/>
              </w:rPr>
            </w:pPr>
          </w:p>
        </w:tc>
        <w:tc>
          <w:tcPr>
            <w:tcW w:w="217" w:type="dxa"/>
          </w:tcPr>
          <w:p w14:paraId="6A98ED85" w14:textId="77777777" w:rsidR="002C0FD9" w:rsidRPr="00CA25CF" w:rsidRDefault="002C0FD9" w:rsidP="00CA25CF">
            <w:pPr>
              <w:rPr>
                <w:rFonts w:cs="Arial"/>
                <w:color w:val="FF0000"/>
                <w:sz w:val="21"/>
                <w:szCs w:val="21"/>
              </w:rPr>
            </w:pPr>
          </w:p>
        </w:tc>
        <w:tc>
          <w:tcPr>
            <w:tcW w:w="217" w:type="dxa"/>
          </w:tcPr>
          <w:p w14:paraId="07DCEEA5" w14:textId="77777777" w:rsidR="002C0FD9" w:rsidRPr="00CA25CF" w:rsidRDefault="002C0FD9" w:rsidP="00CA25CF">
            <w:pPr>
              <w:rPr>
                <w:rFonts w:cs="Arial"/>
                <w:color w:val="FF0000"/>
                <w:sz w:val="21"/>
                <w:szCs w:val="21"/>
              </w:rPr>
            </w:pPr>
          </w:p>
        </w:tc>
        <w:tc>
          <w:tcPr>
            <w:tcW w:w="217" w:type="dxa"/>
          </w:tcPr>
          <w:p w14:paraId="7D63527A" w14:textId="77777777" w:rsidR="002C0FD9" w:rsidRPr="00CA25CF" w:rsidRDefault="002C0FD9" w:rsidP="00CA25CF">
            <w:pPr>
              <w:rPr>
                <w:rFonts w:cs="Arial"/>
                <w:color w:val="FF0000"/>
                <w:sz w:val="21"/>
                <w:szCs w:val="21"/>
              </w:rPr>
            </w:pPr>
          </w:p>
        </w:tc>
        <w:tc>
          <w:tcPr>
            <w:tcW w:w="217" w:type="dxa"/>
          </w:tcPr>
          <w:p w14:paraId="665FFED1" w14:textId="77777777" w:rsidR="002C0FD9" w:rsidRPr="00CA25CF" w:rsidRDefault="002C0FD9" w:rsidP="00CA25CF">
            <w:pPr>
              <w:rPr>
                <w:rFonts w:cs="Arial"/>
                <w:color w:val="FF0000"/>
                <w:sz w:val="21"/>
                <w:szCs w:val="21"/>
              </w:rPr>
            </w:pPr>
          </w:p>
        </w:tc>
        <w:tc>
          <w:tcPr>
            <w:tcW w:w="217" w:type="dxa"/>
          </w:tcPr>
          <w:p w14:paraId="0BBF725E" w14:textId="77777777" w:rsidR="002C0FD9" w:rsidRPr="00CA25CF" w:rsidRDefault="002C0FD9" w:rsidP="00CA25CF">
            <w:pPr>
              <w:rPr>
                <w:rFonts w:cs="Arial"/>
                <w:color w:val="FF0000"/>
                <w:sz w:val="21"/>
                <w:szCs w:val="21"/>
              </w:rPr>
            </w:pPr>
          </w:p>
        </w:tc>
        <w:tc>
          <w:tcPr>
            <w:tcW w:w="217" w:type="dxa"/>
          </w:tcPr>
          <w:p w14:paraId="4A933CD7" w14:textId="77777777" w:rsidR="002C0FD9" w:rsidRPr="00CA25CF" w:rsidRDefault="002C0FD9" w:rsidP="00CA25CF">
            <w:pPr>
              <w:rPr>
                <w:rFonts w:cs="Arial"/>
                <w:color w:val="FF0000"/>
                <w:sz w:val="21"/>
                <w:szCs w:val="21"/>
              </w:rPr>
            </w:pPr>
          </w:p>
        </w:tc>
        <w:tc>
          <w:tcPr>
            <w:tcW w:w="217" w:type="dxa"/>
          </w:tcPr>
          <w:p w14:paraId="0D91E2E5" w14:textId="77777777" w:rsidR="002C0FD9" w:rsidRPr="00CA25CF" w:rsidRDefault="002C0FD9" w:rsidP="00CA25CF">
            <w:pPr>
              <w:rPr>
                <w:rFonts w:cs="Arial"/>
                <w:color w:val="FF0000"/>
                <w:sz w:val="21"/>
                <w:szCs w:val="21"/>
              </w:rPr>
            </w:pPr>
          </w:p>
        </w:tc>
        <w:tc>
          <w:tcPr>
            <w:tcW w:w="217" w:type="dxa"/>
          </w:tcPr>
          <w:p w14:paraId="30BA160D" w14:textId="77777777" w:rsidR="002C0FD9" w:rsidRPr="00CA25CF" w:rsidRDefault="002C0FD9" w:rsidP="00CA25CF">
            <w:pPr>
              <w:rPr>
                <w:rFonts w:cs="Arial"/>
                <w:color w:val="FF0000"/>
                <w:sz w:val="21"/>
                <w:szCs w:val="21"/>
              </w:rPr>
            </w:pPr>
          </w:p>
        </w:tc>
        <w:tc>
          <w:tcPr>
            <w:tcW w:w="217" w:type="dxa"/>
          </w:tcPr>
          <w:p w14:paraId="6DECC6AA" w14:textId="77777777" w:rsidR="002C0FD9" w:rsidRPr="00CA25CF" w:rsidRDefault="002C0FD9" w:rsidP="00CA25CF">
            <w:pPr>
              <w:rPr>
                <w:rFonts w:cs="Arial"/>
                <w:color w:val="FF0000"/>
                <w:sz w:val="21"/>
                <w:szCs w:val="21"/>
              </w:rPr>
            </w:pPr>
          </w:p>
        </w:tc>
        <w:tc>
          <w:tcPr>
            <w:tcW w:w="217" w:type="dxa"/>
          </w:tcPr>
          <w:p w14:paraId="3BC7DAD4" w14:textId="4FD01931" w:rsidR="002C0FD9" w:rsidRPr="00CA25CF" w:rsidRDefault="002C0FD9" w:rsidP="00CA25CF">
            <w:pPr>
              <w:rPr>
                <w:rFonts w:cs="Arial"/>
                <w:color w:val="FF0000"/>
                <w:sz w:val="21"/>
                <w:szCs w:val="21"/>
              </w:rPr>
            </w:pPr>
          </w:p>
        </w:tc>
        <w:tc>
          <w:tcPr>
            <w:tcW w:w="217" w:type="dxa"/>
          </w:tcPr>
          <w:p w14:paraId="7D22C3AA" w14:textId="77777777" w:rsidR="002C0FD9" w:rsidRPr="00CA25CF" w:rsidRDefault="002C0FD9" w:rsidP="00CA25CF">
            <w:pPr>
              <w:rPr>
                <w:rFonts w:cs="Arial"/>
                <w:color w:val="FF0000"/>
                <w:sz w:val="21"/>
                <w:szCs w:val="21"/>
              </w:rPr>
            </w:pPr>
          </w:p>
        </w:tc>
        <w:tc>
          <w:tcPr>
            <w:tcW w:w="217" w:type="dxa"/>
          </w:tcPr>
          <w:p w14:paraId="39B949FE" w14:textId="77777777" w:rsidR="002C0FD9" w:rsidRPr="00CA25CF" w:rsidRDefault="002C0FD9" w:rsidP="00CA25CF">
            <w:pPr>
              <w:rPr>
                <w:rFonts w:cs="Arial"/>
                <w:color w:val="FF0000"/>
                <w:sz w:val="21"/>
                <w:szCs w:val="21"/>
              </w:rPr>
            </w:pPr>
          </w:p>
        </w:tc>
        <w:tc>
          <w:tcPr>
            <w:tcW w:w="217" w:type="dxa"/>
          </w:tcPr>
          <w:p w14:paraId="14586B12" w14:textId="77777777" w:rsidR="002C0FD9" w:rsidRPr="00CA25CF" w:rsidRDefault="002C0FD9" w:rsidP="00CA25CF">
            <w:pPr>
              <w:rPr>
                <w:rFonts w:cs="Arial"/>
                <w:color w:val="FF0000"/>
                <w:sz w:val="21"/>
                <w:szCs w:val="21"/>
              </w:rPr>
            </w:pPr>
          </w:p>
        </w:tc>
        <w:tc>
          <w:tcPr>
            <w:tcW w:w="217" w:type="dxa"/>
          </w:tcPr>
          <w:p w14:paraId="1F104431" w14:textId="77777777" w:rsidR="002C0FD9" w:rsidRPr="00CA25CF" w:rsidRDefault="002C0FD9" w:rsidP="00CA25CF">
            <w:pPr>
              <w:rPr>
                <w:rFonts w:cs="Arial"/>
                <w:color w:val="FF0000"/>
                <w:sz w:val="21"/>
                <w:szCs w:val="21"/>
              </w:rPr>
            </w:pPr>
          </w:p>
        </w:tc>
        <w:tc>
          <w:tcPr>
            <w:tcW w:w="217" w:type="dxa"/>
          </w:tcPr>
          <w:p w14:paraId="4E14DD8C" w14:textId="77777777" w:rsidR="002C0FD9" w:rsidRPr="00CA25CF" w:rsidRDefault="002C0FD9" w:rsidP="00CA25CF">
            <w:pPr>
              <w:rPr>
                <w:rFonts w:cs="Arial"/>
                <w:color w:val="FF0000"/>
                <w:sz w:val="21"/>
                <w:szCs w:val="21"/>
              </w:rPr>
            </w:pPr>
          </w:p>
        </w:tc>
        <w:tc>
          <w:tcPr>
            <w:tcW w:w="217" w:type="dxa"/>
          </w:tcPr>
          <w:p w14:paraId="11842438" w14:textId="77777777" w:rsidR="002C0FD9" w:rsidRPr="00CA25CF" w:rsidRDefault="002C0FD9" w:rsidP="00CA25CF">
            <w:pPr>
              <w:rPr>
                <w:rFonts w:cs="Arial"/>
                <w:color w:val="FF0000"/>
                <w:sz w:val="21"/>
                <w:szCs w:val="21"/>
              </w:rPr>
            </w:pPr>
          </w:p>
        </w:tc>
        <w:tc>
          <w:tcPr>
            <w:tcW w:w="217" w:type="dxa"/>
          </w:tcPr>
          <w:p w14:paraId="315BA471" w14:textId="77777777" w:rsidR="002C0FD9" w:rsidRPr="00CA25CF" w:rsidRDefault="002C0FD9" w:rsidP="00CA25CF">
            <w:pPr>
              <w:rPr>
                <w:rFonts w:cs="Arial"/>
                <w:color w:val="FF0000"/>
                <w:sz w:val="21"/>
                <w:szCs w:val="21"/>
              </w:rPr>
            </w:pPr>
          </w:p>
        </w:tc>
        <w:tc>
          <w:tcPr>
            <w:tcW w:w="217" w:type="dxa"/>
          </w:tcPr>
          <w:p w14:paraId="23C052B4" w14:textId="77777777" w:rsidR="002C0FD9" w:rsidRPr="00CA25CF" w:rsidRDefault="002C0FD9" w:rsidP="00CA25CF">
            <w:pPr>
              <w:rPr>
                <w:rFonts w:cs="Arial"/>
                <w:color w:val="FF0000"/>
                <w:sz w:val="21"/>
                <w:szCs w:val="21"/>
              </w:rPr>
            </w:pPr>
          </w:p>
        </w:tc>
        <w:tc>
          <w:tcPr>
            <w:tcW w:w="217" w:type="dxa"/>
          </w:tcPr>
          <w:p w14:paraId="24317A17" w14:textId="77777777" w:rsidR="002C0FD9" w:rsidRPr="00CA25CF" w:rsidRDefault="002C0FD9" w:rsidP="00CA25CF">
            <w:pPr>
              <w:rPr>
                <w:rFonts w:cs="Arial"/>
                <w:color w:val="FF0000"/>
                <w:sz w:val="21"/>
                <w:szCs w:val="21"/>
              </w:rPr>
            </w:pPr>
          </w:p>
        </w:tc>
        <w:tc>
          <w:tcPr>
            <w:tcW w:w="217" w:type="dxa"/>
          </w:tcPr>
          <w:p w14:paraId="19258EC3" w14:textId="77777777" w:rsidR="002C0FD9" w:rsidRPr="00CA25CF" w:rsidRDefault="002C0FD9" w:rsidP="00CA25CF">
            <w:pPr>
              <w:rPr>
                <w:rFonts w:cs="Arial"/>
                <w:color w:val="FF0000"/>
                <w:sz w:val="21"/>
                <w:szCs w:val="21"/>
              </w:rPr>
            </w:pPr>
          </w:p>
        </w:tc>
        <w:tc>
          <w:tcPr>
            <w:tcW w:w="217" w:type="dxa"/>
          </w:tcPr>
          <w:p w14:paraId="50E2907A" w14:textId="77777777" w:rsidR="002C0FD9" w:rsidRPr="00CA25CF" w:rsidRDefault="002C0FD9" w:rsidP="00CA25CF">
            <w:pPr>
              <w:rPr>
                <w:rFonts w:cs="Arial"/>
                <w:color w:val="FF0000"/>
                <w:sz w:val="21"/>
                <w:szCs w:val="21"/>
              </w:rPr>
            </w:pPr>
          </w:p>
        </w:tc>
        <w:tc>
          <w:tcPr>
            <w:tcW w:w="217" w:type="dxa"/>
          </w:tcPr>
          <w:p w14:paraId="1ECD76A8" w14:textId="77777777" w:rsidR="002C0FD9" w:rsidRPr="00CA25CF" w:rsidRDefault="002C0FD9" w:rsidP="00CA25CF">
            <w:pPr>
              <w:rPr>
                <w:rFonts w:cs="Arial"/>
                <w:color w:val="FF0000"/>
                <w:sz w:val="21"/>
                <w:szCs w:val="21"/>
              </w:rPr>
            </w:pPr>
          </w:p>
        </w:tc>
        <w:tc>
          <w:tcPr>
            <w:tcW w:w="217" w:type="dxa"/>
          </w:tcPr>
          <w:p w14:paraId="4B4DD8CE" w14:textId="77777777" w:rsidR="002C0FD9" w:rsidRPr="00CA25CF" w:rsidRDefault="002C0FD9" w:rsidP="00CA25CF">
            <w:pPr>
              <w:rPr>
                <w:rFonts w:cs="Arial"/>
                <w:color w:val="FF0000"/>
                <w:sz w:val="21"/>
                <w:szCs w:val="21"/>
              </w:rPr>
            </w:pPr>
          </w:p>
        </w:tc>
        <w:tc>
          <w:tcPr>
            <w:tcW w:w="217" w:type="dxa"/>
          </w:tcPr>
          <w:p w14:paraId="04834582" w14:textId="77777777" w:rsidR="002C0FD9" w:rsidRPr="00CA25CF" w:rsidRDefault="002C0FD9" w:rsidP="00CA25CF">
            <w:pPr>
              <w:rPr>
                <w:rFonts w:cs="Arial"/>
                <w:color w:val="FF0000"/>
                <w:sz w:val="21"/>
                <w:szCs w:val="21"/>
              </w:rPr>
            </w:pPr>
          </w:p>
        </w:tc>
        <w:tc>
          <w:tcPr>
            <w:tcW w:w="217" w:type="dxa"/>
          </w:tcPr>
          <w:p w14:paraId="3B0E4A91" w14:textId="77777777" w:rsidR="002C0FD9" w:rsidRPr="00CA25CF" w:rsidRDefault="002C0FD9" w:rsidP="00CA25CF">
            <w:pPr>
              <w:rPr>
                <w:rFonts w:cs="Arial"/>
                <w:color w:val="FF0000"/>
                <w:sz w:val="21"/>
                <w:szCs w:val="21"/>
              </w:rPr>
            </w:pPr>
          </w:p>
        </w:tc>
        <w:tc>
          <w:tcPr>
            <w:tcW w:w="217" w:type="dxa"/>
          </w:tcPr>
          <w:p w14:paraId="2E4F7B50" w14:textId="77777777" w:rsidR="002C0FD9" w:rsidRPr="00CA25CF" w:rsidRDefault="002C0FD9" w:rsidP="00CA25CF">
            <w:pPr>
              <w:rPr>
                <w:rFonts w:cs="Arial"/>
                <w:color w:val="FF0000"/>
                <w:sz w:val="21"/>
                <w:szCs w:val="21"/>
              </w:rPr>
            </w:pPr>
          </w:p>
        </w:tc>
        <w:tc>
          <w:tcPr>
            <w:tcW w:w="217" w:type="dxa"/>
          </w:tcPr>
          <w:p w14:paraId="3A3A6F59" w14:textId="77777777" w:rsidR="002C0FD9" w:rsidRPr="00CA25CF" w:rsidRDefault="002C0FD9" w:rsidP="00CA25CF">
            <w:pPr>
              <w:rPr>
                <w:rFonts w:cs="Arial"/>
                <w:color w:val="FF0000"/>
                <w:sz w:val="21"/>
                <w:szCs w:val="21"/>
              </w:rPr>
            </w:pPr>
          </w:p>
        </w:tc>
        <w:tc>
          <w:tcPr>
            <w:tcW w:w="217" w:type="dxa"/>
          </w:tcPr>
          <w:p w14:paraId="6ECE8784" w14:textId="77777777" w:rsidR="002C0FD9" w:rsidRPr="00CA25CF" w:rsidRDefault="002C0FD9" w:rsidP="00CA25CF">
            <w:pPr>
              <w:rPr>
                <w:rFonts w:cs="Arial"/>
                <w:color w:val="FF0000"/>
                <w:sz w:val="21"/>
                <w:szCs w:val="21"/>
              </w:rPr>
            </w:pPr>
          </w:p>
        </w:tc>
        <w:tc>
          <w:tcPr>
            <w:tcW w:w="217" w:type="dxa"/>
          </w:tcPr>
          <w:p w14:paraId="0431B929" w14:textId="77777777" w:rsidR="002C0FD9" w:rsidRPr="00CA25CF" w:rsidRDefault="002C0FD9" w:rsidP="00CA25CF">
            <w:pPr>
              <w:rPr>
                <w:rFonts w:cs="Arial"/>
                <w:color w:val="FF0000"/>
                <w:sz w:val="21"/>
                <w:szCs w:val="21"/>
              </w:rPr>
            </w:pPr>
          </w:p>
        </w:tc>
        <w:tc>
          <w:tcPr>
            <w:tcW w:w="217" w:type="dxa"/>
          </w:tcPr>
          <w:p w14:paraId="02990415" w14:textId="77777777" w:rsidR="002C0FD9" w:rsidRPr="00CA25CF" w:rsidRDefault="002C0FD9" w:rsidP="00CA25CF">
            <w:pPr>
              <w:rPr>
                <w:rFonts w:cs="Arial"/>
                <w:color w:val="FF0000"/>
                <w:sz w:val="21"/>
                <w:szCs w:val="21"/>
              </w:rPr>
            </w:pPr>
          </w:p>
        </w:tc>
        <w:tc>
          <w:tcPr>
            <w:tcW w:w="217" w:type="dxa"/>
          </w:tcPr>
          <w:p w14:paraId="433E5738" w14:textId="77777777" w:rsidR="002C0FD9" w:rsidRPr="00CA25CF" w:rsidRDefault="002C0FD9" w:rsidP="00CA25CF">
            <w:pPr>
              <w:rPr>
                <w:rFonts w:cs="Arial"/>
                <w:color w:val="FF0000"/>
                <w:sz w:val="21"/>
                <w:szCs w:val="21"/>
              </w:rPr>
            </w:pPr>
          </w:p>
        </w:tc>
        <w:tc>
          <w:tcPr>
            <w:tcW w:w="217" w:type="dxa"/>
          </w:tcPr>
          <w:p w14:paraId="49A4E506" w14:textId="77777777" w:rsidR="002C0FD9" w:rsidRPr="00CA25CF" w:rsidRDefault="002C0FD9" w:rsidP="00CA25CF">
            <w:pPr>
              <w:rPr>
                <w:rFonts w:cs="Arial"/>
                <w:color w:val="FF0000"/>
                <w:sz w:val="21"/>
                <w:szCs w:val="21"/>
              </w:rPr>
            </w:pPr>
          </w:p>
        </w:tc>
        <w:tc>
          <w:tcPr>
            <w:tcW w:w="217" w:type="dxa"/>
          </w:tcPr>
          <w:p w14:paraId="55F2F451" w14:textId="77777777" w:rsidR="002C0FD9" w:rsidRPr="00CA25CF" w:rsidRDefault="002C0FD9" w:rsidP="00CA25CF">
            <w:pPr>
              <w:rPr>
                <w:rFonts w:cs="Arial"/>
                <w:color w:val="FF0000"/>
                <w:sz w:val="21"/>
                <w:szCs w:val="21"/>
              </w:rPr>
            </w:pPr>
          </w:p>
        </w:tc>
        <w:tc>
          <w:tcPr>
            <w:tcW w:w="217" w:type="dxa"/>
          </w:tcPr>
          <w:p w14:paraId="649398CC" w14:textId="77777777" w:rsidR="002C0FD9" w:rsidRPr="00CA25CF" w:rsidRDefault="002C0FD9" w:rsidP="00CA25CF">
            <w:pPr>
              <w:rPr>
                <w:rFonts w:cs="Arial"/>
                <w:color w:val="FF0000"/>
                <w:sz w:val="21"/>
                <w:szCs w:val="21"/>
              </w:rPr>
            </w:pPr>
          </w:p>
        </w:tc>
        <w:tc>
          <w:tcPr>
            <w:tcW w:w="217" w:type="dxa"/>
          </w:tcPr>
          <w:p w14:paraId="0D59ADFE" w14:textId="77777777" w:rsidR="002C0FD9" w:rsidRPr="00CA25CF" w:rsidRDefault="002C0FD9" w:rsidP="00CA25CF">
            <w:pPr>
              <w:rPr>
                <w:rFonts w:cs="Arial"/>
                <w:color w:val="FF0000"/>
                <w:sz w:val="21"/>
                <w:szCs w:val="21"/>
              </w:rPr>
            </w:pPr>
          </w:p>
        </w:tc>
        <w:tc>
          <w:tcPr>
            <w:tcW w:w="217" w:type="dxa"/>
          </w:tcPr>
          <w:p w14:paraId="4474A19F" w14:textId="77777777" w:rsidR="002C0FD9" w:rsidRPr="00CA25CF" w:rsidRDefault="002C0FD9" w:rsidP="00CA25CF">
            <w:pPr>
              <w:rPr>
                <w:rFonts w:cs="Arial"/>
                <w:color w:val="FF0000"/>
                <w:sz w:val="21"/>
                <w:szCs w:val="21"/>
              </w:rPr>
            </w:pPr>
          </w:p>
        </w:tc>
        <w:tc>
          <w:tcPr>
            <w:tcW w:w="217" w:type="dxa"/>
          </w:tcPr>
          <w:p w14:paraId="49691B04" w14:textId="77777777" w:rsidR="002C0FD9" w:rsidRPr="00CA25CF" w:rsidRDefault="002C0FD9" w:rsidP="00CA25CF">
            <w:pPr>
              <w:rPr>
                <w:rFonts w:cs="Arial"/>
                <w:color w:val="FF0000"/>
                <w:sz w:val="21"/>
                <w:szCs w:val="21"/>
              </w:rPr>
            </w:pPr>
          </w:p>
        </w:tc>
      </w:tr>
      <w:tr w:rsidR="002C0FD9" w:rsidRPr="00A16219" w14:paraId="7E2A920F" w14:textId="1570366F" w:rsidTr="002C0FD9">
        <w:trPr>
          <w:trHeight w:val="635"/>
        </w:trPr>
        <w:tc>
          <w:tcPr>
            <w:tcW w:w="515" w:type="dxa"/>
          </w:tcPr>
          <w:p w14:paraId="62D65199" w14:textId="77777777" w:rsidR="002C0FD9" w:rsidRPr="00CA25CF" w:rsidRDefault="002C0FD9" w:rsidP="00CA25CF">
            <w:pPr>
              <w:rPr>
                <w:rFonts w:cs="Arial"/>
                <w:color w:val="FF0000"/>
                <w:sz w:val="21"/>
                <w:szCs w:val="21"/>
              </w:rPr>
            </w:pPr>
          </w:p>
        </w:tc>
        <w:tc>
          <w:tcPr>
            <w:tcW w:w="217" w:type="dxa"/>
          </w:tcPr>
          <w:p w14:paraId="41647DE3" w14:textId="77777777" w:rsidR="002C0FD9" w:rsidRPr="00CA25CF" w:rsidRDefault="002C0FD9" w:rsidP="00CA25CF">
            <w:pPr>
              <w:rPr>
                <w:rFonts w:cs="Arial"/>
                <w:color w:val="FF0000"/>
                <w:sz w:val="21"/>
                <w:szCs w:val="21"/>
              </w:rPr>
            </w:pPr>
          </w:p>
        </w:tc>
        <w:tc>
          <w:tcPr>
            <w:tcW w:w="217" w:type="dxa"/>
          </w:tcPr>
          <w:p w14:paraId="530545E1" w14:textId="31BD2C97" w:rsidR="002C0FD9" w:rsidRPr="00CA25CF" w:rsidRDefault="002C0FD9" w:rsidP="00CA25CF">
            <w:pPr>
              <w:rPr>
                <w:rFonts w:cs="Arial"/>
                <w:color w:val="FF0000"/>
                <w:sz w:val="21"/>
                <w:szCs w:val="21"/>
              </w:rPr>
            </w:pPr>
          </w:p>
        </w:tc>
        <w:tc>
          <w:tcPr>
            <w:tcW w:w="217" w:type="dxa"/>
          </w:tcPr>
          <w:p w14:paraId="12167797" w14:textId="77777777" w:rsidR="002C0FD9" w:rsidRPr="00CA25CF" w:rsidRDefault="002C0FD9" w:rsidP="00CA25CF">
            <w:pPr>
              <w:rPr>
                <w:rFonts w:cs="Arial"/>
                <w:color w:val="FF0000"/>
                <w:sz w:val="21"/>
                <w:szCs w:val="21"/>
              </w:rPr>
            </w:pPr>
          </w:p>
        </w:tc>
        <w:tc>
          <w:tcPr>
            <w:tcW w:w="217" w:type="dxa"/>
          </w:tcPr>
          <w:p w14:paraId="0C56A6C7" w14:textId="31AB422D" w:rsidR="002C0FD9" w:rsidRPr="00CA25CF" w:rsidRDefault="002C0FD9" w:rsidP="00CA25CF">
            <w:pPr>
              <w:rPr>
                <w:rFonts w:cs="Arial"/>
                <w:color w:val="FF0000"/>
                <w:sz w:val="21"/>
                <w:szCs w:val="21"/>
              </w:rPr>
            </w:pPr>
          </w:p>
        </w:tc>
        <w:tc>
          <w:tcPr>
            <w:tcW w:w="217" w:type="dxa"/>
          </w:tcPr>
          <w:p w14:paraId="7348D231" w14:textId="77777777" w:rsidR="002C0FD9" w:rsidRPr="00CA25CF" w:rsidRDefault="002C0FD9" w:rsidP="00CA25CF">
            <w:pPr>
              <w:rPr>
                <w:rFonts w:cs="Arial"/>
                <w:color w:val="FF0000"/>
                <w:sz w:val="21"/>
                <w:szCs w:val="21"/>
              </w:rPr>
            </w:pPr>
          </w:p>
        </w:tc>
        <w:tc>
          <w:tcPr>
            <w:tcW w:w="217" w:type="dxa"/>
          </w:tcPr>
          <w:p w14:paraId="4BB4A0F4" w14:textId="77777777" w:rsidR="002C0FD9" w:rsidRPr="00CA25CF" w:rsidRDefault="002C0FD9" w:rsidP="00CA25CF">
            <w:pPr>
              <w:rPr>
                <w:rFonts w:cs="Arial"/>
                <w:color w:val="FF0000"/>
                <w:sz w:val="21"/>
                <w:szCs w:val="21"/>
              </w:rPr>
            </w:pPr>
          </w:p>
        </w:tc>
        <w:tc>
          <w:tcPr>
            <w:tcW w:w="217" w:type="dxa"/>
          </w:tcPr>
          <w:p w14:paraId="6B8F93EB" w14:textId="77777777" w:rsidR="002C0FD9" w:rsidRPr="00CA25CF" w:rsidRDefault="002C0FD9" w:rsidP="00CA25CF">
            <w:pPr>
              <w:rPr>
                <w:rFonts w:cs="Arial"/>
                <w:color w:val="FF0000"/>
                <w:sz w:val="21"/>
                <w:szCs w:val="21"/>
              </w:rPr>
            </w:pPr>
          </w:p>
        </w:tc>
        <w:tc>
          <w:tcPr>
            <w:tcW w:w="217" w:type="dxa"/>
          </w:tcPr>
          <w:p w14:paraId="6579DF12" w14:textId="77777777" w:rsidR="002C0FD9" w:rsidRPr="00CA25CF" w:rsidRDefault="002C0FD9" w:rsidP="00CA25CF">
            <w:pPr>
              <w:rPr>
                <w:rFonts w:cs="Arial"/>
                <w:color w:val="FF0000"/>
                <w:sz w:val="21"/>
                <w:szCs w:val="21"/>
              </w:rPr>
            </w:pPr>
          </w:p>
        </w:tc>
        <w:tc>
          <w:tcPr>
            <w:tcW w:w="217" w:type="dxa"/>
          </w:tcPr>
          <w:p w14:paraId="0F6FB0AF" w14:textId="77777777" w:rsidR="002C0FD9" w:rsidRPr="00CA25CF" w:rsidRDefault="002C0FD9" w:rsidP="00CA25CF">
            <w:pPr>
              <w:rPr>
                <w:rFonts w:cs="Arial"/>
                <w:color w:val="FF0000"/>
                <w:sz w:val="21"/>
                <w:szCs w:val="21"/>
              </w:rPr>
            </w:pPr>
          </w:p>
        </w:tc>
        <w:tc>
          <w:tcPr>
            <w:tcW w:w="217" w:type="dxa"/>
          </w:tcPr>
          <w:p w14:paraId="4AD9ED75" w14:textId="77777777" w:rsidR="002C0FD9" w:rsidRPr="00CA25CF" w:rsidRDefault="002C0FD9" w:rsidP="00CA25CF">
            <w:pPr>
              <w:rPr>
                <w:rFonts w:cs="Arial"/>
                <w:color w:val="FF0000"/>
                <w:sz w:val="21"/>
                <w:szCs w:val="21"/>
              </w:rPr>
            </w:pPr>
          </w:p>
        </w:tc>
        <w:tc>
          <w:tcPr>
            <w:tcW w:w="217" w:type="dxa"/>
          </w:tcPr>
          <w:p w14:paraId="25779113" w14:textId="77777777" w:rsidR="002C0FD9" w:rsidRPr="00CA25CF" w:rsidRDefault="002C0FD9" w:rsidP="00CA25CF">
            <w:pPr>
              <w:rPr>
                <w:rFonts w:cs="Arial"/>
                <w:color w:val="FF0000"/>
                <w:sz w:val="21"/>
                <w:szCs w:val="21"/>
              </w:rPr>
            </w:pPr>
          </w:p>
        </w:tc>
        <w:tc>
          <w:tcPr>
            <w:tcW w:w="217" w:type="dxa"/>
          </w:tcPr>
          <w:p w14:paraId="77054B22" w14:textId="77777777" w:rsidR="002C0FD9" w:rsidRPr="00CA25CF" w:rsidRDefault="002C0FD9" w:rsidP="00CA25CF">
            <w:pPr>
              <w:rPr>
                <w:rFonts w:cs="Arial"/>
                <w:color w:val="FF0000"/>
                <w:sz w:val="21"/>
                <w:szCs w:val="21"/>
              </w:rPr>
            </w:pPr>
          </w:p>
        </w:tc>
        <w:tc>
          <w:tcPr>
            <w:tcW w:w="217" w:type="dxa"/>
          </w:tcPr>
          <w:p w14:paraId="21205143" w14:textId="77777777" w:rsidR="002C0FD9" w:rsidRPr="00CA25CF" w:rsidRDefault="002C0FD9" w:rsidP="00CA25CF">
            <w:pPr>
              <w:rPr>
                <w:rFonts w:cs="Arial"/>
                <w:color w:val="FF0000"/>
                <w:sz w:val="21"/>
                <w:szCs w:val="21"/>
              </w:rPr>
            </w:pPr>
          </w:p>
        </w:tc>
        <w:tc>
          <w:tcPr>
            <w:tcW w:w="217" w:type="dxa"/>
          </w:tcPr>
          <w:p w14:paraId="6FDA3F32" w14:textId="77777777" w:rsidR="002C0FD9" w:rsidRPr="00CA25CF" w:rsidRDefault="002C0FD9" w:rsidP="00CA25CF">
            <w:pPr>
              <w:rPr>
                <w:rFonts w:cs="Arial"/>
                <w:color w:val="FF0000"/>
                <w:sz w:val="21"/>
                <w:szCs w:val="21"/>
              </w:rPr>
            </w:pPr>
          </w:p>
        </w:tc>
        <w:tc>
          <w:tcPr>
            <w:tcW w:w="217" w:type="dxa"/>
          </w:tcPr>
          <w:p w14:paraId="2DACC3F0" w14:textId="033D65DF" w:rsidR="002C0FD9" w:rsidRPr="00CA25CF" w:rsidRDefault="002C0FD9" w:rsidP="00CA25CF">
            <w:pPr>
              <w:rPr>
                <w:rFonts w:cs="Arial"/>
                <w:color w:val="FF0000"/>
                <w:sz w:val="21"/>
                <w:szCs w:val="21"/>
              </w:rPr>
            </w:pPr>
          </w:p>
        </w:tc>
        <w:tc>
          <w:tcPr>
            <w:tcW w:w="217" w:type="dxa"/>
          </w:tcPr>
          <w:p w14:paraId="57E5A494" w14:textId="77777777" w:rsidR="002C0FD9" w:rsidRPr="00CA25CF" w:rsidRDefault="002C0FD9" w:rsidP="00CA25CF">
            <w:pPr>
              <w:rPr>
                <w:rFonts w:cs="Arial"/>
                <w:color w:val="FF0000"/>
                <w:sz w:val="21"/>
                <w:szCs w:val="21"/>
              </w:rPr>
            </w:pPr>
          </w:p>
        </w:tc>
        <w:tc>
          <w:tcPr>
            <w:tcW w:w="217" w:type="dxa"/>
          </w:tcPr>
          <w:p w14:paraId="1FE7AC2B" w14:textId="77777777" w:rsidR="002C0FD9" w:rsidRPr="00CA25CF" w:rsidRDefault="002C0FD9" w:rsidP="00CA25CF">
            <w:pPr>
              <w:rPr>
                <w:rFonts w:cs="Arial"/>
                <w:color w:val="FF0000"/>
                <w:sz w:val="21"/>
                <w:szCs w:val="21"/>
              </w:rPr>
            </w:pPr>
          </w:p>
        </w:tc>
        <w:tc>
          <w:tcPr>
            <w:tcW w:w="217" w:type="dxa"/>
          </w:tcPr>
          <w:p w14:paraId="15C49E67" w14:textId="77777777" w:rsidR="002C0FD9" w:rsidRPr="00CA25CF" w:rsidRDefault="002C0FD9" w:rsidP="00CA25CF">
            <w:pPr>
              <w:rPr>
                <w:rFonts w:cs="Arial"/>
                <w:color w:val="FF0000"/>
                <w:sz w:val="21"/>
                <w:szCs w:val="21"/>
              </w:rPr>
            </w:pPr>
          </w:p>
        </w:tc>
        <w:tc>
          <w:tcPr>
            <w:tcW w:w="217" w:type="dxa"/>
          </w:tcPr>
          <w:p w14:paraId="32FD9269" w14:textId="77777777" w:rsidR="002C0FD9" w:rsidRPr="00CA25CF" w:rsidRDefault="002C0FD9" w:rsidP="00CA25CF">
            <w:pPr>
              <w:rPr>
                <w:rFonts w:cs="Arial"/>
                <w:color w:val="FF0000"/>
                <w:sz w:val="21"/>
                <w:szCs w:val="21"/>
              </w:rPr>
            </w:pPr>
          </w:p>
        </w:tc>
        <w:tc>
          <w:tcPr>
            <w:tcW w:w="217" w:type="dxa"/>
          </w:tcPr>
          <w:p w14:paraId="44E69A70" w14:textId="77777777" w:rsidR="002C0FD9" w:rsidRPr="00CA25CF" w:rsidRDefault="002C0FD9" w:rsidP="00CA25CF">
            <w:pPr>
              <w:rPr>
                <w:rFonts w:cs="Arial"/>
                <w:color w:val="FF0000"/>
                <w:sz w:val="21"/>
                <w:szCs w:val="21"/>
              </w:rPr>
            </w:pPr>
          </w:p>
        </w:tc>
        <w:tc>
          <w:tcPr>
            <w:tcW w:w="217" w:type="dxa"/>
          </w:tcPr>
          <w:p w14:paraId="5DBFA1CA" w14:textId="77777777" w:rsidR="002C0FD9" w:rsidRPr="00CA25CF" w:rsidRDefault="002C0FD9" w:rsidP="00CA25CF">
            <w:pPr>
              <w:rPr>
                <w:rFonts w:cs="Arial"/>
                <w:color w:val="FF0000"/>
                <w:sz w:val="21"/>
                <w:szCs w:val="21"/>
              </w:rPr>
            </w:pPr>
          </w:p>
        </w:tc>
        <w:tc>
          <w:tcPr>
            <w:tcW w:w="217" w:type="dxa"/>
          </w:tcPr>
          <w:p w14:paraId="0CE50FAD" w14:textId="77777777" w:rsidR="002C0FD9" w:rsidRPr="00CA25CF" w:rsidRDefault="002C0FD9" w:rsidP="00CA25CF">
            <w:pPr>
              <w:rPr>
                <w:rFonts w:cs="Arial"/>
                <w:color w:val="FF0000"/>
                <w:sz w:val="21"/>
                <w:szCs w:val="21"/>
              </w:rPr>
            </w:pPr>
          </w:p>
        </w:tc>
        <w:tc>
          <w:tcPr>
            <w:tcW w:w="217" w:type="dxa"/>
          </w:tcPr>
          <w:p w14:paraId="4A972109" w14:textId="77777777" w:rsidR="002C0FD9" w:rsidRPr="00CA25CF" w:rsidRDefault="002C0FD9" w:rsidP="00CA25CF">
            <w:pPr>
              <w:rPr>
                <w:rFonts w:cs="Arial"/>
                <w:color w:val="FF0000"/>
                <w:sz w:val="21"/>
                <w:szCs w:val="21"/>
              </w:rPr>
            </w:pPr>
          </w:p>
        </w:tc>
        <w:tc>
          <w:tcPr>
            <w:tcW w:w="217" w:type="dxa"/>
          </w:tcPr>
          <w:p w14:paraId="22DB3129" w14:textId="77777777" w:rsidR="002C0FD9" w:rsidRPr="00CA25CF" w:rsidRDefault="002C0FD9" w:rsidP="00CA25CF">
            <w:pPr>
              <w:rPr>
                <w:rFonts w:cs="Arial"/>
                <w:color w:val="FF0000"/>
                <w:sz w:val="21"/>
                <w:szCs w:val="21"/>
              </w:rPr>
            </w:pPr>
          </w:p>
        </w:tc>
        <w:tc>
          <w:tcPr>
            <w:tcW w:w="217" w:type="dxa"/>
          </w:tcPr>
          <w:p w14:paraId="4DF9B208" w14:textId="77777777" w:rsidR="002C0FD9" w:rsidRPr="00CA25CF" w:rsidRDefault="002C0FD9" w:rsidP="00CA25CF">
            <w:pPr>
              <w:rPr>
                <w:rFonts w:cs="Arial"/>
                <w:color w:val="FF0000"/>
                <w:sz w:val="21"/>
                <w:szCs w:val="21"/>
              </w:rPr>
            </w:pPr>
          </w:p>
        </w:tc>
        <w:tc>
          <w:tcPr>
            <w:tcW w:w="217" w:type="dxa"/>
          </w:tcPr>
          <w:p w14:paraId="7F2FC953" w14:textId="77777777" w:rsidR="002C0FD9" w:rsidRPr="00CA25CF" w:rsidRDefault="002C0FD9" w:rsidP="00CA25CF">
            <w:pPr>
              <w:rPr>
                <w:rFonts w:cs="Arial"/>
                <w:color w:val="FF0000"/>
                <w:sz w:val="21"/>
                <w:szCs w:val="21"/>
              </w:rPr>
            </w:pPr>
          </w:p>
        </w:tc>
        <w:tc>
          <w:tcPr>
            <w:tcW w:w="217" w:type="dxa"/>
          </w:tcPr>
          <w:p w14:paraId="674B6EFC" w14:textId="77777777" w:rsidR="002C0FD9" w:rsidRPr="00CA25CF" w:rsidRDefault="002C0FD9" w:rsidP="00CA25CF">
            <w:pPr>
              <w:rPr>
                <w:rFonts w:cs="Arial"/>
                <w:color w:val="FF0000"/>
                <w:sz w:val="21"/>
                <w:szCs w:val="21"/>
              </w:rPr>
            </w:pPr>
          </w:p>
        </w:tc>
        <w:tc>
          <w:tcPr>
            <w:tcW w:w="217" w:type="dxa"/>
          </w:tcPr>
          <w:p w14:paraId="53EDA0B9" w14:textId="77777777" w:rsidR="002C0FD9" w:rsidRPr="00CA25CF" w:rsidRDefault="002C0FD9" w:rsidP="00CA25CF">
            <w:pPr>
              <w:rPr>
                <w:rFonts w:cs="Arial"/>
                <w:color w:val="FF0000"/>
                <w:sz w:val="21"/>
                <w:szCs w:val="21"/>
              </w:rPr>
            </w:pPr>
          </w:p>
        </w:tc>
        <w:tc>
          <w:tcPr>
            <w:tcW w:w="217" w:type="dxa"/>
          </w:tcPr>
          <w:p w14:paraId="5E3BB79D" w14:textId="77777777" w:rsidR="002C0FD9" w:rsidRPr="00CA25CF" w:rsidRDefault="002C0FD9" w:rsidP="00CA25CF">
            <w:pPr>
              <w:rPr>
                <w:rFonts w:cs="Arial"/>
                <w:color w:val="FF0000"/>
                <w:sz w:val="21"/>
                <w:szCs w:val="21"/>
              </w:rPr>
            </w:pPr>
          </w:p>
        </w:tc>
        <w:tc>
          <w:tcPr>
            <w:tcW w:w="217" w:type="dxa"/>
          </w:tcPr>
          <w:p w14:paraId="33FFFD25" w14:textId="77777777" w:rsidR="002C0FD9" w:rsidRPr="00CA25CF" w:rsidRDefault="002C0FD9" w:rsidP="00CA25CF">
            <w:pPr>
              <w:rPr>
                <w:rFonts w:cs="Arial"/>
                <w:color w:val="FF0000"/>
                <w:sz w:val="21"/>
                <w:szCs w:val="21"/>
              </w:rPr>
            </w:pPr>
          </w:p>
        </w:tc>
        <w:tc>
          <w:tcPr>
            <w:tcW w:w="217" w:type="dxa"/>
          </w:tcPr>
          <w:p w14:paraId="7E9F389F" w14:textId="77777777" w:rsidR="002C0FD9" w:rsidRPr="00CA25CF" w:rsidRDefault="002C0FD9" w:rsidP="00CA25CF">
            <w:pPr>
              <w:rPr>
                <w:rFonts w:cs="Arial"/>
                <w:color w:val="FF0000"/>
                <w:sz w:val="21"/>
                <w:szCs w:val="21"/>
              </w:rPr>
            </w:pPr>
          </w:p>
        </w:tc>
        <w:tc>
          <w:tcPr>
            <w:tcW w:w="217" w:type="dxa"/>
          </w:tcPr>
          <w:p w14:paraId="3D4C3734" w14:textId="77777777" w:rsidR="002C0FD9" w:rsidRPr="00CA25CF" w:rsidRDefault="002C0FD9" w:rsidP="00CA25CF">
            <w:pPr>
              <w:rPr>
                <w:rFonts w:cs="Arial"/>
                <w:color w:val="FF0000"/>
                <w:sz w:val="21"/>
                <w:szCs w:val="21"/>
              </w:rPr>
            </w:pPr>
          </w:p>
        </w:tc>
        <w:tc>
          <w:tcPr>
            <w:tcW w:w="217" w:type="dxa"/>
          </w:tcPr>
          <w:p w14:paraId="2FEEA114" w14:textId="77777777" w:rsidR="002C0FD9" w:rsidRPr="00CA25CF" w:rsidRDefault="002C0FD9" w:rsidP="00CA25CF">
            <w:pPr>
              <w:rPr>
                <w:rFonts w:cs="Arial"/>
                <w:color w:val="FF0000"/>
                <w:sz w:val="21"/>
                <w:szCs w:val="21"/>
              </w:rPr>
            </w:pPr>
          </w:p>
        </w:tc>
        <w:tc>
          <w:tcPr>
            <w:tcW w:w="217" w:type="dxa"/>
          </w:tcPr>
          <w:p w14:paraId="70A65846" w14:textId="77777777" w:rsidR="002C0FD9" w:rsidRPr="00CA25CF" w:rsidRDefault="002C0FD9" w:rsidP="00CA25CF">
            <w:pPr>
              <w:rPr>
                <w:rFonts w:cs="Arial"/>
                <w:color w:val="FF0000"/>
                <w:sz w:val="21"/>
                <w:szCs w:val="21"/>
              </w:rPr>
            </w:pPr>
          </w:p>
        </w:tc>
        <w:tc>
          <w:tcPr>
            <w:tcW w:w="217" w:type="dxa"/>
          </w:tcPr>
          <w:p w14:paraId="389577BB" w14:textId="77777777" w:rsidR="002C0FD9" w:rsidRPr="00CA25CF" w:rsidRDefault="002C0FD9" w:rsidP="00CA25CF">
            <w:pPr>
              <w:rPr>
                <w:rFonts w:cs="Arial"/>
                <w:color w:val="FF0000"/>
                <w:sz w:val="21"/>
                <w:szCs w:val="21"/>
              </w:rPr>
            </w:pPr>
          </w:p>
        </w:tc>
        <w:tc>
          <w:tcPr>
            <w:tcW w:w="217" w:type="dxa"/>
          </w:tcPr>
          <w:p w14:paraId="591F15FA" w14:textId="77777777" w:rsidR="002C0FD9" w:rsidRPr="00CA25CF" w:rsidRDefault="002C0FD9" w:rsidP="00CA25CF">
            <w:pPr>
              <w:rPr>
                <w:rFonts w:cs="Arial"/>
                <w:color w:val="FF0000"/>
                <w:sz w:val="21"/>
                <w:szCs w:val="21"/>
              </w:rPr>
            </w:pPr>
          </w:p>
        </w:tc>
        <w:tc>
          <w:tcPr>
            <w:tcW w:w="217" w:type="dxa"/>
          </w:tcPr>
          <w:p w14:paraId="189AF7E2" w14:textId="77777777" w:rsidR="002C0FD9" w:rsidRPr="00CA25CF" w:rsidRDefault="002C0FD9" w:rsidP="00CA25CF">
            <w:pPr>
              <w:rPr>
                <w:rFonts w:cs="Arial"/>
                <w:color w:val="FF0000"/>
                <w:sz w:val="21"/>
                <w:szCs w:val="21"/>
              </w:rPr>
            </w:pPr>
          </w:p>
        </w:tc>
        <w:tc>
          <w:tcPr>
            <w:tcW w:w="217" w:type="dxa"/>
          </w:tcPr>
          <w:p w14:paraId="0C244756" w14:textId="77777777" w:rsidR="002C0FD9" w:rsidRPr="00CA25CF" w:rsidRDefault="002C0FD9" w:rsidP="00CA25CF">
            <w:pPr>
              <w:rPr>
                <w:rFonts w:cs="Arial"/>
                <w:color w:val="FF0000"/>
                <w:sz w:val="21"/>
                <w:szCs w:val="21"/>
              </w:rPr>
            </w:pPr>
          </w:p>
        </w:tc>
        <w:tc>
          <w:tcPr>
            <w:tcW w:w="217" w:type="dxa"/>
          </w:tcPr>
          <w:p w14:paraId="66D1647D" w14:textId="77777777" w:rsidR="002C0FD9" w:rsidRPr="00CA25CF" w:rsidRDefault="002C0FD9" w:rsidP="00CA25CF">
            <w:pPr>
              <w:rPr>
                <w:rFonts w:cs="Arial"/>
                <w:color w:val="FF0000"/>
                <w:sz w:val="21"/>
                <w:szCs w:val="21"/>
              </w:rPr>
            </w:pPr>
          </w:p>
        </w:tc>
        <w:tc>
          <w:tcPr>
            <w:tcW w:w="217" w:type="dxa"/>
          </w:tcPr>
          <w:p w14:paraId="0A08FCBC" w14:textId="77777777" w:rsidR="002C0FD9" w:rsidRPr="00CA25CF" w:rsidRDefault="002C0FD9" w:rsidP="00CA25CF">
            <w:pPr>
              <w:rPr>
                <w:rFonts w:cs="Arial"/>
                <w:color w:val="FF0000"/>
                <w:sz w:val="21"/>
                <w:szCs w:val="21"/>
              </w:rPr>
            </w:pPr>
          </w:p>
        </w:tc>
        <w:tc>
          <w:tcPr>
            <w:tcW w:w="217" w:type="dxa"/>
          </w:tcPr>
          <w:p w14:paraId="15D46C4D" w14:textId="77777777" w:rsidR="002C0FD9" w:rsidRPr="00CA25CF" w:rsidRDefault="002C0FD9" w:rsidP="00CA25CF">
            <w:pPr>
              <w:rPr>
                <w:rFonts w:cs="Arial"/>
                <w:color w:val="FF0000"/>
                <w:sz w:val="21"/>
                <w:szCs w:val="21"/>
              </w:rPr>
            </w:pPr>
          </w:p>
        </w:tc>
        <w:tc>
          <w:tcPr>
            <w:tcW w:w="217" w:type="dxa"/>
          </w:tcPr>
          <w:p w14:paraId="114B7BB3" w14:textId="77777777" w:rsidR="002C0FD9" w:rsidRPr="00CA25CF" w:rsidRDefault="002C0FD9" w:rsidP="00CA25CF">
            <w:pPr>
              <w:rPr>
                <w:rFonts w:cs="Arial"/>
                <w:color w:val="FF0000"/>
                <w:sz w:val="21"/>
                <w:szCs w:val="21"/>
              </w:rPr>
            </w:pPr>
          </w:p>
        </w:tc>
      </w:tr>
      <w:tr w:rsidR="002C0FD9" w:rsidRPr="00A16219" w14:paraId="000B0138" w14:textId="0442D8EF" w:rsidTr="002C0FD9">
        <w:trPr>
          <w:trHeight w:val="635"/>
        </w:trPr>
        <w:tc>
          <w:tcPr>
            <w:tcW w:w="515" w:type="dxa"/>
          </w:tcPr>
          <w:p w14:paraId="423234AC" w14:textId="77777777" w:rsidR="002C0FD9" w:rsidRPr="00CA25CF" w:rsidRDefault="002C0FD9" w:rsidP="00CA25CF">
            <w:pPr>
              <w:rPr>
                <w:rFonts w:cs="Arial"/>
                <w:color w:val="FF0000"/>
                <w:sz w:val="21"/>
                <w:szCs w:val="21"/>
              </w:rPr>
            </w:pPr>
          </w:p>
        </w:tc>
        <w:tc>
          <w:tcPr>
            <w:tcW w:w="217" w:type="dxa"/>
          </w:tcPr>
          <w:p w14:paraId="4AAB9771" w14:textId="77777777" w:rsidR="002C0FD9" w:rsidRPr="00CA25CF" w:rsidRDefault="002C0FD9" w:rsidP="00CA25CF">
            <w:pPr>
              <w:rPr>
                <w:rFonts w:cs="Arial"/>
                <w:color w:val="FF0000"/>
                <w:sz w:val="21"/>
                <w:szCs w:val="21"/>
              </w:rPr>
            </w:pPr>
          </w:p>
        </w:tc>
        <w:tc>
          <w:tcPr>
            <w:tcW w:w="217" w:type="dxa"/>
          </w:tcPr>
          <w:p w14:paraId="1B1B81A1" w14:textId="0332B08C" w:rsidR="002C0FD9" w:rsidRPr="00CA25CF" w:rsidRDefault="002C0FD9" w:rsidP="00CA25CF">
            <w:pPr>
              <w:rPr>
                <w:rFonts w:cs="Arial"/>
                <w:color w:val="FF0000"/>
                <w:sz w:val="21"/>
                <w:szCs w:val="21"/>
              </w:rPr>
            </w:pPr>
          </w:p>
        </w:tc>
        <w:tc>
          <w:tcPr>
            <w:tcW w:w="217" w:type="dxa"/>
          </w:tcPr>
          <w:p w14:paraId="268866E6" w14:textId="77777777" w:rsidR="002C0FD9" w:rsidRPr="00CA25CF" w:rsidRDefault="002C0FD9" w:rsidP="00CA25CF">
            <w:pPr>
              <w:rPr>
                <w:rFonts w:cs="Arial"/>
                <w:color w:val="FF0000"/>
                <w:sz w:val="21"/>
                <w:szCs w:val="21"/>
              </w:rPr>
            </w:pPr>
          </w:p>
        </w:tc>
        <w:tc>
          <w:tcPr>
            <w:tcW w:w="217" w:type="dxa"/>
          </w:tcPr>
          <w:p w14:paraId="0948BA7C" w14:textId="7D905E8E" w:rsidR="002C0FD9" w:rsidRPr="00CA25CF" w:rsidRDefault="002C0FD9" w:rsidP="00CA25CF">
            <w:pPr>
              <w:rPr>
                <w:rFonts w:cs="Arial"/>
                <w:color w:val="FF0000"/>
                <w:sz w:val="21"/>
                <w:szCs w:val="21"/>
              </w:rPr>
            </w:pPr>
          </w:p>
        </w:tc>
        <w:tc>
          <w:tcPr>
            <w:tcW w:w="217" w:type="dxa"/>
          </w:tcPr>
          <w:p w14:paraId="4626D4FA" w14:textId="77777777" w:rsidR="002C0FD9" w:rsidRPr="00CA25CF" w:rsidRDefault="002C0FD9" w:rsidP="00CA25CF">
            <w:pPr>
              <w:rPr>
                <w:rFonts w:cs="Arial"/>
                <w:color w:val="FF0000"/>
                <w:sz w:val="21"/>
                <w:szCs w:val="21"/>
              </w:rPr>
            </w:pPr>
          </w:p>
        </w:tc>
        <w:tc>
          <w:tcPr>
            <w:tcW w:w="217" w:type="dxa"/>
          </w:tcPr>
          <w:p w14:paraId="5AC561EC" w14:textId="77777777" w:rsidR="002C0FD9" w:rsidRPr="00CA25CF" w:rsidRDefault="002C0FD9" w:rsidP="00CA25CF">
            <w:pPr>
              <w:rPr>
                <w:rFonts w:cs="Arial"/>
                <w:color w:val="FF0000"/>
                <w:sz w:val="21"/>
                <w:szCs w:val="21"/>
              </w:rPr>
            </w:pPr>
          </w:p>
        </w:tc>
        <w:tc>
          <w:tcPr>
            <w:tcW w:w="217" w:type="dxa"/>
          </w:tcPr>
          <w:p w14:paraId="614A722D" w14:textId="77777777" w:rsidR="002C0FD9" w:rsidRPr="00CA25CF" w:rsidRDefault="002C0FD9" w:rsidP="00CA25CF">
            <w:pPr>
              <w:rPr>
                <w:rFonts w:cs="Arial"/>
                <w:color w:val="FF0000"/>
                <w:sz w:val="21"/>
                <w:szCs w:val="21"/>
              </w:rPr>
            </w:pPr>
          </w:p>
        </w:tc>
        <w:tc>
          <w:tcPr>
            <w:tcW w:w="217" w:type="dxa"/>
          </w:tcPr>
          <w:p w14:paraId="1E302EB2" w14:textId="77777777" w:rsidR="002C0FD9" w:rsidRPr="00CA25CF" w:rsidRDefault="002C0FD9" w:rsidP="00CA25CF">
            <w:pPr>
              <w:rPr>
                <w:rFonts w:cs="Arial"/>
                <w:color w:val="FF0000"/>
                <w:sz w:val="21"/>
                <w:szCs w:val="21"/>
              </w:rPr>
            </w:pPr>
          </w:p>
        </w:tc>
        <w:tc>
          <w:tcPr>
            <w:tcW w:w="217" w:type="dxa"/>
          </w:tcPr>
          <w:p w14:paraId="397C2B0C" w14:textId="77777777" w:rsidR="002C0FD9" w:rsidRPr="00CA25CF" w:rsidRDefault="002C0FD9" w:rsidP="00CA25CF">
            <w:pPr>
              <w:rPr>
                <w:rFonts w:cs="Arial"/>
                <w:color w:val="FF0000"/>
                <w:sz w:val="21"/>
                <w:szCs w:val="21"/>
              </w:rPr>
            </w:pPr>
          </w:p>
        </w:tc>
        <w:tc>
          <w:tcPr>
            <w:tcW w:w="217" w:type="dxa"/>
          </w:tcPr>
          <w:p w14:paraId="6B8C30AA" w14:textId="77777777" w:rsidR="002C0FD9" w:rsidRPr="00CA25CF" w:rsidRDefault="002C0FD9" w:rsidP="00CA25CF">
            <w:pPr>
              <w:rPr>
                <w:rFonts w:cs="Arial"/>
                <w:color w:val="FF0000"/>
                <w:sz w:val="21"/>
                <w:szCs w:val="21"/>
              </w:rPr>
            </w:pPr>
          </w:p>
        </w:tc>
        <w:tc>
          <w:tcPr>
            <w:tcW w:w="217" w:type="dxa"/>
          </w:tcPr>
          <w:p w14:paraId="7C33EAA2" w14:textId="77777777" w:rsidR="002C0FD9" w:rsidRPr="00CA25CF" w:rsidRDefault="002C0FD9" w:rsidP="00CA25CF">
            <w:pPr>
              <w:rPr>
                <w:rFonts w:cs="Arial"/>
                <w:color w:val="FF0000"/>
                <w:sz w:val="21"/>
                <w:szCs w:val="21"/>
              </w:rPr>
            </w:pPr>
          </w:p>
        </w:tc>
        <w:tc>
          <w:tcPr>
            <w:tcW w:w="217" w:type="dxa"/>
          </w:tcPr>
          <w:p w14:paraId="6EBD32DF" w14:textId="77777777" w:rsidR="002C0FD9" w:rsidRPr="00CA25CF" w:rsidRDefault="002C0FD9" w:rsidP="00CA25CF">
            <w:pPr>
              <w:rPr>
                <w:rFonts w:cs="Arial"/>
                <w:color w:val="FF0000"/>
                <w:sz w:val="21"/>
                <w:szCs w:val="21"/>
              </w:rPr>
            </w:pPr>
          </w:p>
        </w:tc>
        <w:tc>
          <w:tcPr>
            <w:tcW w:w="217" w:type="dxa"/>
          </w:tcPr>
          <w:p w14:paraId="6B55961C" w14:textId="77777777" w:rsidR="002C0FD9" w:rsidRPr="00CA25CF" w:rsidRDefault="002C0FD9" w:rsidP="00CA25CF">
            <w:pPr>
              <w:rPr>
                <w:rFonts w:cs="Arial"/>
                <w:color w:val="FF0000"/>
                <w:sz w:val="21"/>
                <w:szCs w:val="21"/>
              </w:rPr>
            </w:pPr>
          </w:p>
        </w:tc>
        <w:tc>
          <w:tcPr>
            <w:tcW w:w="217" w:type="dxa"/>
          </w:tcPr>
          <w:p w14:paraId="4D6CAF2D" w14:textId="77777777" w:rsidR="002C0FD9" w:rsidRPr="00CA25CF" w:rsidRDefault="002C0FD9" w:rsidP="00CA25CF">
            <w:pPr>
              <w:rPr>
                <w:rFonts w:cs="Arial"/>
                <w:color w:val="FF0000"/>
                <w:sz w:val="21"/>
                <w:szCs w:val="21"/>
              </w:rPr>
            </w:pPr>
          </w:p>
        </w:tc>
        <w:tc>
          <w:tcPr>
            <w:tcW w:w="217" w:type="dxa"/>
          </w:tcPr>
          <w:p w14:paraId="5013CA39" w14:textId="0E3B90D7" w:rsidR="002C0FD9" w:rsidRPr="00CA25CF" w:rsidRDefault="002C0FD9" w:rsidP="00CA25CF">
            <w:pPr>
              <w:rPr>
                <w:rFonts w:cs="Arial"/>
                <w:color w:val="FF0000"/>
                <w:sz w:val="21"/>
                <w:szCs w:val="21"/>
              </w:rPr>
            </w:pPr>
          </w:p>
        </w:tc>
        <w:tc>
          <w:tcPr>
            <w:tcW w:w="217" w:type="dxa"/>
          </w:tcPr>
          <w:p w14:paraId="2241DC6D" w14:textId="77777777" w:rsidR="002C0FD9" w:rsidRPr="00CA25CF" w:rsidRDefault="002C0FD9" w:rsidP="00CA25CF">
            <w:pPr>
              <w:rPr>
                <w:rFonts w:cs="Arial"/>
                <w:color w:val="FF0000"/>
                <w:sz w:val="21"/>
                <w:szCs w:val="21"/>
              </w:rPr>
            </w:pPr>
          </w:p>
        </w:tc>
        <w:tc>
          <w:tcPr>
            <w:tcW w:w="217" w:type="dxa"/>
          </w:tcPr>
          <w:p w14:paraId="53B214C4" w14:textId="77777777" w:rsidR="002C0FD9" w:rsidRPr="00CA25CF" w:rsidRDefault="002C0FD9" w:rsidP="00CA25CF">
            <w:pPr>
              <w:rPr>
                <w:rFonts w:cs="Arial"/>
                <w:color w:val="FF0000"/>
                <w:sz w:val="21"/>
                <w:szCs w:val="21"/>
              </w:rPr>
            </w:pPr>
          </w:p>
        </w:tc>
        <w:tc>
          <w:tcPr>
            <w:tcW w:w="217" w:type="dxa"/>
          </w:tcPr>
          <w:p w14:paraId="71D394DE" w14:textId="77777777" w:rsidR="002C0FD9" w:rsidRPr="00CA25CF" w:rsidRDefault="002C0FD9" w:rsidP="00CA25CF">
            <w:pPr>
              <w:rPr>
                <w:rFonts w:cs="Arial"/>
                <w:color w:val="FF0000"/>
                <w:sz w:val="21"/>
                <w:szCs w:val="21"/>
              </w:rPr>
            </w:pPr>
          </w:p>
        </w:tc>
        <w:tc>
          <w:tcPr>
            <w:tcW w:w="217" w:type="dxa"/>
          </w:tcPr>
          <w:p w14:paraId="5D02F78A" w14:textId="77777777" w:rsidR="002C0FD9" w:rsidRPr="00CA25CF" w:rsidRDefault="002C0FD9" w:rsidP="00CA25CF">
            <w:pPr>
              <w:rPr>
                <w:rFonts w:cs="Arial"/>
                <w:color w:val="FF0000"/>
                <w:sz w:val="21"/>
                <w:szCs w:val="21"/>
              </w:rPr>
            </w:pPr>
          </w:p>
        </w:tc>
        <w:tc>
          <w:tcPr>
            <w:tcW w:w="217" w:type="dxa"/>
          </w:tcPr>
          <w:p w14:paraId="55DF62BE" w14:textId="77777777" w:rsidR="002C0FD9" w:rsidRPr="00CA25CF" w:rsidRDefault="002C0FD9" w:rsidP="00CA25CF">
            <w:pPr>
              <w:rPr>
                <w:rFonts w:cs="Arial"/>
                <w:color w:val="FF0000"/>
                <w:sz w:val="21"/>
                <w:szCs w:val="21"/>
              </w:rPr>
            </w:pPr>
          </w:p>
        </w:tc>
        <w:tc>
          <w:tcPr>
            <w:tcW w:w="217" w:type="dxa"/>
          </w:tcPr>
          <w:p w14:paraId="75DBE54B" w14:textId="77777777" w:rsidR="002C0FD9" w:rsidRPr="00CA25CF" w:rsidRDefault="002C0FD9" w:rsidP="00CA25CF">
            <w:pPr>
              <w:rPr>
                <w:rFonts w:cs="Arial"/>
                <w:color w:val="FF0000"/>
                <w:sz w:val="21"/>
                <w:szCs w:val="21"/>
              </w:rPr>
            </w:pPr>
          </w:p>
        </w:tc>
        <w:tc>
          <w:tcPr>
            <w:tcW w:w="217" w:type="dxa"/>
          </w:tcPr>
          <w:p w14:paraId="1388F7A8" w14:textId="77777777" w:rsidR="002C0FD9" w:rsidRPr="00CA25CF" w:rsidRDefault="002C0FD9" w:rsidP="00CA25CF">
            <w:pPr>
              <w:rPr>
                <w:rFonts w:cs="Arial"/>
                <w:color w:val="FF0000"/>
                <w:sz w:val="21"/>
                <w:szCs w:val="21"/>
              </w:rPr>
            </w:pPr>
          </w:p>
        </w:tc>
        <w:tc>
          <w:tcPr>
            <w:tcW w:w="217" w:type="dxa"/>
          </w:tcPr>
          <w:p w14:paraId="0891AFAB" w14:textId="77777777" w:rsidR="002C0FD9" w:rsidRPr="00CA25CF" w:rsidRDefault="002C0FD9" w:rsidP="00CA25CF">
            <w:pPr>
              <w:rPr>
                <w:rFonts w:cs="Arial"/>
                <w:color w:val="FF0000"/>
                <w:sz w:val="21"/>
                <w:szCs w:val="21"/>
              </w:rPr>
            </w:pPr>
          </w:p>
        </w:tc>
        <w:tc>
          <w:tcPr>
            <w:tcW w:w="217" w:type="dxa"/>
          </w:tcPr>
          <w:p w14:paraId="580CD91C" w14:textId="77777777" w:rsidR="002C0FD9" w:rsidRPr="00CA25CF" w:rsidRDefault="002C0FD9" w:rsidP="00CA25CF">
            <w:pPr>
              <w:rPr>
                <w:rFonts w:cs="Arial"/>
                <w:color w:val="FF0000"/>
                <w:sz w:val="21"/>
                <w:szCs w:val="21"/>
              </w:rPr>
            </w:pPr>
          </w:p>
        </w:tc>
        <w:tc>
          <w:tcPr>
            <w:tcW w:w="217" w:type="dxa"/>
          </w:tcPr>
          <w:p w14:paraId="7FF1E487" w14:textId="77777777" w:rsidR="002C0FD9" w:rsidRPr="00CA25CF" w:rsidRDefault="002C0FD9" w:rsidP="00CA25CF">
            <w:pPr>
              <w:rPr>
                <w:rFonts w:cs="Arial"/>
                <w:color w:val="FF0000"/>
                <w:sz w:val="21"/>
                <w:szCs w:val="21"/>
              </w:rPr>
            </w:pPr>
          </w:p>
        </w:tc>
        <w:tc>
          <w:tcPr>
            <w:tcW w:w="217" w:type="dxa"/>
          </w:tcPr>
          <w:p w14:paraId="7DD91BAE" w14:textId="77777777" w:rsidR="002C0FD9" w:rsidRPr="00CA25CF" w:rsidRDefault="002C0FD9" w:rsidP="00CA25CF">
            <w:pPr>
              <w:rPr>
                <w:rFonts w:cs="Arial"/>
                <w:color w:val="FF0000"/>
                <w:sz w:val="21"/>
                <w:szCs w:val="21"/>
              </w:rPr>
            </w:pPr>
          </w:p>
        </w:tc>
        <w:tc>
          <w:tcPr>
            <w:tcW w:w="217" w:type="dxa"/>
          </w:tcPr>
          <w:p w14:paraId="0D07E02B" w14:textId="77777777" w:rsidR="002C0FD9" w:rsidRPr="00CA25CF" w:rsidRDefault="002C0FD9" w:rsidP="00CA25CF">
            <w:pPr>
              <w:rPr>
                <w:rFonts w:cs="Arial"/>
                <w:color w:val="FF0000"/>
                <w:sz w:val="21"/>
                <w:szCs w:val="21"/>
              </w:rPr>
            </w:pPr>
          </w:p>
        </w:tc>
        <w:tc>
          <w:tcPr>
            <w:tcW w:w="217" w:type="dxa"/>
          </w:tcPr>
          <w:p w14:paraId="022F9223" w14:textId="77777777" w:rsidR="002C0FD9" w:rsidRPr="00CA25CF" w:rsidRDefault="002C0FD9" w:rsidP="00CA25CF">
            <w:pPr>
              <w:rPr>
                <w:rFonts w:cs="Arial"/>
                <w:color w:val="FF0000"/>
                <w:sz w:val="21"/>
                <w:szCs w:val="21"/>
              </w:rPr>
            </w:pPr>
          </w:p>
        </w:tc>
        <w:tc>
          <w:tcPr>
            <w:tcW w:w="217" w:type="dxa"/>
          </w:tcPr>
          <w:p w14:paraId="76060B40" w14:textId="77777777" w:rsidR="002C0FD9" w:rsidRPr="00CA25CF" w:rsidRDefault="002C0FD9" w:rsidP="00CA25CF">
            <w:pPr>
              <w:rPr>
                <w:rFonts w:cs="Arial"/>
                <w:color w:val="FF0000"/>
                <w:sz w:val="21"/>
                <w:szCs w:val="21"/>
              </w:rPr>
            </w:pPr>
          </w:p>
        </w:tc>
        <w:tc>
          <w:tcPr>
            <w:tcW w:w="217" w:type="dxa"/>
          </w:tcPr>
          <w:p w14:paraId="60EA7B7B" w14:textId="77777777" w:rsidR="002C0FD9" w:rsidRPr="00CA25CF" w:rsidRDefault="002C0FD9" w:rsidP="00CA25CF">
            <w:pPr>
              <w:rPr>
                <w:rFonts w:cs="Arial"/>
                <w:color w:val="FF0000"/>
                <w:sz w:val="21"/>
                <w:szCs w:val="21"/>
              </w:rPr>
            </w:pPr>
          </w:p>
        </w:tc>
        <w:tc>
          <w:tcPr>
            <w:tcW w:w="217" w:type="dxa"/>
          </w:tcPr>
          <w:p w14:paraId="1E8FF760" w14:textId="77777777" w:rsidR="002C0FD9" w:rsidRPr="00CA25CF" w:rsidRDefault="002C0FD9" w:rsidP="00CA25CF">
            <w:pPr>
              <w:rPr>
                <w:rFonts w:cs="Arial"/>
                <w:color w:val="FF0000"/>
                <w:sz w:val="21"/>
                <w:szCs w:val="21"/>
              </w:rPr>
            </w:pPr>
          </w:p>
        </w:tc>
        <w:tc>
          <w:tcPr>
            <w:tcW w:w="217" w:type="dxa"/>
          </w:tcPr>
          <w:p w14:paraId="1411E19D" w14:textId="77777777" w:rsidR="002C0FD9" w:rsidRPr="00CA25CF" w:rsidRDefault="002C0FD9" w:rsidP="00CA25CF">
            <w:pPr>
              <w:rPr>
                <w:rFonts w:cs="Arial"/>
                <w:color w:val="FF0000"/>
                <w:sz w:val="21"/>
                <w:szCs w:val="21"/>
              </w:rPr>
            </w:pPr>
          </w:p>
        </w:tc>
        <w:tc>
          <w:tcPr>
            <w:tcW w:w="217" w:type="dxa"/>
          </w:tcPr>
          <w:p w14:paraId="0D08FF4F" w14:textId="77777777" w:rsidR="002C0FD9" w:rsidRPr="00CA25CF" w:rsidRDefault="002C0FD9" w:rsidP="00CA25CF">
            <w:pPr>
              <w:rPr>
                <w:rFonts w:cs="Arial"/>
                <w:color w:val="FF0000"/>
                <w:sz w:val="21"/>
                <w:szCs w:val="21"/>
              </w:rPr>
            </w:pPr>
          </w:p>
        </w:tc>
        <w:tc>
          <w:tcPr>
            <w:tcW w:w="217" w:type="dxa"/>
          </w:tcPr>
          <w:p w14:paraId="2D3720D0" w14:textId="77777777" w:rsidR="002C0FD9" w:rsidRPr="00CA25CF" w:rsidRDefault="002C0FD9" w:rsidP="00CA25CF">
            <w:pPr>
              <w:rPr>
                <w:rFonts w:cs="Arial"/>
                <w:color w:val="FF0000"/>
                <w:sz w:val="21"/>
                <w:szCs w:val="21"/>
              </w:rPr>
            </w:pPr>
          </w:p>
        </w:tc>
        <w:tc>
          <w:tcPr>
            <w:tcW w:w="217" w:type="dxa"/>
          </w:tcPr>
          <w:p w14:paraId="36F29E5C" w14:textId="77777777" w:rsidR="002C0FD9" w:rsidRPr="00CA25CF" w:rsidRDefault="002C0FD9" w:rsidP="00CA25CF">
            <w:pPr>
              <w:rPr>
                <w:rFonts w:cs="Arial"/>
                <w:color w:val="FF0000"/>
                <w:sz w:val="21"/>
                <w:szCs w:val="21"/>
              </w:rPr>
            </w:pPr>
          </w:p>
        </w:tc>
        <w:tc>
          <w:tcPr>
            <w:tcW w:w="217" w:type="dxa"/>
          </w:tcPr>
          <w:p w14:paraId="14B1FE40" w14:textId="77777777" w:rsidR="002C0FD9" w:rsidRPr="00CA25CF" w:rsidRDefault="002C0FD9" w:rsidP="00CA25CF">
            <w:pPr>
              <w:rPr>
                <w:rFonts w:cs="Arial"/>
                <w:color w:val="FF0000"/>
                <w:sz w:val="21"/>
                <w:szCs w:val="21"/>
              </w:rPr>
            </w:pPr>
          </w:p>
        </w:tc>
        <w:tc>
          <w:tcPr>
            <w:tcW w:w="217" w:type="dxa"/>
          </w:tcPr>
          <w:p w14:paraId="0B739407" w14:textId="77777777" w:rsidR="002C0FD9" w:rsidRPr="00CA25CF" w:rsidRDefault="002C0FD9" w:rsidP="00CA25CF">
            <w:pPr>
              <w:rPr>
                <w:rFonts w:cs="Arial"/>
                <w:color w:val="FF0000"/>
                <w:sz w:val="21"/>
                <w:szCs w:val="21"/>
              </w:rPr>
            </w:pPr>
          </w:p>
        </w:tc>
        <w:tc>
          <w:tcPr>
            <w:tcW w:w="217" w:type="dxa"/>
          </w:tcPr>
          <w:p w14:paraId="6C027B8D" w14:textId="77777777" w:rsidR="002C0FD9" w:rsidRPr="00CA25CF" w:rsidRDefault="002C0FD9" w:rsidP="00CA25CF">
            <w:pPr>
              <w:rPr>
                <w:rFonts w:cs="Arial"/>
                <w:color w:val="FF0000"/>
                <w:sz w:val="21"/>
                <w:szCs w:val="21"/>
              </w:rPr>
            </w:pPr>
          </w:p>
        </w:tc>
        <w:tc>
          <w:tcPr>
            <w:tcW w:w="217" w:type="dxa"/>
          </w:tcPr>
          <w:p w14:paraId="364AB41A" w14:textId="77777777" w:rsidR="002C0FD9" w:rsidRPr="00CA25CF" w:rsidRDefault="002C0FD9" w:rsidP="00CA25CF">
            <w:pPr>
              <w:rPr>
                <w:rFonts w:cs="Arial"/>
                <w:color w:val="FF0000"/>
                <w:sz w:val="21"/>
                <w:szCs w:val="21"/>
              </w:rPr>
            </w:pPr>
          </w:p>
        </w:tc>
        <w:tc>
          <w:tcPr>
            <w:tcW w:w="217" w:type="dxa"/>
          </w:tcPr>
          <w:p w14:paraId="6AEC283A" w14:textId="77777777" w:rsidR="002C0FD9" w:rsidRPr="00CA25CF" w:rsidRDefault="002C0FD9" w:rsidP="00CA25CF">
            <w:pPr>
              <w:rPr>
                <w:rFonts w:cs="Arial"/>
                <w:color w:val="FF0000"/>
                <w:sz w:val="21"/>
                <w:szCs w:val="21"/>
              </w:rPr>
            </w:pPr>
          </w:p>
        </w:tc>
        <w:tc>
          <w:tcPr>
            <w:tcW w:w="217" w:type="dxa"/>
          </w:tcPr>
          <w:p w14:paraId="00D030A9" w14:textId="77777777" w:rsidR="002C0FD9" w:rsidRPr="00CA25CF" w:rsidRDefault="002C0FD9" w:rsidP="00CA25CF">
            <w:pPr>
              <w:rPr>
                <w:rFonts w:cs="Arial"/>
                <w:color w:val="FF0000"/>
                <w:sz w:val="21"/>
                <w:szCs w:val="21"/>
              </w:rPr>
            </w:pPr>
          </w:p>
        </w:tc>
        <w:tc>
          <w:tcPr>
            <w:tcW w:w="217" w:type="dxa"/>
          </w:tcPr>
          <w:p w14:paraId="4DE772F9" w14:textId="77777777" w:rsidR="002C0FD9" w:rsidRPr="00CA25CF" w:rsidRDefault="002C0FD9" w:rsidP="00CA25CF">
            <w:pPr>
              <w:rPr>
                <w:rFonts w:cs="Arial"/>
                <w:color w:val="FF0000"/>
                <w:sz w:val="21"/>
                <w:szCs w:val="21"/>
              </w:rPr>
            </w:pPr>
          </w:p>
        </w:tc>
      </w:tr>
      <w:tr w:rsidR="002C0FD9" w:rsidRPr="00A16219" w14:paraId="725DD0B3" w14:textId="7495479F" w:rsidTr="002C0FD9">
        <w:trPr>
          <w:trHeight w:val="635"/>
        </w:trPr>
        <w:tc>
          <w:tcPr>
            <w:tcW w:w="515" w:type="dxa"/>
          </w:tcPr>
          <w:p w14:paraId="413A5ECA" w14:textId="77777777" w:rsidR="002C0FD9" w:rsidRPr="00CA25CF" w:rsidRDefault="002C0FD9" w:rsidP="00CA25CF">
            <w:pPr>
              <w:rPr>
                <w:rFonts w:cs="Arial"/>
                <w:color w:val="FF0000"/>
                <w:sz w:val="21"/>
                <w:szCs w:val="21"/>
              </w:rPr>
            </w:pPr>
          </w:p>
        </w:tc>
        <w:tc>
          <w:tcPr>
            <w:tcW w:w="217" w:type="dxa"/>
          </w:tcPr>
          <w:p w14:paraId="0588C366" w14:textId="77777777" w:rsidR="002C0FD9" w:rsidRPr="00CA25CF" w:rsidRDefault="002C0FD9" w:rsidP="00CA25CF">
            <w:pPr>
              <w:rPr>
                <w:rFonts w:cs="Arial"/>
                <w:color w:val="FF0000"/>
                <w:sz w:val="21"/>
                <w:szCs w:val="21"/>
              </w:rPr>
            </w:pPr>
          </w:p>
        </w:tc>
        <w:tc>
          <w:tcPr>
            <w:tcW w:w="217" w:type="dxa"/>
          </w:tcPr>
          <w:p w14:paraId="775353FB" w14:textId="3C2228EC" w:rsidR="002C0FD9" w:rsidRPr="00CA25CF" w:rsidRDefault="002C0FD9" w:rsidP="00CA25CF">
            <w:pPr>
              <w:rPr>
                <w:rFonts w:cs="Arial"/>
                <w:color w:val="FF0000"/>
                <w:sz w:val="21"/>
                <w:szCs w:val="21"/>
              </w:rPr>
            </w:pPr>
          </w:p>
        </w:tc>
        <w:tc>
          <w:tcPr>
            <w:tcW w:w="217" w:type="dxa"/>
          </w:tcPr>
          <w:p w14:paraId="29A120DE" w14:textId="77777777" w:rsidR="002C0FD9" w:rsidRPr="00CA25CF" w:rsidRDefault="002C0FD9" w:rsidP="00CA25CF">
            <w:pPr>
              <w:rPr>
                <w:rFonts w:cs="Arial"/>
                <w:color w:val="FF0000"/>
                <w:sz w:val="21"/>
                <w:szCs w:val="21"/>
              </w:rPr>
            </w:pPr>
          </w:p>
        </w:tc>
        <w:tc>
          <w:tcPr>
            <w:tcW w:w="217" w:type="dxa"/>
          </w:tcPr>
          <w:p w14:paraId="52C9C18A" w14:textId="60F4C7C8" w:rsidR="002C0FD9" w:rsidRPr="00CA25CF" w:rsidRDefault="002C0FD9" w:rsidP="00CA25CF">
            <w:pPr>
              <w:rPr>
                <w:rFonts w:cs="Arial"/>
                <w:color w:val="FF0000"/>
                <w:sz w:val="21"/>
                <w:szCs w:val="21"/>
              </w:rPr>
            </w:pPr>
          </w:p>
        </w:tc>
        <w:tc>
          <w:tcPr>
            <w:tcW w:w="217" w:type="dxa"/>
          </w:tcPr>
          <w:p w14:paraId="2112A0A1" w14:textId="77777777" w:rsidR="002C0FD9" w:rsidRPr="00CA25CF" w:rsidRDefault="002C0FD9" w:rsidP="00CA25CF">
            <w:pPr>
              <w:rPr>
                <w:rFonts w:cs="Arial"/>
                <w:color w:val="FF0000"/>
                <w:sz w:val="21"/>
                <w:szCs w:val="21"/>
              </w:rPr>
            </w:pPr>
          </w:p>
        </w:tc>
        <w:tc>
          <w:tcPr>
            <w:tcW w:w="217" w:type="dxa"/>
          </w:tcPr>
          <w:p w14:paraId="62A8FDA1" w14:textId="77777777" w:rsidR="002C0FD9" w:rsidRPr="00CA25CF" w:rsidRDefault="002C0FD9" w:rsidP="00CA25CF">
            <w:pPr>
              <w:rPr>
                <w:rFonts w:cs="Arial"/>
                <w:color w:val="FF0000"/>
                <w:sz w:val="21"/>
                <w:szCs w:val="21"/>
              </w:rPr>
            </w:pPr>
          </w:p>
        </w:tc>
        <w:tc>
          <w:tcPr>
            <w:tcW w:w="217" w:type="dxa"/>
          </w:tcPr>
          <w:p w14:paraId="0816EBB9" w14:textId="77777777" w:rsidR="002C0FD9" w:rsidRPr="00CA25CF" w:rsidRDefault="002C0FD9" w:rsidP="00CA25CF">
            <w:pPr>
              <w:rPr>
                <w:rFonts w:cs="Arial"/>
                <w:color w:val="FF0000"/>
                <w:sz w:val="21"/>
                <w:szCs w:val="21"/>
              </w:rPr>
            </w:pPr>
          </w:p>
        </w:tc>
        <w:tc>
          <w:tcPr>
            <w:tcW w:w="217" w:type="dxa"/>
          </w:tcPr>
          <w:p w14:paraId="6645C772" w14:textId="77777777" w:rsidR="002C0FD9" w:rsidRPr="00CA25CF" w:rsidRDefault="002C0FD9" w:rsidP="00CA25CF">
            <w:pPr>
              <w:rPr>
                <w:rFonts w:cs="Arial"/>
                <w:color w:val="FF0000"/>
                <w:sz w:val="21"/>
                <w:szCs w:val="21"/>
              </w:rPr>
            </w:pPr>
          </w:p>
        </w:tc>
        <w:tc>
          <w:tcPr>
            <w:tcW w:w="217" w:type="dxa"/>
          </w:tcPr>
          <w:p w14:paraId="1E01469E" w14:textId="77777777" w:rsidR="002C0FD9" w:rsidRPr="00CA25CF" w:rsidRDefault="002C0FD9" w:rsidP="00CA25CF">
            <w:pPr>
              <w:rPr>
                <w:rFonts w:cs="Arial"/>
                <w:color w:val="FF0000"/>
                <w:sz w:val="21"/>
                <w:szCs w:val="21"/>
              </w:rPr>
            </w:pPr>
          </w:p>
        </w:tc>
        <w:tc>
          <w:tcPr>
            <w:tcW w:w="217" w:type="dxa"/>
          </w:tcPr>
          <w:p w14:paraId="31FEEBF3" w14:textId="77777777" w:rsidR="002C0FD9" w:rsidRPr="00CA25CF" w:rsidRDefault="002C0FD9" w:rsidP="00CA25CF">
            <w:pPr>
              <w:rPr>
                <w:rFonts w:cs="Arial"/>
                <w:color w:val="FF0000"/>
                <w:sz w:val="21"/>
                <w:szCs w:val="21"/>
              </w:rPr>
            </w:pPr>
          </w:p>
        </w:tc>
        <w:tc>
          <w:tcPr>
            <w:tcW w:w="217" w:type="dxa"/>
          </w:tcPr>
          <w:p w14:paraId="1BAE86DF" w14:textId="77777777" w:rsidR="002C0FD9" w:rsidRPr="00CA25CF" w:rsidRDefault="002C0FD9" w:rsidP="00CA25CF">
            <w:pPr>
              <w:rPr>
                <w:rFonts w:cs="Arial"/>
                <w:color w:val="FF0000"/>
                <w:sz w:val="21"/>
                <w:szCs w:val="21"/>
              </w:rPr>
            </w:pPr>
          </w:p>
        </w:tc>
        <w:tc>
          <w:tcPr>
            <w:tcW w:w="217" w:type="dxa"/>
          </w:tcPr>
          <w:p w14:paraId="1178D854" w14:textId="77777777" w:rsidR="002C0FD9" w:rsidRPr="00CA25CF" w:rsidRDefault="002C0FD9" w:rsidP="00CA25CF">
            <w:pPr>
              <w:rPr>
                <w:rFonts w:cs="Arial"/>
                <w:color w:val="FF0000"/>
                <w:sz w:val="21"/>
                <w:szCs w:val="21"/>
              </w:rPr>
            </w:pPr>
          </w:p>
        </w:tc>
        <w:tc>
          <w:tcPr>
            <w:tcW w:w="217" w:type="dxa"/>
          </w:tcPr>
          <w:p w14:paraId="640FD4A6" w14:textId="77777777" w:rsidR="002C0FD9" w:rsidRPr="00CA25CF" w:rsidRDefault="002C0FD9" w:rsidP="00CA25CF">
            <w:pPr>
              <w:rPr>
                <w:rFonts w:cs="Arial"/>
                <w:color w:val="FF0000"/>
                <w:sz w:val="21"/>
                <w:szCs w:val="21"/>
              </w:rPr>
            </w:pPr>
          </w:p>
        </w:tc>
        <w:tc>
          <w:tcPr>
            <w:tcW w:w="217" w:type="dxa"/>
          </w:tcPr>
          <w:p w14:paraId="4E5DBEBE" w14:textId="77777777" w:rsidR="002C0FD9" w:rsidRPr="00CA25CF" w:rsidRDefault="002C0FD9" w:rsidP="00CA25CF">
            <w:pPr>
              <w:rPr>
                <w:rFonts w:cs="Arial"/>
                <w:color w:val="FF0000"/>
                <w:sz w:val="21"/>
                <w:szCs w:val="21"/>
              </w:rPr>
            </w:pPr>
          </w:p>
        </w:tc>
        <w:tc>
          <w:tcPr>
            <w:tcW w:w="217" w:type="dxa"/>
          </w:tcPr>
          <w:p w14:paraId="681F0BBE" w14:textId="5BB9141F" w:rsidR="002C0FD9" w:rsidRPr="00CA25CF" w:rsidRDefault="002C0FD9" w:rsidP="00CA25CF">
            <w:pPr>
              <w:rPr>
                <w:rFonts w:cs="Arial"/>
                <w:color w:val="FF0000"/>
                <w:sz w:val="21"/>
                <w:szCs w:val="21"/>
              </w:rPr>
            </w:pPr>
          </w:p>
        </w:tc>
        <w:tc>
          <w:tcPr>
            <w:tcW w:w="217" w:type="dxa"/>
          </w:tcPr>
          <w:p w14:paraId="0A127442" w14:textId="77777777" w:rsidR="002C0FD9" w:rsidRPr="00CA25CF" w:rsidRDefault="002C0FD9" w:rsidP="00CA25CF">
            <w:pPr>
              <w:rPr>
                <w:rFonts w:cs="Arial"/>
                <w:color w:val="FF0000"/>
                <w:sz w:val="21"/>
                <w:szCs w:val="21"/>
              </w:rPr>
            </w:pPr>
          </w:p>
        </w:tc>
        <w:tc>
          <w:tcPr>
            <w:tcW w:w="217" w:type="dxa"/>
          </w:tcPr>
          <w:p w14:paraId="0102C19A" w14:textId="77777777" w:rsidR="002C0FD9" w:rsidRPr="00CA25CF" w:rsidRDefault="002C0FD9" w:rsidP="00CA25CF">
            <w:pPr>
              <w:rPr>
                <w:rFonts w:cs="Arial"/>
                <w:color w:val="FF0000"/>
                <w:sz w:val="21"/>
                <w:szCs w:val="21"/>
              </w:rPr>
            </w:pPr>
          </w:p>
        </w:tc>
        <w:tc>
          <w:tcPr>
            <w:tcW w:w="217" w:type="dxa"/>
          </w:tcPr>
          <w:p w14:paraId="61C9D835" w14:textId="77777777" w:rsidR="002C0FD9" w:rsidRPr="00CA25CF" w:rsidRDefault="002C0FD9" w:rsidP="00CA25CF">
            <w:pPr>
              <w:rPr>
                <w:rFonts w:cs="Arial"/>
                <w:color w:val="FF0000"/>
                <w:sz w:val="21"/>
                <w:szCs w:val="21"/>
              </w:rPr>
            </w:pPr>
          </w:p>
        </w:tc>
        <w:tc>
          <w:tcPr>
            <w:tcW w:w="217" w:type="dxa"/>
          </w:tcPr>
          <w:p w14:paraId="177849FE" w14:textId="77777777" w:rsidR="002C0FD9" w:rsidRPr="00CA25CF" w:rsidRDefault="002C0FD9" w:rsidP="00CA25CF">
            <w:pPr>
              <w:rPr>
                <w:rFonts w:cs="Arial"/>
                <w:color w:val="FF0000"/>
                <w:sz w:val="21"/>
                <w:szCs w:val="21"/>
              </w:rPr>
            </w:pPr>
          </w:p>
        </w:tc>
        <w:tc>
          <w:tcPr>
            <w:tcW w:w="217" w:type="dxa"/>
          </w:tcPr>
          <w:p w14:paraId="7CBB40F4" w14:textId="77777777" w:rsidR="002C0FD9" w:rsidRPr="00CA25CF" w:rsidRDefault="002C0FD9" w:rsidP="00CA25CF">
            <w:pPr>
              <w:rPr>
                <w:rFonts w:cs="Arial"/>
                <w:color w:val="FF0000"/>
                <w:sz w:val="21"/>
                <w:szCs w:val="21"/>
              </w:rPr>
            </w:pPr>
          </w:p>
        </w:tc>
        <w:tc>
          <w:tcPr>
            <w:tcW w:w="217" w:type="dxa"/>
          </w:tcPr>
          <w:p w14:paraId="36B7CCDF" w14:textId="77777777" w:rsidR="002C0FD9" w:rsidRPr="00CA25CF" w:rsidRDefault="002C0FD9" w:rsidP="00CA25CF">
            <w:pPr>
              <w:rPr>
                <w:rFonts w:cs="Arial"/>
                <w:color w:val="FF0000"/>
                <w:sz w:val="21"/>
                <w:szCs w:val="21"/>
              </w:rPr>
            </w:pPr>
          </w:p>
        </w:tc>
        <w:tc>
          <w:tcPr>
            <w:tcW w:w="217" w:type="dxa"/>
          </w:tcPr>
          <w:p w14:paraId="1DE99DD8" w14:textId="77777777" w:rsidR="002C0FD9" w:rsidRPr="00CA25CF" w:rsidRDefault="002C0FD9" w:rsidP="00CA25CF">
            <w:pPr>
              <w:rPr>
                <w:rFonts w:cs="Arial"/>
                <w:color w:val="FF0000"/>
                <w:sz w:val="21"/>
                <w:szCs w:val="21"/>
              </w:rPr>
            </w:pPr>
          </w:p>
        </w:tc>
        <w:tc>
          <w:tcPr>
            <w:tcW w:w="217" w:type="dxa"/>
          </w:tcPr>
          <w:p w14:paraId="26591D58" w14:textId="77777777" w:rsidR="002C0FD9" w:rsidRPr="00CA25CF" w:rsidRDefault="002C0FD9" w:rsidP="00CA25CF">
            <w:pPr>
              <w:rPr>
                <w:rFonts w:cs="Arial"/>
                <w:color w:val="FF0000"/>
                <w:sz w:val="21"/>
                <w:szCs w:val="21"/>
              </w:rPr>
            </w:pPr>
          </w:p>
        </w:tc>
        <w:tc>
          <w:tcPr>
            <w:tcW w:w="217" w:type="dxa"/>
          </w:tcPr>
          <w:p w14:paraId="43C78373" w14:textId="77777777" w:rsidR="002C0FD9" w:rsidRPr="00CA25CF" w:rsidRDefault="002C0FD9" w:rsidP="00CA25CF">
            <w:pPr>
              <w:rPr>
                <w:rFonts w:cs="Arial"/>
                <w:color w:val="FF0000"/>
                <w:sz w:val="21"/>
                <w:szCs w:val="21"/>
              </w:rPr>
            </w:pPr>
          </w:p>
        </w:tc>
        <w:tc>
          <w:tcPr>
            <w:tcW w:w="217" w:type="dxa"/>
          </w:tcPr>
          <w:p w14:paraId="580A9B62" w14:textId="77777777" w:rsidR="002C0FD9" w:rsidRPr="00CA25CF" w:rsidRDefault="002C0FD9" w:rsidP="00CA25CF">
            <w:pPr>
              <w:rPr>
                <w:rFonts w:cs="Arial"/>
                <w:color w:val="FF0000"/>
                <w:sz w:val="21"/>
                <w:szCs w:val="21"/>
              </w:rPr>
            </w:pPr>
          </w:p>
        </w:tc>
        <w:tc>
          <w:tcPr>
            <w:tcW w:w="217" w:type="dxa"/>
          </w:tcPr>
          <w:p w14:paraId="29F7D8D1" w14:textId="77777777" w:rsidR="002C0FD9" w:rsidRPr="00CA25CF" w:rsidRDefault="002C0FD9" w:rsidP="00CA25CF">
            <w:pPr>
              <w:rPr>
                <w:rFonts w:cs="Arial"/>
                <w:color w:val="FF0000"/>
                <w:sz w:val="21"/>
                <w:szCs w:val="21"/>
              </w:rPr>
            </w:pPr>
          </w:p>
        </w:tc>
        <w:tc>
          <w:tcPr>
            <w:tcW w:w="217" w:type="dxa"/>
          </w:tcPr>
          <w:p w14:paraId="24459814" w14:textId="77777777" w:rsidR="002C0FD9" w:rsidRPr="00CA25CF" w:rsidRDefault="002C0FD9" w:rsidP="00CA25CF">
            <w:pPr>
              <w:rPr>
                <w:rFonts w:cs="Arial"/>
                <w:color w:val="FF0000"/>
                <w:sz w:val="21"/>
                <w:szCs w:val="21"/>
              </w:rPr>
            </w:pPr>
          </w:p>
        </w:tc>
        <w:tc>
          <w:tcPr>
            <w:tcW w:w="217" w:type="dxa"/>
          </w:tcPr>
          <w:p w14:paraId="1CE7FC0D" w14:textId="77777777" w:rsidR="002C0FD9" w:rsidRPr="00CA25CF" w:rsidRDefault="002C0FD9" w:rsidP="00CA25CF">
            <w:pPr>
              <w:rPr>
                <w:rFonts w:cs="Arial"/>
                <w:color w:val="FF0000"/>
                <w:sz w:val="21"/>
                <w:szCs w:val="21"/>
              </w:rPr>
            </w:pPr>
          </w:p>
        </w:tc>
        <w:tc>
          <w:tcPr>
            <w:tcW w:w="217" w:type="dxa"/>
          </w:tcPr>
          <w:p w14:paraId="0ABD4ED3" w14:textId="77777777" w:rsidR="002C0FD9" w:rsidRPr="00CA25CF" w:rsidRDefault="002C0FD9" w:rsidP="00CA25CF">
            <w:pPr>
              <w:rPr>
                <w:rFonts w:cs="Arial"/>
                <w:color w:val="FF0000"/>
                <w:sz w:val="21"/>
                <w:szCs w:val="21"/>
              </w:rPr>
            </w:pPr>
          </w:p>
        </w:tc>
        <w:tc>
          <w:tcPr>
            <w:tcW w:w="217" w:type="dxa"/>
          </w:tcPr>
          <w:p w14:paraId="1B85AECD" w14:textId="77777777" w:rsidR="002C0FD9" w:rsidRPr="00CA25CF" w:rsidRDefault="002C0FD9" w:rsidP="00CA25CF">
            <w:pPr>
              <w:rPr>
                <w:rFonts w:cs="Arial"/>
                <w:color w:val="FF0000"/>
                <w:sz w:val="21"/>
                <w:szCs w:val="21"/>
              </w:rPr>
            </w:pPr>
          </w:p>
        </w:tc>
        <w:tc>
          <w:tcPr>
            <w:tcW w:w="217" w:type="dxa"/>
          </w:tcPr>
          <w:p w14:paraId="728FA026" w14:textId="77777777" w:rsidR="002C0FD9" w:rsidRPr="00CA25CF" w:rsidRDefault="002C0FD9" w:rsidP="00CA25CF">
            <w:pPr>
              <w:rPr>
                <w:rFonts w:cs="Arial"/>
                <w:color w:val="FF0000"/>
                <w:sz w:val="21"/>
                <w:szCs w:val="21"/>
              </w:rPr>
            </w:pPr>
          </w:p>
        </w:tc>
        <w:tc>
          <w:tcPr>
            <w:tcW w:w="217" w:type="dxa"/>
          </w:tcPr>
          <w:p w14:paraId="0AFFBC0E" w14:textId="77777777" w:rsidR="002C0FD9" w:rsidRPr="00CA25CF" w:rsidRDefault="002C0FD9" w:rsidP="00CA25CF">
            <w:pPr>
              <w:rPr>
                <w:rFonts w:cs="Arial"/>
                <w:color w:val="FF0000"/>
                <w:sz w:val="21"/>
                <w:szCs w:val="21"/>
              </w:rPr>
            </w:pPr>
          </w:p>
        </w:tc>
        <w:tc>
          <w:tcPr>
            <w:tcW w:w="217" w:type="dxa"/>
          </w:tcPr>
          <w:p w14:paraId="0FDE2E4B" w14:textId="77777777" w:rsidR="002C0FD9" w:rsidRPr="00CA25CF" w:rsidRDefault="002C0FD9" w:rsidP="00CA25CF">
            <w:pPr>
              <w:rPr>
                <w:rFonts w:cs="Arial"/>
                <w:color w:val="FF0000"/>
                <w:sz w:val="21"/>
                <w:szCs w:val="21"/>
              </w:rPr>
            </w:pPr>
          </w:p>
        </w:tc>
        <w:tc>
          <w:tcPr>
            <w:tcW w:w="217" w:type="dxa"/>
          </w:tcPr>
          <w:p w14:paraId="59A2B87B" w14:textId="77777777" w:rsidR="002C0FD9" w:rsidRPr="00CA25CF" w:rsidRDefault="002C0FD9" w:rsidP="00CA25CF">
            <w:pPr>
              <w:rPr>
                <w:rFonts w:cs="Arial"/>
                <w:color w:val="FF0000"/>
                <w:sz w:val="21"/>
                <w:szCs w:val="21"/>
              </w:rPr>
            </w:pPr>
          </w:p>
        </w:tc>
        <w:tc>
          <w:tcPr>
            <w:tcW w:w="217" w:type="dxa"/>
          </w:tcPr>
          <w:p w14:paraId="528C1A3A" w14:textId="77777777" w:rsidR="002C0FD9" w:rsidRPr="00CA25CF" w:rsidRDefault="002C0FD9" w:rsidP="00CA25CF">
            <w:pPr>
              <w:rPr>
                <w:rFonts w:cs="Arial"/>
                <w:color w:val="FF0000"/>
                <w:sz w:val="21"/>
                <w:szCs w:val="21"/>
              </w:rPr>
            </w:pPr>
          </w:p>
        </w:tc>
        <w:tc>
          <w:tcPr>
            <w:tcW w:w="217" w:type="dxa"/>
          </w:tcPr>
          <w:p w14:paraId="63D71137" w14:textId="77777777" w:rsidR="002C0FD9" w:rsidRPr="00CA25CF" w:rsidRDefault="002C0FD9" w:rsidP="00CA25CF">
            <w:pPr>
              <w:rPr>
                <w:rFonts w:cs="Arial"/>
                <w:color w:val="FF0000"/>
                <w:sz w:val="21"/>
                <w:szCs w:val="21"/>
              </w:rPr>
            </w:pPr>
          </w:p>
        </w:tc>
        <w:tc>
          <w:tcPr>
            <w:tcW w:w="217" w:type="dxa"/>
          </w:tcPr>
          <w:p w14:paraId="4CBC4545" w14:textId="77777777" w:rsidR="002C0FD9" w:rsidRPr="00CA25CF" w:rsidRDefault="002C0FD9" w:rsidP="00CA25CF">
            <w:pPr>
              <w:rPr>
                <w:rFonts w:cs="Arial"/>
                <w:color w:val="FF0000"/>
                <w:sz w:val="21"/>
                <w:szCs w:val="21"/>
              </w:rPr>
            </w:pPr>
          </w:p>
        </w:tc>
        <w:tc>
          <w:tcPr>
            <w:tcW w:w="217" w:type="dxa"/>
          </w:tcPr>
          <w:p w14:paraId="6DBA3D2F" w14:textId="77777777" w:rsidR="002C0FD9" w:rsidRPr="00CA25CF" w:rsidRDefault="002C0FD9" w:rsidP="00CA25CF">
            <w:pPr>
              <w:rPr>
                <w:rFonts w:cs="Arial"/>
                <w:color w:val="FF0000"/>
                <w:sz w:val="21"/>
                <w:szCs w:val="21"/>
              </w:rPr>
            </w:pPr>
          </w:p>
        </w:tc>
        <w:tc>
          <w:tcPr>
            <w:tcW w:w="217" w:type="dxa"/>
          </w:tcPr>
          <w:p w14:paraId="1CCA1B1A" w14:textId="77777777" w:rsidR="002C0FD9" w:rsidRPr="00CA25CF" w:rsidRDefault="002C0FD9" w:rsidP="00CA25CF">
            <w:pPr>
              <w:rPr>
                <w:rFonts w:cs="Arial"/>
                <w:color w:val="FF0000"/>
                <w:sz w:val="21"/>
                <w:szCs w:val="21"/>
              </w:rPr>
            </w:pPr>
          </w:p>
        </w:tc>
        <w:tc>
          <w:tcPr>
            <w:tcW w:w="217" w:type="dxa"/>
          </w:tcPr>
          <w:p w14:paraId="107E84FF" w14:textId="77777777" w:rsidR="002C0FD9" w:rsidRPr="00CA25CF" w:rsidRDefault="002C0FD9" w:rsidP="00CA25CF">
            <w:pPr>
              <w:rPr>
                <w:rFonts w:cs="Arial"/>
                <w:color w:val="FF0000"/>
                <w:sz w:val="21"/>
                <w:szCs w:val="21"/>
              </w:rPr>
            </w:pPr>
          </w:p>
        </w:tc>
        <w:tc>
          <w:tcPr>
            <w:tcW w:w="217" w:type="dxa"/>
          </w:tcPr>
          <w:p w14:paraId="60C0E83A" w14:textId="77777777" w:rsidR="002C0FD9" w:rsidRPr="00CA25CF" w:rsidRDefault="002C0FD9" w:rsidP="00CA25CF">
            <w:pPr>
              <w:rPr>
                <w:rFonts w:cs="Arial"/>
                <w:color w:val="FF0000"/>
                <w:sz w:val="21"/>
                <w:szCs w:val="21"/>
              </w:rPr>
            </w:pPr>
          </w:p>
        </w:tc>
        <w:tc>
          <w:tcPr>
            <w:tcW w:w="217" w:type="dxa"/>
          </w:tcPr>
          <w:p w14:paraId="6399DEBF" w14:textId="77777777" w:rsidR="002C0FD9" w:rsidRPr="00CA25CF" w:rsidRDefault="002C0FD9" w:rsidP="00CA25CF">
            <w:pPr>
              <w:rPr>
                <w:rFonts w:cs="Arial"/>
                <w:color w:val="FF0000"/>
                <w:sz w:val="21"/>
                <w:szCs w:val="21"/>
              </w:rPr>
            </w:pPr>
          </w:p>
        </w:tc>
      </w:tr>
      <w:tr w:rsidR="002C0FD9" w:rsidRPr="00A16219" w14:paraId="797D6896" w14:textId="4018E230" w:rsidTr="002C0FD9">
        <w:trPr>
          <w:trHeight w:val="635"/>
        </w:trPr>
        <w:tc>
          <w:tcPr>
            <w:tcW w:w="515" w:type="dxa"/>
          </w:tcPr>
          <w:p w14:paraId="141C6196" w14:textId="77777777" w:rsidR="002C0FD9" w:rsidRPr="00CA25CF" w:rsidRDefault="002C0FD9" w:rsidP="00CA25CF">
            <w:pPr>
              <w:rPr>
                <w:rFonts w:cs="Arial"/>
                <w:color w:val="FF0000"/>
                <w:sz w:val="21"/>
                <w:szCs w:val="21"/>
              </w:rPr>
            </w:pPr>
          </w:p>
        </w:tc>
        <w:tc>
          <w:tcPr>
            <w:tcW w:w="217" w:type="dxa"/>
          </w:tcPr>
          <w:p w14:paraId="7FF7C286" w14:textId="77777777" w:rsidR="002C0FD9" w:rsidRPr="00CA25CF" w:rsidRDefault="002C0FD9" w:rsidP="00CA25CF">
            <w:pPr>
              <w:rPr>
                <w:rFonts w:cs="Arial"/>
                <w:color w:val="FF0000"/>
                <w:sz w:val="21"/>
                <w:szCs w:val="21"/>
              </w:rPr>
            </w:pPr>
          </w:p>
        </w:tc>
        <w:tc>
          <w:tcPr>
            <w:tcW w:w="217" w:type="dxa"/>
          </w:tcPr>
          <w:p w14:paraId="1FD86307" w14:textId="39E0CBD0" w:rsidR="002C0FD9" w:rsidRPr="00CA25CF" w:rsidRDefault="002C0FD9" w:rsidP="00CA25CF">
            <w:pPr>
              <w:rPr>
                <w:rFonts w:cs="Arial"/>
                <w:color w:val="FF0000"/>
                <w:sz w:val="21"/>
                <w:szCs w:val="21"/>
              </w:rPr>
            </w:pPr>
          </w:p>
        </w:tc>
        <w:tc>
          <w:tcPr>
            <w:tcW w:w="217" w:type="dxa"/>
          </w:tcPr>
          <w:p w14:paraId="716157FC" w14:textId="77777777" w:rsidR="002C0FD9" w:rsidRPr="00CA25CF" w:rsidRDefault="002C0FD9" w:rsidP="00CA25CF">
            <w:pPr>
              <w:rPr>
                <w:rFonts w:cs="Arial"/>
                <w:color w:val="FF0000"/>
                <w:sz w:val="21"/>
                <w:szCs w:val="21"/>
              </w:rPr>
            </w:pPr>
          </w:p>
        </w:tc>
        <w:tc>
          <w:tcPr>
            <w:tcW w:w="217" w:type="dxa"/>
          </w:tcPr>
          <w:p w14:paraId="4B5BCB79" w14:textId="5D752034" w:rsidR="002C0FD9" w:rsidRPr="00CA25CF" w:rsidRDefault="002C0FD9" w:rsidP="00CA25CF">
            <w:pPr>
              <w:rPr>
                <w:rFonts w:cs="Arial"/>
                <w:color w:val="FF0000"/>
                <w:sz w:val="21"/>
                <w:szCs w:val="21"/>
              </w:rPr>
            </w:pPr>
          </w:p>
        </w:tc>
        <w:tc>
          <w:tcPr>
            <w:tcW w:w="217" w:type="dxa"/>
          </w:tcPr>
          <w:p w14:paraId="1B99C92F" w14:textId="77777777" w:rsidR="002C0FD9" w:rsidRPr="00CA25CF" w:rsidRDefault="002C0FD9" w:rsidP="00CA25CF">
            <w:pPr>
              <w:rPr>
                <w:rFonts w:cs="Arial"/>
                <w:color w:val="FF0000"/>
                <w:sz w:val="21"/>
                <w:szCs w:val="21"/>
              </w:rPr>
            </w:pPr>
          </w:p>
        </w:tc>
        <w:tc>
          <w:tcPr>
            <w:tcW w:w="217" w:type="dxa"/>
          </w:tcPr>
          <w:p w14:paraId="75C7DCF3" w14:textId="77777777" w:rsidR="002C0FD9" w:rsidRPr="00CA25CF" w:rsidRDefault="002C0FD9" w:rsidP="00CA25CF">
            <w:pPr>
              <w:rPr>
                <w:rFonts w:cs="Arial"/>
                <w:color w:val="FF0000"/>
                <w:sz w:val="21"/>
                <w:szCs w:val="21"/>
              </w:rPr>
            </w:pPr>
          </w:p>
        </w:tc>
        <w:tc>
          <w:tcPr>
            <w:tcW w:w="217" w:type="dxa"/>
          </w:tcPr>
          <w:p w14:paraId="0F743E0E" w14:textId="77777777" w:rsidR="002C0FD9" w:rsidRPr="00CA25CF" w:rsidRDefault="002C0FD9" w:rsidP="00CA25CF">
            <w:pPr>
              <w:rPr>
                <w:rFonts w:cs="Arial"/>
                <w:color w:val="FF0000"/>
                <w:sz w:val="21"/>
                <w:szCs w:val="21"/>
              </w:rPr>
            </w:pPr>
          </w:p>
        </w:tc>
        <w:tc>
          <w:tcPr>
            <w:tcW w:w="217" w:type="dxa"/>
          </w:tcPr>
          <w:p w14:paraId="568708BA" w14:textId="77777777" w:rsidR="002C0FD9" w:rsidRPr="00CA25CF" w:rsidRDefault="002C0FD9" w:rsidP="00CA25CF">
            <w:pPr>
              <w:rPr>
                <w:rFonts w:cs="Arial"/>
                <w:color w:val="FF0000"/>
                <w:sz w:val="21"/>
                <w:szCs w:val="21"/>
              </w:rPr>
            </w:pPr>
          </w:p>
        </w:tc>
        <w:tc>
          <w:tcPr>
            <w:tcW w:w="217" w:type="dxa"/>
          </w:tcPr>
          <w:p w14:paraId="1566AA67" w14:textId="77777777" w:rsidR="002C0FD9" w:rsidRPr="00CA25CF" w:rsidRDefault="002C0FD9" w:rsidP="00CA25CF">
            <w:pPr>
              <w:rPr>
                <w:rFonts w:cs="Arial"/>
                <w:color w:val="FF0000"/>
                <w:sz w:val="21"/>
                <w:szCs w:val="21"/>
              </w:rPr>
            </w:pPr>
          </w:p>
        </w:tc>
        <w:tc>
          <w:tcPr>
            <w:tcW w:w="217" w:type="dxa"/>
          </w:tcPr>
          <w:p w14:paraId="1EA3FB4D" w14:textId="77777777" w:rsidR="002C0FD9" w:rsidRPr="00CA25CF" w:rsidRDefault="002C0FD9" w:rsidP="00CA25CF">
            <w:pPr>
              <w:rPr>
                <w:rFonts w:cs="Arial"/>
                <w:color w:val="FF0000"/>
                <w:sz w:val="21"/>
                <w:szCs w:val="21"/>
              </w:rPr>
            </w:pPr>
          </w:p>
        </w:tc>
        <w:tc>
          <w:tcPr>
            <w:tcW w:w="217" w:type="dxa"/>
          </w:tcPr>
          <w:p w14:paraId="13EC7033" w14:textId="77777777" w:rsidR="002C0FD9" w:rsidRPr="00CA25CF" w:rsidRDefault="002C0FD9" w:rsidP="00CA25CF">
            <w:pPr>
              <w:rPr>
                <w:rFonts w:cs="Arial"/>
                <w:color w:val="FF0000"/>
                <w:sz w:val="21"/>
                <w:szCs w:val="21"/>
              </w:rPr>
            </w:pPr>
          </w:p>
        </w:tc>
        <w:tc>
          <w:tcPr>
            <w:tcW w:w="217" w:type="dxa"/>
          </w:tcPr>
          <w:p w14:paraId="709902FB" w14:textId="77777777" w:rsidR="002C0FD9" w:rsidRPr="00CA25CF" w:rsidRDefault="002C0FD9" w:rsidP="00CA25CF">
            <w:pPr>
              <w:rPr>
                <w:rFonts w:cs="Arial"/>
                <w:color w:val="FF0000"/>
                <w:sz w:val="21"/>
                <w:szCs w:val="21"/>
              </w:rPr>
            </w:pPr>
          </w:p>
        </w:tc>
        <w:tc>
          <w:tcPr>
            <w:tcW w:w="217" w:type="dxa"/>
          </w:tcPr>
          <w:p w14:paraId="391448B3" w14:textId="77777777" w:rsidR="002C0FD9" w:rsidRPr="00CA25CF" w:rsidRDefault="002C0FD9" w:rsidP="00CA25CF">
            <w:pPr>
              <w:rPr>
                <w:rFonts w:cs="Arial"/>
                <w:color w:val="FF0000"/>
                <w:sz w:val="21"/>
                <w:szCs w:val="21"/>
              </w:rPr>
            </w:pPr>
          </w:p>
        </w:tc>
        <w:tc>
          <w:tcPr>
            <w:tcW w:w="217" w:type="dxa"/>
          </w:tcPr>
          <w:p w14:paraId="5A35DC0F" w14:textId="77777777" w:rsidR="002C0FD9" w:rsidRPr="00CA25CF" w:rsidRDefault="002C0FD9" w:rsidP="00CA25CF">
            <w:pPr>
              <w:rPr>
                <w:rFonts w:cs="Arial"/>
                <w:color w:val="FF0000"/>
                <w:sz w:val="21"/>
                <w:szCs w:val="21"/>
              </w:rPr>
            </w:pPr>
          </w:p>
        </w:tc>
        <w:tc>
          <w:tcPr>
            <w:tcW w:w="217" w:type="dxa"/>
          </w:tcPr>
          <w:p w14:paraId="2920207D" w14:textId="29705C06" w:rsidR="002C0FD9" w:rsidRPr="00CA25CF" w:rsidRDefault="002C0FD9" w:rsidP="00CA25CF">
            <w:pPr>
              <w:rPr>
                <w:rFonts w:cs="Arial"/>
                <w:color w:val="FF0000"/>
                <w:sz w:val="21"/>
                <w:szCs w:val="21"/>
              </w:rPr>
            </w:pPr>
          </w:p>
        </w:tc>
        <w:tc>
          <w:tcPr>
            <w:tcW w:w="217" w:type="dxa"/>
          </w:tcPr>
          <w:p w14:paraId="508B12EE" w14:textId="77777777" w:rsidR="002C0FD9" w:rsidRPr="00CA25CF" w:rsidRDefault="002C0FD9" w:rsidP="00CA25CF">
            <w:pPr>
              <w:rPr>
                <w:rFonts w:cs="Arial"/>
                <w:color w:val="FF0000"/>
                <w:sz w:val="21"/>
                <w:szCs w:val="21"/>
              </w:rPr>
            </w:pPr>
          </w:p>
        </w:tc>
        <w:tc>
          <w:tcPr>
            <w:tcW w:w="217" w:type="dxa"/>
          </w:tcPr>
          <w:p w14:paraId="02622528" w14:textId="77777777" w:rsidR="002C0FD9" w:rsidRPr="00CA25CF" w:rsidRDefault="002C0FD9" w:rsidP="00CA25CF">
            <w:pPr>
              <w:rPr>
                <w:rFonts w:cs="Arial"/>
                <w:color w:val="FF0000"/>
                <w:sz w:val="21"/>
                <w:szCs w:val="21"/>
              </w:rPr>
            </w:pPr>
          </w:p>
        </w:tc>
        <w:tc>
          <w:tcPr>
            <w:tcW w:w="217" w:type="dxa"/>
          </w:tcPr>
          <w:p w14:paraId="0A382A34" w14:textId="77777777" w:rsidR="002C0FD9" w:rsidRPr="00CA25CF" w:rsidRDefault="002C0FD9" w:rsidP="00CA25CF">
            <w:pPr>
              <w:rPr>
                <w:rFonts w:cs="Arial"/>
                <w:color w:val="FF0000"/>
                <w:sz w:val="21"/>
                <w:szCs w:val="21"/>
              </w:rPr>
            </w:pPr>
          </w:p>
        </w:tc>
        <w:tc>
          <w:tcPr>
            <w:tcW w:w="217" w:type="dxa"/>
          </w:tcPr>
          <w:p w14:paraId="27B7C8FD" w14:textId="77777777" w:rsidR="002C0FD9" w:rsidRPr="00CA25CF" w:rsidRDefault="002C0FD9" w:rsidP="00CA25CF">
            <w:pPr>
              <w:rPr>
                <w:rFonts w:cs="Arial"/>
                <w:color w:val="FF0000"/>
                <w:sz w:val="21"/>
                <w:szCs w:val="21"/>
              </w:rPr>
            </w:pPr>
          </w:p>
        </w:tc>
        <w:tc>
          <w:tcPr>
            <w:tcW w:w="217" w:type="dxa"/>
          </w:tcPr>
          <w:p w14:paraId="50A64FF1" w14:textId="77777777" w:rsidR="002C0FD9" w:rsidRPr="00CA25CF" w:rsidRDefault="002C0FD9" w:rsidP="00CA25CF">
            <w:pPr>
              <w:rPr>
                <w:rFonts w:cs="Arial"/>
                <w:color w:val="FF0000"/>
                <w:sz w:val="21"/>
                <w:szCs w:val="21"/>
              </w:rPr>
            </w:pPr>
          </w:p>
        </w:tc>
        <w:tc>
          <w:tcPr>
            <w:tcW w:w="217" w:type="dxa"/>
          </w:tcPr>
          <w:p w14:paraId="1755AA6E" w14:textId="77777777" w:rsidR="002C0FD9" w:rsidRPr="00CA25CF" w:rsidRDefault="002C0FD9" w:rsidP="00CA25CF">
            <w:pPr>
              <w:rPr>
                <w:rFonts w:cs="Arial"/>
                <w:color w:val="FF0000"/>
                <w:sz w:val="21"/>
                <w:szCs w:val="21"/>
              </w:rPr>
            </w:pPr>
          </w:p>
        </w:tc>
        <w:tc>
          <w:tcPr>
            <w:tcW w:w="217" w:type="dxa"/>
          </w:tcPr>
          <w:p w14:paraId="15AA2A3A" w14:textId="77777777" w:rsidR="002C0FD9" w:rsidRPr="00CA25CF" w:rsidRDefault="002C0FD9" w:rsidP="00CA25CF">
            <w:pPr>
              <w:rPr>
                <w:rFonts w:cs="Arial"/>
                <w:color w:val="FF0000"/>
                <w:sz w:val="21"/>
                <w:szCs w:val="21"/>
              </w:rPr>
            </w:pPr>
          </w:p>
        </w:tc>
        <w:tc>
          <w:tcPr>
            <w:tcW w:w="217" w:type="dxa"/>
          </w:tcPr>
          <w:p w14:paraId="3C229DEE" w14:textId="77777777" w:rsidR="002C0FD9" w:rsidRPr="00CA25CF" w:rsidRDefault="002C0FD9" w:rsidP="00CA25CF">
            <w:pPr>
              <w:rPr>
                <w:rFonts w:cs="Arial"/>
                <w:color w:val="FF0000"/>
                <w:sz w:val="21"/>
                <w:szCs w:val="21"/>
              </w:rPr>
            </w:pPr>
          </w:p>
        </w:tc>
        <w:tc>
          <w:tcPr>
            <w:tcW w:w="217" w:type="dxa"/>
          </w:tcPr>
          <w:p w14:paraId="17118968" w14:textId="77777777" w:rsidR="002C0FD9" w:rsidRPr="00CA25CF" w:rsidRDefault="002C0FD9" w:rsidP="00CA25CF">
            <w:pPr>
              <w:rPr>
                <w:rFonts w:cs="Arial"/>
                <w:color w:val="FF0000"/>
                <w:sz w:val="21"/>
                <w:szCs w:val="21"/>
              </w:rPr>
            </w:pPr>
          </w:p>
        </w:tc>
        <w:tc>
          <w:tcPr>
            <w:tcW w:w="217" w:type="dxa"/>
          </w:tcPr>
          <w:p w14:paraId="16D11B5F" w14:textId="77777777" w:rsidR="002C0FD9" w:rsidRPr="00CA25CF" w:rsidRDefault="002C0FD9" w:rsidP="00CA25CF">
            <w:pPr>
              <w:rPr>
                <w:rFonts w:cs="Arial"/>
                <w:color w:val="FF0000"/>
                <w:sz w:val="21"/>
                <w:szCs w:val="21"/>
              </w:rPr>
            </w:pPr>
          </w:p>
        </w:tc>
        <w:tc>
          <w:tcPr>
            <w:tcW w:w="217" w:type="dxa"/>
          </w:tcPr>
          <w:p w14:paraId="6F13D504" w14:textId="77777777" w:rsidR="002C0FD9" w:rsidRPr="00CA25CF" w:rsidRDefault="002C0FD9" w:rsidP="00CA25CF">
            <w:pPr>
              <w:rPr>
                <w:rFonts w:cs="Arial"/>
                <w:color w:val="FF0000"/>
                <w:sz w:val="21"/>
                <w:szCs w:val="21"/>
              </w:rPr>
            </w:pPr>
          </w:p>
        </w:tc>
        <w:tc>
          <w:tcPr>
            <w:tcW w:w="217" w:type="dxa"/>
          </w:tcPr>
          <w:p w14:paraId="66DFDB8F" w14:textId="77777777" w:rsidR="002C0FD9" w:rsidRPr="00CA25CF" w:rsidRDefault="002C0FD9" w:rsidP="00CA25CF">
            <w:pPr>
              <w:rPr>
                <w:rFonts w:cs="Arial"/>
                <w:color w:val="FF0000"/>
                <w:sz w:val="21"/>
                <w:szCs w:val="21"/>
              </w:rPr>
            </w:pPr>
          </w:p>
        </w:tc>
        <w:tc>
          <w:tcPr>
            <w:tcW w:w="217" w:type="dxa"/>
          </w:tcPr>
          <w:p w14:paraId="34F6E660" w14:textId="77777777" w:rsidR="002C0FD9" w:rsidRPr="00CA25CF" w:rsidRDefault="002C0FD9" w:rsidP="00CA25CF">
            <w:pPr>
              <w:rPr>
                <w:rFonts w:cs="Arial"/>
                <w:color w:val="FF0000"/>
                <w:sz w:val="21"/>
                <w:szCs w:val="21"/>
              </w:rPr>
            </w:pPr>
          </w:p>
        </w:tc>
        <w:tc>
          <w:tcPr>
            <w:tcW w:w="217" w:type="dxa"/>
          </w:tcPr>
          <w:p w14:paraId="7EF0BA27" w14:textId="77777777" w:rsidR="002C0FD9" w:rsidRPr="00CA25CF" w:rsidRDefault="002C0FD9" w:rsidP="00CA25CF">
            <w:pPr>
              <w:rPr>
                <w:rFonts w:cs="Arial"/>
                <w:color w:val="FF0000"/>
                <w:sz w:val="21"/>
                <w:szCs w:val="21"/>
              </w:rPr>
            </w:pPr>
          </w:p>
        </w:tc>
        <w:tc>
          <w:tcPr>
            <w:tcW w:w="217" w:type="dxa"/>
          </w:tcPr>
          <w:p w14:paraId="74225CBB" w14:textId="77777777" w:rsidR="002C0FD9" w:rsidRPr="00CA25CF" w:rsidRDefault="002C0FD9" w:rsidP="00CA25CF">
            <w:pPr>
              <w:rPr>
                <w:rFonts w:cs="Arial"/>
                <w:color w:val="FF0000"/>
                <w:sz w:val="21"/>
                <w:szCs w:val="21"/>
              </w:rPr>
            </w:pPr>
          </w:p>
        </w:tc>
        <w:tc>
          <w:tcPr>
            <w:tcW w:w="217" w:type="dxa"/>
          </w:tcPr>
          <w:p w14:paraId="654C67CB" w14:textId="77777777" w:rsidR="002C0FD9" w:rsidRPr="00CA25CF" w:rsidRDefault="002C0FD9" w:rsidP="00CA25CF">
            <w:pPr>
              <w:rPr>
                <w:rFonts w:cs="Arial"/>
                <w:color w:val="FF0000"/>
                <w:sz w:val="21"/>
                <w:szCs w:val="21"/>
              </w:rPr>
            </w:pPr>
          </w:p>
        </w:tc>
        <w:tc>
          <w:tcPr>
            <w:tcW w:w="217" w:type="dxa"/>
          </w:tcPr>
          <w:p w14:paraId="3F36CC4F" w14:textId="77777777" w:rsidR="002C0FD9" w:rsidRPr="00CA25CF" w:rsidRDefault="002C0FD9" w:rsidP="00CA25CF">
            <w:pPr>
              <w:rPr>
                <w:rFonts w:cs="Arial"/>
                <w:color w:val="FF0000"/>
                <w:sz w:val="21"/>
                <w:szCs w:val="21"/>
              </w:rPr>
            </w:pPr>
          </w:p>
        </w:tc>
        <w:tc>
          <w:tcPr>
            <w:tcW w:w="217" w:type="dxa"/>
          </w:tcPr>
          <w:p w14:paraId="3448CC51" w14:textId="77777777" w:rsidR="002C0FD9" w:rsidRPr="00CA25CF" w:rsidRDefault="002C0FD9" w:rsidP="00CA25CF">
            <w:pPr>
              <w:rPr>
                <w:rFonts w:cs="Arial"/>
                <w:color w:val="FF0000"/>
                <w:sz w:val="21"/>
                <w:szCs w:val="21"/>
              </w:rPr>
            </w:pPr>
          </w:p>
        </w:tc>
        <w:tc>
          <w:tcPr>
            <w:tcW w:w="217" w:type="dxa"/>
          </w:tcPr>
          <w:p w14:paraId="67D2FC31" w14:textId="77777777" w:rsidR="002C0FD9" w:rsidRPr="00CA25CF" w:rsidRDefault="002C0FD9" w:rsidP="00CA25CF">
            <w:pPr>
              <w:rPr>
                <w:rFonts w:cs="Arial"/>
                <w:color w:val="FF0000"/>
                <w:sz w:val="21"/>
                <w:szCs w:val="21"/>
              </w:rPr>
            </w:pPr>
          </w:p>
        </w:tc>
        <w:tc>
          <w:tcPr>
            <w:tcW w:w="217" w:type="dxa"/>
          </w:tcPr>
          <w:p w14:paraId="2421C98E" w14:textId="77777777" w:rsidR="002C0FD9" w:rsidRPr="00CA25CF" w:rsidRDefault="002C0FD9" w:rsidP="00CA25CF">
            <w:pPr>
              <w:rPr>
                <w:rFonts w:cs="Arial"/>
                <w:color w:val="FF0000"/>
                <w:sz w:val="21"/>
                <w:szCs w:val="21"/>
              </w:rPr>
            </w:pPr>
          </w:p>
        </w:tc>
        <w:tc>
          <w:tcPr>
            <w:tcW w:w="217" w:type="dxa"/>
          </w:tcPr>
          <w:p w14:paraId="3F3E19B0" w14:textId="77777777" w:rsidR="002C0FD9" w:rsidRPr="00CA25CF" w:rsidRDefault="002C0FD9" w:rsidP="00CA25CF">
            <w:pPr>
              <w:rPr>
                <w:rFonts w:cs="Arial"/>
                <w:color w:val="FF0000"/>
                <w:sz w:val="21"/>
                <w:szCs w:val="21"/>
              </w:rPr>
            </w:pPr>
          </w:p>
        </w:tc>
        <w:tc>
          <w:tcPr>
            <w:tcW w:w="217" w:type="dxa"/>
          </w:tcPr>
          <w:p w14:paraId="4C6C4B41" w14:textId="77777777" w:rsidR="002C0FD9" w:rsidRPr="00CA25CF" w:rsidRDefault="002C0FD9" w:rsidP="00CA25CF">
            <w:pPr>
              <w:rPr>
                <w:rFonts w:cs="Arial"/>
                <w:color w:val="FF0000"/>
                <w:sz w:val="21"/>
                <w:szCs w:val="21"/>
              </w:rPr>
            </w:pPr>
          </w:p>
        </w:tc>
        <w:tc>
          <w:tcPr>
            <w:tcW w:w="217" w:type="dxa"/>
          </w:tcPr>
          <w:p w14:paraId="718FE00A" w14:textId="77777777" w:rsidR="002C0FD9" w:rsidRPr="00CA25CF" w:rsidRDefault="002C0FD9" w:rsidP="00CA25CF">
            <w:pPr>
              <w:rPr>
                <w:rFonts w:cs="Arial"/>
                <w:color w:val="FF0000"/>
                <w:sz w:val="21"/>
                <w:szCs w:val="21"/>
              </w:rPr>
            </w:pPr>
          </w:p>
        </w:tc>
        <w:tc>
          <w:tcPr>
            <w:tcW w:w="217" w:type="dxa"/>
          </w:tcPr>
          <w:p w14:paraId="3792E142" w14:textId="77777777" w:rsidR="002C0FD9" w:rsidRPr="00CA25CF" w:rsidRDefault="002C0FD9" w:rsidP="00CA25CF">
            <w:pPr>
              <w:rPr>
                <w:rFonts w:cs="Arial"/>
                <w:color w:val="FF0000"/>
                <w:sz w:val="21"/>
                <w:szCs w:val="21"/>
              </w:rPr>
            </w:pPr>
          </w:p>
        </w:tc>
        <w:tc>
          <w:tcPr>
            <w:tcW w:w="217" w:type="dxa"/>
          </w:tcPr>
          <w:p w14:paraId="18D883F6" w14:textId="77777777" w:rsidR="002C0FD9" w:rsidRPr="00CA25CF" w:rsidRDefault="002C0FD9" w:rsidP="00CA25CF">
            <w:pPr>
              <w:rPr>
                <w:rFonts w:cs="Arial"/>
                <w:color w:val="FF0000"/>
                <w:sz w:val="21"/>
                <w:szCs w:val="21"/>
              </w:rPr>
            </w:pPr>
          </w:p>
        </w:tc>
        <w:tc>
          <w:tcPr>
            <w:tcW w:w="217" w:type="dxa"/>
          </w:tcPr>
          <w:p w14:paraId="454B25D2" w14:textId="77777777" w:rsidR="002C0FD9" w:rsidRPr="00CA25CF" w:rsidRDefault="002C0FD9" w:rsidP="00CA25CF">
            <w:pPr>
              <w:rPr>
                <w:rFonts w:cs="Arial"/>
                <w:color w:val="FF0000"/>
                <w:sz w:val="21"/>
                <w:szCs w:val="21"/>
              </w:rPr>
            </w:pPr>
          </w:p>
        </w:tc>
        <w:tc>
          <w:tcPr>
            <w:tcW w:w="217" w:type="dxa"/>
          </w:tcPr>
          <w:p w14:paraId="6EF6BEA1" w14:textId="77777777" w:rsidR="002C0FD9" w:rsidRPr="00CA25CF" w:rsidRDefault="002C0FD9" w:rsidP="00CA25CF">
            <w:pPr>
              <w:rPr>
                <w:rFonts w:cs="Arial"/>
                <w:color w:val="FF0000"/>
                <w:sz w:val="21"/>
                <w:szCs w:val="21"/>
              </w:rPr>
            </w:pPr>
          </w:p>
        </w:tc>
      </w:tr>
      <w:tr w:rsidR="002C0FD9" w:rsidRPr="00A16219" w14:paraId="09B2FA9D" w14:textId="63C10714" w:rsidTr="002C0FD9">
        <w:trPr>
          <w:trHeight w:val="635"/>
        </w:trPr>
        <w:tc>
          <w:tcPr>
            <w:tcW w:w="515" w:type="dxa"/>
          </w:tcPr>
          <w:p w14:paraId="5B2249F6" w14:textId="77777777" w:rsidR="002C0FD9" w:rsidRPr="00CA25CF" w:rsidRDefault="002C0FD9" w:rsidP="00CA25CF">
            <w:pPr>
              <w:rPr>
                <w:rFonts w:cs="Arial"/>
                <w:color w:val="FF0000"/>
                <w:sz w:val="21"/>
                <w:szCs w:val="21"/>
              </w:rPr>
            </w:pPr>
          </w:p>
        </w:tc>
        <w:tc>
          <w:tcPr>
            <w:tcW w:w="217" w:type="dxa"/>
          </w:tcPr>
          <w:p w14:paraId="7A927974" w14:textId="77777777" w:rsidR="002C0FD9" w:rsidRPr="00CA25CF" w:rsidRDefault="002C0FD9" w:rsidP="00CA25CF">
            <w:pPr>
              <w:rPr>
                <w:rFonts w:cs="Arial"/>
                <w:color w:val="FF0000"/>
                <w:sz w:val="21"/>
                <w:szCs w:val="21"/>
              </w:rPr>
            </w:pPr>
          </w:p>
        </w:tc>
        <w:tc>
          <w:tcPr>
            <w:tcW w:w="217" w:type="dxa"/>
          </w:tcPr>
          <w:p w14:paraId="4D7C4BCA" w14:textId="49E8946A" w:rsidR="002C0FD9" w:rsidRPr="00CA25CF" w:rsidRDefault="002C0FD9" w:rsidP="00CA25CF">
            <w:pPr>
              <w:rPr>
                <w:rFonts w:cs="Arial"/>
                <w:color w:val="FF0000"/>
                <w:sz w:val="21"/>
                <w:szCs w:val="21"/>
              </w:rPr>
            </w:pPr>
          </w:p>
        </w:tc>
        <w:tc>
          <w:tcPr>
            <w:tcW w:w="217" w:type="dxa"/>
          </w:tcPr>
          <w:p w14:paraId="66034816" w14:textId="77777777" w:rsidR="002C0FD9" w:rsidRPr="00CA25CF" w:rsidRDefault="002C0FD9" w:rsidP="00CA25CF">
            <w:pPr>
              <w:rPr>
                <w:rFonts w:cs="Arial"/>
                <w:color w:val="FF0000"/>
                <w:sz w:val="21"/>
                <w:szCs w:val="21"/>
              </w:rPr>
            </w:pPr>
          </w:p>
        </w:tc>
        <w:tc>
          <w:tcPr>
            <w:tcW w:w="217" w:type="dxa"/>
          </w:tcPr>
          <w:p w14:paraId="34747407" w14:textId="44860F3C" w:rsidR="002C0FD9" w:rsidRPr="00CA25CF" w:rsidRDefault="002C0FD9" w:rsidP="00CA25CF">
            <w:pPr>
              <w:rPr>
                <w:rFonts w:cs="Arial"/>
                <w:color w:val="FF0000"/>
                <w:sz w:val="21"/>
                <w:szCs w:val="21"/>
              </w:rPr>
            </w:pPr>
          </w:p>
        </w:tc>
        <w:tc>
          <w:tcPr>
            <w:tcW w:w="217" w:type="dxa"/>
          </w:tcPr>
          <w:p w14:paraId="7293FCBE" w14:textId="77777777" w:rsidR="002C0FD9" w:rsidRPr="00CA25CF" w:rsidRDefault="002C0FD9" w:rsidP="00CA25CF">
            <w:pPr>
              <w:rPr>
                <w:rFonts w:cs="Arial"/>
                <w:color w:val="FF0000"/>
                <w:sz w:val="21"/>
                <w:szCs w:val="21"/>
              </w:rPr>
            </w:pPr>
          </w:p>
        </w:tc>
        <w:tc>
          <w:tcPr>
            <w:tcW w:w="217" w:type="dxa"/>
          </w:tcPr>
          <w:p w14:paraId="3253FAD0" w14:textId="77777777" w:rsidR="002C0FD9" w:rsidRPr="00CA25CF" w:rsidRDefault="002C0FD9" w:rsidP="00CA25CF">
            <w:pPr>
              <w:rPr>
                <w:rFonts w:cs="Arial"/>
                <w:color w:val="FF0000"/>
                <w:sz w:val="21"/>
                <w:szCs w:val="21"/>
              </w:rPr>
            </w:pPr>
          </w:p>
        </w:tc>
        <w:tc>
          <w:tcPr>
            <w:tcW w:w="217" w:type="dxa"/>
          </w:tcPr>
          <w:p w14:paraId="5AC9C5B8" w14:textId="77777777" w:rsidR="002C0FD9" w:rsidRPr="00CA25CF" w:rsidRDefault="002C0FD9" w:rsidP="00CA25CF">
            <w:pPr>
              <w:rPr>
                <w:rFonts w:cs="Arial"/>
                <w:color w:val="FF0000"/>
                <w:sz w:val="21"/>
                <w:szCs w:val="21"/>
              </w:rPr>
            </w:pPr>
          </w:p>
        </w:tc>
        <w:tc>
          <w:tcPr>
            <w:tcW w:w="217" w:type="dxa"/>
          </w:tcPr>
          <w:p w14:paraId="45FD2D5D" w14:textId="77777777" w:rsidR="002C0FD9" w:rsidRPr="00CA25CF" w:rsidRDefault="002C0FD9" w:rsidP="00CA25CF">
            <w:pPr>
              <w:rPr>
                <w:rFonts w:cs="Arial"/>
                <w:color w:val="FF0000"/>
                <w:sz w:val="21"/>
                <w:szCs w:val="21"/>
              </w:rPr>
            </w:pPr>
          </w:p>
        </w:tc>
        <w:tc>
          <w:tcPr>
            <w:tcW w:w="217" w:type="dxa"/>
          </w:tcPr>
          <w:p w14:paraId="1CC2258D" w14:textId="77777777" w:rsidR="002C0FD9" w:rsidRPr="00CA25CF" w:rsidRDefault="002C0FD9" w:rsidP="00CA25CF">
            <w:pPr>
              <w:rPr>
                <w:rFonts w:cs="Arial"/>
                <w:color w:val="FF0000"/>
                <w:sz w:val="21"/>
                <w:szCs w:val="21"/>
              </w:rPr>
            </w:pPr>
          </w:p>
        </w:tc>
        <w:tc>
          <w:tcPr>
            <w:tcW w:w="217" w:type="dxa"/>
          </w:tcPr>
          <w:p w14:paraId="5F2740C0" w14:textId="77777777" w:rsidR="002C0FD9" w:rsidRPr="00CA25CF" w:rsidRDefault="002C0FD9" w:rsidP="00CA25CF">
            <w:pPr>
              <w:rPr>
                <w:rFonts w:cs="Arial"/>
                <w:color w:val="FF0000"/>
                <w:sz w:val="21"/>
                <w:szCs w:val="21"/>
              </w:rPr>
            </w:pPr>
          </w:p>
        </w:tc>
        <w:tc>
          <w:tcPr>
            <w:tcW w:w="217" w:type="dxa"/>
          </w:tcPr>
          <w:p w14:paraId="7FEBFE3B" w14:textId="77777777" w:rsidR="002C0FD9" w:rsidRPr="00CA25CF" w:rsidRDefault="002C0FD9" w:rsidP="00CA25CF">
            <w:pPr>
              <w:rPr>
                <w:rFonts w:cs="Arial"/>
                <w:color w:val="FF0000"/>
                <w:sz w:val="21"/>
                <w:szCs w:val="21"/>
              </w:rPr>
            </w:pPr>
          </w:p>
        </w:tc>
        <w:tc>
          <w:tcPr>
            <w:tcW w:w="217" w:type="dxa"/>
          </w:tcPr>
          <w:p w14:paraId="1B8520A3" w14:textId="77777777" w:rsidR="002C0FD9" w:rsidRPr="00CA25CF" w:rsidRDefault="002C0FD9" w:rsidP="00CA25CF">
            <w:pPr>
              <w:rPr>
                <w:rFonts w:cs="Arial"/>
                <w:color w:val="FF0000"/>
                <w:sz w:val="21"/>
                <w:szCs w:val="21"/>
              </w:rPr>
            </w:pPr>
          </w:p>
        </w:tc>
        <w:tc>
          <w:tcPr>
            <w:tcW w:w="217" w:type="dxa"/>
          </w:tcPr>
          <w:p w14:paraId="5D41C2CA" w14:textId="77777777" w:rsidR="002C0FD9" w:rsidRPr="00CA25CF" w:rsidRDefault="002C0FD9" w:rsidP="00CA25CF">
            <w:pPr>
              <w:rPr>
                <w:rFonts w:cs="Arial"/>
                <w:color w:val="FF0000"/>
                <w:sz w:val="21"/>
                <w:szCs w:val="21"/>
              </w:rPr>
            </w:pPr>
          </w:p>
        </w:tc>
        <w:tc>
          <w:tcPr>
            <w:tcW w:w="217" w:type="dxa"/>
          </w:tcPr>
          <w:p w14:paraId="3EDA945A" w14:textId="77777777" w:rsidR="002C0FD9" w:rsidRPr="00CA25CF" w:rsidRDefault="002C0FD9" w:rsidP="00CA25CF">
            <w:pPr>
              <w:rPr>
                <w:rFonts w:cs="Arial"/>
                <w:color w:val="FF0000"/>
                <w:sz w:val="21"/>
                <w:szCs w:val="21"/>
              </w:rPr>
            </w:pPr>
          </w:p>
        </w:tc>
        <w:tc>
          <w:tcPr>
            <w:tcW w:w="217" w:type="dxa"/>
          </w:tcPr>
          <w:p w14:paraId="48493A20" w14:textId="3F1FE767" w:rsidR="002C0FD9" w:rsidRPr="00CA25CF" w:rsidRDefault="002C0FD9" w:rsidP="00CA25CF">
            <w:pPr>
              <w:rPr>
                <w:rFonts w:cs="Arial"/>
                <w:color w:val="FF0000"/>
                <w:sz w:val="21"/>
                <w:szCs w:val="21"/>
              </w:rPr>
            </w:pPr>
          </w:p>
        </w:tc>
        <w:tc>
          <w:tcPr>
            <w:tcW w:w="217" w:type="dxa"/>
          </w:tcPr>
          <w:p w14:paraId="3C47B0B9" w14:textId="77777777" w:rsidR="002C0FD9" w:rsidRPr="00CA25CF" w:rsidRDefault="002C0FD9" w:rsidP="00CA25CF">
            <w:pPr>
              <w:rPr>
                <w:rFonts w:cs="Arial"/>
                <w:color w:val="FF0000"/>
                <w:sz w:val="21"/>
                <w:szCs w:val="21"/>
              </w:rPr>
            </w:pPr>
          </w:p>
        </w:tc>
        <w:tc>
          <w:tcPr>
            <w:tcW w:w="217" w:type="dxa"/>
          </w:tcPr>
          <w:p w14:paraId="25536D8B" w14:textId="77777777" w:rsidR="002C0FD9" w:rsidRPr="00CA25CF" w:rsidRDefault="002C0FD9" w:rsidP="00CA25CF">
            <w:pPr>
              <w:rPr>
                <w:rFonts w:cs="Arial"/>
                <w:color w:val="FF0000"/>
                <w:sz w:val="21"/>
                <w:szCs w:val="21"/>
              </w:rPr>
            </w:pPr>
          </w:p>
        </w:tc>
        <w:tc>
          <w:tcPr>
            <w:tcW w:w="217" w:type="dxa"/>
          </w:tcPr>
          <w:p w14:paraId="0C9E3A27" w14:textId="77777777" w:rsidR="002C0FD9" w:rsidRPr="00CA25CF" w:rsidRDefault="002C0FD9" w:rsidP="00CA25CF">
            <w:pPr>
              <w:rPr>
                <w:rFonts w:cs="Arial"/>
                <w:color w:val="FF0000"/>
                <w:sz w:val="21"/>
                <w:szCs w:val="21"/>
              </w:rPr>
            </w:pPr>
          </w:p>
        </w:tc>
        <w:tc>
          <w:tcPr>
            <w:tcW w:w="217" w:type="dxa"/>
          </w:tcPr>
          <w:p w14:paraId="2D2996AD" w14:textId="77777777" w:rsidR="002C0FD9" w:rsidRPr="00CA25CF" w:rsidRDefault="002C0FD9" w:rsidP="00CA25CF">
            <w:pPr>
              <w:rPr>
                <w:rFonts w:cs="Arial"/>
                <w:color w:val="FF0000"/>
                <w:sz w:val="21"/>
                <w:szCs w:val="21"/>
              </w:rPr>
            </w:pPr>
          </w:p>
        </w:tc>
        <w:tc>
          <w:tcPr>
            <w:tcW w:w="217" w:type="dxa"/>
          </w:tcPr>
          <w:p w14:paraId="2F8640A4" w14:textId="77777777" w:rsidR="002C0FD9" w:rsidRPr="00CA25CF" w:rsidRDefault="002C0FD9" w:rsidP="00CA25CF">
            <w:pPr>
              <w:rPr>
                <w:rFonts w:cs="Arial"/>
                <w:color w:val="FF0000"/>
                <w:sz w:val="21"/>
                <w:szCs w:val="21"/>
              </w:rPr>
            </w:pPr>
          </w:p>
        </w:tc>
        <w:tc>
          <w:tcPr>
            <w:tcW w:w="217" w:type="dxa"/>
          </w:tcPr>
          <w:p w14:paraId="4C6AAC98" w14:textId="77777777" w:rsidR="002C0FD9" w:rsidRPr="00CA25CF" w:rsidRDefault="002C0FD9" w:rsidP="00CA25CF">
            <w:pPr>
              <w:rPr>
                <w:rFonts w:cs="Arial"/>
                <w:color w:val="FF0000"/>
                <w:sz w:val="21"/>
                <w:szCs w:val="21"/>
              </w:rPr>
            </w:pPr>
          </w:p>
        </w:tc>
        <w:tc>
          <w:tcPr>
            <w:tcW w:w="217" w:type="dxa"/>
          </w:tcPr>
          <w:p w14:paraId="7F39697F" w14:textId="77777777" w:rsidR="002C0FD9" w:rsidRPr="00CA25CF" w:rsidRDefault="002C0FD9" w:rsidP="00CA25CF">
            <w:pPr>
              <w:rPr>
                <w:rFonts w:cs="Arial"/>
                <w:color w:val="FF0000"/>
                <w:sz w:val="21"/>
                <w:szCs w:val="21"/>
              </w:rPr>
            </w:pPr>
          </w:p>
        </w:tc>
        <w:tc>
          <w:tcPr>
            <w:tcW w:w="217" w:type="dxa"/>
          </w:tcPr>
          <w:p w14:paraId="5891282B" w14:textId="77777777" w:rsidR="002C0FD9" w:rsidRPr="00CA25CF" w:rsidRDefault="002C0FD9" w:rsidP="00CA25CF">
            <w:pPr>
              <w:rPr>
                <w:rFonts w:cs="Arial"/>
                <w:color w:val="FF0000"/>
                <w:sz w:val="21"/>
                <w:szCs w:val="21"/>
              </w:rPr>
            </w:pPr>
          </w:p>
        </w:tc>
        <w:tc>
          <w:tcPr>
            <w:tcW w:w="217" w:type="dxa"/>
          </w:tcPr>
          <w:p w14:paraId="53BEDD33" w14:textId="77777777" w:rsidR="002C0FD9" w:rsidRPr="00CA25CF" w:rsidRDefault="002C0FD9" w:rsidP="00CA25CF">
            <w:pPr>
              <w:rPr>
                <w:rFonts w:cs="Arial"/>
                <w:color w:val="FF0000"/>
                <w:sz w:val="21"/>
                <w:szCs w:val="21"/>
              </w:rPr>
            </w:pPr>
          </w:p>
        </w:tc>
        <w:tc>
          <w:tcPr>
            <w:tcW w:w="217" w:type="dxa"/>
          </w:tcPr>
          <w:p w14:paraId="5C38D6BA" w14:textId="77777777" w:rsidR="002C0FD9" w:rsidRPr="00CA25CF" w:rsidRDefault="002C0FD9" w:rsidP="00CA25CF">
            <w:pPr>
              <w:rPr>
                <w:rFonts w:cs="Arial"/>
                <w:color w:val="FF0000"/>
                <w:sz w:val="21"/>
                <w:szCs w:val="21"/>
              </w:rPr>
            </w:pPr>
          </w:p>
        </w:tc>
        <w:tc>
          <w:tcPr>
            <w:tcW w:w="217" w:type="dxa"/>
          </w:tcPr>
          <w:p w14:paraId="0B927850" w14:textId="77777777" w:rsidR="002C0FD9" w:rsidRPr="00CA25CF" w:rsidRDefault="002C0FD9" w:rsidP="00CA25CF">
            <w:pPr>
              <w:rPr>
                <w:rFonts w:cs="Arial"/>
                <w:color w:val="FF0000"/>
                <w:sz w:val="21"/>
                <w:szCs w:val="21"/>
              </w:rPr>
            </w:pPr>
          </w:p>
        </w:tc>
        <w:tc>
          <w:tcPr>
            <w:tcW w:w="217" w:type="dxa"/>
          </w:tcPr>
          <w:p w14:paraId="0D1E4745" w14:textId="77777777" w:rsidR="002C0FD9" w:rsidRPr="00CA25CF" w:rsidRDefault="002C0FD9" w:rsidP="00CA25CF">
            <w:pPr>
              <w:rPr>
                <w:rFonts w:cs="Arial"/>
                <w:color w:val="FF0000"/>
                <w:sz w:val="21"/>
                <w:szCs w:val="21"/>
              </w:rPr>
            </w:pPr>
          </w:p>
        </w:tc>
        <w:tc>
          <w:tcPr>
            <w:tcW w:w="217" w:type="dxa"/>
          </w:tcPr>
          <w:p w14:paraId="5DA0CA00" w14:textId="77777777" w:rsidR="002C0FD9" w:rsidRPr="00CA25CF" w:rsidRDefault="002C0FD9" w:rsidP="00CA25CF">
            <w:pPr>
              <w:rPr>
                <w:rFonts w:cs="Arial"/>
                <w:color w:val="FF0000"/>
                <w:sz w:val="21"/>
                <w:szCs w:val="21"/>
              </w:rPr>
            </w:pPr>
          </w:p>
        </w:tc>
        <w:tc>
          <w:tcPr>
            <w:tcW w:w="217" w:type="dxa"/>
          </w:tcPr>
          <w:p w14:paraId="7C725B15" w14:textId="77777777" w:rsidR="002C0FD9" w:rsidRPr="00CA25CF" w:rsidRDefault="002C0FD9" w:rsidP="00CA25CF">
            <w:pPr>
              <w:rPr>
                <w:rFonts w:cs="Arial"/>
                <w:color w:val="FF0000"/>
                <w:sz w:val="21"/>
                <w:szCs w:val="21"/>
              </w:rPr>
            </w:pPr>
          </w:p>
        </w:tc>
        <w:tc>
          <w:tcPr>
            <w:tcW w:w="217" w:type="dxa"/>
          </w:tcPr>
          <w:p w14:paraId="4A1D22D9" w14:textId="77777777" w:rsidR="002C0FD9" w:rsidRPr="00CA25CF" w:rsidRDefault="002C0FD9" w:rsidP="00CA25CF">
            <w:pPr>
              <w:rPr>
                <w:rFonts w:cs="Arial"/>
                <w:color w:val="FF0000"/>
                <w:sz w:val="21"/>
                <w:szCs w:val="21"/>
              </w:rPr>
            </w:pPr>
          </w:p>
        </w:tc>
        <w:tc>
          <w:tcPr>
            <w:tcW w:w="217" w:type="dxa"/>
          </w:tcPr>
          <w:p w14:paraId="5ACEC02A" w14:textId="77777777" w:rsidR="002C0FD9" w:rsidRPr="00CA25CF" w:rsidRDefault="002C0FD9" w:rsidP="00CA25CF">
            <w:pPr>
              <w:rPr>
                <w:rFonts w:cs="Arial"/>
                <w:color w:val="FF0000"/>
                <w:sz w:val="21"/>
                <w:szCs w:val="21"/>
              </w:rPr>
            </w:pPr>
          </w:p>
        </w:tc>
        <w:tc>
          <w:tcPr>
            <w:tcW w:w="217" w:type="dxa"/>
          </w:tcPr>
          <w:p w14:paraId="48AEE339" w14:textId="77777777" w:rsidR="002C0FD9" w:rsidRPr="00CA25CF" w:rsidRDefault="002C0FD9" w:rsidP="00CA25CF">
            <w:pPr>
              <w:rPr>
                <w:rFonts w:cs="Arial"/>
                <w:color w:val="FF0000"/>
                <w:sz w:val="21"/>
                <w:szCs w:val="21"/>
              </w:rPr>
            </w:pPr>
          </w:p>
        </w:tc>
        <w:tc>
          <w:tcPr>
            <w:tcW w:w="217" w:type="dxa"/>
          </w:tcPr>
          <w:p w14:paraId="784FE4FC" w14:textId="77777777" w:rsidR="002C0FD9" w:rsidRPr="00CA25CF" w:rsidRDefault="002C0FD9" w:rsidP="00CA25CF">
            <w:pPr>
              <w:rPr>
                <w:rFonts w:cs="Arial"/>
                <w:color w:val="FF0000"/>
                <w:sz w:val="21"/>
                <w:szCs w:val="21"/>
              </w:rPr>
            </w:pPr>
          </w:p>
        </w:tc>
        <w:tc>
          <w:tcPr>
            <w:tcW w:w="217" w:type="dxa"/>
          </w:tcPr>
          <w:p w14:paraId="2C108B3D" w14:textId="77777777" w:rsidR="002C0FD9" w:rsidRPr="00CA25CF" w:rsidRDefault="002C0FD9" w:rsidP="00CA25CF">
            <w:pPr>
              <w:rPr>
                <w:rFonts w:cs="Arial"/>
                <w:color w:val="FF0000"/>
                <w:sz w:val="21"/>
                <w:szCs w:val="21"/>
              </w:rPr>
            </w:pPr>
          </w:p>
        </w:tc>
        <w:tc>
          <w:tcPr>
            <w:tcW w:w="217" w:type="dxa"/>
          </w:tcPr>
          <w:p w14:paraId="11BA6806" w14:textId="77777777" w:rsidR="002C0FD9" w:rsidRPr="00CA25CF" w:rsidRDefault="002C0FD9" w:rsidP="00CA25CF">
            <w:pPr>
              <w:rPr>
                <w:rFonts w:cs="Arial"/>
                <w:color w:val="FF0000"/>
                <w:sz w:val="21"/>
                <w:szCs w:val="21"/>
              </w:rPr>
            </w:pPr>
          </w:p>
        </w:tc>
        <w:tc>
          <w:tcPr>
            <w:tcW w:w="217" w:type="dxa"/>
          </w:tcPr>
          <w:p w14:paraId="37355EE2" w14:textId="77777777" w:rsidR="002C0FD9" w:rsidRPr="00CA25CF" w:rsidRDefault="002C0FD9" w:rsidP="00CA25CF">
            <w:pPr>
              <w:rPr>
                <w:rFonts w:cs="Arial"/>
                <w:color w:val="FF0000"/>
                <w:sz w:val="21"/>
                <w:szCs w:val="21"/>
              </w:rPr>
            </w:pPr>
          </w:p>
        </w:tc>
        <w:tc>
          <w:tcPr>
            <w:tcW w:w="217" w:type="dxa"/>
          </w:tcPr>
          <w:p w14:paraId="1585E07E" w14:textId="77777777" w:rsidR="002C0FD9" w:rsidRPr="00CA25CF" w:rsidRDefault="002C0FD9" w:rsidP="00CA25CF">
            <w:pPr>
              <w:rPr>
                <w:rFonts w:cs="Arial"/>
                <w:color w:val="FF0000"/>
                <w:sz w:val="21"/>
                <w:szCs w:val="21"/>
              </w:rPr>
            </w:pPr>
          </w:p>
        </w:tc>
        <w:tc>
          <w:tcPr>
            <w:tcW w:w="217" w:type="dxa"/>
          </w:tcPr>
          <w:p w14:paraId="4C01F3D3" w14:textId="77777777" w:rsidR="002C0FD9" w:rsidRPr="00CA25CF" w:rsidRDefault="002C0FD9" w:rsidP="00CA25CF">
            <w:pPr>
              <w:rPr>
                <w:rFonts w:cs="Arial"/>
                <w:color w:val="FF0000"/>
                <w:sz w:val="21"/>
                <w:szCs w:val="21"/>
              </w:rPr>
            </w:pPr>
          </w:p>
        </w:tc>
        <w:tc>
          <w:tcPr>
            <w:tcW w:w="217" w:type="dxa"/>
          </w:tcPr>
          <w:p w14:paraId="01F3CC62" w14:textId="77777777" w:rsidR="002C0FD9" w:rsidRPr="00CA25CF" w:rsidRDefault="002C0FD9" w:rsidP="00CA25CF">
            <w:pPr>
              <w:rPr>
                <w:rFonts w:cs="Arial"/>
                <w:color w:val="FF0000"/>
                <w:sz w:val="21"/>
                <w:szCs w:val="21"/>
              </w:rPr>
            </w:pPr>
          </w:p>
        </w:tc>
        <w:tc>
          <w:tcPr>
            <w:tcW w:w="217" w:type="dxa"/>
          </w:tcPr>
          <w:p w14:paraId="00F48035" w14:textId="77777777" w:rsidR="002C0FD9" w:rsidRPr="00CA25CF" w:rsidRDefault="002C0FD9" w:rsidP="00CA25CF">
            <w:pPr>
              <w:rPr>
                <w:rFonts w:cs="Arial"/>
                <w:color w:val="FF0000"/>
                <w:sz w:val="21"/>
                <w:szCs w:val="21"/>
              </w:rPr>
            </w:pPr>
          </w:p>
        </w:tc>
        <w:tc>
          <w:tcPr>
            <w:tcW w:w="217" w:type="dxa"/>
          </w:tcPr>
          <w:p w14:paraId="3EE71200" w14:textId="77777777" w:rsidR="002C0FD9" w:rsidRPr="00CA25CF" w:rsidRDefault="002C0FD9" w:rsidP="00CA25CF">
            <w:pPr>
              <w:rPr>
                <w:rFonts w:cs="Arial"/>
                <w:color w:val="FF0000"/>
                <w:sz w:val="21"/>
                <w:szCs w:val="21"/>
              </w:rPr>
            </w:pPr>
          </w:p>
        </w:tc>
        <w:tc>
          <w:tcPr>
            <w:tcW w:w="217" w:type="dxa"/>
          </w:tcPr>
          <w:p w14:paraId="41AA62EF" w14:textId="77777777" w:rsidR="002C0FD9" w:rsidRPr="00CA25CF" w:rsidRDefault="002C0FD9" w:rsidP="00CA25CF">
            <w:pPr>
              <w:rPr>
                <w:rFonts w:cs="Arial"/>
                <w:color w:val="FF0000"/>
                <w:sz w:val="21"/>
                <w:szCs w:val="21"/>
              </w:rPr>
            </w:pPr>
          </w:p>
        </w:tc>
      </w:tr>
      <w:tr w:rsidR="002C0FD9" w:rsidRPr="00A16219" w14:paraId="3AE82BC9" w14:textId="0E2B223B" w:rsidTr="002C0FD9">
        <w:trPr>
          <w:trHeight w:val="635"/>
        </w:trPr>
        <w:tc>
          <w:tcPr>
            <w:tcW w:w="515" w:type="dxa"/>
          </w:tcPr>
          <w:p w14:paraId="3245198D" w14:textId="77777777" w:rsidR="002C0FD9" w:rsidRPr="00CA25CF" w:rsidRDefault="002C0FD9" w:rsidP="00CA25CF">
            <w:pPr>
              <w:rPr>
                <w:rFonts w:cs="Arial"/>
                <w:color w:val="FF0000"/>
                <w:sz w:val="21"/>
                <w:szCs w:val="21"/>
              </w:rPr>
            </w:pPr>
          </w:p>
        </w:tc>
        <w:tc>
          <w:tcPr>
            <w:tcW w:w="217" w:type="dxa"/>
          </w:tcPr>
          <w:p w14:paraId="3430188D" w14:textId="77777777" w:rsidR="002C0FD9" w:rsidRPr="00CA25CF" w:rsidRDefault="002C0FD9" w:rsidP="00CA25CF">
            <w:pPr>
              <w:rPr>
                <w:rFonts w:cs="Arial"/>
                <w:color w:val="FF0000"/>
                <w:sz w:val="21"/>
                <w:szCs w:val="21"/>
              </w:rPr>
            </w:pPr>
          </w:p>
        </w:tc>
        <w:tc>
          <w:tcPr>
            <w:tcW w:w="217" w:type="dxa"/>
          </w:tcPr>
          <w:p w14:paraId="1FF1F8C3" w14:textId="33B14EFD" w:rsidR="002C0FD9" w:rsidRPr="00CA25CF" w:rsidRDefault="002C0FD9" w:rsidP="00CA25CF">
            <w:pPr>
              <w:rPr>
                <w:rFonts w:cs="Arial"/>
                <w:color w:val="FF0000"/>
                <w:sz w:val="21"/>
                <w:szCs w:val="21"/>
              </w:rPr>
            </w:pPr>
          </w:p>
        </w:tc>
        <w:tc>
          <w:tcPr>
            <w:tcW w:w="217" w:type="dxa"/>
          </w:tcPr>
          <w:p w14:paraId="488F383A" w14:textId="77777777" w:rsidR="002C0FD9" w:rsidRPr="00CA25CF" w:rsidRDefault="002C0FD9" w:rsidP="00CA25CF">
            <w:pPr>
              <w:rPr>
                <w:rFonts w:cs="Arial"/>
                <w:color w:val="FF0000"/>
                <w:sz w:val="21"/>
                <w:szCs w:val="21"/>
              </w:rPr>
            </w:pPr>
          </w:p>
        </w:tc>
        <w:tc>
          <w:tcPr>
            <w:tcW w:w="217" w:type="dxa"/>
          </w:tcPr>
          <w:p w14:paraId="20E10FB5" w14:textId="1EC361E4" w:rsidR="002C0FD9" w:rsidRPr="00CA25CF" w:rsidRDefault="002C0FD9" w:rsidP="00CA25CF">
            <w:pPr>
              <w:rPr>
                <w:rFonts w:cs="Arial"/>
                <w:color w:val="FF0000"/>
                <w:sz w:val="21"/>
                <w:szCs w:val="21"/>
              </w:rPr>
            </w:pPr>
          </w:p>
        </w:tc>
        <w:tc>
          <w:tcPr>
            <w:tcW w:w="217" w:type="dxa"/>
          </w:tcPr>
          <w:p w14:paraId="75245570" w14:textId="77777777" w:rsidR="002C0FD9" w:rsidRPr="00CA25CF" w:rsidRDefault="002C0FD9" w:rsidP="00CA25CF">
            <w:pPr>
              <w:rPr>
                <w:rFonts w:cs="Arial"/>
                <w:color w:val="FF0000"/>
                <w:sz w:val="21"/>
                <w:szCs w:val="21"/>
              </w:rPr>
            </w:pPr>
          </w:p>
        </w:tc>
        <w:tc>
          <w:tcPr>
            <w:tcW w:w="217" w:type="dxa"/>
          </w:tcPr>
          <w:p w14:paraId="0DEE9CDB" w14:textId="77777777" w:rsidR="002C0FD9" w:rsidRPr="00CA25CF" w:rsidRDefault="002C0FD9" w:rsidP="00CA25CF">
            <w:pPr>
              <w:rPr>
                <w:rFonts w:cs="Arial"/>
                <w:color w:val="FF0000"/>
                <w:sz w:val="21"/>
                <w:szCs w:val="21"/>
              </w:rPr>
            </w:pPr>
          </w:p>
        </w:tc>
        <w:tc>
          <w:tcPr>
            <w:tcW w:w="217" w:type="dxa"/>
          </w:tcPr>
          <w:p w14:paraId="16043815" w14:textId="77777777" w:rsidR="002C0FD9" w:rsidRPr="00CA25CF" w:rsidRDefault="002C0FD9" w:rsidP="00CA25CF">
            <w:pPr>
              <w:rPr>
                <w:rFonts w:cs="Arial"/>
                <w:color w:val="FF0000"/>
                <w:sz w:val="21"/>
                <w:szCs w:val="21"/>
              </w:rPr>
            </w:pPr>
          </w:p>
        </w:tc>
        <w:tc>
          <w:tcPr>
            <w:tcW w:w="217" w:type="dxa"/>
          </w:tcPr>
          <w:p w14:paraId="513AA640" w14:textId="77777777" w:rsidR="002C0FD9" w:rsidRPr="00CA25CF" w:rsidRDefault="002C0FD9" w:rsidP="00CA25CF">
            <w:pPr>
              <w:rPr>
                <w:rFonts w:cs="Arial"/>
                <w:color w:val="FF0000"/>
                <w:sz w:val="21"/>
                <w:szCs w:val="21"/>
              </w:rPr>
            </w:pPr>
          </w:p>
        </w:tc>
        <w:tc>
          <w:tcPr>
            <w:tcW w:w="217" w:type="dxa"/>
          </w:tcPr>
          <w:p w14:paraId="5208B965" w14:textId="77777777" w:rsidR="002C0FD9" w:rsidRPr="00CA25CF" w:rsidRDefault="002C0FD9" w:rsidP="00CA25CF">
            <w:pPr>
              <w:rPr>
                <w:rFonts w:cs="Arial"/>
                <w:color w:val="FF0000"/>
                <w:sz w:val="21"/>
                <w:szCs w:val="21"/>
              </w:rPr>
            </w:pPr>
          </w:p>
        </w:tc>
        <w:tc>
          <w:tcPr>
            <w:tcW w:w="217" w:type="dxa"/>
          </w:tcPr>
          <w:p w14:paraId="33BD30DB" w14:textId="77777777" w:rsidR="002C0FD9" w:rsidRPr="00CA25CF" w:rsidRDefault="002C0FD9" w:rsidP="00CA25CF">
            <w:pPr>
              <w:rPr>
                <w:rFonts w:cs="Arial"/>
                <w:color w:val="FF0000"/>
                <w:sz w:val="21"/>
                <w:szCs w:val="21"/>
              </w:rPr>
            </w:pPr>
          </w:p>
        </w:tc>
        <w:tc>
          <w:tcPr>
            <w:tcW w:w="217" w:type="dxa"/>
          </w:tcPr>
          <w:p w14:paraId="7C08213D" w14:textId="77777777" w:rsidR="002C0FD9" w:rsidRPr="00CA25CF" w:rsidRDefault="002C0FD9" w:rsidP="00CA25CF">
            <w:pPr>
              <w:rPr>
                <w:rFonts w:cs="Arial"/>
                <w:color w:val="FF0000"/>
                <w:sz w:val="21"/>
                <w:szCs w:val="21"/>
              </w:rPr>
            </w:pPr>
          </w:p>
        </w:tc>
        <w:tc>
          <w:tcPr>
            <w:tcW w:w="217" w:type="dxa"/>
          </w:tcPr>
          <w:p w14:paraId="5EF01FA3" w14:textId="77777777" w:rsidR="002C0FD9" w:rsidRPr="00CA25CF" w:rsidRDefault="002C0FD9" w:rsidP="00CA25CF">
            <w:pPr>
              <w:rPr>
                <w:rFonts w:cs="Arial"/>
                <w:color w:val="FF0000"/>
                <w:sz w:val="21"/>
                <w:szCs w:val="21"/>
              </w:rPr>
            </w:pPr>
          </w:p>
        </w:tc>
        <w:tc>
          <w:tcPr>
            <w:tcW w:w="217" w:type="dxa"/>
          </w:tcPr>
          <w:p w14:paraId="3CFAA16F" w14:textId="77777777" w:rsidR="002C0FD9" w:rsidRPr="00CA25CF" w:rsidRDefault="002C0FD9" w:rsidP="00CA25CF">
            <w:pPr>
              <w:rPr>
                <w:rFonts w:cs="Arial"/>
                <w:color w:val="FF0000"/>
                <w:sz w:val="21"/>
                <w:szCs w:val="21"/>
              </w:rPr>
            </w:pPr>
          </w:p>
        </w:tc>
        <w:tc>
          <w:tcPr>
            <w:tcW w:w="217" w:type="dxa"/>
          </w:tcPr>
          <w:p w14:paraId="760FE468" w14:textId="77777777" w:rsidR="002C0FD9" w:rsidRPr="00CA25CF" w:rsidRDefault="002C0FD9" w:rsidP="00CA25CF">
            <w:pPr>
              <w:rPr>
                <w:rFonts w:cs="Arial"/>
                <w:color w:val="FF0000"/>
                <w:sz w:val="21"/>
                <w:szCs w:val="21"/>
              </w:rPr>
            </w:pPr>
          </w:p>
        </w:tc>
        <w:tc>
          <w:tcPr>
            <w:tcW w:w="217" w:type="dxa"/>
          </w:tcPr>
          <w:p w14:paraId="1128AEFF" w14:textId="77C16488" w:rsidR="002C0FD9" w:rsidRPr="00CA25CF" w:rsidRDefault="002C0FD9" w:rsidP="00CA25CF">
            <w:pPr>
              <w:rPr>
                <w:rFonts w:cs="Arial"/>
                <w:color w:val="FF0000"/>
                <w:sz w:val="21"/>
                <w:szCs w:val="21"/>
              </w:rPr>
            </w:pPr>
          </w:p>
        </w:tc>
        <w:tc>
          <w:tcPr>
            <w:tcW w:w="217" w:type="dxa"/>
          </w:tcPr>
          <w:p w14:paraId="60CE3517" w14:textId="77777777" w:rsidR="002C0FD9" w:rsidRPr="00CA25CF" w:rsidRDefault="002C0FD9" w:rsidP="00CA25CF">
            <w:pPr>
              <w:rPr>
                <w:rFonts w:cs="Arial"/>
                <w:color w:val="FF0000"/>
                <w:sz w:val="21"/>
                <w:szCs w:val="21"/>
              </w:rPr>
            </w:pPr>
          </w:p>
        </w:tc>
        <w:tc>
          <w:tcPr>
            <w:tcW w:w="217" w:type="dxa"/>
          </w:tcPr>
          <w:p w14:paraId="61D7A5FE" w14:textId="77777777" w:rsidR="002C0FD9" w:rsidRPr="00CA25CF" w:rsidRDefault="002C0FD9" w:rsidP="00CA25CF">
            <w:pPr>
              <w:rPr>
                <w:rFonts w:cs="Arial"/>
                <w:color w:val="FF0000"/>
                <w:sz w:val="21"/>
                <w:szCs w:val="21"/>
              </w:rPr>
            </w:pPr>
          </w:p>
        </w:tc>
        <w:tc>
          <w:tcPr>
            <w:tcW w:w="217" w:type="dxa"/>
          </w:tcPr>
          <w:p w14:paraId="2907FE08" w14:textId="77777777" w:rsidR="002C0FD9" w:rsidRPr="00CA25CF" w:rsidRDefault="002C0FD9" w:rsidP="00CA25CF">
            <w:pPr>
              <w:rPr>
                <w:rFonts w:cs="Arial"/>
                <w:color w:val="FF0000"/>
                <w:sz w:val="21"/>
                <w:szCs w:val="21"/>
              </w:rPr>
            </w:pPr>
          </w:p>
        </w:tc>
        <w:tc>
          <w:tcPr>
            <w:tcW w:w="217" w:type="dxa"/>
          </w:tcPr>
          <w:p w14:paraId="32A93CF1" w14:textId="77777777" w:rsidR="002C0FD9" w:rsidRPr="00CA25CF" w:rsidRDefault="002C0FD9" w:rsidP="00CA25CF">
            <w:pPr>
              <w:rPr>
                <w:rFonts w:cs="Arial"/>
                <w:color w:val="FF0000"/>
                <w:sz w:val="21"/>
                <w:szCs w:val="21"/>
              </w:rPr>
            </w:pPr>
          </w:p>
        </w:tc>
        <w:tc>
          <w:tcPr>
            <w:tcW w:w="217" w:type="dxa"/>
          </w:tcPr>
          <w:p w14:paraId="2193C0B2" w14:textId="77777777" w:rsidR="002C0FD9" w:rsidRPr="00CA25CF" w:rsidRDefault="002C0FD9" w:rsidP="00CA25CF">
            <w:pPr>
              <w:rPr>
                <w:rFonts w:cs="Arial"/>
                <w:color w:val="FF0000"/>
                <w:sz w:val="21"/>
                <w:szCs w:val="21"/>
              </w:rPr>
            </w:pPr>
          </w:p>
        </w:tc>
        <w:tc>
          <w:tcPr>
            <w:tcW w:w="217" w:type="dxa"/>
          </w:tcPr>
          <w:p w14:paraId="3C5429A8" w14:textId="77777777" w:rsidR="002C0FD9" w:rsidRPr="00CA25CF" w:rsidRDefault="002C0FD9" w:rsidP="00CA25CF">
            <w:pPr>
              <w:rPr>
                <w:rFonts w:cs="Arial"/>
                <w:color w:val="FF0000"/>
                <w:sz w:val="21"/>
                <w:szCs w:val="21"/>
              </w:rPr>
            </w:pPr>
          </w:p>
        </w:tc>
        <w:tc>
          <w:tcPr>
            <w:tcW w:w="217" w:type="dxa"/>
          </w:tcPr>
          <w:p w14:paraId="27CCEE47" w14:textId="77777777" w:rsidR="002C0FD9" w:rsidRPr="00CA25CF" w:rsidRDefault="002C0FD9" w:rsidP="00CA25CF">
            <w:pPr>
              <w:rPr>
                <w:rFonts w:cs="Arial"/>
                <w:color w:val="FF0000"/>
                <w:sz w:val="21"/>
                <w:szCs w:val="21"/>
              </w:rPr>
            </w:pPr>
          </w:p>
        </w:tc>
        <w:tc>
          <w:tcPr>
            <w:tcW w:w="217" w:type="dxa"/>
          </w:tcPr>
          <w:p w14:paraId="7BDDE026" w14:textId="77777777" w:rsidR="002C0FD9" w:rsidRPr="00CA25CF" w:rsidRDefault="002C0FD9" w:rsidP="00CA25CF">
            <w:pPr>
              <w:rPr>
                <w:rFonts w:cs="Arial"/>
                <w:color w:val="FF0000"/>
                <w:sz w:val="21"/>
                <w:szCs w:val="21"/>
              </w:rPr>
            </w:pPr>
          </w:p>
        </w:tc>
        <w:tc>
          <w:tcPr>
            <w:tcW w:w="217" w:type="dxa"/>
          </w:tcPr>
          <w:p w14:paraId="09ED0127" w14:textId="77777777" w:rsidR="002C0FD9" w:rsidRPr="00CA25CF" w:rsidRDefault="002C0FD9" w:rsidP="00CA25CF">
            <w:pPr>
              <w:rPr>
                <w:rFonts w:cs="Arial"/>
                <w:color w:val="FF0000"/>
                <w:sz w:val="21"/>
                <w:szCs w:val="21"/>
              </w:rPr>
            </w:pPr>
          </w:p>
        </w:tc>
        <w:tc>
          <w:tcPr>
            <w:tcW w:w="217" w:type="dxa"/>
          </w:tcPr>
          <w:p w14:paraId="6451E57F" w14:textId="77777777" w:rsidR="002C0FD9" w:rsidRPr="00CA25CF" w:rsidRDefault="002C0FD9" w:rsidP="00CA25CF">
            <w:pPr>
              <w:rPr>
                <w:rFonts w:cs="Arial"/>
                <w:color w:val="FF0000"/>
                <w:sz w:val="21"/>
                <w:szCs w:val="21"/>
              </w:rPr>
            </w:pPr>
          </w:p>
        </w:tc>
        <w:tc>
          <w:tcPr>
            <w:tcW w:w="217" w:type="dxa"/>
          </w:tcPr>
          <w:p w14:paraId="34DE190C" w14:textId="77777777" w:rsidR="002C0FD9" w:rsidRPr="00CA25CF" w:rsidRDefault="002C0FD9" w:rsidP="00CA25CF">
            <w:pPr>
              <w:rPr>
                <w:rFonts w:cs="Arial"/>
                <w:color w:val="FF0000"/>
                <w:sz w:val="21"/>
                <w:szCs w:val="21"/>
              </w:rPr>
            </w:pPr>
          </w:p>
        </w:tc>
        <w:tc>
          <w:tcPr>
            <w:tcW w:w="217" w:type="dxa"/>
          </w:tcPr>
          <w:p w14:paraId="4773A804" w14:textId="77777777" w:rsidR="002C0FD9" w:rsidRPr="00CA25CF" w:rsidRDefault="002C0FD9" w:rsidP="00CA25CF">
            <w:pPr>
              <w:rPr>
                <w:rFonts w:cs="Arial"/>
                <w:color w:val="FF0000"/>
                <w:sz w:val="21"/>
                <w:szCs w:val="21"/>
              </w:rPr>
            </w:pPr>
          </w:p>
        </w:tc>
        <w:tc>
          <w:tcPr>
            <w:tcW w:w="217" w:type="dxa"/>
          </w:tcPr>
          <w:p w14:paraId="3B01864F" w14:textId="77777777" w:rsidR="002C0FD9" w:rsidRPr="00CA25CF" w:rsidRDefault="002C0FD9" w:rsidP="00CA25CF">
            <w:pPr>
              <w:rPr>
                <w:rFonts w:cs="Arial"/>
                <w:color w:val="FF0000"/>
                <w:sz w:val="21"/>
                <w:szCs w:val="21"/>
              </w:rPr>
            </w:pPr>
          </w:p>
        </w:tc>
        <w:tc>
          <w:tcPr>
            <w:tcW w:w="217" w:type="dxa"/>
          </w:tcPr>
          <w:p w14:paraId="448A4AE8" w14:textId="77777777" w:rsidR="002C0FD9" w:rsidRPr="00CA25CF" w:rsidRDefault="002C0FD9" w:rsidP="00CA25CF">
            <w:pPr>
              <w:rPr>
                <w:rFonts w:cs="Arial"/>
                <w:color w:val="FF0000"/>
                <w:sz w:val="21"/>
                <w:szCs w:val="21"/>
              </w:rPr>
            </w:pPr>
          </w:p>
        </w:tc>
        <w:tc>
          <w:tcPr>
            <w:tcW w:w="217" w:type="dxa"/>
          </w:tcPr>
          <w:p w14:paraId="086887B1" w14:textId="77777777" w:rsidR="002C0FD9" w:rsidRPr="00CA25CF" w:rsidRDefault="002C0FD9" w:rsidP="00CA25CF">
            <w:pPr>
              <w:rPr>
                <w:rFonts w:cs="Arial"/>
                <w:color w:val="FF0000"/>
                <w:sz w:val="21"/>
                <w:szCs w:val="21"/>
              </w:rPr>
            </w:pPr>
          </w:p>
        </w:tc>
        <w:tc>
          <w:tcPr>
            <w:tcW w:w="217" w:type="dxa"/>
          </w:tcPr>
          <w:p w14:paraId="2D2A49E0" w14:textId="77777777" w:rsidR="002C0FD9" w:rsidRPr="00CA25CF" w:rsidRDefault="002C0FD9" w:rsidP="00CA25CF">
            <w:pPr>
              <w:rPr>
                <w:rFonts w:cs="Arial"/>
                <w:color w:val="FF0000"/>
                <w:sz w:val="21"/>
                <w:szCs w:val="21"/>
              </w:rPr>
            </w:pPr>
          </w:p>
        </w:tc>
        <w:tc>
          <w:tcPr>
            <w:tcW w:w="217" w:type="dxa"/>
          </w:tcPr>
          <w:p w14:paraId="4A60CF2C" w14:textId="77777777" w:rsidR="002C0FD9" w:rsidRPr="00CA25CF" w:rsidRDefault="002C0FD9" w:rsidP="00CA25CF">
            <w:pPr>
              <w:rPr>
                <w:rFonts w:cs="Arial"/>
                <w:color w:val="FF0000"/>
                <w:sz w:val="21"/>
                <w:szCs w:val="21"/>
              </w:rPr>
            </w:pPr>
          </w:p>
        </w:tc>
        <w:tc>
          <w:tcPr>
            <w:tcW w:w="217" w:type="dxa"/>
          </w:tcPr>
          <w:p w14:paraId="7EF898AE" w14:textId="77777777" w:rsidR="002C0FD9" w:rsidRPr="00CA25CF" w:rsidRDefault="002C0FD9" w:rsidP="00CA25CF">
            <w:pPr>
              <w:rPr>
                <w:rFonts w:cs="Arial"/>
                <w:color w:val="FF0000"/>
                <w:sz w:val="21"/>
                <w:szCs w:val="21"/>
              </w:rPr>
            </w:pPr>
          </w:p>
        </w:tc>
        <w:tc>
          <w:tcPr>
            <w:tcW w:w="217" w:type="dxa"/>
          </w:tcPr>
          <w:p w14:paraId="22065947" w14:textId="77777777" w:rsidR="002C0FD9" w:rsidRPr="00CA25CF" w:rsidRDefault="002C0FD9" w:rsidP="00CA25CF">
            <w:pPr>
              <w:rPr>
                <w:rFonts w:cs="Arial"/>
                <w:color w:val="FF0000"/>
                <w:sz w:val="21"/>
                <w:szCs w:val="21"/>
              </w:rPr>
            </w:pPr>
          </w:p>
        </w:tc>
        <w:tc>
          <w:tcPr>
            <w:tcW w:w="217" w:type="dxa"/>
          </w:tcPr>
          <w:p w14:paraId="689BBB41" w14:textId="77777777" w:rsidR="002C0FD9" w:rsidRPr="00CA25CF" w:rsidRDefault="002C0FD9" w:rsidP="00CA25CF">
            <w:pPr>
              <w:rPr>
                <w:rFonts w:cs="Arial"/>
                <w:color w:val="FF0000"/>
                <w:sz w:val="21"/>
                <w:szCs w:val="21"/>
              </w:rPr>
            </w:pPr>
          </w:p>
        </w:tc>
        <w:tc>
          <w:tcPr>
            <w:tcW w:w="217" w:type="dxa"/>
          </w:tcPr>
          <w:p w14:paraId="396B8AE0" w14:textId="77777777" w:rsidR="002C0FD9" w:rsidRPr="00CA25CF" w:rsidRDefault="002C0FD9" w:rsidP="00CA25CF">
            <w:pPr>
              <w:rPr>
                <w:rFonts w:cs="Arial"/>
                <w:color w:val="FF0000"/>
                <w:sz w:val="21"/>
                <w:szCs w:val="21"/>
              </w:rPr>
            </w:pPr>
          </w:p>
        </w:tc>
        <w:tc>
          <w:tcPr>
            <w:tcW w:w="217" w:type="dxa"/>
          </w:tcPr>
          <w:p w14:paraId="6DBB7A2E" w14:textId="77777777" w:rsidR="002C0FD9" w:rsidRPr="00CA25CF" w:rsidRDefault="002C0FD9" w:rsidP="00CA25CF">
            <w:pPr>
              <w:rPr>
                <w:rFonts w:cs="Arial"/>
                <w:color w:val="FF0000"/>
                <w:sz w:val="21"/>
                <w:szCs w:val="21"/>
              </w:rPr>
            </w:pPr>
          </w:p>
        </w:tc>
        <w:tc>
          <w:tcPr>
            <w:tcW w:w="217" w:type="dxa"/>
          </w:tcPr>
          <w:p w14:paraId="4C4B2980" w14:textId="77777777" w:rsidR="002C0FD9" w:rsidRPr="00CA25CF" w:rsidRDefault="002C0FD9" w:rsidP="00CA25CF">
            <w:pPr>
              <w:rPr>
                <w:rFonts w:cs="Arial"/>
                <w:color w:val="FF0000"/>
                <w:sz w:val="21"/>
                <w:szCs w:val="21"/>
              </w:rPr>
            </w:pPr>
          </w:p>
        </w:tc>
        <w:tc>
          <w:tcPr>
            <w:tcW w:w="217" w:type="dxa"/>
          </w:tcPr>
          <w:p w14:paraId="7A83F7D3" w14:textId="77777777" w:rsidR="002C0FD9" w:rsidRPr="00CA25CF" w:rsidRDefault="002C0FD9" w:rsidP="00CA25CF">
            <w:pPr>
              <w:rPr>
                <w:rFonts w:cs="Arial"/>
                <w:color w:val="FF0000"/>
                <w:sz w:val="21"/>
                <w:szCs w:val="21"/>
              </w:rPr>
            </w:pPr>
          </w:p>
        </w:tc>
        <w:tc>
          <w:tcPr>
            <w:tcW w:w="217" w:type="dxa"/>
          </w:tcPr>
          <w:p w14:paraId="33C7622C" w14:textId="77777777" w:rsidR="002C0FD9" w:rsidRPr="00CA25CF" w:rsidRDefault="002C0FD9" w:rsidP="00CA25CF">
            <w:pPr>
              <w:rPr>
                <w:rFonts w:cs="Arial"/>
                <w:color w:val="FF0000"/>
                <w:sz w:val="21"/>
                <w:szCs w:val="21"/>
              </w:rPr>
            </w:pPr>
          </w:p>
        </w:tc>
        <w:tc>
          <w:tcPr>
            <w:tcW w:w="217" w:type="dxa"/>
          </w:tcPr>
          <w:p w14:paraId="030E09E1" w14:textId="77777777" w:rsidR="002C0FD9" w:rsidRPr="00CA25CF" w:rsidRDefault="002C0FD9" w:rsidP="00CA25CF">
            <w:pPr>
              <w:rPr>
                <w:rFonts w:cs="Arial"/>
                <w:color w:val="FF0000"/>
                <w:sz w:val="21"/>
                <w:szCs w:val="21"/>
              </w:rPr>
            </w:pPr>
          </w:p>
        </w:tc>
        <w:tc>
          <w:tcPr>
            <w:tcW w:w="217" w:type="dxa"/>
          </w:tcPr>
          <w:p w14:paraId="4C9DB2B0" w14:textId="77777777" w:rsidR="002C0FD9" w:rsidRPr="00CA25CF" w:rsidRDefault="002C0FD9" w:rsidP="00CA25CF">
            <w:pPr>
              <w:rPr>
                <w:rFonts w:cs="Arial"/>
                <w:color w:val="FF0000"/>
                <w:sz w:val="21"/>
                <w:szCs w:val="21"/>
              </w:rPr>
            </w:pPr>
          </w:p>
        </w:tc>
      </w:tr>
      <w:tr w:rsidR="002C0FD9" w:rsidRPr="00A16219" w14:paraId="654A9414" w14:textId="488A73AA" w:rsidTr="002C0FD9">
        <w:trPr>
          <w:trHeight w:val="635"/>
        </w:trPr>
        <w:tc>
          <w:tcPr>
            <w:tcW w:w="515" w:type="dxa"/>
          </w:tcPr>
          <w:p w14:paraId="77E493A9" w14:textId="77777777" w:rsidR="002C0FD9" w:rsidRPr="00CA25CF" w:rsidRDefault="002C0FD9" w:rsidP="00CA25CF">
            <w:pPr>
              <w:rPr>
                <w:rFonts w:cs="Arial"/>
                <w:color w:val="FF0000"/>
                <w:sz w:val="21"/>
                <w:szCs w:val="21"/>
              </w:rPr>
            </w:pPr>
          </w:p>
        </w:tc>
        <w:tc>
          <w:tcPr>
            <w:tcW w:w="217" w:type="dxa"/>
          </w:tcPr>
          <w:p w14:paraId="43E81E8B" w14:textId="77777777" w:rsidR="002C0FD9" w:rsidRPr="00CA25CF" w:rsidRDefault="002C0FD9" w:rsidP="00CA25CF">
            <w:pPr>
              <w:rPr>
                <w:rFonts w:cs="Arial"/>
                <w:color w:val="FF0000"/>
                <w:sz w:val="21"/>
                <w:szCs w:val="21"/>
              </w:rPr>
            </w:pPr>
          </w:p>
        </w:tc>
        <w:tc>
          <w:tcPr>
            <w:tcW w:w="217" w:type="dxa"/>
          </w:tcPr>
          <w:p w14:paraId="1701ABD7" w14:textId="73B6B91A" w:rsidR="002C0FD9" w:rsidRPr="00CA25CF" w:rsidRDefault="002C0FD9" w:rsidP="00CA25CF">
            <w:pPr>
              <w:rPr>
                <w:rFonts w:cs="Arial"/>
                <w:color w:val="FF0000"/>
                <w:sz w:val="21"/>
                <w:szCs w:val="21"/>
              </w:rPr>
            </w:pPr>
          </w:p>
        </w:tc>
        <w:tc>
          <w:tcPr>
            <w:tcW w:w="217" w:type="dxa"/>
          </w:tcPr>
          <w:p w14:paraId="506AB7CF" w14:textId="77777777" w:rsidR="002C0FD9" w:rsidRPr="00CA25CF" w:rsidRDefault="002C0FD9" w:rsidP="00CA25CF">
            <w:pPr>
              <w:rPr>
                <w:rFonts w:cs="Arial"/>
                <w:color w:val="FF0000"/>
                <w:sz w:val="21"/>
                <w:szCs w:val="21"/>
              </w:rPr>
            </w:pPr>
          </w:p>
        </w:tc>
        <w:tc>
          <w:tcPr>
            <w:tcW w:w="217" w:type="dxa"/>
          </w:tcPr>
          <w:p w14:paraId="362A0ABB" w14:textId="30A8A265" w:rsidR="002C0FD9" w:rsidRPr="00CA25CF" w:rsidRDefault="002C0FD9" w:rsidP="00CA25CF">
            <w:pPr>
              <w:rPr>
                <w:rFonts w:cs="Arial"/>
                <w:color w:val="FF0000"/>
                <w:sz w:val="21"/>
                <w:szCs w:val="21"/>
              </w:rPr>
            </w:pPr>
          </w:p>
        </w:tc>
        <w:tc>
          <w:tcPr>
            <w:tcW w:w="217" w:type="dxa"/>
          </w:tcPr>
          <w:p w14:paraId="05EA878C" w14:textId="77777777" w:rsidR="002C0FD9" w:rsidRPr="00CA25CF" w:rsidRDefault="002C0FD9" w:rsidP="00CA25CF">
            <w:pPr>
              <w:rPr>
                <w:rFonts w:cs="Arial"/>
                <w:color w:val="FF0000"/>
                <w:sz w:val="21"/>
                <w:szCs w:val="21"/>
              </w:rPr>
            </w:pPr>
          </w:p>
        </w:tc>
        <w:tc>
          <w:tcPr>
            <w:tcW w:w="217" w:type="dxa"/>
          </w:tcPr>
          <w:p w14:paraId="115EB0A6" w14:textId="77777777" w:rsidR="002C0FD9" w:rsidRPr="00CA25CF" w:rsidRDefault="002C0FD9" w:rsidP="00CA25CF">
            <w:pPr>
              <w:rPr>
                <w:rFonts w:cs="Arial"/>
                <w:color w:val="FF0000"/>
                <w:sz w:val="21"/>
                <w:szCs w:val="21"/>
              </w:rPr>
            </w:pPr>
          </w:p>
        </w:tc>
        <w:tc>
          <w:tcPr>
            <w:tcW w:w="217" w:type="dxa"/>
          </w:tcPr>
          <w:p w14:paraId="78AB78EA" w14:textId="77777777" w:rsidR="002C0FD9" w:rsidRPr="00CA25CF" w:rsidRDefault="002C0FD9" w:rsidP="00CA25CF">
            <w:pPr>
              <w:rPr>
                <w:rFonts w:cs="Arial"/>
                <w:color w:val="FF0000"/>
                <w:sz w:val="21"/>
                <w:szCs w:val="21"/>
              </w:rPr>
            </w:pPr>
          </w:p>
        </w:tc>
        <w:tc>
          <w:tcPr>
            <w:tcW w:w="217" w:type="dxa"/>
          </w:tcPr>
          <w:p w14:paraId="5D1C00AA" w14:textId="77777777" w:rsidR="002C0FD9" w:rsidRPr="00CA25CF" w:rsidRDefault="002C0FD9" w:rsidP="00CA25CF">
            <w:pPr>
              <w:rPr>
                <w:rFonts w:cs="Arial"/>
                <w:color w:val="FF0000"/>
                <w:sz w:val="21"/>
                <w:szCs w:val="21"/>
              </w:rPr>
            </w:pPr>
          </w:p>
        </w:tc>
        <w:tc>
          <w:tcPr>
            <w:tcW w:w="217" w:type="dxa"/>
          </w:tcPr>
          <w:p w14:paraId="16526402" w14:textId="77777777" w:rsidR="002C0FD9" w:rsidRPr="00CA25CF" w:rsidRDefault="002C0FD9" w:rsidP="00CA25CF">
            <w:pPr>
              <w:rPr>
                <w:rFonts w:cs="Arial"/>
                <w:color w:val="FF0000"/>
                <w:sz w:val="21"/>
                <w:szCs w:val="21"/>
              </w:rPr>
            </w:pPr>
          </w:p>
        </w:tc>
        <w:tc>
          <w:tcPr>
            <w:tcW w:w="217" w:type="dxa"/>
          </w:tcPr>
          <w:p w14:paraId="71D369EE" w14:textId="77777777" w:rsidR="002C0FD9" w:rsidRPr="00CA25CF" w:rsidRDefault="002C0FD9" w:rsidP="00CA25CF">
            <w:pPr>
              <w:rPr>
                <w:rFonts w:cs="Arial"/>
                <w:color w:val="FF0000"/>
                <w:sz w:val="21"/>
                <w:szCs w:val="21"/>
              </w:rPr>
            </w:pPr>
          </w:p>
        </w:tc>
        <w:tc>
          <w:tcPr>
            <w:tcW w:w="217" w:type="dxa"/>
          </w:tcPr>
          <w:p w14:paraId="5693BB0F" w14:textId="77777777" w:rsidR="002C0FD9" w:rsidRPr="00CA25CF" w:rsidRDefault="002C0FD9" w:rsidP="00CA25CF">
            <w:pPr>
              <w:rPr>
                <w:rFonts w:cs="Arial"/>
                <w:color w:val="FF0000"/>
                <w:sz w:val="21"/>
                <w:szCs w:val="21"/>
              </w:rPr>
            </w:pPr>
          </w:p>
        </w:tc>
        <w:tc>
          <w:tcPr>
            <w:tcW w:w="217" w:type="dxa"/>
          </w:tcPr>
          <w:p w14:paraId="7C7C01FE" w14:textId="77777777" w:rsidR="002C0FD9" w:rsidRPr="00CA25CF" w:rsidRDefault="002C0FD9" w:rsidP="00CA25CF">
            <w:pPr>
              <w:rPr>
                <w:rFonts w:cs="Arial"/>
                <w:color w:val="FF0000"/>
                <w:sz w:val="21"/>
                <w:szCs w:val="21"/>
              </w:rPr>
            </w:pPr>
          </w:p>
        </w:tc>
        <w:tc>
          <w:tcPr>
            <w:tcW w:w="217" w:type="dxa"/>
          </w:tcPr>
          <w:p w14:paraId="3C655B6B" w14:textId="77777777" w:rsidR="002C0FD9" w:rsidRPr="00CA25CF" w:rsidRDefault="002C0FD9" w:rsidP="00CA25CF">
            <w:pPr>
              <w:rPr>
                <w:rFonts w:cs="Arial"/>
                <w:color w:val="FF0000"/>
                <w:sz w:val="21"/>
                <w:szCs w:val="21"/>
              </w:rPr>
            </w:pPr>
          </w:p>
        </w:tc>
        <w:tc>
          <w:tcPr>
            <w:tcW w:w="217" w:type="dxa"/>
          </w:tcPr>
          <w:p w14:paraId="1770F22A" w14:textId="77777777" w:rsidR="002C0FD9" w:rsidRPr="00CA25CF" w:rsidRDefault="002C0FD9" w:rsidP="00CA25CF">
            <w:pPr>
              <w:rPr>
                <w:rFonts w:cs="Arial"/>
                <w:color w:val="FF0000"/>
                <w:sz w:val="21"/>
                <w:szCs w:val="21"/>
              </w:rPr>
            </w:pPr>
          </w:p>
        </w:tc>
        <w:tc>
          <w:tcPr>
            <w:tcW w:w="217" w:type="dxa"/>
          </w:tcPr>
          <w:p w14:paraId="7A3BDFF3" w14:textId="6334011F" w:rsidR="002C0FD9" w:rsidRPr="00CA25CF" w:rsidRDefault="002C0FD9" w:rsidP="00CA25CF">
            <w:pPr>
              <w:rPr>
                <w:rFonts w:cs="Arial"/>
                <w:color w:val="FF0000"/>
                <w:sz w:val="21"/>
                <w:szCs w:val="21"/>
              </w:rPr>
            </w:pPr>
          </w:p>
        </w:tc>
        <w:tc>
          <w:tcPr>
            <w:tcW w:w="217" w:type="dxa"/>
          </w:tcPr>
          <w:p w14:paraId="660B5773" w14:textId="77777777" w:rsidR="002C0FD9" w:rsidRPr="00CA25CF" w:rsidRDefault="002C0FD9" w:rsidP="00CA25CF">
            <w:pPr>
              <w:rPr>
                <w:rFonts w:cs="Arial"/>
                <w:color w:val="FF0000"/>
                <w:sz w:val="21"/>
                <w:szCs w:val="21"/>
              </w:rPr>
            </w:pPr>
          </w:p>
        </w:tc>
        <w:tc>
          <w:tcPr>
            <w:tcW w:w="217" w:type="dxa"/>
          </w:tcPr>
          <w:p w14:paraId="5C26BF73" w14:textId="77777777" w:rsidR="002C0FD9" w:rsidRPr="00CA25CF" w:rsidRDefault="002C0FD9" w:rsidP="00CA25CF">
            <w:pPr>
              <w:rPr>
                <w:rFonts w:cs="Arial"/>
                <w:color w:val="FF0000"/>
                <w:sz w:val="21"/>
                <w:szCs w:val="21"/>
              </w:rPr>
            </w:pPr>
          </w:p>
        </w:tc>
        <w:tc>
          <w:tcPr>
            <w:tcW w:w="217" w:type="dxa"/>
          </w:tcPr>
          <w:p w14:paraId="558B9576" w14:textId="77777777" w:rsidR="002C0FD9" w:rsidRPr="00CA25CF" w:rsidRDefault="002C0FD9" w:rsidP="00CA25CF">
            <w:pPr>
              <w:rPr>
                <w:rFonts w:cs="Arial"/>
                <w:color w:val="FF0000"/>
                <w:sz w:val="21"/>
                <w:szCs w:val="21"/>
              </w:rPr>
            </w:pPr>
          </w:p>
        </w:tc>
        <w:tc>
          <w:tcPr>
            <w:tcW w:w="217" w:type="dxa"/>
          </w:tcPr>
          <w:p w14:paraId="66F1C547" w14:textId="77777777" w:rsidR="002C0FD9" w:rsidRPr="00CA25CF" w:rsidRDefault="002C0FD9" w:rsidP="00CA25CF">
            <w:pPr>
              <w:rPr>
                <w:rFonts w:cs="Arial"/>
                <w:color w:val="FF0000"/>
                <w:sz w:val="21"/>
                <w:szCs w:val="21"/>
              </w:rPr>
            </w:pPr>
          </w:p>
        </w:tc>
        <w:tc>
          <w:tcPr>
            <w:tcW w:w="217" w:type="dxa"/>
          </w:tcPr>
          <w:p w14:paraId="642A26D5" w14:textId="77777777" w:rsidR="002C0FD9" w:rsidRPr="00CA25CF" w:rsidRDefault="002C0FD9" w:rsidP="00CA25CF">
            <w:pPr>
              <w:rPr>
                <w:rFonts w:cs="Arial"/>
                <w:color w:val="FF0000"/>
                <w:sz w:val="21"/>
                <w:szCs w:val="21"/>
              </w:rPr>
            </w:pPr>
          </w:p>
        </w:tc>
        <w:tc>
          <w:tcPr>
            <w:tcW w:w="217" w:type="dxa"/>
          </w:tcPr>
          <w:p w14:paraId="4020A4C0" w14:textId="77777777" w:rsidR="002C0FD9" w:rsidRPr="00CA25CF" w:rsidRDefault="002C0FD9" w:rsidP="00CA25CF">
            <w:pPr>
              <w:rPr>
                <w:rFonts w:cs="Arial"/>
                <w:color w:val="FF0000"/>
                <w:sz w:val="21"/>
                <w:szCs w:val="21"/>
              </w:rPr>
            </w:pPr>
          </w:p>
        </w:tc>
        <w:tc>
          <w:tcPr>
            <w:tcW w:w="217" w:type="dxa"/>
          </w:tcPr>
          <w:p w14:paraId="02840C37" w14:textId="77777777" w:rsidR="002C0FD9" w:rsidRPr="00CA25CF" w:rsidRDefault="002C0FD9" w:rsidP="00CA25CF">
            <w:pPr>
              <w:rPr>
                <w:rFonts w:cs="Arial"/>
                <w:color w:val="FF0000"/>
                <w:sz w:val="21"/>
                <w:szCs w:val="21"/>
              </w:rPr>
            </w:pPr>
          </w:p>
        </w:tc>
        <w:tc>
          <w:tcPr>
            <w:tcW w:w="217" w:type="dxa"/>
          </w:tcPr>
          <w:p w14:paraId="1ED54A16" w14:textId="77777777" w:rsidR="002C0FD9" w:rsidRPr="00CA25CF" w:rsidRDefault="002C0FD9" w:rsidP="00CA25CF">
            <w:pPr>
              <w:rPr>
                <w:rFonts w:cs="Arial"/>
                <w:color w:val="FF0000"/>
                <w:sz w:val="21"/>
                <w:szCs w:val="21"/>
              </w:rPr>
            </w:pPr>
          </w:p>
        </w:tc>
        <w:tc>
          <w:tcPr>
            <w:tcW w:w="217" w:type="dxa"/>
          </w:tcPr>
          <w:p w14:paraId="7787F8FF" w14:textId="77777777" w:rsidR="002C0FD9" w:rsidRPr="00CA25CF" w:rsidRDefault="002C0FD9" w:rsidP="00CA25CF">
            <w:pPr>
              <w:rPr>
                <w:rFonts w:cs="Arial"/>
                <w:color w:val="FF0000"/>
                <w:sz w:val="21"/>
                <w:szCs w:val="21"/>
              </w:rPr>
            </w:pPr>
          </w:p>
        </w:tc>
        <w:tc>
          <w:tcPr>
            <w:tcW w:w="217" w:type="dxa"/>
          </w:tcPr>
          <w:p w14:paraId="366838A9" w14:textId="77777777" w:rsidR="002C0FD9" w:rsidRPr="00CA25CF" w:rsidRDefault="002C0FD9" w:rsidP="00CA25CF">
            <w:pPr>
              <w:rPr>
                <w:rFonts w:cs="Arial"/>
                <w:color w:val="FF0000"/>
                <w:sz w:val="21"/>
                <w:szCs w:val="21"/>
              </w:rPr>
            </w:pPr>
          </w:p>
        </w:tc>
        <w:tc>
          <w:tcPr>
            <w:tcW w:w="217" w:type="dxa"/>
          </w:tcPr>
          <w:p w14:paraId="57528622" w14:textId="77777777" w:rsidR="002C0FD9" w:rsidRPr="00CA25CF" w:rsidRDefault="002C0FD9" w:rsidP="00CA25CF">
            <w:pPr>
              <w:rPr>
                <w:rFonts w:cs="Arial"/>
                <w:color w:val="FF0000"/>
                <w:sz w:val="21"/>
                <w:szCs w:val="21"/>
              </w:rPr>
            </w:pPr>
          </w:p>
        </w:tc>
        <w:tc>
          <w:tcPr>
            <w:tcW w:w="217" w:type="dxa"/>
          </w:tcPr>
          <w:p w14:paraId="13F09EEB" w14:textId="77777777" w:rsidR="002C0FD9" w:rsidRPr="00CA25CF" w:rsidRDefault="002C0FD9" w:rsidP="00CA25CF">
            <w:pPr>
              <w:rPr>
                <w:rFonts w:cs="Arial"/>
                <w:color w:val="FF0000"/>
                <w:sz w:val="21"/>
                <w:szCs w:val="21"/>
              </w:rPr>
            </w:pPr>
          </w:p>
        </w:tc>
        <w:tc>
          <w:tcPr>
            <w:tcW w:w="217" w:type="dxa"/>
          </w:tcPr>
          <w:p w14:paraId="110D6BAD" w14:textId="77777777" w:rsidR="002C0FD9" w:rsidRPr="00CA25CF" w:rsidRDefault="002C0FD9" w:rsidP="00CA25CF">
            <w:pPr>
              <w:rPr>
                <w:rFonts w:cs="Arial"/>
                <w:color w:val="FF0000"/>
                <w:sz w:val="21"/>
                <w:szCs w:val="21"/>
              </w:rPr>
            </w:pPr>
          </w:p>
        </w:tc>
        <w:tc>
          <w:tcPr>
            <w:tcW w:w="217" w:type="dxa"/>
          </w:tcPr>
          <w:p w14:paraId="4AE87834" w14:textId="77777777" w:rsidR="002C0FD9" w:rsidRPr="00CA25CF" w:rsidRDefault="002C0FD9" w:rsidP="00CA25CF">
            <w:pPr>
              <w:rPr>
                <w:rFonts w:cs="Arial"/>
                <w:color w:val="FF0000"/>
                <w:sz w:val="21"/>
                <w:szCs w:val="21"/>
              </w:rPr>
            </w:pPr>
          </w:p>
        </w:tc>
        <w:tc>
          <w:tcPr>
            <w:tcW w:w="217" w:type="dxa"/>
          </w:tcPr>
          <w:p w14:paraId="5358511C" w14:textId="77777777" w:rsidR="002C0FD9" w:rsidRPr="00CA25CF" w:rsidRDefault="002C0FD9" w:rsidP="00CA25CF">
            <w:pPr>
              <w:rPr>
                <w:rFonts w:cs="Arial"/>
                <w:color w:val="FF0000"/>
                <w:sz w:val="21"/>
                <w:szCs w:val="21"/>
              </w:rPr>
            </w:pPr>
          </w:p>
        </w:tc>
        <w:tc>
          <w:tcPr>
            <w:tcW w:w="217" w:type="dxa"/>
          </w:tcPr>
          <w:p w14:paraId="7E2C806D" w14:textId="77777777" w:rsidR="002C0FD9" w:rsidRPr="00CA25CF" w:rsidRDefault="002C0FD9" w:rsidP="00CA25CF">
            <w:pPr>
              <w:rPr>
                <w:rFonts w:cs="Arial"/>
                <w:color w:val="FF0000"/>
                <w:sz w:val="21"/>
                <w:szCs w:val="21"/>
              </w:rPr>
            </w:pPr>
          </w:p>
        </w:tc>
        <w:tc>
          <w:tcPr>
            <w:tcW w:w="217" w:type="dxa"/>
          </w:tcPr>
          <w:p w14:paraId="0C47CCF6" w14:textId="77777777" w:rsidR="002C0FD9" w:rsidRPr="00CA25CF" w:rsidRDefault="002C0FD9" w:rsidP="00CA25CF">
            <w:pPr>
              <w:rPr>
                <w:rFonts w:cs="Arial"/>
                <w:color w:val="FF0000"/>
                <w:sz w:val="21"/>
                <w:szCs w:val="21"/>
              </w:rPr>
            </w:pPr>
          </w:p>
        </w:tc>
        <w:tc>
          <w:tcPr>
            <w:tcW w:w="217" w:type="dxa"/>
          </w:tcPr>
          <w:p w14:paraId="398EBA7B" w14:textId="77777777" w:rsidR="002C0FD9" w:rsidRPr="00CA25CF" w:rsidRDefault="002C0FD9" w:rsidP="00CA25CF">
            <w:pPr>
              <w:rPr>
                <w:rFonts w:cs="Arial"/>
                <w:color w:val="FF0000"/>
                <w:sz w:val="21"/>
                <w:szCs w:val="21"/>
              </w:rPr>
            </w:pPr>
          </w:p>
        </w:tc>
        <w:tc>
          <w:tcPr>
            <w:tcW w:w="217" w:type="dxa"/>
          </w:tcPr>
          <w:p w14:paraId="3394D49B" w14:textId="77777777" w:rsidR="002C0FD9" w:rsidRPr="00CA25CF" w:rsidRDefault="002C0FD9" w:rsidP="00CA25CF">
            <w:pPr>
              <w:rPr>
                <w:rFonts w:cs="Arial"/>
                <w:color w:val="FF0000"/>
                <w:sz w:val="21"/>
                <w:szCs w:val="21"/>
              </w:rPr>
            </w:pPr>
          </w:p>
        </w:tc>
        <w:tc>
          <w:tcPr>
            <w:tcW w:w="217" w:type="dxa"/>
          </w:tcPr>
          <w:p w14:paraId="6FAD0291" w14:textId="77777777" w:rsidR="002C0FD9" w:rsidRPr="00CA25CF" w:rsidRDefault="002C0FD9" w:rsidP="00CA25CF">
            <w:pPr>
              <w:rPr>
                <w:rFonts w:cs="Arial"/>
                <w:color w:val="FF0000"/>
                <w:sz w:val="21"/>
                <w:szCs w:val="21"/>
              </w:rPr>
            </w:pPr>
          </w:p>
        </w:tc>
        <w:tc>
          <w:tcPr>
            <w:tcW w:w="217" w:type="dxa"/>
          </w:tcPr>
          <w:p w14:paraId="5B4860B9" w14:textId="77777777" w:rsidR="002C0FD9" w:rsidRPr="00CA25CF" w:rsidRDefault="002C0FD9" w:rsidP="00CA25CF">
            <w:pPr>
              <w:rPr>
                <w:rFonts w:cs="Arial"/>
                <w:color w:val="FF0000"/>
                <w:sz w:val="21"/>
                <w:szCs w:val="21"/>
              </w:rPr>
            </w:pPr>
          </w:p>
        </w:tc>
        <w:tc>
          <w:tcPr>
            <w:tcW w:w="217" w:type="dxa"/>
          </w:tcPr>
          <w:p w14:paraId="02B37034" w14:textId="77777777" w:rsidR="002C0FD9" w:rsidRPr="00CA25CF" w:rsidRDefault="002C0FD9" w:rsidP="00CA25CF">
            <w:pPr>
              <w:rPr>
                <w:rFonts w:cs="Arial"/>
                <w:color w:val="FF0000"/>
                <w:sz w:val="21"/>
                <w:szCs w:val="21"/>
              </w:rPr>
            </w:pPr>
          </w:p>
        </w:tc>
        <w:tc>
          <w:tcPr>
            <w:tcW w:w="217" w:type="dxa"/>
          </w:tcPr>
          <w:p w14:paraId="38E429F2" w14:textId="77777777" w:rsidR="002C0FD9" w:rsidRPr="00CA25CF" w:rsidRDefault="002C0FD9" w:rsidP="00CA25CF">
            <w:pPr>
              <w:rPr>
                <w:rFonts w:cs="Arial"/>
                <w:color w:val="FF0000"/>
                <w:sz w:val="21"/>
                <w:szCs w:val="21"/>
              </w:rPr>
            </w:pPr>
          </w:p>
        </w:tc>
        <w:tc>
          <w:tcPr>
            <w:tcW w:w="217" w:type="dxa"/>
          </w:tcPr>
          <w:p w14:paraId="242A0574" w14:textId="77777777" w:rsidR="002C0FD9" w:rsidRPr="00CA25CF" w:rsidRDefault="002C0FD9" w:rsidP="00CA25CF">
            <w:pPr>
              <w:rPr>
                <w:rFonts w:cs="Arial"/>
                <w:color w:val="FF0000"/>
                <w:sz w:val="21"/>
                <w:szCs w:val="21"/>
              </w:rPr>
            </w:pPr>
          </w:p>
        </w:tc>
        <w:tc>
          <w:tcPr>
            <w:tcW w:w="217" w:type="dxa"/>
          </w:tcPr>
          <w:p w14:paraId="7B200A21" w14:textId="77777777" w:rsidR="002C0FD9" w:rsidRPr="00CA25CF" w:rsidRDefault="002C0FD9" w:rsidP="00CA25CF">
            <w:pPr>
              <w:rPr>
                <w:rFonts w:cs="Arial"/>
                <w:color w:val="FF0000"/>
                <w:sz w:val="21"/>
                <w:szCs w:val="21"/>
              </w:rPr>
            </w:pPr>
          </w:p>
        </w:tc>
        <w:tc>
          <w:tcPr>
            <w:tcW w:w="217" w:type="dxa"/>
          </w:tcPr>
          <w:p w14:paraId="17318FC6" w14:textId="77777777" w:rsidR="002C0FD9" w:rsidRPr="00CA25CF" w:rsidRDefault="002C0FD9" w:rsidP="00CA25CF">
            <w:pPr>
              <w:rPr>
                <w:rFonts w:cs="Arial"/>
                <w:color w:val="FF0000"/>
                <w:sz w:val="21"/>
                <w:szCs w:val="21"/>
              </w:rPr>
            </w:pPr>
          </w:p>
        </w:tc>
        <w:tc>
          <w:tcPr>
            <w:tcW w:w="217" w:type="dxa"/>
          </w:tcPr>
          <w:p w14:paraId="6365551A" w14:textId="77777777" w:rsidR="002C0FD9" w:rsidRPr="00CA25CF" w:rsidRDefault="002C0FD9" w:rsidP="00CA25CF">
            <w:pPr>
              <w:rPr>
                <w:rFonts w:cs="Arial"/>
                <w:color w:val="FF0000"/>
                <w:sz w:val="21"/>
                <w:szCs w:val="21"/>
              </w:rPr>
            </w:pPr>
          </w:p>
        </w:tc>
      </w:tr>
      <w:tr w:rsidR="002C0FD9" w:rsidRPr="00A16219" w14:paraId="51C75BE7" w14:textId="31FC5EEF" w:rsidTr="002C0FD9">
        <w:trPr>
          <w:trHeight w:val="635"/>
        </w:trPr>
        <w:tc>
          <w:tcPr>
            <w:tcW w:w="515" w:type="dxa"/>
          </w:tcPr>
          <w:p w14:paraId="129BD41A" w14:textId="77777777" w:rsidR="002C0FD9" w:rsidRPr="00CA25CF" w:rsidRDefault="002C0FD9" w:rsidP="00CA25CF">
            <w:pPr>
              <w:rPr>
                <w:rFonts w:cs="Arial"/>
                <w:color w:val="FF0000"/>
                <w:sz w:val="21"/>
                <w:szCs w:val="21"/>
              </w:rPr>
            </w:pPr>
          </w:p>
        </w:tc>
        <w:tc>
          <w:tcPr>
            <w:tcW w:w="217" w:type="dxa"/>
          </w:tcPr>
          <w:p w14:paraId="0742E99E" w14:textId="77777777" w:rsidR="002C0FD9" w:rsidRPr="00CA25CF" w:rsidRDefault="002C0FD9" w:rsidP="00CA25CF">
            <w:pPr>
              <w:rPr>
                <w:rFonts w:cs="Arial"/>
                <w:color w:val="FF0000"/>
                <w:sz w:val="21"/>
                <w:szCs w:val="21"/>
              </w:rPr>
            </w:pPr>
          </w:p>
        </w:tc>
        <w:tc>
          <w:tcPr>
            <w:tcW w:w="217" w:type="dxa"/>
          </w:tcPr>
          <w:p w14:paraId="7F24B0EC" w14:textId="57202547" w:rsidR="002C0FD9" w:rsidRPr="00CA25CF" w:rsidRDefault="002C0FD9" w:rsidP="00CA25CF">
            <w:pPr>
              <w:rPr>
                <w:rFonts w:cs="Arial"/>
                <w:color w:val="FF0000"/>
                <w:sz w:val="21"/>
                <w:szCs w:val="21"/>
              </w:rPr>
            </w:pPr>
          </w:p>
        </w:tc>
        <w:tc>
          <w:tcPr>
            <w:tcW w:w="217" w:type="dxa"/>
          </w:tcPr>
          <w:p w14:paraId="3DA458E0" w14:textId="77777777" w:rsidR="002C0FD9" w:rsidRPr="00CA25CF" w:rsidRDefault="002C0FD9" w:rsidP="00CA25CF">
            <w:pPr>
              <w:rPr>
                <w:rFonts w:cs="Arial"/>
                <w:color w:val="FF0000"/>
                <w:sz w:val="21"/>
                <w:szCs w:val="21"/>
              </w:rPr>
            </w:pPr>
          </w:p>
        </w:tc>
        <w:tc>
          <w:tcPr>
            <w:tcW w:w="217" w:type="dxa"/>
          </w:tcPr>
          <w:p w14:paraId="64F26F0D" w14:textId="77777777" w:rsidR="002C0FD9" w:rsidRPr="00CA25CF" w:rsidRDefault="002C0FD9" w:rsidP="00CA25CF">
            <w:pPr>
              <w:rPr>
                <w:rFonts w:cs="Arial"/>
                <w:color w:val="FF0000"/>
                <w:sz w:val="21"/>
                <w:szCs w:val="21"/>
              </w:rPr>
            </w:pPr>
          </w:p>
        </w:tc>
        <w:tc>
          <w:tcPr>
            <w:tcW w:w="217" w:type="dxa"/>
          </w:tcPr>
          <w:p w14:paraId="439B3238" w14:textId="77777777" w:rsidR="002C0FD9" w:rsidRPr="00CA25CF" w:rsidRDefault="002C0FD9" w:rsidP="00CA25CF">
            <w:pPr>
              <w:rPr>
                <w:rFonts w:cs="Arial"/>
                <w:color w:val="FF0000"/>
                <w:sz w:val="21"/>
                <w:szCs w:val="21"/>
              </w:rPr>
            </w:pPr>
          </w:p>
        </w:tc>
        <w:tc>
          <w:tcPr>
            <w:tcW w:w="217" w:type="dxa"/>
          </w:tcPr>
          <w:p w14:paraId="33E268C9" w14:textId="77777777" w:rsidR="002C0FD9" w:rsidRPr="00CA25CF" w:rsidRDefault="002C0FD9" w:rsidP="00CA25CF">
            <w:pPr>
              <w:rPr>
                <w:rFonts w:cs="Arial"/>
                <w:color w:val="FF0000"/>
                <w:sz w:val="21"/>
                <w:szCs w:val="21"/>
              </w:rPr>
            </w:pPr>
          </w:p>
        </w:tc>
        <w:tc>
          <w:tcPr>
            <w:tcW w:w="217" w:type="dxa"/>
          </w:tcPr>
          <w:p w14:paraId="0FDAA3B7" w14:textId="77777777" w:rsidR="002C0FD9" w:rsidRPr="00CA25CF" w:rsidRDefault="002C0FD9" w:rsidP="00CA25CF">
            <w:pPr>
              <w:rPr>
                <w:rFonts w:cs="Arial"/>
                <w:color w:val="FF0000"/>
                <w:sz w:val="21"/>
                <w:szCs w:val="21"/>
              </w:rPr>
            </w:pPr>
          </w:p>
        </w:tc>
        <w:tc>
          <w:tcPr>
            <w:tcW w:w="217" w:type="dxa"/>
          </w:tcPr>
          <w:p w14:paraId="7E4EEA7F" w14:textId="77777777" w:rsidR="002C0FD9" w:rsidRPr="00CA25CF" w:rsidRDefault="002C0FD9" w:rsidP="00CA25CF">
            <w:pPr>
              <w:rPr>
                <w:rFonts w:cs="Arial"/>
                <w:color w:val="FF0000"/>
                <w:sz w:val="21"/>
                <w:szCs w:val="21"/>
              </w:rPr>
            </w:pPr>
          </w:p>
        </w:tc>
        <w:tc>
          <w:tcPr>
            <w:tcW w:w="217" w:type="dxa"/>
          </w:tcPr>
          <w:p w14:paraId="3486F3F0" w14:textId="77777777" w:rsidR="002C0FD9" w:rsidRPr="00CA25CF" w:rsidRDefault="002C0FD9" w:rsidP="00CA25CF">
            <w:pPr>
              <w:rPr>
                <w:rFonts w:cs="Arial"/>
                <w:color w:val="FF0000"/>
                <w:sz w:val="21"/>
                <w:szCs w:val="21"/>
              </w:rPr>
            </w:pPr>
          </w:p>
        </w:tc>
        <w:tc>
          <w:tcPr>
            <w:tcW w:w="217" w:type="dxa"/>
          </w:tcPr>
          <w:p w14:paraId="384903F2" w14:textId="77777777" w:rsidR="002C0FD9" w:rsidRPr="00CA25CF" w:rsidRDefault="002C0FD9" w:rsidP="00CA25CF">
            <w:pPr>
              <w:rPr>
                <w:rFonts w:cs="Arial"/>
                <w:color w:val="FF0000"/>
                <w:sz w:val="21"/>
                <w:szCs w:val="21"/>
              </w:rPr>
            </w:pPr>
          </w:p>
        </w:tc>
        <w:tc>
          <w:tcPr>
            <w:tcW w:w="217" w:type="dxa"/>
          </w:tcPr>
          <w:p w14:paraId="642938DF" w14:textId="77777777" w:rsidR="002C0FD9" w:rsidRPr="00CA25CF" w:rsidRDefault="002C0FD9" w:rsidP="00CA25CF">
            <w:pPr>
              <w:rPr>
                <w:rFonts w:cs="Arial"/>
                <w:color w:val="FF0000"/>
                <w:sz w:val="21"/>
                <w:szCs w:val="21"/>
              </w:rPr>
            </w:pPr>
          </w:p>
        </w:tc>
        <w:tc>
          <w:tcPr>
            <w:tcW w:w="217" w:type="dxa"/>
          </w:tcPr>
          <w:p w14:paraId="1C77BAAD" w14:textId="77777777" w:rsidR="002C0FD9" w:rsidRPr="00CA25CF" w:rsidRDefault="002C0FD9" w:rsidP="00CA25CF">
            <w:pPr>
              <w:rPr>
                <w:rFonts w:cs="Arial"/>
                <w:color w:val="FF0000"/>
                <w:sz w:val="21"/>
                <w:szCs w:val="21"/>
              </w:rPr>
            </w:pPr>
          </w:p>
        </w:tc>
        <w:tc>
          <w:tcPr>
            <w:tcW w:w="217" w:type="dxa"/>
          </w:tcPr>
          <w:p w14:paraId="38413565" w14:textId="77777777" w:rsidR="002C0FD9" w:rsidRPr="00CA25CF" w:rsidRDefault="002C0FD9" w:rsidP="00CA25CF">
            <w:pPr>
              <w:rPr>
                <w:rFonts w:cs="Arial"/>
                <w:color w:val="FF0000"/>
                <w:sz w:val="21"/>
                <w:szCs w:val="21"/>
              </w:rPr>
            </w:pPr>
          </w:p>
        </w:tc>
        <w:tc>
          <w:tcPr>
            <w:tcW w:w="217" w:type="dxa"/>
          </w:tcPr>
          <w:p w14:paraId="38AA4686" w14:textId="77777777" w:rsidR="002C0FD9" w:rsidRPr="00CA25CF" w:rsidRDefault="002C0FD9" w:rsidP="00CA25CF">
            <w:pPr>
              <w:rPr>
                <w:rFonts w:cs="Arial"/>
                <w:color w:val="FF0000"/>
                <w:sz w:val="21"/>
                <w:szCs w:val="21"/>
              </w:rPr>
            </w:pPr>
          </w:p>
        </w:tc>
        <w:tc>
          <w:tcPr>
            <w:tcW w:w="217" w:type="dxa"/>
          </w:tcPr>
          <w:p w14:paraId="682CE3C2" w14:textId="5D04055F" w:rsidR="002C0FD9" w:rsidRPr="00CA25CF" w:rsidRDefault="002C0FD9" w:rsidP="00CA25CF">
            <w:pPr>
              <w:rPr>
                <w:rFonts w:cs="Arial"/>
                <w:color w:val="FF0000"/>
                <w:sz w:val="21"/>
                <w:szCs w:val="21"/>
              </w:rPr>
            </w:pPr>
          </w:p>
        </w:tc>
        <w:tc>
          <w:tcPr>
            <w:tcW w:w="217" w:type="dxa"/>
          </w:tcPr>
          <w:p w14:paraId="1D2A87F5" w14:textId="77777777" w:rsidR="002C0FD9" w:rsidRPr="00CA25CF" w:rsidRDefault="002C0FD9" w:rsidP="00CA25CF">
            <w:pPr>
              <w:rPr>
                <w:rFonts w:cs="Arial"/>
                <w:color w:val="FF0000"/>
                <w:sz w:val="21"/>
                <w:szCs w:val="21"/>
              </w:rPr>
            </w:pPr>
          </w:p>
        </w:tc>
        <w:tc>
          <w:tcPr>
            <w:tcW w:w="217" w:type="dxa"/>
          </w:tcPr>
          <w:p w14:paraId="03AE8CDC" w14:textId="77777777" w:rsidR="002C0FD9" w:rsidRPr="00CA25CF" w:rsidRDefault="002C0FD9" w:rsidP="00CA25CF">
            <w:pPr>
              <w:rPr>
                <w:rFonts w:cs="Arial"/>
                <w:color w:val="FF0000"/>
                <w:sz w:val="21"/>
                <w:szCs w:val="21"/>
              </w:rPr>
            </w:pPr>
          </w:p>
        </w:tc>
        <w:tc>
          <w:tcPr>
            <w:tcW w:w="217" w:type="dxa"/>
          </w:tcPr>
          <w:p w14:paraId="5A5E9901" w14:textId="77777777" w:rsidR="002C0FD9" w:rsidRPr="00CA25CF" w:rsidRDefault="002C0FD9" w:rsidP="00CA25CF">
            <w:pPr>
              <w:rPr>
                <w:rFonts w:cs="Arial"/>
                <w:color w:val="FF0000"/>
                <w:sz w:val="21"/>
                <w:szCs w:val="21"/>
              </w:rPr>
            </w:pPr>
          </w:p>
        </w:tc>
        <w:tc>
          <w:tcPr>
            <w:tcW w:w="217" w:type="dxa"/>
          </w:tcPr>
          <w:p w14:paraId="7A20A755" w14:textId="77777777" w:rsidR="002C0FD9" w:rsidRPr="00CA25CF" w:rsidRDefault="002C0FD9" w:rsidP="00CA25CF">
            <w:pPr>
              <w:rPr>
                <w:rFonts w:cs="Arial"/>
                <w:color w:val="FF0000"/>
                <w:sz w:val="21"/>
                <w:szCs w:val="21"/>
              </w:rPr>
            </w:pPr>
          </w:p>
        </w:tc>
        <w:tc>
          <w:tcPr>
            <w:tcW w:w="217" w:type="dxa"/>
          </w:tcPr>
          <w:p w14:paraId="51C05E44" w14:textId="77777777" w:rsidR="002C0FD9" w:rsidRPr="00CA25CF" w:rsidRDefault="002C0FD9" w:rsidP="00CA25CF">
            <w:pPr>
              <w:rPr>
                <w:rFonts w:cs="Arial"/>
                <w:color w:val="FF0000"/>
                <w:sz w:val="21"/>
                <w:szCs w:val="21"/>
              </w:rPr>
            </w:pPr>
          </w:p>
        </w:tc>
        <w:tc>
          <w:tcPr>
            <w:tcW w:w="217" w:type="dxa"/>
          </w:tcPr>
          <w:p w14:paraId="5BED303E" w14:textId="77777777" w:rsidR="002C0FD9" w:rsidRPr="00CA25CF" w:rsidRDefault="002C0FD9" w:rsidP="00CA25CF">
            <w:pPr>
              <w:rPr>
                <w:rFonts w:cs="Arial"/>
                <w:color w:val="FF0000"/>
                <w:sz w:val="21"/>
                <w:szCs w:val="21"/>
              </w:rPr>
            </w:pPr>
          </w:p>
        </w:tc>
        <w:tc>
          <w:tcPr>
            <w:tcW w:w="217" w:type="dxa"/>
          </w:tcPr>
          <w:p w14:paraId="39D2B6E3" w14:textId="77777777" w:rsidR="002C0FD9" w:rsidRPr="00CA25CF" w:rsidRDefault="002C0FD9" w:rsidP="00CA25CF">
            <w:pPr>
              <w:rPr>
                <w:rFonts w:cs="Arial"/>
                <w:color w:val="FF0000"/>
                <w:sz w:val="21"/>
                <w:szCs w:val="21"/>
              </w:rPr>
            </w:pPr>
          </w:p>
        </w:tc>
        <w:tc>
          <w:tcPr>
            <w:tcW w:w="217" w:type="dxa"/>
          </w:tcPr>
          <w:p w14:paraId="63BF07EA" w14:textId="77777777" w:rsidR="002C0FD9" w:rsidRPr="00CA25CF" w:rsidRDefault="002C0FD9" w:rsidP="00CA25CF">
            <w:pPr>
              <w:rPr>
                <w:rFonts w:cs="Arial"/>
                <w:color w:val="FF0000"/>
                <w:sz w:val="21"/>
                <w:szCs w:val="21"/>
              </w:rPr>
            </w:pPr>
          </w:p>
        </w:tc>
        <w:tc>
          <w:tcPr>
            <w:tcW w:w="217" w:type="dxa"/>
          </w:tcPr>
          <w:p w14:paraId="329F99F7" w14:textId="77777777" w:rsidR="002C0FD9" w:rsidRPr="00CA25CF" w:rsidRDefault="002C0FD9" w:rsidP="00CA25CF">
            <w:pPr>
              <w:rPr>
                <w:rFonts w:cs="Arial"/>
                <w:color w:val="FF0000"/>
                <w:sz w:val="21"/>
                <w:szCs w:val="21"/>
              </w:rPr>
            </w:pPr>
          </w:p>
        </w:tc>
        <w:tc>
          <w:tcPr>
            <w:tcW w:w="217" w:type="dxa"/>
          </w:tcPr>
          <w:p w14:paraId="2FE2592C" w14:textId="77777777" w:rsidR="002C0FD9" w:rsidRPr="00CA25CF" w:rsidRDefault="002C0FD9" w:rsidP="00CA25CF">
            <w:pPr>
              <w:rPr>
                <w:rFonts w:cs="Arial"/>
                <w:color w:val="FF0000"/>
                <w:sz w:val="21"/>
                <w:szCs w:val="21"/>
              </w:rPr>
            </w:pPr>
          </w:p>
        </w:tc>
        <w:tc>
          <w:tcPr>
            <w:tcW w:w="217" w:type="dxa"/>
          </w:tcPr>
          <w:p w14:paraId="1983A88E" w14:textId="77777777" w:rsidR="002C0FD9" w:rsidRPr="00CA25CF" w:rsidRDefault="002C0FD9" w:rsidP="00CA25CF">
            <w:pPr>
              <w:rPr>
                <w:rFonts w:cs="Arial"/>
                <w:color w:val="FF0000"/>
                <w:sz w:val="21"/>
                <w:szCs w:val="21"/>
              </w:rPr>
            </w:pPr>
          </w:p>
        </w:tc>
        <w:tc>
          <w:tcPr>
            <w:tcW w:w="217" w:type="dxa"/>
          </w:tcPr>
          <w:p w14:paraId="6AE61292" w14:textId="77777777" w:rsidR="002C0FD9" w:rsidRPr="00CA25CF" w:rsidRDefault="002C0FD9" w:rsidP="00CA25CF">
            <w:pPr>
              <w:rPr>
                <w:rFonts w:cs="Arial"/>
                <w:color w:val="FF0000"/>
                <w:sz w:val="21"/>
                <w:szCs w:val="21"/>
              </w:rPr>
            </w:pPr>
          </w:p>
        </w:tc>
        <w:tc>
          <w:tcPr>
            <w:tcW w:w="217" w:type="dxa"/>
          </w:tcPr>
          <w:p w14:paraId="176353B7" w14:textId="77777777" w:rsidR="002C0FD9" w:rsidRPr="00CA25CF" w:rsidRDefault="002C0FD9" w:rsidP="00CA25CF">
            <w:pPr>
              <w:rPr>
                <w:rFonts w:cs="Arial"/>
                <w:color w:val="FF0000"/>
                <w:sz w:val="21"/>
                <w:szCs w:val="21"/>
              </w:rPr>
            </w:pPr>
          </w:p>
        </w:tc>
        <w:tc>
          <w:tcPr>
            <w:tcW w:w="217" w:type="dxa"/>
          </w:tcPr>
          <w:p w14:paraId="588F63E1" w14:textId="77777777" w:rsidR="002C0FD9" w:rsidRPr="00CA25CF" w:rsidRDefault="002C0FD9" w:rsidP="00CA25CF">
            <w:pPr>
              <w:rPr>
                <w:rFonts w:cs="Arial"/>
                <w:color w:val="FF0000"/>
                <w:sz w:val="21"/>
                <w:szCs w:val="21"/>
              </w:rPr>
            </w:pPr>
          </w:p>
        </w:tc>
        <w:tc>
          <w:tcPr>
            <w:tcW w:w="217" w:type="dxa"/>
          </w:tcPr>
          <w:p w14:paraId="0FF784C2" w14:textId="77777777" w:rsidR="002C0FD9" w:rsidRPr="00CA25CF" w:rsidRDefault="002C0FD9" w:rsidP="00CA25CF">
            <w:pPr>
              <w:rPr>
                <w:rFonts w:cs="Arial"/>
                <w:color w:val="FF0000"/>
                <w:sz w:val="21"/>
                <w:szCs w:val="21"/>
              </w:rPr>
            </w:pPr>
          </w:p>
        </w:tc>
        <w:tc>
          <w:tcPr>
            <w:tcW w:w="217" w:type="dxa"/>
          </w:tcPr>
          <w:p w14:paraId="25ACCE09" w14:textId="77777777" w:rsidR="002C0FD9" w:rsidRPr="00CA25CF" w:rsidRDefault="002C0FD9" w:rsidP="00CA25CF">
            <w:pPr>
              <w:rPr>
                <w:rFonts w:cs="Arial"/>
                <w:color w:val="FF0000"/>
                <w:sz w:val="21"/>
                <w:szCs w:val="21"/>
              </w:rPr>
            </w:pPr>
          </w:p>
        </w:tc>
        <w:tc>
          <w:tcPr>
            <w:tcW w:w="217" w:type="dxa"/>
          </w:tcPr>
          <w:p w14:paraId="7168F4A7" w14:textId="77777777" w:rsidR="002C0FD9" w:rsidRPr="00CA25CF" w:rsidRDefault="002C0FD9" w:rsidP="00CA25CF">
            <w:pPr>
              <w:rPr>
                <w:rFonts w:cs="Arial"/>
                <w:color w:val="FF0000"/>
                <w:sz w:val="21"/>
                <w:szCs w:val="21"/>
              </w:rPr>
            </w:pPr>
          </w:p>
        </w:tc>
        <w:tc>
          <w:tcPr>
            <w:tcW w:w="217" w:type="dxa"/>
          </w:tcPr>
          <w:p w14:paraId="627E8C26" w14:textId="77777777" w:rsidR="002C0FD9" w:rsidRPr="00CA25CF" w:rsidRDefault="002C0FD9" w:rsidP="00CA25CF">
            <w:pPr>
              <w:rPr>
                <w:rFonts w:cs="Arial"/>
                <w:color w:val="FF0000"/>
                <w:sz w:val="21"/>
                <w:szCs w:val="21"/>
              </w:rPr>
            </w:pPr>
          </w:p>
        </w:tc>
        <w:tc>
          <w:tcPr>
            <w:tcW w:w="217" w:type="dxa"/>
          </w:tcPr>
          <w:p w14:paraId="2BD373C9" w14:textId="77777777" w:rsidR="002C0FD9" w:rsidRPr="00CA25CF" w:rsidRDefault="002C0FD9" w:rsidP="00CA25CF">
            <w:pPr>
              <w:rPr>
                <w:rFonts w:cs="Arial"/>
                <w:color w:val="FF0000"/>
                <w:sz w:val="21"/>
                <w:szCs w:val="21"/>
              </w:rPr>
            </w:pPr>
          </w:p>
        </w:tc>
        <w:tc>
          <w:tcPr>
            <w:tcW w:w="217" w:type="dxa"/>
          </w:tcPr>
          <w:p w14:paraId="6A0DA1A9" w14:textId="77777777" w:rsidR="002C0FD9" w:rsidRPr="00CA25CF" w:rsidRDefault="002C0FD9" w:rsidP="00CA25CF">
            <w:pPr>
              <w:rPr>
                <w:rFonts w:cs="Arial"/>
                <w:color w:val="FF0000"/>
                <w:sz w:val="21"/>
                <w:szCs w:val="21"/>
              </w:rPr>
            </w:pPr>
          </w:p>
        </w:tc>
        <w:tc>
          <w:tcPr>
            <w:tcW w:w="217" w:type="dxa"/>
          </w:tcPr>
          <w:p w14:paraId="27FFC0B7" w14:textId="77777777" w:rsidR="002C0FD9" w:rsidRPr="00CA25CF" w:rsidRDefault="002C0FD9" w:rsidP="00CA25CF">
            <w:pPr>
              <w:rPr>
                <w:rFonts w:cs="Arial"/>
                <w:color w:val="FF0000"/>
                <w:sz w:val="21"/>
                <w:szCs w:val="21"/>
              </w:rPr>
            </w:pPr>
          </w:p>
        </w:tc>
        <w:tc>
          <w:tcPr>
            <w:tcW w:w="217" w:type="dxa"/>
          </w:tcPr>
          <w:p w14:paraId="1990EAAC" w14:textId="77777777" w:rsidR="002C0FD9" w:rsidRPr="00CA25CF" w:rsidRDefault="002C0FD9" w:rsidP="00CA25CF">
            <w:pPr>
              <w:rPr>
                <w:rFonts w:cs="Arial"/>
                <w:color w:val="FF0000"/>
                <w:sz w:val="21"/>
                <w:szCs w:val="21"/>
              </w:rPr>
            </w:pPr>
          </w:p>
        </w:tc>
        <w:tc>
          <w:tcPr>
            <w:tcW w:w="217" w:type="dxa"/>
          </w:tcPr>
          <w:p w14:paraId="6787992E" w14:textId="77777777" w:rsidR="002C0FD9" w:rsidRPr="00CA25CF" w:rsidRDefault="002C0FD9" w:rsidP="00CA25CF">
            <w:pPr>
              <w:rPr>
                <w:rFonts w:cs="Arial"/>
                <w:color w:val="FF0000"/>
                <w:sz w:val="21"/>
                <w:szCs w:val="21"/>
              </w:rPr>
            </w:pPr>
          </w:p>
        </w:tc>
        <w:tc>
          <w:tcPr>
            <w:tcW w:w="217" w:type="dxa"/>
          </w:tcPr>
          <w:p w14:paraId="580C6B9A" w14:textId="77777777" w:rsidR="002C0FD9" w:rsidRPr="00CA25CF" w:rsidRDefault="002C0FD9" w:rsidP="00CA25CF">
            <w:pPr>
              <w:rPr>
                <w:rFonts w:cs="Arial"/>
                <w:color w:val="FF0000"/>
                <w:sz w:val="21"/>
                <w:szCs w:val="21"/>
              </w:rPr>
            </w:pPr>
          </w:p>
        </w:tc>
        <w:tc>
          <w:tcPr>
            <w:tcW w:w="217" w:type="dxa"/>
          </w:tcPr>
          <w:p w14:paraId="6F88D061" w14:textId="77777777" w:rsidR="002C0FD9" w:rsidRPr="00CA25CF" w:rsidRDefault="002C0FD9" w:rsidP="00CA25CF">
            <w:pPr>
              <w:rPr>
                <w:rFonts w:cs="Arial"/>
                <w:color w:val="FF0000"/>
                <w:sz w:val="21"/>
                <w:szCs w:val="21"/>
              </w:rPr>
            </w:pPr>
          </w:p>
        </w:tc>
        <w:tc>
          <w:tcPr>
            <w:tcW w:w="217" w:type="dxa"/>
          </w:tcPr>
          <w:p w14:paraId="6EAF067B" w14:textId="77777777" w:rsidR="002C0FD9" w:rsidRPr="00CA25CF" w:rsidRDefault="002C0FD9" w:rsidP="00CA25CF">
            <w:pPr>
              <w:rPr>
                <w:rFonts w:cs="Arial"/>
                <w:color w:val="FF0000"/>
                <w:sz w:val="21"/>
                <w:szCs w:val="21"/>
              </w:rPr>
            </w:pPr>
          </w:p>
        </w:tc>
        <w:tc>
          <w:tcPr>
            <w:tcW w:w="217" w:type="dxa"/>
          </w:tcPr>
          <w:p w14:paraId="4B989671" w14:textId="77777777" w:rsidR="002C0FD9" w:rsidRPr="00CA25CF" w:rsidRDefault="002C0FD9" w:rsidP="00CA25CF">
            <w:pPr>
              <w:rPr>
                <w:rFonts w:cs="Arial"/>
                <w:color w:val="FF0000"/>
                <w:sz w:val="21"/>
                <w:szCs w:val="21"/>
              </w:rPr>
            </w:pPr>
          </w:p>
        </w:tc>
      </w:tr>
      <w:tr w:rsidR="002C0FD9" w:rsidRPr="00A16219" w14:paraId="3BEA4B09" w14:textId="50761C7C" w:rsidTr="002C0FD9">
        <w:trPr>
          <w:trHeight w:val="635"/>
        </w:trPr>
        <w:tc>
          <w:tcPr>
            <w:tcW w:w="515" w:type="dxa"/>
          </w:tcPr>
          <w:p w14:paraId="681D7E23" w14:textId="77777777" w:rsidR="002C0FD9" w:rsidRPr="00CA25CF" w:rsidRDefault="002C0FD9" w:rsidP="00CA25CF">
            <w:pPr>
              <w:rPr>
                <w:rFonts w:cs="Arial"/>
                <w:color w:val="FF0000"/>
                <w:sz w:val="21"/>
                <w:szCs w:val="21"/>
              </w:rPr>
            </w:pPr>
          </w:p>
        </w:tc>
        <w:tc>
          <w:tcPr>
            <w:tcW w:w="217" w:type="dxa"/>
          </w:tcPr>
          <w:p w14:paraId="1523F13C" w14:textId="77777777" w:rsidR="002C0FD9" w:rsidRPr="00CA25CF" w:rsidRDefault="002C0FD9" w:rsidP="00CA25CF">
            <w:pPr>
              <w:rPr>
                <w:rFonts w:cs="Arial"/>
                <w:color w:val="FF0000"/>
                <w:sz w:val="21"/>
                <w:szCs w:val="21"/>
              </w:rPr>
            </w:pPr>
          </w:p>
        </w:tc>
        <w:tc>
          <w:tcPr>
            <w:tcW w:w="217" w:type="dxa"/>
          </w:tcPr>
          <w:p w14:paraId="4E7D0105" w14:textId="2F77772E" w:rsidR="002C0FD9" w:rsidRPr="00CA25CF" w:rsidRDefault="002C0FD9" w:rsidP="00CA25CF">
            <w:pPr>
              <w:rPr>
                <w:rFonts w:cs="Arial"/>
                <w:color w:val="FF0000"/>
                <w:sz w:val="21"/>
                <w:szCs w:val="21"/>
              </w:rPr>
            </w:pPr>
          </w:p>
        </w:tc>
        <w:tc>
          <w:tcPr>
            <w:tcW w:w="217" w:type="dxa"/>
          </w:tcPr>
          <w:p w14:paraId="2C9D03C5" w14:textId="77777777" w:rsidR="002C0FD9" w:rsidRPr="00CA25CF" w:rsidRDefault="002C0FD9" w:rsidP="00CA25CF">
            <w:pPr>
              <w:rPr>
                <w:rFonts w:cs="Arial"/>
                <w:color w:val="FF0000"/>
                <w:sz w:val="21"/>
                <w:szCs w:val="21"/>
              </w:rPr>
            </w:pPr>
          </w:p>
        </w:tc>
        <w:tc>
          <w:tcPr>
            <w:tcW w:w="217" w:type="dxa"/>
          </w:tcPr>
          <w:p w14:paraId="1EA66613" w14:textId="77777777" w:rsidR="002C0FD9" w:rsidRPr="00CA25CF" w:rsidRDefault="002C0FD9" w:rsidP="00CA25CF">
            <w:pPr>
              <w:rPr>
                <w:rFonts w:cs="Arial"/>
                <w:color w:val="FF0000"/>
                <w:sz w:val="21"/>
                <w:szCs w:val="21"/>
              </w:rPr>
            </w:pPr>
          </w:p>
        </w:tc>
        <w:tc>
          <w:tcPr>
            <w:tcW w:w="217" w:type="dxa"/>
          </w:tcPr>
          <w:p w14:paraId="70A6A1A5" w14:textId="77777777" w:rsidR="002C0FD9" w:rsidRPr="00CA25CF" w:rsidRDefault="002C0FD9" w:rsidP="00CA25CF">
            <w:pPr>
              <w:rPr>
                <w:rFonts w:cs="Arial"/>
                <w:color w:val="FF0000"/>
                <w:sz w:val="21"/>
                <w:szCs w:val="21"/>
              </w:rPr>
            </w:pPr>
          </w:p>
        </w:tc>
        <w:tc>
          <w:tcPr>
            <w:tcW w:w="217" w:type="dxa"/>
          </w:tcPr>
          <w:p w14:paraId="4394205E" w14:textId="77777777" w:rsidR="002C0FD9" w:rsidRPr="00CA25CF" w:rsidRDefault="002C0FD9" w:rsidP="00CA25CF">
            <w:pPr>
              <w:rPr>
                <w:rFonts w:cs="Arial"/>
                <w:color w:val="FF0000"/>
                <w:sz w:val="21"/>
                <w:szCs w:val="21"/>
              </w:rPr>
            </w:pPr>
          </w:p>
        </w:tc>
        <w:tc>
          <w:tcPr>
            <w:tcW w:w="217" w:type="dxa"/>
          </w:tcPr>
          <w:p w14:paraId="24AA7F81" w14:textId="77777777" w:rsidR="002C0FD9" w:rsidRPr="00CA25CF" w:rsidRDefault="002C0FD9" w:rsidP="00CA25CF">
            <w:pPr>
              <w:rPr>
                <w:rFonts w:cs="Arial"/>
                <w:color w:val="FF0000"/>
                <w:sz w:val="21"/>
                <w:szCs w:val="21"/>
              </w:rPr>
            </w:pPr>
          </w:p>
        </w:tc>
        <w:tc>
          <w:tcPr>
            <w:tcW w:w="217" w:type="dxa"/>
          </w:tcPr>
          <w:p w14:paraId="327A16E1" w14:textId="77777777" w:rsidR="002C0FD9" w:rsidRPr="00CA25CF" w:rsidRDefault="002C0FD9" w:rsidP="00CA25CF">
            <w:pPr>
              <w:rPr>
                <w:rFonts w:cs="Arial"/>
                <w:color w:val="FF0000"/>
                <w:sz w:val="21"/>
                <w:szCs w:val="21"/>
              </w:rPr>
            </w:pPr>
          </w:p>
        </w:tc>
        <w:tc>
          <w:tcPr>
            <w:tcW w:w="217" w:type="dxa"/>
          </w:tcPr>
          <w:p w14:paraId="10CC9294" w14:textId="77777777" w:rsidR="002C0FD9" w:rsidRPr="00CA25CF" w:rsidRDefault="002C0FD9" w:rsidP="00CA25CF">
            <w:pPr>
              <w:rPr>
                <w:rFonts w:cs="Arial"/>
                <w:color w:val="FF0000"/>
                <w:sz w:val="21"/>
                <w:szCs w:val="21"/>
              </w:rPr>
            </w:pPr>
          </w:p>
        </w:tc>
        <w:tc>
          <w:tcPr>
            <w:tcW w:w="217" w:type="dxa"/>
          </w:tcPr>
          <w:p w14:paraId="131FED44" w14:textId="77777777" w:rsidR="002C0FD9" w:rsidRPr="00CA25CF" w:rsidRDefault="002C0FD9" w:rsidP="00CA25CF">
            <w:pPr>
              <w:rPr>
                <w:rFonts w:cs="Arial"/>
                <w:color w:val="FF0000"/>
                <w:sz w:val="21"/>
                <w:szCs w:val="21"/>
              </w:rPr>
            </w:pPr>
          </w:p>
        </w:tc>
        <w:tc>
          <w:tcPr>
            <w:tcW w:w="217" w:type="dxa"/>
          </w:tcPr>
          <w:p w14:paraId="4ADE17B4" w14:textId="77777777" w:rsidR="002C0FD9" w:rsidRPr="00CA25CF" w:rsidRDefault="002C0FD9" w:rsidP="00CA25CF">
            <w:pPr>
              <w:rPr>
                <w:rFonts w:cs="Arial"/>
                <w:color w:val="FF0000"/>
                <w:sz w:val="21"/>
                <w:szCs w:val="21"/>
              </w:rPr>
            </w:pPr>
          </w:p>
        </w:tc>
        <w:tc>
          <w:tcPr>
            <w:tcW w:w="217" w:type="dxa"/>
          </w:tcPr>
          <w:p w14:paraId="4540319A" w14:textId="77777777" w:rsidR="002C0FD9" w:rsidRPr="00CA25CF" w:rsidRDefault="002C0FD9" w:rsidP="00CA25CF">
            <w:pPr>
              <w:rPr>
                <w:rFonts w:cs="Arial"/>
                <w:color w:val="FF0000"/>
                <w:sz w:val="21"/>
                <w:szCs w:val="21"/>
              </w:rPr>
            </w:pPr>
          </w:p>
        </w:tc>
        <w:tc>
          <w:tcPr>
            <w:tcW w:w="217" w:type="dxa"/>
          </w:tcPr>
          <w:p w14:paraId="4ABBB949" w14:textId="77777777" w:rsidR="002C0FD9" w:rsidRPr="00CA25CF" w:rsidRDefault="002C0FD9" w:rsidP="00CA25CF">
            <w:pPr>
              <w:rPr>
                <w:rFonts w:cs="Arial"/>
                <w:color w:val="FF0000"/>
                <w:sz w:val="21"/>
                <w:szCs w:val="21"/>
              </w:rPr>
            </w:pPr>
          </w:p>
        </w:tc>
        <w:tc>
          <w:tcPr>
            <w:tcW w:w="217" w:type="dxa"/>
          </w:tcPr>
          <w:p w14:paraId="1EC00548" w14:textId="77777777" w:rsidR="002C0FD9" w:rsidRPr="00CA25CF" w:rsidRDefault="002C0FD9" w:rsidP="00CA25CF">
            <w:pPr>
              <w:rPr>
                <w:rFonts w:cs="Arial"/>
                <w:color w:val="FF0000"/>
                <w:sz w:val="21"/>
                <w:szCs w:val="21"/>
              </w:rPr>
            </w:pPr>
          </w:p>
        </w:tc>
        <w:tc>
          <w:tcPr>
            <w:tcW w:w="217" w:type="dxa"/>
          </w:tcPr>
          <w:p w14:paraId="5FDD7FB3" w14:textId="147047AB" w:rsidR="002C0FD9" w:rsidRPr="00CA25CF" w:rsidRDefault="002C0FD9" w:rsidP="00CA25CF">
            <w:pPr>
              <w:rPr>
                <w:rFonts w:cs="Arial"/>
                <w:color w:val="FF0000"/>
                <w:sz w:val="21"/>
                <w:szCs w:val="21"/>
              </w:rPr>
            </w:pPr>
          </w:p>
        </w:tc>
        <w:tc>
          <w:tcPr>
            <w:tcW w:w="217" w:type="dxa"/>
          </w:tcPr>
          <w:p w14:paraId="4F78EE10" w14:textId="77777777" w:rsidR="002C0FD9" w:rsidRPr="00CA25CF" w:rsidRDefault="002C0FD9" w:rsidP="00CA25CF">
            <w:pPr>
              <w:rPr>
                <w:rFonts w:cs="Arial"/>
                <w:color w:val="FF0000"/>
                <w:sz w:val="21"/>
                <w:szCs w:val="21"/>
              </w:rPr>
            </w:pPr>
          </w:p>
        </w:tc>
        <w:tc>
          <w:tcPr>
            <w:tcW w:w="217" w:type="dxa"/>
          </w:tcPr>
          <w:p w14:paraId="6D51B533" w14:textId="77777777" w:rsidR="002C0FD9" w:rsidRPr="00CA25CF" w:rsidRDefault="002C0FD9" w:rsidP="00CA25CF">
            <w:pPr>
              <w:rPr>
                <w:rFonts w:cs="Arial"/>
                <w:color w:val="FF0000"/>
                <w:sz w:val="21"/>
                <w:szCs w:val="21"/>
              </w:rPr>
            </w:pPr>
          </w:p>
        </w:tc>
        <w:tc>
          <w:tcPr>
            <w:tcW w:w="217" w:type="dxa"/>
          </w:tcPr>
          <w:p w14:paraId="72A15A1D" w14:textId="77777777" w:rsidR="002C0FD9" w:rsidRPr="00CA25CF" w:rsidRDefault="002C0FD9" w:rsidP="00CA25CF">
            <w:pPr>
              <w:rPr>
                <w:rFonts w:cs="Arial"/>
                <w:color w:val="FF0000"/>
                <w:sz w:val="21"/>
                <w:szCs w:val="21"/>
              </w:rPr>
            </w:pPr>
          </w:p>
        </w:tc>
        <w:tc>
          <w:tcPr>
            <w:tcW w:w="217" w:type="dxa"/>
          </w:tcPr>
          <w:p w14:paraId="330AFCA7" w14:textId="77777777" w:rsidR="002C0FD9" w:rsidRPr="00CA25CF" w:rsidRDefault="002C0FD9" w:rsidP="00CA25CF">
            <w:pPr>
              <w:rPr>
                <w:rFonts w:cs="Arial"/>
                <w:color w:val="FF0000"/>
                <w:sz w:val="21"/>
                <w:szCs w:val="21"/>
              </w:rPr>
            </w:pPr>
          </w:p>
        </w:tc>
        <w:tc>
          <w:tcPr>
            <w:tcW w:w="217" w:type="dxa"/>
          </w:tcPr>
          <w:p w14:paraId="478B5EB8" w14:textId="77777777" w:rsidR="002C0FD9" w:rsidRPr="00CA25CF" w:rsidRDefault="002C0FD9" w:rsidP="00CA25CF">
            <w:pPr>
              <w:rPr>
                <w:rFonts w:cs="Arial"/>
                <w:color w:val="FF0000"/>
                <w:sz w:val="21"/>
                <w:szCs w:val="21"/>
              </w:rPr>
            </w:pPr>
          </w:p>
        </w:tc>
        <w:tc>
          <w:tcPr>
            <w:tcW w:w="217" w:type="dxa"/>
          </w:tcPr>
          <w:p w14:paraId="48BDA0B2" w14:textId="77777777" w:rsidR="002C0FD9" w:rsidRPr="00CA25CF" w:rsidRDefault="002C0FD9" w:rsidP="00CA25CF">
            <w:pPr>
              <w:rPr>
                <w:rFonts w:cs="Arial"/>
                <w:color w:val="FF0000"/>
                <w:sz w:val="21"/>
                <w:szCs w:val="21"/>
              </w:rPr>
            </w:pPr>
          </w:p>
        </w:tc>
        <w:tc>
          <w:tcPr>
            <w:tcW w:w="217" w:type="dxa"/>
          </w:tcPr>
          <w:p w14:paraId="5E2FAF7D" w14:textId="77777777" w:rsidR="002C0FD9" w:rsidRPr="00CA25CF" w:rsidRDefault="002C0FD9" w:rsidP="00CA25CF">
            <w:pPr>
              <w:rPr>
                <w:rFonts w:cs="Arial"/>
                <w:color w:val="FF0000"/>
                <w:sz w:val="21"/>
                <w:szCs w:val="21"/>
              </w:rPr>
            </w:pPr>
          </w:p>
        </w:tc>
        <w:tc>
          <w:tcPr>
            <w:tcW w:w="217" w:type="dxa"/>
          </w:tcPr>
          <w:p w14:paraId="666C4492" w14:textId="77777777" w:rsidR="002C0FD9" w:rsidRPr="00CA25CF" w:rsidRDefault="002C0FD9" w:rsidP="00CA25CF">
            <w:pPr>
              <w:rPr>
                <w:rFonts w:cs="Arial"/>
                <w:color w:val="FF0000"/>
                <w:sz w:val="21"/>
                <w:szCs w:val="21"/>
              </w:rPr>
            </w:pPr>
          </w:p>
        </w:tc>
        <w:tc>
          <w:tcPr>
            <w:tcW w:w="217" w:type="dxa"/>
          </w:tcPr>
          <w:p w14:paraId="628F8009" w14:textId="77777777" w:rsidR="002C0FD9" w:rsidRPr="00CA25CF" w:rsidRDefault="002C0FD9" w:rsidP="00CA25CF">
            <w:pPr>
              <w:rPr>
                <w:rFonts w:cs="Arial"/>
                <w:color w:val="FF0000"/>
                <w:sz w:val="21"/>
                <w:szCs w:val="21"/>
              </w:rPr>
            </w:pPr>
          </w:p>
        </w:tc>
        <w:tc>
          <w:tcPr>
            <w:tcW w:w="217" w:type="dxa"/>
          </w:tcPr>
          <w:p w14:paraId="362FC1CC" w14:textId="77777777" w:rsidR="002C0FD9" w:rsidRPr="00CA25CF" w:rsidRDefault="002C0FD9" w:rsidP="00CA25CF">
            <w:pPr>
              <w:rPr>
                <w:rFonts w:cs="Arial"/>
                <w:color w:val="FF0000"/>
                <w:sz w:val="21"/>
                <w:szCs w:val="21"/>
              </w:rPr>
            </w:pPr>
          </w:p>
        </w:tc>
        <w:tc>
          <w:tcPr>
            <w:tcW w:w="217" w:type="dxa"/>
          </w:tcPr>
          <w:p w14:paraId="612A717F" w14:textId="77777777" w:rsidR="002C0FD9" w:rsidRPr="00CA25CF" w:rsidRDefault="002C0FD9" w:rsidP="00CA25CF">
            <w:pPr>
              <w:rPr>
                <w:rFonts w:cs="Arial"/>
                <w:color w:val="FF0000"/>
                <w:sz w:val="21"/>
                <w:szCs w:val="21"/>
              </w:rPr>
            </w:pPr>
          </w:p>
        </w:tc>
        <w:tc>
          <w:tcPr>
            <w:tcW w:w="217" w:type="dxa"/>
          </w:tcPr>
          <w:p w14:paraId="3450EC6E" w14:textId="77777777" w:rsidR="002C0FD9" w:rsidRPr="00CA25CF" w:rsidRDefault="002C0FD9" w:rsidP="00CA25CF">
            <w:pPr>
              <w:rPr>
                <w:rFonts w:cs="Arial"/>
                <w:color w:val="FF0000"/>
                <w:sz w:val="21"/>
                <w:szCs w:val="21"/>
              </w:rPr>
            </w:pPr>
          </w:p>
        </w:tc>
        <w:tc>
          <w:tcPr>
            <w:tcW w:w="217" w:type="dxa"/>
          </w:tcPr>
          <w:p w14:paraId="1F8B02E4" w14:textId="77777777" w:rsidR="002C0FD9" w:rsidRPr="00CA25CF" w:rsidRDefault="002C0FD9" w:rsidP="00CA25CF">
            <w:pPr>
              <w:rPr>
                <w:rFonts w:cs="Arial"/>
                <w:color w:val="FF0000"/>
                <w:sz w:val="21"/>
                <w:szCs w:val="21"/>
              </w:rPr>
            </w:pPr>
          </w:p>
        </w:tc>
        <w:tc>
          <w:tcPr>
            <w:tcW w:w="217" w:type="dxa"/>
          </w:tcPr>
          <w:p w14:paraId="32FAB0E2" w14:textId="77777777" w:rsidR="002C0FD9" w:rsidRPr="00CA25CF" w:rsidRDefault="002C0FD9" w:rsidP="00CA25CF">
            <w:pPr>
              <w:rPr>
                <w:rFonts w:cs="Arial"/>
                <w:color w:val="FF0000"/>
                <w:sz w:val="21"/>
                <w:szCs w:val="21"/>
              </w:rPr>
            </w:pPr>
          </w:p>
        </w:tc>
        <w:tc>
          <w:tcPr>
            <w:tcW w:w="217" w:type="dxa"/>
          </w:tcPr>
          <w:p w14:paraId="56608F96" w14:textId="77777777" w:rsidR="002C0FD9" w:rsidRPr="00CA25CF" w:rsidRDefault="002C0FD9" w:rsidP="00CA25CF">
            <w:pPr>
              <w:rPr>
                <w:rFonts w:cs="Arial"/>
                <w:color w:val="FF0000"/>
                <w:sz w:val="21"/>
                <w:szCs w:val="21"/>
              </w:rPr>
            </w:pPr>
          </w:p>
        </w:tc>
        <w:tc>
          <w:tcPr>
            <w:tcW w:w="217" w:type="dxa"/>
          </w:tcPr>
          <w:p w14:paraId="51716441" w14:textId="77777777" w:rsidR="002C0FD9" w:rsidRPr="00CA25CF" w:rsidRDefault="002C0FD9" w:rsidP="00CA25CF">
            <w:pPr>
              <w:rPr>
                <w:rFonts w:cs="Arial"/>
                <w:color w:val="FF0000"/>
                <w:sz w:val="21"/>
                <w:szCs w:val="21"/>
              </w:rPr>
            </w:pPr>
          </w:p>
        </w:tc>
        <w:tc>
          <w:tcPr>
            <w:tcW w:w="217" w:type="dxa"/>
          </w:tcPr>
          <w:p w14:paraId="061FE7A3" w14:textId="77777777" w:rsidR="002C0FD9" w:rsidRPr="00CA25CF" w:rsidRDefault="002C0FD9" w:rsidP="00CA25CF">
            <w:pPr>
              <w:rPr>
                <w:rFonts w:cs="Arial"/>
                <w:color w:val="FF0000"/>
                <w:sz w:val="21"/>
                <w:szCs w:val="21"/>
              </w:rPr>
            </w:pPr>
          </w:p>
        </w:tc>
        <w:tc>
          <w:tcPr>
            <w:tcW w:w="217" w:type="dxa"/>
          </w:tcPr>
          <w:p w14:paraId="1105F969" w14:textId="77777777" w:rsidR="002C0FD9" w:rsidRPr="00CA25CF" w:rsidRDefault="002C0FD9" w:rsidP="00CA25CF">
            <w:pPr>
              <w:rPr>
                <w:rFonts w:cs="Arial"/>
                <w:color w:val="FF0000"/>
                <w:sz w:val="21"/>
                <w:szCs w:val="21"/>
              </w:rPr>
            </w:pPr>
          </w:p>
        </w:tc>
        <w:tc>
          <w:tcPr>
            <w:tcW w:w="217" w:type="dxa"/>
          </w:tcPr>
          <w:p w14:paraId="2D3DF688" w14:textId="77777777" w:rsidR="002C0FD9" w:rsidRPr="00CA25CF" w:rsidRDefault="002C0FD9" w:rsidP="00CA25CF">
            <w:pPr>
              <w:rPr>
                <w:rFonts w:cs="Arial"/>
                <w:color w:val="FF0000"/>
                <w:sz w:val="21"/>
                <w:szCs w:val="21"/>
              </w:rPr>
            </w:pPr>
          </w:p>
        </w:tc>
        <w:tc>
          <w:tcPr>
            <w:tcW w:w="217" w:type="dxa"/>
          </w:tcPr>
          <w:p w14:paraId="3D277A86" w14:textId="77777777" w:rsidR="002C0FD9" w:rsidRPr="00CA25CF" w:rsidRDefault="002C0FD9" w:rsidP="00CA25CF">
            <w:pPr>
              <w:rPr>
                <w:rFonts w:cs="Arial"/>
                <w:color w:val="FF0000"/>
                <w:sz w:val="21"/>
                <w:szCs w:val="21"/>
              </w:rPr>
            </w:pPr>
          </w:p>
        </w:tc>
        <w:tc>
          <w:tcPr>
            <w:tcW w:w="217" w:type="dxa"/>
          </w:tcPr>
          <w:p w14:paraId="2E944C95" w14:textId="77777777" w:rsidR="002C0FD9" w:rsidRPr="00CA25CF" w:rsidRDefault="002C0FD9" w:rsidP="00CA25CF">
            <w:pPr>
              <w:rPr>
                <w:rFonts w:cs="Arial"/>
                <w:color w:val="FF0000"/>
                <w:sz w:val="21"/>
                <w:szCs w:val="21"/>
              </w:rPr>
            </w:pPr>
          </w:p>
        </w:tc>
        <w:tc>
          <w:tcPr>
            <w:tcW w:w="217" w:type="dxa"/>
          </w:tcPr>
          <w:p w14:paraId="0A4ACB2C" w14:textId="77777777" w:rsidR="002C0FD9" w:rsidRPr="00CA25CF" w:rsidRDefault="002C0FD9" w:rsidP="00CA25CF">
            <w:pPr>
              <w:rPr>
                <w:rFonts w:cs="Arial"/>
                <w:color w:val="FF0000"/>
                <w:sz w:val="21"/>
                <w:szCs w:val="21"/>
              </w:rPr>
            </w:pPr>
          </w:p>
        </w:tc>
        <w:tc>
          <w:tcPr>
            <w:tcW w:w="217" w:type="dxa"/>
          </w:tcPr>
          <w:p w14:paraId="7260FEB2" w14:textId="77777777" w:rsidR="002C0FD9" w:rsidRPr="00CA25CF" w:rsidRDefault="002C0FD9" w:rsidP="00CA25CF">
            <w:pPr>
              <w:rPr>
                <w:rFonts w:cs="Arial"/>
                <w:color w:val="FF0000"/>
                <w:sz w:val="21"/>
                <w:szCs w:val="21"/>
              </w:rPr>
            </w:pPr>
          </w:p>
        </w:tc>
        <w:tc>
          <w:tcPr>
            <w:tcW w:w="217" w:type="dxa"/>
          </w:tcPr>
          <w:p w14:paraId="0E17D6D9" w14:textId="77777777" w:rsidR="002C0FD9" w:rsidRPr="00CA25CF" w:rsidRDefault="002C0FD9" w:rsidP="00CA25CF">
            <w:pPr>
              <w:rPr>
                <w:rFonts w:cs="Arial"/>
                <w:color w:val="FF0000"/>
                <w:sz w:val="21"/>
                <w:szCs w:val="21"/>
              </w:rPr>
            </w:pPr>
          </w:p>
        </w:tc>
        <w:tc>
          <w:tcPr>
            <w:tcW w:w="217" w:type="dxa"/>
          </w:tcPr>
          <w:p w14:paraId="4399F0C3" w14:textId="77777777" w:rsidR="002C0FD9" w:rsidRPr="00CA25CF" w:rsidRDefault="002C0FD9" w:rsidP="00CA25CF">
            <w:pPr>
              <w:rPr>
                <w:rFonts w:cs="Arial"/>
                <w:color w:val="FF0000"/>
                <w:sz w:val="21"/>
                <w:szCs w:val="21"/>
              </w:rPr>
            </w:pPr>
          </w:p>
        </w:tc>
        <w:tc>
          <w:tcPr>
            <w:tcW w:w="217" w:type="dxa"/>
          </w:tcPr>
          <w:p w14:paraId="03B64FF2" w14:textId="77777777" w:rsidR="002C0FD9" w:rsidRPr="00CA25CF" w:rsidRDefault="002C0FD9" w:rsidP="00CA25CF">
            <w:pPr>
              <w:rPr>
                <w:rFonts w:cs="Arial"/>
                <w:color w:val="FF0000"/>
                <w:sz w:val="21"/>
                <w:szCs w:val="21"/>
              </w:rPr>
            </w:pPr>
          </w:p>
        </w:tc>
        <w:tc>
          <w:tcPr>
            <w:tcW w:w="217" w:type="dxa"/>
          </w:tcPr>
          <w:p w14:paraId="0425A7FF" w14:textId="77777777" w:rsidR="002C0FD9" w:rsidRPr="00CA25CF" w:rsidRDefault="002C0FD9" w:rsidP="00CA25CF">
            <w:pPr>
              <w:rPr>
                <w:rFonts w:cs="Arial"/>
                <w:color w:val="FF0000"/>
                <w:sz w:val="21"/>
                <w:szCs w:val="21"/>
              </w:rPr>
            </w:pPr>
          </w:p>
        </w:tc>
      </w:tr>
      <w:tr w:rsidR="002C0FD9" w:rsidRPr="00A16219" w14:paraId="012730BF" w14:textId="0EE9A911" w:rsidTr="002C0FD9">
        <w:trPr>
          <w:trHeight w:val="635"/>
        </w:trPr>
        <w:tc>
          <w:tcPr>
            <w:tcW w:w="515" w:type="dxa"/>
          </w:tcPr>
          <w:p w14:paraId="264D6393" w14:textId="77777777" w:rsidR="002C0FD9" w:rsidRPr="00CA25CF" w:rsidRDefault="002C0FD9" w:rsidP="00CA25CF">
            <w:pPr>
              <w:rPr>
                <w:rFonts w:cs="Arial"/>
                <w:color w:val="FF0000"/>
                <w:sz w:val="21"/>
                <w:szCs w:val="21"/>
              </w:rPr>
            </w:pPr>
          </w:p>
        </w:tc>
        <w:tc>
          <w:tcPr>
            <w:tcW w:w="217" w:type="dxa"/>
          </w:tcPr>
          <w:p w14:paraId="2C7D63DB" w14:textId="77777777" w:rsidR="002C0FD9" w:rsidRPr="00CA25CF" w:rsidRDefault="002C0FD9" w:rsidP="00CA25CF">
            <w:pPr>
              <w:rPr>
                <w:rFonts w:cs="Arial"/>
                <w:color w:val="FF0000"/>
                <w:sz w:val="21"/>
                <w:szCs w:val="21"/>
              </w:rPr>
            </w:pPr>
          </w:p>
        </w:tc>
        <w:tc>
          <w:tcPr>
            <w:tcW w:w="217" w:type="dxa"/>
          </w:tcPr>
          <w:p w14:paraId="01F1C6F0" w14:textId="37F77CD9" w:rsidR="002C0FD9" w:rsidRPr="00CA25CF" w:rsidRDefault="002C0FD9" w:rsidP="00CA25CF">
            <w:pPr>
              <w:rPr>
                <w:rFonts w:cs="Arial"/>
                <w:color w:val="FF0000"/>
                <w:sz w:val="21"/>
                <w:szCs w:val="21"/>
              </w:rPr>
            </w:pPr>
          </w:p>
        </w:tc>
        <w:tc>
          <w:tcPr>
            <w:tcW w:w="217" w:type="dxa"/>
          </w:tcPr>
          <w:p w14:paraId="33699212" w14:textId="77777777" w:rsidR="002C0FD9" w:rsidRPr="00CA25CF" w:rsidRDefault="002C0FD9" w:rsidP="00CA25CF">
            <w:pPr>
              <w:rPr>
                <w:rFonts w:cs="Arial"/>
                <w:color w:val="FF0000"/>
                <w:sz w:val="21"/>
                <w:szCs w:val="21"/>
              </w:rPr>
            </w:pPr>
          </w:p>
        </w:tc>
        <w:tc>
          <w:tcPr>
            <w:tcW w:w="217" w:type="dxa"/>
          </w:tcPr>
          <w:p w14:paraId="74158ECF" w14:textId="77777777" w:rsidR="002C0FD9" w:rsidRPr="00CA25CF" w:rsidRDefault="002C0FD9" w:rsidP="00CA25CF">
            <w:pPr>
              <w:rPr>
                <w:rFonts w:cs="Arial"/>
                <w:color w:val="FF0000"/>
                <w:sz w:val="21"/>
                <w:szCs w:val="21"/>
              </w:rPr>
            </w:pPr>
          </w:p>
        </w:tc>
        <w:tc>
          <w:tcPr>
            <w:tcW w:w="217" w:type="dxa"/>
          </w:tcPr>
          <w:p w14:paraId="7A149CF9" w14:textId="77777777" w:rsidR="002C0FD9" w:rsidRPr="00CA25CF" w:rsidRDefault="002C0FD9" w:rsidP="00CA25CF">
            <w:pPr>
              <w:rPr>
                <w:rFonts w:cs="Arial"/>
                <w:color w:val="FF0000"/>
                <w:sz w:val="21"/>
                <w:szCs w:val="21"/>
              </w:rPr>
            </w:pPr>
          </w:p>
        </w:tc>
        <w:tc>
          <w:tcPr>
            <w:tcW w:w="217" w:type="dxa"/>
          </w:tcPr>
          <w:p w14:paraId="03D6ED61" w14:textId="77777777" w:rsidR="002C0FD9" w:rsidRPr="00CA25CF" w:rsidRDefault="002C0FD9" w:rsidP="00CA25CF">
            <w:pPr>
              <w:rPr>
                <w:rFonts w:cs="Arial"/>
                <w:color w:val="FF0000"/>
                <w:sz w:val="21"/>
                <w:szCs w:val="21"/>
              </w:rPr>
            </w:pPr>
          </w:p>
        </w:tc>
        <w:tc>
          <w:tcPr>
            <w:tcW w:w="217" w:type="dxa"/>
          </w:tcPr>
          <w:p w14:paraId="675D4B86" w14:textId="77777777" w:rsidR="002C0FD9" w:rsidRPr="00CA25CF" w:rsidRDefault="002C0FD9" w:rsidP="00CA25CF">
            <w:pPr>
              <w:rPr>
                <w:rFonts w:cs="Arial"/>
                <w:color w:val="FF0000"/>
                <w:sz w:val="21"/>
                <w:szCs w:val="21"/>
              </w:rPr>
            </w:pPr>
          </w:p>
        </w:tc>
        <w:tc>
          <w:tcPr>
            <w:tcW w:w="217" w:type="dxa"/>
          </w:tcPr>
          <w:p w14:paraId="3FF442F5" w14:textId="77777777" w:rsidR="002C0FD9" w:rsidRPr="00CA25CF" w:rsidRDefault="002C0FD9" w:rsidP="00CA25CF">
            <w:pPr>
              <w:rPr>
                <w:rFonts w:cs="Arial"/>
                <w:color w:val="FF0000"/>
                <w:sz w:val="21"/>
                <w:szCs w:val="21"/>
              </w:rPr>
            </w:pPr>
          </w:p>
        </w:tc>
        <w:tc>
          <w:tcPr>
            <w:tcW w:w="217" w:type="dxa"/>
          </w:tcPr>
          <w:p w14:paraId="18B992CA" w14:textId="77777777" w:rsidR="002C0FD9" w:rsidRPr="00CA25CF" w:rsidRDefault="002C0FD9" w:rsidP="00CA25CF">
            <w:pPr>
              <w:rPr>
                <w:rFonts w:cs="Arial"/>
                <w:color w:val="FF0000"/>
                <w:sz w:val="21"/>
                <w:szCs w:val="21"/>
              </w:rPr>
            </w:pPr>
          </w:p>
        </w:tc>
        <w:tc>
          <w:tcPr>
            <w:tcW w:w="217" w:type="dxa"/>
          </w:tcPr>
          <w:p w14:paraId="2241046F" w14:textId="77777777" w:rsidR="002C0FD9" w:rsidRPr="00CA25CF" w:rsidRDefault="002C0FD9" w:rsidP="00CA25CF">
            <w:pPr>
              <w:rPr>
                <w:rFonts w:cs="Arial"/>
                <w:color w:val="FF0000"/>
                <w:sz w:val="21"/>
                <w:szCs w:val="21"/>
              </w:rPr>
            </w:pPr>
          </w:p>
        </w:tc>
        <w:tc>
          <w:tcPr>
            <w:tcW w:w="217" w:type="dxa"/>
          </w:tcPr>
          <w:p w14:paraId="3353E0E1" w14:textId="77777777" w:rsidR="002C0FD9" w:rsidRPr="00CA25CF" w:rsidRDefault="002C0FD9" w:rsidP="00CA25CF">
            <w:pPr>
              <w:rPr>
                <w:rFonts w:cs="Arial"/>
                <w:color w:val="FF0000"/>
                <w:sz w:val="21"/>
                <w:szCs w:val="21"/>
              </w:rPr>
            </w:pPr>
          </w:p>
        </w:tc>
        <w:tc>
          <w:tcPr>
            <w:tcW w:w="217" w:type="dxa"/>
          </w:tcPr>
          <w:p w14:paraId="33E6E750" w14:textId="77777777" w:rsidR="002C0FD9" w:rsidRPr="00CA25CF" w:rsidRDefault="002C0FD9" w:rsidP="00CA25CF">
            <w:pPr>
              <w:rPr>
                <w:rFonts w:cs="Arial"/>
                <w:color w:val="FF0000"/>
                <w:sz w:val="21"/>
                <w:szCs w:val="21"/>
              </w:rPr>
            </w:pPr>
          </w:p>
        </w:tc>
        <w:tc>
          <w:tcPr>
            <w:tcW w:w="217" w:type="dxa"/>
          </w:tcPr>
          <w:p w14:paraId="3C44BE28" w14:textId="77777777" w:rsidR="002C0FD9" w:rsidRPr="00CA25CF" w:rsidRDefault="002C0FD9" w:rsidP="00CA25CF">
            <w:pPr>
              <w:rPr>
                <w:rFonts w:cs="Arial"/>
                <w:color w:val="FF0000"/>
                <w:sz w:val="21"/>
                <w:szCs w:val="21"/>
              </w:rPr>
            </w:pPr>
          </w:p>
        </w:tc>
        <w:tc>
          <w:tcPr>
            <w:tcW w:w="217" w:type="dxa"/>
          </w:tcPr>
          <w:p w14:paraId="343FD30F" w14:textId="77777777" w:rsidR="002C0FD9" w:rsidRPr="00CA25CF" w:rsidRDefault="002C0FD9" w:rsidP="00CA25CF">
            <w:pPr>
              <w:rPr>
                <w:rFonts w:cs="Arial"/>
                <w:color w:val="FF0000"/>
                <w:sz w:val="21"/>
                <w:szCs w:val="21"/>
              </w:rPr>
            </w:pPr>
          </w:p>
        </w:tc>
        <w:tc>
          <w:tcPr>
            <w:tcW w:w="217" w:type="dxa"/>
          </w:tcPr>
          <w:p w14:paraId="35FACA92" w14:textId="3CCDD86B" w:rsidR="002C0FD9" w:rsidRPr="00CA25CF" w:rsidRDefault="002C0FD9" w:rsidP="00CA25CF">
            <w:pPr>
              <w:rPr>
                <w:rFonts w:cs="Arial"/>
                <w:color w:val="FF0000"/>
                <w:sz w:val="21"/>
                <w:szCs w:val="21"/>
              </w:rPr>
            </w:pPr>
          </w:p>
        </w:tc>
        <w:tc>
          <w:tcPr>
            <w:tcW w:w="217" w:type="dxa"/>
          </w:tcPr>
          <w:p w14:paraId="713A2485" w14:textId="77777777" w:rsidR="002C0FD9" w:rsidRPr="00CA25CF" w:rsidRDefault="002C0FD9" w:rsidP="00CA25CF">
            <w:pPr>
              <w:rPr>
                <w:rFonts w:cs="Arial"/>
                <w:color w:val="FF0000"/>
                <w:sz w:val="21"/>
                <w:szCs w:val="21"/>
              </w:rPr>
            </w:pPr>
          </w:p>
        </w:tc>
        <w:tc>
          <w:tcPr>
            <w:tcW w:w="217" w:type="dxa"/>
          </w:tcPr>
          <w:p w14:paraId="5E97E838" w14:textId="77777777" w:rsidR="002C0FD9" w:rsidRPr="00CA25CF" w:rsidRDefault="002C0FD9" w:rsidP="00CA25CF">
            <w:pPr>
              <w:rPr>
                <w:rFonts w:cs="Arial"/>
                <w:color w:val="FF0000"/>
                <w:sz w:val="21"/>
                <w:szCs w:val="21"/>
              </w:rPr>
            </w:pPr>
          </w:p>
        </w:tc>
        <w:tc>
          <w:tcPr>
            <w:tcW w:w="217" w:type="dxa"/>
          </w:tcPr>
          <w:p w14:paraId="04B48763" w14:textId="77777777" w:rsidR="002C0FD9" w:rsidRPr="00CA25CF" w:rsidRDefault="002C0FD9" w:rsidP="00CA25CF">
            <w:pPr>
              <w:rPr>
                <w:rFonts w:cs="Arial"/>
                <w:color w:val="FF0000"/>
                <w:sz w:val="21"/>
                <w:szCs w:val="21"/>
              </w:rPr>
            </w:pPr>
          </w:p>
        </w:tc>
        <w:tc>
          <w:tcPr>
            <w:tcW w:w="217" w:type="dxa"/>
          </w:tcPr>
          <w:p w14:paraId="1CBA88AE" w14:textId="77777777" w:rsidR="002C0FD9" w:rsidRPr="00CA25CF" w:rsidRDefault="002C0FD9" w:rsidP="00CA25CF">
            <w:pPr>
              <w:rPr>
                <w:rFonts w:cs="Arial"/>
                <w:color w:val="FF0000"/>
                <w:sz w:val="21"/>
                <w:szCs w:val="21"/>
              </w:rPr>
            </w:pPr>
          </w:p>
        </w:tc>
        <w:tc>
          <w:tcPr>
            <w:tcW w:w="217" w:type="dxa"/>
          </w:tcPr>
          <w:p w14:paraId="3B1A3907" w14:textId="77777777" w:rsidR="002C0FD9" w:rsidRPr="00CA25CF" w:rsidRDefault="002C0FD9" w:rsidP="00CA25CF">
            <w:pPr>
              <w:rPr>
                <w:rFonts w:cs="Arial"/>
                <w:color w:val="FF0000"/>
                <w:sz w:val="21"/>
                <w:szCs w:val="21"/>
              </w:rPr>
            </w:pPr>
          </w:p>
        </w:tc>
        <w:tc>
          <w:tcPr>
            <w:tcW w:w="217" w:type="dxa"/>
          </w:tcPr>
          <w:p w14:paraId="780A95C2" w14:textId="77777777" w:rsidR="002C0FD9" w:rsidRPr="00CA25CF" w:rsidRDefault="002C0FD9" w:rsidP="00CA25CF">
            <w:pPr>
              <w:rPr>
                <w:rFonts w:cs="Arial"/>
                <w:color w:val="FF0000"/>
                <w:sz w:val="21"/>
                <w:szCs w:val="21"/>
              </w:rPr>
            </w:pPr>
          </w:p>
        </w:tc>
        <w:tc>
          <w:tcPr>
            <w:tcW w:w="217" w:type="dxa"/>
          </w:tcPr>
          <w:p w14:paraId="3507BA88" w14:textId="77777777" w:rsidR="002C0FD9" w:rsidRPr="00CA25CF" w:rsidRDefault="002C0FD9" w:rsidP="00CA25CF">
            <w:pPr>
              <w:rPr>
                <w:rFonts w:cs="Arial"/>
                <w:color w:val="FF0000"/>
                <w:sz w:val="21"/>
                <w:szCs w:val="21"/>
              </w:rPr>
            </w:pPr>
          </w:p>
        </w:tc>
        <w:tc>
          <w:tcPr>
            <w:tcW w:w="217" w:type="dxa"/>
          </w:tcPr>
          <w:p w14:paraId="048BC695" w14:textId="77777777" w:rsidR="002C0FD9" w:rsidRPr="00CA25CF" w:rsidRDefault="002C0FD9" w:rsidP="00CA25CF">
            <w:pPr>
              <w:rPr>
                <w:rFonts w:cs="Arial"/>
                <w:color w:val="FF0000"/>
                <w:sz w:val="21"/>
                <w:szCs w:val="21"/>
              </w:rPr>
            </w:pPr>
          </w:p>
        </w:tc>
        <w:tc>
          <w:tcPr>
            <w:tcW w:w="217" w:type="dxa"/>
          </w:tcPr>
          <w:p w14:paraId="014DE713" w14:textId="77777777" w:rsidR="002C0FD9" w:rsidRPr="00CA25CF" w:rsidRDefault="002C0FD9" w:rsidP="00CA25CF">
            <w:pPr>
              <w:rPr>
                <w:rFonts w:cs="Arial"/>
                <w:color w:val="FF0000"/>
                <w:sz w:val="21"/>
                <w:szCs w:val="21"/>
              </w:rPr>
            </w:pPr>
          </w:p>
        </w:tc>
        <w:tc>
          <w:tcPr>
            <w:tcW w:w="217" w:type="dxa"/>
          </w:tcPr>
          <w:p w14:paraId="24A66612" w14:textId="77777777" w:rsidR="002C0FD9" w:rsidRPr="00CA25CF" w:rsidRDefault="002C0FD9" w:rsidP="00CA25CF">
            <w:pPr>
              <w:rPr>
                <w:rFonts w:cs="Arial"/>
                <w:color w:val="FF0000"/>
                <w:sz w:val="21"/>
                <w:szCs w:val="21"/>
              </w:rPr>
            </w:pPr>
          </w:p>
        </w:tc>
        <w:tc>
          <w:tcPr>
            <w:tcW w:w="217" w:type="dxa"/>
          </w:tcPr>
          <w:p w14:paraId="1EA693CA" w14:textId="77777777" w:rsidR="002C0FD9" w:rsidRPr="00CA25CF" w:rsidRDefault="002C0FD9" w:rsidP="00CA25CF">
            <w:pPr>
              <w:rPr>
                <w:rFonts w:cs="Arial"/>
                <w:color w:val="FF0000"/>
                <w:sz w:val="21"/>
                <w:szCs w:val="21"/>
              </w:rPr>
            </w:pPr>
          </w:p>
        </w:tc>
        <w:tc>
          <w:tcPr>
            <w:tcW w:w="217" w:type="dxa"/>
          </w:tcPr>
          <w:p w14:paraId="778063CA" w14:textId="77777777" w:rsidR="002C0FD9" w:rsidRPr="00CA25CF" w:rsidRDefault="002C0FD9" w:rsidP="00CA25CF">
            <w:pPr>
              <w:rPr>
                <w:rFonts w:cs="Arial"/>
                <w:color w:val="FF0000"/>
                <w:sz w:val="21"/>
                <w:szCs w:val="21"/>
              </w:rPr>
            </w:pPr>
          </w:p>
        </w:tc>
        <w:tc>
          <w:tcPr>
            <w:tcW w:w="217" w:type="dxa"/>
          </w:tcPr>
          <w:p w14:paraId="138135CF" w14:textId="77777777" w:rsidR="002C0FD9" w:rsidRPr="00CA25CF" w:rsidRDefault="002C0FD9" w:rsidP="00CA25CF">
            <w:pPr>
              <w:rPr>
                <w:rFonts w:cs="Arial"/>
                <w:color w:val="FF0000"/>
                <w:sz w:val="21"/>
                <w:szCs w:val="21"/>
              </w:rPr>
            </w:pPr>
          </w:p>
        </w:tc>
        <w:tc>
          <w:tcPr>
            <w:tcW w:w="217" w:type="dxa"/>
          </w:tcPr>
          <w:p w14:paraId="5EF9F3D4" w14:textId="77777777" w:rsidR="002C0FD9" w:rsidRPr="00CA25CF" w:rsidRDefault="002C0FD9" w:rsidP="00CA25CF">
            <w:pPr>
              <w:rPr>
                <w:rFonts w:cs="Arial"/>
                <w:color w:val="FF0000"/>
                <w:sz w:val="21"/>
                <w:szCs w:val="21"/>
              </w:rPr>
            </w:pPr>
          </w:p>
        </w:tc>
        <w:tc>
          <w:tcPr>
            <w:tcW w:w="217" w:type="dxa"/>
          </w:tcPr>
          <w:p w14:paraId="360BFD9C" w14:textId="77777777" w:rsidR="002C0FD9" w:rsidRPr="00CA25CF" w:rsidRDefault="002C0FD9" w:rsidP="00CA25CF">
            <w:pPr>
              <w:rPr>
                <w:rFonts w:cs="Arial"/>
                <w:color w:val="FF0000"/>
                <w:sz w:val="21"/>
                <w:szCs w:val="21"/>
              </w:rPr>
            </w:pPr>
          </w:p>
        </w:tc>
        <w:tc>
          <w:tcPr>
            <w:tcW w:w="217" w:type="dxa"/>
          </w:tcPr>
          <w:p w14:paraId="050D0B3D" w14:textId="77777777" w:rsidR="002C0FD9" w:rsidRPr="00CA25CF" w:rsidRDefault="002C0FD9" w:rsidP="00CA25CF">
            <w:pPr>
              <w:rPr>
                <w:rFonts w:cs="Arial"/>
                <w:color w:val="FF0000"/>
                <w:sz w:val="21"/>
                <w:szCs w:val="21"/>
              </w:rPr>
            </w:pPr>
          </w:p>
        </w:tc>
        <w:tc>
          <w:tcPr>
            <w:tcW w:w="217" w:type="dxa"/>
          </w:tcPr>
          <w:p w14:paraId="6074D429" w14:textId="77777777" w:rsidR="002C0FD9" w:rsidRPr="00CA25CF" w:rsidRDefault="002C0FD9" w:rsidP="00CA25CF">
            <w:pPr>
              <w:rPr>
                <w:rFonts w:cs="Arial"/>
                <w:color w:val="FF0000"/>
                <w:sz w:val="21"/>
                <w:szCs w:val="21"/>
              </w:rPr>
            </w:pPr>
          </w:p>
        </w:tc>
        <w:tc>
          <w:tcPr>
            <w:tcW w:w="217" w:type="dxa"/>
          </w:tcPr>
          <w:p w14:paraId="7CFC2127" w14:textId="77777777" w:rsidR="002C0FD9" w:rsidRPr="00CA25CF" w:rsidRDefault="002C0FD9" w:rsidP="00CA25CF">
            <w:pPr>
              <w:rPr>
                <w:rFonts w:cs="Arial"/>
                <w:color w:val="FF0000"/>
                <w:sz w:val="21"/>
                <w:szCs w:val="21"/>
              </w:rPr>
            </w:pPr>
          </w:p>
        </w:tc>
        <w:tc>
          <w:tcPr>
            <w:tcW w:w="217" w:type="dxa"/>
          </w:tcPr>
          <w:p w14:paraId="6F90C376" w14:textId="77777777" w:rsidR="002C0FD9" w:rsidRPr="00CA25CF" w:rsidRDefault="002C0FD9" w:rsidP="00CA25CF">
            <w:pPr>
              <w:rPr>
                <w:rFonts w:cs="Arial"/>
                <w:color w:val="FF0000"/>
                <w:sz w:val="21"/>
                <w:szCs w:val="21"/>
              </w:rPr>
            </w:pPr>
          </w:p>
        </w:tc>
        <w:tc>
          <w:tcPr>
            <w:tcW w:w="217" w:type="dxa"/>
          </w:tcPr>
          <w:p w14:paraId="1FA76E18" w14:textId="77777777" w:rsidR="002C0FD9" w:rsidRPr="00CA25CF" w:rsidRDefault="002C0FD9" w:rsidP="00CA25CF">
            <w:pPr>
              <w:rPr>
                <w:rFonts w:cs="Arial"/>
                <w:color w:val="FF0000"/>
                <w:sz w:val="21"/>
                <w:szCs w:val="21"/>
              </w:rPr>
            </w:pPr>
          </w:p>
        </w:tc>
        <w:tc>
          <w:tcPr>
            <w:tcW w:w="217" w:type="dxa"/>
          </w:tcPr>
          <w:p w14:paraId="75375BAB" w14:textId="77777777" w:rsidR="002C0FD9" w:rsidRPr="00CA25CF" w:rsidRDefault="002C0FD9" w:rsidP="00CA25CF">
            <w:pPr>
              <w:rPr>
                <w:rFonts w:cs="Arial"/>
                <w:color w:val="FF0000"/>
                <w:sz w:val="21"/>
                <w:szCs w:val="21"/>
              </w:rPr>
            </w:pPr>
          </w:p>
        </w:tc>
        <w:tc>
          <w:tcPr>
            <w:tcW w:w="217" w:type="dxa"/>
          </w:tcPr>
          <w:p w14:paraId="67C49DDD" w14:textId="77777777" w:rsidR="002C0FD9" w:rsidRPr="00CA25CF" w:rsidRDefault="002C0FD9" w:rsidP="00CA25CF">
            <w:pPr>
              <w:rPr>
                <w:rFonts w:cs="Arial"/>
                <w:color w:val="FF0000"/>
                <w:sz w:val="21"/>
                <w:szCs w:val="21"/>
              </w:rPr>
            </w:pPr>
          </w:p>
        </w:tc>
        <w:tc>
          <w:tcPr>
            <w:tcW w:w="217" w:type="dxa"/>
          </w:tcPr>
          <w:p w14:paraId="7CE912F4" w14:textId="77777777" w:rsidR="002C0FD9" w:rsidRPr="00CA25CF" w:rsidRDefault="002C0FD9" w:rsidP="00CA25CF">
            <w:pPr>
              <w:rPr>
                <w:rFonts w:cs="Arial"/>
                <w:color w:val="FF0000"/>
                <w:sz w:val="21"/>
                <w:szCs w:val="21"/>
              </w:rPr>
            </w:pPr>
          </w:p>
        </w:tc>
        <w:tc>
          <w:tcPr>
            <w:tcW w:w="217" w:type="dxa"/>
          </w:tcPr>
          <w:p w14:paraId="14891B85" w14:textId="77777777" w:rsidR="002C0FD9" w:rsidRPr="00CA25CF" w:rsidRDefault="002C0FD9" w:rsidP="00CA25CF">
            <w:pPr>
              <w:rPr>
                <w:rFonts w:cs="Arial"/>
                <w:color w:val="FF0000"/>
                <w:sz w:val="21"/>
                <w:szCs w:val="21"/>
              </w:rPr>
            </w:pPr>
          </w:p>
        </w:tc>
        <w:tc>
          <w:tcPr>
            <w:tcW w:w="217" w:type="dxa"/>
          </w:tcPr>
          <w:p w14:paraId="6AF180F9" w14:textId="77777777" w:rsidR="002C0FD9" w:rsidRPr="00CA25CF" w:rsidRDefault="002C0FD9" w:rsidP="00CA25CF">
            <w:pPr>
              <w:rPr>
                <w:rFonts w:cs="Arial"/>
                <w:color w:val="FF0000"/>
                <w:sz w:val="21"/>
                <w:szCs w:val="21"/>
              </w:rPr>
            </w:pPr>
          </w:p>
        </w:tc>
        <w:tc>
          <w:tcPr>
            <w:tcW w:w="217" w:type="dxa"/>
          </w:tcPr>
          <w:p w14:paraId="4DEDD17C" w14:textId="77777777" w:rsidR="002C0FD9" w:rsidRPr="00CA25CF" w:rsidRDefault="002C0FD9" w:rsidP="00CA25CF">
            <w:pPr>
              <w:rPr>
                <w:rFonts w:cs="Arial"/>
                <w:color w:val="FF0000"/>
                <w:sz w:val="21"/>
                <w:szCs w:val="21"/>
              </w:rPr>
            </w:pPr>
          </w:p>
        </w:tc>
        <w:tc>
          <w:tcPr>
            <w:tcW w:w="217" w:type="dxa"/>
          </w:tcPr>
          <w:p w14:paraId="378A53A5" w14:textId="77777777" w:rsidR="002C0FD9" w:rsidRPr="00CA25CF" w:rsidRDefault="002C0FD9" w:rsidP="00CA25CF">
            <w:pPr>
              <w:rPr>
                <w:rFonts w:cs="Arial"/>
                <w:color w:val="FF0000"/>
                <w:sz w:val="21"/>
                <w:szCs w:val="21"/>
              </w:rPr>
            </w:pPr>
          </w:p>
        </w:tc>
      </w:tr>
      <w:tr w:rsidR="002C0FD9" w:rsidRPr="00A16219" w14:paraId="010F12F0" w14:textId="78F8E8BA" w:rsidTr="002C0FD9">
        <w:trPr>
          <w:trHeight w:val="635"/>
        </w:trPr>
        <w:tc>
          <w:tcPr>
            <w:tcW w:w="515" w:type="dxa"/>
          </w:tcPr>
          <w:p w14:paraId="5785B36D" w14:textId="77777777" w:rsidR="002C0FD9" w:rsidRPr="00CA25CF" w:rsidRDefault="002C0FD9" w:rsidP="00CA25CF">
            <w:pPr>
              <w:rPr>
                <w:rFonts w:cs="Arial"/>
                <w:color w:val="FF0000"/>
                <w:sz w:val="21"/>
                <w:szCs w:val="21"/>
              </w:rPr>
            </w:pPr>
          </w:p>
        </w:tc>
        <w:tc>
          <w:tcPr>
            <w:tcW w:w="217" w:type="dxa"/>
          </w:tcPr>
          <w:p w14:paraId="58F70A8A" w14:textId="77777777" w:rsidR="002C0FD9" w:rsidRPr="00CA25CF" w:rsidRDefault="002C0FD9" w:rsidP="00CA25CF">
            <w:pPr>
              <w:rPr>
                <w:rFonts w:cs="Arial"/>
                <w:color w:val="FF0000"/>
                <w:sz w:val="21"/>
                <w:szCs w:val="21"/>
              </w:rPr>
            </w:pPr>
          </w:p>
        </w:tc>
        <w:tc>
          <w:tcPr>
            <w:tcW w:w="217" w:type="dxa"/>
          </w:tcPr>
          <w:p w14:paraId="3F41449A" w14:textId="7F9A2E81" w:rsidR="002C0FD9" w:rsidRPr="00CA25CF" w:rsidRDefault="002C0FD9" w:rsidP="00CA25CF">
            <w:pPr>
              <w:rPr>
                <w:rFonts w:cs="Arial"/>
                <w:color w:val="FF0000"/>
                <w:sz w:val="21"/>
                <w:szCs w:val="21"/>
              </w:rPr>
            </w:pPr>
          </w:p>
        </w:tc>
        <w:tc>
          <w:tcPr>
            <w:tcW w:w="217" w:type="dxa"/>
          </w:tcPr>
          <w:p w14:paraId="45F18B61" w14:textId="77777777" w:rsidR="002C0FD9" w:rsidRPr="00CA25CF" w:rsidRDefault="002C0FD9" w:rsidP="00CA25CF">
            <w:pPr>
              <w:rPr>
                <w:rFonts w:cs="Arial"/>
                <w:color w:val="FF0000"/>
                <w:sz w:val="21"/>
                <w:szCs w:val="21"/>
              </w:rPr>
            </w:pPr>
          </w:p>
        </w:tc>
        <w:tc>
          <w:tcPr>
            <w:tcW w:w="217" w:type="dxa"/>
          </w:tcPr>
          <w:p w14:paraId="5E7CF45C" w14:textId="77777777" w:rsidR="002C0FD9" w:rsidRPr="00CA25CF" w:rsidRDefault="002C0FD9" w:rsidP="00CA25CF">
            <w:pPr>
              <w:rPr>
                <w:rFonts w:cs="Arial"/>
                <w:color w:val="FF0000"/>
                <w:sz w:val="21"/>
                <w:szCs w:val="21"/>
              </w:rPr>
            </w:pPr>
          </w:p>
        </w:tc>
        <w:tc>
          <w:tcPr>
            <w:tcW w:w="217" w:type="dxa"/>
          </w:tcPr>
          <w:p w14:paraId="7AB74B61" w14:textId="77777777" w:rsidR="002C0FD9" w:rsidRPr="00CA25CF" w:rsidRDefault="002C0FD9" w:rsidP="00CA25CF">
            <w:pPr>
              <w:rPr>
                <w:rFonts w:cs="Arial"/>
                <w:color w:val="FF0000"/>
                <w:sz w:val="21"/>
                <w:szCs w:val="21"/>
              </w:rPr>
            </w:pPr>
          </w:p>
        </w:tc>
        <w:tc>
          <w:tcPr>
            <w:tcW w:w="217" w:type="dxa"/>
          </w:tcPr>
          <w:p w14:paraId="64D3BFE6" w14:textId="77777777" w:rsidR="002C0FD9" w:rsidRPr="00CA25CF" w:rsidRDefault="002C0FD9" w:rsidP="00CA25CF">
            <w:pPr>
              <w:rPr>
                <w:rFonts w:cs="Arial"/>
                <w:color w:val="FF0000"/>
                <w:sz w:val="21"/>
                <w:szCs w:val="21"/>
              </w:rPr>
            </w:pPr>
          </w:p>
        </w:tc>
        <w:tc>
          <w:tcPr>
            <w:tcW w:w="217" w:type="dxa"/>
          </w:tcPr>
          <w:p w14:paraId="2A75B78B" w14:textId="77777777" w:rsidR="002C0FD9" w:rsidRPr="00CA25CF" w:rsidRDefault="002C0FD9" w:rsidP="00CA25CF">
            <w:pPr>
              <w:rPr>
                <w:rFonts w:cs="Arial"/>
                <w:color w:val="FF0000"/>
                <w:sz w:val="21"/>
                <w:szCs w:val="21"/>
              </w:rPr>
            </w:pPr>
          </w:p>
        </w:tc>
        <w:tc>
          <w:tcPr>
            <w:tcW w:w="217" w:type="dxa"/>
          </w:tcPr>
          <w:p w14:paraId="75720A89" w14:textId="77777777" w:rsidR="002C0FD9" w:rsidRPr="00CA25CF" w:rsidRDefault="002C0FD9" w:rsidP="00CA25CF">
            <w:pPr>
              <w:rPr>
                <w:rFonts w:cs="Arial"/>
                <w:color w:val="FF0000"/>
                <w:sz w:val="21"/>
                <w:szCs w:val="21"/>
              </w:rPr>
            </w:pPr>
          </w:p>
        </w:tc>
        <w:tc>
          <w:tcPr>
            <w:tcW w:w="217" w:type="dxa"/>
          </w:tcPr>
          <w:p w14:paraId="330B2015" w14:textId="77777777" w:rsidR="002C0FD9" w:rsidRPr="00CA25CF" w:rsidRDefault="002C0FD9" w:rsidP="00CA25CF">
            <w:pPr>
              <w:rPr>
                <w:rFonts w:cs="Arial"/>
                <w:color w:val="FF0000"/>
                <w:sz w:val="21"/>
                <w:szCs w:val="21"/>
              </w:rPr>
            </w:pPr>
          </w:p>
        </w:tc>
        <w:tc>
          <w:tcPr>
            <w:tcW w:w="217" w:type="dxa"/>
          </w:tcPr>
          <w:p w14:paraId="4CDA9846" w14:textId="77777777" w:rsidR="002C0FD9" w:rsidRPr="00CA25CF" w:rsidRDefault="002C0FD9" w:rsidP="00CA25CF">
            <w:pPr>
              <w:rPr>
                <w:rFonts w:cs="Arial"/>
                <w:color w:val="FF0000"/>
                <w:sz w:val="21"/>
                <w:szCs w:val="21"/>
              </w:rPr>
            </w:pPr>
          </w:p>
        </w:tc>
        <w:tc>
          <w:tcPr>
            <w:tcW w:w="217" w:type="dxa"/>
          </w:tcPr>
          <w:p w14:paraId="79109CAD" w14:textId="77777777" w:rsidR="002C0FD9" w:rsidRPr="00CA25CF" w:rsidRDefault="002C0FD9" w:rsidP="00CA25CF">
            <w:pPr>
              <w:rPr>
                <w:rFonts w:cs="Arial"/>
                <w:color w:val="FF0000"/>
                <w:sz w:val="21"/>
                <w:szCs w:val="21"/>
              </w:rPr>
            </w:pPr>
          </w:p>
        </w:tc>
        <w:tc>
          <w:tcPr>
            <w:tcW w:w="217" w:type="dxa"/>
          </w:tcPr>
          <w:p w14:paraId="0D57A498" w14:textId="77777777" w:rsidR="002C0FD9" w:rsidRPr="00CA25CF" w:rsidRDefault="002C0FD9" w:rsidP="00CA25CF">
            <w:pPr>
              <w:rPr>
                <w:rFonts w:cs="Arial"/>
                <w:color w:val="FF0000"/>
                <w:sz w:val="21"/>
                <w:szCs w:val="21"/>
              </w:rPr>
            </w:pPr>
          </w:p>
        </w:tc>
        <w:tc>
          <w:tcPr>
            <w:tcW w:w="217" w:type="dxa"/>
          </w:tcPr>
          <w:p w14:paraId="7652058D" w14:textId="77777777" w:rsidR="002C0FD9" w:rsidRPr="00CA25CF" w:rsidRDefault="002C0FD9" w:rsidP="00CA25CF">
            <w:pPr>
              <w:rPr>
                <w:rFonts w:cs="Arial"/>
                <w:color w:val="FF0000"/>
                <w:sz w:val="21"/>
                <w:szCs w:val="21"/>
              </w:rPr>
            </w:pPr>
          </w:p>
        </w:tc>
        <w:tc>
          <w:tcPr>
            <w:tcW w:w="217" w:type="dxa"/>
          </w:tcPr>
          <w:p w14:paraId="43ABE41D" w14:textId="77777777" w:rsidR="002C0FD9" w:rsidRPr="00CA25CF" w:rsidRDefault="002C0FD9" w:rsidP="00CA25CF">
            <w:pPr>
              <w:rPr>
                <w:rFonts w:cs="Arial"/>
                <w:color w:val="FF0000"/>
                <w:sz w:val="21"/>
                <w:szCs w:val="21"/>
              </w:rPr>
            </w:pPr>
          </w:p>
        </w:tc>
        <w:tc>
          <w:tcPr>
            <w:tcW w:w="217" w:type="dxa"/>
          </w:tcPr>
          <w:p w14:paraId="2FE8E8EC" w14:textId="0B707CD7" w:rsidR="002C0FD9" w:rsidRPr="00CA25CF" w:rsidRDefault="002C0FD9" w:rsidP="00CA25CF">
            <w:pPr>
              <w:rPr>
                <w:rFonts w:cs="Arial"/>
                <w:color w:val="FF0000"/>
                <w:sz w:val="21"/>
                <w:szCs w:val="21"/>
              </w:rPr>
            </w:pPr>
          </w:p>
        </w:tc>
        <w:tc>
          <w:tcPr>
            <w:tcW w:w="217" w:type="dxa"/>
          </w:tcPr>
          <w:p w14:paraId="153C7CF4" w14:textId="77777777" w:rsidR="002C0FD9" w:rsidRPr="00CA25CF" w:rsidRDefault="002C0FD9" w:rsidP="00CA25CF">
            <w:pPr>
              <w:rPr>
                <w:rFonts w:cs="Arial"/>
                <w:color w:val="FF0000"/>
                <w:sz w:val="21"/>
                <w:szCs w:val="21"/>
              </w:rPr>
            </w:pPr>
          </w:p>
        </w:tc>
        <w:tc>
          <w:tcPr>
            <w:tcW w:w="217" w:type="dxa"/>
          </w:tcPr>
          <w:p w14:paraId="4C92609A" w14:textId="77777777" w:rsidR="002C0FD9" w:rsidRPr="00CA25CF" w:rsidRDefault="002C0FD9" w:rsidP="00CA25CF">
            <w:pPr>
              <w:rPr>
                <w:rFonts w:cs="Arial"/>
                <w:color w:val="FF0000"/>
                <w:sz w:val="21"/>
                <w:szCs w:val="21"/>
              </w:rPr>
            </w:pPr>
          </w:p>
        </w:tc>
        <w:tc>
          <w:tcPr>
            <w:tcW w:w="217" w:type="dxa"/>
          </w:tcPr>
          <w:p w14:paraId="2690C41F" w14:textId="77777777" w:rsidR="002C0FD9" w:rsidRPr="00CA25CF" w:rsidRDefault="002C0FD9" w:rsidP="00CA25CF">
            <w:pPr>
              <w:rPr>
                <w:rFonts w:cs="Arial"/>
                <w:color w:val="FF0000"/>
                <w:sz w:val="21"/>
                <w:szCs w:val="21"/>
              </w:rPr>
            </w:pPr>
          </w:p>
        </w:tc>
        <w:tc>
          <w:tcPr>
            <w:tcW w:w="217" w:type="dxa"/>
          </w:tcPr>
          <w:p w14:paraId="1AC09A61" w14:textId="77777777" w:rsidR="002C0FD9" w:rsidRPr="00CA25CF" w:rsidRDefault="002C0FD9" w:rsidP="00CA25CF">
            <w:pPr>
              <w:rPr>
                <w:rFonts w:cs="Arial"/>
                <w:color w:val="FF0000"/>
                <w:sz w:val="21"/>
                <w:szCs w:val="21"/>
              </w:rPr>
            </w:pPr>
          </w:p>
        </w:tc>
        <w:tc>
          <w:tcPr>
            <w:tcW w:w="217" w:type="dxa"/>
          </w:tcPr>
          <w:p w14:paraId="69EF28CB" w14:textId="77777777" w:rsidR="002C0FD9" w:rsidRPr="00CA25CF" w:rsidRDefault="002C0FD9" w:rsidP="00CA25CF">
            <w:pPr>
              <w:rPr>
                <w:rFonts w:cs="Arial"/>
                <w:color w:val="FF0000"/>
                <w:sz w:val="21"/>
                <w:szCs w:val="21"/>
              </w:rPr>
            </w:pPr>
          </w:p>
        </w:tc>
        <w:tc>
          <w:tcPr>
            <w:tcW w:w="217" w:type="dxa"/>
          </w:tcPr>
          <w:p w14:paraId="16FCDE5F" w14:textId="77777777" w:rsidR="002C0FD9" w:rsidRPr="00CA25CF" w:rsidRDefault="002C0FD9" w:rsidP="00CA25CF">
            <w:pPr>
              <w:rPr>
                <w:rFonts w:cs="Arial"/>
                <w:color w:val="FF0000"/>
                <w:sz w:val="21"/>
                <w:szCs w:val="21"/>
              </w:rPr>
            </w:pPr>
          </w:p>
        </w:tc>
        <w:tc>
          <w:tcPr>
            <w:tcW w:w="217" w:type="dxa"/>
          </w:tcPr>
          <w:p w14:paraId="00051D70" w14:textId="77777777" w:rsidR="002C0FD9" w:rsidRPr="00CA25CF" w:rsidRDefault="002C0FD9" w:rsidP="00CA25CF">
            <w:pPr>
              <w:rPr>
                <w:rFonts w:cs="Arial"/>
                <w:color w:val="FF0000"/>
                <w:sz w:val="21"/>
                <w:szCs w:val="21"/>
              </w:rPr>
            </w:pPr>
          </w:p>
        </w:tc>
        <w:tc>
          <w:tcPr>
            <w:tcW w:w="217" w:type="dxa"/>
          </w:tcPr>
          <w:p w14:paraId="5F46FA86" w14:textId="77777777" w:rsidR="002C0FD9" w:rsidRPr="00CA25CF" w:rsidRDefault="002C0FD9" w:rsidP="00CA25CF">
            <w:pPr>
              <w:rPr>
                <w:rFonts w:cs="Arial"/>
                <w:color w:val="FF0000"/>
                <w:sz w:val="21"/>
                <w:szCs w:val="21"/>
              </w:rPr>
            </w:pPr>
          </w:p>
        </w:tc>
        <w:tc>
          <w:tcPr>
            <w:tcW w:w="217" w:type="dxa"/>
          </w:tcPr>
          <w:p w14:paraId="4105C04C" w14:textId="77777777" w:rsidR="002C0FD9" w:rsidRPr="00CA25CF" w:rsidRDefault="002C0FD9" w:rsidP="00CA25CF">
            <w:pPr>
              <w:rPr>
                <w:rFonts w:cs="Arial"/>
                <w:color w:val="FF0000"/>
                <w:sz w:val="21"/>
                <w:szCs w:val="21"/>
              </w:rPr>
            </w:pPr>
          </w:p>
        </w:tc>
        <w:tc>
          <w:tcPr>
            <w:tcW w:w="217" w:type="dxa"/>
          </w:tcPr>
          <w:p w14:paraId="14AEEE3E" w14:textId="77777777" w:rsidR="002C0FD9" w:rsidRPr="00CA25CF" w:rsidRDefault="002C0FD9" w:rsidP="00CA25CF">
            <w:pPr>
              <w:rPr>
                <w:rFonts w:cs="Arial"/>
                <w:color w:val="FF0000"/>
                <w:sz w:val="21"/>
                <w:szCs w:val="21"/>
              </w:rPr>
            </w:pPr>
          </w:p>
        </w:tc>
        <w:tc>
          <w:tcPr>
            <w:tcW w:w="217" w:type="dxa"/>
          </w:tcPr>
          <w:p w14:paraId="15F670B5" w14:textId="77777777" w:rsidR="002C0FD9" w:rsidRPr="00CA25CF" w:rsidRDefault="002C0FD9" w:rsidP="00CA25CF">
            <w:pPr>
              <w:rPr>
                <w:rFonts w:cs="Arial"/>
                <w:color w:val="FF0000"/>
                <w:sz w:val="21"/>
                <w:szCs w:val="21"/>
              </w:rPr>
            </w:pPr>
          </w:p>
        </w:tc>
        <w:tc>
          <w:tcPr>
            <w:tcW w:w="217" w:type="dxa"/>
          </w:tcPr>
          <w:p w14:paraId="2A4E7B5D" w14:textId="77777777" w:rsidR="002C0FD9" w:rsidRPr="00CA25CF" w:rsidRDefault="002C0FD9" w:rsidP="00CA25CF">
            <w:pPr>
              <w:rPr>
                <w:rFonts w:cs="Arial"/>
                <w:color w:val="FF0000"/>
                <w:sz w:val="21"/>
                <w:szCs w:val="21"/>
              </w:rPr>
            </w:pPr>
          </w:p>
        </w:tc>
        <w:tc>
          <w:tcPr>
            <w:tcW w:w="217" w:type="dxa"/>
          </w:tcPr>
          <w:p w14:paraId="1FDF6DB0" w14:textId="77777777" w:rsidR="002C0FD9" w:rsidRPr="00CA25CF" w:rsidRDefault="002C0FD9" w:rsidP="00CA25CF">
            <w:pPr>
              <w:rPr>
                <w:rFonts w:cs="Arial"/>
                <w:color w:val="FF0000"/>
                <w:sz w:val="21"/>
                <w:szCs w:val="21"/>
              </w:rPr>
            </w:pPr>
          </w:p>
        </w:tc>
        <w:tc>
          <w:tcPr>
            <w:tcW w:w="217" w:type="dxa"/>
          </w:tcPr>
          <w:p w14:paraId="597FB6AD" w14:textId="77777777" w:rsidR="002C0FD9" w:rsidRPr="00CA25CF" w:rsidRDefault="002C0FD9" w:rsidP="00CA25CF">
            <w:pPr>
              <w:rPr>
                <w:rFonts w:cs="Arial"/>
                <w:color w:val="FF0000"/>
                <w:sz w:val="21"/>
                <w:szCs w:val="21"/>
              </w:rPr>
            </w:pPr>
          </w:p>
        </w:tc>
        <w:tc>
          <w:tcPr>
            <w:tcW w:w="217" w:type="dxa"/>
          </w:tcPr>
          <w:p w14:paraId="138FFE77" w14:textId="77777777" w:rsidR="002C0FD9" w:rsidRPr="00CA25CF" w:rsidRDefault="002C0FD9" w:rsidP="00CA25CF">
            <w:pPr>
              <w:rPr>
                <w:rFonts w:cs="Arial"/>
                <w:color w:val="FF0000"/>
                <w:sz w:val="21"/>
                <w:szCs w:val="21"/>
              </w:rPr>
            </w:pPr>
          </w:p>
        </w:tc>
        <w:tc>
          <w:tcPr>
            <w:tcW w:w="217" w:type="dxa"/>
          </w:tcPr>
          <w:p w14:paraId="1621D920" w14:textId="77777777" w:rsidR="002C0FD9" w:rsidRPr="00CA25CF" w:rsidRDefault="002C0FD9" w:rsidP="00CA25CF">
            <w:pPr>
              <w:rPr>
                <w:rFonts w:cs="Arial"/>
                <w:color w:val="FF0000"/>
                <w:sz w:val="21"/>
                <w:szCs w:val="21"/>
              </w:rPr>
            </w:pPr>
          </w:p>
        </w:tc>
        <w:tc>
          <w:tcPr>
            <w:tcW w:w="217" w:type="dxa"/>
          </w:tcPr>
          <w:p w14:paraId="2B935573" w14:textId="77777777" w:rsidR="002C0FD9" w:rsidRPr="00CA25CF" w:rsidRDefault="002C0FD9" w:rsidP="00CA25CF">
            <w:pPr>
              <w:rPr>
                <w:rFonts w:cs="Arial"/>
                <w:color w:val="FF0000"/>
                <w:sz w:val="21"/>
                <w:szCs w:val="21"/>
              </w:rPr>
            </w:pPr>
          </w:p>
        </w:tc>
        <w:tc>
          <w:tcPr>
            <w:tcW w:w="217" w:type="dxa"/>
          </w:tcPr>
          <w:p w14:paraId="4E41F8CA" w14:textId="77777777" w:rsidR="002C0FD9" w:rsidRPr="00CA25CF" w:rsidRDefault="002C0FD9" w:rsidP="00CA25CF">
            <w:pPr>
              <w:rPr>
                <w:rFonts w:cs="Arial"/>
                <w:color w:val="FF0000"/>
                <w:sz w:val="21"/>
                <w:szCs w:val="21"/>
              </w:rPr>
            </w:pPr>
          </w:p>
        </w:tc>
        <w:tc>
          <w:tcPr>
            <w:tcW w:w="217" w:type="dxa"/>
          </w:tcPr>
          <w:p w14:paraId="53F23952" w14:textId="77777777" w:rsidR="002C0FD9" w:rsidRPr="00CA25CF" w:rsidRDefault="002C0FD9" w:rsidP="00CA25CF">
            <w:pPr>
              <w:rPr>
                <w:rFonts w:cs="Arial"/>
                <w:color w:val="FF0000"/>
                <w:sz w:val="21"/>
                <w:szCs w:val="21"/>
              </w:rPr>
            </w:pPr>
          </w:p>
        </w:tc>
        <w:tc>
          <w:tcPr>
            <w:tcW w:w="217" w:type="dxa"/>
          </w:tcPr>
          <w:p w14:paraId="0E8DD3C3" w14:textId="77777777" w:rsidR="002C0FD9" w:rsidRPr="00CA25CF" w:rsidRDefault="002C0FD9" w:rsidP="00CA25CF">
            <w:pPr>
              <w:rPr>
                <w:rFonts w:cs="Arial"/>
                <w:color w:val="FF0000"/>
                <w:sz w:val="21"/>
                <w:szCs w:val="21"/>
              </w:rPr>
            </w:pPr>
          </w:p>
        </w:tc>
        <w:tc>
          <w:tcPr>
            <w:tcW w:w="217" w:type="dxa"/>
          </w:tcPr>
          <w:p w14:paraId="72019290" w14:textId="77777777" w:rsidR="002C0FD9" w:rsidRPr="00CA25CF" w:rsidRDefault="002C0FD9" w:rsidP="00CA25CF">
            <w:pPr>
              <w:rPr>
                <w:rFonts w:cs="Arial"/>
                <w:color w:val="FF0000"/>
                <w:sz w:val="21"/>
                <w:szCs w:val="21"/>
              </w:rPr>
            </w:pPr>
          </w:p>
        </w:tc>
        <w:tc>
          <w:tcPr>
            <w:tcW w:w="217" w:type="dxa"/>
          </w:tcPr>
          <w:p w14:paraId="41609D64" w14:textId="77777777" w:rsidR="002C0FD9" w:rsidRPr="00CA25CF" w:rsidRDefault="002C0FD9" w:rsidP="00CA25CF">
            <w:pPr>
              <w:rPr>
                <w:rFonts w:cs="Arial"/>
                <w:color w:val="FF0000"/>
                <w:sz w:val="21"/>
                <w:szCs w:val="21"/>
              </w:rPr>
            </w:pPr>
          </w:p>
        </w:tc>
        <w:tc>
          <w:tcPr>
            <w:tcW w:w="217" w:type="dxa"/>
          </w:tcPr>
          <w:p w14:paraId="3282E191" w14:textId="77777777" w:rsidR="002C0FD9" w:rsidRPr="00CA25CF" w:rsidRDefault="002C0FD9" w:rsidP="00CA25CF">
            <w:pPr>
              <w:rPr>
                <w:rFonts w:cs="Arial"/>
                <w:color w:val="FF0000"/>
                <w:sz w:val="21"/>
                <w:szCs w:val="21"/>
              </w:rPr>
            </w:pPr>
          </w:p>
        </w:tc>
        <w:tc>
          <w:tcPr>
            <w:tcW w:w="217" w:type="dxa"/>
          </w:tcPr>
          <w:p w14:paraId="62144227" w14:textId="77777777" w:rsidR="002C0FD9" w:rsidRPr="00CA25CF" w:rsidRDefault="002C0FD9" w:rsidP="00CA25CF">
            <w:pPr>
              <w:rPr>
                <w:rFonts w:cs="Arial"/>
                <w:color w:val="FF0000"/>
                <w:sz w:val="21"/>
                <w:szCs w:val="21"/>
              </w:rPr>
            </w:pPr>
          </w:p>
        </w:tc>
        <w:tc>
          <w:tcPr>
            <w:tcW w:w="217" w:type="dxa"/>
          </w:tcPr>
          <w:p w14:paraId="3E3AC123" w14:textId="77777777" w:rsidR="002C0FD9" w:rsidRPr="00CA25CF" w:rsidRDefault="002C0FD9" w:rsidP="00CA25CF">
            <w:pPr>
              <w:rPr>
                <w:rFonts w:cs="Arial"/>
                <w:color w:val="FF0000"/>
                <w:sz w:val="21"/>
                <w:szCs w:val="21"/>
              </w:rPr>
            </w:pPr>
          </w:p>
        </w:tc>
        <w:tc>
          <w:tcPr>
            <w:tcW w:w="217" w:type="dxa"/>
          </w:tcPr>
          <w:p w14:paraId="6F1035ED" w14:textId="77777777" w:rsidR="002C0FD9" w:rsidRPr="00CA25CF" w:rsidRDefault="002C0FD9" w:rsidP="00CA25CF">
            <w:pPr>
              <w:rPr>
                <w:rFonts w:cs="Arial"/>
                <w:color w:val="FF0000"/>
                <w:sz w:val="21"/>
                <w:szCs w:val="21"/>
              </w:rPr>
            </w:pPr>
          </w:p>
        </w:tc>
        <w:tc>
          <w:tcPr>
            <w:tcW w:w="217" w:type="dxa"/>
          </w:tcPr>
          <w:p w14:paraId="5BF1B99C" w14:textId="77777777" w:rsidR="002C0FD9" w:rsidRPr="00CA25CF" w:rsidRDefault="002C0FD9" w:rsidP="00CA25CF">
            <w:pPr>
              <w:rPr>
                <w:rFonts w:cs="Arial"/>
                <w:color w:val="FF0000"/>
                <w:sz w:val="21"/>
                <w:szCs w:val="21"/>
              </w:rPr>
            </w:pPr>
          </w:p>
        </w:tc>
      </w:tr>
      <w:tr w:rsidR="002C0FD9" w:rsidRPr="00A16219" w14:paraId="00443ADA" w14:textId="2A46C85D" w:rsidTr="002C0FD9">
        <w:trPr>
          <w:trHeight w:val="635"/>
        </w:trPr>
        <w:tc>
          <w:tcPr>
            <w:tcW w:w="515" w:type="dxa"/>
          </w:tcPr>
          <w:p w14:paraId="3A562095" w14:textId="77777777" w:rsidR="002C0FD9" w:rsidRPr="00CA25CF" w:rsidRDefault="002C0FD9" w:rsidP="00CA25CF">
            <w:pPr>
              <w:rPr>
                <w:rFonts w:cs="Arial"/>
                <w:color w:val="FF0000"/>
                <w:sz w:val="21"/>
                <w:szCs w:val="21"/>
              </w:rPr>
            </w:pPr>
          </w:p>
        </w:tc>
        <w:tc>
          <w:tcPr>
            <w:tcW w:w="217" w:type="dxa"/>
          </w:tcPr>
          <w:p w14:paraId="7BB24AFE" w14:textId="77777777" w:rsidR="002C0FD9" w:rsidRPr="00CA25CF" w:rsidRDefault="002C0FD9" w:rsidP="00CA25CF">
            <w:pPr>
              <w:rPr>
                <w:rFonts w:cs="Arial"/>
                <w:color w:val="FF0000"/>
                <w:sz w:val="21"/>
                <w:szCs w:val="21"/>
              </w:rPr>
            </w:pPr>
          </w:p>
        </w:tc>
        <w:tc>
          <w:tcPr>
            <w:tcW w:w="217" w:type="dxa"/>
          </w:tcPr>
          <w:p w14:paraId="152CD218" w14:textId="67928983" w:rsidR="002C0FD9" w:rsidRPr="00CA25CF" w:rsidRDefault="002C0FD9" w:rsidP="00CA25CF">
            <w:pPr>
              <w:rPr>
                <w:rFonts w:cs="Arial"/>
                <w:color w:val="FF0000"/>
                <w:sz w:val="21"/>
                <w:szCs w:val="21"/>
              </w:rPr>
            </w:pPr>
          </w:p>
        </w:tc>
        <w:tc>
          <w:tcPr>
            <w:tcW w:w="217" w:type="dxa"/>
          </w:tcPr>
          <w:p w14:paraId="7384991D" w14:textId="77777777" w:rsidR="002C0FD9" w:rsidRPr="00CA25CF" w:rsidRDefault="002C0FD9" w:rsidP="00CA25CF">
            <w:pPr>
              <w:rPr>
                <w:rFonts w:cs="Arial"/>
                <w:color w:val="FF0000"/>
                <w:sz w:val="21"/>
                <w:szCs w:val="21"/>
              </w:rPr>
            </w:pPr>
          </w:p>
        </w:tc>
        <w:tc>
          <w:tcPr>
            <w:tcW w:w="217" w:type="dxa"/>
          </w:tcPr>
          <w:p w14:paraId="40F2E8CB" w14:textId="77777777" w:rsidR="002C0FD9" w:rsidRPr="00CA25CF" w:rsidRDefault="002C0FD9" w:rsidP="00CA25CF">
            <w:pPr>
              <w:rPr>
                <w:rFonts w:cs="Arial"/>
                <w:color w:val="FF0000"/>
                <w:sz w:val="21"/>
                <w:szCs w:val="21"/>
              </w:rPr>
            </w:pPr>
          </w:p>
        </w:tc>
        <w:tc>
          <w:tcPr>
            <w:tcW w:w="217" w:type="dxa"/>
          </w:tcPr>
          <w:p w14:paraId="41D985F1" w14:textId="77777777" w:rsidR="002C0FD9" w:rsidRPr="00CA25CF" w:rsidRDefault="002C0FD9" w:rsidP="00CA25CF">
            <w:pPr>
              <w:rPr>
                <w:rFonts w:cs="Arial"/>
                <w:color w:val="FF0000"/>
                <w:sz w:val="21"/>
                <w:szCs w:val="21"/>
              </w:rPr>
            </w:pPr>
          </w:p>
        </w:tc>
        <w:tc>
          <w:tcPr>
            <w:tcW w:w="217" w:type="dxa"/>
          </w:tcPr>
          <w:p w14:paraId="50F4525B" w14:textId="77777777" w:rsidR="002C0FD9" w:rsidRPr="00CA25CF" w:rsidRDefault="002C0FD9" w:rsidP="00CA25CF">
            <w:pPr>
              <w:rPr>
                <w:rFonts w:cs="Arial"/>
                <w:color w:val="FF0000"/>
                <w:sz w:val="21"/>
                <w:szCs w:val="21"/>
              </w:rPr>
            </w:pPr>
          </w:p>
        </w:tc>
        <w:tc>
          <w:tcPr>
            <w:tcW w:w="217" w:type="dxa"/>
          </w:tcPr>
          <w:p w14:paraId="480844CD" w14:textId="77777777" w:rsidR="002C0FD9" w:rsidRPr="00CA25CF" w:rsidRDefault="002C0FD9" w:rsidP="00CA25CF">
            <w:pPr>
              <w:rPr>
                <w:rFonts w:cs="Arial"/>
                <w:color w:val="FF0000"/>
                <w:sz w:val="21"/>
                <w:szCs w:val="21"/>
              </w:rPr>
            </w:pPr>
          </w:p>
        </w:tc>
        <w:tc>
          <w:tcPr>
            <w:tcW w:w="217" w:type="dxa"/>
          </w:tcPr>
          <w:p w14:paraId="585E6535" w14:textId="77777777" w:rsidR="002C0FD9" w:rsidRPr="00CA25CF" w:rsidRDefault="002C0FD9" w:rsidP="00CA25CF">
            <w:pPr>
              <w:rPr>
                <w:rFonts w:cs="Arial"/>
                <w:color w:val="FF0000"/>
                <w:sz w:val="21"/>
                <w:szCs w:val="21"/>
              </w:rPr>
            </w:pPr>
          </w:p>
        </w:tc>
        <w:tc>
          <w:tcPr>
            <w:tcW w:w="217" w:type="dxa"/>
          </w:tcPr>
          <w:p w14:paraId="385D84C9" w14:textId="77777777" w:rsidR="002C0FD9" w:rsidRPr="00CA25CF" w:rsidRDefault="002C0FD9" w:rsidP="00CA25CF">
            <w:pPr>
              <w:rPr>
                <w:rFonts w:cs="Arial"/>
                <w:color w:val="FF0000"/>
                <w:sz w:val="21"/>
                <w:szCs w:val="21"/>
              </w:rPr>
            </w:pPr>
          </w:p>
        </w:tc>
        <w:tc>
          <w:tcPr>
            <w:tcW w:w="217" w:type="dxa"/>
          </w:tcPr>
          <w:p w14:paraId="76BBE763" w14:textId="77777777" w:rsidR="002C0FD9" w:rsidRPr="00CA25CF" w:rsidRDefault="002C0FD9" w:rsidP="00CA25CF">
            <w:pPr>
              <w:rPr>
                <w:rFonts w:cs="Arial"/>
                <w:color w:val="FF0000"/>
                <w:sz w:val="21"/>
                <w:szCs w:val="21"/>
              </w:rPr>
            </w:pPr>
          </w:p>
        </w:tc>
        <w:tc>
          <w:tcPr>
            <w:tcW w:w="217" w:type="dxa"/>
          </w:tcPr>
          <w:p w14:paraId="21A8AF09" w14:textId="77777777" w:rsidR="002C0FD9" w:rsidRPr="00CA25CF" w:rsidRDefault="002C0FD9" w:rsidP="00CA25CF">
            <w:pPr>
              <w:rPr>
                <w:rFonts w:cs="Arial"/>
                <w:color w:val="FF0000"/>
                <w:sz w:val="21"/>
                <w:szCs w:val="21"/>
              </w:rPr>
            </w:pPr>
          </w:p>
        </w:tc>
        <w:tc>
          <w:tcPr>
            <w:tcW w:w="217" w:type="dxa"/>
          </w:tcPr>
          <w:p w14:paraId="5F4FBFAA" w14:textId="77777777" w:rsidR="002C0FD9" w:rsidRPr="00CA25CF" w:rsidRDefault="002C0FD9" w:rsidP="00CA25CF">
            <w:pPr>
              <w:rPr>
                <w:rFonts w:cs="Arial"/>
                <w:color w:val="FF0000"/>
                <w:sz w:val="21"/>
                <w:szCs w:val="21"/>
              </w:rPr>
            </w:pPr>
          </w:p>
        </w:tc>
        <w:tc>
          <w:tcPr>
            <w:tcW w:w="217" w:type="dxa"/>
          </w:tcPr>
          <w:p w14:paraId="1178BCF8" w14:textId="77777777" w:rsidR="002C0FD9" w:rsidRPr="00CA25CF" w:rsidRDefault="002C0FD9" w:rsidP="00CA25CF">
            <w:pPr>
              <w:rPr>
                <w:rFonts w:cs="Arial"/>
                <w:color w:val="FF0000"/>
                <w:sz w:val="21"/>
                <w:szCs w:val="21"/>
              </w:rPr>
            </w:pPr>
          </w:p>
        </w:tc>
        <w:tc>
          <w:tcPr>
            <w:tcW w:w="217" w:type="dxa"/>
          </w:tcPr>
          <w:p w14:paraId="5FF63242" w14:textId="77777777" w:rsidR="002C0FD9" w:rsidRPr="00CA25CF" w:rsidRDefault="002C0FD9" w:rsidP="00CA25CF">
            <w:pPr>
              <w:rPr>
                <w:rFonts w:cs="Arial"/>
                <w:color w:val="FF0000"/>
                <w:sz w:val="21"/>
                <w:szCs w:val="21"/>
              </w:rPr>
            </w:pPr>
          </w:p>
        </w:tc>
        <w:tc>
          <w:tcPr>
            <w:tcW w:w="217" w:type="dxa"/>
          </w:tcPr>
          <w:p w14:paraId="75EED2AE" w14:textId="73D548FF" w:rsidR="002C0FD9" w:rsidRPr="00CA25CF" w:rsidRDefault="002C0FD9" w:rsidP="00CA25CF">
            <w:pPr>
              <w:rPr>
                <w:rFonts w:cs="Arial"/>
                <w:color w:val="FF0000"/>
                <w:sz w:val="21"/>
                <w:szCs w:val="21"/>
              </w:rPr>
            </w:pPr>
          </w:p>
        </w:tc>
        <w:tc>
          <w:tcPr>
            <w:tcW w:w="217" w:type="dxa"/>
          </w:tcPr>
          <w:p w14:paraId="661565CE" w14:textId="77777777" w:rsidR="002C0FD9" w:rsidRPr="00CA25CF" w:rsidRDefault="002C0FD9" w:rsidP="00CA25CF">
            <w:pPr>
              <w:rPr>
                <w:rFonts w:cs="Arial"/>
                <w:color w:val="FF0000"/>
                <w:sz w:val="21"/>
                <w:szCs w:val="21"/>
              </w:rPr>
            </w:pPr>
          </w:p>
        </w:tc>
        <w:tc>
          <w:tcPr>
            <w:tcW w:w="217" w:type="dxa"/>
          </w:tcPr>
          <w:p w14:paraId="5DEF6EC5" w14:textId="77777777" w:rsidR="002C0FD9" w:rsidRPr="00CA25CF" w:rsidRDefault="002C0FD9" w:rsidP="00CA25CF">
            <w:pPr>
              <w:rPr>
                <w:rFonts w:cs="Arial"/>
                <w:color w:val="FF0000"/>
                <w:sz w:val="21"/>
                <w:szCs w:val="21"/>
              </w:rPr>
            </w:pPr>
          </w:p>
        </w:tc>
        <w:tc>
          <w:tcPr>
            <w:tcW w:w="217" w:type="dxa"/>
          </w:tcPr>
          <w:p w14:paraId="45795ABA" w14:textId="77777777" w:rsidR="002C0FD9" w:rsidRPr="00CA25CF" w:rsidRDefault="002C0FD9" w:rsidP="00CA25CF">
            <w:pPr>
              <w:rPr>
                <w:rFonts w:cs="Arial"/>
                <w:color w:val="FF0000"/>
                <w:sz w:val="21"/>
                <w:szCs w:val="21"/>
              </w:rPr>
            </w:pPr>
          </w:p>
        </w:tc>
        <w:tc>
          <w:tcPr>
            <w:tcW w:w="217" w:type="dxa"/>
          </w:tcPr>
          <w:p w14:paraId="5B9A5F45" w14:textId="77777777" w:rsidR="002C0FD9" w:rsidRPr="00CA25CF" w:rsidRDefault="002C0FD9" w:rsidP="00CA25CF">
            <w:pPr>
              <w:rPr>
                <w:rFonts w:cs="Arial"/>
                <w:color w:val="FF0000"/>
                <w:sz w:val="21"/>
                <w:szCs w:val="21"/>
              </w:rPr>
            </w:pPr>
          </w:p>
        </w:tc>
        <w:tc>
          <w:tcPr>
            <w:tcW w:w="217" w:type="dxa"/>
          </w:tcPr>
          <w:p w14:paraId="4C45C1C4" w14:textId="77777777" w:rsidR="002C0FD9" w:rsidRPr="00CA25CF" w:rsidRDefault="002C0FD9" w:rsidP="00CA25CF">
            <w:pPr>
              <w:rPr>
                <w:rFonts w:cs="Arial"/>
                <w:color w:val="FF0000"/>
                <w:sz w:val="21"/>
                <w:szCs w:val="21"/>
              </w:rPr>
            </w:pPr>
          </w:p>
        </w:tc>
        <w:tc>
          <w:tcPr>
            <w:tcW w:w="217" w:type="dxa"/>
          </w:tcPr>
          <w:p w14:paraId="2B276508" w14:textId="77777777" w:rsidR="002C0FD9" w:rsidRPr="00CA25CF" w:rsidRDefault="002C0FD9" w:rsidP="00CA25CF">
            <w:pPr>
              <w:rPr>
                <w:rFonts w:cs="Arial"/>
                <w:color w:val="FF0000"/>
                <w:sz w:val="21"/>
                <w:szCs w:val="21"/>
              </w:rPr>
            </w:pPr>
          </w:p>
        </w:tc>
        <w:tc>
          <w:tcPr>
            <w:tcW w:w="217" w:type="dxa"/>
          </w:tcPr>
          <w:p w14:paraId="78817033" w14:textId="77777777" w:rsidR="002C0FD9" w:rsidRPr="00CA25CF" w:rsidRDefault="002C0FD9" w:rsidP="00CA25CF">
            <w:pPr>
              <w:rPr>
                <w:rFonts w:cs="Arial"/>
                <w:color w:val="FF0000"/>
                <w:sz w:val="21"/>
                <w:szCs w:val="21"/>
              </w:rPr>
            </w:pPr>
          </w:p>
        </w:tc>
        <w:tc>
          <w:tcPr>
            <w:tcW w:w="217" w:type="dxa"/>
          </w:tcPr>
          <w:p w14:paraId="18BA3B42" w14:textId="77777777" w:rsidR="002C0FD9" w:rsidRPr="00CA25CF" w:rsidRDefault="002C0FD9" w:rsidP="00CA25CF">
            <w:pPr>
              <w:rPr>
                <w:rFonts w:cs="Arial"/>
                <w:color w:val="FF0000"/>
                <w:sz w:val="21"/>
                <w:szCs w:val="21"/>
              </w:rPr>
            </w:pPr>
          </w:p>
        </w:tc>
        <w:tc>
          <w:tcPr>
            <w:tcW w:w="217" w:type="dxa"/>
          </w:tcPr>
          <w:p w14:paraId="3B8007A7" w14:textId="77777777" w:rsidR="002C0FD9" w:rsidRPr="00CA25CF" w:rsidRDefault="002C0FD9" w:rsidP="00CA25CF">
            <w:pPr>
              <w:rPr>
                <w:rFonts w:cs="Arial"/>
                <w:color w:val="FF0000"/>
                <w:sz w:val="21"/>
                <w:szCs w:val="21"/>
              </w:rPr>
            </w:pPr>
          </w:p>
        </w:tc>
        <w:tc>
          <w:tcPr>
            <w:tcW w:w="217" w:type="dxa"/>
          </w:tcPr>
          <w:p w14:paraId="39B25FBE" w14:textId="77777777" w:rsidR="002C0FD9" w:rsidRPr="00CA25CF" w:rsidRDefault="002C0FD9" w:rsidP="00CA25CF">
            <w:pPr>
              <w:rPr>
                <w:rFonts w:cs="Arial"/>
                <w:color w:val="FF0000"/>
                <w:sz w:val="21"/>
                <w:szCs w:val="21"/>
              </w:rPr>
            </w:pPr>
          </w:p>
        </w:tc>
        <w:tc>
          <w:tcPr>
            <w:tcW w:w="217" w:type="dxa"/>
          </w:tcPr>
          <w:p w14:paraId="0B0FE035" w14:textId="77777777" w:rsidR="002C0FD9" w:rsidRPr="00CA25CF" w:rsidRDefault="002C0FD9" w:rsidP="00CA25CF">
            <w:pPr>
              <w:rPr>
                <w:rFonts w:cs="Arial"/>
                <w:color w:val="FF0000"/>
                <w:sz w:val="21"/>
                <w:szCs w:val="21"/>
              </w:rPr>
            </w:pPr>
          </w:p>
        </w:tc>
        <w:tc>
          <w:tcPr>
            <w:tcW w:w="217" w:type="dxa"/>
          </w:tcPr>
          <w:p w14:paraId="7B18FF1B" w14:textId="77777777" w:rsidR="002C0FD9" w:rsidRPr="00CA25CF" w:rsidRDefault="002C0FD9" w:rsidP="00CA25CF">
            <w:pPr>
              <w:rPr>
                <w:rFonts w:cs="Arial"/>
                <w:color w:val="FF0000"/>
                <w:sz w:val="21"/>
                <w:szCs w:val="21"/>
              </w:rPr>
            </w:pPr>
          </w:p>
        </w:tc>
        <w:tc>
          <w:tcPr>
            <w:tcW w:w="217" w:type="dxa"/>
          </w:tcPr>
          <w:p w14:paraId="08FFB54F" w14:textId="77777777" w:rsidR="002C0FD9" w:rsidRPr="00CA25CF" w:rsidRDefault="002C0FD9" w:rsidP="00CA25CF">
            <w:pPr>
              <w:rPr>
                <w:rFonts w:cs="Arial"/>
                <w:color w:val="FF0000"/>
                <w:sz w:val="21"/>
                <w:szCs w:val="21"/>
              </w:rPr>
            </w:pPr>
          </w:p>
        </w:tc>
        <w:tc>
          <w:tcPr>
            <w:tcW w:w="217" w:type="dxa"/>
          </w:tcPr>
          <w:p w14:paraId="54DB4CF9" w14:textId="77777777" w:rsidR="002C0FD9" w:rsidRPr="00CA25CF" w:rsidRDefault="002C0FD9" w:rsidP="00CA25CF">
            <w:pPr>
              <w:rPr>
                <w:rFonts w:cs="Arial"/>
                <w:color w:val="FF0000"/>
                <w:sz w:val="21"/>
                <w:szCs w:val="21"/>
              </w:rPr>
            </w:pPr>
          </w:p>
        </w:tc>
        <w:tc>
          <w:tcPr>
            <w:tcW w:w="217" w:type="dxa"/>
          </w:tcPr>
          <w:p w14:paraId="7C24CBEA" w14:textId="77777777" w:rsidR="002C0FD9" w:rsidRPr="00CA25CF" w:rsidRDefault="002C0FD9" w:rsidP="00CA25CF">
            <w:pPr>
              <w:rPr>
                <w:rFonts w:cs="Arial"/>
                <w:color w:val="FF0000"/>
                <w:sz w:val="21"/>
                <w:szCs w:val="21"/>
              </w:rPr>
            </w:pPr>
          </w:p>
        </w:tc>
        <w:tc>
          <w:tcPr>
            <w:tcW w:w="217" w:type="dxa"/>
          </w:tcPr>
          <w:p w14:paraId="2AAFB995" w14:textId="77777777" w:rsidR="002C0FD9" w:rsidRPr="00CA25CF" w:rsidRDefault="002C0FD9" w:rsidP="00CA25CF">
            <w:pPr>
              <w:rPr>
                <w:rFonts w:cs="Arial"/>
                <w:color w:val="FF0000"/>
                <w:sz w:val="21"/>
                <w:szCs w:val="21"/>
              </w:rPr>
            </w:pPr>
          </w:p>
        </w:tc>
        <w:tc>
          <w:tcPr>
            <w:tcW w:w="217" w:type="dxa"/>
          </w:tcPr>
          <w:p w14:paraId="326F606C" w14:textId="77777777" w:rsidR="002C0FD9" w:rsidRPr="00CA25CF" w:rsidRDefault="002C0FD9" w:rsidP="00CA25CF">
            <w:pPr>
              <w:rPr>
                <w:rFonts w:cs="Arial"/>
                <w:color w:val="FF0000"/>
                <w:sz w:val="21"/>
                <w:szCs w:val="21"/>
              </w:rPr>
            </w:pPr>
          </w:p>
        </w:tc>
        <w:tc>
          <w:tcPr>
            <w:tcW w:w="217" w:type="dxa"/>
          </w:tcPr>
          <w:p w14:paraId="75D2DA29" w14:textId="77777777" w:rsidR="002C0FD9" w:rsidRPr="00CA25CF" w:rsidRDefault="002C0FD9" w:rsidP="00CA25CF">
            <w:pPr>
              <w:rPr>
                <w:rFonts w:cs="Arial"/>
                <w:color w:val="FF0000"/>
                <w:sz w:val="21"/>
                <w:szCs w:val="21"/>
              </w:rPr>
            </w:pPr>
          </w:p>
        </w:tc>
        <w:tc>
          <w:tcPr>
            <w:tcW w:w="217" w:type="dxa"/>
          </w:tcPr>
          <w:p w14:paraId="35084950" w14:textId="77777777" w:rsidR="002C0FD9" w:rsidRPr="00CA25CF" w:rsidRDefault="002C0FD9" w:rsidP="00CA25CF">
            <w:pPr>
              <w:rPr>
                <w:rFonts w:cs="Arial"/>
                <w:color w:val="FF0000"/>
                <w:sz w:val="21"/>
                <w:szCs w:val="21"/>
              </w:rPr>
            </w:pPr>
          </w:p>
        </w:tc>
        <w:tc>
          <w:tcPr>
            <w:tcW w:w="217" w:type="dxa"/>
          </w:tcPr>
          <w:p w14:paraId="19F143A1" w14:textId="77777777" w:rsidR="002C0FD9" w:rsidRPr="00CA25CF" w:rsidRDefault="002C0FD9" w:rsidP="00CA25CF">
            <w:pPr>
              <w:rPr>
                <w:rFonts w:cs="Arial"/>
                <w:color w:val="FF0000"/>
                <w:sz w:val="21"/>
                <w:szCs w:val="21"/>
              </w:rPr>
            </w:pPr>
          </w:p>
        </w:tc>
        <w:tc>
          <w:tcPr>
            <w:tcW w:w="217" w:type="dxa"/>
          </w:tcPr>
          <w:p w14:paraId="57BC287E" w14:textId="77777777" w:rsidR="002C0FD9" w:rsidRPr="00CA25CF" w:rsidRDefault="002C0FD9" w:rsidP="00CA25CF">
            <w:pPr>
              <w:rPr>
                <w:rFonts w:cs="Arial"/>
                <w:color w:val="FF0000"/>
                <w:sz w:val="21"/>
                <w:szCs w:val="21"/>
              </w:rPr>
            </w:pPr>
          </w:p>
        </w:tc>
        <w:tc>
          <w:tcPr>
            <w:tcW w:w="217" w:type="dxa"/>
          </w:tcPr>
          <w:p w14:paraId="686A3BAB" w14:textId="77777777" w:rsidR="002C0FD9" w:rsidRPr="00CA25CF" w:rsidRDefault="002C0FD9" w:rsidP="00CA25CF">
            <w:pPr>
              <w:rPr>
                <w:rFonts w:cs="Arial"/>
                <w:color w:val="FF0000"/>
                <w:sz w:val="21"/>
                <w:szCs w:val="21"/>
              </w:rPr>
            </w:pPr>
          </w:p>
        </w:tc>
        <w:tc>
          <w:tcPr>
            <w:tcW w:w="217" w:type="dxa"/>
          </w:tcPr>
          <w:p w14:paraId="4E7FFD6A" w14:textId="77777777" w:rsidR="002C0FD9" w:rsidRPr="00CA25CF" w:rsidRDefault="002C0FD9" w:rsidP="00CA25CF">
            <w:pPr>
              <w:rPr>
                <w:rFonts w:cs="Arial"/>
                <w:color w:val="FF0000"/>
                <w:sz w:val="21"/>
                <w:szCs w:val="21"/>
              </w:rPr>
            </w:pPr>
          </w:p>
        </w:tc>
        <w:tc>
          <w:tcPr>
            <w:tcW w:w="217" w:type="dxa"/>
          </w:tcPr>
          <w:p w14:paraId="1F29B3BC" w14:textId="77777777" w:rsidR="002C0FD9" w:rsidRPr="00CA25CF" w:rsidRDefault="002C0FD9" w:rsidP="00CA25CF">
            <w:pPr>
              <w:rPr>
                <w:rFonts w:cs="Arial"/>
                <w:color w:val="FF0000"/>
                <w:sz w:val="21"/>
                <w:szCs w:val="21"/>
              </w:rPr>
            </w:pPr>
          </w:p>
        </w:tc>
        <w:tc>
          <w:tcPr>
            <w:tcW w:w="217" w:type="dxa"/>
          </w:tcPr>
          <w:p w14:paraId="1DE1002D" w14:textId="77777777" w:rsidR="002C0FD9" w:rsidRPr="00CA25CF" w:rsidRDefault="002C0FD9" w:rsidP="00CA25CF">
            <w:pPr>
              <w:rPr>
                <w:rFonts w:cs="Arial"/>
                <w:color w:val="FF0000"/>
                <w:sz w:val="21"/>
                <w:szCs w:val="21"/>
              </w:rPr>
            </w:pPr>
          </w:p>
        </w:tc>
        <w:tc>
          <w:tcPr>
            <w:tcW w:w="217" w:type="dxa"/>
          </w:tcPr>
          <w:p w14:paraId="5BD07FC2" w14:textId="77777777" w:rsidR="002C0FD9" w:rsidRPr="00CA25CF" w:rsidRDefault="002C0FD9" w:rsidP="00CA25CF">
            <w:pPr>
              <w:rPr>
                <w:rFonts w:cs="Arial"/>
                <w:color w:val="FF0000"/>
                <w:sz w:val="21"/>
                <w:szCs w:val="21"/>
              </w:rPr>
            </w:pPr>
          </w:p>
        </w:tc>
        <w:tc>
          <w:tcPr>
            <w:tcW w:w="217" w:type="dxa"/>
          </w:tcPr>
          <w:p w14:paraId="68C22544" w14:textId="77777777" w:rsidR="002C0FD9" w:rsidRPr="00CA25CF" w:rsidRDefault="002C0FD9" w:rsidP="00CA25CF">
            <w:pPr>
              <w:rPr>
                <w:rFonts w:cs="Arial"/>
                <w:color w:val="FF0000"/>
                <w:sz w:val="21"/>
                <w:szCs w:val="21"/>
              </w:rPr>
            </w:pPr>
          </w:p>
        </w:tc>
      </w:tr>
      <w:tr w:rsidR="002C0FD9" w:rsidRPr="00A16219" w14:paraId="134B53B5" w14:textId="30099B98" w:rsidTr="002C0FD9">
        <w:trPr>
          <w:trHeight w:val="635"/>
        </w:trPr>
        <w:tc>
          <w:tcPr>
            <w:tcW w:w="515" w:type="dxa"/>
          </w:tcPr>
          <w:p w14:paraId="54927085" w14:textId="77777777" w:rsidR="002C0FD9" w:rsidRPr="00CA25CF" w:rsidRDefault="002C0FD9" w:rsidP="00CA25CF">
            <w:pPr>
              <w:rPr>
                <w:rFonts w:cs="Arial"/>
                <w:color w:val="FF0000"/>
                <w:sz w:val="21"/>
                <w:szCs w:val="21"/>
              </w:rPr>
            </w:pPr>
          </w:p>
        </w:tc>
        <w:tc>
          <w:tcPr>
            <w:tcW w:w="217" w:type="dxa"/>
          </w:tcPr>
          <w:p w14:paraId="7E644A6B" w14:textId="77777777" w:rsidR="002C0FD9" w:rsidRPr="00CA25CF" w:rsidRDefault="002C0FD9" w:rsidP="00CA25CF">
            <w:pPr>
              <w:rPr>
                <w:rFonts w:cs="Arial"/>
                <w:color w:val="FF0000"/>
                <w:sz w:val="21"/>
                <w:szCs w:val="21"/>
              </w:rPr>
            </w:pPr>
          </w:p>
        </w:tc>
        <w:tc>
          <w:tcPr>
            <w:tcW w:w="217" w:type="dxa"/>
          </w:tcPr>
          <w:p w14:paraId="10F3886B" w14:textId="16B37A37" w:rsidR="002C0FD9" w:rsidRPr="00CA25CF" w:rsidRDefault="002C0FD9" w:rsidP="00CA25CF">
            <w:pPr>
              <w:rPr>
                <w:rFonts w:cs="Arial"/>
                <w:color w:val="FF0000"/>
                <w:sz w:val="21"/>
                <w:szCs w:val="21"/>
              </w:rPr>
            </w:pPr>
          </w:p>
        </w:tc>
        <w:tc>
          <w:tcPr>
            <w:tcW w:w="217" w:type="dxa"/>
          </w:tcPr>
          <w:p w14:paraId="69C53A86" w14:textId="77777777" w:rsidR="002C0FD9" w:rsidRPr="00CA25CF" w:rsidRDefault="002C0FD9" w:rsidP="00CA25CF">
            <w:pPr>
              <w:rPr>
                <w:rFonts w:cs="Arial"/>
                <w:color w:val="FF0000"/>
                <w:sz w:val="21"/>
                <w:szCs w:val="21"/>
              </w:rPr>
            </w:pPr>
          </w:p>
        </w:tc>
        <w:tc>
          <w:tcPr>
            <w:tcW w:w="217" w:type="dxa"/>
          </w:tcPr>
          <w:p w14:paraId="4E6315B9" w14:textId="77777777" w:rsidR="002C0FD9" w:rsidRPr="00CA25CF" w:rsidRDefault="002C0FD9" w:rsidP="00CA25CF">
            <w:pPr>
              <w:rPr>
                <w:rFonts w:cs="Arial"/>
                <w:color w:val="FF0000"/>
                <w:sz w:val="21"/>
                <w:szCs w:val="21"/>
              </w:rPr>
            </w:pPr>
          </w:p>
        </w:tc>
        <w:tc>
          <w:tcPr>
            <w:tcW w:w="217" w:type="dxa"/>
          </w:tcPr>
          <w:p w14:paraId="4A453B64" w14:textId="77777777" w:rsidR="002C0FD9" w:rsidRPr="00CA25CF" w:rsidRDefault="002C0FD9" w:rsidP="00CA25CF">
            <w:pPr>
              <w:rPr>
                <w:rFonts w:cs="Arial"/>
                <w:color w:val="FF0000"/>
                <w:sz w:val="21"/>
                <w:szCs w:val="21"/>
              </w:rPr>
            </w:pPr>
          </w:p>
        </w:tc>
        <w:tc>
          <w:tcPr>
            <w:tcW w:w="217" w:type="dxa"/>
          </w:tcPr>
          <w:p w14:paraId="5D04355B" w14:textId="77777777" w:rsidR="002C0FD9" w:rsidRPr="00CA25CF" w:rsidRDefault="002C0FD9" w:rsidP="00CA25CF">
            <w:pPr>
              <w:rPr>
                <w:rFonts w:cs="Arial"/>
                <w:color w:val="FF0000"/>
                <w:sz w:val="21"/>
                <w:szCs w:val="21"/>
              </w:rPr>
            </w:pPr>
          </w:p>
        </w:tc>
        <w:tc>
          <w:tcPr>
            <w:tcW w:w="217" w:type="dxa"/>
          </w:tcPr>
          <w:p w14:paraId="057FCF96" w14:textId="77777777" w:rsidR="002C0FD9" w:rsidRPr="00CA25CF" w:rsidRDefault="002C0FD9" w:rsidP="00CA25CF">
            <w:pPr>
              <w:rPr>
                <w:rFonts w:cs="Arial"/>
                <w:color w:val="FF0000"/>
                <w:sz w:val="21"/>
                <w:szCs w:val="21"/>
              </w:rPr>
            </w:pPr>
          </w:p>
        </w:tc>
        <w:tc>
          <w:tcPr>
            <w:tcW w:w="217" w:type="dxa"/>
          </w:tcPr>
          <w:p w14:paraId="2F27AAB3" w14:textId="77777777" w:rsidR="002C0FD9" w:rsidRPr="00CA25CF" w:rsidRDefault="002C0FD9" w:rsidP="00CA25CF">
            <w:pPr>
              <w:rPr>
                <w:rFonts w:cs="Arial"/>
                <w:color w:val="FF0000"/>
                <w:sz w:val="21"/>
                <w:szCs w:val="21"/>
              </w:rPr>
            </w:pPr>
          </w:p>
        </w:tc>
        <w:tc>
          <w:tcPr>
            <w:tcW w:w="217" w:type="dxa"/>
          </w:tcPr>
          <w:p w14:paraId="1FCC729D" w14:textId="77777777" w:rsidR="002C0FD9" w:rsidRPr="00CA25CF" w:rsidRDefault="002C0FD9" w:rsidP="00CA25CF">
            <w:pPr>
              <w:rPr>
                <w:rFonts w:cs="Arial"/>
                <w:color w:val="FF0000"/>
                <w:sz w:val="21"/>
                <w:szCs w:val="21"/>
              </w:rPr>
            </w:pPr>
          </w:p>
        </w:tc>
        <w:tc>
          <w:tcPr>
            <w:tcW w:w="217" w:type="dxa"/>
          </w:tcPr>
          <w:p w14:paraId="0155C5DC" w14:textId="77777777" w:rsidR="002C0FD9" w:rsidRPr="00CA25CF" w:rsidRDefault="002C0FD9" w:rsidP="00CA25CF">
            <w:pPr>
              <w:rPr>
                <w:rFonts w:cs="Arial"/>
                <w:color w:val="FF0000"/>
                <w:sz w:val="21"/>
                <w:szCs w:val="21"/>
              </w:rPr>
            </w:pPr>
          </w:p>
        </w:tc>
        <w:tc>
          <w:tcPr>
            <w:tcW w:w="217" w:type="dxa"/>
          </w:tcPr>
          <w:p w14:paraId="52942DB6" w14:textId="77777777" w:rsidR="002C0FD9" w:rsidRPr="00CA25CF" w:rsidRDefault="002C0FD9" w:rsidP="00CA25CF">
            <w:pPr>
              <w:rPr>
                <w:rFonts w:cs="Arial"/>
                <w:color w:val="FF0000"/>
                <w:sz w:val="21"/>
                <w:szCs w:val="21"/>
              </w:rPr>
            </w:pPr>
          </w:p>
        </w:tc>
        <w:tc>
          <w:tcPr>
            <w:tcW w:w="217" w:type="dxa"/>
          </w:tcPr>
          <w:p w14:paraId="19AA8014" w14:textId="77777777" w:rsidR="002C0FD9" w:rsidRPr="00CA25CF" w:rsidRDefault="002C0FD9" w:rsidP="00CA25CF">
            <w:pPr>
              <w:rPr>
                <w:rFonts w:cs="Arial"/>
                <w:color w:val="FF0000"/>
                <w:sz w:val="21"/>
                <w:szCs w:val="21"/>
              </w:rPr>
            </w:pPr>
          </w:p>
        </w:tc>
        <w:tc>
          <w:tcPr>
            <w:tcW w:w="217" w:type="dxa"/>
          </w:tcPr>
          <w:p w14:paraId="3D003FDB" w14:textId="77777777" w:rsidR="002C0FD9" w:rsidRPr="00CA25CF" w:rsidRDefault="002C0FD9" w:rsidP="00CA25CF">
            <w:pPr>
              <w:rPr>
                <w:rFonts w:cs="Arial"/>
                <w:color w:val="FF0000"/>
                <w:sz w:val="21"/>
                <w:szCs w:val="21"/>
              </w:rPr>
            </w:pPr>
          </w:p>
        </w:tc>
        <w:tc>
          <w:tcPr>
            <w:tcW w:w="217" w:type="dxa"/>
          </w:tcPr>
          <w:p w14:paraId="4D9E7E10" w14:textId="77777777" w:rsidR="002C0FD9" w:rsidRPr="00CA25CF" w:rsidRDefault="002C0FD9" w:rsidP="00CA25CF">
            <w:pPr>
              <w:rPr>
                <w:rFonts w:cs="Arial"/>
                <w:color w:val="FF0000"/>
                <w:sz w:val="21"/>
                <w:szCs w:val="21"/>
              </w:rPr>
            </w:pPr>
          </w:p>
        </w:tc>
        <w:tc>
          <w:tcPr>
            <w:tcW w:w="217" w:type="dxa"/>
          </w:tcPr>
          <w:p w14:paraId="2B983C7B" w14:textId="206072FA" w:rsidR="002C0FD9" w:rsidRPr="00CA25CF" w:rsidRDefault="002C0FD9" w:rsidP="00CA25CF">
            <w:pPr>
              <w:rPr>
                <w:rFonts w:cs="Arial"/>
                <w:color w:val="FF0000"/>
                <w:sz w:val="21"/>
                <w:szCs w:val="21"/>
              </w:rPr>
            </w:pPr>
          </w:p>
        </w:tc>
        <w:tc>
          <w:tcPr>
            <w:tcW w:w="217" w:type="dxa"/>
          </w:tcPr>
          <w:p w14:paraId="0A54F68E" w14:textId="77777777" w:rsidR="002C0FD9" w:rsidRPr="00CA25CF" w:rsidRDefault="002C0FD9" w:rsidP="00CA25CF">
            <w:pPr>
              <w:rPr>
                <w:rFonts w:cs="Arial"/>
                <w:color w:val="FF0000"/>
                <w:sz w:val="21"/>
                <w:szCs w:val="21"/>
              </w:rPr>
            </w:pPr>
          </w:p>
        </w:tc>
        <w:tc>
          <w:tcPr>
            <w:tcW w:w="217" w:type="dxa"/>
          </w:tcPr>
          <w:p w14:paraId="78835E14" w14:textId="77777777" w:rsidR="002C0FD9" w:rsidRPr="00CA25CF" w:rsidRDefault="002C0FD9" w:rsidP="00CA25CF">
            <w:pPr>
              <w:rPr>
                <w:rFonts w:cs="Arial"/>
                <w:color w:val="FF0000"/>
                <w:sz w:val="21"/>
                <w:szCs w:val="21"/>
              </w:rPr>
            </w:pPr>
          </w:p>
        </w:tc>
        <w:tc>
          <w:tcPr>
            <w:tcW w:w="217" w:type="dxa"/>
          </w:tcPr>
          <w:p w14:paraId="62BD23D1" w14:textId="77777777" w:rsidR="002C0FD9" w:rsidRPr="00CA25CF" w:rsidRDefault="002C0FD9" w:rsidP="00CA25CF">
            <w:pPr>
              <w:rPr>
                <w:rFonts w:cs="Arial"/>
                <w:color w:val="FF0000"/>
                <w:sz w:val="21"/>
                <w:szCs w:val="21"/>
              </w:rPr>
            </w:pPr>
          </w:p>
        </w:tc>
        <w:tc>
          <w:tcPr>
            <w:tcW w:w="217" w:type="dxa"/>
          </w:tcPr>
          <w:p w14:paraId="0D140130" w14:textId="77777777" w:rsidR="002C0FD9" w:rsidRPr="00CA25CF" w:rsidRDefault="002C0FD9" w:rsidP="00CA25CF">
            <w:pPr>
              <w:rPr>
                <w:rFonts w:cs="Arial"/>
                <w:color w:val="FF0000"/>
                <w:sz w:val="21"/>
                <w:szCs w:val="21"/>
              </w:rPr>
            </w:pPr>
          </w:p>
        </w:tc>
        <w:tc>
          <w:tcPr>
            <w:tcW w:w="217" w:type="dxa"/>
          </w:tcPr>
          <w:p w14:paraId="537E565E" w14:textId="77777777" w:rsidR="002C0FD9" w:rsidRPr="00CA25CF" w:rsidRDefault="002C0FD9" w:rsidP="00CA25CF">
            <w:pPr>
              <w:rPr>
                <w:rFonts w:cs="Arial"/>
                <w:color w:val="FF0000"/>
                <w:sz w:val="21"/>
                <w:szCs w:val="21"/>
              </w:rPr>
            </w:pPr>
          </w:p>
        </w:tc>
        <w:tc>
          <w:tcPr>
            <w:tcW w:w="217" w:type="dxa"/>
          </w:tcPr>
          <w:p w14:paraId="30C43C60" w14:textId="77777777" w:rsidR="002C0FD9" w:rsidRPr="00CA25CF" w:rsidRDefault="002C0FD9" w:rsidP="00CA25CF">
            <w:pPr>
              <w:rPr>
                <w:rFonts w:cs="Arial"/>
                <w:color w:val="FF0000"/>
                <w:sz w:val="21"/>
                <w:szCs w:val="21"/>
              </w:rPr>
            </w:pPr>
          </w:p>
        </w:tc>
        <w:tc>
          <w:tcPr>
            <w:tcW w:w="217" w:type="dxa"/>
          </w:tcPr>
          <w:p w14:paraId="7BA2E5F0" w14:textId="77777777" w:rsidR="002C0FD9" w:rsidRPr="00CA25CF" w:rsidRDefault="002C0FD9" w:rsidP="00CA25CF">
            <w:pPr>
              <w:rPr>
                <w:rFonts w:cs="Arial"/>
                <w:color w:val="FF0000"/>
                <w:sz w:val="21"/>
                <w:szCs w:val="21"/>
              </w:rPr>
            </w:pPr>
          </w:p>
        </w:tc>
        <w:tc>
          <w:tcPr>
            <w:tcW w:w="217" w:type="dxa"/>
          </w:tcPr>
          <w:p w14:paraId="335C3295" w14:textId="77777777" w:rsidR="002C0FD9" w:rsidRPr="00CA25CF" w:rsidRDefault="002C0FD9" w:rsidP="00CA25CF">
            <w:pPr>
              <w:rPr>
                <w:rFonts w:cs="Arial"/>
                <w:color w:val="FF0000"/>
                <w:sz w:val="21"/>
                <w:szCs w:val="21"/>
              </w:rPr>
            </w:pPr>
          </w:p>
        </w:tc>
        <w:tc>
          <w:tcPr>
            <w:tcW w:w="217" w:type="dxa"/>
          </w:tcPr>
          <w:p w14:paraId="730D447C" w14:textId="77777777" w:rsidR="002C0FD9" w:rsidRPr="00CA25CF" w:rsidRDefault="002C0FD9" w:rsidP="00CA25CF">
            <w:pPr>
              <w:rPr>
                <w:rFonts w:cs="Arial"/>
                <w:color w:val="FF0000"/>
                <w:sz w:val="21"/>
                <w:szCs w:val="21"/>
              </w:rPr>
            </w:pPr>
          </w:p>
        </w:tc>
        <w:tc>
          <w:tcPr>
            <w:tcW w:w="217" w:type="dxa"/>
          </w:tcPr>
          <w:p w14:paraId="5F093864" w14:textId="77777777" w:rsidR="002C0FD9" w:rsidRPr="00CA25CF" w:rsidRDefault="002C0FD9" w:rsidP="00CA25CF">
            <w:pPr>
              <w:rPr>
                <w:rFonts w:cs="Arial"/>
                <w:color w:val="FF0000"/>
                <w:sz w:val="21"/>
                <w:szCs w:val="21"/>
              </w:rPr>
            </w:pPr>
          </w:p>
        </w:tc>
        <w:tc>
          <w:tcPr>
            <w:tcW w:w="217" w:type="dxa"/>
          </w:tcPr>
          <w:p w14:paraId="7FC52B04" w14:textId="77777777" w:rsidR="002C0FD9" w:rsidRPr="00CA25CF" w:rsidRDefault="002C0FD9" w:rsidP="00CA25CF">
            <w:pPr>
              <w:rPr>
                <w:rFonts w:cs="Arial"/>
                <w:color w:val="FF0000"/>
                <w:sz w:val="21"/>
                <w:szCs w:val="21"/>
              </w:rPr>
            </w:pPr>
          </w:p>
        </w:tc>
        <w:tc>
          <w:tcPr>
            <w:tcW w:w="217" w:type="dxa"/>
          </w:tcPr>
          <w:p w14:paraId="4A103EB9" w14:textId="77777777" w:rsidR="002C0FD9" w:rsidRPr="00CA25CF" w:rsidRDefault="002C0FD9" w:rsidP="00CA25CF">
            <w:pPr>
              <w:rPr>
                <w:rFonts w:cs="Arial"/>
                <w:color w:val="FF0000"/>
                <w:sz w:val="21"/>
                <w:szCs w:val="21"/>
              </w:rPr>
            </w:pPr>
          </w:p>
        </w:tc>
        <w:tc>
          <w:tcPr>
            <w:tcW w:w="217" w:type="dxa"/>
          </w:tcPr>
          <w:p w14:paraId="6C432C3A" w14:textId="77777777" w:rsidR="002C0FD9" w:rsidRPr="00CA25CF" w:rsidRDefault="002C0FD9" w:rsidP="00CA25CF">
            <w:pPr>
              <w:rPr>
                <w:rFonts w:cs="Arial"/>
                <w:color w:val="FF0000"/>
                <w:sz w:val="21"/>
                <w:szCs w:val="21"/>
              </w:rPr>
            </w:pPr>
          </w:p>
        </w:tc>
        <w:tc>
          <w:tcPr>
            <w:tcW w:w="217" w:type="dxa"/>
          </w:tcPr>
          <w:p w14:paraId="680491EC" w14:textId="77777777" w:rsidR="002C0FD9" w:rsidRPr="00CA25CF" w:rsidRDefault="002C0FD9" w:rsidP="00CA25CF">
            <w:pPr>
              <w:rPr>
                <w:rFonts w:cs="Arial"/>
                <w:color w:val="FF0000"/>
                <w:sz w:val="21"/>
                <w:szCs w:val="21"/>
              </w:rPr>
            </w:pPr>
          </w:p>
        </w:tc>
        <w:tc>
          <w:tcPr>
            <w:tcW w:w="217" w:type="dxa"/>
          </w:tcPr>
          <w:p w14:paraId="125EF74F" w14:textId="77777777" w:rsidR="002C0FD9" w:rsidRPr="00CA25CF" w:rsidRDefault="002C0FD9" w:rsidP="00CA25CF">
            <w:pPr>
              <w:rPr>
                <w:rFonts w:cs="Arial"/>
                <w:color w:val="FF0000"/>
                <w:sz w:val="21"/>
                <w:szCs w:val="21"/>
              </w:rPr>
            </w:pPr>
          </w:p>
        </w:tc>
        <w:tc>
          <w:tcPr>
            <w:tcW w:w="217" w:type="dxa"/>
          </w:tcPr>
          <w:p w14:paraId="60424CBE" w14:textId="77777777" w:rsidR="002C0FD9" w:rsidRPr="00CA25CF" w:rsidRDefault="002C0FD9" w:rsidP="00CA25CF">
            <w:pPr>
              <w:rPr>
                <w:rFonts w:cs="Arial"/>
                <w:color w:val="FF0000"/>
                <w:sz w:val="21"/>
                <w:szCs w:val="21"/>
              </w:rPr>
            </w:pPr>
          </w:p>
        </w:tc>
        <w:tc>
          <w:tcPr>
            <w:tcW w:w="217" w:type="dxa"/>
          </w:tcPr>
          <w:p w14:paraId="6A86F3F5" w14:textId="77777777" w:rsidR="002C0FD9" w:rsidRPr="00CA25CF" w:rsidRDefault="002C0FD9" w:rsidP="00CA25CF">
            <w:pPr>
              <w:rPr>
                <w:rFonts w:cs="Arial"/>
                <w:color w:val="FF0000"/>
                <w:sz w:val="21"/>
                <w:szCs w:val="21"/>
              </w:rPr>
            </w:pPr>
          </w:p>
        </w:tc>
        <w:tc>
          <w:tcPr>
            <w:tcW w:w="217" w:type="dxa"/>
          </w:tcPr>
          <w:p w14:paraId="5649DD29" w14:textId="77777777" w:rsidR="002C0FD9" w:rsidRPr="00CA25CF" w:rsidRDefault="002C0FD9" w:rsidP="00CA25CF">
            <w:pPr>
              <w:rPr>
                <w:rFonts w:cs="Arial"/>
                <w:color w:val="FF0000"/>
                <w:sz w:val="21"/>
                <w:szCs w:val="21"/>
              </w:rPr>
            </w:pPr>
          </w:p>
        </w:tc>
        <w:tc>
          <w:tcPr>
            <w:tcW w:w="217" w:type="dxa"/>
          </w:tcPr>
          <w:p w14:paraId="6AB661F5" w14:textId="77777777" w:rsidR="002C0FD9" w:rsidRPr="00CA25CF" w:rsidRDefault="002C0FD9" w:rsidP="00CA25CF">
            <w:pPr>
              <w:rPr>
                <w:rFonts w:cs="Arial"/>
                <w:color w:val="FF0000"/>
                <w:sz w:val="21"/>
                <w:szCs w:val="21"/>
              </w:rPr>
            </w:pPr>
          </w:p>
        </w:tc>
        <w:tc>
          <w:tcPr>
            <w:tcW w:w="217" w:type="dxa"/>
          </w:tcPr>
          <w:p w14:paraId="71D8DBB4" w14:textId="77777777" w:rsidR="002C0FD9" w:rsidRPr="00CA25CF" w:rsidRDefault="002C0FD9" w:rsidP="00CA25CF">
            <w:pPr>
              <w:rPr>
                <w:rFonts w:cs="Arial"/>
                <w:color w:val="FF0000"/>
                <w:sz w:val="21"/>
                <w:szCs w:val="21"/>
              </w:rPr>
            </w:pPr>
          </w:p>
        </w:tc>
        <w:tc>
          <w:tcPr>
            <w:tcW w:w="217" w:type="dxa"/>
          </w:tcPr>
          <w:p w14:paraId="27717138" w14:textId="77777777" w:rsidR="002C0FD9" w:rsidRPr="00CA25CF" w:rsidRDefault="002C0FD9" w:rsidP="00CA25CF">
            <w:pPr>
              <w:rPr>
                <w:rFonts w:cs="Arial"/>
                <w:color w:val="FF0000"/>
                <w:sz w:val="21"/>
                <w:szCs w:val="21"/>
              </w:rPr>
            </w:pPr>
          </w:p>
        </w:tc>
        <w:tc>
          <w:tcPr>
            <w:tcW w:w="217" w:type="dxa"/>
          </w:tcPr>
          <w:p w14:paraId="46112951" w14:textId="77777777" w:rsidR="002C0FD9" w:rsidRPr="00CA25CF" w:rsidRDefault="002C0FD9" w:rsidP="00CA25CF">
            <w:pPr>
              <w:rPr>
                <w:rFonts w:cs="Arial"/>
                <w:color w:val="FF0000"/>
                <w:sz w:val="21"/>
                <w:szCs w:val="21"/>
              </w:rPr>
            </w:pPr>
          </w:p>
        </w:tc>
        <w:tc>
          <w:tcPr>
            <w:tcW w:w="217" w:type="dxa"/>
          </w:tcPr>
          <w:p w14:paraId="1B6AD634" w14:textId="77777777" w:rsidR="002C0FD9" w:rsidRPr="00CA25CF" w:rsidRDefault="002C0FD9" w:rsidP="00CA25CF">
            <w:pPr>
              <w:rPr>
                <w:rFonts w:cs="Arial"/>
                <w:color w:val="FF0000"/>
                <w:sz w:val="21"/>
                <w:szCs w:val="21"/>
              </w:rPr>
            </w:pPr>
          </w:p>
        </w:tc>
        <w:tc>
          <w:tcPr>
            <w:tcW w:w="217" w:type="dxa"/>
          </w:tcPr>
          <w:p w14:paraId="6CA85132" w14:textId="77777777" w:rsidR="002C0FD9" w:rsidRPr="00CA25CF" w:rsidRDefault="002C0FD9" w:rsidP="00CA25CF">
            <w:pPr>
              <w:rPr>
                <w:rFonts w:cs="Arial"/>
                <w:color w:val="FF0000"/>
                <w:sz w:val="21"/>
                <w:szCs w:val="21"/>
              </w:rPr>
            </w:pPr>
          </w:p>
        </w:tc>
        <w:tc>
          <w:tcPr>
            <w:tcW w:w="217" w:type="dxa"/>
          </w:tcPr>
          <w:p w14:paraId="103FCFDF" w14:textId="77777777" w:rsidR="002C0FD9" w:rsidRPr="00CA25CF" w:rsidRDefault="002C0FD9" w:rsidP="00CA25CF">
            <w:pPr>
              <w:rPr>
                <w:rFonts w:cs="Arial"/>
                <w:color w:val="FF0000"/>
                <w:sz w:val="21"/>
                <w:szCs w:val="21"/>
              </w:rPr>
            </w:pPr>
          </w:p>
        </w:tc>
        <w:tc>
          <w:tcPr>
            <w:tcW w:w="217" w:type="dxa"/>
          </w:tcPr>
          <w:p w14:paraId="7B165648" w14:textId="77777777" w:rsidR="002C0FD9" w:rsidRPr="00CA25CF" w:rsidRDefault="002C0FD9" w:rsidP="00CA25CF">
            <w:pPr>
              <w:rPr>
                <w:rFonts w:cs="Arial"/>
                <w:color w:val="FF0000"/>
                <w:sz w:val="21"/>
                <w:szCs w:val="21"/>
              </w:rPr>
            </w:pPr>
          </w:p>
        </w:tc>
        <w:tc>
          <w:tcPr>
            <w:tcW w:w="217" w:type="dxa"/>
          </w:tcPr>
          <w:p w14:paraId="22F8F1CF" w14:textId="77777777" w:rsidR="002C0FD9" w:rsidRPr="00CA25CF" w:rsidRDefault="002C0FD9" w:rsidP="00CA25CF">
            <w:pPr>
              <w:rPr>
                <w:rFonts w:cs="Arial"/>
                <w:color w:val="FF0000"/>
                <w:sz w:val="21"/>
                <w:szCs w:val="21"/>
              </w:rPr>
            </w:pPr>
          </w:p>
        </w:tc>
      </w:tr>
      <w:tr w:rsidR="002C0FD9" w:rsidRPr="00A16219" w14:paraId="7E878811" w14:textId="66ABF85D" w:rsidTr="002C0FD9">
        <w:trPr>
          <w:trHeight w:val="635"/>
        </w:trPr>
        <w:tc>
          <w:tcPr>
            <w:tcW w:w="515" w:type="dxa"/>
          </w:tcPr>
          <w:p w14:paraId="4BD712A8" w14:textId="77777777" w:rsidR="002C0FD9" w:rsidRPr="00CA25CF" w:rsidRDefault="002C0FD9" w:rsidP="00CA25CF">
            <w:pPr>
              <w:rPr>
                <w:rFonts w:cs="Arial"/>
                <w:color w:val="FF0000"/>
                <w:sz w:val="21"/>
                <w:szCs w:val="21"/>
              </w:rPr>
            </w:pPr>
          </w:p>
        </w:tc>
        <w:tc>
          <w:tcPr>
            <w:tcW w:w="217" w:type="dxa"/>
          </w:tcPr>
          <w:p w14:paraId="4D1ACE9D" w14:textId="77777777" w:rsidR="002C0FD9" w:rsidRPr="00CA25CF" w:rsidRDefault="002C0FD9" w:rsidP="00CA25CF">
            <w:pPr>
              <w:rPr>
                <w:rFonts w:cs="Arial"/>
                <w:color w:val="FF0000"/>
                <w:sz w:val="21"/>
                <w:szCs w:val="21"/>
              </w:rPr>
            </w:pPr>
          </w:p>
        </w:tc>
        <w:tc>
          <w:tcPr>
            <w:tcW w:w="217" w:type="dxa"/>
          </w:tcPr>
          <w:p w14:paraId="14F390F3" w14:textId="09AD0162" w:rsidR="002C0FD9" w:rsidRPr="00CA25CF" w:rsidRDefault="002C0FD9" w:rsidP="00CA25CF">
            <w:pPr>
              <w:rPr>
                <w:rFonts w:cs="Arial"/>
                <w:color w:val="FF0000"/>
                <w:sz w:val="21"/>
                <w:szCs w:val="21"/>
              </w:rPr>
            </w:pPr>
          </w:p>
        </w:tc>
        <w:tc>
          <w:tcPr>
            <w:tcW w:w="217" w:type="dxa"/>
          </w:tcPr>
          <w:p w14:paraId="5F0C6C8D" w14:textId="77777777" w:rsidR="002C0FD9" w:rsidRPr="00CA25CF" w:rsidRDefault="002C0FD9" w:rsidP="00CA25CF">
            <w:pPr>
              <w:rPr>
                <w:rFonts w:cs="Arial"/>
                <w:color w:val="FF0000"/>
                <w:sz w:val="21"/>
                <w:szCs w:val="21"/>
              </w:rPr>
            </w:pPr>
          </w:p>
        </w:tc>
        <w:tc>
          <w:tcPr>
            <w:tcW w:w="217" w:type="dxa"/>
          </w:tcPr>
          <w:p w14:paraId="7AAD58DA" w14:textId="77777777" w:rsidR="002C0FD9" w:rsidRPr="00CA25CF" w:rsidRDefault="002C0FD9" w:rsidP="00CA25CF">
            <w:pPr>
              <w:rPr>
                <w:rFonts w:cs="Arial"/>
                <w:color w:val="FF0000"/>
                <w:sz w:val="21"/>
                <w:szCs w:val="21"/>
              </w:rPr>
            </w:pPr>
          </w:p>
        </w:tc>
        <w:tc>
          <w:tcPr>
            <w:tcW w:w="217" w:type="dxa"/>
          </w:tcPr>
          <w:p w14:paraId="67369828" w14:textId="77777777" w:rsidR="002C0FD9" w:rsidRPr="00CA25CF" w:rsidRDefault="002C0FD9" w:rsidP="00CA25CF">
            <w:pPr>
              <w:rPr>
                <w:rFonts w:cs="Arial"/>
                <w:color w:val="FF0000"/>
                <w:sz w:val="21"/>
                <w:szCs w:val="21"/>
              </w:rPr>
            </w:pPr>
          </w:p>
        </w:tc>
        <w:tc>
          <w:tcPr>
            <w:tcW w:w="217" w:type="dxa"/>
          </w:tcPr>
          <w:p w14:paraId="34782534" w14:textId="77777777" w:rsidR="002C0FD9" w:rsidRPr="00CA25CF" w:rsidRDefault="002C0FD9" w:rsidP="00CA25CF">
            <w:pPr>
              <w:rPr>
                <w:rFonts w:cs="Arial"/>
                <w:color w:val="FF0000"/>
                <w:sz w:val="21"/>
                <w:szCs w:val="21"/>
              </w:rPr>
            </w:pPr>
          </w:p>
        </w:tc>
        <w:tc>
          <w:tcPr>
            <w:tcW w:w="217" w:type="dxa"/>
          </w:tcPr>
          <w:p w14:paraId="0037FA3C" w14:textId="77777777" w:rsidR="002C0FD9" w:rsidRPr="00CA25CF" w:rsidRDefault="002C0FD9" w:rsidP="00CA25CF">
            <w:pPr>
              <w:rPr>
                <w:rFonts w:cs="Arial"/>
                <w:color w:val="FF0000"/>
                <w:sz w:val="21"/>
                <w:szCs w:val="21"/>
              </w:rPr>
            </w:pPr>
          </w:p>
        </w:tc>
        <w:tc>
          <w:tcPr>
            <w:tcW w:w="217" w:type="dxa"/>
          </w:tcPr>
          <w:p w14:paraId="34DA3388" w14:textId="77777777" w:rsidR="002C0FD9" w:rsidRPr="00CA25CF" w:rsidRDefault="002C0FD9" w:rsidP="00CA25CF">
            <w:pPr>
              <w:rPr>
                <w:rFonts w:cs="Arial"/>
                <w:color w:val="FF0000"/>
                <w:sz w:val="21"/>
                <w:szCs w:val="21"/>
              </w:rPr>
            </w:pPr>
          </w:p>
        </w:tc>
        <w:tc>
          <w:tcPr>
            <w:tcW w:w="217" w:type="dxa"/>
          </w:tcPr>
          <w:p w14:paraId="31F7B7D5" w14:textId="77777777" w:rsidR="002C0FD9" w:rsidRPr="00CA25CF" w:rsidRDefault="002C0FD9" w:rsidP="00CA25CF">
            <w:pPr>
              <w:rPr>
                <w:rFonts w:cs="Arial"/>
                <w:color w:val="FF0000"/>
                <w:sz w:val="21"/>
                <w:szCs w:val="21"/>
              </w:rPr>
            </w:pPr>
          </w:p>
        </w:tc>
        <w:tc>
          <w:tcPr>
            <w:tcW w:w="217" w:type="dxa"/>
          </w:tcPr>
          <w:p w14:paraId="07542E8A" w14:textId="77777777" w:rsidR="002C0FD9" w:rsidRPr="00CA25CF" w:rsidRDefault="002C0FD9" w:rsidP="00CA25CF">
            <w:pPr>
              <w:rPr>
                <w:rFonts w:cs="Arial"/>
                <w:color w:val="FF0000"/>
                <w:sz w:val="21"/>
                <w:szCs w:val="21"/>
              </w:rPr>
            </w:pPr>
          </w:p>
        </w:tc>
        <w:tc>
          <w:tcPr>
            <w:tcW w:w="217" w:type="dxa"/>
          </w:tcPr>
          <w:p w14:paraId="438A1489" w14:textId="77777777" w:rsidR="002C0FD9" w:rsidRPr="00CA25CF" w:rsidRDefault="002C0FD9" w:rsidP="00CA25CF">
            <w:pPr>
              <w:rPr>
                <w:rFonts w:cs="Arial"/>
                <w:color w:val="FF0000"/>
                <w:sz w:val="21"/>
                <w:szCs w:val="21"/>
              </w:rPr>
            </w:pPr>
          </w:p>
        </w:tc>
        <w:tc>
          <w:tcPr>
            <w:tcW w:w="217" w:type="dxa"/>
          </w:tcPr>
          <w:p w14:paraId="2342B2A6" w14:textId="77777777" w:rsidR="002C0FD9" w:rsidRPr="00CA25CF" w:rsidRDefault="002C0FD9" w:rsidP="00CA25CF">
            <w:pPr>
              <w:rPr>
                <w:rFonts w:cs="Arial"/>
                <w:color w:val="FF0000"/>
                <w:sz w:val="21"/>
                <w:szCs w:val="21"/>
              </w:rPr>
            </w:pPr>
          </w:p>
        </w:tc>
        <w:tc>
          <w:tcPr>
            <w:tcW w:w="217" w:type="dxa"/>
          </w:tcPr>
          <w:p w14:paraId="50CC4CD7" w14:textId="77777777" w:rsidR="002C0FD9" w:rsidRPr="00CA25CF" w:rsidRDefault="002C0FD9" w:rsidP="00CA25CF">
            <w:pPr>
              <w:rPr>
                <w:rFonts w:cs="Arial"/>
                <w:color w:val="FF0000"/>
                <w:sz w:val="21"/>
                <w:szCs w:val="21"/>
              </w:rPr>
            </w:pPr>
          </w:p>
        </w:tc>
        <w:tc>
          <w:tcPr>
            <w:tcW w:w="217" w:type="dxa"/>
          </w:tcPr>
          <w:p w14:paraId="48ACB955" w14:textId="77777777" w:rsidR="002C0FD9" w:rsidRPr="00CA25CF" w:rsidRDefault="002C0FD9" w:rsidP="00CA25CF">
            <w:pPr>
              <w:rPr>
                <w:rFonts w:cs="Arial"/>
                <w:color w:val="FF0000"/>
                <w:sz w:val="21"/>
                <w:szCs w:val="21"/>
              </w:rPr>
            </w:pPr>
          </w:p>
        </w:tc>
        <w:tc>
          <w:tcPr>
            <w:tcW w:w="217" w:type="dxa"/>
          </w:tcPr>
          <w:p w14:paraId="4DC30C0A" w14:textId="109B6764" w:rsidR="002C0FD9" w:rsidRPr="00CA25CF" w:rsidRDefault="002C0FD9" w:rsidP="00CA25CF">
            <w:pPr>
              <w:rPr>
                <w:rFonts w:cs="Arial"/>
                <w:color w:val="FF0000"/>
                <w:sz w:val="21"/>
                <w:szCs w:val="21"/>
              </w:rPr>
            </w:pPr>
          </w:p>
        </w:tc>
        <w:tc>
          <w:tcPr>
            <w:tcW w:w="217" w:type="dxa"/>
          </w:tcPr>
          <w:p w14:paraId="4EB1CC06" w14:textId="77777777" w:rsidR="002C0FD9" w:rsidRPr="00CA25CF" w:rsidRDefault="002C0FD9" w:rsidP="00CA25CF">
            <w:pPr>
              <w:rPr>
                <w:rFonts w:cs="Arial"/>
                <w:color w:val="FF0000"/>
                <w:sz w:val="21"/>
                <w:szCs w:val="21"/>
              </w:rPr>
            </w:pPr>
          </w:p>
        </w:tc>
        <w:tc>
          <w:tcPr>
            <w:tcW w:w="217" w:type="dxa"/>
          </w:tcPr>
          <w:p w14:paraId="15ECEDB4" w14:textId="77777777" w:rsidR="002C0FD9" w:rsidRPr="00CA25CF" w:rsidRDefault="002C0FD9" w:rsidP="00CA25CF">
            <w:pPr>
              <w:rPr>
                <w:rFonts w:cs="Arial"/>
                <w:color w:val="FF0000"/>
                <w:sz w:val="21"/>
                <w:szCs w:val="21"/>
              </w:rPr>
            </w:pPr>
          </w:p>
        </w:tc>
        <w:tc>
          <w:tcPr>
            <w:tcW w:w="217" w:type="dxa"/>
          </w:tcPr>
          <w:p w14:paraId="3D67DEF8" w14:textId="77777777" w:rsidR="002C0FD9" w:rsidRPr="00CA25CF" w:rsidRDefault="002C0FD9" w:rsidP="00CA25CF">
            <w:pPr>
              <w:rPr>
                <w:rFonts w:cs="Arial"/>
                <w:color w:val="FF0000"/>
                <w:sz w:val="21"/>
                <w:szCs w:val="21"/>
              </w:rPr>
            </w:pPr>
          </w:p>
        </w:tc>
        <w:tc>
          <w:tcPr>
            <w:tcW w:w="217" w:type="dxa"/>
          </w:tcPr>
          <w:p w14:paraId="54E19BFF" w14:textId="77777777" w:rsidR="002C0FD9" w:rsidRPr="00CA25CF" w:rsidRDefault="002C0FD9" w:rsidP="00CA25CF">
            <w:pPr>
              <w:rPr>
                <w:rFonts w:cs="Arial"/>
                <w:color w:val="FF0000"/>
                <w:sz w:val="21"/>
                <w:szCs w:val="21"/>
              </w:rPr>
            </w:pPr>
          </w:p>
        </w:tc>
        <w:tc>
          <w:tcPr>
            <w:tcW w:w="217" w:type="dxa"/>
          </w:tcPr>
          <w:p w14:paraId="6E2A5F8C" w14:textId="77777777" w:rsidR="002C0FD9" w:rsidRPr="00CA25CF" w:rsidRDefault="002C0FD9" w:rsidP="00CA25CF">
            <w:pPr>
              <w:rPr>
                <w:rFonts w:cs="Arial"/>
                <w:color w:val="FF0000"/>
                <w:sz w:val="21"/>
                <w:szCs w:val="21"/>
              </w:rPr>
            </w:pPr>
          </w:p>
        </w:tc>
        <w:tc>
          <w:tcPr>
            <w:tcW w:w="217" w:type="dxa"/>
          </w:tcPr>
          <w:p w14:paraId="6AA07CDC" w14:textId="77777777" w:rsidR="002C0FD9" w:rsidRPr="00CA25CF" w:rsidRDefault="002C0FD9" w:rsidP="00CA25CF">
            <w:pPr>
              <w:rPr>
                <w:rFonts w:cs="Arial"/>
                <w:color w:val="FF0000"/>
                <w:sz w:val="21"/>
                <w:szCs w:val="21"/>
              </w:rPr>
            </w:pPr>
          </w:p>
        </w:tc>
        <w:tc>
          <w:tcPr>
            <w:tcW w:w="217" w:type="dxa"/>
          </w:tcPr>
          <w:p w14:paraId="6E63EBBD" w14:textId="77777777" w:rsidR="002C0FD9" w:rsidRPr="00CA25CF" w:rsidRDefault="002C0FD9" w:rsidP="00CA25CF">
            <w:pPr>
              <w:rPr>
                <w:rFonts w:cs="Arial"/>
                <w:color w:val="FF0000"/>
                <w:sz w:val="21"/>
                <w:szCs w:val="21"/>
              </w:rPr>
            </w:pPr>
          </w:p>
        </w:tc>
        <w:tc>
          <w:tcPr>
            <w:tcW w:w="217" w:type="dxa"/>
          </w:tcPr>
          <w:p w14:paraId="0A579757" w14:textId="77777777" w:rsidR="002C0FD9" w:rsidRPr="00CA25CF" w:rsidRDefault="002C0FD9" w:rsidP="00CA25CF">
            <w:pPr>
              <w:rPr>
                <w:rFonts w:cs="Arial"/>
                <w:color w:val="FF0000"/>
                <w:sz w:val="21"/>
                <w:szCs w:val="21"/>
              </w:rPr>
            </w:pPr>
          </w:p>
        </w:tc>
        <w:tc>
          <w:tcPr>
            <w:tcW w:w="217" w:type="dxa"/>
          </w:tcPr>
          <w:p w14:paraId="5D55AAD0" w14:textId="77777777" w:rsidR="002C0FD9" w:rsidRPr="00CA25CF" w:rsidRDefault="002C0FD9" w:rsidP="00CA25CF">
            <w:pPr>
              <w:rPr>
                <w:rFonts w:cs="Arial"/>
                <w:color w:val="FF0000"/>
                <w:sz w:val="21"/>
                <w:szCs w:val="21"/>
              </w:rPr>
            </w:pPr>
          </w:p>
        </w:tc>
        <w:tc>
          <w:tcPr>
            <w:tcW w:w="217" w:type="dxa"/>
          </w:tcPr>
          <w:p w14:paraId="3A86CEF8" w14:textId="77777777" w:rsidR="002C0FD9" w:rsidRPr="00CA25CF" w:rsidRDefault="002C0FD9" w:rsidP="00CA25CF">
            <w:pPr>
              <w:rPr>
                <w:rFonts w:cs="Arial"/>
                <w:color w:val="FF0000"/>
                <w:sz w:val="21"/>
                <w:szCs w:val="21"/>
              </w:rPr>
            </w:pPr>
          </w:p>
        </w:tc>
        <w:tc>
          <w:tcPr>
            <w:tcW w:w="217" w:type="dxa"/>
          </w:tcPr>
          <w:p w14:paraId="60BEDF07" w14:textId="77777777" w:rsidR="002C0FD9" w:rsidRPr="00CA25CF" w:rsidRDefault="002C0FD9" w:rsidP="00CA25CF">
            <w:pPr>
              <w:rPr>
                <w:rFonts w:cs="Arial"/>
                <w:color w:val="FF0000"/>
                <w:sz w:val="21"/>
                <w:szCs w:val="21"/>
              </w:rPr>
            </w:pPr>
          </w:p>
        </w:tc>
        <w:tc>
          <w:tcPr>
            <w:tcW w:w="217" w:type="dxa"/>
          </w:tcPr>
          <w:p w14:paraId="157EEEB4" w14:textId="77777777" w:rsidR="002C0FD9" w:rsidRPr="00CA25CF" w:rsidRDefault="002C0FD9" w:rsidP="00CA25CF">
            <w:pPr>
              <w:rPr>
                <w:rFonts w:cs="Arial"/>
                <w:color w:val="FF0000"/>
                <w:sz w:val="21"/>
                <w:szCs w:val="21"/>
              </w:rPr>
            </w:pPr>
          </w:p>
        </w:tc>
        <w:tc>
          <w:tcPr>
            <w:tcW w:w="217" w:type="dxa"/>
          </w:tcPr>
          <w:p w14:paraId="41983D17" w14:textId="77777777" w:rsidR="002C0FD9" w:rsidRPr="00CA25CF" w:rsidRDefault="002C0FD9" w:rsidP="00CA25CF">
            <w:pPr>
              <w:rPr>
                <w:rFonts w:cs="Arial"/>
                <w:color w:val="FF0000"/>
                <w:sz w:val="21"/>
                <w:szCs w:val="21"/>
              </w:rPr>
            </w:pPr>
          </w:p>
        </w:tc>
        <w:tc>
          <w:tcPr>
            <w:tcW w:w="217" w:type="dxa"/>
          </w:tcPr>
          <w:p w14:paraId="086C830F" w14:textId="77777777" w:rsidR="002C0FD9" w:rsidRPr="00CA25CF" w:rsidRDefault="002C0FD9" w:rsidP="00CA25CF">
            <w:pPr>
              <w:rPr>
                <w:rFonts w:cs="Arial"/>
                <w:color w:val="FF0000"/>
                <w:sz w:val="21"/>
                <w:szCs w:val="21"/>
              </w:rPr>
            </w:pPr>
          </w:p>
        </w:tc>
        <w:tc>
          <w:tcPr>
            <w:tcW w:w="217" w:type="dxa"/>
          </w:tcPr>
          <w:p w14:paraId="45EC98E9" w14:textId="77777777" w:rsidR="002C0FD9" w:rsidRPr="00CA25CF" w:rsidRDefault="002C0FD9" w:rsidP="00CA25CF">
            <w:pPr>
              <w:rPr>
                <w:rFonts w:cs="Arial"/>
                <w:color w:val="FF0000"/>
                <w:sz w:val="21"/>
                <w:szCs w:val="21"/>
              </w:rPr>
            </w:pPr>
          </w:p>
        </w:tc>
        <w:tc>
          <w:tcPr>
            <w:tcW w:w="217" w:type="dxa"/>
          </w:tcPr>
          <w:p w14:paraId="20B300E8" w14:textId="77777777" w:rsidR="002C0FD9" w:rsidRPr="00CA25CF" w:rsidRDefault="002C0FD9" w:rsidP="00CA25CF">
            <w:pPr>
              <w:rPr>
                <w:rFonts w:cs="Arial"/>
                <w:color w:val="FF0000"/>
                <w:sz w:val="21"/>
                <w:szCs w:val="21"/>
              </w:rPr>
            </w:pPr>
          </w:p>
        </w:tc>
        <w:tc>
          <w:tcPr>
            <w:tcW w:w="217" w:type="dxa"/>
          </w:tcPr>
          <w:p w14:paraId="0E368B18" w14:textId="77777777" w:rsidR="002C0FD9" w:rsidRPr="00CA25CF" w:rsidRDefault="002C0FD9" w:rsidP="00CA25CF">
            <w:pPr>
              <w:rPr>
                <w:rFonts w:cs="Arial"/>
                <w:color w:val="FF0000"/>
                <w:sz w:val="21"/>
                <w:szCs w:val="21"/>
              </w:rPr>
            </w:pPr>
          </w:p>
        </w:tc>
        <w:tc>
          <w:tcPr>
            <w:tcW w:w="217" w:type="dxa"/>
          </w:tcPr>
          <w:p w14:paraId="5D82BDC8" w14:textId="77777777" w:rsidR="002C0FD9" w:rsidRPr="00CA25CF" w:rsidRDefault="002C0FD9" w:rsidP="00CA25CF">
            <w:pPr>
              <w:rPr>
                <w:rFonts w:cs="Arial"/>
                <w:color w:val="FF0000"/>
                <w:sz w:val="21"/>
                <w:szCs w:val="21"/>
              </w:rPr>
            </w:pPr>
          </w:p>
        </w:tc>
        <w:tc>
          <w:tcPr>
            <w:tcW w:w="217" w:type="dxa"/>
          </w:tcPr>
          <w:p w14:paraId="7BB785FB" w14:textId="77777777" w:rsidR="002C0FD9" w:rsidRPr="00CA25CF" w:rsidRDefault="002C0FD9" w:rsidP="00CA25CF">
            <w:pPr>
              <w:rPr>
                <w:rFonts w:cs="Arial"/>
                <w:color w:val="FF0000"/>
                <w:sz w:val="21"/>
                <w:szCs w:val="21"/>
              </w:rPr>
            </w:pPr>
          </w:p>
        </w:tc>
        <w:tc>
          <w:tcPr>
            <w:tcW w:w="217" w:type="dxa"/>
          </w:tcPr>
          <w:p w14:paraId="4A9BF6B4" w14:textId="77777777" w:rsidR="002C0FD9" w:rsidRPr="00CA25CF" w:rsidRDefault="002C0FD9" w:rsidP="00CA25CF">
            <w:pPr>
              <w:rPr>
                <w:rFonts w:cs="Arial"/>
                <w:color w:val="FF0000"/>
                <w:sz w:val="21"/>
                <w:szCs w:val="21"/>
              </w:rPr>
            </w:pPr>
          </w:p>
        </w:tc>
        <w:tc>
          <w:tcPr>
            <w:tcW w:w="217" w:type="dxa"/>
          </w:tcPr>
          <w:p w14:paraId="5C542F48" w14:textId="77777777" w:rsidR="002C0FD9" w:rsidRPr="00CA25CF" w:rsidRDefault="002C0FD9" w:rsidP="00CA25CF">
            <w:pPr>
              <w:rPr>
                <w:rFonts w:cs="Arial"/>
                <w:color w:val="FF0000"/>
                <w:sz w:val="21"/>
                <w:szCs w:val="21"/>
              </w:rPr>
            </w:pPr>
          </w:p>
        </w:tc>
        <w:tc>
          <w:tcPr>
            <w:tcW w:w="217" w:type="dxa"/>
          </w:tcPr>
          <w:p w14:paraId="24A6B978" w14:textId="77777777" w:rsidR="002C0FD9" w:rsidRPr="00CA25CF" w:rsidRDefault="002C0FD9" w:rsidP="00CA25CF">
            <w:pPr>
              <w:rPr>
                <w:rFonts w:cs="Arial"/>
                <w:color w:val="FF0000"/>
                <w:sz w:val="21"/>
                <w:szCs w:val="21"/>
              </w:rPr>
            </w:pPr>
          </w:p>
        </w:tc>
        <w:tc>
          <w:tcPr>
            <w:tcW w:w="217" w:type="dxa"/>
          </w:tcPr>
          <w:p w14:paraId="2B26020B" w14:textId="77777777" w:rsidR="002C0FD9" w:rsidRPr="00CA25CF" w:rsidRDefault="002C0FD9" w:rsidP="00CA25CF">
            <w:pPr>
              <w:rPr>
                <w:rFonts w:cs="Arial"/>
                <w:color w:val="FF0000"/>
                <w:sz w:val="21"/>
                <w:szCs w:val="21"/>
              </w:rPr>
            </w:pPr>
          </w:p>
        </w:tc>
        <w:tc>
          <w:tcPr>
            <w:tcW w:w="217" w:type="dxa"/>
          </w:tcPr>
          <w:p w14:paraId="6C29247A" w14:textId="77777777" w:rsidR="002C0FD9" w:rsidRPr="00CA25CF" w:rsidRDefault="002C0FD9" w:rsidP="00CA25CF">
            <w:pPr>
              <w:rPr>
                <w:rFonts w:cs="Arial"/>
                <w:color w:val="FF0000"/>
                <w:sz w:val="21"/>
                <w:szCs w:val="21"/>
              </w:rPr>
            </w:pPr>
          </w:p>
        </w:tc>
        <w:tc>
          <w:tcPr>
            <w:tcW w:w="217" w:type="dxa"/>
          </w:tcPr>
          <w:p w14:paraId="01695D47" w14:textId="77777777" w:rsidR="002C0FD9" w:rsidRPr="00CA25CF" w:rsidRDefault="002C0FD9" w:rsidP="00CA25CF">
            <w:pPr>
              <w:rPr>
                <w:rFonts w:cs="Arial"/>
                <w:color w:val="FF0000"/>
                <w:sz w:val="21"/>
                <w:szCs w:val="21"/>
              </w:rPr>
            </w:pPr>
          </w:p>
        </w:tc>
        <w:tc>
          <w:tcPr>
            <w:tcW w:w="217" w:type="dxa"/>
          </w:tcPr>
          <w:p w14:paraId="422C1122" w14:textId="77777777" w:rsidR="002C0FD9" w:rsidRPr="00CA25CF" w:rsidRDefault="002C0FD9" w:rsidP="00CA25CF">
            <w:pPr>
              <w:rPr>
                <w:rFonts w:cs="Arial"/>
                <w:color w:val="FF0000"/>
                <w:sz w:val="21"/>
                <w:szCs w:val="21"/>
              </w:rPr>
            </w:pPr>
          </w:p>
        </w:tc>
        <w:tc>
          <w:tcPr>
            <w:tcW w:w="217" w:type="dxa"/>
          </w:tcPr>
          <w:p w14:paraId="2F9A22DD" w14:textId="77777777" w:rsidR="002C0FD9" w:rsidRPr="00CA25CF" w:rsidRDefault="002C0FD9" w:rsidP="00CA25CF">
            <w:pPr>
              <w:rPr>
                <w:rFonts w:cs="Arial"/>
                <w:color w:val="FF0000"/>
                <w:sz w:val="21"/>
                <w:szCs w:val="21"/>
              </w:rPr>
            </w:pPr>
          </w:p>
        </w:tc>
      </w:tr>
      <w:tr w:rsidR="002C0FD9" w:rsidRPr="00A16219" w14:paraId="4DB9AE42" w14:textId="37A1C2C4" w:rsidTr="002C0FD9">
        <w:trPr>
          <w:trHeight w:val="635"/>
        </w:trPr>
        <w:tc>
          <w:tcPr>
            <w:tcW w:w="515" w:type="dxa"/>
          </w:tcPr>
          <w:p w14:paraId="307BDDD4" w14:textId="77777777" w:rsidR="002C0FD9" w:rsidRPr="00CA25CF" w:rsidRDefault="002C0FD9" w:rsidP="00CA25CF">
            <w:pPr>
              <w:rPr>
                <w:rFonts w:cs="Arial"/>
                <w:color w:val="FF0000"/>
                <w:sz w:val="21"/>
                <w:szCs w:val="21"/>
              </w:rPr>
            </w:pPr>
          </w:p>
        </w:tc>
        <w:tc>
          <w:tcPr>
            <w:tcW w:w="217" w:type="dxa"/>
          </w:tcPr>
          <w:p w14:paraId="48D6609C" w14:textId="77777777" w:rsidR="002C0FD9" w:rsidRPr="00CA25CF" w:rsidRDefault="002C0FD9" w:rsidP="00CA25CF">
            <w:pPr>
              <w:rPr>
                <w:rFonts w:cs="Arial"/>
                <w:color w:val="FF0000"/>
                <w:sz w:val="21"/>
                <w:szCs w:val="21"/>
              </w:rPr>
            </w:pPr>
          </w:p>
        </w:tc>
        <w:tc>
          <w:tcPr>
            <w:tcW w:w="217" w:type="dxa"/>
          </w:tcPr>
          <w:p w14:paraId="1AF9D43A" w14:textId="7E136353" w:rsidR="002C0FD9" w:rsidRPr="00CA25CF" w:rsidRDefault="002C0FD9" w:rsidP="00CA25CF">
            <w:pPr>
              <w:rPr>
                <w:rFonts w:cs="Arial"/>
                <w:color w:val="FF0000"/>
                <w:sz w:val="21"/>
                <w:szCs w:val="21"/>
              </w:rPr>
            </w:pPr>
          </w:p>
        </w:tc>
        <w:tc>
          <w:tcPr>
            <w:tcW w:w="217" w:type="dxa"/>
          </w:tcPr>
          <w:p w14:paraId="7D4F701C" w14:textId="77777777" w:rsidR="002C0FD9" w:rsidRPr="00CA25CF" w:rsidRDefault="002C0FD9" w:rsidP="00CA25CF">
            <w:pPr>
              <w:rPr>
                <w:rFonts w:cs="Arial"/>
                <w:color w:val="FF0000"/>
                <w:sz w:val="21"/>
                <w:szCs w:val="21"/>
              </w:rPr>
            </w:pPr>
          </w:p>
        </w:tc>
        <w:tc>
          <w:tcPr>
            <w:tcW w:w="217" w:type="dxa"/>
          </w:tcPr>
          <w:p w14:paraId="6B8CE778" w14:textId="77777777" w:rsidR="002C0FD9" w:rsidRPr="00CA25CF" w:rsidRDefault="002C0FD9" w:rsidP="00CA25CF">
            <w:pPr>
              <w:rPr>
                <w:rFonts w:cs="Arial"/>
                <w:color w:val="FF0000"/>
                <w:sz w:val="21"/>
                <w:szCs w:val="21"/>
              </w:rPr>
            </w:pPr>
          </w:p>
        </w:tc>
        <w:tc>
          <w:tcPr>
            <w:tcW w:w="217" w:type="dxa"/>
          </w:tcPr>
          <w:p w14:paraId="1798C5D5" w14:textId="77777777" w:rsidR="002C0FD9" w:rsidRPr="00CA25CF" w:rsidRDefault="002C0FD9" w:rsidP="00CA25CF">
            <w:pPr>
              <w:rPr>
                <w:rFonts w:cs="Arial"/>
                <w:color w:val="FF0000"/>
                <w:sz w:val="21"/>
                <w:szCs w:val="21"/>
              </w:rPr>
            </w:pPr>
          </w:p>
        </w:tc>
        <w:tc>
          <w:tcPr>
            <w:tcW w:w="217" w:type="dxa"/>
          </w:tcPr>
          <w:p w14:paraId="5AEA2AC2" w14:textId="77777777" w:rsidR="002C0FD9" w:rsidRPr="00CA25CF" w:rsidRDefault="002C0FD9" w:rsidP="00CA25CF">
            <w:pPr>
              <w:rPr>
                <w:rFonts w:cs="Arial"/>
                <w:color w:val="FF0000"/>
                <w:sz w:val="21"/>
                <w:szCs w:val="21"/>
              </w:rPr>
            </w:pPr>
          </w:p>
        </w:tc>
        <w:tc>
          <w:tcPr>
            <w:tcW w:w="217" w:type="dxa"/>
          </w:tcPr>
          <w:p w14:paraId="64773F06" w14:textId="77777777" w:rsidR="002C0FD9" w:rsidRPr="00CA25CF" w:rsidRDefault="002C0FD9" w:rsidP="00CA25CF">
            <w:pPr>
              <w:rPr>
                <w:rFonts w:cs="Arial"/>
                <w:color w:val="FF0000"/>
                <w:sz w:val="21"/>
                <w:szCs w:val="21"/>
              </w:rPr>
            </w:pPr>
          </w:p>
        </w:tc>
        <w:tc>
          <w:tcPr>
            <w:tcW w:w="217" w:type="dxa"/>
          </w:tcPr>
          <w:p w14:paraId="460A8F5B" w14:textId="77777777" w:rsidR="002C0FD9" w:rsidRPr="00CA25CF" w:rsidRDefault="002C0FD9" w:rsidP="00CA25CF">
            <w:pPr>
              <w:rPr>
                <w:rFonts w:cs="Arial"/>
                <w:color w:val="FF0000"/>
                <w:sz w:val="21"/>
                <w:szCs w:val="21"/>
              </w:rPr>
            </w:pPr>
          </w:p>
        </w:tc>
        <w:tc>
          <w:tcPr>
            <w:tcW w:w="217" w:type="dxa"/>
          </w:tcPr>
          <w:p w14:paraId="1E2A6FD3" w14:textId="77777777" w:rsidR="002C0FD9" w:rsidRPr="00CA25CF" w:rsidRDefault="002C0FD9" w:rsidP="00CA25CF">
            <w:pPr>
              <w:rPr>
                <w:rFonts w:cs="Arial"/>
                <w:color w:val="FF0000"/>
                <w:sz w:val="21"/>
                <w:szCs w:val="21"/>
              </w:rPr>
            </w:pPr>
          </w:p>
        </w:tc>
        <w:tc>
          <w:tcPr>
            <w:tcW w:w="217" w:type="dxa"/>
          </w:tcPr>
          <w:p w14:paraId="5D10BC5B" w14:textId="77777777" w:rsidR="002C0FD9" w:rsidRPr="00CA25CF" w:rsidRDefault="002C0FD9" w:rsidP="00CA25CF">
            <w:pPr>
              <w:rPr>
                <w:rFonts w:cs="Arial"/>
                <w:color w:val="FF0000"/>
                <w:sz w:val="21"/>
                <w:szCs w:val="21"/>
              </w:rPr>
            </w:pPr>
          </w:p>
        </w:tc>
        <w:tc>
          <w:tcPr>
            <w:tcW w:w="217" w:type="dxa"/>
          </w:tcPr>
          <w:p w14:paraId="6616CC91" w14:textId="77777777" w:rsidR="002C0FD9" w:rsidRPr="00CA25CF" w:rsidRDefault="002C0FD9" w:rsidP="00CA25CF">
            <w:pPr>
              <w:rPr>
                <w:rFonts w:cs="Arial"/>
                <w:color w:val="FF0000"/>
                <w:sz w:val="21"/>
                <w:szCs w:val="21"/>
              </w:rPr>
            </w:pPr>
          </w:p>
        </w:tc>
        <w:tc>
          <w:tcPr>
            <w:tcW w:w="217" w:type="dxa"/>
          </w:tcPr>
          <w:p w14:paraId="13B2CAE5" w14:textId="77777777" w:rsidR="002C0FD9" w:rsidRPr="00CA25CF" w:rsidRDefault="002C0FD9" w:rsidP="00CA25CF">
            <w:pPr>
              <w:rPr>
                <w:rFonts w:cs="Arial"/>
                <w:color w:val="FF0000"/>
                <w:sz w:val="21"/>
                <w:szCs w:val="21"/>
              </w:rPr>
            </w:pPr>
          </w:p>
        </w:tc>
        <w:tc>
          <w:tcPr>
            <w:tcW w:w="217" w:type="dxa"/>
          </w:tcPr>
          <w:p w14:paraId="4D1E5C1A" w14:textId="77777777" w:rsidR="002C0FD9" w:rsidRPr="00CA25CF" w:rsidRDefault="002C0FD9" w:rsidP="00CA25CF">
            <w:pPr>
              <w:rPr>
                <w:rFonts w:cs="Arial"/>
                <w:color w:val="FF0000"/>
                <w:sz w:val="21"/>
                <w:szCs w:val="21"/>
              </w:rPr>
            </w:pPr>
          </w:p>
        </w:tc>
        <w:tc>
          <w:tcPr>
            <w:tcW w:w="217" w:type="dxa"/>
          </w:tcPr>
          <w:p w14:paraId="20C03208" w14:textId="77777777" w:rsidR="002C0FD9" w:rsidRPr="00CA25CF" w:rsidRDefault="002C0FD9" w:rsidP="00CA25CF">
            <w:pPr>
              <w:rPr>
                <w:rFonts w:cs="Arial"/>
                <w:color w:val="FF0000"/>
                <w:sz w:val="21"/>
                <w:szCs w:val="21"/>
              </w:rPr>
            </w:pPr>
          </w:p>
        </w:tc>
        <w:tc>
          <w:tcPr>
            <w:tcW w:w="217" w:type="dxa"/>
          </w:tcPr>
          <w:p w14:paraId="23528410" w14:textId="55375025" w:rsidR="002C0FD9" w:rsidRPr="00CA25CF" w:rsidRDefault="002C0FD9" w:rsidP="00CA25CF">
            <w:pPr>
              <w:rPr>
                <w:rFonts w:cs="Arial"/>
                <w:color w:val="FF0000"/>
                <w:sz w:val="21"/>
                <w:szCs w:val="21"/>
              </w:rPr>
            </w:pPr>
          </w:p>
        </w:tc>
        <w:tc>
          <w:tcPr>
            <w:tcW w:w="217" w:type="dxa"/>
          </w:tcPr>
          <w:p w14:paraId="2FA112AF" w14:textId="77777777" w:rsidR="002C0FD9" w:rsidRPr="00CA25CF" w:rsidRDefault="002C0FD9" w:rsidP="00CA25CF">
            <w:pPr>
              <w:rPr>
                <w:rFonts w:cs="Arial"/>
                <w:color w:val="FF0000"/>
                <w:sz w:val="21"/>
                <w:szCs w:val="21"/>
              </w:rPr>
            </w:pPr>
          </w:p>
        </w:tc>
        <w:tc>
          <w:tcPr>
            <w:tcW w:w="217" w:type="dxa"/>
          </w:tcPr>
          <w:p w14:paraId="5156983E" w14:textId="77777777" w:rsidR="002C0FD9" w:rsidRPr="00CA25CF" w:rsidRDefault="002C0FD9" w:rsidP="00CA25CF">
            <w:pPr>
              <w:rPr>
                <w:rFonts w:cs="Arial"/>
                <w:color w:val="FF0000"/>
                <w:sz w:val="21"/>
                <w:szCs w:val="21"/>
              </w:rPr>
            </w:pPr>
          </w:p>
        </w:tc>
        <w:tc>
          <w:tcPr>
            <w:tcW w:w="217" w:type="dxa"/>
          </w:tcPr>
          <w:p w14:paraId="021B661B" w14:textId="77777777" w:rsidR="002C0FD9" w:rsidRPr="00CA25CF" w:rsidRDefault="002C0FD9" w:rsidP="00CA25CF">
            <w:pPr>
              <w:rPr>
                <w:rFonts w:cs="Arial"/>
                <w:color w:val="FF0000"/>
                <w:sz w:val="21"/>
                <w:szCs w:val="21"/>
              </w:rPr>
            </w:pPr>
          </w:p>
        </w:tc>
        <w:tc>
          <w:tcPr>
            <w:tcW w:w="217" w:type="dxa"/>
          </w:tcPr>
          <w:p w14:paraId="7028DCA4" w14:textId="77777777" w:rsidR="002C0FD9" w:rsidRPr="00CA25CF" w:rsidRDefault="002C0FD9" w:rsidP="00CA25CF">
            <w:pPr>
              <w:rPr>
                <w:rFonts w:cs="Arial"/>
                <w:color w:val="FF0000"/>
                <w:sz w:val="21"/>
                <w:szCs w:val="21"/>
              </w:rPr>
            </w:pPr>
          </w:p>
        </w:tc>
        <w:tc>
          <w:tcPr>
            <w:tcW w:w="217" w:type="dxa"/>
          </w:tcPr>
          <w:p w14:paraId="6AA580AE" w14:textId="77777777" w:rsidR="002C0FD9" w:rsidRPr="00CA25CF" w:rsidRDefault="002C0FD9" w:rsidP="00CA25CF">
            <w:pPr>
              <w:rPr>
                <w:rFonts w:cs="Arial"/>
                <w:color w:val="FF0000"/>
                <w:sz w:val="21"/>
                <w:szCs w:val="21"/>
              </w:rPr>
            </w:pPr>
          </w:p>
        </w:tc>
        <w:tc>
          <w:tcPr>
            <w:tcW w:w="217" w:type="dxa"/>
          </w:tcPr>
          <w:p w14:paraId="6A4682C7" w14:textId="77777777" w:rsidR="002C0FD9" w:rsidRPr="00CA25CF" w:rsidRDefault="002C0FD9" w:rsidP="00CA25CF">
            <w:pPr>
              <w:rPr>
                <w:rFonts w:cs="Arial"/>
                <w:color w:val="FF0000"/>
                <w:sz w:val="21"/>
                <w:szCs w:val="21"/>
              </w:rPr>
            </w:pPr>
          </w:p>
        </w:tc>
        <w:tc>
          <w:tcPr>
            <w:tcW w:w="217" w:type="dxa"/>
          </w:tcPr>
          <w:p w14:paraId="53B9A4CE" w14:textId="77777777" w:rsidR="002C0FD9" w:rsidRPr="00CA25CF" w:rsidRDefault="002C0FD9" w:rsidP="00CA25CF">
            <w:pPr>
              <w:rPr>
                <w:rFonts w:cs="Arial"/>
                <w:color w:val="FF0000"/>
                <w:sz w:val="21"/>
                <w:szCs w:val="21"/>
              </w:rPr>
            </w:pPr>
          </w:p>
        </w:tc>
        <w:tc>
          <w:tcPr>
            <w:tcW w:w="217" w:type="dxa"/>
          </w:tcPr>
          <w:p w14:paraId="13F4573E" w14:textId="77777777" w:rsidR="002C0FD9" w:rsidRPr="00CA25CF" w:rsidRDefault="002C0FD9" w:rsidP="00CA25CF">
            <w:pPr>
              <w:rPr>
                <w:rFonts w:cs="Arial"/>
                <w:color w:val="FF0000"/>
                <w:sz w:val="21"/>
                <w:szCs w:val="21"/>
              </w:rPr>
            </w:pPr>
          </w:p>
        </w:tc>
        <w:tc>
          <w:tcPr>
            <w:tcW w:w="217" w:type="dxa"/>
          </w:tcPr>
          <w:p w14:paraId="1FC3A849" w14:textId="77777777" w:rsidR="002C0FD9" w:rsidRPr="00CA25CF" w:rsidRDefault="002C0FD9" w:rsidP="00CA25CF">
            <w:pPr>
              <w:rPr>
                <w:rFonts w:cs="Arial"/>
                <w:color w:val="FF0000"/>
                <w:sz w:val="21"/>
                <w:szCs w:val="21"/>
              </w:rPr>
            </w:pPr>
          </w:p>
        </w:tc>
        <w:tc>
          <w:tcPr>
            <w:tcW w:w="217" w:type="dxa"/>
          </w:tcPr>
          <w:p w14:paraId="301BCC4A" w14:textId="77777777" w:rsidR="002C0FD9" w:rsidRPr="00CA25CF" w:rsidRDefault="002C0FD9" w:rsidP="00CA25CF">
            <w:pPr>
              <w:rPr>
                <w:rFonts w:cs="Arial"/>
                <w:color w:val="FF0000"/>
                <w:sz w:val="21"/>
                <w:szCs w:val="21"/>
              </w:rPr>
            </w:pPr>
          </w:p>
        </w:tc>
        <w:tc>
          <w:tcPr>
            <w:tcW w:w="217" w:type="dxa"/>
          </w:tcPr>
          <w:p w14:paraId="35790F92" w14:textId="77777777" w:rsidR="002C0FD9" w:rsidRPr="00CA25CF" w:rsidRDefault="002C0FD9" w:rsidP="00CA25CF">
            <w:pPr>
              <w:rPr>
                <w:rFonts w:cs="Arial"/>
                <w:color w:val="FF0000"/>
                <w:sz w:val="21"/>
                <w:szCs w:val="21"/>
              </w:rPr>
            </w:pPr>
          </w:p>
        </w:tc>
        <w:tc>
          <w:tcPr>
            <w:tcW w:w="217" w:type="dxa"/>
          </w:tcPr>
          <w:p w14:paraId="005721F8" w14:textId="77777777" w:rsidR="002C0FD9" w:rsidRPr="00CA25CF" w:rsidRDefault="002C0FD9" w:rsidP="00CA25CF">
            <w:pPr>
              <w:rPr>
                <w:rFonts w:cs="Arial"/>
                <w:color w:val="FF0000"/>
                <w:sz w:val="21"/>
                <w:szCs w:val="21"/>
              </w:rPr>
            </w:pPr>
          </w:p>
        </w:tc>
        <w:tc>
          <w:tcPr>
            <w:tcW w:w="217" w:type="dxa"/>
          </w:tcPr>
          <w:p w14:paraId="29BED6FA" w14:textId="77777777" w:rsidR="002C0FD9" w:rsidRPr="00CA25CF" w:rsidRDefault="002C0FD9" w:rsidP="00CA25CF">
            <w:pPr>
              <w:rPr>
                <w:rFonts w:cs="Arial"/>
                <w:color w:val="FF0000"/>
                <w:sz w:val="21"/>
                <w:szCs w:val="21"/>
              </w:rPr>
            </w:pPr>
          </w:p>
        </w:tc>
        <w:tc>
          <w:tcPr>
            <w:tcW w:w="217" w:type="dxa"/>
          </w:tcPr>
          <w:p w14:paraId="1949EAEC" w14:textId="77777777" w:rsidR="002C0FD9" w:rsidRPr="00CA25CF" w:rsidRDefault="002C0FD9" w:rsidP="00CA25CF">
            <w:pPr>
              <w:rPr>
                <w:rFonts w:cs="Arial"/>
                <w:color w:val="FF0000"/>
                <w:sz w:val="21"/>
                <w:szCs w:val="21"/>
              </w:rPr>
            </w:pPr>
          </w:p>
        </w:tc>
        <w:tc>
          <w:tcPr>
            <w:tcW w:w="217" w:type="dxa"/>
          </w:tcPr>
          <w:p w14:paraId="43C62724" w14:textId="77777777" w:rsidR="002C0FD9" w:rsidRPr="00CA25CF" w:rsidRDefault="002C0FD9" w:rsidP="00CA25CF">
            <w:pPr>
              <w:rPr>
                <w:rFonts w:cs="Arial"/>
                <w:color w:val="FF0000"/>
                <w:sz w:val="21"/>
                <w:szCs w:val="21"/>
              </w:rPr>
            </w:pPr>
          </w:p>
        </w:tc>
        <w:tc>
          <w:tcPr>
            <w:tcW w:w="217" w:type="dxa"/>
          </w:tcPr>
          <w:p w14:paraId="23D86DE4" w14:textId="77777777" w:rsidR="002C0FD9" w:rsidRPr="00CA25CF" w:rsidRDefault="002C0FD9" w:rsidP="00CA25CF">
            <w:pPr>
              <w:rPr>
                <w:rFonts w:cs="Arial"/>
                <w:color w:val="FF0000"/>
                <w:sz w:val="21"/>
                <w:szCs w:val="21"/>
              </w:rPr>
            </w:pPr>
          </w:p>
        </w:tc>
        <w:tc>
          <w:tcPr>
            <w:tcW w:w="217" w:type="dxa"/>
          </w:tcPr>
          <w:p w14:paraId="40FC8730" w14:textId="77777777" w:rsidR="002C0FD9" w:rsidRPr="00CA25CF" w:rsidRDefault="002C0FD9" w:rsidP="00CA25CF">
            <w:pPr>
              <w:rPr>
                <w:rFonts w:cs="Arial"/>
                <w:color w:val="FF0000"/>
                <w:sz w:val="21"/>
                <w:szCs w:val="21"/>
              </w:rPr>
            </w:pPr>
          </w:p>
        </w:tc>
        <w:tc>
          <w:tcPr>
            <w:tcW w:w="217" w:type="dxa"/>
          </w:tcPr>
          <w:p w14:paraId="32DB2198" w14:textId="77777777" w:rsidR="002C0FD9" w:rsidRPr="00CA25CF" w:rsidRDefault="002C0FD9" w:rsidP="00CA25CF">
            <w:pPr>
              <w:rPr>
                <w:rFonts w:cs="Arial"/>
                <w:color w:val="FF0000"/>
                <w:sz w:val="21"/>
                <w:szCs w:val="21"/>
              </w:rPr>
            </w:pPr>
          </w:p>
        </w:tc>
        <w:tc>
          <w:tcPr>
            <w:tcW w:w="217" w:type="dxa"/>
          </w:tcPr>
          <w:p w14:paraId="1BA47FF0" w14:textId="77777777" w:rsidR="002C0FD9" w:rsidRPr="00CA25CF" w:rsidRDefault="002C0FD9" w:rsidP="00CA25CF">
            <w:pPr>
              <w:rPr>
                <w:rFonts w:cs="Arial"/>
                <w:color w:val="FF0000"/>
                <w:sz w:val="21"/>
                <w:szCs w:val="21"/>
              </w:rPr>
            </w:pPr>
          </w:p>
        </w:tc>
        <w:tc>
          <w:tcPr>
            <w:tcW w:w="217" w:type="dxa"/>
          </w:tcPr>
          <w:p w14:paraId="10CCEB1D" w14:textId="77777777" w:rsidR="002C0FD9" w:rsidRPr="00CA25CF" w:rsidRDefault="002C0FD9" w:rsidP="00CA25CF">
            <w:pPr>
              <w:rPr>
                <w:rFonts w:cs="Arial"/>
                <w:color w:val="FF0000"/>
                <w:sz w:val="21"/>
                <w:szCs w:val="21"/>
              </w:rPr>
            </w:pPr>
          </w:p>
        </w:tc>
        <w:tc>
          <w:tcPr>
            <w:tcW w:w="217" w:type="dxa"/>
          </w:tcPr>
          <w:p w14:paraId="2064719B" w14:textId="77777777" w:rsidR="002C0FD9" w:rsidRPr="00CA25CF" w:rsidRDefault="002C0FD9" w:rsidP="00CA25CF">
            <w:pPr>
              <w:rPr>
                <w:rFonts w:cs="Arial"/>
                <w:color w:val="FF0000"/>
                <w:sz w:val="21"/>
                <w:szCs w:val="21"/>
              </w:rPr>
            </w:pPr>
          </w:p>
        </w:tc>
        <w:tc>
          <w:tcPr>
            <w:tcW w:w="217" w:type="dxa"/>
          </w:tcPr>
          <w:p w14:paraId="48671861" w14:textId="77777777" w:rsidR="002C0FD9" w:rsidRPr="00CA25CF" w:rsidRDefault="002C0FD9" w:rsidP="00CA25CF">
            <w:pPr>
              <w:rPr>
                <w:rFonts w:cs="Arial"/>
                <w:color w:val="FF0000"/>
                <w:sz w:val="21"/>
                <w:szCs w:val="21"/>
              </w:rPr>
            </w:pPr>
          </w:p>
        </w:tc>
        <w:tc>
          <w:tcPr>
            <w:tcW w:w="217" w:type="dxa"/>
          </w:tcPr>
          <w:p w14:paraId="361F2F9C" w14:textId="77777777" w:rsidR="002C0FD9" w:rsidRPr="00CA25CF" w:rsidRDefault="002C0FD9" w:rsidP="00CA25CF">
            <w:pPr>
              <w:rPr>
                <w:rFonts w:cs="Arial"/>
                <w:color w:val="FF0000"/>
                <w:sz w:val="21"/>
                <w:szCs w:val="21"/>
              </w:rPr>
            </w:pPr>
          </w:p>
        </w:tc>
        <w:tc>
          <w:tcPr>
            <w:tcW w:w="217" w:type="dxa"/>
          </w:tcPr>
          <w:p w14:paraId="65723C80" w14:textId="77777777" w:rsidR="002C0FD9" w:rsidRPr="00CA25CF" w:rsidRDefault="002C0FD9" w:rsidP="00CA25CF">
            <w:pPr>
              <w:rPr>
                <w:rFonts w:cs="Arial"/>
                <w:color w:val="FF0000"/>
                <w:sz w:val="21"/>
                <w:szCs w:val="21"/>
              </w:rPr>
            </w:pPr>
          </w:p>
        </w:tc>
        <w:tc>
          <w:tcPr>
            <w:tcW w:w="217" w:type="dxa"/>
          </w:tcPr>
          <w:p w14:paraId="6A87E99E" w14:textId="77777777" w:rsidR="002C0FD9" w:rsidRPr="00CA25CF" w:rsidRDefault="002C0FD9" w:rsidP="00CA25CF">
            <w:pPr>
              <w:rPr>
                <w:rFonts w:cs="Arial"/>
                <w:color w:val="FF0000"/>
                <w:sz w:val="21"/>
                <w:szCs w:val="21"/>
              </w:rPr>
            </w:pPr>
          </w:p>
        </w:tc>
        <w:tc>
          <w:tcPr>
            <w:tcW w:w="217" w:type="dxa"/>
          </w:tcPr>
          <w:p w14:paraId="7B1A3A8C" w14:textId="77777777" w:rsidR="002C0FD9" w:rsidRPr="00CA25CF" w:rsidRDefault="002C0FD9" w:rsidP="00CA25CF">
            <w:pPr>
              <w:rPr>
                <w:rFonts w:cs="Arial"/>
                <w:color w:val="FF0000"/>
                <w:sz w:val="21"/>
                <w:szCs w:val="21"/>
              </w:rPr>
            </w:pPr>
          </w:p>
        </w:tc>
        <w:tc>
          <w:tcPr>
            <w:tcW w:w="217" w:type="dxa"/>
          </w:tcPr>
          <w:p w14:paraId="3844F922" w14:textId="77777777" w:rsidR="002C0FD9" w:rsidRPr="00CA25CF" w:rsidRDefault="002C0FD9" w:rsidP="00CA25CF">
            <w:pPr>
              <w:rPr>
                <w:rFonts w:cs="Arial"/>
                <w:color w:val="FF0000"/>
                <w:sz w:val="21"/>
                <w:szCs w:val="21"/>
              </w:rPr>
            </w:pPr>
          </w:p>
        </w:tc>
      </w:tr>
      <w:tr w:rsidR="002C0FD9" w:rsidRPr="00A16219" w14:paraId="02F4A08B" w14:textId="66E610DE" w:rsidTr="002C0FD9">
        <w:trPr>
          <w:trHeight w:val="635"/>
        </w:trPr>
        <w:tc>
          <w:tcPr>
            <w:tcW w:w="515" w:type="dxa"/>
          </w:tcPr>
          <w:p w14:paraId="675EF516" w14:textId="77777777" w:rsidR="002C0FD9" w:rsidRPr="00CA25CF" w:rsidRDefault="002C0FD9" w:rsidP="00CA25CF">
            <w:pPr>
              <w:rPr>
                <w:rFonts w:cs="Arial"/>
                <w:color w:val="FF0000"/>
                <w:sz w:val="21"/>
                <w:szCs w:val="21"/>
              </w:rPr>
            </w:pPr>
          </w:p>
        </w:tc>
        <w:tc>
          <w:tcPr>
            <w:tcW w:w="217" w:type="dxa"/>
          </w:tcPr>
          <w:p w14:paraId="2A94E60F" w14:textId="77777777" w:rsidR="002C0FD9" w:rsidRPr="00CA25CF" w:rsidRDefault="002C0FD9" w:rsidP="00CA25CF">
            <w:pPr>
              <w:rPr>
                <w:rFonts w:cs="Arial"/>
                <w:color w:val="FF0000"/>
                <w:sz w:val="21"/>
                <w:szCs w:val="21"/>
              </w:rPr>
            </w:pPr>
          </w:p>
        </w:tc>
        <w:tc>
          <w:tcPr>
            <w:tcW w:w="217" w:type="dxa"/>
          </w:tcPr>
          <w:p w14:paraId="40ED4866" w14:textId="7C8F9004" w:rsidR="002C0FD9" w:rsidRPr="00CA25CF" w:rsidRDefault="002C0FD9" w:rsidP="00CA25CF">
            <w:pPr>
              <w:rPr>
                <w:rFonts w:cs="Arial"/>
                <w:color w:val="FF0000"/>
                <w:sz w:val="21"/>
                <w:szCs w:val="21"/>
              </w:rPr>
            </w:pPr>
          </w:p>
        </w:tc>
        <w:tc>
          <w:tcPr>
            <w:tcW w:w="217" w:type="dxa"/>
          </w:tcPr>
          <w:p w14:paraId="69FF511C" w14:textId="77777777" w:rsidR="002C0FD9" w:rsidRPr="00CA25CF" w:rsidRDefault="002C0FD9" w:rsidP="00CA25CF">
            <w:pPr>
              <w:rPr>
                <w:rFonts w:cs="Arial"/>
                <w:color w:val="FF0000"/>
                <w:sz w:val="21"/>
                <w:szCs w:val="21"/>
              </w:rPr>
            </w:pPr>
          </w:p>
        </w:tc>
        <w:tc>
          <w:tcPr>
            <w:tcW w:w="217" w:type="dxa"/>
          </w:tcPr>
          <w:p w14:paraId="02D79A22" w14:textId="77777777" w:rsidR="002C0FD9" w:rsidRPr="00CA25CF" w:rsidRDefault="002C0FD9" w:rsidP="00CA25CF">
            <w:pPr>
              <w:rPr>
                <w:rFonts w:cs="Arial"/>
                <w:color w:val="FF0000"/>
                <w:sz w:val="21"/>
                <w:szCs w:val="21"/>
              </w:rPr>
            </w:pPr>
          </w:p>
        </w:tc>
        <w:tc>
          <w:tcPr>
            <w:tcW w:w="217" w:type="dxa"/>
          </w:tcPr>
          <w:p w14:paraId="2440C09A" w14:textId="77777777" w:rsidR="002C0FD9" w:rsidRPr="00CA25CF" w:rsidRDefault="002C0FD9" w:rsidP="00CA25CF">
            <w:pPr>
              <w:rPr>
                <w:rFonts w:cs="Arial"/>
                <w:color w:val="FF0000"/>
                <w:sz w:val="21"/>
                <w:szCs w:val="21"/>
              </w:rPr>
            </w:pPr>
          </w:p>
        </w:tc>
        <w:tc>
          <w:tcPr>
            <w:tcW w:w="217" w:type="dxa"/>
          </w:tcPr>
          <w:p w14:paraId="63299AE7" w14:textId="77777777" w:rsidR="002C0FD9" w:rsidRPr="00CA25CF" w:rsidRDefault="002C0FD9" w:rsidP="00CA25CF">
            <w:pPr>
              <w:rPr>
                <w:rFonts w:cs="Arial"/>
                <w:color w:val="FF0000"/>
                <w:sz w:val="21"/>
                <w:szCs w:val="21"/>
              </w:rPr>
            </w:pPr>
          </w:p>
        </w:tc>
        <w:tc>
          <w:tcPr>
            <w:tcW w:w="217" w:type="dxa"/>
          </w:tcPr>
          <w:p w14:paraId="4E288149" w14:textId="77777777" w:rsidR="002C0FD9" w:rsidRPr="00CA25CF" w:rsidRDefault="002C0FD9" w:rsidP="00CA25CF">
            <w:pPr>
              <w:rPr>
                <w:rFonts w:cs="Arial"/>
                <w:color w:val="FF0000"/>
                <w:sz w:val="21"/>
                <w:szCs w:val="21"/>
              </w:rPr>
            </w:pPr>
          </w:p>
        </w:tc>
        <w:tc>
          <w:tcPr>
            <w:tcW w:w="217" w:type="dxa"/>
          </w:tcPr>
          <w:p w14:paraId="68CDBB81" w14:textId="77777777" w:rsidR="002C0FD9" w:rsidRPr="00CA25CF" w:rsidRDefault="002C0FD9" w:rsidP="00CA25CF">
            <w:pPr>
              <w:rPr>
                <w:rFonts w:cs="Arial"/>
                <w:color w:val="FF0000"/>
                <w:sz w:val="21"/>
                <w:szCs w:val="21"/>
              </w:rPr>
            </w:pPr>
          </w:p>
        </w:tc>
        <w:tc>
          <w:tcPr>
            <w:tcW w:w="217" w:type="dxa"/>
          </w:tcPr>
          <w:p w14:paraId="379F292B" w14:textId="77777777" w:rsidR="002C0FD9" w:rsidRPr="00CA25CF" w:rsidRDefault="002C0FD9" w:rsidP="00CA25CF">
            <w:pPr>
              <w:rPr>
                <w:rFonts w:cs="Arial"/>
                <w:color w:val="FF0000"/>
                <w:sz w:val="21"/>
                <w:szCs w:val="21"/>
              </w:rPr>
            </w:pPr>
          </w:p>
        </w:tc>
        <w:tc>
          <w:tcPr>
            <w:tcW w:w="217" w:type="dxa"/>
          </w:tcPr>
          <w:p w14:paraId="6FFB2046" w14:textId="77777777" w:rsidR="002C0FD9" w:rsidRPr="00CA25CF" w:rsidRDefault="002C0FD9" w:rsidP="00CA25CF">
            <w:pPr>
              <w:rPr>
                <w:rFonts w:cs="Arial"/>
                <w:color w:val="FF0000"/>
                <w:sz w:val="21"/>
                <w:szCs w:val="21"/>
              </w:rPr>
            </w:pPr>
          </w:p>
        </w:tc>
        <w:tc>
          <w:tcPr>
            <w:tcW w:w="217" w:type="dxa"/>
          </w:tcPr>
          <w:p w14:paraId="10120C7A" w14:textId="77777777" w:rsidR="002C0FD9" w:rsidRPr="00CA25CF" w:rsidRDefault="002C0FD9" w:rsidP="00CA25CF">
            <w:pPr>
              <w:rPr>
                <w:rFonts w:cs="Arial"/>
                <w:color w:val="FF0000"/>
                <w:sz w:val="21"/>
                <w:szCs w:val="21"/>
              </w:rPr>
            </w:pPr>
          </w:p>
        </w:tc>
        <w:tc>
          <w:tcPr>
            <w:tcW w:w="217" w:type="dxa"/>
          </w:tcPr>
          <w:p w14:paraId="1F755F24" w14:textId="77777777" w:rsidR="002C0FD9" w:rsidRPr="00CA25CF" w:rsidRDefault="002C0FD9" w:rsidP="00CA25CF">
            <w:pPr>
              <w:rPr>
                <w:rFonts w:cs="Arial"/>
                <w:color w:val="FF0000"/>
                <w:sz w:val="21"/>
                <w:szCs w:val="21"/>
              </w:rPr>
            </w:pPr>
          </w:p>
        </w:tc>
        <w:tc>
          <w:tcPr>
            <w:tcW w:w="217" w:type="dxa"/>
          </w:tcPr>
          <w:p w14:paraId="74CFB21B" w14:textId="77777777" w:rsidR="002C0FD9" w:rsidRPr="00CA25CF" w:rsidRDefault="002C0FD9" w:rsidP="00CA25CF">
            <w:pPr>
              <w:rPr>
                <w:rFonts w:cs="Arial"/>
                <w:color w:val="FF0000"/>
                <w:sz w:val="21"/>
                <w:szCs w:val="21"/>
              </w:rPr>
            </w:pPr>
          </w:p>
        </w:tc>
        <w:tc>
          <w:tcPr>
            <w:tcW w:w="217" w:type="dxa"/>
          </w:tcPr>
          <w:p w14:paraId="5EF0A154" w14:textId="77777777" w:rsidR="002C0FD9" w:rsidRPr="00CA25CF" w:rsidRDefault="002C0FD9" w:rsidP="00CA25CF">
            <w:pPr>
              <w:rPr>
                <w:rFonts w:cs="Arial"/>
                <w:color w:val="FF0000"/>
                <w:sz w:val="21"/>
                <w:szCs w:val="21"/>
              </w:rPr>
            </w:pPr>
          </w:p>
        </w:tc>
        <w:tc>
          <w:tcPr>
            <w:tcW w:w="217" w:type="dxa"/>
          </w:tcPr>
          <w:p w14:paraId="1C078A53" w14:textId="5DBE4E46" w:rsidR="002C0FD9" w:rsidRPr="00CA25CF" w:rsidRDefault="002C0FD9" w:rsidP="00CA25CF">
            <w:pPr>
              <w:rPr>
                <w:rFonts w:cs="Arial"/>
                <w:color w:val="FF0000"/>
                <w:sz w:val="21"/>
                <w:szCs w:val="21"/>
              </w:rPr>
            </w:pPr>
          </w:p>
        </w:tc>
        <w:tc>
          <w:tcPr>
            <w:tcW w:w="217" w:type="dxa"/>
          </w:tcPr>
          <w:p w14:paraId="685240E8" w14:textId="77777777" w:rsidR="002C0FD9" w:rsidRPr="00CA25CF" w:rsidRDefault="002C0FD9" w:rsidP="00CA25CF">
            <w:pPr>
              <w:rPr>
                <w:rFonts w:cs="Arial"/>
                <w:color w:val="FF0000"/>
                <w:sz w:val="21"/>
                <w:szCs w:val="21"/>
              </w:rPr>
            </w:pPr>
          </w:p>
        </w:tc>
        <w:tc>
          <w:tcPr>
            <w:tcW w:w="217" w:type="dxa"/>
          </w:tcPr>
          <w:p w14:paraId="3690EB4F" w14:textId="77777777" w:rsidR="002C0FD9" w:rsidRPr="00CA25CF" w:rsidRDefault="002C0FD9" w:rsidP="00CA25CF">
            <w:pPr>
              <w:rPr>
                <w:rFonts w:cs="Arial"/>
                <w:color w:val="FF0000"/>
                <w:sz w:val="21"/>
                <w:szCs w:val="21"/>
              </w:rPr>
            </w:pPr>
          </w:p>
        </w:tc>
        <w:tc>
          <w:tcPr>
            <w:tcW w:w="217" w:type="dxa"/>
          </w:tcPr>
          <w:p w14:paraId="70A0062B" w14:textId="77777777" w:rsidR="002C0FD9" w:rsidRPr="00CA25CF" w:rsidRDefault="002C0FD9" w:rsidP="00CA25CF">
            <w:pPr>
              <w:rPr>
                <w:rFonts w:cs="Arial"/>
                <w:color w:val="FF0000"/>
                <w:sz w:val="21"/>
                <w:szCs w:val="21"/>
              </w:rPr>
            </w:pPr>
          </w:p>
        </w:tc>
        <w:tc>
          <w:tcPr>
            <w:tcW w:w="217" w:type="dxa"/>
          </w:tcPr>
          <w:p w14:paraId="4619A2F8" w14:textId="77777777" w:rsidR="002C0FD9" w:rsidRPr="00CA25CF" w:rsidRDefault="002C0FD9" w:rsidP="00CA25CF">
            <w:pPr>
              <w:rPr>
                <w:rFonts w:cs="Arial"/>
                <w:color w:val="FF0000"/>
                <w:sz w:val="21"/>
                <w:szCs w:val="21"/>
              </w:rPr>
            </w:pPr>
          </w:p>
        </w:tc>
        <w:tc>
          <w:tcPr>
            <w:tcW w:w="217" w:type="dxa"/>
          </w:tcPr>
          <w:p w14:paraId="608DEDF7" w14:textId="77777777" w:rsidR="002C0FD9" w:rsidRPr="00CA25CF" w:rsidRDefault="002C0FD9" w:rsidP="00CA25CF">
            <w:pPr>
              <w:rPr>
                <w:rFonts w:cs="Arial"/>
                <w:color w:val="FF0000"/>
                <w:sz w:val="21"/>
                <w:szCs w:val="21"/>
              </w:rPr>
            </w:pPr>
          </w:p>
        </w:tc>
        <w:tc>
          <w:tcPr>
            <w:tcW w:w="217" w:type="dxa"/>
          </w:tcPr>
          <w:p w14:paraId="3FEF0FD2" w14:textId="77777777" w:rsidR="002C0FD9" w:rsidRPr="00CA25CF" w:rsidRDefault="002C0FD9" w:rsidP="00CA25CF">
            <w:pPr>
              <w:rPr>
                <w:rFonts w:cs="Arial"/>
                <w:color w:val="FF0000"/>
                <w:sz w:val="21"/>
                <w:szCs w:val="21"/>
              </w:rPr>
            </w:pPr>
          </w:p>
        </w:tc>
        <w:tc>
          <w:tcPr>
            <w:tcW w:w="217" w:type="dxa"/>
          </w:tcPr>
          <w:p w14:paraId="2321F0E3" w14:textId="77777777" w:rsidR="002C0FD9" w:rsidRPr="00CA25CF" w:rsidRDefault="002C0FD9" w:rsidP="00CA25CF">
            <w:pPr>
              <w:rPr>
                <w:rFonts w:cs="Arial"/>
                <w:color w:val="FF0000"/>
                <w:sz w:val="21"/>
                <w:szCs w:val="21"/>
              </w:rPr>
            </w:pPr>
          </w:p>
        </w:tc>
        <w:tc>
          <w:tcPr>
            <w:tcW w:w="217" w:type="dxa"/>
          </w:tcPr>
          <w:p w14:paraId="6822FEF1" w14:textId="77777777" w:rsidR="002C0FD9" w:rsidRPr="00CA25CF" w:rsidRDefault="002C0FD9" w:rsidP="00CA25CF">
            <w:pPr>
              <w:rPr>
                <w:rFonts w:cs="Arial"/>
                <w:color w:val="FF0000"/>
                <w:sz w:val="21"/>
                <w:szCs w:val="21"/>
              </w:rPr>
            </w:pPr>
          </w:p>
        </w:tc>
        <w:tc>
          <w:tcPr>
            <w:tcW w:w="217" w:type="dxa"/>
          </w:tcPr>
          <w:p w14:paraId="219B5286" w14:textId="77777777" w:rsidR="002C0FD9" w:rsidRPr="00CA25CF" w:rsidRDefault="002C0FD9" w:rsidP="00CA25CF">
            <w:pPr>
              <w:rPr>
                <w:rFonts w:cs="Arial"/>
                <w:color w:val="FF0000"/>
                <w:sz w:val="21"/>
                <w:szCs w:val="21"/>
              </w:rPr>
            </w:pPr>
          </w:p>
        </w:tc>
        <w:tc>
          <w:tcPr>
            <w:tcW w:w="217" w:type="dxa"/>
          </w:tcPr>
          <w:p w14:paraId="5EB99287" w14:textId="77777777" w:rsidR="002C0FD9" w:rsidRPr="00CA25CF" w:rsidRDefault="002C0FD9" w:rsidP="00CA25CF">
            <w:pPr>
              <w:rPr>
                <w:rFonts w:cs="Arial"/>
                <w:color w:val="FF0000"/>
                <w:sz w:val="21"/>
                <w:szCs w:val="21"/>
              </w:rPr>
            </w:pPr>
          </w:p>
        </w:tc>
        <w:tc>
          <w:tcPr>
            <w:tcW w:w="217" w:type="dxa"/>
          </w:tcPr>
          <w:p w14:paraId="1037398F" w14:textId="77777777" w:rsidR="002C0FD9" w:rsidRPr="00CA25CF" w:rsidRDefault="002C0FD9" w:rsidP="00CA25CF">
            <w:pPr>
              <w:rPr>
                <w:rFonts w:cs="Arial"/>
                <w:color w:val="FF0000"/>
                <w:sz w:val="21"/>
                <w:szCs w:val="21"/>
              </w:rPr>
            </w:pPr>
          </w:p>
        </w:tc>
        <w:tc>
          <w:tcPr>
            <w:tcW w:w="217" w:type="dxa"/>
          </w:tcPr>
          <w:p w14:paraId="31A7E7BC" w14:textId="77777777" w:rsidR="002C0FD9" w:rsidRPr="00CA25CF" w:rsidRDefault="002C0FD9" w:rsidP="00CA25CF">
            <w:pPr>
              <w:rPr>
                <w:rFonts w:cs="Arial"/>
                <w:color w:val="FF0000"/>
                <w:sz w:val="21"/>
                <w:szCs w:val="21"/>
              </w:rPr>
            </w:pPr>
          </w:p>
        </w:tc>
        <w:tc>
          <w:tcPr>
            <w:tcW w:w="217" w:type="dxa"/>
          </w:tcPr>
          <w:p w14:paraId="1171E766" w14:textId="77777777" w:rsidR="002C0FD9" w:rsidRPr="00CA25CF" w:rsidRDefault="002C0FD9" w:rsidP="00CA25CF">
            <w:pPr>
              <w:rPr>
                <w:rFonts w:cs="Arial"/>
                <w:color w:val="FF0000"/>
                <w:sz w:val="21"/>
                <w:szCs w:val="21"/>
              </w:rPr>
            </w:pPr>
          </w:p>
        </w:tc>
        <w:tc>
          <w:tcPr>
            <w:tcW w:w="217" w:type="dxa"/>
          </w:tcPr>
          <w:p w14:paraId="59C6EE33" w14:textId="77777777" w:rsidR="002C0FD9" w:rsidRPr="00CA25CF" w:rsidRDefault="002C0FD9" w:rsidP="00CA25CF">
            <w:pPr>
              <w:rPr>
                <w:rFonts w:cs="Arial"/>
                <w:color w:val="FF0000"/>
                <w:sz w:val="21"/>
                <w:szCs w:val="21"/>
              </w:rPr>
            </w:pPr>
          </w:p>
        </w:tc>
        <w:tc>
          <w:tcPr>
            <w:tcW w:w="217" w:type="dxa"/>
          </w:tcPr>
          <w:p w14:paraId="3FACF292" w14:textId="77777777" w:rsidR="002C0FD9" w:rsidRPr="00CA25CF" w:rsidRDefault="002C0FD9" w:rsidP="00CA25CF">
            <w:pPr>
              <w:rPr>
                <w:rFonts w:cs="Arial"/>
                <w:color w:val="FF0000"/>
                <w:sz w:val="21"/>
                <w:szCs w:val="21"/>
              </w:rPr>
            </w:pPr>
          </w:p>
        </w:tc>
        <w:tc>
          <w:tcPr>
            <w:tcW w:w="217" w:type="dxa"/>
          </w:tcPr>
          <w:p w14:paraId="68E28EEC" w14:textId="77777777" w:rsidR="002C0FD9" w:rsidRPr="00CA25CF" w:rsidRDefault="002C0FD9" w:rsidP="00CA25CF">
            <w:pPr>
              <w:rPr>
                <w:rFonts w:cs="Arial"/>
                <w:color w:val="FF0000"/>
                <w:sz w:val="21"/>
                <w:szCs w:val="21"/>
              </w:rPr>
            </w:pPr>
          </w:p>
        </w:tc>
        <w:tc>
          <w:tcPr>
            <w:tcW w:w="217" w:type="dxa"/>
          </w:tcPr>
          <w:p w14:paraId="5691E34D" w14:textId="77777777" w:rsidR="002C0FD9" w:rsidRPr="00CA25CF" w:rsidRDefault="002C0FD9" w:rsidP="00CA25CF">
            <w:pPr>
              <w:rPr>
                <w:rFonts w:cs="Arial"/>
                <w:color w:val="FF0000"/>
                <w:sz w:val="21"/>
                <w:szCs w:val="21"/>
              </w:rPr>
            </w:pPr>
          </w:p>
        </w:tc>
        <w:tc>
          <w:tcPr>
            <w:tcW w:w="217" w:type="dxa"/>
          </w:tcPr>
          <w:p w14:paraId="35C9EC92" w14:textId="77777777" w:rsidR="002C0FD9" w:rsidRPr="00CA25CF" w:rsidRDefault="002C0FD9" w:rsidP="00CA25CF">
            <w:pPr>
              <w:rPr>
                <w:rFonts w:cs="Arial"/>
                <w:color w:val="FF0000"/>
                <w:sz w:val="21"/>
                <w:szCs w:val="21"/>
              </w:rPr>
            </w:pPr>
          </w:p>
        </w:tc>
        <w:tc>
          <w:tcPr>
            <w:tcW w:w="217" w:type="dxa"/>
          </w:tcPr>
          <w:p w14:paraId="1E857096" w14:textId="77777777" w:rsidR="002C0FD9" w:rsidRPr="00CA25CF" w:rsidRDefault="002C0FD9" w:rsidP="00CA25CF">
            <w:pPr>
              <w:rPr>
                <w:rFonts w:cs="Arial"/>
                <w:color w:val="FF0000"/>
                <w:sz w:val="21"/>
                <w:szCs w:val="21"/>
              </w:rPr>
            </w:pPr>
          </w:p>
        </w:tc>
        <w:tc>
          <w:tcPr>
            <w:tcW w:w="217" w:type="dxa"/>
          </w:tcPr>
          <w:p w14:paraId="003CF247" w14:textId="77777777" w:rsidR="002C0FD9" w:rsidRPr="00CA25CF" w:rsidRDefault="002C0FD9" w:rsidP="00CA25CF">
            <w:pPr>
              <w:rPr>
                <w:rFonts w:cs="Arial"/>
                <w:color w:val="FF0000"/>
                <w:sz w:val="21"/>
                <w:szCs w:val="21"/>
              </w:rPr>
            </w:pPr>
          </w:p>
        </w:tc>
        <w:tc>
          <w:tcPr>
            <w:tcW w:w="217" w:type="dxa"/>
          </w:tcPr>
          <w:p w14:paraId="3D2741B8" w14:textId="77777777" w:rsidR="002C0FD9" w:rsidRPr="00CA25CF" w:rsidRDefault="002C0FD9" w:rsidP="00CA25CF">
            <w:pPr>
              <w:rPr>
                <w:rFonts w:cs="Arial"/>
                <w:color w:val="FF0000"/>
                <w:sz w:val="21"/>
                <w:szCs w:val="21"/>
              </w:rPr>
            </w:pPr>
          </w:p>
        </w:tc>
        <w:tc>
          <w:tcPr>
            <w:tcW w:w="217" w:type="dxa"/>
          </w:tcPr>
          <w:p w14:paraId="261104F7" w14:textId="77777777" w:rsidR="002C0FD9" w:rsidRPr="00CA25CF" w:rsidRDefault="002C0FD9" w:rsidP="00CA25CF">
            <w:pPr>
              <w:rPr>
                <w:rFonts w:cs="Arial"/>
                <w:color w:val="FF0000"/>
                <w:sz w:val="21"/>
                <w:szCs w:val="21"/>
              </w:rPr>
            </w:pPr>
          </w:p>
        </w:tc>
        <w:tc>
          <w:tcPr>
            <w:tcW w:w="217" w:type="dxa"/>
          </w:tcPr>
          <w:p w14:paraId="75F846C7" w14:textId="77777777" w:rsidR="002C0FD9" w:rsidRPr="00CA25CF" w:rsidRDefault="002C0FD9" w:rsidP="00CA25CF">
            <w:pPr>
              <w:rPr>
                <w:rFonts w:cs="Arial"/>
                <w:color w:val="FF0000"/>
                <w:sz w:val="21"/>
                <w:szCs w:val="21"/>
              </w:rPr>
            </w:pPr>
          </w:p>
        </w:tc>
        <w:tc>
          <w:tcPr>
            <w:tcW w:w="217" w:type="dxa"/>
          </w:tcPr>
          <w:p w14:paraId="50C03255" w14:textId="77777777" w:rsidR="002C0FD9" w:rsidRPr="00CA25CF" w:rsidRDefault="002C0FD9" w:rsidP="00CA25CF">
            <w:pPr>
              <w:rPr>
                <w:rFonts w:cs="Arial"/>
                <w:color w:val="FF0000"/>
                <w:sz w:val="21"/>
                <w:szCs w:val="21"/>
              </w:rPr>
            </w:pPr>
          </w:p>
        </w:tc>
        <w:tc>
          <w:tcPr>
            <w:tcW w:w="217" w:type="dxa"/>
          </w:tcPr>
          <w:p w14:paraId="7857D23F" w14:textId="77777777" w:rsidR="002C0FD9" w:rsidRPr="00CA25CF" w:rsidRDefault="002C0FD9" w:rsidP="00CA25CF">
            <w:pPr>
              <w:rPr>
                <w:rFonts w:cs="Arial"/>
                <w:color w:val="FF0000"/>
                <w:sz w:val="21"/>
                <w:szCs w:val="21"/>
              </w:rPr>
            </w:pPr>
          </w:p>
        </w:tc>
        <w:tc>
          <w:tcPr>
            <w:tcW w:w="217" w:type="dxa"/>
          </w:tcPr>
          <w:p w14:paraId="5C29C640" w14:textId="77777777" w:rsidR="002C0FD9" w:rsidRPr="00CA25CF" w:rsidRDefault="002C0FD9" w:rsidP="00CA25CF">
            <w:pPr>
              <w:rPr>
                <w:rFonts w:cs="Arial"/>
                <w:color w:val="FF0000"/>
                <w:sz w:val="21"/>
                <w:szCs w:val="21"/>
              </w:rPr>
            </w:pPr>
          </w:p>
        </w:tc>
        <w:tc>
          <w:tcPr>
            <w:tcW w:w="217" w:type="dxa"/>
          </w:tcPr>
          <w:p w14:paraId="49A77FC2" w14:textId="77777777" w:rsidR="002C0FD9" w:rsidRPr="00CA25CF" w:rsidRDefault="002C0FD9" w:rsidP="00CA25CF">
            <w:pPr>
              <w:rPr>
                <w:rFonts w:cs="Arial"/>
                <w:color w:val="FF0000"/>
                <w:sz w:val="21"/>
                <w:szCs w:val="21"/>
              </w:rPr>
            </w:pPr>
          </w:p>
        </w:tc>
      </w:tr>
      <w:tr w:rsidR="002C0FD9" w:rsidRPr="00A16219" w14:paraId="6B4FEF0D" w14:textId="1AA9A775" w:rsidTr="002C0FD9">
        <w:trPr>
          <w:trHeight w:val="635"/>
        </w:trPr>
        <w:tc>
          <w:tcPr>
            <w:tcW w:w="515" w:type="dxa"/>
          </w:tcPr>
          <w:p w14:paraId="7DBFB1DC" w14:textId="77777777" w:rsidR="002C0FD9" w:rsidRPr="00CA25CF" w:rsidRDefault="002C0FD9" w:rsidP="00CA25CF">
            <w:pPr>
              <w:rPr>
                <w:rFonts w:cs="Arial"/>
                <w:color w:val="FF0000"/>
                <w:sz w:val="21"/>
                <w:szCs w:val="21"/>
              </w:rPr>
            </w:pPr>
          </w:p>
        </w:tc>
        <w:tc>
          <w:tcPr>
            <w:tcW w:w="217" w:type="dxa"/>
          </w:tcPr>
          <w:p w14:paraId="5C0D9758" w14:textId="77777777" w:rsidR="002C0FD9" w:rsidRPr="00CA25CF" w:rsidRDefault="002C0FD9" w:rsidP="00CA25CF">
            <w:pPr>
              <w:rPr>
                <w:rFonts w:cs="Arial"/>
                <w:color w:val="FF0000"/>
                <w:sz w:val="21"/>
                <w:szCs w:val="21"/>
              </w:rPr>
            </w:pPr>
          </w:p>
        </w:tc>
        <w:tc>
          <w:tcPr>
            <w:tcW w:w="217" w:type="dxa"/>
          </w:tcPr>
          <w:p w14:paraId="3E173C10" w14:textId="47106C0A" w:rsidR="002C0FD9" w:rsidRPr="00CA25CF" w:rsidRDefault="002C0FD9" w:rsidP="00CA25CF">
            <w:pPr>
              <w:rPr>
                <w:rFonts w:cs="Arial"/>
                <w:color w:val="FF0000"/>
                <w:sz w:val="21"/>
                <w:szCs w:val="21"/>
              </w:rPr>
            </w:pPr>
          </w:p>
        </w:tc>
        <w:tc>
          <w:tcPr>
            <w:tcW w:w="217" w:type="dxa"/>
          </w:tcPr>
          <w:p w14:paraId="1C67F4E0" w14:textId="77777777" w:rsidR="002C0FD9" w:rsidRPr="00CA25CF" w:rsidRDefault="002C0FD9" w:rsidP="00CA25CF">
            <w:pPr>
              <w:rPr>
                <w:rFonts w:cs="Arial"/>
                <w:color w:val="FF0000"/>
                <w:sz w:val="21"/>
                <w:szCs w:val="21"/>
              </w:rPr>
            </w:pPr>
          </w:p>
        </w:tc>
        <w:tc>
          <w:tcPr>
            <w:tcW w:w="217" w:type="dxa"/>
          </w:tcPr>
          <w:p w14:paraId="5B29FEA7" w14:textId="77777777" w:rsidR="002C0FD9" w:rsidRPr="00CA25CF" w:rsidRDefault="002C0FD9" w:rsidP="00CA25CF">
            <w:pPr>
              <w:rPr>
                <w:rFonts w:cs="Arial"/>
                <w:color w:val="FF0000"/>
                <w:sz w:val="21"/>
                <w:szCs w:val="21"/>
              </w:rPr>
            </w:pPr>
          </w:p>
        </w:tc>
        <w:tc>
          <w:tcPr>
            <w:tcW w:w="217" w:type="dxa"/>
          </w:tcPr>
          <w:p w14:paraId="751B3F3B" w14:textId="77777777" w:rsidR="002C0FD9" w:rsidRPr="00CA25CF" w:rsidRDefault="002C0FD9" w:rsidP="00CA25CF">
            <w:pPr>
              <w:rPr>
                <w:rFonts w:cs="Arial"/>
                <w:color w:val="FF0000"/>
                <w:sz w:val="21"/>
                <w:szCs w:val="21"/>
              </w:rPr>
            </w:pPr>
          </w:p>
        </w:tc>
        <w:tc>
          <w:tcPr>
            <w:tcW w:w="217" w:type="dxa"/>
          </w:tcPr>
          <w:p w14:paraId="3155B039" w14:textId="77777777" w:rsidR="002C0FD9" w:rsidRPr="00CA25CF" w:rsidRDefault="002C0FD9" w:rsidP="00CA25CF">
            <w:pPr>
              <w:rPr>
                <w:rFonts w:cs="Arial"/>
                <w:color w:val="FF0000"/>
                <w:sz w:val="21"/>
                <w:szCs w:val="21"/>
              </w:rPr>
            </w:pPr>
          </w:p>
        </w:tc>
        <w:tc>
          <w:tcPr>
            <w:tcW w:w="217" w:type="dxa"/>
          </w:tcPr>
          <w:p w14:paraId="3F5642DD" w14:textId="77777777" w:rsidR="002C0FD9" w:rsidRPr="00CA25CF" w:rsidRDefault="002C0FD9" w:rsidP="00CA25CF">
            <w:pPr>
              <w:rPr>
                <w:rFonts w:cs="Arial"/>
                <w:color w:val="FF0000"/>
                <w:sz w:val="21"/>
                <w:szCs w:val="21"/>
              </w:rPr>
            </w:pPr>
          </w:p>
        </w:tc>
        <w:tc>
          <w:tcPr>
            <w:tcW w:w="217" w:type="dxa"/>
          </w:tcPr>
          <w:p w14:paraId="63D83A81" w14:textId="77777777" w:rsidR="002C0FD9" w:rsidRPr="00CA25CF" w:rsidRDefault="002C0FD9" w:rsidP="00CA25CF">
            <w:pPr>
              <w:rPr>
                <w:rFonts w:cs="Arial"/>
                <w:color w:val="FF0000"/>
                <w:sz w:val="21"/>
                <w:szCs w:val="21"/>
              </w:rPr>
            </w:pPr>
          </w:p>
        </w:tc>
        <w:tc>
          <w:tcPr>
            <w:tcW w:w="217" w:type="dxa"/>
          </w:tcPr>
          <w:p w14:paraId="79495EF8" w14:textId="77777777" w:rsidR="002C0FD9" w:rsidRPr="00CA25CF" w:rsidRDefault="002C0FD9" w:rsidP="00CA25CF">
            <w:pPr>
              <w:rPr>
                <w:rFonts w:cs="Arial"/>
                <w:color w:val="FF0000"/>
                <w:sz w:val="21"/>
                <w:szCs w:val="21"/>
              </w:rPr>
            </w:pPr>
          </w:p>
        </w:tc>
        <w:tc>
          <w:tcPr>
            <w:tcW w:w="217" w:type="dxa"/>
          </w:tcPr>
          <w:p w14:paraId="0ECD56D1" w14:textId="77777777" w:rsidR="002C0FD9" w:rsidRPr="00CA25CF" w:rsidRDefault="002C0FD9" w:rsidP="00CA25CF">
            <w:pPr>
              <w:rPr>
                <w:rFonts w:cs="Arial"/>
                <w:color w:val="FF0000"/>
                <w:sz w:val="21"/>
                <w:szCs w:val="21"/>
              </w:rPr>
            </w:pPr>
          </w:p>
        </w:tc>
        <w:tc>
          <w:tcPr>
            <w:tcW w:w="217" w:type="dxa"/>
          </w:tcPr>
          <w:p w14:paraId="76885A07" w14:textId="77777777" w:rsidR="002C0FD9" w:rsidRPr="00CA25CF" w:rsidRDefault="002C0FD9" w:rsidP="00CA25CF">
            <w:pPr>
              <w:rPr>
                <w:rFonts w:cs="Arial"/>
                <w:color w:val="FF0000"/>
                <w:sz w:val="21"/>
                <w:szCs w:val="21"/>
              </w:rPr>
            </w:pPr>
          </w:p>
        </w:tc>
        <w:tc>
          <w:tcPr>
            <w:tcW w:w="217" w:type="dxa"/>
          </w:tcPr>
          <w:p w14:paraId="67F2B108" w14:textId="77777777" w:rsidR="002C0FD9" w:rsidRPr="00CA25CF" w:rsidRDefault="002C0FD9" w:rsidP="00CA25CF">
            <w:pPr>
              <w:rPr>
                <w:rFonts w:cs="Arial"/>
                <w:color w:val="FF0000"/>
                <w:sz w:val="21"/>
                <w:szCs w:val="21"/>
              </w:rPr>
            </w:pPr>
          </w:p>
        </w:tc>
        <w:tc>
          <w:tcPr>
            <w:tcW w:w="217" w:type="dxa"/>
          </w:tcPr>
          <w:p w14:paraId="647E6EB9" w14:textId="77777777" w:rsidR="002C0FD9" w:rsidRPr="00CA25CF" w:rsidRDefault="002C0FD9" w:rsidP="00CA25CF">
            <w:pPr>
              <w:rPr>
                <w:rFonts w:cs="Arial"/>
                <w:color w:val="FF0000"/>
                <w:sz w:val="21"/>
                <w:szCs w:val="21"/>
              </w:rPr>
            </w:pPr>
          </w:p>
        </w:tc>
        <w:tc>
          <w:tcPr>
            <w:tcW w:w="217" w:type="dxa"/>
          </w:tcPr>
          <w:p w14:paraId="616AA1D8" w14:textId="77777777" w:rsidR="002C0FD9" w:rsidRPr="00CA25CF" w:rsidRDefault="002C0FD9" w:rsidP="00CA25CF">
            <w:pPr>
              <w:rPr>
                <w:rFonts w:cs="Arial"/>
                <w:color w:val="FF0000"/>
                <w:sz w:val="21"/>
                <w:szCs w:val="21"/>
              </w:rPr>
            </w:pPr>
          </w:p>
        </w:tc>
        <w:tc>
          <w:tcPr>
            <w:tcW w:w="217" w:type="dxa"/>
          </w:tcPr>
          <w:p w14:paraId="7C9BDD51" w14:textId="478C1396" w:rsidR="002C0FD9" w:rsidRPr="00CA25CF" w:rsidRDefault="002C0FD9" w:rsidP="00CA25CF">
            <w:pPr>
              <w:rPr>
                <w:rFonts w:cs="Arial"/>
                <w:color w:val="FF0000"/>
                <w:sz w:val="21"/>
                <w:szCs w:val="21"/>
              </w:rPr>
            </w:pPr>
          </w:p>
        </w:tc>
        <w:tc>
          <w:tcPr>
            <w:tcW w:w="217" w:type="dxa"/>
          </w:tcPr>
          <w:p w14:paraId="02866584" w14:textId="77777777" w:rsidR="002C0FD9" w:rsidRPr="00CA25CF" w:rsidRDefault="002C0FD9" w:rsidP="00CA25CF">
            <w:pPr>
              <w:rPr>
                <w:rFonts w:cs="Arial"/>
                <w:color w:val="FF0000"/>
                <w:sz w:val="21"/>
                <w:szCs w:val="21"/>
              </w:rPr>
            </w:pPr>
          </w:p>
        </w:tc>
        <w:tc>
          <w:tcPr>
            <w:tcW w:w="217" w:type="dxa"/>
          </w:tcPr>
          <w:p w14:paraId="78F11A71" w14:textId="77777777" w:rsidR="002C0FD9" w:rsidRPr="00CA25CF" w:rsidRDefault="002C0FD9" w:rsidP="00CA25CF">
            <w:pPr>
              <w:rPr>
                <w:rFonts w:cs="Arial"/>
                <w:color w:val="FF0000"/>
                <w:sz w:val="21"/>
                <w:szCs w:val="21"/>
              </w:rPr>
            </w:pPr>
          </w:p>
        </w:tc>
        <w:tc>
          <w:tcPr>
            <w:tcW w:w="217" w:type="dxa"/>
          </w:tcPr>
          <w:p w14:paraId="549068AC" w14:textId="77777777" w:rsidR="002C0FD9" w:rsidRPr="00CA25CF" w:rsidRDefault="002C0FD9" w:rsidP="00CA25CF">
            <w:pPr>
              <w:rPr>
                <w:rFonts w:cs="Arial"/>
                <w:color w:val="FF0000"/>
                <w:sz w:val="21"/>
                <w:szCs w:val="21"/>
              </w:rPr>
            </w:pPr>
          </w:p>
        </w:tc>
        <w:tc>
          <w:tcPr>
            <w:tcW w:w="217" w:type="dxa"/>
          </w:tcPr>
          <w:p w14:paraId="430C7669" w14:textId="77777777" w:rsidR="002C0FD9" w:rsidRPr="00CA25CF" w:rsidRDefault="002C0FD9" w:rsidP="00CA25CF">
            <w:pPr>
              <w:rPr>
                <w:rFonts w:cs="Arial"/>
                <w:color w:val="FF0000"/>
                <w:sz w:val="21"/>
                <w:szCs w:val="21"/>
              </w:rPr>
            </w:pPr>
          </w:p>
        </w:tc>
        <w:tc>
          <w:tcPr>
            <w:tcW w:w="217" w:type="dxa"/>
          </w:tcPr>
          <w:p w14:paraId="50277183" w14:textId="77777777" w:rsidR="002C0FD9" w:rsidRPr="00CA25CF" w:rsidRDefault="002C0FD9" w:rsidP="00CA25CF">
            <w:pPr>
              <w:rPr>
                <w:rFonts w:cs="Arial"/>
                <w:color w:val="FF0000"/>
                <w:sz w:val="21"/>
                <w:szCs w:val="21"/>
              </w:rPr>
            </w:pPr>
          </w:p>
        </w:tc>
        <w:tc>
          <w:tcPr>
            <w:tcW w:w="217" w:type="dxa"/>
          </w:tcPr>
          <w:p w14:paraId="143A807D" w14:textId="77777777" w:rsidR="002C0FD9" w:rsidRPr="00CA25CF" w:rsidRDefault="002C0FD9" w:rsidP="00CA25CF">
            <w:pPr>
              <w:rPr>
                <w:rFonts w:cs="Arial"/>
                <w:color w:val="FF0000"/>
                <w:sz w:val="21"/>
                <w:szCs w:val="21"/>
              </w:rPr>
            </w:pPr>
          </w:p>
        </w:tc>
        <w:tc>
          <w:tcPr>
            <w:tcW w:w="217" w:type="dxa"/>
          </w:tcPr>
          <w:p w14:paraId="7989FE5B" w14:textId="77777777" w:rsidR="002C0FD9" w:rsidRPr="00CA25CF" w:rsidRDefault="002C0FD9" w:rsidP="00CA25CF">
            <w:pPr>
              <w:rPr>
                <w:rFonts w:cs="Arial"/>
                <w:color w:val="FF0000"/>
                <w:sz w:val="21"/>
                <w:szCs w:val="21"/>
              </w:rPr>
            </w:pPr>
          </w:p>
        </w:tc>
        <w:tc>
          <w:tcPr>
            <w:tcW w:w="217" w:type="dxa"/>
          </w:tcPr>
          <w:p w14:paraId="3DEFD482" w14:textId="77777777" w:rsidR="002C0FD9" w:rsidRPr="00CA25CF" w:rsidRDefault="002C0FD9" w:rsidP="00CA25CF">
            <w:pPr>
              <w:rPr>
                <w:rFonts w:cs="Arial"/>
                <w:color w:val="FF0000"/>
                <w:sz w:val="21"/>
                <w:szCs w:val="21"/>
              </w:rPr>
            </w:pPr>
          </w:p>
        </w:tc>
        <w:tc>
          <w:tcPr>
            <w:tcW w:w="217" w:type="dxa"/>
          </w:tcPr>
          <w:p w14:paraId="34B844D6" w14:textId="77777777" w:rsidR="002C0FD9" w:rsidRPr="00CA25CF" w:rsidRDefault="002C0FD9" w:rsidP="00CA25CF">
            <w:pPr>
              <w:rPr>
                <w:rFonts w:cs="Arial"/>
                <w:color w:val="FF0000"/>
                <w:sz w:val="21"/>
                <w:szCs w:val="21"/>
              </w:rPr>
            </w:pPr>
          </w:p>
        </w:tc>
        <w:tc>
          <w:tcPr>
            <w:tcW w:w="217" w:type="dxa"/>
          </w:tcPr>
          <w:p w14:paraId="1C3595C5" w14:textId="77777777" w:rsidR="002C0FD9" w:rsidRPr="00CA25CF" w:rsidRDefault="002C0FD9" w:rsidP="00CA25CF">
            <w:pPr>
              <w:rPr>
                <w:rFonts w:cs="Arial"/>
                <w:color w:val="FF0000"/>
                <w:sz w:val="21"/>
                <w:szCs w:val="21"/>
              </w:rPr>
            </w:pPr>
          </w:p>
        </w:tc>
        <w:tc>
          <w:tcPr>
            <w:tcW w:w="217" w:type="dxa"/>
          </w:tcPr>
          <w:p w14:paraId="4EBF59BE" w14:textId="77777777" w:rsidR="002C0FD9" w:rsidRPr="00CA25CF" w:rsidRDefault="002C0FD9" w:rsidP="00CA25CF">
            <w:pPr>
              <w:rPr>
                <w:rFonts w:cs="Arial"/>
                <w:color w:val="FF0000"/>
                <w:sz w:val="21"/>
                <w:szCs w:val="21"/>
              </w:rPr>
            </w:pPr>
          </w:p>
        </w:tc>
        <w:tc>
          <w:tcPr>
            <w:tcW w:w="217" w:type="dxa"/>
          </w:tcPr>
          <w:p w14:paraId="1DE2AA30" w14:textId="77777777" w:rsidR="002C0FD9" w:rsidRPr="00CA25CF" w:rsidRDefault="002C0FD9" w:rsidP="00CA25CF">
            <w:pPr>
              <w:rPr>
                <w:rFonts w:cs="Arial"/>
                <w:color w:val="FF0000"/>
                <w:sz w:val="21"/>
                <w:szCs w:val="21"/>
              </w:rPr>
            </w:pPr>
          </w:p>
        </w:tc>
        <w:tc>
          <w:tcPr>
            <w:tcW w:w="217" w:type="dxa"/>
          </w:tcPr>
          <w:p w14:paraId="1BA7B6F3" w14:textId="77777777" w:rsidR="002C0FD9" w:rsidRPr="00CA25CF" w:rsidRDefault="002C0FD9" w:rsidP="00CA25CF">
            <w:pPr>
              <w:rPr>
                <w:rFonts w:cs="Arial"/>
                <w:color w:val="FF0000"/>
                <w:sz w:val="21"/>
                <w:szCs w:val="21"/>
              </w:rPr>
            </w:pPr>
          </w:p>
        </w:tc>
        <w:tc>
          <w:tcPr>
            <w:tcW w:w="217" w:type="dxa"/>
          </w:tcPr>
          <w:p w14:paraId="0C225502" w14:textId="77777777" w:rsidR="002C0FD9" w:rsidRPr="00CA25CF" w:rsidRDefault="002C0FD9" w:rsidP="00CA25CF">
            <w:pPr>
              <w:rPr>
                <w:rFonts w:cs="Arial"/>
                <w:color w:val="FF0000"/>
                <w:sz w:val="21"/>
                <w:szCs w:val="21"/>
              </w:rPr>
            </w:pPr>
          </w:p>
        </w:tc>
        <w:tc>
          <w:tcPr>
            <w:tcW w:w="217" w:type="dxa"/>
          </w:tcPr>
          <w:p w14:paraId="1C23E134" w14:textId="77777777" w:rsidR="002C0FD9" w:rsidRPr="00CA25CF" w:rsidRDefault="002C0FD9" w:rsidP="00CA25CF">
            <w:pPr>
              <w:rPr>
                <w:rFonts w:cs="Arial"/>
                <w:color w:val="FF0000"/>
                <w:sz w:val="21"/>
                <w:szCs w:val="21"/>
              </w:rPr>
            </w:pPr>
          </w:p>
        </w:tc>
        <w:tc>
          <w:tcPr>
            <w:tcW w:w="217" w:type="dxa"/>
          </w:tcPr>
          <w:p w14:paraId="27835990" w14:textId="77777777" w:rsidR="002C0FD9" w:rsidRPr="00CA25CF" w:rsidRDefault="002C0FD9" w:rsidP="00CA25CF">
            <w:pPr>
              <w:rPr>
                <w:rFonts w:cs="Arial"/>
                <w:color w:val="FF0000"/>
                <w:sz w:val="21"/>
                <w:szCs w:val="21"/>
              </w:rPr>
            </w:pPr>
          </w:p>
        </w:tc>
        <w:tc>
          <w:tcPr>
            <w:tcW w:w="217" w:type="dxa"/>
          </w:tcPr>
          <w:p w14:paraId="750FC2B3" w14:textId="77777777" w:rsidR="002C0FD9" w:rsidRPr="00CA25CF" w:rsidRDefault="002C0FD9" w:rsidP="00CA25CF">
            <w:pPr>
              <w:rPr>
                <w:rFonts w:cs="Arial"/>
                <w:color w:val="FF0000"/>
                <w:sz w:val="21"/>
                <w:szCs w:val="21"/>
              </w:rPr>
            </w:pPr>
          </w:p>
        </w:tc>
        <w:tc>
          <w:tcPr>
            <w:tcW w:w="217" w:type="dxa"/>
          </w:tcPr>
          <w:p w14:paraId="78AD419D" w14:textId="77777777" w:rsidR="002C0FD9" w:rsidRPr="00CA25CF" w:rsidRDefault="002C0FD9" w:rsidP="00CA25CF">
            <w:pPr>
              <w:rPr>
                <w:rFonts w:cs="Arial"/>
                <w:color w:val="FF0000"/>
                <w:sz w:val="21"/>
                <w:szCs w:val="21"/>
              </w:rPr>
            </w:pPr>
          </w:p>
        </w:tc>
        <w:tc>
          <w:tcPr>
            <w:tcW w:w="217" w:type="dxa"/>
          </w:tcPr>
          <w:p w14:paraId="29BB1627" w14:textId="77777777" w:rsidR="002C0FD9" w:rsidRPr="00CA25CF" w:rsidRDefault="002C0FD9" w:rsidP="00CA25CF">
            <w:pPr>
              <w:rPr>
                <w:rFonts w:cs="Arial"/>
                <w:color w:val="FF0000"/>
                <w:sz w:val="21"/>
                <w:szCs w:val="21"/>
              </w:rPr>
            </w:pPr>
          </w:p>
        </w:tc>
        <w:tc>
          <w:tcPr>
            <w:tcW w:w="217" w:type="dxa"/>
          </w:tcPr>
          <w:p w14:paraId="094DA239" w14:textId="77777777" w:rsidR="002C0FD9" w:rsidRPr="00CA25CF" w:rsidRDefault="002C0FD9" w:rsidP="00CA25CF">
            <w:pPr>
              <w:rPr>
                <w:rFonts w:cs="Arial"/>
                <w:color w:val="FF0000"/>
                <w:sz w:val="21"/>
                <w:szCs w:val="21"/>
              </w:rPr>
            </w:pPr>
          </w:p>
        </w:tc>
        <w:tc>
          <w:tcPr>
            <w:tcW w:w="217" w:type="dxa"/>
          </w:tcPr>
          <w:p w14:paraId="02552633" w14:textId="77777777" w:rsidR="002C0FD9" w:rsidRPr="00CA25CF" w:rsidRDefault="002C0FD9" w:rsidP="00CA25CF">
            <w:pPr>
              <w:rPr>
                <w:rFonts w:cs="Arial"/>
                <w:color w:val="FF0000"/>
                <w:sz w:val="21"/>
                <w:szCs w:val="21"/>
              </w:rPr>
            </w:pPr>
          </w:p>
        </w:tc>
        <w:tc>
          <w:tcPr>
            <w:tcW w:w="217" w:type="dxa"/>
          </w:tcPr>
          <w:p w14:paraId="17A71C91" w14:textId="77777777" w:rsidR="002C0FD9" w:rsidRPr="00CA25CF" w:rsidRDefault="002C0FD9" w:rsidP="00CA25CF">
            <w:pPr>
              <w:rPr>
                <w:rFonts w:cs="Arial"/>
                <w:color w:val="FF0000"/>
                <w:sz w:val="21"/>
                <w:szCs w:val="21"/>
              </w:rPr>
            </w:pPr>
          </w:p>
        </w:tc>
        <w:tc>
          <w:tcPr>
            <w:tcW w:w="217" w:type="dxa"/>
          </w:tcPr>
          <w:p w14:paraId="00FF9656" w14:textId="77777777" w:rsidR="002C0FD9" w:rsidRPr="00CA25CF" w:rsidRDefault="002C0FD9" w:rsidP="00CA25CF">
            <w:pPr>
              <w:rPr>
                <w:rFonts w:cs="Arial"/>
                <w:color w:val="FF0000"/>
                <w:sz w:val="21"/>
                <w:szCs w:val="21"/>
              </w:rPr>
            </w:pPr>
          </w:p>
        </w:tc>
        <w:tc>
          <w:tcPr>
            <w:tcW w:w="217" w:type="dxa"/>
          </w:tcPr>
          <w:p w14:paraId="68371970" w14:textId="77777777" w:rsidR="002C0FD9" w:rsidRPr="00CA25CF" w:rsidRDefault="002C0FD9" w:rsidP="00CA25CF">
            <w:pPr>
              <w:rPr>
                <w:rFonts w:cs="Arial"/>
                <w:color w:val="FF0000"/>
                <w:sz w:val="21"/>
                <w:szCs w:val="21"/>
              </w:rPr>
            </w:pPr>
          </w:p>
        </w:tc>
        <w:tc>
          <w:tcPr>
            <w:tcW w:w="217" w:type="dxa"/>
          </w:tcPr>
          <w:p w14:paraId="24D7C05F" w14:textId="77777777" w:rsidR="002C0FD9" w:rsidRPr="00CA25CF" w:rsidRDefault="002C0FD9" w:rsidP="00CA25CF">
            <w:pPr>
              <w:rPr>
                <w:rFonts w:cs="Arial"/>
                <w:color w:val="FF0000"/>
                <w:sz w:val="21"/>
                <w:szCs w:val="21"/>
              </w:rPr>
            </w:pPr>
          </w:p>
        </w:tc>
        <w:tc>
          <w:tcPr>
            <w:tcW w:w="217" w:type="dxa"/>
          </w:tcPr>
          <w:p w14:paraId="03FBC3EC" w14:textId="77777777" w:rsidR="002C0FD9" w:rsidRPr="00CA25CF" w:rsidRDefault="002C0FD9" w:rsidP="00CA25CF">
            <w:pPr>
              <w:rPr>
                <w:rFonts w:cs="Arial"/>
                <w:color w:val="FF0000"/>
                <w:sz w:val="21"/>
                <w:szCs w:val="21"/>
              </w:rPr>
            </w:pPr>
          </w:p>
        </w:tc>
        <w:tc>
          <w:tcPr>
            <w:tcW w:w="217" w:type="dxa"/>
          </w:tcPr>
          <w:p w14:paraId="6C97EC2E" w14:textId="77777777" w:rsidR="002C0FD9" w:rsidRPr="00CA25CF" w:rsidRDefault="002C0FD9" w:rsidP="00CA25CF">
            <w:pPr>
              <w:rPr>
                <w:rFonts w:cs="Arial"/>
                <w:color w:val="FF0000"/>
                <w:sz w:val="21"/>
                <w:szCs w:val="21"/>
              </w:rPr>
            </w:pPr>
          </w:p>
        </w:tc>
      </w:tr>
      <w:tr w:rsidR="002C0FD9" w:rsidRPr="00A16219" w14:paraId="49573FE6" w14:textId="3DE06F46" w:rsidTr="002C0FD9">
        <w:trPr>
          <w:trHeight w:val="635"/>
        </w:trPr>
        <w:tc>
          <w:tcPr>
            <w:tcW w:w="515" w:type="dxa"/>
          </w:tcPr>
          <w:p w14:paraId="7492AC99" w14:textId="77777777" w:rsidR="002C0FD9" w:rsidRPr="00CA25CF" w:rsidRDefault="002C0FD9" w:rsidP="00CA25CF">
            <w:pPr>
              <w:rPr>
                <w:rFonts w:cs="Arial"/>
                <w:color w:val="FF0000"/>
                <w:sz w:val="21"/>
                <w:szCs w:val="21"/>
              </w:rPr>
            </w:pPr>
          </w:p>
        </w:tc>
        <w:tc>
          <w:tcPr>
            <w:tcW w:w="217" w:type="dxa"/>
          </w:tcPr>
          <w:p w14:paraId="27E40DB6" w14:textId="77777777" w:rsidR="002C0FD9" w:rsidRPr="00CA25CF" w:rsidRDefault="002C0FD9" w:rsidP="00CA25CF">
            <w:pPr>
              <w:rPr>
                <w:rFonts w:cs="Arial"/>
                <w:color w:val="FF0000"/>
                <w:sz w:val="21"/>
                <w:szCs w:val="21"/>
              </w:rPr>
            </w:pPr>
          </w:p>
        </w:tc>
        <w:tc>
          <w:tcPr>
            <w:tcW w:w="217" w:type="dxa"/>
          </w:tcPr>
          <w:p w14:paraId="39F4528F" w14:textId="70668408" w:rsidR="002C0FD9" w:rsidRPr="00CA25CF" w:rsidRDefault="002C0FD9" w:rsidP="00CA25CF">
            <w:pPr>
              <w:rPr>
                <w:rFonts w:cs="Arial"/>
                <w:color w:val="FF0000"/>
                <w:sz w:val="21"/>
                <w:szCs w:val="21"/>
              </w:rPr>
            </w:pPr>
          </w:p>
        </w:tc>
        <w:tc>
          <w:tcPr>
            <w:tcW w:w="217" w:type="dxa"/>
          </w:tcPr>
          <w:p w14:paraId="6D0FFDDB" w14:textId="77777777" w:rsidR="002C0FD9" w:rsidRPr="00CA25CF" w:rsidRDefault="002C0FD9" w:rsidP="00CA25CF">
            <w:pPr>
              <w:rPr>
                <w:rFonts w:cs="Arial"/>
                <w:color w:val="FF0000"/>
                <w:sz w:val="21"/>
                <w:szCs w:val="21"/>
              </w:rPr>
            </w:pPr>
          </w:p>
        </w:tc>
        <w:tc>
          <w:tcPr>
            <w:tcW w:w="217" w:type="dxa"/>
          </w:tcPr>
          <w:p w14:paraId="198AA675" w14:textId="77777777" w:rsidR="002C0FD9" w:rsidRPr="00CA25CF" w:rsidRDefault="002C0FD9" w:rsidP="00CA25CF">
            <w:pPr>
              <w:rPr>
                <w:rFonts w:cs="Arial"/>
                <w:color w:val="FF0000"/>
                <w:sz w:val="21"/>
                <w:szCs w:val="21"/>
              </w:rPr>
            </w:pPr>
          </w:p>
        </w:tc>
        <w:tc>
          <w:tcPr>
            <w:tcW w:w="217" w:type="dxa"/>
          </w:tcPr>
          <w:p w14:paraId="77209F8E" w14:textId="77777777" w:rsidR="002C0FD9" w:rsidRPr="00CA25CF" w:rsidRDefault="002C0FD9" w:rsidP="00CA25CF">
            <w:pPr>
              <w:rPr>
                <w:rFonts w:cs="Arial"/>
                <w:color w:val="FF0000"/>
                <w:sz w:val="21"/>
                <w:szCs w:val="21"/>
              </w:rPr>
            </w:pPr>
          </w:p>
        </w:tc>
        <w:tc>
          <w:tcPr>
            <w:tcW w:w="217" w:type="dxa"/>
          </w:tcPr>
          <w:p w14:paraId="39960E9C" w14:textId="77777777" w:rsidR="002C0FD9" w:rsidRPr="00CA25CF" w:rsidRDefault="002C0FD9" w:rsidP="00CA25CF">
            <w:pPr>
              <w:rPr>
                <w:rFonts w:cs="Arial"/>
                <w:color w:val="FF0000"/>
                <w:sz w:val="21"/>
                <w:szCs w:val="21"/>
              </w:rPr>
            </w:pPr>
          </w:p>
        </w:tc>
        <w:tc>
          <w:tcPr>
            <w:tcW w:w="217" w:type="dxa"/>
          </w:tcPr>
          <w:p w14:paraId="4CBB5275" w14:textId="77777777" w:rsidR="002C0FD9" w:rsidRPr="00CA25CF" w:rsidRDefault="002C0FD9" w:rsidP="00CA25CF">
            <w:pPr>
              <w:rPr>
                <w:rFonts w:cs="Arial"/>
                <w:color w:val="FF0000"/>
                <w:sz w:val="21"/>
                <w:szCs w:val="21"/>
              </w:rPr>
            </w:pPr>
          </w:p>
        </w:tc>
        <w:tc>
          <w:tcPr>
            <w:tcW w:w="217" w:type="dxa"/>
          </w:tcPr>
          <w:p w14:paraId="5EE87CA1" w14:textId="77777777" w:rsidR="002C0FD9" w:rsidRPr="00CA25CF" w:rsidRDefault="002C0FD9" w:rsidP="00CA25CF">
            <w:pPr>
              <w:rPr>
                <w:rFonts w:cs="Arial"/>
                <w:color w:val="FF0000"/>
                <w:sz w:val="21"/>
                <w:szCs w:val="21"/>
              </w:rPr>
            </w:pPr>
          </w:p>
        </w:tc>
        <w:tc>
          <w:tcPr>
            <w:tcW w:w="217" w:type="dxa"/>
          </w:tcPr>
          <w:p w14:paraId="18022726" w14:textId="77777777" w:rsidR="002C0FD9" w:rsidRPr="00CA25CF" w:rsidRDefault="002C0FD9" w:rsidP="00CA25CF">
            <w:pPr>
              <w:rPr>
                <w:rFonts w:cs="Arial"/>
                <w:color w:val="FF0000"/>
                <w:sz w:val="21"/>
                <w:szCs w:val="21"/>
              </w:rPr>
            </w:pPr>
          </w:p>
        </w:tc>
        <w:tc>
          <w:tcPr>
            <w:tcW w:w="217" w:type="dxa"/>
          </w:tcPr>
          <w:p w14:paraId="25A49D8B" w14:textId="77777777" w:rsidR="002C0FD9" w:rsidRPr="00CA25CF" w:rsidRDefault="002C0FD9" w:rsidP="00CA25CF">
            <w:pPr>
              <w:rPr>
                <w:rFonts w:cs="Arial"/>
                <w:color w:val="FF0000"/>
                <w:sz w:val="21"/>
                <w:szCs w:val="21"/>
              </w:rPr>
            </w:pPr>
          </w:p>
        </w:tc>
        <w:tc>
          <w:tcPr>
            <w:tcW w:w="217" w:type="dxa"/>
          </w:tcPr>
          <w:p w14:paraId="373CB4F0" w14:textId="77777777" w:rsidR="002C0FD9" w:rsidRPr="00CA25CF" w:rsidRDefault="002C0FD9" w:rsidP="00CA25CF">
            <w:pPr>
              <w:rPr>
                <w:rFonts w:cs="Arial"/>
                <w:color w:val="FF0000"/>
                <w:sz w:val="21"/>
                <w:szCs w:val="21"/>
              </w:rPr>
            </w:pPr>
          </w:p>
        </w:tc>
        <w:tc>
          <w:tcPr>
            <w:tcW w:w="217" w:type="dxa"/>
          </w:tcPr>
          <w:p w14:paraId="2EF6340E" w14:textId="77777777" w:rsidR="002C0FD9" w:rsidRPr="00CA25CF" w:rsidRDefault="002C0FD9" w:rsidP="00CA25CF">
            <w:pPr>
              <w:rPr>
                <w:rFonts w:cs="Arial"/>
                <w:color w:val="FF0000"/>
                <w:sz w:val="21"/>
                <w:szCs w:val="21"/>
              </w:rPr>
            </w:pPr>
          </w:p>
        </w:tc>
        <w:tc>
          <w:tcPr>
            <w:tcW w:w="217" w:type="dxa"/>
          </w:tcPr>
          <w:p w14:paraId="3637C0E6" w14:textId="77777777" w:rsidR="002C0FD9" w:rsidRPr="00CA25CF" w:rsidRDefault="002C0FD9" w:rsidP="00CA25CF">
            <w:pPr>
              <w:rPr>
                <w:rFonts w:cs="Arial"/>
                <w:color w:val="FF0000"/>
                <w:sz w:val="21"/>
                <w:szCs w:val="21"/>
              </w:rPr>
            </w:pPr>
          </w:p>
        </w:tc>
        <w:tc>
          <w:tcPr>
            <w:tcW w:w="217" w:type="dxa"/>
          </w:tcPr>
          <w:p w14:paraId="13EFF9CB" w14:textId="77777777" w:rsidR="002C0FD9" w:rsidRPr="00CA25CF" w:rsidRDefault="002C0FD9" w:rsidP="00CA25CF">
            <w:pPr>
              <w:rPr>
                <w:rFonts w:cs="Arial"/>
                <w:color w:val="FF0000"/>
                <w:sz w:val="21"/>
                <w:szCs w:val="21"/>
              </w:rPr>
            </w:pPr>
          </w:p>
        </w:tc>
        <w:tc>
          <w:tcPr>
            <w:tcW w:w="217" w:type="dxa"/>
          </w:tcPr>
          <w:p w14:paraId="0728C565" w14:textId="40E2FBF3" w:rsidR="002C0FD9" w:rsidRPr="00CA25CF" w:rsidRDefault="002C0FD9" w:rsidP="00CA25CF">
            <w:pPr>
              <w:rPr>
                <w:rFonts w:cs="Arial"/>
                <w:color w:val="FF0000"/>
                <w:sz w:val="21"/>
                <w:szCs w:val="21"/>
              </w:rPr>
            </w:pPr>
          </w:p>
        </w:tc>
        <w:tc>
          <w:tcPr>
            <w:tcW w:w="217" w:type="dxa"/>
          </w:tcPr>
          <w:p w14:paraId="422956C2" w14:textId="77777777" w:rsidR="002C0FD9" w:rsidRPr="00CA25CF" w:rsidRDefault="002C0FD9" w:rsidP="00CA25CF">
            <w:pPr>
              <w:rPr>
                <w:rFonts w:cs="Arial"/>
                <w:color w:val="FF0000"/>
                <w:sz w:val="21"/>
                <w:szCs w:val="21"/>
              </w:rPr>
            </w:pPr>
          </w:p>
        </w:tc>
        <w:tc>
          <w:tcPr>
            <w:tcW w:w="217" w:type="dxa"/>
          </w:tcPr>
          <w:p w14:paraId="46F22A9D" w14:textId="77777777" w:rsidR="002C0FD9" w:rsidRPr="00CA25CF" w:rsidRDefault="002C0FD9" w:rsidP="00CA25CF">
            <w:pPr>
              <w:rPr>
                <w:rFonts w:cs="Arial"/>
                <w:color w:val="FF0000"/>
                <w:sz w:val="21"/>
                <w:szCs w:val="21"/>
              </w:rPr>
            </w:pPr>
          </w:p>
        </w:tc>
        <w:tc>
          <w:tcPr>
            <w:tcW w:w="217" w:type="dxa"/>
          </w:tcPr>
          <w:p w14:paraId="5359B694" w14:textId="77777777" w:rsidR="002C0FD9" w:rsidRPr="00CA25CF" w:rsidRDefault="002C0FD9" w:rsidP="00CA25CF">
            <w:pPr>
              <w:rPr>
                <w:rFonts w:cs="Arial"/>
                <w:color w:val="FF0000"/>
                <w:sz w:val="21"/>
                <w:szCs w:val="21"/>
              </w:rPr>
            </w:pPr>
          </w:p>
        </w:tc>
        <w:tc>
          <w:tcPr>
            <w:tcW w:w="217" w:type="dxa"/>
          </w:tcPr>
          <w:p w14:paraId="33BE3B09" w14:textId="77777777" w:rsidR="002C0FD9" w:rsidRPr="00CA25CF" w:rsidRDefault="002C0FD9" w:rsidP="00CA25CF">
            <w:pPr>
              <w:rPr>
                <w:rFonts w:cs="Arial"/>
                <w:color w:val="FF0000"/>
                <w:sz w:val="21"/>
                <w:szCs w:val="21"/>
              </w:rPr>
            </w:pPr>
          </w:p>
        </w:tc>
        <w:tc>
          <w:tcPr>
            <w:tcW w:w="217" w:type="dxa"/>
          </w:tcPr>
          <w:p w14:paraId="23EB97FF" w14:textId="77777777" w:rsidR="002C0FD9" w:rsidRPr="00CA25CF" w:rsidRDefault="002C0FD9" w:rsidP="00CA25CF">
            <w:pPr>
              <w:rPr>
                <w:rFonts w:cs="Arial"/>
                <w:color w:val="FF0000"/>
                <w:sz w:val="21"/>
                <w:szCs w:val="21"/>
              </w:rPr>
            </w:pPr>
          </w:p>
        </w:tc>
        <w:tc>
          <w:tcPr>
            <w:tcW w:w="217" w:type="dxa"/>
          </w:tcPr>
          <w:p w14:paraId="2032CF4E" w14:textId="77777777" w:rsidR="002C0FD9" w:rsidRPr="00CA25CF" w:rsidRDefault="002C0FD9" w:rsidP="00CA25CF">
            <w:pPr>
              <w:rPr>
                <w:rFonts w:cs="Arial"/>
                <w:color w:val="FF0000"/>
                <w:sz w:val="21"/>
                <w:szCs w:val="21"/>
              </w:rPr>
            </w:pPr>
          </w:p>
        </w:tc>
        <w:tc>
          <w:tcPr>
            <w:tcW w:w="217" w:type="dxa"/>
          </w:tcPr>
          <w:p w14:paraId="66199D3B" w14:textId="77777777" w:rsidR="002C0FD9" w:rsidRPr="00CA25CF" w:rsidRDefault="002C0FD9" w:rsidP="00CA25CF">
            <w:pPr>
              <w:rPr>
                <w:rFonts w:cs="Arial"/>
                <w:color w:val="FF0000"/>
                <w:sz w:val="21"/>
                <w:szCs w:val="21"/>
              </w:rPr>
            </w:pPr>
          </w:p>
        </w:tc>
        <w:tc>
          <w:tcPr>
            <w:tcW w:w="217" w:type="dxa"/>
          </w:tcPr>
          <w:p w14:paraId="7FB1C13D" w14:textId="77777777" w:rsidR="002C0FD9" w:rsidRPr="00CA25CF" w:rsidRDefault="002C0FD9" w:rsidP="00CA25CF">
            <w:pPr>
              <w:rPr>
                <w:rFonts w:cs="Arial"/>
                <w:color w:val="FF0000"/>
                <w:sz w:val="21"/>
                <w:szCs w:val="21"/>
              </w:rPr>
            </w:pPr>
          </w:p>
        </w:tc>
        <w:tc>
          <w:tcPr>
            <w:tcW w:w="217" w:type="dxa"/>
          </w:tcPr>
          <w:p w14:paraId="614F3513" w14:textId="77777777" w:rsidR="002C0FD9" w:rsidRPr="00CA25CF" w:rsidRDefault="002C0FD9" w:rsidP="00CA25CF">
            <w:pPr>
              <w:rPr>
                <w:rFonts w:cs="Arial"/>
                <w:color w:val="FF0000"/>
                <w:sz w:val="21"/>
                <w:szCs w:val="21"/>
              </w:rPr>
            </w:pPr>
          </w:p>
        </w:tc>
        <w:tc>
          <w:tcPr>
            <w:tcW w:w="217" w:type="dxa"/>
          </w:tcPr>
          <w:p w14:paraId="36B3F3BE" w14:textId="77777777" w:rsidR="002C0FD9" w:rsidRPr="00CA25CF" w:rsidRDefault="002C0FD9" w:rsidP="00CA25CF">
            <w:pPr>
              <w:rPr>
                <w:rFonts w:cs="Arial"/>
                <w:color w:val="FF0000"/>
                <w:sz w:val="21"/>
                <w:szCs w:val="21"/>
              </w:rPr>
            </w:pPr>
          </w:p>
        </w:tc>
        <w:tc>
          <w:tcPr>
            <w:tcW w:w="217" w:type="dxa"/>
          </w:tcPr>
          <w:p w14:paraId="309A91B2" w14:textId="77777777" w:rsidR="002C0FD9" w:rsidRPr="00CA25CF" w:rsidRDefault="002C0FD9" w:rsidP="00CA25CF">
            <w:pPr>
              <w:rPr>
                <w:rFonts w:cs="Arial"/>
                <w:color w:val="FF0000"/>
                <w:sz w:val="21"/>
                <w:szCs w:val="21"/>
              </w:rPr>
            </w:pPr>
          </w:p>
        </w:tc>
        <w:tc>
          <w:tcPr>
            <w:tcW w:w="217" w:type="dxa"/>
          </w:tcPr>
          <w:p w14:paraId="34D4330E" w14:textId="77777777" w:rsidR="002C0FD9" w:rsidRPr="00CA25CF" w:rsidRDefault="002C0FD9" w:rsidP="00CA25CF">
            <w:pPr>
              <w:rPr>
                <w:rFonts w:cs="Arial"/>
                <w:color w:val="FF0000"/>
                <w:sz w:val="21"/>
                <w:szCs w:val="21"/>
              </w:rPr>
            </w:pPr>
          </w:p>
        </w:tc>
        <w:tc>
          <w:tcPr>
            <w:tcW w:w="217" w:type="dxa"/>
          </w:tcPr>
          <w:p w14:paraId="4BB76E50" w14:textId="77777777" w:rsidR="002C0FD9" w:rsidRPr="00CA25CF" w:rsidRDefault="002C0FD9" w:rsidP="00CA25CF">
            <w:pPr>
              <w:rPr>
                <w:rFonts w:cs="Arial"/>
                <w:color w:val="FF0000"/>
                <w:sz w:val="21"/>
                <w:szCs w:val="21"/>
              </w:rPr>
            </w:pPr>
          </w:p>
        </w:tc>
        <w:tc>
          <w:tcPr>
            <w:tcW w:w="217" w:type="dxa"/>
          </w:tcPr>
          <w:p w14:paraId="570FBED0" w14:textId="77777777" w:rsidR="002C0FD9" w:rsidRPr="00CA25CF" w:rsidRDefault="002C0FD9" w:rsidP="00CA25CF">
            <w:pPr>
              <w:rPr>
                <w:rFonts w:cs="Arial"/>
                <w:color w:val="FF0000"/>
                <w:sz w:val="21"/>
                <w:szCs w:val="21"/>
              </w:rPr>
            </w:pPr>
          </w:p>
        </w:tc>
        <w:tc>
          <w:tcPr>
            <w:tcW w:w="217" w:type="dxa"/>
          </w:tcPr>
          <w:p w14:paraId="121823E8" w14:textId="77777777" w:rsidR="002C0FD9" w:rsidRPr="00CA25CF" w:rsidRDefault="002C0FD9" w:rsidP="00CA25CF">
            <w:pPr>
              <w:rPr>
                <w:rFonts w:cs="Arial"/>
                <w:color w:val="FF0000"/>
                <w:sz w:val="21"/>
                <w:szCs w:val="21"/>
              </w:rPr>
            </w:pPr>
          </w:p>
        </w:tc>
        <w:tc>
          <w:tcPr>
            <w:tcW w:w="217" w:type="dxa"/>
          </w:tcPr>
          <w:p w14:paraId="432635CD" w14:textId="77777777" w:rsidR="002C0FD9" w:rsidRPr="00CA25CF" w:rsidRDefault="002C0FD9" w:rsidP="00CA25CF">
            <w:pPr>
              <w:rPr>
                <w:rFonts w:cs="Arial"/>
                <w:color w:val="FF0000"/>
                <w:sz w:val="21"/>
                <w:szCs w:val="21"/>
              </w:rPr>
            </w:pPr>
          </w:p>
        </w:tc>
        <w:tc>
          <w:tcPr>
            <w:tcW w:w="217" w:type="dxa"/>
          </w:tcPr>
          <w:p w14:paraId="2BEACDFE" w14:textId="77777777" w:rsidR="002C0FD9" w:rsidRPr="00CA25CF" w:rsidRDefault="002C0FD9" w:rsidP="00CA25CF">
            <w:pPr>
              <w:rPr>
                <w:rFonts w:cs="Arial"/>
                <w:color w:val="FF0000"/>
                <w:sz w:val="21"/>
                <w:szCs w:val="21"/>
              </w:rPr>
            </w:pPr>
          </w:p>
        </w:tc>
        <w:tc>
          <w:tcPr>
            <w:tcW w:w="217" w:type="dxa"/>
          </w:tcPr>
          <w:p w14:paraId="69ED5EEA" w14:textId="77777777" w:rsidR="002C0FD9" w:rsidRPr="00CA25CF" w:rsidRDefault="002C0FD9" w:rsidP="00CA25CF">
            <w:pPr>
              <w:rPr>
                <w:rFonts w:cs="Arial"/>
                <w:color w:val="FF0000"/>
                <w:sz w:val="21"/>
                <w:szCs w:val="21"/>
              </w:rPr>
            </w:pPr>
          </w:p>
        </w:tc>
        <w:tc>
          <w:tcPr>
            <w:tcW w:w="217" w:type="dxa"/>
          </w:tcPr>
          <w:p w14:paraId="525F2873" w14:textId="77777777" w:rsidR="002C0FD9" w:rsidRPr="00CA25CF" w:rsidRDefault="002C0FD9" w:rsidP="00CA25CF">
            <w:pPr>
              <w:rPr>
                <w:rFonts w:cs="Arial"/>
                <w:color w:val="FF0000"/>
                <w:sz w:val="21"/>
                <w:szCs w:val="21"/>
              </w:rPr>
            </w:pPr>
          </w:p>
        </w:tc>
        <w:tc>
          <w:tcPr>
            <w:tcW w:w="217" w:type="dxa"/>
          </w:tcPr>
          <w:p w14:paraId="279F9DC5" w14:textId="77777777" w:rsidR="002C0FD9" w:rsidRPr="00CA25CF" w:rsidRDefault="002C0FD9" w:rsidP="00CA25CF">
            <w:pPr>
              <w:rPr>
                <w:rFonts w:cs="Arial"/>
                <w:color w:val="FF0000"/>
                <w:sz w:val="21"/>
                <w:szCs w:val="21"/>
              </w:rPr>
            </w:pPr>
          </w:p>
        </w:tc>
        <w:tc>
          <w:tcPr>
            <w:tcW w:w="217" w:type="dxa"/>
          </w:tcPr>
          <w:p w14:paraId="317447D0" w14:textId="77777777" w:rsidR="002C0FD9" w:rsidRPr="00CA25CF" w:rsidRDefault="002C0FD9" w:rsidP="00CA25CF">
            <w:pPr>
              <w:rPr>
                <w:rFonts w:cs="Arial"/>
                <w:color w:val="FF0000"/>
                <w:sz w:val="21"/>
                <w:szCs w:val="21"/>
              </w:rPr>
            </w:pPr>
          </w:p>
        </w:tc>
        <w:tc>
          <w:tcPr>
            <w:tcW w:w="217" w:type="dxa"/>
          </w:tcPr>
          <w:p w14:paraId="54F3C7B5" w14:textId="77777777" w:rsidR="002C0FD9" w:rsidRPr="00CA25CF" w:rsidRDefault="002C0FD9" w:rsidP="00CA25CF">
            <w:pPr>
              <w:rPr>
                <w:rFonts w:cs="Arial"/>
                <w:color w:val="FF0000"/>
                <w:sz w:val="21"/>
                <w:szCs w:val="21"/>
              </w:rPr>
            </w:pPr>
          </w:p>
        </w:tc>
        <w:tc>
          <w:tcPr>
            <w:tcW w:w="217" w:type="dxa"/>
          </w:tcPr>
          <w:p w14:paraId="27416018" w14:textId="77777777" w:rsidR="002C0FD9" w:rsidRPr="00CA25CF" w:rsidRDefault="002C0FD9" w:rsidP="00CA25CF">
            <w:pPr>
              <w:rPr>
                <w:rFonts w:cs="Arial"/>
                <w:color w:val="FF0000"/>
                <w:sz w:val="21"/>
                <w:szCs w:val="21"/>
              </w:rPr>
            </w:pPr>
          </w:p>
        </w:tc>
        <w:tc>
          <w:tcPr>
            <w:tcW w:w="217" w:type="dxa"/>
          </w:tcPr>
          <w:p w14:paraId="12103D6E" w14:textId="77777777" w:rsidR="002C0FD9" w:rsidRPr="00CA25CF" w:rsidRDefault="002C0FD9" w:rsidP="00CA25CF">
            <w:pPr>
              <w:rPr>
                <w:rFonts w:cs="Arial"/>
                <w:color w:val="FF0000"/>
                <w:sz w:val="21"/>
                <w:szCs w:val="21"/>
              </w:rPr>
            </w:pPr>
          </w:p>
        </w:tc>
        <w:tc>
          <w:tcPr>
            <w:tcW w:w="217" w:type="dxa"/>
          </w:tcPr>
          <w:p w14:paraId="14116E18" w14:textId="77777777" w:rsidR="002C0FD9" w:rsidRPr="00CA25CF" w:rsidRDefault="002C0FD9" w:rsidP="00CA25CF">
            <w:pPr>
              <w:rPr>
                <w:rFonts w:cs="Arial"/>
                <w:color w:val="FF0000"/>
                <w:sz w:val="21"/>
                <w:szCs w:val="21"/>
              </w:rPr>
            </w:pPr>
          </w:p>
        </w:tc>
        <w:tc>
          <w:tcPr>
            <w:tcW w:w="217" w:type="dxa"/>
          </w:tcPr>
          <w:p w14:paraId="7BB94CFB" w14:textId="77777777" w:rsidR="002C0FD9" w:rsidRPr="00CA25CF" w:rsidRDefault="002C0FD9" w:rsidP="00CA25CF">
            <w:pPr>
              <w:rPr>
                <w:rFonts w:cs="Arial"/>
                <w:color w:val="FF0000"/>
                <w:sz w:val="21"/>
                <w:szCs w:val="21"/>
              </w:rPr>
            </w:pPr>
          </w:p>
        </w:tc>
        <w:tc>
          <w:tcPr>
            <w:tcW w:w="217" w:type="dxa"/>
          </w:tcPr>
          <w:p w14:paraId="0ECB3737" w14:textId="77777777" w:rsidR="002C0FD9" w:rsidRPr="00CA25CF" w:rsidRDefault="002C0FD9" w:rsidP="00CA25CF">
            <w:pPr>
              <w:rPr>
                <w:rFonts w:cs="Arial"/>
                <w:color w:val="FF0000"/>
                <w:sz w:val="21"/>
                <w:szCs w:val="21"/>
              </w:rPr>
            </w:pPr>
          </w:p>
        </w:tc>
      </w:tr>
      <w:tr w:rsidR="002C0FD9" w:rsidRPr="00A16219" w14:paraId="791A5F3F" w14:textId="75EE9CA7" w:rsidTr="002C0FD9">
        <w:trPr>
          <w:trHeight w:val="635"/>
        </w:trPr>
        <w:tc>
          <w:tcPr>
            <w:tcW w:w="515" w:type="dxa"/>
          </w:tcPr>
          <w:p w14:paraId="333B3BE3" w14:textId="77777777" w:rsidR="002C0FD9" w:rsidRPr="00CA25CF" w:rsidRDefault="002C0FD9" w:rsidP="00CA25CF">
            <w:pPr>
              <w:rPr>
                <w:rFonts w:cs="Arial"/>
                <w:color w:val="FF0000"/>
                <w:sz w:val="21"/>
                <w:szCs w:val="21"/>
              </w:rPr>
            </w:pPr>
          </w:p>
        </w:tc>
        <w:tc>
          <w:tcPr>
            <w:tcW w:w="217" w:type="dxa"/>
          </w:tcPr>
          <w:p w14:paraId="47D74E78" w14:textId="77777777" w:rsidR="002C0FD9" w:rsidRPr="00CA25CF" w:rsidRDefault="002C0FD9" w:rsidP="00CA25CF">
            <w:pPr>
              <w:rPr>
                <w:rFonts w:cs="Arial"/>
                <w:color w:val="FF0000"/>
                <w:sz w:val="21"/>
                <w:szCs w:val="21"/>
              </w:rPr>
            </w:pPr>
          </w:p>
        </w:tc>
        <w:tc>
          <w:tcPr>
            <w:tcW w:w="217" w:type="dxa"/>
          </w:tcPr>
          <w:p w14:paraId="02754B6F" w14:textId="0A35AA6A" w:rsidR="002C0FD9" w:rsidRPr="00CA25CF" w:rsidRDefault="002C0FD9" w:rsidP="00CA25CF">
            <w:pPr>
              <w:rPr>
                <w:rFonts w:cs="Arial"/>
                <w:color w:val="FF0000"/>
                <w:sz w:val="21"/>
                <w:szCs w:val="21"/>
              </w:rPr>
            </w:pPr>
          </w:p>
        </w:tc>
        <w:tc>
          <w:tcPr>
            <w:tcW w:w="217" w:type="dxa"/>
          </w:tcPr>
          <w:p w14:paraId="68DB9E3D" w14:textId="77777777" w:rsidR="002C0FD9" w:rsidRPr="00CA25CF" w:rsidRDefault="002C0FD9" w:rsidP="00CA25CF">
            <w:pPr>
              <w:rPr>
                <w:rFonts w:cs="Arial"/>
                <w:color w:val="FF0000"/>
                <w:sz w:val="21"/>
                <w:szCs w:val="21"/>
              </w:rPr>
            </w:pPr>
          </w:p>
        </w:tc>
        <w:tc>
          <w:tcPr>
            <w:tcW w:w="217" w:type="dxa"/>
          </w:tcPr>
          <w:p w14:paraId="4C527DDA" w14:textId="77777777" w:rsidR="002C0FD9" w:rsidRPr="00CA25CF" w:rsidRDefault="002C0FD9" w:rsidP="00CA25CF">
            <w:pPr>
              <w:rPr>
                <w:rFonts w:cs="Arial"/>
                <w:color w:val="FF0000"/>
                <w:sz w:val="21"/>
                <w:szCs w:val="21"/>
              </w:rPr>
            </w:pPr>
          </w:p>
        </w:tc>
        <w:tc>
          <w:tcPr>
            <w:tcW w:w="217" w:type="dxa"/>
          </w:tcPr>
          <w:p w14:paraId="13B2F00F" w14:textId="77777777" w:rsidR="002C0FD9" w:rsidRPr="00CA25CF" w:rsidRDefault="002C0FD9" w:rsidP="00CA25CF">
            <w:pPr>
              <w:rPr>
                <w:rFonts w:cs="Arial"/>
                <w:color w:val="FF0000"/>
                <w:sz w:val="21"/>
                <w:szCs w:val="21"/>
              </w:rPr>
            </w:pPr>
          </w:p>
        </w:tc>
        <w:tc>
          <w:tcPr>
            <w:tcW w:w="217" w:type="dxa"/>
          </w:tcPr>
          <w:p w14:paraId="52B03D73" w14:textId="77777777" w:rsidR="002C0FD9" w:rsidRPr="00CA25CF" w:rsidRDefault="002C0FD9" w:rsidP="00CA25CF">
            <w:pPr>
              <w:rPr>
                <w:rFonts w:cs="Arial"/>
                <w:color w:val="FF0000"/>
                <w:sz w:val="21"/>
                <w:szCs w:val="21"/>
              </w:rPr>
            </w:pPr>
          </w:p>
        </w:tc>
        <w:tc>
          <w:tcPr>
            <w:tcW w:w="217" w:type="dxa"/>
          </w:tcPr>
          <w:p w14:paraId="4E3241FD" w14:textId="77777777" w:rsidR="002C0FD9" w:rsidRPr="00CA25CF" w:rsidRDefault="002C0FD9" w:rsidP="00CA25CF">
            <w:pPr>
              <w:rPr>
                <w:rFonts w:cs="Arial"/>
                <w:color w:val="FF0000"/>
                <w:sz w:val="21"/>
                <w:szCs w:val="21"/>
              </w:rPr>
            </w:pPr>
          </w:p>
        </w:tc>
        <w:tc>
          <w:tcPr>
            <w:tcW w:w="217" w:type="dxa"/>
          </w:tcPr>
          <w:p w14:paraId="2D8923FF" w14:textId="77777777" w:rsidR="002C0FD9" w:rsidRPr="00CA25CF" w:rsidRDefault="002C0FD9" w:rsidP="00CA25CF">
            <w:pPr>
              <w:rPr>
                <w:rFonts w:cs="Arial"/>
                <w:color w:val="FF0000"/>
                <w:sz w:val="21"/>
                <w:szCs w:val="21"/>
              </w:rPr>
            </w:pPr>
          </w:p>
        </w:tc>
        <w:tc>
          <w:tcPr>
            <w:tcW w:w="217" w:type="dxa"/>
          </w:tcPr>
          <w:p w14:paraId="0136C7DB" w14:textId="77777777" w:rsidR="002C0FD9" w:rsidRPr="00CA25CF" w:rsidRDefault="002C0FD9" w:rsidP="00CA25CF">
            <w:pPr>
              <w:rPr>
                <w:rFonts w:cs="Arial"/>
                <w:color w:val="FF0000"/>
                <w:sz w:val="21"/>
                <w:szCs w:val="21"/>
              </w:rPr>
            </w:pPr>
          </w:p>
        </w:tc>
        <w:tc>
          <w:tcPr>
            <w:tcW w:w="217" w:type="dxa"/>
          </w:tcPr>
          <w:p w14:paraId="2D9DC459" w14:textId="77777777" w:rsidR="002C0FD9" w:rsidRPr="00CA25CF" w:rsidRDefault="002C0FD9" w:rsidP="00CA25CF">
            <w:pPr>
              <w:rPr>
                <w:rFonts w:cs="Arial"/>
                <w:color w:val="FF0000"/>
                <w:sz w:val="21"/>
                <w:szCs w:val="21"/>
              </w:rPr>
            </w:pPr>
          </w:p>
        </w:tc>
        <w:tc>
          <w:tcPr>
            <w:tcW w:w="217" w:type="dxa"/>
          </w:tcPr>
          <w:p w14:paraId="18824F1F" w14:textId="77777777" w:rsidR="002C0FD9" w:rsidRPr="00CA25CF" w:rsidRDefault="002C0FD9" w:rsidP="00CA25CF">
            <w:pPr>
              <w:rPr>
                <w:rFonts w:cs="Arial"/>
                <w:color w:val="FF0000"/>
                <w:sz w:val="21"/>
                <w:szCs w:val="21"/>
              </w:rPr>
            </w:pPr>
          </w:p>
        </w:tc>
        <w:tc>
          <w:tcPr>
            <w:tcW w:w="217" w:type="dxa"/>
          </w:tcPr>
          <w:p w14:paraId="5A220D7F" w14:textId="77777777" w:rsidR="002C0FD9" w:rsidRPr="00CA25CF" w:rsidRDefault="002C0FD9" w:rsidP="00CA25CF">
            <w:pPr>
              <w:rPr>
                <w:rFonts w:cs="Arial"/>
                <w:color w:val="FF0000"/>
                <w:sz w:val="21"/>
                <w:szCs w:val="21"/>
              </w:rPr>
            </w:pPr>
          </w:p>
        </w:tc>
        <w:tc>
          <w:tcPr>
            <w:tcW w:w="217" w:type="dxa"/>
          </w:tcPr>
          <w:p w14:paraId="676CB04A" w14:textId="77777777" w:rsidR="002C0FD9" w:rsidRPr="00CA25CF" w:rsidRDefault="002C0FD9" w:rsidP="00CA25CF">
            <w:pPr>
              <w:rPr>
                <w:rFonts w:cs="Arial"/>
                <w:color w:val="FF0000"/>
                <w:sz w:val="21"/>
                <w:szCs w:val="21"/>
              </w:rPr>
            </w:pPr>
          </w:p>
        </w:tc>
        <w:tc>
          <w:tcPr>
            <w:tcW w:w="217" w:type="dxa"/>
          </w:tcPr>
          <w:p w14:paraId="4FB405BC" w14:textId="77777777" w:rsidR="002C0FD9" w:rsidRPr="00CA25CF" w:rsidRDefault="002C0FD9" w:rsidP="00CA25CF">
            <w:pPr>
              <w:rPr>
                <w:rFonts w:cs="Arial"/>
                <w:color w:val="FF0000"/>
                <w:sz w:val="21"/>
                <w:szCs w:val="21"/>
              </w:rPr>
            </w:pPr>
          </w:p>
        </w:tc>
        <w:tc>
          <w:tcPr>
            <w:tcW w:w="217" w:type="dxa"/>
          </w:tcPr>
          <w:p w14:paraId="46A8508F" w14:textId="4ACCCAB3" w:rsidR="002C0FD9" w:rsidRPr="00CA25CF" w:rsidRDefault="002C0FD9" w:rsidP="00CA25CF">
            <w:pPr>
              <w:rPr>
                <w:rFonts w:cs="Arial"/>
                <w:color w:val="FF0000"/>
                <w:sz w:val="21"/>
                <w:szCs w:val="21"/>
              </w:rPr>
            </w:pPr>
          </w:p>
        </w:tc>
        <w:tc>
          <w:tcPr>
            <w:tcW w:w="217" w:type="dxa"/>
          </w:tcPr>
          <w:p w14:paraId="42274821" w14:textId="77777777" w:rsidR="002C0FD9" w:rsidRPr="00CA25CF" w:rsidRDefault="002C0FD9" w:rsidP="00CA25CF">
            <w:pPr>
              <w:rPr>
                <w:rFonts w:cs="Arial"/>
                <w:color w:val="FF0000"/>
                <w:sz w:val="21"/>
                <w:szCs w:val="21"/>
              </w:rPr>
            </w:pPr>
          </w:p>
        </w:tc>
        <w:tc>
          <w:tcPr>
            <w:tcW w:w="217" w:type="dxa"/>
          </w:tcPr>
          <w:p w14:paraId="7806ED15" w14:textId="77777777" w:rsidR="002C0FD9" w:rsidRPr="00CA25CF" w:rsidRDefault="002C0FD9" w:rsidP="00CA25CF">
            <w:pPr>
              <w:rPr>
                <w:rFonts w:cs="Arial"/>
                <w:color w:val="FF0000"/>
                <w:sz w:val="21"/>
                <w:szCs w:val="21"/>
              </w:rPr>
            </w:pPr>
          </w:p>
        </w:tc>
        <w:tc>
          <w:tcPr>
            <w:tcW w:w="217" w:type="dxa"/>
          </w:tcPr>
          <w:p w14:paraId="3CC22954" w14:textId="77777777" w:rsidR="002C0FD9" w:rsidRPr="00CA25CF" w:rsidRDefault="002C0FD9" w:rsidP="00CA25CF">
            <w:pPr>
              <w:rPr>
                <w:rFonts w:cs="Arial"/>
                <w:color w:val="FF0000"/>
                <w:sz w:val="21"/>
                <w:szCs w:val="21"/>
              </w:rPr>
            </w:pPr>
          </w:p>
        </w:tc>
        <w:tc>
          <w:tcPr>
            <w:tcW w:w="217" w:type="dxa"/>
          </w:tcPr>
          <w:p w14:paraId="7FB8482A" w14:textId="77777777" w:rsidR="002C0FD9" w:rsidRPr="00CA25CF" w:rsidRDefault="002C0FD9" w:rsidP="00CA25CF">
            <w:pPr>
              <w:rPr>
                <w:rFonts w:cs="Arial"/>
                <w:color w:val="FF0000"/>
                <w:sz w:val="21"/>
                <w:szCs w:val="21"/>
              </w:rPr>
            </w:pPr>
          </w:p>
        </w:tc>
        <w:tc>
          <w:tcPr>
            <w:tcW w:w="217" w:type="dxa"/>
          </w:tcPr>
          <w:p w14:paraId="5BB56C7E" w14:textId="77777777" w:rsidR="002C0FD9" w:rsidRPr="00CA25CF" w:rsidRDefault="002C0FD9" w:rsidP="00CA25CF">
            <w:pPr>
              <w:rPr>
                <w:rFonts w:cs="Arial"/>
                <w:color w:val="FF0000"/>
                <w:sz w:val="21"/>
                <w:szCs w:val="21"/>
              </w:rPr>
            </w:pPr>
          </w:p>
        </w:tc>
        <w:tc>
          <w:tcPr>
            <w:tcW w:w="217" w:type="dxa"/>
          </w:tcPr>
          <w:p w14:paraId="5A0FF391" w14:textId="77777777" w:rsidR="002C0FD9" w:rsidRPr="00CA25CF" w:rsidRDefault="002C0FD9" w:rsidP="00CA25CF">
            <w:pPr>
              <w:rPr>
                <w:rFonts w:cs="Arial"/>
                <w:color w:val="FF0000"/>
                <w:sz w:val="21"/>
                <w:szCs w:val="21"/>
              </w:rPr>
            </w:pPr>
          </w:p>
        </w:tc>
        <w:tc>
          <w:tcPr>
            <w:tcW w:w="217" w:type="dxa"/>
          </w:tcPr>
          <w:p w14:paraId="5DFC97D2" w14:textId="77777777" w:rsidR="002C0FD9" w:rsidRPr="00CA25CF" w:rsidRDefault="002C0FD9" w:rsidP="00CA25CF">
            <w:pPr>
              <w:rPr>
                <w:rFonts w:cs="Arial"/>
                <w:color w:val="FF0000"/>
                <w:sz w:val="21"/>
                <w:szCs w:val="21"/>
              </w:rPr>
            </w:pPr>
          </w:p>
        </w:tc>
        <w:tc>
          <w:tcPr>
            <w:tcW w:w="217" w:type="dxa"/>
          </w:tcPr>
          <w:p w14:paraId="3E59355F" w14:textId="77777777" w:rsidR="002C0FD9" w:rsidRPr="00CA25CF" w:rsidRDefault="002C0FD9" w:rsidP="00CA25CF">
            <w:pPr>
              <w:rPr>
                <w:rFonts w:cs="Arial"/>
                <w:color w:val="FF0000"/>
                <w:sz w:val="21"/>
                <w:szCs w:val="21"/>
              </w:rPr>
            </w:pPr>
          </w:p>
        </w:tc>
        <w:tc>
          <w:tcPr>
            <w:tcW w:w="217" w:type="dxa"/>
          </w:tcPr>
          <w:p w14:paraId="7F614E6E" w14:textId="77777777" w:rsidR="002C0FD9" w:rsidRPr="00CA25CF" w:rsidRDefault="002C0FD9" w:rsidP="00CA25CF">
            <w:pPr>
              <w:rPr>
                <w:rFonts w:cs="Arial"/>
                <w:color w:val="FF0000"/>
                <w:sz w:val="21"/>
                <w:szCs w:val="21"/>
              </w:rPr>
            </w:pPr>
          </w:p>
        </w:tc>
        <w:tc>
          <w:tcPr>
            <w:tcW w:w="217" w:type="dxa"/>
          </w:tcPr>
          <w:p w14:paraId="530AD8C2" w14:textId="77777777" w:rsidR="002C0FD9" w:rsidRPr="00CA25CF" w:rsidRDefault="002C0FD9" w:rsidP="00CA25CF">
            <w:pPr>
              <w:rPr>
                <w:rFonts w:cs="Arial"/>
                <w:color w:val="FF0000"/>
                <w:sz w:val="21"/>
                <w:szCs w:val="21"/>
              </w:rPr>
            </w:pPr>
          </w:p>
        </w:tc>
        <w:tc>
          <w:tcPr>
            <w:tcW w:w="217" w:type="dxa"/>
          </w:tcPr>
          <w:p w14:paraId="622A5B9F" w14:textId="77777777" w:rsidR="002C0FD9" w:rsidRPr="00CA25CF" w:rsidRDefault="002C0FD9" w:rsidP="00CA25CF">
            <w:pPr>
              <w:rPr>
                <w:rFonts w:cs="Arial"/>
                <w:color w:val="FF0000"/>
                <w:sz w:val="21"/>
                <w:szCs w:val="21"/>
              </w:rPr>
            </w:pPr>
          </w:p>
        </w:tc>
        <w:tc>
          <w:tcPr>
            <w:tcW w:w="217" w:type="dxa"/>
          </w:tcPr>
          <w:p w14:paraId="0E09D81A" w14:textId="77777777" w:rsidR="002C0FD9" w:rsidRPr="00CA25CF" w:rsidRDefault="002C0FD9" w:rsidP="00CA25CF">
            <w:pPr>
              <w:rPr>
                <w:rFonts w:cs="Arial"/>
                <w:color w:val="FF0000"/>
                <w:sz w:val="21"/>
                <w:szCs w:val="21"/>
              </w:rPr>
            </w:pPr>
          </w:p>
        </w:tc>
        <w:tc>
          <w:tcPr>
            <w:tcW w:w="217" w:type="dxa"/>
          </w:tcPr>
          <w:p w14:paraId="2AB42228" w14:textId="77777777" w:rsidR="002C0FD9" w:rsidRPr="00CA25CF" w:rsidRDefault="002C0FD9" w:rsidP="00CA25CF">
            <w:pPr>
              <w:rPr>
                <w:rFonts w:cs="Arial"/>
                <w:color w:val="FF0000"/>
                <w:sz w:val="21"/>
                <w:szCs w:val="21"/>
              </w:rPr>
            </w:pPr>
          </w:p>
        </w:tc>
        <w:tc>
          <w:tcPr>
            <w:tcW w:w="217" w:type="dxa"/>
          </w:tcPr>
          <w:p w14:paraId="5B8F21A9" w14:textId="77777777" w:rsidR="002C0FD9" w:rsidRPr="00CA25CF" w:rsidRDefault="002C0FD9" w:rsidP="00CA25CF">
            <w:pPr>
              <w:rPr>
                <w:rFonts w:cs="Arial"/>
                <w:color w:val="FF0000"/>
                <w:sz w:val="21"/>
                <w:szCs w:val="21"/>
              </w:rPr>
            </w:pPr>
          </w:p>
        </w:tc>
        <w:tc>
          <w:tcPr>
            <w:tcW w:w="217" w:type="dxa"/>
          </w:tcPr>
          <w:p w14:paraId="1D0B3507" w14:textId="77777777" w:rsidR="002C0FD9" w:rsidRPr="00CA25CF" w:rsidRDefault="002C0FD9" w:rsidP="00CA25CF">
            <w:pPr>
              <w:rPr>
                <w:rFonts w:cs="Arial"/>
                <w:color w:val="FF0000"/>
                <w:sz w:val="21"/>
                <w:szCs w:val="21"/>
              </w:rPr>
            </w:pPr>
          </w:p>
        </w:tc>
        <w:tc>
          <w:tcPr>
            <w:tcW w:w="217" w:type="dxa"/>
          </w:tcPr>
          <w:p w14:paraId="51FDFED8" w14:textId="77777777" w:rsidR="002C0FD9" w:rsidRPr="00CA25CF" w:rsidRDefault="002C0FD9" w:rsidP="00CA25CF">
            <w:pPr>
              <w:rPr>
                <w:rFonts w:cs="Arial"/>
                <w:color w:val="FF0000"/>
                <w:sz w:val="21"/>
                <w:szCs w:val="21"/>
              </w:rPr>
            </w:pPr>
          </w:p>
        </w:tc>
        <w:tc>
          <w:tcPr>
            <w:tcW w:w="217" w:type="dxa"/>
          </w:tcPr>
          <w:p w14:paraId="1826923E" w14:textId="77777777" w:rsidR="002C0FD9" w:rsidRPr="00CA25CF" w:rsidRDefault="002C0FD9" w:rsidP="00CA25CF">
            <w:pPr>
              <w:rPr>
                <w:rFonts w:cs="Arial"/>
                <w:color w:val="FF0000"/>
                <w:sz w:val="21"/>
                <w:szCs w:val="21"/>
              </w:rPr>
            </w:pPr>
          </w:p>
        </w:tc>
        <w:tc>
          <w:tcPr>
            <w:tcW w:w="217" w:type="dxa"/>
          </w:tcPr>
          <w:p w14:paraId="1AC50BF9" w14:textId="77777777" w:rsidR="002C0FD9" w:rsidRPr="00CA25CF" w:rsidRDefault="002C0FD9" w:rsidP="00CA25CF">
            <w:pPr>
              <w:rPr>
                <w:rFonts w:cs="Arial"/>
                <w:color w:val="FF0000"/>
                <w:sz w:val="21"/>
                <w:szCs w:val="21"/>
              </w:rPr>
            </w:pPr>
          </w:p>
        </w:tc>
        <w:tc>
          <w:tcPr>
            <w:tcW w:w="217" w:type="dxa"/>
          </w:tcPr>
          <w:p w14:paraId="146912D2" w14:textId="77777777" w:rsidR="002C0FD9" w:rsidRPr="00CA25CF" w:rsidRDefault="002C0FD9" w:rsidP="00CA25CF">
            <w:pPr>
              <w:rPr>
                <w:rFonts w:cs="Arial"/>
                <w:color w:val="FF0000"/>
                <w:sz w:val="21"/>
                <w:szCs w:val="21"/>
              </w:rPr>
            </w:pPr>
          </w:p>
        </w:tc>
        <w:tc>
          <w:tcPr>
            <w:tcW w:w="217" w:type="dxa"/>
          </w:tcPr>
          <w:p w14:paraId="1E03C115" w14:textId="77777777" w:rsidR="002C0FD9" w:rsidRPr="00CA25CF" w:rsidRDefault="002C0FD9" w:rsidP="00CA25CF">
            <w:pPr>
              <w:rPr>
                <w:rFonts w:cs="Arial"/>
                <w:color w:val="FF0000"/>
                <w:sz w:val="21"/>
                <w:szCs w:val="21"/>
              </w:rPr>
            </w:pPr>
          </w:p>
        </w:tc>
        <w:tc>
          <w:tcPr>
            <w:tcW w:w="217" w:type="dxa"/>
          </w:tcPr>
          <w:p w14:paraId="1112FE5A" w14:textId="77777777" w:rsidR="002C0FD9" w:rsidRPr="00CA25CF" w:rsidRDefault="002C0FD9" w:rsidP="00CA25CF">
            <w:pPr>
              <w:rPr>
                <w:rFonts w:cs="Arial"/>
                <w:color w:val="FF0000"/>
                <w:sz w:val="21"/>
                <w:szCs w:val="21"/>
              </w:rPr>
            </w:pPr>
          </w:p>
        </w:tc>
        <w:tc>
          <w:tcPr>
            <w:tcW w:w="217" w:type="dxa"/>
          </w:tcPr>
          <w:p w14:paraId="20B46D42" w14:textId="77777777" w:rsidR="002C0FD9" w:rsidRPr="00CA25CF" w:rsidRDefault="002C0FD9" w:rsidP="00CA25CF">
            <w:pPr>
              <w:rPr>
                <w:rFonts w:cs="Arial"/>
                <w:color w:val="FF0000"/>
                <w:sz w:val="21"/>
                <w:szCs w:val="21"/>
              </w:rPr>
            </w:pPr>
          </w:p>
        </w:tc>
        <w:tc>
          <w:tcPr>
            <w:tcW w:w="217" w:type="dxa"/>
          </w:tcPr>
          <w:p w14:paraId="44D0370C" w14:textId="77777777" w:rsidR="002C0FD9" w:rsidRPr="00CA25CF" w:rsidRDefault="002C0FD9" w:rsidP="00CA25CF">
            <w:pPr>
              <w:rPr>
                <w:rFonts w:cs="Arial"/>
                <w:color w:val="FF0000"/>
                <w:sz w:val="21"/>
                <w:szCs w:val="21"/>
              </w:rPr>
            </w:pPr>
          </w:p>
        </w:tc>
        <w:tc>
          <w:tcPr>
            <w:tcW w:w="217" w:type="dxa"/>
          </w:tcPr>
          <w:p w14:paraId="02DC9870" w14:textId="77777777" w:rsidR="002C0FD9" w:rsidRPr="00CA25CF" w:rsidRDefault="002C0FD9" w:rsidP="00CA25CF">
            <w:pPr>
              <w:rPr>
                <w:rFonts w:cs="Arial"/>
                <w:color w:val="FF0000"/>
                <w:sz w:val="21"/>
                <w:szCs w:val="21"/>
              </w:rPr>
            </w:pPr>
          </w:p>
        </w:tc>
        <w:tc>
          <w:tcPr>
            <w:tcW w:w="217" w:type="dxa"/>
          </w:tcPr>
          <w:p w14:paraId="63D0A254" w14:textId="77777777" w:rsidR="002C0FD9" w:rsidRPr="00CA25CF" w:rsidRDefault="002C0FD9" w:rsidP="00CA25CF">
            <w:pPr>
              <w:rPr>
                <w:rFonts w:cs="Arial"/>
                <w:color w:val="FF0000"/>
                <w:sz w:val="21"/>
                <w:szCs w:val="21"/>
              </w:rPr>
            </w:pPr>
          </w:p>
        </w:tc>
        <w:tc>
          <w:tcPr>
            <w:tcW w:w="217" w:type="dxa"/>
          </w:tcPr>
          <w:p w14:paraId="55F05FB6" w14:textId="77777777" w:rsidR="002C0FD9" w:rsidRPr="00CA25CF" w:rsidRDefault="002C0FD9" w:rsidP="00CA25CF">
            <w:pPr>
              <w:rPr>
                <w:rFonts w:cs="Arial"/>
                <w:color w:val="FF0000"/>
                <w:sz w:val="21"/>
                <w:szCs w:val="21"/>
              </w:rPr>
            </w:pPr>
          </w:p>
        </w:tc>
        <w:tc>
          <w:tcPr>
            <w:tcW w:w="217" w:type="dxa"/>
          </w:tcPr>
          <w:p w14:paraId="0194A8E1" w14:textId="77777777" w:rsidR="002C0FD9" w:rsidRPr="00CA25CF" w:rsidRDefault="002C0FD9" w:rsidP="00CA25CF">
            <w:pPr>
              <w:rPr>
                <w:rFonts w:cs="Arial"/>
                <w:color w:val="FF0000"/>
                <w:sz w:val="21"/>
                <w:szCs w:val="21"/>
              </w:rPr>
            </w:pPr>
          </w:p>
        </w:tc>
      </w:tr>
      <w:tr w:rsidR="002C0FD9" w:rsidRPr="00A16219" w14:paraId="54C1A937" w14:textId="4DDF9DDE" w:rsidTr="002C0FD9">
        <w:trPr>
          <w:trHeight w:val="635"/>
        </w:trPr>
        <w:tc>
          <w:tcPr>
            <w:tcW w:w="515" w:type="dxa"/>
          </w:tcPr>
          <w:p w14:paraId="03C4FA03" w14:textId="77777777" w:rsidR="002C0FD9" w:rsidRPr="00CA25CF" w:rsidRDefault="002C0FD9" w:rsidP="00CA25CF">
            <w:pPr>
              <w:rPr>
                <w:rFonts w:cs="Arial"/>
                <w:color w:val="FF0000"/>
                <w:sz w:val="21"/>
                <w:szCs w:val="21"/>
              </w:rPr>
            </w:pPr>
          </w:p>
        </w:tc>
        <w:tc>
          <w:tcPr>
            <w:tcW w:w="217" w:type="dxa"/>
          </w:tcPr>
          <w:p w14:paraId="3F3EAF92" w14:textId="77777777" w:rsidR="002C0FD9" w:rsidRPr="00CA25CF" w:rsidRDefault="002C0FD9" w:rsidP="00CA25CF">
            <w:pPr>
              <w:rPr>
                <w:rFonts w:cs="Arial"/>
                <w:color w:val="FF0000"/>
                <w:sz w:val="21"/>
                <w:szCs w:val="21"/>
              </w:rPr>
            </w:pPr>
          </w:p>
        </w:tc>
        <w:tc>
          <w:tcPr>
            <w:tcW w:w="217" w:type="dxa"/>
          </w:tcPr>
          <w:p w14:paraId="36B7FDD0" w14:textId="2BF709C6" w:rsidR="002C0FD9" w:rsidRPr="00CA25CF" w:rsidRDefault="002C0FD9" w:rsidP="00CA25CF">
            <w:pPr>
              <w:rPr>
                <w:rFonts w:cs="Arial"/>
                <w:color w:val="FF0000"/>
                <w:sz w:val="21"/>
                <w:szCs w:val="21"/>
              </w:rPr>
            </w:pPr>
          </w:p>
        </w:tc>
        <w:tc>
          <w:tcPr>
            <w:tcW w:w="217" w:type="dxa"/>
          </w:tcPr>
          <w:p w14:paraId="4B90DB4B" w14:textId="77777777" w:rsidR="002C0FD9" w:rsidRPr="00CA25CF" w:rsidRDefault="002C0FD9" w:rsidP="00CA25CF">
            <w:pPr>
              <w:rPr>
                <w:rFonts w:cs="Arial"/>
                <w:color w:val="FF0000"/>
                <w:sz w:val="21"/>
                <w:szCs w:val="21"/>
              </w:rPr>
            </w:pPr>
          </w:p>
        </w:tc>
        <w:tc>
          <w:tcPr>
            <w:tcW w:w="217" w:type="dxa"/>
          </w:tcPr>
          <w:p w14:paraId="0F39B812" w14:textId="77777777" w:rsidR="002C0FD9" w:rsidRPr="00CA25CF" w:rsidRDefault="002C0FD9" w:rsidP="00CA25CF">
            <w:pPr>
              <w:rPr>
                <w:rFonts w:cs="Arial"/>
                <w:color w:val="FF0000"/>
                <w:sz w:val="21"/>
                <w:szCs w:val="21"/>
              </w:rPr>
            </w:pPr>
          </w:p>
        </w:tc>
        <w:tc>
          <w:tcPr>
            <w:tcW w:w="217" w:type="dxa"/>
          </w:tcPr>
          <w:p w14:paraId="34574CA0" w14:textId="77777777" w:rsidR="002C0FD9" w:rsidRPr="00CA25CF" w:rsidRDefault="002C0FD9" w:rsidP="00CA25CF">
            <w:pPr>
              <w:rPr>
                <w:rFonts w:cs="Arial"/>
                <w:color w:val="FF0000"/>
                <w:sz w:val="21"/>
                <w:szCs w:val="21"/>
              </w:rPr>
            </w:pPr>
          </w:p>
        </w:tc>
        <w:tc>
          <w:tcPr>
            <w:tcW w:w="217" w:type="dxa"/>
          </w:tcPr>
          <w:p w14:paraId="142377E9" w14:textId="77777777" w:rsidR="002C0FD9" w:rsidRPr="00CA25CF" w:rsidRDefault="002C0FD9" w:rsidP="00CA25CF">
            <w:pPr>
              <w:rPr>
                <w:rFonts w:cs="Arial"/>
                <w:color w:val="FF0000"/>
                <w:sz w:val="21"/>
                <w:szCs w:val="21"/>
              </w:rPr>
            </w:pPr>
          </w:p>
        </w:tc>
        <w:tc>
          <w:tcPr>
            <w:tcW w:w="217" w:type="dxa"/>
          </w:tcPr>
          <w:p w14:paraId="2FBBDAB2" w14:textId="77777777" w:rsidR="002C0FD9" w:rsidRPr="00CA25CF" w:rsidRDefault="002C0FD9" w:rsidP="00CA25CF">
            <w:pPr>
              <w:rPr>
                <w:rFonts w:cs="Arial"/>
                <w:color w:val="FF0000"/>
                <w:sz w:val="21"/>
                <w:szCs w:val="21"/>
              </w:rPr>
            </w:pPr>
          </w:p>
        </w:tc>
        <w:tc>
          <w:tcPr>
            <w:tcW w:w="217" w:type="dxa"/>
          </w:tcPr>
          <w:p w14:paraId="2798CD05" w14:textId="77777777" w:rsidR="002C0FD9" w:rsidRPr="00CA25CF" w:rsidRDefault="002C0FD9" w:rsidP="00CA25CF">
            <w:pPr>
              <w:rPr>
                <w:rFonts w:cs="Arial"/>
                <w:color w:val="FF0000"/>
                <w:sz w:val="21"/>
                <w:szCs w:val="21"/>
              </w:rPr>
            </w:pPr>
          </w:p>
        </w:tc>
        <w:tc>
          <w:tcPr>
            <w:tcW w:w="217" w:type="dxa"/>
          </w:tcPr>
          <w:p w14:paraId="2BFDF80F" w14:textId="77777777" w:rsidR="002C0FD9" w:rsidRPr="00CA25CF" w:rsidRDefault="002C0FD9" w:rsidP="00CA25CF">
            <w:pPr>
              <w:rPr>
                <w:rFonts w:cs="Arial"/>
                <w:color w:val="FF0000"/>
                <w:sz w:val="21"/>
                <w:szCs w:val="21"/>
              </w:rPr>
            </w:pPr>
          </w:p>
        </w:tc>
        <w:tc>
          <w:tcPr>
            <w:tcW w:w="217" w:type="dxa"/>
          </w:tcPr>
          <w:p w14:paraId="4922169D" w14:textId="77777777" w:rsidR="002C0FD9" w:rsidRPr="00CA25CF" w:rsidRDefault="002C0FD9" w:rsidP="00CA25CF">
            <w:pPr>
              <w:rPr>
                <w:rFonts w:cs="Arial"/>
                <w:color w:val="FF0000"/>
                <w:sz w:val="21"/>
                <w:szCs w:val="21"/>
              </w:rPr>
            </w:pPr>
          </w:p>
        </w:tc>
        <w:tc>
          <w:tcPr>
            <w:tcW w:w="217" w:type="dxa"/>
          </w:tcPr>
          <w:p w14:paraId="3BCA6398" w14:textId="77777777" w:rsidR="002C0FD9" w:rsidRPr="00CA25CF" w:rsidRDefault="002C0FD9" w:rsidP="00CA25CF">
            <w:pPr>
              <w:rPr>
                <w:rFonts w:cs="Arial"/>
                <w:color w:val="FF0000"/>
                <w:sz w:val="21"/>
                <w:szCs w:val="21"/>
              </w:rPr>
            </w:pPr>
          </w:p>
        </w:tc>
        <w:tc>
          <w:tcPr>
            <w:tcW w:w="217" w:type="dxa"/>
          </w:tcPr>
          <w:p w14:paraId="5E5BA0E6" w14:textId="77777777" w:rsidR="002C0FD9" w:rsidRPr="00CA25CF" w:rsidRDefault="002C0FD9" w:rsidP="00CA25CF">
            <w:pPr>
              <w:rPr>
                <w:rFonts w:cs="Arial"/>
                <w:color w:val="FF0000"/>
                <w:sz w:val="21"/>
                <w:szCs w:val="21"/>
              </w:rPr>
            </w:pPr>
          </w:p>
        </w:tc>
        <w:tc>
          <w:tcPr>
            <w:tcW w:w="217" w:type="dxa"/>
          </w:tcPr>
          <w:p w14:paraId="7C3879DB" w14:textId="77777777" w:rsidR="002C0FD9" w:rsidRPr="00CA25CF" w:rsidRDefault="002C0FD9" w:rsidP="00CA25CF">
            <w:pPr>
              <w:rPr>
                <w:rFonts w:cs="Arial"/>
                <w:color w:val="FF0000"/>
                <w:sz w:val="21"/>
                <w:szCs w:val="21"/>
              </w:rPr>
            </w:pPr>
          </w:p>
        </w:tc>
        <w:tc>
          <w:tcPr>
            <w:tcW w:w="217" w:type="dxa"/>
          </w:tcPr>
          <w:p w14:paraId="1DA7D2C0" w14:textId="77777777" w:rsidR="002C0FD9" w:rsidRPr="00CA25CF" w:rsidRDefault="002C0FD9" w:rsidP="00CA25CF">
            <w:pPr>
              <w:rPr>
                <w:rFonts w:cs="Arial"/>
                <w:color w:val="FF0000"/>
                <w:sz w:val="21"/>
                <w:szCs w:val="21"/>
              </w:rPr>
            </w:pPr>
          </w:p>
        </w:tc>
        <w:tc>
          <w:tcPr>
            <w:tcW w:w="217" w:type="dxa"/>
          </w:tcPr>
          <w:p w14:paraId="283032F3" w14:textId="2DFEEB62" w:rsidR="002C0FD9" w:rsidRPr="00CA25CF" w:rsidRDefault="002C0FD9" w:rsidP="00CA25CF">
            <w:pPr>
              <w:rPr>
                <w:rFonts w:cs="Arial"/>
                <w:color w:val="FF0000"/>
                <w:sz w:val="21"/>
                <w:szCs w:val="21"/>
              </w:rPr>
            </w:pPr>
          </w:p>
        </w:tc>
        <w:tc>
          <w:tcPr>
            <w:tcW w:w="217" w:type="dxa"/>
          </w:tcPr>
          <w:p w14:paraId="5C1F6067" w14:textId="77777777" w:rsidR="002C0FD9" w:rsidRPr="00CA25CF" w:rsidRDefault="002C0FD9" w:rsidP="00CA25CF">
            <w:pPr>
              <w:rPr>
                <w:rFonts w:cs="Arial"/>
                <w:color w:val="FF0000"/>
                <w:sz w:val="21"/>
                <w:szCs w:val="21"/>
              </w:rPr>
            </w:pPr>
          </w:p>
        </w:tc>
        <w:tc>
          <w:tcPr>
            <w:tcW w:w="217" w:type="dxa"/>
          </w:tcPr>
          <w:p w14:paraId="3AC23E3D" w14:textId="77777777" w:rsidR="002C0FD9" w:rsidRPr="00CA25CF" w:rsidRDefault="002C0FD9" w:rsidP="00CA25CF">
            <w:pPr>
              <w:rPr>
                <w:rFonts w:cs="Arial"/>
                <w:color w:val="FF0000"/>
                <w:sz w:val="21"/>
                <w:szCs w:val="21"/>
              </w:rPr>
            </w:pPr>
          </w:p>
        </w:tc>
        <w:tc>
          <w:tcPr>
            <w:tcW w:w="217" w:type="dxa"/>
          </w:tcPr>
          <w:p w14:paraId="48DA7670" w14:textId="77777777" w:rsidR="002C0FD9" w:rsidRPr="00CA25CF" w:rsidRDefault="002C0FD9" w:rsidP="00CA25CF">
            <w:pPr>
              <w:rPr>
                <w:rFonts w:cs="Arial"/>
                <w:color w:val="FF0000"/>
                <w:sz w:val="21"/>
                <w:szCs w:val="21"/>
              </w:rPr>
            </w:pPr>
          </w:p>
        </w:tc>
        <w:tc>
          <w:tcPr>
            <w:tcW w:w="217" w:type="dxa"/>
          </w:tcPr>
          <w:p w14:paraId="7FFE7D14" w14:textId="77777777" w:rsidR="002C0FD9" w:rsidRPr="00CA25CF" w:rsidRDefault="002C0FD9" w:rsidP="00CA25CF">
            <w:pPr>
              <w:rPr>
                <w:rFonts w:cs="Arial"/>
                <w:color w:val="FF0000"/>
                <w:sz w:val="21"/>
                <w:szCs w:val="21"/>
              </w:rPr>
            </w:pPr>
          </w:p>
        </w:tc>
        <w:tc>
          <w:tcPr>
            <w:tcW w:w="217" w:type="dxa"/>
          </w:tcPr>
          <w:p w14:paraId="611152A9" w14:textId="77777777" w:rsidR="002C0FD9" w:rsidRPr="00CA25CF" w:rsidRDefault="002C0FD9" w:rsidP="00CA25CF">
            <w:pPr>
              <w:rPr>
                <w:rFonts w:cs="Arial"/>
                <w:color w:val="FF0000"/>
                <w:sz w:val="21"/>
                <w:szCs w:val="21"/>
              </w:rPr>
            </w:pPr>
          </w:p>
        </w:tc>
        <w:tc>
          <w:tcPr>
            <w:tcW w:w="217" w:type="dxa"/>
          </w:tcPr>
          <w:p w14:paraId="709D1AE6" w14:textId="77777777" w:rsidR="002C0FD9" w:rsidRPr="00CA25CF" w:rsidRDefault="002C0FD9" w:rsidP="00CA25CF">
            <w:pPr>
              <w:rPr>
                <w:rFonts w:cs="Arial"/>
                <w:color w:val="FF0000"/>
                <w:sz w:val="21"/>
                <w:szCs w:val="21"/>
              </w:rPr>
            </w:pPr>
          </w:p>
        </w:tc>
        <w:tc>
          <w:tcPr>
            <w:tcW w:w="217" w:type="dxa"/>
          </w:tcPr>
          <w:p w14:paraId="16B82E16" w14:textId="77777777" w:rsidR="002C0FD9" w:rsidRPr="00CA25CF" w:rsidRDefault="002C0FD9" w:rsidP="00CA25CF">
            <w:pPr>
              <w:rPr>
                <w:rFonts w:cs="Arial"/>
                <w:color w:val="FF0000"/>
                <w:sz w:val="21"/>
                <w:szCs w:val="21"/>
              </w:rPr>
            </w:pPr>
          </w:p>
        </w:tc>
        <w:tc>
          <w:tcPr>
            <w:tcW w:w="217" w:type="dxa"/>
          </w:tcPr>
          <w:p w14:paraId="32CCACB4" w14:textId="77777777" w:rsidR="002C0FD9" w:rsidRPr="00CA25CF" w:rsidRDefault="002C0FD9" w:rsidP="00CA25CF">
            <w:pPr>
              <w:rPr>
                <w:rFonts w:cs="Arial"/>
                <w:color w:val="FF0000"/>
                <w:sz w:val="21"/>
                <w:szCs w:val="21"/>
              </w:rPr>
            </w:pPr>
          </w:p>
        </w:tc>
        <w:tc>
          <w:tcPr>
            <w:tcW w:w="217" w:type="dxa"/>
          </w:tcPr>
          <w:p w14:paraId="710A3D65" w14:textId="77777777" w:rsidR="002C0FD9" w:rsidRPr="00CA25CF" w:rsidRDefault="002C0FD9" w:rsidP="00CA25CF">
            <w:pPr>
              <w:rPr>
                <w:rFonts w:cs="Arial"/>
                <w:color w:val="FF0000"/>
                <w:sz w:val="21"/>
                <w:szCs w:val="21"/>
              </w:rPr>
            </w:pPr>
          </w:p>
        </w:tc>
        <w:tc>
          <w:tcPr>
            <w:tcW w:w="217" w:type="dxa"/>
          </w:tcPr>
          <w:p w14:paraId="30E23AE3" w14:textId="77777777" w:rsidR="002C0FD9" w:rsidRPr="00CA25CF" w:rsidRDefault="002C0FD9" w:rsidP="00CA25CF">
            <w:pPr>
              <w:rPr>
                <w:rFonts w:cs="Arial"/>
                <w:color w:val="FF0000"/>
                <w:sz w:val="21"/>
                <w:szCs w:val="21"/>
              </w:rPr>
            </w:pPr>
          </w:p>
        </w:tc>
        <w:tc>
          <w:tcPr>
            <w:tcW w:w="217" w:type="dxa"/>
          </w:tcPr>
          <w:p w14:paraId="71F9DF38" w14:textId="77777777" w:rsidR="002C0FD9" w:rsidRPr="00CA25CF" w:rsidRDefault="002C0FD9" w:rsidP="00CA25CF">
            <w:pPr>
              <w:rPr>
                <w:rFonts w:cs="Arial"/>
                <w:color w:val="FF0000"/>
                <w:sz w:val="21"/>
                <w:szCs w:val="21"/>
              </w:rPr>
            </w:pPr>
          </w:p>
        </w:tc>
        <w:tc>
          <w:tcPr>
            <w:tcW w:w="217" w:type="dxa"/>
          </w:tcPr>
          <w:p w14:paraId="19F54F7F" w14:textId="77777777" w:rsidR="002C0FD9" w:rsidRPr="00CA25CF" w:rsidRDefault="002C0FD9" w:rsidP="00CA25CF">
            <w:pPr>
              <w:rPr>
                <w:rFonts w:cs="Arial"/>
                <w:color w:val="FF0000"/>
                <w:sz w:val="21"/>
                <w:szCs w:val="21"/>
              </w:rPr>
            </w:pPr>
          </w:p>
        </w:tc>
        <w:tc>
          <w:tcPr>
            <w:tcW w:w="217" w:type="dxa"/>
          </w:tcPr>
          <w:p w14:paraId="72F7810B" w14:textId="77777777" w:rsidR="002C0FD9" w:rsidRPr="00CA25CF" w:rsidRDefault="002C0FD9" w:rsidP="00CA25CF">
            <w:pPr>
              <w:rPr>
                <w:rFonts w:cs="Arial"/>
                <w:color w:val="FF0000"/>
                <w:sz w:val="21"/>
                <w:szCs w:val="21"/>
              </w:rPr>
            </w:pPr>
          </w:p>
        </w:tc>
        <w:tc>
          <w:tcPr>
            <w:tcW w:w="217" w:type="dxa"/>
          </w:tcPr>
          <w:p w14:paraId="1C1E6EE5" w14:textId="77777777" w:rsidR="002C0FD9" w:rsidRPr="00CA25CF" w:rsidRDefault="002C0FD9" w:rsidP="00CA25CF">
            <w:pPr>
              <w:rPr>
                <w:rFonts w:cs="Arial"/>
                <w:color w:val="FF0000"/>
                <w:sz w:val="21"/>
                <w:szCs w:val="21"/>
              </w:rPr>
            </w:pPr>
          </w:p>
        </w:tc>
        <w:tc>
          <w:tcPr>
            <w:tcW w:w="217" w:type="dxa"/>
          </w:tcPr>
          <w:p w14:paraId="5691103F" w14:textId="77777777" w:rsidR="002C0FD9" w:rsidRPr="00CA25CF" w:rsidRDefault="002C0FD9" w:rsidP="00CA25CF">
            <w:pPr>
              <w:rPr>
                <w:rFonts w:cs="Arial"/>
                <w:color w:val="FF0000"/>
                <w:sz w:val="21"/>
                <w:szCs w:val="21"/>
              </w:rPr>
            </w:pPr>
          </w:p>
        </w:tc>
        <w:tc>
          <w:tcPr>
            <w:tcW w:w="217" w:type="dxa"/>
          </w:tcPr>
          <w:p w14:paraId="16291E8D" w14:textId="77777777" w:rsidR="002C0FD9" w:rsidRPr="00CA25CF" w:rsidRDefault="002C0FD9" w:rsidP="00CA25CF">
            <w:pPr>
              <w:rPr>
                <w:rFonts w:cs="Arial"/>
                <w:color w:val="FF0000"/>
                <w:sz w:val="21"/>
                <w:szCs w:val="21"/>
              </w:rPr>
            </w:pPr>
          </w:p>
        </w:tc>
        <w:tc>
          <w:tcPr>
            <w:tcW w:w="217" w:type="dxa"/>
          </w:tcPr>
          <w:p w14:paraId="4285BCA6" w14:textId="77777777" w:rsidR="002C0FD9" w:rsidRPr="00CA25CF" w:rsidRDefault="002C0FD9" w:rsidP="00CA25CF">
            <w:pPr>
              <w:rPr>
                <w:rFonts w:cs="Arial"/>
                <w:color w:val="FF0000"/>
                <w:sz w:val="21"/>
                <w:szCs w:val="21"/>
              </w:rPr>
            </w:pPr>
          </w:p>
        </w:tc>
        <w:tc>
          <w:tcPr>
            <w:tcW w:w="217" w:type="dxa"/>
          </w:tcPr>
          <w:p w14:paraId="1FA2F357" w14:textId="77777777" w:rsidR="002C0FD9" w:rsidRPr="00CA25CF" w:rsidRDefault="002C0FD9" w:rsidP="00CA25CF">
            <w:pPr>
              <w:rPr>
                <w:rFonts w:cs="Arial"/>
                <w:color w:val="FF0000"/>
                <w:sz w:val="21"/>
                <w:szCs w:val="21"/>
              </w:rPr>
            </w:pPr>
          </w:p>
        </w:tc>
        <w:tc>
          <w:tcPr>
            <w:tcW w:w="217" w:type="dxa"/>
          </w:tcPr>
          <w:p w14:paraId="495E0B93" w14:textId="77777777" w:rsidR="002C0FD9" w:rsidRPr="00CA25CF" w:rsidRDefault="002C0FD9" w:rsidP="00CA25CF">
            <w:pPr>
              <w:rPr>
                <w:rFonts w:cs="Arial"/>
                <w:color w:val="FF0000"/>
                <w:sz w:val="21"/>
                <w:szCs w:val="21"/>
              </w:rPr>
            </w:pPr>
          </w:p>
        </w:tc>
        <w:tc>
          <w:tcPr>
            <w:tcW w:w="217" w:type="dxa"/>
          </w:tcPr>
          <w:p w14:paraId="37EEDE5E" w14:textId="77777777" w:rsidR="002C0FD9" w:rsidRPr="00CA25CF" w:rsidRDefault="002C0FD9" w:rsidP="00CA25CF">
            <w:pPr>
              <w:rPr>
                <w:rFonts w:cs="Arial"/>
                <w:color w:val="FF0000"/>
                <w:sz w:val="21"/>
                <w:szCs w:val="21"/>
              </w:rPr>
            </w:pPr>
          </w:p>
        </w:tc>
        <w:tc>
          <w:tcPr>
            <w:tcW w:w="217" w:type="dxa"/>
          </w:tcPr>
          <w:p w14:paraId="61D59F6D" w14:textId="77777777" w:rsidR="002C0FD9" w:rsidRPr="00CA25CF" w:rsidRDefault="002C0FD9" w:rsidP="00CA25CF">
            <w:pPr>
              <w:rPr>
                <w:rFonts w:cs="Arial"/>
                <w:color w:val="FF0000"/>
                <w:sz w:val="21"/>
                <w:szCs w:val="21"/>
              </w:rPr>
            </w:pPr>
          </w:p>
        </w:tc>
        <w:tc>
          <w:tcPr>
            <w:tcW w:w="217" w:type="dxa"/>
          </w:tcPr>
          <w:p w14:paraId="5B520C49" w14:textId="77777777" w:rsidR="002C0FD9" w:rsidRPr="00CA25CF" w:rsidRDefault="002C0FD9" w:rsidP="00CA25CF">
            <w:pPr>
              <w:rPr>
                <w:rFonts w:cs="Arial"/>
                <w:color w:val="FF0000"/>
                <w:sz w:val="21"/>
                <w:szCs w:val="21"/>
              </w:rPr>
            </w:pPr>
          </w:p>
        </w:tc>
        <w:tc>
          <w:tcPr>
            <w:tcW w:w="217" w:type="dxa"/>
          </w:tcPr>
          <w:p w14:paraId="75AE37BD" w14:textId="77777777" w:rsidR="002C0FD9" w:rsidRPr="00CA25CF" w:rsidRDefault="002C0FD9" w:rsidP="00CA25CF">
            <w:pPr>
              <w:rPr>
                <w:rFonts w:cs="Arial"/>
                <w:color w:val="FF0000"/>
                <w:sz w:val="21"/>
                <w:szCs w:val="21"/>
              </w:rPr>
            </w:pPr>
          </w:p>
        </w:tc>
        <w:tc>
          <w:tcPr>
            <w:tcW w:w="217" w:type="dxa"/>
          </w:tcPr>
          <w:p w14:paraId="379D4B17" w14:textId="77777777" w:rsidR="002C0FD9" w:rsidRPr="00CA25CF" w:rsidRDefault="002C0FD9" w:rsidP="00CA25CF">
            <w:pPr>
              <w:rPr>
                <w:rFonts w:cs="Arial"/>
                <w:color w:val="FF0000"/>
                <w:sz w:val="21"/>
                <w:szCs w:val="21"/>
              </w:rPr>
            </w:pPr>
          </w:p>
        </w:tc>
        <w:tc>
          <w:tcPr>
            <w:tcW w:w="217" w:type="dxa"/>
          </w:tcPr>
          <w:p w14:paraId="28568DBE" w14:textId="77777777" w:rsidR="002C0FD9" w:rsidRPr="00CA25CF" w:rsidRDefault="002C0FD9" w:rsidP="00CA25CF">
            <w:pPr>
              <w:rPr>
                <w:rFonts w:cs="Arial"/>
                <w:color w:val="FF0000"/>
                <w:sz w:val="21"/>
                <w:szCs w:val="21"/>
              </w:rPr>
            </w:pPr>
          </w:p>
        </w:tc>
        <w:tc>
          <w:tcPr>
            <w:tcW w:w="217" w:type="dxa"/>
          </w:tcPr>
          <w:p w14:paraId="1B888A71" w14:textId="77777777" w:rsidR="002C0FD9" w:rsidRPr="00CA25CF" w:rsidRDefault="002C0FD9" w:rsidP="00CA25CF">
            <w:pPr>
              <w:rPr>
                <w:rFonts w:cs="Arial"/>
                <w:color w:val="FF0000"/>
                <w:sz w:val="21"/>
                <w:szCs w:val="21"/>
              </w:rPr>
            </w:pPr>
          </w:p>
        </w:tc>
        <w:tc>
          <w:tcPr>
            <w:tcW w:w="217" w:type="dxa"/>
          </w:tcPr>
          <w:p w14:paraId="6033D16A" w14:textId="77777777" w:rsidR="002C0FD9" w:rsidRPr="00CA25CF" w:rsidRDefault="002C0FD9" w:rsidP="00CA25CF">
            <w:pPr>
              <w:rPr>
                <w:rFonts w:cs="Arial"/>
                <w:color w:val="FF0000"/>
                <w:sz w:val="21"/>
                <w:szCs w:val="21"/>
              </w:rPr>
            </w:pPr>
          </w:p>
        </w:tc>
      </w:tr>
      <w:tr w:rsidR="002C0FD9" w:rsidRPr="00A16219" w14:paraId="095E86CD" w14:textId="2F446D1D" w:rsidTr="002C0FD9">
        <w:trPr>
          <w:trHeight w:val="635"/>
        </w:trPr>
        <w:tc>
          <w:tcPr>
            <w:tcW w:w="515" w:type="dxa"/>
          </w:tcPr>
          <w:p w14:paraId="248598EB" w14:textId="77777777" w:rsidR="002C0FD9" w:rsidRPr="00CA25CF" w:rsidRDefault="002C0FD9" w:rsidP="00CA25CF">
            <w:pPr>
              <w:rPr>
                <w:rFonts w:cs="Arial"/>
                <w:color w:val="FF0000"/>
                <w:sz w:val="21"/>
                <w:szCs w:val="21"/>
              </w:rPr>
            </w:pPr>
          </w:p>
        </w:tc>
        <w:tc>
          <w:tcPr>
            <w:tcW w:w="217" w:type="dxa"/>
          </w:tcPr>
          <w:p w14:paraId="533BB995" w14:textId="77777777" w:rsidR="002C0FD9" w:rsidRPr="00CA25CF" w:rsidRDefault="002C0FD9" w:rsidP="00CA25CF">
            <w:pPr>
              <w:rPr>
                <w:rFonts w:cs="Arial"/>
                <w:color w:val="FF0000"/>
                <w:sz w:val="21"/>
                <w:szCs w:val="21"/>
              </w:rPr>
            </w:pPr>
          </w:p>
        </w:tc>
        <w:tc>
          <w:tcPr>
            <w:tcW w:w="217" w:type="dxa"/>
          </w:tcPr>
          <w:p w14:paraId="34484577" w14:textId="4FFA5FD8" w:rsidR="002C0FD9" w:rsidRPr="00CA25CF" w:rsidRDefault="002C0FD9" w:rsidP="00CA25CF">
            <w:pPr>
              <w:rPr>
                <w:rFonts w:cs="Arial"/>
                <w:color w:val="FF0000"/>
                <w:sz w:val="21"/>
                <w:szCs w:val="21"/>
              </w:rPr>
            </w:pPr>
          </w:p>
        </w:tc>
        <w:tc>
          <w:tcPr>
            <w:tcW w:w="217" w:type="dxa"/>
          </w:tcPr>
          <w:p w14:paraId="539DB4C1" w14:textId="77777777" w:rsidR="002C0FD9" w:rsidRPr="00CA25CF" w:rsidRDefault="002C0FD9" w:rsidP="00CA25CF">
            <w:pPr>
              <w:rPr>
                <w:rFonts w:cs="Arial"/>
                <w:color w:val="FF0000"/>
                <w:sz w:val="21"/>
                <w:szCs w:val="21"/>
              </w:rPr>
            </w:pPr>
          </w:p>
        </w:tc>
        <w:tc>
          <w:tcPr>
            <w:tcW w:w="217" w:type="dxa"/>
          </w:tcPr>
          <w:p w14:paraId="642C37BD" w14:textId="77777777" w:rsidR="002C0FD9" w:rsidRPr="00CA25CF" w:rsidRDefault="002C0FD9" w:rsidP="00CA25CF">
            <w:pPr>
              <w:rPr>
                <w:rFonts w:cs="Arial"/>
                <w:color w:val="FF0000"/>
                <w:sz w:val="21"/>
                <w:szCs w:val="21"/>
              </w:rPr>
            </w:pPr>
          </w:p>
        </w:tc>
        <w:tc>
          <w:tcPr>
            <w:tcW w:w="217" w:type="dxa"/>
          </w:tcPr>
          <w:p w14:paraId="0F632F85" w14:textId="77777777" w:rsidR="002C0FD9" w:rsidRPr="00CA25CF" w:rsidRDefault="002C0FD9" w:rsidP="00CA25CF">
            <w:pPr>
              <w:rPr>
                <w:rFonts w:cs="Arial"/>
                <w:color w:val="FF0000"/>
                <w:sz w:val="21"/>
                <w:szCs w:val="21"/>
              </w:rPr>
            </w:pPr>
          </w:p>
        </w:tc>
        <w:tc>
          <w:tcPr>
            <w:tcW w:w="217" w:type="dxa"/>
          </w:tcPr>
          <w:p w14:paraId="6B22BD55" w14:textId="77777777" w:rsidR="002C0FD9" w:rsidRPr="00CA25CF" w:rsidRDefault="002C0FD9" w:rsidP="00CA25CF">
            <w:pPr>
              <w:rPr>
                <w:rFonts w:cs="Arial"/>
                <w:color w:val="FF0000"/>
                <w:sz w:val="21"/>
                <w:szCs w:val="21"/>
              </w:rPr>
            </w:pPr>
          </w:p>
        </w:tc>
        <w:tc>
          <w:tcPr>
            <w:tcW w:w="217" w:type="dxa"/>
          </w:tcPr>
          <w:p w14:paraId="2EC652AD" w14:textId="77777777" w:rsidR="002C0FD9" w:rsidRPr="00CA25CF" w:rsidRDefault="002C0FD9" w:rsidP="00CA25CF">
            <w:pPr>
              <w:rPr>
                <w:rFonts w:cs="Arial"/>
                <w:color w:val="FF0000"/>
                <w:sz w:val="21"/>
                <w:szCs w:val="21"/>
              </w:rPr>
            </w:pPr>
          </w:p>
        </w:tc>
        <w:tc>
          <w:tcPr>
            <w:tcW w:w="217" w:type="dxa"/>
          </w:tcPr>
          <w:p w14:paraId="00F8F425" w14:textId="77777777" w:rsidR="002C0FD9" w:rsidRPr="00CA25CF" w:rsidRDefault="002C0FD9" w:rsidP="00CA25CF">
            <w:pPr>
              <w:rPr>
                <w:rFonts w:cs="Arial"/>
                <w:color w:val="FF0000"/>
                <w:sz w:val="21"/>
                <w:szCs w:val="21"/>
              </w:rPr>
            </w:pPr>
          </w:p>
        </w:tc>
        <w:tc>
          <w:tcPr>
            <w:tcW w:w="217" w:type="dxa"/>
          </w:tcPr>
          <w:p w14:paraId="69BAEADB" w14:textId="77777777" w:rsidR="002C0FD9" w:rsidRPr="00CA25CF" w:rsidRDefault="002C0FD9" w:rsidP="00CA25CF">
            <w:pPr>
              <w:rPr>
                <w:rFonts w:cs="Arial"/>
                <w:color w:val="FF0000"/>
                <w:sz w:val="21"/>
                <w:szCs w:val="21"/>
              </w:rPr>
            </w:pPr>
          </w:p>
        </w:tc>
        <w:tc>
          <w:tcPr>
            <w:tcW w:w="217" w:type="dxa"/>
          </w:tcPr>
          <w:p w14:paraId="42D0D556" w14:textId="77777777" w:rsidR="002C0FD9" w:rsidRPr="00CA25CF" w:rsidRDefault="002C0FD9" w:rsidP="00CA25CF">
            <w:pPr>
              <w:rPr>
                <w:rFonts w:cs="Arial"/>
                <w:color w:val="FF0000"/>
                <w:sz w:val="21"/>
                <w:szCs w:val="21"/>
              </w:rPr>
            </w:pPr>
          </w:p>
        </w:tc>
        <w:tc>
          <w:tcPr>
            <w:tcW w:w="217" w:type="dxa"/>
          </w:tcPr>
          <w:p w14:paraId="60951A42" w14:textId="77777777" w:rsidR="002C0FD9" w:rsidRPr="00CA25CF" w:rsidRDefault="002C0FD9" w:rsidP="00CA25CF">
            <w:pPr>
              <w:rPr>
                <w:rFonts w:cs="Arial"/>
                <w:color w:val="FF0000"/>
                <w:sz w:val="21"/>
                <w:szCs w:val="21"/>
              </w:rPr>
            </w:pPr>
          </w:p>
        </w:tc>
        <w:tc>
          <w:tcPr>
            <w:tcW w:w="217" w:type="dxa"/>
          </w:tcPr>
          <w:p w14:paraId="531D43E5" w14:textId="77777777" w:rsidR="002C0FD9" w:rsidRPr="00CA25CF" w:rsidRDefault="002C0FD9" w:rsidP="00CA25CF">
            <w:pPr>
              <w:rPr>
                <w:rFonts w:cs="Arial"/>
                <w:color w:val="FF0000"/>
                <w:sz w:val="21"/>
                <w:szCs w:val="21"/>
              </w:rPr>
            </w:pPr>
          </w:p>
        </w:tc>
        <w:tc>
          <w:tcPr>
            <w:tcW w:w="217" w:type="dxa"/>
          </w:tcPr>
          <w:p w14:paraId="24C293F1" w14:textId="77777777" w:rsidR="002C0FD9" w:rsidRPr="00CA25CF" w:rsidRDefault="002C0FD9" w:rsidP="00CA25CF">
            <w:pPr>
              <w:rPr>
                <w:rFonts w:cs="Arial"/>
                <w:color w:val="FF0000"/>
                <w:sz w:val="21"/>
                <w:szCs w:val="21"/>
              </w:rPr>
            </w:pPr>
          </w:p>
        </w:tc>
        <w:tc>
          <w:tcPr>
            <w:tcW w:w="217" w:type="dxa"/>
          </w:tcPr>
          <w:p w14:paraId="57B23FAB" w14:textId="77777777" w:rsidR="002C0FD9" w:rsidRPr="00CA25CF" w:rsidRDefault="002C0FD9" w:rsidP="00CA25CF">
            <w:pPr>
              <w:rPr>
                <w:rFonts w:cs="Arial"/>
                <w:color w:val="FF0000"/>
                <w:sz w:val="21"/>
                <w:szCs w:val="21"/>
              </w:rPr>
            </w:pPr>
          </w:p>
        </w:tc>
        <w:tc>
          <w:tcPr>
            <w:tcW w:w="217" w:type="dxa"/>
          </w:tcPr>
          <w:p w14:paraId="3083BE53" w14:textId="726DFFBD" w:rsidR="002C0FD9" w:rsidRPr="00CA25CF" w:rsidRDefault="002C0FD9" w:rsidP="00CA25CF">
            <w:pPr>
              <w:rPr>
                <w:rFonts w:cs="Arial"/>
                <w:color w:val="FF0000"/>
                <w:sz w:val="21"/>
                <w:szCs w:val="21"/>
              </w:rPr>
            </w:pPr>
          </w:p>
        </w:tc>
        <w:tc>
          <w:tcPr>
            <w:tcW w:w="217" w:type="dxa"/>
          </w:tcPr>
          <w:p w14:paraId="49294F04" w14:textId="77777777" w:rsidR="002C0FD9" w:rsidRPr="00CA25CF" w:rsidRDefault="002C0FD9" w:rsidP="00CA25CF">
            <w:pPr>
              <w:rPr>
                <w:rFonts w:cs="Arial"/>
                <w:color w:val="FF0000"/>
                <w:sz w:val="21"/>
                <w:szCs w:val="21"/>
              </w:rPr>
            </w:pPr>
          </w:p>
        </w:tc>
        <w:tc>
          <w:tcPr>
            <w:tcW w:w="217" w:type="dxa"/>
          </w:tcPr>
          <w:p w14:paraId="50C936A0" w14:textId="77777777" w:rsidR="002C0FD9" w:rsidRPr="00CA25CF" w:rsidRDefault="002C0FD9" w:rsidP="00CA25CF">
            <w:pPr>
              <w:rPr>
                <w:rFonts w:cs="Arial"/>
                <w:color w:val="FF0000"/>
                <w:sz w:val="21"/>
                <w:szCs w:val="21"/>
              </w:rPr>
            </w:pPr>
          </w:p>
        </w:tc>
        <w:tc>
          <w:tcPr>
            <w:tcW w:w="217" w:type="dxa"/>
          </w:tcPr>
          <w:p w14:paraId="524180B9" w14:textId="77777777" w:rsidR="002C0FD9" w:rsidRPr="00CA25CF" w:rsidRDefault="002C0FD9" w:rsidP="00CA25CF">
            <w:pPr>
              <w:rPr>
                <w:rFonts w:cs="Arial"/>
                <w:color w:val="FF0000"/>
                <w:sz w:val="21"/>
                <w:szCs w:val="21"/>
              </w:rPr>
            </w:pPr>
          </w:p>
        </w:tc>
        <w:tc>
          <w:tcPr>
            <w:tcW w:w="217" w:type="dxa"/>
          </w:tcPr>
          <w:p w14:paraId="35F428ED" w14:textId="77777777" w:rsidR="002C0FD9" w:rsidRPr="00CA25CF" w:rsidRDefault="002C0FD9" w:rsidP="00CA25CF">
            <w:pPr>
              <w:rPr>
                <w:rFonts w:cs="Arial"/>
                <w:color w:val="FF0000"/>
                <w:sz w:val="21"/>
                <w:szCs w:val="21"/>
              </w:rPr>
            </w:pPr>
          </w:p>
        </w:tc>
        <w:tc>
          <w:tcPr>
            <w:tcW w:w="217" w:type="dxa"/>
          </w:tcPr>
          <w:p w14:paraId="72D2DF44" w14:textId="77777777" w:rsidR="002C0FD9" w:rsidRPr="00CA25CF" w:rsidRDefault="002C0FD9" w:rsidP="00CA25CF">
            <w:pPr>
              <w:rPr>
                <w:rFonts w:cs="Arial"/>
                <w:color w:val="FF0000"/>
                <w:sz w:val="21"/>
                <w:szCs w:val="21"/>
              </w:rPr>
            </w:pPr>
          </w:p>
        </w:tc>
        <w:tc>
          <w:tcPr>
            <w:tcW w:w="217" w:type="dxa"/>
          </w:tcPr>
          <w:p w14:paraId="1ECC255F" w14:textId="77777777" w:rsidR="002C0FD9" w:rsidRPr="00CA25CF" w:rsidRDefault="002C0FD9" w:rsidP="00CA25CF">
            <w:pPr>
              <w:rPr>
                <w:rFonts w:cs="Arial"/>
                <w:color w:val="FF0000"/>
                <w:sz w:val="21"/>
                <w:szCs w:val="21"/>
              </w:rPr>
            </w:pPr>
          </w:p>
        </w:tc>
        <w:tc>
          <w:tcPr>
            <w:tcW w:w="217" w:type="dxa"/>
          </w:tcPr>
          <w:p w14:paraId="6F1AC561" w14:textId="77777777" w:rsidR="002C0FD9" w:rsidRPr="00CA25CF" w:rsidRDefault="002C0FD9" w:rsidP="00CA25CF">
            <w:pPr>
              <w:rPr>
                <w:rFonts w:cs="Arial"/>
                <w:color w:val="FF0000"/>
                <w:sz w:val="21"/>
                <w:szCs w:val="21"/>
              </w:rPr>
            </w:pPr>
          </w:p>
        </w:tc>
        <w:tc>
          <w:tcPr>
            <w:tcW w:w="217" w:type="dxa"/>
          </w:tcPr>
          <w:p w14:paraId="7112FDE4" w14:textId="77777777" w:rsidR="002C0FD9" w:rsidRPr="00CA25CF" w:rsidRDefault="002C0FD9" w:rsidP="00CA25CF">
            <w:pPr>
              <w:rPr>
                <w:rFonts w:cs="Arial"/>
                <w:color w:val="FF0000"/>
                <w:sz w:val="21"/>
                <w:szCs w:val="21"/>
              </w:rPr>
            </w:pPr>
          </w:p>
        </w:tc>
        <w:tc>
          <w:tcPr>
            <w:tcW w:w="217" w:type="dxa"/>
          </w:tcPr>
          <w:p w14:paraId="00A30400" w14:textId="77777777" w:rsidR="002C0FD9" w:rsidRPr="00CA25CF" w:rsidRDefault="002C0FD9" w:rsidP="00CA25CF">
            <w:pPr>
              <w:rPr>
                <w:rFonts w:cs="Arial"/>
                <w:color w:val="FF0000"/>
                <w:sz w:val="21"/>
                <w:szCs w:val="21"/>
              </w:rPr>
            </w:pPr>
          </w:p>
        </w:tc>
        <w:tc>
          <w:tcPr>
            <w:tcW w:w="217" w:type="dxa"/>
          </w:tcPr>
          <w:p w14:paraId="08DD2455" w14:textId="77777777" w:rsidR="002C0FD9" w:rsidRPr="00CA25CF" w:rsidRDefault="002C0FD9" w:rsidP="00CA25CF">
            <w:pPr>
              <w:rPr>
                <w:rFonts w:cs="Arial"/>
                <w:color w:val="FF0000"/>
                <w:sz w:val="21"/>
                <w:szCs w:val="21"/>
              </w:rPr>
            </w:pPr>
          </w:p>
        </w:tc>
        <w:tc>
          <w:tcPr>
            <w:tcW w:w="217" w:type="dxa"/>
          </w:tcPr>
          <w:p w14:paraId="26C78A6D" w14:textId="77777777" w:rsidR="002C0FD9" w:rsidRPr="00CA25CF" w:rsidRDefault="002C0FD9" w:rsidP="00CA25CF">
            <w:pPr>
              <w:rPr>
                <w:rFonts w:cs="Arial"/>
                <w:color w:val="FF0000"/>
                <w:sz w:val="21"/>
                <w:szCs w:val="21"/>
              </w:rPr>
            </w:pPr>
          </w:p>
        </w:tc>
        <w:tc>
          <w:tcPr>
            <w:tcW w:w="217" w:type="dxa"/>
          </w:tcPr>
          <w:p w14:paraId="501649C2" w14:textId="77777777" w:rsidR="002C0FD9" w:rsidRPr="00CA25CF" w:rsidRDefault="002C0FD9" w:rsidP="00CA25CF">
            <w:pPr>
              <w:rPr>
                <w:rFonts w:cs="Arial"/>
                <w:color w:val="FF0000"/>
                <w:sz w:val="21"/>
                <w:szCs w:val="21"/>
              </w:rPr>
            </w:pPr>
          </w:p>
        </w:tc>
        <w:tc>
          <w:tcPr>
            <w:tcW w:w="217" w:type="dxa"/>
          </w:tcPr>
          <w:p w14:paraId="0218649F" w14:textId="77777777" w:rsidR="002C0FD9" w:rsidRPr="00CA25CF" w:rsidRDefault="002C0FD9" w:rsidP="00CA25CF">
            <w:pPr>
              <w:rPr>
                <w:rFonts w:cs="Arial"/>
                <w:color w:val="FF0000"/>
                <w:sz w:val="21"/>
                <w:szCs w:val="21"/>
              </w:rPr>
            </w:pPr>
          </w:p>
        </w:tc>
        <w:tc>
          <w:tcPr>
            <w:tcW w:w="217" w:type="dxa"/>
          </w:tcPr>
          <w:p w14:paraId="7CD8C80D" w14:textId="77777777" w:rsidR="002C0FD9" w:rsidRPr="00CA25CF" w:rsidRDefault="002C0FD9" w:rsidP="00CA25CF">
            <w:pPr>
              <w:rPr>
                <w:rFonts w:cs="Arial"/>
                <w:color w:val="FF0000"/>
                <w:sz w:val="21"/>
                <w:szCs w:val="21"/>
              </w:rPr>
            </w:pPr>
          </w:p>
        </w:tc>
        <w:tc>
          <w:tcPr>
            <w:tcW w:w="217" w:type="dxa"/>
          </w:tcPr>
          <w:p w14:paraId="237FA5F2" w14:textId="77777777" w:rsidR="002C0FD9" w:rsidRPr="00CA25CF" w:rsidRDefault="002C0FD9" w:rsidP="00CA25CF">
            <w:pPr>
              <w:rPr>
                <w:rFonts w:cs="Arial"/>
                <w:color w:val="FF0000"/>
                <w:sz w:val="21"/>
                <w:szCs w:val="21"/>
              </w:rPr>
            </w:pPr>
          </w:p>
        </w:tc>
        <w:tc>
          <w:tcPr>
            <w:tcW w:w="217" w:type="dxa"/>
          </w:tcPr>
          <w:p w14:paraId="730DEBAF" w14:textId="77777777" w:rsidR="002C0FD9" w:rsidRPr="00CA25CF" w:rsidRDefault="002C0FD9" w:rsidP="00CA25CF">
            <w:pPr>
              <w:rPr>
                <w:rFonts w:cs="Arial"/>
                <w:color w:val="FF0000"/>
                <w:sz w:val="21"/>
                <w:szCs w:val="21"/>
              </w:rPr>
            </w:pPr>
          </w:p>
        </w:tc>
        <w:tc>
          <w:tcPr>
            <w:tcW w:w="217" w:type="dxa"/>
          </w:tcPr>
          <w:p w14:paraId="7817904E" w14:textId="77777777" w:rsidR="002C0FD9" w:rsidRPr="00CA25CF" w:rsidRDefault="002C0FD9" w:rsidP="00CA25CF">
            <w:pPr>
              <w:rPr>
                <w:rFonts w:cs="Arial"/>
                <w:color w:val="FF0000"/>
                <w:sz w:val="21"/>
                <w:szCs w:val="21"/>
              </w:rPr>
            </w:pPr>
          </w:p>
        </w:tc>
        <w:tc>
          <w:tcPr>
            <w:tcW w:w="217" w:type="dxa"/>
          </w:tcPr>
          <w:p w14:paraId="3B080A94" w14:textId="77777777" w:rsidR="002C0FD9" w:rsidRPr="00CA25CF" w:rsidRDefault="002C0FD9" w:rsidP="00CA25CF">
            <w:pPr>
              <w:rPr>
                <w:rFonts w:cs="Arial"/>
                <w:color w:val="FF0000"/>
                <w:sz w:val="21"/>
                <w:szCs w:val="21"/>
              </w:rPr>
            </w:pPr>
          </w:p>
        </w:tc>
        <w:tc>
          <w:tcPr>
            <w:tcW w:w="217" w:type="dxa"/>
          </w:tcPr>
          <w:p w14:paraId="3E8AAE8D" w14:textId="77777777" w:rsidR="002C0FD9" w:rsidRPr="00CA25CF" w:rsidRDefault="002C0FD9" w:rsidP="00CA25CF">
            <w:pPr>
              <w:rPr>
                <w:rFonts w:cs="Arial"/>
                <w:color w:val="FF0000"/>
                <w:sz w:val="21"/>
                <w:szCs w:val="21"/>
              </w:rPr>
            </w:pPr>
          </w:p>
        </w:tc>
        <w:tc>
          <w:tcPr>
            <w:tcW w:w="217" w:type="dxa"/>
          </w:tcPr>
          <w:p w14:paraId="69572871" w14:textId="77777777" w:rsidR="002C0FD9" w:rsidRPr="00CA25CF" w:rsidRDefault="002C0FD9" w:rsidP="00CA25CF">
            <w:pPr>
              <w:rPr>
                <w:rFonts w:cs="Arial"/>
                <w:color w:val="FF0000"/>
                <w:sz w:val="21"/>
                <w:szCs w:val="21"/>
              </w:rPr>
            </w:pPr>
          </w:p>
        </w:tc>
        <w:tc>
          <w:tcPr>
            <w:tcW w:w="217" w:type="dxa"/>
          </w:tcPr>
          <w:p w14:paraId="4FB7735B" w14:textId="77777777" w:rsidR="002C0FD9" w:rsidRPr="00CA25CF" w:rsidRDefault="002C0FD9" w:rsidP="00CA25CF">
            <w:pPr>
              <w:rPr>
                <w:rFonts w:cs="Arial"/>
                <w:color w:val="FF0000"/>
                <w:sz w:val="21"/>
                <w:szCs w:val="21"/>
              </w:rPr>
            </w:pPr>
          </w:p>
        </w:tc>
        <w:tc>
          <w:tcPr>
            <w:tcW w:w="217" w:type="dxa"/>
          </w:tcPr>
          <w:p w14:paraId="4BD15102" w14:textId="77777777" w:rsidR="002C0FD9" w:rsidRPr="00CA25CF" w:rsidRDefault="002C0FD9" w:rsidP="00CA25CF">
            <w:pPr>
              <w:rPr>
                <w:rFonts w:cs="Arial"/>
                <w:color w:val="FF0000"/>
                <w:sz w:val="21"/>
                <w:szCs w:val="21"/>
              </w:rPr>
            </w:pPr>
          </w:p>
        </w:tc>
        <w:tc>
          <w:tcPr>
            <w:tcW w:w="217" w:type="dxa"/>
          </w:tcPr>
          <w:p w14:paraId="381DA998" w14:textId="77777777" w:rsidR="002C0FD9" w:rsidRPr="00CA25CF" w:rsidRDefault="002C0FD9" w:rsidP="00CA25CF">
            <w:pPr>
              <w:rPr>
                <w:rFonts w:cs="Arial"/>
                <w:color w:val="FF0000"/>
                <w:sz w:val="21"/>
                <w:szCs w:val="21"/>
              </w:rPr>
            </w:pPr>
          </w:p>
        </w:tc>
        <w:tc>
          <w:tcPr>
            <w:tcW w:w="217" w:type="dxa"/>
          </w:tcPr>
          <w:p w14:paraId="65000D53" w14:textId="77777777" w:rsidR="002C0FD9" w:rsidRPr="00CA25CF" w:rsidRDefault="002C0FD9" w:rsidP="00CA25CF">
            <w:pPr>
              <w:rPr>
                <w:rFonts w:cs="Arial"/>
                <w:color w:val="FF0000"/>
                <w:sz w:val="21"/>
                <w:szCs w:val="21"/>
              </w:rPr>
            </w:pPr>
          </w:p>
        </w:tc>
        <w:tc>
          <w:tcPr>
            <w:tcW w:w="217" w:type="dxa"/>
          </w:tcPr>
          <w:p w14:paraId="4E0C1293" w14:textId="77777777" w:rsidR="002C0FD9" w:rsidRPr="00CA25CF" w:rsidRDefault="002C0FD9" w:rsidP="00CA25CF">
            <w:pPr>
              <w:rPr>
                <w:rFonts w:cs="Arial"/>
                <w:color w:val="FF0000"/>
                <w:sz w:val="21"/>
                <w:szCs w:val="21"/>
              </w:rPr>
            </w:pPr>
          </w:p>
        </w:tc>
        <w:tc>
          <w:tcPr>
            <w:tcW w:w="217" w:type="dxa"/>
          </w:tcPr>
          <w:p w14:paraId="4031810C" w14:textId="77777777" w:rsidR="002C0FD9" w:rsidRPr="00CA25CF" w:rsidRDefault="002C0FD9" w:rsidP="00CA25CF">
            <w:pPr>
              <w:rPr>
                <w:rFonts w:cs="Arial"/>
                <w:color w:val="FF0000"/>
                <w:sz w:val="21"/>
                <w:szCs w:val="21"/>
              </w:rPr>
            </w:pPr>
          </w:p>
        </w:tc>
        <w:tc>
          <w:tcPr>
            <w:tcW w:w="217" w:type="dxa"/>
          </w:tcPr>
          <w:p w14:paraId="46307590" w14:textId="77777777" w:rsidR="002C0FD9" w:rsidRPr="00CA25CF" w:rsidRDefault="002C0FD9" w:rsidP="00CA25CF">
            <w:pPr>
              <w:rPr>
                <w:rFonts w:cs="Arial"/>
                <w:color w:val="FF0000"/>
                <w:sz w:val="21"/>
                <w:szCs w:val="21"/>
              </w:rPr>
            </w:pPr>
          </w:p>
        </w:tc>
      </w:tr>
      <w:tr w:rsidR="002C0FD9" w:rsidRPr="00A16219" w14:paraId="29E1C5CD" w14:textId="4A679EB1" w:rsidTr="002C0FD9">
        <w:trPr>
          <w:trHeight w:val="635"/>
        </w:trPr>
        <w:tc>
          <w:tcPr>
            <w:tcW w:w="515" w:type="dxa"/>
          </w:tcPr>
          <w:p w14:paraId="0A6612AF" w14:textId="77777777" w:rsidR="002C0FD9" w:rsidRPr="00CA25CF" w:rsidRDefault="002C0FD9" w:rsidP="00CA25CF">
            <w:pPr>
              <w:rPr>
                <w:rFonts w:cs="Arial"/>
                <w:color w:val="FF0000"/>
                <w:sz w:val="21"/>
                <w:szCs w:val="21"/>
              </w:rPr>
            </w:pPr>
          </w:p>
        </w:tc>
        <w:tc>
          <w:tcPr>
            <w:tcW w:w="217" w:type="dxa"/>
          </w:tcPr>
          <w:p w14:paraId="7D61A9B4" w14:textId="77777777" w:rsidR="002C0FD9" w:rsidRPr="00CA25CF" w:rsidRDefault="002C0FD9" w:rsidP="00CA25CF">
            <w:pPr>
              <w:rPr>
                <w:rFonts w:cs="Arial"/>
                <w:color w:val="FF0000"/>
                <w:sz w:val="21"/>
                <w:szCs w:val="21"/>
              </w:rPr>
            </w:pPr>
          </w:p>
        </w:tc>
        <w:tc>
          <w:tcPr>
            <w:tcW w:w="217" w:type="dxa"/>
          </w:tcPr>
          <w:p w14:paraId="08E77D7F" w14:textId="6AEF677A" w:rsidR="002C0FD9" w:rsidRPr="00CA25CF" w:rsidRDefault="002C0FD9" w:rsidP="00CA25CF">
            <w:pPr>
              <w:rPr>
                <w:rFonts w:cs="Arial"/>
                <w:color w:val="FF0000"/>
                <w:sz w:val="21"/>
                <w:szCs w:val="21"/>
              </w:rPr>
            </w:pPr>
          </w:p>
        </w:tc>
        <w:tc>
          <w:tcPr>
            <w:tcW w:w="217" w:type="dxa"/>
          </w:tcPr>
          <w:p w14:paraId="33C63446" w14:textId="77777777" w:rsidR="002C0FD9" w:rsidRPr="00CA25CF" w:rsidRDefault="002C0FD9" w:rsidP="00CA25CF">
            <w:pPr>
              <w:rPr>
                <w:rFonts w:cs="Arial"/>
                <w:color w:val="FF0000"/>
                <w:sz w:val="21"/>
                <w:szCs w:val="21"/>
              </w:rPr>
            </w:pPr>
          </w:p>
        </w:tc>
        <w:tc>
          <w:tcPr>
            <w:tcW w:w="217" w:type="dxa"/>
          </w:tcPr>
          <w:p w14:paraId="55D031AD" w14:textId="77777777" w:rsidR="002C0FD9" w:rsidRPr="00CA25CF" w:rsidRDefault="002C0FD9" w:rsidP="00CA25CF">
            <w:pPr>
              <w:rPr>
                <w:rFonts w:cs="Arial"/>
                <w:color w:val="FF0000"/>
                <w:sz w:val="21"/>
                <w:szCs w:val="21"/>
              </w:rPr>
            </w:pPr>
          </w:p>
        </w:tc>
        <w:tc>
          <w:tcPr>
            <w:tcW w:w="217" w:type="dxa"/>
          </w:tcPr>
          <w:p w14:paraId="2F0EA84B" w14:textId="77777777" w:rsidR="002C0FD9" w:rsidRPr="00CA25CF" w:rsidRDefault="002C0FD9" w:rsidP="00CA25CF">
            <w:pPr>
              <w:rPr>
                <w:rFonts w:cs="Arial"/>
                <w:color w:val="FF0000"/>
                <w:sz w:val="21"/>
                <w:szCs w:val="21"/>
              </w:rPr>
            </w:pPr>
          </w:p>
        </w:tc>
        <w:tc>
          <w:tcPr>
            <w:tcW w:w="217" w:type="dxa"/>
          </w:tcPr>
          <w:p w14:paraId="605B150B" w14:textId="77777777" w:rsidR="002C0FD9" w:rsidRPr="00CA25CF" w:rsidRDefault="002C0FD9" w:rsidP="00CA25CF">
            <w:pPr>
              <w:rPr>
                <w:rFonts w:cs="Arial"/>
                <w:color w:val="FF0000"/>
                <w:sz w:val="21"/>
                <w:szCs w:val="21"/>
              </w:rPr>
            </w:pPr>
          </w:p>
        </w:tc>
        <w:tc>
          <w:tcPr>
            <w:tcW w:w="217" w:type="dxa"/>
          </w:tcPr>
          <w:p w14:paraId="214331FF" w14:textId="77777777" w:rsidR="002C0FD9" w:rsidRPr="00CA25CF" w:rsidRDefault="002C0FD9" w:rsidP="00CA25CF">
            <w:pPr>
              <w:rPr>
                <w:rFonts w:cs="Arial"/>
                <w:color w:val="FF0000"/>
                <w:sz w:val="21"/>
                <w:szCs w:val="21"/>
              </w:rPr>
            </w:pPr>
          </w:p>
        </w:tc>
        <w:tc>
          <w:tcPr>
            <w:tcW w:w="217" w:type="dxa"/>
          </w:tcPr>
          <w:p w14:paraId="3DD78CEC" w14:textId="77777777" w:rsidR="002C0FD9" w:rsidRPr="00CA25CF" w:rsidRDefault="002C0FD9" w:rsidP="00CA25CF">
            <w:pPr>
              <w:rPr>
                <w:rFonts w:cs="Arial"/>
                <w:color w:val="FF0000"/>
                <w:sz w:val="21"/>
                <w:szCs w:val="21"/>
              </w:rPr>
            </w:pPr>
          </w:p>
        </w:tc>
        <w:tc>
          <w:tcPr>
            <w:tcW w:w="217" w:type="dxa"/>
          </w:tcPr>
          <w:p w14:paraId="114609D6" w14:textId="77777777" w:rsidR="002C0FD9" w:rsidRPr="00CA25CF" w:rsidRDefault="002C0FD9" w:rsidP="00CA25CF">
            <w:pPr>
              <w:rPr>
                <w:rFonts w:cs="Arial"/>
                <w:color w:val="FF0000"/>
                <w:sz w:val="21"/>
                <w:szCs w:val="21"/>
              </w:rPr>
            </w:pPr>
          </w:p>
        </w:tc>
        <w:tc>
          <w:tcPr>
            <w:tcW w:w="217" w:type="dxa"/>
          </w:tcPr>
          <w:p w14:paraId="46F410E3" w14:textId="77777777" w:rsidR="002C0FD9" w:rsidRPr="00CA25CF" w:rsidRDefault="002C0FD9" w:rsidP="00CA25CF">
            <w:pPr>
              <w:rPr>
                <w:rFonts w:cs="Arial"/>
                <w:color w:val="FF0000"/>
                <w:sz w:val="21"/>
                <w:szCs w:val="21"/>
              </w:rPr>
            </w:pPr>
          </w:p>
        </w:tc>
        <w:tc>
          <w:tcPr>
            <w:tcW w:w="217" w:type="dxa"/>
          </w:tcPr>
          <w:p w14:paraId="1C38AC82" w14:textId="77777777" w:rsidR="002C0FD9" w:rsidRPr="00CA25CF" w:rsidRDefault="002C0FD9" w:rsidP="00CA25CF">
            <w:pPr>
              <w:rPr>
                <w:rFonts w:cs="Arial"/>
                <w:color w:val="FF0000"/>
                <w:sz w:val="21"/>
                <w:szCs w:val="21"/>
              </w:rPr>
            </w:pPr>
          </w:p>
        </w:tc>
        <w:tc>
          <w:tcPr>
            <w:tcW w:w="217" w:type="dxa"/>
          </w:tcPr>
          <w:p w14:paraId="453EBB1D" w14:textId="77777777" w:rsidR="002C0FD9" w:rsidRPr="00CA25CF" w:rsidRDefault="002C0FD9" w:rsidP="00CA25CF">
            <w:pPr>
              <w:rPr>
                <w:rFonts w:cs="Arial"/>
                <w:color w:val="FF0000"/>
                <w:sz w:val="21"/>
                <w:szCs w:val="21"/>
              </w:rPr>
            </w:pPr>
          </w:p>
        </w:tc>
        <w:tc>
          <w:tcPr>
            <w:tcW w:w="217" w:type="dxa"/>
          </w:tcPr>
          <w:p w14:paraId="129D10BE" w14:textId="77777777" w:rsidR="002C0FD9" w:rsidRPr="00CA25CF" w:rsidRDefault="002C0FD9" w:rsidP="00CA25CF">
            <w:pPr>
              <w:rPr>
                <w:rFonts w:cs="Arial"/>
                <w:color w:val="FF0000"/>
                <w:sz w:val="21"/>
                <w:szCs w:val="21"/>
              </w:rPr>
            </w:pPr>
          </w:p>
        </w:tc>
        <w:tc>
          <w:tcPr>
            <w:tcW w:w="217" w:type="dxa"/>
          </w:tcPr>
          <w:p w14:paraId="2E980E42" w14:textId="77777777" w:rsidR="002C0FD9" w:rsidRPr="00CA25CF" w:rsidRDefault="002C0FD9" w:rsidP="00CA25CF">
            <w:pPr>
              <w:rPr>
                <w:rFonts w:cs="Arial"/>
                <w:color w:val="FF0000"/>
                <w:sz w:val="21"/>
                <w:szCs w:val="21"/>
              </w:rPr>
            </w:pPr>
          </w:p>
        </w:tc>
        <w:tc>
          <w:tcPr>
            <w:tcW w:w="217" w:type="dxa"/>
          </w:tcPr>
          <w:p w14:paraId="1C5621CD" w14:textId="1A9AC07F" w:rsidR="002C0FD9" w:rsidRPr="00CA25CF" w:rsidRDefault="002C0FD9" w:rsidP="00CA25CF">
            <w:pPr>
              <w:rPr>
                <w:rFonts w:cs="Arial"/>
                <w:color w:val="FF0000"/>
                <w:sz w:val="21"/>
                <w:szCs w:val="21"/>
              </w:rPr>
            </w:pPr>
          </w:p>
        </w:tc>
        <w:tc>
          <w:tcPr>
            <w:tcW w:w="217" w:type="dxa"/>
          </w:tcPr>
          <w:p w14:paraId="2F5B662D" w14:textId="77777777" w:rsidR="002C0FD9" w:rsidRPr="00CA25CF" w:rsidRDefault="002C0FD9" w:rsidP="00CA25CF">
            <w:pPr>
              <w:rPr>
                <w:rFonts w:cs="Arial"/>
                <w:color w:val="FF0000"/>
                <w:sz w:val="21"/>
                <w:szCs w:val="21"/>
              </w:rPr>
            </w:pPr>
          </w:p>
        </w:tc>
        <w:tc>
          <w:tcPr>
            <w:tcW w:w="217" w:type="dxa"/>
          </w:tcPr>
          <w:p w14:paraId="606BA8BC" w14:textId="77777777" w:rsidR="002C0FD9" w:rsidRPr="00CA25CF" w:rsidRDefault="002C0FD9" w:rsidP="00CA25CF">
            <w:pPr>
              <w:rPr>
                <w:rFonts w:cs="Arial"/>
                <w:color w:val="FF0000"/>
                <w:sz w:val="21"/>
                <w:szCs w:val="21"/>
              </w:rPr>
            </w:pPr>
          </w:p>
        </w:tc>
        <w:tc>
          <w:tcPr>
            <w:tcW w:w="217" w:type="dxa"/>
          </w:tcPr>
          <w:p w14:paraId="1D350CB7" w14:textId="77777777" w:rsidR="002C0FD9" w:rsidRPr="00CA25CF" w:rsidRDefault="002C0FD9" w:rsidP="00CA25CF">
            <w:pPr>
              <w:rPr>
                <w:rFonts w:cs="Arial"/>
                <w:color w:val="FF0000"/>
                <w:sz w:val="21"/>
                <w:szCs w:val="21"/>
              </w:rPr>
            </w:pPr>
          </w:p>
        </w:tc>
        <w:tc>
          <w:tcPr>
            <w:tcW w:w="217" w:type="dxa"/>
          </w:tcPr>
          <w:p w14:paraId="173588D9" w14:textId="77777777" w:rsidR="002C0FD9" w:rsidRPr="00CA25CF" w:rsidRDefault="002C0FD9" w:rsidP="00CA25CF">
            <w:pPr>
              <w:rPr>
                <w:rFonts w:cs="Arial"/>
                <w:color w:val="FF0000"/>
                <w:sz w:val="21"/>
                <w:szCs w:val="21"/>
              </w:rPr>
            </w:pPr>
          </w:p>
        </w:tc>
        <w:tc>
          <w:tcPr>
            <w:tcW w:w="217" w:type="dxa"/>
          </w:tcPr>
          <w:p w14:paraId="7BCFA16E" w14:textId="77777777" w:rsidR="002C0FD9" w:rsidRPr="00CA25CF" w:rsidRDefault="002C0FD9" w:rsidP="00CA25CF">
            <w:pPr>
              <w:rPr>
                <w:rFonts w:cs="Arial"/>
                <w:color w:val="FF0000"/>
                <w:sz w:val="21"/>
                <w:szCs w:val="21"/>
              </w:rPr>
            </w:pPr>
          </w:p>
        </w:tc>
        <w:tc>
          <w:tcPr>
            <w:tcW w:w="217" w:type="dxa"/>
          </w:tcPr>
          <w:p w14:paraId="6770E66E" w14:textId="77777777" w:rsidR="002C0FD9" w:rsidRPr="00CA25CF" w:rsidRDefault="002C0FD9" w:rsidP="00CA25CF">
            <w:pPr>
              <w:rPr>
                <w:rFonts w:cs="Arial"/>
                <w:color w:val="FF0000"/>
                <w:sz w:val="21"/>
                <w:szCs w:val="21"/>
              </w:rPr>
            </w:pPr>
          </w:p>
        </w:tc>
        <w:tc>
          <w:tcPr>
            <w:tcW w:w="217" w:type="dxa"/>
          </w:tcPr>
          <w:p w14:paraId="043FD32E" w14:textId="77777777" w:rsidR="002C0FD9" w:rsidRPr="00CA25CF" w:rsidRDefault="002C0FD9" w:rsidP="00CA25CF">
            <w:pPr>
              <w:rPr>
                <w:rFonts w:cs="Arial"/>
                <w:color w:val="FF0000"/>
                <w:sz w:val="21"/>
                <w:szCs w:val="21"/>
              </w:rPr>
            </w:pPr>
          </w:p>
        </w:tc>
        <w:tc>
          <w:tcPr>
            <w:tcW w:w="217" w:type="dxa"/>
          </w:tcPr>
          <w:p w14:paraId="1F954E40" w14:textId="77777777" w:rsidR="002C0FD9" w:rsidRPr="00CA25CF" w:rsidRDefault="002C0FD9" w:rsidP="00CA25CF">
            <w:pPr>
              <w:rPr>
                <w:rFonts w:cs="Arial"/>
                <w:color w:val="FF0000"/>
                <w:sz w:val="21"/>
                <w:szCs w:val="21"/>
              </w:rPr>
            </w:pPr>
          </w:p>
        </w:tc>
        <w:tc>
          <w:tcPr>
            <w:tcW w:w="217" w:type="dxa"/>
          </w:tcPr>
          <w:p w14:paraId="3DE7AC1E" w14:textId="77777777" w:rsidR="002C0FD9" w:rsidRPr="00CA25CF" w:rsidRDefault="002C0FD9" w:rsidP="00CA25CF">
            <w:pPr>
              <w:rPr>
                <w:rFonts w:cs="Arial"/>
                <w:color w:val="FF0000"/>
                <w:sz w:val="21"/>
                <w:szCs w:val="21"/>
              </w:rPr>
            </w:pPr>
          </w:p>
        </w:tc>
        <w:tc>
          <w:tcPr>
            <w:tcW w:w="217" w:type="dxa"/>
          </w:tcPr>
          <w:p w14:paraId="7BC2BD95" w14:textId="77777777" w:rsidR="002C0FD9" w:rsidRPr="00CA25CF" w:rsidRDefault="002C0FD9" w:rsidP="00CA25CF">
            <w:pPr>
              <w:rPr>
                <w:rFonts w:cs="Arial"/>
                <w:color w:val="FF0000"/>
                <w:sz w:val="21"/>
                <w:szCs w:val="21"/>
              </w:rPr>
            </w:pPr>
          </w:p>
        </w:tc>
        <w:tc>
          <w:tcPr>
            <w:tcW w:w="217" w:type="dxa"/>
          </w:tcPr>
          <w:p w14:paraId="78EFF04A" w14:textId="77777777" w:rsidR="002C0FD9" w:rsidRPr="00CA25CF" w:rsidRDefault="002C0FD9" w:rsidP="00CA25CF">
            <w:pPr>
              <w:rPr>
                <w:rFonts w:cs="Arial"/>
                <w:color w:val="FF0000"/>
                <w:sz w:val="21"/>
                <w:szCs w:val="21"/>
              </w:rPr>
            </w:pPr>
          </w:p>
        </w:tc>
        <w:tc>
          <w:tcPr>
            <w:tcW w:w="217" w:type="dxa"/>
          </w:tcPr>
          <w:p w14:paraId="27E24E21" w14:textId="77777777" w:rsidR="002C0FD9" w:rsidRPr="00CA25CF" w:rsidRDefault="002C0FD9" w:rsidP="00CA25CF">
            <w:pPr>
              <w:rPr>
                <w:rFonts w:cs="Arial"/>
                <w:color w:val="FF0000"/>
                <w:sz w:val="21"/>
                <w:szCs w:val="21"/>
              </w:rPr>
            </w:pPr>
          </w:p>
        </w:tc>
        <w:tc>
          <w:tcPr>
            <w:tcW w:w="217" w:type="dxa"/>
          </w:tcPr>
          <w:p w14:paraId="2FDC1C95" w14:textId="77777777" w:rsidR="002C0FD9" w:rsidRPr="00CA25CF" w:rsidRDefault="002C0FD9" w:rsidP="00CA25CF">
            <w:pPr>
              <w:rPr>
                <w:rFonts w:cs="Arial"/>
                <w:color w:val="FF0000"/>
                <w:sz w:val="21"/>
                <w:szCs w:val="21"/>
              </w:rPr>
            </w:pPr>
          </w:p>
        </w:tc>
        <w:tc>
          <w:tcPr>
            <w:tcW w:w="217" w:type="dxa"/>
          </w:tcPr>
          <w:p w14:paraId="2A415CBE" w14:textId="77777777" w:rsidR="002C0FD9" w:rsidRPr="00CA25CF" w:rsidRDefault="002C0FD9" w:rsidP="00CA25CF">
            <w:pPr>
              <w:rPr>
                <w:rFonts w:cs="Arial"/>
                <w:color w:val="FF0000"/>
                <w:sz w:val="21"/>
                <w:szCs w:val="21"/>
              </w:rPr>
            </w:pPr>
          </w:p>
        </w:tc>
        <w:tc>
          <w:tcPr>
            <w:tcW w:w="217" w:type="dxa"/>
          </w:tcPr>
          <w:p w14:paraId="288FABFB" w14:textId="77777777" w:rsidR="002C0FD9" w:rsidRPr="00CA25CF" w:rsidRDefault="002C0FD9" w:rsidP="00CA25CF">
            <w:pPr>
              <w:rPr>
                <w:rFonts w:cs="Arial"/>
                <w:color w:val="FF0000"/>
                <w:sz w:val="21"/>
                <w:szCs w:val="21"/>
              </w:rPr>
            </w:pPr>
          </w:p>
        </w:tc>
        <w:tc>
          <w:tcPr>
            <w:tcW w:w="217" w:type="dxa"/>
          </w:tcPr>
          <w:p w14:paraId="2AC5968C" w14:textId="77777777" w:rsidR="002C0FD9" w:rsidRPr="00CA25CF" w:rsidRDefault="002C0FD9" w:rsidP="00CA25CF">
            <w:pPr>
              <w:rPr>
                <w:rFonts w:cs="Arial"/>
                <w:color w:val="FF0000"/>
                <w:sz w:val="21"/>
                <w:szCs w:val="21"/>
              </w:rPr>
            </w:pPr>
          </w:p>
        </w:tc>
        <w:tc>
          <w:tcPr>
            <w:tcW w:w="217" w:type="dxa"/>
          </w:tcPr>
          <w:p w14:paraId="792D54F1" w14:textId="77777777" w:rsidR="002C0FD9" w:rsidRPr="00CA25CF" w:rsidRDefault="002C0FD9" w:rsidP="00CA25CF">
            <w:pPr>
              <w:rPr>
                <w:rFonts w:cs="Arial"/>
                <w:color w:val="FF0000"/>
                <w:sz w:val="21"/>
                <w:szCs w:val="21"/>
              </w:rPr>
            </w:pPr>
          </w:p>
        </w:tc>
        <w:tc>
          <w:tcPr>
            <w:tcW w:w="217" w:type="dxa"/>
          </w:tcPr>
          <w:p w14:paraId="5B20AAD1" w14:textId="77777777" w:rsidR="002C0FD9" w:rsidRPr="00CA25CF" w:rsidRDefault="002C0FD9" w:rsidP="00CA25CF">
            <w:pPr>
              <w:rPr>
                <w:rFonts w:cs="Arial"/>
                <w:color w:val="FF0000"/>
                <w:sz w:val="21"/>
                <w:szCs w:val="21"/>
              </w:rPr>
            </w:pPr>
          </w:p>
        </w:tc>
        <w:tc>
          <w:tcPr>
            <w:tcW w:w="217" w:type="dxa"/>
          </w:tcPr>
          <w:p w14:paraId="0F460B24" w14:textId="77777777" w:rsidR="002C0FD9" w:rsidRPr="00CA25CF" w:rsidRDefault="002C0FD9" w:rsidP="00CA25CF">
            <w:pPr>
              <w:rPr>
                <w:rFonts w:cs="Arial"/>
                <w:color w:val="FF0000"/>
                <w:sz w:val="21"/>
                <w:szCs w:val="21"/>
              </w:rPr>
            </w:pPr>
          </w:p>
        </w:tc>
        <w:tc>
          <w:tcPr>
            <w:tcW w:w="217" w:type="dxa"/>
          </w:tcPr>
          <w:p w14:paraId="0D26172F" w14:textId="77777777" w:rsidR="002C0FD9" w:rsidRPr="00CA25CF" w:rsidRDefault="002C0FD9" w:rsidP="00CA25CF">
            <w:pPr>
              <w:rPr>
                <w:rFonts w:cs="Arial"/>
                <w:color w:val="FF0000"/>
                <w:sz w:val="21"/>
                <w:szCs w:val="21"/>
              </w:rPr>
            </w:pPr>
          </w:p>
        </w:tc>
        <w:tc>
          <w:tcPr>
            <w:tcW w:w="217" w:type="dxa"/>
          </w:tcPr>
          <w:p w14:paraId="095414E8" w14:textId="77777777" w:rsidR="002C0FD9" w:rsidRPr="00CA25CF" w:rsidRDefault="002C0FD9" w:rsidP="00CA25CF">
            <w:pPr>
              <w:rPr>
                <w:rFonts w:cs="Arial"/>
                <w:color w:val="FF0000"/>
                <w:sz w:val="21"/>
                <w:szCs w:val="21"/>
              </w:rPr>
            </w:pPr>
          </w:p>
        </w:tc>
        <w:tc>
          <w:tcPr>
            <w:tcW w:w="217" w:type="dxa"/>
          </w:tcPr>
          <w:p w14:paraId="79B2CFE9" w14:textId="77777777" w:rsidR="002C0FD9" w:rsidRPr="00CA25CF" w:rsidRDefault="002C0FD9" w:rsidP="00CA25CF">
            <w:pPr>
              <w:rPr>
                <w:rFonts w:cs="Arial"/>
                <w:color w:val="FF0000"/>
                <w:sz w:val="21"/>
                <w:szCs w:val="21"/>
              </w:rPr>
            </w:pPr>
          </w:p>
        </w:tc>
        <w:tc>
          <w:tcPr>
            <w:tcW w:w="217" w:type="dxa"/>
          </w:tcPr>
          <w:p w14:paraId="5BDF105C" w14:textId="77777777" w:rsidR="002C0FD9" w:rsidRPr="00CA25CF" w:rsidRDefault="002C0FD9" w:rsidP="00CA25CF">
            <w:pPr>
              <w:rPr>
                <w:rFonts w:cs="Arial"/>
                <w:color w:val="FF0000"/>
                <w:sz w:val="21"/>
                <w:szCs w:val="21"/>
              </w:rPr>
            </w:pPr>
          </w:p>
        </w:tc>
        <w:tc>
          <w:tcPr>
            <w:tcW w:w="217" w:type="dxa"/>
          </w:tcPr>
          <w:p w14:paraId="178376DC" w14:textId="77777777" w:rsidR="002C0FD9" w:rsidRPr="00CA25CF" w:rsidRDefault="002C0FD9" w:rsidP="00CA25CF">
            <w:pPr>
              <w:rPr>
                <w:rFonts w:cs="Arial"/>
                <w:color w:val="FF0000"/>
                <w:sz w:val="21"/>
                <w:szCs w:val="21"/>
              </w:rPr>
            </w:pPr>
          </w:p>
        </w:tc>
        <w:tc>
          <w:tcPr>
            <w:tcW w:w="217" w:type="dxa"/>
          </w:tcPr>
          <w:p w14:paraId="29739CCE" w14:textId="77777777" w:rsidR="002C0FD9" w:rsidRPr="00CA25CF" w:rsidRDefault="002C0FD9" w:rsidP="00CA25CF">
            <w:pPr>
              <w:rPr>
                <w:rFonts w:cs="Arial"/>
                <w:color w:val="FF0000"/>
                <w:sz w:val="21"/>
                <w:szCs w:val="21"/>
              </w:rPr>
            </w:pPr>
          </w:p>
        </w:tc>
        <w:tc>
          <w:tcPr>
            <w:tcW w:w="217" w:type="dxa"/>
          </w:tcPr>
          <w:p w14:paraId="53535E3B" w14:textId="77777777" w:rsidR="002C0FD9" w:rsidRPr="00CA25CF" w:rsidRDefault="002C0FD9" w:rsidP="00CA25CF">
            <w:pPr>
              <w:rPr>
                <w:rFonts w:cs="Arial"/>
                <w:color w:val="FF0000"/>
                <w:sz w:val="21"/>
                <w:szCs w:val="21"/>
              </w:rPr>
            </w:pPr>
          </w:p>
        </w:tc>
        <w:tc>
          <w:tcPr>
            <w:tcW w:w="217" w:type="dxa"/>
          </w:tcPr>
          <w:p w14:paraId="4052DDA4" w14:textId="77777777" w:rsidR="002C0FD9" w:rsidRPr="00CA25CF" w:rsidRDefault="002C0FD9" w:rsidP="00CA25CF">
            <w:pPr>
              <w:rPr>
                <w:rFonts w:cs="Arial"/>
                <w:color w:val="FF0000"/>
                <w:sz w:val="21"/>
                <w:szCs w:val="21"/>
              </w:rPr>
            </w:pPr>
          </w:p>
        </w:tc>
      </w:tr>
      <w:tr w:rsidR="002C0FD9" w:rsidRPr="00A16219" w14:paraId="0AB4560A" w14:textId="1F02C134" w:rsidTr="002C0FD9">
        <w:trPr>
          <w:trHeight w:val="635"/>
        </w:trPr>
        <w:tc>
          <w:tcPr>
            <w:tcW w:w="515" w:type="dxa"/>
          </w:tcPr>
          <w:p w14:paraId="556E0BDC" w14:textId="77777777" w:rsidR="002C0FD9" w:rsidRPr="00CA25CF" w:rsidRDefault="002C0FD9" w:rsidP="00CA25CF">
            <w:pPr>
              <w:rPr>
                <w:rFonts w:cs="Arial"/>
                <w:color w:val="FF0000"/>
                <w:sz w:val="21"/>
                <w:szCs w:val="21"/>
              </w:rPr>
            </w:pPr>
          </w:p>
        </w:tc>
        <w:tc>
          <w:tcPr>
            <w:tcW w:w="217" w:type="dxa"/>
          </w:tcPr>
          <w:p w14:paraId="044DD693" w14:textId="77777777" w:rsidR="002C0FD9" w:rsidRPr="00CA25CF" w:rsidRDefault="002C0FD9" w:rsidP="00CA25CF">
            <w:pPr>
              <w:rPr>
                <w:rFonts w:cs="Arial"/>
                <w:color w:val="FF0000"/>
                <w:sz w:val="21"/>
                <w:szCs w:val="21"/>
              </w:rPr>
            </w:pPr>
          </w:p>
        </w:tc>
        <w:tc>
          <w:tcPr>
            <w:tcW w:w="217" w:type="dxa"/>
          </w:tcPr>
          <w:p w14:paraId="79C9CE36" w14:textId="2600B5DE" w:rsidR="002C0FD9" w:rsidRPr="00CA25CF" w:rsidRDefault="002C0FD9" w:rsidP="00CA25CF">
            <w:pPr>
              <w:rPr>
                <w:rFonts w:cs="Arial"/>
                <w:color w:val="FF0000"/>
                <w:sz w:val="21"/>
                <w:szCs w:val="21"/>
              </w:rPr>
            </w:pPr>
          </w:p>
        </w:tc>
        <w:tc>
          <w:tcPr>
            <w:tcW w:w="217" w:type="dxa"/>
          </w:tcPr>
          <w:p w14:paraId="4DF8DEE9" w14:textId="77777777" w:rsidR="002C0FD9" w:rsidRPr="00CA25CF" w:rsidRDefault="002C0FD9" w:rsidP="00CA25CF">
            <w:pPr>
              <w:rPr>
                <w:rFonts w:cs="Arial"/>
                <w:color w:val="FF0000"/>
                <w:sz w:val="21"/>
                <w:szCs w:val="21"/>
              </w:rPr>
            </w:pPr>
          </w:p>
        </w:tc>
        <w:tc>
          <w:tcPr>
            <w:tcW w:w="217" w:type="dxa"/>
          </w:tcPr>
          <w:p w14:paraId="5F8C5CB2" w14:textId="77777777" w:rsidR="002C0FD9" w:rsidRPr="00CA25CF" w:rsidRDefault="002C0FD9" w:rsidP="00CA25CF">
            <w:pPr>
              <w:rPr>
                <w:rFonts w:cs="Arial"/>
                <w:color w:val="FF0000"/>
                <w:sz w:val="21"/>
                <w:szCs w:val="21"/>
              </w:rPr>
            </w:pPr>
          </w:p>
        </w:tc>
        <w:tc>
          <w:tcPr>
            <w:tcW w:w="217" w:type="dxa"/>
          </w:tcPr>
          <w:p w14:paraId="26CD0084" w14:textId="77777777" w:rsidR="002C0FD9" w:rsidRPr="00CA25CF" w:rsidRDefault="002C0FD9" w:rsidP="00CA25CF">
            <w:pPr>
              <w:rPr>
                <w:rFonts w:cs="Arial"/>
                <w:color w:val="FF0000"/>
                <w:sz w:val="21"/>
                <w:szCs w:val="21"/>
              </w:rPr>
            </w:pPr>
          </w:p>
        </w:tc>
        <w:tc>
          <w:tcPr>
            <w:tcW w:w="217" w:type="dxa"/>
          </w:tcPr>
          <w:p w14:paraId="2199985A" w14:textId="77777777" w:rsidR="002C0FD9" w:rsidRPr="00CA25CF" w:rsidRDefault="002C0FD9" w:rsidP="00CA25CF">
            <w:pPr>
              <w:rPr>
                <w:rFonts w:cs="Arial"/>
                <w:color w:val="FF0000"/>
                <w:sz w:val="21"/>
                <w:szCs w:val="21"/>
              </w:rPr>
            </w:pPr>
          </w:p>
        </w:tc>
        <w:tc>
          <w:tcPr>
            <w:tcW w:w="217" w:type="dxa"/>
          </w:tcPr>
          <w:p w14:paraId="1C768AB7" w14:textId="77777777" w:rsidR="002C0FD9" w:rsidRPr="00CA25CF" w:rsidRDefault="002C0FD9" w:rsidP="00CA25CF">
            <w:pPr>
              <w:rPr>
                <w:rFonts w:cs="Arial"/>
                <w:color w:val="FF0000"/>
                <w:sz w:val="21"/>
                <w:szCs w:val="21"/>
              </w:rPr>
            </w:pPr>
          </w:p>
        </w:tc>
        <w:tc>
          <w:tcPr>
            <w:tcW w:w="217" w:type="dxa"/>
          </w:tcPr>
          <w:p w14:paraId="43E855A6" w14:textId="77777777" w:rsidR="002C0FD9" w:rsidRPr="00CA25CF" w:rsidRDefault="002C0FD9" w:rsidP="00CA25CF">
            <w:pPr>
              <w:rPr>
                <w:rFonts w:cs="Arial"/>
                <w:color w:val="FF0000"/>
                <w:sz w:val="21"/>
                <w:szCs w:val="21"/>
              </w:rPr>
            </w:pPr>
          </w:p>
        </w:tc>
        <w:tc>
          <w:tcPr>
            <w:tcW w:w="217" w:type="dxa"/>
          </w:tcPr>
          <w:p w14:paraId="432AA855" w14:textId="77777777" w:rsidR="002C0FD9" w:rsidRPr="00CA25CF" w:rsidRDefault="002C0FD9" w:rsidP="00CA25CF">
            <w:pPr>
              <w:rPr>
                <w:rFonts w:cs="Arial"/>
                <w:color w:val="FF0000"/>
                <w:sz w:val="21"/>
                <w:szCs w:val="21"/>
              </w:rPr>
            </w:pPr>
          </w:p>
        </w:tc>
        <w:tc>
          <w:tcPr>
            <w:tcW w:w="217" w:type="dxa"/>
          </w:tcPr>
          <w:p w14:paraId="5688955A" w14:textId="77777777" w:rsidR="002C0FD9" w:rsidRPr="00CA25CF" w:rsidRDefault="002C0FD9" w:rsidP="00CA25CF">
            <w:pPr>
              <w:rPr>
                <w:rFonts w:cs="Arial"/>
                <w:color w:val="FF0000"/>
                <w:sz w:val="21"/>
                <w:szCs w:val="21"/>
              </w:rPr>
            </w:pPr>
          </w:p>
        </w:tc>
        <w:tc>
          <w:tcPr>
            <w:tcW w:w="217" w:type="dxa"/>
          </w:tcPr>
          <w:p w14:paraId="50D67AAE" w14:textId="77777777" w:rsidR="002C0FD9" w:rsidRPr="00CA25CF" w:rsidRDefault="002C0FD9" w:rsidP="00CA25CF">
            <w:pPr>
              <w:rPr>
                <w:rFonts w:cs="Arial"/>
                <w:color w:val="FF0000"/>
                <w:sz w:val="21"/>
                <w:szCs w:val="21"/>
              </w:rPr>
            </w:pPr>
          </w:p>
        </w:tc>
        <w:tc>
          <w:tcPr>
            <w:tcW w:w="217" w:type="dxa"/>
          </w:tcPr>
          <w:p w14:paraId="4F2D4F02" w14:textId="77777777" w:rsidR="002C0FD9" w:rsidRPr="00CA25CF" w:rsidRDefault="002C0FD9" w:rsidP="00CA25CF">
            <w:pPr>
              <w:rPr>
                <w:rFonts w:cs="Arial"/>
                <w:color w:val="FF0000"/>
                <w:sz w:val="21"/>
                <w:szCs w:val="21"/>
              </w:rPr>
            </w:pPr>
          </w:p>
        </w:tc>
        <w:tc>
          <w:tcPr>
            <w:tcW w:w="217" w:type="dxa"/>
          </w:tcPr>
          <w:p w14:paraId="183CEBDA" w14:textId="77777777" w:rsidR="002C0FD9" w:rsidRPr="00CA25CF" w:rsidRDefault="002C0FD9" w:rsidP="00CA25CF">
            <w:pPr>
              <w:rPr>
                <w:rFonts w:cs="Arial"/>
                <w:color w:val="FF0000"/>
                <w:sz w:val="21"/>
                <w:szCs w:val="21"/>
              </w:rPr>
            </w:pPr>
          </w:p>
        </w:tc>
        <w:tc>
          <w:tcPr>
            <w:tcW w:w="217" w:type="dxa"/>
          </w:tcPr>
          <w:p w14:paraId="7430C1CA" w14:textId="77777777" w:rsidR="002C0FD9" w:rsidRPr="00CA25CF" w:rsidRDefault="002C0FD9" w:rsidP="00CA25CF">
            <w:pPr>
              <w:rPr>
                <w:rFonts w:cs="Arial"/>
                <w:color w:val="FF0000"/>
                <w:sz w:val="21"/>
                <w:szCs w:val="21"/>
              </w:rPr>
            </w:pPr>
          </w:p>
        </w:tc>
        <w:tc>
          <w:tcPr>
            <w:tcW w:w="217" w:type="dxa"/>
          </w:tcPr>
          <w:p w14:paraId="3C499E04" w14:textId="278F6A28" w:rsidR="002C0FD9" w:rsidRPr="00CA25CF" w:rsidRDefault="002C0FD9" w:rsidP="00CA25CF">
            <w:pPr>
              <w:rPr>
                <w:rFonts w:cs="Arial"/>
                <w:color w:val="FF0000"/>
                <w:sz w:val="21"/>
                <w:szCs w:val="21"/>
              </w:rPr>
            </w:pPr>
          </w:p>
        </w:tc>
        <w:tc>
          <w:tcPr>
            <w:tcW w:w="217" w:type="dxa"/>
          </w:tcPr>
          <w:p w14:paraId="6F3FD984" w14:textId="77777777" w:rsidR="002C0FD9" w:rsidRPr="00CA25CF" w:rsidRDefault="002C0FD9" w:rsidP="00CA25CF">
            <w:pPr>
              <w:rPr>
                <w:rFonts w:cs="Arial"/>
                <w:color w:val="FF0000"/>
                <w:sz w:val="21"/>
                <w:szCs w:val="21"/>
              </w:rPr>
            </w:pPr>
          </w:p>
        </w:tc>
        <w:tc>
          <w:tcPr>
            <w:tcW w:w="217" w:type="dxa"/>
          </w:tcPr>
          <w:p w14:paraId="7F888387" w14:textId="77777777" w:rsidR="002C0FD9" w:rsidRPr="00CA25CF" w:rsidRDefault="002C0FD9" w:rsidP="00CA25CF">
            <w:pPr>
              <w:rPr>
                <w:rFonts w:cs="Arial"/>
                <w:color w:val="FF0000"/>
                <w:sz w:val="21"/>
                <w:szCs w:val="21"/>
              </w:rPr>
            </w:pPr>
          </w:p>
        </w:tc>
        <w:tc>
          <w:tcPr>
            <w:tcW w:w="217" w:type="dxa"/>
          </w:tcPr>
          <w:p w14:paraId="332AC582" w14:textId="77777777" w:rsidR="002C0FD9" w:rsidRPr="00CA25CF" w:rsidRDefault="002C0FD9" w:rsidP="00CA25CF">
            <w:pPr>
              <w:rPr>
                <w:rFonts w:cs="Arial"/>
                <w:color w:val="FF0000"/>
                <w:sz w:val="21"/>
                <w:szCs w:val="21"/>
              </w:rPr>
            </w:pPr>
          </w:p>
        </w:tc>
        <w:tc>
          <w:tcPr>
            <w:tcW w:w="217" w:type="dxa"/>
          </w:tcPr>
          <w:p w14:paraId="0AE7E29F" w14:textId="77777777" w:rsidR="002C0FD9" w:rsidRPr="00CA25CF" w:rsidRDefault="002C0FD9" w:rsidP="00CA25CF">
            <w:pPr>
              <w:rPr>
                <w:rFonts w:cs="Arial"/>
                <w:color w:val="FF0000"/>
                <w:sz w:val="21"/>
                <w:szCs w:val="21"/>
              </w:rPr>
            </w:pPr>
          </w:p>
        </w:tc>
        <w:tc>
          <w:tcPr>
            <w:tcW w:w="217" w:type="dxa"/>
          </w:tcPr>
          <w:p w14:paraId="7CEDB1CB" w14:textId="77777777" w:rsidR="002C0FD9" w:rsidRPr="00CA25CF" w:rsidRDefault="002C0FD9" w:rsidP="00CA25CF">
            <w:pPr>
              <w:rPr>
                <w:rFonts w:cs="Arial"/>
                <w:color w:val="FF0000"/>
                <w:sz w:val="21"/>
                <w:szCs w:val="21"/>
              </w:rPr>
            </w:pPr>
          </w:p>
        </w:tc>
        <w:tc>
          <w:tcPr>
            <w:tcW w:w="217" w:type="dxa"/>
          </w:tcPr>
          <w:p w14:paraId="45CAB640" w14:textId="77777777" w:rsidR="002C0FD9" w:rsidRPr="00CA25CF" w:rsidRDefault="002C0FD9" w:rsidP="00CA25CF">
            <w:pPr>
              <w:rPr>
                <w:rFonts w:cs="Arial"/>
                <w:color w:val="FF0000"/>
                <w:sz w:val="21"/>
                <w:szCs w:val="21"/>
              </w:rPr>
            </w:pPr>
          </w:p>
        </w:tc>
        <w:tc>
          <w:tcPr>
            <w:tcW w:w="217" w:type="dxa"/>
          </w:tcPr>
          <w:p w14:paraId="47BABB36" w14:textId="77777777" w:rsidR="002C0FD9" w:rsidRPr="00CA25CF" w:rsidRDefault="002C0FD9" w:rsidP="00CA25CF">
            <w:pPr>
              <w:rPr>
                <w:rFonts w:cs="Arial"/>
                <w:color w:val="FF0000"/>
                <w:sz w:val="21"/>
                <w:szCs w:val="21"/>
              </w:rPr>
            </w:pPr>
          </w:p>
        </w:tc>
        <w:tc>
          <w:tcPr>
            <w:tcW w:w="217" w:type="dxa"/>
          </w:tcPr>
          <w:p w14:paraId="61ACDFDB" w14:textId="77777777" w:rsidR="002C0FD9" w:rsidRPr="00CA25CF" w:rsidRDefault="002C0FD9" w:rsidP="00CA25CF">
            <w:pPr>
              <w:rPr>
                <w:rFonts w:cs="Arial"/>
                <w:color w:val="FF0000"/>
                <w:sz w:val="21"/>
                <w:szCs w:val="21"/>
              </w:rPr>
            </w:pPr>
          </w:p>
        </w:tc>
        <w:tc>
          <w:tcPr>
            <w:tcW w:w="217" w:type="dxa"/>
          </w:tcPr>
          <w:p w14:paraId="4014BB36" w14:textId="77777777" w:rsidR="002C0FD9" w:rsidRPr="00CA25CF" w:rsidRDefault="002C0FD9" w:rsidP="00CA25CF">
            <w:pPr>
              <w:rPr>
                <w:rFonts w:cs="Arial"/>
                <w:color w:val="FF0000"/>
                <w:sz w:val="21"/>
                <w:szCs w:val="21"/>
              </w:rPr>
            </w:pPr>
          </w:p>
        </w:tc>
        <w:tc>
          <w:tcPr>
            <w:tcW w:w="217" w:type="dxa"/>
          </w:tcPr>
          <w:p w14:paraId="765EDA9C" w14:textId="77777777" w:rsidR="002C0FD9" w:rsidRPr="00CA25CF" w:rsidRDefault="002C0FD9" w:rsidP="00CA25CF">
            <w:pPr>
              <w:rPr>
                <w:rFonts w:cs="Arial"/>
                <w:color w:val="FF0000"/>
                <w:sz w:val="21"/>
                <w:szCs w:val="21"/>
              </w:rPr>
            </w:pPr>
          </w:p>
        </w:tc>
        <w:tc>
          <w:tcPr>
            <w:tcW w:w="217" w:type="dxa"/>
          </w:tcPr>
          <w:p w14:paraId="2FF58444" w14:textId="77777777" w:rsidR="002C0FD9" w:rsidRPr="00CA25CF" w:rsidRDefault="002C0FD9" w:rsidP="00CA25CF">
            <w:pPr>
              <w:rPr>
                <w:rFonts w:cs="Arial"/>
                <w:color w:val="FF0000"/>
                <w:sz w:val="21"/>
                <w:szCs w:val="21"/>
              </w:rPr>
            </w:pPr>
          </w:p>
        </w:tc>
        <w:tc>
          <w:tcPr>
            <w:tcW w:w="217" w:type="dxa"/>
          </w:tcPr>
          <w:p w14:paraId="78DFE643" w14:textId="77777777" w:rsidR="002C0FD9" w:rsidRPr="00CA25CF" w:rsidRDefault="002C0FD9" w:rsidP="00CA25CF">
            <w:pPr>
              <w:rPr>
                <w:rFonts w:cs="Arial"/>
                <w:color w:val="FF0000"/>
                <w:sz w:val="21"/>
                <w:szCs w:val="21"/>
              </w:rPr>
            </w:pPr>
          </w:p>
        </w:tc>
        <w:tc>
          <w:tcPr>
            <w:tcW w:w="217" w:type="dxa"/>
          </w:tcPr>
          <w:p w14:paraId="40919612" w14:textId="77777777" w:rsidR="002C0FD9" w:rsidRPr="00CA25CF" w:rsidRDefault="002C0FD9" w:rsidP="00CA25CF">
            <w:pPr>
              <w:rPr>
                <w:rFonts w:cs="Arial"/>
                <w:color w:val="FF0000"/>
                <w:sz w:val="21"/>
                <w:szCs w:val="21"/>
              </w:rPr>
            </w:pPr>
          </w:p>
        </w:tc>
        <w:tc>
          <w:tcPr>
            <w:tcW w:w="217" w:type="dxa"/>
          </w:tcPr>
          <w:p w14:paraId="2C370270" w14:textId="77777777" w:rsidR="002C0FD9" w:rsidRPr="00CA25CF" w:rsidRDefault="002C0FD9" w:rsidP="00CA25CF">
            <w:pPr>
              <w:rPr>
                <w:rFonts w:cs="Arial"/>
                <w:color w:val="FF0000"/>
                <w:sz w:val="21"/>
                <w:szCs w:val="21"/>
              </w:rPr>
            </w:pPr>
          </w:p>
        </w:tc>
        <w:tc>
          <w:tcPr>
            <w:tcW w:w="217" w:type="dxa"/>
          </w:tcPr>
          <w:p w14:paraId="55654A9E" w14:textId="77777777" w:rsidR="002C0FD9" w:rsidRPr="00CA25CF" w:rsidRDefault="002C0FD9" w:rsidP="00CA25CF">
            <w:pPr>
              <w:rPr>
                <w:rFonts w:cs="Arial"/>
                <w:color w:val="FF0000"/>
                <w:sz w:val="21"/>
                <w:szCs w:val="21"/>
              </w:rPr>
            </w:pPr>
          </w:p>
        </w:tc>
        <w:tc>
          <w:tcPr>
            <w:tcW w:w="217" w:type="dxa"/>
          </w:tcPr>
          <w:p w14:paraId="29EC77A0" w14:textId="77777777" w:rsidR="002C0FD9" w:rsidRPr="00CA25CF" w:rsidRDefault="002C0FD9" w:rsidP="00CA25CF">
            <w:pPr>
              <w:rPr>
                <w:rFonts w:cs="Arial"/>
                <w:color w:val="FF0000"/>
                <w:sz w:val="21"/>
                <w:szCs w:val="21"/>
              </w:rPr>
            </w:pPr>
          </w:p>
        </w:tc>
        <w:tc>
          <w:tcPr>
            <w:tcW w:w="217" w:type="dxa"/>
          </w:tcPr>
          <w:p w14:paraId="6FB60200" w14:textId="77777777" w:rsidR="002C0FD9" w:rsidRPr="00CA25CF" w:rsidRDefault="002C0FD9" w:rsidP="00CA25CF">
            <w:pPr>
              <w:rPr>
                <w:rFonts w:cs="Arial"/>
                <w:color w:val="FF0000"/>
                <w:sz w:val="21"/>
                <w:szCs w:val="21"/>
              </w:rPr>
            </w:pPr>
          </w:p>
        </w:tc>
        <w:tc>
          <w:tcPr>
            <w:tcW w:w="217" w:type="dxa"/>
          </w:tcPr>
          <w:p w14:paraId="3477A1C7" w14:textId="77777777" w:rsidR="002C0FD9" w:rsidRPr="00CA25CF" w:rsidRDefault="002C0FD9" w:rsidP="00CA25CF">
            <w:pPr>
              <w:rPr>
                <w:rFonts w:cs="Arial"/>
                <w:color w:val="FF0000"/>
                <w:sz w:val="21"/>
                <w:szCs w:val="21"/>
              </w:rPr>
            </w:pPr>
          </w:p>
        </w:tc>
        <w:tc>
          <w:tcPr>
            <w:tcW w:w="217" w:type="dxa"/>
          </w:tcPr>
          <w:p w14:paraId="6C8618CC" w14:textId="77777777" w:rsidR="002C0FD9" w:rsidRPr="00CA25CF" w:rsidRDefault="002C0FD9" w:rsidP="00CA25CF">
            <w:pPr>
              <w:rPr>
                <w:rFonts w:cs="Arial"/>
                <w:color w:val="FF0000"/>
                <w:sz w:val="21"/>
                <w:szCs w:val="21"/>
              </w:rPr>
            </w:pPr>
          </w:p>
        </w:tc>
        <w:tc>
          <w:tcPr>
            <w:tcW w:w="217" w:type="dxa"/>
          </w:tcPr>
          <w:p w14:paraId="6F722B37" w14:textId="77777777" w:rsidR="002C0FD9" w:rsidRPr="00CA25CF" w:rsidRDefault="002C0FD9" w:rsidP="00CA25CF">
            <w:pPr>
              <w:rPr>
                <w:rFonts w:cs="Arial"/>
                <w:color w:val="FF0000"/>
                <w:sz w:val="21"/>
                <w:szCs w:val="21"/>
              </w:rPr>
            </w:pPr>
          </w:p>
        </w:tc>
        <w:tc>
          <w:tcPr>
            <w:tcW w:w="217" w:type="dxa"/>
          </w:tcPr>
          <w:p w14:paraId="09F0C669" w14:textId="77777777" w:rsidR="002C0FD9" w:rsidRPr="00CA25CF" w:rsidRDefault="002C0FD9" w:rsidP="00CA25CF">
            <w:pPr>
              <w:rPr>
                <w:rFonts w:cs="Arial"/>
                <w:color w:val="FF0000"/>
                <w:sz w:val="21"/>
                <w:szCs w:val="21"/>
              </w:rPr>
            </w:pPr>
          </w:p>
        </w:tc>
        <w:tc>
          <w:tcPr>
            <w:tcW w:w="217" w:type="dxa"/>
          </w:tcPr>
          <w:p w14:paraId="74F84D22" w14:textId="77777777" w:rsidR="002C0FD9" w:rsidRPr="00CA25CF" w:rsidRDefault="002C0FD9" w:rsidP="00CA25CF">
            <w:pPr>
              <w:rPr>
                <w:rFonts w:cs="Arial"/>
                <w:color w:val="FF0000"/>
                <w:sz w:val="21"/>
                <w:szCs w:val="21"/>
              </w:rPr>
            </w:pPr>
          </w:p>
        </w:tc>
        <w:tc>
          <w:tcPr>
            <w:tcW w:w="217" w:type="dxa"/>
          </w:tcPr>
          <w:p w14:paraId="74B40AE2" w14:textId="77777777" w:rsidR="002C0FD9" w:rsidRPr="00CA25CF" w:rsidRDefault="002C0FD9" w:rsidP="00CA25CF">
            <w:pPr>
              <w:rPr>
                <w:rFonts w:cs="Arial"/>
                <w:color w:val="FF0000"/>
                <w:sz w:val="21"/>
                <w:szCs w:val="21"/>
              </w:rPr>
            </w:pPr>
          </w:p>
        </w:tc>
        <w:tc>
          <w:tcPr>
            <w:tcW w:w="217" w:type="dxa"/>
          </w:tcPr>
          <w:p w14:paraId="3A1271C5" w14:textId="77777777" w:rsidR="002C0FD9" w:rsidRPr="00CA25CF" w:rsidRDefault="002C0FD9" w:rsidP="00CA25CF">
            <w:pPr>
              <w:rPr>
                <w:rFonts w:cs="Arial"/>
                <w:color w:val="FF0000"/>
                <w:sz w:val="21"/>
                <w:szCs w:val="21"/>
              </w:rPr>
            </w:pPr>
          </w:p>
        </w:tc>
        <w:tc>
          <w:tcPr>
            <w:tcW w:w="217" w:type="dxa"/>
          </w:tcPr>
          <w:p w14:paraId="70A35B2B" w14:textId="77777777" w:rsidR="002C0FD9" w:rsidRPr="00CA25CF" w:rsidRDefault="002C0FD9" w:rsidP="00CA25CF">
            <w:pPr>
              <w:rPr>
                <w:rFonts w:cs="Arial"/>
                <w:color w:val="FF0000"/>
                <w:sz w:val="21"/>
                <w:szCs w:val="21"/>
              </w:rPr>
            </w:pPr>
          </w:p>
        </w:tc>
        <w:tc>
          <w:tcPr>
            <w:tcW w:w="217" w:type="dxa"/>
          </w:tcPr>
          <w:p w14:paraId="45ED8133" w14:textId="77777777" w:rsidR="002C0FD9" w:rsidRPr="00CA25CF" w:rsidRDefault="002C0FD9" w:rsidP="00CA25CF">
            <w:pPr>
              <w:rPr>
                <w:rFonts w:cs="Arial"/>
                <w:color w:val="FF0000"/>
                <w:sz w:val="21"/>
                <w:szCs w:val="21"/>
              </w:rPr>
            </w:pPr>
          </w:p>
        </w:tc>
        <w:tc>
          <w:tcPr>
            <w:tcW w:w="217" w:type="dxa"/>
          </w:tcPr>
          <w:p w14:paraId="43824FAD" w14:textId="77777777" w:rsidR="002C0FD9" w:rsidRPr="00CA25CF" w:rsidRDefault="002C0FD9" w:rsidP="00CA25CF">
            <w:pPr>
              <w:rPr>
                <w:rFonts w:cs="Arial"/>
                <w:color w:val="FF0000"/>
                <w:sz w:val="21"/>
                <w:szCs w:val="21"/>
              </w:rPr>
            </w:pPr>
          </w:p>
        </w:tc>
      </w:tr>
      <w:tr w:rsidR="002C0FD9" w:rsidRPr="00A16219" w14:paraId="5B7F6932" w14:textId="331394E1" w:rsidTr="002C0FD9">
        <w:trPr>
          <w:trHeight w:val="635"/>
        </w:trPr>
        <w:tc>
          <w:tcPr>
            <w:tcW w:w="515" w:type="dxa"/>
          </w:tcPr>
          <w:p w14:paraId="43558304" w14:textId="77777777" w:rsidR="002C0FD9" w:rsidRPr="00CA25CF" w:rsidRDefault="002C0FD9" w:rsidP="00CA25CF">
            <w:pPr>
              <w:rPr>
                <w:rFonts w:cs="Arial"/>
                <w:color w:val="FF0000"/>
                <w:sz w:val="21"/>
                <w:szCs w:val="21"/>
              </w:rPr>
            </w:pPr>
          </w:p>
        </w:tc>
        <w:tc>
          <w:tcPr>
            <w:tcW w:w="217" w:type="dxa"/>
          </w:tcPr>
          <w:p w14:paraId="4A2EF1D6" w14:textId="77777777" w:rsidR="002C0FD9" w:rsidRPr="00CA25CF" w:rsidRDefault="002C0FD9" w:rsidP="00CA25CF">
            <w:pPr>
              <w:rPr>
                <w:rFonts w:cs="Arial"/>
                <w:color w:val="FF0000"/>
                <w:sz w:val="21"/>
                <w:szCs w:val="21"/>
              </w:rPr>
            </w:pPr>
          </w:p>
        </w:tc>
        <w:tc>
          <w:tcPr>
            <w:tcW w:w="217" w:type="dxa"/>
          </w:tcPr>
          <w:p w14:paraId="429011EF" w14:textId="49D9F8E9" w:rsidR="002C0FD9" w:rsidRPr="00CA25CF" w:rsidRDefault="002C0FD9" w:rsidP="00CA25CF">
            <w:pPr>
              <w:rPr>
                <w:rFonts w:cs="Arial"/>
                <w:color w:val="FF0000"/>
                <w:sz w:val="21"/>
                <w:szCs w:val="21"/>
              </w:rPr>
            </w:pPr>
          </w:p>
        </w:tc>
        <w:tc>
          <w:tcPr>
            <w:tcW w:w="217" w:type="dxa"/>
          </w:tcPr>
          <w:p w14:paraId="2C0CE3BA" w14:textId="77777777" w:rsidR="002C0FD9" w:rsidRPr="00CA25CF" w:rsidRDefault="002C0FD9" w:rsidP="00CA25CF">
            <w:pPr>
              <w:rPr>
                <w:rFonts w:cs="Arial"/>
                <w:color w:val="FF0000"/>
                <w:sz w:val="21"/>
                <w:szCs w:val="21"/>
              </w:rPr>
            </w:pPr>
          </w:p>
        </w:tc>
        <w:tc>
          <w:tcPr>
            <w:tcW w:w="217" w:type="dxa"/>
          </w:tcPr>
          <w:p w14:paraId="0589319D" w14:textId="77777777" w:rsidR="002C0FD9" w:rsidRPr="00CA25CF" w:rsidRDefault="002C0FD9" w:rsidP="00CA25CF">
            <w:pPr>
              <w:rPr>
                <w:rFonts w:cs="Arial"/>
                <w:color w:val="FF0000"/>
                <w:sz w:val="21"/>
                <w:szCs w:val="21"/>
              </w:rPr>
            </w:pPr>
          </w:p>
        </w:tc>
        <w:tc>
          <w:tcPr>
            <w:tcW w:w="217" w:type="dxa"/>
          </w:tcPr>
          <w:p w14:paraId="7B40FBBE" w14:textId="77777777" w:rsidR="002C0FD9" w:rsidRPr="00CA25CF" w:rsidRDefault="002C0FD9" w:rsidP="00CA25CF">
            <w:pPr>
              <w:rPr>
                <w:rFonts w:cs="Arial"/>
                <w:color w:val="FF0000"/>
                <w:sz w:val="21"/>
                <w:szCs w:val="21"/>
              </w:rPr>
            </w:pPr>
          </w:p>
        </w:tc>
        <w:tc>
          <w:tcPr>
            <w:tcW w:w="217" w:type="dxa"/>
          </w:tcPr>
          <w:p w14:paraId="0706B292" w14:textId="77777777" w:rsidR="002C0FD9" w:rsidRPr="00CA25CF" w:rsidRDefault="002C0FD9" w:rsidP="00CA25CF">
            <w:pPr>
              <w:rPr>
                <w:rFonts w:cs="Arial"/>
                <w:color w:val="FF0000"/>
                <w:sz w:val="21"/>
                <w:szCs w:val="21"/>
              </w:rPr>
            </w:pPr>
          </w:p>
        </w:tc>
        <w:tc>
          <w:tcPr>
            <w:tcW w:w="217" w:type="dxa"/>
          </w:tcPr>
          <w:p w14:paraId="26FD38F9" w14:textId="77777777" w:rsidR="002C0FD9" w:rsidRPr="00CA25CF" w:rsidRDefault="002C0FD9" w:rsidP="00CA25CF">
            <w:pPr>
              <w:rPr>
                <w:rFonts w:cs="Arial"/>
                <w:color w:val="FF0000"/>
                <w:sz w:val="21"/>
                <w:szCs w:val="21"/>
              </w:rPr>
            </w:pPr>
          </w:p>
        </w:tc>
        <w:tc>
          <w:tcPr>
            <w:tcW w:w="217" w:type="dxa"/>
          </w:tcPr>
          <w:p w14:paraId="1EC40B4F" w14:textId="77777777" w:rsidR="002C0FD9" w:rsidRPr="00CA25CF" w:rsidRDefault="002C0FD9" w:rsidP="00CA25CF">
            <w:pPr>
              <w:rPr>
                <w:rFonts w:cs="Arial"/>
                <w:color w:val="FF0000"/>
                <w:sz w:val="21"/>
                <w:szCs w:val="21"/>
              </w:rPr>
            </w:pPr>
          </w:p>
        </w:tc>
        <w:tc>
          <w:tcPr>
            <w:tcW w:w="217" w:type="dxa"/>
          </w:tcPr>
          <w:p w14:paraId="61F28D4B" w14:textId="77777777" w:rsidR="002C0FD9" w:rsidRPr="00CA25CF" w:rsidRDefault="002C0FD9" w:rsidP="00CA25CF">
            <w:pPr>
              <w:rPr>
                <w:rFonts w:cs="Arial"/>
                <w:color w:val="FF0000"/>
                <w:sz w:val="21"/>
                <w:szCs w:val="21"/>
              </w:rPr>
            </w:pPr>
          </w:p>
        </w:tc>
        <w:tc>
          <w:tcPr>
            <w:tcW w:w="217" w:type="dxa"/>
          </w:tcPr>
          <w:p w14:paraId="31236DE8" w14:textId="77777777" w:rsidR="002C0FD9" w:rsidRPr="00CA25CF" w:rsidRDefault="002C0FD9" w:rsidP="00CA25CF">
            <w:pPr>
              <w:rPr>
                <w:rFonts w:cs="Arial"/>
                <w:color w:val="FF0000"/>
                <w:sz w:val="21"/>
                <w:szCs w:val="21"/>
              </w:rPr>
            </w:pPr>
          </w:p>
        </w:tc>
        <w:tc>
          <w:tcPr>
            <w:tcW w:w="217" w:type="dxa"/>
          </w:tcPr>
          <w:p w14:paraId="373C3A31" w14:textId="77777777" w:rsidR="002C0FD9" w:rsidRPr="00CA25CF" w:rsidRDefault="002C0FD9" w:rsidP="00CA25CF">
            <w:pPr>
              <w:rPr>
                <w:rFonts w:cs="Arial"/>
                <w:color w:val="FF0000"/>
                <w:sz w:val="21"/>
                <w:szCs w:val="21"/>
              </w:rPr>
            </w:pPr>
          </w:p>
        </w:tc>
        <w:tc>
          <w:tcPr>
            <w:tcW w:w="217" w:type="dxa"/>
          </w:tcPr>
          <w:p w14:paraId="1C914CA2" w14:textId="77777777" w:rsidR="002C0FD9" w:rsidRPr="00CA25CF" w:rsidRDefault="002C0FD9" w:rsidP="00CA25CF">
            <w:pPr>
              <w:rPr>
                <w:rFonts w:cs="Arial"/>
                <w:color w:val="FF0000"/>
                <w:sz w:val="21"/>
                <w:szCs w:val="21"/>
              </w:rPr>
            </w:pPr>
          </w:p>
        </w:tc>
        <w:tc>
          <w:tcPr>
            <w:tcW w:w="217" w:type="dxa"/>
          </w:tcPr>
          <w:p w14:paraId="0D35ACBC" w14:textId="77777777" w:rsidR="002C0FD9" w:rsidRPr="00CA25CF" w:rsidRDefault="002C0FD9" w:rsidP="00CA25CF">
            <w:pPr>
              <w:rPr>
                <w:rFonts w:cs="Arial"/>
                <w:color w:val="FF0000"/>
                <w:sz w:val="21"/>
                <w:szCs w:val="21"/>
              </w:rPr>
            </w:pPr>
          </w:p>
        </w:tc>
        <w:tc>
          <w:tcPr>
            <w:tcW w:w="217" w:type="dxa"/>
          </w:tcPr>
          <w:p w14:paraId="5F305F84" w14:textId="77777777" w:rsidR="002C0FD9" w:rsidRPr="00CA25CF" w:rsidRDefault="002C0FD9" w:rsidP="00CA25CF">
            <w:pPr>
              <w:rPr>
                <w:rFonts w:cs="Arial"/>
                <w:color w:val="FF0000"/>
                <w:sz w:val="21"/>
                <w:szCs w:val="21"/>
              </w:rPr>
            </w:pPr>
          </w:p>
        </w:tc>
        <w:tc>
          <w:tcPr>
            <w:tcW w:w="217" w:type="dxa"/>
          </w:tcPr>
          <w:p w14:paraId="1FCD1901" w14:textId="497B6AFB" w:rsidR="002C0FD9" w:rsidRPr="00CA25CF" w:rsidRDefault="002C0FD9" w:rsidP="00CA25CF">
            <w:pPr>
              <w:rPr>
                <w:rFonts w:cs="Arial"/>
                <w:color w:val="FF0000"/>
                <w:sz w:val="21"/>
                <w:szCs w:val="21"/>
              </w:rPr>
            </w:pPr>
          </w:p>
        </w:tc>
        <w:tc>
          <w:tcPr>
            <w:tcW w:w="217" w:type="dxa"/>
          </w:tcPr>
          <w:p w14:paraId="1A4510B6" w14:textId="77777777" w:rsidR="002C0FD9" w:rsidRPr="00CA25CF" w:rsidRDefault="002C0FD9" w:rsidP="00CA25CF">
            <w:pPr>
              <w:rPr>
                <w:rFonts w:cs="Arial"/>
                <w:color w:val="FF0000"/>
                <w:sz w:val="21"/>
                <w:szCs w:val="21"/>
              </w:rPr>
            </w:pPr>
          </w:p>
        </w:tc>
        <w:tc>
          <w:tcPr>
            <w:tcW w:w="217" w:type="dxa"/>
          </w:tcPr>
          <w:p w14:paraId="669EC552" w14:textId="77777777" w:rsidR="002C0FD9" w:rsidRPr="00CA25CF" w:rsidRDefault="002C0FD9" w:rsidP="00CA25CF">
            <w:pPr>
              <w:rPr>
                <w:rFonts w:cs="Arial"/>
                <w:color w:val="FF0000"/>
                <w:sz w:val="21"/>
                <w:szCs w:val="21"/>
              </w:rPr>
            </w:pPr>
          </w:p>
        </w:tc>
        <w:tc>
          <w:tcPr>
            <w:tcW w:w="217" w:type="dxa"/>
          </w:tcPr>
          <w:p w14:paraId="7404C542" w14:textId="77777777" w:rsidR="002C0FD9" w:rsidRPr="00CA25CF" w:rsidRDefault="002C0FD9" w:rsidP="00CA25CF">
            <w:pPr>
              <w:rPr>
                <w:rFonts w:cs="Arial"/>
                <w:color w:val="FF0000"/>
                <w:sz w:val="21"/>
                <w:szCs w:val="21"/>
              </w:rPr>
            </w:pPr>
          </w:p>
        </w:tc>
        <w:tc>
          <w:tcPr>
            <w:tcW w:w="217" w:type="dxa"/>
          </w:tcPr>
          <w:p w14:paraId="76107972" w14:textId="77777777" w:rsidR="002C0FD9" w:rsidRPr="00CA25CF" w:rsidRDefault="002C0FD9" w:rsidP="00CA25CF">
            <w:pPr>
              <w:rPr>
                <w:rFonts w:cs="Arial"/>
                <w:color w:val="FF0000"/>
                <w:sz w:val="21"/>
                <w:szCs w:val="21"/>
              </w:rPr>
            </w:pPr>
          </w:p>
        </w:tc>
        <w:tc>
          <w:tcPr>
            <w:tcW w:w="217" w:type="dxa"/>
          </w:tcPr>
          <w:p w14:paraId="71101002" w14:textId="77777777" w:rsidR="002C0FD9" w:rsidRPr="00CA25CF" w:rsidRDefault="002C0FD9" w:rsidP="00CA25CF">
            <w:pPr>
              <w:rPr>
                <w:rFonts w:cs="Arial"/>
                <w:color w:val="FF0000"/>
                <w:sz w:val="21"/>
                <w:szCs w:val="21"/>
              </w:rPr>
            </w:pPr>
          </w:p>
        </w:tc>
        <w:tc>
          <w:tcPr>
            <w:tcW w:w="217" w:type="dxa"/>
          </w:tcPr>
          <w:p w14:paraId="104317D6" w14:textId="77777777" w:rsidR="002C0FD9" w:rsidRPr="00CA25CF" w:rsidRDefault="002C0FD9" w:rsidP="00CA25CF">
            <w:pPr>
              <w:rPr>
                <w:rFonts w:cs="Arial"/>
                <w:color w:val="FF0000"/>
                <w:sz w:val="21"/>
                <w:szCs w:val="21"/>
              </w:rPr>
            </w:pPr>
          </w:p>
        </w:tc>
        <w:tc>
          <w:tcPr>
            <w:tcW w:w="217" w:type="dxa"/>
          </w:tcPr>
          <w:p w14:paraId="11435AC0" w14:textId="77777777" w:rsidR="002C0FD9" w:rsidRPr="00CA25CF" w:rsidRDefault="002C0FD9" w:rsidP="00CA25CF">
            <w:pPr>
              <w:rPr>
                <w:rFonts w:cs="Arial"/>
                <w:color w:val="FF0000"/>
                <w:sz w:val="21"/>
                <w:szCs w:val="21"/>
              </w:rPr>
            </w:pPr>
          </w:p>
        </w:tc>
        <w:tc>
          <w:tcPr>
            <w:tcW w:w="217" w:type="dxa"/>
          </w:tcPr>
          <w:p w14:paraId="5FFD3783" w14:textId="77777777" w:rsidR="002C0FD9" w:rsidRPr="00CA25CF" w:rsidRDefault="002C0FD9" w:rsidP="00CA25CF">
            <w:pPr>
              <w:rPr>
                <w:rFonts w:cs="Arial"/>
                <w:color w:val="FF0000"/>
                <w:sz w:val="21"/>
                <w:szCs w:val="21"/>
              </w:rPr>
            </w:pPr>
          </w:p>
        </w:tc>
        <w:tc>
          <w:tcPr>
            <w:tcW w:w="217" w:type="dxa"/>
          </w:tcPr>
          <w:p w14:paraId="10478C89" w14:textId="77777777" w:rsidR="002C0FD9" w:rsidRPr="00CA25CF" w:rsidRDefault="002C0FD9" w:rsidP="00CA25CF">
            <w:pPr>
              <w:rPr>
                <w:rFonts w:cs="Arial"/>
                <w:color w:val="FF0000"/>
                <w:sz w:val="21"/>
                <w:szCs w:val="21"/>
              </w:rPr>
            </w:pPr>
          </w:p>
        </w:tc>
        <w:tc>
          <w:tcPr>
            <w:tcW w:w="217" w:type="dxa"/>
          </w:tcPr>
          <w:p w14:paraId="23E7257C" w14:textId="77777777" w:rsidR="002C0FD9" w:rsidRPr="00CA25CF" w:rsidRDefault="002C0FD9" w:rsidP="00CA25CF">
            <w:pPr>
              <w:rPr>
                <w:rFonts w:cs="Arial"/>
                <w:color w:val="FF0000"/>
                <w:sz w:val="21"/>
                <w:szCs w:val="21"/>
              </w:rPr>
            </w:pPr>
          </w:p>
        </w:tc>
        <w:tc>
          <w:tcPr>
            <w:tcW w:w="217" w:type="dxa"/>
          </w:tcPr>
          <w:p w14:paraId="7595C4FC" w14:textId="77777777" w:rsidR="002C0FD9" w:rsidRPr="00CA25CF" w:rsidRDefault="002C0FD9" w:rsidP="00CA25CF">
            <w:pPr>
              <w:rPr>
                <w:rFonts w:cs="Arial"/>
                <w:color w:val="FF0000"/>
                <w:sz w:val="21"/>
                <w:szCs w:val="21"/>
              </w:rPr>
            </w:pPr>
          </w:p>
        </w:tc>
        <w:tc>
          <w:tcPr>
            <w:tcW w:w="217" w:type="dxa"/>
          </w:tcPr>
          <w:p w14:paraId="0DB2E791" w14:textId="77777777" w:rsidR="002C0FD9" w:rsidRPr="00CA25CF" w:rsidRDefault="002C0FD9" w:rsidP="00CA25CF">
            <w:pPr>
              <w:rPr>
                <w:rFonts w:cs="Arial"/>
                <w:color w:val="FF0000"/>
                <w:sz w:val="21"/>
                <w:szCs w:val="21"/>
              </w:rPr>
            </w:pPr>
          </w:p>
        </w:tc>
        <w:tc>
          <w:tcPr>
            <w:tcW w:w="217" w:type="dxa"/>
          </w:tcPr>
          <w:p w14:paraId="236A6E6F" w14:textId="77777777" w:rsidR="002C0FD9" w:rsidRPr="00CA25CF" w:rsidRDefault="002C0FD9" w:rsidP="00CA25CF">
            <w:pPr>
              <w:rPr>
                <w:rFonts w:cs="Arial"/>
                <w:color w:val="FF0000"/>
                <w:sz w:val="21"/>
                <w:szCs w:val="21"/>
              </w:rPr>
            </w:pPr>
          </w:p>
        </w:tc>
        <w:tc>
          <w:tcPr>
            <w:tcW w:w="217" w:type="dxa"/>
          </w:tcPr>
          <w:p w14:paraId="451B5A1C" w14:textId="77777777" w:rsidR="002C0FD9" w:rsidRPr="00CA25CF" w:rsidRDefault="002C0FD9" w:rsidP="00CA25CF">
            <w:pPr>
              <w:rPr>
                <w:rFonts w:cs="Arial"/>
                <w:color w:val="FF0000"/>
                <w:sz w:val="21"/>
                <w:szCs w:val="21"/>
              </w:rPr>
            </w:pPr>
          </w:p>
        </w:tc>
        <w:tc>
          <w:tcPr>
            <w:tcW w:w="217" w:type="dxa"/>
          </w:tcPr>
          <w:p w14:paraId="455CD071" w14:textId="77777777" w:rsidR="002C0FD9" w:rsidRPr="00CA25CF" w:rsidRDefault="002C0FD9" w:rsidP="00CA25CF">
            <w:pPr>
              <w:rPr>
                <w:rFonts w:cs="Arial"/>
                <w:color w:val="FF0000"/>
                <w:sz w:val="21"/>
                <w:szCs w:val="21"/>
              </w:rPr>
            </w:pPr>
          </w:p>
        </w:tc>
        <w:tc>
          <w:tcPr>
            <w:tcW w:w="217" w:type="dxa"/>
          </w:tcPr>
          <w:p w14:paraId="14B56AF3" w14:textId="77777777" w:rsidR="002C0FD9" w:rsidRPr="00CA25CF" w:rsidRDefault="002C0FD9" w:rsidP="00CA25CF">
            <w:pPr>
              <w:rPr>
                <w:rFonts w:cs="Arial"/>
                <w:color w:val="FF0000"/>
                <w:sz w:val="21"/>
                <w:szCs w:val="21"/>
              </w:rPr>
            </w:pPr>
          </w:p>
        </w:tc>
        <w:tc>
          <w:tcPr>
            <w:tcW w:w="217" w:type="dxa"/>
          </w:tcPr>
          <w:p w14:paraId="0ED4B556" w14:textId="77777777" w:rsidR="002C0FD9" w:rsidRPr="00CA25CF" w:rsidRDefault="002C0FD9" w:rsidP="00CA25CF">
            <w:pPr>
              <w:rPr>
                <w:rFonts w:cs="Arial"/>
                <w:color w:val="FF0000"/>
                <w:sz w:val="21"/>
                <w:szCs w:val="21"/>
              </w:rPr>
            </w:pPr>
          </w:p>
        </w:tc>
        <w:tc>
          <w:tcPr>
            <w:tcW w:w="217" w:type="dxa"/>
          </w:tcPr>
          <w:p w14:paraId="113D5B8B" w14:textId="77777777" w:rsidR="002C0FD9" w:rsidRPr="00CA25CF" w:rsidRDefault="002C0FD9" w:rsidP="00CA25CF">
            <w:pPr>
              <w:rPr>
                <w:rFonts w:cs="Arial"/>
                <w:color w:val="FF0000"/>
                <w:sz w:val="21"/>
                <w:szCs w:val="21"/>
              </w:rPr>
            </w:pPr>
          </w:p>
        </w:tc>
        <w:tc>
          <w:tcPr>
            <w:tcW w:w="217" w:type="dxa"/>
          </w:tcPr>
          <w:p w14:paraId="79ED98EB" w14:textId="77777777" w:rsidR="002C0FD9" w:rsidRPr="00CA25CF" w:rsidRDefault="002C0FD9" w:rsidP="00CA25CF">
            <w:pPr>
              <w:rPr>
                <w:rFonts w:cs="Arial"/>
                <w:color w:val="FF0000"/>
                <w:sz w:val="21"/>
                <w:szCs w:val="21"/>
              </w:rPr>
            </w:pPr>
          </w:p>
        </w:tc>
        <w:tc>
          <w:tcPr>
            <w:tcW w:w="217" w:type="dxa"/>
          </w:tcPr>
          <w:p w14:paraId="2B105CC5" w14:textId="77777777" w:rsidR="002C0FD9" w:rsidRPr="00CA25CF" w:rsidRDefault="002C0FD9" w:rsidP="00CA25CF">
            <w:pPr>
              <w:rPr>
                <w:rFonts w:cs="Arial"/>
                <w:color w:val="FF0000"/>
                <w:sz w:val="21"/>
                <w:szCs w:val="21"/>
              </w:rPr>
            </w:pPr>
          </w:p>
        </w:tc>
        <w:tc>
          <w:tcPr>
            <w:tcW w:w="217" w:type="dxa"/>
          </w:tcPr>
          <w:p w14:paraId="2DC3AC89" w14:textId="77777777" w:rsidR="002C0FD9" w:rsidRPr="00CA25CF" w:rsidRDefault="002C0FD9" w:rsidP="00CA25CF">
            <w:pPr>
              <w:rPr>
                <w:rFonts w:cs="Arial"/>
                <w:color w:val="FF0000"/>
                <w:sz w:val="21"/>
                <w:szCs w:val="21"/>
              </w:rPr>
            </w:pPr>
          </w:p>
        </w:tc>
        <w:tc>
          <w:tcPr>
            <w:tcW w:w="217" w:type="dxa"/>
          </w:tcPr>
          <w:p w14:paraId="46BEDBBC" w14:textId="77777777" w:rsidR="002C0FD9" w:rsidRPr="00CA25CF" w:rsidRDefault="002C0FD9" w:rsidP="00CA25CF">
            <w:pPr>
              <w:rPr>
                <w:rFonts w:cs="Arial"/>
                <w:color w:val="FF0000"/>
                <w:sz w:val="21"/>
                <w:szCs w:val="21"/>
              </w:rPr>
            </w:pPr>
          </w:p>
        </w:tc>
        <w:tc>
          <w:tcPr>
            <w:tcW w:w="217" w:type="dxa"/>
          </w:tcPr>
          <w:p w14:paraId="23009E94" w14:textId="77777777" w:rsidR="002C0FD9" w:rsidRPr="00CA25CF" w:rsidRDefault="002C0FD9" w:rsidP="00CA25CF">
            <w:pPr>
              <w:rPr>
                <w:rFonts w:cs="Arial"/>
                <w:color w:val="FF0000"/>
                <w:sz w:val="21"/>
                <w:szCs w:val="21"/>
              </w:rPr>
            </w:pPr>
          </w:p>
        </w:tc>
        <w:tc>
          <w:tcPr>
            <w:tcW w:w="217" w:type="dxa"/>
          </w:tcPr>
          <w:p w14:paraId="69D06117" w14:textId="77777777" w:rsidR="002C0FD9" w:rsidRPr="00CA25CF" w:rsidRDefault="002C0FD9" w:rsidP="00CA25CF">
            <w:pPr>
              <w:rPr>
                <w:rFonts w:cs="Arial"/>
                <w:color w:val="FF0000"/>
                <w:sz w:val="21"/>
                <w:szCs w:val="21"/>
              </w:rPr>
            </w:pPr>
          </w:p>
        </w:tc>
        <w:tc>
          <w:tcPr>
            <w:tcW w:w="217" w:type="dxa"/>
          </w:tcPr>
          <w:p w14:paraId="7A299A93" w14:textId="77777777" w:rsidR="002C0FD9" w:rsidRPr="00CA25CF" w:rsidRDefault="002C0FD9" w:rsidP="00CA25CF">
            <w:pPr>
              <w:rPr>
                <w:rFonts w:cs="Arial"/>
                <w:color w:val="FF0000"/>
                <w:sz w:val="21"/>
                <w:szCs w:val="21"/>
              </w:rPr>
            </w:pPr>
          </w:p>
        </w:tc>
        <w:tc>
          <w:tcPr>
            <w:tcW w:w="217" w:type="dxa"/>
          </w:tcPr>
          <w:p w14:paraId="291BF6D6" w14:textId="77777777" w:rsidR="002C0FD9" w:rsidRPr="00CA25CF" w:rsidRDefault="002C0FD9" w:rsidP="00CA25CF">
            <w:pPr>
              <w:rPr>
                <w:rFonts w:cs="Arial"/>
                <w:color w:val="FF0000"/>
                <w:sz w:val="21"/>
                <w:szCs w:val="21"/>
              </w:rPr>
            </w:pPr>
          </w:p>
        </w:tc>
        <w:tc>
          <w:tcPr>
            <w:tcW w:w="217" w:type="dxa"/>
          </w:tcPr>
          <w:p w14:paraId="30D925C4" w14:textId="77777777" w:rsidR="002C0FD9" w:rsidRPr="00CA25CF" w:rsidRDefault="002C0FD9" w:rsidP="00CA25CF">
            <w:pPr>
              <w:rPr>
                <w:rFonts w:cs="Arial"/>
                <w:color w:val="FF0000"/>
                <w:sz w:val="21"/>
                <w:szCs w:val="21"/>
              </w:rPr>
            </w:pPr>
          </w:p>
        </w:tc>
      </w:tr>
      <w:tr w:rsidR="002C0FD9" w:rsidRPr="00A16219" w14:paraId="2E071FF3" w14:textId="05395298" w:rsidTr="002C0FD9">
        <w:trPr>
          <w:trHeight w:val="635"/>
        </w:trPr>
        <w:tc>
          <w:tcPr>
            <w:tcW w:w="515" w:type="dxa"/>
          </w:tcPr>
          <w:p w14:paraId="41F37A9B" w14:textId="77777777" w:rsidR="002C0FD9" w:rsidRPr="00CA25CF" w:rsidRDefault="002C0FD9" w:rsidP="00CA25CF">
            <w:pPr>
              <w:rPr>
                <w:rFonts w:cs="Arial"/>
                <w:color w:val="FF0000"/>
                <w:sz w:val="21"/>
                <w:szCs w:val="21"/>
              </w:rPr>
            </w:pPr>
          </w:p>
        </w:tc>
        <w:tc>
          <w:tcPr>
            <w:tcW w:w="217" w:type="dxa"/>
          </w:tcPr>
          <w:p w14:paraId="59DBF818" w14:textId="77777777" w:rsidR="002C0FD9" w:rsidRPr="00CA25CF" w:rsidRDefault="002C0FD9" w:rsidP="00CA25CF">
            <w:pPr>
              <w:rPr>
                <w:rFonts w:cs="Arial"/>
                <w:color w:val="FF0000"/>
                <w:sz w:val="21"/>
                <w:szCs w:val="21"/>
              </w:rPr>
            </w:pPr>
          </w:p>
        </w:tc>
        <w:tc>
          <w:tcPr>
            <w:tcW w:w="217" w:type="dxa"/>
          </w:tcPr>
          <w:p w14:paraId="34B3652D" w14:textId="1B81B3D0" w:rsidR="002C0FD9" w:rsidRPr="00CA25CF" w:rsidRDefault="002C0FD9" w:rsidP="00CA25CF">
            <w:pPr>
              <w:rPr>
                <w:rFonts w:cs="Arial"/>
                <w:color w:val="FF0000"/>
                <w:sz w:val="21"/>
                <w:szCs w:val="21"/>
              </w:rPr>
            </w:pPr>
          </w:p>
        </w:tc>
        <w:tc>
          <w:tcPr>
            <w:tcW w:w="217" w:type="dxa"/>
          </w:tcPr>
          <w:p w14:paraId="613D3328" w14:textId="77777777" w:rsidR="002C0FD9" w:rsidRPr="00CA25CF" w:rsidRDefault="002C0FD9" w:rsidP="00CA25CF">
            <w:pPr>
              <w:rPr>
                <w:rFonts w:cs="Arial"/>
                <w:color w:val="FF0000"/>
                <w:sz w:val="21"/>
                <w:szCs w:val="21"/>
              </w:rPr>
            </w:pPr>
          </w:p>
        </w:tc>
        <w:tc>
          <w:tcPr>
            <w:tcW w:w="217" w:type="dxa"/>
          </w:tcPr>
          <w:p w14:paraId="03E06E23" w14:textId="77777777" w:rsidR="002C0FD9" w:rsidRPr="00CA25CF" w:rsidRDefault="002C0FD9" w:rsidP="00CA25CF">
            <w:pPr>
              <w:rPr>
                <w:rFonts w:cs="Arial"/>
                <w:color w:val="FF0000"/>
                <w:sz w:val="21"/>
                <w:szCs w:val="21"/>
              </w:rPr>
            </w:pPr>
          </w:p>
        </w:tc>
        <w:tc>
          <w:tcPr>
            <w:tcW w:w="217" w:type="dxa"/>
          </w:tcPr>
          <w:p w14:paraId="53EDD7B5" w14:textId="77777777" w:rsidR="002C0FD9" w:rsidRPr="00CA25CF" w:rsidRDefault="002C0FD9" w:rsidP="00CA25CF">
            <w:pPr>
              <w:rPr>
                <w:rFonts w:cs="Arial"/>
                <w:color w:val="FF0000"/>
                <w:sz w:val="21"/>
                <w:szCs w:val="21"/>
              </w:rPr>
            </w:pPr>
          </w:p>
        </w:tc>
        <w:tc>
          <w:tcPr>
            <w:tcW w:w="217" w:type="dxa"/>
          </w:tcPr>
          <w:p w14:paraId="66790DEC" w14:textId="77777777" w:rsidR="002C0FD9" w:rsidRPr="00CA25CF" w:rsidRDefault="002C0FD9" w:rsidP="00CA25CF">
            <w:pPr>
              <w:rPr>
                <w:rFonts w:cs="Arial"/>
                <w:color w:val="FF0000"/>
                <w:sz w:val="21"/>
                <w:szCs w:val="21"/>
              </w:rPr>
            </w:pPr>
          </w:p>
        </w:tc>
        <w:tc>
          <w:tcPr>
            <w:tcW w:w="217" w:type="dxa"/>
          </w:tcPr>
          <w:p w14:paraId="4D180866" w14:textId="77777777" w:rsidR="002C0FD9" w:rsidRPr="00CA25CF" w:rsidRDefault="002C0FD9" w:rsidP="00CA25CF">
            <w:pPr>
              <w:rPr>
                <w:rFonts w:cs="Arial"/>
                <w:color w:val="FF0000"/>
                <w:sz w:val="21"/>
                <w:szCs w:val="21"/>
              </w:rPr>
            </w:pPr>
          </w:p>
        </w:tc>
        <w:tc>
          <w:tcPr>
            <w:tcW w:w="217" w:type="dxa"/>
          </w:tcPr>
          <w:p w14:paraId="02E5F5CD" w14:textId="77777777" w:rsidR="002C0FD9" w:rsidRPr="00CA25CF" w:rsidRDefault="002C0FD9" w:rsidP="00CA25CF">
            <w:pPr>
              <w:rPr>
                <w:rFonts w:cs="Arial"/>
                <w:color w:val="FF0000"/>
                <w:sz w:val="21"/>
                <w:szCs w:val="21"/>
              </w:rPr>
            </w:pPr>
          </w:p>
        </w:tc>
        <w:tc>
          <w:tcPr>
            <w:tcW w:w="217" w:type="dxa"/>
          </w:tcPr>
          <w:p w14:paraId="4B1364A2" w14:textId="77777777" w:rsidR="002C0FD9" w:rsidRPr="00CA25CF" w:rsidRDefault="002C0FD9" w:rsidP="00CA25CF">
            <w:pPr>
              <w:rPr>
                <w:rFonts w:cs="Arial"/>
                <w:color w:val="FF0000"/>
                <w:sz w:val="21"/>
                <w:szCs w:val="21"/>
              </w:rPr>
            </w:pPr>
          </w:p>
        </w:tc>
        <w:tc>
          <w:tcPr>
            <w:tcW w:w="217" w:type="dxa"/>
          </w:tcPr>
          <w:p w14:paraId="4208664F" w14:textId="77777777" w:rsidR="002C0FD9" w:rsidRPr="00CA25CF" w:rsidRDefault="002C0FD9" w:rsidP="00CA25CF">
            <w:pPr>
              <w:rPr>
                <w:rFonts w:cs="Arial"/>
                <w:color w:val="FF0000"/>
                <w:sz w:val="21"/>
                <w:szCs w:val="21"/>
              </w:rPr>
            </w:pPr>
          </w:p>
        </w:tc>
        <w:tc>
          <w:tcPr>
            <w:tcW w:w="217" w:type="dxa"/>
          </w:tcPr>
          <w:p w14:paraId="5749ABCE" w14:textId="77777777" w:rsidR="002C0FD9" w:rsidRPr="00CA25CF" w:rsidRDefault="002C0FD9" w:rsidP="00CA25CF">
            <w:pPr>
              <w:rPr>
                <w:rFonts w:cs="Arial"/>
                <w:color w:val="FF0000"/>
                <w:sz w:val="21"/>
                <w:szCs w:val="21"/>
              </w:rPr>
            </w:pPr>
          </w:p>
        </w:tc>
        <w:tc>
          <w:tcPr>
            <w:tcW w:w="217" w:type="dxa"/>
          </w:tcPr>
          <w:p w14:paraId="4050E623" w14:textId="77777777" w:rsidR="002C0FD9" w:rsidRPr="00CA25CF" w:rsidRDefault="002C0FD9" w:rsidP="00CA25CF">
            <w:pPr>
              <w:rPr>
                <w:rFonts w:cs="Arial"/>
                <w:color w:val="FF0000"/>
                <w:sz w:val="21"/>
                <w:szCs w:val="21"/>
              </w:rPr>
            </w:pPr>
          </w:p>
        </w:tc>
        <w:tc>
          <w:tcPr>
            <w:tcW w:w="217" w:type="dxa"/>
          </w:tcPr>
          <w:p w14:paraId="7A99A08E" w14:textId="77777777" w:rsidR="002C0FD9" w:rsidRPr="00CA25CF" w:rsidRDefault="002C0FD9" w:rsidP="00CA25CF">
            <w:pPr>
              <w:rPr>
                <w:rFonts w:cs="Arial"/>
                <w:color w:val="FF0000"/>
                <w:sz w:val="21"/>
                <w:szCs w:val="21"/>
              </w:rPr>
            </w:pPr>
          </w:p>
        </w:tc>
        <w:tc>
          <w:tcPr>
            <w:tcW w:w="217" w:type="dxa"/>
          </w:tcPr>
          <w:p w14:paraId="72B1719A" w14:textId="77777777" w:rsidR="002C0FD9" w:rsidRPr="00CA25CF" w:rsidRDefault="002C0FD9" w:rsidP="00CA25CF">
            <w:pPr>
              <w:rPr>
                <w:rFonts w:cs="Arial"/>
                <w:color w:val="FF0000"/>
                <w:sz w:val="21"/>
                <w:szCs w:val="21"/>
              </w:rPr>
            </w:pPr>
          </w:p>
        </w:tc>
        <w:tc>
          <w:tcPr>
            <w:tcW w:w="217" w:type="dxa"/>
          </w:tcPr>
          <w:p w14:paraId="0D15CA1E" w14:textId="0AEB609C" w:rsidR="002C0FD9" w:rsidRPr="00CA25CF" w:rsidRDefault="002C0FD9" w:rsidP="00CA25CF">
            <w:pPr>
              <w:rPr>
                <w:rFonts w:cs="Arial"/>
                <w:color w:val="FF0000"/>
                <w:sz w:val="21"/>
                <w:szCs w:val="21"/>
              </w:rPr>
            </w:pPr>
          </w:p>
        </w:tc>
        <w:tc>
          <w:tcPr>
            <w:tcW w:w="217" w:type="dxa"/>
          </w:tcPr>
          <w:p w14:paraId="17F79713" w14:textId="77777777" w:rsidR="002C0FD9" w:rsidRPr="00CA25CF" w:rsidRDefault="002C0FD9" w:rsidP="00CA25CF">
            <w:pPr>
              <w:rPr>
                <w:rFonts w:cs="Arial"/>
                <w:color w:val="FF0000"/>
                <w:sz w:val="21"/>
                <w:szCs w:val="21"/>
              </w:rPr>
            </w:pPr>
          </w:p>
        </w:tc>
        <w:tc>
          <w:tcPr>
            <w:tcW w:w="217" w:type="dxa"/>
          </w:tcPr>
          <w:p w14:paraId="106B73E5" w14:textId="77777777" w:rsidR="002C0FD9" w:rsidRPr="00CA25CF" w:rsidRDefault="002C0FD9" w:rsidP="00CA25CF">
            <w:pPr>
              <w:rPr>
                <w:rFonts w:cs="Arial"/>
                <w:color w:val="FF0000"/>
                <w:sz w:val="21"/>
                <w:szCs w:val="21"/>
              </w:rPr>
            </w:pPr>
          </w:p>
        </w:tc>
        <w:tc>
          <w:tcPr>
            <w:tcW w:w="217" w:type="dxa"/>
          </w:tcPr>
          <w:p w14:paraId="0549D051" w14:textId="77777777" w:rsidR="002C0FD9" w:rsidRPr="00CA25CF" w:rsidRDefault="002C0FD9" w:rsidP="00CA25CF">
            <w:pPr>
              <w:rPr>
                <w:rFonts w:cs="Arial"/>
                <w:color w:val="FF0000"/>
                <w:sz w:val="21"/>
                <w:szCs w:val="21"/>
              </w:rPr>
            </w:pPr>
          </w:p>
        </w:tc>
        <w:tc>
          <w:tcPr>
            <w:tcW w:w="217" w:type="dxa"/>
          </w:tcPr>
          <w:p w14:paraId="7BC968C5" w14:textId="77777777" w:rsidR="002C0FD9" w:rsidRPr="00CA25CF" w:rsidRDefault="002C0FD9" w:rsidP="00CA25CF">
            <w:pPr>
              <w:rPr>
                <w:rFonts w:cs="Arial"/>
                <w:color w:val="FF0000"/>
                <w:sz w:val="21"/>
                <w:szCs w:val="21"/>
              </w:rPr>
            </w:pPr>
          </w:p>
        </w:tc>
        <w:tc>
          <w:tcPr>
            <w:tcW w:w="217" w:type="dxa"/>
          </w:tcPr>
          <w:p w14:paraId="78C55A5B" w14:textId="77777777" w:rsidR="002C0FD9" w:rsidRPr="00CA25CF" w:rsidRDefault="002C0FD9" w:rsidP="00CA25CF">
            <w:pPr>
              <w:rPr>
                <w:rFonts w:cs="Arial"/>
                <w:color w:val="FF0000"/>
                <w:sz w:val="21"/>
                <w:szCs w:val="21"/>
              </w:rPr>
            </w:pPr>
          </w:p>
        </w:tc>
        <w:tc>
          <w:tcPr>
            <w:tcW w:w="217" w:type="dxa"/>
          </w:tcPr>
          <w:p w14:paraId="46283A96" w14:textId="77777777" w:rsidR="002C0FD9" w:rsidRPr="00CA25CF" w:rsidRDefault="002C0FD9" w:rsidP="00CA25CF">
            <w:pPr>
              <w:rPr>
                <w:rFonts w:cs="Arial"/>
                <w:color w:val="FF0000"/>
                <w:sz w:val="21"/>
                <w:szCs w:val="21"/>
              </w:rPr>
            </w:pPr>
          </w:p>
        </w:tc>
        <w:tc>
          <w:tcPr>
            <w:tcW w:w="217" w:type="dxa"/>
          </w:tcPr>
          <w:p w14:paraId="032231F7" w14:textId="77777777" w:rsidR="002C0FD9" w:rsidRPr="00CA25CF" w:rsidRDefault="002C0FD9" w:rsidP="00CA25CF">
            <w:pPr>
              <w:rPr>
                <w:rFonts w:cs="Arial"/>
                <w:color w:val="FF0000"/>
                <w:sz w:val="21"/>
                <w:szCs w:val="21"/>
              </w:rPr>
            </w:pPr>
          </w:p>
        </w:tc>
        <w:tc>
          <w:tcPr>
            <w:tcW w:w="217" w:type="dxa"/>
          </w:tcPr>
          <w:p w14:paraId="51E392AB" w14:textId="77777777" w:rsidR="002C0FD9" w:rsidRPr="00CA25CF" w:rsidRDefault="002C0FD9" w:rsidP="00CA25CF">
            <w:pPr>
              <w:rPr>
                <w:rFonts w:cs="Arial"/>
                <w:color w:val="FF0000"/>
                <w:sz w:val="21"/>
                <w:szCs w:val="21"/>
              </w:rPr>
            </w:pPr>
          </w:p>
        </w:tc>
        <w:tc>
          <w:tcPr>
            <w:tcW w:w="217" w:type="dxa"/>
          </w:tcPr>
          <w:p w14:paraId="227E7DF8" w14:textId="77777777" w:rsidR="002C0FD9" w:rsidRPr="00CA25CF" w:rsidRDefault="002C0FD9" w:rsidP="00CA25CF">
            <w:pPr>
              <w:rPr>
                <w:rFonts w:cs="Arial"/>
                <w:color w:val="FF0000"/>
                <w:sz w:val="21"/>
                <w:szCs w:val="21"/>
              </w:rPr>
            </w:pPr>
          </w:p>
        </w:tc>
        <w:tc>
          <w:tcPr>
            <w:tcW w:w="217" w:type="dxa"/>
          </w:tcPr>
          <w:p w14:paraId="69B36763" w14:textId="77777777" w:rsidR="002C0FD9" w:rsidRPr="00CA25CF" w:rsidRDefault="002C0FD9" w:rsidP="00CA25CF">
            <w:pPr>
              <w:rPr>
                <w:rFonts w:cs="Arial"/>
                <w:color w:val="FF0000"/>
                <w:sz w:val="21"/>
                <w:szCs w:val="21"/>
              </w:rPr>
            </w:pPr>
          </w:p>
        </w:tc>
        <w:tc>
          <w:tcPr>
            <w:tcW w:w="217" w:type="dxa"/>
          </w:tcPr>
          <w:p w14:paraId="22922811" w14:textId="77777777" w:rsidR="002C0FD9" w:rsidRPr="00CA25CF" w:rsidRDefault="002C0FD9" w:rsidP="00CA25CF">
            <w:pPr>
              <w:rPr>
                <w:rFonts w:cs="Arial"/>
                <w:color w:val="FF0000"/>
                <w:sz w:val="21"/>
                <w:szCs w:val="21"/>
              </w:rPr>
            </w:pPr>
          </w:p>
        </w:tc>
        <w:tc>
          <w:tcPr>
            <w:tcW w:w="217" w:type="dxa"/>
          </w:tcPr>
          <w:p w14:paraId="5C17EB9E" w14:textId="77777777" w:rsidR="002C0FD9" w:rsidRPr="00CA25CF" w:rsidRDefault="002C0FD9" w:rsidP="00CA25CF">
            <w:pPr>
              <w:rPr>
                <w:rFonts w:cs="Arial"/>
                <w:color w:val="FF0000"/>
                <w:sz w:val="21"/>
                <w:szCs w:val="21"/>
              </w:rPr>
            </w:pPr>
          </w:p>
        </w:tc>
        <w:tc>
          <w:tcPr>
            <w:tcW w:w="217" w:type="dxa"/>
          </w:tcPr>
          <w:p w14:paraId="1CB6E544" w14:textId="77777777" w:rsidR="002C0FD9" w:rsidRPr="00CA25CF" w:rsidRDefault="002C0FD9" w:rsidP="00CA25CF">
            <w:pPr>
              <w:rPr>
                <w:rFonts w:cs="Arial"/>
                <w:color w:val="FF0000"/>
                <w:sz w:val="21"/>
                <w:szCs w:val="21"/>
              </w:rPr>
            </w:pPr>
          </w:p>
        </w:tc>
        <w:tc>
          <w:tcPr>
            <w:tcW w:w="217" w:type="dxa"/>
          </w:tcPr>
          <w:p w14:paraId="2F862584" w14:textId="77777777" w:rsidR="002C0FD9" w:rsidRPr="00CA25CF" w:rsidRDefault="002C0FD9" w:rsidP="00CA25CF">
            <w:pPr>
              <w:rPr>
                <w:rFonts w:cs="Arial"/>
                <w:color w:val="FF0000"/>
                <w:sz w:val="21"/>
                <w:szCs w:val="21"/>
              </w:rPr>
            </w:pPr>
          </w:p>
        </w:tc>
        <w:tc>
          <w:tcPr>
            <w:tcW w:w="217" w:type="dxa"/>
          </w:tcPr>
          <w:p w14:paraId="4859FB31" w14:textId="77777777" w:rsidR="002C0FD9" w:rsidRPr="00CA25CF" w:rsidRDefault="002C0FD9" w:rsidP="00CA25CF">
            <w:pPr>
              <w:rPr>
                <w:rFonts w:cs="Arial"/>
                <w:color w:val="FF0000"/>
                <w:sz w:val="21"/>
                <w:szCs w:val="21"/>
              </w:rPr>
            </w:pPr>
          </w:p>
        </w:tc>
        <w:tc>
          <w:tcPr>
            <w:tcW w:w="217" w:type="dxa"/>
          </w:tcPr>
          <w:p w14:paraId="3F065028" w14:textId="77777777" w:rsidR="002C0FD9" w:rsidRPr="00CA25CF" w:rsidRDefault="002C0FD9" w:rsidP="00CA25CF">
            <w:pPr>
              <w:rPr>
                <w:rFonts w:cs="Arial"/>
                <w:color w:val="FF0000"/>
                <w:sz w:val="21"/>
                <w:szCs w:val="21"/>
              </w:rPr>
            </w:pPr>
          </w:p>
        </w:tc>
        <w:tc>
          <w:tcPr>
            <w:tcW w:w="217" w:type="dxa"/>
          </w:tcPr>
          <w:p w14:paraId="703DE1B3" w14:textId="77777777" w:rsidR="002C0FD9" w:rsidRPr="00CA25CF" w:rsidRDefault="002C0FD9" w:rsidP="00CA25CF">
            <w:pPr>
              <w:rPr>
                <w:rFonts w:cs="Arial"/>
                <w:color w:val="FF0000"/>
                <w:sz w:val="21"/>
                <w:szCs w:val="21"/>
              </w:rPr>
            </w:pPr>
          </w:p>
        </w:tc>
        <w:tc>
          <w:tcPr>
            <w:tcW w:w="217" w:type="dxa"/>
          </w:tcPr>
          <w:p w14:paraId="110881B2" w14:textId="77777777" w:rsidR="002C0FD9" w:rsidRPr="00CA25CF" w:rsidRDefault="002C0FD9" w:rsidP="00CA25CF">
            <w:pPr>
              <w:rPr>
                <w:rFonts w:cs="Arial"/>
                <w:color w:val="FF0000"/>
                <w:sz w:val="21"/>
                <w:szCs w:val="21"/>
              </w:rPr>
            </w:pPr>
          </w:p>
        </w:tc>
        <w:tc>
          <w:tcPr>
            <w:tcW w:w="217" w:type="dxa"/>
          </w:tcPr>
          <w:p w14:paraId="0E645246" w14:textId="77777777" w:rsidR="002C0FD9" w:rsidRPr="00CA25CF" w:rsidRDefault="002C0FD9" w:rsidP="00CA25CF">
            <w:pPr>
              <w:rPr>
                <w:rFonts w:cs="Arial"/>
                <w:color w:val="FF0000"/>
                <w:sz w:val="21"/>
                <w:szCs w:val="21"/>
              </w:rPr>
            </w:pPr>
          </w:p>
        </w:tc>
        <w:tc>
          <w:tcPr>
            <w:tcW w:w="217" w:type="dxa"/>
          </w:tcPr>
          <w:p w14:paraId="39B4FB48" w14:textId="77777777" w:rsidR="002C0FD9" w:rsidRPr="00CA25CF" w:rsidRDefault="002C0FD9" w:rsidP="00CA25CF">
            <w:pPr>
              <w:rPr>
                <w:rFonts w:cs="Arial"/>
                <w:color w:val="FF0000"/>
                <w:sz w:val="21"/>
                <w:szCs w:val="21"/>
              </w:rPr>
            </w:pPr>
          </w:p>
        </w:tc>
        <w:tc>
          <w:tcPr>
            <w:tcW w:w="217" w:type="dxa"/>
          </w:tcPr>
          <w:p w14:paraId="6F18C74E" w14:textId="77777777" w:rsidR="002C0FD9" w:rsidRPr="00CA25CF" w:rsidRDefault="002C0FD9" w:rsidP="00CA25CF">
            <w:pPr>
              <w:rPr>
                <w:rFonts w:cs="Arial"/>
                <w:color w:val="FF0000"/>
                <w:sz w:val="21"/>
                <w:szCs w:val="21"/>
              </w:rPr>
            </w:pPr>
          </w:p>
        </w:tc>
        <w:tc>
          <w:tcPr>
            <w:tcW w:w="217" w:type="dxa"/>
          </w:tcPr>
          <w:p w14:paraId="24A2E67C" w14:textId="77777777" w:rsidR="002C0FD9" w:rsidRPr="00CA25CF" w:rsidRDefault="002C0FD9" w:rsidP="00CA25CF">
            <w:pPr>
              <w:rPr>
                <w:rFonts w:cs="Arial"/>
                <w:color w:val="FF0000"/>
                <w:sz w:val="21"/>
                <w:szCs w:val="21"/>
              </w:rPr>
            </w:pPr>
          </w:p>
        </w:tc>
        <w:tc>
          <w:tcPr>
            <w:tcW w:w="217" w:type="dxa"/>
          </w:tcPr>
          <w:p w14:paraId="1870F326" w14:textId="77777777" w:rsidR="002C0FD9" w:rsidRPr="00CA25CF" w:rsidRDefault="002C0FD9" w:rsidP="00CA25CF">
            <w:pPr>
              <w:rPr>
                <w:rFonts w:cs="Arial"/>
                <w:color w:val="FF0000"/>
                <w:sz w:val="21"/>
                <w:szCs w:val="21"/>
              </w:rPr>
            </w:pPr>
          </w:p>
        </w:tc>
        <w:tc>
          <w:tcPr>
            <w:tcW w:w="217" w:type="dxa"/>
          </w:tcPr>
          <w:p w14:paraId="402CB2F3" w14:textId="77777777" w:rsidR="002C0FD9" w:rsidRPr="00CA25CF" w:rsidRDefault="002C0FD9" w:rsidP="00CA25CF">
            <w:pPr>
              <w:rPr>
                <w:rFonts w:cs="Arial"/>
                <w:color w:val="FF0000"/>
                <w:sz w:val="21"/>
                <w:szCs w:val="21"/>
              </w:rPr>
            </w:pPr>
          </w:p>
        </w:tc>
        <w:tc>
          <w:tcPr>
            <w:tcW w:w="217" w:type="dxa"/>
          </w:tcPr>
          <w:p w14:paraId="0DD9EC52" w14:textId="77777777" w:rsidR="002C0FD9" w:rsidRPr="00CA25CF" w:rsidRDefault="002C0FD9" w:rsidP="00CA25CF">
            <w:pPr>
              <w:rPr>
                <w:rFonts w:cs="Arial"/>
                <w:color w:val="FF0000"/>
                <w:sz w:val="21"/>
                <w:szCs w:val="21"/>
              </w:rPr>
            </w:pPr>
          </w:p>
        </w:tc>
        <w:tc>
          <w:tcPr>
            <w:tcW w:w="217" w:type="dxa"/>
          </w:tcPr>
          <w:p w14:paraId="7C4BC9AC" w14:textId="77777777" w:rsidR="002C0FD9" w:rsidRPr="00CA25CF" w:rsidRDefault="002C0FD9" w:rsidP="00CA25CF">
            <w:pPr>
              <w:rPr>
                <w:rFonts w:cs="Arial"/>
                <w:color w:val="FF0000"/>
                <w:sz w:val="21"/>
                <w:szCs w:val="21"/>
              </w:rPr>
            </w:pPr>
          </w:p>
        </w:tc>
        <w:tc>
          <w:tcPr>
            <w:tcW w:w="217" w:type="dxa"/>
          </w:tcPr>
          <w:p w14:paraId="0284BB0F" w14:textId="77777777" w:rsidR="002C0FD9" w:rsidRPr="00CA25CF" w:rsidRDefault="002C0FD9" w:rsidP="00CA25CF">
            <w:pPr>
              <w:rPr>
                <w:rFonts w:cs="Arial"/>
                <w:color w:val="FF0000"/>
                <w:sz w:val="21"/>
                <w:szCs w:val="21"/>
              </w:rPr>
            </w:pPr>
          </w:p>
        </w:tc>
      </w:tr>
      <w:tr w:rsidR="002C0FD9" w:rsidRPr="00A16219" w14:paraId="143F13A3" w14:textId="560FA9EB" w:rsidTr="002C0FD9">
        <w:trPr>
          <w:trHeight w:val="635"/>
        </w:trPr>
        <w:tc>
          <w:tcPr>
            <w:tcW w:w="515" w:type="dxa"/>
          </w:tcPr>
          <w:p w14:paraId="62618085" w14:textId="77777777" w:rsidR="002C0FD9" w:rsidRPr="00CA25CF" w:rsidRDefault="002C0FD9" w:rsidP="00CA25CF">
            <w:pPr>
              <w:rPr>
                <w:rFonts w:cs="Arial"/>
                <w:color w:val="FF0000"/>
                <w:sz w:val="21"/>
                <w:szCs w:val="21"/>
              </w:rPr>
            </w:pPr>
          </w:p>
        </w:tc>
        <w:tc>
          <w:tcPr>
            <w:tcW w:w="217" w:type="dxa"/>
          </w:tcPr>
          <w:p w14:paraId="6A13E2CA" w14:textId="77777777" w:rsidR="002C0FD9" w:rsidRPr="00CA25CF" w:rsidRDefault="002C0FD9" w:rsidP="00CA25CF">
            <w:pPr>
              <w:rPr>
                <w:rFonts w:cs="Arial"/>
                <w:color w:val="FF0000"/>
                <w:sz w:val="21"/>
                <w:szCs w:val="21"/>
              </w:rPr>
            </w:pPr>
          </w:p>
        </w:tc>
        <w:tc>
          <w:tcPr>
            <w:tcW w:w="217" w:type="dxa"/>
          </w:tcPr>
          <w:p w14:paraId="518C66F3" w14:textId="10460AAA" w:rsidR="002C0FD9" w:rsidRPr="00CA25CF" w:rsidRDefault="002C0FD9" w:rsidP="00CA25CF">
            <w:pPr>
              <w:rPr>
                <w:rFonts w:cs="Arial"/>
                <w:color w:val="FF0000"/>
                <w:sz w:val="21"/>
                <w:szCs w:val="21"/>
              </w:rPr>
            </w:pPr>
          </w:p>
        </w:tc>
        <w:tc>
          <w:tcPr>
            <w:tcW w:w="217" w:type="dxa"/>
          </w:tcPr>
          <w:p w14:paraId="1256630E" w14:textId="77777777" w:rsidR="002C0FD9" w:rsidRPr="00CA25CF" w:rsidRDefault="002C0FD9" w:rsidP="00CA25CF">
            <w:pPr>
              <w:rPr>
                <w:rFonts w:cs="Arial"/>
                <w:color w:val="FF0000"/>
                <w:sz w:val="21"/>
                <w:szCs w:val="21"/>
              </w:rPr>
            </w:pPr>
          </w:p>
        </w:tc>
        <w:tc>
          <w:tcPr>
            <w:tcW w:w="217" w:type="dxa"/>
          </w:tcPr>
          <w:p w14:paraId="1722BD58" w14:textId="77777777" w:rsidR="002C0FD9" w:rsidRPr="00CA25CF" w:rsidRDefault="002C0FD9" w:rsidP="00CA25CF">
            <w:pPr>
              <w:rPr>
                <w:rFonts w:cs="Arial"/>
                <w:color w:val="FF0000"/>
                <w:sz w:val="21"/>
                <w:szCs w:val="21"/>
              </w:rPr>
            </w:pPr>
          </w:p>
        </w:tc>
        <w:tc>
          <w:tcPr>
            <w:tcW w:w="217" w:type="dxa"/>
          </w:tcPr>
          <w:p w14:paraId="2AC6A7B8" w14:textId="77777777" w:rsidR="002C0FD9" w:rsidRPr="00CA25CF" w:rsidRDefault="002C0FD9" w:rsidP="00CA25CF">
            <w:pPr>
              <w:rPr>
                <w:rFonts w:cs="Arial"/>
                <w:color w:val="FF0000"/>
                <w:sz w:val="21"/>
                <w:szCs w:val="21"/>
              </w:rPr>
            </w:pPr>
          </w:p>
        </w:tc>
        <w:tc>
          <w:tcPr>
            <w:tcW w:w="217" w:type="dxa"/>
          </w:tcPr>
          <w:p w14:paraId="221D1403" w14:textId="77777777" w:rsidR="002C0FD9" w:rsidRPr="00CA25CF" w:rsidRDefault="002C0FD9" w:rsidP="00CA25CF">
            <w:pPr>
              <w:rPr>
                <w:rFonts w:cs="Arial"/>
                <w:color w:val="FF0000"/>
                <w:sz w:val="21"/>
                <w:szCs w:val="21"/>
              </w:rPr>
            </w:pPr>
          </w:p>
        </w:tc>
        <w:tc>
          <w:tcPr>
            <w:tcW w:w="217" w:type="dxa"/>
          </w:tcPr>
          <w:p w14:paraId="50958C95" w14:textId="77777777" w:rsidR="002C0FD9" w:rsidRPr="00CA25CF" w:rsidRDefault="002C0FD9" w:rsidP="00CA25CF">
            <w:pPr>
              <w:rPr>
                <w:rFonts w:cs="Arial"/>
                <w:color w:val="FF0000"/>
                <w:sz w:val="21"/>
                <w:szCs w:val="21"/>
              </w:rPr>
            </w:pPr>
          </w:p>
        </w:tc>
        <w:tc>
          <w:tcPr>
            <w:tcW w:w="217" w:type="dxa"/>
          </w:tcPr>
          <w:p w14:paraId="44C0EFD7" w14:textId="77777777" w:rsidR="002C0FD9" w:rsidRPr="00CA25CF" w:rsidRDefault="002C0FD9" w:rsidP="00CA25CF">
            <w:pPr>
              <w:rPr>
                <w:rFonts w:cs="Arial"/>
                <w:color w:val="FF0000"/>
                <w:sz w:val="21"/>
                <w:szCs w:val="21"/>
              </w:rPr>
            </w:pPr>
          </w:p>
        </w:tc>
        <w:tc>
          <w:tcPr>
            <w:tcW w:w="217" w:type="dxa"/>
          </w:tcPr>
          <w:p w14:paraId="38BDEFF6" w14:textId="77777777" w:rsidR="002C0FD9" w:rsidRPr="00CA25CF" w:rsidRDefault="002C0FD9" w:rsidP="00CA25CF">
            <w:pPr>
              <w:rPr>
                <w:rFonts w:cs="Arial"/>
                <w:color w:val="FF0000"/>
                <w:sz w:val="21"/>
                <w:szCs w:val="21"/>
              </w:rPr>
            </w:pPr>
          </w:p>
        </w:tc>
        <w:tc>
          <w:tcPr>
            <w:tcW w:w="217" w:type="dxa"/>
          </w:tcPr>
          <w:p w14:paraId="69AB7693" w14:textId="77777777" w:rsidR="002C0FD9" w:rsidRPr="00CA25CF" w:rsidRDefault="002C0FD9" w:rsidP="00CA25CF">
            <w:pPr>
              <w:rPr>
                <w:rFonts w:cs="Arial"/>
                <w:color w:val="FF0000"/>
                <w:sz w:val="21"/>
                <w:szCs w:val="21"/>
              </w:rPr>
            </w:pPr>
          </w:p>
        </w:tc>
        <w:tc>
          <w:tcPr>
            <w:tcW w:w="217" w:type="dxa"/>
          </w:tcPr>
          <w:p w14:paraId="71F0C6CE" w14:textId="77777777" w:rsidR="002C0FD9" w:rsidRPr="00CA25CF" w:rsidRDefault="002C0FD9" w:rsidP="00CA25CF">
            <w:pPr>
              <w:rPr>
                <w:rFonts w:cs="Arial"/>
                <w:color w:val="FF0000"/>
                <w:sz w:val="21"/>
                <w:szCs w:val="21"/>
              </w:rPr>
            </w:pPr>
          </w:p>
        </w:tc>
        <w:tc>
          <w:tcPr>
            <w:tcW w:w="217" w:type="dxa"/>
          </w:tcPr>
          <w:p w14:paraId="3D07D222" w14:textId="77777777" w:rsidR="002C0FD9" w:rsidRPr="00CA25CF" w:rsidRDefault="002C0FD9" w:rsidP="00CA25CF">
            <w:pPr>
              <w:rPr>
                <w:rFonts w:cs="Arial"/>
                <w:color w:val="FF0000"/>
                <w:sz w:val="21"/>
                <w:szCs w:val="21"/>
              </w:rPr>
            </w:pPr>
          </w:p>
        </w:tc>
        <w:tc>
          <w:tcPr>
            <w:tcW w:w="217" w:type="dxa"/>
          </w:tcPr>
          <w:p w14:paraId="70154195" w14:textId="77777777" w:rsidR="002C0FD9" w:rsidRPr="00CA25CF" w:rsidRDefault="002C0FD9" w:rsidP="00CA25CF">
            <w:pPr>
              <w:rPr>
                <w:rFonts w:cs="Arial"/>
                <w:color w:val="FF0000"/>
                <w:sz w:val="21"/>
                <w:szCs w:val="21"/>
              </w:rPr>
            </w:pPr>
          </w:p>
        </w:tc>
        <w:tc>
          <w:tcPr>
            <w:tcW w:w="217" w:type="dxa"/>
          </w:tcPr>
          <w:p w14:paraId="7A81EC28" w14:textId="77777777" w:rsidR="002C0FD9" w:rsidRPr="00CA25CF" w:rsidRDefault="002C0FD9" w:rsidP="00CA25CF">
            <w:pPr>
              <w:rPr>
                <w:rFonts w:cs="Arial"/>
                <w:color w:val="FF0000"/>
                <w:sz w:val="21"/>
                <w:szCs w:val="21"/>
              </w:rPr>
            </w:pPr>
          </w:p>
        </w:tc>
        <w:tc>
          <w:tcPr>
            <w:tcW w:w="217" w:type="dxa"/>
          </w:tcPr>
          <w:p w14:paraId="7F10B03C" w14:textId="6047FCFA" w:rsidR="002C0FD9" w:rsidRPr="00CA25CF" w:rsidRDefault="002C0FD9" w:rsidP="00CA25CF">
            <w:pPr>
              <w:rPr>
                <w:rFonts w:cs="Arial"/>
                <w:color w:val="FF0000"/>
                <w:sz w:val="21"/>
                <w:szCs w:val="21"/>
              </w:rPr>
            </w:pPr>
          </w:p>
        </w:tc>
        <w:tc>
          <w:tcPr>
            <w:tcW w:w="217" w:type="dxa"/>
          </w:tcPr>
          <w:p w14:paraId="3E45E4B5" w14:textId="77777777" w:rsidR="002C0FD9" w:rsidRPr="00CA25CF" w:rsidRDefault="002C0FD9" w:rsidP="00CA25CF">
            <w:pPr>
              <w:rPr>
                <w:rFonts w:cs="Arial"/>
                <w:color w:val="FF0000"/>
                <w:sz w:val="21"/>
                <w:szCs w:val="21"/>
              </w:rPr>
            </w:pPr>
          </w:p>
        </w:tc>
        <w:tc>
          <w:tcPr>
            <w:tcW w:w="217" w:type="dxa"/>
          </w:tcPr>
          <w:p w14:paraId="1A63D7C9" w14:textId="77777777" w:rsidR="002C0FD9" w:rsidRPr="00CA25CF" w:rsidRDefault="002C0FD9" w:rsidP="00CA25CF">
            <w:pPr>
              <w:rPr>
                <w:rFonts w:cs="Arial"/>
                <w:color w:val="FF0000"/>
                <w:sz w:val="21"/>
                <w:szCs w:val="21"/>
              </w:rPr>
            </w:pPr>
          </w:p>
        </w:tc>
        <w:tc>
          <w:tcPr>
            <w:tcW w:w="217" w:type="dxa"/>
          </w:tcPr>
          <w:p w14:paraId="035A004E" w14:textId="77777777" w:rsidR="002C0FD9" w:rsidRPr="00CA25CF" w:rsidRDefault="002C0FD9" w:rsidP="00CA25CF">
            <w:pPr>
              <w:rPr>
                <w:rFonts w:cs="Arial"/>
                <w:color w:val="FF0000"/>
                <w:sz w:val="21"/>
                <w:szCs w:val="21"/>
              </w:rPr>
            </w:pPr>
          </w:p>
        </w:tc>
        <w:tc>
          <w:tcPr>
            <w:tcW w:w="217" w:type="dxa"/>
          </w:tcPr>
          <w:p w14:paraId="2ECA7259" w14:textId="77777777" w:rsidR="002C0FD9" w:rsidRPr="00CA25CF" w:rsidRDefault="002C0FD9" w:rsidP="00CA25CF">
            <w:pPr>
              <w:rPr>
                <w:rFonts w:cs="Arial"/>
                <w:color w:val="FF0000"/>
                <w:sz w:val="21"/>
                <w:szCs w:val="21"/>
              </w:rPr>
            </w:pPr>
          </w:p>
        </w:tc>
        <w:tc>
          <w:tcPr>
            <w:tcW w:w="217" w:type="dxa"/>
          </w:tcPr>
          <w:p w14:paraId="27919B26" w14:textId="77777777" w:rsidR="002C0FD9" w:rsidRPr="00CA25CF" w:rsidRDefault="002C0FD9" w:rsidP="00CA25CF">
            <w:pPr>
              <w:rPr>
                <w:rFonts w:cs="Arial"/>
                <w:color w:val="FF0000"/>
                <w:sz w:val="21"/>
                <w:szCs w:val="21"/>
              </w:rPr>
            </w:pPr>
          </w:p>
        </w:tc>
        <w:tc>
          <w:tcPr>
            <w:tcW w:w="217" w:type="dxa"/>
          </w:tcPr>
          <w:p w14:paraId="17F9B9FA" w14:textId="77777777" w:rsidR="002C0FD9" w:rsidRPr="00CA25CF" w:rsidRDefault="002C0FD9" w:rsidP="00CA25CF">
            <w:pPr>
              <w:rPr>
                <w:rFonts w:cs="Arial"/>
                <w:color w:val="FF0000"/>
                <w:sz w:val="21"/>
                <w:szCs w:val="21"/>
              </w:rPr>
            </w:pPr>
          </w:p>
        </w:tc>
        <w:tc>
          <w:tcPr>
            <w:tcW w:w="217" w:type="dxa"/>
          </w:tcPr>
          <w:p w14:paraId="31F66DF8" w14:textId="77777777" w:rsidR="002C0FD9" w:rsidRPr="00CA25CF" w:rsidRDefault="002C0FD9" w:rsidP="00CA25CF">
            <w:pPr>
              <w:rPr>
                <w:rFonts w:cs="Arial"/>
                <w:color w:val="FF0000"/>
                <w:sz w:val="21"/>
                <w:szCs w:val="21"/>
              </w:rPr>
            </w:pPr>
          </w:p>
        </w:tc>
        <w:tc>
          <w:tcPr>
            <w:tcW w:w="217" w:type="dxa"/>
          </w:tcPr>
          <w:p w14:paraId="55E59584" w14:textId="77777777" w:rsidR="002C0FD9" w:rsidRPr="00CA25CF" w:rsidRDefault="002C0FD9" w:rsidP="00CA25CF">
            <w:pPr>
              <w:rPr>
                <w:rFonts w:cs="Arial"/>
                <w:color w:val="FF0000"/>
                <w:sz w:val="21"/>
                <w:szCs w:val="21"/>
              </w:rPr>
            </w:pPr>
          </w:p>
        </w:tc>
        <w:tc>
          <w:tcPr>
            <w:tcW w:w="217" w:type="dxa"/>
          </w:tcPr>
          <w:p w14:paraId="63A5BB4C" w14:textId="77777777" w:rsidR="002C0FD9" w:rsidRPr="00CA25CF" w:rsidRDefault="002C0FD9" w:rsidP="00CA25CF">
            <w:pPr>
              <w:rPr>
                <w:rFonts w:cs="Arial"/>
                <w:color w:val="FF0000"/>
                <w:sz w:val="21"/>
                <w:szCs w:val="21"/>
              </w:rPr>
            </w:pPr>
          </w:p>
        </w:tc>
        <w:tc>
          <w:tcPr>
            <w:tcW w:w="217" w:type="dxa"/>
          </w:tcPr>
          <w:p w14:paraId="680F4459" w14:textId="77777777" w:rsidR="002C0FD9" w:rsidRPr="00CA25CF" w:rsidRDefault="002C0FD9" w:rsidP="00CA25CF">
            <w:pPr>
              <w:rPr>
                <w:rFonts w:cs="Arial"/>
                <w:color w:val="FF0000"/>
                <w:sz w:val="21"/>
                <w:szCs w:val="21"/>
              </w:rPr>
            </w:pPr>
          </w:p>
        </w:tc>
        <w:tc>
          <w:tcPr>
            <w:tcW w:w="217" w:type="dxa"/>
          </w:tcPr>
          <w:p w14:paraId="2CBE0032" w14:textId="77777777" w:rsidR="002C0FD9" w:rsidRPr="00CA25CF" w:rsidRDefault="002C0FD9" w:rsidP="00CA25CF">
            <w:pPr>
              <w:rPr>
                <w:rFonts w:cs="Arial"/>
                <w:color w:val="FF0000"/>
                <w:sz w:val="21"/>
                <w:szCs w:val="21"/>
              </w:rPr>
            </w:pPr>
          </w:p>
        </w:tc>
        <w:tc>
          <w:tcPr>
            <w:tcW w:w="217" w:type="dxa"/>
          </w:tcPr>
          <w:p w14:paraId="101A4D4B" w14:textId="77777777" w:rsidR="002C0FD9" w:rsidRPr="00CA25CF" w:rsidRDefault="002C0FD9" w:rsidP="00CA25CF">
            <w:pPr>
              <w:rPr>
                <w:rFonts w:cs="Arial"/>
                <w:color w:val="FF0000"/>
                <w:sz w:val="21"/>
                <w:szCs w:val="21"/>
              </w:rPr>
            </w:pPr>
          </w:p>
        </w:tc>
        <w:tc>
          <w:tcPr>
            <w:tcW w:w="217" w:type="dxa"/>
          </w:tcPr>
          <w:p w14:paraId="5C13E287" w14:textId="77777777" w:rsidR="002C0FD9" w:rsidRPr="00CA25CF" w:rsidRDefault="002C0FD9" w:rsidP="00CA25CF">
            <w:pPr>
              <w:rPr>
                <w:rFonts w:cs="Arial"/>
                <w:color w:val="FF0000"/>
                <w:sz w:val="21"/>
                <w:szCs w:val="21"/>
              </w:rPr>
            </w:pPr>
          </w:p>
        </w:tc>
        <w:tc>
          <w:tcPr>
            <w:tcW w:w="217" w:type="dxa"/>
          </w:tcPr>
          <w:p w14:paraId="01E63C4C" w14:textId="77777777" w:rsidR="002C0FD9" w:rsidRPr="00CA25CF" w:rsidRDefault="002C0FD9" w:rsidP="00CA25CF">
            <w:pPr>
              <w:rPr>
                <w:rFonts w:cs="Arial"/>
                <w:color w:val="FF0000"/>
                <w:sz w:val="21"/>
                <w:szCs w:val="21"/>
              </w:rPr>
            </w:pPr>
          </w:p>
        </w:tc>
        <w:tc>
          <w:tcPr>
            <w:tcW w:w="217" w:type="dxa"/>
          </w:tcPr>
          <w:p w14:paraId="78A3EE9F" w14:textId="77777777" w:rsidR="002C0FD9" w:rsidRPr="00CA25CF" w:rsidRDefault="002C0FD9" w:rsidP="00CA25CF">
            <w:pPr>
              <w:rPr>
                <w:rFonts w:cs="Arial"/>
                <w:color w:val="FF0000"/>
                <w:sz w:val="21"/>
                <w:szCs w:val="21"/>
              </w:rPr>
            </w:pPr>
          </w:p>
        </w:tc>
        <w:tc>
          <w:tcPr>
            <w:tcW w:w="217" w:type="dxa"/>
          </w:tcPr>
          <w:p w14:paraId="440640C0" w14:textId="77777777" w:rsidR="002C0FD9" w:rsidRPr="00CA25CF" w:rsidRDefault="002C0FD9" w:rsidP="00CA25CF">
            <w:pPr>
              <w:rPr>
                <w:rFonts w:cs="Arial"/>
                <w:color w:val="FF0000"/>
                <w:sz w:val="21"/>
                <w:szCs w:val="21"/>
              </w:rPr>
            </w:pPr>
          </w:p>
        </w:tc>
        <w:tc>
          <w:tcPr>
            <w:tcW w:w="217" w:type="dxa"/>
          </w:tcPr>
          <w:p w14:paraId="3EEEE13D" w14:textId="77777777" w:rsidR="002C0FD9" w:rsidRPr="00CA25CF" w:rsidRDefault="002C0FD9" w:rsidP="00CA25CF">
            <w:pPr>
              <w:rPr>
                <w:rFonts w:cs="Arial"/>
                <w:color w:val="FF0000"/>
                <w:sz w:val="21"/>
                <w:szCs w:val="21"/>
              </w:rPr>
            </w:pPr>
          </w:p>
        </w:tc>
        <w:tc>
          <w:tcPr>
            <w:tcW w:w="217" w:type="dxa"/>
          </w:tcPr>
          <w:p w14:paraId="6D43B2AE" w14:textId="77777777" w:rsidR="002C0FD9" w:rsidRPr="00CA25CF" w:rsidRDefault="002C0FD9" w:rsidP="00CA25CF">
            <w:pPr>
              <w:rPr>
                <w:rFonts w:cs="Arial"/>
                <w:color w:val="FF0000"/>
                <w:sz w:val="21"/>
                <w:szCs w:val="21"/>
              </w:rPr>
            </w:pPr>
          </w:p>
        </w:tc>
        <w:tc>
          <w:tcPr>
            <w:tcW w:w="217" w:type="dxa"/>
          </w:tcPr>
          <w:p w14:paraId="592AAF07" w14:textId="77777777" w:rsidR="002C0FD9" w:rsidRPr="00CA25CF" w:rsidRDefault="002C0FD9" w:rsidP="00CA25CF">
            <w:pPr>
              <w:rPr>
                <w:rFonts w:cs="Arial"/>
                <w:color w:val="FF0000"/>
                <w:sz w:val="21"/>
                <w:szCs w:val="21"/>
              </w:rPr>
            </w:pPr>
          </w:p>
        </w:tc>
        <w:tc>
          <w:tcPr>
            <w:tcW w:w="217" w:type="dxa"/>
          </w:tcPr>
          <w:p w14:paraId="55897616" w14:textId="77777777" w:rsidR="002C0FD9" w:rsidRPr="00CA25CF" w:rsidRDefault="002C0FD9" w:rsidP="00CA25CF">
            <w:pPr>
              <w:rPr>
                <w:rFonts w:cs="Arial"/>
                <w:color w:val="FF0000"/>
                <w:sz w:val="21"/>
                <w:szCs w:val="21"/>
              </w:rPr>
            </w:pPr>
          </w:p>
        </w:tc>
        <w:tc>
          <w:tcPr>
            <w:tcW w:w="217" w:type="dxa"/>
          </w:tcPr>
          <w:p w14:paraId="1583FBF7" w14:textId="77777777" w:rsidR="002C0FD9" w:rsidRPr="00CA25CF" w:rsidRDefault="002C0FD9" w:rsidP="00CA25CF">
            <w:pPr>
              <w:rPr>
                <w:rFonts w:cs="Arial"/>
                <w:color w:val="FF0000"/>
                <w:sz w:val="21"/>
                <w:szCs w:val="21"/>
              </w:rPr>
            </w:pPr>
          </w:p>
        </w:tc>
        <w:tc>
          <w:tcPr>
            <w:tcW w:w="217" w:type="dxa"/>
          </w:tcPr>
          <w:p w14:paraId="036601A2" w14:textId="77777777" w:rsidR="002C0FD9" w:rsidRPr="00CA25CF" w:rsidRDefault="002C0FD9" w:rsidP="00CA25CF">
            <w:pPr>
              <w:rPr>
                <w:rFonts w:cs="Arial"/>
                <w:color w:val="FF0000"/>
                <w:sz w:val="21"/>
                <w:szCs w:val="21"/>
              </w:rPr>
            </w:pPr>
          </w:p>
        </w:tc>
        <w:tc>
          <w:tcPr>
            <w:tcW w:w="217" w:type="dxa"/>
          </w:tcPr>
          <w:p w14:paraId="7B596197" w14:textId="77777777" w:rsidR="002C0FD9" w:rsidRPr="00CA25CF" w:rsidRDefault="002C0FD9" w:rsidP="00CA25CF">
            <w:pPr>
              <w:rPr>
                <w:rFonts w:cs="Arial"/>
                <w:color w:val="FF0000"/>
                <w:sz w:val="21"/>
                <w:szCs w:val="21"/>
              </w:rPr>
            </w:pPr>
          </w:p>
        </w:tc>
        <w:tc>
          <w:tcPr>
            <w:tcW w:w="217" w:type="dxa"/>
          </w:tcPr>
          <w:p w14:paraId="2F01D179" w14:textId="77777777" w:rsidR="002C0FD9" w:rsidRPr="00CA25CF" w:rsidRDefault="002C0FD9" w:rsidP="00CA25CF">
            <w:pPr>
              <w:rPr>
                <w:rFonts w:cs="Arial"/>
                <w:color w:val="FF0000"/>
                <w:sz w:val="21"/>
                <w:szCs w:val="21"/>
              </w:rPr>
            </w:pPr>
          </w:p>
        </w:tc>
        <w:tc>
          <w:tcPr>
            <w:tcW w:w="217" w:type="dxa"/>
          </w:tcPr>
          <w:p w14:paraId="73CDCCEB" w14:textId="77777777" w:rsidR="002C0FD9" w:rsidRPr="00CA25CF" w:rsidRDefault="002C0FD9" w:rsidP="00CA25CF">
            <w:pPr>
              <w:rPr>
                <w:rFonts w:cs="Arial"/>
                <w:color w:val="FF0000"/>
                <w:sz w:val="21"/>
                <w:szCs w:val="21"/>
              </w:rPr>
            </w:pPr>
          </w:p>
        </w:tc>
        <w:tc>
          <w:tcPr>
            <w:tcW w:w="217" w:type="dxa"/>
          </w:tcPr>
          <w:p w14:paraId="393B5BE4" w14:textId="77777777" w:rsidR="002C0FD9" w:rsidRPr="00CA25CF" w:rsidRDefault="002C0FD9" w:rsidP="00CA25CF">
            <w:pPr>
              <w:rPr>
                <w:rFonts w:cs="Arial"/>
                <w:color w:val="FF0000"/>
                <w:sz w:val="21"/>
                <w:szCs w:val="21"/>
              </w:rPr>
            </w:pPr>
          </w:p>
        </w:tc>
        <w:tc>
          <w:tcPr>
            <w:tcW w:w="217" w:type="dxa"/>
          </w:tcPr>
          <w:p w14:paraId="354111B8" w14:textId="77777777" w:rsidR="002C0FD9" w:rsidRPr="00CA25CF" w:rsidRDefault="002C0FD9" w:rsidP="00CA25CF">
            <w:pPr>
              <w:rPr>
                <w:rFonts w:cs="Arial"/>
                <w:color w:val="FF0000"/>
                <w:sz w:val="21"/>
                <w:szCs w:val="21"/>
              </w:rPr>
            </w:pPr>
          </w:p>
        </w:tc>
      </w:tr>
      <w:tr w:rsidR="002C0FD9" w:rsidRPr="00A16219" w14:paraId="20211551" w14:textId="1C0110AC" w:rsidTr="002C0FD9">
        <w:trPr>
          <w:trHeight w:val="635"/>
        </w:trPr>
        <w:tc>
          <w:tcPr>
            <w:tcW w:w="515" w:type="dxa"/>
          </w:tcPr>
          <w:p w14:paraId="52E11015" w14:textId="77777777" w:rsidR="002C0FD9" w:rsidRPr="00CA25CF" w:rsidRDefault="002C0FD9" w:rsidP="00CA25CF">
            <w:pPr>
              <w:rPr>
                <w:rFonts w:cs="Arial"/>
                <w:color w:val="FF0000"/>
                <w:sz w:val="21"/>
                <w:szCs w:val="21"/>
              </w:rPr>
            </w:pPr>
          </w:p>
        </w:tc>
        <w:tc>
          <w:tcPr>
            <w:tcW w:w="217" w:type="dxa"/>
          </w:tcPr>
          <w:p w14:paraId="1A5D3611" w14:textId="77777777" w:rsidR="002C0FD9" w:rsidRPr="00CA25CF" w:rsidRDefault="002C0FD9" w:rsidP="00CA25CF">
            <w:pPr>
              <w:rPr>
                <w:rFonts w:cs="Arial"/>
                <w:color w:val="FF0000"/>
                <w:sz w:val="21"/>
                <w:szCs w:val="21"/>
              </w:rPr>
            </w:pPr>
          </w:p>
        </w:tc>
        <w:tc>
          <w:tcPr>
            <w:tcW w:w="217" w:type="dxa"/>
          </w:tcPr>
          <w:p w14:paraId="1F32D47E" w14:textId="5DB8ECB1" w:rsidR="002C0FD9" w:rsidRPr="00CA25CF" w:rsidRDefault="002C0FD9" w:rsidP="00CA25CF">
            <w:pPr>
              <w:rPr>
                <w:rFonts w:cs="Arial"/>
                <w:color w:val="FF0000"/>
                <w:sz w:val="21"/>
                <w:szCs w:val="21"/>
              </w:rPr>
            </w:pPr>
          </w:p>
        </w:tc>
        <w:tc>
          <w:tcPr>
            <w:tcW w:w="217" w:type="dxa"/>
          </w:tcPr>
          <w:p w14:paraId="7C0E9799" w14:textId="77777777" w:rsidR="002C0FD9" w:rsidRPr="00CA25CF" w:rsidRDefault="002C0FD9" w:rsidP="00CA25CF">
            <w:pPr>
              <w:rPr>
                <w:rFonts w:cs="Arial"/>
                <w:color w:val="FF0000"/>
                <w:sz w:val="21"/>
                <w:szCs w:val="21"/>
              </w:rPr>
            </w:pPr>
          </w:p>
        </w:tc>
        <w:tc>
          <w:tcPr>
            <w:tcW w:w="217" w:type="dxa"/>
          </w:tcPr>
          <w:p w14:paraId="56DAC0C4" w14:textId="77777777" w:rsidR="002C0FD9" w:rsidRPr="00CA25CF" w:rsidRDefault="002C0FD9" w:rsidP="00CA25CF">
            <w:pPr>
              <w:rPr>
                <w:rFonts w:cs="Arial"/>
                <w:color w:val="FF0000"/>
                <w:sz w:val="21"/>
                <w:szCs w:val="21"/>
              </w:rPr>
            </w:pPr>
          </w:p>
        </w:tc>
        <w:tc>
          <w:tcPr>
            <w:tcW w:w="217" w:type="dxa"/>
          </w:tcPr>
          <w:p w14:paraId="21220688" w14:textId="77777777" w:rsidR="002C0FD9" w:rsidRPr="00CA25CF" w:rsidRDefault="002C0FD9" w:rsidP="00CA25CF">
            <w:pPr>
              <w:rPr>
                <w:rFonts w:cs="Arial"/>
                <w:color w:val="FF0000"/>
                <w:sz w:val="21"/>
                <w:szCs w:val="21"/>
              </w:rPr>
            </w:pPr>
          </w:p>
        </w:tc>
        <w:tc>
          <w:tcPr>
            <w:tcW w:w="217" w:type="dxa"/>
          </w:tcPr>
          <w:p w14:paraId="31615564" w14:textId="77777777" w:rsidR="002C0FD9" w:rsidRPr="00CA25CF" w:rsidRDefault="002C0FD9" w:rsidP="00CA25CF">
            <w:pPr>
              <w:rPr>
                <w:rFonts w:cs="Arial"/>
                <w:color w:val="FF0000"/>
                <w:sz w:val="21"/>
                <w:szCs w:val="21"/>
              </w:rPr>
            </w:pPr>
          </w:p>
        </w:tc>
        <w:tc>
          <w:tcPr>
            <w:tcW w:w="217" w:type="dxa"/>
          </w:tcPr>
          <w:p w14:paraId="7E15A9D4" w14:textId="77777777" w:rsidR="002C0FD9" w:rsidRPr="00CA25CF" w:rsidRDefault="002C0FD9" w:rsidP="00CA25CF">
            <w:pPr>
              <w:rPr>
                <w:rFonts w:cs="Arial"/>
                <w:color w:val="FF0000"/>
                <w:sz w:val="21"/>
                <w:szCs w:val="21"/>
              </w:rPr>
            </w:pPr>
          </w:p>
        </w:tc>
        <w:tc>
          <w:tcPr>
            <w:tcW w:w="217" w:type="dxa"/>
          </w:tcPr>
          <w:p w14:paraId="5E8FE585" w14:textId="77777777" w:rsidR="002C0FD9" w:rsidRPr="00CA25CF" w:rsidRDefault="002C0FD9" w:rsidP="00CA25CF">
            <w:pPr>
              <w:rPr>
                <w:rFonts w:cs="Arial"/>
                <w:color w:val="FF0000"/>
                <w:sz w:val="21"/>
                <w:szCs w:val="21"/>
              </w:rPr>
            </w:pPr>
          </w:p>
        </w:tc>
        <w:tc>
          <w:tcPr>
            <w:tcW w:w="217" w:type="dxa"/>
          </w:tcPr>
          <w:p w14:paraId="5165145B" w14:textId="77777777" w:rsidR="002C0FD9" w:rsidRPr="00CA25CF" w:rsidRDefault="002C0FD9" w:rsidP="00CA25CF">
            <w:pPr>
              <w:rPr>
                <w:rFonts w:cs="Arial"/>
                <w:color w:val="FF0000"/>
                <w:sz w:val="21"/>
                <w:szCs w:val="21"/>
              </w:rPr>
            </w:pPr>
          </w:p>
        </w:tc>
        <w:tc>
          <w:tcPr>
            <w:tcW w:w="217" w:type="dxa"/>
          </w:tcPr>
          <w:p w14:paraId="2DCAB642" w14:textId="77777777" w:rsidR="002C0FD9" w:rsidRPr="00CA25CF" w:rsidRDefault="002C0FD9" w:rsidP="00CA25CF">
            <w:pPr>
              <w:rPr>
                <w:rFonts w:cs="Arial"/>
                <w:color w:val="FF0000"/>
                <w:sz w:val="21"/>
                <w:szCs w:val="21"/>
              </w:rPr>
            </w:pPr>
          </w:p>
        </w:tc>
        <w:tc>
          <w:tcPr>
            <w:tcW w:w="217" w:type="dxa"/>
          </w:tcPr>
          <w:p w14:paraId="54BEDB97" w14:textId="77777777" w:rsidR="002C0FD9" w:rsidRPr="00CA25CF" w:rsidRDefault="002C0FD9" w:rsidP="00CA25CF">
            <w:pPr>
              <w:rPr>
                <w:rFonts w:cs="Arial"/>
                <w:color w:val="FF0000"/>
                <w:sz w:val="21"/>
                <w:szCs w:val="21"/>
              </w:rPr>
            </w:pPr>
          </w:p>
        </w:tc>
        <w:tc>
          <w:tcPr>
            <w:tcW w:w="217" w:type="dxa"/>
          </w:tcPr>
          <w:p w14:paraId="38FB12FD" w14:textId="77777777" w:rsidR="002C0FD9" w:rsidRPr="00CA25CF" w:rsidRDefault="002C0FD9" w:rsidP="00CA25CF">
            <w:pPr>
              <w:rPr>
                <w:rFonts w:cs="Arial"/>
                <w:color w:val="FF0000"/>
                <w:sz w:val="21"/>
                <w:szCs w:val="21"/>
              </w:rPr>
            </w:pPr>
          </w:p>
        </w:tc>
        <w:tc>
          <w:tcPr>
            <w:tcW w:w="217" w:type="dxa"/>
          </w:tcPr>
          <w:p w14:paraId="1314334D" w14:textId="77777777" w:rsidR="002C0FD9" w:rsidRPr="00CA25CF" w:rsidRDefault="002C0FD9" w:rsidP="00CA25CF">
            <w:pPr>
              <w:rPr>
                <w:rFonts w:cs="Arial"/>
                <w:color w:val="FF0000"/>
                <w:sz w:val="21"/>
                <w:szCs w:val="21"/>
              </w:rPr>
            </w:pPr>
          </w:p>
        </w:tc>
        <w:tc>
          <w:tcPr>
            <w:tcW w:w="217" w:type="dxa"/>
          </w:tcPr>
          <w:p w14:paraId="0900DE14" w14:textId="77777777" w:rsidR="002C0FD9" w:rsidRPr="00CA25CF" w:rsidRDefault="002C0FD9" w:rsidP="00CA25CF">
            <w:pPr>
              <w:rPr>
                <w:rFonts w:cs="Arial"/>
                <w:color w:val="FF0000"/>
                <w:sz w:val="21"/>
                <w:szCs w:val="21"/>
              </w:rPr>
            </w:pPr>
          </w:p>
        </w:tc>
        <w:tc>
          <w:tcPr>
            <w:tcW w:w="217" w:type="dxa"/>
          </w:tcPr>
          <w:p w14:paraId="0F796587" w14:textId="40C19C24" w:rsidR="002C0FD9" w:rsidRPr="00CA25CF" w:rsidRDefault="002C0FD9" w:rsidP="00CA25CF">
            <w:pPr>
              <w:rPr>
                <w:rFonts w:cs="Arial"/>
                <w:color w:val="FF0000"/>
                <w:sz w:val="21"/>
                <w:szCs w:val="21"/>
              </w:rPr>
            </w:pPr>
          </w:p>
        </w:tc>
        <w:tc>
          <w:tcPr>
            <w:tcW w:w="217" w:type="dxa"/>
          </w:tcPr>
          <w:p w14:paraId="3F38988D" w14:textId="77777777" w:rsidR="002C0FD9" w:rsidRPr="00CA25CF" w:rsidRDefault="002C0FD9" w:rsidP="00CA25CF">
            <w:pPr>
              <w:rPr>
                <w:rFonts w:cs="Arial"/>
                <w:color w:val="FF0000"/>
                <w:sz w:val="21"/>
                <w:szCs w:val="21"/>
              </w:rPr>
            </w:pPr>
          </w:p>
        </w:tc>
        <w:tc>
          <w:tcPr>
            <w:tcW w:w="217" w:type="dxa"/>
          </w:tcPr>
          <w:p w14:paraId="79412F03" w14:textId="77777777" w:rsidR="002C0FD9" w:rsidRPr="00CA25CF" w:rsidRDefault="002C0FD9" w:rsidP="00CA25CF">
            <w:pPr>
              <w:rPr>
                <w:rFonts w:cs="Arial"/>
                <w:color w:val="FF0000"/>
                <w:sz w:val="21"/>
                <w:szCs w:val="21"/>
              </w:rPr>
            </w:pPr>
          </w:p>
        </w:tc>
        <w:tc>
          <w:tcPr>
            <w:tcW w:w="217" w:type="dxa"/>
          </w:tcPr>
          <w:p w14:paraId="54B58578" w14:textId="77777777" w:rsidR="002C0FD9" w:rsidRPr="00CA25CF" w:rsidRDefault="002C0FD9" w:rsidP="00CA25CF">
            <w:pPr>
              <w:rPr>
                <w:rFonts w:cs="Arial"/>
                <w:color w:val="FF0000"/>
                <w:sz w:val="21"/>
                <w:szCs w:val="21"/>
              </w:rPr>
            </w:pPr>
          </w:p>
        </w:tc>
        <w:tc>
          <w:tcPr>
            <w:tcW w:w="217" w:type="dxa"/>
          </w:tcPr>
          <w:p w14:paraId="52CE1E57" w14:textId="77777777" w:rsidR="002C0FD9" w:rsidRPr="00CA25CF" w:rsidRDefault="002C0FD9" w:rsidP="00CA25CF">
            <w:pPr>
              <w:rPr>
                <w:rFonts w:cs="Arial"/>
                <w:color w:val="FF0000"/>
                <w:sz w:val="21"/>
                <w:szCs w:val="21"/>
              </w:rPr>
            </w:pPr>
          </w:p>
        </w:tc>
        <w:tc>
          <w:tcPr>
            <w:tcW w:w="217" w:type="dxa"/>
          </w:tcPr>
          <w:p w14:paraId="486ECFF7" w14:textId="77777777" w:rsidR="002C0FD9" w:rsidRPr="00CA25CF" w:rsidRDefault="002C0FD9" w:rsidP="00CA25CF">
            <w:pPr>
              <w:rPr>
                <w:rFonts w:cs="Arial"/>
                <w:color w:val="FF0000"/>
                <w:sz w:val="21"/>
                <w:szCs w:val="21"/>
              </w:rPr>
            </w:pPr>
          </w:p>
        </w:tc>
        <w:tc>
          <w:tcPr>
            <w:tcW w:w="217" w:type="dxa"/>
          </w:tcPr>
          <w:p w14:paraId="5E2D00D5" w14:textId="77777777" w:rsidR="002C0FD9" w:rsidRPr="00CA25CF" w:rsidRDefault="002C0FD9" w:rsidP="00CA25CF">
            <w:pPr>
              <w:rPr>
                <w:rFonts w:cs="Arial"/>
                <w:color w:val="FF0000"/>
                <w:sz w:val="21"/>
                <w:szCs w:val="21"/>
              </w:rPr>
            </w:pPr>
          </w:p>
        </w:tc>
        <w:tc>
          <w:tcPr>
            <w:tcW w:w="217" w:type="dxa"/>
          </w:tcPr>
          <w:p w14:paraId="6FE94AB6" w14:textId="77777777" w:rsidR="002C0FD9" w:rsidRPr="00CA25CF" w:rsidRDefault="002C0FD9" w:rsidP="00CA25CF">
            <w:pPr>
              <w:rPr>
                <w:rFonts w:cs="Arial"/>
                <w:color w:val="FF0000"/>
                <w:sz w:val="21"/>
                <w:szCs w:val="21"/>
              </w:rPr>
            </w:pPr>
          </w:p>
        </w:tc>
        <w:tc>
          <w:tcPr>
            <w:tcW w:w="217" w:type="dxa"/>
          </w:tcPr>
          <w:p w14:paraId="63E409BF" w14:textId="77777777" w:rsidR="002C0FD9" w:rsidRPr="00CA25CF" w:rsidRDefault="002C0FD9" w:rsidP="00CA25CF">
            <w:pPr>
              <w:rPr>
                <w:rFonts w:cs="Arial"/>
                <w:color w:val="FF0000"/>
                <w:sz w:val="21"/>
                <w:szCs w:val="21"/>
              </w:rPr>
            </w:pPr>
          </w:p>
        </w:tc>
        <w:tc>
          <w:tcPr>
            <w:tcW w:w="217" w:type="dxa"/>
          </w:tcPr>
          <w:p w14:paraId="3E56D84D" w14:textId="77777777" w:rsidR="002C0FD9" w:rsidRPr="00CA25CF" w:rsidRDefault="002C0FD9" w:rsidP="00CA25CF">
            <w:pPr>
              <w:rPr>
                <w:rFonts w:cs="Arial"/>
                <w:color w:val="FF0000"/>
                <w:sz w:val="21"/>
                <w:szCs w:val="21"/>
              </w:rPr>
            </w:pPr>
          </w:p>
        </w:tc>
        <w:tc>
          <w:tcPr>
            <w:tcW w:w="217" w:type="dxa"/>
          </w:tcPr>
          <w:p w14:paraId="24B4DBBD" w14:textId="77777777" w:rsidR="002C0FD9" w:rsidRPr="00CA25CF" w:rsidRDefault="002C0FD9" w:rsidP="00CA25CF">
            <w:pPr>
              <w:rPr>
                <w:rFonts w:cs="Arial"/>
                <w:color w:val="FF0000"/>
                <w:sz w:val="21"/>
                <w:szCs w:val="21"/>
              </w:rPr>
            </w:pPr>
          </w:p>
        </w:tc>
        <w:tc>
          <w:tcPr>
            <w:tcW w:w="217" w:type="dxa"/>
          </w:tcPr>
          <w:p w14:paraId="495EAC5D" w14:textId="77777777" w:rsidR="002C0FD9" w:rsidRPr="00CA25CF" w:rsidRDefault="002C0FD9" w:rsidP="00CA25CF">
            <w:pPr>
              <w:rPr>
                <w:rFonts w:cs="Arial"/>
                <w:color w:val="FF0000"/>
                <w:sz w:val="21"/>
                <w:szCs w:val="21"/>
              </w:rPr>
            </w:pPr>
          </w:p>
        </w:tc>
        <w:tc>
          <w:tcPr>
            <w:tcW w:w="217" w:type="dxa"/>
          </w:tcPr>
          <w:p w14:paraId="5007494C" w14:textId="77777777" w:rsidR="002C0FD9" w:rsidRPr="00CA25CF" w:rsidRDefault="002C0FD9" w:rsidP="00CA25CF">
            <w:pPr>
              <w:rPr>
                <w:rFonts w:cs="Arial"/>
                <w:color w:val="FF0000"/>
                <w:sz w:val="21"/>
                <w:szCs w:val="21"/>
              </w:rPr>
            </w:pPr>
          </w:p>
        </w:tc>
        <w:tc>
          <w:tcPr>
            <w:tcW w:w="217" w:type="dxa"/>
          </w:tcPr>
          <w:p w14:paraId="4293B676" w14:textId="77777777" w:rsidR="002C0FD9" w:rsidRPr="00CA25CF" w:rsidRDefault="002C0FD9" w:rsidP="00CA25CF">
            <w:pPr>
              <w:rPr>
                <w:rFonts w:cs="Arial"/>
                <w:color w:val="FF0000"/>
                <w:sz w:val="21"/>
                <w:szCs w:val="21"/>
              </w:rPr>
            </w:pPr>
          </w:p>
        </w:tc>
        <w:tc>
          <w:tcPr>
            <w:tcW w:w="217" w:type="dxa"/>
          </w:tcPr>
          <w:p w14:paraId="37CB9C24" w14:textId="77777777" w:rsidR="002C0FD9" w:rsidRPr="00CA25CF" w:rsidRDefault="002C0FD9" w:rsidP="00CA25CF">
            <w:pPr>
              <w:rPr>
                <w:rFonts w:cs="Arial"/>
                <w:color w:val="FF0000"/>
                <w:sz w:val="21"/>
                <w:szCs w:val="21"/>
              </w:rPr>
            </w:pPr>
          </w:p>
        </w:tc>
        <w:tc>
          <w:tcPr>
            <w:tcW w:w="217" w:type="dxa"/>
          </w:tcPr>
          <w:p w14:paraId="1931F1AA" w14:textId="77777777" w:rsidR="002C0FD9" w:rsidRPr="00CA25CF" w:rsidRDefault="002C0FD9" w:rsidP="00CA25CF">
            <w:pPr>
              <w:rPr>
                <w:rFonts w:cs="Arial"/>
                <w:color w:val="FF0000"/>
                <w:sz w:val="21"/>
                <w:szCs w:val="21"/>
              </w:rPr>
            </w:pPr>
          </w:p>
        </w:tc>
        <w:tc>
          <w:tcPr>
            <w:tcW w:w="217" w:type="dxa"/>
          </w:tcPr>
          <w:p w14:paraId="2C10BF68" w14:textId="77777777" w:rsidR="002C0FD9" w:rsidRPr="00CA25CF" w:rsidRDefault="002C0FD9" w:rsidP="00CA25CF">
            <w:pPr>
              <w:rPr>
                <w:rFonts w:cs="Arial"/>
                <w:color w:val="FF0000"/>
                <w:sz w:val="21"/>
                <w:szCs w:val="21"/>
              </w:rPr>
            </w:pPr>
          </w:p>
        </w:tc>
        <w:tc>
          <w:tcPr>
            <w:tcW w:w="217" w:type="dxa"/>
          </w:tcPr>
          <w:p w14:paraId="198BB88C" w14:textId="77777777" w:rsidR="002C0FD9" w:rsidRPr="00CA25CF" w:rsidRDefault="002C0FD9" w:rsidP="00CA25CF">
            <w:pPr>
              <w:rPr>
                <w:rFonts w:cs="Arial"/>
                <w:color w:val="FF0000"/>
                <w:sz w:val="21"/>
                <w:szCs w:val="21"/>
              </w:rPr>
            </w:pPr>
          </w:p>
        </w:tc>
        <w:tc>
          <w:tcPr>
            <w:tcW w:w="217" w:type="dxa"/>
          </w:tcPr>
          <w:p w14:paraId="20339C71" w14:textId="77777777" w:rsidR="002C0FD9" w:rsidRPr="00CA25CF" w:rsidRDefault="002C0FD9" w:rsidP="00CA25CF">
            <w:pPr>
              <w:rPr>
                <w:rFonts w:cs="Arial"/>
                <w:color w:val="FF0000"/>
                <w:sz w:val="21"/>
                <w:szCs w:val="21"/>
              </w:rPr>
            </w:pPr>
          </w:p>
        </w:tc>
        <w:tc>
          <w:tcPr>
            <w:tcW w:w="217" w:type="dxa"/>
          </w:tcPr>
          <w:p w14:paraId="77055CC3" w14:textId="77777777" w:rsidR="002C0FD9" w:rsidRPr="00CA25CF" w:rsidRDefault="002C0FD9" w:rsidP="00CA25CF">
            <w:pPr>
              <w:rPr>
                <w:rFonts w:cs="Arial"/>
                <w:color w:val="FF0000"/>
                <w:sz w:val="21"/>
                <w:szCs w:val="21"/>
              </w:rPr>
            </w:pPr>
          </w:p>
        </w:tc>
        <w:tc>
          <w:tcPr>
            <w:tcW w:w="217" w:type="dxa"/>
          </w:tcPr>
          <w:p w14:paraId="23C48A25" w14:textId="77777777" w:rsidR="002C0FD9" w:rsidRPr="00CA25CF" w:rsidRDefault="002C0FD9" w:rsidP="00CA25CF">
            <w:pPr>
              <w:rPr>
                <w:rFonts w:cs="Arial"/>
                <w:color w:val="FF0000"/>
                <w:sz w:val="21"/>
                <w:szCs w:val="21"/>
              </w:rPr>
            </w:pPr>
          </w:p>
        </w:tc>
        <w:tc>
          <w:tcPr>
            <w:tcW w:w="217" w:type="dxa"/>
          </w:tcPr>
          <w:p w14:paraId="45F47719" w14:textId="77777777" w:rsidR="002C0FD9" w:rsidRPr="00CA25CF" w:rsidRDefault="002C0FD9" w:rsidP="00CA25CF">
            <w:pPr>
              <w:rPr>
                <w:rFonts w:cs="Arial"/>
                <w:color w:val="FF0000"/>
                <w:sz w:val="21"/>
                <w:szCs w:val="21"/>
              </w:rPr>
            </w:pPr>
          </w:p>
        </w:tc>
        <w:tc>
          <w:tcPr>
            <w:tcW w:w="217" w:type="dxa"/>
          </w:tcPr>
          <w:p w14:paraId="4E89C2C3" w14:textId="77777777" w:rsidR="002C0FD9" w:rsidRPr="00CA25CF" w:rsidRDefault="002C0FD9" w:rsidP="00CA25CF">
            <w:pPr>
              <w:rPr>
                <w:rFonts w:cs="Arial"/>
                <w:color w:val="FF0000"/>
                <w:sz w:val="21"/>
                <w:szCs w:val="21"/>
              </w:rPr>
            </w:pPr>
          </w:p>
        </w:tc>
        <w:tc>
          <w:tcPr>
            <w:tcW w:w="217" w:type="dxa"/>
          </w:tcPr>
          <w:p w14:paraId="16019406" w14:textId="77777777" w:rsidR="002C0FD9" w:rsidRPr="00CA25CF" w:rsidRDefault="002C0FD9" w:rsidP="00CA25CF">
            <w:pPr>
              <w:rPr>
                <w:rFonts w:cs="Arial"/>
                <w:color w:val="FF0000"/>
                <w:sz w:val="21"/>
                <w:szCs w:val="21"/>
              </w:rPr>
            </w:pPr>
          </w:p>
        </w:tc>
        <w:tc>
          <w:tcPr>
            <w:tcW w:w="217" w:type="dxa"/>
          </w:tcPr>
          <w:p w14:paraId="55987435" w14:textId="77777777" w:rsidR="002C0FD9" w:rsidRPr="00CA25CF" w:rsidRDefault="002C0FD9" w:rsidP="00CA25CF">
            <w:pPr>
              <w:rPr>
                <w:rFonts w:cs="Arial"/>
                <w:color w:val="FF0000"/>
                <w:sz w:val="21"/>
                <w:szCs w:val="21"/>
              </w:rPr>
            </w:pPr>
          </w:p>
        </w:tc>
        <w:tc>
          <w:tcPr>
            <w:tcW w:w="217" w:type="dxa"/>
          </w:tcPr>
          <w:p w14:paraId="54AF00C6" w14:textId="77777777" w:rsidR="002C0FD9" w:rsidRPr="00CA25CF" w:rsidRDefault="002C0FD9" w:rsidP="00CA25CF">
            <w:pPr>
              <w:rPr>
                <w:rFonts w:cs="Arial"/>
                <w:color w:val="FF0000"/>
                <w:sz w:val="21"/>
                <w:szCs w:val="21"/>
              </w:rPr>
            </w:pPr>
          </w:p>
        </w:tc>
        <w:tc>
          <w:tcPr>
            <w:tcW w:w="217" w:type="dxa"/>
          </w:tcPr>
          <w:p w14:paraId="58BD9EDE" w14:textId="77777777" w:rsidR="002C0FD9" w:rsidRPr="00CA25CF" w:rsidRDefault="002C0FD9" w:rsidP="00CA25CF">
            <w:pPr>
              <w:rPr>
                <w:rFonts w:cs="Arial"/>
                <w:color w:val="FF0000"/>
                <w:sz w:val="21"/>
                <w:szCs w:val="21"/>
              </w:rPr>
            </w:pPr>
          </w:p>
        </w:tc>
        <w:tc>
          <w:tcPr>
            <w:tcW w:w="217" w:type="dxa"/>
          </w:tcPr>
          <w:p w14:paraId="7D849CE9" w14:textId="77777777" w:rsidR="002C0FD9" w:rsidRPr="00CA25CF" w:rsidRDefault="002C0FD9" w:rsidP="00CA25CF">
            <w:pPr>
              <w:rPr>
                <w:rFonts w:cs="Arial"/>
                <w:color w:val="FF0000"/>
                <w:sz w:val="21"/>
                <w:szCs w:val="21"/>
              </w:rPr>
            </w:pPr>
          </w:p>
        </w:tc>
      </w:tr>
      <w:tr w:rsidR="002C0FD9" w:rsidRPr="00A16219" w14:paraId="0D62D74B" w14:textId="137A9C25" w:rsidTr="002C0FD9">
        <w:trPr>
          <w:trHeight w:val="635"/>
        </w:trPr>
        <w:tc>
          <w:tcPr>
            <w:tcW w:w="515" w:type="dxa"/>
          </w:tcPr>
          <w:p w14:paraId="303B7C19" w14:textId="77777777" w:rsidR="002C0FD9" w:rsidRPr="00CA25CF" w:rsidRDefault="002C0FD9" w:rsidP="00CA25CF">
            <w:pPr>
              <w:rPr>
                <w:rFonts w:cs="Arial"/>
                <w:color w:val="FF0000"/>
                <w:sz w:val="21"/>
                <w:szCs w:val="21"/>
              </w:rPr>
            </w:pPr>
          </w:p>
        </w:tc>
        <w:tc>
          <w:tcPr>
            <w:tcW w:w="217" w:type="dxa"/>
          </w:tcPr>
          <w:p w14:paraId="088DD9C4" w14:textId="77777777" w:rsidR="002C0FD9" w:rsidRPr="00CA25CF" w:rsidRDefault="002C0FD9" w:rsidP="00CA25CF">
            <w:pPr>
              <w:rPr>
                <w:rFonts w:cs="Arial"/>
                <w:color w:val="FF0000"/>
                <w:sz w:val="21"/>
                <w:szCs w:val="21"/>
              </w:rPr>
            </w:pPr>
          </w:p>
        </w:tc>
        <w:tc>
          <w:tcPr>
            <w:tcW w:w="217" w:type="dxa"/>
          </w:tcPr>
          <w:p w14:paraId="7514A358" w14:textId="6ECB4E75" w:rsidR="002C0FD9" w:rsidRPr="00CA25CF" w:rsidRDefault="002C0FD9" w:rsidP="00CA25CF">
            <w:pPr>
              <w:rPr>
                <w:rFonts w:cs="Arial"/>
                <w:color w:val="FF0000"/>
                <w:sz w:val="21"/>
                <w:szCs w:val="21"/>
              </w:rPr>
            </w:pPr>
          </w:p>
        </w:tc>
        <w:tc>
          <w:tcPr>
            <w:tcW w:w="217" w:type="dxa"/>
          </w:tcPr>
          <w:p w14:paraId="33CB6620" w14:textId="77777777" w:rsidR="002C0FD9" w:rsidRPr="00CA25CF" w:rsidRDefault="002C0FD9" w:rsidP="00CA25CF">
            <w:pPr>
              <w:rPr>
                <w:rFonts w:cs="Arial"/>
                <w:color w:val="FF0000"/>
                <w:sz w:val="21"/>
                <w:szCs w:val="21"/>
              </w:rPr>
            </w:pPr>
          </w:p>
        </w:tc>
        <w:tc>
          <w:tcPr>
            <w:tcW w:w="217" w:type="dxa"/>
          </w:tcPr>
          <w:p w14:paraId="1D19968B" w14:textId="77777777" w:rsidR="002C0FD9" w:rsidRPr="00CA25CF" w:rsidRDefault="002C0FD9" w:rsidP="00CA25CF">
            <w:pPr>
              <w:rPr>
                <w:rFonts w:cs="Arial"/>
                <w:color w:val="FF0000"/>
                <w:sz w:val="21"/>
                <w:szCs w:val="21"/>
              </w:rPr>
            </w:pPr>
          </w:p>
        </w:tc>
        <w:tc>
          <w:tcPr>
            <w:tcW w:w="217" w:type="dxa"/>
          </w:tcPr>
          <w:p w14:paraId="79B11FD2" w14:textId="77777777" w:rsidR="002C0FD9" w:rsidRPr="00CA25CF" w:rsidRDefault="002C0FD9" w:rsidP="00CA25CF">
            <w:pPr>
              <w:rPr>
                <w:rFonts w:cs="Arial"/>
                <w:color w:val="FF0000"/>
                <w:sz w:val="21"/>
                <w:szCs w:val="21"/>
              </w:rPr>
            </w:pPr>
          </w:p>
        </w:tc>
        <w:tc>
          <w:tcPr>
            <w:tcW w:w="217" w:type="dxa"/>
          </w:tcPr>
          <w:p w14:paraId="1B1EA684" w14:textId="77777777" w:rsidR="002C0FD9" w:rsidRPr="00CA25CF" w:rsidRDefault="002C0FD9" w:rsidP="00CA25CF">
            <w:pPr>
              <w:rPr>
                <w:rFonts w:cs="Arial"/>
                <w:color w:val="FF0000"/>
                <w:sz w:val="21"/>
                <w:szCs w:val="21"/>
              </w:rPr>
            </w:pPr>
          </w:p>
        </w:tc>
        <w:tc>
          <w:tcPr>
            <w:tcW w:w="217" w:type="dxa"/>
          </w:tcPr>
          <w:p w14:paraId="01E6C6BC" w14:textId="77777777" w:rsidR="002C0FD9" w:rsidRPr="00CA25CF" w:rsidRDefault="002C0FD9" w:rsidP="00CA25CF">
            <w:pPr>
              <w:rPr>
                <w:rFonts w:cs="Arial"/>
                <w:color w:val="FF0000"/>
                <w:sz w:val="21"/>
                <w:szCs w:val="21"/>
              </w:rPr>
            </w:pPr>
          </w:p>
        </w:tc>
        <w:tc>
          <w:tcPr>
            <w:tcW w:w="217" w:type="dxa"/>
          </w:tcPr>
          <w:p w14:paraId="33BEB949" w14:textId="77777777" w:rsidR="002C0FD9" w:rsidRPr="00CA25CF" w:rsidRDefault="002C0FD9" w:rsidP="00CA25CF">
            <w:pPr>
              <w:rPr>
                <w:rFonts w:cs="Arial"/>
                <w:color w:val="FF0000"/>
                <w:sz w:val="21"/>
                <w:szCs w:val="21"/>
              </w:rPr>
            </w:pPr>
          </w:p>
        </w:tc>
        <w:tc>
          <w:tcPr>
            <w:tcW w:w="217" w:type="dxa"/>
          </w:tcPr>
          <w:p w14:paraId="36D6E5A9" w14:textId="77777777" w:rsidR="002C0FD9" w:rsidRPr="00CA25CF" w:rsidRDefault="002C0FD9" w:rsidP="00CA25CF">
            <w:pPr>
              <w:rPr>
                <w:rFonts w:cs="Arial"/>
                <w:color w:val="FF0000"/>
                <w:sz w:val="21"/>
                <w:szCs w:val="21"/>
              </w:rPr>
            </w:pPr>
          </w:p>
        </w:tc>
        <w:tc>
          <w:tcPr>
            <w:tcW w:w="217" w:type="dxa"/>
          </w:tcPr>
          <w:p w14:paraId="6D354A73" w14:textId="77777777" w:rsidR="002C0FD9" w:rsidRPr="00CA25CF" w:rsidRDefault="002C0FD9" w:rsidP="00CA25CF">
            <w:pPr>
              <w:rPr>
                <w:rFonts w:cs="Arial"/>
                <w:color w:val="FF0000"/>
                <w:sz w:val="21"/>
                <w:szCs w:val="21"/>
              </w:rPr>
            </w:pPr>
          </w:p>
        </w:tc>
        <w:tc>
          <w:tcPr>
            <w:tcW w:w="217" w:type="dxa"/>
          </w:tcPr>
          <w:p w14:paraId="3076179D" w14:textId="77777777" w:rsidR="002C0FD9" w:rsidRPr="00CA25CF" w:rsidRDefault="002C0FD9" w:rsidP="00CA25CF">
            <w:pPr>
              <w:rPr>
                <w:rFonts w:cs="Arial"/>
                <w:color w:val="FF0000"/>
                <w:sz w:val="21"/>
                <w:szCs w:val="21"/>
              </w:rPr>
            </w:pPr>
          </w:p>
        </w:tc>
        <w:tc>
          <w:tcPr>
            <w:tcW w:w="217" w:type="dxa"/>
          </w:tcPr>
          <w:p w14:paraId="3D74A2D9" w14:textId="77777777" w:rsidR="002C0FD9" w:rsidRPr="00CA25CF" w:rsidRDefault="002C0FD9" w:rsidP="00CA25CF">
            <w:pPr>
              <w:rPr>
                <w:rFonts w:cs="Arial"/>
                <w:color w:val="FF0000"/>
                <w:sz w:val="21"/>
                <w:szCs w:val="21"/>
              </w:rPr>
            </w:pPr>
          </w:p>
        </w:tc>
        <w:tc>
          <w:tcPr>
            <w:tcW w:w="217" w:type="dxa"/>
          </w:tcPr>
          <w:p w14:paraId="3E983D3E" w14:textId="77777777" w:rsidR="002C0FD9" w:rsidRPr="00CA25CF" w:rsidRDefault="002C0FD9" w:rsidP="00CA25CF">
            <w:pPr>
              <w:rPr>
                <w:rFonts w:cs="Arial"/>
                <w:color w:val="FF0000"/>
                <w:sz w:val="21"/>
                <w:szCs w:val="21"/>
              </w:rPr>
            </w:pPr>
          </w:p>
        </w:tc>
        <w:tc>
          <w:tcPr>
            <w:tcW w:w="217" w:type="dxa"/>
          </w:tcPr>
          <w:p w14:paraId="71724844" w14:textId="77777777" w:rsidR="002C0FD9" w:rsidRPr="00CA25CF" w:rsidRDefault="002C0FD9" w:rsidP="00CA25CF">
            <w:pPr>
              <w:rPr>
                <w:rFonts w:cs="Arial"/>
                <w:color w:val="FF0000"/>
                <w:sz w:val="21"/>
                <w:szCs w:val="21"/>
              </w:rPr>
            </w:pPr>
          </w:p>
        </w:tc>
        <w:tc>
          <w:tcPr>
            <w:tcW w:w="217" w:type="dxa"/>
          </w:tcPr>
          <w:p w14:paraId="401BC846" w14:textId="53670F31" w:rsidR="002C0FD9" w:rsidRPr="00CA25CF" w:rsidRDefault="002C0FD9" w:rsidP="00CA25CF">
            <w:pPr>
              <w:rPr>
                <w:rFonts w:cs="Arial"/>
                <w:color w:val="FF0000"/>
                <w:sz w:val="21"/>
                <w:szCs w:val="21"/>
              </w:rPr>
            </w:pPr>
          </w:p>
        </w:tc>
        <w:tc>
          <w:tcPr>
            <w:tcW w:w="217" w:type="dxa"/>
          </w:tcPr>
          <w:p w14:paraId="04DF0BB6" w14:textId="77777777" w:rsidR="002C0FD9" w:rsidRPr="00CA25CF" w:rsidRDefault="002C0FD9" w:rsidP="00CA25CF">
            <w:pPr>
              <w:rPr>
                <w:rFonts w:cs="Arial"/>
                <w:color w:val="FF0000"/>
                <w:sz w:val="21"/>
                <w:szCs w:val="21"/>
              </w:rPr>
            </w:pPr>
          </w:p>
        </w:tc>
        <w:tc>
          <w:tcPr>
            <w:tcW w:w="217" w:type="dxa"/>
          </w:tcPr>
          <w:p w14:paraId="7BD0F644" w14:textId="77777777" w:rsidR="002C0FD9" w:rsidRPr="00CA25CF" w:rsidRDefault="002C0FD9" w:rsidP="00CA25CF">
            <w:pPr>
              <w:rPr>
                <w:rFonts w:cs="Arial"/>
                <w:color w:val="FF0000"/>
                <w:sz w:val="21"/>
                <w:szCs w:val="21"/>
              </w:rPr>
            </w:pPr>
          </w:p>
        </w:tc>
        <w:tc>
          <w:tcPr>
            <w:tcW w:w="217" w:type="dxa"/>
          </w:tcPr>
          <w:p w14:paraId="1A8494E7" w14:textId="77777777" w:rsidR="002C0FD9" w:rsidRPr="00CA25CF" w:rsidRDefault="002C0FD9" w:rsidP="00CA25CF">
            <w:pPr>
              <w:rPr>
                <w:rFonts w:cs="Arial"/>
                <w:color w:val="FF0000"/>
                <w:sz w:val="21"/>
                <w:szCs w:val="21"/>
              </w:rPr>
            </w:pPr>
          </w:p>
        </w:tc>
        <w:tc>
          <w:tcPr>
            <w:tcW w:w="217" w:type="dxa"/>
          </w:tcPr>
          <w:p w14:paraId="6B5121AE" w14:textId="77777777" w:rsidR="002C0FD9" w:rsidRPr="00CA25CF" w:rsidRDefault="002C0FD9" w:rsidP="00CA25CF">
            <w:pPr>
              <w:rPr>
                <w:rFonts w:cs="Arial"/>
                <w:color w:val="FF0000"/>
                <w:sz w:val="21"/>
                <w:szCs w:val="21"/>
              </w:rPr>
            </w:pPr>
          </w:p>
        </w:tc>
        <w:tc>
          <w:tcPr>
            <w:tcW w:w="217" w:type="dxa"/>
          </w:tcPr>
          <w:p w14:paraId="22860028" w14:textId="77777777" w:rsidR="002C0FD9" w:rsidRPr="00CA25CF" w:rsidRDefault="002C0FD9" w:rsidP="00CA25CF">
            <w:pPr>
              <w:rPr>
                <w:rFonts w:cs="Arial"/>
                <w:color w:val="FF0000"/>
                <w:sz w:val="21"/>
                <w:szCs w:val="21"/>
              </w:rPr>
            </w:pPr>
          </w:p>
        </w:tc>
        <w:tc>
          <w:tcPr>
            <w:tcW w:w="217" w:type="dxa"/>
          </w:tcPr>
          <w:p w14:paraId="09C0C03F" w14:textId="77777777" w:rsidR="002C0FD9" w:rsidRPr="00CA25CF" w:rsidRDefault="002C0FD9" w:rsidP="00CA25CF">
            <w:pPr>
              <w:rPr>
                <w:rFonts w:cs="Arial"/>
                <w:color w:val="FF0000"/>
                <w:sz w:val="21"/>
                <w:szCs w:val="21"/>
              </w:rPr>
            </w:pPr>
          </w:p>
        </w:tc>
        <w:tc>
          <w:tcPr>
            <w:tcW w:w="217" w:type="dxa"/>
          </w:tcPr>
          <w:p w14:paraId="61C5060A" w14:textId="77777777" w:rsidR="002C0FD9" w:rsidRPr="00CA25CF" w:rsidRDefault="002C0FD9" w:rsidP="00CA25CF">
            <w:pPr>
              <w:rPr>
                <w:rFonts w:cs="Arial"/>
                <w:color w:val="FF0000"/>
                <w:sz w:val="21"/>
                <w:szCs w:val="21"/>
              </w:rPr>
            </w:pPr>
          </w:p>
        </w:tc>
        <w:tc>
          <w:tcPr>
            <w:tcW w:w="217" w:type="dxa"/>
          </w:tcPr>
          <w:p w14:paraId="5E859C3A" w14:textId="77777777" w:rsidR="002C0FD9" w:rsidRPr="00CA25CF" w:rsidRDefault="002C0FD9" w:rsidP="00CA25CF">
            <w:pPr>
              <w:rPr>
                <w:rFonts w:cs="Arial"/>
                <w:color w:val="FF0000"/>
                <w:sz w:val="21"/>
                <w:szCs w:val="21"/>
              </w:rPr>
            </w:pPr>
          </w:p>
        </w:tc>
        <w:tc>
          <w:tcPr>
            <w:tcW w:w="217" w:type="dxa"/>
          </w:tcPr>
          <w:p w14:paraId="46C73ACE" w14:textId="77777777" w:rsidR="002C0FD9" w:rsidRPr="00CA25CF" w:rsidRDefault="002C0FD9" w:rsidP="00CA25CF">
            <w:pPr>
              <w:rPr>
                <w:rFonts w:cs="Arial"/>
                <w:color w:val="FF0000"/>
                <w:sz w:val="21"/>
                <w:szCs w:val="21"/>
              </w:rPr>
            </w:pPr>
          </w:p>
        </w:tc>
        <w:tc>
          <w:tcPr>
            <w:tcW w:w="217" w:type="dxa"/>
          </w:tcPr>
          <w:p w14:paraId="6427D397" w14:textId="77777777" w:rsidR="002C0FD9" w:rsidRPr="00CA25CF" w:rsidRDefault="002C0FD9" w:rsidP="00CA25CF">
            <w:pPr>
              <w:rPr>
                <w:rFonts w:cs="Arial"/>
                <w:color w:val="FF0000"/>
                <w:sz w:val="21"/>
                <w:szCs w:val="21"/>
              </w:rPr>
            </w:pPr>
          </w:p>
        </w:tc>
        <w:tc>
          <w:tcPr>
            <w:tcW w:w="217" w:type="dxa"/>
          </w:tcPr>
          <w:p w14:paraId="66ED3121" w14:textId="77777777" w:rsidR="002C0FD9" w:rsidRPr="00CA25CF" w:rsidRDefault="002C0FD9" w:rsidP="00CA25CF">
            <w:pPr>
              <w:rPr>
                <w:rFonts w:cs="Arial"/>
                <w:color w:val="FF0000"/>
                <w:sz w:val="21"/>
                <w:szCs w:val="21"/>
              </w:rPr>
            </w:pPr>
          </w:p>
        </w:tc>
        <w:tc>
          <w:tcPr>
            <w:tcW w:w="217" w:type="dxa"/>
          </w:tcPr>
          <w:p w14:paraId="3482A0B2" w14:textId="77777777" w:rsidR="002C0FD9" w:rsidRPr="00CA25CF" w:rsidRDefault="002C0FD9" w:rsidP="00CA25CF">
            <w:pPr>
              <w:rPr>
                <w:rFonts w:cs="Arial"/>
                <w:color w:val="FF0000"/>
                <w:sz w:val="21"/>
                <w:szCs w:val="21"/>
              </w:rPr>
            </w:pPr>
          </w:p>
        </w:tc>
        <w:tc>
          <w:tcPr>
            <w:tcW w:w="217" w:type="dxa"/>
          </w:tcPr>
          <w:p w14:paraId="125BA11D" w14:textId="77777777" w:rsidR="002C0FD9" w:rsidRPr="00CA25CF" w:rsidRDefault="002C0FD9" w:rsidP="00CA25CF">
            <w:pPr>
              <w:rPr>
                <w:rFonts w:cs="Arial"/>
                <w:color w:val="FF0000"/>
                <w:sz w:val="21"/>
                <w:szCs w:val="21"/>
              </w:rPr>
            </w:pPr>
          </w:p>
        </w:tc>
        <w:tc>
          <w:tcPr>
            <w:tcW w:w="217" w:type="dxa"/>
          </w:tcPr>
          <w:p w14:paraId="60407DD8" w14:textId="77777777" w:rsidR="002C0FD9" w:rsidRPr="00CA25CF" w:rsidRDefault="002C0FD9" w:rsidP="00CA25CF">
            <w:pPr>
              <w:rPr>
                <w:rFonts w:cs="Arial"/>
                <w:color w:val="FF0000"/>
                <w:sz w:val="21"/>
                <w:szCs w:val="21"/>
              </w:rPr>
            </w:pPr>
          </w:p>
        </w:tc>
        <w:tc>
          <w:tcPr>
            <w:tcW w:w="217" w:type="dxa"/>
          </w:tcPr>
          <w:p w14:paraId="2528BD08" w14:textId="77777777" w:rsidR="002C0FD9" w:rsidRPr="00CA25CF" w:rsidRDefault="002C0FD9" w:rsidP="00CA25CF">
            <w:pPr>
              <w:rPr>
                <w:rFonts w:cs="Arial"/>
                <w:color w:val="FF0000"/>
                <w:sz w:val="21"/>
                <w:szCs w:val="21"/>
              </w:rPr>
            </w:pPr>
          </w:p>
        </w:tc>
        <w:tc>
          <w:tcPr>
            <w:tcW w:w="217" w:type="dxa"/>
          </w:tcPr>
          <w:p w14:paraId="26E8B586" w14:textId="77777777" w:rsidR="002C0FD9" w:rsidRPr="00CA25CF" w:rsidRDefault="002C0FD9" w:rsidP="00CA25CF">
            <w:pPr>
              <w:rPr>
                <w:rFonts w:cs="Arial"/>
                <w:color w:val="FF0000"/>
                <w:sz w:val="21"/>
                <w:szCs w:val="21"/>
              </w:rPr>
            </w:pPr>
          </w:p>
        </w:tc>
        <w:tc>
          <w:tcPr>
            <w:tcW w:w="217" w:type="dxa"/>
          </w:tcPr>
          <w:p w14:paraId="48889272" w14:textId="77777777" w:rsidR="002C0FD9" w:rsidRPr="00CA25CF" w:rsidRDefault="002C0FD9" w:rsidP="00CA25CF">
            <w:pPr>
              <w:rPr>
                <w:rFonts w:cs="Arial"/>
                <w:color w:val="FF0000"/>
                <w:sz w:val="21"/>
                <w:szCs w:val="21"/>
              </w:rPr>
            </w:pPr>
          </w:p>
        </w:tc>
        <w:tc>
          <w:tcPr>
            <w:tcW w:w="217" w:type="dxa"/>
          </w:tcPr>
          <w:p w14:paraId="3A67052B" w14:textId="77777777" w:rsidR="002C0FD9" w:rsidRPr="00CA25CF" w:rsidRDefault="002C0FD9" w:rsidP="00CA25CF">
            <w:pPr>
              <w:rPr>
                <w:rFonts w:cs="Arial"/>
                <w:color w:val="FF0000"/>
                <w:sz w:val="21"/>
                <w:szCs w:val="21"/>
              </w:rPr>
            </w:pPr>
          </w:p>
        </w:tc>
        <w:tc>
          <w:tcPr>
            <w:tcW w:w="217" w:type="dxa"/>
          </w:tcPr>
          <w:p w14:paraId="1D3E0FBA" w14:textId="77777777" w:rsidR="002C0FD9" w:rsidRPr="00CA25CF" w:rsidRDefault="002C0FD9" w:rsidP="00CA25CF">
            <w:pPr>
              <w:rPr>
                <w:rFonts w:cs="Arial"/>
                <w:color w:val="FF0000"/>
                <w:sz w:val="21"/>
                <w:szCs w:val="21"/>
              </w:rPr>
            </w:pPr>
          </w:p>
        </w:tc>
        <w:tc>
          <w:tcPr>
            <w:tcW w:w="217" w:type="dxa"/>
          </w:tcPr>
          <w:p w14:paraId="70EE0286" w14:textId="77777777" w:rsidR="002C0FD9" w:rsidRPr="00CA25CF" w:rsidRDefault="002C0FD9" w:rsidP="00CA25CF">
            <w:pPr>
              <w:rPr>
                <w:rFonts w:cs="Arial"/>
                <w:color w:val="FF0000"/>
                <w:sz w:val="21"/>
                <w:szCs w:val="21"/>
              </w:rPr>
            </w:pPr>
          </w:p>
        </w:tc>
        <w:tc>
          <w:tcPr>
            <w:tcW w:w="217" w:type="dxa"/>
          </w:tcPr>
          <w:p w14:paraId="75E3B21B" w14:textId="77777777" w:rsidR="002C0FD9" w:rsidRPr="00CA25CF" w:rsidRDefault="002C0FD9" w:rsidP="00CA25CF">
            <w:pPr>
              <w:rPr>
                <w:rFonts w:cs="Arial"/>
                <w:color w:val="FF0000"/>
                <w:sz w:val="21"/>
                <w:szCs w:val="21"/>
              </w:rPr>
            </w:pPr>
          </w:p>
        </w:tc>
        <w:tc>
          <w:tcPr>
            <w:tcW w:w="217" w:type="dxa"/>
          </w:tcPr>
          <w:p w14:paraId="3B34B783" w14:textId="77777777" w:rsidR="002C0FD9" w:rsidRPr="00CA25CF" w:rsidRDefault="002C0FD9" w:rsidP="00CA25CF">
            <w:pPr>
              <w:rPr>
                <w:rFonts w:cs="Arial"/>
                <w:color w:val="FF0000"/>
                <w:sz w:val="21"/>
                <w:szCs w:val="21"/>
              </w:rPr>
            </w:pPr>
          </w:p>
        </w:tc>
        <w:tc>
          <w:tcPr>
            <w:tcW w:w="217" w:type="dxa"/>
          </w:tcPr>
          <w:p w14:paraId="7070E03F" w14:textId="77777777" w:rsidR="002C0FD9" w:rsidRPr="00CA25CF" w:rsidRDefault="002C0FD9" w:rsidP="00CA25CF">
            <w:pPr>
              <w:rPr>
                <w:rFonts w:cs="Arial"/>
                <w:color w:val="FF0000"/>
                <w:sz w:val="21"/>
                <w:szCs w:val="21"/>
              </w:rPr>
            </w:pPr>
          </w:p>
        </w:tc>
        <w:tc>
          <w:tcPr>
            <w:tcW w:w="217" w:type="dxa"/>
          </w:tcPr>
          <w:p w14:paraId="3557D1EA" w14:textId="77777777" w:rsidR="002C0FD9" w:rsidRPr="00CA25CF" w:rsidRDefault="002C0FD9" w:rsidP="00CA25CF">
            <w:pPr>
              <w:rPr>
                <w:rFonts w:cs="Arial"/>
                <w:color w:val="FF0000"/>
                <w:sz w:val="21"/>
                <w:szCs w:val="21"/>
              </w:rPr>
            </w:pPr>
          </w:p>
        </w:tc>
        <w:tc>
          <w:tcPr>
            <w:tcW w:w="217" w:type="dxa"/>
          </w:tcPr>
          <w:p w14:paraId="051CCF9C" w14:textId="77777777" w:rsidR="002C0FD9" w:rsidRPr="00CA25CF" w:rsidRDefault="002C0FD9" w:rsidP="00CA25CF">
            <w:pPr>
              <w:rPr>
                <w:rFonts w:cs="Arial"/>
                <w:color w:val="FF0000"/>
                <w:sz w:val="21"/>
                <w:szCs w:val="21"/>
              </w:rPr>
            </w:pPr>
          </w:p>
        </w:tc>
        <w:tc>
          <w:tcPr>
            <w:tcW w:w="217" w:type="dxa"/>
          </w:tcPr>
          <w:p w14:paraId="3D553FBB" w14:textId="77777777" w:rsidR="002C0FD9" w:rsidRPr="00CA25CF" w:rsidRDefault="002C0FD9" w:rsidP="00CA25CF">
            <w:pPr>
              <w:rPr>
                <w:rFonts w:cs="Arial"/>
                <w:color w:val="FF0000"/>
                <w:sz w:val="21"/>
                <w:szCs w:val="21"/>
              </w:rPr>
            </w:pPr>
          </w:p>
        </w:tc>
        <w:tc>
          <w:tcPr>
            <w:tcW w:w="217" w:type="dxa"/>
          </w:tcPr>
          <w:p w14:paraId="0A7ABB49" w14:textId="77777777" w:rsidR="002C0FD9" w:rsidRPr="00CA25CF" w:rsidRDefault="002C0FD9" w:rsidP="00CA25CF">
            <w:pPr>
              <w:rPr>
                <w:rFonts w:cs="Arial"/>
                <w:color w:val="FF0000"/>
                <w:sz w:val="21"/>
                <w:szCs w:val="21"/>
              </w:rPr>
            </w:pPr>
          </w:p>
        </w:tc>
      </w:tr>
      <w:tr w:rsidR="002C0FD9" w:rsidRPr="00A16219" w14:paraId="6E0E260F" w14:textId="7A206530" w:rsidTr="002C0FD9">
        <w:trPr>
          <w:trHeight w:val="635"/>
        </w:trPr>
        <w:tc>
          <w:tcPr>
            <w:tcW w:w="515" w:type="dxa"/>
          </w:tcPr>
          <w:p w14:paraId="23EA062E" w14:textId="77777777" w:rsidR="002C0FD9" w:rsidRPr="00CA25CF" w:rsidRDefault="002C0FD9" w:rsidP="00CA25CF">
            <w:pPr>
              <w:rPr>
                <w:rFonts w:cs="Arial"/>
                <w:color w:val="FF0000"/>
                <w:sz w:val="21"/>
                <w:szCs w:val="21"/>
              </w:rPr>
            </w:pPr>
          </w:p>
        </w:tc>
        <w:tc>
          <w:tcPr>
            <w:tcW w:w="217" w:type="dxa"/>
          </w:tcPr>
          <w:p w14:paraId="27B6BD51" w14:textId="77777777" w:rsidR="002C0FD9" w:rsidRPr="00CA25CF" w:rsidRDefault="002C0FD9" w:rsidP="00CA25CF">
            <w:pPr>
              <w:rPr>
                <w:rFonts w:cs="Arial"/>
                <w:color w:val="FF0000"/>
                <w:sz w:val="21"/>
                <w:szCs w:val="21"/>
              </w:rPr>
            </w:pPr>
          </w:p>
        </w:tc>
        <w:tc>
          <w:tcPr>
            <w:tcW w:w="217" w:type="dxa"/>
          </w:tcPr>
          <w:p w14:paraId="63FBEA73" w14:textId="76B8B9A4" w:rsidR="002C0FD9" w:rsidRPr="00CA25CF" w:rsidRDefault="002C0FD9" w:rsidP="00CA25CF">
            <w:pPr>
              <w:rPr>
                <w:rFonts w:cs="Arial"/>
                <w:color w:val="FF0000"/>
                <w:sz w:val="21"/>
                <w:szCs w:val="21"/>
              </w:rPr>
            </w:pPr>
          </w:p>
        </w:tc>
        <w:tc>
          <w:tcPr>
            <w:tcW w:w="217" w:type="dxa"/>
          </w:tcPr>
          <w:p w14:paraId="525E3284" w14:textId="77777777" w:rsidR="002C0FD9" w:rsidRPr="00CA25CF" w:rsidRDefault="002C0FD9" w:rsidP="00CA25CF">
            <w:pPr>
              <w:rPr>
                <w:rFonts w:cs="Arial"/>
                <w:color w:val="FF0000"/>
                <w:sz w:val="21"/>
                <w:szCs w:val="21"/>
              </w:rPr>
            </w:pPr>
          </w:p>
        </w:tc>
        <w:tc>
          <w:tcPr>
            <w:tcW w:w="217" w:type="dxa"/>
          </w:tcPr>
          <w:p w14:paraId="02C4CBA5" w14:textId="77777777" w:rsidR="002C0FD9" w:rsidRPr="00CA25CF" w:rsidRDefault="002C0FD9" w:rsidP="00CA25CF">
            <w:pPr>
              <w:rPr>
                <w:rFonts w:cs="Arial"/>
                <w:color w:val="FF0000"/>
                <w:sz w:val="21"/>
                <w:szCs w:val="21"/>
              </w:rPr>
            </w:pPr>
          </w:p>
        </w:tc>
        <w:tc>
          <w:tcPr>
            <w:tcW w:w="217" w:type="dxa"/>
          </w:tcPr>
          <w:p w14:paraId="52C53CAD" w14:textId="77777777" w:rsidR="002C0FD9" w:rsidRPr="00CA25CF" w:rsidRDefault="002C0FD9" w:rsidP="00CA25CF">
            <w:pPr>
              <w:rPr>
                <w:rFonts w:cs="Arial"/>
                <w:color w:val="FF0000"/>
                <w:sz w:val="21"/>
                <w:szCs w:val="21"/>
              </w:rPr>
            </w:pPr>
          </w:p>
        </w:tc>
        <w:tc>
          <w:tcPr>
            <w:tcW w:w="217" w:type="dxa"/>
          </w:tcPr>
          <w:p w14:paraId="73B59A7B" w14:textId="77777777" w:rsidR="002C0FD9" w:rsidRPr="00CA25CF" w:rsidRDefault="002C0FD9" w:rsidP="00CA25CF">
            <w:pPr>
              <w:rPr>
                <w:rFonts w:cs="Arial"/>
                <w:color w:val="FF0000"/>
                <w:sz w:val="21"/>
                <w:szCs w:val="21"/>
              </w:rPr>
            </w:pPr>
          </w:p>
        </w:tc>
        <w:tc>
          <w:tcPr>
            <w:tcW w:w="217" w:type="dxa"/>
          </w:tcPr>
          <w:p w14:paraId="18F4452A" w14:textId="77777777" w:rsidR="002C0FD9" w:rsidRPr="00CA25CF" w:rsidRDefault="002C0FD9" w:rsidP="00CA25CF">
            <w:pPr>
              <w:rPr>
                <w:rFonts w:cs="Arial"/>
                <w:color w:val="FF0000"/>
                <w:sz w:val="21"/>
                <w:szCs w:val="21"/>
              </w:rPr>
            </w:pPr>
          </w:p>
        </w:tc>
        <w:tc>
          <w:tcPr>
            <w:tcW w:w="217" w:type="dxa"/>
          </w:tcPr>
          <w:p w14:paraId="0B2CAD89" w14:textId="77777777" w:rsidR="002C0FD9" w:rsidRPr="00CA25CF" w:rsidRDefault="002C0FD9" w:rsidP="00CA25CF">
            <w:pPr>
              <w:rPr>
                <w:rFonts w:cs="Arial"/>
                <w:color w:val="FF0000"/>
                <w:sz w:val="21"/>
                <w:szCs w:val="21"/>
              </w:rPr>
            </w:pPr>
          </w:p>
        </w:tc>
        <w:tc>
          <w:tcPr>
            <w:tcW w:w="217" w:type="dxa"/>
          </w:tcPr>
          <w:p w14:paraId="4C0A1A77" w14:textId="77777777" w:rsidR="002C0FD9" w:rsidRPr="00CA25CF" w:rsidRDefault="002C0FD9" w:rsidP="00CA25CF">
            <w:pPr>
              <w:rPr>
                <w:rFonts w:cs="Arial"/>
                <w:color w:val="FF0000"/>
                <w:sz w:val="21"/>
                <w:szCs w:val="21"/>
              </w:rPr>
            </w:pPr>
          </w:p>
        </w:tc>
        <w:tc>
          <w:tcPr>
            <w:tcW w:w="217" w:type="dxa"/>
          </w:tcPr>
          <w:p w14:paraId="3AA61BD3" w14:textId="77777777" w:rsidR="002C0FD9" w:rsidRPr="00CA25CF" w:rsidRDefault="002C0FD9" w:rsidP="00CA25CF">
            <w:pPr>
              <w:rPr>
                <w:rFonts w:cs="Arial"/>
                <w:color w:val="FF0000"/>
                <w:sz w:val="21"/>
                <w:szCs w:val="21"/>
              </w:rPr>
            </w:pPr>
          </w:p>
        </w:tc>
        <w:tc>
          <w:tcPr>
            <w:tcW w:w="217" w:type="dxa"/>
          </w:tcPr>
          <w:p w14:paraId="11864A44" w14:textId="77777777" w:rsidR="002C0FD9" w:rsidRPr="00CA25CF" w:rsidRDefault="002C0FD9" w:rsidP="00CA25CF">
            <w:pPr>
              <w:rPr>
                <w:rFonts w:cs="Arial"/>
                <w:color w:val="FF0000"/>
                <w:sz w:val="21"/>
                <w:szCs w:val="21"/>
              </w:rPr>
            </w:pPr>
          </w:p>
        </w:tc>
        <w:tc>
          <w:tcPr>
            <w:tcW w:w="217" w:type="dxa"/>
          </w:tcPr>
          <w:p w14:paraId="67DBD9A8" w14:textId="77777777" w:rsidR="002C0FD9" w:rsidRPr="00CA25CF" w:rsidRDefault="002C0FD9" w:rsidP="00CA25CF">
            <w:pPr>
              <w:rPr>
                <w:rFonts w:cs="Arial"/>
                <w:color w:val="FF0000"/>
                <w:sz w:val="21"/>
                <w:szCs w:val="21"/>
              </w:rPr>
            </w:pPr>
          </w:p>
        </w:tc>
        <w:tc>
          <w:tcPr>
            <w:tcW w:w="217" w:type="dxa"/>
          </w:tcPr>
          <w:p w14:paraId="783A02C1" w14:textId="77777777" w:rsidR="002C0FD9" w:rsidRPr="00CA25CF" w:rsidRDefault="002C0FD9" w:rsidP="00CA25CF">
            <w:pPr>
              <w:rPr>
                <w:rFonts w:cs="Arial"/>
                <w:color w:val="FF0000"/>
                <w:sz w:val="21"/>
                <w:szCs w:val="21"/>
              </w:rPr>
            </w:pPr>
          </w:p>
        </w:tc>
        <w:tc>
          <w:tcPr>
            <w:tcW w:w="217" w:type="dxa"/>
          </w:tcPr>
          <w:p w14:paraId="6488A890" w14:textId="77777777" w:rsidR="002C0FD9" w:rsidRPr="00CA25CF" w:rsidRDefault="002C0FD9" w:rsidP="00CA25CF">
            <w:pPr>
              <w:rPr>
                <w:rFonts w:cs="Arial"/>
                <w:color w:val="FF0000"/>
                <w:sz w:val="21"/>
                <w:szCs w:val="21"/>
              </w:rPr>
            </w:pPr>
          </w:p>
        </w:tc>
        <w:tc>
          <w:tcPr>
            <w:tcW w:w="217" w:type="dxa"/>
          </w:tcPr>
          <w:p w14:paraId="7AE44870" w14:textId="193B18A2" w:rsidR="002C0FD9" w:rsidRPr="00CA25CF" w:rsidRDefault="002C0FD9" w:rsidP="00CA25CF">
            <w:pPr>
              <w:rPr>
                <w:rFonts w:cs="Arial"/>
                <w:color w:val="FF0000"/>
                <w:sz w:val="21"/>
                <w:szCs w:val="21"/>
              </w:rPr>
            </w:pPr>
          </w:p>
        </w:tc>
        <w:tc>
          <w:tcPr>
            <w:tcW w:w="217" w:type="dxa"/>
          </w:tcPr>
          <w:p w14:paraId="22BBE115" w14:textId="77777777" w:rsidR="002C0FD9" w:rsidRPr="00CA25CF" w:rsidRDefault="002C0FD9" w:rsidP="00CA25CF">
            <w:pPr>
              <w:rPr>
                <w:rFonts w:cs="Arial"/>
                <w:color w:val="FF0000"/>
                <w:sz w:val="21"/>
                <w:szCs w:val="21"/>
              </w:rPr>
            </w:pPr>
          </w:p>
        </w:tc>
        <w:tc>
          <w:tcPr>
            <w:tcW w:w="217" w:type="dxa"/>
          </w:tcPr>
          <w:p w14:paraId="1CB6A7CA" w14:textId="77777777" w:rsidR="002C0FD9" w:rsidRPr="00CA25CF" w:rsidRDefault="002C0FD9" w:rsidP="00CA25CF">
            <w:pPr>
              <w:rPr>
                <w:rFonts w:cs="Arial"/>
                <w:color w:val="FF0000"/>
                <w:sz w:val="21"/>
                <w:szCs w:val="21"/>
              </w:rPr>
            </w:pPr>
          </w:p>
        </w:tc>
        <w:tc>
          <w:tcPr>
            <w:tcW w:w="217" w:type="dxa"/>
          </w:tcPr>
          <w:p w14:paraId="264FBCF6" w14:textId="77777777" w:rsidR="002C0FD9" w:rsidRPr="00CA25CF" w:rsidRDefault="002C0FD9" w:rsidP="00CA25CF">
            <w:pPr>
              <w:rPr>
                <w:rFonts w:cs="Arial"/>
                <w:color w:val="FF0000"/>
                <w:sz w:val="21"/>
                <w:szCs w:val="21"/>
              </w:rPr>
            </w:pPr>
          </w:p>
        </w:tc>
        <w:tc>
          <w:tcPr>
            <w:tcW w:w="217" w:type="dxa"/>
          </w:tcPr>
          <w:p w14:paraId="5C10F545" w14:textId="77777777" w:rsidR="002C0FD9" w:rsidRPr="00CA25CF" w:rsidRDefault="002C0FD9" w:rsidP="00CA25CF">
            <w:pPr>
              <w:rPr>
                <w:rFonts w:cs="Arial"/>
                <w:color w:val="FF0000"/>
                <w:sz w:val="21"/>
                <w:szCs w:val="21"/>
              </w:rPr>
            </w:pPr>
          </w:p>
        </w:tc>
        <w:tc>
          <w:tcPr>
            <w:tcW w:w="217" w:type="dxa"/>
          </w:tcPr>
          <w:p w14:paraId="119E31FC" w14:textId="77777777" w:rsidR="002C0FD9" w:rsidRPr="00CA25CF" w:rsidRDefault="002C0FD9" w:rsidP="00CA25CF">
            <w:pPr>
              <w:rPr>
                <w:rFonts w:cs="Arial"/>
                <w:color w:val="FF0000"/>
                <w:sz w:val="21"/>
                <w:szCs w:val="21"/>
              </w:rPr>
            </w:pPr>
          </w:p>
        </w:tc>
        <w:tc>
          <w:tcPr>
            <w:tcW w:w="217" w:type="dxa"/>
          </w:tcPr>
          <w:p w14:paraId="7CF042D2" w14:textId="77777777" w:rsidR="002C0FD9" w:rsidRPr="00CA25CF" w:rsidRDefault="002C0FD9" w:rsidP="00CA25CF">
            <w:pPr>
              <w:rPr>
                <w:rFonts w:cs="Arial"/>
                <w:color w:val="FF0000"/>
                <w:sz w:val="21"/>
                <w:szCs w:val="21"/>
              </w:rPr>
            </w:pPr>
          </w:p>
        </w:tc>
        <w:tc>
          <w:tcPr>
            <w:tcW w:w="217" w:type="dxa"/>
          </w:tcPr>
          <w:p w14:paraId="47D6DB72" w14:textId="77777777" w:rsidR="002C0FD9" w:rsidRPr="00CA25CF" w:rsidRDefault="002C0FD9" w:rsidP="00CA25CF">
            <w:pPr>
              <w:rPr>
                <w:rFonts w:cs="Arial"/>
                <w:color w:val="FF0000"/>
                <w:sz w:val="21"/>
                <w:szCs w:val="21"/>
              </w:rPr>
            </w:pPr>
          </w:p>
        </w:tc>
        <w:tc>
          <w:tcPr>
            <w:tcW w:w="217" w:type="dxa"/>
          </w:tcPr>
          <w:p w14:paraId="18AD8BBE" w14:textId="77777777" w:rsidR="002C0FD9" w:rsidRPr="00CA25CF" w:rsidRDefault="002C0FD9" w:rsidP="00CA25CF">
            <w:pPr>
              <w:rPr>
                <w:rFonts w:cs="Arial"/>
                <w:color w:val="FF0000"/>
                <w:sz w:val="21"/>
                <w:szCs w:val="21"/>
              </w:rPr>
            </w:pPr>
          </w:p>
        </w:tc>
        <w:tc>
          <w:tcPr>
            <w:tcW w:w="217" w:type="dxa"/>
          </w:tcPr>
          <w:p w14:paraId="54D6BE01" w14:textId="77777777" w:rsidR="002C0FD9" w:rsidRPr="00CA25CF" w:rsidRDefault="002C0FD9" w:rsidP="00CA25CF">
            <w:pPr>
              <w:rPr>
                <w:rFonts w:cs="Arial"/>
                <w:color w:val="FF0000"/>
                <w:sz w:val="21"/>
                <w:szCs w:val="21"/>
              </w:rPr>
            </w:pPr>
          </w:p>
        </w:tc>
        <w:tc>
          <w:tcPr>
            <w:tcW w:w="217" w:type="dxa"/>
          </w:tcPr>
          <w:p w14:paraId="4D441F3A" w14:textId="77777777" w:rsidR="002C0FD9" w:rsidRPr="00CA25CF" w:rsidRDefault="002C0FD9" w:rsidP="00CA25CF">
            <w:pPr>
              <w:rPr>
                <w:rFonts w:cs="Arial"/>
                <w:color w:val="FF0000"/>
                <w:sz w:val="21"/>
                <w:szCs w:val="21"/>
              </w:rPr>
            </w:pPr>
          </w:p>
        </w:tc>
        <w:tc>
          <w:tcPr>
            <w:tcW w:w="217" w:type="dxa"/>
          </w:tcPr>
          <w:p w14:paraId="496EDF5E" w14:textId="77777777" w:rsidR="002C0FD9" w:rsidRPr="00CA25CF" w:rsidRDefault="002C0FD9" w:rsidP="00CA25CF">
            <w:pPr>
              <w:rPr>
                <w:rFonts w:cs="Arial"/>
                <w:color w:val="FF0000"/>
                <w:sz w:val="21"/>
                <w:szCs w:val="21"/>
              </w:rPr>
            </w:pPr>
          </w:p>
        </w:tc>
        <w:tc>
          <w:tcPr>
            <w:tcW w:w="217" w:type="dxa"/>
          </w:tcPr>
          <w:p w14:paraId="3D7BF72F" w14:textId="77777777" w:rsidR="002C0FD9" w:rsidRPr="00CA25CF" w:rsidRDefault="002C0FD9" w:rsidP="00CA25CF">
            <w:pPr>
              <w:rPr>
                <w:rFonts w:cs="Arial"/>
                <w:color w:val="FF0000"/>
                <w:sz w:val="21"/>
                <w:szCs w:val="21"/>
              </w:rPr>
            </w:pPr>
          </w:p>
        </w:tc>
        <w:tc>
          <w:tcPr>
            <w:tcW w:w="217" w:type="dxa"/>
          </w:tcPr>
          <w:p w14:paraId="57C69E57" w14:textId="77777777" w:rsidR="002C0FD9" w:rsidRPr="00CA25CF" w:rsidRDefault="002C0FD9" w:rsidP="00CA25CF">
            <w:pPr>
              <w:rPr>
                <w:rFonts w:cs="Arial"/>
                <w:color w:val="FF0000"/>
                <w:sz w:val="21"/>
                <w:szCs w:val="21"/>
              </w:rPr>
            </w:pPr>
          </w:p>
        </w:tc>
        <w:tc>
          <w:tcPr>
            <w:tcW w:w="217" w:type="dxa"/>
          </w:tcPr>
          <w:p w14:paraId="79B54864" w14:textId="77777777" w:rsidR="002C0FD9" w:rsidRPr="00CA25CF" w:rsidRDefault="002C0FD9" w:rsidP="00CA25CF">
            <w:pPr>
              <w:rPr>
                <w:rFonts w:cs="Arial"/>
                <w:color w:val="FF0000"/>
                <w:sz w:val="21"/>
                <w:szCs w:val="21"/>
              </w:rPr>
            </w:pPr>
          </w:p>
        </w:tc>
        <w:tc>
          <w:tcPr>
            <w:tcW w:w="217" w:type="dxa"/>
          </w:tcPr>
          <w:p w14:paraId="3AA72DE6" w14:textId="77777777" w:rsidR="002C0FD9" w:rsidRPr="00CA25CF" w:rsidRDefault="002C0FD9" w:rsidP="00CA25CF">
            <w:pPr>
              <w:rPr>
                <w:rFonts w:cs="Arial"/>
                <w:color w:val="FF0000"/>
                <w:sz w:val="21"/>
                <w:szCs w:val="21"/>
              </w:rPr>
            </w:pPr>
          </w:p>
        </w:tc>
        <w:tc>
          <w:tcPr>
            <w:tcW w:w="217" w:type="dxa"/>
          </w:tcPr>
          <w:p w14:paraId="3A9896EA" w14:textId="77777777" w:rsidR="002C0FD9" w:rsidRPr="00CA25CF" w:rsidRDefault="002C0FD9" w:rsidP="00CA25CF">
            <w:pPr>
              <w:rPr>
                <w:rFonts w:cs="Arial"/>
                <w:color w:val="FF0000"/>
                <w:sz w:val="21"/>
                <w:szCs w:val="21"/>
              </w:rPr>
            </w:pPr>
          </w:p>
        </w:tc>
        <w:tc>
          <w:tcPr>
            <w:tcW w:w="217" w:type="dxa"/>
          </w:tcPr>
          <w:p w14:paraId="0AE257FE" w14:textId="77777777" w:rsidR="002C0FD9" w:rsidRPr="00CA25CF" w:rsidRDefault="002C0FD9" w:rsidP="00CA25CF">
            <w:pPr>
              <w:rPr>
                <w:rFonts w:cs="Arial"/>
                <w:color w:val="FF0000"/>
                <w:sz w:val="21"/>
                <w:szCs w:val="21"/>
              </w:rPr>
            </w:pPr>
          </w:p>
        </w:tc>
        <w:tc>
          <w:tcPr>
            <w:tcW w:w="217" w:type="dxa"/>
          </w:tcPr>
          <w:p w14:paraId="28565B9B" w14:textId="77777777" w:rsidR="002C0FD9" w:rsidRPr="00CA25CF" w:rsidRDefault="002C0FD9" w:rsidP="00CA25CF">
            <w:pPr>
              <w:rPr>
                <w:rFonts w:cs="Arial"/>
                <w:color w:val="FF0000"/>
                <w:sz w:val="21"/>
                <w:szCs w:val="21"/>
              </w:rPr>
            </w:pPr>
          </w:p>
        </w:tc>
        <w:tc>
          <w:tcPr>
            <w:tcW w:w="217" w:type="dxa"/>
          </w:tcPr>
          <w:p w14:paraId="140502DB" w14:textId="77777777" w:rsidR="002C0FD9" w:rsidRPr="00CA25CF" w:rsidRDefault="002C0FD9" w:rsidP="00CA25CF">
            <w:pPr>
              <w:rPr>
                <w:rFonts w:cs="Arial"/>
                <w:color w:val="FF0000"/>
                <w:sz w:val="21"/>
                <w:szCs w:val="21"/>
              </w:rPr>
            </w:pPr>
          </w:p>
        </w:tc>
        <w:tc>
          <w:tcPr>
            <w:tcW w:w="217" w:type="dxa"/>
          </w:tcPr>
          <w:p w14:paraId="1F4B5238" w14:textId="77777777" w:rsidR="002C0FD9" w:rsidRPr="00CA25CF" w:rsidRDefault="002C0FD9" w:rsidP="00CA25CF">
            <w:pPr>
              <w:rPr>
                <w:rFonts w:cs="Arial"/>
                <w:color w:val="FF0000"/>
                <w:sz w:val="21"/>
                <w:szCs w:val="21"/>
              </w:rPr>
            </w:pPr>
          </w:p>
        </w:tc>
        <w:tc>
          <w:tcPr>
            <w:tcW w:w="217" w:type="dxa"/>
          </w:tcPr>
          <w:p w14:paraId="279DECD6" w14:textId="77777777" w:rsidR="002C0FD9" w:rsidRPr="00CA25CF" w:rsidRDefault="002C0FD9" w:rsidP="00CA25CF">
            <w:pPr>
              <w:rPr>
                <w:rFonts w:cs="Arial"/>
                <w:color w:val="FF0000"/>
                <w:sz w:val="21"/>
                <w:szCs w:val="21"/>
              </w:rPr>
            </w:pPr>
          </w:p>
        </w:tc>
        <w:tc>
          <w:tcPr>
            <w:tcW w:w="217" w:type="dxa"/>
          </w:tcPr>
          <w:p w14:paraId="709393F3" w14:textId="77777777" w:rsidR="002C0FD9" w:rsidRPr="00CA25CF" w:rsidRDefault="002C0FD9" w:rsidP="00CA25CF">
            <w:pPr>
              <w:rPr>
                <w:rFonts w:cs="Arial"/>
                <w:color w:val="FF0000"/>
                <w:sz w:val="21"/>
                <w:szCs w:val="21"/>
              </w:rPr>
            </w:pPr>
          </w:p>
        </w:tc>
        <w:tc>
          <w:tcPr>
            <w:tcW w:w="217" w:type="dxa"/>
          </w:tcPr>
          <w:p w14:paraId="689FB2AF" w14:textId="77777777" w:rsidR="002C0FD9" w:rsidRPr="00CA25CF" w:rsidRDefault="002C0FD9" w:rsidP="00CA25CF">
            <w:pPr>
              <w:rPr>
                <w:rFonts w:cs="Arial"/>
                <w:color w:val="FF0000"/>
                <w:sz w:val="21"/>
                <w:szCs w:val="21"/>
              </w:rPr>
            </w:pPr>
          </w:p>
        </w:tc>
        <w:tc>
          <w:tcPr>
            <w:tcW w:w="217" w:type="dxa"/>
          </w:tcPr>
          <w:p w14:paraId="5196C282" w14:textId="77777777" w:rsidR="002C0FD9" w:rsidRPr="00CA25CF" w:rsidRDefault="002C0FD9" w:rsidP="00CA25CF">
            <w:pPr>
              <w:rPr>
                <w:rFonts w:cs="Arial"/>
                <w:color w:val="FF0000"/>
                <w:sz w:val="21"/>
                <w:szCs w:val="21"/>
              </w:rPr>
            </w:pPr>
          </w:p>
        </w:tc>
        <w:tc>
          <w:tcPr>
            <w:tcW w:w="217" w:type="dxa"/>
          </w:tcPr>
          <w:p w14:paraId="1FB0D463" w14:textId="77777777" w:rsidR="002C0FD9" w:rsidRPr="00CA25CF" w:rsidRDefault="002C0FD9" w:rsidP="00CA25CF">
            <w:pPr>
              <w:rPr>
                <w:rFonts w:cs="Arial"/>
                <w:color w:val="FF0000"/>
                <w:sz w:val="21"/>
                <w:szCs w:val="21"/>
              </w:rPr>
            </w:pPr>
          </w:p>
        </w:tc>
        <w:tc>
          <w:tcPr>
            <w:tcW w:w="217" w:type="dxa"/>
          </w:tcPr>
          <w:p w14:paraId="5DD0A7AA" w14:textId="77777777" w:rsidR="002C0FD9" w:rsidRPr="00CA25CF" w:rsidRDefault="002C0FD9" w:rsidP="00CA25CF">
            <w:pPr>
              <w:rPr>
                <w:rFonts w:cs="Arial"/>
                <w:color w:val="FF0000"/>
                <w:sz w:val="21"/>
                <w:szCs w:val="21"/>
              </w:rPr>
            </w:pPr>
          </w:p>
        </w:tc>
        <w:tc>
          <w:tcPr>
            <w:tcW w:w="217" w:type="dxa"/>
          </w:tcPr>
          <w:p w14:paraId="28BD0C76" w14:textId="77777777" w:rsidR="002C0FD9" w:rsidRPr="00CA25CF" w:rsidRDefault="002C0FD9" w:rsidP="00CA25CF">
            <w:pPr>
              <w:rPr>
                <w:rFonts w:cs="Arial"/>
                <w:color w:val="FF0000"/>
                <w:sz w:val="21"/>
                <w:szCs w:val="21"/>
              </w:rPr>
            </w:pPr>
          </w:p>
        </w:tc>
      </w:tr>
      <w:tr w:rsidR="002C0FD9" w:rsidRPr="00A16219" w14:paraId="1AA8C96A" w14:textId="2F06B21A" w:rsidTr="002C0FD9">
        <w:trPr>
          <w:trHeight w:val="635"/>
        </w:trPr>
        <w:tc>
          <w:tcPr>
            <w:tcW w:w="515" w:type="dxa"/>
          </w:tcPr>
          <w:p w14:paraId="2FD70A6E" w14:textId="77777777" w:rsidR="002C0FD9" w:rsidRPr="00CA25CF" w:rsidRDefault="002C0FD9" w:rsidP="00CA25CF">
            <w:pPr>
              <w:rPr>
                <w:rFonts w:cs="Arial"/>
                <w:color w:val="FF0000"/>
                <w:sz w:val="21"/>
                <w:szCs w:val="21"/>
              </w:rPr>
            </w:pPr>
          </w:p>
        </w:tc>
        <w:tc>
          <w:tcPr>
            <w:tcW w:w="217" w:type="dxa"/>
          </w:tcPr>
          <w:p w14:paraId="5E35FA85" w14:textId="77777777" w:rsidR="002C0FD9" w:rsidRPr="00CA25CF" w:rsidRDefault="002C0FD9" w:rsidP="00CA25CF">
            <w:pPr>
              <w:rPr>
                <w:rFonts w:cs="Arial"/>
                <w:color w:val="FF0000"/>
                <w:sz w:val="21"/>
                <w:szCs w:val="21"/>
              </w:rPr>
            </w:pPr>
          </w:p>
        </w:tc>
        <w:tc>
          <w:tcPr>
            <w:tcW w:w="217" w:type="dxa"/>
          </w:tcPr>
          <w:p w14:paraId="67B7F6E6" w14:textId="4DD7787C" w:rsidR="002C0FD9" w:rsidRPr="00CA25CF" w:rsidRDefault="002C0FD9" w:rsidP="00CA25CF">
            <w:pPr>
              <w:rPr>
                <w:rFonts w:cs="Arial"/>
                <w:color w:val="FF0000"/>
                <w:sz w:val="21"/>
                <w:szCs w:val="21"/>
              </w:rPr>
            </w:pPr>
          </w:p>
        </w:tc>
        <w:tc>
          <w:tcPr>
            <w:tcW w:w="217" w:type="dxa"/>
          </w:tcPr>
          <w:p w14:paraId="1787C6B3" w14:textId="77777777" w:rsidR="002C0FD9" w:rsidRPr="00CA25CF" w:rsidRDefault="002C0FD9" w:rsidP="00CA25CF">
            <w:pPr>
              <w:rPr>
                <w:rFonts w:cs="Arial"/>
                <w:color w:val="FF0000"/>
                <w:sz w:val="21"/>
                <w:szCs w:val="21"/>
              </w:rPr>
            </w:pPr>
          </w:p>
        </w:tc>
        <w:tc>
          <w:tcPr>
            <w:tcW w:w="217" w:type="dxa"/>
          </w:tcPr>
          <w:p w14:paraId="4EDE7F24" w14:textId="77777777" w:rsidR="002C0FD9" w:rsidRPr="00CA25CF" w:rsidRDefault="002C0FD9" w:rsidP="00CA25CF">
            <w:pPr>
              <w:rPr>
                <w:rFonts w:cs="Arial"/>
                <w:color w:val="FF0000"/>
                <w:sz w:val="21"/>
                <w:szCs w:val="21"/>
              </w:rPr>
            </w:pPr>
          </w:p>
        </w:tc>
        <w:tc>
          <w:tcPr>
            <w:tcW w:w="217" w:type="dxa"/>
          </w:tcPr>
          <w:p w14:paraId="48C0782C" w14:textId="77777777" w:rsidR="002C0FD9" w:rsidRPr="00CA25CF" w:rsidRDefault="002C0FD9" w:rsidP="00CA25CF">
            <w:pPr>
              <w:rPr>
                <w:rFonts w:cs="Arial"/>
                <w:color w:val="FF0000"/>
                <w:sz w:val="21"/>
                <w:szCs w:val="21"/>
              </w:rPr>
            </w:pPr>
          </w:p>
        </w:tc>
        <w:tc>
          <w:tcPr>
            <w:tcW w:w="217" w:type="dxa"/>
          </w:tcPr>
          <w:p w14:paraId="1ACEFFA3" w14:textId="77777777" w:rsidR="002C0FD9" w:rsidRPr="00CA25CF" w:rsidRDefault="002C0FD9" w:rsidP="00CA25CF">
            <w:pPr>
              <w:rPr>
                <w:rFonts w:cs="Arial"/>
                <w:color w:val="FF0000"/>
                <w:sz w:val="21"/>
                <w:szCs w:val="21"/>
              </w:rPr>
            </w:pPr>
          </w:p>
        </w:tc>
        <w:tc>
          <w:tcPr>
            <w:tcW w:w="217" w:type="dxa"/>
          </w:tcPr>
          <w:p w14:paraId="1231C6EA" w14:textId="77777777" w:rsidR="002C0FD9" w:rsidRPr="00CA25CF" w:rsidRDefault="002C0FD9" w:rsidP="00CA25CF">
            <w:pPr>
              <w:rPr>
                <w:rFonts w:cs="Arial"/>
                <w:color w:val="FF0000"/>
                <w:sz w:val="21"/>
                <w:szCs w:val="21"/>
              </w:rPr>
            </w:pPr>
          </w:p>
        </w:tc>
        <w:tc>
          <w:tcPr>
            <w:tcW w:w="217" w:type="dxa"/>
          </w:tcPr>
          <w:p w14:paraId="03943B1A" w14:textId="77777777" w:rsidR="002C0FD9" w:rsidRPr="00CA25CF" w:rsidRDefault="002C0FD9" w:rsidP="00CA25CF">
            <w:pPr>
              <w:rPr>
                <w:rFonts w:cs="Arial"/>
                <w:color w:val="FF0000"/>
                <w:sz w:val="21"/>
                <w:szCs w:val="21"/>
              </w:rPr>
            </w:pPr>
          </w:p>
        </w:tc>
        <w:tc>
          <w:tcPr>
            <w:tcW w:w="217" w:type="dxa"/>
          </w:tcPr>
          <w:p w14:paraId="68AC188E" w14:textId="77777777" w:rsidR="002C0FD9" w:rsidRPr="00CA25CF" w:rsidRDefault="002C0FD9" w:rsidP="00CA25CF">
            <w:pPr>
              <w:rPr>
                <w:rFonts w:cs="Arial"/>
                <w:color w:val="FF0000"/>
                <w:sz w:val="21"/>
                <w:szCs w:val="21"/>
              </w:rPr>
            </w:pPr>
          </w:p>
        </w:tc>
        <w:tc>
          <w:tcPr>
            <w:tcW w:w="217" w:type="dxa"/>
          </w:tcPr>
          <w:p w14:paraId="2D36DDB3" w14:textId="77777777" w:rsidR="002C0FD9" w:rsidRPr="00CA25CF" w:rsidRDefault="002C0FD9" w:rsidP="00CA25CF">
            <w:pPr>
              <w:rPr>
                <w:rFonts w:cs="Arial"/>
                <w:color w:val="FF0000"/>
                <w:sz w:val="21"/>
                <w:szCs w:val="21"/>
              </w:rPr>
            </w:pPr>
          </w:p>
        </w:tc>
        <w:tc>
          <w:tcPr>
            <w:tcW w:w="217" w:type="dxa"/>
          </w:tcPr>
          <w:p w14:paraId="2CE3D4E6" w14:textId="77777777" w:rsidR="002C0FD9" w:rsidRPr="00CA25CF" w:rsidRDefault="002C0FD9" w:rsidP="00CA25CF">
            <w:pPr>
              <w:rPr>
                <w:rFonts w:cs="Arial"/>
                <w:color w:val="FF0000"/>
                <w:sz w:val="21"/>
                <w:szCs w:val="21"/>
              </w:rPr>
            </w:pPr>
          </w:p>
        </w:tc>
        <w:tc>
          <w:tcPr>
            <w:tcW w:w="217" w:type="dxa"/>
          </w:tcPr>
          <w:p w14:paraId="3B6B5039" w14:textId="77777777" w:rsidR="002C0FD9" w:rsidRPr="00CA25CF" w:rsidRDefault="002C0FD9" w:rsidP="00CA25CF">
            <w:pPr>
              <w:rPr>
                <w:rFonts w:cs="Arial"/>
                <w:color w:val="FF0000"/>
                <w:sz w:val="21"/>
                <w:szCs w:val="21"/>
              </w:rPr>
            </w:pPr>
          </w:p>
        </w:tc>
        <w:tc>
          <w:tcPr>
            <w:tcW w:w="217" w:type="dxa"/>
          </w:tcPr>
          <w:p w14:paraId="1EF17E4A" w14:textId="77777777" w:rsidR="002C0FD9" w:rsidRPr="00CA25CF" w:rsidRDefault="002C0FD9" w:rsidP="00CA25CF">
            <w:pPr>
              <w:rPr>
                <w:rFonts w:cs="Arial"/>
                <w:color w:val="FF0000"/>
                <w:sz w:val="21"/>
                <w:szCs w:val="21"/>
              </w:rPr>
            </w:pPr>
          </w:p>
        </w:tc>
        <w:tc>
          <w:tcPr>
            <w:tcW w:w="217" w:type="dxa"/>
          </w:tcPr>
          <w:p w14:paraId="31869FB8" w14:textId="77777777" w:rsidR="002C0FD9" w:rsidRPr="00CA25CF" w:rsidRDefault="002C0FD9" w:rsidP="00CA25CF">
            <w:pPr>
              <w:rPr>
                <w:rFonts w:cs="Arial"/>
                <w:color w:val="FF0000"/>
                <w:sz w:val="21"/>
                <w:szCs w:val="21"/>
              </w:rPr>
            </w:pPr>
          </w:p>
        </w:tc>
        <w:tc>
          <w:tcPr>
            <w:tcW w:w="217" w:type="dxa"/>
          </w:tcPr>
          <w:p w14:paraId="758CCBB0" w14:textId="40C29328" w:rsidR="002C0FD9" w:rsidRPr="00CA25CF" w:rsidRDefault="002C0FD9" w:rsidP="00CA25CF">
            <w:pPr>
              <w:rPr>
                <w:rFonts w:cs="Arial"/>
                <w:color w:val="FF0000"/>
                <w:sz w:val="21"/>
                <w:szCs w:val="21"/>
              </w:rPr>
            </w:pPr>
          </w:p>
        </w:tc>
        <w:tc>
          <w:tcPr>
            <w:tcW w:w="217" w:type="dxa"/>
          </w:tcPr>
          <w:p w14:paraId="356F280F" w14:textId="77777777" w:rsidR="002C0FD9" w:rsidRPr="00CA25CF" w:rsidRDefault="002C0FD9" w:rsidP="00CA25CF">
            <w:pPr>
              <w:rPr>
                <w:rFonts w:cs="Arial"/>
                <w:color w:val="FF0000"/>
                <w:sz w:val="21"/>
                <w:szCs w:val="21"/>
              </w:rPr>
            </w:pPr>
          </w:p>
        </w:tc>
        <w:tc>
          <w:tcPr>
            <w:tcW w:w="217" w:type="dxa"/>
          </w:tcPr>
          <w:p w14:paraId="04608A5D" w14:textId="77777777" w:rsidR="002C0FD9" w:rsidRPr="00CA25CF" w:rsidRDefault="002C0FD9" w:rsidP="00CA25CF">
            <w:pPr>
              <w:rPr>
                <w:rFonts w:cs="Arial"/>
                <w:color w:val="FF0000"/>
                <w:sz w:val="21"/>
                <w:szCs w:val="21"/>
              </w:rPr>
            </w:pPr>
          </w:p>
        </w:tc>
        <w:tc>
          <w:tcPr>
            <w:tcW w:w="217" w:type="dxa"/>
          </w:tcPr>
          <w:p w14:paraId="06A8CD22" w14:textId="77777777" w:rsidR="002C0FD9" w:rsidRPr="00CA25CF" w:rsidRDefault="002C0FD9" w:rsidP="00CA25CF">
            <w:pPr>
              <w:rPr>
                <w:rFonts w:cs="Arial"/>
                <w:color w:val="FF0000"/>
                <w:sz w:val="21"/>
                <w:szCs w:val="21"/>
              </w:rPr>
            </w:pPr>
          </w:p>
        </w:tc>
        <w:tc>
          <w:tcPr>
            <w:tcW w:w="217" w:type="dxa"/>
          </w:tcPr>
          <w:p w14:paraId="14D23F6F" w14:textId="77777777" w:rsidR="002C0FD9" w:rsidRPr="00CA25CF" w:rsidRDefault="002C0FD9" w:rsidP="00CA25CF">
            <w:pPr>
              <w:rPr>
                <w:rFonts w:cs="Arial"/>
                <w:color w:val="FF0000"/>
                <w:sz w:val="21"/>
                <w:szCs w:val="21"/>
              </w:rPr>
            </w:pPr>
          </w:p>
        </w:tc>
        <w:tc>
          <w:tcPr>
            <w:tcW w:w="217" w:type="dxa"/>
          </w:tcPr>
          <w:p w14:paraId="60D853FF" w14:textId="77777777" w:rsidR="002C0FD9" w:rsidRPr="00CA25CF" w:rsidRDefault="002C0FD9" w:rsidP="00CA25CF">
            <w:pPr>
              <w:rPr>
                <w:rFonts w:cs="Arial"/>
                <w:color w:val="FF0000"/>
                <w:sz w:val="21"/>
                <w:szCs w:val="21"/>
              </w:rPr>
            </w:pPr>
          </w:p>
        </w:tc>
        <w:tc>
          <w:tcPr>
            <w:tcW w:w="217" w:type="dxa"/>
          </w:tcPr>
          <w:p w14:paraId="661B5332" w14:textId="77777777" w:rsidR="002C0FD9" w:rsidRPr="00CA25CF" w:rsidRDefault="002C0FD9" w:rsidP="00CA25CF">
            <w:pPr>
              <w:rPr>
                <w:rFonts w:cs="Arial"/>
                <w:color w:val="FF0000"/>
                <w:sz w:val="21"/>
                <w:szCs w:val="21"/>
              </w:rPr>
            </w:pPr>
          </w:p>
        </w:tc>
        <w:tc>
          <w:tcPr>
            <w:tcW w:w="217" w:type="dxa"/>
          </w:tcPr>
          <w:p w14:paraId="2EEB5BF3" w14:textId="77777777" w:rsidR="002C0FD9" w:rsidRPr="00CA25CF" w:rsidRDefault="002C0FD9" w:rsidP="00CA25CF">
            <w:pPr>
              <w:rPr>
                <w:rFonts w:cs="Arial"/>
                <w:color w:val="FF0000"/>
                <w:sz w:val="21"/>
                <w:szCs w:val="21"/>
              </w:rPr>
            </w:pPr>
          </w:p>
        </w:tc>
        <w:tc>
          <w:tcPr>
            <w:tcW w:w="217" w:type="dxa"/>
          </w:tcPr>
          <w:p w14:paraId="16333E37" w14:textId="77777777" w:rsidR="002C0FD9" w:rsidRPr="00CA25CF" w:rsidRDefault="002C0FD9" w:rsidP="00CA25CF">
            <w:pPr>
              <w:rPr>
                <w:rFonts w:cs="Arial"/>
                <w:color w:val="FF0000"/>
                <w:sz w:val="21"/>
                <w:szCs w:val="21"/>
              </w:rPr>
            </w:pPr>
          </w:p>
        </w:tc>
        <w:tc>
          <w:tcPr>
            <w:tcW w:w="217" w:type="dxa"/>
          </w:tcPr>
          <w:p w14:paraId="46E67BA7" w14:textId="77777777" w:rsidR="002C0FD9" w:rsidRPr="00CA25CF" w:rsidRDefault="002C0FD9" w:rsidP="00CA25CF">
            <w:pPr>
              <w:rPr>
                <w:rFonts w:cs="Arial"/>
                <w:color w:val="FF0000"/>
                <w:sz w:val="21"/>
                <w:szCs w:val="21"/>
              </w:rPr>
            </w:pPr>
          </w:p>
        </w:tc>
        <w:tc>
          <w:tcPr>
            <w:tcW w:w="217" w:type="dxa"/>
          </w:tcPr>
          <w:p w14:paraId="13228DF0" w14:textId="77777777" w:rsidR="002C0FD9" w:rsidRPr="00CA25CF" w:rsidRDefault="002C0FD9" w:rsidP="00CA25CF">
            <w:pPr>
              <w:rPr>
                <w:rFonts w:cs="Arial"/>
                <w:color w:val="FF0000"/>
                <w:sz w:val="21"/>
                <w:szCs w:val="21"/>
              </w:rPr>
            </w:pPr>
          </w:p>
        </w:tc>
        <w:tc>
          <w:tcPr>
            <w:tcW w:w="217" w:type="dxa"/>
          </w:tcPr>
          <w:p w14:paraId="2FABE29E" w14:textId="77777777" w:rsidR="002C0FD9" w:rsidRPr="00CA25CF" w:rsidRDefault="002C0FD9" w:rsidP="00CA25CF">
            <w:pPr>
              <w:rPr>
                <w:rFonts w:cs="Arial"/>
                <w:color w:val="FF0000"/>
                <w:sz w:val="21"/>
                <w:szCs w:val="21"/>
              </w:rPr>
            </w:pPr>
          </w:p>
        </w:tc>
        <w:tc>
          <w:tcPr>
            <w:tcW w:w="217" w:type="dxa"/>
          </w:tcPr>
          <w:p w14:paraId="7021843D" w14:textId="77777777" w:rsidR="002C0FD9" w:rsidRPr="00CA25CF" w:rsidRDefault="002C0FD9" w:rsidP="00CA25CF">
            <w:pPr>
              <w:rPr>
                <w:rFonts w:cs="Arial"/>
                <w:color w:val="FF0000"/>
                <w:sz w:val="21"/>
                <w:szCs w:val="21"/>
              </w:rPr>
            </w:pPr>
          </w:p>
        </w:tc>
        <w:tc>
          <w:tcPr>
            <w:tcW w:w="217" w:type="dxa"/>
          </w:tcPr>
          <w:p w14:paraId="50DB04E1" w14:textId="77777777" w:rsidR="002C0FD9" w:rsidRPr="00CA25CF" w:rsidRDefault="002C0FD9" w:rsidP="00CA25CF">
            <w:pPr>
              <w:rPr>
                <w:rFonts w:cs="Arial"/>
                <w:color w:val="FF0000"/>
                <w:sz w:val="21"/>
                <w:szCs w:val="21"/>
              </w:rPr>
            </w:pPr>
          </w:p>
        </w:tc>
        <w:tc>
          <w:tcPr>
            <w:tcW w:w="217" w:type="dxa"/>
          </w:tcPr>
          <w:p w14:paraId="7D571B27" w14:textId="77777777" w:rsidR="002C0FD9" w:rsidRPr="00CA25CF" w:rsidRDefault="002C0FD9" w:rsidP="00CA25CF">
            <w:pPr>
              <w:rPr>
                <w:rFonts w:cs="Arial"/>
                <w:color w:val="FF0000"/>
                <w:sz w:val="21"/>
                <w:szCs w:val="21"/>
              </w:rPr>
            </w:pPr>
          </w:p>
        </w:tc>
        <w:tc>
          <w:tcPr>
            <w:tcW w:w="217" w:type="dxa"/>
          </w:tcPr>
          <w:p w14:paraId="11B9AB32" w14:textId="77777777" w:rsidR="002C0FD9" w:rsidRPr="00CA25CF" w:rsidRDefault="002C0FD9" w:rsidP="00CA25CF">
            <w:pPr>
              <w:rPr>
                <w:rFonts w:cs="Arial"/>
                <w:color w:val="FF0000"/>
                <w:sz w:val="21"/>
                <w:szCs w:val="21"/>
              </w:rPr>
            </w:pPr>
          </w:p>
        </w:tc>
        <w:tc>
          <w:tcPr>
            <w:tcW w:w="217" w:type="dxa"/>
          </w:tcPr>
          <w:p w14:paraId="1AE95297" w14:textId="77777777" w:rsidR="002C0FD9" w:rsidRPr="00CA25CF" w:rsidRDefault="002C0FD9" w:rsidP="00CA25CF">
            <w:pPr>
              <w:rPr>
                <w:rFonts w:cs="Arial"/>
                <w:color w:val="FF0000"/>
                <w:sz w:val="21"/>
                <w:szCs w:val="21"/>
              </w:rPr>
            </w:pPr>
          </w:p>
        </w:tc>
        <w:tc>
          <w:tcPr>
            <w:tcW w:w="217" w:type="dxa"/>
          </w:tcPr>
          <w:p w14:paraId="041231E4" w14:textId="77777777" w:rsidR="002C0FD9" w:rsidRPr="00CA25CF" w:rsidRDefault="002C0FD9" w:rsidP="00CA25CF">
            <w:pPr>
              <w:rPr>
                <w:rFonts w:cs="Arial"/>
                <w:color w:val="FF0000"/>
                <w:sz w:val="21"/>
                <w:szCs w:val="21"/>
              </w:rPr>
            </w:pPr>
          </w:p>
        </w:tc>
        <w:tc>
          <w:tcPr>
            <w:tcW w:w="217" w:type="dxa"/>
          </w:tcPr>
          <w:p w14:paraId="4910B2CC" w14:textId="77777777" w:rsidR="002C0FD9" w:rsidRPr="00CA25CF" w:rsidRDefault="002C0FD9" w:rsidP="00CA25CF">
            <w:pPr>
              <w:rPr>
                <w:rFonts w:cs="Arial"/>
                <w:color w:val="FF0000"/>
                <w:sz w:val="21"/>
                <w:szCs w:val="21"/>
              </w:rPr>
            </w:pPr>
          </w:p>
        </w:tc>
        <w:tc>
          <w:tcPr>
            <w:tcW w:w="217" w:type="dxa"/>
          </w:tcPr>
          <w:p w14:paraId="20A81414" w14:textId="77777777" w:rsidR="002C0FD9" w:rsidRPr="00CA25CF" w:rsidRDefault="002C0FD9" w:rsidP="00CA25CF">
            <w:pPr>
              <w:rPr>
                <w:rFonts w:cs="Arial"/>
                <w:color w:val="FF0000"/>
                <w:sz w:val="21"/>
                <w:szCs w:val="21"/>
              </w:rPr>
            </w:pPr>
          </w:p>
        </w:tc>
        <w:tc>
          <w:tcPr>
            <w:tcW w:w="217" w:type="dxa"/>
          </w:tcPr>
          <w:p w14:paraId="6B17002E" w14:textId="77777777" w:rsidR="002C0FD9" w:rsidRPr="00CA25CF" w:rsidRDefault="002C0FD9" w:rsidP="00CA25CF">
            <w:pPr>
              <w:rPr>
                <w:rFonts w:cs="Arial"/>
                <w:color w:val="FF0000"/>
                <w:sz w:val="21"/>
                <w:szCs w:val="21"/>
              </w:rPr>
            </w:pPr>
          </w:p>
        </w:tc>
        <w:tc>
          <w:tcPr>
            <w:tcW w:w="217" w:type="dxa"/>
          </w:tcPr>
          <w:p w14:paraId="6C6ED866" w14:textId="77777777" w:rsidR="002C0FD9" w:rsidRPr="00CA25CF" w:rsidRDefault="002C0FD9" w:rsidP="00CA25CF">
            <w:pPr>
              <w:rPr>
                <w:rFonts w:cs="Arial"/>
                <w:color w:val="FF0000"/>
                <w:sz w:val="21"/>
                <w:szCs w:val="21"/>
              </w:rPr>
            </w:pPr>
          </w:p>
        </w:tc>
        <w:tc>
          <w:tcPr>
            <w:tcW w:w="217" w:type="dxa"/>
          </w:tcPr>
          <w:p w14:paraId="7370AC46" w14:textId="77777777" w:rsidR="002C0FD9" w:rsidRPr="00CA25CF" w:rsidRDefault="002C0FD9" w:rsidP="00CA25CF">
            <w:pPr>
              <w:rPr>
                <w:rFonts w:cs="Arial"/>
                <w:color w:val="FF0000"/>
                <w:sz w:val="21"/>
                <w:szCs w:val="21"/>
              </w:rPr>
            </w:pPr>
          </w:p>
        </w:tc>
        <w:tc>
          <w:tcPr>
            <w:tcW w:w="217" w:type="dxa"/>
          </w:tcPr>
          <w:p w14:paraId="448DF6EF" w14:textId="77777777" w:rsidR="002C0FD9" w:rsidRPr="00CA25CF" w:rsidRDefault="002C0FD9" w:rsidP="00CA25CF">
            <w:pPr>
              <w:rPr>
                <w:rFonts w:cs="Arial"/>
                <w:color w:val="FF0000"/>
                <w:sz w:val="21"/>
                <w:szCs w:val="21"/>
              </w:rPr>
            </w:pPr>
          </w:p>
        </w:tc>
        <w:tc>
          <w:tcPr>
            <w:tcW w:w="217" w:type="dxa"/>
          </w:tcPr>
          <w:p w14:paraId="15471242" w14:textId="77777777" w:rsidR="002C0FD9" w:rsidRPr="00CA25CF" w:rsidRDefault="002C0FD9" w:rsidP="00CA25CF">
            <w:pPr>
              <w:rPr>
                <w:rFonts w:cs="Arial"/>
                <w:color w:val="FF0000"/>
                <w:sz w:val="21"/>
                <w:szCs w:val="21"/>
              </w:rPr>
            </w:pPr>
          </w:p>
        </w:tc>
        <w:tc>
          <w:tcPr>
            <w:tcW w:w="217" w:type="dxa"/>
          </w:tcPr>
          <w:p w14:paraId="629422E0" w14:textId="77777777" w:rsidR="002C0FD9" w:rsidRPr="00CA25CF" w:rsidRDefault="002C0FD9" w:rsidP="00CA25CF">
            <w:pPr>
              <w:rPr>
                <w:rFonts w:cs="Arial"/>
                <w:color w:val="FF0000"/>
                <w:sz w:val="21"/>
                <w:szCs w:val="21"/>
              </w:rPr>
            </w:pPr>
          </w:p>
        </w:tc>
        <w:tc>
          <w:tcPr>
            <w:tcW w:w="217" w:type="dxa"/>
          </w:tcPr>
          <w:p w14:paraId="680ACE5A" w14:textId="77777777" w:rsidR="002C0FD9" w:rsidRPr="00CA25CF" w:rsidRDefault="002C0FD9" w:rsidP="00CA25CF">
            <w:pPr>
              <w:rPr>
                <w:rFonts w:cs="Arial"/>
                <w:color w:val="FF0000"/>
                <w:sz w:val="21"/>
                <w:szCs w:val="21"/>
              </w:rPr>
            </w:pPr>
          </w:p>
        </w:tc>
        <w:tc>
          <w:tcPr>
            <w:tcW w:w="217" w:type="dxa"/>
          </w:tcPr>
          <w:p w14:paraId="019B50E1" w14:textId="77777777" w:rsidR="002C0FD9" w:rsidRPr="00CA25CF" w:rsidRDefault="002C0FD9" w:rsidP="00CA25CF">
            <w:pPr>
              <w:rPr>
                <w:rFonts w:cs="Arial"/>
                <w:color w:val="FF0000"/>
                <w:sz w:val="21"/>
                <w:szCs w:val="21"/>
              </w:rPr>
            </w:pPr>
          </w:p>
        </w:tc>
      </w:tr>
      <w:tr w:rsidR="002C0FD9" w:rsidRPr="00A16219" w14:paraId="38E2528C" w14:textId="797F2014" w:rsidTr="002C0FD9">
        <w:trPr>
          <w:trHeight w:val="635"/>
        </w:trPr>
        <w:tc>
          <w:tcPr>
            <w:tcW w:w="515" w:type="dxa"/>
          </w:tcPr>
          <w:p w14:paraId="5843A925" w14:textId="77777777" w:rsidR="002C0FD9" w:rsidRPr="00CA25CF" w:rsidRDefault="002C0FD9" w:rsidP="00CA25CF">
            <w:pPr>
              <w:rPr>
                <w:rFonts w:cs="Arial"/>
                <w:color w:val="FF0000"/>
                <w:sz w:val="21"/>
                <w:szCs w:val="21"/>
              </w:rPr>
            </w:pPr>
          </w:p>
        </w:tc>
        <w:tc>
          <w:tcPr>
            <w:tcW w:w="217" w:type="dxa"/>
          </w:tcPr>
          <w:p w14:paraId="176A7324" w14:textId="77777777" w:rsidR="002C0FD9" w:rsidRPr="00CA25CF" w:rsidRDefault="002C0FD9" w:rsidP="00CA25CF">
            <w:pPr>
              <w:rPr>
                <w:rFonts w:cs="Arial"/>
                <w:color w:val="FF0000"/>
                <w:sz w:val="21"/>
                <w:szCs w:val="21"/>
              </w:rPr>
            </w:pPr>
          </w:p>
        </w:tc>
        <w:tc>
          <w:tcPr>
            <w:tcW w:w="217" w:type="dxa"/>
          </w:tcPr>
          <w:p w14:paraId="36BCCEC7" w14:textId="13860495" w:rsidR="002C0FD9" w:rsidRPr="00CA25CF" w:rsidRDefault="002C0FD9" w:rsidP="00CA25CF">
            <w:pPr>
              <w:rPr>
                <w:rFonts w:cs="Arial"/>
                <w:color w:val="FF0000"/>
                <w:sz w:val="21"/>
                <w:szCs w:val="21"/>
              </w:rPr>
            </w:pPr>
          </w:p>
        </w:tc>
        <w:tc>
          <w:tcPr>
            <w:tcW w:w="217" w:type="dxa"/>
          </w:tcPr>
          <w:p w14:paraId="04557613" w14:textId="77777777" w:rsidR="002C0FD9" w:rsidRPr="00CA25CF" w:rsidRDefault="002C0FD9" w:rsidP="00CA25CF">
            <w:pPr>
              <w:rPr>
                <w:rFonts w:cs="Arial"/>
                <w:color w:val="FF0000"/>
                <w:sz w:val="21"/>
                <w:szCs w:val="21"/>
              </w:rPr>
            </w:pPr>
          </w:p>
        </w:tc>
        <w:tc>
          <w:tcPr>
            <w:tcW w:w="217" w:type="dxa"/>
          </w:tcPr>
          <w:p w14:paraId="5D9F58D8" w14:textId="77777777" w:rsidR="002C0FD9" w:rsidRPr="00CA25CF" w:rsidRDefault="002C0FD9" w:rsidP="00CA25CF">
            <w:pPr>
              <w:rPr>
                <w:rFonts w:cs="Arial"/>
                <w:color w:val="FF0000"/>
                <w:sz w:val="21"/>
                <w:szCs w:val="21"/>
              </w:rPr>
            </w:pPr>
          </w:p>
        </w:tc>
        <w:tc>
          <w:tcPr>
            <w:tcW w:w="217" w:type="dxa"/>
          </w:tcPr>
          <w:p w14:paraId="45203B2C" w14:textId="77777777" w:rsidR="002C0FD9" w:rsidRPr="00CA25CF" w:rsidRDefault="002C0FD9" w:rsidP="00CA25CF">
            <w:pPr>
              <w:rPr>
                <w:rFonts w:cs="Arial"/>
                <w:color w:val="FF0000"/>
                <w:sz w:val="21"/>
                <w:szCs w:val="21"/>
              </w:rPr>
            </w:pPr>
          </w:p>
        </w:tc>
        <w:tc>
          <w:tcPr>
            <w:tcW w:w="217" w:type="dxa"/>
          </w:tcPr>
          <w:p w14:paraId="008AE59F" w14:textId="77777777" w:rsidR="002C0FD9" w:rsidRPr="00CA25CF" w:rsidRDefault="002C0FD9" w:rsidP="00CA25CF">
            <w:pPr>
              <w:rPr>
                <w:rFonts w:cs="Arial"/>
                <w:color w:val="FF0000"/>
                <w:sz w:val="21"/>
                <w:szCs w:val="21"/>
              </w:rPr>
            </w:pPr>
          </w:p>
        </w:tc>
        <w:tc>
          <w:tcPr>
            <w:tcW w:w="217" w:type="dxa"/>
          </w:tcPr>
          <w:p w14:paraId="6B97C80C" w14:textId="77777777" w:rsidR="002C0FD9" w:rsidRPr="00CA25CF" w:rsidRDefault="002C0FD9" w:rsidP="00CA25CF">
            <w:pPr>
              <w:rPr>
                <w:rFonts w:cs="Arial"/>
                <w:color w:val="FF0000"/>
                <w:sz w:val="21"/>
                <w:szCs w:val="21"/>
              </w:rPr>
            </w:pPr>
          </w:p>
        </w:tc>
        <w:tc>
          <w:tcPr>
            <w:tcW w:w="217" w:type="dxa"/>
          </w:tcPr>
          <w:p w14:paraId="5B91A473" w14:textId="77777777" w:rsidR="002C0FD9" w:rsidRPr="00CA25CF" w:rsidRDefault="002C0FD9" w:rsidP="00CA25CF">
            <w:pPr>
              <w:rPr>
                <w:rFonts w:cs="Arial"/>
                <w:color w:val="FF0000"/>
                <w:sz w:val="21"/>
                <w:szCs w:val="21"/>
              </w:rPr>
            </w:pPr>
          </w:p>
        </w:tc>
        <w:tc>
          <w:tcPr>
            <w:tcW w:w="217" w:type="dxa"/>
          </w:tcPr>
          <w:p w14:paraId="7D5EBDFE" w14:textId="77777777" w:rsidR="002C0FD9" w:rsidRPr="00CA25CF" w:rsidRDefault="002C0FD9" w:rsidP="00CA25CF">
            <w:pPr>
              <w:rPr>
                <w:rFonts w:cs="Arial"/>
                <w:color w:val="FF0000"/>
                <w:sz w:val="21"/>
                <w:szCs w:val="21"/>
              </w:rPr>
            </w:pPr>
          </w:p>
        </w:tc>
        <w:tc>
          <w:tcPr>
            <w:tcW w:w="217" w:type="dxa"/>
          </w:tcPr>
          <w:p w14:paraId="36ABC0E5" w14:textId="77777777" w:rsidR="002C0FD9" w:rsidRPr="00CA25CF" w:rsidRDefault="002C0FD9" w:rsidP="00CA25CF">
            <w:pPr>
              <w:rPr>
                <w:rFonts w:cs="Arial"/>
                <w:color w:val="FF0000"/>
                <w:sz w:val="21"/>
                <w:szCs w:val="21"/>
              </w:rPr>
            </w:pPr>
          </w:p>
        </w:tc>
        <w:tc>
          <w:tcPr>
            <w:tcW w:w="217" w:type="dxa"/>
          </w:tcPr>
          <w:p w14:paraId="7613E230" w14:textId="77777777" w:rsidR="002C0FD9" w:rsidRPr="00CA25CF" w:rsidRDefault="002C0FD9" w:rsidP="00CA25CF">
            <w:pPr>
              <w:rPr>
                <w:rFonts w:cs="Arial"/>
                <w:color w:val="FF0000"/>
                <w:sz w:val="21"/>
                <w:szCs w:val="21"/>
              </w:rPr>
            </w:pPr>
          </w:p>
        </w:tc>
        <w:tc>
          <w:tcPr>
            <w:tcW w:w="217" w:type="dxa"/>
          </w:tcPr>
          <w:p w14:paraId="73D932D6" w14:textId="77777777" w:rsidR="002C0FD9" w:rsidRPr="00CA25CF" w:rsidRDefault="002C0FD9" w:rsidP="00CA25CF">
            <w:pPr>
              <w:rPr>
                <w:rFonts w:cs="Arial"/>
                <w:color w:val="FF0000"/>
                <w:sz w:val="21"/>
                <w:szCs w:val="21"/>
              </w:rPr>
            </w:pPr>
          </w:p>
        </w:tc>
        <w:tc>
          <w:tcPr>
            <w:tcW w:w="217" w:type="dxa"/>
          </w:tcPr>
          <w:p w14:paraId="6E802F0E" w14:textId="77777777" w:rsidR="002C0FD9" w:rsidRPr="00CA25CF" w:rsidRDefault="002C0FD9" w:rsidP="00CA25CF">
            <w:pPr>
              <w:rPr>
                <w:rFonts w:cs="Arial"/>
                <w:color w:val="FF0000"/>
                <w:sz w:val="21"/>
                <w:szCs w:val="21"/>
              </w:rPr>
            </w:pPr>
          </w:p>
        </w:tc>
        <w:tc>
          <w:tcPr>
            <w:tcW w:w="217" w:type="dxa"/>
          </w:tcPr>
          <w:p w14:paraId="469A1AE8" w14:textId="77777777" w:rsidR="002C0FD9" w:rsidRPr="00CA25CF" w:rsidRDefault="002C0FD9" w:rsidP="00CA25CF">
            <w:pPr>
              <w:rPr>
                <w:rFonts w:cs="Arial"/>
                <w:color w:val="FF0000"/>
                <w:sz w:val="21"/>
                <w:szCs w:val="21"/>
              </w:rPr>
            </w:pPr>
          </w:p>
        </w:tc>
        <w:tc>
          <w:tcPr>
            <w:tcW w:w="217" w:type="dxa"/>
          </w:tcPr>
          <w:p w14:paraId="2095F5D4" w14:textId="5E8626F6" w:rsidR="002C0FD9" w:rsidRPr="00CA25CF" w:rsidRDefault="002C0FD9" w:rsidP="00CA25CF">
            <w:pPr>
              <w:rPr>
                <w:rFonts w:cs="Arial"/>
                <w:color w:val="FF0000"/>
                <w:sz w:val="21"/>
                <w:szCs w:val="21"/>
              </w:rPr>
            </w:pPr>
          </w:p>
        </w:tc>
        <w:tc>
          <w:tcPr>
            <w:tcW w:w="217" w:type="dxa"/>
          </w:tcPr>
          <w:p w14:paraId="34049C56" w14:textId="77777777" w:rsidR="002C0FD9" w:rsidRPr="00CA25CF" w:rsidRDefault="002C0FD9" w:rsidP="00CA25CF">
            <w:pPr>
              <w:rPr>
                <w:rFonts w:cs="Arial"/>
                <w:color w:val="FF0000"/>
                <w:sz w:val="21"/>
                <w:szCs w:val="21"/>
              </w:rPr>
            </w:pPr>
          </w:p>
        </w:tc>
        <w:tc>
          <w:tcPr>
            <w:tcW w:w="217" w:type="dxa"/>
          </w:tcPr>
          <w:p w14:paraId="2FEE4C4F" w14:textId="77777777" w:rsidR="002C0FD9" w:rsidRPr="00CA25CF" w:rsidRDefault="002C0FD9" w:rsidP="00CA25CF">
            <w:pPr>
              <w:rPr>
                <w:rFonts w:cs="Arial"/>
                <w:color w:val="FF0000"/>
                <w:sz w:val="21"/>
                <w:szCs w:val="21"/>
              </w:rPr>
            </w:pPr>
          </w:p>
        </w:tc>
        <w:tc>
          <w:tcPr>
            <w:tcW w:w="217" w:type="dxa"/>
          </w:tcPr>
          <w:p w14:paraId="63F24DF6" w14:textId="77777777" w:rsidR="002C0FD9" w:rsidRPr="00CA25CF" w:rsidRDefault="002C0FD9" w:rsidP="00CA25CF">
            <w:pPr>
              <w:rPr>
                <w:rFonts w:cs="Arial"/>
                <w:color w:val="FF0000"/>
                <w:sz w:val="21"/>
                <w:szCs w:val="21"/>
              </w:rPr>
            </w:pPr>
          </w:p>
        </w:tc>
        <w:tc>
          <w:tcPr>
            <w:tcW w:w="217" w:type="dxa"/>
          </w:tcPr>
          <w:p w14:paraId="61A5B959" w14:textId="77777777" w:rsidR="002C0FD9" w:rsidRPr="00CA25CF" w:rsidRDefault="002C0FD9" w:rsidP="00CA25CF">
            <w:pPr>
              <w:rPr>
                <w:rFonts w:cs="Arial"/>
                <w:color w:val="FF0000"/>
                <w:sz w:val="21"/>
                <w:szCs w:val="21"/>
              </w:rPr>
            </w:pPr>
          </w:p>
        </w:tc>
        <w:tc>
          <w:tcPr>
            <w:tcW w:w="217" w:type="dxa"/>
          </w:tcPr>
          <w:p w14:paraId="2DC46326" w14:textId="77777777" w:rsidR="002C0FD9" w:rsidRPr="00CA25CF" w:rsidRDefault="002C0FD9" w:rsidP="00CA25CF">
            <w:pPr>
              <w:rPr>
                <w:rFonts w:cs="Arial"/>
                <w:color w:val="FF0000"/>
                <w:sz w:val="21"/>
                <w:szCs w:val="21"/>
              </w:rPr>
            </w:pPr>
          </w:p>
        </w:tc>
        <w:tc>
          <w:tcPr>
            <w:tcW w:w="217" w:type="dxa"/>
          </w:tcPr>
          <w:p w14:paraId="621C7E25" w14:textId="77777777" w:rsidR="002C0FD9" w:rsidRPr="00CA25CF" w:rsidRDefault="002C0FD9" w:rsidP="00CA25CF">
            <w:pPr>
              <w:rPr>
                <w:rFonts w:cs="Arial"/>
                <w:color w:val="FF0000"/>
                <w:sz w:val="21"/>
                <w:szCs w:val="21"/>
              </w:rPr>
            </w:pPr>
          </w:p>
        </w:tc>
        <w:tc>
          <w:tcPr>
            <w:tcW w:w="217" w:type="dxa"/>
          </w:tcPr>
          <w:p w14:paraId="1CFE9BB9" w14:textId="77777777" w:rsidR="002C0FD9" w:rsidRPr="00CA25CF" w:rsidRDefault="002C0FD9" w:rsidP="00CA25CF">
            <w:pPr>
              <w:rPr>
                <w:rFonts w:cs="Arial"/>
                <w:color w:val="FF0000"/>
                <w:sz w:val="21"/>
                <w:szCs w:val="21"/>
              </w:rPr>
            </w:pPr>
          </w:p>
        </w:tc>
        <w:tc>
          <w:tcPr>
            <w:tcW w:w="217" w:type="dxa"/>
          </w:tcPr>
          <w:p w14:paraId="6EA8D6CE" w14:textId="77777777" w:rsidR="002C0FD9" w:rsidRPr="00CA25CF" w:rsidRDefault="002C0FD9" w:rsidP="00CA25CF">
            <w:pPr>
              <w:rPr>
                <w:rFonts w:cs="Arial"/>
                <w:color w:val="FF0000"/>
                <w:sz w:val="21"/>
                <w:szCs w:val="21"/>
              </w:rPr>
            </w:pPr>
          </w:p>
        </w:tc>
        <w:tc>
          <w:tcPr>
            <w:tcW w:w="217" w:type="dxa"/>
          </w:tcPr>
          <w:p w14:paraId="5E458B6E" w14:textId="77777777" w:rsidR="002C0FD9" w:rsidRPr="00CA25CF" w:rsidRDefault="002C0FD9" w:rsidP="00CA25CF">
            <w:pPr>
              <w:rPr>
                <w:rFonts w:cs="Arial"/>
                <w:color w:val="FF0000"/>
                <w:sz w:val="21"/>
                <w:szCs w:val="21"/>
              </w:rPr>
            </w:pPr>
          </w:p>
        </w:tc>
        <w:tc>
          <w:tcPr>
            <w:tcW w:w="217" w:type="dxa"/>
          </w:tcPr>
          <w:p w14:paraId="2D02D8B3" w14:textId="77777777" w:rsidR="002C0FD9" w:rsidRPr="00CA25CF" w:rsidRDefault="002C0FD9" w:rsidP="00CA25CF">
            <w:pPr>
              <w:rPr>
                <w:rFonts w:cs="Arial"/>
                <w:color w:val="FF0000"/>
                <w:sz w:val="21"/>
                <w:szCs w:val="21"/>
              </w:rPr>
            </w:pPr>
          </w:p>
        </w:tc>
        <w:tc>
          <w:tcPr>
            <w:tcW w:w="217" w:type="dxa"/>
          </w:tcPr>
          <w:p w14:paraId="6140076B" w14:textId="77777777" w:rsidR="002C0FD9" w:rsidRPr="00CA25CF" w:rsidRDefault="002C0FD9" w:rsidP="00CA25CF">
            <w:pPr>
              <w:rPr>
                <w:rFonts w:cs="Arial"/>
                <w:color w:val="FF0000"/>
                <w:sz w:val="21"/>
                <w:szCs w:val="21"/>
              </w:rPr>
            </w:pPr>
          </w:p>
        </w:tc>
        <w:tc>
          <w:tcPr>
            <w:tcW w:w="217" w:type="dxa"/>
          </w:tcPr>
          <w:p w14:paraId="70697D25" w14:textId="77777777" w:rsidR="002C0FD9" w:rsidRPr="00CA25CF" w:rsidRDefault="002C0FD9" w:rsidP="00CA25CF">
            <w:pPr>
              <w:rPr>
                <w:rFonts w:cs="Arial"/>
                <w:color w:val="FF0000"/>
                <w:sz w:val="21"/>
                <w:szCs w:val="21"/>
              </w:rPr>
            </w:pPr>
          </w:p>
        </w:tc>
        <w:tc>
          <w:tcPr>
            <w:tcW w:w="217" w:type="dxa"/>
          </w:tcPr>
          <w:p w14:paraId="19F2D627" w14:textId="77777777" w:rsidR="002C0FD9" w:rsidRPr="00CA25CF" w:rsidRDefault="002C0FD9" w:rsidP="00CA25CF">
            <w:pPr>
              <w:rPr>
                <w:rFonts w:cs="Arial"/>
                <w:color w:val="FF0000"/>
                <w:sz w:val="21"/>
                <w:szCs w:val="21"/>
              </w:rPr>
            </w:pPr>
          </w:p>
        </w:tc>
        <w:tc>
          <w:tcPr>
            <w:tcW w:w="217" w:type="dxa"/>
          </w:tcPr>
          <w:p w14:paraId="140E4440" w14:textId="77777777" w:rsidR="002C0FD9" w:rsidRPr="00CA25CF" w:rsidRDefault="002C0FD9" w:rsidP="00CA25CF">
            <w:pPr>
              <w:rPr>
                <w:rFonts w:cs="Arial"/>
                <w:color w:val="FF0000"/>
                <w:sz w:val="21"/>
                <w:szCs w:val="21"/>
              </w:rPr>
            </w:pPr>
          </w:p>
        </w:tc>
        <w:tc>
          <w:tcPr>
            <w:tcW w:w="217" w:type="dxa"/>
          </w:tcPr>
          <w:p w14:paraId="025D19EE" w14:textId="77777777" w:rsidR="002C0FD9" w:rsidRPr="00CA25CF" w:rsidRDefault="002C0FD9" w:rsidP="00CA25CF">
            <w:pPr>
              <w:rPr>
                <w:rFonts w:cs="Arial"/>
                <w:color w:val="FF0000"/>
                <w:sz w:val="21"/>
                <w:szCs w:val="21"/>
              </w:rPr>
            </w:pPr>
          </w:p>
        </w:tc>
        <w:tc>
          <w:tcPr>
            <w:tcW w:w="217" w:type="dxa"/>
          </w:tcPr>
          <w:p w14:paraId="48B8684C" w14:textId="77777777" w:rsidR="002C0FD9" w:rsidRPr="00CA25CF" w:rsidRDefault="002C0FD9" w:rsidP="00CA25CF">
            <w:pPr>
              <w:rPr>
                <w:rFonts w:cs="Arial"/>
                <w:color w:val="FF0000"/>
                <w:sz w:val="21"/>
                <w:szCs w:val="21"/>
              </w:rPr>
            </w:pPr>
          </w:p>
        </w:tc>
        <w:tc>
          <w:tcPr>
            <w:tcW w:w="217" w:type="dxa"/>
          </w:tcPr>
          <w:p w14:paraId="65860539" w14:textId="77777777" w:rsidR="002C0FD9" w:rsidRPr="00CA25CF" w:rsidRDefault="002C0FD9" w:rsidP="00CA25CF">
            <w:pPr>
              <w:rPr>
                <w:rFonts w:cs="Arial"/>
                <w:color w:val="FF0000"/>
                <w:sz w:val="21"/>
                <w:szCs w:val="21"/>
              </w:rPr>
            </w:pPr>
          </w:p>
        </w:tc>
        <w:tc>
          <w:tcPr>
            <w:tcW w:w="217" w:type="dxa"/>
          </w:tcPr>
          <w:p w14:paraId="618355D7" w14:textId="77777777" w:rsidR="002C0FD9" w:rsidRPr="00CA25CF" w:rsidRDefault="002C0FD9" w:rsidP="00CA25CF">
            <w:pPr>
              <w:rPr>
                <w:rFonts w:cs="Arial"/>
                <w:color w:val="FF0000"/>
                <w:sz w:val="21"/>
                <w:szCs w:val="21"/>
              </w:rPr>
            </w:pPr>
          </w:p>
        </w:tc>
        <w:tc>
          <w:tcPr>
            <w:tcW w:w="217" w:type="dxa"/>
          </w:tcPr>
          <w:p w14:paraId="0680F5CC" w14:textId="77777777" w:rsidR="002C0FD9" w:rsidRPr="00CA25CF" w:rsidRDefault="002C0FD9" w:rsidP="00CA25CF">
            <w:pPr>
              <w:rPr>
                <w:rFonts w:cs="Arial"/>
                <w:color w:val="FF0000"/>
                <w:sz w:val="21"/>
                <w:szCs w:val="21"/>
              </w:rPr>
            </w:pPr>
          </w:p>
        </w:tc>
        <w:tc>
          <w:tcPr>
            <w:tcW w:w="217" w:type="dxa"/>
          </w:tcPr>
          <w:p w14:paraId="1C623AAD" w14:textId="77777777" w:rsidR="002C0FD9" w:rsidRPr="00CA25CF" w:rsidRDefault="002C0FD9" w:rsidP="00CA25CF">
            <w:pPr>
              <w:rPr>
                <w:rFonts w:cs="Arial"/>
                <w:color w:val="FF0000"/>
                <w:sz w:val="21"/>
                <w:szCs w:val="21"/>
              </w:rPr>
            </w:pPr>
          </w:p>
        </w:tc>
        <w:tc>
          <w:tcPr>
            <w:tcW w:w="217" w:type="dxa"/>
          </w:tcPr>
          <w:p w14:paraId="7F71AEB9" w14:textId="77777777" w:rsidR="002C0FD9" w:rsidRPr="00CA25CF" w:rsidRDefault="002C0FD9" w:rsidP="00CA25CF">
            <w:pPr>
              <w:rPr>
                <w:rFonts w:cs="Arial"/>
                <w:color w:val="FF0000"/>
                <w:sz w:val="21"/>
                <w:szCs w:val="21"/>
              </w:rPr>
            </w:pPr>
          </w:p>
        </w:tc>
        <w:tc>
          <w:tcPr>
            <w:tcW w:w="217" w:type="dxa"/>
          </w:tcPr>
          <w:p w14:paraId="4748F208" w14:textId="77777777" w:rsidR="002C0FD9" w:rsidRPr="00CA25CF" w:rsidRDefault="002C0FD9" w:rsidP="00CA25CF">
            <w:pPr>
              <w:rPr>
                <w:rFonts w:cs="Arial"/>
                <w:color w:val="FF0000"/>
                <w:sz w:val="21"/>
                <w:szCs w:val="21"/>
              </w:rPr>
            </w:pPr>
          </w:p>
        </w:tc>
        <w:tc>
          <w:tcPr>
            <w:tcW w:w="217" w:type="dxa"/>
          </w:tcPr>
          <w:p w14:paraId="5479FC4A" w14:textId="77777777" w:rsidR="002C0FD9" w:rsidRPr="00CA25CF" w:rsidRDefault="002C0FD9" w:rsidP="00CA25CF">
            <w:pPr>
              <w:rPr>
                <w:rFonts w:cs="Arial"/>
                <w:color w:val="FF0000"/>
                <w:sz w:val="21"/>
                <w:szCs w:val="21"/>
              </w:rPr>
            </w:pPr>
          </w:p>
        </w:tc>
        <w:tc>
          <w:tcPr>
            <w:tcW w:w="217" w:type="dxa"/>
          </w:tcPr>
          <w:p w14:paraId="66D0857D" w14:textId="77777777" w:rsidR="002C0FD9" w:rsidRPr="00CA25CF" w:rsidRDefault="002C0FD9" w:rsidP="00CA25CF">
            <w:pPr>
              <w:rPr>
                <w:rFonts w:cs="Arial"/>
                <w:color w:val="FF0000"/>
                <w:sz w:val="21"/>
                <w:szCs w:val="21"/>
              </w:rPr>
            </w:pPr>
          </w:p>
        </w:tc>
        <w:tc>
          <w:tcPr>
            <w:tcW w:w="217" w:type="dxa"/>
          </w:tcPr>
          <w:p w14:paraId="689DE7BF" w14:textId="77777777" w:rsidR="002C0FD9" w:rsidRPr="00CA25CF" w:rsidRDefault="002C0FD9" w:rsidP="00CA25CF">
            <w:pPr>
              <w:rPr>
                <w:rFonts w:cs="Arial"/>
                <w:color w:val="FF0000"/>
                <w:sz w:val="21"/>
                <w:szCs w:val="21"/>
              </w:rPr>
            </w:pPr>
          </w:p>
        </w:tc>
        <w:tc>
          <w:tcPr>
            <w:tcW w:w="217" w:type="dxa"/>
          </w:tcPr>
          <w:p w14:paraId="0CD07457" w14:textId="77777777" w:rsidR="002C0FD9" w:rsidRPr="00CA25CF" w:rsidRDefault="002C0FD9" w:rsidP="00CA25CF">
            <w:pPr>
              <w:rPr>
                <w:rFonts w:cs="Arial"/>
                <w:color w:val="FF0000"/>
                <w:sz w:val="21"/>
                <w:szCs w:val="21"/>
              </w:rPr>
            </w:pPr>
          </w:p>
        </w:tc>
        <w:tc>
          <w:tcPr>
            <w:tcW w:w="217" w:type="dxa"/>
          </w:tcPr>
          <w:p w14:paraId="340BDAF0" w14:textId="77777777" w:rsidR="002C0FD9" w:rsidRPr="00CA25CF" w:rsidRDefault="002C0FD9" w:rsidP="00CA25CF">
            <w:pPr>
              <w:rPr>
                <w:rFonts w:cs="Arial"/>
                <w:color w:val="FF0000"/>
                <w:sz w:val="21"/>
                <w:szCs w:val="21"/>
              </w:rPr>
            </w:pPr>
          </w:p>
        </w:tc>
      </w:tr>
      <w:tr w:rsidR="002C0FD9" w:rsidRPr="00A16219" w14:paraId="647E6401" w14:textId="141E5863" w:rsidTr="002C0FD9">
        <w:trPr>
          <w:trHeight w:val="635"/>
        </w:trPr>
        <w:tc>
          <w:tcPr>
            <w:tcW w:w="515" w:type="dxa"/>
          </w:tcPr>
          <w:p w14:paraId="5D859029" w14:textId="77777777" w:rsidR="002C0FD9" w:rsidRPr="00CA25CF" w:rsidRDefault="002C0FD9" w:rsidP="00CA25CF">
            <w:pPr>
              <w:rPr>
                <w:rFonts w:cs="Arial"/>
                <w:color w:val="FF0000"/>
                <w:sz w:val="21"/>
                <w:szCs w:val="21"/>
              </w:rPr>
            </w:pPr>
          </w:p>
        </w:tc>
        <w:tc>
          <w:tcPr>
            <w:tcW w:w="217" w:type="dxa"/>
          </w:tcPr>
          <w:p w14:paraId="71DF848B" w14:textId="77777777" w:rsidR="002C0FD9" w:rsidRPr="00CA25CF" w:rsidRDefault="002C0FD9" w:rsidP="00CA25CF">
            <w:pPr>
              <w:rPr>
                <w:rFonts w:cs="Arial"/>
                <w:color w:val="FF0000"/>
                <w:sz w:val="21"/>
                <w:szCs w:val="21"/>
              </w:rPr>
            </w:pPr>
          </w:p>
        </w:tc>
        <w:tc>
          <w:tcPr>
            <w:tcW w:w="217" w:type="dxa"/>
          </w:tcPr>
          <w:p w14:paraId="67F863C9" w14:textId="2BE456B7" w:rsidR="002C0FD9" w:rsidRPr="00CA25CF" w:rsidRDefault="002C0FD9" w:rsidP="00CA25CF">
            <w:pPr>
              <w:rPr>
                <w:rFonts w:cs="Arial"/>
                <w:color w:val="FF0000"/>
                <w:sz w:val="21"/>
                <w:szCs w:val="21"/>
              </w:rPr>
            </w:pPr>
          </w:p>
        </w:tc>
        <w:tc>
          <w:tcPr>
            <w:tcW w:w="217" w:type="dxa"/>
          </w:tcPr>
          <w:p w14:paraId="3F190FA1" w14:textId="77777777" w:rsidR="002C0FD9" w:rsidRPr="00CA25CF" w:rsidRDefault="002C0FD9" w:rsidP="00CA25CF">
            <w:pPr>
              <w:rPr>
                <w:rFonts w:cs="Arial"/>
                <w:color w:val="FF0000"/>
                <w:sz w:val="21"/>
                <w:szCs w:val="21"/>
              </w:rPr>
            </w:pPr>
          </w:p>
        </w:tc>
        <w:tc>
          <w:tcPr>
            <w:tcW w:w="217" w:type="dxa"/>
          </w:tcPr>
          <w:p w14:paraId="3F7965C3" w14:textId="77777777" w:rsidR="002C0FD9" w:rsidRPr="00CA25CF" w:rsidRDefault="002C0FD9" w:rsidP="00CA25CF">
            <w:pPr>
              <w:rPr>
                <w:rFonts w:cs="Arial"/>
                <w:color w:val="FF0000"/>
                <w:sz w:val="21"/>
                <w:szCs w:val="21"/>
              </w:rPr>
            </w:pPr>
          </w:p>
        </w:tc>
        <w:tc>
          <w:tcPr>
            <w:tcW w:w="217" w:type="dxa"/>
          </w:tcPr>
          <w:p w14:paraId="2F41AE40" w14:textId="77777777" w:rsidR="002C0FD9" w:rsidRPr="00CA25CF" w:rsidRDefault="002C0FD9" w:rsidP="00CA25CF">
            <w:pPr>
              <w:rPr>
                <w:rFonts w:cs="Arial"/>
                <w:color w:val="FF0000"/>
                <w:sz w:val="21"/>
                <w:szCs w:val="21"/>
              </w:rPr>
            </w:pPr>
          </w:p>
        </w:tc>
        <w:tc>
          <w:tcPr>
            <w:tcW w:w="217" w:type="dxa"/>
          </w:tcPr>
          <w:p w14:paraId="05C6A0E0" w14:textId="77777777" w:rsidR="002C0FD9" w:rsidRPr="00CA25CF" w:rsidRDefault="002C0FD9" w:rsidP="00CA25CF">
            <w:pPr>
              <w:rPr>
                <w:rFonts w:cs="Arial"/>
                <w:color w:val="FF0000"/>
                <w:sz w:val="21"/>
                <w:szCs w:val="21"/>
              </w:rPr>
            </w:pPr>
          </w:p>
        </w:tc>
        <w:tc>
          <w:tcPr>
            <w:tcW w:w="217" w:type="dxa"/>
          </w:tcPr>
          <w:p w14:paraId="301659C3" w14:textId="77777777" w:rsidR="002C0FD9" w:rsidRPr="00CA25CF" w:rsidRDefault="002C0FD9" w:rsidP="00CA25CF">
            <w:pPr>
              <w:rPr>
                <w:rFonts w:cs="Arial"/>
                <w:color w:val="FF0000"/>
                <w:sz w:val="21"/>
                <w:szCs w:val="21"/>
              </w:rPr>
            </w:pPr>
          </w:p>
        </w:tc>
        <w:tc>
          <w:tcPr>
            <w:tcW w:w="217" w:type="dxa"/>
          </w:tcPr>
          <w:p w14:paraId="6BCD5FB5" w14:textId="77777777" w:rsidR="002C0FD9" w:rsidRPr="00CA25CF" w:rsidRDefault="002C0FD9" w:rsidP="00CA25CF">
            <w:pPr>
              <w:rPr>
                <w:rFonts w:cs="Arial"/>
                <w:color w:val="FF0000"/>
                <w:sz w:val="21"/>
                <w:szCs w:val="21"/>
              </w:rPr>
            </w:pPr>
          </w:p>
        </w:tc>
        <w:tc>
          <w:tcPr>
            <w:tcW w:w="217" w:type="dxa"/>
          </w:tcPr>
          <w:p w14:paraId="40DD8296" w14:textId="77777777" w:rsidR="002C0FD9" w:rsidRPr="00CA25CF" w:rsidRDefault="002C0FD9" w:rsidP="00CA25CF">
            <w:pPr>
              <w:rPr>
                <w:rFonts w:cs="Arial"/>
                <w:color w:val="FF0000"/>
                <w:sz w:val="21"/>
                <w:szCs w:val="21"/>
              </w:rPr>
            </w:pPr>
          </w:p>
        </w:tc>
        <w:tc>
          <w:tcPr>
            <w:tcW w:w="217" w:type="dxa"/>
          </w:tcPr>
          <w:p w14:paraId="0CE79A9F" w14:textId="77777777" w:rsidR="002C0FD9" w:rsidRPr="00CA25CF" w:rsidRDefault="002C0FD9" w:rsidP="00CA25CF">
            <w:pPr>
              <w:rPr>
                <w:rFonts w:cs="Arial"/>
                <w:color w:val="FF0000"/>
                <w:sz w:val="21"/>
                <w:szCs w:val="21"/>
              </w:rPr>
            </w:pPr>
          </w:p>
        </w:tc>
        <w:tc>
          <w:tcPr>
            <w:tcW w:w="217" w:type="dxa"/>
          </w:tcPr>
          <w:p w14:paraId="2C238F58" w14:textId="77777777" w:rsidR="002C0FD9" w:rsidRPr="00CA25CF" w:rsidRDefault="002C0FD9" w:rsidP="00CA25CF">
            <w:pPr>
              <w:rPr>
                <w:rFonts w:cs="Arial"/>
                <w:color w:val="FF0000"/>
                <w:sz w:val="21"/>
                <w:szCs w:val="21"/>
              </w:rPr>
            </w:pPr>
          </w:p>
        </w:tc>
        <w:tc>
          <w:tcPr>
            <w:tcW w:w="217" w:type="dxa"/>
          </w:tcPr>
          <w:p w14:paraId="6B3EE4AE" w14:textId="77777777" w:rsidR="002C0FD9" w:rsidRPr="00CA25CF" w:rsidRDefault="002C0FD9" w:rsidP="00CA25CF">
            <w:pPr>
              <w:rPr>
                <w:rFonts w:cs="Arial"/>
                <w:color w:val="FF0000"/>
                <w:sz w:val="21"/>
                <w:szCs w:val="21"/>
              </w:rPr>
            </w:pPr>
          </w:p>
        </w:tc>
        <w:tc>
          <w:tcPr>
            <w:tcW w:w="217" w:type="dxa"/>
          </w:tcPr>
          <w:p w14:paraId="66D7CC83" w14:textId="77777777" w:rsidR="002C0FD9" w:rsidRPr="00CA25CF" w:rsidRDefault="002C0FD9" w:rsidP="00CA25CF">
            <w:pPr>
              <w:rPr>
                <w:rFonts w:cs="Arial"/>
                <w:color w:val="FF0000"/>
                <w:sz w:val="21"/>
                <w:szCs w:val="21"/>
              </w:rPr>
            </w:pPr>
          </w:p>
        </w:tc>
        <w:tc>
          <w:tcPr>
            <w:tcW w:w="217" w:type="dxa"/>
          </w:tcPr>
          <w:p w14:paraId="7FCDAD9B" w14:textId="77777777" w:rsidR="002C0FD9" w:rsidRPr="00CA25CF" w:rsidRDefault="002C0FD9" w:rsidP="00CA25CF">
            <w:pPr>
              <w:rPr>
                <w:rFonts w:cs="Arial"/>
                <w:color w:val="FF0000"/>
                <w:sz w:val="21"/>
                <w:szCs w:val="21"/>
              </w:rPr>
            </w:pPr>
          </w:p>
        </w:tc>
        <w:tc>
          <w:tcPr>
            <w:tcW w:w="217" w:type="dxa"/>
          </w:tcPr>
          <w:p w14:paraId="439BC023" w14:textId="13E5A3E6" w:rsidR="002C0FD9" w:rsidRPr="00CA25CF" w:rsidRDefault="002C0FD9" w:rsidP="00CA25CF">
            <w:pPr>
              <w:rPr>
                <w:rFonts w:cs="Arial"/>
                <w:color w:val="FF0000"/>
                <w:sz w:val="21"/>
                <w:szCs w:val="21"/>
              </w:rPr>
            </w:pPr>
          </w:p>
        </w:tc>
        <w:tc>
          <w:tcPr>
            <w:tcW w:w="217" w:type="dxa"/>
          </w:tcPr>
          <w:p w14:paraId="4926CF43" w14:textId="77777777" w:rsidR="002C0FD9" w:rsidRPr="00CA25CF" w:rsidRDefault="002C0FD9" w:rsidP="00CA25CF">
            <w:pPr>
              <w:rPr>
                <w:rFonts w:cs="Arial"/>
                <w:color w:val="FF0000"/>
                <w:sz w:val="21"/>
                <w:szCs w:val="21"/>
              </w:rPr>
            </w:pPr>
          </w:p>
        </w:tc>
        <w:tc>
          <w:tcPr>
            <w:tcW w:w="217" w:type="dxa"/>
          </w:tcPr>
          <w:p w14:paraId="70EA214B" w14:textId="77777777" w:rsidR="002C0FD9" w:rsidRPr="00CA25CF" w:rsidRDefault="002C0FD9" w:rsidP="00CA25CF">
            <w:pPr>
              <w:rPr>
                <w:rFonts w:cs="Arial"/>
                <w:color w:val="FF0000"/>
                <w:sz w:val="21"/>
                <w:szCs w:val="21"/>
              </w:rPr>
            </w:pPr>
          </w:p>
        </w:tc>
        <w:tc>
          <w:tcPr>
            <w:tcW w:w="217" w:type="dxa"/>
          </w:tcPr>
          <w:p w14:paraId="610C1FEC" w14:textId="77777777" w:rsidR="002C0FD9" w:rsidRPr="00CA25CF" w:rsidRDefault="002C0FD9" w:rsidP="00CA25CF">
            <w:pPr>
              <w:rPr>
                <w:rFonts w:cs="Arial"/>
                <w:color w:val="FF0000"/>
                <w:sz w:val="21"/>
                <w:szCs w:val="21"/>
              </w:rPr>
            </w:pPr>
          </w:p>
        </w:tc>
        <w:tc>
          <w:tcPr>
            <w:tcW w:w="217" w:type="dxa"/>
          </w:tcPr>
          <w:p w14:paraId="29318D4F" w14:textId="77777777" w:rsidR="002C0FD9" w:rsidRPr="00CA25CF" w:rsidRDefault="002C0FD9" w:rsidP="00CA25CF">
            <w:pPr>
              <w:rPr>
                <w:rFonts w:cs="Arial"/>
                <w:color w:val="FF0000"/>
                <w:sz w:val="21"/>
                <w:szCs w:val="21"/>
              </w:rPr>
            </w:pPr>
          </w:p>
        </w:tc>
        <w:tc>
          <w:tcPr>
            <w:tcW w:w="217" w:type="dxa"/>
          </w:tcPr>
          <w:p w14:paraId="6D06CABE" w14:textId="77777777" w:rsidR="002C0FD9" w:rsidRPr="00CA25CF" w:rsidRDefault="002C0FD9" w:rsidP="00CA25CF">
            <w:pPr>
              <w:rPr>
                <w:rFonts w:cs="Arial"/>
                <w:color w:val="FF0000"/>
                <w:sz w:val="21"/>
                <w:szCs w:val="21"/>
              </w:rPr>
            </w:pPr>
          </w:p>
        </w:tc>
        <w:tc>
          <w:tcPr>
            <w:tcW w:w="217" w:type="dxa"/>
          </w:tcPr>
          <w:p w14:paraId="389CB9F5" w14:textId="77777777" w:rsidR="002C0FD9" w:rsidRPr="00CA25CF" w:rsidRDefault="002C0FD9" w:rsidP="00CA25CF">
            <w:pPr>
              <w:rPr>
                <w:rFonts w:cs="Arial"/>
                <w:color w:val="FF0000"/>
                <w:sz w:val="21"/>
                <w:szCs w:val="21"/>
              </w:rPr>
            </w:pPr>
          </w:p>
        </w:tc>
        <w:tc>
          <w:tcPr>
            <w:tcW w:w="217" w:type="dxa"/>
          </w:tcPr>
          <w:p w14:paraId="6B318795" w14:textId="77777777" w:rsidR="002C0FD9" w:rsidRPr="00CA25CF" w:rsidRDefault="002C0FD9" w:rsidP="00CA25CF">
            <w:pPr>
              <w:rPr>
                <w:rFonts w:cs="Arial"/>
                <w:color w:val="FF0000"/>
                <w:sz w:val="21"/>
                <w:szCs w:val="21"/>
              </w:rPr>
            </w:pPr>
          </w:p>
        </w:tc>
        <w:tc>
          <w:tcPr>
            <w:tcW w:w="217" w:type="dxa"/>
          </w:tcPr>
          <w:p w14:paraId="662B531E" w14:textId="77777777" w:rsidR="002C0FD9" w:rsidRPr="00CA25CF" w:rsidRDefault="002C0FD9" w:rsidP="00CA25CF">
            <w:pPr>
              <w:rPr>
                <w:rFonts w:cs="Arial"/>
                <w:color w:val="FF0000"/>
                <w:sz w:val="21"/>
                <w:szCs w:val="21"/>
              </w:rPr>
            </w:pPr>
          </w:p>
        </w:tc>
        <w:tc>
          <w:tcPr>
            <w:tcW w:w="217" w:type="dxa"/>
          </w:tcPr>
          <w:p w14:paraId="272086A2" w14:textId="77777777" w:rsidR="002C0FD9" w:rsidRPr="00CA25CF" w:rsidRDefault="002C0FD9" w:rsidP="00CA25CF">
            <w:pPr>
              <w:rPr>
                <w:rFonts w:cs="Arial"/>
                <w:color w:val="FF0000"/>
                <w:sz w:val="21"/>
                <w:szCs w:val="21"/>
              </w:rPr>
            </w:pPr>
          </w:p>
        </w:tc>
        <w:tc>
          <w:tcPr>
            <w:tcW w:w="217" w:type="dxa"/>
          </w:tcPr>
          <w:p w14:paraId="25D9BB70" w14:textId="77777777" w:rsidR="002C0FD9" w:rsidRPr="00CA25CF" w:rsidRDefault="002C0FD9" w:rsidP="00CA25CF">
            <w:pPr>
              <w:rPr>
                <w:rFonts w:cs="Arial"/>
                <w:color w:val="FF0000"/>
                <w:sz w:val="21"/>
                <w:szCs w:val="21"/>
              </w:rPr>
            </w:pPr>
          </w:p>
        </w:tc>
        <w:tc>
          <w:tcPr>
            <w:tcW w:w="217" w:type="dxa"/>
          </w:tcPr>
          <w:p w14:paraId="2CF86F36" w14:textId="77777777" w:rsidR="002C0FD9" w:rsidRPr="00CA25CF" w:rsidRDefault="002C0FD9" w:rsidP="00CA25CF">
            <w:pPr>
              <w:rPr>
                <w:rFonts w:cs="Arial"/>
                <w:color w:val="FF0000"/>
                <w:sz w:val="21"/>
                <w:szCs w:val="21"/>
              </w:rPr>
            </w:pPr>
          </w:p>
        </w:tc>
        <w:tc>
          <w:tcPr>
            <w:tcW w:w="217" w:type="dxa"/>
          </w:tcPr>
          <w:p w14:paraId="51CF34F2" w14:textId="77777777" w:rsidR="002C0FD9" w:rsidRPr="00CA25CF" w:rsidRDefault="002C0FD9" w:rsidP="00CA25CF">
            <w:pPr>
              <w:rPr>
                <w:rFonts w:cs="Arial"/>
                <w:color w:val="FF0000"/>
                <w:sz w:val="21"/>
                <w:szCs w:val="21"/>
              </w:rPr>
            </w:pPr>
          </w:p>
        </w:tc>
        <w:tc>
          <w:tcPr>
            <w:tcW w:w="217" w:type="dxa"/>
          </w:tcPr>
          <w:p w14:paraId="152F08F3" w14:textId="77777777" w:rsidR="002C0FD9" w:rsidRPr="00CA25CF" w:rsidRDefault="002C0FD9" w:rsidP="00CA25CF">
            <w:pPr>
              <w:rPr>
                <w:rFonts w:cs="Arial"/>
                <w:color w:val="FF0000"/>
                <w:sz w:val="21"/>
                <w:szCs w:val="21"/>
              </w:rPr>
            </w:pPr>
          </w:p>
        </w:tc>
        <w:tc>
          <w:tcPr>
            <w:tcW w:w="217" w:type="dxa"/>
          </w:tcPr>
          <w:p w14:paraId="48770E5F" w14:textId="77777777" w:rsidR="002C0FD9" w:rsidRPr="00CA25CF" w:rsidRDefault="002C0FD9" w:rsidP="00CA25CF">
            <w:pPr>
              <w:rPr>
                <w:rFonts w:cs="Arial"/>
                <w:color w:val="FF0000"/>
                <w:sz w:val="21"/>
                <w:szCs w:val="21"/>
              </w:rPr>
            </w:pPr>
          </w:p>
        </w:tc>
        <w:tc>
          <w:tcPr>
            <w:tcW w:w="217" w:type="dxa"/>
          </w:tcPr>
          <w:p w14:paraId="1A6F1FEA" w14:textId="77777777" w:rsidR="002C0FD9" w:rsidRPr="00CA25CF" w:rsidRDefault="002C0FD9" w:rsidP="00CA25CF">
            <w:pPr>
              <w:rPr>
                <w:rFonts w:cs="Arial"/>
                <w:color w:val="FF0000"/>
                <w:sz w:val="21"/>
                <w:szCs w:val="21"/>
              </w:rPr>
            </w:pPr>
          </w:p>
        </w:tc>
        <w:tc>
          <w:tcPr>
            <w:tcW w:w="217" w:type="dxa"/>
          </w:tcPr>
          <w:p w14:paraId="34281FD6" w14:textId="77777777" w:rsidR="002C0FD9" w:rsidRPr="00CA25CF" w:rsidRDefault="002C0FD9" w:rsidP="00CA25CF">
            <w:pPr>
              <w:rPr>
                <w:rFonts w:cs="Arial"/>
                <w:color w:val="FF0000"/>
                <w:sz w:val="21"/>
                <w:szCs w:val="21"/>
              </w:rPr>
            </w:pPr>
          </w:p>
        </w:tc>
        <w:tc>
          <w:tcPr>
            <w:tcW w:w="217" w:type="dxa"/>
          </w:tcPr>
          <w:p w14:paraId="025A27B1" w14:textId="77777777" w:rsidR="002C0FD9" w:rsidRPr="00CA25CF" w:rsidRDefault="002C0FD9" w:rsidP="00CA25CF">
            <w:pPr>
              <w:rPr>
                <w:rFonts w:cs="Arial"/>
                <w:color w:val="FF0000"/>
                <w:sz w:val="21"/>
                <w:szCs w:val="21"/>
              </w:rPr>
            </w:pPr>
          </w:p>
        </w:tc>
        <w:tc>
          <w:tcPr>
            <w:tcW w:w="217" w:type="dxa"/>
          </w:tcPr>
          <w:p w14:paraId="57B167B3" w14:textId="77777777" w:rsidR="002C0FD9" w:rsidRPr="00CA25CF" w:rsidRDefault="002C0FD9" w:rsidP="00CA25CF">
            <w:pPr>
              <w:rPr>
                <w:rFonts w:cs="Arial"/>
                <w:color w:val="FF0000"/>
                <w:sz w:val="21"/>
                <w:szCs w:val="21"/>
              </w:rPr>
            </w:pPr>
          </w:p>
        </w:tc>
        <w:tc>
          <w:tcPr>
            <w:tcW w:w="217" w:type="dxa"/>
          </w:tcPr>
          <w:p w14:paraId="4BE412EC" w14:textId="77777777" w:rsidR="002C0FD9" w:rsidRPr="00CA25CF" w:rsidRDefault="002C0FD9" w:rsidP="00CA25CF">
            <w:pPr>
              <w:rPr>
                <w:rFonts w:cs="Arial"/>
                <w:color w:val="FF0000"/>
                <w:sz w:val="21"/>
                <w:szCs w:val="21"/>
              </w:rPr>
            </w:pPr>
          </w:p>
        </w:tc>
        <w:tc>
          <w:tcPr>
            <w:tcW w:w="217" w:type="dxa"/>
          </w:tcPr>
          <w:p w14:paraId="07B6D0DD" w14:textId="77777777" w:rsidR="002C0FD9" w:rsidRPr="00CA25CF" w:rsidRDefault="002C0FD9" w:rsidP="00CA25CF">
            <w:pPr>
              <w:rPr>
                <w:rFonts w:cs="Arial"/>
                <w:color w:val="FF0000"/>
                <w:sz w:val="21"/>
                <w:szCs w:val="21"/>
              </w:rPr>
            </w:pPr>
          </w:p>
        </w:tc>
        <w:tc>
          <w:tcPr>
            <w:tcW w:w="217" w:type="dxa"/>
          </w:tcPr>
          <w:p w14:paraId="0B775BB2" w14:textId="77777777" w:rsidR="002C0FD9" w:rsidRPr="00CA25CF" w:rsidRDefault="002C0FD9" w:rsidP="00CA25CF">
            <w:pPr>
              <w:rPr>
                <w:rFonts w:cs="Arial"/>
                <w:color w:val="FF0000"/>
                <w:sz w:val="21"/>
                <w:szCs w:val="21"/>
              </w:rPr>
            </w:pPr>
          </w:p>
        </w:tc>
        <w:tc>
          <w:tcPr>
            <w:tcW w:w="217" w:type="dxa"/>
          </w:tcPr>
          <w:p w14:paraId="7D0571FC" w14:textId="77777777" w:rsidR="002C0FD9" w:rsidRPr="00CA25CF" w:rsidRDefault="002C0FD9" w:rsidP="00CA25CF">
            <w:pPr>
              <w:rPr>
                <w:rFonts w:cs="Arial"/>
                <w:color w:val="FF0000"/>
                <w:sz w:val="21"/>
                <w:szCs w:val="21"/>
              </w:rPr>
            </w:pPr>
          </w:p>
        </w:tc>
        <w:tc>
          <w:tcPr>
            <w:tcW w:w="217" w:type="dxa"/>
          </w:tcPr>
          <w:p w14:paraId="54F2C4D6" w14:textId="77777777" w:rsidR="002C0FD9" w:rsidRPr="00CA25CF" w:rsidRDefault="002C0FD9" w:rsidP="00CA25CF">
            <w:pPr>
              <w:rPr>
                <w:rFonts w:cs="Arial"/>
                <w:color w:val="FF0000"/>
                <w:sz w:val="21"/>
                <w:szCs w:val="21"/>
              </w:rPr>
            </w:pPr>
          </w:p>
        </w:tc>
        <w:tc>
          <w:tcPr>
            <w:tcW w:w="217" w:type="dxa"/>
          </w:tcPr>
          <w:p w14:paraId="00761BFD" w14:textId="77777777" w:rsidR="002C0FD9" w:rsidRPr="00CA25CF" w:rsidRDefault="002C0FD9" w:rsidP="00CA25CF">
            <w:pPr>
              <w:rPr>
                <w:rFonts w:cs="Arial"/>
                <w:color w:val="FF0000"/>
                <w:sz w:val="21"/>
                <w:szCs w:val="21"/>
              </w:rPr>
            </w:pPr>
          </w:p>
        </w:tc>
        <w:tc>
          <w:tcPr>
            <w:tcW w:w="217" w:type="dxa"/>
          </w:tcPr>
          <w:p w14:paraId="4E1C6F02" w14:textId="77777777" w:rsidR="002C0FD9" w:rsidRPr="00CA25CF" w:rsidRDefault="002C0FD9" w:rsidP="00CA25CF">
            <w:pPr>
              <w:rPr>
                <w:rFonts w:cs="Arial"/>
                <w:color w:val="FF0000"/>
                <w:sz w:val="21"/>
                <w:szCs w:val="21"/>
              </w:rPr>
            </w:pPr>
          </w:p>
        </w:tc>
        <w:tc>
          <w:tcPr>
            <w:tcW w:w="217" w:type="dxa"/>
          </w:tcPr>
          <w:p w14:paraId="33DB7F1D" w14:textId="77777777" w:rsidR="002C0FD9" w:rsidRPr="00CA25CF" w:rsidRDefault="002C0FD9" w:rsidP="00CA25CF">
            <w:pPr>
              <w:rPr>
                <w:rFonts w:cs="Arial"/>
                <w:color w:val="FF0000"/>
                <w:sz w:val="21"/>
                <w:szCs w:val="21"/>
              </w:rPr>
            </w:pPr>
          </w:p>
        </w:tc>
        <w:tc>
          <w:tcPr>
            <w:tcW w:w="217" w:type="dxa"/>
          </w:tcPr>
          <w:p w14:paraId="06A8433F" w14:textId="77777777" w:rsidR="002C0FD9" w:rsidRPr="00CA25CF" w:rsidRDefault="002C0FD9" w:rsidP="00CA25CF">
            <w:pPr>
              <w:rPr>
                <w:rFonts w:cs="Arial"/>
                <w:color w:val="FF0000"/>
                <w:sz w:val="21"/>
                <w:szCs w:val="21"/>
              </w:rPr>
            </w:pPr>
          </w:p>
        </w:tc>
      </w:tr>
      <w:tr w:rsidR="002C0FD9" w:rsidRPr="00A16219" w14:paraId="3CBACCC3" w14:textId="3A261568" w:rsidTr="002C0FD9">
        <w:trPr>
          <w:trHeight w:val="635"/>
        </w:trPr>
        <w:tc>
          <w:tcPr>
            <w:tcW w:w="515" w:type="dxa"/>
          </w:tcPr>
          <w:p w14:paraId="5FCF7638" w14:textId="77777777" w:rsidR="002C0FD9" w:rsidRPr="00CA25CF" w:rsidRDefault="002C0FD9" w:rsidP="00CA25CF">
            <w:pPr>
              <w:rPr>
                <w:rFonts w:cs="Arial"/>
                <w:color w:val="FF0000"/>
                <w:sz w:val="21"/>
                <w:szCs w:val="21"/>
              </w:rPr>
            </w:pPr>
          </w:p>
        </w:tc>
        <w:tc>
          <w:tcPr>
            <w:tcW w:w="217" w:type="dxa"/>
          </w:tcPr>
          <w:p w14:paraId="6B7543A3" w14:textId="77777777" w:rsidR="002C0FD9" w:rsidRPr="00CA25CF" w:rsidRDefault="002C0FD9" w:rsidP="00CA25CF">
            <w:pPr>
              <w:rPr>
                <w:rFonts w:cs="Arial"/>
                <w:color w:val="FF0000"/>
                <w:sz w:val="21"/>
                <w:szCs w:val="21"/>
              </w:rPr>
            </w:pPr>
          </w:p>
        </w:tc>
        <w:tc>
          <w:tcPr>
            <w:tcW w:w="217" w:type="dxa"/>
          </w:tcPr>
          <w:p w14:paraId="34F725D9" w14:textId="2068B1AF" w:rsidR="002C0FD9" w:rsidRPr="00CA25CF" w:rsidRDefault="002C0FD9" w:rsidP="00CA25CF">
            <w:pPr>
              <w:rPr>
                <w:rFonts w:cs="Arial"/>
                <w:color w:val="FF0000"/>
                <w:sz w:val="21"/>
                <w:szCs w:val="21"/>
              </w:rPr>
            </w:pPr>
          </w:p>
        </w:tc>
        <w:tc>
          <w:tcPr>
            <w:tcW w:w="217" w:type="dxa"/>
          </w:tcPr>
          <w:p w14:paraId="0873D811" w14:textId="77777777" w:rsidR="002C0FD9" w:rsidRPr="00CA25CF" w:rsidRDefault="002C0FD9" w:rsidP="00CA25CF">
            <w:pPr>
              <w:rPr>
                <w:rFonts w:cs="Arial"/>
                <w:color w:val="FF0000"/>
                <w:sz w:val="21"/>
                <w:szCs w:val="21"/>
              </w:rPr>
            </w:pPr>
          </w:p>
        </w:tc>
        <w:tc>
          <w:tcPr>
            <w:tcW w:w="217" w:type="dxa"/>
          </w:tcPr>
          <w:p w14:paraId="5F34BCAC" w14:textId="77777777" w:rsidR="002C0FD9" w:rsidRPr="00CA25CF" w:rsidRDefault="002C0FD9" w:rsidP="00CA25CF">
            <w:pPr>
              <w:rPr>
                <w:rFonts w:cs="Arial"/>
                <w:color w:val="FF0000"/>
                <w:sz w:val="21"/>
                <w:szCs w:val="21"/>
              </w:rPr>
            </w:pPr>
          </w:p>
        </w:tc>
        <w:tc>
          <w:tcPr>
            <w:tcW w:w="217" w:type="dxa"/>
          </w:tcPr>
          <w:p w14:paraId="0536EAAE" w14:textId="77777777" w:rsidR="002C0FD9" w:rsidRPr="00CA25CF" w:rsidRDefault="002C0FD9" w:rsidP="00CA25CF">
            <w:pPr>
              <w:rPr>
                <w:rFonts w:cs="Arial"/>
                <w:color w:val="FF0000"/>
                <w:sz w:val="21"/>
                <w:szCs w:val="21"/>
              </w:rPr>
            </w:pPr>
          </w:p>
        </w:tc>
        <w:tc>
          <w:tcPr>
            <w:tcW w:w="217" w:type="dxa"/>
          </w:tcPr>
          <w:p w14:paraId="26D5C0AC" w14:textId="77777777" w:rsidR="002C0FD9" w:rsidRPr="00CA25CF" w:rsidRDefault="002C0FD9" w:rsidP="00CA25CF">
            <w:pPr>
              <w:rPr>
                <w:rFonts w:cs="Arial"/>
                <w:color w:val="FF0000"/>
                <w:sz w:val="21"/>
                <w:szCs w:val="21"/>
              </w:rPr>
            </w:pPr>
          </w:p>
        </w:tc>
        <w:tc>
          <w:tcPr>
            <w:tcW w:w="217" w:type="dxa"/>
          </w:tcPr>
          <w:p w14:paraId="714D4772" w14:textId="77777777" w:rsidR="002C0FD9" w:rsidRPr="00CA25CF" w:rsidRDefault="002C0FD9" w:rsidP="00CA25CF">
            <w:pPr>
              <w:rPr>
                <w:rFonts w:cs="Arial"/>
                <w:color w:val="FF0000"/>
                <w:sz w:val="21"/>
                <w:szCs w:val="21"/>
              </w:rPr>
            </w:pPr>
          </w:p>
        </w:tc>
        <w:tc>
          <w:tcPr>
            <w:tcW w:w="217" w:type="dxa"/>
          </w:tcPr>
          <w:p w14:paraId="4DD336BA" w14:textId="77777777" w:rsidR="002C0FD9" w:rsidRPr="00CA25CF" w:rsidRDefault="002C0FD9" w:rsidP="00CA25CF">
            <w:pPr>
              <w:rPr>
                <w:rFonts w:cs="Arial"/>
                <w:color w:val="FF0000"/>
                <w:sz w:val="21"/>
                <w:szCs w:val="21"/>
              </w:rPr>
            </w:pPr>
          </w:p>
        </w:tc>
        <w:tc>
          <w:tcPr>
            <w:tcW w:w="217" w:type="dxa"/>
          </w:tcPr>
          <w:p w14:paraId="3AE74A26" w14:textId="77777777" w:rsidR="002C0FD9" w:rsidRPr="00CA25CF" w:rsidRDefault="002C0FD9" w:rsidP="00CA25CF">
            <w:pPr>
              <w:rPr>
                <w:rFonts w:cs="Arial"/>
                <w:color w:val="FF0000"/>
                <w:sz w:val="21"/>
                <w:szCs w:val="21"/>
              </w:rPr>
            </w:pPr>
          </w:p>
        </w:tc>
        <w:tc>
          <w:tcPr>
            <w:tcW w:w="217" w:type="dxa"/>
          </w:tcPr>
          <w:p w14:paraId="56145FB5" w14:textId="77777777" w:rsidR="002C0FD9" w:rsidRPr="00CA25CF" w:rsidRDefault="002C0FD9" w:rsidP="00CA25CF">
            <w:pPr>
              <w:rPr>
                <w:rFonts w:cs="Arial"/>
                <w:color w:val="FF0000"/>
                <w:sz w:val="21"/>
                <w:szCs w:val="21"/>
              </w:rPr>
            </w:pPr>
          </w:p>
        </w:tc>
        <w:tc>
          <w:tcPr>
            <w:tcW w:w="217" w:type="dxa"/>
          </w:tcPr>
          <w:p w14:paraId="66A87CAA" w14:textId="77777777" w:rsidR="002C0FD9" w:rsidRPr="00CA25CF" w:rsidRDefault="002C0FD9" w:rsidP="00CA25CF">
            <w:pPr>
              <w:rPr>
                <w:rFonts w:cs="Arial"/>
                <w:color w:val="FF0000"/>
                <w:sz w:val="21"/>
                <w:szCs w:val="21"/>
              </w:rPr>
            </w:pPr>
          </w:p>
        </w:tc>
        <w:tc>
          <w:tcPr>
            <w:tcW w:w="217" w:type="dxa"/>
          </w:tcPr>
          <w:p w14:paraId="68C384C2" w14:textId="77777777" w:rsidR="002C0FD9" w:rsidRPr="00CA25CF" w:rsidRDefault="002C0FD9" w:rsidP="00CA25CF">
            <w:pPr>
              <w:rPr>
                <w:rFonts w:cs="Arial"/>
                <w:color w:val="FF0000"/>
                <w:sz w:val="21"/>
                <w:szCs w:val="21"/>
              </w:rPr>
            </w:pPr>
          </w:p>
        </w:tc>
        <w:tc>
          <w:tcPr>
            <w:tcW w:w="217" w:type="dxa"/>
          </w:tcPr>
          <w:p w14:paraId="2FC9021C" w14:textId="77777777" w:rsidR="002C0FD9" w:rsidRPr="00CA25CF" w:rsidRDefault="002C0FD9" w:rsidP="00CA25CF">
            <w:pPr>
              <w:rPr>
                <w:rFonts w:cs="Arial"/>
                <w:color w:val="FF0000"/>
                <w:sz w:val="21"/>
                <w:szCs w:val="21"/>
              </w:rPr>
            </w:pPr>
          </w:p>
        </w:tc>
        <w:tc>
          <w:tcPr>
            <w:tcW w:w="217" w:type="dxa"/>
          </w:tcPr>
          <w:p w14:paraId="4D62BAC5" w14:textId="77777777" w:rsidR="002C0FD9" w:rsidRPr="00CA25CF" w:rsidRDefault="002C0FD9" w:rsidP="00CA25CF">
            <w:pPr>
              <w:rPr>
                <w:rFonts w:cs="Arial"/>
                <w:color w:val="FF0000"/>
                <w:sz w:val="21"/>
                <w:szCs w:val="21"/>
              </w:rPr>
            </w:pPr>
          </w:p>
        </w:tc>
        <w:tc>
          <w:tcPr>
            <w:tcW w:w="217" w:type="dxa"/>
          </w:tcPr>
          <w:p w14:paraId="6D2E676A" w14:textId="3B65DCC5" w:rsidR="002C0FD9" w:rsidRPr="00CA25CF" w:rsidRDefault="002C0FD9" w:rsidP="00CA25CF">
            <w:pPr>
              <w:rPr>
                <w:rFonts w:cs="Arial"/>
                <w:color w:val="FF0000"/>
                <w:sz w:val="21"/>
                <w:szCs w:val="21"/>
              </w:rPr>
            </w:pPr>
          </w:p>
        </w:tc>
        <w:tc>
          <w:tcPr>
            <w:tcW w:w="217" w:type="dxa"/>
          </w:tcPr>
          <w:p w14:paraId="28424E9C" w14:textId="77777777" w:rsidR="002C0FD9" w:rsidRPr="00CA25CF" w:rsidRDefault="002C0FD9" w:rsidP="00CA25CF">
            <w:pPr>
              <w:rPr>
                <w:rFonts w:cs="Arial"/>
                <w:color w:val="FF0000"/>
                <w:sz w:val="21"/>
                <w:szCs w:val="21"/>
              </w:rPr>
            </w:pPr>
          </w:p>
        </w:tc>
        <w:tc>
          <w:tcPr>
            <w:tcW w:w="217" w:type="dxa"/>
          </w:tcPr>
          <w:p w14:paraId="12CE8F51" w14:textId="77777777" w:rsidR="002C0FD9" w:rsidRPr="00CA25CF" w:rsidRDefault="002C0FD9" w:rsidP="00CA25CF">
            <w:pPr>
              <w:rPr>
                <w:rFonts w:cs="Arial"/>
                <w:color w:val="FF0000"/>
                <w:sz w:val="21"/>
                <w:szCs w:val="21"/>
              </w:rPr>
            </w:pPr>
          </w:p>
        </w:tc>
        <w:tc>
          <w:tcPr>
            <w:tcW w:w="217" w:type="dxa"/>
          </w:tcPr>
          <w:p w14:paraId="195CC555" w14:textId="77777777" w:rsidR="002C0FD9" w:rsidRPr="00CA25CF" w:rsidRDefault="002C0FD9" w:rsidP="00CA25CF">
            <w:pPr>
              <w:rPr>
                <w:rFonts w:cs="Arial"/>
                <w:color w:val="FF0000"/>
                <w:sz w:val="21"/>
                <w:szCs w:val="21"/>
              </w:rPr>
            </w:pPr>
          </w:p>
        </w:tc>
        <w:tc>
          <w:tcPr>
            <w:tcW w:w="217" w:type="dxa"/>
          </w:tcPr>
          <w:p w14:paraId="170B1C7B" w14:textId="77777777" w:rsidR="002C0FD9" w:rsidRPr="00CA25CF" w:rsidRDefault="002C0FD9" w:rsidP="00CA25CF">
            <w:pPr>
              <w:rPr>
                <w:rFonts w:cs="Arial"/>
                <w:color w:val="FF0000"/>
                <w:sz w:val="21"/>
                <w:szCs w:val="21"/>
              </w:rPr>
            </w:pPr>
          </w:p>
        </w:tc>
        <w:tc>
          <w:tcPr>
            <w:tcW w:w="217" w:type="dxa"/>
          </w:tcPr>
          <w:p w14:paraId="205062EB" w14:textId="77777777" w:rsidR="002C0FD9" w:rsidRPr="00CA25CF" w:rsidRDefault="002C0FD9" w:rsidP="00CA25CF">
            <w:pPr>
              <w:rPr>
                <w:rFonts w:cs="Arial"/>
                <w:color w:val="FF0000"/>
                <w:sz w:val="21"/>
                <w:szCs w:val="21"/>
              </w:rPr>
            </w:pPr>
          </w:p>
        </w:tc>
        <w:tc>
          <w:tcPr>
            <w:tcW w:w="217" w:type="dxa"/>
          </w:tcPr>
          <w:p w14:paraId="46EF88BE" w14:textId="77777777" w:rsidR="002C0FD9" w:rsidRPr="00CA25CF" w:rsidRDefault="002C0FD9" w:rsidP="00CA25CF">
            <w:pPr>
              <w:rPr>
                <w:rFonts w:cs="Arial"/>
                <w:color w:val="FF0000"/>
                <w:sz w:val="21"/>
                <w:szCs w:val="21"/>
              </w:rPr>
            </w:pPr>
          </w:p>
        </w:tc>
        <w:tc>
          <w:tcPr>
            <w:tcW w:w="217" w:type="dxa"/>
          </w:tcPr>
          <w:p w14:paraId="62101929" w14:textId="77777777" w:rsidR="002C0FD9" w:rsidRPr="00CA25CF" w:rsidRDefault="002C0FD9" w:rsidP="00CA25CF">
            <w:pPr>
              <w:rPr>
                <w:rFonts w:cs="Arial"/>
                <w:color w:val="FF0000"/>
                <w:sz w:val="21"/>
                <w:szCs w:val="21"/>
              </w:rPr>
            </w:pPr>
          </w:p>
        </w:tc>
        <w:tc>
          <w:tcPr>
            <w:tcW w:w="217" w:type="dxa"/>
          </w:tcPr>
          <w:p w14:paraId="1EA226B1" w14:textId="77777777" w:rsidR="002C0FD9" w:rsidRPr="00CA25CF" w:rsidRDefault="002C0FD9" w:rsidP="00CA25CF">
            <w:pPr>
              <w:rPr>
                <w:rFonts w:cs="Arial"/>
                <w:color w:val="FF0000"/>
                <w:sz w:val="21"/>
                <w:szCs w:val="21"/>
              </w:rPr>
            </w:pPr>
          </w:p>
        </w:tc>
        <w:tc>
          <w:tcPr>
            <w:tcW w:w="217" w:type="dxa"/>
          </w:tcPr>
          <w:p w14:paraId="4DB32440" w14:textId="77777777" w:rsidR="002C0FD9" w:rsidRPr="00CA25CF" w:rsidRDefault="002C0FD9" w:rsidP="00CA25CF">
            <w:pPr>
              <w:rPr>
                <w:rFonts w:cs="Arial"/>
                <w:color w:val="FF0000"/>
                <w:sz w:val="21"/>
                <w:szCs w:val="21"/>
              </w:rPr>
            </w:pPr>
          </w:p>
        </w:tc>
        <w:tc>
          <w:tcPr>
            <w:tcW w:w="217" w:type="dxa"/>
          </w:tcPr>
          <w:p w14:paraId="6C827DD2" w14:textId="77777777" w:rsidR="002C0FD9" w:rsidRPr="00CA25CF" w:rsidRDefault="002C0FD9" w:rsidP="00CA25CF">
            <w:pPr>
              <w:rPr>
                <w:rFonts w:cs="Arial"/>
                <w:color w:val="FF0000"/>
                <w:sz w:val="21"/>
                <w:szCs w:val="21"/>
              </w:rPr>
            </w:pPr>
          </w:p>
        </w:tc>
        <w:tc>
          <w:tcPr>
            <w:tcW w:w="217" w:type="dxa"/>
          </w:tcPr>
          <w:p w14:paraId="6521C192" w14:textId="77777777" w:rsidR="002C0FD9" w:rsidRPr="00CA25CF" w:rsidRDefault="002C0FD9" w:rsidP="00CA25CF">
            <w:pPr>
              <w:rPr>
                <w:rFonts w:cs="Arial"/>
                <w:color w:val="FF0000"/>
                <w:sz w:val="21"/>
                <w:szCs w:val="21"/>
              </w:rPr>
            </w:pPr>
          </w:p>
        </w:tc>
        <w:tc>
          <w:tcPr>
            <w:tcW w:w="217" w:type="dxa"/>
          </w:tcPr>
          <w:p w14:paraId="5B0BE79D" w14:textId="77777777" w:rsidR="002C0FD9" w:rsidRPr="00CA25CF" w:rsidRDefault="002C0FD9" w:rsidP="00CA25CF">
            <w:pPr>
              <w:rPr>
                <w:rFonts w:cs="Arial"/>
                <w:color w:val="FF0000"/>
                <w:sz w:val="21"/>
                <w:szCs w:val="21"/>
              </w:rPr>
            </w:pPr>
          </w:p>
        </w:tc>
        <w:tc>
          <w:tcPr>
            <w:tcW w:w="217" w:type="dxa"/>
          </w:tcPr>
          <w:p w14:paraId="72C14940" w14:textId="77777777" w:rsidR="002C0FD9" w:rsidRPr="00CA25CF" w:rsidRDefault="002C0FD9" w:rsidP="00CA25CF">
            <w:pPr>
              <w:rPr>
                <w:rFonts w:cs="Arial"/>
                <w:color w:val="FF0000"/>
                <w:sz w:val="21"/>
                <w:szCs w:val="21"/>
              </w:rPr>
            </w:pPr>
          </w:p>
        </w:tc>
        <w:tc>
          <w:tcPr>
            <w:tcW w:w="217" w:type="dxa"/>
          </w:tcPr>
          <w:p w14:paraId="7C240692" w14:textId="77777777" w:rsidR="002C0FD9" w:rsidRPr="00CA25CF" w:rsidRDefault="002C0FD9" w:rsidP="00CA25CF">
            <w:pPr>
              <w:rPr>
                <w:rFonts w:cs="Arial"/>
                <w:color w:val="FF0000"/>
                <w:sz w:val="21"/>
                <w:szCs w:val="21"/>
              </w:rPr>
            </w:pPr>
          </w:p>
        </w:tc>
        <w:tc>
          <w:tcPr>
            <w:tcW w:w="217" w:type="dxa"/>
          </w:tcPr>
          <w:p w14:paraId="0D1D05A7" w14:textId="77777777" w:rsidR="002C0FD9" w:rsidRPr="00CA25CF" w:rsidRDefault="002C0FD9" w:rsidP="00CA25CF">
            <w:pPr>
              <w:rPr>
                <w:rFonts w:cs="Arial"/>
                <w:color w:val="FF0000"/>
                <w:sz w:val="21"/>
                <w:szCs w:val="21"/>
              </w:rPr>
            </w:pPr>
          </w:p>
        </w:tc>
        <w:tc>
          <w:tcPr>
            <w:tcW w:w="217" w:type="dxa"/>
          </w:tcPr>
          <w:p w14:paraId="2D6E9FD3" w14:textId="77777777" w:rsidR="002C0FD9" w:rsidRPr="00CA25CF" w:rsidRDefault="002C0FD9" w:rsidP="00CA25CF">
            <w:pPr>
              <w:rPr>
                <w:rFonts w:cs="Arial"/>
                <w:color w:val="FF0000"/>
                <w:sz w:val="21"/>
                <w:szCs w:val="21"/>
              </w:rPr>
            </w:pPr>
          </w:p>
        </w:tc>
        <w:tc>
          <w:tcPr>
            <w:tcW w:w="217" w:type="dxa"/>
          </w:tcPr>
          <w:p w14:paraId="07F6386C" w14:textId="77777777" w:rsidR="002C0FD9" w:rsidRPr="00CA25CF" w:rsidRDefault="002C0FD9" w:rsidP="00CA25CF">
            <w:pPr>
              <w:rPr>
                <w:rFonts w:cs="Arial"/>
                <w:color w:val="FF0000"/>
                <w:sz w:val="21"/>
                <w:szCs w:val="21"/>
              </w:rPr>
            </w:pPr>
          </w:p>
        </w:tc>
        <w:tc>
          <w:tcPr>
            <w:tcW w:w="217" w:type="dxa"/>
          </w:tcPr>
          <w:p w14:paraId="0BDF47C0" w14:textId="77777777" w:rsidR="002C0FD9" w:rsidRPr="00CA25CF" w:rsidRDefault="002C0FD9" w:rsidP="00CA25CF">
            <w:pPr>
              <w:rPr>
                <w:rFonts w:cs="Arial"/>
                <w:color w:val="FF0000"/>
                <w:sz w:val="21"/>
                <w:szCs w:val="21"/>
              </w:rPr>
            </w:pPr>
          </w:p>
        </w:tc>
        <w:tc>
          <w:tcPr>
            <w:tcW w:w="217" w:type="dxa"/>
          </w:tcPr>
          <w:p w14:paraId="0FD0534A" w14:textId="77777777" w:rsidR="002C0FD9" w:rsidRPr="00CA25CF" w:rsidRDefault="002C0FD9" w:rsidP="00CA25CF">
            <w:pPr>
              <w:rPr>
                <w:rFonts w:cs="Arial"/>
                <w:color w:val="FF0000"/>
                <w:sz w:val="21"/>
                <w:szCs w:val="21"/>
              </w:rPr>
            </w:pPr>
          </w:p>
        </w:tc>
        <w:tc>
          <w:tcPr>
            <w:tcW w:w="217" w:type="dxa"/>
          </w:tcPr>
          <w:p w14:paraId="4617FCBF" w14:textId="77777777" w:rsidR="002C0FD9" w:rsidRPr="00CA25CF" w:rsidRDefault="002C0FD9" w:rsidP="00CA25CF">
            <w:pPr>
              <w:rPr>
                <w:rFonts w:cs="Arial"/>
                <w:color w:val="FF0000"/>
                <w:sz w:val="21"/>
                <w:szCs w:val="21"/>
              </w:rPr>
            </w:pPr>
          </w:p>
        </w:tc>
        <w:tc>
          <w:tcPr>
            <w:tcW w:w="217" w:type="dxa"/>
          </w:tcPr>
          <w:p w14:paraId="21481470" w14:textId="77777777" w:rsidR="002C0FD9" w:rsidRPr="00CA25CF" w:rsidRDefault="002C0FD9" w:rsidP="00CA25CF">
            <w:pPr>
              <w:rPr>
                <w:rFonts w:cs="Arial"/>
                <w:color w:val="FF0000"/>
                <w:sz w:val="21"/>
                <w:szCs w:val="21"/>
              </w:rPr>
            </w:pPr>
          </w:p>
        </w:tc>
        <w:tc>
          <w:tcPr>
            <w:tcW w:w="217" w:type="dxa"/>
          </w:tcPr>
          <w:p w14:paraId="6544D97D" w14:textId="77777777" w:rsidR="002C0FD9" w:rsidRPr="00CA25CF" w:rsidRDefault="002C0FD9" w:rsidP="00CA25CF">
            <w:pPr>
              <w:rPr>
                <w:rFonts w:cs="Arial"/>
                <w:color w:val="FF0000"/>
                <w:sz w:val="21"/>
                <w:szCs w:val="21"/>
              </w:rPr>
            </w:pPr>
          </w:p>
        </w:tc>
        <w:tc>
          <w:tcPr>
            <w:tcW w:w="217" w:type="dxa"/>
          </w:tcPr>
          <w:p w14:paraId="1D587138" w14:textId="77777777" w:rsidR="002C0FD9" w:rsidRPr="00CA25CF" w:rsidRDefault="002C0FD9" w:rsidP="00CA25CF">
            <w:pPr>
              <w:rPr>
                <w:rFonts w:cs="Arial"/>
                <w:color w:val="FF0000"/>
                <w:sz w:val="21"/>
                <w:szCs w:val="21"/>
              </w:rPr>
            </w:pPr>
          </w:p>
        </w:tc>
        <w:tc>
          <w:tcPr>
            <w:tcW w:w="217" w:type="dxa"/>
          </w:tcPr>
          <w:p w14:paraId="64FC3EE5" w14:textId="77777777" w:rsidR="002C0FD9" w:rsidRPr="00CA25CF" w:rsidRDefault="002C0FD9" w:rsidP="00CA25CF">
            <w:pPr>
              <w:rPr>
                <w:rFonts w:cs="Arial"/>
                <w:color w:val="FF0000"/>
                <w:sz w:val="21"/>
                <w:szCs w:val="21"/>
              </w:rPr>
            </w:pPr>
          </w:p>
        </w:tc>
        <w:tc>
          <w:tcPr>
            <w:tcW w:w="217" w:type="dxa"/>
          </w:tcPr>
          <w:p w14:paraId="3C05B0F5" w14:textId="77777777" w:rsidR="002C0FD9" w:rsidRPr="00CA25CF" w:rsidRDefault="002C0FD9" w:rsidP="00CA25CF">
            <w:pPr>
              <w:rPr>
                <w:rFonts w:cs="Arial"/>
                <w:color w:val="FF0000"/>
                <w:sz w:val="21"/>
                <w:szCs w:val="21"/>
              </w:rPr>
            </w:pPr>
          </w:p>
        </w:tc>
        <w:tc>
          <w:tcPr>
            <w:tcW w:w="217" w:type="dxa"/>
          </w:tcPr>
          <w:p w14:paraId="416271B5" w14:textId="77777777" w:rsidR="002C0FD9" w:rsidRPr="00CA25CF" w:rsidRDefault="002C0FD9" w:rsidP="00CA25CF">
            <w:pPr>
              <w:rPr>
                <w:rFonts w:cs="Arial"/>
                <w:color w:val="FF0000"/>
                <w:sz w:val="21"/>
                <w:szCs w:val="21"/>
              </w:rPr>
            </w:pPr>
          </w:p>
        </w:tc>
        <w:tc>
          <w:tcPr>
            <w:tcW w:w="217" w:type="dxa"/>
          </w:tcPr>
          <w:p w14:paraId="78B10A43" w14:textId="77777777" w:rsidR="002C0FD9" w:rsidRPr="00CA25CF" w:rsidRDefault="002C0FD9" w:rsidP="00CA25CF">
            <w:pPr>
              <w:rPr>
                <w:rFonts w:cs="Arial"/>
                <w:color w:val="FF0000"/>
                <w:sz w:val="21"/>
                <w:szCs w:val="21"/>
              </w:rPr>
            </w:pPr>
          </w:p>
        </w:tc>
      </w:tr>
      <w:tr w:rsidR="002C0FD9" w:rsidRPr="00A16219" w14:paraId="3F40C370" w14:textId="2FAF5660" w:rsidTr="002C0FD9">
        <w:trPr>
          <w:trHeight w:val="635"/>
        </w:trPr>
        <w:tc>
          <w:tcPr>
            <w:tcW w:w="515" w:type="dxa"/>
          </w:tcPr>
          <w:p w14:paraId="654E2157" w14:textId="77777777" w:rsidR="002C0FD9" w:rsidRPr="00CA25CF" w:rsidRDefault="002C0FD9" w:rsidP="00CA25CF">
            <w:pPr>
              <w:rPr>
                <w:rFonts w:cs="Arial"/>
                <w:color w:val="FF0000"/>
                <w:sz w:val="21"/>
                <w:szCs w:val="21"/>
              </w:rPr>
            </w:pPr>
          </w:p>
        </w:tc>
        <w:tc>
          <w:tcPr>
            <w:tcW w:w="217" w:type="dxa"/>
          </w:tcPr>
          <w:p w14:paraId="55EF9D8B" w14:textId="77777777" w:rsidR="002C0FD9" w:rsidRPr="00CA25CF" w:rsidRDefault="002C0FD9" w:rsidP="00CA25CF">
            <w:pPr>
              <w:rPr>
                <w:rFonts w:cs="Arial"/>
                <w:color w:val="FF0000"/>
                <w:sz w:val="21"/>
                <w:szCs w:val="21"/>
              </w:rPr>
            </w:pPr>
          </w:p>
        </w:tc>
        <w:tc>
          <w:tcPr>
            <w:tcW w:w="217" w:type="dxa"/>
          </w:tcPr>
          <w:p w14:paraId="0161F1E8" w14:textId="1FB09FCF" w:rsidR="002C0FD9" w:rsidRPr="00CA25CF" w:rsidRDefault="002C0FD9" w:rsidP="00CA25CF">
            <w:pPr>
              <w:rPr>
                <w:rFonts w:cs="Arial"/>
                <w:color w:val="FF0000"/>
                <w:sz w:val="21"/>
                <w:szCs w:val="21"/>
              </w:rPr>
            </w:pPr>
          </w:p>
        </w:tc>
        <w:tc>
          <w:tcPr>
            <w:tcW w:w="217" w:type="dxa"/>
          </w:tcPr>
          <w:p w14:paraId="258A08F4" w14:textId="77777777" w:rsidR="002C0FD9" w:rsidRPr="00CA25CF" w:rsidRDefault="002C0FD9" w:rsidP="00CA25CF">
            <w:pPr>
              <w:rPr>
                <w:rFonts w:cs="Arial"/>
                <w:color w:val="FF0000"/>
                <w:sz w:val="21"/>
                <w:szCs w:val="21"/>
              </w:rPr>
            </w:pPr>
          </w:p>
        </w:tc>
        <w:tc>
          <w:tcPr>
            <w:tcW w:w="217" w:type="dxa"/>
          </w:tcPr>
          <w:p w14:paraId="3B8650E8" w14:textId="77777777" w:rsidR="002C0FD9" w:rsidRPr="00CA25CF" w:rsidRDefault="002C0FD9" w:rsidP="00CA25CF">
            <w:pPr>
              <w:rPr>
                <w:rFonts w:cs="Arial"/>
                <w:color w:val="FF0000"/>
                <w:sz w:val="21"/>
                <w:szCs w:val="21"/>
              </w:rPr>
            </w:pPr>
          </w:p>
        </w:tc>
        <w:tc>
          <w:tcPr>
            <w:tcW w:w="217" w:type="dxa"/>
          </w:tcPr>
          <w:p w14:paraId="2ADAB893" w14:textId="77777777" w:rsidR="002C0FD9" w:rsidRPr="00CA25CF" w:rsidRDefault="002C0FD9" w:rsidP="00CA25CF">
            <w:pPr>
              <w:rPr>
                <w:rFonts w:cs="Arial"/>
                <w:color w:val="FF0000"/>
                <w:sz w:val="21"/>
                <w:szCs w:val="21"/>
              </w:rPr>
            </w:pPr>
          </w:p>
        </w:tc>
        <w:tc>
          <w:tcPr>
            <w:tcW w:w="217" w:type="dxa"/>
          </w:tcPr>
          <w:p w14:paraId="23E7AAEF" w14:textId="77777777" w:rsidR="002C0FD9" w:rsidRPr="00CA25CF" w:rsidRDefault="002C0FD9" w:rsidP="00CA25CF">
            <w:pPr>
              <w:rPr>
                <w:rFonts w:cs="Arial"/>
                <w:color w:val="FF0000"/>
                <w:sz w:val="21"/>
                <w:szCs w:val="21"/>
              </w:rPr>
            </w:pPr>
          </w:p>
        </w:tc>
        <w:tc>
          <w:tcPr>
            <w:tcW w:w="217" w:type="dxa"/>
          </w:tcPr>
          <w:p w14:paraId="099549E6" w14:textId="77777777" w:rsidR="002C0FD9" w:rsidRPr="00CA25CF" w:rsidRDefault="002C0FD9" w:rsidP="00CA25CF">
            <w:pPr>
              <w:rPr>
                <w:rFonts w:cs="Arial"/>
                <w:color w:val="FF0000"/>
                <w:sz w:val="21"/>
                <w:szCs w:val="21"/>
              </w:rPr>
            </w:pPr>
          </w:p>
        </w:tc>
        <w:tc>
          <w:tcPr>
            <w:tcW w:w="217" w:type="dxa"/>
          </w:tcPr>
          <w:p w14:paraId="3344FACC" w14:textId="77777777" w:rsidR="002C0FD9" w:rsidRPr="00CA25CF" w:rsidRDefault="002C0FD9" w:rsidP="00CA25CF">
            <w:pPr>
              <w:rPr>
                <w:rFonts w:cs="Arial"/>
                <w:color w:val="FF0000"/>
                <w:sz w:val="21"/>
                <w:szCs w:val="21"/>
              </w:rPr>
            </w:pPr>
          </w:p>
        </w:tc>
        <w:tc>
          <w:tcPr>
            <w:tcW w:w="217" w:type="dxa"/>
          </w:tcPr>
          <w:p w14:paraId="785645E3" w14:textId="77777777" w:rsidR="002C0FD9" w:rsidRPr="00CA25CF" w:rsidRDefault="002C0FD9" w:rsidP="00CA25CF">
            <w:pPr>
              <w:rPr>
                <w:rFonts w:cs="Arial"/>
                <w:color w:val="FF0000"/>
                <w:sz w:val="21"/>
                <w:szCs w:val="21"/>
              </w:rPr>
            </w:pPr>
          </w:p>
        </w:tc>
        <w:tc>
          <w:tcPr>
            <w:tcW w:w="217" w:type="dxa"/>
          </w:tcPr>
          <w:p w14:paraId="20C4173E" w14:textId="77777777" w:rsidR="002C0FD9" w:rsidRPr="00CA25CF" w:rsidRDefault="002C0FD9" w:rsidP="00CA25CF">
            <w:pPr>
              <w:rPr>
                <w:rFonts w:cs="Arial"/>
                <w:color w:val="FF0000"/>
                <w:sz w:val="21"/>
                <w:szCs w:val="21"/>
              </w:rPr>
            </w:pPr>
          </w:p>
        </w:tc>
        <w:tc>
          <w:tcPr>
            <w:tcW w:w="217" w:type="dxa"/>
          </w:tcPr>
          <w:p w14:paraId="1DBC7014" w14:textId="77777777" w:rsidR="002C0FD9" w:rsidRPr="00CA25CF" w:rsidRDefault="002C0FD9" w:rsidP="00CA25CF">
            <w:pPr>
              <w:rPr>
                <w:rFonts w:cs="Arial"/>
                <w:color w:val="FF0000"/>
                <w:sz w:val="21"/>
                <w:szCs w:val="21"/>
              </w:rPr>
            </w:pPr>
          </w:p>
        </w:tc>
        <w:tc>
          <w:tcPr>
            <w:tcW w:w="217" w:type="dxa"/>
          </w:tcPr>
          <w:p w14:paraId="61247ED6" w14:textId="77777777" w:rsidR="002C0FD9" w:rsidRPr="00CA25CF" w:rsidRDefault="002C0FD9" w:rsidP="00CA25CF">
            <w:pPr>
              <w:rPr>
                <w:rFonts w:cs="Arial"/>
                <w:color w:val="FF0000"/>
                <w:sz w:val="21"/>
                <w:szCs w:val="21"/>
              </w:rPr>
            </w:pPr>
          </w:p>
        </w:tc>
        <w:tc>
          <w:tcPr>
            <w:tcW w:w="217" w:type="dxa"/>
          </w:tcPr>
          <w:p w14:paraId="5022D433" w14:textId="77777777" w:rsidR="002C0FD9" w:rsidRPr="00CA25CF" w:rsidRDefault="002C0FD9" w:rsidP="00CA25CF">
            <w:pPr>
              <w:rPr>
                <w:rFonts w:cs="Arial"/>
                <w:color w:val="FF0000"/>
                <w:sz w:val="21"/>
                <w:szCs w:val="21"/>
              </w:rPr>
            </w:pPr>
          </w:p>
        </w:tc>
        <w:tc>
          <w:tcPr>
            <w:tcW w:w="217" w:type="dxa"/>
          </w:tcPr>
          <w:p w14:paraId="6333770D" w14:textId="77777777" w:rsidR="002C0FD9" w:rsidRPr="00CA25CF" w:rsidRDefault="002C0FD9" w:rsidP="00CA25CF">
            <w:pPr>
              <w:rPr>
                <w:rFonts w:cs="Arial"/>
                <w:color w:val="FF0000"/>
                <w:sz w:val="21"/>
                <w:szCs w:val="21"/>
              </w:rPr>
            </w:pPr>
          </w:p>
        </w:tc>
        <w:tc>
          <w:tcPr>
            <w:tcW w:w="217" w:type="dxa"/>
          </w:tcPr>
          <w:p w14:paraId="20A1B1EB" w14:textId="6D8F733E" w:rsidR="002C0FD9" w:rsidRPr="00CA25CF" w:rsidRDefault="002C0FD9" w:rsidP="00CA25CF">
            <w:pPr>
              <w:rPr>
                <w:rFonts w:cs="Arial"/>
                <w:color w:val="FF0000"/>
                <w:sz w:val="21"/>
                <w:szCs w:val="21"/>
              </w:rPr>
            </w:pPr>
          </w:p>
        </w:tc>
        <w:tc>
          <w:tcPr>
            <w:tcW w:w="217" w:type="dxa"/>
          </w:tcPr>
          <w:p w14:paraId="76334EEC" w14:textId="77777777" w:rsidR="002C0FD9" w:rsidRPr="00CA25CF" w:rsidRDefault="002C0FD9" w:rsidP="00CA25CF">
            <w:pPr>
              <w:rPr>
                <w:rFonts w:cs="Arial"/>
                <w:color w:val="FF0000"/>
                <w:sz w:val="21"/>
                <w:szCs w:val="21"/>
              </w:rPr>
            </w:pPr>
          </w:p>
        </w:tc>
        <w:tc>
          <w:tcPr>
            <w:tcW w:w="217" w:type="dxa"/>
          </w:tcPr>
          <w:p w14:paraId="2967A9AC" w14:textId="77777777" w:rsidR="002C0FD9" w:rsidRPr="00CA25CF" w:rsidRDefault="002C0FD9" w:rsidP="00CA25CF">
            <w:pPr>
              <w:rPr>
                <w:rFonts w:cs="Arial"/>
                <w:color w:val="FF0000"/>
                <w:sz w:val="21"/>
                <w:szCs w:val="21"/>
              </w:rPr>
            </w:pPr>
          </w:p>
        </w:tc>
        <w:tc>
          <w:tcPr>
            <w:tcW w:w="217" w:type="dxa"/>
          </w:tcPr>
          <w:p w14:paraId="08E50195" w14:textId="77777777" w:rsidR="002C0FD9" w:rsidRPr="00CA25CF" w:rsidRDefault="002C0FD9" w:rsidP="00CA25CF">
            <w:pPr>
              <w:rPr>
                <w:rFonts w:cs="Arial"/>
                <w:color w:val="FF0000"/>
                <w:sz w:val="21"/>
                <w:szCs w:val="21"/>
              </w:rPr>
            </w:pPr>
          </w:p>
        </w:tc>
        <w:tc>
          <w:tcPr>
            <w:tcW w:w="217" w:type="dxa"/>
          </w:tcPr>
          <w:p w14:paraId="547A594A" w14:textId="77777777" w:rsidR="002C0FD9" w:rsidRPr="00CA25CF" w:rsidRDefault="002C0FD9" w:rsidP="00CA25CF">
            <w:pPr>
              <w:rPr>
                <w:rFonts w:cs="Arial"/>
                <w:color w:val="FF0000"/>
                <w:sz w:val="21"/>
                <w:szCs w:val="21"/>
              </w:rPr>
            </w:pPr>
          </w:p>
        </w:tc>
        <w:tc>
          <w:tcPr>
            <w:tcW w:w="217" w:type="dxa"/>
          </w:tcPr>
          <w:p w14:paraId="74C05381" w14:textId="77777777" w:rsidR="002C0FD9" w:rsidRPr="00CA25CF" w:rsidRDefault="002C0FD9" w:rsidP="00CA25CF">
            <w:pPr>
              <w:rPr>
                <w:rFonts w:cs="Arial"/>
                <w:color w:val="FF0000"/>
                <w:sz w:val="21"/>
                <w:szCs w:val="21"/>
              </w:rPr>
            </w:pPr>
          </w:p>
        </w:tc>
        <w:tc>
          <w:tcPr>
            <w:tcW w:w="217" w:type="dxa"/>
          </w:tcPr>
          <w:p w14:paraId="11508416" w14:textId="77777777" w:rsidR="002C0FD9" w:rsidRPr="00CA25CF" w:rsidRDefault="002C0FD9" w:rsidP="00CA25CF">
            <w:pPr>
              <w:rPr>
                <w:rFonts w:cs="Arial"/>
                <w:color w:val="FF0000"/>
                <w:sz w:val="21"/>
                <w:szCs w:val="21"/>
              </w:rPr>
            </w:pPr>
          </w:p>
        </w:tc>
        <w:tc>
          <w:tcPr>
            <w:tcW w:w="217" w:type="dxa"/>
          </w:tcPr>
          <w:p w14:paraId="74917BC3" w14:textId="77777777" w:rsidR="002C0FD9" w:rsidRPr="00CA25CF" w:rsidRDefault="002C0FD9" w:rsidP="00CA25CF">
            <w:pPr>
              <w:rPr>
                <w:rFonts w:cs="Arial"/>
                <w:color w:val="FF0000"/>
                <w:sz w:val="21"/>
                <w:szCs w:val="21"/>
              </w:rPr>
            </w:pPr>
          </w:p>
        </w:tc>
        <w:tc>
          <w:tcPr>
            <w:tcW w:w="217" w:type="dxa"/>
          </w:tcPr>
          <w:p w14:paraId="0C45CE58" w14:textId="77777777" w:rsidR="002C0FD9" w:rsidRPr="00CA25CF" w:rsidRDefault="002C0FD9" w:rsidP="00CA25CF">
            <w:pPr>
              <w:rPr>
                <w:rFonts w:cs="Arial"/>
                <w:color w:val="FF0000"/>
                <w:sz w:val="21"/>
                <w:szCs w:val="21"/>
              </w:rPr>
            </w:pPr>
          </w:p>
        </w:tc>
        <w:tc>
          <w:tcPr>
            <w:tcW w:w="217" w:type="dxa"/>
          </w:tcPr>
          <w:p w14:paraId="6D09CC06" w14:textId="77777777" w:rsidR="002C0FD9" w:rsidRPr="00CA25CF" w:rsidRDefault="002C0FD9" w:rsidP="00CA25CF">
            <w:pPr>
              <w:rPr>
                <w:rFonts w:cs="Arial"/>
                <w:color w:val="FF0000"/>
                <w:sz w:val="21"/>
                <w:szCs w:val="21"/>
              </w:rPr>
            </w:pPr>
          </w:p>
        </w:tc>
        <w:tc>
          <w:tcPr>
            <w:tcW w:w="217" w:type="dxa"/>
          </w:tcPr>
          <w:p w14:paraId="2BE4FC04" w14:textId="77777777" w:rsidR="002C0FD9" w:rsidRPr="00CA25CF" w:rsidRDefault="002C0FD9" w:rsidP="00CA25CF">
            <w:pPr>
              <w:rPr>
                <w:rFonts w:cs="Arial"/>
                <w:color w:val="FF0000"/>
                <w:sz w:val="21"/>
                <w:szCs w:val="21"/>
              </w:rPr>
            </w:pPr>
          </w:p>
        </w:tc>
        <w:tc>
          <w:tcPr>
            <w:tcW w:w="217" w:type="dxa"/>
          </w:tcPr>
          <w:p w14:paraId="0AA4E645" w14:textId="77777777" w:rsidR="002C0FD9" w:rsidRPr="00CA25CF" w:rsidRDefault="002C0FD9" w:rsidP="00CA25CF">
            <w:pPr>
              <w:rPr>
                <w:rFonts w:cs="Arial"/>
                <w:color w:val="FF0000"/>
                <w:sz w:val="21"/>
                <w:szCs w:val="21"/>
              </w:rPr>
            </w:pPr>
          </w:p>
        </w:tc>
        <w:tc>
          <w:tcPr>
            <w:tcW w:w="217" w:type="dxa"/>
          </w:tcPr>
          <w:p w14:paraId="73229D1C" w14:textId="77777777" w:rsidR="002C0FD9" w:rsidRPr="00CA25CF" w:rsidRDefault="002C0FD9" w:rsidP="00CA25CF">
            <w:pPr>
              <w:rPr>
                <w:rFonts w:cs="Arial"/>
                <w:color w:val="FF0000"/>
                <w:sz w:val="21"/>
                <w:szCs w:val="21"/>
              </w:rPr>
            </w:pPr>
          </w:p>
        </w:tc>
        <w:tc>
          <w:tcPr>
            <w:tcW w:w="217" w:type="dxa"/>
          </w:tcPr>
          <w:p w14:paraId="11F23648" w14:textId="77777777" w:rsidR="002C0FD9" w:rsidRPr="00CA25CF" w:rsidRDefault="002C0FD9" w:rsidP="00CA25CF">
            <w:pPr>
              <w:rPr>
                <w:rFonts w:cs="Arial"/>
                <w:color w:val="FF0000"/>
                <w:sz w:val="21"/>
                <w:szCs w:val="21"/>
              </w:rPr>
            </w:pPr>
          </w:p>
        </w:tc>
        <w:tc>
          <w:tcPr>
            <w:tcW w:w="217" w:type="dxa"/>
          </w:tcPr>
          <w:p w14:paraId="14192C6B" w14:textId="77777777" w:rsidR="002C0FD9" w:rsidRPr="00CA25CF" w:rsidRDefault="002C0FD9" w:rsidP="00CA25CF">
            <w:pPr>
              <w:rPr>
                <w:rFonts w:cs="Arial"/>
                <w:color w:val="FF0000"/>
                <w:sz w:val="21"/>
                <w:szCs w:val="21"/>
              </w:rPr>
            </w:pPr>
          </w:p>
        </w:tc>
        <w:tc>
          <w:tcPr>
            <w:tcW w:w="217" w:type="dxa"/>
          </w:tcPr>
          <w:p w14:paraId="24C9CA8E" w14:textId="77777777" w:rsidR="002C0FD9" w:rsidRPr="00CA25CF" w:rsidRDefault="002C0FD9" w:rsidP="00CA25CF">
            <w:pPr>
              <w:rPr>
                <w:rFonts w:cs="Arial"/>
                <w:color w:val="FF0000"/>
                <w:sz w:val="21"/>
                <w:szCs w:val="21"/>
              </w:rPr>
            </w:pPr>
          </w:p>
        </w:tc>
        <w:tc>
          <w:tcPr>
            <w:tcW w:w="217" w:type="dxa"/>
          </w:tcPr>
          <w:p w14:paraId="6C6C8093" w14:textId="77777777" w:rsidR="002C0FD9" w:rsidRPr="00CA25CF" w:rsidRDefault="002C0FD9" w:rsidP="00CA25CF">
            <w:pPr>
              <w:rPr>
                <w:rFonts w:cs="Arial"/>
                <w:color w:val="FF0000"/>
                <w:sz w:val="21"/>
                <w:szCs w:val="21"/>
              </w:rPr>
            </w:pPr>
          </w:p>
        </w:tc>
        <w:tc>
          <w:tcPr>
            <w:tcW w:w="217" w:type="dxa"/>
          </w:tcPr>
          <w:p w14:paraId="198D8330" w14:textId="77777777" w:rsidR="002C0FD9" w:rsidRPr="00CA25CF" w:rsidRDefault="002C0FD9" w:rsidP="00CA25CF">
            <w:pPr>
              <w:rPr>
                <w:rFonts w:cs="Arial"/>
                <w:color w:val="FF0000"/>
                <w:sz w:val="21"/>
                <w:szCs w:val="21"/>
              </w:rPr>
            </w:pPr>
          </w:p>
        </w:tc>
        <w:tc>
          <w:tcPr>
            <w:tcW w:w="217" w:type="dxa"/>
          </w:tcPr>
          <w:p w14:paraId="64EE7E9C" w14:textId="77777777" w:rsidR="002C0FD9" w:rsidRPr="00CA25CF" w:rsidRDefault="002C0FD9" w:rsidP="00CA25CF">
            <w:pPr>
              <w:rPr>
                <w:rFonts w:cs="Arial"/>
                <w:color w:val="FF0000"/>
                <w:sz w:val="21"/>
                <w:szCs w:val="21"/>
              </w:rPr>
            </w:pPr>
          </w:p>
        </w:tc>
        <w:tc>
          <w:tcPr>
            <w:tcW w:w="217" w:type="dxa"/>
          </w:tcPr>
          <w:p w14:paraId="2C7C0D07" w14:textId="77777777" w:rsidR="002C0FD9" w:rsidRPr="00CA25CF" w:rsidRDefault="002C0FD9" w:rsidP="00CA25CF">
            <w:pPr>
              <w:rPr>
                <w:rFonts w:cs="Arial"/>
                <w:color w:val="FF0000"/>
                <w:sz w:val="21"/>
                <w:szCs w:val="21"/>
              </w:rPr>
            </w:pPr>
          </w:p>
        </w:tc>
        <w:tc>
          <w:tcPr>
            <w:tcW w:w="217" w:type="dxa"/>
          </w:tcPr>
          <w:p w14:paraId="2E0C7DAA" w14:textId="77777777" w:rsidR="002C0FD9" w:rsidRPr="00CA25CF" w:rsidRDefault="002C0FD9" w:rsidP="00CA25CF">
            <w:pPr>
              <w:rPr>
                <w:rFonts w:cs="Arial"/>
                <w:color w:val="FF0000"/>
                <w:sz w:val="21"/>
                <w:szCs w:val="21"/>
              </w:rPr>
            </w:pPr>
          </w:p>
        </w:tc>
        <w:tc>
          <w:tcPr>
            <w:tcW w:w="217" w:type="dxa"/>
          </w:tcPr>
          <w:p w14:paraId="303DBE79" w14:textId="77777777" w:rsidR="002C0FD9" w:rsidRPr="00CA25CF" w:rsidRDefault="002C0FD9" w:rsidP="00CA25CF">
            <w:pPr>
              <w:rPr>
                <w:rFonts w:cs="Arial"/>
                <w:color w:val="FF0000"/>
                <w:sz w:val="21"/>
                <w:szCs w:val="21"/>
              </w:rPr>
            </w:pPr>
          </w:p>
        </w:tc>
        <w:tc>
          <w:tcPr>
            <w:tcW w:w="217" w:type="dxa"/>
          </w:tcPr>
          <w:p w14:paraId="4BC0E805" w14:textId="77777777" w:rsidR="002C0FD9" w:rsidRPr="00CA25CF" w:rsidRDefault="002C0FD9" w:rsidP="00CA25CF">
            <w:pPr>
              <w:rPr>
                <w:rFonts w:cs="Arial"/>
                <w:color w:val="FF0000"/>
                <w:sz w:val="21"/>
                <w:szCs w:val="21"/>
              </w:rPr>
            </w:pPr>
          </w:p>
        </w:tc>
        <w:tc>
          <w:tcPr>
            <w:tcW w:w="217" w:type="dxa"/>
          </w:tcPr>
          <w:p w14:paraId="4291ED45" w14:textId="77777777" w:rsidR="002C0FD9" w:rsidRPr="00CA25CF" w:rsidRDefault="002C0FD9" w:rsidP="00CA25CF">
            <w:pPr>
              <w:rPr>
                <w:rFonts w:cs="Arial"/>
                <w:color w:val="FF0000"/>
                <w:sz w:val="21"/>
                <w:szCs w:val="21"/>
              </w:rPr>
            </w:pPr>
          </w:p>
        </w:tc>
        <w:tc>
          <w:tcPr>
            <w:tcW w:w="217" w:type="dxa"/>
          </w:tcPr>
          <w:p w14:paraId="734847A8" w14:textId="77777777" w:rsidR="002C0FD9" w:rsidRPr="00CA25CF" w:rsidRDefault="002C0FD9" w:rsidP="00CA25CF">
            <w:pPr>
              <w:rPr>
                <w:rFonts w:cs="Arial"/>
                <w:color w:val="FF0000"/>
                <w:sz w:val="21"/>
                <w:szCs w:val="21"/>
              </w:rPr>
            </w:pPr>
          </w:p>
        </w:tc>
        <w:tc>
          <w:tcPr>
            <w:tcW w:w="217" w:type="dxa"/>
          </w:tcPr>
          <w:p w14:paraId="36F1DED5" w14:textId="77777777" w:rsidR="002C0FD9" w:rsidRPr="00CA25CF" w:rsidRDefault="002C0FD9" w:rsidP="00CA25CF">
            <w:pPr>
              <w:rPr>
                <w:rFonts w:cs="Arial"/>
                <w:color w:val="FF0000"/>
                <w:sz w:val="21"/>
                <w:szCs w:val="21"/>
              </w:rPr>
            </w:pPr>
          </w:p>
        </w:tc>
        <w:tc>
          <w:tcPr>
            <w:tcW w:w="217" w:type="dxa"/>
          </w:tcPr>
          <w:p w14:paraId="77FE734F" w14:textId="77777777" w:rsidR="002C0FD9" w:rsidRPr="00CA25CF" w:rsidRDefault="002C0FD9" w:rsidP="00CA25CF">
            <w:pPr>
              <w:rPr>
                <w:rFonts w:cs="Arial"/>
                <w:color w:val="FF0000"/>
                <w:sz w:val="21"/>
                <w:szCs w:val="21"/>
              </w:rPr>
            </w:pPr>
          </w:p>
        </w:tc>
        <w:tc>
          <w:tcPr>
            <w:tcW w:w="217" w:type="dxa"/>
          </w:tcPr>
          <w:p w14:paraId="779A870C" w14:textId="77777777" w:rsidR="002C0FD9" w:rsidRPr="00CA25CF" w:rsidRDefault="002C0FD9" w:rsidP="00CA25CF">
            <w:pPr>
              <w:rPr>
                <w:rFonts w:cs="Arial"/>
                <w:color w:val="FF0000"/>
                <w:sz w:val="21"/>
                <w:szCs w:val="21"/>
              </w:rPr>
            </w:pPr>
          </w:p>
        </w:tc>
      </w:tr>
      <w:tr w:rsidR="002C0FD9" w:rsidRPr="00A16219" w14:paraId="1B04B719" w14:textId="030B1B38" w:rsidTr="002C0FD9">
        <w:trPr>
          <w:trHeight w:val="635"/>
        </w:trPr>
        <w:tc>
          <w:tcPr>
            <w:tcW w:w="515" w:type="dxa"/>
          </w:tcPr>
          <w:p w14:paraId="32967315" w14:textId="77777777" w:rsidR="002C0FD9" w:rsidRPr="00CA25CF" w:rsidRDefault="002C0FD9" w:rsidP="00CA25CF">
            <w:pPr>
              <w:rPr>
                <w:rFonts w:cs="Arial"/>
                <w:color w:val="FF0000"/>
                <w:sz w:val="21"/>
                <w:szCs w:val="21"/>
              </w:rPr>
            </w:pPr>
          </w:p>
        </w:tc>
        <w:tc>
          <w:tcPr>
            <w:tcW w:w="217" w:type="dxa"/>
          </w:tcPr>
          <w:p w14:paraId="5BB724B9" w14:textId="77777777" w:rsidR="002C0FD9" w:rsidRPr="00CA25CF" w:rsidRDefault="002C0FD9" w:rsidP="00CA25CF">
            <w:pPr>
              <w:rPr>
                <w:rFonts w:cs="Arial"/>
                <w:color w:val="FF0000"/>
                <w:sz w:val="21"/>
                <w:szCs w:val="21"/>
              </w:rPr>
            </w:pPr>
          </w:p>
        </w:tc>
        <w:tc>
          <w:tcPr>
            <w:tcW w:w="217" w:type="dxa"/>
          </w:tcPr>
          <w:p w14:paraId="50C9CCD6" w14:textId="7ACE69A0" w:rsidR="002C0FD9" w:rsidRPr="00CA25CF" w:rsidRDefault="002C0FD9" w:rsidP="00CA25CF">
            <w:pPr>
              <w:rPr>
                <w:rFonts w:cs="Arial"/>
                <w:color w:val="FF0000"/>
                <w:sz w:val="21"/>
                <w:szCs w:val="21"/>
              </w:rPr>
            </w:pPr>
          </w:p>
        </w:tc>
        <w:tc>
          <w:tcPr>
            <w:tcW w:w="217" w:type="dxa"/>
          </w:tcPr>
          <w:p w14:paraId="68C41045" w14:textId="77777777" w:rsidR="002C0FD9" w:rsidRPr="00CA25CF" w:rsidRDefault="002C0FD9" w:rsidP="00CA25CF">
            <w:pPr>
              <w:rPr>
                <w:rFonts w:cs="Arial"/>
                <w:color w:val="FF0000"/>
                <w:sz w:val="21"/>
                <w:szCs w:val="21"/>
              </w:rPr>
            </w:pPr>
          </w:p>
        </w:tc>
        <w:tc>
          <w:tcPr>
            <w:tcW w:w="217" w:type="dxa"/>
          </w:tcPr>
          <w:p w14:paraId="44B121CD" w14:textId="77777777" w:rsidR="002C0FD9" w:rsidRPr="00CA25CF" w:rsidRDefault="002C0FD9" w:rsidP="00CA25CF">
            <w:pPr>
              <w:rPr>
                <w:rFonts w:cs="Arial"/>
                <w:color w:val="FF0000"/>
                <w:sz w:val="21"/>
                <w:szCs w:val="21"/>
              </w:rPr>
            </w:pPr>
          </w:p>
        </w:tc>
        <w:tc>
          <w:tcPr>
            <w:tcW w:w="217" w:type="dxa"/>
          </w:tcPr>
          <w:p w14:paraId="5A6A7D2E" w14:textId="77777777" w:rsidR="002C0FD9" w:rsidRPr="00CA25CF" w:rsidRDefault="002C0FD9" w:rsidP="00CA25CF">
            <w:pPr>
              <w:rPr>
                <w:rFonts w:cs="Arial"/>
                <w:color w:val="FF0000"/>
                <w:sz w:val="21"/>
                <w:szCs w:val="21"/>
              </w:rPr>
            </w:pPr>
          </w:p>
        </w:tc>
        <w:tc>
          <w:tcPr>
            <w:tcW w:w="217" w:type="dxa"/>
          </w:tcPr>
          <w:p w14:paraId="42512108" w14:textId="77777777" w:rsidR="002C0FD9" w:rsidRPr="00CA25CF" w:rsidRDefault="002C0FD9" w:rsidP="00CA25CF">
            <w:pPr>
              <w:rPr>
                <w:rFonts w:cs="Arial"/>
                <w:color w:val="FF0000"/>
                <w:sz w:val="21"/>
                <w:szCs w:val="21"/>
              </w:rPr>
            </w:pPr>
          </w:p>
        </w:tc>
        <w:tc>
          <w:tcPr>
            <w:tcW w:w="217" w:type="dxa"/>
          </w:tcPr>
          <w:p w14:paraId="3D6D0925" w14:textId="77777777" w:rsidR="002C0FD9" w:rsidRPr="00CA25CF" w:rsidRDefault="002C0FD9" w:rsidP="00CA25CF">
            <w:pPr>
              <w:rPr>
                <w:rFonts w:cs="Arial"/>
                <w:color w:val="FF0000"/>
                <w:sz w:val="21"/>
                <w:szCs w:val="21"/>
              </w:rPr>
            </w:pPr>
          </w:p>
        </w:tc>
        <w:tc>
          <w:tcPr>
            <w:tcW w:w="217" w:type="dxa"/>
          </w:tcPr>
          <w:p w14:paraId="38B686B9" w14:textId="77777777" w:rsidR="002C0FD9" w:rsidRPr="00CA25CF" w:rsidRDefault="002C0FD9" w:rsidP="00CA25CF">
            <w:pPr>
              <w:rPr>
                <w:rFonts w:cs="Arial"/>
                <w:color w:val="FF0000"/>
                <w:sz w:val="21"/>
                <w:szCs w:val="21"/>
              </w:rPr>
            </w:pPr>
          </w:p>
        </w:tc>
        <w:tc>
          <w:tcPr>
            <w:tcW w:w="217" w:type="dxa"/>
          </w:tcPr>
          <w:p w14:paraId="4D5B3728" w14:textId="77777777" w:rsidR="002C0FD9" w:rsidRPr="00CA25CF" w:rsidRDefault="002C0FD9" w:rsidP="00CA25CF">
            <w:pPr>
              <w:rPr>
                <w:rFonts w:cs="Arial"/>
                <w:color w:val="FF0000"/>
                <w:sz w:val="21"/>
                <w:szCs w:val="21"/>
              </w:rPr>
            </w:pPr>
          </w:p>
        </w:tc>
        <w:tc>
          <w:tcPr>
            <w:tcW w:w="217" w:type="dxa"/>
          </w:tcPr>
          <w:p w14:paraId="3F5FCC1A" w14:textId="77777777" w:rsidR="002C0FD9" w:rsidRPr="00CA25CF" w:rsidRDefault="002C0FD9" w:rsidP="00CA25CF">
            <w:pPr>
              <w:rPr>
                <w:rFonts w:cs="Arial"/>
                <w:color w:val="FF0000"/>
                <w:sz w:val="21"/>
                <w:szCs w:val="21"/>
              </w:rPr>
            </w:pPr>
          </w:p>
        </w:tc>
        <w:tc>
          <w:tcPr>
            <w:tcW w:w="217" w:type="dxa"/>
          </w:tcPr>
          <w:p w14:paraId="5925E1BA" w14:textId="77777777" w:rsidR="002C0FD9" w:rsidRPr="00CA25CF" w:rsidRDefault="002C0FD9" w:rsidP="00CA25CF">
            <w:pPr>
              <w:rPr>
                <w:rFonts w:cs="Arial"/>
                <w:color w:val="FF0000"/>
                <w:sz w:val="21"/>
                <w:szCs w:val="21"/>
              </w:rPr>
            </w:pPr>
          </w:p>
        </w:tc>
        <w:tc>
          <w:tcPr>
            <w:tcW w:w="217" w:type="dxa"/>
          </w:tcPr>
          <w:p w14:paraId="1D518612" w14:textId="77777777" w:rsidR="002C0FD9" w:rsidRPr="00CA25CF" w:rsidRDefault="002C0FD9" w:rsidP="00CA25CF">
            <w:pPr>
              <w:rPr>
                <w:rFonts w:cs="Arial"/>
                <w:color w:val="FF0000"/>
                <w:sz w:val="21"/>
                <w:szCs w:val="21"/>
              </w:rPr>
            </w:pPr>
          </w:p>
        </w:tc>
        <w:tc>
          <w:tcPr>
            <w:tcW w:w="217" w:type="dxa"/>
          </w:tcPr>
          <w:p w14:paraId="5B9130C9" w14:textId="77777777" w:rsidR="002C0FD9" w:rsidRPr="00CA25CF" w:rsidRDefault="002C0FD9" w:rsidP="00CA25CF">
            <w:pPr>
              <w:rPr>
                <w:rFonts w:cs="Arial"/>
                <w:color w:val="FF0000"/>
                <w:sz w:val="21"/>
                <w:szCs w:val="21"/>
              </w:rPr>
            </w:pPr>
          </w:p>
        </w:tc>
        <w:tc>
          <w:tcPr>
            <w:tcW w:w="217" w:type="dxa"/>
          </w:tcPr>
          <w:p w14:paraId="6C097D76" w14:textId="77777777" w:rsidR="002C0FD9" w:rsidRPr="00CA25CF" w:rsidRDefault="002C0FD9" w:rsidP="00CA25CF">
            <w:pPr>
              <w:rPr>
                <w:rFonts w:cs="Arial"/>
                <w:color w:val="FF0000"/>
                <w:sz w:val="21"/>
                <w:szCs w:val="21"/>
              </w:rPr>
            </w:pPr>
          </w:p>
        </w:tc>
        <w:tc>
          <w:tcPr>
            <w:tcW w:w="217" w:type="dxa"/>
          </w:tcPr>
          <w:p w14:paraId="0CCE7410" w14:textId="6D7EE8D1" w:rsidR="002C0FD9" w:rsidRPr="00CA25CF" w:rsidRDefault="002C0FD9" w:rsidP="00CA25CF">
            <w:pPr>
              <w:rPr>
                <w:rFonts w:cs="Arial"/>
                <w:color w:val="FF0000"/>
                <w:sz w:val="21"/>
                <w:szCs w:val="21"/>
              </w:rPr>
            </w:pPr>
          </w:p>
        </w:tc>
        <w:tc>
          <w:tcPr>
            <w:tcW w:w="217" w:type="dxa"/>
          </w:tcPr>
          <w:p w14:paraId="674743BB" w14:textId="77777777" w:rsidR="002C0FD9" w:rsidRPr="00CA25CF" w:rsidRDefault="002C0FD9" w:rsidP="00CA25CF">
            <w:pPr>
              <w:rPr>
                <w:rFonts w:cs="Arial"/>
                <w:color w:val="FF0000"/>
                <w:sz w:val="21"/>
                <w:szCs w:val="21"/>
              </w:rPr>
            </w:pPr>
          </w:p>
        </w:tc>
        <w:tc>
          <w:tcPr>
            <w:tcW w:w="217" w:type="dxa"/>
          </w:tcPr>
          <w:p w14:paraId="33FE466F" w14:textId="77777777" w:rsidR="002C0FD9" w:rsidRPr="00CA25CF" w:rsidRDefault="002C0FD9" w:rsidP="00CA25CF">
            <w:pPr>
              <w:rPr>
                <w:rFonts w:cs="Arial"/>
                <w:color w:val="FF0000"/>
                <w:sz w:val="21"/>
                <w:szCs w:val="21"/>
              </w:rPr>
            </w:pPr>
          </w:p>
        </w:tc>
        <w:tc>
          <w:tcPr>
            <w:tcW w:w="217" w:type="dxa"/>
          </w:tcPr>
          <w:p w14:paraId="3CE0E093" w14:textId="77777777" w:rsidR="002C0FD9" w:rsidRPr="00CA25CF" w:rsidRDefault="002C0FD9" w:rsidP="00CA25CF">
            <w:pPr>
              <w:rPr>
                <w:rFonts w:cs="Arial"/>
                <w:color w:val="FF0000"/>
                <w:sz w:val="21"/>
                <w:szCs w:val="21"/>
              </w:rPr>
            </w:pPr>
          </w:p>
        </w:tc>
        <w:tc>
          <w:tcPr>
            <w:tcW w:w="217" w:type="dxa"/>
          </w:tcPr>
          <w:p w14:paraId="1A142F7C" w14:textId="77777777" w:rsidR="002C0FD9" w:rsidRPr="00CA25CF" w:rsidRDefault="002C0FD9" w:rsidP="00CA25CF">
            <w:pPr>
              <w:rPr>
                <w:rFonts w:cs="Arial"/>
                <w:color w:val="FF0000"/>
                <w:sz w:val="21"/>
                <w:szCs w:val="21"/>
              </w:rPr>
            </w:pPr>
          </w:p>
        </w:tc>
        <w:tc>
          <w:tcPr>
            <w:tcW w:w="217" w:type="dxa"/>
          </w:tcPr>
          <w:p w14:paraId="136E77D9" w14:textId="77777777" w:rsidR="002C0FD9" w:rsidRPr="00CA25CF" w:rsidRDefault="002C0FD9" w:rsidP="00CA25CF">
            <w:pPr>
              <w:rPr>
                <w:rFonts w:cs="Arial"/>
                <w:color w:val="FF0000"/>
                <w:sz w:val="21"/>
                <w:szCs w:val="21"/>
              </w:rPr>
            </w:pPr>
          </w:p>
        </w:tc>
        <w:tc>
          <w:tcPr>
            <w:tcW w:w="217" w:type="dxa"/>
          </w:tcPr>
          <w:p w14:paraId="0FF88478" w14:textId="77777777" w:rsidR="002C0FD9" w:rsidRPr="00CA25CF" w:rsidRDefault="002C0FD9" w:rsidP="00CA25CF">
            <w:pPr>
              <w:rPr>
                <w:rFonts w:cs="Arial"/>
                <w:color w:val="FF0000"/>
                <w:sz w:val="21"/>
                <w:szCs w:val="21"/>
              </w:rPr>
            </w:pPr>
          </w:p>
        </w:tc>
        <w:tc>
          <w:tcPr>
            <w:tcW w:w="217" w:type="dxa"/>
          </w:tcPr>
          <w:p w14:paraId="5C1FDB81" w14:textId="77777777" w:rsidR="002C0FD9" w:rsidRPr="00CA25CF" w:rsidRDefault="002C0FD9" w:rsidP="00CA25CF">
            <w:pPr>
              <w:rPr>
                <w:rFonts w:cs="Arial"/>
                <w:color w:val="FF0000"/>
                <w:sz w:val="21"/>
                <w:szCs w:val="21"/>
              </w:rPr>
            </w:pPr>
          </w:p>
        </w:tc>
        <w:tc>
          <w:tcPr>
            <w:tcW w:w="217" w:type="dxa"/>
          </w:tcPr>
          <w:p w14:paraId="4D34CB7E" w14:textId="77777777" w:rsidR="002C0FD9" w:rsidRPr="00CA25CF" w:rsidRDefault="002C0FD9" w:rsidP="00CA25CF">
            <w:pPr>
              <w:rPr>
                <w:rFonts w:cs="Arial"/>
                <w:color w:val="FF0000"/>
                <w:sz w:val="21"/>
                <w:szCs w:val="21"/>
              </w:rPr>
            </w:pPr>
          </w:p>
        </w:tc>
        <w:tc>
          <w:tcPr>
            <w:tcW w:w="217" w:type="dxa"/>
          </w:tcPr>
          <w:p w14:paraId="7D6F7344" w14:textId="77777777" w:rsidR="002C0FD9" w:rsidRPr="00CA25CF" w:rsidRDefault="002C0FD9" w:rsidP="00CA25CF">
            <w:pPr>
              <w:rPr>
                <w:rFonts w:cs="Arial"/>
                <w:color w:val="FF0000"/>
                <w:sz w:val="21"/>
                <w:szCs w:val="21"/>
              </w:rPr>
            </w:pPr>
          </w:p>
        </w:tc>
        <w:tc>
          <w:tcPr>
            <w:tcW w:w="217" w:type="dxa"/>
          </w:tcPr>
          <w:p w14:paraId="37A5F762" w14:textId="77777777" w:rsidR="002C0FD9" w:rsidRPr="00CA25CF" w:rsidRDefault="002C0FD9" w:rsidP="00CA25CF">
            <w:pPr>
              <w:rPr>
                <w:rFonts w:cs="Arial"/>
                <w:color w:val="FF0000"/>
                <w:sz w:val="21"/>
                <w:szCs w:val="21"/>
              </w:rPr>
            </w:pPr>
          </w:p>
        </w:tc>
        <w:tc>
          <w:tcPr>
            <w:tcW w:w="217" w:type="dxa"/>
          </w:tcPr>
          <w:p w14:paraId="751031DB" w14:textId="77777777" w:rsidR="002C0FD9" w:rsidRPr="00CA25CF" w:rsidRDefault="002C0FD9" w:rsidP="00CA25CF">
            <w:pPr>
              <w:rPr>
                <w:rFonts w:cs="Arial"/>
                <w:color w:val="FF0000"/>
                <w:sz w:val="21"/>
                <w:szCs w:val="21"/>
              </w:rPr>
            </w:pPr>
          </w:p>
        </w:tc>
        <w:tc>
          <w:tcPr>
            <w:tcW w:w="217" w:type="dxa"/>
          </w:tcPr>
          <w:p w14:paraId="095594CD" w14:textId="77777777" w:rsidR="002C0FD9" w:rsidRPr="00CA25CF" w:rsidRDefault="002C0FD9" w:rsidP="00CA25CF">
            <w:pPr>
              <w:rPr>
                <w:rFonts w:cs="Arial"/>
                <w:color w:val="FF0000"/>
                <w:sz w:val="21"/>
                <w:szCs w:val="21"/>
              </w:rPr>
            </w:pPr>
          </w:p>
        </w:tc>
        <w:tc>
          <w:tcPr>
            <w:tcW w:w="217" w:type="dxa"/>
          </w:tcPr>
          <w:p w14:paraId="333A21B7" w14:textId="77777777" w:rsidR="002C0FD9" w:rsidRPr="00CA25CF" w:rsidRDefault="002C0FD9" w:rsidP="00CA25CF">
            <w:pPr>
              <w:rPr>
                <w:rFonts w:cs="Arial"/>
                <w:color w:val="FF0000"/>
                <w:sz w:val="21"/>
                <w:szCs w:val="21"/>
              </w:rPr>
            </w:pPr>
          </w:p>
        </w:tc>
        <w:tc>
          <w:tcPr>
            <w:tcW w:w="217" w:type="dxa"/>
          </w:tcPr>
          <w:p w14:paraId="582C2785" w14:textId="77777777" w:rsidR="002C0FD9" w:rsidRPr="00CA25CF" w:rsidRDefault="002C0FD9" w:rsidP="00CA25CF">
            <w:pPr>
              <w:rPr>
                <w:rFonts w:cs="Arial"/>
                <w:color w:val="FF0000"/>
                <w:sz w:val="21"/>
                <w:szCs w:val="21"/>
              </w:rPr>
            </w:pPr>
          </w:p>
        </w:tc>
        <w:tc>
          <w:tcPr>
            <w:tcW w:w="217" w:type="dxa"/>
          </w:tcPr>
          <w:p w14:paraId="30F50271" w14:textId="77777777" w:rsidR="002C0FD9" w:rsidRPr="00CA25CF" w:rsidRDefault="002C0FD9" w:rsidP="00CA25CF">
            <w:pPr>
              <w:rPr>
                <w:rFonts w:cs="Arial"/>
                <w:color w:val="FF0000"/>
                <w:sz w:val="21"/>
                <w:szCs w:val="21"/>
              </w:rPr>
            </w:pPr>
          </w:p>
        </w:tc>
        <w:tc>
          <w:tcPr>
            <w:tcW w:w="217" w:type="dxa"/>
          </w:tcPr>
          <w:p w14:paraId="426B7CD2" w14:textId="77777777" w:rsidR="002C0FD9" w:rsidRPr="00CA25CF" w:rsidRDefault="002C0FD9" w:rsidP="00CA25CF">
            <w:pPr>
              <w:rPr>
                <w:rFonts w:cs="Arial"/>
                <w:color w:val="FF0000"/>
                <w:sz w:val="21"/>
                <w:szCs w:val="21"/>
              </w:rPr>
            </w:pPr>
          </w:p>
        </w:tc>
        <w:tc>
          <w:tcPr>
            <w:tcW w:w="217" w:type="dxa"/>
          </w:tcPr>
          <w:p w14:paraId="30A060FA" w14:textId="77777777" w:rsidR="002C0FD9" w:rsidRPr="00CA25CF" w:rsidRDefault="002C0FD9" w:rsidP="00CA25CF">
            <w:pPr>
              <w:rPr>
                <w:rFonts w:cs="Arial"/>
                <w:color w:val="FF0000"/>
                <w:sz w:val="21"/>
                <w:szCs w:val="21"/>
              </w:rPr>
            </w:pPr>
          </w:p>
        </w:tc>
        <w:tc>
          <w:tcPr>
            <w:tcW w:w="217" w:type="dxa"/>
          </w:tcPr>
          <w:p w14:paraId="13B524C0" w14:textId="77777777" w:rsidR="002C0FD9" w:rsidRPr="00CA25CF" w:rsidRDefault="002C0FD9" w:rsidP="00CA25CF">
            <w:pPr>
              <w:rPr>
                <w:rFonts w:cs="Arial"/>
                <w:color w:val="FF0000"/>
                <w:sz w:val="21"/>
                <w:szCs w:val="21"/>
              </w:rPr>
            </w:pPr>
          </w:p>
        </w:tc>
        <w:tc>
          <w:tcPr>
            <w:tcW w:w="217" w:type="dxa"/>
          </w:tcPr>
          <w:p w14:paraId="274F89A2" w14:textId="77777777" w:rsidR="002C0FD9" w:rsidRPr="00CA25CF" w:rsidRDefault="002C0FD9" w:rsidP="00CA25CF">
            <w:pPr>
              <w:rPr>
                <w:rFonts w:cs="Arial"/>
                <w:color w:val="FF0000"/>
                <w:sz w:val="21"/>
                <w:szCs w:val="21"/>
              </w:rPr>
            </w:pPr>
          </w:p>
        </w:tc>
        <w:tc>
          <w:tcPr>
            <w:tcW w:w="217" w:type="dxa"/>
          </w:tcPr>
          <w:p w14:paraId="315FC1F3" w14:textId="77777777" w:rsidR="002C0FD9" w:rsidRPr="00CA25CF" w:rsidRDefault="002C0FD9" w:rsidP="00CA25CF">
            <w:pPr>
              <w:rPr>
                <w:rFonts w:cs="Arial"/>
                <w:color w:val="FF0000"/>
                <w:sz w:val="21"/>
                <w:szCs w:val="21"/>
              </w:rPr>
            </w:pPr>
          </w:p>
        </w:tc>
        <w:tc>
          <w:tcPr>
            <w:tcW w:w="217" w:type="dxa"/>
          </w:tcPr>
          <w:p w14:paraId="41A066A9" w14:textId="77777777" w:rsidR="002C0FD9" w:rsidRPr="00CA25CF" w:rsidRDefault="002C0FD9" w:rsidP="00CA25CF">
            <w:pPr>
              <w:rPr>
                <w:rFonts w:cs="Arial"/>
                <w:color w:val="FF0000"/>
                <w:sz w:val="21"/>
                <w:szCs w:val="21"/>
              </w:rPr>
            </w:pPr>
          </w:p>
        </w:tc>
        <w:tc>
          <w:tcPr>
            <w:tcW w:w="217" w:type="dxa"/>
          </w:tcPr>
          <w:p w14:paraId="418F4400" w14:textId="77777777" w:rsidR="002C0FD9" w:rsidRPr="00CA25CF" w:rsidRDefault="002C0FD9" w:rsidP="00CA25CF">
            <w:pPr>
              <w:rPr>
                <w:rFonts w:cs="Arial"/>
                <w:color w:val="FF0000"/>
                <w:sz w:val="21"/>
                <w:szCs w:val="21"/>
              </w:rPr>
            </w:pPr>
          </w:p>
        </w:tc>
        <w:tc>
          <w:tcPr>
            <w:tcW w:w="217" w:type="dxa"/>
          </w:tcPr>
          <w:p w14:paraId="30308F57" w14:textId="77777777" w:rsidR="002C0FD9" w:rsidRPr="00CA25CF" w:rsidRDefault="002C0FD9" w:rsidP="00CA25CF">
            <w:pPr>
              <w:rPr>
                <w:rFonts w:cs="Arial"/>
                <w:color w:val="FF0000"/>
                <w:sz w:val="21"/>
                <w:szCs w:val="21"/>
              </w:rPr>
            </w:pPr>
          </w:p>
        </w:tc>
        <w:tc>
          <w:tcPr>
            <w:tcW w:w="217" w:type="dxa"/>
          </w:tcPr>
          <w:p w14:paraId="51F7C031" w14:textId="77777777" w:rsidR="002C0FD9" w:rsidRPr="00CA25CF" w:rsidRDefault="002C0FD9" w:rsidP="00CA25CF">
            <w:pPr>
              <w:rPr>
                <w:rFonts w:cs="Arial"/>
                <w:color w:val="FF0000"/>
                <w:sz w:val="21"/>
                <w:szCs w:val="21"/>
              </w:rPr>
            </w:pPr>
          </w:p>
        </w:tc>
        <w:tc>
          <w:tcPr>
            <w:tcW w:w="217" w:type="dxa"/>
          </w:tcPr>
          <w:p w14:paraId="2894EB7F" w14:textId="77777777" w:rsidR="002C0FD9" w:rsidRPr="00CA25CF" w:rsidRDefault="002C0FD9" w:rsidP="00CA25CF">
            <w:pPr>
              <w:rPr>
                <w:rFonts w:cs="Arial"/>
                <w:color w:val="FF0000"/>
                <w:sz w:val="21"/>
                <w:szCs w:val="21"/>
              </w:rPr>
            </w:pPr>
          </w:p>
        </w:tc>
        <w:tc>
          <w:tcPr>
            <w:tcW w:w="217" w:type="dxa"/>
          </w:tcPr>
          <w:p w14:paraId="741B3CDA" w14:textId="77777777" w:rsidR="002C0FD9" w:rsidRPr="00CA25CF" w:rsidRDefault="002C0FD9" w:rsidP="00CA25CF">
            <w:pPr>
              <w:rPr>
                <w:rFonts w:cs="Arial"/>
                <w:color w:val="FF0000"/>
                <w:sz w:val="21"/>
                <w:szCs w:val="21"/>
              </w:rPr>
            </w:pPr>
          </w:p>
        </w:tc>
        <w:tc>
          <w:tcPr>
            <w:tcW w:w="217" w:type="dxa"/>
          </w:tcPr>
          <w:p w14:paraId="53FA6F9B" w14:textId="77777777" w:rsidR="002C0FD9" w:rsidRPr="00CA25CF" w:rsidRDefault="002C0FD9" w:rsidP="00CA25CF">
            <w:pPr>
              <w:rPr>
                <w:rFonts w:cs="Arial"/>
                <w:color w:val="FF0000"/>
                <w:sz w:val="21"/>
                <w:szCs w:val="21"/>
              </w:rPr>
            </w:pPr>
          </w:p>
        </w:tc>
      </w:tr>
      <w:tr w:rsidR="002C0FD9" w:rsidRPr="00A16219" w14:paraId="0CBC1B23" w14:textId="6FB11565" w:rsidTr="002C0FD9">
        <w:trPr>
          <w:trHeight w:val="635"/>
        </w:trPr>
        <w:tc>
          <w:tcPr>
            <w:tcW w:w="515" w:type="dxa"/>
          </w:tcPr>
          <w:p w14:paraId="1EF0E7B7" w14:textId="77777777" w:rsidR="002C0FD9" w:rsidRPr="00CA25CF" w:rsidRDefault="002C0FD9" w:rsidP="00CA25CF">
            <w:pPr>
              <w:rPr>
                <w:rFonts w:cs="Arial"/>
                <w:color w:val="FF0000"/>
                <w:sz w:val="21"/>
                <w:szCs w:val="21"/>
              </w:rPr>
            </w:pPr>
          </w:p>
        </w:tc>
        <w:tc>
          <w:tcPr>
            <w:tcW w:w="217" w:type="dxa"/>
          </w:tcPr>
          <w:p w14:paraId="0378910D" w14:textId="77777777" w:rsidR="002C0FD9" w:rsidRPr="00CA25CF" w:rsidRDefault="002C0FD9" w:rsidP="00CA25CF">
            <w:pPr>
              <w:rPr>
                <w:rFonts w:cs="Arial"/>
                <w:color w:val="FF0000"/>
                <w:sz w:val="21"/>
                <w:szCs w:val="21"/>
              </w:rPr>
            </w:pPr>
          </w:p>
        </w:tc>
        <w:tc>
          <w:tcPr>
            <w:tcW w:w="217" w:type="dxa"/>
          </w:tcPr>
          <w:p w14:paraId="1AF622B6" w14:textId="4F3370BB" w:rsidR="002C0FD9" w:rsidRPr="00CA25CF" w:rsidRDefault="002C0FD9" w:rsidP="00CA25CF">
            <w:pPr>
              <w:rPr>
                <w:rFonts w:cs="Arial"/>
                <w:color w:val="FF0000"/>
                <w:sz w:val="21"/>
                <w:szCs w:val="21"/>
              </w:rPr>
            </w:pPr>
          </w:p>
        </w:tc>
        <w:tc>
          <w:tcPr>
            <w:tcW w:w="217" w:type="dxa"/>
          </w:tcPr>
          <w:p w14:paraId="6F9E61AD" w14:textId="77777777" w:rsidR="002C0FD9" w:rsidRPr="00CA25CF" w:rsidRDefault="002C0FD9" w:rsidP="00CA25CF">
            <w:pPr>
              <w:rPr>
                <w:rFonts w:cs="Arial"/>
                <w:color w:val="FF0000"/>
                <w:sz w:val="21"/>
                <w:szCs w:val="21"/>
              </w:rPr>
            </w:pPr>
          </w:p>
        </w:tc>
        <w:tc>
          <w:tcPr>
            <w:tcW w:w="217" w:type="dxa"/>
          </w:tcPr>
          <w:p w14:paraId="2A162794" w14:textId="77777777" w:rsidR="002C0FD9" w:rsidRPr="00CA25CF" w:rsidRDefault="002C0FD9" w:rsidP="00CA25CF">
            <w:pPr>
              <w:rPr>
                <w:rFonts w:cs="Arial"/>
                <w:color w:val="FF0000"/>
                <w:sz w:val="21"/>
                <w:szCs w:val="21"/>
              </w:rPr>
            </w:pPr>
          </w:p>
        </w:tc>
        <w:tc>
          <w:tcPr>
            <w:tcW w:w="217" w:type="dxa"/>
          </w:tcPr>
          <w:p w14:paraId="2EF92AAA" w14:textId="77777777" w:rsidR="002C0FD9" w:rsidRPr="00CA25CF" w:rsidRDefault="002C0FD9" w:rsidP="00CA25CF">
            <w:pPr>
              <w:rPr>
                <w:rFonts w:cs="Arial"/>
                <w:color w:val="FF0000"/>
                <w:sz w:val="21"/>
                <w:szCs w:val="21"/>
              </w:rPr>
            </w:pPr>
          </w:p>
        </w:tc>
        <w:tc>
          <w:tcPr>
            <w:tcW w:w="217" w:type="dxa"/>
          </w:tcPr>
          <w:p w14:paraId="27E683B1" w14:textId="77777777" w:rsidR="002C0FD9" w:rsidRPr="00CA25CF" w:rsidRDefault="002C0FD9" w:rsidP="00CA25CF">
            <w:pPr>
              <w:rPr>
                <w:rFonts w:cs="Arial"/>
                <w:color w:val="FF0000"/>
                <w:sz w:val="21"/>
                <w:szCs w:val="21"/>
              </w:rPr>
            </w:pPr>
          </w:p>
        </w:tc>
        <w:tc>
          <w:tcPr>
            <w:tcW w:w="217" w:type="dxa"/>
          </w:tcPr>
          <w:p w14:paraId="5156DF29" w14:textId="77777777" w:rsidR="002C0FD9" w:rsidRPr="00CA25CF" w:rsidRDefault="002C0FD9" w:rsidP="00CA25CF">
            <w:pPr>
              <w:rPr>
                <w:rFonts w:cs="Arial"/>
                <w:color w:val="FF0000"/>
                <w:sz w:val="21"/>
                <w:szCs w:val="21"/>
              </w:rPr>
            </w:pPr>
          </w:p>
        </w:tc>
        <w:tc>
          <w:tcPr>
            <w:tcW w:w="217" w:type="dxa"/>
          </w:tcPr>
          <w:p w14:paraId="53C132AC" w14:textId="77777777" w:rsidR="002C0FD9" w:rsidRPr="00CA25CF" w:rsidRDefault="002C0FD9" w:rsidP="00CA25CF">
            <w:pPr>
              <w:rPr>
                <w:rFonts w:cs="Arial"/>
                <w:color w:val="FF0000"/>
                <w:sz w:val="21"/>
                <w:szCs w:val="21"/>
              </w:rPr>
            </w:pPr>
          </w:p>
        </w:tc>
        <w:tc>
          <w:tcPr>
            <w:tcW w:w="217" w:type="dxa"/>
          </w:tcPr>
          <w:p w14:paraId="35C1C827" w14:textId="77777777" w:rsidR="002C0FD9" w:rsidRPr="00CA25CF" w:rsidRDefault="002C0FD9" w:rsidP="00CA25CF">
            <w:pPr>
              <w:rPr>
                <w:rFonts w:cs="Arial"/>
                <w:color w:val="FF0000"/>
                <w:sz w:val="21"/>
                <w:szCs w:val="21"/>
              </w:rPr>
            </w:pPr>
          </w:p>
        </w:tc>
        <w:tc>
          <w:tcPr>
            <w:tcW w:w="217" w:type="dxa"/>
          </w:tcPr>
          <w:p w14:paraId="66284793" w14:textId="77777777" w:rsidR="002C0FD9" w:rsidRPr="00CA25CF" w:rsidRDefault="002C0FD9" w:rsidP="00CA25CF">
            <w:pPr>
              <w:rPr>
                <w:rFonts w:cs="Arial"/>
                <w:color w:val="FF0000"/>
                <w:sz w:val="21"/>
                <w:szCs w:val="21"/>
              </w:rPr>
            </w:pPr>
          </w:p>
        </w:tc>
        <w:tc>
          <w:tcPr>
            <w:tcW w:w="217" w:type="dxa"/>
          </w:tcPr>
          <w:p w14:paraId="324EB037" w14:textId="77777777" w:rsidR="002C0FD9" w:rsidRPr="00CA25CF" w:rsidRDefault="002C0FD9" w:rsidP="00CA25CF">
            <w:pPr>
              <w:rPr>
                <w:rFonts w:cs="Arial"/>
                <w:color w:val="FF0000"/>
                <w:sz w:val="21"/>
                <w:szCs w:val="21"/>
              </w:rPr>
            </w:pPr>
          </w:p>
        </w:tc>
        <w:tc>
          <w:tcPr>
            <w:tcW w:w="217" w:type="dxa"/>
          </w:tcPr>
          <w:p w14:paraId="0FCAF158" w14:textId="77777777" w:rsidR="002C0FD9" w:rsidRPr="00CA25CF" w:rsidRDefault="002C0FD9" w:rsidP="00CA25CF">
            <w:pPr>
              <w:rPr>
                <w:rFonts w:cs="Arial"/>
                <w:color w:val="FF0000"/>
                <w:sz w:val="21"/>
                <w:szCs w:val="21"/>
              </w:rPr>
            </w:pPr>
          </w:p>
        </w:tc>
        <w:tc>
          <w:tcPr>
            <w:tcW w:w="217" w:type="dxa"/>
          </w:tcPr>
          <w:p w14:paraId="77997BC1" w14:textId="77777777" w:rsidR="002C0FD9" w:rsidRPr="00CA25CF" w:rsidRDefault="002C0FD9" w:rsidP="00CA25CF">
            <w:pPr>
              <w:rPr>
                <w:rFonts w:cs="Arial"/>
                <w:color w:val="FF0000"/>
                <w:sz w:val="21"/>
                <w:szCs w:val="21"/>
              </w:rPr>
            </w:pPr>
          </w:p>
        </w:tc>
        <w:tc>
          <w:tcPr>
            <w:tcW w:w="217" w:type="dxa"/>
          </w:tcPr>
          <w:p w14:paraId="562DA38F" w14:textId="77777777" w:rsidR="002C0FD9" w:rsidRPr="00CA25CF" w:rsidRDefault="002C0FD9" w:rsidP="00CA25CF">
            <w:pPr>
              <w:rPr>
                <w:rFonts w:cs="Arial"/>
                <w:color w:val="FF0000"/>
                <w:sz w:val="21"/>
                <w:szCs w:val="21"/>
              </w:rPr>
            </w:pPr>
          </w:p>
        </w:tc>
        <w:tc>
          <w:tcPr>
            <w:tcW w:w="217" w:type="dxa"/>
          </w:tcPr>
          <w:p w14:paraId="07CFE2B3" w14:textId="14992F88" w:rsidR="002C0FD9" w:rsidRPr="00CA25CF" w:rsidRDefault="002C0FD9" w:rsidP="00CA25CF">
            <w:pPr>
              <w:rPr>
                <w:rFonts w:cs="Arial"/>
                <w:color w:val="FF0000"/>
                <w:sz w:val="21"/>
                <w:szCs w:val="21"/>
              </w:rPr>
            </w:pPr>
          </w:p>
        </w:tc>
        <w:tc>
          <w:tcPr>
            <w:tcW w:w="217" w:type="dxa"/>
          </w:tcPr>
          <w:p w14:paraId="4D3892B7" w14:textId="77777777" w:rsidR="002C0FD9" w:rsidRPr="00CA25CF" w:rsidRDefault="002C0FD9" w:rsidP="00CA25CF">
            <w:pPr>
              <w:rPr>
                <w:rFonts w:cs="Arial"/>
                <w:color w:val="FF0000"/>
                <w:sz w:val="21"/>
                <w:szCs w:val="21"/>
              </w:rPr>
            </w:pPr>
          </w:p>
        </w:tc>
        <w:tc>
          <w:tcPr>
            <w:tcW w:w="217" w:type="dxa"/>
          </w:tcPr>
          <w:p w14:paraId="0E615E56" w14:textId="77777777" w:rsidR="002C0FD9" w:rsidRPr="00CA25CF" w:rsidRDefault="002C0FD9" w:rsidP="00CA25CF">
            <w:pPr>
              <w:rPr>
                <w:rFonts w:cs="Arial"/>
                <w:color w:val="FF0000"/>
                <w:sz w:val="21"/>
                <w:szCs w:val="21"/>
              </w:rPr>
            </w:pPr>
          </w:p>
        </w:tc>
        <w:tc>
          <w:tcPr>
            <w:tcW w:w="217" w:type="dxa"/>
          </w:tcPr>
          <w:p w14:paraId="486CB347" w14:textId="77777777" w:rsidR="002C0FD9" w:rsidRPr="00CA25CF" w:rsidRDefault="002C0FD9" w:rsidP="00CA25CF">
            <w:pPr>
              <w:rPr>
                <w:rFonts w:cs="Arial"/>
                <w:color w:val="FF0000"/>
                <w:sz w:val="21"/>
                <w:szCs w:val="21"/>
              </w:rPr>
            </w:pPr>
          </w:p>
        </w:tc>
        <w:tc>
          <w:tcPr>
            <w:tcW w:w="217" w:type="dxa"/>
          </w:tcPr>
          <w:p w14:paraId="0D2680D0" w14:textId="77777777" w:rsidR="002C0FD9" w:rsidRPr="00CA25CF" w:rsidRDefault="002C0FD9" w:rsidP="00CA25CF">
            <w:pPr>
              <w:rPr>
                <w:rFonts w:cs="Arial"/>
                <w:color w:val="FF0000"/>
                <w:sz w:val="21"/>
                <w:szCs w:val="21"/>
              </w:rPr>
            </w:pPr>
          </w:p>
        </w:tc>
        <w:tc>
          <w:tcPr>
            <w:tcW w:w="217" w:type="dxa"/>
          </w:tcPr>
          <w:p w14:paraId="1928731F" w14:textId="77777777" w:rsidR="002C0FD9" w:rsidRPr="00CA25CF" w:rsidRDefault="002C0FD9" w:rsidP="00CA25CF">
            <w:pPr>
              <w:rPr>
                <w:rFonts w:cs="Arial"/>
                <w:color w:val="FF0000"/>
                <w:sz w:val="21"/>
                <w:szCs w:val="21"/>
              </w:rPr>
            </w:pPr>
          </w:p>
        </w:tc>
        <w:tc>
          <w:tcPr>
            <w:tcW w:w="217" w:type="dxa"/>
          </w:tcPr>
          <w:p w14:paraId="3FD531A5" w14:textId="77777777" w:rsidR="002C0FD9" w:rsidRPr="00CA25CF" w:rsidRDefault="002C0FD9" w:rsidP="00CA25CF">
            <w:pPr>
              <w:rPr>
                <w:rFonts w:cs="Arial"/>
                <w:color w:val="FF0000"/>
                <w:sz w:val="21"/>
                <w:szCs w:val="21"/>
              </w:rPr>
            </w:pPr>
          </w:p>
        </w:tc>
        <w:tc>
          <w:tcPr>
            <w:tcW w:w="217" w:type="dxa"/>
          </w:tcPr>
          <w:p w14:paraId="778EA4DF" w14:textId="77777777" w:rsidR="002C0FD9" w:rsidRPr="00CA25CF" w:rsidRDefault="002C0FD9" w:rsidP="00CA25CF">
            <w:pPr>
              <w:rPr>
                <w:rFonts w:cs="Arial"/>
                <w:color w:val="FF0000"/>
                <w:sz w:val="21"/>
                <w:szCs w:val="21"/>
              </w:rPr>
            </w:pPr>
          </w:p>
        </w:tc>
        <w:tc>
          <w:tcPr>
            <w:tcW w:w="217" w:type="dxa"/>
          </w:tcPr>
          <w:p w14:paraId="3657EF7B" w14:textId="77777777" w:rsidR="002C0FD9" w:rsidRPr="00CA25CF" w:rsidRDefault="002C0FD9" w:rsidP="00CA25CF">
            <w:pPr>
              <w:rPr>
                <w:rFonts w:cs="Arial"/>
                <w:color w:val="FF0000"/>
                <w:sz w:val="21"/>
                <w:szCs w:val="21"/>
              </w:rPr>
            </w:pPr>
          </w:p>
        </w:tc>
        <w:tc>
          <w:tcPr>
            <w:tcW w:w="217" w:type="dxa"/>
          </w:tcPr>
          <w:p w14:paraId="668B0DE2" w14:textId="77777777" w:rsidR="002C0FD9" w:rsidRPr="00CA25CF" w:rsidRDefault="002C0FD9" w:rsidP="00CA25CF">
            <w:pPr>
              <w:rPr>
                <w:rFonts w:cs="Arial"/>
                <w:color w:val="FF0000"/>
                <w:sz w:val="21"/>
                <w:szCs w:val="21"/>
              </w:rPr>
            </w:pPr>
          </w:p>
        </w:tc>
        <w:tc>
          <w:tcPr>
            <w:tcW w:w="217" w:type="dxa"/>
          </w:tcPr>
          <w:p w14:paraId="7FA08CE3" w14:textId="77777777" w:rsidR="002C0FD9" w:rsidRPr="00CA25CF" w:rsidRDefault="002C0FD9" w:rsidP="00CA25CF">
            <w:pPr>
              <w:rPr>
                <w:rFonts w:cs="Arial"/>
                <w:color w:val="FF0000"/>
                <w:sz w:val="21"/>
                <w:szCs w:val="21"/>
              </w:rPr>
            </w:pPr>
          </w:p>
        </w:tc>
        <w:tc>
          <w:tcPr>
            <w:tcW w:w="217" w:type="dxa"/>
          </w:tcPr>
          <w:p w14:paraId="4D49CEFC" w14:textId="77777777" w:rsidR="002C0FD9" w:rsidRPr="00CA25CF" w:rsidRDefault="002C0FD9" w:rsidP="00CA25CF">
            <w:pPr>
              <w:rPr>
                <w:rFonts w:cs="Arial"/>
                <w:color w:val="FF0000"/>
                <w:sz w:val="21"/>
                <w:szCs w:val="21"/>
              </w:rPr>
            </w:pPr>
          </w:p>
        </w:tc>
        <w:tc>
          <w:tcPr>
            <w:tcW w:w="217" w:type="dxa"/>
          </w:tcPr>
          <w:p w14:paraId="23967064" w14:textId="77777777" w:rsidR="002C0FD9" w:rsidRPr="00CA25CF" w:rsidRDefault="002C0FD9" w:rsidP="00CA25CF">
            <w:pPr>
              <w:rPr>
                <w:rFonts w:cs="Arial"/>
                <w:color w:val="FF0000"/>
                <w:sz w:val="21"/>
                <w:szCs w:val="21"/>
              </w:rPr>
            </w:pPr>
          </w:p>
        </w:tc>
        <w:tc>
          <w:tcPr>
            <w:tcW w:w="217" w:type="dxa"/>
          </w:tcPr>
          <w:p w14:paraId="5D6273CF" w14:textId="77777777" w:rsidR="002C0FD9" w:rsidRPr="00CA25CF" w:rsidRDefault="002C0FD9" w:rsidP="00CA25CF">
            <w:pPr>
              <w:rPr>
                <w:rFonts w:cs="Arial"/>
                <w:color w:val="FF0000"/>
                <w:sz w:val="21"/>
                <w:szCs w:val="21"/>
              </w:rPr>
            </w:pPr>
          </w:p>
        </w:tc>
        <w:tc>
          <w:tcPr>
            <w:tcW w:w="217" w:type="dxa"/>
          </w:tcPr>
          <w:p w14:paraId="2501B0FB" w14:textId="77777777" w:rsidR="002C0FD9" w:rsidRPr="00CA25CF" w:rsidRDefault="002C0FD9" w:rsidP="00CA25CF">
            <w:pPr>
              <w:rPr>
                <w:rFonts w:cs="Arial"/>
                <w:color w:val="FF0000"/>
                <w:sz w:val="21"/>
                <w:szCs w:val="21"/>
              </w:rPr>
            </w:pPr>
          </w:p>
        </w:tc>
        <w:tc>
          <w:tcPr>
            <w:tcW w:w="217" w:type="dxa"/>
          </w:tcPr>
          <w:p w14:paraId="4CEF4C6C" w14:textId="77777777" w:rsidR="002C0FD9" w:rsidRPr="00CA25CF" w:rsidRDefault="002C0FD9" w:rsidP="00CA25CF">
            <w:pPr>
              <w:rPr>
                <w:rFonts w:cs="Arial"/>
                <w:color w:val="FF0000"/>
                <w:sz w:val="21"/>
                <w:szCs w:val="21"/>
              </w:rPr>
            </w:pPr>
          </w:p>
        </w:tc>
        <w:tc>
          <w:tcPr>
            <w:tcW w:w="217" w:type="dxa"/>
          </w:tcPr>
          <w:p w14:paraId="1353B0C4" w14:textId="77777777" w:rsidR="002C0FD9" w:rsidRPr="00CA25CF" w:rsidRDefault="002C0FD9" w:rsidP="00CA25CF">
            <w:pPr>
              <w:rPr>
                <w:rFonts w:cs="Arial"/>
                <w:color w:val="FF0000"/>
                <w:sz w:val="21"/>
                <w:szCs w:val="21"/>
              </w:rPr>
            </w:pPr>
          </w:p>
        </w:tc>
        <w:tc>
          <w:tcPr>
            <w:tcW w:w="217" w:type="dxa"/>
          </w:tcPr>
          <w:p w14:paraId="0CB10767" w14:textId="77777777" w:rsidR="002C0FD9" w:rsidRPr="00CA25CF" w:rsidRDefault="002C0FD9" w:rsidP="00CA25CF">
            <w:pPr>
              <w:rPr>
                <w:rFonts w:cs="Arial"/>
                <w:color w:val="FF0000"/>
                <w:sz w:val="21"/>
                <w:szCs w:val="21"/>
              </w:rPr>
            </w:pPr>
          </w:p>
        </w:tc>
        <w:tc>
          <w:tcPr>
            <w:tcW w:w="217" w:type="dxa"/>
          </w:tcPr>
          <w:p w14:paraId="7E75B6BB" w14:textId="77777777" w:rsidR="002C0FD9" w:rsidRPr="00CA25CF" w:rsidRDefault="002C0FD9" w:rsidP="00CA25CF">
            <w:pPr>
              <w:rPr>
                <w:rFonts w:cs="Arial"/>
                <w:color w:val="FF0000"/>
                <w:sz w:val="21"/>
                <w:szCs w:val="21"/>
              </w:rPr>
            </w:pPr>
          </w:p>
        </w:tc>
        <w:tc>
          <w:tcPr>
            <w:tcW w:w="217" w:type="dxa"/>
          </w:tcPr>
          <w:p w14:paraId="04F02C9B" w14:textId="77777777" w:rsidR="002C0FD9" w:rsidRPr="00CA25CF" w:rsidRDefault="002C0FD9" w:rsidP="00CA25CF">
            <w:pPr>
              <w:rPr>
                <w:rFonts w:cs="Arial"/>
                <w:color w:val="FF0000"/>
                <w:sz w:val="21"/>
                <w:szCs w:val="21"/>
              </w:rPr>
            </w:pPr>
          </w:p>
        </w:tc>
        <w:tc>
          <w:tcPr>
            <w:tcW w:w="217" w:type="dxa"/>
          </w:tcPr>
          <w:p w14:paraId="0CEBF5C7" w14:textId="77777777" w:rsidR="002C0FD9" w:rsidRPr="00CA25CF" w:rsidRDefault="002C0FD9" w:rsidP="00CA25CF">
            <w:pPr>
              <w:rPr>
                <w:rFonts w:cs="Arial"/>
                <w:color w:val="FF0000"/>
                <w:sz w:val="21"/>
                <w:szCs w:val="21"/>
              </w:rPr>
            </w:pPr>
          </w:p>
        </w:tc>
        <w:tc>
          <w:tcPr>
            <w:tcW w:w="217" w:type="dxa"/>
          </w:tcPr>
          <w:p w14:paraId="53408100" w14:textId="77777777" w:rsidR="002C0FD9" w:rsidRPr="00CA25CF" w:rsidRDefault="002C0FD9" w:rsidP="00CA25CF">
            <w:pPr>
              <w:rPr>
                <w:rFonts w:cs="Arial"/>
                <w:color w:val="FF0000"/>
                <w:sz w:val="21"/>
                <w:szCs w:val="21"/>
              </w:rPr>
            </w:pPr>
          </w:p>
        </w:tc>
        <w:tc>
          <w:tcPr>
            <w:tcW w:w="217" w:type="dxa"/>
          </w:tcPr>
          <w:p w14:paraId="6CA1AF32" w14:textId="77777777" w:rsidR="002C0FD9" w:rsidRPr="00CA25CF" w:rsidRDefault="002C0FD9" w:rsidP="00CA25CF">
            <w:pPr>
              <w:rPr>
                <w:rFonts w:cs="Arial"/>
                <w:color w:val="FF0000"/>
                <w:sz w:val="21"/>
                <w:szCs w:val="21"/>
              </w:rPr>
            </w:pPr>
          </w:p>
        </w:tc>
        <w:tc>
          <w:tcPr>
            <w:tcW w:w="217" w:type="dxa"/>
          </w:tcPr>
          <w:p w14:paraId="11CAF4F9" w14:textId="77777777" w:rsidR="002C0FD9" w:rsidRPr="00CA25CF" w:rsidRDefault="002C0FD9" w:rsidP="00CA25CF">
            <w:pPr>
              <w:rPr>
                <w:rFonts w:cs="Arial"/>
                <w:color w:val="FF0000"/>
                <w:sz w:val="21"/>
                <w:szCs w:val="21"/>
              </w:rPr>
            </w:pPr>
          </w:p>
        </w:tc>
        <w:tc>
          <w:tcPr>
            <w:tcW w:w="217" w:type="dxa"/>
          </w:tcPr>
          <w:p w14:paraId="3224A5D6" w14:textId="77777777" w:rsidR="002C0FD9" w:rsidRPr="00CA25CF" w:rsidRDefault="002C0FD9" w:rsidP="00CA25CF">
            <w:pPr>
              <w:rPr>
                <w:rFonts w:cs="Arial"/>
                <w:color w:val="FF0000"/>
                <w:sz w:val="21"/>
                <w:szCs w:val="21"/>
              </w:rPr>
            </w:pPr>
          </w:p>
        </w:tc>
        <w:tc>
          <w:tcPr>
            <w:tcW w:w="217" w:type="dxa"/>
          </w:tcPr>
          <w:p w14:paraId="42FAD11E" w14:textId="77777777" w:rsidR="002C0FD9" w:rsidRPr="00CA25CF" w:rsidRDefault="002C0FD9" w:rsidP="00CA25CF">
            <w:pPr>
              <w:rPr>
                <w:rFonts w:cs="Arial"/>
                <w:color w:val="FF0000"/>
                <w:sz w:val="21"/>
                <w:szCs w:val="21"/>
              </w:rPr>
            </w:pPr>
          </w:p>
        </w:tc>
        <w:tc>
          <w:tcPr>
            <w:tcW w:w="217" w:type="dxa"/>
          </w:tcPr>
          <w:p w14:paraId="2B354597" w14:textId="77777777" w:rsidR="002C0FD9" w:rsidRPr="00CA25CF" w:rsidRDefault="002C0FD9" w:rsidP="00CA25CF">
            <w:pPr>
              <w:rPr>
                <w:rFonts w:cs="Arial"/>
                <w:color w:val="FF0000"/>
                <w:sz w:val="21"/>
                <w:szCs w:val="21"/>
              </w:rPr>
            </w:pPr>
          </w:p>
        </w:tc>
        <w:tc>
          <w:tcPr>
            <w:tcW w:w="217" w:type="dxa"/>
          </w:tcPr>
          <w:p w14:paraId="35BB7597" w14:textId="77777777" w:rsidR="002C0FD9" w:rsidRPr="00CA25CF" w:rsidRDefault="002C0FD9" w:rsidP="00CA25CF">
            <w:pPr>
              <w:rPr>
                <w:rFonts w:cs="Arial"/>
                <w:color w:val="FF0000"/>
                <w:sz w:val="21"/>
                <w:szCs w:val="21"/>
              </w:rPr>
            </w:pPr>
          </w:p>
        </w:tc>
      </w:tr>
      <w:tr w:rsidR="002C0FD9" w:rsidRPr="00A16219" w14:paraId="331EE020" w14:textId="16BF9A43" w:rsidTr="002C0FD9">
        <w:trPr>
          <w:trHeight w:val="635"/>
        </w:trPr>
        <w:tc>
          <w:tcPr>
            <w:tcW w:w="515" w:type="dxa"/>
          </w:tcPr>
          <w:p w14:paraId="2769CF21" w14:textId="77777777" w:rsidR="002C0FD9" w:rsidRPr="00CA25CF" w:rsidRDefault="002C0FD9" w:rsidP="00CA25CF">
            <w:pPr>
              <w:rPr>
                <w:rFonts w:cs="Arial"/>
                <w:color w:val="FF0000"/>
                <w:sz w:val="21"/>
                <w:szCs w:val="21"/>
              </w:rPr>
            </w:pPr>
          </w:p>
        </w:tc>
        <w:tc>
          <w:tcPr>
            <w:tcW w:w="217" w:type="dxa"/>
          </w:tcPr>
          <w:p w14:paraId="5408A69E" w14:textId="77777777" w:rsidR="002C0FD9" w:rsidRPr="00CA25CF" w:rsidRDefault="002C0FD9" w:rsidP="00CA25CF">
            <w:pPr>
              <w:rPr>
                <w:rFonts w:cs="Arial"/>
                <w:color w:val="FF0000"/>
                <w:sz w:val="21"/>
                <w:szCs w:val="21"/>
              </w:rPr>
            </w:pPr>
          </w:p>
        </w:tc>
        <w:tc>
          <w:tcPr>
            <w:tcW w:w="217" w:type="dxa"/>
          </w:tcPr>
          <w:p w14:paraId="213BEE6C" w14:textId="181E0DEB" w:rsidR="002C0FD9" w:rsidRPr="00CA25CF" w:rsidRDefault="002C0FD9" w:rsidP="00CA25CF">
            <w:pPr>
              <w:rPr>
                <w:rFonts w:cs="Arial"/>
                <w:color w:val="FF0000"/>
                <w:sz w:val="21"/>
                <w:szCs w:val="21"/>
              </w:rPr>
            </w:pPr>
          </w:p>
        </w:tc>
        <w:tc>
          <w:tcPr>
            <w:tcW w:w="217" w:type="dxa"/>
          </w:tcPr>
          <w:p w14:paraId="13365903" w14:textId="77777777" w:rsidR="002C0FD9" w:rsidRPr="00CA25CF" w:rsidRDefault="002C0FD9" w:rsidP="00CA25CF">
            <w:pPr>
              <w:rPr>
                <w:rFonts w:cs="Arial"/>
                <w:color w:val="FF0000"/>
                <w:sz w:val="21"/>
                <w:szCs w:val="21"/>
              </w:rPr>
            </w:pPr>
          </w:p>
        </w:tc>
        <w:tc>
          <w:tcPr>
            <w:tcW w:w="217" w:type="dxa"/>
          </w:tcPr>
          <w:p w14:paraId="27018F46" w14:textId="77777777" w:rsidR="002C0FD9" w:rsidRPr="00CA25CF" w:rsidRDefault="002C0FD9" w:rsidP="00CA25CF">
            <w:pPr>
              <w:rPr>
                <w:rFonts w:cs="Arial"/>
                <w:color w:val="FF0000"/>
                <w:sz w:val="21"/>
                <w:szCs w:val="21"/>
              </w:rPr>
            </w:pPr>
          </w:p>
        </w:tc>
        <w:tc>
          <w:tcPr>
            <w:tcW w:w="217" w:type="dxa"/>
          </w:tcPr>
          <w:p w14:paraId="01E23957" w14:textId="77777777" w:rsidR="002C0FD9" w:rsidRPr="00CA25CF" w:rsidRDefault="002C0FD9" w:rsidP="00CA25CF">
            <w:pPr>
              <w:rPr>
                <w:rFonts w:cs="Arial"/>
                <w:color w:val="FF0000"/>
                <w:sz w:val="21"/>
                <w:szCs w:val="21"/>
              </w:rPr>
            </w:pPr>
          </w:p>
        </w:tc>
        <w:tc>
          <w:tcPr>
            <w:tcW w:w="217" w:type="dxa"/>
          </w:tcPr>
          <w:p w14:paraId="5EBE67F7" w14:textId="77777777" w:rsidR="002C0FD9" w:rsidRPr="00CA25CF" w:rsidRDefault="002C0FD9" w:rsidP="00CA25CF">
            <w:pPr>
              <w:rPr>
                <w:rFonts w:cs="Arial"/>
                <w:color w:val="FF0000"/>
                <w:sz w:val="21"/>
                <w:szCs w:val="21"/>
              </w:rPr>
            </w:pPr>
          </w:p>
        </w:tc>
        <w:tc>
          <w:tcPr>
            <w:tcW w:w="217" w:type="dxa"/>
          </w:tcPr>
          <w:p w14:paraId="49A752C3" w14:textId="77777777" w:rsidR="002C0FD9" w:rsidRPr="00CA25CF" w:rsidRDefault="002C0FD9" w:rsidP="00CA25CF">
            <w:pPr>
              <w:rPr>
                <w:rFonts w:cs="Arial"/>
                <w:color w:val="FF0000"/>
                <w:sz w:val="21"/>
                <w:szCs w:val="21"/>
              </w:rPr>
            </w:pPr>
          </w:p>
        </w:tc>
        <w:tc>
          <w:tcPr>
            <w:tcW w:w="217" w:type="dxa"/>
          </w:tcPr>
          <w:p w14:paraId="5C168D9E" w14:textId="77777777" w:rsidR="002C0FD9" w:rsidRPr="00CA25CF" w:rsidRDefault="002C0FD9" w:rsidP="00CA25CF">
            <w:pPr>
              <w:rPr>
                <w:rFonts w:cs="Arial"/>
                <w:color w:val="FF0000"/>
                <w:sz w:val="21"/>
                <w:szCs w:val="21"/>
              </w:rPr>
            </w:pPr>
          </w:p>
        </w:tc>
        <w:tc>
          <w:tcPr>
            <w:tcW w:w="217" w:type="dxa"/>
          </w:tcPr>
          <w:p w14:paraId="6843D211" w14:textId="77777777" w:rsidR="002C0FD9" w:rsidRPr="00CA25CF" w:rsidRDefault="002C0FD9" w:rsidP="00CA25CF">
            <w:pPr>
              <w:rPr>
                <w:rFonts w:cs="Arial"/>
                <w:color w:val="FF0000"/>
                <w:sz w:val="21"/>
                <w:szCs w:val="21"/>
              </w:rPr>
            </w:pPr>
          </w:p>
        </w:tc>
        <w:tc>
          <w:tcPr>
            <w:tcW w:w="217" w:type="dxa"/>
          </w:tcPr>
          <w:p w14:paraId="0CDED70E" w14:textId="77777777" w:rsidR="002C0FD9" w:rsidRPr="00CA25CF" w:rsidRDefault="002C0FD9" w:rsidP="00CA25CF">
            <w:pPr>
              <w:rPr>
                <w:rFonts w:cs="Arial"/>
                <w:color w:val="FF0000"/>
                <w:sz w:val="21"/>
                <w:szCs w:val="21"/>
              </w:rPr>
            </w:pPr>
          </w:p>
        </w:tc>
        <w:tc>
          <w:tcPr>
            <w:tcW w:w="217" w:type="dxa"/>
          </w:tcPr>
          <w:p w14:paraId="5BECF7BF" w14:textId="77777777" w:rsidR="002C0FD9" w:rsidRPr="00CA25CF" w:rsidRDefault="002C0FD9" w:rsidP="00CA25CF">
            <w:pPr>
              <w:rPr>
                <w:rFonts w:cs="Arial"/>
                <w:color w:val="FF0000"/>
                <w:sz w:val="21"/>
                <w:szCs w:val="21"/>
              </w:rPr>
            </w:pPr>
          </w:p>
        </w:tc>
        <w:tc>
          <w:tcPr>
            <w:tcW w:w="217" w:type="dxa"/>
          </w:tcPr>
          <w:p w14:paraId="2CE9350D" w14:textId="77777777" w:rsidR="002C0FD9" w:rsidRPr="00CA25CF" w:rsidRDefault="002C0FD9" w:rsidP="00CA25CF">
            <w:pPr>
              <w:rPr>
                <w:rFonts w:cs="Arial"/>
                <w:color w:val="FF0000"/>
                <w:sz w:val="21"/>
                <w:szCs w:val="21"/>
              </w:rPr>
            </w:pPr>
          </w:p>
        </w:tc>
        <w:tc>
          <w:tcPr>
            <w:tcW w:w="217" w:type="dxa"/>
          </w:tcPr>
          <w:p w14:paraId="09A50553" w14:textId="77777777" w:rsidR="002C0FD9" w:rsidRPr="00CA25CF" w:rsidRDefault="002C0FD9" w:rsidP="00CA25CF">
            <w:pPr>
              <w:rPr>
                <w:rFonts w:cs="Arial"/>
                <w:color w:val="FF0000"/>
                <w:sz w:val="21"/>
                <w:szCs w:val="21"/>
              </w:rPr>
            </w:pPr>
          </w:p>
        </w:tc>
        <w:tc>
          <w:tcPr>
            <w:tcW w:w="217" w:type="dxa"/>
          </w:tcPr>
          <w:p w14:paraId="1AC9ED36" w14:textId="77777777" w:rsidR="002C0FD9" w:rsidRPr="00CA25CF" w:rsidRDefault="002C0FD9" w:rsidP="00CA25CF">
            <w:pPr>
              <w:rPr>
                <w:rFonts w:cs="Arial"/>
                <w:color w:val="FF0000"/>
                <w:sz w:val="21"/>
                <w:szCs w:val="21"/>
              </w:rPr>
            </w:pPr>
          </w:p>
        </w:tc>
        <w:tc>
          <w:tcPr>
            <w:tcW w:w="217" w:type="dxa"/>
          </w:tcPr>
          <w:p w14:paraId="3B615430" w14:textId="4F3C6C60" w:rsidR="002C0FD9" w:rsidRPr="00CA25CF" w:rsidRDefault="002C0FD9" w:rsidP="00CA25CF">
            <w:pPr>
              <w:rPr>
                <w:rFonts w:cs="Arial"/>
                <w:color w:val="FF0000"/>
                <w:sz w:val="21"/>
                <w:szCs w:val="21"/>
              </w:rPr>
            </w:pPr>
          </w:p>
        </w:tc>
        <w:tc>
          <w:tcPr>
            <w:tcW w:w="217" w:type="dxa"/>
          </w:tcPr>
          <w:p w14:paraId="1FE7999E" w14:textId="77777777" w:rsidR="002C0FD9" w:rsidRPr="00CA25CF" w:rsidRDefault="002C0FD9" w:rsidP="00CA25CF">
            <w:pPr>
              <w:rPr>
                <w:rFonts w:cs="Arial"/>
                <w:color w:val="FF0000"/>
                <w:sz w:val="21"/>
                <w:szCs w:val="21"/>
              </w:rPr>
            </w:pPr>
          </w:p>
        </w:tc>
        <w:tc>
          <w:tcPr>
            <w:tcW w:w="217" w:type="dxa"/>
          </w:tcPr>
          <w:p w14:paraId="12FD169F" w14:textId="77777777" w:rsidR="002C0FD9" w:rsidRPr="00CA25CF" w:rsidRDefault="002C0FD9" w:rsidP="00CA25CF">
            <w:pPr>
              <w:rPr>
                <w:rFonts w:cs="Arial"/>
                <w:color w:val="FF0000"/>
                <w:sz w:val="21"/>
                <w:szCs w:val="21"/>
              </w:rPr>
            </w:pPr>
          </w:p>
        </w:tc>
        <w:tc>
          <w:tcPr>
            <w:tcW w:w="217" w:type="dxa"/>
          </w:tcPr>
          <w:p w14:paraId="12598B89" w14:textId="77777777" w:rsidR="002C0FD9" w:rsidRPr="00CA25CF" w:rsidRDefault="002C0FD9" w:rsidP="00CA25CF">
            <w:pPr>
              <w:rPr>
                <w:rFonts w:cs="Arial"/>
                <w:color w:val="FF0000"/>
                <w:sz w:val="21"/>
                <w:szCs w:val="21"/>
              </w:rPr>
            </w:pPr>
          </w:p>
        </w:tc>
        <w:tc>
          <w:tcPr>
            <w:tcW w:w="217" w:type="dxa"/>
          </w:tcPr>
          <w:p w14:paraId="104ABBF9" w14:textId="77777777" w:rsidR="002C0FD9" w:rsidRPr="00CA25CF" w:rsidRDefault="002C0FD9" w:rsidP="00CA25CF">
            <w:pPr>
              <w:rPr>
                <w:rFonts w:cs="Arial"/>
                <w:color w:val="FF0000"/>
                <w:sz w:val="21"/>
                <w:szCs w:val="21"/>
              </w:rPr>
            </w:pPr>
          </w:p>
        </w:tc>
        <w:tc>
          <w:tcPr>
            <w:tcW w:w="217" w:type="dxa"/>
          </w:tcPr>
          <w:p w14:paraId="1E19F196" w14:textId="77777777" w:rsidR="002C0FD9" w:rsidRPr="00CA25CF" w:rsidRDefault="002C0FD9" w:rsidP="00CA25CF">
            <w:pPr>
              <w:rPr>
                <w:rFonts w:cs="Arial"/>
                <w:color w:val="FF0000"/>
                <w:sz w:val="21"/>
                <w:szCs w:val="21"/>
              </w:rPr>
            </w:pPr>
          </w:p>
        </w:tc>
        <w:tc>
          <w:tcPr>
            <w:tcW w:w="217" w:type="dxa"/>
          </w:tcPr>
          <w:p w14:paraId="6455CED2" w14:textId="77777777" w:rsidR="002C0FD9" w:rsidRPr="00CA25CF" w:rsidRDefault="002C0FD9" w:rsidP="00CA25CF">
            <w:pPr>
              <w:rPr>
                <w:rFonts w:cs="Arial"/>
                <w:color w:val="FF0000"/>
                <w:sz w:val="21"/>
                <w:szCs w:val="21"/>
              </w:rPr>
            </w:pPr>
          </w:p>
        </w:tc>
        <w:tc>
          <w:tcPr>
            <w:tcW w:w="217" w:type="dxa"/>
          </w:tcPr>
          <w:p w14:paraId="4F8DCB2A" w14:textId="77777777" w:rsidR="002C0FD9" w:rsidRPr="00CA25CF" w:rsidRDefault="002C0FD9" w:rsidP="00CA25CF">
            <w:pPr>
              <w:rPr>
                <w:rFonts w:cs="Arial"/>
                <w:color w:val="FF0000"/>
                <w:sz w:val="21"/>
                <w:szCs w:val="21"/>
              </w:rPr>
            </w:pPr>
          </w:p>
        </w:tc>
        <w:tc>
          <w:tcPr>
            <w:tcW w:w="217" w:type="dxa"/>
          </w:tcPr>
          <w:p w14:paraId="0DB7E766" w14:textId="77777777" w:rsidR="002C0FD9" w:rsidRPr="00CA25CF" w:rsidRDefault="002C0FD9" w:rsidP="00CA25CF">
            <w:pPr>
              <w:rPr>
                <w:rFonts w:cs="Arial"/>
                <w:color w:val="FF0000"/>
                <w:sz w:val="21"/>
                <w:szCs w:val="21"/>
              </w:rPr>
            </w:pPr>
          </w:p>
        </w:tc>
        <w:tc>
          <w:tcPr>
            <w:tcW w:w="217" w:type="dxa"/>
          </w:tcPr>
          <w:p w14:paraId="6334DF10" w14:textId="77777777" w:rsidR="002C0FD9" w:rsidRPr="00CA25CF" w:rsidRDefault="002C0FD9" w:rsidP="00CA25CF">
            <w:pPr>
              <w:rPr>
                <w:rFonts w:cs="Arial"/>
                <w:color w:val="FF0000"/>
                <w:sz w:val="21"/>
                <w:szCs w:val="21"/>
              </w:rPr>
            </w:pPr>
          </w:p>
        </w:tc>
        <w:tc>
          <w:tcPr>
            <w:tcW w:w="217" w:type="dxa"/>
          </w:tcPr>
          <w:p w14:paraId="7E5E4CB0" w14:textId="77777777" w:rsidR="002C0FD9" w:rsidRPr="00CA25CF" w:rsidRDefault="002C0FD9" w:rsidP="00CA25CF">
            <w:pPr>
              <w:rPr>
                <w:rFonts w:cs="Arial"/>
                <w:color w:val="FF0000"/>
                <w:sz w:val="21"/>
                <w:szCs w:val="21"/>
              </w:rPr>
            </w:pPr>
          </w:p>
        </w:tc>
        <w:tc>
          <w:tcPr>
            <w:tcW w:w="217" w:type="dxa"/>
          </w:tcPr>
          <w:p w14:paraId="02B10104" w14:textId="77777777" w:rsidR="002C0FD9" w:rsidRPr="00CA25CF" w:rsidRDefault="002C0FD9" w:rsidP="00CA25CF">
            <w:pPr>
              <w:rPr>
                <w:rFonts w:cs="Arial"/>
                <w:color w:val="FF0000"/>
                <w:sz w:val="21"/>
                <w:szCs w:val="21"/>
              </w:rPr>
            </w:pPr>
          </w:p>
        </w:tc>
        <w:tc>
          <w:tcPr>
            <w:tcW w:w="217" w:type="dxa"/>
          </w:tcPr>
          <w:p w14:paraId="5B809A58" w14:textId="77777777" w:rsidR="002C0FD9" w:rsidRPr="00CA25CF" w:rsidRDefault="002C0FD9" w:rsidP="00CA25CF">
            <w:pPr>
              <w:rPr>
                <w:rFonts w:cs="Arial"/>
                <w:color w:val="FF0000"/>
                <w:sz w:val="21"/>
                <w:szCs w:val="21"/>
              </w:rPr>
            </w:pPr>
          </w:p>
        </w:tc>
        <w:tc>
          <w:tcPr>
            <w:tcW w:w="217" w:type="dxa"/>
          </w:tcPr>
          <w:p w14:paraId="6FADFC08" w14:textId="77777777" w:rsidR="002C0FD9" w:rsidRPr="00CA25CF" w:rsidRDefault="002C0FD9" w:rsidP="00CA25CF">
            <w:pPr>
              <w:rPr>
                <w:rFonts w:cs="Arial"/>
                <w:color w:val="FF0000"/>
                <w:sz w:val="21"/>
                <w:szCs w:val="21"/>
              </w:rPr>
            </w:pPr>
          </w:p>
        </w:tc>
        <w:tc>
          <w:tcPr>
            <w:tcW w:w="217" w:type="dxa"/>
          </w:tcPr>
          <w:p w14:paraId="00AABC7E" w14:textId="77777777" w:rsidR="002C0FD9" w:rsidRPr="00CA25CF" w:rsidRDefault="002C0FD9" w:rsidP="00CA25CF">
            <w:pPr>
              <w:rPr>
                <w:rFonts w:cs="Arial"/>
                <w:color w:val="FF0000"/>
                <w:sz w:val="21"/>
                <w:szCs w:val="21"/>
              </w:rPr>
            </w:pPr>
          </w:p>
        </w:tc>
        <w:tc>
          <w:tcPr>
            <w:tcW w:w="217" w:type="dxa"/>
          </w:tcPr>
          <w:p w14:paraId="310DCB5F" w14:textId="77777777" w:rsidR="002C0FD9" w:rsidRPr="00CA25CF" w:rsidRDefault="002C0FD9" w:rsidP="00CA25CF">
            <w:pPr>
              <w:rPr>
                <w:rFonts w:cs="Arial"/>
                <w:color w:val="FF0000"/>
                <w:sz w:val="21"/>
                <w:szCs w:val="21"/>
              </w:rPr>
            </w:pPr>
          </w:p>
        </w:tc>
        <w:tc>
          <w:tcPr>
            <w:tcW w:w="217" w:type="dxa"/>
          </w:tcPr>
          <w:p w14:paraId="793FCBAF" w14:textId="77777777" w:rsidR="002C0FD9" w:rsidRPr="00CA25CF" w:rsidRDefault="002C0FD9" w:rsidP="00CA25CF">
            <w:pPr>
              <w:rPr>
                <w:rFonts w:cs="Arial"/>
                <w:color w:val="FF0000"/>
                <w:sz w:val="21"/>
                <w:szCs w:val="21"/>
              </w:rPr>
            </w:pPr>
          </w:p>
        </w:tc>
        <w:tc>
          <w:tcPr>
            <w:tcW w:w="217" w:type="dxa"/>
          </w:tcPr>
          <w:p w14:paraId="1F75EB8E" w14:textId="77777777" w:rsidR="002C0FD9" w:rsidRPr="00CA25CF" w:rsidRDefault="002C0FD9" w:rsidP="00CA25CF">
            <w:pPr>
              <w:rPr>
                <w:rFonts w:cs="Arial"/>
                <w:color w:val="FF0000"/>
                <w:sz w:val="21"/>
                <w:szCs w:val="21"/>
              </w:rPr>
            </w:pPr>
          </w:p>
        </w:tc>
        <w:tc>
          <w:tcPr>
            <w:tcW w:w="217" w:type="dxa"/>
          </w:tcPr>
          <w:p w14:paraId="09DA62C2" w14:textId="77777777" w:rsidR="002C0FD9" w:rsidRPr="00CA25CF" w:rsidRDefault="002C0FD9" w:rsidP="00CA25CF">
            <w:pPr>
              <w:rPr>
                <w:rFonts w:cs="Arial"/>
                <w:color w:val="FF0000"/>
                <w:sz w:val="21"/>
                <w:szCs w:val="21"/>
              </w:rPr>
            </w:pPr>
          </w:p>
        </w:tc>
        <w:tc>
          <w:tcPr>
            <w:tcW w:w="217" w:type="dxa"/>
          </w:tcPr>
          <w:p w14:paraId="1A0B5A7C" w14:textId="77777777" w:rsidR="002C0FD9" w:rsidRPr="00CA25CF" w:rsidRDefault="002C0FD9" w:rsidP="00CA25CF">
            <w:pPr>
              <w:rPr>
                <w:rFonts w:cs="Arial"/>
                <w:color w:val="FF0000"/>
                <w:sz w:val="21"/>
                <w:szCs w:val="21"/>
              </w:rPr>
            </w:pPr>
          </w:p>
        </w:tc>
        <w:tc>
          <w:tcPr>
            <w:tcW w:w="217" w:type="dxa"/>
          </w:tcPr>
          <w:p w14:paraId="409B0EC1" w14:textId="77777777" w:rsidR="002C0FD9" w:rsidRPr="00CA25CF" w:rsidRDefault="002C0FD9" w:rsidP="00CA25CF">
            <w:pPr>
              <w:rPr>
                <w:rFonts w:cs="Arial"/>
                <w:color w:val="FF0000"/>
                <w:sz w:val="21"/>
                <w:szCs w:val="21"/>
              </w:rPr>
            </w:pPr>
          </w:p>
        </w:tc>
        <w:tc>
          <w:tcPr>
            <w:tcW w:w="217" w:type="dxa"/>
          </w:tcPr>
          <w:p w14:paraId="1791D570" w14:textId="77777777" w:rsidR="002C0FD9" w:rsidRPr="00CA25CF" w:rsidRDefault="002C0FD9" w:rsidP="00CA25CF">
            <w:pPr>
              <w:rPr>
                <w:rFonts w:cs="Arial"/>
                <w:color w:val="FF0000"/>
                <w:sz w:val="21"/>
                <w:szCs w:val="21"/>
              </w:rPr>
            </w:pPr>
          </w:p>
        </w:tc>
        <w:tc>
          <w:tcPr>
            <w:tcW w:w="217" w:type="dxa"/>
          </w:tcPr>
          <w:p w14:paraId="50B5DC90" w14:textId="77777777" w:rsidR="002C0FD9" w:rsidRPr="00CA25CF" w:rsidRDefault="002C0FD9" w:rsidP="00CA25CF">
            <w:pPr>
              <w:rPr>
                <w:rFonts w:cs="Arial"/>
                <w:color w:val="FF0000"/>
                <w:sz w:val="21"/>
                <w:szCs w:val="21"/>
              </w:rPr>
            </w:pPr>
          </w:p>
        </w:tc>
        <w:tc>
          <w:tcPr>
            <w:tcW w:w="217" w:type="dxa"/>
          </w:tcPr>
          <w:p w14:paraId="6BDB66F6" w14:textId="77777777" w:rsidR="002C0FD9" w:rsidRPr="00CA25CF" w:rsidRDefault="002C0FD9" w:rsidP="00CA25CF">
            <w:pPr>
              <w:rPr>
                <w:rFonts w:cs="Arial"/>
                <w:color w:val="FF0000"/>
                <w:sz w:val="21"/>
                <w:szCs w:val="21"/>
              </w:rPr>
            </w:pPr>
          </w:p>
        </w:tc>
        <w:tc>
          <w:tcPr>
            <w:tcW w:w="217" w:type="dxa"/>
          </w:tcPr>
          <w:p w14:paraId="5B09E5B9" w14:textId="77777777" w:rsidR="002C0FD9" w:rsidRPr="00CA25CF" w:rsidRDefault="002C0FD9" w:rsidP="00CA25CF">
            <w:pPr>
              <w:rPr>
                <w:rFonts w:cs="Arial"/>
                <w:color w:val="FF0000"/>
                <w:sz w:val="21"/>
                <w:szCs w:val="21"/>
              </w:rPr>
            </w:pPr>
          </w:p>
        </w:tc>
        <w:tc>
          <w:tcPr>
            <w:tcW w:w="217" w:type="dxa"/>
          </w:tcPr>
          <w:p w14:paraId="25BEDBE0" w14:textId="77777777" w:rsidR="002C0FD9" w:rsidRPr="00CA25CF" w:rsidRDefault="002C0FD9" w:rsidP="00CA25CF">
            <w:pPr>
              <w:rPr>
                <w:rFonts w:cs="Arial"/>
                <w:color w:val="FF0000"/>
                <w:sz w:val="21"/>
                <w:szCs w:val="21"/>
              </w:rPr>
            </w:pPr>
          </w:p>
        </w:tc>
        <w:tc>
          <w:tcPr>
            <w:tcW w:w="217" w:type="dxa"/>
          </w:tcPr>
          <w:p w14:paraId="2605E8E8" w14:textId="77777777" w:rsidR="002C0FD9" w:rsidRPr="00CA25CF" w:rsidRDefault="002C0FD9" w:rsidP="00CA25CF">
            <w:pPr>
              <w:rPr>
                <w:rFonts w:cs="Arial"/>
                <w:color w:val="FF0000"/>
                <w:sz w:val="21"/>
                <w:szCs w:val="21"/>
              </w:rPr>
            </w:pPr>
          </w:p>
        </w:tc>
        <w:tc>
          <w:tcPr>
            <w:tcW w:w="217" w:type="dxa"/>
          </w:tcPr>
          <w:p w14:paraId="4BC4DF87" w14:textId="77777777" w:rsidR="002C0FD9" w:rsidRPr="00CA25CF" w:rsidRDefault="002C0FD9" w:rsidP="00CA25CF">
            <w:pPr>
              <w:rPr>
                <w:rFonts w:cs="Arial"/>
                <w:color w:val="FF0000"/>
                <w:sz w:val="21"/>
                <w:szCs w:val="21"/>
              </w:rPr>
            </w:pPr>
          </w:p>
        </w:tc>
      </w:tr>
      <w:tr w:rsidR="002C0FD9" w:rsidRPr="00A16219" w14:paraId="49D5A88E" w14:textId="221F605D" w:rsidTr="002C0FD9">
        <w:trPr>
          <w:trHeight w:val="635"/>
        </w:trPr>
        <w:tc>
          <w:tcPr>
            <w:tcW w:w="515" w:type="dxa"/>
          </w:tcPr>
          <w:p w14:paraId="42890AEF" w14:textId="77777777" w:rsidR="002C0FD9" w:rsidRPr="00CA25CF" w:rsidRDefault="002C0FD9" w:rsidP="00CA25CF">
            <w:pPr>
              <w:rPr>
                <w:rFonts w:cs="Arial"/>
                <w:color w:val="FF0000"/>
                <w:sz w:val="21"/>
                <w:szCs w:val="21"/>
              </w:rPr>
            </w:pPr>
          </w:p>
        </w:tc>
        <w:tc>
          <w:tcPr>
            <w:tcW w:w="217" w:type="dxa"/>
          </w:tcPr>
          <w:p w14:paraId="6A2D8282" w14:textId="77777777" w:rsidR="002C0FD9" w:rsidRPr="00CA25CF" w:rsidRDefault="002C0FD9" w:rsidP="00CA25CF">
            <w:pPr>
              <w:rPr>
                <w:rFonts w:cs="Arial"/>
                <w:color w:val="FF0000"/>
                <w:sz w:val="21"/>
                <w:szCs w:val="21"/>
              </w:rPr>
            </w:pPr>
          </w:p>
        </w:tc>
        <w:tc>
          <w:tcPr>
            <w:tcW w:w="217" w:type="dxa"/>
          </w:tcPr>
          <w:p w14:paraId="1E754E77" w14:textId="6C3C8E57" w:rsidR="002C0FD9" w:rsidRPr="00CA25CF" w:rsidRDefault="002C0FD9" w:rsidP="00CA25CF">
            <w:pPr>
              <w:rPr>
                <w:rFonts w:cs="Arial"/>
                <w:color w:val="FF0000"/>
                <w:sz w:val="21"/>
                <w:szCs w:val="21"/>
              </w:rPr>
            </w:pPr>
          </w:p>
        </w:tc>
        <w:tc>
          <w:tcPr>
            <w:tcW w:w="217" w:type="dxa"/>
          </w:tcPr>
          <w:p w14:paraId="154FE454" w14:textId="77777777" w:rsidR="002C0FD9" w:rsidRPr="00CA25CF" w:rsidRDefault="002C0FD9" w:rsidP="00CA25CF">
            <w:pPr>
              <w:rPr>
                <w:rFonts w:cs="Arial"/>
                <w:color w:val="FF0000"/>
                <w:sz w:val="21"/>
                <w:szCs w:val="21"/>
              </w:rPr>
            </w:pPr>
          </w:p>
        </w:tc>
        <w:tc>
          <w:tcPr>
            <w:tcW w:w="217" w:type="dxa"/>
          </w:tcPr>
          <w:p w14:paraId="34F72DBA" w14:textId="77777777" w:rsidR="002C0FD9" w:rsidRPr="00CA25CF" w:rsidRDefault="002C0FD9" w:rsidP="00CA25CF">
            <w:pPr>
              <w:rPr>
                <w:rFonts w:cs="Arial"/>
                <w:color w:val="FF0000"/>
                <w:sz w:val="21"/>
                <w:szCs w:val="21"/>
              </w:rPr>
            </w:pPr>
          </w:p>
        </w:tc>
        <w:tc>
          <w:tcPr>
            <w:tcW w:w="217" w:type="dxa"/>
          </w:tcPr>
          <w:p w14:paraId="09A20FCA" w14:textId="77777777" w:rsidR="002C0FD9" w:rsidRPr="00CA25CF" w:rsidRDefault="002C0FD9" w:rsidP="00CA25CF">
            <w:pPr>
              <w:rPr>
                <w:rFonts w:cs="Arial"/>
                <w:color w:val="FF0000"/>
                <w:sz w:val="21"/>
                <w:szCs w:val="21"/>
              </w:rPr>
            </w:pPr>
          </w:p>
        </w:tc>
        <w:tc>
          <w:tcPr>
            <w:tcW w:w="217" w:type="dxa"/>
          </w:tcPr>
          <w:p w14:paraId="29447C58" w14:textId="77777777" w:rsidR="002C0FD9" w:rsidRPr="00CA25CF" w:rsidRDefault="002C0FD9" w:rsidP="00CA25CF">
            <w:pPr>
              <w:rPr>
                <w:rFonts w:cs="Arial"/>
                <w:color w:val="FF0000"/>
                <w:sz w:val="21"/>
                <w:szCs w:val="21"/>
              </w:rPr>
            </w:pPr>
          </w:p>
        </w:tc>
        <w:tc>
          <w:tcPr>
            <w:tcW w:w="217" w:type="dxa"/>
          </w:tcPr>
          <w:p w14:paraId="43630C24" w14:textId="77777777" w:rsidR="002C0FD9" w:rsidRPr="00CA25CF" w:rsidRDefault="002C0FD9" w:rsidP="00CA25CF">
            <w:pPr>
              <w:rPr>
                <w:rFonts w:cs="Arial"/>
                <w:color w:val="FF0000"/>
                <w:sz w:val="21"/>
                <w:szCs w:val="21"/>
              </w:rPr>
            </w:pPr>
          </w:p>
        </w:tc>
        <w:tc>
          <w:tcPr>
            <w:tcW w:w="217" w:type="dxa"/>
          </w:tcPr>
          <w:p w14:paraId="2D0E83AF" w14:textId="77777777" w:rsidR="002C0FD9" w:rsidRPr="00CA25CF" w:rsidRDefault="002C0FD9" w:rsidP="00CA25CF">
            <w:pPr>
              <w:rPr>
                <w:rFonts w:cs="Arial"/>
                <w:color w:val="FF0000"/>
                <w:sz w:val="21"/>
                <w:szCs w:val="21"/>
              </w:rPr>
            </w:pPr>
          </w:p>
        </w:tc>
        <w:tc>
          <w:tcPr>
            <w:tcW w:w="217" w:type="dxa"/>
          </w:tcPr>
          <w:p w14:paraId="20DEAA31" w14:textId="77777777" w:rsidR="002C0FD9" w:rsidRPr="00CA25CF" w:rsidRDefault="002C0FD9" w:rsidP="00CA25CF">
            <w:pPr>
              <w:rPr>
                <w:rFonts w:cs="Arial"/>
                <w:color w:val="FF0000"/>
                <w:sz w:val="21"/>
                <w:szCs w:val="21"/>
              </w:rPr>
            </w:pPr>
          </w:p>
        </w:tc>
        <w:tc>
          <w:tcPr>
            <w:tcW w:w="217" w:type="dxa"/>
          </w:tcPr>
          <w:p w14:paraId="1933D692" w14:textId="77777777" w:rsidR="002C0FD9" w:rsidRPr="00CA25CF" w:rsidRDefault="002C0FD9" w:rsidP="00CA25CF">
            <w:pPr>
              <w:rPr>
                <w:rFonts w:cs="Arial"/>
                <w:color w:val="FF0000"/>
                <w:sz w:val="21"/>
                <w:szCs w:val="21"/>
              </w:rPr>
            </w:pPr>
          </w:p>
        </w:tc>
        <w:tc>
          <w:tcPr>
            <w:tcW w:w="217" w:type="dxa"/>
          </w:tcPr>
          <w:p w14:paraId="74BB5E6D" w14:textId="77777777" w:rsidR="002C0FD9" w:rsidRPr="00CA25CF" w:rsidRDefault="002C0FD9" w:rsidP="00CA25CF">
            <w:pPr>
              <w:rPr>
                <w:rFonts w:cs="Arial"/>
                <w:color w:val="FF0000"/>
                <w:sz w:val="21"/>
                <w:szCs w:val="21"/>
              </w:rPr>
            </w:pPr>
          </w:p>
        </w:tc>
        <w:tc>
          <w:tcPr>
            <w:tcW w:w="217" w:type="dxa"/>
          </w:tcPr>
          <w:p w14:paraId="53226F10" w14:textId="77777777" w:rsidR="002C0FD9" w:rsidRPr="00CA25CF" w:rsidRDefault="002C0FD9" w:rsidP="00CA25CF">
            <w:pPr>
              <w:rPr>
                <w:rFonts w:cs="Arial"/>
                <w:color w:val="FF0000"/>
                <w:sz w:val="21"/>
                <w:szCs w:val="21"/>
              </w:rPr>
            </w:pPr>
          </w:p>
        </w:tc>
        <w:tc>
          <w:tcPr>
            <w:tcW w:w="217" w:type="dxa"/>
          </w:tcPr>
          <w:p w14:paraId="6B0B8F34" w14:textId="77777777" w:rsidR="002C0FD9" w:rsidRPr="00CA25CF" w:rsidRDefault="002C0FD9" w:rsidP="00CA25CF">
            <w:pPr>
              <w:rPr>
                <w:rFonts w:cs="Arial"/>
                <w:color w:val="FF0000"/>
                <w:sz w:val="21"/>
                <w:szCs w:val="21"/>
              </w:rPr>
            </w:pPr>
          </w:p>
        </w:tc>
        <w:tc>
          <w:tcPr>
            <w:tcW w:w="217" w:type="dxa"/>
          </w:tcPr>
          <w:p w14:paraId="3581A84A" w14:textId="77777777" w:rsidR="002C0FD9" w:rsidRPr="00CA25CF" w:rsidRDefault="002C0FD9" w:rsidP="00CA25CF">
            <w:pPr>
              <w:rPr>
                <w:rFonts w:cs="Arial"/>
                <w:color w:val="FF0000"/>
                <w:sz w:val="21"/>
                <w:szCs w:val="21"/>
              </w:rPr>
            </w:pPr>
          </w:p>
        </w:tc>
        <w:tc>
          <w:tcPr>
            <w:tcW w:w="217" w:type="dxa"/>
          </w:tcPr>
          <w:p w14:paraId="000AABF4" w14:textId="096CC6AD" w:rsidR="002C0FD9" w:rsidRPr="00CA25CF" w:rsidRDefault="002C0FD9" w:rsidP="00CA25CF">
            <w:pPr>
              <w:rPr>
                <w:rFonts w:cs="Arial"/>
                <w:color w:val="FF0000"/>
                <w:sz w:val="21"/>
                <w:szCs w:val="21"/>
              </w:rPr>
            </w:pPr>
          </w:p>
        </w:tc>
        <w:tc>
          <w:tcPr>
            <w:tcW w:w="217" w:type="dxa"/>
          </w:tcPr>
          <w:p w14:paraId="34736ECE" w14:textId="77777777" w:rsidR="002C0FD9" w:rsidRPr="00CA25CF" w:rsidRDefault="002C0FD9" w:rsidP="00CA25CF">
            <w:pPr>
              <w:rPr>
                <w:rFonts w:cs="Arial"/>
                <w:color w:val="FF0000"/>
                <w:sz w:val="21"/>
                <w:szCs w:val="21"/>
              </w:rPr>
            </w:pPr>
          </w:p>
        </w:tc>
        <w:tc>
          <w:tcPr>
            <w:tcW w:w="217" w:type="dxa"/>
          </w:tcPr>
          <w:p w14:paraId="4B6EB365" w14:textId="77777777" w:rsidR="002C0FD9" w:rsidRPr="00CA25CF" w:rsidRDefault="002C0FD9" w:rsidP="00CA25CF">
            <w:pPr>
              <w:rPr>
                <w:rFonts w:cs="Arial"/>
                <w:color w:val="FF0000"/>
                <w:sz w:val="21"/>
                <w:szCs w:val="21"/>
              </w:rPr>
            </w:pPr>
          </w:p>
        </w:tc>
        <w:tc>
          <w:tcPr>
            <w:tcW w:w="217" w:type="dxa"/>
          </w:tcPr>
          <w:p w14:paraId="70E51A02" w14:textId="77777777" w:rsidR="002C0FD9" w:rsidRPr="00CA25CF" w:rsidRDefault="002C0FD9" w:rsidP="00CA25CF">
            <w:pPr>
              <w:rPr>
                <w:rFonts w:cs="Arial"/>
                <w:color w:val="FF0000"/>
                <w:sz w:val="21"/>
                <w:szCs w:val="21"/>
              </w:rPr>
            </w:pPr>
          </w:p>
        </w:tc>
        <w:tc>
          <w:tcPr>
            <w:tcW w:w="217" w:type="dxa"/>
          </w:tcPr>
          <w:p w14:paraId="2023A348" w14:textId="77777777" w:rsidR="002C0FD9" w:rsidRPr="00CA25CF" w:rsidRDefault="002C0FD9" w:rsidP="00CA25CF">
            <w:pPr>
              <w:rPr>
                <w:rFonts w:cs="Arial"/>
                <w:color w:val="FF0000"/>
                <w:sz w:val="21"/>
                <w:szCs w:val="21"/>
              </w:rPr>
            </w:pPr>
          </w:p>
        </w:tc>
        <w:tc>
          <w:tcPr>
            <w:tcW w:w="217" w:type="dxa"/>
          </w:tcPr>
          <w:p w14:paraId="123BD1DB" w14:textId="77777777" w:rsidR="002C0FD9" w:rsidRPr="00CA25CF" w:rsidRDefault="002C0FD9" w:rsidP="00CA25CF">
            <w:pPr>
              <w:rPr>
                <w:rFonts w:cs="Arial"/>
                <w:color w:val="FF0000"/>
                <w:sz w:val="21"/>
                <w:szCs w:val="21"/>
              </w:rPr>
            </w:pPr>
          </w:p>
        </w:tc>
        <w:tc>
          <w:tcPr>
            <w:tcW w:w="217" w:type="dxa"/>
          </w:tcPr>
          <w:p w14:paraId="1BEE8A17" w14:textId="77777777" w:rsidR="002C0FD9" w:rsidRPr="00CA25CF" w:rsidRDefault="002C0FD9" w:rsidP="00CA25CF">
            <w:pPr>
              <w:rPr>
                <w:rFonts w:cs="Arial"/>
                <w:color w:val="FF0000"/>
                <w:sz w:val="21"/>
                <w:szCs w:val="21"/>
              </w:rPr>
            </w:pPr>
          </w:p>
        </w:tc>
        <w:tc>
          <w:tcPr>
            <w:tcW w:w="217" w:type="dxa"/>
          </w:tcPr>
          <w:p w14:paraId="28C09E89" w14:textId="77777777" w:rsidR="002C0FD9" w:rsidRPr="00CA25CF" w:rsidRDefault="002C0FD9" w:rsidP="00CA25CF">
            <w:pPr>
              <w:rPr>
                <w:rFonts w:cs="Arial"/>
                <w:color w:val="FF0000"/>
                <w:sz w:val="21"/>
                <w:szCs w:val="21"/>
              </w:rPr>
            </w:pPr>
          </w:p>
        </w:tc>
        <w:tc>
          <w:tcPr>
            <w:tcW w:w="217" w:type="dxa"/>
          </w:tcPr>
          <w:p w14:paraId="008EC3F1" w14:textId="77777777" w:rsidR="002C0FD9" w:rsidRPr="00CA25CF" w:rsidRDefault="002C0FD9" w:rsidP="00CA25CF">
            <w:pPr>
              <w:rPr>
                <w:rFonts w:cs="Arial"/>
                <w:color w:val="FF0000"/>
                <w:sz w:val="21"/>
                <w:szCs w:val="21"/>
              </w:rPr>
            </w:pPr>
          </w:p>
        </w:tc>
        <w:tc>
          <w:tcPr>
            <w:tcW w:w="217" w:type="dxa"/>
          </w:tcPr>
          <w:p w14:paraId="7FFFA3AD" w14:textId="77777777" w:rsidR="002C0FD9" w:rsidRPr="00CA25CF" w:rsidRDefault="002C0FD9" w:rsidP="00CA25CF">
            <w:pPr>
              <w:rPr>
                <w:rFonts w:cs="Arial"/>
                <w:color w:val="FF0000"/>
                <w:sz w:val="21"/>
                <w:szCs w:val="21"/>
              </w:rPr>
            </w:pPr>
          </w:p>
        </w:tc>
        <w:tc>
          <w:tcPr>
            <w:tcW w:w="217" w:type="dxa"/>
          </w:tcPr>
          <w:p w14:paraId="0D372DB8" w14:textId="77777777" w:rsidR="002C0FD9" w:rsidRPr="00CA25CF" w:rsidRDefault="002C0FD9" w:rsidP="00CA25CF">
            <w:pPr>
              <w:rPr>
                <w:rFonts w:cs="Arial"/>
                <w:color w:val="FF0000"/>
                <w:sz w:val="21"/>
                <w:szCs w:val="21"/>
              </w:rPr>
            </w:pPr>
          </w:p>
        </w:tc>
        <w:tc>
          <w:tcPr>
            <w:tcW w:w="217" w:type="dxa"/>
          </w:tcPr>
          <w:p w14:paraId="18E1B341" w14:textId="77777777" w:rsidR="002C0FD9" w:rsidRPr="00CA25CF" w:rsidRDefault="002C0FD9" w:rsidP="00CA25CF">
            <w:pPr>
              <w:rPr>
                <w:rFonts w:cs="Arial"/>
                <w:color w:val="FF0000"/>
                <w:sz w:val="21"/>
                <w:szCs w:val="21"/>
              </w:rPr>
            </w:pPr>
          </w:p>
        </w:tc>
        <w:tc>
          <w:tcPr>
            <w:tcW w:w="217" w:type="dxa"/>
          </w:tcPr>
          <w:p w14:paraId="25A67C10" w14:textId="77777777" w:rsidR="002C0FD9" w:rsidRPr="00CA25CF" w:rsidRDefault="002C0FD9" w:rsidP="00CA25CF">
            <w:pPr>
              <w:rPr>
                <w:rFonts w:cs="Arial"/>
                <w:color w:val="FF0000"/>
                <w:sz w:val="21"/>
                <w:szCs w:val="21"/>
              </w:rPr>
            </w:pPr>
          </w:p>
        </w:tc>
        <w:tc>
          <w:tcPr>
            <w:tcW w:w="217" w:type="dxa"/>
          </w:tcPr>
          <w:p w14:paraId="7EF2352B" w14:textId="77777777" w:rsidR="002C0FD9" w:rsidRPr="00CA25CF" w:rsidRDefault="002C0FD9" w:rsidP="00CA25CF">
            <w:pPr>
              <w:rPr>
                <w:rFonts w:cs="Arial"/>
                <w:color w:val="FF0000"/>
                <w:sz w:val="21"/>
                <w:szCs w:val="21"/>
              </w:rPr>
            </w:pPr>
          </w:p>
        </w:tc>
        <w:tc>
          <w:tcPr>
            <w:tcW w:w="217" w:type="dxa"/>
          </w:tcPr>
          <w:p w14:paraId="2CEEBE24" w14:textId="77777777" w:rsidR="002C0FD9" w:rsidRPr="00CA25CF" w:rsidRDefault="002C0FD9" w:rsidP="00CA25CF">
            <w:pPr>
              <w:rPr>
                <w:rFonts w:cs="Arial"/>
                <w:color w:val="FF0000"/>
                <w:sz w:val="21"/>
                <w:szCs w:val="21"/>
              </w:rPr>
            </w:pPr>
          </w:p>
        </w:tc>
        <w:tc>
          <w:tcPr>
            <w:tcW w:w="217" w:type="dxa"/>
          </w:tcPr>
          <w:p w14:paraId="5E0126CB" w14:textId="77777777" w:rsidR="002C0FD9" w:rsidRPr="00CA25CF" w:rsidRDefault="002C0FD9" w:rsidP="00CA25CF">
            <w:pPr>
              <w:rPr>
                <w:rFonts w:cs="Arial"/>
                <w:color w:val="FF0000"/>
                <w:sz w:val="21"/>
                <w:szCs w:val="21"/>
              </w:rPr>
            </w:pPr>
          </w:p>
        </w:tc>
        <w:tc>
          <w:tcPr>
            <w:tcW w:w="217" w:type="dxa"/>
          </w:tcPr>
          <w:p w14:paraId="6D3A3108" w14:textId="77777777" w:rsidR="002C0FD9" w:rsidRPr="00CA25CF" w:rsidRDefault="002C0FD9" w:rsidP="00CA25CF">
            <w:pPr>
              <w:rPr>
                <w:rFonts w:cs="Arial"/>
                <w:color w:val="FF0000"/>
                <w:sz w:val="21"/>
                <w:szCs w:val="21"/>
              </w:rPr>
            </w:pPr>
          </w:p>
        </w:tc>
        <w:tc>
          <w:tcPr>
            <w:tcW w:w="217" w:type="dxa"/>
          </w:tcPr>
          <w:p w14:paraId="6C77E056" w14:textId="77777777" w:rsidR="002C0FD9" w:rsidRPr="00CA25CF" w:rsidRDefault="002C0FD9" w:rsidP="00CA25CF">
            <w:pPr>
              <w:rPr>
                <w:rFonts w:cs="Arial"/>
                <w:color w:val="FF0000"/>
                <w:sz w:val="21"/>
                <w:szCs w:val="21"/>
              </w:rPr>
            </w:pPr>
          </w:p>
        </w:tc>
        <w:tc>
          <w:tcPr>
            <w:tcW w:w="217" w:type="dxa"/>
          </w:tcPr>
          <w:p w14:paraId="4DE63AC1" w14:textId="77777777" w:rsidR="002C0FD9" w:rsidRPr="00CA25CF" w:rsidRDefault="002C0FD9" w:rsidP="00CA25CF">
            <w:pPr>
              <w:rPr>
                <w:rFonts w:cs="Arial"/>
                <w:color w:val="FF0000"/>
                <w:sz w:val="21"/>
                <w:szCs w:val="21"/>
              </w:rPr>
            </w:pPr>
          </w:p>
        </w:tc>
        <w:tc>
          <w:tcPr>
            <w:tcW w:w="217" w:type="dxa"/>
          </w:tcPr>
          <w:p w14:paraId="1468CD2A" w14:textId="77777777" w:rsidR="002C0FD9" w:rsidRPr="00CA25CF" w:rsidRDefault="002C0FD9" w:rsidP="00CA25CF">
            <w:pPr>
              <w:rPr>
                <w:rFonts w:cs="Arial"/>
                <w:color w:val="FF0000"/>
                <w:sz w:val="21"/>
                <w:szCs w:val="21"/>
              </w:rPr>
            </w:pPr>
          </w:p>
        </w:tc>
        <w:tc>
          <w:tcPr>
            <w:tcW w:w="217" w:type="dxa"/>
          </w:tcPr>
          <w:p w14:paraId="13938FF0" w14:textId="77777777" w:rsidR="002C0FD9" w:rsidRPr="00CA25CF" w:rsidRDefault="002C0FD9" w:rsidP="00CA25CF">
            <w:pPr>
              <w:rPr>
                <w:rFonts w:cs="Arial"/>
                <w:color w:val="FF0000"/>
                <w:sz w:val="21"/>
                <w:szCs w:val="21"/>
              </w:rPr>
            </w:pPr>
          </w:p>
        </w:tc>
        <w:tc>
          <w:tcPr>
            <w:tcW w:w="217" w:type="dxa"/>
          </w:tcPr>
          <w:p w14:paraId="1F05AF33" w14:textId="77777777" w:rsidR="002C0FD9" w:rsidRPr="00CA25CF" w:rsidRDefault="002C0FD9" w:rsidP="00CA25CF">
            <w:pPr>
              <w:rPr>
                <w:rFonts w:cs="Arial"/>
                <w:color w:val="FF0000"/>
                <w:sz w:val="21"/>
                <w:szCs w:val="21"/>
              </w:rPr>
            </w:pPr>
          </w:p>
        </w:tc>
        <w:tc>
          <w:tcPr>
            <w:tcW w:w="217" w:type="dxa"/>
          </w:tcPr>
          <w:p w14:paraId="381EF62B" w14:textId="77777777" w:rsidR="002C0FD9" w:rsidRPr="00CA25CF" w:rsidRDefault="002C0FD9" w:rsidP="00CA25CF">
            <w:pPr>
              <w:rPr>
                <w:rFonts w:cs="Arial"/>
                <w:color w:val="FF0000"/>
                <w:sz w:val="21"/>
                <w:szCs w:val="21"/>
              </w:rPr>
            </w:pPr>
          </w:p>
        </w:tc>
        <w:tc>
          <w:tcPr>
            <w:tcW w:w="217" w:type="dxa"/>
          </w:tcPr>
          <w:p w14:paraId="16D6A3C5" w14:textId="77777777" w:rsidR="002C0FD9" w:rsidRPr="00CA25CF" w:rsidRDefault="002C0FD9" w:rsidP="00CA25CF">
            <w:pPr>
              <w:rPr>
                <w:rFonts w:cs="Arial"/>
                <w:color w:val="FF0000"/>
                <w:sz w:val="21"/>
                <w:szCs w:val="21"/>
              </w:rPr>
            </w:pPr>
          </w:p>
        </w:tc>
        <w:tc>
          <w:tcPr>
            <w:tcW w:w="217" w:type="dxa"/>
          </w:tcPr>
          <w:p w14:paraId="43556F5E" w14:textId="77777777" w:rsidR="002C0FD9" w:rsidRPr="00CA25CF" w:rsidRDefault="002C0FD9" w:rsidP="00CA25CF">
            <w:pPr>
              <w:rPr>
                <w:rFonts w:cs="Arial"/>
                <w:color w:val="FF0000"/>
                <w:sz w:val="21"/>
                <w:szCs w:val="21"/>
              </w:rPr>
            </w:pPr>
          </w:p>
        </w:tc>
        <w:tc>
          <w:tcPr>
            <w:tcW w:w="217" w:type="dxa"/>
          </w:tcPr>
          <w:p w14:paraId="3F9E48D5" w14:textId="77777777" w:rsidR="002C0FD9" w:rsidRPr="00CA25CF" w:rsidRDefault="002C0FD9" w:rsidP="00CA25CF">
            <w:pPr>
              <w:rPr>
                <w:rFonts w:cs="Arial"/>
                <w:color w:val="FF0000"/>
                <w:sz w:val="21"/>
                <w:szCs w:val="21"/>
              </w:rPr>
            </w:pPr>
          </w:p>
        </w:tc>
        <w:tc>
          <w:tcPr>
            <w:tcW w:w="217" w:type="dxa"/>
          </w:tcPr>
          <w:p w14:paraId="365CEB7F" w14:textId="77777777" w:rsidR="002C0FD9" w:rsidRPr="00CA25CF" w:rsidRDefault="002C0FD9" w:rsidP="00CA25CF">
            <w:pPr>
              <w:rPr>
                <w:rFonts w:cs="Arial"/>
                <w:color w:val="FF0000"/>
                <w:sz w:val="21"/>
                <w:szCs w:val="21"/>
              </w:rPr>
            </w:pPr>
          </w:p>
        </w:tc>
        <w:tc>
          <w:tcPr>
            <w:tcW w:w="217" w:type="dxa"/>
          </w:tcPr>
          <w:p w14:paraId="25C331FE" w14:textId="77777777" w:rsidR="002C0FD9" w:rsidRPr="00CA25CF" w:rsidRDefault="002C0FD9" w:rsidP="00CA25CF">
            <w:pPr>
              <w:rPr>
                <w:rFonts w:cs="Arial"/>
                <w:color w:val="FF0000"/>
                <w:sz w:val="21"/>
                <w:szCs w:val="21"/>
              </w:rPr>
            </w:pPr>
          </w:p>
        </w:tc>
      </w:tr>
      <w:tr w:rsidR="002C0FD9" w:rsidRPr="00A16219" w14:paraId="3AD5D96C" w14:textId="503027EE" w:rsidTr="002C0FD9">
        <w:trPr>
          <w:trHeight w:val="635"/>
        </w:trPr>
        <w:tc>
          <w:tcPr>
            <w:tcW w:w="515" w:type="dxa"/>
          </w:tcPr>
          <w:p w14:paraId="24B02382" w14:textId="77777777" w:rsidR="002C0FD9" w:rsidRPr="00CA25CF" w:rsidRDefault="002C0FD9" w:rsidP="00CA25CF">
            <w:pPr>
              <w:rPr>
                <w:rFonts w:cs="Arial"/>
                <w:color w:val="FF0000"/>
                <w:sz w:val="21"/>
                <w:szCs w:val="21"/>
              </w:rPr>
            </w:pPr>
          </w:p>
        </w:tc>
        <w:tc>
          <w:tcPr>
            <w:tcW w:w="217" w:type="dxa"/>
          </w:tcPr>
          <w:p w14:paraId="54971E6A" w14:textId="77777777" w:rsidR="002C0FD9" w:rsidRPr="00CA25CF" w:rsidRDefault="002C0FD9" w:rsidP="00CA25CF">
            <w:pPr>
              <w:rPr>
                <w:rFonts w:cs="Arial"/>
                <w:color w:val="FF0000"/>
                <w:sz w:val="21"/>
                <w:szCs w:val="21"/>
              </w:rPr>
            </w:pPr>
          </w:p>
        </w:tc>
        <w:tc>
          <w:tcPr>
            <w:tcW w:w="217" w:type="dxa"/>
          </w:tcPr>
          <w:p w14:paraId="144EF67D" w14:textId="6FF9935C" w:rsidR="002C0FD9" w:rsidRPr="00CA25CF" w:rsidRDefault="002C0FD9" w:rsidP="00CA25CF">
            <w:pPr>
              <w:rPr>
                <w:rFonts w:cs="Arial"/>
                <w:color w:val="FF0000"/>
                <w:sz w:val="21"/>
                <w:szCs w:val="21"/>
              </w:rPr>
            </w:pPr>
          </w:p>
        </w:tc>
        <w:tc>
          <w:tcPr>
            <w:tcW w:w="217" w:type="dxa"/>
          </w:tcPr>
          <w:p w14:paraId="3452DF18" w14:textId="77777777" w:rsidR="002C0FD9" w:rsidRPr="00CA25CF" w:rsidRDefault="002C0FD9" w:rsidP="00CA25CF">
            <w:pPr>
              <w:rPr>
                <w:rFonts w:cs="Arial"/>
                <w:color w:val="FF0000"/>
                <w:sz w:val="21"/>
                <w:szCs w:val="21"/>
              </w:rPr>
            </w:pPr>
          </w:p>
        </w:tc>
        <w:tc>
          <w:tcPr>
            <w:tcW w:w="217" w:type="dxa"/>
          </w:tcPr>
          <w:p w14:paraId="6A4572B5" w14:textId="77777777" w:rsidR="002C0FD9" w:rsidRPr="00CA25CF" w:rsidRDefault="002C0FD9" w:rsidP="00CA25CF">
            <w:pPr>
              <w:rPr>
                <w:rFonts w:cs="Arial"/>
                <w:color w:val="FF0000"/>
                <w:sz w:val="21"/>
                <w:szCs w:val="21"/>
              </w:rPr>
            </w:pPr>
          </w:p>
        </w:tc>
        <w:tc>
          <w:tcPr>
            <w:tcW w:w="217" w:type="dxa"/>
          </w:tcPr>
          <w:p w14:paraId="054E858A" w14:textId="77777777" w:rsidR="002C0FD9" w:rsidRPr="00CA25CF" w:rsidRDefault="002C0FD9" w:rsidP="00CA25CF">
            <w:pPr>
              <w:rPr>
                <w:rFonts w:cs="Arial"/>
                <w:color w:val="FF0000"/>
                <w:sz w:val="21"/>
                <w:szCs w:val="21"/>
              </w:rPr>
            </w:pPr>
          </w:p>
        </w:tc>
        <w:tc>
          <w:tcPr>
            <w:tcW w:w="217" w:type="dxa"/>
          </w:tcPr>
          <w:p w14:paraId="3065B54F" w14:textId="77777777" w:rsidR="002C0FD9" w:rsidRPr="00CA25CF" w:rsidRDefault="002C0FD9" w:rsidP="00CA25CF">
            <w:pPr>
              <w:rPr>
                <w:rFonts w:cs="Arial"/>
                <w:color w:val="FF0000"/>
                <w:sz w:val="21"/>
                <w:szCs w:val="21"/>
              </w:rPr>
            </w:pPr>
          </w:p>
        </w:tc>
        <w:tc>
          <w:tcPr>
            <w:tcW w:w="217" w:type="dxa"/>
          </w:tcPr>
          <w:p w14:paraId="48E957B0" w14:textId="77777777" w:rsidR="002C0FD9" w:rsidRPr="00CA25CF" w:rsidRDefault="002C0FD9" w:rsidP="00CA25CF">
            <w:pPr>
              <w:rPr>
                <w:rFonts w:cs="Arial"/>
                <w:color w:val="FF0000"/>
                <w:sz w:val="21"/>
                <w:szCs w:val="21"/>
              </w:rPr>
            </w:pPr>
          </w:p>
        </w:tc>
        <w:tc>
          <w:tcPr>
            <w:tcW w:w="217" w:type="dxa"/>
          </w:tcPr>
          <w:p w14:paraId="08E757EB" w14:textId="77777777" w:rsidR="002C0FD9" w:rsidRPr="00CA25CF" w:rsidRDefault="002C0FD9" w:rsidP="00CA25CF">
            <w:pPr>
              <w:rPr>
                <w:rFonts w:cs="Arial"/>
                <w:color w:val="FF0000"/>
                <w:sz w:val="21"/>
                <w:szCs w:val="21"/>
              </w:rPr>
            </w:pPr>
          </w:p>
        </w:tc>
        <w:tc>
          <w:tcPr>
            <w:tcW w:w="217" w:type="dxa"/>
          </w:tcPr>
          <w:p w14:paraId="2E248373" w14:textId="77777777" w:rsidR="002C0FD9" w:rsidRPr="00CA25CF" w:rsidRDefault="002C0FD9" w:rsidP="00CA25CF">
            <w:pPr>
              <w:rPr>
                <w:rFonts w:cs="Arial"/>
                <w:color w:val="FF0000"/>
                <w:sz w:val="21"/>
                <w:szCs w:val="21"/>
              </w:rPr>
            </w:pPr>
          </w:p>
        </w:tc>
        <w:tc>
          <w:tcPr>
            <w:tcW w:w="217" w:type="dxa"/>
          </w:tcPr>
          <w:p w14:paraId="49D3ABA4" w14:textId="77777777" w:rsidR="002C0FD9" w:rsidRPr="00CA25CF" w:rsidRDefault="002C0FD9" w:rsidP="00CA25CF">
            <w:pPr>
              <w:rPr>
                <w:rFonts w:cs="Arial"/>
                <w:color w:val="FF0000"/>
                <w:sz w:val="21"/>
                <w:szCs w:val="21"/>
              </w:rPr>
            </w:pPr>
          </w:p>
        </w:tc>
        <w:tc>
          <w:tcPr>
            <w:tcW w:w="217" w:type="dxa"/>
          </w:tcPr>
          <w:p w14:paraId="586C9CC0" w14:textId="77777777" w:rsidR="002C0FD9" w:rsidRPr="00CA25CF" w:rsidRDefault="002C0FD9" w:rsidP="00CA25CF">
            <w:pPr>
              <w:rPr>
                <w:rFonts w:cs="Arial"/>
                <w:color w:val="FF0000"/>
                <w:sz w:val="21"/>
                <w:szCs w:val="21"/>
              </w:rPr>
            </w:pPr>
          </w:p>
        </w:tc>
        <w:tc>
          <w:tcPr>
            <w:tcW w:w="217" w:type="dxa"/>
          </w:tcPr>
          <w:p w14:paraId="59C65A59" w14:textId="77777777" w:rsidR="002C0FD9" w:rsidRPr="00CA25CF" w:rsidRDefault="002C0FD9" w:rsidP="00CA25CF">
            <w:pPr>
              <w:rPr>
                <w:rFonts w:cs="Arial"/>
                <w:color w:val="FF0000"/>
                <w:sz w:val="21"/>
                <w:szCs w:val="21"/>
              </w:rPr>
            </w:pPr>
          </w:p>
        </w:tc>
        <w:tc>
          <w:tcPr>
            <w:tcW w:w="217" w:type="dxa"/>
          </w:tcPr>
          <w:p w14:paraId="2984F80D" w14:textId="77777777" w:rsidR="002C0FD9" w:rsidRPr="00CA25CF" w:rsidRDefault="002C0FD9" w:rsidP="00CA25CF">
            <w:pPr>
              <w:rPr>
                <w:rFonts w:cs="Arial"/>
                <w:color w:val="FF0000"/>
                <w:sz w:val="21"/>
                <w:szCs w:val="21"/>
              </w:rPr>
            </w:pPr>
          </w:p>
        </w:tc>
        <w:tc>
          <w:tcPr>
            <w:tcW w:w="217" w:type="dxa"/>
          </w:tcPr>
          <w:p w14:paraId="6D2CDDE4" w14:textId="77777777" w:rsidR="002C0FD9" w:rsidRPr="00CA25CF" w:rsidRDefault="002C0FD9" w:rsidP="00CA25CF">
            <w:pPr>
              <w:rPr>
                <w:rFonts w:cs="Arial"/>
                <w:color w:val="FF0000"/>
                <w:sz w:val="21"/>
                <w:szCs w:val="21"/>
              </w:rPr>
            </w:pPr>
          </w:p>
        </w:tc>
        <w:tc>
          <w:tcPr>
            <w:tcW w:w="217" w:type="dxa"/>
          </w:tcPr>
          <w:p w14:paraId="4B2F147E" w14:textId="4C418710" w:rsidR="002C0FD9" w:rsidRPr="00CA25CF" w:rsidRDefault="002C0FD9" w:rsidP="00CA25CF">
            <w:pPr>
              <w:rPr>
                <w:rFonts w:cs="Arial"/>
                <w:color w:val="FF0000"/>
                <w:sz w:val="21"/>
                <w:szCs w:val="21"/>
              </w:rPr>
            </w:pPr>
          </w:p>
        </w:tc>
        <w:tc>
          <w:tcPr>
            <w:tcW w:w="217" w:type="dxa"/>
          </w:tcPr>
          <w:p w14:paraId="6832084D" w14:textId="77777777" w:rsidR="002C0FD9" w:rsidRPr="00CA25CF" w:rsidRDefault="002C0FD9" w:rsidP="00CA25CF">
            <w:pPr>
              <w:rPr>
                <w:rFonts w:cs="Arial"/>
                <w:color w:val="FF0000"/>
                <w:sz w:val="21"/>
                <w:szCs w:val="21"/>
              </w:rPr>
            </w:pPr>
          </w:p>
        </w:tc>
        <w:tc>
          <w:tcPr>
            <w:tcW w:w="217" w:type="dxa"/>
          </w:tcPr>
          <w:p w14:paraId="62756CB4" w14:textId="77777777" w:rsidR="002C0FD9" w:rsidRPr="00CA25CF" w:rsidRDefault="002C0FD9" w:rsidP="00CA25CF">
            <w:pPr>
              <w:rPr>
                <w:rFonts w:cs="Arial"/>
                <w:color w:val="FF0000"/>
                <w:sz w:val="21"/>
                <w:szCs w:val="21"/>
              </w:rPr>
            </w:pPr>
          </w:p>
        </w:tc>
        <w:tc>
          <w:tcPr>
            <w:tcW w:w="217" w:type="dxa"/>
          </w:tcPr>
          <w:p w14:paraId="4DD82376" w14:textId="77777777" w:rsidR="002C0FD9" w:rsidRPr="00CA25CF" w:rsidRDefault="002C0FD9" w:rsidP="00CA25CF">
            <w:pPr>
              <w:rPr>
                <w:rFonts w:cs="Arial"/>
                <w:color w:val="FF0000"/>
                <w:sz w:val="21"/>
                <w:szCs w:val="21"/>
              </w:rPr>
            </w:pPr>
          </w:p>
        </w:tc>
        <w:tc>
          <w:tcPr>
            <w:tcW w:w="217" w:type="dxa"/>
          </w:tcPr>
          <w:p w14:paraId="77D5392F" w14:textId="77777777" w:rsidR="002C0FD9" w:rsidRPr="00CA25CF" w:rsidRDefault="002C0FD9" w:rsidP="00CA25CF">
            <w:pPr>
              <w:rPr>
                <w:rFonts w:cs="Arial"/>
                <w:color w:val="FF0000"/>
                <w:sz w:val="21"/>
                <w:szCs w:val="21"/>
              </w:rPr>
            </w:pPr>
          </w:p>
        </w:tc>
        <w:tc>
          <w:tcPr>
            <w:tcW w:w="217" w:type="dxa"/>
          </w:tcPr>
          <w:p w14:paraId="49FFBFAD" w14:textId="77777777" w:rsidR="002C0FD9" w:rsidRPr="00CA25CF" w:rsidRDefault="002C0FD9" w:rsidP="00CA25CF">
            <w:pPr>
              <w:rPr>
                <w:rFonts w:cs="Arial"/>
                <w:color w:val="FF0000"/>
                <w:sz w:val="21"/>
                <w:szCs w:val="21"/>
              </w:rPr>
            </w:pPr>
          </w:p>
        </w:tc>
        <w:tc>
          <w:tcPr>
            <w:tcW w:w="217" w:type="dxa"/>
          </w:tcPr>
          <w:p w14:paraId="73693692" w14:textId="77777777" w:rsidR="002C0FD9" w:rsidRPr="00CA25CF" w:rsidRDefault="002C0FD9" w:rsidP="00CA25CF">
            <w:pPr>
              <w:rPr>
                <w:rFonts w:cs="Arial"/>
                <w:color w:val="FF0000"/>
                <w:sz w:val="21"/>
                <w:szCs w:val="21"/>
              </w:rPr>
            </w:pPr>
          </w:p>
        </w:tc>
        <w:tc>
          <w:tcPr>
            <w:tcW w:w="217" w:type="dxa"/>
          </w:tcPr>
          <w:p w14:paraId="6278AF00" w14:textId="77777777" w:rsidR="002C0FD9" w:rsidRPr="00CA25CF" w:rsidRDefault="002C0FD9" w:rsidP="00CA25CF">
            <w:pPr>
              <w:rPr>
                <w:rFonts w:cs="Arial"/>
                <w:color w:val="FF0000"/>
                <w:sz w:val="21"/>
                <w:szCs w:val="21"/>
              </w:rPr>
            </w:pPr>
          </w:p>
        </w:tc>
        <w:tc>
          <w:tcPr>
            <w:tcW w:w="217" w:type="dxa"/>
          </w:tcPr>
          <w:p w14:paraId="4ADE6F29" w14:textId="77777777" w:rsidR="002C0FD9" w:rsidRPr="00CA25CF" w:rsidRDefault="002C0FD9" w:rsidP="00CA25CF">
            <w:pPr>
              <w:rPr>
                <w:rFonts w:cs="Arial"/>
                <w:color w:val="FF0000"/>
                <w:sz w:val="21"/>
                <w:szCs w:val="21"/>
              </w:rPr>
            </w:pPr>
          </w:p>
        </w:tc>
        <w:tc>
          <w:tcPr>
            <w:tcW w:w="217" w:type="dxa"/>
          </w:tcPr>
          <w:p w14:paraId="525B61C4" w14:textId="77777777" w:rsidR="002C0FD9" w:rsidRPr="00CA25CF" w:rsidRDefault="002C0FD9" w:rsidP="00CA25CF">
            <w:pPr>
              <w:rPr>
                <w:rFonts w:cs="Arial"/>
                <w:color w:val="FF0000"/>
                <w:sz w:val="21"/>
                <w:szCs w:val="21"/>
              </w:rPr>
            </w:pPr>
          </w:p>
        </w:tc>
        <w:tc>
          <w:tcPr>
            <w:tcW w:w="217" w:type="dxa"/>
          </w:tcPr>
          <w:p w14:paraId="16C28F4C" w14:textId="77777777" w:rsidR="002C0FD9" w:rsidRPr="00CA25CF" w:rsidRDefault="002C0FD9" w:rsidP="00CA25CF">
            <w:pPr>
              <w:rPr>
                <w:rFonts w:cs="Arial"/>
                <w:color w:val="FF0000"/>
                <w:sz w:val="21"/>
                <w:szCs w:val="21"/>
              </w:rPr>
            </w:pPr>
          </w:p>
        </w:tc>
        <w:tc>
          <w:tcPr>
            <w:tcW w:w="217" w:type="dxa"/>
          </w:tcPr>
          <w:p w14:paraId="41000A16" w14:textId="77777777" w:rsidR="002C0FD9" w:rsidRPr="00CA25CF" w:rsidRDefault="002C0FD9" w:rsidP="00CA25CF">
            <w:pPr>
              <w:rPr>
                <w:rFonts w:cs="Arial"/>
                <w:color w:val="FF0000"/>
                <w:sz w:val="21"/>
                <w:szCs w:val="21"/>
              </w:rPr>
            </w:pPr>
          </w:p>
        </w:tc>
        <w:tc>
          <w:tcPr>
            <w:tcW w:w="217" w:type="dxa"/>
          </w:tcPr>
          <w:p w14:paraId="398FBFAA" w14:textId="77777777" w:rsidR="002C0FD9" w:rsidRPr="00CA25CF" w:rsidRDefault="002C0FD9" w:rsidP="00CA25CF">
            <w:pPr>
              <w:rPr>
                <w:rFonts w:cs="Arial"/>
                <w:color w:val="FF0000"/>
                <w:sz w:val="21"/>
                <w:szCs w:val="21"/>
              </w:rPr>
            </w:pPr>
          </w:p>
        </w:tc>
        <w:tc>
          <w:tcPr>
            <w:tcW w:w="217" w:type="dxa"/>
          </w:tcPr>
          <w:p w14:paraId="5AB8B625" w14:textId="77777777" w:rsidR="002C0FD9" w:rsidRPr="00CA25CF" w:rsidRDefault="002C0FD9" w:rsidP="00CA25CF">
            <w:pPr>
              <w:rPr>
                <w:rFonts w:cs="Arial"/>
                <w:color w:val="FF0000"/>
                <w:sz w:val="21"/>
                <w:szCs w:val="21"/>
              </w:rPr>
            </w:pPr>
          </w:p>
        </w:tc>
        <w:tc>
          <w:tcPr>
            <w:tcW w:w="217" w:type="dxa"/>
          </w:tcPr>
          <w:p w14:paraId="7B309E07" w14:textId="77777777" w:rsidR="002C0FD9" w:rsidRPr="00CA25CF" w:rsidRDefault="002C0FD9" w:rsidP="00CA25CF">
            <w:pPr>
              <w:rPr>
                <w:rFonts w:cs="Arial"/>
                <w:color w:val="FF0000"/>
                <w:sz w:val="21"/>
                <w:szCs w:val="21"/>
              </w:rPr>
            </w:pPr>
          </w:p>
        </w:tc>
        <w:tc>
          <w:tcPr>
            <w:tcW w:w="217" w:type="dxa"/>
          </w:tcPr>
          <w:p w14:paraId="132B64A9" w14:textId="77777777" w:rsidR="002C0FD9" w:rsidRPr="00CA25CF" w:rsidRDefault="002C0FD9" w:rsidP="00CA25CF">
            <w:pPr>
              <w:rPr>
                <w:rFonts w:cs="Arial"/>
                <w:color w:val="FF0000"/>
                <w:sz w:val="21"/>
                <w:szCs w:val="21"/>
              </w:rPr>
            </w:pPr>
          </w:p>
        </w:tc>
        <w:tc>
          <w:tcPr>
            <w:tcW w:w="217" w:type="dxa"/>
          </w:tcPr>
          <w:p w14:paraId="02C17373" w14:textId="77777777" w:rsidR="002C0FD9" w:rsidRPr="00CA25CF" w:rsidRDefault="002C0FD9" w:rsidP="00CA25CF">
            <w:pPr>
              <w:rPr>
                <w:rFonts w:cs="Arial"/>
                <w:color w:val="FF0000"/>
                <w:sz w:val="21"/>
                <w:szCs w:val="21"/>
              </w:rPr>
            </w:pPr>
          </w:p>
        </w:tc>
        <w:tc>
          <w:tcPr>
            <w:tcW w:w="217" w:type="dxa"/>
          </w:tcPr>
          <w:p w14:paraId="5276C444" w14:textId="77777777" w:rsidR="002C0FD9" w:rsidRPr="00CA25CF" w:rsidRDefault="002C0FD9" w:rsidP="00CA25CF">
            <w:pPr>
              <w:rPr>
                <w:rFonts w:cs="Arial"/>
                <w:color w:val="FF0000"/>
                <w:sz w:val="21"/>
                <w:szCs w:val="21"/>
              </w:rPr>
            </w:pPr>
          </w:p>
        </w:tc>
        <w:tc>
          <w:tcPr>
            <w:tcW w:w="217" w:type="dxa"/>
          </w:tcPr>
          <w:p w14:paraId="3154351B" w14:textId="77777777" w:rsidR="002C0FD9" w:rsidRPr="00CA25CF" w:rsidRDefault="002C0FD9" w:rsidP="00CA25CF">
            <w:pPr>
              <w:rPr>
                <w:rFonts w:cs="Arial"/>
                <w:color w:val="FF0000"/>
                <w:sz w:val="21"/>
                <w:szCs w:val="21"/>
              </w:rPr>
            </w:pPr>
          </w:p>
        </w:tc>
        <w:tc>
          <w:tcPr>
            <w:tcW w:w="217" w:type="dxa"/>
          </w:tcPr>
          <w:p w14:paraId="06861378" w14:textId="77777777" w:rsidR="002C0FD9" w:rsidRPr="00CA25CF" w:rsidRDefault="002C0FD9" w:rsidP="00CA25CF">
            <w:pPr>
              <w:rPr>
                <w:rFonts w:cs="Arial"/>
                <w:color w:val="FF0000"/>
                <w:sz w:val="21"/>
                <w:szCs w:val="21"/>
              </w:rPr>
            </w:pPr>
          </w:p>
        </w:tc>
        <w:tc>
          <w:tcPr>
            <w:tcW w:w="217" w:type="dxa"/>
          </w:tcPr>
          <w:p w14:paraId="60A5A115" w14:textId="77777777" w:rsidR="002C0FD9" w:rsidRPr="00CA25CF" w:rsidRDefault="002C0FD9" w:rsidP="00CA25CF">
            <w:pPr>
              <w:rPr>
                <w:rFonts w:cs="Arial"/>
                <w:color w:val="FF0000"/>
                <w:sz w:val="21"/>
                <w:szCs w:val="21"/>
              </w:rPr>
            </w:pPr>
          </w:p>
        </w:tc>
        <w:tc>
          <w:tcPr>
            <w:tcW w:w="217" w:type="dxa"/>
          </w:tcPr>
          <w:p w14:paraId="4D218F33" w14:textId="77777777" w:rsidR="002C0FD9" w:rsidRPr="00CA25CF" w:rsidRDefault="002C0FD9" w:rsidP="00CA25CF">
            <w:pPr>
              <w:rPr>
                <w:rFonts w:cs="Arial"/>
                <w:color w:val="FF0000"/>
                <w:sz w:val="21"/>
                <w:szCs w:val="21"/>
              </w:rPr>
            </w:pPr>
          </w:p>
        </w:tc>
        <w:tc>
          <w:tcPr>
            <w:tcW w:w="217" w:type="dxa"/>
          </w:tcPr>
          <w:p w14:paraId="1B7F78F0" w14:textId="77777777" w:rsidR="002C0FD9" w:rsidRPr="00CA25CF" w:rsidRDefault="002C0FD9" w:rsidP="00CA25CF">
            <w:pPr>
              <w:rPr>
                <w:rFonts w:cs="Arial"/>
                <w:color w:val="FF0000"/>
                <w:sz w:val="21"/>
                <w:szCs w:val="21"/>
              </w:rPr>
            </w:pPr>
          </w:p>
        </w:tc>
        <w:tc>
          <w:tcPr>
            <w:tcW w:w="217" w:type="dxa"/>
          </w:tcPr>
          <w:p w14:paraId="044F47C3" w14:textId="77777777" w:rsidR="002C0FD9" w:rsidRPr="00CA25CF" w:rsidRDefault="002C0FD9" w:rsidP="00CA25CF">
            <w:pPr>
              <w:rPr>
                <w:rFonts w:cs="Arial"/>
                <w:color w:val="FF0000"/>
                <w:sz w:val="21"/>
                <w:szCs w:val="21"/>
              </w:rPr>
            </w:pPr>
          </w:p>
        </w:tc>
        <w:tc>
          <w:tcPr>
            <w:tcW w:w="217" w:type="dxa"/>
          </w:tcPr>
          <w:p w14:paraId="7080BCA2" w14:textId="77777777" w:rsidR="002C0FD9" w:rsidRPr="00CA25CF" w:rsidRDefault="002C0FD9" w:rsidP="00CA25CF">
            <w:pPr>
              <w:rPr>
                <w:rFonts w:cs="Arial"/>
                <w:color w:val="FF0000"/>
                <w:sz w:val="21"/>
                <w:szCs w:val="21"/>
              </w:rPr>
            </w:pPr>
          </w:p>
        </w:tc>
        <w:tc>
          <w:tcPr>
            <w:tcW w:w="217" w:type="dxa"/>
          </w:tcPr>
          <w:p w14:paraId="15D186EB" w14:textId="77777777" w:rsidR="002C0FD9" w:rsidRPr="00CA25CF" w:rsidRDefault="002C0FD9" w:rsidP="00CA25CF">
            <w:pPr>
              <w:rPr>
                <w:rFonts w:cs="Arial"/>
                <w:color w:val="FF0000"/>
                <w:sz w:val="21"/>
                <w:szCs w:val="21"/>
              </w:rPr>
            </w:pPr>
          </w:p>
        </w:tc>
        <w:tc>
          <w:tcPr>
            <w:tcW w:w="217" w:type="dxa"/>
          </w:tcPr>
          <w:p w14:paraId="2231A6C9" w14:textId="77777777" w:rsidR="002C0FD9" w:rsidRPr="00CA25CF" w:rsidRDefault="002C0FD9" w:rsidP="00CA25CF">
            <w:pPr>
              <w:rPr>
                <w:rFonts w:cs="Arial"/>
                <w:color w:val="FF0000"/>
                <w:sz w:val="21"/>
                <w:szCs w:val="21"/>
              </w:rPr>
            </w:pPr>
          </w:p>
        </w:tc>
        <w:tc>
          <w:tcPr>
            <w:tcW w:w="217" w:type="dxa"/>
          </w:tcPr>
          <w:p w14:paraId="65D83673" w14:textId="77777777" w:rsidR="002C0FD9" w:rsidRPr="00CA25CF" w:rsidRDefault="002C0FD9" w:rsidP="00CA25CF">
            <w:pPr>
              <w:rPr>
                <w:rFonts w:cs="Arial"/>
                <w:color w:val="FF0000"/>
                <w:sz w:val="21"/>
                <w:szCs w:val="21"/>
              </w:rPr>
            </w:pPr>
          </w:p>
        </w:tc>
      </w:tr>
      <w:tr w:rsidR="002C0FD9" w:rsidRPr="00A16219" w14:paraId="52BC250B" w14:textId="2FCDE17E" w:rsidTr="002C0FD9">
        <w:trPr>
          <w:trHeight w:val="635"/>
        </w:trPr>
        <w:tc>
          <w:tcPr>
            <w:tcW w:w="515" w:type="dxa"/>
          </w:tcPr>
          <w:p w14:paraId="3902DFF3" w14:textId="77777777" w:rsidR="002C0FD9" w:rsidRPr="00CA25CF" w:rsidRDefault="002C0FD9" w:rsidP="00CA25CF">
            <w:pPr>
              <w:rPr>
                <w:rFonts w:cs="Arial"/>
                <w:color w:val="FF0000"/>
                <w:sz w:val="21"/>
                <w:szCs w:val="21"/>
              </w:rPr>
            </w:pPr>
          </w:p>
        </w:tc>
        <w:tc>
          <w:tcPr>
            <w:tcW w:w="217" w:type="dxa"/>
          </w:tcPr>
          <w:p w14:paraId="1DA6F2A9" w14:textId="77777777" w:rsidR="002C0FD9" w:rsidRPr="00CA25CF" w:rsidRDefault="002C0FD9" w:rsidP="00CA25CF">
            <w:pPr>
              <w:rPr>
                <w:rFonts w:cs="Arial"/>
                <w:color w:val="FF0000"/>
                <w:sz w:val="21"/>
                <w:szCs w:val="21"/>
              </w:rPr>
            </w:pPr>
          </w:p>
        </w:tc>
        <w:tc>
          <w:tcPr>
            <w:tcW w:w="217" w:type="dxa"/>
          </w:tcPr>
          <w:p w14:paraId="3E562D57" w14:textId="0D8E0D75" w:rsidR="002C0FD9" w:rsidRPr="00CA25CF" w:rsidRDefault="002C0FD9" w:rsidP="00CA25CF">
            <w:pPr>
              <w:rPr>
                <w:rFonts w:cs="Arial"/>
                <w:color w:val="FF0000"/>
                <w:sz w:val="21"/>
                <w:szCs w:val="21"/>
              </w:rPr>
            </w:pPr>
          </w:p>
        </w:tc>
        <w:tc>
          <w:tcPr>
            <w:tcW w:w="217" w:type="dxa"/>
          </w:tcPr>
          <w:p w14:paraId="0B164810" w14:textId="77777777" w:rsidR="002C0FD9" w:rsidRPr="00CA25CF" w:rsidRDefault="002C0FD9" w:rsidP="00CA25CF">
            <w:pPr>
              <w:rPr>
                <w:rFonts w:cs="Arial"/>
                <w:color w:val="FF0000"/>
                <w:sz w:val="21"/>
                <w:szCs w:val="21"/>
              </w:rPr>
            </w:pPr>
          </w:p>
        </w:tc>
        <w:tc>
          <w:tcPr>
            <w:tcW w:w="217" w:type="dxa"/>
          </w:tcPr>
          <w:p w14:paraId="70D73F0A" w14:textId="77777777" w:rsidR="002C0FD9" w:rsidRPr="00CA25CF" w:rsidRDefault="002C0FD9" w:rsidP="00CA25CF">
            <w:pPr>
              <w:rPr>
                <w:rFonts w:cs="Arial"/>
                <w:color w:val="FF0000"/>
                <w:sz w:val="21"/>
                <w:szCs w:val="21"/>
              </w:rPr>
            </w:pPr>
          </w:p>
        </w:tc>
        <w:tc>
          <w:tcPr>
            <w:tcW w:w="217" w:type="dxa"/>
          </w:tcPr>
          <w:p w14:paraId="0C9A4970" w14:textId="77777777" w:rsidR="002C0FD9" w:rsidRPr="00CA25CF" w:rsidRDefault="002C0FD9" w:rsidP="00CA25CF">
            <w:pPr>
              <w:rPr>
                <w:rFonts w:cs="Arial"/>
                <w:color w:val="FF0000"/>
                <w:sz w:val="21"/>
                <w:szCs w:val="21"/>
              </w:rPr>
            </w:pPr>
          </w:p>
        </w:tc>
        <w:tc>
          <w:tcPr>
            <w:tcW w:w="217" w:type="dxa"/>
          </w:tcPr>
          <w:p w14:paraId="16000942" w14:textId="77777777" w:rsidR="002C0FD9" w:rsidRPr="00CA25CF" w:rsidRDefault="002C0FD9" w:rsidP="00CA25CF">
            <w:pPr>
              <w:rPr>
                <w:rFonts w:cs="Arial"/>
                <w:color w:val="FF0000"/>
                <w:sz w:val="21"/>
                <w:szCs w:val="21"/>
              </w:rPr>
            </w:pPr>
          </w:p>
        </w:tc>
        <w:tc>
          <w:tcPr>
            <w:tcW w:w="217" w:type="dxa"/>
          </w:tcPr>
          <w:p w14:paraId="1A6FEBF7" w14:textId="77777777" w:rsidR="002C0FD9" w:rsidRPr="00CA25CF" w:rsidRDefault="002C0FD9" w:rsidP="00CA25CF">
            <w:pPr>
              <w:rPr>
                <w:rFonts w:cs="Arial"/>
                <w:color w:val="FF0000"/>
                <w:sz w:val="21"/>
                <w:szCs w:val="21"/>
              </w:rPr>
            </w:pPr>
          </w:p>
        </w:tc>
        <w:tc>
          <w:tcPr>
            <w:tcW w:w="217" w:type="dxa"/>
          </w:tcPr>
          <w:p w14:paraId="4C4F422E" w14:textId="77777777" w:rsidR="002C0FD9" w:rsidRPr="00CA25CF" w:rsidRDefault="002C0FD9" w:rsidP="00CA25CF">
            <w:pPr>
              <w:rPr>
                <w:rFonts w:cs="Arial"/>
                <w:color w:val="FF0000"/>
                <w:sz w:val="21"/>
                <w:szCs w:val="21"/>
              </w:rPr>
            </w:pPr>
          </w:p>
        </w:tc>
        <w:tc>
          <w:tcPr>
            <w:tcW w:w="217" w:type="dxa"/>
          </w:tcPr>
          <w:p w14:paraId="17AAC5BD" w14:textId="77777777" w:rsidR="002C0FD9" w:rsidRPr="00CA25CF" w:rsidRDefault="002C0FD9" w:rsidP="00CA25CF">
            <w:pPr>
              <w:rPr>
                <w:rFonts w:cs="Arial"/>
                <w:color w:val="FF0000"/>
                <w:sz w:val="21"/>
                <w:szCs w:val="21"/>
              </w:rPr>
            </w:pPr>
          </w:p>
        </w:tc>
        <w:tc>
          <w:tcPr>
            <w:tcW w:w="217" w:type="dxa"/>
          </w:tcPr>
          <w:p w14:paraId="0D70B423" w14:textId="77777777" w:rsidR="002C0FD9" w:rsidRPr="00CA25CF" w:rsidRDefault="002C0FD9" w:rsidP="00CA25CF">
            <w:pPr>
              <w:rPr>
                <w:rFonts w:cs="Arial"/>
                <w:color w:val="FF0000"/>
                <w:sz w:val="21"/>
                <w:szCs w:val="21"/>
              </w:rPr>
            </w:pPr>
          </w:p>
        </w:tc>
        <w:tc>
          <w:tcPr>
            <w:tcW w:w="217" w:type="dxa"/>
          </w:tcPr>
          <w:p w14:paraId="37BB5957" w14:textId="77777777" w:rsidR="002C0FD9" w:rsidRPr="00CA25CF" w:rsidRDefault="002C0FD9" w:rsidP="00CA25CF">
            <w:pPr>
              <w:rPr>
                <w:rFonts w:cs="Arial"/>
                <w:color w:val="FF0000"/>
                <w:sz w:val="21"/>
                <w:szCs w:val="21"/>
              </w:rPr>
            </w:pPr>
          </w:p>
        </w:tc>
        <w:tc>
          <w:tcPr>
            <w:tcW w:w="217" w:type="dxa"/>
          </w:tcPr>
          <w:p w14:paraId="295F220B" w14:textId="77777777" w:rsidR="002C0FD9" w:rsidRPr="00CA25CF" w:rsidRDefault="002C0FD9" w:rsidP="00CA25CF">
            <w:pPr>
              <w:rPr>
                <w:rFonts w:cs="Arial"/>
                <w:color w:val="FF0000"/>
                <w:sz w:val="21"/>
                <w:szCs w:val="21"/>
              </w:rPr>
            </w:pPr>
          </w:p>
        </w:tc>
        <w:tc>
          <w:tcPr>
            <w:tcW w:w="217" w:type="dxa"/>
          </w:tcPr>
          <w:p w14:paraId="41A9C5C1" w14:textId="77777777" w:rsidR="002C0FD9" w:rsidRPr="00CA25CF" w:rsidRDefault="002C0FD9" w:rsidP="00CA25CF">
            <w:pPr>
              <w:rPr>
                <w:rFonts w:cs="Arial"/>
                <w:color w:val="FF0000"/>
                <w:sz w:val="21"/>
                <w:szCs w:val="21"/>
              </w:rPr>
            </w:pPr>
          </w:p>
        </w:tc>
        <w:tc>
          <w:tcPr>
            <w:tcW w:w="217" w:type="dxa"/>
          </w:tcPr>
          <w:p w14:paraId="29145B13" w14:textId="77777777" w:rsidR="002C0FD9" w:rsidRPr="00CA25CF" w:rsidRDefault="002C0FD9" w:rsidP="00CA25CF">
            <w:pPr>
              <w:rPr>
                <w:rFonts w:cs="Arial"/>
                <w:color w:val="FF0000"/>
                <w:sz w:val="21"/>
                <w:szCs w:val="21"/>
              </w:rPr>
            </w:pPr>
          </w:p>
        </w:tc>
        <w:tc>
          <w:tcPr>
            <w:tcW w:w="217" w:type="dxa"/>
          </w:tcPr>
          <w:p w14:paraId="2B05DADB" w14:textId="07C93051" w:rsidR="002C0FD9" w:rsidRPr="00CA25CF" w:rsidRDefault="002C0FD9" w:rsidP="00CA25CF">
            <w:pPr>
              <w:rPr>
                <w:rFonts w:cs="Arial"/>
                <w:color w:val="FF0000"/>
                <w:sz w:val="21"/>
                <w:szCs w:val="21"/>
              </w:rPr>
            </w:pPr>
          </w:p>
        </w:tc>
        <w:tc>
          <w:tcPr>
            <w:tcW w:w="217" w:type="dxa"/>
          </w:tcPr>
          <w:p w14:paraId="1AA9C0DA" w14:textId="77777777" w:rsidR="002C0FD9" w:rsidRPr="00CA25CF" w:rsidRDefault="002C0FD9" w:rsidP="00CA25CF">
            <w:pPr>
              <w:rPr>
                <w:rFonts w:cs="Arial"/>
                <w:color w:val="FF0000"/>
                <w:sz w:val="21"/>
                <w:szCs w:val="21"/>
              </w:rPr>
            </w:pPr>
          </w:p>
        </w:tc>
        <w:tc>
          <w:tcPr>
            <w:tcW w:w="217" w:type="dxa"/>
          </w:tcPr>
          <w:p w14:paraId="7D5834FF" w14:textId="77777777" w:rsidR="002C0FD9" w:rsidRPr="00CA25CF" w:rsidRDefault="002C0FD9" w:rsidP="00CA25CF">
            <w:pPr>
              <w:rPr>
                <w:rFonts w:cs="Arial"/>
                <w:color w:val="FF0000"/>
                <w:sz w:val="21"/>
                <w:szCs w:val="21"/>
              </w:rPr>
            </w:pPr>
          </w:p>
        </w:tc>
        <w:tc>
          <w:tcPr>
            <w:tcW w:w="217" w:type="dxa"/>
          </w:tcPr>
          <w:p w14:paraId="3BF6179E" w14:textId="77777777" w:rsidR="002C0FD9" w:rsidRPr="00CA25CF" w:rsidRDefault="002C0FD9" w:rsidP="00CA25CF">
            <w:pPr>
              <w:rPr>
                <w:rFonts w:cs="Arial"/>
                <w:color w:val="FF0000"/>
                <w:sz w:val="21"/>
                <w:szCs w:val="21"/>
              </w:rPr>
            </w:pPr>
          </w:p>
        </w:tc>
        <w:tc>
          <w:tcPr>
            <w:tcW w:w="217" w:type="dxa"/>
          </w:tcPr>
          <w:p w14:paraId="6AF4E156" w14:textId="77777777" w:rsidR="002C0FD9" w:rsidRPr="00CA25CF" w:rsidRDefault="002C0FD9" w:rsidP="00CA25CF">
            <w:pPr>
              <w:rPr>
                <w:rFonts w:cs="Arial"/>
                <w:color w:val="FF0000"/>
                <w:sz w:val="21"/>
                <w:szCs w:val="21"/>
              </w:rPr>
            </w:pPr>
          </w:p>
        </w:tc>
        <w:tc>
          <w:tcPr>
            <w:tcW w:w="217" w:type="dxa"/>
          </w:tcPr>
          <w:p w14:paraId="4F759162" w14:textId="77777777" w:rsidR="002C0FD9" w:rsidRPr="00CA25CF" w:rsidRDefault="002C0FD9" w:rsidP="00CA25CF">
            <w:pPr>
              <w:rPr>
                <w:rFonts w:cs="Arial"/>
                <w:color w:val="FF0000"/>
                <w:sz w:val="21"/>
                <w:szCs w:val="21"/>
              </w:rPr>
            </w:pPr>
          </w:p>
        </w:tc>
        <w:tc>
          <w:tcPr>
            <w:tcW w:w="217" w:type="dxa"/>
          </w:tcPr>
          <w:p w14:paraId="6C574114" w14:textId="77777777" w:rsidR="002C0FD9" w:rsidRPr="00CA25CF" w:rsidRDefault="002C0FD9" w:rsidP="00CA25CF">
            <w:pPr>
              <w:rPr>
                <w:rFonts w:cs="Arial"/>
                <w:color w:val="FF0000"/>
                <w:sz w:val="21"/>
                <w:szCs w:val="21"/>
              </w:rPr>
            </w:pPr>
          </w:p>
        </w:tc>
        <w:tc>
          <w:tcPr>
            <w:tcW w:w="217" w:type="dxa"/>
          </w:tcPr>
          <w:p w14:paraId="08506E80" w14:textId="77777777" w:rsidR="002C0FD9" w:rsidRPr="00CA25CF" w:rsidRDefault="002C0FD9" w:rsidP="00CA25CF">
            <w:pPr>
              <w:rPr>
                <w:rFonts w:cs="Arial"/>
                <w:color w:val="FF0000"/>
                <w:sz w:val="21"/>
                <w:szCs w:val="21"/>
              </w:rPr>
            </w:pPr>
          </w:p>
        </w:tc>
        <w:tc>
          <w:tcPr>
            <w:tcW w:w="217" w:type="dxa"/>
          </w:tcPr>
          <w:p w14:paraId="10ABE22B" w14:textId="77777777" w:rsidR="002C0FD9" w:rsidRPr="00CA25CF" w:rsidRDefault="002C0FD9" w:rsidP="00CA25CF">
            <w:pPr>
              <w:rPr>
                <w:rFonts w:cs="Arial"/>
                <w:color w:val="FF0000"/>
                <w:sz w:val="21"/>
                <w:szCs w:val="21"/>
              </w:rPr>
            </w:pPr>
          </w:p>
        </w:tc>
        <w:tc>
          <w:tcPr>
            <w:tcW w:w="217" w:type="dxa"/>
          </w:tcPr>
          <w:p w14:paraId="2D1051E8" w14:textId="77777777" w:rsidR="002C0FD9" w:rsidRPr="00CA25CF" w:rsidRDefault="002C0FD9" w:rsidP="00CA25CF">
            <w:pPr>
              <w:rPr>
                <w:rFonts w:cs="Arial"/>
                <w:color w:val="FF0000"/>
                <w:sz w:val="21"/>
                <w:szCs w:val="21"/>
              </w:rPr>
            </w:pPr>
          </w:p>
        </w:tc>
        <w:tc>
          <w:tcPr>
            <w:tcW w:w="217" w:type="dxa"/>
          </w:tcPr>
          <w:p w14:paraId="6622F34B" w14:textId="77777777" w:rsidR="002C0FD9" w:rsidRPr="00CA25CF" w:rsidRDefault="002C0FD9" w:rsidP="00CA25CF">
            <w:pPr>
              <w:rPr>
                <w:rFonts w:cs="Arial"/>
                <w:color w:val="FF0000"/>
                <w:sz w:val="21"/>
                <w:szCs w:val="21"/>
              </w:rPr>
            </w:pPr>
          </w:p>
        </w:tc>
        <w:tc>
          <w:tcPr>
            <w:tcW w:w="217" w:type="dxa"/>
          </w:tcPr>
          <w:p w14:paraId="65DC5F0F" w14:textId="77777777" w:rsidR="002C0FD9" w:rsidRPr="00CA25CF" w:rsidRDefault="002C0FD9" w:rsidP="00CA25CF">
            <w:pPr>
              <w:rPr>
                <w:rFonts w:cs="Arial"/>
                <w:color w:val="FF0000"/>
                <w:sz w:val="21"/>
                <w:szCs w:val="21"/>
              </w:rPr>
            </w:pPr>
          </w:p>
        </w:tc>
        <w:tc>
          <w:tcPr>
            <w:tcW w:w="217" w:type="dxa"/>
          </w:tcPr>
          <w:p w14:paraId="5237A1FB" w14:textId="77777777" w:rsidR="002C0FD9" w:rsidRPr="00CA25CF" w:rsidRDefault="002C0FD9" w:rsidP="00CA25CF">
            <w:pPr>
              <w:rPr>
                <w:rFonts w:cs="Arial"/>
                <w:color w:val="FF0000"/>
                <w:sz w:val="21"/>
                <w:szCs w:val="21"/>
              </w:rPr>
            </w:pPr>
          </w:p>
        </w:tc>
        <w:tc>
          <w:tcPr>
            <w:tcW w:w="217" w:type="dxa"/>
          </w:tcPr>
          <w:p w14:paraId="3B4E0ABA" w14:textId="77777777" w:rsidR="002C0FD9" w:rsidRPr="00CA25CF" w:rsidRDefault="002C0FD9" w:rsidP="00CA25CF">
            <w:pPr>
              <w:rPr>
                <w:rFonts w:cs="Arial"/>
                <w:color w:val="FF0000"/>
                <w:sz w:val="21"/>
                <w:szCs w:val="21"/>
              </w:rPr>
            </w:pPr>
          </w:p>
        </w:tc>
        <w:tc>
          <w:tcPr>
            <w:tcW w:w="217" w:type="dxa"/>
          </w:tcPr>
          <w:p w14:paraId="3BFE54AB" w14:textId="77777777" w:rsidR="002C0FD9" w:rsidRPr="00CA25CF" w:rsidRDefault="002C0FD9" w:rsidP="00CA25CF">
            <w:pPr>
              <w:rPr>
                <w:rFonts w:cs="Arial"/>
                <w:color w:val="FF0000"/>
                <w:sz w:val="21"/>
                <w:szCs w:val="21"/>
              </w:rPr>
            </w:pPr>
          </w:p>
        </w:tc>
        <w:tc>
          <w:tcPr>
            <w:tcW w:w="217" w:type="dxa"/>
          </w:tcPr>
          <w:p w14:paraId="2702E875" w14:textId="77777777" w:rsidR="002C0FD9" w:rsidRPr="00CA25CF" w:rsidRDefault="002C0FD9" w:rsidP="00CA25CF">
            <w:pPr>
              <w:rPr>
                <w:rFonts w:cs="Arial"/>
                <w:color w:val="FF0000"/>
                <w:sz w:val="21"/>
                <w:szCs w:val="21"/>
              </w:rPr>
            </w:pPr>
          </w:p>
        </w:tc>
        <w:tc>
          <w:tcPr>
            <w:tcW w:w="217" w:type="dxa"/>
          </w:tcPr>
          <w:p w14:paraId="359C9D28" w14:textId="77777777" w:rsidR="002C0FD9" w:rsidRPr="00CA25CF" w:rsidRDefault="002C0FD9" w:rsidP="00CA25CF">
            <w:pPr>
              <w:rPr>
                <w:rFonts w:cs="Arial"/>
                <w:color w:val="FF0000"/>
                <w:sz w:val="21"/>
                <w:szCs w:val="21"/>
              </w:rPr>
            </w:pPr>
          </w:p>
        </w:tc>
        <w:tc>
          <w:tcPr>
            <w:tcW w:w="217" w:type="dxa"/>
          </w:tcPr>
          <w:p w14:paraId="5445DA67" w14:textId="77777777" w:rsidR="002C0FD9" w:rsidRPr="00CA25CF" w:rsidRDefault="002C0FD9" w:rsidP="00CA25CF">
            <w:pPr>
              <w:rPr>
                <w:rFonts w:cs="Arial"/>
                <w:color w:val="FF0000"/>
                <w:sz w:val="21"/>
                <w:szCs w:val="21"/>
              </w:rPr>
            </w:pPr>
          </w:p>
        </w:tc>
        <w:tc>
          <w:tcPr>
            <w:tcW w:w="217" w:type="dxa"/>
          </w:tcPr>
          <w:p w14:paraId="16D87737" w14:textId="77777777" w:rsidR="002C0FD9" w:rsidRPr="00CA25CF" w:rsidRDefault="002C0FD9" w:rsidP="00CA25CF">
            <w:pPr>
              <w:rPr>
                <w:rFonts w:cs="Arial"/>
                <w:color w:val="FF0000"/>
                <w:sz w:val="21"/>
                <w:szCs w:val="21"/>
              </w:rPr>
            </w:pPr>
          </w:p>
        </w:tc>
        <w:tc>
          <w:tcPr>
            <w:tcW w:w="217" w:type="dxa"/>
          </w:tcPr>
          <w:p w14:paraId="09622BA3" w14:textId="77777777" w:rsidR="002C0FD9" w:rsidRPr="00CA25CF" w:rsidRDefault="002C0FD9" w:rsidP="00CA25CF">
            <w:pPr>
              <w:rPr>
                <w:rFonts w:cs="Arial"/>
                <w:color w:val="FF0000"/>
                <w:sz w:val="21"/>
                <w:szCs w:val="21"/>
              </w:rPr>
            </w:pPr>
          </w:p>
        </w:tc>
        <w:tc>
          <w:tcPr>
            <w:tcW w:w="217" w:type="dxa"/>
          </w:tcPr>
          <w:p w14:paraId="1630B79A" w14:textId="77777777" w:rsidR="002C0FD9" w:rsidRPr="00CA25CF" w:rsidRDefault="002C0FD9" w:rsidP="00CA25CF">
            <w:pPr>
              <w:rPr>
                <w:rFonts w:cs="Arial"/>
                <w:color w:val="FF0000"/>
                <w:sz w:val="21"/>
                <w:szCs w:val="21"/>
              </w:rPr>
            </w:pPr>
          </w:p>
        </w:tc>
        <w:tc>
          <w:tcPr>
            <w:tcW w:w="217" w:type="dxa"/>
          </w:tcPr>
          <w:p w14:paraId="660048F0" w14:textId="77777777" w:rsidR="002C0FD9" w:rsidRPr="00CA25CF" w:rsidRDefault="002C0FD9" w:rsidP="00CA25CF">
            <w:pPr>
              <w:rPr>
                <w:rFonts w:cs="Arial"/>
                <w:color w:val="FF0000"/>
                <w:sz w:val="21"/>
                <w:szCs w:val="21"/>
              </w:rPr>
            </w:pPr>
          </w:p>
        </w:tc>
        <w:tc>
          <w:tcPr>
            <w:tcW w:w="217" w:type="dxa"/>
          </w:tcPr>
          <w:p w14:paraId="33FB0FA8" w14:textId="77777777" w:rsidR="002C0FD9" w:rsidRPr="00CA25CF" w:rsidRDefault="002C0FD9" w:rsidP="00CA25CF">
            <w:pPr>
              <w:rPr>
                <w:rFonts w:cs="Arial"/>
                <w:color w:val="FF0000"/>
                <w:sz w:val="21"/>
                <w:szCs w:val="21"/>
              </w:rPr>
            </w:pPr>
          </w:p>
        </w:tc>
        <w:tc>
          <w:tcPr>
            <w:tcW w:w="217" w:type="dxa"/>
          </w:tcPr>
          <w:p w14:paraId="41946C29" w14:textId="77777777" w:rsidR="002C0FD9" w:rsidRPr="00CA25CF" w:rsidRDefault="002C0FD9" w:rsidP="00CA25CF">
            <w:pPr>
              <w:rPr>
                <w:rFonts w:cs="Arial"/>
                <w:color w:val="FF0000"/>
                <w:sz w:val="21"/>
                <w:szCs w:val="21"/>
              </w:rPr>
            </w:pPr>
          </w:p>
        </w:tc>
        <w:tc>
          <w:tcPr>
            <w:tcW w:w="217" w:type="dxa"/>
          </w:tcPr>
          <w:p w14:paraId="76062959" w14:textId="77777777" w:rsidR="002C0FD9" w:rsidRPr="00CA25CF" w:rsidRDefault="002C0FD9" w:rsidP="00CA25CF">
            <w:pPr>
              <w:rPr>
                <w:rFonts w:cs="Arial"/>
                <w:color w:val="FF0000"/>
                <w:sz w:val="21"/>
                <w:szCs w:val="21"/>
              </w:rPr>
            </w:pPr>
          </w:p>
        </w:tc>
        <w:tc>
          <w:tcPr>
            <w:tcW w:w="217" w:type="dxa"/>
          </w:tcPr>
          <w:p w14:paraId="656D2DF8" w14:textId="77777777" w:rsidR="002C0FD9" w:rsidRPr="00CA25CF" w:rsidRDefault="002C0FD9" w:rsidP="00CA25CF">
            <w:pPr>
              <w:rPr>
                <w:rFonts w:cs="Arial"/>
                <w:color w:val="FF0000"/>
                <w:sz w:val="21"/>
                <w:szCs w:val="21"/>
              </w:rPr>
            </w:pPr>
          </w:p>
        </w:tc>
        <w:tc>
          <w:tcPr>
            <w:tcW w:w="217" w:type="dxa"/>
          </w:tcPr>
          <w:p w14:paraId="28897FDA" w14:textId="77777777" w:rsidR="002C0FD9" w:rsidRPr="00CA25CF" w:rsidRDefault="002C0FD9" w:rsidP="00CA25CF">
            <w:pPr>
              <w:rPr>
                <w:rFonts w:cs="Arial"/>
                <w:color w:val="FF0000"/>
                <w:sz w:val="21"/>
                <w:szCs w:val="21"/>
              </w:rPr>
            </w:pPr>
          </w:p>
        </w:tc>
        <w:tc>
          <w:tcPr>
            <w:tcW w:w="217" w:type="dxa"/>
          </w:tcPr>
          <w:p w14:paraId="3DFA923B" w14:textId="77777777" w:rsidR="002C0FD9" w:rsidRPr="00CA25CF" w:rsidRDefault="002C0FD9" w:rsidP="00CA25CF">
            <w:pPr>
              <w:rPr>
                <w:rFonts w:cs="Arial"/>
                <w:color w:val="FF0000"/>
                <w:sz w:val="21"/>
                <w:szCs w:val="21"/>
              </w:rPr>
            </w:pPr>
          </w:p>
        </w:tc>
      </w:tr>
      <w:tr w:rsidR="002C0FD9" w:rsidRPr="00A16219" w14:paraId="24582FBA" w14:textId="0B0560C6" w:rsidTr="002C0FD9">
        <w:trPr>
          <w:trHeight w:val="635"/>
        </w:trPr>
        <w:tc>
          <w:tcPr>
            <w:tcW w:w="515" w:type="dxa"/>
          </w:tcPr>
          <w:p w14:paraId="16E5E752" w14:textId="77777777" w:rsidR="002C0FD9" w:rsidRPr="00CA25CF" w:rsidRDefault="002C0FD9" w:rsidP="00CA25CF">
            <w:pPr>
              <w:rPr>
                <w:rFonts w:cs="Arial"/>
                <w:color w:val="FF0000"/>
                <w:sz w:val="21"/>
                <w:szCs w:val="21"/>
              </w:rPr>
            </w:pPr>
          </w:p>
        </w:tc>
        <w:tc>
          <w:tcPr>
            <w:tcW w:w="217" w:type="dxa"/>
          </w:tcPr>
          <w:p w14:paraId="5999382D" w14:textId="77777777" w:rsidR="002C0FD9" w:rsidRPr="00CA25CF" w:rsidRDefault="002C0FD9" w:rsidP="00CA25CF">
            <w:pPr>
              <w:rPr>
                <w:rFonts w:cs="Arial"/>
                <w:color w:val="FF0000"/>
                <w:sz w:val="21"/>
                <w:szCs w:val="21"/>
              </w:rPr>
            </w:pPr>
          </w:p>
        </w:tc>
        <w:tc>
          <w:tcPr>
            <w:tcW w:w="217" w:type="dxa"/>
          </w:tcPr>
          <w:p w14:paraId="0CE803D8" w14:textId="22776638" w:rsidR="002C0FD9" w:rsidRPr="00CA25CF" w:rsidRDefault="002C0FD9" w:rsidP="00CA25CF">
            <w:pPr>
              <w:rPr>
                <w:rFonts w:cs="Arial"/>
                <w:color w:val="FF0000"/>
                <w:sz w:val="21"/>
                <w:szCs w:val="21"/>
              </w:rPr>
            </w:pPr>
          </w:p>
        </w:tc>
        <w:tc>
          <w:tcPr>
            <w:tcW w:w="217" w:type="dxa"/>
          </w:tcPr>
          <w:p w14:paraId="3BE81AC9" w14:textId="77777777" w:rsidR="002C0FD9" w:rsidRPr="00CA25CF" w:rsidRDefault="002C0FD9" w:rsidP="00CA25CF">
            <w:pPr>
              <w:rPr>
                <w:rFonts w:cs="Arial"/>
                <w:color w:val="FF0000"/>
                <w:sz w:val="21"/>
                <w:szCs w:val="21"/>
              </w:rPr>
            </w:pPr>
          </w:p>
        </w:tc>
        <w:tc>
          <w:tcPr>
            <w:tcW w:w="217" w:type="dxa"/>
          </w:tcPr>
          <w:p w14:paraId="52585607" w14:textId="77777777" w:rsidR="002C0FD9" w:rsidRPr="00CA25CF" w:rsidRDefault="002C0FD9" w:rsidP="00CA25CF">
            <w:pPr>
              <w:rPr>
                <w:rFonts w:cs="Arial"/>
                <w:color w:val="FF0000"/>
                <w:sz w:val="21"/>
                <w:szCs w:val="21"/>
              </w:rPr>
            </w:pPr>
          </w:p>
        </w:tc>
        <w:tc>
          <w:tcPr>
            <w:tcW w:w="217" w:type="dxa"/>
          </w:tcPr>
          <w:p w14:paraId="21E92F8C" w14:textId="77777777" w:rsidR="002C0FD9" w:rsidRPr="00CA25CF" w:rsidRDefault="002C0FD9" w:rsidP="00CA25CF">
            <w:pPr>
              <w:rPr>
                <w:rFonts w:cs="Arial"/>
                <w:color w:val="FF0000"/>
                <w:sz w:val="21"/>
                <w:szCs w:val="21"/>
              </w:rPr>
            </w:pPr>
          </w:p>
        </w:tc>
        <w:tc>
          <w:tcPr>
            <w:tcW w:w="217" w:type="dxa"/>
          </w:tcPr>
          <w:p w14:paraId="09D1E202" w14:textId="77777777" w:rsidR="002C0FD9" w:rsidRPr="00CA25CF" w:rsidRDefault="002C0FD9" w:rsidP="00CA25CF">
            <w:pPr>
              <w:rPr>
                <w:rFonts w:cs="Arial"/>
                <w:color w:val="FF0000"/>
                <w:sz w:val="21"/>
                <w:szCs w:val="21"/>
              </w:rPr>
            </w:pPr>
          </w:p>
        </w:tc>
        <w:tc>
          <w:tcPr>
            <w:tcW w:w="217" w:type="dxa"/>
          </w:tcPr>
          <w:p w14:paraId="53D81987" w14:textId="77777777" w:rsidR="002C0FD9" w:rsidRPr="00CA25CF" w:rsidRDefault="002C0FD9" w:rsidP="00CA25CF">
            <w:pPr>
              <w:rPr>
                <w:rFonts w:cs="Arial"/>
                <w:color w:val="FF0000"/>
                <w:sz w:val="21"/>
                <w:szCs w:val="21"/>
              </w:rPr>
            </w:pPr>
          </w:p>
        </w:tc>
        <w:tc>
          <w:tcPr>
            <w:tcW w:w="217" w:type="dxa"/>
          </w:tcPr>
          <w:p w14:paraId="7DF9BD44" w14:textId="77777777" w:rsidR="002C0FD9" w:rsidRPr="00CA25CF" w:rsidRDefault="002C0FD9" w:rsidP="00CA25CF">
            <w:pPr>
              <w:rPr>
                <w:rFonts w:cs="Arial"/>
                <w:color w:val="FF0000"/>
                <w:sz w:val="21"/>
                <w:szCs w:val="21"/>
              </w:rPr>
            </w:pPr>
          </w:p>
        </w:tc>
        <w:tc>
          <w:tcPr>
            <w:tcW w:w="217" w:type="dxa"/>
          </w:tcPr>
          <w:p w14:paraId="70DEE49E" w14:textId="77777777" w:rsidR="002C0FD9" w:rsidRPr="00CA25CF" w:rsidRDefault="002C0FD9" w:rsidP="00CA25CF">
            <w:pPr>
              <w:rPr>
                <w:rFonts w:cs="Arial"/>
                <w:color w:val="FF0000"/>
                <w:sz w:val="21"/>
                <w:szCs w:val="21"/>
              </w:rPr>
            </w:pPr>
          </w:p>
        </w:tc>
        <w:tc>
          <w:tcPr>
            <w:tcW w:w="217" w:type="dxa"/>
          </w:tcPr>
          <w:p w14:paraId="31F57876" w14:textId="77777777" w:rsidR="002C0FD9" w:rsidRPr="00CA25CF" w:rsidRDefault="002C0FD9" w:rsidP="00CA25CF">
            <w:pPr>
              <w:rPr>
                <w:rFonts w:cs="Arial"/>
                <w:color w:val="FF0000"/>
                <w:sz w:val="21"/>
                <w:szCs w:val="21"/>
              </w:rPr>
            </w:pPr>
          </w:p>
        </w:tc>
        <w:tc>
          <w:tcPr>
            <w:tcW w:w="217" w:type="dxa"/>
          </w:tcPr>
          <w:p w14:paraId="311B1279" w14:textId="77777777" w:rsidR="002C0FD9" w:rsidRPr="00CA25CF" w:rsidRDefault="002C0FD9" w:rsidP="00CA25CF">
            <w:pPr>
              <w:rPr>
                <w:rFonts w:cs="Arial"/>
                <w:color w:val="FF0000"/>
                <w:sz w:val="21"/>
                <w:szCs w:val="21"/>
              </w:rPr>
            </w:pPr>
          </w:p>
        </w:tc>
        <w:tc>
          <w:tcPr>
            <w:tcW w:w="217" w:type="dxa"/>
          </w:tcPr>
          <w:p w14:paraId="76A069FF" w14:textId="77777777" w:rsidR="002C0FD9" w:rsidRPr="00CA25CF" w:rsidRDefault="002C0FD9" w:rsidP="00CA25CF">
            <w:pPr>
              <w:rPr>
                <w:rFonts w:cs="Arial"/>
                <w:color w:val="FF0000"/>
                <w:sz w:val="21"/>
                <w:szCs w:val="21"/>
              </w:rPr>
            </w:pPr>
          </w:p>
        </w:tc>
        <w:tc>
          <w:tcPr>
            <w:tcW w:w="217" w:type="dxa"/>
          </w:tcPr>
          <w:p w14:paraId="030F44C4" w14:textId="77777777" w:rsidR="002C0FD9" w:rsidRPr="00CA25CF" w:rsidRDefault="002C0FD9" w:rsidP="00CA25CF">
            <w:pPr>
              <w:rPr>
                <w:rFonts w:cs="Arial"/>
                <w:color w:val="FF0000"/>
                <w:sz w:val="21"/>
                <w:szCs w:val="21"/>
              </w:rPr>
            </w:pPr>
          </w:p>
        </w:tc>
        <w:tc>
          <w:tcPr>
            <w:tcW w:w="217" w:type="dxa"/>
          </w:tcPr>
          <w:p w14:paraId="7BCDC0AE" w14:textId="77777777" w:rsidR="002C0FD9" w:rsidRPr="00CA25CF" w:rsidRDefault="002C0FD9" w:rsidP="00CA25CF">
            <w:pPr>
              <w:rPr>
                <w:rFonts w:cs="Arial"/>
                <w:color w:val="FF0000"/>
                <w:sz w:val="21"/>
                <w:szCs w:val="21"/>
              </w:rPr>
            </w:pPr>
          </w:p>
        </w:tc>
        <w:tc>
          <w:tcPr>
            <w:tcW w:w="217" w:type="dxa"/>
          </w:tcPr>
          <w:p w14:paraId="7646AE59" w14:textId="5802C984" w:rsidR="002C0FD9" w:rsidRPr="00CA25CF" w:rsidRDefault="002C0FD9" w:rsidP="00CA25CF">
            <w:pPr>
              <w:rPr>
                <w:rFonts w:cs="Arial"/>
                <w:color w:val="FF0000"/>
                <w:sz w:val="21"/>
                <w:szCs w:val="21"/>
              </w:rPr>
            </w:pPr>
          </w:p>
        </w:tc>
        <w:tc>
          <w:tcPr>
            <w:tcW w:w="217" w:type="dxa"/>
          </w:tcPr>
          <w:p w14:paraId="109B7456" w14:textId="77777777" w:rsidR="002C0FD9" w:rsidRPr="00CA25CF" w:rsidRDefault="002C0FD9" w:rsidP="00CA25CF">
            <w:pPr>
              <w:rPr>
                <w:rFonts w:cs="Arial"/>
                <w:color w:val="FF0000"/>
                <w:sz w:val="21"/>
                <w:szCs w:val="21"/>
              </w:rPr>
            </w:pPr>
          </w:p>
        </w:tc>
        <w:tc>
          <w:tcPr>
            <w:tcW w:w="217" w:type="dxa"/>
          </w:tcPr>
          <w:p w14:paraId="36CABF37" w14:textId="77777777" w:rsidR="002C0FD9" w:rsidRPr="00CA25CF" w:rsidRDefault="002C0FD9" w:rsidP="00CA25CF">
            <w:pPr>
              <w:rPr>
                <w:rFonts w:cs="Arial"/>
                <w:color w:val="FF0000"/>
                <w:sz w:val="21"/>
                <w:szCs w:val="21"/>
              </w:rPr>
            </w:pPr>
          </w:p>
        </w:tc>
        <w:tc>
          <w:tcPr>
            <w:tcW w:w="217" w:type="dxa"/>
          </w:tcPr>
          <w:p w14:paraId="1B166EC2" w14:textId="77777777" w:rsidR="002C0FD9" w:rsidRPr="00CA25CF" w:rsidRDefault="002C0FD9" w:rsidP="00CA25CF">
            <w:pPr>
              <w:rPr>
                <w:rFonts w:cs="Arial"/>
                <w:color w:val="FF0000"/>
                <w:sz w:val="21"/>
                <w:szCs w:val="21"/>
              </w:rPr>
            </w:pPr>
          </w:p>
        </w:tc>
        <w:tc>
          <w:tcPr>
            <w:tcW w:w="217" w:type="dxa"/>
          </w:tcPr>
          <w:p w14:paraId="46A3D0C8" w14:textId="77777777" w:rsidR="002C0FD9" w:rsidRPr="00CA25CF" w:rsidRDefault="002C0FD9" w:rsidP="00CA25CF">
            <w:pPr>
              <w:rPr>
                <w:rFonts w:cs="Arial"/>
                <w:color w:val="FF0000"/>
                <w:sz w:val="21"/>
                <w:szCs w:val="21"/>
              </w:rPr>
            </w:pPr>
          </w:p>
        </w:tc>
        <w:tc>
          <w:tcPr>
            <w:tcW w:w="217" w:type="dxa"/>
          </w:tcPr>
          <w:p w14:paraId="158D6D5D" w14:textId="77777777" w:rsidR="002C0FD9" w:rsidRPr="00CA25CF" w:rsidRDefault="002C0FD9" w:rsidP="00CA25CF">
            <w:pPr>
              <w:rPr>
                <w:rFonts w:cs="Arial"/>
                <w:color w:val="FF0000"/>
                <w:sz w:val="21"/>
                <w:szCs w:val="21"/>
              </w:rPr>
            </w:pPr>
          </w:p>
        </w:tc>
        <w:tc>
          <w:tcPr>
            <w:tcW w:w="217" w:type="dxa"/>
          </w:tcPr>
          <w:p w14:paraId="6DA9410E" w14:textId="77777777" w:rsidR="002C0FD9" w:rsidRPr="00CA25CF" w:rsidRDefault="002C0FD9" w:rsidP="00CA25CF">
            <w:pPr>
              <w:rPr>
                <w:rFonts w:cs="Arial"/>
                <w:color w:val="FF0000"/>
                <w:sz w:val="21"/>
                <w:szCs w:val="21"/>
              </w:rPr>
            </w:pPr>
          </w:p>
        </w:tc>
        <w:tc>
          <w:tcPr>
            <w:tcW w:w="217" w:type="dxa"/>
          </w:tcPr>
          <w:p w14:paraId="685E4CAA" w14:textId="77777777" w:rsidR="002C0FD9" w:rsidRPr="00CA25CF" w:rsidRDefault="002C0FD9" w:rsidP="00CA25CF">
            <w:pPr>
              <w:rPr>
                <w:rFonts w:cs="Arial"/>
                <w:color w:val="FF0000"/>
                <w:sz w:val="21"/>
                <w:szCs w:val="21"/>
              </w:rPr>
            </w:pPr>
          </w:p>
        </w:tc>
        <w:tc>
          <w:tcPr>
            <w:tcW w:w="217" w:type="dxa"/>
          </w:tcPr>
          <w:p w14:paraId="04B01391" w14:textId="77777777" w:rsidR="002C0FD9" w:rsidRPr="00CA25CF" w:rsidRDefault="002C0FD9" w:rsidP="00CA25CF">
            <w:pPr>
              <w:rPr>
                <w:rFonts w:cs="Arial"/>
                <w:color w:val="FF0000"/>
                <w:sz w:val="21"/>
                <w:szCs w:val="21"/>
              </w:rPr>
            </w:pPr>
          </w:p>
        </w:tc>
        <w:tc>
          <w:tcPr>
            <w:tcW w:w="217" w:type="dxa"/>
          </w:tcPr>
          <w:p w14:paraId="71EB542D" w14:textId="77777777" w:rsidR="002C0FD9" w:rsidRPr="00CA25CF" w:rsidRDefault="002C0FD9" w:rsidP="00CA25CF">
            <w:pPr>
              <w:rPr>
                <w:rFonts w:cs="Arial"/>
                <w:color w:val="FF0000"/>
                <w:sz w:val="21"/>
                <w:szCs w:val="21"/>
              </w:rPr>
            </w:pPr>
          </w:p>
        </w:tc>
        <w:tc>
          <w:tcPr>
            <w:tcW w:w="217" w:type="dxa"/>
          </w:tcPr>
          <w:p w14:paraId="6C092C85" w14:textId="77777777" w:rsidR="002C0FD9" w:rsidRPr="00CA25CF" w:rsidRDefault="002C0FD9" w:rsidP="00CA25CF">
            <w:pPr>
              <w:rPr>
                <w:rFonts w:cs="Arial"/>
                <w:color w:val="FF0000"/>
                <w:sz w:val="21"/>
                <w:szCs w:val="21"/>
              </w:rPr>
            </w:pPr>
          </w:p>
        </w:tc>
        <w:tc>
          <w:tcPr>
            <w:tcW w:w="217" w:type="dxa"/>
          </w:tcPr>
          <w:p w14:paraId="36FDD2FE" w14:textId="77777777" w:rsidR="002C0FD9" w:rsidRPr="00CA25CF" w:rsidRDefault="002C0FD9" w:rsidP="00CA25CF">
            <w:pPr>
              <w:rPr>
                <w:rFonts w:cs="Arial"/>
                <w:color w:val="FF0000"/>
                <w:sz w:val="21"/>
                <w:szCs w:val="21"/>
              </w:rPr>
            </w:pPr>
          </w:p>
        </w:tc>
        <w:tc>
          <w:tcPr>
            <w:tcW w:w="217" w:type="dxa"/>
          </w:tcPr>
          <w:p w14:paraId="42942AAC" w14:textId="77777777" w:rsidR="002C0FD9" w:rsidRPr="00CA25CF" w:rsidRDefault="002C0FD9" w:rsidP="00CA25CF">
            <w:pPr>
              <w:rPr>
                <w:rFonts w:cs="Arial"/>
                <w:color w:val="FF0000"/>
                <w:sz w:val="21"/>
                <w:szCs w:val="21"/>
              </w:rPr>
            </w:pPr>
          </w:p>
        </w:tc>
        <w:tc>
          <w:tcPr>
            <w:tcW w:w="217" w:type="dxa"/>
          </w:tcPr>
          <w:p w14:paraId="4935DE80" w14:textId="77777777" w:rsidR="002C0FD9" w:rsidRPr="00CA25CF" w:rsidRDefault="002C0FD9" w:rsidP="00CA25CF">
            <w:pPr>
              <w:rPr>
                <w:rFonts w:cs="Arial"/>
                <w:color w:val="FF0000"/>
                <w:sz w:val="21"/>
                <w:szCs w:val="21"/>
              </w:rPr>
            </w:pPr>
          </w:p>
        </w:tc>
        <w:tc>
          <w:tcPr>
            <w:tcW w:w="217" w:type="dxa"/>
          </w:tcPr>
          <w:p w14:paraId="32A5C26C" w14:textId="77777777" w:rsidR="002C0FD9" w:rsidRPr="00CA25CF" w:rsidRDefault="002C0FD9" w:rsidP="00CA25CF">
            <w:pPr>
              <w:rPr>
                <w:rFonts w:cs="Arial"/>
                <w:color w:val="FF0000"/>
                <w:sz w:val="21"/>
                <w:szCs w:val="21"/>
              </w:rPr>
            </w:pPr>
          </w:p>
        </w:tc>
        <w:tc>
          <w:tcPr>
            <w:tcW w:w="217" w:type="dxa"/>
          </w:tcPr>
          <w:p w14:paraId="1C206E9F" w14:textId="77777777" w:rsidR="002C0FD9" w:rsidRPr="00CA25CF" w:rsidRDefault="002C0FD9" w:rsidP="00CA25CF">
            <w:pPr>
              <w:rPr>
                <w:rFonts w:cs="Arial"/>
                <w:color w:val="FF0000"/>
                <w:sz w:val="21"/>
                <w:szCs w:val="21"/>
              </w:rPr>
            </w:pPr>
          </w:p>
        </w:tc>
        <w:tc>
          <w:tcPr>
            <w:tcW w:w="217" w:type="dxa"/>
          </w:tcPr>
          <w:p w14:paraId="234084E2" w14:textId="77777777" w:rsidR="002C0FD9" w:rsidRPr="00CA25CF" w:rsidRDefault="002C0FD9" w:rsidP="00CA25CF">
            <w:pPr>
              <w:rPr>
                <w:rFonts w:cs="Arial"/>
                <w:color w:val="FF0000"/>
                <w:sz w:val="21"/>
                <w:szCs w:val="21"/>
              </w:rPr>
            </w:pPr>
          </w:p>
        </w:tc>
        <w:tc>
          <w:tcPr>
            <w:tcW w:w="217" w:type="dxa"/>
          </w:tcPr>
          <w:p w14:paraId="7D3691A3" w14:textId="77777777" w:rsidR="002C0FD9" w:rsidRPr="00CA25CF" w:rsidRDefault="002C0FD9" w:rsidP="00CA25CF">
            <w:pPr>
              <w:rPr>
                <w:rFonts w:cs="Arial"/>
                <w:color w:val="FF0000"/>
                <w:sz w:val="21"/>
                <w:szCs w:val="21"/>
              </w:rPr>
            </w:pPr>
          </w:p>
        </w:tc>
        <w:tc>
          <w:tcPr>
            <w:tcW w:w="217" w:type="dxa"/>
          </w:tcPr>
          <w:p w14:paraId="317E1B9E" w14:textId="77777777" w:rsidR="002C0FD9" w:rsidRPr="00CA25CF" w:rsidRDefault="002C0FD9" w:rsidP="00CA25CF">
            <w:pPr>
              <w:rPr>
                <w:rFonts w:cs="Arial"/>
                <w:color w:val="FF0000"/>
                <w:sz w:val="21"/>
                <w:szCs w:val="21"/>
              </w:rPr>
            </w:pPr>
          </w:p>
        </w:tc>
        <w:tc>
          <w:tcPr>
            <w:tcW w:w="217" w:type="dxa"/>
          </w:tcPr>
          <w:p w14:paraId="4DF64A8C" w14:textId="77777777" w:rsidR="002C0FD9" w:rsidRPr="00CA25CF" w:rsidRDefault="002C0FD9" w:rsidP="00CA25CF">
            <w:pPr>
              <w:rPr>
                <w:rFonts w:cs="Arial"/>
                <w:color w:val="FF0000"/>
                <w:sz w:val="21"/>
                <w:szCs w:val="21"/>
              </w:rPr>
            </w:pPr>
          </w:p>
        </w:tc>
        <w:tc>
          <w:tcPr>
            <w:tcW w:w="217" w:type="dxa"/>
          </w:tcPr>
          <w:p w14:paraId="7C96C801" w14:textId="77777777" w:rsidR="002C0FD9" w:rsidRPr="00CA25CF" w:rsidRDefault="002C0FD9" w:rsidP="00CA25CF">
            <w:pPr>
              <w:rPr>
                <w:rFonts w:cs="Arial"/>
                <w:color w:val="FF0000"/>
                <w:sz w:val="21"/>
                <w:szCs w:val="21"/>
              </w:rPr>
            </w:pPr>
          </w:p>
        </w:tc>
        <w:tc>
          <w:tcPr>
            <w:tcW w:w="217" w:type="dxa"/>
          </w:tcPr>
          <w:p w14:paraId="3F83C4D3" w14:textId="77777777" w:rsidR="002C0FD9" w:rsidRPr="00CA25CF" w:rsidRDefault="002C0FD9" w:rsidP="00CA25CF">
            <w:pPr>
              <w:rPr>
                <w:rFonts w:cs="Arial"/>
                <w:color w:val="FF0000"/>
                <w:sz w:val="21"/>
                <w:szCs w:val="21"/>
              </w:rPr>
            </w:pPr>
          </w:p>
        </w:tc>
        <w:tc>
          <w:tcPr>
            <w:tcW w:w="217" w:type="dxa"/>
          </w:tcPr>
          <w:p w14:paraId="3D22B33C" w14:textId="77777777" w:rsidR="002C0FD9" w:rsidRPr="00CA25CF" w:rsidRDefault="002C0FD9" w:rsidP="00CA25CF">
            <w:pPr>
              <w:rPr>
                <w:rFonts w:cs="Arial"/>
                <w:color w:val="FF0000"/>
                <w:sz w:val="21"/>
                <w:szCs w:val="21"/>
              </w:rPr>
            </w:pPr>
          </w:p>
        </w:tc>
        <w:tc>
          <w:tcPr>
            <w:tcW w:w="217" w:type="dxa"/>
          </w:tcPr>
          <w:p w14:paraId="7742E3CE" w14:textId="77777777" w:rsidR="002C0FD9" w:rsidRPr="00CA25CF" w:rsidRDefault="002C0FD9" w:rsidP="00CA25CF">
            <w:pPr>
              <w:rPr>
                <w:rFonts w:cs="Arial"/>
                <w:color w:val="FF0000"/>
                <w:sz w:val="21"/>
                <w:szCs w:val="21"/>
              </w:rPr>
            </w:pPr>
          </w:p>
        </w:tc>
        <w:tc>
          <w:tcPr>
            <w:tcW w:w="217" w:type="dxa"/>
          </w:tcPr>
          <w:p w14:paraId="5C2A3BF6" w14:textId="77777777" w:rsidR="002C0FD9" w:rsidRPr="00CA25CF" w:rsidRDefault="002C0FD9" w:rsidP="00CA25CF">
            <w:pPr>
              <w:rPr>
                <w:rFonts w:cs="Arial"/>
                <w:color w:val="FF0000"/>
                <w:sz w:val="21"/>
                <w:szCs w:val="21"/>
              </w:rPr>
            </w:pPr>
          </w:p>
        </w:tc>
        <w:tc>
          <w:tcPr>
            <w:tcW w:w="217" w:type="dxa"/>
          </w:tcPr>
          <w:p w14:paraId="5B4B3C62" w14:textId="77777777" w:rsidR="002C0FD9" w:rsidRPr="00CA25CF" w:rsidRDefault="002C0FD9" w:rsidP="00CA25CF">
            <w:pPr>
              <w:rPr>
                <w:rFonts w:cs="Arial"/>
                <w:color w:val="FF0000"/>
                <w:sz w:val="21"/>
                <w:szCs w:val="21"/>
              </w:rPr>
            </w:pPr>
          </w:p>
        </w:tc>
        <w:tc>
          <w:tcPr>
            <w:tcW w:w="217" w:type="dxa"/>
          </w:tcPr>
          <w:p w14:paraId="70586AA5" w14:textId="77777777" w:rsidR="002C0FD9" w:rsidRPr="00CA25CF" w:rsidRDefault="002C0FD9" w:rsidP="00CA25CF">
            <w:pPr>
              <w:rPr>
                <w:rFonts w:cs="Arial"/>
                <w:color w:val="FF0000"/>
                <w:sz w:val="21"/>
                <w:szCs w:val="21"/>
              </w:rPr>
            </w:pPr>
          </w:p>
        </w:tc>
        <w:tc>
          <w:tcPr>
            <w:tcW w:w="217" w:type="dxa"/>
          </w:tcPr>
          <w:p w14:paraId="0B001D21" w14:textId="77777777" w:rsidR="002C0FD9" w:rsidRPr="00CA25CF" w:rsidRDefault="002C0FD9" w:rsidP="00CA25CF">
            <w:pPr>
              <w:rPr>
                <w:rFonts w:cs="Arial"/>
                <w:color w:val="FF0000"/>
                <w:sz w:val="21"/>
                <w:szCs w:val="21"/>
              </w:rPr>
            </w:pPr>
          </w:p>
        </w:tc>
      </w:tr>
      <w:tr w:rsidR="002C0FD9" w:rsidRPr="00A16219" w14:paraId="06B3CFCB" w14:textId="23870645" w:rsidTr="002C0FD9">
        <w:trPr>
          <w:trHeight w:val="635"/>
        </w:trPr>
        <w:tc>
          <w:tcPr>
            <w:tcW w:w="515" w:type="dxa"/>
          </w:tcPr>
          <w:p w14:paraId="662BCAAF" w14:textId="77777777" w:rsidR="002C0FD9" w:rsidRPr="00CA25CF" w:rsidRDefault="002C0FD9" w:rsidP="00CA25CF">
            <w:pPr>
              <w:rPr>
                <w:rFonts w:cs="Arial"/>
                <w:color w:val="FF0000"/>
                <w:sz w:val="21"/>
                <w:szCs w:val="21"/>
              </w:rPr>
            </w:pPr>
          </w:p>
        </w:tc>
        <w:tc>
          <w:tcPr>
            <w:tcW w:w="217" w:type="dxa"/>
          </w:tcPr>
          <w:p w14:paraId="0FC1CA8D" w14:textId="77777777" w:rsidR="002C0FD9" w:rsidRPr="00CA25CF" w:rsidRDefault="002C0FD9" w:rsidP="00CA25CF">
            <w:pPr>
              <w:rPr>
                <w:rFonts w:cs="Arial"/>
                <w:color w:val="FF0000"/>
                <w:sz w:val="21"/>
                <w:szCs w:val="21"/>
              </w:rPr>
            </w:pPr>
          </w:p>
        </w:tc>
        <w:tc>
          <w:tcPr>
            <w:tcW w:w="217" w:type="dxa"/>
          </w:tcPr>
          <w:p w14:paraId="390B8CCB" w14:textId="67D5CA61" w:rsidR="002C0FD9" w:rsidRPr="00CA25CF" w:rsidRDefault="002C0FD9" w:rsidP="00CA25CF">
            <w:pPr>
              <w:rPr>
                <w:rFonts w:cs="Arial"/>
                <w:color w:val="FF0000"/>
                <w:sz w:val="21"/>
                <w:szCs w:val="21"/>
              </w:rPr>
            </w:pPr>
          </w:p>
        </w:tc>
        <w:tc>
          <w:tcPr>
            <w:tcW w:w="217" w:type="dxa"/>
          </w:tcPr>
          <w:p w14:paraId="0B250CD5" w14:textId="77777777" w:rsidR="002C0FD9" w:rsidRPr="00CA25CF" w:rsidRDefault="002C0FD9" w:rsidP="00CA25CF">
            <w:pPr>
              <w:rPr>
                <w:rFonts w:cs="Arial"/>
                <w:color w:val="FF0000"/>
                <w:sz w:val="21"/>
                <w:szCs w:val="21"/>
              </w:rPr>
            </w:pPr>
          </w:p>
        </w:tc>
        <w:tc>
          <w:tcPr>
            <w:tcW w:w="217" w:type="dxa"/>
          </w:tcPr>
          <w:p w14:paraId="276A0CFD" w14:textId="77777777" w:rsidR="002C0FD9" w:rsidRPr="00CA25CF" w:rsidRDefault="002C0FD9" w:rsidP="00CA25CF">
            <w:pPr>
              <w:rPr>
                <w:rFonts w:cs="Arial"/>
                <w:color w:val="FF0000"/>
                <w:sz w:val="21"/>
                <w:szCs w:val="21"/>
              </w:rPr>
            </w:pPr>
          </w:p>
        </w:tc>
        <w:tc>
          <w:tcPr>
            <w:tcW w:w="217" w:type="dxa"/>
          </w:tcPr>
          <w:p w14:paraId="2A8115EF" w14:textId="77777777" w:rsidR="002C0FD9" w:rsidRPr="00CA25CF" w:rsidRDefault="002C0FD9" w:rsidP="00CA25CF">
            <w:pPr>
              <w:rPr>
                <w:rFonts w:cs="Arial"/>
                <w:color w:val="FF0000"/>
                <w:sz w:val="21"/>
                <w:szCs w:val="21"/>
              </w:rPr>
            </w:pPr>
          </w:p>
        </w:tc>
        <w:tc>
          <w:tcPr>
            <w:tcW w:w="217" w:type="dxa"/>
          </w:tcPr>
          <w:p w14:paraId="35334B5D" w14:textId="77777777" w:rsidR="002C0FD9" w:rsidRPr="00CA25CF" w:rsidRDefault="002C0FD9" w:rsidP="00CA25CF">
            <w:pPr>
              <w:rPr>
                <w:rFonts w:cs="Arial"/>
                <w:color w:val="FF0000"/>
                <w:sz w:val="21"/>
                <w:szCs w:val="21"/>
              </w:rPr>
            </w:pPr>
          </w:p>
        </w:tc>
        <w:tc>
          <w:tcPr>
            <w:tcW w:w="217" w:type="dxa"/>
          </w:tcPr>
          <w:p w14:paraId="0BDF0AF3" w14:textId="77777777" w:rsidR="002C0FD9" w:rsidRPr="00CA25CF" w:rsidRDefault="002C0FD9" w:rsidP="00CA25CF">
            <w:pPr>
              <w:rPr>
                <w:rFonts w:cs="Arial"/>
                <w:color w:val="FF0000"/>
                <w:sz w:val="21"/>
                <w:szCs w:val="21"/>
              </w:rPr>
            </w:pPr>
          </w:p>
        </w:tc>
        <w:tc>
          <w:tcPr>
            <w:tcW w:w="217" w:type="dxa"/>
          </w:tcPr>
          <w:p w14:paraId="38EAC9C7" w14:textId="77777777" w:rsidR="002C0FD9" w:rsidRPr="00CA25CF" w:rsidRDefault="002C0FD9" w:rsidP="00CA25CF">
            <w:pPr>
              <w:rPr>
                <w:rFonts w:cs="Arial"/>
                <w:color w:val="FF0000"/>
                <w:sz w:val="21"/>
                <w:szCs w:val="21"/>
              </w:rPr>
            </w:pPr>
          </w:p>
        </w:tc>
        <w:tc>
          <w:tcPr>
            <w:tcW w:w="217" w:type="dxa"/>
          </w:tcPr>
          <w:p w14:paraId="224BA1A0" w14:textId="77777777" w:rsidR="002C0FD9" w:rsidRPr="00CA25CF" w:rsidRDefault="002C0FD9" w:rsidP="00CA25CF">
            <w:pPr>
              <w:rPr>
                <w:rFonts w:cs="Arial"/>
                <w:color w:val="FF0000"/>
                <w:sz w:val="21"/>
                <w:szCs w:val="21"/>
              </w:rPr>
            </w:pPr>
          </w:p>
        </w:tc>
        <w:tc>
          <w:tcPr>
            <w:tcW w:w="217" w:type="dxa"/>
          </w:tcPr>
          <w:p w14:paraId="4A8431CB" w14:textId="77777777" w:rsidR="002C0FD9" w:rsidRPr="00CA25CF" w:rsidRDefault="002C0FD9" w:rsidP="00CA25CF">
            <w:pPr>
              <w:rPr>
                <w:rFonts w:cs="Arial"/>
                <w:color w:val="FF0000"/>
                <w:sz w:val="21"/>
                <w:szCs w:val="21"/>
              </w:rPr>
            </w:pPr>
          </w:p>
        </w:tc>
        <w:tc>
          <w:tcPr>
            <w:tcW w:w="217" w:type="dxa"/>
          </w:tcPr>
          <w:p w14:paraId="4C771B34" w14:textId="77777777" w:rsidR="002C0FD9" w:rsidRPr="00CA25CF" w:rsidRDefault="002C0FD9" w:rsidP="00CA25CF">
            <w:pPr>
              <w:rPr>
                <w:rFonts w:cs="Arial"/>
                <w:color w:val="FF0000"/>
                <w:sz w:val="21"/>
                <w:szCs w:val="21"/>
              </w:rPr>
            </w:pPr>
          </w:p>
        </w:tc>
        <w:tc>
          <w:tcPr>
            <w:tcW w:w="217" w:type="dxa"/>
          </w:tcPr>
          <w:p w14:paraId="105B674B" w14:textId="77777777" w:rsidR="002C0FD9" w:rsidRPr="00CA25CF" w:rsidRDefault="002C0FD9" w:rsidP="00CA25CF">
            <w:pPr>
              <w:rPr>
                <w:rFonts w:cs="Arial"/>
                <w:color w:val="FF0000"/>
                <w:sz w:val="21"/>
                <w:szCs w:val="21"/>
              </w:rPr>
            </w:pPr>
          </w:p>
        </w:tc>
        <w:tc>
          <w:tcPr>
            <w:tcW w:w="217" w:type="dxa"/>
          </w:tcPr>
          <w:p w14:paraId="1D967413" w14:textId="77777777" w:rsidR="002C0FD9" w:rsidRPr="00CA25CF" w:rsidRDefault="002C0FD9" w:rsidP="00CA25CF">
            <w:pPr>
              <w:rPr>
                <w:rFonts w:cs="Arial"/>
                <w:color w:val="FF0000"/>
                <w:sz w:val="21"/>
                <w:szCs w:val="21"/>
              </w:rPr>
            </w:pPr>
          </w:p>
        </w:tc>
        <w:tc>
          <w:tcPr>
            <w:tcW w:w="217" w:type="dxa"/>
          </w:tcPr>
          <w:p w14:paraId="2FEFCFD9" w14:textId="77777777" w:rsidR="002C0FD9" w:rsidRPr="00CA25CF" w:rsidRDefault="002C0FD9" w:rsidP="00CA25CF">
            <w:pPr>
              <w:rPr>
                <w:rFonts w:cs="Arial"/>
                <w:color w:val="FF0000"/>
                <w:sz w:val="21"/>
                <w:szCs w:val="21"/>
              </w:rPr>
            </w:pPr>
          </w:p>
        </w:tc>
        <w:tc>
          <w:tcPr>
            <w:tcW w:w="217" w:type="dxa"/>
          </w:tcPr>
          <w:p w14:paraId="58D34E03" w14:textId="696A9534" w:rsidR="002C0FD9" w:rsidRPr="00CA25CF" w:rsidRDefault="002C0FD9" w:rsidP="00CA25CF">
            <w:pPr>
              <w:rPr>
                <w:rFonts w:cs="Arial"/>
                <w:color w:val="FF0000"/>
                <w:sz w:val="21"/>
                <w:szCs w:val="21"/>
              </w:rPr>
            </w:pPr>
          </w:p>
        </w:tc>
        <w:tc>
          <w:tcPr>
            <w:tcW w:w="217" w:type="dxa"/>
          </w:tcPr>
          <w:p w14:paraId="3D64AD0B" w14:textId="77777777" w:rsidR="002C0FD9" w:rsidRPr="00CA25CF" w:rsidRDefault="002C0FD9" w:rsidP="00CA25CF">
            <w:pPr>
              <w:rPr>
                <w:rFonts w:cs="Arial"/>
                <w:color w:val="FF0000"/>
                <w:sz w:val="21"/>
                <w:szCs w:val="21"/>
              </w:rPr>
            </w:pPr>
          </w:p>
        </w:tc>
        <w:tc>
          <w:tcPr>
            <w:tcW w:w="217" w:type="dxa"/>
          </w:tcPr>
          <w:p w14:paraId="5A4F64AC" w14:textId="77777777" w:rsidR="002C0FD9" w:rsidRPr="00CA25CF" w:rsidRDefault="002C0FD9" w:rsidP="00CA25CF">
            <w:pPr>
              <w:rPr>
                <w:rFonts w:cs="Arial"/>
                <w:color w:val="FF0000"/>
                <w:sz w:val="21"/>
                <w:szCs w:val="21"/>
              </w:rPr>
            </w:pPr>
          </w:p>
        </w:tc>
        <w:tc>
          <w:tcPr>
            <w:tcW w:w="217" w:type="dxa"/>
          </w:tcPr>
          <w:p w14:paraId="32D606FB" w14:textId="77777777" w:rsidR="002C0FD9" w:rsidRPr="00CA25CF" w:rsidRDefault="002C0FD9" w:rsidP="00CA25CF">
            <w:pPr>
              <w:rPr>
                <w:rFonts w:cs="Arial"/>
                <w:color w:val="FF0000"/>
                <w:sz w:val="21"/>
                <w:szCs w:val="21"/>
              </w:rPr>
            </w:pPr>
          </w:p>
        </w:tc>
        <w:tc>
          <w:tcPr>
            <w:tcW w:w="217" w:type="dxa"/>
          </w:tcPr>
          <w:p w14:paraId="57D6A59F" w14:textId="77777777" w:rsidR="002C0FD9" w:rsidRPr="00CA25CF" w:rsidRDefault="002C0FD9" w:rsidP="00CA25CF">
            <w:pPr>
              <w:rPr>
                <w:rFonts w:cs="Arial"/>
                <w:color w:val="FF0000"/>
                <w:sz w:val="21"/>
                <w:szCs w:val="21"/>
              </w:rPr>
            </w:pPr>
          </w:p>
        </w:tc>
        <w:tc>
          <w:tcPr>
            <w:tcW w:w="217" w:type="dxa"/>
          </w:tcPr>
          <w:p w14:paraId="609CA7D1" w14:textId="77777777" w:rsidR="002C0FD9" w:rsidRPr="00CA25CF" w:rsidRDefault="002C0FD9" w:rsidP="00CA25CF">
            <w:pPr>
              <w:rPr>
                <w:rFonts w:cs="Arial"/>
                <w:color w:val="FF0000"/>
                <w:sz w:val="21"/>
                <w:szCs w:val="21"/>
              </w:rPr>
            </w:pPr>
          </w:p>
        </w:tc>
        <w:tc>
          <w:tcPr>
            <w:tcW w:w="217" w:type="dxa"/>
          </w:tcPr>
          <w:p w14:paraId="74DEDBB5" w14:textId="77777777" w:rsidR="002C0FD9" w:rsidRPr="00CA25CF" w:rsidRDefault="002C0FD9" w:rsidP="00CA25CF">
            <w:pPr>
              <w:rPr>
                <w:rFonts w:cs="Arial"/>
                <w:color w:val="FF0000"/>
                <w:sz w:val="21"/>
                <w:szCs w:val="21"/>
              </w:rPr>
            </w:pPr>
          </w:p>
        </w:tc>
        <w:tc>
          <w:tcPr>
            <w:tcW w:w="217" w:type="dxa"/>
          </w:tcPr>
          <w:p w14:paraId="0E085159" w14:textId="77777777" w:rsidR="002C0FD9" w:rsidRPr="00CA25CF" w:rsidRDefault="002C0FD9" w:rsidP="00CA25CF">
            <w:pPr>
              <w:rPr>
                <w:rFonts w:cs="Arial"/>
                <w:color w:val="FF0000"/>
                <w:sz w:val="21"/>
                <w:szCs w:val="21"/>
              </w:rPr>
            </w:pPr>
          </w:p>
        </w:tc>
        <w:tc>
          <w:tcPr>
            <w:tcW w:w="217" w:type="dxa"/>
          </w:tcPr>
          <w:p w14:paraId="7025735C" w14:textId="77777777" w:rsidR="002C0FD9" w:rsidRPr="00CA25CF" w:rsidRDefault="002C0FD9" w:rsidP="00CA25CF">
            <w:pPr>
              <w:rPr>
                <w:rFonts w:cs="Arial"/>
                <w:color w:val="FF0000"/>
                <w:sz w:val="21"/>
                <w:szCs w:val="21"/>
              </w:rPr>
            </w:pPr>
          </w:p>
        </w:tc>
        <w:tc>
          <w:tcPr>
            <w:tcW w:w="217" w:type="dxa"/>
          </w:tcPr>
          <w:p w14:paraId="67C77AD1" w14:textId="77777777" w:rsidR="002C0FD9" w:rsidRPr="00CA25CF" w:rsidRDefault="002C0FD9" w:rsidP="00CA25CF">
            <w:pPr>
              <w:rPr>
                <w:rFonts w:cs="Arial"/>
                <w:color w:val="FF0000"/>
                <w:sz w:val="21"/>
                <w:szCs w:val="21"/>
              </w:rPr>
            </w:pPr>
          </w:p>
        </w:tc>
        <w:tc>
          <w:tcPr>
            <w:tcW w:w="217" w:type="dxa"/>
          </w:tcPr>
          <w:p w14:paraId="6ABFA16E" w14:textId="77777777" w:rsidR="002C0FD9" w:rsidRPr="00CA25CF" w:rsidRDefault="002C0FD9" w:rsidP="00CA25CF">
            <w:pPr>
              <w:rPr>
                <w:rFonts w:cs="Arial"/>
                <w:color w:val="FF0000"/>
                <w:sz w:val="21"/>
                <w:szCs w:val="21"/>
              </w:rPr>
            </w:pPr>
          </w:p>
        </w:tc>
        <w:tc>
          <w:tcPr>
            <w:tcW w:w="217" w:type="dxa"/>
          </w:tcPr>
          <w:p w14:paraId="54A0DC51" w14:textId="77777777" w:rsidR="002C0FD9" w:rsidRPr="00CA25CF" w:rsidRDefault="002C0FD9" w:rsidP="00CA25CF">
            <w:pPr>
              <w:rPr>
                <w:rFonts w:cs="Arial"/>
                <w:color w:val="FF0000"/>
                <w:sz w:val="21"/>
                <w:szCs w:val="21"/>
              </w:rPr>
            </w:pPr>
          </w:p>
        </w:tc>
        <w:tc>
          <w:tcPr>
            <w:tcW w:w="217" w:type="dxa"/>
          </w:tcPr>
          <w:p w14:paraId="3A30E3B9" w14:textId="77777777" w:rsidR="002C0FD9" w:rsidRPr="00CA25CF" w:rsidRDefault="002C0FD9" w:rsidP="00CA25CF">
            <w:pPr>
              <w:rPr>
                <w:rFonts w:cs="Arial"/>
                <w:color w:val="FF0000"/>
                <w:sz w:val="21"/>
                <w:szCs w:val="21"/>
              </w:rPr>
            </w:pPr>
          </w:p>
        </w:tc>
        <w:tc>
          <w:tcPr>
            <w:tcW w:w="217" w:type="dxa"/>
          </w:tcPr>
          <w:p w14:paraId="009CF0F3" w14:textId="77777777" w:rsidR="002C0FD9" w:rsidRPr="00CA25CF" w:rsidRDefault="002C0FD9" w:rsidP="00CA25CF">
            <w:pPr>
              <w:rPr>
                <w:rFonts w:cs="Arial"/>
                <w:color w:val="FF0000"/>
                <w:sz w:val="21"/>
                <w:szCs w:val="21"/>
              </w:rPr>
            </w:pPr>
          </w:p>
        </w:tc>
        <w:tc>
          <w:tcPr>
            <w:tcW w:w="217" w:type="dxa"/>
          </w:tcPr>
          <w:p w14:paraId="1FD44B5C" w14:textId="77777777" w:rsidR="002C0FD9" w:rsidRPr="00CA25CF" w:rsidRDefault="002C0FD9" w:rsidP="00CA25CF">
            <w:pPr>
              <w:rPr>
                <w:rFonts w:cs="Arial"/>
                <w:color w:val="FF0000"/>
                <w:sz w:val="21"/>
                <w:szCs w:val="21"/>
              </w:rPr>
            </w:pPr>
          </w:p>
        </w:tc>
        <w:tc>
          <w:tcPr>
            <w:tcW w:w="217" w:type="dxa"/>
          </w:tcPr>
          <w:p w14:paraId="2E5BBAED" w14:textId="77777777" w:rsidR="002C0FD9" w:rsidRPr="00CA25CF" w:rsidRDefault="002C0FD9" w:rsidP="00CA25CF">
            <w:pPr>
              <w:rPr>
                <w:rFonts w:cs="Arial"/>
                <w:color w:val="FF0000"/>
                <w:sz w:val="21"/>
                <w:szCs w:val="21"/>
              </w:rPr>
            </w:pPr>
          </w:p>
        </w:tc>
        <w:tc>
          <w:tcPr>
            <w:tcW w:w="217" w:type="dxa"/>
          </w:tcPr>
          <w:p w14:paraId="101EE56A" w14:textId="77777777" w:rsidR="002C0FD9" w:rsidRPr="00CA25CF" w:rsidRDefault="002C0FD9" w:rsidP="00CA25CF">
            <w:pPr>
              <w:rPr>
                <w:rFonts w:cs="Arial"/>
                <w:color w:val="FF0000"/>
                <w:sz w:val="21"/>
                <w:szCs w:val="21"/>
              </w:rPr>
            </w:pPr>
          </w:p>
        </w:tc>
        <w:tc>
          <w:tcPr>
            <w:tcW w:w="217" w:type="dxa"/>
          </w:tcPr>
          <w:p w14:paraId="0C53BE08" w14:textId="77777777" w:rsidR="002C0FD9" w:rsidRPr="00CA25CF" w:rsidRDefault="002C0FD9" w:rsidP="00CA25CF">
            <w:pPr>
              <w:rPr>
                <w:rFonts w:cs="Arial"/>
                <w:color w:val="FF0000"/>
                <w:sz w:val="21"/>
                <w:szCs w:val="21"/>
              </w:rPr>
            </w:pPr>
          </w:p>
        </w:tc>
        <w:tc>
          <w:tcPr>
            <w:tcW w:w="217" w:type="dxa"/>
          </w:tcPr>
          <w:p w14:paraId="03AE02AD" w14:textId="77777777" w:rsidR="002C0FD9" w:rsidRPr="00CA25CF" w:rsidRDefault="002C0FD9" w:rsidP="00CA25CF">
            <w:pPr>
              <w:rPr>
                <w:rFonts w:cs="Arial"/>
                <w:color w:val="FF0000"/>
                <w:sz w:val="21"/>
                <w:szCs w:val="21"/>
              </w:rPr>
            </w:pPr>
          </w:p>
        </w:tc>
        <w:tc>
          <w:tcPr>
            <w:tcW w:w="217" w:type="dxa"/>
          </w:tcPr>
          <w:p w14:paraId="45A966CD" w14:textId="77777777" w:rsidR="002C0FD9" w:rsidRPr="00CA25CF" w:rsidRDefault="002C0FD9" w:rsidP="00CA25CF">
            <w:pPr>
              <w:rPr>
                <w:rFonts w:cs="Arial"/>
                <w:color w:val="FF0000"/>
                <w:sz w:val="21"/>
                <w:szCs w:val="21"/>
              </w:rPr>
            </w:pPr>
          </w:p>
        </w:tc>
        <w:tc>
          <w:tcPr>
            <w:tcW w:w="217" w:type="dxa"/>
          </w:tcPr>
          <w:p w14:paraId="0ED98E4B" w14:textId="77777777" w:rsidR="002C0FD9" w:rsidRPr="00CA25CF" w:rsidRDefault="002C0FD9" w:rsidP="00CA25CF">
            <w:pPr>
              <w:rPr>
                <w:rFonts w:cs="Arial"/>
                <w:color w:val="FF0000"/>
                <w:sz w:val="21"/>
                <w:szCs w:val="21"/>
              </w:rPr>
            </w:pPr>
          </w:p>
        </w:tc>
        <w:tc>
          <w:tcPr>
            <w:tcW w:w="217" w:type="dxa"/>
          </w:tcPr>
          <w:p w14:paraId="4B349DE0" w14:textId="77777777" w:rsidR="002C0FD9" w:rsidRPr="00CA25CF" w:rsidRDefault="002C0FD9" w:rsidP="00CA25CF">
            <w:pPr>
              <w:rPr>
                <w:rFonts w:cs="Arial"/>
                <w:color w:val="FF0000"/>
                <w:sz w:val="21"/>
                <w:szCs w:val="21"/>
              </w:rPr>
            </w:pPr>
          </w:p>
        </w:tc>
        <w:tc>
          <w:tcPr>
            <w:tcW w:w="217" w:type="dxa"/>
          </w:tcPr>
          <w:p w14:paraId="3C9970EB" w14:textId="77777777" w:rsidR="002C0FD9" w:rsidRPr="00CA25CF" w:rsidRDefault="002C0FD9" w:rsidP="00CA25CF">
            <w:pPr>
              <w:rPr>
                <w:rFonts w:cs="Arial"/>
                <w:color w:val="FF0000"/>
                <w:sz w:val="21"/>
                <w:szCs w:val="21"/>
              </w:rPr>
            </w:pPr>
          </w:p>
        </w:tc>
        <w:tc>
          <w:tcPr>
            <w:tcW w:w="217" w:type="dxa"/>
          </w:tcPr>
          <w:p w14:paraId="658DB957" w14:textId="77777777" w:rsidR="002C0FD9" w:rsidRPr="00CA25CF" w:rsidRDefault="002C0FD9" w:rsidP="00CA25CF">
            <w:pPr>
              <w:rPr>
                <w:rFonts w:cs="Arial"/>
                <w:color w:val="FF0000"/>
                <w:sz w:val="21"/>
                <w:szCs w:val="21"/>
              </w:rPr>
            </w:pPr>
          </w:p>
        </w:tc>
        <w:tc>
          <w:tcPr>
            <w:tcW w:w="217" w:type="dxa"/>
          </w:tcPr>
          <w:p w14:paraId="090C33DF" w14:textId="77777777" w:rsidR="002C0FD9" w:rsidRPr="00CA25CF" w:rsidRDefault="002C0FD9" w:rsidP="00CA25CF">
            <w:pPr>
              <w:rPr>
                <w:rFonts w:cs="Arial"/>
                <w:color w:val="FF0000"/>
                <w:sz w:val="21"/>
                <w:szCs w:val="21"/>
              </w:rPr>
            </w:pPr>
          </w:p>
        </w:tc>
        <w:tc>
          <w:tcPr>
            <w:tcW w:w="217" w:type="dxa"/>
          </w:tcPr>
          <w:p w14:paraId="342EAFC1" w14:textId="77777777" w:rsidR="002C0FD9" w:rsidRPr="00CA25CF" w:rsidRDefault="002C0FD9" w:rsidP="00CA25CF">
            <w:pPr>
              <w:rPr>
                <w:rFonts w:cs="Arial"/>
                <w:color w:val="FF0000"/>
                <w:sz w:val="21"/>
                <w:szCs w:val="21"/>
              </w:rPr>
            </w:pPr>
          </w:p>
        </w:tc>
        <w:tc>
          <w:tcPr>
            <w:tcW w:w="217" w:type="dxa"/>
          </w:tcPr>
          <w:p w14:paraId="7E194C5C" w14:textId="77777777" w:rsidR="002C0FD9" w:rsidRPr="00CA25CF" w:rsidRDefault="002C0FD9" w:rsidP="00CA25CF">
            <w:pPr>
              <w:rPr>
                <w:rFonts w:cs="Arial"/>
                <w:color w:val="FF0000"/>
                <w:sz w:val="21"/>
                <w:szCs w:val="21"/>
              </w:rPr>
            </w:pPr>
          </w:p>
        </w:tc>
        <w:tc>
          <w:tcPr>
            <w:tcW w:w="217" w:type="dxa"/>
          </w:tcPr>
          <w:p w14:paraId="2B93700A" w14:textId="77777777" w:rsidR="002C0FD9" w:rsidRPr="00CA25CF" w:rsidRDefault="002C0FD9" w:rsidP="00CA25CF">
            <w:pPr>
              <w:rPr>
                <w:rFonts w:cs="Arial"/>
                <w:color w:val="FF0000"/>
                <w:sz w:val="21"/>
                <w:szCs w:val="21"/>
              </w:rPr>
            </w:pPr>
          </w:p>
        </w:tc>
      </w:tr>
      <w:tr w:rsidR="002C0FD9" w:rsidRPr="00A16219" w14:paraId="35A52D69" w14:textId="64C2C3E8" w:rsidTr="002C0FD9">
        <w:trPr>
          <w:trHeight w:val="635"/>
        </w:trPr>
        <w:tc>
          <w:tcPr>
            <w:tcW w:w="515" w:type="dxa"/>
          </w:tcPr>
          <w:p w14:paraId="3B37451C" w14:textId="77777777" w:rsidR="002C0FD9" w:rsidRPr="00CA25CF" w:rsidRDefault="002C0FD9" w:rsidP="00CA25CF">
            <w:pPr>
              <w:rPr>
                <w:rFonts w:cs="Arial"/>
                <w:color w:val="FF0000"/>
                <w:sz w:val="21"/>
                <w:szCs w:val="21"/>
              </w:rPr>
            </w:pPr>
          </w:p>
        </w:tc>
        <w:tc>
          <w:tcPr>
            <w:tcW w:w="217" w:type="dxa"/>
          </w:tcPr>
          <w:p w14:paraId="642EA9F6" w14:textId="77777777" w:rsidR="002C0FD9" w:rsidRPr="00CA25CF" w:rsidRDefault="002C0FD9" w:rsidP="00CA25CF">
            <w:pPr>
              <w:rPr>
                <w:rFonts w:cs="Arial"/>
                <w:color w:val="FF0000"/>
                <w:sz w:val="21"/>
                <w:szCs w:val="21"/>
              </w:rPr>
            </w:pPr>
          </w:p>
        </w:tc>
        <w:tc>
          <w:tcPr>
            <w:tcW w:w="217" w:type="dxa"/>
          </w:tcPr>
          <w:p w14:paraId="52631D03" w14:textId="572C93CB" w:rsidR="002C0FD9" w:rsidRPr="00CA25CF" w:rsidRDefault="002C0FD9" w:rsidP="00CA25CF">
            <w:pPr>
              <w:rPr>
                <w:rFonts w:cs="Arial"/>
                <w:color w:val="FF0000"/>
                <w:sz w:val="21"/>
                <w:szCs w:val="21"/>
              </w:rPr>
            </w:pPr>
          </w:p>
        </w:tc>
        <w:tc>
          <w:tcPr>
            <w:tcW w:w="217" w:type="dxa"/>
          </w:tcPr>
          <w:p w14:paraId="3F5CCDC3" w14:textId="77777777" w:rsidR="002C0FD9" w:rsidRPr="00CA25CF" w:rsidRDefault="002C0FD9" w:rsidP="00CA25CF">
            <w:pPr>
              <w:rPr>
                <w:rFonts w:cs="Arial"/>
                <w:color w:val="FF0000"/>
                <w:sz w:val="21"/>
                <w:szCs w:val="21"/>
              </w:rPr>
            </w:pPr>
          </w:p>
        </w:tc>
        <w:tc>
          <w:tcPr>
            <w:tcW w:w="217" w:type="dxa"/>
          </w:tcPr>
          <w:p w14:paraId="664E8B3A" w14:textId="77777777" w:rsidR="002C0FD9" w:rsidRPr="00CA25CF" w:rsidRDefault="002C0FD9" w:rsidP="00CA25CF">
            <w:pPr>
              <w:rPr>
                <w:rFonts w:cs="Arial"/>
                <w:color w:val="FF0000"/>
                <w:sz w:val="21"/>
                <w:szCs w:val="21"/>
              </w:rPr>
            </w:pPr>
          </w:p>
        </w:tc>
        <w:tc>
          <w:tcPr>
            <w:tcW w:w="217" w:type="dxa"/>
          </w:tcPr>
          <w:p w14:paraId="6E4024A8" w14:textId="77777777" w:rsidR="002C0FD9" w:rsidRPr="00CA25CF" w:rsidRDefault="002C0FD9" w:rsidP="00CA25CF">
            <w:pPr>
              <w:rPr>
                <w:rFonts w:cs="Arial"/>
                <w:color w:val="FF0000"/>
                <w:sz w:val="21"/>
                <w:szCs w:val="21"/>
              </w:rPr>
            </w:pPr>
          </w:p>
        </w:tc>
        <w:tc>
          <w:tcPr>
            <w:tcW w:w="217" w:type="dxa"/>
          </w:tcPr>
          <w:p w14:paraId="2DCB3326" w14:textId="77777777" w:rsidR="002C0FD9" w:rsidRPr="00CA25CF" w:rsidRDefault="002C0FD9" w:rsidP="00CA25CF">
            <w:pPr>
              <w:rPr>
                <w:rFonts w:cs="Arial"/>
                <w:color w:val="FF0000"/>
                <w:sz w:val="21"/>
                <w:szCs w:val="21"/>
              </w:rPr>
            </w:pPr>
          </w:p>
        </w:tc>
        <w:tc>
          <w:tcPr>
            <w:tcW w:w="217" w:type="dxa"/>
          </w:tcPr>
          <w:p w14:paraId="677604DB" w14:textId="77777777" w:rsidR="002C0FD9" w:rsidRPr="00CA25CF" w:rsidRDefault="002C0FD9" w:rsidP="00CA25CF">
            <w:pPr>
              <w:rPr>
                <w:rFonts w:cs="Arial"/>
                <w:color w:val="FF0000"/>
                <w:sz w:val="21"/>
                <w:szCs w:val="21"/>
              </w:rPr>
            </w:pPr>
          </w:p>
        </w:tc>
        <w:tc>
          <w:tcPr>
            <w:tcW w:w="217" w:type="dxa"/>
          </w:tcPr>
          <w:p w14:paraId="677BABDE" w14:textId="77777777" w:rsidR="002C0FD9" w:rsidRPr="00CA25CF" w:rsidRDefault="002C0FD9" w:rsidP="00CA25CF">
            <w:pPr>
              <w:rPr>
                <w:rFonts w:cs="Arial"/>
                <w:color w:val="FF0000"/>
                <w:sz w:val="21"/>
                <w:szCs w:val="21"/>
              </w:rPr>
            </w:pPr>
          </w:p>
        </w:tc>
        <w:tc>
          <w:tcPr>
            <w:tcW w:w="217" w:type="dxa"/>
          </w:tcPr>
          <w:p w14:paraId="0E7D3F84" w14:textId="77777777" w:rsidR="002C0FD9" w:rsidRPr="00CA25CF" w:rsidRDefault="002C0FD9" w:rsidP="00CA25CF">
            <w:pPr>
              <w:rPr>
                <w:rFonts w:cs="Arial"/>
                <w:color w:val="FF0000"/>
                <w:sz w:val="21"/>
                <w:szCs w:val="21"/>
              </w:rPr>
            </w:pPr>
          </w:p>
        </w:tc>
        <w:tc>
          <w:tcPr>
            <w:tcW w:w="217" w:type="dxa"/>
          </w:tcPr>
          <w:p w14:paraId="75FA5296" w14:textId="77777777" w:rsidR="002C0FD9" w:rsidRPr="00CA25CF" w:rsidRDefault="002C0FD9" w:rsidP="00CA25CF">
            <w:pPr>
              <w:rPr>
                <w:rFonts w:cs="Arial"/>
                <w:color w:val="FF0000"/>
                <w:sz w:val="21"/>
                <w:szCs w:val="21"/>
              </w:rPr>
            </w:pPr>
          </w:p>
        </w:tc>
        <w:tc>
          <w:tcPr>
            <w:tcW w:w="217" w:type="dxa"/>
          </w:tcPr>
          <w:p w14:paraId="1F3F4812" w14:textId="77777777" w:rsidR="002C0FD9" w:rsidRPr="00CA25CF" w:rsidRDefault="002C0FD9" w:rsidP="00CA25CF">
            <w:pPr>
              <w:rPr>
                <w:rFonts w:cs="Arial"/>
                <w:color w:val="FF0000"/>
                <w:sz w:val="21"/>
                <w:szCs w:val="21"/>
              </w:rPr>
            </w:pPr>
          </w:p>
        </w:tc>
        <w:tc>
          <w:tcPr>
            <w:tcW w:w="217" w:type="dxa"/>
          </w:tcPr>
          <w:p w14:paraId="59BC8C84" w14:textId="77777777" w:rsidR="002C0FD9" w:rsidRPr="00CA25CF" w:rsidRDefault="002C0FD9" w:rsidP="00CA25CF">
            <w:pPr>
              <w:rPr>
                <w:rFonts w:cs="Arial"/>
                <w:color w:val="FF0000"/>
                <w:sz w:val="21"/>
                <w:szCs w:val="21"/>
              </w:rPr>
            </w:pPr>
          </w:p>
        </w:tc>
        <w:tc>
          <w:tcPr>
            <w:tcW w:w="217" w:type="dxa"/>
          </w:tcPr>
          <w:p w14:paraId="316783B6" w14:textId="77777777" w:rsidR="002C0FD9" w:rsidRPr="00CA25CF" w:rsidRDefault="002C0FD9" w:rsidP="00CA25CF">
            <w:pPr>
              <w:rPr>
                <w:rFonts w:cs="Arial"/>
                <w:color w:val="FF0000"/>
                <w:sz w:val="21"/>
                <w:szCs w:val="21"/>
              </w:rPr>
            </w:pPr>
          </w:p>
        </w:tc>
        <w:tc>
          <w:tcPr>
            <w:tcW w:w="217" w:type="dxa"/>
          </w:tcPr>
          <w:p w14:paraId="6B34BC33" w14:textId="77777777" w:rsidR="002C0FD9" w:rsidRPr="00CA25CF" w:rsidRDefault="002C0FD9" w:rsidP="00CA25CF">
            <w:pPr>
              <w:rPr>
                <w:rFonts w:cs="Arial"/>
                <w:color w:val="FF0000"/>
                <w:sz w:val="21"/>
                <w:szCs w:val="21"/>
              </w:rPr>
            </w:pPr>
          </w:p>
        </w:tc>
        <w:tc>
          <w:tcPr>
            <w:tcW w:w="217" w:type="dxa"/>
          </w:tcPr>
          <w:p w14:paraId="02A20712" w14:textId="5CCE0AA8" w:rsidR="002C0FD9" w:rsidRPr="00CA25CF" w:rsidRDefault="002C0FD9" w:rsidP="00CA25CF">
            <w:pPr>
              <w:rPr>
                <w:rFonts w:cs="Arial"/>
                <w:color w:val="FF0000"/>
                <w:sz w:val="21"/>
                <w:szCs w:val="21"/>
              </w:rPr>
            </w:pPr>
          </w:p>
        </w:tc>
        <w:tc>
          <w:tcPr>
            <w:tcW w:w="217" w:type="dxa"/>
          </w:tcPr>
          <w:p w14:paraId="1CF5F849" w14:textId="77777777" w:rsidR="002C0FD9" w:rsidRPr="00CA25CF" w:rsidRDefault="002C0FD9" w:rsidP="00CA25CF">
            <w:pPr>
              <w:rPr>
                <w:rFonts w:cs="Arial"/>
                <w:color w:val="FF0000"/>
                <w:sz w:val="21"/>
                <w:szCs w:val="21"/>
              </w:rPr>
            </w:pPr>
          </w:p>
        </w:tc>
        <w:tc>
          <w:tcPr>
            <w:tcW w:w="217" w:type="dxa"/>
          </w:tcPr>
          <w:p w14:paraId="2342CB96" w14:textId="77777777" w:rsidR="002C0FD9" w:rsidRPr="00CA25CF" w:rsidRDefault="002C0FD9" w:rsidP="00CA25CF">
            <w:pPr>
              <w:rPr>
                <w:rFonts w:cs="Arial"/>
                <w:color w:val="FF0000"/>
                <w:sz w:val="21"/>
                <w:szCs w:val="21"/>
              </w:rPr>
            </w:pPr>
          </w:p>
        </w:tc>
        <w:tc>
          <w:tcPr>
            <w:tcW w:w="217" w:type="dxa"/>
          </w:tcPr>
          <w:p w14:paraId="5488F369" w14:textId="77777777" w:rsidR="002C0FD9" w:rsidRPr="00CA25CF" w:rsidRDefault="002C0FD9" w:rsidP="00CA25CF">
            <w:pPr>
              <w:rPr>
                <w:rFonts w:cs="Arial"/>
                <w:color w:val="FF0000"/>
                <w:sz w:val="21"/>
                <w:szCs w:val="21"/>
              </w:rPr>
            </w:pPr>
          </w:p>
        </w:tc>
        <w:tc>
          <w:tcPr>
            <w:tcW w:w="217" w:type="dxa"/>
          </w:tcPr>
          <w:p w14:paraId="24EEECA5" w14:textId="77777777" w:rsidR="002C0FD9" w:rsidRPr="00CA25CF" w:rsidRDefault="002C0FD9" w:rsidP="00CA25CF">
            <w:pPr>
              <w:rPr>
                <w:rFonts w:cs="Arial"/>
                <w:color w:val="FF0000"/>
                <w:sz w:val="21"/>
                <w:szCs w:val="21"/>
              </w:rPr>
            </w:pPr>
          </w:p>
        </w:tc>
        <w:tc>
          <w:tcPr>
            <w:tcW w:w="217" w:type="dxa"/>
          </w:tcPr>
          <w:p w14:paraId="7CF94630" w14:textId="77777777" w:rsidR="002C0FD9" w:rsidRPr="00CA25CF" w:rsidRDefault="002C0FD9" w:rsidP="00CA25CF">
            <w:pPr>
              <w:rPr>
                <w:rFonts w:cs="Arial"/>
                <w:color w:val="FF0000"/>
                <w:sz w:val="21"/>
                <w:szCs w:val="21"/>
              </w:rPr>
            </w:pPr>
          </w:p>
        </w:tc>
        <w:tc>
          <w:tcPr>
            <w:tcW w:w="217" w:type="dxa"/>
          </w:tcPr>
          <w:p w14:paraId="02068DE3" w14:textId="77777777" w:rsidR="002C0FD9" w:rsidRPr="00CA25CF" w:rsidRDefault="002C0FD9" w:rsidP="00CA25CF">
            <w:pPr>
              <w:rPr>
                <w:rFonts w:cs="Arial"/>
                <w:color w:val="FF0000"/>
                <w:sz w:val="21"/>
                <w:szCs w:val="21"/>
              </w:rPr>
            </w:pPr>
          </w:p>
        </w:tc>
        <w:tc>
          <w:tcPr>
            <w:tcW w:w="217" w:type="dxa"/>
          </w:tcPr>
          <w:p w14:paraId="1EE2969E" w14:textId="77777777" w:rsidR="002C0FD9" w:rsidRPr="00CA25CF" w:rsidRDefault="002C0FD9" w:rsidP="00CA25CF">
            <w:pPr>
              <w:rPr>
                <w:rFonts w:cs="Arial"/>
                <w:color w:val="FF0000"/>
                <w:sz w:val="21"/>
                <w:szCs w:val="21"/>
              </w:rPr>
            </w:pPr>
          </w:p>
        </w:tc>
        <w:tc>
          <w:tcPr>
            <w:tcW w:w="217" w:type="dxa"/>
          </w:tcPr>
          <w:p w14:paraId="75B8DE1F" w14:textId="77777777" w:rsidR="002C0FD9" w:rsidRPr="00CA25CF" w:rsidRDefault="002C0FD9" w:rsidP="00CA25CF">
            <w:pPr>
              <w:rPr>
                <w:rFonts w:cs="Arial"/>
                <w:color w:val="FF0000"/>
                <w:sz w:val="21"/>
                <w:szCs w:val="21"/>
              </w:rPr>
            </w:pPr>
          </w:p>
        </w:tc>
        <w:tc>
          <w:tcPr>
            <w:tcW w:w="217" w:type="dxa"/>
          </w:tcPr>
          <w:p w14:paraId="502E4A57" w14:textId="77777777" w:rsidR="002C0FD9" w:rsidRPr="00CA25CF" w:rsidRDefault="002C0FD9" w:rsidP="00CA25CF">
            <w:pPr>
              <w:rPr>
                <w:rFonts w:cs="Arial"/>
                <w:color w:val="FF0000"/>
                <w:sz w:val="21"/>
                <w:szCs w:val="21"/>
              </w:rPr>
            </w:pPr>
          </w:p>
        </w:tc>
        <w:tc>
          <w:tcPr>
            <w:tcW w:w="217" w:type="dxa"/>
          </w:tcPr>
          <w:p w14:paraId="1AE6C7D8" w14:textId="77777777" w:rsidR="002C0FD9" w:rsidRPr="00CA25CF" w:rsidRDefault="002C0FD9" w:rsidP="00CA25CF">
            <w:pPr>
              <w:rPr>
                <w:rFonts w:cs="Arial"/>
                <w:color w:val="FF0000"/>
                <w:sz w:val="21"/>
                <w:szCs w:val="21"/>
              </w:rPr>
            </w:pPr>
          </w:p>
        </w:tc>
        <w:tc>
          <w:tcPr>
            <w:tcW w:w="217" w:type="dxa"/>
          </w:tcPr>
          <w:p w14:paraId="228D73F3" w14:textId="77777777" w:rsidR="002C0FD9" w:rsidRPr="00CA25CF" w:rsidRDefault="002C0FD9" w:rsidP="00CA25CF">
            <w:pPr>
              <w:rPr>
                <w:rFonts w:cs="Arial"/>
                <w:color w:val="FF0000"/>
                <w:sz w:val="21"/>
                <w:szCs w:val="21"/>
              </w:rPr>
            </w:pPr>
          </w:p>
        </w:tc>
        <w:tc>
          <w:tcPr>
            <w:tcW w:w="217" w:type="dxa"/>
          </w:tcPr>
          <w:p w14:paraId="27A5F9E2" w14:textId="77777777" w:rsidR="002C0FD9" w:rsidRPr="00CA25CF" w:rsidRDefault="002C0FD9" w:rsidP="00CA25CF">
            <w:pPr>
              <w:rPr>
                <w:rFonts w:cs="Arial"/>
                <w:color w:val="FF0000"/>
                <w:sz w:val="21"/>
                <w:szCs w:val="21"/>
              </w:rPr>
            </w:pPr>
          </w:p>
        </w:tc>
        <w:tc>
          <w:tcPr>
            <w:tcW w:w="217" w:type="dxa"/>
          </w:tcPr>
          <w:p w14:paraId="25702D51" w14:textId="77777777" w:rsidR="002C0FD9" w:rsidRPr="00CA25CF" w:rsidRDefault="002C0FD9" w:rsidP="00CA25CF">
            <w:pPr>
              <w:rPr>
                <w:rFonts w:cs="Arial"/>
                <w:color w:val="FF0000"/>
                <w:sz w:val="21"/>
                <w:szCs w:val="21"/>
              </w:rPr>
            </w:pPr>
          </w:p>
        </w:tc>
        <w:tc>
          <w:tcPr>
            <w:tcW w:w="217" w:type="dxa"/>
          </w:tcPr>
          <w:p w14:paraId="5B874A93" w14:textId="77777777" w:rsidR="002C0FD9" w:rsidRPr="00CA25CF" w:rsidRDefault="002C0FD9" w:rsidP="00CA25CF">
            <w:pPr>
              <w:rPr>
                <w:rFonts w:cs="Arial"/>
                <w:color w:val="FF0000"/>
                <w:sz w:val="21"/>
                <w:szCs w:val="21"/>
              </w:rPr>
            </w:pPr>
          </w:p>
        </w:tc>
        <w:tc>
          <w:tcPr>
            <w:tcW w:w="217" w:type="dxa"/>
          </w:tcPr>
          <w:p w14:paraId="7044D48C" w14:textId="77777777" w:rsidR="002C0FD9" w:rsidRPr="00CA25CF" w:rsidRDefault="002C0FD9" w:rsidP="00CA25CF">
            <w:pPr>
              <w:rPr>
                <w:rFonts w:cs="Arial"/>
                <w:color w:val="FF0000"/>
                <w:sz w:val="21"/>
                <w:szCs w:val="21"/>
              </w:rPr>
            </w:pPr>
          </w:p>
        </w:tc>
        <w:tc>
          <w:tcPr>
            <w:tcW w:w="217" w:type="dxa"/>
          </w:tcPr>
          <w:p w14:paraId="1B9AF553" w14:textId="77777777" w:rsidR="002C0FD9" w:rsidRPr="00CA25CF" w:rsidRDefault="002C0FD9" w:rsidP="00CA25CF">
            <w:pPr>
              <w:rPr>
                <w:rFonts w:cs="Arial"/>
                <w:color w:val="FF0000"/>
                <w:sz w:val="21"/>
                <w:szCs w:val="21"/>
              </w:rPr>
            </w:pPr>
          </w:p>
        </w:tc>
        <w:tc>
          <w:tcPr>
            <w:tcW w:w="217" w:type="dxa"/>
          </w:tcPr>
          <w:p w14:paraId="22C22B60" w14:textId="77777777" w:rsidR="002C0FD9" w:rsidRPr="00CA25CF" w:rsidRDefault="002C0FD9" w:rsidP="00CA25CF">
            <w:pPr>
              <w:rPr>
                <w:rFonts w:cs="Arial"/>
                <w:color w:val="FF0000"/>
                <w:sz w:val="21"/>
                <w:szCs w:val="21"/>
              </w:rPr>
            </w:pPr>
          </w:p>
        </w:tc>
        <w:tc>
          <w:tcPr>
            <w:tcW w:w="217" w:type="dxa"/>
          </w:tcPr>
          <w:p w14:paraId="0E06BA86" w14:textId="77777777" w:rsidR="002C0FD9" w:rsidRPr="00CA25CF" w:rsidRDefault="002C0FD9" w:rsidP="00CA25CF">
            <w:pPr>
              <w:rPr>
                <w:rFonts w:cs="Arial"/>
                <w:color w:val="FF0000"/>
                <w:sz w:val="21"/>
                <w:szCs w:val="21"/>
              </w:rPr>
            </w:pPr>
          </w:p>
        </w:tc>
        <w:tc>
          <w:tcPr>
            <w:tcW w:w="217" w:type="dxa"/>
          </w:tcPr>
          <w:p w14:paraId="332E6672" w14:textId="77777777" w:rsidR="002C0FD9" w:rsidRPr="00CA25CF" w:rsidRDefault="002C0FD9" w:rsidP="00CA25CF">
            <w:pPr>
              <w:rPr>
                <w:rFonts w:cs="Arial"/>
                <w:color w:val="FF0000"/>
                <w:sz w:val="21"/>
                <w:szCs w:val="21"/>
              </w:rPr>
            </w:pPr>
          </w:p>
        </w:tc>
        <w:tc>
          <w:tcPr>
            <w:tcW w:w="217" w:type="dxa"/>
          </w:tcPr>
          <w:p w14:paraId="161CECFF" w14:textId="77777777" w:rsidR="002C0FD9" w:rsidRPr="00CA25CF" w:rsidRDefault="002C0FD9" w:rsidP="00CA25CF">
            <w:pPr>
              <w:rPr>
                <w:rFonts w:cs="Arial"/>
                <w:color w:val="FF0000"/>
                <w:sz w:val="21"/>
                <w:szCs w:val="21"/>
              </w:rPr>
            </w:pPr>
          </w:p>
        </w:tc>
        <w:tc>
          <w:tcPr>
            <w:tcW w:w="217" w:type="dxa"/>
          </w:tcPr>
          <w:p w14:paraId="6EBCB459" w14:textId="77777777" w:rsidR="002C0FD9" w:rsidRPr="00CA25CF" w:rsidRDefault="002C0FD9" w:rsidP="00CA25CF">
            <w:pPr>
              <w:rPr>
                <w:rFonts w:cs="Arial"/>
                <w:color w:val="FF0000"/>
                <w:sz w:val="21"/>
                <w:szCs w:val="21"/>
              </w:rPr>
            </w:pPr>
          </w:p>
        </w:tc>
        <w:tc>
          <w:tcPr>
            <w:tcW w:w="217" w:type="dxa"/>
          </w:tcPr>
          <w:p w14:paraId="585F9FA2" w14:textId="77777777" w:rsidR="002C0FD9" w:rsidRPr="00CA25CF" w:rsidRDefault="002C0FD9" w:rsidP="00CA25CF">
            <w:pPr>
              <w:rPr>
                <w:rFonts w:cs="Arial"/>
                <w:color w:val="FF0000"/>
                <w:sz w:val="21"/>
                <w:szCs w:val="21"/>
              </w:rPr>
            </w:pPr>
          </w:p>
        </w:tc>
        <w:tc>
          <w:tcPr>
            <w:tcW w:w="217" w:type="dxa"/>
          </w:tcPr>
          <w:p w14:paraId="677BF9DE" w14:textId="77777777" w:rsidR="002C0FD9" w:rsidRPr="00CA25CF" w:rsidRDefault="002C0FD9" w:rsidP="00CA25CF">
            <w:pPr>
              <w:rPr>
                <w:rFonts w:cs="Arial"/>
                <w:color w:val="FF0000"/>
                <w:sz w:val="21"/>
                <w:szCs w:val="21"/>
              </w:rPr>
            </w:pPr>
          </w:p>
        </w:tc>
        <w:tc>
          <w:tcPr>
            <w:tcW w:w="217" w:type="dxa"/>
          </w:tcPr>
          <w:p w14:paraId="1A2DA8B2" w14:textId="77777777" w:rsidR="002C0FD9" w:rsidRPr="00CA25CF" w:rsidRDefault="002C0FD9" w:rsidP="00CA25CF">
            <w:pPr>
              <w:rPr>
                <w:rFonts w:cs="Arial"/>
                <w:color w:val="FF0000"/>
                <w:sz w:val="21"/>
                <w:szCs w:val="21"/>
              </w:rPr>
            </w:pPr>
          </w:p>
        </w:tc>
        <w:tc>
          <w:tcPr>
            <w:tcW w:w="217" w:type="dxa"/>
          </w:tcPr>
          <w:p w14:paraId="64AD6F7B" w14:textId="77777777" w:rsidR="002C0FD9" w:rsidRPr="00CA25CF" w:rsidRDefault="002C0FD9" w:rsidP="00CA25CF">
            <w:pPr>
              <w:rPr>
                <w:rFonts w:cs="Arial"/>
                <w:color w:val="FF0000"/>
                <w:sz w:val="21"/>
                <w:szCs w:val="21"/>
              </w:rPr>
            </w:pPr>
          </w:p>
        </w:tc>
        <w:tc>
          <w:tcPr>
            <w:tcW w:w="217" w:type="dxa"/>
          </w:tcPr>
          <w:p w14:paraId="6C9AB213" w14:textId="77777777" w:rsidR="002C0FD9" w:rsidRPr="00CA25CF" w:rsidRDefault="002C0FD9" w:rsidP="00CA25CF">
            <w:pPr>
              <w:rPr>
                <w:rFonts w:cs="Arial"/>
                <w:color w:val="FF0000"/>
                <w:sz w:val="21"/>
                <w:szCs w:val="21"/>
              </w:rPr>
            </w:pPr>
          </w:p>
        </w:tc>
        <w:tc>
          <w:tcPr>
            <w:tcW w:w="217" w:type="dxa"/>
          </w:tcPr>
          <w:p w14:paraId="05AE6E6E" w14:textId="77777777" w:rsidR="002C0FD9" w:rsidRPr="00CA25CF" w:rsidRDefault="002C0FD9" w:rsidP="00CA25CF">
            <w:pPr>
              <w:rPr>
                <w:rFonts w:cs="Arial"/>
                <w:color w:val="FF0000"/>
                <w:sz w:val="21"/>
                <w:szCs w:val="21"/>
              </w:rPr>
            </w:pPr>
          </w:p>
        </w:tc>
      </w:tr>
      <w:tr w:rsidR="002C0FD9" w:rsidRPr="00A16219" w14:paraId="0DB36FC5" w14:textId="7C43D50D" w:rsidTr="002C0FD9">
        <w:trPr>
          <w:trHeight w:val="635"/>
        </w:trPr>
        <w:tc>
          <w:tcPr>
            <w:tcW w:w="515" w:type="dxa"/>
          </w:tcPr>
          <w:p w14:paraId="1CCBE58C" w14:textId="77777777" w:rsidR="002C0FD9" w:rsidRPr="00CA25CF" w:rsidRDefault="002C0FD9" w:rsidP="00CA25CF">
            <w:pPr>
              <w:rPr>
                <w:rFonts w:cs="Arial"/>
                <w:color w:val="FF0000"/>
                <w:sz w:val="21"/>
                <w:szCs w:val="21"/>
              </w:rPr>
            </w:pPr>
          </w:p>
        </w:tc>
        <w:tc>
          <w:tcPr>
            <w:tcW w:w="217" w:type="dxa"/>
          </w:tcPr>
          <w:p w14:paraId="37A21D3F" w14:textId="77777777" w:rsidR="002C0FD9" w:rsidRPr="00CA25CF" w:rsidRDefault="002C0FD9" w:rsidP="00CA25CF">
            <w:pPr>
              <w:rPr>
                <w:rFonts w:cs="Arial"/>
                <w:color w:val="FF0000"/>
                <w:sz w:val="21"/>
                <w:szCs w:val="21"/>
              </w:rPr>
            </w:pPr>
          </w:p>
        </w:tc>
        <w:tc>
          <w:tcPr>
            <w:tcW w:w="217" w:type="dxa"/>
          </w:tcPr>
          <w:p w14:paraId="5531DB83" w14:textId="161ED370" w:rsidR="002C0FD9" w:rsidRPr="00CA25CF" w:rsidRDefault="002C0FD9" w:rsidP="00CA25CF">
            <w:pPr>
              <w:rPr>
                <w:rFonts w:cs="Arial"/>
                <w:color w:val="FF0000"/>
                <w:sz w:val="21"/>
                <w:szCs w:val="21"/>
              </w:rPr>
            </w:pPr>
          </w:p>
        </w:tc>
        <w:tc>
          <w:tcPr>
            <w:tcW w:w="217" w:type="dxa"/>
          </w:tcPr>
          <w:p w14:paraId="74BF1E82" w14:textId="77777777" w:rsidR="002C0FD9" w:rsidRPr="00CA25CF" w:rsidRDefault="002C0FD9" w:rsidP="00CA25CF">
            <w:pPr>
              <w:rPr>
                <w:rFonts w:cs="Arial"/>
                <w:color w:val="FF0000"/>
                <w:sz w:val="21"/>
                <w:szCs w:val="21"/>
              </w:rPr>
            </w:pPr>
          </w:p>
        </w:tc>
        <w:tc>
          <w:tcPr>
            <w:tcW w:w="217" w:type="dxa"/>
          </w:tcPr>
          <w:p w14:paraId="63024CF9" w14:textId="77777777" w:rsidR="002C0FD9" w:rsidRPr="00CA25CF" w:rsidRDefault="002C0FD9" w:rsidP="00CA25CF">
            <w:pPr>
              <w:rPr>
                <w:rFonts w:cs="Arial"/>
                <w:color w:val="FF0000"/>
                <w:sz w:val="21"/>
                <w:szCs w:val="21"/>
              </w:rPr>
            </w:pPr>
          </w:p>
        </w:tc>
        <w:tc>
          <w:tcPr>
            <w:tcW w:w="217" w:type="dxa"/>
          </w:tcPr>
          <w:p w14:paraId="6A4FCDF0" w14:textId="77777777" w:rsidR="002C0FD9" w:rsidRPr="00CA25CF" w:rsidRDefault="002C0FD9" w:rsidP="00CA25CF">
            <w:pPr>
              <w:rPr>
                <w:rFonts w:cs="Arial"/>
                <w:color w:val="FF0000"/>
                <w:sz w:val="21"/>
                <w:szCs w:val="21"/>
              </w:rPr>
            </w:pPr>
          </w:p>
        </w:tc>
        <w:tc>
          <w:tcPr>
            <w:tcW w:w="217" w:type="dxa"/>
          </w:tcPr>
          <w:p w14:paraId="129C5618" w14:textId="77777777" w:rsidR="002C0FD9" w:rsidRPr="00CA25CF" w:rsidRDefault="002C0FD9" w:rsidP="00CA25CF">
            <w:pPr>
              <w:rPr>
                <w:rFonts w:cs="Arial"/>
                <w:color w:val="FF0000"/>
                <w:sz w:val="21"/>
                <w:szCs w:val="21"/>
              </w:rPr>
            </w:pPr>
          </w:p>
        </w:tc>
        <w:tc>
          <w:tcPr>
            <w:tcW w:w="217" w:type="dxa"/>
          </w:tcPr>
          <w:p w14:paraId="129F8B65" w14:textId="77777777" w:rsidR="002C0FD9" w:rsidRPr="00CA25CF" w:rsidRDefault="002C0FD9" w:rsidP="00CA25CF">
            <w:pPr>
              <w:rPr>
                <w:rFonts w:cs="Arial"/>
                <w:color w:val="FF0000"/>
                <w:sz w:val="21"/>
                <w:szCs w:val="21"/>
              </w:rPr>
            </w:pPr>
          </w:p>
        </w:tc>
        <w:tc>
          <w:tcPr>
            <w:tcW w:w="217" w:type="dxa"/>
          </w:tcPr>
          <w:p w14:paraId="7D15238B" w14:textId="77777777" w:rsidR="002C0FD9" w:rsidRPr="00CA25CF" w:rsidRDefault="002C0FD9" w:rsidP="00CA25CF">
            <w:pPr>
              <w:rPr>
                <w:rFonts w:cs="Arial"/>
                <w:color w:val="FF0000"/>
                <w:sz w:val="21"/>
                <w:szCs w:val="21"/>
              </w:rPr>
            </w:pPr>
          </w:p>
        </w:tc>
        <w:tc>
          <w:tcPr>
            <w:tcW w:w="217" w:type="dxa"/>
          </w:tcPr>
          <w:p w14:paraId="2F018D46" w14:textId="77777777" w:rsidR="002C0FD9" w:rsidRPr="00CA25CF" w:rsidRDefault="002C0FD9" w:rsidP="00CA25CF">
            <w:pPr>
              <w:rPr>
                <w:rFonts w:cs="Arial"/>
                <w:color w:val="FF0000"/>
                <w:sz w:val="21"/>
                <w:szCs w:val="21"/>
              </w:rPr>
            </w:pPr>
          </w:p>
        </w:tc>
        <w:tc>
          <w:tcPr>
            <w:tcW w:w="217" w:type="dxa"/>
          </w:tcPr>
          <w:p w14:paraId="699580FB" w14:textId="77777777" w:rsidR="002C0FD9" w:rsidRPr="00CA25CF" w:rsidRDefault="002C0FD9" w:rsidP="00CA25CF">
            <w:pPr>
              <w:rPr>
                <w:rFonts w:cs="Arial"/>
                <w:color w:val="FF0000"/>
                <w:sz w:val="21"/>
                <w:szCs w:val="21"/>
              </w:rPr>
            </w:pPr>
          </w:p>
        </w:tc>
        <w:tc>
          <w:tcPr>
            <w:tcW w:w="217" w:type="dxa"/>
          </w:tcPr>
          <w:p w14:paraId="2782131F" w14:textId="77777777" w:rsidR="002C0FD9" w:rsidRPr="00CA25CF" w:rsidRDefault="002C0FD9" w:rsidP="00CA25CF">
            <w:pPr>
              <w:rPr>
                <w:rFonts w:cs="Arial"/>
                <w:color w:val="FF0000"/>
                <w:sz w:val="21"/>
                <w:szCs w:val="21"/>
              </w:rPr>
            </w:pPr>
          </w:p>
        </w:tc>
        <w:tc>
          <w:tcPr>
            <w:tcW w:w="217" w:type="dxa"/>
          </w:tcPr>
          <w:p w14:paraId="4424625B" w14:textId="77777777" w:rsidR="002C0FD9" w:rsidRPr="00CA25CF" w:rsidRDefault="002C0FD9" w:rsidP="00CA25CF">
            <w:pPr>
              <w:rPr>
                <w:rFonts w:cs="Arial"/>
                <w:color w:val="FF0000"/>
                <w:sz w:val="21"/>
                <w:szCs w:val="21"/>
              </w:rPr>
            </w:pPr>
          </w:p>
        </w:tc>
        <w:tc>
          <w:tcPr>
            <w:tcW w:w="217" w:type="dxa"/>
          </w:tcPr>
          <w:p w14:paraId="42DE0B95" w14:textId="77777777" w:rsidR="002C0FD9" w:rsidRPr="00CA25CF" w:rsidRDefault="002C0FD9" w:rsidP="00CA25CF">
            <w:pPr>
              <w:rPr>
                <w:rFonts w:cs="Arial"/>
                <w:color w:val="FF0000"/>
                <w:sz w:val="21"/>
                <w:szCs w:val="21"/>
              </w:rPr>
            </w:pPr>
          </w:p>
        </w:tc>
        <w:tc>
          <w:tcPr>
            <w:tcW w:w="217" w:type="dxa"/>
          </w:tcPr>
          <w:p w14:paraId="5B6F3AC1" w14:textId="77777777" w:rsidR="002C0FD9" w:rsidRPr="00CA25CF" w:rsidRDefault="002C0FD9" w:rsidP="00CA25CF">
            <w:pPr>
              <w:rPr>
                <w:rFonts w:cs="Arial"/>
                <w:color w:val="FF0000"/>
                <w:sz w:val="21"/>
                <w:szCs w:val="21"/>
              </w:rPr>
            </w:pPr>
          </w:p>
        </w:tc>
        <w:tc>
          <w:tcPr>
            <w:tcW w:w="217" w:type="dxa"/>
          </w:tcPr>
          <w:p w14:paraId="7902B56E" w14:textId="4BF12494" w:rsidR="002C0FD9" w:rsidRPr="00CA25CF" w:rsidRDefault="002C0FD9" w:rsidP="00CA25CF">
            <w:pPr>
              <w:rPr>
                <w:rFonts w:cs="Arial"/>
                <w:color w:val="FF0000"/>
                <w:sz w:val="21"/>
                <w:szCs w:val="21"/>
              </w:rPr>
            </w:pPr>
          </w:p>
        </w:tc>
        <w:tc>
          <w:tcPr>
            <w:tcW w:w="217" w:type="dxa"/>
          </w:tcPr>
          <w:p w14:paraId="77F73B70" w14:textId="77777777" w:rsidR="002C0FD9" w:rsidRPr="00CA25CF" w:rsidRDefault="002C0FD9" w:rsidP="00CA25CF">
            <w:pPr>
              <w:rPr>
                <w:rFonts w:cs="Arial"/>
                <w:color w:val="FF0000"/>
                <w:sz w:val="21"/>
                <w:szCs w:val="21"/>
              </w:rPr>
            </w:pPr>
          </w:p>
        </w:tc>
        <w:tc>
          <w:tcPr>
            <w:tcW w:w="217" w:type="dxa"/>
          </w:tcPr>
          <w:p w14:paraId="62B028E7" w14:textId="77777777" w:rsidR="002C0FD9" w:rsidRPr="00CA25CF" w:rsidRDefault="002C0FD9" w:rsidP="00CA25CF">
            <w:pPr>
              <w:rPr>
                <w:rFonts w:cs="Arial"/>
                <w:color w:val="FF0000"/>
                <w:sz w:val="21"/>
                <w:szCs w:val="21"/>
              </w:rPr>
            </w:pPr>
          </w:p>
        </w:tc>
        <w:tc>
          <w:tcPr>
            <w:tcW w:w="217" w:type="dxa"/>
          </w:tcPr>
          <w:p w14:paraId="1B1E1171" w14:textId="77777777" w:rsidR="002C0FD9" w:rsidRPr="00CA25CF" w:rsidRDefault="002C0FD9" w:rsidP="00CA25CF">
            <w:pPr>
              <w:rPr>
                <w:rFonts w:cs="Arial"/>
                <w:color w:val="FF0000"/>
                <w:sz w:val="21"/>
                <w:szCs w:val="21"/>
              </w:rPr>
            </w:pPr>
          </w:p>
        </w:tc>
        <w:tc>
          <w:tcPr>
            <w:tcW w:w="217" w:type="dxa"/>
          </w:tcPr>
          <w:p w14:paraId="6B8FE8A0" w14:textId="77777777" w:rsidR="002C0FD9" w:rsidRPr="00CA25CF" w:rsidRDefault="002C0FD9" w:rsidP="00CA25CF">
            <w:pPr>
              <w:rPr>
                <w:rFonts w:cs="Arial"/>
                <w:color w:val="FF0000"/>
                <w:sz w:val="21"/>
                <w:szCs w:val="21"/>
              </w:rPr>
            </w:pPr>
          </w:p>
        </w:tc>
        <w:tc>
          <w:tcPr>
            <w:tcW w:w="217" w:type="dxa"/>
          </w:tcPr>
          <w:p w14:paraId="0ADC3465" w14:textId="77777777" w:rsidR="002C0FD9" w:rsidRPr="00CA25CF" w:rsidRDefault="002C0FD9" w:rsidP="00CA25CF">
            <w:pPr>
              <w:rPr>
                <w:rFonts w:cs="Arial"/>
                <w:color w:val="FF0000"/>
                <w:sz w:val="21"/>
                <w:szCs w:val="21"/>
              </w:rPr>
            </w:pPr>
          </w:p>
        </w:tc>
        <w:tc>
          <w:tcPr>
            <w:tcW w:w="217" w:type="dxa"/>
          </w:tcPr>
          <w:p w14:paraId="3CD2BA51" w14:textId="77777777" w:rsidR="002C0FD9" w:rsidRPr="00CA25CF" w:rsidRDefault="002C0FD9" w:rsidP="00CA25CF">
            <w:pPr>
              <w:rPr>
                <w:rFonts w:cs="Arial"/>
                <w:color w:val="FF0000"/>
                <w:sz w:val="21"/>
                <w:szCs w:val="21"/>
              </w:rPr>
            </w:pPr>
          </w:p>
        </w:tc>
        <w:tc>
          <w:tcPr>
            <w:tcW w:w="217" w:type="dxa"/>
          </w:tcPr>
          <w:p w14:paraId="5151531A" w14:textId="77777777" w:rsidR="002C0FD9" w:rsidRPr="00CA25CF" w:rsidRDefault="002C0FD9" w:rsidP="00CA25CF">
            <w:pPr>
              <w:rPr>
                <w:rFonts w:cs="Arial"/>
                <w:color w:val="FF0000"/>
                <w:sz w:val="21"/>
                <w:szCs w:val="21"/>
              </w:rPr>
            </w:pPr>
          </w:p>
        </w:tc>
        <w:tc>
          <w:tcPr>
            <w:tcW w:w="217" w:type="dxa"/>
          </w:tcPr>
          <w:p w14:paraId="37EDDE31" w14:textId="77777777" w:rsidR="002C0FD9" w:rsidRPr="00CA25CF" w:rsidRDefault="002C0FD9" w:rsidP="00CA25CF">
            <w:pPr>
              <w:rPr>
                <w:rFonts w:cs="Arial"/>
                <w:color w:val="FF0000"/>
                <w:sz w:val="21"/>
                <w:szCs w:val="21"/>
              </w:rPr>
            </w:pPr>
          </w:p>
        </w:tc>
        <w:tc>
          <w:tcPr>
            <w:tcW w:w="217" w:type="dxa"/>
          </w:tcPr>
          <w:p w14:paraId="3B71DE29" w14:textId="77777777" w:rsidR="002C0FD9" w:rsidRPr="00CA25CF" w:rsidRDefault="002C0FD9" w:rsidP="00CA25CF">
            <w:pPr>
              <w:rPr>
                <w:rFonts w:cs="Arial"/>
                <w:color w:val="FF0000"/>
                <w:sz w:val="21"/>
                <w:szCs w:val="21"/>
              </w:rPr>
            </w:pPr>
          </w:p>
        </w:tc>
        <w:tc>
          <w:tcPr>
            <w:tcW w:w="217" w:type="dxa"/>
          </w:tcPr>
          <w:p w14:paraId="1A649500" w14:textId="77777777" w:rsidR="002C0FD9" w:rsidRPr="00CA25CF" w:rsidRDefault="002C0FD9" w:rsidP="00CA25CF">
            <w:pPr>
              <w:rPr>
                <w:rFonts w:cs="Arial"/>
                <w:color w:val="FF0000"/>
                <w:sz w:val="21"/>
                <w:szCs w:val="21"/>
              </w:rPr>
            </w:pPr>
          </w:p>
        </w:tc>
        <w:tc>
          <w:tcPr>
            <w:tcW w:w="217" w:type="dxa"/>
          </w:tcPr>
          <w:p w14:paraId="1FB4ED21" w14:textId="77777777" w:rsidR="002C0FD9" w:rsidRPr="00CA25CF" w:rsidRDefault="002C0FD9" w:rsidP="00CA25CF">
            <w:pPr>
              <w:rPr>
                <w:rFonts w:cs="Arial"/>
                <w:color w:val="FF0000"/>
                <w:sz w:val="21"/>
                <w:szCs w:val="21"/>
              </w:rPr>
            </w:pPr>
          </w:p>
        </w:tc>
        <w:tc>
          <w:tcPr>
            <w:tcW w:w="217" w:type="dxa"/>
          </w:tcPr>
          <w:p w14:paraId="7AF9D371" w14:textId="77777777" w:rsidR="002C0FD9" w:rsidRPr="00CA25CF" w:rsidRDefault="002C0FD9" w:rsidP="00CA25CF">
            <w:pPr>
              <w:rPr>
                <w:rFonts w:cs="Arial"/>
                <w:color w:val="FF0000"/>
                <w:sz w:val="21"/>
                <w:szCs w:val="21"/>
              </w:rPr>
            </w:pPr>
          </w:p>
        </w:tc>
        <w:tc>
          <w:tcPr>
            <w:tcW w:w="217" w:type="dxa"/>
          </w:tcPr>
          <w:p w14:paraId="5D3188B1" w14:textId="77777777" w:rsidR="002C0FD9" w:rsidRPr="00CA25CF" w:rsidRDefault="002C0FD9" w:rsidP="00CA25CF">
            <w:pPr>
              <w:rPr>
                <w:rFonts w:cs="Arial"/>
                <w:color w:val="FF0000"/>
                <w:sz w:val="21"/>
                <w:szCs w:val="21"/>
              </w:rPr>
            </w:pPr>
          </w:p>
        </w:tc>
        <w:tc>
          <w:tcPr>
            <w:tcW w:w="217" w:type="dxa"/>
          </w:tcPr>
          <w:p w14:paraId="5055C4B1" w14:textId="77777777" w:rsidR="002C0FD9" w:rsidRPr="00CA25CF" w:rsidRDefault="002C0FD9" w:rsidP="00CA25CF">
            <w:pPr>
              <w:rPr>
                <w:rFonts w:cs="Arial"/>
                <w:color w:val="FF0000"/>
                <w:sz w:val="21"/>
                <w:szCs w:val="21"/>
              </w:rPr>
            </w:pPr>
          </w:p>
        </w:tc>
        <w:tc>
          <w:tcPr>
            <w:tcW w:w="217" w:type="dxa"/>
          </w:tcPr>
          <w:p w14:paraId="0567A4B4" w14:textId="77777777" w:rsidR="002C0FD9" w:rsidRPr="00CA25CF" w:rsidRDefault="002C0FD9" w:rsidP="00CA25CF">
            <w:pPr>
              <w:rPr>
                <w:rFonts w:cs="Arial"/>
                <w:color w:val="FF0000"/>
                <w:sz w:val="21"/>
                <w:szCs w:val="21"/>
              </w:rPr>
            </w:pPr>
          </w:p>
        </w:tc>
        <w:tc>
          <w:tcPr>
            <w:tcW w:w="217" w:type="dxa"/>
          </w:tcPr>
          <w:p w14:paraId="74263E2B" w14:textId="77777777" w:rsidR="002C0FD9" w:rsidRPr="00CA25CF" w:rsidRDefault="002C0FD9" w:rsidP="00CA25CF">
            <w:pPr>
              <w:rPr>
                <w:rFonts w:cs="Arial"/>
                <w:color w:val="FF0000"/>
                <w:sz w:val="21"/>
                <w:szCs w:val="21"/>
              </w:rPr>
            </w:pPr>
          </w:p>
        </w:tc>
        <w:tc>
          <w:tcPr>
            <w:tcW w:w="217" w:type="dxa"/>
          </w:tcPr>
          <w:p w14:paraId="7A2BDAF9" w14:textId="77777777" w:rsidR="002C0FD9" w:rsidRPr="00CA25CF" w:rsidRDefault="002C0FD9" w:rsidP="00CA25CF">
            <w:pPr>
              <w:rPr>
                <w:rFonts w:cs="Arial"/>
                <w:color w:val="FF0000"/>
                <w:sz w:val="21"/>
                <w:szCs w:val="21"/>
              </w:rPr>
            </w:pPr>
          </w:p>
        </w:tc>
        <w:tc>
          <w:tcPr>
            <w:tcW w:w="217" w:type="dxa"/>
          </w:tcPr>
          <w:p w14:paraId="7F7C7D1C" w14:textId="77777777" w:rsidR="002C0FD9" w:rsidRPr="00CA25CF" w:rsidRDefault="002C0FD9" w:rsidP="00CA25CF">
            <w:pPr>
              <w:rPr>
                <w:rFonts w:cs="Arial"/>
                <w:color w:val="FF0000"/>
                <w:sz w:val="21"/>
                <w:szCs w:val="21"/>
              </w:rPr>
            </w:pPr>
          </w:p>
        </w:tc>
        <w:tc>
          <w:tcPr>
            <w:tcW w:w="217" w:type="dxa"/>
          </w:tcPr>
          <w:p w14:paraId="65D8A8B6" w14:textId="77777777" w:rsidR="002C0FD9" w:rsidRPr="00CA25CF" w:rsidRDefault="002C0FD9" w:rsidP="00CA25CF">
            <w:pPr>
              <w:rPr>
                <w:rFonts w:cs="Arial"/>
                <w:color w:val="FF0000"/>
                <w:sz w:val="21"/>
                <w:szCs w:val="21"/>
              </w:rPr>
            </w:pPr>
          </w:p>
        </w:tc>
        <w:tc>
          <w:tcPr>
            <w:tcW w:w="217" w:type="dxa"/>
          </w:tcPr>
          <w:p w14:paraId="43CD2C9A" w14:textId="77777777" w:rsidR="002C0FD9" w:rsidRPr="00CA25CF" w:rsidRDefault="002C0FD9" w:rsidP="00CA25CF">
            <w:pPr>
              <w:rPr>
                <w:rFonts w:cs="Arial"/>
                <w:color w:val="FF0000"/>
                <w:sz w:val="21"/>
                <w:szCs w:val="21"/>
              </w:rPr>
            </w:pPr>
          </w:p>
        </w:tc>
        <w:tc>
          <w:tcPr>
            <w:tcW w:w="217" w:type="dxa"/>
          </w:tcPr>
          <w:p w14:paraId="3134EBA9" w14:textId="77777777" w:rsidR="002C0FD9" w:rsidRPr="00CA25CF" w:rsidRDefault="002C0FD9" w:rsidP="00CA25CF">
            <w:pPr>
              <w:rPr>
                <w:rFonts w:cs="Arial"/>
                <w:color w:val="FF0000"/>
                <w:sz w:val="21"/>
                <w:szCs w:val="21"/>
              </w:rPr>
            </w:pPr>
          </w:p>
        </w:tc>
        <w:tc>
          <w:tcPr>
            <w:tcW w:w="217" w:type="dxa"/>
          </w:tcPr>
          <w:p w14:paraId="56417275" w14:textId="77777777" w:rsidR="002C0FD9" w:rsidRPr="00CA25CF" w:rsidRDefault="002C0FD9" w:rsidP="00CA25CF">
            <w:pPr>
              <w:rPr>
                <w:rFonts w:cs="Arial"/>
                <w:color w:val="FF0000"/>
                <w:sz w:val="21"/>
                <w:szCs w:val="21"/>
              </w:rPr>
            </w:pPr>
          </w:p>
        </w:tc>
        <w:tc>
          <w:tcPr>
            <w:tcW w:w="217" w:type="dxa"/>
          </w:tcPr>
          <w:p w14:paraId="27D0D7F5" w14:textId="77777777" w:rsidR="002C0FD9" w:rsidRPr="00CA25CF" w:rsidRDefault="002C0FD9" w:rsidP="00CA25CF">
            <w:pPr>
              <w:rPr>
                <w:rFonts w:cs="Arial"/>
                <w:color w:val="FF0000"/>
                <w:sz w:val="21"/>
                <w:szCs w:val="21"/>
              </w:rPr>
            </w:pPr>
          </w:p>
        </w:tc>
        <w:tc>
          <w:tcPr>
            <w:tcW w:w="217" w:type="dxa"/>
          </w:tcPr>
          <w:p w14:paraId="11F9A999" w14:textId="77777777" w:rsidR="002C0FD9" w:rsidRPr="00CA25CF" w:rsidRDefault="002C0FD9" w:rsidP="00CA25CF">
            <w:pPr>
              <w:rPr>
                <w:rFonts w:cs="Arial"/>
                <w:color w:val="FF0000"/>
                <w:sz w:val="21"/>
                <w:szCs w:val="21"/>
              </w:rPr>
            </w:pPr>
          </w:p>
        </w:tc>
        <w:tc>
          <w:tcPr>
            <w:tcW w:w="217" w:type="dxa"/>
          </w:tcPr>
          <w:p w14:paraId="31EC1306" w14:textId="77777777" w:rsidR="002C0FD9" w:rsidRPr="00CA25CF" w:rsidRDefault="002C0FD9" w:rsidP="00CA25CF">
            <w:pPr>
              <w:rPr>
                <w:rFonts w:cs="Arial"/>
                <w:color w:val="FF0000"/>
                <w:sz w:val="21"/>
                <w:szCs w:val="21"/>
              </w:rPr>
            </w:pPr>
          </w:p>
        </w:tc>
        <w:tc>
          <w:tcPr>
            <w:tcW w:w="217" w:type="dxa"/>
          </w:tcPr>
          <w:p w14:paraId="48A288BF" w14:textId="77777777" w:rsidR="002C0FD9" w:rsidRPr="00CA25CF" w:rsidRDefault="002C0FD9" w:rsidP="00CA25CF">
            <w:pPr>
              <w:rPr>
                <w:rFonts w:cs="Arial"/>
                <w:color w:val="FF0000"/>
                <w:sz w:val="21"/>
                <w:szCs w:val="21"/>
              </w:rPr>
            </w:pPr>
          </w:p>
        </w:tc>
        <w:tc>
          <w:tcPr>
            <w:tcW w:w="217" w:type="dxa"/>
          </w:tcPr>
          <w:p w14:paraId="1E64F0BD" w14:textId="77777777" w:rsidR="002C0FD9" w:rsidRPr="00CA25CF" w:rsidRDefault="002C0FD9" w:rsidP="00CA25CF">
            <w:pPr>
              <w:rPr>
                <w:rFonts w:cs="Arial"/>
                <w:color w:val="FF0000"/>
                <w:sz w:val="21"/>
                <w:szCs w:val="21"/>
              </w:rPr>
            </w:pPr>
          </w:p>
        </w:tc>
      </w:tr>
      <w:tr w:rsidR="002C0FD9" w:rsidRPr="00A16219" w14:paraId="63BE9075" w14:textId="439DCBB5" w:rsidTr="002C0FD9">
        <w:trPr>
          <w:trHeight w:val="635"/>
        </w:trPr>
        <w:tc>
          <w:tcPr>
            <w:tcW w:w="515" w:type="dxa"/>
          </w:tcPr>
          <w:p w14:paraId="37D39662" w14:textId="77777777" w:rsidR="002C0FD9" w:rsidRPr="00CA25CF" w:rsidRDefault="002C0FD9" w:rsidP="00CA25CF">
            <w:pPr>
              <w:rPr>
                <w:rFonts w:cs="Arial"/>
                <w:color w:val="FF0000"/>
                <w:sz w:val="21"/>
                <w:szCs w:val="21"/>
              </w:rPr>
            </w:pPr>
          </w:p>
        </w:tc>
        <w:tc>
          <w:tcPr>
            <w:tcW w:w="217" w:type="dxa"/>
          </w:tcPr>
          <w:p w14:paraId="267673D7" w14:textId="77777777" w:rsidR="002C0FD9" w:rsidRPr="00CA25CF" w:rsidRDefault="002C0FD9" w:rsidP="00CA25CF">
            <w:pPr>
              <w:rPr>
                <w:rFonts w:cs="Arial"/>
                <w:color w:val="FF0000"/>
                <w:sz w:val="21"/>
                <w:szCs w:val="21"/>
              </w:rPr>
            </w:pPr>
          </w:p>
        </w:tc>
        <w:tc>
          <w:tcPr>
            <w:tcW w:w="217" w:type="dxa"/>
          </w:tcPr>
          <w:p w14:paraId="4B3D01D2" w14:textId="06E1FB68" w:rsidR="002C0FD9" w:rsidRPr="00CA25CF" w:rsidRDefault="002C0FD9" w:rsidP="00CA25CF">
            <w:pPr>
              <w:rPr>
                <w:rFonts w:cs="Arial"/>
                <w:color w:val="FF0000"/>
                <w:sz w:val="21"/>
                <w:szCs w:val="21"/>
              </w:rPr>
            </w:pPr>
          </w:p>
        </w:tc>
        <w:tc>
          <w:tcPr>
            <w:tcW w:w="217" w:type="dxa"/>
          </w:tcPr>
          <w:p w14:paraId="7E7BB56B" w14:textId="77777777" w:rsidR="002C0FD9" w:rsidRPr="00CA25CF" w:rsidRDefault="002C0FD9" w:rsidP="00CA25CF">
            <w:pPr>
              <w:rPr>
                <w:rFonts w:cs="Arial"/>
                <w:color w:val="FF0000"/>
                <w:sz w:val="21"/>
                <w:szCs w:val="21"/>
              </w:rPr>
            </w:pPr>
          </w:p>
        </w:tc>
        <w:tc>
          <w:tcPr>
            <w:tcW w:w="217" w:type="dxa"/>
          </w:tcPr>
          <w:p w14:paraId="6AEBCBCB" w14:textId="77777777" w:rsidR="002C0FD9" w:rsidRPr="00CA25CF" w:rsidRDefault="002C0FD9" w:rsidP="00CA25CF">
            <w:pPr>
              <w:rPr>
                <w:rFonts w:cs="Arial"/>
                <w:color w:val="FF0000"/>
                <w:sz w:val="21"/>
                <w:szCs w:val="21"/>
              </w:rPr>
            </w:pPr>
          </w:p>
        </w:tc>
        <w:tc>
          <w:tcPr>
            <w:tcW w:w="217" w:type="dxa"/>
          </w:tcPr>
          <w:p w14:paraId="72F62999" w14:textId="77777777" w:rsidR="002C0FD9" w:rsidRPr="00CA25CF" w:rsidRDefault="002C0FD9" w:rsidP="00CA25CF">
            <w:pPr>
              <w:rPr>
                <w:rFonts w:cs="Arial"/>
                <w:color w:val="FF0000"/>
                <w:sz w:val="21"/>
                <w:szCs w:val="21"/>
              </w:rPr>
            </w:pPr>
          </w:p>
        </w:tc>
        <w:tc>
          <w:tcPr>
            <w:tcW w:w="217" w:type="dxa"/>
          </w:tcPr>
          <w:p w14:paraId="68A6C05A" w14:textId="77777777" w:rsidR="002C0FD9" w:rsidRPr="00CA25CF" w:rsidRDefault="002C0FD9" w:rsidP="00CA25CF">
            <w:pPr>
              <w:rPr>
                <w:rFonts w:cs="Arial"/>
                <w:color w:val="FF0000"/>
                <w:sz w:val="21"/>
                <w:szCs w:val="21"/>
              </w:rPr>
            </w:pPr>
          </w:p>
        </w:tc>
        <w:tc>
          <w:tcPr>
            <w:tcW w:w="217" w:type="dxa"/>
          </w:tcPr>
          <w:p w14:paraId="602E1A94" w14:textId="77777777" w:rsidR="002C0FD9" w:rsidRPr="00CA25CF" w:rsidRDefault="002C0FD9" w:rsidP="00CA25CF">
            <w:pPr>
              <w:rPr>
                <w:rFonts w:cs="Arial"/>
                <w:color w:val="FF0000"/>
                <w:sz w:val="21"/>
                <w:szCs w:val="21"/>
              </w:rPr>
            </w:pPr>
          </w:p>
        </w:tc>
        <w:tc>
          <w:tcPr>
            <w:tcW w:w="217" w:type="dxa"/>
          </w:tcPr>
          <w:p w14:paraId="1FCA9910" w14:textId="77777777" w:rsidR="002C0FD9" w:rsidRPr="00CA25CF" w:rsidRDefault="002C0FD9" w:rsidP="00CA25CF">
            <w:pPr>
              <w:rPr>
                <w:rFonts w:cs="Arial"/>
                <w:color w:val="FF0000"/>
                <w:sz w:val="21"/>
                <w:szCs w:val="21"/>
              </w:rPr>
            </w:pPr>
          </w:p>
        </w:tc>
        <w:tc>
          <w:tcPr>
            <w:tcW w:w="217" w:type="dxa"/>
          </w:tcPr>
          <w:p w14:paraId="3A5ECD62" w14:textId="77777777" w:rsidR="002C0FD9" w:rsidRPr="00CA25CF" w:rsidRDefault="002C0FD9" w:rsidP="00CA25CF">
            <w:pPr>
              <w:rPr>
                <w:rFonts w:cs="Arial"/>
                <w:color w:val="FF0000"/>
                <w:sz w:val="21"/>
                <w:szCs w:val="21"/>
              </w:rPr>
            </w:pPr>
          </w:p>
        </w:tc>
        <w:tc>
          <w:tcPr>
            <w:tcW w:w="217" w:type="dxa"/>
          </w:tcPr>
          <w:p w14:paraId="61FA08E2" w14:textId="77777777" w:rsidR="002C0FD9" w:rsidRPr="00CA25CF" w:rsidRDefault="002C0FD9" w:rsidP="00CA25CF">
            <w:pPr>
              <w:rPr>
                <w:rFonts w:cs="Arial"/>
                <w:color w:val="FF0000"/>
                <w:sz w:val="21"/>
                <w:szCs w:val="21"/>
              </w:rPr>
            </w:pPr>
          </w:p>
        </w:tc>
        <w:tc>
          <w:tcPr>
            <w:tcW w:w="217" w:type="dxa"/>
          </w:tcPr>
          <w:p w14:paraId="5033AF9A" w14:textId="77777777" w:rsidR="002C0FD9" w:rsidRPr="00CA25CF" w:rsidRDefault="002C0FD9" w:rsidP="00CA25CF">
            <w:pPr>
              <w:rPr>
                <w:rFonts w:cs="Arial"/>
                <w:color w:val="FF0000"/>
                <w:sz w:val="21"/>
                <w:szCs w:val="21"/>
              </w:rPr>
            </w:pPr>
          </w:p>
        </w:tc>
        <w:tc>
          <w:tcPr>
            <w:tcW w:w="217" w:type="dxa"/>
          </w:tcPr>
          <w:p w14:paraId="69E47731" w14:textId="77777777" w:rsidR="002C0FD9" w:rsidRPr="00CA25CF" w:rsidRDefault="002C0FD9" w:rsidP="00CA25CF">
            <w:pPr>
              <w:rPr>
                <w:rFonts w:cs="Arial"/>
                <w:color w:val="FF0000"/>
                <w:sz w:val="21"/>
                <w:szCs w:val="21"/>
              </w:rPr>
            </w:pPr>
          </w:p>
        </w:tc>
        <w:tc>
          <w:tcPr>
            <w:tcW w:w="217" w:type="dxa"/>
          </w:tcPr>
          <w:p w14:paraId="7CBD813E" w14:textId="77777777" w:rsidR="002C0FD9" w:rsidRPr="00CA25CF" w:rsidRDefault="002C0FD9" w:rsidP="00CA25CF">
            <w:pPr>
              <w:rPr>
                <w:rFonts w:cs="Arial"/>
                <w:color w:val="FF0000"/>
                <w:sz w:val="21"/>
                <w:szCs w:val="21"/>
              </w:rPr>
            </w:pPr>
          </w:p>
        </w:tc>
        <w:tc>
          <w:tcPr>
            <w:tcW w:w="217" w:type="dxa"/>
          </w:tcPr>
          <w:p w14:paraId="0D141DB0" w14:textId="77777777" w:rsidR="002C0FD9" w:rsidRPr="00CA25CF" w:rsidRDefault="002C0FD9" w:rsidP="00CA25CF">
            <w:pPr>
              <w:rPr>
                <w:rFonts w:cs="Arial"/>
                <w:color w:val="FF0000"/>
                <w:sz w:val="21"/>
                <w:szCs w:val="21"/>
              </w:rPr>
            </w:pPr>
          </w:p>
        </w:tc>
        <w:tc>
          <w:tcPr>
            <w:tcW w:w="217" w:type="dxa"/>
          </w:tcPr>
          <w:p w14:paraId="016A276B" w14:textId="09BC81C2" w:rsidR="002C0FD9" w:rsidRPr="00CA25CF" w:rsidRDefault="002C0FD9" w:rsidP="00CA25CF">
            <w:pPr>
              <w:rPr>
                <w:rFonts w:cs="Arial"/>
                <w:color w:val="FF0000"/>
                <w:sz w:val="21"/>
                <w:szCs w:val="21"/>
              </w:rPr>
            </w:pPr>
          </w:p>
        </w:tc>
        <w:tc>
          <w:tcPr>
            <w:tcW w:w="217" w:type="dxa"/>
          </w:tcPr>
          <w:p w14:paraId="6076D284" w14:textId="77777777" w:rsidR="002C0FD9" w:rsidRPr="00CA25CF" w:rsidRDefault="002C0FD9" w:rsidP="00CA25CF">
            <w:pPr>
              <w:rPr>
                <w:rFonts w:cs="Arial"/>
                <w:color w:val="FF0000"/>
                <w:sz w:val="21"/>
                <w:szCs w:val="21"/>
              </w:rPr>
            </w:pPr>
          </w:p>
        </w:tc>
        <w:tc>
          <w:tcPr>
            <w:tcW w:w="217" w:type="dxa"/>
          </w:tcPr>
          <w:p w14:paraId="4976F6F5" w14:textId="77777777" w:rsidR="002C0FD9" w:rsidRPr="00CA25CF" w:rsidRDefault="002C0FD9" w:rsidP="00CA25CF">
            <w:pPr>
              <w:rPr>
                <w:rFonts w:cs="Arial"/>
                <w:color w:val="FF0000"/>
                <w:sz w:val="21"/>
                <w:szCs w:val="21"/>
              </w:rPr>
            </w:pPr>
          </w:p>
        </w:tc>
        <w:tc>
          <w:tcPr>
            <w:tcW w:w="217" w:type="dxa"/>
          </w:tcPr>
          <w:p w14:paraId="73ECF49C" w14:textId="77777777" w:rsidR="002C0FD9" w:rsidRPr="00CA25CF" w:rsidRDefault="002C0FD9" w:rsidP="00CA25CF">
            <w:pPr>
              <w:rPr>
                <w:rFonts w:cs="Arial"/>
                <w:color w:val="FF0000"/>
                <w:sz w:val="21"/>
                <w:szCs w:val="21"/>
              </w:rPr>
            </w:pPr>
          </w:p>
        </w:tc>
        <w:tc>
          <w:tcPr>
            <w:tcW w:w="217" w:type="dxa"/>
          </w:tcPr>
          <w:p w14:paraId="6470FC2E" w14:textId="77777777" w:rsidR="002C0FD9" w:rsidRPr="00CA25CF" w:rsidRDefault="002C0FD9" w:rsidP="00CA25CF">
            <w:pPr>
              <w:rPr>
                <w:rFonts w:cs="Arial"/>
                <w:color w:val="FF0000"/>
                <w:sz w:val="21"/>
                <w:szCs w:val="21"/>
              </w:rPr>
            </w:pPr>
          </w:p>
        </w:tc>
        <w:tc>
          <w:tcPr>
            <w:tcW w:w="217" w:type="dxa"/>
          </w:tcPr>
          <w:p w14:paraId="5D87661F" w14:textId="77777777" w:rsidR="002C0FD9" w:rsidRPr="00CA25CF" w:rsidRDefault="002C0FD9" w:rsidP="00CA25CF">
            <w:pPr>
              <w:rPr>
                <w:rFonts w:cs="Arial"/>
                <w:color w:val="FF0000"/>
                <w:sz w:val="21"/>
                <w:szCs w:val="21"/>
              </w:rPr>
            </w:pPr>
          </w:p>
        </w:tc>
        <w:tc>
          <w:tcPr>
            <w:tcW w:w="217" w:type="dxa"/>
          </w:tcPr>
          <w:p w14:paraId="2E65A54E" w14:textId="77777777" w:rsidR="002C0FD9" w:rsidRPr="00CA25CF" w:rsidRDefault="002C0FD9" w:rsidP="00CA25CF">
            <w:pPr>
              <w:rPr>
                <w:rFonts w:cs="Arial"/>
                <w:color w:val="FF0000"/>
                <w:sz w:val="21"/>
                <w:szCs w:val="21"/>
              </w:rPr>
            </w:pPr>
          </w:p>
        </w:tc>
        <w:tc>
          <w:tcPr>
            <w:tcW w:w="217" w:type="dxa"/>
          </w:tcPr>
          <w:p w14:paraId="179CAA6F" w14:textId="77777777" w:rsidR="002C0FD9" w:rsidRPr="00CA25CF" w:rsidRDefault="002C0FD9" w:rsidP="00CA25CF">
            <w:pPr>
              <w:rPr>
                <w:rFonts w:cs="Arial"/>
                <w:color w:val="FF0000"/>
                <w:sz w:val="21"/>
                <w:szCs w:val="21"/>
              </w:rPr>
            </w:pPr>
          </w:p>
        </w:tc>
        <w:tc>
          <w:tcPr>
            <w:tcW w:w="217" w:type="dxa"/>
          </w:tcPr>
          <w:p w14:paraId="70432955" w14:textId="77777777" w:rsidR="002C0FD9" w:rsidRPr="00CA25CF" w:rsidRDefault="002C0FD9" w:rsidP="00CA25CF">
            <w:pPr>
              <w:rPr>
                <w:rFonts w:cs="Arial"/>
                <w:color w:val="FF0000"/>
                <w:sz w:val="21"/>
                <w:szCs w:val="21"/>
              </w:rPr>
            </w:pPr>
          </w:p>
        </w:tc>
        <w:tc>
          <w:tcPr>
            <w:tcW w:w="217" w:type="dxa"/>
          </w:tcPr>
          <w:p w14:paraId="5B9586E2" w14:textId="77777777" w:rsidR="002C0FD9" w:rsidRPr="00CA25CF" w:rsidRDefault="002C0FD9" w:rsidP="00CA25CF">
            <w:pPr>
              <w:rPr>
                <w:rFonts w:cs="Arial"/>
                <w:color w:val="FF0000"/>
                <w:sz w:val="21"/>
                <w:szCs w:val="21"/>
              </w:rPr>
            </w:pPr>
          </w:p>
        </w:tc>
        <w:tc>
          <w:tcPr>
            <w:tcW w:w="217" w:type="dxa"/>
          </w:tcPr>
          <w:p w14:paraId="12646040" w14:textId="77777777" w:rsidR="002C0FD9" w:rsidRPr="00CA25CF" w:rsidRDefault="002C0FD9" w:rsidP="00CA25CF">
            <w:pPr>
              <w:rPr>
                <w:rFonts w:cs="Arial"/>
                <w:color w:val="FF0000"/>
                <w:sz w:val="21"/>
                <w:szCs w:val="21"/>
              </w:rPr>
            </w:pPr>
          </w:p>
        </w:tc>
        <w:tc>
          <w:tcPr>
            <w:tcW w:w="217" w:type="dxa"/>
          </w:tcPr>
          <w:p w14:paraId="2FCD2A0D" w14:textId="77777777" w:rsidR="002C0FD9" w:rsidRPr="00CA25CF" w:rsidRDefault="002C0FD9" w:rsidP="00CA25CF">
            <w:pPr>
              <w:rPr>
                <w:rFonts w:cs="Arial"/>
                <w:color w:val="FF0000"/>
                <w:sz w:val="21"/>
                <w:szCs w:val="21"/>
              </w:rPr>
            </w:pPr>
          </w:p>
        </w:tc>
        <w:tc>
          <w:tcPr>
            <w:tcW w:w="217" w:type="dxa"/>
          </w:tcPr>
          <w:p w14:paraId="6CD31467" w14:textId="77777777" w:rsidR="002C0FD9" w:rsidRPr="00CA25CF" w:rsidRDefault="002C0FD9" w:rsidP="00CA25CF">
            <w:pPr>
              <w:rPr>
                <w:rFonts w:cs="Arial"/>
                <w:color w:val="FF0000"/>
                <w:sz w:val="21"/>
                <w:szCs w:val="21"/>
              </w:rPr>
            </w:pPr>
          </w:p>
        </w:tc>
        <w:tc>
          <w:tcPr>
            <w:tcW w:w="217" w:type="dxa"/>
          </w:tcPr>
          <w:p w14:paraId="78C2B1E5" w14:textId="77777777" w:rsidR="002C0FD9" w:rsidRPr="00CA25CF" w:rsidRDefault="002C0FD9" w:rsidP="00CA25CF">
            <w:pPr>
              <w:rPr>
                <w:rFonts w:cs="Arial"/>
                <w:color w:val="FF0000"/>
                <w:sz w:val="21"/>
                <w:szCs w:val="21"/>
              </w:rPr>
            </w:pPr>
          </w:p>
        </w:tc>
        <w:tc>
          <w:tcPr>
            <w:tcW w:w="217" w:type="dxa"/>
          </w:tcPr>
          <w:p w14:paraId="602F8F68" w14:textId="77777777" w:rsidR="002C0FD9" w:rsidRPr="00CA25CF" w:rsidRDefault="002C0FD9" w:rsidP="00CA25CF">
            <w:pPr>
              <w:rPr>
                <w:rFonts w:cs="Arial"/>
                <w:color w:val="FF0000"/>
                <w:sz w:val="21"/>
                <w:szCs w:val="21"/>
              </w:rPr>
            </w:pPr>
          </w:p>
        </w:tc>
        <w:tc>
          <w:tcPr>
            <w:tcW w:w="217" w:type="dxa"/>
          </w:tcPr>
          <w:p w14:paraId="1B9D744E" w14:textId="77777777" w:rsidR="002C0FD9" w:rsidRPr="00CA25CF" w:rsidRDefault="002C0FD9" w:rsidP="00CA25CF">
            <w:pPr>
              <w:rPr>
                <w:rFonts w:cs="Arial"/>
                <w:color w:val="FF0000"/>
                <w:sz w:val="21"/>
                <w:szCs w:val="21"/>
              </w:rPr>
            </w:pPr>
          </w:p>
        </w:tc>
        <w:tc>
          <w:tcPr>
            <w:tcW w:w="217" w:type="dxa"/>
          </w:tcPr>
          <w:p w14:paraId="0283A0EB" w14:textId="77777777" w:rsidR="002C0FD9" w:rsidRPr="00CA25CF" w:rsidRDefault="002C0FD9" w:rsidP="00CA25CF">
            <w:pPr>
              <w:rPr>
                <w:rFonts w:cs="Arial"/>
                <w:color w:val="FF0000"/>
                <w:sz w:val="21"/>
                <w:szCs w:val="21"/>
              </w:rPr>
            </w:pPr>
          </w:p>
        </w:tc>
        <w:tc>
          <w:tcPr>
            <w:tcW w:w="217" w:type="dxa"/>
          </w:tcPr>
          <w:p w14:paraId="0EC0FCEA" w14:textId="77777777" w:rsidR="002C0FD9" w:rsidRPr="00CA25CF" w:rsidRDefault="002C0FD9" w:rsidP="00CA25CF">
            <w:pPr>
              <w:rPr>
                <w:rFonts w:cs="Arial"/>
                <w:color w:val="FF0000"/>
                <w:sz w:val="21"/>
                <w:szCs w:val="21"/>
              </w:rPr>
            </w:pPr>
          </w:p>
        </w:tc>
        <w:tc>
          <w:tcPr>
            <w:tcW w:w="217" w:type="dxa"/>
          </w:tcPr>
          <w:p w14:paraId="1CB35090" w14:textId="77777777" w:rsidR="002C0FD9" w:rsidRPr="00CA25CF" w:rsidRDefault="002C0FD9" w:rsidP="00CA25CF">
            <w:pPr>
              <w:rPr>
                <w:rFonts w:cs="Arial"/>
                <w:color w:val="FF0000"/>
                <w:sz w:val="21"/>
                <w:szCs w:val="21"/>
              </w:rPr>
            </w:pPr>
          </w:p>
        </w:tc>
        <w:tc>
          <w:tcPr>
            <w:tcW w:w="217" w:type="dxa"/>
          </w:tcPr>
          <w:p w14:paraId="26266D98" w14:textId="77777777" w:rsidR="002C0FD9" w:rsidRPr="00CA25CF" w:rsidRDefault="002C0FD9" w:rsidP="00CA25CF">
            <w:pPr>
              <w:rPr>
                <w:rFonts w:cs="Arial"/>
                <w:color w:val="FF0000"/>
                <w:sz w:val="21"/>
                <w:szCs w:val="21"/>
              </w:rPr>
            </w:pPr>
          </w:p>
        </w:tc>
        <w:tc>
          <w:tcPr>
            <w:tcW w:w="217" w:type="dxa"/>
          </w:tcPr>
          <w:p w14:paraId="2B472C6C" w14:textId="77777777" w:rsidR="002C0FD9" w:rsidRPr="00CA25CF" w:rsidRDefault="002C0FD9" w:rsidP="00CA25CF">
            <w:pPr>
              <w:rPr>
                <w:rFonts w:cs="Arial"/>
                <w:color w:val="FF0000"/>
                <w:sz w:val="21"/>
                <w:szCs w:val="21"/>
              </w:rPr>
            </w:pPr>
          </w:p>
        </w:tc>
        <w:tc>
          <w:tcPr>
            <w:tcW w:w="217" w:type="dxa"/>
          </w:tcPr>
          <w:p w14:paraId="647FFAA8" w14:textId="77777777" w:rsidR="002C0FD9" w:rsidRPr="00CA25CF" w:rsidRDefault="002C0FD9" w:rsidP="00CA25CF">
            <w:pPr>
              <w:rPr>
                <w:rFonts w:cs="Arial"/>
                <w:color w:val="FF0000"/>
                <w:sz w:val="21"/>
                <w:szCs w:val="21"/>
              </w:rPr>
            </w:pPr>
          </w:p>
        </w:tc>
        <w:tc>
          <w:tcPr>
            <w:tcW w:w="217" w:type="dxa"/>
          </w:tcPr>
          <w:p w14:paraId="1CBFED8E" w14:textId="77777777" w:rsidR="002C0FD9" w:rsidRPr="00CA25CF" w:rsidRDefault="002C0FD9" w:rsidP="00CA25CF">
            <w:pPr>
              <w:rPr>
                <w:rFonts w:cs="Arial"/>
                <w:color w:val="FF0000"/>
                <w:sz w:val="21"/>
                <w:szCs w:val="21"/>
              </w:rPr>
            </w:pPr>
          </w:p>
        </w:tc>
        <w:tc>
          <w:tcPr>
            <w:tcW w:w="217" w:type="dxa"/>
          </w:tcPr>
          <w:p w14:paraId="0A0910FE" w14:textId="77777777" w:rsidR="002C0FD9" w:rsidRPr="00CA25CF" w:rsidRDefault="002C0FD9" w:rsidP="00CA25CF">
            <w:pPr>
              <w:rPr>
                <w:rFonts w:cs="Arial"/>
                <w:color w:val="FF0000"/>
                <w:sz w:val="21"/>
                <w:szCs w:val="21"/>
              </w:rPr>
            </w:pPr>
          </w:p>
        </w:tc>
        <w:tc>
          <w:tcPr>
            <w:tcW w:w="217" w:type="dxa"/>
          </w:tcPr>
          <w:p w14:paraId="18DDA0CA" w14:textId="77777777" w:rsidR="002C0FD9" w:rsidRPr="00CA25CF" w:rsidRDefault="002C0FD9" w:rsidP="00CA25CF">
            <w:pPr>
              <w:rPr>
                <w:rFonts w:cs="Arial"/>
                <w:color w:val="FF0000"/>
                <w:sz w:val="21"/>
                <w:szCs w:val="21"/>
              </w:rPr>
            </w:pPr>
          </w:p>
        </w:tc>
        <w:tc>
          <w:tcPr>
            <w:tcW w:w="217" w:type="dxa"/>
          </w:tcPr>
          <w:p w14:paraId="096E27EC" w14:textId="77777777" w:rsidR="002C0FD9" w:rsidRPr="00CA25CF" w:rsidRDefault="002C0FD9" w:rsidP="00CA25CF">
            <w:pPr>
              <w:rPr>
                <w:rFonts w:cs="Arial"/>
                <w:color w:val="FF0000"/>
                <w:sz w:val="21"/>
                <w:szCs w:val="21"/>
              </w:rPr>
            </w:pPr>
          </w:p>
        </w:tc>
        <w:tc>
          <w:tcPr>
            <w:tcW w:w="217" w:type="dxa"/>
          </w:tcPr>
          <w:p w14:paraId="61FE4799" w14:textId="77777777" w:rsidR="002C0FD9" w:rsidRPr="00CA25CF" w:rsidRDefault="002C0FD9" w:rsidP="00CA25CF">
            <w:pPr>
              <w:rPr>
                <w:rFonts w:cs="Arial"/>
                <w:color w:val="FF0000"/>
                <w:sz w:val="21"/>
                <w:szCs w:val="21"/>
              </w:rPr>
            </w:pPr>
          </w:p>
        </w:tc>
        <w:tc>
          <w:tcPr>
            <w:tcW w:w="217" w:type="dxa"/>
          </w:tcPr>
          <w:p w14:paraId="730DA1A1" w14:textId="77777777" w:rsidR="002C0FD9" w:rsidRPr="00CA25CF" w:rsidRDefault="002C0FD9" w:rsidP="00CA25CF">
            <w:pPr>
              <w:rPr>
                <w:rFonts w:cs="Arial"/>
                <w:color w:val="FF0000"/>
                <w:sz w:val="21"/>
                <w:szCs w:val="21"/>
              </w:rPr>
            </w:pPr>
          </w:p>
        </w:tc>
      </w:tr>
      <w:tr w:rsidR="002C0FD9" w:rsidRPr="00A16219" w14:paraId="7200CF3E" w14:textId="0C5FF0D2" w:rsidTr="002C0FD9">
        <w:trPr>
          <w:trHeight w:val="635"/>
        </w:trPr>
        <w:tc>
          <w:tcPr>
            <w:tcW w:w="515" w:type="dxa"/>
          </w:tcPr>
          <w:p w14:paraId="20B8B98A" w14:textId="77777777" w:rsidR="002C0FD9" w:rsidRPr="00CA25CF" w:rsidRDefault="002C0FD9" w:rsidP="00CA25CF">
            <w:pPr>
              <w:rPr>
                <w:rFonts w:cs="Arial"/>
                <w:color w:val="FF0000"/>
                <w:sz w:val="21"/>
                <w:szCs w:val="21"/>
              </w:rPr>
            </w:pPr>
          </w:p>
        </w:tc>
        <w:tc>
          <w:tcPr>
            <w:tcW w:w="217" w:type="dxa"/>
          </w:tcPr>
          <w:p w14:paraId="039D67D0" w14:textId="77777777" w:rsidR="002C0FD9" w:rsidRPr="00CA25CF" w:rsidRDefault="002C0FD9" w:rsidP="00CA25CF">
            <w:pPr>
              <w:rPr>
                <w:rFonts w:cs="Arial"/>
                <w:color w:val="FF0000"/>
                <w:sz w:val="21"/>
                <w:szCs w:val="21"/>
              </w:rPr>
            </w:pPr>
          </w:p>
        </w:tc>
        <w:tc>
          <w:tcPr>
            <w:tcW w:w="217" w:type="dxa"/>
          </w:tcPr>
          <w:p w14:paraId="69B29F39" w14:textId="1840A8EE" w:rsidR="002C0FD9" w:rsidRPr="00CA25CF" w:rsidRDefault="002C0FD9" w:rsidP="00CA25CF">
            <w:pPr>
              <w:rPr>
                <w:rFonts w:cs="Arial"/>
                <w:color w:val="FF0000"/>
                <w:sz w:val="21"/>
                <w:szCs w:val="21"/>
              </w:rPr>
            </w:pPr>
          </w:p>
        </w:tc>
        <w:tc>
          <w:tcPr>
            <w:tcW w:w="217" w:type="dxa"/>
          </w:tcPr>
          <w:p w14:paraId="0493417A" w14:textId="77777777" w:rsidR="002C0FD9" w:rsidRPr="00CA25CF" w:rsidRDefault="002C0FD9" w:rsidP="00CA25CF">
            <w:pPr>
              <w:rPr>
                <w:rFonts w:cs="Arial"/>
                <w:color w:val="FF0000"/>
                <w:sz w:val="21"/>
                <w:szCs w:val="21"/>
              </w:rPr>
            </w:pPr>
          </w:p>
        </w:tc>
        <w:tc>
          <w:tcPr>
            <w:tcW w:w="217" w:type="dxa"/>
          </w:tcPr>
          <w:p w14:paraId="20438AC9" w14:textId="77777777" w:rsidR="002C0FD9" w:rsidRPr="00CA25CF" w:rsidRDefault="002C0FD9" w:rsidP="00CA25CF">
            <w:pPr>
              <w:rPr>
                <w:rFonts w:cs="Arial"/>
                <w:color w:val="FF0000"/>
                <w:sz w:val="21"/>
                <w:szCs w:val="21"/>
              </w:rPr>
            </w:pPr>
          </w:p>
        </w:tc>
        <w:tc>
          <w:tcPr>
            <w:tcW w:w="217" w:type="dxa"/>
          </w:tcPr>
          <w:p w14:paraId="5A3013F7" w14:textId="77777777" w:rsidR="002C0FD9" w:rsidRPr="00CA25CF" w:rsidRDefault="002C0FD9" w:rsidP="00CA25CF">
            <w:pPr>
              <w:rPr>
                <w:rFonts w:cs="Arial"/>
                <w:color w:val="FF0000"/>
                <w:sz w:val="21"/>
                <w:szCs w:val="21"/>
              </w:rPr>
            </w:pPr>
          </w:p>
        </w:tc>
        <w:tc>
          <w:tcPr>
            <w:tcW w:w="217" w:type="dxa"/>
          </w:tcPr>
          <w:p w14:paraId="017AC77F" w14:textId="77777777" w:rsidR="002C0FD9" w:rsidRPr="00CA25CF" w:rsidRDefault="002C0FD9" w:rsidP="00CA25CF">
            <w:pPr>
              <w:rPr>
                <w:rFonts w:cs="Arial"/>
                <w:color w:val="FF0000"/>
                <w:sz w:val="21"/>
                <w:szCs w:val="21"/>
              </w:rPr>
            </w:pPr>
          </w:p>
        </w:tc>
        <w:tc>
          <w:tcPr>
            <w:tcW w:w="217" w:type="dxa"/>
          </w:tcPr>
          <w:p w14:paraId="5E4401AA" w14:textId="77777777" w:rsidR="002C0FD9" w:rsidRPr="00CA25CF" w:rsidRDefault="002C0FD9" w:rsidP="00CA25CF">
            <w:pPr>
              <w:rPr>
                <w:rFonts w:cs="Arial"/>
                <w:color w:val="FF0000"/>
                <w:sz w:val="21"/>
                <w:szCs w:val="21"/>
              </w:rPr>
            </w:pPr>
          </w:p>
        </w:tc>
        <w:tc>
          <w:tcPr>
            <w:tcW w:w="217" w:type="dxa"/>
          </w:tcPr>
          <w:p w14:paraId="3920284F" w14:textId="77777777" w:rsidR="002C0FD9" w:rsidRPr="00CA25CF" w:rsidRDefault="002C0FD9" w:rsidP="00CA25CF">
            <w:pPr>
              <w:rPr>
                <w:rFonts w:cs="Arial"/>
                <w:color w:val="FF0000"/>
                <w:sz w:val="21"/>
                <w:szCs w:val="21"/>
              </w:rPr>
            </w:pPr>
          </w:p>
        </w:tc>
        <w:tc>
          <w:tcPr>
            <w:tcW w:w="217" w:type="dxa"/>
          </w:tcPr>
          <w:p w14:paraId="21B7261C" w14:textId="77777777" w:rsidR="002C0FD9" w:rsidRPr="00CA25CF" w:rsidRDefault="002C0FD9" w:rsidP="00CA25CF">
            <w:pPr>
              <w:rPr>
                <w:rFonts w:cs="Arial"/>
                <w:color w:val="FF0000"/>
                <w:sz w:val="21"/>
                <w:szCs w:val="21"/>
              </w:rPr>
            </w:pPr>
          </w:p>
        </w:tc>
        <w:tc>
          <w:tcPr>
            <w:tcW w:w="217" w:type="dxa"/>
          </w:tcPr>
          <w:p w14:paraId="0A3DC316" w14:textId="77777777" w:rsidR="002C0FD9" w:rsidRPr="00CA25CF" w:rsidRDefault="002C0FD9" w:rsidP="00CA25CF">
            <w:pPr>
              <w:rPr>
                <w:rFonts w:cs="Arial"/>
                <w:color w:val="FF0000"/>
                <w:sz w:val="21"/>
                <w:szCs w:val="21"/>
              </w:rPr>
            </w:pPr>
          </w:p>
        </w:tc>
        <w:tc>
          <w:tcPr>
            <w:tcW w:w="217" w:type="dxa"/>
          </w:tcPr>
          <w:p w14:paraId="7E71DE55" w14:textId="77777777" w:rsidR="002C0FD9" w:rsidRPr="00CA25CF" w:rsidRDefault="002C0FD9" w:rsidP="00CA25CF">
            <w:pPr>
              <w:rPr>
                <w:rFonts w:cs="Arial"/>
                <w:color w:val="FF0000"/>
                <w:sz w:val="21"/>
                <w:szCs w:val="21"/>
              </w:rPr>
            </w:pPr>
          </w:p>
        </w:tc>
        <w:tc>
          <w:tcPr>
            <w:tcW w:w="217" w:type="dxa"/>
          </w:tcPr>
          <w:p w14:paraId="716B5DAF" w14:textId="77777777" w:rsidR="002C0FD9" w:rsidRPr="00CA25CF" w:rsidRDefault="002C0FD9" w:rsidP="00CA25CF">
            <w:pPr>
              <w:rPr>
                <w:rFonts w:cs="Arial"/>
                <w:color w:val="FF0000"/>
                <w:sz w:val="21"/>
                <w:szCs w:val="21"/>
              </w:rPr>
            </w:pPr>
          </w:p>
        </w:tc>
        <w:tc>
          <w:tcPr>
            <w:tcW w:w="217" w:type="dxa"/>
          </w:tcPr>
          <w:p w14:paraId="3EF5F7B0" w14:textId="77777777" w:rsidR="002C0FD9" w:rsidRPr="00CA25CF" w:rsidRDefault="002C0FD9" w:rsidP="00CA25CF">
            <w:pPr>
              <w:rPr>
                <w:rFonts w:cs="Arial"/>
                <w:color w:val="FF0000"/>
                <w:sz w:val="21"/>
                <w:szCs w:val="21"/>
              </w:rPr>
            </w:pPr>
          </w:p>
        </w:tc>
        <w:tc>
          <w:tcPr>
            <w:tcW w:w="217" w:type="dxa"/>
          </w:tcPr>
          <w:p w14:paraId="7D2BF12D" w14:textId="77777777" w:rsidR="002C0FD9" w:rsidRPr="00CA25CF" w:rsidRDefault="002C0FD9" w:rsidP="00CA25CF">
            <w:pPr>
              <w:rPr>
                <w:rFonts w:cs="Arial"/>
                <w:color w:val="FF0000"/>
                <w:sz w:val="21"/>
                <w:szCs w:val="21"/>
              </w:rPr>
            </w:pPr>
          </w:p>
        </w:tc>
        <w:tc>
          <w:tcPr>
            <w:tcW w:w="217" w:type="dxa"/>
          </w:tcPr>
          <w:p w14:paraId="5A31B31C" w14:textId="013DC0F5" w:rsidR="002C0FD9" w:rsidRPr="00CA25CF" w:rsidRDefault="002C0FD9" w:rsidP="00CA25CF">
            <w:pPr>
              <w:rPr>
                <w:rFonts w:cs="Arial"/>
                <w:color w:val="FF0000"/>
                <w:sz w:val="21"/>
                <w:szCs w:val="21"/>
              </w:rPr>
            </w:pPr>
          </w:p>
        </w:tc>
        <w:tc>
          <w:tcPr>
            <w:tcW w:w="217" w:type="dxa"/>
          </w:tcPr>
          <w:p w14:paraId="3FB118DB" w14:textId="77777777" w:rsidR="002C0FD9" w:rsidRPr="00CA25CF" w:rsidRDefault="002C0FD9" w:rsidP="00CA25CF">
            <w:pPr>
              <w:rPr>
                <w:rFonts w:cs="Arial"/>
                <w:color w:val="FF0000"/>
                <w:sz w:val="21"/>
                <w:szCs w:val="21"/>
              </w:rPr>
            </w:pPr>
          </w:p>
        </w:tc>
        <w:tc>
          <w:tcPr>
            <w:tcW w:w="217" w:type="dxa"/>
          </w:tcPr>
          <w:p w14:paraId="081361AE" w14:textId="77777777" w:rsidR="002C0FD9" w:rsidRPr="00CA25CF" w:rsidRDefault="002C0FD9" w:rsidP="00CA25CF">
            <w:pPr>
              <w:rPr>
                <w:rFonts w:cs="Arial"/>
                <w:color w:val="FF0000"/>
                <w:sz w:val="21"/>
                <w:szCs w:val="21"/>
              </w:rPr>
            </w:pPr>
          </w:p>
        </w:tc>
        <w:tc>
          <w:tcPr>
            <w:tcW w:w="217" w:type="dxa"/>
          </w:tcPr>
          <w:p w14:paraId="6A96F4B3" w14:textId="77777777" w:rsidR="002C0FD9" w:rsidRPr="00CA25CF" w:rsidRDefault="002C0FD9" w:rsidP="00CA25CF">
            <w:pPr>
              <w:rPr>
                <w:rFonts w:cs="Arial"/>
                <w:color w:val="FF0000"/>
                <w:sz w:val="21"/>
                <w:szCs w:val="21"/>
              </w:rPr>
            </w:pPr>
          </w:p>
        </w:tc>
        <w:tc>
          <w:tcPr>
            <w:tcW w:w="217" w:type="dxa"/>
          </w:tcPr>
          <w:p w14:paraId="3C36627A" w14:textId="77777777" w:rsidR="002C0FD9" w:rsidRPr="00CA25CF" w:rsidRDefault="002C0FD9" w:rsidP="00CA25CF">
            <w:pPr>
              <w:rPr>
                <w:rFonts w:cs="Arial"/>
                <w:color w:val="FF0000"/>
                <w:sz w:val="21"/>
                <w:szCs w:val="21"/>
              </w:rPr>
            </w:pPr>
          </w:p>
        </w:tc>
        <w:tc>
          <w:tcPr>
            <w:tcW w:w="217" w:type="dxa"/>
          </w:tcPr>
          <w:p w14:paraId="0D6CA7EF" w14:textId="77777777" w:rsidR="002C0FD9" w:rsidRPr="00CA25CF" w:rsidRDefault="002C0FD9" w:rsidP="00CA25CF">
            <w:pPr>
              <w:rPr>
                <w:rFonts w:cs="Arial"/>
                <w:color w:val="FF0000"/>
                <w:sz w:val="21"/>
                <w:szCs w:val="21"/>
              </w:rPr>
            </w:pPr>
          </w:p>
        </w:tc>
        <w:tc>
          <w:tcPr>
            <w:tcW w:w="217" w:type="dxa"/>
          </w:tcPr>
          <w:p w14:paraId="1C73257D" w14:textId="77777777" w:rsidR="002C0FD9" w:rsidRPr="00CA25CF" w:rsidRDefault="002C0FD9" w:rsidP="00CA25CF">
            <w:pPr>
              <w:rPr>
                <w:rFonts w:cs="Arial"/>
                <w:color w:val="FF0000"/>
                <w:sz w:val="21"/>
                <w:szCs w:val="21"/>
              </w:rPr>
            </w:pPr>
          </w:p>
        </w:tc>
        <w:tc>
          <w:tcPr>
            <w:tcW w:w="217" w:type="dxa"/>
          </w:tcPr>
          <w:p w14:paraId="57A65E9C" w14:textId="77777777" w:rsidR="002C0FD9" w:rsidRPr="00CA25CF" w:rsidRDefault="002C0FD9" w:rsidP="00CA25CF">
            <w:pPr>
              <w:rPr>
                <w:rFonts w:cs="Arial"/>
                <w:color w:val="FF0000"/>
                <w:sz w:val="21"/>
                <w:szCs w:val="21"/>
              </w:rPr>
            </w:pPr>
          </w:p>
        </w:tc>
        <w:tc>
          <w:tcPr>
            <w:tcW w:w="217" w:type="dxa"/>
          </w:tcPr>
          <w:p w14:paraId="24887AF6" w14:textId="77777777" w:rsidR="002C0FD9" w:rsidRPr="00CA25CF" w:rsidRDefault="002C0FD9" w:rsidP="00CA25CF">
            <w:pPr>
              <w:rPr>
                <w:rFonts w:cs="Arial"/>
                <w:color w:val="FF0000"/>
                <w:sz w:val="21"/>
                <w:szCs w:val="21"/>
              </w:rPr>
            </w:pPr>
          </w:p>
        </w:tc>
        <w:tc>
          <w:tcPr>
            <w:tcW w:w="217" w:type="dxa"/>
          </w:tcPr>
          <w:p w14:paraId="22E2059D" w14:textId="77777777" w:rsidR="002C0FD9" w:rsidRPr="00CA25CF" w:rsidRDefault="002C0FD9" w:rsidP="00CA25CF">
            <w:pPr>
              <w:rPr>
                <w:rFonts w:cs="Arial"/>
                <w:color w:val="FF0000"/>
                <w:sz w:val="21"/>
                <w:szCs w:val="21"/>
              </w:rPr>
            </w:pPr>
          </w:p>
        </w:tc>
        <w:tc>
          <w:tcPr>
            <w:tcW w:w="217" w:type="dxa"/>
          </w:tcPr>
          <w:p w14:paraId="53FE0E22" w14:textId="77777777" w:rsidR="002C0FD9" w:rsidRPr="00CA25CF" w:rsidRDefault="002C0FD9" w:rsidP="00CA25CF">
            <w:pPr>
              <w:rPr>
                <w:rFonts w:cs="Arial"/>
                <w:color w:val="FF0000"/>
                <w:sz w:val="21"/>
                <w:szCs w:val="21"/>
              </w:rPr>
            </w:pPr>
          </w:p>
        </w:tc>
        <w:tc>
          <w:tcPr>
            <w:tcW w:w="217" w:type="dxa"/>
          </w:tcPr>
          <w:p w14:paraId="54710DBC" w14:textId="77777777" w:rsidR="002C0FD9" w:rsidRPr="00CA25CF" w:rsidRDefault="002C0FD9" w:rsidP="00CA25CF">
            <w:pPr>
              <w:rPr>
                <w:rFonts w:cs="Arial"/>
                <w:color w:val="FF0000"/>
                <w:sz w:val="21"/>
                <w:szCs w:val="21"/>
              </w:rPr>
            </w:pPr>
          </w:p>
        </w:tc>
        <w:tc>
          <w:tcPr>
            <w:tcW w:w="217" w:type="dxa"/>
          </w:tcPr>
          <w:p w14:paraId="1028C7E8" w14:textId="77777777" w:rsidR="002C0FD9" w:rsidRPr="00CA25CF" w:rsidRDefault="002C0FD9" w:rsidP="00CA25CF">
            <w:pPr>
              <w:rPr>
                <w:rFonts w:cs="Arial"/>
                <w:color w:val="FF0000"/>
                <w:sz w:val="21"/>
                <w:szCs w:val="21"/>
              </w:rPr>
            </w:pPr>
          </w:p>
        </w:tc>
        <w:tc>
          <w:tcPr>
            <w:tcW w:w="217" w:type="dxa"/>
          </w:tcPr>
          <w:p w14:paraId="0789C442" w14:textId="77777777" w:rsidR="002C0FD9" w:rsidRPr="00CA25CF" w:rsidRDefault="002C0FD9" w:rsidP="00CA25CF">
            <w:pPr>
              <w:rPr>
                <w:rFonts w:cs="Arial"/>
                <w:color w:val="FF0000"/>
                <w:sz w:val="21"/>
                <w:szCs w:val="21"/>
              </w:rPr>
            </w:pPr>
          </w:p>
        </w:tc>
        <w:tc>
          <w:tcPr>
            <w:tcW w:w="217" w:type="dxa"/>
          </w:tcPr>
          <w:p w14:paraId="4B3ADB90" w14:textId="77777777" w:rsidR="002C0FD9" w:rsidRPr="00CA25CF" w:rsidRDefault="002C0FD9" w:rsidP="00CA25CF">
            <w:pPr>
              <w:rPr>
                <w:rFonts w:cs="Arial"/>
                <w:color w:val="FF0000"/>
                <w:sz w:val="21"/>
                <w:szCs w:val="21"/>
              </w:rPr>
            </w:pPr>
          </w:p>
        </w:tc>
        <w:tc>
          <w:tcPr>
            <w:tcW w:w="217" w:type="dxa"/>
          </w:tcPr>
          <w:p w14:paraId="2C05F702" w14:textId="77777777" w:rsidR="002C0FD9" w:rsidRPr="00CA25CF" w:rsidRDefault="002C0FD9" w:rsidP="00CA25CF">
            <w:pPr>
              <w:rPr>
                <w:rFonts w:cs="Arial"/>
                <w:color w:val="FF0000"/>
                <w:sz w:val="21"/>
                <w:szCs w:val="21"/>
              </w:rPr>
            </w:pPr>
          </w:p>
        </w:tc>
        <w:tc>
          <w:tcPr>
            <w:tcW w:w="217" w:type="dxa"/>
          </w:tcPr>
          <w:p w14:paraId="7BE1DD71" w14:textId="77777777" w:rsidR="002C0FD9" w:rsidRPr="00CA25CF" w:rsidRDefault="002C0FD9" w:rsidP="00CA25CF">
            <w:pPr>
              <w:rPr>
                <w:rFonts w:cs="Arial"/>
                <w:color w:val="FF0000"/>
                <w:sz w:val="21"/>
                <w:szCs w:val="21"/>
              </w:rPr>
            </w:pPr>
          </w:p>
        </w:tc>
        <w:tc>
          <w:tcPr>
            <w:tcW w:w="217" w:type="dxa"/>
          </w:tcPr>
          <w:p w14:paraId="22F93076" w14:textId="77777777" w:rsidR="002C0FD9" w:rsidRPr="00CA25CF" w:rsidRDefault="002C0FD9" w:rsidP="00CA25CF">
            <w:pPr>
              <w:rPr>
                <w:rFonts w:cs="Arial"/>
                <w:color w:val="FF0000"/>
                <w:sz w:val="21"/>
                <w:szCs w:val="21"/>
              </w:rPr>
            </w:pPr>
          </w:p>
        </w:tc>
        <w:tc>
          <w:tcPr>
            <w:tcW w:w="217" w:type="dxa"/>
          </w:tcPr>
          <w:p w14:paraId="4CC4F4CF" w14:textId="77777777" w:rsidR="002C0FD9" w:rsidRPr="00CA25CF" w:rsidRDefault="002C0FD9" w:rsidP="00CA25CF">
            <w:pPr>
              <w:rPr>
                <w:rFonts w:cs="Arial"/>
                <w:color w:val="FF0000"/>
                <w:sz w:val="21"/>
                <w:szCs w:val="21"/>
              </w:rPr>
            </w:pPr>
          </w:p>
        </w:tc>
        <w:tc>
          <w:tcPr>
            <w:tcW w:w="217" w:type="dxa"/>
          </w:tcPr>
          <w:p w14:paraId="3AF09027" w14:textId="77777777" w:rsidR="002C0FD9" w:rsidRPr="00CA25CF" w:rsidRDefault="002C0FD9" w:rsidP="00CA25CF">
            <w:pPr>
              <w:rPr>
                <w:rFonts w:cs="Arial"/>
                <w:color w:val="FF0000"/>
                <w:sz w:val="21"/>
                <w:szCs w:val="21"/>
              </w:rPr>
            </w:pPr>
          </w:p>
        </w:tc>
        <w:tc>
          <w:tcPr>
            <w:tcW w:w="217" w:type="dxa"/>
          </w:tcPr>
          <w:p w14:paraId="39D6F1AC" w14:textId="77777777" w:rsidR="002C0FD9" w:rsidRPr="00CA25CF" w:rsidRDefault="002C0FD9" w:rsidP="00CA25CF">
            <w:pPr>
              <w:rPr>
                <w:rFonts w:cs="Arial"/>
                <w:color w:val="FF0000"/>
                <w:sz w:val="21"/>
                <w:szCs w:val="21"/>
              </w:rPr>
            </w:pPr>
          </w:p>
        </w:tc>
        <w:tc>
          <w:tcPr>
            <w:tcW w:w="217" w:type="dxa"/>
          </w:tcPr>
          <w:p w14:paraId="06023498" w14:textId="77777777" w:rsidR="002C0FD9" w:rsidRPr="00CA25CF" w:rsidRDefault="002C0FD9" w:rsidP="00CA25CF">
            <w:pPr>
              <w:rPr>
                <w:rFonts w:cs="Arial"/>
                <w:color w:val="FF0000"/>
                <w:sz w:val="21"/>
                <w:szCs w:val="21"/>
              </w:rPr>
            </w:pPr>
          </w:p>
        </w:tc>
        <w:tc>
          <w:tcPr>
            <w:tcW w:w="217" w:type="dxa"/>
          </w:tcPr>
          <w:p w14:paraId="1DA86E48" w14:textId="77777777" w:rsidR="002C0FD9" w:rsidRPr="00CA25CF" w:rsidRDefault="002C0FD9" w:rsidP="00CA25CF">
            <w:pPr>
              <w:rPr>
                <w:rFonts w:cs="Arial"/>
                <w:color w:val="FF0000"/>
                <w:sz w:val="21"/>
                <w:szCs w:val="21"/>
              </w:rPr>
            </w:pPr>
          </w:p>
        </w:tc>
        <w:tc>
          <w:tcPr>
            <w:tcW w:w="217" w:type="dxa"/>
          </w:tcPr>
          <w:p w14:paraId="619B896F" w14:textId="77777777" w:rsidR="002C0FD9" w:rsidRPr="00CA25CF" w:rsidRDefault="002C0FD9" w:rsidP="00CA25CF">
            <w:pPr>
              <w:rPr>
                <w:rFonts w:cs="Arial"/>
                <w:color w:val="FF0000"/>
                <w:sz w:val="21"/>
                <w:szCs w:val="21"/>
              </w:rPr>
            </w:pPr>
          </w:p>
        </w:tc>
        <w:tc>
          <w:tcPr>
            <w:tcW w:w="217" w:type="dxa"/>
          </w:tcPr>
          <w:p w14:paraId="26F459E4" w14:textId="77777777" w:rsidR="002C0FD9" w:rsidRPr="00CA25CF" w:rsidRDefault="002C0FD9" w:rsidP="00CA25CF">
            <w:pPr>
              <w:rPr>
                <w:rFonts w:cs="Arial"/>
                <w:color w:val="FF0000"/>
                <w:sz w:val="21"/>
                <w:szCs w:val="21"/>
              </w:rPr>
            </w:pPr>
          </w:p>
        </w:tc>
        <w:tc>
          <w:tcPr>
            <w:tcW w:w="217" w:type="dxa"/>
          </w:tcPr>
          <w:p w14:paraId="07294F42" w14:textId="77777777" w:rsidR="002C0FD9" w:rsidRPr="00CA25CF" w:rsidRDefault="002C0FD9" w:rsidP="00CA25CF">
            <w:pPr>
              <w:rPr>
                <w:rFonts w:cs="Arial"/>
                <w:color w:val="FF0000"/>
                <w:sz w:val="21"/>
                <w:szCs w:val="21"/>
              </w:rPr>
            </w:pPr>
          </w:p>
        </w:tc>
        <w:tc>
          <w:tcPr>
            <w:tcW w:w="217" w:type="dxa"/>
          </w:tcPr>
          <w:p w14:paraId="56D238C5" w14:textId="77777777" w:rsidR="002C0FD9" w:rsidRPr="00CA25CF" w:rsidRDefault="002C0FD9" w:rsidP="00CA25CF">
            <w:pPr>
              <w:rPr>
                <w:rFonts w:cs="Arial"/>
                <w:color w:val="FF0000"/>
                <w:sz w:val="21"/>
                <w:szCs w:val="21"/>
              </w:rPr>
            </w:pPr>
          </w:p>
        </w:tc>
        <w:tc>
          <w:tcPr>
            <w:tcW w:w="217" w:type="dxa"/>
          </w:tcPr>
          <w:p w14:paraId="59D8B455" w14:textId="77777777" w:rsidR="002C0FD9" w:rsidRPr="00CA25CF" w:rsidRDefault="002C0FD9" w:rsidP="00CA25CF">
            <w:pPr>
              <w:rPr>
                <w:rFonts w:cs="Arial"/>
                <w:color w:val="FF0000"/>
                <w:sz w:val="21"/>
                <w:szCs w:val="21"/>
              </w:rPr>
            </w:pPr>
          </w:p>
        </w:tc>
      </w:tr>
      <w:tr w:rsidR="002C0FD9" w:rsidRPr="00A16219" w14:paraId="528AB28A" w14:textId="6A313851" w:rsidTr="002C0FD9">
        <w:trPr>
          <w:trHeight w:val="635"/>
        </w:trPr>
        <w:tc>
          <w:tcPr>
            <w:tcW w:w="515" w:type="dxa"/>
          </w:tcPr>
          <w:p w14:paraId="241B65D3" w14:textId="77777777" w:rsidR="002C0FD9" w:rsidRPr="00CA25CF" w:rsidRDefault="002C0FD9" w:rsidP="00CA25CF">
            <w:pPr>
              <w:rPr>
                <w:rFonts w:cs="Arial"/>
                <w:color w:val="FF0000"/>
                <w:sz w:val="21"/>
                <w:szCs w:val="21"/>
              </w:rPr>
            </w:pPr>
          </w:p>
        </w:tc>
        <w:tc>
          <w:tcPr>
            <w:tcW w:w="217" w:type="dxa"/>
          </w:tcPr>
          <w:p w14:paraId="438D1FDC" w14:textId="77777777" w:rsidR="002C0FD9" w:rsidRPr="00CA25CF" w:rsidRDefault="002C0FD9" w:rsidP="00CA25CF">
            <w:pPr>
              <w:rPr>
                <w:rFonts w:cs="Arial"/>
                <w:color w:val="FF0000"/>
                <w:sz w:val="21"/>
                <w:szCs w:val="21"/>
              </w:rPr>
            </w:pPr>
          </w:p>
        </w:tc>
        <w:tc>
          <w:tcPr>
            <w:tcW w:w="217" w:type="dxa"/>
          </w:tcPr>
          <w:p w14:paraId="4A1E237F" w14:textId="77278E5B" w:rsidR="002C0FD9" w:rsidRPr="00CA25CF" w:rsidRDefault="002C0FD9" w:rsidP="00CA25CF">
            <w:pPr>
              <w:rPr>
                <w:rFonts w:cs="Arial"/>
                <w:color w:val="FF0000"/>
                <w:sz w:val="21"/>
                <w:szCs w:val="21"/>
              </w:rPr>
            </w:pPr>
          </w:p>
        </w:tc>
        <w:tc>
          <w:tcPr>
            <w:tcW w:w="217" w:type="dxa"/>
          </w:tcPr>
          <w:p w14:paraId="0144A2CC" w14:textId="77777777" w:rsidR="002C0FD9" w:rsidRPr="00CA25CF" w:rsidRDefault="002C0FD9" w:rsidP="00CA25CF">
            <w:pPr>
              <w:rPr>
                <w:rFonts w:cs="Arial"/>
                <w:color w:val="FF0000"/>
                <w:sz w:val="21"/>
                <w:szCs w:val="21"/>
              </w:rPr>
            </w:pPr>
          </w:p>
        </w:tc>
        <w:tc>
          <w:tcPr>
            <w:tcW w:w="217" w:type="dxa"/>
          </w:tcPr>
          <w:p w14:paraId="41260F8D" w14:textId="77777777" w:rsidR="002C0FD9" w:rsidRPr="00CA25CF" w:rsidRDefault="002C0FD9" w:rsidP="00CA25CF">
            <w:pPr>
              <w:rPr>
                <w:rFonts w:cs="Arial"/>
                <w:color w:val="FF0000"/>
                <w:sz w:val="21"/>
                <w:szCs w:val="21"/>
              </w:rPr>
            </w:pPr>
          </w:p>
        </w:tc>
        <w:tc>
          <w:tcPr>
            <w:tcW w:w="217" w:type="dxa"/>
          </w:tcPr>
          <w:p w14:paraId="6C2F6AD7" w14:textId="77777777" w:rsidR="002C0FD9" w:rsidRPr="00CA25CF" w:rsidRDefault="002C0FD9" w:rsidP="00CA25CF">
            <w:pPr>
              <w:rPr>
                <w:rFonts w:cs="Arial"/>
                <w:color w:val="FF0000"/>
                <w:sz w:val="21"/>
                <w:szCs w:val="21"/>
              </w:rPr>
            </w:pPr>
          </w:p>
        </w:tc>
        <w:tc>
          <w:tcPr>
            <w:tcW w:w="217" w:type="dxa"/>
          </w:tcPr>
          <w:p w14:paraId="72229E82" w14:textId="77777777" w:rsidR="002C0FD9" w:rsidRPr="00CA25CF" w:rsidRDefault="002C0FD9" w:rsidP="00CA25CF">
            <w:pPr>
              <w:rPr>
                <w:rFonts w:cs="Arial"/>
                <w:color w:val="FF0000"/>
                <w:sz w:val="21"/>
                <w:szCs w:val="21"/>
              </w:rPr>
            </w:pPr>
          </w:p>
        </w:tc>
        <w:tc>
          <w:tcPr>
            <w:tcW w:w="217" w:type="dxa"/>
          </w:tcPr>
          <w:p w14:paraId="3527CA5A" w14:textId="77777777" w:rsidR="002C0FD9" w:rsidRPr="00CA25CF" w:rsidRDefault="002C0FD9" w:rsidP="00CA25CF">
            <w:pPr>
              <w:rPr>
                <w:rFonts w:cs="Arial"/>
                <w:color w:val="FF0000"/>
                <w:sz w:val="21"/>
                <w:szCs w:val="21"/>
              </w:rPr>
            </w:pPr>
          </w:p>
        </w:tc>
        <w:tc>
          <w:tcPr>
            <w:tcW w:w="217" w:type="dxa"/>
          </w:tcPr>
          <w:p w14:paraId="66EAD473" w14:textId="77777777" w:rsidR="002C0FD9" w:rsidRPr="00CA25CF" w:rsidRDefault="002C0FD9" w:rsidP="00CA25CF">
            <w:pPr>
              <w:rPr>
                <w:rFonts w:cs="Arial"/>
                <w:color w:val="FF0000"/>
                <w:sz w:val="21"/>
                <w:szCs w:val="21"/>
              </w:rPr>
            </w:pPr>
          </w:p>
        </w:tc>
        <w:tc>
          <w:tcPr>
            <w:tcW w:w="217" w:type="dxa"/>
          </w:tcPr>
          <w:p w14:paraId="59E529BA" w14:textId="77777777" w:rsidR="002C0FD9" w:rsidRPr="00CA25CF" w:rsidRDefault="002C0FD9" w:rsidP="00CA25CF">
            <w:pPr>
              <w:rPr>
                <w:rFonts w:cs="Arial"/>
                <w:color w:val="FF0000"/>
                <w:sz w:val="21"/>
                <w:szCs w:val="21"/>
              </w:rPr>
            </w:pPr>
          </w:p>
        </w:tc>
        <w:tc>
          <w:tcPr>
            <w:tcW w:w="217" w:type="dxa"/>
          </w:tcPr>
          <w:p w14:paraId="477E9844" w14:textId="77777777" w:rsidR="002C0FD9" w:rsidRPr="00CA25CF" w:rsidRDefault="002C0FD9" w:rsidP="00CA25CF">
            <w:pPr>
              <w:rPr>
                <w:rFonts w:cs="Arial"/>
                <w:color w:val="FF0000"/>
                <w:sz w:val="21"/>
                <w:szCs w:val="21"/>
              </w:rPr>
            </w:pPr>
          </w:p>
        </w:tc>
        <w:tc>
          <w:tcPr>
            <w:tcW w:w="217" w:type="dxa"/>
          </w:tcPr>
          <w:p w14:paraId="5EA43E6B" w14:textId="77777777" w:rsidR="002C0FD9" w:rsidRPr="00CA25CF" w:rsidRDefault="002C0FD9" w:rsidP="00CA25CF">
            <w:pPr>
              <w:rPr>
                <w:rFonts w:cs="Arial"/>
                <w:color w:val="FF0000"/>
                <w:sz w:val="21"/>
                <w:szCs w:val="21"/>
              </w:rPr>
            </w:pPr>
          </w:p>
        </w:tc>
        <w:tc>
          <w:tcPr>
            <w:tcW w:w="217" w:type="dxa"/>
          </w:tcPr>
          <w:p w14:paraId="5DFB8748" w14:textId="77777777" w:rsidR="002C0FD9" w:rsidRPr="00CA25CF" w:rsidRDefault="002C0FD9" w:rsidP="00CA25CF">
            <w:pPr>
              <w:rPr>
                <w:rFonts w:cs="Arial"/>
                <w:color w:val="FF0000"/>
                <w:sz w:val="21"/>
                <w:szCs w:val="21"/>
              </w:rPr>
            </w:pPr>
          </w:p>
        </w:tc>
        <w:tc>
          <w:tcPr>
            <w:tcW w:w="217" w:type="dxa"/>
          </w:tcPr>
          <w:p w14:paraId="1581AB07" w14:textId="77777777" w:rsidR="002C0FD9" w:rsidRPr="00CA25CF" w:rsidRDefault="002C0FD9" w:rsidP="00CA25CF">
            <w:pPr>
              <w:rPr>
                <w:rFonts w:cs="Arial"/>
                <w:color w:val="FF0000"/>
                <w:sz w:val="21"/>
                <w:szCs w:val="21"/>
              </w:rPr>
            </w:pPr>
          </w:p>
        </w:tc>
        <w:tc>
          <w:tcPr>
            <w:tcW w:w="217" w:type="dxa"/>
          </w:tcPr>
          <w:p w14:paraId="2A8AE52A" w14:textId="77777777" w:rsidR="002C0FD9" w:rsidRPr="00CA25CF" w:rsidRDefault="002C0FD9" w:rsidP="00CA25CF">
            <w:pPr>
              <w:rPr>
                <w:rFonts w:cs="Arial"/>
                <w:color w:val="FF0000"/>
                <w:sz w:val="21"/>
                <w:szCs w:val="21"/>
              </w:rPr>
            </w:pPr>
          </w:p>
        </w:tc>
        <w:tc>
          <w:tcPr>
            <w:tcW w:w="217" w:type="dxa"/>
          </w:tcPr>
          <w:p w14:paraId="1637B23A" w14:textId="14FA71C2" w:rsidR="002C0FD9" w:rsidRPr="00CA25CF" w:rsidRDefault="002C0FD9" w:rsidP="00CA25CF">
            <w:pPr>
              <w:rPr>
                <w:rFonts w:cs="Arial"/>
                <w:color w:val="FF0000"/>
                <w:sz w:val="21"/>
                <w:szCs w:val="21"/>
              </w:rPr>
            </w:pPr>
          </w:p>
        </w:tc>
        <w:tc>
          <w:tcPr>
            <w:tcW w:w="217" w:type="dxa"/>
          </w:tcPr>
          <w:p w14:paraId="71BD0E8B" w14:textId="77777777" w:rsidR="002C0FD9" w:rsidRPr="00CA25CF" w:rsidRDefault="002C0FD9" w:rsidP="00CA25CF">
            <w:pPr>
              <w:rPr>
                <w:rFonts w:cs="Arial"/>
                <w:color w:val="FF0000"/>
                <w:sz w:val="21"/>
                <w:szCs w:val="21"/>
              </w:rPr>
            </w:pPr>
          </w:p>
        </w:tc>
        <w:tc>
          <w:tcPr>
            <w:tcW w:w="217" w:type="dxa"/>
          </w:tcPr>
          <w:p w14:paraId="7CE3E287" w14:textId="77777777" w:rsidR="002C0FD9" w:rsidRPr="00CA25CF" w:rsidRDefault="002C0FD9" w:rsidP="00CA25CF">
            <w:pPr>
              <w:rPr>
                <w:rFonts w:cs="Arial"/>
                <w:color w:val="FF0000"/>
                <w:sz w:val="21"/>
                <w:szCs w:val="21"/>
              </w:rPr>
            </w:pPr>
          </w:p>
        </w:tc>
        <w:tc>
          <w:tcPr>
            <w:tcW w:w="217" w:type="dxa"/>
          </w:tcPr>
          <w:p w14:paraId="4D7654CC" w14:textId="77777777" w:rsidR="002C0FD9" w:rsidRPr="00CA25CF" w:rsidRDefault="002C0FD9" w:rsidP="00CA25CF">
            <w:pPr>
              <w:rPr>
                <w:rFonts w:cs="Arial"/>
                <w:color w:val="FF0000"/>
                <w:sz w:val="21"/>
                <w:szCs w:val="21"/>
              </w:rPr>
            </w:pPr>
          </w:p>
        </w:tc>
        <w:tc>
          <w:tcPr>
            <w:tcW w:w="217" w:type="dxa"/>
          </w:tcPr>
          <w:p w14:paraId="4F9FE469" w14:textId="77777777" w:rsidR="002C0FD9" w:rsidRPr="00CA25CF" w:rsidRDefault="002C0FD9" w:rsidP="00CA25CF">
            <w:pPr>
              <w:rPr>
                <w:rFonts w:cs="Arial"/>
                <w:color w:val="FF0000"/>
                <w:sz w:val="21"/>
                <w:szCs w:val="21"/>
              </w:rPr>
            </w:pPr>
          </w:p>
        </w:tc>
        <w:tc>
          <w:tcPr>
            <w:tcW w:w="217" w:type="dxa"/>
          </w:tcPr>
          <w:p w14:paraId="440A62DE" w14:textId="77777777" w:rsidR="002C0FD9" w:rsidRPr="00CA25CF" w:rsidRDefault="002C0FD9" w:rsidP="00CA25CF">
            <w:pPr>
              <w:rPr>
                <w:rFonts w:cs="Arial"/>
                <w:color w:val="FF0000"/>
                <w:sz w:val="21"/>
                <w:szCs w:val="21"/>
              </w:rPr>
            </w:pPr>
          </w:p>
        </w:tc>
        <w:tc>
          <w:tcPr>
            <w:tcW w:w="217" w:type="dxa"/>
          </w:tcPr>
          <w:p w14:paraId="5D7FA681" w14:textId="77777777" w:rsidR="002C0FD9" w:rsidRPr="00CA25CF" w:rsidRDefault="002C0FD9" w:rsidP="00CA25CF">
            <w:pPr>
              <w:rPr>
                <w:rFonts w:cs="Arial"/>
                <w:color w:val="FF0000"/>
                <w:sz w:val="21"/>
                <w:szCs w:val="21"/>
              </w:rPr>
            </w:pPr>
          </w:p>
        </w:tc>
        <w:tc>
          <w:tcPr>
            <w:tcW w:w="217" w:type="dxa"/>
          </w:tcPr>
          <w:p w14:paraId="7D4A6479" w14:textId="77777777" w:rsidR="002C0FD9" w:rsidRPr="00CA25CF" w:rsidRDefault="002C0FD9" w:rsidP="00CA25CF">
            <w:pPr>
              <w:rPr>
                <w:rFonts w:cs="Arial"/>
                <w:color w:val="FF0000"/>
                <w:sz w:val="21"/>
                <w:szCs w:val="21"/>
              </w:rPr>
            </w:pPr>
          </w:p>
        </w:tc>
        <w:tc>
          <w:tcPr>
            <w:tcW w:w="217" w:type="dxa"/>
          </w:tcPr>
          <w:p w14:paraId="29FD6920" w14:textId="77777777" w:rsidR="002C0FD9" w:rsidRPr="00CA25CF" w:rsidRDefault="002C0FD9" w:rsidP="00CA25CF">
            <w:pPr>
              <w:rPr>
                <w:rFonts w:cs="Arial"/>
                <w:color w:val="FF0000"/>
                <w:sz w:val="21"/>
                <w:szCs w:val="21"/>
              </w:rPr>
            </w:pPr>
          </w:p>
        </w:tc>
        <w:tc>
          <w:tcPr>
            <w:tcW w:w="217" w:type="dxa"/>
          </w:tcPr>
          <w:p w14:paraId="79B6AB24" w14:textId="77777777" w:rsidR="002C0FD9" w:rsidRPr="00CA25CF" w:rsidRDefault="002C0FD9" w:rsidP="00CA25CF">
            <w:pPr>
              <w:rPr>
                <w:rFonts w:cs="Arial"/>
                <w:color w:val="FF0000"/>
                <w:sz w:val="21"/>
                <w:szCs w:val="21"/>
              </w:rPr>
            </w:pPr>
          </w:p>
        </w:tc>
        <w:tc>
          <w:tcPr>
            <w:tcW w:w="217" w:type="dxa"/>
          </w:tcPr>
          <w:p w14:paraId="6FD07EF5" w14:textId="77777777" w:rsidR="002C0FD9" w:rsidRPr="00CA25CF" w:rsidRDefault="002C0FD9" w:rsidP="00CA25CF">
            <w:pPr>
              <w:rPr>
                <w:rFonts w:cs="Arial"/>
                <w:color w:val="FF0000"/>
                <w:sz w:val="21"/>
                <w:szCs w:val="21"/>
              </w:rPr>
            </w:pPr>
          </w:p>
        </w:tc>
        <w:tc>
          <w:tcPr>
            <w:tcW w:w="217" w:type="dxa"/>
          </w:tcPr>
          <w:p w14:paraId="2CA37903" w14:textId="77777777" w:rsidR="002C0FD9" w:rsidRPr="00CA25CF" w:rsidRDefault="002C0FD9" w:rsidP="00CA25CF">
            <w:pPr>
              <w:rPr>
                <w:rFonts w:cs="Arial"/>
                <w:color w:val="FF0000"/>
                <w:sz w:val="21"/>
                <w:szCs w:val="21"/>
              </w:rPr>
            </w:pPr>
          </w:p>
        </w:tc>
        <w:tc>
          <w:tcPr>
            <w:tcW w:w="217" w:type="dxa"/>
          </w:tcPr>
          <w:p w14:paraId="1666333F" w14:textId="77777777" w:rsidR="002C0FD9" w:rsidRPr="00CA25CF" w:rsidRDefault="002C0FD9" w:rsidP="00CA25CF">
            <w:pPr>
              <w:rPr>
                <w:rFonts w:cs="Arial"/>
                <w:color w:val="FF0000"/>
                <w:sz w:val="21"/>
                <w:szCs w:val="21"/>
              </w:rPr>
            </w:pPr>
          </w:p>
        </w:tc>
        <w:tc>
          <w:tcPr>
            <w:tcW w:w="217" w:type="dxa"/>
          </w:tcPr>
          <w:p w14:paraId="69C8B27A" w14:textId="77777777" w:rsidR="002C0FD9" w:rsidRPr="00CA25CF" w:rsidRDefault="002C0FD9" w:rsidP="00CA25CF">
            <w:pPr>
              <w:rPr>
                <w:rFonts w:cs="Arial"/>
                <w:color w:val="FF0000"/>
                <w:sz w:val="21"/>
                <w:szCs w:val="21"/>
              </w:rPr>
            </w:pPr>
          </w:p>
        </w:tc>
        <w:tc>
          <w:tcPr>
            <w:tcW w:w="217" w:type="dxa"/>
          </w:tcPr>
          <w:p w14:paraId="5373F42C" w14:textId="77777777" w:rsidR="002C0FD9" w:rsidRPr="00CA25CF" w:rsidRDefault="002C0FD9" w:rsidP="00CA25CF">
            <w:pPr>
              <w:rPr>
                <w:rFonts w:cs="Arial"/>
                <w:color w:val="FF0000"/>
                <w:sz w:val="21"/>
                <w:szCs w:val="21"/>
              </w:rPr>
            </w:pPr>
          </w:p>
        </w:tc>
        <w:tc>
          <w:tcPr>
            <w:tcW w:w="217" w:type="dxa"/>
          </w:tcPr>
          <w:p w14:paraId="226B0D82" w14:textId="77777777" w:rsidR="002C0FD9" w:rsidRPr="00CA25CF" w:rsidRDefault="002C0FD9" w:rsidP="00CA25CF">
            <w:pPr>
              <w:rPr>
                <w:rFonts w:cs="Arial"/>
                <w:color w:val="FF0000"/>
                <w:sz w:val="21"/>
                <w:szCs w:val="21"/>
              </w:rPr>
            </w:pPr>
          </w:p>
        </w:tc>
        <w:tc>
          <w:tcPr>
            <w:tcW w:w="217" w:type="dxa"/>
          </w:tcPr>
          <w:p w14:paraId="7FF1FFAD" w14:textId="77777777" w:rsidR="002C0FD9" w:rsidRPr="00CA25CF" w:rsidRDefault="002C0FD9" w:rsidP="00CA25CF">
            <w:pPr>
              <w:rPr>
                <w:rFonts w:cs="Arial"/>
                <w:color w:val="FF0000"/>
                <w:sz w:val="21"/>
                <w:szCs w:val="21"/>
              </w:rPr>
            </w:pPr>
          </w:p>
        </w:tc>
        <w:tc>
          <w:tcPr>
            <w:tcW w:w="217" w:type="dxa"/>
          </w:tcPr>
          <w:p w14:paraId="01EA8CAF" w14:textId="77777777" w:rsidR="002C0FD9" w:rsidRPr="00CA25CF" w:rsidRDefault="002C0FD9" w:rsidP="00CA25CF">
            <w:pPr>
              <w:rPr>
                <w:rFonts w:cs="Arial"/>
                <w:color w:val="FF0000"/>
                <w:sz w:val="21"/>
                <w:szCs w:val="21"/>
              </w:rPr>
            </w:pPr>
          </w:p>
        </w:tc>
        <w:tc>
          <w:tcPr>
            <w:tcW w:w="217" w:type="dxa"/>
          </w:tcPr>
          <w:p w14:paraId="1E23BA37" w14:textId="77777777" w:rsidR="002C0FD9" w:rsidRPr="00CA25CF" w:rsidRDefault="002C0FD9" w:rsidP="00CA25CF">
            <w:pPr>
              <w:rPr>
                <w:rFonts w:cs="Arial"/>
                <w:color w:val="FF0000"/>
                <w:sz w:val="21"/>
                <w:szCs w:val="21"/>
              </w:rPr>
            </w:pPr>
          </w:p>
        </w:tc>
        <w:tc>
          <w:tcPr>
            <w:tcW w:w="217" w:type="dxa"/>
          </w:tcPr>
          <w:p w14:paraId="5BABA301" w14:textId="77777777" w:rsidR="002C0FD9" w:rsidRPr="00CA25CF" w:rsidRDefault="002C0FD9" w:rsidP="00CA25CF">
            <w:pPr>
              <w:rPr>
                <w:rFonts w:cs="Arial"/>
                <w:color w:val="FF0000"/>
                <w:sz w:val="21"/>
                <w:szCs w:val="21"/>
              </w:rPr>
            </w:pPr>
          </w:p>
        </w:tc>
        <w:tc>
          <w:tcPr>
            <w:tcW w:w="217" w:type="dxa"/>
          </w:tcPr>
          <w:p w14:paraId="629931BB" w14:textId="77777777" w:rsidR="002C0FD9" w:rsidRPr="00CA25CF" w:rsidRDefault="002C0FD9" w:rsidP="00CA25CF">
            <w:pPr>
              <w:rPr>
                <w:rFonts w:cs="Arial"/>
                <w:color w:val="FF0000"/>
                <w:sz w:val="21"/>
                <w:szCs w:val="21"/>
              </w:rPr>
            </w:pPr>
          </w:p>
        </w:tc>
        <w:tc>
          <w:tcPr>
            <w:tcW w:w="217" w:type="dxa"/>
          </w:tcPr>
          <w:p w14:paraId="2A15C101" w14:textId="77777777" w:rsidR="002C0FD9" w:rsidRPr="00CA25CF" w:rsidRDefault="002C0FD9" w:rsidP="00CA25CF">
            <w:pPr>
              <w:rPr>
                <w:rFonts w:cs="Arial"/>
                <w:color w:val="FF0000"/>
                <w:sz w:val="21"/>
                <w:szCs w:val="21"/>
              </w:rPr>
            </w:pPr>
          </w:p>
        </w:tc>
        <w:tc>
          <w:tcPr>
            <w:tcW w:w="217" w:type="dxa"/>
          </w:tcPr>
          <w:p w14:paraId="1F9A16B0" w14:textId="77777777" w:rsidR="002C0FD9" w:rsidRPr="00CA25CF" w:rsidRDefault="002C0FD9" w:rsidP="00CA25CF">
            <w:pPr>
              <w:rPr>
                <w:rFonts w:cs="Arial"/>
                <w:color w:val="FF0000"/>
                <w:sz w:val="21"/>
                <w:szCs w:val="21"/>
              </w:rPr>
            </w:pPr>
          </w:p>
        </w:tc>
        <w:tc>
          <w:tcPr>
            <w:tcW w:w="217" w:type="dxa"/>
          </w:tcPr>
          <w:p w14:paraId="756510D0" w14:textId="77777777" w:rsidR="002C0FD9" w:rsidRPr="00CA25CF" w:rsidRDefault="002C0FD9" w:rsidP="00CA25CF">
            <w:pPr>
              <w:rPr>
                <w:rFonts w:cs="Arial"/>
                <w:color w:val="FF0000"/>
                <w:sz w:val="21"/>
                <w:szCs w:val="21"/>
              </w:rPr>
            </w:pPr>
          </w:p>
        </w:tc>
        <w:tc>
          <w:tcPr>
            <w:tcW w:w="217" w:type="dxa"/>
          </w:tcPr>
          <w:p w14:paraId="4142E237" w14:textId="77777777" w:rsidR="002C0FD9" w:rsidRPr="00CA25CF" w:rsidRDefault="002C0FD9" w:rsidP="00CA25CF">
            <w:pPr>
              <w:rPr>
                <w:rFonts w:cs="Arial"/>
                <w:color w:val="FF0000"/>
                <w:sz w:val="21"/>
                <w:szCs w:val="21"/>
              </w:rPr>
            </w:pPr>
          </w:p>
        </w:tc>
        <w:tc>
          <w:tcPr>
            <w:tcW w:w="217" w:type="dxa"/>
          </w:tcPr>
          <w:p w14:paraId="3DED2BFA" w14:textId="77777777" w:rsidR="002C0FD9" w:rsidRPr="00CA25CF" w:rsidRDefault="002C0FD9" w:rsidP="00CA25CF">
            <w:pPr>
              <w:rPr>
                <w:rFonts w:cs="Arial"/>
                <w:color w:val="FF0000"/>
                <w:sz w:val="21"/>
                <w:szCs w:val="21"/>
              </w:rPr>
            </w:pPr>
          </w:p>
        </w:tc>
        <w:tc>
          <w:tcPr>
            <w:tcW w:w="217" w:type="dxa"/>
          </w:tcPr>
          <w:p w14:paraId="4EBCE10C" w14:textId="77777777" w:rsidR="002C0FD9" w:rsidRPr="00CA25CF" w:rsidRDefault="002C0FD9" w:rsidP="00CA25CF">
            <w:pPr>
              <w:rPr>
                <w:rFonts w:cs="Arial"/>
                <w:color w:val="FF0000"/>
                <w:sz w:val="21"/>
                <w:szCs w:val="21"/>
              </w:rPr>
            </w:pPr>
          </w:p>
        </w:tc>
        <w:tc>
          <w:tcPr>
            <w:tcW w:w="217" w:type="dxa"/>
          </w:tcPr>
          <w:p w14:paraId="3F127149" w14:textId="77777777" w:rsidR="002C0FD9" w:rsidRPr="00CA25CF" w:rsidRDefault="002C0FD9" w:rsidP="00CA25CF">
            <w:pPr>
              <w:rPr>
                <w:rFonts w:cs="Arial"/>
                <w:color w:val="FF0000"/>
                <w:sz w:val="21"/>
                <w:szCs w:val="21"/>
              </w:rPr>
            </w:pPr>
          </w:p>
        </w:tc>
      </w:tr>
      <w:tr w:rsidR="002C0FD9" w:rsidRPr="00A16219" w14:paraId="04959AC3" w14:textId="021CE9B8" w:rsidTr="002C0FD9">
        <w:trPr>
          <w:trHeight w:val="635"/>
        </w:trPr>
        <w:tc>
          <w:tcPr>
            <w:tcW w:w="515" w:type="dxa"/>
          </w:tcPr>
          <w:p w14:paraId="2DF03BCA" w14:textId="77777777" w:rsidR="002C0FD9" w:rsidRPr="00CA25CF" w:rsidRDefault="002C0FD9" w:rsidP="00CA25CF">
            <w:pPr>
              <w:rPr>
                <w:rFonts w:cs="Arial"/>
                <w:color w:val="FF0000"/>
                <w:sz w:val="21"/>
                <w:szCs w:val="21"/>
              </w:rPr>
            </w:pPr>
          </w:p>
        </w:tc>
        <w:tc>
          <w:tcPr>
            <w:tcW w:w="217" w:type="dxa"/>
          </w:tcPr>
          <w:p w14:paraId="638CD14E" w14:textId="77777777" w:rsidR="002C0FD9" w:rsidRPr="00CA25CF" w:rsidRDefault="002C0FD9" w:rsidP="00CA25CF">
            <w:pPr>
              <w:rPr>
                <w:rFonts w:cs="Arial"/>
                <w:color w:val="FF0000"/>
                <w:sz w:val="21"/>
                <w:szCs w:val="21"/>
              </w:rPr>
            </w:pPr>
          </w:p>
        </w:tc>
        <w:tc>
          <w:tcPr>
            <w:tcW w:w="217" w:type="dxa"/>
          </w:tcPr>
          <w:p w14:paraId="74327E2F" w14:textId="74D67D2B" w:rsidR="002C0FD9" w:rsidRPr="00CA25CF" w:rsidRDefault="002C0FD9" w:rsidP="00CA25CF">
            <w:pPr>
              <w:rPr>
                <w:rFonts w:cs="Arial"/>
                <w:color w:val="FF0000"/>
                <w:sz w:val="21"/>
                <w:szCs w:val="21"/>
              </w:rPr>
            </w:pPr>
          </w:p>
        </w:tc>
        <w:tc>
          <w:tcPr>
            <w:tcW w:w="217" w:type="dxa"/>
          </w:tcPr>
          <w:p w14:paraId="501FCE0E" w14:textId="77777777" w:rsidR="002C0FD9" w:rsidRPr="00CA25CF" w:rsidRDefault="002C0FD9" w:rsidP="00CA25CF">
            <w:pPr>
              <w:rPr>
                <w:rFonts w:cs="Arial"/>
                <w:color w:val="FF0000"/>
                <w:sz w:val="21"/>
                <w:szCs w:val="21"/>
              </w:rPr>
            </w:pPr>
          </w:p>
        </w:tc>
        <w:tc>
          <w:tcPr>
            <w:tcW w:w="217" w:type="dxa"/>
          </w:tcPr>
          <w:p w14:paraId="6F30C806" w14:textId="77777777" w:rsidR="002C0FD9" w:rsidRPr="00CA25CF" w:rsidRDefault="002C0FD9" w:rsidP="00CA25CF">
            <w:pPr>
              <w:rPr>
                <w:rFonts w:cs="Arial"/>
                <w:color w:val="FF0000"/>
                <w:sz w:val="21"/>
                <w:szCs w:val="21"/>
              </w:rPr>
            </w:pPr>
          </w:p>
        </w:tc>
        <w:tc>
          <w:tcPr>
            <w:tcW w:w="217" w:type="dxa"/>
          </w:tcPr>
          <w:p w14:paraId="3D767F52" w14:textId="77777777" w:rsidR="002C0FD9" w:rsidRPr="00CA25CF" w:rsidRDefault="002C0FD9" w:rsidP="00CA25CF">
            <w:pPr>
              <w:rPr>
                <w:rFonts w:cs="Arial"/>
                <w:color w:val="FF0000"/>
                <w:sz w:val="21"/>
                <w:szCs w:val="21"/>
              </w:rPr>
            </w:pPr>
          </w:p>
        </w:tc>
        <w:tc>
          <w:tcPr>
            <w:tcW w:w="217" w:type="dxa"/>
          </w:tcPr>
          <w:p w14:paraId="05FF5146" w14:textId="77777777" w:rsidR="002C0FD9" w:rsidRPr="00CA25CF" w:rsidRDefault="002C0FD9" w:rsidP="00CA25CF">
            <w:pPr>
              <w:rPr>
                <w:rFonts w:cs="Arial"/>
                <w:color w:val="FF0000"/>
                <w:sz w:val="21"/>
                <w:szCs w:val="21"/>
              </w:rPr>
            </w:pPr>
          </w:p>
        </w:tc>
        <w:tc>
          <w:tcPr>
            <w:tcW w:w="217" w:type="dxa"/>
          </w:tcPr>
          <w:p w14:paraId="2EDD8DCC" w14:textId="77777777" w:rsidR="002C0FD9" w:rsidRPr="00CA25CF" w:rsidRDefault="002C0FD9" w:rsidP="00CA25CF">
            <w:pPr>
              <w:rPr>
                <w:rFonts w:cs="Arial"/>
                <w:color w:val="FF0000"/>
                <w:sz w:val="21"/>
                <w:szCs w:val="21"/>
              </w:rPr>
            </w:pPr>
          </w:p>
        </w:tc>
        <w:tc>
          <w:tcPr>
            <w:tcW w:w="217" w:type="dxa"/>
          </w:tcPr>
          <w:p w14:paraId="3614610A" w14:textId="77777777" w:rsidR="002C0FD9" w:rsidRPr="00CA25CF" w:rsidRDefault="002C0FD9" w:rsidP="00CA25CF">
            <w:pPr>
              <w:rPr>
                <w:rFonts w:cs="Arial"/>
                <w:color w:val="FF0000"/>
                <w:sz w:val="21"/>
                <w:szCs w:val="21"/>
              </w:rPr>
            </w:pPr>
          </w:p>
        </w:tc>
        <w:tc>
          <w:tcPr>
            <w:tcW w:w="217" w:type="dxa"/>
          </w:tcPr>
          <w:p w14:paraId="46DB86F6" w14:textId="77777777" w:rsidR="002C0FD9" w:rsidRPr="00CA25CF" w:rsidRDefault="002C0FD9" w:rsidP="00CA25CF">
            <w:pPr>
              <w:rPr>
                <w:rFonts w:cs="Arial"/>
                <w:color w:val="FF0000"/>
                <w:sz w:val="21"/>
                <w:szCs w:val="21"/>
              </w:rPr>
            </w:pPr>
          </w:p>
        </w:tc>
        <w:tc>
          <w:tcPr>
            <w:tcW w:w="217" w:type="dxa"/>
          </w:tcPr>
          <w:p w14:paraId="6ED56C66" w14:textId="77777777" w:rsidR="002C0FD9" w:rsidRPr="00CA25CF" w:rsidRDefault="002C0FD9" w:rsidP="00CA25CF">
            <w:pPr>
              <w:rPr>
                <w:rFonts w:cs="Arial"/>
                <w:color w:val="FF0000"/>
                <w:sz w:val="21"/>
                <w:szCs w:val="21"/>
              </w:rPr>
            </w:pPr>
          </w:p>
        </w:tc>
        <w:tc>
          <w:tcPr>
            <w:tcW w:w="217" w:type="dxa"/>
          </w:tcPr>
          <w:p w14:paraId="0CAC6784" w14:textId="77777777" w:rsidR="002C0FD9" w:rsidRPr="00CA25CF" w:rsidRDefault="002C0FD9" w:rsidP="00CA25CF">
            <w:pPr>
              <w:rPr>
                <w:rFonts w:cs="Arial"/>
                <w:color w:val="FF0000"/>
                <w:sz w:val="21"/>
                <w:szCs w:val="21"/>
              </w:rPr>
            </w:pPr>
          </w:p>
        </w:tc>
        <w:tc>
          <w:tcPr>
            <w:tcW w:w="217" w:type="dxa"/>
          </w:tcPr>
          <w:p w14:paraId="4D0BD9FE" w14:textId="77777777" w:rsidR="002C0FD9" w:rsidRPr="00CA25CF" w:rsidRDefault="002C0FD9" w:rsidP="00CA25CF">
            <w:pPr>
              <w:rPr>
                <w:rFonts w:cs="Arial"/>
                <w:color w:val="FF0000"/>
                <w:sz w:val="21"/>
                <w:szCs w:val="21"/>
              </w:rPr>
            </w:pPr>
          </w:p>
        </w:tc>
        <w:tc>
          <w:tcPr>
            <w:tcW w:w="217" w:type="dxa"/>
          </w:tcPr>
          <w:p w14:paraId="5AB6B119" w14:textId="77777777" w:rsidR="002C0FD9" w:rsidRPr="00CA25CF" w:rsidRDefault="002C0FD9" w:rsidP="00CA25CF">
            <w:pPr>
              <w:rPr>
                <w:rFonts w:cs="Arial"/>
                <w:color w:val="FF0000"/>
                <w:sz w:val="21"/>
                <w:szCs w:val="21"/>
              </w:rPr>
            </w:pPr>
          </w:p>
        </w:tc>
        <w:tc>
          <w:tcPr>
            <w:tcW w:w="217" w:type="dxa"/>
          </w:tcPr>
          <w:p w14:paraId="2DB50564" w14:textId="77777777" w:rsidR="002C0FD9" w:rsidRPr="00CA25CF" w:rsidRDefault="002C0FD9" w:rsidP="00CA25CF">
            <w:pPr>
              <w:rPr>
                <w:rFonts w:cs="Arial"/>
                <w:color w:val="FF0000"/>
                <w:sz w:val="21"/>
                <w:szCs w:val="21"/>
              </w:rPr>
            </w:pPr>
          </w:p>
        </w:tc>
        <w:tc>
          <w:tcPr>
            <w:tcW w:w="217" w:type="dxa"/>
          </w:tcPr>
          <w:p w14:paraId="282A4F31" w14:textId="44B02F53" w:rsidR="002C0FD9" w:rsidRPr="00CA25CF" w:rsidRDefault="002C0FD9" w:rsidP="00CA25CF">
            <w:pPr>
              <w:rPr>
                <w:rFonts w:cs="Arial"/>
                <w:color w:val="FF0000"/>
                <w:sz w:val="21"/>
                <w:szCs w:val="21"/>
              </w:rPr>
            </w:pPr>
          </w:p>
        </w:tc>
        <w:tc>
          <w:tcPr>
            <w:tcW w:w="217" w:type="dxa"/>
          </w:tcPr>
          <w:p w14:paraId="7A2CD32E" w14:textId="77777777" w:rsidR="002C0FD9" w:rsidRPr="00CA25CF" w:rsidRDefault="002C0FD9" w:rsidP="00CA25CF">
            <w:pPr>
              <w:rPr>
                <w:rFonts w:cs="Arial"/>
                <w:color w:val="FF0000"/>
                <w:sz w:val="21"/>
                <w:szCs w:val="21"/>
              </w:rPr>
            </w:pPr>
          </w:p>
        </w:tc>
        <w:tc>
          <w:tcPr>
            <w:tcW w:w="217" w:type="dxa"/>
          </w:tcPr>
          <w:p w14:paraId="24AE7763" w14:textId="77777777" w:rsidR="002C0FD9" w:rsidRPr="00CA25CF" w:rsidRDefault="002C0FD9" w:rsidP="00CA25CF">
            <w:pPr>
              <w:rPr>
                <w:rFonts w:cs="Arial"/>
                <w:color w:val="FF0000"/>
                <w:sz w:val="21"/>
                <w:szCs w:val="21"/>
              </w:rPr>
            </w:pPr>
          </w:p>
        </w:tc>
        <w:tc>
          <w:tcPr>
            <w:tcW w:w="217" w:type="dxa"/>
          </w:tcPr>
          <w:p w14:paraId="5426C530" w14:textId="77777777" w:rsidR="002C0FD9" w:rsidRPr="00CA25CF" w:rsidRDefault="002C0FD9" w:rsidP="00CA25CF">
            <w:pPr>
              <w:rPr>
                <w:rFonts w:cs="Arial"/>
                <w:color w:val="FF0000"/>
                <w:sz w:val="21"/>
                <w:szCs w:val="21"/>
              </w:rPr>
            </w:pPr>
          </w:p>
        </w:tc>
        <w:tc>
          <w:tcPr>
            <w:tcW w:w="217" w:type="dxa"/>
          </w:tcPr>
          <w:p w14:paraId="6E67B36D" w14:textId="77777777" w:rsidR="002C0FD9" w:rsidRPr="00CA25CF" w:rsidRDefault="002C0FD9" w:rsidP="00CA25CF">
            <w:pPr>
              <w:rPr>
                <w:rFonts w:cs="Arial"/>
                <w:color w:val="FF0000"/>
                <w:sz w:val="21"/>
                <w:szCs w:val="21"/>
              </w:rPr>
            </w:pPr>
          </w:p>
        </w:tc>
        <w:tc>
          <w:tcPr>
            <w:tcW w:w="217" w:type="dxa"/>
          </w:tcPr>
          <w:p w14:paraId="1B5B5981" w14:textId="77777777" w:rsidR="002C0FD9" w:rsidRPr="00CA25CF" w:rsidRDefault="002C0FD9" w:rsidP="00CA25CF">
            <w:pPr>
              <w:rPr>
                <w:rFonts w:cs="Arial"/>
                <w:color w:val="FF0000"/>
                <w:sz w:val="21"/>
                <w:szCs w:val="21"/>
              </w:rPr>
            </w:pPr>
          </w:p>
        </w:tc>
        <w:tc>
          <w:tcPr>
            <w:tcW w:w="217" w:type="dxa"/>
          </w:tcPr>
          <w:p w14:paraId="1A857BEA" w14:textId="77777777" w:rsidR="002C0FD9" w:rsidRPr="00CA25CF" w:rsidRDefault="002C0FD9" w:rsidP="00CA25CF">
            <w:pPr>
              <w:rPr>
                <w:rFonts w:cs="Arial"/>
                <w:color w:val="FF0000"/>
                <w:sz w:val="21"/>
                <w:szCs w:val="21"/>
              </w:rPr>
            </w:pPr>
          </w:p>
        </w:tc>
        <w:tc>
          <w:tcPr>
            <w:tcW w:w="217" w:type="dxa"/>
          </w:tcPr>
          <w:p w14:paraId="2A3EF9B5" w14:textId="77777777" w:rsidR="002C0FD9" w:rsidRPr="00CA25CF" w:rsidRDefault="002C0FD9" w:rsidP="00CA25CF">
            <w:pPr>
              <w:rPr>
                <w:rFonts w:cs="Arial"/>
                <w:color w:val="FF0000"/>
                <w:sz w:val="21"/>
                <w:szCs w:val="21"/>
              </w:rPr>
            </w:pPr>
          </w:p>
        </w:tc>
        <w:tc>
          <w:tcPr>
            <w:tcW w:w="217" w:type="dxa"/>
          </w:tcPr>
          <w:p w14:paraId="4CFE61A2" w14:textId="77777777" w:rsidR="002C0FD9" w:rsidRPr="00CA25CF" w:rsidRDefault="002C0FD9" w:rsidP="00CA25CF">
            <w:pPr>
              <w:rPr>
                <w:rFonts w:cs="Arial"/>
                <w:color w:val="FF0000"/>
                <w:sz w:val="21"/>
                <w:szCs w:val="21"/>
              </w:rPr>
            </w:pPr>
          </w:p>
        </w:tc>
        <w:tc>
          <w:tcPr>
            <w:tcW w:w="217" w:type="dxa"/>
          </w:tcPr>
          <w:p w14:paraId="55F45C44" w14:textId="77777777" w:rsidR="002C0FD9" w:rsidRPr="00CA25CF" w:rsidRDefault="002C0FD9" w:rsidP="00CA25CF">
            <w:pPr>
              <w:rPr>
                <w:rFonts w:cs="Arial"/>
                <w:color w:val="FF0000"/>
                <w:sz w:val="21"/>
                <w:szCs w:val="21"/>
              </w:rPr>
            </w:pPr>
          </w:p>
        </w:tc>
        <w:tc>
          <w:tcPr>
            <w:tcW w:w="217" w:type="dxa"/>
          </w:tcPr>
          <w:p w14:paraId="1A84836F" w14:textId="77777777" w:rsidR="002C0FD9" w:rsidRPr="00CA25CF" w:rsidRDefault="002C0FD9" w:rsidP="00CA25CF">
            <w:pPr>
              <w:rPr>
                <w:rFonts w:cs="Arial"/>
                <w:color w:val="FF0000"/>
                <w:sz w:val="21"/>
                <w:szCs w:val="21"/>
              </w:rPr>
            </w:pPr>
          </w:p>
        </w:tc>
        <w:tc>
          <w:tcPr>
            <w:tcW w:w="217" w:type="dxa"/>
          </w:tcPr>
          <w:p w14:paraId="68B2EDEC" w14:textId="77777777" w:rsidR="002C0FD9" w:rsidRPr="00CA25CF" w:rsidRDefault="002C0FD9" w:rsidP="00CA25CF">
            <w:pPr>
              <w:rPr>
                <w:rFonts w:cs="Arial"/>
                <w:color w:val="FF0000"/>
                <w:sz w:val="21"/>
                <w:szCs w:val="21"/>
              </w:rPr>
            </w:pPr>
          </w:p>
        </w:tc>
        <w:tc>
          <w:tcPr>
            <w:tcW w:w="217" w:type="dxa"/>
          </w:tcPr>
          <w:p w14:paraId="335E6435" w14:textId="77777777" w:rsidR="002C0FD9" w:rsidRPr="00CA25CF" w:rsidRDefault="002C0FD9" w:rsidP="00CA25CF">
            <w:pPr>
              <w:rPr>
                <w:rFonts w:cs="Arial"/>
                <w:color w:val="FF0000"/>
                <w:sz w:val="21"/>
                <w:szCs w:val="21"/>
              </w:rPr>
            </w:pPr>
          </w:p>
        </w:tc>
        <w:tc>
          <w:tcPr>
            <w:tcW w:w="217" w:type="dxa"/>
          </w:tcPr>
          <w:p w14:paraId="47370731" w14:textId="77777777" w:rsidR="002C0FD9" w:rsidRPr="00CA25CF" w:rsidRDefault="002C0FD9" w:rsidP="00CA25CF">
            <w:pPr>
              <w:rPr>
                <w:rFonts w:cs="Arial"/>
                <w:color w:val="FF0000"/>
                <w:sz w:val="21"/>
                <w:szCs w:val="21"/>
              </w:rPr>
            </w:pPr>
          </w:p>
        </w:tc>
        <w:tc>
          <w:tcPr>
            <w:tcW w:w="217" w:type="dxa"/>
          </w:tcPr>
          <w:p w14:paraId="251BB6A6" w14:textId="77777777" w:rsidR="002C0FD9" w:rsidRPr="00CA25CF" w:rsidRDefault="002C0FD9" w:rsidP="00CA25CF">
            <w:pPr>
              <w:rPr>
                <w:rFonts w:cs="Arial"/>
                <w:color w:val="FF0000"/>
                <w:sz w:val="21"/>
                <w:szCs w:val="21"/>
              </w:rPr>
            </w:pPr>
          </w:p>
        </w:tc>
        <w:tc>
          <w:tcPr>
            <w:tcW w:w="217" w:type="dxa"/>
          </w:tcPr>
          <w:p w14:paraId="333ABB99" w14:textId="77777777" w:rsidR="002C0FD9" w:rsidRPr="00CA25CF" w:rsidRDefault="002C0FD9" w:rsidP="00CA25CF">
            <w:pPr>
              <w:rPr>
                <w:rFonts w:cs="Arial"/>
                <w:color w:val="FF0000"/>
                <w:sz w:val="21"/>
                <w:szCs w:val="21"/>
              </w:rPr>
            </w:pPr>
          </w:p>
        </w:tc>
        <w:tc>
          <w:tcPr>
            <w:tcW w:w="217" w:type="dxa"/>
          </w:tcPr>
          <w:p w14:paraId="6F3BA662" w14:textId="77777777" w:rsidR="002C0FD9" w:rsidRPr="00CA25CF" w:rsidRDefault="002C0FD9" w:rsidP="00CA25CF">
            <w:pPr>
              <w:rPr>
                <w:rFonts w:cs="Arial"/>
                <w:color w:val="FF0000"/>
                <w:sz w:val="21"/>
                <w:szCs w:val="21"/>
              </w:rPr>
            </w:pPr>
          </w:p>
        </w:tc>
        <w:tc>
          <w:tcPr>
            <w:tcW w:w="217" w:type="dxa"/>
          </w:tcPr>
          <w:p w14:paraId="5E6AFA95" w14:textId="77777777" w:rsidR="002C0FD9" w:rsidRPr="00CA25CF" w:rsidRDefault="002C0FD9" w:rsidP="00CA25CF">
            <w:pPr>
              <w:rPr>
                <w:rFonts w:cs="Arial"/>
                <w:color w:val="FF0000"/>
                <w:sz w:val="21"/>
                <w:szCs w:val="21"/>
              </w:rPr>
            </w:pPr>
          </w:p>
        </w:tc>
        <w:tc>
          <w:tcPr>
            <w:tcW w:w="217" w:type="dxa"/>
          </w:tcPr>
          <w:p w14:paraId="491BFF12" w14:textId="77777777" w:rsidR="002C0FD9" w:rsidRPr="00CA25CF" w:rsidRDefault="002C0FD9" w:rsidP="00CA25CF">
            <w:pPr>
              <w:rPr>
                <w:rFonts w:cs="Arial"/>
                <w:color w:val="FF0000"/>
                <w:sz w:val="21"/>
                <w:szCs w:val="21"/>
              </w:rPr>
            </w:pPr>
          </w:p>
        </w:tc>
        <w:tc>
          <w:tcPr>
            <w:tcW w:w="217" w:type="dxa"/>
          </w:tcPr>
          <w:p w14:paraId="52152051" w14:textId="77777777" w:rsidR="002C0FD9" w:rsidRPr="00CA25CF" w:rsidRDefault="002C0FD9" w:rsidP="00CA25CF">
            <w:pPr>
              <w:rPr>
                <w:rFonts w:cs="Arial"/>
                <w:color w:val="FF0000"/>
                <w:sz w:val="21"/>
                <w:szCs w:val="21"/>
              </w:rPr>
            </w:pPr>
          </w:p>
        </w:tc>
        <w:tc>
          <w:tcPr>
            <w:tcW w:w="217" w:type="dxa"/>
          </w:tcPr>
          <w:p w14:paraId="0F85A7E8" w14:textId="77777777" w:rsidR="002C0FD9" w:rsidRPr="00CA25CF" w:rsidRDefault="002C0FD9" w:rsidP="00CA25CF">
            <w:pPr>
              <w:rPr>
                <w:rFonts w:cs="Arial"/>
                <w:color w:val="FF0000"/>
                <w:sz w:val="21"/>
                <w:szCs w:val="21"/>
              </w:rPr>
            </w:pPr>
          </w:p>
        </w:tc>
        <w:tc>
          <w:tcPr>
            <w:tcW w:w="217" w:type="dxa"/>
          </w:tcPr>
          <w:p w14:paraId="15873903" w14:textId="77777777" w:rsidR="002C0FD9" w:rsidRPr="00CA25CF" w:rsidRDefault="002C0FD9" w:rsidP="00CA25CF">
            <w:pPr>
              <w:rPr>
                <w:rFonts w:cs="Arial"/>
                <w:color w:val="FF0000"/>
                <w:sz w:val="21"/>
                <w:szCs w:val="21"/>
              </w:rPr>
            </w:pPr>
          </w:p>
        </w:tc>
        <w:tc>
          <w:tcPr>
            <w:tcW w:w="217" w:type="dxa"/>
          </w:tcPr>
          <w:p w14:paraId="7FA2F7BC" w14:textId="77777777" w:rsidR="002C0FD9" w:rsidRPr="00CA25CF" w:rsidRDefault="002C0FD9" w:rsidP="00CA25CF">
            <w:pPr>
              <w:rPr>
                <w:rFonts w:cs="Arial"/>
                <w:color w:val="FF0000"/>
                <w:sz w:val="21"/>
                <w:szCs w:val="21"/>
              </w:rPr>
            </w:pPr>
          </w:p>
        </w:tc>
        <w:tc>
          <w:tcPr>
            <w:tcW w:w="217" w:type="dxa"/>
          </w:tcPr>
          <w:p w14:paraId="2A06EAB9" w14:textId="77777777" w:rsidR="002C0FD9" w:rsidRPr="00CA25CF" w:rsidRDefault="002C0FD9" w:rsidP="00CA25CF">
            <w:pPr>
              <w:rPr>
                <w:rFonts w:cs="Arial"/>
                <w:color w:val="FF0000"/>
                <w:sz w:val="21"/>
                <w:szCs w:val="21"/>
              </w:rPr>
            </w:pPr>
          </w:p>
        </w:tc>
        <w:tc>
          <w:tcPr>
            <w:tcW w:w="217" w:type="dxa"/>
          </w:tcPr>
          <w:p w14:paraId="6667859C" w14:textId="77777777" w:rsidR="002C0FD9" w:rsidRPr="00CA25CF" w:rsidRDefault="002C0FD9" w:rsidP="00CA25CF">
            <w:pPr>
              <w:rPr>
                <w:rFonts w:cs="Arial"/>
                <w:color w:val="FF0000"/>
                <w:sz w:val="21"/>
                <w:szCs w:val="21"/>
              </w:rPr>
            </w:pPr>
          </w:p>
        </w:tc>
        <w:tc>
          <w:tcPr>
            <w:tcW w:w="217" w:type="dxa"/>
          </w:tcPr>
          <w:p w14:paraId="2C7D99AD" w14:textId="77777777" w:rsidR="002C0FD9" w:rsidRPr="00CA25CF" w:rsidRDefault="002C0FD9" w:rsidP="00CA25CF">
            <w:pPr>
              <w:rPr>
                <w:rFonts w:cs="Arial"/>
                <w:color w:val="FF0000"/>
                <w:sz w:val="21"/>
                <w:szCs w:val="21"/>
              </w:rPr>
            </w:pPr>
          </w:p>
        </w:tc>
        <w:tc>
          <w:tcPr>
            <w:tcW w:w="217" w:type="dxa"/>
          </w:tcPr>
          <w:p w14:paraId="697D39D1" w14:textId="77777777" w:rsidR="002C0FD9" w:rsidRPr="00CA25CF" w:rsidRDefault="002C0FD9" w:rsidP="00CA25CF">
            <w:pPr>
              <w:rPr>
                <w:rFonts w:cs="Arial"/>
                <w:color w:val="FF0000"/>
                <w:sz w:val="21"/>
                <w:szCs w:val="21"/>
              </w:rPr>
            </w:pPr>
          </w:p>
        </w:tc>
        <w:tc>
          <w:tcPr>
            <w:tcW w:w="217" w:type="dxa"/>
          </w:tcPr>
          <w:p w14:paraId="041FFB12" w14:textId="77777777" w:rsidR="002C0FD9" w:rsidRPr="00CA25CF" w:rsidRDefault="002C0FD9" w:rsidP="00CA25CF">
            <w:pPr>
              <w:rPr>
                <w:rFonts w:cs="Arial"/>
                <w:color w:val="FF0000"/>
                <w:sz w:val="21"/>
                <w:szCs w:val="21"/>
              </w:rPr>
            </w:pPr>
          </w:p>
        </w:tc>
      </w:tr>
      <w:tr w:rsidR="002C0FD9" w:rsidRPr="00A16219" w14:paraId="1E22218B" w14:textId="4993B699" w:rsidTr="002C0FD9">
        <w:trPr>
          <w:trHeight w:val="635"/>
        </w:trPr>
        <w:tc>
          <w:tcPr>
            <w:tcW w:w="515" w:type="dxa"/>
          </w:tcPr>
          <w:p w14:paraId="7A5EE189" w14:textId="77777777" w:rsidR="002C0FD9" w:rsidRPr="00CA25CF" w:rsidRDefault="002C0FD9" w:rsidP="00CA25CF">
            <w:pPr>
              <w:rPr>
                <w:rFonts w:cs="Arial"/>
                <w:color w:val="FF0000"/>
                <w:sz w:val="21"/>
                <w:szCs w:val="21"/>
              </w:rPr>
            </w:pPr>
          </w:p>
        </w:tc>
        <w:tc>
          <w:tcPr>
            <w:tcW w:w="217" w:type="dxa"/>
          </w:tcPr>
          <w:p w14:paraId="54730219" w14:textId="77777777" w:rsidR="002C0FD9" w:rsidRPr="00CA25CF" w:rsidRDefault="002C0FD9" w:rsidP="00CA25CF">
            <w:pPr>
              <w:rPr>
                <w:rFonts w:cs="Arial"/>
                <w:color w:val="FF0000"/>
                <w:sz w:val="21"/>
                <w:szCs w:val="21"/>
              </w:rPr>
            </w:pPr>
          </w:p>
        </w:tc>
        <w:tc>
          <w:tcPr>
            <w:tcW w:w="217" w:type="dxa"/>
          </w:tcPr>
          <w:p w14:paraId="24FF358A" w14:textId="6FEF8FF8" w:rsidR="002C0FD9" w:rsidRPr="00CA25CF" w:rsidRDefault="002C0FD9" w:rsidP="00CA25CF">
            <w:pPr>
              <w:rPr>
                <w:rFonts w:cs="Arial"/>
                <w:color w:val="FF0000"/>
                <w:sz w:val="21"/>
                <w:szCs w:val="21"/>
              </w:rPr>
            </w:pPr>
          </w:p>
        </w:tc>
        <w:tc>
          <w:tcPr>
            <w:tcW w:w="217" w:type="dxa"/>
          </w:tcPr>
          <w:p w14:paraId="6DB5B0D8" w14:textId="77777777" w:rsidR="002C0FD9" w:rsidRPr="00CA25CF" w:rsidRDefault="002C0FD9" w:rsidP="00CA25CF">
            <w:pPr>
              <w:rPr>
                <w:rFonts w:cs="Arial"/>
                <w:color w:val="FF0000"/>
                <w:sz w:val="21"/>
                <w:szCs w:val="21"/>
              </w:rPr>
            </w:pPr>
          </w:p>
        </w:tc>
        <w:tc>
          <w:tcPr>
            <w:tcW w:w="217" w:type="dxa"/>
          </w:tcPr>
          <w:p w14:paraId="6E4E33C5" w14:textId="77777777" w:rsidR="002C0FD9" w:rsidRPr="00CA25CF" w:rsidRDefault="002C0FD9" w:rsidP="00CA25CF">
            <w:pPr>
              <w:rPr>
                <w:rFonts w:cs="Arial"/>
                <w:color w:val="FF0000"/>
                <w:sz w:val="21"/>
                <w:szCs w:val="21"/>
              </w:rPr>
            </w:pPr>
          </w:p>
        </w:tc>
        <w:tc>
          <w:tcPr>
            <w:tcW w:w="217" w:type="dxa"/>
          </w:tcPr>
          <w:p w14:paraId="4924FC95" w14:textId="77777777" w:rsidR="002C0FD9" w:rsidRPr="00CA25CF" w:rsidRDefault="002C0FD9" w:rsidP="00CA25CF">
            <w:pPr>
              <w:rPr>
                <w:rFonts w:cs="Arial"/>
                <w:color w:val="FF0000"/>
                <w:sz w:val="21"/>
                <w:szCs w:val="21"/>
              </w:rPr>
            </w:pPr>
          </w:p>
        </w:tc>
        <w:tc>
          <w:tcPr>
            <w:tcW w:w="217" w:type="dxa"/>
          </w:tcPr>
          <w:p w14:paraId="2AFACF40" w14:textId="77777777" w:rsidR="002C0FD9" w:rsidRPr="00CA25CF" w:rsidRDefault="002C0FD9" w:rsidP="00CA25CF">
            <w:pPr>
              <w:rPr>
                <w:rFonts w:cs="Arial"/>
                <w:color w:val="FF0000"/>
                <w:sz w:val="21"/>
                <w:szCs w:val="21"/>
              </w:rPr>
            </w:pPr>
          </w:p>
        </w:tc>
        <w:tc>
          <w:tcPr>
            <w:tcW w:w="217" w:type="dxa"/>
          </w:tcPr>
          <w:p w14:paraId="72ED8C09" w14:textId="77777777" w:rsidR="002C0FD9" w:rsidRPr="00CA25CF" w:rsidRDefault="002C0FD9" w:rsidP="00CA25CF">
            <w:pPr>
              <w:rPr>
                <w:rFonts w:cs="Arial"/>
                <w:color w:val="FF0000"/>
                <w:sz w:val="21"/>
                <w:szCs w:val="21"/>
              </w:rPr>
            </w:pPr>
          </w:p>
        </w:tc>
        <w:tc>
          <w:tcPr>
            <w:tcW w:w="217" w:type="dxa"/>
          </w:tcPr>
          <w:p w14:paraId="6CE74F58" w14:textId="77777777" w:rsidR="002C0FD9" w:rsidRPr="00CA25CF" w:rsidRDefault="002C0FD9" w:rsidP="00CA25CF">
            <w:pPr>
              <w:rPr>
                <w:rFonts w:cs="Arial"/>
                <w:color w:val="FF0000"/>
                <w:sz w:val="21"/>
                <w:szCs w:val="21"/>
              </w:rPr>
            </w:pPr>
          </w:p>
        </w:tc>
        <w:tc>
          <w:tcPr>
            <w:tcW w:w="217" w:type="dxa"/>
          </w:tcPr>
          <w:p w14:paraId="00DBE533" w14:textId="77777777" w:rsidR="002C0FD9" w:rsidRPr="00CA25CF" w:rsidRDefault="002C0FD9" w:rsidP="00CA25CF">
            <w:pPr>
              <w:rPr>
                <w:rFonts w:cs="Arial"/>
                <w:color w:val="FF0000"/>
                <w:sz w:val="21"/>
                <w:szCs w:val="21"/>
              </w:rPr>
            </w:pPr>
          </w:p>
        </w:tc>
        <w:tc>
          <w:tcPr>
            <w:tcW w:w="217" w:type="dxa"/>
          </w:tcPr>
          <w:p w14:paraId="0EF47D2B" w14:textId="77777777" w:rsidR="002C0FD9" w:rsidRPr="00CA25CF" w:rsidRDefault="002C0FD9" w:rsidP="00CA25CF">
            <w:pPr>
              <w:rPr>
                <w:rFonts w:cs="Arial"/>
                <w:color w:val="FF0000"/>
                <w:sz w:val="21"/>
                <w:szCs w:val="21"/>
              </w:rPr>
            </w:pPr>
          </w:p>
        </w:tc>
        <w:tc>
          <w:tcPr>
            <w:tcW w:w="217" w:type="dxa"/>
          </w:tcPr>
          <w:p w14:paraId="54729178" w14:textId="77777777" w:rsidR="002C0FD9" w:rsidRPr="00CA25CF" w:rsidRDefault="002C0FD9" w:rsidP="00CA25CF">
            <w:pPr>
              <w:rPr>
                <w:rFonts w:cs="Arial"/>
                <w:color w:val="FF0000"/>
                <w:sz w:val="21"/>
                <w:szCs w:val="21"/>
              </w:rPr>
            </w:pPr>
          </w:p>
        </w:tc>
        <w:tc>
          <w:tcPr>
            <w:tcW w:w="217" w:type="dxa"/>
          </w:tcPr>
          <w:p w14:paraId="4A438C6F" w14:textId="77777777" w:rsidR="002C0FD9" w:rsidRPr="00CA25CF" w:rsidRDefault="002C0FD9" w:rsidP="00CA25CF">
            <w:pPr>
              <w:rPr>
                <w:rFonts w:cs="Arial"/>
                <w:color w:val="FF0000"/>
                <w:sz w:val="21"/>
                <w:szCs w:val="21"/>
              </w:rPr>
            </w:pPr>
          </w:p>
        </w:tc>
        <w:tc>
          <w:tcPr>
            <w:tcW w:w="217" w:type="dxa"/>
          </w:tcPr>
          <w:p w14:paraId="1C6F6CC5" w14:textId="77777777" w:rsidR="002C0FD9" w:rsidRPr="00CA25CF" w:rsidRDefault="002C0FD9" w:rsidP="00CA25CF">
            <w:pPr>
              <w:rPr>
                <w:rFonts w:cs="Arial"/>
                <w:color w:val="FF0000"/>
                <w:sz w:val="21"/>
                <w:szCs w:val="21"/>
              </w:rPr>
            </w:pPr>
          </w:p>
        </w:tc>
        <w:tc>
          <w:tcPr>
            <w:tcW w:w="217" w:type="dxa"/>
          </w:tcPr>
          <w:p w14:paraId="79AC915D" w14:textId="77777777" w:rsidR="002C0FD9" w:rsidRPr="00CA25CF" w:rsidRDefault="002C0FD9" w:rsidP="00CA25CF">
            <w:pPr>
              <w:rPr>
                <w:rFonts w:cs="Arial"/>
                <w:color w:val="FF0000"/>
                <w:sz w:val="21"/>
                <w:szCs w:val="21"/>
              </w:rPr>
            </w:pPr>
          </w:p>
        </w:tc>
        <w:tc>
          <w:tcPr>
            <w:tcW w:w="217" w:type="dxa"/>
          </w:tcPr>
          <w:p w14:paraId="7E7AC246" w14:textId="090DAE60" w:rsidR="002C0FD9" w:rsidRPr="00CA25CF" w:rsidRDefault="002C0FD9" w:rsidP="00CA25CF">
            <w:pPr>
              <w:rPr>
                <w:rFonts w:cs="Arial"/>
                <w:color w:val="FF0000"/>
                <w:sz w:val="21"/>
                <w:szCs w:val="21"/>
              </w:rPr>
            </w:pPr>
          </w:p>
        </w:tc>
        <w:tc>
          <w:tcPr>
            <w:tcW w:w="217" w:type="dxa"/>
          </w:tcPr>
          <w:p w14:paraId="467BE460" w14:textId="77777777" w:rsidR="002C0FD9" w:rsidRPr="00CA25CF" w:rsidRDefault="002C0FD9" w:rsidP="00CA25CF">
            <w:pPr>
              <w:rPr>
                <w:rFonts w:cs="Arial"/>
                <w:color w:val="FF0000"/>
                <w:sz w:val="21"/>
                <w:szCs w:val="21"/>
              </w:rPr>
            </w:pPr>
          </w:p>
        </w:tc>
        <w:tc>
          <w:tcPr>
            <w:tcW w:w="217" w:type="dxa"/>
          </w:tcPr>
          <w:p w14:paraId="19F514C3" w14:textId="77777777" w:rsidR="002C0FD9" w:rsidRPr="00CA25CF" w:rsidRDefault="002C0FD9" w:rsidP="00CA25CF">
            <w:pPr>
              <w:rPr>
                <w:rFonts w:cs="Arial"/>
                <w:color w:val="FF0000"/>
                <w:sz w:val="21"/>
                <w:szCs w:val="21"/>
              </w:rPr>
            </w:pPr>
          </w:p>
        </w:tc>
        <w:tc>
          <w:tcPr>
            <w:tcW w:w="217" w:type="dxa"/>
          </w:tcPr>
          <w:p w14:paraId="6A2A472B" w14:textId="77777777" w:rsidR="002C0FD9" w:rsidRPr="00CA25CF" w:rsidRDefault="002C0FD9" w:rsidP="00CA25CF">
            <w:pPr>
              <w:rPr>
                <w:rFonts w:cs="Arial"/>
                <w:color w:val="FF0000"/>
                <w:sz w:val="21"/>
                <w:szCs w:val="21"/>
              </w:rPr>
            </w:pPr>
          </w:p>
        </w:tc>
        <w:tc>
          <w:tcPr>
            <w:tcW w:w="217" w:type="dxa"/>
          </w:tcPr>
          <w:p w14:paraId="72F91DA7" w14:textId="77777777" w:rsidR="002C0FD9" w:rsidRPr="00CA25CF" w:rsidRDefault="002C0FD9" w:rsidP="00CA25CF">
            <w:pPr>
              <w:rPr>
                <w:rFonts w:cs="Arial"/>
                <w:color w:val="FF0000"/>
                <w:sz w:val="21"/>
                <w:szCs w:val="21"/>
              </w:rPr>
            </w:pPr>
          </w:p>
        </w:tc>
        <w:tc>
          <w:tcPr>
            <w:tcW w:w="217" w:type="dxa"/>
          </w:tcPr>
          <w:p w14:paraId="59F3721F" w14:textId="77777777" w:rsidR="002C0FD9" w:rsidRPr="00CA25CF" w:rsidRDefault="002C0FD9" w:rsidP="00CA25CF">
            <w:pPr>
              <w:rPr>
                <w:rFonts w:cs="Arial"/>
                <w:color w:val="FF0000"/>
                <w:sz w:val="21"/>
                <w:szCs w:val="21"/>
              </w:rPr>
            </w:pPr>
          </w:p>
        </w:tc>
        <w:tc>
          <w:tcPr>
            <w:tcW w:w="217" w:type="dxa"/>
          </w:tcPr>
          <w:p w14:paraId="6B6E0306" w14:textId="77777777" w:rsidR="002C0FD9" w:rsidRPr="00CA25CF" w:rsidRDefault="002C0FD9" w:rsidP="00CA25CF">
            <w:pPr>
              <w:rPr>
                <w:rFonts w:cs="Arial"/>
                <w:color w:val="FF0000"/>
                <w:sz w:val="21"/>
                <w:szCs w:val="21"/>
              </w:rPr>
            </w:pPr>
          </w:p>
        </w:tc>
        <w:tc>
          <w:tcPr>
            <w:tcW w:w="217" w:type="dxa"/>
          </w:tcPr>
          <w:p w14:paraId="42D0F53B" w14:textId="77777777" w:rsidR="002C0FD9" w:rsidRPr="00CA25CF" w:rsidRDefault="002C0FD9" w:rsidP="00CA25CF">
            <w:pPr>
              <w:rPr>
                <w:rFonts w:cs="Arial"/>
                <w:color w:val="FF0000"/>
                <w:sz w:val="21"/>
                <w:szCs w:val="21"/>
              </w:rPr>
            </w:pPr>
          </w:p>
        </w:tc>
        <w:tc>
          <w:tcPr>
            <w:tcW w:w="217" w:type="dxa"/>
          </w:tcPr>
          <w:p w14:paraId="655CB69E" w14:textId="77777777" w:rsidR="002C0FD9" w:rsidRPr="00CA25CF" w:rsidRDefault="002C0FD9" w:rsidP="00CA25CF">
            <w:pPr>
              <w:rPr>
                <w:rFonts w:cs="Arial"/>
                <w:color w:val="FF0000"/>
                <w:sz w:val="21"/>
                <w:szCs w:val="21"/>
              </w:rPr>
            </w:pPr>
          </w:p>
        </w:tc>
        <w:tc>
          <w:tcPr>
            <w:tcW w:w="217" w:type="dxa"/>
          </w:tcPr>
          <w:p w14:paraId="30D6B19A" w14:textId="77777777" w:rsidR="002C0FD9" w:rsidRPr="00CA25CF" w:rsidRDefault="002C0FD9" w:rsidP="00CA25CF">
            <w:pPr>
              <w:rPr>
                <w:rFonts w:cs="Arial"/>
                <w:color w:val="FF0000"/>
                <w:sz w:val="21"/>
                <w:szCs w:val="21"/>
              </w:rPr>
            </w:pPr>
          </w:p>
        </w:tc>
        <w:tc>
          <w:tcPr>
            <w:tcW w:w="217" w:type="dxa"/>
          </w:tcPr>
          <w:p w14:paraId="3768317E" w14:textId="77777777" w:rsidR="002C0FD9" w:rsidRPr="00CA25CF" w:rsidRDefault="002C0FD9" w:rsidP="00CA25CF">
            <w:pPr>
              <w:rPr>
                <w:rFonts w:cs="Arial"/>
                <w:color w:val="FF0000"/>
                <w:sz w:val="21"/>
                <w:szCs w:val="21"/>
              </w:rPr>
            </w:pPr>
          </w:p>
        </w:tc>
        <w:tc>
          <w:tcPr>
            <w:tcW w:w="217" w:type="dxa"/>
          </w:tcPr>
          <w:p w14:paraId="333F92BB" w14:textId="77777777" w:rsidR="002C0FD9" w:rsidRPr="00CA25CF" w:rsidRDefault="002C0FD9" w:rsidP="00CA25CF">
            <w:pPr>
              <w:rPr>
                <w:rFonts w:cs="Arial"/>
                <w:color w:val="FF0000"/>
                <w:sz w:val="21"/>
                <w:szCs w:val="21"/>
              </w:rPr>
            </w:pPr>
          </w:p>
        </w:tc>
        <w:tc>
          <w:tcPr>
            <w:tcW w:w="217" w:type="dxa"/>
          </w:tcPr>
          <w:p w14:paraId="28ECCF40" w14:textId="77777777" w:rsidR="002C0FD9" w:rsidRPr="00CA25CF" w:rsidRDefault="002C0FD9" w:rsidP="00CA25CF">
            <w:pPr>
              <w:rPr>
                <w:rFonts w:cs="Arial"/>
                <w:color w:val="FF0000"/>
                <w:sz w:val="21"/>
                <w:szCs w:val="21"/>
              </w:rPr>
            </w:pPr>
          </w:p>
        </w:tc>
        <w:tc>
          <w:tcPr>
            <w:tcW w:w="217" w:type="dxa"/>
          </w:tcPr>
          <w:p w14:paraId="1FD79063" w14:textId="77777777" w:rsidR="002C0FD9" w:rsidRPr="00CA25CF" w:rsidRDefault="002C0FD9" w:rsidP="00CA25CF">
            <w:pPr>
              <w:rPr>
                <w:rFonts w:cs="Arial"/>
                <w:color w:val="FF0000"/>
                <w:sz w:val="21"/>
                <w:szCs w:val="21"/>
              </w:rPr>
            </w:pPr>
          </w:p>
        </w:tc>
        <w:tc>
          <w:tcPr>
            <w:tcW w:w="217" w:type="dxa"/>
          </w:tcPr>
          <w:p w14:paraId="2BCADA0B" w14:textId="77777777" w:rsidR="002C0FD9" w:rsidRPr="00CA25CF" w:rsidRDefault="002C0FD9" w:rsidP="00CA25CF">
            <w:pPr>
              <w:rPr>
                <w:rFonts w:cs="Arial"/>
                <w:color w:val="FF0000"/>
                <w:sz w:val="21"/>
                <w:szCs w:val="21"/>
              </w:rPr>
            </w:pPr>
          </w:p>
        </w:tc>
        <w:tc>
          <w:tcPr>
            <w:tcW w:w="217" w:type="dxa"/>
          </w:tcPr>
          <w:p w14:paraId="201B94B1" w14:textId="77777777" w:rsidR="002C0FD9" w:rsidRPr="00CA25CF" w:rsidRDefault="002C0FD9" w:rsidP="00CA25CF">
            <w:pPr>
              <w:rPr>
                <w:rFonts w:cs="Arial"/>
                <w:color w:val="FF0000"/>
                <w:sz w:val="21"/>
                <w:szCs w:val="21"/>
              </w:rPr>
            </w:pPr>
          </w:p>
        </w:tc>
        <w:tc>
          <w:tcPr>
            <w:tcW w:w="217" w:type="dxa"/>
          </w:tcPr>
          <w:p w14:paraId="5D2402B8" w14:textId="77777777" w:rsidR="002C0FD9" w:rsidRPr="00CA25CF" w:rsidRDefault="002C0FD9" w:rsidP="00CA25CF">
            <w:pPr>
              <w:rPr>
                <w:rFonts w:cs="Arial"/>
                <w:color w:val="FF0000"/>
                <w:sz w:val="21"/>
                <w:szCs w:val="21"/>
              </w:rPr>
            </w:pPr>
          </w:p>
        </w:tc>
        <w:tc>
          <w:tcPr>
            <w:tcW w:w="217" w:type="dxa"/>
          </w:tcPr>
          <w:p w14:paraId="4989446E" w14:textId="77777777" w:rsidR="002C0FD9" w:rsidRPr="00CA25CF" w:rsidRDefault="002C0FD9" w:rsidP="00CA25CF">
            <w:pPr>
              <w:rPr>
                <w:rFonts w:cs="Arial"/>
                <w:color w:val="FF0000"/>
                <w:sz w:val="21"/>
                <w:szCs w:val="21"/>
              </w:rPr>
            </w:pPr>
          </w:p>
        </w:tc>
        <w:tc>
          <w:tcPr>
            <w:tcW w:w="217" w:type="dxa"/>
          </w:tcPr>
          <w:p w14:paraId="321305E8" w14:textId="77777777" w:rsidR="002C0FD9" w:rsidRPr="00CA25CF" w:rsidRDefault="002C0FD9" w:rsidP="00CA25CF">
            <w:pPr>
              <w:rPr>
                <w:rFonts w:cs="Arial"/>
                <w:color w:val="FF0000"/>
                <w:sz w:val="21"/>
                <w:szCs w:val="21"/>
              </w:rPr>
            </w:pPr>
          </w:p>
        </w:tc>
        <w:tc>
          <w:tcPr>
            <w:tcW w:w="217" w:type="dxa"/>
          </w:tcPr>
          <w:p w14:paraId="1ED655DF" w14:textId="77777777" w:rsidR="002C0FD9" w:rsidRPr="00CA25CF" w:rsidRDefault="002C0FD9" w:rsidP="00CA25CF">
            <w:pPr>
              <w:rPr>
                <w:rFonts w:cs="Arial"/>
                <w:color w:val="FF0000"/>
                <w:sz w:val="21"/>
                <w:szCs w:val="21"/>
              </w:rPr>
            </w:pPr>
          </w:p>
        </w:tc>
        <w:tc>
          <w:tcPr>
            <w:tcW w:w="217" w:type="dxa"/>
          </w:tcPr>
          <w:p w14:paraId="1FA91585" w14:textId="77777777" w:rsidR="002C0FD9" w:rsidRPr="00CA25CF" w:rsidRDefault="002C0FD9" w:rsidP="00CA25CF">
            <w:pPr>
              <w:rPr>
                <w:rFonts w:cs="Arial"/>
                <w:color w:val="FF0000"/>
                <w:sz w:val="21"/>
                <w:szCs w:val="21"/>
              </w:rPr>
            </w:pPr>
          </w:p>
        </w:tc>
        <w:tc>
          <w:tcPr>
            <w:tcW w:w="217" w:type="dxa"/>
          </w:tcPr>
          <w:p w14:paraId="34AB4A10" w14:textId="77777777" w:rsidR="002C0FD9" w:rsidRPr="00CA25CF" w:rsidRDefault="002C0FD9" w:rsidP="00CA25CF">
            <w:pPr>
              <w:rPr>
                <w:rFonts w:cs="Arial"/>
                <w:color w:val="FF0000"/>
                <w:sz w:val="21"/>
                <w:szCs w:val="21"/>
              </w:rPr>
            </w:pPr>
          </w:p>
        </w:tc>
        <w:tc>
          <w:tcPr>
            <w:tcW w:w="217" w:type="dxa"/>
          </w:tcPr>
          <w:p w14:paraId="2A450AE0" w14:textId="77777777" w:rsidR="002C0FD9" w:rsidRPr="00CA25CF" w:rsidRDefault="002C0FD9" w:rsidP="00CA25CF">
            <w:pPr>
              <w:rPr>
                <w:rFonts w:cs="Arial"/>
                <w:color w:val="FF0000"/>
                <w:sz w:val="21"/>
                <w:szCs w:val="21"/>
              </w:rPr>
            </w:pPr>
          </w:p>
        </w:tc>
        <w:tc>
          <w:tcPr>
            <w:tcW w:w="217" w:type="dxa"/>
          </w:tcPr>
          <w:p w14:paraId="35BEFCA8" w14:textId="77777777" w:rsidR="002C0FD9" w:rsidRPr="00CA25CF" w:rsidRDefault="002C0FD9" w:rsidP="00CA25CF">
            <w:pPr>
              <w:rPr>
                <w:rFonts w:cs="Arial"/>
                <w:color w:val="FF0000"/>
                <w:sz w:val="21"/>
                <w:szCs w:val="21"/>
              </w:rPr>
            </w:pPr>
          </w:p>
        </w:tc>
        <w:tc>
          <w:tcPr>
            <w:tcW w:w="217" w:type="dxa"/>
          </w:tcPr>
          <w:p w14:paraId="7AEF853B" w14:textId="77777777" w:rsidR="002C0FD9" w:rsidRPr="00CA25CF" w:rsidRDefault="002C0FD9" w:rsidP="00CA25CF">
            <w:pPr>
              <w:rPr>
                <w:rFonts w:cs="Arial"/>
                <w:color w:val="FF0000"/>
                <w:sz w:val="21"/>
                <w:szCs w:val="21"/>
              </w:rPr>
            </w:pPr>
          </w:p>
        </w:tc>
        <w:tc>
          <w:tcPr>
            <w:tcW w:w="217" w:type="dxa"/>
          </w:tcPr>
          <w:p w14:paraId="51D71E38" w14:textId="77777777" w:rsidR="002C0FD9" w:rsidRPr="00CA25CF" w:rsidRDefault="002C0FD9" w:rsidP="00CA25CF">
            <w:pPr>
              <w:rPr>
                <w:rFonts w:cs="Arial"/>
                <w:color w:val="FF0000"/>
                <w:sz w:val="21"/>
                <w:szCs w:val="21"/>
              </w:rPr>
            </w:pPr>
          </w:p>
        </w:tc>
        <w:tc>
          <w:tcPr>
            <w:tcW w:w="217" w:type="dxa"/>
          </w:tcPr>
          <w:p w14:paraId="44AF38DD" w14:textId="77777777" w:rsidR="002C0FD9" w:rsidRPr="00CA25CF" w:rsidRDefault="002C0FD9" w:rsidP="00CA25CF">
            <w:pPr>
              <w:rPr>
                <w:rFonts w:cs="Arial"/>
                <w:color w:val="FF0000"/>
                <w:sz w:val="21"/>
                <w:szCs w:val="21"/>
              </w:rPr>
            </w:pPr>
          </w:p>
        </w:tc>
        <w:tc>
          <w:tcPr>
            <w:tcW w:w="217" w:type="dxa"/>
          </w:tcPr>
          <w:p w14:paraId="11254D0E" w14:textId="77777777" w:rsidR="002C0FD9" w:rsidRPr="00CA25CF" w:rsidRDefault="002C0FD9" w:rsidP="00CA25CF">
            <w:pPr>
              <w:rPr>
                <w:rFonts w:cs="Arial"/>
                <w:color w:val="FF0000"/>
                <w:sz w:val="21"/>
                <w:szCs w:val="21"/>
              </w:rPr>
            </w:pPr>
          </w:p>
        </w:tc>
      </w:tr>
      <w:tr w:rsidR="002C0FD9" w:rsidRPr="00A16219" w14:paraId="7DE73B97" w14:textId="55A7F3E9" w:rsidTr="002C0FD9">
        <w:trPr>
          <w:trHeight w:val="635"/>
        </w:trPr>
        <w:tc>
          <w:tcPr>
            <w:tcW w:w="515" w:type="dxa"/>
          </w:tcPr>
          <w:p w14:paraId="1E6D971B" w14:textId="77777777" w:rsidR="002C0FD9" w:rsidRPr="00CA25CF" w:rsidRDefault="002C0FD9" w:rsidP="00CA25CF">
            <w:pPr>
              <w:rPr>
                <w:rFonts w:cs="Arial"/>
                <w:color w:val="FF0000"/>
                <w:sz w:val="21"/>
                <w:szCs w:val="21"/>
              </w:rPr>
            </w:pPr>
          </w:p>
        </w:tc>
        <w:tc>
          <w:tcPr>
            <w:tcW w:w="217" w:type="dxa"/>
          </w:tcPr>
          <w:p w14:paraId="6C876ACC" w14:textId="77777777" w:rsidR="002C0FD9" w:rsidRPr="00CA25CF" w:rsidRDefault="002C0FD9" w:rsidP="00CA25CF">
            <w:pPr>
              <w:rPr>
                <w:rFonts w:cs="Arial"/>
                <w:color w:val="FF0000"/>
                <w:sz w:val="21"/>
                <w:szCs w:val="21"/>
              </w:rPr>
            </w:pPr>
          </w:p>
        </w:tc>
        <w:tc>
          <w:tcPr>
            <w:tcW w:w="217" w:type="dxa"/>
          </w:tcPr>
          <w:p w14:paraId="6D4AB6D4" w14:textId="73BE747A" w:rsidR="002C0FD9" w:rsidRPr="00CA25CF" w:rsidRDefault="002C0FD9" w:rsidP="00CA25CF">
            <w:pPr>
              <w:rPr>
                <w:rFonts w:cs="Arial"/>
                <w:color w:val="FF0000"/>
                <w:sz w:val="21"/>
                <w:szCs w:val="21"/>
              </w:rPr>
            </w:pPr>
          </w:p>
        </w:tc>
        <w:tc>
          <w:tcPr>
            <w:tcW w:w="217" w:type="dxa"/>
          </w:tcPr>
          <w:p w14:paraId="6654E2EB" w14:textId="77777777" w:rsidR="002C0FD9" w:rsidRPr="00CA25CF" w:rsidRDefault="002C0FD9" w:rsidP="00CA25CF">
            <w:pPr>
              <w:rPr>
                <w:rFonts w:cs="Arial"/>
                <w:color w:val="FF0000"/>
                <w:sz w:val="21"/>
                <w:szCs w:val="21"/>
              </w:rPr>
            </w:pPr>
          </w:p>
        </w:tc>
        <w:tc>
          <w:tcPr>
            <w:tcW w:w="217" w:type="dxa"/>
          </w:tcPr>
          <w:p w14:paraId="61922D9B" w14:textId="77777777" w:rsidR="002C0FD9" w:rsidRPr="00CA25CF" w:rsidRDefault="002C0FD9" w:rsidP="00CA25CF">
            <w:pPr>
              <w:rPr>
                <w:rFonts w:cs="Arial"/>
                <w:color w:val="FF0000"/>
                <w:sz w:val="21"/>
                <w:szCs w:val="21"/>
              </w:rPr>
            </w:pPr>
          </w:p>
        </w:tc>
        <w:tc>
          <w:tcPr>
            <w:tcW w:w="217" w:type="dxa"/>
          </w:tcPr>
          <w:p w14:paraId="3FEC8427" w14:textId="77777777" w:rsidR="002C0FD9" w:rsidRPr="00CA25CF" w:rsidRDefault="002C0FD9" w:rsidP="00CA25CF">
            <w:pPr>
              <w:rPr>
                <w:rFonts w:cs="Arial"/>
                <w:color w:val="FF0000"/>
                <w:sz w:val="21"/>
                <w:szCs w:val="21"/>
              </w:rPr>
            </w:pPr>
          </w:p>
        </w:tc>
        <w:tc>
          <w:tcPr>
            <w:tcW w:w="217" w:type="dxa"/>
          </w:tcPr>
          <w:p w14:paraId="6F9694C5" w14:textId="77777777" w:rsidR="002C0FD9" w:rsidRPr="00CA25CF" w:rsidRDefault="002C0FD9" w:rsidP="00CA25CF">
            <w:pPr>
              <w:rPr>
                <w:rFonts w:cs="Arial"/>
                <w:color w:val="FF0000"/>
                <w:sz w:val="21"/>
                <w:szCs w:val="21"/>
              </w:rPr>
            </w:pPr>
          </w:p>
        </w:tc>
        <w:tc>
          <w:tcPr>
            <w:tcW w:w="217" w:type="dxa"/>
          </w:tcPr>
          <w:p w14:paraId="7ED64A24" w14:textId="77777777" w:rsidR="002C0FD9" w:rsidRPr="00CA25CF" w:rsidRDefault="002C0FD9" w:rsidP="00CA25CF">
            <w:pPr>
              <w:rPr>
                <w:rFonts w:cs="Arial"/>
                <w:color w:val="FF0000"/>
                <w:sz w:val="21"/>
                <w:szCs w:val="21"/>
              </w:rPr>
            </w:pPr>
          </w:p>
        </w:tc>
        <w:tc>
          <w:tcPr>
            <w:tcW w:w="217" w:type="dxa"/>
          </w:tcPr>
          <w:p w14:paraId="51982B07" w14:textId="77777777" w:rsidR="002C0FD9" w:rsidRPr="00CA25CF" w:rsidRDefault="002C0FD9" w:rsidP="00CA25CF">
            <w:pPr>
              <w:rPr>
                <w:rFonts w:cs="Arial"/>
                <w:color w:val="FF0000"/>
                <w:sz w:val="21"/>
                <w:szCs w:val="21"/>
              </w:rPr>
            </w:pPr>
          </w:p>
        </w:tc>
        <w:tc>
          <w:tcPr>
            <w:tcW w:w="217" w:type="dxa"/>
          </w:tcPr>
          <w:p w14:paraId="55B798B6" w14:textId="77777777" w:rsidR="002C0FD9" w:rsidRPr="00CA25CF" w:rsidRDefault="002C0FD9" w:rsidP="00CA25CF">
            <w:pPr>
              <w:rPr>
                <w:rFonts w:cs="Arial"/>
                <w:color w:val="FF0000"/>
                <w:sz w:val="21"/>
                <w:szCs w:val="21"/>
              </w:rPr>
            </w:pPr>
          </w:p>
        </w:tc>
        <w:tc>
          <w:tcPr>
            <w:tcW w:w="217" w:type="dxa"/>
          </w:tcPr>
          <w:p w14:paraId="7F6A70E7" w14:textId="77777777" w:rsidR="002C0FD9" w:rsidRPr="00CA25CF" w:rsidRDefault="002C0FD9" w:rsidP="00CA25CF">
            <w:pPr>
              <w:rPr>
                <w:rFonts w:cs="Arial"/>
                <w:color w:val="FF0000"/>
                <w:sz w:val="21"/>
                <w:szCs w:val="21"/>
              </w:rPr>
            </w:pPr>
          </w:p>
        </w:tc>
        <w:tc>
          <w:tcPr>
            <w:tcW w:w="217" w:type="dxa"/>
          </w:tcPr>
          <w:p w14:paraId="317A589D" w14:textId="77777777" w:rsidR="002C0FD9" w:rsidRPr="00CA25CF" w:rsidRDefault="002C0FD9" w:rsidP="00CA25CF">
            <w:pPr>
              <w:rPr>
                <w:rFonts w:cs="Arial"/>
                <w:color w:val="FF0000"/>
                <w:sz w:val="21"/>
                <w:szCs w:val="21"/>
              </w:rPr>
            </w:pPr>
          </w:p>
        </w:tc>
        <w:tc>
          <w:tcPr>
            <w:tcW w:w="217" w:type="dxa"/>
          </w:tcPr>
          <w:p w14:paraId="3DA63AE7" w14:textId="77777777" w:rsidR="002C0FD9" w:rsidRPr="00CA25CF" w:rsidRDefault="002C0FD9" w:rsidP="00CA25CF">
            <w:pPr>
              <w:rPr>
                <w:rFonts w:cs="Arial"/>
                <w:color w:val="FF0000"/>
                <w:sz w:val="21"/>
                <w:szCs w:val="21"/>
              </w:rPr>
            </w:pPr>
          </w:p>
        </w:tc>
        <w:tc>
          <w:tcPr>
            <w:tcW w:w="217" w:type="dxa"/>
          </w:tcPr>
          <w:p w14:paraId="2D2E8EC7" w14:textId="77777777" w:rsidR="002C0FD9" w:rsidRPr="00CA25CF" w:rsidRDefault="002C0FD9" w:rsidP="00CA25CF">
            <w:pPr>
              <w:rPr>
                <w:rFonts w:cs="Arial"/>
                <w:color w:val="FF0000"/>
                <w:sz w:val="21"/>
                <w:szCs w:val="21"/>
              </w:rPr>
            </w:pPr>
          </w:p>
        </w:tc>
        <w:tc>
          <w:tcPr>
            <w:tcW w:w="217" w:type="dxa"/>
          </w:tcPr>
          <w:p w14:paraId="6E28407B" w14:textId="77777777" w:rsidR="002C0FD9" w:rsidRPr="00CA25CF" w:rsidRDefault="002C0FD9" w:rsidP="00CA25CF">
            <w:pPr>
              <w:rPr>
                <w:rFonts w:cs="Arial"/>
                <w:color w:val="FF0000"/>
                <w:sz w:val="21"/>
                <w:szCs w:val="21"/>
              </w:rPr>
            </w:pPr>
          </w:p>
        </w:tc>
        <w:tc>
          <w:tcPr>
            <w:tcW w:w="217" w:type="dxa"/>
          </w:tcPr>
          <w:p w14:paraId="237F0878" w14:textId="4CBB8989" w:rsidR="002C0FD9" w:rsidRPr="00CA25CF" w:rsidRDefault="002C0FD9" w:rsidP="00CA25CF">
            <w:pPr>
              <w:rPr>
                <w:rFonts w:cs="Arial"/>
                <w:color w:val="FF0000"/>
                <w:sz w:val="21"/>
                <w:szCs w:val="21"/>
              </w:rPr>
            </w:pPr>
          </w:p>
        </w:tc>
        <w:tc>
          <w:tcPr>
            <w:tcW w:w="217" w:type="dxa"/>
          </w:tcPr>
          <w:p w14:paraId="5B74B198" w14:textId="77777777" w:rsidR="002C0FD9" w:rsidRPr="00CA25CF" w:rsidRDefault="002C0FD9" w:rsidP="00CA25CF">
            <w:pPr>
              <w:rPr>
                <w:rFonts w:cs="Arial"/>
                <w:color w:val="FF0000"/>
                <w:sz w:val="21"/>
                <w:szCs w:val="21"/>
              </w:rPr>
            </w:pPr>
          </w:p>
        </w:tc>
        <w:tc>
          <w:tcPr>
            <w:tcW w:w="217" w:type="dxa"/>
          </w:tcPr>
          <w:p w14:paraId="26CDF16E" w14:textId="77777777" w:rsidR="002C0FD9" w:rsidRPr="00CA25CF" w:rsidRDefault="002C0FD9" w:rsidP="00CA25CF">
            <w:pPr>
              <w:rPr>
                <w:rFonts w:cs="Arial"/>
                <w:color w:val="FF0000"/>
                <w:sz w:val="21"/>
                <w:szCs w:val="21"/>
              </w:rPr>
            </w:pPr>
          </w:p>
        </w:tc>
        <w:tc>
          <w:tcPr>
            <w:tcW w:w="217" w:type="dxa"/>
          </w:tcPr>
          <w:p w14:paraId="45B3E14D" w14:textId="77777777" w:rsidR="002C0FD9" w:rsidRPr="00CA25CF" w:rsidRDefault="002C0FD9" w:rsidP="00CA25CF">
            <w:pPr>
              <w:rPr>
                <w:rFonts w:cs="Arial"/>
                <w:color w:val="FF0000"/>
                <w:sz w:val="21"/>
                <w:szCs w:val="21"/>
              </w:rPr>
            </w:pPr>
          </w:p>
        </w:tc>
        <w:tc>
          <w:tcPr>
            <w:tcW w:w="217" w:type="dxa"/>
          </w:tcPr>
          <w:p w14:paraId="20D726BC" w14:textId="77777777" w:rsidR="002C0FD9" w:rsidRPr="00CA25CF" w:rsidRDefault="002C0FD9" w:rsidP="00CA25CF">
            <w:pPr>
              <w:rPr>
                <w:rFonts w:cs="Arial"/>
                <w:color w:val="FF0000"/>
                <w:sz w:val="21"/>
                <w:szCs w:val="21"/>
              </w:rPr>
            </w:pPr>
          </w:p>
        </w:tc>
        <w:tc>
          <w:tcPr>
            <w:tcW w:w="217" w:type="dxa"/>
          </w:tcPr>
          <w:p w14:paraId="78F5B304" w14:textId="77777777" w:rsidR="002C0FD9" w:rsidRPr="00CA25CF" w:rsidRDefault="002C0FD9" w:rsidP="00CA25CF">
            <w:pPr>
              <w:rPr>
                <w:rFonts w:cs="Arial"/>
                <w:color w:val="FF0000"/>
                <w:sz w:val="21"/>
                <w:szCs w:val="21"/>
              </w:rPr>
            </w:pPr>
          </w:p>
        </w:tc>
        <w:tc>
          <w:tcPr>
            <w:tcW w:w="217" w:type="dxa"/>
          </w:tcPr>
          <w:p w14:paraId="04E18D8D" w14:textId="77777777" w:rsidR="002C0FD9" w:rsidRPr="00CA25CF" w:rsidRDefault="002C0FD9" w:rsidP="00CA25CF">
            <w:pPr>
              <w:rPr>
                <w:rFonts w:cs="Arial"/>
                <w:color w:val="FF0000"/>
                <w:sz w:val="21"/>
                <w:szCs w:val="21"/>
              </w:rPr>
            </w:pPr>
          </w:p>
        </w:tc>
        <w:tc>
          <w:tcPr>
            <w:tcW w:w="217" w:type="dxa"/>
          </w:tcPr>
          <w:p w14:paraId="27451AB2" w14:textId="77777777" w:rsidR="002C0FD9" w:rsidRPr="00CA25CF" w:rsidRDefault="002C0FD9" w:rsidP="00CA25CF">
            <w:pPr>
              <w:rPr>
                <w:rFonts w:cs="Arial"/>
                <w:color w:val="FF0000"/>
                <w:sz w:val="21"/>
                <w:szCs w:val="21"/>
              </w:rPr>
            </w:pPr>
          </w:p>
        </w:tc>
        <w:tc>
          <w:tcPr>
            <w:tcW w:w="217" w:type="dxa"/>
          </w:tcPr>
          <w:p w14:paraId="211DEB78" w14:textId="77777777" w:rsidR="002C0FD9" w:rsidRPr="00CA25CF" w:rsidRDefault="002C0FD9" w:rsidP="00CA25CF">
            <w:pPr>
              <w:rPr>
                <w:rFonts w:cs="Arial"/>
                <w:color w:val="FF0000"/>
                <w:sz w:val="21"/>
                <w:szCs w:val="21"/>
              </w:rPr>
            </w:pPr>
          </w:p>
        </w:tc>
        <w:tc>
          <w:tcPr>
            <w:tcW w:w="217" w:type="dxa"/>
          </w:tcPr>
          <w:p w14:paraId="13DF150A" w14:textId="77777777" w:rsidR="002C0FD9" w:rsidRPr="00CA25CF" w:rsidRDefault="002C0FD9" w:rsidP="00CA25CF">
            <w:pPr>
              <w:rPr>
                <w:rFonts w:cs="Arial"/>
                <w:color w:val="FF0000"/>
                <w:sz w:val="21"/>
                <w:szCs w:val="21"/>
              </w:rPr>
            </w:pPr>
          </w:p>
        </w:tc>
        <w:tc>
          <w:tcPr>
            <w:tcW w:w="217" w:type="dxa"/>
          </w:tcPr>
          <w:p w14:paraId="7036EE2E" w14:textId="77777777" w:rsidR="002C0FD9" w:rsidRPr="00CA25CF" w:rsidRDefault="002C0FD9" w:rsidP="00CA25CF">
            <w:pPr>
              <w:rPr>
                <w:rFonts w:cs="Arial"/>
                <w:color w:val="FF0000"/>
                <w:sz w:val="21"/>
                <w:szCs w:val="21"/>
              </w:rPr>
            </w:pPr>
          </w:p>
        </w:tc>
        <w:tc>
          <w:tcPr>
            <w:tcW w:w="217" w:type="dxa"/>
          </w:tcPr>
          <w:p w14:paraId="065C5AD8" w14:textId="77777777" w:rsidR="002C0FD9" w:rsidRPr="00CA25CF" w:rsidRDefault="002C0FD9" w:rsidP="00CA25CF">
            <w:pPr>
              <w:rPr>
                <w:rFonts w:cs="Arial"/>
                <w:color w:val="FF0000"/>
                <w:sz w:val="21"/>
                <w:szCs w:val="21"/>
              </w:rPr>
            </w:pPr>
          </w:p>
        </w:tc>
        <w:tc>
          <w:tcPr>
            <w:tcW w:w="217" w:type="dxa"/>
          </w:tcPr>
          <w:p w14:paraId="2015B4D0" w14:textId="77777777" w:rsidR="002C0FD9" w:rsidRPr="00CA25CF" w:rsidRDefault="002C0FD9" w:rsidP="00CA25CF">
            <w:pPr>
              <w:rPr>
                <w:rFonts w:cs="Arial"/>
                <w:color w:val="FF0000"/>
                <w:sz w:val="21"/>
                <w:szCs w:val="21"/>
              </w:rPr>
            </w:pPr>
          </w:p>
        </w:tc>
        <w:tc>
          <w:tcPr>
            <w:tcW w:w="217" w:type="dxa"/>
          </w:tcPr>
          <w:p w14:paraId="7BC646B5" w14:textId="77777777" w:rsidR="002C0FD9" w:rsidRPr="00CA25CF" w:rsidRDefault="002C0FD9" w:rsidP="00CA25CF">
            <w:pPr>
              <w:rPr>
                <w:rFonts w:cs="Arial"/>
                <w:color w:val="FF0000"/>
                <w:sz w:val="21"/>
                <w:szCs w:val="21"/>
              </w:rPr>
            </w:pPr>
          </w:p>
        </w:tc>
        <w:tc>
          <w:tcPr>
            <w:tcW w:w="217" w:type="dxa"/>
          </w:tcPr>
          <w:p w14:paraId="009381F9" w14:textId="77777777" w:rsidR="002C0FD9" w:rsidRPr="00CA25CF" w:rsidRDefault="002C0FD9" w:rsidP="00CA25CF">
            <w:pPr>
              <w:rPr>
                <w:rFonts w:cs="Arial"/>
                <w:color w:val="FF0000"/>
                <w:sz w:val="21"/>
                <w:szCs w:val="21"/>
              </w:rPr>
            </w:pPr>
          </w:p>
        </w:tc>
        <w:tc>
          <w:tcPr>
            <w:tcW w:w="217" w:type="dxa"/>
          </w:tcPr>
          <w:p w14:paraId="35EDD672" w14:textId="77777777" w:rsidR="002C0FD9" w:rsidRPr="00CA25CF" w:rsidRDefault="002C0FD9" w:rsidP="00CA25CF">
            <w:pPr>
              <w:rPr>
                <w:rFonts w:cs="Arial"/>
                <w:color w:val="FF0000"/>
                <w:sz w:val="21"/>
                <w:szCs w:val="21"/>
              </w:rPr>
            </w:pPr>
          </w:p>
        </w:tc>
        <w:tc>
          <w:tcPr>
            <w:tcW w:w="217" w:type="dxa"/>
          </w:tcPr>
          <w:p w14:paraId="0048949B" w14:textId="77777777" w:rsidR="002C0FD9" w:rsidRPr="00CA25CF" w:rsidRDefault="002C0FD9" w:rsidP="00CA25CF">
            <w:pPr>
              <w:rPr>
                <w:rFonts w:cs="Arial"/>
                <w:color w:val="FF0000"/>
                <w:sz w:val="21"/>
                <w:szCs w:val="21"/>
              </w:rPr>
            </w:pPr>
          </w:p>
        </w:tc>
        <w:tc>
          <w:tcPr>
            <w:tcW w:w="217" w:type="dxa"/>
          </w:tcPr>
          <w:p w14:paraId="7B79BE4B" w14:textId="77777777" w:rsidR="002C0FD9" w:rsidRPr="00CA25CF" w:rsidRDefault="002C0FD9" w:rsidP="00CA25CF">
            <w:pPr>
              <w:rPr>
                <w:rFonts w:cs="Arial"/>
                <w:color w:val="FF0000"/>
                <w:sz w:val="21"/>
                <w:szCs w:val="21"/>
              </w:rPr>
            </w:pPr>
          </w:p>
        </w:tc>
        <w:tc>
          <w:tcPr>
            <w:tcW w:w="217" w:type="dxa"/>
          </w:tcPr>
          <w:p w14:paraId="08864819" w14:textId="77777777" w:rsidR="002C0FD9" w:rsidRPr="00CA25CF" w:rsidRDefault="002C0FD9" w:rsidP="00CA25CF">
            <w:pPr>
              <w:rPr>
                <w:rFonts w:cs="Arial"/>
                <w:color w:val="FF0000"/>
                <w:sz w:val="21"/>
                <w:szCs w:val="21"/>
              </w:rPr>
            </w:pPr>
          </w:p>
        </w:tc>
        <w:tc>
          <w:tcPr>
            <w:tcW w:w="217" w:type="dxa"/>
          </w:tcPr>
          <w:p w14:paraId="2288AABF" w14:textId="77777777" w:rsidR="002C0FD9" w:rsidRPr="00CA25CF" w:rsidRDefault="002C0FD9" w:rsidP="00CA25CF">
            <w:pPr>
              <w:rPr>
                <w:rFonts w:cs="Arial"/>
                <w:color w:val="FF0000"/>
                <w:sz w:val="21"/>
                <w:szCs w:val="21"/>
              </w:rPr>
            </w:pPr>
          </w:p>
        </w:tc>
        <w:tc>
          <w:tcPr>
            <w:tcW w:w="217" w:type="dxa"/>
          </w:tcPr>
          <w:p w14:paraId="700B15AF" w14:textId="77777777" w:rsidR="002C0FD9" w:rsidRPr="00CA25CF" w:rsidRDefault="002C0FD9" w:rsidP="00CA25CF">
            <w:pPr>
              <w:rPr>
                <w:rFonts w:cs="Arial"/>
                <w:color w:val="FF0000"/>
                <w:sz w:val="21"/>
                <w:szCs w:val="21"/>
              </w:rPr>
            </w:pPr>
          </w:p>
        </w:tc>
        <w:tc>
          <w:tcPr>
            <w:tcW w:w="217" w:type="dxa"/>
          </w:tcPr>
          <w:p w14:paraId="744BD288" w14:textId="77777777" w:rsidR="002C0FD9" w:rsidRPr="00CA25CF" w:rsidRDefault="002C0FD9" w:rsidP="00CA25CF">
            <w:pPr>
              <w:rPr>
                <w:rFonts w:cs="Arial"/>
                <w:color w:val="FF0000"/>
                <w:sz w:val="21"/>
                <w:szCs w:val="21"/>
              </w:rPr>
            </w:pPr>
          </w:p>
        </w:tc>
        <w:tc>
          <w:tcPr>
            <w:tcW w:w="217" w:type="dxa"/>
          </w:tcPr>
          <w:p w14:paraId="1BD8A445" w14:textId="77777777" w:rsidR="002C0FD9" w:rsidRPr="00CA25CF" w:rsidRDefault="002C0FD9" w:rsidP="00CA25CF">
            <w:pPr>
              <w:rPr>
                <w:rFonts w:cs="Arial"/>
                <w:color w:val="FF0000"/>
                <w:sz w:val="21"/>
                <w:szCs w:val="21"/>
              </w:rPr>
            </w:pPr>
          </w:p>
        </w:tc>
        <w:tc>
          <w:tcPr>
            <w:tcW w:w="217" w:type="dxa"/>
          </w:tcPr>
          <w:p w14:paraId="61229E17" w14:textId="77777777" w:rsidR="002C0FD9" w:rsidRPr="00CA25CF" w:rsidRDefault="002C0FD9" w:rsidP="00CA25CF">
            <w:pPr>
              <w:rPr>
                <w:rFonts w:cs="Arial"/>
                <w:color w:val="FF0000"/>
                <w:sz w:val="21"/>
                <w:szCs w:val="21"/>
              </w:rPr>
            </w:pPr>
          </w:p>
        </w:tc>
        <w:tc>
          <w:tcPr>
            <w:tcW w:w="217" w:type="dxa"/>
          </w:tcPr>
          <w:p w14:paraId="0817CCF3" w14:textId="77777777" w:rsidR="002C0FD9" w:rsidRPr="00CA25CF" w:rsidRDefault="002C0FD9" w:rsidP="00CA25CF">
            <w:pPr>
              <w:rPr>
                <w:rFonts w:cs="Arial"/>
                <w:color w:val="FF0000"/>
                <w:sz w:val="21"/>
                <w:szCs w:val="21"/>
              </w:rPr>
            </w:pPr>
          </w:p>
        </w:tc>
        <w:tc>
          <w:tcPr>
            <w:tcW w:w="217" w:type="dxa"/>
          </w:tcPr>
          <w:p w14:paraId="141E2BAB" w14:textId="77777777" w:rsidR="002C0FD9" w:rsidRPr="00CA25CF" w:rsidRDefault="002C0FD9" w:rsidP="00CA25CF">
            <w:pPr>
              <w:rPr>
                <w:rFonts w:cs="Arial"/>
                <w:color w:val="FF0000"/>
                <w:sz w:val="21"/>
                <w:szCs w:val="21"/>
              </w:rPr>
            </w:pPr>
          </w:p>
        </w:tc>
        <w:tc>
          <w:tcPr>
            <w:tcW w:w="217" w:type="dxa"/>
          </w:tcPr>
          <w:p w14:paraId="647E0B19" w14:textId="77777777" w:rsidR="002C0FD9" w:rsidRPr="00CA25CF" w:rsidRDefault="002C0FD9" w:rsidP="00CA25CF">
            <w:pPr>
              <w:rPr>
                <w:rFonts w:cs="Arial"/>
                <w:color w:val="FF0000"/>
                <w:sz w:val="21"/>
                <w:szCs w:val="21"/>
              </w:rPr>
            </w:pPr>
          </w:p>
        </w:tc>
        <w:tc>
          <w:tcPr>
            <w:tcW w:w="217" w:type="dxa"/>
          </w:tcPr>
          <w:p w14:paraId="527C9EF7" w14:textId="77777777" w:rsidR="002C0FD9" w:rsidRPr="00CA25CF" w:rsidRDefault="002C0FD9" w:rsidP="00CA25CF">
            <w:pPr>
              <w:rPr>
                <w:rFonts w:cs="Arial"/>
                <w:color w:val="FF0000"/>
                <w:sz w:val="21"/>
                <w:szCs w:val="21"/>
              </w:rPr>
            </w:pPr>
          </w:p>
        </w:tc>
      </w:tr>
      <w:tr w:rsidR="002C0FD9" w:rsidRPr="00A16219" w14:paraId="2E369D32" w14:textId="46D60645" w:rsidTr="002C0FD9">
        <w:trPr>
          <w:trHeight w:val="635"/>
        </w:trPr>
        <w:tc>
          <w:tcPr>
            <w:tcW w:w="515" w:type="dxa"/>
          </w:tcPr>
          <w:p w14:paraId="2AE5FB14" w14:textId="77777777" w:rsidR="002C0FD9" w:rsidRPr="00CA25CF" w:rsidRDefault="002C0FD9" w:rsidP="00CA25CF">
            <w:pPr>
              <w:rPr>
                <w:rFonts w:cs="Arial"/>
                <w:color w:val="FF0000"/>
                <w:sz w:val="21"/>
                <w:szCs w:val="21"/>
              </w:rPr>
            </w:pPr>
          </w:p>
        </w:tc>
        <w:tc>
          <w:tcPr>
            <w:tcW w:w="217" w:type="dxa"/>
          </w:tcPr>
          <w:p w14:paraId="7120E27F" w14:textId="77777777" w:rsidR="002C0FD9" w:rsidRPr="00CA25CF" w:rsidRDefault="002C0FD9" w:rsidP="00CA25CF">
            <w:pPr>
              <w:rPr>
                <w:rFonts w:cs="Arial"/>
                <w:color w:val="FF0000"/>
                <w:sz w:val="21"/>
                <w:szCs w:val="21"/>
              </w:rPr>
            </w:pPr>
          </w:p>
        </w:tc>
        <w:tc>
          <w:tcPr>
            <w:tcW w:w="217" w:type="dxa"/>
          </w:tcPr>
          <w:p w14:paraId="53DE0568" w14:textId="3034B56D" w:rsidR="002C0FD9" w:rsidRPr="00CA25CF" w:rsidRDefault="002C0FD9" w:rsidP="00CA25CF">
            <w:pPr>
              <w:rPr>
                <w:rFonts w:cs="Arial"/>
                <w:color w:val="FF0000"/>
                <w:sz w:val="21"/>
                <w:szCs w:val="21"/>
              </w:rPr>
            </w:pPr>
          </w:p>
        </w:tc>
        <w:tc>
          <w:tcPr>
            <w:tcW w:w="217" w:type="dxa"/>
          </w:tcPr>
          <w:p w14:paraId="07824A24" w14:textId="77777777" w:rsidR="002C0FD9" w:rsidRPr="00CA25CF" w:rsidRDefault="002C0FD9" w:rsidP="00CA25CF">
            <w:pPr>
              <w:rPr>
                <w:rFonts w:cs="Arial"/>
                <w:color w:val="FF0000"/>
                <w:sz w:val="21"/>
                <w:szCs w:val="21"/>
              </w:rPr>
            </w:pPr>
          </w:p>
        </w:tc>
        <w:tc>
          <w:tcPr>
            <w:tcW w:w="217" w:type="dxa"/>
          </w:tcPr>
          <w:p w14:paraId="2C62F503" w14:textId="77777777" w:rsidR="002C0FD9" w:rsidRPr="00CA25CF" w:rsidRDefault="002C0FD9" w:rsidP="00CA25CF">
            <w:pPr>
              <w:rPr>
                <w:rFonts w:cs="Arial"/>
                <w:color w:val="FF0000"/>
                <w:sz w:val="21"/>
                <w:szCs w:val="21"/>
              </w:rPr>
            </w:pPr>
          </w:p>
        </w:tc>
        <w:tc>
          <w:tcPr>
            <w:tcW w:w="217" w:type="dxa"/>
          </w:tcPr>
          <w:p w14:paraId="6B5E34D3" w14:textId="77777777" w:rsidR="002C0FD9" w:rsidRPr="00CA25CF" w:rsidRDefault="002C0FD9" w:rsidP="00CA25CF">
            <w:pPr>
              <w:rPr>
                <w:rFonts w:cs="Arial"/>
                <w:color w:val="FF0000"/>
                <w:sz w:val="21"/>
                <w:szCs w:val="21"/>
              </w:rPr>
            </w:pPr>
          </w:p>
        </w:tc>
        <w:tc>
          <w:tcPr>
            <w:tcW w:w="217" w:type="dxa"/>
          </w:tcPr>
          <w:p w14:paraId="181D8076" w14:textId="77777777" w:rsidR="002C0FD9" w:rsidRPr="00CA25CF" w:rsidRDefault="002C0FD9" w:rsidP="00CA25CF">
            <w:pPr>
              <w:rPr>
                <w:rFonts w:cs="Arial"/>
                <w:color w:val="FF0000"/>
                <w:sz w:val="21"/>
                <w:szCs w:val="21"/>
              </w:rPr>
            </w:pPr>
          </w:p>
        </w:tc>
        <w:tc>
          <w:tcPr>
            <w:tcW w:w="217" w:type="dxa"/>
          </w:tcPr>
          <w:p w14:paraId="3ED5E172" w14:textId="77777777" w:rsidR="002C0FD9" w:rsidRPr="00CA25CF" w:rsidRDefault="002C0FD9" w:rsidP="00CA25CF">
            <w:pPr>
              <w:rPr>
                <w:rFonts w:cs="Arial"/>
                <w:color w:val="FF0000"/>
                <w:sz w:val="21"/>
                <w:szCs w:val="21"/>
              </w:rPr>
            </w:pPr>
          </w:p>
        </w:tc>
        <w:tc>
          <w:tcPr>
            <w:tcW w:w="217" w:type="dxa"/>
          </w:tcPr>
          <w:p w14:paraId="353B7857" w14:textId="77777777" w:rsidR="002C0FD9" w:rsidRPr="00CA25CF" w:rsidRDefault="002C0FD9" w:rsidP="00CA25CF">
            <w:pPr>
              <w:rPr>
                <w:rFonts w:cs="Arial"/>
                <w:color w:val="FF0000"/>
                <w:sz w:val="21"/>
                <w:szCs w:val="21"/>
              </w:rPr>
            </w:pPr>
          </w:p>
        </w:tc>
        <w:tc>
          <w:tcPr>
            <w:tcW w:w="217" w:type="dxa"/>
          </w:tcPr>
          <w:p w14:paraId="4584668A" w14:textId="77777777" w:rsidR="002C0FD9" w:rsidRPr="00CA25CF" w:rsidRDefault="002C0FD9" w:rsidP="00CA25CF">
            <w:pPr>
              <w:rPr>
                <w:rFonts w:cs="Arial"/>
                <w:color w:val="FF0000"/>
                <w:sz w:val="21"/>
                <w:szCs w:val="21"/>
              </w:rPr>
            </w:pPr>
          </w:p>
        </w:tc>
        <w:tc>
          <w:tcPr>
            <w:tcW w:w="217" w:type="dxa"/>
          </w:tcPr>
          <w:p w14:paraId="035E9A2C" w14:textId="77777777" w:rsidR="002C0FD9" w:rsidRPr="00CA25CF" w:rsidRDefault="002C0FD9" w:rsidP="00CA25CF">
            <w:pPr>
              <w:rPr>
                <w:rFonts w:cs="Arial"/>
                <w:color w:val="FF0000"/>
                <w:sz w:val="21"/>
                <w:szCs w:val="21"/>
              </w:rPr>
            </w:pPr>
          </w:p>
        </w:tc>
        <w:tc>
          <w:tcPr>
            <w:tcW w:w="217" w:type="dxa"/>
          </w:tcPr>
          <w:p w14:paraId="5F4D3BE3" w14:textId="77777777" w:rsidR="002C0FD9" w:rsidRPr="00CA25CF" w:rsidRDefault="002C0FD9" w:rsidP="00CA25CF">
            <w:pPr>
              <w:rPr>
                <w:rFonts w:cs="Arial"/>
                <w:color w:val="FF0000"/>
                <w:sz w:val="21"/>
                <w:szCs w:val="21"/>
              </w:rPr>
            </w:pPr>
          </w:p>
        </w:tc>
        <w:tc>
          <w:tcPr>
            <w:tcW w:w="217" w:type="dxa"/>
          </w:tcPr>
          <w:p w14:paraId="30FF4C42" w14:textId="77777777" w:rsidR="002C0FD9" w:rsidRPr="00CA25CF" w:rsidRDefault="002C0FD9" w:rsidP="00CA25CF">
            <w:pPr>
              <w:rPr>
                <w:rFonts w:cs="Arial"/>
                <w:color w:val="FF0000"/>
                <w:sz w:val="21"/>
                <w:szCs w:val="21"/>
              </w:rPr>
            </w:pPr>
          </w:p>
        </w:tc>
        <w:tc>
          <w:tcPr>
            <w:tcW w:w="217" w:type="dxa"/>
          </w:tcPr>
          <w:p w14:paraId="4D1D3CD1" w14:textId="77777777" w:rsidR="002C0FD9" w:rsidRPr="00CA25CF" w:rsidRDefault="002C0FD9" w:rsidP="00CA25CF">
            <w:pPr>
              <w:rPr>
                <w:rFonts w:cs="Arial"/>
                <w:color w:val="FF0000"/>
                <w:sz w:val="21"/>
                <w:szCs w:val="21"/>
              </w:rPr>
            </w:pPr>
          </w:p>
        </w:tc>
        <w:tc>
          <w:tcPr>
            <w:tcW w:w="217" w:type="dxa"/>
          </w:tcPr>
          <w:p w14:paraId="75B30AA5" w14:textId="77777777" w:rsidR="002C0FD9" w:rsidRPr="00CA25CF" w:rsidRDefault="002C0FD9" w:rsidP="00CA25CF">
            <w:pPr>
              <w:rPr>
                <w:rFonts w:cs="Arial"/>
                <w:color w:val="FF0000"/>
                <w:sz w:val="21"/>
                <w:szCs w:val="21"/>
              </w:rPr>
            </w:pPr>
          </w:p>
        </w:tc>
        <w:tc>
          <w:tcPr>
            <w:tcW w:w="217" w:type="dxa"/>
          </w:tcPr>
          <w:p w14:paraId="72F588C2" w14:textId="421831CE" w:rsidR="002C0FD9" w:rsidRPr="00CA25CF" w:rsidRDefault="002C0FD9" w:rsidP="00CA25CF">
            <w:pPr>
              <w:rPr>
                <w:rFonts w:cs="Arial"/>
                <w:color w:val="FF0000"/>
                <w:sz w:val="21"/>
                <w:szCs w:val="21"/>
              </w:rPr>
            </w:pPr>
          </w:p>
        </w:tc>
        <w:tc>
          <w:tcPr>
            <w:tcW w:w="217" w:type="dxa"/>
          </w:tcPr>
          <w:p w14:paraId="508C6B65" w14:textId="77777777" w:rsidR="002C0FD9" w:rsidRPr="00CA25CF" w:rsidRDefault="002C0FD9" w:rsidP="00CA25CF">
            <w:pPr>
              <w:rPr>
                <w:rFonts w:cs="Arial"/>
                <w:color w:val="FF0000"/>
                <w:sz w:val="21"/>
                <w:szCs w:val="21"/>
              </w:rPr>
            </w:pPr>
          </w:p>
        </w:tc>
        <w:tc>
          <w:tcPr>
            <w:tcW w:w="217" w:type="dxa"/>
          </w:tcPr>
          <w:p w14:paraId="3600D157" w14:textId="77777777" w:rsidR="002C0FD9" w:rsidRPr="00CA25CF" w:rsidRDefault="002C0FD9" w:rsidP="00CA25CF">
            <w:pPr>
              <w:rPr>
                <w:rFonts w:cs="Arial"/>
                <w:color w:val="FF0000"/>
                <w:sz w:val="21"/>
                <w:szCs w:val="21"/>
              </w:rPr>
            </w:pPr>
          </w:p>
        </w:tc>
        <w:tc>
          <w:tcPr>
            <w:tcW w:w="217" w:type="dxa"/>
          </w:tcPr>
          <w:p w14:paraId="586BD3AA" w14:textId="77777777" w:rsidR="002C0FD9" w:rsidRPr="00CA25CF" w:rsidRDefault="002C0FD9" w:rsidP="00CA25CF">
            <w:pPr>
              <w:rPr>
                <w:rFonts w:cs="Arial"/>
                <w:color w:val="FF0000"/>
                <w:sz w:val="21"/>
                <w:szCs w:val="21"/>
              </w:rPr>
            </w:pPr>
          </w:p>
        </w:tc>
        <w:tc>
          <w:tcPr>
            <w:tcW w:w="217" w:type="dxa"/>
          </w:tcPr>
          <w:p w14:paraId="3BA41187" w14:textId="77777777" w:rsidR="002C0FD9" w:rsidRPr="00CA25CF" w:rsidRDefault="002C0FD9" w:rsidP="00CA25CF">
            <w:pPr>
              <w:rPr>
                <w:rFonts w:cs="Arial"/>
                <w:color w:val="FF0000"/>
                <w:sz w:val="21"/>
                <w:szCs w:val="21"/>
              </w:rPr>
            </w:pPr>
          </w:p>
        </w:tc>
        <w:tc>
          <w:tcPr>
            <w:tcW w:w="217" w:type="dxa"/>
          </w:tcPr>
          <w:p w14:paraId="204129AF" w14:textId="77777777" w:rsidR="002C0FD9" w:rsidRPr="00CA25CF" w:rsidRDefault="002C0FD9" w:rsidP="00CA25CF">
            <w:pPr>
              <w:rPr>
                <w:rFonts w:cs="Arial"/>
                <w:color w:val="FF0000"/>
                <w:sz w:val="21"/>
                <w:szCs w:val="21"/>
              </w:rPr>
            </w:pPr>
          </w:p>
        </w:tc>
        <w:tc>
          <w:tcPr>
            <w:tcW w:w="217" w:type="dxa"/>
          </w:tcPr>
          <w:p w14:paraId="7EE8D68B" w14:textId="77777777" w:rsidR="002C0FD9" w:rsidRPr="00CA25CF" w:rsidRDefault="002C0FD9" w:rsidP="00CA25CF">
            <w:pPr>
              <w:rPr>
                <w:rFonts w:cs="Arial"/>
                <w:color w:val="FF0000"/>
                <w:sz w:val="21"/>
                <w:szCs w:val="21"/>
              </w:rPr>
            </w:pPr>
          </w:p>
        </w:tc>
        <w:tc>
          <w:tcPr>
            <w:tcW w:w="217" w:type="dxa"/>
          </w:tcPr>
          <w:p w14:paraId="1BBB5F0F" w14:textId="77777777" w:rsidR="002C0FD9" w:rsidRPr="00CA25CF" w:rsidRDefault="002C0FD9" w:rsidP="00CA25CF">
            <w:pPr>
              <w:rPr>
                <w:rFonts w:cs="Arial"/>
                <w:color w:val="FF0000"/>
                <w:sz w:val="21"/>
                <w:szCs w:val="21"/>
              </w:rPr>
            </w:pPr>
          </w:p>
        </w:tc>
        <w:tc>
          <w:tcPr>
            <w:tcW w:w="217" w:type="dxa"/>
          </w:tcPr>
          <w:p w14:paraId="7E3A7BB1" w14:textId="77777777" w:rsidR="002C0FD9" w:rsidRPr="00CA25CF" w:rsidRDefault="002C0FD9" w:rsidP="00CA25CF">
            <w:pPr>
              <w:rPr>
                <w:rFonts w:cs="Arial"/>
                <w:color w:val="FF0000"/>
                <w:sz w:val="21"/>
                <w:szCs w:val="21"/>
              </w:rPr>
            </w:pPr>
          </w:p>
        </w:tc>
        <w:tc>
          <w:tcPr>
            <w:tcW w:w="217" w:type="dxa"/>
          </w:tcPr>
          <w:p w14:paraId="24A82CD0" w14:textId="77777777" w:rsidR="002C0FD9" w:rsidRPr="00CA25CF" w:rsidRDefault="002C0FD9" w:rsidP="00CA25CF">
            <w:pPr>
              <w:rPr>
                <w:rFonts w:cs="Arial"/>
                <w:color w:val="FF0000"/>
                <w:sz w:val="21"/>
                <w:szCs w:val="21"/>
              </w:rPr>
            </w:pPr>
          </w:p>
        </w:tc>
        <w:tc>
          <w:tcPr>
            <w:tcW w:w="217" w:type="dxa"/>
          </w:tcPr>
          <w:p w14:paraId="62CBF69C" w14:textId="77777777" w:rsidR="002C0FD9" w:rsidRPr="00CA25CF" w:rsidRDefault="002C0FD9" w:rsidP="00CA25CF">
            <w:pPr>
              <w:rPr>
                <w:rFonts w:cs="Arial"/>
                <w:color w:val="FF0000"/>
                <w:sz w:val="21"/>
                <w:szCs w:val="21"/>
              </w:rPr>
            </w:pPr>
          </w:p>
        </w:tc>
        <w:tc>
          <w:tcPr>
            <w:tcW w:w="217" w:type="dxa"/>
          </w:tcPr>
          <w:p w14:paraId="45C0B0B6" w14:textId="77777777" w:rsidR="002C0FD9" w:rsidRPr="00CA25CF" w:rsidRDefault="002C0FD9" w:rsidP="00CA25CF">
            <w:pPr>
              <w:rPr>
                <w:rFonts w:cs="Arial"/>
                <w:color w:val="FF0000"/>
                <w:sz w:val="21"/>
                <w:szCs w:val="21"/>
              </w:rPr>
            </w:pPr>
          </w:p>
        </w:tc>
        <w:tc>
          <w:tcPr>
            <w:tcW w:w="217" w:type="dxa"/>
          </w:tcPr>
          <w:p w14:paraId="0C48217E" w14:textId="77777777" w:rsidR="002C0FD9" w:rsidRPr="00CA25CF" w:rsidRDefault="002C0FD9" w:rsidP="00CA25CF">
            <w:pPr>
              <w:rPr>
                <w:rFonts w:cs="Arial"/>
                <w:color w:val="FF0000"/>
                <w:sz w:val="21"/>
                <w:szCs w:val="21"/>
              </w:rPr>
            </w:pPr>
          </w:p>
        </w:tc>
        <w:tc>
          <w:tcPr>
            <w:tcW w:w="217" w:type="dxa"/>
          </w:tcPr>
          <w:p w14:paraId="46399D6A" w14:textId="77777777" w:rsidR="002C0FD9" w:rsidRPr="00CA25CF" w:rsidRDefault="002C0FD9" w:rsidP="00CA25CF">
            <w:pPr>
              <w:rPr>
                <w:rFonts w:cs="Arial"/>
                <w:color w:val="FF0000"/>
                <w:sz w:val="21"/>
                <w:szCs w:val="21"/>
              </w:rPr>
            </w:pPr>
          </w:p>
        </w:tc>
        <w:tc>
          <w:tcPr>
            <w:tcW w:w="217" w:type="dxa"/>
          </w:tcPr>
          <w:p w14:paraId="2B58BFA7" w14:textId="77777777" w:rsidR="002C0FD9" w:rsidRPr="00CA25CF" w:rsidRDefault="002C0FD9" w:rsidP="00CA25CF">
            <w:pPr>
              <w:rPr>
                <w:rFonts w:cs="Arial"/>
                <w:color w:val="FF0000"/>
                <w:sz w:val="21"/>
                <w:szCs w:val="21"/>
              </w:rPr>
            </w:pPr>
          </w:p>
        </w:tc>
        <w:tc>
          <w:tcPr>
            <w:tcW w:w="217" w:type="dxa"/>
          </w:tcPr>
          <w:p w14:paraId="06BD42D6" w14:textId="77777777" w:rsidR="002C0FD9" w:rsidRPr="00CA25CF" w:rsidRDefault="002C0FD9" w:rsidP="00CA25CF">
            <w:pPr>
              <w:rPr>
                <w:rFonts w:cs="Arial"/>
                <w:color w:val="FF0000"/>
                <w:sz w:val="21"/>
                <w:szCs w:val="21"/>
              </w:rPr>
            </w:pPr>
          </w:p>
        </w:tc>
        <w:tc>
          <w:tcPr>
            <w:tcW w:w="217" w:type="dxa"/>
          </w:tcPr>
          <w:p w14:paraId="25B9C510" w14:textId="77777777" w:rsidR="002C0FD9" w:rsidRPr="00CA25CF" w:rsidRDefault="002C0FD9" w:rsidP="00CA25CF">
            <w:pPr>
              <w:rPr>
                <w:rFonts w:cs="Arial"/>
                <w:color w:val="FF0000"/>
                <w:sz w:val="21"/>
                <w:szCs w:val="21"/>
              </w:rPr>
            </w:pPr>
          </w:p>
        </w:tc>
        <w:tc>
          <w:tcPr>
            <w:tcW w:w="217" w:type="dxa"/>
          </w:tcPr>
          <w:p w14:paraId="62C9CEED" w14:textId="77777777" w:rsidR="002C0FD9" w:rsidRPr="00CA25CF" w:rsidRDefault="002C0FD9" w:rsidP="00CA25CF">
            <w:pPr>
              <w:rPr>
                <w:rFonts w:cs="Arial"/>
                <w:color w:val="FF0000"/>
                <w:sz w:val="21"/>
                <w:szCs w:val="21"/>
              </w:rPr>
            </w:pPr>
          </w:p>
        </w:tc>
        <w:tc>
          <w:tcPr>
            <w:tcW w:w="217" w:type="dxa"/>
          </w:tcPr>
          <w:p w14:paraId="73144B50" w14:textId="77777777" w:rsidR="002C0FD9" w:rsidRPr="00CA25CF" w:rsidRDefault="002C0FD9" w:rsidP="00CA25CF">
            <w:pPr>
              <w:rPr>
                <w:rFonts w:cs="Arial"/>
                <w:color w:val="FF0000"/>
                <w:sz w:val="21"/>
                <w:szCs w:val="21"/>
              </w:rPr>
            </w:pPr>
          </w:p>
        </w:tc>
        <w:tc>
          <w:tcPr>
            <w:tcW w:w="217" w:type="dxa"/>
          </w:tcPr>
          <w:p w14:paraId="6C9A2782" w14:textId="77777777" w:rsidR="002C0FD9" w:rsidRPr="00CA25CF" w:rsidRDefault="002C0FD9" w:rsidP="00CA25CF">
            <w:pPr>
              <w:rPr>
                <w:rFonts w:cs="Arial"/>
                <w:color w:val="FF0000"/>
                <w:sz w:val="21"/>
                <w:szCs w:val="21"/>
              </w:rPr>
            </w:pPr>
          </w:p>
        </w:tc>
        <w:tc>
          <w:tcPr>
            <w:tcW w:w="217" w:type="dxa"/>
          </w:tcPr>
          <w:p w14:paraId="70EA9232" w14:textId="77777777" w:rsidR="002C0FD9" w:rsidRPr="00CA25CF" w:rsidRDefault="002C0FD9" w:rsidP="00CA25CF">
            <w:pPr>
              <w:rPr>
                <w:rFonts w:cs="Arial"/>
                <w:color w:val="FF0000"/>
                <w:sz w:val="21"/>
                <w:szCs w:val="21"/>
              </w:rPr>
            </w:pPr>
          </w:p>
        </w:tc>
        <w:tc>
          <w:tcPr>
            <w:tcW w:w="217" w:type="dxa"/>
          </w:tcPr>
          <w:p w14:paraId="71F77E9F" w14:textId="77777777" w:rsidR="002C0FD9" w:rsidRPr="00CA25CF" w:rsidRDefault="002C0FD9" w:rsidP="00CA25CF">
            <w:pPr>
              <w:rPr>
                <w:rFonts w:cs="Arial"/>
                <w:color w:val="FF0000"/>
                <w:sz w:val="21"/>
                <w:szCs w:val="21"/>
              </w:rPr>
            </w:pPr>
          </w:p>
        </w:tc>
        <w:tc>
          <w:tcPr>
            <w:tcW w:w="217" w:type="dxa"/>
          </w:tcPr>
          <w:p w14:paraId="3EC1A0B5" w14:textId="77777777" w:rsidR="002C0FD9" w:rsidRPr="00CA25CF" w:rsidRDefault="002C0FD9" w:rsidP="00CA25CF">
            <w:pPr>
              <w:rPr>
                <w:rFonts w:cs="Arial"/>
                <w:color w:val="FF0000"/>
                <w:sz w:val="21"/>
                <w:szCs w:val="21"/>
              </w:rPr>
            </w:pPr>
          </w:p>
        </w:tc>
        <w:tc>
          <w:tcPr>
            <w:tcW w:w="217" w:type="dxa"/>
          </w:tcPr>
          <w:p w14:paraId="253F1ED7" w14:textId="77777777" w:rsidR="002C0FD9" w:rsidRPr="00CA25CF" w:rsidRDefault="002C0FD9" w:rsidP="00CA25CF">
            <w:pPr>
              <w:rPr>
                <w:rFonts w:cs="Arial"/>
                <w:color w:val="FF0000"/>
                <w:sz w:val="21"/>
                <w:szCs w:val="21"/>
              </w:rPr>
            </w:pPr>
          </w:p>
        </w:tc>
        <w:tc>
          <w:tcPr>
            <w:tcW w:w="217" w:type="dxa"/>
          </w:tcPr>
          <w:p w14:paraId="018EE4D8" w14:textId="77777777" w:rsidR="002C0FD9" w:rsidRPr="00CA25CF" w:rsidRDefault="002C0FD9" w:rsidP="00CA25CF">
            <w:pPr>
              <w:rPr>
                <w:rFonts w:cs="Arial"/>
                <w:color w:val="FF0000"/>
                <w:sz w:val="21"/>
                <w:szCs w:val="21"/>
              </w:rPr>
            </w:pPr>
          </w:p>
        </w:tc>
        <w:tc>
          <w:tcPr>
            <w:tcW w:w="217" w:type="dxa"/>
          </w:tcPr>
          <w:p w14:paraId="61EDD190" w14:textId="77777777" w:rsidR="002C0FD9" w:rsidRPr="00CA25CF" w:rsidRDefault="002C0FD9" w:rsidP="00CA25CF">
            <w:pPr>
              <w:rPr>
                <w:rFonts w:cs="Arial"/>
                <w:color w:val="FF0000"/>
                <w:sz w:val="21"/>
                <w:szCs w:val="21"/>
              </w:rPr>
            </w:pPr>
          </w:p>
        </w:tc>
        <w:tc>
          <w:tcPr>
            <w:tcW w:w="217" w:type="dxa"/>
          </w:tcPr>
          <w:p w14:paraId="7B8D69C3" w14:textId="77777777" w:rsidR="002C0FD9" w:rsidRPr="00CA25CF" w:rsidRDefault="002C0FD9" w:rsidP="00CA25CF">
            <w:pPr>
              <w:rPr>
                <w:rFonts w:cs="Arial"/>
                <w:color w:val="FF0000"/>
                <w:sz w:val="21"/>
                <w:szCs w:val="21"/>
              </w:rPr>
            </w:pPr>
          </w:p>
        </w:tc>
        <w:tc>
          <w:tcPr>
            <w:tcW w:w="217" w:type="dxa"/>
          </w:tcPr>
          <w:p w14:paraId="7B1F4B15" w14:textId="77777777" w:rsidR="002C0FD9" w:rsidRPr="00CA25CF" w:rsidRDefault="002C0FD9" w:rsidP="00CA25CF">
            <w:pPr>
              <w:rPr>
                <w:rFonts w:cs="Arial"/>
                <w:color w:val="FF0000"/>
                <w:sz w:val="21"/>
                <w:szCs w:val="21"/>
              </w:rPr>
            </w:pPr>
          </w:p>
        </w:tc>
      </w:tr>
      <w:tr w:rsidR="002C0FD9" w:rsidRPr="00A16219" w14:paraId="390E0ADD" w14:textId="03EB4677" w:rsidTr="002C0FD9">
        <w:trPr>
          <w:trHeight w:val="635"/>
        </w:trPr>
        <w:tc>
          <w:tcPr>
            <w:tcW w:w="515" w:type="dxa"/>
          </w:tcPr>
          <w:p w14:paraId="00394549" w14:textId="77777777" w:rsidR="002C0FD9" w:rsidRPr="00CA25CF" w:rsidRDefault="002C0FD9" w:rsidP="00CA25CF">
            <w:pPr>
              <w:rPr>
                <w:rFonts w:cs="Arial"/>
                <w:color w:val="FF0000"/>
                <w:sz w:val="21"/>
                <w:szCs w:val="21"/>
              </w:rPr>
            </w:pPr>
          </w:p>
        </w:tc>
        <w:tc>
          <w:tcPr>
            <w:tcW w:w="217" w:type="dxa"/>
          </w:tcPr>
          <w:p w14:paraId="32192F81" w14:textId="77777777" w:rsidR="002C0FD9" w:rsidRPr="00CA25CF" w:rsidRDefault="002C0FD9" w:rsidP="00CA25CF">
            <w:pPr>
              <w:rPr>
                <w:rFonts w:cs="Arial"/>
                <w:color w:val="FF0000"/>
                <w:sz w:val="21"/>
                <w:szCs w:val="21"/>
              </w:rPr>
            </w:pPr>
          </w:p>
        </w:tc>
        <w:tc>
          <w:tcPr>
            <w:tcW w:w="217" w:type="dxa"/>
          </w:tcPr>
          <w:p w14:paraId="3023A4E3" w14:textId="4E872813" w:rsidR="002C0FD9" w:rsidRPr="00CA25CF" w:rsidRDefault="002C0FD9" w:rsidP="00CA25CF">
            <w:pPr>
              <w:rPr>
                <w:rFonts w:cs="Arial"/>
                <w:color w:val="FF0000"/>
                <w:sz w:val="21"/>
                <w:szCs w:val="21"/>
              </w:rPr>
            </w:pPr>
          </w:p>
        </w:tc>
        <w:tc>
          <w:tcPr>
            <w:tcW w:w="217" w:type="dxa"/>
          </w:tcPr>
          <w:p w14:paraId="6279681D" w14:textId="77777777" w:rsidR="002C0FD9" w:rsidRPr="00CA25CF" w:rsidRDefault="002C0FD9" w:rsidP="00CA25CF">
            <w:pPr>
              <w:rPr>
                <w:rFonts w:cs="Arial"/>
                <w:color w:val="FF0000"/>
                <w:sz w:val="21"/>
                <w:szCs w:val="21"/>
              </w:rPr>
            </w:pPr>
          </w:p>
        </w:tc>
        <w:tc>
          <w:tcPr>
            <w:tcW w:w="217" w:type="dxa"/>
          </w:tcPr>
          <w:p w14:paraId="669C0BFB" w14:textId="77777777" w:rsidR="002C0FD9" w:rsidRPr="00CA25CF" w:rsidRDefault="002C0FD9" w:rsidP="00CA25CF">
            <w:pPr>
              <w:rPr>
                <w:rFonts w:cs="Arial"/>
                <w:color w:val="FF0000"/>
                <w:sz w:val="21"/>
                <w:szCs w:val="21"/>
              </w:rPr>
            </w:pPr>
          </w:p>
        </w:tc>
        <w:tc>
          <w:tcPr>
            <w:tcW w:w="217" w:type="dxa"/>
          </w:tcPr>
          <w:p w14:paraId="0B848829" w14:textId="77777777" w:rsidR="002C0FD9" w:rsidRPr="00CA25CF" w:rsidRDefault="002C0FD9" w:rsidP="00CA25CF">
            <w:pPr>
              <w:rPr>
                <w:rFonts w:cs="Arial"/>
                <w:color w:val="FF0000"/>
                <w:sz w:val="21"/>
                <w:szCs w:val="21"/>
              </w:rPr>
            </w:pPr>
          </w:p>
        </w:tc>
        <w:tc>
          <w:tcPr>
            <w:tcW w:w="217" w:type="dxa"/>
          </w:tcPr>
          <w:p w14:paraId="7668368D" w14:textId="77777777" w:rsidR="002C0FD9" w:rsidRPr="00CA25CF" w:rsidRDefault="002C0FD9" w:rsidP="00CA25CF">
            <w:pPr>
              <w:rPr>
                <w:rFonts w:cs="Arial"/>
                <w:color w:val="FF0000"/>
                <w:sz w:val="21"/>
                <w:szCs w:val="21"/>
              </w:rPr>
            </w:pPr>
          </w:p>
        </w:tc>
        <w:tc>
          <w:tcPr>
            <w:tcW w:w="217" w:type="dxa"/>
          </w:tcPr>
          <w:p w14:paraId="1701BF21" w14:textId="77777777" w:rsidR="002C0FD9" w:rsidRPr="00CA25CF" w:rsidRDefault="002C0FD9" w:rsidP="00CA25CF">
            <w:pPr>
              <w:rPr>
                <w:rFonts w:cs="Arial"/>
                <w:color w:val="FF0000"/>
                <w:sz w:val="21"/>
                <w:szCs w:val="21"/>
              </w:rPr>
            </w:pPr>
          </w:p>
        </w:tc>
        <w:tc>
          <w:tcPr>
            <w:tcW w:w="217" w:type="dxa"/>
          </w:tcPr>
          <w:p w14:paraId="79F75291" w14:textId="77777777" w:rsidR="002C0FD9" w:rsidRPr="00CA25CF" w:rsidRDefault="002C0FD9" w:rsidP="00CA25CF">
            <w:pPr>
              <w:rPr>
                <w:rFonts w:cs="Arial"/>
                <w:color w:val="FF0000"/>
                <w:sz w:val="21"/>
                <w:szCs w:val="21"/>
              </w:rPr>
            </w:pPr>
          </w:p>
        </w:tc>
        <w:tc>
          <w:tcPr>
            <w:tcW w:w="217" w:type="dxa"/>
          </w:tcPr>
          <w:p w14:paraId="20278BC6" w14:textId="77777777" w:rsidR="002C0FD9" w:rsidRPr="00CA25CF" w:rsidRDefault="002C0FD9" w:rsidP="00CA25CF">
            <w:pPr>
              <w:rPr>
                <w:rFonts w:cs="Arial"/>
                <w:color w:val="FF0000"/>
                <w:sz w:val="21"/>
                <w:szCs w:val="21"/>
              </w:rPr>
            </w:pPr>
          </w:p>
        </w:tc>
        <w:tc>
          <w:tcPr>
            <w:tcW w:w="217" w:type="dxa"/>
          </w:tcPr>
          <w:p w14:paraId="2829F197" w14:textId="77777777" w:rsidR="002C0FD9" w:rsidRPr="00CA25CF" w:rsidRDefault="002C0FD9" w:rsidP="00CA25CF">
            <w:pPr>
              <w:rPr>
                <w:rFonts w:cs="Arial"/>
                <w:color w:val="FF0000"/>
                <w:sz w:val="21"/>
                <w:szCs w:val="21"/>
              </w:rPr>
            </w:pPr>
          </w:p>
        </w:tc>
        <w:tc>
          <w:tcPr>
            <w:tcW w:w="217" w:type="dxa"/>
          </w:tcPr>
          <w:p w14:paraId="6C25EC58" w14:textId="77777777" w:rsidR="002C0FD9" w:rsidRPr="00CA25CF" w:rsidRDefault="002C0FD9" w:rsidP="00CA25CF">
            <w:pPr>
              <w:rPr>
                <w:rFonts w:cs="Arial"/>
                <w:color w:val="FF0000"/>
                <w:sz w:val="21"/>
                <w:szCs w:val="21"/>
              </w:rPr>
            </w:pPr>
          </w:p>
        </w:tc>
        <w:tc>
          <w:tcPr>
            <w:tcW w:w="217" w:type="dxa"/>
          </w:tcPr>
          <w:p w14:paraId="05E8D88B" w14:textId="77777777" w:rsidR="002C0FD9" w:rsidRPr="00CA25CF" w:rsidRDefault="002C0FD9" w:rsidP="00CA25CF">
            <w:pPr>
              <w:rPr>
                <w:rFonts w:cs="Arial"/>
                <w:color w:val="FF0000"/>
                <w:sz w:val="21"/>
                <w:szCs w:val="21"/>
              </w:rPr>
            </w:pPr>
          </w:p>
        </w:tc>
        <w:tc>
          <w:tcPr>
            <w:tcW w:w="217" w:type="dxa"/>
          </w:tcPr>
          <w:p w14:paraId="50C8079D" w14:textId="77777777" w:rsidR="002C0FD9" w:rsidRPr="00CA25CF" w:rsidRDefault="002C0FD9" w:rsidP="00CA25CF">
            <w:pPr>
              <w:rPr>
                <w:rFonts w:cs="Arial"/>
                <w:color w:val="FF0000"/>
                <w:sz w:val="21"/>
                <w:szCs w:val="21"/>
              </w:rPr>
            </w:pPr>
          </w:p>
        </w:tc>
        <w:tc>
          <w:tcPr>
            <w:tcW w:w="217" w:type="dxa"/>
          </w:tcPr>
          <w:p w14:paraId="24D8F7F1" w14:textId="77777777" w:rsidR="002C0FD9" w:rsidRPr="00CA25CF" w:rsidRDefault="002C0FD9" w:rsidP="00CA25CF">
            <w:pPr>
              <w:rPr>
                <w:rFonts w:cs="Arial"/>
                <w:color w:val="FF0000"/>
                <w:sz w:val="21"/>
                <w:szCs w:val="21"/>
              </w:rPr>
            </w:pPr>
          </w:p>
        </w:tc>
        <w:tc>
          <w:tcPr>
            <w:tcW w:w="217" w:type="dxa"/>
          </w:tcPr>
          <w:p w14:paraId="76BD8073" w14:textId="19E8259A" w:rsidR="002C0FD9" w:rsidRPr="00CA25CF" w:rsidRDefault="002C0FD9" w:rsidP="00CA25CF">
            <w:pPr>
              <w:rPr>
                <w:rFonts w:cs="Arial"/>
                <w:color w:val="FF0000"/>
                <w:sz w:val="21"/>
                <w:szCs w:val="21"/>
              </w:rPr>
            </w:pPr>
          </w:p>
        </w:tc>
        <w:tc>
          <w:tcPr>
            <w:tcW w:w="217" w:type="dxa"/>
          </w:tcPr>
          <w:p w14:paraId="5EF5A56D" w14:textId="77777777" w:rsidR="002C0FD9" w:rsidRPr="00CA25CF" w:rsidRDefault="002C0FD9" w:rsidP="00CA25CF">
            <w:pPr>
              <w:rPr>
                <w:rFonts w:cs="Arial"/>
                <w:color w:val="FF0000"/>
                <w:sz w:val="21"/>
                <w:szCs w:val="21"/>
              </w:rPr>
            </w:pPr>
          </w:p>
        </w:tc>
        <w:tc>
          <w:tcPr>
            <w:tcW w:w="217" w:type="dxa"/>
          </w:tcPr>
          <w:p w14:paraId="10D824C9" w14:textId="77777777" w:rsidR="002C0FD9" w:rsidRPr="00CA25CF" w:rsidRDefault="002C0FD9" w:rsidP="00CA25CF">
            <w:pPr>
              <w:rPr>
                <w:rFonts w:cs="Arial"/>
                <w:color w:val="FF0000"/>
                <w:sz w:val="21"/>
                <w:szCs w:val="21"/>
              </w:rPr>
            </w:pPr>
          </w:p>
        </w:tc>
        <w:tc>
          <w:tcPr>
            <w:tcW w:w="217" w:type="dxa"/>
          </w:tcPr>
          <w:p w14:paraId="4F07F2DC" w14:textId="77777777" w:rsidR="002C0FD9" w:rsidRPr="00CA25CF" w:rsidRDefault="002C0FD9" w:rsidP="00CA25CF">
            <w:pPr>
              <w:rPr>
                <w:rFonts w:cs="Arial"/>
                <w:color w:val="FF0000"/>
                <w:sz w:val="21"/>
                <w:szCs w:val="21"/>
              </w:rPr>
            </w:pPr>
          </w:p>
        </w:tc>
        <w:tc>
          <w:tcPr>
            <w:tcW w:w="217" w:type="dxa"/>
          </w:tcPr>
          <w:p w14:paraId="7EFCB277" w14:textId="77777777" w:rsidR="002C0FD9" w:rsidRPr="00CA25CF" w:rsidRDefault="002C0FD9" w:rsidP="00CA25CF">
            <w:pPr>
              <w:rPr>
                <w:rFonts w:cs="Arial"/>
                <w:color w:val="FF0000"/>
                <w:sz w:val="21"/>
                <w:szCs w:val="21"/>
              </w:rPr>
            </w:pPr>
          </w:p>
        </w:tc>
        <w:tc>
          <w:tcPr>
            <w:tcW w:w="217" w:type="dxa"/>
          </w:tcPr>
          <w:p w14:paraId="3F57898C" w14:textId="77777777" w:rsidR="002C0FD9" w:rsidRPr="00CA25CF" w:rsidRDefault="002C0FD9" w:rsidP="00CA25CF">
            <w:pPr>
              <w:rPr>
                <w:rFonts w:cs="Arial"/>
                <w:color w:val="FF0000"/>
                <w:sz w:val="21"/>
                <w:szCs w:val="21"/>
              </w:rPr>
            </w:pPr>
          </w:p>
        </w:tc>
        <w:tc>
          <w:tcPr>
            <w:tcW w:w="217" w:type="dxa"/>
          </w:tcPr>
          <w:p w14:paraId="1C44A58A" w14:textId="77777777" w:rsidR="002C0FD9" w:rsidRPr="00CA25CF" w:rsidRDefault="002C0FD9" w:rsidP="00CA25CF">
            <w:pPr>
              <w:rPr>
                <w:rFonts w:cs="Arial"/>
                <w:color w:val="FF0000"/>
                <w:sz w:val="21"/>
                <w:szCs w:val="21"/>
              </w:rPr>
            </w:pPr>
          </w:p>
        </w:tc>
        <w:tc>
          <w:tcPr>
            <w:tcW w:w="217" w:type="dxa"/>
          </w:tcPr>
          <w:p w14:paraId="73FAF415" w14:textId="77777777" w:rsidR="002C0FD9" w:rsidRPr="00CA25CF" w:rsidRDefault="002C0FD9" w:rsidP="00CA25CF">
            <w:pPr>
              <w:rPr>
                <w:rFonts w:cs="Arial"/>
                <w:color w:val="FF0000"/>
                <w:sz w:val="21"/>
                <w:szCs w:val="21"/>
              </w:rPr>
            </w:pPr>
          </w:p>
        </w:tc>
        <w:tc>
          <w:tcPr>
            <w:tcW w:w="217" w:type="dxa"/>
          </w:tcPr>
          <w:p w14:paraId="7D72B3F3" w14:textId="77777777" w:rsidR="002C0FD9" w:rsidRPr="00CA25CF" w:rsidRDefault="002C0FD9" w:rsidP="00CA25CF">
            <w:pPr>
              <w:rPr>
                <w:rFonts w:cs="Arial"/>
                <w:color w:val="FF0000"/>
                <w:sz w:val="21"/>
                <w:szCs w:val="21"/>
              </w:rPr>
            </w:pPr>
          </w:p>
        </w:tc>
        <w:tc>
          <w:tcPr>
            <w:tcW w:w="217" w:type="dxa"/>
          </w:tcPr>
          <w:p w14:paraId="346E67E4" w14:textId="77777777" w:rsidR="002C0FD9" w:rsidRPr="00CA25CF" w:rsidRDefault="002C0FD9" w:rsidP="00CA25CF">
            <w:pPr>
              <w:rPr>
                <w:rFonts w:cs="Arial"/>
                <w:color w:val="FF0000"/>
                <w:sz w:val="21"/>
                <w:szCs w:val="21"/>
              </w:rPr>
            </w:pPr>
          </w:p>
        </w:tc>
        <w:tc>
          <w:tcPr>
            <w:tcW w:w="217" w:type="dxa"/>
          </w:tcPr>
          <w:p w14:paraId="0A945DFD" w14:textId="77777777" w:rsidR="002C0FD9" w:rsidRPr="00CA25CF" w:rsidRDefault="002C0FD9" w:rsidP="00CA25CF">
            <w:pPr>
              <w:rPr>
                <w:rFonts w:cs="Arial"/>
                <w:color w:val="FF0000"/>
                <w:sz w:val="21"/>
                <w:szCs w:val="21"/>
              </w:rPr>
            </w:pPr>
          </w:p>
        </w:tc>
        <w:tc>
          <w:tcPr>
            <w:tcW w:w="217" w:type="dxa"/>
          </w:tcPr>
          <w:p w14:paraId="78E66350" w14:textId="77777777" w:rsidR="002C0FD9" w:rsidRPr="00CA25CF" w:rsidRDefault="002C0FD9" w:rsidP="00CA25CF">
            <w:pPr>
              <w:rPr>
                <w:rFonts w:cs="Arial"/>
                <w:color w:val="FF0000"/>
                <w:sz w:val="21"/>
                <w:szCs w:val="21"/>
              </w:rPr>
            </w:pPr>
          </w:p>
        </w:tc>
        <w:tc>
          <w:tcPr>
            <w:tcW w:w="217" w:type="dxa"/>
          </w:tcPr>
          <w:p w14:paraId="397CDAF1" w14:textId="77777777" w:rsidR="002C0FD9" w:rsidRPr="00CA25CF" w:rsidRDefault="002C0FD9" w:rsidP="00CA25CF">
            <w:pPr>
              <w:rPr>
                <w:rFonts w:cs="Arial"/>
                <w:color w:val="FF0000"/>
                <w:sz w:val="21"/>
                <w:szCs w:val="21"/>
              </w:rPr>
            </w:pPr>
          </w:p>
        </w:tc>
        <w:tc>
          <w:tcPr>
            <w:tcW w:w="217" w:type="dxa"/>
          </w:tcPr>
          <w:p w14:paraId="05E8122A" w14:textId="77777777" w:rsidR="002C0FD9" w:rsidRPr="00CA25CF" w:rsidRDefault="002C0FD9" w:rsidP="00CA25CF">
            <w:pPr>
              <w:rPr>
                <w:rFonts w:cs="Arial"/>
                <w:color w:val="FF0000"/>
                <w:sz w:val="21"/>
                <w:szCs w:val="21"/>
              </w:rPr>
            </w:pPr>
          </w:p>
        </w:tc>
        <w:tc>
          <w:tcPr>
            <w:tcW w:w="217" w:type="dxa"/>
          </w:tcPr>
          <w:p w14:paraId="330D9B18" w14:textId="77777777" w:rsidR="002C0FD9" w:rsidRPr="00CA25CF" w:rsidRDefault="002C0FD9" w:rsidP="00CA25CF">
            <w:pPr>
              <w:rPr>
                <w:rFonts w:cs="Arial"/>
                <w:color w:val="FF0000"/>
                <w:sz w:val="21"/>
                <w:szCs w:val="21"/>
              </w:rPr>
            </w:pPr>
          </w:p>
        </w:tc>
        <w:tc>
          <w:tcPr>
            <w:tcW w:w="217" w:type="dxa"/>
          </w:tcPr>
          <w:p w14:paraId="2C03A649" w14:textId="77777777" w:rsidR="002C0FD9" w:rsidRPr="00CA25CF" w:rsidRDefault="002C0FD9" w:rsidP="00CA25CF">
            <w:pPr>
              <w:rPr>
                <w:rFonts w:cs="Arial"/>
                <w:color w:val="FF0000"/>
                <w:sz w:val="21"/>
                <w:szCs w:val="21"/>
              </w:rPr>
            </w:pPr>
          </w:p>
        </w:tc>
        <w:tc>
          <w:tcPr>
            <w:tcW w:w="217" w:type="dxa"/>
          </w:tcPr>
          <w:p w14:paraId="230F0BB3" w14:textId="77777777" w:rsidR="002C0FD9" w:rsidRPr="00CA25CF" w:rsidRDefault="002C0FD9" w:rsidP="00CA25CF">
            <w:pPr>
              <w:rPr>
                <w:rFonts w:cs="Arial"/>
                <w:color w:val="FF0000"/>
                <w:sz w:val="21"/>
                <w:szCs w:val="21"/>
              </w:rPr>
            </w:pPr>
          </w:p>
        </w:tc>
        <w:tc>
          <w:tcPr>
            <w:tcW w:w="217" w:type="dxa"/>
          </w:tcPr>
          <w:p w14:paraId="134088F4" w14:textId="77777777" w:rsidR="002C0FD9" w:rsidRPr="00CA25CF" w:rsidRDefault="002C0FD9" w:rsidP="00CA25CF">
            <w:pPr>
              <w:rPr>
                <w:rFonts w:cs="Arial"/>
                <w:color w:val="FF0000"/>
                <w:sz w:val="21"/>
                <w:szCs w:val="21"/>
              </w:rPr>
            </w:pPr>
          </w:p>
        </w:tc>
        <w:tc>
          <w:tcPr>
            <w:tcW w:w="217" w:type="dxa"/>
          </w:tcPr>
          <w:p w14:paraId="2DD2B196" w14:textId="77777777" w:rsidR="002C0FD9" w:rsidRPr="00CA25CF" w:rsidRDefault="002C0FD9" w:rsidP="00CA25CF">
            <w:pPr>
              <w:rPr>
                <w:rFonts w:cs="Arial"/>
                <w:color w:val="FF0000"/>
                <w:sz w:val="21"/>
                <w:szCs w:val="21"/>
              </w:rPr>
            </w:pPr>
          </w:p>
        </w:tc>
        <w:tc>
          <w:tcPr>
            <w:tcW w:w="217" w:type="dxa"/>
          </w:tcPr>
          <w:p w14:paraId="06F3A322" w14:textId="77777777" w:rsidR="002C0FD9" w:rsidRPr="00CA25CF" w:rsidRDefault="002C0FD9" w:rsidP="00CA25CF">
            <w:pPr>
              <w:rPr>
                <w:rFonts w:cs="Arial"/>
                <w:color w:val="FF0000"/>
                <w:sz w:val="21"/>
                <w:szCs w:val="21"/>
              </w:rPr>
            </w:pPr>
          </w:p>
        </w:tc>
        <w:tc>
          <w:tcPr>
            <w:tcW w:w="217" w:type="dxa"/>
          </w:tcPr>
          <w:p w14:paraId="4BC60872" w14:textId="77777777" w:rsidR="002C0FD9" w:rsidRPr="00CA25CF" w:rsidRDefault="002C0FD9" w:rsidP="00CA25CF">
            <w:pPr>
              <w:rPr>
                <w:rFonts w:cs="Arial"/>
                <w:color w:val="FF0000"/>
                <w:sz w:val="21"/>
                <w:szCs w:val="21"/>
              </w:rPr>
            </w:pPr>
          </w:p>
        </w:tc>
        <w:tc>
          <w:tcPr>
            <w:tcW w:w="217" w:type="dxa"/>
          </w:tcPr>
          <w:p w14:paraId="073EE6FE" w14:textId="77777777" w:rsidR="002C0FD9" w:rsidRPr="00CA25CF" w:rsidRDefault="002C0FD9" w:rsidP="00CA25CF">
            <w:pPr>
              <w:rPr>
                <w:rFonts w:cs="Arial"/>
                <w:color w:val="FF0000"/>
                <w:sz w:val="21"/>
                <w:szCs w:val="21"/>
              </w:rPr>
            </w:pPr>
          </w:p>
        </w:tc>
        <w:tc>
          <w:tcPr>
            <w:tcW w:w="217" w:type="dxa"/>
          </w:tcPr>
          <w:p w14:paraId="13304F21" w14:textId="77777777" w:rsidR="002C0FD9" w:rsidRPr="00CA25CF" w:rsidRDefault="002C0FD9" w:rsidP="00CA25CF">
            <w:pPr>
              <w:rPr>
                <w:rFonts w:cs="Arial"/>
                <w:color w:val="FF0000"/>
                <w:sz w:val="21"/>
                <w:szCs w:val="21"/>
              </w:rPr>
            </w:pPr>
          </w:p>
        </w:tc>
        <w:tc>
          <w:tcPr>
            <w:tcW w:w="217" w:type="dxa"/>
          </w:tcPr>
          <w:p w14:paraId="3F5868F3" w14:textId="77777777" w:rsidR="002C0FD9" w:rsidRPr="00CA25CF" w:rsidRDefault="002C0FD9" w:rsidP="00CA25CF">
            <w:pPr>
              <w:rPr>
                <w:rFonts w:cs="Arial"/>
                <w:color w:val="FF0000"/>
                <w:sz w:val="21"/>
                <w:szCs w:val="21"/>
              </w:rPr>
            </w:pPr>
          </w:p>
        </w:tc>
        <w:tc>
          <w:tcPr>
            <w:tcW w:w="217" w:type="dxa"/>
          </w:tcPr>
          <w:p w14:paraId="3DBF0273" w14:textId="77777777" w:rsidR="002C0FD9" w:rsidRPr="00CA25CF" w:rsidRDefault="002C0FD9" w:rsidP="00CA25CF">
            <w:pPr>
              <w:rPr>
                <w:rFonts w:cs="Arial"/>
                <w:color w:val="FF0000"/>
                <w:sz w:val="21"/>
                <w:szCs w:val="21"/>
              </w:rPr>
            </w:pPr>
          </w:p>
        </w:tc>
        <w:tc>
          <w:tcPr>
            <w:tcW w:w="217" w:type="dxa"/>
          </w:tcPr>
          <w:p w14:paraId="63CDDD40" w14:textId="77777777" w:rsidR="002C0FD9" w:rsidRPr="00CA25CF" w:rsidRDefault="002C0FD9" w:rsidP="00CA25CF">
            <w:pPr>
              <w:rPr>
                <w:rFonts w:cs="Arial"/>
                <w:color w:val="FF0000"/>
                <w:sz w:val="21"/>
                <w:szCs w:val="21"/>
              </w:rPr>
            </w:pPr>
          </w:p>
        </w:tc>
        <w:tc>
          <w:tcPr>
            <w:tcW w:w="217" w:type="dxa"/>
          </w:tcPr>
          <w:p w14:paraId="6BADDA88" w14:textId="77777777" w:rsidR="002C0FD9" w:rsidRPr="00CA25CF" w:rsidRDefault="002C0FD9" w:rsidP="00CA25CF">
            <w:pPr>
              <w:rPr>
                <w:rFonts w:cs="Arial"/>
                <w:color w:val="FF0000"/>
                <w:sz w:val="21"/>
                <w:szCs w:val="21"/>
              </w:rPr>
            </w:pPr>
          </w:p>
        </w:tc>
        <w:tc>
          <w:tcPr>
            <w:tcW w:w="217" w:type="dxa"/>
          </w:tcPr>
          <w:p w14:paraId="07A57E08" w14:textId="77777777" w:rsidR="002C0FD9" w:rsidRPr="00CA25CF" w:rsidRDefault="002C0FD9" w:rsidP="00CA25CF">
            <w:pPr>
              <w:rPr>
                <w:rFonts w:cs="Arial"/>
                <w:color w:val="FF0000"/>
                <w:sz w:val="21"/>
                <w:szCs w:val="21"/>
              </w:rPr>
            </w:pPr>
          </w:p>
        </w:tc>
      </w:tr>
      <w:tr w:rsidR="002C0FD9" w:rsidRPr="00A16219" w14:paraId="0CFE4FCD" w14:textId="09BB2D25" w:rsidTr="002C0FD9">
        <w:trPr>
          <w:trHeight w:val="635"/>
        </w:trPr>
        <w:tc>
          <w:tcPr>
            <w:tcW w:w="515" w:type="dxa"/>
          </w:tcPr>
          <w:p w14:paraId="6AC38AC3" w14:textId="77777777" w:rsidR="002C0FD9" w:rsidRPr="00CA25CF" w:rsidRDefault="002C0FD9" w:rsidP="00CA25CF">
            <w:pPr>
              <w:rPr>
                <w:rFonts w:cs="Arial"/>
                <w:color w:val="FF0000"/>
                <w:sz w:val="21"/>
                <w:szCs w:val="21"/>
              </w:rPr>
            </w:pPr>
          </w:p>
        </w:tc>
        <w:tc>
          <w:tcPr>
            <w:tcW w:w="217" w:type="dxa"/>
          </w:tcPr>
          <w:p w14:paraId="52118477" w14:textId="77777777" w:rsidR="002C0FD9" w:rsidRPr="00CA25CF" w:rsidRDefault="002C0FD9" w:rsidP="00CA25CF">
            <w:pPr>
              <w:rPr>
                <w:rFonts w:cs="Arial"/>
                <w:color w:val="FF0000"/>
                <w:sz w:val="21"/>
                <w:szCs w:val="21"/>
              </w:rPr>
            </w:pPr>
          </w:p>
        </w:tc>
        <w:tc>
          <w:tcPr>
            <w:tcW w:w="217" w:type="dxa"/>
          </w:tcPr>
          <w:p w14:paraId="6AAF49CE" w14:textId="6A72D2E5" w:rsidR="002C0FD9" w:rsidRPr="00CA25CF" w:rsidRDefault="002C0FD9" w:rsidP="00CA25CF">
            <w:pPr>
              <w:rPr>
                <w:rFonts w:cs="Arial"/>
                <w:color w:val="FF0000"/>
                <w:sz w:val="21"/>
                <w:szCs w:val="21"/>
              </w:rPr>
            </w:pPr>
          </w:p>
        </w:tc>
        <w:tc>
          <w:tcPr>
            <w:tcW w:w="217" w:type="dxa"/>
          </w:tcPr>
          <w:p w14:paraId="61AF6469" w14:textId="77777777" w:rsidR="002C0FD9" w:rsidRPr="00CA25CF" w:rsidRDefault="002C0FD9" w:rsidP="00CA25CF">
            <w:pPr>
              <w:rPr>
                <w:rFonts w:cs="Arial"/>
                <w:color w:val="FF0000"/>
                <w:sz w:val="21"/>
                <w:szCs w:val="21"/>
              </w:rPr>
            </w:pPr>
          </w:p>
        </w:tc>
        <w:tc>
          <w:tcPr>
            <w:tcW w:w="217" w:type="dxa"/>
          </w:tcPr>
          <w:p w14:paraId="20AC04A9" w14:textId="77777777" w:rsidR="002C0FD9" w:rsidRPr="00CA25CF" w:rsidRDefault="002C0FD9" w:rsidP="00CA25CF">
            <w:pPr>
              <w:rPr>
                <w:rFonts w:cs="Arial"/>
                <w:color w:val="FF0000"/>
                <w:sz w:val="21"/>
                <w:szCs w:val="21"/>
              </w:rPr>
            </w:pPr>
          </w:p>
        </w:tc>
        <w:tc>
          <w:tcPr>
            <w:tcW w:w="217" w:type="dxa"/>
          </w:tcPr>
          <w:p w14:paraId="023B8C2F" w14:textId="77777777" w:rsidR="002C0FD9" w:rsidRPr="00CA25CF" w:rsidRDefault="002C0FD9" w:rsidP="00CA25CF">
            <w:pPr>
              <w:rPr>
                <w:rFonts w:cs="Arial"/>
                <w:color w:val="FF0000"/>
                <w:sz w:val="21"/>
                <w:szCs w:val="21"/>
              </w:rPr>
            </w:pPr>
          </w:p>
        </w:tc>
        <w:tc>
          <w:tcPr>
            <w:tcW w:w="217" w:type="dxa"/>
          </w:tcPr>
          <w:p w14:paraId="417D90CF" w14:textId="77777777" w:rsidR="002C0FD9" w:rsidRPr="00CA25CF" w:rsidRDefault="002C0FD9" w:rsidP="00CA25CF">
            <w:pPr>
              <w:rPr>
                <w:rFonts w:cs="Arial"/>
                <w:color w:val="FF0000"/>
                <w:sz w:val="21"/>
                <w:szCs w:val="21"/>
              </w:rPr>
            </w:pPr>
          </w:p>
        </w:tc>
        <w:tc>
          <w:tcPr>
            <w:tcW w:w="217" w:type="dxa"/>
          </w:tcPr>
          <w:p w14:paraId="092935B6" w14:textId="77777777" w:rsidR="002C0FD9" w:rsidRPr="00CA25CF" w:rsidRDefault="002C0FD9" w:rsidP="00CA25CF">
            <w:pPr>
              <w:rPr>
                <w:rFonts w:cs="Arial"/>
                <w:color w:val="FF0000"/>
                <w:sz w:val="21"/>
                <w:szCs w:val="21"/>
              </w:rPr>
            </w:pPr>
          </w:p>
        </w:tc>
        <w:tc>
          <w:tcPr>
            <w:tcW w:w="217" w:type="dxa"/>
          </w:tcPr>
          <w:p w14:paraId="137B72FC" w14:textId="77777777" w:rsidR="002C0FD9" w:rsidRPr="00CA25CF" w:rsidRDefault="002C0FD9" w:rsidP="00CA25CF">
            <w:pPr>
              <w:rPr>
                <w:rFonts w:cs="Arial"/>
                <w:color w:val="FF0000"/>
                <w:sz w:val="21"/>
                <w:szCs w:val="21"/>
              </w:rPr>
            </w:pPr>
          </w:p>
        </w:tc>
        <w:tc>
          <w:tcPr>
            <w:tcW w:w="217" w:type="dxa"/>
          </w:tcPr>
          <w:p w14:paraId="01F6E753" w14:textId="77777777" w:rsidR="002C0FD9" w:rsidRPr="00CA25CF" w:rsidRDefault="002C0FD9" w:rsidP="00CA25CF">
            <w:pPr>
              <w:rPr>
                <w:rFonts w:cs="Arial"/>
                <w:color w:val="FF0000"/>
                <w:sz w:val="21"/>
                <w:szCs w:val="21"/>
              </w:rPr>
            </w:pPr>
          </w:p>
        </w:tc>
        <w:tc>
          <w:tcPr>
            <w:tcW w:w="217" w:type="dxa"/>
          </w:tcPr>
          <w:p w14:paraId="781500FD" w14:textId="77777777" w:rsidR="002C0FD9" w:rsidRPr="00CA25CF" w:rsidRDefault="002C0FD9" w:rsidP="00CA25CF">
            <w:pPr>
              <w:rPr>
                <w:rFonts w:cs="Arial"/>
                <w:color w:val="FF0000"/>
                <w:sz w:val="21"/>
                <w:szCs w:val="21"/>
              </w:rPr>
            </w:pPr>
          </w:p>
        </w:tc>
        <w:tc>
          <w:tcPr>
            <w:tcW w:w="217" w:type="dxa"/>
          </w:tcPr>
          <w:p w14:paraId="58D3DFB3" w14:textId="77777777" w:rsidR="002C0FD9" w:rsidRPr="00CA25CF" w:rsidRDefault="002C0FD9" w:rsidP="00CA25CF">
            <w:pPr>
              <w:rPr>
                <w:rFonts w:cs="Arial"/>
                <w:color w:val="FF0000"/>
                <w:sz w:val="21"/>
                <w:szCs w:val="21"/>
              </w:rPr>
            </w:pPr>
          </w:p>
        </w:tc>
        <w:tc>
          <w:tcPr>
            <w:tcW w:w="217" w:type="dxa"/>
          </w:tcPr>
          <w:p w14:paraId="5339B51C" w14:textId="77777777" w:rsidR="002C0FD9" w:rsidRPr="00CA25CF" w:rsidRDefault="002C0FD9" w:rsidP="00CA25CF">
            <w:pPr>
              <w:rPr>
                <w:rFonts w:cs="Arial"/>
                <w:color w:val="FF0000"/>
                <w:sz w:val="21"/>
                <w:szCs w:val="21"/>
              </w:rPr>
            </w:pPr>
          </w:p>
        </w:tc>
        <w:tc>
          <w:tcPr>
            <w:tcW w:w="217" w:type="dxa"/>
          </w:tcPr>
          <w:p w14:paraId="67E5E044" w14:textId="77777777" w:rsidR="002C0FD9" w:rsidRPr="00CA25CF" w:rsidRDefault="002C0FD9" w:rsidP="00CA25CF">
            <w:pPr>
              <w:rPr>
                <w:rFonts w:cs="Arial"/>
                <w:color w:val="FF0000"/>
                <w:sz w:val="21"/>
                <w:szCs w:val="21"/>
              </w:rPr>
            </w:pPr>
          </w:p>
        </w:tc>
        <w:tc>
          <w:tcPr>
            <w:tcW w:w="217" w:type="dxa"/>
          </w:tcPr>
          <w:p w14:paraId="78D97C86" w14:textId="77777777" w:rsidR="002C0FD9" w:rsidRPr="00CA25CF" w:rsidRDefault="002C0FD9" w:rsidP="00CA25CF">
            <w:pPr>
              <w:rPr>
                <w:rFonts w:cs="Arial"/>
                <w:color w:val="FF0000"/>
                <w:sz w:val="21"/>
                <w:szCs w:val="21"/>
              </w:rPr>
            </w:pPr>
          </w:p>
        </w:tc>
        <w:tc>
          <w:tcPr>
            <w:tcW w:w="217" w:type="dxa"/>
          </w:tcPr>
          <w:p w14:paraId="3D51BB23" w14:textId="034F47A0" w:rsidR="002C0FD9" w:rsidRPr="00CA25CF" w:rsidRDefault="002C0FD9" w:rsidP="00CA25CF">
            <w:pPr>
              <w:rPr>
                <w:rFonts w:cs="Arial"/>
                <w:color w:val="FF0000"/>
                <w:sz w:val="21"/>
                <w:szCs w:val="21"/>
              </w:rPr>
            </w:pPr>
          </w:p>
        </w:tc>
        <w:tc>
          <w:tcPr>
            <w:tcW w:w="217" w:type="dxa"/>
          </w:tcPr>
          <w:p w14:paraId="0384FEF1" w14:textId="77777777" w:rsidR="002C0FD9" w:rsidRPr="00CA25CF" w:rsidRDefault="002C0FD9" w:rsidP="00CA25CF">
            <w:pPr>
              <w:rPr>
                <w:rFonts w:cs="Arial"/>
                <w:color w:val="FF0000"/>
                <w:sz w:val="21"/>
                <w:szCs w:val="21"/>
              </w:rPr>
            </w:pPr>
          </w:p>
        </w:tc>
        <w:tc>
          <w:tcPr>
            <w:tcW w:w="217" w:type="dxa"/>
          </w:tcPr>
          <w:p w14:paraId="20351322" w14:textId="77777777" w:rsidR="002C0FD9" w:rsidRPr="00CA25CF" w:rsidRDefault="002C0FD9" w:rsidP="00CA25CF">
            <w:pPr>
              <w:rPr>
                <w:rFonts w:cs="Arial"/>
                <w:color w:val="FF0000"/>
                <w:sz w:val="21"/>
                <w:szCs w:val="21"/>
              </w:rPr>
            </w:pPr>
          </w:p>
        </w:tc>
        <w:tc>
          <w:tcPr>
            <w:tcW w:w="217" w:type="dxa"/>
          </w:tcPr>
          <w:p w14:paraId="2F2BBFF1" w14:textId="77777777" w:rsidR="002C0FD9" w:rsidRPr="00CA25CF" w:rsidRDefault="002C0FD9" w:rsidP="00CA25CF">
            <w:pPr>
              <w:rPr>
                <w:rFonts w:cs="Arial"/>
                <w:color w:val="FF0000"/>
                <w:sz w:val="21"/>
                <w:szCs w:val="21"/>
              </w:rPr>
            </w:pPr>
          </w:p>
        </w:tc>
        <w:tc>
          <w:tcPr>
            <w:tcW w:w="217" w:type="dxa"/>
          </w:tcPr>
          <w:p w14:paraId="3C6F4A0E" w14:textId="77777777" w:rsidR="002C0FD9" w:rsidRPr="00CA25CF" w:rsidRDefault="002C0FD9" w:rsidP="00CA25CF">
            <w:pPr>
              <w:rPr>
                <w:rFonts w:cs="Arial"/>
                <w:color w:val="FF0000"/>
                <w:sz w:val="21"/>
                <w:szCs w:val="21"/>
              </w:rPr>
            </w:pPr>
          </w:p>
        </w:tc>
        <w:tc>
          <w:tcPr>
            <w:tcW w:w="217" w:type="dxa"/>
          </w:tcPr>
          <w:p w14:paraId="1478DC32" w14:textId="77777777" w:rsidR="002C0FD9" w:rsidRPr="00CA25CF" w:rsidRDefault="002C0FD9" w:rsidP="00CA25CF">
            <w:pPr>
              <w:rPr>
                <w:rFonts w:cs="Arial"/>
                <w:color w:val="FF0000"/>
                <w:sz w:val="21"/>
                <w:szCs w:val="21"/>
              </w:rPr>
            </w:pPr>
          </w:p>
        </w:tc>
        <w:tc>
          <w:tcPr>
            <w:tcW w:w="217" w:type="dxa"/>
          </w:tcPr>
          <w:p w14:paraId="7BA42D39" w14:textId="77777777" w:rsidR="002C0FD9" w:rsidRPr="00CA25CF" w:rsidRDefault="002C0FD9" w:rsidP="00CA25CF">
            <w:pPr>
              <w:rPr>
                <w:rFonts w:cs="Arial"/>
                <w:color w:val="FF0000"/>
                <w:sz w:val="21"/>
                <w:szCs w:val="21"/>
              </w:rPr>
            </w:pPr>
          </w:p>
        </w:tc>
        <w:tc>
          <w:tcPr>
            <w:tcW w:w="217" w:type="dxa"/>
          </w:tcPr>
          <w:p w14:paraId="6CBF9AFD" w14:textId="77777777" w:rsidR="002C0FD9" w:rsidRPr="00CA25CF" w:rsidRDefault="002C0FD9" w:rsidP="00CA25CF">
            <w:pPr>
              <w:rPr>
                <w:rFonts w:cs="Arial"/>
                <w:color w:val="FF0000"/>
                <w:sz w:val="21"/>
                <w:szCs w:val="21"/>
              </w:rPr>
            </w:pPr>
          </w:p>
        </w:tc>
        <w:tc>
          <w:tcPr>
            <w:tcW w:w="217" w:type="dxa"/>
          </w:tcPr>
          <w:p w14:paraId="0DA9BEBE" w14:textId="77777777" w:rsidR="002C0FD9" w:rsidRPr="00CA25CF" w:rsidRDefault="002C0FD9" w:rsidP="00CA25CF">
            <w:pPr>
              <w:rPr>
                <w:rFonts w:cs="Arial"/>
                <w:color w:val="FF0000"/>
                <w:sz w:val="21"/>
                <w:szCs w:val="21"/>
              </w:rPr>
            </w:pPr>
          </w:p>
        </w:tc>
        <w:tc>
          <w:tcPr>
            <w:tcW w:w="217" w:type="dxa"/>
          </w:tcPr>
          <w:p w14:paraId="440748FA" w14:textId="77777777" w:rsidR="002C0FD9" w:rsidRPr="00CA25CF" w:rsidRDefault="002C0FD9" w:rsidP="00CA25CF">
            <w:pPr>
              <w:rPr>
                <w:rFonts w:cs="Arial"/>
                <w:color w:val="FF0000"/>
                <w:sz w:val="21"/>
                <w:szCs w:val="21"/>
              </w:rPr>
            </w:pPr>
          </w:p>
        </w:tc>
        <w:tc>
          <w:tcPr>
            <w:tcW w:w="217" w:type="dxa"/>
          </w:tcPr>
          <w:p w14:paraId="6687835F" w14:textId="77777777" w:rsidR="002C0FD9" w:rsidRPr="00CA25CF" w:rsidRDefault="002C0FD9" w:rsidP="00CA25CF">
            <w:pPr>
              <w:rPr>
                <w:rFonts w:cs="Arial"/>
                <w:color w:val="FF0000"/>
                <w:sz w:val="21"/>
                <w:szCs w:val="21"/>
              </w:rPr>
            </w:pPr>
          </w:p>
        </w:tc>
        <w:tc>
          <w:tcPr>
            <w:tcW w:w="217" w:type="dxa"/>
          </w:tcPr>
          <w:p w14:paraId="77C7CA92" w14:textId="77777777" w:rsidR="002C0FD9" w:rsidRPr="00CA25CF" w:rsidRDefault="002C0FD9" w:rsidP="00CA25CF">
            <w:pPr>
              <w:rPr>
                <w:rFonts w:cs="Arial"/>
                <w:color w:val="FF0000"/>
                <w:sz w:val="21"/>
                <w:szCs w:val="21"/>
              </w:rPr>
            </w:pPr>
          </w:p>
        </w:tc>
        <w:tc>
          <w:tcPr>
            <w:tcW w:w="217" w:type="dxa"/>
          </w:tcPr>
          <w:p w14:paraId="46B334EE" w14:textId="77777777" w:rsidR="002C0FD9" w:rsidRPr="00CA25CF" w:rsidRDefault="002C0FD9" w:rsidP="00CA25CF">
            <w:pPr>
              <w:rPr>
                <w:rFonts w:cs="Arial"/>
                <w:color w:val="FF0000"/>
                <w:sz w:val="21"/>
                <w:szCs w:val="21"/>
              </w:rPr>
            </w:pPr>
          </w:p>
        </w:tc>
        <w:tc>
          <w:tcPr>
            <w:tcW w:w="217" w:type="dxa"/>
          </w:tcPr>
          <w:p w14:paraId="64026BE5" w14:textId="77777777" w:rsidR="002C0FD9" w:rsidRPr="00CA25CF" w:rsidRDefault="002C0FD9" w:rsidP="00CA25CF">
            <w:pPr>
              <w:rPr>
                <w:rFonts w:cs="Arial"/>
                <w:color w:val="FF0000"/>
                <w:sz w:val="21"/>
                <w:szCs w:val="21"/>
              </w:rPr>
            </w:pPr>
          </w:p>
        </w:tc>
        <w:tc>
          <w:tcPr>
            <w:tcW w:w="217" w:type="dxa"/>
          </w:tcPr>
          <w:p w14:paraId="4BF21D70" w14:textId="77777777" w:rsidR="002C0FD9" w:rsidRPr="00CA25CF" w:rsidRDefault="002C0FD9" w:rsidP="00CA25CF">
            <w:pPr>
              <w:rPr>
                <w:rFonts w:cs="Arial"/>
                <w:color w:val="FF0000"/>
                <w:sz w:val="21"/>
                <w:szCs w:val="21"/>
              </w:rPr>
            </w:pPr>
          </w:p>
        </w:tc>
        <w:tc>
          <w:tcPr>
            <w:tcW w:w="217" w:type="dxa"/>
          </w:tcPr>
          <w:p w14:paraId="22602516" w14:textId="77777777" w:rsidR="002C0FD9" w:rsidRPr="00CA25CF" w:rsidRDefault="002C0FD9" w:rsidP="00CA25CF">
            <w:pPr>
              <w:rPr>
                <w:rFonts w:cs="Arial"/>
                <w:color w:val="FF0000"/>
                <w:sz w:val="21"/>
                <w:szCs w:val="21"/>
              </w:rPr>
            </w:pPr>
          </w:p>
        </w:tc>
        <w:tc>
          <w:tcPr>
            <w:tcW w:w="217" w:type="dxa"/>
          </w:tcPr>
          <w:p w14:paraId="5D7B76D6" w14:textId="77777777" w:rsidR="002C0FD9" w:rsidRPr="00CA25CF" w:rsidRDefault="002C0FD9" w:rsidP="00CA25CF">
            <w:pPr>
              <w:rPr>
                <w:rFonts w:cs="Arial"/>
                <w:color w:val="FF0000"/>
                <w:sz w:val="21"/>
                <w:szCs w:val="21"/>
              </w:rPr>
            </w:pPr>
          </w:p>
        </w:tc>
        <w:tc>
          <w:tcPr>
            <w:tcW w:w="217" w:type="dxa"/>
          </w:tcPr>
          <w:p w14:paraId="648AD245" w14:textId="77777777" w:rsidR="002C0FD9" w:rsidRPr="00CA25CF" w:rsidRDefault="002C0FD9" w:rsidP="00CA25CF">
            <w:pPr>
              <w:rPr>
                <w:rFonts w:cs="Arial"/>
                <w:color w:val="FF0000"/>
                <w:sz w:val="21"/>
                <w:szCs w:val="21"/>
              </w:rPr>
            </w:pPr>
          </w:p>
        </w:tc>
        <w:tc>
          <w:tcPr>
            <w:tcW w:w="217" w:type="dxa"/>
          </w:tcPr>
          <w:p w14:paraId="3CB19BCD" w14:textId="77777777" w:rsidR="002C0FD9" w:rsidRPr="00CA25CF" w:rsidRDefault="002C0FD9" w:rsidP="00CA25CF">
            <w:pPr>
              <w:rPr>
                <w:rFonts w:cs="Arial"/>
                <w:color w:val="FF0000"/>
                <w:sz w:val="21"/>
                <w:szCs w:val="21"/>
              </w:rPr>
            </w:pPr>
          </w:p>
        </w:tc>
        <w:tc>
          <w:tcPr>
            <w:tcW w:w="217" w:type="dxa"/>
          </w:tcPr>
          <w:p w14:paraId="04B2CF2F" w14:textId="77777777" w:rsidR="002C0FD9" w:rsidRPr="00CA25CF" w:rsidRDefault="002C0FD9" w:rsidP="00CA25CF">
            <w:pPr>
              <w:rPr>
                <w:rFonts w:cs="Arial"/>
                <w:color w:val="FF0000"/>
                <w:sz w:val="21"/>
                <w:szCs w:val="21"/>
              </w:rPr>
            </w:pPr>
          </w:p>
        </w:tc>
        <w:tc>
          <w:tcPr>
            <w:tcW w:w="217" w:type="dxa"/>
          </w:tcPr>
          <w:p w14:paraId="5AC2EB08" w14:textId="77777777" w:rsidR="002C0FD9" w:rsidRPr="00CA25CF" w:rsidRDefault="002C0FD9" w:rsidP="00CA25CF">
            <w:pPr>
              <w:rPr>
                <w:rFonts w:cs="Arial"/>
                <w:color w:val="FF0000"/>
                <w:sz w:val="21"/>
                <w:szCs w:val="21"/>
              </w:rPr>
            </w:pPr>
          </w:p>
        </w:tc>
        <w:tc>
          <w:tcPr>
            <w:tcW w:w="217" w:type="dxa"/>
          </w:tcPr>
          <w:p w14:paraId="02BF6B26" w14:textId="77777777" w:rsidR="002C0FD9" w:rsidRPr="00CA25CF" w:rsidRDefault="002C0FD9" w:rsidP="00CA25CF">
            <w:pPr>
              <w:rPr>
                <w:rFonts w:cs="Arial"/>
                <w:color w:val="FF0000"/>
                <w:sz w:val="21"/>
                <w:szCs w:val="21"/>
              </w:rPr>
            </w:pPr>
          </w:p>
        </w:tc>
        <w:tc>
          <w:tcPr>
            <w:tcW w:w="217" w:type="dxa"/>
          </w:tcPr>
          <w:p w14:paraId="047E5119" w14:textId="77777777" w:rsidR="002C0FD9" w:rsidRPr="00CA25CF" w:rsidRDefault="002C0FD9" w:rsidP="00CA25CF">
            <w:pPr>
              <w:rPr>
                <w:rFonts w:cs="Arial"/>
                <w:color w:val="FF0000"/>
                <w:sz w:val="21"/>
                <w:szCs w:val="21"/>
              </w:rPr>
            </w:pPr>
          </w:p>
        </w:tc>
        <w:tc>
          <w:tcPr>
            <w:tcW w:w="217" w:type="dxa"/>
          </w:tcPr>
          <w:p w14:paraId="7CF9D9B6" w14:textId="77777777" w:rsidR="002C0FD9" w:rsidRPr="00CA25CF" w:rsidRDefault="002C0FD9" w:rsidP="00CA25CF">
            <w:pPr>
              <w:rPr>
                <w:rFonts w:cs="Arial"/>
                <w:color w:val="FF0000"/>
                <w:sz w:val="21"/>
                <w:szCs w:val="21"/>
              </w:rPr>
            </w:pPr>
          </w:p>
        </w:tc>
        <w:tc>
          <w:tcPr>
            <w:tcW w:w="217" w:type="dxa"/>
          </w:tcPr>
          <w:p w14:paraId="182223B6" w14:textId="77777777" w:rsidR="002C0FD9" w:rsidRPr="00CA25CF" w:rsidRDefault="002C0FD9" w:rsidP="00CA25CF">
            <w:pPr>
              <w:rPr>
                <w:rFonts w:cs="Arial"/>
                <w:color w:val="FF0000"/>
                <w:sz w:val="21"/>
                <w:szCs w:val="21"/>
              </w:rPr>
            </w:pPr>
          </w:p>
        </w:tc>
        <w:tc>
          <w:tcPr>
            <w:tcW w:w="217" w:type="dxa"/>
          </w:tcPr>
          <w:p w14:paraId="70C0AE0B" w14:textId="77777777" w:rsidR="002C0FD9" w:rsidRPr="00CA25CF" w:rsidRDefault="002C0FD9" w:rsidP="00CA25CF">
            <w:pPr>
              <w:rPr>
                <w:rFonts w:cs="Arial"/>
                <w:color w:val="FF0000"/>
                <w:sz w:val="21"/>
                <w:szCs w:val="21"/>
              </w:rPr>
            </w:pPr>
          </w:p>
        </w:tc>
        <w:tc>
          <w:tcPr>
            <w:tcW w:w="217" w:type="dxa"/>
          </w:tcPr>
          <w:p w14:paraId="2AE1CD4A" w14:textId="77777777" w:rsidR="002C0FD9" w:rsidRPr="00CA25CF" w:rsidRDefault="002C0FD9" w:rsidP="00CA25CF">
            <w:pPr>
              <w:rPr>
                <w:rFonts w:cs="Arial"/>
                <w:color w:val="FF0000"/>
                <w:sz w:val="21"/>
                <w:szCs w:val="21"/>
              </w:rPr>
            </w:pPr>
          </w:p>
        </w:tc>
        <w:tc>
          <w:tcPr>
            <w:tcW w:w="217" w:type="dxa"/>
          </w:tcPr>
          <w:p w14:paraId="338D5BF0" w14:textId="77777777" w:rsidR="002C0FD9" w:rsidRPr="00CA25CF" w:rsidRDefault="002C0FD9" w:rsidP="00CA25CF">
            <w:pPr>
              <w:rPr>
                <w:rFonts w:cs="Arial"/>
                <w:color w:val="FF0000"/>
                <w:sz w:val="21"/>
                <w:szCs w:val="21"/>
              </w:rPr>
            </w:pPr>
          </w:p>
        </w:tc>
      </w:tr>
      <w:tr w:rsidR="002C0FD9" w:rsidRPr="00A16219" w14:paraId="50E7E6CE" w14:textId="432A2EE8" w:rsidTr="002C0FD9">
        <w:trPr>
          <w:trHeight w:val="635"/>
        </w:trPr>
        <w:tc>
          <w:tcPr>
            <w:tcW w:w="515" w:type="dxa"/>
          </w:tcPr>
          <w:p w14:paraId="1348264B" w14:textId="77777777" w:rsidR="002C0FD9" w:rsidRPr="00CA25CF" w:rsidRDefault="002C0FD9" w:rsidP="00CA25CF">
            <w:pPr>
              <w:rPr>
                <w:rFonts w:cs="Arial"/>
                <w:color w:val="FF0000"/>
                <w:sz w:val="21"/>
                <w:szCs w:val="21"/>
              </w:rPr>
            </w:pPr>
          </w:p>
        </w:tc>
        <w:tc>
          <w:tcPr>
            <w:tcW w:w="217" w:type="dxa"/>
          </w:tcPr>
          <w:p w14:paraId="6118603E" w14:textId="77777777" w:rsidR="002C0FD9" w:rsidRPr="00CA25CF" w:rsidRDefault="002C0FD9" w:rsidP="00CA25CF">
            <w:pPr>
              <w:rPr>
                <w:rFonts w:cs="Arial"/>
                <w:color w:val="FF0000"/>
                <w:sz w:val="21"/>
                <w:szCs w:val="21"/>
              </w:rPr>
            </w:pPr>
          </w:p>
        </w:tc>
        <w:tc>
          <w:tcPr>
            <w:tcW w:w="217" w:type="dxa"/>
          </w:tcPr>
          <w:p w14:paraId="51F1D546" w14:textId="10F34E88" w:rsidR="002C0FD9" w:rsidRPr="00CA25CF" w:rsidRDefault="002C0FD9" w:rsidP="00CA25CF">
            <w:pPr>
              <w:rPr>
                <w:rFonts w:cs="Arial"/>
                <w:color w:val="FF0000"/>
                <w:sz w:val="21"/>
                <w:szCs w:val="21"/>
              </w:rPr>
            </w:pPr>
          </w:p>
        </w:tc>
        <w:tc>
          <w:tcPr>
            <w:tcW w:w="217" w:type="dxa"/>
          </w:tcPr>
          <w:p w14:paraId="458FC9F4" w14:textId="77777777" w:rsidR="002C0FD9" w:rsidRPr="00CA25CF" w:rsidRDefault="002C0FD9" w:rsidP="00CA25CF">
            <w:pPr>
              <w:rPr>
                <w:rFonts w:cs="Arial"/>
                <w:color w:val="FF0000"/>
                <w:sz w:val="21"/>
                <w:szCs w:val="21"/>
              </w:rPr>
            </w:pPr>
          </w:p>
        </w:tc>
        <w:tc>
          <w:tcPr>
            <w:tcW w:w="217" w:type="dxa"/>
          </w:tcPr>
          <w:p w14:paraId="38436238" w14:textId="77777777" w:rsidR="002C0FD9" w:rsidRPr="00CA25CF" w:rsidRDefault="002C0FD9" w:rsidP="00CA25CF">
            <w:pPr>
              <w:rPr>
                <w:rFonts w:cs="Arial"/>
                <w:color w:val="FF0000"/>
                <w:sz w:val="21"/>
                <w:szCs w:val="21"/>
              </w:rPr>
            </w:pPr>
          </w:p>
        </w:tc>
        <w:tc>
          <w:tcPr>
            <w:tcW w:w="217" w:type="dxa"/>
          </w:tcPr>
          <w:p w14:paraId="0C1BCA40" w14:textId="77777777" w:rsidR="002C0FD9" w:rsidRPr="00CA25CF" w:rsidRDefault="002C0FD9" w:rsidP="00CA25CF">
            <w:pPr>
              <w:rPr>
                <w:rFonts w:cs="Arial"/>
                <w:color w:val="FF0000"/>
                <w:sz w:val="21"/>
                <w:szCs w:val="21"/>
              </w:rPr>
            </w:pPr>
          </w:p>
        </w:tc>
        <w:tc>
          <w:tcPr>
            <w:tcW w:w="217" w:type="dxa"/>
          </w:tcPr>
          <w:p w14:paraId="212AACCE" w14:textId="77777777" w:rsidR="002C0FD9" w:rsidRPr="00CA25CF" w:rsidRDefault="002C0FD9" w:rsidP="00CA25CF">
            <w:pPr>
              <w:rPr>
                <w:rFonts w:cs="Arial"/>
                <w:color w:val="FF0000"/>
                <w:sz w:val="21"/>
                <w:szCs w:val="21"/>
              </w:rPr>
            </w:pPr>
          </w:p>
        </w:tc>
        <w:tc>
          <w:tcPr>
            <w:tcW w:w="217" w:type="dxa"/>
          </w:tcPr>
          <w:p w14:paraId="7D340D1C" w14:textId="77777777" w:rsidR="002C0FD9" w:rsidRPr="00CA25CF" w:rsidRDefault="002C0FD9" w:rsidP="00CA25CF">
            <w:pPr>
              <w:rPr>
                <w:rFonts w:cs="Arial"/>
                <w:color w:val="FF0000"/>
                <w:sz w:val="21"/>
                <w:szCs w:val="21"/>
              </w:rPr>
            </w:pPr>
          </w:p>
        </w:tc>
        <w:tc>
          <w:tcPr>
            <w:tcW w:w="217" w:type="dxa"/>
          </w:tcPr>
          <w:p w14:paraId="195C1FBD" w14:textId="77777777" w:rsidR="002C0FD9" w:rsidRPr="00CA25CF" w:rsidRDefault="002C0FD9" w:rsidP="00CA25CF">
            <w:pPr>
              <w:rPr>
                <w:rFonts w:cs="Arial"/>
                <w:color w:val="FF0000"/>
                <w:sz w:val="21"/>
                <w:szCs w:val="21"/>
              </w:rPr>
            </w:pPr>
          </w:p>
        </w:tc>
        <w:tc>
          <w:tcPr>
            <w:tcW w:w="217" w:type="dxa"/>
          </w:tcPr>
          <w:p w14:paraId="7E3A654E" w14:textId="77777777" w:rsidR="002C0FD9" w:rsidRPr="00CA25CF" w:rsidRDefault="002C0FD9" w:rsidP="00CA25CF">
            <w:pPr>
              <w:rPr>
                <w:rFonts w:cs="Arial"/>
                <w:color w:val="FF0000"/>
                <w:sz w:val="21"/>
                <w:szCs w:val="21"/>
              </w:rPr>
            </w:pPr>
          </w:p>
        </w:tc>
        <w:tc>
          <w:tcPr>
            <w:tcW w:w="217" w:type="dxa"/>
          </w:tcPr>
          <w:p w14:paraId="214D64C3" w14:textId="77777777" w:rsidR="002C0FD9" w:rsidRPr="00CA25CF" w:rsidRDefault="002C0FD9" w:rsidP="00CA25CF">
            <w:pPr>
              <w:rPr>
                <w:rFonts w:cs="Arial"/>
                <w:color w:val="FF0000"/>
                <w:sz w:val="21"/>
                <w:szCs w:val="21"/>
              </w:rPr>
            </w:pPr>
          </w:p>
        </w:tc>
        <w:tc>
          <w:tcPr>
            <w:tcW w:w="217" w:type="dxa"/>
          </w:tcPr>
          <w:p w14:paraId="311F573F" w14:textId="77777777" w:rsidR="002C0FD9" w:rsidRPr="00CA25CF" w:rsidRDefault="002C0FD9" w:rsidP="00CA25CF">
            <w:pPr>
              <w:rPr>
                <w:rFonts w:cs="Arial"/>
                <w:color w:val="FF0000"/>
                <w:sz w:val="21"/>
                <w:szCs w:val="21"/>
              </w:rPr>
            </w:pPr>
          </w:p>
        </w:tc>
        <w:tc>
          <w:tcPr>
            <w:tcW w:w="217" w:type="dxa"/>
          </w:tcPr>
          <w:p w14:paraId="1A62CD87" w14:textId="77777777" w:rsidR="002C0FD9" w:rsidRPr="00CA25CF" w:rsidRDefault="002C0FD9" w:rsidP="00CA25CF">
            <w:pPr>
              <w:rPr>
                <w:rFonts w:cs="Arial"/>
                <w:color w:val="FF0000"/>
                <w:sz w:val="21"/>
                <w:szCs w:val="21"/>
              </w:rPr>
            </w:pPr>
          </w:p>
        </w:tc>
        <w:tc>
          <w:tcPr>
            <w:tcW w:w="217" w:type="dxa"/>
          </w:tcPr>
          <w:p w14:paraId="5B736C03" w14:textId="77777777" w:rsidR="002C0FD9" w:rsidRPr="00CA25CF" w:rsidRDefault="002C0FD9" w:rsidP="00CA25CF">
            <w:pPr>
              <w:rPr>
                <w:rFonts w:cs="Arial"/>
                <w:color w:val="FF0000"/>
                <w:sz w:val="21"/>
                <w:szCs w:val="21"/>
              </w:rPr>
            </w:pPr>
          </w:p>
        </w:tc>
        <w:tc>
          <w:tcPr>
            <w:tcW w:w="217" w:type="dxa"/>
          </w:tcPr>
          <w:p w14:paraId="7603A33A" w14:textId="77777777" w:rsidR="002C0FD9" w:rsidRPr="00CA25CF" w:rsidRDefault="002C0FD9" w:rsidP="00CA25CF">
            <w:pPr>
              <w:rPr>
                <w:rFonts w:cs="Arial"/>
                <w:color w:val="FF0000"/>
                <w:sz w:val="21"/>
                <w:szCs w:val="21"/>
              </w:rPr>
            </w:pPr>
          </w:p>
        </w:tc>
        <w:tc>
          <w:tcPr>
            <w:tcW w:w="217" w:type="dxa"/>
          </w:tcPr>
          <w:p w14:paraId="626C7A56" w14:textId="79C518FA" w:rsidR="002C0FD9" w:rsidRPr="00CA25CF" w:rsidRDefault="002C0FD9" w:rsidP="00CA25CF">
            <w:pPr>
              <w:rPr>
                <w:rFonts w:cs="Arial"/>
                <w:color w:val="FF0000"/>
                <w:sz w:val="21"/>
                <w:szCs w:val="21"/>
              </w:rPr>
            </w:pPr>
          </w:p>
        </w:tc>
        <w:tc>
          <w:tcPr>
            <w:tcW w:w="217" w:type="dxa"/>
          </w:tcPr>
          <w:p w14:paraId="769E325F" w14:textId="77777777" w:rsidR="002C0FD9" w:rsidRPr="00CA25CF" w:rsidRDefault="002C0FD9" w:rsidP="00CA25CF">
            <w:pPr>
              <w:rPr>
                <w:rFonts w:cs="Arial"/>
                <w:color w:val="FF0000"/>
                <w:sz w:val="21"/>
                <w:szCs w:val="21"/>
              </w:rPr>
            </w:pPr>
          </w:p>
        </w:tc>
        <w:tc>
          <w:tcPr>
            <w:tcW w:w="217" w:type="dxa"/>
          </w:tcPr>
          <w:p w14:paraId="2DFF4D64" w14:textId="77777777" w:rsidR="002C0FD9" w:rsidRPr="00CA25CF" w:rsidRDefault="002C0FD9" w:rsidP="00CA25CF">
            <w:pPr>
              <w:rPr>
                <w:rFonts w:cs="Arial"/>
                <w:color w:val="FF0000"/>
                <w:sz w:val="21"/>
                <w:szCs w:val="21"/>
              </w:rPr>
            </w:pPr>
          </w:p>
        </w:tc>
        <w:tc>
          <w:tcPr>
            <w:tcW w:w="217" w:type="dxa"/>
          </w:tcPr>
          <w:p w14:paraId="3648B7F1" w14:textId="77777777" w:rsidR="002C0FD9" w:rsidRPr="00CA25CF" w:rsidRDefault="002C0FD9" w:rsidP="00CA25CF">
            <w:pPr>
              <w:rPr>
                <w:rFonts w:cs="Arial"/>
                <w:color w:val="FF0000"/>
                <w:sz w:val="21"/>
                <w:szCs w:val="21"/>
              </w:rPr>
            </w:pPr>
          </w:p>
        </w:tc>
        <w:tc>
          <w:tcPr>
            <w:tcW w:w="217" w:type="dxa"/>
          </w:tcPr>
          <w:p w14:paraId="1EC55E63" w14:textId="77777777" w:rsidR="002C0FD9" w:rsidRPr="00CA25CF" w:rsidRDefault="002C0FD9" w:rsidP="00CA25CF">
            <w:pPr>
              <w:rPr>
                <w:rFonts w:cs="Arial"/>
                <w:color w:val="FF0000"/>
                <w:sz w:val="21"/>
                <w:szCs w:val="21"/>
              </w:rPr>
            </w:pPr>
          </w:p>
        </w:tc>
        <w:tc>
          <w:tcPr>
            <w:tcW w:w="217" w:type="dxa"/>
          </w:tcPr>
          <w:p w14:paraId="14C2BA88" w14:textId="77777777" w:rsidR="002C0FD9" w:rsidRPr="00CA25CF" w:rsidRDefault="002C0FD9" w:rsidP="00CA25CF">
            <w:pPr>
              <w:rPr>
                <w:rFonts w:cs="Arial"/>
                <w:color w:val="FF0000"/>
                <w:sz w:val="21"/>
                <w:szCs w:val="21"/>
              </w:rPr>
            </w:pPr>
          </w:p>
        </w:tc>
        <w:tc>
          <w:tcPr>
            <w:tcW w:w="217" w:type="dxa"/>
          </w:tcPr>
          <w:p w14:paraId="0D7AC096" w14:textId="77777777" w:rsidR="002C0FD9" w:rsidRPr="00CA25CF" w:rsidRDefault="002C0FD9" w:rsidP="00CA25CF">
            <w:pPr>
              <w:rPr>
                <w:rFonts w:cs="Arial"/>
                <w:color w:val="FF0000"/>
                <w:sz w:val="21"/>
                <w:szCs w:val="21"/>
              </w:rPr>
            </w:pPr>
          </w:p>
        </w:tc>
        <w:tc>
          <w:tcPr>
            <w:tcW w:w="217" w:type="dxa"/>
          </w:tcPr>
          <w:p w14:paraId="445641D6" w14:textId="77777777" w:rsidR="002C0FD9" w:rsidRPr="00CA25CF" w:rsidRDefault="002C0FD9" w:rsidP="00CA25CF">
            <w:pPr>
              <w:rPr>
                <w:rFonts w:cs="Arial"/>
                <w:color w:val="FF0000"/>
                <w:sz w:val="21"/>
                <w:szCs w:val="21"/>
              </w:rPr>
            </w:pPr>
          </w:p>
        </w:tc>
        <w:tc>
          <w:tcPr>
            <w:tcW w:w="217" w:type="dxa"/>
          </w:tcPr>
          <w:p w14:paraId="3C289A7D" w14:textId="77777777" w:rsidR="002C0FD9" w:rsidRPr="00CA25CF" w:rsidRDefault="002C0FD9" w:rsidP="00CA25CF">
            <w:pPr>
              <w:rPr>
                <w:rFonts w:cs="Arial"/>
                <w:color w:val="FF0000"/>
                <w:sz w:val="21"/>
                <w:szCs w:val="21"/>
              </w:rPr>
            </w:pPr>
          </w:p>
        </w:tc>
        <w:tc>
          <w:tcPr>
            <w:tcW w:w="217" w:type="dxa"/>
          </w:tcPr>
          <w:p w14:paraId="7CBB8EE3" w14:textId="77777777" w:rsidR="002C0FD9" w:rsidRPr="00CA25CF" w:rsidRDefault="002C0FD9" w:rsidP="00CA25CF">
            <w:pPr>
              <w:rPr>
                <w:rFonts w:cs="Arial"/>
                <w:color w:val="FF0000"/>
                <w:sz w:val="21"/>
                <w:szCs w:val="21"/>
              </w:rPr>
            </w:pPr>
          </w:p>
        </w:tc>
        <w:tc>
          <w:tcPr>
            <w:tcW w:w="217" w:type="dxa"/>
          </w:tcPr>
          <w:p w14:paraId="4265A6BB" w14:textId="77777777" w:rsidR="002C0FD9" w:rsidRPr="00CA25CF" w:rsidRDefault="002C0FD9" w:rsidP="00CA25CF">
            <w:pPr>
              <w:rPr>
                <w:rFonts w:cs="Arial"/>
                <w:color w:val="FF0000"/>
                <w:sz w:val="21"/>
                <w:szCs w:val="21"/>
              </w:rPr>
            </w:pPr>
          </w:p>
        </w:tc>
        <w:tc>
          <w:tcPr>
            <w:tcW w:w="217" w:type="dxa"/>
          </w:tcPr>
          <w:p w14:paraId="50BA2EF9" w14:textId="77777777" w:rsidR="002C0FD9" w:rsidRPr="00CA25CF" w:rsidRDefault="002C0FD9" w:rsidP="00CA25CF">
            <w:pPr>
              <w:rPr>
                <w:rFonts w:cs="Arial"/>
                <w:color w:val="FF0000"/>
                <w:sz w:val="21"/>
                <w:szCs w:val="21"/>
              </w:rPr>
            </w:pPr>
          </w:p>
        </w:tc>
        <w:tc>
          <w:tcPr>
            <w:tcW w:w="217" w:type="dxa"/>
          </w:tcPr>
          <w:p w14:paraId="11A8D489" w14:textId="77777777" w:rsidR="002C0FD9" w:rsidRPr="00CA25CF" w:rsidRDefault="002C0FD9" w:rsidP="00CA25CF">
            <w:pPr>
              <w:rPr>
                <w:rFonts w:cs="Arial"/>
                <w:color w:val="FF0000"/>
                <w:sz w:val="21"/>
                <w:szCs w:val="21"/>
              </w:rPr>
            </w:pPr>
          </w:p>
        </w:tc>
        <w:tc>
          <w:tcPr>
            <w:tcW w:w="217" w:type="dxa"/>
          </w:tcPr>
          <w:p w14:paraId="14EE4997" w14:textId="77777777" w:rsidR="002C0FD9" w:rsidRPr="00CA25CF" w:rsidRDefault="002C0FD9" w:rsidP="00CA25CF">
            <w:pPr>
              <w:rPr>
                <w:rFonts w:cs="Arial"/>
                <w:color w:val="FF0000"/>
                <w:sz w:val="21"/>
                <w:szCs w:val="21"/>
              </w:rPr>
            </w:pPr>
          </w:p>
        </w:tc>
        <w:tc>
          <w:tcPr>
            <w:tcW w:w="217" w:type="dxa"/>
          </w:tcPr>
          <w:p w14:paraId="1489D3B7" w14:textId="77777777" w:rsidR="002C0FD9" w:rsidRPr="00CA25CF" w:rsidRDefault="002C0FD9" w:rsidP="00CA25CF">
            <w:pPr>
              <w:rPr>
                <w:rFonts w:cs="Arial"/>
                <w:color w:val="FF0000"/>
                <w:sz w:val="21"/>
                <w:szCs w:val="21"/>
              </w:rPr>
            </w:pPr>
          </w:p>
        </w:tc>
        <w:tc>
          <w:tcPr>
            <w:tcW w:w="217" w:type="dxa"/>
          </w:tcPr>
          <w:p w14:paraId="068BCD41" w14:textId="77777777" w:rsidR="002C0FD9" w:rsidRPr="00CA25CF" w:rsidRDefault="002C0FD9" w:rsidP="00CA25CF">
            <w:pPr>
              <w:rPr>
                <w:rFonts w:cs="Arial"/>
                <w:color w:val="FF0000"/>
                <w:sz w:val="21"/>
                <w:szCs w:val="21"/>
              </w:rPr>
            </w:pPr>
          </w:p>
        </w:tc>
        <w:tc>
          <w:tcPr>
            <w:tcW w:w="217" w:type="dxa"/>
          </w:tcPr>
          <w:p w14:paraId="3C4DEBD0" w14:textId="77777777" w:rsidR="002C0FD9" w:rsidRPr="00CA25CF" w:rsidRDefault="002C0FD9" w:rsidP="00CA25CF">
            <w:pPr>
              <w:rPr>
                <w:rFonts w:cs="Arial"/>
                <w:color w:val="FF0000"/>
                <w:sz w:val="21"/>
                <w:szCs w:val="21"/>
              </w:rPr>
            </w:pPr>
          </w:p>
        </w:tc>
        <w:tc>
          <w:tcPr>
            <w:tcW w:w="217" w:type="dxa"/>
          </w:tcPr>
          <w:p w14:paraId="145C630E" w14:textId="77777777" w:rsidR="002C0FD9" w:rsidRPr="00CA25CF" w:rsidRDefault="002C0FD9" w:rsidP="00CA25CF">
            <w:pPr>
              <w:rPr>
                <w:rFonts w:cs="Arial"/>
                <w:color w:val="FF0000"/>
                <w:sz w:val="21"/>
                <w:szCs w:val="21"/>
              </w:rPr>
            </w:pPr>
          </w:p>
        </w:tc>
        <w:tc>
          <w:tcPr>
            <w:tcW w:w="217" w:type="dxa"/>
          </w:tcPr>
          <w:p w14:paraId="3750D76B" w14:textId="77777777" w:rsidR="002C0FD9" w:rsidRPr="00CA25CF" w:rsidRDefault="002C0FD9" w:rsidP="00CA25CF">
            <w:pPr>
              <w:rPr>
                <w:rFonts w:cs="Arial"/>
                <w:color w:val="FF0000"/>
                <w:sz w:val="21"/>
                <w:szCs w:val="21"/>
              </w:rPr>
            </w:pPr>
          </w:p>
        </w:tc>
        <w:tc>
          <w:tcPr>
            <w:tcW w:w="217" w:type="dxa"/>
          </w:tcPr>
          <w:p w14:paraId="3364FAB7" w14:textId="77777777" w:rsidR="002C0FD9" w:rsidRPr="00CA25CF" w:rsidRDefault="002C0FD9" w:rsidP="00CA25CF">
            <w:pPr>
              <w:rPr>
                <w:rFonts w:cs="Arial"/>
                <w:color w:val="FF0000"/>
                <w:sz w:val="21"/>
                <w:szCs w:val="21"/>
              </w:rPr>
            </w:pPr>
          </w:p>
        </w:tc>
        <w:tc>
          <w:tcPr>
            <w:tcW w:w="217" w:type="dxa"/>
          </w:tcPr>
          <w:p w14:paraId="43F305F6" w14:textId="77777777" w:rsidR="002C0FD9" w:rsidRPr="00CA25CF" w:rsidRDefault="002C0FD9" w:rsidP="00CA25CF">
            <w:pPr>
              <w:rPr>
                <w:rFonts w:cs="Arial"/>
                <w:color w:val="FF0000"/>
                <w:sz w:val="21"/>
                <w:szCs w:val="21"/>
              </w:rPr>
            </w:pPr>
          </w:p>
        </w:tc>
        <w:tc>
          <w:tcPr>
            <w:tcW w:w="217" w:type="dxa"/>
          </w:tcPr>
          <w:p w14:paraId="5D389325" w14:textId="77777777" w:rsidR="002C0FD9" w:rsidRPr="00CA25CF" w:rsidRDefault="002C0FD9" w:rsidP="00CA25CF">
            <w:pPr>
              <w:rPr>
                <w:rFonts w:cs="Arial"/>
                <w:color w:val="FF0000"/>
                <w:sz w:val="21"/>
                <w:szCs w:val="21"/>
              </w:rPr>
            </w:pPr>
          </w:p>
        </w:tc>
        <w:tc>
          <w:tcPr>
            <w:tcW w:w="217" w:type="dxa"/>
          </w:tcPr>
          <w:p w14:paraId="5E71D80B" w14:textId="77777777" w:rsidR="002C0FD9" w:rsidRPr="00CA25CF" w:rsidRDefault="002C0FD9" w:rsidP="00CA25CF">
            <w:pPr>
              <w:rPr>
                <w:rFonts w:cs="Arial"/>
                <w:color w:val="FF0000"/>
                <w:sz w:val="21"/>
                <w:szCs w:val="21"/>
              </w:rPr>
            </w:pPr>
          </w:p>
        </w:tc>
        <w:tc>
          <w:tcPr>
            <w:tcW w:w="217" w:type="dxa"/>
          </w:tcPr>
          <w:p w14:paraId="507A0386" w14:textId="77777777" w:rsidR="002C0FD9" w:rsidRPr="00CA25CF" w:rsidRDefault="002C0FD9" w:rsidP="00CA25CF">
            <w:pPr>
              <w:rPr>
                <w:rFonts w:cs="Arial"/>
                <w:color w:val="FF0000"/>
                <w:sz w:val="21"/>
                <w:szCs w:val="21"/>
              </w:rPr>
            </w:pPr>
          </w:p>
        </w:tc>
        <w:tc>
          <w:tcPr>
            <w:tcW w:w="217" w:type="dxa"/>
          </w:tcPr>
          <w:p w14:paraId="73E60A3D" w14:textId="77777777" w:rsidR="002C0FD9" w:rsidRPr="00CA25CF" w:rsidRDefault="002C0FD9" w:rsidP="00CA25CF">
            <w:pPr>
              <w:rPr>
                <w:rFonts w:cs="Arial"/>
                <w:color w:val="FF0000"/>
                <w:sz w:val="21"/>
                <w:szCs w:val="21"/>
              </w:rPr>
            </w:pPr>
          </w:p>
        </w:tc>
        <w:tc>
          <w:tcPr>
            <w:tcW w:w="217" w:type="dxa"/>
          </w:tcPr>
          <w:p w14:paraId="5B23A8D7" w14:textId="77777777" w:rsidR="002C0FD9" w:rsidRPr="00CA25CF" w:rsidRDefault="002C0FD9" w:rsidP="00CA25CF">
            <w:pPr>
              <w:rPr>
                <w:rFonts w:cs="Arial"/>
                <w:color w:val="FF0000"/>
                <w:sz w:val="21"/>
                <w:szCs w:val="21"/>
              </w:rPr>
            </w:pPr>
          </w:p>
        </w:tc>
        <w:tc>
          <w:tcPr>
            <w:tcW w:w="217" w:type="dxa"/>
          </w:tcPr>
          <w:p w14:paraId="0211227E" w14:textId="77777777" w:rsidR="002C0FD9" w:rsidRPr="00CA25CF" w:rsidRDefault="002C0FD9" w:rsidP="00CA25CF">
            <w:pPr>
              <w:rPr>
                <w:rFonts w:cs="Arial"/>
                <w:color w:val="FF0000"/>
                <w:sz w:val="21"/>
                <w:szCs w:val="21"/>
              </w:rPr>
            </w:pPr>
          </w:p>
        </w:tc>
        <w:tc>
          <w:tcPr>
            <w:tcW w:w="217" w:type="dxa"/>
          </w:tcPr>
          <w:p w14:paraId="6664DBD7" w14:textId="77777777" w:rsidR="002C0FD9" w:rsidRPr="00CA25CF" w:rsidRDefault="002C0FD9" w:rsidP="00CA25CF">
            <w:pPr>
              <w:rPr>
                <w:rFonts w:cs="Arial"/>
                <w:color w:val="FF0000"/>
                <w:sz w:val="21"/>
                <w:szCs w:val="21"/>
              </w:rPr>
            </w:pPr>
          </w:p>
        </w:tc>
      </w:tr>
      <w:tr w:rsidR="002C0FD9" w:rsidRPr="00A16219" w14:paraId="24BC0A35" w14:textId="31E95B58" w:rsidTr="002C0FD9">
        <w:trPr>
          <w:trHeight w:val="635"/>
        </w:trPr>
        <w:tc>
          <w:tcPr>
            <w:tcW w:w="515" w:type="dxa"/>
          </w:tcPr>
          <w:p w14:paraId="6B8E3B6F" w14:textId="77777777" w:rsidR="002C0FD9" w:rsidRPr="00CA25CF" w:rsidRDefault="002C0FD9" w:rsidP="00CA25CF">
            <w:pPr>
              <w:rPr>
                <w:rFonts w:cs="Arial"/>
                <w:color w:val="FF0000"/>
                <w:sz w:val="21"/>
                <w:szCs w:val="21"/>
              </w:rPr>
            </w:pPr>
          </w:p>
        </w:tc>
        <w:tc>
          <w:tcPr>
            <w:tcW w:w="217" w:type="dxa"/>
          </w:tcPr>
          <w:p w14:paraId="084FE8AF" w14:textId="77777777" w:rsidR="002C0FD9" w:rsidRPr="00CA25CF" w:rsidRDefault="002C0FD9" w:rsidP="00CA25CF">
            <w:pPr>
              <w:rPr>
                <w:rFonts w:cs="Arial"/>
                <w:color w:val="FF0000"/>
                <w:sz w:val="21"/>
                <w:szCs w:val="21"/>
              </w:rPr>
            </w:pPr>
          </w:p>
        </w:tc>
        <w:tc>
          <w:tcPr>
            <w:tcW w:w="217" w:type="dxa"/>
          </w:tcPr>
          <w:p w14:paraId="4A8AFFEB" w14:textId="2B19654C" w:rsidR="002C0FD9" w:rsidRPr="00CA25CF" w:rsidRDefault="002C0FD9" w:rsidP="00CA25CF">
            <w:pPr>
              <w:rPr>
                <w:rFonts w:cs="Arial"/>
                <w:color w:val="FF0000"/>
                <w:sz w:val="21"/>
                <w:szCs w:val="21"/>
              </w:rPr>
            </w:pPr>
          </w:p>
        </w:tc>
        <w:tc>
          <w:tcPr>
            <w:tcW w:w="217" w:type="dxa"/>
          </w:tcPr>
          <w:p w14:paraId="5188B81B" w14:textId="77777777" w:rsidR="002C0FD9" w:rsidRPr="00CA25CF" w:rsidRDefault="002C0FD9" w:rsidP="00CA25CF">
            <w:pPr>
              <w:rPr>
                <w:rFonts w:cs="Arial"/>
                <w:color w:val="FF0000"/>
                <w:sz w:val="21"/>
                <w:szCs w:val="21"/>
              </w:rPr>
            </w:pPr>
          </w:p>
        </w:tc>
        <w:tc>
          <w:tcPr>
            <w:tcW w:w="217" w:type="dxa"/>
          </w:tcPr>
          <w:p w14:paraId="050BC691" w14:textId="77777777" w:rsidR="002C0FD9" w:rsidRPr="00CA25CF" w:rsidRDefault="002C0FD9" w:rsidP="00CA25CF">
            <w:pPr>
              <w:rPr>
                <w:rFonts w:cs="Arial"/>
                <w:color w:val="FF0000"/>
                <w:sz w:val="21"/>
                <w:szCs w:val="21"/>
              </w:rPr>
            </w:pPr>
          </w:p>
        </w:tc>
        <w:tc>
          <w:tcPr>
            <w:tcW w:w="217" w:type="dxa"/>
          </w:tcPr>
          <w:p w14:paraId="2FCD6B97" w14:textId="77777777" w:rsidR="002C0FD9" w:rsidRPr="00CA25CF" w:rsidRDefault="002C0FD9" w:rsidP="00CA25CF">
            <w:pPr>
              <w:rPr>
                <w:rFonts w:cs="Arial"/>
                <w:color w:val="FF0000"/>
                <w:sz w:val="21"/>
                <w:szCs w:val="21"/>
              </w:rPr>
            </w:pPr>
          </w:p>
        </w:tc>
        <w:tc>
          <w:tcPr>
            <w:tcW w:w="217" w:type="dxa"/>
          </w:tcPr>
          <w:p w14:paraId="76A53B32" w14:textId="77777777" w:rsidR="002C0FD9" w:rsidRPr="00CA25CF" w:rsidRDefault="002C0FD9" w:rsidP="00CA25CF">
            <w:pPr>
              <w:rPr>
                <w:rFonts w:cs="Arial"/>
                <w:color w:val="FF0000"/>
                <w:sz w:val="21"/>
                <w:szCs w:val="21"/>
              </w:rPr>
            </w:pPr>
          </w:p>
        </w:tc>
        <w:tc>
          <w:tcPr>
            <w:tcW w:w="217" w:type="dxa"/>
          </w:tcPr>
          <w:p w14:paraId="3BDCE7F9" w14:textId="77777777" w:rsidR="002C0FD9" w:rsidRPr="00CA25CF" w:rsidRDefault="002C0FD9" w:rsidP="00CA25CF">
            <w:pPr>
              <w:rPr>
                <w:rFonts w:cs="Arial"/>
                <w:color w:val="FF0000"/>
                <w:sz w:val="21"/>
                <w:szCs w:val="21"/>
              </w:rPr>
            </w:pPr>
          </w:p>
        </w:tc>
        <w:tc>
          <w:tcPr>
            <w:tcW w:w="217" w:type="dxa"/>
          </w:tcPr>
          <w:p w14:paraId="4EDC8F69" w14:textId="77777777" w:rsidR="002C0FD9" w:rsidRPr="00CA25CF" w:rsidRDefault="002C0FD9" w:rsidP="00CA25CF">
            <w:pPr>
              <w:rPr>
                <w:rFonts w:cs="Arial"/>
                <w:color w:val="FF0000"/>
                <w:sz w:val="21"/>
                <w:szCs w:val="21"/>
              </w:rPr>
            </w:pPr>
          </w:p>
        </w:tc>
        <w:tc>
          <w:tcPr>
            <w:tcW w:w="217" w:type="dxa"/>
          </w:tcPr>
          <w:p w14:paraId="7E768DC7" w14:textId="77777777" w:rsidR="002C0FD9" w:rsidRPr="00CA25CF" w:rsidRDefault="002C0FD9" w:rsidP="00CA25CF">
            <w:pPr>
              <w:rPr>
                <w:rFonts w:cs="Arial"/>
                <w:color w:val="FF0000"/>
                <w:sz w:val="21"/>
                <w:szCs w:val="21"/>
              </w:rPr>
            </w:pPr>
          </w:p>
        </w:tc>
        <w:tc>
          <w:tcPr>
            <w:tcW w:w="217" w:type="dxa"/>
          </w:tcPr>
          <w:p w14:paraId="2529F4F2" w14:textId="77777777" w:rsidR="002C0FD9" w:rsidRPr="00CA25CF" w:rsidRDefault="002C0FD9" w:rsidP="00CA25CF">
            <w:pPr>
              <w:rPr>
                <w:rFonts w:cs="Arial"/>
                <w:color w:val="FF0000"/>
                <w:sz w:val="21"/>
                <w:szCs w:val="21"/>
              </w:rPr>
            </w:pPr>
          </w:p>
        </w:tc>
        <w:tc>
          <w:tcPr>
            <w:tcW w:w="217" w:type="dxa"/>
          </w:tcPr>
          <w:p w14:paraId="55A69FBC" w14:textId="77777777" w:rsidR="002C0FD9" w:rsidRPr="00CA25CF" w:rsidRDefault="002C0FD9" w:rsidP="00CA25CF">
            <w:pPr>
              <w:rPr>
                <w:rFonts w:cs="Arial"/>
                <w:color w:val="FF0000"/>
                <w:sz w:val="21"/>
                <w:szCs w:val="21"/>
              </w:rPr>
            </w:pPr>
          </w:p>
        </w:tc>
        <w:tc>
          <w:tcPr>
            <w:tcW w:w="217" w:type="dxa"/>
          </w:tcPr>
          <w:p w14:paraId="744AD57F" w14:textId="77777777" w:rsidR="002C0FD9" w:rsidRPr="00CA25CF" w:rsidRDefault="002C0FD9" w:rsidP="00CA25CF">
            <w:pPr>
              <w:rPr>
                <w:rFonts w:cs="Arial"/>
                <w:color w:val="FF0000"/>
                <w:sz w:val="21"/>
                <w:szCs w:val="21"/>
              </w:rPr>
            </w:pPr>
          </w:p>
        </w:tc>
        <w:tc>
          <w:tcPr>
            <w:tcW w:w="217" w:type="dxa"/>
          </w:tcPr>
          <w:p w14:paraId="75ED600C" w14:textId="77777777" w:rsidR="002C0FD9" w:rsidRPr="00CA25CF" w:rsidRDefault="002C0FD9" w:rsidP="00CA25CF">
            <w:pPr>
              <w:rPr>
                <w:rFonts w:cs="Arial"/>
                <w:color w:val="FF0000"/>
                <w:sz w:val="21"/>
                <w:szCs w:val="21"/>
              </w:rPr>
            </w:pPr>
          </w:p>
        </w:tc>
        <w:tc>
          <w:tcPr>
            <w:tcW w:w="217" w:type="dxa"/>
          </w:tcPr>
          <w:p w14:paraId="2E8A9064" w14:textId="77777777" w:rsidR="002C0FD9" w:rsidRPr="00CA25CF" w:rsidRDefault="002C0FD9" w:rsidP="00CA25CF">
            <w:pPr>
              <w:rPr>
                <w:rFonts w:cs="Arial"/>
                <w:color w:val="FF0000"/>
                <w:sz w:val="21"/>
                <w:szCs w:val="21"/>
              </w:rPr>
            </w:pPr>
          </w:p>
        </w:tc>
        <w:tc>
          <w:tcPr>
            <w:tcW w:w="217" w:type="dxa"/>
          </w:tcPr>
          <w:p w14:paraId="595C0AC5" w14:textId="7107AF4A" w:rsidR="002C0FD9" w:rsidRPr="00CA25CF" w:rsidRDefault="002C0FD9" w:rsidP="00CA25CF">
            <w:pPr>
              <w:rPr>
                <w:rFonts w:cs="Arial"/>
                <w:color w:val="FF0000"/>
                <w:sz w:val="21"/>
                <w:szCs w:val="21"/>
              </w:rPr>
            </w:pPr>
          </w:p>
        </w:tc>
        <w:tc>
          <w:tcPr>
            <w:tcW w:w="217" w:type="dxa"/>
          </w:tcPr>
          <w:p w14:paraId="3B161124" w14:textId="77777777" w:rsidR="002C0FD9" w:rsidRPr="00CA25CF" w:rsidRDefault="002C0FD9" w:rsidP="00CA25CF">
            <w:pPr>
              <w:rPr>
                <w:rFonts w:cs="Arial"/>
                <w:color w:val="FF0000"/>
                <w:sz w:val="21"/>
                <w:szCs w:val="21"/>
              </w:rPr>
            </w:pPr>
          </w:p>
        </w:tc>
        <w:tc>
          <w:tcPr>
            <w:tcW w:w="217" w:type="dxa"/>
          </w:tcPr>
          <w:p w14:paraId="589C694B" w14:textId="77777777" w:rsidR="002C0FD9" w:rsidRPr="00CA25CF" w:rsidRDefault="002C0FD9" w:rsidP="00CA25CF">
            <w:pPr>
              <w:rPr>
                <w:rFonts w:cs="Arial"/>
                <w:color w:val="FF0000"/>
                <w:sz w:val="21"/>
                <w:szCs w:val="21"/>
              </w:rPr>
            </w:pPr>
          </w:p>
        </w:tc>
        <w:tc>
          <w:tcPr>
            <w:tcW w:w="217" w:type="dxa"/>
          </w:tcPr>
          <w:p w14:paraId="03804C93" w14:textId="77777777" w:rsidR="002C0FD9" w:rsidRPr="00CA25CF" w:rsidRDefault="002C0FD9" w:rsidP="00CA25CF">
            <w:pPr>
              <w:rPr>
                <w:rFonts w:cs="Arial"/>
                <w:color w:val="FF0000"/>
                <w:sz w:val="21"/>
                <w:szCs w:val="21"/>
              </w:rPr>
            </w:pPr>
          </w:p>
        </w:tc>
        <w:tc>
          <w:tcPr>
            <w:tcW w:w="217" w:type="dxa"/>
          </w:tcPr>
          <w:p w14:paraId="6C064D36" w14:textId="77777777" w:rsidR="002C0FD9" w:rsidRPr="00CA25CF" w:rsidRDefault="002C0FD9" w:rsidP="00CA25CF">
            <w:pPr>
              <w:rPr>
                <w:rFonts w:cs="Arial"/>
                <w:color w:val="FF0000"/>
                <w:sz w:val="21"/>
                <w:szCs w:val="21"/>
              </w:rPr>
            </w:pPr>
          </w:p>
        </w:tc>
        <w:tc>
          <w:tcPr>
            <w:tcW w:w="217" w:type="dxa"/>
          </w:tcPr>
          <w:p w14:paraId="48CCF818" w14:textId="77777777" w:rsidR="002C0FD9" w:rsidRPr="00CA25CF" w:rsidRDefault="002C0FD9" w:rsidP="00CA25CF">
            <w:pPr>
              <w:rPr>
                <w:rFonts w:cs="Arial"/>
                <w:color w:val="FF0000"/>
                <w:sz w:val="21"/>
                <w:szCs w:val="21"/>
              </w:rPr>
            </w:pPr>
          </w:p>
        </w:tc>
        <w:tc>
          <w:tcPr>
            <w:tcW w:w="217" w:type="dxa"/>
          </w:tcPr>
          <w:p w14:paraId="7A5684B6" w14:textId="77777777" w:rsidR="002C0FD9" w:rsidRPr="00CA25CF" w:rsidRDefault="002C0FD9" w:rsidP="00CA25CF">
            <w:pPr>
              <w:rPr>
                <w:rFonts w:cs="Arial"/>
                <w:color w:val="FF0000"/>
                <w:sz w:val="21"/>
                <w:szCs w:val="21"/>
              </w:rPr>
            </w:pPr>
          </w:p>
        </w:tc>
        <w:tc>
          <w:tcPr>
            <w:tcW w:w="217" w:type="dxa"/>
          </w:tcPr>
          <w:p w14:paraId="60620B18" w14:textId="77777777" w:rsidR="002C0FD9" w:rsidRPr="00CA25CF" w:rsidRDefault="002C0FD9" w:rsidP="00CA25CF">
            <w:pPr>
              <w:rPr>
                <w:rFonts w:cs="Arial"/>
                <w:color w:val="FF0000"/>
                <w:sz w:val="21"/>
                <w:szCs w:val="21"/>
              </w:rPr>
            </w:pPr>
          </w:p>
        </w:tc>
        <w:tc>
          <w:tcPr>
            <w:tcW w:w="217" w:type="dxa"/>
          </w:tcPr>
          <w:p w14:paraId="2C50868A" w14:textId="77777777" w:rsidR="002C0FD9" w:rsidRPr="00CA25CF" w:rsidRDefault="002C0FD9" w:rsidP="00CA25CF">
            <w:pPr>
              <w:rPr>
                <w:rFonts w:cs="Arial"/>
                <w:color w:val="FF0000"/>
                <w:sz w:val="21"/>
                <w:szCs w:val="21"/>
              </w:rPr>
            </w:pPr>
          </w:p>
        </w:tc>
        <w:tc>
          <w:tcPr>
            <w:tcW w:w="217" w:type="dxa"/>
          </w:tcPr>
          <w:p w14:paraId="28462869" w14:textId="77777777" w:rsidR="002C0FD9" w:rsidRPr="00CA25CF" w:rsidRDefault="002C0FD9" w:rsidP="00CA25CF">
            <w:pPr>
              <w:rPr>
                <w:rFonts w:cs="Arial"/>
                <w:color w:val="FF0000"/>
                <w:sz w:val="21"/>
                <w:szCs w:val="21"/>
              </w:rPr>
            </w:pPr>
          </w:p>
        </w:tc>
        <w:tc>
          <w:tcPr>
            <w:tcW w:w="217" w:type="dxa"/>
          </w:tcPr>
          <w:p w14:paraId="26891A8A" w14:textId="77777777" w:rsidR="002C0FD9" w:rsidRPr="00CA25CF" w:rsidRDefault="002C0FD9" w:rsidP="00CA25CF">
            <w:pPr>
              <w:rPr>
                <w:rFonts w:cs="Arial"/>
                <w:color w:val="FF0000"/>
                <w:sz w:val="21"/>
                <w:szCs w:val="21"/>
              </w:rPr>
            </w:pPr>
          </w:p>
        </w:tc>
        <w:tc>
          <w:tcPr>
            <w:tcW w:w="217" w:type="dxa"/>
          </w:tcPr>
          <w:p w14:paraId="74CBE42A" w14:textId="77777777" w:rsidR="002C0FD9" w:rsidRPr="00CA25CF" w:rsidRDefault="002C0FD9" w:rsidP="00CA25CF">
            <w:pPr>
              <w:rPr>
                <w:rFonts w:cs="Arial"/>
                <w:color w:val="FF0000"/>
                <w:sz w:val="21"/>
                <w:szCs w:val="21"/>
              </w:rPr>
            </w:pPr>
          </w:p>
        </w:tc>
        <w:tc>
          <w:tcPr>
            <w:tcW w:w="217" w:type="dxa"/>
          </w:tcPr>
          <w:p w14:paraId="4CFD1CC3" w14:textId="77777777" w:rsidR="002C0FD9" w:rsidRPr="00CA25CF" w:rsidRDefault="002C0FD9" w:rsidP="00CA25CF">
            <w:pPr>
              <w:rPr>
                <w:rFonts w:cs="Arial"/>
                <w:color w:val="FF0000"/>
                <w:sz w:val="21"/>
                <w:szCs w:val="21"/>
              </w:rPr>
            </w:pPr>
          </w:p>
        </w:tc>
        <w:tc>
          <w:tcPr>
            <w:tcW w:w="217" w:type="dxa"/>
          </w:tcPr>
          <w:p w14:paraId="25454846" w14:textId="77777777" w:rsidR="002C0FD9" w:rsidRPr="00CA25CF" w:rsidRDefault="002C0FD9" w:rsidP="00CA25CF">
            <w:pPr>
              <w:rPr>
                <w:rFonts w:cs="Arial"/>
                <w:color w:val="FF0000"/>
                <w:sz w:val="21"/>
                <w:szCs w:val="21"/>
              </w:rPr>
            </w:pPr>
          </w:p>
        </w:tc>
        <w:tc>
          <w:tcPr>
            <w:tcW w:w="217" w:type="dxa"/>
          </w:tcPr>
          <w:p w14:paraId="6DF25A54" w14:textId="77777777" w:rsidR="002C0FD9" w:rsidRPr="00CA25CF" w:rsidRDefault="002C0FD9" w:rsidP="00CA25CF">
            <w:pPr>
              <w:rPr>
                <w:rFonts w:cs="Arial"/>
                <w:color w:val="FF0000"/>
                <w:sz w:val="21"/>
                <w:szCs w:val="21"/>
              </w:rPr>
            </w:pPr>
          </w:p>
        </w:tc>
        <w:tc>
          <w:tcPr>
            <w:tcW w:w="217" w:type="dxa"/>
          </w:tcPr>
          <w:p w14:paraId="05802B80" w14:textId="77777777" w:rsidR="002C0FD9" w:rsidRPr="00CA25CF" w:rsidRDefault="002C0FD9" w:rsidP="00CA25CF">
            <w:pPr>
              <w:rPr>
                <w:rFonts w:cs="Arial"/>
                <w:color w:val="FF0000"/>
                <w:sz w:val="21"/>
                <w:szCs w:val="21"/>
              </w:rPr>
            </w:pPr>
          </w:p>
        </w:tc>
        <w:tc>
          <w:tcPr>
            <w:tcW w:w="217" w:type="dxa"/>
          </w:tcPr>
          <w:p w14:paraId="21117F08" w14:textId="77777777" w:rsidR="002C0FD9" w:rsidRPr="00CA25CF" w:rsidRDefault="002C0FD9" w:rsidP="00CA25CF">
            <w:pPr>
              <w:rPr>
                <w:rFonts w:cs="Arial"/>
                <w:color w:val="FF0000"/>
                <w:sz w:val="21"/>
                <w:szCs w:val="21"/>
              </w:rPr>
            </w:pPr>
          </w:p>
        </w:tc>
        <w:tc>
          <w:tcPr>
            <w:tcW w:w="217" w:type="dxa"/>
          </w:tcPr>
          <w:p w14:paraId="37430BDB" w14:textId="77777777" w:rsidR="002C0FD9" w:rsidRPr="00CA25CF" w:rsidRDefault="002C0FD9" w:rsidP="00CA25CF">
            <w:pPr>
              <w:rPr>
                <w:rFonts w:cs="Arial"/>
                <w:color w:val="FF0000"/>
                <w:sz w:val="21"/>
                <w:szCs w:val="21"/>
              </w:rPr>
            </w:pPr>
          </w:p>
        </w:tc>
        <w:tc>
          <w:tcPr>
            <w:tcW w:w="217" w:type="dxa"/>
          </w:tcPr>
          <w:p w14:paraId="222AA202" w14:textId="77777777" w:rsidR="002C0FD9" w:rsidRPr="00CA25CF" w:rsidRDefault="002C0FD9" w:rsidP="00CA25CF">
            <w:pPr>
              <w:rPr>
                <w:rFonts w:cs="Arial"/>
                <w:color w:val="FF0000"/>
                <w:sz w:val="21"/>
                <w:szCs w:val="21"/>
              </w:rPr>
            </w:pPr>
          </w:p>
        </w:tc>
        <w:tc>
          <w:tcPr>
            <w:tcW w:w="217" w:type="dxa"/>
          </w:tcPr>
          <w:p w14:paraId="5895EB36" w14:textId="77777777" w:rsidR="002C0FD9" w:rsidRPr="00CA25CF" w:rsidRDefault="002C0FD9" w:rsidP="00CA25CF">
            <w:pPr>
              <w:rPr>
                <w:rFonts w:cs="Arial"/>
                <w:color w:val="FF0000"/>
                <w:sz w:val="21"/>
                <w:szCs w:val="21"/>
              </w:rPr>
            </w:pPr>
          </w:p>
        </w:tc>
        <w:tc>
          <w:tcPr>
            <w:tcW w:w="217" w:type="dxa"/>
          </w:tcPr>
          <w:p w14:paraId="0A6D5136" w14:textId="77777777" w:rsidR="002C0FD9" w:rsidRPr="00CA25CF" w:rsidRDefault="002C0FD9" w:rsidP="00CA25CF">
            <w:pPr>
              <w:rPr>
                <w:rFonts w:cs="Arial"/>
                <w:color w:val="FF0000"/>
                <w:sz w:val="21"/>
                <w:szCs w:val="21"/>
              </w:rPr>
            </w:pPr>
          </w:p>
        </w:tc>
        <w:tc>
          <w:tcPr>
            <w:tcW w:w="217" w:type="dxa"/>
          </w:tcPr>
          <w:p w14:paraId="1ED128E3" w14:textId="77777777" w:rsidR="002C0FD9" w:rsidRPr="00CA25CF" w:rsidRDefault="002C0FD9" w:rsidP="00CA25CF">
            <w:pPr>
              <w:rPr>
                <w:rFonts w:cs="Arial"/>
                <w:color w:val="FF0000"/>
                <w:sz w:val="21"/>
                <w:szCs w:val="21"/>
              </w:rPr>
            </w:pPr>
          </w:p>
        </w:tc>
        <w:tc>
          <w:tcPr>
            <w:tcW w:w="217" w:type="dxa"/>
          </w:tcPr>
          <w:p w14:paraId="591A3CA4" w14:textId="77777777" w:rsidR="002C0FD9" w:rsidRPr="00CA25CF" w:rsidRDefault="002C0FD9" w:rsidP="00CA25CF">
            <w:pPr>
              <w:rPr>
                <w:rFonts w:cs="Arial"/>
                <w:color w:val="FF0000"/>
                <w:sz w:val="21"/>
                <w:szCs w:val="21"/>
              </w:rPr>
            </w:pPr>
          </w:p>
        </w:tc>
        <w:tc>
          <w:tcPr>
            <w:tcW w:w="217" w:type="dxa"/>
          </w:tcPr>
          <w:p w14:paraId="5E9557E9" w14:textId="77777777" w:rsidR="002C0FD9" w:rsidRPr="00CA25CF" w:rsidRDefault="002C0FD9" w:rsidP="00CA25CF">
            <w:pPr>
              <w:rPr>
                <w:rFonts w:cs="Arial"/>
                <w:color w:val="FF0000"/>
                <w:sz w:val="21"/>
                <w:szCs w:val="21"/>
              </w:rPr>
            </w:pPr>
          </w:p>
        </w:tc>
        <w:tc>
          <w:tcPr>
            <w:tcW w:w="217" w:type="dxa"/>
          </w:tcPr>
          <w:p w14:paraId="225A7AE9" w14:textId="77777777" w:rsidR="002C0FD9" w:rsidRPr="00CA25CF" w:rsidRDefault="002C0FD9" w:rsidP="00CA25CF">
            <w:pPr>
              <w:rPr>
                <w:rFonts w:cs="Arial"/>
                <w:color w:val="FF0000"/>
                <w:sz w:val="21"/>
                <w:szCs w:val="21"/>
              </w:rPr>
            </w:pPr>
          </w:p>
        </w:tc>
        <w:tc>
          <w:tcPr>
            <w:tcW w:w="217" w:type="dxa"/>
          </w:tcPr>
          <w:p w14:paraId="0429FA64" w14:textId="77777777" w:rsidR="002C0FD9" w:rsidRPr="00CA25CF" w:rsidRDefault="002C0FD9" w:rsidP="00CA25CF">
            <w:pPr>
              <w:rPr>
                <w:rFonts w:cs="Arial"/>
                <w:color w:val="FF0000"/>
                <w:sz w:val="21"/>
                <w:szCs w:val="21"/>
              </w:rPr>
            </w:pPr>
          </w:p>
        </w:tc>
        <w:tc>
          <w:tcPr>
            <w:tcW w:w="217" w:type="dxa"/>
          </w:tcPr>
          <w:p w14:paraId="59777537" w14:textId="77777777" w:rsidR="002C0FD9" w:rsidRPr="00CA25CF" w:rsidRDefault="002C0FD9" w:rsidP="00CA25CF">
            <w:pPr>
              <w:rPr>
                <w:rFonts w:cs="Arial"/>
                <w:color w:val="FF0000"/>
                <w:sz w:val="21"/>
                <w:szCs w:val="21"/>
              </w:rPr>
            </w:pPr>
          </w:p>
        </w:tc>
        <w:tc>
          <w:tcPr>
            <w:tcW w:w="217" w:type="dxa"/>
          </w:tcPr>
          <w:p w14:paraId="56D8A33C" w14:textId="77777777" w:rsidR="002C0FD9" w:rsidRPr="00CA25CF" w:rsidRDefault="002C0FD9" w:rsidP="00CA25CF">
            <w:pPr>
              <w:rPr>
                <w:rFonts w:cs="Arial"/>
                <w:color w:val="FF0000"/>
                <w:sz w:val="21"/>
                <w:szCs w:val="21"/>
              </w:rPr>
            </w:pPr>
          </w:p>
        </w:tc>
      </w:tr>
      <w:tr w:rsidR="002C0FD9" w:rsidRPr="00A16219" w14:paraId="40036F25" w14:textId="5751D3E3" w:rsidTr="002C0FD9">
        <w:trPr>
          <w:trHeight w:val="635"/>
        </w:trPr>
        <w:tc>
          <w:tcPr>
            <w:tcW w:w="515" w:type="dxa"/>
          </w:tcPr>
          <w:p w14:paraId="5CE0696C" w14:textId="77777777" w:rsidR="002C0FD9" w:rsidRPr="00CA25CF" w:rsidRDefault="002C0FD9" w:rsidP="00CA25CF">
            <w:pPr>
              <w:rPr>
                <w:rFonts w:cs="Arial"/>
                <w:color w:val="FF0000"/>
                <w:sz w:val="21"/>
                <w:szCs w:val="21"/>
              </w:rPr>
            </w:pPr>
          </w:p>
        </w:tc>
        <w:tc>
          <w:tcPr>
            <w:tcW w:w="217" w:type="dxa"/>
          </w:tcPr>
          <w:p w14:paraId="6405782C" w14:textId="77777777" w:rsidR="002C0FD9" w:rsidRPr="00CA25CF" w:rsidRDefault="002C0FD9" w:rsidP="00CA25CF">
            <w:pPr>
              <w:rPr>
                <w:rFonts w:cs="Arial"/>
                <w:color w:val="FF0000"/>
                <w:sz w:val="21"/>
                <w:szCs w:val="21"/>
              </w:rPr>
            </w:pPr>
          </w:p>
        </w:tc>
        <w:tc>
          <w:tcPr>
            <w:tcW w:w="217" w:type="dxa"/>
          </w:tcPr>
          <w:p w14:paraId="283929BB" w14:textId="60DB9C3B" w:rsidR="002C0FD9" w:rsidRPr="00CA25CF" w:rsidRDefault="002C0FD9" w:rsidP="00CA25CF">
            <w:pPr>
              <w:rPr>
                <w:rFonts w:cs="Arial"/>
                <w:color w:val="FF0000"/>
                <w:sz w:val="21"/>
                <w:szCs w:val="21"/>
              </w:rPr>
            </w:pPr>
          </w:p>
        </w:tc>
        <w:tc>
          <w:tcPr>
            <w:tcW w:w="217" w:type="dxa"/>
          </w:tcPr>
          <w:p w14:paraId="3402A813" w14:textId="77777777" w:rsidR="002C0FD9" w:rsidRPr="00CA25CF" w:rsidRDefault="002C0FD9" w:rsidP="00CA25CF">
            <w:pPr>
              <w:rPr>
                <w:rFonts w:cs="Arial"/>
                <w:color w:val="FF0000"/>
                <w:sz w:val="21"/>
                <w:szCs w:val="21"/>
              </w:rPr>
            </w:pPr>
          </w:p>
        </w:tc>
        <w:tc>
          <w:tcPr>
            <w:tcW w:w="217" w:type="dxa"/>
          </w:tcPr>
          <w:p w14:paraId="64F6C322" w14:textId="77777777" w:rsidR="002C0FD9" w:rsidRPr="00CA25CF" w:rsidRDefault="002C0FD9" w:rsidP="00CA25CF">
            <w:pPr>
              <w:rPr>
                <w:rFonts w:cs="Arial"/>
                <w:color w:val="FF0000"/>
                <w:sz w:val="21"/>
                <w:szCs w:val="21"/>
              </w:rPr>
            </w:pPr>
          </w:p>
        </w:tc>
        <w:tc>
          <w:tcPr>
            <w:tcW w:w="217" w:type="dxa"/>
          </w:tcPr>
          <w:p w14:paraId="69A8CE35" w14:textId="77777777" w:rsidR="002C0FD9" w:rsidRPr="00CA25CF" w:rsidRDefault="002C0FD9" w:rsidP="00CA25CF">
            <w:pPr>
              <w:rPr>
                <w:rFonts w:cs="Arial"/>
                <w:color w:val="FF0000"/>
                <w:sz w:val="21"/>
                <w:szCs w:val="21"/>
              </w:rPr>
            </w:pPr>
          </w:p>
        </w:tc>
        <w:tc>
          <w:tcPr>
            <w:tcW w:w="217" w:type="dxa"/>
          </w:tcPr>
          <w:p w14:paraId="0BFBC5D0" w14:textId="77777777" w:rsidR="002C0FD9" w:rsidRPr="00CA25CF" w:rsidRDefault="002C0FD9" w:rsidP="00CA25CF">
            <w:pPr>
              <w:rPr>
                <w:rFonts w:cs="Arial"/>
                <w:color w:val="FF0000"/>
                <w:sz w:val="21"/>
                <w:szCs w:val="21"/>
              </w:rPr>
            </w:pPr>
          </w:p>
        </w:tc>
        <w:tc>
          <w:tcPr>
            <w:tcW w:w="217" w:type="dxa"/>
          </w:tcPr>
          <w:p w14:paraId="54E06805" w14:textId="77777777" w:rsidR="002C0FD9" w:rsidRPr="00CA25CF" w:rsidRDefault="002C0FD9" w:rsidP="00CA25CF">
            <w:pPr>
              <w:rPr>
                <w:rFonts w:cs="Arial"/>
                <w:color w:val="FF0000"/>
                <w:sz w:val="21"/>
                <w:szCs w:val="21"/>
              </w:rPr>
            </w:pPr>
          </w:p>
        </w:tc>
        <w:tc>
          <w:tcPr>
            <w:tcW w:w="217" w:type="dxa"/>
          </w:tcPr>
          <w:p w14:paraId="0C091DB9" w14:textId="77777777" w:rsidR="002C0FD9" w:rsidRPr="00CA25CF" w:rsidRDefault="002C0FD9" w:rsidP="00CA25CF">
            <w:pPr>
              <w:rPr>
                <w:rFonts w:cs="Arial"/>
                <w:color w:val="FF0000"/>
                <w:sz w:val="21"/>
                <w:szCs w:val="21"/>
              </w:rPr>
            </w:pPr>
          </w:p>
        </w:tc>
        <w:tc>
          <w:tcPr>
            <w:tcW w:w="217" w:type="dxa"/>
          </w:tcPr>
          <w:p w14:paraId="54C608DD" w14:textId="77777777" w:rsidR="002C0FD9" w:rsidRPr="00CA25CF" w:rsidRDefault="002C0FD9" w:rsidP="00CA25CF">
            <w:pPr>
              <w:rPr>
                <w:rFonts w:cs="Arial"/>
                <w:color w:val="FF0000"/>
                <w:sz w:val="21"/>
                <w:szCs w:val="21"/>
              </w:rPr>
            </w:pPr>
          </w:p>
        </w:tc>
        <w:tc>
          <w:tcPr>
            <w:tcW w:w="217" w:type="dxa"/>
          </w:tcPr>
          <w:p w14:paraId="4C4EEB23" w14:textId="77777777" w:rsidR="002C0FD9" w:rsidRPr="00CA25CF" w:rsidRDefault="002C0FD9" w:rsidP="00CA25CF">
            <w:pPr>
              <w:rPr>
                <w:rFonts w:cs="Arial"/>
                <w:color w:val="FF0000"/>
                <w:sz w:val="21"/>
                <w:szCs w:val="21"/>
              </w:rPr>
            </w:pPr>
          </w:p>
        </w:tc>
        <w:tc>
          <w:tcPr>
            <w:tcW w:w="217" w:type="dxa"/>
          </w:tcPr>
          <w:p w14:paraId="0A9F8A4A" w14:textId="77777777" w:rsidR="002C0FD9" w:rsidRPr="00CA25CF" w:rsidRDefault="002C0FD9" w:rsidP="00CA25CF">
            <w:pPr>
              <w:rPr>
                <w:rFonts w:cs="Arial"/>
                <w:color w:val="FF0000"/>
                <w:sz w:val="21"/>
                <w:szCs w:val="21"/>
              </w:rPr>
            </w:pPr>
          </w:p>
        </w:tc>
        <w:tc>
          <w:tcPr>
            <w:tcW w:w="217" w:type="dxa"/>
          </w:tcPr>
          <w:p w14:paraId="2588F3EE" w14:textId="77777777" w:rsidR="002C0FD9" w:rsidRPr="00CA25CF" w:rsidRDefault="002C0FD9" w:rsidP="00CA25CF">
            <w:pPr>
              <w:rPr>
                <w:rFonts w:cs="Arial"/>
                <w:color w:val="FF0000"/>
                <w:sz w:val="21"/>
                <w:szCs w:val="21"/>
              </w:rPr>
            </w:pPr>
          </w:p>
        </w:tc>
        <w:tc>
          <w:tcPr>
            <w:tcW w:w="217" w:type="dxa"/>
          </w:tcPr>
          <w:p w14:paraId="1202AA09" w14:textId="77777777" w:rsidR="002C0FD9" w:rsidRPr="00CA25CF" w:rsidRDefault="002C0FD9" w:rsidP="00CA25CF">
            <w:pPr>
              <w:rPr>
                <w:rFonts w:cs="Arial"/>
                <w:color w:val="FF0000"/>
                <w:sz w:val="21"/>
                <w:szCs w:val="21"/>
              </w:rPr>
            </w:pPr>
          </w:p>
        </w:tc>
        <w:tc>
          <w:tcPr>
            <w:tcW w:w="217" w:type="dxa"/>
          </w:tcPr>
          <w:p w14:paraId="0B41D412" w14:textId="77777777" w:rsidR="002C0FD9" w:rsidRPr="00CA25CF" w:rsidRDefault="002C0FD9" w:rsidP="00CA25CF">
            <w:pPr>
              <w:rPr>
                <w:rFonts w:cs="Arial"/>
                <w:color w:val="FF0000"/>
                <w:sz w:val="21"/>
                <w:szCs w:val="21"/>
              </w:rPr>
            </w:pPr>
          </w:p>
        </w:tc>
        <w:tc>
          <w:tcPr>
            <w:tcW w:w="217" w:type="dxa"/>
          </w:tcPr>
          <w:p w14:paraId="4F1957A9" w14:textId="2693B811" w:rsidR="002C0FD9" w:rsidRPr="00CA25CF" w:rsidRDefault="002C0FD9" w:rsidP="00CA25CF">
            <w:pPr>
              <w:rPr>
                <w:rFonts w:cs="Arial"/>
                <w:color w:val="FF0000"/>
                <w:sz w:val="21"/>
                <w:szCs w:val="21"/>
              </w:rPr>
            </w:pPr>
          </w:p>
        </w:tc>
        <w:tc>
          <w:tcPr>
            <w:tcW w:w="217" w:type="dxa"/>
          </w:tcPr>
          <w:p w14:paraId="1A44DCB1" w14:textId="77777777" w:rsidR="002C0FD9" w:rsidRPr="00CA25CF" w:rsidRDefault="002C0FD9" w:rsidP="00CA25CF">
            <w:pPr>
              <w:rPr>
                <w:rFonts w:cs="Arial"/>
                <w:color w:val="FF0000"/>
                <w:sz w:val="21"/>
                <w:szCs w:val="21"/>
              </w:rPr>
            </w:pPr>
          </w:p>
        </w:tc>
        <w:tc>
          <w:tcPr>
            <w:tcW w:w="217" w:type="dxa"/>
          </w:tcPr>
          <w:p w14:paraId="5ED33429" w14:textId="77777777" w:rsidR="002C0FD9" w:rsidRPr="00CA25CF" w:rsidRDefault="002C0FD9" w:rsidP="00CA25CF">
            <w:pPr>
              <w:rPr>
                <w:rFonts w:cs="Arial"/>
                <w:color w:val="FF0000"/>
                <w:sz w:val="21"/>
                <w:szCs w:val="21"/>
              </w:rPr>
            </w:pPr>
          </w:p>
        </w:tc>
        <w:tc>
          <w:tcPr>
            <w:tcW w:w="217" w:type="dxa"/>
          </w:tcPr>
          <w:p w14:paraId="6784FC22" w14:textId="77777777" w:rsidR="002C0FD9" w:rsidRPr="00CA25CF" w:rsidRDefault="002C0FD9" w:rsidP="00CA25CF">
            <w:pPr>
              <w:rPr>
                <w:rFonts w:cs="Arial"/>
                <w:color w:val="FF0000"/>
                <w:sz w:val="21"/>
                <w:szCs w:val="21"/>
              </w:rPr>
            </w:pPr>
          </w:p>
        </w:tc>
        <w:tc>
          <w:tcPr>
            <w:tcW w:w="217" w:type="dxa"/>
          </w:tcPr>
          <w:p w14:paraId="73C98C20" w14:textId="77777777" w:rsidR="002C0FD9" w:rsidRPr="00CA25CF" w:rsidRDefault="002C0FD9" w:rsidP="00CA25CF">
            <w:pPr>
              <w:rPr>
                <w:rFonts w:cs="Arial"/>
                <w:color w:val="FF0000"/>
                <w:sz w:val="21"/>
                <w:szCs w:val="21"/>
              </w:rPr>
            </w:pPr>
          </w:p>
        </w:tc>
        <w:tc>
          <w:tcPr>
            <w:tcW w:w="217" w:type="dxa"/>
          </w:tcPr>
          <w:p w14:paraId="1611976C" w14:textId="77777777" w:rsidR="002C0FD9" w:rsidRPr="00CA25CF" w:rsidRDefault="002C0FD9" w:rsidP="00CA25CF">
            <w:pPr>
              <w:rPr>
                <w:rFonts w:cs="Arial"/>
                <w:color w:val="FF0000"/>
                <w:sz w:val="21"/>
                <w:szCs w:val="21"/>
              </w:rPr>
            </w:pPr>
          </w:p>
        </w:tc>
        <w:tc>
          <w:tcPr>
            <w:tcW w:w="217" w:type="dxa"/>
          </w:tcPr>
          <w:p w14:paraId="3BEABE03" w14:textId="77777777" w:rsidR="002C0FD9" w:rsidRPr="00CA25CF" w:rsidRDefault="002C0FD9" w:rsidP="00CA25CF">
            <w:pPr>
              <w:rPr>
                <w:rFonts w:cs="Arial"/>
                <w:color w:val="FF0000"/>
                <w:sz w:val="21"/>
                <w:szCs w:val="21"/>
              </w:rPr>
            </w:pPr>
          </w:p>
        </w:tc>
        <w:tc>
          <w:tcPr>
            <w:tcW w:w="217" w:type="dxa"/>
          </w:tcPr>
          <w:p w14:paraId="793A8081" w14:textId="77777777" w:rsidR="002C0FD9" w:rsidRPr="00CA25CF" w:rsidRDefault="002C0FD9" w:rsidP="00CA25CF">
            <w:pPr>
              <w:rPr>
                <w:rFonts w:cs="Arial"/>
                <w:color w:val="FF0000"/>
                <w:sz w:val="21"/>
                <w:szCs w:val="21"/>
              </w:rPr>
            </w:pPr>
          </w:p>
        </w:tc>
        <w:tc>
          <w:tcPr>
            <w:tcW w:w="217" w:type="dxa"/>
          </w:tcPr>
          <w:p w14:paraId="5460DB49" w14:textId="77777777" w:rsidR="002C0FD9" w:rsidRPr="00CA25CF" w:rsidRDefault="002C0FD9" w:rsidP="00CA25CF">
            <w:pPr>
              <w:rPr>
                <w:rFonts w:cs="Arial"/>
                <w:color w:val="FF0000"/>
                <w:sz w:val="21"/>
                <w:szCs w:val="21"/>
              </w:rPr>
            </w:pPr>
          </w:p>
        </w:tc>
        <w:tc>
          <w:tcPr>
            <w:tcW w:w="217" w:type="dxa"/>
          </w:tcPr>
          <w:p w14:paraId="22C9541E" w14:textId="77777777" w:rsidR="002C0FD9" w:rsidRPr="00CA25CF" w:rsidRDefault="002C0FD9" w:rsidP="00CA25CF">
            <w:pPr>
              <w:rPr>
                <w:rFonts w:cs="Arial"/>
                <w:color w:val="FF0000"/>
                <w:sz w:val="21"/>
                <w:szCs w:val="21"/>
              </w:rPr>
            </w:pPr>
          </w:p>
        </w:tc>
        <w:tc>
          <w:tcPr>
            <w:tcW w:w="217" w:type="dxa"/>
          </w:tcPr>
          <w:p w14:paraId="20ACB926" w14:textId="77777777" w:rsidR="002C0FD9" w:rsidRPr="00CA25CF" w:rsidRDefault="002C0FD9" w:rsidP="00CA25CF">
            <w:pPr>
              <w:rPr>
                <w:rFonts w:cs="Arial"/>
                <w:color w:val="FF0000"/>
                <w:sz w:val="21"/>
                <w:szCs w:val="21"/>
              </w:rPr>
            </w:pPr>
          </w:p>
        </w:tc>
        <w:tc>
          <w:tcPr>
            <w:tcW w:w="217" w:type="dxa"/>
          </w:tcPr>
          <w:p w14:paraId="1D47ADC4" w14:textId="77777777" w:rsidR="002C0FD9" w:rsidRPr="00CA25CF" w:rsidRDefault="002C0FD9" w:rsidP="00CA25CF">
            <w:pPr>
              <w:rPr>
                <w:rFonts w:cs="Arial"/>
                <w:color w:val="FF0000"/>
                <w:sz w:val="21"/>
                <w:szCs w:val="21"/>
              </w:rPr>
            </w:pPr>
          </w:p>
        </w:tc>
        <w:tc>
          <w:tcPr>
            <w:tcW w:w="217" w:type="dxa"/>
          </w:tcPr>
          <w:p w14:paraId="61E1EC34" w14:textId="77777777" w:rsidR="002C0FD9" w:rsidRPr="00CA25CF" w:rsidRDefault="002C0FD9" w:rsidP="00CA25CF">
            <w:pPr>
              <w:rPr>
                <w:rFonts w:cs="Arial"/>
                <w:color w:val="FF0000"/>
                <w:sz w:val="21"/>
                <w:szCs w:val="21"/>
              </w:rPr>
            </w:pPr>
          </w:p>
        </w:tc>
        <w:tc>
          <w:tcPr>
            <w:tcW w:w="217" w:type="dxa"/>
          </w:tcPr>
          <w:p w14:paraId="332F62FB" w14:textId="77777777" w:rsidR="002C0FD9" w:rsidRPr="00CA25CF" w:rsidRDefault="002C0FD9" w:rsidP="00CA25CF">
            <w:pPr>
              <w:rPr>
                <w:rFonts w:cs="Arial"/>
                <w:color w:val="FF0000"/>
                <w:sz w:val="21"/>
                <w:szCs w:val="21"/>
              </w:rPr>
            </w:pPr>
          </w:p>
        </w:tc>
        <w:tc>
          <w:tcPr>
            <w:tcW w:w="217" w:type="dxa"/>
          </w:tcPr>
          <w:p w14:paraId="3BF4F3BA" w14:textId="77777777" w:rsidR="002C0FD9" w:rsidRPr="00CA25CF" w:rsidRDefault="002C0FD9" w:rsidP="00CA25CF">
            <w:pPr>
              <w:rPr>
                <w:rFonts w:cs="Arial"/>
                <w:color w:val="FF0000"/>
                <w:sz w:val="21"/>
                <w:szCs w:val="21"/>
              </w:rPr>
            </w:pPr>
          </w:p>
        </w:tc>
        <w:tc>
          <w:tcPr>
            <w:tcW w:w="217" w:type="dxa"/>
          </w:tcPr>
          <w:p w14:paraId="3F36F76B" w14:textId="77777777" w:rsidR="002C0FD9" w:rsidRPr="00CA25CF" w:rsidRDefault="002C0FD9" w:rsidP="00CA25CF">
            <w:pPr>
              <w:rPr>
                <w:rFonts w:cs="Arial"/>
                <w:color w:val="FF0000"/>
                <w:sz w:val="21"/>
                <w:szCs w:val="21"/>
              </w:rPr>
            </w:pPr>
          </w:p>
        </w:tc>
        <w:tc>
          <w:tcPr>
            <w:tcW w:w="217" w:type="dxa"/>
          </w:tcPr>
          <w:p w14:paraId="3ABE9D56" w14:textId="77777777" w:rsidR="002C0FD9" w:rsidRPr="00CA25CF" w:rsidRDefault="002C0FD9" w:rsidP="00CA25CF">
            <w:pPr>
              <w:rPr>
                <w:rFonts w:cs="Arial"/>
                <w:color w:val="FF0000"/>
                <w:sz w:val="21"/>
                <w:szCs w:val="21"/>
              </w:rPr>
            </w:pPr>
          </w:p>
        </w:tc>
        <w:tc>
          <w:tcPr>
            <w:tcW w:w="217" w:type="dxa"/>
          </w:tcPr>
          <w:p w14:paraId="3DA6C170" w14:textId="77777777" w:rsidR="002C0FD9" w:rsidRPr="00CA25CF" w:rsidRDefault="002C0FD9" w:rsidP="00CA25CF">
            <w:pPr>
              <w:rPr>
                <w:rFonts w:cs="Arial"/>
                <w:color w:val="FF0000"/>
                <w:sz w:val="21"/>
                <w:szCs w:val="21"/>
              </w:rPr>
            </w:pPr>
          </w:p>
        </w:tc>
        <w:tc>
          <w:tcPr>
            <w:tcW w:w="217" w:type="dxa"/>
          </w:tcPr>
          <w:p w14:paraId="4157AD52" w14:textId="77777777" w:rsidR="002C0FD9" w:rsidRPr="00CA25CF" w:rsidRDefault="002C0FD9" w:rsidP="00CA25CF">
            <w:pPr>
              <w:rPr>
                <w:rFonts w:cs="Arial"/>
                <w:color w:val="FF0000"/>
                <w:sz w:val="21"/>
                <w:szCs w:val="21"/>
              </w:rPr>
            </w:pPr>
          </w:p>
        </w:tc>
        <w:tc>
          <w:tcPr>
            <w:tcW w:w="217" w:type="dxa"/>
          </w:tcPr>
          <w:p w14:paraId="5BA0EF24" w14:textId="77777777" w:rsidR="002C0FD9" w:rsidRPr="00CA25CF" w:rsidRDefault="002C0FD9" w:rsidP="00CA25CF">
            <w:pPr>
              <w:rPr>
                <w:rFonts w:cs="Arial"/>
                <w:color w:val="FF0000"/>
                <w:sz w:val="21"/>
                <w:szCs w:val="21"/>
              </w:rPr>
            </w:pPr>
          </w:p>
        </w:tc>
        <w:tc>
          <w:tcPr>
            <w:tcW w:w="217" w:type="dxa"/>
          </w:tcPr>
          <w:p w14:paraId="48031570" w14:textId="77777777" w:rsidR="002C0FD9" w:rsidRPr="00CA25CF" w:rsidRDefault="002C0FD9" w:rsidP="00CA25CF">
            <w:pPr>
              <w:rPr>
                <w:rFonts w:cs="Arial"/>
                <w:color w:val="FF0000"/>
                <w:sz w:val="21"/>
                <w:szCs w:val="21"/>
              </w:rPr>
            </w:pPr>
          </w:p>
        </w:tc>
        <w:tc>
          <w:tcPr>
            <w:tcW w:w="217" w:type="dxa"/>
          </w:tcPr>
          <w:p w14:paraId="395A4FF7" w14:textId="77777777" w:rsidR="002C0FD9" w:rsidRPr="00CA25CF" w:rsidRDefault="002C0FD9" w:rsidP="00CA25CF">
            <w:pPr>
              <w:rPr>
                <w:rFonts w:cs="Arial"/>
                <w:color w:val="FF0000"/>
                <w:sz w:val="21"/>
                <w:szCs w:val="21"/>
              </w:rPr>
            </w:pPr>
          </w:p>
        </w:tc>
        <w:tc>
          <w:tcPr>
            <w:tcW w:w="217" w:type="dxa"/>
          </w:tcPr>
          <w:p w14:paraId="58BA8E3F" w14:textId="77777777" w:rsidR="002C0FD9" w:rsidRPr="00CA25CF" w:rsidRDefault="002C0FD9" w:rsidP="00CA25CF">
            <w:pPr>
              <w:rPr>
                <w:rFonts w:cs="Arial"/>
                <w:color w:val="FF0000"/>
                <w:sz w:val="21"/>
                <w:szCs w:val="21"/>
              </w:rPr>
            </w:pPr>
          </w:p>
        </w:tc>
        <w:tc>
          <w:tcPr>
            <w:tcW w:w="217" w:type="dxa"/>
          </w:tcPr>
          <w:p w14:paraId="07EFE6B9" w14:textId="77777777" w:rsidR="002C0FD9" w:rsidRPr="00CA25CF" w:rsidRDefault="002C0FD9" w:rsidP="00CA25CF">
            <w:pPr>
              <w:rPr>
                <w:rFonts w:cs="Arial"/>
                <w:color w:val="FF0000"/>
                <w:sz w:val="21"/>
                <w:szCs w:val="21"/>
              </w:rPr>
            </w:pPr>
          </w:p>
        </w:tc>
        <w:tc>
          <w:tcPr>
            <w:tcW w:w="217" w:type="dxa"/>
          </w:tcPr>
          <w:p w14:paraId="197306E6" w14:textId="77777777" w:rsidR="002C0FD9" w:rsidRPr="00CA25CF" w:rsidRDefault="002C0FD9" w:rsidP="00CA25CF">
            <w:pPr>
              <w:rPr>
                <w:rFonts w:cs="Arial"/>
                <w:color w:val="FF0000"/>
                <w:sz w:val="21"/>
                <w:szCs w:val="21"/>
              </w:rPr>
            </w:pPr>
          </w:p>
        </w:tc>
        <w:tc>
          <w:tcPr>
            <w:tcW w:w="217" w:type="dxa"/>
          </w:tcPr>
          <w:p w14:paraId="6CDC682A" w14:textId="77777777" w:rsidR="002C0FD9" w:rsidRPr="00CA25CF" w:rsidRDefault="002C0FD9" w:rsidP="00CA25CF">
            <w:pPr>
              <w:rPr>
                <w:rFonts w:cs="Arial"/>
                <w:color w:val="FF0000"/>
                <w:sz w:val="21"/>
                <w:szCs w:val="21"/>
              </w:rPr>
            </w:pPr>
          </w:p>
        </w:tc>
        <w:tc>
          <w:tcPr>
            <w:tcW w:w="217" w:type="dxa"/>
          </w:tcPr>
          <w:p w14:paraId="5E94FF74" w14:textId="77777777" w:rsidR="002C0FD9" w:rsidRPr="00CA25CF" w:rsidRDefault="002C0FD9" w:rsidP="00CA25CF">
            <w:pPr>
              <w:rPr>
                <w:rFonts w:cs="Arial"/>
                <w:color w:val="FF0000"/>
                <w:sz w:val="21"/>
                <w:szCs w:val="21"/>
              </w:rPr>
            </w:pPr>
          </w:p>
        </w:tc>
        <w:tc>
          <w:tcPr>
            <w:tcW w:w="217" w:type="dxa"/>
          </w:tcPr>
          <w:p w14:paraId="1518EA12" w14:textId="77777777" w:rsidR="002C0FD9" w:rsidRPr="00CA25CF" w:rsidRDefault="002C0FD9" w:rsidP="00CA25CF">
            <w:pPr>
              <w:rPr>
                <w:rFonts w:cs="Arial"/>
                <w:color w:val="FF0000"/>
                <w:sz w:val="21"/>
                <w:szCs w:val="21"/>
              </w:rPr>
            </w:pPr>
          </w:p>
        </w:tc>
      </w:tr>
      <w:tr w:rsidR="002C0FD9" w:rsidRPr="00A16219" w14:paraId="774A82B0" w14:textId="22DD0C97" w:rsidTr="002C0FD9">
        <w:trPr>
          <w:trHeight w:val="635"/>
        </w:trPr>
        <w:tc>
          <w:tcPr>
            <w:tcW w:w="515" w:type="dxa"/>
          </w:tcPr>
          <w:p w14:paraId="5ECBA46C" w14:textId="77777777" w:rsidR="002C0FD9" w:rsidRPr="00CA25CF" w:rsidRDefault="002C0FD9" w:rsidP="00CA25CF">
            <w:pPr>
              <w:rPr>
                <w:rFonts w:cs="Arial"/>
                <w:color w:val="FF0000"/>
                <w:sz w:val="21"/>
                <w:szCs w:val="21"/>
              </w:rPr>
            </w:pPr>
          </w:p>
        </w:tc>
        <w:tc>
          <w:tcPr>
            <w:tcW w:w="217" w:type="dxa"/>
          </w:tcPr>
          <w:p w14:paraId="188AA465" w14:textId="77777777" w:rsidR="002C0FD9" w:rsidRPr="00CA25CF" w:rsidRDefault="002C0FD9" w:rsidP="00CA25CF">
            <w:pPr>
              <w:rPr>
                <w:rFonts w:cs="Arial"/>
                <w:color w:val="FF0000"/>
                <w:sz w:val="21"/>
                <w:szCs w:val="21"/>
              </w:rPr>
            </w:pPr>
          </w:p>
        </w:tc>
        <w:tc>
          <w:tcPr>
            <w:tcW w:w="217" w:type="dxa"/>
          </w:tcPr>
          <w:p w14:paraId="456FB619" w14:textId="43DD36C3" w:rsidR="002C0FD9" w:rsidRPr="00CA25CF" w:rsidRDefault="002C0FD9" w:rsidP="00CA25CF">
            <w:pPr>
              <w:rPr>
                <w:rFonts w:cs="Arial"/>
                <w:color w:val="FF0000"/>
                <w:sz w:val="21"/>
                <w:szCs w:val="21"/>
              </w:rPr>
            </w:pPr>
          </w:p>
        </w:tc>
        <w:tc>
          <w:tcPr>
            <w:tcW w:w="217" w:type="dxa"/>
          </w:tcPr>
          <w:p w14:paraId="69A9C861" w14:textId="77777777" w:rsidR="002C0FD9" w:rsidRPr="00CA25CF" w:rsidRDefault="002C0FD9" w:rsidP="00CA25CF">
            <w:pPr>
              <w:rPr>
                <w:rFonts w:cs="Arial"/>
                <w:color w:val="FF0000"/>
                <w:sz w:val="21"/>
                <w:szCs w:val="21"/>
              </w:rPr>
            </w:pPr>
          </w:p>
        </w:tc>
        <w:tc>
          <w:tcPr>
            <w:tcW w:w="217" w:type="dxa"/>
          </w:tcPr>
          <w:p w14:paraId="31790F46" w14:textId="77777777" w:rsidR="002C0FD9" w:rsidRPr="00CA25CF" w:rsidRDefault="002C0FD9" w:rsidP="00CA25CF">
            <w:pPr>
              <w:rPr>
                <w:rFonts w:cs="Arial"/>
                <w:color w:val="FF0000"/>
                <w:sz w:val="21"/>
                <w:szCs w:val="21"/>
              </w:rPr>
            </w:pPr>
          </w:p>
        </w:tc>
        <w:tc>
          <w:tcPr>
            <w:tcW w:w="217" w:type="dxa"/>
          </w:tcPr>
          <w:p w14:paraId="0C4BC8B3" w14:textId="77777777" w:rsidR="002C0FD9" w:rsidRPr="00CA25CF" w:rsidRDefault="002C0FD9" w:rsidP="00CA25CF">
            <w:pPr>
              <w:rPr>
                <w:rFonts w:cs="Arial"/>
                <w:color w:val="FF0000"/>
                <w:sz w:val="21"/>
                <w:szCs w:val="21"/>
              </w:rPr>
            </w:pPr>
          </w:p>
        </w:tc>
        <w:tc>
          <w:tcPr>
            <w:tcW w:w="217" w:type="dxa"/>
          </w:tcPr>
          <w:p w14:paraId="525F2D74" w14:textId="77777777" w:rsidR="002C0FD9" w:rsidRPr="00CA25CF" w:rsidRDefault="002C0FD9" w:rsidP="00CA25CF">
            <w:pPr>
              <w:rPr>
                <w:rFonts w:cs="Arial"/>
                <w:color w:val="FF0000"/>
                <w:sz w:val="21"/>
                <w:szCs w:val="21"/>
              </w:rPr>
            </w:pPr>
          </w:p>
        </w:tc>
        <w:tc>
          <w:tcPr>
            <w:tcW w:w="217" w:type="dxa"/>
          </w:tcPr>
          <w:p w14:paraId="285F9E59" w14:textId="77777777" w:rsidR="002C0FD9" w:rsidRPr="00CA25CF" w:rsidRDefault="002C0FD9" w:rsidP="00CA25CF">
            <w:pPr>
              <w:rPr>
                <w:rFonts w:cs="Arial"/>
                <w:color w:val="FF0000"/>
                <w:sz w:val="21"/>
                <w:szCs w:val="21"/>
              </w:rPr>
            </w:pPr>
          </w:p>
        </w:tc>
        <w:tc>
          <w:tcPr>
            <w:tcW w:w="217" w:type="dxa"/>
          </w:tcPr>
          <w:p w14:paraId="4138ACD5" w14:textId="77777777" w:rsidR="002C0FD9" w:rsidRPr="00CA25CF" w:rsidRDefault="002C0FD9" w:rsidP="00CA25CF">
            <w:pPr>
              <w:rPr>
                <w:rFonts w:cs="Arial"/>
                <w:color w:val="FF0000"/>
                <w:sz w:val="21"/>
                <w:szCs w:val="21"/>
              </w:rPr>
            </w:pPr>
          </w:p>
        </w:tc>
        <w:tc>
          <w:tcPr>
            <w:tcW w:w="217" w:type="dxa"/>
          </w:tcPr>
          <w:p w14:paraId="364B2E30" w14:textId="77777777" w:rsidR="002C0FD9" w:rsidRPr="00CA25CF" w:rsidRDefault="002C0FD9" w:rsidP="00CA25CF">
            <w:pPr>
              <w:rPr>
                <w:rFonts w:cs="Arial"/>
                <w:color w:val="FF0000"/>
                <w:sz w:val="21"/>
                <w:szCs w:val="21"/>
              </w:rPr>
            </w:pPr>
          </w:p>
        </w:tc>
        <w:tc>
          <w:tcPr>
            <w:tcW w:w="217" w:type="dxa"/>
          </w:tcPr>
          <w:p w14:paraId="7D37B3DC" w14:textId="77777777" w:rsidR="002C0FD9" w:rsidRPr="00CA25CF" w:rsidRDefault="002C0FD9" w:rsidP="00CA25CF">
            <w:pPr>
              <w:rPr>
                <w:rFonts w:cs="Arial"/>
                <w:color w:val="FF0000"/>
                <w:sz w:val="21"/>
                <w:szCs w:val="21"/>
              </w:rPr>
            </w:pPr>
          </w:p>
        </w:tc>
        <w:tc>
          <w:tcPr>
            <w:tcW w:w="217" w:type="dxa"/>
          </w:tcPr>
          <w:p w14:paraId="5CFC099D" w14:textId="77777777" w:rsidR="002C0FD9" w:rsidRPr="00CA25CF" w:rsidRDefault="002C0FD9" w:rsidP="00CA25CF">
            <w:pPr>
              <w:rPr>
                <w:rFonts w:cs="Arial"/>
                <w:color w:val="FF0000"/>
                <w:sz w:val="21"/>
                <w:szCs w:val="21"/>
              </w:rPr>
            </w:pPr>
          </w:p>
        </w:tc>
        <w:tc>
          <w:tcPr>
            <w:tcW w:w="217" w:type="dxa"/>
          </w:tcPr>
          <w:p w14:paraId="4C09AE44" w14:textId="77777777" w:rsidR="002C0FD9" w:rsidRPr="00CA25CF" w:rsidRDefault="002C0FD9" w:rsidP="00CA25CF">
            <w:pPr>
              <w:rPr>
                <w:rFonts w:cs="Arial"/>
                <w:color w:val="FF0000"/>
                <w:sz w:val="21"/>
                <w:szCs w:val="21"/>
              </w:rPr>
            </w:pPr>
          </w:p>
        </w:tc>
        <w:tc>
          <w:tcPr>
            <w:tcW w:w="217" w:type="dxa"/>
          </w:tcPr>
          <w:p w14:paraId="2A6F4590" w14:textId="77777777" w:rsidR="002C0FD9" w:rsidRPr="00CA25CF" w:rsidRDefault="002C0FD9" w:rsidP="00CA25CF">
            <w:pPr>
              <w:rPr>
                <w:rFonts w:cs="Arial"/>
                <w:color w:val="FF0000"/>
                <w:sz w:val="21"/>
                <w:szCs w:val="21"/>
              </w:rPr>
            </w:pPr>
          </w:p>
        </w:tc>
        <w:tc>
          <w:tcPr>
            <w:tcW w:w="217" w:type="dxa"/>
          </w:tcPr>
          <w:p w14:paraId="09CC7D82" w14:textId="77777777" w:rsidR="002C0FD9" w:rsidRPr="00CA25CF" w:rsidRDefault="002C0FD9" w:rsidP="00CA25CF">
            <w:pPr>
              <w:rPr>
                <w:rFonts w:cs="Arial"/>
                <w:color w:val="FF0000"/>
                <w:sz w:val="21"/>
                <w:szCs w:val="21"/>
              </w:rPr>
            </w:pPr>
          </w:p>
        </w:tc>
        <w:tc>
          <w:tcPr>
            <w:tcW w:w="217" w:type="dxa"/>
          </w:tcPr>
          <w:p w14:paraId="3990C7C3" w14:textId="3D92BBBA" w:rsidR="002C0FD9" w:rsidRPr="00CA25CF" w:rsidRDefault="002C0FD9" w:rsidP="00CA25CF">
            <w:pPr>
              <w:rPr>
                <w:rFonts w:cs="Arial"/>
                <w:color w:val="FF0000"/>
                <w:sz w:val="21"/>
                <w:szCs w:val="21"/>
              </w:rPr>
            </w:pPr>
          </w:p>
        </w:tc>
        <w:tc>
          <w:tcPr>
            <w:tcW w:w="217" w:type="dxa"/>
          </w:tcPr>
          <w:p w14:paraId="024C5597" w14:textId="77777777" w:rsidR="002C0FD9" w:rsidRPr="00CA25CF" w:rsidRDefault="002C0FD9" w:rsidP="00CA25CF">
            <w:pPr>
              <w:rPr>
                <w:rFonts w:cs="Arial"/>
                <w:color w:val="FF0000"/>
                <w:sz w:val="21"/>
                <w:szCs w:val="21"/>
              </w:rPr>
            </w:pPr>
          </w:p>
        </w:tc>
        <w:tc>
          <w:tcPr>
            <w:tcW w:w="217" w:type="dxa"/>
          </w:tcPr>
          <w:p w14:paraId="457C3BDA" w14:textId="77777777" w:rsidR="002C0FD9" w:rsidRPr="00CA25CF" w:rsidRDefault="002C0FD9" w:rsidP="00CA25CF">
            <w:pPr>
              <w:rPr>
                <w:rFonts w:cs="Arial"/>
                <w:color w:val="FF0000"/>
                <w:sz w:val="21"/>
                <w:szCs w:val="21"/>
              </w:rPr>
            </w:pPr>
          </w:p>
        </w:tc>
        <w:tc>
          <w:tcPr>
            <w:tcW w:w="217" w:type="dxa"/>
          </w:tcPr>
          <w:p w14:paraId="4A10E44D" w14:textId="77777777" w:rsidR="002C0FD9" w:rsidRPr="00CA25CF" w:rsidRDefault="002C0FD9" w:rsidP="00CA25CF">
            <w:pPr>
              <w:rPr>
                <w:rFonts w:cs="Arial"/>
                <w:color w:val="FF0000"/>
                <w:sz w:val="21"/>
                <w:szCs w:val="21"/>
              </w:rPr>
            </w:pPr>
          </w:p>
        </w:tc>
        <w:tc>
          <w:tcPr>
            <w:tcW w:w="217" w:type="dxa"/>
          </w:tcPr>
          <w:p w14:paraId="0513411B" w14:textId="77777777" w:rsidR="002C0FD9" w:rsidRPr="00CA25CF" w:rsidRDefault="002C0FD9" w:rsidP="00CA25CF">
            <w:pPr>
              <w:rPr>
                <w:rFonts w:cs="Arial"/>
                <w:color w:val="FF0000"/>
                <w:sz w:val="21"/>
                <w:szCs w:val="21"/>
              </w:rPr>
            </w:pPr>
          </w:p>
        </w:tc>
        <w:tc>
          <w:tcPr>
            <w:tcW w:w="217" w:type="dxa"/>
          </w:tcPr>
          <w:p w14:paraId="4EB56833" w14:textId="77777777" w:rsidR="002C0FD9" w:rsidRPr="00CA25CF" w:rsidRDefault="002C0FD9" w:rsidP="00CA25CF">
            <w:pPr>
              <w:rPr>
                <w:rFonts w:cs="Arial"/>
                <w:color w:val="FF0000"/>
                <w:sz w:val="21"/>
                <w:szCs w:val="21"/>
              </w:rPr>
            </w:pPr>
          </w:p>
        </w:tc>
        <w:tc>
          <w:tcPr>
            <w:tcW w:w="217" w:type="dxa"/>
          </w:tcPr>
          <w:p w14:paraId="206B39A1" w14:textId="77777777" w:rsidR="002C0FD9" w:rsidRPr="00CA25CF" w:rsidRDefault="002C0FD9" w:rsidP="00CA25CF">
            <w:pPr>
              <w:rPr>
                <w:rFonts w:cs="Arial"/>
                <w:color w:val="FF0000"/>
                <w:sz w:val="21"/>
                <w:szCs w:val="21"/>
              </w:rPr>
            </w:pPr>
          </w:p>
        </w:tc>
        <w:tc>
          <w:tcPr>
            <w:tcW w:w="217" w:type="dxa"/>
          </w:tcPr>
          <w:p w14:paraId="1538B91A" w14:textId="77777777" w:rsidR="002C0FD9" w:rsidRPr="00CA25CF" w:rsidRDefault="002C0FD9" w:rsidP="00CA25CF">
            <w:pPr>
              <w:rPr>
                <w:rFonts w:cs="Arial"/>
                <w:color w:val="FF0000"/>
                <w:sz w:val="21"/>
                <w:szCs w:val="21"/>
              </w:rPr>
            </w:pPr>
          </w:p>
        </w:tc>
        <w:tc>
          <w:tcPr>
            <w:tcW w:w="217" w:type="dxa"/>
          </w:tcPr>
          <w:p w14:paraId="3C21CF6C" w14:textId="77777777" w:rsidR="002C0FD9" w:rsidRPr="00CA25CF" w:rsidRDefault="002C0FD9" w:rsidP="00CA25CF">
            <w:pPr>
              <w:rPr>
                <w:rFonts w:cs="Arial"/>
                <w:color w:val="FF0000"/>
                <w:sz w:val="21"/>
                <w:szCs w:val="21"/>
              </w:rPr>
            </w:pPr>
          </w:p>
        </w:tc>
        <w:tc>
          <w:tcPr>
            <w:tcW w:w="217" w:type="dxa"/>
          </w:tcPr>
          <w:p w14:paraId="781F25D1" w14:textId="77777777" w:rsidR="002C0FD9" w:rsidRPr="00CA25CF" w:rsidRDefault="002C0FD9" w:rsidP="00CA25CF">
            <w:pPr>
              <w:rPr>
                <w:rFonts w:cs="Arial"/>
                <w:color w:val="FF0000"/>
                <w:sz w:val="21"/>
                <w:szCs w:val="21"/>
              </w:rPr>
            </w:pPr>
          </w:p>
        </w:tc>
        <w:tc>
          <w:tcPr>
            <w:tcW w:w="217" w:type="dxa"/>
          </w:tcPr>
          <w:p w14:paraId="5DFABCFC" w14:textId="77777777" w:rsidR="002C0FD9" w:rsidRPr="00CA25CF" w:rsidRDefault="002C0FD9" w:rsidP="00CA25CF">
            <w:pPr>
              <w:rPr>
                <w:rFonts w:cs="Arial"/>
                <w:color w:val="FF0000"/>
                <w:sz w:val="21"/>
                <w:szCs w:val="21"/>
              </w:rPr>
            </w:pPr>
          </w:p>
        </w:tc>
        <w:tc>
          <w:tcPr>
            <w:tcW w:w="217" w:type="dxa"/>
          </w:tcPr>
          <w:p w14:paraId="7730E556" w14:textId="77777777" w:rsidR="002C0FD9" w:rsidRPr="00CA25CF" w:rsidRDefault="002C0FD9" w:rsidP="00CA25CF">
            <w:pPr>
              <w:rPr>
                <w:rFonts w:cs="Arial"/>
                <w:color w:val="FF0000"/>
                <w:sz w:val="21"/>
                <w:szCs w:val="21"/>
              </w:rPr>
            </w:pPr>
          </w:p>
        </w:tc>
        <w:tc>
          <w:tcPr>
            <w:tcW w:w="217" w:type="dxa"/>
          </w:tcPr>
          <w:p w14:paraId="29DB139F" w14:textId="77777777" w:rsidR="002C0FD9" w:rsidRPr="00CA25CF" w:rsidRDefault="002C0FD9" w:rsidP="00CA25CF">
            <w:pPr>
              <w:rPr>
                <w:rFonts w:cs="Arial"/>
                <w:color w:val="FF0000"/>
                <w:sz w:val="21"/>
                <w:szCs w:val="21"/>
              </w:rPr>
            </w:pPr>
          </w:p>
        </w:tc>
        <w:tc>
          <w:tcPr>
            <w:tcW w:w="217" w:type="dxa"/>
          </w:tcPr>
          <w:p w14:paraId="548C8C82" w14:textId="77777777" w:rsidR="002C0FD9" w:rsidRPr="00CA25CF" w:rsidRDefault="002C0FD9" w:rsidP="00CA25CF">
            <w:pPr>
              <w:rPr>
                <w:rFonts w:cs="Arial"/>
                <w:color w:val="FF0000"/>
                <w:sz w:val="21"/>
                <w:szCs w:val="21"/>
              </w:rPr>
            </w:pPr>
          </w:p>
        </w:tc>
        <w:tc>
          <w:tcPr>
            <w:tcW w:w="217" w:type="dxa"/>
          </w:tcPr>
          <w:p w14:paraId="2EF73796" w14:textId="77777777" w:rsidR="002C0FD9" w:rsidRPr="00CA25CF" w:rsidRDefault="002C0FD9" w:rsidP="00CA25CF">
            <w:pPr>
              <w:rPr>
                <w:rFonts w:cs="Arial"/>
                <w:color w:val="FF0000"/>
                <w:sz w:val="21"/>
                <w:szCs w:val="21"/>
              </w:rPr>
            </w:pPr>
          </w:p>
        </w:tc>
        <w:tc>
          <w:tcPr>
            <w:tcW w:w="217" w:type="dxa"/>
          </w:tcPr>
          <w:p w14:paraId="5D1C3F98" w14:textId="77777777" w:rsidR="002C0FD9" w:rsidRPr="00CA25CF" w:rsidRDefault="002C0FD9" w:rsidP="00CA25CF">
            <w:pPr>
              <w:rPr>
                <w:rFonts w:cs="Arial"/>
                <w:color w:val="FF0000"/>
                <w:sz w:val="21"/>
                <w:szCs w:val="21"/>
              </w:rPr>
            </w:pPr>
          </w:p>
        </w:tc>
        <w:tc>
          <w:tcPr>
            <w:tcW w:w="217" w:type="dxa"/>
          </w:tcPr>
          <w:p w14:paraId="1FC09CB6" w14:textId="77777777" w:rsidR="002C0FD9" w:rsidRPr="00CA25CF" w:rsidRDefault="002C0FD9" w:rsidP="00CA25CF">
            <w:pPr>
              <w:rPr>
                <w:rFonts w:cs="Arial"/>
                <w:color w:val="FF0000"/>
                <w:sz w:val="21"/>
                <w:szCs w:val="21"/>
              </w:rPr>
            </w:pPr>
          </w:p>
        </w:tc>
        <w:tc>
          <w:tcPr>
            <w:tcW w:w="217" w:type="dxa"/>
          </w:tcPr>
          <w:p w14:paraId="3B48BA93" w14:textId="77777777" w:rsidR="002C0FD9" w:rsidRPr="00CA25CF" w:rsidRDefault="002C0FD9" w:rsidP="00CA25CF">
            <w:pPr>
              <w:rPr>
                <w:rFonts w:cs="Arial"/>
                <w:color w:val="FF0000"/>
                <w:sz w:val="21"/>
                <w:szCs w:val="21"/>
              </w:rPr>
            </w:pPr>
          </w:p>
        </w:tc>
        <w:tc>
          <w:tcPr>
            <w:tcW w:w="217" w:type="dxa"/>
          </w:tcPr>
          <w:p w14:paraId="702A65AD" w14:textId="77777777" w:rsidR="002C0FD9" w:rsidRPr="00CA25CF" w:rsidRDefault="002C0FD9" w:rsidP="00CA25CF">
            <w:pPr>
              <w:rPr>
                <w:rFonts w:cs="Arial"/>
                <w:color w:val="FF0000"/>
                <w:sz w:val="21"/>
                <w:szCs w:val="21"/>
              </w:rPr>
            </w:pPr>
          </w:p>
        </w:tc>
        <w:tc>
          <w:tcPr>
            <w:tcW w:w="217" w:type="dxa"/>
          </w:tcPr>
          <w:p w14:paraId="258B9A9B" w14:textId="77777777" w:rsidR="002C0FD9" w:rsidRPr="00CA25CF" w:rsidRDefault="002C0FD9" w:rsidP="00CA25CF">
            <w:pPr>
              <w:rPr>
                <w:rFonts w:cs="Arial"/>
                <w:color w:val="FF0000"/>
                <w:sz w:val="21"/>
                <w:szCs w:val="21"/>
              </w:rPr>
            </w:pPr>
          </w:p>
        </w:tc>
        <w:tc>
          <w:tcPr>
            <w:tcW w:w="217" w:type="dxa"/>
          </w:tcPr>
          <w:p w14:paraId="77B6F06A" w14:textId="77777777" w:rsidR="002C0FD9" w:rsidRPr="00CA25CF" w:rsidRDefault="002C0FD9" w:rsidP="00CA25CF">
            <w:pPr>
              <w:rPr>
                <w:rFonts w:cs="Arial"/>
                <w:color w:val="FF0000"/>
                <w:sz w:val="21"/>
                <w:szCs w:val="21"/>
              </w:rPr>
            </w:pPr>
          </w:p>
        </w:tc>
        <w:tc>
          <w:tcPr>
            <w:tcW w:w="217" w:type="dxa"/>
          </w:tcPr>
          <w:p w14:paraId="403216FB" w14:textId="77777777" w:rsidR="002C0FD9" w:rsidRPr="00CA25CF" w:rsidRDefault="002C0FD9" w:rsidP="00CA25CF">
            <w:pPr>
              <w:rPr>
                <w:rFonts w:cs="Arial"/>
                <w:color w:val="FF0000"/>
                <w:sz w:val="21"/>
                <w:szCs w:val="21"/>
              </w:rPr>
            </w:pPr>
          </w:p>
        </w:tc>
        <w:tc>
          <w:tcPr>
            <w:tcW w:w="217" w:type="dxa"/>
          </w:tcPr>
          <w:p w14:paraId="5CA87A6B" w14:textId="77777777" w:rsidR="002C0FD9" w:rsidRPr="00CA25CF" w:rsidRDefault="002C0FD9" w:rsidP="00CA25CF">
            <w:pPr>
              <w:rPr>
                <w:rFonts w:cs="Arial"/>
                <w:color w:val="FF0000"/>
                <w:sz w:val="21"/>
                <w:szCs w:val="21"/>
              </w:rPr>
            </w:pPr>
          </w:p>
        </w:tc>
        <w:tc>
          <w:tcPr>
            <w:tcW w:w="217" w:type="dxa"/>
          </w:tcPr>
          <w:p w14:paraId="466D2F8A" w14:textId="77777777" w:rsidR="002C0FD9" w:rsidRPr="00CA25CF" w:rsidRDefault="002C0FD9" w:rsidP="00CA25CF">
            <w:pPr>
              <w:rPr>
                <w:rFonts w:cs="Arial"/>
                <w:color w:val="FF0000"/>
                <w:sz w:val="21"/>
                <w:szCs w:val="21"/>
              </w:rPr>
            </w:pPr>
          </w:p>
        </w:tc>
        <w:tc>
          <w:tcPr>
            <w:tcW w:w="217" w:type="dxa"/>
          </w:tcPr>
          <w:p w14:paraId="65C5A4B6" w14:textId="77777777" w:rsidR="002C0FD9" w:rsidRPr="00CA25CF" w:rsidRDefault="002C0FD9" w:rsidP="00CA25CF">
            <w:pPr>
              <w:rPr>
                <w:rFonts w:cs="Arial"/>
                <w:color w:val="FF0000"/>
                <w:sz w:val="21"/>
                <w:szCs w:val="21"/>
              </w:rPr>
            </w:pPr>
          </w:p>
        </w:tc>
        <w:tc>
          <w:tcPr>
            <w:tcW w:w="217" w:type="dxa"/>
          </w:tcPr>
          <w:p w14:paraId="6A4CC350" w14:textId="77777777" w:rsidR="002C0FD9" w:rsidRPr="00CA25CF" w:rsidRDefault="002C0FD9" w:rsidP="00CA25CF">
            <w:pPr>
              <w:rPr>
                <w:rFonts w:cs="Arial"/>
                <w:color w:val="FF0000"/>
                <w:sz w:val="21"/>
                <w:szCs w:val="21"/>
              </w:rPr>
            </w:pPr>
          </w:p>
        </w:tc>
        <w:tc>
          <w:tcPr>
            <w:tcW w:w="217" w:type="dxa"/>
          </w:tcPr>
          <w:p w14:paraId="1DEDD52B" w14:textId="77777777" w:rsidR="002C0FD9" w:rsidRPr="00CA25CF" w:rsidRDefault="002C0FD9" w:rsidP="00CA25CF">
            <w:pPr>
              <w:rPr>
                <w:rFonts w:cs="Arial"/>
                <w:color w:val="FF0000"/>
                <w:sz w:val="21"/>
                <w:szCs w:val="21"/>
              </w:rPr>
            </w:pPr>
          </w:p>
        </w:tc>
        <w:tc>
          <w:tcPr>
            <w:tcW w:w="217" w:type="dxa"/>
          </w:tcPr>
          <w:p w14:paraId="481784D3" w14:textId="77777777" w:rsidR="002C0FD9" w:rsidRPr="00CA25CF" w:rsidRDefault="002C0FD9" w:rsidP="00CA25CF">
            <w:pPr>
              <w:rPr>
                <w:rFonts w:cs="Arial"/>
                <w:color w:val="FF0000"/>
                <w:sz w:val="21"/>
                <w:szCs w:val="21"/>
              </w:rPr>
            </w:pPr>
          </w:p>
        </w:tc>
      </w:tr>
      <w:tr w:rsidR="002C0FD9" w:rsidRPr="00A16219" w14:paraId="2DA8D1B1" w14:textId="19F00EA5" w:rsidTr="002C0FD9">
        <w:trPr>
          <w:trHeight w:val="635"/>
        </w:trPr>
        <w:tc>
          <w:tcPr>
            <w:tcW w:w="515" w:type="dxa"/>
          </w:tcPr>
          <w:p w14:paraId="00848949" w14:textId="77777777" w:rsidR="002C0FD9" w:rsidRPr="00CA25CF" w:rsidRDefault="002C0FD9" w:rsidP="00CA25CF">
            <w:pPr>
              <w:rPr>
                <w:rFonts w:cs="Arial"/>
                <w:color w:val="FF0000"/>
                <w:sz w:val="21"/>
                <w:szCs w:val="21"/>
              </w:rPr>
            </w:pPr>
          </w:p>
        </w:tc>
        <w:tc>
          <w:tcPr>
            <w:tcW w:w="217" w:type="dxa"/>
          </w:tcPr>
          <w:p w14:paraId="745A963C" w14:textId="77777777" w:rsidR="002C0FD9" w:rsidRPr="00CA25CF" w:rsidRDefault="002C0FD9" w:rsidP="00CA25CF">
            <w:pPr>
              <w:rPr>
                <w:rFonts w:cs="Arial"/>
                <w:color w:val="FF0000"/>
                <w:sz w:val="21"/>
                <w:szCs w:val="21"/>
              </w:rPr>
            </w:pPr>
          </w:p>
        </w:tc>
        <w:tc>
          <w:tcPr>
            <w:tcW w:w="217" w:type="dxa"/>
          </w:tcPr>
          <w:p w14:paraId="779365D8" w14:textId="55713DBE" w:rsidR="002C0FD9" w:rsidRPr="00CA25CF" w:rsidRDefault="002C0FD9" w:rsidP="00CA25CF">
            <w:pPr>
              <w:rPr>
                <w:rFonts w:cs="Arial"/>
                <w:color w:val="FF0000"/>
                <w:sz w:val="21"/>
                <w:szCs w:val="21"/>
              </w:rPr>
            </w:pPr>
          </w:p>
        </w:tc>
        <w:tc>
          <w:tcPr>
            <w:tcW w:w="217" w:type="dxa"/>
          </w:tcPr>
          <w:p w14:paraId="6CB715BD" w14:textId="77777777" w:rsidR="002C0FD9" w:rsidRPr="00CA25CF" w:rsidRDefault="002C0FD9" w:rsidP="00CA25CF">
            <w:pPr>
              <w:rPr>
                <w:rFonts w:cs="Arial"/>
                <w:color w:val="FF0000"/>
                <w:sz w:val="21"/>
                <w:szCs w:val="21"/>
              </w:rPr>
            </w:pPr>
          </w:p>
        </w:tc>
        <w:tc>
          <w:tcPr>
            <w:tcW w:w="217" w:type="dxa"/>
          </w:tcPr>
          <w:p w14:paraId="46C9EC38" w14:textId="77777777" w:rsidR="002C0FD9" w:rsidRPr="00CA25CF" w:rsidRDefault="002C0FD9" w:rsidP="00CA25CF">
            <w:pPr>
              <w:rPr>
                <w:rFonts w:cs="Arial"/>
                <w:color w:val="FF0000"/>
                <w:sz w:val="21"/>
                <w:szCs w:val="21"/>
              </w:rPr>
            </w:pPr>
          </w:p>
        </w:tc>
        <w:tc>
          <w:tcPr>
            <w:tcW w:w="217" w:type="dxa"/>
          </w:tcPr>
          <w:p w14:paraId="4B780439" w14:textId="77777777" w:rsidR="002C0FD9" w:rsidRPr="00CA25CF" w:rsidRDefault="002C0FD9" w:rsidP="00CA25CF">
            <w:pPr>
              <w:rPr>
                <w:rFonts w:cs="Arial"/>
                <w:color w:val="FF0000"/>
                <w:sz w:val="21"/>
                <w:szCs w:val="21"/>
              </w:rPr>
            </w:pPr>
          </w:p>
        </w:tc>
        <w:tc>
          <w:tcPr>
            <w:tcW w:w="217" w:type="dxa"/>
          </w:tcPr>
          <w:p w14:paraId="5646DD6A" w14:textId="77777777" w:rsidR="002C0FD9" w:rsidRPr="00CA25CF" w:rsidRDefault="002C0FD9" w:rsidP="00CA25CF">
            <w:pPr>
              <w:rPr>
                <w:rFonts w:cs="Arial"/>
                <w:color w:val="FF0000"/>
                <w:sz w:val="21"/>
                <w:szCs w:val="21"/>
              </w:rPr>
            </w:pPr>
          </w:p>
        </w:tc>
        <w:tc>
          <w:tcPr>
            <w:tcW w:w="217" w:type="dxa"/>
          </w:tcPr>
          <w:p w14:paraId="77A91C1F" w14:textId="77777777" w:rsidR="002C0FD9" w:rsidRPr="00CA25CF" w:rsidRDefault="002C0FD9" w:rsidP="00CA25CF">
            <w:pPr>
              <w:rPr>
                <w:rFonts w:cs="Arial"/>
                <w:color w:val="FF0000"/>
                <w:sz w:val="21"/>
                <w:szCs w:val="21"/>
              </w:rPr>
            </w:pPr>
          </w:p>
        </w:tc>
        <w:tc>
          <w:tcPr>
            <w:tcW w:w="217" w:type="dxa"/>
          </w:tcPr>
          <w:p w14:paraId="75FE4C6B" w14:textId="77777777" w:rsidR="002C0FD9" w:rsidRPr="00CA25CF" w:rsidRDefault="002C0FD9" w:rsidP="00CA25CF">
            <w:pPr>
              <w:rPr>
                <w:rFonts w:cs="Arial"/>
                <w:color w:val="FF0000"/>
                <w:sz w:val="21"/>
                <w:szCs w:val="21"/>
              </w:rPr>
            </w:pPr>
          </w:p>
        </w:tc>
        <w:tc>
          <w:tcPr>
            <w:tcW w:w="217" w:type="dxa"/>
          </w:tcPr>
          <w:p w14:paraId="37C6902B" w14:textId="77777777" w:rsidR="002C0FD9" w:rsidRPr="00CA25CF" w:rsidRDefault="002C0FD9" w:rsidP="00CA25CF">
            <w:pPr>
              <w:rPr>
                <w:rFonts w:cs="Arial"/>
                <w:color w:val="FF0000"/>
                <w:sz w:val="21"/>
                <w:szCs w:val="21"/>
              </w:rPr>
            </w:pPr>
          </w:p>
        </w:tc>
        <w:tc>
          <w:tcPr>
            <w:tcW w:w="217" w:type="dxa"/>
          </w:tcPr>
          <w:p w14:paraId="57959FA8" w14:textId="77777777" w:rsidR="002C0FD9" w:rsidRPr="00CA25CF" w:rsidRDefault="002C0FD9" w:rsidP="00CA25CF">
            <w:pPr>
              <w:rPr>
                <w:rFonts w:cs="Arial"/>
                <w:color w:val="FF0000"/>
                <w:sz w:val="21"/>
                <w:szCs w:val="21"/>
              </w:rPr>
            </w:pPr>
          </w:p>
        </w:tc>
        <w:tc>
          <w:tcPr>
            <w:tcW w:w="217" w:type="dxa"/>
          </w:tcPr>
          <w:p w14:paraId="221AC84D" w14:textId="77777777" w:rsidR="002C0FD9" w:rsidRPr="00CA25CF" w:rsidRDefault="002C0FD9" w:rsidP="00CA25CF">
            <w:pPr>
              <w:rPr>
                <w:rFonts w:cs="Arial"/>
                <w:color w:val="FF0000"/>
                <w:sz w:val="21"/>
                <w:szCs w:val="21"/>
              </w:rPr>
            </w:pPr>
          </w:p>
        </w:tc>
        <w:tc>
          <w:tcPr>
            <w:tcW w:w="217" w:type="dxa"/>
          </w:tcPr>
          <w:p w14:paraId="7882E465" w14:textId="77777777" w:rsidR="002C0FD9" w:rsidRPr="00CA25CF" w:rsidRDefault="002C0FD9" w:rsidP="00CA25CF">
            <w:pPr>
              <w:rPr>
                <w:rFonts w:cs="Arial"/>
                <w:color w:val="FF0000"/>
                <w:sz w:val="21"/>
                <w:szCs w:val="21"/>
              </w:rPr>
            </w:pPr>
          </w:p>
        </w:tc>
        <w:tc>
          <w:tcPr>
            <w:tcW w:w="217" w:type="dxa"/>
          </w:tcPr>
          <w:p w14:paraId="50810042" w14:textId="77777777" w:rsidR="002C0FD9" w:rsidRPr="00CA25CF" w:rsidRDefault="002C0FD9" w:rsidP="00CA25CF">
            <w:pPr>
              <w:rPr>
                <w:rFonts w:cs="Arial"/>
                <w:color w:val="FF0000"/>
                <w:sz w:val="21"/>
                <w:szCs w:val="21"/>
              </w:rPr>
            </w:pPr>
          </w:p>
        </w:tc>
        <w:tc>
          <w:tcPr>
            <w:tcW w:w="217" w:type="dxa"/>
          </w:tcPr>
          <w:p w14:paraId="7FF3D0B2" w14:textId="77777777" w:rsidR="002C0FD9" w:rsidRPr="00CA25CF" w:rsidRDefault="002C0FD9" w:rsidP="00CA25CF">
            <w:pPr>
              <w:rPr>
                <w:rFonts w:cs="Arial"/>
                <w:color w:val="FF0000"/>
                <w:sz w:val="21"/>
                <w:szCs w:val="21"/>
              </w:rPr>
            </w:pPr>
          </w:p>
        </w:tc>
        <w:tc>
          <w:tcPr>
            <w:tcW w:w="217" w:type="dxa"/>
          </w:tcPr>
          <w:p w14:paraId="25298EB6" w14:textId="23184AE7" w:rsidR="002C0FD9" w:rsidRPr="00CA25CF" w:rsidRDefault="002C0FD9" w:rsidP="00CA25CF">
            <w:pPr>
              <w:rPr>
                <w:rFonts w:cs="Arial"/>
                <w:color w:val="FF0000"/>
                <w:sz w:val="21"/>
                <w:szCs w:val="21"/>
              </w:rPr>
            </w:pPr>
          </w:p>
        </w:tc>
        <w:tc>
          <w:tcPr>
            <w:tcW w:w="217" w:type="dxa"/>
          </w:tcPr>
          <w:p w14:paraId="4654B402" w14:textId="77777777" w:rsidR="002C0FD9" w:rsidRPr="00CA25CF" w:rsidRDefault="002C0FD9" w:rsidP="00CA25CF">
            <w:pPr>
              <w:rPr>
                <w:rFonts w:cs="Arial"/>
                <w:color w:val="FF0000"/>
                <w:sz w:val="21"/>
                <w:szCs w:val="21"/>
              </w:rPr>
            </w:pPr>
          </w:p>
        </w:tc>
        <w:tc>
          <w:tcPr>
            <w:tcW w:w="217" w:type="dxa"/>
          </w:tcPr>
          <w:p w14:paraId="3A8A8D0A" w14:textId="77777777" w:rsidR="002C0FD9" w:rsidRPr="00CA25CF" w:rsidRDefault="002C0FD9" w:rsidP="00CA25CF">
            <w:pPr>
              <w:rPr>
                <w:rFonts w:cs="Arial"/>
                <w:color w:val="FF0000"/>
                <w:sz w:val="21"/>
                <w:szCs w:val="21"/>
              </w:rPr>
            </w:pPr>
          </w:p>
        </w:tc>
        <w:tc>
          <w:tcPr>
            <w:tcW w:w="217" w:type="dxa"/>
          </w:tcPr>
          <w:p w14:paraId="70518A14" w14:textId="77777777" w:rsidR="002C0FD9" w:rsidRPr="00CA25CF" w:rsidRDefault="002C0FD9" w:rsidP="00CA25CF">
            <w:pPr>
              <w:rPr>
                <w:rFonts w:cs="Arial"/>
                <w:color w:val="FF0000"/>
                <w:sz w:val="21"/>
                <w:szCs w:val="21"/>
              </w:rPr>
            </w:pPr>
          </w:p>
        </w:tc>
        <w:tc>
          <w:tcPr>
            <w:tcW w:w="217" w:type="dxa"/>
          </w:tcPr>
          <w:p w14:paraId="032B0C1E" w14:textId="77777777" w:rsidR="002C0FD9" w:rsidRPr="00CA25CF" w:rsidRDefault="002C0FD9" w:rsidP="00CA25CF">
            <w:pPr>
              <w:rPr>
                <w:rFonts w:cs="Arial"/>
                <w:color w:val="FF0000"/>
                <w:sz w:val="21"/>
                <w:szCs w:val="21"/>
              </w:rPr>
            </w:pPr>
          </w:p>
        </w:tc>
        <w:tc>
          <w:tcPr>
            <w:tcW w:w="217" w:type="dxa"/>
          </w:tcPr>
          <w:p w14:paraId="257C8F20" w14:textId="77777777" w:rsidR="002C0FD9" w:rsidRPr="00CA25CF" w:rsidRDefault="002C0FD9" w:rsidP="00CA25CF">
            <w:pPr>
              <w:rPr>
                <w:rFonts w:cs="Arial"/>
                <w:color w:val="FF0000"/>
                <w:sz w:val="21"/>
                <w:szCs w:val="21"/>
              </w:rPr>
            </w:pPr>
          </w:p>
        </w:tc>
        <w:tc>
          <w:tcPr>
            <w:tcW w:w="217" w:type="dxa"/>
          </w:tcPr>
          <w:p w14:paraId="368B8942" w14:textId="77777777" w:rsidR="002C0FD9" w:rsidRPr="00CA25CF" w:rsidRDefault="002C0FD9" w:rsidP="00CA25CF">
            <w:pPr>
              <w:rPr>
                <w:rFonts w:cs="Arial"/>
                <w:color w:val="FF0000"/>
                <w:sz w:val="21"/>
                <w:szCs w:val="21"/>
              </w:rPr>
            </w:pPr>
          </w:p>
        </w:tc>
        <w:tc>
          <w:tcPr>
            <w:tcW w:w="217" w:type="dxa"/>
          </w:tcPr>
          <w:p w14:paraId="296E8AD6" w14:textId="77777777" w:rsidR="002C0FD9" w:rsidRPr="00CA25CF" w:rsidRDefault="002C0FD9" w:rsidP="00CA25CF">
            <w:pPr>
              <w:rPr>
                <w:rFonts w:cs="Arial"/>
                <w:color w:val="FF0000"/>
                <w:sz w:val="21"/>
                <w:szCs w:val="21"/>
              </w:rPr>
            </w:pPr>
          </w:p>
        </w:tc>
        <w:tc>
          <w:tcPr>
            <w:tcW w:w="217" w:type="dxa"/>
          </w:tcPr>
          <w:p w14:paraId="10D104BE" w14:textId="77777777" w:rsidR="002C0FD9" w:rsidRPr="00CA25CF" w:rsidRDefault="002C0FD9" w:rsidP="00CA25CF">
            <w:pPr>
              <w:rPr>
                <w:rFonts w:cs="Arial"/>
                <w:color w:val="FF0000"/>
                <w:sz w:val="21"/>
                <w:szCs w:val="21"/>
              </w:rPr>
            </w:pPr>
          </w:p>
        </w:tc>
        <w:tc>
          <w:tcPr>
            <w:tcW w:w="217" w:type="dxa"/>
          </w:tcPr>
          <w:p w14:paraId="3DAFAE10" w14:textId="77777777" w:rsidR="002C0FD9" w:rsidRPr="00CA25CF" w:rsidRDefault="002C0FD9" w:rsidP="00CA25CF">
            <w:pPr>
              <w:rPr>
                <w:rFonts w:cs="Arial"/>
                <w:color w:val="FF0000"/>
                <w:sz w:val="21"/>
                <w:szCs w:val="21"/>
              </w:rPr>
            </w:pPr>
          </w:p>
        </w:tc>
        <w:tc>
          <w:tcPr>
            <w:tcW w:w="217" w:type="dxa"/>
          </w:tcPr>
          <w:p w14:paraId="17B568C4" w14:textId="77777777" w:rsidR="002C0FD9" w:rsidRPr="00CA25CF" w:rsidRDefault="002C0FD9" w:rsidP="00CA25CF">
            <w:pPr>
              <w:rPr>
                <w:rFonts w:cs="Arial"/>
                <w:color w:val="FF0000"/>
                <w:sz w:val="21"/>
                <w:szCs w:val="21"/>
              </w:rPr>
            </w:pPr>
          </w:p>
        </w:tc>
        <w:tc>
          <w:tcPr>
            <w:tcW w:w="217" w:type="dxa"/>
          </w:tcPr>
          <w:p w14:paraId="2580EF96" w14:textId="77777777" w:rsidR="002C0FD9" w:rsidRPr="00CA25CF" w:rsidRDefault="002C0FD9" w:rsidP="00CA25CF">
            <w:pPr>
              <w:rPr>
                <w:rFonts w:cs="Arial"/>
                <w:color w:val="FF0000"/>
                <w:sz w:val="21"/>
                <w:szCs w:val="21"/>
              </w:rPr>
            </w:pPr>
          </w:p>
        </w:tc>
        <w:tc>
          <w:tcPr>
            <w:tcW w:w="217" w:type="dxa"/>
          </w:tcPr>
          <w:p w14:paraId="5E7412CD" w14:textId="77777777" w:rsidR="002C0FD9" w:rsidRPr="00CA25CF" w:rsidRDefault="002C0FD9" w:rsidP="00CA25CF">
            <w:pPr>
              <w:rPr>
                <w:rFonts w:cs="Arial"/>
                <w:color w:val="FF0000"/>
                <w:sz w:val="21"/>
                <w:szCs w:val="21"/>
              </w:rPr>
            </w:pPr>
          </w:p>
        </w:tc>
        <w:tc>
          <w:tcPr>
            <w:tcW w:w="217" w:type="dxa"/>
          </w:tcPr>
          <w:p w14:paraId="26021CFD" w14:textId="77777777" w:rsidR="002C0FD9" w:rsidRPr="00CA25CF" w:rsidRDefault="002C0FD9" w:rsidP="00CA25CF">
            <w:pPr>
              <w:rPr>
                <w:rFonts w:cs="Arial"/>
                <w:color w:val="FF0000"/>
                <w:sz w:val="21"/>
                <w:szCs w:val="21"/>
              </w:rPr>
            </w:pPr>
          </w:p>
        </w:tc>
        <w:tc>
          <w:tcPr>
            <w:tcW w:w="217" w:type="dxa"/>
          </w:tcPr>
          <w:p w14:paraId="3A1ED992" w14:textId="77777777" w:rsidR="002C0FD9" w:rsidRPr="00CA25CF" w:rsidRDefault="002C0FD9" w:rsidP="00CA25CF">
            <w:pPr>
              <w:rPr>
                <w:rFonts w:cs="Arial"/>
                <w:color w:val="FF0000"/>
                <w:sz w:val="21"/>
                <w:szCs w:val="21"/>
              </w:rPr>
            </w:pPr>
          </w:p>
        </w:tc>
        <w:tc>
          <w:tcPr>
            <w:tcW w:w="217" w:type="dxa"/>
          </w:tcPr>
          <w:p w14:paraId="4C8D90B4" w14:textId="77777777" w:rsidR="002C0FD9" w:rsidRPr="00CA25CF" w:rsidRDefault="002C0FD9" w:rsidP="00CA25CF">
            <w:pPr>
              <w:rPr>
                <w:rFonts w:cs="Arial"/>
                <w:color w:val="FF0000"/>
                <w:sz w:val="21"/>
                <w:szCs w:val="21"/>
              </w:rPr>
            </w:pPr>
          </w:p>
        </w:tc>
        <w:tc>
          <w:tcPr>
            <w:tcW w:w="217" w:type="dxa"/>
          </w:tcPr>
          <w:p w14:paraId="6DF51AFC" w14:textId="77777777" w:rsidR="002C0FD9" w:rsidRPr="00CA25CF" w:rsidRDefault="002C0FD9" w:rsidP="00CA25CF">
            <w:pPr>
              <w:rPr>
                <w:rFonts w:cs="Arial"/>
                <w:color w:val="FF0000"/>
                <w:sz w:val="21"/>
                <w:szCs w:val="21"/>
              </w:rPr>
            </w:pPr>
          </w:p>
        </w:tc>
        <w:tc>
          <w:tcPr>
            <w:tcW w:w="217" w:type="dxa"/>
          </w:tcPr>
          <w:p w14:paraId="6F192E54" w14:textId="77777777" w:rsidR="002C0FD9" w:rsidRPr="00CA25CF" w:rsidRDefault="002C0FD9" w:rsidP="00CA25CF">
            <w:pPr>
              <w:rPr>
                <w:rFonts w:cs="Arial"/>
                <w:color w:val="FF0000"/>
                <w:sz w:val="21"/>
                <w:szCs w:val="21"/>
              </w:rPr>
            </w:pPr>
          </w:p>
        </w:tc>
        <w:tc>
          <w:tcPr>
            <w:tcW w:w="217" w:type="dxa"/>
          </w:tcPr>
          <w:p w14:paraId="3413453A" w14:textId="77777777" w:rsidR="002C0FD9" w:rsidRPr="00CA25CF" w:rsidRDefault="002C0FD9" w:rsidP="00CA25CF">
            <w:pPr>
              <w:rPr>
                <w:rFonts w:cs="Arial"/>
                <w:color w:val="FF0000"/>
                <w:sz w:val="21"/>
                <w:szCs w:val="21"/>
              </w:rPr>
            </w:pPr>
          </w:p>
        </w:tc>
        <w:tc>
          <w:tcPr>
            <w:tcW w:w="217" w:type="dxa"/>
          </w:tcPr>
          <w:p w14:paraId="62538D85" w14:textId="77777777" w:rsidR="002C0FD9" w:rsidRPr="00CA25CF" w:rsidRDefault="002C0FD9" w:rsidP="00CA25CF">
            <w:pPr>
              <w:rPr>
                <w:rFonts w:cs="Arial"/>
                <w:color w:val="FF0000"/>
                <w:sz w:val="21"/>
                <w:szCs w:val="21"/>
              </w:rPr>
            </w:pPr>
          </w:p>
        </w:tc>
        <w:tc>
          <w:tcPr>
            <w:tcW w:w="217" w:type="dxa"/>
          </w:tcPr>
          <w:p w14:paraId="3A692426" w14:textId="77777777" w:rsidR="002C0FD9" w:rsidRPr="00CA25CF" w:rsidRDefault="002C0FD9" w:rsidP="00CA25CF">
            <w:pPr>
              <w:rPr>
                <w:rFonts w:cs="Arial"/>
                <w:color w:val="FF0000"/>
                <w:sz w:val="21"/>
                <w:szCs w:val="21"/>
              </w:rPr>
            </w:pPr>
          </w:p>
        </w:tc>
        <w:tc>
          <w:tcPr>
            <w:tcW w:w="217" w:type="dxa"/>
          </w:tcPr>
          <w:p w14:paraId="6E9C90CE" w14:textId="77777777" w:rsidR="002C0FD9" w:rsidRPr="00CA25CF" w:rsidRDefault="002C0FD9" w:rsidP="00CA25CF">
            <w:pPr>
              <w:rPr>
                <w:rFonts w:cs="Arial"/>
                <w:color w:val="FF0000"/>
                <w:sz w:val="21"/>
                <w:szCs w:val="21"/>
              </w:rPr>
            </w:pPr>
          </w:p>
        </w:tc>
        <w:tc>
          <w:tcPr>
            <w:tcW w:w="217" w:type="dxa"/>
          </w:tcPr>
          <w:p w14:paraId="076C2839" w14:textId="77777777" w:rsidR="002C0FD9" w:rsidRPr="00CA25CF" w:rsidRDefault="002C0FD9" w:rsidP="00CA25CF">
            <w:pPr>
              <w:rPr>
                <w:rFonts w:cs="Arial"/>
                <w:color w:val="FF0000"/>
                <w:sz w:val="21"/>
                <w:szCs w:val="21"/>
              </w:rPr>
            </w:pPr>
          </w:p>
        </w:tc>
        <w:tc>
          <w:tcPr>
            <w:tcW w:w="217" w:type="dxa"/>
          </w:tcPr>
          <w:p w14:paraId="5B4FD012" w14:textId="77777777" w:rsidR="002C0FD9" w:rsidRPr="00CA25CF" w:rsidRDefault="002C0FD9" w:rsidP="00CA25CF">
            <w:pPr>
              <w:rPr>
                <w:rFonts w:cs="Arial"/>
                <w:color w:val="FF0000"/>
                <w:sz w:val="21"/>
                <w:szCs w:val="21"/>
              </w:rPr>
            </w:pPr>
          </w:p>
        </w:tc>
        <w:tc>
          <w:tcPr>
            <w:tcW w:w="217" w:type="dxa"/>
          </w:tcPr>
          <w:p w14:paraId="1FEE39AD" w14:textId="77777777" w:rsidR="002C0FD9" w:rsidRPr="00CA25CF" w:rsidRDefault="002C0FD9" w:rsidP="00CA25CF">
            <w:pPr>
              <w:rPr>
                <w:rFonts w:cs="Arial"/>
                <w:color w:val="FF0000"/>
                <w:sz w:val="21"/>
                <w:szCs w:val="21"/>
              </w:rPr>
            </w:pPr>
          </w:p>
        </w:tc>
        <w:tc>
          <w:tcPr>
            <w:tcW w:w="217" w:type="dxa"/>
          </w:tcPr>
          <w:p w14:paraId="11277459" w14:textId="77777777" w:rsidR="002C0FD9" w:rsidRPr="00CA25CF" w:rsidRDefault="002C0FD9" w:rsidP="00CA25CF">
            <w:pPr>
              <w:rPr>
                <w:rFonts w:cs="Arial"/>
                <w:color w:val="FF0000"/>
                <w:sz w:val="21"/>
                <w:szCs w:val="21"/>
              </w:rPr>
            </w:pPr>
          </w:p>
        </w:tc>
        <w:tc>
          <w:tcPr>
            <w:tcW w:w="217" w:type="dxa"/>
          </w:tcPr>
          <w:p w14:paraId="31A72D49" w14:textId="77777777" w:rsidR="002C0FD9" w:rsidRPr="00CA25CF" w:rsidRDefault="002C0FD9" w:rsidP="00CA25CF">
            <w:pPr>
              <w:rPr>
                <w:rFonts w:cs="Arial"/>
                <w:color w:val="FF0000"/>
                <w:sz w:val="21"/>
                <w:szCs w:val="21"/>
              </w:rPr>
            </w:pPr>
          </w:p>
        </w:tc>
        <w:tc>
          <w:tcPr>
            <w:tcW w:w="217" w:type="dxa"/>
          </w:tcPr>
          <w:p w14:paraId="758110C6" w14:textId="77777777" w:rsidR="002C0FD9" w:rsidRPr="00CA25CF" w:rsidRDefault="002C0FD9" w:rsidP="00CA25CF">
            <w:pPr>
              <w:rPr>
                <w:rFonts w:cs="Arial"/>
                <w:color w:val="FF0000"/>
                <w:sz w:val="21"/>
                <w:szCs w:val="21"/>
              </w:rPr>
            </w:pPr>
          </w:p>
        </w:tc>
      </w:tr>
      <w:tr w:rsidR="002C0FD9" w:rsidRPr="00A16219" w14:paraId="08AF038D" w14:textId="48391A30" w:rsidTr="002C0FD9">
        <w:trPr>
          <w:trHeight w:val="635"/>
        </w:trPr>
        <w:tc>
          <w:tcPr>
            <w:tcW w:w="515" w:type="dxa"/>
          </w:tcPr>
          <w:p w14:paraId="40813384" w14:textId="77777777" w:rsidR="002C0FD9" w:rsidRPr="00CA25CF" w:rsidRDefault="002C0FD9" w:rsidP="00CA25CF">
            <w:pPr>
              <w:rPr>
                <w:rFonts w:cs="Arial"/>
                <w:color w:val="FF0000"/>
                <w:sz w:val="21"/>
                <w:szCs w:val="21"/>
              </w:rPr>
            </w:pPr>
          </w:p>
        </w:tc>
        <w:tc>
          <w:tcPr>
            <w:tcW w:w="217" w:type="dxa"/>
          </w:tcPr>
          <w:p w14:paraId="45517B03" w14:textId="77777777" w:rsidR="002C0FD9" w:rsidRPr="00CA25CF" w:rsidRDefault="002C0FD9" w:rsidP="00CA25CF">
            <w:pPr>
              <w:rPr>
                <w:rFonts w:cs="Arial"/>
                <w:color w:val="FF0000"/>
                <w:sz w:val="21"/>
                <w:szCs w:val="21"/>
              </w:rPr>
            </w:pPr>
          </w:p>
        </w:tc>
        <w:tc>
          <w:tcPr>
            <w:tcW w:w="217" w:type="dxa"/>
          </w:tcPr>
          <w:p w14:paraId="37A21BFB" w14:textId="48CB964A" w:rsidR="002C0FD9" w:rsidRPr="00CA25CF" w:rsidRDefault="002C0FD9" w:rsidP="00CA25CF">
            <w:pPr>
              <w:rPr>
                <w:rFonts w:cs="Arial"/>
                <w:color w:val="FF0000"/>
                <w:sz w:val="21"/>
                <w:szCs w:val="21"/>
              </w:rPr>
            </w:pPr>
          </w:p>
        </w:tc>
        <w:tc>
          <w:tcPr>
            <w:tcW w:w="217" w:type="dxa"/>
          </w:tcPr>
          <w:p w14:paraId="61183B88" w14:textId="77777777" w:rsidR="002C0FD9" w:rsidRPr="00CA25CF" w:rsidRDefault="002C0FD9" w:rsidP="00CA25CF">
            <w:pPr>
              <w:rPr>
                <w:rFonts w:cs="Arial"/>
                <w:color w:val="FF0000"/>
                <w:sz w:val="21"/>
                <w:szCs w:val="21"/>
              </w:rPr>
            </w:pPr>
          </w:p>
        </w:tc>
        <w:tc>
          <w:tcPr>
            <w:tcW w:w="217" w:type="dxa"/>
          </w:tcPr>
          <w:p w14:paraId="79B0B7F4" w14:textId="77777777" w:rsidR="002C0FD9" w:rsidRPr="00CA25CF" w:rsidRDefault="002C0FD9" w:rsidP="00CA25CF">
            <w:pPr>
              <w:rPr>
                <w:rFonts w:cs="Arial"/>
                <w:color w:val="FF0000"/>
                <w:sz w:val="21"/>
                <w:szCs w:val="21"/>
              </w:rPr>
            </w:pPr>
          </w:p>
        </w:tc>
        <w:tc>
          <w:tcPr>
            <w:tcW w:w="217" w:type="dxa"/>
          </w:tcPr>
          <w:p w14:paraId="0B8E0CE5" w14:textId="77777777" w:rsidR="002C0FD9" w:rsidRPr="00CA25CF" w:rsidRDefault="002C0FD9" w:rsidP="00CA25CF">
            <w:pPr>
              <w:rPr>
                <w:rFonts w:cs="Arial"/>
                <w:color w:val="FF0000"/>
                <w:sz w:val="21"/>
                <w:szCs w:val="21"/>
              </w:rPr>
            </w:pPr>
          </w:p>
        </w:tc>
        <w:tc>
          <w:tcPr>
            <w:tcW w:w="217" w:type="dxa"/>
          </w:tcPr>
          <w:p w14:paraId="63916D67" w14:textId="77777777" w:rsidR="002C0FD9" w:rsidRPr="00CA25CF" w:rsidRDefault="002C0FD9" w:rsidP="00CA25CF">
            <w:pPr>
              <w:rPr>
                <w:rFonts w:cs="Arial"/>
                <w:color w:val="FF0000"/>
                <w:sz w:val="21"/>
                <w:szCs w:val="21"/>
              </w:rPr>
            </w:pPr>
          </w:p>
        </w:tc>
        <w:tc>
          <w:tcPr>
            <w:tcW w:w="217" w:type="dxa"/>
          </w:tcPr>
          <w:p w14:paraId="5D1EFBCE" w14:textId="77777777" w:rsidR="002C0FD9" w:rsidRPr="00CA25CF" w:rsidRDefault="002C0FD9" w:rsidP="00CA25CF">
            <w:pPr>
              <w:rPr>
                <w:rFonts w:cs="Arial"/>
                <w:color w:val="FF0000"/>
                <w:sz w:val="21"/>
                <w:szCs w:val="21"/>
              </w:rPr>
            </w:pPr>
          </w:p>
        </w:tc>
        <w:tc>
          <w:tcPr>
            <w:tcW w:w="217" w:type="dxa"/>
          </w:tcPr>
          <w:p w14:paraId="68A55E50" w14:textId="77777777" w:rsidR="002C0FD9" w:rsidRPr="00CA25CF" w:rsidRDefault="002C0FD9" w:rsidP="00CA25CF">
            <w:pPr>
              <w:rPr>
                <w:rFonts w:cs="Arial"/>
                <w:color w:val="FF0000"/>
                <w:sz w:val="21"/>
                <w:szCs w:val="21"/>
              </w:rPr>
            </w:pPr>
          </w:p>
        </w:tc>
        <w:tc>
          <w:tcPr>
            <w:tcW w:w="217" w:type="dxa"/>
          </w:tcPr>
          <w:p w14:paraId="2B201362" w14:textId="77777777" w:rsidR="002C0FD9" w:rsidRPr="00CA25CF" w:rsidRDefault="002C0FD9" w:rsidP="00CA25CF">
            <w:pPr>
              <w:rPr>
                <w:rFonts w:cs="Arial"/>
                <w:color w:val="FF0000"/>
                <w:sz w:val="21"/>
                <w:szCs w:val="21"/>
              </w:rPr>
            </w:pPr>
          </w:p>
        </w:tc>
        <w:tc>
          <w:tcPr>
            <w:tcW w:w="217" w:type="dxa"/>
          </w:tcPr>
          <w:p w14:paraId="089454CC" w14:textId="77777777" w:rsidR="002C0FD9" w:rsidRPr="00CA25CF" w:rsidRDefault="002C0FD9" w:rsidP="00CA25CF">
            <w:pPr>
              <w:rPr>
                <w:rFonts w:cs="Arial"/>
                <w:color w:val="FF0000"/>
                <w:sz w:val="21"/>
                <w:szCs w:val="21"/>
              </w:rPr>
            </w:pPr>
          </w:p>
        </w:tc>
        <w:tc>
          <w:tcPr>
            <w:tcW w:w="217" w:type="dxa"/>
          </w:tcPr>
          <w:p w14:paraId="3D85C072" w14:textId="77777777" w:rsidR="002C0FD9" w:rsidRPr="00CA25CF" w:rsidRDefault="002C0FD9" w:rsidP="00CA25CF">
            <w:pPr>
              <w:rPr>
                <w:rFonts w:cs="Arial"/>
                <w:color w:val="FF0000"/>
                <w:sz w:val="21"/>
                <w:szCs w:val="21"/>
              </w:rPr>
            </w:pPr>
          </w:p>
        </w:tc>
        <w:tc>
          <w:tcPr>
            <w:tcW w:w="217" w:type="dxa"/>
          </w:tcPr>
          <w:p w14:paraId="4F34A0F1" w14:textId="77777777" w:rsidR="002C0FD9" w:rsidRPr="00CA25CF" w:rsidRDefault="002C0FD9" w:rsidP="00CA25CF">
            <w:pPr>
              <w:rPr>
                <w:rFonts w:cs="Arial"/>
                <w:color w:val="FF0000"/>
                <w:sz w:val="21"/>
                <w:szCs w:val="21"/>
              </w:rPr>
            </w:pPr>
          </w:p>
        </w:tc>
        <w:tc>
          <w:tcPr>
            <w:tcW w:w="217" w:type="dxa"/>
          </w:tcPr>
          <w:p w14:paraId="310F1AFD" w14:textId="77777777" w:rsidR="002C0FD9" w:rsidRPr="00CA25CF" w:rsidRDefault="002C0FD9" w:rsidP="00CA25CF">
            <w:pPr>
              <w:rPr>
                <w:rFonts w:cs="Arial"/>
                <w:color w:val="FF0000"/>
                <w:sz w:val="21"/>
                <w:szCs w:val="21"/>
              </w:rPr>
            </w:pPr>
          </w:p>
        </w:tc>
        <w:tc>
          <w:tcPr>
            <w:tcW w:w="217" w:type="dxa"/>
          </w:tcPr>
          <w:p w14:paraId="2B8B22CB" w14:textId="77777777" w:rsidR="002C0FD9" w:rsidRPr="00CA25CF" w:rsidRDefault="002C0FD9" w:rsidP="00CA25CF">
            <w:pPr>
              <w:rPr>
                <w:rFonts w:cs="Arial"/>
                <w:color w:val="FF0000"/>
                <w:sz w:val="21"/>
                <w:szCs w:val="21"/>
              </w:rPr>
            </w:pPr>
          </w:p>
        </w:tc>
        <w:tc>
          <w:tcPr>
            <w:tcW w:w="217" w:type="dxa"/>
          </w:tcPr>
          <w:p w14:paraId="77FD0F31" w14:textId="409D2BC8" w:rsidR="002C0FD9" w:rsidRPr="00CA25CF" w:rsidRDefault="002C0FD9" w:rsidP="00CA25CF">
            <w:pPr>
              <w:rPr>
                <w:rFonts w:cs="Arial"/>
                <w:color w:val="FF0000"/>
                <w:sz w:val="21"/>
                <w:szCs w:val="21"/>
              </w:rPr>
            </w:pPr>
          </w:p>
        </w:tc>
        <w:tc>
          <w:tcPr>
            <w:tcW w:w="217" w:type="dxa"/>
          </w:tcPr>
          <w:p w14:paraId="423CB772" w14:textId="77777777" w:rsidR="002C0FD9" w:rsidRPr="00CA25CF" w:rsidRDefault="002C0FD9" w:rsidP="00CA25CF">
            <w:pPr>
              <w:rPr>
                <w:rFonts w:cs="Arial"/>
                <w:color w:val="FF0000"/>
                <w:sz w:val="21"/>
                <w:szCs w:val="21"/>
              </w:rPr>
            </w:pPr>
          </w:p>
        </w:tc>
        <w:tc>
          <w:tcPr>
            <w:tcW w:w="217" w:type="dxa"/>
          </w:tcPr>
          <w:p w14:paraId="2E5678CA" w14:textId="77777777" w:rsidR="002C0FD9" w:rsidRPr="00CA25CF" w:rsidRDefault="002C0FD9" w:rsidP="00CA25CF">
            <w:pPr>
              <w:rPr>
                <w:rFonts w:cs="Arial"/>
                <w:color w:val="FF0000"/>
                <w:sz w:val="21"/>
                <w:szCs w:val="21"/>
              </w:rPr>
            </w:pPr>
          </w:p>
        </w:tc>
        <w:tc>
          <w:tcPr>
            <w:tcW w:w="217" w:type="dxa"/>
          </w:tcPr>
          <w:p w14:paraId="4664B832" w14:textId="77777777" w:rsidR="002C0FD9" w:rsidRPr="00CA25CF" w:rsidRDefault="002C0FD9" w:rsidP="00CA25CF">
            <w:pPr>
              <w:rPr>
                <w:rFonts w:cs="Arial"/>
                <w:color w:val="FF0000"/>
                <w:sz w:val="21"/>
                <w:szCs w:val="21"/>
              </w:rPr>
            </w:pPr>
          </w:p>
        </w:tc>
        <w:tc>
          <w:tcPr>
            <w:tcW w:w="217" w:type="dxa"/>
          </w:tcPr>
          <w:p w14:paraId="20FB35B3" w14:textId="77777777" w:rsidR="002C0FD9" w:rsidRPr="00CA25CF" w:rsidRDefault="002C0FD9" w:rsidP="00CA25CF">
            <w:pPr>
              <w:rPr>
                <w:rFonts w:cs="Arial"/>
                <w:color w:val="FF0000"/>
                <w:sz w:val="21"/>
                <w:szCs w:val="21"/>
              </w:rPr>
            </w:pPr>
          </w:p>
        </w:tc>
        <w:tc>
          <w:tcPr>
            <w:tcW w:w="217" w:type="dxa"/>
          </w:tcPr>
          <w:p w14:paraId="6047DE34" w14:textId="77777777" w:rsidR="002C0FD9" w:rsidRPr="00CA25CF" w:rsidRDefault="002C0FD9" w:rsidP="00CA25CF">
            <w:pPr>
              <w:rPr>
                <w:rFonts w:cs="Arial"/>
                <w:color w:val="FF0000"/>
                <w:sz w:val="21"/>
                <w:szCs w:val="21"/>
              </w:rPr>
            </w:pPr>
          </w:p>
        </w:tc>
        <w:tc>
          <w:tcPr>
            <w:tcW w:w="217" w:type="dxa"/>
          </w:tcPr>
          <w:p w14:paraId="40246A5A" w14:textId="77777777" w:rsidR="002C0FD9" w:rsidRPr="00CA25CF" w:rsidRDefault="002C0FD9" w:rsidP="00CA25CF">
            <w:pPr>
              <w:rPr>
                <w:rFonts w:cs="Arial"/>
                <w:color w:val="FF0000"/>
                <w:sz w:val="21"/>
                <w:szCs w:val="21"/>
              </w:rPr>
            </w:pPr>
          </w:p>
        </w:tc>
        <w:tc>
          <w:tcPr>
            <w:tcW w:w="217" w:type="dxa"/>
          </w:tcPr>
          <w:p w14:paraId="51AE6D2B" w14:textId="77777777" w:rsidR="002C0FD9" w:rsidRPr="00CA25CF" w:rsidRDefault="002C0FD9" w:rsidP="00CA25CF">
            <w:pPr>
              <w:rPr>
                <w:rFonts w:cs="Arial"/>
                <w:color w:val="FF0000"/>
                <w:sz w:val="21"/>
                <w:szCs w:val="21"/>
              </w:rPr>
            </w:pPr>
          </w:p>
        </w:tc>
        <w:tc>
          <w:tcPr>
            <w:tcW w:w="217" w:type="dxa"/>
          </w:tcPr>
          <w:p w14:paraId="2B9EDA45" w14:textId="77777777" w:rsidR="002C0FD9" w:rsidRPr="00CA25CF" w:rsidRDefault="002C0FD9" w:rsidP="00CA25CF">
            <w:pPr>
              <w:rPr>
                <w:rFonts w:cs="Arial"/>
                <w:color w:val="FF0000"/>
                <w:sz w:val="21"/>
                <w:szCs w:val="21"/>
              </w:rPr>
            </w:pPr>
          </w:p>
        </w:tc>
        <w:tc>
          <w:tcPr>
            <w:tcW w:w="217" w:type="dxa"/>
          </w:tcPr>
          <w:p w14:paraId="08286622" w14:textId="77777777" w:rsidR="002C0FD9" w:rsidRPr="00CA25CF" w:rsidRDefault="002C0FD9" w:rsidP="00CA25CF">
            <w:pPr>
              <w:rPr>
                <w:rFonts w:cs="Arial"/>
                <w:color w:val="FF0000"/>
                <w:sz w:val="21"/>
                <w:szCs w:val="21"/>
              </w:rPr>
            </w:pPr>
          </w:p>
        </w:tc>
        <w:tc>
          <w:tcPr>
            <w:tcW w:w="217" w:type="dxa"/>
          </w:tcPr>
          <w:p w14:paraId="10E2CA65" w14:textId="77777777" w:rsidR="002C0FD9" w:rsidRPr="00CA25CF" w:rsidRDefault="002C0FD9" w:rsidP="00CA25CF">
            <w:pPr>
              <w:rPr>
                <w:rFonts w:cs="Arial"/>
                <w:color w:val="FF0000"/>
                <w:sz w:val="21"/>
                <w:szCs w:val="21"/>
              </w:rPr>
            </w:pPr>
          </w:p>
        </w:tc>
        <w:tc>
          <w:tcPr>
            <w:tcW w:w="217" w:type="dxa"/>
          </w:tcPr>
          <w:p w14:paraId="677B4654" w14:textId="77777777" w:rsidR="002C0FD9" w:rsidRPr="00CA25CF" w:rsidRDefault="002C0FD9" w:rsidP="00CA25CF">
            <w:pPr>
              <w:rPr>
                <w:rFonts w:cs="Arial"/>
                <w:color w:val="FF0000"/>
                <w:sz w:val="21"/>
                <w:szCs w:val="21"/>
              </w:rPr>
            </w:pPr>
          </w:p>
        </w:tc>
        <w:tc>
          <w:tcPr>
            <w:tcW w:w="217" w:type="dxa"/>
          </w:tcPr>
          <w:p w14:paraId="7F45E2D9" w14:textId="77777777" w:rsidR="002C0FD9" w:rsidRPr="00CA25CF" w:rsidRDefault="002C0FD9" w:rsidP="00CA25CF">
            <w:pPr>
              <w:rPr>
                <w:rFonts w:cs="Arial"/>
                <w:color w:val="FF0000"/>
                <w:sz w:val="21"/>
                <w:szCs w:val="21"/>
              </w:rPr>
            </w:pPr>
          </w:p>
        </w:tc>
        <w:tc>
          <w:tcPr>
            <w:tcW w:w="217" w:type="dxa"/>
          </w:tcPr>
          <w:p w14:paraId="371C92F9" w14:textId="77777777" w:rsidR="002C0FD9" w:rsidRPr="00CA25CF" w:rsidRDefault="002C0FD9" w:rsidP="00CA25CF">
            <w:pPr>
              <w:rPr>
                <w:rFonts w:cs="Arial"/>
                <w:color w:val="FF0000"/>
                <w:sz w:val="21"/>
                <w:szCs w:val="21"/>
              </w:rPr>
            </w:pPr>
          </w:p>
        </w:tc>
        <w:tc>
          <w:tcPr>
            <w:tcW w:w="217" w:type="dxa"/>
          </w:tcPr>
          <w:p w14:paraId="5E3F22C3" w14:textId="77777777" w:rsidR="002C0FD9" w:rsidRPr="00CA25CF" w:rsidRDefault="002C0FD9" w:rsidP="00CA25CF">
            <w:pPr>
              <w:rPr>
                <w:rFonts w:cs="Arial"/>
                <w:color w:val="FF0000"/>
                <w:sz w:val="21"/>
                <w:szCs w:val="21"/>
              </w:rPr>
            </w:pPr>
          </w:p>
        </w:tc>
        <w:tc>
          <w:tcPr>
            <w:tcW w:w="217" w:type="dxa"/>
          </w:tcPr>
          <w:p w14:paraId="3725778B" w14:textId="77777777" w:rsidR="002C0FD9" w:rsidRPr="00CA25CF" w:rsidRDefault="002C0FD9" w:rsidP="00CA25CF">
            <w:pPr>
              <w:rPr>
                <w:rFonts w:cs="Arial"/>
                <w:color w:val="FF0000"/>
                <w:sz w:val="21"/>
                <w:szCs w:val="21"/>
              </w:rPr>
            </w:pPr>
          </w:p>
        </w:tc>
        <w:tc>
          <w:tcPr>
            <w:tcW w:w="217" w:type="dxa"/>
          </w:tcPr>
          <w:p w14:paraId="3367EE22" w14:textId="77777777" w:rsidR="002C0FD9" w:rsidRPr="00CA25CF" w:rsidRDefault="002C0FD9" w:rsidP="00CA25CF">
            <w:pPr>
              <w:rPr>
                <w:rFonts w:cs="Arial"/>
                <w:color w:val="FF0000"/>
                <w:sz w:val="21"/>
                <w:szCs w:val="21"/>
              </w:rPr>
            </w:pPr>
          </w:p>
        </w:tc>
        <w:tc>
          <w:tcPr>
            <w:tcW w:w="217" w:type="dxa"/>
          </w:tcPr>
          <w:p w14:paraId="352751A3" w14:textId="77777777" w:rsidR="002C0FD9" w:rsidRPr="00CA25CF" w:rsidRDefault="002C0FD9" w:rsidP="00CA25CF">
            <w:pPr>
              <w:rPr>
                <w:rFonts w:cs="Arial"/>
                <w:color w:val="FF0000"/>
                <w:sz w:val="21"/>
                <w:szCs w:val="21"/>
              </w:rPr>
            </w:pPr>
          </w:p>
        </w:tc>
        <w:tc>
          <w:tcPr>
            <w:tcW w:w="217" w:type="dxa"/>
          </w:tcPr>
          <w:p w14:paraId="4073B866" w14:textId="77777777" w:rsidR="002C0FD9" w:rsidRPr="00CA25CF" w:rsidRDefault="002C0FD9" w:rsidP="00CA25CF">
            <w:pPr>
              <w:rPr>
                <w:rFonts w:cs="Arial"/>
                <w:color w:val="FF0000"/>
                <w:sz w:val="21"/>
                <w:szCs w:val="21"/>
              </w:rPr>
            </w:pPr>
          </w:p>
        </w:tc>
        <w:tc>
          <w:tcPr>
            <w:tcW w:w="217" w:type="dxa"/>
          </w:tcPr>
          <w:p w14:paraId="32760742" w14:textId="77777777" w:rsidR="002C0FD9" w:rsidRPr="00CA25CF" w:rsidRDefault="002C0FD9" w:rsidP="00CA25CF">
            <w:pPr>
              <w:rPr>
                <w:rFonts w:cs="Arial"/>
                <w:color w:val="FF0000"/>
                <w:sz w:val="21"/>
                <w:szCs w:val="21"/>
              </w:rPr>
            </w:pPr>
          </w:p>
        </w:tc>
        <w:tc>
          <w:tcPr>
            <w:tcW w:w="217" w:type="dxa"/>
          </w:tcPr>
          <w:p w14:paraId="75013F86" w14:textId="77777777" w:rsidR="002C0FD9" w:rsidRPr="00CA25CF" w:rsidRDefault="002C0FD9" w:rsidP="00CA25CF">
            <w:pPr>
              <w:rPr>
                <w:rFonts w:cs="Arial"/>
                <w:color w:val="FF0000"/>
                <w:sz w:val="21"/>
                <w:szCs w:val="21"/>
              </w:rPr>
            </w:pPr>
          </w:p>
        </w:tc>
        <w:tc>
          <w:tcPr>
            <w:tcW w:w="217" w:type="dxa"/>
          </w:tcPr>
          <w:p w14:paraId="4BEEDBA2" w14:textId="77777777" w:rsidR="002C0FD9" w:rsidRPr="00CA25CF" w:rsidRDefault="002C0FD9" w:rsidP="00CA25CF">
            <w:pPr>
              <w:rPr>
                <w:rFonts w:cs="Arial"/>
                <w:color w:val="FF0000"/>
                <w:sz w:val="21"/>
                <w:szCs w:val="21"/>
              </w:rPr>
            </w:pPr>
          </w:p>
        </w:tc>
        <w:tc>
          <w:tcPr>
            <w:tcW w:w="217" w:type="dxa"/>
          </w:tcPr>
          <w:p w14:paraId="256CBB88" w14:textId="77777777" w:rsidR="002C0FD9" w:rsidRPr="00CA25CF" w:rsidRDefault="002C0FD9" w:rsidP="00CA25CF">
            <w:pPr>
              <w:rPr>
                <w:rFonts w:cs="Arial"/>
                <w:color w:val="FF0000"/>
                <w:sz w:val="21"/>
                <w:szCs w:val="21"/>
              </w:rPr>
            </w:pPr>
          </w:p>
        </w:tc>
        <w:tc>
          <w:tcPr>
            <w:tcW w:w="217" w:type="dxa"/>
          </w:tcPr>
          <w:p w14:paraId="5763168A" w14:textId="77777777" w:rsidR="002C0FD9" w:rsidRPr="00CA25CF" w:rsidRDefault="002C0FD9" w:rsidP="00CA25CF">
            <w:pPr>
              <w:rPr>
                <w:rFonts w:cs="Arial"/>
                <w:color w:val="FF0000"/>
                <w:sz w:val="21"/>
                <w:szCs w:val="21"/>
              </w:rPr>
            </w:pPr>
          </w:p>
        </w:tc>
        <w:tc>
          <w:tcPr>
            <w:tcW w:w="217" w:type="dxa"/>
          </w:tcPr>
          <w:p w14:paraId="0F648693" w14:textId="77777777" w:rsidR="002C0FD9" w:rsidRPr="00CA25CF" w:rsidRDefault="002C0FD9" w:rsidP="00CA25CF">
            <w:pPr>
              <w:rPr>
                <w:rFonts w:cs="Arial"/>
                <w:color w:val="FF0000"/>
                <w:sz w:val="21"/>
                <w:szCs w:val="21"/>
              </w:rPr>
            </w:pPr>
          </w:p>
        </w:tc>
        <w:tc>
          <w:tcPr>
            <w:tcW w:w="217" w:type="dxa"/>
          </w:tcPr>
          <w:p w14:paraId="1E8B7219" w14:textId="77777777" w:rsidR="002C0FD9" w:rsidRPr="00CA25CF" w:rsidRDefault="002C0FD9" w:rsidP="00CA25CF">
            <w:pPr>
              <w:rPr>
                <w:rFonts w:cs="Arial"/>
                <w:color w:val="FF0000"/>
                <w:sz w:val="21"/>
                <w:szCs w:val="21"/>
              </w:rPr>
            </w:pPr>
          </w:p>
        </w:tc>
        <w:tc>
          <w:tcPr>
            <w:tcW w:w="217" w:type="dxa"/>
          </w:tcPr>
          <w:p w14:paraId="66A4E180" w14:textId="77777777" w:rsidR="002C0FD9" w:rsidRPr="00CA25CF" w:rsidRDefault="002C0FD9" w:rsidP="00CA25CF">
            <w:pPr>
              <w:rPr>
                <w:rFonts w:cs="Arial"/>
                <w:color w:val="FF0000"/>
                <w:sz w:val="21"/>
                <w:szCs w:val="21"/>
              </w:rPr>
            </w:pPr>
          </w:p>
        </w:tc>
        <w:tc>
          <w:tcPr>
            <w:tcW w:w="217" w:type="dxa"/>
          </w:tcPr>
          <w:p w14:paraId="5E6BE316" w14:textId="77777777" w:rsidR="002C0FD9" w:rsidRPr="00CA25CF" w:rsidRDefault="002C0FD9" w:rsidP="00CA25CF">
            <w:pPr>
              <w:rPr>
                <w:rFonts w:cs="Arial"/>
                <w:color w:val="FF0000"/>
                <w:sz w:val="21"/>
                <w:szCs w:val="21"/>
              </w:rPr>
            </w:pPr>
          </w:p>
        </w:tc>
      </w:tr>
      <w:tr w:rsidR="002C0FD9" w:rsidRPr="00A16219" w14:paraId="44BCA64A" w14:textId="38816ECC" w:rsidTr="002C0FD9">
        <w:trPr>
          <w:trHeight w:val="635"/>
        </w:trPr>
        <w:tc>
          <w:tcPr>
            <w:tcW w:w="515" w:type="dxa"/>
          </w:tcPr>
          <w:p w14:paraId="3D27F969" w14:textId="77777777" w:rsidR="002C0FD9" w:rsidRPr="00CA25CF" w:rsidRDefault="002C0FD9" w:rsidP="00CA25CF">
            <w:pPr>
              <w:rPr>
                <w:rFonts w:cs="Arial"/>
                <w:color w:val="FF0000"/>
                <w:sz w:val="21"/>
                <w:szCs w:val="21"/>
              </w:rPr>
            </w:pPr>
          </w:p>
        </w:tc>
        <w:tc>
          <w:tcPr>
            <w:tcW w:w="217" w:type="dxa"/>
          </w:tcPr>
          <w:p w14:paraId="46061B40" w14:textId="77777777" w:rsidR="002C0FD9" w:rsidRPr="00CA25CF" w:rsidRDefault="002C0FD9" w:rsidP="00CA25CF">
            <w:pPr>
              <w:rPr>
                <w:rFonts w:cs="Arial"/>
                <w:color w:val="FF0000"/>
                <w:sz w:val="21"/>
                <w:szCs w:val="21"/>
              </w:rPr>
            </w:pPr>
          </w:p>
        </w:tc>
        <w:tc>
          <w:tcPr>
            <w:tcW w:w="217" w:type="dxa"/>
          </w:tcPr>
          <w:p w14:paraId="41980C08" w14:textId="5AA34E77" w:rsidR="002C0FD9" w:rsidRPr="00CA25CF" w:rsidRDefault="002C0FD9" w:rsidP="00CA25CF">
            <w:pPr>
              <w:rPr>
                <w:rFonts w:cs="Arial"/>
                <w:color w:val="FF0000"/>
                <w:sz w:val="21"/>
                <w:szCs w:val="21"/>
              </w:rPr>
            </w:pPr>
          </w:p>
        </w:tc>
        <w:tc>
          <w:tcPr>
            <w:tcW w:w="217" w:type="dxa"/>
          </w:tcPr>
          <w:p w14:paraId="0112756A" w14:textId="77777777" w:rsidR="002C0FD9" w:rsidRPr="00CA25CF" w:rsidRDefault="002C0FD9" w:rsidP="00CA25CF">
            <w:pPr>
              <w:rPr>
                <w:rFonts w:cs="Arial"/>
                <w:color w:val="FF0000"/>
                <w:sz w:val="21"/>
                <w:szCs w:val="21"/>
              </w:rPr>
            </w:pPr>
          </w:p>
        </w:tc>
        <w:tc>
          <w:tcPr>
            <w:tcW w:w="217" w:type="dxa"/>
          </w:tcPr>
          <w:p w14:paraId="3C2F0334" w14:textId="77777777" w:rsidR="002C0FD9" w:rsidRPr="00CA25CF" w:rsidRDefault="002C0FD9" w:rsidP="00CA25CF">
            <w:pPr>
              <w:rPr>
                <w:rFonts w:cs="Arial"/>
                <w:color w:val="FF0000"/>
                <w:sz w:val="21"/>
                <w:szCs w:val="21"/>
              </w:rPr>
            </w:pPr>
          </w:p>
        </w:tc>
        <w:tc>
          <w:tcPr>
            <w:tcW w:w="217" w:type="dxa"/>
          </w:tcPr>
          <w:p w14:paraId="729AB55C" w14:textId="77777777" w:rsidR="002C0FD9" w:rsidRPr="00CA25CF" w:rsidRDefault="002C0FD9" w:rsidP="00CA25CF">
            <w:pPr>
              <w:rPr>
                <w:rFonts w:cs="Arial"/>
                <w:color w:val="FF0000"/>
                <w:sz w:val="21"/>
                <w:szCs w:val="21"/>
              </w:rPr>
            </w:pPr>
          </w:p>
        </w:tc>
        <w:tc>
          <w:tcPr>
            <w:tcW w:w="217" w:type="dxa"/>
          </w:tcPr>
          <w:p w14:paraId="342C7D10" w14:textId="77777777" w:rsidR="002C0FD9" w:rsidRPr="00CA25CF" w:rsidRDefault="002C0FD9" w:rsidP="00CA25CF">
            <w:pPr>
              <w:rPr>
                <w:rFonts w:cs="Arial"/>
                <w:color w:val="FF0000"/>
                <w:sz w:val="21"/>
                <w:szCs w:val="21"/>
              </w:rPr>
            </w:pPr>
          </w:p>
        </w:tc>
        <w:tc>
          <w:tcPr>
            <w:tcW w:w="217" w:type="dxa"/>
          </w:tcPr>
          <w:p w14:paraId="29C6A535" w14:textId="77777777" w:rsidR="002C0FD9" w:rsidRPr="00CA25CF" w:rsidRDefault="002C0FD9" w:rsidP="00CA25CF">
            <w:pPr>
              <w:rPr>
                <w:rFonts w:cs="Arial"/>
                <w:color w:val="FF0000"/>
                <w:sz w:val="21"/>
                <w:szCs w:val="21"/>
              </w:rPr>
            </w:pPr>
          </w:p>
        </w:tc>
        <w:tc>
          <w:tcPr>
            <w:tcW w:w="217" w:type="dxa"/>
          </w:tcPr>
          <w:p w14:paraId="3AA69818" w14:textId="77777777" w:rsidR="002C0FD9" w:rsidRPr="00CA25CF" w:rsidRDefault="002C0FD9" w:rsidP="00CA25CF">
            <w:pPr>
              <w:rPr>
                <w:rFonts w:cs="Arial"/>
                <w:color w:val="FF0000"/>
                <w:sz w:val="21"/>
                <w:szCs w:val="21"/>
              </w:rPr>
            </w:pPr>
          </w:p>
        </w:tc>
        <w:tc>
          <w:tcPr>
            <w:tcW w:w="217" w:type="dxa"/>
          </w:tcPr>
          <w:p w14:paraId="2425986D" w14:textId="77777777" w:rsidR="002C0FD9" w:rsidRPr="00CA25CF" w:rsidRDefault="002C0FD9" w:rsidP="00CA25CF">
            <w:pPr>
              <w:rPr>
                <w:rFonts w:cs="Arial"/>
                <w:color w:val="FF0000"/>
                <w:sz w:val="21"/>
                <w:szCs w:val="21"/>
              </w:rPr>
            </w:pPr>
          </w:p>
        </w:tc>
        <w:tc>
          <w:tcPr>
            <w:tcW w:w="217" w:type="dxa"/>
          </w:tcPr>
          <w:p w14:paraId="515560EB" w14:textId="77777777" w:rsidR="002C0FD9" w:rsidRPr="00CA25CF" w:rsidRDefault="002C0FD9" w:rsidP="00CA25CF">
            <w:pPr>
              <w:rPr>
                <w:rFonts w:cs="Arial"/>
                <w:color w:val="FF0000"/>
                <w:sz w:val="21"/>
                <w:szCs w:val="21"/>
              </w:rPr>
            </w:pPr>
          </w:p>
        </w:tc>
        <w:tc>
          <w:tcPr>
            <w:tcW w:w="217" w:type="dxa"/>
          </w:tcPr>
          <w:p w14:paraId="5373F09C" w14:textId="77777777" w:rsidR="002C0FD9" w:rsidRPr="00CA25CF" w:rsidRDefault="002C0FD9" w:rsidP="00CA25CF">
            <w:pPr>
              <w:rPr>
                <w:rFonts w:cs="Arial"/>
                <w:color w:val="FF0000"/>
                <w:sz w:val="21"/>
                <w:szCs w:val="21"/>
              </w:rPr>
            </w:pPr>
          </w:p>
        </w:tc>
        <w:tc>
          <w:tcPr>
            <w:tcW w:w="217" w:type="dxa"/>
          </w:tcPr>
          <w:p w14:paraId="21E27753" w14:textId="77777777" w:rsidR="002C0FD9" w:rsidRPr="00CA25CF" w:rsidRDefault="002C0FD9" w:rsidP="00CA25CF">
            <w:pPr>
              <w:rPr>
                <w:rFonts w:cs="Arial"/>
                <w:color w:val="FF0000"/>
                <w:sz w:val="21"/>
                <w:szCs w:val="21"/>
              </w:rPr>
            </w:pPr>
          </w:p>
        </w:tc>
        <w:tc>
          <w:tcPr>
            <w:tcW w:w="217" w:type="dxa"/>
          </w:tcPr>
          <w:p w14:paraId="08087F27" w14:textId="77777777" w:rsidR="002C0FD9" w:rsidRPr="00CA25CF" w:rsidRDefault="002C0FD9" w:rsidP="00CA25CF">
            <w:pPr>
              <w:rPr>
                <w:rFonts w:cs="Arial"/>
                <w:color w:val="FF0000"/>
                <w:sz w:val="21"/>
                <w:szCs w:val="21"/>
              </w:rPr>
            </w:pPr>
          </w:p>
        </w:tc>
        <w:tc>
          <w:tcPr>
            <w:tcW w:w="217" w:type="dxa"/>
          </w:tcPr>
          <w:p w14:paraId="4902A008" w14:textId="77777777" w:rsidR="002C0FD9" w:rsidRPr="00CA25CF" w:rsidRDefault="002C0FD9" w:rsidP="00CA25CF">
            <w:pPr>
              <w:rPr>
                <w:rFonts w:cs="Arial"/>
                <w:color w:val="FF0000"/>
                <w:sz w:val="21"/>
                <w:szCs w:val="21"/>
              </w:rPr>
            </w:pPr>
          </w:p>
        </w:tc>
        <w:tc>
          <w:tcPr>
            <w:tcW w:w="217" w:type="dxa"/>
          </w:tcPr>
          <w:p w14:paraId="42099415" w14:textId="7CB8050C" w:rsidR="002C0FD9" w:rsidRPr="00CA25CF" w:rsidRDefault="002C0FD9" w:rsidP="00CA25CF">
            <w:pPr>
              <w:rPr>
                <w:rFonts w:cs="Arial"/>
                <w:color w:val="FF0000"/>
                <w:sz w:val="21"/>
                <w:szCs w:val="21"/>
              </w:rPr>
            </w:pPr>
          </w:p>
        </w:tc>
        <w:tc>
          <w:tcPr>
            <w:tcW w:w="217" w:type="dxa"/>
          </w:tcPr>
          <w:p w14:paraId="0482C2A6" w14:textId="77777777" w:rsidR="002C0FD9" w:rsidRPr="00CA25CF" w:rsidRDefault="002C0FD9" w:rsidP="00CA25CF">
            <w:pPr>
              <w:rPr>
                <w:rFonts w:cs="Arial"/>
                <w:color w:val="FF0000"/>
                <w:sz w:val="21"/>
                <w:szCs w:val="21"/>
              </w:rPr>
            </w:pPr>
          </w:p>
        </w:tc>
        <w:tc>
          <w:tcPr>
            <w:tcW w:w="217" w:type="dxa"/>
          </w:tcPr>
          <w:p w14:paraId="277205B1" w14:textId="77777777" w:rsidR="002C0FD9" w:rsidRPr="00CA25CF" w:rsidRDefault="002C0FD9" w:rsidP="00CA25CF">
            <w:pPr>
              <w:rPr>
                <w:rFonts w:cs="Arial"/>
                <w:color w:val="FF0000"/>
                <w:sz w:val="21"/>
                <w:szCs w:val="21"/>
              </w:rPr>
            </w:pPr>
          </w:p>
        </w:tc>
        <w:tc>
          <w:tcPr>
            <w:tcW w:w="217" w:type="dxa"/>
          </w:tcPr>
          <w:p w14:paraId="5C51114B" w14:textId="77777777" w:rsidR="002C0FD9" w:rsidRPr="00CA25CF" w:rsidRDefault="002C0FD9" w:rsidP="00CA25CF">
            <w:pPr>
              <w:rPr>
                <w:rFonts w:cs="Arial"/>
                <w:color w:val="FF0000"/>
                <w:sz w:val="21"/>
                <w:szCs w:val="21"/>
              </w:rPr>
            </w:pPr>
          </w:p>
        </w:tc>
        <w:tc>
          <w:tcPr>
            <w:tcW w:w="217" w:type="dxa"/>
          </w:tcPr>
          <w:p w14:paraId="2D115AB7" w14:textId="77777777" w:rsidR="002C0FD9" w:rsidRPr="00CA25CF" w:rsidRDefault="002C0FD9" w:rsidP="00CA25CF">
            <w:pPr>
              <w:rPr>
                <w:rFonts w:cs="Arial"/>
                <w:color w:val="FF0000"/>
                <w:sz w:val="21"/>
                <w:szCs w:val="21"/>
              </w:rPr>
            </w:pPr>
          </w:p>
        </w:tc>
        <w:tc>
          <w:tcPr>
            <w:tcW w:w="217" w:type="dxa"/>
          </w:tcPr>
          <w:p w14:paraId="0DD1EA9C" w14:textId="77777777" w:rsidR="002C0FD9" w:rsidRPr="00CA25CF" w:rsidRDefault="002C0FD9" w:rsidP="00CA25CF">
            <w:pPr>
              <w:rPr>
                <w:rFonts w:cs="Arial"/>
                <w:color w:val="FF0000"/>
                <w:sz w:val="21"/>
                <w:szCs w:val="21"/>
              </w:rPr>
            </w:pPr>
          </w:p>
        </w:tc>
        <w:tc>
          <w:tcPr>
            <w:tcW w:w="217" w:type="dxa"/>
          </w:tcPr>
          <w:p w14:paraId="49222B21" w14:textId="77777777" w:rsidR="002C0FD9" w:rsidRPr="00CA25CF" w:rsidRDefault="002C0FD9" w:rsidP="00CA25CF">
            <w:pPr>
              <w:rPr>
                <w:rFonts w:cs="Arial"/>
                <w:color w:val="FF0000"/>
                <w:sz w:val="21"/>
                <w:szCs w:val="21"/>
              </w:rPr>
            </w:pPr>
          </w:p>
        </w:tc>
        <w:tc>
          <w:tcPr>
            <w:tcW w:w="217" w:type="dxa"/>
          </w:tcPr>
          <w:p w14:paraId="5884694A" w14:textId="77777777" w:rsidR="002C0FD9" w:rsidRPr="00CA25CF" w:rsidRDefault="002C0FD9" w:rsidP="00CA25CF">
            <w:pPr>
              <w:rPr>
                <w:rFonts w:cs="Arial"/>
                <w:color w:val="FF0000"/>
                <w:sz w:val="21"/>
                <w:szCs w:val="21"/>
              </w:rPr>
            </w:pPr>
          </w:p>
        </w:tc>
        <w:tc>
          <w:tcPr>
            <w:tcW w:w="217" w:type="dxa"/>
          </w:tcPr>
          <w:p w14:paraId="6AC82C46" w14:textId="77777777" w:rsidR="002C0FD9" w:rsidRPr="00CA25CF" w:rsidRDefault="002C0FD9" w:rsidP="00CA25CF">
            <w:pPr>
              <w:rPr>
                <w:rFonts w:cs="Arial"/>
                <w:color w:val="FF0000"/>
                <w:sz w:val="21"/>
                <w:szCs w:val="21"/>
              </w:rPr>
            </w:pPr>
          </w:p>
        </w:tc>
        <w:tc>
          <w:tcPr>
            <w:tcW w:w="217" w:type="dxa"/>
          </w:tcPr>
          <w:p w14:paraId="1C5764F4" w14:textId="77777777" w:rsidR="002C0FD9" w:rsidRPr="00CA25CF" w:rsidRDefault="002C0FD9" w:rsidP="00CA25CF">
            <w:pPr>
              <w:rPr>
                <w:rFonts w:cs="Arial"/>
                <w:color w:val="FF0000"/>
                <w:sz w:val="21"/>
                <w:szCs w:val="21"/>
              </w:rPr>
            </w:pPr>
          </w:p>
        </w:tc>
        <w:tc>
          <w:tcPr>
            <w:tcW w:w="217" w:type="dxa"/>
          </w:tcPr>
          <w:p w14:paraId="5FC8B14A" w14:textId="77777777" w:rsidR="002C0FD9" w:rsidRPr="00CA25CF" w:rsidRDefault="002C0FD9" w:rsidP="00CA25CF">
            <w:pPr>
              <w:rPr>
                <w:rFonts w:cs="Arial"/>
                <w:color w:val="FF0000"/>
                <w:sz w:val="21"/>
                <w:szCs w:val="21"/>
              </w:rPr>
            </w:pPr>
          </w:p>
        </w:tc>
        <w:tc>
          <w:tcPr>
            <w:tcW w:w="217" w:type="dxa"/>
          </w:tcPr>
          <w:p w14:paraId="31465D1E" w14:textId="77777777" w:rsidR="002C0FD9" w:rsidRPr="00CA25CF" w:rsidRDefault="002C0FD9" w:rsidP="00CA25CF">
            <w:pPr>
              <w:rPr>
                <w:rFonts w:cs="Arial"/>
                <w:color w:val="FF0000"/>
                <w:sz w:val="21"/>
                <w:szCs w:val="21"/>
              </w:rPr>
            </w:pPr>
          </w:p>
        </w:tc>
        <w:tc>
          <w:tcPr>
            <w:tcW w:w="217" w:type="dxa"/>
          </w:tcPr>
          <w:p w14:paraId="736F1DB0" w14:textId="77777777" w:rsidR="002C0FD9" w:rsidRPr="00CA25CF" w:rsidRDefault="002C0FD9" w:rsidP="00CA25CF">
            <w:pPr>
              <w:rPr>
                <w:rFonts w:cs="Arial"/>
                <w:color w:val="FF0000"/>
                <w:sz w:val="21"/>
                <w:szCs w:val="21"/>
              </w:rPr>
            </w:pPr>
          </w:p>
        </w:tc>
        <w:tc>
          <w:tcPr>
            <w:tcW w:w="217" w:type="dxa"/>
          </w:tcPr>
          <w:p w14:paraId="08D2E852" w14:textId="77777777" w:rsidR="002C0FD9" w:rsidRPr="00CA25CF" w:rsidRDefault="002C0FD9" w:rsidP="00CA25CF">
            <w:pPr>
              <w:rPr>
                <w:rFonts w:cs="Arial"/>
                <w:color w:val="FF0000"/>
                <w:sz w:val="21"/>
                <w:szCs w:val="21"/>
              </w:rPr>
            </w:pPr>
          </w:p>
        </w:tc>
        <w:tc>
          <w:tcPr>
            <w:tcW w:w="217" w:type="dxa"/>
          </w:tcPr>
          <w:p w14:paraId="1E273D2D" w14:textId="77777777" w:rsidR="002C0FD9" w:rsidRPr="00CA25CF" w:rsidRDefault="002C0FD9" w:rsidP="00CA25CF">
            <w:pPr>
              <w:rPr>
                <w:rFonts w:cs="Arial"/>
                <w:color w:val="FF0000"/>
                <w:sz w:val="21"/>
                <w:szCs w:val="21"/>
              </w:rPr>
            </w:pPr>
          </w:p>
        </w:tc>
        <w:tc>
          <w:tcPr>
            <w:tcW w:w="217" w:type="dxa"/>
          </w:tcPr>
          <w:p w14:paraId="6262A157" w14:textId="77777777" w:rsidR="002C0FD9" w:rsidRPr="00CA25CF" w:rsidRDefault="002C0FD9" w:rsidP="00CA25CF">
            <w:pPr>
              <w:rPr>
                <w:rFonts w:cs="Arial"/>
                <w:color w:val="FF0000"/>
                <w:sz w:val="21"/>
                <w:szCs w:val="21"/>
              </w:rPr>
            </w:pPr>
          </w:p>
        </w:tc>
        <w:tc>
          <w:tcPr>
            <w:tcW w:w="217" w:type="dxa"/>
          </w:tcPr>
          <w:p w14:paraId="7CD47712" w14:textId="77777777" w:rsidR="002C0FD9" w:rsidRPr="00CA25CF" w:rsidRDefault="002C0FD9" w:rsidP="00CA25CF">
            <w:pPr>
              <w:rPr>
                <w:rFonts w:cs="Arial"/>
                <w:color w:val="FF0000"/>
                <w:sz w:val="21"/>
                <w:szCs w:val="21"/>
              </w:rPr>
            </w:pPr>
          </w:p>
        </w:tc>
        <w:tc>
          <w:tcPr>
            <w:tcW w:w="217" w:type="dxa"/>
          </w:tcPr>
          <w:p w14:paraId="7DE8E007" w14:textId="77777777" w:rsidR="002C0FD9" w:rsidRPr="00CA25CF" w:rsidRDefault="002C0FD9" w:rsidP="00CA25CF">
            <w:pPr>
              <w:rPr>
                <w:rFonts w:cs="Arial"/>
                <w:color w:val="FF0000"/>
                <w:sz w:val="21"/>
                <w:szCs w:val="21"/>
              </w:rPr>
            </w:pPr>
          </w:p>
        </w:tc>
        <w:tc>
          <w:tcPr>
            <w:tcW w:w="217" w:type="dxa"/>
          </w:tcPr>
          <w:p w14:paraId="69E75B5C" w14:textId="77777777" w:rsidR="002C0FD9" w:rsidRPr="00CA25CF" w:rsidRDefault="002C0FD9" w:rsidP="00CA25CF">
            <w:pPr>
              <w:rPr>
                <w:rFonts w:cs="Arial"/>
                <w:color w:val="FF0000"/>
                <w:sz w:val="21"/>
                <w:szCs w:val="21"/>
              </w:rPr>
            </w:pPr>
          </w:p>
        </w:tc>
        <w:tc>
          <w:tcPr>
            <w:tcW w:w="217" w:type="dxa"/>
          </w:tcPr>
          <w:p w14:paraId="6BA8CB22" w14:textId="77777777" w:rsidR="002C0FD9" w:rsidRPr="00CA25CF" w:rsidRDefault="002C0FD9" w:rsidP="00CA25CF">
            <w:pPr>
              <w:rPr>
                <w:rFonts w:cs="Arial"/>
                <w:color w:val="FF0000"/>
                <w:sz w:val="21"/>
                <w:szCs w:val="21"/>
              </w:rPr>
            </w:pPr>
          </w:p>
        </w:tc>
        <w:tc>
          <w:tcPr>
            <w:tcW w:w="217" w:type="dxa"/>
          </w:tcPr>
          <w:p w14:paraId="4585DB13" w14:textId="77777777" w:rsidR="002C0FD9" w:rsidRPr="00CA25CF" w:rsidRDefault="002C0FD9" w:rsidP="00CA25CF">
            <w:pPr>
              <w:rPr>
                <w:rFonts w:cs="Arial"/>
                <w:color w:val="FF0000"/>
                <w:sz w:val="21"/>
                <w:szCs w:val="21"/>
              </w:rPr>
            </w:pPr>
          </w:p>
        </w:tc>
        <w:tc>
          <w:tcPr>
            <w:tcW w:w="217" w:type="dxa"/>
          </w:tcPr>
          <w:p w14:paraId="3B324E2E" w14:textId="77777777" w:rsidR="002C0FD9" w:rsidRPr="00CA25CF" w:rsidRDefault="002C0FD9" w:rsidP="00CA25CF">
            <w:pPr>
              <w:rPr>
                <w:rFonts w:cs="Arial"/>
                <w:color w:val="FF0000"/>
                <w:sz w:val="21"/>
                <w:szCs w:val="21"/>
              </w:rPr>
            </w:pPr>
          </w:p>
        </w:tc>
        <w:tc>
          <w:tcPr>
            <w:tcW w:w="217" w:type="dxa"/>
          </w:tcPr>
          <w:p w14:paraId="13EE123B" w14:textId="77777777" w:rsidR="002C0FD9" w:rsidRPr="00CA25CF" w:rsidRDefault="002C0FD9" w:rsidP="00CA25CF">
            <w:pPr>
              <w:rPr>
                <w:rFonts w:cs="Arial"/>
                <w:color w:val="FF0000"/>
                <w:sz w:val="21"/>
                <w:szCs w:val="21"/>
              </w:rPr>
            </w:pPr>
          </w:p>
        </w:tc>
        <w:tc>
          <w:tcPr>
            <w:tcW w:w="217" w:type="dxa"/>
          </w:tcPr>
          <w:p w14:paraId="2F3E1AE8" w14:textId="77777777" w:rsidR="002C0FD9" w:rsidRPr="00CA25CF" w:rsidRDefault="002C0FD9" w:rsidP="00CA25CF">
            <w:pPr>
              <w:rPr>
                <w:rFonts w:cs="Arial"/>
                <w:color w:val="FF0000"/>
                <w:sz w:val="21"/>
                <w:szCs w:val="21"/>
              </w:rPr>
            </w:pPr>
          </w:p>
        </w:tc>
        <w:tc>
          <w:tcPr>
            <w:tcW w:w="217" w:type="dxa"/>
          </w:tcPr>
          <w:p w14:paraId="7C9AF5F8" w14:textId="77777777" w:rsidR="002C0FD9" w:rsidRPr="00CA25CF" w:rsidRDefault="002C0FD9" w:rsidP="00CA25CF">
            <w:pPr>
              <w:rPr>
                <w:rFonts w:cs="Arial"/>
                <w:color w:val="FF0000"/>
                <w:sz w:val="21"/>
                <w:szCs w:val="21"/>
              </w:rPr>
            </w:pPr>
          </w:p>
        </w:tc>
        <w:tc>
          <w:tcPr>
            <w:tcW w:w="217" w:type="dxa"/>
          </w:tcPr>
          <w:p w14:paraId="5FDB1411" w14:textId="77777777" w:rsidR="002C0FD9" w:rsidRPr="00CA25CF" w:rsidRDefault="002C0FD9" w:rsidP="00CA25CF">
            <w:pPr>
              <w:rPr>
                <w:rFonts w:cs="Arial"/>
                <w:color w:val="FF0000"/>
                <w:sz w:val="21"/>
                <w:szCs w:val="21"/>
              </w:rPr>
            </w:pPr>
          </w:p>
        </w:tc>
        <w:tc>
          <w:tcPr>
            <w:tcW w:w="217" w:type="dxa"/>
          </w:tcPr>
          <w:p w14:paraId="729DBC72" w14:textId="77777777" w:rsidR="002C0FD9" w:rsidRPr="00CA25CF" w:rsidRDefault="002C0FD9" w:rsidP="00CA25CF">
            <w:pPr>
              <w:rPr>
                <w:rFonts w:cs="Arial"/>
                <w:color w:val="FF0000"/>
                <w:sz w:val="21"/>
                <w:szCs w:val="21"/>
              </w:rPr>
            </w:pPr>
          </w:p>
        </w:tc>
        <w:tc>
          <w:tcPr>
            <w:tcW w:w="217" w:type="dxa"/>
          </w:tcPr>
          <w:p w14:paraId="28534D50" w14:textId="77777777" w:rsidR="002C0FD9" w:rsidRPr="00CA25CF" w:rsidRDefault="002C0FD9" w:rsidP="00CA25CF">
            <w:pPr>
              <w:rPr>
                <w:rFonts w:cs="Arial"/>
                <w:color w:val="FF0000"/>
                <w:sz w:val="21"/>
                <w:szCs w:val="21"/>
              </w:rPr>
            </w:pPr>
          </w:p>
        </w:tc>
      </w:tr>
      <w:tr w:rsidR="002C0FD9" w:rsidRPr="00A16219" w14:paraId="7076823D" w14:textId="2382ACBD" w:rsidTr="002C0FD9">
        <w:trPr>
          <w:trHeight w:val="635"/>
        </w:trPr>
        <w:tc>
          <w:tcPr>
            <w:tcW w:w="515" w:type="dxa"/>
          </w:tcPr>
          <w:p w14:paraId="14443C07" w14:textId="77777777" w:rsidR="002C0FD9" w:rsidRPr="00CA25CF" w:rsidRDefault="002C0FD9" w:rsidP="00CA25CF">
            <w:pPr>
              <w:rPr>
                <w:rFonts w:cs="Arial"/>
                <w:color w:val="FF0000"/>
                <w:sz w:val="21"/>
                <w:szCs w:val="21"/>
              </w:rPr>
            </w:pPr>
          </w:p>
        </w:tc>
        <w:tc>
          <w:tcPr>
            <w:tcW w:w="217" w:type="dxa"/>
          </w:tcPr>
          <w:p w14:paraId="3C84957D" w14:textId="77777777" w:rsidR="002C0FD9" w:rsidRPr="00CA25CF" w:rsidRDefault="002C0FD9" w:rsidP="00CA25CF">
            <w:pPr>
              <w:rPr>
                <w:rFonts w:cs="Arial"/>
                <w:color w:val="FF0000"/>
                <w:sz w:val="21"/>
                <w:szCs w:val="21"/>
              </w:rPr>
            </w:pPr>
          </w:p>
        </w:tc>
        <w:tc>
          <w:tcPr>
            <w:tcW w:w="217" w:type="dxa"/>
          </w:tcPr>
          <w:p w14:paraId="18BF958A" w14:textId="3E54210C" w:rsidR="002C0FD9" w:rsidRPr="00CA25CF" w:rsidRDefault="002C0FD9" w:rsidP="00CA25CF">
            <w:pPr>
              <w:rPr>
                <w:rFonts w:cs="Arial"/>
                <w:color w:val="FF0000"/>
                <w:sz w:val="21"/>
                <w:szCs w:val="21"/>
              </w:rPr>
            </w:pPr>
          </w:p>
        </w:tc>
        <w:tc>
          <w:tcPr>
            <w:tcW w:w="217" w:type="dxa"/>
          </w:tcPr>
          <w:p w14:paraId="08D87D11" w14:textId="77777777" w:rsidR="002C0FD9" w:rsidRPr="00CA25CF" w:rsidRDefault="002C0FD9" w:rsidP="00CA25CF">
            <w:pPr>
              <w:rPr>
                <w:rFonts w:cs="Arial"/>
                <w:color w:val="FF0000"/>
                <w:sz w:val="21"/>
                <w:szCs w:val="21"/>
              </w:rPr>
            </w:pPr>
          </w:p>
        </w:tc>
        <w:tc>
          <w:tcPr>
            <w:tcW w:w="217" w:type="dxa"/>
          </w:tcPr>
          <w:p w14:paraId="7442B5E9" w14:textId="77777777" w:rsidR="002C0FD9" w:rsidRPr="00CA25CF" w:rsidRDefault="002C0FD9" w:rsidP="00CA25CF">
            <w:pPr>
              <w:rPr>
                <w:rFonts w:cs="Arial"/>
                <w:color w:val="FF0000"/>
                <w:sz w:val="21"/>
                <w:szCs w:val="21"/>
              </w:rPr>
            </w:pPr>
          </w:p>
        </w:tc>
        <w:tc>
          <w:tcPr>
            <w:tcW w:w="217" w:type="dxa"/>
          </w:tcPr>
          <w:p w14:paraId="3E49A973" w14:textId="77777777" w:rsidR="002C0FD9" w:rsidRPr="00CA25CF" w:rsidRDefault="002C0FD9" w:rsidP="00CA25CF">
            <w:pPr>
              <w:rPr>
                <w:rFonts w:cs="Arial"/>
                <w:color w:val="FF0000"/>
                <w:sz w:val="21"/>
                <w:szCs w:val="21"/>
              </w:rPr>
            </w:pPr>
          </w:p>
        </w:tc>
        <w:tc>
          <w:tcPr>
            <w:tcW w:w="217" w:type="dxa"/>
          </w:tcPr>
          <w:p w14:paraId="2AF679B8" w14:textId="77777777" w:rsidR="002C0FD9" w:rsidRPr="00CA25CF" w:rsidRDefault="002C0FD9" w:rsidP="00CA25CF">
            <w:pPr>
              <w:rPr>
                <w:rFonts w:cs="Arial"/>
                <w:color w:val="FF0000"/>
                <w:sz w:val="21"/>
                <w:szCs w:val="21"/>
              </w:rPr>
            </w:pPr>
          </w:p>
        </w:tc>
        <w:tc>
          <w:tcPr>
            <w:tcW w:w="217" w:type="dxa"/>
          </w:tcPr>
          <w:p w14:paraId="4CA8529F" w14:textId="77777777" w:rsidR="002C0FD9" w:rsidRPr="00CA25CF" w:rsidRDefault="002C0FD9" w:rsidP="00CA25CF">
            <w:pPr>
              <w:rPr>
                <w:rFonts w:cs="Arial"/>
                <w:color w:val="FF0000"/>
                <w:sz w:val="21"/>
                <w:szCs w:val="21"/>
              </w:rPr>
            </w:pPr>
          </w:p>
        </w:tc>
        <w:tc>
          <w:tcPr>
            <w:tcW w:w="217" w:type="dxa"/>
          </w:tcPr>
          <w:p w14:paraId="62653973" w14:textId="77777777" w:rsidR="002C0FD9" w:rsidRPr="00CA25CF" w:rsidRDefault="002C0FD9" w:rsidP="00CA25CF">
            <w:pPr>
              <w:rPr>
                <w:rFonts w:cs="Arial"/>
                <w:color w:val="FF0000"/>
                <w:sz w:val="21"/>
                <w:szCs w:val="21"/>
              </w:rPr>
            </w:pPr>
          </w:p>
        </w:tc>
        <w:tc>
          <w:tcPr>
            <w:tcW w:w="217" w:type="dxa"/>
          </w:tcPr>
          <w:p w14:paraId="6059D900" w14:textId="77777777" w:rsidR="002C0FD9" w:rsidRPr="00CA25CF" w:rsidRDefault="002C0FD9" w:rsidP="00CA25CF">
            <w:pPr>
              <w:rPr>
                <w:rFonts w:cs="Arial"/>
                <w:color w:val="FF0000"/>
                <w:sz w:val="21"/>
                <w:szCs w:val="21"/>
              </w:rPr>
            </w:pPr>
          </w:p>
        </w:tc>
        <w:tc>
          <w:tcPr>
            <w:tcW w:w="217" w:type="dxa"/>
          </w:tcPr>
          <w:p w14:paraId="71E6C83D" w14:textId="77777777" w:rsidR="002C0FD9" w:rsidRPr="00CA25CF" w:rsidRDefault="002C0FD9" w:rsidP="00CA25CF">
            <w:pPr>
              <w:rPr>
                <w:rFonts w:cs="Arial"/>
                <w:color w:val="FF0000"/>
                <w:sz w:val="21"/>
                <w:szCs w:val="21"/>
              </w:rPr>
            </w:pPr>
          </w:p>
        </w:tc>
        <w:tc>
          <w:tcPr>
            <w:tcW w:w="217" w:type="dxa"/>
          </w:tcPr>
          <w:p w14:paraId="3D9CB3F0" w14:textId="77777777" w:rsidR="002C0FD9" w:rsidRPr="00CA25CF" w:rsidRDefault="002C0FD9" w:rsidP="00CA25CF">
            <w:pPr>
              <w:rPr>
                <w:rFonts w:cs="Arial"/>
                <w:color w:val="FF0000"/>
                <w:sz w:val="21"/>
                <w:szCs w:val="21"/>
              </w:rPr>
            </w:pPr>
          </w:p>
        </w:tc>
        <w:tc>
          <w:tcPr>
            <w:tcW w:w="217" w:type="dxa"/>
          </w:tcPr>
          <w:p w14:paraId="3FAFC7B1" w14:textId="77777777" w:rsidR="002C0FD9" w:rsidRPr="00CA25CF" w:rsidRDefault="002C0FD9" w:rsidP="00CA25CF">
            <w:pPr>
              <w:rPr>
                <w:rFonts w:cs="Arial"/>
                <w:color w:val="FF0000"/>
                <w:sz w:val="21"/>
                <w:szCs w:val="21"/>
              </w:rPr>
            </w:pPr>
          </w:p>
        </w:tc>
        <w:tc>
          <w:tcPr>
            <w:tcW w:w="217" w:type="dxa"/>
          </w:tcPr>
          <w:p w14:paraId="558CB268" w14:textId="77777777" w:rsidR="002C0FD9" w:rsidRPr="00CA25CF" w:rsidRDefault="002C0FD9" w:rsidP="00CA25CF">
            <w:pPr>
              <w:rPr>
                <w:rFonts w:cs="Arial"/>
                <w:color w:val="FF0000"/>
                <w:sz w:val="21"/>
                <w:szCs w:val="21"/>
              </w:rPr>
            </w:pPr>
          </w:p>
        </w:tc>
        <w:tc>
          <w:tcPr>
            <w:tcW w:w="217" w:type="dxa"/>
          </w:tcPr>
          <w:p w14:paraId="11A52935" w14:textId="77777777" w:rsidR="002C0FD9" w:rsidRPr="00CA25CF" w:rsidRDefault="002C0FD9" w:rsidP="00CA25CF">
            <w:pPr>
              <w:rPr>
                <w:rFonts w:cs="Arial"/>
                <w:color w:val="FF0000"/>
                <w:sz w:val="21"/>
                <w:szCs w:val="21"/>
              </w:rPr>
            </w:pPr>
          </w:p>
        </w:tc>
        <w:tc>
          <w:tcPr>
            <w:tcW w:w="217" w:type="dxa"/>
          </w:tcPr>
          <w:p w14:paraId="33BD3D0B" w14:textId="0689754A" w:rsidR="002C0FD9" w:rsidRPr="00CA25CF" w:rsidRDefault="002C0FD9" w:rsidP="00CA25CF">
            <w:pPr>
              <w:rPr>
                <w:rFonts w:cs="Arial"/>
                <w:color w:val="FF0000"/>
                <w:sz w:val="21"/>
                <w:szCs w:val="21"/>
              </w:rPr>
            </w:pPr>
          </w:p>
        </w:tc>
        <w:tc>
          <w:tcPr>
            <w:tcW w:w="217" w:type="dxa"/>
          </w:tcPr>
          <w:p w14:paraId="7DDB8BFC" w14:textId="77777777" w:rsidR="002C0FD9" w:rsidRPr="00CA25CF" w:rsidRDefault="002C0FD9" w:rsidP="00CA25CF">
            <w:pPr>
              <w:rPr>
                <w:rFonts w:cs="Arial"/>
                <w:color w:val="FF0000"/>
                <w:sz w:val="21"/>
                <w:szCs w:val="21"/>
              </w:rPr>
            </w:pPr>
          </w:p>
        </w:tc>
        <w:tc>
          <w:tcPr>
            <w:tcW w:w="217" w:type="dxa"/>
          </w:tcPr>
          <w:p w14:paraId="6A963D34" w14:textId="77777777" w:rsidR="002C0FD9" w:rsidRPr="00CA25CF" w:rsidRDefault="002C0FD9" w:rsidP="00CA25CF">
            <w:pPr>
              <w:rPr>
                <w:rFonts w:cs="Arial"/>
                <w:color w:val="FF0000"/>
                <w:sz w:val="21"/>
                <w:szCs w:val="21"/>
              </w:rPr>
            </w:pPr>
          </w:p>
        </w:tc>
        <w:tc>
          <w:tcPr>
            <w:tcW w:w="217" w:type="dxa"/>
          </w:tcPr>
          <w:p w14:paraId="20B6DB12" w14:textId="77777777" w:rsidR="002C0FD9" w:rsidRPr="00CA25CF" w:rsidRDefault="002C0FD9" w:rsidP="00CA25CF">
            <w:pPr>
              <w:rPr>
                <w:rFonts w:cs="Arial"/>
                <w:color w:val="FF0000"/>
                <w:sz w:val="21"/>
                <w:szCs w:val="21"/>
              </w:rPr>
            </w:pPr>
          </w:p>
        </w:tc>
        <w:tc>
          <w:tcPr>
            <w:tcW w:w="217" w:type="dxa"/>
          </w:tcPr>
          <w:p w14:paraId="21FEF996" w14:textId="77777777" w:rsidR="002C0FD9" w:rsidRPr="00CA25CF" w:rsidRDefault="002C0FD9" w:rsidP="00CA25CF">
            <w:pPr>
              <w:rPr>
                <w:rFonts w:cs="Arial"/>
                <w:color w:val="FF0000"/>
                <w:sz w:val="21"/>
                <w:szCs w:val="21"/>
              </w:rPr>
            </w:pPr>
          </w:p>
        </w:tc>
        <w:tc>
          <w:tcPr>
            <w:tcW w:w="217" w:type="dxa"/>
          </w:tcPr>
          <w:p w14:paraId="4DB9C43C" w14:textId="77777777" w:rsidR="002C0FD9" w:rsidRPr="00CA25CF" w:rsidRDefault="002C0FD9" w:rsidP="00CA25CF">
            <w:pPr>
              <w:rPr>
                <w:rFonts w:cs="Arial"/>
                <w:color w:val="FF0000"/>
                <w:sz w:val="21"/>
                <w:szCs w:val="21"/>
              </w:rPr>
            </w:pPr>
          </w:p>
        </w:tc>
        <w:tc>
          <w:tcPr>
            <w:tcW w:w="217" w:type="dxa"/>
          </w:tcPr>
          <w:p w14:paraId="6AAA1C58" w14:textId="77777777" w:rsidR="002C0FD9" w:rsidRPr="00CA25CF" w:rsidRDefault="002C0FD9" w:rsidP="00CA25CF">
            <w:pPr>
              <w:rPr>
                <w:rFonts w:cs="Arial"/>
                <w:color w:val="FF0000"/>
                <w:sz w:val="21"/>
                <w:szCs w:val="21"/>
              </w:rPr>
            </w:pPr>
          </w:p>
        </w:tc>
        <w:tc>
          <w:tcPr>
            <w:tcW w:w="217" w:type="dxa"/>
          </w:tcPr>
          <w:p w14:paraId="672995B1" w14:textId="77777777" w:rsidR="002C0FD9" w:rsidRPr="00CA25CF" w:rsidRDefault="002C0FD9" w:rsidP="00CA25CF">
            <w:pPr>
              <w:rPr>
                <w:rFonts w:cs="Arial"/>
                <w:color w:val="FF0000"/>
                <w:sz w:val="21"/>
                <w:szCs w:val="21"/>
              </w:rPr>
            </w:pPr>
          </w:p>
        </w:tc>
        <w:tc>
          <w:tcPr>
            <w:tcW w:w="217" w:type="dxa"/>
          </w:tcPr>
          <w:p w14:paraId="416088A2" w14:textId="77777777" w:rsidR="002C0FD9" w:rsidRPr="00CA25CF" w:rsidRDefault="002C0FD9" w:rsidP="00CA25CF">
            <w:pPr>
              <w:rPr>
                <w:rFonts w:cs="Arial"/>
                <w:color w:val="FF0000"/>
                <w:sz w:val="21"/>
                <w:szCs w:val="21"/>
              </w:rPr>
            </w:pPr>
          </w:p>
        </w:tc>
        <w:tc>
          <w:tcPr>
            <w:tcW w:w="217" w:type="dxa"/>
          </w:tcPr>
          <w:p w14:paraId="2F6686D2" w14:textId="77777777" w:rsidR="002C0FD9" w:rsidRPr="00CA25CF" w:rsidRDefault="002C0FD9" w:rsidP="00CA25CF">
            <w:pPr>
              <w:rPr>
                <w:rFonts w:cs="Arial"/>
                <w:color w:val="FF0000"/>
                <w:sz w:val="21"/>
                <w:szCs w:val="21"/>
              </w:rPr>
            </w:pPr>
          </w:p>
        </w:tc>
        <w:tc>
          <w:tcPr>
            <w:tcW w:w="217" w:type="dxa"/>
          </w:tcPr>
          <w:p w14:paraId="0B4EE336" w14:textId="77777777" w:rsidR="002C0FD9" w:rsidRPr="00CA25CF" w:rsidRDefault="002C0FD9" w:rsidP="00CA25CF">
            <w:pPr>
              <w:rPr>
                <w:rFonts w:cs="Arial"/>
                <w:color w:val="FF0000"/>
                <w:sz w:val="21"/>
                <w:szCs w:val="21"/>
              </w:rPr>
            </w:pPr>
          </w:p>
        </w:tc>
        <w:tc>
          <w:tcPr>
            <w:tcW w:w="217" w:type="dxa"/>
          </w:tcPr>
          <w:p w14:paraId="6C6F3594" w14:textId="77777777" w:rsidR="002C0FD9" w:rsidRPr="00CA25CF" w:rsidRDefault="002C0FD9" w:rsidP="00CA25CF">
            <w:pPr>
              <w:rPr>
                <w:rFonts w:cs="Arial"/>
                <w:color w:val="FF0000"/>
                <w:sz w:val="21"/>
                <w:szCs w:val="21"/>
              </w:rPr>
            </w:pPr>
          </w:p>
        </w:tc>
        <w:tc>
          <w:tcPr>
            <w:tcW w:w="217" w:type="dxa"/>
          </w:tcPr>
          <w:p w14:paraId="016759FE" w14:textId="77777777" w:rsidR="002C0FD9" w:rsidRPr="00CA25CF" w:rsidRDefault="002C0FD9" w:rsidP="00CA25CF">
            <w:pPr>
              <w:rPr>
                <w:rFonts w:cs="Arial"/>
                <w:color w:val="FF0000"/>
                <w:sz w:val="21"/>
                <w:szCs w:val="21"/>
              </w:rPr>
            </w:pPr>
          </w:p>
        </w:tc>
        <w:tc>
          <w:tcPr>
            <w:tcW w:w="217" w:type="dxa"/>
          </w:tcPr>
          <w:p w14:paraId="74F4160D" w14:textId="77777777" w:rsidR="002C0FD9" w:rsidRPr="00CA25CF" w:rsidRDefault="002C0FD9" w:rsidP="00CA25CF">
            <w:pPr>
              <w:rPr>
                <w:rFonts w:cs="Arial"/>
                <w:color w:val="FF0000"/>
                <w:sz w:val="21"/>
                <w:szCs w:val="21"/>
              </w:rPr>
            </w:pPr>
          </w:p>
        </w:tc>
        <w:tc>
          <w:tcPr>
            <w:tcW w:w="217" w:type="dxa"/>
          </w:tcPr>
          <w:p w14:paraId="52FED414" w14:textId="77777777" w:rsidR="002C0FD9" w:rsidRPr="00CA25CF" w:rsidRDefault="002C0FD9" w:rsidP="00CA25CF">
            <w:pPr>
              <w:rPr>
                <w:rFonts w:cs="Arial"/>
                <w:color w:val="FF0000"/>
                <w:sz w:val="21"/>
                <w:szCs w:val="21"/>
              </w:rPr>
            </w:pPr>
          </w:p>
        </w:tc>
        <w:tc>
          <w:tcPr>
            <w:tcW w:w="217" w:type="dxa"/>
          </w:tcPr>
          <w:p w14:paraId="151AE31A" w14:textId="77777777" w:rsidR="002C0FD9" w:rsidRPr="00CA25CF" w:rsidRDefault="002C0FD9" w:rsidP="00CA25CF">
            <w:pPr>
              <w:rPr>
                <w:rFonts w:cs="Arial"/>
                <w:color w:val="FF0000"/>
                <w:sz w:val="21"/>
                <w:szCs w:val="21"/>
              </w:rPr>
            </w:pPr>
          </w:p>
        </w:tc>
        <w:tc>
          <w:tcPr>
            <w:tcW w:w="217" w:type="dxa"/>
          </w:tcPr>
          <w:p w14:paraId="43871C22" w14:textId="77777777" w:rsidR="002C0FD9" w:rsidRPr="00CA25CF" w:rsidRDefault="002C0FD9" w:rsidP="00CA25CF">
            <w:pPr>
              <w:rPr>
                <w:rFonts w:cs="Arial"/>
                <w:color w:val="FF0000"/>
                <w:sz w:val="21"/>
                <w:szCs w:val="21"/>
              </w:rPr>
            </w:pPr>
          </w:p>
        </w:tc>
        <w:tc>
          <w:tcPr>
            <w:tcW w:w="217" w:type="dxa"/>
          </w:tcPr>
          <w:p w14:paraId="314F2D54" w14:textId="77777777" w:rsidR="002C0FD9" w:rsidRPr="00CA25CF" w:rsidRDefault="002C0FD9" w:rsidP="00CA25CF">
            <w:pPr>
              <w:rPr>
                <w:rFonts w:cs="Arial"/>
                <w:color w:val="FF0000"/>
                <w:sz w:val="21"/>
                <w:szCs w:val="21"/>
              </w:rPr>
            </w:pPr>
          </w:p>
        </w:tc>
        <w:tc>
          <w:tcPr>
            <w:tcW w:w="217" w:type="dxa"/>
          </w:tcPr>
          <w:p w14:paraId="458AB559" w14:textId="77777777" w:rsidR="002C0FD9" w:rsidRPr="00CA25CF" w:rsidRDefault="002C0FD9" w:rsidP="00CA25CF">
            <w:pPr>
              <w:rPr>
                <w:rFonts w:cs="Arial"/>
                <w:color w:val="FF0000"/>
                <w:sz w:val="21"/>
                <w:szCs w:val="21"/>
              </w:rPr>
            </w:pPr>
          </w:p>
        </w:tc>
        <w:tc>
          <w:tcPr>
            <w:tcW w:w="217" w:type="dxa"/>
          </w:tcPr>
          <w:p w14:paraId="755BFC42" w14:textId="77777777" w:rsidR="002C0FD9" w:rsidRPr="00CA25CF" w:rsidRDefault="002C0FD9" w:rsidP="00CA25CF">
            <w:pPr>
              <w:rPr>
                <w:rFonts w:cs="Arial"/>
                <w:color w:val="FF0000"/>
                <w:sz w:val="21"/>
                <w:szCs w:val="21"/>
              </w:rPr>
            </w:pPr>
          </w:p>
        </w:tc>
        <w:tc>
          <w:tcPr>
            <w:tcW w:w="217" w:type="dxa"/>
          </w:tcPr>
          <w:p w14:paraId="64E96384" w14:textId="77777777" w:rsidR="002C0FD9" w:rsidRPr="00CA25CF" w:rsidRDefault="002C0FD9" w:rsidP="00CA25CF">
            <w:pPr>
              <w:rPr>
                <w:rFonts w:cs="Arial"/>
                <w:color w:val="FF0000"/>
                <w:sz w:val="21"/>
                <w:szCs w:val="21"/>
              </w:rPr>
            </w:pPr>
          </w:p>
        </w:tc>
        <w:tc>
          <w:tcPr>
            <w:tcW w:w="217" w:type="dxa"/>
          </w:tcPr>
          <w:p w14:paraId="689B9C3D" w14:textId="77777777" w:rsidR="002C0FD9" w:rsidRPr="00CA25CF" w:rsidRDefault="002C0FD9" w:rsidP="00CA25CF">
            <w:pPr>
              <w:rPr>
                <w:rFonts w:cs="Arial"/>
                <w:color w:val="FF0000"/>
                <w:sz w:val="21"/>
                <w:szCs w:val="21"/>
              </w:rPr>
            </w:pPr>
          </w:p>
        </w:tc>
        <w:tc>
          <w:tcPr>
            <w:tcW w:w="217" w:type="dxa"/>
          </w:tcPr>
          <w:p w14:paraId="34C5AF78" w14:textId="77777777" w:rsidR="002C0FD9" w:rsidRPr="00CA25CF" w:rsidRDefault="002C0FD9" w:rsidP="00CA25CF">
            <w:pPr>
              <w:rPr>
                <w:rFonts w:cs="Arial"/>
                <w:color w:val="FF0000"/>
                <w:sz w:val="21"/>
                <w:szCs w:val="21"/>
              </w:rPr>
            </w:pPr>
          </w:p>
        </w:tc>
        <w:tc>
          <w:tcPr>
            <w:tcW w:w="217" w:type="dxa"/>
          </w:tcPr>
          <w:p w14:paraId="1EE96A3C" w14:textId="77777777" w:rsidR="002C0FD9" w:rsidRPr="00CA25CF" w:rsidRDefault="002C0FD9" w:rsidP="00CA25CF">
            <w:pPr>
              <w:rPr>
                <w:rFonts w:cs="Arial"/>
                <w:color w:val="FF0000"/>
                <w:sz w:val="21"/>
                <w:szCs w:val="21"/>
              </w:rPr>
            </w:pPr>
          </w:p>
        </w:tc>
        <w:tc>
          <w:tcPr>
            <w:tcW w:w="217" w:type="dxa"/>
          </w:tcPr>
          <w:p w14:paraId="7B9D38E4" w14:textId="77777777" w:rsidR="002C0FD9" w:rsidRPr="00CA25CF" w:rsidRDefault="002C0FD9" w:rsidP="00CA25CF">
            <w:pPr>
              <w:rPr>
                <w:rFonts w:cs="Arial"/>
                <w:color w:val="FF0000"/>
                <w:sz w:val="21"/>
                <w:szCs w:val="21"/>
              </w:rPr>
            </w:pPr>
          </w:p>
        </w:tc>
        <w:tc>
          <w:tcPr>
            <w:tcW w:w="217" w:type="dxa"/>
          </w:tcPr>
          <w:p w14:paraId="599C6C67" w14:textId="77777777" w:rsidR="002C0FD9" w:rsidRPr="00CA25CF" w:rsidRDefault="002C0FD9" w:rsidP="00CA25CF">
            <w:pPr>
              <w:rPr>
                <w:rFonts w:cs="Arial"/>
                <w:color w:val="FF0000"/>
                <w:sz w:val="21"/>
                <w:szCs w:val="21"/>
              </w:rPr>
            </w:pPr>
          </w:p>
        </w:tc>
        <w:tc>
          <w:tcPr>
            <w:tcW w:w="217" w:type="dxa"/>
          </w:tcPr>
          <w:p w14:paraId="60F782B5" w14:textId="77777777" w:rsidR="002C0FD9" w:rsidRPr="00CA25CF" w:rsidRDefault="002C0FD9" w:rsidP="00CA25CF">
            <w:pPr>
              <w:rPr>
                <w:rFonts w:cs="Arial"/>
                <w:color w:val="FF0000"/>
                <w:sz w:val="21"/>
                <w:szCs w:val="21"/>
              </w:rPr>
            </w:pPr>
          </w:p>
        </w:tc>
        <w:tc>
          <w:tcPr>
            <w:tcW w:w="217" w:type="dxa"/>
          </w:tcPr>
          <w:p w14:paraId="125E4B0C" w14:textId="77777777" w:rsidR="002C0FD9" w:rsidRPr="00CA25CF" w:rsidRDefault="002C0FD9" w:rsidP="00CA25CF">
            <w:pPr>
              <w:rPr>
                <w:rFonts w:cs="Arial"/>
                <w:color w:val="FF0000"/>
                <w:sz w:val="21"/>
                <w:szCs w:val="21"/>
              </w:rPr>
            </w:pPr>
          </w:p>
        </w:tc>
      </w:tr>
      <w:tr w:rsidR="002C0FD9" w:rsidRPr="00A16219" w14:paraId="708BC3CB" w14:textId="78E90D08" w:rsidTr="002C0FD9">
        <w:trPr>
          <w:trHeight w:val="635"/>
        </w:trPr>
        <w:tc>
          <w:tcPr>
            <w:tcW w:w="515" w:type="dxa"/>
          </w:tcPr>
          <w:p w14:paraId="6A0A306A" w14:textId="77777777" w:rsidR="002C0FD9" w:rsidRPr="00CA25CF" w:rsidRDefault="002C0FD9" w:rsidP="00CA25CF">
            <w:pPr>
              <w:rPr>
                <w:rFonts w:cs="Arial"/>
                <w:color w:val="FF0000"/>
                <w:sz w:val="21"/>
                <w:szCs w:val="21"/>
              </w:rPr>
            </w:pPr>
          </w:p>
        </w:tc>
        <w:tc>
          <w:tcPr>
            <w:tcW w:w="217" w:type="dxa"/>
          </w:tcPr>
          <w:p w14:paraId="712D1BCE" w14:textId="77777777" w:rsidR="002C0FD9" w:rsidRPr="00CA25CF" w:rsidRDefault="002C0FD9" w:rsidP="00CA25CF">
            <w:pPr>
              <w:rPr>
                <w:rFonts w:cs="Arial"/>
                <w:color w:val="FF0000"/>
                <w:sz w:val="21"/>
                <w:szCs w:val="21"/>
              </w:rPr>
            </w:pPr>
          </w:p>
        </w:tc>
        <w:tc>
          <w:tcPr>
            <w:tcW w:w="217" w:type="dxa"/>
          </w:tcPr>
          <w:p w14:paraId="23F03770" w14:textId="2FBFEE7E" w:rsidR="002C0FD9" w:rsidRPr="00CA25CF" w:rsidRDefault="002C0FD9" w:rsidP="00CA25CF">
            <w:pPr>
              <w:rPr>
                <w:rFonts w:cs="Arial"/>
                <w:color w:val="FF0000"/>
                <w:sz w:val="21"/>
                <w:szCs w:val="21"/>
              </w:rPr>
            </w:pPr>
          </w:p>
        </w:tc>
        <w:tc>
          <w:tcPr>
            <w:tcW w:w="217" w:type="dxa"/>
          </w:tcPr>
          <w:p w14:paraId="518B90DD" w14:textId="77777777" w:rsidR="002C0FD9" w:rsidRPr="00CA25CF" w:rsidRDefault="002C0FD9" w:rsidP="00CA25CF">
            <w:pPr>
              <w:rPr>
                <w:rFonts w:cs="Arial"/>
                <w:color w:val="FF0000"/>
                <w:sz w:val="21"/>
                <w:szCs w:val="21"/>
              </w:rPr>
            </w:pPr>
          </w:p>
        </w:tc>
        <w:tc>
          <w:tcPr>
            <w:tcW w:w="217" w:type="dxa"/>
          </w:tcPr>
          <w:p w14:paraId="72414B91" w14:textId="77777777" w:rsidR="002C0FD9" w:rsidRPr="00CA25CF" w:rsidRDefault="002C0FD9" w:rsidP="00CA25CF">
            <w:pPr>
              <w:rPr>
                <w:rFonts w:cs="Arial"/>
                <w:color w:val="FF0000"/>
                <w:sz w:val="21"/>
                <w:szCs w:val="21"/>
              </w:rPr>
            </w:pPr>
          </w:p>
        </w:tc>
        <w:tc>
          <w:tcPr>
            <w:tcW w:w="217" w:type="dxa"/>
          </w:tcPr>
          <w:p w14:paraId="4DFCFF59" w14:textId="77777777" w:rsidR="002C0FD9" w:rsidRPr="00CA25CF" w:rsidRDefault="002C0FD9" w:rsidP="00CA25CF">
            <w:pPr>
              <w:rPr>
                <w:rFonts w:cs="Arial"/>
                <w:color w:val="FF0000"/>
                <w:sz w:val="21"/>
                <w:szCs w:val="21"/>
              </w:rPr>
            </w:pPr>
          </w:p>
        </w:tc>
        <w:tc>
          <w:tcPr>
            <w:tcW w:w="217" w:type="dxa"/>
          </w:tcPr>
          <w:p w14:paraId="7DDCD4F7" w14:textId="77777777" w:rsidR="002C0FD9" w:rsidRPr="00CA25CF" w:rsidRDefault="002C0FD9" w:rsidP="00CA25CF">
            <w:pPr>
              <w:rPr>
                <w:rFonts w:cs="Arial"/>
                <w:color w:val="FF0000"/>
                <w:sz w:val="21"/>
                <w:szCs w:val="21"/>
              </w:rPr>
            </w:pPr>
          </w:p>
        </w:tc>
        <w:tc>
          <w:tcPr>
            <w:tcW w:w="217" w:type="dxa"/>
          </w:tcPr>
          <w:p w14:paraId="1BE30D8E" w14:textId="77777777" w:rsidR="002C0FD9" w:rsidRPr="00CA25CF" w:rsidRDefault="002C0FD9" w:rsidP="00CA25CF">
            <w:pPr>
              <w:rPr>
                <w:rFonts w:cs="Arial"/>
                <w:color w:val="FF0000"/>
                <w:sz w:val="21"/>
                <w:szCs w:val="21"/>
              </w:rPr>
            </w:pPr>
          </w:p>
        </w:tc>
        <w:tc>
          <w:tcPr>
            <w:tcW w:w="217" w:type="dxa"/>
          </w:tcPr>
          <w:p w14:paraId="437C2F42" w14:textId="77777777" w:rsidR="002C0FD9" w:rsidRPr="00CA25CF" w:rsidRDefault="002C0FD9" w:rsidP="00CA25CF">
            <w:pPr>
              <w:rPr>
                <w:rFonts w:cs="Arial"/>
                <w:color w:val="FF0000"/>
                <w:sz w:val="21"/>
                <w:szCs w:val="21"/>
              </w:rPr>
            </w:pPr>
          </w:p>
        </w:tc>
        <w:tc>
          <w:tcPr>
            <w:tcW w:w="217" w:type="dxa"/>
          </w:tcPr>
          <w:p w14:paraId="0E2DCDBF" w14:textId="77777777" w:rsidR="002C0FD9" w:rsidRPr="00CA25CF" w:rsidRDefault="002C0FD9" w:rsidP="00CA25CF">
            <w:pPr>
              <w:rPr>
                <w:rFonts w:cs="Arial"/>
                <w:color w:val="FF0000"/>
                <w:sz w:val="21"/>
                <w:szCs w:val="21"/>
              </w:rPr>
            </w:pPr>
          </w:p>
        </w:tc>
        <w:tc>
          <w:tcPr>
            <w:tcW w:w="217" w:type="dxa"/>
          </w:tcPr>
          <w:p w14:paraId="0E3AD8E7" w14:textId="77777777" w:rsidR="002C0FD9" w:rsidRPr="00CA25CF" w:rsidRDefault="002C0FD9" w:rsidP="00CA25CF">
            <w:pPr>
              <w:rPr>
                <w:rFonts w:cs="Arial"/>
                <w:color w:val="FF0000"/>
                <w:sz w:val="21"/>
                <w:szCs w:val="21"/>
              </w:rPr>
            </w:pPr>
          </w:p>
        </w:tc>
        <w:tc>
          <w:tcPr>
            <w:tcW w:w="217" w:type="dxa"/>
          </w:tcPr>
          <w:p w14:paraId="029FD875" w14:textId="77777777" w:rsidR="002C0FD9" w:rsidRPr="00CA25CF" w:rsidRDefault="002C0FD9" w:rsidP="00CA25CF">
            <w:pPr>
              <w:rPr>
                <w:rFonts w:cs="Arial"/>
                <w:color w:val="FF0000"/>
                <w:sz w:val="21"/>
                <w:szCs w:val="21"/>
              </w:rPr>
            </w:pPr>
          </w:p>
        </w:tc>
        <w:tc>
          <w:tcPr>
            <w:tcW w:w="217" w:type="dxa"/>
          </w:tcPr>
          <w:p w14:paraId="493FBF5E" w14:textId="77777777" w:rsidR="002C0FD9" w:rsidRPr="00CA25CF" w:rsidRDefault="002C0FD9" w:rsidP="00CA25CF">
            <w:pPr>
              <w:rPr>
                <w:rFonts w:cs="Arial"/>
                <w:color w:val="FF0000"/>
                <w:sz w:val="21"/>
                <w:szCs w:val="21"/>
              </w:rPr>
            </w:pPr>
          </w:p>
        </w:tc>
        <w:tc>
          <w:tcPr>
            <w:tcW w:w="217" w:type="dxa"/>
          </w:tcPr>
          <w:p w14:paraId="2D9D6234" w14:textId="77777777" w:rsidR="002C0FD9" w:rsidRPr="00CA25CF" w:rsidRDefault="002C0FD9" w:rsidP="00CA25CF">
            <w:pPr>
              <w:rPr>
                <w:rFonts w:cs="Arial"/>
                <w:color w:val="FF0000"/>
                <w:sz w:val="21"/>
                <w:szCs w:val="21"/>
              </w:rPr>
            </w:pPr>
          </w:p>
        </w:tc>
        <w:tc>
          <w:tcPr>
            <w:tcW w:w="217" w:type="dxa"/>
          </w:tcPr>
          <w:p w14:paraId="09CD2256" w14:textId="77777777" w:rsidR="002C0FD9" w:rsidRPr="00CA25CF" w:rsidRDefault="002C0FD9" w:rsidP="00CA25CF">
            <w:pPr>
              <w:rPr>
                <w:rFonts w:cs="Arial"/>
                <w:color w:val="FF0000"/>
                <w:sz w:val="21"/>
                <w:szCs w:val="21"/>
              </w:rPr>
            </w:pPr>
          </w:p>
        </w:tc>
        <w:tc>
          <w:tcPr>
            <w:tcW w:w="217" w:type="dxa"/>
          </w:tcPr>
          <w:p w14:paraId="73D1FF0E" w14:textId="6A791DE1" w:rsidR="002C0FD9" w:rsidRPr="00CA25CF" w:rsidRDefault="002C0FD9" w:rsidP="00CA25CF">
            <w:pPr>
              <w:rPr>
                <w:rFonts w:cs="Arial"/>
                <w:color w:val="FF0000"/>
                <w:sz w:val="21"/>
                <w:szCs w:val="21"/>
              </w:rPr>
            </w:pPr>
          </w:p>
        </w:tc>
        <w:tc>
          <w:tcPr>
            <w:tcW w:w="217" w:type="dxa"/>
          </w:tcPr>
          <w:p w14:paraId="5A32B70B" w14:textId="77777777" w:rsidR="002C0FD9" w:rsidRPr="00CA25CF" w:rsidRDefault="002C0FD9" w:rsidP="00CA25CF">
            <w:pPr>
              <w:rPr>
                <w:rFonts w:cs="Arial"/>
                <w:color w:val="FF0000"/>
                <w:sz w:val="21"/>
                <w:szCs w:val="21"/>
              </w:rPr>
            </w:pPr>
          </w:p>
        </w:tc>
        <w:tc>
          <w:tcPr>
            <w:tcW w:w="217" w:type="dxa"/>
          </w:tcPr>
          <w:p w14:paraId="66A4FDAE" w14:textId="77777777" w:rsidR="002C0FD9" w:rsidRPr="00CA25CF" w:rsidRDefault="002C0FD9" w:rsidP="00CA25CF">
            <w:pPr>
              <w:rPr>
                <w:rFonts w:cs="Arial"/>
                <w:color w:val="FF0000"/>
                <w:sz w:val="21"/>
                <w:szCs w:val="21"/>
              </w:rPr>
            </w:pPr>
          </w:p>
        </w:tc>
        <w:tc>
          <w:tcPr>
            <w:tcW w:w="217" w:type="dxa"/>
          </w:tcPr>
          <w:p w14:paraId="62A4F07F" w14:textId="77777777" w:rsidR="002C0FD9" w:rsidRPr="00CA25CF" w:rsidRDefault="002C0FD9" w:rsidP="00CA25CF">
            <w:pPr>
              <w:rPr>
                <w:rFonts w:cs="Arial"/>
                <w:color w:val="FF0000"/>
                <w:sz w:val="21"/>
                <w:szCs w:val="21"/>
              </w:rPr>
            </w:pPr>
          </w:p>
        </w:tc>
        <w:tc>
          <w:tcPr>
            <w:tcW w:w="217" w:type="dxa"/>
          </w:tcPr>
          <w:p w14:paraId="6CAB34BD" w14:textId="77777777" w:rsidR="002C0FD9" w:rsidRPr="00CA25CF" w:rsidRDefault="002C0FD9" w:rsidP="00CA25CF">
            <w:pPr>
              <w:rPr>
                <w:rFonts w:cs="Arial"/>
                <w:color w:val="FF0000"/>
                <w:sz w:val="21"/>
                <w:szCs w:val="21"/>
              </w:rPr>
            </w:pPr>
          </w:p>
        </w:tc>
        <w:tc>
          <w:tcPr>
            <w:tcW w:w="217" w:type="dxa"/>
          </w:tcPr>
          <w:p w14:paraId="7F13397B" w14:textId="77777777" w:rsidR="002C0FD9" w:rsidRPr="00CA25CF" w:rsidRDefault="002C0FD9" w:rsidP="00CA25CF">
            <w:pPr>
              <w:rPr>
                <w:rFonts w:cs="Arial"/>
                <w:color w:val="FF0000"/>
                <w:sz w:val="21"/>
                <w:szCs w:val="21"/>
              </w:rPr>
            </w:pPr>
          </w:p>
        </w:tc>
        <w:tc>
          <w:tcPr>
            <w:tcW w:w="217" w:type="dxa"/>
          </w:tcPr>
          <w:p w14:paraId="1F91296F" w14:textId="77777777" w:rsidR="002C0FD9" w:rsidRPr="00CA25CF" w:rsidRDefault="002C0FD9" w:rsidP="00CA25CF">
            <w:pPr>
              <w:rPr>
                <w:rFonts w:cs="Arial"/>
                <w:color w:val="FF0000"/>
                <w:sz w:val="21"/>
                <w:szCs w:val="21"/>
              </w:rPr>
            </w:pPr>
          </w:p>
        </w:tc>
        <w:tc>
          <w:tcPr>
            <w:tcW w:w="217" w:type="dxa"/>
          </w:tcPr>
          <w:p w14:paraId="1FA5E84A" w14:textId="77777777" w:rsidR="002C0FD9" w:rsidRPr="00CA25CF" w:rsidRDefault="002C0FD9" w:rsidP="00CA25CF">
            <w:pPr>
              <w:rPr>
                <w:rFonts w:cs="Arial"/>
                <w:color w:val="FF0000"/>
                <w:sz w:val="21"/>
                <w:szCs w:val="21"/>
              </w:rPr>
            </w:pPr>
          </w:p>
        </w:tc>
        <w:tc>
          <w:tcPr>
            <w:tcW w:w="217" w:type="dxa"/>
          </w:tcPr>
          <w:p w14:paraId="3ACD2671" w14:textId="77777777" w:rsidR="002C0FD9" w:rsidRPr="00CA25CF" w:rsidRDefault="002C0FD9" w:rsidP="00CA25CF">
            <w:pPr>
              <w:rPr>
                <w:rFonts w:cs="Arial"/>
                <w:color w:val="FF0000"/>
                <w:sz w:val="21"/>
                <w:szCs w:val="21"/>
              </w:rPr>
            </w:pPr>
          </w:p>
        </w:tc>
        <w:tc>
          <w:tcPr>
            <w:tcW w:w="217" w:type="dxa"/>
          </w:tcPr>
          <w:p w14:paraId="6B48826F" w14:textId="77777777" w:rsidR="002C0FD9" w:rsidRPr="00CA25CF" w:rsidRDefault="002C0FD9" w:rsidP="00CA25CF">
            <w:pPr>
              <w:rPr>
                <w:rFonts w:cs="Arial"/>
                <w:color w:val="FF0000"/>
                <w:sz w:val="21"/>
                <w:szCs w:val="21"/>
              </w:rPr>
            </w:pPr>
          </w:p>
        </w:tc>
        <w:tc>
          <w:tcPr>
            <w:tcW w:w="217" w:type="dxa"/>
          </w:tcPr>
          <w:p w14:paraId="57C0BDCE" w14:textId="77777777" w:rsidR="002C0FD9" w:rsidRPr="00CA25CF" w:rsidRDefault="002C0FD9" w:rsidP="00CA25CF">
            <w:pPr>
              <w:rPr>
                <w:rFonts w:cs="Arial"/>
                <w:color w:val="FF0000"/>
                <w:sz w:val="21"/>
                <w:szCs w:val="21"/>
              </w:rPr>
            </w:pPr>
          </w:p>
        </w:tc>
        <w:tc>
          <w:tcPr>
            <w:tcW w:w="217" w:type="dxa"/>
          </w:tcPr>
          <w:p w14:paraId="183E6DD1" w14:textId="77777777" w:rsidR="002C0FD9" w:rsidRPr="00CA25CF" w:rsidRDefault="002C0FD9" w:rsidP="00CA25CF">
            <w:pPr>
              <w:rPr>
                <w:rFonts w:cs="Arial"/>
                <w:color w:val="FF0000"/>
                <w:sz w:val="21"/>
                <w:szCs w:val="21"/>
              </w:rPr>
            </w:pPr>
          </w:p>
        </w:tc>
        <w:tc>
          <w:tcPr>
            <w:tcW w:w="217" w:type="dxa"/>
          </w:tcPr>
          <w:p w14:paraId="2E07A692" w14:textId="77777777" w:rsidR="002C0FD9" w:rsidRPr="00CA25CF" w:rsidRDefault="002C0FD9" w:rsidP="00CA25CF">
            <w:pPr>
              <w:rPr>
                <w:rFonts w:cs="Arial"/>
                <w:color w:val="FF0000"/>
                <w:sz w:val="21"/>
                <w:szCs w:val="21"/>
              </w:rPr>
            </w:pPr>
          </w:p>
        </w:tc>
        <w:tc>
          <w:tcPr>
            <w:tcW w:w="217" w:type="dxa"/>
          </w:tcPr>
          <w:p w14:paraId="768DF8FE" w14:textId="77777777" w:rsidR="002C0FD9" w:rsidRPr="00CA25CF" w:rsidRDefault="002C0FD9" w:rsidP="00CA25CF">
            <w:pPr>
              <w:rPr>
                <w:rFonts w:cs="Arial"/>
                <w:color w:val="FF0000"/>
                <w:sz w:val="21"/>
                <w:szCs w:val="21"/>
              </w:rPr>
            </w:pPr>
          </w:p>
        </w:tc>
        <w:tc>
          <w:tcPr>
            <w:tcW w:w="217" w:type="dxa"/>
          </w:tcPr>
          <w:p w14:paraId="3F960CD4" w14:textId="77777777" w:rsidR="002C0FD9" w:rsidRPr="00CA25CF" w:rsidRDefault="002C0FD9" w:rsidP="00CA25CF">
            <w:pPr>
              <w:rPr>
                <w:rFonts w:cs="Arial"/>
                <w:color w:val="FF0000"/>
                <w:sz w:val="21"/>
                <w:szCs w:val="21"/>
              </w:rPr>
            </w:pPr>
          </w:p>
        </w:tc>
        <w:tc>
          <w:tcPr>
            <w:tcW w:w="217" w:type="dxa"/>
          </w:tcPr>
          <w:p w14:paraId="7A76F1B6" w14:textId="77777777" w:rsidR="002C0FD9" w:rsidRPr="00CA25CF" w:rsidRDefault="002C0FD9" w:rsidP="00CA25CF">
            <w:pPr>
              <w:rPr>
                <w:rFonts w:cs="Arial"/>
                <w:color w:val="FF0000"/>
                <w:sz w:val="21"/>
                <w:szCs w:val="21"/>
              </w:rPr>
            </w:pPr>
          </w:p>
        </w:tc>
        <w:tc>
          <w:tcPr>
            <w:tcW w:w="217" w:type="dxa"/>
          </w:tcPr>
          <w:p w14:paraId="4023C502" w14:textId="77777777" w:rsidR="002C0FD9" w:rsidRPr="00CA25CF" w:rsidRDefault="002C0FD9" w:rsidP="00CA25CF">
            <w:pPr>
              <w:rPr>
                <w:rFonts w:cs="Arial"/>
                <w:color w:val="FF0000"/>
                <w:sz w:val="21"/>
                <w:szCs w:val="21"/>
              </w:rPr>
            </w:pPr>
          </w:p>
        </w:tc>
        <w:tc>
          <w:tcPr>
            <w:tcW w:w="217" w:type="dxa"/>
          </w:tcPr>
          <w:p w14:paraId="3749BB2A" w14:textId="77777777" w:rsidR="002C0FD9" w:rsidRPr="00CA25CF" w:rsidRDefault="002C0FD9" w:rsidP="00CA25CF">
            <w:pPr>
              <w:rPr>
                <w:rFonts w:cs="Arial"/>
                <w:color w:val="FF0000"/>
                <w:sz w:val="21"/>
                <w:szCs w:val="21"/>
              </w:rPr>
            </w:pPr>
          </w:p>
        </w:tc>
        <w:tc>
          <w:tcPr>
            <w:tcW w:w="217" w:type="dxa"/>
          </w:tcPr>
          <w:p w14:paraId="229E0124" w14:textId="77777777" w:rsidR="002C0FD9" w:rsidRPr="00CA25CF" w:rsidRDefault="002C0FD9" w:rsidP="00CA25CF">
            <w:pPr>
              <w:rPr>
                <w:rFonts w:cs="Arial"/>
                <w:color w:val="FF0000"/>
                <w:sz w:val="21"/>
                <w:szCs w:val="21"/>
              </w:rPr>
            </w:pPr>
          </w:p>
        </w:tc>
        <w:tc>
          <w:tcPr>
            <w:tcW w:w="217" w:type="dxa"/>
          </w:tcPr>
          <w:p w14:paraId="229E957A" w14:textId="77777777" w:rsidR="002C0FD9" w:rsidRPr="00CA25CF" w:rsidRDefault="002C0FD9" w:rsidP="00CA25CF">
            <w:pPr>
              <w:rPr>
                <w:rFonts w:cs="Arial"/>
                <w:color w:val="FF0000"/>
                <w:sz w:val="21"/>
                <w:szCs w:val="21"/>
              </w:rPr>
            </w:pPr>
          </w:p>
        </w:tc>
        <w:tc>
          <w:tcPr>
            <w:tcW w:w="217" w:type="dxa"/>
          </w:tcPr>
          <w:p w14:paraId="38D9232A" w14:textId="77777777" w:rsidR="002C0FD9" w:rsidRPr="00CA25CF" w:rsidRDefault="002C0FD9" w:rsidP="00CA25CF">
            <w:pPr>
              <w:rPr>
                <w:rFonts w:cs="Arial"/>
                <w:color w:val="FF0000"/>
                <w:sz w:val="21"/>
                <w:szCs w:val="21"/>
              </w:rPr>
            </w:pPr>
          </w:p>
        </w:tc>
        <w:tc>
          <w:tcPr>
            <w:tcW w:w="217" w:type="dxa"/>
          </w:tcPr>
          <w:p w14:paraId="7D26E4C9" w14:textId="77777777" w:rsidR="002C0FD9" w:rsidRPr="00CA25CF" w:rsidRDefault="002C0FD9" w:rsidP="00CA25CF">
            <w:pPr>
              <w:rPr>
                <w:rFonts w:cs="Arial"/>
                <w:color w:val="FF0000"/>
                <w:sz w:val="21"/>
                <w:szCs w:val="21"/>
              </w:rPr>
            </w:pPr>
          </w:p>
        </w:tc>
        <w:tc>
          <w:tcPr>
            <w:tcW w:w="217" w:type="dxa"/>
          </w:tcPr>
          <w:p w14:paraId="5823EDC0" w14:textId="77777777" w:rsidR="002C0FD9" w:rsidRPr="00CA25CF" w:rsidRDefault="002C0FD9" w:rsidP="00CA25CF">
            <w:pPr>
              <w:rPr>
                <w:rFonts w:cs="Arial"/>
                <w:color w:val="FF0000"/>
                <w:sz w:val="21"/>
                <w:szCs w:val="21"/>
              </w:rPr>
            </w:pPr>
          </w:p>
        </w:tc>
        <w:tc>
          <w:tcPr>
            <w:tcW w:w="217" w:type="dxa"/>
          </w:tcPr>
          <w:p w14:paraId="7564CCD1" w14:textId="77777777" w:rsidR="002C0FD9" w:rsidRPr="00CA25CF" w:rsidRDefault="002C0FD9" w:rsidP="00CA25CF">
            <w:pPr>
              <w:rPr>
                <w:rFonts w:cs="Arial"/>
                <w:color w:val="FF0000"/>
                <w:sz w:val="21"/>
                <w:szCs w:val="21"/>
              </w:rPr>
            </w:pPr>
          </w:p>
        </w:tc>
        <w:tc>
          <w:tcPr>
            <w:tcW w:w="217" w:type="dxa"/>
          </w:tcPr>
          <w:p w14:paraId="3712679C" w14:textId="77777777" w:rsidR="002C0FD9" w:rsidRPr="00CA25CF" w:rsidRDefault="002C0FD9" w:rsidP="00CA25CF">
            <w:pPr>
              <w:rPr>
                <w:rFonts w:cs="Arial"/>
                <w:color w:val="FF0000"/>
                <w:sz w:val="21"/>
                <w:szCs w:val="21"/>
              </w:rPr>
            </w:pPr>
          </w:p>
        </w:tc>
        <w:tc>
          <w:tcPr>
            <w:tcW w:w="217" w:type="dxa"/>
          </w:tcPr>
          <w:p w14:paraId="581DA4E9" w14:textId="77777777" w:rsidR="002C0FD9" w:rsidRPr="00CA25CF" w:rsidRDefault="002C0FD9" w:rsidP="00CA25CF">
            <w:pPr>
              <w:rPr>
                <w:rFonts w:cs="Arial"/>
                <w:color w:val="FF0000"/>
                <w:sz w:val="21"/>
                <w:szCs w:val="21"/>
              </w:rPr>
            </w:pPr>
          </w:p>
        </w:tc>
        <w:tc>
          <w:tcPr>
            <w:tcW w:w="217" w:type="dxa"/>
          </w:tcPr>
          <w:p w14:paraId="044C654D" w14:textId="77777777" w:rsidR="002C0FD9" w:rsidRPr="00CA25CF" w:rsidRDefault="002C0FD9" w:rsidP="00CA25CF">
            <w:pPr>
              <w:rPr>
                <w:rFonts w:cs="Arial"/>
                <w:color w:val="FF0000"/>
                <w:sz w:val="21"/>
                <w:szCs w:val="21"/>
              </w:rPr>
            </w:pPr>
          </w:p>
        </w:tc>
        <w:tc>
          <w:tcPr>
            <w:tcW w:w="217" w:type="dxa"/>
          </w:tcPr>
          <w:p w14:paraId="01D6E89C" w14:textId="77777777" w:rsidR="002C0FD9" w:rsidRPr="00CA25CF" w:rsidRDefault="002C0FD9" w:rsidP="00CA25CF">
            <w:pPr>
              <w:rPr>
                <w:rFonts w:cs="Arial"/>
                <w:color w:val="FF0000"/>
                <w:sz w:val="21"/>
                <w:szCs w:val="21"/>
              </w:rPr>
            </w:pPr>
          </w:p>
        </w:tc>
      </w:tr>
      <w:tr w:rsidR="002C0FD9" w:rsidRPr="00A16219" w14:paraId="1B9BE3FB" w14:textId="35326309" w:rsidTr="002C0FD9">
        <w:trPr>
          <w:trHeight w:val="635"/>
        </w:trPr>
        <w:tc>
          <w:tcPr>
            <w:tcW w:w="515" w:type="dxa"/>
          </w:tcPr>
          <w:p w14:paraId="3CE34054" w14:textId="77777777" w:rsidR="002C0FD9" w:rsidRPr="00CA25CF" w:rsidRDefault="002C0FD9" w:rsidP="00CA25CF">
            <w:pPr>
              <w:rPr>
                <w:rFonts w:cs="Arial"/>
                <w:color w:val="FF0000"/>
                <w:sz w:val="21"/>
                <w:szCs w:val="21"/>
              </w:rPr>
            </w:pPr>
          </w:p>
        </w:tc>
        <w:tc>
          <w:tcPr>
            <w:tcW w:w="217" w:type="dxa"/>
          </w:tcPr>
          <w:p w14:paraId="54C19463" w14:textId="77777777" w:rsidR="002C0FD9" w:rsidRPr="00CA25CF" w:rsidRDefault="002C0FD9" w:rsidP="00CA25CF">
            <w:pPr>
              <w:rPr>
                <w:rFonts w:cs="Arial"/>
                <w:color w:val="FF0000"/>
                <w:sz w:val="21"/>
                <w:szCs w:val="21"/>
              </w:rPr>
            </w:pPr>
          </w:p>
        </w:tc>
        <w:tc>
          <w:tcPr>
            <w:tcW w:w="217" w:type="dxa"/>
          </w:tcPr>
          <w:p w14:paraId="75279A79" w14:textId="5B7C9088" w:rsidR="002C0FD9" w:rsidRPr="00CA25CF" w:rsidRDefault="002C0FD9" w:rsidP="00CA25CF">
            <w:pPr>
              <w:rPr>
                <w:rFonts w:cs="Arial"/>
                <w:color w:val="FF0000"/>
                <w:sz w:val="21"/>
                <w:szCs w:val="21"/>
              </w:rPr>
            </w:pPr>
          </w:p>
        </w:tc>
        <w:tc>
          <w:tcPr>
            <w:tcW w:w="217" w:type="dxa"/>
          </w:tcPr>
          <w:p w14:paraId="0B5E0A7F" w14:textId="77777777" w:rsidR="002C0FD9" w:rsidRPr="00CA25CF" w:rsidRDefault="002C0FD9" w:rsidP="00CA25CF">
            <w:pPr>
              <w:rPr>
                <w:rFonts w:cs="Arial"/>
                <w:color w:val="FF0000"/>
                <w:sz w:val="21"/>
                <w:szCs w:val="21"/>
              </w:rPr>
            </w:pPr>
          </w:p>
        </w:tc>
        <w:tc>
          <w:tcPr>
            <w:tcW w:w="217" w:type="dxa"/>
          </w:tcPr>
          <w:p w14:paraId="31C56B40" w14:textId="77777777" w:rsidR="002C0FD9" w:rsidRPr="00CA25CF" w:rsidRDefault="002C0FD9" w:rsidP="00CA25CF">
            <w:pPr>
              <w:rPr>
                <w:rFonts w:cs="Arial"/>
                <w:color w:val="FF0000"/>
                <w:sz w:val="21"/>
                <w:szCs w:val="21"/>
              </w:rPr>
            </w:pPr>
          </w:p>
        </w:tc>
        <w:tc>
          <w:tcPr>
            <w:tcW w:w="217" w:type="dxa"/>
          </w:tcPr>
          <w:p w14:paraId="7DB04A2B" w14:textId="77777777" w:rsidR="002C0FD9" w:rsidRPr="00CA25CF" w:rsidRDefault="002C0FD9" w:rsidP="00CA25CF">
            <w:pPr>
              <w:rPr>
                <w:rFonts w:cs="Arial"/>
                <w:color w:val="FF0000"/>
                <w:sz w:val="21"/>
                <w:szCs w:val="21"/>
              </w:rPr>
            </w:pPr>
          </w:p>
        </w:tc>
        <w:tc>
          <w:tcPr>
            <w:tcW w:w="217" w:type="dxa"/>
          </w:tcPr>
          <w:p w14:paraId="6F1A3E3E" w14:textId="77777777" w:rsidR="002C0FD9" w:rsidRPr="00CA25CF" w:rsidRDefault="002C0FD9" w:rsidP="00CA25CF">
            <w:pPr>
              <w:rPr>
                <w:rFonts w:cs="Arial"/>
                <w:color w:val="FF0000"/>
                <w:sz w:val="21"/>
                <w:szCs w:val="21"/>
              </w:rPr>
            </w:pPr>
          </w:p>
        </w:tc>
        <w:tc>
          <w:tcPr>
            <w:tcW w:w="217" w:type="dxa"/>
          </w:tcPr>
          <w:p w14:paraId="5CD2BCA5" w14:textId="77777777" w:rsidR="002C0FD9" w:rsidRPr="00CA25CF" w:rsidRDefault="002C0FD9" w:rsidP="00CA25CF">
            <w:pPr>
              <w:rPr>
                <w:rFonts w:cs="Arial"/>
                <w:color w:val="FF0000"/>
                <w:sz w:val="21"/>
                <w:szCs w:val="21"/>
              </w:rPr>
            </w:pPr>
          </w:p>
        </w:tc>
        <w:tc>
          <w:tcPr>
            <w:tcW w:w="217" w:type="dxa"/>
          </w:tcPr>
          <w:p w14:paraId="21E2E985" w14:textId="77777777" w:rsidR="002C0FD9" w:rsidRPr="00CA25CF" w:rsidRDefault="002C0FD9" w:rsidP="00CA25CF">
            <w:pPr>
              <w:rPr>
                <w:rFonts w:cs="Arial"/>
                <w:color w:val="FF0000"/>
                <w:sz w:val="21"/>
                <w:szCs w:val="21"/>
              </w:rPr>
            </w:pPr>
          </w:p>
        </w:tc>
        <w:tc>
          <w:tcPr>
            <w:tcW w:w="217" w:type="dxa"/>
          </w:tcPr>
          <w:p w14:paraId="19254E96" w14:textId="77777777" w:rsidR="002C0FD9" w:rsidRPr="00CA25CF" w:rsidRDefault="002C0FD9" w:rsidP="00CA25CF">
            <w:pPr>
              <w:rPr>
                <w:rFonts w:cs="Arial"/>
                <w:color w:val="FF0000"/>
                <w:sz w:val="21"/>
                <w:szCs w:val="21"/>
              </w:rPr>
            </w:pPr>
          </w:p>
        </w:tc>
        <w:tc>
          <w:tcPr>
            <w:tcW w:w="217" w:type="dxa"/>
          </w:tcPr>
          <w:p w14:paraId="47449DF8" w14:textId="77777777" w:rsidR="002C0FD9" w:rsidRPr="00CA25CF" w:rsidRDefault="002C0FD9" w:rsidP="00CA25CF">
            <w:pPr>
              <w:rPr>
                <w:rFonts w:cs="Arial"/>
                <w:color w:val="FF0000"/>
                <w:sz w:val="21"/>
                <w:szCs w:val="21"/>
              </w:rPr>
            </w:pPr>
          </w:p>
        </w:tc>
        <w:tc>
          <w:tcPr>
            <w:tcW w:w="217" w:type="dxa"/>
          </w:tcPr>
          <w:p w14:paraId="2E6D05E4" w14:textId="77777777" w:rsidR="002C0FD9" w:rsidRPr="00CA25CF" w:rsidRDefault="002C0FD9" w:rsidP="00CA25CF">
            <w:pPr>
              <w:rPr>
                <w:rFonts w:cs="Arial"/>
                <w:color w:val="FF0000"/>
                <w:sz w:val="21"/>
                <w:szCs w:val="21"/>
              </w:rPr>
            </w:pPr>
          </w:p>
        </w:tc>
        <w:tc>
          <w:tcPr>
            <w:tcW w:w="217" w:type="dxa"/>
          </w:tcPr>
          <w:p w14:paraId="2787CAA8" w14:textId="77777777" w:rsidR="002C0FD9" w:rsidRPr="00CA25CF" w:rsidRDefault="002C0FD9" w:rsidP="00CA25CF">
            <w:pPr>
              <w:rPr>
                <w:rFonts w:cs="Arial"/>
                <w:color w:val="FF0000"/>
                <w:sz w:val="21"/>
                <w:szCs w:val="21"/>
              </w:rPr>
            </w:pPr>
          </w:p>
        </w:tc>
        <w:tc>
          <w:tcPr>
            <w:tcW w:w="217" w:type="dxa"/>
          </w:tcPr>
          <w:p w14:paraId="1F7645CE" w14:textId="77777777" w:rsidR="002C0FD9" w:rsidRPr="00CA25CF" w:rsidRDefault="002C0FD9" w:rsidP="00CA25CF">
            <w:pPr>
              <w:rPr>
                <w:rFonts w:cs="Arial"/>
                <w:color w:val="FF0000"/>
                <w:sz w:val="21"/>
                <w:szCs w:val="21"/>
              </w:rPr>
            </w:pPr>
          </w:p>
        </w:tc>
        <w:tc>
          <w:tcPr>
            <w:tcW w:w="217" w:type="dxa"/>
          </w:tcPr>
          <w:p w14:paraId="1760C136" w14:textId="77777777" w:rsidR="002C0FD9" w:rsidRPr="00CA25CF" w:rsidRDefault="002C0FD9" w:rsidP="00CA25CF">
            <w:pPr>
              <w:rPr>
                <w:rFonts w:cs="Arial"/>
                <w:color w:val="FF0000"/>
                <w:sz w:val="21"/>
                <w:szCs w:val="21"/>
              </w:rPr>
            </w:pPr>
          </w:p>
        </w:tc>
        <w:tc>
          <w:tcPr>
            <w:tcW w:w="217" w:type="dxa"/>
          </w:tcPr>
          <w:p w14:paraId="6EED8187" w14:textId="7657D067" w:rsidR="002C0FD9" w:rsidRPr="00CA25CF" w:rsidRDefault="002C0FD9" w:rsidP="00CA25CF">
            <w:pPr>
              <w:rPr>
                <w:rFonts w:cs="Arial"/>
                <w:color w:val="FF0000"/>
                <w:sz w:val="21"/>
                <w:szCs w:val="21"/>
              </w:rPr>
            </w:pPr>
          </w:p>
        </w:tc>
        <w:tc>
          <w:tcPr>
            <w:tcW w:w="217" w:type="dxa"/>
          </w:tcPr>
          <w:p w14:paraId="288F109B" w14:textId="77777777" w:rsidR="002C0FD9" w:rsidRPr="00CA25CF" w:rsidRDefault="002C0FD9" w:rsidP="00CA25CF">
            <w:pPr>
              <w:rPr>
                <w:rFonts w:cs="Arial"/>
                <w:color w:val="FF0000"/>
                <w:sz w:val="21"/>
                <w:szCs w:val="21"/>
              </w:rPr>
            </w:pPr>
          </w:p>
        </w:tc>
        <w:tc>
          <w:tcPr>
            <w:tcW w:w="217" w:type="dxa"/>
          </w:tcPr>
          <w:p w14:paraId="137CC7D4" w14:textId="77777777" w:rsidR="002C0FD9" w:rsidRPr="00CA25CF" w:rsidRDefault="002C0FD9" w:rsidP="00CA25CF">
            <w:pPr>
              <w:rPr>
                <w:rFonts w:cs="Arial"/>
                <w:color w:val="FF0000"/>
                <w:sz w:val="21"/>
                <w:szCs w:val="21"/>
              </w:rPr>
            </w:pPr>
          </w:p>
        </w:tc>
        <w:tc>
          <w:tcPr>
            <w:tcW w:w="217" w:type="dxa"/>
          </w:tcPr>
          <w:p w14:paraId="350AC85D" w14:textId="77777777" w:rsidR="002C0FD9" w:rsidRPr="00CA25CF" w:rsidRDefault="002C0FD9" w:rsidP="00CA25CF">
            <w:pPr>
              <w:rPr>
                <w:rFonts w:cs="Arial"/>
                <w:color w:val="FF0000"/>
                <w:sz w:val="21"/>
                <w:szCs w:val="21"/>
              </w:rPr>
            </w:pPr>
          </w:p>
        </w:tc>
        <w:tc>
          <w:tcPr>
            <w:tcW w:w="217" w:type="dxa"/>
          </w:tcPr>
          <w:p w14:paraId="79B56209" w14:textId="77777777" w:rsidR="002C0FD9" w:rsidRPr="00CA25CF" w:rsidRDefault="002C0FD9" w:rsidP="00CA25CF">
            <w:pPr>
              <w:rPr>
                <w:rFonts w:cs="Arial"/>
                <w:color w:val="FF0000"/>
                <w:sz w:val="21"/>
                <w:szCs w:val="21"/>
              </w:rPr>
            </w:pPr>
          </w:p>
        </w:tc>
        <w:tc>
          <w:tcPr>
            <w:tcW w:w="217" w:type="dxa"/>
          </w:tcPr>
          <w:p w14:paraId="3E7EF3B2" w14:textId="77777777" w:rsidR="002C0FD9" w:rsidRPr="00CA25CF" w:rsidRDefault="002C0FD9" w:rsidP="00CA25CF">
            <w:pPr>
              <w:rPr>
                <w:rFonts w:cs="Arial"/>
                <w:color w:val="FF0000"/>
                <w:sz w:val="21"/>
                <w:szCs w:val="21"/>
              </w:rPr>
            </w:pPr>
          </w:p>
        </w:tc>
        <w:tc>
          <w:tcPr>
            <w:tcW w:w="217" w:type="dxa"/>
          </w:tcPr>
          <w:p w14:paraId="2757DA3E" w14:textId="77777777" w:rsidR="002C0FD9" w:rsidRPr="00CA25CF" w:rsidRDefault="002C0FD9" w:rsidP="00CA25CF">
            <w:pPr>
              <w:rPr>
                <w:rFonts w:cs="Arial"/>
                <w:color w:val="FF0000"/>
                <w:sz w:val="21"/>
                <w:szCs w:val="21"/>
              </w:rPr>
            </w:pPr>
          </w:p>
        </w:tc>
        <w:tc>
          <w:tcPr>
            <w:tcW w:w="217" w:type="dxa"/>
          </w:tcPr>
          <w:p w14:paraId="690E191A" w14:textId="77777777" w:rsidR="002C0FD9" w:rsidRPr="00CA25CF" w:rsidRDefault="002C0FD9" w:rsidP="00CA25CF">
            <w:pPr>
              <w:rPr>
                <w:rFonts w:cs="Arial"/>
                <w:color w:val="FF0000"/>
                <w:sz w:val="21"/>
                <w:szCs w:val="21"/>
              </w:rPr>
            </w:pPr>
          </w:p>
        </w:tc>
        <w:tc>
          <w:tcPr>
            <w:tcW w:w="217" w:type="dxa"/>
          </w:tcPr>
          <w:p w14:paraId="5CE5DA34" w14:textId="77777777" w:rsidR="002C0FD9" w:rsidRPr="00CA25CF" w:rsidRDefault="002C0FD9" w:rsidP="00CA25CF">
            <w:pPr>
              <w:rPr>
                <w:rFonts w:cs="Arial"/>
                <w:color w:val="FF0000"/>
                <w:sz w:val="21"/>
                <w:szCs w:val="21"/>
              </w:rPr>
            </w:pPr>
          </w:p>
        </w:tc>
        <w:tc>
          <w:tcPr>
            <w:tcW w:w="217" w:type="dxa"/>
          </w:tcPr>
          <w:p w14:paraId="78F0DBF9" w14:textId="77777777" w:rsidR="002C0FD9" w:rsidRPr="00CA25CF" w:rsidRDefault="002C0FD9" w:rsidP="00CA25CF">
            <w:pPr>
              <w:rPr>
                <w:rFonts w:cs="Arial"/>
                <w:color w:val="FF0000"/>
                <w:sz w:val="21"/>
                <w:szCs w:val="21"/>
              </w:rPr>
            </w:pPr>
          </w:p>
        </w:tc>
        <w:tc>
          <w:tcPr>
            <w:tcW w:w="217" w:type="dxa"/>
          </w:tcPr>
          <w:p w14:paraId="4B33CC8D" w14:textId="77777777" w:rsidR="002C0FD9" w:rsidRPr="00CA25CF" w:rsidRDefault="002C0FD9" w:rsidP="00CA25CF">
            <w:pPr>
              <w:rPr>
                <w:rFonts w:cs="Arial"/>
                <w:color w:val="FF0000"/>
                <w:sz w:val="21"/>
                <w:szCs w:val="21"/>
              </w:rPr>
            </w:pPr>
          </w:p>
        </w:tc>
        <w:tc>
          <w:tcPr>
            <w:tcW w:w="217" w:type="dxa"/>
          </w:tcPr>
          <w:p w14:paraId="1D3B290C" w14:textId="77777777" w:rsidR="002C0FD9" w:rsidRPr="00CA25CF" w:rsidRDefault="002C0FD9" w:rsidP="00CA25CF">
            <w:pPr>
              <w:rPr>
                <w:rFonts w:cs="Arial"/>
                <w:color w:val="FF0000"/>
                <w:sz w:val="21"/>
                <w:szCs w:val="21"/>
              </w:rPr>
            </w:pPr>
          </w:p>
        </w:tc>
        <w:tc>
          <w:tcPr>
            <w:tcW w:w="217" w:type="dxa"/>
          </w:tcPr>
          <w:p w14:paraId="01A27373" w14:textId="77777777" w:rsidR="002C0FD9" w:rsidRPr="00CA25CF" w:rsidRDefault="002C0FD9" w:rsidP="00CA25CF">
            <w:pPr>
              <w:rPr>
                <w:rFonts w:cs="Arial"/>
                <w:color w:val="FF0000"/>
                <w:sz w:val="21"/>
                <w:szCs w:val="21"/>
              </w:rPr>
            </w:pPr>
          </w:p>
        </w:tc>
        <w:tc>
          <w:tcPr>
            <w:tcW w:w="217" w:type="dxa"/>
          </w:tcPr>
          <w:p w14:paraId="5033BE32" w14:textId="77777777" w:rsidR="002C0FD9" w:rsidRPr="00CA25CF" w:rsidRDefault="002C0FD9" w:rsidP="00CA25CF">
            <w:pPr>
              <w:rPr>
                <w:rFonts w:cs="Arial"/>
                <w:color w:val="FF0000"/>
                <w:sz w:val="21"/>
                <w:szCs w:val="21"/>
              </w:rPr>
            </w:pPr>
          </w:p>
        </w:tc>
        <w:tc>
          <w:tcPr>
            <w:tcW w:w="217" w:type="dxa"/>
          </w:tcPr>
          <w:p w14:paraId="6C145F93" w14:textId="77777777" w:rsidR="002C0FD9" w:rsidRPr="00CA25CF" w:rsidRDefault="002C0FD9" w:rsidP="00CA25CF">
            <w:pPr>
              <w:rPr>
                <w:rFonts w:cs="Arial"/>
                <w:color w:val="FF0000"/>
                <w:sz w:val="21"/>
                <w:szCs w:val="21"/>
              </w:rPr>
            </w:pPr>
          </w:p>
        </w:tc>
        <w:tc>
          <w:tcPr>
            <w:tcW w:w="217" w:type="dxa"/>
          </w:tcPr>
          <w:p w14:paraId="64A386C8" w14:textId="77777777" w:rsidR="002C0FD9" w:rsidRPr="00CA25CF" w:rsidRDefault="002C0FD9" w:rsidP="00CA25CF">
            <w:pPr>
              <w:rPr>
                <w:rFonts w:cs="Arial"/>
                <w:color w:val="FF0000"/>
                <w:sz w:val="21"/>
                <w:szCs w:val="21"/>
              </w:rPr>
            </w:pPr>
          </w:p>
        </w:tc>
        <w:tc>
          <w:tcPr>
            <w:tcW w:w="217" w:type="dxa"/>
          </w:tcPr>
          <w:p w14:paraId="70769493" w14:textId="77777777" w:rsidR="002C0FD9" w:rsidRPr="00CA25CF" w:rsidRDefault="002C0FD9" w:rsidP="00CA25CF">
            <w:pPr>
              <w:rPr>
                <w:rFonts w:cs="Arial"/>
                <w:color w:val="FF0000"/>
                <w:sz w:val="21"/>
                <w:szCs w:val="21"/>
              </w:rPr>
            </w:pPr>
          </w:p>
        </w:tc>
        <w:tc>
          <w:tcPr>
            <w:tcW w:w="217" w:type="dxa"/>
          </w:tcPr>
          <w:p w14:paraId="102EB727" w14:textId="77777777" w:rsidR="002C0FD9" w:rsidRPr="00CA25CF" w:rsidRDefault="002C0FD9" w:rsidP="00CA25CF">
            <w:pPr>
              <w:rPr>
                <w:rFonts w:cs="Arial"/>
                <w:color w:val="FF0000"/>
                <w:sz w:val="21"/>
                <w:szCs w:val="21"/>
              </w:rPr>
            </w:pPr>
          </w:p>
        </w:tc>
        <w:tc>
          <w:tcPr>
            <w:tcW w:w="217" w:type="dxa"/>
          </w:tcPr>
          <w:p w14:paraId="6B350E49" w14:textId="77777777" w:rsidR="002C0FD9" w:rsidRPr="00CA25CF" w:rsidRDefault="002C0FD9" w:rsidP="00CA25CF">
            <w:pPr>
              <w:rPr>
                <w:rFonts w:cs="Arial"/>
                <w:color w:val="FF0000"/>
                <w:sz w:val="21"/>
                <w:szCs w:val="21"/>
              </w:rPr>
            </w:pPr>
          </w:p>
        </w:tc>
        <w:tc>
          <w:tcPr>
            <w:tcW w:w="217" w:type="dxa"/>
          </w:tcPr>
          <w:p w14:paraId="6D71EC6B" w14:textId="77777777" w:rsidR="002C0FD9" w:rsidRPr="00CA25CF" w:rsidRDefault="002C0FD9" w:rsidP="00CA25CF">
            <w:pPr>
              <w:rPr>
                <w:rFonts w:cs="Arial"/>
                <w:color w:val="FF0000"/>
                <w:sz w:val="21"/>
                <w:szCs w:val="21"/>
              </w:rPr>
            </w:pPr>
          </w:p>
        </w:tc>
        <w:tc>
          <w:tcPr>
            <w:tcW w:w="217" w:type="dxa"/>
          </w:tcPr>
          <w:p w14:paraId="4687C646" w14:textId="77777777" w:rsidR="002C0FD9" w:rsidRPr="00CA25CF" w:rsidRDefault="002C0FD9" w:rsidP="00CA25CF">
            <w:pPr>
              <w:rPr>
                <w:rFonts w:cs="Arial"/>
                <w:color w:val="FF0000"/>
                <w:sz w:val="21"/>
                <w:szCs w:val="21"/>
              </w:rPr>
            </w:pPr>
          </w:p>
        </w:tc>
        <w:tc>
          <w:tcPr>
            <w:tcW w:w="217" w:type="dxa"/>
          </w:tcPr>
          <w:p w14:paraId="61CE3994" w14:textId="77777777" w:rsidR="002C0FD9" w:rsidRPr="00CA25CF" w:rsidRDefault="002C0FD9" w:rsidP="00CA25CF">
            <w:pPr>
              <w:rPr>
                <w:rFonts w:cs="Arial"/>
                <w:color w:val="FF0000"/>
                <w:sz w:val="21"/>
                <w:szCs w:val="21"/>
              </w:rPr>
            </w:pPr>
          </w:p>
        </w:tc>
        <w:tc>
          <w:tcPr>
            <w:tcW w:w="217" w:type="dxa"/>
          </w:tcPr>
          <w:p w14:paraId="3F83CDEA" w14:textId="77777777" w:rsidR="002C0FD9" w:rsidRPr="00CA25CF" w:rsidRDefault="002C0FD9" w:rsidP="00CA25CF">
            <w:pPr>
              <w:rPr>
                <w:rFonts w:cs="Arial"/>
                <w:color w:val="FF0000"/>
                <w:sz w:val="21"/>
                <w:szCs w:val="21"/>
              </w:rPr>
            </w:pPr>
          </w:p>
        </w:tc>
        <w:tc>
          <w:tcPr>
            <w:tcW w:w="217" w:type="dxa"/>
          </w:tcPr>
          <w:p w14:paraId="3E7F5A1B" w14:textId="77777777" w:rsidR="002C0FD9" w:rsidRPr="00CA25CF" w:rsidRDefault="002C0FD9" w:rsidP="00CA25CF">
            <w:pPr>
              <w:rPr>
                <w:rFonts w:cs="Arial"/>
                <w:color w:val="FF0000"/>
                <w:sz w:val="21"/>
                <w:szCs w:val="21"/>
              </w:rPr>
            </w:pPr>
          </w:p>
        </w:tc>
        <w:tc>
          <w:tcPr>
            <w:tcW w:w="217" w:type="dxa"/>
          </w:tcPr>
          <w:p w14:paraId="36B09E51" w14:textId="77777777" w:rsidR="002C0FD9" w:rsidRPr="00CA25CF" w:rsidRDefault="002C0FD9" w:rsidP="00CA25CF">
            <w:pPr>
              <w:rPr>
                <w:rFonts w:cs="Arial"/>
                <w:color w:val="FF0000"/>
                <w:sz w:val="21"/>
                <w:szCs w:val="21"/>
              </w:rPr>
            </w:pPr>
          </w:p>
        </w:tc>
        <w:tc>
          <w:tcPr>
            <w:tcW w:w="217" w:type="dxa"/>
          </w:tcPr>
          <w:p w14:paraId="30B66178" w14:textId="77777777" w:rsidR="002C0FD9" w:rsidRPr="00CA25CF" w:rsidRDefault="002C0FD9" w:rsidP="00CA25CF">
            <w:pPr>
              <w:rPr>
                <w:rFonts w:cs="Arial"/>
                <w:color w:val="FF0000"/>
                <w:sz w:val="21"/>
                <w:szCs w:val="21"/>
              </w:rPr>
            </w:pPr>
          </w:p>
        </w:tc>
        <w:tc>
          <w:tcPr>
            <w:tcW w:w="217" w:type="dxa"/>
          </w:tcPr>
          <w:p w14:paraId="5FC5FC7A" w14:textId="77777777" w:rsidR="002C0FD9" w:rsidRPr="00CA25CF" w:rsidRDefault="002C0FD9" w:rsidP="00CA25CF">
            <w:pPr>
              <w:rPr>
                <w:rFonts w:cs="Arial"/>
                <w:color w:val="FF0000"/>
                <w:sz w:val="21"/>
                <w:szCs w:val="21"/>
              </w:rPr>
            </w:pPr>
          </w:p>
        </w:tc>
        <w:tc>
          <w:tcPr>
            <w:tcW w:w="217" w:type="dxa"/>
          </w:tcPr>
          <w:p w14:paraId="4973C3E3" w14:textId="77777777" w:rsidR="002C0FD9" w:rsidRPr="00CA25CF" w:rsidRDefault="002C0FD9" w:rsidP="00CA25CF">
            <w:pPr>
              <w:rPr>
                <w:rFonts w:cs="Arial"/>
                <w:color w:val="FF0000"/>
                <w:sz w:val="21"/>
                <w:szCs w:val="21"/>
              </w:rPr>
            </w:pPr>
          </w:p>
        </w:tc>
      </w:tr>
      <w:tr w:rsidR="002C0FD9" w:rsidRPr="00A16219" w14:paraId="28BD85E3" w14:textId="59BD8547" w:rsidTr="002C0FD9">
        <w:trPr>
          <w:trHeight w:val="635"/>
        </w:trPr>
        <w:tc>
          <w:tcPr>
            <w:tcW w:w="515" w:type="dxa"/>
          </w:tcPr>
          <w:p w14:paraId="4685C616" w14:textId="77777777" w:rsidR="002C0FD9" w:rsidRPr="00CA25CF" w:rsidRDefault="002C0FD9" w:rsidP="00CA25CF">
            <w:pPr>
              <w:rPr>
                <w:rFonts w:cs="Arial"/>
                <w:color w:val="FF0000"/>
                <w:sz w:val="21"/>
                <w:szCs w:val="21"/>
              </w:rPr>
            </w:pPr>
          </w:p>
        </w:tc>
        <w:tc>
          <w:tcPr>
            <w:tcW w:w="217" w:type="dxa"/>
          </w:tcPr>
          <w:p w14:paraId="4963F926" w14:textId="77777777" w:rsidR="002C0FD9" w:rsidRPr="00CA25CF" w:rsidRDefault="002C0FD9" w:rsidP="00CA25CF">
            <w:pPr>
              <w:rPr>
                <w:rFonts w:cs="Arial"/>
                <w:color w:val="FF0000"/>
                <w:sz w:val="21"/>
                <w:szCs w:val="21"/>
              </w:rPr>
            </w:pPr>
          </w:p>
        </w:tc>
        <w:tc>
          <w:tcPr>
            <w:tcW w:w="217" w:type="dxa"/>
          </w:tcPr>
          <w:p w14:paraId="150D12C9" w14:textId="7E096491" w:rsidR="002C0FD9" w:rsidRPr="00CA25CF" w:rsidRDefault="002C0FD9" w:rsidP="00CA25CF">
            <w:pPr>
              <w:rPr>
                <w:rFonts w:cs="Arial"/>
                <w:color w:val="FF0000"/>
                <w:sz w:val="21"/>
                <w:szCs w:val="21"/>
              </w:rPr>
            </w:pPr>
          </w:p>
        </w:tc>
        <w:tc>
          <w:tcPr>
            <w:tcW w:w="217" w:type="dxa"/>
          </w:tcPr>
          <w:p w14:paraId="319665DD" w14:textId="77777777" w:rsidR="002C0FD9" w:rsidRPr="00CA25CF" w:rsidRDefault="002C0FD9" w:rsidP="00CA25CF">
            <w:pPr>
              <w:rPr>
                <w:rFonts w:cs="Arial"/>
                <w:color w:val="FF0000"/>
                <w:sz w:val="21"/>
                <w:szCs w:val="21"/>
              </w:rPr>
            </w:pPr>
          </w:p>
        </w:tc>
        <w:tc>
          <w:tcPr>
            <w:tcW w:w="217" w:type="dxa"/>
          </w:tcPr>
          <w:p w14:paraId="71CE95A4" w14:textId="77777777" w:rsidR="002C0FD9" w:rsidRPr="00CA25CF" w:rsidRDefault="002C0FD9" w:rsidP="00CA25CF">
            <w:pPr>
              <w:rPr>
                <w:rFonts w:cs="Arial"/>
                <w:color w:val="FF0000"/>
                <w:sz w:val="21"/>
                <w:szCs w:val="21"/>
              </w:rPr>
            </w:pPr>
          </w:p>
        </w:tc>
        <w:tc>
          <w:tcPr>
            <w:tcW w:w="217" w:type="dxa"/>
          </w:tcPr>
          <w:p w14:paraId="1D4FA3ED" w14:textId="77777777" w:rsidR="002C0FD9" w:rsidRPr="00CA25CF" w:rsidRDefault="002C0FD9" w:rsidP="00CA25CF">
            <w:pPr>
              <w:rPr>
                <w:rFonts w:cs="Arial"/>
                <w:color w:val="FF0000"/>
                <w:sz w:val="21"/>
                <w:szCs w:val="21"/>
              </w:rPr>
            </w:pPr>
          </w:p>
        </w:tc>
        <w:tc>
          <w:tcPr>
            <w:tcW w:w="217" w:type="dxa"/>
          </w:tcPr>
          <w:p w14:paraId="13506B6E" w14:textId="77777777" w:rsidR="002C0FD9" w:rsidRPr="00CA25CF" w:rsidRDefault="002C0FD9" w:rsidP="00CA25CF">
            <w:pPr>
              <w:rPr>
                <w:rFonts w:cs="Arial"/>
                <w:color w:val="FF0000"/>
                <w:sz w:val="21"/>
                <w:szCs w:val="21"/>
              </w:rPr>
            </w:pPr>
          </w:p>
        </w:tc>
        <w:tc>
          <w:tcPr>
            <w:tcW w:w="217" w:type="dxa"/>
          </w:tcPr>
          <w:p w14:paraId="0F361482" w14:textId="77777777" w:rsidR="002C0FD9" w:rsidRPr="00CA25CF" w:rsidRDefault="002C0FD9" w:rsidP="00CA25CF">
            <w:pPr>
              <w:rPr>
                <w:rFonts w:cs="Arial"/>
                <w:color w:val="FF0000"/>
                <w:sz w:val="21"/>
                <w:szCs w:val="21"/>
              </w:rPr>
            </w:pPr>
          </w:p>
        </w:tc>
        <w:tc>
          <w:tcPr>
            <w:tcW w:w="217" w:type="dxa"/>
          </w:tcPr>
          <w:p w14:paraId="7E9E7F3C" w14:textId="77777777" w:rsidR="002C0FD9" w:rsidRPr="00CA25CF" w:rsidRDefault="002C0FD9" w:rsidP="00CA25CF">
            <w:pPr>
              <w:rPr>
                <w:rFonts w:cs="Arial"/>
                <w:color w:val="FF0000"/>
                <w:sz w:val="21"/>
                <w:szCs w:val="21"/>
              </w:rPr>
            </w:pPr>
          </w:p>
        </w:tc>
        <w:tc>
          <w:tcPr>
            <w:tcW w:w="217" w:type="dxa"/>
          </w:tcPr>
          <w:p w14:paraId="21842DBD" w14:textId="77777777" w:rsidR="002C0FD9" w:rsidRPr="00CA25CF" w:rsidRDefault="002C0FD9" w:rsidP="00CA25CF">
            <w:pPr>
              <w:rPr>
                <w:rFonts w:cs="Arial"/>
                <w:color w:val="FF0000"/>
                <w:sz w:val="21"/>
                <w:szCs w:val="21"/>
              </w:rPr>
            </w:pPr>
          </w:p>
        </w:tc>
        <w:tc>
          <w:tcPr>
            <w:tcW w:w="217" w:type="dxa"/>
          </w:tcPr>
          <w:p w14:paraId="66DB78C2" w14:textId="77777777" w:rsidR="002C0FD9" w:rsidRPr="00CA25CF" w:rsidRDefault="002C0FD9" w:rsidP="00CA25CF">
            <w:pPr>
              <w:rPr>
                <w:rFonts w:cs="Arial"/>
                <w:color w:val="FF0000"/>
                <w:sz w:val="21"/>
                <w:szCs w:val="21"/>
              </w:rPr>
            </w:pPr>
          </w:p>
        </w:tc>
        <w:tc>
          <w:tcPr>
            <w:tcW w:w="217" w:type="dxa"/>
          </w:tcPr>
          <w:p w14:paraId="0CB4A729" w14:textId="77777777" w:rsidR="002C0FD9" w:rsidRPr="00CA25CF" w:rsidRDefault="002C0FD9" w:rsidP="00CA25CF">
            <w:pPr>
              <w:rPr>
                <w:rFonts w:cs="Arial"/>
                <w:color w:val="FF0000"/>
                <w:sz w:val="21"/>
                <w:szCs w:val="21"/>
              </w:rPr>
            </w:pPr>
          </w:p>
        </w:tc>
        <w:tc>
          <w:tcPr>
            <w:tcW w:w="217" w:type="dxa"/>
          </w:tcPr>
          <w:p w14:paraId="097D8CF7" w14:textId="77777777" w:rsidR="002C0FD9" w:rsidRPr="00CA25CF" w:rsidRDefault="002C0FD9" w:rsidP="00CA25CF">
            <w:pPr>
              <w:rPr>
                <w:rFonts w:cs="Arial"/>
                <w:color w:val="FF0000"/>
                <w:sz w:val="21"/>
                <w:szCs w:val="21"/>
              </w:rPr>
            </w:pPr>
          </w:p>
        </w:tc>
        <w:tc>
          <w:tcPr>
            <w:tcW w:w="217" w:type="dxa"/>
          </w:tcPr>
          <w:p w14:paraId="309594A2" w14:textId="77777777" w:rsidR="002C0FD9" w:rsidRPr="00CA25CF" w:rsidRDefault="002C0FD9" w:rsidP="00CA25CF">
            <w:pPr>
              <w:rPr>
                <w:rFonts w:cs="Arial"/>
                <w:color w:val="FF0000"/>
                <w:sz w:val="21"/>
                <w:szCs w:val="21"/>
              </w:rPr>
            </w:pPr>
          </w:p>
        </w:tc>
        <w:tc>
          <w:tcPr>
            <w:tcW w:w="217" w:type="dxa"/>
          </w:tcPr>
          <w:p w14:paraId="7573C777" w14:textId="77777777" w:rsidR="002C0FD9" w:rsidRPr="00CA25CF" w:rsidRDefault="002C0FD9" w:rsidP="00CA25CF">
            <w:pPr>
              <w:rPr>
                <w:rFonts w:cs="Arial"/>
                <w:color w:val="FF0000"/>
                <w:sz w:val="21"/>
                <w:szCs w:val="21"/>
              </w:rPr>
            </w:pPr>
          </w:p>
        </w:tc>
        <w:tc>
          <w:tcPr>
            <w:tcW w:w="217" w:type="dxa"/>
          </w:tcPr>
          <w:p w14:paraId="0223E09E" w14:textId="4987ED11" w:rsidR="002C0FD9" w:rsidRPr="00CA25CF" w:rsidRDefault="002C0FD9" w:rsidP="00CA25CF">
            <w:pPr>
              <w:rPr>
                <w:rFonts w:cs="Arial"/>
                <w:color w:val="FF0000"/>
                <w:sz w:val="21"/>
                <w:szCs w:val="21"/>
              </w:rPr>
            </w:pPr>
          </w:p>
        </w:tc>
        <w:tc>
          <w:tcPr>
            <w:tcW w:w="217" w:type="dxa"/>
          </w:tcPr>
          <w:p w14:paraId="356CC96B" w14:textId="77777777" w:rsidR="002C0FD9" w:rsidRPr="00CA25CF" w:rsidRDefault="002C0FD9" w:rsidP="00CA25CF">
            <w:pPr>
              <w:rPr>
                <w:rFonts w:cs="Arial"/>
                <w:color w:val="FF0000"/>
                <w:sz w:val="21"/>
                <w:szCs w:val="21"/>
              </w:rPr>
            </w:pPr>
          </w:p>
        </w:tc>
        <w:tc>
          <w:tcPr>
            <w:tcW w:w="217" w:type="dxa"/>
          </w:tcPr>
          <w:p w14:paraId="2977D44F" w14:textId="77777777" w:rsidR="002C0FD9" w:rsidRPr="00CA25CF" w:rsidRDefault="002C0FD9" w:rsidP="00CA25CF">
            <w:pPr>
              <w:rPr>
                <w:rFonts w:cs="Arial"/>
                <w:color w:val="FF0000"/>
                <w:sz w:val="21"/>
                <w:szCs w:val="21"/>
              </w:rPr>
            </w:pPr>
          </w:p>
        </w:tc>
        <w:tc>
          <w:tcPr>
            <w:tcW w:w="217" w:type="dxa"/>
          </w:tcPr>
          <w:p w14:paraId="75189B49" w14:textId="77777777" w:rsidR="002C0FD9" w:rsidRPr="00CA25CF" w:rsidRDefault="002C0FD9" w:rsidP="00CA25CF">
            <w:pPr>
              <w:rPr>
                <w:rFonts w:cs="Arial"/>
                <w:color w:val="FF0000"/>
                <w:sz w:val="21"/>
                <w:szCs w:val="21"/>
              </w:rPr>
            </w:pPr>
          </w:p>
        </w:tc>
        <w:tc>
          <w:tcPr>
            <w:tcW w:w="217" w:type="dxa"/>
          </w:tcPr>
          <w:p w14:paraId="4C0A2F63" w14:textId="77777777" w:rsidR="002C0FD9" w:rsidRPr="00CA25CF" w:rsidRDefault="002C0FD9" w:rsidP="00CA25CF">
            <w:pPr>
              <w:rPr>
                <w:rFonts w:cs="Arial"/>
                <w:color w:val="FF0000"/>
                <w:sz w:val="21"/>
                <w:szCs w:val="21"/>
              </w:rPr>
            </w:pPr>
          </w:p>
        </w:tc>
        <w:tc>
          <w:tcPr>
            <w:tcW w:w="217" w:type="dxa"/>
          </w:tcPr>
          <w:p w14:paraId="3DC8CA26" w14:textId="77777777" w:rsidR="002C0FD9" w:rsidRPr="00CA25CF" w:rsidRDefault="002C0FD9" w:rsidP="00CA25CF">
            <w:pPr>
              <w:rPr>
                <w:rFonts w:cs="Arial"/>
                <w:color w:val="FF0000"/>
                <w:sz w:val="21"/>
                <w:szCs w:val="21"/>
              </w:rPr>
            </w:pPr>
          </w:p>
        </w:tc>
        <w:tc>
          <w:tcPr>
            <w:tcW w:w="217" w:type="dxa"/>
          </w:tcPr>
          <w:p w14:paraId="5AFFDDD5" w14:textId="77777777" w:rsidR="002C0FD9" w:rsidRPr="00CA25CF" w:rsidRDefault="002C0FD9" w:rsidP="00CA25CF">
            <w:pPr>
              <w:rPr>
                <w:rFonts w:cs="Arial"/>
                <w:color w:val="FF0000"/>
                <w:sz w:val="21"/>
                <w:szCs w:val="21"/>
              </w:rPr>
            </w:pPr>
          </w:p>
        </w:tc>
        <w:tc>
          <w:tcPr>
            <w:tcW w:w="217" w:type="dxa"/>
          </w:tcPr>
          <w:p w14:paraId="56AED60D" w14:textId="77777777" w:rsidR="002C0FD9" w:rsidRPr="00CA25CF" w:rsidRDefault="002C0FD9" w:rsidP="00CA25CF">
            <w:pPr>
              <w:rPr>
                <w:rFonts w:cs="Arial"/>
                <w:color w:val="FF0000"/>
                <w:sz w:val="21"/>
                <w:szCs w:val="21"/>
              </w:rPr>
            </w:pPr>
          </w:p>
        </w:tc>
        <w:tc>
          <w:tcPr>
            <w:tcW w:w="217" w:type="dxa"/>
          </w:tcPr>
          <w:p w14:paraId="0C5681B9" w14:textId="77777777" w:rsidR="002C0FD9" w:rsidRPr="00CA25CF" w:rsidRDefault="002C0FD9" w:rsidP="00CA25CF">
            <w:pPr>
              <w:rPr>
                <w:rFonts w:cs="Arial"/>
                <w:color w:val="FF0000"/>
                <w:sz w:val="21"/>
                <w:szCs w:val="21"/>
              </w:rPr>
            </w:pPr>
          </w:p>
        </w:tc>
        <w:tc>
          <w:tcPr>
            <w:tcW w:w="217" w:type="dxa"/>
          </w:tcPr>
          <w:p w14:paraId="6DBB573E" w14:textId="77777777" w:rsidR="002C0FD9" w:rsidRPr="00CA25CF" w:rsidRDefault="002C0FD9" w:rsidP="00CA25CF">
            <w:pPr>
              <w:rPr>
                <w:rFonts w:cs="Arial"/>
                <w:color w:val="FF0000"/>
                <w:sz w:val="21"/>
                <w:szCs w:val="21"/>
              </w:rPr>
            </w:pPr>
          </w:p>
        </w:tc>
        <w:tc>
          <w:tcPr>
            <w:tcW w:w="217" w:type="dxa"/>
          </w:tcPr>
          <w:p w14:paraId="470ED8D7" w14:textId="77777777" w:rsidR="002C0FD9" w:rsidRPr="00CA25CF" w:rsidRDefault="002C0FD9" w:rsidP="00CA25CF">
            <w:pPr>
              <w:rPr>
                <w:rFonts w:cs="Arial"/>
                <w:color w:val="FF0000"/>
                <w:sz w:val="21"/>
                <w:szCs w:val="21"/>
              </w:rPr>
            </w:pPr>
          </w:p>
        </w:tc>
        <w:tc>
          <w:tcPr>
            <w:tcW w:w="217" w:type="dxa"/>
          </w:tcPr>
          <w:p w14:paraId="1FA17890" w14:textId="77777777" w:rsidR="002C0FD9" w:rsidRPr="00CA25CF" w:rsidRDefault="002C0FD9" w:rsidP="00CA25CF">
            <w:pPr>
              <w:rPr>
                <w:rFonts w:cs="Arial"/>
                <w:color w:val="FF0000"/>
                <w:sz w:val="21"/>
                <w:szCs w:val="21"/>
              </w:rPr>
            </w:pPr>
          </w:p>
        </w:tc>
        <w:tc>
          <w:tcPr>
            <w:tcW w:w="217" w:type="dxa"/>
          </w:tcPr>
          <w:p w14:paraId="109AF898" w14:textId="77777777" w:rsidR="002C0FD9" w:rsidRPr="00CA25CF" w:rsidRDefault="002C0FD9" w:rsidP="00CA25CF">
            <w:pPr>
              <w:rPr>
                <w:rFonts w:cs="Arial"/>
                <w:color w:val="FF0000"/>
                <w:sz w:val="21"/>
                <w:szCs w:val="21"/>
              </w:rPr>
            </w:pPr>
          </w:p>
        </w:tc>
        <w:tc>
          <w:tcPr>
            <w:tcW w:w="217" w:type="dxa"/>
          </w:tcPr>
          <w:p w14:paraId="243F8F40" w14:textId="77777777" w:rsidR="002C0FD9" w:rsidRPr="00CA25CF" w:rsidRDefault="002C0FD9" w:rsidP="00CA25CF">
            <w:pPr>
              <w:rPr>
                <w:rFonts w:cs="Arial"/>
                <w:color w:val="FF0000"/>
                <w:sz w:val="21"/>
                <w:szCs w:val="21"/>
              </w:rPr>
            </w:pPr>
          </w:p>
        </w:tc>
        <w:tc>
          <w:tcPr>
            <w:tcW w:w="217" w:type="dxa"/>
          </w:tcPr>
          <w:p w14:paraId="35674E49" w14:textId="77777777" w:rsidR="002C0FD9" w:rsidRPr="00CA25CF" w:rsidRDefault="002C0FD9" w:rsidP="00CA25CF">
            <w:pPr>
              <w:rPr>
                <w:rFonts w:cs="Arial"/>
                <w:color w:val="FF0000"/>
                <w:sz w:val="21"/>
                <w:szCs w:val="21"/>
              </w:rPr>
            </w:pPr>
          </w:p>
        </w:tc>
        <w:tc>
          <w:tcPr>
            <w:tcW w:w="217" w:type="dxa"/>
          </w:tcPr>
          <w:p w14:paraId="57331DA9" w14:textId="77777777" w:rsidR="002C0FD9" w:rsidRPr="00CA25CF" w:rsidRDefault="002C0FD9" w:rsidP="00CA25CF">
            <w:pPr>
              <w:rPr>
                <w:rFonts w:cs="Arial"/>
                <w:color w:val="FF0000"/>
                <w:sz w:val="21"/>
                <w:szCs w:val="21"/>
              </w:rPr>
            </w:pPr>
          </w:p>
        </w:tc>
        <w:tc>
          <w:tcPr>
            <w:tcW w:w="217" w:type="dxa"/>
          </w:tcPr>
          <w:p w14:paraId="5F05BFBF" w14:textId="77777777" w:rsidR="002C0FD9" w:rsidRPr="00CA25CF" w:rsidRDefault="002C0FD9" w:rsidP="00CA25CF">
            <w:pPr>
              <w:rPr>
                <w:rFonts w:cs="Arial"/>
                <w:color w:val="FF0000"/>
                <w:sz w:val="21"/>
                <w:szCs w:val="21"/>
              </w:rPr>
            </w:pPr>
          </w:p>
        </w:tc>
        <w:tc>
          <w:tcPr>
            <w:tcW w:w="217" w:type="dxa"/>
          </w:tcPr>
          <w:p w14:paraId="7A99FD0B" w14:textId="77777777" w:rsidR="002C0FD9" w:rsidRPr="00CA25CF" w:rsidRDefault="002C0FD9" w:rsidP="00CA25CF">
            <w:pPr>
              <w:rPr>
                <w:rFonts w:cs="Arial"/>
                <w:color w:val="FF0000"/>
                <w:sz w:val="21"/>
                <w:szCs w:val="21"/>
              </w:rPr>
            </w:pPr>
          </w:p>
        </w:tc>
        <w:tc>
          <w:tcPr>
            <w:tcW w:w="217" w:type="dxa"/>
          </w:tcPr>
          <w:p w14:paraId="008D761A" w14:textId="77777777" w:rsidR="002C0FD9" w:rsidRPr="00CA25CF" w:rsidRDefault="002C0FD9" w:rsidP="00CA25CF">
            <w:pPr>
              <w:rPr>
                <w:rFonts w:cs="Arial"/>
                <w:color w:val="FF0000"/>
                <w:sz w:val="21"/>
                <w:szCs w:val="21"/>
              </w:rPr>
            </w:pPr>
          </w:p>
        </w:tc>
        <w:tc>
          <w:tcPr>
            <w:tcW w:w="217" w:type="dxa"/>
          </w:tcPr>
          <w:p w14:paraId="4DF87486" w14:textId="77777777" w:rsidR="002C0FD9" w:rsidRPr="00CA25CF" w:rsidRDefault="002C0FD9" w:rsidP="00CA25CF">
            <w:pPr>
              <w:rPr>
                <w:rFonts w:cs="Arial"/>
                <w:color w:val="FF0000"/>
                <w:sz w:val="21"/>
                <w:szCs w:val="21"/>
              </w:rPr>
            </w:pPr>
          </w:p>
        </w:tc>
        <w:tc>
          <w:tcPr>
            <w:tcW w:w="217" w:type="dxa"/>
          </w:tcPr>
          <w:p w14:paraId="4F9B118C" w14:textId="77777777" w:rsidR="002C0FD9" w:rsidRPr="00CA25CF" w:rsidRDefault="002C0FD9" w:rsidP="00CA25CF">
            <w:pPr>
              <w:rPr>
                <w:rFonts w:cs="Arial"/>
                <w:color w:val="FF0000"/>
                <w:sz w:val="21"/>
                <w:szCs w:val="21"/>
              </w:rPr>
            </w:pPr>
          </w:p>
        </w:tc>
        <w:tc>
          <w:tcPr>
            <w:tcW w:w="217" w:type="dxa"/>
          </w:tcPr>
          <w:p w14:paraId="0AFCF723" w14:textId="77777777" w:rsidR="002C0FD9" w:rsidRPr="00CA25CF" w:rsidRDefault="002C0FD9" w:rsidP="00CA25CF">
            <w:pPr>
              <w:rPr>
                <w:rFonts w:cs="Arial"/>
                <w:color w:val="FF0000"/>
                <w:sz w:val="21"/>
                <w:szCs w:val="21"/>
              </w:rPr>
            </w:pPr>
          </w:p>
        </w:tc>
        <w:tc>
          <w:tcPr>
            <w:tcW w:w="217" w:type="dxa"/>
          </w:tcPr>
          <w:p w14:paraId="25A1B3F0" w14:textId="77777777" w:rsidR="002C0FD9" w:rsidRPr="00CA25CF" w:rsidRDefault="002C0FD9" w:rsidP="00CA25CF">
            <w:pPr>
              <w:rPr>
                <w:rFonts w:cs="Arial"/>
                <w:color w:val="FF0000"/>
                <w:sz w:val="21"/>
                <w:szCs w:val="21"/>
              </w:rPr>
            </w:pPr>
          </w:p>
        </w:tc>
        <w:tc>
          <w:tcPr>
            <w:tcW w:w="217" w:type="dxa"/>
          </w:tcPr>
          <w:p w14:paraId="4780B6D5" w14:textId="77777777" w:rsidR="002C0FD9" w:rsidRPr="00CA25CF" w:rsidRDefault="002C0FD9" w:rsidP="00CA25CF">
            <w:pPr>
              <w:rPr>
                <w:rFonts w:cs="Arial"/>
                <w:color w:val="FF0000"/>
                <w:sz w:val="21"/>
                <w:szCs w:val="21"/>
              </w:rPr>
            </w:pPr>
          </w:p>
        </w:tc>
        <w:tc>
          <w:tcPr>
            <w:tcW w:w="217" w:type="dxa"/>
          </w:tcPr>
          <w:p w14:paraId="2FF2EF82" w14:textId="77777777" w:rsidR="002C0FD9" w:rsidRPr="00CA25CF" w:rsidRDefault="002C0FD9" w:rsidP="00CA25CF">
            <w:pPr>
              <w:rPr>
                <w:rFonts w:cs="Arial"/>
                <w:color w:val="FF0000"/>
                <w:sz w:val="21"/>
                <w:szCs w:val="21"/>
              </w:rPr>
            </w:pPr>
          </w:p>
        </w:tc>
        <w:tc>
          <w:tcPr>
            <w:tcW w:w="217" w:type="dxa"/>
          </w:tcPr>
          <w:p w14:paraId="15DB17CF" w14:textId="77777777" w:rsidR="002C0FD9" w:rsidRPr="00CA25CF" w:rsidRDefault="002C0FD9" w:rsidP="00CA25CF">
            <w:pPr>
              <w:rPr>
                <w:rFonts w:cs="Arial"/>
                <w:color w:val="FF0000"/>
                <w:sz w:val="21"/>
                <w:szCs w:val="21"/>
              </w:rPr>
            </w:pPr>
          </w:p>
        </w:tc>
        <w:tc>
          <w:tcPr>
            <w:tcW w:w="217" w:type="dxa"/>
          </w:tcPr>
          <w:p w14:paraId="112D21EA" w14:textId="77777777" w:rsidR="002C0FD9" w:rsidRPr="00CA25CF" w:rsidRDefault="002C0FD9" w:rsidP="00CA25CF">
            <w:pPr>
              <w:rPr>
                <w:rFonts w:cs="Arial"/>
                <w:color w:val="FF0000"/>
                <w:sz w:val="21"/>
                <w:szCs w:val="21"/>
              </w:rPr>
            </w:pPr>
          </w:p>
        </w:tc>
        <w:tc>
          <w:tcPr>
            <w:tcW w:w="217" w:type="dxa"/>
          </w:tcPr>
          <w:p w14:paraId="0B7ACCF3" w14:textId="77777777" w:rsidR="002C0FD9" w:rsidRPr="00CA25CF" w:rsidRDefault="002C0FD9" w:rsidP="00CA25CF">
            <w:pPr>
              <w:rPr>
                <w:rFonts w:cs="Arial"/>
                <w:color w:val="FF0000"/>
                <w:sz w:val="21"/>
                <w:szCs w:val="21"/>
              </w:rPr>
            </w:pPr>
          </w:p>
        </w:tc>
      </w:tr>
      <w:tr w:rsidR="002C0FD9" w:rsidRPr="00A16219" w14:paraId="6F7193DE" w14:textId="388BD20C" w:rsidTr="002C0FD9">
        <w:trPr>
          <w:trHeight w:val="635"/>
        </w:trPr>
        <w:tc>
          <w:tcPr>
            <w:tcW w:w="515" w:type="dxa"/>
          </w:tcPr>
          <w:p w14:paraId="09C613F5" w14:textId="77777777" w:rsidR="002C0FD9" w:rsidRPr="00CA25CF" w:rsidRDefault="002C0FD9" w:rsidP="00CA25CF">
            <w:pPr>
              <w:rPr>
                <w:rFonts w:cs="Arial"/>
                <w:color w:val="FF0000"/>
                <w:sz w:val="21"/>
                <w:szCs w:val="21"/>
              </w:rPr>
            </w:pPr>
          </w:p>
        </w:tc>
        <w:tc>
          <w:tcPr>
            <w:tcW w:w="217" w:type="dxa"/>
          </w:tcPr>
          <w:p w14:paraId="32B95296" w14:textId="77777777" w:rsidR="002C0FD9" w:rsidRPr="00CA25CF" w:rsidRDefault="002C0FD9" w:rsidP="00CA25CF">
            <w:pPr>
              <w:rPr>
                <w:rFonts w:cs="Arial"/>
                <w:color w:val="FF0000"/>
                <w:sz w:val="21"/>
                <w:szCs w:val="21"/>
              </w:rPr>
            </w:pPr>
          </w:p>
        </w:tc>
        <w:tc>
          <w:tcPr>
            <w:tcW w:w="217" w:type="dxa"/>
          </w:tcPr>
          <w:p w14:paraId="0EF86437" w14:textId="7207DD15" w:rsidR="002C0FD9" w:rsidRPr="00CA25CF" w:rsidRDefault="002C0FD9" w:rsidP="00CA25CF">
            <w:pPr>
              <w:rPr>
                <w:rFonts w:cs="Arial"/>
                <w:color w:val="FF0000"/>
                <w:sz w:val="21"/>
                <w:szCs w:val="21"/>
              </w:rPr>
            </w:pPr>
          </w:p>
        </w:tc>
        <w:tc>
          <w:tcPr>
            <w:tcW w:w="217" w:type="dxa"/>
          </w:tcPr>
          <w:p w14:paraId="6A294D06" w14:textId="77777777" w:rsidR="002C0FD9" w:rsidRPr="00CA25CF" w:rsidRDefault="002C0FD9" w:rsidP="00CA25CF">
            <w:pPr>
              <w:rPr>
                <w:rFonts w:cs="Arial"/>
                <w:color w:val="FF0000"/>
                <w:sz w:val="21"/>
                <w:szCs w:val="21"/>
              </w:rPr>
            </w:pPr>
          </w:p>
        </w:tc>
        <w:tc>
          <w:tcPr>
            <w:tcW w:w="217" w:type="dxa"/>
          </w:tcPr>
          <w:p w14:paraId="4D7CBE1D" w14:textId="77777777" w:rsidR="002C0FD9" w:rsidRPr="00CA25CF" w:rsidRDefault="002C0FD9" w:rsidP="00CA25CF">
            <w:pPr>
              <w:rPr>
                <w:rFonts w:cs="Arial"/>
                <w:color w:val="FF0000"/>
                <w:sz w:val="21"/>
                <w:szCs w:val="21"/>
              </w:rPr>
            </w:pPr>
          </w:p>
        </w:tc>
        <w:tc>
          <w:tcPr>
            <w:tcW w:w="217" w:type="dxa"/>
          </w:tcPr>
          <w:p w14:paraId="45963DB2" w14:textId="77777777" w:rsidR="002C0FD9" w:rsidRPr="00CA25CF" w:rsidRDefault="002C0FD9" w:rsidP="00CA25CF">
            <w:pPr>
              <w:rPr>
                <w:rFonts w:cs="Arial"/>
                <w:color w:val="FF0000"/>
                <w:sz w:val="21"/>
                <w:szCs w:val="21"/>
              </w:rPr>
            </w:pPr>
          </w:p>
        </w:tc>
        <w:tc>
          <w:tcPr>
            <w:tcW w:w="217" w:type="dxa"/>
          </w:tcPr>
          <w:p w14:paraId="2FC9A35E" w14:textId="77777777" w:rsidR="002C0FD9" w:rsidRPr="00CA25CF" w:rsidRDefault="002C0FD9" w:rsidP="00CA25CF">
            <w:pPr>
              <w:rPr>
                <w:rFonts w:cs="Arial"/>
                <w:color w:val="FF0000"/>
                <w:sz w:val="21"/>
                <w:szCs w:val="21"/>
              </w:rPr>
            </w:pPr>
          </w:p>
        </w:tc>
        <w:tc>
          <w:tcPr>
            <w:tcW w:w="217" w:type="dxa"/>
          </w:tcPr>
          <w:p w14:paraId="658D0E7C" w14:textId="77777777" w:rsidR="002C0FD9" w:rsidRPr="00CA25CF" w:rsidRDefault="002C0FD9" w:rsidP="00CA25CF">
            <w:pPr>
              <w:rPr>
                <w:rFonts w:cs="Arial"/>
                <w:color w:val="FF0000"/>
                <w:sz w:val="21"/>
                <w:szCs w:val="21"/>
              </w:rPr>
            </w:pPr>
          </w:p>
        </w:tc>
        <w:tc>
          <w:tcPr>
            <w:tcW w:w="217" w:type="dxa"/>
          </w:tcPr>
          <w:p w14:paraId="1290002B" w14:textId="77777777" w:rsidR="002C0FD9" w:rsidRPr="00CA25CF" w:rsidRDefault="002C0FD9" w:rsidP="00CA25CF">
            <w:pPr>
              <w:rPr>
                <w:rFonts w:cs="Arial"/>
                <w:color w:val="FF0000"/>
                <w:sz w:val="21"/>
                <w:szCs w:val="21"/>
              </w:rPr>
            </w:pPr>
          </w:p>
        </w:tc>
        <w:tc>
          <w:tcPr>
            <w:tcW w:w="217" w:type="dxa"/>
          </w:tcPr>
          <w:p w14:paraId="3963253F" w14:textId="77777777" w:rsidR="002C0FD9" w:rsidRPr="00CA25CF" w:rsidRDefault="002C0FD9" w:rsidP="00CA25CF">
            <w:pPr>
              <w:rPr>
                <w:rFonts w:cs="Arial"/>
                <w:color w:val="FF0000"/>
                <w:sz w:val="21"/>
                <w:szCs w:val="21"/>
              </w:rPr>
            </w:pPr>
          </w:p>
        </w:tc>
        <w:tc>
          <w:tcPr>
            <w:tcW w:w="217" w:type="dxa"/>
          </w:tcPr>
          <w:p w14:paraId="2B98C17F" w14:textId="77777777" w:rsidR="002C0FD9" w:rsidRPr="00CA25CF" w:rsidRDefault="002C0FD9" w:rsidP="00CA25CF">
            <w:pPr>
              <w:rPr>
                <w:rFonts w:cs="Arial"/>
                <w:color w:val="FF0000"/>
                <w:sz w:val="21"/>
                <w:szCs w:val="21"/>
              </w:rPr>
            </w:pPr>
          </w:p>
        </w:tc>
        <w:tc>
          <w:tcPr>
            <w:tcW w:w="217" w:type="dxa"/>
          </w:tcPr>
          <w:p w14:paraId="1E43F649" w14:textId="77777777" w:rsidR="002C0FD9" w:rsidRPr="00CA25CF" w:rsidRDefault="002C0FD9" w:rsidP="00CA25CF">
            <w:pPr>
              <w:rPr>
                <w:rFonts w:cs="Arial"/>
                <w:color w:val="FF0000"/>
                <w:sz w:val="21"/>
                <w:szCs w:val="21"/>
              </w:rPr>
            </w:pPr>
          </w:p>
        </w:tc>
        <w:tc>
          <w:tcPr>
            <w:tcW w:w="217" w:type="dxa"/>
          </w:tcPr>
          <w:p w14:paraId="304C1D7F" w14:textId="77777777" w:rsidR="002C0FD9" w:rsidRPr="00CA25CF" w:rsidRDefault="002C0FD9" w:rsidP="00CA25CF">
            <w:pPr>
              <w:rPr>
                <w:rFonts w:cs="Arial"/>
                <w:color w:val="FF0000"/>
                <w:sz w:val="21"/>
                <w:szCs w:val="21"/>
              </w:rPr>
            </w:pPr>
          </w:p>
        </w:tc>
        <w:tc>
          <w:tcPr>
            <w:tcW w:w="217" w:type="dxa"/>
          </w:tcPr>
          <w:p w14:paraId="731455D8" w14:textId="77777777" w:rsidR="002C0FD9" w:rsidRPr="00CA25CF" w:rsidRDefault="002C0FD9" w:rsidP="00CA25CF">
            <w:pPr>
              <w:rPr>
                <w:rFonts w:cs="Arial"/>
                <w:color w:val="FF0000"/>
                <w:sz w:val="21"/>
                <w:szCs w:val="21"/>
              </w:rPr>
            </w:pPr>
          </w:p>
        </w:tc>
        <w:tc>
          <w:tcPr>
            <w:tcW w:w="217" w:type="dxa"/>
          </w:tcPr>
          <w:p w14:paraId="6E2E2EF6" w14:textId="77777777" w:rsidR="002C0FD9" w:rsidRPr="00CA25CF" w:rsidRDefault="002C0FD9" w:rsidP="00CA25CF">
            <w:pPr>
              <w:rPr>
                <w:rFonts w:cs="Arial"/>
                <w:color w:val="FF0000"/>
                <w:sz w:val="21"/>
                <w:szCs w:val="21"/>
              </w:rPr>
            </w:pPr>
          </w:p>
        </w:tc>
        <w:tc>
          <w:tcPr>
            <w:tcW w:w="217" w:type="dxa"/>
          </w:tcPr>
          <w:p w14:paraId="6C71328B" w14:textId="6FBBCC0D" w:rsidR="002C0FD9" w:rsidRPr="00CA25CF" w:rsidRDefault="002C0FD9" w:rsidP="00CA25CF">
            <w:pPr>
              <w:rPr>
                <w:rFonts w:cs="Arial"/>
                <w:color w:val="FF0000"/>
                <w:sz w:val="21"/>
                <w:szCs w:val="21"/>
              </w:rPr>
            </w:pPr>
          </w:p>
        </w:tc>
        <w:tc>
          <w:tcPr>
            <w:tcW w:w="217" w:type="dxa"/>
          </w:tcPr>
          <w:p w14:paraId="4DACFD80" w14:textId="77777777" w:rsidR="002C0FD9" w:rsidRPr="00CA25CF" w:rsidRDefault="002C0FD9" w:rsidP="00CA25CF">
            <w:pPr>
              <w:rPr>
                <w:rFonts w:cs="Arial"/>
                <w:color w:val="FF0000"/>
                <w:sz w:val="21"/>
                <w:szCs w:val="21"/>
              </w:rPr>
            </w:pPr>
          </w:p>
        </w:tc>
        <w:tc>
          <w:tcPr>
            <w:tcW w:w="217" w:type="dxa"/>
          </w:tcPr>
          <w:p w14:paraId="0085ECD9" w14:textId="77777777" w:rsidR="002C0FD9" w:rsidRPr="00CA25CF" w:rsidRDefault="002C0FD9" w:rsidP="00CA25CF">
            <w:pPr>
              <w:rPr>
                <w:rFonts w:cs="Arial"/>
                <w:color w:val="FF0000"/>
                <w:sz w:val="21"/>
                <w:szCs w:val="21"/>
              </w:rPr>
            </w:pPr>
          </w:p>
        </w:tc>
        <w:tc>
          <w:tcPr>
            <w:tcW w:w="217" w:type="dxa"/>
          </w:tcPr>
          <w:p w14:paraId="2CDBF00A" w14:textId="77777777" w:rsidR="002C0FD9" w:rsidRPr="00CA25CF" w:rsidRDefault="002C0FD9" w:rsidP="00CA25CF">
            <w:pPr>
              <w:rPr>
                <w:rFonts w:cs="Arial"/>
                <w:color w:val="FF0000"/>
                <w:sz w:val="21"/>
                <w:szCs w:val="21"/>
              </w:rPr>
            </w:pPr>
          </w:p>
        </w:tc>
        <w:tc>
          <w:tcPr>
            <w:tcW w:w="217" w:type="dxa"/>
          </w:tcPr>
          <w:p w14:paraId="0C9473BF" w14:textId="77777777" w:rsidR="002C0FD9" w:rsidRPr="00CA25CF" w:rsidRDefault="002C0FD9" w:rsidP="00CA25CF">
            <w:pPr>
              <w:rPr>
                <w:rFonts w:cs="Arial"/>
                <w:color w:val="FF0000"/>
                <w:sz w:val="21"/>
                <w:szCs w:val="21"/>
              </w:rPr>
            </w:pPr>
          </w:p>
        </w:tc>
        <w:tc>
          <w:tcPr>
            <w:tcW w:w="217" w:type="dxa"/>
          </w:tcPr>
          <w:p w14:paraId="362929A3" w14:textId="77777777" w:rsidR="002C0FD9" w:rsidRPr="00CA25CF" w:rsidRDefault="002C0FD9" w:rsidP="00CA25CF">
            <w:pPr>
              <w:rPr>
                <w:rFonts w:cs="Arial"/>
                <w:color w:val="FF0000"/>
                <w:sz w:val="21"/>
                <w:szCs w:val="21"/>
              </w:rPr>
            </w:pPr>
          </w:p>
        </w:tc>
        <w:tc>
          <w:tcPr>
            <w:tcW w:w="217" w:type="dxa"/>
          </w:tcPr>
          <w:p w14:paraId="642F19BB" w14:textId="77777777" w:rsidR="002C0FD9" w:rsidRPr="00CA25CF" w:rsidRDefault="002C0FD9" w:rsidP="00CA25CF">
            <w:pPr>
              <w:rPr>
                <w:rFonts w:cs="Arial"/>
                <w:color w:val="FF0000"/>
                <w:sz w:val="21"/>
                <w:szCs w:val="21"/>
              </w:rPr>
            </w:pPr>
          </w:p>
        </w:tc>
        <w:tc>
          <w:tcPr>
            <w:tcW w:w="217" w:type="dxa"/>
          </w:tcPr>
          <w:p w14:paraId="6705EBE3" w14:textId="77777777" w:rsidR="002C0FD9" w:rsidRPr="00CA25CF" w:rsidRDefault="002C0FD9" w:rsidP="00CA25CF">
            <w:pPr>
              <w:rPr>
                <w:rFonts w:cs="Arial"/>
                <w:color w:val="FF0000"/>
                <w:sz w:val="21"/>
                <w:szCs w:val="21"/>
              </w:rPr>
            </w:pPr>
          </w:p>
        </w:tc>
        <w:tc>
          <w:tcPr>
            <w:tcW w:w="217" w:type="dxa"/>
          </w:tcPr>
          <w:p w14:paraId="69375DAC" w14:textId="77777777" w:rsidR="002C0FD9" w:rsidRPr="00CA25CF" w:rsidRDefault="002C0FD9" w:rsidP="00CA25CF">
            <w:pPr>
              <w:rPr>
                <w:rFonts w:cs="Arial"/>
                <w:color w:val="FF0000"/>
                <w:sz w:val="21"/>
                <w:szCs w:val="21"/>
              </w:rPr>
            </w:pPr>
          </w:p>
        </w:tc>
        <w:tc>
          <w:tcPr>
            <w:tcW w:w="217" w:type="dxa"/>
          </w:tcPr>
          <w:p w14:paraId="0C117324" w14:textId="77777777" w:rsidR="002C0FD9" w:rsidRPr="00CA25CF" w:rsidRDefault="002C0FD9" w:rsidP="00CA25CF">
            <w:pPr>
              <w:rPr>
                <w:rFonts w:cs="Arial"/>
                <w:color w:val="FF0000"/>
                <w:sz w:val="21"/>
                <w:szCs w:val="21"/>
              </w:rPr>
            </w:pPr>
          </w:p>
        </w:tc>
        <w:tc>
          <w:tcPr>
            <w:tcW w:w="217" w:type="dxa"/>
          </w:tcPr>
          <w:p w14:paraId="147AF5E3" w14:textId="77777777" w:rsidR="002C0FD9" w:rsidRPr="00CA25CF" w:rsidRDefault="002C0FD9" w:rsidP="00CA25CF">
            <w:pPr>
              <w:rPr>
                <w:rFonts w:cs="Arial"/>
                <w:color w:val="FF0000"/>
                <w:sz w:val="21"/>
                <w:szCs w:val="21"/>
              </w:rPr>
            </w:pPr>
          </w:p>
        </w:tc>
        <w:tc>
          <w:tcPr>
            <w:tcW w:w="217" w:type="dxa"/>
          </w:tcPr>
          <w:p w14:paraId="4C37B5B8" w14:textId="77777777" w:rsidR="002C0FD9" w:rsidRPr="00CA25CF" w:rsidRDefault="002C0FD9" w:rsidP="00CA25CF">
            <w:pPr>
              <w:rPr>
                <w:rFonts w:cs="Arial"/>
                <w:color w:val="FF0000"/>
                <w:sz w:val="21"/>
                <w:szCs w:val="21"/>
              </w:rPr>
            </w:pPr>
          </w:p>
        </w:tc>
        <w:tc>
          <w:tcPr>
            <w:tcW w:w="217" w:type="dxa"/>
          </w:tcPr>
          <w:p w14:paraId="10432CC9" w14:textId="77777777" w:rsidR="002C0FD9" w:rsidRPr="00CA25CF" w:rsidRDefault="002C0FD9" w:rsidP="00CA25CF">
            <w:pPr>
              <w:rPr>
                <w:rFonts w:cs="Arial"/>
                <w:color w:val="FF0000"/>
                <w:sz w:val="21"/>
                <w:szCs w:val="21"/>
              </w:rPr>
            </w:pPr>
          </w:p>
        </w:tc>
        <w:tc>
          <w:tcPr>
            <w:tcW w:w="217" w:type="dxa"/>
          </w:tcPr>
          <w:p w14:paraId="7C19E5CB" w14:textId="77777777" w:rsidR="002C0FD9" w:rsidRPr="00CA25CF" w:rsidRDefault="002C0FD9" w:rsidP="00CA25CF">
            <w:pPr>
              <w:rPr>
                <w:rFonts w:cs="Arial"/>
                <w:color w:val="FF0000"/>
                <w:sz w:val="21"/>
                <w:szCs w:val="21"/>
              </w:rPr>
            </w:pPr>
          </w:p>
        </w:tc>
        <w:tc>
          <w:tcPr>
            <w:tcW w:w="217" w:type="dxa"/>
          </w:tcPr>
          <w:p w14:paraId="0891A798" w14:textId="77777777" w:rsidR="002C0FD9" w:rsidRPr="00CA25CF" w:rsidRDefault="002C0FD9" w:rsidP="00CA25CF">
            <w:pPr>
              <w:rPr>
                <w:rFonts w:cs="Arial"/>
                <w:color w:val="FF0000"/>
                <w:sz w:val="21"/>
                <w:szCs w:val="21"/>
              </w:rPr>
            </w:pPr>
          </w:p>
        </w:tc>
        <w:tc>
          <w:tcPr>
            <w:tcW w:w="217" w:type="dxa"/>
          </w:tcPr>
          <w:p w14:paraId="56D715A9" w14:textId="77777777" w:rsidR="002C0FD9" w:rsidRPr="00CA25CF" w:rsidRDefault="002C0FD9" w:rsidP="00CA25CF">
            <w:pPr>
              <w:rPr>
                <w:rFonts w:cs="Arial"/>
                <w:color w:val="FF0000"/>
                <w:sz w:val="21"/>
                <w:szCs w:val="21"/>
              </w:rPr>
            </w:pPr>
          </w:p>
        </w:tc>
        <w:tc>
          <w:tcPr>
            <w:tcW w:w="217" w:type="dxa"/>
          </w:tcPr>
          <w:p w14:paraId="1466CB04" w14:textId="77777777" w:rsidR="002C0FD9" w:rsidRPr="00CA25CF" w:rsidRDefault="002C0FD9" w:rsidP="00CA25CF">
            <w:pPr>
              <w:rPr>
                <w:rFonts w:cs="Arial"/>
                <w:color w:val="FF0000"/>
                <w:sz w:val="21"/>
                <w:szCs w:val="21"/>
              </w:rPr>
            </w:pPr>
          </w:p>
        </w:tc>
        <w:tc>
          <w:tcPr>
            <w:tcW w:w="217" w:type="dxa"/>
          </w:tcPr>
          <w:p w14:paraId="46870B08" w14:textId="77777777" w:rsidR="002C0FD9" w:rsidRPr="00CA25CF" w:rsidRDefault="002C0FD9" w:rsidP="00CA25CF">
            <w:pPr>
              <w:rPr>
                <w:rFonts w:cs="Arial"/>
                <w:color w:val="FF0000"/>
                <w:sz w:val="21"/>
                <w:szCs w:val="21"/>
              </w:rPr>
            </w:pPr>
          </w:p>
        </w:tc>
        <w:tc>
          <w:tcPr>
            <w:tcW w:w="217" w:type="dxa"/>
          </w:tcPr>
          <w:p w14:paraId="45BEFCAF" w14:textId="77777777" w:rsidR="002C0FD9" w:rsidRPr="00CA25CF" w:rsidRDefault="002C0FD9" w:rsidP="00CA25CF">
            <w:pPr>
              <w:rPr>
                <w:rFonts w:cs="Arial"/>
                <w:color w:val="FF0000"/>
                <w:sz w:val="21"/>
                <w:szCs w:val="21"/>
              </w:rPr>
            </w:pPr>
          </w:p>
        </w:tc>
        <w:tc>
          <w:tcPr>
            <w:tcW w:w="217" w:type="dxa"/>
          </w:tcPr>
          <w:p w14:paraId="4AF0AA0D" w14:textId="77777777" w:rsidR="002C0FD9" w:rsidRPr="00CA25CF" w:rsidRDefault="002C0FD9" w:rsidP="00CA25CF">
            <w:pPr>
              <w:rPr>
                <w:rFonts w:cs="Arial"/>
                <w:color w:val="FF0000"/>
                <w:sz w:val="21"/>
                <w:szCs w:val="21"/>
              </w:rPr>
            </w:pPr>
          </w:p>
        </w:tc>
        <w:tc>
          <w:tcPr>
            <w:tcW w:w="217" w:type="dxa"/>
          </w:tcPr>
          <w:p w14:paraId="0DB8A4D2" w14:textId="77777777" w:rsidR="002C0FD9" w:rsidRPr="00CA25CF" w:rsidRDefault="002C0FD9" w:rsidP="00CA25CF">
            <w:pPr>
              <w:rPr>
                <w:rFonts w:cs="Arial"/>
                <w:color w:val="FF0000"/>
                <w:sz w:val="21"/>
                <w:szCs w:val="21"/>
              </w:rPr>
            </w:pPr>
          </w:p>
        </w:tc>
        <w:tc>
          <w:tcPr>
            <w:tcW w:w="217" w:type="dxa"/>
          </w:tcPr>
          <w:p w14:paraId="7F97B592" w14:textId="77777777" w:rsidR="002C0FD9" w:rsidRPr="00CA25CF" w:rsidRDefault="002C0FD9" w:rsidP="00CA25CF">
            <w:pPr>
              <w:rPr>
                <w:rFonts w:cs="Arial"/>
                <w:color w:val="FF0000"/>
                <w:sz w:val="21"/>
                <w:szCs w:val="21"/>
              </w:rPr>
            </w:pPr>
          </w:p>
        </w:tc>
        <w:tc>
          <w:tcPr>
            <w:tcW w:w="217" w:type="dxa"/>
          </w:tcPr>
          <w:p w14:paraId="7A1DA576" w14:textId="77777777" w:rsidR="002C0FD9" w:rsidRPr="00CA25CF" w:rsidRDefault="002C0FD9" w:rsidP="00CA25CF">
            <w:pPr>
              <w:rPr>
                <w:rFonts w:cs="Arial"/>
                <w:color w:val="FF0000"/>
                <w:sz w:val="21"/>
                <w:szCs w:val="21"/>
              </w:rPr>
            </w:pPr>
          </w:p>
        </w:tc>
        <w:tc>
          <w:tcPr>
            <w:tcW w:w="217" w:type="dxa"/>
          </w:tcPr>
          <w:p w14:paraId="5E6190A2" w14:textId="77777777" w:rsidR="002C0FD9" w:rsidRPr="00CA25CF" w:rsidRDefault="002C0FD9" w:rsidP="00CA25CF">
            <w:pPr>
              <w:rPr>
                <w:rFonts w:cs="Arial"/>
                <w:color w:val="FF0000"/>
                <w:sz w:val="21"/>
                <w:szCs w:val="21"/>
              </w:rPr>
            </w:pPr>
          </w:p>
        </w:tc>
        <w:tc>
          <w:tcPr>
            <w:tcW w:w="217" w:type="dxa"/>
          </w:tcPr>
          <w:p w14:paraId="5FF67EED" w14:textId="77777777" w:rsidR="002C0FD9" w:rsidRPr="00CA25CF" w:rsidRDefault="002C0FD9" w:rsidP="00CA25CF">
            <w:pPr>
              <w:rPr>
                <w:rFonts w:cs="Arial"/>
                <w:color w:val="FF0000"/>
                <w:sz w:val="21"/>
                <w:szCs w:val="21"/>
              </w:rPr>
            </w:pPr>
          </w:p>
        </w:tc>
        <w:tc>
          <w:tcPr>
            <w:tcW w:w="217" w:type="dxa"/>
          </w:tcPr>
          <w:p w14:paraId="0E702F67" w14:textId="77777777" w:rsidR="002C0FD9" w:rsidRPr="00CA25CF" w:rsidRDefault="002C0FD9" w:rsidP="00CA25CF">
            <w:pPr>
              <w:rPr>
                <w:rFonts w:cs="Arial"/>
                <w:color w:val="FF0000"/>
                <w:sz w:val="21"/>
                <w:szCs w:val="21"/>
              </w:rPr>
            </w:pPr>
          </w:p>
        </w:tc>
        <w:tc>
          <w:tcPr>
            <w:tcW w:w="217" w:type="dxa"/>
          </w:tcPr>
          <w:p w14:paraId="00D74C14" w14:textId="77777777" w:rsidR="002C0FD9" w:rsidRPr="00CA25CF" w:rsidRDefault="002C0FD9" w:rsidP="00CA25CF">
            <w:pPr>
              <w:rPr>
                <w:rFonts w:cs="Arial"/>
                <w:color w:val="FF0000"/>
                <w:sz w:val="21"/>
                <w:szCs w:val="21"/>
              </w:rPr>
            </w:pPr>
          </w:p>
        </w:tc>
        <w:tc>
          <w:tcPr>
            <w:tcW w:w="217" w:type="dxa"/>
          </w:tcPr>
          <w:p w14:paraId="5E8E3D95" w14:textId="77777777" w:rsidR="002C0FD9" w:rsidRPr="00CA25CF" w:rsidRDefault="002C0FD9" w:rsidP="00CA25CF">
            <w:pPr>
              <w:rPr>
                <w:rFonts w:cs="Arial"/>
                <w:color w:val="FF0000"/>
                <w:sz w:val="21"/>
                <w:szCs w:val="21"/>
              </w:rPr>
            </w:pPr>
          </w:p>
        </w:tc>
      </w:tr>
      <w:tr w:rsidR="002C0FD9" w:rsidRPr="00A16219" w14:paraId="4D73A9A8" w14:textId="39874317" w:rsidTr="002C0FD9">
        <w:trPr>
          <w:trHeight w:val="635"/>
        </w:trPr>
        <w:tc>
          <w:tcPr>
            <w:tcW w:w="515" w:type="dxa"/>
          </w:tcPr>
          <w:p w14:paraId="7342B045" w14:textId="77777777" w:rsidR="002C0FD9" w:rsidRPr="00CA25CF" w:rsidRDefault="002C0FD9" w:rsidP="00CA25CF">
            <w:pPr>
              <w:rPr>
                <w:rFonts w:cs="Arial"/>
                <w:color w:val="FF0000"/>
                <w:sz w:val="21"/>
                <w:szCs w:val="21"/>
              </w:rPr>
            </w:pPr>
          </w:p>
        </w:tc>
        <w:tc>
          <w:tcPr>
            <w:tcW w:w="217" w:type="dxa"/>
          </w:tcPr>
          <w:p w14:paraId="1F92537C" w14:textId="77777777" w:rsidR="002C0FD9" w:rsidRPr="00CA25CF" w:rsidRDefault="002C0FD9" w:rsidP="00CA25CF">
            <w:pPr>
              <w:rPr>
                <w:rFonts w:cs="Arial"/>
                <w:color w:val="FF0000"/>
                <w:sz w:val="21"/>
                <w:szCs w:val="21"/>
              </w:rPr>
            </w:pPr>
          </w:p>
        </w:tc>
        <w:tc>
          <w:tcPr>
            <w:tcW w:w="217" w:type="dxa"/>
          </w:tcPr>
          <w:p w14:paraId="6071343C" w14:textId="2C8FB152" w:rsidR="002C0FD9" w:rsidRPr="00CA25CF" w:rsidRDefault="002C0FD9" w:rsidP="00CA25CF">
            <w:pPr>
              <w:rPr>
                <w:rFonts w:cs="Arial"/>
                <w:color w:val="FF0000"/>
                <w:sz w:val="21"/>
                <w:szCs w:val="21"/>
              </w:rPr>
            </w:pPr>
          </w:p>
        </w:tc>
        <w:tc>
          <w:tcPr>
            <w:tcW w:w="217" w:type="dxa"/>
          </w:tcPr>
          <w:p w14:paraId="71EDD4A9" w14:textId="77777777" w:rsidR="002C0FD9" w:rsidRPr="00CA25CF" w:rsidRDefault="002C0FD9" w:rsidP="00CA25CF">
            <w:pPr>
              <w:rPr>
                <w:rFonts w:cs="Arial"/>
                <w:color w:val="FF0000"/>
                <w:sz w:val="21"/>
                <w:szCs w:val="21"/>
              </w:rPr>
            </w:pPr>
          </w:p>
        </w:tc>
        <w:tc>
          <w:tcPr>
            <w:tcW w:w="217" w:type="dxa"/>
          </w:tcPr>
          <w:p w14:paraId="4C0442B1" w14:textId="77777777" w:rsidR="002C0FD9" w:rsidRPr="00CA25CF" w:rsidRDefault="002C0FD9" w:rsidP="00CA25CF">
            <w:pPr>
              <w:rPr>
                <w:rFonts w:cs="Arial"/>
                <w:color w:val="FF0000"/>
                <w:sz w:val="21"/>
                <w:szCs w:val="21"/>
              </w:rPr>
            </w:pPr>
          </w:p>
        </w:tc>
        <w:tc>
          <w:tcPr>
            <w:tcW w:w="217" w:type="dxa"/>
          </w:tcPr>
          <w:p w14:paraId="5A7F5E56" w14:textId="77777777" w:rsidR="002C0FD9" w:rsidRPr="00CA25CF" w:rsidRDefault="002C0FD9" w:rsidP="00CA25CF">
            <w:pPr>
              <w:rPr>
                <w:rFonts w:cs="Arial"/>
                <w:color w:val="FF0000"/>
                <w:sz w:val="21"/>
                <w:szCs w:val="21"/>
              </w:rPr>
            </w:pPr>
          </w:p>
        </w:tc>
        <w:tc>
          <w:tcPr>
            <w:tcW w:w="217" w:type="dxa"/>
          </w:tcPr>
          <w:p w14:paraId="6352E182" w14:textId="77777777" w:rsidR="002C0FD9" w:rsidRPr="00CA25CF" w:rsidRDefault="002C0FD9" w:rsidP="00CA25CF">
            <w:pPr>
              <w:rPr>
                <w:rFonts w:cs="Arial"/>
                <w:color w:val="FF0000"/>
                <w:sz w:val="21"/>
                <w:szCs w:val="21"/>
              </w:rPr>
            </w:pPr>
          </w:p>
        </w:tc>
        <w:tc>
          <w:tcPr>
            <w:tcW w:w="217" w:type="dxa"/>
          </w:tcPr>
          <w:p w14:paraId="7DA21103" w14:textId="77777777" w:rsidR="002C0FD9" w:rsidRPr="00CA25CF" w:rsidRDefault="002C0FD9" w:rsidP="00CA25CF">
            <w:pPr>
              <w:rPr>
                <w:rFonts w:cs="Arial"/>
                <w:color w:val="FF0000"/>
                <w:sz w:val="21"/>
                <w:szCs w:val="21"/>
              </w:rPr>
            </w:pPr>
          </w:p>
        </w:tc>
        <w:tc>
          <w:tcPr>
            <w:tcW w:w="217" w:type="dxa"/>
          </w:tcPr>
          <w:p w14:paraId="43622C98" w14:textId="77777777" w:rsidR="002C0FD9" w:rsidRPr="00CA25CF" w:rsidRDefault="002C0FD9" w:rsidP="00CA25CF">
            <w:pPr>
              <w:rPr>
                <w:rFonts w:cs="Arial"/>
                <w:color w:val="FF0000"/>
                <w:sz w:val="21"/>
                <w:szCs w:val="21"/>
              </w:rPr>
            </w:pPr>
          </w:p>
        </w:tc>
        <w:tc>
          <w:tcPr>
            <w:tcW w:w="217" w:type="dxa"/>
          </w:tcPr>
          <w:p w14:paraId="2855A933" w14:textId="77777777" w:rsidR="002C0FD9" w:rsidRPr="00CA25CF" w:rsidRDefault="002C0FD9" w:rsidP="00CA25CF">
            <w:pPr>
              <w:rPr>
                <w:rFonts w:cs="Arial"/>
                <w:color w:val="FF0000"/>
                <w:sz w:val="21"/>
                <w:szCs w:val="21"/>
              </w:rPr>
            </w:pPr>
          </w:p>
        </w:tc>
        <w:tc>
          <w:tcPr>
            <w:tcW w:w="217" w:type="dxa"/>
          </w:tcPr>
          <w:p w14:paraId="7948C52B" w14:textId="77777777" w:rsidR="002C0FD9" w:rsidRPr="00CA25CF" w:rsidRDefault="002C0FD9" w:rsidP="00CA25CF">
            <w:pPr>
              <w:rPr>
                <w:rFonts w:cs="Arial"/>
                <w:color w:val="FF0000"/>
                <w:sz w:val="21"/>
                <w:szCs w:val="21"/>
              </w:rPr>
            </w:pPr>
          </w:p>
        </w:tc>
        <w:tc>
          <w:tcPr>
            <w:tcW w:w="217" w:type="dxa"/>
          </w:tcPr>
          <w:p w14:paraId="77C0F2EF" w14:textId="77777777" w:rsidR="002C0FD9" w:rsidRPr="00CA25CF" w:rsidRDefault="002C0FD9" w:rsidP="00CA25CF">
            <w:pPr>
              <w:rPr>
                <w:rFonts w:cs="Arial"/>
                <w:color w:val="FF0000"/>
                <w:sz w:val="21"/>
                <w:szCs w:val="21"/>
              </w:rPr>
            </w:pPr>
          </w:p>
        </w:tc>
        <w:tc>
          <w:tcPr>
            <w:tcW w:w="217" w:type="dxa"/>
          </w:tcPr>
          <w:p w14:paraId="4034C5D1" w14:textId="77777777" w:rsidR="002C0FD9" w:rsidRPr="00CA25CF" w:rsidRDefault="002C0FD9" w:rsidP="00CA25CF">
            <w:pPr>
              <w:rPr>
                <w:rFonts w:cs="Arial"/>
                <w:color w:val="FF0000"/>
                <w:sz w:val="21"/>
                <w:szCs w:val="21"/>
              </w:rPr>
            </w:pPr>
          </w:p>
        </w:tc>
        <w:tc>
          <w:tcPr>
            <w:tcW w:w="217" w:type="dxa"/>
          </w:tcPr>
          <w:p w14:paraId="4395BAAB" w14:textId="77777777" w:rsidR="002C0FD9" w:rsidRPr="00CA25CF" w:rsidRDefault="002C0FD9" w:rsidP="00CA25CF">
            <w:pPr>
              <w:rPr>
                <w:rFonts w:cs="Arial"/>
                <w:color w:val="FF0000"/>
                <w:sz w:val="21"/>
                <w:szCs w:val="21"/>
              </w:rPr>
            </w:pPr>
          </w:p>
        </w:tc>
        <w:tc>
          <w:tcPr>
            <w:tcW w:w="217" w:type="dxa"/>
          </w:tcPr>
          <w:p w14:paraId="6227007F" w14:textId="77777777" w:rsidR="002C0FD9" w:rsidRPr="00CA25CF" w:rsidRDefault="002C0FD9" w:rsidP="00CA25CF">
            <w:pPr>
              <w:rPr>
                <w:rFonts w:cs="Arial"/>
                <w:color w:val="FF0000"/>
                <w:sz w:val="21"/>
                <w:szCs w:val="21"/>
              </w:rPr>
            </w:pPr>
          </w:p>
        </w:tc>
        <w:tc>
          <w:tcPr>
            <w:tcW w:w="217" w:type="dxa"/>
          </w:tcPr>
          <w:p w14:paraId="2B5C3E62" w14:textId="4A1FDCB0" w:rsidR="002C0FD9" w:rsidRPr="00CA25CF" w:rsidRDefault="002C0FD9" w:rsidP="00CA25CF">
            <w:pPr>
              <w:rPr>
                <w:rFonts w:cs="Arial"/>
                <w:color w:val="FF0000"/>
                <w:sz w:val="21"/>
                <w:szCs w:val="21"/>
              </w:rPr>
            </w:pPr>
          </w:p>
        </w:tc>
        <w:tc>
          <w:tcPr>
            <w:tcW w:w="217" w:type="dxa"/>
          </w:tcPr>
          <w:p w14:paraId="0CD1F4EB" w14:textId="77777777" w:rsidR="002C0FD9" w:rsidRPr="00CA25CF" w:rsidRDefault="002C0FD9" w:rsidP="00CA25CF">
            <w:pPr>
              <w:rPr>
                <w:rFonts w:cs="Arial"/>
                <w:color w:val="FF0000"/>
                <w:sz w:val="21"/>
                <w:szCs w:val="21"/>
              </w:rPr>
            </w:pPr>
          </w:p>
        </w:tc>
        <w:tc>
          <w:tcPr>
            <w:tcW w:w="217" w:type="dxa"/>
          </w:tcPr>
          <w:p w14:paraId="6DADA180" w14:textId="77777777" w:rsidR="002C0FD9" w:rsidRPr="00CA25CF" w:rsidRDefault="002C0FD9" w:rsidP="00CA25CF">
            <w:pPr>
              <w:rPr>
                <w:rFonts w:cs="Arial"/>
                <w:color w:val="FF0000"/>
                <w:sz w:val="21"/>
                <w:szCs w:val="21"/>
              </w:rPr>
            </w:pPr>
          </w:p>
        </w:tc>
        <w:tc>
          <w:tcPr>
            <w:tcW w:w="217" w:type="dxa"/>
          </w:tcPr>
          <w:p w14:paraId="3919AC4D" w14:textId="77777777" w:rsidR="002C0FD9" w:rsidRPr="00CA25CF" w:rsidRDefault="002C0FD9" w:rsidP="00CA25CF">
            <w:pPr>
              <w:rPr>
                <w:rFonts w:cs="Arial"/>
                <w:color w:val="FF0000"/>
                <w:sz w:val="21"/>
                <w:szCs w:val="21"/>
              </w:rPr>
            </w:pPr>
          </w:p>
        </w:tc>
        <w:tc>
          <w:tcPr>
            <w:tcW w:w="217" w:type="dxa"/>
          </w:tcPr>
          <w:p w14:paraId="28F3E91B" w14:textId="77777777" w:rsidR="002C0FD9" w:rsidRPr="00CA25CF" w:rsidRDefault="002C0FD9" w:rsidP="00CA25CF">
            <w:pPr>
              <w:rPr>
                <w:rFonts w:cs="Arial"/>
                <w:color w:val="FF0000"/>
                <w:sz w:val="21"/>
                <w:szCs w:val="21"/>
              </w:rPr>
            </w:pPr>
          </w:p>
        </w:tc>
        <w:tc>
          <w:tcPr>
            <w:tcW w:w="217" w:type="dxa"/>
          </w:tcPr>
          <w:p w14:paraId="30427033" w14:textId="77777777" w:rsidR="002C0FD9" w:rsidRPr="00CA25CF" w:rsidRDefault="002C0FD9" w:rsidP="00CA25CF">
            <w:pPr>
              <w:rPr>
                <w:rFonts w:cs="Arial"/>
                <w:color w:val="FF0000"/>
                <w:sz w:val="21"/>
                <w:szCs w:val="21"/>
              </w:rPr>
            </w:pPr>
          </w:p>
        </w:tc>
        <w:tc>
          <w:tcPr>
            <w:tcW w:w="217" w:type="dxa"/>
          </w:tcPr>
          <w:p w14:paraId="7FD721A0" w14:textId="77777777" w:rsidR="002C0FD9" w:rsidRPr="00CA25CF" w:rsidRDefault="002C0FD9" w:rsidP="00CA25CF">
            <w:pPr>
              <w:rPr>
                <w:rFonts w:cs="Arial"/>
                <w:color w:val="FF0000"/>
                <w:sz w:val="21"/>
                <w:szCs w:val="21"/>
              </w:rPr>
            </w:pPr>
          </w:p>
        </w:tc>
        <w:tc>
          <w:tcPr>
            <w:tcW w:w="217" w:type="dxa"/>
          </w:tcPr>
          <w:p w14:paraId="1525AB97" w14:textId="77777777" w:rsidR="002C0FD9" w:rsidRPr="00CA25CF" w:rsidRDefault="002C0FD9" w:rsidP="00CA25CF">
            <w:pPr>
              <w:rPr>
                <w:rFonts w:cs="Arial"/>
                <w:color w:val="FF0000"/>
                <w:sz w:val="21"/>
                <w:szCs w:val="21"/>
              </w:rPr>
            </w:pPr>
          </w:p>
        </w:tc>
        <w:tc>
          <w:tcPr>
            <w:tcW w:w="217" w:type="dxa"/>
          </w:tcPr>
          <w:p w14:paraId="6134785A" w14:textId="77777777" w:rsidR="002C0FD9" w:rsidRPr="00CA25CF" w:rsidRDefault="002C0FD9" w:rsidP="00CA25CF">
            <w:pPr>
              <w:rPr>
                <w:rFonts w:cs="Arial"/>
                <w:color w:val="FF0000"/>
                <w:sz w:val="21"/>
                <w:szCs w:val="21"/>
              </w:rPr>
            </w:pPr>
          </w:p>
        </w:tc>
        <w:tc>
          <w:tcPr>
            <w:tcW w:w="217" w:type="dxa"/>
          </w:tcPr>
          <w:p w14:paraId="34F9ECE3" w14:textId="77777777" w:rsidR="002C0FD9" w:rsidRPr="00CA25CF" w:rsidRDefault="002C0FD9" w:rsidP="00CA25CF">
            <w:pPr>
              <w:rPr>
                <w:rFonts w:cs="Arial"/>
                <w:color w:val="FF0000"/>
                <w:sz w:val="21"/>
                <w:szCs w:val="21"/>
              </w:rPr>
            </w:pPr>
          </w:p>
        </w:tc>
        <w:tc>
          <w:tcPr>
            <w:tcW w:w="217" w:type="dxa"/>
          </w:tcPr>
          <w:p w14:paraId="73019249" w14:textId="77777777" w:rsidR="002C0FD9" w:rsidRPr="00CA25CF" w:rsidRDefault="002C0FD9" w:rsidP="00CA25CF">
            <w:pPr>
              <w:rPr>
                <w:rFonts w:cs="Arial"/>
                <w:color w:val="FF0000"/>
                <w:sz w:val="21"/>
                <w:szCs w:val="21"/>
              </w:rPr>
            </w:pPr>
          </w:p>
        </w:tc>
        <w:tc>
          <w:tcPr>
            <w:tcW w:w="217" w:type="dxa"/>
          </w:tcPr>
          <w:p w14:paraId="1E55E1D9" w14:textId="77777777" w:rsidR="002C0FD9" w:rsidRPr="00CA25CF" w:rsidRDefault="002C0FD9" w:rsidP="00CA25CF">
            <w:pPr>
              <w:rPr>
                <w:rFonts w:cs="Arial"/>
                <w:color w:val="FF0000"/>
                <w:sz w:val="21"/>
                <w:szCs w:val="21"/>
              </w:rPr>
            </w:pPr>
          </w:p>
        </w:tc>
        <w:tc>
          <w:tcPr>
            <w:tcW w:w="217" w:type="dxa"/>
          </w:tcPr>
          <w:p w14:paraId="5FC607E3" w14:textId="77777777" w:rsidR="002C0FD9" w:rsidRPr="00CA25CF" w:rsidRDefault="002C0FD9" w:rsidP="00CA25CF">
            <w:pPr>
              <w:rPr>
                <w:rFonts w:cs="Arial"/>
                <w:color w:val="FF0000"/>
                <w:sz w:val="21"/>
                <w:szCs w:val="21"/>
              </w:rPr>
            </w:pPr>
          </w:p>
        </w:tc>
        <w:tc>
          <w:tcPr>
            <w:tcW w:w="217" w:type="dxa"/>
          </w:tcPr>
          <w:p w14:paraId="4B29894C" w14:textId="77777777" w:rsidR="002C0FD9" w:rsidRPr="00CA25CF" w:rsidRDefault="002C0FD9" w:rsidP="00CA25CF">
            <w:pPr>
              <w:rPr>
                <w:rFonts w:cs="Arial"/>
                <w:color w:val="FF0000"/>
                <w:sz w:val="21"/>
                <w:szCs w:val="21"/>
              </w:rPr>
            </w:pPr>
          </w:p>
        </w:tc>
        <w:tc>
          <w:tcPr>
            <w:tcW w:w="217" w:type="dxa"/>
          </w:tcPr>
          <w:p w14:paraId="13850FCA" w14:textId="77777777" w:rsidR="002C0FD9" w:rsidRPr="00CA25CF" w:rsidRDefault="002C0FD9" w:rsidP="00CA25CF">
            <w:pPr>
              <w:rPr>
                <w:rFonts w:cs="Arial"/>
                <w:color w:val="FF0000"/>
                <w:sz w:val="21"/>
                <w:szCs w:val="21"/>
              </w:rPr>
            </w:pPr>
          </w:p>
        </w:tc>
        <w:tc>
          <w:tcPr>
            <w:tcW w:w="217" w:type="dxa"/>
          </w:tcPr>
          <w:p w14:paraId="72BB706D" w14:textId="77777777" w:rsidR="002C0FD9" w:rsidRPr="00CA25CF" w:rsidRDefault="002C0FD9" w:rsidP="00CA25CF">
            <w:pPr>
              <w:rPr>
                <w:rFonts w:cs="Arial"/>
                <w:color w:val="FF0000"/>
                <w:sz w:val="21"/>
                <w:szCs w:val="21"/>
              </w:rPr>
            </w:pPr>
          </w:p>
        </w:tc>
        <w:tc>
          <w:tcPr>
            <w:tcW w:w="217" w:type="dxa"/>
          </w:tcPr>
          <w:p w14:paraId="1BD500B5" w14:textId="77777777" w:rsidR="002C0FD9" w:rsidRPr="00CA25CF" w:rsidRDefault="002C0FD9" w:rsidP="00CA25CF">
            <w:pPr>
              <w:rPr>
                <w:rFonts w:cs="Arial"/>
                <w:color w:val="FF0000"/>
                <w:sz w:val="21"/>
                <w:szCs w:val="21"/>
              </w:rPr>
            </w:pPr>
          </w:p>
        </w:tc>
        <w:tc>
          <w:tcPr>
            <w:tcW w:w="217" w:type="dxa"/>
          </w:tcPr>
          <w:p w14:paraId="5588E403" w14:textId="77777777" w:rsidR="002C0FD9" w:rsidRPr="00CA25CF" w:rsidRDefault="002C0FD9" w:rsidP="00CA25CF">
            <w:pPr>
              <w:rPr>
                <w:rFonts w:cs="Arial"/>
                <w:color w:val="FF0000"/>
                <w:sz w:val="21"/>
                <w:szCs w:val="21"/>
              </w:rPr>
            </w:pPr>
          </w:p>
        </w:tc>
        <w:tc>
          <w:tcPr>
            <w:tcW w:w="217" w:type="dxa"/>
          </w:tcPr>
          <w:p w14:paraId="7FA03322" w14:textId="77777777" w:rsidR="002C0FD9" w:rsidRPr="00CA25CF" w:rsidRDefault="002C0FD9" w:rsidP="00CA25CF">
            <w:pPr>
              <w:rPr>
                <w:rFonts w:cs="Arial"/>
                <w:color w:val="FF0000"/>
                <w:sz w:val="21"/>
                <w:szCs w:val="21"/>
              </w:rPr>
            </w:pPr>
          </w:p>
        </w:tc>
        <w:tc>
          <w:tcPr>
            <w:tcW w:w="217" w:type="dxa"/>
          </w:tcPr>
          <w:p w14:paraId="3FD69CB5" w14:textId="77777777" w:rsidR="002C0FD9" w:rsidRPr="00CA25CF" w:rsidRDefault="002C0FD9" w:rsidP="00CA25CF">
            <w:pPr>
              <w:rPr>
                <w:rFonts w:cs="Arial"/>
                <w:color w:val="FF0000"/>
                <w:sz w:val="21"/>
                <w:szCs w:val="21"/>
              </w:rPr>
            </w:pPr>
          </w:p>
        </w:tc>
        <w:tc>
          <w:tcPr>
            <w:tcW w:w="217" w:type="dxa"/>
          </w:tcPr>
          <w:p w14:paraId="2746A140" w14:textId="77777777" w:rsidR="002C0FD9" w:rsidRPr="00CA25CF" w:rsidRDefault="002C0FD9" w:rsidP="00CA25CF">
            <w:pPr>
              <w:rPr>
                <w:rFonts w:cs="Arial"/>
                <w:color w:val="FF0000"/>
                <w:sz w:val="21"/>
                <w:szCs w:val="21"/>
              </w:rPr>
            </w:pPr>
          </w:p>
        </w:tc>
        <w:tc>
          <w:tcPr>
            <w:tcW w:w="217" w:type="dxa"/>
          </w:tcPr>
          <w:p w14:paraId="5BA4D164" w14:textId="77777777" w:rsidR="002C0FD9" w:rsidRPr="00CA25CF" w:rsidRDefault="002C0FD9" w:rsidP="00CA25CF">
            <w:pPr>
              <w:rPr>
                <w:rFonts w:cs="Arial"/>
                <w:color w:val="FF0000"/>
                <w:sz w:val="21"/>
                <w:szCs w:val="21"/>
              </w:rPr>
            </w:pPr>
          </w:p>
        </w:tc>
        <w:tc>
          <w:tcPr>
            <w:tcW w:w="217" w:type="dxa"/>
          </w:tcPr>
          <w:p w14:paraId="5D01CB8F" w14:textId="77777777" w:rsidR="002C0FD9" w:rsidRPr="00CA25CF" w:rsidRDefault="002C0FD9" w:rsidP="00CA25CF">
            <w:pPr>
              <w:rPr>
                <w:rFonts w:cs="Arial"/>
                <w:color w:val="FF0000"/>
                <w:sz w:val="21"/>
                <w:szCs w:val="21"/>
              </w:rPr>
            </w:pPr>
          </w:p>
        </w:tc>
        <w:tc>
          <w:tcPr>
            <w:tcW w:w="217" w:type="dxa"/>
          </w:tcPr>
          <w:p w14:paraId="28EB0BCF" w14:textId="77777777" w:rsidR="002C0FD9" w:rsidRPr="00CA25CF" w:rsidRDefault="002C0FD9" w:rsidP="00CA25CF">
            <w:pPr>
              <w:rPr>
                <w:rFonts w:cs="Arial"/>
                <w:color w:val="FF0000"/>
                <w:sz w:val="21"/>
                <w:szCs w:val="21"/>
              </w:rPr>
            </w:pPr>
          </w:p>
        </w:tc>
        <w:tc>
          <w:tcPr>
            <w:tcW w:w="217" w:type="dxa"/>
          </w:tcPr>
          <w:p w14:paraId="5C30DC63" w14:textId="77777777" w:rsidR="002C0FD9" w:rsidRPr="00CA25CF" w:rsidRDefault="002C0FD9" w:rsidP="00CA25CF">
            <w:pPr>
              <w:rPr>
                <w:rFonts w:cs="Arial"/>
                <w:color w:val="FF0000"/>
                <w:sz w:val="21"/>
                <w:szCs w:val="21"/>
              </w:rPr>
            </w:pPr>
          </w:p>
        </w:tc>
        <w:tc>
          <w:tcPr>
            <w:tcW w:w="217" w:type="dxa"/>
          </w:tcPr>
          <w:p w14:paraId="5983BA26" w14:textId="77777777" w:rsidR="002C0FD9" w:rsidRPr="00CA25CF" w:rsidRDefault="002C0FD9" w:rsidP="00CA25CF">
            <w:pPr>
              <w:rPr>
                <w:rFonts w:cs="Arial"/>
                <w:color w:val="FF0000"/>
                <w:sz w:val="21"/>
                <w:szCs w:val="21"/>
              </w:rPr>
            </w:pPr>
          </w:p>
        </w:tc>
        <w:tc>
          <w:tcPr>
            <w:tcW w:w="217" w:type="dxa"/>
          </w:tcPr>
          <w:p w14:paraId="2D892B22" w14:textId="77777777" w:rsidR="002C0FD9" w:rsidRPr="00CA25CF" w:rsidRDefault="002C0FD9" w:rsidP="00CA25CF">
            <w:pPr>
              <w:rPr>
                <w:rFonts w:cs="Arial"/>
                <w:color w:val="FF0000"/>
                <w:sz w:val="21"/>
                <w:szCs w:val="21"/>
              </w:rPr>
            </w:pPr>
          </w:p>
        </w:tc>
        <w:tc>
          <w:tcPr>
            <w:tcW w:w="217" w:type="dxa"/>
          </w:tcPr>
          <w:p w14:paraId="02487D57" w14:textId="77777777" w:rsidR="002C0FD9" w:rsidRPr="00CA25CF" w:rsidRDefault="002C0FD9" w:rsidP="00CA25CF">
            <w:pPr>
              <w:rPr>
                <w:rFonts w:cs="Arial"/>
                <w:color w:val="FF0000"/>
                <w:sz w:val="21"/>
                <w:szCs w:val="21"/>
              </w:rPr>
            </w:pPr>
          </w:p>
        </w:tc>
      </w:tr>
      <w:tr w:rsidR="002C0FD9" w:rsidRPr="00A16219" w14:paraId="67711052" w14:textId="206A6AD4" w:rsidTr="002C0FD9">
        <w:trPr>
          <w:trHeight w:val="635"/>
        </w:trPr>
        <w:tc>
          <w:tcPr>
            <w:tcW w:w="515" w:type="dxa"/>
          </w:tcPr>
          <w:p w14:paraId="69407EC0" w14:textId="77777777" w:rsidR="002C0FD9" w:rsidRPr="00CA25CF" w:rsidRDefault="002C0FD9" w:rsidP="00CA25CF">
            <w:pPr>
              <w:rPr>
                <w:rFonts w:cs="Arial"/>
                <w:color w:val="FF0000"/>
                <w:sz w:val="21"/>
                <w:szCs w:val="21"/>
              </w:rPr>
            </w:pPr>
          </w:p>
        </w:tc>
        <w:tc>
          <w:tcPr>
            <w:tcW w:w="217" w:type="dxa"/>
          </w:tcPr>
          <w:p w14:paraId="3C6BC69A" w14:textId="77777777" w:rsidR="002C0FD9" w:rsidRPr="00CA25CF" w:rsidRDefault="002C0FD9" w:rsidP="00CA25CF">
            <w:pPr>
              <w:rPr>
                <w:rFonts w:cs="Arial"/>
                <w:color w:val="FF0000"/>
                <w:sz w:val="21"/>
                <w:szCs w:val="21"/>
              </w:rPr>
            </w:pPr>
          </w:p>
        </w:tc>
        <w:tc>
          <w:tcPr>
            <w:tcW w:w="217" w:type="dxa"/>
          </w:tcPr>
          <w:p w14:paraId="6A4B7B17" w14:textId="39C457DF" w:rsidR="002C0FD9" w:rsidRPr="00CA25CF" w:rsidRDefault="002C0FD9" w:rsidP="00CA25CF">
            <w:pPr>
              <w:rPr>
                <w:rFonts w:cs="Arial"/>
                <w:color w:val="FF0000"/>
                <w:sz w:val="21"/>
                <w:szCs w:val="21"/>
              </w:rPr>
            </w:pPr>
          </w:p>
        </w:tc>
        <w:tc>
          <w:tcPr>
            <w:tcW w:w="217" w:type="dxa"/>
          </w:tcPr>
          <w:p w14:paraId="6CBE1E69" w14:textId="77777777" w:rsidR="002C0FD9" w:rsidRPr="00CA25CF" w:rsidRDefault="002C0FD9" w:rsidP="00CA25CF">
            <w:pPr>
              <w:rPr>
                <w:rFonts w:cs="Arial"/>
                <w:color w:val="FF0000"/>
                <w:sz w:val="21"/>
                <w:szCs w:val="21"/>
              </w:rPr>
            </w:pPr>
          </w:p>
        </w:tc>
        <w:tc>
          <w:tcPr>
            <w:tcW w:w="217" w:type="dxa"/>
          </w:tcPr>
          <w:p w14:paraId="54A1820D" w14:textId="77777777" w:rsidR="002C0FD9" w:rsidRPr="00CA25CF" w:rsidRDefault="002C0FD9" w:rsidP="00CA25CF">
            <w:pPr>
              <w:rPr>
                <w:rFonts w:cs="Arial"/>
                <w:color w:val="FF0000"/>
                <w:sz w:val="21"/>
                <w:szCs w:val="21"/>
              </w:rPr>
            </w:pPr>
          </w:p>
        </w:tc>
        <w:tc>
          <w:tcPr>
            <w:tcW w:w="217" w:type="dxa"/>
          </w:tcPr>
          <w:p w14:paraId="530719BE" w14:textId="77777777" w:rsidR="002C0FD9" w:rsidRPr="00CA25CF" w:rsidRDefault="002C0FD9" w:rsidP="00CA25CF">
            <w:pPr>
              <w:rPr>
                <w:rFonts w:cs="Arial"/>
                <w:color w:val="FF0000"/>
                <w:sz w:val="21"/>
                <w:szCs w:val="21"/>
              </w:rPr>
            </w:pPr>
          </w:p>
        </w:tc>
        <w:tc>
          <w:tcPr>
            <w:tcW w:w="217" w:type="dxa"/>
          </w:tcPr>
          <w:p w14:paraId="527372E0" w14:textId="77777777" w:rsidR="002C0FD9" w:rsidRPr="00CA25CF" w:rsidRDefault="002C0FD9" w:rsidP="00CA25CF">
            <w:pPr>
              <w:rPr>
                <w:rFonts w:cs="Arial"/>
                <w:color w:val="FF0000"/>
                <w:sz w:val="21"/>
                <w:szCs w:val="21"/>
              </w:rPr>
            </w:pPr>
          </w:p>
        </w:tc>
        <w:tc>
          <w:tcPr>
            <w:tcW w:w="217" w:type="dxa"/>
          </w:tcPr>
          <w:p w14:paraId="320AE7F3" w14:textId="77777777" w:rsidR="002C0FD9" w:rsidRPr="00CA25CF" w:rsidRDefault="002C0FD9" w:rsidP="00CA25CF">
            <w:pPr>
              <w:rPr>
                <w:rFonts w:cs="Arial"/>
                <w:color w:val="FF0000"/>
                <w:sz w:val="21"/>
                <w:szCs w:val="21"/>
              </w:rPr>
            </w:pPr>
          </w:p>
        </w:tc>
        <w:tc>
          <w:tcPr>
            <w:tcW w:w="217" w:type="dxa"/>
          </w:tcPr>
          <w:p w14:paraId="0BA45515" w14:textId="77777777" w:rsidR="002C0FD9" w:rsidRPr="00CA25CF" w:rsidRDefault="002C0FD9" w:rsidP="00CA25CF">
            <w:pPr>
              <w:rPr>
                <w:rFonts w:cs="Arial"/>
                <w:color w:val="FF0000"/>
                <w:sz w:val="21"/>
                <w:szCs w:val="21"/>
              </w:rPr>
            </w:pPr>
          </w:p>
        </w:tc>
        <w:tc>
          <w:tcPr>
            <w:tcW w:w="217" w:type="dxa"/>
          </w:tcPr>
          <w:p w14:paraId="3A60B310" w14:textId="77777777" w:rsidR="002C0FD9" w:rsidRPr="00CA25CF" w:rsidRDefault="002C0FD9" w:rsidP="00CA25CF">
            <w:pPr>
              <w:rPr>
                <w:rFonts w:cs="Arial"/>
                <w:color w:val="FF0000"/>
                <w:sz w:val="21"/>
                <w:szCs w:val="21"/>
              </w:rPr>
            </w:pPr>
          </w:p>
        </w:tc>
        <w:tc>
          <w:tcPr>
            <w:tcW w:w="217" w:type="dxa"/>
          </w:tcPr>
          <w:p w14:paraId="2AC23BA4" w14:textId="77777777" w:rsidR="002C0FD9" w:rsidRPr="00CA25CF" w:rsidRDefault="002C0FD9" w:rsidP="00CA25CF">
            <w:pPr>
              <w:rPr>
                <w:rFonts w:cs="Arial"/>
                <w:color w:val="FF0000"/>
                <w:sz w:val="21"/>
                <w:szCs w:val="21"/>
              </w:rPr>
            </w:pPr>
          </w:p>
        </w:tc>
        <w:tc>
          <w:tcPr>
            <w:tcW w:w="217" w:type="dxa"/>
          </w:tcPr>
          <w:p w14:paraId="7876B959" w14:textId="77777777" w:rsidR="002C0FD9" w:rsidRPr="00CA25CF" w:rsidRDefault="002C0FD9" w:rsidP="00CA25CF">
            <w:pPr>
              <w:rPr>
                <w:rFonts w:cs="Arial"/>
                <w:color w:val="FF0000"/>
                <w:sz w:val="21"/>
                <w:szCs w:val="21"/>
              </w:rPr>
            </w:pPr>
          </w:p>
        </w:tc>
        <w:tc>
          <w:tcPr>
            <w:tcW w:w="217" w:type="dxa"/>
          </w:tcPr>
          <w:p w14:paraId="7DB18310" w14:textId="77777777" w:rsidR="002C0FD9" w:rsidRPr="00CA25CF" w:rsidRDefault="002C0FD9" w:rsidP="00CA25CF">
            <w:pPr>
              <w:rPr>
                <w:rFonts w:cs="Arial"/>
                <w:color w:val="FF0000"/>
                <w:sz w:val="21"/>
                <w:szCs w:val="21"/>
              </w:rPr>
            </w:pPr>
          </w:p>
        </w:tc>
        <w:tc>
          <w:tcPr>
            <w:tcW w:w="217" w:type="dxa"/>
          </w:tcPr>
          <w:p w14:paraId="1DFE070F" w14:textId="77777777" w:rsidR="002C0FD9" w:rsidRPr="00CA25CF" w:rsidRDefault="002C0FD9" w:rsidP="00CA25CF">
            <w:pPr>
              <w:rPr>
                <w:rFonts w:cs="Arial"/>
                <w:color w:val="FF0000"/>
                <w:sz w:val="21"/>
                <w:szCs w:val="21"/>
              </w:rPr>
            </w:pPr>
          </w:p>
        </w:tc>
        <w:tc>
          <w:tcPr>
            <w:tcW w:w="217" w:type="dxa"/>
          </w:tcPr>
          <w:p w14:paraId="356182DF" w14:textId="77777777" w:rsidR="002C0FD9" w:rsidRPr="00CA25CF" w:rsidRDefault="002C0FD9" w:rsidP="00CA25CF">
            <w:pPr>
              <w:rPr>
                <w:rFonts w:cs="Arial"/>
                <w:color w:val="FF0000"/>
                <w:sz w:val="21"/>
                <w:szCs w:val="21"/>
              </w:rPr>
            </w:pPr>
          </w:p>
        </w:tc>
        <w:tc>
          <w:tcPr>
            <w:tcW w:w="217" w:type="dxa"/>
          </w:tcPr>
          <w:p w14:paraId="769CD694" w14:textId="2D6EB862" w:rsidR="002C0FD9" w:rsidRPr="00CA25CF" w:rsidRDefault="002C0FD9" w:rsidP="00CA25CF">
            <w:pPr>
              <w:rPr>
                <w:rFonts w:cs="Arial"/>
                <w:color w:val="FF0000"/>
                <w:sz w:val="21"/>
                <w:szCs w:val="21"/>
              </w:rPr>
            </w:pPr>
          </w:p>
        </w:tc>
        <w:tc>
          <w:tcPr>
            <w:tcW w:w="217" w:type="dxa"/>
          </w:tcPr>
          <w:p w14:paraId="79E0E5D2" w14:textId="77777777" w:rsidR="002C0FD9" w:rsidRPr="00CA25CF" w:rsidRDefault="002C0FD9" w:rsidP="00CA25CF">
            <w:pPr>
              <w:rPr>
                <w:rFonts w:cs="Arial"/>
                <w:color w:val="FF0000"/>
                <w:sz w:val="21"/>
                <w:szCs w:val="21"/>
              </w:rPr>
            </w:pPr>
          </w:p>
        </w:tc>
        <w:tc>
          <w:tcPr>
            <w:tcW w:w="217" w:type="dxa"/>
          </w:tcPr>
          <w:p w14:paraId="43DDA572" w14:textId="77777777" w:rsidR="002C0FD9" w:rsidRPr="00CA25CF" w:rsidRDefault="002C0FD9" w:rsidP="00CA25CF">
            <w:pPr>
              <w:rPr>
                <w:rFonts w:cs="Arial"/>
                <w:color w:val="FF0000"/>
                <w:sz w:val="21"/>
                <w:szCs w:val="21"/>
              </w:rPr>
            </w:pPr>
          </w:p>
        </w:tc>
        <w:tc>
          <w:tcPr>
            <w:tcW w:w="217" w:type="dxa"/>
          </w:tcPr>
          <w:p w14:paraId="2920DF81" w14:textId="77777777" w:rsidR="002C0FD9" w:rsidRPr="00CA25CF" w:rsidRDefault="002C0FD9" w:rsidP="00CA25CF">
            <w:pPr>
              <w:rPr>
                <w:rFonts w:cs="Arial"/>
                <w:color w:val="FF0000"/>
                <w:sz w:val="21"/>
                <w:szCs w:val="21"/>
              </w:rPr>
            </w:pPr>
          </w:p>
        </w:tc>
        <w:tc>
          <w:tcPr>
            <w:tcW w:w="217" w:type="dxa"/>
          </w:tcPr>
          <w:p w14:paraId="6D2B3093" w14:textId="77777777" w:rsidR="002C0FD9" w:rsidRPr="00CA25CF" w:rsidRDefault="002C0FD9" w:rsidP="00CA25CF">
            <w:pPr>
              <w:rPr>
                <w:rFonts w:cs="Arial"/>
                <w:color w:val="FF0000"/>
                <w:sz w:val="21"/>
                <w:szCs w:val="21"/>
              </w:rPr>
            </w:pPr>
          </w:p>
        </w:tc>
        <w:tc>
          <w:tcPr>
            <w:tcW w:w="217" w:type="dxa"/>
          </w:tcPr>
          <w:p w14:paraId="2CF37A01" w14:textId="77777777" w:rsidR="002C0FD9" w:rsidRPr="00CA25CF" w:rsidRDefault="002C0FD9" w:rsidP="00CA25CF">
            <w:pPr>
              <w:rPr>
                <w:rFonts w:cs="Arial"/>
                <w:color w:val="FF0000"/>
                <w:sz w:val="21"/>
                <w:szCs w:val="21"/>
              </w:rPr>
            </w:pPr>
          </w:p>
        </w:tc>
        <w:tc>
          <w:tcPr>
            <w:tcW w:w="217" w:type="dxa"/>
          </w:tcPr>
          <w:p w14:paraId="139C42EC" w14:textId="77777777" w:rsidR="002C0FD9" w:rsidRPr="00CA25CF" w:rsidRDefault="002C0FD9" w:rsidP="00CA25CF">
            <w:pPr>
              <w:rPr>
                <w:rFonts w:cs="Arial"/>
                <w:color w:val="FF0000"/>
                <w:sz w:val="21"/>
                <w:szCs w:val="21"/>
              </w:rPr>
            </w:pPr>
          </w:p>
        </w:tc>
        <w:tc>
          <w:tcPr>
            <w:tcW w:w="217" w:type="dxa"/>
          </w:tcPr>
          <w:p w14:paraId="2D911637" w14:textId="77777777" w:rsidR="002C0FD9" w:rsidRPr="00CA25CF" w:rsidRDefault="002C0FD9" w:rsidP="00CA25CF">
            <w:pPr>
              <w:rPr>
                <w:rFonts w:cs="Arial"/>
                <w:color w:val="FF0000"/>
                <w:sz w:val="21"/>
                <w:szCs w:val="21"/>
              </w:rPr>
            </w:pPr>
          </w:p>
        </w:tc>
        <w:tc>
          <w:tcPr>
            <w:tcW w:w="217" w:type="dxa"/>
          </w:tcPr>
          <w:p w14:paraId="320E1599" w14:textId="77777777" w:rsidR="002C0FD9" w:rsidRPr="00CA25CF" w:rsidRDefault="002C0FD9" w:rsidP="00CA25CF">
            <w:pPr>
              <w:rPr>
                <w:rFonts w:cs="Arial"/>
                <w:color w:val="FF0000"/>
                <w:sz w:val="21"/>
                <w:szCs w:val="21"/>
              </w:rPr>
            </w:pPr>
          </w:p>
        </w:tc>
        <w:tc>
          <w:tcPr>
            <w:tcW w:w="217" w:type="dxa"/>
          </w:tcPr>
          <w:p w14:paraId="615F4B59" w14:textId="77777777" w:rsidR="002C0FD9" w:rsidRPr="00CA25CF" w:rsidRDefault="002C0FD9" w:rsidP="00CA25CF">
            <w:pPr>
              <w:rPr>
                <w:rFonts w:cs="Arial"/>
                <w:color w:val="FF0000"/>
                <w:sz w:val="21"/>
                <w:szCs w:val="21"/>
              </w:rPr>
            </w:pPr>
          </w:p>
        </w:tc>
        <w:tc>
          <w:tcPr>
            <w:tcW w:w="217" w:type="dxa"/>
          </w:tcPr>
          <w:p w14:paraId="1FDA7B16" w14:textId="77777777" w:rsidR="002C0FD9" w:rsidRPr="00CA25CF" w:rsidRDefault="002C0FD9" w:rsidP="00CA25CF">
            <w:pPr>
              <w:rPr>
                <w:rFonts w:cs="Arial"/>
                <w:color w:val="FF0000"/>
                <w:sz w:val="21"/>
                <w:szCs w:val="21"/>
              </w:rPr>
            </w:pPr>
          </w:p>
        </w:tc>
        <w:tc>
          <w:tcPr>
            <w:tcW w:w="217" w:type="dxa"/>
          </w:tcPr>
          <w:p w14:paraId="1BB0C819" w14:textId="77777777" w:rsidR="002C0FD9" w:rsidRPr="00CA25CF" w:rsidRDefault="002C0FD9" w:rsidP="00CA25CF">
            <w:pPr>
              <w:rPr>
                <w:rFonts w:cs="Arial"/>
                <w:color w:val="FF0000"/>
                <w:sz w:val="21"/>
                <w:szCs w:val="21"/>
              </w:rPr>
            </w:pPr>
          </w:p>
        </w:tc>
        <w:tc>
          <w:tcPr>
            <w:tcW w:w="217" w:type="dxa"/>
          </w:tcPr>
          <w:p w14:paraId="67F91709" w14:textId="77777777" w:rsidR="002C0FD9" w:rsidRPr="00CA25CF" w:rsidRDefault="002C0FD9" w:rsidP="00CA25CF">
            <w:pPr>
              <w:rPr>
                <w:rFonts w:cs="Arial"/>
                <w:color w:val="FF0000"/>
                <w:sz w:val="21"/>
                <w:szCs w:val="21"/>
              </w:rPr>
            </w:pPr>
          </w:p>
        </w:tc>
        <w:tc>
          <w:tcPr>
            <w:tcW w:w="217" w:type="dxa"/>
          </w:tcPr>
          <w:p w14:paraId="59F597B3" w14:textId="77777777" w:rsidR="002C0FD9" w:rsidRPr="00CA25CF" w:rsidRDefault="002C0FD9" w:rsidP="00CA25CF">
            <w:pPr>
              <w:rPr>
                <w:rFonts w:cs="Arial"/>
                <w:color w:val="FF0000"/>
                <w:sz w:val="21"/>
                <w:szCs w:val="21"/>
              </w:rPr>
            </w:pPr>
          </w:p>
        </w:tc>
        <w:tc>
          <w:tcPr>
            <w:tcW w:w="217" w:type="dxa"/>
          </w:tcPr>
          <w:p w14:paraId="3DC9894A" w14:textId="77777777" w:rsidR="002C0FD9" w:rsidRPr="00CA25CF" w:rsidRDefault="002C0FD9" w:rsidP="00CA25CF">
            <w:pPr>
              <w:rPr>
                <w:rFonts w:cs="Arial"/>
                <w:color w:val="FF0000"/>
                <w:sz w:val="21"/>
                <w:szCs w:val="21"/>
              </w:rPr>
            </w:pPr>
          </w:p>
        </w:tc>
        <w:tc>
          <w:tcPr>
            <w:tcW w:w="217" w:type="dxa"/>
          </w:tcPr>
          <w:p w14:paraId="77A4BEDC" w14:textId="77777777" w:rsidR="002C0FD9" w:rsidRPr="00CA25CF" w:rsidRDefault="002C0FD9" w:rsidP="00CA25CF">
            <w:pPr>
              <w:rPr>
                <w:rFonts w:cs="Arial"/>
                <w:color w:val="FF0000"/>
                <w:sz w:val="21"/>
                <w:szCs w:val="21"/>
              </w:rPr>
            </w:pPr>
          </w:p>
        </w:tc>
        <w:tc>
          <w:tcPr>
            <w:tcW w:w="217" w:type="dxa"/>
          </w:tcPr>
          <w:p w14:paraId="063AFC1B" w14:textId="77777777" w:rsidR="002C0FD9" w:rsidRPr="00CA25CF" w:rsidRDefault="002C0FD9" w:rsidP="00CA25CF">
            <w:pPr>
              <w:rPr>
                <w:rFonts w:cs="Arial"/>
                <w:color w:val="FF0000"/>
                <w:sz w:val="21"/>
                <w:szCs w:val="21"/>
              </w:rPr>
            </w:pPr>
          </w:p>
        </w:tc>
        <w:tc>
          <w:tcPr>
            <w:tcW w:w="217" w:type="dxa"/>
          </w:tcPr>
          <w:p w14:paraId="1FE646CA" w14:textId="77777777" w:rsidR="002C0FD9" w:rsidRPr="00CA25CF" w:rsidRDefault="002C0FD9" w:rsidP="00CA25CF">
            <w:pPr>
              <w:rPr>
                <w:rFonts w:cs="Arial"/>
                <w:color w:val="FF0000"/>
                <w:sz w:val="21"/>
                <w:szCs w:val="21"/>
              </w:rPr>
            </w:pPr>
          </w:p>
        </w:tc>
        <w:tc>
          <w:tcPr>
            <w:tcW w:w="217" w:type="dxa"/>
          </w:tcPr>
          <w:p w14:paraId="603688F3" w14:textId="77777777" w:rsidR="002C0FD9" w:rsidRPr="00CA25CF" w:rsidRDefault="002C0FD9" w:rsidP="00CA25CF">
            <w:pPr>
              <w:rPr>
                <w:rFonts w:cs="Arial"/>
                <w:color w:val="FF0000"/>
                <w:sz w:val="21"/>
                <w:szCs w:val="21"/>
              </w:rPr>
            </w:pPr>
          </w:p>
        </w:tc>
        <w:tc>
          <w:tcPr>
            <w:tcW w:w="217" w:type="dxa"/>
          </w:tcPr>
          <w:p w14:paraId="2730BCC1" w14:textId="77777777" w:rsidR="002C0FD9" w:rsidRPr="00CA25CF" w:rsidRDefault="002C0FD9" w:rsidP="00CA25CF">
            <w:pPr>
              <w:rPr>
                <w:rFonts w:cs="Arial"/>
                <w:color w:val="FF0000"/>
                <w:sz w:val="21"/>
                <w:szCs w:val="21"/>
              </w:rPr>
            </w:pPr>
          </w:p>
        </w:tc>
        <w:tc>
          <w:tcPr>
            <w:tcW w:w="217" w:type="dxa"/>
          </w:tcPr>
          <w:p w14:paraId="13C5EFDD" w14:textId="77777777" w:rsidR="002C0FD9" w:rsidRPr="00CA25CF" w:rsidRDefault="002C0FD9" w:rsidP="00CA25CF">
            <w:pPr>
              <w:rPr>
                <w:rFonts w:cs="Arial"/>
                <w:color w:val="FF0000"/>
                <w:sz w:val="21"/>
                <w:szCs w:val="21"/>
              </w:rPr>
            </w:pPr>
          </w:p>
        </w:tc>
        <w:tc>
          <w:tcPr>
            <w:tcW w:w="217" w:type="dxa"/>
          </w:tcPr>
          <w:p w14:paraId="2B8FAA28" w14:textId="77777777" w:rsidR="002C0FD9" w:rsidRPr="00CA25CF" w:rsidRDefault="002C0FD9" w:rsidP="00CA25CF">
            <w:pPr>
              <w:rPr>
                <w:rFonts w:cs="Arial"/>
                <w:color w:val="FF0000"/>
                <w:sz w:val="21"/>
                <w:szCs w:val="21"/>
              </w:rPr>
            </w:pPr>
          </w:p>
        </w:tc>
        <w:tc>
          <w:tcPr>
            <w:tcW w:w="217" w:type="dxa"/>
          </w:tcPr>
          <w:p w14:paraId="417F9533" w14:textId="77777777" w:rsidR="002C0FD9" w:rsidRPr="00CA25CF" w:rsidRDefault="002C0FD9" w:rsidP="00CA25CF">
            <w:pPr>
              <w:rPr>
                <w:rFonts w:cs="Arial"/>
                <w:color w:val="FF0000"/>
                <w:sz w:val="21"/>
                <w:szCs w:val="21"/>
              </w:rPr>
            </w:pPr>
          </w:p>
        </w:tc>
        <w:tc>
          <w:tcPr>
            <w:tcW w:w="217" w:type="dxa"/>
          </w:tcPr>
          <w:p w14:paraId="568BA91B" w14:textId="77777777" w:rsidR="002C0FD9" w:rsidRPr="00CA25CF" w:rsidRDefault="002C0FD9" w:rsidP="00CA25CF">
            <w:pPr>
              <w:rPr>
                <w:rFonts w:cs="Arial"/>
                <w:color w:val="FF0000"/>
                <w:sz w:val="21"/>
                <w:szCs w:val="21"/>
              </w:rPr>
            </w:pPr>
          </w:p>
        </w:tc>
        <w:tc>
          <w:tcPr>
            <w:tcW w:w="217" w:type="dxa"/>
          </w:tcPr>
          <w:p w14:paraId="46E35A02" w14:textId="77777777" w:rsidR="002C0FD9" w:rsidRPr="00CA25CF" w:rsidRDefault="002C0FD9" w:rsidP="00CA25CF">
            <w:pPr>
              <w:rPr>
                <w:rFonts w:cs="Arial"/>
                <w:color w:val="FF0000"/>
                <w:sz w:val="21"/>
                <w:szCs w:val="21"/>
              </w:rPr>
            </w:pPr>
          </w:p>
        </w:tc>
        <w:tc>
          <w:tcPr>
            <w:tcW w:w="217" w:type="dxa"/>
          </w:tcPr>
          <w:p w14:paraId="1B00D978" w14:textId="77777777" w:rsidR="002C0FD9" w:rsidRPr="00CA25CF" w:rsidRDefault="002C0FD9" w:rsidP="00CA25CF">
            <w:pPr>
              <w:rPr>
                <w:rFonts w:cs="Arial"/>
                <w:color w:val="FF0000"/>
                <w:sz w:val="21"/>
                <w:szCs w:val="21"/>
              </w:rPr>
            </w:pPr>
          </w:p>
        </w:tc>
        <w:tc>
          <w:tcPr>
            <w:tcW w:w="217" w:type="dxa"/>
          </w:tcPr>
          <w:p w14:paraId="0AA382CD" w14:textId="77777777" w:rsidR="002C0FD9" w:rsidRPr="00CA25CF" w:rsidRDefault="002C0FD9" w:rsidP="00CA25CF">
            <w:pPr>
              <w:rPr>
                <w:rFonts w:cs="Arial"/>
                <w:color w:val="FF0000"/>
                <w:sz w:val="21"/>
                <w:szCs w:val="21"/>
              </w:rPr>
            </w:pPr>
          </w:p>
        </w:tc>
        <w:tc>
          <w:tcPr>
            <w:tcW w:w="217" w:type="dxa"/>
          </w:tcPr>
          <w:p w14:paraId="3DDD9A69" w14:textId="77777777" w:rsidR="002C0FD9" w:rsidRPr="00CA25CF" w:rsidRDefault="002C0FD9" w:rsidP="00CA25CF">
            <w:pPr>
              <w:rPr>
                <w:rFonts w:cs="Arial"/>
                <w:color w:val="FF0000"/>
                <w:sz w:val="21"/>
                <w:szCs w:val="21"/>
              </w:rPr>
            </w:pPr>
          </w:p>
        </w:tc>
      </w:tr>
      <w:tr w:rsidR="002C0FD9" w:rsidRPr="00A16219" w14:paraId="6243C762" w14:textId="64881231" w:rsidTr="002C0FD9">
        <w:trPr>
          <w:trHeight w:val="635"/>
        </w:trPr>
        <w:tc>
          <w:tcPr>
            <w:tcW w:w="515" w:type="dxa"/>
          </w:tcPr>
          <w:p w14:paraId="778BF8B8" w14:textId="77777777" w:rsidR="002C0FD9" w:rsidRPr="00CA25CF" w:rsidRDefault="002C0FD9" w:rsidP="00CA25CF">
            <w:pPr>
              <w:rPr>
                <w:rFonts w:cs="Arial"/>
                <w:color w:val="FF0000"/>
                <w:sz w:val="21"/>
                <w:szCs w:val="21"/>
              </w:rPr>
            </w:pPr>
          </w:p>
        </w:tc>
        <w:tc>
          <w:tcPr>
            <w:tcW w:w="217" w:type="dxa"/>
          </w:tcPr>
          <w:p w14:paraId="79FB4252" w14:textId="77777777" w:rsidR="002C0FD9" w:rsidRPr="00CA25CF" w:rsidRDefault="002C0FD9" w:rsidP="00CA25CF">
            <w:pPr>
              <w:rPr>
                <w:rFonts w:cs="Arial"/>
                <w:color w:val="FF0000"/>
                <w:sz w:val="21"/>
                <w:szCs w:val="21"/>
              </w:rPr>
            </w:pPr>
          </w:p>
        </w:tc>
        <w:tc>
          <w:tcPr>
            <w:tcW w:w="217" w:type="dxa"/>
          </w:tcPr>
          <w:p w14:paraId="4FD1B05E" w14:textId="2C635687" w:rsidR="002C0FD9" w:rsidRPr="00CA25CF" w:rsidRDefault="002C0FD9" w:rsidP="00CA25CF">
            <w:pPr>
              <w:rPr>
                <w:rFonts w:cs="Arial"/>
                <w:color w:val="FF0000"/>
                <w:sz w:val="21"/>
                <w:szCs w:val="21"/>
              </w:rPr>
            </w:pPr>
          </w:p>
        </w:tc>
        <w:tc>
          <w:tcPr>
            <w:tcW w:w="217" w:type="dxa"/>
          </w:tcPr>
          <w:p w14:paraId="3A67D3DA" w14:textId="77777777" w:rsidR="002C0FD9" w:rsidRPr="00CA25CF" w:rsidRDefault="002C0FD9" w:rsidP="00CA25CF">
            <w:pPr>
              <w:rPr>
                <w:rFonts w:cs="Arial"/>
                <w:color w:val="FF0000"/>
                <w:sz w:val="21"/>
                <w:szCs w:val="21"/>
              </w:rPr>
            </w:pPr>
          </w:p>
        </w:tc>
        <w:tc>
          <w:tcPr>
            <w:tcW w:w="217" w:type="dxa"/>
          </w:tcPr>
          <w:p w14:paraId="3C371389" w14:textId="77777777" w:rsidR="002C0FD9" w:rsidRPr="00CA25CF" w:rsidRDefault="002C0FD9" w:rsidP="00CA25CF">
            <w:pPr>
              <w:rPr>
                <w:rFonts w:cs="Arial"/>
                <w:color w:val="FF0000"/>
                <w:sz w:val="21"/>
                <w:szCs w:val="21"/>
              </w:rPr>
            </w:pPr>
          </w:p>
        </w:tc>
        <w:tc>
          <w:tcPr>
            <w:tcW w:w="217" w:type="dxa"/>
          </w:tcPr>
          <w:p w14:paraId="27F5313C" w14:textId="77777777" w:rsidR="002C0FD9" w:rsidRPr="00CA25CF" w:rsidRDefault="002C0FD9" w:rsidP="00CA25CF">
            <w:pPr>
              <w:rPr>
                <w:rFonts w:cs="Arial"/>
                <w:color w:val="FF0000"/>
                <w:sz w:val="21"/>
                <w:szCs w:val="21"/>
              </w:rPr>
            </w:pPr>
          </w:p>
        </w:tc>
        <w:tc>
          <w:tcPr>
            <w:tcW w:w="217" w:type="dxa"/>
          </w:tcPr>
          <w:p w14:paraId="046E82B3" w14:textId="77777777" w:rsidR="002C0FD9" w:rsidRPr="00CA25CF" w:rsidRDefault="002C0FD9" w:rsidP="00CA25CF">
            <w:pPr>
              <w:rPr>
                <w:rFonts w:cs="Arial"/>
                <w:color w:val="FF0000"/>
                <w:sz w:val="21"/>
                <w:szCs w:val="21"/>
              </w:rPr>
            </w:pPr>
          </w:p>
        </w:tc>
        <w:tc>
          <w:tcPr>
            <w:tcW w:w="217" w:type="dxa"/>
          </w:tcPr>
          <w:p w14:paraId="1E98AD79" w14:textId="77777777" w:rsidR="002C0FD9" w:rsidRPr="00CA25CF" w:rsidRDefault="002C0FD9" w:rsidP="00CA25CF">
            <w:pPr>
              <w:rPr>
                <w:rFonts w:cs="Arial"/>
                <w:color w:val="FF0000"/>
                <w:sz w:val="21"/>
                <w:szCs w:val="21"/>
              </w:rPr>
            </w:pPr>
          </w:p>
        </w:tc>
        <w:tc>
          <w:tcPr>
            <w:tcW w:w="217" w:type="dxa"/>
          </w:tcPr>
          <w:p w14:paraId="1030DE6A" w14:textId="77777777" w:rsidR="002C0FD9" w:rsidRPr="00CA25CF" w:rsidRDefault="002C0FD9" w:rsidP="00CA25CF">
            <w:pPr>
              <w:rPr>
                <w:rFonts w:cs="Arial"/>
                <w:color w:val="FF0000"/>
                <w:sz w:val="21"/>
                <w:szCs w:val="21"/>
              </w:rPr>
            </w:pPr>
          </w:p>
        </w:tc>
        <w:tc>
          <w:tcPr>
            <w:tcW w:w="217" w:type="dxa"/>
          </w:tcPr>
          <w:p w14:paraId="3DD13F22" w14:textId="77777777" w:rsidR="002C0FD9" w:rsidRPr="00CA25CF" w:rsidRDefault="002C0FD9" w:rsidP="00CA25CF">
            <w:pPr>
              <w:rPr>
                <w:rFonts w:cs="Arial"/>
                <w:color w:val="FF0000"/>
                <w:sz w:val="21"/>
                <w:szCs w:val="21"/>
              </w:rPr>
            </w:pPr>
          </w:p>
        </w:tc>
        <w:tc>
          <w:tcPr>
            <w:tcW w:w="217" w:type="dxa"/>
          </w:tcPr>
          <w:p w14:paraId="1F6FBECA" w14:textId="77777777" w:rsidR="002C0FD9" w:rsidRPr="00CA25CF" w:rsidRDefault="002C0FD9" w:rsidP="00CA25CF">
            <w:pPr>
              <w:rPr>
                <w:rFonts w:cs="Arial"/>
                <w:color w:val="FF0000"/>
                <w:sz w:val="21"/>
                <w:szCs w:val="21"/>
              </w:rPr>
            </w:pPr>
          </w:p>
        </w:tc>
        <w:tc>
          <w:tcPr>
            <w:tcW w:w="217" w:type="dxa"/>
          </w:tcPr>
          <w:p w14:paraId="1CF71125" w14:textId="77777777" w:rsidR="002C0FD9" w:rsidRPr="00CA25CF" w:rsidRDefault="002C0FD9" w:rsidP="00CA25CF">
            <w:pPr>
              <w:rPr>
                <w:rFonts w:cs="Arial"/>
                <w:color w:val="FF0000"/>
                <w:sz w:val="21"/>
                <w:szCs w:val="21"/>
              </w:rPr>
            </w:pPr>
          </w:p>
        </w:tc>
        <w:tc>
          <w:tcPr>
            <w:tcW w:w="217" w:type="dxa"/>
          </w:tcPr>
          <w:p w14:paraId="4D59700A" w14:textId="77777777" w:rsidR="002C0FD9" w:rsidRPr="00CA25CF" w:rsidRDefault="002C0FD9" w:rsidP="00CA25CF">
            <w:pPr>
              <w:rPr>
                <w:rFonts w:cs="Arial"/>
                <w:color w:val="FF0000"/>
                <w:sz w:val="21"/>
                <w:szCs w:val="21"/>
              </w:rPr>
            </w:pPr>
          </w:p>
        </w:tc>
        <w:tc>
          <w:tcPr>
            <w:tcW w:w="217" w:type="dxa"/>
          </w:tcPr>
          <w:p w14:paraId="7B2C00ED" w14:textId="77777777" w:rsidR="002C0FD9" w:rsidRPr="00CA25CF" w:rsidRDefault="002C0FD9" w:rsidP="00CA25CF">
            <w:pPr>
              <w:rPr>
                <w:rFonts w:cs="Arial"/>
                <w:color w:val="FF0000"/>
                <w:sz w:val="21"/>
                <w:szCs w:val="21"/>
              </w:rPr>
            </w:pPr>
          </w:p>
        </w:tc>
        <w:tc>
          <w:tcPr>
            <w:tcW w:w="217" w:type="dxa"/>
          </w:tcPr>
          <w:p w14:paraId="622C875F" w14:textId="77777777" w:rsidR="002C0FD9" w:rsidRPr="00CA25CF" w:rsidRDefault="002C0FD9" w:rsidP="00CA25CF">
            <w:pPr>
              <w:rPr>
                <w:rFonts w:cs="Arial"/>
                <w:color w:val="FF0000"/>
                <w:sz w:val="21"/>
                <w:szCs w:val="21"/>
              </w:rPr>
            </w:pPr>
          </w:p>
        </w:tc>
        <w:tc>
          <w:tcPr>
            <w:tcW w:w="217" w:type="dxa"/>
          </w:tcPr>
          <w:p w14:paraId="005D97C0" w14:textId="4B7986B0" w:rsidR="002C0FD9" w:rsidRPr="00CA25CF" w:rsidRDefault="002C0FD9" w:rsidP="00CA25CF">
            <w:pPr>
              <w:rPr>
                <w:rFonts w:cs="Arial"/>
                <w:color w:val="FF0000"/>
                <w:sz w:val="21"/>
                <w:szCs w:val="21"/>
              </w:rPr>
            </w:pPr>
          </w:p>
        </w:tc>
        <w:tc>
          <w:tcPr>
            <w:tcW w:w="217" w:type="dxa"/>
          </w:tcPr>
          <w:p w14:paraId="21935820" w14:textId="77777777" w:rsidR="002C0FD9" w:rsidRPr="00CA25CF" w:rsidRDefault="002C0FD9" w:rsidP="00CA25CF">
            <w:pPr>
              <w:rPr>
                <w:rFonts w:cs="Arial"/>
                <w:color w:val="FF0000"/>
                <w:sz w:val="21"/>
                <w:szCs w:val="21"/>
              </w:rPr>
            </w:pPr>
          </w:p>
        </w:tc>
        <w:tc>
          <w:tcPr>
            <w:tcW w:w="217" w:type="dxa"/>
          </w:tcPr>
          <w:p w14:paraId="2CA88005" w14:textId="77777777" w:rsidR="002C0FD9" w:rsidRPr="00CA25CF" w:rsidRDefault="002C0FD9" w:rsidP="00CA25CF">
            <w:pPr>
              <w:rPr>
                <w:rFonts w:cs="Arial"/>
                <w:color w:val="FF0000"/>
                <w:sz w:val="21"/>
                <w:szCs w:val="21"/>
              </w:rPr>
            </w:pPr>
          </w:p>
        </w:tc>
        <w:tc>
          <w:tcPr>
            <w:tcW w:w="217" w:type="dxa"/>
          </w:tcPr>
          <w:p w14:paraId="5744111D" w14:textId="77777777" w:rsidR="002C0FD9" w:rsidRPr="00CA25CF" w:rsidRDefault="002C0FD9" w:rsidP="00CA25CF">
            <w:pPr>
              <w:rPr>
                <w:rFonts w:cs="Arial"/>
                <w:color w:val="FF0000"/>
                <w:sz w:val="21"/>
                <w:szCs w:val="21"/>
              </w:rPr>
            </w:pPr>
          </w:p>
        </w:tc>
        <w:tc>
          <w:tcPr>
            <w:tcW w:w="217" w:type="dxa"/>
          </w:tcPr>
          <w:p w14:paraId="69516272" w14:textId="77777777" w:rsidR="002C0FD9" w:rsidRPr="00CA25CF" w:rsidRDefault="002C0FD9" w:rsidP="00CA25CF">
            <w:pPr>
              <w:rPr>
                <w:rFonts w:cs="Arial"/>
                <w:color w:val="FF0000"/>
                <w:sz w:val="21"/>
                <w:szCs w:val="21"/>
              </w:rPr>
            </w:pPr>
          </w:p>
        </w:tc>
        <w:tc>
          <w:tcPr>
            <w:tcW w:w="217" w:type="dxa"/>
          </w:tcPr>
          <w:p w14:paraId="723A923E" w14:textId="77777777" w:rsidR="002C0FD9" w:rsidRPr="00CA25CF" w:rsidRDefault="002C0FD9" w:rsidP="00CA25CF">
            <w:pPr>
              <w:rPr>
                <w:rFonts w:cs="Arial"/>
                <w:color w:val="FF0000"/>
                <w:sz w:val="21"/>
                <w:szCs w:val="21"/>
              </w:rPr>
            </w:pPr>
          </w:p>
        </w:tc>
        <w:tc>
          <w:tcPr>
            <w:tcW w:w="217" w:type="dxa"/>
          </w:tcPr>
          <w:p w14:paraId="4C0944C4" w14:textId="77777777" w:rsidR="002C0FD9" w:rsidRPr="00CA25CF" w:rsidRDefault="002C0FD9" w:rsidP="00CA25CF">
            <w:pPr>
              <w:rPr>
                <w:rFonts w:cs="Arial"/>
                <w:color w:val="FF0000"/>
                <w:sz w:val="21"/>
                <w:szCs w:val="21"/>
              </w:rPr>
            </w:pPr>
          </w:p>
        </w:tc>
        <w:tc>
          <w:tcPr>
            <w:tcW w:w="217" w:type="dxa"/>
          </w:tcPr>
          <w:p w14:paraId="532EE021" w14:textId="77777777" w:rsidR="002C0FD9" w:rsidRPr="00CA25CF" w:rsidRDefault="002C0FD9" w:rsidP="00CA25CF">
            <w:pPr>
              <w:rPr>
                <w:rFonts w:cs="Arial"/>
                <w:color w:val="FF0000"/>
                <w:sz w:val="21"/>
                <w:szCs w:val="21"/>
              </w:rPr>
            </w:pPr>
          </w:p>
        </w:tc>
        <w:tc>
          <w:tcPr>
            <w:tcW w:w="217" w:type="dxa"/>
          </w:tcPr>
          <w:p w14:paraId="48593545" w14:textId="77777777" w:rsidR="002C0FD9" w:rsidRPr="00CA25CF" w:rsidRDefault="002C0FD9" w:rsidP="00CA25CF">
            <w:pPr>
              <w:rPr>
                <w:rFonts w:cs="Arial"/>
                <w:color w:val="FF0000"/>
                <w:sz w:val="21"/>
                <w:szCs w:val="21"/>
              </w:rPr>
            </w:pPr>
          </w:p>
        </w:tc>
        <w:tc>
          <w:tcPr>
            <w:tcW w:w="217" w:type="dxa"/>
          </w:tcPr>
          <w:p w14:paraId="215D6565" w14:textId="77777777" w:rsidR="002C0FD9" w:rsidRPr="00CA25CF" w:rsidRDefault="002C0FD9" w:rsidP="00CA25CF">
            <w:pPr>
              <w:rPr>
                <w:rFonts w:cs="Arial"/>
                <w:color w:val="FF0000"/>
                <w:sz w:val="21"/>
                <w:szCs w:val="21"/>
              </w:rPr>
            </w:pPr>
          </w:p>
        </w:tc>
        <w:tc>
          <w:tcPr>
            <w:tcW w:w="217" w:type="dxa"/>
          </w:tcPr>
          <w:p w14:paraId="1707988E" w14:textId="77777777" w:rsidR="002C0FD9" w:rsidRPr="00CA25CF" w:rsidRDefault="002C0FD9" w:rsidP="00CA25CF">
            <w:pPr>
              <w:rPr>
                <w:rFonts w:cs="Arial"/>
                <w:color w:val="FF0000"/>
                <w:sz w:val="21"/>
                <w:szCs w:val="21"/>
              </w:rPr>
            </w:pPr>
          </w:p>
        </w:tc>
        <w:tc>
          <w:tcPr>
            <w:tcW w:w="217" w:type="dxa"/>
          </w:tcPr>
          <w:p w14:paraId="1974304B" w14:textId="77777777" w:rsidR="002C0FD9" w:rsidRPr="00CA25CF" w:rsidRDefault="002C0FD9" w:rsidP="00CA25CF">
            <w:pPr>
              <w:rPr>
                <w:rFonts w:cs="Arial"/>
                <w:color w:val="FF0000"/>
                <w:sz w:val="21"/>
                <w:szCs w:val="21"/>
              </w:rPr>
            </w:pPr>
          </w:p>
        </w:tc>
        <w:tc>
          <w:tcPr>
            <w:tcW w:w="217" w:type="dxa"/>
          </w:tcPr>
          <w:p w14:paraId="196D6346" w14:textId="77777777" w:rsidR="002C0FD9" w:rsidRPr="00CA25CF" w:rsidRDefault="002C0FD9" w:rsidP="00CA25CF">
            <w:pPr>
              <w:rPr>
                <w:rFonts w:cs="Arial"/>
                <w:color w:val="FF0000"/>
                <w:sz w:val="21"/>
                <w:szCs w:val="21"/>
              </w:rPr>
            </w:pPr>
          </w:p>
        </w:tc>
        <w:tc>
          <w:tcPr>
            <w:tcW w:w="217" w:type="dxa"/>
          </w:tcPr>
          <w:p w14:paraId="1486267C" w14:textId="77777777" w:rsidR="002C0FD9" w:rsidRPr="00CA25CF" w:rsidRDefault="002C0FD9" w:rsidP="00CA25CF">
            <w:pPr>
              <w:rPr>
                <w:rFonts w:cs="Arial"/>
                <w:color w:val="FF0000"/>
                <w:sz w:val="21"/>
                <w:szCs w:val="21"/>
              </w:rPr>
            </w:pPr>
          </w:p>
        </w:tc>
        <w:tc>
          <w:tcPr>
            <w:tcW w:w="217" w:type="dxa"/>
          </w:tcPr>
          <w:p w14:paraId="797F2368" w14:textId="77777777" w:rsidR="002C0FD9" w:rsidRPr="00CA25CF" w:rsidRDefault="002C0FD9" w:rsidP="00CA25CF">
            <w:pPr>
              <w:rPr>
                <w:rFonts w:cs="Arial"/>
                <w:color w:val="FF0000"/>
                <w:sz w:val="21"/>
                <w:szCs w:val="21"/>
              </w:rPr>
            </w:pPr>
          </w:p>
        </w:tc>
        <w:tc>
          <w:tcPr>
            <w:tcW w:w="217" w:type="dxa"/>
          </w:tcPr>
          <w:p w14:paraId="1D7E4E1C" w14:textId="77777777" w:rsidR="002C0FD9" w:rsidRPr="00CA25CF" w:rsidRDefault="002C0FD9" w:rsidP="00CA25CF">
            <w:pPr>
              <w:rPr>
                <w:rFonts w:cs="Arial"/>
                <w:color w:val="FF0000"/>
                <w:sz w:val="21"/>
                <w:szCs w:val="21"/>
              </w:rPr>
            </w:pPr>
          </w:p>
        </w:tc>
        <w:tc>
          <w:tcPr>
            <w:tcW w:w="217" w:type="dxa"/>
          </w:tcPr>
          <w:p w14:paraId="11874F48" w14:textId="77777777" w:rsidR="002C0FD9" w:rsidRPr="00CA25CF" w:rsidRDefault="002C0FD9" w:rsidP="00CA25CF">
            <w:pPr>
              <w:rPr>
                <w:rFonts w:cs="Arial"/>
                <w:color w:val="FF0000"/>
                <w:sz w:val="21"/>
                <w:szCs w:val="21"/>
              </w:rPr>
            </w:pPr>
          </w:p>
        </w:tc>
        <w:tc>
          <w:tcPr>
            <w:tcW w:w="217" w:type="dxa"/>
          </w:tcPr>
          <w:p w14:paraId="0EF93F19" w14:textId="77777777" w:rsidR="002C0FD9" w:rsidRPr="00CA25CF" w:rsidRDefault="002C0FD9" w:rsidP="00CA25CF">
            <w:pPr>
              <w:rPr>
                <w:rFonts w:cs="Arial"/>
                <w:color w:val="FF0000"/>
                <w:sz w:val="21"/>
                <w:szCs w:val="21"/>
              </w:rPr>
            </w:pPr>
          </w:p>
        </w:tc>
        <w:tc>
          <w:tcPr>
            <w:tcW w:w="217" w:type="dxa"/>
          </w:tcPr>
          <w:p w14:paraId="0AF64F91" w14:textId="77777777" w:rsidR="002C0FD9" w:rsidRPr="00CA25CF" w:rsidRDefault="002C0FD9" w:rsidP="00CA25CF">
            <w:pPr>
              <w:rPr>
                <w:rFonts w:cs="Arial"/>
                <w:color w:val="FF0000"/>
                <w:sz w:val="21"/>
                <w:szCs w:val="21"/>
              </w:rPr>
            </w:pPr>
          </w:p>
        </w:tc>
        <w:tc>
          <w:tcPr>
            <w:tcW w:w="217" w:type="dxa"/>
          </w:tcPr>
          <w:p w14:paraId="26572AF8" w14:textId="77777777" w:rsidR="002C0FD9" w:rsidRPr="00CA25CF" w:rsidRDefault="002C0FD9" w:rsidP="00CA25CF">
            <w:pPr>
              <w:rPr>
                <w:rFonts w:cs="Arial"/>
                <w:color w:val="FF0000"/>
                <w:sz w:val="21"/>
                <w:szCs w:val="21"/>
              </w:rPr>
            </w:pPr>
          </w:p>
        </w:tc>
        <w:tc>
          <w:tcPr>
            <w:tcW w:w="217" w:type="dxa"/>
          </w:tcPr>
          <w:p w14:paraId="791835E5" w14:textId="77777777" w:rsidR="002C0FD9" w:rsidRPr="00CA25CF" w:rsidRDefault="002C0FD9" w:rsidP="00CA25CF">
            <w:pPr>
              <w:rPr>
                <w:rFonts w:cs="Arial"/>
                <w:color w:val="FF0000"/>
                <w:sz w:val="21"/>
                <w:szCs w:val="21"/>
              </w:rPr>
            </w:pPr>
          </w:p>
        </w:tc>
        <w:tc>
          <w:tcPr>
            <w:tcW w:w="217" w:type="dxa"/>
          </w:tcPr>
          <w:p w14:paraId="30D88F2C" w14:textId="77777777" w:rsidR="002C0FD9" w:rsidRPr="00CA25CF" w:rsidRDefault="002C0FD9" w:rsidP="00CA25CF">
            <w:pPr>
              <w:rPr>
                <w:rFonts w:cs="Arial"/>
                <w:color w:val="FF0000"/>
                <w:sz w:val="21"/>
                <w:szCs w:val="21"/>
              </w:rPr>
            </w:pPr>
          </w:p>
        </w:tc>
        <w:tc>
          <w:tcPr>
            <w:tcW w:w="217" w:type="dxa"/>
          </w:tcPr>
          <w:p w14:paraId="7EF963EC" w14:textId="77777777" w:rsidR="002C0FD9" w:rsidRPr="00CA25CF" w:rsidRDefault="002C0FD9" w:rsidP="00CA25CF">
            <w:pPr>
              <w:rPr>
                <w:rFonts w:cs="Arial"/>
                <w:color w:val="FF0000"/>
                <w:sz w:val="21"/>
                <w:szCs w:val="21"/>
              </w:rPr>
            </w:pPr>
          </w:p>
        </w:tc>
        <w:tc>
          <w:tcPr>
            <w:tcW w:w="217" w:type="dxa"/>
          </w:tcPr>
          <w:p w14:paraId="407B45E0" w14:textId="77777777" w:rsidR="002C0FD9" w:rsidRPr="00CA25CF" w:rsidRDefault="002C0FD9" w:rsidP="00CA25CF">
            <w:pPr>
              <w:rPr>
                <w:rFonts w:cs="Arial"/>
                <w:color w:val="FF0000"/>
                <w:sz w:val="21"/>
                <w:szCs w:val="21"/>
              </w:rPr>
            </w:pPr>
          </w:p>
        </w:tc>
        <w:tc>
          <w:tcPr>
            <w:tcW w:w="217" w:type="dxa"/>
          </w:tcPr>
          <w:p w14:paraId="543486DA" w14:textId="77777777" w:rsidR="002C0FD9" w:rsidRPr="00CA25CF" w:rsidRDefault="002C0FD9" w:rsidP="00CA25CF">
            <w:pPr>
              <w:rPr>
                <w:rFonts w:cs="Arial"/>
                <w:color w:val="FF0000"/>
                <w:sz w:val="21"/>
                <w:szCs w:val="21"/>
              </w:rPr>
            </w:pPr>
          </w:p>
        </w:tc>
        <w:tc>
          <w:tcPr>
            <w:tcW w:w="217" w:type="dxa"/>
          </w:tcPr>
          <w:p w14:paraId="7E264949" w14:textId="77777777" w:rsidR="002C0FD9" w:rsidRPr="00CA25CF" w:rsidRDefault="002C0FD9" w:rsidP="00CA25CF">
            <w:pPr>
              <w:rPr>
                <w:rFonts w:cs="Arial"/>
                <w:color w:val="FF0000"/>
                <w:sz w:val="21"/>
                <w:szCs w:val="21"/>
              </w:rPr>
            </w:pPr>
          </w:p>
        </w:tc>
        <w:tc>
          <w:tcPr>
            <w:tcW w:w="217" w:type="dxa"/>
          </w:tcPr>
          <w:p w14:paraId="1DD66B89" w14:textId="77777777" w:rsidR="002C0FD9" w:rsidRPr="00CA25CF" w:rsidRDefault="002C0FD9" w:rsidP="00CA25CF">
            <w:pPr>
              <w:rPr>
                <w:rFonts w:cs="Arial"/>
                <w:color w:val="FF0000"/>
                <w:sz w:val="21"/>
                <w:szCs w:val="21"/>
              </w:rPr>
            </w:pPr>
          </w:p>
        </w:tc>
        <w:tc>
          <w:tcPr>
            <w:tcW w:w="217" w:type="dxa"/>
          </w:tcPr>
          <w:p w14:paraId="45E81D8B" w14:textId="77777777" w:rsidR="002C0FD9" w:rsidRPr="00CA25CF" w:rsidRDefault="002C0FD9" w:rsidP="00CA25CF">
            <w:pPr>
              <w:rPr>
                <w:rFonts w:cs="Arial"/>
                <w:color w:val="FF0000"/>
                <w:sz w:val="21"/>
                <w:szCs w:val="21"/>
              </w:rPr>
            </w:pPr>
          </w:p>
        </w:tc>
      </w:tr>
      <w:tr w:rsidR="002C0FD9" w:rsidRPr="00A16219" w14:paraId="1C370AFD" w14:textId="2F41BFD4" w:rsidTr="002C0FD9">
        <w:trPr>
          <w:trHeight w:val="635"/>
        </w:trPr>
        <w:tc>
          <w:tcPr>
            <w:tcW w:w="515" w:type="dxa"/>
          </w:tcPr>
          <w:p w14:paraId="5D44DEEE" w14:textId="77777777" w:rsidR="002C0FD9" w:rsidRPr="00CA25CF" w:rsidRDefault="002C0FD9" w:rsidP="00CA25CF">
            <w:pPr>
              <w:rPr>
                <w:rFonts w:cs="Arial"/>
                <w:color w:val="FF0000"/>
                <w:sz w:val="21"/>
                <w:szCs w:val="21"/>
              </w:rPr>
            </w:pPr>
          </w:p>
        </w:tc>
        <w:tc>
          <w:tcPr>
            <w:tcW w:w="217" w:type="dxa"/>
          </w:tcPr>
          <w:p w14:paraId="0788648D" w14:textId="77777777" w:rsidR="002C0FD9" w:rsidRPr="00CA25CF" w:rsidRDefault="002C0FD9" w:rsidP="00CA25CF">
            <w:pPr>
              <w:rPr>
                <w:rFonts w:cs="Arial"/>
                <w:color w:val="FF0000"/>
                <w:sz w:val="21"/>
                <w:szCs w:val="21"/>
              </w:rPr>
            </w:pPr>
          </w:p>
        </w:tc>
        <w:tc>
          <w:tcPr>
            <w:tcW w:w="217" w:type="dxa"/>
          </w:tcPr>
          <w:p w14:paraId="3629329E" w14:textId="203E0D13" w:rsidR="002C0FD9" w:rsidRPr="00CA25CF" w:rsidRDefault="002C0FD9" w:rsidP="00CA25CF">
            <w:pPr>
              <w:rPr>
                <w:rFonts w:cs="Arial"/>
                <w:color w:val="FF0000"/>
                <w:sz w:val="21"/>
                <w:szCs w:val="21"/>
              </w:rPr>
            </w:pPr>
          </w:p>
        </w:tc>
        <w:tc>
          <w:tcPr>
            <w:tcW w:w="217" w:type="dxa"/>
          </w:tcPr>
          <w:p w14:paraId="6587AF4A" w14:textId="77777777" w:rsidR="002C0FD9" w:rsidRPr="00CA25CF" w:rsidRDefault="002C0FD9" w:rsidP="00CA25CF">
            <w:pPr>
              <w:rPr>
                <w:rFonts w:cs="Arial"/>
                <w:color w:val="FF0000"/>
                <w:sz w:val="21"/>
                <w:szCs w:val="21"/>
              </w:rPr>
            </w:pPr>
          </w:p>
        </w:tc>
        <w:tc>
          <w:tcPr>
            <w:tcW w:w="217" w:type="dxa"/>
          </w:tcPr>
          <w:p w14:paraId="215C8632" w14:textId="77777777" w:rsidR="002C0FD9" w:rsidRPr="00CA25CF" w:rsidRDefault="002C0FD9" w:rsidP="00CA25CF">
            <w:pPr>
              <w:rPr>
                <w:rFonts w:cs="Arial"/>
                <w:color w:val="FF0000"/>
                <w:sz w:val="21"/>
                <w:szCs w:val="21"/>
              </w:rPr>
            </w:pPr>
          </w:p>
        </w:tc>
        <w:tc>
          <w:tcPr>
            <w:tcW w:w="217" w:type="dxa"/>
          </w:tcPr>
          <w:p w14:paraId="7594FD9C" w14:textId="77777777" w:rsidR="002C0FD9" w:rsidRPr="00CA25CF" w:rsidRDefault="002C0FD9" w:rsidP="00CA25CF">
            <w:pPr>
              <w:rPr>
                <w:rFonts w:cs="Arial"/>
                <w:color w:val="FF0000"/>
                <w:sz w:val="21"/>
                <w:szCs w:val="21"/>
              </w:rPr>
            </w:pPr>
          </w:p>
        </w:tc>
        <w:tc>
          <w:tcPr>
            <w:tcW w:w="217" w:type="dxa"/>
          </w:tcPr>
          <w:p w14:paraId="6FD23484" w14:textId="77777777" w:rsidR="002C0FD9" w:rsidRPr="00CA25CF" w:rsidRDefault="002C0FD9" w:rsidP="00CA25CF">
            <w:pPr>
              <w:rPr>
                <w:rFonts w:cs="Arial"/>
                <w:color w:val="FF0000"/>
                <w:sz w:val="21"/>
                <w:szCs w:val="21"/>
              </w:rPr>
            </w:pPr>
          </w:p>
        </w:tc>
        <w:tc>
          <w:tcPr>
            <w:tcW w:w="217" w:type="dxa"/>
          </w:tcPr>
          <w:p w14:paraId="6E35ACE7" w14:textId="77777777" w:rsidR="002C0FD9" w:rsidRPr="00CA25CF" w:rsidRDefault="002C0FD9" w:rsidP="00CA25CF">
            <w:pPr>
              <w:rPr>
                <w:rFonts w:cs="Arial"/>
                <w:color w:val="FF0000"/>
                <w:sz w:val="21"/>
                <w:szCs w:val="21"/>
              </w:rPr>
            </w:pPr>
          </w:p>
        </w:tc>
        <w:tc>
          <w:tcPr>
            <w:tcW w:w="217" w:type="dxa"/>
          </w:tcPr>
          <w:p w14:paraId="27C9CAB1" w14:textId="77777777" w:rsidR="002C0FD9" w:rsidRPr="00CA25CF" w:rsidRDefault="002C0FD9" w:rsidP="00CA25CF">
            <w:pPr>
              <w:rPr>
                <w:rFonts w:cs="Arial"/>
                <w:color w:val="FF0000"/>
                <w:sz w:val="21"/>
                <w:szCs w:val="21"/>
              </w:rPr>
            </w:pPr>
          </w:p>
        </w:tc>
        <w:tc>
          <w:tcPr>
            <w:tcW w:w="217" w:type="dxa"/>
          </w:tcPr>
          <w:p w14:paraId="0371B375" w14:textId="77777777" w:rsidR="002C0FD9" w:rsidRPr="00CA25CF" w:rsidRDefault="002C0FD9" w:rsidP="00CA25CF">
            <w:pPr>
              <w:rPr>
                <w:rFonts w:cs="Arial"/>
                <w:color w:val="FF0000"/>
                <w:sz w:val="21"/>
                <w:szCs w:val="21"/>
              </w:rPr>
            </w:pPr>
          </w:p>
        </w:tc>
        <w:tc>
          <w:tcPr>
            <w:tcW w:w="217" w:type="dxa"/>
          </w:tcPr>
          <w:p w14:paraId="3BFE4A19" w14:textId="77777777" w:rsidR="002C0FD9" w:rsidRPr="00CA25CF" w:rsidRDefault="002C0FD9" w:rsidP="00CA25CF">
            <w:pPr>
              <w:rPr>
                <w:rFonts w:cs="Arial"/>
                <w:color w:val="FF0000"/>
                <w:sz w:val="21"/>
                <w:szCs w:val="21"/>
              </w:rPr>
            </w:pPr>
          </w:p>
        </w:tc>
        <w:tc>
          <w:tcPr>
            <w:tcW w:w="217" w:type="dxa"/>
          </w:tcPr>
          <w:p w14:paraId="256D7C92" w14:textId="77777777" w:rsidR="002C0FD9" w:rsidRPr="00CA25CF" w:rsidRDefault="002C0FD9" w:rsidP="00CA25CF">
            <w:pPr>
              <w:rPr>
                <w:rFonts w:cs="Arial"/>
                <w:color w:val="FF0000"/>
                <w:sz w:val="21"/>
                <w:szCs w:val="21"/>
              </w:rPr>
            </w:pPr>
          </w:p>
        </w:tc>
        <w:tc>
          <w:tcPr>
            <w:tcW w:w="217" w:type="dxa"/>
          </w:tcPr>
          <w:p w14:paraId="7450BE8F" w14:textId="77777777" w:rsidR="002C0FD9" w:rsidRPr="00CA25CF" w:rsidRDefault="002C0FD9" w:rsidP="00CA25CF">
            <w:pPr>
              <w:rPr>
                <w:rFonts w:cs="Arial"/>
                <w:color w:val="FF0000"/>
                <w:sz w:val="21"/>
                <w:szCs w:val="21"/>
              </w:rPr>
            </w:pPr>
          </w:p>
        </w:tc>
        <w:tc>
          <w:tcPr>
            <w:tcW w:w="217" w:type="dxa"/>
          </w:tcPr>
          <w:p w14:paraId="58AB65C4" w14:textId="77777777" w:rsidR="002C0FD9" w:rsidRPr="00CA25CF" w:rsidRDefault="002C0FD9" w:rsidP="00CA25CF">
            <w:pPr>
              <w:rPr>
                <w:rFonts w:cs="Arial"/>
                <w:color w:val="FF0000"/>
                <w:sz w:val="21"/>
                <w:szCs w:val="21"/>
              </w:rPr>
            </w:pPr>
          </w:p>
        </w:tc>
        <w:tc>
          <w:tcPr>
            <w:tcW w:w="217" w:type="dxa"/>
          </w:tcPr>
          <w:p w14:paraId="426BE6BF" w14:textId="77777777" w:rsidR="002C0FD9" w:rsidRPr="00CA25CF" w:rsidRDefault="002C0FD9" w:rsidP="00CA25CF">
            <w:pPr>
              <w:rPr>
                <w:rFonts w:cs="Arial"/>
                <w:color w:val="FF0000"/>
                <w:sz w:val="21"/>
                <w:szCs w:val="21"/>
              </w:rPr>
            </w:pPr>
          </w:p>
        </w:tc>
        <w:tc>
          <w:tcPr>
            <w:tcW w:w="217" w:type="dxa"/>
          </w:tcPr>
          <w:p w14:paraId="55761EF4" w14:textId="3717D16B" w:rsidR="002C0FD9" w:rsidRPr="00CA25CF" w:rsidRDefault="002C0FD9" w:rsidP="00CA25CF">
            <w:pPr>
              <w:rPr>
                <w:rFonts w:cs="Arial"/>
                <w:color w:val="FF0000"/>
                <w:sz w:val="21"/>
                <w:szCs w:val="21"/>
              </w:rPr>
            </w:pPr>
          </w:p>
        </w:tc>
        <w:tc>
          <w:tcPr>
            <w:tcW w:w="217" w:type="dxa"/>
          </w:tcPr>
          <w:p w14:paraId="2F8E5221" w14:textId="77777777" w:rsidR="002C0FD9" w:rsidRPr="00CA25CF" w:rsidRDefault="002C0FD9" w:rsidP="00CA25CF">
            <w:pPr>
              <w:rPr>
                <w:rFonts w:cs="Arial"/>
                <w:color w:val="FF0000"/>
                <w:sz w:val="21"/>
                <w:szCs w:val="21"/>
              </w:rPr>
            </w:pPr>
          </w:p>
        </w:tc>
        <w:tc>
          <w:tcPr>
            <w:tcW w:w="217" w:type="dxa"/>
          </w:tcPr>
          <w:p w14:paraId="01F18D84" w14:textId="77777777" w:rsidR="002C0FD9" w:rsidRPr="00CA25CF" w:rsidRDefault="002C0FD9" w:rsidP="00CA25CF">
            <w:pPr>
              <w:rPr>
                <w:rFonts w:cs="Arial"/>
                <w:color w:val="FF0000"/>
                <w:sz w:val="21"/>
                <w:szCs w:val="21"/>
              </w:rPr>
            </w:pPr>
          </w:p>
        </w:tc>
        <w:tc>
          <w:tcPr>
            <w:tcW w:w="217" w:type="dxa"/>
          </w:tcPr>
          <w:p w14:paraId="2ACEA60B" w14:textId="77777777" w:rsidR="002C0FD9" w:rsidRPr="00CA25CF" w:rsidRDefault="002C0FD9" w:rsidP="00CA25CF">
            <w:pPr>
              <w:rPr>
                <w:rFonts w:cs="Arial"/>
                <w:color w:val="FF0000"/>
                <w:sz w:val="21"/>
                <w:szCs w:val="21"/>
              </w:rPr>
            </w:pPr>
          </w:p>
        </w:tc>
        <w:tc>
          <w:tcPr>
            <w:tcW w:w="217" w:type="dxa"/>
          </w:tcPr>
          <w:p w14:paraId="54C4CA77" w14:textId="77777777" w:rsidR="002C0FD9" w:rsidRPr="00CA25CF" w:rsidRDefault="002C0FD9" w:rsidP="00CA25CF">
            <w:pPr>
              <w:rPr>
                <w:rFonts w:cs="Arial"/>
                <w:color w:val="FF0000"/>
                <w:sz w:val="21"/>
                <w:szCs w:val="21"/>
              </w:rPr>
            </w:pPr>
          </w:p>
        </w:tc>
        <w:tc>
          <w:tcPr>
            <w:tcW w:w="217" w:type="dxa"/>
          </w:tcPr>
          <w:p w14:paraId="1C98193D" w14:textId="77777777" w:rsidR="002C0FD9" w:rsidRPr="00CA25CF" w:rsidRDefault="002C0FD9" w:rsidP="00CA25CF">
            <w:pPr>
              <w:rPr>
                <w:rFonts w:cs="Arial"/>
                <w:color w:val="FF0000"/>
                <w:sz w:val="21"/>
                <w:szCs w:val="21"/>
              </w:rPr>
            </w:pPr>
          </w:p>
        </w:tc>
        <w:tc>
          <w:tcPr>
            <w:tcW w:w="217" w:type="dxa"/>
          </w:tcPr>
          <w:p w14:paraId="120D031E" w14:textId="77777777" w:rsidR="002C0FD9" w:rsidRPr="00CA25CF" w:rsidRDefault="002C0FD9" w:rsidP="00CA25CF">
            <w:pPr>
              <w:rPr>
                <w:rFonts w:cs="Arial"/>
                <w:color w:val="FF0000"/>
                <w:sz w:val="21"/>
                <w:szCs w:val="21"/>
              </w:rPr>
            </w:pPr>
          </w:p>
        </w:tc>
        <w:tc>
          <w:tcPr>
            <w:tcW w:w="217" w:type="dxa"/>
          </w:tcPr>
          <w:p w14:paraId="0868F93E" w14:textId="77777777" w:rsidR="002C0FD9" w:rsidRPr="00CA25CF" w:rsidRDefault="002C0FD9" w:rsidP="00CA25CF">
            <w:pPr>
              <w:rPr>
                <w:rFonts w:cs="Arial"/>
                <w:color w:val="FF0000"/>
                <w:sz w:val="21"/>
                <w:szCs w:val="21"/>
              </w:rPr>
            </w:pPr>
          </w:p>
        </w:tc>
        <w:tc>
          <w:tcPr>
            <w:tcW w:w="217" w:type="dxa"/>
          </w:tcPr>
          <w:p w14:paraId="3E2E6F1A" w14:textId="77777777" w:rsidR="002C0FD9" w:rsidRPr="00CA25CF" w:rsidRDefault="002C0FD9" w:rsidP="00CA25CF">
            <w:pPr>
              <w:rPr>
                <w:rFonts w:cs="Arial"/>
                <w:color w:val="FF0000"/>
                <w:sz w:val="21"/>
                <w:szCs w:val="21"/>
              </w:rPr>
            </w:pPr>
          </w:p>
        </w:tc>
        <w:tc>
          <w:tcPr>
            <w:tcW w:w="217" w:type="dxa"/>
          </w:tcPr>
          <w:p w14:paraId="16691F66" w14:textId="77777777" w:rsidR="002C0FD9" w:rsidRPr="00CA25CF" w:rsidRDefault="002C0FD9" w:rsidP="00CA25CF">
            <w:pPr>
              <w:rPr>
                <w:rFonts w:cs="Arial"/>
                <w:color w:val="FF0000"/>
                <w:sz w:val="21"/>
                <w:szCs w:val="21"/>
              </w:rPr>
            </w:pPr>
          </w:p>
        </w:tc>
        <w:tc>
          <w:tcPr>
            <w:tcW w:w="217" w:type="dxa"/>
          </w:tcPr>
          <w:p w14:paraId="59E6558F" w14:textId="77777777" w:rsidR="002C0FD9" w:rsidRPr="00CA25CF" w:rsidRDefault="002C0FD9" w:rsidP="00CA25CF">
            <w:pPr>
              <w:rPr>
                <w:rFonts w:cs="Arial"/>
                <w:color w:val="FF0000"/>
                <w:sz w:val="21"/>
                <w:szCs w:val="21"/>
              </w:rPr>
            </w:pPr>
          </w:p>
        </w:tc>
        <w:tc>
          <w:tcPr>
            <w:tcW w:w="217" w:type="dxa"/>
          </w:tcPr>
          <w:p w14:paraId="746D300E" w14:textId="77777777" w:rsidR="002C0FD9" w:rsidRPr="00CA25CF" w:rsidRDefault="002C0FD9" w:rsidP="00CA25CF">
            <w:pPr>
              <w:rPr>
                <w:rFonts w:cs="Arial"/>
                <w:color w:val="FF0000"/>
                <w:sz w:val="21"/>
                <w:szCs w:val="21"/>
              </w:rPr>
            </w:pPr>
          </w:p>
        </w:tc>
        <w:tc>
          <w:tcPr>
            <w:tcW w:w="217" w:type="dxa"/>
          </w:tcPr>
          <w:p w14:paraId="1BD97283" w14:textId="77777777" w:rsidR="002C0FD9" w:rsidRPr="00CA25CF" w:rsidRDefault="002C0FD9" w:rsidP="00CA25CF">
            <w:pPr>
              <w:rPr>
                <w:rFonts w:cs="Arial"/>
                <w:color w:val="FF0000"/>
                <w:sz w:val="21"/>
                <w:szCs w:val="21"/>
              </w:rPr>
            </w:pPr>
          </w:p>
        </w:tc>
        <w:tc>
          <w:tcPr>
            <w:tcW w:w="217" w:type="dxa"/>
          </w:tcPr>
          <w:p w14:paraId="000AD4F3" w14:textId="77777777" w:rsidR="002C0FD9" w:rsidRPr="00CA25CF" w:rsidRDefault="002C0FD9" w:rsidP="00CA25CF">
            <w:pPr>
              <w:rPr>
                <w:rFonts w:cs="Arial"/>
                <w:color w:val="FF0000"/>
                <w:sz w:val="21"/>
                <w:szCs w:val="21"/>
              </w:rPr>
            </w:pPr>
          </w:p>
        </w:tc>
        <w:tc>
          <w:tcPr>
            <w:tcW w:w="217" w:type="dxa"/>
          </w:tcPr>
          <w:p w14:paraId="3A981B16" w14:textId="77777777" w:rsidR="002C0FD9" w:rsidRPr="00CA25CF" w:rsidRDefault="002C0FD9" w:rsidP="00CA25CF">
            <w:pPr>
              <w:rPr>
                <w:rFonts w:cs="Arial"/>
                <w:color w:val="FF0000"/>
                <w:sz w:val="21"/>
                <w:szCs w:val="21"/>
              </w:rPr>
            </w:pPr>
          </w:p>
        </w:tc>
        <w:tc>
          <w:tcPr>
            <w:tcW w:w="217" w:type="dxa"/>
          </w:tcPr>
          <w:p w14:paraId="7853E64B" w14:textId="77777777" w:rsidR="002C0FD9" w:rsidRPr="00CA25CF" w:rsidRDefault="002C0FD9" w:rsidP="00CA25CF">
            <w:pPr>
              <w:rPr>
                <w:rFonts w:cs="Arial"/>
                <w:color w:val="FF0000"/>
                <w:sz w:val="21"/>
                <w:szCs w:val="21"/>
              </w:rPr>
            </w:pPr>
          </w:p>
        </w:tc>
        <w:tc>
          <w:tcPr>
            <w:tcW w:w="217" w:type="dxa"/>
          </w:tcPr>
          <w:p w14:paraId="45B6C7C7" w14:textId="77777777" w:rsidR="002C0FD9" w:rsidRPr="00CA25CF" w:rsidRDefault="002C0FD9" w:rsidP="00CA25CF">
            <w:pPr>
              <w:rPr>
                <w:rFonts w:cs="Arial"/>
                <w:color w:val="FF0000"/>
                <w:sz w:val="21"/>
                <w:szCs w:val="21"/>
              </w:rPr>
            </w:pPr>
          </w:p>
        </w:tc>
        <w:tc>
          <w:tcPr>
            <w:tcW w:w="217" w:type="dxa"/>
          </w:tcPr>
          <w:p w14:paraId="101AF2CA" w14:textId="77777777" w:rsidR="002C0FD9" w:rsidRPr="00CA25CF" w:rsidRDefault="002C0FD9" w:rsidP="00CA25CF">
            <w:pPr>
              <w:rPr>
                <w:rFonts w:cs="Arial"/>
                <w:color w:val="FF0000"/>
                <w:sz w:val="21"/>
                <w:szCs w:val="21"/>
              </w:rPr>
            </w:pPr>
          </w:p>
        </w:tc>
        <w:tc>
          <w:tcPr>
            <w:tcW w:w="217" w:type="dxa"/>
          </w:tcPr>
          <w:p w14:paraId="74E0EC85" w14:textId="77777777" w:rsidR="002C0FD9" w:rsidRPr="00CA25CF" w:rsidRDefault="002C0FD9" w:rsidP="00CA25CF">
            <w:pPr>
              <w:rPr>
                <w:rFonts w:cs="Arial"/>
                <w:color w:val="FF0000"/>
                <w:sz w:val="21"/>
                <w:szCs w:val="21"/>
              </w:rPr>
            </w:pPr>
          </w:p>
        </w:tc>
        <w:tc>
          <w:tcPr>
            <w:tcW w:w="217" w:type="dxa"/>
          </w:tcPr>
          <w:p w14:paraId="73DEB2E8" w14:textId="77777777" w:rsidR="002C0FD9" w:rsidRPr="00CA25CF" w:rsidRDefault="002C0FD9" w:rsidP="00CA25CF">
            <w:pPr>
              <w:rPr>
                <w:rFonts w:cs="Arial"/>
                <w:color w:val="FF0000"/>
                <w:sz w:val="21"/>
                <w:szCs w:val="21"/>
              </w:rPr>
            </w:pPr>
          </w:p>
        </w:tc>
        <w:tc>
          <w:tcPr>
            <w:tcW w:w="217" w:type="dxa"/>
          </w:tcPr>
          <w:p w14:paraId="41827394" w14:textId="77777777" w:rsidR="002C0FD9" w:rsidRPr="00CA25CF" w:rsidRDefault="002C0FD9" w:rsidP="00CA25CF">
            <w:pPr>
              <w:rPr>
                <w:rFonts w:cs="Arial"/>
                <w:color w:val="FF0000"/>
                <w:sz w:val="21"/>
                <w:szCs w:val="21"/>
              </w:rPr>
            </w:pPr>
          </w:p>
        </w:tc>
        <w:tc>
          <w:tcPr>
            <w:tcW w:w="217" w:type="dxa"/>
          </w:tcPr>
          <w:p w14:paraId="4498D400" w14:textId="77777777" w:rsidR="002C0FD9" w:rsidRPr="00CA25CF" w:rsidRDefault="002C0FD9" w:rsidP="00CA25CF">
            <w:pPr>
              <w:rPr>
                <w:rFonts w:cs="Arial"/>
                <w:color w:val="FF0000"/>
                <w:sz w:val="21"/>
                <w:szCs w:val="21"/>
              </w:rPr>
            </w:pPr>
          </w:p>
        </w:tc>
        <w:tc>
          <w:tcPr>
            <w:tcW w:w="217" w:type="dxa"/>
          </w:tcPr>
          <w:p w14:paraId="3609D8AB" w14:textId="77777777" w:rsidR="002C0FD9" w:rsidRPr="00CA25CF" w:rsidRDefault="002C0FD9" w:rsidP="00CA25CF">
            <w:pPr>
              <w:rPr>
                <w:rFonts w:cs="Arial"/>
                <w:color w:val="FF0000"/>
                <w:sz w:val="21"/>
                <w:szCs w:val="21"/>
              </w:rPr>
            </w:pPr>
          </w:p>
        </w:tc>
        <w:tc>
          <w:tcPr>
            <w:tcW w:w="217" w:type="dxa"/>
          </w:tcPr>
          <w:p w14:paraId="32C9FBB4" w14:textId="77777777" w:rsidR="002C0FD9" w:rsidRPr="00CA25CF" w:rsidRDefault="002C0FD9" w:rsidP="00CA25CF">
            <w:pPr>
              <w:rPr>
                <w:rFonts w:cs="Arial"/>
                <w:color w:val="FF0000"/>
                <w:sz w:val="21"/>
                <w:szCs w:val="21"/>
              </w:rPr>
            </w:pPr>
          </w:p>
        </w:tc>
        <w:tc>
          <w:tcPr>
            <w:tcW w:w="217" w:type="dxa"/>
          </w:tcPr>
          <w:p w14:paraId="09C9EB3B" w14:textId="77777777" w:rsidR="002C0FD9" w:rsidRPr="00CA25CF" w:rsidRDefault="002C0FD9" w:rsidP="00CA25CF">
            <w:pPr>
              <w:rPr>
                <w:rFonts w:cs="Arial"/>
                <w:color w:val="FF0000"/>
                <w:sz w:val="21"/>
                <w:szCs w:val="21"/>
              </w:rPr>
            </w:pPr>
          </w:p>
        </w:tc>
        <w:tc>
          <w:tcPr>
            <w:tcW w:w="217" w:type="dxa"/>
          </w:tcPr>
          <w:p w14:paraId="2251EAD0" w14:textId="77777777" w:rsidR="002C0FD9" w:rsidRPr="00CA25CF" w:rsidRDefault="002C0FD9" w:rsidP="00CA25CF">
            <w:pPr>
              <w:rPr>
                <w:rFonts w:cs="Arial"/>
                <w:color w:val="FF0000"/>
                <w:sz w:val="21"/>
                <w:szCs w:val="21"/>
              </w:rPr>
            </w:pPr>
          </w:p>
        </w:tc>
        <w:tc>
          <w:tcPr>
            <w:tcW w:w="217" w:type="dxa"/>
          </w:tcPr>
          <w:p w14:paraId="3BA9DFC4" w14:textId="77777777" w:rsidR="002C0FD9" w:rsidRPr="00CA25CF" w:rsidRDefault="002C0FD9" w:rsidP="00CA25CF">
            <w:pPr>
              <w:rPr>
                <w:rFonts w:cs="Arial"/>
                <w:color w:val="FF0000"/>
                <w:sz w:val="21"/>
                <w:szCs w:val="21"/>
              </w:rPr>
            </w:pPr>
          </w:p>
        </w:tc>
        <w:tc>
          <w:tcPr>
            <w:tcW w:w="217" w:type="dxa"/>
          </w:tcPr>
          <w:p w14:paraId="7EFA3080" w14:textId="77777777" w:rsidR="002C0FD9" w:rsidRPr="00CA25CF" w:rsidRDefault="002C0FD9" w:rsidP="00CA25CF">
            <w:pPr>
              <w:rPr>
                <w:rFonts w:cs="Arial"/>
                <w:color w:val="FF0000"/>
                <w:sz w:val="21"/>
                <w:szCs w:val="21"/>
              </w:rPr>
            </w:pPr>
          </w:p>
        </w:tc>
      </w:tr>
      <w:tr w:rsidR="002C0FD9" w:rsidRPr="00A16219" w14:paraId="1245B3AF" w14:textId="5521C097" w:rsidTr="002C0FD9">
        <w:trPr>
          <w:trHeight w:val="635"/>
        </w:trPr>
        <w:tc>
          <w:tcPr>
            <w:tcW w:w="515" w:type="dxa"/>
          </w:tcPr>
          <w:p w14:paraId="06AD4323" w14:textId="77777777" w:rsidR="002C0FD9" w:rsidRPr="00CA25CF" w:rsidRDefault="002C0FD9" w:rsidP="00CA25CF">
            <w:pPr>
              <w:rPr>
                <w:rFonts w:cs="Arial"/>
                <w:color w:val="FF0000"/>
                <w:sz w:val="21"/>
                <w:szCs w:val="21"/>
              </w:rPr>
            </w:pPr>
          </w:p>
        </w:tc>
        <w:tc>
          <w:tcPr>
            <w:tcW w:w="217" w:type="dxa"/>
          </w:tcPr>
          <w:p w14:paraId="547CF364" w14:textId="77777777" w:rsidR="002C0FD9" w:rsidRPr="00CA25CF" w:rsidRDefault="002C0FD9" w:rsidP="00CA25CF">
            <w:pPr>
              <w:rPr>
                <w:rFonts w:cs="Arial"/>
                <w:color w:val="FF0000"/>
                <w:sz w:val="21"/>
                <w:szCs w:val="21"/>
              </w:rPr>
            </w:pPr>
          </w:p>
        </w:tc>
        <w:tc>
          <w:tcPr>
            <w:tcW w:w="217" w:type="dxa"/>
          </w:tcPr>
          <w:p w14:paraId="3FF5442C" w14:textId="08FFB2D9" w:rsidR="002C0FD9" w:rsidRPr="00CA25CF" w:rsidRDefault="002C0FD9" w:rsidP="00CA25CF">
            <w:pPr>
              <w:rPr>
                <w:rFonts w:cs="Arial"/>
                <w:color w:val="FF0000"/>
                <w:sz w:val="21"/>
                <w:szCs w:val="21"/>
              </w:rPr>
            </w:pPr>
          </w:p>
        </w:tc>
        <w:tc>
          <w:tcPr>
            <w:tcW w:w="217" w:type="dxa"/>
          </w:tcPr>
          <w:p w14:paraId="3F451723" w14:textId="77777777" w:rsidR="002C0FD9" w:rsidRPr="00CA25CF" w:rsidRDefault="002C0FD9" w:rsidP="00CA25CF">
            <w:pPr>
              <w:rPr>
                <w:rFonts w:cs="Arial"/>
                <w:color w:val="FF0000"/>
                <w:sz w:val="21"/>
                <w:szCs w:val="21"/>
              </w:rPr>
            </w:pPr>
          </w:p>
        </w:tc>
        <w:tc>
          <w:tcPr>
            <w:tcW w:w="217" w:type="dxa"/>
          </w:tcPr>
          <w:p w14:paraId="58957AAC" w14:textId="77777777" w:rsidR="002C0FD9" w:rsidRPr="00CA25CF" w:rsidRDefault="002C0FD9" w:rsidP="00CA25CF">
            <w:pPr>
              <w:rPr>
                <w:rFonts w:cs="Arial"/>
                <w:color w:val="FF0000"/>
                <w:sz w:val="21"/>
                <w:szCs w:val="21"/>
              </w:rPr>
            </w:pPr>
          </w:p>
        </w:tc>
        <w:tc>
          <w:tcPr>
            <w:tcW w:w="217" w:type="dxa"/>
          </w:tcPr>
          <w:p w14:paraId="798FF3F8" w14:textId="77777777" w:rsidR="002C0FD9" w:rsidRPr="00CA25CF" w:rsidRDefault="002C0FD9" w:rsidP="00CA25CF">
            <w:pPr>
              <w:rPr>
                <w:rFonts w:cs="Arial"/>
                <w:color w:val="FF0000"/>
                <w:sz w:val="21"/>
                <w:szCs w:val="21"/>
              </w:rPr>
            </w:pPr>
          </w:p>
        </w:tc>
        <w:tc>
          <w:tcPr>
            <w:tcW w:w="217" w:type="dxa"/>
          </w:tcPr>
          <w:p w14:paraId="228F68FB" w14:textId="77777777" w:rsidR="002C0FD9" w:rsidRPr="00CA25CF" w:rsidRDefault="002C0FD9" w:rsidP="00CA25CF">
            <w:pPr>
              <w:rPr>
                <w:rFonts w:cs="Arial"/>
                <w:color w:val="FF0000"/>
                <w:sz w:val="21"/>
                <w:szCs w:val="21"/>
              </w:rPr>
            </w:pPr>
          </w:p>
        </w:tc>
        <w:tc>
          <w:tcPr>
            <w:tcW w:w="217" w:type="dxa"/>
          </w:tcPr>
          <w:p w14:paraId="72BB30A2" w14:textId="77777777" w:rsidR="002C0FD9" w:rsidRPr="00CA25CF" w:rsidRDefault="002C0FD9" w:rsidP="00CA25CF">
            <w:pPr>
              <w:rPr>
                <w:rFonts w:cs="Arial"/>
                <w:color w:val="FF0000"/>
                <w:sz w:val="21"/>
                <w:szCs w:val="21"/>
              </w:rPr>
            </w:pPr>
          </w:p>
        </w:tc>
        <w:tc>
          <w:tcPr>
            <w:tcW w:w="217" w:type="dxa"/>
          </w:tcPr>
          <w:p w14:paraId="70D3CA71" w14:textId="77777777" w:rsidR="002C0FD9" w:rsidRPr="00CA25CF" w:rsidRDefault="002C0FD9" w:rsidP="00CA25CF">
            <w:pPr>
              <w:rPr>
                <w:rFonts w:cs="Arial"/>
                <w:color w:val="FF0000"/>
                <w:sz w:val="21"/>
                <w:szCs w:val="21"/>
              </w:rPr>
            </w:pPr>
          </w:p>
        </w:tc>
        <w:tc>
          <w:tcPr>
            <w:tcW w:w="217" w:type="dxa"/>
          </w:tcPr>
          <w:p w14:paraId="080A354F" w14:textId="77777777" w:rsidR="002C0FD9" w:rsidRPr="00CA25CF" w:rsidRDefault="002C0FD9" w:rsidP="00CA25CF">
            <w:pPr>
              <w:rPr>
                <w:rFonts w:cs="Arial"/>
                <w:color w:val="FF0000"/>
                <w:sz w:val="21"/>
                <w:szCs w:val="21"/>
              </w:rPr>
            </w:pPr>
          </w:p>
        </w:tc>
        <w:tc>
          <w:tcPr>
            <w:tcW w:w="217" w:type="dxa"/>
          </w:tcPr>
          <w:p w14:paraId="0AABCC87" w14:textId="77777777" w:rsidR="002C0FD9" w:rsidRPr="00CA25CF" w:rsidRDefault="002C0FD9" w:rsidP="00CA25CF">
            <w:pPr>
              <w:rPr>
                <w:rFonts w:cs="Arial"/>
                <w:color w:val="FF0000"/>
                <w:sz w:val="21"/>
                <w:szCs w:val="21"/>
              </w:rPr>
            </w:pPr>
          </w:p>
        </w:tc>
        <w:tc>
          <w:tcPr>
            <w:tcW w:w="217" w:type="dxa"/>
          </w:tcPr>
          <w:p w14:paraId="7BD20CB0" w14:textId="77777777" w:rsidR="002C0FD9" w:rsidRPr="00CA25CF" w:rsidRDefault="002C0FD9" w:rsidP="00CA25CF">
            <w:pPr>
              <w:rPr>
                <w:rFonts w:cs="Arial"/>
                <w:color w:val="FF0000"/>
                <w:sz w:val="21"/>
                <w:szCs w:val="21"/>
              </w:rPr>
            </w:pPr>
          </w:p>
        </w:tc>
        <w:tc>
          <w:tcPr>
            <w:tcW w:w="217" w:type="dxa"/>
          </w:tcPr>
          <w:p w14:paraId="443DBE3D" w14:textId="77777777" w:rsidR="002C0FD9" w:rsidRPr="00CA25CF" w:rsidRDefault="002C0FD9" w:rsidP="00CA25CF">
            <w:pPr>
              <w:rPr>
                <w:rFonts w:cs="Arial"/>
                <w:color w:val="FF0000"/>
                <w:sz w:val="21"/>
                <w:szCs w:val="21"/>
              </w:rPr>
            </w:pPr>
          </w:p>
        </w:tc>
        <w:tc>
          <w:tcPr>
            <w:tcW w:w="217" w:type="dxa"/>
          </w:tcPr>
          <w:p w14:paraId="0FB7FF35" w14:textId="77777777" w:rsidR="002C0FD9" w:rsidRPr="00CA25CF" w:rsidRDefault="002C0FD9" w:rsidP="00CA25CF">
            <w:pPr>
              <w:rPr>
                <w:rFonts w:cs="Arial"/>
                <w:color w:val="FF0000"/>
                <w:sz w:val="21"/>
                <w:szCs w:val="21"/>
              </w:rPr>
            </w:pPr>
          </w:p>
        </w:tc>
        <w:tc>
          <w:tcPr>
            <w:tcW w:w="217" w:type="dxa"/>
          </w:tcPr>
          <w:p w14:paraId="20C64DF3" w14:textId="77777777" w:rsidR="002C0FD9" w:rsidRPr="00CA25CF" w:rsidRDefault="002C0FD9" w:rsidP="00CA25CF">
            <w:pPr>
              <w:rPr>
                <w:rFonts w:cs="Arial"/>
                <w:color w:val="FF0000"/>
                <w:sz w:val="21"/>
                <w:szCs w:val="21"/>
              </w:rPr>
            </w:pPr>
          </w:p>
        </w:tc>
        <w:tc>
          <w:tcPr>
            <w:tcW w:w="217" w:type="dxa"/>
          </w:tcPr>
          <w:p w14:paraId="0273777A" w14:textId="4B149CE5" w:rsidR="002C0FD9" w:rsidRPr="00CA25CF" w:rsidRDefault="002C0FD9" w:rsidP="00CA25CF">
            <w:pPr>
              <w:rPr>
                <w:rFonts w:cs="Arial"/>
                <w:color w:val="FF0000"/>
                <w:sz w:val="21"/>
                <w:szCs w:val="21"/>
              </w:rPr>
            </w:pPr>
          </w:p>
        </w:tc>
        <w:tc>
          <w:tcPr>
            <w:tcW w:w="217" w:type="dxa"/>
          </w:tcPr>
          <w:p w14:paraId="22BB23D7" w14:textId="77777777" w:rsidR="002C0FD9" w:rsidRPr="00CA25CF" w:rsidRDefault="002C0FD9" w:rsidP="00CA25CF">
            <w:pPr>
              <w:rPr>
                <w:rFonts w:cs="Arial"/>
                <w:color w:val="FF0000"/>
                <w:sz w:val="21"/>
                <w:szCs w:val="21"/>
              </w:rPr>
            </w:pPr>
          </w:p>
        </w:tc>
        <w:tc>
          <w:tcPr>
            <w:tcW w:w="217" w:type="dxa"/>
          </w:tcPr>
          <w:p w14:paraId="005AC282" w14:textId="77777777" w:rsidR="002C0FD9" w:rsidRPr="00CA25CF" w:rsidRDefault="002C0FD9" w:rsidP="00CA25CF">
            <w:pPr>
              <w:rPr>
                <w:rFonts w:cs="Arial"/>
                <w:color w:val="FF0000"/>
                <w:sz w:val="21"/>
                <w:szCs w:val="21"/>
              </w:rPr>
            </w:pPr>
          </w:p>
        </w:tc>
        <w:tc>
          <w:tcPr>
            <w:tcW w:w="217" w:type="dxa"/>
          </w:tcPr>
          <w:p w14:paraId="34E49FB6" w14:textId="77777777" w:rsidR="002C0FD9" w:rsidRPr="00CA25CF" w:rsidRDefault="002C0FD9" w:rsidP="00CA25CF">
            <w:pPr>
              <w:rPr>
                <w:rFonts w:cs="Arial"/>
                <w:color w:val="FF0000"/>
                <w:sz w:val="21"/>
                <w:szCs w:val="21"/>
              </w:rPr>
            </w:pPr>
          </w:p>
        </w:tc>
        <w:tc>
          <w:tcPr>
            <w:tcW w:w="217" w:type="dxa"/>
          </w:tcPr>
          <w:p w14:paraId="41CFE295" w14:textId="77777777" w:rsidR="002C0FD9" w:rsidRPr="00CA25CF" w:rsidRDefault="002C0FD9" w:rsidP="00CA25CF">
            <w:pPr>
              <w:rPr>
                <w:rFonts w:cs="Arial"/>
                <w:color w:val="FF0000"/>
                <w:sz w:val="21"/>
                <w:szCs w:val="21"/>
              </w:rPr>
            </w:pPr>
          </w:p>
        </w:tc>
        <w:tc>
          <w:tcPr>
            <w:tcW w:w="217" w:type="dxa"/>
          </w:tcPr>
          <w:p w14:paraId="5F3451B5" w14:textId="77777777" w:rsidR="002C0FD9" w:rsidRPr="00CA25CF" w:rsidRDefault="002C0FD9" w:rsidP="00CA25CF">
            <w:pPr>
              <w:rPr>
                <w:rFonts w:cs="Arial"/>
                <w:color w:val="FF0000"/>
                <w:sz w:val="21"/>
                <w:szCs w:val="21"/>
              </w:rPr>
            </w:pPr>
          </w:p>
        </w:tc>
        <w:tc>
          <w:tcPr>
            <w:tcW w:w="217" w:type="dxa"/>
          </w:tcPr>
          <w:p w14:paraId="752F75F3" w14:textId="77777777" w:rsidR="002C0FD9" w:rsidRPr="00CA25CF" w:rsidRDefault="002C0FD9" w:rsidP="00CA25CF">
            <w:pPr>
              <w:rPr>
                <w:rFonts w:cs="Arial"/>
                <w:color w:val="FF0000"/>
                <w:sz w:val="21"/>
                <w:szCs w:val="21"/>
              </w:rPr>
            </w:pPr>
          </w:p>
        </w:tc>
        <w:tc>
          <w:tcPr>
            <w:tcW w:w="217" w:type="dxa"/>
          </w:tcPr>
          <w:p w14:paraId="0AE631DB" w14:textId="77777777" w:rsidR="002C0FD9" w:rsidRPr="00CA25CF" w:rsidRDefault="002C0FD9" w:rsidP="00CA25CF">
            <w:pPr>
              <w:rPr>
                <w:rFonts w:cs="Arial"/>
                <w:color w:val="FF0000"/>
                <w:sz w:val="21"/>
                <w:szCs w:val="21"/>
              </w:rPr>
            </w:pPr>
          </w:p>
        </w:tc>
        <w:tc>
          <w:tcPr>
            <w:tcW w:w="217" w:type="dxa"/>
          </w:tcPr>
          <w:p w14:paraId="3C135F99" w14:textId="77777777" w:rsidR="002C0FD9" w:rsidRPr="00CA25CF" w:rsidRDefault="002C0FD9" w:rsidP="00CA25CF">
            <w:pPr>
              <w:rPr>
                <w:rFonts w:cs="Arial"/>
                <w:color w:val="FF0000"/>
                <w:sz w:val="21"/>
                <w:szCs w:val="21"/>
              </w:rPr>
            </w:pPr>
          </w:p>
        </w:tc>
        <w:tc>
          <w:tcPr>
            <w:tcW w:w="217" w:type="dxa"/>
          </w:tcPr>
          <w:p w14:paraId="4E473D88" w14:textId="77777777" w:rsidR="002C0FD9" w:rsidRPr="00CA25CF" w:rsidRDefault="002C0FD9" w:rsidP="00CA25CF">
            <w:pPr>
              <w:rPr>
                <w:rFonts w:cs="Arial"/>
                <w:color w:val="FF0000"/>
                <w:sz w:val="21"/>
                <w:szCs w:val="21"/>
              </w:rPr>
            </w:pPr>
          </w:p>
        </w:tc>
        <w:tc>
          <w:tcPr>
            <w:tcW w:w="217" w:type="dxa"/>
          </w:tcPr>
          <w:p w14:paraId="1E107927" w14:textId="77777777" w:rsidR="002C0FD9" w:rsidRPr="00CA25CF" w:rsidRDefault="002C0FD9" w:rsidP="00CA25CF">
            <w:pPr>
              <w:rPr>
                <w:rFonts w:cs="Arial"/>
                <w:color w:val="FF0000"/>
                <w:sz w:val="21"/>
                <w:szCs w:val="21"/>
              </w:rPr>
            </w:pPr>
          </w:p>
        </w:tc>
        <w:tc>
          <w:tcPr>
            <w:tcW w:w="217" w:type="dxa"/>
          </w:tcPr>
          <w:p w14:paraId="79049279" w14:textId="77777777" w:rsidR="002C0FD9" w:rsidRPr="00CA25CF" w:rsidRDefault="002C0FD9" w:rsidP="00CA25CF">
            <w:pPr>
              <w:rPr>
                <w:rFonts w:cs="Arial"/>
                <w:color w:val="FF0000"/>
                <w:sz w:val="21"/>
                <w:szCs w:val="21"/>
              </w:rPr>
            </w:pPr>
          </w:p>
        </w:tc>
        <w:tc>
          <w:tcPr>
            <w:tcW w:w="217" w:type="dxa"/>
          </w:tcPr>
          <w:p w14:paraId="3F742CD6" w14:textId="77777777" w:rsidR="002C0FD9" w:rsidRPr="00CA25CF" w:rsidRDefault="002C0FD9" w:rsidP="00CA25CF">
            <w:pPr>
              <w:rPr>
                <w:rFonts w:cs="Arial"/>
                <w:color w:val="FF0000"/>
                <w:sz w:val="21"/>
                <w:szCs w:val="21"/>
              </w:rPr>
            </w:pPr>
          </w:p>
        </w:tc>
        <w:tc>
          <w:tcPr>
            <w:tcW w:w="217" w:type="dxa"/>
          </w:tcPr>
          <w:p w14:paraId="66E8D166" w14:textId="77777777" w:rsidR="002C0FD9" w:rsidRPr="00CA25CF" w:rsidRDefault="002C0FD9" w:rsidP="00CA25CF">
            <w:pPr>
              <w:rPr>
                <w:rFonts w:cs="Arial"/>
                <w:color w:val="FF0000"/>
                <w:sz w:val="21"/>
                <w:szCs w:val="21"/>
              </w:rPr>
            </w:pPr>
          </w:p>
        </w:tc>
        <w:tc>
          <w:tcPr>
            <w:tcW w:w="217" w:type="dxa"/>
          </w:tcPr>
          <w:p w14:paraId="0CB63716" w14:textId="77777777" w:rsidR="002C0FD9" w:rsidRPr="00CA25CF" w:rsidRDefault="002C0FD9" w:rsidP="00CA25CF">
            <w:pPr>
              <w:rPr>
                <w:rFonts w:cs="Arial"/>
                <w:color w:val="FF0000"/>
                <w:sz w:val="21"/>
                <w:szCs w:val="21"/>
              </w:rPr>
            </w:pPr>
          </w:p>
        </w:tc>
        <w:tc>
          <w:tcPr>
            <w:tcW w:w="217" w:type="dxa"/>
          </w:tcPr>
          <w:p w14:paraId="456BF23A" w14:textId="77777777" w:rsidR="002C0FD9" w:rsidRPr="00CA25CF" w:rsidRDefault="002C0FD9" w:rsidP="00CA25CF">
            <w:pPr>
              <w:rPr>
                <w:rFonts w:cs="Arial"/>
                <w:color w:val="FF0000"/>
                <w:sz w:val="21"/>
                <w:szCs w:val="21"/>
              </w:rPr>
            </w:pPr>
          </w:p>
        </w:tc>
        <w:tc>
          <w:tcPr>
            <w:tcW w:w="217" w:type="dxa"/>
          </w:tcPr>
          <w:p w14:paraId="59386D7D" w14:textId="77777777" w:rsidR="002C0FD9" w:rsidRPr="00CA25CF" w:rsidRDefault="002C0FD9" w:rsidP="00CA25CF">
            <w:pPr>
              <w:rPr>
                <w:rFonts w:cs="Arial"/>
                <w:color w:val="FF0000"/>
                <w:sz w:val="21"/>
                <w:szCs w:val="21"/>
              </w:rPr>
            </w:pPr>
          </w:p>
        </w:tc>
        <w:tc>
          <w:tcPr>
            <w:tcW w:w="217" w:type="dxa"/>
          </w:tcPr>
          <w:p w14:paraId="64CD4D1E" w14:textId="77777777" w:rsidR="002C0FD9" w:rsidRPr="00CA25CF" w:rsidRDefault="002C0FD9" w:rsidP="00CA25CF">
            <w:pPr>
              <w:rPr>
                <w:rFonts w:cs="Arial"/>
                <w:color w:val="FF0000"/>
                <w:sz w:val="21"/>
                <w:szCs w:val="21"/>
              </w:rPr>
            </w:pPr>
          </w:p>
        </w:tc>
        <w:tc>
          <w:tcPr>
            <w:tcW w:w="217" w:type="dxa"/>
          </w:tcPr>
          <w:p w14:paraId="331469A4" w14:textId="77777777" w:rsidR="002C0FD9" w:rsidRPr="00CA25CF" w:rsidRDefault="002C0FD9" w:rsidP="00CA25CF">
            <w:pPr>
              <w:rPr>
                <w:rFonts w:cs="Arial"/>
                <w:color w:val="FF0000"/>
                <w:sz w:val="21"/>
                <w:szCs w:val="21"/>
              </w:rPr>
            </w:pPr>
          </w:p>
        </w:tc>
        <w:tc>
          <w:tcPr>
            <w:tcW w:w="217" w:type="dxa"/>
          </w:tcPr>
          <w:p w14:paraId="31258814" w14:textId="77777777" w:rsidR="002C0FD9" w:rsidRPr="00CA25CF" w:rsidRDefault="002C0FD9" w:rsidP="00CA25CF">
            <w:pPr>
              <w:rPr>
                <w:rFonts w:cs="Arial"/>
                <w:color w:val="FF0000"/>
                <w:sz w:val="21"/>
                <w:szCs w:val="21"/>
              </w:rPr>
            </w:pPr>
          </w:p>
        </w:tc>
        <w:tc>
          <w:tcPr>
            <w:tcW w:w="217" w:type="dxa"/>
          </w:tcPr>
          <w:p w14:paraId="07E23665" w14:textId="77777777" w:rsidR="002C0FD9" w:rsidRPr="00CA25CF" w:rsidRDefault="002C0FD9" w:rsidP="00CA25CF">
            <w:pPr>
              <w:rPr>
                <w:rFonts w:cs="Arial"/>
                <w:color w:val="FF0000"/>
                <w:sz w:val="21"/>
                <w:szCs w:val="21"/>
              </w:rPr>
            </w:pPr>
          </w:p>
        </w:tc>
        <w:tc>
          <w:tcPr>
            <w:tcW w:w="217" w:type="dxa"/>
          </w:tcPr>
          <w:p w14:paraId="0C4D6CFA" w14:textId="77777777" w:rsidR="002C0FD9" w:rsidRPr="00CA25CF" w:rsidRDefault="002C0FD9" w:rsidP="00CA25CF">
            <w:pPr>
              <w:rPr>
                <w:rFonts w:cs="Arial"/>
                <w:color w:val="FF0000"/>
                <w:sz w:val="21"/>
                <w:szCs w:val="21"/>
              </w:rPr>
            </w:pPr>
          </w:p>
        </w:tc>
        <w:tc>
          <w:tcPr>
            <w:tcW w:w="217" w:type="dxa"/>
          </w:tcPr>
          <w:p w14:paraId="115A73B6" w14:textId="77777777" w:rsidR="002C0FD9" w:rsidRPr="00CA25CF" w:rsidRDefault="002C0FD9" w:rsidP="00CA25CF">
            <w:pPr>
              <w:rPr>
                <w:rFonts w:cs="Arial"/>
                <w:color w:val="FF0000"/>
                <w:sz w:val="21"/>
                <w:szCs w:val="21"/>
              </w:rPr>
            </w:pPr>
          </w:p>
        </w:tc>
        <w:tc>
          <w:tcPr>
            <w:tcW w:w="217" w:type="dxa"/>
          </w:tcPr>
          <w:p w14:paraId="5615CC22" w14:textId="77777777" w:rsidR="002C0FD9" w:rsidRPr="00CA25CF" w:rsidRDefault="002C0FD9" w:rsidP="00CA25CF">
            <w:pPr>
              <w:rPr>
                <w:rFonts w:cs="Arial"/>
                <w:color w:val="FF0000"/>
                <w:sz w:val="21"/>
                <w:szCs w:val="21"/>
              </w:rPr>
            </w:pPr>
          </w:p>
        </w:tc>
        <w:tc>
          <w:tcPr>
            <w:tcW w:w="217" w:type="dxa"/>
          </w:tcPr>
          <w:p w14:paraId="1D4504FA" w14:textId="77777777" w:rsidR="002C0FD9" w:rsidRPr="00CA25CF" w:rsidRDefault="002C0FD9" w:rsidP="00CA25CF">
            <w:pPr>
              <w:rPr>
                <w:rFonts w:cs="Arial"/>
                <w:color w:val="FF0000"/>
                <w:sz w:val="21"/>
                <w:szCs w:val="21"/>
              </w:rPr>
            </w:pPr>
          </w:p>
        </w:tc>
        <w:tc>
          <w:tcPr>
            <w:tcW w:w="217" w:type="dxa"/>
          </w:tcPr>
          <w:p w14:paraId="7BDCAF60" w14:textId="77777777" w:rsidR="002C0FD9" w:rsidRPr="00CA25CF" w:rsidRDefault="002C0FD9" w:rsidP="00CA25CF">
            <w:pPr>
              <w:rPr>
                <w:rFonts w:cs="Arial"/>
                <w:color w:val="FF0000"/>
                <w:sz w:val="21"/>
                <w:szCs w:val="21"/>
              </w:rPr>
            </w:pPr>
          </w:p>
        </w:tc>
        <w:tc>
          <w:tcPr>
            <w:tcW w:w="217" w:type="dxa"/>
          </w:tcPr>
          <w:p w14:paraId="5C40FDCB" w14:textId="77777777" w:rsidR="002C0FD9" w:rsidRPr="00CA25CF" w:rsidRDefault="002C0FD9" w:rsidP="00CA25CF">
            <w:pPr>
              <w:rPr>
                <w:rFonts w:cs="Arial"/>
                <w:color w:val="FF0000"/>
                <w:sz w:val="21"/>
                <w:szCs w:val="21"/>
              </w:rPr>
            </w:pPr>
          </w:p>
        </w:tc>
        <w:tc>
          <w:tcPr>
            <w:tcW w:w="217" w:type="dxa"/>
          </w:tcPr>
          <w:p w14:paraId="4455419E" w14:textId="77777777" w:rsidR="002C0FD9" w:rsidRPr="00CA25CF" w:rsidRDefault="002C0FD9" w:rsidP="00CA25CF">
            <w:pPr>
              <w:rPr>
                <w:rFonts w:cs="Arial"/>
                <w:color w:val="FF0000"/>
                <w:sz w:val="21"/>
                <w:szCs w:val="21"/>
              </w:rPr>
            </w:pPr>
          </w:p>
        </w:tc>
      </w:tr>
      <w:tr w:rsidR="002C0FD9" w:rsidRPr="00A16219" w14:paraId="4BE04F54" w14:textId="6B95E808" w:rsidTr="002C0FD9">
        <w:trPr>
          <w:trHeight w:val="635"/>
        </w:trPr>
        <w:tc>
          <w:tcPr>
            <w:tcW w:w="515" w:type="dxa"/>
          </w:tcPr>
          <w:p w14:paraId="170B0B95" w14:textId="77777777" w:rsidR="002C0FD9" w:rsidRPr="00CA25CF" w:rsidRDefault="002C0FD9" w:rsidP="00CA25CF">
            <w:pPr>
              <w:rPr>
                <w:rFonts w:cs="Arial"/>
                <w:color w:val="FF0000"/>
                <w:sz w:val="21"/>
                <w:szCs w:val="21"/>
              </w:rPr>
            </w:pPr>
          </w:p>
        </w:tc>
        <w:tc>
          <w:tcPr>
            <w:tcW w:w="217" w:type="dxa"/>
          </w:tcPr>
          <w:p w14:paraId="19F6AA54" w14:textId="77777777" w:rsidR="002C0FD9" w:rsidRPr="00CA25CF" w:rsidRDefault="002C0FD9" w:rsidP="00CA25CF">
            <w:pPr>
              <w:rPr>
                <w:rFonts w:cs="Arial"/>
                <w:color w:val="FF0000"/>
                <w:sz w:val="21"/>
                <w:szCs w:val="21"/>
              </w:rPr>
            </w:pPr>
          </w:p>
        </w:tc>
        <w:tc>
          <w:tcPr>
            <w:tcW w:w="217" w:type="dxa"/>
          </w:tcPr>
          <w:p w14:paraId="1DC7FFCA" w14:textId="387FCD60" w:rsidR="002C0FD9" w:rsidRPr="00CA25CF" w:rsidRDefault="002C0FD9" w:rsidP="00CA25CF">
            <w:pPr>
              <w:rPr>
                <w:rFonts w:cs="Arial"/>
                <w:color w:val="FF0000"/>
                <w:sz w:val="21"/>
                <w:szCs w:val="21"/>
              </w:rPr>
            </w:pPr>
          </w:p>
        </w:tc>
        <w:tc>
          <w:tcPr>
            <w:tcW w:w="217" w:type="dxa"/>
          </w:tcPr>
          <w:p w14:paraId="1CACA5C0" w14:textId="77777777" w:rsidR="002C0FD9" w:rsidRPr="00CA25CF" w:rsidRDefault="002C0FD9" w:rsidP="00CA25CF">
            <w:pPr>
              <w:rPr>
                <w:rFonts w:cs="Arial"/>
                <w:color w:val="FF0000"/>
                <w:sz w:val="21"/>
                <w:szCs w:val="21"/>
              </w:rPr>
            </w:pPr>
          </w:p>
        </w:tc>
        <w:tc>
          <w:tcPr>
            <w:tcW w:w="217" w:type="dxa"/>
          </w:tcPr>
          <w:p w14:paraId="265F8786" w14:textId="77777777" w:rsidR="002C0FD9" w:rsidRPr="00CA25CF" w:rsidRDefault="002C0FD9" w:rsidP="00CA25CF">
            <w:pPr>
              <w:rPr>
                <w:rFonts w:cs="Arial"/>
                <w:color w:val="FF0000"/>
                <w:sz w:val="21"/>
                <w:szCs w:val="21"/>
              </w:rPr>
            </w:pPr>
          </w:p>
        </w:tc>
        <w:tc>
          <w:tcPr>
            <w:tcW w:w="217" w:type="dxa"/>
          </w:tcPr>
          <w:p w14:paraId="39DEF22D" w14:textId="77777777" w:rsidR="002C0FD9" w:rsidRPr="00CA25CF" w:rsidRDefault="002C0FD9" w:rsidP="00CA25CF">
            <w:pPr>
              <w:rPr>
                <w:rFonts w:cs="Arial"/>
                <w:color w:val="FF0000"/>
                <w:sz w:val="21"/>
                <w:szCs w:val="21"/>
              </w:rPr>
            </w:pPr>
          </w:p>
        </w:tc>
        <w:tc>
          <w:tcPr>
            <w:tcW w:w="217" w:type="dxa"/>
          </w:tcPr>
          <w:p w14:paraId="38FD81AA" w14:textId="77777777" w:rsidR="002C0FD9" w:rsidRPr="00CA25CF" w:rsidRDefault="002C0FD9" w:rsidP="00CA25CF">
            <w:pPr>
              <w:rPr>
                <w:rFonts w:cs="Arial"/>
                <w:color w:val="FF0000"/>
                <w:sz w:val="21"/>
                <w:szCs w:val="21"/>
              </w:rPr>
            </w:pPr>
          </w:p>
        </w:tc>
        <w:tc>
          <w:tcPr>
            <w:tcW w:w="217" w:type="dxa"/>
          </w:tcPr>
          <w:p w14:paraId="70641E03" w14:textId="77777777" w:rsidR="002C0FD9" w:rsidRPr="00CA25CF" w:rsidRDefault="002C0FD9" w:rsidP="00CA25CF">
            <w:pPr>
              <w:rPr>
                <w:rFonts w:cs="Arial"/>
                <w:color w:val="FF0000"/>
                <w:sz w:val="21"/>
                <w:szCs w:val="21"/>
              </w:rPr>
            </w:pPr>
          </w:p>
        </w:tc>
        <w:tc>
          <w:tcPr>
            <w:tcW w:w="217" w:type="dxa"/>
          </w:tcPr>
          <w:p w14:paraId="6A95FA87" w14:textId="77777777" w:rsidR="002C0FD9" w:rsidRPr="00CA25CF" w:rsidRDefault="002C0FD9" w:rsidP="00CA25CF">
            <w:pPr>
              <w:rPr>
                <w:rFonts w:cs="Arial"/>
                <w:color w:val="FF0000"/>
                <w:sz w:val="21"/>
                <w:szCs w:val="21"/>
              </w:rPr>
            </w:pPr>
          </w:p>
        </w:tc>
        <w:tc>
          <w:tcPr>
            <w:tcW w:w="217" w:type="dxa"/>
          </w:tcPr>
          <w:p w14:paraId="16B900A9" w14:textId="77777777" w:rsidR="002C0FD9" w:rsidRPr="00CA25CF" w:rsidRDefault="002C0FD9" w:rsidP="00CA25CF">
            <w:pPr>
              <w:rPr>
                <w:rFonts w:cs="Arial"/>
                <w:color w:val="FF0000"/>
                <w:sz w:val="21"/>
                <w:szCs w:val="21"/>
              </w:rPr>
            </w:pPr>
          </w:p>
        </w:tc>
        <w:tc>
          <w:tcPr>
            <w:tcW w:w="217" w:type="dxa"/>
          </w:tcPr>
          <w:p w14:paraId="525B1149" w14:textId="77777777" w:rsidR="002C0FD9" w:rsidRPr="00CA25CF" w:rsidRDefault="002C0FD9" w:rsidP="00CA25CF">
            <w:pPr>
              <w:rPr>
                <w:rFonts w:cs="Arial"/>
                <w:color w:val="FF0000"/>
                <w:sz w:val="21"/>
                <w:szCs w:val="21"/>
              </w:rPr>
            </w:pPr>
          </w:p>
        </w:tc>
        <w:tc>
          <w:tcPr>
            <w:tcW w:w="217" w:type="dxa"/>
          </w:tcPr>
          <w:p w14:paraId="0AB2F8B6" w14:textId="77777777" w:rsidR="002C0FD9" w:rsidRPr="00CA25CF" w:rsidRDefault="002C0FD9" w:rsidP="00CA25CF">
            <w:pPr>
              <w:rPr>
                <w:rFonts w:cs="Arial"/>
                <w:color w:val="FF0000"/>
                <w:sz w:val="21"/>
                <w:szCs w:val="21"/>
              </w:rPr>
            </w:pPr>
          </w:p>
        </w:tc>
        <w:tc>
          <w:tcPr>
            <w:tcW w:w="217" w:type="dxa"/>
          </w:tcPr>
          <w:p w14:paraId="0EFC13C5" w14:textId="77777777" w:rsidR="002C0FD9" w:rsidRPr="00CA25CF" w:rsidRDefault="002C0FD9" w:rsidP="00CA25CF">
            <w:pPr>
              <w:rPr>
                <w:rFonts w:cs="Arial"/>
                <w:color w:val="FF0000"/>
                <w:sz w:val="21"/>
                <w:szCs w:val="21"/>
              </w:rPr>
            </w:pPr>
          </w:p>
        </w:tc>
        <w:tc>
          <w:tcPr>
            <w:tcW w:w="217" w:type="dxa"/>
          </w:tcPr>
          <w:p w14:paraId="778F2223" w14:textId="77777777" w:rsidR="002C0FD9" w:rsidRPr="00CA25CF" w:rsidRDefault="002C0FD9" w:rsidP="00CA25CF">
            <w:pPr>
              <w:rPr>
                <w:rFonts w:cs="Arial"/>
                <w:color w:val="FF0000"/>
                <w:sz w:val="21"/>
                <w:szCs w:val="21"/>
              </w:rPr>
            </w:pPr>
          </w:p>
        </w:tc>
        <w:tc>
          <w:tcPr>
            <w:tcW w:w="217" w:type="dxa"/>
          </w:tcPr>
          <w:p w14:paraId="491D940C" w14:textId="77777777" w:rsidR="002C0FD9" w:rsidRPr="00CA25CF" w:rsidRDefault="002C0FD9" w:rsidP="00CA25CF">
            <w:pPr>
              <w:rPr>
                <w:rFonts w:cs="Arial"/>
                <w:color w:val="FF0000"/>
                <w:sz w:val="21"/>
                <w:szCs w:val="21"/>
              </w:rPr>
            </w:pPr>
          </w:p>
        </w:tc>
        <w:tc>
          <w:tcPr>
            <w:tcW w:w="217" w:type="dxa"/>
          </w:tcPr>
          <w:p w14:paraId="7A611953" w14:textId="035B8F52" w:rsidR="002C0FD9" w:rsidRPr="00CA25CF" w:rsidRDefault="002C0FD9" w:rsidP="00CA25CF">
            <w:pPr>
              <w:rPr>
                <w:rFonts w:cs="Arial"/>
                <w:color w:val="FF0000"/>
                <w:sz w:val="21"/>
                <w:szCs w:val="21"/>
              </w:rPr>
            </w:pPr>
          </w:p>
        </w:tc>
        <w:tc>
          <w:tcPr>
            <w:tcW w:w="217" w:type="dxa"/>
          </w:tcPr>
          <w:p w14:paraId="7A1573D1" w14:textId="77777777" w:rsidR="002C0FD9" w:rsidRPr="00CA25CF" w:rsidRDefault="002C0FD9" w:rsidP="00CA25CF">
            <w:pPr>
              <w:rPr>
                <w:rFonts w:cs="Arial"/>
                <w:color w:val="FF0000"/>
                <w:sz w:val="21"/>
                <w:szCs w:val="21"/>
              </w:rPr>
            </w:pPr>
          </w:p>
        </w:tc>
        <w:tc>
          <w:tcPr>
            <w:tcW w:w="217" w:type="dxa"/>
          </w:tcPr>
          <w:p w14:paraId="24092412" w14:textId="77777777" w:rsidR="002C0FD9" w:rsidRPr="00CA25CF" w:rsidRDefault="002C0FD9" w:rsidP="00CA25CF">
            <w:pPr>
              <w:rPr>
                <w:rFonts w:cs="Arial"/>
                <w:color w:val="FF0000"/>
                <w:sz w:val="21"/>
                <w:szCs w:val="21"/>
              </w:rPr>
            </w:pPr>
          </w:p>
        </w:tc>
        <w:tc>
          <w:tcPr>
            <w:tcW w:w="217" w:type="dxa"/>
          </w:tcPr>
          <w:p w14:paraId="0DB985DB" w14:textId="77777777" w:rsidR="002C0FD9" w:rsidRPr="00CA25CF" w:rsidRDefault="002C0FD9" w:rsidP="00CA25CF">
            <w:pPr>
              <w:rPr>
                <w:rFonts w:cs="Arial"/>
                <w:color w:val="FF0000"/>
                <w:sz w:val="21"/>
                <w:szCs w:val="21"/>
              </w:rPr>
            </w:pPr>
          </w:p>
        </w:tc>
        <w:tc>
          <w:tcPr>
            <w:tcW w:w="217" w:type="dxa"/>
          </w:tcPr>
          <w:p w14:paraId="2150E8B2" w14:textId="77777777" w:rsidR="002C0FD9" w:rsidRPr="00CA25CF" w:rsidRDefault="002C0FD9" w:rsidP="00CA25CF">
            <w:pPr>
              <w:rPr>
                <w:rFonts w:cs="Arial"/>
                <w:color w:val="FF0000"/>
                <w:sz w:val="21"/>
                <w:szCs w:val="21"/>
              </w:rPr>
            </w:pPr>
          </w:p>
        </w:tc>
        <w:tc>
          <w:tcPr>
            <w:tcW w:w="217" w:type="dxa"/>
          </w:tcPr>
          <w:p w14:paraId="37FBA8BD" w14:textId="77777777" w:rsidR="002C0FD9" w:rsidRPr="00CA25CF" w:rsidRDefault="002C0FD9" w:rsidP="00CA25CF">
            <w:pPr>
              <w:rPr>
                <w:rFonts w:cs="Arial"/>
                <w:color w:val="FF0000"/>
                <w:sz w:val="21"/>
                <w:szCs w:val="21"/>
              </w:rPr>
            </w:pPr>
          </w:p>
        </w:tc>
        <w:tc>
          <w:tcPr>
            <w:tcW w:w="217" w:type="dxa"/>
          </w:tcPr>
          <w:p w14:paraId="4C853DB7" w14:textId="77777777" w:rsidR="002C0FD9" w:rsidRPr="00CA25CF" w:rsidRDefault="002C0FD9" w:rsidP="00CA25CF">
            <w:pPr>
              <w:rPr>
                <w:rFonts w:cs="Arial"/>
                <w:color w:val="FF0000"/>
                <w:sz w:val="21"/>
                <w:szCs w:val="21"/>
              </w:rPr>
            </w:pPr>
          </w:p>
        </w:tc>
        <w:tc>
          <w:tcPr>
            <w:tcW w:w="217" w:type="dxa"/>
          </w:tcPr>
          <w:p w14:paraId="70F360E2" w14:textId="77777777" w:rsidR="002C0FD9" w:rsidRPr="00CA25CF" w:rsidRDefault="002C0FD9" w:rsidP="00CA25CF">
            <w:pPr>
              <w:rPr>
                <w:rFonts w:cs="Arial"/>
                <w:color w:val="FF0000"/>
                <w:sz w:val="21"/>
                <w:szCs w:val="21"/>
              </w:rPr>
            </w:pPr>
          </w:p>
        </w:tc>
        <w:tc>
          <w:tcPr>
            <w:tcW w:w="217" w:type="dxa"/>
          </w:tcPr>
          <w:p w14:paraId="43D8A02F" w14:textId="77777777" w:rsidR="002C0FD9" w:rsidRPr="00CA25CF" w:rsidRDefault="002C0FD9" w:rsidP="00CA25CF">
            <w:pPr>
              <w:rPr>
                <w:rFonts w:cs="Arial"/>
                <w:color w:val="FF0000"/>
                <w:sz w:val="21"/>
                <w:szCs w:val="21"/>
              </w:rPr>
            </w:pPr>
          </w:p>
        </w:tc>
        <w:tc>
          <w:tcPr>
            <w:tcW w:w="217" w:type="dxa"/>
          </w:tcPr>
          <w:p w14:paraId="6885FC12" w14:textId="77777777" w:rsidR="002C0FD9" w:rsidRPr="00CA25CF" w:rsidRDefault="002C0FD9" w:rsidP="00CA25CF">
            <w:pPr>
              <w:rPr>
                <w:rFonts w:cs="Arial"/>
                <w:color w:val="FF0000"/>
                <w:sz w:val="21"/>
                <w:szCs w:val="21"/>
              </w:rPr>
            </w:pPr>
          </w:p>
        </w:tc>
        <w:tc>
          <w:tcPr>
            <w:tcW w:w="217" w:type="dxa"/>
          </w:tcPr>
          <w:p w14:paraId="772425F0" w14:textId="77777777" w:rsidR="002C0FD9" w:rsidRPr="00CA25CF" w:rsidRDefault="002C0FD9" w:rsidP="00CA25CF">
            <w:pPr>
              <w:rPr>
                <w:rFonts w:cs="Arial"/>
                <w:color w:val="FF0000"/>
                <w:sz w:val="21"/>
                <w:szCs w:val="21"/>
              </w:rPr>
            </w:pPr>
          </w:p>
        </w:tc>
        <w:tc>
          <w:tcPr>
            <w:tcW w:w="217" w:type="dxa"/>
          </w:tcPr>
          <w:p w14:paraId="40D05B81" w14:textId="77777777" w:rsidR="002C0FD9" w:rsidRPr="00CA25CF" w:rsidRDefault="002C0FD9" w:rsidP="00CA25CF">
            <w:pPr>
              <w:rPr>
                <w:rFonts w:cs="Arial"/>
                <w:color w:val="FF0000"/>
                <w:sz w:val="21"/>
                <w:szCs w:val="21"/>
              </w:rPr>
            </w:pPr>
          </w:p>
        </w:tc>
        <w:tc>
          <w:tcPr>
            <w:tcW w:w="217" w:type="dxa"/>
          </w:tcPr>
          <w:p w14:paraId="14532C52" w14:textId="77777777" w:rsidR="002C0FD9" w:rsidRPr="00CA25CF" w:rsidRDefault="002C0FD9" w:rsidP="00CA25CF">
            <w:pPr>
              <w:rPr>
                <w:rFonts w:cs="Arial"/>
                <w:color w:val="FF0000"/>
                <w:sz w:val="21"/>
                <w:szCs w:val="21"/>
              </w:rPr>
            </w:pPr>
          </w:p>
        </w:tc>
        <w:tc>
          <w:tcPr>
            <w:tcW w:w="217" w:type="dxa"/>
          </w:tcPr>
          <w:p w14:paraId="55D81211" w14:textId="77777777" w:rsidR="002C0FD9" w:rsidRPr="00CA25CF" w:rsidRDefault="002C0FD9" w:rsidP="00CA25CF">
            <w:pPr>
              <w:rPr>
                <w:rFonts w:cs="Arial"/>
                <w:color w:val="FF0000"/>
                <w:sz w:val="21"/>
                <w:szCs w:val="21"/>
              </w:rPr>
            </w:pPr>
          </w:p>
        </w:tc>
        <w:tc>
          <w:tcPr>
            <w:tcW w:w="217" w:type="dxa"/>
          </w:tcPr>
          <w:p w14:paraId="5D39EC91" w14:textId="77777777" w:rsidR="002C0FD9" w:rsidRPr="00CA25CF" w:rsidRDefault="002C0FD9" w:rsidP="00CA25CF">
            <w:pPr>
              <w:rPr>
                <w:rFonts w:cs="Arial"/>
                <w:color w:val="FF0000"/>
                <w:sz w:val="21"/>
                <w:szCs w:val="21"/>
              </w:rPr>
            </w:pPr>
          </w:p>
        </w:tc>
        <w:tc>
          <w:tcPr>
            <w:tcW w:w="217" w:type="dxa"/>
          </w:tcPr>
          <w:p w14:paraId="12356114" w14:textId="77777777" w:rsidR="002C0FD9" w:rsidRPr="00CA25CF" w:rsidRDefault="002C0FD9" w:rsidP="00CA25CF">
            <w:pPr>
              <w:rPr>
                <w:rFonts w:cs="Arial"/>
                <w:color w:val="FF0000"/>
                <w:sz w:val="21"/>
                <w:szCs w:val="21"/>
              </w:rPr>
            </w:pPr>
          </w:p>
        </w:tc>
        <w:tc>
          <w:tcPr>
            <w:tcW w:w="217" w:type="dxa"/>
          </w:tcPr>
          <w:p w14:paraId="24D9ED0C" w14:textId="77777777" w:rsidR="002C0FD9" w:rsidRPr="00CA25CF" w:rsidRDefault="002C0FD9" w:rsidP="00CA25CF">
            <w:pPr>
              <w:rPr>
                <w:rFonts w:cs="Arial"/>
                <w:color w:val="FF0000"/>
                <w:sz w:val="21"/>
                <w:szCs w:val="21"/>
              </w:rPr>
            </w:pPr>
          </w:p>
        </w:tc>
        <w:tc>
          <w:tcPr>
            <w:tcW w:w="217" w:type="dxa"/>
          </w:tcPr>
          <w:p w14:paraId="5767A25A" w14:textId="77777777" w:rsidR="002C0FD9" w:rsidRPr="00CA25CF" w:rsidRDefault="002C0FD9" w:rsidP="00CA25CF">
            <w:pPr>
              <w:rPr>
                <w:rFonts w:cs="Arial"/>
                <w:color w:val="FF0000"/>
                <w:sz w:val="21"/>
                <w:szCs w:val="21"/>
              </w:rPr>
            </w:pPr>
          </w:p>
        </w:tc>
        <w:tc>
          <w:tcPr>
            <w:tcW w:w="217" w:type="dxa"/>
          </w:tcPr>
          <w:p w14:paraId="3DCC2AFD" w14:textId="77777777" w:rsidR="002C0FD9" w:rsidRPr="00CA25CF" w:rsidRDefault="002C0FD9" w:rsidP="00CA25CF">
            <w:pPr>
              <w:rPr>
                <w:rFonts w:cs="Arial"/>
                <w:color w:val="FF0000"/>
                <w:sz w:val="21"/>
                <w:szCs w:val="21"/>
              </w:rPr>
            </w:pPr>
          </w:p>
        </w:tc>
        <w:tc>
          <w:tcPr>
            <w:tcW w:w="217" w:type="dxa"/>
          </w:tcPr>
          <w:p w14:paraId="5C9A1303" w14:textId="77777777" w:rsidR="002C0FD9" w:rsidRPr="00CA25CF" w:rsidRDefault="002C0FD9" w:rsidP="00CA25CF">
            <w:pPr>
              <w:rPr>
                <w:rFonts w:cs="Arial"/>
                <w:color w:val="FF0000"/>
                <w:sz w:val="21"/>
                <w:szCs w:val="21"/>
              </w:rPr>
            </w:pPr>
          </w:p>
        </w:tc>
        <w:tc>
          <w:tcPr>
            <w:tcW w:w="217" w:type="dxa"/>
          </w:tcPr>
          <w:p w14:paraId="1DD83189" w14:textId="77777777" w:rsidR="002C0FD9" w:rsidRPr="00CA25CF" w:rsidRDefault="002C0FD9" w:rsidP="00CA25CF">
            <w:pPr>
              <w:rPr>
                <w:rFonts w:cs="Arial"/>
                <w:color w:val="FF0000"/>
                <w:sz w:val="21"/>
                <w:szCs w:val="21"/>
              </w:rPr>
            </w:pPr>
          </w:p>
        </w:tc>
        <w:tc>
          <w:tcPr>
            <w:tcW w:w="217" w:type="dxa"/>
          </w:tcPr>
          <w:p w14:paraId="09F10746" w14:textId="77777777" w:rsidR="002C0FD9" w:rsidRPr="00CA25CF" w:rsidRDefault="002C0FD9" w:rsidP="00CA25CF">
            <w:pPr>
              <w:rPr>
                <w:rFonts w:cs="Arial"/>
                <w:color w:val="FF0000"/>
                <w:sz w:val="21"/>
                <w:szCs w:val="21"/>
              </w:rPr>
            </w:pPr>
          </w:p>
        </w:tc>
        <w:tc>
          <w:tcPr>
            <w:tcW w:w="217" w:type="dxa"/>
          </w:tcPr>
          <w:p w14:paraId="7EB0CC3C" w14:textId="77777777" w:rsidR="002C0FD9" w:rsidRPr="00CA25CF" w:rsidRDefault="002C0FD9" w:rsidP="00CA25CF">
            <w:pPr>
              <w:rPr>
                <w:rFonts w:cs="Arial"/>
                <w:color w:val="FF0000"/>
                <w:sz w:val="21"/>
                <w:szCs w:val="21"/>
              </w:rPr>
            </w:pPr>
          </w:p>
        </w:tc>
        <w:tc>
          <w:tcPr>
            <w:tcW w:w="217" w:type="dxa"/>
          </w:tcPr>
          <w:p w14:paraId="5F9828C2" w14:textId="77777777" w:rsidR="002C0FD9" w:rsidRPr="00CA25CF" w:rsidRDefault="002C0FD9" w:rsidP="00CA25CF">
            <w:pPr>
              <w:rPr>
                <w:rFonts w:cs="Arial"/>
                <w:color w:val="FF0000"/>
                <w:sz w:val="21"/>
                <w:szCs w:val="21"/>
              </w:rPr>
            </w:pPr>
          </w:p>
        </w:tc>
        <w:tc>
          <w:tcPr>
            <w:tcW w:w="217" w:type="dxa"/>
          </w:tcPr>
          <w:p w14:paraId="6B608A31" w14:textId="77777777" w:rsidR="002C0FD9" w:rsidRPr="00CA25CF" w:rsidRDefault="002C0FD9" w:rsidP="00CA25CF">
            <w:pPr>
              <w:rPr>
                <w:rFonts w:cs="Arial"/>
                <w:color w:val="FF0000"/>
                <w:sz w:val="21"/>
                <w:szCs w:val="21"/>
              </w:rPr>
            </w:pPr>
          </w:p>
        </w:tc>
        <w:tc>
          <w:tcPr>
            <w:tcW w:w="217" w:type="dxa"/>
          </w:tcPr>
          <w:p w14:paraId="71A27355" w14:textId="77777777" w:rsidR="002C0FD9" w:rsidRPr="00CA25CF" w:rsidRDefault="002C0FD9" w:rsidP="00CA25CF">
            <w:pPr>
              <w:rPr>
                <w:rFonts w:cs="Arial"/>
                <w:color w:val="FF0000"/>
                <w:sz w:val="21"/>
                <w:szCs w:val="21"/>
              </w:rPr>
            </w:pPr>
          </w:p>
        </w:tc>
        <w:tc>
          <w:tcPr>
            <w:tcW w:w="217" w:type="dxa"/>
          </w:tcPr>
          <w:p w14:paraId="002F758D" w14:textId="77777777" w:rsidR="002C0FD9" w:rsidRPr="00CA25CF" w:rsidRDefault="002C0FD9" w:rsidP="00CA25CF">
            <w:pPr>
              <w:rPr>
                <w:rFonts w:cs="Arial"/>
                <w:color w:val="FF0000"/>
                <w:sz w:val="21"/>
                <w:szCs w:val="21"/>
              </w:rPr>
            </w:pPr>
          </w:p>
        </w:tc>
        <w:tc>
          <w:tcPr>
            <w:tcW w:w="217" w:type="dxa"/>
          </w:tcPr>
          <w:p w14:paraId="37BD4477" w14:textId="77777777" w:rsidR="002C0FD9" w:rsidRPr="00CA25CF" w:rsidRDefault="002C0FD9" w:rsidP="00CA25CF">
            <w:pPr>
              <w:rPr>
                <w:rFonts w:cs="Arial"/>
                <w:color w:val="FF0000"/>
                <w:sz w:val="21"/>
                <w:szCs w:val="21"/>
              </w:rPr>
            </w:pPr>
          </w:p>
        </w:tc>
      </w:tr>
      <w:tr w:rsidR="002C0FD9" w:rsidRPr="00A16219" w14:paraId="6949D17B" w14:textId="69F498B4" w:rsidTr="002C0FD9">
        <w:trPr>
          <w:trHeight w:val="635"/>
        </w:trPr>
        <w:tc>
          <w:tcPr>
            <w:tcW w:w="515" w:type="dxa"/>
          </w:tcPr>
          <w:p w14:paraId="7750151D" w14:textId="77777777" w:rsidR="002C0FD9" w:rsidRPr="00CA25CF" w:rsidRDefault="002C0FD9" w:rsidP="00CA25CF">
            <w:pPr>
              <w:rPr>
                <w:rFonts w:cs="Arial"/>
                <w:color w:val="FF0000"/>
                <w:sz w:val="21"/>
                <w:szCs w:val="21"/>
              </w:rPr>
            </w:pPr>
          </w:p>
        </w:tc>
        <w:tc>
          <w:tcPr>
            <w:tcW w:w="217" w:type="dxa"/>
          </w:tcPr>
          <w:p w14:paraId="60BB6A03" w14:textId="77777777" w:rsidR="002C0FD9" w:rsidRPr="00CA25CF" w:rsidRDefault="002C0FD9" w:rsidP="00CA25CF">
            <w:pPr>
              <w:rPr>
                <w:rFonts w:cs="Arial"/>
                <w:color w:val="FF0000"/>
                <w:sz w:val="21"/>
                <w:szCs w:val="21"/>
              </w:rPr>
            </w:pPr>
          </w:p>
        </w:tc>
        <w:tc>
          <w:tcPr>
            <w:tcW w:w="217" w:type="dxa"/>
          </w:tcPr>
          <w:p w14:paraId="5647044D" w14:textId="7A7B215A" w:rsidR="002C0FD9" w:rsidRPr="00CA25CF" w:rsidRDefault="002C0FD9" w:rsidP="00CA25CF">
            <w:pPr>
              <w:rPr>
                <w:rFonts w:cs="Arial"/>
                <w:color w:val="FF0000"/>
                <w:sz w:val="21"/>
                <w:szCs w:val="21"/>
              </w:rPr>
            </w:pPr>
          </w:p>
        </w:tc>
        <w:tc>
          <w:tcPr>
            <w:tcW w:w="217" w:type="dxa"/>
          </w:tcPr>
          <w:p w14:paraId="7D7CE718" w14:textId="77777777" w:rsidR="002C0FD9" w:rsidRPr="00CA25CF" w:rsidRDefault="002C0FD9" w:rsidP="00CA25CF">
            <w:pPr>
              <w:rPr>
                <w:rFonts w:cs="Arial"/>
                <w:color w:val="FF0000"/>
                <w:sz w:val="21"/>
                <w:szCs w:val="21"/>
              </w:rPr>
            </w:pPr>
          </w:p>
        </w:tc>
        <w:tc>
          <w:tcPr>
            <w:tcW w:w="217" w:type="dxa"/>
          </w:tcPr>
          <w:p w14:paraId="3BBA7DDA" w14:textId="77777777" w:rsidR="002C0FD9" w:rsidRPr="00CA25CF" w:rsidRDefault="002C0FD9" w:rsidP="00CA25CF">
            <w:pPr>
              <w:rPr>
                <w:rFonts w:cs="Arial"/>
                <w:color w:val="FF0000"/>
                <w:sz w:val="21"/>
                <w:szCs w:val="21"/>
              </w:rPr>
            </w:pPr>
          </w:p>
        </w:tc>
        <w:tc>
          <w:tcPr>
            <w:tcW w:w="217" w:type="dxa"/>
          </w:tcPr>
          <w:p w14:paraId="7C7AF0E1" w14:textId="77777777" w:rsidR="002C0FD9" w:rsidRPr="00CA25CF" w:rsidRDefault="002C0FD9" w:rsidP="00CA25CF">
            <w:pPr>
              <w:rPr>
                <w:rFonts w:cs="Arial"/>
                <w:color w:val="FF0000"/>
                <w:sz w:val="21"/>
                <w:szCs w:val="21"/>
              </w:rPr>
            </w:pPr>
          </w:p>
        </w:tc>
        <w:tc>
          <w:tcPr>
            <w:tcW w:w="217" w:type="dxa"/>
          </w:tcPr>
          <w:p w14:paraId="1377DC08" w14:textId="77777777" w:rsidR="002C0FD9" w:rsidRPr="00CA25CF" w:rsidRDefault="002C0FD9" w:rsidP="00CA25CF">
            <w:pPr>
              <w:rPr>
                <w:rFonts w:cs="Arial"/>
                <w:color w:val="FF0000"/>
                <w:sz w:val="21"/>
                <w:szCs w:val="21"/>
              </w:rPr>
            </w:pPr>
          </w:p>
        </w:tc>
        <w:tc>
          <w:tcPr>
            <w:tcW w:w="217" w:type="dxa"/>
          </w:tcPr>
          <w:p w14:paraId="7840CEC8" w14:textId="77777777" w:rsidR="002C0FD9" w:rsidRPr="00CA25CF" w:rsidRDefault="002C0FD9" w:rsidP="00CA25CF">
            <w:pPr>
              <w:rPr>
                <w:rFonts w:cs="Arial"/>
                <w:color w:val="FF0000"/>
                <w:sz w:val="21"/>
                <w:szCs w:val="21"/>
              </w:rPr>
            </w:pPr>
          </w:p>
        </w:tc>
        <w:tc>
          <w:tcPr>
            <w:tcW w:w="217" w:type="dxa"/>
          </w:tcPr>
          <w:p w14:paraId="260E0492" w14:textId="77777777" w:rsidR="002C0FD9" w:rsidRPr="00CA25CF" w:rsidRDefault="002C0FD9" w:rsidP="00CA25CF">
            <w:pPr>
              <w:rPr>
                <w:rFonts w:cs="Arial"/>
                <w:color w:val="FF0000"/>
                <w:sz w:val="21"/>
                <w:szCs w:val="21"/>
              </w:rPr>
            </w:pPr>
          </w:p>
        </w:tc>
        <w:tc>
          <w:tcPr>
            <w:tcW w:w="217" w:type="dxa"/>
          </w:tcPr>
          <w:p w14:paraId="02D21DA6" w14:textId="77777777" w:rsidR="002C0FD9" w:rsidRPr="00CA25CF" w:rsidRDefault="002C0FD9" w:rsidP="00CA25CF">
            <w:pPr>
              <w:rPr>
                <w:rFonts w:cs="Arial"/>
                <w:color w:val="FF0000"/>
                <w:sz w:val="21"/>
                <w:szCs w:val="21"/>
              </w:rPr>
            </w:pPr>
          </w:p>
        </w:tc>
        <w:tc>
          <w:tcPr>
            <w:tcW w:w="217" w:type="dxa"/>
          </w:tcPr>
          <w:p w14:paraId="51C81D28" w14:textId="77777777" w:rsidR="002C0FD9" w:rsidRPr="00CA25CF" w:rsidRDefault="002C0FD9" w:rsidP="00CA25CF">
            <w:pPr>
              <w:rPr>
                <w:rFonts w:cs="Arial"/>
                <w:color w:val="FF0000"/>
                <w:sz w:val="21"/>
                <w:szCs w:val="21"/>
              </w:rPr>
            </w:pPr>
          </w:p>
        </w:tc>
        <w:tc>
          <w:tcPr>
            <w:tcW w:w="217" w:type="dxa"/>
          </w:tcPr>
          <w:p w14:paraId="051355B0" w14:textId="77777777" w:rsidR="002C0FD9" w:rsidRPr="00CA25CF" w:rsidRDefault="002C0FD9" w:rsidP="00CA25CF">
            <w:pPr>
              <w:rPr>
                <w:rFonts w:cs="Arial"/>
                <w:color w:val="FF0000"/>
                <w:sz w:val="21"/>
                <w:szCs w:val="21"/>
              </w:rPr>
            </w:pPr>
          </w:p>
        </w:tc>
        <w:tc>
          <w:tcPr>
            <w:tcW w:w="217" w:type="dxa"/>
          </w:tcPr>
          <w:p w14:paraId="51CAF65C" w14:textId="77777777" w:rsidR="002C0FD9" w:rsidRPr="00CA25CF" w:rsidRDefault="002C0FD9" w:rsidP="00CA25CF">
            <w:pPr>
              <w:rPr>
                <w:rFonts w:cs="Arial"/>
                <w:color w:val="FF0000"/>
                <w:sz w:val="21"/>
                <w:szCs w:val="21"/>
              </w:rPr>
            </w:pPr>
          </w:p>
        </w:tc>
        <w:tc>
          <w:tcPr>
            <w:tcW w:w="217" w:type="dxa"/>
          </w:tcPr>
          <w:p w14:paraId="725A14D0" w14:textId="77777777" w:rsidR="002C0FD9" w:rsidRPr="00CA25CF" w:rsidRDefault="002C0FD9" w:rsidP="00CA25CF">
            <w:pPr>
              <w:rPr>
                <w:rFonts w:cs="Arial"/>
                <w:color w:val="FF0000"/>
                <w:sz w:val="21"/>
                <w:szCs w:val="21"/>
              </w:rPr>
            </w:pPr>
          </w:p>
        </w:tc>
        <w:tc>
          <w:tcPr>
            <w:tcW w:w="217" w:type="dxa"/>
          </w:tcPr>
          <w:p w14:paraId="04DD7743" w14:textId="77777777" w:rsidR="002C0FD9" w:rsidRPr="00CA25CF" w:rsidRDefault="002C0FD9" w:rsidP="00CA25CF">
            <w:pPr>
              <w:rPr>
                <w:rFonts w:cs="Arial"/>
                <w:color w:val="FF0000"/>
                <w:sz w:val="21"/>
                <w:szCs w:val="21"/>
              </w:rPr>
            </w:pPr>
          </w:p>
        </w:tc>
        <w:tc>
          <w:tcPr>
            <w:tcW w:w="217" w:type="dxa"/>
          </w:tcPr>
          <w:p w14:paraId="307B2596" w14:textId="1A897303" w:rsidR="002C0FD9" w:rsidRPr="00CA25CF" w:rsidRDefault="002C0FD9" w:rsidP="00CA25CF">
            <w:pPr>
              <w:rPr>
                <w:rFonts w:cs="Arial"/>
                <w:color w:val="FF0000"/>
                <w:sz w:val="21"/>
                <w:szCs w:val="21"/>
              </w:rPr>
            </w:pPr>
          </w:p>
        </w:tc>
        <w:tc>
          <w:tcPr>
            <w:tcW w:w="217" w:type="dxa"/>
          </w:tcPr>
          <w:p w14:paraId="7F5DB4FE" w14:textId="77777777" w:rsidR="002C0FD9" w:rsidRPr="00CA25CF" w:rsidRDefault="002C0FD9" w:rsidP="00CA25CF">
            <w:pPr>
              <w:rPr>
                <w:rFonts w:cs="Arial"/>
                <w:color w:val="FF0000"/>
                <w:sz w:val="21"/>
                <w:szCs w:val="21"/>
              </w:rPr>
            </w:pPr>
          </w:p>
        </w:tc>
        <w:tc>
          <w:tcPr>
            <w:tcW w:w="217" w:type="dxa"/>
          </w:tcPr>
          <w:p w14:paraId="48F57BBE" w14:textId="77777777" w:rsidR="002C0FD9" w:rsidRPr="00CA25CF" w:rsidRDefault="002C0FD9" w:rsidP="00CA25CF">
            <w:pPr>
              <w:rPr>
                <w:rFonts w:cs="Arial"/>
                <w:color w:val="FF0000"/>
                <w:sz w:val="21"/>
                <w:szCs w:val="21"/>
              </w:rPr>
            </w:pPr>
          </w:p>
        </w:tc>
        <w:tc>
          <w:tcPr>
            <w:tcW w:w="217" w:type="dxa"/>
          </w:tcPr>
          <w:p w14:paraId="0C991173" w14:textId="77777777" w:rsidR="002C0FD9" w:rsidRPr="00CA25CF" w:rsidRDefault="002C0FD9" w:rsidP="00CA25CF">
            <w:pPr>
              <w:rPr>
                <w:rFonts w:cs="Arial"/>
                <w:color w:val="FF0000"/>
                <w:sz w:val="21"/>
                <w:szCs w:val="21"/>
              </w:rPr>
            </w:pPr>
          </w:p>
        </w:tc>
        <w:tc>
          <w:tcPr>
            <w:tcW w:w="217" w:type="dxa"/>
          </w:tcPr>
          <w:p w14:paraId="673F320E" w14:textId="77777777" w:rsidR="002C0FD9" w:rsidRPr="00CA25CF" w:rsidRDefault="002C0FD9" w:rsidP="00CA25CF">
            <w:pPr>
              <w:rPr>
                <w:rFonts w:cs="Arial"/>
                <w:color w:val="FF0000"/>
                <w:sz w:val="21"/>
                <w:szCs w:val="21"/>
              </w:rPr>
            </w:pPr>
          </w:p>
        </w:tc>
        <w:tc>
          <w:tcPr>
            <w:tcW w:w="217" w:type="dxa"/>
          </w:tcPr>
          <w:p w14:paraId="7E7035A6" w14:textId="77777777" w:rsidR="002C0FD9" w:rsidRPr="00CA25CF" w:rsidRDefault="002C0FD9" w:rsidP="00CA25CF">
            <w:pPr>
              <w:rPr>
                <w:rFonts w:cs="Arial"/>
                <w:color w:val="FF0000"/>
                <w:sz w:val="21"/>
                <w:szCs w:val="21"/>
              </w:rPr>
            </w:pPr>
          </w:p>
        </w:tc>
        <w:tc>
          <w:tcPr>
            <w:tcW w:w="217" w:type="dxa"/>
          </w:tcPr>
          <w:p w14:paraId="31C71718" w14:textId="77777777" w:rsidR="002C0FD9" w:rsidRPr="00CA25CF" w:rsidRDefault="002C0FD9" w:rsidP="00CA25CF">
            <w:pPr>
              <w:rPr>
                <w:rFonts w:cs="Arial"/>
                <w:color w:val="FF0000"/>
                <w:sz w:val="21"/>
                <w:szCs w:val="21"/>
              </w:rPr>
            </w:pPr>
          </w:p>
        </w:tc>
        <w:tc>
          <w:tcPr>
            <w:tcW w:w="217" w:type="dxa"/>
          </w:tcPr>
          <w:p w14:paraId="679316D7" w14:textId="77777777" w:rsidR="002C0FD9" w:rsidRPr="00CA25CF" w:rsidRDefault="002C0FD9" w:rsidP="00CA25CF">
            <w:pPr>
              <w:rPr>
                <w:rFonts w:cs="Arial"/>
                <w:color w:val="FF0000"/>
                <w:sz w:val="21"/>
                <w:szCs w:val="21"/>
              </w:rPr>
            </w:pPr>
          </w:p>
        </w:tc>
        <w:tc>
          <w:tcPr>
            <w:tcW w:w="217" w:type="dxa"/>
          </w:tcPr>
          <w:p w14:paraId="10E03410" w14:textId="77777777" w:rsidR="002C0FD9" w:rsidRPr="00CA25CF" w:rsidRDefault="002C0FD9" w:rsidP="00CA25CF">
            <w:pPr>
              <w:rPr>
                <w:rFonts w:cs="Arial"/>
                <w:color w:val="FF0000"/>
                <w:sz w:val="21"/>
                <w:szCs w:val="21"/>
              </w:rPr>
            </w:pPr>
          </w:p>
        </w:tc>
        <w:tc>
          <w:tcPr>
            <w:tcW w:w="217" w:type="dxa"/>
          </w:tcPr>
          <w:p w14:paraId="043A0A41" w14:textId="77777777" w:rsidR="002C0FD9" w:rsidRPr="00CA25CF" w:rsidRDefault="002C0FD9" w:rsidP="00CA25CF">
            <w:pPr>
              <w:rPr>
                <w:rFonts w:cs="Arial"/>
                <w:color w:val="FF0000"/>
                <w:sz w:val="21"/>
                <w:szCs w:val="21"/>
              </w:rPr>
            </w:pPr>
          </w:p>
        </w:tc>
        <w:tc>
          <w:tcPr>
            <w:tcW w:w="217" w:type="dxa"/>
          </w:tcPr>
          <w:p w14:paraId="41A81B2E" w14:textId="77777777" w:rsidR="002C0FD9" w:rsidRPr="00CA25CF" w:rsidRDefault="002C0FD9" w:rsidP="00CA25CF">
            <w:pPr>
              <w:rPr>
                <w:rFonts w:cs="Arial"/>
                <w:color w:val="FF0000"/>
                <w:sz w:val="21"/>
                <w:szCs w:val="21"/>
              </w:rPr>
            </w:pPr>
          </w:p>
        </w:tc>
        <w:tc>
          <w:tcPr>
            <w:tcW w:w="217" w:type="dxa"/>
          </w:tcPr>
          <w:p w14:paraId="69279D0F" w14:textId="77777777" w:rsidR="002C0FD9" w:rsidRPr="00CA25CF" w:rsidRDefault="002C0FD9" w:rsidP="00CA25CF">
            <w:pPr>
              <w:rPr>
                <w:rFonts w:cs="Arial"/>
                <w:color w:val="FF0000"/>
                <w:sz w:val="21"/>
                <w:szCs w:val="21"/>
              </w:rPr>
            </w:pPr>
          </w:p>
        </w:tc>
        <w:tc>
          <w:tcPr>
            <w:tcW w:w="217" w:type="dxa"/>
          </w:tcPr>
          <w:p w14:paraId="2FC13120" w14:textId="77777777" w:rsidR="002C0FD9" w:rsidRPr="00CA25CF" w:rsidRDefault="002C0FD9" w:rsidP="00CA25CF">
            <w:pPr>
              <w:rPr>
                <w:rFonts w:cs="Arial"/>
                <w:color w:val="FF0000"/>
                <w:sz w:val="21"/>
                <w:szCs w:val="21"/>
              </w:rPr>
            </w:pPr>
          </w:p>
        </w:tc>
        <w:tc>
          <w:tcPr>
            <w:tcW w:w="217" w:type="dxa"/>
          </w:tcPr>
          <w:p w14:paraId="218668F3" w14:textId="77777777" w:rsidR="002C0FD9" w:rsidRPr="00CA25CF" w:rsidRDefault="002C0FD9" w:rsidP="00CA25CF">
            <w:pPr>
              <w:rPr>
                <w:rFonts w:cs="Arial"/>
                <w:color w:val="FF0000"/>
                <w:sz w:val="21"/>
                <w:szCs w:val="21"/>
              </w:rPr>
            </w:pPr>
          </w:p>
        </w:tc>
        <w:tc>
          <w:tcPr>
            <w:tcW w:w="217" w:type="dxa"/>
          </w:tcPr>
          <w:p w14:paraId="3C750154" w14:textId="77777777" w:rsidR="002C0FD9" w:rsidRPr="00CA25CF" w:rsidRDefault="002C0FD9" w:rsidP="00CA25CF">
            <w:pPr>
              <w:rPr>
                <w:rFonts w:cs="Arial"/>
                <w:color w:val="FF0000"/>
                <w:sz w:val="21"/>
                <w:szCs w:val="21"/>
              </w:rPr>
            </w:pPr>
          </w:p>
        </w:tc>
        <w:tc>
          <w:tcPr>
            <w:tcW w:w="217" w:type="dxa"/>
          </w:tcPr>
          <w:p w14:paraId="6FC0BF31" w14:textId="77777777" w:rsidR="002C0FD9" w:rsidRPr="00CA25CF" w:rsidRDefault="002C0FD9" w:rsidP="00CA25CF">
            <w:pPr>
              <w:rPr>
                <w:rFonts w:cs="Arial"/>
                <w:color w:val="FF0000"/>
                <w:sz w:val="21"/>
                <w:szCs w:val="21"/>
              </w:rPr>
            </w:pPr>
          </w:p>
        </w:tc>
        <w:tc>
          <w:tcPr>
            <w:tcW w:w="217" w:type="dxa"/>
          </w:tcPr>
          <w:p w14:paraId="5073A62C" w14:textId="77777777" w:rsidR="002C0FD9" w:rsidRPr="00CA25CF" w:rsidRDefault="002C0FD9" w:rsidP="00CA25CF">
            <w:pPr>
              <w:rPr>
                <w:rFonts w:cs="Arial"/>
                <w:color w:val="FF0000"/>
                <w:sz w:val="21"/>
                <w:szCs w:val="21"/>
              </w:rPr>
            </w:pPr>
          </w:p>
        </w:tc>
        <w:tc>
          <w:tcPr>
            <w:tcW w:w="217" w:type="dxa"/>
          </w:tcPr>
          <w:p w14:paraId="7FBACB0F" w14:textId="77777777" w:rsidR="002C0FD9" w:rsidRPr="00CA25CF" w:rsidRDefault="002C0FD9" w:rsidP="00CA25CF">
            <w:pPr>
              <w:rPr>
                <w:rFonts w:cs="Arial"/>
                <w:color w:val="FF0000"/>
                <w:sz w:val="21"/>
                <w:szCs w:val="21"/>
              </w:rPr>
            </w:pPr>
          </w:p>
        </w:tc>
        <w:tc>
          <w:tcPr>
            <w:tcW w:w="217" w:type="dxa"/>
          </w:tcPr>
          <w:p w14:paraId="3C0CFFED" w14:textId="77777777" w:rsidR="002C0FD9" w:rsidRPr="00CA25CF" w:rsidRDefault="002C0FD9" w:rsidP="00CA25CF">
            <w:pPr>
              <w:rPr>
                <w:rFonts w:cs="Arial"/>
                <w:color w:val="FF0000"/>
                <w:sz w:val="21"/>
                <w:szCs w:val="21"/>
              </w:rPr>
            </w:pPr>
          </w:p>
        </w:tc>
        <w:tc>
          <w:tcPr>
            <w:tcW w:w="217" w:type="dxa"/>
          </w:tcPr>
          <w:p w14:paraId="59C2FC24" w14:textId="77777777" w:rsidR="002C0FD9" w:rsidRPr="00CA25CF" w:rsidRDefault="002C0FD9" w:rsidP="00CA25CF">
            <w:pPr>
              <w:rPr>
                <w:rFonts w:cs="Arial"/>
                <w:color w:val="FF0000"/>
                <w:sz w:val="21"/>
                <w:szCs w:val="21"/>
              </w:rPr>
            </w:pPr>
          </w:p>
        </w:tc>
        <w:tc>
          <w:tcPr>
            <w:tcW w:w="217" w:type="dxa"/>
          </w:tcPr>
          <w:p w14:paraId="284FD123" w14:textId="77777777" w:rsidR="002C0FD9" w:rsidRPr="00CA25CF" w:rsidRDefault="002C0FD9" w:rsidP="00CA25CF">
            <w:pPr>
              <w:rPr>
                <w:rFonts w:cs="Arial"/>
                <w:color w:val="FF0000"/>
                <w:sz w:val="21"/>
                <w:szCs w:val="21"/>
              </w:rPr>
            </w:pPr>
          </w:p>
        </w:tc>
        <w:tc>
          <w:tcPr>
            <w:tcW w:w="217" w:type="dxa"/>
          </w:tcPr>
          <w:p w14:paraId="19170050" w14:textId="77777777" w:rsidR="002C0FD9" w:rsidRPr="00CA25CF" w:rsidRDefault="002C0FD9" w:rsidP="00CA25CF">
            <w:pPr>
              <w:rPr>
                <w:rFonts w:cs="Arial"/>
                <w:color w:val="FF0000"/>
                <w:sz w:val="21"/>
                <w:szCs w:val="21"/>
              </w:rPr>
            </w:pPr>
          </w:p>
        </w:tc>
        <w:tc>
          <w:tcPr>
            <w:tcW w:w="217" w:type="dxa"/>
          </w:tcPr>
          <w:p w14:paraId="2273B350" w14:textId="77777777" w:rsidR="002C0FD9" w:rsidRPr="00CA25CF" w:rsidRDefault="002C0FD9" w:rsidP="00CA25CF">
            <w:pPr>
              <w:rPr>
                <w:rFonts w:cs="Arial"/>
                <w:color w:val="FF0000"/>
                <w:sz w:val="21"/>
                <w:szCs w:val="21"/>
              </w:rPr>
            </w:pPr>
          </w:p>
        </w:tc>
        <w:tc>
          <w:tcPr>
            <w:tcW w:w="217" w:type="dxa"/>
          </w:tcPr>
          <w:p w14:paraId="4BB2CB05" w14:textId="77777777" w:rsidR="002C0FD9" w:rsidRPr="00CA25CF" w:rsidRDefault="002C0FD9" w:rsidP="00CA25CF">
            <w:pPr>
              <w:rPr>
                <w:rFonts w:cs="Arial"/>
                <w:color w:val="FF0000"/>
                <w:sz w:val="21"/>
                <w:szCs w:val="21"/>
              </w:rPr>
            </w:pPr>
          </w:p>
        </w:tc>
        <w:tc>
          <w:tcPr>
            <w:tcW w:w="217" w:type="dxa"/>
          </w:tcPr>
          <w:p w14:paraId="2523592F" w14:textId="77777777" w:rsidR="002C0FD9" w:rsidRPr="00CA25CF" w:rsidRDefault="002C0FD9" w:rsidP="00CA25CF">
            <w:pPr>
              <w:rPr>
                <w:rFonts w:cs="Arial"/>
                <w:color w:val="FF0000"/>
                <w:sz w:val="21"/>
                <w:szCs w:val="21"/>
              </w:rPr>
            </w:pPr>
          </w:p>
        </w:tc>
        <w:tc>
          <w:tcPr>
            <w:tcW w:w="217" w:type="dxa"/>
          </w:tcPr>
          <w:p w14:paraId="582115CC" w14:textId="77777777" w:rsidR="002C0FD9" w:rsidRPr="00CA25CF" w:rsidRDefault="002C0FD9" w:rsidP="00CA25CF">
            <w:pPr>
              <w:rPr>
                <w:rFonts w:cs="Arial"/>
                <w:color w:val="FF0000"/>
                <w:sz w:val="21"/>
                <w:szCs w:val="21"/>
              </w:rPr>
            </w:pPr>
          </w:p>
        </w:tc>
        <w:tc>
          <w:tcPr>
            <w:tcW w:w="217" w:type="dxa"/>
          </w:tcPr>
          <w:p w14:paraId="084E1605" w14:textId="77777777" w:rsidR="002C0FD9" w:rsidRPr="00CA25CF" w:rsidRDefault="002C0FD9" w:rsidP="00CA25CF">
            <w:pPr>
              <w:rPr>
                <w:rFonts w:cs="Arial"/>
                <w:color w:val="FF0000"/>
                <w:sz w:val="21"/>
                <w:szCs w:val="21"/>
              </w:rPr>
            </w:pPr>
          </w:p>
        </w:tc>
        <w:tc>
          <w:tcPr>
            <w:tcW w:w="217" w:type="dxa"/>
          </w:tcPr>
          <w:p w14:paraId="36AF684D" w14:textId="77777777" w:rsidR="002C0FD9" w:rsidRPr="00CA25CF" w:rsidRDefault="002C0FD9" w:rsidP="00CA25CF">
            <w:pPr>
              <w:rPr>
                <w:rFonts w:cs="Arial"/>
                <w:color w:val="FF0000"/>
                <w:sz w:val="21"/>
                <w:szCs w:val="21"/>
              </w:rPr>
            </w:pPr>
          </w:p>
        </w:tc>
      </w:tr>
      <w:tr w:rsidR="002C0FD9" w:rsidRPr="00A16219" w14:paraId="4F2EE7B5" w14:textId="512871BC" w:rsidTr="002C0FD9">
        <w:trPr>
          <w:trHeight w:val="635"/>
        </w:trPr>
        <w:tc>
          <w:tcPr>
            <w:tcW w:w="515" w:type="dxa"/>
          </w:tcPr>
          <w:p w14:paraId="4FF63B11" w14:textId="77777777" w:rsidR="002C0FD9" w:rsidRPr="00CA25CF" w:rsidRDefault="002C0FD9" w:rsidP="00CA25CF">
            <w:pPr>
              <w:rPr>
                <w:rFonts w:cs="Arial"/>
                <w:color w:val="FF0000"/>
                <w:sz w:val="21"/>
                <w:szCs w:val="21"/>
              </w:rPr>
            </w:pPr>
          </w:p>
        </w:tc>
        <w:tc>
          <w:tcPr>
            <w:tcW w:w="217" w:type="dxa"/>
          </w:tcPr>
          <w:p w14:paraId="4D485372" w14:textId="77777777" w:rsidR="002C0FD9" w:rsidRPr="00CA25CF" w:rsidRDefault="002C0FD9" w:rsidP="00CA25CF">
            <w:pPr>
              <w:rPr>
                <w:rFonts w:cs="Arial"/>
                <w:color w:val="FF0000"/>
                <w:sz w:val="21"/>
                <w:szCs w:val="21"/>
              </w:rPr>
            </w:pPr>
          </w:p>
        </w:tc>
        <w:tc>
          <w:tcPr>
            <w:tcW w:w="217" w:type="dxa"/>
          </w:tcPr>
          <w:p w14:paraId="3444DDC8" w14:textId="24B84C00" w:rsidR="002C0FD9" w:rsidRPr="00CA25CF" w:rsidRDefault="002C0FD9" w:rsidP="00CA25CF">
            <w:pPr>
              <w:rPr>
                <w:rFonts w:cs="Arial"/>
                <w:color w:val="FF0000"/>
                <w:sz w:val="21"/>
                <w:szCs w:val="21"/>
              </w:rPr>
            </w:pPr>
          </w:p>
        </w:tc>
        <w:tc>
          <w:tcPr>
            <w:tcW w:w="217" w:type="dxa"/>
          </w:tcPr>
          <w:p w14:paraId="50FD1CFE" w14:textId="77777777" w:rsidR="002C0FD9" w:rsidRPr="00CA25CF" w:rsidRDefault="002C0FD9" w:rsidP="00CA25CF">
            <w:pPr>
              <w:rPr>
                <w:rFonts w:cs="Arial"/>
                <w:color w:val="FF0000"/>
                <w:sz w:val="21"/>
                <w:szCs w:val="21"/>
              </w:rPr>
            </w:pPr>
          </w:p>
        </w:tc>
        <w:tc>
          <w:tcPr>
            <w:tcW w:w="217" w:type="dxa"/>
          </w:tcPr>
          <w:p w14:paraId="194E263A" w14:textId="77777777" w:rsidR="002C0FD9" w:rsidRPr="00CA25CF" w:rsidRDefault="002C0FD9" w:rsidP="00CA25CF">
            <w:pPr>
              <w:rPr>
                <w:rFonts w:cs="Arial"/>
                <w:color w:val="FF0000"/>
                <w:sz w:val="21"/>
                <w:szCs w:val="21"/>
              </w:rPr>
            </w:pPr>
          </w:p>
        </w:tc>
        <w:tc>
          <w:tcPr>
            <w:tcW w:w="217" w:type="dxa"/>
          </w:tcPr>
          <w:p w14:paraId="661D2C66" w14:textId="77777777" w:rsidR="002C0FD9" w:rsidRPr="00CA25CF" w:rsidRDefault="002C0FD9" w:rsidP="00CA25CF">
            <w:pPr>
              <w:rPr>
                <w:rFonts w:cs="Arial"/>
                <w:color w:val="FF0000"/>
                <w:sz w:val="21"/>
                <w:szCs w:val="21"/>
              </w:rPr>
            </w:pPr>
          </w:p>
        </w:tc>
        <w:tc>
          <w:tcPr>
            <w:tcW w:w="217" w:type="dxa"/>
          </w:tcPr>
          <w:p w14:paraId="083D4124" w14:textId="77777777" w:rsidR="002C0FD9" w:rsidRPr="00CA25CF" w:rsidRDefault="002C0FD9" w:rsidP="00CA25CF">
            <w:pPr>
              <w:rPr>
                <w:rFonts w:cs="Arial"/>
                <w:color w:val="FF0000"/>
                <w:sz w:val="21"/>
                <w:szCs w:val="21"/>
              </w:rPr>
            </w:pPr>
          </w:p>
        </w:tc>
        <w:tc>
          <w:tcPr>
            <w:tcW w:w="217" w:type="dxa"/>
          </w:tcPr>
          <w:p w14:paraId="30F8ADC3" w14:textId="77777777" w:rsidR="002C0FD9" w:rsidRPr="00CA25CF" w:rsidRDefault="002C0FD9" w:rsidP="00CA25CF">
            <w:pPr>
              <w:rPr>
                <w:rFonts w:cs="Arial"/>
                <w:color w:val="FF0000"/>
                <w:sz w:val="21"/>
                <w:szCs w:val="21"/>
              </w:rPr>
            </w:pPr>
          </w:p>
        </w:tc>
        <w:tc>
          <w:tcPr>
            <w:tcW w:w="217" w:type="dxa"/>
          </w:tcPr>
          <w:p w14:paraId="05B4DAE5" w14:textId="77777777" w:rsidR="002C0FD9" w:rsidRPr="00CA25CF" w:rsidRDefault="002C0FD9" w:rsidP="00CA25CF">
            <w:pPr>
              <w:rPr>
                <w:rFonts w:cs="Arial"/>
                <w:color w:val="FF0000"/>
                <w:sz w:val="21"/>
                <w:szCs w:val="21"/>
              </w:rPr>
            </w:pPr>
          </w:p>
        </w:tc>
        <w:tc>
          <w:tcPr>
            <w:tcW w:w="217" w:type="dxa"/>
          </w:tcPr>
          <w:p w14:paraId="063E376C" w14:textId="77777777" w:rsidR="002C0FD9" w:rsidRPr="00CA25CF" w:rsidRDefault="002C0FD9" w:rsidP="00CA25CF">
            <w:pPr>
              <w:rPr>
                <w:rFonts w:cs="Arial"/>
                <w:color w:val="FF0000"/>
                <w:sz w:val="21"/>
                <w:szCs w:val="21"/>
              </w:rPr>
            </w:pPr>
          </w:p>
        </w:tc>
        <w:tc>
          <w:tcPr>
            <w:tcW w:w="217" w:type="dxa"/>
          </w:tcPr>
          <w:p w14:paraId="1BE0CE81" w14:textId="77777777" w:rsidR="002C0FD9" w:rsidRPr="00CA25CF" w:rsidRDefault="002C0FD9" w:rsidP="00CA25CF">
            <w:pPr>
              <w:rPr>
                <w:rFonts w:cs="Arial"/>
                <w:color w:val="FF0000"/>
                <w:sz w:val="21"/>
                <w:szCs w:val="21"/>
              </w:rPr>
            </w:pPr>
          </w:p>
        </w:tc>
        <w:tc>
          <w:tcPr>
            <w:tcW w:w="217" w:type="dxa"/>
          </w:tcPr>
          <w:p w14:paraId="1A5EDB0B" w14:textId="77777777" w:rsidR="002C0FD9" w:rsidRPr="00CA25CF" w:rsidRDefault="002C0FD9" w:rsidP="00CA25CF">
            <w:pPr>
              <w:rPr>
                <w:rFonts w:cs="Arial"/>
                <w:color w:val="FF0000"/>
                <w:sz w:val="21"/>
                <w:szCs w:val="21"/>
              </w:rPr>
            </w:pPr>
          </w:p>
        </w:tc>
        <w:tc>
          <w:tcPr>
            <w:tcW w:w="217" w:type="dxa"/>
          </w:tcPr>
          <w:p w14:paraId="440606F8" w14:textId="77777777" w:rsidR="002C0FD9" w:rsidRPr="00CA25CF" w:rsidRDefault="002C0FD9" w:rsidP="00CA25CF">
            <w:pPr>
              <w:rPr>
                <w:rFonts w:cs="Arial"/>
                <w:color w:val="FF0000"/>
                <w:sz w:val="21"/>
                <w:szCs w:val="21"/>
              </w:rPr>
            </w:pPr>
          </w:p>
        </w:tc>
        <w:tc>
          <w:tcPr>
            <w:tcW w:w="217" w:type="dxa"/>
          </w:tcPr>
          <w:p w14:paraId="364626FF" w14:textId="77777777" w:rsidR="002C0FD9" w:rsidRPr="00CA25CF" w:rsidRDefault="002C0FD9" w:rsidP="00CA25CF">
            <w:pPr>
              <w:rPr>
                <w:rFonts w:cs="Arial"/>
                <w:color w:val="FF0000"/>
                <w:sz w:val="21"/>
                <w:szCs w:val="21"/>
              </w:rPr>
            </w:pPr>
          </w:p>
        </w:tc>
        <w:tc>
          <w:tcPr>
            <w:tcW w:w="217" w:type="dxa"/>
          </w:tcPr>
          <w:p w14:paraId="3C52C261" w14:textId="77777777" w:rsidR="002C0FD9" w:rsidRPr="00CA25CF" w:rsidRDefault="002C0FD9" w:rsidP="00CA25CF">
            <w:pPr>
              <w:rPr>
                <w:rFonts w:cs="Arial"/>
                <w:color w:val="FF0000"/>
                <w:sz w:val="21"/>
                <w:szCs w:val="21"/>
              </w:rPr>
            </w:pPr>
          </w:p>
        </w:tc>
        <w:tc>
          <w:tcPr>
            <w:tcW w:w="217" w:type="dxa"/>
          </w:tcPr>
          <w:p w14:paraId="6A4D078A" w14:textId="74734898" w:rsidR="002C0FD9" w:rsidRPr="00CA25CF" w:rsidRDefault="002C0FD9" w:rsidP="00CA25CF">
            <w:pPr>
              <w:rPr>
                <w:rFonts w:cs="Arial"/>
                <w:color w:val="FF0000"/>
                <w:sz w:val="21"/>
                <w:szCs w:val="21"/>
              </w:rPr>
            </w:pPr>
          </w:p>
        </w:tc>
        <w:tc>
          <w:tcPr>
            <w:tcW w:w="217" w:type="dxa"/>
          </w:tcPr>
          <w:p w14:paraId="28271E5D" w14:textId="77777777" w:rsidR="002C0FD9" w:rsidRPr="00CA25CF" w:rsidRDefault="002C0FD9" w:rsidP="00CA25CF">
            <w:pPr>
              <w:rPr>
                <w:rFonts w:cs="Arial"/>
                <w:color w:val="FF0000"/>
                <w:sz w:val="21"/>
                <w:szCs w:val="21"/>
              </w:rPr>
            </w:pPr>
          </w:p>
        </w:tc>
        <w:tc>
          <w:tcPr>
            <w:tcW w:w="217" w:type="dxa"/>
          </w:tcPr>
          <w:p w14:paraId="7FC49878" w14:textId="77777777" w:rsidR="002C0FD9" w:rsidRPr="00CA25CF" w:rsidRDefault="002C0FD9" w:rsidP="00CA25CF">
            <w:pPr>
              <w:rPr>
                <w:rFonts w:cs="Arial"/>
                <w:color w:val="FF0000"/>
                <w:sz w:val="21"/>
                <w:szCs w:val="21"/>
              </w:rPr>
            </w:pPr>
          </w:p>
        </w:tc>
        <w:tc>
          <w:tcPr>
            <w:tcW w:w="217" w:type="dxa"/>
          </w:tcPr>
          <w:p w14:paraId="341A26C2" w14:textId="77777777" w:rsidR="002C0FD9" w:rsidRPr="00CA25CF" w:rsidRDefault="002C0FD9" w:rsidP="00CA25CF">
            <w:pPr>
              <w:rPr>
                <w:rFonts w:cs="Arial"/>
                <w:color w:val="FF0000"/>
                <w:sz w:val="21"/>
                <w:szCs w:val="21"/>
              </w:rPr>
            </w:pPr>
          </w:p>
        </w:tc>
        <w:tc>
          <w:tcPr>
            <w:tcW w:w="217" w:type="dxa"/>
          </w:tcPr>
          <w:p w14:paraId="6A4DC15B" w14:textId="77777777" w:rsidR="002C0FD9" w:rsidRPr="00CA25CF" w:rsidRDefault="002C0FD9" w:rsidP="00CA25CF">
            <w:pPr>
              <w:rPr>
                <w:rFonts w:cs="Arial"/>
                <w:color w:val="FF0000"/>
                <w:sz w:val="21"/>
                <w:szCs w:val="21"/>
              </w:rPr>
            </w:pPr>
          </w:p>
        </w:tc>
        <w:tc>
          <w:tcPr>
            <w:tcW w:w="217" w:type="dxa"/>
          </w:tcPr>
          <w:p w14:paraId="43FFBAF1" w14:textId="77777777" w:rsidR="002C0FD9" w:rsidRPr="00CA25CF" w:rsidRDefault="002C0FD9" w:rsidP="00CA25CF">
            <w:pPr>
              <w:rPr>
                <w:rFonts w:cs="Arial"/>
                <w:color w:val="FF0000"/>
                <w:sz w:val="21"/>
                <w:szCs w:val="21"/>
              </w:rPr>
            </w:pPr>
          </w:p>
        </w:tc>
        <w:tc>
          <w:tcPr>
            <w:tcW w:w="217" w:type="dxa"/>
          </w:tcPr>
          <w:p w14:paraId="44B38532" w14:textId="77777777" w:rsidR="002C0FD9" w:rsidRPr="00CA25CF" w:rsidRDefault="002C0FD9" w:rsidP="00CA25CF">
            <w:pPr>
              <w:rPr>
                <w:rFonts w:cs="Arial"/>
                <w:color w:val="FF0000"/>
                <w:sz w:val="21"/>
                <w:szCs w:val="21"/>
              </w:rPr>
            </w:pPr>
          </w:p>
        </w:tc>
        <w:tc>
          <w:tcPr>
            <w:tcW w:w="217" w:type="dxa"/>
          </w:tcPr>
          <w:p w14:paraId="17A01CA8" w14:textId="77777777" w:rsidR="002C0FD9" w:rsidRPr="00CA25CF" w:rsidRDefault="002C0FD9" w:rsidP="00CA25CF">
            <w:pPr>
              <w:rPr>
                <w:rFonts w:cs="Arial"/>
                <w:color w:val="FF0000"/>
                <w:sz w:val="21"/>
                <w:szCs w:val="21"/>
              </w:rPr>
            </w:pPr>
          </w:p>
        </w:tc>
        <w:tc>
          <w:tcPr>
            <w:tcW w:w="217" w:type="dxa"/>
          </w:tcPr>
          <w:p w14:paraId="747806F6" w14:textId="77777777" w:rsidR="002C0FD9" w:rsidRPr="00CA25CF" w:rsidRDefault="002C0FD9" w:rsidP="00CA25CF">
            <w:pPr>
              <w:rPr>
                <w:rFonts w:cs="Arial"/>
                <w:color w:val="FF0000"/>
                <w:sz w:val="21"/>
                <w:szCs w:val="21"/>
              </w:rPr>
            </w:pPr>
          </w:p>
        </w:tc>
        <w:tc>
          <w:tcPr>
            <w:tcW w:w="217" w:type="dxa"/>
          </w:tcPr>
          <w:p w14:paraId="3BAFF278" w14:textId="77777777" w:rsidR="002C0FD9" w:rsidRPr="00CA25CF" w:rsidRDefault="002C0FD9" w:rsidP="00CA25CF">
            <w:pPr>
              <w:rPr>
                <w:rFonts w:cs="Arial"/>
                <w:color w:val="FF0000"/>
                <w:sz w:val="21"/>
                <w:szCs w:val="21"/>
              </w:rPr>
            </w:pPr>
          </w:p>
        </w:tc>
        <w:tc>
          <w:tcPr>
            <w:tcW w:w="217" w:type="dxa"/>
          </w:tcPr>
          <w:p w14:paraId="67F5BD08" w14:textId="77777777" w:rsidR="002C0FD9" w:rsidRPr="00CA25CF" w:rsidRDefault="002C0FD9" w:rsidP="00CA25CF">
            <w:pPr>
              <w:rPr>
                <w:rFonts w:cs="Arial"/>
                <w:color w:val="FF0000"/>
                <w:sz w:val="21"/>
                <w:szCs w:val="21"/>
              </w:rPr>
            </w:pPr>
          </w:p>
        </w:tc>
        <w:tc>
          <w:tcPr>
            <w:tcW w:w="217" w:type="dxa"/>
          </w:tcPr>
          <w:p w14:paraId="5961DB22" w14:textId="77777777" w:rsidR="002C0FD9" w:rsidRPr="00CA25CF" w:rsidRDefault="002C0FD9" w:rsidP="00CA25CF">
            <w:pPr>
              <w:rPr>
                <w:rFonts w:cs="Arial"/>
                <w:color w:val="FF0000"/>
                <w:sz w:val="21"/>
                <w:szCs w:val="21"/>
              </w:rPr>
            </w:pPr>
          </w:p>
        </w:tc>
        <w:tc>
          <w:tcPr>
            <w:tcW w:w="217" w:type="dxa"/>
          </w:tcPr>
          <w:p w14:paraId="1A209187" w14:textId="77777777" w:rsidR="002C0FD9" w:rsidRPr="00CA25CF" w:rsidRDefault="002C0FD9" w:rsidP="00CA25CF">
            <w:pPr>
              <w:rPr>
                <w:rFonts w:cs="Arial"/>
                <w:color w:val="FF0000"/>
                <w:sz w:val="21"/>
                <w:szCs w:val="21"/>
              </w:rPr>
            </w:pPr>
          </w:p>
        </w:tc>
        <w:tc>
          <w:tcPr>
            <w:tcW w:w="217" w:type="dxa"/>
          </w:tcPr>
          <w:p w14:paraId="6E7BAA47" w14:textId="77777777" w:rsidR="002C0FD9" w:rsidRPr="00CA25CF" w:rsidRDefault="002C0FD9" w:rsidP="00CA25CF">
            <w:pPr>
              <w:rPr>
                <w:rFonts w:cs="Arial"/>
                <w:color w:val="FF0000"/>
                <w:sz w:val="21"/>
                <w:szCs w:val="21"/>
              </w:rPr>
            </w:pPr>
          </w:p>
        </w:tc>
        <w:tc>
          <w:tcPr>
            <w:tcW w:w="217" w:type="dxa"/>
          </w:tcPr>
          <w:p w14:paraId="19405584" w14:textId="77777777" w:rsidR="002C0FD9" w:rsidRPr="00CA25CF" w:rsidRDefault="002C0FD9" w:rsidP="00CA25CF">
            <w:pPr>
              <w:rPr>
                <w:rFonts w:cs="Arial"/>
                <w:color w:val="FF0000"/>
                <w:sz w:val="21"/>
                <w:szCs w:val="21"/>
              </w:rPr>
            </w:pPr>
          </w:p>
        </w:tc>
        <w:tc>
          <w:tcPr>
            <w:tcW w:w="217" w:type="dxa"/>
          </w:tcPr>
          <w:p w14:paraId="541D55D6" w14:textId="77777777" w:rsidR="002C0FD9" w:rsidRPr="00CA25CF" w:rsidRDefault="002C0FD9" w:rsidP="00CA25CF">
            <w:pPr>
              <w:rPr>
                <w:rFonts w:cs="Arial"/>
                <w:color w:val="FF0000"/>
                <w:sz w:val="21"/>
                <w:szCs w:val="21"/>
              </w:rPr>
            </w:pPr>
          </w:p>
        </w:tc>
        <w:tc>
          <w:tcPr>
            <w:tcW w:w="217" w:type="dxa"/>
          </w:tcPr>
          <w:p w14:paraId="0472C504" w14:textId="77777777" w:rsidR="002C0FD9" w:rsidRPr="00CA25CF" w:rsidRDefault="002C0FD9" w:rsidP="00CA25CF">
            <w:pPr>
              <w:rPr>
                <w:rFonts w:cs="Arial"/>
                <w:color w:val="FF0000"/>
                <w:sz w:val="21"/>
                <w:szCs w:val="21"/>
              </w:rPr>
            </w:pPr>
          </w:p>
        </w:tc>
        <w:tc>
          <w:tcPr>
            <w:tcW w:w="217" w:type="dxa"/>
          </w:tcPr>
          <w:p w14:paraId="41FCEEDD" w14:textId="77777777" w:rsidR="002C0FD9" w:rsidRPr="00CA25CF" w:rsidRDefault="002C0FD9" w:rsidP="00CA25CF">
            <w:pPr>
              <w:rPr>
                <w:rFonts w:cs="Arial"/>
                <w:color w:val="FF0000"/>
                <w:sz w:val="21"/>
                <w:szCs w:val="21"/>
              </w:rPr>
            </w:pPr>
          </w:p>
        </w:tc>
        <w:tc>
          <w:tcPr>
            <w:tcW w:w="217" w:type="dxa"/>
          </w:tcPr>
          <w:p w14:paraId="1F6467E8" w14:textId="77777777" w:rsidR="002C0FD9" w:rsidRPr="00CA25CF" w:rsidRDefault="002C0FD9" w:rsidP="00CA25CF">
            <w:pPr>
              <w:rPr>
                <w:rFonts w:cs="Arial"/>
                <w:color w:val="FF0000"/>
                <w:sz w:val="21"/>
                <w:szCs w:val="21"/>
              </w:rPr>
            </w:pPr>
          </w:p>
        </w:tc>
        <w:tc>
          <w:tcPr>
            <w:tcW w:w="217" w:type="dxa"/>
          </w:tcPr>
          <w:p w14:paraId="69F2FE07" w14:textId="77777777" w:rsidR="002C0FD9" w:rsidRPr="00CA25CF" w:rsidRDefault="002C0FD9" w:rsidP="00CA25CF">
            <w:pPr>
              <w:rPr>
                <w:rFonts w:cs="Arial"/>
                <w:color w:val="FF0000"/>
                <w:sz w:val="21"/>
                <w:szCs w:val="21"/>
              </w:rPr>
            </w:pPr>
          </w:p>
        </w:tc>
        <w:tc>
          <w:tcPr>
            <w:tcW w:w="217" w:type="dxa"/>
          </w:tcPr>
          <w:p w14:paraId="2A084F13" w14:textId="77777777" w:rsidR="002C0FD9" w:rsidRPr="00CA25CF" w:rsidRDefault="002C0FD9" w:rsidP="00CA25CF">
            <w:pPr>
              <w:rPr>
                <w:rFonts w:cs="Arial"/>
                <w:color w:val="FF0000"/>
                <w:sz w:val="21"/>
                <w:szCs w:val="21"/>
              </w:rPr>
            </w:pPr>
          </w:p>
        </w:tc>
        <w:tc>
          <w:tcPr>
            <w:tcW w:w="217" w:type="dxa"/>
          </w:tcPr>
          <w:p w14:paraId="1BCE6166" w14:textId="77777777" w:rsidR="002C0FD9" w:rsidRPr="00CA25CF" w:rsidRDefault="002C0FD9" w:rsidP="00CA25CF">
            <w:pPr>
              <w:rPr>
                <w:rFonts w:cs="Arial"/>
                <w:color w:val="FF0000"/>
                <w:sz w:val="21"/>
                <w:szCs w:val="21"/>
              </w:rPr>
            </w:pPr>
          </w:p>
        </w:tc>
        <w:tc>
          <w:tcPr>
            <w:tcW w:w="217" w:type="dxa"/>
          </w:tcPr>
          <w:p w14:paraId="577B4332" w14:textId="77777777" w:rsidR="002C0FD9" w:rsidRPr="00CA25CF" w:rsidRDefault="002C0FD9" w:rsidP="00CA25CF">
            <w:pPr>
              <w:rPr>
                <w:rFonts w:cs="Arial"/>
                <w:color w:val="FF0000"/>
                <w:sz w:val="21"/>
                <w:szCs w:val="21"/>
              </w:rPr>
            </w:pPr>
          </w:p>
        </w:tc>
        <w:tc>
          <w:tcPr>
            <w:tcW w:w="217" w:type="dxa"/>
          </w:tcPr>
          <w:p w14:paraId="2ECDB765" w14:textId="77777777" w:rsidR="002C0FD9" w:rsidRPr="00CA25CF" w:rsidRDefault="002C0FD9" w:rsidP="00CA25CF">
            <w:pPr>
              <w:rPr>
                <w:rFonts w:cs="Arial"/>
                <w:color w:val="FF0000"/>
                <w:sz w:val="21"/>
                <w:szCs w:val="21"/>
              </w:rPr>
            </w:pPr>
          </w:p>
        </w:tc>
        <w:tc>
          <w:tcPr>
            <w:tcW w:w="217" w:type="dxa"/>
          </w:tcPr>
          <w:p w14:paraId="25017C8D" w14:textId="77777777" w:rsidR="002C0FD9" w:rsidRPr="00CA25CF" w:rsidRDefault="002C0FD9" w:rsidP="00CA25CF">
            <w:pPr>
              <w:rPr>
                <w:rFonts w:cs="Arial"/>
                <w:color w:val="FF0000"/>
                <w:sz w:val="21"/>
                <w:szCs w:val="21"/>
              </w:rPr>
            </w:pPr>
          </w:p>
        </w:tc>
        <w:tc>
          <w:tcPr>
            <w:tcW w:w="217" w:type="dxa"/>
          </w:tcPr>
          <w:p w14:paraId="4514056A" w14:textId="77777777" w:rsidR="002C0FD9" w:rsidRPr="00CA25CF" w:rsidRDefault="002C0FD9" w:rsidP="00CA25CF">
            <w:pPr>
              <w:rPr>
                <w:rFonts w:cs="Arial"/>
                <w:color w:val="FF0000"/>
                <w:sz w:val="21"/>
                <w:szCs w:val="21"/>
              </w:rPr>
            </w:pPr>
          </w:p>
        </w:tc>
        <w:tc>
          <w:tcPr>
            <w:tcW w:w="217" w:type="dxa"/>
          </w:tcPr>
          <w:p w14:paraId="2C208555" w14:textId="77777777" w:rsidR="002C0FD9" w:rsidRPr="00CA25CF" w:rsidRDefault="002C0FD9" w:rsidP="00CA25CF">
            <w:pPr>
              <w:rPr>
                <w:rFonts w:cs="Arial"/>
                <w:color w:val="FF0000"/>
                <w:sz w:val="21"/>
                <w:szCs w:val="21"/>
              </w:rPr>
            </w:pPr>
          </w:p>
        </w:tc>
        <w:tc>
          <w:tcPr>
            <w:tcW w:w="217" w:type="dxa"/>
          </w:tcPr>
          <w:p w14:paraId="76A7CED7" w14:textId="77777777" w:rsidR="002C0FD9" w:rsidRPr="00CA25CF" w:rsidRDefault="002C0FD9" w:rsidP="00CA25CF">
            <w:pPr>
              <w:rPr>
                <w:rFonts w:cs="Arial"/>
                <w:color w:val="FF0000"/>
                <w:sz w:val="21"/>
                <w:szCs w:val="21"/>
              </w:rPr>
            </w:pPr>
          </w:p>
        </w:tc>
      </w:tr>
      <w:tr w:rsidR="002C0FD9" w:rsidRPr="00A16219" w14:paraId="47AA5092" w14:textId="2A2C7EE1" w:rsidTr="002C0FD9">
        <w:trPr>
          <w:trHeight w:val="635"/>
        </w:trPr>
        <w:tc>
          <w:tcPr>
            <w:tcW w:w="515" w:type="dxa"/>
          </w:tcPr>
          <w:p w14:paraId="557BEABC" w14:textId="77777777" w:rsidR="002C0FD9" w:rsidRPr="00CA25CF" w:rsidRDefault="002C0FD9" w:rsidP="00CA25CF">
            <w:pPr>
              <w:rPr>
                <w:rFonts w:cs="Arial"/>
                <w:color w:val="FF0000"/>
                <w:sz w:val="21"/>
                <w:szCs w:val="21"/>
              </w:rPr>
            </w:pPr>
          </w:p>
        </w:tc>
        <w:tc>
          <w:tcPr>
            <w:tcW w:w="217" w:type="dxa"/>
          </w:tcPr>
          <w:p w14:paraId="4BE3DDDB" w14:textId="77777777" w:rsidR="002C0FD9" w:rsidRPr="00CA25CF" w:rsidRDefault="002C0FD9" w:rsidP="00CA25CF">
            <w:pPr>
              <w:rPr>
                <w:rFonts w:cs="Arial"/>
                <w:color w:val="FF0000"/>
                <w:sz w:val="21"/>
                <w:szCs w:val="21"/>
              </w:rPr>
            </w:pPr>
          </w:p>
        </w:tc>
        <w:tc>
          <w:tcPr>
            <w:tcW w:w="217" w:type="dxa"/>
          </w:tcPr>
          <w:p w14:paraId="0DE9224A" w14:textId="3F08B3BB" w:rsidR="002C0FD9" w:rsidRPr="00CA25CF" w:rsidRDefault="002C0FD9" w:rsidP="00CA25CF">
            <w:pPr>
              <w:rPr>
                <w:rFonts w:cs="Arial"/>
                <w:color w:val="FF0000"/>
                <w:sz w:val="21"/>
                <w:szCs w:val="21"/>
              </w:rPr>
            </w:pPr>
          </w:p>
        </w:tc>
        <w:tc>
          <w:tcPr>
            <w:tcW w:w="217" w:type="dxa"/>
          </w:tcPr>
          <w:p w14:paraId="43D52B41" w14:textId="77777777" w:rsidR="002C0FD9" w:rsidRPr="00CA25CF" w:rsidRDefault="002C0FD9" w:rsidP="00CA25CF">
            <w:pPr>
              <w:rPr>
                <w:rFonts w:cs="Arial"/>
                <w:color w:val="FF0000"/>
                <w:sz w:val="21"/>
                <w:szCs w:val="21"/>
              </w:rPr>
            </w:pPr>
          </w:p>
        </w:tc>
        <w:tc>
          <w:tcPr>
            <w:tcW w:w="217" w:type="dxa"/>
          </w:tcPr>
          <w:p w14:paraId="63E92332" w14:textId="77777777" w:rsidR="002C0FD9" w:rsidRPr="00CA25CF" w:rsidRDefault="002C0FD9" w:rsidP="00CA25CF">
            <w:pPr>
              <w:rPr>
                <w:rFonts w:cs="Arial"/>
                <w:color w:val="FF0000"/>
                <w:sz w:val="21"/>
                <w:szCs w:val="21"/>
              </w:rPr>
            </w:pPr>
          </w:p>
        </w:tc>
        <w:tc>
          <w:tcPr>
            <w:tcW w:w="217" w:type="dxa"/>
          </w:tcPr>
          <w:p w14:paraId="01F8130E" w14:textId="77777777" w:rsidR="002C0FD9" w:rsidRPr="00CA25CF" w:rsidRDefault="002C0FD9" w:rsidP="00CA25CF">
            <w:pPr>
              <w:rPr>
                <w:rFonts w:cs="Arial"/>
                <w:color w:val="FF0000"/>
                <w:sz w:val="21"/>
                <w:szCs w:val="21"/>
              </w:rPr>
            </w:pPr>
          </w:p>
        </w:tc>
        <w:tc>
          <w:tcPr>
            <w:tcW w:w="217" w:type="dxa"/>
          </w:tcPr>
          <w:p w14:paraId="24FFA40E" w14:textId="77777777" w:rsidR="002C0FD9" w:rsidRPr="00CA25CF" w:rsidRDefault="002C0FD9" w:rsidP="00CA25CF">
            <w:pPr>
              <w:rPr>
                <w:rFonts w:cs="Arial"/>
                <w:color w:val="FF0000"/>
                <w:sz w:val="21"/>
                <w:szCs w:val="21"/>
              </w:rPr>
            </w:pPr>
          </w:p>
        </w:tc>
        <w:tc>
          <w:tcPr>
            <w:tcW w:w="217" w:type="dxa"/>
          </w:tcPr>
          <w:p w14:paraId="7E4567C1" w14:textId="77777777" w:rsidR="002C0FD9" w:rsidRPr="00CA25CF" w:rsidRDefault="002C0FD9" w:rsidP="00CA25CF">
            <w:pPr>
              <w:rPr>
                <w:rFonts w:cs="Arial"/>
                <w:color w:val="FF0000"/>
                <w:sz w:val="21"/>
                <w:szCs w:val="21"/>
              </w:rPr>
            </w:pPr>
          </w:p>
        </w:tc>
        <w:tc>
          <w:tcPr>
            <w:tcW w:w="217" w:type="dxa"/>
          </w:tcPr>
          <w:p w14:paraId="7E238AEC" w14:textId="77777777" w:rsidR="002C0FD9" w:rsidRPr="00CA25CF" w:rsidRDefault="002C0FD9" w:rsidP="00CA25CF">
            <w:pPr>
              <w:rPr>
                <w:rFonts w:cs="Arial"/>
                <w:color w:val="FF0000"/>
                <w:sz w:val="21"/>
                <w:szCs w:val="21"/>
              </w:rPr>
            </w:pPr>
          </w:p>
        </w:tc>
        <w:tc>
          <w:tcPr>
            <w:tcW w:w="217" w:type="dxa"/>
          </w:tcPr>
          <w:p w14:paraId="34958209" w14:textId="77777777" w:rsidR="002C0FD9" w:rsidRPr="00CA25CF" w:rsidRDefault="002C0FD9" w:rsidP="00CA25CF">
            <w:pPr>
              <w:rPr>
                <w:rFonts w:cs="Arial"/>
                <w:color w:val="FF0000"/>
                <w:sz w:val="21"/>
                <w:szCs w:val="21"/>
              </w:rPr>
            </w:pPr>
          </w:p>
        </w:tc>
        <w:tc>
          <w:tcPr>
            <w:tcW w:w="217" w:type="dxa"/>
          </w:tcPr>
          <w:p w14:paraId="66AA6850" w14:textId="77777777" w:rsidR="002C0FD9" w:rsidRPr="00CA25CF" w:rsidRDefault="002C0FD9" w:rsidP="00CA25CF">
            <w:pPr>
              <w:rPr>
                <w:rFonts w:cs="Arial"/>
                <w:color w:val="FF0000"/>
                <w:sz w:val="21"/>
                <w:szCs w:val="21"/>
              </w:rPr>
            </w:pPr>
          </w:p>
        </w:tc>
        <w:tc>
          <w:tcPr>
            <w:tcW w:w="217" w:type="dxa"/>
          </w:tcPr>
          <w:p w14:paraId="3270A51F" w14:textId="77777777" w:rsidR="002C0FD9" w:rsidRPr="00CA25CF" w:rsidRDefault="002C0FD9" w:rsidP="00CA25CF">
            <w:pPr>
              <w:rPr>
                <w:rFonts w:cs="Arial"/>
                <w:color w:val="FF0000"/>
                <w:sz w:val="21"/>
                <w:szCs w:val="21"/>
              </w:rPr>
            </w:pPr>
          </w:p>
        </w:tc>
        <w:tc>
          <w:tcPr>
            <w:tcW w:w="217" w:type="dxa"/>
          </w:tcPr>
          <w:p w14:paraId="267B6ADC" w14:textId="77777777" w:rsidR="002C0FD9" w:rsidRPr="00CA25CF" w:rsidRDefault="002C0FD9" w:rsidP="00CA25CF">
            <w:pPr>
              <w:rPr>
                <w:rFonts w:cs="Arial"/>
                <w:color w:val="FF0000"/>
                <w:sz w:val="21"/>
                <w:szCs w:val="21"/>
              </w:rPr>
            </w:pPr>
          </w:p>
        </w:tc>
        <w:tc>
          <w:tcPr>
            <w:tcW w:w="217" w:type="dxa"/>
          </w:tcPr>
          <w:p w14:paraId="67BF302B" w14:textId="77777777" w:rsidR="002C0FD9" w:rsidRPr="00CA25CF" w:rsidRDefault="002C0FD9" w:rsidP="00CA25CF">
            <w:pPr>
              <w:rPr>
                <w:rFonts w:cs="Arial"/>
                <w:color w:val="FF0000"/>
                <w:sz w:val="21"/>
                <w:szCs w:val="21"/>
              </w:rPr>
            </w:pPr>
          </w:p>
        </w:tc>
        <w:tc>
          <w:tcPr>
            <w:tcW w:w="217" w:type="dxa"/>
          </w:tcPr>
          <w:p w14:paraId="2CA7CEF1" w14:textId="77777777" w:rsidR="002C0FD9" w:rsidRPr="00CA25CF" w:rsidRDefault="002C0FD9" w:rsidP="00CA25CF">
            <w:pPr>
              <w:rPr>
                <w:rFonts w:cs="Arial"/>
                <w:color w:val="FF0000"/>
                <w:sz w:val="21"/>
                <w:szCs w:val="21"/>
              </w:rPr>
            </w:pPr>
          </w:p>
        </w:tc>
        <w:tc>
          <w:tcPr>
            <w:tcW w:w="217" w:type="dxa"/>
          </w:tcPr>
          <w:p w14:paraId="3E7F98AD" w14:textId="035F67F3" w:rsidR="002C0FD9" w:rsidRPr="00CA25CF" w:rsidRDefault="002C0FD9" w:rsidP="00CA25CF">
            <w:pPr>
              <w:rPr>
                <w:rFonts w:cs="Arial"/>
                <w:color w:val="FF0000"/>
                <w:sz w:val="21"/>
                <w:szCs w:val="21"/>
              </w:rPr>
            </w:pPr>
          </w:p>
        </w:tc>
        <w:tc>
          <w:tcPr>
            <w:tcW w:w="217" w:type="dxa"/>
          </w:tcPr>
          <w:p w14:paraId="4010F3D3" w14:textId="77777777" w:rsidR="002C0FD9" w:rsidRPr="00CA25CF" w:rsidRDefault="002C0FD9" w:rsidP="00CA25CF">
            <w:pPr>
              <w:rPr>
                <w:rFonts w:cs="Arial"/>
                <w:color w:val="FF0000"/>
                <w:sz w:val="21"/>
                <w:szCs w:val="21"/>
              </w:rPr>
            </w:pPr>
          </w:p>
        </w:tc>
        <w:tc>
          <w:tcPr>
            <w:tcW w:w="217" w:type="dxa"/>
          </w:tcPr>
          <w:p w14:paraId="6566AA5C" w14:textId="77777777" w:rsidR="002C0FD9" w:rsidRPr="00CA25CF" w:rsidRDefault="002C0FD9" w:rsidP="00CA25CF">
            <w:pPr>
              <w:rPr>
                <w:rFonts w:cs="Arial"/>
                <w:color w:val="FF0000"/>
                <w:sz w:val="21"/>
                <w:szCs w:val="21"/>
              </w:rPr>
            </w:pPr>
          </w:p>
        </w:tc>
        <w:tc>
          <w:tcPr>
            <w:tcW w:w="217" w:type="dxa"/>
          </w:tcPr>
          <w:p w14:paraId="2EA27AEB" w14:textId="77777777" w:rsidR="002C0FD9" w:rsidRPr="00CA25CF" w:rsidRDefault="002C0FD9" w:rsidP="00CA25CF">
            <w:pPr>
              <w:rPr>
                <w:rFonts w:cs="Arial"/>
                <w:color w:val="FF0000"/>
                <w:sz w:val="21"/>
                <w:szCs w:val="21"/>
              </w:rPr>
            </w:pPr>
          </w:p>
        </w:tc>
        <w:tc>
          <w:tcPr>
            <w:tcW w:w="217" w:type="dxa"/>
          </w:tcPr>
          <w:p w14:paraId="2A5247A3" w14:textId="77777777" w:rsidR="002C0FD9" w:rsidRPr="00CA25CF" w:rsidRDefault="002C0FD9" w:rsidP="00CA25CF">
            <w:pPr>
              <w:rPr>
                <w:rFonts w:cs="Arial"/>
                <w:color w:val="FF0000"/>
                <w:sz w:val="21"/>
                <w:szCs w:val="21"/>
              </w:rPr>
            </w:pPr>
          </w:p>
        </w:tc>
        <w:tc>
          <w:tcPr>
            <w:tcW w:w="217" w:type="dxa"/>
          </w:tcPr>
          <w:p w14:paraId="31930FE2" w14:textId="77777777" w:rsidR="002C0FD9" w:rsidRPr="00CA25CF" w:rsidRDefault="002C0FD9" w:rsidP="00CA25CF">
            <w:pPr>
              <w:rPr>
                <w:rFonts w:cs="Arial"/>
                <w:color w:val="FF0000"/>
                <w:sz w:val="21"/>
                <w:szCs w:val="21"/>
              </w:rPr>
            </w:pPr>
          </w:p>
        </w:tc>
        <w:tc>
          <w:tcPr>
            <w:tcW w:w="217" w:type="dxa"/>
          </w:tcPr>
          <w:p w14:paraId="71D51881" w14:textId="77777777" w:rsidR="002C0FD9" w:rsidRPr="00CA25CF" w:rsidRDefault="002C0FD9" w:rsidP="00CA25CF">
            <w:pPr>
              <w:rPr>
                <w:rFonts w:cs="Arial"/>
                <w:color w:val="FF0000"/>
                <w:sz w:val="21"/>
                <w:szCs w:val="21"/>
              </w:rPr>
            </w:pPr>
          </w:p>
        </w:tc>
        <w:tc>
          <w:tcPr>
            <w:tcW w:w="217" w:type="dxa"/>
          </w:tcPr>
          <w:p w14:paraId="080C356A" w14:textId="77777777" w:rsidR="002C0FD9" w:rsidRPr="00CA25CF" w:rsidRDefault="002C0FD9" w:rsidP="00CA25CF">
            <w:pPr>
              <w:rPr>
                <w:rFonts w:cs="Arial"/>
                <w:color w:val="FF0000"/>
                <w:sz w:val="21"/>
                <w:szCs w:val="21"/>
              </w:rPr>
            </w:pPr>
          </w:p>
        </w:tc>
        <w:tc>
          <w:tcPr>
            <w:tcW w:w="217" w:type="dxa"/>
          </w:tcPr>
          <w:p w14:paraId="5769D569" w14:textId="77777777" w:rsidR="002C0FD9" w:rsidRPr="00CA25CF" w:rsidRDefault="002C0FD9" w:rsidP="00CA25CF">
            <w:pPr>
              <w:rPr>
                <w:rFonts w:cs="Arial"/>
                <w:color w:val="FF0000"/>
                <w:sz w:val="21"/>
                <w:szCs w:val="21"/>
              </w:rPr>
            </w:pPr>
          </w:p>
        </w:tc>
        <w:tc>
          <w:tcPr>
            <w:tcW w:w="217" w:type="dxa"/>
          </w:tcPr>
          <w:p w14:paraId="122CF5F0" w14:textId="77777777" w:rsidR="002C0FD9" w:rsidRPr="00CA25CF" w:rsidRDefault="002C0FD9" w:rsidP="00CA25CF">
            <w:pPr>
              <w:rPr>
                <w:rFonts w:cs="Arial"/>
                <w:color w:val="FF0000"/>
                <w:sz w:val="21"/>
                <w:szCs w:val="21"/>
              </w:rPr>
            </w:pPr>
          </w:p>
        </w:tc>
        <w:tc>
          <w:tcPr>
            <w:tcW w:w="217" w:type="dxa"/>
          </w:tcPr>
          <w:p w14:paraId="61E3B507" w14:textId="77777777" w:rsidR="002C0FD9" w:rsidRPr="00CA25CF" w:rsidRDefault="002C0FD9" w:rsidP="00CA25CF">
            <w:pPr>
              <w:rPr>
                <w:rFonts w:cs="Arial"/>
                <w:color w:val="FF0000"/>
                <w:sz w:val="21"/>
                <w:szCs w:val="21"/>
              </w:rPr>
            </w:pPr>
          </w:p>
        </w:tc>
        <w:tc>
          <w:tcPr>
            <w:tcW w:w="217" w:type="dxa"/>
          </w:tcPr>
          <w:p w14:paraId="77A4BA43" w14:textId="77777777" w:rsidR="002C0FD9" w:rsidRPr="00CA25CF" w:rsidRDefault="002C0FD9" w:rsidP="00CA25CF">
            <w:pPr>
              <w:rPr>
                <w:rFonts w:cs="Arial"/>
                <w:color w:val="FF0000"/>
                <w:sz w:val="21"/>
                <w:szCs w:val="21"/>
              </w:rPr>
            </w:pPr>
          </w:p>
        </w:tc>
        <w:tc>
          <w:tcPr>
            <w:tcW w:w="217" w:type="dxa"/>
          </w:tcPr>
          <w:p w14:paraId="058A8BB0" w14:textId="77777777" w:rsidR="002C0FD9" w:rsidRPr="00CA25CF" w:rsidRDefault="002C0FD9" w:rsidP="00CA25CF">
            <w:pPr>
              <w:rPr>
                <w:rFonts w:cs="Arial"/>
                <w:color w:val="FF0000"/>
                <w:sz w:val="21"/>
                <w:szCs w:val="21"/>
              </w:rPr>
            </w:pPr>
          </w:p>
        </w:tc>
        <w:tc>
          <w:tcPr>
            <w:tcW w:w="217" w:type="dxa"/>
          </w:tcPr>
          <w:p w14:paraId="2F1D8F45" w14:textId="77777777" w:rsidR="002C0FD9" w:rsidRPr="00CA25CF" w:rsidRDefault="002C0FD9" w:rsidP="00CA25CF">
            <w:pPr>
              <w:rPr>
                <w:rFonts w:cs="Arial"/>
                <w:color w:val="FF0000"/>
                <w:sz w:val="21"/>
                <w:szCs w:val="21"/>
              </w:rPr>
            </w:pPr>
          </w:p>
        </w:tc>
        <w:tc>
          <w:tcPr>
            <w:tcW w:w="217" w:type="dxa"/>
          </w:tcPr>
          <w:p w14:paraId="1C0E039D" w14:textId="77777777" w:rsidR="002C0FD9" w:rsidRPr="00CA25CF" w:rsidRDefault="002C0FD9" w:rsidP="00CA25CF">
            <w:pPr>
              <w:rPr>
                <w:rFonts w:cs="Arial"/>
                <w:color w:val="FF0000"/>
                <w:sz w:val="21"/>
                <w:szCs w:val="21"/>
              </w:rPr>
            </w:pPr>
          </w:p>
        </w:tc>
        <w:tc>
          <w:tcPr>
            <w:tcW w:w="217" w:type="dxa"/>
          </w:tcPr>
          <w:p w14:paraId="60AD64B1" w14:textId="77777777" w:rsidR="002C0FD9" w:rsidRPr="00CA25CF" w:rsidRDefault="002C0FD9" w:rsidP="00CA25CF">
            <w:pPr>
              <w:rPr>
                <w:rFonts w:cs="Arial"/>
                <w:color w:val="FF0000"/>
                <w:sz w:val="21"/>
                <w:szCs w:val="21"/>
              </w:rPr>
            </w:pPr>
          </w:p>
        </w:tc>
        <w:tc>
          <w:tcPr>
            <w:tcW w:w="217" w:type="dxa"/>
          </w:tcPr>
          <w:p w14:paraId="76FCBF27" w14:textId="77777777" w:rsidR="002C0FD9" w:rsidRPr="00CA25CF" w:rsidRDefault="002C0FD9" w:rsidP="00CA25CF">
            <w:pPr>
              <w:rPr>
                <w:rFonts w:cs="Arial"/>
                <w:color w:val="FF0000"/>
                <w:sz w:val="21"/>
                <w:szCs w:val="21"/>
              </w:rPr>
            </w:pPr>
          </w:p>
        </w:tc>
        <w:tc>
          <w:tcPr>
            <w:tcW w:w="217" w:type="dxa"/>
          </w:tcPr>
          <w:p w14:paraId="593E27BD" w14:textId="77777777" w:rsidR="002C0FD9" w:rsidRPr="00CA25CF" w:rsidRDefault="002C0FD9" w:rsidP="00CA25CF">
            <w:pPr>
              <w:rPr>
                <w:rFonts w:cs="Arial"/>
                <w:color w:val="FF0000"/>
                <w:sz w:val="21"/>
                <w:szCs w:val="21"/>
              </w:rPr>
            </w:pPr>
          </w:p>
        </w:tc>
        <w:tc>
          <w:tcPr>
            <w:tcW w:w="217" w:type="dxa"/>
          </w:tcPr>
          <w:p w14:paraId="40875F24" w14:textId="77777777" w:rsidR="002C0FD9" w:rsidRPr="00CA25CF" w:rsidRDefault="002C0FD9" w:rsidP="00CA25CF">
            <w:pPr>
              <w:rPr>
                <w:rFonts w:cs="Arial"/>
                <w:color w:val="FF0000"/>
                <w:sz w:val="21"/>
                <w:szCs w:val="21"/>
              </w:rPr>
            </w:pPr>
          </w:p>
        </w:tc>
        <w:tc>
          <w:tcPr>
            <w:tcW w:w="217" w:type="dxa"/>
          </w:tcPr>
          <w:p w14:paraId="2459CDFC" w14:textId="77777777" w:rsidR="002C0FD9" w:rsidRPr="00CA25CF" w:rsidRDefault="002C0FD9" w:rsidP="00CA25CF">
            <w:pPr>
              <w:rPr>
                <w:rFonts w:cs="Arial"/>
                <w:color w:val="FF0000"/>
                <w:sz w:val="21"/>
                <w:szCs w:val="21"/>
              </w:rPr>
            </w:pPr>
          </w:p>
        </w:tc>
        <w:tc>
          <w:tcPr>
            <w:tcW w:w="217" w:type="dxa"/>
          </w:tcPr>
          <w:p w14:paraId="243FF139" w14:textId="77777777" w:rsidR="002C0FD9" w:rsidRPr="00CA25CF" w:rsidRDefault="002C0FD9" w:rsidP="00CA25CF">
            <w:pPr>
              <w:rPr>
                <w:rFonts w:cs="Arial"/>
                <w:color w:val="FF0000"/>
                <w:sz w:val="21"/>
                <w:szCs w:val="21"/>
              </w:rPr>
            </w:pPr>
          </w:p>
        </w:tc>
        <w:tc>
          <w:tcPr>
            <w:tcW w:w="217" w:type="dxa"/>
          </w:tcPr>
          <w:p w14:paraId="4415E5C8" w14:textId="77777777" w:rsidR="002C0FD9" w:rsidRPr="00CA25CF" w:rsidRDefault="002C0FD9" w:rsidP="00CA25CF">
            <w:pPr>
              <w:rPr>
                <w:rFonts w:cs="Arial"/>
                <w:color w:val="FF0000"/>
                <w:sz w:val="21"/>
                <w:szCs w:val="21"/>
              </w:rPr>
            </w:pPr>
          </w:p>
        </w:tc>
        <w:tc>
          <w:tcPr>
            <w:tcW w:w="217" w:type="dxa"/>
          </w:tcPr>
          <w:p w14:paraId="171D0DD7" w14:textId="77777777" w:rsidR="002C0FD9" w:rsidRPr="00CA25CF" w:rsidRDefault="002C0FD9" w:rsidP="00CA25CF">
            <w:pPr>
              <w:rPr>
                <w:rFonts w:cs="Arial"/>
                <w:color w:val="FF0000"/>
                <w:sz w:val="21"/>
                <w:szCs w:val="21"/>
              </w:rPr>
            </w:pPr>
          </w:p>
        </w:tc>
        <w:tc>
          <w:tcPr>
            <w:tcW w:w="217" w:type="dxa"/>
          </w:tcPr>
          <w:p w14:paraId="50A89EF6" w14:textId="77777777" w:rsidR="002C0FD9" w:rsidRPr="00CA25CF" w:rsidRDefault="002C0FD9" w:rsidP="00CA25CF">
            <w:pPr>
              <w:rPr>
                <w:rFonts w:cs="Arial"/>
                <w:color w:val="FF0000"/>
                <w:sz w:val="21"/>
                <w:szCs w:val="21"/>
              </w:rPr>
            </w:pPr>
          </w:p>
        </w:tc>
        <w:tc>
          <w:tcPr>
            <w:tcW w:w="217" w:type="dxa"/>
          </w:tcPr>
          <w:p w14:paraId="6FE7237F" w14:textId="77777777" w:rsidR="002C0FD9" w:rsidRPr="00CA25CF" w:rsidRDefault="002C0FD9" w:rsidP="00CA25CF">
            <w:pPr>
              <w:rPr>
                <w:rFonts w:cs="Arial"/>
                <w:color w:val="FF0000"/>
                <w:sz w:val="21"/>
                <w:szCs w:val="21"/>
              </w:rPr>
            </w:pPr>
          </w:p>
        </w:tc>
        <w:tc>
          <w:tcPr>
            <w:tcW w:w="217" w:type="dxa"/>
          </w:tcPr>
          <w:p w14:paraId="1149C111" w14:textId="77777777" w:rsidR="002C0FD9" w:rsidRPr="00CA25CF" w:rsidRDefault="002C0FD9" w:rsidP="00CA25CF">
            <w:pPr>
              <w:rPr>
                <w:rFonts w:cs="Arial"/>
                <w:color w:val="FF0000"/>
                <w:sz w:val="21"/>
                <w:szCs w:val="21"/>
              </w:rPr>
            </w:pPr>
          </w:p>
        </w:tc>
        <w:tc>
          <w:tcPr>
            <w:tcW w:w="217" w:type="dxa"/>
          </w:tcPr>
          <w:p w14:paraId="55805B4D" w14:textId="77777777" w:rsidR="002C0FD9" w:rsidRPr="00CA25CF" w:rsidRDefault="002C0FD9" w:rsidP="00CA25CF">
            <w:pPr>
              <w:rPr>
                <w:rFonts w:cs="Arial"/>
                <w:color w:val="FF0000"/>
                <w:sz w:val="21"/>
                <w:szCs w:val="21"/>
              </w:rPr>
            </w:pPr>
          </w:p>
        </w:tc>
        <w:tc>
          <w:tcPr>
            <w:tcW w:w="217" w:type="dxa"/>
          </w:tcPr>
          <w:p w14:paraId="383B86AB" w14:textId="77777777" w:rsidR="002C0FD9" w:rsidRPr="00CA25CF" w:rsidRDefault="002C0FD9" w:rsidP="00CA25CF">
            <w:pPr>
              <w:rPr>
                <w:rFonts w:cs="Arial"/>
                <w:color w:val="FF0000"/>
                <w:sz w:val="21"/>
                <w:szCs w:val="21"/>
              </w:rPr>
            </w:pPr>
          </w:p>
        </w:tc>
      </w:tr>
      <w:tr w:rsidR="002C0FD9" w:rsidRPr="00A16219" w14:paraId="1E67E990" w14:textId="2C77FF66" w:rsidTr="002C0FD9">
        <w:trPr>
          <w:trHeight w:val="635"/>
        </w:trPr>
        <w:tc>
          <w:tcPr>
            <w:tcW w:w="515" w:type="dxa"/>
          </w:tcPr>
          <w:p w14:paraId="6BE1DBCF" w14:textId="77777777" w:rsidR="002C0FD9" w:rsidRPr="00CA25CF" w:rsidRDefault="002C0FD9" w:rsidP="00CA25CF">
            <w:pPr>
              <w:rPr>
                <w:rFonts w:cs="Arial"/>
                <w:color w:val="FF0000"/>
                <w:sz w:val="21"/>
                <w:szCs w:val="21"/>
              </w:rPr>
            </w:pPr>
          </w:p>
        </w:tc>
        <w:tc>
          <w:tcPr>
            <w:tcW w:w="217" w:type="dxa"/>
          </w:tcPr>
          <w:p w14:paraId="7E394382" w14:textId="77777777" w:rsidR="002C0FD9" w:rsidRPr="00CA25CF" w:rsidRDefault="002C0FD9" w:rsidP="00CA25CF">
            <w:pPr>
              <w:rPr>
                <w:rFonts w:cs="Arial"/>
                <w:color w:val="FF0000"/>
                <w:sz w:val="21"/>
                <w:szCs w:val="21"/>
              </w:rPr>
            </w:pPr>
          </w:p>
        </w:tc>
        <w:tc>
          <w:tcPr>
            <w:tcW w:w="217" w:type="dxa"/>
          </w:tcPr>
          <w:p w14:paraId="52BA8E2F" w14:textId="52A42556" w:rsidR="002C0FD9" w:rsidRPr="00CA25CF" w:rsidRDefault="002C0FD9" w:rsidP="00CA25CF">
            <w:pPr>
              <w:rPr>
                <w:rFonts w:cs="Arial"/>
                <w:color w:val="FF0000"/>
                <w:sz w:val="21"/>
                <w:szCs w:val="21"/>
              </w:rPr>
            </w:pPr>
          </w:p>
        </w:tc>
        <w:tc>
          <w:tcPr>
            <w:tcW w:w="217" w:type="dxa"/>
          </w:tcPr>
          <w:p w14:paraId="59ED6FD3" w14:textId="77777777" w:rsidR="002C0FD9" w:rsidRPr="00CA25CF" w:rsidRDefault="002C0FD9" w:rsidP="00CA25CF">
            <w:pPr>
              <w:rPr>
                <w:rFonts w:cs="Arial"/>
                <w:color w:val="FF0000"/>
                <w:sz w:val="21"/>
                <w:szCs w:val="21"/>
              </w:rPr>
            </w:pPr>
          </w:p>
        </w:tc>
        <w:tc>
          <w:tcPr>
            <w:tcW w:w="217" w:type="dxa"/>
          </w:tcPr>
          <w:p w14:paraId="04E7C7D3" w14:textId="77777777" w:rsidR="002C0FD9" w:rsidRPr="00CA25CF" w:rsidRDefault="002C0FD9" w:rsidP="00CA25CF">
            <w:pPr>
              <w:rPr>
                <w:rFonts w:cs="Arial"/>
                <w:color w:val="FF0000"/>
                <w:sz w:val="21"/>
                <w:szCs w:val="21"/>
              </w:rPr>
            </w:pPr>
          </w:p>
        </w:tc>
        <w:tc>
          <w:tcPr>
            <w:tcW w:w="217" w:type="dxa"/>
          </w:tcPr>
          <w:p w14:paraId="4AE998C8" w14:textId="77777777" w:rsidR="002C0FD9" w:rsidRPr="00CA25CF" w:rsidRDefault="002C0FD9" w:rsidP="00CA25CF">
            <w:pPr>
              <w:rPr>
                <w:rFonts w:cs="Arial"/>
                <w:color w:val="FF0000"/>
                <w:sz w:val="21"/>
                <w:szCs w:val="21"/>
              </w:rPr>
            </w:pPr>
          </w:p>
        </w:tc>
        <w:tc>
          <w:tcPr>
            <w:tcW w:w="217" w:type="dxa"/>
          </w:tcPr>
          <w:p w14:paraId="7E971428" w14:textId="77777777" w:rsidR="002C0FD9" w:rsidRPr="00CA25CF" w:rsidRDefault="002C0FD9" w:rsidP="00CA25CF">
            <w:pPr>
              <w:rPr>
                <w:rFonts w:cs="Arial"/>
                <w:color w:val="FF0000"/>
                <w:sz w:val="21"/>
                <w:szCs w:val="21"/>
              </w:rPr>
            </w:pPr>
          </w:p>
        </w:tc>
        <w:tc>
          <w:tcPr>
            <w:tcW w:w="217" w:type="dxa"/>
          </w:tcPr>
          <w:p w14:paraId="04ED4B21" w14:textId="77777777" w:rsidR="002C0FD9" w:rsidRPr="00CA25CF" w:rsidRDefault="002C0FD9" w:rsidP="00CA25CF">
            <w:pPr>
              <w:rPr>
                <w:rFonts w:cs="Arial"/>
                <w:color w:val="FF0000"/>
                <w:sz w:val="21"/>
                <w:szCs w:val="21"/>
              </w:rPr>
            </w:pPr>
          </w:p>
        </w:tc>
        <w:tc>
          <w:tcPr>
            <w:tcW w:w="217" w:type="dxa"/>
          </w:tcPr>
          <w:p w14:paraId="06CB8FFA" w14:textId="77777777" w:rsidR="002C0FD9" w:rsidRPr="00CA25CF" w:rsidRDefault="002C0FD9" w:rsidP="00CA25CF">
            <w:pPr>
              <w:rPr>
                <w:rFonts w:cs="Arial"/>
                <w:color w:val="FF0000"/>
                <w:sz w:val="21"/>
                <w:szCs w:val="21"/>
              </w:rPr>
            </w:pPr>
          </w:p>
        </w:tc>
        <w:tc>
          <w:tcPr>
            <w:tcW w:w="217" w:type="dxa"/>
          </w:tcPr>
          <w:p w14:paraId="4A5F1CEC" w14:textId="77777777" w:rsidR="002C0FD9" w:rsidRPr="00CA25CF" w:rsidRDefault="002C0FD9" w:rsidP="00CA25CF">
            <w:pPr>
              <w:rPr>
                <w:rFonts w:cs="Arial"/>
                <w:color w:val="FF0000"/>
                <w:sz w:val="21"/>
                <w:szCs w:val="21"/>
              </w:rPr>
            </w:pPr>
          </w:p>
        </w:tc>
        <w:tc>
          <w:tcPr>
            <w:tcW w:w="217" w:type="dxa"/>
          </w:tcPr>
          <w:p w14:paraId="3DE55EEE" w14:textId="77777777" w:rsidR="002C0FD9" w:rsidRPr="00CA25CF" w:rsidRDefault="002C0FD9" w:rsidP="00CA25CF">
            <w:pPr>
              <w:rPr>
                <w:rFonts w:cs="Arial"/>
                <w:color w:val="FF0000"/>
                <w:sz w:val="21"/>
                <w:szCs w:val="21"/>
              </w:rPr>
            </w:pPr>
          </w:p>
        </w:tc>
        <w:tc>
          <w:tcPr>
            <w:tcW w:w="217" w:type="dxa"/>
          </w:tcPr>
          <w:p w14:paraId="23779818" w14:textId="77777777" w:rsidR="002C0FD9" w:rsidRPr="00CA25CF" w:rsidRDefault="002C0FD9" w:rsidP="00CA25CF">
            <w:pPr>
              <w:rPr>
                <w:rFonts w:cs="Arial"/>
                <w:color w:val="FF0000"/>
                <w:sz w:val="21"/>
                <w:szCs w:val="21"/>
              </w:rPr>
            </w:pPr>
          </w:p>
        </w:tc>
        <w:tc>
          <w:tcPr>
            <w:tcW w:w="217" w:type="dxa"/>
          </w:tcPr>
          <w:p w14:paraId="3E129D12" w14:textId="77777777" w:rsidR="002C0FD9" w:rsidRPr="00CA25CF" w:rsidRDefault="002C0FD9" w:rsidP="00CA25CF">
            <w:pPr>
              <w:rPr>
                <w:rFonts w:cs="Arial"/>
                <w:color w:val="FF0000"/>
                <w:sz w:val="21"/>
                <w:szCs w:val="21"/>
              </w:rPr>
            </w:pPr>
          </w:p>
        </w:tc>
        <w:tc>
          <w:tcPr>
            <w:tcW w:w="217" w:type="dxa"/>
          </w:tcPr>
          <w:p w14:paraId="6B2098E6" w14:textId="77777777" w:rsidR="002C0FD9" w:rsidRPr="00CA25CF" w:rsidRDefault="002C0FD9" w:rsidP="00CA25CF">
            <w:pPr>
              <w:rPr>
                <w:rFonts w:cs="Arial"/>
                <w:color w:val="FF0000"/>
                <w:sz w:val="21"/>
                <w:szCs w:val="21"/>
              </w:rPr>
            </w:pPr>
          </w:p>
        </w:tc>
        <w:tc>
          <w:tcPr>
            <w:tcW w:w="217" w:type="dxa"/>
          </w:tcPr>
          <w:p w14:paraId="5C9695D5" w14:textId="77777777" w:rsidR="002C0FD9" w:rsidRPr="00CA25CF" w:rsidRDefault="002C0FD9" w:rsidP="00CA25CF">
            <w:pPr>
              <w:rPr>
                <w:rFonts w:cs="Arial"/>
                <w:color w:val="FF0000"/>
                <w:sz w:val="21"/>
                <w:szCs w:val="21"/>
              </w:rPr>
            </w:pPr>
          </w:p>
        </w:tc>
        <w:tc>
          <w:tcPr>
            <w:tcW w:w="217" w:type="dxa"/>
          </w:tcPr>
          <w:p w14:paraId="63B45FAD" w14:textId="23AB89A0" w:rsidR="002C0FD9" w:rsidRPr="00CA25CF" w:rsidRDefault="002C0FD9" w:rsidP="00CA25CF">
            <w:pPr>
              <w:rPr>
                <w:rFonts w:cs="Arial"/>
                <w:color w:val="FF0000"/>
                <w:sz w:val="21"/>
                <w:szCs w:val="21"/>
              </w:rPr>
            </w:pPr>
          </w:p>
        </w:tc>
        <w:tc>
          <w:tcPr>
            <w:tcW w:w="217" w:type="dxa"/>
          </w:tcPr>
          <w:p w14:paraId="19C76723" w14:textId="77777777" w:rsidR="002C0FD9" w:rsidRPr="00CA25CF" w:rsidRDefault="002C0FD9" w:rsidP="00CA25CF">
            <w:pPr>
              <w:rPr>
                <w:rFonts w:cs="Arial"/>
                <w:color w:val="FF0000"/>
                <w:sz w:val="21"/>
                <w:szCs w:val="21"/>
              </w:rPr>
            </w:pPr>
          </w:p>
        </w:tc>
        <w:tc>
          <w:tcPr>
            <w:tcW w:w="217" w:type="dxa"/>
          </w:tcPr>
          <w:p w14:paraId="11CC63CA" w14:textId="77777777" w:rsidR="002C0FD9" w:rsidRPr="00CA25CF" w:rsidRDefault="002C0FD9" w:rsidP="00CA25CF">
            <w:pPr>
              <w:rPr>
                <w:rFonts w:cs="Arial"/>
                <w:color w:val="FF0000"/>
                <w:sz w:val="21"/>
                <w:szCs w:val="21"/>
              </w:rPr>
            </w:pPr>
          </w:p>
        </w:tc>
        <w:tc>
          <w:tcPr>
            <w:tcW w:w="217" w:type="dxa"/>
          </w:tcPr>
          <w:p w14:paraId="691CE717" w14:textId="77777777" w:rsidR="002C0FD9" w:rsidRPr="00CA25CF" w:rsidRDefault="002C0FD9" w:rsidP="00CA25CF">
            <w:pPr>
              <w:rPr>
                <w:rFonts w:cs="Arial"/>
                <w:color w:val="FF0000"/>
                <w:sz w:val="21"/>
                <w:szCs w:val="21"/>
              </w:rPr>
            </w:pPr>
          </w:p>
        </w:tc>
        <w:tc>
          <w:tcPr>
            <w:tcW w:w="217" w:type="dxa"/>
          </w:tcPr>
          <w:p w14:paraId="14DA4BBA" w14:textId="77777777" w:rsidR="002C0FD9" w:rsidRPr="00CA25CF" w:rsidRDefault="002C0FD9" w:rsidP="00CA25CF">
            <w:pPr>
              <w:rPr>
                <w:rFonts w:cs="Arial"/>
                <w:color w:val="FF0000"/>
                <w:sz w:val="21"/>
                <w:szCs w:val="21"/>
              </w:rPr>
            </w:pPr>
          </w:p>
        </w:tc>
        <w:tc>
          <w:tcPr>
            <w:tcW w:w="217" w:type="dxa"/>
          </w:tcPr>
          <w:p w14:paraId="1597E767" w14:textId="77777777" w:rsidR="002C0FD9" w:rsidRPr="00CA25CF" w:rsidRDefault="002C0FD9" w:rsidP="00CA25CF">
            <w:pPr>
              <w:rPr>
                <w:rFonts w:cs="Arial"/>
                <w:color w:val="FF0000"/>
                <w:sz w:val="21"/>
                <w:szCs w:val="21"/>
              </w:rPr>
            </w:pPr>
          </w:p>
        </w:tc>
        <w:tc>
          <w:tcPr>
            <w:tcW w:w="217" w:type="dxa"/>
          </w:tcPr>
          <w:p w14:paraId="7F95232B" w14:textId="77777777" w:rsidR="002C0FD9" w:rsidRPr="00CA25CF" w:rsidRDefault="002C0FD9" w:rsidP="00CA25CF">
            <w:pPr>
              <w:rPr>
                <w:rFonts w:cs="Arial"/>
                <w:color w:val="FF0000"/>
                <w:sz w:val="21"/>
                <w:szCs w:val="21"/>
              </w:rPr>
            </w:pPr>
          </w:p>
        </w:tc>
        <w:tc>
          <w:tcPr>
            <w:tcW w:w="217" w:type="dxa"/>
          </w:tcPr>
          <w:p w14:paraId="128DAB4C" w14:textId="77777777" w:rsidR="002C0FD9" w:rsidRPr="00CA25CF" w:rsidRDefault="002C0FD9" w:rsidP="00CA25CF">
            <w:pPr>
              <w:rPr>
                <w:rFonts w:cs="Arial"/>
                <w:color w:val="FF0000"/>
                <w:sz w:val="21"/>
                <w:szCs w:val="21"/>
              </w:rPr>
            </w:pPr>
          </w:p>
        </w:tc>
        <w:tc>
          <w:tcPr>
            <w:tcW w:w="217" w:type="dxa"/>
          </w:tcPr>
          <w:p w14:paraId="5FF141C6" w14:textId="77777777" w:rsidR="002C0FD9" w:rsidRPr="00CA25CF" w:rsidRDefault="002C0FD9" w:rsidP="00CA25CF">
            <w:pPr>
              <w:rPr>
                <w:rFonts w:cs="Arial"/>
                <w:color w:val="FF0000"/>
                <w:sz w:val="21"/>
                <w:szCs w:val="21"/>
              </w:rPr>
            </w:pPr>
          </w:p>
        </w:tc>
        <w:tc>
          <w:tcPr>
            <w:tcW w:w="217" w:type="dxa"/>
          </w:tcPr>
          <w:p w14:paraId="4575277D" w14:textId="77777777" w:rsidR="002C0FD9" w:rsidRPr="00CA25CF" w:rsidRDefault="002C0FD9" w:rsidP="00CA25CF">
            <w:pPr>
              <w:rPr>
                <w:rFonts w:cs="Arial"/>
                <w:color w:val="FF0000"/>
                <w:sz w:val="21"/>
                <w:szCs w:val="21"/>
              </w:rPr>
            </w:pPr>
          </w:p>
        </w:tc>
        <w:tc>
          <w:tcPr>
            <w:tcW w:w="217" w:type="dxa"/>
          </w:tcPr>
          <w:p w14:paraId="3A78C917" w14:textId="77777777" w:rsidR="002C0FD9" w:rsidRPr="00CA25CF" w:rsidRDefault="002C0FD9" w:rsidP="00CA25CF">
            <w:pPr>
              <w:rPr>
                <w:rFonts w:cs="Arial"/>
                <w:color w:val="FF0000"/>
                <w:sz w:val="21"/>
                <w:szCs w:val="21"/>
              </w:rPr>
            </w:pPr>
          </w:p>
        </w:tc>
        <w:tc>
          <w:tcPr>
            <w:tcW w:w="217" w:type="dxa"/>
          </w:tcPr>
          <w:p w14:paraId="46C759A9" w14:textId="77777777" w:rsidR="002C0FD9" w:rsidRPr="00CA25CF" w:rsidRDefault="002C0FD9" w:rsidP="00CA25CF">
            <w:pPr>
              <w:rPr>
                <w:rFonts w:cs="Arial"/>
                <w:color w:val="FF0000"/>
                <w:sz w:val="21"/>
                <w:szCs w:val="21"/>
              </w:rPr>
            </w:pPr>
          </w:p>
        </w:tc>
        <w:tc>
          <w:tcPr>
            <w:tcW w:w="217" w:type="dxa"/>
          </w:tcPr>
          <w:p w14:paraId="68C78E38" w14:textId="77777777" w:rsidR="002C0FD9" w:rsidRPr="00CA25CF" w:rsidRDefault="002C0FD9" w:rsidP="00CA25CF">
            <w:pPr>
              <w:rPr>
                <w:rFonts w:cs="Arial"/>
                <w:color w:val="FF0000"/>
                <w:sz w:val="21"/>
                <w:szCs w:val="21"/>
              </w:rPr>
            </w:pPr>
          </w:p>
        </w:tc>
        <w:tc>
          <w:tcPr>
            <w:tcW w:w="217" w:type="dxa"/>
          </w:tcPr>
          <w:p w14:paraId="4AA7F4C7" w14:textId="77777777" w:rsidR="002C0FD9" w:rsidRPr="00CA25CF" w:rsidRDefault="002C0FD9" w:rsidP="00CA25CF">
            <w:pPr>
              <w:rPr>
                <w:rFonts w:cs="Arial"/>
                <w:color w:val="FF0000"/>
                <w:sz w:val="21"/>
                <w:szCs w:val="21"/>
              </w:rPr>
            </w:pPr>
          </w:p>
        </w:tc>
        <w:tc>
          <w:tcPr>
            <w:tcW w:w="217" w:type="dxa"/>
          </w:tcPr>
          <w:p w14:paraId="2866487E" w14:textId="77777777" w:rsidR="002C0FD9" w:rsidRPr="00CA25CF" w:rsidRDefault="002C0FD9" w:rsidP="00CA25CF">
            <w:pPr>
              <w:rPr>
                <w:rFonts w:cs="Arial"/>
                <w:color w:val="FF0000"/>
                <w:sz w:val="21"/>
                <w:szCs w:val="21"/>
              </w:rPr>
            </w:pPr>
          </w:p>
        </w:tc>
        <w:tc>
          <w:tcPr>
            <w:tcW w:w="217" w:type="dxa"/>
          </w:tcPr>
          <w:p w14:paraId="76F7C736" w14:textId="77777777" w:rsidR="002C0FD9" w:rsidRPr="00CA25CF" w:rsidRDefault="002C0FD9" w:rsidP="00CA25CF">
            <w:pPr>
              <w:rPr>
                <w:rFonts w:cs="Arial"/>
                <w:color w:val="FF0000"/>
                <w:sz w:val="21"/>
                <w:szCs w:val="21"/>
              </w:rPr>
            </w:pPr>
          </w:p>
        </w:tc>
        <w:tc>
          <w:tcPr>
            <w:tcW w:w="217" w:type="dxa"/>
          </w:tcPr>
          <w:p w14:paraId="1AA260B9" w14:textId="77777777" w:rsidR="002C0FD9" w:rsidRPr="00CA25CF" w:rsidRDefault="002C0FD9" w:rsidP="00CA25CF">
            <w:pPr>
              <w:rPr>
                <w:rFonts w:cs="Arial"/>
                <w:color w:val="FF0000"/>
                <w:sz w:val="21"/>
                <w:szCs w:val="21"/>
              </w:rPr>
            </w:pPr>
          </w:p>
        </w:tc>
        <w:tc>
          <w:tcPr>
            <w:tcW w:w="217" w:type="dxa"/>
          </w:tcPr>
          <w:p w14:paraId="626567A8" w14:textId="77777777" w:rsidR="002C0FD9" w:rsidRPr="00CA25CF" w:rsidRDefault="002C0FD9" w:rsidP="00CA25CF">
            <w:pPr>
              <w:rPr>
                <w:rFonts w:cs="Arial"/>
                <w:color w:val="FF0000"/>
                <w:sz w:val="21"/>
                <w:szCs w:val="21"/>
              </w:rPr>
            </w:pPr>
          </w:p>
        </w:tc>
        <w:tc>
          <w:tcPr>
            <w:tcW w:w="217" w:type="dxa"/>
          </w:tcPr>
          <w:p w14:paraId="674678B0" w14:textId="77777777" w:rsidR="002C0FD9" w:rsidRPr="00CA25CF" w:rsidRDefault="002C0FD9" w:rsidP="00CA25CF">
            <w:pPr>
              <w:rPr>
                <w:rFonts w:cs="Arial"/>
                <w:color w:val="FF0000"/>
                <w:sz w:val="21"/>
                <w:szCs w:val="21"/>
              </w:rPr>
            </w:pPr>
          </w:p>
        </w:tc>
        <w:tc>
          <w:tcPr>
            <w:tcW w:w="217" w:type="dxa"/>
          </w:tcPr>
          <w:p w14:paraId="1590DDEB" w14:textId="77777777" w:rsidR="002C0FD9" w:rsidRPr="00CA25CF" w:rsidRDefault="002C0FD9" w:rsidP="00CA25CF">
            <w:pPr>
              <w:rPr>
                <w:rFonts w:cs="Arial"/>
                <w:color w:val="FF0000"/>
                <w:sz w:val="21"/>
                <w:szCs w:val="21"/>
              </w:rPr>
            </w:pPr>
          </w:p>
        </w:tc>
        <w:tc>
          <w:tcPr>
            <w:tcW w:w="217" w:type="dxa"/>
          </w:tcPr>
          <w:p w14:paraId="719E3C03" w14:textId="77777777" w:rsidR="002C0FD9" w:rsidRPr="00CA25CF" w:rsidRDefault="002C0FD9" w:rsidP="00CA25CF">
            <w:pPr>
              <w:rPr>
                <w:rFonts w:cs="Arial"/>
                <w:color w:val="FF0000"/>
                <w:sz w:val="21"/>
                <w:szCs w:val="21"/>
              </w:rPr>
            </w:pPr>
          </w:p>
        </w:tc>
        <w:tc>
          <w:tcPr>
            <w:tcW w:w="217" w:type="dxa"/>
          </w:tcPr>
          <w:p w14:paraId="5E712F68" w14:textId="77777777" w:rsidR="002C0FD9" w:rsidRPr="00CA25CF" w:rsidRDefault="002C0FD9" w:rsidP="00CA25CF">
            <w:pPr>
              <w:rPr>
                <w:rFonts w:cs="Arial"/>
                <w:color w:val="FF0000"/>
                <w:sz w:val="21"/>
                <w:szCs w:val="21"/>
              </w:rPr>
            </w:pPr>
          </w:p>
        </w:tc>
        <w:tc>
          <w:tcPr>
            <w:tcW w:w="217" w:type="dxa"/>
          </w:tcPr>
          <w:p w14:paraId="37348D69" w14:textId="77777777" w:rsidR="002C0FD9" w:rsidRPr="00CA25CF" w:rsidRDefault="002C0FD9" w:rsidP="00CA25CF">
            <w:pPr>
              <w:rPr>
                <w:rFonts w:cs="Arial"/>
                <w:color w:val="FF0000"/>
                <w:sz w:val="21"/>
                <w:szCs w:val="21"/>
              </w:rPr>
            </w:pPr>
          </w:p>
        </w:tc>
        <w:tc>
          <w:tcPr>
            <w:tcW w:w="217" w:type="dxa"/>
          </w:tcPr>
          <w:p w14:paraId="7621CCCF" w14:textId="77777777" w:rsidR="002C0FD9" w:rsidRPr="00CA25CF" w:rsidRDefault="002C0FD9" w:rsidP="00CA25CF">
            <w:pPr>
              <w:rPr>
                <w:rFonts w:cs="Arial"/>
                <w:color w:val="FF0000"/>
                <w:sz w:val="21"/>
                <w:szCs w:val="21"/>
              </w:rPr>
            </w:pPr>
          </w:p>
        </w:tc>
        <w:tc>
          <w:tcPr>
            <w:tcW w:w="217" w:type="dxa"/>
          </w:tcPr>
          <w:p w14:paraId="09BB0EF9" w14:textId="77777777" w:rsidR="002C0FD9" w:rsidRPr="00CA25CF" w:rsidRDefault="002C0FD9" w:rsidP="00CA25CF">
            <w:pPr>
              <w:rPr>
                <w:rFonts w:cs="Arial"/>
                <w:color w:val="FF0000"/>
                <w:sz w:val="21"/>
                <w:szCs w:val="21"/>
              </w:rPr>
            </w:pPr>
          </w:p>
        </w:tc>
        <w:tc>
          <w:tcPr>
            <w:tcW w:w="217" w:type="dxa"/>
          </w:tcPr>
          <w:p w14:paraId="683A1DFA" w14:textId="77777777" w:rsidR="002C0FD9" w:rsidRPr="00CA25CF" w:rsidRDefault="002C0FD9" w:rsidP="00CA25CF">
            <w:pPr>
              <w:rPr>
                <w:rFonts w:cs="Arial"/>
                <w:color w:val="FF0000"/>
                <w:sz w:val="21"/>
                <w:szCs w:val="21"/>
              </w:rPr>
            </w:pPr>
          </w:p>
        </w:tc>
        <w:tc>
          <w:tcPr>
            <w:tcW w:w="217" w:type="dxa"/>
          </w:tcPr>
          <w:p w14:paraId="189CF084" w14:textId="77777777" w:rsidR="002C0FD9" w:rsidRPr="00CA25CF" w:rsidRDefault="002C0FD9" w:rsidP="00CA25CF">
            <w:pPr>
              <w:rPr>
                <w:rFonts w:cs="Arial"/>
                <w:color w:val="FF0000"/>
                <w:sz w:val="21"/>
                <w:szCs w:val="21"/>
              </w:rPr>
            </w:pPr>
          </w:p>
        </w:tc>
        <w:tc>
          <w:tcPr>
            <w:tcW w:w="217" w:type="dxa"/>
          </w:tcPr>
          <w:p w14:paraId="57C3B29F" w14:textId="77777777" w:rsidR="002C0FD9" w:rsidRPr="00CA25CF" w:rsidRDefault="002C0FD9" w:rsidP="00CA25CF">
            <w:pPr>
              <w:rPr>
                <w:rFonts w:cs="Arial"/>
                <w:color w:val="FF0000"/>
                <w:sz w:val="21"/>
                <w:szCs w:val="21"/>
              </w:rPr>
            </w:pPr>
          </w:p>
        </w:tc>
      </w:tr>
      <w:tr w:rsidR="002C0FD9" w:rsidRPr="00A16219" w14:paraId="0531E585" w14:textId="1B359837" w:rsidTr="002C0FD9">
        <w:trPr>
          <w:trHeight w:val="635"/>
        </w:trPr>
        <w:tc>
          <w:tcPr>
            <w:tcW w:w="515" w:type="dxa"/>
          </w:tcPr>
          <w:p w14:paraId="1377F21C" w14:textId="77777777" w:rsidR="002C0FD9" w:rsidRPr="00CA25CF" w:rsidRDefault="002C0FD9" w:rsidP="00CA25CF">
            <w:pPr>
              <w:rPr>
                <w:rFonts w:cs="Arial"/>
                <w:color w:val="FF0000"/>
                <w:sz w:val="21"/>
                <w:szCs w:val="21"/>
              </w:rPr>
            </w:pPr>
          </w:p>
        </w:tc>
        <w:tc>
          <w:tcPr>
            <w:tcW w:w="217" w:type="dxa"/>
          </w:tcPr>
          <w:p w14:paraId="5B60DC3F" w14:textId="77777777" w:rsidR="002C0FD9" w:rsidRPr="00CA25CF" w:rsidRDefault="002C0FD9" w:rsidP="00CA25CF">
            <w:pPr>
              <w:rPr>
                <w:rFonts w:cs="Arial"/>
                <w:color w:val="FF0000"/>
                <w:sz w:val="21"/>
                <w:szCs w:val="21"/>
              </w:rPr>
            </w:pPr>
          </w:p>
        </w:tc>
        <w:tc>
          <w:tcPr>
            <w:tcW w:w="217" w:type="dxa"/>
          </w:tcPr>
          <w:p w14:paraId="7B8FE9DF" w14:textId="1FDC2414" w:rsidR="002C0FD9" w:rsidRPr="00CA25CF" w:rsidRDefault="002C0FD9" w:rsidP="00CA25CF">
            <w:pPr>
              <w:rPr>
                <w:rFonts w:cs="Arial"/>
                <w:color w:val="FF0000"/>
                <w:sz w:val="21"/>
                <w:szCs w:val="21"/>
              </w:rPr>
            </w:pPr>
          </w:p>
        </w:tc>
        <w:tc>
          <w:tcPr>
            <w:tcW w:w="217" w:type="dxa"/>
          </w:tcPr>
          <w:p w14:paraId="5B0BF7B6" w14:textId="77777777" w:rsidR="002C0FD9" w:rsidRPr="00CA25CF" w:rsidRDefault="002C0FD9" w:rsidP="00CA25CF">
            <w:pPr>
              <w:rPr>
                <w:rFonts w:cs="Arial"/>
                <w:color w:val="FF0000"/>
                <w:sz w:val="21"/>
                <w:szCs w:val="21"/>
              </w:rPr>
            </w:pPr>
          </w:p>
        </w:tc>
        <w:tc>
          <w:tcPr>
            <w:tcW w:w="217" w:type="dxa"/>
          </w:tcPr>
          <w:p w14:paraId="752AE9F0" w14:textId="77777777" w:rsidR="002C0FD9" w:rsidRPr="00CA25CF" w:rsidRDefault="002C0FD9" w:rsidP="00CA25CF">
            <w:pPr>
              <w:rPr>
                <w:rFonts w:cs="Arial"/>
                <w:color w:val="FF0000"/>
                <w:sz w:val="21"/>
                <w:szCs w:val="21"/>
              </w:rPr>
            </w:pPr>
          </w:p>
        </w:tc>
        <w:tc>
          <w:tcPr>
            <w:tcW w:w="217" w:type="dxa"/>
          </w:tcPr>
          <w:p w14:paraId="0A5DA0D0" w14:textId="77777777" w:rsidR="002C0FD9" w:rsidRPr="00CA25CF" w:rsidRDefault="002C0FD9" w:rsidP="00CA25CF">
            <w:pPr>
              <w:rPr>
                <w:rFonts w:cs="Arial"/>
                <w:color w:val="FF0000"/>
                <w:sz w:val="21"/>
                <w:szCs w:val="21"/>
              </w:rPr>
            </w:pPr>
          </w:p>
        </w:tc>
        <w:tc>
          <w:tcPr>
            <w:tcW w:w="217" w:type="dxa"/>
          </w:tcPr>
          <w:p w14:paraId="44EF125F" w14:textId="77777777" w:rsidR="002C0FD9" w:rsidRPr="00CA25CF" w:rsidRDefault="002C0FD9" w:rsidP="00CA25CF">
            <w:pPr>
              <w:rPr>
                <w:rFonts w:cs="Arial"/>
                <w:color w:val="FF0000"/>
                <w:sz w:val="21"/>
                <w:szCs w:val="21"/>
              </w:rPr>
            </w:pPr>
          </w:p>
        </w:tc>
        <w:tc>
          <w:tcPr>
            <w:tcW w:w="217" w:type="dxa"/>
          </w:tcPr>
          <w:p w14:paraId="22A092F1" w14:textId="77777777" w:rsidR="002C0FD9" w:rsidRPr="00CA25CF" w:rsidRDefault="002C0FD9" w:rsidP="00CA25CF">
            <w:pPr>
              <w:rPr>
                <w:rFonts w:cs="Arial"/>
                <w:color w:val="FF0000"/>
                <w:sz w:val="21"/>
                <w:szCs w:val="21"/>
              </w:rPr>
            </w:pPr>
          </w:p>
        </w:tc>
        <w:tc>
          <w:tcPr>
            <w:tcW w:w="217" w:type="dxa"/>
          </w:tcPr>
          <w:p w14:paraId="6F3A149C" w14:textId="77777777" w:rsidR="002C0FD9" w:rsidRPr="00CA25CF" w:rsidRDefault="002C0FD9" w:rsidP="00CA25CF">
            <w:pPr>
              <w:rPr>
                <w:rFonts w:cs="Arial"/>
                <w:color w:val="FF0000"/>
                <w:sz w:val="21"/>
                <w:szCs w:val="21"/>
              </w:rPr>
            </w:pPr>
          </w:p>
        </w:tc>
        <w:tc>
          <w:tcPr>
            <w:tcW w:w="217" w:type="dxa"/>
          </w:tcPr>
          <w:p w14:paraId="22358D59" w14:textId="77777777" w:rsidR="002C0FD9" w:rsidRPr="00CA25CF" w:rsidRDefault="002C0FD9" w:rsidP="00CA25CF">
            <w:pPr>
              <w:rPr>
                <w:rFonts w:cs="Arial"/>
                <w:color w:val="FF0000"/>
                <w:sz w:val="21"/>
                <w:szCs w:val="21"/>
              </w:rPr>
            </w:pPr>
          </w:p>
        </w:tc>
        <w:tc>
          <w:tcPr>
            <w:tcW w:w="217" w:type="dxa"/>
          </w:tcPr>
          <w:p w14:paraId="7B7C5FBA" w14:textId="77777777" w:rsidR="002C0FD9" w:rsidRPr="00CA25CF" w:rsidRDefault="002C0FD9" w:rsidP="00CA25CF">
            <w:pPr>
              <w:rPr>
                <w:rFonts w:cs="Arial"/>
                <w:color w:val="FF0000"/>
                <w:sz w:val="21"/>
                <w:szCs w:val="21"/>
              </w:rPr>
            </w:pPr>
          </w:p>
        </w:tc>
        <w:tc>
          <w:tcPr>
            <w:tcW w:w="217" w:type="dxa"/>
          </w:tcPr>
          <w:p w14:paraId="6D715EF3" w14:textId="77777777" w:rsidR="002C0FD9" w:rsidRPr="00CA25CF" w:rsidRDefault="002C0FD9" w:rsidP="00CA25CF">
            <w:pPr>
              <w:rPr>
                <w:rFonts w:cs="Arial"/>
                <w:color w:val="FF0000"/>
                <w:sz w:val="21"/>
                <w:szCs w:val="21"/>
              </w:rPr>
            </w:pPr>
          </w:p>
        </w:tc>
        <w:tc>
          <w:tcPr>
            <w:tcW w:w="217" w:type="dxa"/>
          </w:tcPr>
          <w:p w14:paraId="31547E33" w14:textId="77777777" w:rsidR="002C0FD9" w:rsidRPr="00CA25CF" w:rsidRDefault="002C0FD9" w:rsidP="00CA25CF">
            <w:pPr>
              <w:rPr>
                <w:rFonts w:cs="Arial"/>
                <w:color w:val="FF0000"/>
                <w:sz w:val="21"/>
                <w:szCs w:val="21"/>
              </w:rPr>
            </w:pPr>
          </w:p>
        </w:tc>
        <w:tc>
          <w:tcPr>
            <w:tcW w:w="217" w:type="dxa"/>
          </w:tcPr>
          <w:p w14:paraId="117A2FFD" w14:textId="77777777" w:rsidR="002C0FD9" w:rsidRPr="00CA25CF" w:rsidRDefault="002C0FD9" w:rsidP="00CA25CF">
            <w:pPr>
              <w:rPr>
                <w:rFonts w:cs="Arial"/>
                <w:color w:val="FF0000"/>
                <w:sz w:val="21"/>
                <w:szCs w:val="21"/>
              </w:rPr>
            </w:pPr>
          </w:p>
        </w:tc>
        <w:tc>
          <w:tcPr>
            <w:tcW w:w="217" w:type="dxa"/>
          </w:tcPr>
          <w:p w14:paraId="178FBF00" w14:textId="77777777" w:rsidR="002C0FD9" w:rsidRPr="00CA25CF" w:rsidRDefault="002C0FD9" w:rsidP="00CA25CF">
            <w:pPr>
              <w:rPr>
                <w:rFonts w:cs="Arial"/>
                <w:color w:val="FF0000"/>
                <w:sz w:val="21"/>
                <w:szCs w:val="21"/>
              </w:rPr>
            </w:pPr>
          </w:p>
        </w:tc>
        <w:tc>
          <w:tcPr>
            <w:tcW w:w="217" w:type="dxa"/>
          </w:tcPr>
          <w:p w14:paraId="432AB673" w14:textId="4C763E1F" w:rsidR="002C0FD9" w:rsidRPr="00CA25CF" w:rsidRDefault="002C0FD9" w:rsidP="00CA25CF">
            <w:pPr>
              <w:rPr>
                <w:rFonts w:cs="Arial"/>
                <w:color w:val="FF0000"/>
                <w:sz w:val="21"/>
                <w:szCs w:val="21"/>
              </w:rPr>
            </w:pPr>
          </w:p>
        </w:tc>
        <w:tc>
          <w:tcPr>
            <w:tcW w:w="217" w:type="dxa"/>
          </w:tcPr>
          <w:p w14:paraId="58A63770" w14:textId="77777777" w:rsidR="002C0FD9" w:rsidRPr="00CA25CF" w:rsidRDefault="002C0FD9" w:rsidP="00CA25CF">
            <w:pPr>
              <w:rPr>
                <w:rFonts w:cs="Arial"/>
                <w:color w:val="FF0000"/>
                <w:sz w:val="21"/>
                <w:szCs w:val="21"/>
              </w:rPr>
            </w:pPr>
          </w:p>
        </w:tc>
        <w:tc>
          <w:tcPr>
            <w:tcW w:w="217" w:type="dxa"/>
          </w:tcPr>
          <w:p w14:paraId="7BA99F79" w14:textId="77777777" w:rsidR="002C0FD9" w:rsidRPr="00CA25CF" w:rsidRDefault="002C0FD9" w:rsidP="00CA25CF">
            <w:pPr>
              <w:rPr>
                <w:rFonts w:cs="Arial"/>
                <w:color w:val="FF0000"/>
                <w:sz w:val="21"/>
                <w:szCs w:val="21"/>
              </w:rPr>
            </w:pPr>
          </w:p>
        </w:tc>
        <w:tc>
          <w:tcPr>
            <w:tcW w:w="217" w:type="dxa"/>
          </w:tcPr>
          <w:p w14:paraId="3557D25A" w14:textId="77777777" w:rsidR="002C0FD9" w:rsidRPr="00CA25CF" w:rsidRDefault="002C0FD9" w:rsidP="00CA25CF">
            <w:pPr>
              <w:rPr>
                <w:rFonts w:cs="Arial"/>
                <w:color w:val="FF0000"/>
                <w:sz w:val="21"/>
                <w:szCs w:val="21"/>
              </w:rPr>
            </w:pPr>
          </w:p>
        </w:tc>
        <w:tc>
          <w:tcPr>
            <w:tcW w:w="217" w:type="dxa"/>
          </w:tcPr>
          <w:p w14:paraId="052DA808" w14:textId="77777777" w:rsidR="002C0FD9" w:rsidRPr="00CA25CF" w:rsidRDefault="002C0FD9" w:rsidP="00CA25CF">
            <w:pPr>
              <w:rPr>
                <w:rFonts w:cs="Arial"/>
                <w:color w:val="FF0000"/>
                <w:sz w:val="21"/>
                <w:szCs w:val="21"/>
              </w:rPr>
            </w:pPr>
          </w:p>
        </w:tc>
        <w:tc>
          <w:tcPr>
            <w:tcW w:w="217" w:type="dxa"/>
          </w:tcPr>
          <w:p w14:paraId="4393EC82" w14:textId="77777777" w:rsidR="002C0FD9" w:rsidRPr="00CA25CF" w:rsidRDefault="002C0FD9" w:rsidP="00CA25CF">
            <w:pPr>
              <w:rPr>
                <w:rFonts w:cs="Arial"/>
                <w:color w:val="FF0000"/>
                <w:sz w:val="21"/>
                <w:szCs w:val="21"/>
              </w:rPr>
            </w:pPr>
          </w:p>
        </w:tc>
        <w:tc>
          <w:tcPr>
            <w:tcW w:w="217" w:type="dxa"/>
          </w:tcPr>
          <w:p w14:paraId="1CE51A82" w14:textId="77777777" w:rsidR="002C0FD9" w:rsidRPr="00CA25CF" w:rsidRDefault="002C0FD9" w:rsidP="00CA25CF">
            <w:pPr>
              <w:rPr>
                <w:rFonts w:cs="Arial"/>
                <w:color w:val="FF0000"/>
                <w:sz w:val="21"/>
                <w:szCs w:val="21"/>
              </w:rPr>
            </w:pPr>
          </w:p>
        </w:tc>
        <w:tc>
          <w:tcPr>
            <w:tcW w:w="217" w:type="dxa"/>
          </w:tcPr>
          <w:p w14:paraId="721D48EC" w14:textId="77777777" w:rsidR="002C0FD9" w:rsidRPr="00CA25CF" w:rsidRDefault="002C0FD9" w:rsidP="00CA25CF">
            <w:pPr>
              <w:rPr>
                <w:rFonts w:cs="Arial"/>
                <w:color w:val="FF0000"/>
                <w:sz w:val="21"/>
                <w:szCs w:val="21"/>
              </w:rPr>
            </w:pPr>
          </w:p>
        </w:tc>
        <w:tc>
          <w:tcPr>
            <w:tcW w:w="217" w:type="dxa"/>
          </w:tcPr>
          <w:p w14:paraId="688388DB" w14:textId="77777777" w:rsidR="002C0FD9" w:rsidRPr="00CA25CF" w:rsidRDefault="002C0FD9" w:rsidP="00CA25CF">
            <w:pPr>
              <w:rPr>
                <w:rFonts w:cs="Arial"/>
                <w:color w:val="FF0000"/>
                <w:sz w:val="21"/>
                <w:szCs w:val="21"/>
              </w:rPr>
            </w:pPr>
          </w:p>
        </w:tc>
        <w:tc>
          <w:tcPr>
            <w:tcW w:w="217" w:type="dxa"/>
          </w:tcPr>
          <w:p w14:paraId="192634D1" w14:textId="77777777" w:rsidR="002C0FD9" w:rsidRPr="00CA25CF" w:rsidRDefault="002C0FD9" w:rsidP="00CA25CF">
            <w:pPr>
              <w:rPr>
                <w:rFonts w:cs="Arial"/>
                <w:color w:val="FF0000"/>
                <w:sz w:val="21"/>
                <w:szCs w:val="21"/>
              </w:rPr>
            </w:pPr>
          </w:p>
        </w:tc>
        <w:tc>
          <w:tcPr>
            <w:tcW w:w="217" w:type="dxa"/>
          </w:tcPr>
          <w:p w14:paraId="69C5080C" w14:textId="77777777" w:rsidR="002C0FD9" w:rsidRPr="00CA25CF" w:rsidRDefault="002C0FD9" w:rsidP="00CA25CF">
            <w:pPr>
              <w:rPr>
                <w:rFonts w:cs="Arial"/>
                <w:color w:val="FF0000"/>
                <w:sz w:val="21"/>
                <w:szCs w:val="21"/>
              </w:rPr>
            </w:pPr>
          </w:p>
        </w:tc>
        <w:tc>
          <w:tcPr>
            <w:tcW w:w="217" w:type="dxa"/>
          </w:tcPr>
          <w:p w14:paraId="46D29132" w14:textId="77777777" w:rsidR="002C0FD9" w:rsidRPr="00CA25CF" w:rsidRDefault="002C0FD9" w:rsidP="00CA25CF">
            <w:pPr>
              <w:rPr>
                <w:rFonts w:cs="Arial"/>
                <w:color w:val="FF0000"/>
                <w:sz w:val="21"/>
                <w:szCs w:val="21"/>
              </w:rPr>
            </w:pPr>
          </w:p>
        </w:tc>
        <w:tc>
          <w:tcPr>
            <w:tcW w:w="217" w:type="dxa"/>
          </w:tcPr>
          <w:p w14:paraId="17190707" w14:textId="77777777" w:rsidR="002C0FD9" w:rsidRPr="00CA25CF" w:rsidRDefault="002C0FD9" w:rsidP="00CA25CF">
            <w:pPr>
              <w:rPr>
                <w:rFonts w:cs="Arial"/>
                <w:color w:val="FF0000"/>
                <w:sz w:val="21"/>
                <w:szCs w:val="21"/>
              </w:rPr>
            </w:pPr>
          </w:p>
        </w:tc>
        <w:tc>
          <w:tcPr>
            <w:tcW w:w="217" w:type="dxa"/>
          </w:tcPr>
          <w:p w14:paraId="362F658B" w14:textId="77777777" w:rsidR="002C0FD9" w:rsidRPr="00CA25CF" w:rsidRDefault="002C0FD9" w:rsidP="00CA25CF">
            <w:pPr>
              <w:rPr>
                <w:rFonts w:cs="Arial"/>
                <w:color w:val="FF0000"/>
                <w:sz w:val="21"/>
                <w:szCs w:val="21"/>
              </w:rPr>
            </w:pPr>
          </w:p>
        </w:tc>
        <w:tc>
          <w:tcPr>
            <w:tcW w:w="217" w:type="dxa"/>
          </w:tcPr>
          <w:p w14:paraId="535762B5" w14:textId="77777777" w:rsidR="002C0FD9" w:rsidRPr="00CA25CF" w:rsidRDefault="002C0FD9" w:rsidP="00CA25CF">
            <w:pPr>
              <w:rPr>
                <w:rFonts w:cs="Arial"/>
                <w:color w:val="FF0000"/>
                <w:sz w:val="21"/>
                <w:szCs w:val="21"/>
              </w:rPr>
            </w:pPr>
          </w:p>
        </w:tc>
        <w:tc>
          <w:tcPr>
            <w:tcW w:w="217" w:type="dxa"/>
          </w:tcPr>
          <w:p w14:paraId="5A729218" w14:textId="77777777" w:rsidR="002C0FD9" w:rsidRPr="00CA25CF" w:rsidRDefault="002C0FD9" w:rsidP="00CA25CF">
            <w:pPr>
              <w:rPr>
                <w:rFonts w:cs="Arial"/>
                <w:color w:val="FF0000"/>
                <w:sz w:val="21"/>
                <w:szCs w:val="21"/>
              </w:rPr>
            </w:pPr>
          </w:p>
        </w:tc>
        <w:tc>
          <w:tcPr>
            <w:tcW w:w="217" w:type="dxa"/>
          </w:tcPr>
          <w:p w14:paraId="785B8279" w14:textId="77777777" w:rsidR="002C0FD9" w:rsidRPr="00CA25CF" w:rsidRDefault="002C0FD9" w:rsidP="00CA25CF">
            <w:pPr>
              <w:rPr>
                <w:rFonts w:cs="Arial"/>
                <w:color w:val="FF0000"/>
                <w:sz w:val="21"/>
                <w:szCs w:val="21"/>
              </w:rPr>
            </w:pPr>
          </w:p>
        </w:tc>
        <w:tc>
          <w:tcPr>
            <w:tcW w:w="217" w:type="dxa"/>
          </w:tcPr>
          <w:p w14:paraId="69A96167" w14:textId="77777777" w:rsidR="002C0FD9" w:rsidRPr="00CA25CF" w:rsidRDefault="002C0FD9" w:rsidP="00CA25CF">
            <w:pPr>
              <w:rPr>
                <w:rFonts w:cs="Arial"/>
                <w:color w:val="FF0000"/>
                <w:sz w:val="21"/>
                <w:szCs w:val="21"/>
              </w:rPr>
            </w:pPr>
          </w:p>
        </w:tc>
        <w:tc>
          <w:tcPr>
            <w:tcW w:w="217" w:type="dxa"/>
          </w:tcPr>
          <w:p w14:paraId="220A9997" w14:textId="77777777" w:rsidR="002C0FD9" w:rsidRPr="00CA25CF" w:rsidRDefault="002C0FD9" w:rsidP="00CA25CF">
            <w:pPr>
              <w:rPr>
                <w:rFonts w:cs="Arial"/>
                <w:color w:val="FF0000"/>
                <w:sz w:val="21"/>
                <w:szCs w:val="21"/>
              </w:rPr>
            </w:pPr>
          </w:p>
        </w:tc>
        <w:tc>
          <w:tcPr>
            <w:tcW w:w="217" w:type="dxa"/>
          </w:tcPr>
          <w:p w14:paraId="0BB30249" w14:textId="77777777" w:rsidR="002C0FD9" w:rsidRPr="00CA25CF" w:rsidRDefault="002C0FD9" w:rsidP="00CA25CF">
            <w:pPr>
              <w:rPr>
                <w:rFonts w:cs="Arial"/>
                <w:color w:val="FF0000"/>
                <w:sz w:val="21"/>
                <w:szCs w:val="21"/>
              </w:rPr>
            </w:pPr>
          </w:p>
        </w:tc>
        <w:tc>
          <w:tcPr>
            <w:tcW w:w="217" w:type="dxa"/>
          </w:tcPr>
          <w:p w14:paraId="6D6B687C" w14:textId="77777777" w:rsidR="002C0FD9" w:rsidRPr="00CA25CF" w:rsidRDefault="002C0FD9" w:rsidP="00CA25CF">
            <w:pPr>
              <w:rPr>
                <w:rFonts w:cs="Arial"/>
                <w:color w:val="FF0000"/>
                <w:sz w:val="21"/>
                <w:szCs w:val="21"/>
              </w:rPr>
            </w:pPr>
          </w:p>
        </w:tc>
        <w:tc>
          <w:tcPr>
            <w:tcW w:w="217" w:type="dxa"/>
          </w:tcPr>
          <w:p w14:paraId="4C943F34" w14:textId="77777777" w:rsidR="002C0FD9" w:rsidRPr="00CA25CF" w:rsidRDefault="002C0FD9" w:rsidP="00CA25CF">
            <w:pPr>
              <w:rPr>
                <w:rFonts w:cs="Arial"/>
                <w:color w:val="FF0000"/>
                <w:sz w:val="21"/>
                <w:szCs w:val="21"/>
              </w:rPr>
            </w:pPr>
          </w:p>
        </w:tc>
        <w:tc>
          <w:tcPr>
            <w:tcW w:w="217" w:type="dxa"/>
          </w:tcPr>
          <w:p w14:paraId="6E4985C7" w14:textId="77777777" w:rsidR="002C0FD9" w:rsidRPr="00CA25CF" w:rsidRDefault="002C0FD9" w:rsidP="00CA25CF">
            <w:pPr>
              <w:rPr>
                <w:rFonts w:cs="Arial"/>
                <w:color w:val="FF0000"/>
                <w:sz w:val="21"/>
                <w:szCs w:val="21"/>
              </w:rPr>
            </w:pPr>
          </w:p>
        </w:tc>
        <w:tc>
          <w:tcPr>
            <w:tcW w:w="217" w:type="dxa"/>
          </w:tcPr>
          <w:p w14:paraId="159E25F9" w14:textId="77777777" w:rsidR="002C0FD9" w:rsidRPr="00CA25CF" w:rsidRDefault="002C0FD9" w:rsidP="00CA25CF">
            <w:pPr>
              <w:rPr>
                <w:rFonts w:cs="Arial"/>
                <w:color w:val="FF0000"/>
                <w:sz w:val="21"/>
                <w:szCs w:val="21"/>
              </w:rPr>
            </w:pPr>
          </w:p>
        </w:tc>
        <w:tc>
          <w:tcPr>
            <w:tcW w:w="217" w:type="dxa"/>
          </w:tcPr>
          <w:p w14:paraId="6F236C8A" w14:textId="77777777" w:rsidR="002C0FD9" w:rsidRPr="00CA25CF" w:rsidRDefault="002C0FD9" w:rsidP="00CA25CF">
            <w:pPr>
              <w:rPr>
                <w:rFonts w:cs="Arial"/>
                <w:color w:val="FF0000"/>
                <w:sz w:val="21"/>
                <w:szCs w:val="21"/>
              </w:rPr>
            </w:pPr>
          </w:p>
        </w:tc>
        <w:tc>
          <w:tcPr>
            <w:tcW w:w="217" w:type="dxa"/>
          </w:tcPr>
          <w:p w14:paraId="3D07D4FB" w14:textId="77777777" w:rsidR="002C0FD9" w:rsidRPr="00CA25CF" w:rsidRDefault="002C0FD9" w:rsidP="00CA25CF">
            <w:pPr>
              <w:rPr>
                <w:rFonts w:cs="Arial"/>
                <w:color w:val="FF0000"/>
                <w:sz w:val="21"/>
                <w:szCs w:val="21"/>
              </w:rPr>
            </w:pPr>
          </w:p>
        </w:tc>
        <w:tc>
          <w:tcPr>
            <w:tcW w:w="217" w:type="dxa"/>
          </w:tcPr>
          <w:p w14:paraId="70827BC5" w14:textId="77777777" w:rsidR="002C0FD9" w:rsidRPr="00CA25CF" w:rsidRDefault="002C0FD9" w:rsidP="00CA25CF">
            <w:pPr>
              <w:rPr>
                <w:rFonts w:cs="Arial"/>
                <w:color w:val="FF0000"/>
                <w:sz w:val="21"/>
                <w:szCs w:val="21"/>
              </w:rPr>
            </w:pPr>
          </w:p>
        </w:tc>
        <w:tc>
          <w:tcPr>
            <w:tcW w:w="217" w:type="dxa"/>
          </w:tcPr>
          <w:p w14:paraId="58D3258F" w14:textId="77777777" w:rsidR="002C0FD9" w:rsidRPr="00CA25CF" w:rsidRDefault="002C0FD9" w:rsidP="00CA25CF">
            <w:pPr>
              <w:rPr>
                <w:rFonts w:cs="Arial"/>
                <w:color w:val="FF0000"/>
                <w:sz w:val="21"/>
                <w:szCs w:val="21"/>
              </w:rPr>
            </w:pPr>
          </w:p>
        </w:tc>
      </w:tr>
      <w:tr w:rsidR="002C0FD9" w:rsidRPr="00A16219" w14:paraId="14701787" w14:textId="3062924A" w:rsidTr="002C0FD9">
        <w:trPr>
          <w:trHeight w:val="635"/>
        </w:trPr>
        <w:tc>
          <w:tcPr>
            <w:tcW w:w="515" w:type="dxa"/>
          </w:tcPr>
          <w:p w14:paraId="663EDB1B" w14:textId="77777777" w:rsidR="002C0FD9" w:rsidRPr="00CA25CF" w:rsidRDefault="002C0FD9" w:rsidP="00CA25CF">
            <w:pPr>
              <w:rPr>
                <w:rFonts w:cs="Arial"/>
                <w:color w:val="FF0000"/>
                <w:sz w:val="21"/>
                <w:szCs w:val="21"/>
              </w:rPr>
            </w:pPr>
          </w:p>
        </w:tc>
        <w:tc>
          <w:tcPr>
            <w:tcW w:w="217" w:type="dxa"/>
          </w:tcPr>
          <w:p w14:paraId="1F5E74B8" w14:textId="77777777" w:rsidR="002C0FD9" w:rsidRPr="00CA25CF" w:rsidRDefault="002C0FD9" w:rsidP="00CA25CF">
            <w:pPr>
              <w:rPr>
                <w:rFonts w:cs="Arial"/>
                <w:color w:val="FF0000"/>
                <w:sz w:val="21"/>
                <w:szCs w:val="21"/>
              </w:rPr>
            </w:pPr>
          </w:p>
        </w:tc>
        <w:tc>
          <w:tcPr>
            <w:tcW w:w="217" w:type="dxa"/>
          </w:tcPr>
          <w:p w14:paraId="14689911" w14:textId="237D7782" w:rsidR="002C0FD9" w:rsidRPr="00CA25CF" w:rsidRDefault="002C0FD9" w:rsidP="00CA25CF">
            <w:pPr>
              <w:rPr>
                <w:rFonts w:cs="Arial"/>
                <w:color w:val="FF0000"/>
                <w:sz w:val="21"/>
                <w:szCs w:val="21"/>
              </w:rPr>
            </w:pPr>
          </w:p>
        </w:tc>
        <w:tc>
          <w:tcPr>
            <w:tcW w:w="217" w:type="dxa"/>
          </w:tcPr>
          <w:p w14:paraId="0BC4D721" w14:textId="77777777" w:rsidR="002C0FD9" w:rsidRPr="00CA25CF" w:rsidRDefault="002C0FD9" w:rsidP="00CA25CF">
            <w:pPr>
              <w:rPr>
                <w:rFonts w:cs="Arial"/>
                <w:color w:val="FF0000"/>
                <w:sz w:val="21"/>
                <w:szCs w:val="21"/>
              </w:rPr>
            </w:pPr>
          </w:p>
        </w:tc>
        <w:tc>
          <w:tcPr>
            <w:tcW w:w="217" w:type="dxa"/>
          </w:tcPr>
          <w:p w14:paraId="197DB813" w14:textId="77777777" w:rsidR="002C0FD9" w:rsidRPr="00CA25CF" w:rsidRDefault="002C0FD9" w:rsidP="00CA25CF">
            <w:pPr>
              <w:rPr>
                <w:rFonts w:cs="Arial"/>
                <w:color w:val="FF0000"/>
                <w:sz w:val="21"/>
                <w:szCs w:val="21"/>
              </w:rPr>
            </w:pPr>
          </w:p>
        </w:tc>
        <w:tc>
          <w:tcPr>
            <w:tcW w:w="217" w:type="dxa"/>
          </w:tcPr>
          <w:p w14:paraId="070B7564" w14:textId="77777777" w:rsidR="002C0FD9" w:rsidRPr="00CA25CF" w:rsidRDefault="002C0FD9" w:rsidP="00CA25CF">
            <w:pPr>
              <w:rPr>
                <w:rFonts w:cs="Arial"/>
                <w:color w:val="FF0000"/>
                <w:sz w:val="21"/>
                <w:szCs w:val="21"/>
              </w:rPr>
            </w:pPr>
          </w:p>
        </w:tc>
        <w:tc>
          <w:tcPr>
            <w:tcW w:w="217" w:type="dxa"/>
          </w:tcPr>
          <w:p w14:paraId="5DA3318D" w14:textId="77777777" w:rsidR="002C0FD9" w:rsidRPr="00CA25CF" w:rsidRDefault="002C0FD9" w:rsidP="00CA25CF">
            <w:pPr>
              <w:rPr>
                <w:rFonts w:cs="Arial"/>
                <w:color w:val="FF0000"/>
                <w:sz w:val="21"/>
                <w:szCs w:val="21"/>
              </w:rPr>
            </w:pPr>
          </w:p>
        </w:tc>
        <w:tc>
          <w:tcPr>
            <w:tcW w:w="217" w:type="dxa"/>
          </w:tcPr>
          <w:p w14:paraId="58B0DF37" w14:textId="77777777" w:rsidR="002C0FD9" w:rsidRPr="00CA25CF" w:rsidRDefault="002C0FD9" w:rsidP="00CA25CF">
            <w:pPr>
              <w:rPr>
                <w:rFonts w:cs="Arial"/>
                <w:color w:val="FF0000"/>
                <w:sz w:val="21"/>
                <w:szCs w:val="21"/>
              </w:rPr>
            </w:pPr>
          </w:p>
        </w:tc>
        <w:tc>
          <w:tcPr>
            <w:tcW w:w="217" w:type="dxa"/>
          </w:tcPr>
          <w:p w14:paraId="3EFF3CF1" w14:textId="77777777" w:rsidR="002C0FD9" w:rsidRPr="00CA25CF" w:rsidRDefault="002C0FD9" w:rsidP="00CA25CF">
            <w:pPr>
              <w:rPr>
                <w:rFonts w:cs="Arial"/>
                <w:color w:val="FF0000"/>
                <w:sz w:val="21"/>
                <w:szCs w:val="21"/>
              </w:rPr>
            </w:pPr>
          </w:p>
        </w:tc>
        <w:tc>
          <w:tcPr>
            <w:tcW w:w="217" w:type="dxa"/>
          </w:tcPr>
          <w:p w14:paraId="60D1B7A0" w14:textId="77777777" w:rsidR="002C0FD9" w:rsidRPr="00CA25CF" w:rsidRDefault="002C0FD9" w:rsidP="00CA25CF">
            <w:pPr>
              <w:rPr>
                <w:rFonts w:cs="Arial"/>
                <w:color w:val="FF0000"/>
                <w:sz w:val="21"/>
                <w:szCs w:val="21"/>
              </w:rPr>
            </w:pPr>
          </w:p>
        </w:tc>
        <w:tc>
          <w:tcPr>
            <w:tcW w:w="217" w:type="dxa"/>
          </w:tcPr>
          <w:p w14:paraId="687E594D" w14:textId="77777777" w:rsidR="002C0FD9" w:rsidRPr="00CA25CF" w:rsidRDefault="002C0FD9" w:rsidP="00CA25CF">
            <w:pPr>
              <w:rPr>
                <w:rFonts w:cs="Arial"/>
                <w:color w:val="FF0000"/>
                <w:sz w:val="21"/>
                <w:szCs w:val="21"/>
              </w:rPr>
            </w:pPr>
          </w:p>
        </w:tc>
        <w:tc>
          <w:tcPr>
            <w:tcW w:w="217" w:type="dxa"/>
          </w:tcPr>
          <w:p w14:paraId="5234D98E" w14:textId="77777777" w:rsidR="002C0FD9" w:rsidRPr="00CA25CF" w:rsidRDefault="002C0FD9" w:rsidP="00CA25CF">
            <w:pPr>
              <w:rPr>
                <w:rFonts w:cs="Arial"/>
                <w:color w:val="FF0000"/>
                <w:sz w:val="21"/>
                <w:szCs w:val="21"/>
              </w:rPr>
            </w:pPr>
          </w:p>
        </w:tc>
        <w:tc>
          <w:tcPr>
            <w:tcW w:w="217" w:type="dxa"/>
          </w:tcPr>
          <w:p w14:paraId="508AFCB8" w14:textId="77777777" w:rsidR="002C0FD9" w:rsidRPr="00CA25CF" w:rsidRDefault="002C0FD9" w:rsidP="00CA25CF">
            <w:pPr>
              <w:rPr>
                <w:rFonts w:cs="Arial"/>
                <w:color w:val="FF0000"/>
                <w:sz w:val="21"/>
                <w:szCs w:val="21"/>
              </w:rPr>
            </w:pPr>
          </w:p>
        </w:tc>
        <w:tc>
          <w:tcPr>
            <w:tcW w:w="217" w:type="dxa"/>
          </w:tcPr>
          <w:p w14:paraId="7F0DFA67" w14:textId="77777777" w:rsidR="002C0FD9" w:rsidRPr="00CA25CF" w:rsidRDefault="002C0FD9" w:rsidP="00CA25CF">
            <w:pPr>
              <w:rPr>
                <w:rFonts w:cs="Arial"/>
                <w:color w:val="FF0000"/>
                <w:sz w:val="21"/>
                <w:szCs w:val="21"/>
              </w:rPr>
            </w:pPr>
          </w:p>
        </w:tc>
        <w:tc>
          <w:tcPr>
            <w:tcW w:w="217" w:type="dxa"/>
          </w:tcPr>
          <w:p w14:paraId="564C4045" w14:textId="77777777" w:rsidR="002C0FD9" w:rsidRPr="00CA25CF" w:rsidRDefault="002C0FD9" w:rsidP="00CA25CF">
            <w:pPr>
              <w:rPr>
                <w:rFonts w:cs="Arial"/>
                <w:color w:val="FF0000"/>
                <w:sz w:val="21"/>
                <w:szCs w:val="21"/>
              </w:rPr>
            </w:pPr>
          </w:p>
        </w:tc>
        <w:tc>
          <w:tcPr>
            <w:tcW w:w="217" w:type="dxa"/>
          </w:tcPr>
          <w:p w14:paraId="66FF1511" w14:textId="16831D14" w:rsidR="002C0FD9" w:rsidRPr="00CA25CF" w:rsidRDefault="002C0FD9" w:rsidP="00CA25CF">
            <w:pPr>
              <w:rPr>
                <w:rFonts w:cs="Arial"/>
                <w:color w:val="FF0000"/>
                <w:sz w:val="21"/>
                <w:szCs w:val="21"/>
              </w:rPr>
            </w:pPr>
          </w:p>
        </w:tc>
        <w:tc>
          <w:tcPr>
            <w:tcW w:w="217" w:type="dxa"/>
          </w:tcPr>
          <w:p w14:paraId="62D82BF4" w14:textId="77777777" w:rsidR="002C0FD9" w:rsidRPr="00CA25CF" w:rsidRDefault="002C0FD9" w:rsidP="00CA25CF">
            <w:pPr>
              <w:rPr>
                <w:rFonts w:cs="Arial"/>
                <w:color w:val="FF0000"/>
                <w:sz w:val="21"/>
                <w:szCs w:val="21"/>
              </w:rPr>
            </w:pPr>
          </w:p>
        </w:tc>
        <w:tc>
          <w:tcPr>
            <w:tcW w:w="217" w:type="dxa"/>
          </w:tcPr>
          <w:p w14:paraId="1A1B165F" w14:textId="77777777" w:rsidR="002C0FD9" w:rsidRPr="00CA25CF" w:rsidRDefault="002C0FD9" w:rsidP="00CA25CF">
            <w:pPr>
              <w:rPr>
                <w:rFonts w:cs="Arial"/>
                <w:color w:val="FF0000"/>
                <w:sz w:val="21"/>
                <w:szCs w:val="21"/>
              </w:rPr>
            </w:pPr>
          </w:p>
        </w:tc>
        <w:tc>
          <w:tcPr>
            <w:tcW w:w="217" w:type="dxa"/>
          </w:tcPr>
          <w:p w14:paraId="1C35EF1D" w14:textId="77777777" w:rsidR="002C0FD9" w:rsidRPr="00CA25CF" w:rsidRDefault="002C0FD9" w:rsidP="00CA25CF">
            <w:pPr>
              <w:rPr>
                <w:rFonts w:cs="Arial"/>
                <w:color w:val="FF0000"/>
                <w:sz w:val="21"/>
                <w:szCs w:val="21"/>
              </w:rPr>
            </w:pPr>
          </w:p>
        </w:tc>
        <w:tc>
          <w:tcPr>
            <w:tcW w:w="217" w:type="dxa"/>
          </w:tcPr>
          <w:p w14:paraId="5C22F2A4" w14:textId="77777777" w:rsidR="002C0FD9" w:rsidRPr="00CA25CF" w:rsidRDefault="002C0FD9" w:rsidP="00CA25CF">
            <w:pPr>
              <w:rPr>
                <w:rFonts w:cs="Arial"/>
                <w:color w:val="FF0000"/>
                <w:sz w:val="21"/>
                <w:szCs w:val="21"/>
              </w:rPr>
            </w:pPr>
          </w:p>
        </w:tc>
        <w:tc>
          <w:tcPr>
            <w:tcW w:w="217" w:type="dxa"/>
          </w:tcPr>
          <w:p w14:paraId="43C365E1" w14:textId="77777777" w:rsidR="002C0FD9" w:rsidRPr="00CA25CF" w:rsidRDefault="002C0FD9" w:rsidP="00CA25CF">
            <w:pPr>
              <w:rPr>
                <w:rFonts w:cs="Arial"/>
                <w:color w:val="FF0000"/>
                <w:sz w:val="21"/>
                <w:szCs w:val="21"/>
              </w:rPr>
            </w:pPr>
          </w:p>
        </w:tc>
        <w:tc>
          <w:tcPr>
            <w:tcW w:w="217" w:type="dxa"/>
          </w:tcPr>
          <w:p w14:paraId="3A283C95" w14:textId="77777777" w:rsidR="002C0FD9" w:rsidRPr="00CA25CF" w:rsidRDefault="002C0FD9" w:rsidP="00CA25CF">
            <w:pPr>
              <w:rPr>
                <w:rFonts w:cs="Arial"/>
                <w:color w:val="FF0000"/>
                <w:sz w:val="21"/>
                <w:szCs w:val="21"/>
              </w:rPr>
            </w:pPr>
          </w:p>
        </w:tc>
        <w:tc>
          <w:tcPr>
            <w:tcW w:w="217" w:type="dxa"/>
          </w:tcPr>
          <w:p w14:paraId="5092DE9F" w14:textId="77777777" w:rsidR="002C0FD9" w:rsidRPr="00CA25CF" w:rsidRDefault="002C0FD9" w:rsidP="00CA25CF">
            <w:pPr>
              <w:rPr>
                <w:rFonts w:cs="Arial"/>
                <w:color w:val="FF0000"/>
                <w:sz w:val="21"/>
                <w:szCs w:val="21"/>
              </w:rPr>
            </w:pPr>
          </w:p>
        </w:tc>
        <w:tc>
          <w:tcPr>
            <w:tcW w:w="217" w:type="dxa"/>
          </w:tcPr>
          <w:p w14:paraId="2D736D61" w14:textId="77777777" w:rsidR="002C0FD9" w:rsidRPr="00CA25CF" w:rsidRDefault="002C0FD9" w:rsidP="00CA25CF">
            <w:pPr>
              <w:rPr>
                <w:rFonts w:cs="Arial"/>
                <w:color w:val="FF0000"/>
                <w:sz w:val="21"/>
                <w:szCs w:val="21"/>
              </w:rPr>
            </w:pPr>
          </w:p>
        </w:tc>
        <w:tc>
          <w:tcPr>
            <w:tcW w:w="217" w:type="dxa"/>
          </w:tcPr>
          <w:p w14:paraId="4037E021" w14:textId="77777777" w:rsidR="002C0FD9" w:rsidRPr="00CA25CF" w:rsidRDefault="002C0FD9" w:rsidP="00CA25CF">
            <w:pPr>
              <w:rPr>
                <w:rFonts w:cs="Arial"/>
                <w:color w:val="FF0000"/>
                <w:sz w:val="21"/>
                <w:szCs w:val="21"/>
              </w:rPr>
            </w:pPr>
          </w:p>
        </w:tc>
        <w:tc>
          <w:tcPr>
            <w:tcW w:w="217" w:type="dxa"/>
          </w:tcPr>
          <w:p w14:paraId="3A9E2D2D" w14:textId="77777777" w:rsidR="002C0FD9" w:rsidRPr="00CA25CF" w:rsidRDefault="002C0FD9" w:rsidP="00CA25CF">
            <w:pPr>
              <w:rPr>
                <w:rFonts w:cs="Arial"/>
                <w:color w:val="FF0000"/>
                <w:sz w:val="21"/>
                <w:szCs w:val="21"/>
              </w:rPr>
            </w:pPr>
          </w:p>
        </w:tc>
        <w:tc>
          <w:tcPr>
            <w:tcW w:w="217" w:type="dxa"/>
          </w:tcPr>
          <w:p w14:paraId="6137F35C" w14:textId="77777777" w:rsidR="002C0FD9" w:rsidRPr="00CA25CF" w:rsidRDefault="002C0FD9" w:rsidP="00CA25CF">
            <w:pPr>
              <w:rPr>
                <w:rFonts w:cs="Arial"/>
                <w:color w:val="FF0000"/>
                <w:sz w:val="21"/>
                <w:szCs w:val="21"/>
              </w:rPr>
            </w:pPr>
          </w:p>
        </w:tc>
        <w:tc>
          <w:tcPr>
            <w:tcW w:w="217" w:type="dxa"/>
          </w:tcPr>
          <w:p w14:paraId="3A7FEC5C" w14:textId="77777777" w:rsidR="002C0FD9" w:rsidRPr="00CA25CF" w:rsidRDefault="002C0FD9" w:rsidP="00CA25CF">
            <w:pPr>
              <w:rPr>
                <w:rFonts w:cs="Arial"/>
                <w:color w:val="FF0000"/>
                <w:sz w:val="21"/>
                <w:szCs w:val="21"/>
              </w:rPr>
            </w:pPr>
          </w:p>
        </w:tc>
        <w:tc>
          <w:tcPr>
            <w:tcW w:w="217" w:type="dxa"/>
          </w:tcPr>
          <w:p w14:paraId="589B5A64" w14:textId="77777777" w:rsidR="002C0FD9" w:rsidRPr="00CA25CF" w:rsidRDefault="002C0FD9" w:rsidP="00CA25CF">
            <w:pPr>
              <w:rPr>
                <w:rFonts w:cs="Arial"/>
                <w:color w:val="FF0000"/>
                <w:sz w:val="21"/>
                <w:szCs w:val="21"/>
              </w:rPr>
            </w:pPr>
          </w:p>
        </w:tc>
        <w:tc>
          <w:tcPr>
            <w:tcW w:w="217" w:type="dxa"/>
          </w:tcPr>
          <w:p w14:paraId="5AE7876B" w14:textId="77777777" w:rsidR="002C0FD9" w:rsidRPr="00CA25CF" w:rsidRDefault="002C0FD9" w:rsidP="00CA25CF">
            <w:pPr>
              <w:rPr>
                <w:rFonts w:cs="Arial"/>
                <w:color w:val="FF0000"/>
                <w:sz w:val="21"/>
                <w:szCs w:val="21"/>
              </w:rPr>
            </w:pPr>
          </w:p>
        </w:tc>
        <w:tc>
          <w:tcPr>
            <w:tcW w:w="217" w:type="dxa"/>
          </w:tcPr>
          <w:p w14:paraId="7F42EC95" w14:textId="77777777" w:rsidR="002C0FD9" w:rsidRPr="00CA25CF" w:rsidRDefault="002C0FD9" w:rsidP="00CA25CF">
            <w:pPr>
              <w:rPr>
                <w:rFonts w:cs="Arial"/>
                <w:color w:val="FF0000"/>
                <w:sz w:val="21"/>
                <w:szCs w:val="21"/>
              </w:rPr>
            </w:pPr>
          </w:p>
        </w:tc>
        <w:tc>
          <w:tcPr>
            <w:tcW w:w="217" w:type="dxa"/>
          </w:tcPr>
          <w:p w14:paraId="457B12BB" w14:textId="77777777" w:rsidR="002C0FD9" w:rsidRPr="00CA25CF" w:rsidRDefault="002C0FD9" w:rsidP="00CA25CF">
            <w:pPr>
              <w:rPr>
                <w:rFonts w:cs="Arial"/>
                <w:color w:val="FF0000"/>
                <w:sz w:val="21"/>
                <w:szCs w:val="21"/>
              </w:rPr>
            </w:pPr>
          </w:p>
        </w:tc>
        <w:tc>
          <w:tcPr>
            <w:tcW w:w="217" w:type="dxa"/>
          </w:tcPr>
          <w:p w14:paraId="1D8A5A7D" w14:textId="77777777" w:rsidR="002C0FD9" w:rsidRPr="00CA25CF" w:rsidRDefault="002C0FD9" w:rsidP="00CA25CF">
            <w:pPr>
              <w:rPr>
                <w:rFonts w:cs="Arial"/>
                <w:color w:val="FF0000"/>
                <w:sz w:val="21"/>
                <w:szCs w:val="21"/>
              </w:rPr>
            </w:pPr>
          </w:p>
        </w:tc>
        <w:tc>
          <w:tcPr>
            <w:tcW w:w="217" w:type="dxa"/>
          </w:tcPr>
          <w:p w14:paraId="5FBE3CFB" w14:textId="77777777" w:rsidR="002C0FD9" w:rsidRPr="00CA25CF" w:rsidRDefault="002C0FD9" w:rsidP="00CA25CF">
            <w:pPr>
              <w:rPr>
                <w:rFonts w:cs="Arial"/>
                <w:color w:val="FF0000"/>
                <w:sz w:val="21"/>
                <w:szCs w:val="21"/>
              </w:rPr>
            </w:pPr>
          </w:p>
        </w:tc>
        <w:tc>
          <w:tcPr>
            <w:tcW w:w="217" w:type="dxa"/>
          </w:tcPr>
          <w:p w14:paraId="203665A4" w14:textId="77777777" w:rsidR="002C0FD9" w:rsidRPr="00CA25CF" w:rsidRDefault="002C0FD9" w:rsidP="00CA25CF">
            <w:pPr>
              <w:rPr>
                <w:rFonts w:cs="Arial"/>
                <w:color w:val="FF0000"/>
                <w:sz w:val="21"/>
                <w:szCs w:val="21"/>
              </w:rPr>
            </w:pPr>
          </w:p>
        </w:tc>
        <w:tc>
          <w:tcPr>
            <w:tcW w:w="217" w:type="dxa"/>
          </w:tcPr>
          <w:p w14:paraId="61E6131A" w14:textId="77777777" w:rsidR="002C0FD9" w:rsidRPr="00CA25CF" w:rsidRDefault="002C0FD9" w:rsidP="00CA25CF">
            <w:pPr>
              <w:rPr>
                <w:rFonts w:cs="Arial"/>
                <w:color w:val="FF0000"/>
                <w:sz w:val="21"/>
                <w:szCs w:val="21"/>
              </w:rPr>
            </w:pPr>
          </w:p>
        </w:tc>
        <w:tc>
          <w:tcPr>
            <w:tcW w:w="217" w:type="dxa"/>
          </w:tcPr>
          <w:p w14:paraId="5277B412" w14:textId="77777777" w:rsidR="002C0FD9" w:rsidRPr="00CA25CF" w:rsidRDefault="002C0FD9" w:rsidP="00CA25CF">
            <w:pPr>
              <w:rPr>
                <w:rFonts w:cs="Arial"/>
                <w:color w:val="FF0000"/>
                <w:sz w:val="21"/>
                <w:szCs w:val="21"/>
              </w:rPr>
            </w:pPr>
          </w:p>
        </w:tc>
        <w:tc>
          <w:tcPr>
            <w:tcW w:w="217" w:type="dxa"/>
          </w:tcPr>
          <w:p w14:paraId="5543F865" w14:textId="77777777" w:rsidR="002C0FD9" w:rsidRPr="00CA25CF" w:rsidRDefault="002C0FD9" w:rsidP="00CA25CF">
            <w:pPr>
              <w:rPr>
                <w:rFonts w:cs="Arial"/>
                <w:color w:val="FF0000"/>
                <w:sz w:val="21"/>
                <w:szCs w:val="21"/>
              </w:rPr>
            </w:pPr>
          </w:p>
        </w:tc>
        <w:tc>
          <w:tcPr>
            <w:tcW w:w="217" w:type="dxa"/>
          </w:tcPr>
          <w:p w14:paraId="2B9D1D13" w14:textId="77777777" w:rsidR="002C0FD9" w:rsidRPr="00CA25CF" w:rsidRDefault="002C0FD9" w:rsidP="00CA25CF">
            <w:pPr>
              <w:rPr>
                <w:rFonts w:cs="Arial"/>
                <w:color w:val="FF0000"/>
                <w:sz w:val="21"/>
                <w:szCs w:val="21"/>
              </w:rPr>
            </w:pPr>
          </w:p>
        </w:tc>
        <w:tc>
          <w:tcPr>
            <w:tcW w:w="217" w:type="dxa"/>
          </w:tcPr>
          <w:p w14:paraId="45712856" w14:textId="77777777" w:rsidR="002C0FD9" w:rsidRPr="00CA25CF" w:rsidRDefault="002C0FD9" w:rsidP="00CA25CF">
            <w:pPr>
              <w:rPr>
                <w:rFonts w:cs="Arial"/>
                <w:color w:val="FF0000"/>
                <w:sz w:val="21"/>
                <w:szCs w:val="21"/>
              </w:rPr>
            </w:pPr>
          </w:p>
        </w:tc>
        <w:tc>
          <w:tcPr>
            <w:tcW w:w="217" w:type="dxa"/>
          </w:tcPr>
          <w:p w14:paraId="21253B31" w14:textId="77777777" w:rsidR="002C0FD9" w:rsidRPr="00CA25CF" w:rsidRDefault="002C0FD9" w:rsidP="00CA25CF">
            <w:pPr>
              <w:rPr>
                <w:rFonts w:cs="Arial"/>
                <w:color w:val="FF0000"/>
                <w:sz w:val="21"/>
                <w:szCs w:val="21"/>
              </w:rPr>
            </w:pPr>
          </w:p>
        </w:tc>
        <w:tc>
          <w:tcPr>
            <w:tcW w:w="217" w:type="dxa"/>
          </w:tcPr>
          <w:p w14:paraId="2C5C9960" w14:textId="77777777" w:rsidR="002C0FD9" w:rsidRPr="00CA25CF" w:rsidRDefault="002C0FD9" w:rsidP="00CA25CF">
            <w:pPr>
              <w:rPr>
                <w:rFonts w:cs="Arial"/>
                <w:color w:val="FF0000"/>
                <w:sz w:val="21"/>
                <w:szCs w:val="21"/>
              </w:rPr>
            </w:pPr>
          </w:p>
        </w:tc>
        <w:tc>
          <w:tcPr>
            <w:tcW w:w="217" w:type="dxa"/>
          </w:tcPr>
          <w:p w14:paraId="7774B1CB" w14:textId="77777777" w:rsidR="002C0FD9" w:rsidRPr="00CA25CF" w:rsidRDefault="002C0FD9" w:rsidP="00CA25CF">
            <w:pPr>
              <w:rPr>
                <w:rFonts w:cs="Arial"/>
                <w:color w:val="FF0000"/>
                <w:sz w:val="21"/>
                <w:szCs w:val="21"/>
              </w:rPr>
            </w:pPr>
          </w:p>
        </w:tc>
      </w:tr>
      <w:tr w:rsidR="002C0FD9" w:rsidRPr="00A16219" w14:paraId="70375363" w14:textId="6023D5CB" w:rsidTr="002C0FD9">
        <w:trPr>
          <w:trHeight w:val="635"/>
        </w:trPr>
        <w:tc>
          <w:tcPr>
            <w:tcW w:w="515" w:type="dxa"/>
          </w:tcPr>
          <w:p w14:paraId="2B4341A7" w14:textId="77777777" w:rsidR="002C0FD9" w:rsidRPr="00CA25CF" w:rsidRDefault="002C0FD9" w:rsidP="00CA25CF">
            <w:pPr>
              <w:rPr>
                <w:rFonts w:cs="Arial"/>
                <w:color w:val="FF0000"/>
                <w:sz w:val="21"/>
                <w:szCs w:val="21"/>
              </w:rPr>
            </w:pPr>
          </w:p>
        </w:tc>
        <w:tc>
          <w:tcPr>
            <w:tcW w:w="217" w:type="dxa"/>
          </w:tcPr>
          <w:p w14:paraId="77CBB1E4" w14:textId="77777777" w:rsidR="002C0FD9" w:rsidRPr="00CA25CF" w:rsidRDefault="002C0FD9" w:rsidP="00CA25CF">
            <w:pPr>
              <w:rPr>
                <w:rFonts w:cs="Arial"/>
                <w:color w:val="FF0000"/>
                <w:sz w:val="21"/>
                <w:szCs w:val="21"/>
              </w:rPr>
            </w:pPr>
          </w:p>
        </w:tc>
        <w:tc>
          <w:tcPr>
            <w:tcW w:w="217" w:type="dxa"/>
          </w:tcPr>
          <w:p w14:paraId="4E3A7291" w14:textId="29C7F9ED" w:rsidR="002C0FD9" w:rsidRPr="00CA25CF" w:rsidRDefault="002C0FD9" w:rsidP="00CA25CF">
            <w:pPr>
              <w:rPr>
                <w:rFonts w:cs="Arial"/>
                <w:color w:val="FF0000"/>
                <w:sz w:val="21"/>
                <w:szCs w:val="21"/>
              </w:rPr>
            </w:pPr>
          </w:p>
        </w:tc>
        <w:tc>
          <w:tcPr>
            <w:tcW w:w="217" w:type="dxa"/>
          </w:tcPr>
          <w:p w14:paraId="334A08C8" w14:textId="77777777" w:rsidR="002C0FD9" w:rsidRPr="00CA25CF" w:rsidRDefault="002C0FD9" w:rsidP="00CA25CF">
            <w:pPr>
              <w:rPr>
                <w:rFonts w:cs="Arial"/>
                <w:color w:val="FF0000"/>
                <w:sz w:val="21"/>
                <w:szCs w:val="21"/>
              </w:rPr>
            </w:pPr>
          </w:p>
        </w:tc>
        <w:tc>
          <w:tcPr>
            <w:tcW w:w="217" w:type="dxa"/>
          </w:tcPr>
          <w:p w14:paraId="3A3FADE8" w14:textId="77777777" w:rsidR="002C0FD9" w:rsidRPr="00CA25CF" w:rsidRDefault="002C0FD9" w:rsidP="00CA25CF">
            <w:pPr>
              <w:rPr>
                <w:rFonts w:cs="Arial"/>
                <w:color w:val="FF0000"/>
                <w:sz w:val="21"/>
                <w:szCs w:val="21"/>
              </w:rPr>
            </w:pPr>
          </w:p>
        </w:tc>
        <w:tc>
          <w:tcPr>
            <w:tcW w:w="217" w:type="dxa"/>
          </w:tcPr>
          <w:p w14:paraId="37FF8189" w14:textId="77777777" w:rsidR="002C0FD9" w:rsidRPr="00CA25CF" w:rsidRDefault="002C0FD9" w:rsidP="00CA25CF">
            <w:pPr>
              <w:rPr>
                <w:rFonts w:cs="Arial"/>
                <w:color w:val="FF0000"/>
                <w:sz w:val="21"/>
                <w:szCs w:val="21"/>
              </w:rPr>
            </w:pPr>
          </w:p>
        </w:tc>
        <w:tc>
          <w:tcPr>
            <w:tcW w:w="217" w:type="dxa"/>
          </w:tcPr>
          <w:p w14:paraId="60193FF5" w14:textId="77777777" w:rsidR="002C0FD9" w:rsidRPr="00CA25CF" w:rsidRDefault="002C0FD9" w:rsidP="00CA25CF">
            <w:pPr>
              <w:rPr>
                <w:rFonts w:cs="Arial"/>
                <w:color w:val="FF0000"/>
                <w:sz w:val="21"/>
                <w:szCs w:val="21"/>
              </w:rPr>
            </w:pPr>
          </w:p>
        </w:tc>
        <w:tc>
          <w:tcPr>
            <w:tcW w:w="217" w:type="dxa"/>
          </w:tcPr>
          <w:p w14:paraId="43B77604" w14:textId="77777777" w:rsidR="002C0FD9" w:rsidRPr="00CA25CF" w:rsidRDefault="002C0FD9" w:rsidP="00CA25CF">
            <w:pPr>
              <w:rPr>
                <w:rFonts w:cs="Arial"/>
                <w:color w:val="FF0000"/>
                <w:sz w:val="21"/>
                <w:szCs w:val="21"/>
              </w:rPr>
            </w:pPr>
          </w:p>
        </w:tc>
        <w:tc>
          <w:tcPr>
            <w:tcW w:w="217" w:type="dxa"/>
          </w:tcPr>
          <w:p w14:paraId="3A5A0611" w14:textId="77777777" w:rsidR="002C0FD9" w:rsidRPr="00CA25CF" w:rsidRDefault="002C0FD9" w:rsidP="00CA25CF">
            <w:pPr>
              <w:rPr>
                <w:rFonts w:cs="Arial"/>
                <w:color w:val="FF0000"/>
                <w:sz w:val="21"/>
                <w:szCs w:val="21"/>
              </w:rPr>
            </w:pPr>
          </w:p>
        </w:tc>
        <w:tc>
          <w:tcPr>
            <w:tcW w:w="217" w:type="dxa"/>
          </w:tcPr>
          <w:p w14:paraId="2AA79C42" w14:textId="77777777" w:rsidR="002C0FD9" w:rsidRPr="00CA25CF" w:rsidRDefault="002C0FD9" w:rsidP="00CA25CF">
            <w:pPr>
              <w:rPr>
                <w:rFonts w:cs="Arial"/>
                <w:color w:val="FF0000"/>
                <w:sz w:val="21"/>
                <w:szCs w:val="21"/>
              </w:rPr>
            </w:pPr>
          </w:p>
        </w:tc>
        <w:tc>
          <w:tcPr>
            <w:tcW w:w="217" w:type="dxa"/>
          </w:tcPr>
          <w:p w14:paraId="7B2260E5" w14:textId="77777777" w:rsidR="002C0FD9" w:rsidRPr="00CA25CF" w:rsidRDefault="002C0FD9" w:rsidP="00CA25CF">
            <w:pPr>
              <w:rPr>
                <w:rFonts w:cs="Arial"/>
                <w:color w:val="FF0000"/>
                <w:sz w:val="21"/>
                <w:szCs w:val="21"/>
              </w:rPr>
            </w:pPr>
          </w:p>
        </w:tc>
        <w:tc>
          <w:tcPr>
            <w:tcW w:w="217" w:type="dxa"/>
          </w:tcPr>
          <w:p w14:paraId="70EC37FC" w14:textId="77777777" w:rsidR="002C0FD9" w:rsidRPr="00CA25CF" w:rsidRDefault="002C0FD9" w:rsidP="00CA25CF">
            <w:pPr>
              <w:rPr>
                <w:rFonts w:cs="Arial"/>
                <w:color w:val="FF0000"/>
                <w:sz w:val="21"/>
                <w:szCs w:val="21"/>
              </w:rPr>
            </w:pPr>
          </w:p>
        </w:tc>
        <w:tc>
          <w:tcPr>
            <w:tcW w:w="217" w:type="dxa"/>
          </w:tcPr>
          <w:p w14:paraId="312CB60F" w14:textId="77777777" w:rsidR="002C0FD9" w:rsidRPr="00CA25CF" w:rsidRDefault="002C0FD9" w:rsidP="00CA25CF">
            <w:pPr>
              <w:rPr>
                <w:rFonts w:cs="Arial"/>
                <w:color w:val="FF0000"/>
                <w:sz w:val="21"/>
                <w:szCs w:val="21"/>
              </w:rPr>
            </w:pPr>
          </w:p>
        </w:tc>
        <w:tc>
          <w:tcPr>
            <w:tcW w:w="217" w:type="dxa"/>
          </w:tcPr>
          <w:p w14:paraId="1B512C80" w14:textId="77777777" w:rsidR="002C0FD9" w:rsidRPr="00CA25CF" w:rsidRDefault="002C0FD9" w:rsidP="00CA25CF">
            <w:pPr>
              <w:rPr>
                <w:rFonts w:cs="Arial"/>
                <w:color w:val="FF0000"/>
                <w:sz w:val="21"/>
                <w:szCs w:val="21"/>
              </w:rPr>
            </w:pPr>
          </w:p>
        </w:tc>
        <w:tc>
          <w:tcPr>
            <w:tcW w:w="217" w:type="dxa"/>
          </w:tcPr>
          <w:p w14:paraId="1424F62E" w14:textId="77777777" w:rsidR="002C0FD9" w:rsidRPr="00CA25CF" w:rsidRDefault="002C0FD9" w:rsidP="00CA25CF">
            <w:pPr>
              <w:rPr>
                <w:rFonts w:cs="Arial"/>
                <w:color w:val="FF0000"/>
                <w:sz w:val="21"/>
                <w:szCs w:val="21"/>
              </w:rPr>
            </w:pPr>
          </w:p>
        </w:tc>
        <w:tc>
          <w:tcPr>
            <w:tcW w:w="217" w:type="dxa"/>
          </w:tcPr>
          <w:p w14:paraId="3838E802" w14:textId="55E481F2" w:rsidR="002C0FD9" w:rsidRPr="00CA25CF" w:rsidRDefault="002C0FD9" w:rsidP="00CA25CF">
            <w:pPr>
              <w:rPr>
                <w:rFonts w:cs="Arial"/>
                <w:color w:val="FF0000"/>
                <w:sz w:val="21"/>
                <w:szCs w:val="21"/>
              </w:rPr>
            </w:pPr>
          </w:p>
        </w:tc>
        <w:tc>
          <w:tcPr>
            <w:tcW w:w="217" w:type="dxa"/>
          </w:tcPr>
          <w:p w14:paraId="7A295F80" w14:textId="77777777" w:rsidR="002C0FD9" w:rsidRPr="00CA25CF" w:rsidRDefault="002C0FD9" w:rsidP="00CA25CF">
            <w:pPr>
              <w:rPr>
                <w:rFonts w:cs="Arial"/>
                <w:color w:val="FF0000"/>
                <w:sz w:val="21"/>
                <w:szCs w:val="21"/>
              </w:rPr>
            </w:pPr>
          </w:p>
        </w:tc>
        <w:tc>
          <w:tcPr>
            <w:tcW w:w="217" w:type="dxa"/>
          </w:tcPr>
          <w:p w14:paraId="2041BC58" w14:textId="77777777" w:rsidR="002C0FD9" w:rsidRPr="00CA25CF" w:rsidRDefault="002C0FD9" w:rsidP="00CA25CF">
            <w:pPr>
              <w:rPr>
                <w:rFonts w:cs="Arial"/>
                <w:color w:val="FF0000"/>
                <w:sz w:val="21"/>
                <w:szCs w:val="21"/>
              </w:rPr>
            </w:pPr>
          </w:p>
        </w:tc>
        <w:tc>
          <w:tcPr>
            <w:tcW w:w="217" w:type="dxa"/>
          </w:tcPr>
          <w:p w14:paraId="14E345C7" w14:textId="77777777" w:rsidR="002C0FD9" w:rsidRPr="00CA25CF" w:rsidRDefault="002C0FD9" w:rsidP="00CA25CF">
            <w:pPr>
              <w:rPr>
                <w:rFonts w:cs="Arial"/>
                <w:color w:val="FF0000"/>
                <w:sz w:val="21"/>
                <w:szCs w:val="21"/>
              </w:rPr>
            </w:pPr>
          </w:p>
        </w:tc>
        <w:tc>
          <w:tcPr>
            <w:tcW w:w="217" w:type="dxa"/>
          </w:tcPr>
          <w:p w14:paraId="6DF8938B" w14:textId="77777777" w:rsidR="002C0FD9" w:rsidRPr="00CA25CF" w:rsidRDefault="002C0FD9" w:rsidP="00CA25CF">
            <w:pPr>
              <w:rPr>
                <w:rFonts w:cs="Arial"/>
                <w:color w:val="FF0000"/>
                <w:sz w:val="21"/>
                <w:szCs w:val="21"/>
              </w:rPr>
            </w:pPr>
          </w:p>
        </w:tc>
        <w:tc>
          <w:tcPr>
            <w:tcW w:w="217" w:type="dxa"/>
          </w:tcPr>
          <w:p w14:paraId="74413ACC" w14:textId="77777777" w:rsidR="002C0FD9" w:rsidRPr="00CA25CF" w:rsidRDefault="002C0FD9" w:rsidP="00CA25CF">
            <w:pPr>
              <w:rPr>
                <w:rFonts w:cs="Arial"/>
                <w:color w:val="FF0000"/>
                <w:sz w:val="21"/>
                <w:szCs w:val="21"/>
              </w:rPr>
            </w:pPr>
          </w:p>
        </w:tc>
        <w:tc>
          <w:tcPr>
            <w:tcW w:w="217" w:type="dxa"/>
          </w:tcPr>
          <w:p w14:paraId="05799554" w14:textId="77777777" w:rsidR="002C0FD9" w:rsidRPr="00CA25CF" w:rsidRDefault="002C0FD9" w:rsidP="00CA25CF">
            <w:pPr>
              <w:rPr>
                <w:rFonts w:cs="Arial"/>
                <w:color w:val="FF0000"/>
                <w:sz w:val="21"/>
                <w:szCs w:val="21"/>
              </w:rPr>
            </w:pPr>
          </w:p>
        </w:tc>
        <w:tc>
          <w:tcPr>
            <w:tcW w:w="217" w:type="dxa"/>
          </w:tcPr>
          <w:p w14:paraId="59CDC2E8" w14:textId="77777777" w:rsidR="002C0FD9" w:rsidRPr="00CA25CF" w:rsidRDefault="002C0FD9" w:rsidP="00CA25CF">
            <w:pPr>
              <w:rPr>
                <w:rFonts w:cs="Arial"/>
                <w:color w:val="FF0000"/>
                <w:sz w:val="21"/>
                <w:szCs w:val="21"/>
              </w:rPr>
            </w:pPr>
          </w:p>
        </w:tc>
        <w:tc>
          <w:tcPr>
            <w:tcW w:w="217" w:type="dxa"/>
          </w:tcPr>
          <w:p w14:paraId="45BB2947" w14:textId="77777777" w:rsidR="002C0FD9" w:rsidRPr="00CA25CF" w:rsidRDefault="002C0FD9" w:rsidP="00CA25CF">
            <w:pPr>
              <w:rPr>
                <w:rFonts w:cs="Arial"/>
                <w:color w:val="FF0000"/>
                <w:sz w:val="21"/>
                <w:szCs w:val="21"/>
              </w:rPr>
            </w:pPr>
          </w:p>
        </w:tc>
        <w:tc>
          <w:tcPr>
            <w:tcW w:w="217" w:type="dxa"/>
          </w:tcPr>
          <w:p w14:paraId="382B7152" w14:textId="77777777" w:rsidR="002C0FD9" w:rsidRPr="00CA25CF" w:rsidRDefault="002C0FD9" w:rsidP="00CA25CF">
            <w:pPr>
              <w:rPr>
                <w:rFonts w:cs="Arial"/>
                <w:color w:val="FF0000"/>
                <w:sz w:val="21"/>
                <w:szCs w:val="21"/>
              </w:rPr>
            </w:pPr>
          </w:p>
        </w:tc>
        <w:tc>
          <w:tcPr>
            <w:tcW w:w="217" w:type="dxa"/>
          </w:tcPr>
          <w:p w14:paraId="75A7192C" w14:textId="77777777" w:rsidR="002C0FD9" w:rsidRPr="00CA25CF" w:rsidRDefault="002C0FD9" w:rsidP="00CA25CF">
            <w:pPr>
              <w:rPr>
                <w:rFonts w:cs="Arial"/>
                <w:color w:val="FF0000"/>
                <w:sz w:val="21"/>
                <w:szCs w:val="21"/>
              </w:rPr>
            </w:pPr>
          </w:p>
        </w:tc>
        <w:tc>
          <w:tcPr>
            <w:tcW w:w="217" w:type="dxa"/>
          </w:tcPr>
          <w:p w14:paraId="267DAAA4" w14:textId="77777777" w:rsidR="002C0FD9" w:rsidRPr="00CA25CF" w:rsidRDefault="002C0FD9" w:rsidP="00CA25CF">
            <w:pPr>
              <w:rPr>
                <w:rFonts w:cs="Arial"/>
                <w:color w:val="FF0000"/>
                <w:sz w:val="21"/>
                <w:szCs w:val="21"/>
              </w:rPr>
            </w:pPr>
          </w:p>
        </w:tc>
        <w:tc>
          <w:tcPr>
            <w:tcW w:w="217" w:type="dxa"/>
          </w:tcPr>
          <w:p w14:paraId="3E082095" w14:textId="77777777" w:rsidR="002C0FD9" w:rsidRPr="00CA25CF" w:rsidRDefault="002C0FD9" w:rsidP="00CA25CF">
            <w:pPr>
              <w:rPr>
                <w:rFonts w:cs="Arial"/>
                <w:color w:val="FF0000"/>
                <w:sz w:val="21"/>
                <w:szCs w:val="21"/>
              </w:rPr>
            </w:pPr>
          </w:p>
        </w:tc>
        <w:tc>
          <w:tcPr>
            <w:tcW w:w="217" w:type="dxa"/>
          </w:tcPr>
          <w:p w14:paraId="58D6C726" w14:textId="77777777" w:rsidR="002C0FD9" w:rsidRPr="00CA25CF" w:rsidRDefault="002C0FD9" w:rsidP="00CA25CF">
            <w:pPr>
              <w:rPr>
                <w:rFonts w:cs="Arial"/>
                <w:color w:val="FF0000"/>
                <w:sz w:val="21"/>
                <w:szCs w:val="21"/>
              </w:rPr>
            </w:pPr>
          </w:p>
        </w:tc>
        <w:tc>
          <w:tcPr>
            <w:tcW w:w="217" w:type="dxa"/>
          </w:tcPr>
          <w:p w14:paraId="42A2E089" w14:textId="77777777" w:rsidR="002C0FD9" w:rsidRPr="00CA25CF" w:rsidRDefault="002C0FD9" w:rsidP="00CA25CF">
            <w:pPr>
              <w:rPr>
                <w:rFonts w:cs="Arial"/>
                <w:color w:val="FF0000"/>
                <w:sz w:val="21"/>
                <w:szCs w:val="21"/>
              </w:rPr>
            </w:pPr>
          </w:p>
        </w:tc>
        <w:tc>
          <w:tcPr>
            <w:tcW w:w="217" w:type="dxa"/>
          </w:tcPr>
          <w:p w14:paraId="7D8CB88A" w14:textId="77777777" w:rsidR="002C0FD9" w:rsidRPr="00CA25CF" w:rsidRDefault="002C0FD9" w:rsidP="00CA25CF">
            <w:pPr>
              <w:rPr>
                <w:rFonts w:cs="Arial"/>
                <w:color w:val="FF0000"/>
                <w:sz w:val="21"/>
                <w:szCs w:val="21"/>
              </w:rPr>
            </w:pPr>
          </w:p>
        </w:tc>
        <w:tc>
          <w:tcPr>
            <w:tcW w:w="217" w:type="dxa"/>
          </w:tcPr>
          <w:p w14:paraId="1A907EFF" w14:textId="77777777" w:rsidR="002C0FD9" w:rsidRPr="00CA25CF" w:rsidRDefault="002C0FD9" w:rsidP="00CA25CF">
            <w:pPr>
              <w:rPr>
                <w:rFonts w:cs="Arial"/>
                <w:color w:val="FF0000"/>
                <w:sz w:val="21"/>
                <w:szCs w:val="21"/>
              </w:rPr>
            </w:pPr>
          </w:p>
        </w:tc>
        <w:tc>
          <w:tcPr>
            <w:tcW w:w="217" w:type="dxa"/>
          </w:tcPr>
          <w:p w14:paraId="3464AFAA" w14:textId="77777777" w:rsidR="002C0FD9" w:rsidRPr="00CA25CF" w:rsidRDefault="002C0FD9" w:rsidP="00CA25CF">
            <w:pPr>
              <w:rPr>
                <w:rFonts w:cs="Arial"/>
                <w:color w:val="FF0000"/>
                <w:sz w:val="21"/>
                <w:szCs w:val="21"/>
              </w:rPr>
            </w:pPr>
          </w:p>
        </w:tc>
        <w:tc>
          <w:tcPr>
            <w:tcW w:w="217" w:type="dxa"/>
          </w:tcPr>
          <w:p w14:paraId="15B3DAFC" w14:textId="77777777" w:rsidR="002C0FD9" w:rsidRPr="00CA25CF" w:rsidRDefault="002C0FD9" w:rsidP="00CA25CF">
            <w:pPr>
              <w:rPr>
                <w:rFonts w:cs="Arial"/>
                <w:color w:val="FF0000"/>
                <w:sz w:val="21"/>
                <w:szCs w:val="21"/>
              </w:rPr>
            </w:pPr>
          </w:p>
        </w:tc>
        <w:tc>
          <w:tcPr>
            <w:tcW w:w="217" w:type="dxa"/>
          </w:tcPr>
          <w:p w14:paraId="2FE4C14D" w14:textId="77777777" w:rsidR="002C0FD9" w:rsidRPr="00CA25CF" w:rsidRDefault="002C0FD9" w:rsidP="00CA25CF">
            <w:pPr>
              <w:rPr>
                <w:rFonts w:cs="Arial"/>
                <w:color w:val="FF0000"/>
                <w:sz w:val="21"/>
                <w:szCs w:val="21"/>
              </w:rPr>
            </w:pPr>
          </w:p>
        </w:tc>
        <w:tc>
          <w:tcPr>
            <w:tcW w:w="217" w:type="dxa"/>
          </w:tcPr>
          <w:p w14:paraId="75D872F2" w14:textId="77777777" w:rsidR="002C0FD9" w:rsidRPr="00CA25CF" w:rsidRDefault="002C0FD9" w:rsidP="00CA25CF">
            <w:pPr>
              <w:rPr>
                <w:rFonts w:cs="Arial"/>
                <w:color w:val="FF0000"/>
                <w:sz w:val="21"/>
                <w:szCs w:val="21"/>
              </w:rPr>
            </w:pPr>
          </w:p>
        </w:tc>
        <w:tc>
          <w:tcPr>
            <w:tcW w:w="217" w:type="dxa"/>
          </w:tcPr>
          <w:p w14:paraId="0BBEB52A" w14:textId="77777777" w:rsidR="002C0FD9" w:rsidRPr="00CA25CF" w:rsidRDefault="002C0FD9" w:rsidP="00CA25CF">
            <w:pPr>
              <w:rPr>
                <w:rFonts w:cs="Arial"/>
                <w:color w:val="FF0000"/>
                <w:sz w:val="21"/>
                <w:szCs w:val="21"/>
              </w:rPr>
            </w:pPr>
          </w:p>
        </w:tc>
        <w:tc>
          <w:tcPr>
            <w:tcW w:w="217" w:type="dxa"/>
          </w:tcPr>
          <w:p w14:paraId="2E38BA7D" w14:textId="77777777" w:rsidR="002C0FD9" w:rsidRPr="00CA25CF" w:rsidRDefault="002C0FD9" w:rsidP="00CA25CF">
            <w:pPr>
              <w:rPr>
                <w:rFonts w:cs="Arial"/>
                <w:color w:val="FF0000"/>
                <w:sz w:val="21"/>
                <w:szCs w:val="21"/>
              </w:rPr>
            </w:pPr>
          </w:p>
        </w:tc>
        <w:tc>
          <w:tcPr>
            <w:tcW w:w="217" w:type="dxa"/>
          </w:tcPr>
          <w:p w14:paraId="51572A05" w14:textId="77777777" w:rsidR="002C0FD9" w:rsidRPr="00CA25CF" w:rsidRDefault="002C0FD9" w:rsidP="00CA25CF">
            <w:pPr>
              <w:rPr>
                <w:rFonts w:cs="Arial"/>
                <w:color w:val="FF0000"/>
                <w:sz w:val="21"/>
                <w:szCs w:val="21"/>
              </w:rPr>
            </w:pPr>
          </w:p>
        </w:tc>
        <w:tc>
          <w:tcPr>
            <w:tcW w:w="217" w:type="dxa"/>
          </w:tcPr>
          <w:p w14:paraId="17F3EF24" w14:textId="77777777" w:rsidR="002C0FD9" w:rsidRPr="00CA25CF" w:rsidRDefault="002C0FD9" w:rsidP="00CA25CF">
            <w:pPr>
              <w:rPr>
                <w:rFonts w:cs="Arial"/>
                <w:color w:val="FF0000"/>
                <w:sz w:val="21"/>
                <w:szCs w:val="21"/>
              </w:rPr>
            </w:pPr>
          </w:p>
        </w:tc>
        <w:tc>
          <w:tcPr>
            <w:tcW w:w="217" w:type="dxa"/>
          </w:tcPr>
          <w:p w14:paraId="0429EC15" w14:textId="77777777" w:rsidR="002C0FD9" w:rsidRPr="00CA25CF" w:rsidRDefault="002C0FD9" w:rsidP="00CA25CF">
            <w:pPr>
              <w:rPr>
                <w:rFonts w:cs="Arial"/>
                <w:color w:val="FF0000"/>
                <w:sz w:val="21"/>
                <w:szCs w:val="21"/>
              </w:rPr>
            </w:pPr>
          </w:p>
        </w:tc>
        <w:tc>
          <w:tcPr>
            <w:tcW w:w="217" w:type="dxa"/>
          </w:tcPr>
          <w:p w14:paraId="5752975A" w14:textId="77777777" w:rsidR="002C0FD9" w:rsidRPr="00CA25CF" w:rsidRDefault="002C0FD9" w:rsidP="00CA25CF">
            <w:pPr>
              <w:rPr>
                <w:rFonts w:cs="Arial"/>
                <w:color w:val="FF0000"/>
                <w:sz w:val="21"/>
                <w:szCs w:val="21"/>
              </w:rPr>
            </w:pPr>
          </w:p>
        </w:tc>
        <w:tc>
          <w:tcPr>
            <w:tcW w:w="217" w:type="dxa"/>
          </w:tcPr>
          <w:p w14:paraId="16853A9A" w14:textId="77777777" w:rsidR="002C0FD9" w:rsidRPr="00CA25CF" w:rsidRDefault="002C0FD9" w:rsidP="00CA25CF">
            <w:pPr>
              <w:rPr>
                <w:rFonts w:cs="Arial"/>
                <w:color w:val="FF0000"/>
                <w:sz w:val="21"/>
                <w:szCs w:val="21"/>
              </w:rPr>
            </w:pPr>
          </w:p>
        </w:tc>
      </w:tr>
      <w:tr w:rsidR="002C0FD9" w:rsidRPr="00A16219" w14:paraId="2FA84EEF" w14:textId="247723D0" w:rsidTr="002C0FD9">
        <w:trPr>
          <w:trHeight w:val="635"/>
        </w:trPr>
        <w:tc>
          <w:tcPr>
            <w:tcW w:w="515" w:type="dxa"/>
          </w:tcPr>
          <w:p w14:paraId="1586F84D" w14:textId="77777777" w:rsidR="002C0FD9" w:rsidRPr="00CA25CF" w:rsidRDefault="002C0FD9" w:rsidP="00CA25CF">
            <w:pPr>
              <w:rPr>
                <w:rFonts w:cs="Arial"/>
                <w:color w:val="FF0000"/>
                <w:sz w:val="21"/>
                <w:szCs w:val="21"/>
              </w:rPr>
            </w:pPr>
          </w:p>
        </w:tc>
        <w:tc>
          <w:tcPr>
            <w:tcW w:w="217" w:type="dxa"/>
          </w:tcPr>
          <w:p w14:paraId="48CD7CCC" w14:textId="77777777" w:rsidR="002C0FD9" w:rsidRPr="00CA25CF" w:rsidRDefault="002C0FD9" w:rsidP="00CA25CF">
            <w:pPr>
              <w:rPr>
                <w:rFonts w:cs="Arial"/>
                <w:color w:val="FF0000"/>
                <w:sz w:val="21"/>
                <w:szCs w:val="21"/>
              </w:rPr>
            </w:pPr>
          </w:p>
        </w:tc>
        <w:tc>
          <w:tcPr>
            <w:tcW w:w="217" w:type="dxa"/>
          </w:tcPr>
          <w:p w14:paraId="75F054B2" w14:textId="575090BD" w:rsidR="002C0FD9" w:rsidRPr="00CA25CF" w:rsidRDefault="002C0FD9" w:rsidP="00CA25CF">
            <w:pPr>
              <w:rPr>
                <w:rFonts w:cs="Arial"/>
                <w:color w:val="FF0000"/>
                <w:sz w:val="21"/>
                <w:szCs w:val="21"/>
              </w:rPr>
            </w:pPr>
          </w:p>
        </w:tc>
        <w:tc>
          <w:tcPr>
            <w:tcW w:w="217" w:type="dxa"/>
          </w:tcPr>
          <w:p w14:paraId="1FEE2FBF" w14:textId="77777777" w:rsidR="002C0FD9" w:rsidRPr="00CA25CF" w:rsidRDefault="002C0FD9" w:rsidP="00CA25CF">
            <w:pPr>
              <w:rPr>
                <w:rFonts w:cs="Arial"/>
                <w:color w:val="FF0000"/>
                <w:sz w:val="21"/>
                <w:szCs w:val="21"/>
              </w:rPr>
            </w:pPr>
          </w:p>
        </w:tc>
        <w:tc>
          <w:tcPr>
            <w:tcW w:w="217" w:type="dxa"/>
          </w:tcPr>
          <w:p w14:paraId="0FAA6843" w14:textId="77777777" w:rsidR="002C0FD9" w:rsidRPr="00CA25CF" w:rsidRDefault="002C0FD9" w:rsidP="00CA25CF">
            <w:pPr>
              <w:rPr>
                <w:rFonts w:cs="Arial"/>
                <w:color w:val="FF0000"/>
                <w:sz w:val="21"/>
                <w:szCs w:val="21"/>
              </w:rPr>
            </w:pPr>
          </w:p>
        </w:tc>
        <w:tc>
          <w:tcPr>
            <w:tcW w:w="217" w:type="dxa"/>
          </w:tcPr>
          <w:p w14:paraId="176E9CD2" w14:textId="77777777" w:rsidR="002C0FD9" w:rsidRPr="00CA25CF" w:rsidRDefault="002C0FD9" w:rsidP="00CA25CF">
            <w:pPr>
              <w:rPr>
                <w:rFonts w:cs="Arial"/>
                <w:color w:val="FF0000"/>
                <w:sz w:val="21"/>
                <w:szCs w:val="21"/>
              </w:rPr>
            </w:pPr>
          </w:p>
        </w:tc>
        <w:tc>
          <w:tcPr>
            <w:tcW w:w="217" w:type="dxa"/>
          </w:tcPr>
          <w:p w14:paraId="0982ECE6" w14:textId="77777777" w:rsidR="002C0FD9" w:rsidRPr="00CA25CF" w:rsidRDefault="002C0FD9" w:rsidP="00CA25CF">
            <w:pPr>
              <w:rPr>
                <w:rFonts w:cs="Arial"/>
                <w:color w:val="FF0000"/>
                <w:sz w:val="21"/>
                <w:szCs w:val="21"/>
              </w:rPr>
            </w:pPr>
          </w:p>
        </w:tc>
        <w:tc>
          <w:tcPr>
            <w:tcW w:w="217" w:type="dxa"/>
          </w:tcPr>
          <w:p w14:paraId="7EC6E767" w14:textId="77777777" w:rsidR="002C0FD9" w:rsidRPr="00CA25CF" w:rsidRDefault="002C0FD9" w:rsidP="00CA25CF">
            <w:pPr>
              <w:rPr>
                <w:rFonts w:cs="Arial"/>
                <w:color w:val="FF0000"/>
                <w:sz w:val="21"/>
                <w:szCs w:val="21"/>
              </w:rPr>
            </w:pPr>
          </w:p>
        </w:tc>
        <w:tc>
          <w:tcPr>
            <w:tcW w:w="217" w:type="dxa"/>
          </w:tcPr>
          <w:p w14:paraId="70ECD9FC" w14:textId="77777777" w:rsidR="002C0FD9" w:rsidRPr="00CA25CF" w:rsidRDefault="002C0FD9" w:rsidP="00CA25CF">
            <w:pPr>
              <w:rPr>
                <w:rFonts w:cs="Arial"/>
                <w:color w:val="FF0000"/>
                <w:sz w:val="21"/>
                <w:szCs w:val="21"/>
              </w:rPr>
            </w:pPr>
          </w:p>
        </w:tc>
        <w:tc>
          <w:tcPr>
            <w:tcW w:w="217" w:type="dxa"/>
          </w:tcPr>
          <w:p w14:paraId="497383B2" w14:textId="77777777" w:rsidR="002C0FD9" w:rsidRPr="00CA25CF" w:rsidRDefault="002C0FD9" w:rsidP="00CA25CF">
            <w:pPr>
              <w:rPr>
                <w:rFonts w:cs="Arial"/>
                <w:color w:val="FF0000"/>
                <w:sz w:val="21"/>
                <w:szCs w:val="21"/>
              </w:rPr>
            </w:pPr>
          </w:p>
        </w:tc>
        <w:tc>
          <w:tcPr>
            <w:tcW w:w="217" w:type="dxa"/>
          </w:tcPr>
          <w:p w14:paraId="6F9013C3" w14:textId="77777777" w:rsidR="002C0FD9" w:rsidRPr="00CA25CF" w:rsidRDefault="002C0FD9" w:rsidP="00CA25CF">
            <w:pPr>
              <w:rPr>
                <w:rFonts w:cs="Arial"/>
                <w:color w:val="FF0000"/>
                <w:sz w:val="21"/>
                <w:szCs w:val="21"/>
              </w:rPr>
            </w:pPr>
          </w:p>
        </w:tc>
        <w:tc>
          <w:tcPr>
            <w:tcW w:w="217" w:type="dxa"/>
          </w:tcPr>
          <w:p w14:paraId="0553005A" w14:textId="77777777" w:rsidR="002C0FD9" w:rsidRPr="00CA25CF" w:rsidRDefault="002C0FD9" w:rsidP="00CA25CF">
            <w:pPr>
              <w:rPr>
                <w:rFonts w:cs="Arial"/>
                <w:color w:val="FF0000"/>
                <w:sz w:val="21"/>
                <w:szCs w:val="21"/>
              </w:rPr>
            </w:pPr>
          </w:p>
        </w:tc>
        <w:tc>
          <w:tcPr>
            <w:tcW w:w="217" w:type="dxa"/>
          </w:tcPr>
          <w:p w14:paraId="5C412E5F" w14:textId="77777777" w:rsidR="002C0FD9" w:rsidRPr="00CA25CF" w:rsidRDefault="002C0FD9" w:rsidP="00CA25CF">
            <w:pPr>
              <w:rPr>
                <w:rFonts w:cs="Arial"/>
                <w:color w:val="FF0000"/>
                <w:sz w:val="21"/>
                <w:szCs w:val="21"/>
              </w:rPr>
            </w:pPr>
          </w:p>
        </w:tc>
        <w:tc>
          <w:tcPr>
            <w:tcW w:w="217" w:type="dxa"/>
          </w:tcPr>
          <w:p w14:paraId="4B9CDCC2" w14:textId="77777777" w:rsidR="002C0FD9" w:rsidRPr="00CA25CF" w:rsidRDefault="002C0FD9" w:rsidP="00CA25CF">
            <w:pPr>
              <w:rPr>
                <w:rFonts w:cs="Arial"/>
                <w:color w:val="FF0000"/>
                <w:sz w:val="21"/>
                <w:szCs w:val="21"/>
              </w:rPr>
            </w:pPr>
          </w:p>
        </w:tc>
        <w:tc>
          <w:tcPr>
            <w:tcW w:w="217" w:type="dxa"/>
          </w:tcPr>
          <w:p w14:paraId="5BCDEE0B" w14:textId="77777777" w:rsidR="002C0FD9" w:rsidRPr="00CA25CF" w:rsidRDefault="002C0FD9" w:rsidP="00CA25CF">
            <w:pPr>
              <w:rPr>
                <w:rFonts w:cs="Arial"/>
                <w:color w:val="FF0000"/>
                <w:sz w:val="21"/>
                <w:szCs w:val="21"/>
              </w:rPr>
            </w:pPr>
          </w:p>
        </w:tc>
        <w:tc>
          <w:tcPr>
            <w:tcW w:w="217" w:type="dxa"/>
          </w:tcPr>
          <w:p w14:paraId="1163B27E" w14:textId="5EA812FA" w:rsidR="002C0FD9" w:rsidRPr="00CA25CF" w:rsidRDefault="002C0FD9" w:rsidP="00CA25CF">
            <w:pPr>
              <w:rPr>
                <w:rFonts w:cs="Arial"/>
                <w:color w:val="FF0000"/>
                <w:sz w:val="21"/>
                <w:szCs w:val="21"/>
              </w:rPr>
            </w:pPr>
          </w:p>
        </w:tc>
        <w:tc>
          <w:tcPr>
            <w:tcW w:w="217" w:type="dxa"/>
          </w:tcPr>
          <w:p w14:paraId="38C34506" w14:textId="77777777" w:rsidR="002C0FD9" w:rsidRPr="00CA25CF" w:rsidRDefault="002C0FD9" w:rsidP="00CA25CF">
            <w:pPr>
              <w:rPr>
                <w:rFonts w:cs="Arial"/>
                <w:color w:val="FF0000"/>
                <w:sz w:val="21"/>
                <w:szCs w:val="21"/>
              </w:rPr>
            </w:pPr>
          </w:p>
        </w:tc>
        <w:tc>
          <w:tcPr>
            <w:tcW w:w="217" w:type="dxa"/>
          </w:tcPr>
          <w:p w14:paraId="363BB8F8" w14:textId="77777777" w:rsidR="002C0FD9" w:rsidRPr="00CA25CF" w:rsidRDefault="002C0FD9" w:rsidP="00CA25CF">
            <w:pPr>
              <w:rPr>
                <w:rFonts w:cs="Arial"/>
                <w:color w:val="FF0000"/>
                <w:sz w:val="21"/>
                <w:szCs w:val="21"/>
              </w:rPr>
            </w:pPr>
          </w:p>
        </w:tc>
        <w:tc>
          <w:tcPr>
            <w:tcW w:w="217" w:type="dxa"/>
          </w:tcPr>
          <w:p w14:paraId="2C33C801" w14:textId="77777777" w:rsidR="002C0FD9" w:rsidRPr="00CA25CF" w:rsidRDefault="002C0FD9" w:rsidP="00CA25CF">
            <w:pPr>
              <w:rPr>
                <w:rFonts w:cs="Arial"/>
                <w:color w:val="FF0000"/>
                <w:sz w:val="21"/>
                <w:szCs w:val="21"/>
              </w:rPr>
            </w:pPr>
          </w:p>
        </w:tc>
        <w:tc>
          <w:tcPr>
            <w:tcW w:w="217" w:type="dxa"/>
          </w:tcPr>
          <w:p w14:paraId="598C93E5" w14:textId="77777777" w:rsidR="002C0FD9" w:rsidRPr="00CA25CF" w:rsidRDefault="002C0FD9" w:rsidP="00CA25CF">
            <w:pPr>
              <w:rPr>
                <w:rFonts w:cs="Arial"/>
                <w:color w:val="FF0000"/>
                <w:sz w:val="21"/>
                <w:szCs w:val="21"/>
              </w:rPr>
            </w:pPr>
          </w:p>
        </w:tc>
        <w:tc>
          <w:tcPr>
            <w:tcW w:w="217" w:type="dxa"/>
          </w:tcPr>
          <w:p w14:paraId="0112A79D" w14:textId="77777777" w:rsidR="002C0FD9" w:rsidRPr="00CA25CF" w:rsidRDefault="002C0FD9" w:rsidP="00CA25CF">
            <w:pPr>
              <w:rPr>
                <w:rFonts w:cs="Arial"/>
                <w:color w:val="FF0000"/>
                <w:sz w:val="21"/>
                <w:szCs w:val="21"/>
              </w:rPr>
            </w:pPr>
          </w:p>
        </w:tc>
        <w:tc>
          <w:tcPr>
            <w:tcW w:w="217" w:type="dxa"/>
          </w:tcPr>
          <w:p w14:paraId="43B4E955" w14:textId="77777777" w:rsidR="002C0FD9" w:rsidRPr="00CA25CF" w:rsidRDefault="002C0FD9" w:rsidP="00CA25CF">
            <w:pPr>
              <w:rPr>
                <w:rFonts w:cs="Arial"/>
                <w:color w:val="FF0000"/>
                <w:sz w:val="21"/>
                <w:szCs w:val="21"/>
              </w:rPr>
            </w:pPr>
          </w:p>
        </w:tc>
        <w:tc>
          <w:tcPr>
            <w:tcW w:w="217" w:type="dxa"/>
          </w:tcPr>
          <w:p w14:paraId="09A5AA33" w14:textId="77777777" w:rsidR="002C0FD9" w:rsidRPr="00CA25CF" w:rsidRDefault="002C0FD9" w:rsidP="00CA25CF">
            <w:pPr>
              <w:rPr>
                <w:rFonts w:cs="Arial"/>
                <w:color w:val="FF0000"/>
                <w:sz w:val="21"/>
                <w:szCs w:val="21"/>
              </w:rPr>
            </w:pPr>
          </w:p>
        </w:tc>
        <w:tc>
          <w:tcPr>
            <w:tcW w:w="217" w:type="dxa"/>
          </w:tcPr>
          <w:p w14:paraId="337F0C84" w14:textId="77777777" w:rsidR="002C0FD9" w:rsidRPr="00CA25CF" w:rsidRDefault="002C0FD9" w:rsidP="00CA25CF">
            <w:pPr>
              <w:rPr>
                <w:rFonts w:cs="Arial"/>
                <w:color w:val="FF0000"/>
                <w:sz w:val="21"/>
                <w:szCs w:val="21"/>
              </w:rPr>
            </w:pPr>
          </w:p>
        </w:tc>
        <w:tc>
          <w:tcPr>
            <w:tcW w:w="217" w:type="dxa"/>
          </w:tcPr>
          <w:p w14:paraId="2C100151" w14:textId="77777777" w:rsidR="002C0FD9" w:rsidRPr="00CA25CF" w:rsidRDefault="002C0FD9" w:rsidP="00CA25CF">
            <w:pPr>
              <w:rPr>
                <w:rFonts w:cs="Arial"/>
                <w:color w:val="FF0000"/>
                <w:sz w:val="21"/>
                <w:szCs w:val="21"/>
              </w:rPr>
            </w:pPr>
          </w:p>
        </w:tc>
        <w:tc>
          <w:tcPr>
            <w:tcW w:w="217" w:type="dxa"/>
          </w:tcPr>
          <w:p w14:paraId="7D0F4056" w14:textId="77777777" w:rsidR="002C0FD9" w:rsidRPr="00CA25CF" w:rsidRDefault="002C0FD9" w:rsidP="00CA25CF">
            <w:pPr>
              <w:rPr>
                <w:rFonts w:cs="Arial"/>
                <w:color w:val="FF0000"/>
                <w:sz w:val="21"/>
                <w:szCs w:val="21"/>
              </w:rPr>
            </w:pPr>
          </w:p>
        </w:tc>
        <w:tc>
          <w:tcPr>
            <w:tcW w:w="217" w:type="dxa"/>
          </w:tcPr>
          <w:p w14:paraId="4D24211F" w14:textId="77777777" w:rsidR="002C0FD9" w:rsidRPr="00CA25CF" w:rsidRDefault="002C0FD9" w:rsidP="00CA25CF">
            <w:pPr>
              <w:rPr>
                <w:rFonts w:cs="Arial"/>
                <w:color w:val="FF0000"/>
                <w:sz w:val="21"/>
                <w:szCs w:val="21"/>
              </w:rPr>
            </w:pPr>
          </w:p>
        </w:tc>
        <w:tc>
          <w:tcPr>
            <w:tcW w:w="217" w:type="dxa"/>
          </w:tcPr>
          <w:p w14:paraId="7E178217" w14:textId="77777777" w:rsidR="002C0FD9" w:rsidRPr="00CA25CF" w:rsidRDefault="002C0FD9" w:rsidP="00CA25CF">
            <w:pPr>
              <w:rPr>
                <w:rFonts w:cs="Arial"/>
                <w:color w:val="FF0000"/>
                <w:sz w:val="21"/>
                <w:szCs w:val="21"/>
              </w:rPr>
            </w:pPr>
          </w:p>
        </w:tc>
        <w:tc>
          <w:tcPr>
            <w:tcW w:w="217" w:type="dxa"/>
          </w:tcPr>
          <w:p w14:paraId="66E6B8C5" w14:textId="77777777" w:rsidR="002C0FD9" w:rsidRPr="00CA25CF" w:rsidRDefault="002C0FD9" w:rsidP="00CA25CF">
            <w:pPr>
              <w:rPr>
                <w:rFonts w:cs="Arial"/>
                <w:color w:val="FF0000"/>
                <w:sz w:val="21"/>
                <w:szCs w:val="21"/>
              </w:rPr>
            </w:pPr>
          </w:p>
        </w:tc>
        <w:tc>
          <w:tcPr>
            <w:tcW w:w="217" w:type="dxa"/>
          </w:tcPr>
          <w:p w14:paraId="3C4B468B" w14:textId="77777777" w:rsidR="002C0FD9" w:rsidRPr="00CA25CF" w:rsidRDefault="002C0FD9" w:rsidP="00CA25CF">
            <w:pPr>
              <w:rPr>
                <w:rFonts w:cs="Arial"/>
                <w:color w:val="FF0000"/>
                <w:sz w:val="21"/>
                <w:szCs w:val="21"/>
              </w:rPr>
            </w:pPr>
          </w:p>
        </w:tc>
        <w:tc>
          <w:tcPr>
            <w:tcW w:w="217" w:type="dxa"/>
          </w:tcPr>
          <w:p w14:paraId="2EDE0855" w14:textId="77777777" w:rsidR="002C0FD9" w:rsidRPr="00CA25CF" w:rsidRDefault="002C0FD9" w:rsidP="00CA25CF">
            <w:pPr>
              <w:rPr>
                <w:rFonts w:cs="Arial"/>
                <w:color w:val="FF0000"/>
                <w:sz w:val="21"/>
                <w:szCs w:val="21"/>
              </w:rPr>
            </w:pPr>
          </w:p>
        </w:tc>
        <w:tc>
          <w:tcPr>
            <w:tcW w:w="217" w:type="dxa"/>
          </w:tcPr>
          <w:p w14:paraId="16F26372" w14:textId="77777777" w:rsidR="002C0FD9" w:rsidRPr="00CA25CF" w:rsidRDefault="002C0FD9" w:rsidP="00CA25CF">
            <w:pPr>
              <w:rPr>
                <w:rFonts w:cs="Arial"/>
                <w:color w:val="FF0000"/>
                <w:sz w:val="21"/>
                <w:szCs w:val="21"/>
              </w:rPr>
            </w:pPr>
          </w:p>
        </w:tc>
        <w:tc>
          <w:tcPr>
            <w:tcW w:w="217" w:type="dxa"/>
          </w:tcPr>
          <w:p w14:paraId="6BDDD996" w14:textId="77777777" w:rsidR="002C0FD9" w:rsidRPr="00CA25CF" w:rsidRDefault="002C0FD9" w:rsidP="00CA25CF">
            <w:pPr>
              <w:rPr>
                <w:rFonts w:cs="Arial"/>
                <w:color w:val="FF0000"/>
                <w:sz w:val="21"/>
                <w:szCs w:val="21"/>
              </w:rPr>
            </w:pPr>
          </w:p>
        </w:tc>
        <w:tc>
          <w:tcPr>
            <w:tcW w:w="217" w:type="dxa"/>
          </w:tcPr>
          <w:p w14:paraId="38F15324" w14:textId="77777777" w:rsidR="002C0FD9" w:rsidRPr="00CA25CF" w:rsidRDefault="002C0FD9" w:rsidP="00CA25CF">
            <w:pPr>
              <w:rPr>
                <w:rFonts w:cs="Arial"/>
                <w:color w:val="FF0000"/>
                <w:sz w:val="21"/>
                <w:szCs w:val="21"/>
              </w:rPr>
            </w:pPr>
          </w:p>
        </w:tc>
        <w:tc>
          <w:tcPr>
            <w:tcW w:w="217" w:type="dxa"/>
          </w:tcPr>
          <w:p w14:paraId="1D0F6B77" w14:textId="77777777" w:rsidR="002C0FD9" w:rsidRPr="00CA25CF" w:rsidRDefault="002C0FD9" w:rsidP="00CA25CF">
            <w:pPr>
              <w:rPr>
                <w:rFonts w:cs="Arial"/>
                <w:color w:val="FF0000"/>
                <w:sz w:val="21"/>
                <w:szCs w:val="21"/>
              </w:rPr>
            </w:pPr>
          </w:p>
        </w:tc>
        <w:tc>
          <w:tcPr>
            <w:tcW w:w="217" w:type="dxa"/>
          </w:tcPr>
          <w:p w14:paraId="739A7078" w14:textId="77777777" w:rsidR="002C0FD9" w:rsidRPr="00CA25CF" w:rsidRDefault="002C0FD9" w:rsidP="00CA25CF">
            <w:pPr>
              <w:rPr>
                <w:rFonts w:cs="Arial"/>
                <w:color w:val="FF0000"/>
                <w:sz w:val="21"/>
                <w:szCs w:val="21"/>
              </w:rPr>
            </w:pPr>
          </w:p>
        </w:tc>
        <w:tc>
          <w:tcPr>
            <w:tcW w:w="217" w:type="dxa"/>
          </w:tcPr>
          <w:p w14:paraId="06D9AD4C" w14:textId="77777777" w:rsidR="002C0FD9" w:rsidRPr="00CA25CF" w:rsidRDefault="002C0FD9" w:rsidP="00CA25CF">
            <w:pPr>
              <w:rPr>
                <w:rFonts w:cs="Arial"/>
                <w:color w:val="FF0000"/>
                <w:sz w:val="21"/>
                <w:szCs w:val="21"/>
              </w:rPr>
            </w:pPr>
          </w:p>
        </w:tc>
        <w:tc>
          <w:tcPr>
            <w:tcW w:w="217" w:type="dxa"/>
          </w:tcPr>
          <w:p w14:paraId="67DA0044" w14:textId="77777777" w:rsidR="002C0FD9" w:rsidRPr="00CA25CF" w:rsidRDefault="002C0FD9" w:rsidP="00CA25CF">
            <w:pPr>
              <w:rPr>
                <w:rFonts w:cs="Arial"/>
                <w:color w:val="FF0000"/>
                <w:sz w:val="21"/>
                <w:szCs w:val="21"/>
              </w:rPr>
            </w:pPr>
          </w:p>
        </w:tc>
        <w:tc>
          <w:tcPr>
            <w:tcW w:w="217" w:type="dxa"/>
          </w:tcPr>
          <w:p w14:paraId="314931BB" w14:textId="77777777" w:rsidR="002C0FD9" w:rsidRPr="00CA25CF" w:rsidRDefault="002C0FD9" w:rsidP="00CA25CF">
            <w:pPr>
              <w:rPr>
                <w:rFonts w:cs="Arial"/>
                <w:color w:val="FF0000"/>
                <w:sz w:val="21"/>
                <w:szCs w:val="21"/>
              </w:rPr>
            </w:pPr>
          </w:p>
        </w:tc>
        <w:tc>
          <w:tcPr>
            <w:tcW w:w="217" w:type="dxa"/>
          </w:tcPr>
          <w:p w14:paraId="6005A487" w14:textId="77777777" w:rsidR="002C0FD9" w:rsidRPr="00CA25CF" w:rsidRDefault="002C0FD9" w:rsidP="00CA25CF">
            <w:pPr>
              <w:rPr>
                <w:rFonts w:cs="Arial"/>
                <w:color w:val="FF0000"/>
                <w:sz w:val="21"/>
                <w:szCs w:val="21"/>
              </w:rPr>
            </w:pPr>
          </w:p>
        </w:tc>
        <w:tc>
          <w:tcPr>
            <w:tcW w:w="217" w:type="dxa"/>
          </w:tcPr>
          <w:p w14:paraId="5385C7D4" w14:textId="77777777" w:rsidR="002C0FD9" w:rsidRPr="00CA25CF" w:rsidRDefault="002C0FD9" w:rsidP="00CA25CF">
            <w:pPr>
              <w:rPr>
                <w:rFonts w:cs="Arial"/>
                <w:color w:val="FF0000"/>
                <w:sz w:val="21"/>
                <w:szCs w:val="21"/>
              </w:rPr>
            </w:pPr>
          </w:p>
        </w:tc>
        <w:tc>
          <w:tcPr>
            <w:tcW w:w="217" w:type="dxa"/>
          </w:tcPr>
          <w:p w14:paraId="4E4FE25C" w14:textId="77777777" w:rsidR="002C0FD9" w:rsidRPr="00CA25CF" w:rsidRDefault="002C0FD9" w:rsidP="00CA25CF">
            <w:pPr>
              <w:rPr>
                <w:rFonts w:cs="Arial"/>
                <w:color w:val="FF0000"/>
                <w:sz w:val="21"/>
                <w:szCs w:val="21"/>
              </w:rPr>
            </w:pPr>
          </w:p>
        </w:tc>
        <w:tc>
          <w:tcPr>
            <w:tcW w:w="217" w:type="dxa"/>
          </w:tcPr>
          <w:p w14:paraId="69ABD529" w14:textId="77777777" w:rsidR="002C0FD9" w:rsidRPr="00CA25CF" w:rsidRDefault="002C0FD9" w:rsidP="00CA25CF">
            <w:pPr>
              <w:rPr>
                <w:rFonts w:cs="Arial"/>
                <w:color w:val="FF0000"/>
                <w:sz w:val="21"/>
                <w:szCs w:val="21"/>
              </w:rPr>
            </w:pPr>
          </w:p>
        </w:tc>
      </w:tr>
      <w:tr w:rsidR="002C0FD9" w:rsidRPr="00A16219" w14:paraId="281C8EE2" w14:textId="50B53698" w:rsidTr="002C0FD9">
        <w:trPr>
          <w:trHeight w:val="635"/>
        </w:trPr>
        <w:tc>
          <w:tcPr>
            <w:tcW w:w="515" w:type="dxa"/>
          </w:tcPr>
          <w:p w14:paraId="66E8EBAE" w14:textId="77777777" w:rsidR="002C0FD9" w:rsidRPr="00CA25CF" w:rsidRDefault="002C0FD9" w:rsidP="00CA25CF">
            <w:pPr>
              <w:rPr>
                <w:rFonts w:cs="Arial"/>
                <w:color w:val="FF0000"/>
                <w:sz w:val="21"/>
                <w:szCs w:val="21"/>
              </w:rPr>
            </w:pPr>
          </w:p>
        </w:tc>
        <w:tc>
          <w:tcPr>
            <w:tcW w:w="217" w:type="dxa"/>
          </w:tcPr>
          <w:p w14:paraId="27B1D0AD" w14:textId="77777777" w:rsidR="002C0FD9" w:rsidRPr="00CA25CF" w:rsidRDefault="002C0FD9" w:rsidP="00CA25CF">
            <w:pPr>
              <w:rPr>
                <w:rFonts w:cs="Arial"/>
                <w:color w:val="FF0000"/>
                <w:sz w:val="21"/>
                <w:szCs w:val="21"/>
              </w:rPr>
            </w:pPr>
          </w:p>
        </w:tc>
        <w:tc>
          <w:tcPr>
            <w:tcW w:w="217" w:type="dxa"/>
          </w:tcPr>
          <w:p w14:paraId="10A66FA5" w14:textId="7625EAE9" w:rsidR="002C0FD9" w:rsidRPr="00CA25CF" w:rsidRDefault="002C0FD9" w:rsidP="00CA25CF">
            <w:pPr>
              <w:rPr>
                <w:rFonts w:cs="Arial"/>
                <w:color w:val="FF0000"/>
                <w:sz w:val="21"/>
                <w:szCs w:val="21"/>
              </w:rPr>
            </w:pPr>
          </w:p>
        </w:tc>
        <w:tc>
          <w:tcPr>
            <w:tcW w:w="217" w:type="dxa"/>
          </w:tcPr>
          <w:p w14:paraId="5C15C2F7" w14:textId="77777777" w:rsidR="002C0FD9" w:rsidRPr="00CA25CF" w:rsidRDefault="002C0FD9" w:rsidP="00CA25CF">
            <w:pPr>
              <w:rPr>
                <w:rFonts w:cs="Arial"/>
                <w:color w:val="FF0000"/>
                <w:sz w:val="21"/>
                <w:szCs w:val="21"/>
              </w:rPr>
            </w:pPr>
          </w:p>
        </w:tc>
        <w:tc>
          <w:tcPr>
            <w:tcW w:w="217" w:type="dxa"/>
          </w:tcPr>
          <w:p w14:paraId="49E55625" w14:textId="77777777" w:rsidR="002C0FD9" w:rsidRPr="00CA25CF" w:rsidRDefault="002C0FD9" w:rsidP="00CA25CF">
            <w:pPr>
              <w:rPr>
                <w:rFonts w:cs="Arial"/>
                <w:color w:val="FF0000"/>
                <w:sz w:val="21"/>
                <w:szCs w:val="21"/>
              </w:rPr>
            </w:pPr>
          </w:p>
        </w:tc>
        <w:tc>
          <w:tcPr>
            <w:tcW w:w="217" w:type="dxa"/>
          </w:tcPr>
          <w:p w14:paraId="7E26B02A" w14:textId="77777777" w:rsidR="002C0FD9" w:rsidRPr="00CA25CF" w:rsidRDefault="002C0FD9" w:rsidP="00CA25CF">
            <w:pPr>
              <w:rPr>
                <w:rFonts w:cs="Arial"/>
                <w:color w:val="FF0000"/>
                <w:sz w:val="21"/>
                <w:szCs w:val="21"/>
              </w:rPr>
            </w:pPr>
          </w:p>
        </w:tc>
        <w:tc>
          <w:tcPr>
            <w:tcW w:w="217" w:type="dxa"/>
          </w:tcPr>
          <w:p w14:paraId="2D413C96" w14:textId="77777777" w:rsidR="002C0FD9" w:rsidRPr="00CA25CF" w:rsidRDefault="002C0FD9" w:rsidP="00CA25CF">
            <w:pPr>
              <w:rPr>
                <w:rFonts w:cs="Arial"/>
                <w:color w:val="FF0000"/>
                <w:sz w:val="21"/>
                <w:szCs w:val="21"/>
              </w:rPr>
            </w:pPr>
          </w:p>
        </w:tc>
        <w:tc>
          <w:tcPr>
            <w:tcW w:w="217" w:type="dxa"/>
          </w:tcPr>
          <w:p w14:paraId="3ABE0D9A" w14:textId="77777777" w:rsidR="002C0FD9" w:rsidRPr="00CA25CF" w:rsidRDefault="002C0FD9" w:rsidP="00CA25CF">
            <w:pPr>
              <w:rPr>
                <w:rFonts w:cs="Arial"/>
                <w:color w:val="FF0000"/>
                <w:sz w:val="21"/>
                <w:szCs w:val="21"/>
              </w:rPr>
            </w:pPr>
          </w:p>
        </w:tc>
        <w:tc>
          <w:tcPr>
            <w:tcW w:w="217" w:type="dxa"/>
          </w:tcPr>
          <w:p w14:paraId="323E78D6" w14:textId="77777777" w:rsidR="002C0FD9" w:rsidRPr="00CA25CF" w:rsidRDefault="002C0FD9" w:rsidP="00CA25CF">
            <w:pPr>
              <w:rPr>
                <w:rFonts w:cs="Arial"/>
                <w:color w:val="FF0000"/>
                <w:sz w:val="21"/>
                <w:szCs w:val="21"/>
              </w:rPr>
            </w:pPr>
          </w:p>
        </w:tc>
        <w:tc>
          <w:tcPr>
            <w:tcW w:w="217" w:type="dxa"/>
          </w:tcPr>
          <w:p w14:paraId="21AE7EDD" w14:textId="77777777" w:rsidR="002C0FD9" w:rsidRPr="00CA25CF" w:rsidRDefault="002C0FD9" w:rsidP="00CA25CF">
            <w:pPr>
              <w:rPr>
                <w:rFonts w:cs="Arial"/>
                <w:color w:val="FF0000"/>
                <w:sz w:val="21"/>
                <w:szCs w:val="21"/>
              </w:rPr>
            </w:pPr>
          </w:p>
        </w:tc>
        <w:tc>
          <w:tcPr>
            <w:tcW w:w="217" w:type="dxa"/>
          </w:tcPr>
          <w:p w14:paraId="3E45A4F3" w14:textId="77777777" w:rsidR="002C0FD9" w:rsidRPr="00CA25CF" w:rsidRDefault="002C0FD9" w:rsidP="00CA25CF">
            <w:pPr>
              <w:rPr>
                <w:rFonts w:cs="Arial"/>
                <w:color w:val="FF0000"/>
                <w:sz w:val="21"/>
                <w:szCs w:val="21"/>
              </w:rPr>
            </w:pPr>
          </w:p>
        </w:tc>
        <w:tc>
          <w:tcPr>
            <w:tcW w:w="217" w:type="dxa"/>
          </w:tcPr>
          <w:p w14:paraId="10D5CEC1" w14:textId="77777777" w:rsidR="002C0FD9" w:rsidRPr="00CA25CF" w:rsidRDefault="002C0FD9" w:rsidP="00CA25CF">
            <w:pPr>
              <w:rPr>
                <w:rFonts w:cs="Arial"/>
                <w:color w:val="FF0000"/>
                <w:sz w:val="21"/>
                <w:szCs w:val="21"/>
              </w:rPr>
            </w:pPr>
          </w:p>
        </w:tc>
        <w:tc>
          <w:tcPr>
            <w:tcW w:w="217" w:type="dxa"/>
          </w:tcPr>
          <w:p w14:paraId="756978BC" w14:textId="77777777" w:rsidR="002C0FD9" w:rsidRPr="00CA25CF" w:rsidRDefault="002C0FD9" w:rsidP="00CA25CF">
            <w:pPr>
              <w:rPr>
                <w:rFonts w:cs="Arial"/>
                <w:color w:val="FF0000"/>
                <w:sz w:val="21"/>
                <w:szCs w:val="21"/>
              </w:rPr>
            </w:pPr>
          </w:p>
        </w:tc>
        <w:tc>
          <w:tcPr>
            <w:tcW w:w="217" w:type="dxa"/>
          </w:tcPr>
          <w:p w14:paraId="6A49AE18" w14:textId="77777777" w:rsidR="002C0FD9" w:rsidRPr="00CA25CF" w:rsidRDefault="002C0FD9" w:rsidP="00CA25CF">
            <w:pPr>
              <w:rPr>
                <w:rFonts w:cs="Arial"/>
                <w:color w:val="FF0000"/>
                <w:sz w:val="21"/>
                <w:szCs w:val="21"/>
              </w:rPr>
            </w:pPr>
          </w:p>
        </w:tc>
        <w:tc>
          <w:tcPr>
            <w:tcW w:w="217" w:type="dxa"/>
          </w:tcPr>
          <w:p w14:paraId="27A8BAD8" w14:textId="77777777" w:rsidR="002C0FD9" w:rsidRPr="00CA25CF" w:rsidRDefault="002C0FD9" w:rsidP="00CA25CF">
            <w:pPr>
              <w:rPr>
                <w:rFonts w:cs="Arial"/>
                <w:color w:val="FF0000"/>
                <w:sz w:val="21"/>
                <w:szCs w:val="21"/>
              </w:rPr>
            </w:pPr>
          </w:p>
        </w:tc>
        <w:tc>
          <w:tcPr>
            <w:tcW w:w="217" w:type="dxa"/>
          </w:tcPr>
          <w:p w14:paraId="235B94BD" w14:textId="456797FC" w:rsidR="002C0FD9" w:rsidRPr="00CA25CF" w:rsidRDefault="002C0FD9" w:rsidP="00CA25CF">
            <w:pPr>
              <w:rPr>
                <w:rFonts w:cs="Arial"/>
                <w:color w:val="FF0000"/>
                <w:sz w:val="21"/>
                <w:szCs w:val="21"/>
              </w:rPr>
            </w:pPr>
          </w:p>
        </w:tc>
        <w:tc>
          <w:tcPr>
            <w:tcW w:w="217" w:type="dxa"/>
          </w:tcPr>
          <w:p w14:paraId="0B65E69D" w14:textId="77777777" w:rsidR="002C0FD9" w:rsidRPr="00CA25CF" w:rsidRDefault="002C0FD9" w:rsidP="00CA25CF">
            <w:pPr>
              <w:rPr>
                <w:rFonts w:cs="Arial"/>
                <w:color w:val="FF0000"/>
                <w:sz w:val="21"/>
                <w:szCs w:val="21"/>
              </w:rPr>
            </w:pPr>
          </w:p>
        </w:tc>
        <w:tc>
          <w:tcPr>
            <w:tcW w:w="217" w:type="dxa"/>
          </w:tcPr>
          <w:p w14:paraId="5F4CC13E" w14:textId="77777777" w:rsidR="002C0FD9" w:rsidRPr="00CA25CF" w:rsidRDefault="002C0FD9" w:rsidP="00CA25CF">
            <w:pPr>
              <w:rPr>
                <w:rFonts w:cs="Arial"/>
                <w:color w:val="FF0000"/>
                <w:sz w:val="21"/>
                <w:szCs w:val="21"/>
              </w:rPr>
            </w:pPr>
          </w:p>
        </w:tc>
        <w:tc>
          <w:tcPr>
            <w:tcW w:w="217" w:type="dxa"/>
          </w:tcPr>
          <w:p w14:paraId="1E9E47CF" w14:textId="77777777" w:rsidR="002C0FD9" w:rsidRPr="00CA25CF" w:rsidRDefault="002C0FD9" w:rsidP="00CA25CF">
            <w:pPr>
              <w:rPr>
                <w:rFonts w:cs="Arial"/>
                <w:color w:val="FF0000"/>
                <w:sz w:val="21"/>
                <w:szCs w:val="21"/>
              </w:rPr>
            </w:pPr>
          </w:p>
        </w:tc>
        <w:tc>
          <w:tcPr>
            <w:tcW w:w="217" w:type="dxa"/>
          </w:tcPr>
          <w:p w14:paraId="39359356" w14:textId="77777777" w:rsidR="002C0FD9" w:rsidRPr="00CA25CF" w:rsidRDefault="002C0FD9" w:rsidP="00CA25CF">
            <w:pPr>
              <w:rPr>
                <w:rFonts w:cs="Arial"/>
                <w:color w:val="FF0000"/>
                <w:sz w:val="21"/>
                <w:szCs w:val="21"/>
              </w:rPr>
            </w:pPr>
          </w:p>
        </w:tc>
        <w:tc>
          <w:tcPr>
            <w:tcW w:w="217" w:type="dxa"/>
          </w:tcPr>
          <w:p w14:paraId="57621A7D" w14:textId="77777777" w:rsidR="002C0FD9" w:rsidRPr="00CA25CF" w:rsidRDefault="002C0FD9" w:rsidP="00CA25CF">
            <w:pPr>
              <w:rPr>
                <w:rFonts w:cs="Arial"/>
                <w:color w:val="FF0000"/>
                <w:sz w:val="21"/>
                <w:szCs w:val="21"/>
              </w:rPr>
            </w:pPr>
          </w:p>
        </w:tc>
        <w:tc>
          <w:tcPr>
            <w:tcW w:w="217" w:type="dxa"/>
          </w:tcPr>
          <w:p w14:paraId="699F1BDA" w14:textId="77777777" w:rsidR="002C0FD9" w:rsidRPr="00CA25CF" w:rsidRDefault="002C0FD9" w:rsidP="00CA25CF">
            <w:pPr>
              <w:rPr>
                <w:rFonts w:cs="Arial"/>
                <w:color w:val="FF0000"/>
                <w:sz w:val="21"/>
                <w:szCs w:val="21"/>
              </w:rPr>
            </w:pPr>
          </w:p>
        </w:tc>
        <w:tc>
          <w:tcPr>
            <w:tcW w:w="217" w:type="dxa"/>
          </w:tcPr>
          <w:p w14:paraId="52FC347A" w14:textId="77777777" w:rsidR="002C0FD9" w:rsidRPr="00CA25CF" w:rsidRDefault="002C0FD9" w:rsidP="00CA25CF">
            <w:pPr>
              <w:rPr>
                <w:rFonts w:cs="Arial"/>
                <w:color w:val="FF0000"/>
                <w:sz w:val="21"/>
                <w:szCs w:val="21"/>
              </w:rPr>
            </w:pPr>
          </w:p>
        </w:tc>
        <w:tc>
          <w:tcPr>
            <w:tcW w:w="217" w:type="dxa"/>
          </w:tcPr>
          <w:p w14:paraId="30761C6A" w14:textId="77777777" w:rsidR="002C0FD9" w:rsidRPr="00CA25CF" w:rsidRDefault="002C0FD9" w:rsidP="00CA25CF">
            <w:pPr>
              <w:rPr>
                <w:rFonts w:cs="Arial"/>
                <w:color w:val="FF0000"/>
                <w:sz w:val="21"/>
                <w:szCs w:val="21"/>
              </w:rPr>
            </w:pPr>
          </w:p>
        </w:tc>
        <w:tc>
          <w:tcPr>
            <w:tcW w:w="217" w:type="dxa"/>
          </w:tcPr>
          <w:p w14:paraId="3E2CDE28" w14:textId="77777777" w:rsidR="002C0FD9" w:rsidRPr="00CA25CF" w:rsidRDefault="002C0FD9" w:rsidP="00CA25CF">
            <w:pPr>
              <w:rPr>
                <w:rFonts w:cs="Arial"/>
                <w:color w:val="FF0000"/>
                <w:sz w:val="21"/>
                <w:szCs w:val="21"/>
              </w:rPr>
            </w:pPr>
          </w:p>
        </w:tc>
        <w:tc>
          <w:tcPr>
            <w:tcW w:w="217" w:type="dxa"/>
          </w:tcPr>
          <w:p w14:paraId="5A538197" w14:textId="77777777" w:rsidR="002C0FD9" w:rsidRPr="00CA25CF" w:rsidRDefault="002C0FD9" w:rsidP="00CA25CF">
            <w:pPr>
              <w:rPr>
                <w:rFonts w:cs="Arial"/>
                <w:color w:val="FF0000"/>
                <w:sz w:val="21"/>
                <w:szCs w:val="21"/>
              </w:rPr>
            </w:pPr>
          </w:p>
        </w:tc>
        <w:tc>
          <w:tcPr>
            <w:tcW w:w="217" w:type="dxa"/>
          </w:tcPr>
          <w:p w14:paraId="509F6E9F" w14:textId="77777777" w:rsidR="002C0FD9" w:rsidRPr="00CA25CF" w:rsidRDefault="002C0FD9" w:rsidP="00CA25CF">
            <w:pPr>
              <w:rPr>
                <w:rFonts w:cs="Arial"/>
                <w:color w:val="FF0000"/>
                <w:sz w:val="21"/>
                <w:szCs w:val="21"/>
              </w:rPr>
            </w:pPr>
          </w:p>
        </w:tc>
        <w:tc>
          <w:tcPr>
            <w:tcW w:w="217" w:type="dxa"/>
          </w:tcPr>
          <w:p w14:paraId="0F63B1C4" w14:textId="77777777" w:rsidR="002C0FD9" w:rsidRPr="00CA25CF" w:rsidRDefault="002C0FD9" w:rsidP="00CA25CF">
            <w:pPr>
              <w:rPr>
                <w:rFonts w:cs="Arial"/>
                <w:color w:val="FF0000"/>
                <w:sz w:val="21"/>
                <w:szCs w:val="21"/>
              </w:rPr>
            </w:pPr>
          </w:p>
        </w:tc>
        <w:tc>
          <w:tcPr>
            <w:tcW w:w="217" w:type="dxa"/>
          </w:tcPr>
          <w:p w14:paraId="7EA7642C" w14:textId="77777777" w:rsidR="002C0FD9" w:rsidRPr="00CA25CF" w:rsidRDefault="002C0FD9" w:rsidP="00CA25CF">
            <w:pPr>
              <w:rPr>
                <w:rFonts w:cs="Arial"/>
                <w:color w:val="FF0000"/>
                <w:sz w:val="21"/>
                <w:szCs w:val="21"/>
              </w:rPr>
            </w:pPr>
          </w:p>
        </w:tc>
        <w:tc>
          <w:tcPr>
            <w:tcW w:w="217" w:type="dxa"/>
          </w:tcPr>
          <w:p w14:paraId="76BAE01F" w14:textId="77777777" w:rsidR="002C0FD9" w:rsidRPr="00CA25CF" w:rsidRDefault="002C0FD9" w:rsidP="00CA25CF">
            <w:pPr>
              <w:rPr>
                <w:rFonts w:cs="Arial"/>
                <w:color w:val="FF0000"/>
                <w:sz w:val="21"/>
                <w:szCs w:val="21"/>
              </w:rPr>
            </w:pPr>
          </w:p>
        </w:tc>
        <w:tc>
          <w:tcPr>
            <w:tcW w:w="217" w:type="dxa"/>
          </w:tcPr>
          <w:p w14:paraId="7A34F3ED" w14:textId="77777777" w:rsidR="002C0FD9" w:rsidRPr="00CA25CF" w:rsidRDefault="002C0FD9" w:rsidP="00CA25CF">
            <w:pPr>
              <w:rPr>
                <w:rFonts w:cs="Arial"/>
                <w:color w:val="FF0000"/>
                <w:sz w:val="21"/>
                <w:szCs w:val="21"/>
              </w:rPr>
            </w:pPr>
          </w:p>
        </w:tc>
        <w:tc>
          <w:tcPr>
            <w:tcW w:w="217" w:type="dxa"/>
          </w:tcPr>
          <w:p w14:paraId="5C7ED63D" w14:textId="77777777" w:rsidR="002C0FD9" w:rsidRPr="00CA25CF" w:rsidRDefault="002C0FD9" w:rsidP="00CA25CF">
            <w:pPr>
              <w:rPr>
                <w:rFonts w:cs="Arial"/>
                <w:color w:val="FF0000"/>
                <w:sz w:val="21"/>
                <w:szCs w:val="21"/>
              </w:rPr>
            </w:pPr>
          </w:p>
        </w:tc>
        <w:tc>
          <w:tcPr>
            <w:tcW w:w="217" w:type="dxa"/>
          </w:tcPr>
          <w:p w14:paraId="08EDC7D7" w14:textId="77777777" w:rsidR="002C0FD9" w:rsidRPr="00CA25CF" w:rsidRDefault="002C0FD9" w:rsidP="00CA25CF">
            <w:pPr>
              <w:rPr>
                <w:rFonts w:cs="Arial"/>
                <w:color w:val="FF0000"/>
                <w:sz w:val="21"/>
                <w:szCs w:val="21"/>
              </w:rPr>
            </w:pPr>
          </w:p>
        </w:tc>
        <w:tc>
          <w:tcPr>
            <w:tcW w:w="217" w:type="dxa"/>
          </w:tcPr>
          <w:p w14:paraId="2518493E" w14:textId="77777777" w:rsidR="002C0FD9" w:rsidRPr="00CA25CF" w:rsidRDefault="002C0FD9" w:rsidP="00CA25CF">
            <w:pPr>
              <w:rPr>
                <w:rFonts w:cs="Arial"/>
                <w:color w:val="FF0000"/>
                <w:sz w:val="21"/>
                <w:szCs w:val="21"/>
              </w:rPr>
            </w:pPr>
          </w:p>
        </w:tc>
        <w:tc>
          <w:tcPr>
            <w:tcW w:w="217" w:type="dxa"/>
          </w:tcPr>
          <w:p w14:paraId="2FBE839A" w14:textId="77777777" w:rsidR="002C0FD9" w:rsidRPr="00CA25CF" w:rsidRDefault="002C0FD9" w:rsidP="00CA25CF">
            <w:pPr>
              <w:rPr>
                <w:rFonts w:cs="Arial"/>
                <w:color w:val="FF0000"/>
                <w:sz w:val="21"/>
                <w:szCs w:val="21"/>
              </w:rPr>
            </w:pPr>
          </w:p>
        </w:tc>
        <w:tc>
          <w:tcPr>
            <w:tcW w:w="217" w:type="dxa"/>
          </w:tcPr>
          <w:p w14:paraId="3ACB67A3" w14:textId="77777777" w:rsidR="002C0FD9" w:rsidRPr="00CA25CF" w:rsidRDefault="002C0FD9" w:rsidP="00CA25CF">
            <w:pPr>
              <w:rPr>
                <w:rFonts w:cs="Arial"/>
                <w:color w:val="FF0000"/>
                <w:sz w:val="21"/>
                <w:szCs w:val="21"/>
              </w:rPr>
            </w:pPr>
          </w:p>
        </w:tc>
        <w:tc>
          <w:tcPr>
            <w:tcW w:w="217" w:type="dxa"/>
          </w:tcPr>
          <w:p w14:paraId="2853B700" w14:textId="77777777" w:rsidR="002C0FD9" w:rsidRPr="00CA25CF" w:rsidRDefault="002C0FD9" w:rsidP="00CA25CF">
            <w:pPr>
              <w:rPr>
                <w:rFonts w:cs="Arial"/>
                <w:color w:val="FF0000"/>
                <w:sz w:val="21"/>
                <w:szCs w:val="21"/>
              </w:rPr>
            </w:pPr>
          </w:p>
        </w:tc>
        <w:tc>
          <w:tcPr>
            <w:tcW w:w="217" w:type="dxa"/>
          </w:tcPr>
          <w:p w14:paraId="2EA04C39" w14:textId="77777777" w:rsidR="002C0FD9" w:rsidRPr="00CA25CF" w:rsidRDefault="002C0FD9" w:rsidP="00CA25CF">
            <w:pPr>
              <w:rPr>
                <w:rFonts w:cs="Arial"/>
                <w:color w:val="FF0000"/>
                <w:sz w:val="21"/>
                <w:szCs w:val="21"/>
              </w:rPr>
            </w:pPr>
          </w:p>
        </w:tc>
        <w:tc>
          <w:tcPr>
            <w:tcW w:w="217" w:type="dxa"/>
          </w:tcPr>
          <w:p w14:paraId="5698FCA6" w14:textId="77777777" w:rsidR="002C0FD9" w:rsidRPr="00CA25CF" w:rsidRDefault="002C0FD9" w:rsidP="00CA25CF">
            <w:pPr>
              <w:rPr>
                <w:rFonts w:cs="Arial"/>
                <w:color w:val="FF0000"/>
                <w:sz w:val="21"/>
                <w:szCs w:val="21"/>
              </w:rPr>
            </w:pPr>
          </w:p>
        </w:tc>
        <w:tc>
          <w:tcPr>
            <w:tcW w:w="217" w:type="dxa"/>
          </w:tcPr>
          <w:p w14:paraId="46215342" w14:textId="77777777" w:rsidR="002C0FD9" w:rsidRPr="00CA25CF" w:rsidRDefault="002C0FD9" w:rsidP="00CA25CF">
            <w:pPr>
              <w:rPr>
                <w:rFonts w:cs="Arial"/>
                <w:color w:val="FF0000"/>
                <w:sz w:val="21"/>
                <w:szCs w:val="21"/>
              </w:rPr>
            </w:pPr>
          </w:p>
        </w:tc>
        <w:tc>
          <w:tcPr>
            <w:tcW w:w="217" w:type="dxa"/>
          </w:tcPr>
          <w:p w14:paraId="0783D47C" w14:textId="77777777" w:rsidR="002C0FD9" w:rsidRPr="00CA25CF" w:rsidRDefault="002C0FD9" w:rsidP="00CA25CF">
            <w:pPr>
              <w:rPr>
                <w:rFonts w:cs="Arial"/>
                <w:color w:val="FF0000"/>
                <w:sz w:val="21"/>
                <w:szCs w:val="21"/>
              </w:rPr>
            </w:pPr>
          </w:p>
        </w:tc>
        <w:tc>
          <w:tcPr>
            <w:tcW w:w="217" w:type="dxa"/>
          </w:tcPr>
          <w:p w14:paraId="677B53CA" w14:textId="77777777" w:rsidR="002C0FD9" w:rsidRPr="00CA25CF" w:rsidRDefault="002C0FD9" w:rsidP="00CA25CF">
            <w:pPr>
              <w:rPr>
                <w:rFonts w:cs="Arial"/>
                <w:color w:val="FF0000"/>
                <w:sz w:val="21"/>
                <w:szCs w:val="21"/>
              </w:rPr>
            </w:pPr>
          </w:p>
        </w:tc>
        <w:tc>
          <w:tcPr>
            <w:tcW w:w="217" w:type="dxa"/>
          </w:tcPr>
          <w:p w14:paraId="014A55D0" w14:textId="77777777" w:rsidR="002C0FD9" w:rsidRPr="00CA25CF" w:rsidRDefault="002C0FD9" w:rsidP="00CA25CF">
            <w:pPr>
              <w:rPr>
                <w:rFonts w:cs="Arial"/>
                <w:color w:val="FF0000"/>
                <w:sz w:val="21"/>
                <w:szCs w:val="21"/>
              </w:rPr>
            </w:pPr>
          </w:p>
        </w:tc>
      </w:tr>
      <w:tr w:rsidR="002C0FD9" w:rsidRPr="00A16219" w14:paraId="5288BEB2" w14:textId="1E795865" w:rsidTr="002C0FD9">
        <w:trPr>
          <w:trHeight w:val="635"/>
        </w:trPr>
        <w:tc>
          <w:tcPr>
            <w:tcW w:w="515" w:type="dxa"/>
          </w:tcPr>
          <w:p w14:paraId="6AA247F2" w14:textId="77777777" w:rsidR="002C0FD9" w:rsidRPr="00CA25CF" w:rsidRDefault="002C0FD9" w:rsidP="00CA25CF">
            <w:pPr>
              <w:rPr>
                <w:rFonts w:cs="Arial"/>
                <w:color w:val="FF0000"/>
                <w:sz w:val="21"/>
                <w:szCs w:val="21"/>
              </w:rPr>
            </w:pPr>
          </w:p>
        </w:tc>
        <w:tc>
          <w:tcPr>
            <w:tcW w:w="217" w:type="dxa"/>
          </w:tcPr>
          <w:p w14:paraId="4591F851" w14:textId="77777777" w:rsidR="002C0FD9" w:rsidRPr="00CA25CF" w:rsidRDefault="002C0FD9" w:rsidP="00CA25CF">
            <w:pPr>
              <w:rPr>
                <w:rFonts w:cs="Arial"/>
                <w:color w:val="FF0000"/>
                <w:sz w:val="21"/>
                <w:szCs w:val="21"/>
              </w:rPr>
            </w:pPr>
          </w:p>
        </w:tc>
        <w:tc>
          <w:tcPr>
            <w:tcW w:w="217" w:type="dxa"/>
          </w:tcPr>
          <w:p w14:paraId="6EAEF291" w14:textId="16BC017E" w:rsidR="002C0FD9" w:rsidRPr="00CA25CF" w:rsidRDefault="002C0FD9" w:rsidP="00CA25CF">
            <w:pPr>
              <w:rPr>
                <w:rFonts w:cs="Arial"/>
                <w:color w:val="FF0000"/>
                <w:sz w:val="21"/>
                <w:szCs w:val="21"/>
              </w:rPr>
            </w:pPr>
          </w:p>
        </w:tc>
        <w:tc>
          <w:tcPr>
            <w:tcW w:w="217" w:type="dxa"/>
          </w:tcPr>
          <w:p w14:paraId="489C94D8" w14:textId="77777777" w:rsidR="002C0FD9" w:rsidRPr="00CA25CF" w:rsidRDefault="002C0FD9" w:rsidP="00CA25CF">
            <w:pPr>
              <w:rPr>
                <w:rFonts w:cs="Arial"/>
                <w:color w:val="FF0000"/>
                <w:sz w:val="21"/>
                <w:szCs w:val="21"/>
              </w:rPr>
            </w:pPr>
          </w:p>
        </w:tc>
        <w:tc>
          <w:tcPr>
            <w:tcW w:w="217" w:type="dxa"/>
          </w:tcPr>
          <w:p w14:paraId="3A06F929" w14:textId="77777777" w:rsidR="002C0FD9" w:rsidRPr="00CA25CF" w:rsidRDefault="002C0FD9" w:rsidP="00CA25CF">
            <w:pPr>
              <w:rPr>
                <w:rFonts w:cs="Arial"/>
                <w:color w:val="FF0000"/>
                <w:sz w:val="21"/>
                <w:szCs w:val="21"/>
              </w:rPr>
            </w:pPr>
          </w:p>
        </w:tc>
        <w:tc>
          <w:tcPr>
            <w:tcW w:w="217" w:type="dxa"/>
          </w:tcPr>
          <w:p w14:paraId="389179CE" w14:textId="77777777" w:rsidR="002C0FD9" w:rsidRPr="00CA25CF" w:rsidRDefault="002C0FD9" w:rsidP="00CA25CF">
            <w:pPr>
              <w:rPr>
                <w:rFonts w:cs="Arial"/>
                <w:color w:val="FF0000"/>
                <w:sz w:val="21"/>
                <w:szCs w:val="21"/>
              </w:rPr>
            </w:pPr>
          </w:p>
        </w:tc>
        <w:tc>
          <w:tcPr>
            <w:tcW w:w="217" w:type="dxa"/>
          </w:tcPr>
          <w:p w14:paraId="3FFA9A7E" w14:textId="77777777" w:rsidR="002C0FD9" w:rsidRPr="00CA25CF" w:rsidRDefault="002C0FD9" w:rsidP="00CA25CF">
            <w:pPr>
              <w:rPr>
                <w:rFonts w:cs="Arial"/>
                <w:color w:val="FF0000"/>
                <w:sz w:val="21"/>
                <w:szCs w:val="21"/>
              </w:rPr>
            </w:pPr>
          </w:p>
        </w:tc>
        <w:tc>
          <w:tcPr>
            <w:tcW w:w="217" w:type="dxa"/>
          </w:tcPr>
          <w:p w14:paraId="0C05B8A1" w14:textId="77777777" w:rsidR="002C0FD9" w:rsidRPr="00CA25CF" w:rsidRDefault="002C0FD9" w:rsidP="00CA25CF">
            <w:pPr>
              <w:rPr>
                <w:rFonts w:cs="Arial"/>
                <w:color w:val="FF0000"/>
                <w:sz w:val="21"/>
                <w:szCs w:val="21"/>
              </w:rPr>
            </w:pPr>
          </w:p>
        </w:tc>
        <w:tc>
          <w:tcPr>
            <w:tcW w:w="217" w:type="dxa"/>
          </w:tcPr>
          <w:p w14:paraId="6F84BA7A" w14:textId="77777777" w:rsidR="002C0FD9" w:rsidRPr="00CA25CF" w:rsidRDefault="002C0FD9" w:rsidP="00CA25CF">
            <w:pPr>
              <w:rPr>
                <w:rFonts w:cs="Arial"/>
                <w:color w:val="FF0000"/>
                <w:sz w:val="21"/>
                <w:szCs w:val="21"/>
              </w:rPr>
            </w:pPr>
          </w:p>
        </w:tc>
        <w:tc>
          <w:tcPr>
            <w:tcW w:w="217" w:type="dxa"/>
          </w:tcPr>
          <w:p w14:paraId="51F2CA90" w14:textId="77777777" w:rsidR="002C0FD9" w:rsidRPr="00CA25CF" w:rsidRDefault="002C0FD9" w:rsidP="00CA25CF">
            <w:pPr>
              <w:rPr>
                <w:rFonts w:cs="Arial"/>
                <w:color w:val="FF0000"/>
                <w:sz w:val="21"/>
                <w:szCs w:val="21"/>
              </w:rPr>
            </w:pPr>
          </w:p>
        </w:tc>
        <w:tc>
          <w:tcPr>
            <w:tcW w:w="217" w:type="dxa"/>
          </w:tcPr>
          <w:p w14:paraId="6A51D3E5" w14:textId="77777777" w:rsidR="002C0FD9" w:rsidRPr="00CA25CF" w:rsidRDefault="002C0FD9" w:rsidP="00CA25CF">
            <w:pPr>
              <w:rPr>
                <w:rFonts w:cs="Arial"/>
                <w:color w:val="FF0000"/>
                <w:sz w:val="21"/>
                <w:szCs w:val="21"/>
              </w:rPr>
            </w:pPr>
          </w:p>
        </w:tc>
        <w:tc>
          <w:tcPr>
            <w:tcW w:w="217" w:type="dxa"/>
          </w:tcPr>
          <w:p w14:paraId="603AF35F" w14:textId="77777777" w:rsidR="002C0FD9" w:rsidRPr="00CA25CF" w:rsidRDefault="002C0FD9" w:rsidP="00CA25CF">
            <w:pPr>
              <w:rPr>
                <w:rFonts w:cs="Arial"/>
                <w:color w:val="FF0000"/>
                <w:sz w:val="21"/>
                <w:szCs w:val="21"/>
              </w:rPr>
            </w:pPr>
          </w:p>
        </w:tc>
        <w:tc>
          <w:tcPr>
            <w:tcW w:w="217" w:type="dxa"/>
          </w:tcPr>
          <w:p w14:paraId="50977507" w14:textId="77777777" w:rsidR="002C0FD9" w:rsidRPr="00CA25CF" w:rsidRDefault="002C0FD9" w:rsidP="00CA25CF">
            <w:pPr>
              <w:rPr>
                <w:rFonts w:cs="Arial"/>
                <w:color w:val="FF0000"/>
                <w:sz w:val="21"/>
                <w:szCs w:val="21"/>
              </w:rPr>
            </w:pPr>
          </w:p>
        </w:tc>
        <w:tc>
          <w:tcPr>
            <w:tcW w:w="217" w:type="dxa"/>
          </w:tcPr>
          <w:p w14:paraId="5D716E80" w14:textId="77777777" w:rsidR="002C0FD9" w:rsidRPr="00CA25CF" w:rsidRDefault="002C0FD9" w:rsidP="00CA25CF">
            <w:pPr>
              <w:rPr>
                <w:rFonts w:cs="Arial"/>
                <w:color w:val="FF0000"/>
                <w:sz w:val="21"/>
                <w:szCs w:val="21"/>
              </w:rPr>
            </w:pPr>
          </w:p>
        </w:tc>
        <w:tc>
          <w:tcPr>
            <w:tcW w:w="217" w:type="dxa"/>
          </w:tcPr>
          <w:p w14:paraId="63A8FFFC" w14:textId="77777777" w:rsidR="002C0FD9" w:rsidRPr="00CA25CF" w:rsidRDefault="002C0FD9" w:rsidP="00CA25CF">
            <w:pPr>
              <w:rPr>
                <w:rFonts w:cs="Arial"/>
                <w:color w:val="FF0000"/>
                <w:sz w:val="21"/>
                <w:szCs w:val="21"/>
              </w:rPr>
            </w:pPr>
          </w:p>
        </w:tc>
        <w:tc>
          <w:tcPr>
            <w:tcW w:w="217" w:type="dxa"/>
          </w:tcPr>
          <w:p w14:paraId="7DDB546B" w14:textId="26C1AFDF" w:rsidR="002C0FD9" w:rsidRPr="00CA25CF" w:rsidRDefault="002C0FD9" w:rsidP="00CA25CF">
            <w:pPr>
              <w:rPr>
                <w:rFonts w:cs="Arial"/>
                <w:color w:val="FF0000"/>
                <w:sz w:val="21"/>
                <w:szCs w:val="21"/>
              </w:rPr>
            </w:pPr>
          </w:p>
        </w:tc>
        <w:tc>
          <w:tcPr>
            <w:tcW w:w="217" w:type="dxa"/>
          </w:tcPr>
          <w:p w14:paraId="62428A86" w14:textId="77777777" w:rsidR="002C0FD9" w:rsidRPr="00CA25CF" w:rsidRDefault="002C0FD9" w:rsidP="00CA25CF">
            <w:pPr>
              <w:rPr>
                <w:rFonts w:cs="Arial"/>
                <w:color w:val="FF0000"/>
                <w:sz w:val="21"/>
                <w:szCs w:val="21"/>
              </w:rPr>
            </w:pPr>
          </w:p>
        </w:tc>
        <w:tc>
          <w:tcPr>
            <w:tcW w:w="217" w:type="dxa"/>
          </w:tcPr>
          <w:p w14:paraId="2DC9280C" w14:textId="77777777" w:rsidR="002C0FD9" w:rsidRPr="00CA25CF" w:rsidRDefault="002C0FD9" w:rsidP="00CA25CF">
            <w:pPr>
              <w:rPr>
                <w:rFonts w:cs="Arial"/>
                <w:color w:val="FF0000"/>
                <w:sz w:val="21"/>
                <w:szCs w:val="21"/>
              </w:rPr>
            </w:pPr>
          </w:p>
        </w:tc>
        <w:tc>
          <w:tcPr>
            <w:tcW w:w="217" w:type="dxa"/>
          </w:tcPr>
          <w:p w14:paraId="19122762" w14:textId="77777777" w:rsidR="002C0FD9" w:rsidRPr="00CA25CF" w:rsidRDefault="002C0FD9" w:rsidP="00CA25CF">
            <w:pPr>
              <w:rPr>
                <w:rFonts w:cs="Arial"/>
                <w:color w:val="FF0000"/>
                <w:sz w:val="21"/>
                <w:szCs w:val="21"/>
              </w:rPr>
            </w:pPr>
          </w:p>
        </w:tc>
        <w:tc>
          <w:tcPr>
            <w:tcW w:w="217" w:type="dxa"/>
          </w:tcPr>
          <w:p w14:paraId="687D97F7" w14:textId="77777777" w:rsidR="002C0FD9" w:rsidRPr="00CA25CF" w:rsidRDefault="002C0FD9" w:rsidP="00CA25CF">
            <w:pPr>
              <w:rPr>
                <w:rFonts w:cs="Arial"/>
                <w:color w:val="FF0000"/>
                <w:sz w:val="21"/>
                <w:szCs w:val="21"/>
              </w:rPr>
            </w:pPr>
          </w:p>
        </w:tc>
        <w:tc>
          <w:tcPr>
            <w:tcW w:w="217" w:type="dxa"/>
          </w:tcPr>
          <w:p w14:paraId="353BD5DE" w14:textId="77777777" w:rsidR="002C0FD9" w:rsidRPr="00CA25CF" w:rsidRDefault="002C0FD9" w:rsidP="00CA25CF">
            <w:pPr>
              <w:rPr>
                <w:rFonts w:cs="Arial"/>
                <w:color w:val="FF0000"/>
                <w:sz w:val="21"/>
                <w:szCs w:val="21"/>
              </w:rPr>
            </w:pPr>
          </w:p>
        </w:tc>
        <w:tc>
          <w:tcPr>
            <w:tcW w:w="217" w:type="dxa"/>
          </w:tcPr>
          <w:p w14:paraId="53887825" w14:textId="77777777" w:rsidR="002C0FD9" w:rsidRPr="00CA25CF" w:rsidRDefault="002C0FD9" w:rsidP="00CA25CF">
            <w:pPr>
              <w:rPr>
                <w:rFonts w:cs="Arial"/>
                <w:color w:val="FF0000"/>
                <w:sz w:val="21"/>
                <w:szCs w:val="21"/>
              </w:rPr>
            </w:pPr>
          </w:p>
        </w:tc>
        <w:tc>
          <w:tcPr>
            <w:tcW w:w="217" w:type="dxa"/>
          </w:tcPr>
          <w:p w14:paraId="3040CB2C" w14:textId="77777777" w:rsidR="002C0FD9" w:rsidRPr="00CA25CF" w:rsidRDefault="002C0FD9" w:rsidP="00CA25CF">
            <w:pPr>
              <w:rPr>
                <w:rFonts w:cs="Arial"/>
                <w:color w:val="FF0000"/>
                <w:sz w:val="21"/>
                <w:szCs w:val="21"/>
              </w:rPr>
            </w:pPr>
          </w:p>
        </w:tc>
        <w:tc>
          <w:tcPr>
            <w:tcW w:w="217" w:type="dxa"/>
          </w:tcPr>
          <w:p w14:paraId="40BF1E77" w14:textId="77777777" w:rsidR="002C0FD9" w:rsidRPr="00CA25CF" w:rsidRDefault="002C0FD9" w:rsidP="00CA25CF">
            <w:pPr>
              <w:rPr>
                <w:rFonts w:cs="Arial"/>
                <w:color w:val="FF0000"/>
                <w:sz w:val="21"/>
                <w:szCs w:val="21"/>
              </w:rPr>
            </w:pPr>
          </w:p>
        </w:tc>
        <w:tc>
          <w:tcPr>
            <w:tcW w:w="217" w:type="dxa"/>
          </w:tcPr>
          <w:p w14:paraId="7F00A001" w14:textId="77777777" w:rsidR="002C0FD9" w:rsidRPr="00CA25CF" w:rsidRDefault="002C0FD9" w:rsidP="00CA25CF">
            <w:pPr>
              <w:rPr>
                <w:rFonts w:cs="Arial"/>
                <w:color w:val="FF0000"/>
                <w:sz w:val="21"/>
                <w:szCs w:val="21"/>
              </w:rPr>
            </w:pPr>
          </w:p>
        </w:tc>
        <w:tc>
          <w:tcPr>
            <w:tcW w:w="217" w:type="dxa"/>
          </w:tcPr>
          <w:p w14:paraId="56075254" w14:textId="77777777" w:rsidR="002C0FD9" w:rsidRPr="00CA25CF" w:rsidRDefault="002C0FD9" w:rsidP="00CA25CF">
            <w:pPr>
              <w:rPr>
                <w:rFonts w:cs="Arial"/>
                <w:color w:val="FF0000"/>
                <w:sz w:val="21"/>
                <w:szCs w:val="21"/>
              </w:rPr>
            </w:pPr>
          </w:p>
        </w:tc>
        <w:tc>
          <w:tcPr>
            <w:tcW w:w="217" w:type="dxa"/>
          </w:tcPr>
          <w:p w14:paraId="71EE460A" w14:textId="77777777" w:rsidR="002C0FD9" w:rsidRPr="00CA25CF" w:rsidRDefault="002C0FD9" w:rsidP="00CA25CF">
            <w:pPr>
              <w:rPr>
                <w:rFonts w:cs="Arial"/>
                <w:color w:val="FF0000"/>
                <w:sz w:val="21"/>
                <w:szCs w:val="21"/>
              </w:rPr>
            </w:pPr>
          </w:p>
        </w:tc>
        <w:tc>
          <w:tcPr>
            <w:tcW w:w="217" w:type="dxa"/>
          </w:tcPr>
          <w:p w14:paraId="5D01F28E" w14:textId="77777777" w:rsidR="002C0FD9" w:rsidRPr="00CA25CF" w:rsidRDefault="002C0FD9" w:rsidP="00CA25CF">
            <w:pPr>
              <w:rPr>
                <w:rFonts w:cs="Arial"/>
                <w:color w:val="FF0000"/>
                <w:sz w:val="21"/>
                <w:szCs w:val="21"/>
              </w:rPr>
            </w:pPr>
          </w:p>
        </w:tc>
        <w:tc>
          <w:tcPr>
            <w:tcW w:w="217" w:type="dxa"/>
          </w:tcPr>
          <w:p w14:paraId="2EC31445" w14:textId="77777777" w:rsidR="002C0FD9" w:rsidRPr="00CA25CF" w:rsidRDefault="002C0FD9" w:rsidP="00CA25CF">
            <w:pPr>
              <w:rPr>
                <w:rFonts w:cs="Arial"/>
                <w:color w:val="FF0000"/>
                <w:sz w:val="21"/>
                <w:szCs w:val="21"/>
              </w:rPr>
            </w:pPr>
          </w:p>
        </w:tc>
        <w:tc>
          <w:tcPr>
            <w:tcW w:w="217" w:type="dxa"/>
          </w:tcPr>
          <w:p w14:paraId="0CED5703" w14:textId="77777777" w:rsidR="002C0FD9" w:rsidRPr="00CA25CF" w:rsidRDefault="002C0FD9" w:rsidP="00CA25CF">
            <w:pPr>
              <w:rPr>
                <w:rFonts w:cs="Arial"/>
                <w:color w:val="FF0000"/>
                <w:sz w:val="21"/>
                <w:szCs w:val="21"/>
              </w:rPr>
            </w:pPr>
          </w:p>
        </w:tc>
        <w:tc>
          <w:tcPr>
            <w:tcW w:w="217" w:type="dxa"/>
          </w:tcPr>
          <w:p w14:paraId="082FCD8F" w14:textId="77777777" w:rsidR="002C0FD9" w:rsidRPr="00CA25CF" w:rsidRDefault="002C0FD9" w:rsidP="00CA25CF">
            <w:pPr>
              <w:rPr>
                <w:rFonts w:cs="Arial"/>
                <w:color w:val="FF0000"/>
                <w:sz w:val="21"/>
                <w:szCs w:val="21"/>
              </w:rPr>
            </w:pPr>
          </w:p>
        </w:tc>
        <w:tc>
          <w:tcPr>
            <w:tcW w:w="217" w:type="dxa"/>
          </w:tcPr>
          <w:p w14:paraId="2CED94A8" w14:textId="77777777" w:rsidR="002C0FD9" w:rsidRPr="00CA25CF" w:rsidRDefault="002C0FD9" w:rsidP="00CA25CF">
            <w:pPr>
              <w:rPr>
                <w:rFonts w:cs="Arial"/>
                <w:color w:val="FF0000"/>
                <w:sz w:val="21"/>
                <w:szCs w:val="21"/>
              </w:rPr>
            </w:pPr>
          </w:p>
        </w:tc>
        <w:tc>
          <w:tcPr>
            <w:tcW w:w="217" w:type="dxa"/>
          </w:tcPr>
          <w:p w14:paraId="316CC33B" w14:textId="77777777" w:rsidR="002C0FD9" w:rsidRPr="00CA25CF" w:rsidRDefault="002C0FD9" w:rsidP="00CA25CF">
            <w:pPr>
              <w:rPr>
                <w:rFonts w:cs="Arial"/>
                <w:color w:val="FF0000"/>
                <w:sz w:val="21"/>
                <w:szCs w:val="21"/>
              </w:rPr>
            </w:pPr>
          </w:p>
        </w:tc>
        <w:tc>
          <w:tcPr>
            <w:tcW w:w="217" w:type="dxa"/>
          </w:tcPr>
          <w:p w14:paraId="348A6BE0" w14:textId="77777777" w:rsidR="002C0FD9" w:rsidRPr="00CA25CF" w:rsidRDefault="002C0FD9" w:rsidP="00CA25CF">
            <w:pPr>
              <w:rPr>
                <w:rFonts w:cs="Arial"/>
                <w:color w:val="FF0000"/>
                <w:sz w:val="21"/>
                <w:szCs w:val="21"/>
              </w:rPr>
            </w:pPr>
          </w:p>
        </w:tc>
        <w:tc>
          <w:tcPr>
            <w:tcW w:w="217" w:type="dxa"/>
          </w:tcPr>
          <w:p w14:paraId="3D59481E" w14:textId="77777777" w:rsidR="002C0FD9" w:rsidRPr="00CA25CF" w:rsidRDefault="002C0FD9" w:rsidP="00CA25CF">
            <w:pPr>
              <w:rPr>
                <w:rFonts w:cs="Arial"/>
                <w:color w:val="FF0000"/>
                <w:sz w:val="21"/>
                <w:szCs w:val="21"/>
              </w:rPr>
            </w:pPr>
          </w:p>
        </w:tc>
        <w:tc>
          <w:tcPr>
            <w:tcW w:w="217" w:type="dxa"/>
          </w:tcPr>
          <w:p w14:paraId="25307547" w14:textId="77777777" w:rsidR="002C0FD9" w:rsidRPr="00CA25CF" w:rsidRDefault="002C0FD9" w:rsidP="00CA25CF">
            <w:pPr>
              <w:rPr>
                <w:rFonts w:cs="Arial"/>
                <w:color w:val="FF0000"/>
                <w:sz w:val="21"/>
                <w:szCs w:val="21"/>
              </w:rPr>
            </w:pPr>
          </w:p>
        </w:tc>
        <w:tc>
          <w:tcPr>
            <w:tcW w:w="217" w:type="dxa"/>
          </w:tcPr>
          <w:p w14:paraId="4F0FD81E" w14:textId="77777777" w:rsidR="002C0FD9" w:rsidRPr="00CA25CF" w:rsidRDefault="002C0FD9" w:rsidP="00CA25CF">
            <w:pPr>
              <w:rPr>
                <w:rFonts w:cs="Arial"/>
                <w:color w:val="FF0000"/>
                <w:sz w:val="21"/>
                <w:szCs w:val="21"/>
              </w:rPr>
            </w:pPr>
          </w:p>
        </w:tc>
        <w:tc>
          <w:tcPr>
            <w:tcW w:w="217" w:type="dxa"/>
          </w:tcPr>
          <w:p w14:paraId="2DE2E100" w14:textId="77777777" w:rsidR="002C0FD9" w:rsidRPr="00CA25CF" w:rsidRDefault="002C0FD9" w:rsidP="00CA25CF">
            <w:pPr>
              <w:rPr>
                <w:rFonts w:cs="Arial"/>
                <w:color w:val="FF0000"/>
                <w:sz w:val="21"/>
                <w:szCs w:val="21"/>
              </w:rPr>
            </w:pPr>
          </w:p>
        </w:tc>
        <w:tc>
          <w:tcPr>
            <w:tcW w:w="217" w:type="dxa"/>
          </w:tcPr>
          <w:p w14:paraId="73DE7844" w14:textId="77777777" w:rsidR="002C0FD9" w:rsidRPr="00CA25CF" w:rsidRDefault="002C0FD9" w:rsidP="00CA25CF">
            <w:pPr>
              <w:rPr>
                <w:rFonts w:cs="Arial"/>
                <w:color w:val="FF0000"/>
                <w:sz w:val="21"/>
                <w:szCs w:val="21"/>
              </w:rPr>
            </w:pPr>
          </w:p>
        </w:tc>
        <w:tc>
          <w:tcPr>
            <w:tcW w:w="217" w:type="dxa"/>
          </w:tcPr>
          <w:p w14:paraId="38B8BC8B" w14:textId="77777777" w:rsidR="002C0FD9" w:rsidRPr="00CA25CF" w:rsidRDefault="002C0FD9" w:rsidP="00CA25CF">
            <w:pPr>
              <w:rPr>
                <w:rFonts w:cs="Arial"/>
                <w:color w:val="FF0000"/>
                <w:sz w:val="21"/>
                <w:szCs w:val="21"/>
              </w:rPr>
            </w:pPr>
          </w:p>
        </w:tc>
        <w:tc>
          <w:tcPr>
            <w:tcW w:w="217" w:type="dxa"/>
          </w:tcPr>
          <w:p w14:paraId="2225F34B" w14:textId="77777777" w:rsidR="002C0FD9" w:rsidRPr="00CA25CF" w:rsidRDefault="002C0FD9" w:rsidP="00CA25CF">
            <w:pPr>
              <w:rPr>
                <w:rFonts w:cs="Arial"/>
                <w:color w:val="FF0000"/>
                <w:sz w:val="21"/>
                <w:szCs w:val="21"/>
              </w:rPr>
            </w:pPr>
          </w:p>
        </w:tc>
        <w:tc>
          <w:tcPr>
            <w:tcW w:w="217" w:type="dxa"/>
          </w:tcPr>
          <w:p w14:paraId="24F35313" w14:textId="77777777" w:rsidR="002C0FD9" w:rsidRPr="00CA25CF" w:rsidRDefault="002C0FD9" w:rsidP="00CA25CF">
            <w:pPr>
              <w:rPr>
                <w:rFonts w:cs="Arial"/>
                <w:color w:val="FF0000"/>
                <w:sz w:val="21"/>
                <w:szCs w:val="21"/>
              </w:rPr>
            </w:pPr>
          </w:p>
        </w:tc>
        <w:tc>
          <w:tcPr>
            <w:tcW w:w="217" w:type="dxa"/>
          </w:tcPr>
          <w:p w14:paraId="25C6B6AD" w14:textId="77777777" w:rsidR="002C0FD9" w:rsidRPr="00CA25CF" w:rsidRDefault="002C0FD9" w:rsidP="00CA25CF">
            <w:pPr>
              <w:rPr>
                <w:rFonts w:cs="Arial"/>
                <w:color w:val="FF0000"/>
                <w:sz w:val="21"/>
                <w:szCs w:val="21"/>
              </w:rPr>
            </w:pPr>
          </w:p>
        </w:tc>
      </w:tr>
      <w:tr w:rsidR="002C0FD9" w:rsidRPr="00A16219" w14:paraId="23B19C18" w14:textId="45434D6B" w:rsidTr="002C0FD9">
        <w:trPr>
          <w:trHeight w:val="635"/>
        </w:trPr>
        <w:tc>
          <w:tcPr>
            <w:tcW w:w="515" w:type="dxa"/>
          </w:tcPr>
          <w:p w14:paraId="63089412" w14:textId="77777777" w:rsidR="002C0FD9" w:rsidRPr="00CA25CF" w:rsidRDefault="002C0FD9" w:rsidP="00CA25CF">
            <w:pPr>
              <w:rPr>
                <w:rFonts w:cs="Arial"/>
                <w:color w:val="FF0000"/>
                <w:sz w:val="21"/>
                <w:szCs w:val="21"/>
              </w:rPr>
            </w:pPr>
          </w:p>
        </w:tc>
        <w:tc>
          <w:tcPr>
            <w:tcW w:w="217" w:type="dxa"/>
          </w:tcPr>
          <w:p w14:paraId="25D6F9D7" w14:textId="77777777" w:rsidR="002C0FD9" w:rsidRPr="00CA25CF" w:rsidRDefault="002C0FD9" w:rsidP="00CA25CF">
            <w:pPr>
              <w:rPr>
                <w:rFonts w:cs="Arial"/>
                <w:color w:val="FF0000"/>
                <w:sz w:val="21"/>
                <w:szCs w:val="21"/>
              </w:rPr>
            </w:pPr>
          </w:p>
        </w:tc>
        <w:tc>
          <w:tcPr>
            <w:tcW w:w="217" w:type="dxa"/>
          </w:tcPr>
          <w:p w14:paraId="5B255579" w14:textId="6D2E5746" w:rsidR="002C0FD9" w:rsidRPr="00CA25CF" w:rsidRDefault="002C0FD9" w:rsidP="00CA25CF">
            <w:pPr>
              <w:rPr>
                <w:rFonts w:cs="Arial"/>
                <w:color w:val="FF0000"/>
                <w:sz w:val="21"/>
                <w:szCs w:val="21"/>
              </w:rPr>
            </w:pPr>
          </w:p>
        </w:tc>
        <w:tc>
          <w:tcPr>
            <w:tcW w:w="217" w:type="dxa"/>
          </w:tcPr>
          <w:p w14:paraId="424CE21E" w14:textId="77777777" w:rsidR="002C0FD9" w:rsidRPr="00CA25CF" w:rsidRDefault="002C0FD9" w:rsidP="00CA25CF">
            <w:pPr>
              <w:rPr>
                <w:rFonts w:cs="Arial"/>
                <w:color w:val="FF0000"/>
                <w:sz w:val="21"/>
                <w:szCs w:val="21"/>
              </w:rPr>
            </w:pPr>
          </w:p>
        </w:tc>
        <w:tc>
          <w:tcPr>
            <w:tcW w:w="217" w:type="dxa"/>
          </w:tcPr>
          <w:p w14:paraId="1A8B669A" w14:textId="77777777" w:rsidR="002C0FD9" w:rsidRPr="00CA25CF" w:rsidRDefault="002C0FD9" w:rsidP="00CA25CF">
            <w:pPr>
              <w:rPr>
                <w:rFonts w:cs="Arial"/>
                <w:color w:val="FF0000"/>
                <w:sz w:val="21"/>
                <w:szCs w:val="21"/>
              </w:rPr>
            </w:pPr>
          </w:p>
        </w:tc>
        <w:tc>
          <w:tcPr>
            <w:tcW w:w="217" w:type="dxa"/>
          </w:tcPr>
          <w:p w14:paraId="70EBE348" w14:textId="77777777" w:rsidR="002C0FD9" w:rsidRPr="00CA25CF" w:rsidRDefault="002C0FD9" w:rsidP="00CA25CF">
            <w:pPr>
              <w:rPr>
                <w:rFonts w:cs="Arial"/>
                <w:color w:val="FF0000"/>
                <w:sz w:val="21"/>
                <w:szCs w:val="21"/>
              </w:rPr>
            </w:pPr>
          </w:p>
        </w:tc>
        <w:tc>
          <w:tcPr>
            <w:tcW w:w="217" w:type="dxa"/>
          </w:tcPr>
          <w:p w14:paraId="247B29FC" w14:textId="77777777" w:rsidR="002C0FD9" w:rsidRPr="00CA25CF" w:rsidRDefault="002C0FD9" w:rsidP="00CA25CF">
            <w:pPr>
              <w:rPr>
                <w:rFonts w:cs="Arial"/>
                <w:color w:val="FF0000"/>
                <w:sz w:val="21"/>
                <w:szCs w:val="21"/>
              </w:rPr>
            </w:pPr>
          </w:p>
        </w:tc>
        <w:tc>
          <w:tcPr>
            <w:tcW w:w="217" w:type="dxa"/>
          </w:tcPr>
          <w:p w14:paraId="24066085" w14:textId="77777777" w:rsidR="002C0FD9" w:rsidRPr="00CA25CF" w:rsidRDefault="002C0FD9" w:rsidP="00CA25CF">
            <w:pPr>
              <w:rPr>
                <w:rFonts w:cs="Arial"/>
                <w:color w:val="FF0000"/>
                <w:sz w:val="21"/>
                <w:szCs w:val="21"/>
              </w:rPr>
            </w:pPr>
          </w:p>
        </w:tc>
        <w:tc>
          <w:tcPr>
            <w:tcW w:w="217" w:type="dxa"/>
          </w:tcPr>
          <w:p w14:paraId="2BD376D8" w14:textId="77777777" w:rsidR="002C0FD9" w:rsidRPr="00CA25CF" w:rsidRDefault="002C0FD9" w:rsidP="00CA25CF">
            <w:pPr>
              <w:rPr>
                <w:rFonts w:cs="Arial"/>
                <w:color w:val="FF0000"/>
                <w:sz w:val="21"/>
                <w:szCs w:val="21"/>
              </w:rPr>
            </w:pPr>
          </w:p>
        </w:tc>
        <w:tc>
          <w:tcPr>
            <w:tcW w:w="217" w:type="dxa"/>
          </w:tcPr>
          <w:p w14:paraId="6A830F7D" w14:textId="77777777" w:rsidR="002C0FD9" w:rsidRPr="00CA25CF" w:rsidRDefault="002C0FD9" w:rsidP="00CA25CF">
            <w:pPr>
              <w:rPr>
                <w:rFonts w:cs="Arial"/>
                <w:color w:val="FF0000"/>
                <w:sz w:val="21"/>
                <w:szCs w:val="21"/>
              </w:rPr>
            </w:pPr>
          </w:p>
        </w:tc>
        <w:tc>
          <w:tcPr>
            <w:tcW w:w="217" w:type="dxa"/>
          </w:tcPr>
          <w:p w14:paraId="40F61224" w14:textId="77777777" w:rsidR="002C0FD9" w:rsidRPr="00CA25CF" w:rsidRDefault="002C0FD9" w:rsidP="00CA25CF">
            <w:pPr>
              <w:rPr>
                <w:rFonts w:cs="Arial"/>
                <w:color w:val="FF0000"/>
                <w:sz w:val="21"/>
                <w:szCs w:val="21"/>
              </w:rPr>
            </w:pPr>
          </w:p>
        </w:tc>
        <w:tc>
          <w:tcPr>
            <w:tcW w:w="217" w:type="dxa"/>
          </w:tcPr>
          <w:p w14:paraId="3B22BFDA" w14:textId="77777777" w:rsidR="002C0FD9" w:rsidRPr="00CA25CF" w:rsidRDefault="002C0FD9" w:rsidP="00CA25CF">
            <w:pPr>
              <w:rPr>
                <w:rFonts w:cs="Arial"/>
                <w:color w:val="FF0000"/>
                <w:sz w:val="21"/>
                <w:szCs w:val="21"/>
              </w:rPr>
            </w:pPr>
          </w:p>
        </w:tc>
        <w:tc>
          <w:tcPr>
            <w:tcW w:w="217" w:type="dxa"/>
          </w:tcPr>
          <w:p w14:paraId="3F26E0B1" w14:textId="77777777" w:rsidR="002C0FD9" w:rsidRPr="00CA25CF" w:rsidRDefault="002C0FD9" w:rsidP="00CA25CF">
            <w:pPr>
              <w:rPr>
                <w:rFonts w:cs="Arial"/>
                <w:color w:val="FF0000"/>
                <w:sz w:val="21"/>
                <w:szCs w:val="21"/>
              </w:rPr>
            </w:pPr>
          </w:p>
        </w:tc>
        <w:tc>
          <w:tcPr>
            <w:tcW w:w="217" w:type="dxa"/>
          </w:tcPr>
          <w:p w14:paraId="5186BF9D" w14:textId="77777777" w:rsidR="002C0FD9" w:rsidRPr="00CA25CF" w:rsidRDefault="002C0FD9" w:rsidP="00CA25CF">
            <w:pPr>
              <w:rPr>
                <w:rFonts w:cs="Arial"/>
                <w:color w:val="FF0000"/>
                <w:sz w:val="21"/>
                <w:szCs w:val="21"/>
              </w:rPr>
            </w:pPr>
          </w:p>
        </w:tc>
        <w:tc>
          <w:tcPr>
            <w:tcW w:w="217" w:type="dxa"/>
          </w:tcPr>
          <w:p w14:paraId="3971D7A8" w14:textId="77777777" w:rsidR="002C0FD9" w:rsidRPr="00CA25CF" w:rsidRDefault="002C0FD9" w:rsidP="00CA25CF">
            <w:pPr>
              <w:rPr>
                <w:rFonts w:cs="Arial"/>
                <w:color w:val="FF0000"/>
                <w:sz w:val="21"/>
                <w:szCs w:val="21"/>
              </w:rPr>
            </w:pPr>
          </w:p>
        </w:tc>
        <w:tc>
          <w:tcPr>
            <w:tcW w:w="217" w:type="dxa"/>
          </w:tcPr>
          <w:p w14:paraId="1A9D3C97" w14:textId="4D720FC2" w:rsidR="002C0FD9" w:rsidRPr="00CA25CF" w:rsidRDefault="002C0FD9" w:rsidP="00CA25CF">
            <w:pPr>
              <w:rPr>
                <w:rFonts w:cs="Arial"/>
                <w:color w:val="FF0000"/>
                <w:sz w:val="21"/>
                <w:szCs w:val="21"/>
              </w:rPr>
            </w:pPr>
          </w:p>
        </w:tc>
        <w:tc>
          <w:tcPr>
            <w:tcW w:w="217" w:type="dxa"/>
          </w:tcPr>
          <w:p w14:paraId="1D2A2AE6" w14:textId="77777777" w:rsidR="002C0FD9" w:rsidRPr="00CA25CF" w:rsidRDefault="002C0FD9" w:rsidP="00CA25CF">
            <w:pPr>
              <w:rPr>
                <w:rFonts w:cs="Arial"/>
                <w:color w:val="FF0000"/>
                <w:sz w:val="21"/>
                <w:szCs w:val="21"/>
              </w:rPr>
            </w:pPr>
          </w:p>
        </w:tc>
        <w:tc>
          <w:tcPr>
            <w:tcW w:w="217" w:type="dxa"/>
          </w:tcPr>
          <w:p w14:paraId="75BC7C50" w14:textId="77777777" w:rsidR="002C0FD9" w:rsidRPr="00CA25CF" w:rsidRDefault="002C0FD9" w:rsidP="00CA25CF">
            <w:pPr>
              <w:rPr>
                <w:rFonts w:cs="Arial"/>
                <w:color w:val="FF0000"/>
                <w:sz w:val="21"/>
                <w:szCs w:val="21"/>
              </w:rPr>
            </w:pPr>
          </w:p>
        </w:tc>
        <w:tc>
          <w:tcPr>
            <w:tcW w:w="217" w:type="dxa"/>
          </w:tcPr>
          <w:p w14:paraId="5AFA0332" w14:textId="77777777" w:rsidR="002C0FD9" w:rsidRPr="00CA25CF" w:rsidRDefault="002C0FD9" w:rsidP="00CA25CF">
            <w:pPr>
              <w:rPr>
                <w:rFonts w:cs="Arial"/>
                <w:color w:val="FF0000"/>
                <w:sz w:val="21"/>
                <w:szCs w:val="21"/>
              </w:rPr>
            </w:pPr>
          </w:p>
        </w:tc>
        <w:tc>
          <w:tcPr>
            <w:tcW w:w="217" w:type="dxa"/>
          </w:tcPr>
          <w:p w14:paraId="445971DA" w14:textId="77777777" w:rsidR="002C0FD9" w:rsidRPr="00CA25CF" w:rsidRDefault="002C0FD9" w:rsidP="00CA25CF">
            <w:pPr>
              <w:rPr>
                <w:rFonts w:cs="Arial"/>
                <w:color w:val="FF0000"/>
                <w:sz w:val="21"/>
                <w:szCs w:val="21"/>
              </w:rPr>
            </w:pPr>
          </w:p>
        </w:tc>
        <w:tc>
          <w:tcPr>
            <w:tcW w:w="217" w:type="dxa"/>
          </w:tcPr>
          <w:p w14:paraId="3671861F" w14:textId="77777777" w:rsidR="002C0FD9" w:rsidRPr="00CA25CF" w:rsidRDefault="002C0FD9" w:rsidP="00CA25CF">
            <w:pPr>
              <w:rPr>
                <w:rFonts w:cs="Arial"/>
                <w:color w:val="FF0000"/>
                <w:sz w:val="21"/>
                <w:szCs w:val="21"/>
              </w:rPr>
            </w:pPr>
          </w:p>
        </w:tc>
        <w:tc>
          <w:tcPr>
            <w:tcW w:w="217" w:type="dxa"/>
          </w:tcPr>
          <w:p w14:paraId="3C332981" w14:textId="77777777" w:rsidR="002C0FD9" w:rsidRPr="00CA25CF" w:rsidRDefault="002C0FD9" w:rsidP="00CA25CF">
            <w:pPr>
              <w:rPr>
                <w:rFonts w:cs="Arial"/>
                <w:color w:val="FF0000"/>
                <w:sz w:val="21"/>
                <w:szCs w:val="21"/>
              </w:rPr>
            </w:pPr>
          </w:p>
        </w:tc>
        <w:tc>
          <w:tcPr>
            <w:tcW w:w="217" w:type="dxa"/>
          </w:tcPr>
          <w:p w14:paraId="41FDCC20" w14:textId="77777777" w:rsidR="002C0FD9" w:rsidRPr="00CA25CF" w:rsidRDefault="002C0FD9" w:rsidP="00CA25CF">
            <w:pPr>
              <w:rPr>
                <w:rFonts w:cs="Arial"/>
                <w:color w:val="FF0000"/>
                <w:sz w:val="21"/>
                <w:szCs w:val="21"/>
              </w:rPr>
            </w:pPr>
          </w:p>
        </w:tc>
        <w:tc>
          <w:tcPr>
            <w:tcW w:w="217" w:type="dxa"/>
          </w:tcPr>
          <w:p w14:paraId="408CC1B0" w14:textId="77777777" w:rsidR="002C0FD9" w:rsidRPr="00CA25CF" w:rsidRDefault="002C0FD9" w:rsidP="00CA25CF">
            <w:pPr>
              <w:rPr>
                <w:rFonts w:cs="Arial"/>
                <w:color w:val="FF0000"/>
                <w:sz w:val="21"/>
                <w:szCs w:val="21"/>
              </w:rPr>
            </w:pPr>
          </w:p>
        </w:tc>
        <w:tc>
          <w:tcPr>
            <w:tcW w:w="217" w:type="dxa"/>
          </w:tcPr>
          <w:p w14:paraId="72EF6383" w14:textId="77777777" w:rsidR="002C0FD9" w:rsidRPr="00CA25CF" w:rsidRDefault="002C0FD9" w:rsidP="00CA25CF">
            <w:pPr>
              <w:rPr>
                <w:rFonts w:cs="Arial"/>
                <w:color w:val="FF0000"/>
                <w:sz w:val="21"/>
                <w:szCs w:val="21"/>
              </w:rPr>
            </w:pPr>
          </w:p>
        </w:tc>
        <w:tc>
          <w:tcPr>
            <w:tcW w:w="217" w:type="dxa"/>
          </w:tcPr>
          <w:p w14:paraId="64C98BFA" w14:textId="77777777" w:rsidR="002C0FD9" w:rsidRPr="00CA25CF" w:rsidRDefault="002C0FD9" w:rsidP="00CA25CF">
            <w:pPr>
              <w:rPr>
                <w:rFonts w:cs="Arial"/>
                <w:color w:val="FF0000"/>
                <w:sz w:val="21"/>
                <w:szCs w:val="21"/>
              </w:rPr>
            </w:pPr>
          </w:p>
        </w:tc>
        <w:tc>
          <w:tcPr>
            <w:tcW w:w="217" w:type="dxa"/>
          </w:tcPr>
          <w:p w14:paraId="230BEB89" w14:textId="77777777" w:rsidR="002C0FD9" w:rsidRPr="00CA25CF" w:rsidRDefault="002C0FD9" w:rsidP="00CA25CF">
            <w:pPr>
              <w:rPr>
                <w:rFonts w:cs="Arial"/>
                <w:color w:val="FF0000"/>
                <w:sz w:val="21"/>
                <w:szCs w:val="21"/>
              </w:rPr>
            </w:pPr>
          </w:p>
        </w:tc>
        <w:tc>
          <w:tcPr>
            <w:tcW w:w="217" w:type="dxa"/>
          </w:tcPr>
          <w:p w14:paraId="1B57A7F6" w14:textId="77777777" w:rsidR="002C0FD9" w:rsidRPr="00CA25CF" w:rsidRDefault="002C0FD9" w:rsidP="00CA25CF">
            <w:pPr>
              <w:rPr>
                <w:rFonts w:cs="Arial"/>
                <w:color w:val="FF0000"/>
                <w:sz w:val="21"/>
                <w:szCs w:val="21"/>
              </w:rPr>
            </w:pPr>
          </w:p>
        </w:tc>
        <w:tc>
          <w:tcPr>
            <w:tcW w:w="217" w:type="dxa"/>
          </w:tcPr>
          <w:p w14:paraId="0CD33CE5" w14:textId="77777777" w:rsidR="002C0FD9" w:rsidRPr="00CA25CF" w:rsidRDefault="002C0FD9" w:rsidP="00CA25CF">
            <w:pPr>
              <w:rPr>
                <w:rFonts w:cs="Arial"/>
                <w:color w:val="FF0000"/>
                <w:sz w:val="21"/>
                <w:szCs w:val="21"/>
              </w:rPr>
            </w:pPr>
          </w:p>
        </w:tc>
        <w:tc>
          <w:tcPr>
            <w:tcW w:w="217" w:type="dxa"/>
          </w:tcPr>
          <w:p w14:paraId="1ED3DD55" w14:textId="77777777" w:rsidR="002C0FD9" w:rsidRPr="00CA25CF" w:rsidRDefault="002C0FD9" w:rsidP="00CA25CF">
            <w:pPr>
              <w:rPr>
                <w:rFonts w:cs="Arial"/>
                <w:color w:val="FF0000"/>
                <w:sz w:val="21"/>
                <w:szCs w:val="21"/>
              </w:rPr>
            </w:pPr>
          </w:p>
        </w:tc>
        <w:tc>
          <w:tcPr>
            <w:tcW w:w="217" w:type="dxa"/>
          </w:tcPr>
          <w:p w14:paraId="40DECBF0" w14:textId="77777777" w:rsidR="002C0FD9" w:rsidRPr="00CA25CF" w:rsidRDefault="002C0FD9" w:rsidP="00CA25CF">
            <w:pPr>
              <w:rPr>
                <w:rFonts w:cs="Arial"/>
                <w:color w:val="FF0000"/>
                <w:sz w:val="21"/>
                <w:szCs w:val="21"/>
              </w:rPr>
            </w:pPr>
          </w:p>
        </w:tc>
        <w:tc>
          <w:tcPr>
            <w:tcW w:w="217" w:type="dxa"/>
          </w:tcPr>
          <w:p w14:paraId="3E4289A8" w14:textId="77777777" w:rsidR="002C0FD9" w:rsidRPr="00CA25CF" w:rsidRDefault="002C0FD9" w:rsidP="00CA25CF">
            <w:pPr>
              <w:rPr>
                <w:rFonts w:cs="Arial"/>
                <w:color w:val="FF0000"/>
                <w:sz w:val="21"/>
                <w:szCs w:val="21"/>
              </w:rPr>
            </w:pPr>
          </w:p>
        </w:tc>
        <w:tc>
          <w:tcPr>
            <w:tcW w:w="217" w:type="dxa"/>
          </w:tcPr>
          <w:p w14:paraId="19A7D936" w14:textId="77777777" w:rsidR="002C0FD9" w:rsidRPr="00CA25CF" w:rsidRDefault="002C0FD9" w:rsidP="00CA25CF">
            <w:pPr>
              <w:rPr>
                <w:rFonts w:cs="Arial"/>
                <w:color w:val="FF0000"/>
                <w:sz w:val="21"/>
                <w:szCs w:val="21"/>
              </w:rPr>
            </w:pPr>
          </w:p>
        </w:tc>
        <w:tc>
          <w:tcPr>
            <w:tcW w:w="217" w:type="dxa"/>
          </w:tcPr>
          <w:p w14:paraId="5744A4AA" w14:textId="77777777" w:rsidR="002C0FD9" w:rsidRPr="00CA25CF" w:rsidRDefault="002C0FD9" w:rsidP="00CA25CF">
            <w:pPr>
              <w:rPr>
                <w:rFonts w:cs="Arial"/>
                <w:color w:val="FF0000"/>
                <w:sz w:val="21"/>
                <w:szCs w:val="21"/>
              </w:rPr>
            </w:pPr>
          </w:p>
        </w:tc>
        <w:tc>
          <w:tcPr>
            <w:tcW w:w="217" w:type="dxa"/>
          </w:tcPr>
          <w:p w14:paraId="7F6DE280" w14:textId="77777777" w:rsidR="002C0FD9" w:rsidRPr="00CA25CF" w:rsidRDefault="002C0FD9" w:rsidP="00CA25CF">
            <w:pPr>
              <w:rPr>
                <w:rFonts w:cs="Arial"/>
                <w:color w:val="FF0000"/>
                <w:sz w:val="21"/>
                <w:szCs w:val="21"/>
              </w:rPr>
            </w:pPr>
          </w:p>
        </w:tc>
        <w:tc>
          <w:tcPr>
            <w:tcW w:w="217" w:type="dxa"/>
          </w:tcPr>
          <w:p w14:paraId="3597330D" w14:textId="77777777" w:rsidR="002C0FD9" w:rsidRPr="00CA25CF" w:rsidRDefault="002C0FD9" w:rsidP="00CA25CF">
            <w:pPr>
              <w:rPr>
                <w:rFonts w:cs="Arial"/>
                <w:color w:val="FF0000"/>
                <w:sz w:val="21"/>
                <w:szCs w:val="21"/>
              </w:rPr>
            </w:pPr>
          </w:p>
        </w:tc>
        <w:tc>
          <w:tcPr>
            <w:tcW w:w="217" w:type="dxa"/>
          </w:tcPr>
          <w:p w14:paraId="048E3871" w14:textId="77777777" w:rsidR="002C0FD9" w:rsidRPr="00CA25CF" w:rsidRDefault="002C0FD9" w:rsidP="00CA25CF">
            <w:pPr>
              <w:rPr>
                <w:rFonts w:cs="Arial"/>
                <w:color w:val="FF0000"/>
                <w:sz w:val="21"/>
                <w:szCs w:val="21"/>
              </w:rPr>
            </w:pPr>
          </w:p>
        </w:tc>
        <w:tc>
          <w:tcPr>
            <w:tcW w:w="217" w:type="dxa"/>
          </w:tcPr>
          <w:p w14:paraId="5F17FBCC" w14:textId="77777777" w:rsidR="002C0FD9" w:rsidRPr="00CA25CF" w:rsidRDefault="002C0FD9" w:rsidP="00CA25CF">
            <w:pPr>
              <w:rPr>
                <w:rFonts w:cs="Arial"/>
                <w:color w:val="FF0000"/>
                <w:sz w:val="21"/>
                <w:szCs w:val="21"/>
              </w:rPr>
            </w:pPr>
          </w:p>
        </w:tc>
        <w:tc>
          <w:tcPr>
            <w:tcW w:w="217" w:type="dxa"/>
          </w:tcPr>
          <w:p w14:paraId="3623BC84" w14:textId="77777777" w:rsidR="002C0FD9" w:rsidRPr="00CA25CF" w:rsidRDefault="002C0FD9" w:rsidP="00CA25CF">
            <w:pPr>
              <w:rPr>
                <w:rFonts w:cs="Arial"/>
                <w:color w:val="FF0000"/>
                <w:sz w:val="21"/>
                <w:szCs w:val="21"/>
              </w:rPr>
            </w:pPr>
          </w:p>
        </w:tc>
        <w:tc>
          <w:tcPr>
            <w:tcW w:w="217" w:type="dxa"/>
          </w:tcPr>
          <w:p w14:paraId="1403F404" w14:textId="77777777" w:rsidR="002C0FD9" w:rsidRPr="00CA25CF" w:rsidRDefault="002C0FD9" w:rsidP="00CA25CF">
            <w:pPr>
              <w:rPr>
                <w:rFonts w:cs="Arial"/>
                <w:color w:val="FF0000"/>
                <w:sz w:val="21"/>
                <w:szCs w:val="21"/>
              </w:rPr>
            </w:pPr>
          </w:p>
        </w:tc>
        <w:tc>
          <w:tcPr>
            <w:tcW w:w="217" w:type="dxa"/>
          </w:tcPr>
          <w:p w14:paraId="76B4EBAE" w14:textId="77777777" w:rsidR="002C0FD9" w:rsidRPr="00CA25CF" w:rsidRDefault="002C0FD9" w:rsidP="00CA25CF">
            <w:pPr>
              <w:rPr>
                <w:rFonts w:cs="Arial"/>
                <w:color w:val="FF0000"/>
                <w:sz w:val="21"/>
                <w:szCs w:val="21"/>
              </w:rPr>
            </w:pPr>
          </w:p>
        </w:tc>
        <w:tc>
          <w:tcPr>
            <w:tcW w:w="217" w:type="dxa"/>
          </w:tcPr>
          <w:p w14:paraId="15C27530" w14:textId="77777777" w:rsidR="002C0FD9" w:rsidRPr="00CA25CF" w:rsidRDefault="002C0FD9" w:rsidP="00CA25CF">
            <w:pPr>
              <w:rPr>
                <w:rFonts w:cs="Arial"/>
                <w:color w:val="FF0000"/>
                <w:sz w:val="21"/>
                <w:szCs w:val="21"/>
              </w:rPr>
            </w:pPr>
          </w:p>
        </w:tc>
        <w:tc>
          <w:tcPr>
            <w:tcW w:w="217" w:type="dxa"/>
          </w:tcPr>
          <w:p w14:paraId="60167965" w14:textId="77777777" w:rsidR="002C0FD9" w:rsidRPr="00CA25CF" w:rsidRDefault="002C0FD9" w:rsidP="00CA25CF">
            <w:pPr>
              <w:rPr>
                <w:rFonts w:cs="Arial"/>
                <w:color w:val="FF0000"/>
                <w:sz w:val="21"/>
                <w:szCs w:val="21"/>
              </w:rPr>
            </w:pPr>
          </w:p>
        </w:tc>
      </w:tr>
      <w:tr w:rsidR="002C0FD9" w:rsidRPr="00A16219" w14:paraId="30692A06" w14:textId="079B7DE5" w:rsidTr="002C0FD9">
        <w:trPr>
          <w:trHeight w:val="635"/>
        </w:trPr>
        <w:tc>
          <w:tcPr>
            <w:tcW w:w="515" w:type="dxa"/>
          </w:tcPr>
          <w:p w14:paraId="6FBE0D06" w14:textId="77777777" w:rsidR="002C0FD9" w:rsidRPr="00CA25CF" w:rsidRDefault="002C0FD9" w:rsidP="00CA25CF">
            <w:pPr>
              <w:rPr>
                <w:rFonts w:cs="Arial"/>
                <w:color w:val="FF0000"/>
                <w:sz w:val="21"/>
                <w:szCs w:val="21"/>
              </w:rPr>
            </w:pPr>
          </w:p>
        </w:tc>
        <w:tc>
          <w:tcPr>
            <w:tcW w:w="217" w:type="dxa"/>
          </w:tcPr>
          <w:p w14:paraId="00DED44D" w14:textId="77777777" w:rsidR="002C0FD9" w:rsidRPr="00CA25CF" w:rsidRDefault="002C0FD9" w:rsidP="00CA25CF">
            <w:pPr>
              <w:rPr>
                <w:rFonts w:cs="Arial"/>
                <w:color w:val="FF0000"/>
                <w:sz w:val="21"/>
                <w:szCs w:val="21"/>
              </w:rPr>
            </w:pPr>
          </w:p>
        </w:tc>
        <w:tc>
          <w:tcPr>
            <w:tcW w:w="217" w:type="dxa"/>
          </w:tcPr>
          <w:p w14:paraId="690683E2" w14:textId="38A0836E" w:rsidR="002C0FD9" w:rsidRPr="00CA25CF" w:rsidRDefault="002C0FD9" w:rsidP="00CA25CF">
            <w:pPr>
              <w:rPr>
                <w:rFonts w:cs="Arial"/>
                <w:color w:val="FF0000"/>
                <w:sz w:val="21"/>
                <w:szCs w:val="21"/>
              </w:rPr>
            </w:pPr>
          </w:p>
        </w:tc>
        <w:tc>
          <w:tcPr>
            <w:tcW w:w="217" w:type="dxa"/>
          </w:tcPr>
          <w:p w14:paraId="39FE53BD" w14:textId="77777777" w:rsidR="002C0FD9" w:rsidRPr="00CA25CF" w:rsidRDefault="002C0FD9" w:rsidP="00CA25CF">
            <w:pPr>
              <w:rPr>
                <w:rFonts w:cs="Arial"/>
                <w:color w:val="FF0000"/>
                <w:sz w:val="21"/>
                <w:szCs w:val="21"/>
              </w:rPr>
            </w:pPr>
          </w:p>
        </w:tc>
        <w:tc>
          <w:tcPr>
            <w:tcW w:w="217" w:type="dxa"/>
          </w:tcPr>
          <w:p w14:paraId="6CDF3CF1" w14:textId="77777777" w:rsidR="002C0FD9" w:rsidRPr="00CA25CF" w:rsidRDefault="002C0FD9" w:rsidP="00CA25CF">
            <w:pPr>
              <w:rPr>
                <w:rFonts w:cs="Arial"/>
                <w:color w:val="FF0000"/>
                <w:sz w:val="21"/>
                <w:szCs w:val="21"/>
              </w:rPr>
            </w:pPr>
          </w:p>
        </w:tc>
        <w:tc>
          <w:tcPr>
            <w:tcW w:w="217" w:type="dxa"/>
          </w:tcPr>
          <w:p w14:paraId="4B31EE19" w14:textId="77777777" w:rsidR="002C0FD9" w:rsidRPr="00CA25CF" w:rsidRDefault="002C0FD9" w:rsidP="00CA25CF">
            <w:pPr>
              <w:rPr>
                <w:rFonts w:cs="Arial"/>
                <w:color w:val="FF0000"/>
                <w:sz w:val="21"/>
                <w:szCs w:val="21"/>
              </w:rPr>
            </w:pPr>
          </w:p>
        </w:tc>
        <w:tc>
          <w:tcPr>
            <w:tcW w:w="217" w:type="dxa"/>
          </w:tcPr>
          <w:p w14:paraId="55881B5C" w14:textId="77777777" w:rsidR="002C0FD9" w:rsidRPr="00CA25CF" w:rsidRDefault="002C0FD9" w:rsidP="00CA25CF">
            <w:pPr>
              <w:rPr>
                <w:rFonts w:cs="Arial"/>
                <w:color w:val="FF0000"/>
                <w:sz w:val="21"/>
                <w:szCs w:val="21"/>
              </w:rPr>
            </w:pPr>
          </w:p>
        </w:tc>
        <w:tc>
          <w:tcPr>
            <w:tcW w:w="217" w:type="dxa"/>
          </w:tcPr>
          <w:p w14:paraId="618E6FF0" w14:textId="77777777" w:rsidR="002C0FD9" w:rsidRPr="00CA25CF" w:rsidRDefault="002C0FD9" w:rsidP="00CA25CF">
            <w:pPr>
              <w:rPr>
                <w:rFonts w:cs="Arial"/>
                <w:color w:val="FF0000"/>
                <w:sz w:val="21"/>
                <w:szCs w:val="21"/>
              </w:rPr>
            </w:pPr>
          </w:p>
        </w:tc>
        <w:tc>
          <w:tcPr>
            <w:tcW w:w="217" w:type="dxa"/>
          </w:tcPr>
          <w:p w14:paraId="0DE271FE" w14:textId="77777777" w:rsidR="002C0FD9" w:rsidRPr="00CA25CF" w:rsidRDefault="002C0FD9" w:rsidP="00CA25CF">
            <w:pPr>
              <w:rPr>
                <w:rFonts w:cs="Arial"/>
                <w:color w:val="FF0000"/>
                <w:sz w:val="21"/>
                <w:szCs w:val="21"/>
              </w:rPr>
            </w:pPr>
          </w:p>
        </w:tc>
        <w:tc>
          <w:tcPr>
            <w:tcW w:w="217" w:type="dxa"/>
          </w:tcPr>
          <w:p w14:paraId="433BCAAE" w14:textId="77777777" w:rsidR="002C0FD9" w:rsidRPr="00CA25CF" w:rsidRDefault="002C0FD9" w:rsidP="00CA25CF">
            <w:pPr>
              <w:rPr>
                <w:rFonts w:cs="Arial"/>
                <w:color w:val="FF0000"/>
                <w:sz w:val="21"/>
                <w:szCs w:val="21"/>
              </w:rPr>
            </w:pPr>
          </w:p>
        </w:tc>
        <w:tc>
          <w:tcPr>
            <w:tcW w:w="217" w:type="dxa"/>
          </w:tcPr>
          <w:p w14:paraId="67DB51E5" w14:textId="77777777" w:rsidR="002C0FD9" w:rsidRPr="00CA25CF" w:rsidRDefault="002C0FD9" w:rsidP="00CA25CF">
            <w:pPr>
              <w:rPr>
                <w:rFonts w:cs="Arial"/>
                <w:color w:val="FF0000"/>
                <w:sz w:val="21"/>
                <w:szCs w:val="21"/>
              </w:rPr>
            </w:pPr>
          </w:p>
        </w:tc>
        <w:tc>
          <w:tcPr>
            <w:tcW w:w="217" w:type="dxa"/>
          </w:tcPr>
          <w:p w14:paraId="63E1B27A" w14:textId="77777777" w:rsidR="002C0FD9" w:rsidRPr="00CA25CF" w:rsidRDefault="002C0FD9" w:rsidP="00CA25CF">
            <w:pPr>
              <w:rPr>
                <w:rFonts w:cs="Arial"/>
                <w:color w:val="FF0000"/>
                <w:sz w:val="21"/>
                <w:szCs w:val="21"/>
              </w:rPr>
            </w:pPr>
          </w:p>
        </w:tc>
        <w:tc>
          <w:tcPr>
            <w:tcW w:w="217" w:type="dxa"/>
          </w:tcPr>
          <w:p w14:paraId="6488EEED" w14:textId="77777777" w:rsidR="002C0FD9" w:rsidRPr="00CA25CF" w:rsidRDefault="002C0FD9" w:rsidP="00CA25CF">
            <w:pPr>
              <w:rPr>
                <w:rFonts w:cs="Arial"/>
                <w:color w:val="FF0000"/>
                <w:sz w:val="21"/>
                <w:szCs w:val="21"/>
              </w:rPr>
            </w:pPr>
          </w:p>
        </w:tc>
        <w:tc>
          <w:tcPr>
            <w:tcW w:w="217" w:type="dxa"/>
          </w:tcPr>
          <w:p w14:paraId="7442D68E" w14:textId="77777777" w:rsidR="002C0FD9" w:rsidRPr="00CA25CF" w:rsidRDefault="002C0FD9" w:rsidP="00CA25CF">
            <w:pPr>
              <w:rPr>
                <w:rFonts w:cs="Arial"/>
                <w:color w:val="FF0000"/>
                <w:sz w:val="21"/>
                <w:szCs w:val="21"/>
              </w:rPr>
            </w:pPr>
          </w:p>
        </w:tc>
        <w:tc>
          <w:tcPr>
            <w:tcW w:w="217" w:type="dxa"/>
          </w:tcPr>
          <w:p w14:paraId="432E0B55" w14:textId="77777777" w:rsidR="002C0FD9" w:rsidRPr="00CA25CF" w:rsidRDefault="002C0FD9" w:rsidP="00CA25CF">
            <w:pPr>
              <w:rPr>
                <w:rFonts w:cs="Arial"/>
                <w:color w:val="FF0000"/>
                <w:sz w:val="21"/>
                <w:szCs w:val="21"/>
              </w:rPr>
            </w:pPr>
          </w:p>
        </w:tc>
        <w:tc>
          <w:tcPr>
            <w:tcW w:w="217" w:type="dxa"/>
          </w:tcPr>
          <w:p w14:paraId="3F593537" w14:textId="2EBFC482" w:rsidR="002C0FD9" w:rsidRPr="00CA25CF" w:rsidRDefault="002C0FD9" w:rsidP="00CA25CF">
            <w:pPr>
              <w:rPr>
                <w:rFonts w:cs="Arial"/>
                <w:color w:val="FF0000"/>
                <w:sz w:val="21"/>
                <w:szCs w:val="21"/>
              </w:rPr>
            </w:pPr>
          </w:p>
        </w:tc>
        <w:tc>
          <w:tcPr>
            <w:tcW w:w="217" w:type="dxa"/>
          </w:tcPr>
          <w:p w14:paraId="5C5B4290" w14:textId="77777777" w:rsidR="002C0FD9" w:rsidRPr="00CA25CF" w:rsidRDefault="002C0FD9" w:rsidP="00CA25CF">
            <w:pPr>
              <w:rPr>
                <w:rFonts w:cs="Arial"/>
                <w:color w:val="FF0000"/>
                <w:sz w:val="21"/>
                <w:szCs w:val="21"/>
              </w:rPr>
            </w:pPr>
          </w:p>
        </w:tc>
        <w:tc>
          <w:tcPr>
            <w:tcW w:w="217" w:type="dxa"/>
          </w:tcPr>
          <w:p w14:paraId="3415885F" w14:textId="77777777" w:rsidR="002C0FD9" w:rsidRPr="00CA25CF" w:rsidRDefault="002C0FD9" w:rsidP="00CA25CF">
            <w:pPr>
              <w:rPr>
                <w:rFonts w:cs="Arial"/>
                <w:color w:val="FF0000"/>
                <w:sz w:val="21"/>
                <w:szCs w:val="21"/>
              </w:rPr>
            </w:pPr>
          </w:p>
        </w:tc>
        <w:tc>
          <w:tcPr>
            <w:tcW w:w="217" w:type="dxa"/>
          </w:tcPr>
          <w:p w14:paraId="391D7A3B" w14:textId="77777777" w:rsidR="002C0FD9" w:rsidRPr="00CA25CF" w:rsidRDefault="002C0FD9" w:rsidP="00CA25CF">
            <w:pPr>
              <w:rPr>
                <w:rFonts w:cs="Arial"/>
                <w:color w:val="FF0000"/>
                <w:sz w:val="21"/>
                <w:szCs w:val="21"/>
              </w:rPr>
            </w:pPr>
          </w:p>
        </w:tc>
        <w:tc>
          <w:tcPr>
            <w:tcW w:w="217" w:type="dxa"/>
          </w:tcPr>
          <w:p w14:paraId="3AE6FB7B" w14:textId="77777777" w:rsidR="002C0FD9" w:rsidRPr="00CA25CF" w:rsidRDefault="002C0FD9" w:rsidP="00CA25CF">
            <w:pPr>
              <w:rPr>
                <w:rFonts w:cs="Arial"/>
                <w:color w:val="FF0000"/>
                <w:sz w:val="21"/>
                <w:szCs w:val="21"/>
              </w:rPr>
            </w:pPr>
          </w:p>
        </w:tc>
        <w:tc>
          <w:tcPr>
            <w:tcW w:w="217" w:type="dxa"/>
          </w:tcPr>
          <w:p w14:paraId="4A4A738D" w14:textId="77777777" w:rsidR="002C0FD9" w:rsidRPr="00CA25CF" w:rsidRDefault="002C0FD9" w:rsidP="00CA25CF">
            <w:pPr>
              <w:rPr>
                <w:rFonts w:cs="Arial"/>
                <w:color w:val="FF0000"/>
                <w:sz w:val="21"/>
                <w:szCs w:val="21"/>
              </w:rPr>
            </w:pPr>
          </w:p>
        </w:tc>
        <w:tc>
          <w:tcPr>
            <w:tcW w:w="217" w:type="dxa"/>
          </w:tcPr>
          <w:p w14:paraId="253FC835" w14:textId="77777777" w:rsidR="002C0FD9" w:rsidRPr="00CA25CF" w:rsidRDefault="002C0FD9" w:rsidP="00CA25CF">
            <w:pPr>
              <w:rPr>
                <w:rFonts w:cs="Arial"/>
                <w:color w:val="FF0000"/>
                <w:sz w:val="21"/>
                <w:szCs w:val="21"/>
              </w:rPr>
            </w:pPr>
          </w:p>
        </w:tc>
        <w:tc>
          <w:tcPr>
            <w:tcW w:w="217" w:type="dxa"/>
          </w:tcPr>
          <w:p w14:paraId="733964AC" w14:textId="77777777" w:rsidR="002C0FD9" w:rsidRPr="00CA25CF" w:rsidRDefault="002C0FD9" w:rsidP="00CA25CF">
            <w:pPr>
              <w:rPr>
                <w:rFonts w:cs="Arial"/>
                <w:color w:val="FF0000"/>
                <w:sz w:val="21"/>
                <w:szCs w:val="21"/>
              </w:rPr>
            </w:pPr>
          </w:p>
        </w:tc>
        <w:tc>
          <w:tcPr>
            <w:tcW w:w="217" w:type="dxa"/>
          </w:tcPr>
          <w:p w14:paraId="7BD81A4F" w14:textId="77777777" w:rsidR="002C0FD9" w:rsidRPr="00CA25CF" w:rsidRDefault="002C0FD9" w:rsidP="00CA25CF">
            <w:pPr>
              <w:rPr>
                <w:rFonts w:cs="Arial"/>
                <w:color w:val="FF0000"/>
                <w:sz w:val="21"/>
                <w:szCs w:val="21"/>
              </w:rPr>
            </w:pPr>
          </w:p>
        </w:tc>
        <w:tc>
          <w:tcPr>
            <w:tcW w:w="217" w:type="dxa"/>
          </w:tcPr>
          <w:p w14:paraId="2C764442" w14:textId="77777777" w:rsidR="002C0FD9" w:rsidRPr="00CA25CF" w:rsidRDefault="002C0FD9" w:rsidP="00CA25CF">
            <w:pPr>
              <w:rPr>
                <w:rFonts w:cs="Arial"/>
                <w:color w:val="FF0000"/>
                <w:sz w:val="21"/>
                <w:szCs w:val="21"/>
              </w:rPr>
            </w:pPr>
          </w:p>
        </w:tc>
        <w:tc>
          <w:tcPr>
            <w:tcW w:w="217" w:type="dxa"/>
          </w:tcPr>
          <w:p w14:paraId="50255FAF" w14:textId="77777777" w:rsidR="002C0FD9" w:rsidRPr="00CA25CF" w:rsidRDefault="002C0FD9" w:rsidP="00CA25CF">
            <w:pPr>
              <w:rPr>
                <w:rFonts w:cs="Arial"/>
                <w:color w:val="FF0000"/>
                <w:sz w:val="21"/>
                <w:szCs w:val="21"/>
              </w:rPr>
            </w:pPr>
          </w:p>
        </w:tc>
        <w:tc>
          <w:tcPr>
            <w:tcW w:w="217" w:type="dxa"/>
          </w:tcPr>
          <w:p w14:paraId="44D48FE5" w14:textId="77777777" w:rsidR="002C0FD9" w:rsidRPr="00CA25CF" w:rsidRDefault="002C0FD9" w:rsidP="00CA25CF">
            <w:pPr>
              <w:rPr>
                <w:rFonts w:cs="Arial"/>
                <w:color w:val="FF0000"/>
                <w:sz w:val="21"/>
                <w:szCs w:val="21"/>
              </w:rPr>
            </w:pPr>
          </w:p>
        </w:tc>
        <w:tc>
          <w:tcPr>
            <w:tcW w:w="217" w:type="dxa"/>
          </w:tcPr>
          <w:p w14:paraId="29A11D6F" w14:textId="77777777" w:rsidR="002C0FD9" w:rsidRPr="00CA25CF" w:rsidRDefault="002C0FD9" w:rsidP="00CA25CF">
            <w:pPr>
              <w:rPr>
                <w:rFonts w:cs="Arial"/>
                <w:color w:val="FF0000"/>
                <w:sz w:val="21"/>
                <w:szCs w:val="21"/>
              </w:rPr>
            </w:pPr>
          </w:p>
        </w:tc>
        <w:tc>
          <w:tcPr>
            <w:tcW w:w="217" w:type="dxa"/>
          </w:tcPr>
          <w:p w14:paraId="24F2EB9D" w14:textId="77777777" w:rsidR="002C0FD9" w:rsidRPr="00CA25CF" w:rsidRDefault="002C0FD9" w:rsidP="00CA25CF">
            <w:pPr>
              <w:rPr>
                <w:rFonts w:cs="Arial"/>
                <w:color w:val="FF0000"/>
                <w:sz w:val="21"/>
                <w:szCs w:val="21"/>
              </w:rPr>
            </w:pPr>
          </w:p>
        </w:tc>
        <w:tc>
          <w:tcPr>
            <w:tcW w:w="217" w:type="dxa"/>
          </w:tcPr>
          <w:p w14:paraId="1645BA08" w14:textId="77777777" w:rsidR="002C0FD9" w:rsidRPr="00CA25CF" w:rsidRDefault="002C0FD9" w:rsidP="00CA25CF">
            <w:pPr>
              <w:rPr>
                <w:rFonts w:cs="Arial"/>
                <w:color w:val="FF0000"/>
                <w:sz w:val="21"/>
                <w:szCs w:val="21"/>
              </w:rPr>
            </w:pPr>
          </w:p>
        </w:tc>
        <w:tc>
          <w:tcPr>
            <w:tcW w:w="217" w:type="dxa"/>
          </w:tcPr>
          <w:p w14:paraId="0BFE9023" w14:textId="77777777" w:rsidR="002C0FD9" w:rsidRPr="00CA25CF" w:rsidRDefault="002C0FD9" w:rsidP="00CA25CF">
            <w:pPr>
              <w:rPr>
                <w:rFonts w:cs="Arial"/>
                <w:color w:val="FF0000"/>
                <w:sz w:val="21"/>
                <w:szCs w:val="21"/>
              </w:rPr>
            </w:pPr>
          </w:p>
        </w:tc>
        <w:tc>
          <w:tcPr>
            <w:tcW w:w="217" w:type="dxa"/>
          </w:tcPr>
          <w:p w14:paraId="3FEC5047" w14:textId="77777777" w:rsidR="002C0FD9" w:rsidRPr="00CA25CF" w:rsidRDefault="002C0FD9" w:rsidP="00CA25CF">
            <w:pPr>
              <w:rPr>
                <w:rFonts w:cs="Arial"/>
                <w:color w:val="FF0000"/>
                <w:sz w:val="21"/>
                <w:szCs w:val="21"/>
              </w:rPr>
            </w:pPr>
          </w:p>
        </w:tc>
        <w:tc>
          <w:tcPr>
            <w:tcW w:w="217" w:type="dxa"/>
          </w:tcPr>
          <w:p w14:paraId="67D08B28" w14:textId="77777777" w:rsidR="002C0FD9" w:rsidRPr="00CA25CF" w:rsidRDefault="002C0FD9" w:rsidP="00CA25CF">
            <w:pPr>
              <w:rPr>
                <w:rFonts w:cs="Arial"/>
                <w:color w:val="FF0000"/>
                <w:sz w:val="21"/>
                <w:szCs w:val="21"/>
              </w:rPr>
            </w:pPr>
          </w:p>
        </w:tc>
        <w:tc>
          <w:tcPr>
            <w:tcW w:w="217" w:type="dxa"/>
          </w:tcPr>
          <w:p w14:paraId="467775CB" w14:textId="77777777" w:rsidR="002C0FD9" w:rsidRPr="00CA25CF" w:rsidRDefault="002C0FD9" w:rsidP="00CA25CF">
            <w:pPr>
              <w:rPr>
                <w:rFonts w:cs="Arial"/>
                <w:color w:val="FF0000"/>
                <w:sz w:val="21"/>
                <w:szCs w:val="21"/>
              </w:rPr>
            </w:pPr>
          </w:p>
        </w:tc>
        <w:tc>
          <w:tcPr>
            <w:tcW w:w="217" w:type="dxa"/>
          </w:tcPr>
          <w:p w14:paraId="6FEEB4AD" w14:textId="77777777" w:rsidR="002C0FD9" w:rsidRPr="00CA25CF" w:rsidRDefault="002C0FD9" w:rsidP="00CA25CF">
            <w:pPr>
              <w:rPr>
                <w:rFonts w:cs="Arial"/>
                <w:color w:val="FF0000"/>
                <w:sz w:val="21"/>
                <w:szCs w:val="21"/>
              </w:rPr>
            </w:pPr>
          </w:p>
        </w:tc>
        <w:tc>
          <w:tcPr>
            <w:tcW w:w="217" w:type="dxa"/>
          </w:tcPr>
          <w:p w14:paraId="33963913" w14:textId="77777777" w:rsidR="002C0FD9" w:rsidRPr="00CA25CF" w:rsidRDefault="002C0FD9" w:rsidP="00CA25CF">
            <w:pPr>
              <w:rPr>
                <w:rFonts w:cs="Arial"/>
                <w:color w:val="FF0000"/>
                <w:sz w:val="21"/>
                <w:szCs w:val="21"/>
              </w:rPr>
            </w:pPr>
          </w:p>
        </w:tc>
        <w:tc>
          <w:tcPr>
            <w:tcW w:w="217" w:type="dxa"/>
          </w:tcPr>
          <w:p w14:paraId="25185ADB" w14:textId="77777777" w:rsidR="002C0FD9" w:rsidRPr="00CA25CF" w:rsidRDefault="002C0FD9" w:rsidP="00CA25CF">
            <w:pPr>
              <w:rPr>
                <w:rFonts w:cs="Arial"/>
                <w:color w:val="FF0000"/>
                <w:sz w:val="21"/>
                <w:szCs w:val="21"/>
              </w:rPr>
            </w:pPr>
          </w:p>
        </w:tc>
        <w:tc>
          <w:tcPr>
            <w:tcW w:w="217" w:type="dxa"/>
          </w:tcPr>
          <w:p w14:paraId="32624BF1" w14:textId="77777777" w:rsidR="002C0FD9" w:rsidRPr="00CA25CF" w:rsidRDefault="002C0FD9" w:rsidP="00CA25CF">
            <w:pPr>
              <w:rPr>
                <w:rFonts w:cs="Arial"/>
                <w:color w:val="FF0000"/>
                <w:sz w:val="21"/>
                <w:szCs w:val="21"/>
              </w:rPr>
            </w:pPr>
          </w:p>
        </w:tc>
        <w:tc>
          <w:tcPr>
            <w:tcW w:w="217" w:type="dxa"/>
          </w:tcPr>
          <w:p w14:paraId="000821DD" w14:textId="77777777" w:rsidR="002C0FD9" w:rsidRPr="00CA25CF" w:rsidRDefault="002C0FD9" w:rsidP="00CA25CF">
            <w:pPr>
              <w:rPr>
                <w:rFonts w:cs="Arial"/>
                <w:color w:val="FF0000"/>
                <w:sz w:val="21"/>
                <w:szCs w:val="21"/>
              </w:rPr>
            </w:pPr>
          </w:p>
        </w:tc>
        <w:tc>
          <w:tcPr>
            <w:tcW w:w="217" w:type="dxa"/>
          </w:tcPr>
          <w:p w14:paraId="5307CF6F" w14:textId="77777777" w:rsidR="002C0FD9" w:rsidRPr="00CA25CF" w:rsidRDefault="002C0FD9" w:rsidP="00CA25CF">
            <w:pPr>
              <w:rPr>
                <w:rFonts w:cs="Arial"/>
                <w:color w:val="FF0000"/>
                <w:sz w:val="21"/>
                <w:szCs w:val="21"/>
              </w:rPr>
            </w:pPr>
          </w:p>
        </w:tc>
        <w:tc>
          <w:tcPr>
            <w:tcW w:w="217" w:type="dxa"/>
          </w:tcPr>
          <w:p w14:paraId="6DADBF59" w14:textId="77777777" w:rsidR="002C0FD9" w:rsidRPr="00CA25CF" w:rsidRDefault="002C0FD9" w:rsidP="00CA25CF">
            <w:pPr>
              <w:rPr>
                <w:rFonts w:cs="Arial"/>
                <w:color w:val="FF0000"/>
                <w:sz w:val="21"/>
                <w:szCs w:val="21"/>
              </w:rPr>
            </w:pPr>
          </w:p>
        </w:tc>
        <w:tc>
          <w:tcPr>
            <w:tcW w:w="217" w:type="dxa"/>
          </w:tcPr>
          <w:p w14:paraId="3D92A1A2" w14:textId="77777777" w:rsidR="002C0FD9" w:rsidRPr="00CA25CF" w:rsidRDefault="002C0FD9" w:rsidP="00CA25CF">
            <w:pPr>
              <w:rPr>
                <w:rFonts w:cs="Arial"/>
                <w:color w:val="FF0000"/>
                <w:sz w:val="21"/>
                <w:szCs w:val="21"/>
              </w:rPr>
            </w:pPr>
          </w:p>
        </w:tc>
        <w:tc>
          <w:tcPr>
            <w:tcW w:w="217" w:type="dxa"/>
          </w:tcPr>
          <w:p w14:paraId="3D4F97B2" w14:textId="77777777" w:rsidR="002C0FD9" w:rsidRPr="00CA25CF" w:rsidRDefault="002C0FD9" w:rsidP="00CA25CF">
            <w:pPr>
              <w:rPr>
                <w:rFonts w:cs="Arial"/>
                <w:color w:val="FF0000"/>
                <w:sz w:val="21"/>
                <w:szCs w:val="21"/>
              </w:rPr>
            </w:pPr>
          </w:p>
        </w:tc>
      </w:tr>
      <w:tr w:rsidR="002C0FD9" w:rsidRPr="00A16219" w14:paraId="165374DC" w14:textId="78F787D5" w:rsidTr="002C0FD9">
        <w:trPr>
          <w:trHeight w:val="635"/>
        </w:trPr>
        <w:tc>
          <w:tcPr>
            <w:tcW w:w="515" w:type="dxa"/>
          </w:tcPr>
          <w:p w14:paraId="4D7DE7DE" w14:textId="77777777" w:rsidR="002C0FD9" w:rsidRPr="00CA25CF" w:rsidRDefault="002C0FD9" w:rsidP="00CA25CF">
            <w:pPr>
              <w:rPr>
                <w:rFonts w:cs="Arial"/>
                <w:color w:val="FF0000"/>
                <w:sz w:val="21"/>
                <w:szCs w:val="21"/>
              </w:rPr>
            </w:pPr>
          </w:p>
        </w:tc>
        <w:tc>
          <w:tcPr>
            <w:tcW w:w="217" w:type="dxa"/>
          </w:tcPr>
          <w:p w14:paraId="4A01AF8F" w14:textId="77777777" w:rsidR="002C0FD9" w:rsidRPr="00CA25CF" w:rsidRDefault="002C0FD9" w:rsidP="00CA25CF">
            <w:pPr>
              <w:rPr>
                <w:rFonts w:cs="Arial"/>
                <w:color w:val="FF0000"/>
                <w:sz w:val="21"/>
                <w:szCs w:val="21"/>
              </w:rPr>
            </w:pPr>
          </w:p>
        </w:tc>
        <w:tc>
          <w:tcPr>
            <w:tcW w:w="217" w:type="dxa"/>
          </w:tcPr>
          <w:p w14:paraId="7235189F" w14:textId="16049CD7" w:rsidR="002C0FD9" w:rsidRPr="00CA25CF" w:rsidRDefault="002C0FD9" w:rsidP="00CA25CF">
            <w:pPr>
              <w:rPr>
                <w:rFonts w:cs="Arial"/>
                <w:color w:val="FF0000"/>
                <w:sz w:val="21"/>
                <w:szCs w:val="21"/>
              </w:rPr>
            </w:pPr>
          </w:p>
        </w:tc>
        <w:tc>
          <w:tcPr>
            <w:tcW w:w="217" w:type="dxa"/>
          </w:tcPr>
          <w:p w14:paraId="79FE77F4" w14:textId="77777777" w:rsidR="002C0FD9" w:rsidRPr="00CA25CF" w:rsidRDefault="002C0FD9" w:rsidP="00CA25CF">
            <w:pPr>
              <w:rPr>
                <w:rFonts w:cs="Arial"/>
                <w:color w:val="FF0000"/>
                <w:sz w:val="21"/>
                <w:szCs w:val="21"/>
              </w:rPr>
            </w:pPr>
          </w:p>
        </w:tc>
        <w:tc>
          <w:tcPr>
            <w:tcW w:w="217" w:type="dxa"/>
          </w:tcPr>
          <w:p w14:paraId="324CD6EF" w14:textId="77777777" w:rsidR="002C0FD9" w:rsidRPr="00CA25CF" w:rsidRDefault="002C0FD9" w:rsidP="00CA25CF">
            <w:pPr>
              <w:rPr>
                <w:rFonts w:cs="Arial"/>
                <w:color w:val="FF0000"/>
                <w:sz w:val="21"/>
                <w:szCs w:val="21"/>
              </w:rPr>
            </w:pPr>
          </w:p>
        </w:tc>
        <w:tc>
          <w:tcPr>
            <w:tcW w:w="217" w:type="dxa"/>
          </w:tcPr>
          <w:p w14:paraId="48DE5C13" w14:textId="77777777" w:rsidR="002C0FD9" w:rsidRPr="00CA25CF" w:rsidRDefault="002C0FD9" w:rsidP="00CA25CF">
            <w:pPr>
              <w:rPr>
                <w:rFonts w:cs="Arial"/>
                <w:color w:val="FF0000"/>
                <w:sz w:val="21"/>
                <w:szCs w:val="21"/>
              </w:rPr>
            </w:pPr>
          </w:p>
        </w:tc>
        <w:tc>
          <w:tcPr>
            <w:tcW w:w="217" w:type="dxa"/>
          </w:tcPr>
          <w:p w14:paraId="157F2929" w14:textId="77777777" w:rsidR="002C0FD9" w:rsidRPr="00CA25CF" w:rsidRDefault="002C0FD9" w:rsidP="00CA25CF">
            <w:pPr>
              <w:rPr>
                <w:rFonts w:cs="Arial"/>
                <w:color w:val="FF0000"/>
                <w:sz w:val="21"/>
                <w:szCs w:val="21"/>
              </w:rPr>
            </w:pPr>
          </w:p>
        </w:tc>
        <w:tc>
          <w:tcPr>
            <w:tcW w:w="217" w:type="dxa"/>
          </w:tcPr>
          <w:p w14:paraId="4A5ABEB8" w14:textId="77777777" w:rsidR="002C0FD9" w:rsidRPr="00CA25CF" w:rsidRDefault="002C0FD9" w:rsidP="00CA25CF">
            <w:pPr>
              <w:rPr>
                <w:rFonts w:cs="Arial"/>
                <w:color w:val="FF0000"/>
                <w:sz w:val="21"/>
                <w:szCs w:val="21"/>
              </w:rPr>
            </w:pPr>
          </w:p>
        </w:tc>
        <w:tc>
          <w:tcPr>
            <w:tcW w:w="217" w:type="dxa"/>
          </w:tcPr>
          <w:p w14:paraId="7945E01E" w14:textId="77777777" w:rsidR="002C0FD9" w:rsidRPr="00CA25CF" w:rsidRDefault="002C0FD9" w:rsidP="00CA25CF">
            <w:pPr>
              <w:rPr>
                <w:rFonts w:cs="Arial"/>
                <w:color w:val="FF0000"/>
                <w:sz w:val="21"/>
                <w:szCs w:val="21"/>
              </w:rPr>
            </w:pPr>
          </w:p>
        </w:tc>
        <w:tc>
          <w:tcPr>
            <w:tcW w:w="217" w:type="dxa"/>
          </w:tcPr>
          <w:p w14:paraId="08B3D776" w14:textId="77777777" w:rsidR="002C0FD9" w:rsidRPr="00CA25CF" w:rsidRDefault="002C0FD9" w:rsidP="00CA25CF">
            <w:pPr>
              <w:rPr>
                <w:rFonts w:cs="Arial"/>
                <w:color w:val="FF0000"/>
                <w:sz w:val="21"/>
                <w:szCs w:val="21"/>
              </w:rPr>
            </w:pPr>
          </w:p>
        </w:tc>
        <w:tc>
          <w:tcPr>
            <w:tcW w:w="217" w:type="dxa"/>
          </w:tcPr>
          <w:p w14:paraId="765D8761" w14:textId="77777777" w:rsidR="002C0FD9" w:rsidRPr="00CA25CF" w:rsidRDefault="002C0FD9" w:rsidP="00CA25CF">
            <w:pPr>
              <w:rPr>
                <w:rFonts w:cs="Arial"/>
                <w:color w:val="FF0000"/>
                <w:sz w:val="21"/>
                <w:szCs w:val="21"/>
              </w:rPr>
            </w:pPr>
          </w:p>
        </w:tc>
        <w:tc>
          <w:tcPr>
            <w:tcW w:w="217" w:type="dxa"/>
          </w:tcPr>
          <w:p w14:paraId="7D1F994F" w14:textId="77777777" w:rsidR="002C0FD9" w:rsidRPr="00CA25CF" w:rsidRDefault="002C0FD9" w:rsidP="00CA25CF">
            <w:pPr>
              <w:rPr>
                <w:rFonts w:cs="Arial"/>
                <w:color w:val="FF0000"/>
                <w:sz w:val="21"/>
                <w:szCs w:val="21"/>
              </w:rPr>
            </w:pPr>
          </w:p>
        </w:tc>
        <w:tc>
          <w:tcPr>
            <w:tcW w:w="217" w:type="dxa"/>
          </w:tcPr>
          <w:p w14:paraId="40495C51" w14:textId="77777777" w:rsidR="002C0FD9" w:rsidRPr="00CA25CF" w:rsidRDefault="002C0FD9" w:rsidP="00CA25CF">
            <w:pPr>
              <w:rPr>
                <w:rFonts w:cs="Arial"/>
                <w:color w:val="FF0000"/>
                <w:sz w:val="21"/>
                <w:szCs w:val="21"/>
              </w:rPr>
            </w:pPr>
          </w:p>
        </w:tc>
        <w:tc>
          <w:tcPr>
            <w:tcW w:w="217" w:type="dxa"/>
          </w:tcPr>
          <w:p w14:paraId="59676990" w14:textId="77777777" w:rsidR="002C0FD9" w:rsidRPr="00CA25CF" w:rsidRDefault="002C0FD9" w:rsidP="00CA25CF">
            <w:pPr>
              <w:rPr>
                <w:rFonts w:cs="Arial"/>
                <w:color w:val="FF0000"/>
                <w:sz w:val="21"/>
                <w:szCs w:val="21"/>
              </w:rPr>
            </w:pPr>
          </w:p>
        </w:tc>
        <w:tc>
          <w:tcPr>
            <w:tcW w:w="217" w:type="dxa"/>
          </w:tcPr>
          <w:p w14:paraId="6F49A6DB" w14:textId="77777777" w:rsidR="002C0FD9" w:rsidRPr="00CA25CF" w:rsidRDefault="002C0FD9" w:rsidP="00CA25CF">
            <w:pPr>
              <w:rPr>
                <w:rFonts w:cs="Arial"/>
                <w:color w:val="FF0000"/>
                <w:sz w:val="21"/>
                <w:szCs w:val="21"/>
              </w:rPr>
            </w:pPr>
          </w:p>
        </w:tc>
        <w:tc>
          <w:tcPr>
            <w:tcW w:w="217" w:type="dxa"/>
          </w:tcPr>
          <w:p w14:paraId="19FB2A05" w14:textId="3A6CC171" w:rsidR="002C0FD9" w:rsidRPr="00CA25CF" w:rsidRDefault="002C0FD9" w:rsidP="00CA25CF">
            <w:pPr>
              <w:rPr>
                <w:rFonts w:cs="Arial"/>
                <w:color w:val="FF0000"/>
                <w:sz w:val="21"/>
                <w:szCs w:val="21"/>
              </w:rPr>
            </w:pPr>
          </w:p>
        </w:tc>
        <w:tc>
          <w:tcPr>
            <w:tcW w:w="217" w:type="dxa"/>
          </w:tcPr>
          <w:p w14:paraId="5387CC25" w14:textId="77777777" w:rsidR="002C0FD9" w:rsidRPr="00CA25CF" w:rsidRDefault="002C0FD9" w:rsidP="00CA25CF">
            <w:pPr>
              <w:rPr>
                <w:rFonts w:cs="Arial"/>
                <w:color w:val="FF0000"/>
                <w:sz w:val="21"/>
                <w:szCs w:val="21"/>
              </w:rPr>
            </w:pPr>
          </w:p>
        </w:tc>
        <w:tc>
          <w:tcPr>
            <w:tcW w:w="217" w:type="dxa"/>
          </w:tcPr>
          <w:p w14:paraId="1BAF887A" w14:textId="77777777" w:rsidR="002C0FD9" w:rsidRPr="00CA25CF" w:rsidRDefault="002C0FD9" w:rsidP="00CA25CF">
            <w:pPr>
              <w:rPr>
                <w:rFonts w:cs="Arial"/>
                <w:color w:val="FF0000"/>
                <w:sz w:val="21"/>
                <w:szCs w:val="21"/>
              </w:rPr>
            </w:pPr>
          </w:p>
        </w:tc>
        <w:tc>
          <w:tcPr>
            <w:tcW w:w="217" w:type="dxa"/>
          </w:tcPr>
          <w:p w14:paraId="38136C6A" w14:textId="77777777" w:rsidR="002C0FD9" w:rsidRPr="00CA25CF" w:rsidRDefault="002C0FD9" w:rsidP="00CA25CF">
            <w:pPr>
              <w:rPr>
                <w:rFonts w:cs="Arial"/>
                <w:color w:val="FF0000"/>
                <w:sz w:val="21"/>
                <w:szCs w:val="21"/>
              </w:rPr>
            </w:pPr>
          </w:p>
        </w:tc>
        <w:tc>
          <w:tcPr>
            <w:tcW w:w="217" w:type="dxa"/>
          </w:tcPr>
          <w:p w14:paraId="5C32EBE8" w14:textId="77777777" w:rsidR="002C0FD9" w:rsidRPr="00CA25CF" w:rsidRDefault="002C0FD9" w:rsidP="00CA25CF">
            <w:pPr>
              <w:rPr>
                <w:rFonts w:cs="Arial"/>
                <w:color w:val="FF0000"/>
                <w:sz w:val="21"/>
                <w:szCs w:val="21"/>
              </w:rPr>
            </w:pPr>
          </w:p>
        </w:tc>
        <w:tc>
          <w:tcPr>
            <w:tcW w:w="217" w:type="dxa"/>
          </w:tcPr>
          <w:p w14:paraId="28911579" w14:textId="77777777" w:rsidR="002C0FD9" w:rsidRPr="00CA25CF" w:rsidRDefault="002C0FD9" w:rsidP="00CA25CF">
            <w:pPr>
              <w:rPr>
                <w:rFonts w:cs="Arial"/>
                <w:color w:val="FF0000"/>
                <w:sz w:val="21"/>
                <w:szCs w:val="21"/>
              </w:rPr>
            </w:pPr>
          </w:p>
        </w:tc>
        <w:tc>
          <w:tcPr>
            <w:tcW w:w="217" w:type="dxa"/>
          </w:tcPr>
          <w:p w14:paraId="60F195E7" w14:textId="77777777" w:rsidR="002C0FD9" w:rsidRPr="00CA25CF" w:rsidRDefault="002C0FD9" w:rsidP="00CA25CF">
            <w:pPr>
              <w:rPr>
                <w:rFonts w:cs="Arial"/>
                <w:color w:val="FF0000"/>
                <w:sz w:val="21"/>
                <w:szCs w:val="21"/>
              </w:rPr>
            </w:pPr>
          </w:p>
        </w:tc>
        <w:tc>
          <w:tcPr>
            <w:tcW w:w="217" w:type="dxa"/>
          </w:tcPr>
          <w:p w14:paraId="4B22F5AF" w14:textId="77777777" w:rsidR="002C0FD9" w:rsidRPr="00CA25CF" w:rsidRDefault="002C0FD9" w:rsidP="00CA25CF">
            <w:pPr>
              <w:rPr>
                <w:rFonts w:cs="Arial"/>
                <w:color w:val="FF0000"/>
                <w:sz w:val="21"/>
                <w:szCs w:val="21"/>
              </w:rPr>
            </w:pPr>
          </w:p>
        </w:tc>
        <w:tc>
          <w:tcPr>
            <w:tcW w:w="217" w:type="dxa"/>
          </w:tcPr>
          <w:p w14:paraId="1738056E" w14:textId="77777777" w:rsidR="002C0FD9" w:rsidRPr="00CA25CF" w:rsidRDefault="002C0FD9" w:rsidP="00CA25CF">
            <w:pPr>
              <w:rPr>
                <w:rFonts w:cs="Arial"/>
                <w:color w:val="FF0000"/>
                <w:sz w:val="21"/>
                <w:szCs w:val="21"/>
              </w:rPr>
            </w:pPr>
          </w:p>
        </w:tc>
        <w:tc>
          <w:tcPr>
            <w:tcW w:w="217" w:type="dxa"/>
          </w:tcPr>
          <w:p w14:paraId="5B35120B" w14:textId="77777777" w:rsidR="002C0FD9" w:rsidRPr="00CA25CF" w:rsidRDefault="002C0FD9" w:rsidP="00CA25CF">
            <w:pPr>
              <w:rPr>
                <w:rFonts w:cs="Arial"/>
                <w:color w:val="FF0000"/>
                <w:sz w:val="21"/>
                <w:szCs w:val="21"/>
              </w:rPr>
            </w:pPr>
          </w:p>
        </w:tc>
        <w:tc>
          <w:tcPr>
            <w:tcW w:w="217" w:type="dxa"/>
          </w:tcPr>
          <w:p w14:paraId="1E021BF8" w14:textId="77777777" w:rsidR="002C0FD9" w:rsidRPr="00CA25CF" w:rsidRDefault="002C0FD9" w:rsidP="00CA25CF">
            <w:pPr>
              <w:rPr>
                <w:rFonts w:cs="Arial"/>
                <w:color w:val="FF0000"/>
                <w:sz w:val="21"/>
                <w:szCs w:val="21"/>
              </w:rPr>
            </w:pPr>
          </w:p>
        </w:tc>
        <w:tc>
          <w:tcPr>
            <w:tcW w:w="217" w:type="dxa"/>
          </w:tcPr>
          <w:p w14:paraId="51F7C91E" w14:textId="77777777" w:rsidR="002C0FD9" w:rsidRPr="00CA25CF" w:rsidRDefault="002C0FD9" w:rsidP="00CA25CF">
            <w:pPr>
              <w:rPr>
                <w:rFonts w:cs="Arial"/>
                <w:color w:val="FF0000"/>
                <w:sz w:val="21"/>
                <w:szCs w:val="21"/>
              </w:rPr>
            </w:pPr>
          </w:p>
        </w:tc>
        <w:tc>
          <w:tcPr>
            <w:tcW w:w="217" w:type="dxa"/>
          </w:tcPr>
          <w:p w14:paraId="29EB5D70" w14:textId="77777777" w:rsidR="002C0FD9" w:rsidRPr="00CA25CF" w:rsidRDefault="002C0FD9" w:rsidP="00CA25CF">
            <w:pPr>
              <w:rPr>
                <w:rFonts w:cs="Arial"/>
                <w:color w:val="FF0000"/>
                <w:sz w:val="21"/>
                <w:szCs w:val="21"/>
              </w:rPr>
            </w:pPr>
          </w:p>
        </w:tc>
        <w:tc>
          <w:tcPr>
            <w:tcW w:w="217" w:type="dxa"/>
          </w:tcPr>
          <w:p w14:paraId="456C6DD9" w14:textId="77777777" w:rsidR="002C0FD9" w:rsidRPr="00CA25CF" w:rsidRDefault="002C0FD9" w:rsidP="00CA25CF">
            <w:pPr>
              <w:rPr>
                <w:rFonts w:cs="Arial"/>
                <w:color w:val="FF0000"/>
                <w:sz w:val="21"/>
                <w:szCs w:val="21"/>
              </w:rPr>
            </w:pPr>
          </w:p>
        </w:tc>
        <w:tc>
          <w:tcPr>
            <w:tcW w:w="217" w:type="dxa"/>
          </w:tcPr>
          <w:p w14:paraId="6BBF07B4" w14:textId="77777777" w:rsidR="002C0FD9" w:rsidRPr="00CA25CF" w:rsidRDefault="002C0FD9" w:rsidP="00CA25CF">
            <w:pPr>
              <w:rPr>
                <w:rFonts w:cs="Arial"/>
                <w:color w:val="FF0000"/>
                <w:sz w:val="21"/>
                <w:szCs w:val="21"/>
              </w:rPr>
            </w:pPr>
          </w:p>
        </w:tc>
        <w:tc>
          <w:tcPr>
            <w:tcW w:w="217" w:type="dxa"/>
          </w:tcPr>
          <w:p w14:paraId="1A97777C" w14:textId="77777777" w:rsidR="002C0FD9" w:rsidRPr="00CA25CF" w:rsidRDefault="002C0FD9" w:rsidP="00CA25CF">
            <w:pPr>
              <w:rPr>
                <w:rFonts w:cs="Arial"/>
                <w:color w:val="FF0000"/>
                <w:sz w:val="21"/>
                <w:szCs w:val="21"/>
              </w:rPr>
            </w:pPr>
          </w:p>
        </w:tc>
        <w:tc>
          <w:tcPr>
            <w:tcW w:w="217" w:type="dxa"/>
          </w:tcPr>
          <w:p w14:paraId="3FCF8386" w14:textId="77777777" w:rsidR="002C0FD9" w:rsidRPr="00CA25CF" w:rsidRDefault="002C0FD9" w:rsidP="00CA25CF">
            <w:pPr>
              <w:rPr>
                <w:rFonts w:cs="Arial"/>
                <w:color w:val="FF0000"/>
                <w:sz w:val="21"/>
                <w:szCs w:val="21"/>
              </w:rPr>
            </w:pPr>
          </w:p>
        </w:tc>
        <w:tc>
          <w:tcPr>
            <w:tcW w:w="217" w:type="dxa"/>
          </w:tcPr>
          <w:p w14:paraId="16F57D5B" w14:textId="77777777" w:rsidR="002C0FD9" w:rsidRPr="00CA25CF" w:rsidRDefault="002C0FD9" w:rsidP="00CA25CF">
            <w:pPr>
              <w:rPr>
                <w:rFonts w:cs="Arial"/>
                <w:color w:val="FF0000"/>
                <w:sz w:val="21"/>
                <w:szCs w:val="21"/>
              </w:rPr>
            </w:pPr>
          </w:p>
        </w:tc>
        <w:tc>
          <w:tcPr>
            <w:tcW w:w="217" w:type="dxa"/>
          </w:tcPr>
          <w:p w14:paraId="62D6BF15" w14:textId="77777777" w:rsidR="002C0FD9" w:rsidRPr="00CA25CF" w:rsidRDefault="002C0FD9" w:rsidP="00CA25CF">
            <w:pPr>
              <w:rPr>
                <w:rFonts w:cs="Arial"/>
                <w:color w:val="FF0000"/>
                <w:sz w:val="21"/>
                <w:szCs w:val="21"/>
              </w:rPr>
            </w:pPr>
          </w:p>
        </w:tc>
        <w:tc>
          <w:tcPr>
            <w:tcW w:w="217" w:type="dxa"/>
          </w:tcPr>
          <w:p w14:paraId="636D7D37" w14:textId="77777777" w:rsidR="002C0FD9" w:rsidRPr="00CA25CF" w:rsidRDefault="002C0FD9" w:rsidP="00CA25CF">
            <w:pPr>
              <w:rPr>
                <w:rFonts w:cs="Arial"/>
                <w:color w:val="FF0000"/>
                <w:sz w:val="21"/>
                <w:szCs w:val="21"/>
              </w:rPr>
            </w:pPr>
          </w:p>
        </w:tc>
        <w:tc>
          <w:tcPr>
            <w:tcW w:w="217" w:type="dxa"/>
          </w:tcPr>
          <w:p w14:paraId="7A699918" w14:textId="77777777" w:rsidR="002C0FD9" w:rsidRPr="00CA25CF" w:rsidRDefault="002C0FD9" w:rsidP="00CA25CF">
            <w:pPr>
              <w:rPr>
                <w:rFonts w:cs="Arial"/>
                <w:color w:val="FF0000"/>
                <w:sz w:val="21"/>
                <w:szCs w:val="21"/>
              </w:rPr>
            </w:pPr>
          </w:p>
        </w:tc>
        <w:tc>
          <w:tcPr>
            <w:tcW w:w="217" w:type="dxa"/>
          </w:tcPr>
          <w:p w14:paraId="4023200F" w14:textId="77777777" w:rsidR="002C0FD9" w:rsidRPr="00CA25CF" w:rsidRDefault="002C0FD9" w:rsidP="00CA25CF">
            <w:pPr>
              <w:rPr>
                <w:rFonts w:cs="Arial"/>
                <w:color w:val="FF0000"/>
                <w:sz w:val="21"/>
                <w:szCs w:val="21"/>
              </w:rPr>
            </w:pPr>
          </w:p>
        </w:tc>
        <w:tc>
          <w:tcPr>
            <w:tcW w:w="217" w:type="dxa"/>
          </w:tcPr>
          <w:p w14:paraId="1E91C055" w14:textId="77777777" w:rsidR="002C0FD9" w:rsidRPr="00CA25CF" w:rsidRDefault="002C0FD9" w:rsidP="00CA25CF">
            <w:pPr>
              <w:rPr>
                <w:rFonts w:cs="Arial"/>
                <w:color w:val="FF0000"/>
                <w:sz w:val="21"/>
                <w:szCs w:val="21"/>
              </w:rPr>
            </w:pPr>
          </w:p>
        </w:tc>
        <w:tc>
          <w:tcPr>
            <w:tcW w:w="217" w:type="dxa"/>
          </w:tcPr>
          <w:p w14:paraId="588C5166" w14:textId="77777777" w:rsidR="002C0FD9" w:rsidRPr="00CA25CF" w:rsidRDefault="002C0FD9" w:rsidP="00CA25CF">
            <w:pPr>
              <w:rPr>
                <w:rFonts w:cs="Arial"/>
                <w:color w:val="FF0000"/>
                <w:sz w:val="21"/>
                <w:szCs w:val="21"/>
              </w:rPr>
            </w:pPr>
          </w:p>
        </w:tc>
        <w:tc>
          <w:tcPr>
            <w:tcW w:w="217" w:type="dxa"/>
          </w:tcPr>
          <w:p w14:paraId="1A1B8BB3" w14:textId="77777777" w:rsidR="002C0FD9" w:rsidRPr="00CA25CF" w:rsidRDefault="002C0FD9" w:rsidP="00CA25CF">
            <w:pPr>
              <w:rPr>
                <w:rFonts w:cs="Arial"/>
                <w:color w:val="FF0000"/>
                <w:sz w:val="21"/>
                <w:szCs w:val="21"/>
              </w:rPr>
            </w:pPr>
          </w:p>
        </w:tc>
        <w:tc>
          <w:tcPr>
            <w:tcW w:w="217" w:type="dxa"/>
          </w:tcPr>
          <w:p w14:paraId="2DCB1D1B" w14:textId="77777777" w:rsidR="002C0FD9" w:rsidRPr="00CA25CF" w:rsidRDefault="002C0FD9" w:rsidP="00CA25CF">
            <w:pPr>
              <w:rPr>
                <w:rFonts w:cs="Arial"/>
                <w:color w:val="FF0000"/>
                <w:sz w:val="21"/>
                <w:szCs w:val="21"/>
              </w:rPr>
            </w:pPr>
          </w:p>
        </w:tc>
        <w:tc>
          <w:tcPr>
            <w:tcW w:w="217" w:type="dxa"/>
          </w:tcPr>
          <w:p w14:paraId="64286ECC" w14:textId="77777777" w:rsidR="002C0FD9" w:rsidRPr="00CA25CF" w:rsidRDefault="002C0FD9" w:rsidP="00CA25CF">
            <w:pPr>
              <w:rPr>
                <w:rFonts w:cs="Arial"/>
                <w:color w:val="FF0000"/>
                <w:sz w:val="21"/>
                <w:szCs w:val="21"/>
              </w:rPr>
            </w:pPr>
          </w:p>
        </w:tc>
        <w:tc>
          <w:tcPr>
            <w:tcW w:w="217" w:type="dxa"/>
          </w:tcPr>
          <w:p w14:paraId="7E2F67B7" w14:textId="77777777" w:rsidR="002C0FD9" w:rsidRPr="00CA25CF" w:rsidRDefault="002C0FD9" w:rsidP="00CA25CF">
            <w:pPr>
              <w:rPr>
                <w:rFonts w:cs="Arial"/>
                <w:color w:val="FF0000"/>
                <w:sz w:val="21"/>
                <w:szCs w:val="21"/>
              </w:rPr>
            </w:pPr>
          </w:p>
        </w:tc>
      </w:tr>
      <w:tr w:rsidR="002C0FD9" w:rsidRPr="00A16219" w14:paraId="3A476BFD" w14:textId="6EDFFCE7" w:rsidTr="002C0FD9">
        <w:trPr>
          <w:trHeight w:val="635"/>
        </w:trPr>
        <w:tc>
          <w:tcPr>
            <w:tcW w:w="515" w:type="dxa"/>
          </w:tcPr>
          <w:p w14:paraId="1AB6D180" w14:textId="77777777" w:rsidR="002C0FD9" w:rsidRPr="00CA25CF" w:rsidRDefault="002C0FD9" w:rsidP="00CA25CF">
            <w:pPr>
              <w:rPr>
                <w:rFonts w:cs="Arial"/>
                <w:color w:val="FF0000"/>
                <w:sz w:val="21"/>
                <w:szCs w:val="21"/>
              </w:rPr>
            </w:pPr>
          </w:p>
        </w:tc>
        <w:tc>
          <w:tcPr>
            <w:tcW w:w="217" w:type="dxa"/>
          </w:tcPr>
          <w:p w14:paraId="2DCB386C" w14:textId="77777777" w:rsidR="002C0FD9" w:rsidRPr="00CA25CF" w:rsidRDefault="002C0FD9" w:rsidP="00CA25CF">
            <w:pPr>
              <w:rPr>
                <w:rFonts w:cs="Arial"/>
                <w:color w:val="FF0000"/>
                <w:sz w:val="21"/>
                <w:szCs w:val="21"/>
              </w:rPr>
            </w:pPr>
          </w:p>
        </w:tc>
        <w:tc>
          <w:tcPr>
            <w:tcW w:w="217" w:type="dxa"/>
          </w:tcPr>
          <w:p w14:paraId="728FCA1A" w14:textId="11D4DA66" w:rsidR="002C0FD9" w:rsidRPr="00CA25CF" w:rsidRDefault="002C0FD9" w:rsidP="00CA25CF">
            <w:pPr>
              <w:rPr>
                <w:rFonts w:cs="Arial"/>
                <w:color w:val="FF0000"/>
                <w:sz w:val="21"/>
                <w:szCs w:val="21"/>
              </w:rPr>
            </w:pPr>
          </w:p>
        </w:tc>
        <w:tc>
          <w:tcPr>
            <w:tcW w:w="217" w:type="dxa"/>
          </w:tcPr>
          <w:p w14:paraId="114946E7" w14:textId="77777777" w:rsidR="002C0FD9" w:rsidRPr="00CA25CF" w:rsidRDefault="002C0FD9" w:rsidP="00CA25CF">
            <w:pPr>
              <w:rPr>
                <w:rFonts w:cs="Arial"/>
                <w:color w:val="FF0000"/>
                <w:sz w:val="21"/>
                <w:szCs w:val="21"/>
              </w:rPr>
            </w:pPr>
          </w:p>
        </w:tc>
        <w:tc>
          <w:tcPr>
            <w:tcW w:w="217" w:type="dxa"/>
          </w:tcPr>
          <w:p w14:paraId="4331BE58" w14:textId="77777777" w:rsidR="002C0FD9" w:rsidRPr="00CA25CF" w:rsidRDefault="002C0FD9" w:rsidP="00CA25CF">
            <w:pPr>
              <w:rPr>
                <w:rFonts w:cs="Arial"/>
                <w:color w:val="FF0000"/>
                <w:sz w:val="21"/>
                <w:szCs w:val="21"/>
              </w:rPr>
            </w:pPr>
          </w:p>
        </w:tc>
        <w:tc>
          <w:tcPr>
            <w:tcW w:w="217" w:type="dxa"/>
          </w:tcPr>
          <w:p w14:paraId="6660192C" w14:textId="77777777" w:rsidR="002C0FD9" w:rsidRPr="00CA25CF" w:rsidRDefault="002C0FD9" w:rsidP="00CA25CF">
            <w:pPr>
              <w:rPr>
                <w:rFonts w:cs="Arial"/>
                <w:color w:val="FF0000"/>
                <w:sz w:val="21"/>
                <w:szCs w:val="21"/>
              </w:rPr>
            </w:pPr>
          </w:p>
        </w:tc>
        <w:tc>
          <w:tcPr>
            <w:tcW w:w="217" w:type="dxa"/>
          </w:tcPr>
          <w:p w14:paraId="0FB299B5" w14:textId="77777777" w:rsidR="002C0FD9" w:rsidRPr="00CA25CF" w:rsidRDefault="002C0FD9" w:rsidP="00CA25CF">
            <w:pPr>
              <w:rPr>
                <w:rFonts w:cs="Arial"/>
                <w:color w:val="FF0000"/>
                <w:sz w:val="21"/>
                <w:szCs w:val="21"/>
              </w:rPr>
            </w:pPr>
          </w:p>
        </w:tc>
        <w:tc>
          <w:tcPr>
            <w:tcW w:w="217" w:type="dxa"/>
          </w:tcPr>
          <w:p w14:paraId="51BF7DBC" w14:textId="77777777" w:rsidR="002C0FD9" w:rsidRPr="00CA25CF" w:rsidRDefault="002C0FD9" w:rsidP="00CA25CF">
            <w:pPr>
              <w:rPr>
                <w:rFonts w:cs="Arial"/>
                <w:color w:val="FF0000"/>
                <w:sz w:val="21"/>
                <w:szCs w:val="21"/>
              </w:rPr>
            </w:pPr>
          </w:p>
        </w:tc>
        <w:tc>
          <w:tcPr>
            <w:tcW w:w="217" w:type="dxa"/>
          </w:tcPr>
          <w:p w14:paraId="7380AE58" w14:textId="77777777" w:rsidR="002C0FD9" w:rsidRPr="00CA25CF" w:rsidRDefault="002C0FD9" w:rsidP="00CA25CF">
            <w:pPr>
              <w:rPr>
                <w:rFonts w:cs="Arial"/>
                <w:color w:val="FF0000"/>
                <w:sz w:val="21"/>
                <w:szCs w:val="21"/>
              </w:rPr>
            </w:pPr>
          </w:p>
        </w:tc>
        <w:tc>
          <w:tcPr>
            <w:tcW w:w="217" w:type="dxa"/>
          </w:tcPr>
          <w:p w14:paraId="2AAD4A99" w14:textId="77777777" w:rsidR="002C0FD9" w:rsidRPr="00CA25CF" w:rsidRDefault="002C0FD9" w:rsidP="00CA25CF">
            <w:pPr>
              <w:rPr>
                <w:rFonts w:cs="Arial"/>
                <w:color w:val="FF0000"/>
                <w:sz w:val="21"/>
                <w:szCs w:val="21"/>
              </w:rPr>
            </w:pPr>
          </w:p>
        </w:tc>
        <w:tc>
          <w:tcPr>
            <w:tcW w:w="217" w:type="dxa"/>
          </w:tcPr>
          <w:p w14:paraId="5513A752" w14:textId="77777777" w:rsidR="002C0FD9" w:rsidRPr="00CA25CF" w:rsidRDefault="002C0FD9" w:rsidP="00CA25CF">
            <w:pPr>
              <w:rPr>
                <w:rFonts w:cs="Arial"/>
                <w:color w:val="FF0000"/>
                <w:sz w:val="21"/>
                <w:szCs w:val="21"/>
              </w:rPr>
            </w:pPr>
          </w:p>
        </w:tc>
        <w:tc>
          <w:tcPr>
            <w:tcW w:w="217" w:type="dxa"/>
          </w:tcPr>
          <w:p w14:paraId="6E06E986" w14:textId="77777777" w:rsidR="002C0FD9" w:rsidRPr="00CA25CF" w:rsidRDefault="002C0FD9" w:rsidP="00CA25CF">
            <w:pPr>
              <w:rPr>
                <w:rFonts w:cs="Arial"/>
                <w:color w:val="FF0000"/>
                <w:sz w:val="21"/>
                <w:szCs w:val="21"/>
              </w:rPr>
            </w:pPr>
          </w:p>
        </w:tc>
        <w:tc>
          <w:tcPr>
            <w:tcW w:w="217" w:type="dxa"/>
          </w:tcPr>
          <w:p w14:paraId="1A39B9BC" w14:textId="77777777" w:rsidR="002C0FD9" w:rsidRPr="00CA25CF" w:rsidRDefault="002C0FD9" w:rsidP="00CA25CF">
            <w:pPr>
              <w:rPr>
                <w:rFonts w:cs="Arial"/>
                <w:color w:val="FF0000"/>
                <w:sz w:val="21"/>
                <w:szCs w:val="21"/>
              </w:rPr>
            </w:pPr>
          </w:p>
        </w:tc>
        <w:tc>
          <w:tcPr>
            <w:tcW w:w="217" w:type="dxa"/>
          </w:tcPr>
          <w:p w14:paraId="3397251C" w14:textId="77777777" w:rsidR="002C0FD9" w:rsidRPr="00CA25CF" w:rsidRDefault="002C0FD9" w:rsidP="00CA25CF">
            <w:pPr>
              <w:rPr>
                <w:rFonts w:cs="Arial"/>
                <w:color w:val="FF0000"/>
                <w:sz w:val="21"/>
                <w:szCs w:val="21"/>
              </w:rPr>
            </w:pPr>
          </w:p>
        </w:tc>
        <w:tc>
          <w:tcPr>
            <w:tcW w:w="217" w:type="dxa"/>
          </w:tcPr>
          <w:p w14:paraId="48776569" w14:textId="77777777" w:rsidR="002C0FD9" w:rsidRPr="00CA25CF" w:rsidRDefault="002C0FD9" w:rsidP="00CA25CF">
            <w:pPr>
              <w:rPr>
                <w:rFonts w:cs="Arial"/>
                <w:color w:val="FF0000"/>
                <w:sz w:val="21"/>
                <w:szCs w:val="21"/>
              </w:rPr>
            </w:pPr>
          </w:p>
        </w:tc>
        <w:tc>
          <w:tcPr>
            <w:tcW w:w="217" w:type="dxa"/>
          </w:tcPr>
          <w:p w14:paraId="395DFF4C" w14:textId="7E21D8A2" w:rsidR="002C0FD9" w:rsidRPr="00CA25CF" w:rsidRDefault="002C0FD9" w:rsidP="00CA25CF">
            <w:pPr>
              <w:rPr>
                <w:rFonts w:cs="Arial"/>
                <w:color w:val="FF0000"/>
                <w:sz w:val="21"/>
                <w:szCs w:val="21"/>
              </w:rPr>
            </w:pPr>
          </w:p>
        </w:tc>
        <w:tc>
          <w:tcPr>
            <w:tcW w:w="217" w:type="dxa"/>
          </w:tcPr>
          <w:p w14:paraId="6617E278" w14:textId="77777777" w:rsidR="002C0FD9" w:rsidRPr="00CA25CF" w:rsidRDefault="002C0FD9" w:rsidP="00CA25CF">
            <w:pPr>
              <w:rPr>
                <w:rFonts w:cs="Arial"/>
                <w:color w:val="FF0000"/>
                <w:sz w:val="21"/>
                <w:szCs w:val="21"/>
              </w:rPr>
            </w:pPr>
          </w:p>
        </w:tc>
        <w:tc>
          <w:tcPr>
            <w:tcW w:w="217" w:type="dxa"/>
          </w:tcPr>
          <w:p w14:paraId="3D5809F5" w14:textId="77777777" w:rsidR="002C0FD9" w:rsidRPr="00CA25CF" w:rsidRDefault="002C0FD9" w:rsidP="00CA25CF">
            <w:pPr>
              <w:rPr>
                <w:rFonts w:cs="Arial"/>
                <w:color w:val="FF0000"/>
                <w:sz w:val="21"/>
                <w:szCs w:val="21"/>
              </w:rPr>
            </w:pPr>
          </w:p>
        </w:tc>
        <w:tc>
          <w:tcPr>
            <w:tcW w:w="217" w:type="dxa"/>
          </w:tcPr>
          <w:p w14:paraId="7582D936" w14:textId="77777777" w:rsidR="002C0FD9" w:rsidRPr="00CA25CF" w:rsidRDefault="002C0FD9" w:rsidP="00CA25CF">
            <w:pPr>
              <w:rPr>
                <w:rFonts w:cs="Arial"/>
                <w:color w:val="FF0000"/>
                <w:sz w:val="21"/>
                <w:szCs w:val="21"/>
              </w:rPr>
            </w:pPr>
          </w:p>
        </w:tc>
        <w:tc>
          <w:tcPr>
            <w:tcW w:w="217" w:type="dxa"/>
          </w:tcPr>
          <w:p w14:paraId="37D3EB52" w14:textId="77777777" w:rsidR="002C0FD9" w:rsidRPr="00CA25CF" w:rsidRDefault="002C0FD9" w:rsidP="00CA25CF">
            <w:pPr>
              <w:rPr>
                <w:rFonts w:cs="Arial"/>
                <w:color w:val="FF0000"/>
                <w:sz w:val="21"/>
                <w:szCs w:val="21"/>
              </w:rPr>
            </w:pPr>
          </w:p>
        </w:tc>
        <w:tc>
          <w:tcPr>
            <w:tcW w:w="217" w:type="dxa"/>
          </w:tcPr>
          <w:p w14:paraId="57F7889F" w14:textId="77777777" w:rsidR="002C0FD9" w:rsidRPr="00CA25CF" w:rsidRDefault="002C0FD9" w:rsidP="00CA25CF">
            <w:pPr>
              <w:rPr>
                <w:rFonts w:cs="Arial"/>
                <w:color w:val="FF0000"/>
                <w:sz w:val="21"/>
                <w:szCs w:val="21"/>
              </w:rPr>
            </w:pPr>
          </w:p>
        </w:tc>
        <w:tc>
          <w:tcPr>
            <w:tcW w:w="217" w:type="dxa"/>
          </w:tcPr>
          <w:p w14:paraId="4E4121D0" w14:textId="77777777" w:rsidR="002C0FD9" w:rsidRPr="00CA25CF" w:rsidRDefault="002C0FD9" w:rsidP="00CA25CF">
            <w:pPr>
              <w:rPr>
                <w:rFonts w:cs="Arial"/>
                <w:color w:val="FF0000"/>
                <w:sz w:val="21"/>
                <w:szCs w:val="21"/>
              </w:rPr>
            </w:pPr>
          </w:p>
        </w:tc>
        <w:tc>
          <w:tcPr>
            <w:tcW w:w="217" w:type="dxa"/>
          </w:tcPr>
          <w:p w14:paraId="21F61C43" w14:textId="77777777" w:rsidR="002C0FD9" w:rsidRPr="00CA25CF" w:rsidRDefault="002C0FD9" w:rsidP="00CA25CF">
            <w:pPr>
              <w:rPr>
                <w:rFonts w:cs="Arial"/>
                <w:color w:val="FF0000"/>
                <w:sz w:val="21"/>
                <w:szCs w:val="21"/>
              </w:rPr>
            </w:pPr>
          </w:p>
        </w:tc>
        <w:tc>
          <w:tcPr>
            <w:tcW w:w="217" w:type="dxa"/>
          </w:tcPr>
          <w:p w14:paraId="79A6F0DB" w14:textId="77777777" w:rsidR="002C0FD9" w:rsidRPr="00CA25CF" w:rsidRDefault="002C0FD9" w:rsidP="00CA25CF">
            <w:pPr>
              <w:rPr>
                <w:rFonts w:cs="Arial"/>
                <w:color w:val="FF0000"/>
                <w:sz w:val="21"/>
                <w:szCs w:val="21"/>
              </w:rPr>
            </w:pPr>
          </w:p>
        </w:tc>
        <w:tc>
          <w:tcPr>
            <w:tcW w:w="217" w:type="dxa"/>
          </w:tcPr>
          <w:p w14:paraId="1472FC72" w14:textId="77777777" w:rsidR="002C0FD9" w:rsidRPr="00CA25CF" w:rsidRDefault="002C0FD9" w:rsidP="00CA25CF">
            <w:pPr>
              <w:rPr>
                <w:rFonts w:cs="Arial"/>
                <w:color w:val="FF0000"/>
                <w:sz w:val="21"/>
                <w:szCs w:val="21"/>
              </w:rPr>
            </w:pPr>
          </w:p>
        </w:tc>
        <w:tc>
          <w:tcPr>
            <w:tcW w:w="217" w:type="dxa"/>
          </w:tcPr>
          <w:p w14:paraId="1A4B50B2" w14:textId="77777777" w:rsidR="002C0FD9" w:rsidRPr="00CA25CF" w:rsidRDefault="002C0FD9" w:rsidP="00CA25CF">
            <w:pPr>
              <w:rPr>
                <w:rFonts w:cs="Arial"/>
                <w:color w:val="FF0000"/>
                <w:sz w:val="21"/>
                <w:szCs w:val="21"/>
              </w:rPr>
            </w:pPr>
          </w:p>
        </w:tc>
        <w:tc>
          <w:tcPr>
            <w:tcW w:w="217" w:type="dxa"/>
          </w:tcPr>
          <w:p w14:paraId="566387BE" w14:textId="77777777" w:rsidR="002C0FD9" w:rsidRPr="00CA25CF" w:rsidRDefault="002C0FD9" w:rsidP="00CA25CF">
            <w:pPr>
              <w:rPr>
                <w:rFonts w:cs="Arial"/>
                <w:color w:val="FF0000"/>
                <w:sz w:val="21"/>
                <w:szCs w:val="21"/>
              </w:rPr>
            </w:pPr>
          </w:p>
        </w:tc>
        <w:tc>
          <w:tcPr>
            <w:tcW w:w="217" w:type="dxa"/>
          </w:tcPr>
          <w:p w14:paraId="435B5E03" w14:textId="77777777" w:rsidR="002C0FD9" w:rsidRPr="00CA25CF" w:rsidRDefault="002C0FD9" w:rsidP="00CA25CF">
            <w:pPr>
              <w:rPr>
                <w:rFonts w:cs="Arial"/>
                <w:color w:val="FF0000"/>
                <w:sz w:val="21"/>
                <w:szCs w:val="21"/>
              </w:rPr>
            </w:pPr>
          </w:p>
        </w:tc>
        <w:tc>
          <w:tcPr>
            <w:tcW w:w="217" w:type="dxa"/>
          </w:tcPr>
          <w:p w14:paraId="233278B3" w14:textId="77777777" w:rsidR="002C0FD9" w:rsidRPr="00CA25CF" w:rsidRDefault="002C0FD9" w:rsidP="00CA25CF">
            <w:pPr>
              <w:rPr>
                <w:rFonts w:cs="Arial"/>
                <w:color w:val="FF0000"/>
                <w:sz w:val="21"/>
                <w:szCs w:val="21"/>
              </w:rPr>
            </w:pPr>
          </w:p>
        </w:tc>
        <w:tc>
          <w:tcPr>
            <w:tcW w:w="217" w:type="dxa"/>
          </w:tcPr>
          <w:p w14:paraId="624D3C2C" w14:textId="77777777" w:rsidR="002C0FD9" w:rsidRPr="00CA25CF" w:rsidRDefault="002C0FD9" w:rsidP="00CA25CF">
            <w:pPr>
              <w:rPr>
                <w:rFonts w:cs="Arial"/>
                <w:color w:val="FF0000"/>
                <w:sz w:val="21"/>
                <w:szCs w:val="21"/>
              </w:rPr>
            </w:pPr>
          </w:p>
        </w:tc>
        <w:tc>
          <w:tcPr>
            <w:tcW w:w="217" w:type="dxa"/>
          </w:tcPr>
          <w:p w14:paraId="480A5952" w14:textId="77777777" w:rsidR="002C0FD9" w:rsidRPr="00CA25CF" w:rsidRDefault="002C0FD9" w:rsidP="00CA25CF">
            <w:pPr>
              <w:rPr>
                <w:rFonts w:cs="Arial"/>
                <w:color w:val="FF0000"/>
                <w:sz w:val="21"/>
                <w:szCs w:val="21"/>
              </w:rPr>
            </w:pPr>
          </w:p>
        </w:tc>
        <w:tc>
          <w:tcPr>
            <w:tcW w:w="217" w:type="dxa"/>
          </w:tcPr>
          <w:p w14:paraId="501189DC" w14:textId="77777777" w:rsidR="002C0FD9" w:rsidRPr="00CA25CF" w:rsidRDefault="002C0FD9" w:rsidP="00CA25CF">
            <w:pPr>
              <w:rPr>
                <w:rFonts w:cs="Arial"/>
                <w:color w:val="FF0000"/>
                <w:sz w:val="21"/>
                <w:szCs w:val="21"/>
              </w:rPr>
            </w:pPr>
          </w:p>
        </w:tc>
        <w:tc>
          <w:tcPr>
            <w:tcW w:w="217" w:type="dxa"/>
          </w:tcPr>
          <w:p w14:paraId="4BE2AC6A" w14:textId="77777777" w:rsidR="002C0FD9" w:rsidRPr="00CA25CF" w:rsidRDefault="002C0FD9" w:rsidP="00CA25CF">
            <w:pPr>
              <w:rPr>
                <w:rFonts w:cs="Arial"/>
                <w:color w:val="FF0000"/>
                <w:sz w:val="21"/>
                <w:szCs w:val="21"/>
              </w:rPr>
            </w:pPr>
          </w:p>
        </w:tc>
        <w:tc>
          <w:tcPr>
            <w:tcW w:w="217" w:type="dxa"/>
          </w:tcPr>
          <w:p w14:paraId="51FD4323" w14:textId="77777777" w:rsidR="002C0FD9" w:rsidRPr="00CA25CF" w:rsidRDefault="002C0FD9" w:rsidP="00CA25CF">
            <w:pPr>
              <w:rPr>
                <w:rFonts w:cs="Arial"/>
                <w:color w:val="FF0000"/>
                <w:sz w:val="21"/>
                <w:szCs w:val="21"/>
              </w:rPr>
            </w:pPr>
          </w:p>
        </w:tc>
        <w:tc>
          <w:tcPr>
            <w:tcW w:w="217" w:type="dxa"/>
          </w:tcPr>
          <w:p w14:paraId="7C056D61" w14:textId="77777777" w:rsidR="002C0FD9" w:rsidRPr="00CA25CF" w:rsidRDefault="002C0FD9" w:rsidP="00CA25CF">
            <w:pPr>
              <w:rPr>
                <w:rFonts w:cs="Arial"/>
                <w:color w:val="FF0000"/>
                <w:sz w:val="21"/>
                <w:szCs w:val="21"/>
              </w:rPr>
            </w:pPr>
          </w:p>
        </w:tc>
        <w:tc>
          <w:tcPr>
            <w:tcW w:w="217" w:type="dxa"/>
          </w:tcPr>
          <w:p w14:paraId="77421001" w14:textId="77777777" w:rsidR="002C0FD9" w:rsidRPr="00CA25CF" w:rsidRDefault="002C0FD9" w:rsidP="00CA25CF">
            <w:pPr>
              <w:rPr>
                <w:rFonts w:cs="Arial"/>
                <w:color w:val="FF0000"/>
                <w:sz w:val="21"/>
                <w:szCs w:val="21"/>
              </w:rPr>
            </w:pPr>
          </w:p>
        </w:tc>
        <w:tc>
          <w:tcPr>
            <w:tcW w:w="217" w:type="dxa"/>
          </w:tcPr>
          <w:p w14:paraId="3C6CFA9D" w14:textId="77777777" w:rsidR="002C0FD9" w:rsidRPr="00CA25CF" w:rsidRDefault="002C0FD9" w:rsidP="00CA25CF">
            <w:pPr>
              <w:rPr>
                <w:rFonts w:cs="Arial"/>
                <w:color w:val="FF0000"/>
                <w:sz w:val="21"/>
                <w:szCs w:val="21"/>
              </w:rPr>
            </w:pPr>
          </w:p>
        </w:tc>
        <w:tc>
          <w:tcPr>
            <w:tcW w:w="217" w:type="dxa"/>
          </w:tcPr>
          <w:p w14:paraId="3BD72371" w14:textId="77777777" w:rsidR="002C0FD9" w:rsidRPr="00CA25CF" w:rsidRDefault="002C0FD9" w:rsidP="00CA25CF">
            <w:pPr>
              <w:rPr>
                <w:rFonts w:cs="Arial"/>
                <w:color w:val="FF0000"/>
                <w:sz w:val="21"/>
                <w:szCs w:val="21"/>
              </w:rPr>
            </w:pPr>
          </w:p>
        </w:tc>
        <w:tc>
          <w:tcPr>
            <w:tcW w:w="217" w:type="dxa"/>
          </w:tcPr>
          <w:p w14:paraId="477767B0" w14:textId="77777777" w:rsidR="002C0FD9" w:rsidRPr="00CA25CF" w:rsidRDefault="002C0FD9" w:rsidP="00CA25CF">
            <w:pPr>
              <w:rPr>
                <w:rFonts w:cs="Arial"/>
                <w:color w:val="FF0000"/>
                <w:sz w:val="21"/>
                <w:szCs w:val="21"/>
              </w:rPr>
            </w:pPr>
          </w:p>
        </w:tc>
        <w:tc>
          <w:tcPr>
            <w:tcW w:w="217" w:type="dxa"/>
          </w:tcPr>
          <w:p w14:paraId="4AD1A946" w14:textId="77777777" w:rsidR="002C0FD9" w:rsidRPr="00CA25CF" w:rsidRDefault="002C0FD9" w:rsidP="00CA25CF">
            <w:pPr>
              <w:rPr>
                <w:rFonts w:cs="Arial"/>
                <w:color w:val="FF0000"/>
                <w:sz w:val="21"/>
                <w:szCs w:val="21"/>
              </w:rPr>
            </w:pPr>
          </w:p>
        </w:tc>
        <w:tc>
          <w:tcPr>
            <w:tcW w:w="217" w:type="dxa"/>
          </w:tcPr>
          <w:p w14:paraId="6857B034" w14:textId="77777777" w:rsidR="002C0FD9" w:rsidRPr="00CA25CF" w:rsidRDefault="002C0FD9" w:rsidP="00CA25CF">
            <w:pPr>
              <w:rPr>
                <w:rFonts w:cs="Arial"/>
                <w:color w:val="FF0000"/>
                <w:sz w:val="21"/>
                <w:szCs w:val="21"/>
              </w:rPr>
            </w:pPr>
          </w:p>
        </w:tc>
        <w:tc>
          <w:tcPr>
            <w:tcW w:w="217" w:type="dxa"/>
          </w:tcPr>
          <w:p w14:paraId="070FA990" w14:textId="77777777" w:rsidR="002C0FD9" w:rsidRPr="00CA25CF" w:rsidRDefault="002C0FD9" w:rsidP="00CA25CF">
            <w:pPr>
              <w:rPr>
                <w:rFonts w:cs="Arial"/>
                <w:color w:val="FF0000"/>
                <w:sz w:val="21"/>
                <w:szCs w:val="21"/>
              </w:rPr>
            </w:pPr>
          </w:p>
        </w:tc>
        <w:tc>
          <w:tcPr>
            <w:tcW w:w="217" w:type="dxa"/>
          </w:tcPr>
          <w:p w14:paraId="7EE8B7A6" w14:textId="77777777" w:rsidR="002C0FD9" w:rsidRPr="00CA25CF" w:rsidRDefault="002C0FD9" w:rsidP="00CA25CF">
            <w:pPr>
              <w:rPr>
                <w:rFonts w:cs="Arial"/>
                <w:color w:val="FF0000"/>
                <w:sz w:val="21"/>
                <w:szCs w:val="21"/>
              </w:rPr>
            </w:pPr>
          </w:p>
        </w:tc>
      </w:tr>
      <w:tr w:rsidR="002C0FD9" w:rsidRPr="00A16219" w14:paraId="3EF6CE21" w14:textId="5870B8D1" w:rsidTr="002C0FD9">
        <w:trPr>
          <w:trHeight w:val="635"/>
        </w:trPr>
        <w:tc>
          <w:tcPr>
            <w:tcW w:w="515" w:type="dxa"/>
          </w:tcPr>
          <w:p w14:paraId="6106A8D1" w14:textId="77777777" w:rsidR="002C0FD9" w:rsidRPr="00CA25CF" w:rsidRDefault="002C0FD9" w:rsidP="00CA25CF">
            <w:pPr>
              <w:rPr>
                <w:rFonts w:cs="Arial"/>
                <w:color w:val="FF0000"/>
                <w:sz w:val="21"/>
                <w:szCs w:val="21"/>
              </w:rPr>
            </w:pPr>
          </w:p>
        </w:tc>
        <w:tc>
          <w:tcPr>
            <w:tcW w:w="217" w:type="dxa"/>
          </w:tcPr>
          <w:p w14:paraId="02DD1071" w14:textId="77777777" w:rsidR="002C0FD9" w:rsidRPr="00CA25CF" w:rsidRDefault="002C0FD9" w:rsidP="00CA25CF">
            <w:pPr>
              <w:rPr>
                <w:rFonts w:cs="Arial"/>
                <w:color w:val="FF0000"/>
                <w:sz w:val="21"/>
                <w:szCs w:val="21"/>
              </w:rPr>
            </w:pPr>
          </w:p>
        </w:tc>
        <w:tc>
          <w:tcPr>
            <w:tcW w:w="217" w:type="dxa"/>
          </w:tcPr>
          <w:p w14:paraId="578746F2" w14:textId="64F0BF05" w:rsidR="002C0FD9" w:rsidRPr="00CA25CF" w:rsidRDefault="002C0FD9" w:rsidP="00CA25CF">
            <w:pPr>
              <w:rPr>
                <w:rFonts w:cs="Arial"/>
                <w:color w:val="FF0000"/>
                <w:sz w:val="21"/>
                <w:szCs w:val="21"/>
              </w:rPr>
            </w:pPr>
          </w:p>
        </w:tc>
        <w:tc>
          <w:tcPr>
            <w:tcW w:w="217" w:type="dxa"/>
          </w:tcPr>
          <w:p w14:paraId="7BB996C4" w14:textId="77777777" w:rsidR="002C0FD9" w:rsidRPr="00CA25CF" w:rsidRDefault="002C0FD9" w:rsidP="00CA25CF">
            <w:pPr>
              <w:rPr>
                <w:rFonts w:cs="Arial"/>
                <w:color w:val="FF0000"/>
                <w:sz w:val="21"/>
                <w:szCs w:val="21"/>
              </w:rPr>
            </w:pPr>
          </w:p>
        </w:tc>
        <w:tc>
          <w:tcPr>
            <w:tcW w:w="217" w:type="dxa"/>
          </w:tcPr>
          <w:p w14:paraId="19D9C9C7" w14:textId="77777777" w:rsidR="002C0FD9" w:rsidRPr="00CA25CF" w:rsidRDefault="002C0FD9" w:rsidP="00CA25CF">
            <w:pPr>
              <w:rPr>
                <w:rFonts w:cs="Arial"/>
                <w:color w:val="FF0000"/>
                <w:sz w:val="21"/>
                <w:szCs w:val="21"/>
              </w:rPr>
            </w:pPr>
          </w:p>
        </w:tc>
        <w:tc>
          <w:tcPr>
            <w:tcW w:w="217" w:type="dxa"/>
          </w:tcPr>
          <w:p w14:paraId="531E9269" w14:textId="77777777" w:rsidR="002C0FD9" w:rsidRPr="00CA25CF" w:rsidRDefault="002C0FD9" w:rsidP="00CA25CF">
            <w:pPr>
              <w:rPr>
                <w:rFonts w:cs="Arial"/>
                <w:color w:val="FF0000"/>
                <w:sz w:val="21"/>
                <w:szCs w:val="21"/>
              </w:rPr>
            </w:pPr>
          </w:p>
        </w:tc>
        <w:tc>
          <w:tcPr>
            <w:tcW w:w="217" w:type="dxa"/>
          </w:tcPr>
          <w:p w14:paraId="56E3AC0C" w14:textId="77777777" w:rsidR="002C0FD9" w:rsidRPr="00CA25CF" w:rsidRDefault="002C0FD9" w:rsidP="00CA25CF">
            <w:pPr>
              <w:rPr>
                <w:rFonts w:cs="Arial"/>
                <w:color w:val="FF0000"/>
                <w:sz w:val="21"/>
                <w:szCs w:val="21"/>
              </w:rPr>
            </w:pPr>
          </w:p>
        </w:tc>
        <w:tc>
          <w:tcPr>
            <w:tcW w:w="217" w:type="dxa"/>
          </w:tcPr>
          <w:p w14:paraId="774C2365" w14:textId="77777777" w:rsidR="002C0FD9" w:rsidRPr="00CA25CF" w:rsidRDefault="002C0FD9" w:rsidP="00CA25CF">
            <w:pPr>
              <w:rPr>
                <w:rFonts w:cs="Arial"/>
                <w:color w:val="FF0000"/>
                <w:sz w:val="21"/>
                <w:szCs w:val="21"/>
              </w:rPr>
            </w:pPr>
          </w:p>
        </w:tc>
        <w:tc>
          <w:tcPr>
            <w:tcW w:w="217" w:type="dxa"/>
          </w:tcPr>
          <w:p w14:paraId="1F2491EA" w14:textId="77777777" w:rsidR="002C0FD9" w:rsidRPr="00CA25CF" w:rsidRDefault="002C0FD9" w:rsidP="00CA25CF">
            <w:pPr>
              <w:rPr>
                <w:rFonts w:cs="Arial"/>
                <w:color w:val="FF0000"/>
                <w:sz w:val="21"/>
                <w:szCs w:val="21"/>
              </w:rPr>
            </w:pPr>
          </w:p>
        </w:tc>
        <w:tc>
          <w:tcPr>
            <w:tcW w:w="217" w:type="dxa"/>
          </w:tcPr>
          <w:p w14:paraId="58FE9140" w14:textId="77777777" w:rsidR="002C0FD9" w:rsidRPr="00CA25CF" w:rsidRDefault="002C0FD9" w:rsidP="00CA25CF">
            <w:pPr>
              <w:rPr>
                <w:rFonts w:cs="Arial"/>
                <w:color w:val="FF0000"/>
                <w:sz w:val="21"/>
                <w:szCs w:val="21"/>
              </w:rPr>
            </w:pPr>
          </w:p>
        </w:tc>
        <w:tc>
          <w:tcPr>
            <w:tcW w:w="217" w:type="dxa"/>
          </w:tcPr>
          <w:p w14:paraId="39173CE3" w14:textId="77777777" w:rsidR="002C0FD9" w:rsidRPr="00CA25CF" w:rsidRDefault="002C0FD9" w:rsidP="00CA25CF">
            <w:pPr>
              <w:rPr>
                <w:rFonts w:cs="Arial"/>
                <w:color w:val="FF0000"/>
                <w:sz w:val="21"/>
                <w:szCs w:val="21"/>
              </w:rPr>
            </w:pPr>
          </w:p>
        </w:tc>
        <w:tc>
          <w:tcPr>
            <w:tcW w:w="217" w:type="dxa"/>
          </w:tcPr>
          <w:p w14:paraId="4B8794E0" w14:textId="77777777" w:rsidR="002C0FD9" w:rsidRPr="00CA25CF" w:rsidRDefault="002C0FD9" w:rsidP="00CA25CF">
            <w:pPr>
              <w:rPr>
                <w:rFonts w:cs="Arial"/>
                <w:color w:val="FF0000"/>
                <w:sz w:val="21"/>
                <w:szCs w:val="21"/>
              </w:rPr>
            </w:pPr>
          </w:p>
        </w:tc>
        <w:tc>
          <w:tcPr>
            <w:tcW w:w="217" w:type="dxa"/>
          </w:tcPr>
          <w:p w14:paraId="2B6728FF" w14:textId="77777777" w:rsidR="002C0FD9" w:rsidRPr="00CA25CF" w:rsidRDefault="002C0FD9" w:rsidP="00CA25CF">
            <w:pPr>
              <w:rPr>
                <w:rFonts w:cs="Arial"/>
                <w:color w:val="FF0000"/>
                <w:sz w:val="21"/>
                <w:szCs w:val="21"/>
              </w:rPr>
            </w:pPr>
          </w:p>
        </w:tc>
        <w:tc>
          <w:tcPr>
            <w:tcW w:w="217" w:type="dxa"/>
          </w:tcPr>
          <w:p w14:paraId="2F9C8D63" w14:textId="77777777" w:rsidR="002C0FD9" w:rsidRPr="00CA25CF" w:rsidRDefault="002C0FD9" w:rsidP="00CA25CF">
            <w:pPr>
              <w:rPr>
                <w:rFonts w:cs="Arial"/>
                <w:color w:val="FF0000"/>
                <w:sz w:val="21"/>
                <w:szCs w:val="21"/>
              </w:rPr>
            </w:pPr>
          </w:p>
        </w:tc>
        <w:tc>
          <w:tcPr>
            <w:tcW w:w="217" w:type="dxa"/>
          </w:tcPr>
          <w:p w14:paraId="23E8E522" w14:textId="77777777" w:rsidR="002C0FD9" w:rsidRPr="00CA25CF" w:rsidRDefault="002C0FD9" w:rsidP="00CA25CF">
            <w:pPr>
              <w:rPr>
                <w:rFonts w:cs="Arial"/>
                <w:color w:val="FF0000"/>
                <w:sz w:val="21"/>
                <w:szCs w:val="21"/>
              </w:rPr>
            </w:pPr>
          </w:p>
        </w:tc>
        <w:tc>
          <w:tcPr>
            <w:tcW w:w="217" w:type="dxa"/>
          </w:tcPr>
          <w:p w14:paraId="5BD10892" w14:textId="38BF54CA" w:rsidR="002C0FD9" w:rsidRPr="00CA25CF" w:rsidRDefault="002C0FD9" w:rsidP="00CA25CF">
            <w:pPr>
              <w:rPr>
                <w:rFonts w:cs="Arial"/>
                <w:color w:val="FF0000"/>
                <w:sz w:val="21"/>
                <w:szCs w:val="21"/>
              </w:rPr>
            </w:pPr>
          </w:p>
        </w:tc>
        <w:tc>
          <w:tcPr>
            <w:tcW w:w="217" w:type="dxa"/>
          </w:tcPr>
          <w:p w14:paraId="7D42A652" w14:textId="77777777" w:rsidR="002C0FD9" w:rsidRPr="00CA25CF" w:rsidRDefault="002C0FD9" w:rsidP="00CA25CF">
            <w:pPr>
              <w:rPr>
                <w:rFonts w:cs="Arial"/>
                <w:color w:val="FF0000"/>
                <w:sz w:val="21"/>
                <w:szCs w:val="21"/>
              </w:rPr>
            </w:pPr>
          </w:p>
        </w:tc>
        <w:tc>
          <w:tcPr>
            <w:tcW w:w="217" w:type="dxa"/>
          </w:tcPr>
          <w:p w14:paraId="00F39D77" w14:textId="77777777" w:rsidR="002C0FD9" w:rsidRPr="00CA25CF" w:rsidRDefault="002C0FD9" w:rsidP="00CA25CF">
            <w:pPr>
              <w:rPr>
                <w:rFonts w:cs="Arial"/>
                <w:color w:val="FF0000"/>
                <w:sz w:val="21"/>
                <w:szCs w:val="21"/>
              </w:rPr>
            </w:pPr>
          </w:p>
        </w:tc>
        <w:tc>
          <w:tcPr>
            <w:tcW w:w="217" w:type="dxa"/>
          </w:tcPr>
          <w:p w14:paraId="1CEC9382" w14:textId="77777777" w:rsidR="002C0FD9" w:rsidRPr="00CA25CF" w:rsidRDefault="002C0FD9" w:rsidP="00CA25CF">
            <w:pPr>
              <w:rPr>
                <w:rFonts w:cs="Arial"/>
                <w:color w:val="FF0000"/>
                <w:sz w:val="21"/>
                <w:szCs w:val="21"/>
              </w:rPr>
            </w:pPr>
          </w:p>
        </w:tc>
        <w:tc>
          <w:tcPr>
            <w:tcW w:w="217" w:type="dxa"/>
          </w:tcPr>
          <w:p w14:paraId="3AE39B53" w14:textId="77777777" w:rsidR="002C0FD9" w:rsidRPr="00CA25CF" w:rsidRDefault="002C0FD9" w:rsidP="00CA25CF">
            <w:pPr>
              <w:rPr>
                <w:rFonts w:cs="Arial"/>
                <w:color w:val="FF0000"/>
                <w:sz w:val="21"/>
                <w:szCs w:val="21"/>
              </w:rPr>
            </w:pPr>
          </w:p>
        </w:tc>
        <w:tc>
          <w:tcPr>
            <w:tcW w:w="217" w:type="dxa"/>
          </w:tcPr>
          <w:p w14:paraId="48CA8DDD" w14:textId="77777777" w:rsidR="002C0FD9" w:rsidRPr="00CA25CF" w:rsidRDefault="002C0FD9" w:rsidP="00CA25CF">
            <w:pPr>
              <w:rPr>
                <w:rFonts w:cs="Arial"/>
                <w:color w:val="FF0000"/>
                <w:sz w:val="21"/>
                <w:szCs w:val="21"/>
              </w:rPr>
            </w:pPr>
          </w:p>
        </w:tc>
        <w:tc>
          <w:tcPr>
            <w:tcW w:w="217" w:type="dxa"/>
          </w:tcPr>
          <w:p w14:paraId="1DB13D31" w14:textId="77777777" w:rsidR="002C0FD9" w:rsidRPr="00CA25CF" w:rsidRDefault="002C0FD9" w:rsidP="00CA25CF">
            <w:pPr>
              <w:rPr>
                <w:rFonts w:cs="Arial"/>
                <w:color w:val="FF0000"/>
                <w:sz w:val="21"/>
                <w:szCs w:val="21"/>
              </w:rPr>
            </w:pPr>
          </w:p>
        </w:tc>
        <w:tc>
          <w:tcPr>
            <w:tcW w:w="217" w:type="dxa"/>
          </w:tcPr>
          <w:p w14:paraId="776F0C01" w14:textId="77777777" w:rsidR="002C0FD9" w:rsidRPr="00CA25CF" w:rsidRDefault="002C0FD9" w:rsidP="00CA25CF">
            <w:pPr>
              <w:rPr>
                <w:rFonts w:cs="Arial"/>
                <w:color w:val="FF0000"/>
                <w:sz w:val="21"/>
                <w:szCs w:val="21"/>
              </w:rPr>
            </w:pPr>
          </w:p>
        </w:tc>
        <w:tc>
          <w:tcPr>
            <w:tcW w:w="217" w:type="dxa"/>
          </w:tcPr>
          <w:p w14:paraId="7A2C79A5" w14:textId="77777777" w:rsidR="002C0FD9" w:rsidRPr="00CA25CF" w:rsidRDefault="002C0FD9" w:rsidP="00CA25CF">
            <w:pPr>
              <w:rPr>
                <w:rFonts w:cs="Arial"/>
                <w:color w:val="FF0000"/>
                <w:sz w:val="21"/>
                <w:szCs w:val="21"/>
              </w:rPr>
            </w:pPr>
          </w:p>
        </w:tc>
        <w:tc>
          <w:tcPr>
            <w:tcW w:w="217" w:type="dxa"/>
          </w:tcPr>
          <w:p w14:paraId="1743B5BD" w14:textId="77777777" w:rsidR="002C0FD9" w:rsidRPr="00CA25CF" w:rsidRDefault="002C0FD9" w:rsidP="00CA25CF">
            <w:pPr>
              <w:rPr>
                <w:rFonts w:cs="Arial"/>
                <w:color w:val="FF0000"/>
                <w:sz w:val="21"/>
                <w:szCs w:val="21"/>
              </w:rPr>
            </w:pPr>
          </w:p>
        </w:tc>
        <w:tc>
          <w:tcPr>
            <w:tcW w:w="217" w:type="dxa"/>
          </w:tcPr>
          <w:p w14:paraId="1B9FE4CF" w14:textId="77777777" w:rsidR="002C0FD9" w:rsidRPr="00CA25CF" w:rsidRDefault="002C0FD9" w:rsidP="00CA25CF">
            <w:pPr>
              <w:rPr>
                <w:rFonts w:cs="Arial"/>
                <w:color w:val="FF0000"/>
                <w:sz w:val="21"/>
                <w:szCs w:val="21"/>
              </w:rPr>
            </w:pPr>
          </w:p>
        </w:tc>
        <w:tc>
          <w:tcPr>
            <w:tcW w:w="217" w:type="dxa"/>
          </w:tcPr>
          <w:p w14:paraId="6019A82C" w14:textId="77777777" w:rsidR="002C0FD9" w:rsidRPr="00CA25CF" w:rsidRDefault="002C0FD9" w:rsidP="00CA25CF">
            <w:pPr>
              <w:rPr>
                <w:rFonts w:cs="Arial"/>
                <w:color w:val="FF0000"/>
                <w:sz w:val="21"/>
                <w:szCs w:val="21"/>
              </w:rPr>
            </w:pPr>
          </w:p>
        </w:tc>
        <w:tc>
          <w:tcPr>
            <w:tcW w:w="217" w:type="dxa"/>
          </w:tcPr>
          <w:p w14:paraId="53558B0E" w14:textId="77777777" w:rsidR="002C0FD9" w:rsidRPr="00CA25CF" w:rsidRDefault="002C0FD9" w:rsidP="00CA25CF">
            <w:pPr>
              <w:rPr>
                <w:rFonts w:cs="Arial"/>
                <w:color w:val="FF0000"/>
                <w:sz w:val="21"/>
                <w:szCs w:val="21"/>
              </w:rPr>
            </w:pPr>
          </w:p>
        </w:tc>
        <w:tc>
          <w:tcPr>
            <w:tcW w:w="217" w:type="dxa"/>
          </w:tcPr>
          <w:p w14:paraId="13C48795" w14:textId="77777777" w:rsidR="002C0FD9" w:rsidRPr="00CA25CF" w:rsidRDefault="002C0FD9" w:rsidP="00CA25CF">
            <w:pPr>
              <w:rPr>
                <w:rFonts w:cs="Arial"/>
                <w:color w:val="FF0000"/>
                <w:sz w:val="21"/>
                <w:szCs w:val="21"/>
              </w:rPr>
            </w:pPr>
          </w:p>
        </w:tc>
        <w:tc>
          <w:tcPr>
            <w:tcW w:w="217" w:type="dxa"/>
          </w:tcPr>
          <w:p w14:paraId="75921D64" w14:textId="77777777" w:rsidR="002C0FD9" w:rsidRPr="00CA25CF" w:rsidRDefault="002C0FD9" w:rsidP="00CA25CF">
            <w:pPr>
              <w:rPr>
                <w:rFonts w:cs="Arial"/>
                <w:color w:val="FF0000"/>
                <w:sz w:val="21"/>
                <w:szCs w:val="21"/>
              </w:rPr>
            </w:pPr>
          </w:p>
        </w:tc>
        <w:tc>
          <w:tcPr>
            <w:tcW w:w="217" w:type="dxa"/>
          </w:tcPr>
          <w:p w14:paraId="017E835D" w14:textId="77777777" w:rsidR="002C0FD9" w:rsidRPr="00CA25CF" w:rsidRDefault="002C0FD9" w:rsidP="00CA25CF">
            <w:pPr>
              <w:rPr>
                <w:rFonts w:cs="Arial"/>
                <w:color w:val="FF0000"/>
                <w:sz w:val="21"/>
                <w:szCs w:val="21"/>
              </w:rPr>
            </w:pPr>
          </w:p>
        </w:tc>
        <w:tc>
          <w:tcPr>
            <w:tcW w:w="217" w:type="dxa"/>
          </w:tcPr>
          <w:p w14:paraId="6D8227D3" w14:textId="77777777" w:rsidR="002C0FD9" w:rsidRPr="00CA25CF" w:rsidRDefault="002C0FD9" w:rsidP="00CA25CF">
            <w:pPr>
              <w:rPr>
                <w:rFonts w:cs="Arial"/>
                <w:color w:val="FF0000"/>
                <w:sz w:val="21"/>
                <w:szCs w:val="21"/>
              </w:rPr>
            </w:pPr>
          </w:p>
        </w:tc>
        <w:tc>
          <w:tcPr>
            <w:tcW w:w="217" w:type="dxa"/>
          </w:tcPr>
          <w:p w14:paraId="353ECDD4" w14:textId="77777777" w:rsidR="002C0FD9" w:rsidRPr="00CA25CF" w:rsidRDefault="002C0FD9" w:rsidP="00CA25CF">
            <w:pPr>
              <w:rPr>
                <w:rFonts w:cs="Arial"/>
                <w:color w:val="FF0000"/>
                <w:sz w:val="21"/>
                <w:szCs w:val="21"/>
              </w:rPr>
            </w:pPr>
          </w:p>
        </w:tc>
        <w:tc>
          <w:tcPr>
            <w:tcW w:w="217" w:type="dxa"/>
          </w:tcPr>
          <w:p w14:paraId="456B0CEA" w14:textId="77777777" w:rsidR="002C0FD9" w:rsidRPr="00CA25CF" w:rsidRDefault="002C0FD9" w:rsidP="00CA25CF">
            <w:pPr>
              <w:rPr>
                <w:rFonts w:cs="Arial"/>
                <w:color w:val="FF0000"/>
                <w:sz w:val="21"/>
                <w:szCs w:val="21"/>
              </w:rPr>
            </w:pPr>
          </w:p>
        </w:tc>
        <w:tc>
          <w:tcPr>
            <w:tcW w:w="217" w:type="dxa"/>
          </w:tcPr>
          <w:p w14:paraId="36DB511D" w14:textId="77777777" w:rsidR="002C0FD9" w:rsidRPr="00CA25CF" w:rsidRDefault="002C0FD9" w:rsidP="00CA25CF">
            <w:pPr>
              <w:rPr>
                <w:rFonts w:cs="Arial"/>
                <w:color w:val="FF0000"/>
                <w:sz w:val="21"/>
                <w:szCs w:val="21"/>
              </w:rPr>
            </w:pPr>
          </w:p>
        </w:tc>
        <w:tc>
          <w:tcPr>
            <w:tcW w:w="217" w:type="dxa"/>
          </w:tcPr>
          <w:p w14:paraId="16C392CA" w14:textId="77777777" w:rsidR="002C0FD9" w:rsidRPr="00CA25CF" w:rsidRDefault="002C0FD9" w:rsidP="00CA25CF">
            <w:pPr>
              <w:rPr>
                <w:rFonts w:cs="Arial"/>
                <w:color w:val="FF0000"/>
                <w:sz w:val="21"/>
                <w:szCs w:val="21"/>
              </w:rPr>
            </w:pPr>
          </w:p>
        </w:tc>
        <w:tc>
          <w:tcPr>
            <w:tcW w:w="217" w:type="dxa"/>
          </w:tcPr>
          <w:p w14:paraId="67E30D45" w14:textId="77777777" w:rsidR="002C0FD9" w:rsidRPr="00CA25CF" w:rsidRDefault="002C0FD9" w:rsidP="00CA25CF">
            <w:pPr>
              <w:rPr>
                <w:rFonts w:cs="Arial"/>
                <w:color w:val="FF0000"/>
                <w:sz w:val="21"/>
                <w:szCs w:val="21"/>
              </w:rPr>
            </w:pPr>
          </w:p>
        </w:tc>
        <w:tc>
          <w:tcPr>
            <w:tcW w:w="217" w:type="dxa"/>
          </w:tcPr>
          <w:p w14:paraId="0C81119F" w14:textId="77777777" w:rsidR="002C0FD9" w:rsidRPr="00CA25CF" w:rsidRDefault="002C0FD9" w:rsidP="00CA25CF">
            <w:pPr>
              <w:rPr>
                <w:rFonts w:cs="Arial"/>
                <w:color w:val="FF0000"/>
                <w:sz w:val="21"/>
                <w:szCs w:val="21"/>
              </w:rPr>
            </w:pPr>
          </w:p>
        </w:tc>
        <w:tc>
          <w:tcPr>
            <w:tcW w:w="217" w:type="dxa"/>
          </w:tcPr>
          <w:p w14:paraId="4E8DB669" w14:textId="77777777" w:rsidR="002C0FD9" w:rsidRPr="00CA25CF" w:rsidRDefault="002C0FD9" w:rsidP="00CA25CF">
            <w:pPr>
              <w:rPr>
                <w:rFonts w:cs="Arial"/>
                <w:color w:val="FF0000"/>
                <w:sz w:val="21"/>
                <w:szCs w:val="21"/>
              </w:rPr>
            </w:pPr>
          </w:p>
        </w:tc>
        <w:tc>
          <w:tcPr>
            <w:tcW w:w="217" w:type="dxa"/>
          </w:tcPr>
          <w:p w14:paraId="2D9BB615" w14:textId="77777777" w:rsidR="002C0FD9" w:rsidRPr="00CA25CF" w:rsidRDefault="002C0FD9" w:rsidP="00CA25CF">
            <w:pPr>
              <w:rPr>
                <w:rFonts w:cs="Arial"/>
                <w:color w:val="FF0000"/>
                <w:sz w:val="21"/>
                <w:szCs w:val="21"/>
              </w:rPr>
            </w:pPr>
          </w:p>
        </w:tc>
        <w:tc>
          <w:tcPr>
            <w:tcW w:w="217" w:type="dxa"/>
          </w:tcPr>
          <w:p w14:paraId="49A51899" w14:textId="77777777" w:rsidR="002C0FD9" w:rsidRPr="00CA25CF" w:rsidRDefault="002C0FD9" w:rsidP="00CA25CF">
            <w:pPr>
              <w:rPr>
                <w:rFonts w:cs="Arial"/>
                <w:color w:val="FF0000"/>
                <w:sz w:val="21"/>
                <w:szCs w:val="21"/>
              </w:rPr>
            </w:pPr>
          </w:p>
        </w:tc>
        <w:tc>
          <w:tcPr>
            <w:tcW w:w="217" w:type="dxa"/>
          </w:tcPr>
          <w:p w14:paraId="5DAD7EAC" w14:textId="77777777" w:rsidR="002C0FD9" w:rsidRPr="00CA25CF" w:rsidRDefault="002C0FD9" w:rsidP="00CA25CF">
            <w:pPr>
              <w:rPr>
                <w:rFonts w:cs="Arial"/>
                <w:color w:val="FF0000"/>
                <w:sz w:val="21"/>
                <w:szCs w:val="21"/>
              </w:rPr>
            </w:pPr>
          </w:p>
        </w:tc>
        <w:tc>
          <w:tcPr>
            <w:tcW w:w="217" w:type="dxa"/>
          </w:tcPr>
          <w:p w14:paraId="63E16533" w14:textId="77777777" w:rsidR="002C0FD9" w:rsidRPr="00CA25CF" w:rsidRDefault="002C0FD9" w:rsidP="00CA25CF">
            <w:pPr>
              <w:rPr>
                <w:rFonts w:cs="Arial"/>
                <w:color w:val="FF0000"/>
                <w:sz w:val="21"/>
                <w:szCs w:val="21"/>
              </w:rPr>
            </w:pPr>
          </w:p>
        </w:tc>
      </w:tr>
      <w:tr w:rsidR="002C0FD9" w:rsidRPr="00A16219" w14:paraId="6067EE8D" w14:textId="6A75602D" w:rsidTr="002C0FD9">
        <w:trPr>
          <w:trHeight w:val="635"/>
        </w:trPr>
        <w:tc>
          <w:tcPr>
            <w:tcW w:w="515" w:type="dxa"/>
          </w:tcPr>
          <w:p w14:paraId="1D4EAC2B" w14:textId="77777777" w:rsidR="002C0FD9" w:rsidRPr="00CA25CF" w:rsidRDefault="002C0FD9" w:rsidP="00CA25CF">
            <w:pPr>
              <w:rPr>
                <w:rFonts w:cs="Arial"/>
                <w:color w:val="FF0000"/>
                <w:sz w:val="21"/>
                <w:szCs w:val="21"/>
              </w:rPr>
            </w:pPr>
          </w:p>
        </w:tc>
        <w:tc>
          <w:tcPr>
            <w:tcW w:w="217" w:type="dxa"/>
          </w:tcPr>
          <w:p w14:paraId="62B6BD90" w14:textId="77777777" w:rsidR="002C0FD9" w:rsidRPr="00CA25CF" w:rsidRDefault="002C0FD9" w:rsidP="00CA25CF">
            <w:pPr>
              <w:rPr>
                <w:rFonts w:cs="Arial"/>
                <w:color w:val="FF0000"/>
                <w:sz w:val="21"/>
                <w:szCs w:val="21"/>
              </w:rPr>
            </w:pPr>
          </w:p>
        </w:tc>
        <w:tc>
          <w:tcPr>
            <w:tcW w:w="217" w:type="dxa"/>
          </w:tcPr>
          <w:p w14:paraId="6E2FC1D7" w14:textId="0F0C376B" w:rsidR="002C0FD9" w:rsidRPr="00CA25CF" w:rsidRDefault="002C0FD9" w:rsidP="00CA25CF">
            <w:pPr>
              <w:rPr>
                <w:rFonts w:cs="Arial"/>
                <w:color w:val="FF0000"/>
                <w:sz w:val="21"/>
                <w:szCs w:val="21"/>
              </w:rPr>
            </w:pPr>
          </w:p>
        </w:tc>
        <w:tc>
          <w:tcPr>
            <w:tcW w:w="217" w:type="dxa"/>
          </w:tcPr>
          <w:p w14:paraId="392C353D" w14:textId="77777777" w:rsidR="002C0FD9" w:rsidRPr="00CA25CF" w:rsidRDefault="002C0FD9" w:rsidP="00CA25CF">
            <w:pPr>
              <w:rPr>
                <w:rFonts w:cs="Arial"/>
                <w:color w:val="FF0000"/>
                <w:sz w:val="21"/>
                <w:szCs w:val="21"/>
              </w:rPr>
            </w:pPr>
          </w:p>
        </w:tc>
        <w:tc>
          <w:tcPr>
            <w:tcW w:w="217" w:type="dxa"/>
          </w:tcPr>
          <w:p w14:paraId="700340CB" w14:textId="77777777" w:rsidR="002C0FD9" w:rsidRPr="00CA25CF" w:rsidRDefault="002C0FD9" w:rsidP="00CA25CF">
            <w:pPr>
              <w:rPr>
                <w:rFonts w:cs="Arial"/>
                <w:color w:val="FF0000"/>
                <w:sz w:val="21"/>
                <w:szCs w:val="21"/>
              </w:rPr>
            </w:pPr>
          </w:p>
        </w:tc>
        <w:tc>
          <w:tcPr>
            <w:tcW w:w="217" w:type="dxa"/>
          </w:tcPr>
          <w:p w14:paraId="47D9B191" w14:textId="77777777" w:rsidR="002C0FD9" w:rsidRPr="00CA25CF" w:rsidRDefault="002C0FD9" w:rsidP="00CA25CF">
            <w:pPr>
              <w:rPr>
                <w:rFonts w:cs="Arial"/>
                <w:color w:val="FF0000"/>
                <w:sz w:val="21"/>
                <w:szCs w:val="21"/>
              </w:rPr>
            </w:pPr>
          </w:p>
        </w:tc>
        <w:tc>
          <w:tcPr>
            <w:tcW w:w="217" w:type="dxa"/>
          </w:tcPr>
          <w:p w14:paraId="057DF141" w14:textId="77777777" w:rsidR="002C0FD9" w:rsidRPr="00CA25CF" w:rsidRDefault="002C0FD9" w:rsidP="00CA25CF">
            <w:pPr>
              <w:rPr>
                <w:rFonts w:cs="Arial"/>
                <w:color w:val="FF0000"/>
                <w:sz w:val="21"/>
                <w:szCs w:val="21"/>
              </w:rPr>
            </w:pPr>
          </w:p>
        </w:tc>
        <w:tc>
          <w:tcPr>
            <w:tcW w:w="217" w:type="dxa"/>
          </w:tcPr>
          <w:p w14:paraId="4B9CFB77" w14:textId="77777777" w:rsidR="002C0FD9" w:rsidRPr="00CA25CF" w:rsidRDefault="002C0FD9" w:rsidP="00CA25CF">
            <w:pPr>
              <w:rPr>
                <w:rFonts w:cs="Arial"/>
                <w:color w:val="FF0000"/>
                <w:sz w:val="21"/>
                <w:szCs w:val="21"/>
              </w:rPr>
            </w:pPr>
          </w:p>
        </w:tc>
        <w:tc>
          <w:tcPr>
            <w:tcW w:w="217" w:type="dxa"/>
          </w:tcPr>
          <w:p w14:paraId="331C07CC" w14:textId="77777777" w:rsidR="002C0FD9" w:rsidRPr="00CA25CF" w:rsidRDefault="002C0FD9" w:rsidP="00CA25CF">
            <w:pPr>
              <w:rPr>
                <w:rFonts w:cs="Arial"/>
                <w:color w:val="FF0000"/>
                <w:sz w:val="21"/>
                <w:szCs w:val="21"/>
              </w:rPr>
            </w:pPr>
          </w:p>
        </w:tc>
        <w:tc>
          <w:tcPr>
            <w:tcW w:w="217" w:type="dxa"/>
          </w:tcPr>
          <w:p w14:paraId="5563F54D" w14:textId="77777777" w:rsidR="002C0FD9" w:rsidRPr="00CA25CF" w:rsidRDefault="002C0FD9" w:rsidP="00CA25CF">
            <w:pPr>
              <w:rPr>
                <w:rFonts w:cs="Arial"/>
                <w:color w:val="FF0000"/>
                <w:sz w:val="21"/>
                <w:szCs w:val="21"/>
              </w:rPr>
            </w:pPr>
          </w:p>
        </w:tc>
        <w:tc>
          <w:tcPr>
            <w:tcW w:w="217" w:type="dxa"/>
          </w:tcPr>
          <w:p w14:paraId="76C65CCB" w14:textId="77777777" w:rsidR="002C0FD9" w:rsidRPr="00CA25CF" w:rsidRDefault="002C0FD9" w:rsidP="00CA25CF">
            <w:pPr>
              <w:rPr>
                <w:rFonts w:cs="Arial"/>
                <w:color w:val="FF0000"/>
                <w:sz w:val="21"/>
                <w:szCs w:val="21"/>
              </w:rPr>
            </w:pPr>
          </w:p>
        </w:tc>
        <w:tc>
          <w:tcPr>
            <w:tcW w:w="217" w:type="dxa"/>
          </w:tcPr>
          <w:p w14:paraId="32E2BF13" w14:textId="77777777" w:rsidR="002C0FD9" w:rsidRPr="00CA25CF" w:rsidRDefault="002C0FD9" w:rsidP="00CA25CF">
            <w:pPr>
              <w:rPr>
                <w:rFonts w:cs="Arial"/>
                <w:color w:val="FF0000"/>
                <w:sz w:val="21"/>
                <w:szCs w:val="21"/>
              </w:rPr>
            </w:pPr>
          </w:p>
        </w:tc>
        <w:tc>
          <w:tcPr>
            <w:tcW w:w="217" w:type="dxa"/>
          </w:tcPr>
          <w:p w14:paraId="3FC901F6" w14:textId="77777777" w:rsidR="002C0FD9" w:rsidRPr="00CA25CF" w:rsidRDefault="002C0FD9" w:rsidP="00CA25CF">
            <w:pPr>
              <w:rPr>
                <w:rFonts w:cs="Arial"/>
                <w:color w:val="FF0000"/>
                <w:sz w:val="21"/>
                <w:szCs w:val="21"/>
              </w:rPr>
            </w:pPr>
          </w:p>
        </w:tc>
        <w:tc>
          <w:tcPr>
            <w:tcW w:w="217" w:type="dxa"/>
          </w:tcPr>
          <w:p w14:paraId="1D5D0DD7" w14:textId="77777777" w:rsidR="002C0FD9" w:rsidRPr="00CA25CF" w:rsidRDefault="002C0FD9" w:rsidP="00CA25CF">
            <w:pPr>
              <w:rPr>
                <w:rFonts w:cs="Arial"/>
                <w:color w:val="FF0000"/>
                <w:sz w:val="21"/>
                <w:szCs w:val="21"/>
              </w:rPr>
            </w:pPr>
          </w:p>
        </w:tc>
        <w:tc>
          <w:tcPr>
            <w:tcW w:w="217" w:type="dxa"/>
          </w:tcPr>
          <w:p w14:paraId="15E8B1EC" w14:textId="77777777" w:rsidR="002C0FD9" w:rsidRPr="00CA25CF" w:rsidRDefault="002C0FD9" w:rsidP="00CA25CF">
            <w:pPr>
              <w:rPr>
                <w:rFonts w:cs="Arial"/>
                <w:color w:val="FF0000"/>
                <w:sz w:val="21"/>
                <w:szCs w:val="21"/>
              </w:rPr>
            </w:pPr>
          </w:p>
        </w:tc>
        <w:tc>
          <w:tcPr>
            <w:tcW w:w="217" w:type="dxa"/>
          </w:tcPr>
          <w:p w14:paraId="22A6A730" w14:textId="67C95DB0" w:rsidR="002C0FD9" w:rsidRPr="00CA25CF" w:rsidRDefault="002C0FD9" w:rsidP="00CA25CF">
            <w:pPr>
              <w:rPr>
                <w:rFonts w:cs="Arial"/>
                <w:color w:val="FF0000"/>
                <w:sz w:val="21"/>
                <w:szCs w:val="21"/>
              </w:rPr>
            </w:pPr>
          </w:p>
        </w:tc>
        <w:tc>
          <w:tcPr>
            <w:tcW w:w="217" w:type="dxa"/>
          </w:tcPr>
          <w:p w14:paraId="6E689D79" w14:textId="77777777" w:rsidR="002C0FD9" w:rsidRPr="00CA25CF" w:rsidRDefault="002C0FD9" w:rsidP="00CA25CF">
            <w:pPr>
              <w:rPr>
                <w:rFonts w:cs="Arial"/>
                <w:color w:val="FF0000"/>
                <w:sz w:val="21"/>
                <w:szCs w:val="21"/>
              </w:rPr>
            </w:pPr>
          </w:p>
        </w:tc>
        <w:tc>
          <w:tcPr>
            <w:tcW w:w="217" w:type="dxa"/>
          </w:tcPr>
          <w:p w14:paraId="3E6E1E46" w14:textId="77777777" w:rsidR="002C0FD9" w:rsidRPr="00CA25CF" w:rsidRDefault="002C0FD9" w:rsidP="00CA25CF">
            <w:pPr>
              <w:rPr>
                <w:rFonts w:cs="Arial"/>
                <w:color w:val="FF0000"/>
                <w:sz w:val="21"/>
                <w:szCs w:val="21"/>
              </w:rPr>
            </w:pPr>
          </w:p>
        </w:tc>
        <w:tc>
          <w:tcPr>
            <w:tcW w:w="217" w:type="dxa"/>
          </w:tcPr>
          <w:p w14:paraId="218C2BE3" w14:textId="77777777" w:rsidR="002C0FD9" w:rsidRPr="00CA25CF" w:rsidRDefault="002C0FD9" w:rsidP="00CA25CF">
            <w:pPr>
              <w:rPr>
                <w:rFonts w:cs="Arial"/>
                <w:color w:val="FF0000"/>
                <w:sz w:val="21"/>
                <w:szCs w:val="21"/>
              </w:rPr>
            </w:pPr>
          </w:p>
        </w:tc>
        <w:tc>
          <w:tcPr>
            <w:tcW w:w="217" w:type="dxa"/>
          </w:tcPr>
          <w:p w14:paraId="197C6FBF" w14:textId="77777777" w:rsidR="002C0FD9" w:rsidRPr="00CA25CF" w:rsidRDefault="002C0FD9" w:rsidP="00CA25CF">
            <w:pPr>
              <w:rPr>
                <w:rFonts w:cs="Arial"/>
                <w:color w:val="FF0000"/>
                <w:sz w:val="21"/>
                <w:szCs w:val="21"/>
              </w:rPr>
            </w:pPr>
          </w:p>
        </w:tc>
        <w:tc>
          <w:tcPr>
            <w:tcW w:w="217" w:type="dxa"/>
          </w:tcPr>
          <w:p w14:paraId="55D7A26A" w14:textId="77777777" w:rsidR="002C0FD9" w:rsidRPr="00CA25CF" w:rsidRDefault="002C0FD9" w:rsidP="00CA25CF">
            <w:pPr>
              <w:rPr>
                <w:rFonts w:cs="Arial"/>
                <w:color w:val="FF0000"/>
                <w:sz w:val="21"/>
                <w:szCs w:val="21"/>
              </w:rPr>
            </w:pPr>
          </w:p>
        </w:tc>
        <w:tc>
          <w:tcPr>
            <w:tcW w:w="217" w:type="dxa"/>
          </w:tcPr>
          <w:p w14:paraId="4C7EA6E8" w14:textId="77777777" w:rsidR="002C0FD9" w:rsidRPr="00CA25CF" w:rsidRDefault="002C0FD9" w:rsidP="00CA25CF">
            <w:pPr>
              <w:rPr>
                <w:rFonts w:cs="Arial"/>
                <w:color w:val="FF0000"/>
                <w:sz w:val="21"/>
                <w:szCs w:val="21"/>
              </w:rPr>
            </w:pPr>
          </w:p>
        </w:tc>
        <w:tc>
          <w:tcPr>
            <w:tcW w:w="217" w:type="dxa"/>
          </w:tcPr>
          <w:p w14:paraId="33F79EED" w14:textId="77777777" w:rsidR="002C0FD9" w:rsidRPr="00CA25CF" w:rsidRDefault="002C0FD9" w:rsidP="00CA25CF">
            <w:pPr>
              <w:rPr>
                <w:rFonts w:cs="Arial"/>
                <w:color w:val="FF0000"/>
                <w:sz w:val="21"/>
                <w:szCs w:val="21"/>
              </w:rPr>
            </w:pPr>
          </w:p>
        </w:tc>
        <w:tc>
          <w:tcPr>
            <w:tcW w:w="217" w:type="dxa"/>
          </w:tcPr>
          <w:p w14:paraId="3D98B840" w14:textId="77777777" w:rsidR="002C0FD9" w:rsidRPr="00CA25CF" w:rsidRDefault="002C0FD9" w:rsidP="00CA25CF">
            <w:pPr>
              <w:rPr>
                <w:rFonts w:cs="Arial"/>
                <w:color w:val="FF0000"/>
                <w:sz w:val="21"/>
                <w:szCs w:val="21"/>
              </w:rPr>
            </w:pPr>
          </w:p>
        </w:tc>
        <w:tc>
          <w:tcPr>
            <w:tcW w:w="217" w:type="dxa"/>
          </w:tcPr>
          <w:p w14:paraId="26E13409" w14:textId="77777777" w:rsidR="002C0FD9" w:rsidRPr="00CA25CF" w:rsidRDefault="002C0FD9" w:rsidP="00CA25CF">
            <w:pPr>
              <w:rPr>
                <w:rFonts w:cs="Arial"/>
                <w:color w:val="FF0000"/>
                <w:sz w:val="21"/>
                <w:szCs w:val="21"/>
              </w:rPr>
            </w:pPr>
          </w:p>
        </w:tc>
        <w:tc>
          <w:tcPr>
            <w:tcW w:w="217" w:type="dxa"/>
          </w:tcPr>
          <w:p w14:paraId="28960D5F" w14:textId="77777777" w:rsidR="002C0FD9" w:rsidRPr="00CA25CF" w:rsidRDefault="002C0FD9" w:rsidP="00CA25CF">
            <w:pPr>
              <w:rPr>
                <w:rFonts w:cs="Arial"/>
                <w:color w:val="FF0000"/>
                <w:sz w:val="21"/>
                <w:szCs w:val="21"/>
              </w:rPr>
            </w:pPr>
          </w:p>
        </w:tc>
        <w:tc>
          <w:tcPr>
            <w:tcW w:w="217" w:type="dxa"/>
          </w:tcPr>
          <w:p w14:paraId="1F8BAFA9" w14:textId="77777777" w:rsidR="002C0FD9" w:rsidRPr="00CA25CF" w:rsidRDefault="002C0FD9" w:rsidP="00CA25CF">
            <w:pPr>
              <w:rPr>
                <w:rFonts w:cs="Arial"/>
                <w:color w:val="FF0000"/>
                <w:sz w:val="21"/>
                <w:szCs w:val="21"/>
              </w:rPr>
            </w:pPr>
          </w:p>
        </w:tc>
        <w:tc>
          <w:tcPr>
            <w:tcW w:w="217" w:type="dxa"/>
          </w:tcPr>
          <w:p w14:paraId="4CDE9812" w14:textId="77777777" w:rsidR="002C0FD9" w:rsidRPr="00CA25CF" w:rsidRDefault="002C0FD9" w:rsidP="00CA25CF">
            <w:pPr>
              <w:rPr>
                <w:rFonts w:cs="Arial"/>
                <w:color w:val="FF0000"/>
                <w:sz w:val="21"/>
                <w:szCs w:val="21"/>
              </w:rPr>
            </w:pPr>
          </w:p>
        </w:tc>
        <w:tc>
          <w:tcPr>
            <w:tcW w:w="217" w:type="dxa"/>
          </w:tcPr>
          <w:p w14:paraId="127CD4CA" w14:textId="77777777" w:rsidR="002C0FD9" w:rsidRPr="00CA25CF" w:rsidRDefault="002C0FD9" w:rsidP="00CA25CF">
            <w:pPr>
              <w:rPr>
                <w:rFonts w:cs="Arial"/>
                <w:color w:val="FF0000"/>
                <w:sz w:val="21"/>
                <w:szCs w:val="21"/>
              </w:rPr>
            </w:pPr>
          </w:p>
        </w:tc>
        <w:tc>
          <w:tcPr>
            <w:tcW w:w="217" w:type="dxa"/>
          </w:tcPr>
          <w:p w14:paraId="59FC1296" w14:textId="77777777" w:rsidR="002C0FD9" w:rsidRPr="00CA25CF" w:rsidRDefault="002C0FD9" w:rsidP="00CA25CF">
            <w:pPr>
              <w:rPr>
                <w:rFonts w:cs="Arial"/>
                <w:color w:val="FF0000"/>
                <w:sz w:val="21"/>
                <w:szCs w:val="21"/>
              </w:rPr>
            </w:pPr>
          </w:p>
        </w:tc>
        <w:tc>
          <w:tcPr>
            <w:tcW w:w="217" w:type="dxa"/>
          </w:tcPr>
          <w:p w14:paraId="3661F017" w14:textId="77777777" w:rsidR="002C0FD9" w:rsidRPr="00CA25CF" w:rsidRDefault="002C0FD9" w:rsidP="00CA25CF">
            <w:pPr>
              <w:rPr>
                <w:rFonts w:cs="Arial"/>
                <w:color w:val="FF0000"/>
                <w:sz w:val="21"/>
                <w:szCs w:val="21"/>
              </w:rPr>
            </w:pPr>
          </w:p>
        </w:tc>
        <w:tc>
          <w:tcPr>
            <w:tcW w:w="217" w:type="dxa"/>
          </w:tcPr>
          <w:p w14:paraId="664475E6" w14:textId="77777777" w:rsidR="002C0FD9" w:rsidRPr="00CA25CF" w:rsidRDefault="002C0FD9" w:rsidP="00CA25CF">
            <w:pPr>
              <w:rPr>
                <w:rFonts w:cs="Arial"/>
                <w:color w:val="FF0000"/>
                <w:sz w:val="21"/>
                <w:szCs w:val="21"/>
              </w:rPr>
            </w:pPr>
          </w:p>
        </w:tc>
        <w:tc>
          <w:tcPr>
            <w:tcW w:w="217" w:type="dxa"/>
          </w:tcPr>
          <w:p w14:paraId="6B6BE6B2" w14:textId="77777777" w:rsidR="002C0FD9" w:rsidRPr="00CA25CF" w:rsidRDefault="002C0FD9" w:rsidP="00CA25CF">
            <w:pPr>
              <w:rPr>
                <w:rFonts w:cs="Arial"/>
                <w:color w:val="FF0000"/>
                <w:sz w:val="21"/>
                <w:szCs w:val="21"/>
              </w:rPr>
            </w:pPr>
          </w:p>
        </w:tc>
        <w:tc>
          <w:tcPr>
            <w:tcW w:w="217" w:type="dxa"/>
          </w:tcPr>
          <w:p w14:paraId="257E3B51" w14:textId="77777777" w:rsidR="002C0FD9" w:rsidRPr="00CA25CF" w:rsidRDefault="002C0FD9" w:rsidP="00CA25CF">
            <w:pPr>
              <w:rPr>
                <w:rFonts w:cs="Arial"/>
                <w:color w:val="FF0000"/>
                <w:sz w:val="21"/>
                <w:szCs w:val="21"/>
              </w:rPr>
            </w:pPr>
          </w:p>
        </w:tc>
        <w:tc>
          <w:tcPr>
            <w:tcW w:w="217" w:type="dxa"/>
          </w:tcPr>
          <w:p w14:paraId="76B6679E" w14:textId="77777777" w:rsidR="002C0FD9" w:rsidRPr="00CA25CF" w:rsidRDefault="002C0FD9" w:rsidP="00CA25CF">
            <w:pPr>
              <w:rPr>
                <w:rFonts w:cs="Arial"/>
                <w:color w:val="FF0000"/>
                <w:sz w:val="21"/>
                <w:szCs w:val="21"/>
              </w:rPr>
            </w:pPr>
          </w:p>
        </w:tc>
        <w:tc>
          <w:tcPr>
            <w:tcW w:w="217" w:type="dxa"/>
          </w:tcPr>
          <w:p w14:paraId="4EB20665" w14:textId="77777777" w:rsidR="002C0FD9" w:rsidRPr="00CA25CF" w:rsidRDefault="002C0FD9" w:rsidP="00CA25CF">
            <w:pPr>
              <w:rPr>
                <w:rFonts w:cs="Arial"/>
                <w:color w:val="FF0000"/>
                <w:sz w:val="21"/>
                <w:szCs w:val="21"/>
              </w:rPr>
            </w:pPr>
          </w:p>
        </w:tc>
        <w:tc>
          <w:tcPr>
            <w:tcW w:w="217" w:type="dxa"/>
          </w:tcPr>
          <w:p w14:paraId="1EAC1D0C" w14:textId="77777777" w:rsidR="002C0FD9" w:rsidRPr="00CA25CF" w:rsidRDefault="002C0FD9" w:rsidP="00CA25CF">
            <w:pPr>
              <w:rPr>
                <w:rFonts w:cs="Arial"/>
                <w:color w:val="FF0000"/>
                <w:sz w:val="21"/>
                <w:szCs w:val="21"/>
              </w:rPr>
            </w:pPr>
          </w:p>
        </w:tc>
        <w:tc>
          <w:tcPr>
            <w:tcW w:w="217" w:type="dxa"/>
          </w:tcPr>
          <w:p w14:paraId="4BE30C5B" w14:textId="77777777" w:rsidR="002C0FD9" w:rsidRPr="00CA25CF" w:rsidRDefault="002C0FD9" w:rsidP="00CA25CF">
            <w:pPr>
              <w:rPr>
                <w:rFonts w:cs="Arial"/>
                <w:color w:val="FF0000"/>
                <w:sz w:val="21"/>
                <w:szCs w:val="21"/>
              </w:rPr>
            </w:pPr>
          </w:p>
        </w:tc>
        <w:tc>
          <w:tcPr>
            <w:tcW w:w="217" w:type="dxa"/>
          </w:tcPr>
          <w:p w14:paraId="605DE556" w14:textId="77777777" w:rsidR="002C0FD9" w:rsidRPr="00CA25CF" w:rsidRDefault="002C0FD9" w:rsidP="00CA25CF">
            <w:pPr>
              <w:rPr>
                <w:rFonts w:cs="Arial"/>
                <w:color w:val="FF0000"/>
                <w:sz w:val="21"/>
                <w:szCs w:val="21"/>
              </w:rPr>
            </w:pPr>
          </w:p>
        </w:tc>
        <w:tc>
          <w:tcPr>
            <w:tcW w:w="217" w:type="dxa"/>
          </w:tcPr>
          <w:p w14:paraId="0D33EBC3" w14:textId="77777777" w:rsidR="002C0FD9" w:rsidRPr="00CA25CF" w:rsidRDefault="002C0FD9" w:rsidP="00CA25CF">
            <w:pPr>
              <w:rPr>
                <w:rFonts w:cs="Arial"/>
                <w:color w:val="FF0000"/>
                <w:sz w:val="21"/>
                <w:szCs w:val="21"/>
              </w:rPr>
            </w:pPr>
          </w:p>
        </w:tc>
        <w:tc>
          <w:tcPr>
            <w:tcW w:w="217" w:type="dxa"/>
          </w:tcPr>
          <w:p w14:paraId="1BE85150" w14:textId="77777777" w:rsidR="002C0FD9" w:rsidRPr="00CA25CF" w:rsidRDefault="002C0FD9" w:rsidP="00CA25CF">
            <w:pPr>
              <w:rPr>
                <w:rFonts w:cs="Arial"/>
                <w:color w:val="FF0000"/>
                <w:sz w:val="21"/>
                <w:szCs w:val="21"/>
              </w:rPr>
            </w:pPr>
          </w:p>
        </w:tc>
        <w:tc>
          <w:tcPr>
            <w:tcW w:w="217" w:type="dxa"/>
          </w:tcPr>
          <w:p w14:paraId="3A8429C1" w14:textId="77777777" w:rsidR="002C0FD9" w:rsidRPr="00CA25CF" w:rsidRDefault="002C0FD9" w:rsidP="00CA25CF">
            <w:pPr>
              <w:rPr>
                <w:rFonts w:cs="Arial"/>
                <w:color w:val="FF0000"/>
                <w:sz w:val="21"/>
                <w:szCs w:val="21"/>
              </w:rPr>
            </w:pPr>
          </w:p>
        </w:tc>
        <w:tc>
          <w:tcPr>
            <w:tcW w:w="217" w:type="dxa"/>
          </w:tcPr>
          <w:p w14:paraId="7B4293B9" w14:textId="77777777" w:rsidR="002C0FD9" w:rsidRPr="00CA25CF" w:rsidRDefault="002C0FD9" w:rsidP="00CA25CF">
            <w:pPr>
              <w:rPr>
                <w:rFonts w:cs="Arial"/>
                <w:color w:val="FF0000"/>
                <w:sz w:val="21"/>
                <w:szCs w:val="21"/>
              </w:rPr>
            </w:pPr>
          </w:p>
        </w:tc>
      </w:tr>
      <w:tr w:rsidR="002C0FD9" w:rsidRPr="00A16219" w14:paraId="04D41945" w14:textId="2CBC1382" w:rsidTr="002C0FD9">
        <w:trPr>
          <w:trHeight w:val="635"/>
        </w:trPr>
        <w:tc>
          <w:tcPr>
            <w:tcW w:w="515" w:type="dxa"/>
          </w:tcPr>
          <w:p w14:paraId="0E378DC3" w14:textId="77777777" w:rsidR="002C0FD9" w:rsidRPr="00CA25CF" w:rsidRDefault="002C0FD9" w:rsidP="00CA25CF">
            <w:pPr>
              <w:rPr>
                <w:rFonts w:cs="Arial"/>
                <w:color w:val="FF0000"/>
                <w:sz w:val="21"/>
                <w:szCs w:val="21"/>
              </w:rPr>
            </w:pPr>
          </w:p>
        </w:tc>
        <w:tc>
          <w:tcPr>
            <w:tcW w:w="217" w:type="dxa"/>
          </w:tcPr>
          <w:p w14:paraId="510AA0FC" w14:textId="77777777" w:rsidR="002C0FD9" w:rsidRPr="00CA25CF" w:rsidRDefault="002C0FD9" w:rsidP="00CA25CF">
            <w:pPr>
              <w:rPr>
                <w:rFonts w:cs="Arial"/>
                <w:color w:val="FF0000"/>
                <w:sz w:val="21"/>
                <w:szCs w:val="21"/>
              </w:rPr>
            </w:pPr>
          </w:p>
        </w:tc>
        <w:tc>
          <w:tcPr>
            <w:tcW w:w="217" w:type="dxa"/>
          </w:tcPr>
          <w:p w14:paraId="044632F5" w14:textId="5F15592B" w:rsidR="002C0FD9" w:rsidRPr="00CA25CF" w:rsidRDefault="002C0FD9" w:rsidP="00CA25CF">
            <w:pPr>
              <w:rPr>
                <w:rFonts w:cs="Arial"/>
                <w:color w:val="FF0000"/>
                <w:sz w:val="21"/>
                <w:szCs w:val="21"/>
              </w:rPr>
            </w:pPr>
          </w:p>
        </w:tc>
        <w:tc>
          <w:tcPr>
            <w:tcW w:w="217" w:type="dxa"/>
          </w:tcPr>
          <w:p w14:paraId="141D8E90" w14:textId="77777777" w:rsidR="002C0FD9" w:rsidRPr="00CA25CF" w:rsidRDefault="002C0FD9" w:rsidP="00CA25CF">
            <w:pPr>
              <w:rPr>
                <w:rFonts w:cs="Arial"/>
                <w:color w:val="FF0000"/>
                <w:sz w:val="21"/>
                <w:szCs w:val="21"/>
              </w:rPr>
            </w:pPr>
          </w:p>
        </w:tc>
        <w:tc>
          <w:tcPr>
            <w:tcW w:w="217" w:type="dxa"/>
          </w:tcPr>
          <w:p w14:paraId="4CF2EE92" w14:textId="77777777" w:rsidR="002C0FD9" w:rsidRPr="00CA25CF" w:rsidRDefault="002C0FD9" w:rsidP="00CA25CF">
            <w:pPr>
              <w:rPr>
                <w:rFonts w:cs="Arial"/>
                <w:color w:val="FF0000"/>
                <w:sz w:val="21"/>
                <w:szCs w:val="21"/>
              </w:rPr>
            </w:pPr>
          </w:p>
        </w:tc>
        <w:tc>
          <w:tcPr>
            <w:tcW w:w="217" w:type="dxa"/>
          </w:tcPr>
          <w:p w14:paraId="1EB74317" w14:textId="77777777" w:rsidR="002C0FD9" w:rsidRPr="00CA25CF" w:rsidRDefault="002C0FD9" w:rsidP="00CA25CF">
            <w:pPr>
              <w:rPr>
                <w:rFonts w:cs="Arial"/>
                <w:color w:val="FF0000"/>
                <w:sz w:val="21"/>
                <w:szCs w:val="21"/>
              </w:rPr>
            </w:pPr>
          </w:p>
        </w:tc>
        <w:tc>
          <w:tcPr>
            <w:tcW w:w="217" w:type="dxa"/>
          </w:tcPr>
          <w:p w14:paraId="779579FB" w14:textId="77777777" w:rsidR="002C0FD9" w:rsidRPr="00CA25CF" w:rsidRDefault="002C0FD9" w:rsidP="00CA25CF">
            <w:pPr>
              <w:rPr>
                <w:rFonts w:cs="Arial"/>
                <w:color w:val="FF0000"/>
                <w:sz w:val="21"/>
                <w:szCs w:val="21"/>
              </w:rPr>
            </w:pPr>
          </w:p>
        </w:tc>
        <w:tc>
          <w:tcPr>
            <w:tcW w:w="217" w:type="dxa"/>
          </w:tcPr>
          <w:p w14:paraId="3C758DF7" w14:textId="77777777" w:rsidR="002C0FD9" w:rsidRPr="00CA25CF" w:rsidRDefault="002C0FD9" w:rsidP="00CA25CF">
            <w:pPr>
              <w:rPr>
                <w:rFonts w:cs="Arial"/>
                <w:color w:val="FF0000"/>
                <w:sz w:val="21"/>
                <w:szCs w:val="21"/>
              </w:rPr>
            </w:pPr>
          </w:p>
        </w:tc>
        <w:tc>
          <w:tcPr>
            <w:tcW w:w="217" w:type="dxa"/>
          </w:tcPr>
          <w:p w14:paraId="0E705F07" w14:textId="77777777" w:rsidR="002C0FD9" w:rsidRPr="00CA25CF" w:rsidRDefault="002C0FD9" w:rsidP="00CA25CF">
            <w:pPr>
              <w:rPr>
                <w:rFonts w:cs="Arial"/>
                <w:color w:val="FF0000"/>
                <w:sz w:val="21"/>
                <w:szCs w:val="21"/>
              </w:rPr>
            </w:pPr>
          </w:p>
        </w:tc>
        <w:tc>
          <w:tcPr>
            <w:tcW w:w="217" w:type="dxa"/>
          </w:tcPr>
          <w:p w14:paraId="07FA445F" w14:textId="77777777" w:rsidR="002C0FD9" w:rsidRPr="00CA25CF" w:rsidRDefault="002C0FD9" w:rsidP="00CA25CF">
            <w:pPr>
              <w:rPr>
                <w:rFonts w:cs="Arial"/>
                <w:color w:val="FF0000"/>
                <w:sz w:val="21"/>
                <w:szCs w:val="21"/>
              </w:rPr>
            </w:pPr>
          </w:p>
        </w:tc>
        <w:tc>
          <w:tcPr>
            <w:tcW w:w="217" w:type="dxa"/>
          </w:tcPr>
          <w:p w14:paraId="271DA62A" w14:textId="77777777" w:rsidR="002C0FD9" w:rsidRPr="00CA25CF" w:rsidRDefault="002C0FD9" w:rsidP="00CA25CF">
            <w:pPr>
              <w:rPr>
                <w:rFonts w:cs="Arial"/>
                <w:color w:val="FF0000"/>
                <w:sz w:val="21"/>
                <w:szCs w:val="21"/>
              </w:rPr>
            </w:pPr>
          </w:p>
        </w:tc>
        <w:tc>
          <w:tcPr>
            <w:tcW w:w="217" w:type="dxa"/>
          </w:tcPr>
          <w:p w14:paraId="377C4ED5" w14:textId="77777777" w:rsidR="002C0FD9" w:rsidRPr="00CA25CF" w:rsidRDefault="002C0FD9" w:rsidP="00CA25CF">
            <w:pPr>
              <w:rPr>
                <w:rFonts w:cs="Arial"/>
                <w:color w:val="FF0000"/>
                <w:sz w:val="21"/>
                <w:szCs w:val="21"/>
              </w:rPr>
            </w:pPr>
          </w:p>
        </w:tc>
        <w:tc>
          <w:tcPr>
            <w:tcW w:w="217" w:type="dxa"/>
          </w:tcPr>
          <w:p w14:paraId="36E91659" w14:textId="77777777" w:rsidR="002C0FD9" w:rsidRPr="00CA25CF" w:rsidRDefault="002C0FD9" w:rsidP="00CA25CF">
            <w:pPr>
              <w:rPr>
                <w:rFonts w:cs="Arial"/>
                <w:color w:val="FF0000"/>
                <w:sz w:val="21"/>
                <w:szCs w:val="21"/>
              </w:rPr>
            </w:pPr>
          </w:p>
        </w:tc>
        <w:tc>
          <w:tcPr>
            <w:tcW w:w="217" w:type="dxa"/>
          </w:tcPr>
          <w:p w14:paraId="270B2D6C" w14:textId="77777777" w:rsidR="002C0FD9" w:rsidRPr="00CA25CF" w:rsidRDefault="002C0FD9" w:rsidP="00CA25CF">
            <w:pPr>
              <w:rPr>
                <w:rFonts w:cs="Arial"/>
                <w:color w:val="FF0000"/>
                <w:sz w:val="21"/>
                <w:szCs w:val="21"/>
              </w:rPr>
            </w:pPr>
          </w:p>
        </w:tc>
        <w:tc>
          <w:tcPr>
            <w:tcW w:w="217" w:type="dxa"/>
          </w:tcPr>
          <w:p w14:paraId="72DA60F2" w14:textId="77777777" w:rsidR="002C0FD9" w:rsidRPr="00CA25CF" w:rsidRDefault="002C0FD9" w:rsidP="00CA25CF">
            <w:pPr>
              <w:rPr>
                <w:rFonts w:cs="Arial"/>
                <w:color w:val="FF0000"/>
                <w:sz w:val="21"/>
                <w:szCs w:val="21"/>
              </w:rPr>
            </w:pPr>
          </w:p>
        </w:tc>
        <w:tc>
          <w:tcPr>
            <w:tcW w:w="217" w:type="dxa"/>
          </w:tcPr>
          <w:p w14:paraId="0AA4C8FC" w14:textId="722B9E9A" w:rsidR="002C0FD9" w:rsidRPr="00CA25CF" w:rsidRDefault="002C0FD9" w:rsidP="00CA25CF">
            <w:pPr>
              <w:rPr>
                <w:rFonts w:cs="Arial"/>
                <w:color w:val="FF0000"/>
                <w:sz w:val="21"/>
                <w:szCs w:val="21"/>
              </w:rPr>
            </w:pPr>
          </w:p>
        </w:tc>
        <w:tc>
          <w:tcPr>
            <w:tcW w:w="217" w:type="dxa"/>
          </w:tcPr>
          <w:p w14:paraId="6EBF2397" w14:textId="77777777" w:rsidR="002C0FD9" w:rsidRPr="00CA25CF" w:rsidRDefault="002C0FD9" w:rsidP="00CA25CF">
            <w:pPr>
              <w:rPr>
                <w:rFonts w:cs="Arial"/>
                <w:color w:val="FF0000"/>
                <w:sz w:val="21"/>
                <w:szCs w:val="21"/>
              </w:rPr>
            </w:pPr>
          </w:p>
        </w:tc>
        <w:tc>
          <w:tcPr>
            <w:tcW w:w="217" w:type="dxa"/>
          </w:tcPr>
          <w:p w14:paraId="35C552F7" w14:textId="77777777" w:rsidR="002C0FD9" w:rsidRPr="00CA25CF" w:rsidRDefault="002C0FD9" w:rsidP="00CA25CF">
            <w:pPr>
              <w:rPr>
                <w:rFonts w:cs="Arial"/>
                <w:color w:val="FF0000"/>
                <w:sz w:val="21"/>
                <w:szCs w:val="21"/>
              </w:rPr>
            </w:pPr>
          </w:p>
        </w:tc>
        <w:tc>
          <w:tcPr>
            <w:tcW w:w="217" w:type="dxa"/>
          </w:tcPr>
          <w:p w14:paraId="6E0C91FD" w14:textId="77777777" w:rsidR="002C0FD9" w:rsidRPr="00CA25CF" w:rsidRDefault="002C0FD9" w:rsidP="00CA25CF">
            <w:pPr>
              <w:rPr>
                <w:rFonts w:cs="Arial"/>
                <w:color w:val="FF0000"/>
                <w:sz w:val="21"/>
                <w:szCs w:val="21"/>
              </w:rPr>
            </w:pPr>
          </w:p>
        </w:tc>
        <w:tc>
          <w:tcPr>
            <w:tcW w:w="217" w:type="dxa"/>
          </w:tcPr>
          <w:p w14:paraId="734982F4" w14:textId="77777777" w:rsidR="002C0FD9" w:rsidRPr="00CA25CF" w:rsidRDefault="002C0FD9" w:rsidP="00CA25CF">
            <w:pPr>
              <w:rPr>
                <w:rFonts w:cs="Arial"/>
                <w:color w:val="FF0000"/>
                <w:sz w:val="21"/>
                <w:szCs w:val="21"/>
              </w:rPr>
            </w:pPr>
          </w:p>
        </w:tc>
        <w:tc>
          <w:tcPr>
            <w:tcW w:w="217" w:type="dxa"/>
          </w:tcPr>
          <w:p w14:paraId="6631C7FE" w14:textId="77777777" w:rsidR="002C0FD9" w:rsidRPr="00CA25CF" w:rsidRDefault="002C0FD9" w:rsidP="00CA25CF">
            <w:pPr>
              <w:rPr>
                <w:rFonts w:cs="Arial"/>
                <w:color w:val="FF0000"/>
                <w:sz w:val="21"/>
                <w:szCs w:val="21"/>
              </w:rPr>
            </w:pPr>
          </w:p>
        </w:tc>
        <w:tc>
          <w:tcPr>
            <w:tcW w:w="217" w:type="dxa"/>
          </w:tcPr>
          <w:p w14:paraId="1ED25722" w14:textId="77777777" w:rsidR="002C0FD9" w:rsidRPr="00CA25CF" w:rsidRDefault="002C0FD9" w:rsidP="00CA25CF">
            <w:pPr>
              <w:rPr>
                <w:rFonts w:cs="Arial"/>
                <w:color w:val="FF0000"/>
                <w:sz w:val="21"/>
                <w:szCs w:val="21"/>
              </w:rPr>
            </w:pPr>
          </w:p>
        </w:tc>
        <w:tc>
          <w:tcPr>
            <w:tcW w:w="217" w:type="dxa"/>
          </w:tcPr>
          <w:p w14:paraId="46453F83" w14:textId="77777777" w:rsidR="002C0FD9" w:rsidRPr="00CA25CF" w:rsidRDefault="002C0FD9" w:rsidP="00CA25CF">
            <w:pPr>
              <w:rPr>
                <w:rFonts w:cs="Arial"/>
                <w:color w:val="FF0000"/>
                <w:sz w:val="21"/>
                <w:szCs w:val="21"/>
              </w:rPr>
            </w:pPr>
          </w:p>
        </w:tc>
        <w:tc>
          <w:tcPr>
            <w:tcW w:w="217" w:type="dxa"/>
          </w:tcPr>
          <w:p w14:paraId="69A263E5" w14:textId="77777777" w:rsidR="002C0FD9" w:rsidRPr="00CA25CF" w:rsidRDefault="002C0FD9" w:rsidP="00CA25CF">
            <w:pPr>
              <w:rPr>
                <w:rFonts w:cs="Arial"/>
                <w:color w:val="FF0000"/>
                <w:sz w:val="21"/>
                <w:szCs w:val="21"/>
              </w:rPr>
            </w:pPr>
          </w:p>
        </w:tc>
        <w:tc>
          <w:tcPr>
            <w:tcW w:w="217" w:type="dxa"/>
          </w:tcPr>
          <w:p w14:paraId="15DF4A32" w14:textId="77777777" w:rsidR="002C0FD9" w:rsidRPr="00CA25CF" w:rsidRDefault="002C0FD9" w:rsidP="00CA25CF">
            <w:pPr>
              <w:rPr>
                <w:rFonts w:cs="Arial"/>
                <w:color w:val="FF0000"/>
                <w:sz w:val="21"/>
                <w:szCs w:val="21"/>
              </w:rPr>
            </w:pPr>
          </w:p>
        </w:tc>
        <w:tc>
          <w:tcPr>
            <w:tcW w:w="217" w:type="dxa"/>
          </w:tcPr>
          <w:p w14:paraId="322E1943" w14:textId="77777777" w:rsidR="002C0FD9" w:rsidRPr="00CA25CF" w:rsidRDefault="002C0FD9" w:rsidP="00CA25CF">
            <w:pPr>
              <w:rPr>
                <w:rFonts w:cs="Arial"/>
                <w:color w:val="FF0000"/>
                <w:sz w:val="21"/>
                <w:szCs w:val="21"/>
              </w:rPr>
            </w:pPr>
          </w:p>
        </w:tc>
        <w:tc>
          <w:tcPr>
            <w:tcW w:w="217" w:type="dxa"/>
          </w:tcPr>
          <w:p w14:paraId="2D8BE28D" w14:textId="77777777" w:rsidR="002C0FD9" w:rsidRPr="00CA25CF" w:rsidRDefault="002C0FD9" w:rsidP="00CA25CF">
            <w:pPr>
              <w:rPr>
                <w:rFonts w:cs="Arial"/>
                <w:color w:val="FF0000"/>
                <w:sz w:val="21"/>
                <w:szCs w:val="21"/>
              </w:rPr>
            </w:pPr>
          </w:p>
        </w:tc>
        <w:tc>
          <w:tcPr>
            <w:tcW w:w="217" w:type="dxa"/>
          </w:tcPr>
          <w:p w14:paraId="6A7F1270" w14:textId="77777777" w:rsidR="002C0FD9" w:rsidRPr="00CA25CF" w:rsidRDefault="002C0FD9" w:rsidP="00CA25CF">
            <w:pPr>
              <w:rPr>
                <w:rFonts w:cs="Arial"/>
                <w:color w:val="FF0000"/>
                <w:sz w:val="21"/>
                <w:szCs w:val="21"/>
              </w:rPr>
            </w:pPr>
          </w:p>
        </w:tc>
        <w:tc>
          <w:tcPr>
            <w:tcW w:w="217" w:type="dxa"/>
          </w:tcPr>
          <w:p w14:paraId="27F33D03" w14:textId="77777777" w:rsidR="002C0FD9" w:rsidRPr="00CA25CF" w:rsidRDefault="002C0FD9" w:rsidP="00CA25CF">
            <w:pPr>
              <w:rPr>
                <w:rFonts w:cs="Arial"/>
                <w:color w:val="FF0000"/>
                <w:sz w:val="21"/>
                <w:szCs w:val="21"/>
              </w:rPr>
            </w:pPr>
          </w:p>
        </w:tc>
        <w:tc>
          <w:tcPr>
            <w:tcW w:w="217" w:type="dxa"/>
          </w:tcPr>
          <w:p w14:paraId="39786C44" w14:textId="77777777" w:rsidR="002C0FD9" w:rsidRPr="00CA25CF" w:rsidRDefault="002C0FD9" w:rsidP="00CA25CF">
            <w:pPr>
              <w:rPr>
                <w:rFonts w:cs="Arial"/>
                <w:color w:val="FF0000"/>
                <w:sz w:val="21"/>
                <w:szCs w:val="21"/>
              </w:rPr>
            </w:pPr>
          </w:p>
        </w:tc>
        <w:tc>
          <w:tcPr>
            <w:tcW w:w="217" w:type="dxa"/>
          </w:tcPr>
          <w:p w14:paraId="5BDE2DD0" w14:textId="77777777" w:rsidR="002C0FD9" w:rsidRPr="00CA25CF" w:rsidRDefault="002C0FD9" w:rsidP="00CA25CF">
            <w:pPr>
              <w:rPr>
                <w:rFonts w:cs="Arial"/>
                <w:color w:val="FF0000"/>
                <w:sz w:val="21"/>
                <w:szCs w:val="21"/>
              </w:rPr>
            </w:pPr>
          </w:p>
        </w:tc>
        <w:tc>
          <w:tcPr>
            <w:tcW w:w="217" w:type="dxa"/>
          </w:tcPr>
          <w:p w14:paraId="75907ED8" w14:textId="77777777" w:rsidR="002C0FD9" w:rsidRPr="00CA25CF" w:rsidRDefault="002C0FD9" w:rsidP="00CA25CF">
            <w:pPr>
              <w:rPr>
                <w:rFonts w:cs="Arial"/>
                <w:color w:val="FF0000"/>
                <w:sz w:val="21"/>
                <w:szCs w:val="21"/>
              </w:rPr>
            </w:pPr>
          </w:p>
        </w:tc>
        <w:tc>
          <w:tcPr>
            <w:tcW w:w="217" w:type="dxa"/>
          </w:tcPr>
          <w:p w14:paraId="435F0F18" w14:textId="77777777" w:rsidR="002C0FD9" w:rsidRPr="00CA25CF" w:rsidRDefault="002C0FD9" w:rsidP="00CA25CF">
            <w:pPr>
              <w:rPr>
                <w:rFonts w:cs="Arial"/>
                <w:color w:val="FF0000"/>
                <w:sz w:val="21"/>
                <w:szCs w:val="21"/>
              </w:rPr>
            </w:pPr>
          </w:p>
        </w:tc>
        <w:tc>
          <w:tcPr>
            <w:tcW w:w="217" w:type="dxa"/>
          </w:tcPr>
          <w:p w14:paraId="30D2D17A" w14:textId="77777777" w:rsidR="002C0FD9" w:rsidRPr="00CA25CF" w:rsidRDefault="002C0FD9" w:rsidP="00CA25CF">
            <w:pPr>
              <w:rPr>
                <w:rFonts w:cs="Arial"/>
                <w:color w:val="FF0000"/>
                <w:sz w:val="21"/>
                <w:szCs w:val="21"/>
              </w:rPr>
            </w:pPr>
          </w:p>
        </w:tc>
        <w:tc>
          <w:tcPr>
            <w:tcW w:w="217" w:type="dxa"/>
          </w:tcPr>
          <w:p w14:paraId="22BB1348" w14:textId="77777777" w:rsidR="002C0FD9" w:rsidRPr="00CA25CF" w:rsidRDefault="002C0FD9" w:rsidP="00CA25CF">
            <w:pPr>
              <w:rPr>
                <w:rFonts w:cs="Arial"/>
                <w:color w:val="FF0000"/>
                <w:sz w:val="21"/>
                <w:szCs w:val="21"/>
              </w:rPr>
            </w:pPr>
          </w:p>
        </w:tc>
        <w:tc>
          <w:tcPr>
            <w:tcW w:w="217" w:type="dxa"/>
          </w:tcPr>
          <w:p w14:paraId="7DDF8273" w14:textId="77777777" w:rsidR="002C0FD9" w:rsidRPr="00CA25CF" w:rsidRDefault="002C0FD9" w:rsidP="00CA25CF">
            <w:pPr>
              <w:rPr>
                <w:rFonts w:cs="Arial"/>
                <w:color w:val="FF0000"/>
                <w:sz w:val="21"/>
                <w:szCs w:val="21"/>
              </w:rPr>
            </w:pPr>
          </w:p>
        </w:tc>
        <w:tc>
          <w:tcPr>
            <w:tcW w:w="217" w:type="dxa"/>
          </w:tcPr>
          <w:p w14:paraId="029C790E" w14:textId="77777777" w:rsidR="002C0FD9" w:rsidRPr="00CA25CF" w:rsidRDefault="002C0FD9" w:rsidP="00CA25CF">
            <w:pPr>
              <w:rPr>
                <w:rFonts w:cs="Arial"/>
                <w:color w:val="FF0000"/>
                <w:sz w:val="21"/>
                <w:szCs w:val="21"/>
              </w:rPr>
            </w:pPr>
          </w:p>
        </w:tc>
        <w:tc>
          <w:tcPr>
            <w:tcW w:w="217" w:type="dxa"/>
          </w:tcPr>
          <w:p w14:paraId="47DCCA8E" w14:textId="77777777" w:rsidR="002C0FD9" w:rsidRPr="00CA25CF" w:rsidRDefault="002C0FD9" w:rsidP="00CA25CF">
            <w:pPr>
              <w:rPr>
                <w:rFonts w:cs="Arial"/>
                <w:color w:val="FF0000"/>
                <w:sz w:val="21"/>
                <w:szCs w:val="21"/>
              </w:rPr>
            </w:pPr>
          </w:p>
        </w:tc>
        <w:tc>
          <w:tcPr>
            <w:tcW w:w="217" w:type="dxa"/>
          </w:tcPr>
          <w:p w14:paraId="7C537377" w14:textId="77777777" w:rsidR="002C0FD9" w:rsidRPr="00CA25CF" w:rsidRDefault="002C0FD9" w:rsidP="00CA25CF">
            <w:pPr>
              <w:rPr>
                <w:rFonts w:cs="Arial"/>
                <w:color w:val="FF0000"/>
                <w:sz w:val="21"/>
                <w:szCs w:val="21"/>
              </w:rPr>
            </w:pPr>
          </w:p>
        </w:tc>
        <w:tc>
          <w:tcPr>
            <w:tcW w:w="217" w:type="dxa"/>
          </w:tcPr>
          <w:p w14:paraId="288190D2" w14:textId="77777777" w:rsidR="002C0FD9" w:rsidRPr="00CA25CF" w:rsidRDefault="002C0FD9" w:rsidP="00CA25CF">
            <w:pPr>
              <w:rPr>
                <w:rFonts w:cs="Arial"/>
                <w:color w:val="FF0000"/>
                <w:sz w:val="21"/>
                <w:szCs w:val="21"/>
              </w:rPr>
            </w:pPr>
          </w:p>
        </w:tc>
        <w:tc>
          <w:tcPr>
            <w:tcW w:w="217" w:type="dxa"/>
          </w:tcPr>
          <w:p w14:paraId="0D9D940C" w14:textId="77777777" w:rsidR="002C0FD9" w:rsidRPr="00CA25CF" w:rsidRDefault="002C0FD9" w:rsidP="00CA25CF">
            <w:pPr>
              <w:rPr>
                <w:rFonts w:cs="Arial"/>
                <w:color w:val="FF0000"/>
                <w:sz w:val="21"/>
                <w:szCs w:val="21"/>
              </w:rPr>
            </w:pPr>
          </w:p>
        </w:tc>
        <w:tc>
          <w:tcPr>
            <w:tcW w:w="217" w:type="dxa"/>
          </w:tcPr>
          <w:p w14:paraId="714535F8" w14:textId="77777777" w:rsidR="002C0FD9" w:rsidRPr="00CA25CF" w:rsidRDefault="002C0FD9" w:rsidP="00CA25CF">
            <w:pPr>
              <w:rPr>
                <w:rFonts w:cs="Arial"/>
                <w:color w:val="FF0000"/>
                <w:sz w:val="21"/>
                <w:szCs w:val="21"/>
              </w:rPr>
            </w:pPr>
          </w:p>
        </w:tc>
        <w:tc>
          <w:tcPr>
            <w:tcW w:w="217" w:type="dxa"/>
          </w:tcPr>
          <w:p w14:paraId="07347258" w14:textId="77777777" w:rsidR="002C0FD9" w:rsidRPr="00CA25CF" w:rsidRDefault="002C0FD9" w:rsidP="00CA25CF">
            <w:pPr>
              <w:rPr>
                <w:rFonts w:cs="Arial"/>
                <w:color w:val="FF0000"/>
                <w:sz w:val="21"/>
                <w:szCs w:val="21"/>
              </w:rPr>
            </w:pPr>
          </w:p>
        </w:tc>
      </w:tr>
      <w:tr w:rsidR="002C0FD9" w:rsidRPr="00A16219" w14:paraId="5E4A76F7" w14:textId="11F6910A" w:rsidTr="002C0FD9">
        <w:trPr>
          <w:trHeight w:val="635"/>
        </w:trPr>
        <w:tc>
          <w:tcPr>
            <w:tcW w:w="515" w:type="dxa"/>
          </w:tcPr>
          <w:p w14:paraId="57DA2C0E" w14:textId="77777777" w:rsidR="002C0FD9" w:rsidRPr="00CA25CF" w:rsidRDefault="002C0FD9" w:rsidP="00CA25CF">
            <w:pPr>
              <w:rPr>
                <w:rFonts w:cs="Arial"/>
                <w:color w:val="FF0000"/>
                <w:sz w:val="21"/>
                <w:szCs w:val="21"/>
              </w:rPr>
            </w:pPr>
          </w:p>
        </w:tc>
        <w:tc>
          <w:tcPr>
            <w:tcW w:w="217" w:type="dxa"/>
          </w:tcPr>
          <w:p w14:paraId="18B6AC9F" w14:textId="77777777" w:rsidR="002C0FD9" w:rsidRPr="00CA25CF" w:rsidRDefault="002C0FD9" w:rsidP="00CA25CF">
            <w:pPr>
              <w:rPr>
                <w:rFonts w:cs="Arial"/>
                <w:color w:val="FF0000"/>
                <w:sz w:val="21"/>
                <w:szCs w:val="21"/>
              </w:rPr>
            </w:pPr>
          </w:p>
        </w:tc>
        <w:tc>
          <w:tcPr>
            <w:tcW w:w="217" w:type="dxa"/>
          </w:tcPr>
          <w:p w14:paraId="67D8F392" w14:textId="1916BF54" w:rsidR="002C0FD9" w:rsidRPr="00CA25CF" w:rsidRDefault="002C0FD9" w:rsidP="00CA25CF">
            <w:pPr>
              <w:rPr>
                <w:rFonts w:cs="Arial"/>
                <w:color w:val="FF0000"/>
                <w:sz w:val="21"/>
                <w:szCs w:val="21"/>
              </w:rPr>
            </w:pPr>
          </w:p>
        </w:tc>
        <w:tc>
          <w:tcPr>
            <w:tcW w:w="217" w:type="dxa"/>
          </w:tcPr>
          <w:p w14:paraId="090503C1" w14:textId="77777777" w:rsidR="002C0FD9" w:rsidRPr="00CA25CF" w:rsidRDefault="002C0FD9" w:rsidP="00CA25CF">
            <w:pPr>
              <w:rPr>
                <w:rFonts w:cs="Arial"/>
                <w:color w:val="FF0000"/>
                <w:sz w:val="21"/>
                <w:szCs w:val="21"/>
              </w:rPr>
            </w:pPr>
          </w:p>
        </w:tc>
        <w:tc>
          <w:tcPr>
            <w:tcW w:w="217" w:type="dxa"/>
          </w:tcPr>
          <w:p w14:paraId="206DC32E" w14:textId="77777777" w:rsidR="002C0FD9" w:rsidRPr="00CA25CF" w:rsidRDefault="002C0FD9" w:rsidP="00CA25CF">
            <w:pPr>
              <w:rPr>
                <w:rFonts w:cs="Arial"/>
                <w:color w:val="FF0000"/>
                <w:sz w:val="21"/>
                <w:szCs w:val="21"/>
              </w:rPr>
            </w:pPr>
          </w:p>
        </w:tc>
        <w:tc>
          <w:tcPr>
            <w:tcW w:w="217" w:type="dxa"/>
          </w:tcPr>
          <w:p w14:paraId="2DE57ACD" w14:textId="77777777" w:rsidR="002C0FD9" w:rsidRPr="00CA25CF" w:rsidRDefault="002C0FD9" w:rsidP="00CA25CF">
            <w:pPr>
              <w:rPr>
                <w:rFonts w:cs="Arial"/>
                <w:color w:val="FF0000"/>
                <w:sz w:val="21"/>
                <w:szCs w:val="21"/>
              </w:rPr>
            </w:pPr>
          </w:p>
        </w:tc>
        <w:tc>
          <w:tcPr>
            <w:tcW w:w="217" w:type="dxa"/>
          </w:tcPr>
          <w:p w14:paraId="57A4E210" w14:textId="77777777" w:rsidR="002C0FD9" w:rsidRPr="00CA25CF" w:rsidRDefault="002C0FD9" w:rsidP="00CA25CF">
            <w:pPr>
              <w:rPr>
                <w:rFonts w:cs="Arial"/>
                <w:color w:val="FF0000"/>
                <w:sz w:val="21"/>
                <w:szCs w:val="21"/>
              </w:rPr>
            </w:pPr>
          </w:p>
        </w:tc>
        <w:tc>
          <w:tcPr>
            <w:tcW w:w="217" w:type="dxa"/>
          </w:tcPr>
          <w:p w14:paraId="6B81669D" w14:textId="77777777" w:rsidR="002C0FD9" w:rsidRPr="00CA25CF" w:rsidRDefault="002C0FD9" w:rsidP="00CA25CF">
            <w:pPr>
              <w:rPr>
                <w:rFonts w:cs="Arial"/>
                <w:color w:val="FF0000"/>
                <w:sz w:val="21"/>
                <w:szCs w:val="21"/>
              </w:rPr>
            </w:pPr>
          </w:p>
        </w:tc>
        <w:tc>
          <w:tcPr>
            <w:tcW w:w="217" w:type="dxa"/>
          </w:tcPr>
          <w:p w14:paraId="60CDD090" w14:textId="77777777" w:rsidR="002C0FD9" w:rsidRPr="00CA25CF" w:rsidRDefault="002C0FD9" w:rsidP="00CA25CF">
            <w:pPr>
              <w:rPr>
                <w:rFonts w:cs="Arial"/>
                <w:color w:val="FF0000"/>
                <w:sz w:val="21"/>
                <w:szCs w:val="21"/>
              </w:rPr>
            </w:pPr>
          </w:p>
        </w:tc>
        <w:tc>
          <w:tcPr>
            <w:tcW w:w="217" w:type="dxa"/>
          </w:tcPr>
          <w:p w14:paraId="52C71933" w14:textId="77777777" w:rsidR="002C0FD9" w:rsidRPr="00CA25CF" w:rsidRDefault="002C0FD9" w:rsidP="00CA25CF">
            <w:pPr>
              <w:rPr>
                <w:rFonts w:cs="Arial"/>
                <w:color w:val="FF0000"/>
                <w:sz w:val="21"/>
                <w:szCs w:val="21"/>
              </w:rPr>
            </w:pPr>
          </w:p>
        </w:tc>
        <w:tc>
          <w:tcPr>
            <w:tcW w:w="217" w:type="dxa"/>
          </w:tcPr>
          <w:p w14:paraId="3B1EA127" w14:textId="77777777" w:rsidR="002C0FD9" w:rsidRPr="00CA25CF" w:rsidRDefault="002C0FD9" w:rsidP="00CA25CF">
            <w:pPr>
              <w:rPr>
                <w:rFonts w:cs="Arial"/>
                <w:color w:val="FF0000"/>
                <w:sz w:val="21"/>
                <w:szCs w:val="21"/>
              </w:rPr>
            </w:pPr>
          </w:p>
        </w:tc>
        <w:tc>
          <w:tcPr>
            <w:tcW w:w="217" w:type="dxa"/>
          </w:tcPr>
          <w:p w14:paraId="21193707" w14:textId="77777777" w:rsidR="002C0FD9" w:rsidRPr="00CA25CF" w:rsidRDefault="002C0FD9" w:rsidP="00CA25CF">
            <w:pPr>
              <w:rPr>
                <w:rFonts w:cs="Arial"/>
                <w:color w:val="FF0000"/>
                <w:sz w:val="21"/>
                <w:szCs w:val="21"/>
              </w:rPr>
            </w:pPr>
          </w:p>
        </w:tc>
        <w:tc>
          <w:tcPr>
            <w:tcW w:w="217" w:type="dxa"/>
          </w:tcPr>
          <w:p w14:paraId="5F60C38F" w14:textId="77777777" w:rsidR="002C0FD9" w:rsidRPr="00CA25CF" w:rsidRDefault="002C0FD9" w:rsidP="00CA25CF">
            <w:pPr>
              <w:rPr>
                <w:rFonts w:cs="Arial"/>
                <w:color w:val="FF0000"/>
                <w:sz w:val="21"/>
                <w:szCs w:val="21"/>
              </w:rPr>
            </w:pPr>
          </w:p>
        </w:tc>
        <w:tc>
          <w:tcPr>
            <w:tcW w:w="217" w:type="dxa"/>
          </w:tcPr>
          <w:p w14:paraId="1E3B31BF" w14:textId="77777777" w:rsidR="002C0FD9" w:rsidRPr="00CA25CF" w:rsidRDefault="002C0FD9" w:rsidP="00CA25CF">
            <w:pPr>
              <w:rPr>
                <w:rFonts w:cs="Arial"/>
                <w:color w:val="FF0000"/>
                <w:sz w:val="21"/>
                <w:szCs w:val="21"/>
              </w:rPr>
            </w:pPr>
          </w:p>
        </w:tc>
        <w:tc>
          <w:tcPr>
            <w:tcW w:w="217" w:type="dxa"/>
          </w:tcPr>
          <w:p w14:paraId="5FF03C55" w14:textId="77777777" w:rsidR="002C0FD9" w:rsidRPr="00CA25CF" w:rsidRDefault="002C0FD9" w:rsidP="00CA25CF">
            <w:pPr>
              <w:rPr>
                <w:rFonts w:cs="Arial"/>
                <w:color w:val="FF0000"/>
                <w:sz w:val="21"/>
                <w:szCs w:val="21"/>
              </w:rPr>
            </w:pPr>
          </w:p>
        </w:tc>
        <w:tc>
          <w:tcPr>
            <w:tcW w:w="217" w:type="dxa"/>
          </w:tcPr>
          <w:p w14:paraId="08AE47E7" w14:textId="39432ACD" w:rsidR="002C0FD9" w:rsidRPr="00CA25CF" w:rsidRDefault="002C0FD9" w:rsidP="00CA25CF">
            <w:pPr>
              <w:rPr>
                <w:rFonts w:cs="Arial"/>
                <w:color w:val="FF0000"/>
                <w:sz w:val="21"/>
                <w:szCs w:val="21"/>
              </w:rPr>
            </w:pPr>
          </w:p>
        </w:tc>
        <w:tc>
          <w:tcPr>
            <w:tcW w:w="217" w:type="dxa"/>
          </w:tcPr>
          <w:p w14:paraId="21091461" w14:textId="77777777" w:rsidR="002C0FD9" w:rsidRPr="00CA25CF" w:rsidRDefault="002C0FD9" w:rsidP="00CA25CF">
            <w:pPr>
              <w:rPr>
                <w:rFonts w:cs="Arial"/>
                <w:color w:val="FF0000"/>
                <w:sz w:val="21"/>
                <w:szCs w:val="21"/>
              </w:rPr>
            </w:pPr>
          </w:p>
        </w:tc>
        <w:tc>
          <w:tcPr>
            <w:tcW w:w="217" w:type="dxa"/>
          </w:tcPr>
          <w:p w14:paraId="745F8E33" w14:textId="77777777" w:rsidR="002C0FD9" w:rsidRPr="00CA25CF" w:rsidRDefault="002C0FD9" w:rsidP="00CA25CF">
            <w:pPr>
              <w:rPr>
                <w:rFonts w:cs="Arial"/>
                <w:color w:val="FF0000"/>
                <w:sz w:val="21"/>
                <w:szCs w:val="21"/>
              </w:rPr>
            </w:pPr>
          </w:p>
        </w:tc>
        <w:tc>
          <w:tcPr>
            <w:tcW w:w="217" w:type="dxa"/>
          </w:tcPr>
          <w:p w14:paraId="10DF26E0" w14:textId="77777777" w:rsidR="002C0FD9" w:rsidRPr="00CA25CF" w:rsidRDefault="002C0FD9" w:rsidP="00CA25CF">
            <w:pPr>
              <w:rPr>
                <w:rFonts w:cs="Arial"/>
                <w:color w:val="FF0000"/>
                <w:sz w:val="21"/>
                <w:szCs w:val="21"/>
              </w:rPr>
            </w:pPr>
          </w:p>
        </w:tc>
        <w:tc>
          <w:tcPr>
            <w:tcW w:w="217" w:type="dxa"/>
          </w:tcPr>
          <w:p w14:paraId="5BE32BE0" w14:textId="77777777" w:rsidR="002C0FD9" w:rsidRPr="00CA25CF" w:rsidRDefault="002C0FD9" w:rsidP="00CA25CF">
            <w:pPr>
              <w:rPr>
                <w:rFonts w:cs="Arial"/>
                <w:color w:val="FF0000"/>
                <w:sz w:val="21"/>
                <w:szCs w:val="21"/>
              </w:rPr>
            </w:pPr>
          </w:p>
        </w:tc>
        <w:tc>
          <w:tcPr>
            <w:tcW w:w="217" w:type="dxa"/>
          </w:tcPr>
          <w:p w14:paraId="35171BAC" w14:textId="77777777" w:rsidR="002C0FD9" w:rsidRPr="00CA25CF" w:rsidRDefault="002C0FD9" w:rsidP="00CA25CF">
            <w:pPr>
              <w:rPr>
                <w:rFonts w:cs="Arial"/>
                <w:color w:val="FF0000"/>
                <w:sz w:val="21"/>
                <w:szCs w:val="21"/>
              </w:rPr>
            </w:pPr>
          </w:p>
        </w:tc>
        <w:tc>
          <w:tcPr>
            <w:tcW w:w="217" w:type="dxa"/>
          </w:tcPr>
          <w:p w14:paraId="528D7385" w14:textId="77777777" w:rsidR="002C0FD9" w:rsidRPr="00CA25CF" w:rsidRDefault="002C0FD9" w:rsidP="00CA25CF">
            <w:pPr>
              <w:rPr>
                <w:rFonts w:cs="Arial"/>
                <w:color w:val="FF0000"/>
                <w:sz w:val="21"/>
                <w:szCs w:val="21"/>
              </w:rPr>
            </w:pPr>
          </w:p>
        </w:tc>
        <w:tc>
          <w:tcPr>
            <w:tcW w:w="217" w:type="dxa"/>
          </w:tcPr>
          <w:p w14:paraId="3B26F7A3" w14:textId="77777777" w:rsidR="002C0FD9" w:rsidRPr="00CA25CF" w:rsidRDefault="002C0FD9" w:rsidP="00CA25CF">
            <w:pPr>
              <w:rPr>
                <w:rFonts w:cs="Arial"/>
                <w:color w:val="FF0000"/>
                <w:sz w:val="21"/>
                <w:szCs w:val="21"/>
              </w:rPr>
            </w:pPr>
          </w:p>
        </w:tc>
        <w:tc>
          <w:tcPr>
            <w:tcW w:w="217" w:type="dxa"/>
          </w:tcPr>
          <w:p w14:paraId="60F6FB3C" w14:textId="77777777" w:rsidR="002C0FD9" w:rsidRPr="00CA25CF" w:rsidRDefault="002C0FD9" w:rsidP="00CA25CF">
            <w:pPr>
              <w:rPr>
                <w:rFonts w:cs="Arial"/>
                <w:color w:val="FF0000"/>
                <w:sz w:val="21"/>
                <w:szCs w:val="21"/>
              </w:rPr>
            </w:pPr>
          </w:p>
        </w:tc>
        <w:tc>
          <w:tcPr>
            <w:tcW w:w="217" w:type="dxa"/>
          </w:tcPr>
          <w:p w14:paraId="7E111086" w14:textId="77777777" w:rsidR="002C0FD9" w:rsidRPr="00CA25CF" w:rsidRDefault="002C0FD9" w:rsidP="00CA25CF">
            <w:pPr>
              <w:rPr>
                <w:rFonts w:cs="Arial"/>
                <w:color w:val="FF0000"/>
                <w:sz w:val="21"/>
                <w:szCs w:val="21"/>
              </w:rPr>
            </w:pPr>
          </w:p>
        </w:tc>
        <w:tc>
          <w:tcPr>
            <w:tcW w:w="217" w:type="dxa"/>
          </w:tcPr>
          <w:p w14:paraId="6FB3DBD0" w14:textId="77777777" w:rsidR="002C0FD9" w:rsidRPr="00CA25CF" w:rsidRDefault="002C0FD9" w:rsidP="00CA25CF">
            <w:pPr>
              <w:rPr>
                <w:rFonts w:cs="Arial"/>
                <w:color w:val="FF0000"/>
                <w:sz w:val="21"/>
                <w:szCs w:val="21"/>
              </w:rPr>
            </w:pPr>
          </w:p>
        </w:tc>
        <w:tc>
          <w:tcPr>
            <w:tcW w:w="217" w:type="dxa"/>
          </w:tcPr>
          <w:p w14:paraId="6204B36C" w14:textId="77777777" w:rsidR="002C0FD9" w:rsidRPr="00CA25CF" w:rsidRDefault="002C0FD9" w:rsidP="00CA25CF">
            <w:pPr>
              <w:rPr>
                <w:rFonts w:cs="Arial"/>
                <w:color w:val="FF0000"/>
                <w:sz w:val="21"/>
                <w:szCs w:val="21"/>
              </w:rPr>
            </w:pPr>
          </w:p>
        </w:tc>
        <w:tc>
          <w:tcPr>
            <w:tcW w:w="217" w:type="dxa"/>
          </w:tcPr>
          <w:p w14:paraId="69640F9F" w14:textId="77777777" w:rsidR="002C0FD9" w:rsidRPr="00CA25CF" w:rsidRDefault="002C0FD9" w:rsidP="00CA25CF">
            <w:pPr>
              <w:rPr>
                <w:rFonts w:cs="Arial"/>
                <w:color w:val="FF0000"/>
                <w:sz w:val="21"/>
                <w:szCs w:val="21"/>
              </w:rPr>
            </w:pPr>
          </w:p>
        </w:tc>
        <w:tc>
          <w:tcPr>
            <w:tcW w:w="217" w:type="dxa"/>
          </w:tcPr>
          <w:p w14:paraId="3EB83B5A" w14:textId="77777777" w:rsidR="002C0FD9" w:rsidRPr="00CA25CF" w:rsidRDefault="002C0FD9" w:rsidP="00CA25CF">
            <w:pPr>
              <w:rPr>
                <w:rFonts w:cs="Arial"/>
                <w:color w:val="FF0000"/>
                <w:sz w:val="21"/>
                <w:szCs w:val="21"/>
              </w:rPr>
            </w:pPr>
          </w:p>
        </w:tc>
        <w:tc>
          <w:tcPr>
            <w:tcW w:w="217" w:type="dxa"/>
          </w:tcPr>
          <w:p w14:paraId="3CC9B773" w14:textId="77777777" w:rsidR="002C0FD9" w:rsidRPr="00CA25CF" w:rsidRDefault="002C0FD9" w:rsidP="00CA25CF">
            <w:pPr>
              <w:rPr>
                <w:rFonts w:cs="Arial"/>
                <w:color w:val="FF0000"/>
                <w:sz w:val="21"/>
                <w:szCs w:val="21"/>
              </w:rPr>
            </w:pPr>
          </w:p>
        </w:tc>
        <w:tc>
          <w:tcPr>
            <w:tcW w:w="217" w:type="dxa"/>
          </w:tcPr>
          <w:p w14:paraId="218F82C2" w14:textId="77777777" w:rsidR="002C0FD9" w:rsidRPr="00CA25CF" w:rsidRDefault="002C0FD9" w:rsidP="00CA25CF">
            <w:pPr>
              <w:rPr>
                <w:rFonts w:cs="Arial"/>
                <w:color w:val="FF0000"/>
                <w:sz w:val="21"/>
                <w:szCs w:val="21"/>
              </w:rPr>
            </w:pPr>
          </w:p>
        </w:tc>
        <w:tc>
          <w:tcPr>
            <w:tcW w:w="217" w:type="dxa"/>
          </w:tcPr>
          <w:p w14:paraId="19980700" w14:textId="77777777" w:rsidR="002C0FD9" w:rsidRPr="00CA25CF" w:rsidRDefault="002C0FD9" w:rsidP="00CA25CF">
            <w:pPr>
              <w:rPr>
                <w:rFonts w:cs="Arial"/>
                <w:color w:val="FF0000"/>
                <w:sz w:val="21"/>
                <w:szCs w:val="21"/>
              </w:rPr>
            </w:pPr>
          </w:p>
        </w:tc>
        <w:tc>
          <w:tcPr>
            <w:tcW w:w="217" w:type="dxa"/>
          </w:tcPr>
          <w:p w14:paraId="78513927" w14:textId="77777777" w:rsidR="002C0FD9" w:rsidRPr="00CA25CF" w:rsidRDefault="002C0FD9" w:rsidP="00CA25CF">
            <w:pPr>
              <w:rPr>
                <w:rFonts w:cs="Arial"/>
                <w:color w:val="FF0000"/>
                <w:sz w:val="21"/>
                <w:szCs w:val="21"/>
              </w:rPr>
            </w:pPr>
          </w:p>
        </w:tc>
        <w:tc>
          <w:tcPr>
            <w:tcW w:w="217" w:type="dxa"/>
          </w:tcPr>
          <w:p w14:paraId="5F0A892C" w14:textId="77777777" w:rsidR="002C0FD9" w:rsidRPr="00CA25CF" w:rsidRDefault="002C0FD9" w:rsidP="00CA25CF">
            <w:pPr>
              <w:rPr>
                <w:rFonts w:cs="Arial"/>
                <w:color w:val="FF0000"/>
                <w:sz w:val="21"/>
                <w:szCs w:val="21"/>
              </w:rPr>
            </w:pPr>
          </w:p>
        </w:tc>
        <w:tc>
          <w:tcPr>
            <w:tcW w:w="217" w:type="dxa"/>
          </w:tcPr>
          <w:p w14:paraId="323D4E80" w14:textId="77777777" w:rsidR="002C0FD9" w:rsidRPr="00CA25CF" w:rsidRDefault="002C0FD9" w:rsidP="00CA25CF">
            <w:pPr>
              <w:rPr>
                <w:rFonts w:cs="Arial"/>
                <w:color w:val="FF0000"/>
                <w:sz w:val="21"/>
                <w:szCs w:val="21"/>
              </w:rPr>
            </w:pPr>
          </w:p>
        </w:tc>
        <w:tc>
          <w:tcPr>
            <w:tcW w:w="217" w:type="dxa"/>
          </w:tcPr>
          <w:p w14:paraId="74F96574" w14:textId="77777777" w:rsidR="002C0FD9" w:rsidRPr="00CA25CF" w:rsidRDefault="002C0FD9" w:rsidP="00CA25CF">
            <w:pPr>
              <w:rPr>
                <w:rFonts w:cs="Arial"/>
                <w:color w:val="FF0000"/>
                <w:sz w:val="21"/>
                <w:szCs w:val="21"/>
              </w:rPr>
            </w:pPr>
          </w:p>
        </w:tc>
        <w:tc>
          <w:tcPr>
            <w:tcW w:w="217" w:type="dxa"/>
          </w:tcPr>
          <w:p w14:paraId="1EB614FE" w14:textId="77777777" w:rsidR="002C0FD9" w:rsidRPr="00CA25CF" w:rsidRDefault="002C0FD9" w:rsidP="00CA25CF">
            <w:pPr>
              <w:rPr>
                <w:rFonts w:cs="Arial"/>
                <w:color w:val="FF0000"/>
                <w:sz w:val="21"/>
                <w:szCs w:val="21"/>
              </w:rPr>
            </w:pPr>
          </w:p>
        </w:tc>
        <w:tc>
          <w:tcPr>
            <w:tcW w:w="217" w:type="dxa"/>
          </w:tcPr>
          <w:p w14:paraId="4A5025DF" w14:textId="77777777" w:rsidR="002C0FD9" w:rsidRPr="00CA25CF" w:rsidRDefault="002C0FD9" w:rsidP="00CA25CF">
            <w:pPr>
              <w:rPr>
                <w:rFonts w:cs="Arial"/>
                <w:color w:val="FF0000"/>
                <w:sz w:val="21"/>
                <w:szCs w:val="21"/>
              </w:rPr>
            </w:pPr>
          </w:p>
        </w:tc>
        <w:tc>
          <w:tcPr>
            <w:tcW w:w="217" w:type="dxa"/>
          </w:tcPr>
          <w:p w14:paraId="7FC9AE6E" w14:textId="77777777" w:rsidR="002C0FD9" w:rsidRPr="00CA25CF" w:rsidRDefault="002C0FD9" w:rsidP="00CA25CF">
            <w:pPr>
              <w:rPr>
                <w:rFonts w:cs="Arial"/>
                <w:color w:val="FF0000"/>
                <w:sz w:val="21"/>
                <w:szCs w:val="21"/>
              </w:rPr>
            </w:pPr>
          </w:p>
        </w:tc>
        <w:tc>
          <w:tcPr>
            <w:tcW w:w="217" w:type="dxa"/>
          </w:tcPr>
          <w:p w14:paraId="7735AAAB" w14:textId="77777777" w:rsidR="002C0FD9" w:rsidRPr="00CA25CF" w:rsidRDefault="002C0FD9" w:rsidP="00CA25CF">
            <w:pPr>
              <w:rPr>
                <w:rFonts w:cs="Arial"/>
                <w:color w:val="FF0000"/>
                <w:sz w:val="21"/>
                <w:szCs w:val="21"/>
              </w:rPr>
            </w:pPr>
          </w:p>
        </w:tc>
        <w:tc>
          <w:tcPr>
            <w:tcW w:w="217" w:type="dxa"/>
          </w:tcPr>
          <w:p w14:paraId="60E153EF" w14:textId="77777777" w:rsidR="002C0FD9" w:rsidRPr="00CA25CF" w:rsidRDefault="002C0FD9" w:rsidP="00CA25CF">
            <w:pPr>
              <w:rPr>
                <w:rFonts w:cs="Arial"/>
                <w:color w:val="FF0000"/>
                <w:sz w:val="21"/>
                <w:szCs w:val="21"/>
              </w:rPr>
            </w:pPr>
          </w:p>
        </w:tc>
        <w:tc>
          <w:tcPr>
            <w:tcW w:w="217" w:type="dxa"/>
          </w:tcPr>
          <w:p w14:paraId="3F5DF4BB" w14:textId="77777777" w:rsidR="002C0FD9" w:rsidRPr="00CA25CF" w:rsidRDefault="002C0FD9" w:rsidP="00CA25CF">
            <w:pPr>
              <w:rPr>
                <w:rFonts w:cs="Arial"/>
                <w:color w:val="FF0000"/>
                <w:sz w:val="21"/>
                <w:szCs w:val="21"/>
              </w:rPr>
            </w:pPr>
          </w:p>
        </w:tc>
        <w:tc>
          <w:tcPr>
            <w:tcW w:w="217" w:type="dxa"/>
          </w:tcPr>
          <w:p w14:paraId="12827BE9" w14:textId="77777777" w:rsidR="002C0FD9" w:rsidRPr="00CA25CF" w:rsidRDefault="002C0FD9" w:rsidP="00CA25CF">
            <w:pPr>
              <w:rPr>
                <w:rFonts w:cs="Arial"/>
                <w:color w:val="FF0000"/>
                <w:sz w:val="21"/>
                <w:szCs w:val="21"/>
              </w:rPr>
            </w:pPr>
          </w:p>
        </w:tc>
      </w:tr>
      <w:tr w:rsidR="002C0FD9" w:rsidRPr="00A16219" w14:paraId="4D28F5C2" w14:textId="3391992E" w:rsidTr="002C0FD9">
        <w:trPr>
          <w:trHeight w:val="635"/>
        </w:trPr>
        <w:tc>
          <w:tcPr>
            <w:tcW w:w="515" w:type="dxa"/>
          </w:tcPr>
          <w:p w14:paraId="69C2CB27" w14:textId="77777777" w:rsidR="002C0FD9" w:rsidRPr="00CA25CF" w:rsidRDefault="002C0FD9" w:rsidP="00CA25CF">
            <w:pPr>
              <w:rPr>
                <w:rFonts w:cs="Arial"/>
                <w:color w:val="FF0000"/>
                <w:sz w:val="21"/>
                <w:szCs w:val="21"/>
              </w:rPr>
            </w:pPr>
          </w:p>
        </w:tc>
        <w:tc>
          <w:tcPr>
            <w:tcW w:w="217" w:type="dxa"/>
          </w:tcPr>
          <w:p w14:paraId="1AAD874C" w14:textId="77777777" w:rsidR="002C0FD9" w:rsidRPr="00CA25CF" w:rsidRDefault="002C0FD9" w:rsidP="00CA25CF">
            <w:pPr>
              <w:rPr>
                <w:rFonts w:cs="Arial"/>
                <w:color w:val="FF0000"/>
                <w:sz w:val="21"/>
                <w:szCs w:val="21"/>
              </w:rPr>
            </w:pPr>
          </w:p>
        </w:tc>
        <w:tc>
          <w:tcPr>
            <w:tcW w:w="217" w:type="dxa"/>
          </w:tcPr>
          <w:p w14:paraId="70F886CF" w14:textId="75C17B8B" w:rsidR="002C0FD9" w:rsidRPr="00CA25CF" w:rsidRDefault="002C0FD9" w:rsidP="00CA25CF">
            <w:pPr>
              <w:rPr>
                <w:rFonts w:cs="Arial"/>
                <w:color w:val="FF0000"/>
                <w:sz w:val="21"/>
                <w:szCs w:val="21"/>
              </w:rPr>
            </w:pPr>
          </w:p>
        </w:tc>
        <w:tc>
          <w:tcPr>
            <w:tcW w:w="217" w:type="dxa"/>
          </w:tcPr>
          <w:p w14:paraId="0958A5C5" w14:textId="77777777" w:rsidR="002C0FD9" w:rsidRPr="00CA25CF" w:rsidRDefault="002C0FD9" w:rsidP="00CA25CF">
            <w:pPr>
              <w:rPr>
                <w:rFonts w:cs="Arial"/>
                <w:color w:val="FF0000"/>
                <w:sz w:val="21"/>
                <w:szCs w:val="21"/>
              </w:rPr>
            </w:pPr>
          </w:p>
        </w:tc>
        <w:tc>
          <w:tcPr>
            <w:tcW w:w="217" w:type="dxa"/>
          </w:tcPr>
          <w:p w14:paraId="28DC1FB4" w14:textId="77777777" w:rsidR="002C0FD9" w:rsidRPr="00CA25CF" w:rsidRDefault="002C0FD9" w:rsidP="00CA25CF">
            <w:pPr>
              <w:rPr>
                <w:rFonts w:cs="Arial"/>
                <w:color w:val="FF0000"/>
                <w:sz w:val="21"/>
                <w:szCs w:val="21"/>
              </w:rPr>
            </w:pPr>
          </w:p>
        </w:tc>
        <w:tc>
          <w:tcPr>
            <w:tcW w:w="217" w:type="dxa"/>
          </w:tcPr>
          <w:p w14:paraId="1FB90B84" w14:textId="77777777" w:rsidR="002C0FD9" w:rsidRPr="00CA25CF" w:rsidRDefault="002C0FD9" w:rsidP="00CA25CF">
            <w:pPr>
              <w:rPr>
                <w:rFonts w:cs="Arial"/>
                <w:color w:val="FF0000"/>
                <w:sz w:val="21"/>
                <w:szCs w:val="21"/>
              </w:rPr>
            </w:pPr>
          </w:p>
        </w:tc>
        <w:tc>
          <w:tcPr>
            <w:tcW w:w="217" w:type="dxa"/>
          </w:tcPr>
          <w:p w14:paraId="18FB999A" w14:textId="77777777" w:rsidR="002C0FD9" w:rsidRPr="00CA25CF" w:rsidRDefault="002C0FD9" w:rsidP="00CA25CF">
            <w:pPr>
              <w:rPr>
                <w:rFonts w:cs="Arial"/>
                <w:color w:val="FF0000"/>
                <w:sz w:val="21"/>
                <w:szCs w:val="21"/>
              </w:rPr>
            </w:pPr>
          </w:p>
        </w:tc>
        <w:tc>
          <w:tcPr>
            <w:tcW w:w="217" w:type="dxa"/>
          </w:tcPr>
          <w:p w14:paraId="074069D6" w14:textId="77777777" w:rsidR="002C0FD9" w:rsidRPr="00CA25CF" w:rsidRDefault="002C0FD9" w:rsidP="00CA25CF">
            <w:pPr>
              <w:rPr>
                <w:rFonts w:cs="Arial"/>
                <w:color w:val="FF0000"/>
                <w:sz w:val="21"/>
                <w:szCs w:val="21"/>
              </w:rPr>
            </w:pPr>
          </w:p>
        </w:tc>
        <w:tc>
          <w:tcPr>
            <w:tcW w:w="217" w:type="dxa"/>
          </w:tcPr>
          <w:p w14:paraId="090FED58" w14:textId="77777777" w:rsidR="002C0FD9" w:rsidRPr="00CA25CF" w:rsidRDefault="002C0FD9" w:rsidP="00CA25CF">
            <w:pPr>
              <w:rPr>
                <w:rFonts w:cs="Arial"/>
                <w:color w:val="FF0000"/>
                <w:sz w:val="21"/>
                <w:szCs w:val="21"/>
              </w:rPr>
            </w:pPr>
          </w:p>
        </w:tc>
        <w:tc>
          <w:tcPr>
            <w:tcW w:w="217" w:type="dxa"/>
          </w:tcPr>
          <w:p w14:paraId="4311110D" w14:textId="77777777" w:rsidR="002C0FD9" w:rsidRPr="00CA25CF" w:rsidRDefault="002C0FD9" w:rsidP="00CA25CF">
            <w:pPr>
              <w:rPr>
                <w:rFonts w:cs="Arial"/>
                <w:color w:val="FF0000"/>
                <w:sz w:val="21"/>
                <w:szCs w:val="21"/>
              </w:rPr>
            </w:pPr>
          </w:p>
        </w:tc>
        <w:tc>
          <w:tcPr>
            <w:tcW w:w="217" w:type="dxa"/>
          </w:tcPr>
          <w:p w14:paraId="00C7EF87" w14:textId="77777777" w:rsidR="002C0FD9" w:rsidRPr="00CA25CF" w:rsidRDefault="002C0FD9" w:rsidP="00CA25CF">
            <w:pPr>
              <w:rPr>
                <w:rFonts w:cs="Arial"/>
                <w:color w:val="FF0000"/>
                <w:sz w:val="21"/>
                <w:szCs w:val="21"/>
              </w:rPr>
            </w:pPr>
          </w:p>
        </w:tc>
        <w:tc>
          <w:tcPr>
            <w:tcW w:w="217" w:type="dxa"/>
          </w:tcPr>
          <w:p w14:paraId="113CAC51" w14:textId="77777777" w:rsidR="002C0FD9" w:rsidRPr="00CA25CF" w:rsidRDefault="002C0FD9" w:rsidP="00CA25CF">
            <w:pPr>
              <w:rPr>
                <w:rFonts w:cs="Arial"/>
                <w:color w:val="FF0000"/>
                <w:sz w:val="21"/>
                <w:szCs w:val="21"/>
              </w:rPr>
            </w:pPr>
          </w:p>
        </w:tc>
        <w:tc>
          <w:tcPr>
            <w:tcW w:w="217" w:type="dxa"/>
          </w:tcPr>
          <w:p w14:paraId="5FAB6196" w14:textId="77777777" w:rsidR="002C0FD9" w:rsidRPr="00CA25CF" w:rsidRDefault="002C0FD9" w:rsidP="00CA25CF">
            <w:pPr>
              <w:rPr>
                <w:rFonts w:cs="Arial"/>
                <w:color w:val="FF0000"/>
                <w:sz w:val="21"/>
                <w:szCs w:val="21"/>
              </w:rPr>
            </w:pPr>
          </w:p>
        </w:tc>
        <w:tc>
          <w:tcPr>
            <w:tcW w:w="217" w:type="dxa"/>
          </w:tcPr>
          <w:p w14:paraId="4CCBABBE" w14:textId="77777777" w:rsidR="002C0FD9" w:rsidRPr="00CA25CF" w:rsidRDefault="002C0FD9" w:rsidP="00CA25CF">
            <w:pPr>
              <w:rPr>
                <w:rFonts w:cs="Arial"/>
                <w:color w:val="FF0000"/>
                <w:sz w:val="21"/>
                <w:szCs w:val="21"/>
              </w:rPr>
            </w:pPr>
          </w:p>
        </w:tc>
        <w:tc>
          <w:tcPr>
            <w:tcW w:w="217" w:type="dxa"/>
          </w:tcPr>
          <w:p w14:paraId="3C887E00" w14:textId="77777777" w:rsidR="002C0FD9" w:rsidRPr="00CA25CF" w:rsidRDefault="002C0FD9" w:rsidP="00CA25CF">
            <w:pPr>
              <w:rPr>
                <w:rFonts w:cs="Arial"/>
                <w:color w:val="FF0000"/>
                <w:sz w:val="21"/>
                <w:szCs w:val="21"/>
              </w:rPr>
            </w:pPr>
          </w:p>
        </w:tc>
        <w:tc>
          <w:tcPr>
            <w:tcW w:w="217" w:type="dxa"/>
          </w:tcPr>
          <w:p w14:paraId="3CA5B320" w14:textId="53308FF8" w:rsidR="002C0FD9" w:rsidRPr="00CA25CF" w:rsidRDefault="002C0FD9" w:rsidP="00CA25CF">
            <w:pPr>
              <w:rPr>
                <w:rFonts w:cs="Arial"/>
                <w:color w:val="FF0000"/>
                <w:sz w:val="21"/>
                <w:szCs w:val="21"/>
              </w:rPr>
            </w:pPr>
          </w:p>
        </w:tc>
        <w:tc>
          <w:tcPr>
            <w:tcW w:w="217" w:type="dxa"/>
          </w:tcPr>
          <w:p w14:paraId="3BD59B9B" w14:textId="77777777" w:rsidR="002C0FD9" w:rsidRPr="00CA25CF" w:rsidRDefault="002C0FD9" w:rsidP="00CA25CF">
            <w:pPr>
              <w:rPr>
                <w:rFonts w:cs="Arial"/>
                <w:color w:val="FF0000"/>
                <w:sz w:val="21"/>
                <w:szCs w:val="21"/>
              </w:rPr>
            </w:pPr>
          </w:p>
        </w:tc>
        <w:tc>
          <w:tcPr>
            <w:tcW w:w="217" w:type="dxa"/>
          </w:tcPr>
          <w:p w14:paraId="0CBF6001" w14:textId="77777777" w:rsidR="002C0FD9" w:rsidRPr="00CA25CF" w:rsidRDefault="002C0FD9" w:rsidP="00CA25CF">
            <w:pPr>
              <w:rPr>
                <w:rFonts w:cs="Arial"/>
                <w:color w:val="FF0000"/>
                <w:sz w:val="21"/>
                <w:szCs w:val="21"/>
              </w:rPr>
            </w:pPr>
          </w:p>
        </w:tc>
        <w:tc>
          <w:tcPr>
            <w:tcW w:w="217" w:type="dxa"/>
          </w:tcPr>
          <w:p w14:paraId="24D2BFE9" w14:textId="77777777" w:rsidR="002C0FD9" w:rsidRPr="00CA25CF" w:rsidRDefault="002C0FD9" w:rsidP="00CA25CF">
            <w:pPr>
              <w:rPr>
                <w:rFonts w:cs="Arial"/>
                <w:color w:val="FF0000"/>
                <w:sz w:val="21"/>
                <w:szCs w:val="21"/>
              </w:rPr>
            </w:pPr>
          </w:p>
        </w:tc>
        <w:tc>
          <w:tcPr>
            <w:tcW w:w="217" w:type="dxa"/>
          </w:tcPr>
          <w:p w14:paraId="4419144D" w14:textId="77777777" w:rsidR="002C0FD9" w:rsidRPr="00CA25CF" w:rsidRDefault="002C0FD9" w:rsidP="00CA25CF">
            <w:pPr>
              <w:rPr>
                <w:rFonts w:cs="Arial"/>
                <w:color w:val="FF0000"/>
                <w:sz w:val="21"/>
                <w:szCs w:val="21"/>
              </w:rPr>
            </w:pPr>
          </w:p>
        </w:tc>
        <w:tc>
          <w:tcPr>
            <w:tcW w:w="217" w:type="dxa"/>
          </w:tcPr>
          <w:p w14:paraId="112CB2D4" w14:textId="77777777" w:rsidR="002C0FD9" w:rsidRPr="00CA25CF" w:rsidRDefault="002C0FD9" w:rsidP="00CA25CF">
            <w:pPr>
              <w:rPr>
                <w:rFonts w:cs="Arial"/>
                <w:color w:val="FF0000"/>
                <w:sz w:val="21"/>
                <w:szCs w:val="21"/>
              </w:rPr>
            </w:pPr>
          </w:p>
        </w:tc>
        <w:tc>
          <w:tcPr>
            <w:tcW w:w="217" w:type="dxa"/>
          </w:tcPr>
          <w:p w14:paraId="7AD53538" w14:textId="77777777" w:rsidR="002C0FD9" w:rsidRPr="00CA25CF" w:rsidRDefault="002C0FD9" w:rsidP="00CA25CF">
            <w:pPr>
              <w:rPr>
                <w:rFonts w:cs="Arial"/>
                <w:color w:val="FF0000"/>
                <w:sz w:val="21"/>
                <w:szCs w:val="21"/>
              </w:rPr>
            </w:pPr>
          </w:p>
        </w:tc>
        <w:tc>
          <w:tcPr>
            <w:tcW w:w="217" w:type="dxa"/>
          </w:tcPr>
          <w:p w14:paraId="73AE3799" w14:textId="77777777" w:rsidR="002C0FD9" w:rsidRPr="00CA25CF" w:rsidRDefault="002C0FD9" w:rsidP="00CA25CF">
            <w:pPr>
              <w:rPr>
                <w:rFonts w:cs="Arial"/>
                <w:color w:val="FF0000"/>
                <w:sz w:val="21"/>
                <w:szCs w:val="21"/>
              </w:rPr>
            </w:pPr>
          </w:p>
        </w:tc>
        <w:tc>
          <w:tcPr>
            <w:tcW w:w="217" w:type="dxa"/>
          </w:tcPr>
          <w:p w14:paraId="7D97EA21" w14:textId="77777777" w:rsidR="002C0FD9" w:rsidRPr="00CA25CF" w:rsidRDefault="002C0FD9" w:rsidP="00CA25CF">
            <w:pPr>
              <w:rPr>
                <w:rFonts w:cs="Arial"/>
                <w:color w:val="FF0000"/>
                <w:sz w:val="21"/>
                <w:szCs w:val="21"/>
              </w:rPr>
            </w:pPr>
          </w:p>
        </w:tc>
        <w:tc>
          <w:tcPr>
            <w:tcW w:w="217" w:type="dxa"/>
          </w:tcPr>
          <w:p w14:paraId="47FDF670" w14:textId="77777777" w:rsidR="002C0FD9" w:rsidRPr="00CA25CF" w:rsidRDefault="002C0FD9" w:rsidP="00CA25CF">
            <w:pPr>
              <w:rPr>
                <w:rFonts w:cs="Arial"/>
                <w:color w:val="FF0000"/>
                <w:sz w:val="21"/>
                <w:szCs w:val="21"/>
              </w:rPr>
            </w:pPr>
          </w:p>
        </w:tc>
        <w:tc>
          <w:tcPr>
            <w:tcW w:w="217" w:type="dxa"/>
          </w:tcPr>
          <w:p w14:paraId="74E409AA" w14:textId="77777777" w:rsidR="002C0FD9" w:rsidRPr="00CA25CF" w:rsidRDefault="002C0FD9" w:rsidP="00CA25CF">
            <w:pPr>
              <w:rPr>
                <w:rFonts w:cs="Arial"/>
                <w:color w:val="FF0000"/>
                <w:sz w:val="21"/>
                <w:szCs w:val="21"/>
              </w:rPr>
            </w:pPr>
          </w:p>
        </w:tc>
        <w:tc>
          <w:tcPr>
            <w:tcW w:w="217" w:type="dxa"/>
          </w:tcPr>
          <w:p w14:paraId="6B53BCEF" w14:textId="77777777" w:rsidR="002C0FD9" w:rsidRPr="00CA25CF" w:rsidRDefault="002C0FD9" w:rsidP="00CA25CF">
            <w:pPr>
              <w:rPr>
                <w:rFonts w:cs="Arial"/>
                <w:color w:val="FF0000"/>
                <w:sz w:val="21"/>
                <w:szCs w:val="21"/>
              </w:rPr>
            </w:pPr>
          </w:p>
        </w:tc>
        <w:tc>
          <w:tcPr>
            <w:tcW w:w="217" w:type="dxa"/>
          </w:tcPr>
          <w:p w14:paraId="06841889" w14:textId="77777777" w:rsidR="002C0FD9" w:rsidRPr="00CA25CF" w:rsidRDefault="002C0FD9" w:rsidP="00CA25CF">
            <w:pPr>
              <w:rPr>
                <w:rFonts w:cs="Arial"/>
                <w:color w:val="FF0000"/>
                <w:sz w:val="21"/>
                <w:szCs w:val="21"/>
              </w:rPr>
            </w:pPr>
          </w:p>
        </w:tc>
        <w:tc>
          <w:tcPr>
            <w:tcW w:w="217" w:type="dxa"/>
          </w:tcPr>
          <w:p w14:paraId="14ADEF0D" w14:textId="77777777" w:rsidR="002C0FD9" w:rsidRPr="00CA25CF" w:rsidRDefault="002C0FD9" w:rsidP="00CA25CF">
            <w:pPr>
              <w:rPr>
                <w:rFonts w:cs="Arial"/>
                <w:color w:val="FF0000"/>
                <w:sz w:val="21"/>
                <w:szCs w:val="21"/>
              </w:rPr>
            </w:pPr>
          </w:p>
        </w:tc>
        <w:tc>
          <w:tcPr>
            <w:tcW w:w="217" w:type="dxa"/>
          </w:tcPr>
          <w:p w14:paraId="6FB890CC" w14:textId="77777777" w:rsidR="002C0FD9" w:rsidRPr="00CA25CF" w:rsidRDefault="002C0FD9" w:rsidP="00CA25CF">
            <w:pPr>
              <w:rPr>
                <w:rFonts w:cs="Arial"/>
                <w:color w:val="FF0000"/>
                <w:sz w:val="21"/>
                <w:szCs w:val="21"/>
              </w:rPr>
            </w:pPr>
          </w:p>
        </w:tc>
        <w:tc>
          <w:tcPr>
            <w:tcW w:w="217" w:type="dxa"/>
          </w:tcPr>
          <w:p w14:paraId="1697E277" w14:textId="77777777" w:rsidR="002C0FD9" w:rsidRPr="00CA25CF" w:rsidRDefault="002C0FD9" w:rsidP="00CA25CF">
            <w:pPr>
              <w:rPr>
                <w:rFonts w:cs="Arial"/>
                <w:color w:val="FF0000"/>
                <w:sz w:val="21"/>
                <w:szCs w:val="21"/>
              </w:rPr>
            </w:pPr>
          </w:p>
        </w:tc>
        <w:tc>
          <w:tcPr>
            <w:tcW w:w="217" w:type="dxa"/>
          </w:tcPr>
          <w:p w14:paraId="5BD7A88D" w14:textId="77777777" w:rsidR="002C0FD9" w:rsidRPr="00CA25CF" w:rsidRDefault="002C0FD9" w:rsidP="00CA25CF">
            <w:pPr>
              <w:rPr>
                <w:rFonts w:cs="Arial"/>
                <w:color w:val="FF0000"/>
                <w:sz w:val="21"/>
                <w:szCs w:val="21"/>
              </w:rPr>
            </w:pPr>
          </w:p>
        </w:tc>
        <w:tc>
          <w:tcPr>
            <w:tcW w:w="217" w:type="dxa"/>
          </w:tcPr>
          <w:p w14:paraId="7B6A0156" w14:textId="77777777" w:rsidR="002C0FD9" w:rsidRPr="00CA25CF" w:rsidRDefault="002C0FD9" w:rsidP="00CA25CF">
            <w:pPr>
              <w:rPr>
                <w:rFonts w:cs="Arial"/>
                <w:color w:val="FF0000"/>
                <w:sz w:val="21"/>
                <w:szCs w:val="21"/>
              </w:rPr>
            </w:pPr>
          </w:p>
        </w:tc>
        <w:tc>
          <w:tcPr>
            <w:tcW w:w="217" w:type="dxa"/>
          </w:tcPr>
          <w:p w14:paraId="2CC23176" w14:textId="77777777" w:rsidR="002C0FD9" w:rsidRPr="00CA25CF" w:rsidRDefault="002C0FD9" w:rsidP="00CA25CF">
            <w:pPr>
              <w:rPr>
                <w:rFonts w:cs="Arial"/>
                <w:color w:val="FF0000"/>
                <w:sz w:val="21"/>
                <w:szCs w:val="21"/>
              </w:rPr>
            </w:pPr>
          </w:p>
        </w:tc>
        <w:tc>
          <w:tcPr>
            <w:tcW w:w="217" w:type="dxa"/>
          </w:tcPr>
          <w:p w14:paraId="30F04107" w14:textId="77777777" w:rsidR="002C0FD9" w:rsidRPr="00CA25CF" w:rsidRDefault="002C0FD9" w:rsidP="00CA25CF">
            <w:pPr>
              <w:rPr>
                <w:rFonts w:cs="Arial"/>
                <w:color w:val="FF0000"/>
                <w:sz w:val="21"/>
                <w:szCs w:val="21"/>
              </w:rPr>
            </w:pPr>
          </w:p>
        </w:tc>
        <w:tc>
          <w:tcPr>
            <w:tcW w:w="217" w:type="dxa"/>
          </w:tcPr>
          <w:p w14:paraId="0BFB7620" w14:textId="77777777" w:rsidR="002C0FD9" w:rsidRPr="00CA25CF" w:rsidRDefault="002C0FD9" w:rsidP="00CA25CF">
            <w:pPr>
              <w:rPr>
                <w:rFonts w:cs="Arial"/>
                <w:color w:val="FF0000"/>
                <w:sz w:val="21"/>
                <w:szCs w:val="21"/>
              </w:rPr>
            </w:pPr>
          </w:p>
        </w:tc>
        <w:tc>
          <w:tcPr>
            <w:tcW w:w="217" w:type="dxa"/>
          </w:tcPr>
          <w:p w14:paraId="48EF4F2A" w14:textId="77777777" w:rsidR="002C0FD9" w:rsidRPr="00CA25CF" w:rsidRDefault="002C0FD9" w:rsidP="00CA25CF">
            <w:pPr>
              <w:rPr>
                <w:rFonts w:cs="Arial"/>
                <w:color w:val="FF0000"/>
                <w:sz w:val="21"/>
                <w:szCs w:val="21"/>
              </w:rPr>
            </w:pPr>
          </w:p>
        </w:tc>
        <w:tc>
          <w:tcPr>
            <w:tcW w:w="217" w:type="dxa"/>
          </w:tcPr>
          <w:p w14:paraId="1FBCD82D" w14:textId="77777777" w:rsidR="002C0FD9" w:rsidRPr="00CA25CF" w:rsidRDefault="002C0FD9" w:rsidP="00CA25CF">
            <w:pPr>
              <w:rPr>
                <w:rFonts w:cs="Arial"/>
                <w:color w:val="FF0000"/>
                <w:sz w:val="21"/>
                <w:szCs w:val="21"/>
              </w:rPr>
            </w:pPr>
          </w:p>
        </w:tc>
        <w:tc>
          <w:tcPr>
            <w:tcW w:w="217" w:type="dxa"/>
          </w:tcPr>
          <w:p w14:paraId="2ABDE8A0" w14:textId="77777777" w:rsidR="002C0FD9" w:rsidRPr="00CA25CF" w:rsidRDefault="002C0FD9" w:rsidP="00CA25CF">
            <w:pPr>
              <w:rPr>
                <w:rFonts w:cs="Arial"/>
                <w:color w:val="FF0000"/>
                <w:sz w:val="21"/>
                <w:szCs w:val="21"/>
              </w:rPr>
            </w:pPr>
          </w:p>
        </w:tc>
        <w:tc>
          <w:tcPr>
            <w:tcW w:w="217" w:type="dxa"/>
          </w:tcPr>
          <w:p w14:paraId="52921765" w14:textId="77777777" w:rsidR="002C0FD9" w:rsidRPr="00CA25CF" w:rsidRDefault="002C0FD9" w:rsidP="00CA25CF">
            <w:pPr>
              <w:rPr>
                <w:rFonts w:cs="Arial"/>
                <w:color w:val="FF0000"/>
                <w:sz w:val="21"/>
                <w:szCs w:val="21"/>
              </w:rPr>
            </w:pPr>
          </w:p>
        </w:tc>
        <w:tc>
          <w:tcPr>
            <w:tcW w:w="217" w:type="dxa"/>
          </w:tcPr>
          <w:p w14:paraId="49984C4A" w14:textId="77777777" w:rsidR="002C0FD9" w:rsidRPr="00CA25CF" w:rsidRDefault="002C0FD9" w:rsidP="00CA25CF">
            <w:pPr>
              <w:rPr>
                <w:rFonts w:cs="Arial"/>
                <w:color w:val="FF0000"/>
                <w:sz w:val="21"/>
                <w:szCs w:val="21"/>
              </w:rPr>
            </w:pPr>
          </w:p>
        </w:tc>
        <w:tc>
          <w:tcPr>
            <w:tcW w:w="217" w:type="dxa"/>
          </w:tcPr>
          <w:p w14:paraId="72B3A179" w14:textId="77777777" w:rsidR="002C0FD9" w:rsidRPr="00CA25CF" w:rsidRDefault="002C0FD9" w:rsidP="00CA25CF">
            <w:pPr>
              <w:rPr>
                <w:rFonts w:cs="Arial"/>
                <w:color w:val="FF0000"/>
                <w:sz w:val="21"/>
                <w:szCs w:val="21"/>
              </w:rPr>
            </w:pPr>
          </w:p>
        </w:tc>
        <w:tc>
          <w:tcPr>
            <w:tcW w:w="217" w:type="dxa"/>
          </w:tcPr>
          <w:p w14:paraId="7046A30E" w14:textId="77777777" w:rsidR="002C0FD9" w:rsidRPr="00CA25CF" w:rsidRDefault="002C0FD9" w:rsidP="00CA25CF">
            <w:pPr>
              <w:rPr>
                <w:rFonts w:cs="Arial"/>
                <w:color w:val="FF0000"/>
                <w:sz w:val="21"/>
                <w:szCs w:val="21"/>
              </w:rPr>
            </w:pPr>
          </w:p>
        </w:tc>
      </w:tr>
      <w:tr w:rsidR="002C0FD9" w:rsidRPr="00A16219" w14:paraId="5B0BDEB6" w14:textId="687AF3B4" w:rsidTr="002C0FD9">
        <w:trPr>
          <w:trHeight w:val="635"/>
        </w:trPr>
        <w:tc>
          <w:tcPr>
            <w:tcW w:w="515" w:type="dxa"/>
          </w:tcPr>
          <w:p w14:paraId="3768E41A" w14:textId="77777777" w:rsidR="002C0FD9" w:rsidRPr="00CA25CF" w:rsidRDefault="002C0FD9" w:rsidP="00CA25CF">
            <w:pPr>
              <w:rPr>
                <w:rFonts w:cs="Arial"/>
                <w:color w:val="FF0000"/>
                <w:sz w:val="21"/>
                <w:szCs w:val="21"/>
              </w:rPr>
            </w:pPr>
          </w:p>
        </w:tc>
        <w:tc>
          <w:tcPr>
            <w:tcW w:w="217" w:type="dxa"/>
          </w:tcPr>
          <w:p w14:paraId="114E8AC1" w14:textId="77777777" w:rsidR="002C0FD9" w:rsidRPr="00CA25CF" w:rsidRDefault="002C0FD9" w:rsidP="00CA25CF">
            <w:pPr>
              <w:rPr>
                <w:rFonts w:cs="Arial"/>
                <w:color w:val="FF0000"/>
                <w:sz w:val="21"/>
                <w:szCs w:val="21"/>
              </w:rPr>
            </w:pPr>
          </w:p>
        </w:tc>
        <w:tc>
          <w:tcPr>
            <w:tcW w:w="217" w:type="dxa"/>
          </w:tcPr>
          <w:p w14:paraId="4E037E01" w14:textId="679319B8" w:rsidR="002C0FD9" w:rsidRPr="00CA25CF" w:rsidRDefault="002C0FD9" w:rsidP="00CA25CF">
            <w:pPr>
              <w:rPr>
                <w:rFonts w:cs="Arial"/>
                <w:color w:val="FF0000"/>
                <w:sz w:val="21"/>
                <w:szCs w:val="21"/>
              </w:rPr>
            </w:pPr>
          </w:p>
        </w:tc>
        <w:tc>
          <w:tcPr>
            <w:tcW w:w="217" w:type="dxa"/>
          </w:tcPr>
          <w:p w14:paraId="7705CDEB" w14:textId="77777777" w:rsidR="002C0FD9" w:rsidRPr="00CA25CF" w:rsidRDefault="002C0FD9" w:rsidP="00CA25CF">
            <w:pPr>
              <w:rPr>
                <w:rFonts w:cs="Arial"/>
                <w:color w:val="FF0000"/>
                <w:sz w:val="21"/>
                <w:szCs w:val="21"/>
              </w:rPr>
            </w:pPr>
          </w:p>
        </w:tc>
        <w:tc>
          <w:tcPr>
            <w:tcW w:w="217" w:type="dxa"/>
          </w:tcPr>
          <w:p w14:paraId="34B99D3E" w14:textId="77777777" w:rsidR="002C0FD9" w:rsidRPr="00CA25CF" w:rsidRDefault="002C0FD9" w:rsidP="00CA25CF">
            <w:pPr>
              <w:rPr>
                <w:rFonts w:cs="Arial"/>
                <w:color w:val="FF0000"/>
                <w:sz w:val="21"/>
                <w:szCs w:val="21"/>
              </w:rPr>
            </w:pPr>
          </w:p>
        </w:tc>
        <w:tc>
          <w:tcPr>
            <w:tcW w:w="217" w:type="dxa"/>
          </w:tcPr>
          <w:p w14:paraId="4FD22A84" w14:textId="77777777" w:rsidR="002C0FD9" w:rsidRPr="00CA25CF" w:rsidRDefault="002C0FD9" w:rsidP="00CA25CF">
            <w:pPr>
              <w:rPr>
                <w:rFonts w:cs="Arial"/>
                <w:color w:val="FF0000"/>
                <w:sz w:val="21"/>
                <w:szCs w:val="21"/>
              </w:rPr>
            </w:pPr>
          </w:p>
        </w:tc>
        <w:tc>
          <w:tcPr>
            <w:tcW w:w="217" w:type="dxa"/>
          </w:tcPr>
          <w:p w14:paraId="4CB5DF5F" w14:textId="77777777" w:rsidR="002C0FD9" w:rsidRPr="00CA25CF" w:rsidRDefault="002C0FD9" w:rsidP="00CA25CF">
            <w:pPr>
              <w:rPr>
                <w:rFonts w:cs="Arial"/>
                <w:color w:val="FF0000"/>
                <w:sz w:val="21"/>
                <w:szCs w:val="21"/>
              </w:rPr>
            </w:pPr>
          </w:p>
        </w:tc>
        <w:tc>
          <w:tcPr>
            <w:tcW w:w="217" w:type="dxa"/>
          </w:tcPr>
          <w:p w14:paraId="78471C0C" w14:textId="77777777" w:rsidR="002C0FD9" w:rsidRPr="00CA25CF" w:rsidRDefault="002C0FD9" w:rsidP="00CA25CF">
            <w:pPr>
              <w:rPr>
                <w:rFonts w:cs="Arial"/>
                <w:color w:val="FF0000"/>
                <w:sz w:val="21"/>
                <w:szCs w:val="21"/>
              </w:rPr>
            </w:pPr>
          </w:p>
        </w:tc>
        <w:tc>
          <w:tcPr>
            <w:tcW w:w="217" w:type="dxa"/>
          </w:tcPr>
          <w:p w14:paraId="057178E8" w14:textId="77777777" w:rsidR="002C0FD9" w:rsidRPr="00CA25CF" w:rsidRDefault="002C0FD9" w:rsidP="00CA25CF">
            <w:pPr>
              <w:rPr>
                <w:rFonts w:cs="Arial"/>
                <w:color w:val="FF0000"/>
                <w:sz w:val="21"/>
                <w:szCs w:val="21"/>
              </w:rPr>
            </w:pPr>
          </w:p>
        </w:tc>
        <w:tc>
          <w:tcPr>
            <w:tcW w:w="217" w:type="dxa"/>
          </w:tcPr>
          <w:p w14:paraId="6D380171" w14:textId="77777777" w:rsidR="002C0FD9" w:rsidRPr="00CA25CF" w:rsidRDefault="002C0FD9" w:rsidP="00CA25CF">
            <w:pPr>
              <w:rPr>
                <w:rFonts w:cs="Arial"/>
                <w:color w:val="FF0000"/>
                <w:sz w:val="21"/>
                <w:szCs w:val="21"/>
              </w:rPr>
            </w:pPr>
          </w:p>
        </w:tc>
        <w:tc>
          <w:tcPr>
            <w:tcW w:w="217" w:type="dxa"/>
          </w:tcPr>
          <w:p w14:paraId="189C4FDA" w14:textId="77777777" w:rsidR="002C0FD9" w:rsidRPr="00CA25CF" w:rsidRDefault="002C0FD9" w:rsidP="00CA25CF">
            <w:pPr>
              <w:rPr>
                <w:rFonts w:cs="Arial"/>
                <w:color w:val="FF0000"/>
                <w:sz w:val="21"/>
                <w:szCs w:val="21"/>
              </w:rPr>
            </w:pPr>
          </w:p>
        </w:tc>
        <w:tc>
          <w:tcPr>
            <w:tcW w:w="217" w:type="dxa"/>
          </w:tcPr>
          <w:p w14:paraId="3FB02527" w14:textId="77777777" w:rsidR="002C0FD9" w:rsidRPr="00CA25CF" w:rsidRDefault="002C0FD9" w:rsidP="00CA25CF">
            <w:pPr>
              <w:rPr>
                <w:rFonts w:cs="Arial"/>
                <w:color w:val="FF0000"/>
                <w:sz w:val="21"/>
                <w:szCs w:val="21"/>
              </w:rPr>
            </w:pPr>
          </w:p>
        </w:tc>
        <w:tc>
          <w:tcPr>
            <w:tcW w:w="217" w:type="dxa"/>
          </w:tcPr>
          <w:p w14:paraId="638E2388" w14:textId="77777777" w:rsidR="002C0FD9" w:rsidRPr="00CA25CF" w:rsidRDefault="002C0FD9" w:rsidP="00CA25CF">
            <w:pPr>
              <w:rPr>
                <w:rFonts w:cs="Arial"/>
                <w:color w:val="FF0000"/>
                <w:sz w:val="21"/>
                <w:szCs w:val="21"/>
              </w:rPr>
            </w:pPr>
          </w:p>
        </w:tc>
        <w:tc>
          <w:tcPr>
            <w:tcW w:w="217" w:type="dxa"/>
          </w:tcPr>
          <w:p w14:paraId="5EF5F47E" w14:textId="77777777" w:rsidR="002C0FD9" w:rsidRPr="00CA25CF" w:rsidRDefault="002C0FD9" w:rsidP="00CA25CF">
            <w:pPr>
              <w:rPr>
                <w:rFonts w:cs="Arial"/>
                <w:color w:val="FF0000"/>
                <w:sz w:val="21"/>
                <w:szCs w:val="21"/>
              </w:rPr>
            </w:pPr>
          </w:p>
        </w:tc>
        <w:tc>
          <w:tcPr>
            <w:tcW w:w="217" w:type="dxa"/>
          </w:tcPr>
          <w:p w14:paraId="1CB168AE" w14:textId="77777777" w:rsidR="002C0FD9" w:rsidRPr="00CA25CF" w:rsidRDefault="002C0FD9" w:rsidP="00CA25CF">
            <w:pPr>
              <w:rPr>
                <w:rFonts w:cs="Arial"/>
                <w:color w:val="FF0000"/>
                <w:sz w:val="21"/>
                <w:szCs w:val="21"/>
              </w:rPr>
            </w:pPr>
          </w:p>
        </w:tc>
        <w:tc>
          <w:tcPr>
            <w:tcW w:w="217" w:type="dxa"/>
          </w:tcPr>
          <w:p w14:paraId="01087BD1" w14:textId="693DDDC3" w:rsidR="002C0FD9" w:rsidRPr="00CA25CF" w:rsidRDefault="002C0FD9" w:rsidP="00CA25CF">
            <w:pPr>
              <w:rPr>
                <w:rFonts w:cs="Arial"/>
                <w:color w:val="FF0000"/>
                <w:sz w:val="21"/>
                <w:szCs w:val="21"/>
              </w:rPr>
            </w:pPr>
          </w:p>
        </w:tc>
        <w:tc>
          <w:tcPr>
            <w:tcW w:w="217" w:type="dxa"/>
          </w:tcPr>
          <w:p w14:paraId="3D82C244" w14:textId="77777777" w:rsidR="002C0FD9" w:rsidRPr="00CA25CF" w:rsidRDefault="002C0FD9" w:rsidP="00CA25CF">
            <w:pPr>
              <w:rPr>
                <w:rFonts w:cs="Arial"/>
                <w:color w:val="FF0000"/>
                <w:sz w:val="21"/>
                <w:szCs w:val="21"/>
              </w:rPr>
            </w:pPr>
          </w:p>
        </w:tc>
        <w:tc>
          <w:tcPr>
            <w:tcW w:w="217" w:type="dxa"/>
          </w:tcPr>
          <w:p w14:paraId="5C636D2A" w14:textId="77777777" w:rsidR="002C0FD9" w:rsidRPr="00CA25CF" w:rsidRDefault="002C0FD9" w:rsidP="00CA25CF">
            <w:pPr>
              <w:rPr>
                <w:rFonts w:cs="Arial"/>
                <w:color w:val="FF0000"/>
                <w:sz w:val="21"/>
                <w:szCs w:val="21"/>
              </w:rPr>
            </w:pPr>
          </w:p>
        </w:tc>
        <w:tc>
          <w:tcPr>
            <w:tcW w:w="217" w:type="dxa"/>
          </w:tcPr>
          <w:p w14:paraId="6D5FCDFB" w14:textId="77777777" w:rsidR="002C0FD9" w:rsidRPr="00CA25CF" w:rsidRDefault="002C0FD9" w:rsidP="00CA25CF">
            <w:pPr>
              <w:rPr>
                <w:rFonts w:cs="Arial"/>
                <w:color w:val="FF0000"/>
                <w:sz w:val="21"/>
                <w:szCs w:val="21"/>
              </w:rPr>
            </w:pPr>
          </w:p>
        </w:tc>
        <w:tc>
          <w:tcPr>
            <w:tcW w:w="217" w:type="dxa"/>
          </w:tcPr>
          <w:p w14:paraId="0F6DFB57" w14:textId="77777777" w:rsidR="002C0FD9" w:rsidRPr="00CA25CF" w:rsidRDefault="002C0FD9" w:rsidP="00CA25CF">
            <w:pPr>
              <w:rPr>
                <w:rFonts w:cs="Arial"/>
                <w:color w:val="FF0000"/>
                <w:sz w:val="21"/>
                <w:szCs w:val="21"/>
              </w:rPr>
            </w:pPr>
          </w:p>
        </w:tc>
        <w:tc>
          <w:tcPr>
            <w:tcW w:w="217" w:type="dxa"/>
          </w:tcPr>
          <w:p w14:paraId="094FF454" w14:textId="77777777" w:rsidR="002C0FD9" w:rsidRPr="00CA25CF" w:rsidRDefault="002C0FD9" w:rsidP="00CA25CF">
            <w:pPr>
              <w:rPr>
                <w:rFonts w:cs="Arial"/>
                <w:color w:val="FF0000"/>
                <w:sz w:val="21"/>
                <w:szCs w:val="21"/>
              </w:rPr>
            </w:pPr>
          </w:p>
        </w:tc>
        <w:tc>
          <w:tcPr>
            <w:tcW w:w="217" w:type="dxa"/>
          </w:tcPr>
          <w:p w14:paraId="5B5CE513" w14:textId="77777777" w:rsidR="002C0FD9" w:rsidRPr="00CA25CF" w:rsidRDefault="002C0FD9" w:rsidP="00CA25CF">
            <w:pPr>
              <w:rPr>
                <w:rFonts w:cs="Arial"/>
                <w:color w:val="FF0000"/>
                <w:sz w:val="21"/>
                <w:szCs w:val="21"/>
              </w:rPr>
            </w:pPr>
          </w:p>
        </w:tc>
        <w:tc>
          <w:tcPr>
            <w:tcW w:w="217" w:type="dxa"/>
          </w:tcPr>
          <w:p w14:paraId="4FE43773" w14:textId="77777777" w:rsidR="002C0FD9" w:rsidRPr="00CA25CF" w:rsidRDefault="002C0FD9" w:rsidP="00CA25CF">
            <w:pPr>
              <w:rPr>
                <w:rFonts w:cs="Arial"/>
                <w:color w:val="FF0000"/>
                <w:sz w:val="21"/>
                <w:szCs w:val="21"/>
              </w:rPr>
            </w:pPr>
          </w:p>
        </w:tc>
        <w:tc>
          <w:tcPr>
            <w:tcW w:w="217" w:type="dxa"/>
          </w:tcPr>
          <w:p w14:paraId="013028AC" w14:textId="77777777" w:rsidR="002C0FD9" w:rsidRPr="00CA25CF" w:rsidRDefault="002C0FD9" w:rsidP="00CA25CF">
            <w:pPr>
              <w:rPr>
                <w:rFonts w:cs="Arial"/>
                <w:color w:val="FF0000"/>
                <w:sz w:val="21"/>
                <w:szCs w:val="21"/>
              </w:rPr>
            </w:pPr>
          </w:p>
        </w:tc>
        <w:tc>
          <w:tcPr>
            <w:tcW w:w="217" w:type="dxa"/>
          </w:tcPr>
          <w:p w14:paraId="2F95058F" w14:textId="77777777" w:rsidR="002C0FD9" w:rsidRPr="00CA25CF" w:rsidRDefault="002C0FD9" w:rsidP="00CA25CF">
            <w:pPr>
              <w:rPr>
                <w:rFonts w:cs="Arial"/>
                <w:color w:val="FF0000"/>
                <w:sz w:val="21"/>
                <w:szCs w:val="21"/>
              </w:rPr>
            </w:pPr>
          </w:p>
        </w:tc>
        <w:tc>
          <w:tcPr>
            <w:tcW w:w="217" w:type="dxa"/>
          </w:tcPr>
          <w:p w14:paraId="030305D6" w14:textId="77777777" w:rsidR="002C0FD9" w:rsidRPr="00CA25CF" w:rsidRDefault="002C0FD9" w:rsidP="00CA25CF">
            <w:pPr>
              <w:rPr>
                <w:rFonts w:cs="Arial"/>
                <w:color w:val="FF0000"/>
                <w:sz w:val="21"/>
                <w:szCs w:val="21"/>
              </w:rPr>
            </w:pPr>
          </w:p>
        </w:tc>
        <w:tc>
          <w:tcPr>
            <w:tcW w:w="217" w:type="dxa"/>
          </w:tcPr>
          <w:p w14:paraId="26039B47" w14:textId="77777777" w:rsidR="002C0FD9" w:rsidRPr="00CA25CF" w:rsidRDefault="002C0FD9" w:rsidP="00CA25CF">
            <w:pPr>
              <w:rPr>
                <w:rFonts w:cs="Arial"/>
                <w:color w:val="FF0000"/>
                <w:sz w:val="21"/>
                <w:szCs w:val="21"/>
              </w:rPr>
            </w:pPr>
          </w:p>
        </w:tc>
        <w:tc>
          <w:tcPr>
            <w:tcW w:w="217" w:type="dxa"/>
          </w:tcPr>
          <w:p w14:paraId="7368BB49" w14:textId="77777777" w:rsidR="002C0FD9" w:rsidRPr="00CA25CF" w:rsidRDefault="002C0FD9" w:rsidP="00CA25CF">
            <w:pPr>
              <w:rPr>
                <w:rFonts w:cs="Arial"/>
                <w:color w:val="FF0000"/>
                <w:sz w:val="21"/>
                <w:szCs w:val="21"/>
              </w:rPr>
            </w:pPr>
          </w:p>
        </w:tc>
        <w:tc>
          <w:tcPr>
            <w:tcW w:w="217" w:type="dxa"/>
          </w:tcPr>
          <w:p w14:paraId="13E5D978" w14:textId="77777777" w:rsidR="002C0FD9" w:rsidRPr="00CA25CF" w:rsidRDefault="002C0FD9" w:rsidP="00CA25CF">
            <w:pPr>
              <w:rPr>
                <w:rFonts w:cs="Arial"/>
                <w:color w:val="FF0000"/>
                <w:sz w:val="21"/>
                <w:szCs w:val="21"/>
              </w:rPr>
            </w:pPr>
          </w:p>
        </w:tc>
        <w:tc>
          <w:tcPr>
            <w:tcW w:w="217" w:type="dxa"/>
          </w:tcPr>
          <w:p w14:paraId="73D488B6" w14:textId="77777777" w:rsidR="002C0FD9" w:rsidRPr="00CA25CF" w:rsidRDefault="002C0FD9" w:rsidP="00CA25CF">
            <w:pPr>
              <w:rPr>
                <w:rFonts w:cs="Arial"/>
                <w:color w:val="FF0000"/>
                <w:sz w:val="21"/>
                <w:szCs w:val="21"/>
              </w:rPr>
            </w:pPr>
          </w:p>
        </w:tc>
        <w:tc>
          <w:tcPr>
            <w:tcW w:w="217" w:type="dxa"/>
          </w:tcPr>
          <w:p w14:paraId="3B8DB031" w14:textId="77777777" w:rsidR="002C0FD9" w:rsidRPr="00CA25CF" w:rsidRDefault="002C0FD9" w:rsidP="00CA25CF">
            <w:pPr>
              <w:rPr>
                <w:rFonts w:cs="Arial"/>
                <w:color w:val="FF0000"/>
                <w:sz w:val="21"/>
                <w:szCs w:val="21"/>
              </w:rPr>
            </w:pPr>
          </w:p>
        </w:tc>
        <w:tc>
          <w:tcPr>
            <w:tcW w:w="217" w:type="dxa"/>
          </w:tcPr>
          <w:p w14:paraId="45AD2E3A" w14:textId="77777777" w:rsidR="002C0FD9" w:rsidRPr="00CA25CF" w:rsidRDefault="002C0FD9" w:rsidP="00CA25CF">
            <w:pPr>
              <w:rPr>
                <w:rFonts w:cs="Arial"/>
                <w:color w:val="FF0000"/>
                <w:sz w:val="21"/>
                <w:szCs w:val="21"/>
              </w:rPr>
            </w:pPr>
          </w:p>
        </w:tc>
        <w:tc>
          <w:tcPr>
            <w:tcW w:w="217" w:type="dxa"/>
          </w:tcPr>
          <w:p w14:paraId="1FD34C87" w14:textId="77777777" w:rsidR="002C0FD9" w:rsidRPr="00CA25CF" w:rsidRDefault="002C0FD9" w:rsidP="00CA25CF">
            <w:pPr>
              <w:rPr>
                <w:rFonts w:cs="Arial"/>
                <w:color w:val="FF0000"/>
                <w:sz w:val="21"/>
                <w:szCs w:val="21"/>
              </w:rPr>
            </w:pPr>
          </w:p>
        </w:tc>
        <w:tc>
          <w:tcPr>
            <w:tcW w:w="217" w:type="dxa"/>
          </w:tcPr>
          <w:p w14:paraId="082B8846" w14:textId="77777777" w:rsidR="002C0FD9" w:rsidRPr="00CA25CF" w:rsidRDefault="002C0FD9" w:rsidP="00CA25CF">
            <w:pPr>
              <w:rPr>
                <w:rFonts w:cs="Arial"/>
                <w:color w:val="FF0000"/>
                <w:sz w:val="21"/>
                <w:szCs w:val="21"/>
              </w:rPr>
            </w:pPr>
          </w:p>
        </w:tc>
        <w:tc>
          <w:tcPr>
            <w:tcW w:w="217" w:type="dxa"/>
          </w:tcPr>
          <w:p w14:paraId="0917A5DF" w14:textId="77777777" w:rsidR="002C0FD9" w:rsidRPr="00CA25CF" w:rsidRDefault="002C0FD9" w:rsidP="00CA25CF">
            <w:pPr>
              <w:rPr>
                <w:rFonts w:cs="Arial"/>
                <w:color w:val="FF0000"/>
                <w:sz w:val="21"/>
                <w:szCs w:val="21"/>
              </w:rPr>
            </w:pPr>
          </w:p>
        </w:tc>
        <w:tc>
          <w:tcPr>
            <w:tcW w:w="217" w:type="dxa"/>
          </w:tcPr>
          <w:p w14:paraId="6B431794" w14:textId="77777777" w:rsidR="002C0FD9" w:rsidRPr="00CA25CF" w:rsidRDefault="002C0FD9" w:rsidP="00CA25CF">
            <w:pPr>
              <w:rPr>
                <w:rFonts w:cs="Arial"/>
                <w:color w:val="FF0000"/>
                <w:sz w:val="21"/>
                <w:szCs w:val="21"/>
              </w:rPr>
            </w:pPr>
          </w:p>
        </w:tc>
        <w:tc>
          <w:tcPr>
            <w:tcW w:w="217" w:type="dxa"/>
          </w:tcPr>
          <w:p w14:paraId="07EC721E" w14:textId="77777777" w:rsidR="002C0FD9" w:rsidRPr="00CA25CF" w:rsidRDefault="002C0FD9" w:rsidP="00CA25CF">
            <w:pPr>
              <w:rPr>
                <w:rFonts w:cs="Arial"/>
                <w:color w:val="FF0000"/>
                <w:sz w:val="21"/>
                <w:szCs w:val="21"/>
              </w:rPr>
            </w:pPr>
          </w:p>
        </w:tc>
        <w:tc>
          <w:tcPr>
            <w:tcW w:w="217" w:type="dxa"/>
          </w:tcPr>
          <w:p w14:paraId="14E2AB37" w14:textId="77777777" w:rsidR="002C0FD9" w:rsidRPr="00CA25CF" w:rsidRDefault="002C0FD9" w:rsidP="00CA25CF">
            <w:pPr>
              <w:rPr>
                <w:rFonts w:cs="Arial"/>
                <w:color w:val="FF0000"/>
                <w:sz w:val="21"/>
                <w:szCs w:val="21"/>
              </w:rPr>
            </w:pPr>
          </w:p>
        </w:tc>
        <w:tc>
          <w:tcPr>
            <w:tcW w:w="217" w:type="dxa"/>
          </w:tcPr>
          <w:p w14:paraId="56CF06F0" w14:textId="77777777" w:rsidR="002C0FD9" w:rsidRPr="00CA25CF" w:rsidRDefault="002C0FD9" w:rsidP="00CA25CF">
            <w:pPr>
              <w:rPr>
                <w:rFonts w:cs="Arial"/>
                <w:color w:val="FF0000"/>
                <w:sz w:val="21"/>
                <w:szCs w:val="21"/>
              </w:rPr>
            </w:pPr>
          </w:p>
        </w:tc>
        <w:tc>
          <w:tcPr>
            <w:tcW w:w="217" w:type="dxa"/>
          </w:tcPr>
          <w:p w14:paraId="5F4A1A99" w14:textId="77777777" w:rsidR="002C0FD9" w:rsidRPr="00CA25CF" w:rsidRDefault="002C0FD9" w:rsidP="00CA25CF">
            <w:pPr>
              <w:rPr>
                <w:rFonts w:cs="Arial"/>
                <w:color w:val="FF0000"/>
                <w:sz w:val="21"/>
                <w:szCs w:val="21"/>
              </w:rPr>
            </w:pPr>
          </w:p>
        </w:tc>
        <w:tc>
          <w:tcPr>
            <w:tcW w:w="217" w:type="dxa"/>
          </w:tcPr>
          <w:p w14:paraId="38EB51A0" w14:textId="77777777" w:rsidR="002C0FD9" w:rsidRPr="00CA25CF" w:rsidRDefault="002C0FD9" w:rsidP="00CA25CF">
            <w:pPr>
              <w:rPr>
                <w:rFonts w:cs="Arial"/>
                <w:color w:val="FF0000"/>
                <w:sz w:val="21"/>
                <w:szCs w:val="21"/>
              </w:rPr>
            </w:pPr>
          </w:p>
        </w:tc>
        <w:tc>
          <w:tcPr>
            <w:tcW w:w="217" w:type="dxa"/>
          </w:tcPr>
          <w:p w14:paraId="36A72C23" w14:textId="77777777" w:rsidR="002C0FD9" w:rsidRPr="00CA25CF" w:rsidRDefault="002C0FD9" w:rsidP="00CA25CF">
            <w:pPr>
              <w:rPr>
                <w:rFonts w:cs="Arial"/>
                <w:color w:val="FF0000"/>
                <w:sz w:val="21"/>
                <w:szCs w:val="21"/>
              </w:rPr>
            </w:pPr>
          </w:p>
        </w:tc>
        <w:tc>
          <w:tcPr>
            <w:tcW w:w="217" w:type="dxa"/>
          </w:tcPr>
          <w:p w14:paraId="4654F95B" w14:textId="77777777" w:rsidR="002C0FD9" w:rsidRPr="00CA25CF" w:rsidRDefault="002C0FD9" w:rsidP="00CA25CF">
            <w:pPr>
              <w:rPr>
                <w:rFonts w:cs="Arial"/>
                <w:color w:val="FF0000"/>
                <w:sz w:val="21"/>
                <w:szCs w:val="21"/>
              </w:rPr>
            </w:pPr>
          </w:p>
        </w:tc>
      </w:tr>
      <w:tr w:rsidR="002C0FD9" w:rsidRPr="00A16219" w14:paraId="4F29E6BC" w14:textId="19B9D8C6" w:rsidTr="002C0FD9">
        <w:trPr>
          <w:trHeight w:val="635"/>
        </w:trPr>
        <w:tc>
          <w:tcPr>
            <w:tcW w:w="515" w:type="dxa"/>
          </w:tcPr>
          <w:p w14:paraId="716BCA99" w14:textId="77777777" w:rsidR="002C0FD9" w:rsidRPr="00CA25CF" w:rsidRDefault="002C0FD9" w:rsidP="00CA25CF">
            <w:pPr>
              <w:rPr>
                <w:rFonts w:cs="Arial"/>
                <w:color w:val="FF0000"/>
                <w:sz w:val="21"/>
                <w:szCs w:val="21"/>
              </w:rPr>
            </w:pPr>
          </w:p>
        </w:tc>
        <w:tc>
          <w:tcPr>
            <w:tcW w:w="217" w:type="dxa"/>
          </w:tcPr>
          <w:p w14:paraId="6EFF6337" w14:textId="77777777" w:rsidR="002C0FD9" w:rsidRPr="00CA25CF" w:rsidRDefault="002C0FD9" w:rsidP="00CA25CF">
            <w:pPr>
              <w:rPr>
                <w:rFonts w:cs="Arial"/>
                <w:color w:val="FF0000"/>
                <w:sz w:val="21"/>
                <w:szCs w:val="21"/>
              </w:rPr>
            </w:pPr>
          </w:p>
        </w:tc>
        <w:tc>
          <w:tcPr>
            <w:tcW w:w="217" w:type="dxa"/>
          </w:tcPr>
          <w:p w14:paraId="4F4851A8" w14:textId="2855648E" w:rsidR="002C0FD9" w:rsidRPr="00CA25CF" w:rsidRDefault="002C0FD9" w:rsidP="00CA25CF">
            <w:pPr>
              <w:rPr>
                <w:rFonts w:cs="Arial"/>
                <w:color w:val="FF0000"/>
                <w:sz w:val="21"/>
                <w:szCs w:val="21"/>
              </w:rPr>
            </w:pPr>
          </w:p>
        </w:tc>
        <w:tc>
          <w:tcPr>
            <w:tcW w:w="217" w:type="dxa"/>
          </w:tcPr>
          <w:p w14:paraId="24718076" w14:textId="77777777" w:rsidR="002C0FD9" w:rsidRPr="00CA25CF" w:rsidRDefault="002C0FD9" w:rsidP="00CA25CF">
            <w:pPr>
              <w:rPr>
                <w:rFonts w:cs="Arial"/>
                <w:color w:val="FF0000"/>
                <w:sz w:val="21"/>
                <w:szCs w:val="21"/>
              </w:rPr>
            </w:pPr>
          </w:p>
        </w:tc>
        <w:tc>
          <w:tcPr>
            <w:tcW w:w="217" w:type="dxa"/>
          </w:tcPr>
          <w:p w14:paraId="3159EDF5" w14:textId="77777777" w:rsidR="002C0FD9" w:rsidRPr="00CA25CF" w:rsidRDefault="002C0FD9" w:rsidP="00CA25CF">
            <w:pPr>
              <w:rPr>
                <w:rFonts w:cs="Arial"/>
                <w:color w:val="FF0000"/>
                <w:sz w:val="21"/>
                <w:szCs w:val="21"/>
              </w:rPr>
            </w:pPr>
          </w:p>
        </w:tc>
        <w:tc>
          <w:tcPr>
            <w:tcW w:w="217" w:type="dxa"/>
          </w:tcPr>
          <w:p w14:paraId="620AA798" w14:textId="77777777" w:rsidR="002C0FD9" w:rsidRPr="00CA25CF" w:rsidRDefault="002C0FD9" w:rsidP="00CA25CF">
            <w:pPr>
              <w:rPr>
                <w:rFonts w:cs="Arial"/>
                <w:color w:val="FF0000"/>
                <w:sz w:val="21"/>
                <w:szCs w:val="21"/>
              </w:rPr>
            </w:pPr>
          </w:p>
        </w:tc>
        <w:tc>
          <w:tcPr>
            <w:tcW w:w="217" w:type="dxa"/>
          </w:tcPr>
          <w:p w14:paraId="4DCC5905" w14:textId="77777777" w:rsidR="002C0FD9" w:rsidRPr="00CA25CF" w:rsidRDefault="002C0FD9" w:rsidP="00CA25CF">
            <w:pPr>
              <w:rPr>
                <w:rFonts w:cs="Arial"/>
                <w:color w:val="FF0000"/>
                <w:sz w:val="21"/>
                <w:szCs w:val="21"/>
              </w:rPr>
            </w:pPr>
          </w:p>
        </w:tc>
        <w:tc>
          <w:tcPr>
            <w:tcW w:w="217" w:type="dxa"/>
          </w:tcPr>
          <w:p w14:paraId="337FF6C0" w14:textId="77777777" w:rsidR="002C0FD9" w:rsidRPr="00CA25CF" w:rsidRDefault="002C0FD9" w:rsidP="00CA25CF">
            <w:pPr>
              <w:rPr>
                <w:rFonts w:cs="Arial"/>
                <w:color w:val="FF0000"/>
                <w:sz w:val="21"/>
                <w:szCs w:val="21"/>
              </w:rPr>
            </w:pPr>
          </w:p>
        </w:tc>
        <w:tc>
          <w:tcPr>
            <w:tcW w:w="217" w:type="dxa"/>
          </w:tcPr>
          <w:p w14:paraId="06C15487" w14:textId="77777777" w:rsidR="002C0FD9" w:rsidRPr="00CA25CF" w:rsidRDefault="002C0FD9" w:rsidP="00CA25CF">
            <w:pPr>
              <w:rPr>
                <w:rFonts w:cs="Arial"/>
                <w:color w:val="FF0000"/>
                <w:sz w:val="21"/>
                <w:szCs w:val="21"/>
              </w:rPr>
            </w:pPr>
          </w:p>
        </w:tc>
        <w:tc>
          <w:tcPr>
            <w:tcW w:w="217" w:type="dxa"/>
          </w:tcPr>
          <w:p w14:paraId="41D46508" w14:textId="77777777" w:rsidR="002C0FD9" w:rsidRPr="00CA25CF" w:rsidRDefault="002C0FD9" w:rsidP="00CA25CF">
            <w:pPr>
              <w:rPr>
                <w:rFonts w:cs="Arial"/>
                <w:color w:val="FF0000"/>
                <w:sz w:val="21"/>
                <w:szCs w:val="21"/>
              </w:rPr>
            </w:pPr>
          </w:p>
        </w:tc>
        <w:tc>
          <w:tcPr>
            <w:tcW w:w="217" w:type="dxa"/>
          </w:tcPr>
          <w:p w14:paraId="0C34C145" w14:textId="77777777" w:rsidR="002C0FD9" w:rsidRPr="00CA25CF" w:rsidRDefault="002C0FD9" w:rsidP="00CA25CF">
            <w:pPr>
              <w:rPr>
                <w:rFonts w:cs="Arial"/>
                <w:color w:val="FF0000"/>
                <w:sz w:val="21"/>
                <w:szCs w:val="21"/>
              </w:rPr>
            </w:pPr>
          </w:p>
        </w:tc>
        <w:tc>
          <w:tcPr>
            <w:tcW w:w="217" w:type="dxa"/>
          </w:tcPr>
          <w:p w14:paraId="5EE733FB" w14:textId="77777777" w:rsidR="002C0FD9" w:rsidRPr="00CA25CF" w:rsidRDefault="002C0FD9" w:rsidP="00CA25CF">
            <w:pPr>
              <w:rPr>
                <w:rFonts w:cs="Arial"/>
                <w:color w:val="FF0000"/>
                <w:sz w:val="21"/>
                <w:szCs w:val="21"/>
              </w:rPr>
            </w:pPr>
          </w:p>
        </w:tc>
        <w:tc>
          <w:tcPr>
            <w:tcW w:w="217" w:type="dxa"/>
          </w:tcPr>
          <w:p w14:paraId="66C1FBB3" w14:textId="77777777" w:rsidR="002C0FD9" w:rsidRPr="00CA25CF" w:rsidRDefault="002C0FD9" w:rsidP="00CA25CF">
            <w:pPr>
              <w:rPr>
                <w:rFonts w:cs="Arial"/>
                <w:color w:val="FF0000"/>
                <w:sz w:val="21"/>
                <w:szCs w:val="21"/>
              </w:rPr>
            </w:pPr>
          </w:p>
        </w:tc>
        <w:tc>
          <w:tcPr>
            <w:tcW w:w="217" w:type="dxa"/>
          </w:tcPr>
          <w:p w14:paraId="3AE1E1DC" w14:textId="77777777" w:rsidR="002C0FD9" w:rsidRPr="00CA25CF" w:rsidRDefault="002C0FD9" w:rsidP="00CA25CF">
            <w:pPr>
              <w:rPr>
                <w:rFonts w:cs="Arial"/>
                <w:color w:val="FF0000"/>
                <w:sz w:val="21"/>
                <w:szCs w:val="21"/>
              </w:rPr>
            </w:pPr>
          </w:p>
        </w:tc>
        <w:tc>
          <w:tcPr>
            <w:tcW w:w="217" w:type="dxa"/>
          </w:tcPr>
          <w:p w14:paraId="06A29AFA" w14:textId="77777777" w:rsidR="002C0FD9" w:rsidRPr="00CA25CF" w:rsidRDefault="002C0FD9" w:rsidP="00CA25CF">
            <w:pPr>
              <w:rPr>
                <w:rFonts w:cs="Arial"/>
                <w:color w:val="FF0000"/>
                <w:sz w:val="21"/>
                <w:szCs w:val="21"/>
              </w:rPr>
            </w:pPr>
          </w:p>
        </w:tc>
        <w:tc>
          <w:tcPr>
            <w:tcW w:w="217" w:type="dxa"/>
          </w:tcPr>
          <w:p w14:paraId="14EFB03B" w14:textId="31CFAA34" w:rsidR="002C0FD9" w:rsidRPr="00CA25CF" w:rsidRDefault="002C0FD9" w:rsidP="00CA25CF">
            <w:pPr>
              <w:rPr>
                <w:rFonts w:cs="Arial"/>
                <w:color w:val="FF0000"/>
                <w:sz w:val="21"/>
                <w:szCs w:val="21"/>
              </w:rPr>
            </w:pPr>
          </w:p>
        </w:tc>
        <w:tc>
          <w:tcPr>
            <w:tcW w:w="217" w:type="dxa"/>
          </w:tcPr>
          <w:p w14:paraId="4A489728" w14:textId="77777777" w:rsidR="002C0FD9" w:rsidRPr="00CA25CF" w:rsidRDefault="002C0FD9" w:rsidP="00CA25CF">
            <w:pPr>
              <w:rPr>
                <w:rFonts w:cs="Arial"/>
                <w:color w:val="FF0000"/>
                <w:sz w:val="21"/>
                <w:szCs w:val="21"/>
              </w:rPr>
            </w:pPr>
          </w:p>
        </w:tc>
        <w:tc>
          <w:tcPr>
            <w:tcW w:w="217" w:type="dxa"/>
          </w:tcPr>
          <w:p w14:paraId="5DDBBD8F" w14:textId="77777777" w:rsidR="002C0FD9" w:rsidRPr="00CA25CF" w:rsidRDefault="002C0FD9" w:rsidP="00CA25CF">
            <w:pPr>
              <w:rPr>
                <w:rFonts w:cs="Arial"/>
                <w:color w:val="FF0000"/>
                <w:sz w:val="21"/>
                <w:szCs w:val="21"/>
              </w:rPr>
            </w:pPr>
          </w:p>
        </w:tc>
        <w:tc>
          <w:tcPr>
            <w:tcW w:w="217" w:type="dxa"/>
          </w:tcPr>
          <w:p w14:paraId="52040398" w14:textId="77777777" w:rsidR="002C0FD9" w:rsidRPr="00CA25CF" w:rsidRDefault="002C0FD9" w:rsidP="00CA25CF">
            <w:pPr>
              <w:rPr>
                <w:rFonts w:cs="Arial"/>
                <w:color w:val="FF0000"/>
                <w:sz w:val="21"/>
                <w:szCs w:val="21"/>
              </w:rPr>
            </w:pPr>
          </w:p>
        </w:tc>
        <w:tc>
          <w:tcPr>
            <w:tcW w:w="217" w:type="dxa"/>
          </w:tcPr>
          <w:p w14:paraId="7F0AC697" w14:textId="77777777" w:rsidR="002C0FD9" w:rsidRPr="00CA25CF" w:rsidRDefault="002C0FD9" w:rsidP="00CA25CF">
            <w:pPr>
              <w:rPr>
                <w:rFonts w:cs="Arial"/>
                <w:color w:val="FF0000"/>
                <w:sz w:val="21"/>
                <w:szCs w:val="21"/>
              </w:rPr>
            </w:pPr>
          </w:p>
        </w:tc>
        <w:tc>
          <w:tcPr>
            <w:tcW w:w="217" w:type="dxa"/>
          </w:tcPr>
          <w:p w14:paraId="5B719008" w14:textId="77777777" w:rsidR="002C0FD9" w:rsidRPr="00CA25CF" w:rsidRDefault="002C0FD9" w:rsidP="00CA25CF">
            <w:pPr>
              <w:rPr>
                <w:rFonts w:cs="Arial"/>
                <w:color w:val="FF0000"/>
                <w:sz w:val="21"/>
                <w:szCs w:val="21"/>
              </w:rPr>
            </w:pPr>
          </w:p>
        </w:tc>
        <w:tc>
          <w:tcPr>
            <w:tcW w:w="217" w:type="dxa"/>
          </w:tcPr>
          <w:p w14:paraId="2EAF6271" w14:textId="77777777" w:rsidR="002C0FD9" w:rsidRPr="00CA25CF" w:rsidRDefault="002C0FD9" w:rsidP="00CA25CF">
            <w:pPr>
              <w:rPr>
                <w:rFonts w:cs="Arial"/>
                <w:color w:val="FF0000"/>
                <w:sz w:val="21"/>
                <w:szCs w:val="21"/>
              </w:rPr>
            </w:pPr>
          </w:p>
        </w:tc>
        <w:tc>
          <w:tcPr>
            <w:tcW w:w="217" w:type="dxa"/>
          </w:tcPr>
          <w:p w14:paraId="09BDD5B0" w14:textId="77777777" w:rsidR="002C0FD9" w:rsidRPr="00CA25CF" w:rsidRDefault="002C0FD9" w:rsidP="00CA25CF">
            <w:pPr>
              <w:rPr>
                <w:rFonts w:cs="Arial"/>
                <w:color w:val="FF0000"/>
                <w:sz w:val="21"/>
                <w:szCs w:val="21"/>
              </w:rPr>
            </w:pPr>
          </w:p>
        </w:tc>
        <w:tc>
          <w:tcPr>
            <w:tcW w:w="217" w:type="dxa"/>
          </w:tcPr>
          <w:p w14:paraId="52BB656D" w14:textId="77777777" w:rsidR="002C0FD9" w:rsidRPr="00CA25CF" w:rsidRDefault="002C0FD9" w:rsidP="00CA25CF">
            <w:pPr>
              <w:rPr>
                <w:rFonts w:cs="Arial"/>
                <w:color w:val="FF0000"/>
                <w:sz w:val="21"/>
                <w:szCs w:val="21"/>
              </w:rPr>
            </w:pPr>
          </w:p>
        </w:tc>
        <w:tc>
          <w:tcPr>
            <w:tcW w:w="217" w:type="dxa"/>
          </w:tcPr>
          <w:p w14:paraId="7A2EF20B" w14:textId="77777777" w:rsidR="002C0FD9" w:rsidRPr="00CA25CF" w:rsidRDefault="002C0FD9" w:rsidP="00CA25CF">
            <w:pPr>
              <w:rPr>
                <w:rFonts w:cs="Arial"/>
                <w:color w:val="FF0000"/>
                <w:sz w:val="21"/>
                <w:szCs w:val="21"/>
              </w:rPr>
            </w:pPr>
          </w:p>
        </w:tc>
        <w:tc>
          <w:tcPr>
            <w:tcW w:w="217" w:type="dxa"/>
          </w:tcPr>
          <w:p w14:paraId="76087BF7" w14:textId="77777777" w:rsidR="002C0FD9" w:rsidRPr="00CA25CF" w:rsidRDefault="002C0FD9" w:rsidP="00CA25CF">
            <w:pPr>
              <w:rPr>
                <w:rFonts w:cs="Arial"/>
                <w:color w:val="FF0000"/>
                <w:sz w:val="21"/>
                <w:szCs w:val="21"/>
              </w:rPr>
            </w:pPr>
          </w:p>
        </w:tc>
        <w:tc>
          <w:tcPr>
            <w:tcW w:w="217" w:type="dxa"/>
          </w:tcPr>
          <w:p w14:paraId="3E88A931" w14:textId="77777777" w:rsidR="002C0FD9" w:rsidRPr="00CA25CF" w:rsidRDefault="002C0FD9" w:rsidP="00CA25CF">
            <w:pPr>
              <w:rPr>
                <w:rFonts w:cs="Arial"/>
                <w:color w:val="FF0000"/>
                <w:sz w:val="21"/>
                <w:szCs w:val="21"/>
              </w:rPr>
            </w:pPr>
          </w:p>
        </w:tc>
        <w:tc>
          <w:tcPr>
            <w:tcW w:w="217" w:type="dxa"/>
          </w:tcPr>
          <w:p w14:paraId="1BCF9D63" w14:textId="77777777" w:rsidR="002C0FD9" w:rsidRPr="00CA25CF" w:rsidRDefault="002C0FD9" w:rsidP="00CA25CF">
            <w:pPr>
              <w:rPr>
                <w:rFonts w:cs="Arial"/>
                <w:color w:val="FF0000"/>
                <w:sz w:val="21"/>
                <w:szCs w:val="21"/>
              </w:rPr>
            </w:pPr>
          </w:p>
        </w:tc>
        <w:tc>
          <w:tcPr>
            <w:tcW w:w="217" w:type="dxa"/>
          </w:tcPr>
          <w:p w14:paraId="06D5979D" w14:textId="77777777" w:rsidR="002C0FD9" w:rsidRPr="00CA25CF" w:rsidRDefault="002C0FD9" w:rsidP="00CA25CF">
            <w:pPr>
              <w:rPr>
                <w:rFonts w:cs="Arial"/>
                <w:color w:val="FF0000"/>
                <w:sz w:val="21"/>
                <w:szCs w:val="21"/>
              </w:rPr>
            </w:pPr>
          </w:p>
        </w:tc>
        <w:tc>
          <w:tcPr>
            <w:tcW w:w="217" w:type="dxa"/>
          </w:tcPr>
          <w:p w14:paraId="4B2621CC" w14:textId="77777777" w:rsidR="002C0FD9" w:rsidRPr="00CA25CF" w:rsidRDefault="002C0FD9" w:rsidP="00CA25CF">
            <w:pPr>
              <w:rPr>
                <w:rFonts w:cs="Arial"/>
                <w:color w:val="FF0000"/>
                <w:sz w:val="21"/>
                <w:szCs w:val="21"/>
              </w:rPr>
            </w:pPr>
          </w:p>
        </w:tc>
        <w:tc>
          <w:tcPr>
            <w:tcW w:w="217" w:type="dxa"/>
          </w:tcPr>
          <w:p w14:paraId="10EB7F0E" w14:textId="77777777" w:rsidR="002C0FD9" w:rsidRPr="00CA25CF" w:rsidRDefault="002C0FD9" w:rsidP="00CA25CF">
            <w:pPr>
              <w:rPr>
                <w:rFonts w:cs="Arial"/>
                <w:color w:val="FF0000"/>
                <w:sz w:val="21"/>
                <w:szCs w:val="21"/>
              </w:rPr>
            </w:pPr>
          </w:p>
        </w:tc>
        <w:tc>
          <w:tcPr>
            <w:tcW w:w="217" w:type="dxa"/>
          </w:tcPr>
          <w:p w14:paraId="3575FDCD" w14:textId="77777777" w:rsidR="002C0FD9" w:rsidRPr="00CA25CF" w:rsidRDefault="002C0FD9" w:rsidP="00CA25CF">
            <w:pPr>
              <w:rPr>
                <w:rFonts w:cs="Arial"/>
                <w:color w:val="FF0000"/>
                <w:sz w:val="21"/>
                <w:szCs w:val="21"/>
              </w:rPr>
            </w:pPr>
          </w:p>
        </w:tc>
        <w:tc>
          <w:tcPr>
            <w:tcW w:w="217" w:type="dxa"/>
          </w:tcPr>
          <w:p w14:paraId="0A96606A" w14:textId="77777777" w:rsidR="002C0FD9" w:rsidRPr="00CA25CF" w:rsidRDefault="002C0FD9" w:rsidP="00CA25CF">
            <w:pPr>
              <w:rPr>
                <w:rFonts w:cs="Arial"/>
                <w:color w:val="FF0000"/>
                <w:sz w:val="21"/>
                <w:szCs w:val="21"/>
              </w:rPr>
            </w:pPr>
          </w:p>
        </w:tc>
        <w:tc>
          <w:tcPr>
            <w:tcW w:w="217" w:type="dxa"/>
          </w:tcPr>
          <w:p w14:paraId="45FD8C2A" w14:textId="77777777" w:rsidR="002C0FD9" w:rsidRPr="00CA25CF" w:rsidRDefault="002C0FD9" w:rsidP="00CA25CF">
            <w:pPr>
              <w:rPr>
                <w:rFonts w:cs="Arial"/>
                <w:color w:val="FF0000"/>
                <w:sz w:val="21"/>
                <w:szCs w:val="21"/>
              </w:rPr>
            </w:pPr>
          </w:p>
        </w:tc>
        <w:tc>
          <w:tcPr>
            <w:tcW w:w="217" w:type="dxa"/>
          </w:tcPr>
          <w:p w14:paraId="2AF6EFF1" w14:textId="77777777" w:rsidR="002C0FD9" w:rsidRPr="00CA25CF" w:rsidRDefault="002C0FD9" w:rsidP="00CA25CF">
            <w:pPr>
              <w:rPr>
                <w:rFonts w:cs="Arial"/>
                <w:color w:val="FF0000"/>
                <w:sz w:val="21"/>
                <w:szCs w:val="21"/>
              </w:rPr>
            </w:pPr>
          </w:p>
        </w:tc>
        <w:tc>
          <w:tcPr>
            <w:tcW w:w="217" w:type="dxa"/>
          </w:tcPr>
          <w:p w14:paraId="5E5FAB5E" w14:textId="77777777" w:rsidR="002C0FD9" w:rsidRPr="00CA25CF" w:rsidRDefault="002C0FD9" w:rsidP="00CA25CF">
            <w:pPr>
              <w:rPr>
                <w:rFonts w:cs="Arial"/>
                <w:color w:val="FF0000"/>
                <w:sz w:val="21"/>
                <w:szCs w:val="21"/>
              </w:rPr>
            </w:pPr>
          </w:p>
        </w:tc>
        <w:tc>
          <w:tcPr>
            <w:tcW w:w="217" w:type="dxa"/>
          </w:tcPr>
          <w:p w14:paraId="173E258B" w14:textId="77777777" w:rsidR="002C0FD9" w:rsidRPr="00CA25CF" w:rsidRDefault="002C0FD9" w:rsidP="00CA25CF">
            <w:pPr>
              <w:rPr>
                <w:rFonts w:cs="Arial"/>
                <w:color w:val="FF0000"/>
                <w:sz w:val="21"/>
                <w:szCs w:val="21"/>
              </w:rPr>
            </w:pPr>
          </w:p>
        </w:tc>
        <w:tc>
          <w:tcPr>
            <w:tcW w:w="217" w:type="dxa"/>
          </w:tcPr>
          <w:p w14:paraId="46330AA8" w14:textId="77777777" w:rsidR="002C0FD9" w:rsidRPr="00CA25CF" w:rsidRDefault="002C0FD9" w:rsidP="00CA25CF">
            <w:pPr>
              <w:rPr>
                <w:rFonts w:cs="Arial"/>
                <w:color w:val="FF0000"/>
                <w:sz w:val="21"/>
                <w:szCs w:val="21"/>
              </w:rPr>
            </w:pPr>
          </w:p>
        </w:tc>
        <w:tc>
          <w:tcPr>
            <w:tcW w:w="217" w:type="dxa"/>
          </w:tcPr>
          <w:p w14:paraId="2F2C9B9C" w14:textId="77777777" w:rsidR="002C0FD9" w:rsidRPr="00CA25CF" w:rsidRDefault="002C0FD9" w:rsidP="00CA25CF">
            <w:pPr>
              <w:rPr>
                <w:rFonts w:cs="Arial"/>
                <w:color w:val="FF0000"/>
                <w:sz w:val="21"/>
                <w:szCs w:val="21"/>
              </w:rPr>
            </w:pPr>
          </w:p>
        </w:tc>
        <w:tc>
          <w:tcPr>
            <w:tcW w:w="217" w:type="dxa"/>
          </w:tcPr>
          <w:p w14:paraId="5D5A7B93" w14:textId="77777777" w:rsidR="002C0FD9" w:rsidRPr="00CA25CF" w:rsidRDefault="002C0FD9" w:rsidP="00CA25CF">
            <w:pPr>
              <w:rPr>
                <w:rFonts w:cs="Arial"/>
                <w:color w:val="FF0000"/>
                <w:sz w:val="21"/>
                <w:szCs w:val="21"/>
              </w:rPr>
            </w:pPr>
          </w:p>
        </w:tc>
        <w:tc>
          <w:tcPr>
            <w:tcW w:w="217" w:type="dxa"/>
          </w:tcPr>
          <w:p w14:paraId="73439050" w14:textId="77777777" w:rsidR="002C0FD9" w:rsidRPr="00CA25CF" w:rsidRDefault="002C0FD9" w:rsidP="00CA25CF">
            <w:pPr>
              <w:rPr>
                <w:rFonts w:cs="Arial"/>
                <w:color w:val="FF0000"/>
                <w:sz w:val="21"/>
                <w:szCs w:val="21"/>
              </w:rPr>
            </w:pPr>
          </w:p>
        </w:tc>
        <w:tc>
          <w:tcPr>
            <w:tcW w:w="217" w:type="dxa"/>
          </w:tcPr>
          <w:p w14:paraId="02044C12" w14:textId="77777777" w:rsidR="002C0FD9" w:rsidRPr="00CA25CF" w:rsidRDefault="002C0FD9" w:rsidP="00CA25CF">
            <w:pPr>
              <w:rPr>
                <w:rFonts w:cs="Arial"/>
                <w:color w:val="FF0000"/>
                <w:sz w:val="21"/>
                <w:szCs w:val="21"/>
              </w:rPr>
            </w:pPr>
          </w:p>
        </w:tc>
        <w:tc>
          <w:tcPr>
            <w:tcW w:w="217" w:type="dxa"/>
          </w:tcPr>
          <w:p w14:paraId="79E6FD84" w14:textId="77777777" w:rsidR="002C0FD9" w:rsidRPr="00CA25CF" w:rsidRDefault="002C0FD9" w:rsidP="00CA25CF">
            <w:pPr>
              <w:rPr>
                <w:rFonts w:cs="Arial"/>
                <w:color w:val="FF0000"/>
                <w:sz w:val="21"/>
                <w:szCs w:val="21"/>
              </w:rPr>
            </w:pPr>
          </w:p>
        </w:tc>
      </w:tr>
      <w:tr w:rsidR="002C0FD9" w:rsidRPr="00A16219" w14:paraId="113BE021" w14:textId="481C31F0" w:rsidTr="002C0FD9">
        <w:trPr>
          <w:trHeight w:val="635"/>
        </w:trPr>
        <w:tc>
          <w:tcPr>
            <w:tcW w:w="515" w:type="dxa"/>
          </w:tcPr>
          <w:p w14:paraId="1585A2FA" w14:textId="77777777" w:rsidR="002C0FD9" w:rsidRPr="00CA25CF" w:rsidRDefault="002C0FD9" w:rsidP="00CA25CF">
            <w:pPr>
              <w:rPr>
                <w:rFonts w:cs="Arial"/>
                <w:color w:val="FF0000"/>
                <w:sz w:val="21"/>
                <w:szCs w:val="21"/>
              </w:rPr>
            </w:pPr>
          </w:p>
        </w:tc>
        <w:tc>
          <w:tcPr>
            <w:tcW w:w="217" w:type="dxa"/>
          </w:tcPr>
          <w:p w14:paraId="46DC02E9" w14:textId="77777777" w:rsidR="002C0FD9" w:rsidRPr="00CA25CF" w:rsidRDefault="002C0FD9" w:rsidP="00CA25CF">
            <w:pPr>
              <w:rPr>
                <w:rFonts w:cs="Arial"/>
                <w:color w:val="FF0000"/>
                <w:sz w:val="21"/>
                <w:szCs w:val="21"/>
              </w:rPr>
            </w:pPr>
          </w:p>
        </w:tc>
        <w:tc>
          <w:tcPr>
            <w:tcW w:w="217" w:type="dxa"/>
          </w:tcPr>
          <w:p w14:paraId="42C9FAC8" w14:textId="58516D54" w:rsidR="002C0FD9" w:rsidRPr="00CA25CF" w:rsidRDefault="002C0FD9" w:rsidP="00CA25CF">
            <w:pPr>
              <w:rPr>
                <w:rFonts w:cs="Arial"/>
                <w:color w:val="FF0000"/>
                <w:sz w:val="21"/>
                <w:szCs w:val="21"/>
              </w:rPr>
            </w:pPr>
          </w:p>
        </w:tc>
        <w:tc>
          <w:tcPr>
            <w:tcW w:w="217" w:type="dxa"/>
          </w:tcPr>
          <w:p w14:paraId="59A699B4" w14:textId="77777777" w:rsidR="002C0FD9" w:rsidRPr="00CA25CF" w:rsidRDefault="002C0FD9" w:rsidP="00CA25CF">
            <w:pPr>
              <w:rPr>
                <w:rFonts w:cs="Arial"/>
                <w:color w:val="FF0000"/>
                <w:sz w:val="21"/>
                <w:szCs w:val="21"/>
              </w:rPr>
            </w:pPr>
          </w:p>
        </w:tc>
        <w:tc>
          <w:tcPr>
            <w:tcW w:w="217" w:type="dxa"/>
          </w:tcPr>
          <w:p w14:paraId="6763806E" w14:textId="77777777" w:rsidR="002C0FD9" w:rsidRPr="00CA25CF" w:rsidRDefault="002C0FD9" w:rsidP="00CA25CF">
            <w:pPr>
              <w:rPr>
                <w:rFonts w:cs="Arial"/>
                <w:color w:val="FF0000"/>
                <w:sz w:val="21"/>
                <w:szCs w:val="21"/>
              </w:rPr>
            </w:pPr>
          </w:p>
        </w:tc>
        <w:tc>
          <w:tcPr>
            <w:tcW w:w="217" w:type="dxa"/>
          </w:tcPr>
          <w:p w14:paraId="6F42E755" w14:textId="77777777" w:rsidR="002C0FD9" w:rsidRPr="00CA25CF" w:rsidRDefault="002C0FD9" w:rsidP="00CA25CF">
            <w:pPr>
              <w:rPr>
                <w:rFonts w:cs="Arial"/>
                <w:color w:val="FF0000"/>
                <w:sz w:val="21"/>
                <w:szCs w:val="21"/>
              </w:rPr>
            </w:pPr>
          </w:p>
        </w:tc>
        <w:tc>
          <w:tcPr>
            <w:tcW w:w="217" w:type="dxa"/>
          </w:tcPr>
          <w:p w14:paraId="74B18CE1" w14:textId="77777777" w:rsidR="002C0FD9" w:rsidRPr="00CA25CF" w:rsidRDefault="002C0FD9" w:rsidP="00CA25CF">
            <w:pPr>
              <w:rPr>
                <w:rFonts w:cs="Arial"/>
                <w:color w:val="FF0000"/>
                <w:sz w:val="21"/>
                <w:szCs w:val="21"/>
              </w:rPr>
            </w:pPr>
          </w:p>
        </w:tc>
        <w:tc>
          <w:tcPr>
            <w:tcW w:w="217" w:type="dxa"/>
          </w:tcPr>
          <w:p w14:paraId="5A768E3F" w14:textId="77777777" w:rsidR="002C0FD9" w:rsidRPr="00CA25CF" w:rsidRDefault="002C0FD9" w:rsidP="00CA25CF">
            <w:pPr>
              <w:rPr>
                <w:rFonts w:cs="Arial"/>
                <w:color w:val="FF0000"/>
                <w:sz w:val="21"/>
                <w:szCs w:val="21"/>
              </w:rPr>
            </w:pPr>
          </w:p>
        </w:tc>
        <w:tc>
          <w:tcPr>
            <w:tcW w:w="217" w:type="dxa"/>
          </w:tcPr>
          <w:p w14:paraId="2CC4720B" w14:textId="77777777" w:rsidR="002C0FD9" w:rsidRPr="00CA25CF" w:rsidRDefault="002C0FD9" w:rsidP="00CA25CF">
            <w:pPr>
              <w:rPr>
                <w:rFonts w:cs="Arial"/>
                <w:color w:val="FF0000"/>
                <w:sz w:val="21"/>
                <w:szCs w:val="21"/>
              </w:rPr>
            </w:pPr>
          </w:p>
        </w:tc>
        <w:tc>
          <w:tcPr>
            <w:tcW w:w="217" w:type="dxa"/>
          </w:tcPr>
          <w:p w14:paraId="0757ED49" w14:textId="77777777" w:rsidR="002C0FD9" w:rsidRPr="00CA25CF" w:rsidRDefault="002C0FD9" w:rsidP="00CA25CF">
            <w:pPr>
              <w:rPr>
                <w:rFonts w:cs="Arial"/>
                <w:color w:val="FF0000"/>
                <w:sz w:val="21"/>
                <w:szCs w:val="21"/>
              </w:rPr>
            </w:pPr>
          </w:p>
        </w:tc>
        <w:tc>
          <w:tcPr>
            <w:tcW w:w="217" w:type="dxa"/>
          </w:tcPr>
          <w:p w14:paraId="5336C277" w14:textId="77777777" w:rsidR="002C0FD9" w:rsidRPr="00CA25CF" w:rsidRDefault="002C0FD9" w:rsidP="00CA25CF">
            <w:pPr>
              <w:rPr>
                <w:rFonts w:cs="Arial"/>
                <w:color w:val="FF0000"/>
                <w:sz w:val="21"/>
                <w:szCs w:val="21"/>
              </w:rPr>
            </w:pPr>
          </w:p>
        </w:tc>
        <w:tc>
          <w:tcPr>
            <w:tcW w:w="217" w:type="dxa"/>
          </w:tcPr>
          <w:p w14:paraId="76CF2ADD" w14:textId="77777777" w:rsidR="002C0FD9" w:rsidRPr="00CA25CF" w:rsidRDefault="002C0FD9" w:rsidP="00CA25CF">
            <w:pPr>
              <w:rPr>
                <w:rFonts w:cs="Arial"/>
                <w:color w:val="FF0000"/>
                <w:sz w:val="21"/>
                <w:szCs w:val="21"/>
              </w:rPr>
            </w:pPr>
          </w:p>
        </w:tc>
        <w:tc>
          <w:tcPr>
            <w:tcW w:w="217" w:type="dxa"/>
          </w:tcPr>
          <w:p w14:paraId="04AC661C" w14:textId="77777777" w:rsidR="002C0FD9" w:rsidRPr="00CA25CF" w:rsidRDefault="002C0FD9" w:rsidP="00CA25CF">
            <w:pPr>
              <w:rPr>
                <w:rFonts w:cs="Arial"/>
                <w:color w:val="FF0000"/>
                <w:sz w:val="21"/>
                <w:szCs w:val="21"/>
              </w:rPr>
            </w:pPr>
          </w:p>
        </w:tc>
        <w:tc>
          <w:tcPr>
            <w:tcW w:w="217" w:type="dxa"/>
          </w:tcPr>
          <w:p w14:paraId="64D60361" w14:textId="77777777" w:rsidR="002C0FD9" w:rsidRPr="00CA25CF" w:rsidRDefault="002C0FD9" w:rsidP="00CA25CF">
            <w:pPr>
              <w:rPr>
                <w:rFonts w:cs="Arial"/>
                <w:color w:val="FF0000"/>
                <w:sz w:val="21"/>
                <w:szCs w:val="21"/>
              </w:rPr>
            </w:pPr>
          </w:p>
        </w:tc>
        <w:tc>
          <w:tcPr>
            <w:tcW w:w="217" w:type="dxa"/>
          </w:tcPr>
          <w:p w14:paraId="014C9DD2" w14:textId="77777777" w:rsidR="002C0FD9" w:rsidRPr="00CA25CF" w:rsidRDefault="002C0FD9" w:rsidP="00CA25CF">
            <w:pPr>
              <w:rPr>
                <w:rFonts w:cs="Arial"/>
                <w:color w:val="FF0000"/>
                <w:sz w:val="21"/>
                <w:szCs w:val="21"/>
              </w:rPr>
            </w:pPr>
          </w:p>
        </w:tc>
        <w:tc>
          <w:tcPr>
            <w:tcW w:w="217" w:type="dxa"/>
          </w:tcPr>
          <w:p w14:paraId="22EFCFAD" w14:textId="5F326E75" w:rsidR="002C0FD9" w:rsidRPr="00CA25CF" w:rsidRDefault="002C0FD9" w:rsidP="00CA25CF">
            <w:pPr>
              <w:rPr>
                <w:rFonts w:cs="Arial"/>
                <w:color w:val="FF0000"/>
                <w:sz w:val="21"/>
                <w:szCs w:val="21"/>
              </w:rPr>
            </w:pPr>
          </w:p>
        </w:tc>
        <w:tc>
          <w:tcPr>
            <w:tcW w:w="217" w:type="dxa"/>
          </w:tcPr>
          <w:p w14:paraId="64FEF2B7" w14:textId="77777777" w:rsidR="002C0FD9" w:rsidRPr="00CA25CF" w:rsidRDefault="002C0FD9" w:rsidP="00CA25CF">
            <w:pPr>
              <w:rPr>
                <w:rFonts w:cs="Arial"/>
                <w:color w:val="FF0000"/>
                <w:sz w:val="21"/>
                <w:szCs w:val="21"/>
              </w:rPr>
            </w:pPr>
          </w:p>
        </w:tc>
        <w:tc>
          <w:tcPr>
            <w:tcW w:w="217" w:type="dxa"/>
          </w:tcPr>
          <w:p w14:paraId="23B252A4" w14:textId="77777777" w:rsidR="002C0FD9" w:rsidRPr="00CA25CF" w:rsidRDefault="002C0FD9" w:rsidP="00CA25CF">
            <w:pPr>
              <w:rPr>
                <w:rFonts w:cs="Arial"/>
                <w:color w:val="FF0000"/>
                <w:sz w:val="21"/>
                <w:szCs w:val="21"/>
              </w:rPr>
            </w:pPr>
          </w:p>
        </w:tc>
        <w:tc>
          <w:tcPr>
            <w:tcW w:w="217" w:type="dxa"/>
          </w:tcPr>
          <w:p w14:paraId="0B19103C" w14:textId="77777777" w:rsidR="002C0FD9" w:rsidRPr="00CA25CF" w:rsidRDefault="002C0FD9" w:rsidP="00CA25CF">
            <w:pPr>
              <w:rPr>
                <w:rFonts w:cs="Arial"/>
                <w:color w:val="FF0000"/>
                <w:sz w:val="21"/>
                <w:szCs w:val="21"/>
              </w:rPr>
            </w:pPr>
          </w:p>
        </w:tc>
        <w:tc>
          <w:tcPr>
            <w:tcW w:w="217" w:type="dxa"/>
          </w:tcPr>
          <w:p w14:paraId="5B90792E" w14:textId="77777777" w:rsidR="002C0FD9" w:rsidRPr="00CA25CF" w:rsidRDefault="002C0FD9" w:rsidP="00CA25CF">
            <w:pPr>
              <w:rPr>
                <w:rFonts w:cs="Arial"/>
                <w:color w:val="FF0000"/>
                <w:sz w:val="21"/>
                <w:szCs w:val="21"/>
              </w:rPr>
            </w:pPr>
          </w:p>
        </w:tc>
        <w:tc>
          <w:tcPr>
            <w:tcW w:w="217" w:type="dxa"/>
          </w:tcPr>
          <w:p w14:paraId="5085BA11" w14:textId="77777777" w:rsidR="002C0FD9" w:rsidRPr="00CA25CF" w:rsidRDefault="002C0FD9" w:rsidP="00CA25CF">
            <w:pPr>
              <w:rPr>
                <w:rFonts w:cs="Arial"/>
                <w:color w:val="FF0000"/>
                <w:sz w:val="21"/>
                <w:szCs w:val="21"/>
              </w:rPr>
            </w:pPr>
          </w:p>
        </w:tc>
        <w:tc>
          <w:tcPr>
            <w:tcW w:w="217" w:type="dxa"/>
          </w:tcPr>
          <w:p w14:paraId="35400EA5" w14:textId="77777777" w:rsidR="002C0FD9" w:rsidRPr="00CA25CF" w:rsidRDefault="002C0FD9" w:rsidP="00CA25CF">
            <w:pPr>
              <w:rPr>
                <w:rFonts w:cs="Arial"/>
                <w:color w:val="FF0000"/>
                <w:sz w:val="21"/>
                <w:szCs w:val="21"/>
              </w:rPr>
            </w:pPr>
          </w:p>
        </w:tc>
        <w:tc>
          <w:tcPr>
            <w:tcW w:w="217" w:type="dxa"/>
          </w:tcPr>
          <w:p w14:paraId="7CB4A85D" w14:textId="77777777" w:rsidR="002C0FD9" w:rsidRPr="00CA25CF" w:rsidRDefault="002C0FD9" w:rsidP="00CA25CF">
            <w:pPr>
              <w:rPr>
                <w:rFonts w:cs="Arial"/>
                <w:color w:val="FF0000"/>
                <w:sz w:val="21"/>
                <w:szCs w:val="21"/>
              </w:rPr>
            </w:pPr>
          </w:p>
        </w:tc>
        <w:tc>
          <w:tcPr>
            <w:tcW w:w="217" w:type="dxa"/>
          </w:tcPr>
          <w:p w14:paraId="39ABF25E" w14:textId="77777777" w:rsidR="002C0FD9" w:rsidRPr="00CA25CF" w:rsidRDefault="002C0FD9" w:rsidP="00CA25CF">
            <w:pPr>
              <w:rPr>
                <w:rFonts w:cs="Arial"/>
                <w:color w:val="FF0000"/>
                <w:sz w:val="21"/>
                <w:szCs w:val="21"/>
              </w:rPr>
            </w:pPr>
          </w:p>
        </w:tc>
        <w:tc>
          <w:tcPr>
            <w:tcW w:w="217" w:type="dxa"/>
          </w:tcPr>
          <w:p w14:paraId="147DE049" w14:textId="77777777" w:rsidR="002C0FD9" w:rsidRPr="00CA25CF" w:rsidRDefault="002C0FD9" w:rsidP="00CA25CF">
            <w:pPr>
              <w:rPr>
                <w:rFonts w:cs="Arial"/>
                <w:color w:val="FF0000"/>
                <w:sz w:val="21"/>
                <w:szCs w:val="21"/>
              </w:rPr>
            </w:pPr>
          </w:p>
        </w:tc>
        <w:tc>
          <w:tcPr>
            <w:tcW w:w="217" w:type="dxa"/>
          </w:tcPr>
          <w:p w14:paraId="3C1205B8" w14:textId="77777777" w:rsidR="002C0FD9" w:rsidRPr="00CA25CF" w:rsidRDefault="002C0FD9" w:rsidP="00CA25CF">
            <w:pPr>
              <w:rPr>
                <w:rFonts w:cs="Arial"/>
                <w:color w:val="FF0000"/>
                <w:sz w:val="21"/>
                <w:szCs w:val="21"/>
              </w:rPr>
            </w:pPr>
          </w:p>
        </w:tc>
        <w:tc>
          <w:tcPr>
            <w:tcW w:w="217" w:type="dxa"/>
          </w:tcPr>
          <w:p w14:paraId="1A723C56" w14:textId="77777777" w:rsidR="002C0FD9" w:rsidRPr="00CA25CF" w:rsidRDefault="002C0FD9" w:rsidP="00CA25CF">
            <w:pPr>
              <w:rPr>
                <w:rFonts w:cs="Arial"/>
                <w:color w:val="FF0000"/>
                <w:sz w:val="21"/>
                <w:szCs w:val="21"/>
              </w:rPr>
            </w:pPr>
          </w:p>
        </w:tc>
        <w:tc>
          <w:tcPr>
            <w:tcW w:w="217" w:type="dxa"/>
          </w:tcPr>
          <w:p w14:paraId="2B817693" w14:textId="77777777" w:rsidR="002C0FD9" w:rsidRPr="00CA25CF" w:rsidRDefault="002C0FD9" w:rsidP="00CA25CF">
            <w:pPr>
              <w:rPr>
                <w:rFonts w:cs="Arial"/>
                <w:color w:val="FF0000"/>
                <w:sz w:val="21"/>
                <w:szCs w:val="21"/>
              </w:rPr>
            </w:pPr>
          </w:p>
        </w:tc>
        <w:tc>
          <w:tcPr>
            <w:tcW w:w="217" w:type="dxa"/>
          </w:tcPr>
          <w:p w14:paraId="20AEBC3F" w14:textId="77777777" w:rsidR="002C0FD9" w:rsidRPr="00CA25CF" w:rsidRDefault="002C0FD9" w:rsidP="00CA25CF">
            <w:pPr>
              <w:rPr>
                <w:rFonts w:cs="Arial"/>
                <w:color w:val="FF0000"/>
                <w:sz w:val="21"/>
                <w:szCs w:val="21"/>
              </w:rPr>
            </w:pPr>
          </w:p>
        </w:tc>
        <w:tc>
          <w:tcPr>
            <w:tcW w:w="217" w:type="dxa"/>
          </w:tcPr>
          <w:p w14:paraId="6A78845E" w14:textId="77777777" w:rsidR="002C0FD9" w:rsidRPr="00CA25CF" w:rsidRDefault="002C0FD9" w:rsidP="00CA25CF">
            <w:pPr>
              <w:rPr>
                <w:rFonts w:cs="Arial"/>
                <w:color w:val="FF0000"/>
                <w:sz w:val="21"/>
                <w:szCs w:val="21"/>
              </w:rPr>
            </w:pPr>
          </w:p>
        </w:tc>
        <w:tc>
          <w:tcPr>
            <w:tcW w:w="217" w:type="dxa"/>
          </w:tcPr>
          <w:p w14:paraId="2C7AEEEE" w14:textId="77777777" w:rsidR="002C0FD9" w:rsidRPr="00CA25CF" w:rsidRDefault="002C0FD9" w:rsidP="00CA25CF">
            <w:pPr>
              <w:rPr>
                <w:rFonts w:cs="Arial"/>
                <w:color w:val="FF0000"/>
                <w:sz w:val="21"/>
                <w:szCs w:val="21"/>
              </w:rPr>
            </w:pPr>
          </w:p>
        </w:tc>
        <w:tc>
          <w:tcPr>
            <w:tcW w:w="217" w:type="dxa"/>
          </w:tcPr>
          <w:p w14:paraId="032CDFB4" w14:textId="77777777" w:rsidR="002C0FD9" w:rsidRPr="00CA25CF" w:rsidRDefault="002C0FD9" w:rsidP="00CA25CF">
            <w:pPr>
              <w:rPr>
                <w:rFonts w:cs="Arial"/>
                <w:color w:val="FF0000"/>
                <w:sz w:val="21"/>
                <w:szCs w:val="21"/>
              </w:rPr>
            </w:pPr>
          </w:p>
        </w:tc>
        <w:tc>
          <w:tcPr>
            <w:tcW w:w="217" w:type="dxa"/>
          </w:tcPr>
          <w:p w14:paraId="6B8EBB8E" w14:textId="77777777" w:rsidR="002C0FD9" w:rsidRPr="00CA25CF" w:rsidRDefault="002C0FD9" w:rsidP="00CA25CF">
            <w:pPr>
              <w:rPr>
                <w:rFonts w:cs="Arial"/>
                <w:color w:val="FF0000"/>
                <w:sz w:val="21"/>
                <w:szCs w:val="21"/>
              </w:rPr>
            </w:pPr>
          </w:p>
        </w:tc>
        <w:tc>
          <w:tcPr>
            <w:tcW w:w="217" w:type="dxa"/>
          </w:tcPr>
          <w:p w14:paraId="5DBE1525" w14:textId="77777777" w:rsidR="002C0FD9" w:rsidRPr="00CA25CF" w:rsidRDefault="002C0FD9" w:rsidP="00CA25CF">
            <w:pPr>
              <w:rPr>
                <w:rFonts w:cs="Arial"/>
                <w:color w:val="FF0000"/>
                <w:sz w:val="21"/>
                <w:szCs w:val="21"/>
              </w:rPr>
            </w:pPr>
          </w:p>
        </w:tc>
        <w:tc>
          <w:tcPr>
            <w:tcW w:w="217" w:type="dxa"/>
          </w:tcPr>
          <w:p w14:paraId="603E260C" w14:textId="77777777" w:rsidR="002C0FD9" w:rsidRPr="00CA25CF" w:rsidRDefault="002C0FD9" w:rsidP="00CA25CF">
            <w:pPr>
              <w:rPr>
                <w:rFonts w:cs="Arial"/>
                <w:color w:val="FF0000"/>
                <w:sz w:val="21"/>
                <w:szCs w:val="21"/>
              </w:rPr>
            </w:pPr>
          </w:p>
        </w:tc>
        <w:tc>
          <w:tcPr>
            <w:tcW w:w="217" w:type="dxa"/>
          </w:tcPr>
          <w:p w14:paraId="4B4692FE" w14:textId="77777777" w:rsidR="002C0FD9" w:rsidRPr="00CA25CF" w:rsidRDefault="002C0FD9" w:rsidP="00CA25CF">
            <w:pPr>
              <w:rPr>
                <w:rFonts w:cs="Arial"/>
                <w:color w:val="FF0000"/>
                <w:sz w:val="21"/>
                <w:szCs w:val="21"/>
              </w:rPr>
            </w:pPr>
          </w:p>
        </w:tc>
        <w:tc>
          <w:tcPr>
            <w:tcW w:w="217" w:type="dxa"/>
          </w:tcPr>
          <w:p w14:paraId="6D82050B" w14:textId="77777777" w:rsidR="002C0FD9" w:rsidRPr="00CA25CF" w:rsidRDefault="002C0FD9" w:rsidP="00CA25CF">
            <w:pPr>
              <w:rPr>
                <w:rFonts w:cs="Arial"/>
                <w:color w:val="FF0000"/>
                <w:sz w:val="21"/>
                <w:szCs w:val="21"/>
              </w:rPr>
            </w:pPr>
          </w:p>
        </w:tc>
        <w:tc>
          <w:tcPr>
            <w:tcW w:w="217" w:type="dxa"/>
          </w:tcPr>
          <w:p w14:paraId="300870FB" w14:textId="77777777" w:rsidR="002C0FD9" w:rsidRPr="00CA25CF" w:rsidRDefault="002C0FD9" w:rsidP="00CA25CF">
            <w:pPr>
              <w:rPr>
                <w:rFonts w:cs="Arial"/>
                <w:color w:val="FF0000"/>
                <w:sz w:val="21"/>
                <w:szCs w:val="21"/>
              </w:rPr>
            </w:pPr>
          </w:p>
        </w:tc>
        <w:tc>
          <w:tcPr>
            <w:tcW w:w="217" w:type="dxa"/>
          </w:tcPr>
          <w:p w14:paraId="4EE31BEF" w14:textId="77777777" w:rsidR="002C0FD9" w:rsidRPr="00CA25CF" w:rsidRDefault="002C0FD9" w:rsidP="00CA25CF">
            <w:pPr>
              <w:rPr>
                <w:rFonts w:cs="Arial"/>
                <w:color w:val="FF0000"/>
                <w:sz w:val="21"/>
                <w:szCs w:val="21"/>
              </w:rPr>
            </w:pPr>
          </w:p>
        </w:tc>
        <w:tc>
          <w:tcPr>
            <w:tcW w:w="217" w:type="dxa"/>
          </w:tcPr>
          <w:p w14:paraId="79B375FD" w14:textId="77777777" w:rsidR="002C0FD9" w:rsidRPr="00CA25CF" w:rsidRDefault="002C0FD9" w:rsidP="00CA25CF">
            <w:pPr>
              <w:rPr>
                <w:rFonts w:cs="Arial"/>
                <w:color w:val="FF0000"/>
                <w:sz w:val="21"/>
                <w:szCs w:val="21"/>
              </w:rPr>
            </w:pPr>
          </w:p>
        </w:tc>
        <w:tc>
          <w:tcPr>
            <w:tcW w:w="217" w:type="dxa"/>
          </w:tcPr>
          <w:p w14:paraId="74C266C4" w14:textId="77777777" w:rsidR="002C0FD9" w:rsidRPr="00CA25CF" w:rsidRDefault="002C0FD9" w:rsidP="00CA25CF">
            <w:pPr>
              <w:rPr>
                <w:rFonts w:cs="Arial"/>
                <w:color w:val="FF0000"/>
                <w:sz w:val="21"/>
                <w:szCs w:val="21"/>
              </w:rPr>
            </w:pPr>
          </w:p>
        </w:tc>
        <w:tc>
          <w:tcPr>
            <w:tcW w:w="217" w:type="dxa"/>
          </w:tcPr>
          <w:p w14:paraId="60ED50C8" w14:textId="77777777" w:rsidR="002C0FD9" w:rsidRPr="00CA25CF" w:rsidRDefault="002C0FD9" w:rsidP="00CA25CF">
            <w:pPr>
              <w:rPr>
                <w:rFonts w:cs="Arial"/>
                <w:color w:val="FF0000"/>
                <w:sz w:val="21"/>
                <w:szCs w:val="21"/>
              </w:rPr>
            </w:pPr>
          </w:p>
        </w:tc>
        <w:tc>
          <w:tcPr>
            <w:tcW w:w="217" w:type="dxa"/>
          </w:tcPr>
          <w:p w14:paraId="0B40F1EF" w14:textId="77777777" w:rsidR="002C0FD9" w:rsidRPr="00CA25CF" w:rsidRDefault="002C0FD9" w:rsidP="00CA25CF">
            <w:pPr>
              <w:rPr>
                <w:rFonts w:cs="Arial"/>
                <w:color w:val="FF0000"/>
                <w:sz w:val="21"/>
                <w:szCs w:val="21"/>
              </w:rPr>
            </w:pPr>
          </w:p>
        </w:tc>
      </w:tr>
      <w:tr w:rsidR="002C0FD9" w:rsidRPr="00A16219" w14:paraId="2E12E8A8" w14:textId="097A69DB" w:rsidTr="002C0FD9">
        <w:trPr>
          <w:trHeight w:val="635"/>
        </w:trPr>
        <w:tc>
          <w:tcPr>
            <w:tcW w:w="515" w:type="dxa"/>
          </w:tcPr>
          <w:p w14:paraId="41121247" w14:textId="77777777" w:rsidR="002C0FD9" w:rsidRPr="00CA25CF" w:rsidRDefault="002C0FD9" w:rsidP="00CA25CF">
            <w:pPr>
              <w:rPr>
                <w:rFonts w:cs="Arial"/>
                <w:color w:val="FF0000"/>
                <w:sz w:val="21"/>
                <w:szCs w:val="21"/>
              </w:rPr>
            </w:pPr>
          </w:p>
        </w:tc>
        <w:tc>
          <w:tcPr>
            <w:tcW w:w="217" w:type="dxa"/>
          </w:tcPr>
          <w:p w14:paraId="289340C3" w14:textId="77777777" w:rsidR="002C0FD9" w:rsidRPr="00CA25CF" w:rsidRDefault="002C0FD9" w:rsidP="00CA25CF">
            <w:pPr>
              <w:rPr>
                <w:rFonts w:cs="Arial"/>
                <w:color w:val="FF0000"/>
                <w:sz w:val="21"/>
                <w:szCs w:val="21"/>
              </w:rPr>
            </w:pPr>
          </w:p>
        </w:tc>
        <w:tc>
          <w:tcPr>
            <w:tcW w:w="217" w:type="dxa"/>
          </w:tcPr>
          <w:p w14:paraId="6D5401C9" w14:textId="7E2690F0" w:rsidR="002C0FD9" w:rsidRPr="00CA25CF" w:rsidRDefault="002C0FD9" w:rsidP="00CA25CF">
            <w:pPr>
              <w:rPr>
                <w:rFonts w:cs="Arial"/>
                <w:color w:val="FF0000"/>
                <w:sz w:val="21"/>
                <w:szCs w:val="21"/>
              </w:rPr>
            </w:pPr>
          </w:p>
        </w:tc>
        <w:tc>
          <w:tcPr>
            <w:tcW w:w="217" w:type="dxa"/>
          </w:tcPr>
          <w:p w14:paraId="4AD56D9C" w14:textId="77777777" w:rsidR="002C0FD9" w:rsidRPr="00CA25CF" w:rsidRDefault="002C0FD9" w:rsidP="00CA25CF">
            <w:pPr>
              <w:rPr>
                <w:rFonts w:cs="Arial"/>
                <w:color w:val="FF0000"/>
                <w:sz w:val="21"/>
                <w:szCs w:val="21"/>
              </w:rPr>
            </w:pPr>
          </w:p>
        </w:tc>
        <w:tc>
          <w:tcPr>
            <w:tcW w:w="217" w:type="dxa"/>
          </w:tcPr>
          <w:p w14:paraId="78DAE198" w14:textId="77777777" w:rsidR="002C0FD9" w:rsidRPr="00CA25CF" w:rsidRDefault="002C0FD9" w:rsidP="00CA25CF">
            <w:pPr>
              <w:rPr>
                <w:rFonts w:cs="Arial"/>
                <w:color w:val="FF0000"/>
                <w:sz w:val="21"/>
                <w:szCs w:val="21"/>
              </w:rPr>
            </w:pPr>
          </w:p>
        </w:tc>
        <w:tc>
          <w:tcPr>
            <w:tcW w:w="217" w:type="dxa"/>
          </w:tcPr>
          <w:p w14:paraId="000D81F4" w14:textId="77777777" w:rsidR="002C0FD9" w:rsidRPr="00CA25CF" w:rsidRDefault="002C0FD9" w:rsidP="00CA25CF">
            <w:pPr>
              <w:rPr>
                <w:rFonts w:cs="Arial"/>
                <w:color w:val="FF0000"/>
                <w:sz w:val="21"/>
                <w:szCs w:val="21"/>
              </w:rPr>
            </w:pPr>
          </w:p>
        </w:tc>
        <w:tc>
          <w:tcPr>
            <w:tcW w:w="217" w:type="dxa"/>
          </w:tcPr>
          <w:p w14:paraId="213F192D" w14:textId="77777777" w:rsidR="002C0FD9" w:rsidRPr="00CA25CF" w:rsidRDefault="002C0FD9" w:rsidP="00CA25CF">
            <w:pPr>
              <w:rPr>
                <w:rFonts w:cs="Arial"/>
                <w:color w:val="FF0000"/>
                <w:sz w:val="21"/>
                <w:szCs w:val="21"/>
              </w:rPr>
            </w:pPr>
          </w:p>
        </w:tc>
        <w:tc>
          <w:tcPr>
            <w:tcW w:w="217" w:type="dxa"/>
          </w:tcPr>
          <w:p w14:paraId="0CB59B49" w14:textId="77777777" w:rsidR="002C0FD9" w:rsidRPr="00CA25CF" w:rsidRDefault="002C0FD9" w:rsidP="00CA25CF">
            <w:pPr>
              <w:rPr>
                <w:rFonts w:cs="Arial"/>
                <w:color w:val="FF0000"/>
                <w:sz w:val="21"/>
                <w:szCs w:val="21"/>
              </w:rPr>
            </w:pPr>
          </w:p>
        </w:tc>
        <w:tc>
          <w:tcPr>
            <w:tcW w:w="217" w:type="dxa"/>
          </w:tcPr>
          <w:p w14:paraId="7CCDFC1E" w14:textId="77777777" w:rsidR="002C0FD9" w:rsidRPr="00CA25CF" w:rsidRDefault="002C0FD9" w:rsidP="00CA25CF">
            <w:pPr>
              <w:rPr>
                <w:rFonts w:cs="Arial"/>
                <w:color w:val="FF0000"/>
                <w:sz w:val="21"/>
                <w:szCs w:val="21"/>
              </w:rPr>
            </w:pPr>
          </w:p>
        </w:tc>
        <w:tc>
          <w:tcPr>
            <w:tcW w:w="217" w:type="dxa"/>
          </w:tcPr>
          <w:p w14:paraId="054E070F" w14:textId="77777777" w:rsidR="002C0FD9" w:rsidRPr="00CA25CF" w:rsidRDefault="002C0FD9" w:rsidP="00CA25CF">
            <w:pPr>
              <w:rPr>
                <w:rFonts w:cs="Arial"/>
                <w:color w:val="FF0000"/>
                <w:sz w:val="21"/>
                <w:szCs w:val="21"/>
              </w:rPr>
            </w:pPr>
          </w:p>
        </w:tc>
        <w:tc>
          <w:tcPr>
            <w:tcW w:w="217" w:type="dxa"/>
          </w:tcPr>
          <w:p w14:paraId="1D717D2E" w14:textId="77777777" w:rsidR="002C0FD9" w:rsidRPr="00CA25CF" w:rsidRDefault="002C0FD9" w:rsidP="00CA25CF">
            <w:pPr>
              <w:rPr>
                <w:rFonts w:cs="Arial"/>
                <w:color w:val="FF0000"/>
                <w:sz w:val="21"/>
                <w:szCs w:val="21"/>
              </w:rPr>
            </w:pPr>
          </w:p>
        </w:tc>
        <w:tc>
          <w:tcPr>
            <w:tcW w:w="217" w:type="dxa"/>
          </w:tcPr>
          <w:p w14:paraId="25DC0011" w14:textId="77777777" w:rsidR="002C0FD9" w:rsidRPr="00CA25CF" w:rsidRDefault="002C0FD9" w:rsidP="00CA25CF">
            <w:pPr>
              <w:rPr>
                <w:rFonts w:cs="Arial"/>
                <w:color w:val="FF0000"/>
                <w:sz w:val="21"/>
                <w:szCs w:val="21"/>
              </w:rPr>
            </w:pPr>
          </w:p>
        </w:tc>
        <w:tc>
          <w:tcPr>
            <w:tcW w:w="217" w:type="dxa"/>
          </w:tcPr>
          <w:p w14:paraId="03FB420E" w14:textId="77777777" w:rsidR="002C0FD9" w:rsidRPr="00CA25CF" w:rsidRDefault="002C0FD9" w:rsidP="00CA25CF">
            <w:pPr>
              <w:rPr>
                <w:rFonts w:cs="Arial"/>
                <w:color w:val="FF0000"/>
                <w:sz w:val="21"/>
                <w:szCs w:val="21"/>
              </w:rPr>
            </w:pPr>
          </w:p>
        </w:tc>
        <w:tc>
          <w:tcPr>
            <w:tcW w:w="217" w:type="dxa"/>
          </w:tcPr>
          <w:p w14:paraId="5921B733" w14:textId="77777777" w:rsidR="002C0FD9" w:rsidRPr="00CA25CF" w:rsidRDefault="002C0FD9" w:rsidP="00CA25CF">
            <w:pPr>
              <w:rPr>
                <w:rFonts w:cs="Arial"/>
                <w:color w:val="FF0000"/>
                <w:sz w:val="21"/>
                <w:szCs w:val="21"/>
              </w:rPr>
            </w:pPr>
          </w:p>
        </w:tc>
        <w:tc>
          <w:tcPr>
            <w:tcW w:w="217" w:type="dxa"/>
          </w:tcPr>
          <w:p w14:paraId="7D7E0E7E" w14:textId="77777777" w:rsidR="002C0FD9" w:rsidRPr="00CA25CF" w:rsidRDefault="002C0FD9" w:rsidP="00CA25CF">
            <w:pPr>
              <w:rPr>
                <w:rFonts w:cs="Arial"/>
                <w:color w:val="FF0000"/>
                <w:sz w:val="21"/>
                <w:szCs w:val="21"/>
              </w:rPr>
            </w:pPr>
          </w:p>
        </w:tc>
        <w:tc>
          <w:tcPr>
            <w:tcW w:w="217" w:type="dxa"/>
          </w:tcPr>
          <w:p w14:paraId="0A985746" w14:textId="4FB8BA40" w:rsidR="002C0FD9" w:rsidRPr="00CA25CF" w:rsidRDefault="002C0FD9" w:rsidP="00CA25CF">
            <w:pPr>
              <w:rPr>
                <w:rFonts w:cs="Arial"/>
                <w:color w:val="FF0000"/>
                <w:sz w:val="21"/>
                <w:szCs w:val="21"/>
              </w:rPr>
            </w:pPr>
          </w:p>
        </w:tc>
        <w:tc>
          <w:tcPr>
            <w:tcW w:w="217" w:type="dxa"/>
          </w:tcPr>
          <w:p w14:paraId="1158D859" w14:textId="77777777" w:rsidR="002C0FD9" w:rsidRPr="00CA25CF" w:rsidRDefault="002C0FD9" w:rsidP="00CA25CF">
            <w:pPr>
              <w:rPr>
                <w:rFonts w:cs="Arial"/>
                <w:color w:val="FF0000"/>
                <w:sz w:val="21"/>
                <w:szCs w:val="21"/>
              </w:rPr>
            </w:pPr>
          </w:p>
        </w:tc>
        <w:tc>
          <w:tcPr>
            <w:tcW w:w="217" w:type="dxa"/>
          </w:tcPr>
          <w:p w14:paraId="18707F7D" w14:textId="77777777" w:rsidR="002C0FD9" w:rsidRPr="00CA25CF" w:rsidRDefault="002C0FD9" w:rsidP="00CA25CF">
            <w:pPr>
              <w:rPr>
                <w:rFonts w:cs="Arial"/>
                <w:color w:val="FF0000"/>
                <w:sz w:val="21"/>
                <w:szCs w:val="21"/>
              </w:rPr>
            </w:pPr>
          </w:p>
        </w:tc>
        <w:tc>
          <w:tcPr>
            <w:tcW w:w="217" w:type="dxa"/>
          </w:tcPr>
          <w:p w14:paraId="2ED797E2" w14:textId="77777777" w:rsidR="002C0FD9" w:rsidRPr="00CA25CF" w:rsidRDefault="002C0FD9" w:rsidP="00CA25CF">
            <w:pPr>
              <w:rPr>
                <w:rFonts w:cs="Arial"/>
                <w:color w:val="FF0000"/>
                <w:sz w:val="21"/>
                <w:szCs w:val="21"/>
              </w:rPr>
            </w:pPr>
          </w:p>
        </w:tc>
        <w:tc>
          <w:tcPr>
            <w:tcW w:w="217" w:type="dxa"/>
          </w:tcPr>
          <w:p w14:paraId="1FEA78CB" w14:textId="77777777" w:rsidR="002C0FD9" w:rsidRPr="00CA25CF" w:rsidRDefault="002C0FD9" w:rsidP="00CA25CF">
            <w:pPr>
              <w:rPr>
                <w:rFonts w:cs="Arial"/>
                <w:color w:val="FF0000"/>
                <w:sz w:val="21"/>
                <w:szCs w:val="21"/>
              </w:rPr>
            </w:pPr>
          </w:p>
        </w:tc>
        <w:tc>
          <w:tcPr>
            <w:tcW w:w="217" w:type="dxa"/>
          </w:tcPr>
          <w:p w14:paraId="0128C65D" w14:textId="77777777" w:rsidR="002C0FD9" w:rsidRPr="00CA25CF" w:rsidRDefault="002C0FD9" w:rsidP="00CA25CF">
            <w:pPr>
              <w:rPr>
                <w:rFonts w:cs="Arial"/>
                <w:color w:val="FF0000"/>
                <w:sz w:val="21"/>
                <w:szCs w:val="21"/>
              </w:rPr>
            </w:pPr>
          </w:p>
        </w:tc>
        <w:tc>
          <w:tcPr>
            <w:tcW w:w="217" w:type="dxa"/>
          </w:tcPr>
          <w:p w14:paraId="144E7D42" w14:textId="77777777" w:rsidR="002C0FD9" w:rsidRPr="00CA25CF" w:rsidRDefault="002C0FD9" w:rsidP="00CA25CF">
            <w:pPr>
              <w:rPr>
                <w:rFonts w:cs="Arial"/>
                <w:color w:val="FF0000"/>
                <w:sz w:val="21"/>
                <w:szCs w:val="21"/>
              </w:rPr>
            </w:pPr>
          </w:p>
        </w:tc>
        <w:tc>
          <w:tcPr>
            <w:tcW w:w="217" w:type="dxa"/>
          </w:tcPr>
          <w:p w14:paraId="383B9F65" w14:textId="77777777" w:rsidR="002C0FD9" w:rsidRPr="00CA25CF" w:rsidRDefault="002C0FD9" w:rsidP="00CA25CF">
            <w:pPr>
              <w:rPr>
                <w:rFonts w:cs="Arial"/>
                <w:color w:val="FF0000"/>
                <w:sz w:val="21"/>
                <w:szCs w:val="21"/>
              </w:rPr>
            </w:pPr>
          </w:p>
        </w:tc>
        <w:tc>
          <w:tcPr>
            <w:tcW w:w="217" w:type="dxa"/>
          </w:tcPr>
          <w:p w14:paraId="625EBF4E" w14:textId="77777777" w:rsidR="002C0FD9" w:rsidRPr="00CA25CF" w:rsidRDefault="002C0FD9" w:rsidP="00CA25CF">
            <w:pPr>
              <w:rPr>
                <w:rFonts w:cs="Arial"/>
                <w:color w:val="FF0000"/>
                <w:sz w:val="21"/>
                <w:szCs w:val="21"/>
              </w:rPr>
            </w:pPr>
          </w:p>
        </w:tc>
        <w:tc>
          <w:tcPr>
            <w:tcW w:w="217" w:type="dxa"/>
          </w:tcPr>
          <w:p w14:paraId="67DDF677" w14:textId="77777777" w:rsidR="002C0FD9" w:rsidRPr="00CA25CF" w:rsidRDefault="002C0FD9" w:rsidP="00CA25CF">
            <w:pPr>
              <w:rPr>
                <w:rFonts w:cs="Arial"/>
                <w:color w:val="FF0000"/>
                <w:sz w:val="21"/>
                <w:szCs w:val="21"/>
              </w:rPr>
            </w:pPr>
          </w:p>
        </w:tc>
        <w:tc>
          <w:tcPr>
            <w:tcW w:w="217" w:type="dxa"/>
          </w:tcPr>
          <w:p w14:paraId="494518FC" w14:textId="77777777" w:rsidR="002C0FD9" w:rsidRPr="00CA25CF" w:rsidRDefault="002C0FD9" w:rsidP="00CA25CF">
            <w:pPr>
              <w:rPr>
                <w:rFonts w:cs="Arial"/>
                <w:color w:val="FF0000"/>
                <w:sz w:val="21"/>
                <w:szCs w:val="21"/>
              </w:rPr>
            </w:pPr>
          </w:p>
        </w:tc>
        <w:tc>
          <w:tcPr>
            <w:tcW w:w="217" w:type="dxa"/>
          </w:tcPr>
          <w:p w14:paraId="7ADC48A5" w14:textId="77777777" w:rsidR="002C0FD9" w:rsidRPr="00CA25CF" w:rsidRDefault="002C0FD9" w:rsidP="00CA25CF">
            <w:pPr>
              <w:rPr>
                <w:rFonts w:cs="Arial"/>
                <w:color w:val="FF0000"/>
                <w:sz w:val="21"/>
                <w:szCs w:val="21"/>
              </w:rPr>
            </w:pPr>
          </w:p>
        </w:tc>
        <w:tc>
          <w:tcPr>
            <w:tcW w:w="217" w:type="dxa"/>
          </w:tcPr>
          <w:p w14:paraId="6FDBDE9F" w14:textId="77777777" w:rsidR="002C0FD9" w:rsidRPr="00CA25CF" w:rsidRDefault="002C0FD9" w:rsidP="00CA25CF">
            <w:pPr>
              <w:rPr>
                <w:rFonts w:cs="Arial"/>
                <w:color w:val="FF0000"/>
                <w:sz w:val="21"/>
                <w:szCs w:val="21"/>
              </w:rPr>
            </w:pPr>
          </w:p>
        </w:tc>
        <w:tc>
          <w:tcPr>
            <w:tcW w:w="217" w:type="dxa"/>
          </w:tcPr>
          <w:p w14:paraId="60F85D31" w14:textId="77777777" w:rsidR="002C0FD9" w:rsidRPr="00CA25CF" w:rsidRDefault="002C0FD9" w:rsidP="00CA25CF">
            <w:pPr>
              <w:rPr>
                <w:rFonts w:cs="Arial"/>
                <w:color w:val="FF0000"/>
                <w:sz w:val="21"/>
                <w:szCs w:val="21"/>
              </w:rPr>
            </w:pPr>
          </w:p>
        </w:tc>
        <w:tc>
          <w:tcPr>
            <w:tcW w:w="217" w:type="dxa"/>
          </w:tcPr>
          <w:p w14:paraId="331BFC24" w14:textId="77777777" w:rsidR="002C0FD9" w:rsidRPr="00CA25CF" w:rsidRDefault="002C0FD9" w:rsidP="00CA25CF">
            <w:pPr>
              <w:rPr>
                <w:rFonts w:cs="Arial"/>
                <w:color w:val="FF0000"/>
                <w:sz w:val="21"/>
                <w:szCs w:val="21"/>
              </w:rPr>
            </w:pPr>
          </w:p>
        </w:tc>
        <w:tc>
          <w:tcPr>
            <w:tcW w:w="217" w:type="dxa"/>
          </w:tcPr>
          <w:p w14:paraId="53A4B4AA" w14:textId="77777777" w:rsidR="002C0FD9" w:rsidRPr="00CA25CF" w:rsidRDefault="002C0FD9" w:rsidP="00CA25CF">
            <w:pPr>
              <w:rPr>
                <w:rFonts w:cs="Arial"/>
                <w:color w:val="FF0000"/>
                <w:sz w:val="21"/>
                <w:szCs w:val="21"/>
              </w:rPr>
            </w:pPr>
          </w:p>
        </w:tc>
        <w:tc>
          <w:tcPr>
            <w:tcW w:w="217" w:type="dxa"/>
          </w:tcPr>
          <w:p w14:paraId="70B3B173" w14:textId="77777777" w:rsidR="002C0FD9" w:rsidRPr="00CA25CF" w:rsidRDefault="002C0FD9" w:rsidP="00CA25CF">
            <w:pPr>
              <w:rPr>
                <w:rFonts w:cs="Arial"/>
                <w:color w:val="FF0000"/>
                <w:sz w:val="21"/>
                <w:szCs w:val="21"/>
              </w:rPr>
            </w:pPr>
          </w:p>
        </w:tc>
        <w:tc>
          <w:tcPr>
            <w:tcW w:w="217" w:type="dxa"/>
          </w:tcPr>
          <w:p w14:paraId="38AB84DC" w14:textId="77777777" w:rsidR="002C0FD9" w:rsidRPr="00CA25CF" w:rsidRDefault="002C0FD9" w:rsidP="00CA25CF">
            <w:pPr>
              <w:rPr>
                <w:rFonts w:cs="Arial"/>
                <w:color w:val="FF0000"/>
                <w:sz w:val="21"/>
                <w:szCs w:val="21"/>
              </w:rPr>
            </w:pPr>
          </w:p>
        </w:tc>
        <w:tc>
          <w:tcPr>
            <w:tcW w:w="217" w:type="dxa"/>
          </w:tcPr>
          <w:p w14:paraId="2714BDF8" w14:textId="77777777" w:rsidR="002C0FD9" w:rsidRPr="00CA25CF" w:rsidRDefault="002C0FD9" w:rsidP="00CA25CF">
            <w:pPr>
              <w:rPr>
                <w:rFonts w:cs="Arial"/>
                <w:color w:val="FF0000"/>
                <w:sz w:val="21"/>
                <w:szCs w:val="21"/>
              </w:rPr>
            </w:pPr>
          </w:p>
        </w:tc>
        <w:tc>
          <w:tcPr>
            <w:tcW w:w="217" w:type="dxa"/>
          </w:tcPr>
          <w:p w14:paraId="61C8A8F6" w14:textId="77777777" w:rsidR="002C0FD9" w:rsidRPr="00CA25CF" w:rsidRDefault="002C0FD9" w:rsidP="00CA25CF">
            <w:pPr>
              <w:rPr>
                <w:rFonts w:cs="Arial"/>
                <w:color w:val="FF0000"/>
                <w:sz w:val="21"/>
                <w:szCs w:val="21"/>
              </w:rPr>
            </w:pPr>
          </w:p>
        </w:tc>
        <w:tc>
          <w:tcPr>
            <w:tcW w:w="217" w:type="dxa"/>
          </w:tcPr>
          <w:p w14:paraId="6A06C559" w14:textId="77777777" w:rsidR="002C0FD9" w:rsidRPr="00CA25CF" w:rsidRDefault="002C0FD9" w:rsidP="00CA25CF">
            <w:pPr>
              <w:rPr>
                <w:rFonts w:cs="Arial"/>
                <w:color w:val="FF0000"/>
                <w:sz w:val="21"/>
                <w:szCs w:val="21"/>
              </w:rPr>
            </w:pPr>
          </w:p>
        </w:tc>
        <w:tc>
          <w:tcPr>
            <w:tcW w:w="217" w:type="dxa"/>
          </w:tcPr>
          <w:p w14:paraId="20CDDB53" w14:textId="77777777" w:rsidR="002C0FD9" w:rsidRPr="00CA25CF" w:rsidRDefault="002C0FD9" w:rsidP="00CA25CF">
            <w:pPr>
              <w:rPr>
                <w:rFonts w:cs="Arial"/>
                <w:color w:val="FF0000"/>
                <w:sz w:val="21"/>
                <w:szCs w:val="21"/>
              </w:rPr>
            </w:pPr>
          </w:p>
        </w:tc>
        <w:tc>
          <w:tcPr>
            <w:tcW w:w="217" w:type="dxa"/>
          </w:tcPr>
          <w:p w14:paraId="1463B986" w14:textId="77777777" w:rsidR="002C0FD9" w:rsidRPr="00CA25CF" w:rsidRDefault="002C0FD9" w:rsidP="00CA25CF">
            <w:pPr>
              <w:rPr>
                <w:rFonts w:cs="Arial"/>
                <w:color w:val="FF0000"/>
                <w:sz w:val="21"/>
                <w:szCs w:val="21"/>
              </w:rPr>
            </w:pPr>
          </w:p>
        </w:tc>
        <w:tc>
          <w:tcPr>
            <w:tcW w:w="217" w:type="dxa"/>
          </w:tcPr>
          <w:p w14:paraId="50D11043" w14:textId="77777777" w:rsidR="002C0FD9" w:rsidRPr="00CA25CF" w:rsidRDefault="002C0FD9" w:rsidP="00CA25CF">
            <w:pPr>
              <w:rPr>
                <w:rFonts w:cs="Arial"/>
                <w:color w:val="FF0000"/>
                <w:sz w:val="21"/>
                <w:szCs w:val="21"/>
              </w:rPr>
            </w:pPr>
          </w:p>
        </w:tc>
        <w:tc>
          <w:tcPr>
            <w:tcW w:w="217" w:type="dxa"/>
          </w:tcPr>
          <w:p w14:paraId="7F69B839" w14:textId="77777777" w:rsidR="002C0FD9" w:rsidRPr="00CA25CF" w:rsidRDefault="002C0FD9" w:rsidP="00CA25CF">
            <w:pPr>
              <w:rPr>
                <w:rFonts w:cs="Arial"/>
                <w:color w:val="FF0000"/>
                <w:sz w:val="21"/>
                <w:szCs w:val="21"/>
              </w:rPr>
            </w:pPr>
          </w:p>
        </w:tc>
        <w:tc>
          <w:tcPr>
            <w:tcW w:w="217" w:type="dxa"/>
          </w:tcPr>
          <w:p w14:paraId="15CD5367" w14:textId="77777777" w:rsidR="002C0FD9" w:rsidRPr="00CA25CF" w:rsidRDefault="002C0FD9" w:rsidP="00CA25CF">
            <w:pPr>
              <w:rPr>
                <w:rFonts w:cs="Arial"/>
                <w:color w:val="FF0000"/>
                <w:sz w:val="21"/>
                <w:szCs w:val="21"/>
              </w:rPr>
            </w:pPr>
          </w:p>
        </w:tc>
        <w:tc>
          <w:tcPr>
            <w:tcW w:w="217" w:type="dxa"/>
          </w:tcPr>
          <w:p w14:paraId="01055117" w14:textId="77777777" w:rsidR="002C0FD9" w:rsidRPr="00CA25CF" w:rsidRDefault="002C0FD9" w:rsidP="00CA25CF">
            <w:pPr>
              <w:rPr>
                <w:rFonts w:cs="Arial"/>
                <w:color w:val="FF0000"/>
                <w:sz w:val="21"/>
                <w:szCs w:val="21"/>
              </w:rPr>
            </w:pPr>
          </w:p>
        </w:tc>
        <w:tc>
          <w:tcPr>
            <w:tcW w:w="217" w:type="dxa"/>
          </w:tcPr>
          <w:p w14:paraId="44049B73" w14:textId="77777777" w:rsidR="002C0FD9" w:rsidRPr="00CA25CF" w:rsidRDefault="002C0FD9" w:rsidP="00CA25CF">
            <w:pPr>
              <w:rPr>
                <w:rFonts w:cs="Arial"/>
                <w:color w:val="FF0000"/>
                <w:sz w:val="21"/>
                <w:szCs w:val="21"/>
              </w:rPr>
            </w:pPr>
          </w:p>
        </w:tc>
      </w:tr>
      <w:tr w:rsidR="002C0FD9" w:rsidRPr="00A16219" w14:paraId="21DC2EE6" w14:textId="3B89555E" w:rsidTr="002C0FD9">
        <w:trPr>
          <w:trHeight w:val="635"/>
        </w:trPr>
        <w:tc>
          <w:tcPr>
            <w:tcW w:w="515" w:type="dxa"/>
          </w:tcPr>
          <w:p w14:paraId="26744428" w14:textId="77777777" w:rsidR="002C0FD9" w:rsidRPr="00CA25CF" w:rsidRDefault="002C0FD9" w:rsidP="00CA25CF">
            <w:pPr>
              <w:rPr>
                <w:rFonts w:cs="Arial"/>
                <w:color w:val="FF0000"/>
                <w:sz w:val="21"/>
                <w:szCs w:val="21"/>
              </w:rPr>
            </w:pPr>
          </w:p>
        </w:tc>
        <w:tc>
          <w:tcPr>
            <w:tcW w:w="217" w:type="dxa"/>
          </w:tcPr>
          <w:p w14:paraId="748A3714" w14:textId="77777777" w:rsidR="002C0FD9" w:rsidRPr="00CA25CF" w:rsidRDefault="002C0FD9" w:rsidP="00CA25CF">
            <w:pPr>
              <w:rPr>
                <w:rFonts w:cs="Arial"/>
                <w:color w:val="FF0000"/>
                <w:sz w:val="21"/>
                <w:szCs w:val="21"/>
              </w:rPr>
            </w:pPr>
          </w:p>
        </w:tc>
        <w:tc>
          <w:tcPr>
            <w:tcW w:w="217" w:type="dxa"/>
          </w:tcPr>
          <w:p w14:paraId="5567852D" w14:textId="1D3AD1AA" w:rsidR="002C0FD9" w:rsidRPr="00CA25CF" w:rsidRDefault="002C0FD9" w:rsidP="00CA25CF">
            <w:pPr>
              <w:rPr>
                <w:rFonts w:cs="Arial"/>
                <w:color w:val="FF0000"/>
                <w:sz w:val="21"/>
                <w:szCs w:val="21"/>
              </w:rPr>
            </w:pPr>
          </w:p>
        </w:tc>
        <w:tc>
          <w:tcPr>
            <w:tcW w:w="217" w:type="dxa"/>
          </w:tcPr>
          <w:p w14:paraId="7F6CF698" w14:textId="77777777" w:rsidR="002C0FD9" w:rsidRPr="00CA25CF" w:rsidRDefault="002C0FD9" w:rsidP="00CA25CF">
            <w:pPr>
              <w:rPr>
                <w:rFonts w:cs="Arial"/>
                <w:color w:val="FF0000"/>
                <w:sz w:val="21"/>
                <w:szCs w:val="21"/>
              </w:rPr>
            </w:pPr>
          </w:p>
        </w:tc>
        <w:tc>
          <w:tcPr>
            <w:tcW w:w="217" w:type="dxa"/>
          </w:tcPr>
          <w:p w14:paraId="123D30F7" w14:textId="77777777" w:rsidR="002C0FD9" w:rsidRPr="00CA25CF" w:rsidRDefault="002C0FD9" w:rsidP="00CA25CF">
            <w:pPr>
              <w:rPr>
                <w:rFonts w:cs="Arial"/>
                <w:color w:val="FF0000"/>
                <w:sz w:val="21"/>
                <w:szCs w:val="21"/>
              </w:rPr>
            </w:pPr>
          </w:p>
        </w:tc>
        <w:tc>
          <w:tcPr>
            <w:tcW w:w="217" w:type="dxa"/>
          </w:tcPr>
          <w:p w14:paraId="508C1E10" w14:textId="77777777" w:rsidR="002C0FD9" w:rsidRPr="00CA25CF" w:rsidRDefault="002C0FD9" w:rsidP="00CA25CF">
            <w:pPr>
              <w:rPr>
                <w:rFonts w:cs="Arial"/>
                <w:color w:val="FF0000"/>
                <w:sz w:val="21"/>
                <w:szCs w:val="21"/>
              </w:rPr>
            </w:pPr>
          </w:p>
        </w:tc>
        <w:tc>
          <w:tcPr>
            <w:tcW w:w="217" w:type="dxa"/>
          </w:tcPr>
          <w:p w14:paraId="2A6A3DB5" w14:textId="77777777" w:rsidR="002C0FD9" w:rsidRPr="00CA25CF" w:rsidRDefault="002C0FD9" w:rsidP="00CA25CF">
            <w:pPr>
              <w:rPr>
                <w:rFonts w:cs="Arial"/>
                <w:color w:val="FF0000"/>
                <w:sz w:val="21"/>
                <w:szCs w:val="21"/>
              </w:rPr>
            </w:pPr>
          </w:p>
        </w:tc>
        <w:tc>
          <w:tcPr>
            <w:tcW w:w="217" w:type="dxa"/>
          </w:tcPr>
          <w:p w14:paraId="48CDFFD3" w14:textId="77777777" w:rsidR="002C0FD9" w:rsidRPr="00CA25CF" w:rsidRDefault="002C0FD9" w:rsidP="00CA25CF">
            <w:pPr>
              <w:rPr>
                <w:rFonts w:cs="Arial"/>
                <w:color w:val="FF0000"/>
                <w:sz w:val="21"/>
                <w:szCs w:val="21"/>
              </w:rPr>
            </w:pPr>
          </w:p>
        </w:tc>
        <w:tc>
          <w:tcPr>
            <w:tcW w:w="217" w:type="dxa"/>
          </w:tcPr>
          <w:p w14:paraId="3B6EF47F" w14:textId="77777777" w:rsidR="002C0FD9" w:rsidRPr="00CA25CF" w:rsidRDefault="002C0FD9" w:rsidP="00CA25CF">
            <w:pPr>
              <w:rPr>
                <w:rFonts w:cs="Arial"/>
                <w:color w:val="FF0000"/>
                <w:sz w:val="21"/>
                <w:szCs w:val="21"/>
              </w:rPr>
            </w:pPr>
          </w:p>
        </w:tc>
        <w:tc>
          <w:tcPr>
            <w:tcW w:w="217" w:type="dxa"/>
          </w:tcPr>
          <w:p w14:paraId="2AA68CA5" w14:textId="77777777" w:rsidR="002C0FD9" w:rsidRPr="00CA25CF" w:rsidRDefault="002C0FD9" w:rsidP="00CA25CF">
            <w:pPr>
              <w:rPr>
                <w:rFonts w:cs="Arial"/>
                <w:color w:val="FF0000"/>
                <w:sz w:val="21"/>
                <w:szCs w:val="21"/>
              </w:rPr>
            </w:pPr>
          </w:p>
        </w:tc>
        <w:tc>
          <w:tcPr>
            <w:tcW w:w="217" w:type="dxa"/>
          </w:tcPr>
          <w:p w14:paraId="526E6DFB" w14:textId="77777777" w:rsidR="002C0FD9" w:rsidRPr="00CA25CF" w:rsidRDefault="002C0FD9" w:rsidP="00CA25CF">
            <w:pPr>
              <w:rPr>
                <w:rFonts w:cs="Arial"/>
                <w:color w:val="FF0000"/>
                <w:sz w:val="21"/>
                <w:szCs w:val="21"/>
              </w:rPr>
            </w:pPr>
          </w:p>
        </w:tc>
        <w:tc>
          <w:tcPr>
            <w:tcW w:w="217" w:type="dxa"/>
          </w:tcPr>
          <w:p w14:paraId="717E206E" w14:textId="77777777" w:rsidR="002C0FD9" w:rsidRPr="00CA25CF" w:rsidRDefault="002C0FD9" w:rsidP="00CA25CF">
            <w:pPr>
              <w:rPr>
                <w:rFonts w:cs="Arial"/>
                <w:color w:val="FF0000"/>
                <w:sz w:val="21"/>
                <w:szCs w:val="21"/>
              </w:rPr>
            </w:pPr>
          </w:p>
        </w:tc>
        <w:tc>
          <w:tcPr>
            <w:tcW w:w="217" w:type="dxa"/>
          </w:tcPr>
          <w:p w14:paraId="0EAF0B88" w14:textId="77777777" w:rsidR="002C0FD9" w:rsidRPr="00CA25CF" w:rsidRDefault="002C0FD9" w:rsidP="00CA25CF">
            <w:pPr>
              <w:rPr>
                <w:rFonts w:cs="Arial"/>
                <w:color w:val="FF0000"/>
                <w:sz w:val="21"/>
                <w:szCs w:val="21"/>
              </w:rPr>
            </w:pPr>
          </w:p>
        </w:tc>
        <w:tc>
          <w:tcPr>
            <w:tcW w:w="217" w:type="dxa"/>
          </w:tcPr>
          <w:p w14:paraId="6C5A25B6" w14:textId="77777777" w:rsidR="002C0FD9" w:rsidRPr="00CA25CF" w:rsidRDefault="002C0FD9" w:rsidP="00CA25CF">
            <w:pPr>
              <w:rPr>
                <w:rFonts w:cs="Arial"/>
                <w:color w:val="FF0000"/>
                <w:sz w:val="21"/>
                <w:szCs w:val="21"/>
              </w:rPr>
            </w:pPr>
          </w:p>
        </w:tc>
        <w:tc>
          <w:tcPr>
            <w:tcW w:w="217" w:type="dxa"/>
          </w:tcPr>
          <w:p w14:paraId="5965B7FE" w14:textId="77777777" w:rsidR="002C0FD9" w:rsidRPr="00CA25CF" w:rsidRDefault="002C0FD9" w:rsidP="00CA25CF">
            <w:pPr>
              <w:rPr>
                <w:rFonts w:cs="Arial"/>
                <w:color w:val="FF0000"/>
                <w:sz w:val="21"/>
                <w:szCs w:val="21"/>
              </w:rPr>
            </w:pPr>
          </w:p>
        </w:tc>
        <w:tc>
          <w:tcPr>
            <w:tcW w:w="217" w:type="dxa"/>
          </w:tcPr>
          <w:p w14:paraId="1842BA0F" w14:textId="46FEE39E" w:rsidR="002C0FD9" w:rsidRPr="00CA25CF" w:rsidRDefault="002C0FD9" w:rsidP="00CA25CF">
            <w:pPr>
              <w:rPr>
                <w:rFonts w:cs="Arial"/>
                <w:color w:val="FF0000"/>
                <w:sz w:val="21"/>
                <w:szCs w:val="21"/>
              </w:rPr>
            </w:pPr>
          </w:p>
        </w:tc>
        <w:tc>
          <w:tcPr>
            <w:tcW w:w="217" w:type="dxa"/>
          </w:tcPr>
          <w:p w14:paraId="52E88333" w14:textId="77777777" w:rsidR="002C0FD9" w:rsidRPr="00CA25CF" w:rsidRDefault="002C0FD9" w:rsidP="00CA25CF">
            <w:pPr>
              <w:rPr>
                <w:rFonts w:cs="Arial"/>
                <w:color w:val="FF0000"/>
                <w:sz w:val="21"/>
                <w:szCs w:val="21"/>
              </w:rPr>
            </w:pPr>
          </w:p>
        </w:tc>
        <w:tc>
          <w:tcPr>
            <w:tcW w:w="217" w:type="dxa"/>
          </w:tcPr>
          <w:p w14:paraId="3CFE2CBF" w14:textId="77777777" w:rsidR="002C0FD9" w:rsidRPr="00CA25CF" w:rsidRDefault="002C0FD9" w:rsidP="00CA25CF">
            <w:pPr>
              <w:rPr>
                <w:rFonts w:cs="Arial"/>
                <w:color w:val="FF0000"/>
                <w:sz w:val="21"/>
                <w:szCs w:val="21"/>
              </w:rPr>
            </w:pPr>
          </w:p>
        </w:tc>
        <w:tc>
          <w:tcPr>
            <w:tcW w:w="217" w:type="dxa"/>
          </w:tcPr>
          <w:p w14:paraId="7E076078" w14:textId="77777777" w:rsidR="002C0FD9" w:rsidRPr="00CA25CF" w:rsidRDefault="002C0FD9" w:rsidP="00CA25CF">
            <w:pPr>
              <w:rPr>
                <w:rFonts w:cs="Arial"/>
                <w:color w:val="FF0000"/>
                <w:sz w:val="21"/>
                <w:szCs w:val="21"/>
              </w:rPr>
            </w:pPr>
          </w:p>
        </w:tc>
        <w:tc>
          <w:tcPr>
            <w:tcW w:w="217" w:type="dxa"/>
          </w:tcPr>
          <w:p w14:paraId="7C0CC790" w14:textId="77777777" w:rsidR="002C0FD9" w:rsidRPr="00CA25CF" w:rsidRDefault="002C0FD9" w:rsidP="00CA25CF">
            <w:pPr>
              <w:rPr>
                <w:rFonts w:cs="Arial"/>
                <w:color w:val="FF0000"/>
                <w:sz w:val="21"/>
                <w:szCs w:val="21"/>
              </w:rPr>
            </w:pPr>
          </w:p>
        </w:tc>
        <w:tc>
          <w:tcPr>
            <w:tcW w:w="217" w:type="dxa"/>
          </w:tcPr>
          <w:p w14:paraId="1150D5C7" w14:textId="77777777" w:rsidR="002C0FD9" w:rsidRPr="00CA25CF" w:rsidRDefault="002C0FD9" w:rsidP="00CA25CF">
            <w:pPr>
              <w:rPr>
                <w:rFonts w:cs="Arial"/>
                <w:color w:val="FF0000"/>
                <w:sz w:val="21"/>
                <w:szCs w:val="21"/>
              </w:rPr>
            </w:pPr>
          </w:p>
        </w:tc>
        <w:tc>
          <w:tcPr>
            <w:tcW w:w="217" w:type="dxa"/>
          </w:tcPr>
          <w:p w14:paraId="6525ED83" w14:textId="77777777" w:rsidR="002C0FD9" w:rsidRPr="00CA25CF" w:rsidRDefault="002C0FD9" w:rsidP="00CA25CF">
            <w:pPr>
              <w:rPr>
                <w:rFonts w:cs="Arial"/>
                <w:color w:val="FF0000"/>
                <w:sz w:val="21"/>
                <w:szCs w:val="21"/>
              </w:rPr>
            </w:pPr>
          </w:p>
        </w:tc>
        <w:tc>
          <w:tcPr>
            <w:tcW w:w="217" w:type="dxa"/>
          </w:tcPr>
          <w:p w14:paraId="1E9CCA2C" w14:textId="77777777" w:rsidR="002C0FD9" w:rsidRPr="00CA25CF" w:rsidRDefault="002C0FD9" w:rsidP="00CA25CF">
            <w:pPr>
              <w:rPr>
                <w:rFonts w:cs="Arial"/>
                <w:color w:val="FF0000"/>
                <w:sz w:val="21"/>
                <w:szCs w:val="21"/>
              </w:rPr>
            </w:pPr>
          </w:p>
        </w:tc>
        <w:tc>
          <w:tcPr>
            <w:tcW w:w="217" w:type="dxa"/>
          </w:tcPr>
          <w:p w14:paraId="0004B75B" w14:textId="77777777" w:rsidR="002C0FD9" w:rsidRPr="00CA25CF" w:rsidRDefault="002C0FD9" w:rsidP="00CA25CF">
            <w:pPr>
              <w:rPr>
                <w:rFonts w:cs="Arial"/>
                <w:color w:val="FF0000"/>
                <w:sz w:val="21"/>
                <w:szCs w:val="21"/>
              </w:rPr>
            </w:pPr>
          </w:p>
        </w:tc>
        <w:tc>
          <w:tcPr>
            <w:tcW w:w="217" w:type="dxa"/>
          </w:tcPr>
          <w:p w14:paraId="4FFAC878" w14:textId="77777777" w:rsidR="002C0FD9" w:rsidRPr="00CA25CF" w:rsidRDefault="002C0FD9" w:rsidP="00CA25CF">
            <w:pPr>
              <w:rPr>
                <w:rFonts w:cs="Arial"/>
                <w:color w:val="FF0000"/>
                <w:sz w:val="21"/>
                <w:szCs w:val="21"/>
              </w:rPr>
            </w:pPr>
          </w:p>
        </w:tc>
        <w:tc>
          <w:tcPr>
            <w:tcW w:w="217" w:type="dxa"/>
          </w:tcPr>
          <w:p w14:paraId="62E97617" w14:textId="77777777" w:rsidR="002C0FD9" w:rsidRPr="00CA25CF" w:rsidRDefault="002C0FD9" w:rsidP="00CA25CF">
            <w:pPr>
              <w:rPr>
                <w:rFonts w:cs="Arial"/>
                <w:color w:val="FF0000"/>
                <w:sz w:val="21"/>
                <w:szCs w:val="21"/>
              </w:rPr>
            </w:pPr>
          </w:p>
        </w:tc>
        <w:tc>
          <w:tcPr>
            <w:tcW w:w="217" w:type="dxa"/>
          </w:tcPr>
          <w:p w14:paraId="31643788" w14:textId="77777777" w:rsidR="002C0FD9" w:rsidRPr="00CA25CF" w:rsidRDefault="002C0FD9" w:rsidP="00CA25CF">
            <w:pPr>
              <w:rPr>
                <w:rFonts w:cs="Arial"/>
                <w:color w:val="FF0000"/>
                <w:sz w:val="21"/>
                <w:szCs w:val="21"/>
              </w:rPr>
            </w:pPr>
          </w:p>
        </w:tc>
        <w:tc>
          <w:tcPr>
            <w:tcW w:w="217" w:type="dxa"/>
          </w:tcPr>
          <w:p w14:paraId="6CB33AD0" w14:textId="77777777" w:rsidR="002C0FD9" w:rsidRPr="00CA25CF" w:rsidRDefault="002C0FD9" w:rsidP="00CA25CF">
            <w:pPr>
              <w:rPr>
                <w:rFonts w:cs="Arial"/>
                <w:color w:val="FF0000"/>
                <w:sz w:val="21"/>
                <w:szCs w:val="21"/>
              </w:rPr>
            </w:pPr>
          </w:p>
        </w:tc>
        <w:tc>
          <w:tcPr>
            <w:tcW w:w="217" w:type="dxa"/>
          </w:tcPr>
          <w:p w14:paraId="32E438AC" w14:textId="77777777" w:rsidR="002C0FD9" w:rsidRPr="00CA25CF" w:rsidRDefault="002C0FD9" w:rsidP="00CA25CF">
            <w:pPr>
              <w:rPr>
                <w:rFonts w:cs="Arial"/>
                <w:color w:val="FF0000"/>
                <w:sz w:val="21"/>
                <w:szCs w:val="21"/>
              </w:rPr>
            </w:pPr>
          </w:p>
        </w:tc>
        <w:tc>
          <w:tcPr>
            <w:tcW w:w="217" w:type="dxa"/>
          </w:tcPr>
          <w:p w14:paraId="785EE2BE" w14:textId="77777777" w:rsidR="002C0FD9" w:rsidRPr="00CA25CF" w:rsidRDefault="002C0FD9" w:rsidP="00CA25CF">
            <w:pPr>
              <w:rPr>
                <w:rFonts w:cs="Arial"/>
                <w:color w:val="FF0000"/>
                <w:sz w:val="21"/>
                <w:szCs w:val="21"/>
              </w:rPr>
            </w:pPr>
          </w:p>
        </w:tc>
        <w:tc>
          <w:tcPr>
            <w:tcW w:w="217" w:type="dxa"/>
          </w:tcPr>
          <w:p w14:paraId="6B2D7F11" w14:textId="77777777" w:rsidR="002C0FD9" w:rsidRPr="00CA25CF" w:rsidRDefault="002C0FD9" w:rsidP="00CA25CF">
            <w:pPr>
              <w:rPr>
                <w:rFonts w:cs="Arial"/>
                <w:color w:val="FF0000"/>
                <w:sz w:val="21"/>
                <w:szCs w:val="21"/>
              </w:rPr>
            </w:pPr>
          </w:p>
        </w:tc>
        <w:tc>
          <w:tcPr>
            <w:tcW w:w="217" w:type="dxa"/>
          </w:tcPr>
          <w:p w14:paraId="4B70AC88" w14:textId="77777777" w:rsidR="002C0FD9" w:rsidRPr="00CA25CF" w:rsidRDefault="002C0FD9" w:rsidP="00CA25CF">
            <w:pPr>
              <w:rPr>
                <w:rFonts w:cs="Arial"/>
                <w:color w:val="FF0000"/>
                <w:sz w:val="21"/>
                <w:szCs w:val="21"/>
              </w:rPr>
            </w:pPr>
          </w:p>
        </w:tc>
        <w:tc>
          <w:tcPr>
            <w:tcW w:w="217" w:type="dxa"/>
          </w:tcPr>
          <w:p w14:paraId="3C97B2E6" w14:textId="77777777" w:rsidR="002C0FD9" w:rsidRPr="00CA25CF" w:rsidRDefault="002C0FD9" w:rsidP="00CA25CF">
            <w:pPr>
              <w:rPr>
                <w:rFonts w:cs="Arial"/>
                <w:color w:val="FF0000"/>
                <w:sz w:val="21"/>
                <w:szCs w:val="21"/>
              </w:rPr>
            </w:pPr>
          </w:p>
        </w:tc>
        <w:tc>
          <w:tcPr>
            <w:tcW w:w="217" w:type="dxa"/>
          </w:tcPr>
          <w:p w14:paraId="22B70510" w14:textId="77777777" w:rsidR="002C0FD9" w:rsidRPr="00CA25CF" w:rsidRDefault="002C0FD9" w:rsidP="00CA25CF">
            <w:pPr>
              <w:rPr>
                <w:rFonts w:cs="Arial"/>
                <w:color w:val="FF0000"/>
                <w:sz w:val="21"/>
                <w:szCs w:val="21"/>
              </w:rPr>
            </w:pPr>
          </w:p>
        </w:tc>
        <w:tc>
          <w:tcPr>
            <w:tcW w:w="217" w:type="dxa"/>
          </w:tcPr>
          <w:p w14:paraId="6249F2AE" w14:textId="77777777" w:rsidR="002C0FD9" w:rsidRPr="00CA25CF" w:rsidRDefault="002C0FD9" w:rsidP="00CA25CF">
            <w:pPr>
              <w:rPr>
                <w:rFonts w:cs="Arial"/>
                <w:color w:val="FF0000"/>
                <w:sz w:val="21"/>
                <w:szCs w:val="21"/>
              </w:rPr>
            </w:pPr>
          </w:p>
        </w:tc>
        <w:tc>
          <w:tcPr>
            <w:tcW w:w="217" w:type="dxa"/>
          </w:tcPr>
          <w:p w14:paraId="49EFDC12" w14:textId="77777777" w:rsidR="002C0FD9" w:rsidRPr="00CA25CF" w:rsidRDefault="002C0FD9" w:rsidP="00CA25CF">
            <w:pPr>
              <w:rPr>
                <w:rFonts w:cs="Arial"/>
                <w:color w:val="FF0000"/>
                <w:sz w:val="21"/>
                <w:szCs w:val="21"/>
              </w:rPr>
            </w:pPr>
          </w:p>
        </w:tc>
        <w:tc>
          <w:tcPr>
            <w:tcW w:w="217" w:type="dxa"/>
          </w:tcPr>
          <w:p w14:paraId="11DA76BC" w14:textId="77777777" w:rsidR="002C0FD9" w:rsidRPr="00CA25CF" w:rsidRDefault="002C0FD9" w:rsidP="00CA25CF">
            <w:pPr>
              <w:rPr>
                <w:rFonts w:cs="Arial"/>
                <w:color w:val="FF0000"/>
                <w:sz w:val="21"/>
                <w:szCs w:val="21"/>
              </w:rPr>
            </w:pPr>
          </w:p>
        </w:tc>
        <w:tc>
          <w:tcPr>
            <w:tcW w:w="217" w:type="dxa"/>
          </w:tcPr>
          <w:p w14:paraId="0509B5C2" w14:textId="77777777" w:rsidR="002C0FD9" w:rsidRPr="00CA25CF" w:rsidRDefault="002C0FD9" w:rsidP="00CA25CF">
            <w:pPr>
              <w:rPr>
                <w:rFonts w:cs="Arial"/>
                <w:color w:val="FF0000"/>
                <w:sz w:val="21"/>
                <w:szCs w:val="21"/>
              </w:rPr>
            </w:pPr>
          </w:p>
        </w:tc>
        <w:tc>
          <w:tcPr>
            <w:tcW w:w="217" w:type="dxa"/>
          </w:tcPr>
          <w:p w14:paraId="608E9470" w14:textId="77777777" w:rsidR="002C0FD9" w:rsidRPr="00CA25CF" w:rsidRDefault="002C0FD9" w:rsidP="00CA25CF">
            <w:pPr>
              <w:rPr>
                <w:rFonts w:cs="Arial"/>
                <w:color w:val="FF0000"/>
                <w:sz w:val="21"/>
                <w:szCs w:val="21"/>
              </w:rPr>
            </w:pPr>
          </w:p>
        </w:tc>
        <w:tc>
          <w:tcPr>
            <w:tcW w:w="217" w:type="dxa"/>
          </w:tcPr>
          <w:p w14:paraId="58E17908" w14:textId="77777777" w:rsidR="002C0FD9" w:rsidRPr="00CA25CF" w:rsidRDefault="002C0FD9" w:rsidP="00CA25CF">
            <w:pPr>
              <w:rPr>
                <w:rFonts w:cs="Arial"/>
                <w:color w:val="FF0000"/>
                <w:sz w:val="21"/>
                <w:szCs w:val="21"/>
              </w:rPr>
            </w:pPr>
          </w:p>
        </w:tc>
        <w:tc>
          <w:tcPr>
            <w:tcW w:w="217" w:type="dxa"/>
          </w:tcPr>
          <w:p w14:paraId="5CED1AC5" w14:textId="77777777" w:rsidR="002C0FD9" w:rsidRPr="00CA25CF" w:rsidRDefault="002C0FD9" w:rsidP="00CA25CF">
            <w:pPr>
              <w:rPr>
                <w:rFonts w:cs="Arial"/>
                <w:color w:val="FF0000"/>
                <w:sz w:val="21"/>
                <w:szCs w:val="21"/>
              </w:rPr>
            </w:pPr>
          </w:p>
        </w:tc>
        <w:tc>
          <w:tcPr>
            <w:tcW w:w="217" w:type="dxa"/>
          </w:tcPr>
          <w:p w14:paraId="0F28E2DE" w14:textId="77777777" w:rsidR="002C0FD9" w:rsidRPr="00CA25CF" w:rsidRDefault="002C0FD9" w:rsidP="00CA25CF">
            <w:pPr>
              <w:rPr>
                <w:rFonts w:cs="Arial"/>
                <w:color w:val="FF0000"/>
                <w:sz w:val="21"/>
                <w:szCs w:val="21"/>
              </w:rPr>
            </w:pPr>
          </w:p>
        </w:tc>
        <w:tc>
          <w:tcPr>
            <w:tcW w:w="217" w:type="dxa"/>
          </w:tcPr>
          <w:p w14:paraId="2E941652" w14:textId="77777777" w:rsidR="002C0FD9" w:rsidRPr="00CA25CF" w:rsidRDefault="002C0FD9" w:rsidP="00CA25CF">
            <w:pPr>
              <w:rPr>
                <w:rFonts w:cs="Arial"/>
                <w:color w:val="FF0000"/>
                <w:sz w:val="21"/>
                <w:szCs w:val="21"/>
              </w:rPr>
            </w:pPr>
          </w:p>
        </w:tc>
      </w:tr>
      <w:tr w:rsidR="002C0FD9" w:rsidRPr="00A16219" w14:paraId="6E15B3AC" w14:textId="164C2196" w:rsidTr="002C0FD9">
        <w:trPr>
          <w:trHeight w:val="635"/>
        </w:trPr>
        <w:tc>
          <w:tcPr>
            <w:tcW w:w="515" w:type="dxa"/>
          </w:tcPr>
          <w:p w14:paraId="170000F4" w14:textId="77777777" w:rsidR="002C0FD9" w:rsidRPr="00CA25CF" w:rsidRDefault="002C0FD9" w:rsidP="00CA25CF">
            <w:pPr>
              <w:rPr>
                <w:rFonts w:cs="Arial"/>
                <w:color w:val="FF0000"/>
                <w:sz w:val="21"/>
                <w:szCs w:val="21"/>
              </w:rPr>
            </w:pPr>
          </w:p>
        </w:tc>
        <w:tc>
          <w:tcPr>
            <w:tcW w:w="217" w:type="dxa"/>
          </w:tcPr>
          <w:p w14:paraId="414F0C82" w14:textId="77777777" w:rsidR="002C0FD9" w:rsidRPr="00CA25CF" w:rsidRDefault="002C0FD9" w:rsidP="00CA25CF">
            <w:pPr>
              <w:rPr>
                <w:rFonts w:cs="Arial"/>
                <w:color w:val="FF0000"/>
                <w:sz w:val="21"/>
                <w:szCs w:val="21"/>
              </w:rPr>
            </w:pPr>
          </w:p>
        </w:tc>
        <w:tc>
          <w:tcPr>
            <w:tcW w:w="217" w:type="dxa"/>
          </w:tcPr>
          <w:p w14:paraId="76314A7B" w14:textId="669A1CC8" w:rsidR="002C0FD9" w:rsidRPr="00CA25CF" w:rsidRDefault="002C0FD9" w:rsidP="00CA25CF">
            <w:pPr>
              <w:rPr>
                <w:rFonts w:cs="Arial"/>
                <w:color w:val="FF0000"/>
                <w:sz w:val="21"/>
                <w:szCs w:val="21"/>
              </w:rPr>
            </w:pPr>
          </w:p>
        </w:tc>
        <w:tc>
          <w:tcPr>
            <w:tcW w:w="217" w:type="dxa"/>
          </w:tcPr>
          <w:p w14:paraId="5C035994" w14:textId="77777777" w:rsidR="002C0FD9" w:rsidRPr="00CA25CF" w:rsidRDefault="002C0FD9" w:rsidP="00CA25CF">
            <w:pPr>
              <w:rPr>
                <w:rFonts w:cs="Arial"/>
                <w:color w:val="FF0000"/>
                <w:sz w:val="21"/>
                <w:szCs w:val="21"/>
              </w:rPr>
            </w:pPr>
          </w:p>
        </w:tc>
        <w:tc>
          <w:tcPr>
            <w:tcW w:w="217" w:type="dxa"/>
          </w:tcPr>
          <w:p w14:paraId="07905737" w14:textId="77777777" w:rsidR="002C0FD9" w:rsidRPr="00CA25CF" w:rsidRDefault="002C0FD9" w:rsidP="00CA25CF">
            <w:pPr>
              <w:rPr>
                <w:rFonts w:cs="Arial"/>
                <w:color w:val="FF0000"/>
                <w:sz w:val="21"/>
                <w:szCs w:val="21"/>
              </w:rPr>
            </w:pPr>
          </w:p>
        </w:tc>
        <w:tc>
          <w:tcPr>
            <w:tcW w:w="217" w:type="dxa"/>
          </w:tcPr>
          <w:p w14:paraId="476E814B" w14:textId="77777777" w:rsidR="002C0FD9" w:rsidRPr="00CA25CF" w:rsidRDefault="002C0FD9" w:rsidP="00CA25CF">
            <w:pPr>
              <w:rPr>
                <w:rFonts w:cs="Arial"/>
                <w:color w:val="FF0000"/>
                <w:sz w:val="21"/>
                <w:szCs w:val="21"/>
              </w:rPr>
            </w:pPr>
          </w:p>
        </w:tc>
        <w:tc>
          <w:tcPr>
            <w:tcW w:w="217" w:type="dxa"/>
          </w:tcPr>
          <w:p w14:paraId="7562E971" w14:textId="77777777" w:rsidR="002C0FD9" w:rsidRPr="00CA25CF" w:rsidRDefault="002C0FD9" w:rsidP="00CA25CF">
            <w:pPr>
              <w:rPr>
                <w:rFonts w:cs="Arial"/>
                <w:color w:val="FF0000"/>
                <w:sz w:val="21"/>
                <w:szCs w:val="21"/>
              </w:rPr>
            </w:pPr>
          </w:p>
        </w:tc>
        <w:tc>
          <w:tcPr>
            <w:tcW w:w="217" w:type="dxa"/>
          </w:tcPr>
          <w:p w14:paraId="6EA29407" w14:textId="77777777" w:rsidR="002C0FD9" w:rsidRPr="00CA25CF" w:rsidRDefault="002C0FD9" w:rsidP="00CA25CF">
            <w:pPr>
              <w:rPr>
                <w:rFonts w:cs="Arial"/>
                <w:color w:val="FF0000"/>
                <w:sz w:val="21"/>
                <w:szCs w:val="21"/>
              </w:rPr>
            </w:pPr>
          </w:p>
        </w:tc>
        <w:tc>
          <w:tcPr>
            <w:tcW w:w="217" w:type="dxa"/>
          </w:tcPr>
          <w:p w14:paraId="080888F8" w14:textId="77777777" w:rsidR="002C0FD9" w:rsidRPr="00CA25CF" w:rsidRDefault="002C0FD9" w:rsidP="00CA25CF">
            <w:pPr>
              <w:rPr>
                <w:rFonts w:cs="Arial"/>
                <w:color w:val="FF0000"/>
                <w:sz w:val="21"/>
                <w:szCs w:val="21"/>
              </w:rPr>
            </w:pPr>
          </w:p>
        </w:tc>
        <w:tc>
          <w:tcPr>
            <w:tcW w:w="217" w:type="dxa"/>
          </w:tcPr>
          <w:p w14:paraId="4A7B3E14" w14:textId="77777777" w:rsidR="002C0FD9" w:rsidRPr="00CA25CF" w:rsidRDefault="002C0FD9" w:rsidP="00CA25CF">
            <w:pPr>
              <w:rPr>
                <w:rFonts w:cs="Arial"/>
                <w:color w:val="FF0000"/>
                <w:sz w:val="21"/>
                <w:szCs w:val="21"/>
              </w:rPr>
            </w:pPr>
          </w:p>
        </w:tc>
        <w:tc>
          <w:tcPr>
            <w:tcW w:w="217" w:type="dxa"/>
          </w:tcPr>
          <w:p w14:paraId="750950A4" w14:textId="77777777" w:rsidR="002C0FD9" w:rsidRPr="00CA25CF" w:rsidRDefault="002C0FD9" w:rsidP="00CA25CF">
            <w:pPr>
              <w:rPr>
                <w:rFonts w:cs="Arial"/>
                <w:color w:val="FF0000"/>
                <w:sz w:val="21"/>
                <w:szCs w:val="21"/>
              </w:rPr>
            </w:pPr>
          </w:p>
        </w:tc>
        <w:tc>
          <w:tcPr>
            <w:tcW w:w="217" w:type="dxa"/>
          </w:tcPr>
          <w:p w14:paraId="01679972" w14:textId="77777777" w:rsidR="002C0FD9" w:rsidRPr="00CA25CF" w:rsidRDefault="002C0FD9" w:rsidP="00CA25CF">
            <w:pPr>
              <w:rPr>
                <w:rFonts w:cs="Arial"/>
                <w:color w:val="FF0000"/>
                <w:sz w:val="21"/>
                <w:szCs w:val="21"/>
              </w:rPr>
            </w:pPr>
          </w:p>
        </w:tc>
        <w:tc>
          <w:tcPr>
            <w:tcW w:w="217" w:type="dxa"/>
          </w:tcPr>
          <w:p w14:paraId="7E76533F" w14:textId="77777777" w:rsidR="002C0FD9" w:rsidRPr="00CA25CF" w:rsidRDefault="002C0FD9" w:rsidP="00CA25CF">
            <w:pPr>
              <w:rPr>
                <w:rFonts w:cs="Arial"/>
                <w:color w:val="FF0000"/>
                <w:sz w:val="21"/>
                <w:szCs w:val="21"/>
              </w:rPr>
            </w:pPr>
          </w:p>
        </w:tc>
        <w:tc>
          <w:tcPr>
            <w:tcW w:w="217" w:type="dxa"/>
          </w:tcPr>
          <w:p w14:paraId="1C6497DE" w14:textId="77777777" w:rsidR="002C0FD9" w:rsidRPr="00CA25CF" w:rsidRDefault="002C0FD9" w:rsidP="00CA25CF">
            <w:pPr>
              <w:rPr>
                <w:rFonts w:cs="Arial"/>
                <w:color w:val="FF0000"/>
                <w:sz w:val="21"/>
                <w:szCs w:val="21"/>
              </w:rPr>
            </w:pPr>
          </w:p>
        </w:tc>
        <w:tc>
          <w:tcPr>
            <w:tcW w:w="217" w:type="dxa"/>
          </w:tcPr>
          <w:p w14:paraId="5A22E7F4" w14:textId="77777777" w:rsidR="002C0FD9" w:rsidRPr="00CA25CF" w:rsidRDefault="002C0FD9" w:rsidP="00CA25CF">
            <w:pPr>
              <w:rPr>
                <w:rFonts w:cs="Arial"/>
                <w:color w:val="FF0000"/>
                <w:sz w:val="21"/>
                <w:szCs w:val="21"/>
              </w:rPr>
            </w:pPr>
          </w:p>
        </w:tc>
        <w:tc>
          <w:tcPr>
            <w:tcW w:w="217" w:type="dxa"/>
          </w:tcPr>
          <w:p w14:paraId="7BCD8F9B" w14:textId="1AA6B207" w:rsidR="002C0FD9" w:rsidRPr="00CA25CF" w:rsidRDefault="002C0FD9" w:rsidP="00CA25CF">
            <w:pPr>
              <w:rPr>
                <w:rFonts w:cs="Arial"/>
                <w:color w:val="FF0000"/>
                <w:sz w:val="21"/>
                <w:szCs w:val="21"/>
              </w:rPr>
            </w:pPr>
          </w:p>
        </w:tc>
        <w:tc>
          <w:tcPr>
            <w:tcW w:w="217" w:type="dxa"/>
          </w:tcPr>
          <w:p w14:paraId="180B34DB" w14:textId="77777777" w:rsidR="002C0FD9" w:rsidRPr="00CA25CF" w:rsidRDefault="002C0FD9" w:rsidP="00CA25CF">
            <w:pPr>
              <w:rPr>
                <w:rFonts w:cs="Arial"/>
                <w:color w:val="FF0000"/>
                <w:sz w:val="21"/>
                <w:szCs w:val="21"/>
              </w:rPr>
            </w:pPr>
          </w:p>
        </w:tc>
        <w:tc>
          <w:tcPr>
            <w:tcW w:w="217" w:type="dxa"/>
          </w:tcPr>
          <w:p w14:paraId="00F77FAB" w14:textId="77777777" w:rsidR="002C0FD9" w:rsidRPr="00CA25CF" w:rsidRDefault="002C0FD9" w:rsidP="00CA25CF">
            <w:pPr>
              <w:rPr>
                <w:rFonts w:cs="Arial"/>
                <w:color w:val="FF0000"/>
                <w:sz w:val="21"/>
                <w:szCs w:val="21"/>
              </w:rPr>
            </w:pPr>
          </w:p>
        </w:tc>
        <w:tc>
          <w:tcPr>
            <w:tcW w:w="217" w:type="dxa"/>
          </w:tcPr>
          <w:p w14:paraId="31E968E3" w14:textId="77777777" w:rsidR="002C0FD9" w:rsidRPr="00CA25CF" w:rsidRDefault="002C0FD9" w:rsidP="00CA25CF">
            <w:pPr>
              <w:rPr>
                <w:rFonts w:cs="Arial"/>
                <w:color w:val="FF0000"/>
                <w:sz w:val="21"/>
                <w:szCs w:val="21"/>
              </w:rPr>
            </w:pPr>
          </w:p>
        </w:tc>
        <w:tc>
          <w:tcPr>
            <w:tcW w:w="217" w:type="dxa"/>
          </w:tcPr>
          <w:p w14:paraId="626994EB" w14:textId="77777777" w:rsidR="002C0FD9" w:rsidRPr="00CA25CF" w:rsidRDefault="002C0FD9" w:rsidP="00CA25CF">
            <w:pPr>
              <w:rPr>
                <w:rFonts w:cs="Arial"/>
                <w:color w:val="FF0000"/>
                <w:sz w:val="21"/>
                <w:szCs w:val="21"/>
              </w:rPr>
            </w:pPr>
          </w:p>
        </w:tc>
        <w:tc>
          <w:tcPr>
            <w:tcW w:w="217" w:type="dxa"/>
          </w:tcPr>
          <w:p w14:paraId="0782F984" w14:textId="77777777" w:rsidR="002C0FD9" w:rsidRPr="00CA25CF" w:rsidRDefault="002C0FD9" w:rsidP="00CA25CF">
            <w:pPr>
              <w:rPr>
                <w:rFonts w:cs="Arial"/>
                <w:color w:val="FF0000"/>
                <w:sz w:val="21"/>
                <w:szCs w:val="21"/>
              </w:rPr>
            </w:pPr>
          </w:p>
        </w:tc>
        <w:tc>
          <w:tcPr>
            <w:tcW w:w="217" w:type="dxa"/>
          </w:tcPr>
          <w:p w14:paraId="46AAFBAB" w14:textId="77777777" w:rsidR="002C0FD9" w:rsidRPr="00CA25CF" w:rsidRDefault="002C0FD9" w:rsidP="00CA25CF">
            <w:pPr>
              <w:rPr>
                <w:rFonts w:cs="Arial"/>
                <w:color w:val="FF0000"/>
                <w:sz w:val="21"/>
                <w:szCs w:val="21"/>
              </w:rPr>
            </w:pPr>
          </w:p>
        </w:tc>
        <w:tc>
          <w:tcPr>
            <w:tcW w:w="217" w:type="dxa"/>
          </w:tcPr>
          <w:p w14:paraId="01B12E6B" w14:textId="77777777" w:rsidR="002C0FD9" w:rsidRPr="00CA25CF" w:rsidRDefault="002C0FD9" w:rsidP="00CA25CF">
            <w:pPr>
              <w:rPr>
                <w:rFonts w:cs="Arial"/>
                <w:color w:val="FF0000"/>
                <w:sz w:val="21"/>
                <w:szCs w:val="21"/>
              </w:rPr>
            </w:pPr>
          </w:p>
        </w:tc>
        <w:tc>
          <w:tcPr>
            <w:tcW w:w="217" w:type="dxa"/>
          </w:tcPr>
          <w:p w14:paraId="054E77D2" w14:textId="77777777" w:rsidR="002C0FD9" w:rsidRPr="00CA25CF" w:rsidRDefault="002C0FD9" w:rsidP="00CA25CF">
            <w:pPr>
              <w:rPr>
                <w:rFonts w:cs="Arial"/>
                <w:color w:val="FF0000"/>
                <w:sz w:val="21"/>
                <w:szCs w:val="21"/>
              </w:rPr>
            </w:pPr>
          </w:p>
        </w:tc>
        <w:tc>
          <w:tcPr>
            <w:tcW w:w="217" w:type="dxa"/>
          </w:tcPr>
          <w:p w14:paraId="2E576891" w14:textId="77777777" w:rsidR="002C0FD9" w:rsidRPr="00CA25CF" w:rsidRDefault="002C0FD9" w:rsidP="00CA25CF">
            <w:pPr>
              <w:rPr>
                <w:rFonts w:cs="Arial"/>
                <w:color w:val="FF0000"/>
                <w:sz w:val="21"/>
                <w:szCs w:val="21"/>
              </w:rPr>
            </w:pPr>
          </w:p>
        </w:tc>
        <w:tc>
          <w:tcPr>
            <w:tcW w:w="217" w:type="dxa"/>
          </w:tcPr>
          <w:p w14:paraId="6A5352C4" w14:textId="77777777" w:rsidR="002C0FD9" w:rsidRPr="00CA25CF" w:rsidRDefault="002C0FD9" w:rsidP="00CA25CF">
            <w:pPr>
              <w:rPr>
                <w:rFonts w:cs="Arial"/>
                <w:color w:val="FF0000"/>
                <w:sz w:val="21"/>
                <w:szCs w:val="21"/>
              </w:rPr>
            </w:pPr>
          </w:p>
        </w:tc>
        <w:tc>
          <w:tcPr>
            <w:tcW w:w="217" w:type="dxa"/>
          </w:tcPr>
          <w:p w14:paraId="199B286F" w14:textId="77777777" w:rsidR="002C0FD9" w:rsidRPr="00CA25CF" w:rsidRDefault="002C0FD9" w:rsidP="00CA25CF">
            <w:pPr>
              <w:rPr>
                <w:rFonts w:cs="Arial"/>
                <w:color w:val="FF0000"/>
                <w:sz w:val="21"/>
                <w:szCs w:val="21"/>
              </w:rPr>
            </w:pPr>
          </w:p>
        </w:tc>
        <w:tc>
          <w:tcPr>
            <w:tcW w:w="217" w:type="dxa"/>
          </w:tcPr>
          <w:p w14:paraId="706AEE22" w14:textId="77777777" w:rsidR="002C0FD9" w:rsidRPr="00CA25CF" w:rsidRDefault="002C0FD9" w:rsidP="00CA25CF">
            <w:pPr>
              <w:rPr>
                <w:rFonts w:cs="Arial"/>
                <w:color w:val="FF0000"/>
                <w:sz w:val="21"/>
                <w:szCs w:val="21"/>
              </w:rPr>
            </w:pPr>
          </w:p>
        </w:tc>
        <w:tc>
          <w:tcPr>
            <w:tcW w:w="217" w:type="dxa"/>
          </w:tcPr>
          <w:p w14:paraId="513E76F3" w14:textId="77777777" w:rsidR="002C0FD9" w:rsidRPr="00CA25CF" w:rsidRDefault="002C0FD9" w:rsidP="00CA25CF">
            <w:pPr>
              <w:rPr>
                <w:rFonts w:cs="Arial"/>
                <w:color w:val="FF0000"/>
                <w:sz w:val="21"/>
                <w:szCs w:val="21"/>
              </w:rPr>
            </w:pPr>
          </w:p>
        </w:tc>
        <w:tc>
          <w:tcPr>
            <w:tcW w:w="217" w:type="dxa"/>
          </w:tcPr>
          <w:p w14:paraId="646637FE" w14:textId="77777777" w:rsidR="002C0FD9" w:rsidRPr="00CA25CF" w:rsidRDefault="002C0FD9" w:rsidP="00CA25CF">
            <w:pPr>
              <w:rPr>
                <w:rFonts w:cs="Arial"/>
                <w:color w:val="FF0000"/>
                <w:sz w:val="21"/>
                <w:szCs w:val="21"/>
              </w:rPr>
            </w:pPr>
          </w:p>
        </w:tc>
        <w:tc>
          <w:tcPr>
            <w:tcW w:w="217" w:type="dxa"/>
          </w:tcPr>
          <w:p w14:paraId="407F04CF" w14:textId="77777777" w:rsidR="002C0FD9" w:rsidRPr="00CA25CF" w:rsidRDefault="002C0FD9" w:rsidP="00CA25CF">
            <w:pPr>
              <w:rPr>
                <w:rFonts w:cs="Arial"/>
                <w:color w:val="FF0000"/>
                <w:sz w:val="21"/>
                <w:szCs w:val="21"/>
              </w:rPr>
            </w:pPr>
          </w:p>
        </w:tc>
        <w:tc>
          <w:tcPr>
            <w:tcW w:w="217" w:type="dxa"/>
          </w:tcPr>
          <w:p w14:paraId="63E84480" w14:textId="77777777" w:rsidR="002C0FD9" w:rsidRPr="00CA25CF" w:rsidRDefault="002C0FD9" w:rsidP="00CA25CF">
            <w:pPr>
              <w:rPr>
                <w:rFonts w:cs="Arial"/>
                <w:color w:val="FF0000"/>
                <w:sz w:val="21"/>
                <w:szCs w:val="21"/>
              </w:rPr>
            </w:pPr>
          </w:p>
        </w:tc>
        <w:tc>
          <w:tcPr>
            <w:tcW w:w="217" w:type="dxa"/>
          </w:tcPr>
          <w:p w14:paraId="6098D164" w14:textId="77777777" w:rsidR="002C0FD9" w:rsidRPr="00CA25CF" w:rsidRDefault="002C0FD9" w:rsidP="00CA25CF">
            <w:pPr>
              <w:rPr>
                <w:rFonts w:cs="Arial"/>
                <w:color w:val="FF0000"/>
                <w:sz w:val="21"/>
                <w:szCs w:val="21"/>
              </w:rPr>
            </w:pPr>
          </w:p>
        </w:tc>
        <w:tc>
          <w:tcPr>
            <w:tcW w:w="217" w:type="dxa"/>
          </w:tcPr>
          <w:p w14:paraId="61A5E2EF" w14:textId="77777777" w:rsidR="002C0FD9" w:rsidRPr="00CA25CF" w:rsidRDefault="002C0FD9" w:rsidP="00CA25CF">
            <w:pPr>
              <w:rPr>
                <w:rFonts w:cs="Arial"/>
                <w:color w:val="FF0000"/>
                <w:sz w:val="21"/>
                <w:szCs w:val="21"/>
              </w:rPr>
            </w:pPr>
          </w:p>
        </w:tc>
        <w:tc>
          <w:tcPr>
            <w:tcW w:w="217" w:type="dxa"/>
          </w:tcPr>
          <w:p w14:paraId="33FFE376" w14:textId="77777777" w:rsidR="002C0FD9" w:rsidRPr="00CA25CF" w:rsidRDefault="002C0FD9" w:rsidP="00CA25CF">
            <w:pPr>
              <w:rPr>
                <w:rFonts w:cs="Arial"/>
                <w:color w:val="FF0000"/>
                <w:sz w:val="21"/>
                <w:szCs w:val="21"/>
              </w:rPr>
            </w:pPr>
          </w:p>
        </w:tc>
        <w:tc>
          <w:tcPr>
            <w:tcW w:w="217" w:type="dxa"/>
          </w:tcPr>
          <w:p w14:paraId="7AC5EA46" w14:textId="77777777" w:rsidR="002C0FD9" w:rsidRPr="00CA25CF" w:rsidRDefault="002C0FD9" w:rsidP="00CA25CF">
            <w:pPr>
              <w:rPr>
                <w:rFonts w:cs="Arial"/>
                <w:color w:val="FF0000"/>
                <w:sz w:val="21"/>
                <w:szCs w:val="21"/>
              </w:rPr>
            </w:pPr>
          </w:p>
        </w:tc>
        <w:tc>
          <w:tcPr>
            <w:tcW w:w="217" w:type="dxa"/>
          </w:tcPr>
          <w:p w14:paraId="15B9796A" w14:textId="77777777" w:rsidR="002C0FD9" w:rsidRPr="00CA25CF" w:rsidRDefault="002C0FD9" w:rsidP="00CA25CF">
            <w:pPr>
              <w:rPr>
                <w:rFonts w:cs="Arial"/>
                <w:color w:val="FF0000"/>
                <w:sz w:val="21"/>
                <w:szCs w:val="21"/>
              </w:rPr>
            </w:pPr>
          </w:p>
        </w:tc>
        <w:tc>
          <w:tcPr>
            <w:tcW w:w="217" w:type="dxa"/>
          </w:tcPr>
          <w:p w14:paraId="0773A643" w14:textId="77777777" w:rsidR="002C0FD9" w:rsidRPr="00CA25CF" w:rsidRDefault="002C0FD9" w:rsidP="00CA25CF">
            <w:pPr>
              <w:rPr>
                <w:rFonts w:cs="Arial"/>
                <w:color w:val="FF0000"/>
                <w:sz w:val="21"/>
                <w:szCs w:val="21"/>
              </w:rPr>
            </w:pPr>
          </w:p>
        </w:tc>
        <w:tc>
          <w:tcPr>
            <w:tcW w:w="217" w:type="dxa"/>
          </w:tcPr>
          <w:p w14:paraId="7ABE0824" w14:textId="77777777" w:rsidR="002C0FD9" w:rsidRPr="00CA25CF" w:rsidRDefault="002C0FD9" w:rsidP="00CA25CF">
            <w:pPr>
              <w:rPr>
                <w:rFonts w:cs="Arial"/>
                <w:color w:val="FF0000"/>
                <w:sz w:val="21"/>
                <w:szCs w:val="21"/>
              </w:rPr>
            </w:pPr>
          </w:p>
        </w:tc>
        <w:tc>
          <w:tcPr>
            <w:tcW w:w="217" w:type="dxa"/>
          </w:tcPr>
          <w:p w14:paraId="674B48EF" w14:textId="77777777" w:rsidR="002C0FD9" w:rsidRPr="00CA25CF" w:rsidRDefault="002C0FD9" w:rsidP="00CA25CF">
            <w:pPr>
              <w:rPr>
                <w:rFonts w:cs="Arial"/>
                <w:color w:val="FF0000"/>
                <w:sz w:val="21"/>
                <w:szCs w:val="21"/>
              </w:rPr>
            </w:pPr>
          </w:p>
        </w:tc>
        <w:tc>
          <w:tcPr>
            <w:tcW w:w="217" w:type="dxa"/>
          </w:tcPr>
          <w:p w14:paraId="4E39DC67" w14:textId="77777777" w:rsidR="002C0FD9" w:rsidRPr="00CA25CF" w:rsidRDefault="002C0FD9" w:rsidP="00CA25CF">
            <w:pPr>
              <w:rPr>
                <w:rFonts w:cs="Arial"/>
                <w:color w:val="FF0000"/>
                <w:sz w:val="21"/>
                <w:szCs w:val="21"/>
              </w:rPr>
            </w:pPr>
          </w:p>
        </w:tc>
        <w:tc>
          <w:tcPr>
            <w:tcW w:w="217" w:type="dxa"/>
          </w:tcPr>
          <w:p w14:paraId="1CC9449F" w14:textId="77777777" w:rsidR="002C0FD9" w:rsidRPr="00CA25CF" w:rsidRDefault="002C0FD9" w:rsidP="00CA25CF">
            <w:pPr>
              <w:rPr>
                <w:rFonts w:cs="Arial"/>
                <w:color w:val="FF0000"/>
                <w:sz w:val="21"/>
                <w:szCs w:val="21"/>
              </w:rPr>
            </w:pPr>
          </w:p>
        </w:tc>
        <w:tc>
          <w:tcPr>
            <w:tcW w:w="217" w:type="dxa"/>
          </w:tcPr>
          <w:p w14:paraId="705A3C22" w14:textId="77777777" w:rsidR="002C0FD9" w:rsidRPr="00CA25CF" w:rsidRDefault="002C0FD9" w:rsidP="00CA25CF">
            <w:pPr>
              <w:rPr>
                <w:rFonts w:cs="Arial"/>
                <w:color w:val="FF0000"/>
                <w:sz w:val="21"/>
                <w:szCs w:val="21"/>
              </w:rPr>
            </w:pPr>
          </w:p>
        </w:tc>
      </w:tr>
      <w:tr w:rsidR="002C0FD9" w:rsidRPr="00A16219" w14:paraId="21EFA845" w14:textId="5D12CE39" w:rsidTr="002C0FD9">
        <w:trPr>
          <w:trHeight w:val="635"/>
        </w:trPr>
        <w:tc>
          <w:tcPr>
            <w:tcW w:w="515" w:type="dxa"/>
          </w:tcPr>
          <w:p w14:paraId="519AB350" w14:textId="77777777" w:rsidR="002C0FD9" w:rsidRPr="00CA25CF" w:rsidRDefault="002C0FD9" w:rsidP="00CA25CF">
            <w:pPr>
              <w:rPr>
                <w:rFonts w:cs="Arial"/>
                <w:color w:val="FF0000"/>
                <w:sz w:val="21"/>
                <w:szCs w:val="21"/>
              </w:rPr>
            </w:pPr>
          </w:p>
        </w:tc>
        <w:tc>
          <w:tcPr>
            <w:tcW w:w="217" w:type="dxa"/>
          </w:tcPr>
          <w:p w14:paraId="09147F63" w14:textId="77777777" w:rsidR="002C0FD9" w:rsidRPr="00CA25CF" w:rsidRDefault="002C0FD9" w:rsidP="00CA25CF">
            <w:pPr>
              <w:rPr>
                <w:rFonts w:cs="Arial"/>
                <w:color w:val="FF0000"/>
                <w:sz w:val="21"/>
                <w:szCs w:val="21"/>
              </w:rPr>
            </w:pPr>
          </w:p>
        </w:tc>
        <w:tc>
          <w:tcPr>
            <w:tcW w:w="217" w:type="dxa"/>
          </w:tcPr>
          <w:p w14:paraId="36DDD835" w14:textId="72F701FF" w:rsidR="002C0FD9" w:rsidRPr="00CA25CF" w:rsidRDefault="002C0FD9" w:rsidP="00CA25CF">
            <w:pPr>
              <w:rPr>
                <w:rFonts w:cs="Arial"/>
                <w:color w:val="FF0000"/>
                <w:sz w:val="21"/>
                <w:szCs w:val="21"/>
              </w:rPr>
            </w:pPr>
          </w:p>
        </w:tc>
        <w:tc>
          <w:tcPr>
            <w:tcW w:w="217" w:type="dxa"/>
          </w:tcPr>
          <w:p w14:paraId="77BC426A" w14:textId="77777777" w:rsidR="002C0FD9" w:rsidRPr="00CA25CF" w:rsidRDefault="002C0FD9" w:rsidP="00CA25CF">
            <w:pPr>
              <w:rPr>
                <w:rFonts w:cs="Arial"/>
                <w:color w:val="FF0000"/>
                <w:sz w:val="21"/>
                <w:szCs w:val="21"/>
              </w:rPr>
            </w:pPr>
          </w:p>
        </w:tc>
        <w:tc>
          <w:tcPr>
            <w:tcW w:w="217" w:type="dxa"/>
          </w:tcPr>
          <w:p w14:paraId="0C4CE28F" w14:textId="77777777" w:rsidR="002C0FD9" w:rsidRPr="00CA25CF" w:rsidRDefault="002C0FD9" w:rsidP="00CA25CF">
            <w:pPr>
              <w:rPr>
                <w:rFonts w:cs="Arial"/>
                <w:color w:val="FF0000"/>
                <w:sz w:val="21"/>
                <w:szCs w:val="21"/>
              </w:rPr>
            </w:pPr>
          </w:p>
        </w:tc>
        <w:tc>
          <w:tcPr>
            <w:tcW w:w="217" w:type="dxa"/>
          </w:tcPr>
          <w:p w14:paraId="7C9C39C6" w14:textId="77777777" w:rsidR="002C0FD9" w:rsidRPr="00CA25CF" w:rsidRDefault="002C0FD9" w:rsidP="00CA25CF">
            <w:pPr>
              <w:rPr>
                <w:rFonts w:cs="Arial"/>
                <w:color w:val="FF0000"/>
                <w:sz w:val="21"/>
                <w:szCs w:val="21"/>
              </w:rPr>
            </w:pPr>
          </w:p>
        </w:tc>
        <w:tc>
          <w:tcPr>
            <w:tcW w:w="217" w:type="dxa"/>
          </w:tcPr>
          <w:p w14:paraId="1061591E" w14:textId="77777777" w:rsidR="002C0FD9" w:rsidRPr="00CA25CF" w:rsidRDefault="002C0FD9" w:rsidP="00CA25CF">
            <w:pPr>
              <w:rPr>
                <w:rFonts w:cs="Arial"/>
                <w:color w:val="FF0000"/>
                <w:sz w:val="21"/>
                <w:szCs w:val="21"/>
              </w:rPr>
            </w:pPr>
          </w:p>
        </w:tc>
        <w:tc>
          <w:tcPr>
            <w:tcW w:w="217" w:type="dxa"/>
          </w:tcPr>
          <w:p w14:paraId="01A494DE" w14:textId="77777777" w:rsidR="002C0FD9" w:rsidRPr="00CA25CF" w:rsidRDefault="002C0FD9" w:rsidP="00CA25CF">
            <w:pPr>
              <w:rPr>
                <w:rFonts w:cs="Arial"/>
                <w:color w:val="FF0000"/>
                <w:sz w:val="21"/>
                <w:szCs w:val="21"/>
              </w:rPr>
            </w:pPr>
          </w:p>
        </w:tc>
        <w:tc>
          <w:tcPr>
            <w:tcW w:w="217" w:type="dxa"/>
          </w:tcPr>
          <w:p w14:paraId="605E6C67" w14:textId="77777777" w:rsidR="002C0FD9" w:rsidRPr="00CA25CF" w:rsidRDefault="002C0FD9" w:rsidP="00CA25CF">
            <w:pPr>
              <w:rPr>
                <w:rFonts w:cs="Arial"/>
                <w:color w:val="FF0000"/>
                <w:sz w:val="21"/>
                <w:szCs w:val="21"/>
              </w:rPr>
            </w:pPr>
          </w:p>
        </w:tc>
        <w:tc>
          <w:tcPr>
            <w:tcW w:w="217" w:type="dxa"/>
          </w:tcPr>
          <w:p w14:paraId="2171919F" w14:textId="77777777" w:rsidR="002C0FD9" w:rsidRPr="00CA25CF" w:rsidRDefault="002C0FD9" w:rsidP="00CA25CF">
            <w:pPr>
              <w:rPr>
                <w:rFonts w:cs="Arial"/>
                <w:color w:val="FF0000"/>
                <w:sz w:val="21"/>
                <w:szCs w:val="21"/>
              </w:rPr>
            </w:pPr>
          </w:p>
        </w:tc>
        <w:tc>
          <w:tcPr>
            <w:tcW w:w="217" w:type="dxa"/>
          </w:tcPr>
          <w:p w14:paraId="1CEC5150" w14:textId="77777777" w:rsidR="002C0FD9" w:rsidRPr="00CA25CF" w:rsidRDefault="002C0FD9" w:rsidP="00CA25CF">
            <w:pPr>
              <w:rPr>
                <w:rFonts w:cs="Arial"/>
                <w:color w:val="FF0000"/>
                <w:sz w:val="21"/>
                <w:szCs w:val="21"/>
              </w:rPr>
            </w:pPr>
          </w:p>
        </w:tc>
        <w:tc>
          <w:tcPr>
            <w:tcW w:w="217" w:type="dxa"/>
          </w:tcPr>
          <w:p w14:paraId="30F827A8" w14:textId="77777777" w:rsidR="002C0FD9" w:rsidRPr="00CA25CF" w:rsidRDefault="002C0FD9" w:rsidP="00CA25CF">
            <w:pPr>
              <w:rPr>
                <w:rFonts w:cs="Arial"/>
                <w:color w:val="FF0000"/>
                <w:sz w:val="21"/>
                <w:szCs w:val="21"/>
              </w:rPr>
            </w:pPr>
          </w:p>
        </w:tc>
        <w:tc>
          <w:tcPr>
            <w:tcW w:w="217" w:type="dxa"/>
          </w:tcPr>
          <w:p w14:paraId="3B161759" w14:textId="77777777" w:rsidR="002C0FD9" w:rsidRPr="00CA25CF" w:rsidRDefault="002C0FD9" w:rsidP="00CA25CF">
            <w:pPr>
              <w:rPr>
                <w:rFonts w:cs="Arial"/>
                <w:color w:val="FF0000"/>
                <w:sz w:val="21"/>
                <w:szCs w:val="21"/>
              </w:rPr>
            </w:pPr>
          </w:p>
        </w:tc>
        <w:tc>
          <w:tcPr>
            <w:tcW w:w="217" w:type="dxa"/>
          </w:tcPr>
          <w:p w14:paraId="598A7777" w14:textId="77777777" w:rsidR="002C0FD9" w:rsidRPr="00CA25CF" w:rsidRDefault="002C0FD9" w:rsidP="00CA25CF">
            <w:pPr>
              <w:rPr>
                <w:rFonts w:cs="Arial"/>
                <w:color w:val="FF0000"/>
                <w:sz w:val="21"/>
                <w:szCs w:val="21"/>
              </w:rPr>
            </w:pPr>
          </w:p>
        </w:tc>
        <w:tc>
          <w:tcPr>
            <w:tcW w:w="217" w:type="dxa"/>
          </w:tcPr>
          <w:p w14:paraId="3015EAAC" w14:textId="77777777" w:rsidR="002C0FD9" w:rsidRPr="00CA25CF" w:rsidRDefault="002C0FD9" w:rsidP="00CA25CF">
            <w:pPr>
              <w:rPr>
                <w:rFonts w:cs="Arial"/>
                <w:color w:val="FF0000"/>
                <w:sz w:val="21"/>
                <w:szCs w:val="21"/>
              </w:rPr>
            </w:pPr>
          </w:p>
        </w:tc>
        <w:tc>
          <w:tcPr>
            <w:tcW w:w="217" w:type="dxa"/>
          </w:tcPr>
          <w:p w14:paraId="0F9D0BDB" w14:textId="660B7398" w:rsidR="002C0FD9" w:rsidRPr="00CA25CF" w:rsidRDefault="002C0FD9" w:rsidP="00CA25CF">
            <w:pPr>
              <w:rPr>
                <w:rFonts w:cs="Arial"/>
                <w:color w:val="FF0000"/>
                <w:sz w:val="21"/>
                <w:szCs w:val="21"/>
              </w:rPr>
            </w:pPr>
          </w:p>
        </w:tc>
        <w:tc>
          <w:tcPr>
            <w:tcW w:w="217" w:type="dxa"/>
          </w:tcPr>
          <w:p w14:paraId="16DC86CF" w14:textId="77777777" w:rsidR="002C0FD9" w:rsidRPr="00CA25CF" w:rsidRDefault="002C0FD9" w:rsidP="00CA25CF">
            <w:pPr>
              <w:rPr>
                <w:rFonts w:cs="Arial"/>
                <w:color w:val="FF0000"/>
                <w:sz w:val="21"/>
                <w:szCs w:val="21"/>
              </w:rPr>
            </w:pPr>
          </w:p>
        </w:tc>
        <w:tc>
          <w:tcPr>
            <w:tcW w:w="217" w:type="dxa"/>
          </w:tcPr>
          <w:p w14:paraId="252C7A29" w14:textId="77777777" w:rsidR="002C0FD9" w:rsidRPr="00CA25CF" w:rsidRDefault="002C0FD9" w:rsidP="00CA25CF">
            <w:pPr>
              <w:rPr>
                <w:rFonts w:cs="Arial"/>
                <w:color w:val="FF0000"/>
                <w:sz w:val="21"/>
                <w:szCs w:val="21"/>
              </w:rPr>
            </w:pPr>
          </w:p>
        </w:tc>
        <w:tc>
          <w:tcPr>
            <w:tcW w:w="217" w:type="dxa"/>
          </w:tcPr>
          <w:p w14:paraId="36572AE5" w14:textId="77777777" w:rsidR="002C0FD9" w:rsidRPr="00CA25CF" w:rsidRDefault="002C0FD9" w:rsidP="00CA25CF">
            <w:pPr>
              <w:rPr>
                <w:rFonts w:cs="Arial"/>
                <w:color w:val="FF0000"/>
                <w:sz w:val="21"/>
                <w:szCs w:val="21"/>
              </w:rPr>
            </w:pPr>
          </w:p>
        </w:tc>
        <w:tc>
          <w:tcPr>
            <w:tcW w:w="217" w:type="dxa"/>
          </w:tcPr>
          <w:p w14:paraId="49156F47" w14:textId="77777777" w:rsidR="002C0FD9" w:rsidRPr="00CA25CF" w:rsidRDefault="002C0FD9" w:rsidP="00CA25CF">
            <w:pPr>
              <w:rPr>
                <w:rFonts w:cs="Arial"/>
                <w:color w:val="FF0000"/>
                <w:sz w:val="21"/>
                <w:szCs w:val="21"/>
              </w:rPr>
            </w:pPr>
          </w:p>
        </w:tc>
        <w:tc>
          <w:tcPr>
            <w:tcW w:w="217" w:type="dxa"/>
          </w:tcPr>
          <w:p w14:paraId="565AD9B3" w14:textId="77777777" w:rsidR="002C0FD9" w:rsidRPr="00CA25CF" w:rsidRDefault="002C0FD9" w:rsidP="00CA25CF">
            <w:pPr>
              <w:rPr>
                <w:rFonts w:cs="Arial"/>
                <w:color w:val="FF0000"/>
                <w:sz w:val="21"/>
                <w:szCs w:val="21"/>
              </w:rPr>
            </w:pPr>
          </w:p>
        </w:tc>
        <w:tc>
          <w:tcPr>
            <w:tcW w:w="217" w:type="dxa"/>
          </w:tcPr>
          <w:p w14:paraId="765E78DF" w14:textId="77777777" w:rsidR="002C0FD9" w:rsidRPr="00CA25CF" w:rsidRDefault="002C0FD9" w:rsidP="00CA25CF">
            <w:pPr>
              <w:rPr>
                <w:rFonts w:cs="Arial"/>
                <w:color w:val="FF0000"/>
                <w:sz w:val="21"/>
                <w:szCs w:val="21"/>
              </w:rPr>
            </w:pPr>
          </w:p>
        </w:tc>
        <w:tc>
          <w:tcPr>
            <w:tcW w:w="217" w:type="dxa"/>
          </w:tcPr>
          <w:p w14:paraId="357E4EED" w14:textId="77777777" w:rsidR="002C0FD9" w:rsidRPr="00CA25CF" w:rsidRDefault="002C0FD9" w:rsidP="00CA25CF">
            <w:pPr>
              <w:rPr>
                <w:rFonts w:cs="Arial"/>
                <w:color w:val="FF0000"/>
                <w:sz w:val="21"/>
                <w:szCs w:val="21"/>
              </w:rPr>
            </w:pPr>
          </w:p>
        </w:tc>
        <w:tc>
          <w:tcPr>
            <w:tcW w:w="217" w:type="dxa"/>
          </w:tcPr>
          <w:p w14:paraId="49A6BB5B" w14:textId="77777777" w:rsidR="002C0FD9" w:rsidRPr="00CA25CF" w:rsidRDefault="002C0FD9" w:rsidP="00CA25CF">
            <w:pPr>
              <w:rPr>
                <w:rFonts w:cs="Arial"/>
                <w:color w:val="FF0000"/>
                <w:sz w:val="21"/>
                <w:szCs w:val="21"/>
              </w:rPr>
            </w:pPr>
          </w:p>
        </w:tc>
        <w:tc>
          <w:tcPr>
            <w:tcW w:w="217" w:type="dxa"/>
          </w:tcPr>
          <w:p w14:paraId="1C6E630F" w14:textId="77777777" w:rsidR="002C0FD9" w:rsidRPr="00CA25CF" w:rsidRDefault="002C0FD9" w:rsidP="00CA25CF">
            <w:pPr>
              <w:rPr>
                <w:rFonts w:cs="Arial"/>
                <w:color w:val="FF0000"/>
                <w:sz w:val="21"/>
                <w:szCs w:val="21"/>
              </w:rPr>
            </w:pPr>
          </w:p>
        </w:tc>
        <w:tc>
          <w:tcPr>
            <w:tcW w:w="217" w:type="dxa"/>
          </w:tcPr>
          <w:p w14:paraId="51DAF77C" w14:textId="77777777" w:rsidR="002C0FD9" w:rsidRPr="00CA25CF" w:rsidRDefault="002C0FD9" w:rsidP="00CA25CF">
            <w:pPr>
              <w:rPr>
                <w:rFonts w:cs="Arial"/>
                <w:color w:val="FF0000"/>
                <w:sz w:val="21"/>
                <w:szCs w:val="21"/>
              </w:rPr>
            </w:pPr>
          </w:p>
        </w:tc>
        <w:tc>
          <w:tcPr>
            <w:tcW w:w="217" w:type="dxa"/>
          </w:tcPr>
          <w:p w14:paraId="5855435C" w14:textId="77777777" w:rsidR="002C0FD9" w:rsidRPr="00CA25CF" w:rsidRDefault="002C0FD9" w:rsidP="00CA25CF">
            <w:pPr>
              <w:rPr>
                <w:rFonts w:cs="Arial"/>
                <w:color w:val="FF0000"/>
                <w:sz w:val="21"/>
                <w:szCs w:val="21"/>
              </w:rPr>
            </w:pPr>
          </w:p>
        </w:tc>
        <w:tc>
          <w:tcPr>
            <w:tcW w:w="217" w:type="dxa"/>
          </w:tcPr>
          <w:p w14:paraId="5A060F2A" w14:textId="77777777" w:rsidR="002C0FD9" w:rsidRPr="00CA25CF" w:rsidRDefault="002C0FD9" w:rsidP="00CA25CF">
            <w:pPr>
              <w:rPr>
                <w:rFonts w:cs="Arial"/>
                <w:color w:val="FF0000"/>
                <w:sz w:val="21"/>
                <w:szCs w:val="21"/>
              </w:rPr>
            </w:pPr>
          </w:p>
        </w:tc>
        <w:tc>
          <w:tcPr>
            <w:tcW w:w="217" w:type="dxa"/>
          </w:tcPr>
          <w:p w14:paraId="3580A9EE" w14:textId="77777777" w:rsidR="002C0FD9" w:rsidRPr="00CA25CF" w:rsidRDefault="002C0FD9" w:rsidP="00CA25CF">
            <w:pPr>
              <w:rPr>
                <w:rFonts w:cs="Arial"/>
                <w:color w:val="FF0000"/>
                <w:sz w:val="21"/>
                <w:szCs w:val="21"/>
              </w:rPr>
            </w:pPr>
          </w:p>
        </w:tc>
        <w:tc>
          <w:tcPr>
            <w:tcW w:w="217" w:type="dxa"/>
          </w:tcPr>
          <w:p w14:paraId="2403E9FA" w14:textId="77777777" w:rsidR="002C0FD9" w:rsidRPr="00CA25CF" w:rsidRDefault="002C0FD9" w:rsidP="00CA25CF">
            <w:pPr>
              <w:rPr>
                <w:rFonts w:cs="Arial"/>
                <w:color w:val="FF0000"/>
                <w:sz w:val="21"/>
                <w:szCs w:val="21"/>
              </w:rPr>
            </w:pPr>
          </w:p>
        </w:tc>
        <w:tc>
          <w:tcPr>
            <w:tcW w:w="217" w:type="dxa"/>
          </w:tcPr>
          <w:p w14:paraId="4533DF7B" w14:textId="77777777" w:rsidR="002C0FD9" w:rsidRPr="00CA25CF" w:rsidRDefault="002C0FD9" w:rsidP="00CA25CF">
            <w:pPr>
              <w:rPr>
                <w:rFonts w:cs="Arial"/>
                <w:color w:val="FF0000"/>
                <w:sz w:val="21"/>
                <w:szCs w:val="21"/>
              </w:rPr>
            </w:pPr>
          </w:p>
        </w:tc>
        <w:tc>
          <w:tcPr>
            <w:tcW w:w="217" w:type="dxa"/>
          </w:tcPr>
          <w:p w14:paraId="72114C58" w14:textId="77777777" w:rsidR="002C0FD9" w:rsidRPr="00CA25CF" w:rsidRDefault="002C0FD9" w:rsidP="00CA25CF">
            <w:pPr>
              <w:rPr>
                <w:rFonts w:cs="Arial"/>
                <w:color w:val="FF0000"/>
                <w:sz w:val="21"/>
                <w:szCs w:val="21"/>
              </w:rPr>
            </w:pPr>
          </w:p>
        </w:tc>
        <w:tc>
          <w:tcPr>
            <w:tcW w:w="217" w:type="dxa"/>
          </w:tcPr>
          <w:p w14:paraId="1CAAC3EE" w14:textId="77777777" w:rsidR="002C0FD9" w:rsidRPr="00CA25CF" w:rsidRDefault="002C0FD9" w:rsidP="00CA25CF">
            <w:pPr>
              <w:rPr>
                <w:rFonts w:cs="Arial"/>
                <w:color w:val="FF0000"/>
                <w:sz w:val="21"/>
                <w:szCs w:val="21"/>
              </w:rPr>
            </w:pPr>
          </w:p>
        </w:tc>
        <w:tc>
          <w:tcPr>
            <w:tcW w:w="217" w:type="dxa"/>
          </w:tcPr>
          <w:p w14:paraId="5E2B53F5" w14:textId="77777777" w:rsidR="002C0FD9" w:rsidRPr="00CA25CF" w:rsidRDefault="002C0FD9" w:rsidP="00CA25CF">
            <w:pPr>
              <w:rPr>
                <w:rFonts w:cs="Arial"/>
                <w:color w:val="FF0000"/>
                <w:sz w:val="21"/>
                <w:szCs w:val="21"/>
              </w:rPr>
            </w:pPr>
          </w:p>
        </w:tc>
        <w:tc>
          <w:tcPr>
            <w:tcW w:w="217" w:type="dxa"/>
          </w:tcPr>
          <w:p w14:paraId="3F40B752" w14:textId="77777777" w:rsidR="002C0FD9" w:rsidRPr="00CA25CF" w:rsidRDefault="002C0FD9" w:rsidP="00CA25CF">
            <w:pPr>
              <w:rPr>
                <w:rFonts w:cs="Arial"/>
                <w:color w:val="FF0000"/>
                <w:sz w:val="21"/>
                <w:szCs w:val="21"/>
              </w:rPr>
            </w:pPr>
          </w:p>
        </w:tc>
        <w:tc>
          <w:tcPr>
            <w:tcW w:w="217" w:type="dxa"/>
          </w:tcPr>
          <w:p w14:paraId="30C58C0C" w14:textId="77777777" w:rsidR="002C0FD9" w:rsidRPr="00CA25CF" w:rsidRDefault="002C0FD9" w:rsidP="00CA25CF">
            <w:pPr>
              <w:rPr>
                <w:rFonts w:cs="Arial"/>
                <w:color w:val="FF0000"/>
                <w:sz w:val="21"/>
                <w:szCs w:val="21"/>
              </w:rPr>
            </w:pPr>
          </w:p>
        </w:tc>
        <w:tc>
          <w:tcPr>
            <w:tcW w:w="217" w:type="dxa"/>
          </w:tcPr>
          <w:p w14:paraId="259A783C" w14:textId="77777777" w:rsidR="002C0FD9" w:rsidRPr="00CA25CF" w:rsidRDefault="002C0FD9" w:rsidP="00CA25CF">
            <w:pPr>
              <w:rPr>
                <w:rFonts w:cs="Arial"/>
                <w:color w:val="FF0000"/>
                <w:sz w:val="21"/>
                <w:szCs w:val="21"/>
              </w:rPr>
            </w:pPr>
          </w:p>
        </w:tc>
        <w:tc>
          <w:tcPr>
            <w:tcW w:w="217" w:type="dxa"/>
          </w:tcPr>
          <w:p w14:paraId="32036167" w14:textId="77777777" w:rsidR="002C0FD9" w:rsidRPr="00CA25CF" w:rsidRDefault="002C0FD9" w:rsidP="00CA25CF">
            <w:pPr>
              <w:rPr>
                <w:rFonts w:cs="Arial"/>
                <w:color w:val="FF0000"/>
                <w:sz w:val="21"/>
                <w:szCs w:val="21"/>
              </w:rPr>
            </w:pPr>
          </w:p>
        </w:tc>
        <w:tc>
          <w:tcPr>
            <w:tcW w:w="217" w:type="dxa"/>
          </w:tcPr>
          <w:p w14:paraId="46BC6A75" w14:textId="77777777" w:rsidR="002C0FD9" w:rsidRPr="00CA25CF" w:rsidRDefault="002C0FD9" w:rsidP="00CA25CF">
            <w:pPr>
              <w:rPr>
                <w:rFonts w:cs="Arial"/>
                <w:color w:val="FF0000"/>
                <w:sz w:val="21"/>
                <w:szCs w:val="21"/>
              </w:rPr>
            </w:pPr>
          </w:p>
        </w:tc>
        <w:tc>
          <w:tcPr>
            <w:tcW w:w="217" w:type="dxa"/>
          </w:tcPr>
          <w:p w14:paraId="454CF3A1" w14:textId="77777777" w:rsidR="002C0FD9" w:rsidRPr="00CA25CF" w:rsidRDefault="002C0FD9" w:rsidP="00CA25CF">
            <w:pPr>
              <w:rPr>
                <w:rFonts w:cs="Arial"/>
                <w:color w:val="FF0000"/>
                <w:sz w:val="21"/>
                <w:szCs w:val="21"/>
              </w:rPr>
            </w:pPr>
          </w:p>
        </w:tc>
        <w:tc>
          <w:tcPr>
            <w:tcW w:w="217" w:type="dxa"/>
          </w:tcPr>
          <w:p w14:paraId="342B3B42" w14:textId="77777777" w:rsidR="002C0FD9" w:rsidRPr="00CA25CF" w:rsidRDefault="002C0FD9" w:rsidP="00CA25CF">
            <w:pPr>
              <w:rPr>
                <w:rFonts w:cs="Arial"/>
                <w:color w:val="FF0000"/>
                <w:sz w:val="21"/>
                <w:szCs w:val="21"/>
              </w:rPr>
            </w:pPr>
          </w:p>
        </w:tc>
        <w:tc>
          <w:tcPr>
            <w:tcW w:w="217" w:type="dxa"/>
          </w:tcPr>
          <w:p w14:paraId="798D2FA9" w14:textId="77777777" w:rsidR="002C0FD9" w:rsidRPr="00CA25CF" w:rsidRDefault="002C0FD9" w:rsidP="00CA25CF">
            <w:pPr>
              <w:rPr>
                <w:rFonts w:cs="Arial"/>
                <w:color w:val="FF0000"/>
                <w:sz w:val="21"/>
                <w:szCs w:val="21"/>
              </w:rPr>
            </w:pPr>
          </w:p>
        </w:tc>
        <w:tc>
          <w:tcPr>
            <w:tcW w:w="217" w:type="dxa"/>
          </w:tcPr>
          <w:p w14:paraId="386A5AAF" w14:textId="77777777" w:rsidR="002C0FD9" w:rsidRPr="00CA25CF" w:rsidRDefault="002C0FD9" w:rsidP="00CA25CF">
            <w:pPr>
              <w:rPr>
                <w:rFonts w:cs="Arial"/>
                <w:color w:val="FF0000"/>
                <w:sz w:val="21"/>
                <w:szCs w:val="21"/>
              </w:rPr>
            </w:pPr>
          </w:p>
        </w:tc>
      </w:tr>
      <w:tr w:rsidR="002C0FD9" w:rsidRPr="00A16219" w14:paraId="5804466E" w14:textId="401DF459" w:rsidTr="002C0FD9">
        <w:trPr>
          <w:trHeight w:val="635"/>
        </w:trPr>
        <w:tc>
          <w:tcPr>
            <w:tcW w:w="515" w:type="dxa"/>
          </w:tcPr>
          <w:p w14:paraId="02172B93" w14:textId="77777777" w:rsidR="002C0FD9" w:rsidRPr="00CA25CF" w:rsidRDefault="002C0FD9" w:rsidP="00CA25CF">
            <w:pPr>
              <w:rPr>
                <w:rFonts w:cs="Arial"/>
                <w:color w:val="FF0000"/>
                <w:sz w:val="21"/>
                <w:szCs w:val="21"/>
              </w:rPr>
            </w:pPr>
          </w:p>
        </w:tc>
        <w:tc>
          <w:tcPr>
            <w:tcW w:w="217" w:type="dxa"/>
          </w:tcPr>
          <w:p w14:paraId="4E76D67D" w14:textId="77777777" w:rsidR="002C0FD9" w:rsidRPr="00CA25CF" w:rsidRDefault="002C0FD9" w:rsidP="00CA25CF">
            <w:pPr>
              <w:rPr>
                <w:rFonts w:cs="Arial"/>
                <w:color w:val="FF0000"/>
                <w:sz w:val="21"/>
                <w:szCs w:val="21"/>
              </w:rPr>
            </w:pPr>
          </w:p>
        </w:tc>
        <w:tc>
          <w:tcPr>
            <w:tcW w:w="217" w:type="dxa"/>
          </w:tcPr>
          <w:p w14:paraId="4DEF5079" w14:textId="00E78F73" w:rsidR="002C0FD9" w:rsidRPr="00CA25CF" w:rsidRDefault="002C0FD9" w:rsidP="00CA25CF">
            <w:pPr>
              <w:rPr>
                <w:rFonts w:cs="Arial"/>
                <w:color w:val="FF0000"/>
                <w:sz w:val="21"/>
                <w:szCs w:val="21"/>
              </w:rPr>
            </w:pPr>
          </w:p>
        </w:tc>
        <w:tc>
          <w:tcPr>
            <w:tcW w:w="217" w:type="dxa"/>
          </w:tcPr>
          <w:p w14:paraId="70EF1EA4" w14:textId="77777777" w:rsidR="002C0FD9" w:rsidRPr="00CA25CF" w:rsidRDefault="002C0FD9" w:rsidP="00CA25CF">
            <w:pPr>
              <w:rPr>
                <w:rFonts w:cs="Arial"/>
                <w:color w:val="FF0000"/>
                <w:sz w:val="21"/>
                <w:szCs w:val="21"/>
              </w:rPr>
            </w:pPr>
          </w:p>
        </w:tc>
        <w:tc>
          <w:tcPr>
            <w:tcW w:w="217" w:type="dxa"/>
          </w:tcPr>
          <w:p w14:paraId="20776939" w14:textId="77777777" w:rsidR="002C0FD9" w:rsidRPr="00CA25CF" w:rsidRDefault="002C0FD9" w:rsidP="00CA25CF">
            <w:pPr>
              <w:rPr>
                <w:rFonts w:cs="Arial"/>
                <w:color w:val="FF0000"/>
                <w:sz w:val="21"/>
                <w:szCs w:val="21"/>
              </w:rPr>
            </w:pPr>
          </w:p>
        </w:tc>
        <w:tc>
          <w:tcPr>
            <w:tcW w:w="217" w:type="dxa"/>
          </w:tcPr>
          <w:p w14:paraId="200C7BE9" w14:textId="77777777" w:rsidR="002C0FD9" w:rsidRPr="00CA25CF" w:rsidRDefault="002C0FD9" w:rsidP="00CA25CF">
            <w:pPr>
              <w:rPr>
                <w:rFonts w:cs="Arial"/>
                <w:color w:val="FF0000"/>
                <w:sz w:val="21"/>
                <w:szCs w:val="21"/>
              </w:rPr>
            </w:pPr>
          </w:p>
        </w:tc>
        <w:tc>
          <w:tcPr>
            <w:tcW w:w="217" w:type="dxa"/>
          </w:tcPr>
          <w:p w14:paraId="19FA6912" w14:textId="77777777" w:rsidR="002C0FD9" w:rsidRPr="00CA25CF" w:rsidRDefault="002C0FD9" w:rsidP="00CA25CF">
            <w:pPr>
              <w:rPr>
                <w:rFonts w:cs="Arial"/>
                <w:color w:val="FF0000"/>
                <w:sz w:val="21"/>
                <w:szCs w:val="21"/>
              </w:rPr>
            </w:pPr>
          </w:p>
        </w:tc>
        <w:tc>
          <w:tcPr>
            <w:tcW w:w="217" w:type="dxa"/>
          </w:tcPr>
          <w:p w14:paraId="369D9FB2" w14:textId="77777777" w:rsidR="002C0FD9" w:rsidRPr="00CA25CF" w:rsidRDefault="002C0FD9" w:rsidP="00CA25CF">
            <w:pPr>
              <w:rPr>
                <w:rFonts w:cs="Arial"/>
                <w:color w:val="FF0000"/>
                <w:sz w:val="21"/>
                <w:szCs w:val="21"/>
              </w:rPr>
            </w:pPr>
          </w:p>
        </w:tc>
        <w:tc>
          <w:tcPr>
            <w:tcW w:w="217" w:type="dxa"/>
          </w:tcPr>
          <w:p w14:paraId="63AC6058" w14:textId="77777777" w:rsidR="002C0FD9" w:rsidRPr="00CA25CF" w:rsidRDefault="002C0FD9" w:rsidP="00CA25CF">
            <w:pPr>
              <w:rPr>
                <w:rFonts w:cs="Arial"/>
                <w:color w:val="FF0000"/>
                <w:sz w:val="21"/>
                <w:szCs w:val="21"/>
              </w:rPr>
            </w:pPr>
          </w:p>
        </w:tc>
        <w:tc>
          <w:tcPr>
            <w:tcW w:w="217" w:type="dxa"/>
          </w:tcPr>
          <w:p w14:paraId="66F8F6EB" w14:textId="77777777" w:rsidR="002C0FD9" w:rsidRPr="00CA25CF" w:rsidRDefault="002C0FD9" w:rsidP="00CA25CF">
            <w:pPr>
              <w:rPr>
                <w:rFonts w:cs="Arial"/>
                <w:color w:val="FF0000"/>
                <w:sz w:val="21"/>
                <w:szCs w:val="21"/>
              </w:rPr>
            </w:pPr>
          </w:p>
        </w:tc>
        <w:tc>
          <w:tcPr>
            <w:tcW w:w="217" w:type="dxa"/>
          </w:tcPr>
          <w:p w14:paraId="7825853C" w14:textId="77777777" w:rsidR="002C0FD9" w:rsidRPr="00CA25CF" w:rsidRDefault="002C0FD9" w:rsidP="00CA25CF">
            <w:pPr>
              <w:rPr>
                <w:rFonts w:cs="Arial"/>
                <w:color w:val="FF0000"/>
                <w:sz w:val="21"/>
                <w:szCs w:val="21"/>
              </w:rPr>
            </w:pPr>
          </w:p>
        </w:tc>
        <w:tc>
          <w:tcPr>
            <w:tcW w:w="217" w:type="dxa"/>
          </w:tcPr>
          <w:p w14:paraId="52755644" w14:textId="77777777" w:rsidR="002C0FD9" w:rsidRPr="00CA25CF" w:rsidRDefault="002C0FD9" w:rsidP="00CA25CF">
            <w:pPr>
              <w:rPr>
                <w:rFonts w:cs="Arial"/>
                <w:color w:val="FF0000"/>
                <w:sz w:val="21"/>
                <w:szCs w:val="21"/>
              </w:rPr>
            </w:pPr>
          </w:p>
        </w:tc>
        <w:tc>
          <w:tcPr>
            <w:tcW w:w="217" w:type="dxa"/>
          </w:tcPr>
          <w:p w14:paraId="7A7B5820" w14:textId="77777777" w:rsidR="002C0FD9" w:rsidRPr="00CA25CF" w:rsidRDefault="002C0FD9" w:rsidP="00CA25CF">
            <w:pPr>
              <w:rPr>
                <w:rFonts w:cs="Arial"/>
                <w:color w:val="FF0000"/>
                <w:sz w:val="21"/>
                <w:szCs w:val="21"/>
              </w:rPr>
            </w:pPr>
          </w:p>
        </w:tc>
        <w:tc>
          <w:tcPr>
            <w:tcW w:w="217" w:type="dxa"/>
          </w:tcPr>
          <w:p w14:paraId="68F0B344" w14:textId="77777777" w:rsidR="002C0FD9" w:rsidRPr="00CA25CF" w:rsidRDefault="002C0FD9" w:rsidP="00CA25CF">
            <w:pPr>
              <w:rPr>
                <w:rFonts w:cs="Arial"/>
                <w:color w:val="FF0000"/>
                <w:sz w:val="21"/>
                <w:szCs w:val="21"/>
              </w:rPr>
            </w:pPr>
          </w:p>
        </w:tc>
        <w:tc>
          <w:tcPr>
            <w:tcW w:w="217" w:type="dxa"/>
          </w:tcPr>
          <w:p w14:paraId="751A2A44" w14:textId="77777777" w:rsidR="002C0FD9" w:rsidRPr="00CA25CF" w:rsidRDefault="002C0FD9" w:rsidP="00CA25CF">
            <w:pPr>
              <w:rPr>
                <w:rFonts w:cs="Arial"/>
                <w:color w:val="FF0000"/>
                <w:sz w:val="21"/>
                <w:szCs w:val="21"/>
              </w:rPr>
            </w:pPr>
          </w:p>
        </w:tc>
        <w:tc>
          <w:tcPr>
            <w:tcW w:w="217" w:type="dxa"/>
          </w:tcPr>
          <w:p w14:paraId="2917B2AA" w14:textId="44B15F93" w:rsidR="002C0FD9" w:rsidRPr="00CA25CF" w:rsidRDefault="002C0FD9" w:rsidP="00CA25CF">
            <w:pPr>
              <w:rPr>
                <w:rFonts w:cs="Arial"/>
                <w:color w:val="FF0000"/>
                <w:sz w:val="21"/>
                <w:szCs w:val="21"/>
              </w:rPr>
            </w:pPr>
          </w:p>
        </w:tc>
        <w:tc>
          <w:tcPr>
            <w:tcW w:w="217" w:type="dxa"/>
          </w:tcPr>
          <w:p w14:paraId="0D2DDAC2" w14:textId="77777777" w:rsidR="002C0FD9" w:rsidRPr="00CA25CF" w:rsidRDefault="002C0FD9" w:rsidP="00CA25CF">
            <w:pPr>
              <w:rPr>
                <w:rFonts w:cs="Arial"/>
                <w:color w:val="FF0000"/>
                <w:sz w:val="21"/>
                <w:szCs w:val="21"/>
              </w:rPr>
            </w:pPr>
          </w:p>
        </w:tc>
        <w:tc>
          <w:tcPr>
            <w:tcW w:w="217" w:type="dxa"/>
          </w:tcPr>
          <w:p w14:paraId="332E0464" w14:textId="77777777" w:rsidR="002C0FD9" w:rsidRPr="00CA25CF" w:rsidRDefault="002C0FD9" w:rsidP="00CA25CF">
            <w:pPr>
              <w:rPr>
                <w:rFonts w:cs="Arial"/>
                <w:color w:val="FF0000"/>
                <w:sz w:val="21"/>
                <w:szCs w:val="21"/>
              </w:rPr>
            </w:pPr>
          </w:p>
        </w:tc>
        <w:tc>
          <w:tcPr>
            <w:tcW w:w="217" w:type="dxa"/>
          </w:tcPr>
          <w:p w14:paraId="076B47D9" w14:textId="77777777" w:rsidR="002C0FD9" w:rsidRPr="00CA25CF" w:rsidRDefault="002C0FD9" w:rsidP="00CA25CF">
            <w:pPr>
              <w:rPr>
                <w:rFonts w:cs="Arial"/>
                <w:color w:val="FF0000"/>
                <w:sz w:val="21"/>
                <w:szCs w:val="21"/>
              </w:rPr>
            </w:pPr>
          </w:p>
        </w:tc>
        <w:tc>
          <w:tcPr>
            <w:tcW w:w="217" w:type="dxa"/>
          </w:tcPr>
          <w:p w14:paraId="39B0094E" w14:textId="77777777" w:rsidR="002C0FD9" w:rsidRPr="00CA25CF" w:rsidRDefault="002C0FD9" w:rsidP="00CA25CF">
            <w:pPr>
              <w:rPr>
                <w:rFonts w:cs="Arial"/>
                <w:color w:val="FF0000"/>
                <w:sz w:val="21"/>
                <w:szCs w:val="21"/>
              </w:rPr>
            </w:pPr>
          </w:p>
        </w:tc>
        <w:tc>
          <w:tcPr>
            <w:tcW w:w="217" w:type="dxa"/>
          </w:tcPr>
          <w:p w14:paraId="3161B507" w14:textId="77777777" w:rsidR="002C0FD9" w:rsidRPr="00CA25CF" w:rsidRDefault="002C0FD9" w:rsidP="00CA25CF">
            <w:pPr>
              <w:rPr>
                <w:rFonts w:cs="Arial"/>
                <w:color w:val="FF0000"/>
                <w:sz w:val="21"/>
                <w:szCs w:val="21"/>
              </w:rPr>
            </w:pPr>
          </w:p>
        </w:tc>
        <w:tc>
          <w:tcPr>
            <w:tcW w:w="217" w:type="dxa"/>
          </w:tcPr>
          <w:p w14:paraId="0C6A9028" w14:textId="77777777" w:rsidR="002C0FD9" w:rsidRPr="00CA25CF" w:rsidRDefault="002C0FD9" w:rsidP="00CA25CF">
            <w:pPr>
              <w:rPr>
                <w:rFonts w:cs="Arial"/>
                <w:color w:val="FF0000"/>
                <w:sz w:val="21"/>
                <w:szCs w:val="21"/>
              </w:rPr>
            </w:pPr>
          </w:p>
        </w:tc>
        <w:tc>
          <w:tcPr>
            <w:tcW w:w="217" w:type="dxa"/>
          </w:tcPr>
          <w:p w14:paraId="5833DCF0" w14:textId="77777777" w:rsidR="002C0FD9" w:rsidRPr="00CA25CF" w:rsidRDefault="002C0FD9" w:rsidP="00CA25CF">
            <w:pPr>
              <w:rPr>
                <w:rFonts w:cs="Arial"/>
                <w:color w:val="FF0000"/>
                <w:sz w:val="21"/>
                <w:szCs w:val="21"/>
              </w:rPr>
            </w:pPr>
          </w:p>
        </w:tc>
        <w:tc>
          <w:tcPr>
            <w:tcW w:w="217" w:type="dxa"/>
          </w:tcPr>
          <w:p w14:paraId="58AFBE86" w14:textId="77777777" w:rsidR="002C0FD9" w:rsidRPr="00CA25CF" w:rsidRDefault="002C0FD9" w:rsidP="00CA25CF">
            <w:pPr>
              <w:rPr>
                <w:rFonts w:cs="Arial"/>
                <w:color w:val="FF0000"/>
                <w:sz w:val="21"/>
                <w:szCs w:val="21"/>
              </w:rPr>
            </w:pPr>
          </w:p>
        </w:tc>
        <w:tc>
          <w:tcPr>
            <w:tcW w:w="217" w:type="dxa"/>
          </w:tcPr>
          <w:p w14:paraId="692D04A0" w14:textId="77777777" w:rsidR="002C0FD9" w:rsidRPr="00CA25CF" w:rsidRDefault="002C0FD9" w:rsidP="00CA25CF">
            <w:pPr>
              <w:rPr>
                <w:rFonts w:cs="Arial"/>
                <w:color w:val="FF0000"/>
                <w:sz w:val="21"/>
                <w:szCs w:val="21"/>
              </w:rPr>
            </w:pPr>
          </w:p>
        </w:tc>
        <w:tc>
          <w:tcPr>
            <w:tcW w:w="217" w:type="dxa"/>
          </w:tcPr>
          <w:p w14:paraId="7F17682E" w14:textId="77777777" w:rsidR="002C0FD9" w:rsidRPr="00CA25CF" w:rsidRDefault="002C0FD9" w:rsidP="00CA25CF">
            <w:pPr>
              <w:rPr>
                <w:rFonts w:cs="Arial"/>
                <w:color w:val="FF0000"/>
                <w:sz w:val="21"/>
                <w:szCs w:val="21"/>
              </w:rPr>
            </w:pPr>
          </w:p>
        </w:tc>
        <w:tc>
          <w:tcPr>
            <w:tcW w:w="217" w:type="dxa"/>
          </w:tcPr>
          <w:p w14:paraId="4004A8CB" w14:textId="77777777" w:rsidR="002C0FD9" w:rsidRPr="00CA25CF" w:rsidRDefault="002C0FD9" w:rsidP="00CA25CF">
            <w:pPr>
              <w:rPr>
                <w:rFonts w:cs="Arial"/>
                <w:color w:val="FF0000"/>
                <w:sz w:val="21"/>
                <w:szCs w:val="21"/>
              </w:rPr>
            </w:pPr>
          </w:p>
        </w:tc>
        <w:tc>
          <w:tcPr>
            <w:tcW w:w="217" w:type="dxa"/>
          </w:tcPr>
          <w:p w14:paraId="0DCC45CC" w14:textId="77777777" w:rsidR="002C0FD9" w:rsidRPr="00CA25CF" w:rsidRDefault="002C0FD9" w:rsidP="00CA25CF">
            <w:pPr>
              <w:rPr>
                <w:rFonts w:cs="Arial"/>
                <w:color w:val="FF0000"/>
                <w:sz w:val="21"/>
                <w:szCs w:val="21"/>
              </w:rPr>
            </w:pPr>
          </w:p>
        </w:tc>
        <w:tc>
          <w:tcPr>
            <w:tcW w:w="217" w:type="dxa"/>
          </w:tcPr>
          <w:p w14:paraId="709E529C" w14:textId="77777777" w:rsidR="002C0FD9" w:rsidRPr="00CA25CF" w:rsidRDefault="002C0FD9" w:rsidP="00CA25CF">
            <w:pPr>
              <w:rPr>
                <w:rFonts w:cs="Arial"/>
                <w:color w:val="FF0000"/>
                <w:sz w:val="21"/>
                <w:szCs w:val="21"/>
              </w:rPr>
            </w:pPr>
          </w:p>
        </w:tc>
        <w:tc>
          <w:tcPr>
            <w:tcW w:w="217" w:type="dxa"/>
          </w:tcPr>
          <w:p w14:paraId="04D43106" w14:textId="77777777" w:rsidR="002C0FD9" w:rsidRPr="00CA25CF" w:rsidRDefault="002C0FD9" w:rsidP="00CA25CF">
            <w:pPr>
              <w:rPr>
                <w:rFonts w:cs="Arial"/>
                <w:color w:val="FF0000"/>
                <w:sz w:val="21"/>
                <w:szCs w:val="21"/>
              </w:rPr>
            </w:pPr>
          </w:p>
        </w:tc>
        <w:tc>
          <w:tcPr>
            <w:tcW w:w="217" w:type="dxa"/>
          </w:tcPr>
          <w:p w14:paraId="5B695A84" w14:textId="77777777" w:rsidR="002C0FD9" w:rsidRPr="00CA25CF" w:rsidRDefault="002C0FD9" w:rsidP="00CA25CF">
            <w:pPr>
              <w:rPr>
                <w:rFonts w:cs="Arial"/>
                <w:color w:val="FF0000"/>
                <w:sz w:val="21"/>
                <w:szCs w:val="21"/>
              </w:rPr>
            </w:pPr>
          </w:p>
        </w:tc>
        <w:tc>
          <w:tcPr>
            <w:tcW w:w="217" w:type="dxa"/>
          </w:tcPr>
          <w:p w14:paraId="73C261A7" w14:textId="77777777" w:rsidR="002C0FD9" w:rsidRPr="00CA25CF" w:rsidRDefault="002C0FD9" w:rsidP="00CA25CF">
            <w:pPr>
              <w:rPr>
                <w:rFonts w:cs="Arial"/>
                <w:color w:val="FF0000"/>
                <w:sz w:val="21"/>
                <w:szCs w:val="21"/>
              </w:rPr>
            </w:pPr>
          </w:p>
        </w:tc>
        <w:tc>
          <w:tcPr>
            <w:tcW w:w="217" w:type="dxa"/>
          </w:tcPr>
          <w:p w14:paraId="03292C7F" w14:textId="77777777" w:rsidR="002C0FD9" w:rsidRPr="00CA25CF" w:rsidRDefault="002C0FD9" w:rsidP="00CA25CF">
            <w:pPr>
              <w:rPr>
                <w:rFonts w:cs="Arial"/>
                <w:color w:val="FF0000"/>
                <w:sz w:val="21"/>
                <w:szCs w:val="21"/>
              </w:rPr>
            </w:pPr>
          </w:p>
        </w:tc>
        <w:tc>
          <w:tcPr>
            <w:tcW w:w="217" w:type="dxa"/>
          </w:tcPr>
          <w:p w14:paraId="5D9CBC1B" w14:textId="77777777" w:rsidR="002C0FD9" w:rsidRPr="00CA25CF" w:rsidRDefault="002C0FD9" w:rsidP="00CA25CF">
            <w:pPr>
              <w:rPr>
                <w:rFonts w:cs="Arial"/>
                <w:color w:val="FF0000"/>
                <w:sz w:val="21"/>
                <w:szCs w:val="21"/>
              </w:rPr>
            </w:pPr>
          </w:p>
        </w:tc>
        <w:tc>
          <w:tcPr>
            <w:tcW w:w="217" w:type="dxa"/>
          </w:tcPr>
          <w:p w14:paraId="60E94BF3" w14:textId="77777777" w:rsidR="002C0FD9" w:rsidRPr="00CA25CF" w:rsidRDefault="002C0FD9" w:rsidP="00CA25CF">
            <w:pPr>
              <w:rPr>
                <w:rFonts w:cs="Arial"/>
                <w:color w:val="FF0000"/>
                <w:sz w:val="21"/>
                <w:szCs w:val="21"/>
              </w:rPr>
            </w:pPr>
          </w:p>
        </w:tc>
        <w:tc>
          <w:tcPr>
            <w:tcW w:w="217" w:type="dxa"/>
          </w:tcPr>
          <w:p w14:paraId="71138895" w14:textId="77777777" w:rsidR="002C0FD9" w:rsidRPr="00CA25CF" w:rsidRDefault="002C0FD9" w:rsidP="00CA25CF">
            <w:pPr>
              <w:rPr>
                <w:rFonts w:cs="Arial"/>
                <w:color w:val="FF0000"/>
                <w:sz w:val="21"/>
                <w:szCs w:val="21"/>
              </w:rPr>
            </w:pPr>
          </w:p>
        </w:tc>
        <w:tc>
          <w:tcPr>
            <w:tcW w:w="217" w:type="dxa"/>
          </w:tcPr>
          <w:p w14:paraId="156BBE22" w14:textId="77777777" w:rsidR="002C0FD9" w:rsidRPr="00CA25CF" w:rsidRDefault="002C0FD9" w:rsidP="00CA25CF">
            <w:pPr>
              <w:rPr>
                <w:rFonts w:cs="Arial"/>
                <w:color w:val="FF0000"/>
                <w:sz w:val="21"/>
                <w:szCs w:val="21"/>
              </w:rPr>
            </w:pPr>
          </w:p>
        </w:tc>
        <w:tc>
          <w:tcPr>
            <w:tcW w:w="217" w:type="dxa"/>
          </w:tcPr>
          <w:p w14:paraId="6169D785" w14:textId="77777777" w:rsidR="002C0FD9" w:rsidRPr="00CA25CF" w:rsidRDefault="002C0FD9" w:rsidP="00CA25CF">
            <w:pPr>
              <w:rPr>
                <w:rFonts w:cs="Arial"/>
                <w:color w:val="FF0000"/>
                <w:sz w:val="21"/>
                <w:szCs w:val="21"/>
              </w:rPr>
            </w:pPr>
          </w:p>
        </w:tc>
        <w:tc>
          <w:tcPr>
            <w:tcW w:w="217" w:type="dxa"/>
          </w:tcPr>
          <w:p w14:paraId="347DF9DC" w14:textId="77777777" w:rsidR="002C0FD9" w:rsidRPr="00CA25CF" w:rsidRDefault="002C0FD9" w:rsidP="00CA25CF">
            <w:pPr>
              <w:rPr>
                <w:rFonts w:cs="Arial"/>
                <w:color w:val="FF0000"/>
                <w:sz w:val="21"/>
                <w:szCs w:val="21"/>
              </w:rPr>
            </w:pPr>
          </w:p>
        </w:tc>
        <w:tc>
          <w:tcPr>
            <w:tcW w:w="217" w:type="dxa"/>
          </w:tcPr>
          <w:p w14:paraId="5FE74004" w14:textId="77777777" w:rsidR="002C0FD9" w:rsidRPr="00CA25CF" w:rsidRDefault="002C0FD9" w:rsidP="00CA25CF">
            <w:pPr>
              <w:rPr>
                <w:rFonts w:cs="Arial"/>
                <w:color w:val="FF0000"/>
                <w:sz w:val="21"/>
                <w:szCs w:val="21"/>
              </w:rPr>
            </w:pPr>
          </w:p>
        </w:tc>
        <w:tc>
          <w:tcPr>
            <w:tcW w:w="217" w:type="dxa"/>
          </w:tcPr>
          <w:p w14:paraId="458FC427" w14:textId="77777777" w:rsidR="002C0FD9" w:rsidRPr="00CA25CF" w:rsidRDefault="002C0FD9" w:rsidP="00CA25CF">
            <w:pPr>
              <w:rPr>
                <w:rFonts w:cs="Arial"/>
                <w:color w:val="FF0000"/>
                <w:sz w:val="21"/>
                <w:szCs w:val="21"/>
              </w:rPr>
            </w:pPr>
          </w:p>
        </w:tc>
        <w:tc>
          <w:tcPr>
            <w:tcW w:w="217" w:type="dxa"/>
          </w:tcPr>
          <w:p w14:paraId="3764D8D2" w14:textId="77777777" w:rsidR="002C0FD9" w:rsidRPr="00CA25CF" w:rsidRDefault="002C0FD9" w:rsidP="00CA25CF">
            <w:pPr>
              <w:rPr>
                <w:rFonts w:cs="Arial"/>
                <w:color w:val="FF0000"/>
                <w:sz w:val="21"/>
                <w:szCs w:val="21"/>
              </w:rPr>
            </w:pPr>
          </w:p>
        </w:tc>
        <w:tc>
          <w:tcPr>
            <w:tcW w:w="217" w:type="dxa"/>
          </w:tcPr>
          <w:p w14:paraId="32DEC329" w14:textId="77777777" w:rsidR="002C0FD9" w:rsidRPr="00CA25CF" w:rsidRDefault="002C0FD9" w:rsidP="00CA25CF">
            <w:pPr>
              <w:rPr>
                <w:rFonts w:cs="Arial"/>
                <w:color w:val="FF0000"/>
                <w:sz w:val="21"/>
                <w:szCs w:val="21"/>
              </w:rPr>
            </w:pPr>
          </w:p>
        </w:tc>
      </w:tr>
      <w:tr w:rsidR="002C0FD9" w:rsidRPr="00A16219" w14:paraId="6B2B0546" w14:textId="54EAD363" w:rsidTr="002C0FD9">
        <w:trPr>
          <w:trHeight w:val="635"/>
        </w:trPr>
        <w:tc>
          <w:tcPr>
            <w:tcW w:w="515" w:type="dxa"/>
          </w:tcPr>
          <w:p w14:paraId="370ED0D7" w14:textId="77777777" w:rsidR="002C0FD9" w:rsidRPr="00CA25CF" w:rsidRDefault="002C0FD9" w:rsidP="00CA25CF">
            <w:pPr>
              <w:rPr>
                <w:rFonts w:cs="Arial"/>
                <w:color w:val="FF0000"/>
                <w:sz w:val="21"/>
                <w:szCs w:val="21"/>
              </w:rPr>
            </w:pPr>
          </w:p>
        </w:tc>
        <w:tc>
          <w:tcPr>
            <w:tcW w:w="217" w:type="dxa"/>
          </w:tcPr>
          <w:p w14:paraId="5C7C611A" w14:textId="77777777" w:rsidR="002C0FD9" w:rsidRPr="00CA25CF" w:rsidRDefault="002C0FD9" w:rsidP="00CA25CF">
            <w:pPr>
              <w:rPr>
                <w:rFonts w:cs="Arial"/>
                <w:color w:val="FF0000"/>
                <w:sz w:val="21"/>
                <w:szCs w:val="21"/>
              </w:rPr>
            </w:pPr>
          </w:p>
        </w:tc>
        <w:tc>
          <w:tcPr>
            <w:tcW w:w="217" w:type="dxa"/>
          </w:tcPr>
          <w:p w14:paraId="4E6E8AA4" w14:textId="42C00B40" w:rsidR="002C0FD9" w:rsidRPr="00CA25CF" w:rsidRDefault="002C0FD9" w:rsidP="00CA25CF">
            <w:pPr>
              <w:rPr>
                <w:rFonts w:cs="Arial"/>
                <w:color w:val="FF0000"/>
                <w:sz w:val="21"/>
                <w:szCs w:val="21"/>
              </w:rPr>
            </w:pPr>
          </w:p>
        </w:tc>
        <w:tc>
          <w:tcPr>
            <w:tcW w:w="217" w:type="dxa"/>
          </w:tcPr>
          <w:p w14:paraId="01C99ACF" w14:textId="77777777" w:rsidR="002C0FD9" w:rsidRPr="00CA25CF" w:rsidRDefault="002C0FD9" w:rsidP="00CA25CF">
            <w:pPr>
              <w:rPr>
                <w:rFonts w:cs="Arial"/>
                <w:color w:val="FF0000"/>
                <w:sz w:val="21"/>
                <w:szCs w:val="21"/>
              </w:rPr>
            </w:pPr>
          </w:p>
        </w:tc>
        <w:tc>
          <w:tcPr>
            <w:tcW w:w="217" w:type="dxa"/>
          </w:tcPr>
          <w:p w14:paraId="2E44B9E3" w14:textId="77777777" w:rsidR="002C0FD9" w:rsidRPr="00CA25CF" w:rsidRDefault="002C0FD9" w:rsidP="00CA25CF">
            <w:pPr>
              <w:rPr>
                <w:rFonts w:cs="Arial"/>
                <w:color w:val="FF0000"/>
                <w:sz w:val="21"/>
                <w:szCs w:val="21"/>
              </w:rPr>
            </w:pPr>
          </w:p>
        </w:tc>
        <w:tc>
          <w:tcPr>
            <w:tcW w:w="217" w:type="dxa"/>
          </w:tcPr>
          <w:p w14:paraId="1D9C0645" w14:textId="77777777" w:rsidR="002C0FD9" w:rsidRPr="00CA25CF" w:rsidRDefault="002C0FD9" w:rsidP="00CA25CF">
            <w:pPr>
              <w:rPr>
                <w:rFonts w:cs="Arial"/>
                <w:color w:val="FF0000"/>
                <w:sz w:val="21"/>
                <w:szCs w:val="21"/>
              </w:rPr>
            </w:pPr>
          </w:p>
        </w:tc>
        <w:tc>
          <w:tcPr>
            <w:tcW w:w="217" w:type="dxa"/>
          </w:tcPr>
          <w:p w14:paraId="05A95684" w14:textId="77777777" w:rsidR="002C0FD9" w:rsidRPr="00CA25CF" w:rsidRDefault="002C0FD9" w:rsidP="00CA25CF">
            <w:pPr>
              <w:rPr>
                <w:rFonts w:cs="Arial"/>
                <w:color w:val="FF0000"/>
                <w:sz w:val="21"/>
                <w:szCs w:val="21"/>
              </w:rPr>
            </w:pPr>
          </w:p>
        </w:tc>
        <w:tc>
          <w:tcPr>
            <w:tcW w:w="217" w:type="dxa"/>
          </w:tcPr>
          <w:p w14:paraId="4C68CA70" w14:textId="77777777" w:rsidR="002C0FD9" w:rsidRPr="00CA25CF" w:rsidRDefault="002C0FD9" w:rsidP="00CA25CF">
            <w:pPr>
              <w:rPr>
                <w:rFonts w:cs="Arial"/>
                <w:color w:val="FF0000"/>
                <w:sz w:val="21"/>
                <w:szCs w:val="21"/>
              </w:rPr>
            </w:pPr>
          </w:p>
        </w:tc>
        <w:tc>
          <w:tcPr>
            <w:tcW w:w="217" w:type="dxa"/>
          </w:tcPr>
          <w:p w14:paraId="41E12DF2" w14:textId="77777777" w:rsidR="002C0FD9" w:rsidRPr="00CA25CF" w:rsidRDefault="002C0FD9" w:rsidP="00CA25CF">
            <w:pPr>
              <w:rPr>
                <w:rFonts w:cs="Arial"/>
                <w:color w:val="FF0000"/>
                <w:sz w:val="21"/>
                <w:szCs w:val="21"/>
              </w:rPr>
            </w:pPr>
          </w:p>
        </w:tc>
        <w:tc>
          <w:tcPr>
            <w:tcW w:w="217" w:type="dxa"/>
          </w:tcPr>
          <w:p w14:paraId="76AC85D0" w14:textId="77777777" w:rsidR="002C0FD9" w:rsidRPr="00CA25CF" w:rsidRDefault="002C0FD9" w:rsidP="00CA25CF">
            <w:pPr>
              <w:rPr>
                <w:rFonts w:cs="Arial"/>
                <w:color w:val="FF0000"/>
                <w:sz w:val="21"/>
                <w:szCs w:val="21"/>
              </w:rPr>
            </w:pPr>
          </w:p>
        </w:tc>
        <w:tc>
          <w:tcPr>
            <w:tcW w:w="217" w:type="dxa"/>
          </w:tcPr>
          <w:p w14:paraId="539661CA" w14:textId="77777777" w:rsidR="002C0FD9" w:rsidRPr="00CA25CF" w:rsidRDefault="002C0FD9" w:rsidP="00CA25CF">
            <w:pPr>
              <w:rPr>
                <w:rFonts w:cs="Arial"/>
                <w:color w:val="FF0000"/>
                <w:sz w:val="21"/>
                <w:szCs w:val="21"/>
              </w:rPr>
            </w:pPr>
          </w:p>
        </w:tc>
        <w:tc>
          <w:tcPr>
            <w:tcW w:w="217" w:type="dxa"/>
          </w:tcPr>
          <w:p w14:paraId="4B326B82" w14:textId="77777777" w:rsidR="002C0FD9" w:rsidRPr="00CA25CF" w:rsidRDefault="002C0FD9" w:rsidP="00CA25CF">
            <w:pPr>
              <w:rPr>
                <w:rFonts w:cs="Arial"/>
                <w:color w:val="FF0000"/>
                <w:sz w:val="21"/>
                <w:szCs w:val="21"/>
              </w:rPr>
            </w:pPr>
          </w:p>
        </w:tc>
        <w:tc>
          <w:tcPr>
            <w:tcW w:w="217" w:type="dxa"/>
          </w:tcPr>
          <w:p w14:paraId="68532DFF" w14:textId="77777777" w:rsidR="002C0FD9" w:rsidRPr="00CA25CF" w:rsidRDefault="002C0FD9" w:rsidP="00CA25CF">
            <w:pPr>
              <w:rPr>
                <w:rFonts w:cs="Arial"/>
                <w:color w:val="FF0000"/>
                <w:sz w:val="21"/>
                <w:szCs w:val="21"/>
              </w:rPr>
            </w:pPr>
          </w:p>
        </w:tc>
        <w:tc>
          <w:tcPr>
            <w:tcW w:w="217" w:type="dxa"/>
          </w:tcPr>
          <w:p w14:paraId="5A186C52" w14:textId="77777777" w:rsidR="002C0FD9" w:rsidRPr="00CA25CF" w:rsidRDefault="002C0FD9" w:rsidP="00CA25CF">
            <w:pPr>
              <w:rPr>
                <w:rFonts w:cs="Arial"/>
                <w:color w:val="FF0000"/>
                <w:sz w:val="21"/>
                <w:szCs w:val="21"/>
              </w:rPr>
            </w:pPr>
          </w:p>
        </w:tc>
        <w:tc>
          <w:tcPr>
            <w:tcW w:w="217" w:type="dxa"/>
          </w:tcPr>
          <w:p w14:paraId="76007A13" w14:textId="77777777" w:rsidR="002C0FD9" w:rsidRPr="00CA25CF" w:rsidRDefault="002C0FD9" w:rsidP="00CA25CF">
            <w:pPr>
              <w:rPr>
                <w:rFonts w:cs="Arial"/>
                <w:color w:val="FF0000"/>
                <w:sz w:val="21"/>
                <w:szCs w:val="21"/>
              </w:rPr>
            </w:pPr>
          </w:p>
        </w:tc>
        <w:tc>
          <w:tcPr>
            <w:tcW w:w="217" w:type="dxa"/>
          </w:tcPr>
          <w:p w14:paraId="733D772F" w14:textId="37548E3B" w:rsidR="002C0FD9" w:rsidRPr="00CA25CF" w:rsidRDefault="002C0FD9" w:rsidP="00CA25CF">
            <w:pPr>
              <w:rPr>
                <w:rFonts w:cs="Arial"/>
                <w:color w:val="FF0000"/>
                <w:sz w:val="21"/>
                <w:szCs w:val="21"/>
              </w:rPr>
            </w:pPr>
          </w:p>
        </w:tc>
        <w:tc>
          <w:tcPr>
            <w:tcW w:w="217" w:type="dxa"/>
          </w:tcPr>
          <w:p w14:paraId="181247A1" w14:textId="77777777" w:rsidR="002C0FD9" w:rsidRPr="00CA25CF" w:rsidRDefault="002C0FD9" w:rsidP="00CA25CF">
            <w:pPr>
              <w:rPr>
                <w:rFonts w:cs="Arial"/>
                <w:color w:val="FF0000"/>
                <w:sz w:val="21"/>
                <w:szCs w:val="21"/>
              </w:rPr>
            </w:pPr>
          </w:p>
        </w:tc>
        <w:tc>
          <w:tcPr>
            <w:tcW w:w="217" w:type="dxa"/>
          </w:tcPr>
          <w:p w14:paraId="1052A137" w14:textId="77777777" w:rsidR="002C0FD9" w:rsidRPr="00CA25CF" w:rsidRDefault="002C0FD9" w:rsidP="00CA25CF">
            <w:pPr>
              <w:rPr>
                <w:rFonts w:cs="Arial"/>
                <w:color w:val="FF0000"/>
                <w:sz w:val="21"/>
                <w:szCs w:val="21"/>
              </w:rPr>
            </w:pPr>
          </w:p>
        </w:tc>
        <w:tc>
          <w:tcPr>
            <w:tcW w:w="217" w:type="dxa"/>
          </w:tcPr>
          <w:p w14:paraId="4CFF7786" w14:textId="77777777" w:rsidR="002C0FD9" w:rsidRPr="00CA25CF" w:rsidRDefault="002C0FD9" w:rsidP="00CA25CF">
            <w:pPr>
              <w:rPr>
                <w:rFonts w:cs="Arial"/>
                <w:color w:val="FF0000"/>
                <w:sz w:val="21"/>
                <w:szCs w:val="21"/>
              </w:rPr>
            </w:pPr>
          </w:p>
        </w:tc>
        <w:tc>
          <w:tcPr>
            <w:tcW w:w="217" w:type="dxa"/>
          </w:tcPr>
          <w:p w14:paraId="7F992086" w14:textId="77777777" w:rsidR="002C0FD9" w:rsidRPr="00CA25CF" w:rsidRDefault="002C0FD9" w:rsidP="00CA25CF">
            <w:pPr>
              <w:rPr>
                <w:rFonts w:cs="Arial"/>
                <w:color w:val="FF0000"/>
                <w:sz w:val="21"/>
                <w:szCs w:val="21"/>
              </w:rPr>
            </w:pPr>
          </w:p>
        </w:tc>
        <w:tc>
          <w:tcPr>
            <w:tcW w:w="217" w:type="dxa"/>
          </w:tcPr>
          <w:p w14:paraId="3081B482" w14:textId="77777777" w:rsidR="002C0FD9" w:rsidRPr="00CA25CF" w:rsidRDefault="002C0FD9" w:rsidP="00CA25CF">
            <w:pPr>
              <w:rPr>
                <w:rFonts w:cs="Arial"/>
                <w:color w:val="FF0000"/>
                <w:sz w:val="21"/>
                <w:szCs w:val="21"/>
              </w:rPr>
            </w:pPr>
          </w:p>
        </w:tc>
        <w:tc>
          <w:tcPr>
            <w:tcW w:w="217" w:type="dxa"/>
          </w:tcPr>
          <w:p w14:paraId="7AF6B46B" w14:textId="77777777" w:rsidR="002C0FD9" w:rsidRPr="00CA25CF" w:rsidRDefault="002C0FD9" w:rsidP="00CA25CF">
            <w:pPr>
              <w:rPr>
                <w:rFonts w:cs="Arial"/>
                <w:color w:val="FF0000"/>
                <w:sz w:val="21"/>
                <w:szCs w:val="21"/>
              </w:rPr>
            </w:pPr>
          </w:p>
        </w:tc>
        <w:tc>
          <w:tcPr>
            <w:tcW w:w="217" w:type="dxa"/>
          </w:tcPr>
          <w:p w14:paraId="4FBC5D52" w14:textId="77777777" w:rsidR="002C0FD9" w:rsidRPr="00CA25CF" w:rsidRDefault="002C0FD9" w:rsidP="00CA25CF">
            <w:pPr>
              <w:rPr>
                <w:rFonts w:cs="Arial"/>
                <w:color w:val="FF0000"/>
                <w:sz w:val="21"/>
                <w:szCs w:val="21"/>
              </w:rPr>
            </w:pPr>
          </w:p>
        </w:tc>
        <w:tc>
          <w:tcPr>
            <w:tcW w:w="217" w:type="dxa"/>
          </w:tcPr>
          <w:p w14:paraId="08550343" w14:textId="77777777" w:rsidR="002C0FD9" w:rsidRPr="00CA25CF" w:rsidRDefault="002C0FD9" w:rsidP="00CA25CF">
            <w:pPr>
              <w:rPr>
                <w:rFonts w:cs="Arial"/>
                <w:color w:val="FF0000"/>
                <w:sz w:val="21"/>
                <w:szCs w:val="21"/>
              </w:rPr>
            </w:pPr>
          </w:p>
        </w:tc>
        <w:tc>
          <w:tcPr>
            <w:tcW w:w="217" w:type="dxa"/>
          </w:tcPr>
          <w:p w14:paraId="406AC71B" w14:textId="77777777" w:rsidR="002C0FD9" w:rsidRPr="00CA25CF" w:rsidRDefault="002C0FD9" w:rsidP="00CA25CF">
            <w:pPr>
              <w:rPr>
                <w:rFonts w:cs="Arial"/>
                <w:color w:val="FF0000"/>
                <w:sz w:val="21"/>
                <w:szCs w:val="21"/>
              </w:rPr>
            </w:pPr>
          </w:p>
        </w:tc>
        <w:tc>
          <w:tcPr>
            <w:tcW w:w="217" w:type="dxa"/>
          </w:tcPr>
          <w:p w14:paraId="5B651F43" w14:textId="77777777" w:rsidR="002C0FD9" w:rsidRPr="00CA25CF" w:rsidRDefault="002C0FD9" w:rsidP="00CA25CF">
            <w:pPr>
              <w:rPr>
                <w:rFonts w:cs="Arial"/>
                <w:color w:val="FF0000"/>
                <w:sz w:val="21"/>
                <w:szCs w:val="21"/>
              </w:rPr>
            </w:pPr>
          </w:p>
        </w:tc>
        <w:tc>
          <w:tcPr>
            <w:tcW w:w="217" w:type="dxa"/>
          </w:tcPr>
          <w:p w14:paraId="516D3FFB" w14:textId="77777777" w:rsidR="002C0FD9" w:rsidRPr="00CA25CF" w:rsidRDefault="002C0FD9" w:rsidP="00CA25CF">
            <w:pPr>
              <w:rPr>
                <w:rFonts w:cs="Arial"/>
                <w:color w:val="FF0000"/>
                <w:sz w:val="21"/>
                <w:szCs w:val="21"/>
              </w:rPr>
            </w:pPr>
          </w:p>
        </w:tc>
        <w:tc>
          <w:tcPr>
            <w:tcW w:w="217" w:type="dxa"/>
          </w:tcPr>
          <w:p w14:paraId="673C5693" w14:textId="77777777" w:rsidR="002C0FD9" w:rsidRPr="00CA25CF" w:rsidRDefault="002C0FD9" w:rsidP="00CA25CF">
            <w:pPr>
              <w:rPr>
                <w:rFonts w:cs="Arial"/>
                <w:color w:val="FF0000"/>
                <w:sz w:val="21"/>
                <w:szCs w:val="21"/>
              </w:rPr>
            </w:pPr>
          </w:p>
        </w:tc>
        <w:tc>
          <w:tcPr>
            <w:tcW w:w="217" w:type="dxa"/>
          </w:tcPr>
          <w:p w14:paraId="10D22FCE" w14:textId="77777777" w:rsidR="002C0FD9" w:rsidRPr="00CA25CF" w:rsidRDefault="002C0FD9" w:rsidP="00CA25CF">
            <w:pPr>
              <w:rPr>
                <w:rFonts w:cs="Arial"/>
                <w:color w:val="FF0000"/>
                <w:sz w:val="21"/>
                <w:szCs w:val="21"/>
              </w:rPr>
            </w:pPr>
          </w:p>
        </w:tc>
        <w:tc>
          <w:tcPr>
            <w:tcW w:w="217" w:type="dxa"/>
          </w:tcPr>
          <w:p w14:paraId="6A80A29D" w14:textId="77777777" w:rsidR="002C0FD9" w:rsidRPr="00CA25CF" w:rsidRDefault="002C0FD9" w:rsidP="00CA25CF">
            <w:pPr>
              <w:rPr>
                <w:rFonts w:cs="Arial"/>
                <w:color w:val="FF0000"/>
                <w:sz w:val="21"/>
                <w:szCs w:val="21"/>
              </w:rPr>
            </w:pPr>
          </w:p>
        </w:tc>
        <w:tc>
          <w:tcPr>
            <w:tcW w:w="217" w:type="dxa"/>
          </w:tcPr>
          <w:p w14:paraId="63EB4463" w14:textId="77777777" w:rsidR="002C0FD9" w:rsidRPr="00CA25CF" w:rsidRDefault="002C0FD9" w:rsidP="00CA25CF">
            <w:pPr>
              <w:rPr>
                <w:rFonts w:cs="Arial"/>
                <w:color w:val="FF0000"/>
                <w:sz w:val="21"/>
                <w:szCs w:val="21"/>
              </w:rPr>
            </w:pPr>
          </w:p>
        </w:tc>
        <w:tc>
          <w:tcPr>
            <w:tcW w:w="217" w:type="dxa"/>
          </w:tcPr>
          <w:p w14:paraId="53AB849F" w14:textId="77777777" w:rsidR="002C0FD9" w:rsidRPr="00CA25CF" w:rsidRDefault="002C0FD9" w:rsidP="00CA25CF">
            <w:pPr>
              <w:rPr>
                <w:rFonts w:cs="Arial"/>
                <w:color w:val="FF0000"/>
                <w:sz w:val="21"/>
                <w:szCs w:val="21"/>
              </w:rPr>
            </w:pPr>
          </w:p>
        </w:tc>
        <w:tc>
          <w:tcPr>
            <w:tcW w:w="217" w:type="dxa"/>
          </w:tcPr>
          <w:p w14:paraId="760BAEDC" w14:textId="77777777" w:rsidR="002C0FD9" w:rsidRPr="00CA25CF" w:rsidRDefault="002C0FD9" w:rsidP="00CA25CF">
            <w:pPr>
              <w:rPr>
                <w:rFonts w:cs="Arial"/>
                <w:color w:val="FF0000"/>
                <w:sz w:val="21"/>
                <w:szCs w:val="21"/>
              </w:rPr>
            </w:pPr>
          </w:p>
        </w:tc>
        <w:tc>
          <w:tcPr>
            <w:tcW w:w="217" w:type="dxa"/>
          </w:tcPr>
          <w:p w14:paraId="39402BBA" w14:textId="77777777" w:rsidR="002C0FD9" w:rsidRPr="00CA25CF" w:rsidRDefault="002C0FD9" w:rsidP="00CA25CF">
            <w:pPr>
              <w:rPr>
                <w:rFonts w:cs="Arial"/>
                <w:color w:val="FF0000"/>
                <w:sz w:val="21"/>
                <w:szCs w:val="21"/>
              </w:rPr>
            </w:pPr>
          </w:p>
        </w:tc>
        <w:tc>
          <w:tcPr>
            <w:tcW w:w="217" w:type="dxa"/>
          </w:tcPr>
          <w:p w14:paraId="6DDA5782" w14:textId="77777777" w:rsidR="002C0FD9" w:rsidRPr="00CA25CF" w:rsidRDefault="002C0FD9" w:rsidP="00CA25CF">
            <w:pPr>
              <w:rPr>
                <w:rFonts w:cs="Arial"/>
                <w:color w:val="FF0000"/>
                <w:sz w:val="21"/>
                <w:szCs w:val="21"/>
              </w:rPr>
            </w:pPr>
          </w:p>
        </w:tc>
        <w:tc>
          <w:tcPr>
            <w:tcW w:w="217" w:type="dxa"/>
          </w:tcPr>
          <w:p w14:paraId="6C5C075E" w14:textId="77777777" w:rsidR="002C0FD9" w:rsidRPr="00CA25CF" w:rsidRDefault="002C0FD9" w:rsidP="00CA25CF">
            <w:pPr>
              <w:rPr>
                <w:rFonts w:cs="Arial"/>
                <w:color w:val="FF0000"/>
                <w:sz w:val="21"/>
                <w:szCs w:val="21"/>
              </w:rPr>
            </w:pPr>
          </w:p>
        </w:tc>
        <w:tc>
          <w:tcPr>
            <w:tcW w:w="217" w:type="dxa"/>
          </w:tcPr>
          <w:p w14:paraId="219385A1" w14:textId="77777777" w:rsidR="002C0FD9" w:rsidRPr="00CA25CF" w:rsidRDefault="002C0FD9" w:rsidP="00CA25CF">
            <w:pPr>
              <w:rPr>
                <w:rFonts w:cs="Arial"/>
                <w:color w:val="FF0000"/>
                <w:sz w:val="21"/>
                <w:szCs w:val="21"/>
              </w:rPr>
            </w:pPr>
          </w:p>
        </w:tc>
        <w:tc>
          <w:tcPr>
            <w:tcW w:w="217" w:type="dxa"/>
          </w:tcPr>
          <w:p w14:paraId="337A3B4B" w14:textId="77777777" w:rsidR="002C0FD9" w:rsidRPr="00CA25CF" w:rsidRDefault="002C0FD9" w:rsidP="00CA25CF">
            <w:pPr>
              <w:rPr>
                <w:rFonts w:cs="Arial"/>
                <w:color w:val="FF0000"/>
                <w:sz w:val="21"/>
                <w:szCs w:val="21"/>
              </w:rPr>
            </w:pPr>
          </w:p>
        </w:tc>
        <w:tc>
          <w:tcPr>
            <w:tcW w:w="217" w:type="dxa"/>
          </w:tcPr>
          <w:p w14:paraId="734182DC" w14:textId="77777777" w:rsidR="002C0FD9" w:rsidRPr="00CA25CF" w:rsidRDefault="002C0FD9" w:rsidP="00CA25CF">
            <w:pPr>
              <w:rPr>
                <w:rFonts w:cs="Arial"/>
                <w:color w:val="FF0000"/>
                <w:sz w:val="21"/>
                <w:szCs w:val="21"/>
              </w:rPr>
            </w:pPr>
          </w:p>
        </w:tc>
        <w:tc>
          <w:tcPr>
            <w:tcW w:w="217" w:type="dxa"/>
          </w:tcPr>
          <w:p w14:paraId="3346313A" w14:textId="77777777" w:rsidR="002C0FD9" w:rsidRPr="00CA25CF" w:rsidRDefault="002C0FD9" w:rsidP="00CA25CF">
            <w:pPr>
              <w:rPr>
                <w:rFonts w:cs="Arial"/>
                <w:color w:val="FF0000"/>
                <w:sz w:val="21"/>
                <w:szCs w:val="21"/>
              </w:rPr>
            </w:pPr>
          </w:p>
        </w:tc>
        <w:tc>
          <w:tcPr>
            <w:tcW w:w="217" w:type="dxa"/>
          </w:tcPr>
          <w:p w14:paraId="26DB48ED" w14:textId="77777777" w:rsidR="002C0FD9" w:rsidRPr="00CA25CF" w:rsidRDefault="002C0FD9" w:rsidP="00CA25CF">
            <w:pPr>
              <w:rPr>
                <w:rFonts w:cs="Arial"/>
                <w:color w:val="FF0000"/>
                <w:sz w:val="21"/>
                <w:szCs w:val="21"/>
              </w:rPr>
            </w:pPr>
          </w:p>
        </w:tc>
        <w:tc>
          <w:tcPr>
            <w:tcW w:w="217" w:type="dxa"/>
          </w:tcPr>
          <w:p w14:paraId="4589712E" w14:textId="77777777" w:rsidR="002C0FD9" w:rsidRPr="00CA25CF" w:rsidRDefault="002C0FD9" w:rsidP="00CA25CF">
            <w:pPr>
              <w:rPr>
                <w:rFonts w:cs="Arial"/>
                <w:color w:val="FF0000"/>
                <w:sz w:val="21"/>
                <w:szCs w:val="21"/>
              </w:rPr>
            </w:pPr>
          </w:p>
        </w:tc>
        <w:tc>
          <w:tcPr>
            <w:tcW w:w="217" w:type="dxa"/>
          </w:tcPr>
          <w:p w14:paraId="44C7DDAF" w14:textId="77777777" w:rsidR="002C0FD9" w:rsidRPr="00CA25CF" w:rsidRDefault="002C0FD9" w:rsidP="00CA25CF">
            <w:pPr>
              <w:rPr>
                <w:rFonts w:cs="Arial"/>
                <w:color w:val="FF0000"/>
                <w:sz w:val="21"/>
                <w:szCs w:val="21"/>
              </w:rPr>
            </w:pPr>
          </w:p>
        </w:tc>
      </w:tr>
      <w:tr w:rsidR="002C0FD9" w:rsidRPr="00A16219" w14:paraId="47E0C236" w14:textId="44752E6C" w:rsidTr="002C0FD9">
        <w:trPr>
          <w:trHeight w:val="635"/>
        </w:trPr>
        <w:tc>
          <w:tcPr>
            <w:tcW w:w="515" w:type="dxa"/>
          </w:tcPr>
          <w:p w14:paraId="6C763F6B" w14:textId="77777777" w:rsidR="002C0FD9" w:rsidRPr="00CA25CF" w:rsidRDefault="002C0FD9" w:rsidP="00CA25CF">
            <w:pPr>
              <w:rPr>
                <w:rFonts w:cs="Arial"/>
                <w:color w:val="FF0000"/>
                <w:sz w:val="21"/>
                <w:szCs w:val="21"/>
              </w:rPr>
            </w:pPr>
          </w:p>
        </w:tc>
        <w:tc>
          <w:tcPr>
            <w:tcW w:w="217" w:type="dxa"/>
          </w:tcPr>
          <w:p w14:paraId="3BBCD0AD" w14:textId="77777777" w:rsidR="002C0FD9" w:rsidRPr="00CA25CF" w:rsidRDefault="002C0FD9" w:rsidP="00CA25CF">
            <w:pPr>
              <w:rPr>
                <w:rFonts w:cs="Arial"/>
                <w:color w:val="FF0000"/>
                <w:sz w:val="21"/>
                <w:szCs w:val="21"/>
              </w:rPr>
            </w:pPr>
          </w:p>
        </w:tc>
        <w:tc>
          <w:tcPr>
            <w:tcW w:w="217" w:type="dxa"/>
          </w:tcPr>
          <w:p w14:paraId="0F6BE8C8" w14:textId="3F83BB7F" w:rsidR="002C0FD9" w:rsidRPr="00CA25CF" w:rsidRDefault="002C0FD9" w:rsidP="00CA25CF">
            <w:pPr>
              <w:rPr>
                <w:rFonts w:cs="Arial"/>
                <w:color w:val="FF0000"/>
                <w:sz w:val="21"/>
                <w:szCs w:val="21"/>
              </w:rPr>
            </w:pPr>
          </w:p>
        </w:tc>
        <w:tc>
          <w:tcPr>
            <w:tcW w:w="217" w:type="dxa"/>
          </w:tcPr>
          <w:p w14:paraId="39CDEC57" w14:textId="77777777" w:rsidR="002C0FD9" w:rsidRPr="00CA25CF" w:rsidRDefault="002C0FD9" w:rsidP="00CA25CF">
            <w:pPr>
              <w:rPr>
                <w:rFonts w:cs="Arial"/>
                <w:color w:val="FF0000"/>
                <w:sz w:val="21"/>
                <w:szCs w:val="21"/>
              </w:rPr>
            </w:pPr>
          </w:p>
        </w:tc>
        <w:tc>
          <w:tcPr>
            <w:tcW w:w="217" w:type="dxa"/>
          </w:tcPr>
          <w:p w14:paraId="2BF09B7A" w14:textId="77777777" w:rsidR="002C0FD9" w:rsidRPr="00CA25CF" w:rsidRDefault="002C0FD9" w:rsidP="00CA25CF">
            <w:pPr>
              <w:rPr>
                <w:rFonts w:cs="Arial"/>
                <w:color w:val="FF0000"/>
                <w:sz w:val="21"/>
                <w:szCs w:val="21"/>
              </w:rPr>
            </w:pPr>
          </w:p>
        </w:tc>
        <w:tc>
          <w:tcPr>
            <w:tcW w:w="217" w:type="dxa"/>
          </w:tcPr>
          <w:p w14:paraId="488950F1" w14:textId="77777777" w:rsidR="002C0FD9" w:rsidRPr="00CA25CF" w:rsidRDefault="002C0FD9" w:rsidP="00CA25CF">
            <w:pPr>
              <w:rPr>
                <w:rFonts w:cs="Arial"/>
                <w:color w:val="FF0000"/>
                <w:sz w:val="21"/>
                <w:szCs w:val="21"/>
              </w:rPr>
            </w:pPr>
          </w:p>
        </w:tc>
        <w:tc>
          <w:tcPr>
            <w:tcW w:w="217" w:type="dxa"/>
          </w:tcPr>
          <w:p w14:paraId="56F2FB2D" w14:textId="77777777" w:rsidR="002C0FD9" w:rsidRPr="00CA25CF" w:rsidRDefault="002C0FD9" w:rsidP="00CA25CF">
            <w:pPr>
              <w:rPr>
                <w:rFonts w:cs="Arial"/>
                <w:color w:val="FF0000"/>
                <w:sz w:val="21"/>
                <w:szCs w:val="21"/>
              </w:rPr>
            </w:pPr>
          </w:p>
        </w:tc>
        <w:tc>
          <w:tcPr>
            <w:tcW w:w="217" w:type="dxa"/>
          </w:tcPr>
          <w:p w14:paraId="429ACE15" w14:textId="77777777" w:rsidR="002C0FD9" w:rsidRPr="00CA25CF" w:rsidRDefault="002C0FD9" w:rsidP="00CA25CF">
            <w:pPr>
              <w:rPr>
                <w:rFonts w:cs="Arial"/>
                <w:color w:val="FF0000"/>
                <w:sz w:val="21"/>
                <w:szCs w:val="21"/>
              </w:rPr>
            </w:pPr>
          </w:p>
        </w:tc>
        <w:tc>
          <w:tcPr>
            <w:tcW w:w="217" w:type="dxa"/>
          </w:tcPr>
          <w:p w14:paraId="0BCB8B4A" w14:textId="77777777" w:rsidR="002C0FD9" w:rsidRPr="00CA25CF" w:rsidRDefault="002C0FD9" w:rsidP="00CA25CF">
            <w:pPr>
              <w:rPr>
                <w:rFonts w:cs="Arial"/>
                <w:color w:val="FF0000"/>
                <w:sz w:val="21"/>
                <w:szCs w:val="21"/>
              </w:rPr>
            </w:pPr>
          </w:p>
        </w:tc>
        <w:tc>
          <w:tcPr>
            <w:tcW w:w="217" w:type="dxa"/>
          </w:tcPr>
          <w:p w14:paraId="1AAB4B3C" w14:textId="77777777" w:rsidR="002C0FD9" w:rsidRPr="00CA25CF" w:rsidRDefault="002C0FD9" w:rsidP="00CA25CF">
            <w:pPr>
              <w:rPr>
                <w:rFonts w:cs="Arial"/>
                <w:color w:val="FF0000"/>
                <w:sz w:val="21"/>
                <w:szCs w:val="21"/>
              </w:rPr>
            </w:pPr>
          </w:p>
        </w:tc>
        <w:tc>
          <w:tcPr>
            <w:tcW w:w="217" w:type="dxa"/>
          </w:tcPr>
          <w:p w14:paraId="3871FCDD" w14:textId="77777777" w:rsidR="002C0FD9" w:rsidRPr="00CA25CF" w:rsidRDefault="002C0FD9" w:rsidP="00CA25CF">
            <w:pPr>
              <w:rPr>
                <w:rFonts w:cs="Arial"/>
                <w:color w:val="FF0000"/>
                <w:sz w:val="21"/>
                <w:szCs w:val="21"/>
              </w:rPr>
            </w:pPr>
          </w:p>
        </w:tc>
        <w:tc>
          <w:tcPr>
            <w:tcW w:w="217" w:type="dxa"/>
          </w:tcPr>
          <w:p w14:paraId="07FE6961" w14:textId="77777777" w:rsidR="002C0FD9" w:rsidRPr="00CA25CF" w:rsidRDefault="002C0FD9" w:rsidP="00CA25CF">
            <w:pPr>
              <w:rPr>
                <w:rFonts w:cs="Arial"/>
                <w:color w:val="FF0000"/>
                <w:sz w:val="21"/>
                <w:szCs w:val="21"/>
              </w:rPr>
            </w:pPr>
          </w:p>
        </w:tc>
        <w:tc>
          <w:tcPr>
            <w:tcW w:w="217" w:type="dxa"/>
          </w:tcPr>
          <w:p w14:paraId="461D5F77" w14:textId="77777777" w:rsidR="002C0FD9" w:rsidRPr="00CA25CF" w:rsidRDefault="002C0FD9" w:rsidP="00CA25CF">
            <w:pPr>
              <w:rPr>
                <w:rFonts w:cs="Arial"/>
                <w:color w:val="FF0000"/>
                <w:sz w:val="21"/>
                <w:szCs w:val="21"/>
              </w:rPr>
            </w:pPr>
          </w:p>
        </w:tc>
        <w:tc>
          <w:tcPr>
            <w:tcW w:w="217" w:type="dxa"/>
          </w:tcPr>
          <w:p w14:paraId="6FE43F08" w14:textId="77777777" w:rsidR="002C0FD9" w:rsidRPr="00CA25CF" w:rsidRDefault="002C0FD9" w:rsidP="00CA25CF">
            <w:pPr>
              <w:rPr>
                <w:rFonts w:cs="Arial"/>
                <w:color w:val="FF0000"/>
                <w:sz w:val="21"/>
                <w:szCs w:val="21"/>
              </w:rPr>
            </w:pPr>
          </w:p>
        </w:tc>
        <w:tc>
          <w:tcPr>
            <w:tcW w:w="217" w:type="dxa"/>
          </w:tcPr>
          <w:p w14:paraId="2252F7D7" w14:textId="77777777" w:rsidR="002C0FD9" w:rsidRPr="00CA25CF" w:rsidRDefault="002C0FD9" w:rsidP="00CA25CF">
            <w:pPr>
              <w:rPr>
                <w:rFonts w:cs="Arial"/>
                <w:color w:val="FF0000"/>
                <w:sz w:val="21"/>
                <w:szCs w:val="21"/>
              </w:rPr>
            </w:pPr>
          </w:p>
        </w:tc>
        <w:tc>
          <w:tcPr>
            <w:tcW w:w="217" w:type="dxa"/>
          </w:tcPr>
          <w:p w14:paraId="6FE313B2" w14:textId="58D55931" w:rsidR="002C0FD9" w:rsidRPr="00CA25CF" w:rsidRDefault="002C0FD9" w:rsidP="00CA25CF">
            <w:pPr>
              <w:rPr>
                <w:rFonts w:cs="Arial"/>
                <w:color w:val="FF0000"/>
                <w:sz w:val="21"/>
                <w:szCs w:val="21"/>
              </w:rPr>
            </w:pPr>
          </w:p>
        </w:tc>
        <w:tc>
          <w:tcPr>
            <w:tcW w:w="217" w:type="dxa"/>
          </w:tcPr>
          <w:p w14:paraId="7577918A" w14:textId="77777777" w:rsidR="002C0FD9" w:rsidRPr="00CA25CF" w:rsidRDefault="002C0FD9" w:rsidP="00CA25CF">
            <w:pPr>
              <w:rPr>
                <w:rFonts w:cs="Arial"/>
                <w:color w:val="FF0000"/>
                <w:sz w:val="21"/>
                <w:szCs w:val="21"/>
              </w:rPr>
            </w:pPr>
          </w:p>
        </w:tc>
        <w:tc>
          <w:tcPr>
            <w:tcW w:w="217" w:type="dxa"/>
          </w:tcPr>
          <w:p w14:paraId="07176155" w14:textId="77777777" w:rsidR="002C0FD9" w:rsidRPr="00CA25CF" w:rsidRDefault="002C0FD9" w:rsidP="00CA25CF">
            <w:pPr>
              <w:rPr>
                <w:rFonts w:cs="Arial"/>
                <w:color w:val="FF0000"/>
                <w:sz w:val="21"/>
                <w:szCs w:val="21"/>
              </w:rPr>
            </w:pPr>
          </w:p>
        </w:tc>
        <w:tc>
          <w:tcPr>
            <w:tcW w:w="217" w:type="dxa"/>
          </w:tcPr>
          <w:p w14:paraId="26FDB9A5" w14:textId="77777777" w:rsidR="002C0FD9" w:rsidRPr="00CA25CF" w:rsidRDefault="002C0FD9" w:rsidP="00CA25CF">
            <w:pPr>
              <w:rPr>
                <w:rFonts w:cs="Arial"/>
                <w:color w:val="FF0000"/>
                <w:sz w:val="21"/>
                <w:szCs w:val="21"/>
              </w:rPr>
            </w:pPr>
          </w:p>
        </w:tc>
        <w:tc>
          <w:tcPr>
            <w:tcW w:w="217" w:type="dxa"/>
          </w:tcPr>
          <w:p w14:paraId="6EC7B885" w14:textId="77777777" w:rsidR="002C0FD9" w:rsidRPr="00CA25CF" w:rsidRDefault="002C0FD9" w:rsidP="00CA25CF">
            <w:pPr>
              <w:rPr>
                <w:rFonts w:cs="Arial"/>
                <w:color w:val="FF0000"/>
                <w:sz w:val="21"/>
                <w:szCs w:val="21"/>
              </w:rPr>
            </w:pPr>
          </w:p>
        </w:tc>
        <w:tc>
          <w:tcPr>
            <w:tcW w:w="217" w:type="dxa"/>
          </w:tcPr>
          <w:p w14:paraId="7EFEAE63" w14:textId="77777777" w:rsidR="002C0FD9" w:rsidRPr="00CA25CF" w:rsidRDefault="002C0FD9" w:rsidP="00CA25CF">
            <w:pPr>
              <w:rPr>
                <w:rFonts w:cs="Arial"/>
                <w:color w:val="FF0000"/>
                <w:sz w:val="21"/>
                <w:szCs w:val="21"/>
              </w:rPr>
            </w:pPr>
          </w:p>
        </w:tc>
        <w:tc>
          <w:tcPr>
            <w:tcW w:w="217" w:type="dxa"/>
          </w:tcPr>
          <w:p w14:paraId="0B7517B6" w14:textId="77777777" w:rsidR="002C0FD9" w:rsidRPr="00CA25CF" w:rsidRDefault="002C0FD9" w:rsidP="00CA25CF">
            <w:pPr>
              <w:rPr>
                <w:rFonts w:cs="Arial"/>
                <w:color w:val="FF0000"/>
                <w:sz w:val="21"/>
                <w:szCs w:val="21"/>
              </w:rPr>
            </w:pPr>
          </w:p>
        </w:tc>
        <w:tc>
          <w:tcPr>
            <w:tcW w:w="217" w:type="dxa"/>
          </w:tcPr>
          <w:p w14:paraId="5E82CF1B" w14:textId="77777777" w:rsidR="002C0FD9" w:rsidRPr="00CA25CF" w:rsidRDefault="002C0FD9" w:rsidP="00CA25CF">
            <w:pPr>
              <w:rPr>
                <w:rFonts w:cs="Arial"/>
                <w:color w:val="FF0000"/>
                <w:sz w:val="21"/>
                <w:szCs w:val="21"/>
              </w:rPr>
            </w:pPr>
          </w:p>
        </w:tc>
        <w:tc>
          <w:tcPr>
            <w:tcW w:w="217" w:type="dxa"/>
          </w:tcPr>
          <w:p w14:paraId="5B5031E6" w14:textId="77777777" w:rsidR="002C0FD9" w:rsidRPr="00CA25CF" w:rsidRDefault="002C0FD9" w:rsidP="00CA25CF">
            <w:pPr>
              <w:rPr>
                <w:rFonts w:cs="Arial"/>
                <w:color w:val="FF0000"/>
                <w:sz w:val="21"/>
                <w:szCs w:val="21"/>
              </w:rPr>
            </w:pPr>
          </w:p>
        </w:tc>
        <w:tc>
          <w:tcPr>
            <w:tcW w:w="217" w:type="dxa"/>
          </w:tcPr>
          <w:p w14:paraId="2E971E65" w14:textId="77777777" w:rsidR="002C0FD9" w:rsidRPr="00CA25CF" w:rsidRDefault="002C0FD9" w:rsidP="00CA25CF">
            <w:pPr>
              <w:rPr>
                <w:rFonts w:cs="Arial"/>
                <w:color w:val="FF0000"/>
                <w:sz w:val="21"/>
                <w:szCs w:val="21"/>
              </w:rPr>
            </w:pPr>
          </w:p>
        </w:tc>
        <w:tc>
          <w:tcPr>
            <w:tcW w:w="217" w:type="dxa"/>
          </w:tcPr>
          <w:p w14:paraId="7675DA5C" w14:textId="77777777" w:rsidR="002C0FD9" w:rsidRPr="00CA25CF" w:rsidRDefault="002C0FD9" w:rsidP="00CA25CF">
            <w:pPr>
              <w:rPr>
                <w:rFonts w:cs="Arial"/>
                <w:color w:val="FF0000"/>
                <w:sz w:val="21"/>
                <w:szCs w:val="21"/>
              </w:rPr>
            </w:pPr>
          </w:p>
        </w:tc>
        <w:tc>
          <w:tcPr>
            <w:tcW w:w="217" w:type="dxa"/>
          </w:tcPr>
          <w:p w14:paraId="2246FB2D" w14:textId="77777777" w:rsidR="002C0FD9" w:rsidRPr="00CA25CF" w:rsidRDefault="002C0FD9" w:rsidP="00CA25CF">
            <w:pPr>
              <w:rPr>
                <w:rFonts w:cs="Arial"/>
                <w:color w:val="FF0000"/>
                <w:sz w:val="21"/>
                <w:szCs w:val="21"/>
              </w:rPr>
            </w:pPr>
          </w:p>
        </w:tc>
        <w:tc>
          <w:tcPr>
            <w:tcW w:w="217" w:type="dxa"/>
          </w:tcPr>
          <w:p w14:paraId="181EBBA7" w14:textId="77777777" w:rsidR="002C0FD9" w:rsidRPr="00CA25CF" w:rsidRDefault="002C0FD9" w:rsidP="00CA25CF">
            <w:pPr>
              <w:rPr>
                <w:rFonts w:cs="Arial"/>
                <w:color w:val="FF0000"/>
                <w:sz w:val="21"/>
                <w:szCs w:val="21"/>
              </w:rPr>
            </w:pPr>
          </w:p>
        </w:tc>
        <w:tc>
          <w:tcPr>
            <w:tcW w:w="217" w:type="dxa"/>
          </w:tcPr>
          <w:p w14:paraId="6E11A206" w14:textId="77777777" w:rsidR="002C0FD9" w:rsidRPr="00CA25CF" w:rsidRDefault="002C0FD9" w:rsidP="00CA25CF">
            <w:pPr>
              <w:rPr>
                <w:rFonts w:cs="Arial"/>
                <w:color w:val="FF0000"/>
                <w:sz w:val="21"/>
                <w:szCs w:val="21"/>
              </w:rPr>
            </w:pPr>
          </w:p>
        </w:tc>
        <w:tc>
          <w:tcPr>
            <w:tcW w:w="217" w:type="dxa"/>
          </w:tcPr>
          <w:p w14:paraId="3581AE66" w14:textId="77777777" w:rsidR="002C0FD9" w:rsidRPr="00CA25CF" w:rsidRDefault="002C0FD9" w:rsidP="00CA25CF">
            <w:pPr>
              <w:rPr>
                <w:rFonts w:cs="Arial"/>
                <w:color w:val="FF0000"/>
                <w:sz w:val="21"/>
                <w:szCs w:val="21"/>
              </w:rPr>
            </w:pPr>
          </w:p>
        </w:tc>
        <w:tc>
          <w:tcPr>
            <w:tcW w:w="217" w:type="dxa"/>
          </w:tcPr>
          <w:p w14:paraId="4B0C6063" w14:textId="77777777" w:rsidR="002C0FD9" w:rsidRPr="00CA25CF" w:rsidRDefault="002C0FD9" w:rsidP="00CA25CF">
            <w:pPr>
              <w:rPr>
                <w:rFonts w:cs="Arial"/>
                <w:color w:val="FF0000"/>
                <w:sz w:val="21"/>
                <w:szCs w:val="21"/>
              </w:rPr>
            </w:pPr>
          </w:p>
        </w:tc>
        <w:tc>
          <w:tcPr>
            <w:tcW w:w="217" w:type="dxa"/>
          </w:tcPr>
          <w:p w14:paraId="34DA8DEF" w14:textId="77777777" w:rsidR="002C0FD9" w:rsidRPr="00CA25CF" w:rsidRDefault="002C0FD9" w:rsidP="00CA25CF">
            <w:pPr>
              <w:rPr>
                <w:rFonts w:cs="Arial"/>
                <w:color w:val="FF0000"/>
                <w:sz w:val="21"/>
                <w:szCs w:val="21"/>
              </w:rPr>
            </w:pPr>
          </w:p>
        </w:tc>
        <w:tc>
          <w:tcPr>
            <w:tcW w:w="217" w:type="dxa"/>
          </w:tcPr>
          <w:p w14:paraId="3F83C6BE" w14:textId="77777777" w:rsidR="002C0FD9" w:rsidRPr="00CA25CF" w:rsidRDefault="002C0FD9" w:rsidP="00CA25CF">
            <w:pPr>
              <w:rPr>
                <w:rFonts w:cs="Arial"/>
                <w:color w:val="FF0000"/>
                <w:sz w:val="21"/>
                <w:szCs w:val="21"/>
              </w:rPr>
            </w:pPr>
          </w:p>
        </w:tc>
        <w:tc>
          <w:tcPr>
            <w:tcW w:w="217" w:type="dxa"/>
          </w:tcPr>
          <w:p w14:paraId="3D6C345A" w14:textId="77777777" w:rsidR="002C0FD9" w:rsidRPr="00CA25CF" w:rsidRDefault="002C0FD9" w:rsidP="00CA25CF">
            <w:pPr>
              <w:rPr>
                <w:rFonts w:cs="Arial"/>
                <w:color w:val="FF0000"/>
                <w:sz w:val="21"/>
                <w:szCs w:val="21"/>
              </w:rPr>
            </w:pPr>
          </w:p>
        </w:tc>
        <w:tc>
          <w:tcPr>
            <w:tcW w:w="217" w:type="dxa"/>
          </w:tcPr>
          <w:p w14:paraId="7B21258D" w14:textId="77777777" w:rsidR="002C0FD9" w:rsidRPr="00CA25CF" w:rsidRDefault="002C0FD9" w:rsidP="00CA25CF">
            <w:pPr>
              <w:rPr>
                <w:rFonts w:cs="Arial"/>
                <w:color w:val="FF0000"/>
                <w:sz w:val="21"/>
                <w:szCs w:val="21"/>
              </w:rPr>
            </w:pPr>
          </w:p>
        </w:tc>
        <w:tc>
          <w:tcPr>
            <w:tcW w:w="217" w:type="dxa"/>
          </w:tcPr>
          <w:p w14:paraId="41AA8FA7" w14:textId="77777777" w:rsidR="002C0FD9" w:rsidRPr="00CA25CF" w:rsidRDefault="002C0FD9" w:rsidP="00CA25CF">
            <w:pPr>
              <w:rPr>
                <w:rFonts w:cs="Arial"/>
                <w:color w:val="FF0000"/>
                <w:sz w:val="21"/>
                <w:szCs w:val="21"/>
              </w:rPr>
            </w:pPr>
          </w:p>
        </w:tc>
        <w:tc>
          <w:tcPr>
            <w:tcW w:w="217" w:type="dxa"/>
          </w:tcPr>
          <w:p w14:paraId="4755D60E" w14:textId="77777777" w:rsidR="002C0FD9" w:rsidRPr="00CA25CF" w:rsidRDefault="002C0FD9" w:rsidP="00CA25CF">
            <w:pPr>
              <w:rPr>
                <w:rFonts w:cs="Arial"/>
                <w:color w:val="FF0000"/>
                <w:sz w:val="21"/>
                <w:szCs w:val="21"/>
              </w:rPr>
            </w:pPr>
          </w:p>
        </w:tc>
        <w:tc>
          <w:tcPr>
            <w:tcW w:w="217" w:type="dxa"/>
          </w:tcPr>
          <w:p w14:paraId="4301AF80" w14:textId="77777777" w:rsidR="002C0FD9" w:rsidRPr="00CA25CF" w:rsidRDefault="002C0FD9" w:rsidP="00CA25CF">
            <w:pPr>
              <w:rPr>
                <w:rFonts w:cs="Arial"/>
                <w:color w:val="FF0000"/>
                <w:sz w:val="21"/>
                <w:szCs w:val="21"/>
              </w:rPr>
            </w:pPr>
          </w:p>
        </w:tc>
        <w:tc>
          <w:tcPr>
            <w:tcW w:w="217" w:type="dxa"/>
          </w:tcPr>
          <w:p w14:paraId="32B6A83A" w14:textId="77777777" w:rsidR="002C0FD9" w:rsidRPr="00CA25CF" w:rsidRDefault="002C0FD9" w:rsidP="00CA25CF">
            <w:pPr>
              <w:rPr>
                <w:rFonts w:cs="Arial"/>
                <w:color w:val="FF0000"/>
                <w:sz w:val="21"/>
                <w:szCs w:val="21"/>
              </w:rPr>
            </w:pPr>
          </w:p>
        </w:tc>
        <w:tc>
          <w:tcPr>
            <w:tcW w:w="217" w:type="dxa"/>
          </w:tcPr>
          <w:p w14:paraId="24609409" w14:textId="77777777" w:rsidR="002C0FD9" w:rsidRPr="00CA25CF" w:rsidRDefault="002C0FD9" w:rsidP="00CA25CF">
            <w:pPr>
              <w:rPr>
                <w:rFonts w:cs="Arial"/>
                <w:color w:val="FF0000"/>
                <w:sz w:val="21"/>
                <w:szCs w:val="21"/>
              </w:rPr>
            </w:pPr>
          </w:p>
        </w:tc>
        <w:tc>
          <w:tcPr>
            <w:tcW w:w="217" w:type="dxa"/>
          </w:tcPr>
          <w:p w14:paraId="281BE461" w14:textId="77777777" w:rsidR="002C0FD9" w:rsidRPr="00CA25CF" w:rsidRDefault="002C0FD9" w:rsidP="00CA25CF">
            <w:pPr>
              <w:rPr>
                <w:rFonts w:cs="Arial"/>
                <w:color w:val="FF0000"/>
                <w:sz w:val="21"/>
                <w:szCs w:val="21"/>
              </w:rPr>
            </w:pPr>
          </w:p>
        </w:tc>
        <w:tc>
          <w:tcPr>
            <w:tcW w:w="217" w:type="dxa"/>
          </w:tcPr>
          <w:p w14:paraId="51151F2D" w14:textId="77777777" w:rsidR="002C0FD9" w:rsidRPr="00CA25CF" w:rsidRDefault="002C0FD9" w:rsidP="00CA25CF">
            <w:pPr>
              <w:rPr>
                <w:rFonts w:cs="Arial"/>
                <w:color w:val="FF0000"/>
                <w:sz w:val="21"/>
                <w:szCs w:val="21"/>
              </w:rPr>
            </w:pPr>
          </w:p>
        </w:tc>
        <w:tc>
          <w:tcPr>
            <w:tcW w:w="217" w:type="dxa"/>
          </w:tcPr>
          <w:p w14:paraId="3259D532" w14:textId="77777777" w:rsidR="002C0FD9" w:rsidRPr="00CA25CF" w:rsidRDefault="002C0FD9" w:rsidP="00CA25CF">
            <w:pPr>
              <w:rPr>
                <w:rFonts w:cs="Arial"/>
                <w:color w:val="FF0000"/>
                <w:sz w:val="21"/>
                <w:szCs w:val="21"/>
              </w:rPr>
            </w:pPr>
          </w:p>
        </w:tc>
      </w:tr>
      <w:tr w:rsidR="002C0FD9" w:rsidRPr="00A16219" w14:paraId="200392DA" w14:textId="65E2F350" w:rsidTr="002C0FD9">
        <w:trPr>
          <w:trHeight w:val="635"/>
        </w:trPr>
        <w:tc>
          <w:tcPr>
            <w:tcW w:w="515" w:type="dxa"/>
          </w:tcPr>
          <w:p w14:paraId="14876F81" w14:textId="77777777" w:rsidR="002C0FD9" w:rsidRPr="00CA25CF" w:rsidRDefault="002C0FD9" w:rsidP="00CA25CF">
            <w:pPr>
              <w:rPr>
                <w:rFonts w:cs="Arial"/>
                <w:color w:val="FF0000"/>
                <w:sz w:val="21"/>
                <w:szCs w:val="21"/>
              </w:rPr>
            </w:pPr>
          </w:p>
        </w:tc>
        <w:tc>
          <w:tcPr>
            <w:tcW w:w="217" w:type="dxa"/>
          </w:tcPr>
          <w:p w14:paraId="4F4C2353" w14:textId="77777777" w:rsidR="002C0FD9" w:rsidRPr="00CA25CF" w:rsidRDefault="002C0FD9" w:rsidP="00CA25CF">
            <w:pPr>
              <w:rPr>
                <w:rFonts w:cs="Arial"/>
                <w:color w:val="FF0000"/>
                <w:sz w:val="21"/>
                <w:szCs w:val="21"/>
              </w:rPr>
            </w:pPr>
          </w:p>
        </w:tc>
        <w:tc>
          <w:tcPr>
            <w:tcW w:w="217" w:type="dxa"/>
          </w:tcPr>
          <w:p w14:paraId="2ACD7232" w14:textId="6CFD5FAB" w:rsidR="002C0FD9" w:rsidRPr="00CA25CF" w:rsidRDefault="002C0FD9" w:rsidP="00CA25CF">
            <w:pPr>
              <w:rPr>
                <w:rFonts w:cs="Arial"/>
                <w:color w:val="FF0000"/>
                <w:sz w:val="21"/>
                <w:szCs w:val="21"/>
              </w:rPr>
            </w:pPr>
          </w:p>
        </w:tc>
        <w:tc>
          <w:tcPr>
            <w:tcW w:w="217" w:type="dxa"/>
          </w:tcPr>
          <w:p w14:paraId="26A2A2D6" w14:textId="77777777" w:rsidR="002C0FD9" w:rsidRPr="00CA25CF" w:rsidRDefault="002C0FD9" w:rsidP="00CA25CF">
            <w:pPr>
              <w:rPr>
                <w:rFonts w:cs="Arial"/>
                <w:color w:val="FF0000"/>
                <w:sz w:val="21"/>
                <w:szCs w:val="21"/>
              </w:rPr>
            </w:pPr>
          </w:p>
        </w:tc>
        <w:tc>
          <w:tcPr>
            <w:tcW w:w="217" w:type="dxa"/>
          </w:tcPr>
          <w:p w14:paraId="484DA7D6" w14:textId="77777777" w:rsidR="002C0FD9" w:rsidRPr="00CA25CF" w:rsidRDefault="002C0FD9" w:rsidP="00CA25CF">
            <w:pPr>
              <w:rPr>
                <w:rFonts w:cs="Arial"/>
                <w:color w:val="FF0000"/>
                <w:sz w:val="21"/>
                <w:szCs w:val="21"/>
              </w:rPr>
            </w:pPr>
          </w:p>
        </w:tc>
        <w:tc>
          <w:tcPr>
            <w:tcW w:w="217" w:type="dxa"/>
          </w:tcPr>
          <w:p w14:paraId="662C8A24" w14:textId="77777777" w:rsidR="002C0FD9" w:rsidRPr="00CA25CF" w:rsidRDefault="002C0FD9" w:rsidP="00CA25CF">
            <w:pPr>
              <w:rPr>
                <w:rFonts w:cs="Arial"/>
                <w:color w:val="FF0000"/>
                <w:sz w:val="21"/>
                <w:szCs w:val="21"/>
              </w:rPr>
            </w:pPr>
          </w:p>
        </w:tc>
        <w:tc>
          <w:tcPr>
            <w:tcW w:w="217" w:type="dxa"/>
          </w:tcPr>
          <w:p w14:paraId="55BC7945" w14:textId="77777777" w:rsidR="002C0FD9" w:rsidRPr="00CA25CF" w:rsidRDefault="002C0FD9" w:rsidP="00CA25CF">
            <w:pPr>
              <w:rPr>
                <w:rFonts w:cs="Arial"/>
                <w:color w:val="FF0000"/>
                <w:sz w:val="21"/>
                <w:szCs w:val="21"/>
              </w:rPr>
            </w:pPr>
          </w:p>
        </w:tc>
        <w:tc>
          <w:tcPr>
            <w:tcW w:w="217" w:type="dxa"/>
          </w:tcPr>
          <w:p w14:paraId="3A851F03" w14:textId="77777777" w:rsidR="002C0FD9" w:rsidRPr="00CA25CF" w:rsidRDefault="002C0FD9" w:rsidP="00CA25CF">
            <w:pPr>
              <w:rPr>
                <w:rFonts w:cs="Arial"/>
                <w:color w:val="FF0000"/>
                <w:sz w:val="21"/>
                <w:szCs w:val="21"/>
              </w:rPr>
            </w:pPr>
          </w:p>
        </w:tc>
        <w:tc>
          <w:tcPr>
            <w:tcW w:w="217" w:type="dxa"/>
          </w:tcPr>
          <w:p w14:paraId="13070EB0" w14:textId="77777777" w:rsidR="002C0FD9" w:rsidRPr="00CA25CF" w:rsidRDefault="002C0FD9" w:rsidP="00CA25CF">
            <w:pPr>
              <w:rPr>
                <w:rFonts w:cs="Arial"/>
                <w:color w:val="FF0000"/>
                <w:sz w:val="21"/>
                <w:szCs w:val="21"/>
              </w:rPr>
            </w:pPr>
          </w:p>
        </w:tc>
        <w:tc>
          <w:tcPr>
            <w:tcW w:w="217" w:type="dxa"/>
          </w:tcPr>
          <w:p w14:paraId="10CB3E19" w14:textId="77777777" w:rsidR="002C0FD9" w:rsidRPr="00CA25CF" w:rsidRDefault="002C0FD9" w:rsidP="00CA25CF">
            <w:pPr>
              <w:rPr>
                <w:rFonts w:cs="Arial"/>
                <w:color w:val="FF0000"/>
                <w:sz w:val="21"/>
                <w:szCs w:val="21"/>
              </w:rPr>
            </w:pPr>
          </w:p>
        </w:tc>
        <w:tc>
          <w:tcPr>
            <w:tcW w:w="217" w:type="dxa"/>
          </w:tcPr>
          <w:p w14:paraId="6019F57C" w14:textId="77777777" w:rsidR="002C0FD9" w:rsidRPr="00CA25CF" w:rsidRDefault="002C0FD9" w:rsidP="00CA25CF">
            <w:pPr>
              <w:rPr>
                <w:rFonts w:cs="Arial"/>
                <w:color w:val="FF0000"/>
                <w:sz w:val="21"/>
                <w:szCs w:val="21"/>
              </w:rPr>
            </w:pPr>
          </w:p>
        </w:tc>
        <w:tc>
          <w:tcPr>
            <w:tcW w:w="217" w:type="dxa"/>
          </w:tcPr>
          <w:p w14:paraId="5EEB7CEC" w14:textId="77777777" w:rsidR="002C0FD9" w:rsidRPr="00CA25CF" w:rsidRDefault="002C0FD9" w:rsidP="00CA25CF">
            <w:pPr>
              <w:rPr>
                <w:rFonts w:cs="Arial"/>
                <w:color w:val="FF0000"/>
                <w:sz w:val="21"/>
                <w:szCs w:val="21"/>
              </w:rPr>
            </w:pPr>
          </w:p>
        </w:tc>
        <w:tc>
          <w:tcPr>
            <w:tcW w:w="217" w:type="dxa"/>
          </w:tcPr>
          <w:p w14:paraId="0B2452A3" w14:textId="77777777" w:rsidR="002C0FD9" w:rsidRPr="00CA25CF" w:rsidRDefault="002C0FD9" w:rsidP="00CA25CF">
            <w:pPr>
              <w:rPr>
                <w:rFonts w:cs="Arial"/>
                <w:color w:val="FF0000"/>
                <w:sz w:val="21"/>
                <w:szCs w:val="21"/>
              </w:rPr>
            </w:pPr>
          </w:p>
        </w:tc>
        <w:tc>
          <w:tcPr>
            <w:tcW w:w="217" w:type="dxa"/>
          </w:tcPr>
          <w:p w14:paraId="0B82F615" w14:textId="77777777" w:rsidR="002C0FD9" w:rsidRPr="00CA25CF" w:rsidRDefault="002C0FD9" w:rsidP="00CA25CF">
            <w:pPr>
              <w:rPr>
                <w:rFonts w:cs="Arial"/>
                <w:color w:val="FF0000"/>
                <w:sz w:val="21"/>
                <w:szCs w:val="21"/>
              </w:rPr>
            </w:pPr>
          </w:p>
        </w:tc>
        <w:tc>
          <w:tcPr>
            <w:tcW w:w="217" w:type="dxa"/>
          </w:tcPr>
          <w:p w14:paraId="3A274651" w14:textId="77777777" w:rsidR="002C0FD9" w:rsidRPr="00CA25CF" w:rsidRDefault="002C0FD9" w:rsidP="00CA25CF">
            <w:pPr>
              <w:rPr>
                <w:rFonts w:cs="Arial"/>
                <w:color w:val="FF0000"/>
                <w:sz w:val="21"/>
                <w:szCs w:val="21"/>
              </w:rPr>
            </w:pPr>
          </w:p>
        </w:tc>
        <w:tc>
          <w:tcPr>
            <w:tcW w:w="217" w:type="dxa"/>
          </w:tcPr>
          <w:p w14:paraId="35B669D5" w14:textId="2DFE621F" w:rsidR="002C0FD9" w:rsidRPr="00CA25CF" w:rsidRDefault="002C0FD9" w:rsidP="00CA25CF">
            <w:pPr>
              <w:rPr>
                <w:rFonts w:cs="Arial"/>
                <w:color w:val="FF0000"/>
                <w:sz w:val="21"/>
                <w:szCs w:val="21"/>
              </w:rPr>
            </w:pPr>
          </w:p>
        </w:tc>
        <w:tc>
          <w:tcPr>
            <w:tcW w:w="217" w:type="dxa"/>
          </w:tcPr>
          <w:p w14:paraId="3206F229" w14:textId="77777777" w:rsidR="002C0FD9" w:rsidRPr="00CA25CF" w:rsidRDefault="002C0FD9" w:rsidP="00CA25CF">
            <w:pPr>
              <w:rPr>
                <w:rFonts w:cs="Arial"/>
                <w:color w:val="FF0000"/>
                <w:sz w:val="21"/>
                <w:szCs w:val="21"/>
              </w:rPr>
            </w:pPr>
          </w:p>
        </w:tc>
        <w:tc>
          <w:tcPr>
            <w:tcW w:w="217" w:type="dxa"/>
          </w:tcPr>
          <w:p w14:paraId="4F84EA4E" w14:textId="77777777" w:rsidR="002C0FD9" w:rsidRPr="00CA25CF" w:rsidRDefault="002C0FD9" w:rsidP="00CA25CF">
            <w:pPr>
              <w:rPr>
                <w:rFonts w:cs="Arial"/>
                <w:color w:val="FF0000"/>
                <w:sz w:val="21"/>
                <w:szCs w:val="21"/>
              </w:rPr>
            </w:pPr>
          </w:p>
        </w:tc>
        <w:tc>
          <w:tcPr>
            <w:tcW w:w="217" w:type="dxa"/>
          </w:tcPr>
          <w:p w14:paraId="391DA341" w14:textId="77777777" w:rsidR="002C0FD9" w:rsidRPr="00CA25CF" w:rsidRDefault="002C0FD9" w:rsidP="00CA25CF">
            <w:pPr>
              <w:rPr>
                <w:rFonts w:cs="Arial"/>
                <w:color w:val="FF0000"/>
                <w:sz w:val="21"/>
                <w:szCs w:val="21"/>
              </w:rPr>
            </w:pPr>
          </w:p>
        </w:tc>
        <w:tc>
          <w:tcPr>
            <w:tcW w:w="217" w:type="dxa"/>
          </w:tcPr>
          <w:p w14:paraId="410CC430" w14:textId="77777777" w:rsidR="002C0FD9" w:rsidRPr="00CA25CF" w:rsidRDefault="002C0FD9" w:rsidP="00CA25CF">
            <w:pPr>
              <w:rPr>
                <w:rFonts w:cs="Arial"/>
                <w:color w:val="FF0000"/>
                <w:sz w:val="21"/>
                <w:szCs w:val="21"/>
              </w:rPr>
            </w:pPr>
          </w:p>
        </w:tc>
        <w:tc>
          <w:tcPr>
            <w:tcW w:w="217" w:type="dxa"/>
          </w:tcPr>
          <w:p w14:paraId="21CF3B88" w14:textId="77777777" w:rsidR="002C0FD9" w:rsidRPr="00CA25CF" w:rsidRDefault="002C0FD9" w:rsidP="00CA25CF">
            <w:pPr>
              <w:rPr>
                <w:rFonts w:cs="Arial"/>
                <w:color w:val="FF0000"/>
                <w:sz w:val="21"/>
                <w:szCs w:val="21"/>
              </w:rPr>
            </w:pPr>
          </w:p>
        </w:tc>
        <w:tc>
          <w:tcPr>
            <w:tcW w:w="217" w:type="dxa"/>
          </w:tcPr>
          <w:p w14:paraId="262B9EEF" w14:textId="77777777" w:rsidR="002C0FD9" w:rsidRPr="00CA25CF" w:rsidRDefault="002C0FD9" w:rsidP="00CA25CF">
            <w:pPr>
              <w:rPr>
                <w:rFonts w:cs="Arial"/>
                <w:color w:val="FF0000"/>
                <w:sz w:val="21"/>
                <w:szCs w:val="21"/>
              </w:rPr>
            </w:pPr>
          </w:p>
        </w:tc>
        <w:tc>
          <w:tcPr>
            <w:tcW w:w="217" w:type="dxa"/>
          </w:tcPr>
          <w:p w14:paraId="4E9D435D" w14:textId="77777777" w:rsidR="002C0FD9" w:rsidRPr="00CA25CF" w:rsidRDefault="002C0FD9" w:rsidP="00CA25CF">
            <w:pPr>
              <w:rPr>
                <w:rFonts w:cs="Arial"/>
                <w:color w:val="FF0000"/>
                <w:sz w:val="21"/>
                <w:szCs w:val="21"/>
              </w:rPr>
            </w:pPr>
          </w:p>
        </w:tc>
        <w:tc>
          <w:tcPr>
            <w:tcW w:w="217" w:type="dxa"/>
          </w:tcPr>
          <w:p w14:paraId="022E37EE" w14:textId="77777777" w:rsidR="002C0FD9" w:rsidRPr="00CA25CF" w:rsidRDefault="002C0FD9" w:rsidP="00CA25CF">
            <w:pPr>
              <w:rPr>
                <w:rFonts w:cs="Arial"/>
                <w:color w:val="FF0000"/>
                <w:sz w:val="21"/>
                <w:szCs w:val="21"/>
              </w:rPr>
            </w:pPr>
          </w:p>
        </w:tc>
        <w:tc>
          <w:tcPr>
            <w:tcW w:w="217" w:type="dxa"/>
          </w:tcPr>
          <w:p w14:paraId="42246394" w14:textId="77777777" w:rsidR="002C0FD9" w:rsidRPr="00CA25CF" w:rsidRDefault="002C0FD9" w:rsidP="00CA25CF">
            <w:pPr>
              <w:rPr>
                <w:rFonts w:cs="Arial"/>
                <w:color w:val="FF0000"/>
                <w:sz w:val="21"/>
                <w:szCs w:val="21"/>
              </w:rPr>
            </w:pPr>
          </w:p>
        </w:tc>
        <w:tc>
          <w:tcPr>
            <w:tcW w:w="217" w:type="dxa"/>
          </w:tcPr>
          <w:p w14:paraId="090CEE80" w14:textId="77777777" w:rsidR="002C0FD9" w:rsidRPr="00CA25CF" w:rsidRDefault="002C0FD9" w:rsidP="00CA25CF">
            <w:pPr>
              <w:rPr>
                <w:rFonts w:cs="Arial"/>
                <w:color w:val="FF0000"/>
                <w:sz w:val="21"/>
                <w:szCs w:val="21"/>
              </w:rPr>
            </w:pPr>
          </w:p>
        </w:tc>
        <w:tc>
          <w:tcPr>
            <w:tcW w:w="217" w:type="dxa"/>
          </w:tcPr>
          <w:p w14:paraId="502664CA" w14:textId="77777777" w:rsidR="002C0FD9" w:rsidRPr="00CA25CF" w:rsidRDefault="002C0FD9" w:rsidP="00CA25CF">
            <w:pPr>
              <w:rPr>
                <w:rFonts w:cs="Arial"/>
                <w:color w:val="FF0000"/>
                <w:sz w:val="21"/>
                <w:szCs w:val="21"/>
              </w:rPr>
            </w:pPr>
          </w:p>
        </w:tc>
        <w:tc>
          <w:tcPr>
            <w:tcW w:w="217" w:type="dxa"/>
          </w:tcPr>
          <w:p w14:paraId="6BF56D60" w14:textId="77777777" w:rsidR="002C0FD9" w:rsidRPr="00CA25CF" w:rsidRDefault="002C0FD9" w:rsidP="00CA25CF">
            <w:pPr>
              <w:rPr>
                <w:rFonts w:cs="Arial"/>
                <w:color w:val="FF0000"/>
                <w:sz w:val="21"/>
                <w:szCs w:val="21"/>
              </w:rPr>
            </w:pPr>
          </w:p>
        </w:tc>
        <w:tc>
          <w:tcPr>
            <w:tcW w:w="217" w:type="dxa"/>
          </w:tcPr>
          <w:p w14:paraId="4171ED77" w14:textId="77777777" w:rsidR="002C0FD9" w:rsidRPr="00CA25CF" w:rsidRDefault="002C0FD9" w:rsidP="00CA25CF">
            <w:pPr>
              <w:rPr>
                <w:rFonts w:cs="Arial"/>
                <w:color w:val="FF0000"/>
                <w:sz w:val="21"/>
                <w:szCs w:val="21"/>
              </w:rPr>
            </w:pPr>
          </w:p>
        </w:tc>
        <w:tc>
          <w:tcPr>
            <w:tcW w:w="217" w:type="dxa"/>
          </w:tcPr>
          <w:p w14:paraId="4AAFD628" w14:textId="77777777" w:rsidR="002C0FD9" w:rsidRPr="00CA25CF" w:rsidRDefault="002C0FD9" w:rsidP="00CA25CF">
            <w:pPr>
              <w:rPr>
                <w:rFonts w:cs="Arial"/>
                <w:color w:val="FF0000"/>
                <w:sz w:val="21"/>
                <w:szCs w:val="21"/>
              </w:rPr>
            </w:pPr>
          </w:p>
        </w:tc>
        <w:tc>
          <w:tcPr>
            <w:tcW w:w="217" w:type="dxa"/>
          </w:tcPr>
          <w:p w14:paraId="56B793E6" w14:textId="77777777" w:rsidR="002C0FD9" w:rsidRPr="00CA25CF" w:rsidRDefault="002C0FD9" w:rsidP="00CA25CF">
            <w:pPr>
              <w:rPr>
                <w:rFonts w:cs="Arial"/>
                <w:color w:val="FF0000"/>
                <w:sz w:val="21"/>
                <w:szCs w:val="21"/>
              </w:rPr>
            </w:pPr>
          </w:p>
        </w:tc>
        <w:tc>
          <w:tcPr>
            <w:tcW w:w="217" w:type="dxa"/>
          </w:tcPr>
          <w:p w14:paraId="5BB1B073" w14:textId="77777777" w:rsidR="002C0FD9" w:rsidRPr="00CA25CF" w:rsidRDefault="002C0FD9" w:rsidP="00CA25CF">
            <w:pPr>
              <w:rPr>
                <w:rFonts w:cs="Arial"/>
                <w:color w:val="FF0000"/>
                <w:sz w:val="21"/>
                <w:szCs w:val="21"/>
              </w:rPr>
            </w:pPr>
          </w:p>
        </w:tc>
        <w:tc>
          <w:tcPr>
            <w:tcW w:w="217" w:type="dxa"/>
          </w:tcPr>
          <w:p w14:paraId="4ACB1A12" w14:textId="77777777" w:rsidR="002C0FD9" w:rsidRPr="00CA25CF" w:rsidRDefault="002C0FD9" w:rsidP="00CA25CF">
            <w:pPr>
              <w:rPr>
                <w:rFonts w:cs="Arial"/>
                <w:color w:val="FF0000"/>
                <w:sz w:val="21"/>
                <w:szCs w:val="21"/>
              </w:rPr>
            </w:pPr>
          </w:p>
        </w:tc>
        <w:tc>
          <w:tcPr>
            <w:tcW w:w="217" w:type="dxa"/>
          </w:tcPr>
          <w:p w14:paraId="6CB40CC3" w14:textId="77777777" w:rsidR="002C0FD9" w:rsidRPr="00CA25CF" w:rsidRDefault="002C0FD9" w:rsidP="00CA25CF">
            <w:pPr>
              <w:rPr>
                <w:rFonts w:cs="Arial"/>
                <w:color w:val="FF0000"/>
                <w:sz w:val="21"/>
                <w:szCs w:val="21"/>
              </w:rPr>
            </w:pPr>
          </w:p>
        </w:tc>
        <w:tc>
          <w:tcPr>
            <w:tcW w:w="217" w:type="dxa"/>
          </w:tcPr>
          <w:p w14:paraId="525A8814" w14:textId="77777777" w:rsidR="002C0FD9" w:rsidRPr="00CA25CF" w:rsidRDefault="002C0FD9" w:rsidP="00CA25CF">
            <w:pPr>
              <w:rPr>
                <w:rFonts w:cs="Arial"/>
                <w:color w:val="FF0000"/>
                <w:sz w:val="21"/>
                <w:szCs w:val="21"/>
              </w:rPr>
            </w:pPr>
          </w:p>
        </w:tc>
        <w:tc>
          <w:tcPr>
            <w:tcW w:w="217" w:type="dxa"/>
          </w:tcPr>
          <w:p w14:paraId="76234F0A" w14:textId="77777777" w:rsidR="002C0FD9" w:rsidRPr="00CA25CF" w:rsidRDefault="002C0FD9" w:rsidP="00CA25CF">
            <w:pPr>
              <w:rPr>
                <w:rFonts w:cs="Arial"/>
                <w:color w:val="FF0000"/>
                <w:sz w:val="21"/>
                <w:szCs w:val="21"/>
              </w:rPr>
            </w:pPr>
          </w:p>
        </w:tc>
        <w:tc>
          <w:tcPr>
            <w:tcW w:w="217" w:type="dxa"/>
          </w:tcPr>
          <w:p w14:paraId="439C226D" w14:textId="77777777" w:rsidR="002C0FD9" w:rsidRPr="00CA25CF" w:rsidRDefault="002C0FD9" w:rsidP="00CA25CF">
            <w:pPr>
              <w:rPr>
                <w:rFonts w:cs="Arial"/>
                <w:color w:val="FF0000"/>
                <w:sz w:val="21"/>
                <w:szCs w:val="21"/>
              </w:rPr>
            </w:pPr>
          </w:p>
        </w:tc>
        <w:tc>
          <w:tcPr>
            <w:tcW w:w="217" w:type="dxa"/>
          </w:tcPr>
          <w:p w14:paraId="57E189BC" w14:textId="77777777" w:rsidR="002C0FD9" w:rsidRPr="00CA25CF" w:rsidRDefault="002C0FD9" w:rsidP="00CA25CF">
            <w:pPr>
              <w:rPr>
                <w:rFonts w:cs="Arial"/>
                <w:color w:val="FF0000"/>
                <w:sz w:val="21"/>
                <w:szCs w:val="21"/>
              </w:rPr>
            </w:pPr>
          </w:p>
        </w:tc>
        <w:tc>
          <w:tcPr>
            <w:tcW w:w="217" w:type="dxa"/>
          </w:tcPr>
          <w:p w14:paraId="026DDED9" w14:textId="77777777" w:rsidR="002C0FD9" w:rsidRPr="00CA25CF" w:rsidRDefault="002C0FD9" w:rsidP="00CA25CF">
            <w:pPr>
              <w:rPr>
                <w:rFonts w:cs="Arial"/>
                <w:color w:val="FF0000"/>
                <w:sz w:val="21"/>
                <w:szCs w:val="21"/>
              </w:rPr>
            </w:pPr>
          </w:p>
        </w:tc>
        <w:tc>
          <w:tcPr>
            <w:tcW w:w="217" w:type="dxa"/>
          </w:tcPr>
          <w:p w14:paraId="4C0ACD60" w14:textId="77777777" w:rsidR="002C0FD9" w:rsidRPr="00CA25CF" w:rsidRDefault="002C0FD9" w:rsidP="00CA25CF">
            <w:pPr>
              <w:rPr>
                <w:rFonts w:cs="Arial"/>
                <w:color w:val="FF0000"/>
                <w:sz w:val="21"/>
                <w:szCs w:val="21"/>
              </w:rPr>
            </w:pPr>
          </w:p>
        </w:tc>
        <w:tc>
          <w:tcPr>
            <w:tcW w:w="217" w:type="dxa"/>
          </w:tcPr>
          <w:p w14:paraId="5575AB9A" w14:textId="77777777" w:rsidR="002C0FD9" w:rsidRPr="00CA25CF" w:rsidRDefault="002C0FD9" w:rsidP="00CA25CF">
            <w:pPr>
              <w:rPr>
                <w:rFonts w:cs="Arial"/>
                <w:color w:val="FF0000"/>
                <w:sz w:val="21"/>
                <w:szCs w:val="21"/>
              </w:rPr>
            </w:pPr>
          </w:p>
        </w:tc>
        <w:tc>
          <w:tcPr>
            <w:tcW w:w="217" w:type="dxa"/>
          </w:tcPr>
          <w:p w14:paraId="1E45079E" w14:textId="77777777" w:rsidR="002C0FD9" w:rsidRPr="00CA25CF" w:rsidRDefault="002C0FD9" w:rsidP="00CA25CF">
            <w:pPr>
              <w:rPr>
                <w:rFonts w:cs="Arial"/>
                <w:color w:val="FF0000"/>
                <w:sz w:val="21"/>
                <w:szCs w:val="21"/>
              </w:rPr>
            </w:pPr>
          </w:p>
        </w:tc>
        <w:tc>
          <w:tcPr>
            <w:tcW w:w="217" w:type="dxa"/>
          </w:tcPr>
          <w:p w14:paraId="5941F59D" w14:textId="77777777" w:rsidR="002C0FD9" w:rsidRPr="00CA25CF" w:rsidRDefault="002C0FD9" w:rsidP="00CA25CF">
            <w:pPr>
              <w:rPr>
                <w:rFonts w:cs="Arial"/>
                <w:color w:val="FF0000"/>
                <w:sz w:val="21"/>
                <w:szCs w:val="21"/>
              </w:rPr>
            </w:pPr>
          </w:p>
        </w:tc>
      </w:tr>
      <w:tr w:rsidR="002C0FD9" w:rsidRPr="00A16219" w14:paraId="2A3EF297" w14:textId="2B1E9156" w:rsidTr="002C0FD9">
        <w:trPr>
          <w:trHeight w:val="635"/>
        </w:trPr>
        <w:tc>
          <w:tcPr>
            <w:tcW w:w="515" w:type="dxa"/>
          </w:tcPr>
          <w:p w14:paraId="44258A17" w14:textId="77777777" w:rsidR="002C0FD9" w:rsidRPr="00CA25CF" w:rsidRDefault="002C0FD9" w:rsidP="00CA25CF">
            <w:pPr>
              <w:rPr>
                <w:rFonts w:cs="Arial"/>
                <w:color w:val="FF0000"/>
                <w:sz w:val="21"/>
                <w:szCs w:val="21"/>
              </w:rPr>
            </w:pPr>
          </w:p>
        </w:tc>
        <w:tc>
          <w:tcPr>
            <w:tcW w:w="217" w:type="dxa"/>
          </w:tcPr>
          <w:p w14:paraId="5EDFDAA9" w14:textId="77777777" w:rsidR="002C0FD9" w:rsidRPr="00CA25CF" w:rsidRDefault="002C0FD9" w:rsidP="00CA25CF">
            <w:pPr>
              <w:rPr>
                <w:rFonts w:cs="Arial"/>
                <w:color w:val="FF0000"/>
                <w:sz w:val="21"/>
                <w:szCs w:val="21"/>
              </w:rPr>
            </w:pPr>
          </w:p>
        </w:tc>
        <w:tc>
          <w:tcPr>
            <w:tcW w:w="217" w:type="dxa"/>
          </w:tcPr>
          <w:p w14:paraId="6F2F6679" w14:textId="4DF22E1D" w:rsidR="002C0FD9" w:rsidRPr="00CA25CF" w:rsidRDefault="002C0FD9" w:rsidP="00CA25CF">
            <w:pPr>
              <w:rPr>
                <w:rFonts w:cs="Arial"/>
                <w:color w:val="FF0000"/>
                <w:sz w:val="21"/>
                <w:szCs w:val="21"/>
              </w:rPr>
            </w:pPr>
          </w:p>
        </w:tc>
        <w:tc>
          <w:tcPr>
            <w:tcW w:w="217" w:type="dxa"/>
          </w:tcPr>
          <w:p w14:paraId="087B3329" w14:textId="77777777" w:rsidR="002C0FD9" w:rsidRPr="00CA25CF" w:rsidRDefault="002C0FD9" w:rsidP="00CA25CF">
            <w:pPr>
              <w:rPr>
                <w:rFonts w:cs="Arial"/>
                <w:color w:val="FF0000"/>
                <w:sz w:val="21"/>
                <w:szCs w:val="21"/>
              </w:rPr>
            </w:pPr>
          </w:p>
        </w:tc>
        <w:tc>
          <w:tcPr>
            <w:tcW w:w="217" w:type="dxa"/>
          </w:tcPr>
          <w:p w14:paraId="79666177" w14:textId="77777777" w:rsidR="002C0FD9" w:rsidRPr="00CA25CF" w:rsidRDefault="002C0FD9" w:rsidP="00CA25CF">
            <w:pPr>
              <w:rPr>
                <w:rFonts w:cs="Arial"/>
                <w:color w:val="FF0000"/>
                <w:sz w:val="21"/>
                <w:szCs w:val="21"/>
              </w:rPr>
            </w:pPr>
          </w:p>
        </w:tc>
        <w:tc>
          <w:tcPr>
            <w:tcW w:w="217" w:type="dxa"/>
          </w:tcPr>
          <w:p w14:paraId="67B60D8F" w14:textId="77777777" w:rsidR="002C0FD9" w:rsidRPr="00CA25CF" w:rsidRDefault="002C0FD9" w:rsidP="00CA25CF">
            <w:pPr>
              <w:rPr>
                <w:rFonts w:cs="Arial"/>
                <w:color w:val="FF0000"/>
                <w:sz w:val="21"/>
                <w:szCs w:val="21"/>
              </w:rPr>
            </w:pPr>
          </w:p>
        </w:tc>
        <w:tc>
          <w:tcPr>
            <w:tcW w:w="217" w:type="dxa"/>
          </w:tcPr>
          <w:p w14:paraId="4E332667" w14:textId="77777777" w:rsidR="002C0FD9" w:rsidRPr="00CA25CF" w:rsidRDefault="002C0FD9" w:rsidP="00CA25CF">
            <w:pPr>
              <w:rPr>
                <w:rFonts w:cs="Arial"/>
                <w:color w:val="FF0000"/>
                <w:sz w:val="21"/>
                <w:szCs w:val="21"/>
              </w:rPr>
            </w:pPr>
          </w:p>
        </w:tc>
        <w:tc>
          <w:tcPr>
            <w:tcW w:w="217" w:type="dxa"/>
          </w:tcPr>
          <w:p w14:paraId="1B551623" w14:textId="77777777" w:rsidR="002C0FD9" w:rsidRPr="00CA25CF" w:rsidRDefault="002C0FD9" w:rsidP="00CA25CF">
            <w:pPr>
              <w:rPr>
                <w:rFonts w:cs="Arial"/>
                <w:color w:val="FF0000"/>
                <w:sz w:val="21"/>
                <w:szCs w:val="21"/>
              </w:rPr>
            </w:pPr>
          </w:p>
        </w:tc>
        <w:tc>
          <w:tcPr>
            <w:tcW w:w="217" w:type="dxa"/>
          </w:tcPr>
          <w:p w14:paraId="1BEEF0A6" w14:textId="77777777" w:rsidR="002C0FD9" w:rsidRPr="00CA25CF" w:rsidRDefault="002C0FD9" w:rsidP="00CA25CF">
            <w:pPr>
              <w:rPr>
                <w:rFonts w:cs="Arial"/>
                <w:color w:val="FF0000"/>
                <w:sz w:val="21"/>
                <w:szCs w:val="21"/>
              </w:rPr>
            </w:pPr>
          </w:p>
        </w:tc>
        <w:tc>
          <w:tcPr>
            <w:tcW w:w="217" w:type="dxa"/>
          </w:tcPr>
          <w:p w14:paraId="3892DB02" w14:textId="77777777" w:rsidR="002C0FD9" w:rsidRPr="00CA25CF" w:rsidRDefault="002C0FD9" w:rsidP="00CA25CF">
            <w:pPr>
              <w:rPr>
                <w:rFonts w:cs="Arial"/>
                <w:color w:val="FF0000"/>
                <w:sz w:val="21"/>
                <w:szCs w:val="21"/>
              </w:rPr>
            </w:pPr>
          </w:p>
        </w:tc>
        <w:tc>
          <w:tcPr>
            <w:tcW w:w="217" w:type="dxa"/>
          </w:tcPr>
          <w:p w14:paraId="74E8B93C" w14:textId="77777777" w:rsidR="002C0FD9" w:rsidRPr="00CA25CF" w:rsidRDefault="002C0FD9" w:rsidP="00CA25CF">
            <w:pPr>
              <w:rPr>
                <w:rFonts w:cs="Arial"/>
                <w:color w:val="FF0000"/>
                <w:sz w:val="21"/>
                <w:szCs w:val="21"/>
              </w:rPr>
            </w:pPr>
          </w:p>
        </w:tc>
        <w:tc>
          <w:tcPr>
            <w:tcW w:w="217" w:type="dxa"/>
          </w:tcPr>
          <w:p w14:paraId="1F172703" w14:textId="77777777" w:rsidR="002C0FD9" w:rsidRPr="00CA25CF" w:rsidRDefault="002C0FD9" w:rsidP="00CA25CF">
            <w:pPr>
              <w:rPr>
                <w:rFonts w:cs="Arial"/>
                <w:color w:val="FF0000"/>
                <w:sz w:val="21"/>
                <w:szCs w:val="21"/>
              </w:rPr>
            </w:pPr>
          </w:p>
        </w:tc>
        <w:tc>
          <w:tcPr>
            <w:tcW w:w="217" w:type="dxa"/>
          </w:tcPr>
          <w:p w14:paraId="56406D70" w14:textId="77777777" w:rsidR="002C0FD9" w:rsidRPr="00CA25CF" w:rsidRDefault="002C0FD9" w:rsidP="00CA25CF">
            <w:pPr>
              <w:rPr>
                <w:rFonts w:cs="Arial"/>
                <w:color w:val="FF0000"/>
                <w:sz w:val="21"/>
                <w:szCs w:val="21"/>
              </w:rPr>
            </w:pPr>
          </w:p>
        </w:tc>
        <w:tc>
          <w:tcPr>
            <w:tcW w:w="217" w:type="dxa"/>
          </w:tcPr>
          <w:p w14:paraId="00B3493E" w14:textId="77777777" w:rsidR="002C0FD9" w:rsidRPr="00CA25CF" w:rsidRDefault="002C0FD9" w:rsidP="00CA25CF">
            <w:pPr>
              <w:rPr>
                <w:rFonts w:cs="Arial"/>
                <w:color w:val="FF0000"/>
                <w:sz w:val="21"/>
                <w:szCs w:val="21"/>
              </w:rPr>
            </w:pPr>
          </w:p>
        </w:tc>
        <w:tc>
          <w:tcPr>
            <w:tcW w:w="217" w:type="dxa"/>
          </w:tcPr>
          <w:p w14:paraId="790D840C" w14:textId="77777777" w:rsidR="002C0FD9" w:rsidRPr="00CA25CF" w:rsidRDefault="002C0FD9" w:rsidP="00CA25CF">
            <w:pPr>
              <w:rPr>
                <w:rFonts w:cs="Arial"/>
                <w:color w:val="FF0000"/>
                <w:sz w:val="21"/>
                <w:szCs w:val="21"/>
              </w:rPr>
            </w:pPr>
          </w:p>
        </w:tc>
        <w:tc>
          <w:tcPr>
            <w:tcW w:w="217" w:type="dxa"/>
          </w:tcPr>
          <w:p w14:paraId="41FA9C6A" w14:textId="68C30049" w:rsidR="002C0FD9" w:rsidRPr="00CA25CF" w:rsidRDefault="002C0FD9" w:rsidP="00CA25CF">
            <w:pPr>
              <w:rPr>
                <w:rFonts w:cs="Arial"/>
                <w:color w:val="FF0000"/>
                <w:sz w:val="21"/>
                <w:szCs w:val="21"/>
              </w:rPr>
            </w:pPr>
          </w:p>
        </w:tc>
        <w:tc>
          <w:tcPr>
            <w:tcW w:w="217" w:type="dxa"/>
          </w:tcPr>
          <w:p w14:paraId="464F5E75" w14:textId="77777777" w:rsidR="002C0FD9" w:rsidRPr="00CA25CF" w:rsidRDefault="002C0FD9" w:rsidP="00CA25CF">
            <w:pPr>
              <w:rPr>
                <w:rFonts w:cs="Arial"/>
                <w:color w:val="FF0000"/>
                <w:sz w:val="21"/>
                <w:szCs w:val="21"/>
              </w:rPr>
            </w:pPr>
          </w:p>
        </w:tc>
        <w:tc>
          <w:tcPr>
            <w:tcW w:w="217" w:type="dxa"/>
          </w:tcPr>
          <w:p w14:paraId="6DE78113" w14:textId="77777777" w:rsidR="002C0FD9" w:rsidRPr="00CA25CF" w:rsidRDefault="002C0FD9" w:rsidP="00CA25CF">
            <w:pPr>
              <w:rPr>
                <w:rFonts w:cs="Arial"/>
                <w:color w:val="FF0000"/>
                <w:sz w:val="21"/>
                <w:szCs w:val="21"/>
              </w:rPr>
            </w:pPr>
          </w:p>
        </w:tc>
        <w:tc>
          <w:tcPr>
            <w:tcW w:w="217" w:type="dxa"/>
          </w:tcPr>
          <w:p w14:paraId="654F962F" w14:textId="77777777" w:rsidR="002C0FD9" w:rsidRPr="00CA25CF" w:rsidRDefault="002C0FD9" w:rsidP="00CA25CF">
            <w:pPr>
              <w:rPr>
                <w:rFonts w:cs="Arial"/>
                <w:color w:val="FF0000"/>
                <w:sz w:val="21"/>
                <w:szCs w:val="21"/>
              </w:rPr>
            </w:pPr>
          </w:p>
        </w:tc>
        <w:tc>
          <w:tcPr>
            <w:tcW w:w="217" w:type="dxa"/>
          </w:tcPr>
          <w:p w14:paraId="394172A6" w14:textId="77777777" w:rsidR="002C0FD9" w:rsidRPr="00CA25CF" w:rsidRDefault="002C0FD9" w:rsidP="00CA25CF">
            <w:pPr>
              <w:rPr>
                <w:rFonts w:cs="Arial"/>
                <w:color w:val="FF0000"/>
                <w:sz w:val="21"/>
                <w:szCs w:val="21"/>
              </w:rPr>
            </w:pPr>
          </w:p>
        </w:tc>
        <w:tc>
          <w:tcPr>
            <w:tcW w:w="217" w:type="dxa"/>
          </w:tcPr>
          <w:p w14:paraId="1ED82186" w14:textId="77777777" w:rsidR="002C0FD9" w:rsidRPr="00CA25CF" w:rsidRDefault="002C0FD9" w:rsidP="00CA25CF">
            <w:pPr>
              <w:rPr>
                <w:rFonts w:cs="Arial"/>
                <w:color w:val="FF0000"/>
                <w:sz w:val="21"/>
                <w:szCs w:val="21"/>
              </w:rPr>
            </w:pPr>
          </w:p>
        </w:tc>
        <w:tc>
          <w:tcPr>
            <w:tcW w:w="217" w:type="dxa"/>
          </w:tcPr>
          <w:p w14:paraId="648AD5A3" w14:textId="77777777" w:rsidR="002C0FD9" w:rsidRPr="00CA25CF" w:rsidRDefault="002C0FD9" w:rsidP="00CA25CF">
            <w:pPr>
              <w:rPr>
                <w:rFonts w:cs="Arial"/>
                <w:color w:val="FF0000"/>
                <w:sz w:val="21"/>
                <w:szCs w:val="21"/>
              </w:rPr>
            </w:pPr>
          </w:p>
        </w:tc>
        <w:tc>
          <w:tcPr>
            <w:tcW w:w="217" w:type="dxa"/>
          </w:tcPr>
          <w:p w14:paraId="4EBA5E8B" w14:textId="77777777" w:rsidR="002C0FD9" w:rsidRPr="00CA25CF" w:rsidRDefault="002C0FD9" w:rsidP="00CA25CF">
            <w:pPr>
              <w:rPr>
                <w:rFonts w:cs="Arial"/>
                <w:color w:val="FF0000"/>
                <w:sz w:val="21"/>
                <w:szCs w:val="21"/>
              </w:rPr>
            </w:pPr>
          </w:p>
        </w:tc>
        <w:tc>
          <w:tcPr>
            <w:tcW w:w="217" w:type="dxa"/>
          </w:tcPr>
          <w:p w14:paraId="5EC9CD37" w14:textId="77777777" w:rsidR="002C0FD9" w:rsidRPr="00CA25CF" w:rsidRDefault="002C0FD9" w:rsidP="00CA25CF">
            <w:pPr>
              <w:rPr>
                <w:rFonts w:cs="Arial"/>
                <w:color w:val="FF0000"/>
                <w:sz w:val="21"/>
                <w:szCs w:val="21"/>
              </w:rPr>
            </w:pPr>
          </w:p>
        </w:tc>
        <w:tc>
          <w:tcPr>
            <w:tcW w:w="217" w:type="dxa"/>
          </w:tcPr>
          <w:p w14:paraId="7ED2A532" w14:textId="77777777" w:rsidR="002C0FD9" w:rsidRPr="00CA25CF" w:rsidRDefault="002C0FD9" w:rsidP="00CA25CF">
            <w:pPr>
              <w:rPr>
                <w:rFonts w:cs="Arial"/>
                <w:color w:val="FF0000"/>
                <w:sz w:val="21"/>
                <w:szCs w:val="21"/>
              </w:rPr>
            </w:pPr>
          </w:p>
        </w:tc>
        <w:tc>
          <w:tcPr>
            <w:tcW w:w="217" w:type="dxa"/>
          </w:tcPr>
          <w:p w14:paraId="721876C8" w14:textId="77777777" w:rsidR="002C0FD9" w:rsidRPr="00CA25CF" w:rsidRDefault="002C0FD9" w:rsidP="00CA25CF">
            <w:pPr>
              <w:rPr>
                <w:rFonts w:cs="Arial"/>
                <w:color w:val="FF0000"/>
                <w:sz w:val="21"/>
                <w:szCs w:val="21"/>
              </w:rPr>
            </w:pPr>
          </w:p>
        </w:tc>
        <w:tc>
          <w:tcPr>
            <w:tcW w:w="217" w:type="dxa"/>
          </w:tcPr>
          <w:p w14:paraId="2F91CE05" w14:textId="77777777" w:rsidR="002C0FD9" w:rsidRPr="00CA25CF" w:rsidRDefault="002C0FD9" w:rsidP="00CA25CF">
            <w:pPr>
              <w:rPr>
                <w:rFonts w:cs="Arial"/>
                <w:color w:val="FF0000"/>
                <w:sz w:val="21"/>
                <w:szCs w:val="21"/>
              </w:rPr>
            </w:pPr>
          </w:p>
        </w:tc>
        <w:tc>
          <w:tcPr>
            <w:tcW w:w="217" w:type="dxa"/>
          </w:tcPr>
          <w:p w14:paraId="079956EF" w14:textId="77777777" w:rsidR="002C0FD9" w:rsidRPr="00CA25CF" w:rsidRDefault="002C0FD9" w:rsidP="00CA25CF">
            <w:pPr>
              <w:rPr>
                <w:rFonts w:cs="Arial"/>
                <w:color w:val="FF0000"/>
                <w:sz w:val="21"/>
                <w:szCs w:val="21"/>
              </w:rPr>
            </w:pPr>
          </w:p>
        </w:tc>
        <w:tc>
          <w:tcPr>
            <w:tcW w:w="217" w:type="dxa"/>
          </w:tcPr>
          <w:p w14:paraId="20A8BC62" w14:textId="77777777" w:rsidR="002C0FD9" w:rsidRPr="00CA25CF" w:rsidRDefault="002C0FD9" w:rsidP="00CA25CF">
            <w:pPr>
              <w:rPr>
                <w:rFonts w:cs="Arial"/>
                <w:color w:val="FF0000"/>
                <w:sz w:val="21"/>
                <w:szCs w:val="21"/>
              </w:rPr>
            </w:pPr>
          </w:p>
        </w:tc>
        <w:tc>
          <w:tcPr>
            <w:tcW w:w="217" w:type="dxa"/>
          </w:tcPr>
          <w:p w14:paraId="044FBFDD" w14:textId="77777777" w:rsidR="002C0FD9" w:rsidRPr="00CA25CF" w:rsidRDefault="002C0FD9" w:rsidP="00CA25CF">
            <w:pPr>
              <w:rPr>
                <w:rFonts w:cs="Arial"/>
                <w:color w:val="FF0000"/>
                <w:sz w:val="21"/>
                <w:szCs w:val="21"/>
              </w:rPr>
            </w:pPr>
          </w:p>
        </w:tc>
        <w:tc>
          <w:tcPr>
            <w:tcW w:w="217" w:type="dxa"/>
          </w:tcPr>
          <w:p w14:paraId="028046F9" w14:textId="77777777" w:rsidR="002C0FD9" w:rsidRPr="00CA25CF" w:rsidRDefault="002C0FD9" w:rsidP="00CA25CF">
            <w:pPr>
              <w:rPr>
                <w:rFonts w:cs="Arial"/>
                <w:color w:val="FF0000"/>
                <w:sz w:val="21"/>
                <w:szCs w:val="21"/>
              </w:rPr>
            </w:pPr>
          </w:p>
        </w:tc>
        <w:tc>
          <w:tcPr>
            <w:tcW w:w="217" w:type="dxa"/>
          </w:tcPr>
          <w:p w14:paraId="0E2F6F17" w14:textId="77777777" w:rsidR="002C0FD9" w:rsidRPr="00CA25CF" w:rsidRDefault="002C0FD9" w:rsidP="00CA25CF">
            <w:pPr>
              <w:rPr>
                <w:rFonts w:cs="Arial"/>
                <w:color w:val="FF0000"/>
                <w:sz w:val="21"/>
                <w:szCs w:val="21"/>
              </w:rPr>
            </w:pPr>
          </w:p>
        </w:tc>
        <w:tc>
          <w:tcPr>
            <w:tcW w:w="217" w:type="dxa"/>
          </w:tcPr>
          <w:p w14:paraId="4CC5746A" w14:textId="77777777" w:rsidR="002C0FD9" w:rsidRPr="00CA25CF" w:rsidRDefault="002C0FD9" w:rsidP="00CA25CF">
            <w:pPr>
              <w:rPr>
                <w:rFonts w:cs="Arial"/>
                <w:color w:val="FF0000"/>
                <w:sz w:val="21"/>
                <w:szCs w:val="21"/>
              </w:rPr>
            </w:pPr>
          </w:p>
        </w:tc>
        <w:tc>
          <w:tcPr>
            <w:tcW w:w="217" w:type="dxa"/>
          </w:tcPr>
          <w:p w14:paraId="4E0FD3AF" w14:textId="77777777" w:rsidR="002C0FD9" w:rsidRPr="00CA25CF" w:rsidRDefault="002C0FD9" w:rsidP="00CA25CF">
            <w:pPr>
              <w:rPr>
                <w:rFonts w:cs="Arial"/>
                <w:color w:val="FF0000"/>
                <w:sz w:val="21"/>
                <w:szCs w:val="21"/>
              </w:rPr>
            </w:pPr>
          </w:p>
        </w:tc>
        <w:tc>
          <w:tcPr>
            <w:tcW w:w="217" w:type="dxa"/>
          </w:tcPr>
          <w:p w14:paraId="5038BDDC" w14:textId="77777777" w:rsidR="002C0FD9" w:rsidRPr="00CA25CF" w:rsidRDefault="002C0FD9" w:rsidP="00CA25CF">
            <w:pPr>
              <w:rPr>
                <w:rFonts w:cs="Arial"/>
                <w:color w:val="FF0000"/>
                <w:sz w:val="21"/>
                <w:szCs w:val="21"/>
              </w:rPr>
            </w:pPr>
          </w:p>
        </w:tc>
        <w:tc>
          <w:tcPr>
            <w:tcW w:w="217" w:type="dxa"/>
          </w:tcPr>
          <w:p w14:paraId="2BD8803B" w14:textId="77777777" w:rsidR="002C0FD9" w:rsidRPr="00CA25CF" w:rsidRDefault="002C0FD9" w:rsidP="00CA25CF">
            <w:pPr>
              <w:rPr>
                <w:rFonts w:cs="Arial"/>
                <w:color w:val="FF0000"/>
                <w:sz w:val="21"/>
                <w:szCs w:val="21"/>
              </w:rPr>
            </w:pPr>
          </w:p>
        </w:tc>
        <w:tc>
          <w:tcPr>
            <w:tcW w:w="217" w:type="dxa"/>
          </w:tcPr>
          <w:p w14:paraId="2BBC3313" w14:textId="77777777" w:rsidR="002C0FD9" w:rsidRPr="00CA25CF" w:rsidRDefault="002C0FD9" w:rsidP="00CA25CF">
            <w:pPr>
              <w:rPr>
                <w:rFonts w:cs="Arial"/>
                <w:color w:val="FF0000"/>
                <w:sz w:val="21"/>
                <w:szCs w:val="21"/>
              </w:rPr>
            </w:pPr>
          </w:p>
        </w:tc>
        <w:tc>
          <w:tcPr>
            <w:tcW w:w="217" w:type="dxa"/>
          </w:tcPr>
          <w:p w14:paraId="6E0018FF" w14:textId="77777777" w:rsidR="002C0FD9" w:rsidRPr="00CA25CF" w:rsidRDefault="002C0FD9" w:rsidP="00CA25CF">
            <w:pPr>
              <w:rPr>
                <w:rFonts w:cs="Arial"/>
                <w:color w:val="FF0000"/>
                <w:sz w:val="21"/>
                <w:szCs w:val="21"/>
              </w:rPr>
            </w:pPr>
          </w:p>
        </w:tc>
        <w:tc>
          <w:tcPr>
            <w:tcW w:w="217" w:type="dxa"/>
          </w:tcPr>
          <w:p w14:paraId="14CBD837" w14:textId="77777777" w:rsidR="002C0FD9" w:rsidRPr="00CA25CF" w:rsidRDefault="002C0FD9" w:rsidP="00CA25CF">
            <w:pPr>
              <w:rPr>
                <w:rFonts w:cs="Arial"/>
                <w:color w:val="FF0000"/>
                <w:sz w:val="21"/>
                <w:szCs w:val="21"/>
              </w:rPr>
            </w:pPr>
          </w:p>
        </w:tc>
        <w:tc>
          <w:tcPr>
            <w:tcW w:w="217" w:type="dxa"/>
          </w:tcPr>
          <w:p w14:paraId="6B3266E8" w14:textId="77777777" w:rsidR="002C0FD9" w:rsidRPr="00CA25CF" w:rsidRDefault="002C0FD9" w:rsidP="00CA25CF">
            <w:pPr>
              <w:rPr>
                <w:rFonts w:cs="Arial"/>
                <w:color w:val="FF0000"/>
                <w:sz w:val="21"/>
                <w:szCs w:val="21"/>
              </w:rPr>
            </w:pPr>
          </w:p>
        </w:tc>
        <w:tc>
          <w:tcPr>
            <w:tcW w:w="217" w:type="dxa"/>
          </w:tcPr>
          <w:p w14:paraId="07A2C394" w14:textId="77777777" w:rsidR="002C0FD9" w:rsidRPr="00CA25CF" w:rsidRDefault="002C0FD9" w:rsidP="00CA25CF">
            <w:pPr>
              <w:rPr>
                <w:rFonts w:cs="Arial"/>
                <w:color w:val="FF0000"/>
                <w:sz w:val="21"/>
                <w:szCs w:val="21"/>
              </w:rPr>
            </w:pPr>
          </w:p>
        </w:tc>
        <w:tc>
          <w:tcPr>
            <w:tcW w:w="217" w:type="dxa"/>
          </w:tcPr>
          <w:p w14:paraId="0A35AA75" w14:textId="77777777" w:rsidR="002C0FD9" w:rsidRPr="00CA25CF" w:rsidRDefault="002C0FD9" w:rsidP="00CA25CF">
            <w:pPr>
              <w:rPr>
                <w:rFonts w:cs="Arial"/>
                <w:color w:val="FF0000"/>
                <w:sz w:val="21"/>
                <w:szCs w:val="21"/>
              </w:rPr>
            </w:pPr>
          </w:p>
        </w:tc>
        <w:tc>
          <w:tcPr>
            <w:tcW w:w="217" w:type="dxa"/>
          </w:tcPr>
          <w:p w14:paraId="47D90BFE" w14:textId="77777777" w:rsidR="002C0FD9" w:rsidRPr="00CA25CF" w:rsidRDefault="002C0FD9" w:rsidP="00CA25CF">
            <w:pPr>
              <w:rPr>
                <w:rFonts w:cs="Arial"/>
                <w:color w:val="FF0000"/>
                <w:sz w:val="21"/>
                <w:szCs w:val="21"/>
              </w:rPr>
            </w:pPr>
          </w:p>
        </w:tc>
      </w:tr>
      <w:tr w:rsidR="002C0FD9" w:rsidRPr="00A16219" w14:paraId="661C572F" w14:textId="4675DF6B" w:rsidTr="002C0FD9">
        <w:trPr>
          <w:trHeight w:val="635"/>
        </w:trPr>
        <w:tc>
          <w:tcPr>
            <w:tcW w:w="515" w:type="dxa"/>
          </w:tcPr>
          <w:p w14:paraId="4BED5555" w14:textId="77777777" w:rsidR="002C0FD9" w:rsidRPr="00CA25CF" w:rsidRDefault="002C0FD9" w:rsidP="00CA25CF">
            <w:pPr>
              <w:rPr>
                <w:rFonts w:cs="Arial"/>
                <w:color w:val="FF0000"/>
                <w:sz w:val="21"/>
                <w:szCs w:val="21"/>
              </w:rPr>
            </w:pPr>
          </w:p>
        </w:tc>
        <w:tc>
          <w:tcPr>
            <w:tcW w:w="217" w:type="dxa"/>
          </w:tcPr>
          <w:p w14:paraId="2AA5B08C" w14:textId="77777777" w:rsidR="002C0FD9" w:rsidRPr="00CA25CF" w:rsidRDefault="002C0FD9" w:rsidP="00CA25CF">
            <w:pPr>
              <w:rPr>
                <w:rFonts w:cs="Arial"/>
                <w:color w:val="FF0000"/>
                <w:sz w:val="21"/>
                <w:szCs w:val="21"/>
              </w:rPr>
            </w:pPr>
          </w:p>
        </w:tc>
        <w:tc>
          <w:tcPr>
            <w:tcW w:w="217" w:type="dxa"/>
          </w:tcPr>
          <w:p w14:paraId="6AEF8CD8" w14:textId="49AA705E" w:rsidR="002C0FD9" w:rsidRPr="00CA25CF" w:rsidRDefault="002C0FD9" w:rsidP="00CA25CF">
            <w:pPr>
              <w:rPr>
                <w:rFonts w:cs="Arial"/>
                <w:color w:val="FF0000"/>
                <w:sz w:val="21"/>
                <w:szCs w:val="21"/>
              </w:rPr>
            </w:pPr>
          </w:p>
        </w:tc>
        <w:tc>
          <w:tcPr>
            <w:tcW w:w="217" w:type="dxa"/>
          </w:tcPr>
          <w:p w14:paraId="02FB3B0D" w14:textId="77777777" w:rsidR="002C0FD9" w:rsidRPr="00CA25CF" w:rsidRDefault="002C0FD9" w:rsidP="00CA25CF">
            <w:pPr>
              <w:rPr>
                <w:rFonts w:cs="Arial"/>
                <w:color w:val="FF0000"/>
                <w:sz w:val="21"/>
                <w:szCs w:val="21"/>
              </w:rPr>
            </w:pPr>
          </w:p>
        </w:tc>
        <w:tc>
          <w:tcPr>
            <w:tcW w:w="217" w:type="dxa"/>
          </w:tcPr>
          <w:p w14:paraId="7B150982" w14:textId="77777777" w:rsidR="002C0FD9" w:rsidRPr="00CA25CF" w:rsidRDefault="002C0FD9" w:rsidP="00CA25CF">
            <w:pPr>
              <w:rPr>
                <w:rFonts w:cs="Arial"/>
                <w:color w:val="FF0000"/>
                <w:sz w:val="21"/>
                <w:szCs w:val="21"/>
              </w:rPr>
            </w:pPr>
          </w:p>
        </w:tc>
        <w:tc>
          <w:tcPr>
            <w:tcW w:w="217" w:type="dxa"/>
          </w:tcPr>
          <w:p w14:paraId="711AAB60" w14:textId="77777777" w:rsidR="002C0FD9" w:rsidRPr="00CA25CF" w:rsidRDefault="002C0FD9" w:rsidP="00CA25CF">
            <w:pPr>
              <w:rPr>
                <w:rFonts w:cs="Arial"/>
                <w:color w:val="FF0000"/>
                <w:sz w:val="21"/>
                <w:szCs w:val="21"/>
              </w:rPr>
            </w:pPr>
          </w:p>
        </w:tc>
        <w:tc>
          <w:tcPr>
            <w:tcW w:w="217" w:type="dxa"/>
          </w:tcPr>
          <w:p w14:paraId="272D68E7" w14:textId="77777777" w:rsidR="002C0FD9" w:rsidRPr="00CA25CF" w:rsidRDefault="002C0FD9" w:rsidP="00CA25CF">
            <w:pPr>
              <w:rPr>
                <w:rFonts w:cs="Arial"/>
                <w:color w:val="FF0000"/>
                <w:sz w:val="21"/>
                <w:szCs w:val="21"/>
              </w:rPr>
            </w:pPr>
          </w:p>
        </w:tc>
        <w:tc>
          <w:tcPr>
            <w:tcW w:w="217" w:type="dxa"/>
          </w:tcPr>
          <w:p w14:paraId="141E3678" w14:textId="77777777" w:rsidR="002C0FD9" w:rsidRPr="00CA25CF" w:rsidRDefault="002C0FD9" w:rsidP="00CA25CF">
            <w:pPr>
              <w:rPr>
                <w:rFonts w:cs="Arial"/>
                <w:color w:val="FF0000"/>
                <w:sz w:val="21"/>
                <w:szCs w:val="21"/>
              </w:rPr>
            </w:pPr>
          </w:p>
        </w:tc>
        <w:tc>
          <w:tcPr>
            <w:tcW w:w="217" w:type="dxa"/>
          </w:tcPr>
          <w:p w14:paraId="7738BC06" w14:textId="77777777" w:rsidR="002C0FD9" w:rsidRPr="00CA25CF" w:rsidRDefault="002C0FD9" w:rsidP="00CA25CF">
            <w:pPr>
              <w:rPr>
                <w:rFonts w:cs="Arial"/>
                <w:color w:val="FF0000"/>
                <w:sz w:val="21"/>
                <w:szCs w:val="21"/>
              </w:rPr>
            </w:pPr>
          </w:p>
        </w:tc>
        <w:tc>
          <w:tcPr>
            <w:tcW w:w="217" w:type="dxa"/>
          </w:tcPr>
          <w:p w14:paraId="569223EB" w14:textId="77777777" w:rsidR="002C0FD9" w:rsidRPr="00CA25CF" w:rsidRDefault="002C0FD9" w:rsidP="00CA25CF">
            <w:pPr>
              <w:rPr>
                <w:rFonts w:cs="Arial"/>
                <w:color w:val="FF0000"/>
                <w:sz w:val="21"/>
                <w:szCs w:val="21"/>
              </w:rPr>
            </w:pPr>
          </w:p>
        </w:tc>
        <w:tc>
          <w:tcPr>
            <w:tcW w:w="217" w:type="dxa"/>
          </w:tcPr>
          <w:p w14:paraId="3F78E43C" w14:textId="77777777" w:rsidR="002C0FD9" w:rsidRPr="00CA25CF" w:rsidRDefault="002C0FD9" w:rsidP="00CA25CF">
            <w:pPr>
              <w:rPr>
                <w:rFonts w:cs="Arial"/>
                <w:color w:val="FF0000"/>
                <w:sz w:val="21"/>
                <w:szCs w:val="21"/>
              </w:rPr>
            </w:pPr>
          </w:p>
        </w:tc>
        <w:tc>
          <w:tcPr>
            <w:tcW w:w="217" w:type="dxa"/>
          </w:tcPr>
          <w:p w14:paraId="1BD8A0EC" w14:textId="77777777" w:rsidR="002C0FD9" w:rsidRPr="00CA25CF" w:rsidRDefault="002C0FD9" w:rsidP="00CA25CF">
            <w:pPr>
              <w:rPr>
                <w:rFonts w:cs="Arial"/>
                <w:color w:val="FF0000"/>
                <w:sz w:val="21"/>
                <w:szCs w:val="21"/>
              </w:rPr>
            </w:pPr>
          </w:p>
        </w:tc>
        <w:tc>
          <w:tcPr>
            <w:tcW w:w="217" w:type="dxa"/>
          </w:tcPr>
          <w:p w14:paraId="60A25061" w14:textId="77777777" w:rsidR="002C0FD9" w:rsidRPr="00CA25CF" w:rsidRDefault="002C0FD9" w:rsidP="00CA25CF">
            <w:pPr>
              <w:rPr>
                <w:rFonts w:cs="Arial"/>
                <w:color w:val="FF0000"/>
                <w:sz w:val="21"/>
                <w:szCs w:val="21"/>
              </w:rPr>
            </w:pPr>
          </w:p>
        </w:tc>
        <w:tc>
          <w:tcPr>
            <w:tcW w:w="217" w:type="dxa"/>
          </w:tcPr>
          <w:p w14:paraId="4DF2807D" w14:textId="77777777" w:rsidR="002C0FD9" w:rsidRPr="00CA25CF" w:rsidRDefault="002C0FD9" w:rsidP="00CA25CF">
            <w:pPr>
              <w:rPr>
                <w:rFonts w:cs="Arial"/>
                <w:color w:val="FF0000"/>
                <w:sz w:val="21"/>
                <w:szCs w:val="21"/>
              </w:rPr>
            </w:pPr>
          </w:p>
        </w:tc>
        <w:tc>
          <w:tcPr>
            <w:tcW w:w="217" w:type="dxa"/>
          </w:tcPr>
          <w:p w14:paraId="6B3820C9" w14:textId="77777777" w:rsidR="002C0FD9" w:rsidRPr="00CA25CF" w:rsidRDefault="002C0FD9" w:rsidP="00CA25CF">
            <w:pPr>
              <w:rPr>
                <w:rFonts w:cs="Arial"/>
                <w:color w:val="FF0000"/>
                <w:sz w:val="21"/>
                <w:szCs w:val="21"/>
              </w:rPr>
            </w:pPr>
          </w:p>
        </w:tc>
        <w:tc>
          <w:tcPr>
            <w:tcW w:w="217" w:type="dxa"/>
          </w:tcPr>
          <w:p w14:paraId="362B7189" w14:textId="6AAFD985" w:rsidR="002C0FD9" w:rsidRPr="00CA25CF" w:rsidRDefault="002C0FD9" w:rsidP="00CA25CF">
            <w:pPr>
              <w:rPr>
                <w:rFonts w:cs="Arial"/>
                <w:color w:val="FF0000"/>
                <w:sz w:val="21"/>
                <w:szCs w:val="21"/>
              </w:rPr>
            </w:pPr>
          </w:p>
        </w:tc>
        <w:tc>
          <w:tcPr>
            <w:tcW w:w="217" w:type="dxa"/>
          </w:tcPr>
          <w:p w14:paraId="3BAF5A87" w14:textId="77777777" w:rsidR="002C0FD9" w:rsidRPr="00CA25CF" w:rsidRDefault="002C0FD9" w:rsidP="00CA25CF">
            <w:pPr>
              <w:rPr>
                <w:rFonts w:cs="Arial"/>
                <w:color w:val="FF0000"/>
                <w:sz w:val="21"/>
                <w:szCs w:val="21"/>
              </w:rPr>
            </w:pPr>
          </w:p>
        </w:tc>
        <w:tc>
          <w:tcPr>
            <w:tcW w:w="217" w:type="dxa"/>
          </w:tcPr>
          <w:p w14:paraId="5130CB01" w14:textId="77777777" w:rsidR="002C0FD9" w:rsidRPr="00CA25CF" w:rsidRDefault="002C0FD9" w:rsidP="00CA25CF">
            <w:pPr>
              <w:rPr>
                <w:rFonts w:cs="Arial"/>
                <w:color w:val="FF0000"/>
                <w:sz w:val="21"/>
                <w:szCs w:val="21"/>
              </w:rPr>
            </w:pPr>
          </w:p>
        </w:tc>
        <w:tc>
          <w:tcPr>
            <w:tcW w:w="217" w:type="dxa"/>
          </w:tcPr>
          <w:p w14:paraId="57E8B6A9" w14:textId="77777777" w:rsidR="002C0FD9" w:rsidRPr="00CA25CF" w:rsidRDefault="002C0FD9" w:rsidP="00CA25CF">
            <w:pPr>
              <w:rPr>
                <w:rFonts w:cs="Arial"/>
                <w:color w:val="FF0000"/>
                <w:sz w:val="21"/>
                <w:szCs w:val="21"/>
              </w:rPr>
            </w:pPr>
          </w:p>
        </w:tc>
        <w:tc>
          <w:tcPr>
            <w:tcW w:w="217" w:type="dxa"/>
          </w:tcPr>
          <w:p w14:paraId="15B44E4F" w14:textId="77777777" w:rsidR="002C0FD9" w:rsidRPr="00CA25CF" w:rsidRDefault="002C0FD9" w:rsidP="00CA25CF">
            <w:pPr>
              <w:rPr>
                <w:rFonts w:cs="Arial"/>
                <w:color w:val="FF0000"/>
                <w:sz w:val="21"/>
                <w:szCs w:val="21"/>
              </w:rPr>
            </w:pPr>
          </w:p>
        </w:tc>
        <w:tc>
          <w:tcPr>
            <w:tcW w:w="217" w:type="dxa"/>
          </w:tcPr>
          <w:p w14:paraId="412CE92B" w14:textId="77777777" w:rsidR="002C0FD9" w:rsidRPr="00CA25CF" w:rsidRDefault="002C0FD9" w:rsidP="00CA25CF">
            <w:pPr>
              <w:rPr>
                <w:rFonts w:cs="Arial"/>
                <w:color w:val="FF0000"/>
                <w:sz w:val="21"/>
                <w:szCs w:val="21"/>
              </w:rPr>
            </w:pPr>
          </w:p>
        </w:tc>
        <w:tc>
          <w:tcPr>
            <w:tcW w:w="217" w:type="dxa"/>
          </w:tcPr>
          <w:p w14:paraId="72F9E07F" w14:textId="77777777" w:rsidR="002C0FD9" w:rsidRPr="00CA25CF" w:rsidRDefault="002C0FD9" w:rsidP="00CA25CF">
            <w:pPr>
              <w:rPr>
                <w:rFonts w:cs="Arial"/>
                <w:color w:val="FF0000"/>
                <w:sz w:val="21"/>
                <w:szCs w:val="21"/>
              </w:rPr>
            </w:pPr>
          </w:p>
        </w:tc>
        <w:tc>
          <w:tcPr>
            <w:tcW w:w="217" w:type="dxa"/>
          </w:tcPr>
          <w:p w14:paraId="3308F79E" w14:textId="77777777" w:rsidR="002C0FD9" w:rsidRPr="00CA25CF" w:rsidRDefault="002C0FD9" w:rsidP="00CA25CF">
            <w:pPr>
              <w:rPr>
                <w:rFonts w:cs="Arial"/>
                <w:color w:val="FF0000"/>
                <w:sz w:val="21"/>
                <w:szCs w:val="21"/>
              </w:rPr>
            </w:pPr>
          </w:p>
        </w:tc>
        <w:tc>
          <w:tcPr>
            <w:tcW w:w="217" w:type="dxa"/>
          </w:tcPr>
          <w:p w14:paraId="7A1049E0" w14:textId="77777777" w:rsidR="002C0FD9" w:rsidRPr="00CA25CF" w:rsidRDefault="002C0FD9" w:rsidP="00CA25CF">
            <w:pPr>
              <w:rPr>
                <w:rFonts w:cs="Arial"/>
                <w:color w:val="FF0000"/>
                <w:sz w:val="21"/>
                <w:szCs w:val="21"/>
              </w:rPr>
            </w:pPr>
          </w:p>
        </w:tc>
        <w:tc>
          <w:tcPr>
            <w:tcW w:w="217" w:type="dxa"/>
          </w:tcPr>
          <w:p w14:paraId="5DEF22A4" w14:textId="77777777" w:rsidR="002C0FD9" w:rsidRPr="00CA25CF" w:rsidRDefault="002C0FD9" w:rsidP="00CA25CF">
            <w:pPr>
              <w:rPr>
                <w:rFonts w:cs="Arial"/>
                <w:color w:val="FF0000"/>
                <w:sz w:val="21"/>
                <w:szCs w:val="21"/>
              </w:rPr>
            </w:pPr>
          </w:p>
        </w:tc>
        <w:tc>
          <w:tcPr>
            <w:tcW w:w="217" w:type="dxa"/>
          </w:tcPr>
          <w:p w14:paraId="3A10C89E" w14:textId="77777777" w:rsidR="002C0FD9" w:rsidRPr="00CA25CF" w:rsidRDefault="002C0FD9" w:rsidP="00CA25CF">
            <w:pPr>
              <w:rPr>
                <w:rFonts w:cs="Arial"/>
                <w:color w:val="FF0000"/>
                <w:sz w:val="21"/>
                <w:szCs w:val="21"/>
              </w:rPr>
            </w:pPr>
          </w:p>
        </w:tc>
        <w:tc>
          <w:tcPr>
            <w:tcW w:w="217" w:type="dxa"/>
          </w:tcPr>
          <w:p w14:paraId="30ED237A" w14:textId="77777777" w:rsidR="002C0FD9" w:rsidRPr="00CA25CF" w:rsidRDefault="002C0FD9" w:rsidP="00CA25CF">
            <w:pPr>
              <w:rPr>
                <w:rFonts w:cs="Arial"/>
                <w:color w:val="FF0000"/>
                <w:sz w:val="21"/>
                <w:szCs w:val="21"/>
              </w:rPr>
            </w:pPr>
          </w:p>
        </w:tc>
        <w:tc>
          <w:tcPr>
            <w:tcW w:w="217" w:type="dxa"/>
          </w:tcPr>
          <w:p w14:paraId="1476BD24" w14:textId="77777777" w:rsidR="002C0FD9" w:rsidRPr="00CA25CF" w:rsidRDefault="002C0FD9" w:rsidP="00CA25CF">
            <w:pPr>
              <w:rPr>
                <w:rFonts w:cs="Arial"/>
                <w:color w:val="FF0000"/>
                <w:sz w:val="21"/>
                <w:szCs w:val="21"/>
              </w:rPr>
            </w:pPr>
          </w:p>
        </w:tc>
        <w:tc>
          <w:tcPr>
            <w:tcW w:w="217" w:type="dxa"/>
          </w:tcPr>
          <w:p w14:paraId="2A42BBF0" w14:textId="77777777" w:rsidR="002C0FD9" w:rsidRPr="00CA25CF" w:rsidRDefault="002C0FD9" w:rsidP="00CA25CF">
            <w:pPr>
              <w:rPr>
                <w:rFonts w:cs="Arial"/>
                <w:color w:val="FF0000"/>
                <w:sz w:val="21"/>
                <w:szCs w:val="21"/>
              </w:rPr>
            </w:pPr>
          </w:p>
        </w:tc>
        <w:tc>
          <w:tcPr>
            <w:tcW w:w="217" w:type="dxa"/>
          </w:tcPr>
          <w:p w14:paraId="5D309FF5" w14:textId="77777777" w:rsidR="002C0FD9" w:rsidRPr="00CA25CF" w:rsidRDefault="002C0FD9" w:rsidP="00CA25CF">
            <w:pPr>
              <w:rPr>
                <w:rFonts w:cs="Arial"/>
                <w:color w:val="FF0000"/>
                <w:sz w:val="21"/>
                <w:szCs w:val="21"/>
              </w:rPr>
            </w:pPr>
          </w:p>
        </w:tc>
        <w:tc>
          <w:tcPr>
            <w:tcW w:w="217" w:type="dxa"/>
          </w:tcPr>
          <w:p w14:paraId="2D755591" w14:textId="77777777" w:rsidR="002C0FD9" w:rsidRPr="00CA25CF" w:rsidRDefault="002C0FD9" w:rsidP="00CA25CF">
            <w:pPr>
              <w:rPr>
                <w:rFonts w:cs="Arial"/>
                <w:color w:val="FF0000"/>
                <w:sz w:val="21"/>
                <w:szCs w:val="21"/>
              </w:rPr>
            </w:pPr>
          </w:p>
        </w:tc>
        <w:tc>
          <w:tcPr>
            <w:tcW w:w="217" w:type="dxa"/>
          </w:tcPr>
          <w:p w14:paraId="0960742B" w14:textId="77777777" w:rsidR="002C0FD9" w:rsidRPr="00CA25CF" w:rsidRDefault="002C0FD9" w:rsidP="00CA25CF">
            <w:pPr>
              <w:rPr>
                <w:rFonts w:cs="Arial"/>
                <w:color w:val="FF0000"/>
                <w:sz w:val="21"/>
                <w:szCs w:val="21"/>
              </w:rPr>
            </w:pPr>
          </w:p>
        </w:tc>
        <w:tc>
          <w:tcPr>
            <w:tcW w:w="217" w:type="dxa"/>
          </w:tcPr>
          <w:p w14:paraId="54555CF4" w14:textId="77777777" w:rsidR="002C0FD9" w:rsidRPr="00CA25CF" w:rsidRDefault="002C0FD9" w:rsidP="00CA25CF">
            <w:pPr>
              <w:rPr>
                <w:rFonts w:cs="Arial"/>
                <w:color w:val="FF0000"/>
                <w:sz w:val="21"/>
                <w:szCs w:val="21"/>
              </w:rPr>
            </w:pPr>
          </w:p>
        </w:tc>
        <w:tc>
          <w:tcPr>
            <w:tcW w:w="217" w:type="dxa"/>
          </w:tcPr>
          <w:p w14:paraId="69DBD37B" w14:textId="77777777" w:rsidR="002C0FD9" w:rsidRPr="00CA25CF" w:rsidRDefault="002C0FD9" w:rsidP="00CA25CF">
            <w:pPr>
              <w:rPr>
                <w:rFonts w:cs="Arial"/>
                <w:color w:val="FF0000"/>
                <w:sz w:val="21"/>
                <w:szCs w:val="21"/>
              </w:rPr>
            </w:pPr>
          </w:p>
        </w:tc>
        <w:tc>
          <w:tcPr>
            <w:tcW w:w="217" w:type="dxa"/>
          </w:tcPr>
          <w:p w14:paraId="314D0388" w14:textId="77777777" w:rsidR="002C0FD9" w:rsidRPr="00CA25CF" w:rsidRDefault="002C0FD9" w:rsidP="00CA25CF">
            <w:pPr>
              <w:rPr>
                <w:rFonts w:cs="Arial"/>
                <w:color w:val="FF0000"/>
                <w:sz w:val="21"/>
                <w:szCs w:val="21"/>
              </w:rPr>
            </w:pPr>
          </w:p>
        </w:tc>
        <w:tc>
          <w:tcPr>
            <w:tcW w:w="217" w:type="dxa"/>
          </w:tcPr>
          <w:p w14:paraId="728D36D2" w14:textId="77777777" w:rsidR="002C0FD9" w:rsidRPr="00CA25CF" w:rsidRDefault="002C0FD9" w:rsidP="00CA25CF">
            <w:pPr>
              <w:rPr>
                <w:rFonts w:cs="Arial"/>
                <w:color w:val="FF0000"/>
                <w:sz w:val="21"/>
                <w:szCs w:val="21"/>
              </w:rPr>
            </w:pPr>
          </w:p>
        </w:tc>
        <w:tc>
          <w:tcPr>
            <w:tcW w:w="217" w:type="dxa"/>
          </w:tcPr>
          <w:p w14:paraId="2E7CFBE5" w14:textId="77777777" w:rsidR="002C0FD9" w:rsidRPr="00CA25CF" w:rsidRDefault="002C0FD9" w:rsidP="00CA25CF">
            <w:pPr>
              <w:rPr>
                <w:rFonts w:cs="Arial"/>
                <w:color w:val="FF0000"/>
                <w:sz w:val="21"/>
                <w:szCs w:val="21"/>
              </w:rPr>
            </w:pPr>
          </w:p>
        </w:tc>
        <w:tc>
          <w:tcPr>
            <w:tcW w:w="217" w:type="dxa"/>
          </w:tcPr>
          <w:p w14:paraId="0BD83F5C" w14:textId="77777777" w:rsidR="002C0FD9" w:rsidRPr="00CA25CF" w:rsidRDefault="002C0FD9" w:rsidP="00CA25CF">
            <w:pPr>
              <w:rPr>
                <w:rFonts w:cs="Arial"/>
                <w:color w:val="FF0000"/>
                <w:sz w:val="21"/>
                <w:szCs w:val="21"/>
              </w:rPr>
            </w:pPr>
          </w:p>
        </w:tc>
        <w:tc>
          <w:tcPr>
            <w:tcW w:w="217" w:type="dxa"/>
          </w:tcPr>
          <w:p w14:paraId="0203649F" w14:textId="77777777" w:rsidR="002C0FD9" w:rsidRPr="00CA25CF" w:rsidRDefault="002C0FD9" w:rsidP="00CA25CF">
            <w:pPr>
              <w:rPr>
                <w:rFonts w:cs="Arial"/>
                <w:color w:val="FF0000"/>
                <w:sz w:val="21"/>
                <w:szCs w:val="21"/>
              </w:rPr>
            </w:pPr>
          </w:p>
        </w:tc>
        <w:tc>
          <w:tcPr>
            <w:tcW w:w="217" w:type="dxa"/>
          </w:tcPr>
          <w:p w14:paraId="5737E414" w14:textId="77777777" w:rsidR="002C0FD9" w:rsidRPr="00CA25CF" w:rsidRDefault="002C0FD9" w:rsidP="00CA25CF">
            <w:pPr>
              <w:rPr>
                <w:rFonts w:cs="Arial"/>
                <w:color w:val="FF0000"/>
                <w:sz w:val="21"/>
                <w:szCs w:val="21"/>
              </w:rPr>
            </w:pPr>
          </w:p>
        </w:tc>
        <w:tc>
          <w:tcPr>
            <w:tcW w:w="217" w:type="dxa"/>
          </w:tcPr>
          <w:p w14:paraId="1635B594" w14:textId="77777777" w:rsidR="002C0FD9" w:rsidRPr="00CA25CF" w:rsidRDefault="002C0FD9" w:rsidP="00CA25CF">
            <w:pPr>
              <w:rPr>
                <w:rFonts w:cs="Arial"/>
                <w:color w:val="FF0000"/>
                <w:sz w:val="21"/>
                <w:szCs w:val="21"/>
              </w:rPr>
            </w:pPr>
          </w:p>
        </w:tc>
        <w:tc>
          <w:tcPr>
            <w:tcW w:w="217" w:type="dxa"/>
          </w:tcPr>
          <w:p w14:paraId="25839EDF" w14:textId="77777777" w:rsidR="002C0FD9" w:rsidRPr="00CA25CF" w:rsidRDefault="002C0FD9" w:rsidP="00CA25CF">
            <w:pPr>
              <w:rPr>
                <w:rFonts w:cs="Arial"/>
                <w:color w:val="FF0000"/>
                <w:sz w:val="21"/>
                <w:szCs w:val="21"/>
              </w:rPr>
            </w:pPr>
          </w:p>
        </w:tc>
        <w:tc>
          <w:tcPr>
            <w:tcW w:w="217" w:type="dxa"/>
          </w:tcPr>
          <w:p w14:paraId="45729C04" w14:textId="77777777" w:rsidR="002C0FD9" w:rsidRPr="00CA25CF" w:rsidRDefault="002C0FD9" w:rsidP="00CA25CF">
            <w:pPr>
              <w:rPr>
                <w:rFonts w:cs="Arial"/>
                <w:color w:val="FF0000"/>
                <w:sz w:val="21"/>
                <w:szCs w:val="21"/>
              </w:rPr>
            </w:pPr>
          </w:p>
        </w:tc>
      </w:tr>
      <w:tr w:rsidR="002C0FD9" w:rsidRPr="00A16219" w14:paraId="591D9B86" w14:textId="438CD9B6" w:rsidTr="002C0FD9">
        <w:trPr>
          <w:trHeight w:val="635"/>
        </w:trPr>
        <w:tc>
          <w:tcPr>
            <w:tcW w:w="515" w:type="dxa"/>
          </w:tcPr>
          <w:p w14:paraId="68498BC0" w14:textId="77777777" w:rsidR="002C0FD9" w:rsidRPr="00CA25CF" w:rsidRDefault="002C0FD9" w:rsidP="00CA25CF">
            <w:pPr>
              <w:rPr>
                <w:rFonts w:cs="Arial"/>
                <w:color w:val="FF0000"/>
                <w:sz w:val="21"/>
                <w:szCs w:val="21"/>
              </w:rPr>
            </w:pPr>
          </w:p>
        </w:tc>
        <w:tc>
          <w:tcPr>
            <w:tcW w:w="217" w:type="dxa"/>
          </w:tcPr>
          <w:p w14:paraId="03E4A3CD" w14:textId="77777777" w:rsidR="002C0FD9" w:rsidRPr="00CA25CF" w:rsidRDefault="002C0FD9" w:rsidP="00CA25CF">
            <w:pPr>
              <w:rPr>
                <w:rFonts w:cs="Arial"/>
                <w:color w:val="FF0000"/>
                <w:sz w:val="21"/>
                <w:szCs w:val="21"/>
              </w:rPr>
            </w:pPr>
          </w:p>
        </w:tc>
        <w:tc>
          <w:tcPr>
            <w:tcW w:w="217" w:type="dxa"/>
          </w:tcPr>
          <w:p w14:paraId="6883313E" w14:textId="22CF405B" w:rsidR="002C0FD9" w:rsidRPr="00CA25CF" w:rsidRDefault="002C0FD9" w:rsidP="00CA25CF">
            <w:pPr>
              <w:rPr>
                <w:rFonts w:cs="Arial"/>
                <w:color w:val="FF0000"/>
                <w:sz w:val="21"/>
                <w:szCs w:val="21"/>
              </w:rPr>
            </w:pPr>
          </w:p>
        </w:tc>
        <w:tc>
          <w:tcPr>
            <w:tcW w:w="217" w:type="dxa"/>
          </w:tcPr>
          <w:p w14:paraId="0C051854" w14:textId="77777777" w:rsidR="002C0FD9" w:rsidRPr="00CA25CF" w:rsidRDefault="002C0FD9" w:rsidP="00CA25CF">
            <w:pPr>
              <w:rPr>
                <w:rFonts w:cs="Arial"/>
                <w:color w:val="FF0000"/>
                <w:sz w:val="21"/>
                <w:szCs w:val="21"/>
              </w:rPr>
            </w:pPr>
          </w:p>
        </w:tc>
        <w:tc>
          <w:tcPr>
            <w:tcW w:w="217" w:type="dxa"/>
          </w:tcPr>
          <w:p w14:paraId="3A830B35" w14:textId="77777777" w:rsidR="002C0FD9" w:rsidRPr="00CA25CF" w:rsidRDefault="002C0FD9" w:rsidP="00CA25CF">
            <w:pPr>
              <w:rPr>
                <w:rFonts w:cs="Arial"/>
                <w:color w:val="FF0000"/>
                <w:sz w:val="21"/>
                <w:szCs w:val="21"/>
              </w:rPr>
            </w:pPr>
          </w:p>
        </w:tc>
        <w:tc>
          <w:tcPr>
            <w:tcW w:w="217" w:type="dxa"/>
          </w:tcPr>
          <w:p w14:paraId="5051CF0A" w14:textId="77777777" w:rsidR="002C0FD9" w:rsidRPr="00CA25CF" w:rsidRDefault="002C0FD9" w:rsidP="00CA25CF">
            <w:pPr>
              <w:rPr>
                <w:rFonts w:cs="Arial"/>
                <w:color w:val="FF0000"/>
                <w:sz w:val="21"/>
                <w:szCs w:val="21"/>
              </w:rPr>
            </w:pPr>
          </w:p>
        </w:tc>
        <w:tc>
          <w:tcPr>
            <w:tcW w:w="217" w:type="dxa"/>
          </w:tcPr>
          <w:p w14:paraId="6D8083DA" w14:textId="77777777" w:rsidR="002C0FD9" w:rsidRPr="00CA25CF" w:rsidRDefault="002C0FD9" w:rsidP="00CA25CF">
            <w:pPr>
              <w:rPr>
                <w:rFonts w:cs="Arial"/>
                <w:color w:val="FF0000"/>
                <w:sz w:val="21"/>
                <w:szCs w:val="21"/>
              </w:rPr>
            </w:pPr>
          </w:p>
        </w:tc>
        <w:tc>
          <w:tcPr>
            <w:tcW w:w="217" w:type="dxa"/>
          </w:tcPr>
          <w:p w14:paraId="764F3E80" w14:textId="77777777" w:rsidR="002C0FD9" w:rsidRPr="00CA25CF" w:rsidRDefault="002C0FD9" w:rsidP="00CA25CF">
            <w:pPr>
              <w:rPr>
                <w:rFonts w:cs="Arial"/>
                <w:color w:val="FF0000"/>
                <w:sz w:val="21"/>
                <w:szCs w:val="21"/>
              </w:rPr>
            </w:pPr>
          </w:p>
        </w:tc>
        <w:tc>
          <w:tcPr>
            <w:tcW w:w="217" w:type="dxa"/>
          </w:tcPr>
          <w:p w14:paraId="7E6BF6C5" w14:textId="77777777" w:rsidR="002C0FD9" w:rsidRPr="00CA25CF" w:rsidRDefault="002C0FD9" w:rsidP="00CA25CF">
            <w:pPr>
              <w:rPr>
                <w:rFonts w:cs="Arial"/>
                <w:color w:val="FF0000"/>
                <w:sz w:val="21"/>
                <w:szCs w:val="21"/>
              </w:rPr>
            </w:pPr>
          </w:p>
        </w:tc>
        <w:tc>
          <w:tcPr>
            <w:tcW w:w="217" w:type="dxa"/>
          </w:tcPr>
          <w:p w14:paraId="0EE6E0DA" w14:textId="77777777" w:rsidR="002C0FD9" w:rsidRPr="00CA25CF" w:rsidRDefault="002C0FD9" w:rsidP="00CA25CF">
            <w:pPr>
              <w:rPr>
                <w:rFonts w:cs="Arial"/>
                <w:color w:val="FF0000"/>
                <w:sz w:val="21"/>
                <w:szCs w:val="21"/>
              </w:rPr>
            </w:pPr>
          </w:p>
        </w:tc>
        <w:tc>
          <w:tcPr>
            <w:tcW w:w="217" w:type="dxa"/>
          </w:tcPr>
          <w:p w14:paraId="4A4CB348" w14:textId="77777777" w:rsidR="002C0FD9" w:rsidRPr="00CA25CF" w:rsidRDefault="002C0FD9" w:rsidP="00CA25CF">
            <w:pPr>
              <w:rPr>
                <w:rFonts w:cs="Arial"/>
                <w:color w:val="FF0000"/>
                <w:sz w:val="21"/>
                <w:szCs w:val="21"/>
              </w:rPr>
            </w:pPr>
          </w:p>
        </w:tc>
        <w:tc>
          <w:tcPr>
            <w:tcW w:w="217" w:type="dxa"/>
          </w:tcPr>
          <w:p w14:paraId="7B86B1CF" w14:textId="77777777" w:rsidR="002C0FD9" w:rsidRPr="00CA25CF" w:rsidRDefault="002C0FD9" w:rsidP="00CA25CF">
            <w:pPr>
              <w:rPr>
                <w:rFonts w:cs="Arial"/>
                <w:color w:val="FF0000"/>
                <w:sz w:val="21"/>
                <w:szCs w:val="21"/>
              </w:rPr>
            </w:pPr>
          </w:p>
        </w:tc>
        <w:tc>
          <w:tcPr>
            <w:tcW w:w="217" w:type="dxa"/>
          </w:tcPr>
          <w:p w14:paraId="79605E89" w14:textId="77777777" w:rsidR="002C0FD9" w:rsidRPr="00CA25CF" w:rsidRDefault="002C0FD9" w:rsidP="00CA25CF">
            <w:pPr>
              <w:rPr>
                <w:rFonts w:cs="Arial"/>
                <w:color w:val="FF0000"/>
                <w:sz w:val="21"/>
                <w:szCs w:val="21"/>
              </w:rPr>
            </w:pPr>
          </w:p>
        </w:tc>
        <w:tc>
          <w:tcPr>
            <w:tcW w:w="217" w:type="dxa"/>
          </w:tcPr>
          <w:p w14:paraId="0117B638" w14:textId="77777777" w:rsidR="002C0FD9" w:rsidRPr="00CA25CF" w:rsidRDefault="002C0FD9" w:rsidP="00CA25CF">
            <w:pPr>
              <w:rPr>
                <w:rFonts w:cs="Arial"/>
                <w:color w:val="FF0000"/>
                <w:sz w:val="21"/>
                <w:szCs w:val="21"/>
              </w:rPr>
            </w:pPr>
          </w:p>
        </w:tc>
        <w:tc>
          <w:tcPr>
            <w:tcW w:w="217" w:type="dxa"/>
          </w:tcPr>
          <w:p w14:paraId="05B62CFB" w14:textId="77777777" w:rsidR="002C0FD9" w:rsidRPr="00CA25CF" w:rsidRDefault="002C0FD9" w:rsidP="00CA25CF">
            <w:pPr>
              <w:rPr>
                <w:rFonts w:cs="Arial"/>
                <w:color w:val="FF0000"/>
                <w:sz w:val="21"/>
                <w:szCs w:val="21"/>
              </w:rPr>
            </w:pPr>
          </w:p>
        </w:tc>
        <w:tc>
          <w:tcPr>
            <w:tcW w:w="217" w:type="dxa"/>
          </w:tcPr>
          <w:p w14:paraId="52573133" w14:textId="3E87E514" w:rsidR="002C0FD9" w:rsidRPr="00CA25CF" w:rsidRDefault="002C0FD9" w:rsidP="00CA25CF">
            <w:pPr>
              <w:rPr>
                <w:rFonts w:cs="Arial"/>
                <w:color w:val="FF0000"/>
                <w:sz w:val="21"/>
                <w:szCs w:val="21"/>
              </w:rPr>
            </w:pPr>
          </w:p>
        </w:tc>
        <w:tc>
          <w:tcPr>
            <w:tcW w:w="217" w:type="dxa"/>
          </w:tcPr>
          <w:p w14:paraId="76074944" w14:textId="77777777" w:rsidR="002C0FD9" w:rsidRPr="00CA25CF" w:rsidRDefault="002C0FD9" w:rsidP="00CA25CF">
            <w:pPr>
              <w:rPr>
                <w:rFonts w:cs="Arial"/>
                <w:color w:val="FF0000"/>
                <w:sz w:val="21"/>
                <w:szCs w:val="21"/>
              </w:rPr>
            </w:pPr>
          </w:p>
        </w:tc>
        <w:tc>
          <w:tcPr>
            <w:tcW w:w="217" w:type="dxa"/>
          </w:tcPr>
          <w:p w14:paraId="1092AA72" w14:textId="77777777" w:rsidR="002C0FD9" w:rsidRPr="00CA25CF" w:rsidRDefault="002C0FD9" w:rsidP="00CA25CF">
            <w:pPr>
              <w:rPr>
                <w:rFonts w:cs="Arial"/>
                <w:color w:val="FF0000"/>
                <w:sz w:val="21"/>
                <w:szCs w:val="21"/>
              </w:rPr>
            </w:pPr>
          </w:p>
        </w:tc>
        <w:tc>
          <w:tcPr>
            <w:tcW w:w="217" w:type="dxa"/>
          </w:tcPr>
          <w:p w14:paraId="65A18ABD" w14:textId="77777777" w:rsidR="002C0FD9" w:rsidRPr="00CA25CF" w:rsidRDefault="002C0FD9" w:rsidP="00CA25CF">
            <w:pPr>
              <w:rPr>
                <w:rFonts w:cs="Arial"/>
                <w:color w:val="FF0000"/>
                <w:sz w:val="21"/>
                <w:szCs w:val="21"/>
              </w:rPr>
            </w:pPr>
          </w:p>
        </w:tc>
        <w:tc>
          <w:tcPr>
            <w:tcW w:w="217" w:type="dxa"/>
          </w:tcPr>
          <w:p w14:paraId="01545EC3" w14:textId="77777777" w:rsidR="002C0FD9" w:rsidRPr="00CA25CF" w:rsidRDefault="002C0FD9" w:rsidP="00CA25CF">
            <w:pPr>
              <w:rPr>
                <w:rFonts w:cs="Arial"/>
                <w:color w:val="FF0000"/>
                <w:sz w:val="21"/>
                <w:szCs w:val="21"/>
              </w:rPr>
            </w:pPr>
          </w:p>
        </w:tc>
        <w:tc>
          <w:tcPr>
            <w:tcW w:w="217" w:type="dxa"/>
          </w:tcPr>
          <w:p w14:paraId="1CC41A1C" w14:textId="77777777" w:rsidR="002C0FD9" w:rsidRPr="00CA25CF" w:rsidRDefault="002C0FD9" w:rsidP="00CA25CF">
            <w:pPr>
              <w:rPr>
                <w:rFonts w:cs="Arial"/>
                <w:color w:val="FF0000"/>
                <w:sz w:val="21"/>
                <w:szCs w:val="21"/>
              </w:rPr>
            </w:pPr>
          </w:p>
        </w:tc>
        <w:tc>
          <w:tcPr>
            <w:tcW w:w="217" w:type="dxa"/>
          </w:tcPr>
          <w:p w14:paraId="2A2A71A7" w14:textId="77777777" w:rsidR="002C0FD9" w:rsidRPr="00CA25CF" w:rsidRDefault="002C0FD9" w:rsidP="00CA25CF">
            <w:pPr>
              <w:rPr>
                <w:rFonts w:cs="Arial"/>
                <w:color w:val="FF0000"/>
                <w:sz w:val="21"/>
                <w:szCs w:val="21"/>
              </w:rPr>
            </w:pPr>
          </w:p>
        </w:tc>
        <w:tc>
          <w:tcPr>
            <w:tcW w:w="217" w:type="dxa"/>
          </w:tcPr>
          <w:p w14:paraId="0D88ED9E" w14:textId="77777777" w:rsidR="002C0FD9" w:rsidRPr="00CA25CF" w:rsidRDefault="002C0FD9" w:rsidP="00CA25CF">
            <w:pPr>
              <w:rPr>
                <w:rFonts w:cs="Arial"/>
                <w:color w:val="FF0000"/>
                <w:sz w:val="21"/>
                <w:szCs w:val="21"/>
              </w:rPr>
            </w:pPr>
          </w:p>
        </w:tc>
        <w:tc>
          <w:tcPr>
            <w:tcW w:w="217" w:type="dxa"/>
          </w:tcPr>
          <w:p w14:paraId="59107959" w14:textId="77777777" w:rsidR="002C0FD9" w:rsidRPr="00CA25CF" w:rsidRDefault="002C0FD9" w:rsidP="00CA25CF">
            <w:pPr>
              <w:rPr>
                <w:rFonts w:cs="Arial"/>
                <w:color w:val="FF0000"/>
                <w:sz w:val="21"/>
                <w:szCs w:val="21"/>
              </w:rPr>
            </w:pPr>
          </w:p>
        </w:tc>
        <w:tc>
          <w:tcPr>
            <w:tcW w:w="217" w:type="dxa"/>
          </w:tcPr>
          <w:p w14:paraId="680C38F3" w14:textId="77777777" w:rsidR="002C0FD9" w:rsidRPr="00CA25CF" w:rsidRDefault="002C0FD9" w:rsidP="00CA25CF">
            <w:pPr>
              <w:rPr>
                <w:rFonts w:cs="Arial"/>
                <w:color w:val="FF0000"/>
                <w:sz w:val="21"/>
                <w:szCs w:val="21"/>
              </w:rPr>
            </w:pPr>
          </w:p>
        </w:tc>
        <w:tc>
          <w:tcPr>
            <w:tcW w:w="217" w:type="dxa"/>
          </w:tcPr>
          <w:p w14:paraId="37F1B884" w14:textId="77777777" w:rsidR="002C0FD9" w:rsidRPr="00CA25CF" w:rsidRDefault="002C0FD9" w:rsidP="00CA25CF">
            <w:pPr>
              <w:rPr>
                <w:rFonts w:cs="Arial"/>
                <w:color w:val="FF0000"/>
                <w:sz w:val="21"/>
                <w:szCs w:val="21"/>
              </w:rPr>
            </w:pPr>
          </w:p>
        </w:tc>
        <w:tc>
          <w:tcPr>
            <w:tcW w:w="217" w:type="dxa"/>
          </w:tcPr>
          <w:p w14:paraId="4F406B8E" w14:textId="77777777" w:rsidR="002C0FD9" w:rsidRPr="00CA25CF" w:rsidRDefault="002C0FD9" w:rsidP="00CA25CF">
            <w:pPr>
              <w:rPr>
                <w:rFonts w:cs="Arial"/>
                <w:color w:val="FF0000"/>
                <w:sz w:val="21"/>
                <w:szCs w:val="21"/>
              </w:rPr>
            </w:pPr>
          </w:p>
        </w:tc>
        <w:tc>
          <w:tcPr>
            <w:tcW w:w="217" w:type="dxa"/>
          </w:tcPr>
          <w:p w14:paraId="756B0AFD" w14:textId="77777777" w:rsidR="002C0FD9" w:rsidRPr="00CA25CF" w:rsidRDefault="002C0FD9" w:rsidP="00CA25CF">
            <w:pPr>
              <w:rPr>
                <w:rFonts w:cs="Arial"/>
                <w:color w:val="FF0000"/>
                <w:sz w:val="21"/>
                <w:szCs w:val="21"/>
              </w:rPr>
            </w:pPr>
          </w:p>
        </w:tc>
        <w:tc>
          <w:tcPr>
            <w:tcW w:w="217" w:type="dxa"/>
          </w:tcPr>
          <w:p w14:paraId="26917509" w14:textId="77777777" w:rsidR="002C0FD9" w:rsidRPr="00CA25CF" w:rsidRDefault="002C0FD9" w:rsidP="00CA25CF">
            <w:pPr>
              <w:rPr>
                <w:rFonts w:cs="Arial"/>
                <w:color w:val="FF0000"/>
                <w:sz w:val="21"/>
                <w:szCs w:val="21"/>
              </w:rPr>
            </w:pPr>
          </w:p>
        </w:tc>
        <w:tc>
          <w:tcPr>
            <w:tcW w:w="217" w:type="dxa"/>
          </w:tcPr>
          <w:p w14:paraId="3543AE1E" w14:textId="77777777" w:rsidR="002C0FD9" w:rsidRPr="00CA25CF" w:rsidRDefault="002C0FD9" w:rsidP="00CA25CF">
            <w:pPr>
              <w:rPr>
                <w:rFonts w:cs="Arial"/>
                <w:color w:val="FF0000"/>
                <w:sz w:val="21"/>
                <w:szCs w:val="21"/>
              </w:rPr>
            </w:pPr>
          </w:p>
        </w:tc>
        <w:tc>
          <w:tcPr>
            <w:tcW w:w="217" w:type="dxa"/>
          </w:tcPr>
          <w:p w14:paraId="007B7232" w14:textId="77777777" w:rsidR="002C0FD9" w:rsidRPr="00CA25CF" w:rsidRDefault="002C0FD9" w:rsidP="00CA25CF">
            <w:pPr>
              <w:rPr>
                <w:rFonts w:cs="Arial"/>
                <w:color w:val="FF0000"/>
                <w:sz w:val="21"/>
                <w:szCs w:val="21"/>
              </w:rPr>
            </w:pPr>
          </w:p>
        </w:tc>
        <w:tc>
          <w:tcPr>
            <w:tcW w:w="217" w:type="dxa"/>
          </w:tcPr>
          <w:p w14:paraId="1AD88B9C" w14:textId="77777777" w:rsidR="002C0FD9" w:rsidRPr="00CA25CF" w:rsidRDefault="002C0FD9" w:rsidP="00CA25CF">
            <w:pPr>
              <w:rPr>
                <w:rFonts w:cs="Arial"/>
                <w:color w:val="FF0000"/>
                <w:sz w:val="21"/>
                <w:szCs w:val="21"/>
              </w:rPr>
            </w:pPr>
          </w:p>
        </w:tc>
        <w:tc>
          <w:tcPr>
            <w:tcW w:w="217" w:type="dxa"/>
          </w:tcPr>
          <w:p w14:paraId="00708FEE" w14:textId="77777777" w:rsidR="002C0FD9" w:rsidRPr="00CA25CF" w:rsidRDefault="002C0FD9" w:rsidP="00CA25CF">
            <w:pPr>
              <w:rPr>
                <w:rFonts w:cs="Arial"/>
                <w:color w:val="FF0000"/>
                <w:sz w:val="21"/>
                <w:szCs w:val="21"/>
              </w:rPr>
            </w:pPr>
          </w:p>
        </w:tc>
        <w:tc>
          <w:tcPr>
            <w:tcW w:w="217" w:type="dxa"/>
          </w:tcPr>
          <w:p w14:paraId="794E5B89" w14:textId="77777777" w:rsidR="002C0FD9" w:rsidRPr="00CA25CF" w:rsidRDefault="002C0FD9" w:rsidP="00CA25CF">
            <w:pPr>
              <w:rPr>
                <w:rFonts w:cs="Arial"/>
                <w:color w:val="FF0000"/>
                <w:sz w:val="21"/>
                <w:szCs w:val="21"/>
              </w:rPr>
            </w:pPr>
          </w:p>
        </w:tc>
        <w:tc>
          <w:tcPr>
            <w:tcW w:w="217" w:type="dxa"/>
          </w:tcPr>
          <w:p w14:paraId="4E1A968F" w14:textId="77777777" w:rsidR="002C0FD9" w:rsidRPr="00CA25CF" w:rsidRDefault="002C0FD9" w:rsidP="00CA25CF">
            <w:pPr>
              <w:rPr>
                <w:rFonts w:cs="Arial"/>
                <w:color w:val="FF0000"/>
                <w:sz w:val="21"/>
                <w:szCs w:val="21"/>
              </w:rPr>
            </w:pPr>
          </w:p>
        </w:tc>
        <w:tc>
          <w:tcPr>
            <w:tcW w:w="217" w:type="dxa"/>
          </w:tcPr>
          <w:p w14:paraId="6D0EDC44" w14:textId="77777777" w:rsidR="002C0FD9" w:rsidRPr="00CA25CF" w:rsidRDefault="002C0FD9" w:rsidP="00CA25CF">
            <w:pPr>
              <w:rPr>
                <w:rFonts w:cs="Arial"/>
                <w:color w:val="FF0000"/>
                <w:sz w:val="21"/>
                <w:szCs w:val="21"/>
              </w:rPr>
            </w:pPr>
          </w:p>
        </w:tc>
        <w:tc>
          <w:tcPr>
            <w:tcW w:w="217" w:type="dxa"/>
          </w:tcPr>
          <w:p w14:paraId="6E250141" w14:textId="77777777" w:rsidR="002C0FD9" w:rsidRPr="00CA25CF" w:rsidRDefault="002C0FD9" w:rsidP="00CA25CF">
            <w:pPr>
              <w:rPr>
                <w:rFonts w:cs="Arial"/>
                <w:color w:val="FF0000"/>
                <w:sz w:val="21"/>
                <w:szCs w:val="21"/>
              </w:rPr>
            </w:pPr>
          </w:p>
        </w:tc>
        <w:tc>
          <w:tcPr>
            <w:tcW w:w="217" w:type="dxa"/>
          </w:tcPr>
          <w:p w14:paraId="1CAE11AD" w14:textId="77777777" w:rsidR="002C0FD9" w:rsidRPr="00CA25CF" w:rsidRDefault="002C0FD9" w:rsidP="00CA25CF">
            <w:pPr>
              <w:rPr>
                <w:rFonts w:cs="Arial"/>
                <w:color w:val="FF0000"/>
                <w:sz w:val="21"/>
                <w:szCs w:val="21"/>
              </w:rPr>
            </w:pPr>
          </w:p>
        </w:tc>
        <w:tc>
          <w:tcPr>
            <w:tcW w:w="217" w:type="dxa"/>
          </w:tcPr>
          <w:p w14:paraId="5CE8E573" w14:textId="77777777" w:rsidR="002C0FD9" w:rsidRPr="00CA25CF" w:rsidRDefault="002C0FD9" w:rsidP="00CA25CF">
            <w:pPr>
              <w:rPr>
                <w:rFonts w:cs="Arial"/>
                <w:color w:val="FF0000"/>
                <w:sz w:val="21"/>
                <w:szCs w:val="21"/>
              </w:rPr>
            </w:pPr>
          </w:p>
        </w:tc>
        <w:tc>
          <w:tcPr>
            <w:tcW w:w="217" w:type="dxa"/>
          </w:tcPr>
          <w:p w14:paraId="6DB7512E" w14:textId="77777777" w:rsidR="002C0FD9" w:rsidRPr="00CA25CF" w:rsidRDefault="002C0FD9" w:rsidP="00CA25CF">
            <w:pPr>
              <w:rPr>
                <w:rFonts w:cs="Arial"/>
                <w:color w:val="FF0000"/>
                <w:sz w:val="21"/>
                <w:szCs w:val="21"/>
              </w:rPr>
            </w:pPr>
          </w:p>
        </w:tc>
        <w:tc>
          <w:tcPr>
            <w:tcW w:w="217" w:type="dxa"/>
          </w:tcPr>
          <w:p w14:paraId="2CB23AD6" w14:textId="77777777" w:rsidR="002C0FD9" w:rsidRPr="00CA25CF" w:rsidRDefault="002C0FD9" w:rsidP="00CA25CF">
            <w:pPr>
              <w:rPr>
                <w:rFonts w:cs="Arial"/>
                <w:color w:val="FF0000"/>
                <w:sz w:val="21"/>
                <w:szCs w:val="21"/>
              </w:rPr>
            </w:pPr>
          </w:p>
        </w:tc>
        <w:tc>
          <w:tcPr>
            <w:tcW w:w="217" w:type="dxa"/>
          </w:tcPr>
          <w:p w14:paraId="4C87F796" w14:textId="77777777" w:rsidR="002C0FD9" w:rsidRPr="00CA25CF" w:rsidRDefault="002C0FD9" w:rsidP="00CA25CF">
            <w:pPr>
              <w:rPr>
                <w:rFonts w:cs="Arial"/>
                <w:color w:val="FF0000"/>
                <w:sz w:val="21"/>
                <w:szCs w:val="21"/>
              </w:rPr>
            </w:pPr>
          </w:p>
        </w:tc>
        <w:tc>
          <w:tcPr>
            <w:tcW w:w="217" w:type="dxa"/>
          </w:tcPr>
          <w:p w14:paraId="17321926" w14:textId="77777777" w:rsidR="002C0FD9" w:rsidRPr="00CA25CF" w:rsidRDefault="002C0FD9" w:rsidP="00CA25CF">
            <w:pPr>
              <w:rPr>
                <w:rFonts w:cs="Arial"/>
                <w:color w:val="FF0000"/>
                <w:sz w:val="21"/>
                <w:szCs w:val="21"/>
              </w:rPr>
            </w:pPr>
          </w:p>
        </w:tc>
      </w:tr>
      <w:tr w:rsidR="002C0FD9" w:rsidRPr="00A16219" w14:paraId="682DC45E" w14:textId="353DFAD3" w:rsidTr="002C0FD9">
        <w:trPr>
          <w:trHeight w:val="635"/>
        </w:trPr>
        <w:tc>
          <w:tcPr>
            <w:tcW w:w="515" w:type="dxa"/>
          </w:tcPr>
          <w:p w14:paraId="5FE45A97" w14:textId="77777777" w:rsidR="002C0FD9" w:rsidRPr="00CA25CF" w:rsidRDefault="002C0FD9" w:rsidP="00CA25CF">
            <w:pPr>
              <w:rPr>
                <w:rFonts w:cs="Arial"/>
                <w:color w:val="FF0000"/>
                <w:sz w:val="21"/>
                <w:szCs w:val="21"/>
              </w:rPr>
            </w:pPr>
          </w:p>
        </w:tc>
        <w:tc>
          <w:tcPr>
            <w:tcW w:w="217" w:type="dxa"/>
          </w:tcPr>
          <w:p w14:paraId="49593BDC" w14:textId="77777777" w:rsidR="002C0FD9" w:rsidRPr="00CA25CF" w:rsidRDefault="002C0FD9" w:rsidP="00CA25CF">
            <w:pPr>
              <w:rPr>
                <w:rFonts w:cs="Arial"/>
                <w:color w:val="FF0000"/>
                <w:sz w:val="21"/>
                <w:szCs w:val="21"/>
              </w:rPr>
            </w:pPr>
          </w:p>
        </w:tc>
        <w:tc>
          <w:tcPr>
            <w:tcW w:w="217" w:type="dxa"/>
          </w:tcPr>
          <w:p w14:paraId="567436CF" w14:textId="45EDA82A" w:rsidR="002C0FD9" w:rsidRPr="00CA25CF" w:rsidRDefault="002C0FD9" w:rsidP="00CA25CF">
            <w:pPr>
              <w:rPr>
                <w:rFonts w:cs="Arial"/>
                <w:color w:val="FF0000"/>
                <w:sz w:val="21"/>
                <w:szCs w:val="21"/>
              </w:rPr>
            </w:pPr>
          </w:p>
        </w:tc>
        <w:tc>
          <w:tcPr>
            <w:tcW w:w="217" w:type="dxa"/>
          </w:tcPr>
          <w:p w14:paraId="436788E1" w14:textId="77777777" w:rsidR="002C0FD9" w:rsidRPr="00CA25CF" w:rsidRDefault="002C0FD9" w:rsidP="00CA25CF">
            <w:pPr>
              <w:rPr>
                <w:rFonts w:cs="Arial"/>
                <w:color w:val="FF0000"/>
                <w:sz w:val="21"/>
                <w:szCs w:val="21"/>
              </w:rPr>
            </w:pPr>
          </w:p>
        </w:tc>
        <w:tc>
          <w:tcPr>
            <w:tcW w:w="217" w:type="dxa"/>
          </w:tcPr>
          <w:p w14:paraId="75FAE5DE" w14:textId="77777777" w:rsidR="002C0FD9" w:rsidRPr="00CA25CF" w:rsidRDefault="002C0FD9" w:rsidP="00CA25CF">
            <w:pPr>
              <w:rPr>
                <w:rFonts w:cs="Arial"/>
                <w:color w:val="FF0000"/>
                <w:sz w:val="21"/>
                <w:szCs w:val="21"/>
              </w:rPr>
            </w:pPr>
          </w:p>
        </w:tc>
        <w:tc>
          <w:tcPr>
            <w:tcW w:w="217" w:type="dxa"/>
          </w:tcPr>
          <w:p w14:paraId="35517673" w14:textId="77777777" w:rsidR="002C0FD9" w:rsidRPr="00CA25CF" w:rsidRDefault="002C0FD9" w:rsidP="00CA25CF">
            <w:pPr>
              <w:rPr>
                <w:rFonts w:cs="Arial"/>
                <w:color w:val="FF0000"/>
                <w:sz w:val="21"/>
                <w:szCs w:val="21"/>
              </w:rPr>
            </w:pPr>
          </w:p>
        </w:tc>
        <w:tc>
          <w:tcPr>
            <w:tcW w:w="217" w:type="dxa"/>
          </w:tcPr>
          <w:p w14:paraId="1139FCE9" w14:textId="77777777" w:rsidR="002C0FD9" w:rsidRPr="00CA25CF" w:rsidRDefault="002C0FD9" w:rsidP="00CA25CF">
            <w:pPr>
              <w:rPr>
                <w:rFonts w:cs="Arial"/>
                <w:color w:val="FF0000"/>
                <w:sz w:val="21"/>
                <w:szCs w:val="21"/>
              </w:rPr>
            </w:pPr>
          </w:p>
        </w:tc>
        <w:tc>
          <w:tcPr>
            <w:tcW w:w="217" w:type="dxa"/>
          </w:tcPr>
          <w:p w14:paraId="78A83608" w14:textId="77777777" w:rsidR="002C0FD9" w:rsidRPr="00CA25CF" w:rsidRDefault="002C0FD9" w:rsidP="00CA25CF">
            <w:pPr>
              <w:rPr>
                <w:rFonts w:cs="Arial"/>
                <w:color w:val="FF0000"/>
                <w:sz w:val="21"/>
                <w:szCs w:val="21"/>
              </w:rPr>
            </w:pPr>
          </w:p>
        </w:tc>
        <w:tc>
          <w:tcPr>
            <w:tcW w:w="217" w:type="dxa"/>
          </w:tcPr>
          <w:p w14:paraId="7E1465C0" w14:textId="77777777" w:rsidR="002C0FD9" w:rsidRPr="00CA25CF" w:rsidRDefault="002C0FD9" w:rsidP="00CA25CF">
            <w:pPr>
              <w:rPr>
                <w:rFonts w:cs="Arial"/>
                <w:color w:val="FF0000"/>
                <w:sz w:val="21"/>
                <w:szCs w:val="21"/>
              </w:rPr>
            </w:pPr>
          </w:p>
        </w:tc>
        <w:tc>
          <w:tcPr>
            <w:tcW w:w="217" w:type="dxa"/>
          </w:tcPr>
          <w:p w14:paraId="6F90759A" w14:textId="77777777" w:rsidR="002C0FD9" w:rsidRPr="00CA25CF" w:rsidRDefault="002C0FD9" w:rsidP="00CA25CF">
            <w:pPr>
              <w:rPr>
                <w:rFonts w:cs="Arial"/>
                <w:color w:val="FF0000"/>
                <w:sz w:val="21"/>
                <w:szCs w:val="21"/>
              </w:rPr>
            </w:pPr>
          </w:p>
        </w:tc>
        <w:tc>
          <w:tcPr>
            <w:tcW w:w="217" w:type="dxa"/>
          </w:tcPr>
          <w:p w14:paraId="13FC82B8" w14:textId="77777777" w:rsidR="002C0FD9" w:rsidRPr="00CA25CF" w:rsidRDefault="002C0FD9" w:rsidP="00CA25CF">
            <w:pPr>
              <w:rPr>
                <w:rFonts w:cs="Arial"/>
                <w:color w:val="FF0000"/>
                <w:sz w:val="21"/>
                <w:szCs w:val="21"/>
              </w:rPr>
            </w:pPr>
          </w:p>
        </w:tc>
        <w:tc>
          <w:tcPr>
            <w:tcW w:w="217" w:type="dxa"/>
          </w:tcPr>
          <w:p w14:paraId="592F845D" w14:textId="77777777" w:rsidR="002C0FD9" w:rsidRPr="00CA25CF" w:rsidRDefault="002C0FD9" w:rsidP="00CA25CF">
            <w:pPr>
              <w:rPr>
                <w:rFonts w:cs="Arial"/>
                <w:color w:val="FF0000"/>
                <w:sz w:val="21"/>
                <w:szCs w:val="21"/>
              </w:rPr>
            </w:pPr>
          </w:p>
        </w:tc>
        <w:tc>
          <w:tcPr>
            <w:tcW w:w="217" w:type="dxa"/>
          </w:tcPr>
          <w:p w14:paraId="0EF5D47B" w14:textId="77777777" w:rsidR="002C0FD9" w:rsidRPr="00CA25CF" w:rsidRDefault="002C0FD9" w:rsidP="00CA25CF">
            <w:pPr>
              <w:rPr>
                <w:rFonts w:cs="Arial"/>
                <w:color w:val="FF0000"/>
                <w:sz w:val="21"/>
                <w:szCs w:val="21"/>
              </w:rPr>
            </w:pPr>
          </w:p>
        </w:tc>
        <w:tc>
          <w:tcPr>
            <w:tcW w:w="217" w:type="dxa"/>
          </w:tcPr>
          <w:p w14:paraId="07E52D5B" w14:textId="77777777" w:rsidR="002C0FD9" w:rsidRPr="00CA25CF" w:rsidRDefault="002C0FD9" w:rsidP="00CA25CF">
            <w:pPr>
              <w:rPr>
                <w:rFonts w:cs="Arial"/>
                <w:color w:val="FF0000"/>
                <w:sz w:val="21"/>
                <w:szCs w:val="21"/>
              </w:rPr>
            </w:pPr>
          </w:p>
        </w:tc>
        <w:tc>
          <w:tcPr>
            <w:tcW w:w="217" w:type="dxa"/>
          </w:tcPr>
          <w:p w14:paraId="7E09B826" w14:textId="77777777" w:rsidR="002C0FD9" w:rsidRPr="00CA25CF" w:rsidRDefault="002C0FD9" w:rsidP="00CA25CF">
            <w:pPr>
              <w:rPr>
                <w:rFonts w:cs="Arial"/>
                <w:color w:val="FF0000"/>
                <w:sz w:val="21"/>
                <w:szCs w:val="21"/>
              </w:rPr>
            </w:pPr>
          </w:p>
        </w:tc>
        <w:tc>
          <w:tcPr>
            <w:tcW w:w="217" w:type="dxa"/>
          </w:tcPr>
          <w:p w14:paraId="24311B53" w14:textId="7D6A9CF5" w:rsidR="002C0FD9" w:rsidRPr="00CA25CF" w:rsidRDefault="002C0FD9" w:rsidP="00CA25CF">
            <w:pPr>
              <w:rPr>
                <w:rFonts w:cs="Arial"/>
                <w:color w:val="FF0000"/>
                <w:sz w:val="21"/>
                <w:szCs w:val="21"/>
              </w:rPr>
            </w:pPr>
          </w:p>
        </w:tc>
        <w:tc>
          <w:tcPr>
            <w:tcW w:w="217" w:type="dxa"/>
          </w:tcPr>
          <w:p w14:paraId="0AF20A4F" w14:textId="77777777" w:rsidR="002C0FD9" w:rsidRPr="00CA25CF" w:rsidRDefault="002C0FD9" w:rsidP="00CA25CF">
            <w:pPr>
              <w:rPr>
                <w:rFonts w:cs="Arial"/>
                <w:color w:val="FF0000"/>
                <w:sz w:val="21"/>
                <w:szCs w:val="21"/>
              </w:rPr>
            </w:pPr>
          </w:p>
        </w:tc>
        <w:tc>
          <w:tcPr>
            <w:tcW w:w="217" w:type="dxa"/>
          </w:tcPr>
          <w:p w14:paraId="0282334C" w14:textId="77777777" w:rsidR="002C0FD9" w:rsidRPr="00CA25CF" w:rsidRDefault="002C0FD9" w:rsidP="00CA25CF">
            <w:pPr>
              <w:rPr>
                <w:rFonts w:cs="Arial"/>
                <w:color w:val="FF0000"/>
                <w:sz w:val="21"/>
                <w:szCs w:val="21"/>
              </w:rPr>
            </w:pPr>
          </w:p>
        </w:tc>
        <w:tc>
          <w:tcPr>
            <w:tcW w:w="217" w:type="dxa"/>
          </w:tcPr>
          <w:p w14:paraId="57F69FBB" w14:textId="77777777" w:rsidR="002C0FD9" w:rsidRPr="00CA25CF" w:rsidRDefault="002C0FD9" w:rsidP="00CA25CF">
            <w:pPr>
              <w:rPr>
                <w:rFonts w:cs="Arial"/>
                <w:color w:val="FF0000"/>
                <w:sz w:val="21"/>
                <w:szCs w:val="21"/>
              </w:rPr>
            </w:pPr>
          </w:p>
        </w:tc>
        <w:tc>
          <w:tcPr>
            <w:tcW w:w="217" w:type="dxa"/>
          </w:tcPr>
          <w:p w14:paraId="2B5AC0D3" w14:textId="77777777" w:rsidR="002C0FD9" w:rsidRPr="00CA25CF" w:rsidRDefault="002C0FD9" w:rsidP="00CA25CF">
            <w:pPr>
              <w:rPr>
                <w:rFonts w:cs="Arial"/>
                <w:color w:val="FF0000"/>
                <w:sz w:val="21"/>
                <w:szCs w:val="21"/>
              </w:rPr>
            </w:pPr>
          </w:p>
        </w:tc>
        <w:tc>
          <w:tcPr>
            <w:tcW w:w="217" w:type="dxa"/>
          </w:tcPr>
          <w:p w14:paraId="53A41ABE" w14:textId="77777777" w:rsidR="002C0FD9" w:rsidRPr="00CA25CF" w:rsidRDefault="002C0FD9" w:rsidP="00CA25CF">
            <w:pPr>
              <w:rPr>
                <w:rFonts w:cs="Arial"/>
                <w:color w:val="FF0000"/>
                <w:sz w:val="21"/>
                <w:szCs w:val="21"/>
              </w:rPr>
            </w:pPr>
          </w:p>
        </w:tc>
        <w:tc>
          <w:tcPr>
            <w:tcW w:w="217" w:type="dxa"/>
          </w:tcPr>
          <w:p w14:paraId="59A2DEC9" w14:textId="77777777" w:rsidR="002C0FD9" w:rsidRPr="00CA25CF" w:rsidRDefault="002C0FD9" w:rsidP="00CA25CF">
            <w:pPr>
              <w:rPr>
                <w:rFonts w:cs="Arial"/>
                <w:color w:val="FF0000"/>
                <w:sz w:val="21"/>
                <w:szCs w:val="21"/>
              </w:rPr>
            </w:pPr>
          </w:p>
        </w:tc>
        <w:tc>
          <w:tcPr>
            <w:tcW w:w="217" w:type="dxa"/>
          </w:tcPr>
          <w:p w14:paraId="25CC3B6F" w14:textId="77777777" w:rsidR="002C0FD9" w:rsidRPr="00CA25CF" w:rsidRDefault="002C0FD9" w:rsidP="00CA25CF">
            <w:pPr>
              <w:rPr>
                <w:rFonts w:cs="Arial"/>
                <w:color w:val="FF0000"/>
                <w:sz w:val="21"/>
                <w:szCs w:val="21"/>
              </w:rPr>
            </w:pPr>
          </w:p>
        </w:tc>
        <w:tc>
          <w:tcPr>
            <w:tcW w:w="217" w:type="dxa"/>
          </w:tcPr>
          <w:p w14:paraId="2710CF71" w14:textId="77777777" w:rsidR="002C0FD9" w:rsidRPr="00CA25CF" w:rsidRDefault="002C0FD9" w:rsidP="00CA25CF">
            <w:pPr>
              <w:rPr>
                <w:rFonts w:cs="Arial"/>
                <w:color w:val="FF0000"/>
                <w:sz w:val="21"/>
                <w:szCs w:val="21"/>
              </w:rPr>
            </w:pPr>
          </w:p>
        </w:tc>
        <w:tc>
          <w:tcPr>
            <w:tcW w:w="217" w:type="dxa"/>
          </w:tcPr>
          <w:p w14:paraId="4AF2EBC8" w14:textId="77777777" w:rsidR="002C0FD9" w:rsidRPr="00CA25CF" w:rsidRDefault="002C0FD9" w:rsidP="00CA25CF">
            <w:pPr>
              <w:rPr>
                <w:rFonts w:cs="Arial"/>
                <w:color w:val="FF0000"/>
                <w:sz w:val="21"/>
                <w:szCs w:val="21"/>
              </w:rPr>
            </w:pPr>
          </w:p>
        </w:tc>
        <w:tc>
          <w:tcPr>
            <w:tcW w:w="217" w:type="dxa"/>
          </w:tcPr>
          <w:p w14:paraId="644C274E" w14:textId="77777777" w:rsidR="002C0FD9" w:rsidRPr="00CA25CF" w:rsidRDefault="002C0FD9" w:rsidP="00CA25CF">
            <w:pPr>
              <w:rPr>
                <w:rFonts w:cs="Arial"/>
                <w:color w:val="FF0000"/>
                <w:sz w:val="21"/>
                <w:szCs w:val="21"/>
              </w:rPr>
            </w:pPr>
          </w:p>
        </w:tc>
        <w:tc>
          <w:tcPr>
            <w:tcW w:w="217" w:type="dxa"/>
          </w:tcPr>
          <w:p w14:paraId="588CB865" w14:textId="77777777" w:rsidR="002C0FD9" w:rsidRPr="00CA25CF" w:rsidRDefault="002C0FD9" w:rsidP="00CA25CF">
            <w:pPr>
              <w:rPr>
                <w:rFonts w:cs="Arial"/>
                <w:color w:val="FF0000"/>
                <w:sz w:val="21"/>
                <w:szCs w:val="21"/>
              </w:rPr>
            </w:pPr>
          </w:p>
        </w:tc>
        <w:tc>
          <w:tcPr>
            <w:tcW w:w="217" w:type="dxa"/>
          </w:tcPr>
          <w:p w14:paraId="298AEB76" w14:textId="77777777" w:rsidR="002C0FD9" w:rsidRPr="00CA25CF" w:rsidRDefault="002C0FD9" w:rsidP="00CA25CF">
            <w:pPr>
              <w:rPr>
                <w:rFonts w:cs="Arial"/>
                <w:color w:val="FF0000"/>
                <w:sz w:val="21"/>
                <w:szCs w:val="21"/>
              </w:rPr>
            </w:pPr>
          </w:p>
        </w:tc>
        <w:tc>
          <w:tcPr>
            <w:tcW w:w="217" w:type="dxa"/>
          </w:tcPr>
          <w:p w14:paraId="5177CF81" w14:textId="77777777" w:rsidR="002C0FD9" w:rsidRPr="00CA25CF" w:rsidRDefault="002C0FD9" w:rsidP="00CA25CF">
            <w:pPr>
              <w:rPr>
                <w:rFonts w:cs="Arial"/>
                <w:color w:val="FF0000"/>
                <w:sz w:val="21"/>
                <w:szCs w:val="21"/>
              </w:rPr>
            </w:pPr>
          </w:p>
        </w:tc>
        <w:tc>
          <w:tcPr>
            <w:tcW w:w="217" w:type="dxa"/>
          </w:tcPr>
          <w:p w14:paraId="7C606632" w14:textId="77777777" w:rsidR="002C0FD9" w:rsidRPr="00CA25CF" w:rsidRDefault="002C0FD9" w:rsidP="00CA25CF">
            <w:pPr>
              <w:rPr>
                <w:rFonts w:cs="Arial"/>
                <w:color w:val="FF0000"/>
                <w:sz w:val="21"/>
                <w:szCs w:val="21"/>
              </w:rPr>
            </w:pPr>
          </w:p>
        </w:tc>
        <w:tc>
          <w:tcPr>
            <w:tcW w:w="217" w:type="dxa"/>
          </w:tcPr>
          <w:p w14:paraId="193D804E" w14:textId="77777777" w:rsidR="002C0FD9" w:rsidRPr="00CA25CF" w:rsidRDefault="002C0FD9" w:rsidP="00CA25CF">
            <w:pPr>
              <w:rPr>
                <w:rFonts w:cs="Arial"/>
                <w:color w:val="FF0000"/>
                <w:sz w:val="21"/>
                <w:szCs w:val="21"/>
              </w:rPr>
            </w:pPr>
          </w:p>
        </w:tc>
        <w:tc>
          <w:tcPr>
            <w:tcW w:w="217" w:type="dxa"/>
          </w:tcPr>
          <w:p w14:paraId="676FF8A4" w14:textId="77777777" w:rsidR="002C0FD9" w:rsidRPr="00CA25CF" w:rsidRDefault="002C0FD9" w:rsidP="00CA25CF">
            <w:pPr>
              <w:rPr>
                <w:rFonts w:cs="Arial"/>
                <w:color w:val="FF0000"/>
                <w:sz w:val="21"/>
                <w:szCs w:val="21"/>
              </w:rPr>
            </w:pPr>
          </w:p>
        </w:tc>
        <w:tc>
          <w:tcPr>
            <w:tcW w:w="217" w:type="dxa"/>
          </w:tcPr>
          <w:p w14:paraId="4DA29048" w14:textId="77777777" w:rsidR="002C0FD9" w:rsidRPr="00CA25CF" w:rsidRDefault="002C0FD9" w:rsidP="00CA25CF">
            <w:pPr>
              <w:rPr>
                <w:rFonts w:cs="Arial"/>
                <w:color w:val="FF0000"/>
                <w:sz w:val="21"/>
                <w:szCs w:val="21"/>
              </w:rPr>
            </w:pPr>
          </w:p>
        </w:tc>
        <w:tc>
          <w:tcPr>
            <w:tcW w:w="217" w:type="dxa"/>
          </w:tcPr>
          <w:p w14:paraId="7085F8CA" w14:textId="77777777" w:rsidR="002C0FD9" w:rsidRPr="00CA25CF" w:rsidRDefault="002C0FD9" w:rsidP="00CA25CF">
            <w:pPr>
              <w:rPr>
                <w:rFonts w:cs="Arial"/>
                <w:color w:val="FF0000"/>
                <w:sz w:val="21"/>
                <w:szCs w:val="21"/>
              </w:rPr>
            </w:pPr>
          </w:p>
        </w:tc>
        <w:tc>
          <w:tcPr>
            <w:tcW w:w="217" w:type="dxa"/>
          </w:tcPr>
          <w:p w14:paraId="5EA64708" w14:textId="77777777" w:rsidR="002C0FD9" w:rsidRPr="00CA25CF" w:rsidRDefault="002C0FD9" w:rsidP="00CA25CF">
            <w:pPr>
              <w:rPr>
                <w:rFonts w:cs="Arial"/>
                <w:color w:val="FF0000"/>
                <w:sz w:val="21"/>
                <w:szCs w:val="21"/>
              </w:rPr>
            </w:pPr>
          </w:p>
        </w:tc>
        <w:tc>
          <w:tcPr>
            <w:tcW w:w="217" w:type="dxa"/>
          </w:tcPr>
          <w:p w14:paraId="2BFFDC18" w14:textId="77777777" w:rsidR="002C0FD9" w:rsidRPr="00CA25CF" w:rsidRDefault="002C0FD9" w:rsidP="00CA25CF">
            <w:pPr>
              <w:rPr>
                <w:rFonts w:cs="Arial"/>
                <w:color w:val="FF0000"/>
                <w:sz w:val="21"/>
                <w:szCs w:val="21"/>
              </w:rPr>
            </w:pPr>
          </w:p>
        </w:tc>
        <w:tc>
          <w:tcPr>
            <w:tcW w:w="217" w:type="dxa"/>
          </w:tcPr>
          <w:p w14:paraId="11AB4490" w14:textId="77777777" w:rsidR="002C0FD9" w:rsidRPr="00CA25CF" w:rsidRDefault="002C0FD9" w:rsidP="00CA25CF">
            <w:pPr>
              <w:rPr>
                <w:rFonts w:cs="Arial"/>
                <w:color w:val="FF0000"/>
                <w:sz w:val="21"/>
                <w:szCs w:val="21"/>
              </w:rPr>
            </w:pPr>
          </w:p>
        </w:tc>
        <w:tc>
          <w:tcPr>
            <w:tcW w:w="217" w:type="dxa"/>
          </w:tcPr>
          <w:p w14:paraId="7271F27F" w14:textId="77777777" w:rsidR="002C0FD9" w:rsidRPr="00CA25CF" w:rsidRDefault="002C0FD9" w:rsidP="00CA25CF">
            <w:pPr>
              <w:rPr>
                <w:rFonts w:cs="Arial"/>
                <w:color w:val="FF0000"/>
                <w:sz w:val="21"/>
                <w:szCs w:val="21"/>
              </w:rPr>
            </w:pPr>
          </w:p>
        </w:tc>
        <w:tc>
          <w:tcPr>
            <w:tcW w:w="217" w:type="dxa"/>
          </w:tcPr>
          <w:p w14:paraId="1870D618" w14:textId="77777777" w:rsidR="002C0FD9" w:rsidRPr="00CA25CF" w:rsidRDefault="002C0FD9" w:rsidP="00CA25CF">
            <w:pPr>
              <w:rPr>
                <w:rFonts w:cs="Arial"/>
                <w:color w:val="FF0000"/>
                <w:sz w:val="21"/>
                <w:szCs w:val="21"/>
              </w:rPr>
            </w:pPr>
          </w:p>
        </w:tc>
        <w:tc>
          <w:tcPr>
            <w:tcW w:w="217" w:type="dxa"/>
          </w:tcPr>
          <w:p w14:paraId="3BD21609" w14:textId="77777777" w:rsidR="002C0FD9" w:rsidRPr="00CA25CF" w:rsidRDefault="002C0FD9" w:rsidP="00CA25CF">
            <w:pPr>
              <w:rPr>
                <w:rFonts w:cs="Arial"/>
                <w:color w:val="FF0000"/>
                <w:sz w:val="21"/>
                <w:szCs w:val="21"/>
              </w:rPr>
            </w:pPr>
          </w:p>
        </w:tc>
        <w:tc>
          <w:tcPr>
            <w:tcW w:w="217" w:type="dxa"/>
          </w:tcPr>
          <w:p w14:paraId="05A41D68" w14:textId="77777777" w:rsidR="002C0FD9" w:rsidRPr="00CA25CF" w:rsidRDefault="002C0FD9" w:rsidP="00CA25CF">
            <w:pPr>
              <w:rPr>
                <w:rFonts w:cs="Arial"/>
                <w:color w:val="FF0000"/>
                <w:sz w:val="21"/>
                <w:szCs w:val="21"/>
              </w:rPr>
            </w:pPr>
          </w:p>
        </w:tc>
        <w:tc>
          <w:tcPr>
            <w:tcW w:w="217" w:type="dxa"/>
          </w:tcPr>
          <w:p w14:paraId="0408D2DC" w14:textId="77777777" w:rsidR="002C0FD9" w:rsidRPr="00CA25CF" w:rsidRDefault="002C0FD9" w:rsidP="00CA25CF">
            <w:pPr>
              <w:rPr>
                <w:rFonts w:cs="Arial"/>
                <w:color w:val="FF0000"/>
                <w:sz w:val="21"/>
                <w:szCs w:val="21"/>
              </w:rPr>
            </w:pPr>
          </w:p>
        </w:tc>
        <w:tc>
          <w:tcPr>
            <w:tcW w:w="217" w:type="dxa"/>
          </w:tcPr>
          <w:p w14:paraId="618DFE9D" w14:textId="77777777" w:rsidR="002C0FD9" w:rsidRPr="00CA25CF" w:rsidRDefault="002C0FD9" w:rsidP="00CA25CF">
            <w:pPr>
              <w:rPr>
                <w:rFonts w:cs="Arial"/>
                <w:color w:val="FF0000"/>
                <w:sz w:val="21"/>
                <w:szCs w:val="21"/>
              </w:rPr>
            </w:pPr>
          </w:p>
        </w:tc>
      </w:tr>
      <w:tr w:rsidR="002C0FD9" w:rsidRPr="00A16219" w14:paraId="4F65FA53" w14:textId="46673F88" w:rsidTr="002C0FD9">
        <w:trPr>
          <w:trHeight w:val="635"/>
        </w:trPr>
        <w:tc>
          <w:tcPr>
            <w:tcW w:w="515" w:type="dxa"/>
          </w:tcPr>
          <w:p w14:paraId="3ED346E8" w14:textId="77777777" w:rsidR="002C0FD9" w:rsidRPr="00CA25CF" w:rsidRDefault="002C0FD9" w:rsidP="00CA25CF">
            <w:pPr>
              <w:rPr>
                <w:rFonts w:cs="Arial"/>
                <w:color w:val="FF0000"/>
                <w:sz w:val="21"/>
                <w:szCs w:val="21"/>
              </w:rPr>
            </w:pPr>
          </w:p>
        </w:tc>
        <w:tc>
          <w:tcPr>
            <w:tcW w:w="217" w:type="dxa"/>
          </w:tcPr>
          <w:p w14:paraId="04ACEACE" w14:textId="77777777" w:rsidR="002C0FD9" w:rsidRPr="00CA25CF" w:rsidRDefault="002C0FD9" w:rsidP="00CA25CF">
            <w:pPr>
              <w:rPr>
                <w:rFonts w:cs="Arial"/>
                <w:color w:val="FF0000"/>
                <w:sz w:val="21"/>
                <w:szCs w:val="21"/>
              </w:rPr>
            </w:pPr>
          </w:p>
        </w:tc>
        <w:tc>
          <w:tcPr>
            <w:tcW w:w="217" w:type="dxa"/>
          </w:tcPr>
          <w:p w14:paraId="4A53F651" w14:textId="517B5D08" w:rsidR="002C0FD9" w:rsidRPr="00CA25CF" w:rsidRDefault="002C0FD9" w:rsidP="00CA25CF">
            <w:pPr>
              <w:rPr>
                <w:rFonts w:cs="Arial"/>
                <w:color w:val="FF0000"/>
                <w:sz w:val="21"/>
                <w:szCs w:val="21"/>
              </w:rPr>
            </w:pPr>
          </w:p>
        </w:tc>
        <w:tc>
          <w:tcPr>
            <w:tcW w:w="217" w:type="dxa"/>
          </w:tcPr>
          <w:p w14:paraId="121D5892" w14:textId="77777777" w:rsidR="002C0FD9" w:rsidRPr="00CA25CF" w:rsidRDefault="002C0FD9" w:rsidP="00CA25CF">
            <w:pPr>
              <w:rPr>
                <w:rFonts w:cs="Arial"/>
                <w:color w:val="FF0000"/>
                <w:sz w:val="21"/>
                <w:szCs w:val="21"/>
              </w:rPr>
            </w:pPr>
          </w:p>
        </w:tc>
        <w:tc>
          <w:tcPr>
            <w:tcW w:w="217" w:type="dxa"/>
          </w:tcPr>
          <w:p w14:paraId="0ADB9609" w14:textId="77777777" w:rsidR="002C0FD9" w:rsidRPr="00CA25CF" w:rsidRDefault="002C0FD9" w:rsidP="00CA25CF">
            <w:pPr>
              <w:rPr>
                <w:rFonts w:cs="Arial"/>
                <w:color w:val="FF0000"/>
                <w:sz w:val="21"/>
                <w:szCs w:val="21"/>
              </w:rPr>
            </w:pPr>
          </w:p>
        </w:tc>
        <w:tc>
          <w:tcPr>
            <w:tcW w:w="217" w:type="dxa"/>
          </w:tcPr>
          <w:p w14:paraId="25178534" w14:textId="77777777" w:rsidR="002C0FD9" w:rsidRPr="00CA25CF" w:rsidRDefault="002C0FD9" w:rsidP="00CA25CF">
            <w:pPr>
              <w:rPr>
                <w:rFonts w:cs="Arial"/>
                <w:color w:val="FF0000"/>
                <w:sz w:val="21"/>
                <w:szCs w:val="21"/>
              </w:rPr>
            </w:pPr>
          </w:p>
        </w:tc>
        <w:tc>
          <w:tcPr>
            <w:tcW w:w="217" w:type="dxa"/>
          </w:tcPr>
          <w:p w14:paraId="125DDCA2" w14:textId="77777777" w:rsidR="002C0FD9" w:rsidRPr="00CA25CF" w:rsidRDefault="002C0FD9" w:rsidP="00CA25CF">
            <w:pPr>
              <w:rPr>
                <w:rFonts w:cs="Arial"/>
                <w:color w:val="FF0000"/>
                <w:sz w:val="21"/>
                <w:szCs w:val="21"/>
              </w:rPr>
            </w:pPr>
          </w:p>
        </w:tc>
        <w:tc>
          <w:tcPr>
            <w:tcW w:w="217" w:type="dxa"/>
          </w:tcPr>
          <w:p w14:paraId="35E5E3EE" w14:textId="77777777" w:rsidR="002C0FD9" w:rsidRPr="00CA25CF" w:rsidRDefault="002C0FD9" w:rsidP="00CA25CF">
            <w:pPr>
              <w:rPr>
                <w:rFonts w:cs="Arial"/>
                <w:color w:val="FF0000"/>
                <w:sz w:val="21"/>
                <w:szCs w:val="21"/>
              </w:rPr>
            </w:pPr>
          </w:p>
        </w:tc>
        <w:tc>
          <w:tcPr>
            <w:tcW w:w="217" w:type="dxa"/>
          </w:tcPr>
          <w:p w14:paraId="6203E5DE" w14:textId="77777777" w:rsidR="002C0FD9" w:rsidRPr="00CA25CF" w:rsidRDefault="002C0FD9" w:rsidP="00CA25CF">
            <w:pPr>
              <w:rPr>
                <w:rFonts w:cs="Arial"/>
                <w:color w:val="FF0000"/>
                <w:sz w:val="21"/>
                <w:szCs w:val="21"/>
              </w:rPr>
            </w:pPr>
          </w:p>
        </w:tc>
        <w:tc>
          <w:tcPr>
            <w:tcW w:w="217" w:type="dxa"/>
          </w:tcPr>
          <w:p w14:paraId="4A96715B" w14:textId="77777777" w:rsidR="002C0FD9" w:rsidRPr="00CA25CF" w:rsidRDefault="002C0FD9" w:rsidP="00CA25CF">
            <w:pPr>
              <w:rPr>
                <w:rFonts w:cs="Arial"/>
                <w:color w:val="FF0000"/>
                <w:sz w:val="21"/>
                <w:szCs w:val="21"/>
              </w:rPr>
            </w:pPr>
          </w:p>
        </w:tc>
        <w:tc>
          <w:tcPr>
            <w:tcW w:w="217" w:type="dxa"/>
          </w:tcPr>
          <w:p w14:paraId="088785A1" w14:textId="77777777" w:rsidR="002C0FD9" w:rsidRPr="00CA25CF" w:rsidRDefault="002C0FD9" w:rsidP="00CA25CF">
            <w:pPr>
              <w:rPr>
                <w:rFonts w:cs="Arial"/>
                <w:color w:val="FF0000"/>
                <w:sz w:val="21"/>
                <w:szCs w:val="21"/>
              </w:rPr>
            </w:pPr>
          </w:p>
        </w:tc>
        <w:tc>
          <w:tcPr>
            <w:tcW w:w="217" w:type="dxa"/>
          </w:tcPr>
          <w:p w14:paraId="521E3599" w14:textId="77777777" w:rsidR="002C0FD9" w:rsidRPr="00CA25CF" w:rsidRDefault="002C0FD9" w:rsidP="00CA25CF">
            <w:pPr>
              <w:rPr>
                <w:rFonts w:cs="Arial"/>
                <w:color w:val="FF0000"/>
                <w:sz w:val="21"/>
                <w:szCs w:val="21"/>
              </w:rPr>
            </w:pPr>
          </w:p>
        </w:tc>
        <w:tc>
          <w:tcPr>
            <w:tcW w:w="217" w:type="dxa"/>
          </w:tcPr>
          <w:p w14:paraId="6BFB0CB1" w14:textId="77777777" w:rsidR="002C0FD9" w:rsidRPr="00CA25CF" w:rsidRDefault="002C0FD9" w:rsidP="00CA25CF">
            <w:pPr>
              <w:rPr>
                <w:rFonts w:cs="Arial"/>
                <w:color w:val="FF0000"/>
                <w:sz w:val="21"/>
                <w:szCs w:val="21"/>
              </w:rPr>
            </w:pPr>
          </w:p>
        </w:tc>
        <w:tc>
          <w:tcPr>
            <w:tcW w:w="217" w:type="dxa"/>
          </w:tcPr>
          <w:p w14:paraId="1922C18A" w14:textId="77777777" w:rsidR="002C0FD9" w:rsidRPr="00CA25CF" w:rsidRDefault="002C0FD9" w:rsidP="00CA25CF">
            <w:pPr>
              <w:rPr>
                <w:rFonts w:cs="Arial"/>
                <w:color w:val="FF0000"/>
                <w:sz w:val="21"/>
                <w:szCs w:val="21"/>
              </w:rPr>
            </w:pPr>
          </w:p>
        </w:tc>
        <w:tc>
          <w:tcPr>
            <w:tcW w:w="217" w:type="dxa"/>
          </w:tcPr>
          <w:p w14:paraId="65677983" w14:textId="77777777" w:rsidR="002C0FD9" w:rsidRPr="00CA25CF" w:rsidRDefault="002C0FD9" w:rsidP="00CA25CF">
            <w:pPr>
              <w:rPr>
                <w:rFonts w:cs="Arial"/>
                <w:color w:val="FF0000"/>
                <w:sz w:val="21"/>
                <w:szCs w:val="21"/>
              </w:rPr>
            </w:pPr>
          </w:p>
        </w:tc>
        <w:tc>
          <w:tcPr>
            <w:tcW w:w="217" w:type="dxa"/>
          </w:tcPr>
          <w:p w14:paraId="02EF07CD" w14:textId="72B69876" w:rsidR="002C0FD9" w:rsidRPr="00CA25CF" w:rsidRDefault="002C0FD9" w:rsidP="00CA25CF">
            <w:pPr>
              <w:rPr>
                <w:rFonts w:cs="Arial"/>
                <w:color w:val="FF0000"/>
                <w:sz w:val="21"/>
                <w:szCs w:val="21"/>
              </w:rPr>
            </w:pPr>
          </w:p>
        </w:tc>
        <w:tc>
          <w:tcPr>
            <w:tcW w:w="217" w:type="dxa"/>
          </w:tcPr>
          <w:p w14:paraId="270AEF3C" w14:textId="77777777" w:rsidR="002C0FD9" w:rsidRPr="00CA25CF" w:rsidRDefault="002C0FD9" w:rsidP="00CA25CF">
            <w:pPr>
              <w:rPr>
                <w:rFonts w:cs="Arial"/>
                <w:color w:val="FF0000"/>
                <w:sz w:val="21"/>
                <w:szCs w:val="21"/>
              </w:rPr>
            </w:pPr>
          </w:p>
        </w:tc>
        <w:tc>
          <w:tcPr>
            <w:tcW w:w="217" w:type="dxa"/>
          </w:tcPr>
          <w:p w14:paraId="69888745" w14:textId="77777777" w:rsidR="002C0FD9" w:rsidRPr="00CA25CF" w:rsidRDefault="002C0FD9" w:rsidP="00CA25CF">
            <w:pPr>
              <w:rPr>
                <w:rFonts w:cs="Arial"/>
                <w:color w:val="FF0000"/>
                <w:sz w:val="21"/>
                <w:szCs w:val="21"/>
              </w:rPr>
            </w:pPr>
          </w:p>
        </w:tc>
        <w:tc>
          <w:tcPr>
            <w:tcW w:w="217" w:type="dxa"/>
          </w:tcPr>
          <w:p w14:paraId="35BA54EF" w14:textId="77777777" w:rsidR="002C0FD9" w:rsidRPr="00CA25CF" w:rsidRDefault="002C0FD9" w:rsidP="00CA25CF">
            <w:pPr>
              <w:rPr>
                <w:rFonts w:cs="Arial"/>
                <w:color w:val="FF0000"/>
                <w:sz w:val="21"/>
                <w:szCs w:val="21"/>
              </w:rPr>
            </w:pPr>
          </w:p>
        </w:tc>
        <w:tc>
          <w:tcPr>
            <w:tcW w:w="217" w:type="dxa"/>
          </w:tcPr>
          <w:p w14:paraId="485919C2" w14:textId="77777777" w:rsidR="002C0FD9" w:rsidRPr="00CA25CF" w:rsidRDefault="002C0FD9" w:rsidP="00CA25CF">
            <w:pPr>
              <w:rPr>
                <w:rFonts w:cs="Arial"/>
                <w:color w:val="FF0000"/>
                <w:sz w:val="21"/>
                <w:szCs w:val="21"/>
              </w:rPr>
            </w:pPr>
          </w:p>
        </w:tc>
        <w:tc>
          <w:tcPr>
            <w:tcW w:w="217" w:type="dxa"/>
          </w:tcPr>
          <w:p w14:paraId="1D3E0584" w14:textId="77777777" w:rsidR="002C0FD9" w:rsidRPr="00CA25CF" w:rsidRDefault="002C0FD9" w:rsidP="00CA25CF">
            <w:pPr>
              <w:rPr>
                <w:rFonts w:cs="Arial"/>
                <w:color w:val="FF0000"/>
                <w:sz w:val="21"/>
                <w:szCs w:val="21"/>
              </w:rPr>
            </w:pPr>
          </w:p>
        </w:tc>
        <w:tc>
          <w:tcPr>
            <w:tcW w:w="217" w:type="dxa"/>
          </w:tcPr>
          <w:p w14:paraId="6F664ADA" w14:textId="77777777" w:rsidR="002C0FD9" w:rsidRPr="00CA25CF" w:rsidRDefault="002C0FD9" w:rsidP="00CA25CF">
            <w:pPr>
              <w:rPr>
                <w:rFonts w:cs="Arial"/>
                <w:color w:val="FF0000"/>
                <w:sz w:val="21"/>
                <w:szCs w:val="21"/>
              </w:rPr>
            </w:pPr>
          </w:p>
        </w:tc>
        <w:tc>
          <w:tcPr>
            <w:tcW w:w="217" w:type="dxa"/>
          </w:tcPr>
          <w:p w14:paraId="01FD2B5D" w14:textId="77777777" w:rsidR="002C0FD9" w:rsidRPr="00CA25CF" w:rsidRDefault="002C0FD9" w:rsidP="00CA25CF">
            <w:pPr>
              <w:rPr>
                <w:rFonts w:cs="Arial"/>
                <w:color w:val="FF0000"/>
                <w:sz w:val="21"/>
                <w:szCs w:val="21"/>
              </w:rPr>
            </w:pPr>
          </w:p>
        </w:tc>
        <w:tc>
          <w:tcPr>
            <w:tcW w:w="217" w:type="dxa"/>
          </w:tcPr>
          <w:p w14:paraId="687531ED" w14:textId="77777777" w:rsidR="002C0FD9" w:rsidRPr="00CA25CF" w:rsidRDefault="002C0FD9" w:rsidP="00CA25CF">
            <w:pPr>
              <w:rPr>
                <w:rFonts w:cs="Arial"/>
                <w:color w:val="FF0000"/>
                <w:sz w:val="21"/>
                <w:szCs w:val="21"/>
              </w:rPr>
            </w:pPr>
          </w:p>
        </w:tc>
        <w:tc>
          <w:tcPr>
            <w:tcW w:w="217" w:type="dxa"/>
          </w:tcPr>
          <w:p w14:paraId="73093234" w14:textId="77777777" w:rsidR="002C0FD9" w:rsidRPr="00CA25CF" w:rsidRDefault="002C0FD9" w:rsidP="00CA25CF">
            <w:pPr>
              <w:rPr>
                <w:rFonts w:cs="Arial"/>
                <w:color w:val="FF0000"/>
                <w:sz w:val="21"/>
                <w:szCs w:val="21"/>
              </w:rPr>
            </w:pPr>
          </w:p>
        </w:tc>
        <w:tc>
          <w:tcPr>
            <w:tcW w:w="217" w:type="dxa"/>
          </w:tcPr>
          <w:p w14:paraId="42D7F551" w14:textId="77777777" w:rsidR="002C0FD9" w:rsidRPr="00CA25CF" w:rsidRDefault="002C0FD9" w:rsidP="00CA25CF">
            <w:pPr>
              <w:rPr>
                <w:rFonts w:cs="Arial"/>
                <w:color w:val="FF0000"/>
                <w:sz w:val="21"/>
                <w:szCs w:val="21"/>
              </w:rPr>
            </w:pPr>
          </w:p>
        </w:tc>
        <w:tc>
          <w:tcPr>
            <w:tcW w:w="217" w:type="dxa"/>
          </w:tcPr>
          <w:p w14:paraId="71EB0B00" w14:textId="77777777" w:rsidR="002C0FD9" w:rsidRPr="00CA25CF" w:rsidRDefault="002C0FD9" w:rsidP="00CA25CF">
            <w:pPr>
              <w:rPr>
                <w:rFonts w:cs="Arial"/>
                <w:color w:val="FF0000"/>
                <w:sz w:val="21"/>
                <w:szCs w:val="21"/>
              </w:rPr>
            </w:pPr>
          </w:p>
        </w:tc>
        <w:tc>
          <w:tcPr>
            <w:tcW w:w="217" w:type="dxa"/>
          </w:tcPr>
          <w:p w14:paraId="6111F263" w14:textId="77777777" w:rsidR="002C0FD9" w:rsidRPr="00CA25CF" w:rsidRDefault="002C0FD9" w:rsidP="00CA25CF">
            <w:pPr>
              <w:rPr>
                <w:rFonts w:cs="Arial"/>
                <w:color w:val="FF0000"/>
                <w:sz w:val="21"/>
                <w:szCs w:val="21"/>
              </w:rPr>
            </w:pPr>
          </w:p>
        </w:tc>
        <w:tc>
          <w:tcPr>
            <w:tcW w:w="217" w:type="dxa"/>
          </w:tcPr>
          <w:p w14:paraId="088CB5AE" w14:textId="77777777" w:rsidR="002C0FD9" w:rsidRPr="00CA25CF" w:rsidRDefault="002C0FD9" w:rsidP="00CA25CF">
            <w:pPr>
              <w:rPr>
                <w:rFonts w:cs="Arial"/>
                <w:color w:val="FF0000"/>
                <w:sz w:val="21"/>
                <w:szCs w:val="21"/>
              </w:rPr>
            </w:pPr>
          </w:p>
        </w:tc>
        <w:tc>
          <w:tcPr>
            <w:tcW w:w="217" w:type="dxa"/>
          </w:tcPr>
          <w:p w14:paraId="19229567" w14:textId="77777777" w:rsidR="002C0FD9" w:rsidRPr="00CA25CF" w:rsidRDefault="002C0FD9" w:rsidP="00CA25CF">
            <w:pPr>
              <w:rPr>
                <w:rFonts w:cs="Arial"/>
                <w:color w:val="FF0000"/>
                <w:sz w:val="21"/>
                <w:szCs w:val="21"/>
              </w:rPr>
            </w:pPr>
          </w:p>
        </w:tc>
        <w:tc>
          <w:tcPr>
            <w:tcW w:w="217" w:type="dxa"/>
          </w:tcPr>
          <w:p w14:paraId="5ECA44F1" w14:textId="77777777" w:rsidR="002C0FD9" w:rsidRPr="00CA25CF" w:rsidRDefault="002C0FD9" w:rsidP="00CA25CF">
            <w:pPr>
              <w:rPr>
                <w:rFonts w:cs="Arial"/>
                <w:color w:val="FF0000"/>
                <w:sz w:val="21"/>
                <w:szCs w:val="21"/>
              </w:rPr>
            </w:pPr>
          </w:p>
        </w:tc>
        <w:tc>
          <w:tcPr>
            <w:tcW w:w="217" w:type="dxa"/>
          </w:tcPr>
          <w:p w14:paraId="10C3B80E" w14:textId="77777777" w:rsidR="002C0FD9" w:rsidRPr="00CA25CF" w:rsidRDefault="002C0FD9" w:rsidP="00CA25CF">
            <w:pPr>
              <w:rPr>
                <w:rFonts w:cs="Arial"/>
                <w:color w:val="FF0000"/>
                <w:sz w:val="21"/>
                <w:szCs w:val="21"/>
              </w:rPr>
            </w:pPr>
          </w:p>
        </w:tc>
        <w:tc>
          <w:tcPr>
            <w:tcW w:w="217" w:type="dxa"/>
          </w:tcPr>
          <w:p w14:paraId="3F78B725" w14:textId="77777777" w:rsidR="002C0FD9" w:rsidRPr="00CA25CF" w:rsidRDefault="002C0FD9" w:rsidP="00CA25CF">
            <w:pPr>
              <w:rPr>
                <w:rFonts w:cs="Arial"/>
                <w:color w:val="FF0000"/>
                <w:sz w:val="21"/>
                <w:szCs w:val="21"/>
              </w:rPr>
            </w:pPr>
          </w:p>
        </w:tc>
        <w:tc>
          <w:tcPr>
            <w:tcW w:w="217" w:type="dxa"/>
          </w:tcPr>
          <w:p w14:paraId="1516D9EA" w14:textId="77777777" w:rsidR="002C0FD9" w:rsidRPr="00CA25CF" w:rsidRDefault="002C0FD9" w:rsidP="00CA25CF">
            <w:pPr>
              <w:rPr>
                <w:rFonts w:cs="Arial"/>
                <w:color w:val="FF0000"/>
                <w:sz w:val="21"/>
                <w:szCs w:val="21"/>
              </w:rPr>
            </w:pPr>
          </w:p>
        </w:tc>
        <w:tc>
          <w:tcPr>
            <w:tcW w:w="217" w:type="dxa"/>
          </w:tcPr>
          <w:p w14:paraId="28B2A6D3" w14:textId="77777777" w:rsidR="002C0FD9" w:rsidRPr="00CA25CF" w:rsidRDefault="002C0FD9" w:rsidP="00CA25CF">
            <w:pPr>
              <w:rPr>
                <w:rFonts w:cs="Arial"/>
                <w:color w:val="FF0000"/>
                <w:sz w:val="21"/>
                <w:szCs w:val="21"/>
              </w:rPr>
            </w:pPr>
          </w:p>
        </w:tc>
        <w:tc>
          <w:tcPr>
            <w:tcW w:w="217" w:type="dxa"/>
          </w:tcPr>
          <w:p w14:paraId="68B6A4B2" w14:textId="77777777" w:rsidR="002C0FD9" w:rsidRPr="00CA25CF" w:rsidRDefault="002C0FD9" w:rsidP="00CA25CF">
            <w:pPr>
              <w:rPr>
                <w:rFonts w:cs="Arial"/>
                <w:color w:val="FF0000"/>
                <w:sz w:val="21"/>
                <w:szCs w:val="21"/>
              </w:rPr>
            </w:pPr>
          </w:p>
        </w:tc>
        <w:tc>
          <w:tcPr>
            <w:tcW w:w="217" w:type="dxa"/>
          </w:tcPr>
          <w:p w14:paraId="41D93BC5" w14:textId="77777777" w:rsidR="002C0FD9" w:rsidRPr="00CA25CF" w:rsidRDefault="002C0FD9" w:rsidP="00CA25CF">
            <w:pPr>
              <w:rPr>
                <w:rFonts w:cs="Arial"/>
                <w:color w:val="FF0000"/>
                <w:sz w:val="21"/>
                <w:szCs w:val="21"/>
              </w:rPr>
            </w:pPr>
          </w:p>
        </w:tc>
        <w:tc>
          <w:tcPr>
            <w:tcW w:w="217" w:type="dxa"/>
          </w:tcPr>
          <w:p w14:paraId="45D6DF1D" w14:textId="77777777" w:rsidR="002C0FD9" w:rsidRPr="00CA25CF" w:rsidRDefault="002C0FD9" w:rsidP="00CA25CF">
            <w:pPr>
              <w:rPr>
                <w:rFonts w:cs="Arial"/>
                <w:color w:val="FF0000"/>
                <w:sz w:val="21"/>
                <w:szCs w:val="21"/>
              </w:rPr>
            </w:pPr>
          </w:p>
        </w:tc>
        <w:tc>
          <w:tcPr>
            <w:tcW w:w="217" w:type="dxa"/>
          </w:tcPr>
          <w:p w14:paraId="5F3A409D" w14:textId="77777777" w:rsidR="002C0FD9" w:rsidRPr="00CA25CF" w:rsidRDefault="002C0FD9" w:rsidP="00CA25CF">
            <w:pPr>
              <w:rPr>
                <w:rFonts w:cs="Arial"/>
                <w:color w:val="FF0000"/>
                <w:sz w:val="21"/>
                <w:szCs w:val="21"/>
              </w:rPr>
            </w:pPr>
          </w:p>
        </w:tc>
        <w:tc>
          <w:tcPr>
            <w:tcW w:w="217" w:type="dxa"/>
          </w:tcPr>
          <w:p w14:paraId="58CDA226" w14:textId="77777777" w:rsidR="002C0FD9" w:rsidRPr="00CA25CF" w:rsidRDefault="002C0FD9" w:rsidP="00CA25CF">
            <w:pPr>
              <w:rPr>
                <w:rFonts w:cs="Arial"/>
                <w:color w:val="FF0000"/>
                <w:sz w:val="21"/>
                <w:szCs w:val="21"/>
              </w:rPr>
            </w:pPr>
          </w:p>
        </w:tc>
        <w:tc>
          <w:tcPr>
            <w:tcW w:w="217" w:type="dxa"/>
          </w:tcPr>
          <w:p w14:paraId="63D260D9" w14:textId="77777777" w:rsidR="002C0FD9" w:rsidRPr="00CA25CF" w:rsidRDefault="002C0FD9" w:rsidP="00CA25CF">
            <w:pPr>
              <w:rPr>
                <w:rFonts w:cs="Arial"/>
                <w:color w:val="FF0000"/>
                <w:sz w:val="21"/>
                <w:szCs w:val="21"/>
              </w:rPr>
            </w:pPr>
          </w:p>
        </w:tc>
        <w:tc>
          <w:tcPr>
            <w:tcW w:w="217" w:type="dxa"/>
          </w:tcPr>
          <w:p w14:paraId="18DA44E5" w14:textId="77777777" w:rsidR="002C0FD9" w:rsidRPr="00CA25CF" w:rsidRDefault="002C0FD9" w:rsidP="00CA25CF">
            <w:pPr>
              <w:rPr>
                <w:rFonts w:cs="Arial"/>
                <w:color w:val="FF0000"/>
                <w:sz w:val="21"/>
                <w:szCs w:val="21"/>
              </w:rPr>
            </w:pPr>
          </w:p>
        </w:tc>
        <w:tc>
          <w:tcPr>
            <w:tcW w:w="217" w:type="dxa"/>
          </w:tcPr>
          <w:p w14:paraId="0891B36D" w14:textId="77777777" w:rsidR="002C0FD9" w:rsidRPr="00CA25CF" w:rsidRDefault="002C0FD9" w:rsidP="00CA25CF">
            <w:pPr>
              <w:rPr>
                <w:rFonts w:cs="Arial"/>
                <w:color w:val="FF0000"/>
                <w:sz w:val="21"/>
                <w:szCs w:val="21"/>
              </w:rPr>
            </w:pPr>
          </w:p>
        </w:tc>
      </w:tr>
      <w:tr w:rsidR="002C0FD9" w:rsidRPr="00A16219" w14:paraId="4B8D6650" w14:textId="2B5E80BF" w:rsidTr="002C0FD9">
        <w:trPr>
          <w:trHeight w:val="635"/>
        </w:trPr>
        <w:tc>
          <w:tcPr>
            <w:tcW w:w="515" w:type="dxa"/>
          </w:tcPr>
          <w:p w14:paraId="16412C54" w14:textId="77777777" w:rsidR="002C0FD9" w:rsidRPr="00CA25CF" w:rsidRDefault="002C0FD9" w:rsidP="00CA25CF">
            <w:pPr>
              <w:rPr>
                <w:rFonts w:cs="Arial"/>
                <w:color w:val="FF0000"/>
                <w:sz w:val="21"/>
                <w:szCs w:val="21"/>
              </w:rPr>
            </w:pPr>
          </w:p>
        </w:tc>
        <w:tc>
          <w:tcPr>
            <w:tcW w:w="217" w:type="dxa"/>
          </w:tcPr>
          <w:p w14:paraId="415B0F52" w14:textId="77777777" w:rsidR="002C0FD9" w:rsidRPr="00CA25CF" w:rsidRDefault="002C0FD9" w:rsidP="00CA25CF">
            <w:pPr>
              <w:rPr>
                <w:rFonts w:cs="Arial"/>
                <w:color w:val="FF0000"/>
                <w:sz w:val="21"/>
                <w:szCs w:val="21"/>
              </w:rPr>
            </w:pPr>
          </w:p>
        </w:tc>
        <w:tc>
          <w:tcPr>
            <w:tcW w:w="217" w:type="dxa"/>
          </w:tcPr>
          <w:p w14:paraId="5D4E54C0" w14:textId="33BBA94F" w:rsidR="002C0FD9" w:rsidRPr="00CA25CF" w:rsidRDefault="002C0FD9" w:rsidP="00CA25CF">
            <w:pPr>
              <w:rPr>
                <w:rFonts w:cs="Arial"/>
                <w:color w:val="FF0000"/>
                <w:sz w:val="21"/>
                <w:szCs w:val="21"/>
              </w:rPr>
            </w:pPr>
          </w:p>
        </w:tc>
        <w:tc>
          <w:tcPr>
            <w:tcW w:w="217" w:type="dxa"/>
          </w:tcPr>
          <w:p w14:paraId="21163978" w14:textId="77777777" w:rsidR="002C0FD9" w:rsidRPr="00CA25CF" w:rsidRDefault="002C0FD9" w:rsidP="00CA25CF">
            <w:pPr>
              <w:rPr>
                <w:rFonts w:cs="Arial"/>
                <w:color w:val="FF0000"/>
                <w:sz w:val="21"/>
                <w:szCs w:val="21"/>
              </w:rPr>
            </w:pPr>
          </w:p>
        </w:tc>
        <w:tc>
          <w:tcPr>
            <w:tcW w:w="217" w:type="dxa"/>
          </w:tcPr>
          <w:p w14:paraId="6CA783C3" w14:textId="77777777" w:rsidR="002C0FD9" w:rsidRPr="00CA25CF" w:rsidRDefault="002C0FD9" w:rsidP="00CA25CF">
            <w:pPr>
              <w:rPr>
                <w:rFonts w:cs="Arial"/>
                <w:color w:val="FF0000"/>
                <w:sz w:val="21"/>
                <w:szCs w:val="21"/>
              </w:rPr>
            </w:pPr>
          </w:p>
        </w:tc>
        <w:tc>
          <w:tcPr>
            <w:tcW w:w="217" w:type="dxa"/>
          </w:tcPr>
          <w:p w14:paraId="7176C181" w14:textId="77777777" w:rsidR="002C0FD9" w:rsidRPr="00CA25CF" w:rsidRDefault="002C0FD9" w:rsidP="00CA25CF">
            <w:pPr>
              <w:rPr>
                <w:rFonts w:cs="Arial"/>
                <w:color w:val="FF0000"/>
                <w:sz w:val="21"/>
                <w:szCs w:val="21"/>
              </w:rPr>
            </w:pPr>
          </w:p>
        </w:tc>
        <w:tc>
          <w:tcPr>
            <w:tcW w:w="217" w:type="dxa"/>
          </w:tcPr>
          <w:p w14:paraId="73EA60D4" w14:textId="77777777" w:rsidR="002C0FD9" w:rsidRPr="00CA25CF" w:rsidRDefault="002C0FD9" w:rsidP="00CA25CF">
            <w:pPr>
              <w:rPr>
                <w:rFonts w:cs="Arial"/>
                <w:color w:val="FF0000"/>
                <w:sz w:val="21"/>
                <w:szCs w:val="21"/>
              </w:rPr>
            </w:pPr>
          </w:p>
        </w:tc>
        <w:tc>
          <w:tcPr>
            <w:tcW w:w="217" w:type="dxa"/>
          </w:tcPr>
          <w:p w14:paraId="0191A5AC" w14:textId="77777777" w:rsidR="002C0FD9" w:rsidRPr="00CA25CF" w:rsidRDefault="002C0FD9" w:rsidP="00CA25CF">
            <w:pPr>
              <w:rPr>
                <w:rFonts w:cs="Arial"/>
                <w:color w:val="FF0000"/>
                <w:sz w:val="21"/>
                <w:szCs w:val="21"/>
              </w:rPr>
            </w:pPr>
          </w:p>
        </w:tc>
        <w:tc>
          <w:tcPr>
            <w:tcW w:w="217" w:type="dxa"/>
          </w:tcPr>
          <w:p w14:paraId="0C8A3AF8" w14:textId="77777777" w:rsidR="002C0FD9" w:rsidRPr="00CA25CF" w:rsidRDefault="002C0FD9" w:rsidP="00CA25CF">
            <w:pPr>
              <w:rPr>
                <w:rFonts w:cs="Arial"/>
                <w:color w:val="FF0000"/>
                <w:sz w:val="21"/>
                <w:szCs w:val="21"/>
              </w:rPr>
            </w:pPr>
          </w:p>
        </w:tc>
        <w:tc>
          <w:tcPr>
            <w:tcW w:w="217" w:type="dxa"/>
          </w:tcPr>
          <w:p w14:paraId="2E04F5DD" w14:textId="77777777" w:rsidR="002C0FD9" w:rsidRPr="00CA25CF" w:rsidRDefault="002C0FD9" w:rsidP="00CA25CF">
            <w:pPr>
              <w:rPr>
                <w:rFonts w:cs="Arial"/>
                <w:color w:val="FF0000"/>
                <w:sz w:val="21"/>
                <w:szCs w:val="21"/>
              </w:rPr>
            </w:pPr>
          </w:p>
        </w:tc>
        <w:tc>
          <w:tcPr>
            <w:tcW w:w="217" w:type="dxa"/>
          </w:tcPr>
          <w:p w14:paraId="0F58FADA" w14:textId="77777777" w:rsidR="002C0FD9" w:rsidRPr="00CA25CF" w:rsidRDefault="002C0FD9" w:rsidP="00CA25CF">
            <w:pPr>
              <w:rPr>
                <w:rFonts w:cs="Arial"/>
                <w:color w:val="FF0000"/>
                <w:sz w:val="21"/>
                <w:szCs w:val="21"/>
              </w:rPr>
            </w:pPr>
          </w:p>
        </w:tc>
        <w:tc>
          <w:tcPr>
            <w:tcW w:w="217" w:type="dxa"/>
          </w:tcPr>
          <w:p w14:paraId="639C2F52" w14:textId="77777777" w:rsidR="002C0FD9" w:rsidRPr="00CA25CF" w:rsidRDefault="002C0FD9" w:rsidP="00CA25CF">
            <w:pPr>
              <w:rPr>
                <w:rFonts w:cs="Arial"/>
                <w:color w:val="FF0000"/>
                <w:sz w:val="21"/>
                <w:szCs w:val="21"/>
              </w:rPr>
            </w:pPr>
          </w:p>
        </w:tc>
        <w:tc>
          <w:tcPr>
            <w:tcW w:w="217" w:type="dxa"/>
          </w:tcPr>
          <w:p w14:paraId="79D04A7B" w14:textId="77777777" w:rsidR="002C0FD9" w:rsidRPr="00CA25CF" w:rsidRDefault="002C0FD9" w:rsidP="00CA25CF">
            <w:pPr>
              <w:rPr>
                <w:rFonts w:cs="Arial"/>
                <w:color w:val="FF0000"/>
                <w:sz w:val="21"/>
                <w:szCs w:val="21"/>
              </w:rPr>
            </w:pPr>
          </w:p>
        </w:tc>
        <w:tc>
          <w:tcPr>
            <w:tcW w:w="217" w:type="dxa"/>
          </w:tcPr>
          <w:p w14:paraId="46C64DE4" w14:textId="77777777" w:rsidR="002C0FD9" w:rsidRPr="00CA25CF" w:rsidRDefault="002C0FD9" w:rsidP="00CA25CF">
            <w:pPr>
              <w:rPr>
                <w:rFonts w:cs="Arial"/>
                <w:color w:val="FF0000"/>
                <w:sz w:val="21"/>
                <w:szCs w:val="21"/>
              </w:rPr>
            </w:pPr>
          </w:p>
        </w:tc>
        <w:tc>
          <w:tcPr>
            <w:tcW w:w="217" w:type="dxa"/>
          </w:tcPr>
          <w:p w14:paraId="40A6EB63" w14:textId="77777777" w:rsidR="002C0FD9" w:rsidRPr="00CA25CF" w:rsidRDefault="002C0FD9" w:rsidP="00CA25CF">
            <w:pPr>
              <w:rPr>
                <w:rFonts w:cs="Arial"/>
                <w:color w:val="FF0000"/>
                <w:sz w:val="21"/>
                <w:szCs w:val="21"/>
              </w:rPr>
            </w:pPr>
          </w:p>
        </w:tc>
        <w:tc>
          <w:tcPr>
            <w:tcW w:w="217" w:type="dxa"/>
          </w:tcPr>
          <w:p w14:paraId="336DB5A5" w14:textId="766B46DB" w:rsidR="002C0FD9" w:rsidRPr="00CA25CF" w:rsidRDefault="002C0FD9" w:rsidP="00CA25CF">
            <w:pPr>
              <w:rPr>
                <w:rFonts w:cs="Arial"/>
                <w:color w:val="FF0000"/>
                <w:sz w:val="21"/>
                <w:szCs w:val="21"/>
              </w:rPr>
            </w:pPr>
          </w:p>
        </w:tc>
        <w:tc>
          <w:tcPr>
            <w:tcW w:w="217" w:type="dxa"/>
          </w:tcPr>
          <w:p w14:paraId="12DE5203" w14:textId="77777777" w:rsidR="002C0FD9" w:rsidRPr="00CA25CF" w:rsidRDefault="002C0FD9" w:rsidP="00CA25CF">
            <w:pPr>
              <w:rPr>
                <w:rFonts w:cs="Arial"/>
                <w:color w:val="FF0000"/>
                <w:sz w:val="21"/>
                <w:szCs w:val="21"/>
              </w:rPr>
            </w:pPr>
          </w:p>
        </w:tc>
        <w:tc>
          <w:tcPr>
            <w:tcW w:w="217" w:type="dxa"/>
          </w:tcPr>
          <w:p w14:paraId="75FCF31C" w14:textId="77777777" w:rsidR="002C0FD9" w:rsidRPr="00CA25CF" w:rsidRDefault="002C0FD9" w:rsidP="00CA25CF">
            <w:pPr>
              <w:rPr>
                <w:rFonts w:cs="Arial"/>
                <w:color w:val="FF0000"/>
                <w:sz w:val="21"/>
                <w:szCs w:val="21"/>
              </w:rPr>
            </w:pPr>
          </w:p>
        </w:tc>
        <w:tc>
          <w:tcPr>
            <w:tcW w:w="217" w:type="dxa"/>
          </w:tcPr>
          <w:p w14:paraId="040777F4" w14:textId="77777777" w:rsidR="002C0FD9" w:rsidRPr="00CA25CF" w:rsidRDefault="002C0FD9" w:rsidP="00CA25CF">
            <w:pPr>
              <w:rPr>
                <w:rFonts w:cs="Arial"/>
                <w:color w:val="FF0000"/>
                <w:sz w:val="21"/>
                <w:szCs w:val="21"/>
              </w:rPr>
            </w:pPr>
          </w:p>
        </w:tc>
        <w:tc>
          <w:tcPr>
            <w:tcW w:w="217" w:type="dxa"/>
          </w:tcPr>
          <w:p w14:paraId="2D918C01" w14:textId="77777777" w:rsidR="002C0FD9" w:rsidRPr="00CA25CF" w:rsidRDefault="002C0FD9" w:rsidP="00CA25CF">
            <w:pPr>
              <w:rPr>
                <w:rFonts w:cs="Arial"/>
                <w:color w:val="FF0000"/>
                <w:sz w:val="21"/>
                <w:szCs w:val="21"/>
              </w:rPr>
            </w:pPr>
          </w:p>
        </w:tc>
        <w:tc>
          <w:tcPr>
            <w:tcW w:w="217" w:type="dxa"/>
          </w:tcPr>
          <w:p w14:paraId="43B4DD54" w14:textId="77777777" w:rsidR="002C0FD9" w:rsidRPr="00CA25CF" w:rsidRDefault="002C0FD9" w:rsidP="00CA25CF">
            <w:pPr>
              <w:rPr>
                <w:rFonts w:cs="Arial"/>
                <w:color w:val="FF0000"/>
                <w:sz w:val="21"/>
                <w:szCs w:val="21"/>
              </w:rPr>
            </w:pPr>
          </w:p>
        </w:tc>
        <w:tc>
          <w:tcPr>
            <w:tcW w:w="217" w:type="dxa"/>
          </w:tcPr>
          <w:p w14:paraId="0C9BA6A0" w14:textId="77777777" w:rsidR="002C0FD9" w:rsidRPr="00CA25CF" w:rsidRDefault="002C0FD9" w:rsidP="00CA25CF">
            <w:pPr>
              <w:rPr>
                <w:rFonts w:cs="Arial"/>
                <w:color w:val="FF0000"/>
                <w:sz w:val="21"/>
                <w:szCs w:val="21"/>
              </w:rPr>
            </w:pPr>
          </w:p>
        </w:tc>
        <w:tc>
          <w:tcPr>
            <w:tcW w:w="217" w:type="dxa"/>
          </w:tcPr>
          <w:p w14:paraId="637DFB79" w14:textId="77777777" w:rsidR="002C0FD9" w:rsidRPr="00CA25CF" w:rsidRDefault="002C0FD9" w:rsidP="00CA25CF">
            <w:pPr>
              <w:rPr>
                <w:rFonts w:cs="Arial"/>
                <w:color w:val="FF0000"/>
                <w:sz w:val="21"/>
                <w:szCs w:val="21"/>
              </w:rPr>
            </w:pPr>
          </w:p>
        </w:tc>
        <w:tc>
          <w:tcPr>
            <w:tcW w:w="217" w:type="dxa"/>
          </w:tcPr>
          <w:p w14:paraId="732533DC" w14:textId="77777777" w:rsidR="002C0FD9" w:rsidRPr="00CA25CF" w:rsidRDefault="002C0FD9" w:rsidP="00CA25CF">
            <w:pPr>
              <w:rPr>
                <w:rFonts w:cs="Arial"/>
                <w:color w:val="FF0000"/>
                <w:sz w:val="21"/>
                <w:szCs w:val="21"/>
              </w:rPr>
            </w:pPr>
          </w:p>
        </w:tc>
        <w:tc>
          <w:tcPr>
            <w:tcW w:w="217" w:type="dxa"/>
          </w:tcPr>
          <w:p w14:paraId="75437621" w14:textId="77777777" w:rsidR="002C0FD9" w:rsidRPr="00CA25CF" w:rsidRDefault="002C0FD9" w:rsidP="00CA25CF">
            <w:pPr>
              <w:rPr>
                <w:rFonts w:cs="Arial"/>
                <w:color w:val="FF0000"/>
                <w:sz w:val="21"/>
                <w:szCs w:val="21"/>
              </w:rPr>
            </w:pPr>
          </w:p>
        </w:tc>
        <w:tc>
          <w:tcPr>
            <w:tcW w:w="217" w:type="dxa"/>
          </w:tcPr>
          <w:p w14:paraId="3817CFE4" w14:textId="77777777" w:rsidR="002C0FD9" w:rsidRPr="00CA25CF" w:rsidRDefault="002C0FD9" w:rsidP="00CA25CF">
            <w:pPr>
              <w:rPr>
                <w:rFonts w:cs="Arial"/>
                <w:color w:val="FF0000"/>
                <w:sz w:val="21"/>
                <w:szCs w:val="21"/>
              </w:rPr>
            </w:pPr>
          </w:p>
        </w:tc>
        <w:tc>
          <w:tcPr>
            <w:tcW w:w="217" w:type="dxa"/>
          </w:tcPr>
          <w:p w14:paraId="048F3A12" w14:textId="77777777" w:rsidR="002C0FD9" w:rsidRPr="00CA25CF" w:rsidRDefault="002C0FD9" w:rsidP="00CA25CF">
            <w:pPr>
              <w:rPr>
                <w:rFonts w:cs="Arial"/>
                <w:color w:val="FF0000"/>
                <w:sz w:val="21"/>
                <w:szCs w:val="21"/>
              </w:rPr>
            </w:pPr>
          </w:p>
        </w:tc>
        <w:tc>
          <w:tcPr>
            <w:tcW w:w="217" w:type="dxa"/>
          </w:tcPr>
          <w:p w14:paraId="05B368A9" w14:textId="77777777" w:rsidR="002C0FD9" w:rsidRPr="00CA25CF" w:rsidRDefault="002C0FD9" w:rsidP="00CA25CF">
            <w:pPr>
              <w:rPr>
                <w:rFonts w:cs="Arial"/>
                <w:color w:val="FF0000"/>
                <w:sz w:val="21"/>
                <w:szCs w:val="21"/>
              </w:rPr>
            </w:pPr>
          </w:p>
        </w:tc>
        <w:tc>
          <w:tcPr>
            <w:tcW w:w="217" w:type="dxa"/>
          </w:tcPr>
          <w:p w14:paraId="4EC2BDA3" w14:textId="77777777" w:rsidR="002C0FD9" w:rsidRPr="00CA25CF" w:rsidRDefault="002C0FD9" w:rsidP="00CA25CF">
            <w:pPr>
              <w:rPr>
                <w:rFonts w:cs="Arial"/>
                <w:color w:val="FF0000"/>
                <w:sz w:val="21"/>
                <w:szCs w:val="21"/>
              </w:rPr>
            </w:pPr>
          </w:p>
        </w:tc>
        <w:tc>
          <w:tcPr>
            <w:tcW w:w="217" w:type="dxa"/>
          </w:tcPr>
          <w:p w14:paraId="1FF1F06E" w14:textId="77777777" w:rsidR="002C0FD9" w:rsidRPr="00CA25CF" w:rsidRDefault="002C0FD9" w:rsidP="00CA25CF">
            <w:pPr>
              <w:rPr>
                <w:rFonts w:cs="Arial"/>
                <w:color w:val="FF0000"/>
                <w:sz w:val="21"/>
                <w:szCs w:val="21"/>
              </w:rPr>
            </w:pPr>
          </w:p>
        </w:tc>
        <w:tc>
          <w:tcPr>
            <w:tcW w:w="217" w:type="dxa"/>
          </w:tcPr>
          <w:p w14:paraId="1FA17A1D" w14:textId="77777777" w:rsidR="002C0FD9" w:rsidRPr="00CA25CF" w:rsidRDefault="002C0FD9" w:rsidP="00CA25CF">
            <w:pPr>
              <w:rPr>
                <w:rFonts w:cs="Arial"/>
                <w:color w:val="FF0000"/>
                <w:sz w:val="21"/>
                <w:szCs w:val="21"/>
              </w:rPr>
            </w:pPr>
          </w:p>
        </w:tc>
        <w:tc>
          <w:tcPr>
            <w:tcW w:w="217" w:type="dxa"/>
          </w:tcPr>
          <w:p w14:paraId="10D66F53" w14:textId="77777777" w:rsidR="002C0FD9" w:rsidRPr="00CA25CF" w:rsidRDefault="002C0FD9" w:rsidP="00CA25CF">
            <w:pPr>
              <w:rPr>
                <w:rFonts w:cs="Arial"/>
                <w:color w:val="FF0000"/>
                <w:sz w:val="21"/>
                <w:szCs w:val="21"/>
              </w:rPr>
            </w:pPr>
          </w:p>
        </w:tc>
        <w:tc>
          <w:tcPr>
            <w:tcW w:w="217" w:type="dxa"/>
          </w:tcPr>
          <w:p w14:paraId="0D796CE4" w14:textId="77777777" w:rsidR="002C0FD9" w:rsidRPr="00CA25CF" w:rsidRDefault="002C0FD9" w:rsidP="00CA25CF">
            <w:pPr>
              <w:rPr>
                <w:rFonts w:cs="Arial"/>
                <w:color w:val="FF0000"/>
                <w:sz w:val="21"/>
                <w:szCs w:val="21"/>
              </w:rPr>
            </w:pPr>
          </w:p>
        </w:tc>
        <w:tc>
          <w:tcPr>
            <w:tcW w:w="217" w:type="dxa"/>
          </w:tcPr>
          <w:p w14:paraId="065320FA" w14:textId="77777777" w:rsidR="002C0FD9" w:rsidRPr="00CA25CF" w:rsidRDefault="002C0FD9" w:rsidP="00CA25CF">
            <w:pPr>
              <w:rPr>
                <w:rFonts w:cs="Arial"/>
                <w:color w:val="FF0000"/>
                <w:sz w:val="21"/>
                <w:szCs w:val="21"/>
              </w:rPr>
            </w:pPr>
          </w:p>
        </w:tc>
        <w:tc>
          <w:tcPr>
            <w:tcW w:w="217" w:type="dxa"/>
          </w:tcPr>
          <w:p w14:paraId="3E24C880" w14:textId="77777777" w:rsidR="002C0FD9" w:rsidRPr="00CA25CF" w:rsidRDefault="002C0FD9" w:rsidP="00CA25CF">
            <w:pPr>
              <w:rPr>
                <w:rFonts w:cs="Arial"/>
                <w:color w:val="FF0000"/>
                <w:sz w:val="21"/>
                <w:szCs w:val="21"/>
              </w:rPr>
            </w:pPr>
          </w:p>
        </w:tc>
        <w:tc>
          <w:tcPr>
            <w:tcW w:w="217" w:type="dxa"/>
          </w:tcPr>
          <w:p w14:paraId="242C9A63" w14:textId="77777777" w:rsidR="002C0FD9" w:rsidRPr="00CA25CF" w:rsidRDefault="002C0FD9" w:rsidP="00CA25CF">
            <w:pPr>
              <w:rPr>
                <w:rFonts w:cs="Arial"/>
                <w:color w:val="FF0000"/>
                <w:sz w:val="21"/>
                <w:szCs w:val="21"/>
              </w:rPr>
            </w:pPr>
          </w:p>
        </w:tc>
        <w:tc>
          <w:tcPr>
            <w:tcW w:w="217" w:type="dxa"/>
          </w:tcPr>
          <w:p w14:paraId="5E2B912B" w14:textId="77777777" w:rsidR="002C0FD9" w:rsidRPr="00CA25CF" w:rsidRDefault="002C0FD9" w:rsidP="00CA25CF">
            <w:pPr>
              <w:rPr>
                <w:rFonts w:cs="Arial"/>
                <w:color w:val="FF0000"/>
                <w:sz w:val="21"/>
                <w:szCs w:val="21"/>
              </w:rPr>
            </w:pPr>
          </w:p>
        </w:tc>
        <w:tc>
          <w:tcPr>
            <w:tcW w:w="217" w:type="dxa"/>
          </w:tcPr>
          <w:p w14:paraId="486D0A38" w14:textId="77777777" w:rsidR="002C0FD9" w:rsidRPr="00CA25CF" w:rsidRDefault="002C0FD9" w:rsidP="00CA25CF">
            <w:pPr>
              <w:rPr>
                <w:rFonts w:cs="Arial"/>
                <w:color w:val="FF0000"/>
                <w:sz w:val="21"/>
                <w:szCs w:val="21"/>
              </w:rPr>
            </w:pPr>
          </w:p>
        </w:tc>
        <w:tc>
          <w:tcPr>
            <w:tcW w:w="217" w:type="dxa"/>
          </w:tcPr>
          <w:p w14:paraId="1A2DD9E4" w14:textId="77777777" w:rsidR="002C0FD9" w:rsidRPr="00CA25CF" w:rsidRDefault="002C0FD9" w:rsidP="00CA25CF">
            <w:pPr>
              <w:rPr>
                <w:rFonts w:cs="Arial"/>
                <w:color w:val="FF0000"/>
                <w:sz w:val="21"/>
                <w:szCs w:val="21"/>
              </w:rPr>
            </w:pPr>
          </w:p>
        </w:tc>
        <w:tc>
          <w:tcPr>
            <w:tcW w:w="217" w:type="dxa"/>
          </w:tcPr>
          <w:p w14:paraId="6C0CC79B" w14:textId="77777777" w:rsidR="002C0FD9" w:rsidRPr="00CA25CF" w:rsidRDefault="002C0FD9" w:rsidP="00CA25CF">
            <w:pPr>
              <w:rPr>
                <w:rFonts w:cs="Arial"/>
                <w:color w:val="FF0000"/>
                <w:sz w:val="21"/>
                <w:szCs w:val="21"/>
              </w:rPr>
            </w:pPr>
          </w:p>
        </w:tc>
        <w:tc>
          <w:tcPr>
            <w:tcW w:w="217" w:type="dxa"/>
          </w:tcPr>
          <w:p w14:paraId="415285F6" w14:textId="77777777" w:rsidR="002C0FD9" w:rsidRPr="00CA25CF" w:rsidRDefault="002C0FD9" w:rsidP="00CA25CF">
            <w:pPr>
              <w:rPr>
                <w:rFonts w:cs="Arial"/>
                <w:color w:val="FF0000"/>
                <w:sz w:val="21"/>
                <w:szCs w:val="21"/>
              </w:rPr>
            </w:pPr>
          </w:p>
        </w:tc>
        <w:tc>
          <w:tcPr>
            <w:tcW w:w="217" w:type="dxa"/>
          </w:tcPr>
          <w:p w14:paraId="15EA0390" w14:textId="77777777" w:rsidR="002C0FD9" w:rsidRPr="00CA25CF" w:rsidRDefault="002C0FD9" w:rsidP="00CA25CF">
            <w:pPr>
              <w:rPr>
                <w:rFonts w:cs="Arial"/>
                <w:color w:val="FF0000"/>
                <w:sz w:val="21"/>
                <w:szCs w:val="21"/>
              </w:rPr>
            </w:pPr>
          </w:p>
        </w:tc>
        <w:tc>
          <w:tcPr>
            <w:tcW w:w="217" w:type="dxa"/>
          </w:tcPr>
          <w:p w14:paraId="4D9772F2" w14:textId="77777777" w:rsidR="002C0FD9" w:rsidRPr="00CA25CF" w:rsidRDefault="002C0FD9" w:rsidP="00CA25CF">
            <w:pPr>
              <w:rPr>
                <w:rFonts w:cs="Arial"/>
                <w:color w:val="FF0000"/>
                <w:sz w:val="21"/>
                <w:szCs w:val="21"/>
              </w:rPr>
            </w:pPr>
          </w:p>
        </w:tc>
      </w:tr>
      <w:tr w:rsidR="002C0FD9" w:rsidRPr="00A16219" w14:paraId="6D48A0AB" w14:textId="2BDE2C17" w:rsidTr="002C0FD9">
        <w:trPr>
          <w:trHeight w:val="635"/>
        </w:trPr>
        <w:tc>
          <w:tcPr>
            <w:tcW w:w="515" w:type="dxa"/>
          </w:tcPr>
          <w:p w14:paraId="0A9AF910" w14:textId="77777777" w:rsidR="002C0FD9" w:rsidRPr="00CA25CF" w:rsidRDefault="002C0FD9" w:rsidP="00CA25CF">
            <w:pPr>
              <w:rPr>
                <w:rFonts w:cs="Arial"/>
                <w:color w:val="FF0000"/>
                <w:sz w:val="21"/>
                <w:szCs w:val="21"/>
              </w:rPr>
            </w:pPr>
          </w:p>
        </w:tc>
        <w:tc>
          <w:tcPr>
            <w:tcW w:w="217" w:type="dxa"/>
          </w:tcPr>
          <w:p w14:paraId="617596BC" w14:textId="77777777" w:rsidR="002C0FD9" w:rsidRPr="00CA25CF" w:rsidRDefault="002C0FD9" w:rsidP="00CA25CF">
            <w:pPr>
              <w:rPr>
                <w:rFonts w:cs="Arial"/>
                <w:color w:val="FF0000"/>
                <w:sz w:val="21"/>
                <w:szCs w:val="21"/>
              </w:rPr>
            </w:pPr>
          </w:p>
        </w:tc>
        <w:tc>
          <w:tcPr>
            <w:tcW w:w="217" w:type="dxa"/>
          </w:tcPr>
          <w:p w14:paraId="76518C43" w14:textId="6CC87677" w:rsidR="002C0FD9" w:rsidRPr="00CA25CF" w:rsidRDefault="002C0FD9" w:rsidP="00CA25CF">
            <w:pPr>
              <w:rPr>
                <w:rFonts w:cs="Arial"/>
                <w:color w:val="FF0000"/>
                <w:sz w:val="21"/>
                <w:szCs w:val="21"/>
              </w:rPr>
            </w:pPr>
          </w:p>
        </w:tc>
        <w:tc>
          <w:tcPr>
            <w:tcW w:w="217" w:type="dxa"/>
          </w:tcPr>
          <w:p w14:paraId="317EE20C" w14:textId="77777777" w:rsidR="002C0FD9" w:rsidRPr="00CA25CF" w:rsidRDefault="002C0FD9" w:rsidP="00CA25CF">
            <w:pPr>
              <w:rPr>
                <w:rFonts w:cs="Arial"/>
                <w:color w:val="FF0000"/>
                <w:sz w:val="21"/>
                <w:szCs w:val="21"/>
              </w:rPr>
            </w:pPr>
          </w:p>
        </w:tc>
        <w:tc>
          <w:tcPr>
            <w:tcW w:w="217" w:type="dxa"/>
          </w:tcPr>
          <w:p w14:paraId="6BB2BC00" w14:textId="77777777" w:rsidR="002C0FD9" w:rsidRPr="00CA25CF" w:rsidRDefault="002C0FD9" w:rsidP="00CA25CF">
            <w:pPr>
              <w:rPr>
                <w:rFonts w:cs="Arial"/>
                <w:color w:val="FF0000"/>
                <w:sz w:val="21"/>
                <w:szCs w:val="21"/>
              </w:rPr>
            </w:pPr>
          </w:p>
        </w:tc>
        <w:tc>
          <w:tcPr>
            <w:tcW w:w="217" w:type="dxa"/>
          </w:tcPr>
          <w:p w14:paraId="42E33D71" w14:textId="77777777" w:rsidR="002C0FD9" w:rsidRPr="00CA25CF" w:rsidRDefault="002C0FD9" w:rsidP="00CA25CF">
            <w:pPr>
              <w:rPr>
                <w:rFonts w:cs="Arial"/>
                <w:color w:val="FF0000"/>
                <w:sz w:val="21"/>
                <w:szCs w:val="21"/>
              </w:rPr>
            </w:pPr>
          </w:p>
        </w:tc>
        <w:tc>
          <w:tcPr>
            <w:tcW w:w="217" w:type="dxa"/>
          </w:tcPr>
          <w:p w14:paraId="22B8F20B" w14:textId="77777777" w:rsidR="002C0FD9" w:rsidRPr="00CA25CF" w:rsidRDefault="002C0FD9" w:rsidP="00CA25CF">
            <w:pPr>
              <w:rPr>
                <w:rFonts w:cs="Arial"/>
                <w:color w:val="FF0000"/>
                <w:sz w:val="21"/>
                <w:szCs w:val="21"/>
              </w:rPr>
            </w:pPr>
          </w:p>
        </w:tc>
        <w:tc>
          <w:tcPr>
            <w:tcW w:w="217" w:type="dxa"/>
          </w:tcPr>
          <w:p w14:paraId="2C2A493E" w14:textId="77777777" w:rsidR="002C0FD9" w:rsidRPr="00CA25CF" w:rsidRDefault="002C0FD9" w:rsidP="00CA25CF">
            <w:pPr>
              <w:rPr>
                <w:rFonts w:cs="Arial"/>
                <w:color w:val="FF0000"/>
                <w:sz w:val="21"/>
                <w:szCs w:val="21"/>
              </w:rPr>
            </w:pPr>
          </w:p>
        </w:tc>
        <w:tc>
          <w:tcPr>
            <w:tcW w:w="217" w:type="dxa"/>
          </w:tcPr>
          <w:p w14:paraId="5A4BEE44" w14:textId="77777777" w:rsidR="002C0FD9" w:rsidRPr="00CA25CF" w:rsidRDefault="002C0FD9" w:rsidP="00CA25CF">
            <w:pPr>
              <w:rPr>
                <w:rFonts w:cs="Arial"/>
                <w:color w:val="FF0000"/>
                <w:sz w:val="21"/>
                <w:szCs w:val="21"/>
              </w:rPr>
            </w:pPr>
          </w:p>
        </w:tc>
        <w:tc>
          <w:tcPr>
            <w:tcW w:w="217" w:type="dxa"/>
          </w:tcPr>
          <w:p w14:paraId="2E009B25" w14:textId="77777777" w:rsidR="002C0FD9" w:rsidRPr="00CA25CF" w:rsidRDefault="002C0FD9" w:rsidP="00CA25CF">
            <w:pPr>
              <w:rPr>
                <w:rFonts w:cs="Arial"/>
                <w:color w:val="FF0000"/>
                <w:sz w:val="21"/>
                <w:szCs w:val="21"/>
              </w:rPr>
            </w:pPr>
          </w:p>
        </w:tc>
        <w:tc>
          <w:tcPr>
            <w:tcW w:w="217" w:type="dxa"/>
          </w:tcPr>
          <w:p w14:paraId="684CAF42" w14:textId="77777777" w:rsidR="002C0FD9" w:rsidRPr="00CA25CF" w:rsidRDefault="002C0FD9" w:rsidP="00CA25CF">
            <w:pPr>
              <w:rPr>
                <w:rFonts w:cs="Arial"/>
                <w:color w:val="FF0000"/>
                <w:sz w:val="21"/>
                <w:szCs w:val="21"/>
              </w:rPr>
            </w:pPr>
          </w:p>
        </w:tc>
        <w:tc>
          <w:tcPr>
            <w:tcW w:w="217" w:type="dxa"/>
          </w:tcPr>
          <w:p w14:paraId="60EC687E" w14:textId="77777777" w:rsidR="002C0FD9" w:rsidRPr="00CA25CF" w:rsidRDefault="002C0FD9" w:rsidP="00CA25CF">
            <w:pPr>
              <w:rPr>
                <w:rFonts w:cs="Arial"/>
                <w:color w:val="FF0000"/>
                <w:sz w:val="21"/>
                <w:szCs w:val="21"/>
              </w:rPr>
            </w:pPr>
          </w:p>
        </w:tc>
        <w:tc>
          <w:tcPr>
            <w:tcW w:w="217" w:type="dxa"/>
          </w:tcPr>
          <w:p w14:paraId="68718ABA" w14:textId="77777777" w:rsidR="002C0FD9" w:rsidRPr="00CA25CF" w:rsidRDefault="002C0FD9" w:rsidP="00CA25CF">
            <w:pPr>
              <w:rPr>
                <w:rFonts w:cs="Arial"/>
                <w:color w:val="FF0000"/>
                <w:sz w:val="21"/>
                <w:szCs w:val="21"/>
              </w:rPr>
            </w:pPr>
          </w:p>
        </w:tc>
        <w:tc>
          <w:tcPr>
            <w:tcW w:w="217" w:type="dxa"/>
          </w:tcPr>
          <w:p w14:paraId="66E4036B" w14:textId="77777777" w:rsidR="002C0FD9" w:rsidRPr="00CA25CF" w:rsidRDefault="002C0FD9" w:rsidP="00CA25CF">
            <w:pPr>
              <w:rPr>
                <w:rFonts w:cs="Arial"/>
                <w:color w:val="FF0000"/>
                <w:sz w:val="21"/>
                <w:szCs w:val="21"/>
              </w:rPr>
            </w:pPr>
          </w:p>
        </w:tc>
        <w:tc>
          <w:tcPr>
            <w:tcW w:w="217" w:type="dxa"/>
          </w:tcPr>
          <w:p w14:paraId="546417C1" w14:textId="77777777" w:rsidR="002C0FD9" w:rsidRPr="00CA25CF" w:rsidRDefault="002C0FD9" w:rsidP="00CA25CF">
            <w:pPr>
              <w:rPr>
                <w:rFonts w:cs="Arial"/>
                <w:color w:val="FF0000"/>
                <w:sz w:val="21"/>
                <w:szCs w:val="21"/>
              </w:rPr>
            </w:pPr>
          </w:p>
        </w:tc>
        <w:tc>
          <w:tcPr>
            <w:tcW w:w="217" w:type="dxa"/>
          </w:tcPr>
          <w:p w14:paraId="7AD7ECBD" w14:textId="02D25678" w:rsidR="002C0FD9" w:rsidRPr="00CA25CF" w:rsidRDefault="002C0FD9" w:rsidP="00CA25CF">
            <w:pPr>
              <w:rPr>
                <w:rFonts w:cs="Arial"/>
                <w:color w:val="FF0000"/>
                <w:sz w:val="21"/>
                <w:szCs w:val="21"/>
              </w:rPr>
            </w:pPr>
          </w:p>
        </w:tc>
        <w:tc>
          <w:tcPr>
            <w:tcW w:w="217" w:type="dxa"/>
          </w:tcPr>
          <w:p w14:paraId="48A20BA4" w14:textId="77777777" w:rsidR="002C0FD9" w:rsidRPr="00CA25CF" w:rsidRDefault="002C0FD9" w:rsidP="00CA25CF">
            <w:pPr>
              <w:rPr>
                <w:rFonts w:cs="Arial"/>
                <w:color w:val="FF0000"/>
                <w:sz w:val="21"/>
                <w:szCs w:val="21"/>
              </w:rPr>
            </w:pPr>
          </w:p>
        </w:tc>
        <w:tc>
          <w:tcPr>
            <w:tcW w:w="217" w:type="dxa"/>
          </w:tcPr>
          <w:p w14:paraId="0BA56B86" w14:textId="77777777" w:rsidR="002C0FD9" w:rsidRPr="00CA25CF" w:rsidRDefault="002C0FD9" w:rsidP="00CA25CF">
            <w:pPr>
              <w:rPr>
                <w:rFonts w:cs="Arial"/>
                <w:color w:val="FF0000"/>
                <w:sz w:val="21"/>
                <w:szCs w:val="21"/>
              </w:rPr>
            </w:pPr>
          </w:p>
        </w:tc>
        <w:tc>
          <w:tcPr>
            <w:tcW w:w="217" w:type="dxa"/>
          </w:tcPr>
          <w:p w14:paraId="641A9818" w14:textId="77777777" w:rsidR="002C0FD9" w:rsidRPr="00CA25CF" w:rsidRDefault="002C0FD9" w:rsidP="00CA25CF">
            <w:pPr>
              <w:rPr>
                <w:rFonts w:cs="Arial"/>
                <w:color w:val="FF0000"/>
                <w:sz w:val="21"/>
                <w:szCs w:val="21"/>
              </w:rPr>
            </w:pPr>
          </w:p>
        </w:tc>
        <w:tc>
          <w:tcPr>
            <w:tcW w:w="217" w:type="dxa"/>
          </w:tcPr>
          <w:p w14:paraId="6B49B532" w14:textId="77777777" w:rsidR="002C0FD9" w:rsidRPr="00CA25CF" w:rsidRDefault="002C0FD9" w:rsidP="00CA25CF">
            <w:pPr>
              <w:rPr>
                <w:rFonts w:cs="Arial"/>
                <w:color w:val="FF0000"/>
                <w:sz w:val="21"/>
                <w:szCs w:val="21"/>
              </w:rPr>
            </w:pPr>
          </w:p>
        </w:tc>
        <w:tc>
          <w:tcPr>
            <w:tcW w:w="217" w:type="dxa"/>
          </w:tcPr>
          <w:p w14:paraId="05B92F43" w14:textId="77777777" w:rsidR="002C0FD9" w:rsidRPr="00CA25CF" w:rsidRDefault="002C0FD9" w:rsidP="00CA25CF">
            <w:pPr>
              <w:rPr>
                <w:rFonts w:cs="Arial"/>
                <w:color w:val="FF0000"/>
                <w:sz w:val="21"/>
                <w:szCs w:val="21"/>
              </w:rPr>
            </w:pPr>
          </w:p>
        </w:tc>
        <w:tc>
          <w:tcPr>
            <w:tcW w:w="217" w:type="dxa"/>
          </w:tcPr>
          <w:p w14:paraId="2C56C6A0" w14:textId="77777777" w:rsidR="002C0FD9" w:rsidRPr="00CA25CF" w:rsidRDefault="002C0FD9" w:rsidP="00CA25CF">
            <w:pPr>
              <w:rPr>
                <w:rFonts w:cs="Arial"/>
                <w:color w:val="FF0000"/>
                <w:sz w:val="21"/>
                <w:szCs w:val="21"/>
              </w:rPr>
            </w:pPr>
          </w:p>
        </w:tc>
        <w:tc>
          <w:tcPr>
            <w:tcW w:w="217" w:type="dxa"/>
          </w:tcPr>
          <w:p w14:paraId="054E45E0" w14:textId="77777777" w:rsidR="002C0FD9" w:rsidRPr="00CA25CF" w:rsidRDefault="002C0FD9" w:rsidP="00CA25CF">
            <w:pPr>
              <w:rPr>
                <w:rFonts w:cs="Arial"/>
                <w:color w:val="FF0000"/>
                <w:sz w:val="21"/>
                <w:szCs w:val="21"/>
              </w:rPr>
            </w:pPr>
          </w:p>
        </w:tc>
        <w:tc>
          <w:tcPr>
            <w:tcW w:w="217" w:type="dxa"/>
          </w:tcPr>
          <w:p w14:paraId="26DB5BD9" w14:textId="77777777" w:rsidR="002C0FD9" w:rsidRPr="00CA25CF" w:rsidRDefault="002C0FD9" w:rsidP="00CA25CF">
            <w:pPr>
              <w:rPr>
                <w:rFonts w:cs="Arial"/>
                <w:color w:val="FF0000"/>
                <w:sz w:val="21"/>
                <w:szCs w:val="21"/>
              </w:rPr>
            </w:pPr>
          </w:p>
        </w:tc>
        <w:tc>
          <w:tcPr>
            <w:tcW w:w="217" w:type="dxa"/>
          </w:tcPr>
          <w:p w14:paraId="485F5385" w14:textId="77777777" w:rsidR="002C0FD9" w:rsidRPr="00CA25CF" w:rsidRDefault="002C0FD9" w:rsidP="00CA25CF">
            <w:pPr>
              <w:rPr>
                <w:rFonts w:cs="Arial"/>
                <w:color w:val="FF0000"/>
                <w:sz w:val="21"/>
                <w:szCs w:val="21"/>
              </w:rPr>
            </w:pPr>
          </w:p>
        </w:tc>
        <w:tc>
          <w:tcPr>
            <w:tcW w:w="217" w:type="dxa"/>
          </w:tcPr>
          <w:p w14:paraId="0C13FE4B" w14:textId="77777777" w:rsidR="002C0FD9" w:rsidRPr="00CA25CF" w:rsidRDefault="002C0FD9" w:rsidP="00CA25CF">
            <w:pPr>
              <w:rPr>
                <w:rFonts w:cs="Arial"/>
                <w:color w:val="FF0000"/>
                <w:sz w:val="21"/>
                <w:szCs w:val="21"/>
              </w:rPr>
            </w:pPr>
          </w:p>
        </w:tc>
        <w:tc>
          <w:tcPr>
            <w:tcW w:w="217" w:type="dxa"/>
          </w:tcPr>
          <w:p w14:paraId="760F4914" w14:textId="77777777" w:rsidR="002C0FD9" w:rsidRPr="00CA25CF" w:rsidRDefault="002C0FD9" w:rsidP="00CA25CF">
            <w:pPr>
              <w:rPr>
                <w:rFonts w:cs="Arial"/>
                <w:color w:val="FF0000"/>
                <w:sz w:val="21"/>
                <w:szCs w:val="21"/>
              </w:rPr>
            </w:pPr>
          </w:p>
        </w:tc>
        <w:tc>
          <w:tcPr>
            <w:tcW w:w="217" w:type="dxa"/>
          </w:tcPr>
          <w:p w14:paraId="43736932" w14:textId="77777777" w:rsidR="002C0FD9" w:rsidRPr="00CA25CF" w:rsidRDefault="002C0FD9" w:rsidP="00CA25CF">
            <w:pPr>
              <w:rPr>
                <w:rFonts w:cs="Arial"/>
                <w:color w:val="FF0000"/>
                <w:sz w:val="21"/>
                <w:szCs w:val="21"/>
              </w:rPr>
            </w:pPr>
          </w:p>
        </w:tc>
        <w:tc>
          <w:tcPr>
            <w:tcW w:w="217" w:type="dxa"/>
          </w:tcPr>
          <w:p w14:paraId="3D97706A" w14:textId="77777777" w:rsidR="002C0FD9" w:rsidRPr="00CA25CF" w:rsidRDefault="002C0FD9" w:rsidP="00CA25CF">
            <w:pPr>
              <w:rPr>
                <w:rFonts w:cs="Arial"/>
                <w:color w:val="FF0000"/>
                <w:sz w:val="21"/>
                <w:szCs w:val="21"/>
              </w:rPr>
            </w:pPr>
          </w:p>
        </w:tc>
        <w:tc>
          <w:tcPr>
            <w:tcW w:w="217" w:type="dxa"/>
          </w:tcPr>
          <w:p w14:paraId="75C076C2" w14:textId="77777777" w:rsidR="002C0FD9" w:rsidRPr="00CA25CF" w:rsidRDefault="002C0FD9" w:rsidP="00CA25CF">
            <w:pPr>
              <w:rPr>
                <w:rFonts w:cs="Arial"/>
                <w:color w:val="FF0000"/>
                <w:sz w:val="21"/>
                <w:szCs w:val="21"/>
              </w:rPr>
            </w:pPr>
          </w:p>
        </w:tc>
        <w:tc>
          <w:tcPr>
            <w:tcW w:w="217" w:type="dxa"/>
          </w:tcPr>
          <w:p w14:paraId="7398F206" w14:textId="77777777" w:rsidR="002C0FD9" w:rsidRPr="00CA25CF" w:rsidRDefault="002C0FD9" w:rsidP="00CA25CF">
            <w:pPr>
              <w:rPr>
                <w:rFonts w:cs="Arial"/>
                <w:color w:val="FF0000"/>
                <w:sz w:val="21"/>
                <w:szCs w:val="21"/>
              </w:rPr>
            </w:pPr>
          </w:p>
        </w:tc>
        <w:tc>
          <w:tcPr>
            <w:tcW w:w="217" w:type="dxa"/>
          </w:tcPr>
          <w:p w14:paraId="4D89D2A1" w14:textId="77777777" w:rsidR="002C0FD9" w:rsidRPr="00CA25CF" w:rsidRDefault="002C0FD9" w:rsidP="00CA25CF">
            <w:pPr>
              <w:rPr>
                <w:rFonts w:cs="Arial"/>
                <w:color w:val="FF0000"/>
                <w:sz w:val="21"/>
                <w:szCs w:val="21"/>
              </w:rPr>
            </w:pPr>
          </w:p>
        </w:tc>
        <w:tc>
          <w:tcPr>
            <w:tcW w:w="217" w:type="dxa"/>
          </w:tcPr>
          <w:p w14:paraId="3B624D78" w14:textId="77777777" w:rsidR="002C0FD9" w:rsidRPr="00CA25CF" w:rsidRDefault="002C0FD9" w:rsidP="00CA25CF">
            <w:pPr>
              <w:rPr>
                <w:rFonts w:cs="Arial"/>
                <w:color w:val="FF0000"/>
                <w:sz w:val="21"/>
                <w:szCs w:val="21"/>
              </w:rPr>
            </w:pPr>
          </w:p>
        </w:tc>
        <w:tc>
          <w:tcPr>
            <w:tcW w:w="217" w:type="dxa"/>
          </w:tcPr>
          <w:p w14:paraId="4542CC69" w14:textId="77777777" w:rsidR="002C0FD9" w:rsidRPr="00CA25CF" w:rsidRDefault="002C0FD9" w:rsidP="00CA25CF">
            <w:pPr>
              <w:rPr>
                <w:rFonts w:cs="Arial"/>
                <w:color w:val="FF0000"/>
                <w:sz w:val="21"/>
                <w:szCs w:val="21"/>
              </w:rPr>
            </w:pPr>
          </w:p>
        </w:tc>
        <w:tc>
          <w:tcPr>
            <w:tcW w:w="217" w:type="dxa"/>
          </w:tcPr>
          <w:p w14:paraId="2EA8AD7D" w14:textId="77777777" w:rsidR="002C0FD9" w:rsidRPr="00CA25CF" w:rsidRDefault="002C0FD9" w:rsidP="00CA25CF">
            <w:pPr>
              <w:rPr>
                <w:rFonts w:cs="Arial"/>
                <w:color w:val="FF0000"/>
                <w:sz w:val="21"/>
                <w:szCs w:val="21"/>
              </w:rPr>
            </w:pPr>
          </w:p>
        </w:tc>
        <w:tc>
          <w:tcPr>
            <w:tcW w:w="217" w:type="dxa"/>
          </w:tcPr>
          <w:p w14:paraId="181469FB" w14:textId="77777777" w:rsidR="002C0FD9" w:rsidRPr="00CA25CF" w:rsidRDefault="002C0FD9" w:rsidP="00CA25CF">
            <w:pPr>
              <w:rPr>
                <w:rFonts w:cs="Arial"/>
                <w:color w:val="FF0000"/>
                <w:sz w:val="21"/>
                <w:szCs w:val="21"/>
              </w:rPr>
            </w:pPr>
          </w:p>
        </w:tc>
        <w:tc>
          <w:tcPr>
            <w:tcW w:w="217" w:type="dxa"/>
          </w:tcPr>
          <w:p w14:paraId="6232864B" w14:textId="77777777" w:rsidR="002C0FD9" w:rsidRPr="00CA25CF" w:rsidRDefault="002C0FD9" w:rsidP="00CA25CF">
            <w:pPr>
              <w:rPr>
                <w:rFonts w:cs="Arial"/>
                <w:color w:val="FF0000"/>
                <w:sz w:val="21"/>
                <w:szCs w:val="21"/>
              </w:rPr>
            </w:pPr>
          </w:p>
        </w:tc>
        <w:tc>
          <w:tcPr>
            <w:tcW w:w="217" w:type="dxa"/>
          </w:tcPr>
          <w:p w14:paraId="4756C95B" w14:textId="77777777" w:rsidR="002C0FD9" w:rsidRPr="00CA25CF" w:rsidRDefault="002C0FD9" w:rsidP="00CA25CF">
            <w:pPr>
              <w:rPr>
                <w:rFonts w:cs="Arial"/>
                <w:color w:val="FF0000"/>
                <w:sz w:val="21"/>
                <w:szCs w:val="21"/>
              </w:rPr>
            </w:pPr>
          </w:p>
        </w:tc>
        <w:tc>
          <w:tcPr>
            <w:tcW w:w="217" w:type="dxa"/>
          </w:tcPr>
          <w:p w14:paraId="6777874A" w14:textId="77777777" w:rsidR="002C0FD9" w:rsidRPr="00CA25CF" w:rsidRDefault="002C0FD9" w:rsidP="00CA25CF">
            <w:pPr>
              <w:rPr>
                <w:rFonts w:cs="Arial"/>
                <w:color w:val="FF0000"/>
                <w:sz w:val="21"/>
                <w:szCs w:val="21"/>
              </w:rPr>
            </w:pPr>
          </w:p>
        </w:tc>
        <w:tc>
          <w:tcPr>
            <w:tcW w:w="217" w:type="dxa"/>
          </w:tcPr>
          <w:p w14:paraId="6F8E1CEA" w14:textId="77777777" w:rsidR="002C0FD9" w:rsidRPr="00CA25CF" w:rsidRDefault="002C0FD9" w:rsidP="00CA25CF">
            <w:pPr>
              <w:rPr>
                <w:rFonts w:cs="Arial"/>
                <w:color w:val="FF0000"/>
                <w:sz w:val="21"/>
                <w:szCs w:val="21"/>
              </w:rPr>
            </w:pPr>
          </w:p>
        </w:tc>
        <w:tc>
          <w:tcPr>
            <w:tcW w:w="217" w:type="dxa"/>
          </w:tcPr>
          <w:p w14:paraId="39F82097" w14:textId="77777777" w:rsidR="002C0FD9" w:rsidRPr="00CA25CF" w:rsidRDefault="002C0FD9" w:rsidP="00CA25CF">
            <w:pPr>
              <w:rPr>
                <w:rFonts w:cs="Arial"/>
                <w:color w:val="FF0000"/>
                <w:sz w:val="21"/>
                <w:szCs w:val="21"/>
              </w:rPr>
            </w:pPr>
          </w:p>
        </w:tc>
        <w:tc>
          <w:tcPr>
            <w:tcW w:w="217" w:type="dxa"/>
          </w:tcPr>
          <w:p w14:paraId="7F0703C3" w14:textId="77777777" w:rsidR="002C0FD9" w:rsidRPr="00CA25CF" w:rsidRDefault="002C0FD9" w:rsidP="00CA25CF">
            <w:pPr>
              <w:rPr>
                <w:rFonts w:cs="Arial"/>
                <w:color w:val="FF0000"/>
                <w:sz w:val="21"/>
                <w:szCs w:val="21"/>
              </w:rPr>
            </w:pPr>
          </w:p>
        </w:tc>
        <w:tc>
          <w:tcPr>
            <w:tcW w:w="217" w:type="dxa"/>
          </w:tcPr>
          <w:p w14:paraId="4B2857E9" w14:textId="77777777" w:rsidR="002C0FD9" w:rsidRPr="00CA25CF" w:rsidRDefault="002C0FD9" w:rsidP="00CA25CF">
            <w:pPr>
              <w:rPr>
                <w:rFonts w:cs="Arial"/>
                <w:color w:val="FF0000"/>
                <w:sz w:val="21"/>
                <w:szCs w:val="21"/>
              </w:rPr>
            </w:pPr>
          </w:p>
        </w:tc>
      </w:tr>
      <w:tr w:rsidR="002C0FD9" w:rsidRPr="00A16219" w14:paraId="11E09F5E" w14:textId="23DD491C" w:rsidTr="002C0FD9">
        <w:trPr>
          <w:trHeight w:val="635"/>
        </w:trPr>
        <w:tc>
          <w:tcPr>
            <w:tcW w:w="515" w:type="dxa"/>
          </w:tcPr>
          <w:p w14:paraId="1648B576" w14:textId="77777777" w:rsidR="002C0FD9" w:rsidRPr="00CA25CF" w:rsidRDefault="002C0FD9" w:rsidP="00CA25CF">
            <w:pPr>
              <w:rPr>
                <w:rFonts w:cs="Arial"/>
                <w:color w:val="FF0000"/>
                <w:sz w:val="21"/>
                <w:szCs w:val="21"/>
              </w:rPr>
            </w:pPr>
          </w:p>
        </w:tc>
        <w:tc>
          <w:tcPr>
            <w:tcW w:w="217" w:type="dxa"/>
          </w:tcPr>
          <w:p w14:paraId="2F5B3EFF" w14:textId="77777777" w:rsidR="002C0FD9" w:rsidRPr="00CA25CF" w:rsidRDefault="002C0FD9" w:rsidP="00CA25CF">
            <w:pPr>
              <w:rPr>
                <w:rFonts w:cs="Arial"/>
                <w:color w:val="FF0000"/>
                <w:sz w:val="21"/>
                <w:szCs w:val="21"/>
              </w:rPr>
            </w:pPr>
          </w:p>
        </w:tc>
        <w:tc>
          <w:tcPr>
            <w:tcW w:w="217" w:type="dxa"/>
          </w:tcPr>
          <w:p w14:paraId="7E663493" w14:textId="5AF9771B" w:rsidR="002C0FD9" w:rsidRPr="00CA25CF" w:rsidRDefault="002C0FD9" w:rsidP="00CA25CF">
            <w:pPr>
              <w:rPr>
                <w:rFonts w:cs="Arial"/>
                <w:color w:val="FF0000"/>
                <w:sz w:val="21"/>
                <w:szCs w:val="21"/>
              </w:rPr>
            </w:pPr>
          </w:p>
        </w:tc>
        <w:tc>
          <w:tcPr>
            <w:tcW w:w="217" w:type="dxa"/>
          </w:tcPr>
          <w:p w14:paraId="31FBDAE6" w14:textId="77777777" w:rsidR="002C0FD9" w:rsidRPr="00CA25CF" w:rsidRDefault="002C0FD9" w:rsidP="00CA25CF">
            <w:pPr>
              <w:rPr>
                <w:rFonts w:cs="Arial"/>
                <w:color w:val="FF0000"/>
                <w:sz w:val="21"/>
                <w:szCs w:val="21"/>
              </w:rPr>
            </w:pPr>
          </w:p>
        </w:tc>
        <w:tc>
          <w:tcPr>
            <w:tcW w:w="217" w:type="dxa"/>
          </w:tcPr>
          <w:p w14:paraId="260967D2" w14:textId="77777777" w:rsidR="002C0FD9" w:rsidRPr="00CA25CF" w:rsidRDefault="002C0FD9" w:rsidP="00CA25CF">
            <w:pPr>
              <w:rPr>
                <w:rFonts w:cs="Arial"/>
                <w:color w:val="FF0000"/>
                <w:sz w:val="21"/>
                <w:szCs w:val="21"/>
              </w:rPr>
            </w:pPr>
          </w:p>
        </w:tc>
        <w:tc>
          <w:tcPr>
            <w:tcW w:w="217" w:type="dxa"/>
          </w:tcPr>
          <w:p w14:paraId="51E0BAF4" w14:textId="77777777" w:rsidR="002C0FD9" w:rsidRPr="00CA25CF" w:rsidRDefault="002C0FD9" w:rsidP="00CA25CF">
            <w:pPr>
              <w:rPr>
                <w:rFonts w:cs="Arial"/>
                <w:color w:val="FF0000"/>
                <w:sz w:val="21"/>
                <w:szCs w:val="21"/>
              </w:rPr>
            </w:pPr>
          </w:p>
        </w:tc>
        <w:tc>
          <w:tcPr>
            <w:tcW w:w="217" w:type="dxa"/>
          </w:tcPr>
          <w:p w14:paraId="35711069" w14:textId="77777777" w:rsidR="002C0FD9" w:rsidRPr="00CA25CF" w:rsidRDefault="002C0FD9" w:rsidP="00CA25CF">
            <w:pPr>
              <w:rPr>
                <w:rFonts w:cs="Arial"/>
                <w:color w:val="FF0000"/>
                <w:sz w:val="21"/>
                <w:szCs w:val="21"/>
              </w:rPr>
            </w:pPr>
          </w:p>
        </w:tc>
        <w:tc>
          <w:tcPr>
            <w:tcW w:w="217" w:type="dxa"/>
          </w:tcPr>
          <w:p w14:paraId="4D8F69F4" w14:textId="77777777" w:rsidR="002C0FD9" w:rsidRPr="00CA25CF" w:rsidRDefault="002C0FD9" w:rsidP="00CA25CF">
            <w:pPr>
              <w:rPr>
                <w:rFonts w:cs="Arial"/>
                <w:color w:val="FF0000"/>
                <w:sz w:val="21"/>
                <w:szCs w:val="21"/>
              </w:rPr>
            </w:pPr>
          </w:p>
        </w:tc>
        <w:tc>
          <w:tcPr>
            <w:tcW w:w="217" w:type="dxa"/>
          </w:tcPr>
          <w:p w14:paraId="431CC141" w14:textId="77777777" w:rsidR="002C0FD9" w:rsidRPr="00CA25CF" w:rsidRDefault="002C0FD9" w:rsidP="00CA25CF">
            <w:pPr>
              <w:rPr>
                <w:rFonts w:cs="Arial"/>
                <w:color w:val="FF0000"/>
                <w:sz w:val="21"/>
                <w:szCs w:val="21"/>
              </w:rPr>
            </w:pPr>
          </w:p>
        </w:tc>
        <w:tc>
          <w:tcPr>
            <w:tcW w:w="217" w:type="dxa"/>
          </w:tcPr>
          <w:p w14:paraId="412EA37B" w14:textId="77777777" w:rsidR="002C0FD9" w:rsidRPr="00CA25CF" w:rsidRDefault="002C0FD9" w:rsidP="00CA25CF">
            <w:pPr>
              <w:rPr>
                <w:rFonts w:cs="Arial"/>
                <w:color w:val="FF0000"/>
                <w:sz w:val="21"/>
                <w:szCs w:val="21"/>
              </w:rPr>
            </w:pPr>
          </w:p>
        </w:tc>
        <w:tc>
          <w:tcPr>
            <w:tcW w:w="217" w:type="dxa"/>
          </w:tcPr>
          <w:p w14:paraId="35428525" w14:textId="77777777" w:rsidR="002C0FD9" w:rsidRPr="00CA25CF" w:rsidRDefault="002C0FD9" w:rsidP="00CA25CF">
            <w:pPr>
              <w:rPr>
                <w:rFonts w:cs="Arial"/>
                <w:color w:val="FF0000"/>
                <w:sz w:val="21"/>
                <w:szCs w:val="21"/>
              </w:rPr>
            </w:pPr>
          </w:p>
        </w:tc>
        <w:tc>
          <w:tcPr>
            <w:tcW w:w="217" w:type="dxa"/>
          </w:tcPr>
          <w:p w14:paraId="53FA9FA7" w14:textId="77777777" w:rsidR="002C0FD9" w:rsidRPr="00CA25CF" w:rsidRDefault="002C0FD9" w:rsidP="00CA25CF">
            <w:pPr>
              <w:rPr>
                <w:rFonts w:cs="Arial"/>
                <w:color w:val="FF0000"/>
                <w:sz w:val="21"/>
                <w:szCs w:val="21"/>
              </w:rPr>
            </w:pPr>
          </w:p>
        </w:tc>
        <w:tc>
          <w:tcPr>
            <w:tcW w:w="217" w:type="dxa"/>
          </w:tcPr>
          <w:p w14:paraId="50CBA0E2" w14:textId="77777777" w:rsidR="002C0FD9" w:rsidRPr="00CA25CF" w:rsidRDefault="002C0FD9" w:rsidP="00CA25CF">
            <w:pPr>
              <w:rPr>
                <w:rFonts w:cs="Arial"/>
                <w:color w:val="FF0000"/>
                <w:sz w:val="21"/>
                <w:szCs w:val="21"/>
              </w:rPr>
            </w:pPr>
          </w:p>
        </w:tc>
        <w:tc>
          <w:tcPr>
            <w:tcW w:w="217" w:type="dxa"/>
          </w:tcPr>
          <w:p w14:paraId="2EE7E86D" w14:textId="77777777" w:rsidR="002C0FD9" w:rsidRPr="00CA25CF" w:rsidRDefault="002C0FD9" w:rsidP="00CA25CF">
            <w:pPr>
              <w:rPr>
                <w:rFonts w:cs="Arial"/>
                <w:color w:val="FF0000"/>
                <w:sz w:val="21"/>
                <w:szCs w:val="21"/>
              </w:rPr>
            </w:pPr>
          </w:p>
        </w:tc>
        <w:tc>
          <w:tcPr>
            <w:tcW w:w="217" w:type="dxa"/>
          </w:tcPr>
          <w:p w14:paraId="11CC6DC6" w14:textId="77777777" w:rsidR="002C0FD9" w:rsidRPr="00CA25CF" w:rsidRDefault="002C0FD9" w:rsidP="00CA25CF">
            <w:pPr>
              <w:rPr>
                <w:rFonts w:cs="Arial"/>
                <w:color w:val="FF0000"/>
                <w:sz w:val="21"/>
                <w:szCs w:val="21"/>
              </w:rPr>
            </w:pPr>
          </w:p>
        </w:tc>
        <w:tc>
          <w:tcPr>
            <w:tcW w:w="217" w:type="dxa"/>
          </w:tcPr>
          <w:p w14:paraId="56667624" w14:textId="1AC2ED77" w:rsidR="002C0FD9" w:rsidRPr="00CA25CF" w:rsidRDefault="002C0FD9" w:rsidP="00CA25CF">
            <w:pPr>
              <w:rPr>
                <w:rFonts w:cs="Arial"/>
                <w:color w:val="FF0000"/>
                <w:sz w:val="21"/>
                <w:szCs w:val="21"/>
              </w:rPr>
            </w:pPr>
          </w:p>
        </w:tc>
        <w:tc>
          <w:tcPr>
            <w:tcW w:w="217" w:type="dxa"/>
          </w:tcPr>
          <w:p w14:paraId="33CF3738" w14:textId="77777777" w:rsidR="002C0FD9" w:rsidRPr="00CA25CF" w:rsidRDefault="002C0FD9" w:rsidP="00CA25CF">
            <w:pPr>
              <w:rPr>
                <w:rFonts w:cs="Arial"/>
                <w:color w:val="FF0000"/>
                <w:sz w:val="21"/>
                <w:szCs w:val="21"/>
              </w:rPr>
            </w:pPr>
          </w:p>
        </w:tc>
        <w:tc>
          <w:tcPr>
            <w:tcW w:w="217" w:type="dxa"/>
          </w:tcPr>
          <w:p w14:paraId="2F8627A7" w14:textId="77777777" w:rsidR="002C0FD9" w:rsidRPr="00CA25CF" w:rsidRDefault="002C0FD9" w:rsidP="00CA25CF">
            <w:pPr>
              <w:rPr>
                <w:rFonts w:cs="Arial"/>
                <w:color w:val="FF0000"/>
                <w:sz w:val="21"/>
                <w:szCs w:val="21"/>
              </w:rPr>
            </w:pPr>
          </w:p>
        </w:tc>
        <w:tc>
          <w:tcPr>
            <w:tcW w:w="217" w:type="dxa"/>
          </w:tcPr>
          <w:p w14:paraId="48ABF002" w14:textId="77777777" w:rsidR="002C0FD9" w:rsidRPr="00CA25CF" w:rsidRDefault="002C0FD9" w:rsidP="00CA25CF">
            <w:pPr>
              <w:rPr>
                <w:rFonts w:cs="Arial"/>
                <w:color w:val="FF0000"/>
                <w:sz w:val="21"/>
                <w:szCs w:val="21"/>
              </w:rPr>
            </w:pPr>
          </w:p>
        </w:tc>
        <w:tc>
          <w:tcPr>
            <w:tcW w:w="217" w:type="dxa"/>
          </w:tcPr>
          <w:p w14:paraId="07235B5D" w14:textId="77777777" w:rsidR="002C0FD9" w:rsidRPr="00CA25CF" w:rsidRDefault="002C0FD9" w:rsidP="00CA25CF">
            <w:pPr>
              <w:rPr>
                <w:rFonts w:cs="Arial"/>
                <w:color w:val="FF0000"/>
                <w:sz w:val="21"/>
                <w:szCs w:val="21"/>
              </w:rPr>
            </w:pPr>
          </w:p>
        </w:tc>
        <w:tc>
          <w:tcPr>
            <w:tcW w:w="217" w:type="dxa"/>
          </w:tcPr>
          <w:p w14:paraId="7274C211" w14:textId="77777777" w:rsidR="002C0FD9" w:rsidRPr="00CA25CF" w:rsidRDefault="002C0FD9" w:rsidP="00CA25CF">
            <w:pPr>
              <w:rPr>
                <w:rFonts w:cs="Arial"/>
                <w:color w:val="FF0000"/>
                <w:sz w:val="21"/>
                <w:szCs w:val="21"/>
              </w:rPr>
            </w:pPr>
          </w:p>
        </w:tc>
        <w:tc>
          <w:tcPr>
            <w:tcW w:w="217" w:type="dxa"/>
          </w:tcPr>
          <w:p w14:paraId="04460ABA" w14:textId="77777777" w:rsidR="002C0FD9" w:rsidRPr="00CA25CF" w:rsidRDefault="002C0FD9" w:rsidP="00CA25CF">
            <w:pPr>
              <w:rPr>
                <w:rFonts w:cs="Arial"/>
                <w:color w:val="FF0000"/>
                <w:sz w:val="21"/>
                <w:szCs w:val="21"/>
              </w:rPr>
            </w:pPr>
          </w:p>
        </w:tc>
        <w:tc>
          <w:tcPr>
            <w:tcW w:w="217" w:type="dxa"/>
          </w:tcPr>
          <w:p w14:paraId="7B4A6A6B" w14:textId="77777777" w:rsidR="002C0FD9" w:rsidRPr="00CA25CF" w:rsidRDefault="002C0FD9" w:rsidP="00CA25CF">
            <w:pPr>
              <w:rPr>
                <w:rFonts w:cs="Arial"/>
                <w:color w:val="FF0000"/>
                <w:sz w:val="21"/>
                <w:szCs w:val="21"/>
              </w:rPr>
            </w:pPr>
          </w:p>
        </w:tc>
        <w:tc>
          <w:tcPr>
            <w:tcW w:w="217" w:type="dxa"/>
          </w:tcPr>
          <w:p w14:paraId="70E1945D" w14:textId="77777777" w:rsidR="002C0FD9" w:rsidRPr="00CA25CF" w:rsidRDefault="002C0FD9" w:rsidP="00CA25CF">
            <w:pPr>
              <w:rPr>
                <w:rFonts w:cs="Arial"/>
                <w:color w:val="FF0000"/>
                <w:sz w:val="21"/>
                <w:szCs w:val="21"/>
              </w:rPr>
            </w:pPr>
          </w:p>
        </w:tc>
        <w:tc>
          <w:tcPr>
            <w:tcW w:w="217" w:type="dxa"/>
          </w:tcPr>
          <w:p w14:paraId="1905999E" w14:textId="77777777" w:rsidR="002C0FD9" w:rsidRPr="00CA25CF" w:rsidRDefault="002C0FD9" w:rsidP="00CA25CF">
            <w:pPr>
              <w:rPr>
                <w:rFonts w:cs="Arial"/>
                <w:color w:val="FF0000"/>
                <w:sz w:val="21"/>
                <w:szCs w:val="21"/>
              </w:rPr>
            </w:pPr>
          </w:p>
        </w:tc>
        <w:tc>
          <w:tcPr>
            <w:tcW w:w="217" w:type="dxa"/>
          </w:tcPr>
          <w:p w14:paraId="06E2F02F" w14:textId="77777777" w:rsidR="002C0FD9" w:rsidRPr="00CA25CF" w:rsidRDefault="002C0FD9" w:rsidP="00CA25CF">
            <w:pPr>
              <w:rPr>
                <w:rFonts w:cs="Arial"/>
                <w:color w:val="FF0000"/>
                <w:sz w:val="21"/>
                <w:szCs w:val="21"/>
              </w:rPr>
            </w:pPr>
          </w:p>
        </w:tc>
        <w:tc>
          <w:tcPr>
            <w:tcW w:w="217" w:type="dxa"/>
          </w:tcPr>
          <w:p w14:paraId="4B24EDE0" w14:textId="77777777" w:rsidR="002C0FD9" w:rsidRPr="00CA25CF" w:rsidRDefault="002C0FD9" w:rsidP="00CA25CF">
            <w:pPr>
              <w:rPr>
                <w:rFonts w:cs="Arial"/>
                <w:color w:val="FF0000"/>
                <w:sz w:val="21"/>
                <w:szCs w:val="21"/>
              </w:rPr>
            </w:pPr>
          </w:p>
        </w:tc>
        <w:tc>
          <w:tcPr>
            <w:tcW w:w="217" w:type="dxa"/>
          </w:tcPr>
          <w:p w14:paraId="62C68A0E" w14:textId="77777777" w:rsidR="002C0FD9" w:rsidRPr="00CA25CF" w:rsidRDefault="002C0FD9" w:rsidP="00CA25CF">
            <w:pPr>
              <w:rPr>
                <w:rFonts w:cs="Arial"/>
                <w:color w:val="FF0000"/>
                <w:sz w:val="21"/>
                <w:szCs w:val="21"/>
              </w:rPr>
            </w:pPr>
          </w:p>
        </w:tc>
        <w:tc>
          <w:tcPr>
            <w:tcW w:w="217" w:type="dxa"/>
          </w:tcPr>
          <w:p w14:paraId="75AB3990" w14:textId="77777777" w:rsidR="002C0FD9" w:rsidRPr="00CA25CF" w:rsidRDefault="002C0FD9" w:rsidP="00CA25CF">
            <w:pPr>
              <w:rPr>
                <w:rFonts w:cs="Arial"/>
                <w:color w:val="FF0000"/>
                <w:sz w:val="21"/>
                <w:szCs w:val="21"/>
              </w:rPr>
            </w:pPr>
          </w:p>
        </w:tc>
        <w:tc>
          <w:tcPr>
            <w:tcW w:w="217" w:type="dxa"/>
          </w:tcPr>
          <w:p w14:paraId="44CC3A87" w14:textId="77777777" w:rsidR="002C0FD9" w:rsidRPr="00CA25CF" w:rsidRDefault="002C0FD9" w:rsidP="00CA25CF">
            <w:pPr>
              <w:rPr>
                <w:rFonts w:cs="Arial"/>
                <w:color w:val="FF0000"/>
                <w:sz w:val="21"/>
                <w:szCs w:val="21"/>
              </w:rPr>
            </w:pPr>
          </w:p>
        </w:tc>
        <w:tc>
          <w:tcPr>
            <w:tcW w:w="217" w:type="dxa"/>
          </w:tcPr>
          <w:p w14:paraId="69EE3890" w14:textId="77777777" w:rsidR="002C0FD9" w:rsidRPr="00CA25CF" w:rsidRDefault="002C0FD9" w:rsidP="00CA25CF">
            <w:pPr>
              <w:rPr>
                <w:rFonts w:cs="Arial"/>
                <w:color w:val="FF0000"/>
                <w:sz w:val="21"/>
                <w:szCs w:val="21"/>
              </w:rPr>
            </w:pPr>
          </w:p>
        </w:tc>
        <w:tc>
          <w:tcPr>
            <w:tcW w:w="217" w:type="dxa"/>
          </w:tcPr>
          <w:p w14:paraId="72FCDF40" w14:textId="77777777" w:rsidR="002C0FD9" w:rsidRPr="00CA25CF" w:rsidRDefault="002C0FD9" w:rsidP="00CA25CF">
            <w:pPr>
              <w:rPr>
                <w:rFonts w:cs="Arial"/>
                <w:color w:val="FF0000"/>
                <w:sz w:val="21"/>
                <w:szCs w:val="21"/>
              </w:rPr>
            </w:pPr>
          </w:p>
        </w:tc>
        <w:tc>
          <w:tcPr>
            <w:tcW w:w="217" w:type="dxa"/>
          </w:tcPr>
          <w:p w14:paraId="6A0D8C83" w14:textId="77777777" w:rsidR="002C0FD9" w:rsidRPr="00CA25CF" w:rsidRDefault="002C0FD9" w:rsidP="00CA25CF">
            <w:pPr>
              <w:rPr>
                <w:rFonts w:cs="Arial"/>
                <w:color w:val="FF0000"/>
                <w:sz w:val="21"/>
                <w:szCs w:val="21"/>
              </w:rPr>
            </w:pPr>
          </w:p>
        </w:tc>
        <w:tc>
          <w:tcPr>
            <w:tcW w:w="217" w:type="dxa"/>
          </w:tcPr>
          <w:p w14:paraId="24D47DF2" w14:textId="77777777" w:rsidR="002C0FD9" w:rsidRPr="00CA25CF" w:rsidRDefault="002C0FD9" w:rsidP="00CA25CF">
            <w:pPr>
              <w:rPr>
                <w:rFonts w:cs="Arial"/>
                <w:color w:val="FF0000"/>
                <w:sz w:val="21"/>
                <w:szCs w:val="21"/>
              </w:rPr>
            </w:pPr>
          </w:p>
        </w:tc>
        <w:tc>
          <w:tcPr>
            <w:tcW w:w="217" w:type="dxa"/>
          </w:tcPr>
          <w:p w14:paraId="06F0662A" w14:textId="77777777" w:rsidR="002C0FD9" w:rsidRPr="00CA25CF" w:rsidRDefault="002C0FD9" w:rsidP="00CA25CF">
            <w:pPr>
              <w:rPr>
                <w:rFonts w:cs="Arial"/>
                <w:color w:val="FF0000"/>
                <w:sz w:val="21"/>
                <w:szCs w:val="21"/>
              </w:rPr>
            </w:pPr>
          </w:p>
        </w:tc>
        <w:tc>
          <w:tcPr>
            <w:tcW w:w="217" w:type="dxa"/>
          </w:tcPr>
          <w:p w14:paraId="4F8C040B" w14:textId="77777777" w:rsidR="002C0FD9" w:rsidRPr="00CA25CF" w:rsidRDefault="002C0FD9" w:rsidP="00CA25CF">
            <w:pPr>
              <w:rPr>
                <w:rFonts w:cs="Arial"/>
                <w:color w:val="FF0000"/>
                <w:sz w:val="21"/>
                <w:szCs w:val="21"/>
              </w:rPr>
            </w:pPr>
          </w:p>
        </w:tc>
        <w:tc>
          <w:tcPr>
            <w:tcW w:w="217" w:type="dxa"/>
          </w:tcPr>
          <w:p w14:paraId="4983E8F8" w14:textId="77777777" w:rsidR="002C0FD9" w:rsidRPr="00CA25CF" w:rsidRDefault="002C0FD9" w:rsidP="00CA25CF">
            <w:pPr>
              <w:rPr>
                <w:rFonts w:cs="Arial"/>
                <w:color w:val="FF0000"/>
                <w:sz w:val="21"/>
                <w:szCs w:val="21"/>
              </w:rPr>
            </w:pPr>
          </w:p>
        </w:tc>
        <w:tc>
          <w:tcPr>
            <w:tcW w:w="217" w:type="dxa"/>
          </w:tcPr>
          <w:p w14:paraId="648D5D2A" w14:textId="77777777" w:rsidR="002C0FD9" w:rsidRPr="00CA25CF" w:rsidRDefault="002C0FD9" w:rsidP="00CA25CF">
            <w:pPr>
              <w:rPr>
                <w:rFonts w:cs="Arial"/>
                <w:color w:val="FF0000"/>
                <w:sz w:val="21"/>
                <w:szCs w:val="21"/>
              </w:rPr>
            </w:pPr>
          </w:p>
        </w:tc>
        <w:tc>
          <w:tcPr>
            <w:tcW w:w="217" w:type="dxa"/>
          </w:tcPr>
          <w:p w14:paraId="1E3C03C1" w14:textId="77777777" w:rsidR="002C0FD9" w:rsidRPr="00CA25CF" w:rsidRDefault="002C0FD9" w:rsidP="00CA25CF">
            <w:pPr>
              <w:rPr>
                <w:rFonts w:cs="Arial"/>
                <w:color w:val="FF0000"/>
                <w:sz w:val="21"/>
                <w:szCs w:val="21"/>
              </w:rPr>
            </w:pPr>
          </w:p>
        </w:tc>
        <w:tc>
          <w:tcPr>
            <w:tcW w:w="217" w:type="dxa"/>
          </w:tcPr>
          <w:p w14:paraId="7F68C160" w14:textId="77777777" w:rsidR="002C0FD9" w:rsidRPr="00CA25CF" w:rsidRDefault="002C0FD9" w:rsidP="00CA25CF">
            <w:pPr>
              <w:rPr>
                <w:rFonts w:cs="Arial"/>
                <w:color w:val="FF0000"/>
                <w:sz w:val="21"/>
                <w:szCs w:val="21"/>
              </w:rPr>
            </w:pPr>
          </w:p>
        </w:tc>
        <w:tc>
          <w:tcPr>
            <w:tcW w:w="217" w:type="dxa"/>
          </w:tcPr>
          <w:p w14:paraId="70CF7DE7" w14:textId="77777777" w:rsidR="002C0FD9" w:rsidRPr="00CA25CF" w:rsidRDefault="002C0FD9" w:rsidP="00CA25CF">
            <w:pPr>
              <w:rPr>
                <w:rFonts w:cs="Arial"/>
                <w:color w:val="FF0000"/>
                <w:sz w:val="21"/>
                <w:szCs w:val="21"/>
              </w:rPr>
            </w:pPr>
          </w:p>
        </w:tc>
        <w:tc>
          <w:tcPr>
            <w:tcW w:w="217" w:type="dxa"/>
          </w:tcPr>
          <w:p w14:paraId="631DF4B0" w14:textId="77777777" w:rsidR="002C0FD9" w:rsidRPr="00CA25CF" w:rsidRDefault="002C0FD9" w:rsidP="00CA25CF">
            <w:pPr>
              <w:rPr>
                <w:rFonts w:cs="Arial"/>
                <w:color w:val="FF0000"/>
                <w:sz w:val="21"/>
                <w:szCs w:val="21"/>
              </w:rPr>
            </w:pPr>
          </w:p>
        </w:tc>
        <w:tc>
          <w:tcPr>
            <w:tcW w:w="217" w:type="dxa"/>
          </w:tcPr>
          <w:p w14:paraId="0F40E1D3" w14:textId="77777777" w:rsidR="002C0FD9" w:rsidRPr="00CA25CF" w:rsidRDefault="002C0FD9" w:rsidP="00CA25CF">
            <w:pPr>
              <w:rPr>
                <w:rFonts w:cs="Arial"/>
                <w:color w:val="FF0000"/>
                <w:sz w:val="21"/>
                <w:szCs w:val="21"/>
              </w:rPr>
            </w:pPr>
          </w:p>
        </w:tc>
      </w:tr>
      <w:tr w:rsidR="002C0FD9" w:rsidRPr="00A16219" w14:paraId="68101010" w14:textId="20D2F370" w:rsidTr="002C0FD9">
        <w:trPr>
          <w:trHeight w:val="635"/>
        </w:trPr>
        <w:tc>
          <w:tcPr>
            <w:tcW w:w="515" w:type="dxa"/>
          </w:tcPr>
          <w:p w14:paraId="714E97F0" w14:textId="77777777" w:rsidR="002C0FD9" w:rsidRPr="00CA25CF" w:rsidRDefault="002C0FD9" w:rsidP="00CA25CF">
            <w:pPr>
              <w:rPr>
                <w:rFonts w:cs="Arial"/>
                <w:color w:val="FF0000"/>
                <w:sz w:val="21"/>
                <w:szCs w:val="21"/>
              </w:rPr>
            </w:pPr>
          </w:p>
        </w:tc>
        <w:tc>
          <w:tcPr>
            <w:tcW w:w="217" w:type="dxa"/>
          </w:tcPr>
          <w:p w14:paraId="681178AA" w14:textId="77777777" w:rsidR="002C0FD9" w:rsidRPr="00CA25CF" w:rsidRDefault="002C0FD9" w:rsidP="00CA25CF">
            <w:pPr>
              <w:rPr>
                <w:rFonts w:cs="Arial"/>
                <w:color w:val="FF0000"/>
                <w:sz w:val="21"/>
                <w:szCs w:val="21"/>
              </w:rPr>
            </w:pPr>
          </w:p>
        </w:tc>
        <w:tc>
          <w:tcPr>
            <w:tcW w:w="217" w:type="dxa"/>
          </w:tcPr>
          <w:p w14:paraId="6F27B444" w14:textId="5D0370F6" w:rsidR="002C0FD9" w:rsidRPr="00CA25CF" w:rsidRDefault="002C0FD9" w:rsidP="00CA25CF">
            <w:pPr>
              <w:rPr>
                <w:rFonts w:cs="Arial"/>
                <w:color w:val="FF0000"/>
                <w:sz w:val="21"/>
                <w:szCs w:val="21"/>
              </w:rPr>
            </w:pPr>
          </w:p>
        </w:tc>
        <w:tc>
          <w:tcPr>
            <w:tcW w:w="217" w:type="dxa"/>
          </w:tcPr>
          <w:p w14:paraId="613B8C10" w14:textId="77777777" w:rsidR="002C0FD9" w:rsidRPr="00CA25CF" w:rsidRDefault="002C0FD9" w:rsidP="00CA25CF">
            <w:pPr>
              <w:rPr>
                <w:rFonts w:cs="Arial"/>
                <w:color w:val="FF0000"/>
                <w:sz w:val="21"/>
                <w:szCs w:val="21"/>
              </w:rPr>
            </w:pPr>
          </w:p>
        </w:tc>
        <w:tc>
          <w:tcPr>
            <w:tcW w:w="217" w:type="dxa"/>
          </w:tcPr>
          <w:p w14:paraId="4479294A" w14:textId="77777777" w:rsidR="002C0FD9" w:rsidRPr="00CA25CF" w:rsidRDefault="002C0FD9" w:rsidP="00CA25CF">
            <w:pPr>
              <w:rPr>
                <w:rFonts w:cs="Arial"/>
                <w:color w:val="FF0000"/>
                <w:sz w:val="21"/>
                <w:szCs w:val="21"/>
              </w:rPr>
            </w:pPr>
          </w:p>
        </w:tc>
        <w:tc>
          <w:tcPr>
            <w:tcW w:w="217" w:type="dxa"/>
          </w:tcPr>
          <w:p w14:paraId="7731CFCD" w14:textId="77777777" w:rsidR="002C0FD9" w:rsidRPr="00CA25CF" w:rsidRDefault="002C0FD9" w:rsidP="00CA25CF">
            <w:pPr>
              <w:rPr>
                <w:rFonts w:cs="Arial"/>
                <w:color w:val="FF0000"/>
                <w:sz w:val="21"/>
                <w:szCs w:val="21"/>
              </w:rPr>
            </w:pPr>
          </w:p>
        </w:tc>
        <w:tc>
          <w:tcPr>
            <w:tcW w:w="217" w:type="dxa"/>
          </w:tcPr>
          <w:p w14:paraId="4CFDD618" w14:textId="77777777" w:rsidR="002C0FD9" w:rsidRPr="00CA25CF" w:rsidRDefault="002C0FD9" w:rsidP="00CA25CF">
            <w:pPr>
              <w:rPr>
                <w:rFonts w:cs="Arial"/>
                <w:color w:val="FF0000"/>
                <w:sz w:val="21"/>
                <w:szCs w:val="21"/>
              </w:rPr>
            </w:pPr>
          </w:p>
        </w:tc>
        <w:tc>
          <w:tcPr>
            <w:tcW w:w="217" w:type="dxa"/>
          </w:tcPr>
          <w:p w14:paraId="410B42D7" w14:textId="77777777" w:rsidR="002C0FD9" w:rsidRPr="00CA25CF" w:rsidRDefault="002C0FD9" w:rsidP="00CA25CF">
            <w:pPr>
              <w:rPr>
                <w:rFonts w:cs="Arial"/>
                <w:color w:val="FF0000"/>
                <w:sz w:val="21"/>
                <w:szCs w:val="21"/>
              </w:rPr>
            </w:pPr>
          </w:p>
        </w:tc>
        <w:tc>
          <w:tcPr>
            <w:tcW w:w="217" w:type="dxa"/>
          </w:tcPr>
          <w:p w14:paraId="3B435A9C" w14:textId="77777777" w:rsidR="002C0FD9" w:rsidRPr="00CA25CF" w:rsidRDefault="002C0FD9" w:rsidP="00CA25CF">
            <w:pPr>
              <w:rPr>
                <w:rFonts w:cs="Arial"/>
                <w:color w:val="FF0000"/>
                <w:sz w:val="21"/>
                <w:szCs w:val="21"/>
              </w:rPr>
            </w:pPr>
          </w:p>
        </w:tc>
        <w:tc>
          <w:tcPr>
            <w:tcW w:w="217" w:type="dxa"/>
          </w:tcPr>
          <w:p w14:paraId="21F7F0B6" w14:textId="77777777" w:rsidR="002C0FD9" w:rsidRPr="00CA25CF" w:rsidRDefault="002C0FD9" w:rsidP="00CA25CF">
            <w:pPr>
              <w:rPr>
                <w:rFonts w:cs="Arial"/>
                <w:color w:val="FF0000"/>
                <w:sz w:val="21"/>
                <w:szCs w:val="21"/>
              </w:rPr>
            </w:pPr>
          </w:p>
        </w:tc>
        <w:tc>
          <w:tcPr>
            <w:tcW w:w="217" w:type="dxa"/>
          </w:tcPr>
          <w:p w14:paraId="3FDA2805" w14:textId="77777777" w:rsidR="002C0FD9" w:rsidRPr="00CA25CF" w:rsidRDefault="002C0FD9" w:rsidP="00CA25CF">
            <w:pPr>
              <w:rPr>
                <w:rFonts w:cs="Arial"/>
                <w:color w:val="FF0000"/>
                <w:sz w:val="21"/>
                <w:szCs w:val="21"/>
              </w:rPr>
            </w:pPr>
          </w:p>
        </w:tc>
        <w:tc>
          <w:tcPr>
            <w:tcW w:w="217" w:type="dxa"/>
          </w:tcPr>
          <w:p w14:paraId="2F3E209C" w14:textId="77777777" w:rsidR="002C0FD9" w:rsidRPr="00CA25CF" w:rsidRDefault="002C0FD9" w:rsidP="00CA25CF">
            <w:pPr>
              <w:rPr>
                <w:rFonts w:cs="Arial"/>
                <w:color w:val="FF0000"/>
                <w:sz w:val="21"/>
                <w:szCs w:val="21"/>
              </w:rPr>
            </w:pPr>
          </w:p>
        </w:tc>
        <w:tc>
          <w:tcPr>
            <w:tcW w:w="217" w:type="dxa"/>
          </w:tcPr>
          <w:p w14:paraId="7D75BD83" w14:textId="77777777" w:rsidR="002C0FD9" w:rsidRPr="00CA25CF" w:rsidRDefault="002C0FD9" w:rsidP="00CA25CF">
            <w:pPr>
              <w:rPr>
                <w:rFonts w:cs="Arial"/>
                <w:color w:val="FF0000"/>
                <w:sz w:val="21"/>
                <w:szCs w:val="21"/>
              </w:rPr>
            </w:pPr>
          </w:p>
        </w:tc>
        <w:tc>
          <w:tcPr>
            <w:tcW w:w="217" w:type="dxa"/>
          </w:tcPr>
          <w:p w14:paraId="28F43750" w14:textId="77777777" w:rsidR="002C0FD9" w:rsidRPr="00CA25CF" w:rsidRDefault="002C0FD9" w:rsidP="00CA25CF">
            <w:pPr>
              <w:rPr>
                <w:rFonts w:cs="Arial"/>
                <w:color w:val="FF0000"/>
                <w:sz w:val="21"/>
                <w:szCs w:val="21"/>
              </w:rPr>
            </w:pPr>
          </w:p>
        </w:tc>
        <w:tc>
          <w:tcPr>
            <w:tcW w:w="217" w:type="dxa"/>
          </w:tcPr>
          <w:p w14:paraId="3BFAC11E" w14:textId="77777777" w:rsidR="002C0FD9" w:rsidRPr="00CA25CF" w:rsidRDefault="002C0FD9" w:rsidP="00CA25CF">
            <w:pPr>
              <w:rPr>
                <w:rFonts w:cs="Arial"/>
                <w:color w:val="FF0000"/>
                <w:sz w:val="21"/>
                <w:szCs w:val="21"/>
              </w:rPr>
            </w:pPr>
          </w:p>
        </w:tc>
        <w:tc>
          <w:tcPr>
            <w:tcW w:w="217" w:type="dxa"/>
          </w:tcPr>
          <w:p w14:paraId="626DA67E" w14:textId="7456A6A1" w:rsidR="002C0FD9" w:rsidRPr="00CA25CF" w:rsidRDefault="002C0FD9" w:rsidP="00CA25CF">
            <w:pPr>
              <w:rPr>
                <w:rFonts w:cs="Arial"/>
                <w:color w:val="FF0000"/>
                <w:sz w:val="21"/>
                <w:szCs w:val="21"/>
              </w:rPr>
            </w:pPr>
          </w:p>
        </w:tc>
        <w:tc>
          <w:tcPr>
            <w:tcW w:w="217" w:type="dxa"/>
          </w:tcPr>
          <w:p w14:paraId="239918C0" w14:textId="77777777" w:rsidR="002C0FD9" w:rsidRPr="00CA25CF" w:rsidRDefault="002C0FD9" w:rsidP="00CA25CF">
            <w:pPr>
              <w:rPr>
                <w:rFonts w:cs="Arial"/>
                <w:color w:val="FF0000"/>
                <w:sz w:val="21"/>
                <w:szCs w:val="21"/>
              </w:rPr>
            </w:pPr>
          </w:p>
        </w:tc>
        <w:tc>
          <w:tcPr>
            <w:tcW w:w="217" w:type="dxa"/>
          </w:tcPr>
          <w:p w14:paraId="43574395" w14:textId="77777777" w:rsidR="002C0FD9" w:rsidRPr="00CA25CF" w:rsidRDefault="002C0FD9" w:rsidP="00CA25CF">
            <w:pPr>
              <w:rPr>
                <w:rFonts w:cs="Arial"/>
                <w:color w:val="FF0000"/>
                <w:sz w:val="21"/>
                <w:szCs w:val="21"/>
              </w:rPr>
            </w:pPr>
          </w:p>
        </w:tc>
        <w:tc>
          <w:tcPr>
            <w:tcW w:w="217" w:type="dxa"/>
          </w:tcPr>
          <w:p w14:paraId="05C89010" w14:textId="77777777" w:rsidR="002C0FD9" w:rsidRPr="00CA25CF" w:rsidRDefault="002C0FD9" w:rsidP="00CA25CF">
            <w:pPr>
              <w:rPr>
                <w:rFonts w:cs="Arial"/>
                <w:color w:val="FF0000"/>
                <w:sz w:val="21"/>
                <w:szCs w:val="21"/>
              </w:rPr>
            </w:pPr>
          </w:p>
        </w:tc>
        <w:tc>
          <w:tcPr>
            <w:tcW w:w="217" w:type="dxa"/>
          </w:tcPr>
          <w:p w14:paraId="7A4B5C9F" w14:textId="77777777" w:rsidR="002C0FD9" w:rsidRPr="00CA25CF" w:rsidRDefault="002C0FD9" w:rsidP="00CA25CF">
            <w:pPr>
              <w:rPr>
                <w:rFonts w:cs="Arial"/>
                <w:color w:val="FF0000"/>
                <w:sz w:val="21"/>
                <w:szCs w:val="21"/>
              </w:rPr>
            </w:pPr>
          </w:p>
        </w:tc>
        <w:tc>
          <w:tcPr>
            <w:tcW w:w="217" w:type="dxa"/>
          </w:tcPr>
          <w:p w14:paraId="382D4369" w14:textId="77777777" w:rsidR="002C0FD9" w:rsidRPr="00CA25CF" w:rsidRDefault="002C0FD9" w:rsidP="00CA25CF">
            <w:pPr>
              <w:rPr>
                <w:rFonts w:cs="Arial"/>
                <w:color w:val="FF0000"/>
                <w:sz w:val="21"/>
                <w:szCs w:val="21"/>
              </w:rPr>
            </w:pPr>
          </w:p>
        </w:tc>
        <w:tc>
          <w:tcPr>
            <w:tcW w:w="217" w:type="dxa"/>
          </w:tcPr>
          <w:p w14:paraId="3B7FF287" w14:textId="77777777" w:rsidR="002C0FD9" w:rsidRPr="00CA25CF" w:rsidRDefault="002C0FD9" w:rsidP="00CA25CF">
            <w:pPr>
              <w:rPr>
                <w:rFonts w:cs="Arial"/>
                <w:color w:val="FF0000"/>
                <w:sz w:val="21"/>
                <w:szCs w:val="21"/>
              </w:rPr>
            </w:pPr>
          </w:p>
        </w:tc>
        <w:tc>
          <w:tcPr>
            <w:tcW w:w="217" w:type="dxa"/>
          </w:tcPr>
          <w:p w14:paraId="57D1DD16" w14:textId="77777777" w:rsidR="002C0FD9" w:rsidRPr="00CA25CF" w:rsidRDefault="002C0FD9" w:rsidP="00CA25CF">
            <w:pPr>
              <w:rPr>
                <w:rFonts w:cs="Arial"/>
                <w:color w:val="FF0000"/>
                <w:sz w:val="21"/>
                <w:szCs w:val="21"/>
              </w:rPr>
            </w:pPr>
          </w:p>
        </w:tc>
        <w:tc>
          <w:tcPr>
            <w:tcW w:w="217" w:type="dxa"/>
          </w:tcPr>
          <w:p w14:paraId="291B872F" w14:textId="77777777" w:rsidR="002C0FD9" w:rsidRPr="00CA25CF" w:rsidRDefault="002C0FD9" w:rsidP="00CA25CF">
            <w:pPr>
              <w:rPr>
                <w:rFonts w:cs="Arial"/>
                <w:color w:val="FF0000"/>
                <w:sz w:val="21"/>
                <w:szCs w:val="21"/>
              </w:rPr>
            </w:pPr>
          </w:p>
        </w:tc>
        <w:tc>
          <w:tcPr>
            <w:tcW w:w="217" w:type="dxa"/>
          </w:tcPr>
          <w:p w14:paraId="201DE906" w14:textId="77777777" w:rsidR="002C0FD9" w:rsidRPr="00CA25CF" w:rsidRDefault="002C0FD9" w:rsidP="00CA25CF">
            <w:pPr>
              <w:rPr>
                <w:rFonts w:cs="Arial"/>
                <w:color w:val="FF0000"/>
                <w:sz w:val="21"/>
                <w:szCs w:val="21"/>
              </w:rPr>
            </w:pPr>
          </w:p>
        </w:tc>
        <w:tc>
          <w:tcPr>
            <w:tcW w:w="217" w:type="dxa"/>
          </w:tcPr>
          <w:p w14:paraId="36814194" w14:textId="77777777" w:rsidR="002C0FD9" w:rsidRPr="00CA25CF" w:rsidRDefault="002C0FD9" w:rsidP="00CA25CF">
            <w:pPr>
              <w:rPr>
                <w:rFonts w:cs="Arial"/>
                <w:color w:val="FF0000"/>
                <w:sz w:val="21"/>
                <w:szCs w:val="21"/>
              </w:rPr>
            </w:pPr>
          </w:p>
        </w:tc>
        <w:tc>
          <w:tcPr>
            <w:tcW w:w="217" w:type="dxa"/>
          </w:tcPr>
          <w:p w14:paraId="17BD9FAA" w14:textId="77777777" w:rsidR="002C0FD9" w:rsidRPr="00CA25CF" w:rsidRDefault="002C0FD9" w:rsidP="00CA25CF">
            <w:pPr>
              <w:rPr>
                <w:rFonts w:cs="Arial"/>
                <w:color w:val="FF0000"/>
                <w:sz w:val="21"/>
                <w:szCs w:val="21"/>
              </w:rPr>
            </w:pPr>
          </w:p>
        </w:tc>
        <w:tc>
          <w:tcPr>
            <w:tcW w:w="217" w:type="dxa"/>
          </w:tcPr>
          <w:p w14:paraId="60A2E884" w14:textId="77777777" w:rsidR="002C0FD9" w:rsidRPr="00CA25CF" w:rsidRDefault="002C0FD9" w:rsidP="00CA25CF">
            <w:pPr>
              <w:rPr>
                <w:rFonts w:cs="Arial"/>
                <w:color w:val="FF0000"/>
                <w:sz w:val="21"/>
                <w:szCs w:val="21"/>
              </w:rPr>
            </w:pPr>
          </w:p>
        </w:tc>
        <w:tc>
          <w:tcPr>
            <w:tcW w:w="217" w:type="dxa"/>
          </w:tcPr>
          <w:p w14:paraId="64BEECCA" w14:textId="77777777" w:rsidR="002C0FD9" w:rsidRPr="00CA25CF" w:rsidRDefault="002C0FD9" w:rsidP="00CA25CF">
            <w:pPr>
              <w:rPr>
                <w:rFonts w:cs="Arial"/>
                <w:color w:val="FF0000"/>
                <w:sz w:val="21"/>
                <w:szCs w:val="21"/>
              </w:rPr>
            </w:pPr>
          </w:p>
        </w:tc>
        <w:tc>
          <w:tcPr>
            <w:tcW w:w="217" w:type="dxa"/>
          </w:tcPr>
          <w:p w14:paraId="0B8EDD40" w14:textId="77777777" w:rsidR="002C0FD9" w:rsidRPr="00CA25CF" w:rsidRDefault="002C0FD9" w:rsidP="00CA25CF">
            <w:pPr>
              <w:rPr>
                <w:rFonts w:cs="Arial"/>
                <w:color w:val="FF0000"/>
                <w:sz w:val="21"/>
                <w:szCs w:val="21"/>
              </w:rPr>
            </w:pPr>
          </w:p>
        </w:tc>
        <w:tc>
          <w:tcPr>
            <w:tcW w:w="217" w:type="dxa"/>
          </w:tcPr>
          <w:p w14:paraId="02CA87E4" w14:textId="77777777" w:rsidR="002C0FD9" w:rsidRPr="00CA25CF" w:rsidRDefault="002C0FD9" w:rsidP="00CA25CF">
            <w:pPr>
              <w:rPr>
                <w:rFonts w:cs="Arial"/>
                <w:color w:val="FF0000"/>
                <w:sz w:val="21"/>
                <w:szCs w:val="21"/>
              </w:rPr>
            </w:pPr>
          </w:p>
        </w:tc>
        <w:tc>
          <w:tcPr>
            <w:tcW w:w="217" w:type="dxa"/>
          </w:tcPr>
          <w:p w14:paraId="2ECBECAD" w14:textId="77777777" w:rsidR="002C0FD9" w:rsidRPr="00CA25CF" w:rsidRDefault="002C0FD9" w:rsidP="00CA25CF">
            <w:pPr>
              <w:rPr>
                <w:rFonts w:cs="Arial"/>
                <w:color w:val="FF0000"/>
                <w:sz w:val="21"/>
                <w:szCs w:val="21"/>
              </w:rPr>
            </w:pPr>
          </w:p>
        </w:tc>
        <w:tc>
          <w:tcPr>
            <w:tcW w:w="217" w:type="dxa"/>
          </w:tcPr>
          <w:p w14:paraId="60438130" w14:textId="77777777" w:rsidR="002C0FD9" w:rsidRPr="00CA25CF" w:rsidRDefault="002C0FD9" w:rsidP="00CA25CF">
            <w:pPr>
              <w:rPr>
                <w:rFonts w:cs="Arial"/>
                <w:color w:val="FF0000"/>
                <w:sz w:val="21"/>
                <w:szCs w:val="21"/>
              </w:rPr>
            </w:pPr>
          </w:p>
        </w:tc>
        <w:tc>
          <w:tcPr>
            <w:tcW w:w="217" w:type="dxa"/>
          </w:tcPr>
          <w:p w14:paraId="18C00534" w14:textId="77777777" w:rsidR="002C0FD9" w:rsidRPr="00CA25CF" w:rsidRDefault="002C0FD9" w:rsidP="00CA25CF">
            <w:pPr>
              <w:rPr>
                <w:rFonts w:cs="Arial"/>
                <w:color w:val="FF0000"/>
                <w:sz w:val="21"/>
                <w:szCs w:val="21"/>
              </w:rPr>
            </w:pPr>
          </w:p>
        </w:tc>
        <w:tc>
          <w:tcPr>
            <w:tcW w:w="217" w:type="dxa"/>
          </w:tcPr>
          <w:p w14:paraId="19944B8C" w14:textId="77777777" w:rsidR="002C0FD9" w:rsidRPr="00CA25CF" w:rsidRDefault="002C0FD9" w:rsidP="00CA25CF">
            <w:pPr>
              <w:rPr>
                <w:rFonts w:cs="Arial"/>
                <w:color w:val="FF0000"/>
                <w:sz w:val="21"/>
                <w:szCs w:val="21"/>
              </w:rPr>
            </w:pPr>
          </w:p>
        </w:tc>
        <w:tc>
          <w:tcPr>
            <w:tcW w:w="217" w:type="dxa"/>
          </w:tcPr>
          <w:p w14:paraId="6923016A" w14:textId="77777777" w:rsidR="002C0FD9" w:rsidRPr="00CA25CF" w:rsidRDefault="002C0FD9" w:rsidP="00CA25CF">
            <w:pPr>
              <w:rPr>
                <w:rFonts w:cs="Arial"/>
                <w:color w:val="FF0000"/>
                <w:sz w:val="21"/>
                <w:szCs w:val="21"/>
              </w:rPr>
            </w:pPr>
          </w:p>
        </w:tc>
        <w:tc>
          <w:tcPr>
            <w:tcW w:w="217" w:type="dxa"/>
          </w:tcPr>
          <w:p w14:paraId="7EFA2B40" w14:textId="77777777" w:rsidR="002C0FD9" w:rsidRPr="00CA25CF" w:rsidRDefault="002C0FD9" w:rsidP="00CA25CF">
            <w:pPr>
              <w:rPr>
                <w:rFonts w:cs="Arial"/>
                <w:color w:val="FF0000"/>
                <w:sz w:val="21"/>
                <w:szCs w:val="21"/>
              </w:rPr>
            </w:pPr>
          </w:p>
        </w:tc>
        <w:tc>
          <w:tcPr>
            <w:tcW w:w="217" w:type="dxa"/>
          </w:tcPr>
          <w:p w14:paraId="5E5A3E18" w14:textId="77777777" w:rsidR="002C0FD9" w:rsidRPr="00CA25CF" w:rsidRDefault="002C0FD9" w:rsidP="00CA25CF">
            <w:pPr>
              <w:rPr>
                <w:rFonts w:cs="Arial"/>
                <w:color w:val="FF0000"/>
                <w:sz w:val="21"/>
                <w:szCs w:val="21"/>
              </w:rPr>
            </w:pPr>
          </w:p>
        </w:tc>
        <w:tc>
          <w:tcPr>
            <w:tcW w:w="217" w:type="dxa"/>
          </w:tcPr>
          <w:p w14:paraId="470D04B2" w14:textId="77777777" w:rsidR="002C0FD9" w:rsidRPr="00CA25CF" w:rsidRDefault="002C0FD9" w:rsidP="00CA25CF">
            <w:pPr>
              <w:rPr>
                <w:rFonts w:cs="Arial"/>
                <w:color w:val="FF0000"/>
                <w:sz w:val="21"/>
                <w:szCs w:val="21"/>
              </w:rPr>
            </w:pPr>
          </w:p>
        </w:tc>
        <w:tc>
          <w:tcPr>
            <w:tcW w:w="217" w:type="dxa"/>
          </w:tcPr>
          <w:p w14:paraId="597A02AB" w14:textId="77777777" w:rsidR="002C0FD9" w:rsidRPr="00CA25CF" w:rsidRDefault="002C0FD9" w:rsidP="00CA25CF">
            <w:pPr>
              <w:rPr>
                <w:rFonts w:cs="Arial"/>
                <w:color w:val="FF0000"/>
                <w:sz w:val="21"/>
                <w:szCs w:val="21"/>
              </w:rPr>
            </w:pPr>
          </w:p>
        </w:tc>
        <w:tc>
          <w:tcPr>
            <w:tcW w:w="217" w:type="dxa"/>
          </w:tcPr>
          <w:p w14:paraId="38C54A70" w14:textId="77777777" w:rsidR="002C0FD9" w:rsidRPr="00CA25CF" w:rsidRDefault="002C0FD9" w:rsidP="00CA25CF">
            <w:pPr>
              <w:rPr>
                <w:rFonts w:cs="Arial"/>
                <w:color w:val="FF0000"/>
                <w:sz w:val="21"/>
                <w:szCs w:val="21"/>
              </w:rPr>
            </w:pPr>
          </w:p>
        </w:tc>
        <w:tc>
          <w:tcPr>
            <w:tcW w:w="217" w:type="dxa"/>
          </w:tcPr>
          <w:p w14:paraId="03C58F3F" w14:textId="77777777" w:rsidR="002C0FD9" w:rsidRPr="00CA25CF" w:rsidRDefault="002C0FD9" w:rsidP="00CA25CF">
            <w:pPr>
              <w:rPr>
                <w:rFonts w:cs="Arial"/>
                <w:color w:val="FF0000"/>
                <w:sz w:val="21"/>
                <w:szCs w:val="21"/>
              </w:rPr>
            </w:pPr>
          </w:p>
        </w:tc>
        <w:tc>
          <w:tcPr>
            <w:tcW w:w="217" w:type="dxa"/>
          </w:tcPr>
          <w:p w14:paraId="4D150E39" w14:textId="77777777" w:rsidR="002C0FD9" w:rsidRPr="00CA25CF" w:rsidRDefault="002C0FD9" w:rsidP="00CA25CF">
            <w:pPr>
              <w:rPr>
                <w:rFonts w:cs="Arial"/>
                <w:color w:val="FF0000"/>
                <w:sz w:val="21"/>
                <w:szCs w:val="21"/>
              </w:rPr>
            </w:pPr>
          </w:p>
        </w:tc>
      </w:tr>
      <w:tr w:rsidR="002C0FD9" w:rsidRPr="00A16219" w14:paraId="1B4DD681" w14:textId="5D201FAD" w:rsidTr="002C0FD9">
        <w:trPr>
          <w:trHeight w:val="635"/>
        </w:trPr>
        <w:tc>
          <w:tcPr>
            <w:tcW w:w="515" w:type="dxa"/>
          </w:tcPr>
          <w:p w14:paraId="4B452D79" w14:textId="77777777" w:rsidR="002C0FD9" w:rsidRPr="00CA25CF" w:rsidRDefault="002C0FD9" w:rsidP="00CA25CF">
            <w:pPr>
              <w:rPr>
                <w:rFonts w:cs="Arial"/>
                <w:color w:val="FF0000"/>
                <w:sz w:val="21"/>
                <w:szCs w:val="21"/>
              </w:rPr>
            </w:pPr>
          </w:p>
        </w:tc>
        <w:tc>
          <w:tcPr>
            <w:tcW w:w="217" w:type="dxa"/>
          </w:tcPr>
          <w:p w14:paraId="1893F469" w14:textId="77777777" w:rsidR="002C0FD9" w:rsidRPr="00CA25CF" w:rsidRDefault="002C0FD9" w:rsidP="00CA25CF">
            <w:pPr>
              <w:rPr>
                <w:rFonts w:cs="Arial"/>
                <w:color w:val="FF0000"/>
                <w:sz w:val="21"/>
                <w:szCs w:val="21"/>
              </w:rPr>
            </w:pPr>
          </w:p>
        </w:tc>
        <w:tc>
          <w:tcPr>
            <w:tcW w:w="217" w:type="dxa"/>
          </w:tcPr>
          <w:p w14:paraId="37EE57DE" w14:textId="0449A6E3" w:rsidR="002C0FD9" w:rsidRPr="00CA25CF" w:rsidRDefault="002C0FD9" w:rsidP="00CA25CF">
            <w:pPr>
              <w:rPr>
                <w:rFonts w:cs="Arial"/>
                <w:color w:val="FF0000"/>
                <w:sz w:val="21"/>
                <w:szCs w:val="21"/>
              </w:rPr>
            </w:pPr>
          </w:p>
        </w:tc>
        <w:tc>
          <w:tcPr>
            <w:tcW w:w="217" w:type="dxa"/>
          </w:tcPr>
          <w:p w14:paraId="4DADC27A" w14:textId="77777777" w:rsidR="002C0FD9" w:rsidRPr="00CA25CF" w:rsidRDefault="002C0FD9" w:rsidP="00CA25CF">
            <w:pPr>
              <w:rPr>
                <w:rFonts w:cs="Arial"/>
                <w:color w:val="FF0000"/>
                <w:sz w:val="21"/>
                <w:szCs w:val="21"/>
              </w:rPr>
            </w:pPr>
          </w:p>
        </w:tc>
        <w:tc>
          <w:tcPr>
            <w:tcW w:w="217" w:type="dxa"/>
          </w:tcPr>
          <w:p w14:paraId="1E0AB291" w14:textId="77777777" w:rsidR="002C0FD9" w:rsidRPr="00CA25CF" w:rsidRDefault="002C0FD9" w:rsidP="00CA25CF">
            <w:pPr>
              <w:rPr>
                <w:rFonts w:cs="Arial"/>
                <w:color w:val="FF0000"/>
                <w:sz w:val="21"/>
                <w:szCs w:val="21"/>
              </w:rPr>
            </w:pPr>
          </w:p>
        </w:tc>
        <w:tc>
          <w:tcPr>
            <w:tcW w:w="217" w:type="dxa"/>
          </w:tcPr>
          <w:p w14:paraId="1B711BE7" w14:textId="77777777" w:rsidR="002C0FD9" w:rsidRPr="00CA25CF" w:rsidRDefault="002C0FD9" w:rsidP="00CA25CF">
            <w:pPr>
              <w:rPr>
                <w:rFonts w:cs="Arial"/>
                <w:color w:val="FF0000"/>
                <w:sz w:val="21"/>
                <w:szCs w:val="21"/>
              </w:rPr>
            </w:pPr>
          </w:p>
        </w:tc>
        <w:tc>
          <w:tcPr>
            <w:tcW w:w="217" w:type="dxa"/>
          </w:tcPr>
          <w:p w14:paraId="5D481B5F" w14:textId="77777777" w:rsidR="002C0FD9" w:rsidRPr="00CA25CF" w:rsidRDefault="002C0FD9" w:rsidP="00CA25CF">
            <w:pPr>
              <w:rPr>
                <w:rFonts w:cs="Arial"/>
                <w:color w:val="FF0000"/>
                <w:sz w:val="21"/>
                <w:szCs w:val="21"/>
              </w:rPr>
            </w:pPr>
          </w:p>
        </w:tc>
        <w:tc>
          <w:tcPr>
            <w:tcW w:w="217" w:type="dxa"/>
          </w:tcPr>
          <w:p w14:paraId="324EFD07" w14:textId="77777777" w:rsidR="002C0FD9" w:rsidRPr="00CA25CF" w:rsidRDefault="002C0FD9" w:rsidP="00CA25CF">
            <w:pPr>
              <w:rPr>
                <w:rFonts w:cs="Arial"/>
                <w:color w:val="FF0000"/>
                <w:sz w:val="21"/>
                <w:szCs w:val="21"/>
              </w:rPr>
            </w:pPr>
          </w:p>
        </w:tc>
        <w:tc>
          <w:tcPr>
            <w:tcW w:w="217" w:type="dxa"/>
          </w:tcPr>
          <w:p w14:paraId="0E312AA3" w14:textId="77777777" w:rsidR="002C0FD9" w:rsidRPr="00CA25CF" w:rsidRDefault="002C0FD9" w:rsidP="00CA25CF">
            <w:pPr>
              <w:rPr>
                <w:rFonts w:cs="Arial"/>
                <w:color w:val="FF0000"/>
                <w:sz w:val="21"/>
                <w:szCs w:val="21"/>
              </w:rPr>
            </w:pPr>
          </w:p>
        </w:tc>
        <w:tc>
          <w:tcPr>
            <w:tcW w:w="217" w:type="dxa"/>
          </w:tcPr>
          <w:p w14:paraId="0F3D60D2" w14:textId="77777777" w:rsidR="002C0FD9" w:rsidRPr="00CA25CF" w:rsidRDefault="002C0FD9" w:rsidP="00CA25CF">
            <w:pPr>
              <w:rPr>
                <w:rFonts w:cs="Arial"/>
                <w:color w:val="FF0000"/>
                <w:sz w:val="21"/>
                <w:szCs w:val="21"/>
              </w:rPr>
            </w:pPr>
          </w:p>
        </w:tc>
        <w:tc>
          <w:tcPr>
            <w:tcW w:w="217" w:type="dxa"/>
          </w:tcPr>
          <w:p w14:paraId="40B81535" w14:textId="77777777" w:rsidR="002C0FD9" w:rsidRPr="00CA25CF" w:rsidRDefault="002C0FD9" w:rsidP="00CA25CF">
            <w:pPr>
              <w:rPr>
                <w:rFonts w:cs="Arial"/>
                <w:color w:val="FF0000"/>
                <w:sz w:val="21"/>
                <w:szCs w:val="21"/>
              </w:rPr>
            </w:pPr>
          </w:p>
        </w:tc>
        <w:tc>
          <w:tcPr>
            <w:tcW w:w="217" w:type="dxa"/>
          </w:tcPr>
          <w:p w14:paraId="71125F94" w14:textId="77777777" w:rsidR="002C0FD9" w:rsidRPr="00CA25CF" w:rsidRDefault="002C0FD9" w:rsidP="00CA25CF">
            <w:pPr>
              <w:rPr>
                <w:rFonts w:cs="Arial"/>
                <w:color w:val="FF0000"/>
                <w:sz w:val="21"/>
                <w:szCs w:val="21"/>
              </w:rPr>
            </w:pPr>
          </w:p>
        </w:tc>
        <w:tc>
          <w:tcPr>
            <w:tcW w:w="217" w:type="dxa"/>
          </w:tcPr>
          <w:p w14:paraId="68E99BFC" w14:textId="77777777" w:rsidR="002C0FD9" w:rsidRPr="00CA25CF" w:rsidRDefault="002C0FD9" w:rsidP="00CA25CF">
            <w:pPr>
              <w:rPr>
                <w:rFonts w:cs="Arial"/>
                <w:color w:val="FF0000"/>
                <w:sz w:val="21"/>
                <w:szCs w:val="21"/>
              </w:rPr>
            </w:pPr>
          </w:p>
        </w:tc>
        <w:tc>
          <w:tcPr>
            <w:tcW w:w="217" w:type="dxa"/>
          </w:tcPr>
          <w:p w14:paraId="6512100D" w14:textId="77777777" w:rsidR="002C0FD9" w:rsidRPr="00CA25CF" w:rsidRDefault="002C0FD9" w:rsidP="00CA25CF">
            <w:pPr>
              <w:rPr>
                <w:rFonts w:cs="Arial"/>
                <w:color w:val="FF0000"/>
                <w:sz w:val="21"/>
                <w:szCs w:val="21"/>
              </w:rPr>
            </w:pPr>
          </w:p>
        </w:tc>
        <w:tc>
          <w:tcPr>
            <w:tcW w:w="217" w:type="dxa"/>
          </w:tcPr>
          <w:p w14:paraId="00FEA615" w14:textId="77777777" w:rsidR="002C0FD9" w:rsidRPr="00CA25CF" w:rsidRDefault="002C0FD9" w:rsidP="00CA25CF">
            <w:pPr>
              <w:rPr>
                <w:rFonts w:cs="Arial"/>
                <w:color w:val="FF0000"/>
                <w:sz w:val="21"/>
                <w:szCs w:val="21"/>
              </w:rPr>
            </w:pPr>
          </w:p>
        </w:tc>
        <w:tc>
          <w:tcPr>
            <w:tcW w:w="217" w:type="dxa"/>
          </w:tcPr>
          <w:p w14:paraId="541C6DBD" w14:textId="68AE9FB1" w:rsidR="002C0FD9" w:rsidRPr="00CA25CF" w:rsidRDefault="002C0FD9" w:rsidP="00CA25CF">
            <w:pPr>
              <w:rPr>
                <w:rFonts w:cs="Arial"/>
                <w:color w:val="FF0000"/>
                <w:sz w:val="21"/>
                <w:szCs w:val="21"/>
              </w:rPr>
            </w:pPr>
          </w:p>
        </w:tc>
        <w:tc>
          <w:tcPr>
            <w:tcW w:w="217" w:type="dxa"/>
          </w:tcPr>
          <w:p w14:paraId="61AAC160" w14:textId="77777777" w:rsidR="002C0FD9" w:rsidRPr="00CA25CF" w:rsidRDefault="002C0FD9" w:rsidP="00CA25CF">
            <w:pPr>
              <w:rPr>
                <w:rFonts w:cs="Arial"/>
                <w:color w:val="FF0000"/>
                <w:sz w:val="21"/>
                <w:szCs w:val="21"/>
              </w:rPr>
            </w:pPr>
          </w:p>
        </w:tc>
        <w:tc>
          <w:tcPr>
            <w:tcW w:w="217" w:type="dxa"/>
          </w:tcPr>
          <w:p w14:paraId="6EC97848" w14:textId="77777777" w:rsidR="002C0FD9" w:rsidRPr="00CA25CF" w:rsidRDefault="002C0FD9" w:rsidP="00CA25CF">
            <w:pPr>
              <w:rPr>
                <w:rFonts w:cs="Arial"/>
                <w:color w:val="FF0000"/>
                <w:sz w:val="21"/>
                <w:szCs w:val="21"/>
              </w:rPr>
            </w:pPr>
          </w:p>
        </w:tc>
        <w:tc>
          <w:tcPr>
            <w:tcW w:w="217" w:type="dxa"/>
          </w:tcPr>
          <w:p w14:paraId="42185E63" w14:textId="77777777" w:rsidR="002C0FD9" w:rsidRPr="00CA25CF" w:rsidRDefault="002C0FD9" w:rsidP="00CA25CF">
            <w:pPr>
              <w:rPr>
                <w:rFonts w:cs="Arial"/>
                <w:color w:val="FF0000"/>
                <w:sz w:val="21"/>
                <w:szCs w:val="21"/>
              </w:rPr>
            </w:pPr>
          </w:p>
        </w:tc>
        <w:tc>
          <w:tcPr>
            <w:tcW w:w="217" w:type="dxa"/>
          </w:tcPr>
          <w:p w14:paraId="3BE9DBF3" w14:textId="77777777" w:rsidR="002C0FD9" w:rsidRPr="00CA25CF" w:rsidRDefault="002C0FD9" w:rsidP="00CA25CF">
            <w:pPr>
              <w:rPr>
                <w:rFonts w:cs="Arial"/>
                <w:color w:val="FF0000"/>
                <w:sz w:val="21"/>
                <w:szCs w:val="21"/>
              </w:rPr>
            </w:pPr>
          </w:p>
        </w:tc>
        <w:tc>
          <w:tcPr>
            <w:tcW w:w="217" w:type="dxa"/>
          </w:tcPr>
          <w:p w14:paraId="15A7C6E8" w14:textId="77777777" w:rsidR="002C0FD9" w:rsidRPr="00CA25CF" w:rsidRDefault="002C0FD9" w:rsidP="00CA25CF">
            <w:pPr>
              <w:rPr>
                <w:rFonts w:cs="Arial"/>
                <w:color w:val="FF0000"/>
                <w:sz w:val="21"/>
                <w:szCs w:val="21"/>
              </w:rPr>
            </w:pPr>
          </w:p>
        </w:tc>
        <w:tc>
          <w:tcPr>
            <w:tcW w:w="217" w:type="dxa"/>
          </w:tcPr>
          <w:p w14:paraId="60866CA6" w14:textId="77777777" w:rsidR="002C0FD9" w:rsidRPr="00CA25CF" w:rsidRDefault="002C0FD9" w:rsidP="00CA25CF">
            <w:pPr>
              <w:rPr>
                <w:rFonts w:cs="Arial"/>
                <w:color w:val="FF0000"/>
                <w:sz w:val="21"/>
                <w:szCs w:val="21"/>
              </w:rPr>
            </w:pPr>
          </w:p>
        </w:tc>
        <w:tc>
          <w:tcPr>
            <w:tcW w:w="217" w:type="dxa"/>
          </w:tcPr>
          <w:p w14:paraId="346C299B" w14:textId="77777777" w:rsidR="002C0FD9" w:rsidRPr="00CA25CF" w:rsidRDefault="002C0FD9" w:rsidP="00CA25CF">
            <w:pPr>
              <w:rPr>
                <w:rFonts w:cs="Arial"/>
                <w:color w:val="FF0000"/>
                <w:sz w:val="21"/>
                <w:szCs w:val="21"/>
              </w:rPr>
            </w:pPr>
          </w:p>
        </w:tc>
        <w:tc>
          <w:tcPr>
            <w:tcW w:w="217" w:type="dxa"/>
          </w:tcPr>
          <w:p w14:paraId="3484FF84" w14:textId="77777777" w:rsidR="002C0FD9" w:rsidRPr="00CA25CF" w:rsidRDefault="002C0FD9" w:rsidP="00CA25CF">
            <w:pPr>
              <w:rPr>
                <w:rFonts w:cs="Arial"/>
                <w:color w:val="FF0000"/>
                <w:sz w:val="21"/>
                <w:szCs w:val="21"/>
              </w:rPr>
            </w:pPr>
          </w:p>
        </w:tc>
        <w:tc>
          <w:tcPr>
            <w:tcW w:w="217" w:type="dxa"/>
          </w:tcPr>
          <w:p w14:paraId="6D4B4D7B" w14:textId="77777777" w:rsidR="002C0FD9" w:rsidRPr="00CA25CF" w:rsidRDefault="002C0FD9" w:rsidP="00CA25CF">
            <w:pPr>
              <w:rPr>
                <w:rFonts w:cs="Arial"/>
                <w:color w:val="FF0000"/>
                <w:sz w:val="21"/>
                <w:szCs w:val="21"/>
              </w:rPr>
            </w:pPr>
          </w:p>
        </w:tc>
        <w:tc>
          <w:tcPr>
            <w:tcW w:w="217" w:type="dxa"/>
          </w:tcPr>
          <w:p w14:paraId="7CE8626A" w14:textId="77777777" w:rsidR="002C0FD9" w:rsidRPr="00CA25CF" w:rsidRDefault="002C0FD9" w:rsidP="00CA25CF">
            <w:pPr>
              <w:rPr>
                <w:rFonts w:cs="Arial"/>
                <w:color w:val="FF0000"/>
                <w:sz w:val="21"/>
                <w:szCs w:val="21"/>
              </w:rPr>
            </w:pPr>
          </w:p>
        </w:tc>
        <w:tc>
          <w:tcPr>
            <w:tcW w:w="217" w:type="dxa"/>
          </w:tcPr>
          <w:p w14:paraId="7A146A93" w14:textId="77777777" w:rsidR="002C0FD9" w:rsidRPr="00CA25CF" w:rsidRDefault="002C0FD9" w:rsidP="00CA25CF">
            <w:pPr>
              <w:rPr>
                <w:rFonts w:cs="Arial"/>
                <w:color w:val="FF0000"/>
                <w:sz w:val="21"/>
                <w:szCs w:val="21"/>
              </w:rPr>
            </w:pPr>
          </w:p>
        </w:tc>
        <w:tc>
          <w:tcPr>
            <w:tcW w:w="217" w:type="dxa"/>
          </w:tcPr>
          <w:p w14:paraId="7C498328" w14:textId="77777777" w:rsidR="002C0FD9" w:rsidRPr="00CA25CF" w:rsidRDefault="002C0FD9" w:rsidP="00CA25CF">
            <w:pPr>
              <w:rPr>
                <w:rFonts w:cs="Arial"/>
                <w:color w:val="FF0000"/>
                <w:sz w:val="21"/>
                <w:szCs w:val="21"/>
              </w:rPr>
            </w:pPr>
          </w:p>
        </w:tc>
        <w:tc>
          <w:tcPr>
            <w:tcW w:w="217" w:type="dxa"/>
          </w:tcPr>
          <w:p w14:paraId="2B399C2E" w14:textId="77777777" w:rsidR="002C0FD9" w:rsidRPr="00CA25CF" w:rsidRDefault="002C0FD9" w:rsidP="00CA25CF">
            <w:pPr>
              <w:rPr>
                <w:rFonts w:cs="Arial"/>
                <w:color w:val="FF0000"/>
                <w:sz w:val="21"/>
                <w:szCs w:val="21"/>
              </w:rPr>
            </w:pPr>
          </w:p>
        </w:tc>
        <w:tc>
          <w:tcPr>
            <w:tcW w:w="217" w:type="dxa"/>
          </w:tcPr>
          <w:p w14:paraId="5C2953EC" w14:textId="77777777" w:rsidR="002C0FD9" w:rsidRPr="00CA25CF" w:rsidRDefault="002C0FD9" w:rsidP="00CA25CF">
            <w:pPr>
              <w:rPr>
                <w:rFonts w:cs="Arial"/>
                <w:color w:val="FF0000"/>
                <w:sz w:val="21"/>
                <w:szCs w:val="21"/>
              </w:rPr>
            </w:pPr>
          </w:p>
        </w:tc>
        <w:tc>
          <w:tcPr>
            <w:tcW w:w="217" w:type="dxa"/>
          </w:tcPr>
          <w:p w14:paraId="38855BF4" w14:textId="77777777" w:rsidR="002C0FD9" w:rsidRPr="00CA25CF" w:rsidRDefault="002C0FD9" w:rsidP="00CA25CF">
            <w:pPr>
              <w:rPr>
                <w:rFonts w:cs="Arial"/>
                <w:color w:val="FF0000"/>
                <w:sz w:val="21"/>
                <w:szCs w:val="21"/>
              </w:rPr>
            </w:pPr>
          </w:p>
        </w:tc>
        <w:tc>
          <w:tcPr>
            <w:tcW w:w="217" w:type="dxa"/>
          </w:tcPr>
          <w:p w14:paraId="6F256399" w14:textId="77777777" w:rsidR="002C0FD9" w:rsidRPr="00CA25CF" w:rsidRDefault="002C0FD9" w:rsidP="00CA25CF">
            <w:pPr>
              <w:rPr>
                <w:rFonts w:cs="Arial"/>
                <w:color w:val="FF0000"/>
                <w:sz w:val="21"/>
                <w:szCs w:val="21"/>
              </w:rPr>
            </w:pPr>
          </w:p>
        </w:tc>
        <w:tc>
          <w:tcPr>
            <w:tcW w:w="217" w:type="dxa"/>
          </w:tcPr>
          <w:p w14:paraId="086ADB1F" w14:textId="77777777" w:rsidR="002C0FD9" w:rsidRPr="00CA25CF" w:rsidRDefault="002C0FD9" w:rsidP="00CA25CF">
            <w:pPr>
              <w:rPr>
                <w:rFonts w:cs="Arial"/>
                <w:color w:val="FF0000"/>
                <w:sz w:val="21"/>
                <w:szCs w:val="21"/>
              </w:rPr>
            </w:pPr>
          </w:p>
        </w:tc>
        <w:tc>
          <w:tcPr>
            <w:tcW w:w="217" w:type="dxa"/>
          </w:tcPr>
          <w:p w14:paraId="0664F561" w14:textId="77777777" w:rsidR="002C0FD9" w:rsidRPr="00CA25CF" w:rsidRDefault="002C0FD9" w:rsidP="00CA25CF">
            <w:pPr>
              <w:rPr>
                <w:rFonts w:cs="Arial"/>
                <w:color w:val="FF0000"/>
                <w:sz w:val="21"/>
                <w:szCs w:val="21"/>
              </w:rPr>
            </w:pPr>
          </w:p>
        </w:tc>
        <w:tc>
          <w:tcPr>
            <w:tcW w:w="217" w:type="dxa"/>
          </w:tcPr>
          <w:p w14:paraId="6A2637CB" w14:textId="77777777" w:rsidR="002C0FD9" w:rsidRPr="00CA25CF" w:rsidRDefault="002C0FD9" w:rsidP="00CA25CF">
            <w:pPr>
              <w:rPr>
                <w:rFonts w:cs="Arial"/>
                <w:color w:val="FF0000"/>
                <w:sz w:val="21"/>
                <w:szCs w:val="21"/>
              </w:rPr>
            </w:pPr>
          </w:p>
        </w:tc>
        <w:tc>
          <w:tcPr>
            <w:tcW w:w="217" w:type="dxa"/>
          </w:tcPr>
          <w:p w14:paraId="5737515E" w14:textId="77777777" w:rsidR="002C0FD9" w:rsidRPr="00CA25CF" w:rsidRDefault="002C0FD9" w:rsidP="00CA25CF">
            <w:pPr>
              <w:rPr>
                <w:rFonts w:cs="Arial"/>
                <w:color w:val="FF0000"/>
                <w:sz w:val="21"/>
                <w:szCs w:val="21"/>
              </w:rPr>
            </w:pPr>
          </w:p>
        </w:tc>
        <w:tc>
          <w:tcPr>
            <w:tcW w:w="217" w:type="dxa"/>
          </w:tcPr>
          <w:p w14:paraId="00396F33" w14:textId="77777777" w:rsidR="002C0FD9" w:rsidRPr="00CA25CF" w:rsidRDefault="002C0FD9" w:rsidP="00CA25CF">
            <w:pPr>
              <w:rPr>
                <w:rFonts w:cs="Arial"/>
                <w:color w:val="FF0000"/>
                <w:sz w:val="21"/>
                <w:szCs w:val="21"/>
              </w:rPr>
            </w:pPr>
          </w:p>
        </w:tc>
        <w:tc>
          <w:tcPr>
            <w:tcW w:w="217" w:type="dxa"/>
          </w:tcPr>
          <w:p w14:paraId="366BA828" w14:textId="77777777" w:rsidR="002C0FD9" w:rsidRPr="00CA25CF" w:rsidRDefault="002C0FD9" w:rsidP="00CA25CF">
            <w:pPr>
              <w:rPr>
                <w:rFonts w:cs="Arial"/>
                <w:color w:val="FF0000"/>
                <w:sz w:val="21"/>
                <w:szCs w:val="21"/>
              </w:rPr>
            </w:pPr>
          </w:p>
        </w:tc>
        <w:tc>
          <w:tcPr>
            <w:tcW w:w="217" w:type="dxa"/>
          </w:tcPr>
          <w:p w14:paraId="5B1EDBF3" w14:textId="77777777" w:rsidR="002C0FD9" w:rsidRPr="00CA25CF" w:rsidRDefault="002C0FD9" w:rsidP="00CA25CF">
            <w:pPr>
              <w:rPr>
                <w:rFonts w:cs="Arial"/>
                <w:color w:val="FF0000"/>
                <w:sz w:val="21"/>
                <w:szCs w:val="21"/>
              </w:rPr>
            </w:pPr>
          </w:p>
        </w:tc>
        <w:tc>
          <w:tcPr>
            <w:tcW w:w="217" w:type="dxa"/>
          </w:tcPr>
          <w:p w14:paraId="49E8E433" w14:textId="77777777" w:rsidR="002C0FD9" w:rsidRPr="00CA25CF" w:rsidRDefault="002C0FD9" w:rsidP="00CA25CF">
            <w:pPr>
              <w:rPr>
                <w:rFonts w:cs="Arial"/>
                <w:color w:val="FF0000"/>
                <w:sz w:val="21"/>
                <w:szCs w:val="21"/>
              </w:rPr>
            </w:pPr>
          </w:p>
        </w:tc>
        <w:tc>
          <w:tcPr>
            <w:tcW w:w="217" w:type="dxa"/>
          </w:tcPr>
          <w:p w14:paraId="06875A16" w14:textId="77777777" w:rsidR="002C0FD9" w:rsidRPr="00CA25CF" w:rsidRDefault="002C0FD9" w:rsidP="00CA25CF">
            <w:pPr>
              <w:rPr>
                <w:rFonts w:cs="Arial"/>
                <w:color w:val="FF0000"/>
                <w:sz w:val="21"/>
                <w:szCs w:val="21"/>
              </w:rPr>
            </w:pPr>
          </w:p>
        </w:tc>
        <w:tc>
          <w:tcPr>
            <w:tcW w:w="217" w:type="dxa"/>
          </w:tcPr>
          <w:p w14:paraId="1197C481" w14:textId="77777777" w:rsidR="002C0FD9" w:rsidRPr="00CA25CF" w:rsidRDefault="002C0FD9" w:rsidP="00CA25CF">
            <w:pPr>
              <w:rPr>
                <w:rFonts w:cs="Arial"/>
                <w:color w:val="FF0000"/>
                <w:sz w:val="21"/>
                <w:szCs w:val="21"/>
              </w:rPr>
            </w:pPr>
          </w:p>
        </w:tc>
        <w:tc>
          <w:tcPr>
            <w:tcW w:w="217" w:type="dxa"/>
          </w:tcPr>
          <w:p w14:paraId="065A396C" w14:textId="77777777" w:rsidR="002C0FD9" w:rsidRPr="00CA25CF" w:rsidRDefault="002C0FD9" w:rsidP="00CA25CF">
            <w:pPr>
              <w:rPr>
                <w:rFonts w:cs="Arial"/>
                <w:color w:val="FF0000"/>
                <w:sz w:val="21"/>
                <w:szCs w:val="21"/>
              </w:rPr>
            </w:pPr>
          </w:p>
        </w:tc>
      </w:tr>
      <w:tr w:rsidR="002C0FD9" w:rsidRPr="00A16219" w14:paraId="30C9719D" w14:textId="44292964" w:rsidTr="002C0FD9">
        <w:trPr>
          <w:trHeight w:val="635"/>
        </w:trPr>
        <w:tc>
          <w:tcPr>
            <w:tcW w:w="515" w:type="dxa"/>
          </w:tcPr>
          <w:p w14:paraId="142AC7FE" w14:textId="77777777" w:rsidR="002C0FD9" w:rsidRPr="00CA25CF" w:rsidRDefault="002C0FD9" w:rsidP="00CA25CF">
            <w:pPr>
              <w:rPr>
                <w:rFonts w:cs="Arial"/>
                <w:color w:val="FF0000"/>
                <w:sz w:val="21"/>
                <w:szCs w:val="21"/>
              </w:rPr>
            </w:pPr>
          </w:p>
        </w:tc>
        <w:tc>
          <w:tcPr>
            <w:tcW w:w="217" w:type="dxa"/>
          </w:tcPr>
          <w:p w14:paraId="7F2F22F9" w14:textId="77777777" w:rsidR="002C0FD9" w:rsidRPr="00CA25CF" w:rsidRDefault="002C0FD9" w:rsidP="00CA25CF">
            <w:pPr>
              <w:rPr>
                <w:rFonts w:cs="Arial"/>
                <w:color w:val="FF0000"/>
                <w:sz w:val="21"/>
                <w:szCs w:val="21"/>
              </w:rPr>
            </w:pPr>
          </w:p>
        </w:tc>
        <w:tc>
          <w:tcPr>
            <w:tcW w:w="217" w:type="dxa"/>
          </w:tcPr>
          <w:p w14:paraId="4847066F" w14:textId="239751F0" w:rsidR="002C0FD9" w:rsidRPr="00CA25CF" w:rsidRDefault="002C0FD9" w:rsidP="00CA25CF">
            <w:pPr>
              <w:rPr>
                <w:rFonts w:cs="Arial"/>
                <w:color w:val="FF0000"/>
                <w:sz w:val="21"/>
                <w:szCs w:val="21"/>
              </w:rPr>
            </w:pPr>
          </w:p>
        </w:tc>
        <w:tc>
          <w:tcPr>
            <w:tcW w:w="217" w:type="dxa"/>
          </w:tcPr>
          <w:p w14:paraId="67CE9BC6" w14:textId="77777777" w:rsidR="002C0FD9" w:rsidRPr="00CA25CF" w:rsidRDefault="002C0FD9" w:rsidP="00CA25CF">
            <w:pPr>
              <w:rPr>
                <w:rFonts w:cs="Arial"/>
                <w:color w:val="FF0000"/>
                <w:sz w:val="21"/>
                <w:szCs w:val="21"/>
              </w:rPr>
            </w:pPr>
          </w:p>
        </w:tc>
        <w:tc>
          <w:tcPr>
            <w:tcW w:w="217" w:type="dxa"/>
          </w:tcPr>
          <w:p w14:paraId="7C3AF7C2" w14:textId="77777777" w:rsidR="002C0FD9" w:rsidRPr="00CA25CF" w:rsidRDefault="002C0FD9" w:rsidP="00CA25CF">
            <w:pPr>
              <w:rPr>
                <w:rFonts w:cs="Arial"/>
                <w:color w:val="FF0000"/>
                <w:sz w:val="21"/>
                <w:szCs w:val="21"/>
              </w:rPr>
            </w:pPr>
          </w:p>
        </w:tc>
        <w:tc>
          <w:tcPr>
            <w:tcW w:w="217" w:type="dxa"/>
          </w:tcPr>
          <w:p w14:paraId="7D3FBED7" w14:textId="77777777" w:rsidR="002C0FD9" w:rsidRPr="00CA25CF" w:rsidRDefault="002C0FD9" w:rsidP="00CA25CF">
            <w:pPr>
              <w:rPr>
                <w:rFonts w:cs="Arial"/>
                <w:color w:val="FF0000"/>
                <w:sz w:val="21"/>
                <w:szCs w:val="21"/>
              </w:rPr>
            </w:pPr>
          </w:p>
        </w:tc>
        <w:tc>
          <w:tcPr>
            <w:tcW w:w="217" w:type="dxa"/>
          </w:tcPr>
          <w:p w14:paraId="11893791" w14:textId="77777777" w:rsidR="002C0FD9" w:rsidRPr="00CA25CF" w:rsidRDefault="002C0FD9" w:rsidP="00CA25CF">
            <w:pPr>
              <w:rPr>
                <w:rFonts w:cs="Arial"/>
                <w:color w:val="FF0000"/>
                <w:sz w:val="21"/>
                <w:szCs w:val="21"/>
              </w:rPr>
            </w:pPr>
          </w:p>
        </w:tc>
        <w:tc>
          <w:tcPr>
            <w:tcW w:w="217" w:type="dxa"/>
          </w:tcPr>
          <w:p w14:paraId="58257A16" w14:textId="77777777" w:rsidR="002C0FD9" w:rsidRPr="00CA25CF" w:rsidRDefault="002C0FD9" w:rsidP="00CA25CF">
            <w:pPr>
              <w:rPr>
                <w:rFonts w:cs="Arial"/>
                <w:color w:val="FF0000"/>
                <w:sz w:val="21"/>
                <w:szCs w:val="21"/>
              </w:rPr>
            </w:pPr>
          </w:p>
        </w:tc>
        <w:tc>
          <w:tcPr>
            <w:tcW w:w="217" w:type="dxa"/>
          </w:tcPr>
          <w:p w14:paraId="06B2B457" w14:textId="77777777" w:rsidR="002C0FD9" w:rsidRPr="00CA25CF" w:rsidRDefault="002C0FD9" w:rsidP="00CA25CF">
            <w:pPr>
              <w:rPr>
                <w:rFonts w:cs="Arial"/>
                <w:color w:val="FF0000"/>
                <w:sz w:val="21"/>
                <w:szCs w:val="21"/>
              </w:rPr>
            </w:pPr>
          </w:p>
        </w:tc>
        <w:tc>
          <w:tcPr>
            <w:tcW w:w="217" w:type="dxa"/>
          </w:tcPr>
          <w:p w14:paraId="10BD20B6" w14:textId="77777777" w:rsidR="002C0FD9" w:rsidRPr="00CA25CF" w:rsidRDefault="002C0FD9" w:rsidP="00CA25CF">
            <w:pPr>
              <w:rPr>
                <w:rFonts w:cs="Arial"/>
                <w:color w:val="FF0000"/>
                <w:sz w:val="21"/>
                <w:szCs w:val="21"/>
              </w:rPr>
            </w:pPr>
          </w:p>
        </w:tc>
        <w:tc>
          <w:tcPr>
            <w:tcW w:w="217" w:type="dxa"/>
          </w:tcPr>
          <w:p w14:paraId="429C94F3" w14:textId="77777777" w:rsidR="002C0FD9" w:rsidRPr="00CA25CF" w:rsidRDefault="002C0FD9" w:rsidP="00CA25CF">
            <w:pPr>
              <w:rPr>
                <w:rFonts w:cs="Arial"/>
                <w:color w:val="FF0000"/>
                <w:sz w:val="21"/>
                <w:szCs w:val="21"/>
              </w:rPr>
            </w:pPr>
          </w:p>
        </w:tc>
        <w:tc>
          <w:tcPr>
            <w:tcW w:w="217" w:type="dxa"/>
          </w:tcPr>
          <w:p w14:paraId="0C0AF5EA" w14:textId="77777777" w:rsidR="002C0FD9" w:rsidRPr="00CA25CF" w:rsidRDefault="002C0FD9" w:rsidP="00CA25CF">
            <w:pPr>
              <w:rPr>
                <w:rFonts w:cs="Arial"/>
                <w:color w:val="FF0000"/>
                <w:sz w:val="21"/>
                <w:szCs w:val="21"/>
              </w:rPr>
            </w:pPr>
          </w:p>
        </w:tc>
        <w:tc>
          <w:tcPr>
            <w:tcW w:w="217" w:type="dxa"/>
          </w:tcPr>
          <w:p w14:paraId="1B88B800" w14:textId="77777777" w:rsidR="002C0FD9" w:rsidRPr="00CA25CF" w:rsidRDefault="002C0FD9" w:rsidP="00CA25CF">
            <w:pPr>
              <w:rPr>
                <w:rFonts w:cs="Arial"/>
                <w:color w:val="FF0000"/>
                <w:sz w:val="21"/>
                <w:szCs w:val="21"/>
              </w:rPr>
            </w:pPr>
          </w:p>
        </w:tc>
        <w:tc>
          <w:tcPr>
            <w:tcW w:w="217" w:type="dxa"/>
          </w:tcPr>
          <w:p w14:paraId="67078EFF" w14:textId="77777777" w:rsidR="002C0FD9" w:rsidRPr="00CA25CF" w:rsidRDefault="002C0FD9" w:rsidP="00CA25CF">
            <w:pPr>
              <w:rPr>
                <w:rFonts w:cs="Arial"/>
                <w:color w:val="FF0000"/>
                <w:sz w:val="21"/>
                <w:szCs w:val="21"/>
              </w:rPr>
            </w:pPr>
          </w:p>
        </w:tc>
        <w:tc>
          <w:tcPr>
            <w:tcW w:w="217" w:type="dxa"/>
          </w:tcPr>
          <w:p w14:paraId="2805B2EA" w14:textId="77777777" w:rsidR="002C0FD9" w:rsidRPr="00CA25CF" w:rsidRDefault="002C0FD9" w:rsidP="00CA25CF">
            <w:pPr>
              <w:rPr>
                <w:rFonts w:cs="Arial"/>
                <w:color w:val="FF0000"/>
                <w:sz w:val="21"/>
                <w:szCs w:val="21"/>
              </w:rPr>
            </w:pPr>
          </w:p>
        </w:tc>
        <w:tc>
          <w:tcPr>
            <w:tcW w:w="217" w:type="dxa"/>
          </w:tcPr>
          <w:p w14:paraId="2C0BD608" w14:textId="33029FA1" w:rsidR="002C0FD9" w:rsidRPr="00CA25CF" w:rsidRDefault="002C0FD9" w:rsidP="00CA25CF">
            <w:pPr>
              <w:rPr>
                <w:rFonts w:cs="Arial"/>
                <w:color w:val="FF0000"/>
                <w:sz w:val="21"/>
                <w:szCs w:val="21"/>
              </w:rPr>
            </w:pPr>
          </w:p>
        </w:tc>
        <w:tc>
          <w:tcPr>
            <w:tcW w:w="217" w:type="dxa"/>
          </w:tcPr>
          <w:p w14:paraId="5D1EACFF" w14:textId="77777777" w:rsidR="002C0FD9" w:rsidRPr="00CA25CF" w:rsidRDefault="002C0FD9" w:rsidP="00CA25CF">
            <w:pPr>
              <w:rPr>
                <w:rFonts w:cs="Arial"/>
                <w:color w:val="FF0000"/>
                <w:sz w:val="21"/>
                <w:szCs w:val="21"/>
              </w:rPr>
            </w:pPr>
          </w:p>
        </w:tc>
        <w:tc>
          <w:tcPr>
            <w:tcW w:w="217" w:type="dxa"/>
          </w:tcPr>
          <w:p w14:paraId="7CDFA666" w14:textId="77777777" w:rsidR="002C0FD9" w:rsidRPr="00CA25CF" w:rsidRDefault="002C0FD9" w:rsidP="00CA25CF">
            <w:pPr>
              <w:rPr>
                <w:rFonts w:cs="Arial"/>
                <w:color w:val="FF0000"/>
                <w:sz w:val="21"/>
                <w:szCs w:val="21"/>
              </w:rPr>
            </w:pPr>
          </w:p>
        </w:tc>
        <w:tc>
          <w:tcPr>
            <w:tcW w:w="217" w:type="dxa"/>
          </w:tcPr>
          <w:p w14:paraId="2AFF893F" w14:textId="77777777" w:rsidR="002C0FD9" w:rsidRPr="00CA25CF" w:rsidRDefault="002C0FD9" w:rsidP="00CA25CF">
            <w:pPr>
              <w:rPr>
                <w:rFonts w:cs="Arial"/>
                <w:color w:val="FF0000"/>
                <w:sz w:val="21"/>
                <w:szCs w:val="21"/>
              </w:rPr>
            </w:pPr>
          </w:p>
        </w:tc>
        <w:tc>
          <w:tcPr>
            <w:tcW w:w="217" w:type="dxa"/>
          </w:tcPr>
          <w:p w14:paraId="284108D6" w14:textId="77777777" w:rsidR="002C0FD9" w:rsidRPr="00CA25CF" w:rsidRDefault="002C0FD9" w:rsidP="00CA25CF">
            <w:pPr>
              <w:rPr>
                <w:rFonts w:cs="Arial"/>
                <w:color w:val="FF0000"/>
                <w:sz w:val="21"/>
                <w:szCs w:val="21"/>
              </w:rPr>
            </w:pPr>
          </w:p>
        </w:tc>
        <w:tc>
          <w:tcPr>
            <w:tcW w:w="217" w:type="dxa"/>
          </w:tcPr>
          <w:p w14:paraId="61FCB023" w14:textId="77777777" w:rsidR="002C0FD9" w:rsidRPr="00CA25CF" w:rsidRDefault="002C0FD9" w:rsidP="00CA25CF">
            <w:pPr>
              <w:rPr>
                <w:rFonts w:cs="Arial"/>
                <w:color w:val="FF0000"/>
                <w:sz w:val="21"/>
                <w:szCs w:val="21"/>
              </w:rPr>
            </w:pPr>
          </w:p>
        </w:tc>
        <w:tc>
          <w:tcPr>
            <w:tcW w:w="217" w:type="dxa"/>
          </w:tcPr>
          <w:p w14:paraId="35FE29F9" w14:textId="77777777" w:rsidR="002C0FD9" w:rsidRPr="00CA25CF" w:rsidRDefault="002C0FD9" w:rsidP="00CA25CF">
            <w:pPr>
              <w:rPr>
                <w:rFonts w:cs="Arial"/>
                <w:color w:val="FF0000"/>
                <w:sz w:val="21"/>
                <w:szCs w:val="21"/>
              </w:rPr>
            </w:pPr>
          </w:p>
        </w:tc>
        <w:tc>
          <w:tcPr>
            <w:tcW w:w="217" w:type="dxa"/>
          </w:tcPr>
          <w:p w14:paraId="7A25C355" w14:textId="77777777" w:rsidR="002C0FD9" w:rsidRPr="00CA25CF" w:rsidRDefault="002C0FD9" w:rsidP="00CA25CF">
            <w:pPr>
              <w:rPr>
                <w:rFonts w:cs="Arial"/>
                <w:color w:val="FF0000"/>
                <w:sz w:val="21"/>
                <w:szCs w:val="21"/>
              </w:rPr>
            </w:pPr>
          </w:p>
        </w:tc>
        <w:tc>
          <w:tcPr>
            <w:tcW w:w="217" w:type="dxa"/>
          </w:tcPr>
          <w:p w14:paraId="15C38433" w14:textId="77777777" w:rsidR="002C0FD9" w:rsidRPr="00CA25CF" w:rsidRDefault="002C0FD9" w:rsidP="00CA25CF">
            <w:pPr>
              <w:rPr>
                <w:rFonts w:cs="Arial"/>
                <w:color w:val="FF0000"/>
                <w:sz w:val="21"/>
                <w:szCs w:val="21"/>
              </w:rPr>
            </w:pPr>
          </w:p>
        </w:tc>
        <w:tc>
          <w:tcPr>
            <w:tcW w:w="217" w:type="dxa"/>
          </w:tcPr>
          <w:p w14:paraId="08B356CC" w14:textId="77777777" w:rsidR="002C0FD9" w:rsidRPr="00CA25CF" w:rsidRDefault="002C0FD9" w:rsidP="00CA25CF">
            <w:pPr>
              <w:rPr>
                <w:rFonts w:cs="Arial"/>
                <w:color w:val="FF0000"/>
                <w:sz w:val="21"/>
                <w:szCs w:val="21"/>
              </w:rPr>
            </w:pPr>
          </w:p>
        </w:tc>
        <w:tc>
          <w:tcPr>
            <w:tcW w:w="217" w:type="dxa"/>
          </w:tcPr>
          <w:p w14:paraId="63158169" w14:textId="77777777" w:rsidR="002C0FD9" w:rsidRPr="00CA25CF" w:rsidRDefault="002C0FD9" w:rsidP="00CA25CF">
            <w:pPr>
              <w:rPr>
                <w:rFonts w:cs="Arial"/>
                <w:color w:val="FF0000"/>
                <w:sz w:val="21"/>
                <w:szCs w:val="21"/>
              </w:rPr>
            </w:pPr>
          </w:p>
        </w:tc>
        <w:tc>
          <w:tcPr>
            <w:tcW w:w="217" w:type="dxa"/>
          </w:tcPr>
          <w:p w14:paraId="4B1286EA" w14:textId="77777777" w:rsidR="002C0FD9" w:rsidRPr="00CA25CF" w:rsidRDefault="002C0FD9" w:rsidP="00CA25CF">
            <w:pPr>
              <w:rPr>
                <w:rFonts w:cs="Arial"/>
                <w:color w:val="FF0000"/>
                <w:sz w:val="21"/>
                <w:szCs w:val="21"/>
              </w:rPr>
            </w:pPr>
          </w:p>
        </w:tc>
        <w:tc>
          <w:tcPr>
            <w:tcW w:w="217" w:type="dxa"/>
          </w:tcPr>
          <w:p w14:paraId="20CE9CD2" w14:textId="77777777" w:rsidR="002C0FD9" w:rsidRPr="00CA25CF" w:rsidRDefault="002C0FD9" w:rsidP="00CA25CF">
            <w:pPr>
              <w:rPr>
                <w:rFonts w:cs="Arial"/>
                <w:color w:val="FF0000"/>
                <w:sz w:val="21"/>
                <w:szCs w:val="21"/>
              </w:rPr>
            </w:pPr>
          </w:p>
        </w:tc>
        <w:tc>
          <w:tcPr>
            <w:tcW w:w="217" w:type="dxa"/>
          </w:tcPr>
          <w:p w14:paraId="3162E7A7" w14:textId="77777777" w:rsidR="002C0FD9" w:rsidRPr="00CA25CF" w:rsidRDefault="002C0FD9" w:rsidP="00CA25CF">
            <w:pPr>
              <w:rPr>
                <w:rFonts w:cs="Arial"/>
                <w:color w:val="FF0000"/>
                <w:sz w:val="21"/>
                <w:szCs w:val="21"/>
              </w:rPr>
            </w:pPr>
          </w:p>
        </w:tc>
        <w:tc>
          <w:tcPr>
            <w:tcW w:w="217" w:type="dxa"/>
          </w:tcPr>
          <w:p w14:paraId="3A5DB075" w14:textId="77777777" w:rsidR="002C0FD9" w:rsidRPr="00CA25CF" w:rsidRDefault="002C0FD9" w:rsidP="00CA25CF">
            <w:pPr>
              <w:rPr>
                <w:rFonts w:cs="Arial"/>
                <w:color w:val="FF0000"/>
                <w:sz w:val="21"/>
                <w:szCs w:val="21"/>
              </w:rPr>
            </w:pPr>
          </w:p>
        </w:tc>
        <w:tc>
          <w:tcPr>
            <w:tcW w:w="217" w:type="dxa"/>
          </w:tcPr>
          <w:p w14:paraId="37475A96" w14:textId="77777777" w:rsidR="002C0FD9" w:rsidRPr="00CA25CF" w:rsidRDefault="002C0FD9" w:rsidP="00CA25CF">
            <w:pPr>
              <w:rPr>
                <w:rFonts w:cs="Arial"/>
                <w:color w:val="FF0000"/>
                <w:sz w:val="21"/>
                <w:szCs w:val="21"/>
              </w:rPr>
            </w:pPr>
          </w:p>
        </w:tc>
        <w:tc>
          <w:tcPr>
            <w:tcW w:w="217" w:type="dxa"/>
          </w:tcPr>
          <w:p w14:paraId="476AFD6A" w14:textId="77777777" w:rsidR="002C0FD9" w:rsidRPr="00CA25CF" w:rsidRDefault="002C0FD9" w:rsidP="00CA25CF">
            <w:pPr>
              <w:rPr>
                <w:rFonts w:cs="Arial"/>
                <w:color w:val="FF0000"/>
                <w:sz w:val="21"/>
                <w:szCs w:val="21"/>
              </w:rPr>
            </w:pPr>
          </w:p>
        </w:tc>
        <w:tc>
          <w:tcPr>
            <w:tcW w:w="217" w:type="dxa"/>
          </w:tcPr>
          <w:p w14:paraId="6E88ABF0" w14:textId="77777777" w:rsidR="002C0FD9" w:rsidRPr="00CA25CF" w:rsidRDefault="002C0FD9" w:rsidP="00CA25CF">
            <w:pPr>
              <w:rPr>
                <w:rFonts w:cs="Arial"/>
                <w:color w:val="FF0000"/>
                <w:sz w:val="21"/>
                <w:szCs w:val="21"/>
              </w:rPr>
            </w:pPr>
          </w:p>
        </w:tc>
        <w:tc>
          <w:tcPr>
            <w:tcW w:w="217" w:type="dxa"/>
          </w:tcPr>
          <w:p w14:paraId="0C390DA0" w14:textId="77777777" w:rsidR="002C0FD9" w:rsidRPr="00CA25CF" w:rsidRDefault="002C0FD9" w:rsidP="00CA25CF">
            <w:pPr>
              <w:rPr>
                <w:rFonts w:cs="Arial"/>
                <w:color w:val="FF0000"/>
                <w:sz w:val="21"/>
                <w:szCs w:val="21"/>
              </w:rPr>
            </w:pPr>
          </w:p>
        </w:tc>
        <w:tc>
          <w:tcPr>
            <w:tcW w:w="217" w:type="dxa"/>
          </w:tcPr>
          <w:p w14:paraId="03CC7B23" w14:textId="77777777" w:rsidR="002C0FD9" w:rsidRPr="00CA25CF" w:rsidRDefault="002C0FD9" w:rsidP="00CA25CF">
            <w:pPr>
              <w:rPr>
                <w:rFonts w:cs="Arial"/>
                <w:color w:val="FF0000"/>
                <w:sz w:val="21"/>
                <w:szCs w:val="21"/>
              </w:rPr>
            </w:pPr>
          </w:p>
        </w:tc>
        <w:tc>
          <w:tcPr>
            <w:tcW w:w="217" w:type="dxa"/>
          </w:tcPr>
          <w:p w14:paraId="569C902E" w14:textId="77777777" w:rsidR="002C0FD9" w:rsidRPr="00CA25CF" w:rsidRDefault="002C0FD9" w:rsidP="00CA25CF">
            <w:pPr>
              <w:rPr>
                <w:rFonts w:cs="Arial"/>
                <w:color w:val="FF0000"/>
                <w:sz w:val="21"/>
                <w:szCs w:val="21"/>
              </w:rPr>
            </w:pPr>
          </w:p>
        </w:tc>
        <w:tc>
          <w:tcPr>
            <w:tcW w:w="217" w:type="dxa"/>
          </w:tcPr>
          <w:p w14:paraId="4F5423D4" w14:textId="77777777" w:rsidR="002C0FD9" w:rsidRPr="00CA25CF" w:rsidRDefault="002C0FD9" w:rsidP="00CA25CF">
            <w:pPr>
              <w:rPr>
                <w:rFonts w:cs="Arial"/>
                <w:color w:val="FF0000"/>
                <w:sz w:val="21"/>
                <w:szCs w:val="21"/>
              </w:rPr>
            </w:pPr>
          </w:p>
        </w:tc>
        <w:tc>
          <w:tcPr>
            <w:tcW w:w="217" w:type="dxa"/>
          </w:tcPr>
          <w:p w14:paraId="69EF642A" w14:textId="77777777" w:rsidR="002C0FD9" w:rsidRPr="00CA25CF" w:rsidRDefault="002C0FD9" w:rsidP="00CA25CF">
            <w:pPr>
              <w:rPr>
                <w:rFonts w:cs="Arial"/>
                <w:color w:val="FF0000"/>
                <w:sz w:val="21"/>
                <w:szCs w:val="21"/>
              </w:rPr>
            </w:pPr>
          </w:p>
        </w:tc>
        <w:tc>
          <w:tcPr>
            <w:tcW w:w="217" w:type="dxa"/>
          </w:tcPr>
          <w:p w14:paraId="1FE28B88" w14:textId="77777777" w:rsidR="002C0FD9" w:rsidRPr="00CA25CF" w:rsidRDefault="002C0FD9" w:rsidP="00CA25CF">
            <w:pPr>
              <w:rPr>
                <w:rFonts w:cs="Arial"/>
                <w:color w:val="FF0000"/>
                <w:sz w:val="21"/>
                <w:szCs w:val="21"/>
              </w:rPr>
            </w:pPr>
          </w:p>
        </w:tc>
        <w:tc>
          <w:tcPr>
            <w:tcW w:w="217" w:type="dxa"/>
          </w:tcPr>
          <w:p w14:paraId="510FA5F0" w14:textId="77777777" w:rsidR="002C0FD9" w:rsidRPr="00CA25CF" w:rsidRDefault="002C0FD9" w:rsidP="00CA25CF">
            <w:pPr>
              <w:rPr>
                <w:rFonts w:cs="Arial"/>
                <w:color w:val="FF0000"/>
                <w:sz w:val="21"/>
                <w:szCs w:val="21"/>
              </w:rPr>
            </w:pPr>
          </w:p>
        </w:tc>
        <w:tc>
          <w:tcPr>
            <w:tcW w:w="217" w:type="dxa"/>
          </w:tcPr>
          <w:p w14:paraId="605DD79B" w14:textId="77777777" w:rsidR="002C0FD9" w:rsidRPr="00CA25CF" w:rsidRDefault="002C0FD9" w:rsidP="00CA25CF">
            <w:pPr>
              <w:rPr>
                <w:rFonts w:cs="Arial"/>
                <w:color w:val="FF0000"/>
                <w:sz w:val="21"/>
                <w:szCs w:val="21"/>
              </w:rPr>
            </w:pPr>
          </w:p>
        </w:tc>
        <w:tc>
          <w:tcPr>
            <w:tcW w:w="217" w:type="dxa"/>
          </w:tcPr>
          <w:p w14:paraId="0B2532F9" w14:textId="77777777" w:rsidR="002C0FD9" w:rsidRPr="00CA25CF" w:rsidRDefault="002C0FD9" w:rsidP="00CA25CF">
            <w:pPr>
              <w:rPr>
                <w:rFonts w:cs="Arial"/>
                <w:color w:val="FF0000"/>
                <w:sz w:val="21"/>
                <w:szCs w:val="21"/>
              </w:rPr>
            </w:pPr>
          </w:p>
        </w:tc>
        <w:tc>
          <w:tcPr>
            <w:tcW w:w="217" w:type="dxa"/>
          </w:tcPr>
          <w:p w14:paraId="2D212FE2" w14:textId="77777777" w:rsidR="002C0FD9" w:rsidRPr="00CA25CF" w:rsidRDefault="002C0FD9" w:rsidP="00CA25CF">
            <w:pPr>
              <w:rPr>
                <w:rFonts w:cs="Arial"/>
                <w:color w:val="FF0000"/>
                <w:sz w:val="21"/>
                <w:szCs w:val="21"/>
              </w:rPr>
            </w:pPr>
          </w:p>
        </w:tc>
      </w:tr>
      <w:tr w:rsidR="002C0FD9" w:rsidRPr="00A16219" w14:paraId="27C9582A" w14:textId="0972FE9E" w:rsidTr="002C0FD9">
        <w:trPr>
          <w:trHeight w:val="635"/>
        </w:trPr>
        <w:tc>
          <w:tcPr>
            <w:tcW w:w="515" w:type="dxa"/>
          </w:tcPr>
          <w:p w14:paraId="3B1862C9" w14:textId="77777777" w:rsidR="002C0FD9" w:rsidRPr="00CA25CF" w:rsidRDefault="002C0FD9" w:rsidP="00CA25CF">
            <w:pPr>
              <w:rPr>
                <w:rFonts w:cs="Arial"/>
                <w:color w:val="FF0000"/>
                <w:sz w:val="21"/>
                <w:szCs w:val="21"/>
              </w:rPr>
            </w:pPr>
          </w:p>
        </w:tc>
        <w:tc>
          <w:tcPr>
            <w:tcW w:w="217" w:type="dxa"/>
          </w:tcPr>
          <w:p w14:paraId="79B17918" w14:textId="77777777" w:rsidR="002C0FD9" w:rsidRPr="00CA25CF" w:rsidRDefault="002C0FD9" w:rsidP="00CA25CF">
            <w:pPr>
              <w:rPr>
                <w:rFonts w:cs="Arial"/>
                <w:color w:val="FF0000"/>
                <w:sz w:val="21"/>
                <w:szCs w:val="21"/>
              </w:rPr>
            </w:pPr>
          </w:p>
        </w:tc>
        <w:tc>
          <w:tcPr>
            <w:tcW w:w="217" w:type="dxa"/>
          </w:tcPr>
          <w:p w14:paraId="31928F30" w14:textId="07B9B06A" w:rsidR="002C0FD9" w:rsidRPr="00CA25CF" w:rsidRDefault="002C0FD9" w:rsidP="00CA25CF">
            <w:pPr>
              <w:rPr>
                <w:rFonts w:cs="Arial"/>
                <w:color w:val="FF0000"/>
                <w:sz w:val="21"/>
                <w:szCs w:val="21"/>
              </w:rPr>
            </w:pPr>
          </w:p>
        </w:tc>
        <w:tc>
          <w:tcPr>
            <w:tcW w:w="217" w:type="dxa"/>
          </w:tcPr>
          <w:p w14:paraId="5E8BF9EE" w14:textId="77777777" w:rsidR="002C0FD9" w:rsidRPr="00CA25CF" w:rsidRDefault="002C0FD9" w:rsidP="00CA25CF">
            <w:pPr>
              <w:rPr>
                <w:rFonts w:cs="Arial"/>
                <w:color w:val="FF0000"/>
                <w:sz w:val="21"/>
                <w:szCs w:val="21"/>
              </w:rPr>
            </w:pPr>
          </w:p>
        </w:tc>
        <w:tc>
          <w:tcPr>
            <w:tcW w:w="217" w:type="dxa"/>
          </w:tcPr>
          <w:p w14:paraId="3B0002F7" w14:textId="77777777" w:rsidR="002C0FD9" w:rsidRPr="00CA25CF" w:rsidRDefault="002C0FD9" w:rsidP="00CA25CF">
            <w:pPr>
              <w:rPr>
                <w:rFonts w:cs="Arial"/>
                <w:color w:val="FF0000"/>
                <w:sz w:val="21"/>
                <w:szCs w:val="21"/>
              </w:rPr>
            </w:pPr>
          </w:p>
        </w:tc>
        <w:tc>
          <w:tcPr>
            <w:tcW w:w="217" w:type="dxa"/>
          </w:tcPr>
          <w:p w14:paraId="0A7E9FF7" w14:textId="77777777" w:rsidR="002C0FD9" w:rsidRPr="00CA25CF" w:rsidRDefault="002C0FD9" w:rsidP="00CA25CF">
            <w:pPr>
              <w:rPr>
                <w:rFonts w:cs="Arial"/>
                <w:color w:val="FF0000"/>
                <w:sz w:val="21"/>
                <w:szCs w:val="21"/>
              </w:rPr>
            </w:pPr>
          </w:p>
        </w:tc>
        <w:tc>
          <w:tcPr>
            <w:tcW w:w="217" w:type="dxa"/>
          </w:tcPr>
          <w:p w14:paraId="36CB7F3A" w14:textId="77777777" w:rsidR="002C0FD9" w:rsidRPr="00CA25CF" w:rsidRDefault="002C0FD9" w:rsidP="00CA25CF">
            <w:pPr>
              <w:rPr>
                <w:rFonts w:cs="Arial"/>
                <w:color w:val="FF0000"/>
                <w:sz w:val="21"/>
                <w:szCs w:val="21"/>
              </w:rPr>
            </w:pPr>
          </w:p>
        </w:tc>
        <w:tc>
          <w:tcPr>
            <w:tcW w:w="217" w:type="dxa"/>
          </w:tcPr>
          <w:p w14:paraId="37DCAC43" w14:textId="77777777" w:rsidR="002C0FD9" w:rsidRPr="00CA25CF" w:rsidRDefault="002C0FD9" w:rsidP="00CA25CF">
            <w:pPr>
              <w:rPr>
                <w:rFonts w:cs="Arial"/>
                <w:color w:val="FF0000"/>
                <w:sz w:val="21"/>
                <w:szCs w:val="21"/>
              </w:rPr>
            </w:pPr>
          </w:p>
        </w:tc>
        <w:tc>
          <w:tcPr>
            <w:tcW w:w="217" w:type="dxa"/>
          </w:tcPr>
          <w:p w14:paraId="5B7AD56C" w14:textId="77777777" w:rsidR="002C0FD9" w:rsidRPr="00CA25CF" w:rsidRDefault="002C0FD9" w:rsidP="00CA25CF">
            <w:pPr>
              <w:rPr>
                <w:rFonts w:cs="Arial"/>
                <w:color w:val="FF0000"/>
                <w:sz w:val="21"/>
                <w:szCs w:val="21"/>
              </w:rPr>
            </w:pPr>
          </w:p>
        </w:tc>
        <w:tc>
          <w:tcPr>
            <w:tcW w:w="217" w:type="dxa"/>
          </w:tcPr>
          <w:p w14:paraId="125A7850" w14:textId="77777777" w:rsidR="002C0FD9" w:rsidRPr="00CA25CF" w:rsidRDefault="002C0FD9" w:rsidP="00CA25CF">
            <w:pPr>
              <w:rPr>
                <w:rFonts w:cs="Arial"/>
                <w:color w:val="FF0000"/>
                <w:sz w:val="21"/>
                <w:szCs w:val="21"/>
              </w:rPr>
            </w:pPr>
          </w:p>
        </w:tc>
        <w:tc>
          <w:tcPr>
            <w:tcW w:w="217" w:type="dxa"/>
          </w:tcPr>
          <w:p w14:paraId="33C65401" w14:textId="77777777" w:rsidR="002C0FD9" w:rsidRPr="00CA25CF" w:rsidRDefault="002C0FD9" w:rsidP="00CA25CF">
            <w:pPr>
              <w:rPr>
                <w:rFonts w:cs="Arial"/>
                <w:color w:val="FF0000"/>
                <w:sz w:val="21"/>
                <w:szCs w:val="21"/>
              </w:rPr>
            </w:pPr>
          </w:p>
        </w:tc>
        <w:tc>
          <w:tcPr>
            <w:tcW w:w="217" w:type="dxa"/>
          </w:tcPr>
          <w:p w14:paraId="5A917404" w14:textId="77777777" w:rsidR="002C0FD9" w:rsidRPr="00CA25CF" w:rsidRDefault="002C0FD9" w:rsidP="00CA25CF">
            <w:pPr>
              <w:rPr>
                <w:rFonts w:cs="Arial"/>
                <w:color w:val="FF0000"/>
                <w:sz w:val="21"/>
                <w:szCs w:val="21"/>
              </w:rPr>
            </w:pPr>
          </w:p>
        </w:tc>
        <w:tc>
          <w:tcPr>
            <w:tcW w:w="217" w:type="dxa"/>
          </w:tcPr>
          <w:p w14:paraId="191CAC80" w14:textId="77777777" w:rsidR="002C0FD9" w:rsidRPr="00CA25CF" w:rsidRDefault="002C0FD9" w:rsidP="00CA25CF">
            <w:pPr>
              <w:rPr>
                <w:rFonts w:cs="Arial"/>
                <w:color w:val="FF0000"/>
                <w:sz w:val="21"/>
                <w:szCs w:val="21"/>
              </w:rPr>
            </w:pPr>
          </w:p>
        </w:tc>
        <w:tc>
          <w:tcPr>
            <w:tcW w:w="217" w:type="dxa"/>
          </w:tcPr>
          <w:p w14:paraId="7C126551" w14:textId="77777777" w:rsidR="002C0FD9" w:rsidRPr="00CA25CF" w:rsidRDefault="002C0FD9" w:rsidP="00CA25CF">
            <w:pPr>
              <w:rPr>
                <w:rFonts w:cs="Arial"/>
                <w:color w:val="FF0000"/>
                <w:sz w:val="21"/>
                <w:szCs w:val="21"/>
              </w:rPr>
            </w:pPr>
          </w:p>
        </w:tc>
        <w:tc>
          <w:tcPr>
            <w:tcW w:w="217" w:type="dxa"/>
          </w:tcPr>
          <w:p w14:paraId="68C5C4D1" w14:textId="77777777" w:rsidR="002C0FD9" w:rsidRPr="00CA25CF" w:rsidRDefault="002C0FD9" w:rsidP="00CA25CF">
            <w:pPr>
              <w:rPr>
                <w:rFonts w:cs="Arial"/>
                <w:color w:val="FF0000"/>
                <w:sz w:val="21"/>
                <w:szCs w:val="21"/>
              </w:rPr>
            </w:pPr>
          </w:p>
        </w:tc>
        <w:tc>
          <w:tcPr>
            <w:tcW w:w="217" w:type="dxa"/>
          </w:tcPr>
          <w:p w14:paraId="1F248313" w14:textId="1A62CDB8" w:rsidR="002C0FD9" w:rsidRPr="00CA25CF" w:rsidRDefault="002C0FD9" w:rsidP="00CA25CF">
            <w:pPr>
              <w:rPr>
                <w:rFonts w:cs="Arial"/>
                <w:color w:val="FF0000"/>
                <w:sz w:val="21"/>
                <w:szCs w:val="21"/>
              </w:rPr>
            </w:pPr>
          </w:p>
        </w:tc>
        <w:tc>
          <w:tcPr>
            <w:tcW w:w="217" w:type="dxa"/>
          </w:tcPr>
          <w:p w14:paraId="56C522A1" w14:textId="77777777" w:rsidR="002C0FD9" w:rsidRPr="00CA25CF" w:rsidRDefault="002C0FD9" w:rsidP="00CA25CF">
            <w:pPr>
              <w:rPr>
                <w:rFonts w:cs="Arial"/>
                <w:color w:val="FF0000"/>
                <w:sz w:val="21"/>
                <w:szCs w:val="21"/>
              </w:rPr>
            </w:pPr>
          </w:p>
        </w:tc>
        <w:tc>
          <w:tcPr>
            <w:tcW w:w="217" w:type="dxa"/>
          </w:tcPr>
          <w:p w14:paraId="63CE5334" w14:textId="77777777" w:rsidR="002C0FD9" w:rsidRPr="00CA25CF" w:rsidRDefault="002C0FD9" w:rsidP="00CA25CF">
            <w:pPr>
              <w:rPr>
                <w:rFonts w:cs="Arial"/>
                <w:color w:val="FF0000"/>
                <w:sz w:val="21"/>
                <w:szCs w:val="21"/>
              </w:rPr>
            </w:pPr>
          </w:p>
        </w:tc>
        <w:tc>
          <w:tcPr>
            <w:tcW w:w="217" w:type="dxa"/>
          </w:tcPr>
          <w:p w14:paraId="7D5ACE20" w14:textId="77777777" w:rsidR="002C0FD9" w:rsidRPr="00CA25CF" w:rsidRDefault="002C0FD9" w:rsidP="00CA25CF">
            <w:pPr>
              <w:rPr>
                <w:rFonts w:cs="Arial"/>
                <w:color w:val="FF0000"/>
                <w:sz w:val="21"/>
                <w:szCs w:val="21"/>
              </w:rPr>
            </w:pPr>
          </w:p>
        </w:tc>
        <w:tc>
          <w:tcPr>
            <w:tcW w:w="217" w:type="dxa"/>
          </w:tcPr>
          <w:p w14:paraId="1FA29278" w14:textId="77777777" w:rsidR="002C0FD9" w:rsidRPr="00CA25CF" w:rsidRDefault="002C0FD9" w:rsidP="00CA25CF">
            <w:pPr>
              <w:rPr>
                <w:rFonts w:cs="Arial"/>
                <w:color w:val="FF0000"/>
                <w:sz w:val="21"/>
                <w:szCs w:val="21"/>
              </w:rPr>
            </w:pPr>
          </w:p>
        </w:tc>
        <w:tc>
          <w:tcPr>
            <w:tcW w:w="217" w:type="dxa"/>
          </w:tcPr>
          <w:p w14:paraId="3AD9CE33" w14:textId="77777777" w:rsidR="002C0FD9" w:rsidRPr="00CA25CF" w:rsidRDefault="002C0FD9" w:rsidP="00CA25CF">
            <w:pPr>
              <w:rPr>
                <w:rFonts w:cs="Arial"/>
                <w:color w:val="FF0000"/>
                <w:sz w:val="21"/>
                <w:szCs w:val="21"/>
              </w:rPr>
            </w:pPr>
          </w:p>
        </w:tc>
        <w:tc>
          <w:tcPr>
            <w:tcW w:w="217" w:type="dxa"/>
          </w:tcPr>
          <w:p w14:paraId="50C854BE" w14:textId="77777777" w:rsidR="002C0FD9" w:rsidRPr="00CA25CF" w:rsidRDefault="002C0FD9" w:rsidP="00CA25CF">
            <w:pPr>
              <w:rPr>
                <w:rFonts w:cs="Arial"/>
                <w:color w:val="FF0000"/>
                <w:sz w:val="21"/>
                <w:szCs w:val="21"/>
              </w:rPr>
            </w:pPr>
          </w:p>
        </w:tc>
        <w:tc>
          <w:tcPr>
            <w:tcW w:w="217" w:type="dxa"/>
          </w:tcPr>
          <w:p w14:paraId="1B9EB749" w14:textId="77777777" w:rsidR="002C0FD9" w:rsidRPr="00CA25CF" w:rsidRDefault="002C0FD9" w:rsidP="00CA25CF">
            <w:pPr>
              <w:rPr>
                <w:rFonts w:cs="Arial"/>
                <w:color w:val="FF0000"/>
                <w:sz w:val="21"/>
                <w:szCs w:val="21"/>
              </w:rPr>
            </w:pPr>
          </w:p>
        </w:tc>
        <w:tc>
          <w:tcPr>
            <w:tcW w:w="217" w:type="dxa"/>
          </w:tcPr>
          <w:p w14:paraId="32EA34BA" w14:textId="77777777" w:rsidR="002C0FD9" w:rsidRPr="00CA25CF" w:rsidRDefault="002C0FD9" w:rsidP="00CA25CF">
            <w:pPr>
              <w:rPr>
                <w:rFonts w:cs="Arial"/>
                <w:color w:val="FF0000"/>
                <w:sz w:val="21"/>
                <w:szCs w:val="21"/>
              </w:rPr>
            </w:pPr>
          </w:p>
        </w:tc>
        <w:tc>
          <w:tcPr>
            <w:tcW w:w="217" w:type="dxa"/>
          </w:tcPr>
          <w:p w14:paraId="5DF588CD" w14:textId="77777777" w:rsidR="002C0FD9" w:rsidRPr="00CA25CF" w:rsidRDefault="002C0FD9" w:rsidP="00CA25CF">
            <w:pPr>
              <w:rPr>
                <w:rFonts w:cs="Arial"/>
                <w:color w:val="FF0000"/>
                <w:sz w:val="21"/>
                <w:szCs w:val="21"/>
              </w:rPr>
            </w:pPr>
          </w:p>
        </w:tc>
        <w:tc>
          <w:tcPr>
            <w:tcW w:w="217" w:type="dxa"/>
          </w:tcPr>
          <w:p w14:paraId="2F8E1A62" w14:textId="77777777" w:rsidR="002C0FD9" w:rsidRPr="00CA25CF" w:rsidRDefault="002C0FD9" w:rsidP="00CA25CF">
            <w:pPr>
              <w:rPr>
                <w:rFonts w:cs="Arial"/>
                <w:color w:val="FF0000"/>
                <w:sz w:val="21"/>
                <w:szCs w:val="21"/>
              </w:rPr>
            </w:pPr>
          </w:p>
        </w:tc>
        <w:tc>
          <w:tcPr>
            <w:tcW w:w="217" w:type="dxa"/>
          </w:tcPr>
          <w:p w14:paraId="7996E961" w14:textId="77777777" w:rsidR="002C0FD9" w:rsidRPr="00CA25CF" w:rsidRDefault="002C0FD9" w:rsidP="00CA25CF">
            <w:pPr>
              <w:rPr>
                <w:rFonts w:cs="Arial"/>
                <w:color w:val="FF0000"/>
                <w:sz w:val="21"/>
                <w:szCs w:val="21"/>
              </w:rPr>
            </w:pPr>
          </w:p>
        </w:tc>
        <w:tc>
          <w:tcPr>
            <w:tcW w:w="217" w:type="dxa"/>
          </w:tcPr>
          <w:p w14:paraId="2D842EE4" w14:textId="77777777" w:rsidR="002C0FD9" w:rsidRPr="00CA25CF" w:rsidRDefault="002C0FD9" w:rsidP="00CA25CF">
            <w:pPr>
              <w:rPr>
                <w:rFonts w:cs="Arial"/>
                <w:color w:val="FF0000"/>
                <w:sz w:val="21"/>
                <w:szCs w:val="21"/>
              </w:rPr>
            </w:pPr>
          </w:p>
        </w:tc>
        <w:tc>
          <w:tcPr>
            <w:tcW w:w="217" w:type="dxa"/>
          </w:tcPr>
          <w:p w14:paraId="4307B606" w14:textId="77777777" w:rsidR="002C0FD9" w:rsidRPr="00CA25CF" w:rsidRDefault="002C0FD9" w:rsidP="00CA25CF">
            <w:pPr>
              <w:rPr>
                <w:rFonts w:cs="Arial"/>
                <w:color w:val="FF0000"/>
                <w:sz w:val="21"/>
                <w:szCs w:val="21"/>
              </w:rPr>
            </w:pPr>
          </w:p>
        </w:tc>
        <w:tc>
          <w:tcPr>
            <w:tcW w:w="217" w:type="dxa"/>
          </w:tcPr>
          <w:p w14:paraId="19DECBD0" w14:textId="77777777" w:rsidR="002C0FD9" w:rsidRPr="00CA25CF" w:rsidRDefault="002C0FD9" w:rsidP="00CA25CF">
            <w:pPr>
              <w:rPr>
                <w:rFonts w:cs="Arial"/>
                <w:color w:val="FF0000"/>
                <w:sz w:val="21"/>
                <w:szCs w:val="21"/>
              </w:rPr>
            </w:pPr>
          </w:p>
        </w:tc>
        <w:tc>
          <w:tcPr>
            <w:tcW w:w="217" w:type="dxa"/>
          </w:tcPr>
          <w:p w14:paraId="133DB6EB" w14:textId="77777777" w:rsidR="002C0FD9" w:rsidRPr="00CA25CF" w:rsidRDefault="002C0FD9" w:rsidP="00CA25CF">
            <w:pPr>
              <w:rPr>
                <w:rFonts w:cs="Arial"/>
                <w:color w:val="FF0000"/>
                <w:sz w:val="21"/>
                <w:szCs w:val="21"/>
              </w:rPr>
            </w:pPr>
          </w:p>
        </w:tc>
        <w:tc>
          <w:tcPr>
            <w:tcW w:w="217" w:type="dxa"/>
          </w:tcPr>
          <w:p w14:paraId="419F0C5E" w14:textId="77777777" w:rsidR="002C0FD9" w:rsidRPr="00CA25CF" w:rsidRDefault="002C0FD9" w:rsidP="00CA25CF">
            <w:pPr>
              <w:rPr>
                <w:rFonts w:cs="Arial"/>
                <w:color w:val="FF0000"/>
                <w:sz w:val="21"/>
                <w:szCs w:val="21"/>
              </w:rPr>
            </w:pPr>
          </w:p>
        </w:tc>
        <w:tc>
          <w:tcPr>
            <w:tcW w:w="217" w:type="dxa"/>
          </w:tcPr>
          <w:p w14:paraId="0DAA586E" w14:textId="77777777" w:rsidR="002C0FD9" w:rsidRPr="00CA25CF" w:rsidRDefault="002C0FD9" w:rsidP="00CA25CF">
            <w:pPr>
              <w:rPr>
                <w:rFonts w:cs="Arial"/>
                <w:color w:val="FF0000"/>
                <w:sz w:val="21"/>
                <w:szCs w:val="21"/>
              </w:rPr>
            </w:pPr>
          </w:p>
        </w:tc>
        <w:tc>
          <w:tcPr>
            <w:tcW w:w="217" w:type="dxa"/>
          </w:tcPr>
          <w:p w14:paraId="5B0F251D" w14:textId="77777777" w:rsidR="002C0FD9" w:rsidRPr="00CA25CF" w:rsidRDefault="002C0FD9" w:rsidP="00CA25CF">
            <w:pPr>
              <w:rPr>
                <w:rFonts w:cs="Arial"/>
                <w:color w:val="FF0000"/>
                <w:sz w:val="21"/>
                <w:szCs w:val="21"/>
              </w:rPr>
            </w:pPr>
          </w:p>
        </w:tc>
        <w:tc>
          <w:tcPr>
            <w:tcW w:w="217" w:type="dxa"/>
          </w:tcPr>
          <w:p w14:paraId="6F0FA95E" w14:textId="77777777" w:rsidR="002C0FD9" w:rsidRPr="00CA25CF" w:rsidRDefault="002C0FD9" w:rsidP="00CA25CF">
            <w:pPr>
              <w:rPr>
                <w:rFonts w:cs="Arial"/>
                <w:color w:val="FF0000"/>
                <w:sz w:val="21"/>
                <w:szCs w:val="21"/>
              </w:rPr>
            </w:pPr>
          </w:p>
        </w:tc>
        <w:tc>
          <w:tcPr>
            <w:tcW w:w="217" w:type="dxa"/>
          </w:tcPr>
          <w:p w14:paraId="46E16133" w14:textId="77777777" w:rsidR="002C0FD9" w:rsidRPr="00CA25CF" w:rsidRDefault="002C0FD9" w:rsidP="00CA25CF">
            <w:pPr>
              <w:rPr>
                <w:rFonts w:cs="Arial"/>
                <w:color w:val="FF0000"/>
                <w:sz w:val="21"/>
                <w:szCs w:val="21"/>
              </w:rPr>
            </w:pPr>
          </w:p>
        </w:tc>
        <w:tc>
          <w:tcPr>
            <w:tcW w:w="217" w:type="dxa"/>
          </w:tcPr>
          <w:p w14:paraId="4F5ACA80" w14:textId="77777777" w:rsidR="002C0FD9" w:rsidRPr="00CA25CF" w:rsidRDefault="002C0FD9" w:rsidP="00CA25CF">
            <w:pPr>
              <w:rPr>
                <w:rFonts w:cs="Arial"/>
                <w:color w:val="FF0000"/>
                <w:sz w:val="21"/>
                <w:szCs w:val="21"/>
              </w:rPr>
            </w:pPr>
          </w:p>
        </w:tc>
        <w:tc>
          <w:tcPr>
            <w:tcW w:w="217" w:type="dxa"/>
          </w:tcPr>
          <w:p w14:paraId="69177CB2" w14:textId="77777777" w:rsidR="002C0FD9" w:rsidRPr="00CA25CF" w:rsidRDefault="002C0FD9" w:rsidP="00CA25CF">
            <w:pPr>
              <w:rPr>
                <w:rFonts w:cs="Arial"/>
                <w:color w:val="FF0000"/>
                <w:sz w:val="21"/>
                <w:szCs w:val="21"/>
              </w:rPr>
            </w:pPr>
          </w:p>
        </w:tc>
        <w:tc>
          <w:tcPr>
            <w:tcW w:w="217" w:type="dxa"/>
          </w:tcPr>
          <w:p w14:paraId="45179D98" w14:textId="77777777" w:rsidR="002C0FD9" w:rsidRPr="00CA25CF" w:rsidRDefault="002C0FD9" w:rsidP="00CA25CF">
            <w:pPr>
              <w:rPr>
                <w:rFonts w:cs="Arial"/>
                <w:color w:val="FF0000"/>
                <w:sz w:val="21"/>
                <w:szCs w:val="21"/>
              </w:rPr>
            </w:pPr>
          </w:p>
        </w:tc>
        <w:tc>
          <w:tcPr>
            <w:tcW w:w="217" w:type="dxa"/>
          </w:tcPr>
          <w:p w14:paraId="36059D65" w14:textId="77777777" w:rsidR="002C0FD9" w:rsidRPr="00CA25CF" w:rsidRDefault="002C0FD9" w:rsidP="00CA25CF">
            <w:pPr>
              <w:rPr>
                <w:rFonts w:cs="Arial"/>
                <w:color w:val="FF0000"/>
                <w:sz w:val="21"/>
                <w:szCs w:val="21"/>
              </w:rPr>
            </w:pPr>
          </w:p>
        </w:tc>
        <w:tc>
          <w:tcPr>
            <w:tcW w:w="217" w:type="dxa"/>
          </w:tcPr>
          <w:p w14:paraId="107408FB" w14:textId="77777777" w:rsidR="002C0FD9" w:rsidRPr="00CA25CF" w:rsidRDefault="002C0FD9" w:rsidP="00CA25CF">
            <w:pPr>
              <w:rPr>
                <w:rFonts w:cs="Arial"/>
                <w:color w:val="FF0000"/>
                <w:sz w:val="21"/>
                <w:szCs w:val="21"/>
              </w:rPr>
            </w:pPr>
          </w:p>
        </w:tc>
        <w:tc>
          <w:tcPr>
            <w:tcW w:w="217" w:type="dxa"/>
          </w:tcPr>
          <w:p w14:paraId="4E893E21" w14:textId="77777777" w:rsidR="002C0FD9" w:rsidRPr="00CA25CF" w:rsidRDefault="002C0FD9" w:rsidP="00CA25CF">
            <w:pPr>
              <w:rPr>
                <w:rFonts w:cs="Arial"/>
                <w:color w:val="FF0000"/>
                <w:sz w:val="21"/>
                <w:szCs w:val="21"/>
              </w:rPr>
            </w:pPr>
          </w:p>
        </w:tc>
        <w:tc>
          <w:tcPr>
            <w:tcW w:w="217" w:type="dxa"/>
          </w:tcPr>
          <w:p w14:paraId="022153A1" w14:textId="77777777" w:rsidR="002C0FD9" w:rsidRPr="00CA25CF" w:rsidRDefault="002C0FD9" w:rsidP="00CA25CF">
            <w:pPr>
              <w:rPr>
                <w:rFonts w:cs="Arial"/>
                <w:color w:val="FF0000"/>
                <w:sz w:val="21"/>
                <w:szCs w:val="21"/>
              </w:rPr>
            </w:pPr>
          </w:p>
        </w:tc>
      </w:tr>
      <w:tr w:rsidR="002C0FD9" w:rsidRPr="00A16219" w14:paraId="300104FD" w14:textId="19A5109D" w:rsidTr="002C0FD9">
        <w:trPr>
          <w:trHeight w:val="635"/>
        </w:trPr>
        <w:tc>
          <w:tcPr>
            <w:tcW w:w="515" w:type="dxa"/>
          </w:tcPr>
          <w:p w14:paraId="72480438" w14:textId="77777777" w:rsidR="002C0FD9" w:rsidRPr="00CA25CF" w:rsidRDefault="002C0FD9" w:rsidP="00CA25CF">
            <w:pPr>
              <w:rPr>
                <w:rFonts w:cs="Arial"/>
                <w:color w:val="FF0000"/>
                <w:sz w:val="21"/>
                <w:szCs w:val="21"/>
              </w:rPr>
            </w:pPr>
          </w:p>
        </w:tc>
        <w:tc>
          <w:tcPr>
            <w:tcW w:w="217" w:type="dxa"/>
          </w:tcPr>
          <w:p w14:paraId="509A61F7" w14:textId="77777777" w:rsidR="002C0FD9" w:rsidRPr="00CA25CF" w:rsidRDefault="002C0FD9" w:rsidP="00CA25CF">
            <w:pPr>
              <w:rPr>
                <w:rFonts w:cs="Arial"/>
                <w:color w:val="FF0000"/>
                <w:sz w:val="21"/>
                <w:szCs w:val="21"/>
              </w:rPr>
            </w:pPr>
          </w:p>
        </w:tc>
        <w:tc>
          <w:tcPr>
            <w:tcW w:w="217" w:type="dxa"/>
          </w:tcPr>
          <w:p w14:paraId="4FD6C4B0" w14:textId="6EBFD6A5" w:rsidR="002C0FD9" w:rsidRPr="00CA25CF" w:rsidRDefault="002C0FD9" w:rsidP="00CA25CF">
            <w:pPr>
              <w:rPr>
                <w:rFonts w:cs="Arial"/>
                <w:color w:val="FF0000"/>
                <w:sz w:val="21"/>
                <w:szCs w:val="21"/>
              </w:rPr>
            </w:pPr>
          </w:p>
        </w:tc>
        <w:tc>
          <w:tcPr>
            <w:tcW w:w="217" w:type="dxa"/>
          </w:tcPr>
          <w:p w14:paraId="7D4486CD" w14:textId="77777777" w:rsidR="002C0FD9" w:rsidRPr="00CA25CF" w:rsidRDefault="002C0FD9" w:rsidP="00CA25CF">
            <w:pPr>
              <w:rPr>
                <w:rFonts w:cs="Arial"/>
                <w:color w:val="FF0000"/>
                <w:sz w:val="21"/>
                <w:szCs w:val="21"/>
              </w:rPr>
            </w:pPr>
          </w:p>
        </w:tc>
        <w:tc>
          <w:tcPr>
            <w:tcW w:w="217" w:type="dxa"/>
          </w:tcPr>
          <w:p w14:paraId="48F451C5" w14:textId="77777777" w:rsidR="002C0FD9" w:rsidRPr="00CA25CF" w:rsidRDefault="002C0FD9" w:rsidP="00CA25CF">
            <w:pPr>
              <w:rPr>
                <w:rFonts w:cs="Arial"/>
                <w:color w:val="FF0000"/>
                <w:sz w:val="21"/>
                <w:szCs w:val="21"/>
              </w:rPr>
            </w:pPr>
          </w:p>
        </w:tc>
        <w:tc>
          <w:tcPr>
            <w:tcW w:w="217" w:type="dxa"/>
          </w:tcPr>
          <w:p w14:paraId="5FF1D09A" w14:textId="77777777" w:rsidR="002C0FD9" w:rsidRPr="00CA25CF" w:rsidRDefault="002C0FD9" w:rsidP="00CA25CF">
            <w:pPr>
              <w:rPr>
                <w:rFonts w:cs="Arial"/>
                <w:color w:val="FF0000"/>
                <w:sz w:val="21"/>
                <w:szCs w:val="21"/>
              </w:rPr>
            </w:pPr>
          </w:p>
        </w:tc>
        <w:tc>
          <w:tcPr>
            <w:tcW w:w="217" w:type="dxa"/>
          </w:tcPr>
          <w:p w14:paraId="5ADC7C36" w14:textId="77777777" w:rsidR="002C0FD9" w:rsidRPr="00CA25CF" w:rsidRDefault="002C0FD9" w:rsidP="00CA25CF">
            <w:pPr>
              <w:rPr>
                <w:rFonts w:cs="Arial"/>
                <w:color w:val="FF0000"/>
                <w:sz w:val="21"/>
                <w:szCs w:val="21"/>
              </w:rPr>
            </w:pPr>
          </w:p>
        </w:tc>
        <w:tc>
          <w:tcPr>
            <w:tcW w:w="217" w:type="dxa"/>
          </w:tcPr>
          <w:p w14:paraId="5795FC68" w14:textId="77777777" w:rsidR="002C0FD9" w:rsidRPr="00CA25CF" w:rsidRDefault="002C0FD9" w:rsidP="00CA25CF">
            <w:pPr>
              <w:rPr>
                <w:rFonts w:cs="Arial"/>
                <w:color w:val="FF0000"/>
                <w:sz w:val="21"/>
                <w:szCs w:val="21"/>
              </w:rPr>
            </w:pPr>
          </w:p>
        </w:tc>
        <w:tc>
          <w:tcPr>
            <w:tcW w:w="217" w:type="dxa"/>
          </w:tcPr>
          <w:p w14:paraId="48722A48" w14:textId="77777777" w:rsidR="002C0FD9" w:rsidRPr="00CA25CF" w:rsidRDefault="002C0FD9" w:rsidP="00CA25CF">
            <w:pPr>
              <w:rPr>
                <w:rFonts w:cs="Arial"/>
                <w:color w:val="FF0000"/>
                <w:sz w:val="21"/>
                <w:szCs w:val="21"/>
              </w:rPr>
            </w:pPr>
          </w:p>
        </w:tc>
        <w:tc>
          <w:tcPr>
            <w:tcW w:w="217" w:type="dxa"/>
          </w:tcPr>
          <w:p w14:paraId="5ECCE4CB" w14:textId="77777777" w:rsidR="002C0FD9" w:rsidRPr="00CA25CF" w:rsidRDefault="002C0FD9" w:rsidP="00CA25CF">
            <w:pPr>
              <w:rPr>
                <w:rFonts w:cs="Arial"/>
                <w:color w:val="FF0000"/>
                <w:sz w:val="21"/>
                <w:szCs w:val="21"/>
              </w:rPr>
            </w:pPr>
          </w:p>
        </w:tc>
        <w:tc>
          <w:tcPr>
            <w:tcW w:w="217" w:type="dxa"/>
          </w:tcPr>
          <w:p w14:paraId="75723B60" w14:textId="77777777" w:rsidR="002C0FD9" w:rsidRPr="00CA25CF" w:rsidRDefault="002C0FD9" w:rsidP="00CA25CF">
            <w:pPr>
              <w:rPr>
                <w:rFonts w:cs="Arial"/>
                <w:color w:val="FF0000"/>
                <w:sz w:val="21"/>
                <w:szCs w:val="21"/>
              </w:rPr>
            </w:pPr>
          </w:p>
        </w:tc>
        <w:tc>
          <w:tcPr>
            <w:tcW w:w="217" w:type="dxa"/>
          </w:tcPr>
          <w:p w14:paraId="3A5CC6D7" w14:textId="77777777" w:rsidR="002C0FD9" w:rsidRPr="00CA25CF" w:rsidRDefault="002C0FD9" w:rsidP="00CA25CF">
            <w:pPr>
              <w:rPr>
                <w:rFonts w:cs="Arial"/>
                <w:color w:val="FF0000"/>
                <w:sz w:val="21"/>
                <w:szCs w:val="21"/>
              </w:rPr>
            </w:pPr>
          </w:p>
        </w:tc>
        <w:tc>
          <w:tcPr>
            <w:tcW w:w="217" w:type="dxa"/>
          </w:tcPr>
          <w:p w14:paraId="1444EE6A" w14:textId="77777777" w:rsidR="002C0FD9" w:rsidRPr="00CA25CF" w:rsidRDefault="002C0FD9" w:rsidP="00CA25CF">
            <w:pPr>
              <w:rPr>
                <w:rFonts w:cs="Arial"/>
                <w:color w:val="FF0000"/>
                <w:sz w:val="21"/>
                <w:szCs w:val="21"/>
              </w:rPr>
            </w:pPr>
          </w:p>
        </w:tc>
        <w:tc>
          <w:tcPr>
            <w:tcW w:w="217" w:type="dxa"/>
          </w:tcPr>
          <w:p w14:paraId="337B16D9" w14:textId="77777777" w:rsidR="002C0FD9" w:rsidRPr="00CA25CF" w:rsidRDefault="002C0FD9" w:rsidP="00CA25CF">
            <w:pPr>
              <w:rPr>
                <w:rFonts w:cs="Arial"/>
                <w:color w:val="FF0000"/>
                <w:sz w:val="21"/>
                <w:szCs w:val="21"/>
              </w:rPr>
            </w:pPr>
          </w:p>
        </w:tc>
        <w:tc>
          <w:tcPr>
            <w:tcW w:w="217" w:type="dxa"/>
          </w:tcPr>
          <w:p w14:paraId="14286178" w14:textId="77777777" w:rsidR="002C0FD9" w:rsidRPr="00CA25CF" w:rsidRDefault="002C0FD9" w:rsidP="00CA25CF">
            <w:pPr>
              <w:rPr>
                <w:rFonts w:cs="Arial"/>
                <w:color w:val="FF0000"/>
                <w:sz w:val="21"/>
                <w:szCs w:val="21"/>
              </w:rPr>
            </w:pPr>
          </w:p>
        </w:tc>
        <w:tc>
          <w:tcPr>
            <w:tcW w:w="217" w:type="dxa"/>
          </w:tcPr>
          <w:p w14:paraId="59B73649" w14:textId="04F50FF7" w:rsidR="002C0FD9" w:rsidRPr="00CA25CF" w:rsidRDefault="002C0FD9" w:rsidP="00CA25CF">
            <w:pPr>
              <w:rPr>
                <w:rFonts w:cs="Arial"/>
                <w:color w:val="FF0000"/>
                <w:sz w:val="21"/>
                <w:szCs w:val="21"/>
              </w:rPr>
            </w:pPr>
          </w:p>
        </w:tc>
        <w:tc>
          <w:tcPr>
            <w:tcW w:w="217" w:type="dxa"/>
          </w:tcPr>
          <w:p w14:paraId="64AA668F" w14:textId="77777777" w:rsidR="002C0FD9" w:rsidRPr="00CA25CF" w:rsidRDefault="002C0FD9" w:rsidP="00CA25CF">
            <w:pPr>
              <w:rPr>
                <w:rFonts w:cs="Arial"/>
                <w:color w:val="FF0000"/>
                <w:sz w:val="21"/>
                <w:szCs w:val="21"/>
              </w:rPr>
            </w:pPr>
          </w:p>
        </w:tc>
        <w:tc>
          <w:tcPr>
            <w:tcW w:w="217" w:type="dxa"/>
          </w:tcPr>
          <w:p w14:paraId="782D6632" w14:textId="77777777" w:rsidR="002C0FD9" w:rsidRPr="00CA25CF" w:rsidRDefault="002C0FD9" w:rsidP="00CA25CF">
            <w:pPr>
              <w:rPr>
                <w:rFonts w:cs="Arial"/>
                <w:color w:val="FF0000"/>
                <w:sz w:val="21"/>
                <w:szCs w:val="21"/>
              </w:rPr>
            </w:pPr>
          </w:p>
        </w:tc>
        <w:tc>
          <w:tcPr>
            <w:tcW w:w="217" w:type="dxa"/>
          </w:tcPr>
          <w:p w14:paraId="00B67BBD" w14:textId="77777777" w:rsidR="002C0FD9" w:rsidRPr="00CA25CF" w:rsidRDefault="002C0FD9" w:rsidP="00CA25CF">
            <w:pPr>
              <w:rPr>
                <w:rFonts w:cs="Arial"/>
                <w:color w:val="FF0000"/>
                <w:sz w:val="21"/>
                <w:szCs w:val="21"/>
              </w:rPr>
            </w:pPr>
          </w:p>
        </w:tc>
        <w:tc>
          <w:tcPr>
            <w:tcW w:w="217" w:type="dxa"/>
          </w:tcPr>
          <w:p w14:paraId="73B5A09A" w14:textId="77777777" w:rsidR="002C0FD9" w:rsidRPr="00CA25CF" w:rsidRDefault="002C0FD9" w:rsidP="00CA25CF">
            <w:pPr>
              <w:rPr>
                <w:rFonts w:cs="Arial"/>
                <w:color w:val="FF0000"/>
                <w:sz w:val="21"/>
                <w:szCs w:val="21"/>
              </w:rPr>
            </w:pPr>
          </w:p>
        </w:tc>
        <w:tc>
          <w:tcPr>
            <w:tcW w:w="217" w:type="dxa"/>
          </w:tcPr>
          <w:p w14:paraId="19DF34D3" w14:textId="77777777" w:rsidR="002C0FD9" w:rsidRPr="00CA25CF" w:rsidRDefault="002C0FD9" w:rsidP="00CA25CF">
            <w:pPr>
              <w:rPr>
                <w:rFonts w:cs="Arial"/>
                <w:color w:val="FF0000"/>
                <w:sz w:val="21"/>
                <w:szCs w:val="21"/>
              </w:rPr>
            </w:pPr>
          </w:p>
        </w:tc>
        <w:tc>
          <w:tcPr>
            <w:tcW w:w="217" w:type="dxa"/>
          </w:tcPr>
          <w:p w14:paraId="22FA51DB" w14:textId="77777777" w:rsidR="002C0FD9" w:rsidRPr="00CA25CF" w:rsidRDefault="002C0FD9" w:rsidP="00CA25CF">
            <w:pPr>
              <w:rPr>
                <w:rFonts w:cs="Arial"/>
                <w:color w:val="FF0000"/>
                <w:sz w:val="21"/>
                <w:szCs w:val="21"/>
              </w:rPr>
            </w:pPr>
          </w:p>
        </w:tc>
        <w:tc>
          <w:tcPr>
            <w:tcW w:w="217" w:type="dxa"/>
          </w:tcPr>
          <w:p w14:paraId="6C7B11ED" w14:textId="77777777" w:rsidR="002C0FD9" w:rsidRPr="00CA25CF" w:rsidRDefault="002C0FD9" w:rsidP="00CA25CF">
            <w:pPr>
              <w:rPr>
                <w:rFonts w:cs="Arial"/>
                <w:color w:val="FF0000"/>
                <w:sz w:val="21"/>
                <w:szCs w:val="21"/>
              </w:rPr>
            </w:pPr>
          </w:p>
        </w:tc>
        <w:tc>
          <w:tcPr>
            <w:tcW w:w="217" w:type="dxa"/>
          </w:tcPr>
          <w:p w14:paraId="486BA875" w14:textId="77777777" w:rsidR="002C0FD9" w:rsidRPr="00CA25CF" w:rsidRDefault="002C0FD9" w:rsidP="00CA25CF">
            <w:pPr>
              <w:rPr>
                <w:rFonts w:cs="Arial"/>
                <w:color w:val="FF0000"/>
                <w:sz w:val="21"/>
                <w:szCs w:val="21"/>
              </w:rPr>
            </w:pPr>
          </w:p>
        </w:tc>
        <w:tc>
          <w:tcPr>
            <w:tcW w:w="217" w:type="dxa"/>
          </w:tcPr>
          <w:p w14:paraId="652A77FA" w14:textId="77777777" w:rsidR="002C0FD9" w:rsidRPr="00CA25CF" w:rsidRDefault="002C0FD9" w:rsidP="00CA25CF">
            <w:pPr>
              <w:rPr>
                <w:rFonts w:cs="Arial"/>
                <w:color w:val="FF0000"/>
                <w:sz w:val="21"/>
                <w:szCs w:val="21"/>
              </w:rPr>
            </w:pPr>
          </w:p>
        </w:tc>
        <w:tc>
          <w:tcPr>
            <w:tcW w:w="217" w:type="dxa"/>
          </w:tcPr>
          <w:p w14:paraId="2949AC1B" w14:textId="77777777" w:rsidR="002C0FD9" w:rsidRPr="00CA25CF" w:rsidRDefault="002C0FD9" w:rsidP="00CA25CF">
            <w:pPr>
              <w:rPr>
                <w:rFonts w:cs="Arial"/>
                <w:color w:val="FF0000"/>
                <w:sz w:val="21"/>
                <w:szCs w:val="21"/>
              </w:rPr>
            </w:pPr>
          </w:p>
        </w:tc>
        <w:tc>
          <w:tcPr>
            <w:tcW w:w="217" w:type="dxa"/>
          </w:tcPr>
          <w:p w14:paraId="0A5C4C12" w14:textId="77777777" w:rsidR="002C0FD9" w:rsidRPr="00CA25CF" w:rsidRDefault="002C0FD9" w:rsidP="00CA25CF">
            <w:pPr>
              <w:rPr>
                <w:rFonts w:cs="Arial"/>
                <w:color w:val="FF0000"/>
                <w:sz w:val="21"/>
                <w:szCs w:val="21"/>
              </w:rPr>
            </w:pPr>
          </w:p>
        </w:tc>
        <w:tc>
          <w:tcPr>
            <w:tcW w:w="217" w:type="dxa"/>
          </w:tcPr>
          <w:p w14:paraId="11DF143A" w14:textId="77777777" w:rsidR="002C0FD9" w:rsidRPr="00CA25CF" w:rsidRDefault="002C0FD9" w:rsidP="00CA25CF">
            <w:pPr>
              <w:rPr>
                <w:rFonts w:cs="Arial"/>
                <w:color w:val="FF0000"/>
                <w:sz w:val="21"/>
                <w:szCs w:val="21"/>
              </w:rPr>
            </w:pPr>
          </w:p>
        </w:tc>
        <w:tc>
          <w:tcPr>
            <w:tcW w:w="217" w:type="dxa"/>
          </w:tcPr>
          <w:p w14:paraId="3617A5B3" w14:textId="77777777" w:rsidR="002C0FD9" w:rsidRPr="00CA25CF" w:rsidRDefault="002C0FD9" w:rsidP="00CA25CF">
            <w:pPr>
              <w:rPr>
                <w:rFonts w:cs="Arial"/>
                <w:color w:val="FF0000"/>
                <w:sz w:val="21"/>
                <w:szCs w:val="21"/>
              </w:rPr>
            </w:pPr>
          </w:p>
        </w:tc>
        <w:tc>
          <w:tcPr>
            <w:tcW w:w="217" w:type="dxa"/>
          </w:tcPr>
          <w:p w14:paraId="443C9972" w14:textId="77777777" w:rsidR="002C0FD9" w:rsidRPr="00CA25CF" w:rsidRDefault="002C0FD9" w:rsidP="00CA25CF">
            <w:pPr>
              <w:rPr>
                <w:rFonts w:cs="Arial"/>
                <w:color w:val="FF0000"/>
                <w:sz w:val="21"/>
                <w:szCs w:val="21"/>
              </w:rPr>
            </w:pPr>
          </w:p>
        </w:tc>
        <w:tc>
          <w:tcPr>
            <w:tcW w:w="217" w:type="dxa"/>
          </w:tcPr>
          <w:p w14:paraId="63D786F3" w14:textId="77777777" w:rsidR="002C0FD9" w:rsidRPr="00CA25CF" w:rsidRDefault="002C0FD9" w:rsidP="00CA25CF">
            <w:pPr>
              <w:rPr>
                <w:rFonts w:cs="Arial"/>
                <w:color w:val="FF0000"/>
                <w:sz w:val="21"/>
                <w:szCs w:val="21"/>
              </w:rPr>
            </w:pPr>
          </w:p>
        </w:tc>
        <w:tc>
          <w:tcPr>
            <w:tcW w:w="217" w:type="dxa"/>
          </w:tcPr>
          <w:p w14:paraId="5E60FEA1" w14:textId="77777777" w:rsidR="002C0FD9" w:rsidRPr="00CA25CF" w:rsidRDefault="002C0FD9" w:rsidP="00CA25CF">
            <w:pPr>
              <w:rPr>
                <w:rFonts w:cs="Arial"/>
                <w:color w:val="FF0000"/>
                <w:sz w:val="21"/>
                <w:szCs w:val="21"/>
              </w:rPr>
            </w:pPr>
          </w:p>
        </w:tc>
        <w:tc>
          <w:tcPr>
            <w:tcW w:w="217" w:type="dxa"/>
          </w:tcPr>
          <w:p w14:paraId="4A1544F9" w14:textId="77777777" w:rsidR="002C0FD9" w:rsidRPr="00CA25CF" w:rsidRDefault="002C0FD9" w:rsidP="00CA25CF">
            <w:pPr>
              <w:rPr>
                <w:rFonts w:cs="Arial"/>
                <w:color w:val="FF0000"/>
                <w:sz w:val="21"/>
                <w:szCs w:val="21"/>
              </w:rPr>
            </w:pPr>
          </w:p>
        </w:tc>
        <w:tc>
          <w:tcPr>
            <w:tcW w:w="217" w:type="dxa"/>
          </w:tcPr>
          <w:p w14:paraId="2D03E02C" w14:textId="77777777" w:rsidR="002C0FD9" w:rsidRPr="00CA25CF" w:rsidRDefault="002C0FD9" w:rsidP="00CA25CF">
            <w:pPr>
              <w:rPr>
                <w:rFonts w:cs="Arial"/>
                <w:color w:val="FF0000"/>
                <w:sz w:val="21"/>
                <w:szCs w:val="21"/>
              </w:rPr>
            </w:pPr>
          </w:p>
        </w:tc>
        <w:tc>
          <w:tcPr>
            <w:tcW w:w="217" w:type="dxa"/>
          </w:tcPr>
          <w:p w14:paraId="08BBB80D" w14:textId="77777777" w:rsidR="002C0FD9" w:rsidRPr="00CA25CF" w:rsidRDefault="002C0FD9" w:rsidP="00CA25CF">
            <w:pPr>
              <w:rPr>
                <w:rFonts w:cs="Arial"/>
                <w:color w:val="FF0000"/>
                <w:sz w:val="21"/>
                <w:szCs w:val="21"/>
              </w:rPr>
            </w:pPr>
          </w:p>
        </w:tc>
        <w:tc>
          <w:tcPr>
            <w:tcW w:w="217" w:type="dxa"/>
          </w:tcPr>
          <w:p w14:paraId="249089D0" w14:textId="77777777" w:rsidR="002C0FD9" w:rsidRPr="00CA25CF" w:rsidRDefault="002C0FD9" w:rsidP="00CA25CF">
            <w:pPr>
              <w:rPr>
                <w:rFonts w:cs="Arial"/>
                <w:color w:val="FF0000"/>
                <w:sz w:val="21"/>
                <w:szCs w:val="21"/>
              </w:rPr>
            </w:pPr>
          </w:p>
        </w:tc>
        <w:tc>
          <w:tcPr>
            <w:tcW w:w="217" w:type="dxa"/>
          </w:tcPr>
          <w:p w14:paraId="5803C827" w14:textId="77777777" w:rsidR="002C0FD9" w:rsidRPr="00CA25CF" w:rsidRDefault="002C0FD9" w:rsidP="00CA25CF">
            <w:pPr>
              <w:rPr>
                <w:rFonts w:cs="Arial"/>
                <w:color w:val="FF0000"/>
                <w:sz w:val="21"/>
                <w:szCs w:val="21"/>
              </w:rPr>
            </w:pPr>
          </w:p>
        </w:tc>
        <w:tc>
          <w:tcPr>
            <w:tcW w:w="217" w:type="dxa"/>
          </w:tcPr>
          <w:p w14:paraId="242266F9" w14:textId="77777777" w:rsidR="002C0FD9" w:rsidRPr="00CA25CF" w:rsidRDefault="002C0FD9" w:rsidP="00CA25CF">
            <w:pPr>
              <w:rPr>
                <w:rFonts w:cs="Arial"/>
                <w:color w:val="FF0000"/>
                <w:sz w:val="21"/>
                <w:szCs w:val="21"/>
              </w:rPr>
            </w:pPr>
          </w:p>
        </w:tc>
        <w:tc>
          <w:tcPr>
            <w:tcW w:w="217" w:type="dxa"/>
          </w:tcPr>
          <w:p w14:paraId="56D51A06" w14:textId="77777777" w:rsidR="002C0FD9" w:rsidRPr="00CA25CF" w:rsidRDefault="002C0FD9" w:rsidP="00CA25CF">
            <w:pPr>
              <w:rPr>
                <w:rFonts w:cs="Arial"/>
                <w:color w:val="FF0000"/>
                <w:sz w:val="21"/>
                <w:szCs w:val="21"/>
              </w:rPr>
            </w:pPr>
          </w:p>
        </w:tc>
        <w:tc>
          <w:tcPr>
            <w:tcW w:w="217" w:type="dxa"/>
          </w:tcPr>
          <w:p w14:paraId="48544187" w14:textId="77777777" w:rsidR="002C0FD9" w:rsidRPr="00CA25CF" w:rsidRDefault="002C0FD9" w:rsidP="00CA25CF">
            <w:pPr>
              <w:rPr>
                <w:rFonts w:cs="Arial"/>
                <w:color w:val="FF0000"/>
                <w:sz w:val="21"/>
                <w:szCs w:val="21"/>
              </w:rPr>
            </w:pPr>
          </w:p>
        </w:tc>
        <w:tc>
          <w:tcPr>
            <w:tcW w:w="217" w:type="dxa"/>
          </w:tcPr>
          <w:p w14:paraId="6362C0B7" w14:textId="77777777" w:rsidR="002C0FD9" w:rsidRPr="00CA25CF" w:rsidRDefault="002C0FD9" w:rsidP="00CA25CF">
            <w:pPr>
              <w:rPr>
                <w:rFonts w:cs="Arial"/>
                <w:color w:val="FF0000"/>
                <w:sz w:val="21"/>
                <w:szCs w:val="21"/>
              </w:rPr>
            </w:pPr>
          </w:p>
        </w:tc>
        <w:tc>
          <w:tcPr>
            <w:tcW w:w="217" w:type="dxa"/>
          </w:tcPr>
          <w:p w14:paraId="5E88232A" w14:textId="77777777" w:rsidR="002C0FD9" w:rsidRPr="00CA25CF" w:rsidRDefault="002C0FD9" w:rsidP="00CA25CF">
            <w:pPr>
              <w:rPr>
                <w:rFonts w:cs="Arial"/>
                <w:color w:val="FF0000"/>
                <w:sz w:val="21"/>
                <w:szCs w:val="21"/>
              </w:rPr>
            </w:pPr>
          </w:p>
        </w:tc>
        <w:tc>
          <w:tcPr>
            <w:tcW w:w="217" w:type="dxa"/>
          </w:tcPr>
          <w:p w14:paraId="27B9F7AC" w14:textId="77777777" w:rsidR="002C0FD9" w:rsidRPr="00CA25CF" w:rsidRDefault="002C0FD9" w:rsidP="00CA25CF">
            <w:pPr>
              <w:rPr>
                <w:rFonts w:cs="Arial"/>
                <w:color w:val="FF0000"/>
                <w:sz w:val="21"/>
                <w:szCs w:val="21"/>
              </w:rPr>
            </w:pPr>
          </w:p>
        </w:tc>
      </w:tr>
      <w:tr w:rsidR="002C0FD9" w:rsidRPr="00A16219" w14:paraId="1D8787B9" w14:textId="23105AB5" w:rsidTr="002C0FD9">
        <w:trPr>
          <w:trHeight w:val="635"/>
        </w:trPr>
        <w:tc>
          <w:tcPr>
            <w:tcW w:w="515" w:type="dxa"/>
          </w:tcPr>
          <w:p w14:paraId="32292445" w14:textId="77777777" w:rsidR="002C0FD9" w:rsidRPr="00CA25CF" w:rsidRDefault="002C0FD9" w:rsidP="00CA25CF">
            <w:pPr>
              <w:rPr>
                <w:rFonts w:cs="Arial"/>
                <w:color w:val="FF0000"/>
                <w:sz w:val="21"/>
                <w:szCs w:val="21"/>
              </w:rPr>
            </w:pPr>
          </w:p>
        </w:tc>
        <w:tc>
          <w:tcPr>
            <w:tcW w:w="217" w:type="dxa"/>
          </w:tcPr>
          <w:p w14:paraId="7D3A92E2" w14:textId="77777777" w:rsidR="002C0FD9" w:rsidRPr="00CA25CF" w:rsidRDefault="002C0FD9" w:rsidP="00CA25CF">
            <w:pPr>
              <w:rPr>
                <w:rFonts w:cs="Arial"/>
                <w:color w:val="FF0000"/>
                <w:sz w:val="21"/>
                <w:szCs w:val="21"/>
              </w:rPr>
            </w:pPr>
          </w:p>
        </w:tc>
        <w:tc>
          <w:tcPr>
            <w:tcW w:w="217" w:type="dxa"/>
          </w:tcPr>
          <w:p w14:paraId="6F61340B" w14:textId="77972A31" w:rsidR="002C0FD9" w:rsidRPr="00CA25CF" w:rsidRDefault="002C0FD9" w:rsidP="00CA25CF">
            <w:pPr>
              <w:rPr>
                <w:rFonts w:cs="Arial"/>
                <w:color w:val="FF0000"/>
                <w:sz w:val="21"/>
                <w:szCs w:val="21"/>
              </w:rPr>
            </w:pPr>
          </w:p>
        </w:tc>
        <w:tc>
          <w:tcPr>
            <w:tcW w:w="217" w:type="dxa"/>
          </w:tcPr>
          <w:p w14:paraId="7F16870C" w14:textId="77777777" w:rsidR="002C0FD9" w:rsidRPr="00CA25CF" w:rsidRDefault="002C0FD9" w:rsidP="00CA25CF">
            <w:pPr>
              <w:rPr>
                <w:rFonts w:cs="Arial"/>
                <w:color w:val="FF0000"/>
                <w:sz w:val="21"/>
                <w:szCs w:val="21"/>
              </w:rPr>
            </w:pPr>
          </w:p>
        </w:tc>
        <w:tc>
          <w:tcPr>
            <w:tcW w:w="217" w:type="dxa"/>
          </w:tcPr>
          <w:p w14:paraId="1E47DDB5" w14:textId="77777777" w:rsidR="002C0FD9" w:rsidRPr="00CA25CF" w:rsidRDefault="002C0FD9" w:rsidP="00CA25CF">
            <w:pPr>
              <w:rPr>
                <w:rFonts w:cs="Arial"/>
                <w:color w:val="FF0000"/>
                <w:sz w:val="21"/>
                <w:szCs w:val="21"/>
              </w:rPr>
            </w:pPr>
          </w:p>
        </w:tc>
        <w:tc>
          <w:tcPr>
            <w:tcW w:w="217" w:type="dxa"/>
          </w:tcPr>
          <w:p w14:paraId="46113674" w14:textId="77777777" w:rsidR="002C0FD9" w:rsidRPr="00CA25CF" w:rsidRDefault="002C0FD9" w:rsidP="00CA25CF">
            <w:pPr>
              <w:rPr>
                <w:rFonts w:cs="Arial"/>
                <w:color w:val="FF0000"/>
                <w:sz w:val="21"/>
                <w:szCs w:val="21"/>
              </w:rPr>
            </w:pPr>
          </w:p>
        </w:tc>
        <w:tc>
          <w:tcPr>
            <w:tcW w:w="217" w:type="dxa"/>
          </w:tcPr>
          <w:p w14:paraId="1D62E7D8" w14:textId="77777777" w:rsidR="002C0FD9" w:rsidRPr="00CA25CF" w:rsidRDefault="002C0FD9" w:rsidP="00CA25CF">
            <w:pPr>
              <w:rPr>
                <w:rFonts w:cs="Arial"/>
                <w:color w:val="FF0000"/>
                <w:sz w:val="21"/>
                <w:szCs w:val="21"/>
              </w:rPr>
            </w:pPr>
          </w:p>
        </w:tc>
        <w:tc>
          <w:tcPr>
            <w:tcW w:w="217" w:type="dxa"/>
          </w:tcPr>
          <w:p w14:paraId="76650BED" w14:textId="77777777" w:rsidR="002C0FD9" w:rsidRPr="00CA25CF" w:rsidRDefault="002C0FD9" w:rsidP="00CA25CF">
            <w:pPr>
              <w:rPr>
                <w:rFonts w:cs="Arial"/>
                <w:color w:val="FF0000"/>
                <w:sz w:val="21"/>
                <w:szCs w:val="21"/>
              </w:rPr>
            </w:pPr>
          </w:p>
        </w:tc>
        <w:tc>
          <w:tcPr>
            <w:tcW w:w="217" w:type="dxa"/>
          </w:tcPr>
          <w:p w14:paraId="0649E29C" w14:textId="77777777" w:rsidR="002C0FD9" w:rsidRPr="00CA25CF" w:rsidRDefault="002C0FD9" w:rsidP="00CA25CF">
            <w:pPr>
              <w:rPr>
                <w:rFonts w:cs="Arial"/>
                <w:color w:val="FF0000"/>
                <w:sz w:val="21"/>
                <w:szCs w:val="21"/>
              </w:rPr>
            </w:pPr>
          </w:p>
        </w:tc>
        <w:tc>
          <w:tcPr>
            <w:tcW w:w="217" w:type="dxa"/>
          </w:tcPr>
          <w:p w14:paraId="5B873424" w14:textId="77777777" w:rsidR="002C0FD9" w:rsidRPr="00CA25CF" w:rsidRDefault="002C0FD9" w:rsidP="00CA25CF">
            <w:pPr>
              <w:rPr>
                <w:rFonts w:cs="Arial"/>
                <w:color w:val="FF0000"/>
                <w:sz w:val="21"/>
                <w:szCs w:val="21"/>
              </w:rPr>
            </w:pPr>
          </w:p>
        </w:tc>
        <w:tc>
          <w:tcPr>
            <w:tcW w:w="217" w:type="dxa"/>
          </w:tcPr>
          <w:p w14:paraId="6CE82F21" w14:textId="77777777" w:rsidR="002C0FD9" w:rsidRPr="00CA25CF" w:rsidRDefault="002C0FD9" w:rsidP="00CA25CF">
            <w:pPr>
              <w:rPr>
                <w:rFonts w:cs="Arial"/>
                <w:color w:val="FF0000"/>
                <w:sz w:val="21"/>
                <w:szCs w:val="21"/>
              </w:rPr>
            </w:pPr>
          </w:p>
        </w:tc>
        <w:tc>
          <w:tcPr>
            <w:tcW w:w="217" w:type="dxa"/>
          </w:tcPr>
          <w:p w14:paraId="2264EDF7" w14:textId="77777777" w:rsidR="002C0FD9" w:rsidRPr="00CA25CF" w:rsidRDefault="002C0FD9" w:rsidP="00CA25CF">
            <w:pPr>
              <w:rPr>
                <w:rFonts w:cs="Arial"/>
                <w:color w:val="FF0000"/>
                <w:sz w:val="21"/>
                <w:szCs w:val="21"/>
              </w:rPr>
            </w:pPr>
          </w:p>
        </w:tc>
        <w:tc>
          <w:tcPr>
            <w:tcW w:w="217" w:type="dxa"/>
          </w:tcPr>
          <w:p w14:paraId="1509E2A4" w14:textId="77777777" w:rsidR="002C0FD9" w:rsidRPr="00CA25CF" w:rsidRDefault="002C0FD9" w:rsidP="00CA25CF">
            <w:pPr>
              <w:rPr>
                <w:rFonts w:cs="Arial"/>
                <w:color w:val="FF0000"/>
                <w:sz w:val="21"/>
                <w:szCs w:val="21"/>
              </w:rPr>
            </w:pPr>
          </w:p>
        </w:tc>
        <w:tc>
          <w:tcPr>
            <w:tcW w:w="217" w:type="dxa"/>
          </w:tcPr>
          <w:p w14:paraId="3748731D" w14:textId="77777777" w:rsidR="002C0FD9" w:rsidRPr="00CA25CF" w:rsidRDefault="002C0FD9" w:rsidP="00CA25CF">
            <w:pPr>
              <w:rPr>
                <w:rFonts w:cs="Arial"/>
                <w:color w:val="FF0000"/>
                <w:sz w:val="21"/>
                <w:szCs w:val="21"/>
              </w:rPr>
            </w:pPr>
          </w:p>
        </w:tc>
        <w:tc>
          <w:tcPr>
            <w:tcW w:w="217" w:type="dxa"/>
          </w:tcPr>
          <w:p w14:paraId="7174E896" w14:textId="77777777" w:rsidR="002C0FD9" w:rsidRPr="00CA25CF" w:rsidRDefault="002C0FD9" w:rsidP="00CA25CF">
            <w:pPr>
              <w:rPr>
                <w:rFonts w:cs="Arial"/>
                <w:color w:val="FF0000"/>
                <w:sz w:val="21"/>
                <w:szCs w:val="21"/>
              </w:rPr>
            </w:pPr>
          </w:p>
        </w:tc>
        <w:tc>
          <w:tcPr>
            <w:tcW w:w="217" w:type="dxa"/>
          </w:tcPr>
          <w:p w14:paraId="5B7BED1D" w14:textId="08357804" w:rsidR="002C0FD9" w:rsidRPr="00CA25CF" w:rsidRDefault="002C0FD9" w:rsidP="00CA25CF">
            <w:pPr>
              <w:rPr>
                <w:rFonts w:cs="Arial"/>
                <w:color w:val="FF0000"/>
                <w:sz w:val="21"/>
                <w:szCs w:val="21"/>
              </w:rPr>
            </w:pPr>
          </w:p>
        </w:tc>
        <w:tc>
          <w:tcPr>
            <w:tcW w:w="217" w:type="dxa"/>
          </w:tcPr>
          <w:p w14:paraId="3C444AC6" w14:textId="77777777" w:rsidR="002C0FD9" w:rsidRPr="00CA25CF" w:rsidRDefault="002C0FD9" w:rsidP="00CA25CF">
            <w:pPr>
              <w:rPr>
                <w:rFonts w:cs="Arial"/>
                <w:color w:val="FF0000"/>
                <w:sz w:val="21"/>
                <w:szCs w:val="21"/>
              </w:rPr>
            </w:pPr>
          </w:p>
        </w:tc>
        <w:tc>
          <w:tcPr>
            <w:tcW w:w="217" w:type="dxa"/>
          </w:tcPr>
          <w:p w14:paraId="22F57495" w14:textId="77777777" w:rsidR="002C0FD9" w:rsidRPr="00CA25CF" w:rsidRDefault="002C0FD9" w:rsidP="00CA25CF">
            <w:pPr>
              <w:rPr>
                <w:rFonts w:cs="Arial"/>
                <w:color w:val="FF0000"/>
                <w:sz w:val="21"/>
                <w:szCs w:val="21"/>
              </w:rPr>
            </w:pPr>
          </w:p>
        </w:tc>
        <w:tc>
          <w:tcPr>
            <w:tcW w:w="217" w:type="dxa"/>
          </w:tcPr>
          <w:p w14:paraId="3D864C20" w14:textId="77777777" w:rsidR="002C0FD9" w:rsidRPr="00CA25CF" w:rsidRDefault="002C0FD9" w:rsidP="00CA25CF">
            <w:pPr>
              <w:rPr>
                <w:rFonts w:cs="Arial"/>
                <w:color w:val="FF0000"/>
                <w:sz w:val="21"/>
                <w:szCs w:val="21"/>
              </w:rPr>
            </w:pPr>
          </w:p>
        </w:tc>
        <w:tc>
          <w:tcPr>
            <w:tcW w:w="217" w:type="dxa"/>
          </w:tcPr>
          <w:p w14:paraId="642332DA" w14:textId="77777777" w:rsidR="002C0FD9" w:rsidRPr="00CA25CF" w:rsidRDefault="002C0FD9" w:rsidP="00CA25CF">
            <w:pPr>
              <w:rPr>
                <w:rFonts w:cs="Arial"/>
                <w:color w:val="FF0000"/>
                <w:sz w:val="21"/>
                <w:szCs w:val="21"/>
              </w:rPr>
            </w:pPr>
          </w:p>
        </w:tc>
        <w:tc>
          <w:tcPr>
            <w:tcW w:w="217" w:type="dxa"/>
          </w:tcPr>
          <w:p w14:paraId="3562BD1F" w14:textId="77777777" w:rsidR="002C0FD9" w:rsidRPr="00CA25CF" w:rsidRDefault="002C0FD9" w:rsidP="00CA25CF">
            <w:pPr>
              <w:rPr>
                <w:rFonts w:cs="Arial"/>
                <w:color w:val="FF0000"/>
                <w:sz w:val="21"/>
                <w:szCs w:val="21"/>
              </w:rPr>
            </w:pPr>
          </w:p>
        </w:tc>
        <w:tc>
          <w:tcPr>
            <w:tcW w:w="217" w:type="dxa"/>
          </w:tcPr>
          <w:p w14:paraId="27FE25A1" w14:textId="77777777" w:rsidR="002C0FD9" w:rsidRPr="00CA25CF" w:rsidRDefault="002C0FD9" w:rsidP="00CA25CF">
            <w:pPr>
              <w:rPr>
                <w:rFonts w:cs="Arial"/>
                <w:color w:val="FF0000"/>
                <w:sz w:val="21"/>
                <w:szCs w:val="21"/>
              </w:rPr>
            </w:pPr>
          </w:p>
        </w:tc>
        <w:tc>
          <w:tcPr>
            <w:tcW w:w="217" w:type="dxa"/>
          </w:tcPr>
          <w:p w14:paraId="4574A5E6" w14:textId="77777777" w:rsidR="002C0FD9" w:rsidRPr="00CA25CF" w:rsidRDefault="002C0FD9" w:rsidP="00CA25CF">
            <w:pPr>
              <w:rPr>
                <w:rFonts w:cs="Arial"/>
                <w:color w:val="FF0000"/>
                <w:sz w:val="21"/>
                <w:szCs w:val="21"/>
              </w:rPr>
            </w:pPr>
          </w:p>
        </w:tc>
        <w:tc>
          <w:tcPr>
            <w:tcW w:w="217" w:type="dxa"/>
          </w:tcPr>
          <w:p w14:paraId="270D41B9" w14:textId="77777777" w:rsidR="002C0FD9" w:rsidRPr="00CA25CF" w:rsidRDefault="002C0FD9" w:rsidP="00CA25CF">
            <w:pPr>
              <w:rPr>
                <w:rFonts w:cs="Arial"/>
                <w:color w:val="FF0000"/>
                <w:sz w:val="21"/>
                <w:szCs w:val="21"/>
              </w:rPr>
            </w:pPr>
          </w:p>
        </w:tc>
        <w:tc>
          <w:tcPr>
            <w:tcW w:w="217" w:type="dxa"/>
          </w:tcPr>
          <w:p w14:paraId="429F0F87" w14:textId="77777777" w:rsidR="002C0FD9" w:rsidRPr="00CA25CF" w:rsidRDefault="002C0FD9" w:rsidP="00CA25CF">
            <w:pPr>
              <w:rPr>
                <w:rFonts w:cs="Arial"/>
                <w:color w:val="FF0000"/>
                <w:sz w:val="21"/>
                <w:szCs w:val="21"/>
              </w:rPr>
            </w:pPr>
          </w:p>
        </w:tc>
        <w:tc>
          <w:tcPr>
            <w:tcW w:w="217" w:type="dxa"/>
          </w:tcPr>
          <w:p w14:paraId="6B238628" w14:textId="77777777" w:rsidR="002C0FD9" w:rsidRPr="00CA25CF" w:rsidRDefault="002C0FD9" w:rsidP="00CA25CF">
            <w:pPr>
              <w:rPr>
                <w:rFonts w:cs="Arial"/>
                <w:color w:val="FF0000"/>
                <w:sz w:val="21"/>
                <w:szCs w:val="21"/>
              </w:rPr>
            </w:pPr>
          </w:p>
        </w:tc>
        <w:tc>
          <w:tcPr>
            <w:tcW w:w="217" w:type="dxa"/>
          </w:tcPr>
          <w:p w14:paraId="4CDE9DBF" w14:textId="77777777" w:rsidR="002C0FD9" w:rsidRPr="00CA25CF" w:rsidRDefault="002C0FD9" w:rsidP="00CA25CF">
            <w:pPr>
              <w:rPr>
                <w:rFonts w:cs="Arial"/>
                <w:color w:val="FF0000"/>
                <w:sz w:val="21"/>
                <w:szCs w:val="21"/>
              </w:rPr>
            </w:pPr>
          </w:p>
        </w:tc>
        <w:tc>
          <w:tcPr>
            <w:tcW w:w="217" w:type="dxa"/>
          </w:tcPr>
          <w:p w14:paraId="135693E9" w14:textId="77777777" w:rsidR="002C0FD9" w:rsidRPr="00CA25CF" w:rsidRDefault="002C0FD9" w:rsidP="00CA25CF">
            <w:pPr>
              <w:rPr>
                <w:rFonts w:cs="Arial"/>
                <w:color w:val="FF0000"/>
                <w:sz w:val="21"/>
                <w:szCs w:val="21"/>
              </w:rPr>
            </w:pPr>
          </w:p>
        </w:tc>
        <w:tc>
          <w:tcPr>
            <w:tcW w:w="217" w:type="dxa"/>
          </w:tcPr>
          <w:p w14:paraId="7B751E38" w14:textId="77777777" w:rsidR="002C0FD9" w:rsidRPr="00CA25CF" w:rsidRDefault="002C0FD9" w:rsidP="00CA25CF">
            <w:pPr>
              <w:rPr>
                <w:rFonts w:cs="Arial"/>
                <w:color w:val="FF0000"/>
                <w:sz w:val="21"/>
                <w:szCs w:val="21"/>
              </w:rPr>
            </w:pPr>
          </w:p>
        </w:tc>
        <w:tc>
          <w:tcPr>
            <w:tcW w:w="217" w:type="dxa"/>
          </w:tcPr>
          <w:p w14:paraId="57153C9C" w14:textId="77777777" w:rsidR="002C0FD9" w:rsidRPr="00CA25CF" w:rsidRDefault="002C0FD9" w:rsidP="00CA25CF">
            <w:pPr>
              <w:rPr>
                <w:rFonts w:cs="Arial"/>
                <w:color w:val="FF0000"/>
                <w:sz w:val="21"/>
                <w:szCs w:val="21"/>
              </w:rPr>
            </w:pPr>
          </w:p>
        </w:tc>
        <w:tc>
          <w:tcPr>
            <w:tcW w:w="217" w:type="dxa"/>
          </w:tcPr>
          <w:p w14:paraId="64C306A9" w14:textId="77777777" w:rsidR="002C0FD9" w:rsidRPr="00CA25CF" w:rsidRDefault="002C0FD9" w:rsidP="00CA25CF">
            <w:pPr>
              <w:rPr>
                <w:rFonts w:cs="Arial"/>
                <w:color w:val="FF0000"/>
                <w:sz w:val="21"/>
                <w:szCs w:val="21"/>
              </w:rPr>
            </w:pPr>
          </w:p>
        </w:tc>
        <w:tc>
          <w:tcPr>
            <w:tcW w:w="217" w:type="dxa"/>
          </w:tcPr>
          <w:p w14:paraId="28E36101" w14:textId="77777777" w:rsidR="002C0FD9" w:rsidRPr="00CA25CF" w:rsidRDefault="002C0FD9" w:rsidP="00CA25CF">
            <w:pPr>
              <w:rPr>
                <w:rFonts w:cs="Arial"/>
                <w:color w:val="FF0000"/>
                <w:sz w:val="21"/>
                <w:szCs w:val="21"/>
              </w:rPr>
            </w:pPr>
          </w:p>
        </w:tc>
        <w:tc>
          <w:tcPr>
            <w:tcW w:w="217" w:type="dxa"/>
          </w:tcPr>
          <w:p w14:paraId="360D3483" w14:textId="77777777" w:rsidR="002C0FD9" w:rsidRPr="00CA25CF" w:rsidRDefault="002C0FD9" w:rsidP="00CA25CF">
            <w:pPr>
              <w:rPr>
                <w:rFonts w:cs="Arial"/>
                <w:color w:val="FF0000"/>
                <w:sz w:val="21"/>
                <w:szCs w:val="21"/>
              </w:rPr>
            </w:pPr>
          </w:p>
        </w:tc>
        <w:tc>
          <w:tcPr>
            <w:tcW w:w="217" w:type="dxa"/>
          </w:tcPr>
          <w:p w14:paraId="33A45491" w14:textId="77777777" w:rsidR="002C0FD9" w:rsidRPr="00CA25CF" w:rsidRDefault="002C0FD9" w:rsidP="00CA25CF">
            <w:pPr>
              <w:rPr>
                <w:rFonts w:cs="Arial"/>
                <w:color w:val="FF0000"/>
                <w:sz w:val="21"/>
                <w:szCs w:val="21"/>
              </w:rPr>
            </w:pPr>
          </w:p>
        </w:tc>
        <w:tc>
          <w:tcPr>
            <w:tcW w:w="217" w:type="dxa"/>
          </w:tcPr>
          <w:p w14:paraId="424D0363" w14:textId="77777777" w:rsidR="002C0FD9" w:rsidRPr="00CA25CF" w:rsidRDefault="002C0FD9" w:rsidP="00CA25CF">
            <w:pPr>
              <w:rPr>
                <w:rFonts w:cs="Arial"/>
                <w:color w:val="FF0000"/>
                <w:sz w:val="21"/>
                <w:szCs w:val="21"/>
              </w:rPr>
            </w:pPr>
          </w:p>
        </w:tc>
        <w:tc>
          <w:tcPr>
            <w:tcW w:w="217" w:type="dxa"/>
          </w:tcPr>
          <w:p w14:paraId="1F87B619" w14:textId="77777777" w:rsidR="002C0FD9" w:rsidRPr="00CA25CF" w:rsidRDefault="002C0FD9" w:rsidP="00CA25CF">
            <w:pPr>
              <w:rPr>
                <w:rFonts w:cs="Arial"/>
                <w:color w:val="FF0000"/>
                <w:sz w:val="21"/>
                <w:szCs w:val="21"/>
              </w:rPr>
            </w:pPr>
          </w:p>
        </w:tc>
        <w:tc>
          <w:tcPr>
            <w:tcW w:w="217" w:type="dxa"/>
          </w:tcPr>
          <w:p w14:paraId="34619B59" w14:textId="77777777" w:rsidR="002C0FD9" w:rsidRPr="00CA25CF" w:rsidRDefault="002C0FD9" w:rsidP="00CA25CF">
            <w:pPr>
              <w:rPr>
                <w:rFonts w:cs="Arial"/>
                <w:color w:val="FF0000"/>
                <w:sz w:val="21"/>
                <w:szCs w:val="21"/>
              </w:rPr>
            </w:pPr>
          </w:p>
        </w:tc>
        <w:tc>
          <w:tcPr>
            <w:tcW w:w="217" w:type="dxa"/>
          </w:tcPr>
          <w:p w14:paraId="1F917D00" w14:textId="77777777" w:rsidR="002C0FD9" w:rsidRPr="00CA25CF" w:rsidRDefault="002C0FD9" w:rsidP="00CA25CF">
            <w:pPr>
              <w:rPr>
                <w:rFonts w:cs="Arial"/>
                <w:color w:val="FF0000"/>
                <w:sz w:val="21"/>
                <w:szCs w:val="21"/>
              </w:rPr>
            </w:pPr>
          </w:p>
        </w:tc>
        <w:tc>
          <w:tcPr>
            <w:tcW w:w="217" w:type="dxa"/>
          </w:tcPr>
          <w:p w14:paraId="2B753069" w14:textId="77777777" w:rsidR="002C0FD9" w:rsidRPr="00CA25CF" w:rsidRDefault="002C0FD9" w:rsidP="00CA25CF">
            <w:pPr>
              <w:rPr>
                <w:rFonts w:cs="Arial"/>
                <w:color w:val="FF0000"/>
                <w:sz w:val="21"/>
                <w:szCs w:val="21"/>
              </w:rPr>
            </w:pPr>
          </w:p>
        </w:tc>
        <w:tc>
          <w:tcPr>
            <w:tcW w:w="217" w:type="dxa"/>
          </w:tcPr>
          <w:p w14:paraId="49CEE397" w14:textId="77777777" w:rsidR="002C0FD9" w:rsidRPr="00CA25CF" w:rsidRDefault="002C0FD9" w:rsidP="00CA25CF">
            <w:pPr>
              <w:rPr>
                <w:rFonts w:cs="Arial"/>
                <w:color w:val="FF0000"/>
                <w:sz w:val="21"/>
                <w:szCs w:val="21"/>
              </w:rPr>
            </w:pPr>
          </w:p>
        </w:tc>
        <w:tc>
          <w:tcPr>
            <w:tcW w:w="217" w:type="dxa"/>
          </w:tcPr>
          <w:p w14:paraId="20FE0195" w14:textId="77777777" w:rsidR="002C0FD9" w:rsidRPr="00CA25CF" w:rsidRDefault="002C0FD9" w:rsidP="00CA25CF">
            <w:pPr>
              <w:rPr>
                <w:rFonts w:cs="Arial"/>
                <w:color w:val="FF0000"/>
                <w:sz w:val="21"/>
                <w:szCs w:val="21"/>
              </w:rPr>
            </w:pPr>
          </w:p>
        </w:tc>
        <w:tc>
          <w:tcPr>
            <w:tcW w:w="217" w:type="dxa"/>
          </w:tcPr>
          <w:p w14:paraId="4B8F6FEB" w14:textId="77777777" w:rsidR="002C0FD9" w:rsidRPr="00CA25CF" w:rsidRDefault="002C0FD9" w:rsidP="00CA25CF">
            <w:pPr>
              <w:rPr>
                <w:rFonts w:cs="Arial"/>
                <w:color w:val="FF0000"/>
                <w:sz w:val="21"/>
                <w:szCs w:val="21"/>
              </w:rPr>
            </w:pPr>
          </w:p>
        </w:tc>
        <w:tc>
          <w:tcPr>
            <w:tcW w:w="217" w:type="dxa"/>
          </w:tcPr>
          <w:p w14:paraId="58C56C73" w14:textId="77777777" w:rsidR="002C0FD9" w:rsidRPr="00CA25CF" w:rsidRDefault="002C0FD9" w:rsidP="00CA25CF">
            <w:pPr>
              <w:rPr>
                <w:rFonts w:cs="Arial"/>
                <w:color w:val="FF0000"/>
                <w:sz w:val="21"/>
                <w:szCs w:val="21"/>
              </w:rPr>
            </w:pPr>
          </w:p>
        </w:tc>
      </w:tr>
      <w:tr w:rsidR="002C0FD9" w:rsidRPr="00A16219" w14:paraId="6562E7EB" w14:textId="539ED6F5" w:rsidTr="002C0FD9">
        <w:trPr>
          <w:trHeight w:val="635"/>
        </w:trPr>
        <w:tc>
          <w:tcPr>
            <w:tcW w:w="515" w:type="dxa"/>
          </w:tcPr>
          <w:p w14:paraId="3E51FBB5" w14:textId="77777777" w:rsidR="002C0FD9" w:rsidRPr="00CA25CF" w:rsidRDefault="002C0FD9" w:rsidP="00CA25CF">
            <w:pPr>
              <w:rPr>
                <w:rFonts w:cs="Arial"/>
                <w:color w:val="FF0000"/>
                <w:sz w:val="21"/>
                <w:szCs w:val="21"/>
              </w:rPr>
            </w:pPr>
          </w:p>
        </w:tc>
        <w:tc>
          <w:tcPr>
            <w:tcW w:w="217" w:type="dxa"/>
          </w:tcPr>
          <w:p w14:paraId="4258EE5A" w14:textId="77777777" w:rsidR="002C0FD9" w:rsidRPr="00CA25CF" w:rsidRDefault="002C0FD9" w:rsidP="00CA25CF">
            <w:pPr>
              <w:rPr>
                <w:rFonts w:cs="Arial"/>
                <w:color w:val="FF0000"/>
                <w:sz w:val="21"/>
                <w:szCs w:val="21"/>
              </w:rPr>
            </w:pPr>
          </w:p>
        </w:tc>
        <w:tc>
          <w:tcPr>
            <w:tcW w:w="217" w:type="dxa"/>
          </w:tcPr>
          <w:p w14:paraId="6A322CF0" w14:textId="5227223A" w:rsidR="002C0FD9" w:rsidRPr="00CA25CF" w:rsidRDefault="002C0FD9" w:rsidP="00CA25CF">
            <w:pPr>
              <w:rPr>
                <w:rFonts w:cs="Arial"/>
                <w:color w:val="FF0000"/>
                <w:sz w:val="21"/>
                <w:szCs w:val="21"/>
              </w:rPr>
            </w:pPr>
          </w:p>
        </w:tc>
        <w:tc>
          <w:tcPr>
            <w:tcW w:w="217" w:type="dxa"/>
          </w:tcPr>
          <w:p w14:paraId="21F2D964" w14:textId="77777777" w:rsidR="002C0FD9" w:rsidRPr="00CA25CF" w:rsidRDefault="002C0FD9" w:rsidP="00CA25CF">
            <w:pPr>
              <w:rPr>
                <w:rFonts w:cs="Arial"/>
                <w:color w:val="FF0000"/>
                <w:sz w:val="21"/>
                <w:szCs w:val="21"/>
              </w:rPr>
            </w:pPr>
          </w:p>
        </w:tc>
        <w:tc>
          <w:tcPr>
            <w:tcW w:w="217" w:type="dxa"/>
          </w:tcPr>
          <w:p w14:paraId="7C8AA1DF" w14:textId="77777777" w:rsidR="002C0FD9" w:rsidRPr="00CA25CF" w:rsidRDefault="002C0FD9" w:rsidP="00CA25CF">
            <w:pPr>
              <w:rPr>
                <w:rFonts w:cs="Arial"/>
                <w:color w:val="FF0000"/>
                <w:sz w:val="21"/>
                <w:szCs w:val="21"/>
              </w:rPr>
            </w:pPr>
          </w:p>
        </w:tc>
        <w:tc>
          <w:tcPr>
            <w:tcW w:w="217" w:type="dxa"/>
          </w:tcPr>
          <w:p w14:paraId="6D70F254" w14:textId="77777777" w:rsidR="002C0FD9" w:rsidRPr="00CA25CF" w:rsidRDefault="002C0FD9" w:rsidP="00CA25CF">
            <w:pPr>
              <w:rPr>
                <w:rFonts w:cs="Arial"/>
                <w:color w:val="FF0000"/>
                <w:sz w:val="21"/>
                <w:szCs w:val="21"/>
              </w:rPr>
            </w:pPr>
          </w:p>
        </w:tc>
        <w:tc>
          <w:tcPr>
            <w:tcW w:w="217" w:type="dxa"/>
          </w:tcPr>
          <w:p w14:paraId="210D6632" w14:textId="77777777" w:rsidR="002C0FD9" w:rsidRPr="00CA25CF" w:rsidRDefault="002C0FD9" w:rsidP="00CA25CF">
            <w:pPr>
              <w:rPr>
                <w:rFonts w:cs="Arial"/>
                <w:color w:val="FF0000"/>
                <w:sz w:val="21"/>
                <w:szCs w:val="21"/>
              </w:rPr>
            </w:pPr>
          </w:p>
        </w:tc>
        <w:tc>
          <w:tcPr>
            <w:tcW w:w="217" w:type="dxa"/>
          </w:tcPr>
          <w:p w14:paraId="1A165260" w14:textId="77777777" w:rsidR="002C0FD9" w:rsidRPr="00CA25CF" w:rsidRDefault="002C0FD9" w:rsidP="00CA25CF">
            <w:pPr>
              <w:rPr>
                <w:rFonts w:cs="Arial"/>
                <w:color w:val="FF0000"/>
                <w:sz w:val="21"/>
                <w:szCs w:val="21"/>
              </w:rPr>
            </w:pPr>
          </w:p>
        </w:tc>
        <w:tc>
          <w:tcPr>
            <w:tcW w:w="217" w:type="dxa"/>
          </w:tcPr>
          <w:p w14:paraId="606D136B" w14:textId="77777777" w:rsidR="002C0FD9" w:rsidRPr="00CA25CF" w:rsidRDefault="002C0FD9" w:rsidP="00CA25CF">
            <w:pPr>
              <w:rPr>
                <w:rFonts w:cs="Arial"/>
                <w:color w:val="FF0000"/>
                <w:sz w:val="21"/>
                <w:szCs w:val="21"/>
              </w:rPr>
            </w:pPr>
          </w:p>
        </w:tc>
        <w:tc>
          <w:tcPr>
            <w:tcW w:w="217" w:type="dxa"/>
          </w:tcPr>
          <w:p w14:paraId="538EC7D6" w14:textId="77777777" w:rsidR="002C0FD9" w:rsidRPr="00CA25CF" w:rsidRDefault="002C0FD9" w:rsidP="00CA25CF">
            <w:pPr>
              <w:rPr>
                <w:rFonts w:cs="Arial"/>
                <w:color w:val="FF0000"/>
                <w:sz w:val="21"/>
                <w:szCs w:val="21"/>
              </w:rPr>
            </w:pPr>
          </w:p>
        </w:tc>
        <w:tc>
          <w:tcPr>
            <w:tcW w:w="217" w:type="dxa"/>
          </w:tcPr>
          <w:p w14:paraId="27954006" w14:textId="77777777" w:rsidR="002C0FD9" w:rsidRPr="00CA25CF" w:rsidRDefault="002C0FD9" w:rsidP="00CA25CF">
            <w:pPr>
              <w:rPr>
                <w:rFonts w:cs="Arial"/>
                <w:color w:val="FF0000"/>
                <w:sz w:val="21"/>
                <w:szCs w:val="21"/>
              </w:rPr>
            </w:pPr>
          </w:p>
        </w:tc>
        <w:tc>
          <w:tcPr>
            <w:tcW w:w="217" w:type="dxa"/>
          </w:tcPr>
          <w:p w14:paraId="23C5F382" w14:textId="77777777" w:rsidR="002C0FD9" w:rsidRPr="00CA25CF" w:rsidRDefault="002C0FD9" w:rsidP="00CA25CF">
            <w:pPr>
              <w:rPr>
                <w:rFonts w:cs="Arial"/>
                <w:color w:val="FF0000"/>
                <w:sz w:val="21"/>
                <w:szCs w:val="21"/>
              </w:rPr>
            </w:pPr>
          </w:p>
        </w:tc>
        <w:tc>
          <w:tcPr>
            <w:tcW w:w="217" w:type="dxa"/>
          </w:tcPr>
          <w:p w14:paraId="7C1B8715" w14:textId="77777777" w:rsidR="002C0FD9" w:rsidRPr="00CA25CF" w:rsidRDefault="002C0FD9" w:rsidP="00CA25CF">
            <w:pPr>
              <w:rPr>
                <w:rFonts w:cs="Arial"/>
                <w:color w:val="FF0000"/>
                <w:sz w:val="21"/>
                <w:szCs w:val="21"/>
              </w:rPr>
            </w:pPr>
          </w:p>
        </w:tc>
        <w:tc>
          <w:tcPr>
            <w:tcW w:w="217" w:type="dxa"/>
          </w:tcPr>
          <w:p w14:paraId="471A2E0F" w14:textId="77777777" w:rsidR="002C0FD9" w:rsidRPr="00CA25CF" w:rsidRDefault="002C0FD9" w:rsidP="00CA25CF">
            <w:pPr>
              <w:rPr>
                <w:rFonts w:cs="Arial"/>
                <w:color w:val="FF0000"/>
                <w:sz w:val="21"/>
                <w:szCs w:val="21"/>
              </w:rPr>
            </w:pPr>
          </w:p>
        </w:tc>
        <w:tc>
          <w:tcPr>
            <w:tcW w:w="217" w:type="dxa"/>
          </w:tcPr>
          <w:p w14:paraId="5265D1D6" w14:textId="77777777" w:rsidR="002C0FD9" w:rsidRPr="00CA25CF" w:rsidRDefault="002C0FD9" w:rsidP="00CA25CF">
            <w:pPr>
              <w:rPr>
                <w:rFonts w:cs="Arial"/>
                <w:color w:val="FF0000"/>
                <w:sz w:val="21"/>
                <w:szCs w:val="21"/>
              </w:rPr>
            </w:pPr>
          </w:p>
        </w:tc>
        <w:tc>
          <w:tcPr>
            <w:tcW w:w="217" w:type="dxa"/>
          </w:tcPr>
          <w:p w14:paraId="2E79BEC0" w14:textId="17A2ED0F" w:rsidR="002C0FD9" w:rsidRPr="00CA25CF" w:rsidRDefault="002C0FD9" w:rsidP="00CA25CF">
            <w:pPr>
              <w:rPr>
                <w:rFonts w:cs="Arial"/>
                <w:color w:val="FF0000"/>
                <w:sz w:val="21"/>
                <w:szCs w:val="21"/>
              </w:rPr>
            </w:pPr>
          </w:p>
        </w:tc>
        <w:tc>
          <w:tcPr>
            <w:tcW w:w="217" w:type="dxa"/>
          </w:tcPr>
          <w:p w14:paraId="0F978D2A" w14:textId="77777777" w:rsidR="002C0FD9" w:rsidRPr="00CA25CF" w:rsidRDefault="002C0FD9" w:rsidP="00CA25CF">
            <w:pPr>
              <w:rPr>
                <w:rFonts w:cs="Arial"/>
                <w:color w:val="FF0000"/>
                <w:sz w:val="21"/>
                <w:szCs w:val="21"/>
              </w:rPr>
            </w:pPr>
          </w:p>
        </w:tc>
        <w:tc>
          <w:tcPr>
            <w:tcW w:w="217" w:type="dxa"/>
          </w:tcPr>
          <w:p w14:paraId="440F4DB0" w14:textId="77777777" w:rsidR="002C0FD9" w:rsidRPr="00CA25CF" w:rsidRDefault="002C0FD9" w:rsidP="00CA25CF">
            <w:pPr>
              <w:rPr>
                <w:rFonts w:cs="Arial"/>
                <w:color w:val="FF0000"/>
                <w:sz w:val="21"/>
                <w:szCs w:val="21"/>
              </w:rPr>
            </w:pPr>
          </w:p>
        </w:tc>
        <w:tc>
          <w:tcPr>
            <w:tcW w:w="217" w:type="dxa"/>
          </w:tcPr>
          <w:p w14:paraId="1A243314" w14:textId="77777777" w:rsidR="002C0FD9" w:rsidRPr="00CA25CF" w:rsidRDefault="002C0FD9" w:rsidP="00CA25CF">
            <w:pPr>
              <w:rPr>
                <w:rFonts w:cs="Arial"/>
                <w:color w:val="FF0000"/>
                <w:sz w:val="21"/>
                <w:szCs w:val="21"/>
              </w:rPr>
            </w:pPr>
          </w:p>
        </w:tc>
        <w:tc>
          <w:tcPr>
            <w:tcW w:w="217" w:type="dxa"/>
          </w:tcPr>
          <w:p w14:paraId="79C84D72" w14:textId="77777777" w:rsidR="002C0FD9" w:rsidRPr="00CA25CF" w:rsidRDefault="002C0FD9" w:rsidP="00CA25CF">
            <w:pPr>
              <w:rPr>
                <w:rFonts w:cs="Arial"/>
                <w:color w:val="FF0000"/>
                <w:sz w:val="21"/>
                <w:szCs w:val="21"/>
              </w:rPr>
            </w:pPr>
          </w:p>
        </w:tc>
        <w:tc>
          <w:tcPr>
            <w:tcW w:w="217" w:type="dxa"/>
          </w:tcPr>
          <w:p w14:paraId="144FFDB0" w14:textId="77777777" w:rsidR="002C0FD9" w:rsidRPr="00CA25CF" w:rsidRDefault="002C0FD9" w:rsidP="00CA25CF">
            <w:pPr>
              <w:rPr>
                <w:rFonts w:cs="Arial"/>
                <w:color w:val="FF0000"/>
                <w:sz w:val="21"/>
                <w:szCs w:val="21"/>
              </w:rPr>
            </w:pPr>
          </w:p>
        </w:tc>
        <w:tc>
          <w:tcPr>
            <w:tcW w:w="217" w:type="dxa"/>
          </w:tcPr>
          <w:p w14:paraId="5BC3F25F" w14:textId="77777777" w:rsidR="002C0FD9" w:rsidRPr="00CA25CF" w:rsidRDefault="002C0FD9" w:rsidP="00CA25CF">
            <w:pPr>
              <w:rPr>
                <w:rFonts w:cs="Arial"/>
                <w:color w:val="FF0000"/>
                <w:sz w:val="21"/>
                <w:szCs w:val="21"/>
              </w:rPr>
            </w:pPr>
          </w:p>
        </w:tc>
        <w:tc>
          <w:tcPr>
            <w:tcW w:w="217" w:type="dxa"/>
          </w:tcPr>
          <w:p w14:paraId="0FA96360" w14:textId="77777777" w:rsidR="002C0FD9" w:rsidRPr="00CA25CF" w:rsidRDefault="002C0FD9" w:rsidP="00CA25CF">
            <w:pPr>
              <w:rPr>
                <w:rFonts w:cs="Arial"/>
                <w:color w:val="FF0000"/>
                <w:sz w:val="21"/>
                <w:szCs w:val="21"/>
              </w:rPr>
            </w:pPr>
          </w:p>
        </w:tc>
        <w:tc>
          <w:tcPr>
            <w:tcW w:w="217" w:type="dxa"/>
          </w:tcPr>
          <w:p w14:paraId="705622B4" w14:textId="77777777" w:rsidR="002C0FD9" w:rsidRPr="00CA25CF" w:rsidRDefault="002C0FD9" w:rsidP="00CA25CF">
            <w:pPr>
              <w:rPr>
                <w:rFonts w:cs="Arial"/>
                <w:color w:val="FF0000"/>
                <w:sz w:val="21"/>
                <w:szCs w:val="21"/>
              </w:rPr>
            </w:pPr>
          </w:p>
        </w:tc>
        <w:tc>
          <w:tcPr>
            <w:tcW w:w="217" w:type="dxa"/>
          </w:tcPr>
          <w:p w14:paraId="337E4283" w14:textId="77777777" w:rsidR="002C0FD9" w:rsidRPr="00CA25CF" w:rsidRDefault="002C0FD9" w:rsidP="00CA25CF">
            <w:pPr>
              <w:rPr>
                <w:rFonts w:cs="Arial"/>
                <w:color w:val="FF0000"/>
                <w:sz w:val="21"/>
                <w:szCs w:val="21"/>
              </w:rPr>
            </w:pPr>
          </w:p>
        </w:tc>
        <w:tc>
          <w:tcPr>
            <w:tcW w:w="217" w:type="dxa"/>
          </w:tcPr>
          <w:p w14:paraId="0DCA5D75" w14:textId="77777777" w:rsidR="002C0FD9" w:rsidRPr="00CA25CF" w:rsidRDefault="002C0FD9" w:rsidP="00CA25CF">
            <w:pPr>
              <w:rPr>
                <w:rFonts w:cs="Arial"/>
                <w:color w:val="FF0000"/>
                <w:sz w:val="21"/>
                <w:szCs w:val="21"/>
              </w:rPr>
            </w:pPr>
          </w:p>
        </w:tc>
        <w:tc>
          <w:tcPr>
            <w:tcW w:w="217" w:type="dxa"/>
          </w:tcPr>
          <w:p w14:paraId="276FF805" w14:textId="77777777" w:rsidR="002C0FD9" w:rsidRPr="00CA25CF" w:rsidRDefault="002C0FD9" w:rsidP="00CA25CF">
            <w:pPr>
              <w:rPr>
                <w:rFonts w:cs="Arial"/>
                <w:color w:val="FF0000"/>
                <w:sz w:val="21"/>
                <w:szCs w:val="21"/>
              </w:rPr>
            </w:pPr>
          </w:p>
        </w:tc>
        <w:tc>
          <w:tcPr>
            <w:tcW w:w="217" w:type="dxa"/>
          </w:tcPr>
          <w:p w14:paraId="0D8A993B" w14:textId="77777777" w:rsidR="002C0FD9" w:rsidRPr="00CA25CF" w:rsidRDefault="002C0FD9" w:rsidP="00CA25CF">
            <w:pPr>
              <w:rPr>
                <w:rFonts w:cs="Arial"/>
                <w:color w:val="FF0000"/>
                <w:sz w:val="21"/>
                <w:szCs w:val="21"/>
              </w:rPr>
            </w:pPr>
          </w:p>
        </w:tc>
        <w:tc>
          <w:tcPr>
            <w:tcW w:w="217" w:type="dxa"/>
          </w:tcPr>
          <w:p w14:paraId="192535DE" w14:textId="77777777" w:rsidR="002C0FD9" w:rsidRPr="00CA25CF" w:rsidRDefault="002C0FD9" w:rsidP="00CA25CF">
            <w:pPr>
              <w:rPr>
                <w:rFonts w:cs="Arial"/>
                <w:color w:val="FF0000"/>
                <w:sz w:val="21"/>
                <w:szCs w:val="21"/>
              </w:rPr>
            </w:pPr>
          </w:p>
        </w:tc>
        <w:tc>
          <w:tcPr>
            <w:tcW w:w="217" w:type="dxa"/>
          </w:tcPr>
          <w:p w14:paraId="4390396D" w14:textId="77777777" w:rsidR="002C0FD9" w:rsidRPr="00CA25CF" w:rsidRDefault="002C0FD9" w:rsidP="00CA25CF">
            <w:pPr>
              <w:rPr>
                <w:rFonts w:cs="Arial"/>
                <w:color w:val="FF0000"/>
                <w:sz w:val="21"/>
                <w:szCs w:val="21"/>
              </w:rPr>
            </w:pPr>
          </w:p>
        </w:tc>
        <w:tc>
          <w:tcPr>
            <w:tcW w:w="217" w:type="dxa"/>
          </w:tcPr>
          <w:p w14:paraId="0EF7D1C8" w14:textId="77777777" w:rsidR="002C0FD9" w:rsidRPr="00CA25CF" w:rsidRDefault="002C0FD9" w:rsidP="00CA25CF">
            <w:pPr>
              <w:rPr>
                <w:rFonts w:cs="Arial"/>
                <w:color w:val="FF0000"/>
                <w:sz w:val="21"/>
                <w:szCs w:val="21"/>
              </w:rPr>
            </w:pPr>
          </w:p>
        </w:tc>
        <w:tc>
          <w:tcPr>
            <w:tcW w:w="217" w:type="dxa"/>
          </w:tcPr>
          <w:p w14:paraId="5437AE90" w14:textId="77777777" w:rsidR="002C0FD9" w:rsidRPr="00CA25CF" w:rsidRDefault="002C0FD9" w:rsidP="00CA25CF">
            <w:pPr>
              <w:rPr>
                <w:rFonts w:cs="Arial"/>
                <w:color w:val="FF0000"/>
                <w:sz w:val="21"/>
                <w:szCs w:val="21"/>
              </w:rPr>
            </w:pPr>
          </w:p>
        </w:tc>
        <w:tc>
          <w:tcPr>
            <w:tcW w:w="217" w:type="dxa"/>
          </w:tcPr>
          <w:p w14:paraId="77309A08" w14:textId="77777777" w:rsidR="002C0FD9" w:rsidRPr="00CA25CF" w:rsidRDefault="002C0FD9" w:rsidP="00CA25CF">
            <w:pPr>
              <w:rPr>
                <w:rFonts w:cs="Arial"/>
                <w:color w:val="FF0000"/>
                <w:sz w:val="21"/>
                <w:szCs w:val="21"/>
              </w:rPr>
            </w:pPr>
          </w:p>
        </w:tc>
        <w:tc>
          <w:tcPr>
            <w:tcW w:w="217" w:type="dxa"/>
          </w:tcPr>
          <w:p w14:paraId="1E922F4D" w14:textId="77777777" w:rsidR="002C0FD9" w:rsidRPr="00CA25CF" w:rsidRDefault="002C0FD9" w:rsidP="00CA25CF">
            <w:pPr>
              <w:rPr>
                <w:rFonts w:cs="Arial"/>
                <w:color w:val="FF0000"/>
                <w:sz w:val="21"/>
                <w:szCs w:val="21"/>
              </w:rPr>
            </w:pPr>
          </w:p>
        </w:tc>
        <w:tc>
          <w:tcPr>
            <w:tcW w:w="217" w:type="dxa"/>
          </w:tcPr>
          <w:p w14:paraId="692D6354" w14:textId="77777777" w:rsidR="002C0FD9" w:rsidRPr="00CA25CF" w:rsidRDefault="002C0FD9" w:rsidP="00CA25CF">
            <w:pPr>
              <w:rPr>
                <w:rFonts w:cs="Arial"/>
                <w:color w:val="FF0000"/>
                <w:sz w:val="21"/>
                <w:szCs w:val="21"/>
              </w:rPr>
            </w:pPr>
          </w:p>
        </w:tc>
        <w:tc>
          <w:tcPr>
            <w:tcW w:w="217" w:type="dxa"/>
          </w:tcPr>
          <w:p w14:paraId="0D487CDD" w14:textId="77777777" w:rsidR="002C0FD9" w:rsidRPr="00CA25CF" w:rsidRDefault="002C0FD9" w:rsidP="00CA25CF">
            <w:pPr>
              <w:rPr>
                <w:rFonts w:cs="Arial"/>
                <w:color w:val="FF0000"/>
                <w:sz w:val="21"/>
                <w:szCs w:val="21"/>
              </w:rPr>
            </w:pPr>
          </w:p>
        </w:tc>
        <w:tc>
          <w:tcPr>
            <w:tcW w:w="217" w:type="dxa"/>
          </w:tcPr>
          <w:p w14:paraId="30EADA9D" w14:textId="77777777" w:rsidR="002C0FD9" w:rsidRPr="00CA25CF" w:rsidRDefault="002C0FD9" w:rsidP="00CA25CF">
            <w:pPr>
              <w:rPr>
                <w:rFonts w:cs="Arial"/>
                <w:color w:val="FF0000"/>
                <w:sz w:val="21"/>
                <w:szCs w:val="21"/>
              </w:rPr>
            </w:pPr>
          </w:p>
        </w:tc>
        <w:tc>
          <w:tcPr>
            <w:tcW w:w="217" w:type="dxa"/>
          </w:tcPr>
          <w:p w14:paraId="3CD198F2" w14:textId="77777777" w:rsidR="002C0FD9" w:rsidRPr="00CA25CF" w:rsidRDefault="002C0FD9" w:rsidP="00CA25CF">
            <w:pPr>
              <w:rPr>
                <w:rFonts w:cs="Arial"/>
                <w:color w:val="FF0000"/>
                <w:sz w:val="21"/>
                <w:szCs w:val="21"/>
              </w:rPr>
            </w:pPr>
          </w:p>
        </w:tc>
        <w:tc>
          <w:tcPr>
            <w:tcW w:w="217" w:type="dxa"/>
          </w:tcPr>
          <w:p w14:paraId="4FE54292" w14:textId="77777777" w:rsidR="002C0FD9" w:rsidRPr="00CA25CF" w:rsidRDefault="002C0FD9" w:rsidP="00CA25CF">
            <w:pPr>
              <w:rPr>
                <w:rFonts w:cs="Arial"/>
                <w:color w:val="FF0000"/>
                <w:sz w:val="21"/>
                <w:szCs w:val="21"/>
              </w:rPr>
            </w:pPr>
          </w:p>
        </w:tc>
        <w:tc>
          <w:tcPr>
            <w:tcW w:w="217" w:type="dxa"/>
          </w:tcPr>
          <w:p w14:paraId="2937BFE5" w14:textId="77777777" w:rsidR="002C0FD9" w:rsidRPr="00CA25CF" w:rsidRDefault="002C0FD9" w:rsidP="00CA25CF">
            <w:pPr>
              <w:rPr>
                <w:rFonts w:cs="Arial"/>
                <w:color w:val="FF0000"/>
                <w:sz w:val="21"/>
                <w:szCs w:val="21"/>
              </w:rPr>
            </w:pPr>
          </w:p>
        </w:tc>
        <w:tc>
          <w:tcPr>
            <w:tcW w:w="217" w:type="dxa"/>
          </w:tcPr>
          <w:p w14:paraId="5AC97A66" w14:textId="77777777" w:rsidR="002C0FD9" w:rsidRPr="00CA25CF" w:rsidRDefault="002C0FD9" w:rsidP="00CA25CF">
            <w:pPr>
              <w:rPr>
                <w:rFonts w:cs="Arial"/>
                <w:color w:val="FF0000"/>
                <w:sz w:val="21"/>
                <w:szCs w:val="21"/>
              </w:rPr>
            </w:pPr>
          </w:p>
        </w:tc>
        <w:tc>
          <w:tcPr>
            <w:tcW w:w="217" w:type="dxa"/>
          </w:tcPr>
          <w:p w14:paraId="7E697C75" w14:textId="77777777" w:rsidR="002C0FD9" w:rsidRPr="00CA25CF" w:rsidRDefault="002C0FD9" w:rsidP="00CA25CF">
            <w:pPr>
              <w:rPr>
                <w:rFonts w:cs="Arial"/>
                <w:color w:val="FF0000"/>
                <w:sz w:val="21"/>
                <w:szCs w:val="21"/>
              </w:rPr>
            </w:pPr>
          </w:p>
        </w:tc>
        <w:tc>
          <w:tcPr>
            <w:tcW w:w="217" w:type="dxa"/>
          </w:tcPr>
          <w:p w14:paraId="2FD899CD" w14:textId="77777777" w:rsidR="002C0FD9" w:rsidRPr="00CA25CF" w:rsidRDefault="002C0FD9" w:rsidP="00CA25CF">
            <w:pPr>
              <w:rPr>
                <w:rFonts w:cs="Arial"/>
                <w:color w:val="FF0000"/>
                <w:sz w:val="21"/>
                <w:szCs w:val="21"/>
              </w:rPr>
            </w:pPr>
          </w:p>
        </w:tc>
      </w:tr>
      <w:tr w:rsidR="002C0FD9" w:rsidRPr="00A16219" w14:paraId="0EBCE080" w14:textId="555042D0" w:rsidTr="002C0FD9">
        <w:trPr>
          <w:trHeight w:val="635"/>
        </w:trPr>
        <w:tc>
          <w:tcPr>
            <w:tcW w:w="515" w:type="dxa"/>
          </w:tcPr>
          <w:p w14:paraId="1E68014F" w14:textId="77777777" w:rsidR="002C0FD9" w:rsidRPr="00CA25CF" w:rsidRDefault="002C0FD9" w:rsidP="00CA25CF">
            <w:pPr>
              <w:rPr>
                <w:rFonts w:cs="Arial"/>
                <w:color w:val="FF0000"/>
                <w:sz w:val="21"/>
                <w:szCs w:val="21"/>
              </w:rPr>
            </w:pPr>
          </w:p>
        </w:tc>
        <w:tc>
          <w:tcPr>
            <w:tcW w:w="217" w:type="dxa"/>
          </w:tcPr>
          <w:p w14:paraId="3BCAF06A" w14:textId="77777777" w:rsidR="002C0FD9" w:rsidRPr="00CA25CF" w:rsidRDefault="002C0FD9" w:rsidP="00CA25CF">
            <w:pPr>
              <w:rPr>
                <w:rFonts w:cs="Arial"/>
                <w:color w:val="FF0000"/>
                <w:sz w:val="21"/>
                <w:szCs w:val="21"/>
              </w:rPr>
            </w:pPr>
          </w:p>
        </w:tc>
        <w:tc>
          <w:tcPr>
            <w:tcW w:w="217" w:type="dxa"/>
          </w:tcPr>
          <w:p w14:paraId="1706EC7F" w14:textId="4C5A35B3" w:rsidR="002C0FD9" w:rsidRPr="00CA25CF" w:rsidRDefault="002C0FD9" w:rsidP="00CA25CF">
            <w:pPr>
              <w:rPr>
                <w:rFonts w:cs="Arial"/>
                <w:color w:val="FF0000"/>
                <w:sz w:val="21"/>
                <w:szCs w:val="21"/>
              </w:rPr>
            </w:pPr>
          </w:p>
        </w:tc>
        <w:tc>
          <w:tcPr>
            <w:tcW w:w="217" w:type="dxa"/>
          </w:tcPr>
          <w:p w14:paraId="7FAB91D5" w14:textId="77777777" w:rsidR="002C0FD9" w:rsidRPr="00CA25CF" w:rsidRDefault="002C0FD9" w:rsidP="00CA25CF">
            <w:pPr>
              <w:rPr>
                <w:rFonts w:cs="Arial"/>
                <w:color w:val="FF0000"/>
                <w:sz w:val="21"/>
                <w:szCs w:val="21"/>
              </w:rPr>
            </w:pPr>
          </w:p>
        </w:tc>
        <w:tc>
          <w:tcPr>
            <w:tcW w:w="217" w:type="dxa"/>
          </w:tcPr>
          <w:p w14:paraId="7406A671" w14:textId="77777777" w:rsidR="002C0FD9" w:rsidRPr="00CA25CF" w:rsidRDefault="002C0FD9" w:rsidP="00CA25CF">
            <w:pPr>
              <w:rPr>
                <w:rFonts w:cs="Arial"/>
                <w:color w:val="FF0000"/>
                <w:sz w:val="21"/>
                <w:szCs w:val="21"/>
              </w:rPr>
            </w:pPr>
          </w:p>
        </w:tc>
        <w:tc>
          <w:tcPr>
            <w:tcW w:w="217" w:type="dxa"/>
          </w:tcPr>
          <w:p w14:paraId="3E2C25E0" w14:textId="77777777" w:rsidR="002C0FD9" w:rsidRPr="00CA25CF" w:rsidRDefault="002C0FD9" w:rsidP="00CA25CF">
            <w:pPr>
              <w:rPr>
                <w:rFonts w:cs="Arial"/>
                <w:color w:val="FF0000"/>
                <w:sz w:val="21"/>
                <w:szCs w:val="21"/>
              </w:rPr>
            </w:pPr>
          </w:p>
        </w:tc>
        <w:tc>
          <w:tcPr>
            <w:tcW w:w="217" w:type="dxa"/>
          </w:tcPr>
          <w:p w14:paraId="3EB5E0B6" w14:textId="77777777" w:rsidR="002C0FD9" w:rsidRPr="00CA25CF" w:rsidRDefault="002C0FD9" w:rsidP="00CA25CF">
            <w:pPr>
              <w:rPr>
                <w:rFonts w:cs="Arial"/>
                <w:color w:val="FF0000"/>
                <w:sz w:val="21"/>
                <w:szCs w:val="21"/>
              </w:rPr>
            </w:pPr>
          </w:p>
        </w:tc>
        <w:tc>
          <w:tcPr>
            <w:tcW w:w="217" w:type="dxa"/>
          </w:tcPr>
          <w:p w14:paraId="627A73E4" w14:textId="77777777" w:rsidR="002C0FD9" w:rsidRPr="00CA25CF" w:rsidRDefault="002C0FD9" w:rsidP="00CA25CF">
            <w:pPr>
              <w:rPr>
                <w:rFonts w:cs="Arial"/>
                <w:color w:val="FF0000"/>
                <w:sz w:val="21"/>
                <w:szCs w:val="21"/>
              </w:rPr>
            </w:pPr>
          </w:p>
        </w:tc>
        <w:tc>
          <w:tcPr>
            <w:tcW w:w="217" w:type="dxa"/>
          </w:tcPr>
          <w:p w14:paraId="3B75EAA9" w14:textId="77777777" w:rsidR="002C0FD9" w:rsidRPr="00CA25CF" w:rsidRDefault="002C0FD9" w:rsidP="00CA25CF">
            <w:pPr>
              <w:rPr>
                <w:rFonts w:cs="Arial"/>
                <w:color w:val="FF0000"/>
                <w:sz w:val="21"/>
                <w:szCs w:val="21"/>
              </w:rPr>
            </w:pPr>
          </w:p>
        </w:tc>
        <w:tc>
          <w:tcPr>
            <w:tcW w:w="217" w:type="dxa"/>
          </w:tcPr>
          <w:p w14:paraId="35B81755" w14:textId="77777777" w:rsidR="002C0FD9" w:rsidRPr="00CA25CF" w:rsidRDefault="002C0FD9" w:rsidP="00CA25CF">
            <w:pPr>
              <w:rPr>
                <w:rFonts w:cs="Arial"/>
                <w:color w:val="FF0000"/>
                <w:sz w:val="21"/>
                <w:szCs w:val="21"/>
              </w:rPr>
            </w:pPr>
          </w:p>
        </w:tc>
        <w:tc>
          <w:tcPr>
            <w:tcW w:w="217" w:type="dxa"/>
          </w:tcPr>
          <w:p w14:paraId="7263EBB9" w14:textId="77777777" w:rsidR="002C0FD9" w:rsidRPr="00CA25CF" w:rsidRDefault="002C0FD9" w:rsidP="00CA25CF">
            <w:pPr>
              <w:rPr>
                <w:rFonts w:cs="Arial"/>
                <w:color w:val="FF0000"/>
                <w:sz w:val="21"/>
                <w:szCs w:val="21"/>
              </w:rPr>
            </w:pPr>
          </w:p>
        </w:tc>
        <w:tc>
          <w:tcPr>
            <w:tcW w:w="217" w:type="dxa"/>
          </w:tcPr>
          <w:p w14:paraId="7E56FBDC" w14:textId="77777777" w:rsidR="002C0FD9" w:rsidRPr="00CA25CF" w:rsidRDefault="002C0FD9" w:rsidP="00CA25CF">
            <w:pPr>
              <w:rPr>
                <w:rFonts w:cs="Arial"/>
                <w:color w:val="FF0000"/>
                <w:sz w:val="21"/>
                <w:szCs w:val="21"/>
              </w:rPr>
            </w:pPr>
          </w:p>
        </w:tc>
        <w:tc>
          <w:tcPr>
            <w:tcW w:w="217" w:type="dxa"/>
          </w:tcPr>
          <w:p w14:paraId="6A091716" w14:textId="77777777" w:rsidR="002C0FD9" w:rsidRPr="00CA25CF" w:rsidRDefault="002C0FD9" w:rsidP="00CA25CF">
            <w:pPr>
              <w:rPr>
                <w:rFonts w:cs="Arial"/>
                <w:color w:val="FF0000"/>
                <w:sz w:val="21"/>
                <w:szCs w:val="21"/>
              </w:rPr>
            </w:pPr>
          </w:p>
        </w:tc>
        <w:tc>
          <w:tcPr>
            <w:tcW w:w="217" w:type="dxa"/>
          </w:tcPr>
          <w:p w14:paraId="79C7A40B" w14:textId="77777777" w:rsidR="002C0FD9" w:rsidRPr="00CA25CF" w:rsidRDefault="002C0FD9" w:rsidP="00CA25CF">
            <w:pPr>
              <w:rPr>
                <w:rFonts w:cs="Arial"/>
                <w:color w:val="FF0000"/>
                <w:sz w:val="21"/>
                <w:szCs w:val="21"/>
              </w:rPr>
            </w:pPr>
          </w:p>
        </w:tc>
        <w:tc>
          <w:tcPr>
            <w:tcW w:w="217" w:type="dxa"/>
          </w:tcPr>
          <w:p w14:paraId="7AED4044" w14:textId="77777777" w:rsidR="002C0FD9" w:rsidRPr="00CA25CF" w:rsidRDefault="002C0FD9" w:rsidP="00CA25CF">
            <w:pPr>
              <w:rPr>
                <w:rFonts w:cs="Arial"/>
                <w:color w:val="FF0000"/>
                <w:sz w:val="21"/>
                <w:szCs w:val="21"/>
              </w:rPr>
            </w:pPr>
          </w:p>
        </w:tc>
        <w:tc>
          <w:tcPr>
            <w:tcW w:w="217" w:type="dxa"/>
          </w:tcPr>
          <w:p w14:paraId="1FF34BCB" w14:textId="3E3CBEF1" w:rsidR="002C0FD9" w:rsidRPr="00CA25CF" w:rsidRDefault="002C0FD9" w:rsidP="00CA25CF">
            <w:pPr>
              <w:rPr>
                <w:rFonts w:cs="Arial"/>
                <w:color w:val="FF0000"/>
                <w:sz w:val="21"/>
                <w:szCs w:val="21"/>
              </w:rPr>
            </w:pPr>
          </w:p>
        </w:tc>
        <w:tc>
          <w:tcPr>
            <w:tcW w:w="217" w:type="dxa"/>
          </w:tcPr>
          <w:p w14:paraId="53AF75AC" w14:textId="77777777" w:rsidR="002C0FD9" w:rsidRPr="00CA25CF" w:rsidRDefault="002C0FD9" w:rsidP="00CA25CF">
            <w:pPr>
              <w:rPr>
                <w:rFonts w:cs="Arial"/>
                <w:color w:val="FF0000"/>
                <w:sz w:val="21"/>
                <w:szCs w:val="21"/>
              </w:rPr>
            </w:pPr>
          </w:p>
        </w:tc>
        <w:tc>
          <w:tcPr>
            <w:tcW w:w="217" w:type="dxa"/>
          </w:tcPr>
          <w:p w14:paraId="0D4239E7" w14:textId="77777777" w:rsidR="002C0FD9" w:rsidRPr="00CA25CF" w:rsidRDefault="002C0FD9" w:rsidP="00CA25CF">
            <w:pPr>
              <w:rPr>
                <w:rFonts w:cs="Arial"/>
                <w:color w:val="FF0000"/>
                <w:sz w:val="21"/>
                <w:szCs w:val="21"/>
              </w:rPr>
            </w:pPr>
          </w:p>
        </w:tc>
        <w:tc>
          <w:tcPr>
            <w:tcW w:w="217" w:type="dxa"/>
          </w:tcPr>
          <w:p w14:paraId="40B41468" w14:textId="77777777" w:rsidR="002C0FD9" w:rsidRPr="00CA25CF" w:rsidRDefault="002C0FD9" w:rsidP="00CA25CF">
            <w:pPr>
              <w:rPr>
                <w:rFonts w:cs="Arial"/>
                <w:color w:val="FF0000"/>
                <w:sz w:val="21"/>
                <w:szCs w:val="21"/>
              </w:rPr>
            </w:pPr>
          </w:p>
        </w:tc>
        <w:tc>
          <w:tcPr>
            <w:tcW w:w="217" w:type="dxa"/>
          </w:tcPr>
          <w:p w14:paraId="577FAA2E" w14:textId="77777777" w:rsidR="002C0FD9" w:rsidRPr="00CA25CF" w:rsidRDefault="002C0FD9" w:rsidP="00CA25CF">
            <w:pPr>
              <w:rPr>
                <w:rFonts w:cs="Arial"/>
                <w:color w:val="FF0000"/>
                <w:sz w:val="21"/>
                <w:szCs w:val="21"/>
              </w:rPr>
            </w:pPr>
          </w:p>
        </w:tc>
        <w:tc>
          <w:tcPr>
            <w:tcW w:w="217" w:type="dxa"/>
          </w:tcPr>
          <w:p w14:paraId="57B07CBA" w14:textId="77777777" w:rsidR="002C0FD9" w:rsidRPr="00CA25CF" w:rsidRDefault="002C0FD9" w:rsidP="00CA25CF">
            <w:pPr>
              <w:rPr>
                <w:rFonts w:cs="Arial"/>
                <w:color w:val="FF0000"/>
                <w:sz w:val="21"/>
                <w:szCs w:val="21"/>
              </w:rPr>
            </w:pPr>
          </w:p>
        </w:tc>
        <w:tc>
          <w:tcPr>
            <w:tcW w:w="217" w:type="dxa"/>
          </w:tcPr>
          <w:p w14:paraId="28ADD97E" w14:textId="77777777" w:rsidR="002C0FD9" w:rsidRPr="00CA25CF" w:rsidRDefault="002C0FD9" w:rsidP="00CA25CF">
            <w:pPr>
              <w:rPr>
                <w:rFonts w:cs="Arial"/>
                <w:color w:val="FF0000"/>
                <w:sz w:val="21"/>
                <w:szCs w:val="21"/>
              </w:rPr>
            </w:pPr>
          </w:p>
        </w:tc>
        <w:tc>
          <w:tcPr>
            <w:tcW w:w="217" w:type="dxa"/>
          </w:tcPr>
          <w:p w14:paraId="03200EC4" w14:textId="77777777" w:rsidR="002C0FD9" w:rsidRPr="00CA25CF" w:rsidRDefault="002C0FD9" w:rsidP="00CA25CF">
            <w:pPr>
              <w:rPr>
                <w:rFonts w:cs="Arial"/>
                <w:color w:val="FF0000"/>
                <w:sz w:val="21"/>
                <w:szCs w:val="21"/>
              </w:rPr>
            </w:pPr>
          </w:p>
        </w:tc>
        <w:tc>
          <w:tcPr>
            <w:tcW w:w="217" w:type="dxa"/>
          </w:tcPr>
          <w:p w14:paraId="7FE32993" w14:textId="77777777" w:rsidR="002C0FD9" w:rsidRPr="00CA25CF" w:rsidRDefault="002C0FD9" w:rsidP="00CA25CF">
            <w:pPr>
              <w:rPr>
                <w:rFonts w:cs="Arial"/>
                <w:color w:val="FF0000"/>
                <w:sz w:val="21"/>
                <w:szCs w:val="21"/>
              </w:rPr>
            </w:pPr>
          </w:p>
        </w:tc>
        <w:tc>
          <w:tcPr>
            <w:tcW w:w="217" w:type="dxa"/>
          </w:tcPr>
          <w:p w14:paraId="48BEEB55" w14:textId="77777777" w:rsidR="002C0FD9" w:rsidRPr="00CA25CF" w:rsidRDefault="002C0FD9" w:rsidP="00CA25CF">
            <w:pPr>
              <w:rPr>
                <w:rFonts w:cs="Arial"/>
                <w:color w:val="FF0000"/>
                <w:sz w:val="21"/>
                <w:szCs w:val="21"/>
              </w:rPr>
            </w:pPr>
          </w:p>
        </w:tc>
        <w:tc>
          <w:tcPr>
            <w:tcW w:w="217" w:type="dxa"/>
          </w:tcPr>
          <w:p w14:paraId="5F57011B" w14:textId="77777777" w:rsidR="002C0FD9" w:rsidRPr="00CA25CF" w:rsidRDefault="002C0FD9" w:rsidP="00CA25CF">
            <w:pPr>
              <w:rPr>
                <w:rFonts w:cs="Arial"/>
                <w:color w:val="FF0000"/>
                <w:sz w:val="21"/>
                <w:szCs w:val="21"/>
              </w:rPr>
            </w:pPr>
          </w:p>
        </w:tc>
        <w:tc>
          <w:tcPr>
            <w:tcW w:w="217" w:type="dxa"/>
          </w:tcPr>
          <w:p w14:paraId="27D251DC" w14:textId="77777777" w:rsidR="002C0FD9" w:rsidRPr="00CA25CF" w:rsidRDefault="002C0FD9" w:rsidP="00CA25CF">
            <w:pPr>
              <w:rPr>
                <w:rFonts w:cs="Arial"/>
                <w:color w:val="FF0000"/>
                <w:sz w:val="21"/>
                <w:szCs w:val="21"/>
              </w:rPr>
            </w:pPr>
          </w:p>
        </w:tc>
        <w:tc>
          <w:tcPr>
            <w:tcW w:w="217" w:type="dxa"/>
          </w:tcPr>
          <w:p w14:paraId="4A9B31B9" w14:textId="77777777" w:rsidR="002C0FD9" w:rsidRPr="00CA25CF" w:rsidRDefault="002C0FD9" w:rsidP="00CA25CF">
            <w:pPr>
              <w:rPr>
                <w:rFonts w:cs="Arial"/>
                <w:color w:val="FF0000"/>
                <w:sz w:val="21"/>
                <w:szCs w:val="21"/>
              </w:rPr>
            </w:pPr>
          </w:p>
        </w:tc>
        <w:tc>
          <w:tcPr>
            <w:tcW w:w="217" w:type="dxa"/>
          </w:tcPr>
          <w:p w14:paraId="3ECF6704" w14:textId="77777777" w:rsidR="002C0FD9" w:rsidRPr="00CA25CF" w:rsidRDefault="002C0FD9" w:rsidP="00CA25CF">
            <w:pPr>
              <w:rPr>
                <w:rFonts w:cs="Arial"/>
                <w:color w:val="FF0000"/>
                <w:sz w:val="21"/>
                <w:szCs w:val="21"/>
              </w:rPr>
            </w:pPr>
          </w:p>
        </w:tc>
        <w:tc>
          <w:tcPr>
            <w:tcW w:w="217" w:type="dxa"/>
          </w:tcPr>
          <w:p w14:paraId="35AFD201" w14:textId="77777777" w:rsidR="002C0FD9" w:rsidRPr="00CA25CF" w:rsidRDefault="002C0FD9" w:rsidP="00CA25CF">
            <w:pPr>
              <w:rPr>
                <w:rFonts w:cs="Arial"/>
                <w:color w:val="FF0000"/>
                <w:sz w:val="21"/>
                <w:szCs w:val="21"/>
              </w:rPr>
            </w:pPr>
          </w:p>
        </w:tc>
        <w:tc>
          <w:tcPr>
            <w:tcW w:w="217" w:type="dxa"/>
          </w:tcPr>
          <w:p w14:paraId="35184A21" w14:textId="77777777" w:rsidR="002C0FD9" w:rsidRPr="00CA25CF" w:rsidRDefault="002C0FD9" w:rsidP="00CA25CF">
            <w:pPr>
              <w:rPr>
                <w:rFonts w:cs="Arial"/>
                <w:color w:val="FF0000"/>
                <w:sz w:val="21"/>
                <w:szCs w:val="21"/>
              </w:rPr>
            </w:pPr>
          </w:p>
        </w:tc>
        <w:tc>
          <w:tcPr>
            <w:tcW w:w="217" w:type="dxa"/>
          </w:tcPr>
          <w:p w14:paraId="7FE09EB0" w14:textId="77777777" w:rsidR="002C0FD9" w:rsidRPr="00CA25CF" w:rsidRDefault="002C0FD9" w:rsidP="00CA25CF">
            <w:pPr>
              <w:rPr>
                <w:rFonts w:cs="Arial"/>
                <w:color w:val="FF0000"/>
                <w:sz w:val="21"/>
                <w:szCs w:val="21"/>
              </w:rPr>
            </w:pPr>
          </w:p>
        </w:tc>
        <w:tc>
          <w:tcPr>
            <w:tcW w:w="217" w:type="dxa"/>
          </w:tcPr>
          <w:p w14:paraId="6734C9CF" w14:textId="77777777" w:rsidR="002C0FD9" w:rsidRPr="00CA25CF" w:rsidRDefault="002C0FD9" w:rsidP="00CA25CF">
            <w:pPr>
              <w:rPr>
                <w:rFonts w:cs="Arial"/>
                <w:color w:val="FF0000"/>
                <w:sz w:val="21"/>
                <w:szCs w:val="21"/>
              </w:rPr>
            </w:pPr>
          </w:p>
        </w:tc>
        <w:tc>
          <w:tcPr>
            <w:tcW w:w="217" w:type="dxa"/>
          </w:tcPr>
          <w:p w14:paraId="6F2EFE69" w14:textId="77777777" w:rsidR="002C0FD9" w:rsidRPr="00CA25CF" w:rsidRDefault="002C0FD9" w:rsidP="00CA25CF">
            <w:pPr>
              <w:rPr>
                <w:rFonts w:cs="Arial"/>
                <w:color w:val="FF0000"/>
                <w:sz w:val="21"/>
                <w:szCs w:val="21"/>
              </w:rPr>
            </w:pPr>
          </w:p>
        </w:tc>
        <w:tc>
          <w:tcPr>
            <w:tcW w:w="217" w:type="dxa"/>
          </w:tcPr>
          <w:p w14:paraId="78E2F7C7" w14:textId="77777777" w:rsidR="002C0FD9" w:rsidRPr="00CA25CF" w:rsidRDefault="002C0FD9" w:rsidP="00CA25CF">
            <w:pPr>
              <w:rPr>
                <w:rFonts w:cs="Arial"/>
                <w:color w:val="FF0000"/>
                <w:sz w:val="21"/>
                <w:szCs w:val="21"/>
              </w:rPr>
            </w:pPr>
          </w:p>
        </w:tc>
        <w:tc>
          <w:tcPr>
            <w:tcW w:w="217" w:type="dxa"/>
          </w:tcPr>
          <w:p w14:paraId="3648943D" w14:textId="77777777" w:rsidR="002C0FD9" w:rsidRPr="00CA25CF" w:rsidRDefault="002C0FD9" w:rsidP="00CA25CF">
            <w:pPr>
              <w:rPr>
                <w:rFonts w:cs="Arial"/>
                <w:color w:val="FF0000"/>
                <w:sz w:val="21"/>
                <w:szCs w:val="21"/>
              </w:rPr>
            </w:pPr>
          </w:p>
        </w:tc>
        <w:tc>
          <w:tcPr>
            <w:tcW w:w="217" w:type="dxa"/>
          </w:tcPr>
          <w:p w14:paraId="196BC73F" w14:textId="77777777" w:rsidR="002C0FD9" w:rsidRPr="00CA25CF" w:rsidRDefault="002C0FD9" w:rsidP="00CA25CF">
            <w:pPr>
              <w:rPr>
                <w:rFonts w:cs="Arial"/>
                <w:color w:val="FF0000"/>
                <w:sz w:val="21"/>
                <w:szCs w:val="21"/>
              </w:rPr>
            </w:pPr>
          </w:p>
        </w:tc>
        <w:tc>
          <w:tcPr>
            <w:tcW w:w="217" w:type="dxa"/>
          </w:tcPr>
          <w:p w14:paraId="56C7829E" w14:textId="77777777" w:rsidR="002C0FD9" w:rsidRPr="00CA25CF" w:rsidRDefault="002C0FD9" w:rsidP="00CA25CF">
            <w:pPr>
              <w:rPr>
                <w:rFonts w:cs="Arial"/>
                <w:color w:val="FF0000"/>
                <w:sz w:val="21"/>
                <w:szCs w:val="21"/>
              </w:rPr>
            </w:pPr>
          </w:p>
        </w:tc>
        <w:tc>
          <w:tcPr>
            <w:tcW w:w="217" w:type="dxa"/>
          </w:tcPr>
          <w:p w14:paraId="3EEAD338" w14:textId="77777777" w:rsidR="002C0FD9" w:rsidRPr="00CA25CF" w:rsidRDefault="002C0FD9" w:rsidP="00CA25CF">
            <w:pPr>
              <w:rPr>
                <w:rFonts w:cs="Arial"/>
                <w:color w:val="FF0000"/>
                <w:sz w:val="21"/>
                <w:szCs w:val="21"/>
              </w:rPr>
            </w:pPr>
          </w:p>
        </w:tc>
        <w:tc>
          <w:tcPr>
            <w:tcW w:w="217" w:type="dxa"/>
          </w:tcPr>
          <w:p w14:paraId="51B5F3CB" w14:textId="77777777" w:rsidR="002C0FD9" w:rsidRPr="00CA25CF" w:rsidRDefault="002C0FD9" w:rsidP="00CA25CF">
            <w:pPr>
              <w:rPr>
                <w:rFonts w:cs="Arial"/>
                <w:color w:val="FF0000"/>
                <w:sz w:val="21"/>
                <w:szCs w:val="21"/>
              </w:rPr>
            </w:pPr>
          </w:p>
        </w:tc>
        <w:tc>
          <w:tcPr>
            <w:tcW w:w="217" w:type="dxa"/>
          </w:tcPr>
          <w:p w14:paraId="4C569487" w14:textId="77777777" w:rsidR="002C0FD9" w:rsidRPr="00CA25CF" w:rsidRDefault="002C0FD9" w:rsidP="00CA25CF">
            <w:pPr>
              <w:rPr>
                <w:rFonts w:cs="Arial"/>
                <w:color w:val="FF0000"/>
                <w:sz w:val="21"/>
                <w:szCs w:val="21"/>
              </w:rPr>
            </w:pPr>
          </w:p>
        </w:tc>
        <w:tc>
          <w:tcPr>
            <w:tcW w:w="217" w:type="dxa"/>
          </w:tcPr>
          <w:p w14:paraId="308CDA75" w14:textId="77777777" w:rsidR="002C0FD9" w:rsidRPr="00CA25CF" w:rsidRDefault="002C0FD9" w:rsidP="00CA25CF">
            <w:pPr>
              <w:rPr>
                <w:rFonts w:cs="Arial"/>
                <w:color w:val="FF0000"/>
                <w:sz w:val="21"/>
                <w:szCs w:val="21"/>
              </w:rPr>
            </w:pPr>
          </w:p>
        </w:tc>
        <w:tc>
          <w:tcPr>
            <w:tcW w:w="217" w:type="dxa"/>
          </w:tcPr>
          <w:p w14:paraId="26A5850F" w14:textId="77777777" w:rsidR="002C0FD9" w:rsidRPr="00CA25CF" w:rsidRDefault="002C0FD9" w:rsidP="00CA25CF">
            <w:pPr>
              <w:rPr>
                <w:rFonts w:cs="Arial"/>
                <w:color w:val="FF0000"/>
                <w:sz w:val="21"/>
                <w:szCs w:val="21"/>
              </w:rPr>
            </w:pPr>
          </w:p>
        </w:tc>
      </w:tr>
      <w:tr w:rsidR="002C0FD9" w:rsidRPr="00A16219" w14:paraId="3F59F1AC" w14:textId="3705F7F5" w:rsidTr="002C0FD9">
        <w:trPr>
          <w:trHeight w:val="635"/>
        </w:trPr>
        <w:tc>
          <w:tcPr>
            <w:tcW w:w="515" w:type="dxa"/>
          </w:tcPr>
          <w:p w14:paraId="7EFD4CD6" w14:textId="77777777" w:rsidR="002C0FD9" w:rsidRPr="00CA25CF" w:rsidRDefault="002C0FD9" w:rsidP="00CA25CF">
            <w:pPr>
              <w:rPr>
                <w:rFonts w:cs="Arial"/>
                <w:color w:val="FF0000"/>
                <w:sz w:val="21"/>
                <w:szCs w:val="21"/>
              </w:rPr>
            </w:pPr>
          </w:p>
        </w:tc>
        <w:tc>
          <w:tcPr>
            <w:tcW w:w="217" w:type="dxa"/>
          </w:tcPr>
          <w:p w14:paraId="72D44D5B" w14:textId="77777777" w:rsidR="002C0FD9" w:rsidRPr="00CA25CF" w:rsidRDefault="002C0FD9" w:rsidP="00CA25CF">
            <w:pPr>
              <w:rPr>
                <w:rFonts w:cs="Arial"/>
                <w:color w:val="FF0000"/>
                <w:sz w:val="21"/>
                <w:szCs w:val="21"/>
              </w:rPr>
            </w:pPr>
          </w:p>
        </w:tc>
        <w:tc>
          <w:tcPr>
            <w:tcW w:w="217" w:type="dxa"/>
          </w:tcPr>
          <w:p w14:paraId="5679B2BD" w14:textId="7115F7E7" w:rsidR="002C0FD9" w:rsidRPr="00CA25CF" w:rsidRDefault="002C0FD9" w:rsidP="00CA25CF">
            <w:pPr>
              <w:rPr>
                <w:rFonts w:cs="Arial"/>
                <w:color w:val="FF0000"/>
                <w:sz w:val="21"/>
                <w:szCs w:val="21"/>
              </w:rPr>
            </w:pPr>
          </w:p>
        </w:tc>
        <w:tc>
          <w:tcPr>
            <w:tcW w:w="217" w:type="dxa"/>
          </w:tcPr>
          <w:p w14:paraId="15CAE663" w14:textId="77777777" w:rsidR="002C0FD9" w:rsidRPr="00CA25CF" w:rsidRDefault="002C0FD9" w:rsidP="00CA25CF">
            <w:pPr>
              <w:rPr>
                <w:rFonts w:cs="Arial"/>
                <w:color w:val="FF0000"/>
                <w:sz w:val="21"/>
                <w:szCs w:val="21"/>
              </w:rPr>
            </w:pPr>
          </w:p>
        </w:tc>
        <w:tc>
          <w:tcPr>
            <w:tcW w:w="217" w:type="dxa"/>
          </w:tcPr>
          <w:p w14:paraId="23F522C2" w14:textId="77777777" w:rsidR="002C0FD9" w:rsidRPr="00CA25CF" w:rsidRDefault="002C0FD9" w:rsidP="00CA25CF">
            <w:pPr>
              <w:rPr>
                <w:rFonts w:cs="Arial"/>
                <w:color w:val="FF0000"/>
                <w:sz w:val="21"/>
                <w:szCs w:val="21"/>
              </w:rPr>
            </w:pPr>
          </w:p>
        </w:tc>
        <w:tc>
          <w:tcPr>
            <w:tcW w:w="217" w:type="dxa"/>
          </w:tcPr>
          <w:p w14:paraId="0E432833" w14:textId="77777777" w:rsidR="002C0FD9" w:rsidRPr="00CA25CF" w:rsidRDefault="002C0FD9" w:rsidP="00CA25CF">
            <w:pPr>
              <w:rPr>
                <w:rFonts w:cs="Arial"/>
                <w:color w:val="FF0000"/>
                <w:sz w:val="21"/>
                <w:szCs w:val="21"/>
              </w:rPr>
            </w:pPr>
          </w:p>
        </w:tc>
        <w:tc>
          <w:tcPr>
            <w:tcW w:w="217" w:type="dxa"/>
          </w:tcPr>
          <w:p w14:paraId="4169D716" w14:textId="77777777" w:rsidR="002C0FD9" w:rsidRPr="00CA25CF" w:rsidRDefault="002C0FD9" w:rsidP="00CA25CF">
            <w:pPr>
              <w:rPr>
                <w:rFonts w:cs="Arial"/>
                <w:color w:val="FF0000"/>
                <w:sz w:val="21"/>
                <w:szCs w:val="21"/>
              </w:rPr>
            </w:pPr>
          </w:p>
        </w:tc>
        <w:tc>
          <w:tcPr>
            <w:tcW w:w="217" w:type="dxa"/>
          </w:tcPr>
          <w:p w14:paraId="146D476E" w14:textId="77777777" w:rsidR="002C0FD9" w:rsidRPr="00CA25CF" w:rsidRDefault="002C0FD9" w:rsidP="00CA25CF">
            <w:pPr>
              <w:rPr>
                <w:rFonts w:cs="Arial"/>
                <w:color w:val="FF0000"/>
                <w:sz w:val="21"/>
                <w:szCs w:val="21"/>
              </w:rPr>
            </w:pPr>
          </w:p>
        </w:tc>
        <w:tc>
          <w:tcPr>
            <w:tcW w:w="217" w:type="dxa"/>
          </w:tcPr>
          <w:p w14:paraId="1D78C5FD" w14:textId="77777777" w:rsidR="002C0FD9" w:rsidRPr="00CA25CF" w:rsidRDefault="002C0FD9" w:rsidP="00CA25CF">
            <w:pPr>
              <w:rPr>
                <w:rFonts w:cs="Arial"/>
                <w:color w:val="FF0000"/>
                <w:sz w:val="21"/>
                <w:szCs w:val="21"/>
              </w:rPr>
            </w:pPr>
          </w:p>
        </w:tc>
        <w:tc>
          <w:tcPr>
            <w:tcW w:w="217" w:type="dxa"/>
          </w:tcPr>
          <w:p w14:paraId="3D502FBC" w14:textId="77777777" w:rsidR="002C0FD9" w:rsidRPr="00CA25CF" w:rsidRDefault="002C0FD9" w:rsidP="00CA25CF">
            <w:pPr>
              <w:rPr>
                <w:rFonts w:cs="Arial"/>
                <w:color w:val="FF0000"/>
                <w:sz w:val="21"/>
                <w:szCs w:val="21"/>
              </w:rPr>
            </w:pPr>
          </w:p>
        </w:tc>
        <w:tc>
          <w:tcPr>
            <w:tcW w:w="217" w:type="dxa"/>
          </w:tcPr>
          <w:p w14:paraId="48441B4F" w14:textId="77777777" w:rsidR="002C0FD9" w:rsidRPr="00CA25CF" w:rsidRDefault="002C0FD9" w:rsidP="00CA25CF">
            <w:pPr>
              <w:rPr>
                <w:rFonts w:cs="Arial"/>
                <w:color w:val="FF0000"/>
                <w:sz w:val="21"/>
                <w:szCs w:val="21"/>
              </w:rPr>
            </w:pPr>
          </w:p>
        </w:tc>
        <w:tc>
          <w:tcPr>
            <w:tcW w:w="217" w:type="dxa"/>
          </w:tcPr>
          <w:p w14:paraId="77D881A2" w14:textId="77777777" w:rsidR="002C0FD9" w:rsidRPr="00CA25CF" w:rsidRDefault="002C0FD9" w:rsidP="00CA25CF">
            <w:pPr>
              <w:rPr>
                <w:rFonts w:cs="Arial"/>
                <w:color w:val="FF0000"/>
                <w:sz w:val="21"/>
                <w:szCs w:val="21"/>
              </w:rPr>
            </w:pPr>
          </w:p>
        </w:tc>
        <w:tc>
          <w:tcPr>
            <w:tcW w:w="217" w:type="dxa"/>
          </w:tcPr>
          <w:p w14:paraId="47F21F2F" w14:textId="77777777" w:rsidR="002C0FD9" w:rsidRPr="00CA25CF" w:rsidRDefault="002C0FD9" w:rsidP="00CA25CF">
            <w:pPr>
              <w:rPr>
                <w:rFonts w:cs="Arial"/>
                <w:color w:val="FF0000"/>
                <w:sz w:val="21"/>
                <w:szCs w:val="21"/>
              </w:rPr>
            </w:pPr>
          </w:p>
        </w:tc>
        <w:tc>
          <w:tcPr>
            <w:tcW w:w="217" w:type="dxa"/>
          </w:tcPr>
          <w:p w14:paraId="2EA3272A" w14:textId="77777777" w:rsidR="002C0FD9" w:rsidRPr="00CA25CF" w:rsidRDefault="002C0FD9" w:rsidP="00CA25CF">
            <w:pPr>
              <w:rPr>
                <w:rFonts w:cs="Arial"/>
                <w:color w:val="FF0000"/>
                <w:sz w:val="21"/>
                <w:szCs w:val="21"/>
              </w:rPr>
            </w:pPr>
          </w:p>
        </w:tc>
        <w:tc>
          <w:tcPr>
            <w:tcW w:w="217" w:type="dxa"/>
          </w:tcPr>
          <w:p w14:paraId="44224EF9" w14:textId="77777777" w:rsidR="002C0FD9" w:rsidRPr="00CA25CF" w:rsidRDefault="002C0FD9" w:rsidP="00CA25CF">
            <w:pPr>
              <w:rPr>
                <w:rFonts w:cs="Arial"/>
                <w:color w:val="FF0000"/>
                <w:sz w:val="21"/>
                <w:szCs w:val="21"/>
              </w:rPr>
            </w:pPr>
          </w:p>
        </w:tc>
        <w:tc>
          <w:tcPr>
            <w:tcW w:w="217" w:type="dxa"/>
          </w:tcPr>
          <w:p w14:paraId="6AA12F4F" w14:textId="797876F6" w:rsidR="002C0FD9" w:rsidRPr="00CA25CF" w:rsidRDefault="002C0FD9" w:rsidP="00CA25CF">
            <w:pPr>
              <w:rPr>
                <w:rFonts w:cs="Arial"/>
                <w:color w:val="FF0000"/>
                <w:sz w:val="21"/>
                <w:szCs w:val="21"/>
              </w:rPr>
            </w:pPr>
          </w:p>
        </w:tc>
        <w:tc>
          <w:tcPr>
            <w:tcW w:w="217" w:type="dxa"/>
          </w:tcPr>
          <w:p w14:paraId="44A0DE36" w14:textId="77777777" w:rsidR="002C0FD9" w:rsidRPr="00CA25CF" w:rsidRDefault="002C0FD9" w:rsidP="00CA25CF">
            <w:pPr>
              <w:rPr>
                <w:rFonts w:cs="Arial"/>
                <w:color w:val="FF0000"/>
                <w:sz w:val="21"/>
                <w:szCs w:val="21"/>
              </w:rPr>
            </w:pPr>
          </w:p>
        </w:tc>
        <w:tc>
          <w:tcPr>
            <w:tcW w:w="217" w:type="dxa"/>
          </w:tcPr>
          <w:p w14:paraId="6A79A8C3" w14:textId="77777777" w:rsidR="002C0FD9" w:rsidRPr="00CA25CF" w:rsidRDefault="002C0FD9" w:rsidP="00CA25CF">
            <w:pPr>
              <w:rPr>
                <w:rFonts w:cs="Arial"/>
                <w:color w:val="FF0000"/>
                <w:sz w:val="21"/>
                <w:szCs w:val="21"/>
              </w:rPr>
            </w:pPr>
          </w:p>
        </w:tc>
        <w:tc>
          <w:tcPr>
            <w:tcW w:w="217" w:type="dxa"/>
          </w:tcPr>
          <w:p w14:paraId="584C374D" w14:textId="77777777" w:rsidR="002C0FD9" w:rsidRPr="00CA25CF" w:rsidRDefault="002C0FD9" w:rsidP="00CA25CF">
            <w:pPr>
              <w:rPr>
                <w:rFonts w:cs="Arial"/>
                <w:color w:val="FF0000"/>
                <w:sz w:val="21"/>
                <w:szCs w:val="21"/>
              </w:rPr>
            </w:pPr>
          </w:p>
        </w:tc>
        <w:tc>
          <w:tcPr>
            <w:tcW w:w="217" w:type="dxa"/>
          </w:tcPr>
          <w:p w14:paraId="7EF2657A" w14:textId="77777777" w:rsidR="002C0FD9" w:rsidRPr="00CA25CF" w:rsidRDefault="002C0FD9" w:rsidP="00CA25CF">
            <w:pPr>
              <w:rPr>
                <w:rFonts w:cs="Arial"/>
                <w:color w:val="FF0000"/>
                <w:sz w:val="21"/>
                <w:szCs w:val="21"/>
              </w:rPr>
            </w:pPr>
          </w:p>
        </w:tc>
        <w:tc>
          <w:tcPr>
            <w:tcW w:w="217" w:type="dxa"/>
          </w:tcPr>
          <w:p w14:paraId="342BF7BA" w14:textId="77777777" w:rsidR="002C0FD9" w:rsidRPr="00CA25CF" w:rsidRDefault="002C0FD9" w:rsidP="00CA25CF">
            <w:pPr>
              <w:rPr>
                <w:rFonts w:cs="Arial"/>
                <w:color w:val="FF0000"/>
                <w:sz w:val="21"/>
                <w:szCs w:val="21"/>
              </w:rPr>
            </w:pPr>
          </w:p>
        </w:tc>
        <w:tc>
          <w:tcPr>
            <w:tcW w:w="217" w:type="dxa"/>
          </w:tcPr>
          <w:p w14:paraId="15CB5E88" w14:textId="77777777" w:rsidR="002C0FD9" w:rsidRPr="00CA25CF" w:rsidRDefault="002C0FD9" w:rsidP="00CA25CF">
            <w:pPr>
              <w:rPr>
                <w:rFonts w:cs="Arial"/>
                <w:color w:val="FF0000"/>
                <w:sz w:val="21"/>
                <w:szCs w:val="21"/>
              </w:rPr>
            </w:pPr>
          </w:p>
        </w:tc>
        <w:tc>
          <w:tcPr>
            <w:tcW w:w="217" w:type="dxa"/>
          </w:tcPr>
          <w:p w14:paraId="7B063343" w14:textId="77777777" w:rsidR="002C0FD9" w:rsidRPr="00CA25CF" w:rsidRDefault="002C0FD9" w:rsidP="00CA25CF">
            <w:pPr>
              <w:rPr>
                <w:rFonts w:cs="Arial"/>
                <w:color w:val="FF0000"/>
                <w:sz w:val="21"/>
                <w:szCs w:val="21"/>
              </w:rPr>
            </w:pPr>
          </w:p>
        </w:tc>
        <w:tc>
          <w:tcPr>
            <w:tcW w:w="217" w:type="dxa"/>
          </w:tcPr>
          <w:p w14:paraId="37E9998F" w14:textId="77777777" w:rsidR="002C0FD9" w:rsidRPr="00CA25CF" w:rsidRDefault="002C0FD9" w:rsidP="00CA25CF">
            <w:pPr>
              <w:rPr>
                <w:rFonts w:cs="Arial"/>
                <w:color w:val="FF0000"/>
                <w:sz w:val="21"/>
                <w:szCs w:val="21"/>
              </w:rPr>
            </w:pPr>
          </w:p>
        </w:tc>
        <w:tc>
          <w:tcPr>
            <w:tcW w:w="217" w:type="dxa"/>
          </w:tcPr>
          <w:p w14:paraId="17B4E555" w14:textId="77777777" w:rsidR="002C0FD9" w:rsidRPr="00CA25CF" w:rsidRDefault="002C0FD9" w:rsidP="00CA25CF">
            <w:pPr>
              <w:rPr>
                <w:rFonts w:cs="Arial"/>
                <w:color w:val="FF0000"/>
                <w:sz w:val="21"/>
                <w:szCs w:val="21"/>
              </w:rPr>
            </w:pPr>
          </w:p>
        </w:tc>
        <w:tc>
          <w:tcPr>
            <w:tcW w:w="217" w:type="dxa"/>
          </w:tcPr>
          <w:p w14:paraId="11CEB451" w14:textId="77777777" w:rsidR="002C0FD9" w:rsidRPr="00CA25CF" w:rsidRDefault="002C0FD9" w:rsidP="00CA25CF">
            <w:pPr>
              <w:rPr>
                <w:rFonts w:cs="Arial"/>
                <w:color w:val="FF0000"/>
                <w:sz w:val="21"/>
                <w:szCs w:val="21"/>
              </w:rPr>
            </w:pPr>
          </w:p>
        </w:tc>
        <w:tc>
          <w:tcPr>
            <w:tcW w:w="217" w:type="dxa"/>
          </w:tcPr>
          <w:p w14:paraId="41E83103" w14:textId="77777777" w:rsidR="002C0FD9" w:rsidRPr="00CA25CF" w:rsidRDefault="002C0FD9" w:rsidP="00CA25CF">
            <w:pPr>
              <w:rPr>
                <w:rFonts w:cs="Arial"/>
                <w:color w:val="FF0000"/>
                <w:sz w:val="21"/>
                <w:szCs w:val="21"/>
              </w:rPr>
            </w:pPr>
          </w:p>
        </w:tc>
        <w:tc>
          <w:tcPr>
            <w:tcW w:w="217" w:type="dxa"/>
          </w:tcPr>
          <w:p w14:paraId="03AD12AA" w14:textId="77777777" w:rsidR="002C0FD9" w:rsidRPr="00CA25CF" w:rsidRDefault="002C0FD9" w:rsidP="00CA25CF">
            <w:pPr>
              <w:rPr>
                <w:rFonts w:cs="Arial"/>
                <w:color w:val="FF0000"/>
                <w:sz w:val="21"/>
                <w:szCs w:val="21"/>
              </w:rPr>
            </w:pPr>
          </w:p>
        </w:tc>
        <w:tc>
          <w:tcPr>
            <w:tcW w:w="217" w:type="dxa"/>
          </w:tcPr>
          <w:p w14:paraId="21B1BDAE" w14:textId="77777777" w:rsidR="002C0FD9" w:rsidRPr="00CA25CF" w:rsidRDefault="002C0FD9" w:rsidP="00CA25CF">
            <w:pPr>
              <w:rPr>
                <w:rFonts w:cs="Arial"/>
                <w:color w:val="FF0000"/>
                <w:sz w:val="21"/>
                <w:szCs w:val="21"/>
              </w:rPr>
            </w:pPr>
          </w:p>
        </w:tc>
        <w:tc>
          <w:tcPr>
            <w:tcW w:w="217" w:type="dxa"/>
          </w:tcPr>
          <w:p w14:paraId="3AC67F59" w14:textId="77777777" w:rsidR="002C0FD9" w:rsidRPr="00CA25CF" w:rsidRDefault="002C0FD9" w:rsidP="00CA25CF">
            <w:pPr>
              <w:rPr>
                <w:rFonts w:cs="Arial"/>
                <w:color w:val="FF0000"/>
                <w:sz w:val="21"/>
                <w:szCs w:val="21"/>
              </w:rPr>
            </w:pPr>
          </w:p>
        </w:tc>
        <w:tc>
          <w:tcPr>
            <w:tcW w:w="217" w:type="dxa"/>
          </w:tcPr>
          <w:p w14:paraId="6C104994" w14:textId="77777777" w:rsidR="002C0FD9" w:rsidRPr="00CA25CF" w:rsidRDefault="002C0FD9" w:rsidP="00CA25CF">
            <w:pPr>
              <w:rPr>
                <w:rFonts w:cs="Arial"/>
                <w:color w:val="FF0000"/>
                <w:sz w:val="21"/>
                <w:szCs w:val="21"/>
              </w:rPr>
            </w:pPr>
          </w:p>
        </w:tc>
        <w:tc>
          <w:tcPr>
            <w:tcW w:w="217" w:type="dxa"/>
          </w:tcPr>
          <w:p w14:paraId="47E3A136" w14:textId="77777777" w:rsidR="002C0FD9" w:rsidRPr="00CA25CF" w:rsidRDefault="002C0FD9" w:rsidP="00CA25CF">
            <w:pPr>
              <w:rPr>
                <w:rFonts w:cs="Arial"/>
                <w:color w:val="FF0000"/>
                <w:sz w:val="21"/>
                <w:szCs w:val="21"/>
              </w:rPr>
            </w:pPr>
          </w:p>
        </w:tc>
        <w:tc>
          <w:tcPr>
            <w:tcW w:w="217" w:type="dxa"/>
          </w:tcPr>
          <w:p w14:paraId="02AC646B" w14:textId="77777777" w:rsidR="002C0FD9" w:rsidRPr="00CA25CF" w:rsidRDefault="002C0FD9" w:rsidP="00CA25CF">
            <w:pPr>
              <w:rPr>
                <w:rFonts w:cs="Arial"/>
                <w:color w:val="FF0000"/>
                <w:sz w:val="21"/>
                <w:szCs w:val="21"/>
              </w:rPr>
            </w:pPr>
          </w:p>
        </w:tc>
        <w:tc>
          <w:tcPr>
            <w:tcW w:w="217" w:type="dxa"/>
          </w:tcPr>
          <w:p w14:paraId="2A952182" w14:textId="77777777" w:rsidR="002C0FD9" w:rsidRPr="00CA25CF" w:rsidRDefault="002C0FD9" w:rsidP="00CA25CF">
            <w:pPr>
              <w:rPr>
                <w:rFonts w:cs="Arial"/>
                <w:color w:val="FF0000"/>
                <w:sz w:val="21"/>
                <w:szCs w:val="21"/>
              </w:rPr>
            </w:pPr>
          </w:p>
        </w:tc>
        <w:tc>
          <w:tcPr>
            <w:tcW w:w="217" w:type="dxa"/>
          </w:tcPr>
          <w:p w14:paraId="36333A64" w14:textId="77777777" w:rsidR="002C0FD9" w:rsidRPr="00CA25CF" w:rsidRDefault="002C0FD9" w:rsidP="00CA25CF">
            <w:pPr>
              <w:rPr>
                <w:rFonts w:cs="Arial"/>
                <w:color w:val="FF0000"/>
                <w:sz w:val="21"/>
                <w:szCs w:val="21"/>
              </w:rPr>
            </w:pPr>
          </w:p>
        </w:tc>
        <w:tc>
          <w:tcPr>
            <w:tcW w:w="217" w:type="dxa"/>
          </w:tcPr>
          <w:p w14:paraId="6653E7B7" w14:textId="77777777" w:rsidR="002C0FD9" w:rsidRPr="00CA25CF" w:rsidRDefault="002C0FD9" w:rsidP="00CA25CF">
            <w:pPr>
              <w:rPr>
                <w:rFonts w:cs="Arial"/>
                <w:color w:val="FF0000"/>
                <w:sz w:val="21"/>
                <w:szCs w:val="21"/>
              </w:rPr>
            </w:pPr>
          </w:p>
        </w:tc>
        <w:tc>
          <w:tcPr>
            <w:tcW w:w="217" w:type="dxa"/>
          </w:tcPr>
          <w:p w14:paraId="3BED4C12" w14:textId="77777777" w:rsidR="002C0FD9" w:rsidRPr="00CA25CF" w:rsidRDefault="002C0FD9" w:rsidP="00CA25CF">
            <w:pPr>
              <w:rPr>
                <w:rFonts w:cs="Arial"/>
                <w:color w:val="FF0000"/>
                <w:sz w:val="21"/>
                <w:szCs w:val="21"/>
              </w:rPr>
            </w:pPr>
          </w:p>
        </w:tc>
        <w:tc>
          <w:tcPr>
            <w:tcW w:w="217" w:type="dxa"/>
          </w:tcPr>
          <w:p w14:paraId="198C1A4B" w14:textId="77777777" w:rsidR="002C0FD9" w:rsidRPr="00CA25CF" w:rsidRDefault="002C0FD9" w:rsidP="00CA25CF">
            <w:pPr>
              <w:rPr>
                <w:rFonts w:cs="Arial"/>
                <w:color w:val="FF0000"/>
                <w:sz w:val="21"/>
                <w:szCs w:val="21"/>
              </w:rPr>
            </w:pPr>
          </w:p>
        </w:tc>
        <w:tc>
          <w:tcPr>
            <w:tcW w:w="217" w:type="dxa"/>
          </w:tcPr>
          <w:p w14:paraId="2ED97B3A" w14:textId="77777777" w:rsidR="002C0FD9" w:rsidRPr="00CA25CF" w:rsidRDefault="002C0FD9" w:rsidP="00CA25CF">
            <w:pPr>
              <w:rPr>
                <w:rFonts w:cs="Arial"/>
                <w:color w:val="FF0000"/>
                <w:sz w:val="21"/>
                <w:szCs w:val="21"/>
              </w:rPr>
            </w:pPr>
          </w:p>
        </w:tc>
        <w:tc>
          <w:tcPr>
            <w:tcW w:w="217" w:type="dxa"/>
          </w:tcPr>
          <w:p w14:paraId="68591A96" w14:textId="77777777" w:rsidR="002C0FD9" w:rsidRPr="00CA25CF" w:rsidRDefault="002C0FD9" w:rsidP="00CA25CF">
            <w:pPr>
              <w:rPr>
                <w:rFonts w:cs="Arial"/>
                <w:color w:val="FF0000"/>
                <w:sz w:val="21"/>
                <w:szCs w:val="21"/>
              </w:rPr>
            </w:pPr>
          </w:p>
        </w:tc>
        <w:tc>
          <w:tcPr>
            <w:tcW w:w="217" w:type="dxa"/>
          </w:tcPr>
          <w:p w14:paraId="3D5DE760" w14:textId="77777777" w:rsidR="002C0FD9" w:rsidRPr="00CA25CF" w:rsidRDefault="002C0FD9" w:rsidP="00CA25CF">
            <w:pPr>
              <w:rPr>
                <w:rFonts w:cs="Arial"/>
                <w:color w:val="FF0000"/>
                <w:sz w:val="21"/>
                <w:szCs w:val="21"/>
              </w:rPr>
            </w:pPr>
          </w:p>
        </w:tc>
        <w:tc>
          <w:tcPr>
            <w:tcW w:w="217" w:type="dxa"/>
          </w:tcPr>
          <w:p w14:paraId="56822384" w14:textId="77777777" w:rsidR="002C0FD9" w:rsidRPr="00CA25CF" w:rsidRDefault="002C0FD9" w:rsidP="00CA25CF">
            <w:pPr>
              <w:rPr>
                <w:rFonts w:cs="Arial"/>
                <w:color w:val="FF0000"/>
                <w:sz w:val="21"/>
                <w:szCs w:val="21"/>
              </w:rPr>
            </w:pPr>
          </w:p>
        </w:tc>
        <w:tc>
          <w:tcPr>
            <w:tcW w:w="217" w:type="dxa"/>
          </w:tcPr>
          <w:p w14:paraId="59997065" w14:textId="77777777" w:rsidR="002C0FD9" w:rsidRPr="00CA25CF" w:rsidRDefault="002C0FD9" w:rsidP="00CA25CF">
            <w:pPr>
              <w:rPr>
                <w:rFonts w:cs="Arial"/>
                <w:color w:val="FF0000"/>
                <w:sz w:val="21"/>
                <w:szCs w:val="21"/>
              </w:rPr>
            </w:pPr>
          </w:p>
        </w:tc>
      </w:tr>
      <w:tr w:rsidR="002C0FD9" w:rsidRPr="00A16219" w14:paraId="2F6ABE84" w14:textId="25C23F70" w:rsidTr="002C0FD9">
        <w:trPr>
          <w:trHeight w:val="635"/>
        </w:trPr>
        <w:tc>
          <w:tcPr>
            <w:tcW w:w="515" w:type="dxa"/>
          </w:tcPr>
          <w:p w14:paraId="78991B7D" w14:textId="77777777" w:rsidR="002C0FD9" w:rsidRPr="00CA25CF" w:rsidRDefault="002C0FD9" w:rsidP="00CA25CF">
            <w:pPr>
              <w:rPr>
                <w:rFonts w:cs="Arial"/>
                <w:color w:val="FF0000"/>
                <w:sz w:val="21"/>
                <w:szCs w:val="21"/>
              </w:rPr>
            </w:pPr>
          </w:p>
        </w:tc>
        <w:tc>
          <w:tcPr>
            <w:tcW w:w="217" w:type="dxa"/>
          </w:tcPr>
          <w:p w14:paraId="488EDEF7" w14:textId="77777777" w:rsidR="002C0FD9" w:rsidRPr="00CA25CF" w:rsidRDefault="002C0FD9" w:rsidP="00CA25CF">
            <w:pPr>
              <w:rPr>
                <w:rFonts w:cs="Arial"/>
                <w:color w:val="FF0000"/>
                <w:sz w:val="21"/>
                <w:szCs w:val="21"/>
              </w:rPr>
            </w:pPr>
          </w:p>
        </w:tc>
        <w:tc>
          <w:tcPr>
            <w:tcW w:w="217" w:type="dxa"/>
          </w:tcPr>
          <w:p w14:paraId="24C0799B" w14:textId="5CB5E13E" w:rsidR="002C0FD9" w:rsidRPr="00CA25CF" w:rsidRDefault="002C0FD9" w:rsidP="00CA25CF">
            <w:pPr>
              <w:rPr>
                <w:rFonts w:cs="Arial"/>
                <w:color w:val="FF0000"/>
                <w:sz w:val="21"/>
                <w:szCs w:val="21"/>
              </w:rPr>
            </w:pPr>
          </w:p>
        </w:tc>
        <w:tc>
          <w:tcPr>
            <w:tcW w:w="217" w:type="dxa"/>
          </w:tcPr>
          <w:p w14:paraId="0705F811" w14:textId="77777777" w:rsidR="002C0FD9" w:rsidRPr="00CA25CF" w:rsidRDefault="002C0FD9" w:rsidP="00CA25CF">
            <w:pPr>
              <w:rPr>
                <w:rFonts w:cs="Arial"/>
                <w:color w:val="FF0000"/>
                <w:sz w:val="21"/>
                <w:szCs w:val="21"/>
              </w:rPr>
            </w:pPr>
          </w:p>
        </w:tc>
        <w:tc>
          <w:tcPr>
            <w:tcW w:w="217" w:type="dxa"/>
          </w:tcPr>
          <w:p w14:paraId="0B0A65F7" w14:textId="77777777" w:rsidR="002C0FD9" w:rsidRPr="00CA25CF" w:rsidRDefault="002C0FD9" w:rsidP="00CA25CF">
            <w:pPr>
              <w:rPr>
                <w:rFonts w:cs="Arial"/>
                <w:color w:val="FF0000"/>
                <w:sz w:val="21"/>
                <w:szCs w:val="21"/>
              </w:rPr>
            </w:pPr>
          </w:p>
        </w:tc>
        <w:tc>
          <w:tcPr>
            <w:tcW w:w="217" w:type="dxa"/>
          </w:tcPr>
          <w:p w14:paraId="28F67AA4" w14:textId="77777777" w:rsidR="002C0FD9" w:rsidRPr="00CA25CF" w:rsidRDefault="002C0FD9" w:rsidP="00CA25CF">
            <w:pPr>
              <w:rPr>
                <w:rFonts w:cs="Arial"/>
                <w:color w:val="FF0000"/>
                <w:sz w:val="21"/>
                <w:szCs w:val="21"/>
              </w:rPr>
            </w:pPr>
          </w:p>
        </w:tc>
        <w:tc>
          <w:tcPr>
            <w:tcW w:w="217" w:type="dxa"/>
          </w:tcPr>
          <w:p w14:paraId="12CBAB1D" w14:textId="77777777" w:rsidR="002C0FD9" w:rsidRPr="00CA25CF" w:rsidRDefault="002C0FD9" w:rsidP="00CA25CF">
            <w:pPr>
              <w:rPr>
                <w:rFonts w:cs="Arial"/>
                <w:color w:val="FF0000"/>
                <w:sz w:val="21"/>
                <w:szCs w:val="21"/>
              </w:rPr>
            </w:pPr>
          </w:p>
        </w:tc>
        <w:tc>
          <w:tcPr>
            <w:tcW w:w="217" w:type="dxa"/>
          </w:tcPr>
          <w:p w14:paraId="2A704098" w14:textId="77777777" w:rsidR="002C0FD9" w:rsidRPr="00CA25CF" w:rsidRDefault="002C0FD9" w:rsidP="00CA25CF">
            <w:pPr>
              <w:rPr>
                <w:rFonts w:cs="Arial"/>
                <w:color w:val="FF0000"/>
                <w:sz w:val="21"/>
                <w:szCs w:val="21"/>
              </w:rPr>
            </w:pPr>
          </w:p>
        </w:tc>
        <w:tc>
          <w:tcPr>
            <w:tcW w:w="217" w:type="dxa"/>
          </w:tcPr>
          <w:p w14:paraId="12C523A7" w14:textId="77777777" w:rsidR="002C0FD9" w:rsidRPr="00CA25CF" w:rsidRDefault="002C0FD9" w:rsidP="00CA25CF">
            <w:pPr>
              <w:rPr>
                <w:rFonts w:cs="Arial"/>
                <w:color w:val="FF0000"/>
                <w:sz w:val="21"/>
                <w:szCs w:val="21"/>
              </w:rPr>
            </w:pPr>
          </w:p>
        </w:tc>
        <w:tc>
          <w:tcPr>
            <w:tcW w:w="217" w:type="dxa"/>
          </w:tcPr>
          <w:p w14:paraId="2FF56C80" w14:textId="77777777" w:rsidR="002C0FD9" w:rsidRPr="00CA25CF" w:rsidRDefault="002C0FD9" w:rsidP="00CA25CF">
            <w:pPr>
              <w:rPr>
                <w:rFonts w:cs="Arial"/>
                <w:color w:val="FF0000"/>
                <w:sz w:val="21"/>
                <w:szCs w:val="21"/>
              </w:rPr>
            </w:pPr>
          </w:p>
        </w:tc>
        <w:tc>
          <w:tcPr>
            <w:tcW w:w="217" w:type="dxa"/>
          </w:tcPr>
          <w:p w14:paraId="75503221" w14:textId="77777777" w:rsidR="002C0FD9" w:rsidRPr="00CA25CF" w:rsidRDefault="002C0FD9" w:rsidP="00CA25CF">
            <w:pPr>
              <w:rPr>
                <w:rFonts w:cs="Arial"/>
                <w:color w:val="FF0000"/>
                <w:sz w:val="21"/>
                <w:szCs w:val="21"/>
              </w:rPr>
            </w:pPr>
          </w:p>
        </w:tc>
        <w:tc>
          <w:tcPr>
            <w:tcW w:w="217" w:type="dxa"/>
          </w:tcPr>
          <w:p w14:paraId="20A00EB5" w14:textId="77777777" w:rsidR="002C0FD9" w:rsidRPr="00CA25CF" w:rsidRDefault="002C0FD9" w:rsidP="00CA25CF">
            <w:pPr>
              <w:rPr>
                <w:rFonts w:cs="Arial"/>
                <w:color w:val="FF0000"/>
                <w:sz w:val="21"/>
                <w:szCs w:val="21"/>
              </w:rPr>
            </w:pPr>
          </w:p>
        </w:tc>
        <w:tc>
          <w:tcPr>
            <w:tcW w:w="217" w:type="dxa"/>
          </w:tcPr>
          <w:p w14:paraId="3760ECD4" w14:textId="77777777" w:rsidR="002C0FD9" w:rsidRPr="00CA25CF" w:rsidRDefault="002C0FD9" w:rsidP="00CA25CF">
            <w:pPr>
              <w:rPr>
                <w:rFonts w:cs="Arial"/>
                <w:color w:val="FF0000"/>
                <w:sz w:val="21"/>
                <w:szCs w:val="21"/>
              </w:rPr>
            </w:pPr>
          </w:p>
        </w:tc>
        <w:tc>
          <w:tcPr>
            <w:tcW w:w="217" w:type="dxa"/>
          </w:tcPr>
          <w:p w14:paraId="1C6A47E6" w14:textId="77777777" w:rsidR="002C0FD9" w:rsidRPr="00CA25CF" w:rsidRDefault="002C0FD9" w:rsidP="00CA25CF">
            <w:pPr>
              <w:rPr>
                <w:rFonts w:cs="Arial"/>
                <w:color w:val="FF0000"/>
                <w:sz w:val="21"/>
                <w:szCs w:val="21"/>
              </w:rPr>
            </w:pPr>
          </w:p>
        </w:tc>
        <w:tc>
          <w:tcPr>
            <w:tcW w:w="217" w:type="dxa"/>
          </w:tcPr>
          <w:p w14:paraId="345515F3" w14:textId="77777777" w:rsidR="002C0FD9" w:rsidRPr="00CA25CF" w:rsidRDefault="002C0FD9" w:rsidP="00CA25CF">
            <w:pPr>
              <w:rPr>
                <w:rFonts w:cs="Arial"/>
                <w:color w:val="FF0000"/>
                <w:sz w:val="21"/>
                <w:szCs w:val="21"/>
              </w:rPr>
            </w:pPr>
          </w:p>
        </w:tc>
        <w:tc>
          <w:tcPr>
            <w:tcW w:w="217" w:type="dxa"/>
          </w:tcPr>
          <w:p w14:paraId="516EEFAC" w14:textId="788EA10B" w:rsidR="002C0FD9" w:rsidRPr="00CA25CF" w:rsidRDefault="002C0FD9" w:rsidP="00CA25CF">
            <w:pPr>
              <w:rPr>
                <w:rFonts w:cs="Arial"/>
                <w:color w:val="FF0000"/>
                <w:sz w:val="21"/>
                <w:szCs w:val="21"/>
              </w:rPr>
            </w:pPr>
          </w:p>
        </w:tc>
        <w:tc>
          <w:tcPr>
            <w:tcW w:w="217" w:type="dxa"/>
          </w:tcPr>
          <w:p w14:paraId="27ED8588" w14:textId="77777777" w:rsidR="002C0FD9" w:rsidRPr="00CA25CF" w:rsidRDefault="002C0FD9" w:rsidP="00CA25CF">
            <w:pPr>
              <w:rPr>
                <w:rFonts w:cs="Arial"/>
                <w:color w:val="FF0000"/>
                <w:sz w:val="21"/>
                <w:szCs w:val="21"/>
              </w:rPr>
            </w:pPr>
          </w:p>
        </w:tc>
        <w:tc>
          <w:tcPr>
            <w:tcW w:w="217" w:type="dxa"/>
          </w:tcPr>
          <w:p w14:paraId="5E288965" w14:textId="77777777" w:rsidR="002C0FD9" w:rsidRPr="00CA25CF" w:rsidRDefault="002C0FD9" w:rsidP="00CA25CF">
            <w:pPr>
              <w:rPr>
                <w:rFonts w:cs="Arial"/>
                <w:color w:val="FF0000"/>
                <w:sz w:val="21"/>
                <w:szCs w:val="21"/>
              </w:rPr>
            </w:pPr>
          </w:p>
        </w:tc>
        <w:tc>
          <w:tcPr>
            <w:tcW w:w="217" w:type="dxa"/>
          </w:tcPr>
          <w:p w14:paraId="542BE379" w14:textId="77777777" w:rsidR="002C0FD9" w:rsidRPr="00CA25CF" w:rsidRDefault="002C0FD9" w:rsidP="00CA25CF">
            <w:pPr>
              <w:rPr>
                <w:rFonts w:cs="Arial"/>
                <w:color w:val="FF0000"/>
                <w:sz w:val="21"/>
                <w:szCs w:val="21"/>
              </w:rPr>
            </w:pPr>
          </w:p>
        </w:tc>
        <w:tc>
          <w:tcPr>
            <w:tcW w:w="217" w:type="dxa"/>
          </w:tcPr>
          <w:p w14:paraId="32C2757F" w14:textId="77777777" w:rsidR="002C0FD9" w:rsidRPr="00CA25CF" w:rsidRDefault="002C0FD9" w:rsidP="00CA25CF">
            <w:pPr>
              <w:rPr>
                <w:rFonts w:cs="Arial"/>
                <w:color w:val="FF0000"/>
                <w:sz w:val="21"/>
                <w:szCs w:val="21"/>
              </w:rPr>
            </w:pPr>
          </w:p>
        </w:tc>
        <w:tc>
          <w:tcPr>
            <w:tcW w:w="217" w:type="dxa"/>
          </w:tcPr>
          <w:p w14:paraId="69224920" w14:textId="77777777" w:rsidR="002C0FD9" w:rsidRPr="00CA25CF" w:rsidRDefault="002C0FD9" w:rsidP="00CA25CF">
            <w:pPr>
              <w:rPr>
                <w:rFonts w:cs="Arial"/>
                <w:color w:val="FF0000"/>
                <w:sz w:val="21"/>
                <w:szCs w:val="21"/>
              </w:rPr>
            </w:pPr>
          </w:p>
        </w:tc>
        <w:tc>
          <w:tcPr>
            <w:tcW w:w="217" w:type="dxa"/>
          </w:tcPr>
          <w:p w14:paraId="635C2F1C" w14:textId="77777777" w:rsidR="002C0FD9" w:rsidRPr="00CA25CF" w:rsidRDefault="002C0FD9" w:rsidP="00CA25CF">
            <w:pPr>
              <w:rPr>
                <w:rFonts w:cs="Arial"/>
                <w:color w:val="FF0000"/>
                <w:sz w:val="21"/>
                <w:szCs w:val="21"/>
              </w:rPr>
            </w:pPr>
          </w:p>
        </w:tc>
        <w:tc>
          <w:tcPr>
            <w:tcW w:w="217" w:type="dxa"/>
          </w:tcPr>
          <w:p w14:paraId="28087AAA" w14:textId="77777777" w:rsidR="002C0FD9" w:rsidRPr="00CA25CF" w:rsidRDefault="002C0FD9" w:rsidP="00CA25CF">
            <w:pPr>
              <w:rPr>
                <w:rFonts w:cs="Arial"/>
                <w:color w:val="FF0000"/>
                <w:sz w:val="21"/>
                <w:szCs w:val="21"/>
              </w:rPr>
            </w:pPr>
          </w:p>
        </w:tc>
        <w:tc>
          <w:tcPr>
            <w:tcW w:w="217" w:type="dxa"/>
          </w:tcPr>
          <w:p w14:paraId="68569077" w14:textId="77777777" w:rsidR="002C0FD9" w:rsidRPr="00CA25CF" w:rsidRDefault="002C0FD9" w:rsidP="00CA25CF">
            <w:pPr>
              <w:rPr>
                <w:rFonts w:cs="Arial"/>
                <w:color w:val="FF0000"/>
                <w:sz w:val="21"/>
                <w:szCs w:val="21"/>
              </w:rPr>
            </w:pPr>
          </w:p>
        </w:tc>
        <w:tc>
          <w:tcPr>
            <w:tcW w:w="217" w:type="dxa"/>
          </w:tcPr>
          <w:p w14:paraId="5BF114B9" w14:textId="77777777" w:rsidR="002C0FD9" w:rsidRPr="00CA25CF" w:rsidRDefault="002C0FD9" w:rsidP="00CA25CF">
            <w:pPr>
              <w:rPr>
                <w:rFonts w:cs="Arial"/>
                <w:color w:val="FF0000"/>
                <w:sz w:val="21"/>
                <w:szCs w:val="21"/>
              </w:rPr>
            </w:pPr>
          </w:p>
        </w:tc>
        <w:tc>
          <w:tcPr>
            <w:tcW w:w="217" w:type="dxa"/>
          </w:tcPr>
          <w:p w14:paraId="4AB4E1D6" w14:textId="77777777" w:rsidR="002C0FD9" w:rsidRPr="00CA25CF" w:rsidRDefault="002C0FD9" w:rsidP="00CA25CF">
            <w:pPr>
              <w:rPr>
                <w:rFonts w:cs="Arial"/>
                <w:color w:val="FF0000"/>
                <w:sz w:val="21"/>
                <w:szCs w:val="21"/>
              </w:rPr>
            </w:pPr>
          </w:p>
        </w:tc>
        <w:tc>
          <w:tcPr>
            <w:tcW w:w="217" w:type="dxa"/>
          </w:tcPr>
          <w:p w14:paraId="1848A669" w14:textId="77777777" w:rsidR="002C0FD9" w:rsidRPr="00CA25CF" w:rsidRDefault="002C0FD9" w:rsidP="00CA25CF">
            <w:pPr>
              <w:rPr>
                <w:rFonts w:cs="Arial"/>
                <w:color w:val="FF0000"/>
                <w:sz w:val="21"/>
                <w:szCs w:val="21"/>
              </w:rPr>
            </w:pPr>
          </w:p>
        </w:tc>
        <w:tc>
          <w:tcPr>
            <w:tcW w:w="217" w:type="dxa"/>
          </w:tcPr>
          <w:p w14:paraId="3624D18D" w14:textId="77777777" w:rsidR="002C0FD9" w:rsidRPr="00CA25CF" w:rsidRDefault="002C0FD9" w:rsidP="00CA25CF">
            <w:pPr>
              <w:rPr>
                <w:rFonts w:cs="Arial"/>
                <w:color w:val="FF0000"/>
                <w:sz w:val="21"/>
                <w:szCs w:val="21"/>
              </w:rPr>
            </w:pPr>
          </w:p>
        </w:tc>
        <w:tc>
          <w:tcPr>
            <w:tcW w:w="217" w:type="dxa"/>
          </w:tcPr>
          <w:p w14:paraId="3D87EC09" w14:textId="77777777" w:rsidR="002C0FD9" w:rsidRPr="00CA25CF" w:rsidRDefault="002C0FD9" w:rsidP="00CA25CF">
            <w:pPr>
              <w:rPr>
                <w:rFonts w:cs="Arial"/>
                <w:color w:val="FF0000"/>
                <w:sz w:val="21"/>
                <w:szCs w:val="21"/>
              </w:rPr>
            </w:pPr>
          </w:p>
        </w:tc>
        <w:tc>
          <w:tcPr>
            <w:tcW w:w="217" w:type="dxa"/>
          </w:tcPr>
          <w:p w14:paraId="2276D8A2" w14:textId="77777777" w:rsidR="002C0FD9" w:rsidRPr="00CA25CF" w:rsidRDefault="002C0FD9" w:rsidP="00CA25CF">
            <w:pPr>
              <w:rPr>
                <w:rFonts w:cs="Arial"/>
                <w:color w:val="FF0000"/>
                <w:sz w:val="21"/>
                <w:szCs w:val="21"/>
              </w:rPr>
            </w:pPr>
          </w:p>
        </w:tc>
        <w:tc>
          <w:tcPr>
            <w:tcW w:w="217" w:type="dxa"/>
          </w:tcPr>
          <w:p w14:paraId="44617DA4" w14:textId="77777777" w:rsidR="002C0FD9" w:rsidRPr="00CA25CF" w:rsidRDefault="002C0FD9" w:rsidP="00CA25CF">
            <w:pPr>
              <w:rPr>
                <w:rFonts w:cs="Arial"/>
                <w:color w:val="FF0000"/>
                <w:sz w:val="21"/>
                <w:szCs w:val="21"/>
              </w:rPr>
            </w:pPr>
          </w:p>
        </w:tc>
        <w:tc>
          <w:tcPr>
            <w:tcW w:w="217" w:type="dxa"/>
          </w:tcPr>
          <w:p w14:paraId="6B1DDEA8" w14:textId="77777777" w:rsidR="002C0FD9" w:rsidRPr="00CA25CF" w:rsidRDefault="002C0FD9" w:rsidP="00CA25CF">
            <w:pPr>
              <w:rPr>
                <w:rFonts w:cs="Arial"/>
                <w:color w:val="FF0000"/>
                <w:sz w:val="21"/>
                <w:szCs w:val="21"/>
              </w:rPr>
            </w:pPr>
          </w:p>
        </w:tc>
        <w:tc>
          <w:tcPr>
            <w:tcW w:w="217" w:type="dxa"/>
          </w:tcPr>
          <w:p w14:paraId="73F3CA50" w14:textId="77777777" w:rsidR="002C0FD9" w:rsidRPr="00CA25CF" w:rsidRDefault="002C0FD9" w:rsidP="00CA25CF">
            <w:pPr>
              <w:rPr>
                <w:rFonts w:cs="Arial"/>
                <w:color w:val="FF0000"/>
                <w:sz w:val="21"/>
                <w:szCs w:val="21"/>
              </w:rPr>
            </w:pPr>
          </w:p>
        </w:tc>
        <w:tc>
          <w:tcPr>
            <w:tcW w:w="217" w:type="dxa"/>
          </w:tcPr>
          <w:p w14:paraId="6AA565DB" w14:textId="77777777" w:rsidR="002C0FD9" w:rsidRPr="00CA25CF" w:rsidRDefault="002C0FD9" w:rsidP="00CA25CF">
            <w:pPr>
              <w:rPr>
                <w:rFonts w:cs="Arial"/>
                <w:color w:val="FF0000"/>
                <w:sz w:val="21"/>
                <w:szCs w:val="21"/>
              </w:rPr>
            </w:pPr>
          </w:p>
        </w:tc>
        <w:tc>
          <w:tcPr>
            <w:tcW w:w="217" w:type="dxa"/>
          </w:tcPr>
          <w:p w14:paraId="66417A11" w14:textId="77777777" w:rsidR="002C0FD9" w:rsidRPr="00CA25CF" w:rsidRDefault="002C0FD9" w:rsidP="00CA25CF">
            <w:pPr>
              <w:rPr>
                <w:rFonts w:cs="Arial"/>
                <w:color w:val="FF0000"/>
                <w:sz w:val="21"/>
                <w:szCs w:val="21"/>
              </w:rPr>
            </w:pPr>
          </w:p>
        </w:tc>
        <w:tc>
          <w:tcPr>
            <w:tcW w:w="217" w:type="dxa"/>
          </w:tcPr>
          <w:p w14:paraId="78F4D383" w14:textId="77777777" w:rsidR="002C0FD9" w:rsidRPr="00CA25CF" w:rsidRDefault="002C0FD9" w:rsidP="00CA25CF">
            <w:pPr>
              <w:rPr>
                <w:rFonts w:cs="Arial"/>
                <w:color w:val="FF0000"/>
                <w:sz w:val="21"/>
                <w:szCs w:val="21"/>
              </w:rPr>
            </w:pPr>
          </w:p>
        </w:tc>
        <w:tc>
          <w:tcPr>
            <w:tcW w:w="217" w:type="dxa"/>
          </w:tcPr>
          <w:p w14:paraId="636333A9" w14:textId="77777777" w:rsidR="002C0FD9" w:rsidRPr="00CA25CF" w:rsidRDefault="002C0FD9" w:rsidP="00CA25CF">
            <w:pPr>
              <w:rPr>
                <w:rFonts w:cs="Arial"/>
                <w:color w:val="FF0000"/>
                <w:sz w:val="21"/>
                <w:szCs w:val="21"/>
              </w:rPr>
            </w:pPr>
          </w:p>
        </w:tc>
        <w:tc>
          <w:tcPr>
            <w:tcW w:w="217" w:type="dxa"/>
          </w:tcPr>
          <w:p w14:paraId="6FC1C9F6" w14:textId="77777777" w:rsidR="002C0FD9" w:rsidRPr="00CA25CF" w:rsidRDefault="002C0FD9" w:rsidP="00CA25CF">
            <w:pPr>
              <w:rPr>
                <w:rFonts w:cs="Arial"/>
                <w:color w:val="FF0000"/>
                <w:sz w:val="21"/>
                <w:szCs w:val="21"/>
              </w:rPr>
            </w:pPr>
          </w:p>
        </w:tc>
        <w:tc>
          <w:tcPr>
            <w:tcW w:w="217" w:type="dxa"/>
          </w:tcPr>
          <w:p w14:paraId="786DCDF6" w14:textId="77777777" w:rsidR="002C0FD9" w:rsidRPr="00CA25CF" w:rsidRDefault="002C0FD9" w:rsidP="00CA25CF">
            <w:pPr>
              <w:rPr>
                <w:rFonts w:cs="Arial"/>
                <w:color w:val="FF0000"/>
                <w:sz w:val="21"/>
                <w:szCs w:val="21"/>
              </w:rPr>
            </w:pPr>
          </w:p>
        </w:tc>
        <w:tc>
          <w:tcPr>
            <w:tcW w:w="217" w:type="dxa"/>
          </w:tcPr>
          <w:p w14:paraId="27835047" w14:textId="77777777" w:rsidR="002C0FD9" w:rsidRPr="00CA25CF" w:rsidRDefault="002C0FD9" w:rsidP="00CA25CF">
            <w:pPr>
              <w:rPr>
                <w:rFonts w:cs="Arial"/>
                <w:color w:val="FF0000"/>
                <w:sz w:val="21"/>
                <w:szCs w:val="21"/>
              </w:rPr>
            </w:pPr>
          </w:p>
        </w:tc>
        <w:tc>
          <w:tcPr>
            <w:tcW w:w="217" w:type="dxa"/>
          </w:tcPr>
          <w:p w14:paraId="73AB7BA5" w14:textId="77777777" w:rsidR="002C0FD9" w:rsidRPr="00CA25CF" w:rsidRDefault="002C0FD9" w:rsidP="00CA25CF">
            <w:pPr>
              <w:rPr>
                <w:rFonts w:cs="Arial"/>
                <w:color w:val="FF0000"/>
                <w:sz w:val="21"/>
                <w:szCs w:val="21"/>
              </w:rPr>
            </w:pPr>
          </w:p>
        </w:tc>
        <w:tc>
          <w:tcPr>
            <w:tcW w:w="217" w:type="dxa"/>
          </w:tcPr>
          <w:p w14:paraId="14B37091" w14:textId="77777777" w:rsidR="002C0FD9" w:rsidRPr="00CA25CF" w:rsidRDefault="002C0FD9" w:rsidP="00CA25CF">
            <w:pPr>
              <w:rPr>
                <w:rFonts w:cs="Arial"/>
                <w:color w:val="FF0000"/>
                <w:sz w:val="21"/>
                <w:szCs w:val="21"/>
              </w:rPr>
            </w:pPr>
          </w:p>
        </w:tc>
        <w:tc>
          <w:tcPr>
            <w:tcW w:w="217" w:type="dxa"/>
          </w:tcPr>
          <w:p w14:paraId="42F2154F" w14:textId="77777777" w:rsidR="002C0FD9" w:rsidRPr="00CA25CF" w:rsidRDefault="002C0FD9" w:rsidP="00CA25CF">
            <w:pPr>
              <w:rPr>
                <w:rFonts w:cs="Arial"/>
                <w:color w:val="FF0000"/>
                <w:sz w:val="21"/>
                <w:szCs w:val="21"/>
              </w:rPr>
            </w:pPr>
          </w:p>
        </w:tc>
      </w:tr>
      <w:tr w:rsidR="002C0FD9" w:rsidRPr="00A16219" w14:paraId="0C5A8FF4" w14:textId="756E526F" w:rsidTr="002C0FD9">
        <w:trPr>
          <w:trHeight w:val="635"/>
        </w:trPr>
        <w:tc>
          <w:tcPr>
            <w:tcW w:w="515" w:type="dxa"/>
          </w:tcPr>
          <w:p w14:paraId="2D1BA9BE" w14:textId="77777777" w:rsidR="002C0FD9" w:rsidRPr="00CA25CF" w:rsidRDefault="002C0FD9" w:rsidP="00CA25CF">
            <w:pPr>
              <w:rPr>
                <w:rFonts w:cs="Arial"/>
                <w:color w:val="FF0000"/>
                <w:sz w:val="21"/>
                <w:szCs w:val="21"/>
              </w:rPr>
            </w:pPr>
          </w:p>
        </w:tc>
        <w:tc>
          <w:tcPr>
            <w:tcW w:w="217" w:type="dxa"/>
          </w:tcPr>
          <w:p w14:paraId="17ABCAD2" w14:textId="77777777" w:rsidR="002C0FD9" w:rsidRPr="00CA25CF" w:rsidRDefault="002C0FD9" w:rsidP="00CA25CF">
            <w:pPr>
              <w:rPr>
                <w:rFonts w:cs="Arial"/>
                <w:color w:val="FF0000"/>
                <w:sz w:val="21"/>
                <w:szCs w:val="21"/>
              </w:rPr>
            </w:pPr>
          </w:p>
        </w:tc>
        <w:tc>
          <w:tcPr>
            <w:tcW w:w="217" w:type="dxa"/>
          </w:tcPr>
          <w:p w14:paraId="194BA50F" w14:textId="132543EE" w:rsidR="002C0FD9" w:rsidRPr="00CA25CF" w:rsidRDefault="002C0FD9" w:rsidP="00CA25CF">
            <w:pPr>
              <w:rPr>
                <w:rFonts w:cs="Arial"/>
                <w:color w:val="FF0000"/>
                <w:sz w:val="21"/>
                <w:szCs w:val="21"/>
              </w:rPr>
            </w:pPr>
          </w:p>
        </w:tc>
        <w:tc>
          <w:tcPr>
            <w:tcW w:w="217" w:type="dxa"/>
          </w:tcPr>
          <w:p w14:paraId="0607EB6C" w14:textId="77777777" w:rsidR="002C0FD9" w:rsidRPr="00CA25CF" w:rsidRDefault="002C0FD9" w:rsidP="00CA25CF">
            <w:pPr>
              <w:rPr>
                <w:rFonts w:cs="Arial"/>
                <w:color w:val="FF0000"/>
                <w:sz w:val="21"/>
                <w:szCs w:val="21"/>
              </w:rPr>
            </w:pPr>
          </w:p>
        </w:tc>
        <w:tc>
          <w:tcPr>
            <w:tcW w:w="217" w:type="dxa"/>
          </w:tcPr>
          <w:p w14:paraId="78DF3FD5" w14:textId="77777777" w:rsidR="002C0FD9" w:rsidRPr="00CA25CF" w:rsidRDefault="002C0FD9" w:rsidP="00CA25CF">
            <w:pPr>
              <w:rPr>
                <w:rFonts w:cs="Arial"/>
                <w:color w:val="FF0000"/>
                <w:sz w:val="21"/>
                <w:szCs w:val="21"/>
              </w:rPr>
            </w:pPr>
          </w:p>
        </w:tc>
        <w:tc>
          <w:tcPr>
            <w:tcW w:w="217" w:type="dxa"/>
          </w:tcPr>
          <w:p w14:paraId="27A0D806" w14:textId="77777777" w:rsidR="002C0FD9" w:rsidRPr="00CA25CF" w:rsidRDefault="002C0FD9" w:rsidP="00CA25CF">
            <w:pPr>
              <w:rPr>
                <w:rFonts w:cs="Arial"/>
                <w:color w:val="FF0000"/>
                <w:sz w:val="21"/>
                <w:szCs w:val="21"/>
              </w:rPr>
            </w:pPr>
          </w:p>
        </w:tc>
        <w:tc>
          <w:tcPr>
            <w:tcW w:w="217" w:type="dxa"/>
          </w:tcPr>
          <w:p w14:paraId="608C2B94" w14:textId="77777777" w:rsidR="002C0FD9" w:rsidRPr="00CA25CF" w:rsidRDefault="002C0FD9" w:rsidP="00CA25CF">
            <w:pPr>
              <w:rPr>
                <w:rFonts w:cs="Arial"/>
                <w:color w:val="FF0000"/>
                <w:sz w:val="21"/>
                <w:szCs w:val="21"/>
              </w:rPr>
            </w:pPr>
          </w:p>
        </w:tc>
        <w:tc>
          <w:tcPr>
            <w:tcW w:w="217" w:type="dxa"/>
          </w:tcPr>
          <w:p w14:paraId="7C70BEF4" w14:textId="77777777" w:rsidR="002C0FD9" w:rsidRPr="00CA25CF" w:rsidRDefault="002C0FD9" w:rsidP="00CA25CF">
            <w:pPr>
              <w:rPr>
                <w:rFonts w:cs="Arial"/>
                <w:color w:val="FF0000"/>
                <w:sz w:val="21"/>
                <w:szCs w:val="21"/>
              </w:rPr>
            </w:pPr>
          </w:p>
        </w:tc>
        <w:tc>
          <w:tcPr>
            <w:tcW w:w="217" w:type="dxa"/>
          </w:tcPr>
          <w:p w14:paraId="1554C66D" w14:textId="77777777" w:rsidR="002C0FD9" w:rsidRPr="00CA25CF" w:rsidRDefault="002C0FD9" w:rsidP="00CA25CF">
            <w:pPr>
              <w:rPr>
                <w:rFonts w:cs="Arial"/>
                <w:color w:val="FF0000"/>
                <w:sz w:val="21"/>
                <w:szCs w:val="21"/>
              </w:rPr>
            </w:pPr>
          </w:p>
        </w:tc>
        <w:tc>
          <w:tcPr>
            <w:tcW w:w="217" w:type="dxa"/>
          </w:tcPr>
          <w:p w14:paraId="704CF08D" w14:textId="77777777" w:rsidR="002C0FD9" w:rsidRPr="00CA25CF" w:rsidRDefault="002C0FD9" w:rsidP="00CA25CF">
            <w:pPr>
              <w:rPr>
                <w:rFonts w:cs="Arial"/>
                <w:color w:val="FF0000"/>
                <w:sz w:val="21"/>
                <w:szCs w:val="21"/>
              </w:rPr>
            </w:pPr>
          </w:p>
        </w:tc>
        <w:tc>
          <w:tcPr>
            <w:tcW w:w="217" w:type="dxa"/>
          </w:tcPr>
          <w:p w14:paraId="52B550D3" w14:textId="77777777" w:rsidR="002C0FD9" w:rsidRPr="00CA25CF" w:rsidRDefault="002C0FD9" w:rsidP="00CA25CF">
            <w:pPr>
              <w:rPr>
                <w:rFonts w:cs="Arial"/>
                <w:color w:val="FF0000"/>
                <w:sz w:val="21"/>
                <w:szCs w:val="21"/>
              </w:rPr>
            </w:pPr>
          </w:p>
        </w:tc>
        <w:tc>
          <w:tcPr>
            <w:tcW w:w="217" w:type="dxa"/>
          </w:tcPr>
          <w:p w14:paraId="10EA9562" w14:textId="77777777" w:rsidR="002C0FD9" w:rsidRPr="00CA25CF" w:rsidRDefault="002C0FD9" w:rsidP="00CA25CF">
            <w:pPr>
              <w:rPr>
                <w:rFonts w:cs="Arial"/>
                <w:color w:val="FF0000"/>
                <w:sz w:val="21"/>
                <w:szCs w:val="21"/>
              </w:rPr>
            </w:pPr>
          </w:p>
        </w:tc>
        <w:tc>
          <w:tcPr>
            <w:tcW w:w="217" w:type="dxa"/>
          </w:tcPr>
          <w:p w14:paraId="12718534" w14:textId="77777777" w:rsidR="002C0FD9" w:rsidRPr="00CA25CF" w:rsidRDefault="002C0FD9" w:rsidP="00CA25CF">
            <w:pPr>
              <w:rPr>
                <w:rFonts w:cs="Arial"/>
                <w:color w:val="FF0000"/>
                <w:sz w:val="21"/>
                <w:szCs w:val="21"/>
              </w:rPr>
            </w:pPr>
          </w:p>
        </w:tc>
        <w:tc>
          <w:tcPr>
            <w:tcW w:w="217" w:type="dxa"/>
          </w:tcPr>
          <w:p w14:paraId="280FE300" w14:textId="77777777" w:rsidR="002C0FD9" w:rsidRPr="00CA25CF" w:rsidRDefault="002C0FD9" w:rsidP="00CA25CF">
            <w:pPr>
              <w:rPr>
                <w:rFonts w:cs="Arial"/>
                <w:color w:val="FF0000"/>
                <w:sz w:val="21"/>
                <w:szCs w:val="21"/>
              </w:rPr>
            </w:pPr>
          </w:p>
        </w:tc>
        <w:tc>
          <w:tcPr>
            <w:tcW w:w="217" w:type="dxa"/>
          </w:tcPr>
          <w:p w14:paraId="048438F1" w14:textId="77777777" w:rsidR="002C0FD9" w:rsidRPr="00CA25CF" w:rsidRDefault="002C0FD9" w:rsidP="00CA25CF">
            <w:pPr>
              <w:rPr>
                <w:rFonts w:cs="Arial"/>
                <w:color w:val="FF0000"/>
                <w:sz w:val="21"/>
                <w:szCs w:val="21"/>
              </w:rPr>
            </w:pPr>
          </w:p>
        </w:tc>
        <w:tc>
          <w:tcPr>
            <w:tcW w:w="217" w:type="dxa"/>
          </w:tcPr>
          <w:p w14:paraId="20FD03BB" w14:textId="61A1C022" w:rsidR="002C0FD9" w:rsidRPr="00CA25CF" w:rsidRDefault="002C0FD9" w:rsidP="00CA25CF">
            <w:pPr>
              <w:rPr>
                <w:rFonts w:cs="Arial"/>
                <w:color w:val="FF0000"/>
                <w:sz w:val="21"/>
                <w:szCs w:val="21"/>
              </w:rPr>
            </w:pPr>
          </w:p>
        </w:tc>
        <w:tc>
          <w:tcPr>
            <w:tcW w:w="217" w:type="dxa"/>
          </w:tcPr>
          <w:p w14:paraId="2584DD60" w14:textId="77777777" w:rsidR="002C0FD9" w:rsidRPr="00CA25CF" w:rsidRDefault="002C0FD9" w:rsidP="00CA25CF">
            <w:pPr>
              <w:rPr>
                <w:rFonts w:cs="Arial"/>
                <w:color w:val="FF0000"/>
                <w:sz w:val="21"/>
                <w:szCs w:val="21"/>
              </w:rPr>
            </w:pPr>
          </w:p>
        </w:tc>
        <w:tc>
          <w:tcPr>
            <w:tcW w:w="217" w:type="dxa"/>
          </w:tcPr>
          <w:p w14:paraId="752D6771" w14:textId="77777777" w:rsidR="002C0FD9" w:rsidRPr="00CA25CF" w:rsidRDefault="002C0FD9" w:rsidP="00CA25CF">
            <w:pPr>
              <w:rPr>
                <w:rFonts w:cs="Arial"/>
                <w:color w:val="FF0000"/>
                <w:sz w:val="21"/>
                <w:szCs w:val="21"/>
              </w:rPr>
            </w:pPr>
          </w:p>
        </w:tc>
        <w:tc>
          <w:tcPr>
            <w:tcW w:w="217" w:type="dxa"/>
          </w:tcPr>
          <w:p w14:paraId="69E64366" w14:textId="77777777" w:rsidR="002C0FD9" w:rsidRPr="00CA25CF" w:rsidRDefault="002C0FD9" w:rsidP="00CA25CF">
            <w:pPr>
              <w:rPr>
                <w:rFonts w:cs="Arial"/>
                <w:color w:val="FF0000"/>
                <w:sz w:val="21"/>
                <w:szCs w:val="21"/>
              </w:rPr>
            </w:pPr>
          </w:p>
        </w:tc>
        <w:tc>
          <w:tcPr>
            <w:tcW w:w="217" w:type="dxa"/>
          </w:tcPr>
          <w:p w14:paraId="41B488BB" w14:textId="77777777" w:rsidR="002C0FD9" w:rsidRPr="00CA25CF" w:rsidRDefault="002C0FD9" w:rsidP="00CA25CF">
            <w:pPr>
              <w:rPr>
                <w:rFonts w:cs="Arial"/>
                <w:color w:val="FF0000"/>
                <w:sz w:val="21"/>
                <w:szCs w:val="21"/>
              </w:rPr>
            </w:pPr>
          </w:p>
        </w:tc>
        <w:tc>
          <w:tcPr>
            <w:tcW w:w="217" w:type="dxa"/>
          </w:tcPr>
          <w:p w14:paraId="45EE3E42" w14:textId="77777777" w:rsidR="002C0FD9" w:rsidRPr="00CA25CF" w:rsidRDefault="002C0FD9" w:rsidP="00CA25CF">
            <w:pPr>
              <w:rPr>
                <w:rFonts w:cs="Arial"/>
                <w:color w:val="FF0000"/>
                <w:sz w:val="21"/>
                <w:szCs w:val="21"/>
              </w:rPr>
            </w:pPr>
          </w:p>
        </w:tc>
        <w:tc>
          <w:tcPr>
            <w:tcW w:w="217" w:type="dxa"/>
          </w:tcPr>
          <w:p w14:paraId="5FD73906" w14:textId="77777777" w:rsidR="002C0FD9" w:rsidRPr="00CA25CF" w:rsidRDefault="002C0FD9" w:rsidP="00CA25CF">
            <w:pPr>
              <w:rPr>
                <w:rFonts w:cs="Arial"/>
                <w:color w:val="FF0000"/>
                <w:sz w:val="21"/>
                <w:szCs w:val="21"/>
              </w:rPr>
            </w:pPr>
          </w:p>
        </w:tc>
        <w:tc>
          <w:tcPr>
            <w:tcW w:w="217" w:type="dxa"/>
          </w:tcPr>
          <w:p w14:paraId="245D5800" w14:textId="77777777" w:rsidR="002C0FD9" w:rsidRPr="00CA25CF" w:rsidRDefault="002C0FD9" w:rsidP="00CA25CF">
            <w:pPr>
              <w:rPr>
                <w:rFonts w:cs="Arial"/>
                <w:color w:val="FF0000"/>
                <w:sz w:val="21"/>
                <w:szCs w:val="21"/>
              </w:rPr>
            </w:pPr>
          </w:p>
        </w:tc>
        <w:tc>
          <w:tcPr>
            <w:tcW w:w="217" w:type="dxa"/>
          </w:tcPr>
          <w:p w14:paraId="2C05AC3A" w14:textId="77777777" w:rsidR="002C0FD9" w:rsidRPr="00CA25CF" w:rsidRDefault="002C0FD9" w:rsidP="00CA25CF">
            <w:pPr>
              <w:rPr>
                <w:rFonts w:cs="Arial"/>
                <w:color w:val="FF0000"/>
                <w:sz w:val="21"/>
                <w:szCs w:val="21"/>
              </w:rPr>
            </w:pPr>
          </w:p>
        </w:tc>
        <w:tc>
          <w:tcPr>
            <w:tcW w:w="217" w:type="dxa"/>
          </w:tcPr>
          <w:p w14:paraId="70ACF7B2" w14:textId="77777777" w:rsidR="002C0FD9" w:rsidRPr="00CA25CF" w:rsidRDefault="002C0FD9" w:rsidP="00CA25CF">
            <w:pPr>
              <w:rPr>
                <w:rFonts w:cs="Arial"/>
                <w:color w:val="FF0000"/>
                <w:sz w:val="21"/>
                <w:szCs w:val="21"/>
              </w:rPr>
            </w:pPr>
          </w:p>
        </w:tc>
        <w:tc>
          <w:tcPr>
            <w:tcW w:w="217" w:type="dxa"/>
          </w:tcPr>
          <w:p w14:paraId="36A76492" w14:textId="77777777" w:rsidR="002C0FD9" w:rsidRPr="00CA25CF" w:rsidRDefault="002C0FD9" w:rsidP="00CA25CF">
            <w:pPr>
              <w:rPr>
                <w:rFonts w:cs="Arial"/>
                <w:color w:val="FF0000"/>
                <w:sz w:val="21"/>
                <w:szCs w:val="21"/>
              </w:rPr>
            </w:pPr>
          </w:p>
        </w:tc>
        <w:tc>
          <w:tcPr>
            <w:tcW w:w="217" w:type="dxa"/>
          </w:tcPr>
          <w:p w14:paraId="4ECA0716" w14:textId="77777777" w:rsidR="002C0FD9" w:rsidRPr="00CA25CF" w:rsidRDefault="002C0FD9" w:rsidP="00CA25CF">
            <w:pPr>
              <w:rPr>
                <w:rFonts w:cs="Arial"/>
                <w:color w:val="FF0000"/>
                <w:sz w:val="21"/>
                <w:szCs w:val="21"/>
              </w:rPr>
            </w:pPr>
          </w:p>
        </w:tc>
        <w:tc>
          <w:tcPr>
            <w:tcW w:w="217" w:type="dxa"/>
          </w:tcPr>
          <w:p w14:paraId="377EACDC" w14:textId="77777777" w:rsidR="002C0FD9" w:rsidRPr="00CA25CF" w:rsidRDefault="002C0FD9" w:rsidP="00CA25CF">
            <w:pPr>
              <w:rPr>
                <w:rFonts w:cs="Arial"/>
                <w:color w:val="FF0000"/>
                <w:sz w:val="21"/>
                <w:szCs w:val="21"/>
              </w:rPr>
            </w:pPr>
          </w:p>
        </w:tc>
        <w:tc>
          <w:tcPr>
            <w:tcW w:w="217" w:type="dxa"/>
          </w:tcPr>
          <w:p w14:paraId="11BA53E8" w14:textId="77777777" w:rsidR="002C0FD9" w:rsidRPr="00CA25CF" w:rsidRDefault="002C0FD9" w:rsidP="00CA25CF">
            <w:pPr>
              <w:rPr>
                <w:rFonts w:cs="Arial"/>
                <w:color w:val="FF0000"/>
                <w:sz w:val="21"/>
                <w:szCs w:val="21"/>
              </w:rPr>
            </w:pPr>
          </w:p>
        </w:tc>
        <w:tc>
          <w:tcPr>
            <w:tcW w:w="217" w:type="dxa"/>
          </w:tcPr>
          <w:p w14:paraId="3431B8E8" w14:textId="77777777" w:rsidR="002C0FD9" w:rsidRPr="00CA25CF" w:rsidRDefault="002C0FD9" w:rsidP="00CA25CF">
            <w:pPr>
              <w:rPr>
                <w:rFonts w:cs="Arial"/>
                <w:color w:val="FF0000"/>
                <w:sz w:val="21"/>
                <w:szCs w:val="21"/>
              </w:rPr>
            </w:pPr>
          </w:p>
        </w:tc>
        <w:tc>
          <w:tcPr>
            <w:tcW w:w="217" w:type="dxa"/>
          </w:tcPr>
          <w:p w14:paraId="728F7D03" w14:textId="77777777" w:rsidR="002C0FD9" w:rsidRPr="00CA25CF" w:rsidRDefault="002C0FD9" w:rsidP="00CA25CF">
            <w:pPr>
              <w:rPr>
                <w:rFonts w:cs="Arial"/>
                <w:color w:val="FF0000"/>
                <w:sz w:val="21"/>
                <w:szCs w:val="21"/>
              </w:rPr>
            </w:pPr>
          </w:p>
        </w:tc>
        <w:tc>
          <w:tcPr>
            <w:tcW w:w="217" w:type="dxa"/>
          </w:tcPr>
          <w:p w14:paraId="05BBC90A" w14:textId="77777777" w:rsidR="002C0FD9" w:rsidRPr="00CA25CF" w:rsidRDefault="002C0FD9" w:rsidP="00CA25CF">
            <w:pPr>
              <w:rPr>
                <w:rFonts w:cs="Arial"/>
                <w:color w:val="FF0000"/>
                <w:sz w:val="21"/>
                <w:szCs w:val="21"/>
              </w:rPr>
            </w:pPr>
          </w:p>
        </w:tc>
        <w:tc>
          <w:tcPr>
            <w:tcW w:w="217" w:type="dxa"/>
          </w:tcPr>
          <w:p w14:paraId="101C3C28" w14:textId="77777777" w:rsidR="002C0FD9" w:rsidRPr="00CA25CF" w:rsidRDefault="002C0FD9" w:rsidP="00CA25CF">
            <w:pPr>
              <w:rPr>
                <w:rFonts w:cs="Arial"/>
                <w:color w:val="FF0000"/>
                <w:sz w:val="21"/>
                <w:szCs w:val="21"/>
              </w:rPr>
            </w:pPr>
          </w:p>
        </w:tc>
        <w:tc>
          <w:tcPr>
            <w:tcW w:w="217" w:type="dxa"/>
          </w:tcPr>
          <w:p w14:paraId="263C94DD" w14:textId="77777777" w:rsidR="002C0FD9" w:rsidRPr="00CA25CF" w:rsidRDefault="002C0FD9" w:rsidP="00CA25CF">
            <w:pPr>
              <w:rPr>
                <w:rFonts w:cs="Arial"/>
                <w:color w:val="FF0000"/>
                <w:sz w:val="21"/>
                <w:szCs w:val="21"/>
              </w:rPr>
            </w:pPr>
          </w:p>
        </w:tc>
        <w:tc>
          <w:tcPr>
            <w:tcW w:w="217" w:type="dxa"/>
          </w:tcPr>
          <w:p w14:paraId="7D279CF3" w14:textId="77777777" w:rsidR="002C0FD9" w:rsidRPr="00CA25CF" w:rsidRDefault="002C0FD9" w:rsidP="00CA25CF">
            <w:pPr>
              <w:rPr>
                <w:rFonts w:cs="Arial"/>
                <w:color w:val="FF0000"/>
                <w:sz w:val="21"/>
                <w:szCs w:val="21"/>
              </w:rPr>
            </w:pPr>
          </w:p>
        </w:tc>
        <w:tc>
          <w:tcPr>
            <w:tcW w:w="217" w:type="dxa"/>
          </w:tcPr>
          <w:p w14:paraId="73BD1F18" w14:textId="77777777" w:rsidR="002C0FD9" w:rsidRPr="00CA25CF" w:rsidRDefault="002C0FD9" w:rsidP="00CA25CF">
            <w:pPr>
              <w:rPr>
                <w:rFonts w:cs="Arial"/>
                <w:color w:val="FF0000"/>
                <w:sz w:val="21"/>
                <w:szCs w:val="21"/>
              </w:rPr>
            </w:pPr>
          </w:p>
        </w:tc>
        <w:tc>
          <w:tcPr>
            <w:tcW w:w="217" w:type="dxa"/>
          </w:tcPr>
          <w:p w14:paraId="395ECF7C" w14:textId="77777777" w:rsidR="002C0FD9" w:rsidRPr="00CA25CF" w:rsidRDefault="002C0FD9" w:rsidP="00CA25CF">
            <w:pPr>
              <w:rPr>
                <w:rFonts w:cs="Arial"/>
                <w:color w:val="FF0000"/>
                <w:sz w:val="21"/>
                <w:szCs w:val="21"/>
              </w:rPr>
            </w:pPr>
          </w:p>
        </w:tc>
        <w:tc>
          <w:tcPr>
            <w:tcW w:w="217" w:type="dxa"/>
          </w:tcPr>
          <w:p w14:paraId="054A93F4" w14:textId="77777777" w:rsidR="002C0FD9" w:rsidRPr="00CA25CF" w:rsidRDefault="002C0FD9" w:rsidP="00CA25CF">
            <w:pPr>
              <w:rPr>
                <w:rFonts w:cs="Arial"/>
                <w:color w:val="FF0000"/>
                <w:sz w:val="21"/>
                <w:szCs w:val="21"/>
              </w:rPr>
            </w:pPr>
          </w:p>
        </w:tc>
        <w:tc>
          <w:tcPr>
            <w:tcW w:w="217" w:type="dxa"/>
          </w:tcPr>
          <w:p w14:paraId="191AAB32" w14:textId="77777777" w:rsidR="002C0FD9" w:rsidRPr="00CA25CF" w:rsidRDefault="002C0FD9" w:rsidP="00CA25CF">
            <w:pPr>
              <w:rPr>
                <w:rFonts w:cs="Arial"/>
                <w:color w:val="FF0000"/>
                <w:sz w:val="21"/>
                <w:szCs w:val="21"/>
              </w:rPr>
            </w:pPr>
          </w:p>
        </w:tc>
        <w:tc>
          <w:tcPr>
            <w:tcW w:w="217" w:type="dxa"/>
          </w:tcPr>
          <w:p w14:paraId="2F264F71" w14:textId="77777777" w:rsidR="002C0FD9" w:rsidRPr="00CA25CF" w:rsidRDefault="002C0FD9" w:rsidP="00CA25CF">
            <w:pPr>
              <w:rPr>
                <w:rFonts w:cs="Arial"/>
                <w:color w:val="FF0000"/>
                <w:sz w:val="21"/>
                <w:szCs w:val="21"/>
              </w:rPr>
            </w:pPr>
          </w:p>
        </w:tc>
        <w:tc>
          <w:tcPr>
            <w:tcW w:w="217" w:type="dxa"/>
          </w:tcPr>
          <w:p w14:paraId="6BC27751" w14:textId="77777777" w:rsidR="002C0FD9" w:rsidRPr="00CA25CF" w:rsidRDefault="002C0FD9" w:rsidP="00CA25CF">
            <w:pPr>
              <w:rPr>
                <w:rFonts w:cs="Arial"/>
                <w:color w:val="FF0000"/>
                <w:sz w:val="21"/>
                <w:szCs w:val="21"/>
              </w:rPr>
            </w:pPr>
          </w:p>
        </w:tc>
        <w:tc>
          <w:tcPr>
            <w:tcW w:w="217" w:type="dxa"/>
          </w:tcPr>
          <w:p w14:paraId="1E685364" w14:textId="77777777" w:rsidR="002C0FD9" w:rsidRPr="00CA25CF" w:rsidRDefault="002C0FD9" w:rsidP="00CA25CF">
            <w:pPr>
              <w:rPr>
                <w:rFonts w:cs="Arial"/>
                <w:color w:val="FF0000"/>
                <w:sz w:val="21"/>
                <w:szCs w:val="21"/>
              </w:rPr>
            </w:pPr>
          </w:p>
        </w:tc>
        <w:tc>
          <w:tcPr>
            <w:tcW w:w="217" w:type="dxa"/>
          </w:tcPr>
          <w:p w14:paraId="2353EBA3" w14:textId="77777777" w:rsidR="002C0FD9" w:rsidRPr="00CA25CF" w:rsidRDefault="002C0FD9" w:rsidP="00CA25CF">
            <w:pPr>
              <w:rPr>
                <w:rFonts w:cs="Arial"/>
                <w:color w:val="FF0000"/>
                <w:sz w:val="21"/>
                <w:szCs w:val="21"/>
              </w:rPr>
            </w:pPr>
          </w:p>
        </w:tc>
      </w:tr>
      <w:tr w:rsidR="002C0FD9" w:rsidRPr="00A16219" w14:paraId="450EF9CA" w14:textId="4F4A75FE" w:rsidTr="002C0FD9">
        <w:trPr>
          <w:trHeight w:val="635"/>
        </w:trPr>
        <w:tc>
          <w:tcPr>
            <w:tcW w:w="515" w:type="dxa"/>
          </w:tcPr>
          <w:p w14:paraId="09513A1E" w14:textId="77777777" w:rsidR="002C0FD9" w:rsidRPr="00CA25CF" w:rsidRDefault="002C0FD9" w:rsidP="00CA25CF">
            <w:pPr>
              <w:rPr>
                <w:rFonts w:cs="Arial"/>
                <w:color w:val="FF0000"/>
                <w:sz w:val="21"/>
                <w:szCs w:val="21"/>
              </w:rPr>
            </w:pPr>
          </w:p>
        </w:tc>
        <w:tc>
          <w:tcPr>
            <w:tcW w:w="217" w:type="dxa"/>
          </w:tcPr>
          <w:p w14:paraId="2EC53E62" w14:textId="77777777" w:rsidR="002C0FD9" w:rsidRPr="00CA25CF" w:rsidRDefault="002C0FD9" w:rsidP="00CA25CF">
            <w:pPr>
              <w:rPr>
                <w:rFonts w:cs="Arial"/>
                <w:color w:val="FF0000"/>
                <w:sz w:val="21"/>
                <w:szCs w:val="21"/>
              </w:rPr>
            </w:pPr>
          </w:p>
        </w:tc>
        <w:tc>
          <w:tcPr>
            <w:tcW w:w="217" w:type="dxa"/>
          </w:tcPr>
          <w:p w14:paraId="0C2F4667" w14:textId="16BEBF80" w:rsidR="002C0FD9" w:rsidRPr="00CA25CF" w:rsidRDefault="002C0FD9" w:rsidP="00CA25CF">
            <w:pPr>
              <w:rPr>
                <w:rFonts w:cs="Arial"/>
                <w:color w:val="FF0000"/>
                <w:sz w:val="21"/>
                <w:szCs w:val="21"/>
              </w:rPr>
            </w:pPr>
          </w:p>
        </w:tc>
        <w:tc>
          <w:tcPr>
            <w:tcW w:w="217" w:type="dxa"/>
          </w:tcPr>
          <w:p w14:paraId="0CAC850F" w14:textId="77777777" w:rsidR="002C0FD9" w:rsidRPr="00CA25CF" w:rsidRDefault="002C0FD9" w:rsidP="00CA25CF">
            <w:pPr>
              <w:rPr>
                <w:rFonts w:cs="Arial"/>
                <w:color w:val="FF0000"/>
                <w:sz w:val="21"/>
                <w:szCs w:val="21"/>
              </w:rPr>
            </w:pPr>
          </w:p>
        </w:tc>
        <w:tc>
          <w:tcPr>
            <w:tcW w:w="217" w:type="dxa"/>
          </w:tcPr>
          <w:p w14:paraId="5179474C" w14:textId="77777777" w:rsidR="002C0FD9" w:rsidRPr="00CA25CF" w:rsidRDefault="002C0FD9" w:rsidP="00CA25CF">
            <w:pPr>
              <w:rPr>
                <w:rFonts w:cs="Arial"/>
                <w:color w:val="FF0000"/>
                <w:sz w:val="21"/>
                <w:szCs w:val="21"/>
              </w:rPr>
            </w:pPr>
          </w:p>
        </w:tc>
        <w:tc>
          <w:tcPr>
            <w:tcW w:w="217" w:type="dxa"/>
          </w:tcPr>
          <w:p w14:paraId="34B106F3" w14:textId="77777777" w:rsidR="002C0FD9" w:rsidRPr="00CA25CF" w:rsidRDefault="002C0FD9" w:rsidP="00CA25CF">
            <w:pPr>
              <w:rPr>
                <w:rFonts w:cs="Arial"/>
                <w:color w:val="FF0000"/>
                <w:sz w:val="21"/>
                <w:szCs w:val="21"/>
              </w:rPr>
            </w:pPr>
          </w:p>
        </w:tc>
        <w:tc>
          <w:tcPr>
            <w:tcW w:w="217" w:type="dxa"/>
          </w:tcPr>
          <w:p w14:paraId="0664780A" w14:textId="77777777" w:rsidR="002C0FD9" w:rsidRPr="00CA25CF" w:rsidRDefault="002C0FD9" w:rsidP="00CA25CF">
            <w:pPr>
              <w:rPr>
                <w:rFonts w:cs="Arial"/>
                <w:color w:val="FF0000"/>
                <w:sz w:val="21"/>
                <w:szCs w:val="21"/>
              </w:rPr>
            </w:pPr>
          </w:p>
        </w:tc>
        <w:tc>
          <w:tcPr>
            <w:tcW w:w="217" w:type="dxa"/>
          </w:tcPr>
          <w:p w14:paraId="575DD05A" w14:textId="77777777" w:rsidR="002C0FD9" w:rsidRPr="00CA25CF" w:rsidRDefault="002C0FD9" w:rsidP="00CA25CF">
            <w:pPr>
              <w:rPr>
                <w:rFonts w:cs="Arial"/>
                <w:color w:val="FF0000"/>
                <w:sz w:val="21"/>
                <w:szCs w:val="21"/>
              </w:rPr>
            </w:pPr>
          </w:p>
        </w:tc>
        <w:tc>
          <w:tcPr>
            <w:tcW w:w="217" w:type="dxa"/>
          </w:tcPr>
          <w:p w14:paraId="78D47083" w14:textId="77777777" w:rsidR="002C0FD9" w:rsidRPr="00CA25CF" w:rsidRDefault="002C0FD9" w:rsidP="00CA25CF">
            <w:pPr>
              <w:rPr>
                <w:rFonts w:cs="Arial"/>
                <w:color w:val="FF0000"/>
                <w:sz w:val="21"/>
                <w:szCs w:val="21"/>
              </w:rPr>
            </w:pPr>
          </w:p>
        </w:tc>
        <w:tc>
          <w:tcPr>
            <w:tcW w:w="217" w:type="dxa"/>
          </w:tcPr>
          <w:p w14:paraId="08ED50E6" w14:textId="77777777" w:rsidR="002C0FD9" w:rsidRPr="00CA25CF" w:rsidRDefault="002C0FD9" w:rsidP="00CA25CF">
            <w:pPr>
              <w:rPr>
                <w:rFonts w:cs="Arial"/>
                <w:color w:val="FF0000"/>
                <w:sz w:val="21"/>
                <w:szCs w:val="21"/>
              </w:rPr>
            </w:pPr>
          </w:p>
        </w:tc>
        <w:tc>
          <w:tcPr>
            <w:tcW w:w="217" w:type="dxa"/>
          </w:tcPr>
          <w:p w14:paraId="13452C0C" w14:textId="77777777" w:rsidR="002C0FD9" w:rsidRPr="00CA25CF" w:rsidRDefault="002C0FD9" w:rsidP="00CA25CF">
            <w:pPr>
              <w:rPr>
                <w:rFonts w:cs="Arial"/>
                <w:color w:val="FF0000"/>
                <w:sz w:val="21"/>
                <w:szCs w:val="21"/>
              </w:rPr>
            </w:pPr>
          </w:p>
        </w:tc>
        <w:tc>
          <w:tcPr>
            <w:tcW w:w="217" w:type="dxa"/>
          </w:tcPr>
          <w:p w14:paraId="5FB78D71" w14:textId="77777777" w:rsidR="002C0FD9" w:rsidRPr="00CA25CF" w:rsidRDefault="002C0FD9" w:rsidP="00CA25CF">
            <w:pPr>
              <w:rPr>
                <w:rFonts w:cs="Arial"/>
                <w:color w:val="FF0000"/>
                <w:sz w:val="21"/>
                <w:szCs w:val="21"/>
              </w:rPr>
            </w:pPr>
          </w:p>
        </w:tc>
        <w:tc>
          <w:tcPr>
            <w:tcW w:w="217" w:type="dxa"/>
          </w:tcPr>
          <w:p w14:paraId="1FBA1406" w14:textId="77777777" w:rsidR="002C0FD9" w:rsidRPr="00CA25CF" w:rsidRDefault="002C0FD9" w:rsidP="00CA25CF">
            <w:pPr>
              <w:rPr>
                <w:rFonts w:cs="Arial"/>
                <w:color w:val="FF0000"/>
                <w:sz w:val="21"/>
                <w:szCs w:val="21"/>
              </w:rPr>
            </w:pPr>
          </w:p>
        </w:tc>
        <w:tc>
          <w:tcPr>
            <w:tcW w:w="217" w:type="dxa"/>
          </w:tcPr>
          <w:p w14:paraId="409EFA34" w14:textId="77777777" w:rsidR="002C0FD9" w:rsidRPr="00CA25CF" w:rsidRDefault="002C0FD9" w:rsidP="00CA25CF">
            <w:pPr>
              <w:rPr>
                <w:rFonts w:cs="Arial"/>
                <w:color w:val="FF0000"/>
                <w:sz w:val="21"/>
                <w:szCs w:val="21"/>
              </w:rPr>
            </w:pPr>
          </w:p>
        </w:tc>
        <w:tc>
          <w:tcPr>
            <w:tcW w:w="217" w:type="dxa"/>
          </w:tcPr>
          <w:p w14:paraId="2DF1766E" w14:textId="77777777" w:rsidR="002C0FD9" w:rsidRPr="00CA25CF" w:rsidRDefault="002C0FD9" w:rsidP="00CA25CF">
            <w:pPr>
              <w:rPr>
                <w:rFonts w:cs="Arial"/>
                <w:color w:val="FF0000"/>
                <w:sz w:val="21"/>
                <w:szCs w:val="21"/>
              </w:rPr>
            </w:pPr>
          </w:p>
        </w:tc>
        <w:tc>
          <w:tcPr>
            <w:tcW w:w="217" w:type="dxa"/>
          </w:tcPr>
          <w:p w14:paraId="3B829E31" w14:textId="6507D71D" w:rsidR="002C0FD9" w:rsidRPr="00CA25CF" w:rsidRDefault="002C0FD9" w:rsidP="00CA25CF">
            <w:pPr>
              <w:rPr>
                <w:rFonts w:cs="Arial"/>
                <w:color w:val="FF0000"/>
                <w:sz w:val="21"/>
                <w:szCs w:val="21"/>
              </w:rPr>
            </w:pPr>
          </w:p>
        </w:tc>
        <w:tc>
          <w:tcPr>
            <w:tcW w:w="217" w:type="dxa"/>
          </w:tcPr>
          <w:p w14:paraId="1CFB96F8" w14:textId="77777777" w:rsidR="002C0FD9" w:rsidRPr="00CA25CF" w:rsidRDefault="002C0FD9" w:rsidP="00CA25CF">
            <w:pPr>
              <w:rPr>
                <w:rFonts w:cs="Arial"/>
                <w:color w:val="FF0000"/>
                <w:sz w:val="21"/>
                <w:szCs w:val="21"/>
              </w:rPr>
            </w:pPr>
          </w:p>
        </w:tc>
        <w:tc>
          <w:tcPr>
            <w:tcW w:w="217" w:type="dxa"/>
          </w:tcPr>
          <w:p w14:paraId="7ADB6169" w14:textId="77777777" w:rsidR="002C0FD9" w:rsidRPr="00CA25CF" w:rsidRDefault="002C0FD9" w:rsidP="00CA25CF">
            <w:pPr>
              <w:rPr>
                <w:rFonts w:cs="Arial"/>
                <w:color w:val="FF0000"/>
                <w:sz w:val="21"/>
                <w:szCs w:val="21"/>
              </w:rPr>
            </w:pPr>
          </w:p>
        </w:tc>
        <w:tc>
          <w:tcPr>
            <w:tcW w:w="217" w:type="dxa"/>
          </w:tcPr>
          <w:p w14:paraId="4D34F79F" w14:textId="77777777" w:rsidR="002C0FD9" w:rsidRPr="00CA25CF" w:rsidRDefault="002C0FD9" w:rsidP="00CA25CF">
            <w:pPr>
              <w:rPr>
                <w:rFonts w:cs="Arial"/>
                <w:color w:val="FF0000"/>
                <w:sz w:val="21"/>
                <w:szCs w:val="21"/>
              </w:rPr>
            </w:pPr>
          </w:p>
        </w:tc>
        <w:tc>
          <w:tcPr>
            <w:tcW w:w="217" w:type="dxa"/>
          </w:tcPr>
          <w:p w14:paraId="040C7FFB" w14:textId="77777777" w:rsidR="002C0FD9" w:rsidRPr="00CA25CF" w:rsidRDefault="002C0FD9" w:rsidP="00CA25CF">
            <w:pPr>
              <w:rPr>
                <w:rFonts w:cs="Arial"/>
                <w:color w:val="FF0000"/>
                <w:sz w:val="21"/>
                <w:szCs w:val="21"/>
              </w:rPr>
            </w:pPr>
          </w:p>
        </w:tc>
        <w:tc>
          <w:tcPr>
            <w:tcW w:w="217" w:type="dxa"/>
          </w:tcPr>
          <w:p w14:paraId="6E968544" w14:textId="77777777" w:rsidR="002C0FD9" w:rsidRPr="00CA25CF" w:rsidRDefault="002C0FD9" w:rsidP="00CA25CF">
            <w:pPr>
              <w:rPr>
                <w:rFonts w:cs="Arial"/>
                <w:color w:val="FF0000"/>
                <w:sz w:val="21"/>
                <w:szCs w:val="21"/>
              </w:rPr>
            </w:pPr>
          </w:p>
        </w:tc>
        <w:tc>
          <w:tcPr>
            <w:tcW w:w="217" w:type="dxa"/>
          </w:tcPr>
          <w:p w14:paraId="1F836DAD" w14:textId="77777777" w:rsidR="002C0FD9" w:rsidRPr="00CA25CF" w:rsidRDefault="002C0FD9" w:rsidP="00CA25CF">
            <w:pPr>
              <w:rPr>
                <w:rFonts w:cs="Arial"/>
                <w:color w:val="FF0000"/>
                <w:sz w:val="21"/>
                <w:szCs w:val="21"/>
              </w:rPr>
            </w:pPr>
          </w:p>
        </w:tc>
        <w:tc>
          <w:tcPr>
            <w:tcW w:w="217" w:type="dxa"/>
          </w:tcPr>
          <w:p w14:paraId="769D6F75" w14:textId="77777777" w:rsidR="002C0FD9" w:rsidRPr="00CA25CF" w:rsidRDefault="002C0FD9" w:rsidP="00CA25CF">
            <w:pPr>
              <w:rPr>
                <w:rFonts w:cs="Arial"/>
                <w:color w:val="FF0000"/>
                <w:sz w:val="21"/>
                <w:szCs w:val="21"/>
              </w:rPr>
            </w:pPr>
          </w:p>
        </w:tc>
        <w:tc>
          <w:tcPr>
            <w:tcW w:w="217" w:type="dxa"/>
          </w:tcPr>
          <w:p w14:paraId="10C9D8B6" w14:textId="77777777" w:rsidR="002C0FD9" w:rsidRPr="00CA25CF" w:rsidRDefault="002C0FD9" w:rsidP="00CA25CF">
            <w:pPr>
              <w:rPr>
                <w:rFonts w:cs="Arial"/>
                <w:color w:val="FF0000"/>
                <w:sz w:val="21"/>
                <w:szCs w:val="21"/>
              </w:rPr>
            </w:pPr>
          </w:p>
        </w:tc>
        <w:tc>
          <w:tcPr>
            <w:tcW w:w="217" w:type="dxa"/>
          </w:tcPr>
          <w:p w14:paraId="2A8B85AD" w14:textId="77777777" w:rsidR="002C0FD9" w:rsidRPr="00CA25CF" w:rsidRDefault="002C0FD9" w:rsidP="00CA25CF">
            <w:pPr>
              <w:rPr>
                <w:rFonts w:cs="Arial"/>
                <w:color w:val="FF0000"/>
                <w:sz w:val="21"/>
                <w:szCs w:val="21"/>
              </w:rPr>
            </w:pPr>
          </w:p>
        </w:tc>
        <w:tc>
          <w:tcPr>
            <w:tcW w:w="217" w:type="dxa"/>
          </w:tcPr>
          <w:p w14:paraId="4594033B" w14:textId="77777777" w:rsidR="002C0FD9" w:rsidRPr="00CA25CF" w:rsidRDefault="002C0FD9" w:rsidP="00CA25CF">
            <w:pPr>
              <w:rPr>
                <w:rFonts w:cs="Arial"/>
                <w:color w:val="FF0000"/>
                <w:sz w:val="21"/>
                <w:szCs w:val="21"/>
              </w:rPr>
            </w:pPr>
          </w:p>
        </w:tc>
        <w:tc>
          <w:tcPr>
            <w:tcW w:w="217" w:type="dxa"/>
          </w:tcPr>
          <w:p w14:paraId="5A4CCFEA" w14:textId="77777777" w:rsidR="002C0FD9" w:rsidRPr="00CA25CF" w:rsidRDefault="002C0FD9" w:rsidP="00CA25CF">
            <w:pPr>
              <w:rPr>
                <w:rFonts w:cs="Arial"/>
                <w:color w:val="FF0000"/>
                <w:sz w:val="21"/>
                <w:szCs w:val="21"/>
              </w:rPr>
            </w:pPr>
          </w:p>
        </w:tc>
        <w:tc>
          <w:tcPr>
            <w:tcW w:w="217" w:type="dxa"/>
          </w:tcPr>
          <w:p w14:paraId="4FD129E9" w14:textId="77777777" w:rsidR="002C0FD9" w:rsidRPr="00CA25CF" w:rsidRDefault="002C0FD9" w:rsidP="00CA25CF">
            <w:pPr>
              <w:rPr>
                <w:rFonts w:cs="Arial"/>
                <w:color w:val="FF0000"/>
                <w:sz w:val="21"/>
                <w:szCs w:val="21"/>
              </w:rPr>
            </w:pPr>
          </w:p>
        </w:tc>
        <w:tc>
          <w:tcPr>
            <w:tcW w:w="217" w:type="dxa"/>
          </w:tcPr>
          <w:p w14:paraId="2641AAAF" w14:textId="77777777" w:rsidR="002C0FD9" w:rsidRPr="00CA25CF" w:rsidRDefault="002C0FD9" w:rsidP="00CA25CF">
            <w:pPr>
              <w:rPr>
                <w:rFonts w:cs="Arial"/>
                <w:color w:val="FF0000"/>
                <w:sz w:val="21"/>
                <w:szCs w:val="21"/>
              </w:rPr>
            </w:pPr>
          </w:p>
        </w:tc>
        <w:tc>
          <w:tcPr>
            <w:tcW w:w="217" w:type="dxa"/>
          </w:tcPr>
          <w:p w14:paraId="403DC9A6" w14:textId="77777777" w:rsidR="002C0FD9" w:rsidRPr="00CA25CF" w:rsidRDefault="002C0FD9" w:rsidP="00CA25CF">
            <w:pPr>
              <w:rPr>
                <w:rFonts w:cs="Arial"/>
                <w:color w:val="FF0000"/>
                <w:sz w:val="21"/>
                <w:szCs w:val="21"/>
              </w:rPr>
            </w:pPr>
          </w:p>
        </w:tc>
        <w:tc>
          <w:tcPr>
            <w:tcW w:w="217" w:type="dxa"/>
          </w:tcPr>
          <w:p w14:paraId="1D6DC97C" w14:textId="77777777" w:rsidR="002C0FD9" w:rsidRPr="00CA25CF" w:rsidRDefault="002C0FD9" w:rsidP="00CA25CF">
            <w:pPr>
              <w:rPr>
                <w:rFonts w:cs="Arial"/>
                <w:color w:val="FF0000"/>
                <w:sz w:val="21"/>
                <w:szCs w:val="21"/>
              </w:rPr>
            </w:pPr>
          </w:p>
        </w:tc>
        <w:tc>
          <w:tcPr>
            <w:tcW w:w="217" w:type="dxa"/>
          </w:tcPr>
          <w:p w14:paraId="17D76E45" w14:textId="77777777" w:rsidR="002C0FD9" w:rsidRPr="00CA25CF" w:rsidRDefault="002C0FD9" w:rsidP="00CA25CF">
            <w:pPr>
              <w:rPr>
                <w:rFonts w:cs="Arial"/>
                <w:color w:val="FF0000"/>
                <w:sz w:val="21"/>
                <w:szCs w:val="21"/>
              </w:rPr>
            </w:pPr>
          </w:p>
        </w:tc>
        <w:tc>
          <w:tcPr>
            <w:tcW w:w="217" w:type="dxa"/>
          </w:tcPr>
          <w:p w14:paraId="3EAE06D6" w14:textId="77777777" w:rsidR="002C0FD9" w:rsidRPr="00CA25CF" w:rsidRDefault="002C0FD9" w:rsidP="00CA25CF">
            <w:pPr>
              <w:rPr>
                <w:rFonts w:cs="Arial"/>
                <w:color w:val="FF0000"/>
                <w:sz w:val="21"/>
                <w:szCs w:val="21"/>
              </w:rPr>
            </w:pPr>
          </w:p>
        </w:tc>
        <w:tc>
          <w:tcPr>
            <w:tcW w:w="217" w:type="dxa"/>
          </w:tcPr>
          <w:p w14:paraId="35491B4E" w14:textId="77777777" w:rsidR="002C0FD9" w:rsidRPr="00CA25CF" w:rsidRDefault="002C0FD9" w:rsidP="00CA25CF">
            <w:pPr>
              <w:rPr>
                <w:rFonts w:cs="Arial"/>
                <w:color w:val="FF0000"/>
                <w:sz w:val="21"/>
                <w:szCs w:val="21"/>
              </w:rPr>
            </w:pPr>
          </w:p>
        </w:tc>
        <w:tc>
          <w:tcPr>
            <w:tcW w:w="217" w:type="dxa"/>
          </w:tcPr>
          <w:p w14:paraId="50A957D3" w14:textId="77777777" w:rsidR="002C0FD9" w:rsidRPr="00CA25CF" w:rsidRDefault="002C0FD9" w:rsidP="00CA25CF">
            <w:pPr>
              <w:rPr>
                <w:rFonts w:cs="Arial"/>
                <w:color w:val="FF0000"/>
                <w:sz w:val="21"/>
                <w:szCs w:val="21"/>
              </w:rPr>
            </w:pPr>
          </w:p>
        </w:tc>
        <w:tc>
          <w:tcPr>
            <w:tcW w:w="217" w:type="dxa"/>
          </w:tcPr>
          <w:p w14:paraId="0B9B275A" w14:textId="77777777" w:rsidR="002C0FD9" w:rsidRPr="00CA25CF" w:rsidRDefault="002C0FD9" w:rsidP="00CA25CF">
            <w:pPr>
              <w:rPr>
                <w:rFonts w:cs="Arial"/>
                <w:color w:val="FF0000"/>
                <w:sz w:val="21"/>
                <w:szCs w:val="21"/>
              </w:rPr>
            </w:pPr>
          </w:p>
        </w:tc>
        <w:tc>
          <w:tcPr>
            <w:tcW w:w="217" w:type="dxa"/>
          </w:tcPr>
          <w:p w14:paraId="5A41582C" w14:textId="77777777" w:rsidR="002C0FD9" w:rsidRPr="00CA25CF" w:rsidRDefault="002C0FD9" w:rsidP="00CA25CF">
            <w:pPr>
              <w:rPr>
                <w:rFonts w:cs="Arial"/>
                <w:color w:val="FF0000"/>
                <w:sz w:val="21"/>
                <w:szCs w:val="21"/>
              </w:rPr>
            </w:pPr>
          </w:p>
        </w:tc>
        <w:tc>
          <w:tcPr>
            <w:tcW w:w="217" w:type="dxa"/>
          </w:tcPr>
          <w:p w14:paraId="17E07DD5" w14:textId="77777777" w:rsidR="002C0FD9" w:rsidRPr="00CA25CF" w:rsidRDefault="002C0FD9" w:rsidP="00CA25CF">
            <w:pPr>
              <w:rPr>
                <w:rFonts w:cs="Arial"/>
                <w:color w:val="FF0000"/>
                <w:sz w:val="21"/>
                <w:szCs w:val="21"/>
              </w:rPr>
            </w:pPr>
          </w:p>
        </w:tc>
        <w:tc>
          <w:tcPr>
            <w:tcW w:w="217" w:type="dxa"/>
          </w:tcPr>
          <w:p w14:paraId="1A4812CC" w14:textId="77777777" w:rsidR="002C0FD9" w:rsidRPr="00CA25CF" w:rsidRDefault="002C0FD9" w:rsidP="00CA25CF">
            <w:pPr>
              <w:rPr>
                <w:rFonts w:cs="Arial"/>
                <w:color w:val="FF0000"/>
                <w:sz w:val="21"/>
                <w:szCs w:val="21"/>
              </w:rPr>
            </w:pPr>
          </w:p>
        </w:tc>
        <w:tc>
          <w:tcPr>
            <w:tcW w:w="217" w:type="dxa"/>
          </w:tcPr>
          <w:p w14:paraId="5A05DB59" w14:textId="77777777" w:rsidR="002C0FD9" w:rsidRPr="00CA25CF" w:rsidRDefault="002C0FD9" w:rsidP="00CA25CF">
            <w:pPr>
              <w:rPr>
                <w:rFonts w:cs="Arial"/>
                <w:color w:val="FF0000"/>
                <w:sz w:val="21"/>
                <w:szCs w:val="21"/>
              </w:rPr>
            </w:pPr>
          </w:p>
        </w:tc>
        <w:tc>
          <w:tcPr>
            <w:tcW w:w="217" w:type="dxa"/>
          </w:tcPr>
          <w:p w14:paraId="2DBCCADC" w14:textId="77777777" w:rsidR="002C0FD9" w:rsidRPr="00CA25CF" w:rsidRDefault="002C0FD9" w:rsidP="00CA25CF">
            <w:pPr>
              <w:rPr>
                <w:rFonts w:cs="Arial"/>
                <w:color w:val="FF0000"/>
                <w:sz w:val="21"/>
                <w:szCs w:val="21"/>
              </w:rPr>
            </w:pPr>
          </w:p>
        </w:tc>
        <w:tc>
          <w:tcPr>
            <w:tcW w:w="217" w:type="dxa"/>
          </w:tcPr>
          <w:p w14:paraId="3EBF387B" w14:textId="77777777" w:rsidR="002C0FD9" w:rsidRPr="00CA25CF" w:rsidRDefault="002C0FD9" w:rsidP="00CA25CF">
            <w:pPr>
              <w:rPr>
                <w:rFonts w:cs="Arial"/>
                <w:color w:val="FF0000"/>
                <w:sz w:val="21"/>
                <w:szCs w:val="21"/>
              </w:rPr>
            </w:pPr>
          </w:p>
        </w:tc>
        <w:tc>
          <w:tcPr>
            <w:tcW w:w="217" w:type="dxa"/>
          </w:tcPr>
          <w:p w14:paraId="48E6A95D" w14:textId="77777777" w:rsidR="002C0FD9" w:rsidRPr="00CA25CF" w:rsidRDefault="002C0FD9" w:rsidP="00CA25CF">
            <w:pPr>
              <w:rPr>
                <w:rFonts w:cs="Arial"/>
                <w:color w:val="FF0000"/>
                <w:sz w:val="21"/>
                <w:szCs w:val="21"/>
              </w:rPr>
            </w:pPr>
          </w:p>
        </w:tc>
      </w:tr>
      <w:tr w:rsidR="002C0FD9" w:rsidRPr="00A16219" w14:paraId="2771E1FF" w14:textId="0BB60626" w:rsidTr="002C0FD9">
        <w:trPr>
          <w:trHeight w:val="635"/>
        </w:trPr>
        <w:tc>
          <w:tcPr>
            <w:tcW w:w="515" w:type="dxa"/>
          </w:tcPr>
          <w:p w14:paraId="6A91A634" w14:textId="77777777" w:rsidR="002C0FD9" w:rsidRPr="00CA25CF" w:rsidRDefault="002C0FD9" w:rsidP="00CA25CF">
            <w:pPr>
              <w:rPr>
                <w:rFonts w:cs="Arial"/>
                <w:color w:val="FF0000"/>
                <w:sz w:val="21"/>
                <w:szCs w:val="21"/>
              </w:rPr>
            </w:pPr>
          </w:p>
        </w:tc>
        <w:tc>
          <w:tcPr>
            <w:tcW w:w="217" w:type="dxa"/>
          </w:tcPr>
          <w:p w14:paraId="73182C53" w14:textId="77777777" w:rsidR="002C0FD9" w:rsidRPr="00CA25CF" w:rsidRDefault="002C0FD9" w:rsidP="00CA25CF">
            <w:pPr>
              <w:rPr>
                <w:rFonts w:cs="Arial"/>
                <w:color w:val="FF0000"/>
                <w:sz w:val="21"/>
                <w:szCs w:val="21"/>
              </w:rPr>
            </w:pPr>
          </w:p>
        </w:tc>
        <w:tc>
          <w:tcPr>
            <w:tcW w:w="217" w:type="dxa"/>
          </w:tcPr>
          <w:p w14:paraId="70A20157" w14:textId="4DBD52A4" w:rsidR="002C0FD9" w:rsidRPr="00CA25CF" w:rsidRDefault="002C0FD9" w:rsidP="00CA25CF">
            <w:pPr>
              <w:rPr>
                <w:rFonts w:cs="Arial"/>
                <w:color w:val="FF0000"/>
                <w:sz w:val="21"/>
                <w:szCs w:val="21"/>
              </w:rPr>
            </w:pPr>
          </w:p>
        </w:tc>
        <w:tc>
          <w:tcPr>
            <w:tcW w:w="217" w:type="dxa"/>
          </w:tcPr>
          <w:p w14:paraId="121A4864" w14:textId="77777777" w:rsidR="002C0FD9" w:rsidRPr="00CA25CF" w:rsidRDefault="002C0FD9" w:rsidP="00CA25CF">
            <w:pPr>
              <w:rPr>
                <w:rFonts w:cs="Arial"/>
                <w:color w:val="FF0000"/>
                <w:sz w:val="21"/>
                <w:szCs w:val="21"/>
              </w:rPr>
            </w:pPr>
          </w:p>
        </w:tc>
        <w:tc>
          <w:tcPr>
            <w:tcW w:w="217" w:type="dxa"/>
          </w:tcPr>
          <w:p w14:paraId="1557D975" w14:textId="77777777" w:rsidR="002C0FD9" w:rsidRPr="00CA25CF" w:rsidRDefault="002C0FD9" w:rsidP="00CA25CF">
            <w:pPr>
              <w:rPr>
                <w:rFonts w:cs="Arial"/>
                <w:color w:val="FF0000"/>
                <w:sz w:val="21"/>
                <w:szCs w:val="21"/>
              </w:rPr>
            </w:pPr>
          </w:p>
        </w:tc>
        <w:tc>
          <w:tcPr>
            <w:tcW w:w="217" w:type="dxa"/>
          </w:tcPr>
          <w:p w14:paraId="663E08A9" w14:textId="77777777" w:rsidR="002C0FD9" w:rsidRPr="00CA25CF" w:rsidRDefault="002C0FD9" w:rsidP="00CA25CF">
            <w:pPr>
              <w:rPr>
                <w:rFonts w:cs="Arial"/>
                <w:color w:val="FF0000"/>
                <w:sz w:val="21"/>
                <w:szCs w:val="21"/>
              </w:rPr>
            </w:pPr>
          </w:p>
        </w:tc>
        <w:tc>
          <w:tcPr>
            <w:tcW w:w="217" w:type="dxa"/>
          </w:tcPr>
          <w:p w14:paraId="74DF2D35" w14:textId="77777777" w:rsidR="002C0FD9" w:rsidRPr="00CA25CF" w:rsidRDefault="002C0FD9" w:rsidP="00CA25CF">
            <w:pPr>
              <w:rPr>
                <w:rFonts w:cs="Arial"/>
                <w:color w:val="FF0000"/>
                <w:sz w:val="21"/>
                <w:szCs w:val="21"/>
              </w:rPr>
            </w:pPr>
          </w:p>
        </w:tc>
        <w:tc>
          <w:tcPr>
            <w:tcW w:w="217" w:type="dxa"/>
          </w:tcPr>
          <w:p w14:paraId="30D64716" w14:textId="77777777" w:rsidR="002C0FD9" w:rsidRPr="00CA25CF" w:rsidRDefault="002C0FD9" w:rsidP="00CA25CF">
            <w:pPr>
              <w:rPr>
                <w:rFonts w:cs="Arial"/>
                <w:color w:val="FF0000"/>
                <w:sz w:val="21"/>
                <w:szCs w:val="21"/>
              </w:rPr>
            </w:pPr>
          </w:p>
        </w:tc>
        <w:tc>
          <w:tcPr>
            <w:tcW w:w="217" w:type="dxa"/>
          </w:tcPr>
          <w:p w14:paraId="6B981CE3" w14:textId="77777777" w:rsidR="002C0FD9" w:rsidRPr="00CA25CF" w:rsidRDefault="002C0FD9" w:rsidP="00CA25CF">
            <w:pPr>
              <w:rPr>
                <w:rFonts w:cs="Arial"/>
                <w:color w:val="FF0000"/>
                <w:sz w:val="21"/>
                <w:szCs w:val="21"/>
              </w:rPr>
            </w:pPr>
          </w:p>
        </w:tc>
        <w:tc>
          <w:tcPr>
            <w:tcW w:w="217" w:type="dxa"/>
          </w:tcPr>
          <w:p w14:paraId="45992893" w14:textId="77777777" w:rsidR="002C0FD9" w:rsidRPr="00CA25CF" w:rsidRDefault="002C0FD9" w:rsidP="00CA25CF">
            <w:pPr>
              <w:rPr>
                <w:rFonts w:cs="Arial"/>
                <w:color w:val="FF0000"/>
                <w:sz w:val="21"/>
                <w:szCs w:val="21"/>
              </w:rPr>
            </w:pPr>
          </w:p>
        </w:tc>
        <w:tc>
          <w:tcPr>
            <w:tcW w:w="217" w:type="dxa"/>
          </w:tcPr>
          <w:p w14:paraId="1FB66FD6" w14:textId="77777777" w:rsidR="002C0FD9" w:rsidRPr="00CA25CF" w:rsidRDefault="002C0FD9" w:rsidP="00CA25CF">
            <w:pPr>
              <w:rPr>
                <w:rFonts w:cs="Arial"/>
                <w:color w:val="FF0000"/>
                <w:sz w:val="21"/>
                <w:szCs w:val="21"/>
              </w:rPr>
            </w:pPr>
          </w:p>
        </w:tc>
        <w:tc>
          <w:tcPr>
            <w:tcW w:w="217" w:type="dxa"/>
          </w:tcPr>
          <w:p w14:paraId="34ED35D1" w14:textId="77777777" w:rsidR="002C0FD9" w:rsidRPr="00CA25CF" w:rsidRDefault="002C0FD9" w:rsidP="00CA25CF">
            <w:pPr>
              <w:rPr>
                <w:rFonts w:cs="Arial"/>
                <w:color w:val="FF0000"/>
                <w:sz w:val="21"/>
                <w:szCs w:val="21"/>
              </w:rPr>
            </w:pPr>
          </w:p>
        </w:tc>
        <w:tc>
          <w:tcPr>
            <w:tcW w:w="217" w:type="dxa"/>
          </w:tcPr>
          <w:p w14:paraId="0B365AEF" w14:textId="77777777" w:rsidR="002C0FD9" w:rsidRPr="00CA25CF" w:rsidRDefault="002C0FD9" w:rsidP="00CA25CF">
            <w:pPr>
              <w:rPr>
                <w:rFonts w:cs="Arial"/>
                <w:color w:val="FF0000"/>
                <w:sz w:val="21"/>
                <w:szCs w:val="21"/>
              </w:rPr>
            </w:pPr>
          </w:p>
        </w:tc>
        <w:tc>
          <w:tcPr>
            <w:tcW w:w="217" w:type="dxa"/>
          </w:tcPr>
          <w:p w14:paraId="3F4B4BA8" w14:textId="77777777" w:rsidR="002C0FD9" w:rsidRPr="00CA25CF" w:rsidRDefault="002C0FD9" w:rsidP="00CA25CF">
            <w:pPr>
              <w:rPr>
                <w:rFonts w:cs="Arial"/>
                <w:color w:val="FF0000"/>
                <w:sz w:val="21"/>
                <w:szCs w:val="21"/>
              </w:rPr>
            </w:pPr>
          </w:p>
        </w:tc>
        <w:tc>
          <w:tcPr>
            <w:tcW w:w="217" w:type="dxa"/>
          </w:tcPr>
          <w:p w14:paraId="46A234C9" w14:textId="77777777" w:rsidR="002C0FD9" w:rsidRPr="00CA25CF" w:rsidRDefault="002C0FD9" w:rsidP="00CA25CF">
            <w:pPr>
              <w:rPr>
                <w:rFonts w:cs="Arial"/>
                <w:color w:val="FF0000"/>
                <w:sz w:val="21"/>
                <w:szCs w:val="21"/>
              </w:rPr>
            </w:pPr>
          </w:p>
        </w:tc>
        <w:tc>
          <w:tcPr>
            <w:tcW w:w="217" w:type="dxa"/>
          </w:tcPr>
          <w:p w14:paraId="3A9EDFAE" w14:textId="73966470" w:rsidR="002C0FD9" w:rsidRPr="00CA25CF" w:rsidRDefault="002C0FD9" w:rsidP="00CA25CF">
            <w:pPr>
              <w:rPr>
                <w:rFonts w:cs="Arial"/>
                <w:color w:val="FF0000"/>
                <w:sz w:val="21"/>
                <w:szCs w:val="21"/>
              </w:rPr>
            </w:pPr>
          </w:p>
        </w:tc>
        <w:tc>
          <w:tcPr>
            <w:tcW w:w="217" w:type="dxa"/>
          </w:tcPr>
          <w:p w14:paraId="7BF7DF6A" w14:textId="77777777" w:rsidR="002C0FD9" w:rsidRPr="00CA25CF" w:rsidRDefault="002C0FD9" w:rsidP="00CA25CF">
            <w:pPr>
              <w:rPr>
                <w:rFonts w:cs="Arial"/>
                <w:color w:val="FF0000"/>
                <w:sz w:val="21"/>
                <w:szCs w:val="21"/>
              </w:rPr>
            </w:pPr>
          </w:p>
        </w:tc>
        <w:tc>
          <w:tcPr>
            <w:tcW w:w="217" w:type="dxa"/>
          </w:tcPr>
          <w:p w14:paraId="6F42D11A" w14:textId="77777777" w:rsidR="002C0FD9" w:rsidRPr="00CA25CF" w:rsidRDefault="002C0FD9" w:rsidP="00CA25CF">
            <w:pPr>
              <w:rPr>
                <w:rFonts w:cs="Arial"/>
                <w:color w:val="FF0000"/>
                <w:sz w:val="21"/>
                <w:szCs w:val="21"/>
              </w:rPr>
            </w:pPr>
          </w:p>
        </w:tc>
        <w:tc>
          <w:tcPr>
            <w:tcW w:w="217" w:type="dxa"/>
          </w:tcPr>
          <w:p w14:paraId="715CCC5A" w14:textId="77777777" w:rsidR="002C0FD9" w:rsidRPr="00CA25CF" w:rsidRDefault="002C0FD9" w:rsidP="00CA25CF">
            <w:pPr>
              <w:rPr>
                <w:rFonts w:cs="Arial"/>
                <w:color w:val="FF0000"/>
                <w:sz w:val="21"/>
                <w:szCs w:val="21"/>
              </w:rPr>
            </w:pPr>
          </w:p>
        </w:tc>
        <w:tc>
          <w:tcPr>
            <w:tcW w:w="217" w:type="dxa"/>
          </w:tcPr>
          <w:p w14:paraId="101886EB" w14:textId="77777777" w:rsidR="002C0FD9" w:rsidRPr="00CA25CF" w:rsidRDefault="002C0FD9" w:rsidP="00CA25CF">
            <w:pPr>
              <w:rPr>
                <w:rFonts w:cs="Arial"/>
                <w:color w:val="FF0000"/>
                <w:sz w:val="21"/>
                <w:szCs w:val="21"/>
              </w:rPr>
            </w:pPr>
          </w:p>
        </w:tc>
        <w:tc>
          <w:tcPr>
            <w:tcW w:w="217" w:type="dxa"/>
          </w:tcPr>
          <w:p w14:paraId="17FCA058" w14:textId="77777777" w:rsidR="002C0FD9" w:rsidRPr="00CA25CF" w:rsidRDefault="002C0FD9" w:rsidP="00CA25CF">
            <w:pPr>
              <w:rPr>
                <w:rFonts w:cs="Arial"/>
                <w:color w:val="FF0000"/>
                <w:sz w:val="21"/>
                <w:szCs w:val="21"/>
              </w:rPr>
            </w:pPr>
          </w:p>
        </w:tc>
        <w:tc>
          <w:tcPr>
            <w:tcW w:w="217" w:type="dxa"/>
          </w:tcPr>
          <w:p w14:paraId="51A00192" w14:textId="77777777" w:rsidR="002C0FD9" w:rsidRPr="00CA25CF" w:rsidRDefault="002C0FD9" w:rsidP="00CA25CF">
            <w:pPr>
              <w:rPr>
                <w:rFonts w:cs="Arial"/>
                <w:color w:val="FF0000"/>
                <w:sz w:val="21"/>
                <w:szCs w:val="21"/>
              </w:rPr>
            </w:pPr>
          </w:p>
        </w:tc>
        <w:tc>
          <w:tcPr>
            <w:tcW w:w="217" w:type="dxa"/>
          </w:tcPr>
          <w:p w14:paraId="61168BA3" w14:textId="77777777" w:rsidR="002C0FD9" w:rsidRPr="00CA25CF" w:rsidRDefault="002C0FD9" w:rsidP="00CA25CF">
            <w:pPr>
              <w:rPr>
                <w:rFonts w:cs="Arial"/>
                <w:color w:val="FF0000"/>
                <w:sz w:val="21"/>
                <w:szCs w:val="21"/>
              </w:rPr>
            </w:pPr>
          </w:p>
        </w:tc>
        <w:tc>
          <w:tcPr>
            <w:tcW w:w="217" w:type="dxa"/>
          </w:tcPr>
          <w:p w14:paraId="38F7D005" w14:textId="77777777" w:rsidR="002C0FD9" w:rsidRPr="00CA25CF" w:rsidRDefault="002C0FD9" w:rsidP="00CA25CF">
            <w:pPr>
              <w:rPr>
                <w:rFonts w:cs="Arial"/>
                <w:color w:val="FF0000"/>
                <w:sz w:val="21"/>
                <w:szCs w:val="21"/>
              </w:rPr>
            </w:pPr>
          </w:p>
        </w:tc>
        <w:tc>
          <w:tcPr>
            <w:tcW w:w="217" w:type="dxa"/>
          </w:tcPr>
          <w:p w14:paraId="15F4278F" w14:textId="77777777" w:rsidR="002C0FD9" w:rsidRPr="00CA25CF" w:rsidRDefault="002C0FD9" w:rsidP="00CA25CF">
            <w:pPr>
              <w:rPr>
                <w:rFonts w:cs="Arial"/>
                <w:color w:val="FF0000"/>
                <w:sz w:val="21"/>
                <w:szCs w:val="21"/>
              </w:rPr>
            </w:pPr>
          </w:p>
        </w:tc>
        <w:tc>
          <w:tcPr>
            <w:tcW w:w="217" w:type="dxa"/>
          </w:tcPr>
          <w:p w14:paraId="529E6753" w14:textId="77777777" w:rsidR="002C0FD9" w:rsidRPr="00CA25CF" w:rsidRDefault="002C0FD9" w:rsidP="00CA25CF">
            <w:pPr>
              <w:rPr>
                <w:rFonts w:cs="Arial"/>
                <w:color w:val="FF0000"/>
                <w:sz w:val="21"/>
                <w:szCs w:val="21"/>
              </w:rPr>
            </w:pPr>
          </w:p>
        </w:tc>
        <w:tc>
          <w:tcPr>
            <w:tcW w:w="217" w:type="dxa"/>
          </w:tcPr>
          <w:p w14:paraId="21EEB4D8" w14:textId="77777777" w:rsidR="002C0FD9" w:rsidRPr="00CA25CF" w:rsidRDefault="002C0FD9" w:rsidP="00CA25CF">
            <w:pPr>
              <w:rPr>
                <w:rFonts w:cs="Arial"/>
                <w:color w:val="FF0000"/>
                <w:sz w:val="21"/>
                <w:szCs w:val="21"/>
              </w:rPr>
            </w:pPr>
          </w:p>
        </w:tc>
        <w:tc>
          <w:tcPr>
            <w:tcW w:w="217" w:type="dxa"/>
          </w:tcPr>
          <w:p w14:paraId="5D9C8634" w14:textId="77777777" w:rsidR="002C0FD9" w:rsidRPr="00CA25CF" w:rsidRDefault="002C0FD9" w:rsidP="00CA25CF">
            <w:pPr>
              <w:rPr>
                <w:rFonts w:cs="Arial"/>
                <w:color w:val="FF0000"/>
                <w:sz w:val="21"/>
                <w:szCs w:val="21"/>
              </w:rPr>
            </w:pPr>
          </w:p>
        </w:tc>
        <w:tc>
          <w:tcPr>
            <w:tcW w:w="217" w:type="dxa"/>
          </w:tcPr>
          <w:p w14:paraId="58D55A85" w14:textId="77777777" w:rsidR="002C0FD9" w:rsidRPr="00CA25CF" w:rsidRDefault="002C0FD9" w:rsidP="00CA25CF">
            <w:pPr>
              <w:rPr>
                <w:rFonts w:cs="Arial"/>
                <w:color w:val="FF0000"/>
                <w:sz w:val="21"/>
                <w:szCs w:val="21"/>
              </w:rPr>
            </w:pPr>
          </w:p>
        </w:tc>
        <w:tc>
          <w:tcPr>
            <w:tcW w:w="217" w:type="dxa"/>
          </w:tcPr>
          <w:p w14:paraId="0BFE9429" w14:textId="77777777" w:rsidR="002C0FD9" w:rsidRPr="00CA25CF" w:rsidRDefault="002C0FD9" w:rsidP="00CA25CF">
            <w:pPr>
              <w:rPr>
                <w:rFonts w:cs="Arial"/>
                <w:color w:val="FF0000"/>
                <w:sz w:val="21"/>
                <w:szCs w:val="21"/>
              </w:rPr>
            </w:pPr>
          </w:p>
        </w:tc>
        <w:tc>
          <w:tcPr>
            <w:tcW w:w="217" w:type="dxa"/>
          </w:tcPr>
          <w:p w14:paraId="40869554" w14:textId="77777777" w:rsidR="002C0FD9" w:rsidRPr="00CA25CF" w:rsidRDefault="002C0FD9" w:rsidP="00CA25CF">
            <w:pPr>
              <w:rPr>
                <w:rFonts w:cs="Arial"/>
                <w:color w:val="FF0000"/>
                <w:sz w:val="21"/>
                <w:szCs w:val="21"/>
              </w:rPr>
            </w:pPr>
          </w:p>
        </w:tc>
        <w:tc>
          <w:tcPr>
            <w:tcW w:w="217" w:type="dxa"/>
          </w:tcPr>
          <w:p w14:paraId="061B8658" w14:textId="77777777" w:rsidR="002C0FD9" w:rsidRPr="00CA25CF" w:rsidRDefault="002C0FD9" w:rsidP="00CA25CF">
            <w:pPr>
              <w:rPr>
                <w:rFonts w:cs="Arial"/>
                <w:color w:val="FF0000"/>
                <w:sz w:val="21"/>
                <w:szCs w:val="21"/>
              </w:rPr>
            </w:pPr>
          </w:p>
        </w:tc>
        <w:tc>
          <w:tcPr>
            <w:tcW w:w="217" w:type="dxa"/>
          </w:tcPr>
          <w:p w14:paraId="68FD94BD" w14:textId="77777777" w:rsidR="002C0FD9" w:rsidRPr="00CA25CF" w:rsidRDefault="002C0FD9" w:rsidP="00CA25CF">
            <w:pPr>
              <w:rPr>
                <w:rFonts w:cs="Arial"/>
                <w:color w:val="FF0000"/>
                <w:sz w:val="21"/>
                <w:szCs w:val="21"/>
              </w:rPr>
            </w:pPr>
          </w:p>
        </w:tc>
        <w:tc>
          <w:tcPr>
            <w:tcW w:w="217" w:type="dxa"/>
          </w:tcPr>
          <w:p w14:paraId="63400E65" w14:textId="77777777" w:rsidR="002C0FD9" w:rsidRPr="00CA25CF" w:rsidRDefault="002C0FD9" w:rsidP="00CA25CF">
            <w:pPr>
              <w:rPr>
                <w:rFonts w:cs="Arial"/>
                <w:color w:val="FF0000"/>
                <w:sz w:val="21"/>
                <w:szCs w:val="21"/>
              </w:rPr>
            </w:pPr>
          </w:p>
        </w:tc>
        <w:tc>
          <w:tcPr>
            <w:tcW w:w="217" w:type="dxa"/>
          </w:tcPr>
          <w:p w14:paraId="2B751C93" w14:textId="77777777" w:rsidR="002C0FD9" w:rsidRPr="00CA25CF" w:rsidRDefault="002C0FD9" w:rsidP="00CA25CF">
            <w:pPr>
              <w:rPr>
                <w:rFonts w:cs="Arial"/>
                <w:color w:val="FF0000"/>
                <w:sz w:val="21"/>
                <w:szCs w:val="21"/>
              </w:rPr>
            </w:pPr>
          </w:p>
        </w:tc>
        <w:tc>
          <w:tcPr>
            <w:tcW w:w="217" w:type="dxa"/>
          </w:tcPr>
          <w:p w14:paraId="46D5EBC0" w14:textId="77777777" w:rsidR="002C0FD9" w:rsidRPr="00CA25CF" w:rsidRDefault="002C0FD9" w:rsidP="00CA25CF">
            <w:pPr>
              <w:rPr>
                <w:rFonts w:cs="Arial"/>
                <w:color w:val="FF0000"/>
                <w:sz w:val="21"/>
                <w:szCs w:val="21"/>
              </w:rPr>
            </w:pPr>
          </w:p>
        </w:tc>
        <w:tc>
          <w:tcPr>
            <w:tcW w:w="217" w:type="dxa"/>
          </w:tcPr>
          <w:p w14:paraId="17C1EF02" w14:textId="77777777" w:rsidR="002C0FD9" w:rsidRPr="00CA25CF" w:rsidRDefault="002C0FD9" w:rsidP="00CA25CF">
            <w:pPr>
              <w:rPr>
                <w:rFonts w:cs="Arial"/>
                <w:color w:val="FF0000"/>
                <w:sz w:val="21"/>
                <w:szCs w:val="21"/>
              </w:rPr>
            </w:pPr>
          </w:p>
        </w:tc>
        <w:tc>
          <w:tcPr>
            <w:tcW w:w="217" w:type="dxa"/>
          </w:tcPr>
          <w:p w14:paraId="05FAD36E" w14:textId="77777777" w:rsidR="002C0FD9" w:rsidRPr="00CA25CF" w:rsidRDefault="002C0FD9" w:rsidP="00CA25CF">
            <w:pPr>
              <w:rPr>
                <w:rFonts w:cs="Arial"/>
                <w:color w:val="FF0000"/>
                <w:sz w:val="21"/>
                <w:szCs w:val="21"/>
              </w:rPr>
            </w:pPr>
          </w:p>
        </w:tc>
        <w:tc>
          <w:tcPr>
            <w:tcW w:w="217" w:type="dxa"/>
          </w:tcPr>
          <w:p w14:paraId="028DE32E" w14:textId="77777777" w:rsidR="002C0FD9" w:rsidRPr="00CA25CF" w:rsidRDefault="002C0FD9" w:rsidP="00CA25CF">
            <w:pPr>
              <w:rPr>
                <w:rFonts w:cs="Arial"/>
                <w:color w:val="FF0000"/>
                <w:sz w:val="21"/>
                <w:szCs w:val="21"/>
              </w:rPr>
            </w:pPr>
          </w:p>
        </w:tc>
        <w:tc>
          <w:tcPr>
            <w:tcW w:w="217" w:type="dxa"/>
          </w:tcPr>
          <w:p w14:paraId="18510260" w14:textId="77777777" w:rsidR="002C0FD9" w:rsidRPr="00CA25CF" w:rsidRDefault="002C0FD9" w:rsidP="00CA25CF">
            <w:pPr>
              <w:rPr>
                <w:rFonts w:cs="Arial"/>
                <w:color w:val="FF0000"/>
                <w:sz w:val="21"/>
                <w:szCs w:val="21"/>
              </w:rPr>
            </w:pPr>
          </w:p>
        </w:tc>
        <w:tc>
          <w:tcPr>
            <w:tcW w:w="217" w:type="dxa"/>
          </w:tcPr>
          <w:p w14:paraId="76D4EC39" w14:textId="77777777" w:rsidR="002C0FD9" w:rsidRPr="00CA25CF" w:rsidRDefault="002C0FD9" w:rsidP="00CA25CF">
            <w:pPr>
              <w:rPr>
                <w:rFonts w:cs="Arial"/>
                <w:color w:val="FF0000"/>
                <w:sz w:val="21"/>
                <w:szCs w:val="21"/>
              </w:rPr>
            </w:pPr>
          </w:p>
        </w:tc>
        <w:tc>
          <w:tcPr>
            <w:tcW w:w="217" w:type="dxa"/>
          </w:tcPr>
          <w:p w14:paraId="61774542" w14:textId="77777777" w:rsidR="002C0FD9" w:rsidRPr="00CA25CF" w:rsidRDefault="002C0FD9" w:rsidP="00CA25CF">
            <w:pPr>
              <w:rPr>
                <w:rFonts w:cs="Arial"/>
                <w:color w:val="FF0000"/>
                <w:sz w:val="21"/>
                <w:szCs w:val="21"/>
              </w:rPr>
            </w:pPr>
          </w:p>
        </w:tc>
        <w:tc>
          <w:tcPr>
            <w:tcW w:w="217" w:type="dxa"/>
          </w:tcPr>
          <w:p w14:paraId="37A8ED3D" w14:textId="77777777" w:rsidR="002C0FD9" w:rsidRPr="00CA25CF" w:rsidRDefault="002C0FD9" w:rsidP="00CA25CF">
            <w:pPr>
              <w:rPr>
                <w:rFonts w:cs="Arial"/>
                <w:color w:val="FF0000"/>
                <w:sz w:val="21"/>
                <w:szCs w:val="21"/>
              </w:rPr>
            </w:pPr>
          </w:p>
        </w:tc>
      </w:tr>
      <w:tr w:rsidR="002C0FD9" w:rsidRPr="00A16219" w14:paraId="0D1A366A" w14:textId="4B56C001" w:rsidTr="002C0FD9">
        <w:trPr>
          <w:trHeight w:val="635"/>
        </w:trPr>
        <w:tc>
          <w:tcPr>
            <w:tcW w:w="515" w:type="dxa"/>
          </w:tcPr>
          <w:p w14:paraId="56F7C6A8" w14:textId="77777777" w:rsidR="002C0FD9" w:rsidRPr="00CA25CF" w:rsidRDefault="002C0FD9" w:rsidP="00CA25CF">
            <w:pPr>
              <w:rPr>
                <w:rFonts w:cs="Arial"/>
                <w:color w:val="FF0000"/>
                <w:sz w:val="21"/>
                <w:szCs w:val="21"/>
              </w:rPr>
            </w:pPr>
          </w:p>
        </w:tc>
        <w:tc>
          <w:tcPr>
            <w:tcW w:w="217" w:type="dxa"/>
          </w:tcPr>
          <w:p w14:paraId="66A8A867" w14:textId="77777777" w:rsidR="002C0FD9" w:rsidRPr="00CA25CF" w:rsidRDefault="002C0FD9" w:rsidP="00CA25CF">
            <w:pPr>
              <w:rPr>
                <w:rFonts w:cs="Arial"/>
                <w:color w:val="FF0000"/>
                <w:sz w:val="21"/>
                <w:szCs w:val="21"/>
              </w:rPr>
            </w:pPr>
          </w:p>
        </w:tc>
        <w:tc>
          <w:tcPr>
            <w:tcW w:w="217" w:type="dxa"/>
          </w:tcPr>
          <w:p w14:paraId="7A8CFEC2" w14:textId="1972DD83" w:rsidR="002C0FD9" w:rsidRPr="00CA25CF" w:rsidRDefault="002C0FD9" w:rsidP="00CA25CF">
            <w:pPr>
              <w:rPr>
                <w:rFonts w:cs="Arial"/>
                <w:color w:val="FF0000"/>
                <w:sz w:val="21"/>
                <w:szCs w:val="21"/>
              </w:rPr>
            </w:pPr>
          </w:p>
        </w:tc>
        <w:tc>
          <w:tcPr>
            <w:tcW w:w="217" w:type="dxa"/>
          </w:tcPr>
          <w:p w14:paraId="0E164F9E" w14:textId="77777777" w:rsidR="002C0FD9" w:rsidRPr="00CA25CF" w:rsidRDefault="002C0FD9" w:rsidP="00CA25CF">
            <w:pPr>
              <w:rPr>
                <w:rFonts w:cs="Arial"/>
                <w:color w:val="FF0000"/>
                <w:sz w:val="21"/>
                <w:szCs w:val="21"/>
              </w:rPr>
            </w:pPr>
          </w:p>
        </w:tc>
        <w:tc>
          <w:tcPr>
            <w:tcW w:w="217" w:type="dxa"/>
          </w:tcPr>
          <w:p w14:paraId="08F90C89" w14:textId="77777777" w:rsidR="002C0FD9" w:rsidRPr="00CA25CF" w:rsidRDefault="002C0FD9" w:rsidP="00CA25CF">
            <w:pPr>
              <w:rPr>
                <w:rFonts w:cs="Arial"/>
                <w:color w:val="FF0000"/>
                <w:sz w:val="21"/>
                <w:szCs w:val="21"/>
              </w:rPr>
            </w:pPr>
          </w:p>
        </w:tc>
        <w:tc>
          <w:tcPr>
            <w:tcW w:w="217" w:type="dxa"/>
          </w:tcPr>
          <w:p w14:paraId="556296B8" w14:textId="77777777" w:rsidR="002C0FD9" w:rsidRPr="00CA25CF" w:rsidRDefault="002C0FD9" w:rsidP="00CA25CF">
            <w:pPr>
              <w:rPr>
                <w:rFonts w:cs="Arial"/>
                <w:color w:val="FF0000"/>
                <w:sz w:val="21"/>
                <w:szCs w:val="21"/>
              </w:rPr>
            </w:pPr>
          </w:p>
        </w:tc>
        <w:tc>
          <w:tcPr>
            <w:tcW w:w="217" w:type="dxa"/>
          </w:tcPr>
          <w:p w14:paraId="423CFE77" w14:textId="77777777" w:rsidR="002C0FD9" w:rsidRPr="00CA25CF" w:rsidRDefault="002C0FD9" w:rsidP="00CA25CF">
            <w:pPr>
              <w:rPr>
                <w:rFonts w:cs="Arial"/>
                <w:color w:val="FF0000"/>
                <w:sz w:val="21"/>
                <w:szCs w:val="21"/>
              </w:rPr>
            </w:pPr>
          </w:p>
        </w:tc>
        <w:tc>
          <w:tcPr>
            <w:tcW w:w="217" w:type="dxa"/>
          </w:tcPr>
          <w:p w14:paraId="38FAEB1B" w14:textId="77777777" w:rsidR="002C0FD9" w:rsidRPr="00CA25CF" w:rsidRDefault="002C0FD9" w:rsidP="00CA25CF">
            <w:pPr>
              <w:rPr>
                <w:rFonts w:cs="Arial"/>
                <w:color w:val="FF0000"/>
                <w:sz w:val="21"/>
                <w:szCs w:val="21"/>
              </w:rPr>
            </w:pPr>
          </w:p>
        </w:tc>
        <w:tc>
          <w:tcPr>
            <w:tcW w:w="217" w:type="dxa"/>
          </w:tcPr>
          <w:p w14:paraId="410C42A0" w14:textId="77777777" w:rsidR="002C0FD9" w:rsidRPr="00CA25CF" w:rsidRDefault="002C0FD9" w:rsidP="00CA25CF">
            <w:pPr>
              <w:rPr>
                <w:rFonts w:cs="Arial"/>
                <w:color w:val="FF0000"/>
                <w:sz w:val="21"/>
                <w:szCs w:val="21"/>
              </w:rPr>
            </w:pPr>
          </w:p>
        </w:tc>
        <w:tc>
          <w:tcPr>
            <w:tcW w:w="217" w:type="dxa"/>
          </w:tcPr>
          <w:p w14:paraId="0E64D1CA" w14:textId="77777777" w:rsidR="002C0FD9" w:rsidRPr="00CA25CF" w:rsidRDefault="002C0FD9" w:rsidP="00CA25CF">
            <w:pPr>
              <w:rPr>
                <w:rFonts w:cs="Arial"/>
                <w:color w:val="FF0000"/>
                <w:sz w:val="21"/>
                <w:szCs w:val="21"/>
              </w:rPr>
            </w:pPr>
          </w:p>
        </w:tc>
        <w:tc>
          <w:tcPr>
            <w:tcW w:w="217" w:type="dxa"/>
          </w:tcPr>
          <w:p w14:paraId="4CD0E7CE" w14:textId="77777777" w:rsidR="002C0FD9" w:rsidRPr="00CA25CF" w:rsidRDefault="002C0FD9" w:rsidP="00CA25CF">
            <w:pPr>
              <w:rPr>
                <w:rFonts w:cs="Arial"/>
                <w:color w:val="FF0000"/>
                <w:sz w:val="21"/>
                <w:szCs w:val="21"/>
              </w:rPr>
            </w:pPr>
          </w:p>
        </w:tc>
        <w:tc>
          <w:tcPr>
            <w:tcW w:w="217" w:type="dxa"/>
          </w:tcPr>
          <w:p w14:paraId="0559B73C" w14:textId="77777777" w:rsidR="002C0FD9" w:rsidRPr="00CA25CF" w:rsidRDefault="002C0FD9" w:rsidP="00CA25CF">
            <w:pPr>
              <w:rPr>
                <w:rFonts w:cs="Arial"/>
                <w:color w:val="FF0000"/>
                <w:sz w:val="21"/>
                <w:szCs w:val="21"/>
              </w:rPr>
            </w:pPr>
          </w:p>
        </w:tc>
        <w:tc>
          <w:tcPr>
            <w:tcW w:w="217" w:type="dxa"/>
          </w:tcPr>
          <w:p w14:paraId="5DD733C4" w14:textId="77777777" w:rsidR="002C0FD9" w:rsidRPr="00CA25CF" w:rsidRDefault="002C0FD9" w:rsidP="00CA25CF">
            <w:pPr>
              <w:rPr>
                <w:rFonts w:cs="Arial"/>
                <w:color w:val="FF0000"/>
                <w:sz w:val="21"/>
                <w:szCs w:val="21"/>
              </w:rPr>
            </w:pPr>
          </w:p>
        </w:tc>
        <w:tc>
          <w:tcPr>
            <w:tcW w:w="217" w:type="dxa"/>
          </w:tcPr>
          <w:p w14:paraId="23E9BE2C" w14:textId="77777777" w:rsidR="002C0FD9" w:rsidRPr="00CA25CF" w:rsidRDefault="002C0FD9" w:rsidP="00CA25CF">
            <w:pPr>
              <w:rPr>
                <w:rFonts w:cs="Arial"/>
                <w:color w:val="FF0000"/>
                <w:sz w:val="21"/>
                <w:szCs w:val="21"/>
              </w:rPr>
            </w:pPr>
          </w:p>
        </w:tc>
        <w:tc>
          <w:tcPr>
            <w:tcW w:w="217" w:type="dxa"/>
          </w:tcPr>
          <w:p w14:paraId="59315AE6" w14:textId="77777777" w:rsidR="002C0FD9" w:rsidRPr="00CA25CF" w:rsidRDefault="002C0FD9" w:rsidP="00CA25CF">
            <w:pPr>
              <w:rPr>
                <w:rFonts w:cs="Arial"/>
                <w:color w:val="FF0000"/>
                <w:sz w:val="21"/>
                <w:szCs w:val="21"/>
              </w:rPr>
            </w:pPr>
          </w:p>
        </w:tc>
        <w:tc>
          <w:tcPr>
            <w:tcW w:w="217" w:type="dxa"/>
          </w:tcPr>
          <w:p w14:paraId="56E50B8C" w14:textId="18C462BA" w:rsidR="002C0FD9" w:rsidRPr="00CA25CF" w:rsidRDefault="002C0FD9" w:rsidP="00CA25CF">
            <w:pPr>
              <w:rPr>
                <w:rFonts w:cs="Arial"/>
                <w:color w:val="FF0000"/>
                <w:sz w:val="21"/>
                <w:szCs w:val="21"/>
              </w:rPr>
            </w:pPr>
          </w:p>
        </w:tc>
        <w:tc>
          <w:tcPr>
            <w:tcW w:w="217" w:type="dxa"/>
          </w:tcPr>
          <w:p w14:paraId="2BF8CD2E" w14:textId="77777777" w:rsidR="002C0FD9" w:rsidRPr="00CA25CF" w:rsidRDefault="002C0FD9" w:rsidP="00CA25CF">
            <w:pPr>
              <w:rPr>
                <w:rFonts w:cs="Arial"/>
                <w:color w:val="FF0000"/>
                <w:sz w:val="21"/>
                <w:szCs w:val="21"/>
              </w:rPr>
            </w:pPr>
          </w:p>
        </w:tc>
        <w:tc>
          <w:tcPr>
            <w:tcW w:w="217" w:type="dxa"/>
          </w:tcPr>
          <w:p w14:paraId="02E436F4" w14:textId="77777777" w:rsidR="002C0FD9" w:rsidRPr="00CA25CF" w:rsidRDefault="002C0FD9" w:rsidP="00CA25CF">
            <w:pPr>
              <w:rPr>
                <w:rFonts w:cs="Arial"/>
                <w:color w:val="FF0000"/>
                <w:sz w:val="21"/>
                <w:szCs w:val="21"/>
              </w:rPr>
            </w:pPr>
          </w:p>
        </w:tc>
        <w:tc>
          <w:tcPr>
            <w:tcW w:w="217" w:type="dxa"/>
          </w:tcPr>
          <w:p w14:paraId="081CEEEF" w14:textId="77777777" w:rsidR="002C0FD9" w:rsidRPr="00CA25CF" w:rsidRDefault="002C0FD9" w:rsidP="00CA25CF">
            <w:pPr>
              <w:rPr>
                <w:rFonts w:cs="Arial"/>
                <w:color w:val="FF0000"/>
                <w:sz w:val="21"/>
                <w:szCs w:val="21"/>
              </w:rPr>
            </w:pPr>
          </w:p>
        </w:tc>
        <w:tc>
          <w:tcPr>
            <w:tcW w:w="217" w:type="dxa"/>
          </w:tcPr>
          <w:p w14:paraId="5906F475" w14:textId="77777777" w:rsidR="002C0FD9" w:rsidRPr="00CA25CF" w:rsidRDefault="002C0FD9" w:rsidP="00CA25CF">
            <w:pPr>
              <w:rPr>
                <w:rFonts w:cs="Arial"/>
                <w:color w:val="FF0000"/>
                <w:sz w:val="21"/>
                <w:szCs w:val="21"/>
              </w:rPr>
            </w:pPr>
          </w:p>
        </w:tc>
        <w:tc>
          <w:tcPr>
            <w:tcW w:w="217" w:type="dxa"/>
          </w:tcPr>
          <w:p w14:paraId="7ADD0EB9" w14:textId="77777777" w:rsidR="002C0FD9" w:rsidRPr="00CA25CF" w:rsidRDefault="002C0FD9" w:rsidP="00CA25CF">
            <w:pPr>
              <w:rPr>
                <w:rFonts w:cs="Arial"/>
                <w:color w:val="FF0000"/>
                <w:sz w:val="21"/>
                <w:szCs w:val="21"/>
              </w:rPr>
            </w:pPr>
          </w:p>
        </w:tc>
        <w:tc>
          <w:tcPr>
            <w:tcW w:w="217" w:type="dxa"/>
          </w:tcPr>
          <w:p w14:paraId="0D8AC526" w14:textId="77777777" w:rsidR="002C0FD9" w:rsidRPr="00CA25CF" w:rsidRDefault="002C0FD9" w:rsidP="00CA25CF">
            <w:pPr>
              <w:rPr>
                <w:rFonts w:cs="Arial"/>
                <w:color w:val="FF0000"/>
                <w:sz w:val="21"/>
                <w:szCs w:val="21"/>
              </w:rPr>
            </w:pPr>
          </w:p>
        </w:tc>
        <w:tc>
          <w:tcPr>
            <w:tcW w:w="217" w:type="dxa"/>
          </w:tcPr>
          <w:p w14:paraId="5A10CE23" w14:textId="77777777" w:rsidR="002C0FD9" w:rsidRPr="00CA25CF" w:rsidRDefault="002C0FD9" w:rsidP="00CA25CF">
            <w:pPr>
              <w:rPr>
                <w:rFonts w:cs="Arial"/>
                <w:color w:val="FF0000"/>
                <w:sz w:val="21"/>
                <w:szCs w:val="21"/>
              </w:rPr>
            </w:pPr>
          </w:p>
        </w:tc>
        <w:tc>
          <w:tcPr>
            <w:tcW w:w="217" w:type="dxa"/>
          </w:tcPr>
          <w:p w14:paraId="51C10482" w14:textId="77777777" w:rsidR="002C0FD9" w:rsidRPr="00CA25CF" w:rsidRDefault="002C0FD9" w:rsidP="00CA25CF">
            <w:pPr>
              <w:rPr>
                <w:rFonts w:cs="Arial"/>
                <w:color w:val="FF0000"/>
                <w:sz w:val="21"/>
                <w:szCs w:val="21"/>
              </w:rPr>
            </w:pPr>
          </w:p>
        </w:tc>
        <w:tc>
          <w:tcPr>
            <w:tcW w:w="217" w:type="dxa"/>
          </w:tcPr>
          <w:p w14:paraId="74D6C95D" w14:textId="77777777" w:rsidR="002C0FD9" w:rsidRPr="00CA25CF" w:rsidRDefault="002C0FD9" w:rsidP="00CA25CF">
            <w:pPr>
              <w:rPr>
                <w:rFonts w:cs="Arial"/>
                <w:color w:val="FF0000"/>
                <w:sz w:val="21"/>
                <w:szCs w:val="21"/>
              </w:rPr>
            </w:pPr>
          </w:p>
        </w:tc>
        <w:tc>
          <w:tcPr>
            <w:tcW w:w="217" w:type="dxa"/>
          </w:tcPr>
          <w:p w14:paraId="6EF7E254" w14:textId="77777777" w:rsidR="002C0FD9" w:rsidRPr="00CA25CF" w:rsidRDefault="002C0FD9" w:rsidP="00CA25CF">
            <w:pPr>
              <w:rPr>
                <w:rFonts w:cs="Arial"/>
                <w:color w:val="FF0000"/>
                <w:sz w:val="21"/>
                <w:szCs w:val="21"/>
              </w:rPr>
            </w:pPr>
          </w:p>
        </w:tc>
        <w:tc>
          <w:tcPr>
            <w:tcW w:w="217" w:type="dxa"/>
          </w:tcPr>
          <w:p w14:paraId="36B29FC9" w14:textId="77777777" w:rsidR="002C0FD9" w:rsidRPr="00CA25CF" w:rsidRDefault="002C0FD9" w:rsidP="00CA25CF">
            <w:pPr>
              <w:rPr>
                <w:rFonts w:cs="Arial"/>
                <w:color w:val="FF0000"/>
                <w:sz w:val="21"/>
                <w:szCs w:val="21"/>
              </w:rPr>
            </w:pPr>
          </w:p>
        </w:tc>
        <w:tc>
          <w:tcPr>
            <w:tcW w:w="217" w:type="dxa"/>
          </w:tcPr>
          <w:p w14:paraId="7DA8B1D1" w14:textId="77777777" w:rsidR="002C0FD9" w:rsidRPr="00CA25CF" w:rsidRDefault="002C0FD9" w:rsidP="00CA25CF">
            <w:pPr>
              <w:rPr>
                <w:rFonts w:cs="Arial"/>
                <w:color w:val="FF0000"/>
                <w:sz w:val="21"/>
                <w:szCs w:val="21"/>
              </w:rPr>
            </w:pPr>
          </w:p>
        </w:tc>
        <w:tc>
          <w:tcPr>
            <w:tcW w:w="217" w:type="dxa"/>
          </w:tcPr>
          <w:p w14:paraId="4BBA89EC" w14:textId="77777777" w:rsidR="002C0FD9" w:rsidRPr="00CA25CF" w:rsidRDefault="002C0FD9" w:rsidP="00CA25CF">
            <w:pPr>
              <w:rPr>
                <w:rFonts w:cs="Arial"/>
                <w:color w:val="FF0000"/>
                <w:sz w:val="21"/>
                <w:szCs w:val="21"/>
              </w:rPr>
            </w:pPr>
          </w:p>
        </w:tc>
        <w:tc>
          <w:tcPr>
            <w:tcW w:w="217" w:type="dxa"/>
          </w:tcPr>
          <w:p w14:paraId="4E4A0B42" w14:textId="77777777" w:rsidR="002C0FD9" w:rsidRPr="00CA25CF" w:rsidRDefault="002C0FD9" w:rsidP="00CA25CF">
            <w:pPr>
              <w:rPr>
                <w:rFonts w:cs="Arial"/>
                <w:color w:val="FF0000"/>
                <w:sz w:val="21"/>
                <w:szCs w:val="21"/>
              </w:rPr>
            </w:pPr>
          </w:p>
        </w:tc>
        <w:tc>
          <w:tcPr>
            <w:tcW w:w="217" w:type="dxa"/>
          </w:tcPr>
          <w:p w14:paraId="099ECBBB" w14:textId="77777777" w:rsidR="002C0FD9" w:rsidRPr="00CA25CF" w:rsidRDefault="002C0FD9" w:rsidP="00CA25CF">
            <w:pPr>
              <w:rPr>
                <w:rFonts w:cs="Arial"/>
                <w:color w:val="FF0000"/>
                <w:sz w:val="21"/>
                <w:szCs w:val="21"/>
              </w:rPr>
            </w:pPr>
          </w:p>
        </w:tc>
        <w:tc>
          <w:tcPr>
            <w:tcW w:w="217" w:type="dxa"/>
          </w:tcPr>
          <w:p w14:paraId="2BFA75DD" w14:textId="77777777" w:rsidR="002C0FD9" w:rsidRPr="00CA25CF" w:rsidRDefault="002C0FD9" w:rsidP="00CA25CF">
            <w:pPr>
              <w:rPr>
                <w:rFonts w:cs="Arial"/>
                <w:color w:val="FF0000"/>
                <w:sz w:val="21"/>
                <w:szCs w:val="21"/>
              </w:rPr>
            </w:pPr>
          </w:p>
        </w:tc>
        <w:tc>
          <w:tcPr>
            <w:tcW w:w="217" w:type="dxa"/>
          </w:tcPr>
          <w:p w14:paraId="42886A37" w14:textId="77777777" w:rsidR="002C0FD9" w:rsidRPr="00CA25CF" w:rsidRDefault="002C0FD9" w:rsidP="00CA25CF">
            <w:pPr>
              <w:rPr>
                <w:rFonts w:cs="Arial"/>
                <w:color w:val="FF0000"/>
                <w:sz w:val="21"/>
                <w:szCs w:val="21"/>
              </w:rPr>
            </w:pPr>
          </w:p>
        </w:tc>
        <w:tc>
          <w:tcPr>
            <w:tcW w:w="217" w:type="dxa"/>
          </w:tcPr>
          <w:p w14:paraId="065F8C09" w14:textId="77777777" w:rsidR="002C0FD9" w:rsidRPr="00CA25CF" w:rsidRDefault="002C0FD9" w:rsidP="00CA25CF">
            <w:pPr>
              <w:rPr>
                <w:rFonts w:cs="Arial"/>
                <w:color w:val="FF0000"/>
                <w:sz w:val="21"/>
                <w:szCs w:val="21"/>
              </w:rPr>
            </w:pPr>
          </w:p>
        </w:tc>
        <w:tc>
          <w:tcPr>
            <w:tcW w:w="217" w:type="dxa"/>
          </w:tcPr>
          <w:p w14:paraId="1A8BF6C2" w14:textId="77777777" w:rsidR="002C0FD9" w:rsidRPr="00CA25CF" w:rsidRDefault="002C0FD9" w:rsidP="00CA25CF">
            <w:pPr>
              <w:rPr>
                <w:rFonts w:cs="Arial"/>
                <w:color w:val="FF0000"/>
                <w:sz w:val="21"/>
                <w:szCs w:val="21"/>
              </w:rPr>
            </w:pPr>
          </w:p>
        </w:tc>
        <w:tc>
          <w:tcPr>
            <w:tcW w:w="217" w:type="dxa"/>
          </w:tcPr>
          <w:p w14:paraId="068640E1" w14:textId="77777777" w:rsidR="002C0FD9" w:rsidRPr="00CA25CF" w:rsidRDefault="002C0FD9" w:rsidP="00CA25CF">
            <w:pPr>
              <w:rPr>
                <w:rFonts w:cs="Arial"/>
                <w:color w:val="FF0000"/>
                <w:sz w:val="21"/>
                <w:szCs w:val="21"/>
              </w:rPr>
            </w:pPr>
          </w:p>
        </w:tc>
        <w:tc>
          <w:tcPr>
            <w:tcW w:w="217" w:type="dxa"/>
          </w:tcPr>
          <w:p w14:paraId="6773A764" w14:textId="77777777" w:rsidR="002C0FD9" w:rsidRPr="00CA25CF" w:rsidRDefault="002C0FD9" w:rsidP="00CA25CF">
            <w:pPr>
              <w:rPr>
                <w:rFonts w:cs="Arial"/>
                <w:color w:val="FF0000"/>
                <w:sz w:val="21"/>
                <w:szCs w:val="21"/>
              </w:rPr>
            </w:pPr>
          </w:p>
        </w:tc>
        <w:tc>
          <w:tcPr>
            <w:tcW w:w="217" w:type="dxa"/>
          </w:tcPr>
          <w:p w14:paraId="5AE9953F" w14:textId="77777777" w:rsidR="002C0FD9" w:rsidRPr="00CA25CF" w:rsidRDefault="002C0FD9" w:rsidP="00CA25CF">
            <w:pPr>
              <w:rPr>
                <w:rFonts w:cs="Arial"/>
                <w:color w:val="FF0000"/>
                <w:sz w:val="21"/>
                <w:szCs w:val="21"/>
              </w:rPr>
            </w:pPr>
          </w:p>
        </w:tc>
        <w:tc>
          <w:tcPr>
            <w:tcW w:w="217" w:type="dxa"/>
          </w:tcPr>
          <w:p w14:paraId="4E0F7DA2" w14:textId="77777777" w:rsidR="002C0FD9" w:rsidRPr="00CA25CF" w:rsidRDefault="002C0FD9" w:rsidP="00CA25CF">
            <w:pPr>
              <w:rPr>
                <w:rFonts w:cs="Arial"/>
                <w:color w:val="FF0000"/>
                <w:sz w:val="21"/>
                <w:szCs w:val="21"/>
              </w:rPr>
            </w:pPr>
          </w:p>
        </w:tc>
        <w:tc>
          <w:tcPr>
            <w:tcW w:w="217" w:type="dxa"/>
          </w:tcPr>
          <w:p w14:paraId="43539155" w14:textId="77777777" w:rsidR="002C0FD9" w:rsidRPr="00CA25CF" w:rsidRDefault="002C0FD9" w:rsidP="00CA25CF">
            <w:pPr>
              <w:rPr>
                <w:rFonts w:cs="Arial"/>
                <w:color w:val="FF0000"/>
                <w:sz w:val="21"/>
                <w:szCs w:val="21"/>
              </w:rPr>
            </w:pPr>
          </w:p>
        </w:tc>
        <w:tc>
          <w:tcPr>
            <w:tcW w:w="217" w:type="dxa"/>
          </w:tcPr>
          <w:p w14:paraId="77FB4FC7" w14:textId="77777777" w:rsidR="002C0FD9" w:rsidRPr="00CA25CF" w:rsidRDefault="002C0FD9" w:rsidP="00CA25CF">
            <w:pPr>
              <w:rPr>
                <w:rFonts w:cs="Arial"/>
                <w:color w:val="FF0000"/>
                <w:sz w:val="21"/>
                <w:szCs w:val="21"/>
              </w:rPr>
            </w:pPr>
          </w:p>
        </w:tc>
        <w:tc>
          <w:tcPr>
            <w:tcW w:w="217" w:type="dxa"/>
          </w:tcPr>
          <w:p w14:paraId="7F3086B1" w14:textId="77777777" w:rsidR="002C0FD9" w:rsidRPr="00CA25CF" w:rsidRDefault="002C0FD9" w:rsidP="00CA25CF">
            <w:pPr>
              <w:rPr>
                <w:rFonts w:cs="Arial"/>
                <w:color w:val="FF0000"/>
                <w:sz w:val="21"/>
                <w:szCs w:val="21"/>
              </w:rPr>
            </w:pPr>
          </w:p>
        </w:tc>
        <w:tc>
          <w:tcPr>
            <w:tcW w:w="217" w:type="dxa"/>
          </w:tcPr>
          <w:p w14:paraId="03AC28D1" w14:textId="77777777" w:rsidR="002C0FD9" w:rsidRPr="00CA25CF" w:rsidRDefault="002C0FD9" w:rsidP="00CA25CF">
            <w:pPr>
              <w:rPr>
                <w:rFonts w:cs="Arial"/>
                <w:color w:val="FF0000"/>
                <w:sz w:val="21"/>
                <w:szCs w:val="21"/>
              </w:rPr>
            </w:pPr>
          </w:p>
        </w:tc>
      </w:tr>
      <w:tr w:rsidR="002C0FD9" w:rsidRPr="00A16219" w14:paraId="383F733C" w14:textId="2FA79461" w:rsidTr="002C0FD9">
        <w:trPr>
          <w:trHeight w:val="635"/>
        </w:trPr>
        <w:tc>
          <w:tcPr>
            <w:tcW w:w="515" w:type="dxa"/>
          </w:tcPr>
          <w:p w14:paraId="41A63E8C" w14:textId="77777777" w:rsidR="002C0FD9" w:rsidRPr="00CA25CF" w:rsidRDefault="002C0FD9" w:rsidP="00CA25CF">
            <w:pPr>
              <w:rPr>
                <w:rFonts w:cs="Arial"/>
                <w:color w:val="FF0000"/>
                <w:sz w:val="21"/>
                <w:szCs w:val="21"/>
              </w:rPr>
            </w:pPr>
          </w:p>
        </w:tc>
        <w:tc>
          <w:tcPr>
            <w:tcW w:w="217" w:type="dxa"/>
          </w:tcPr>
          <w:p w14:paraId="3CED2A5F" w14:textId="77777777" w:rsidR="002C0FD9" w:rsidRPr="00CA25CF" w:rsidRDefault="002C0FD9" w:rsidP="00CA25CF">
            <w:pPr>
              <w:rPr>
                <w:rFonts w:cs="Arial"/>
                <w:color w:val="FF0000"/>
                <w:sz w:val="21"/>
                <w:szCs w:val="21"/>
              </w:rPr>
            </w:pPr>
          </w:p>
        </w:tc>
        <w:tc>
          <w:tcPr>
            <w:tcW w:w="217" w:type="dxa"/>
          </w:tcPr>
          <w:p w14:paraId="21BA69FC" w14:textId="6E1BD5FD" w:rsidR="002C0FD9" w:rsidRPr="00CA25CF" w:rsidRDefault="002C0FD9" w:rsidP="00CA25CF">
            <w:pPr>
              <w:rPr>
                <w:rFonts w:cs="Arial"/>
                <w:color w:val="FF0000"/>
                <w:sz w:val="21"/>
                <w:szCs w:val="21"/>
              </w:rPr>
            </w:pPr>
          </w:p>
        </w:tc>
        <w:tc>
          <w:tcPr>
            <w:tcW w:w="217" w:type="dxa"/>
          </w:tcPr>
          <w:p w14:paraId="0780BC52" w14:textId="77777777" w:rsidR="002C0FD9" w:rsidRPr="00CA25CF" w:rsidRDefault="002C0FD9" w:rsidP="00CA25CF">
            <w:pPr>
              <w:rPr>
                <w:rFonts w:cs="Arial"/>
                <w:color w:val="FF0000"/>
                <w:sz w:val="21"/>
                <w:szCs w:val="21"/>
              </w:rPr>
            </w:pPr>
          </w:p>
        </w:tc>
        <w:tc>
          <w:tcPr>
            <w:tcW w:w="217" w:type="dxa"/>
          </w:tcPr>
          <w:p w14:paraId="70C54C1C" w14:textId="77777777" w:rsidR="002C0FD9" w:rsidRPr="00CA25CF" w:rsidRDefault="002C0FD9" w:rsidP="00CA25CF">
            <w:pPr>
              <w:rPr>
                <w:rFonts w:cs="Arial"/>
                <w:color w:val="FF0000"/>
                <w:sz w:val="21"/>
                <w:szCs w:val="21"/>
              </w:rPr>
            </w:pPr>
          </w:p>
        </w:tc>
        <w:tc>
          <w:tcPr>
            <w:tcW w:w="217" w:type="dxa"/>
          </w:tcPr>
          <w:p w14:paraId="5C05C276" w14:textId="77777777" w:rsidR="002C0FD9" w:rsidRPr="00CA25CF" w:rsidRDefault="002C0FD9" w:rsidP="00CA25CF">
            <w:pPr>
              <w:rPr>
                <w:rFonts w:cs="Arial"/>
                <w:color w:val="FF0000"/>
                <w:sz w:val="21"/>
                <w:szCs w:val="21"/>
              </w:rPr>
            </w:pPr>
          </w:p>
        </w:tc>
        <w:tc>
          <w:tcPr>
            <w:tcW w:w="217" w:type="dxa"/>
          </w:tcPr>
          <w:p w14:paraId="6401FF1C" w14:textId="77777777" w:rsidR="002C0FD9" w:rsidRPr="00CA25CF" w:rsidRDefault="002C0FD9" w:rsidP="00CA25CF">
            <w:pPr>
              <w:rPr>
                <w:rFonts w:cs="Arial"/>
                <w:color w:val="FF0000"/>
                <w:sz w:val="21"/>
                <w:szCs w:val="21"/>
              </w:rPr>
            </w:pPr>
          </w:p>
        </w:tc>
        <w:tc>
          <w:tcPr>
            <w:tcW w:w="217" w:type="dxa"/>
          </w:tcPr>
          <w:p w14:paraId="3BA4B1A2" w14:textId="77777777" w:rsidR="002C0FD9" w:rsidRPr="00CA25CF" w:rsidRDefault="002C0FD9" w:rsidP="00CA25CF">
            <w:pPr>
              <w:rPr>
                <w:rFonts w:cs="Arial"/>
                <w:color w:val="FF0000"/>
                <w:sz w:val="21"/>
                <w:szCs w:val="21"/>
              </w:rPr>
            </w:pPr>
          </w:p>
        </w:tc>
        <w:tc>
          <w:tcPr>
            <w:tcW w:w="217" w:type="dxa"/>
          </w:tcPr>
          <w:p w14:paraId="06484A88" w14:textId="77777777" w:rsidR="002C0FD9" w:rsidRPr="00CA25CF" w:rsidRDefault="002C0FD9" w:rsidP="00CA25CF">
            <w:pPr>
              <w:rPr>
                <w:rFonts w:cs="Arial"/>
                <w:color w:val="FF0000"/>
                <w:sz w:val="21"/>
                <w:szCs w:val="21"/>
              </w:rPr>
            </w:pPr>
          </w:p>
        </w:tc>
        <w:tc>
          <w:tcPr>
            <w:tcW w:w="217" w:type="dxa"/>
          </w:tcPr>
          <w:p w14:paraId="1E5FF576" w14:textId="77777777" w:rsidR="002C0FD9" w:rsidRPr="00CA25CF" w:rsidRDefault="002C0FD9" w:rsidP="00CA25CF">
            <w:pPr>
              <w:rPr>
                <w:rFonts w:cs="Arial"/>
                <w:color w:val="FF0000"/>
                <w:sz w:val="21"/>
                <w:szCs w:val="21"/>
              </w:rPr>
            </w:pPr>
          </w:p>
        </w:tc>
        <w:tc>
          <w:tcPr>
            <w:tcW w:w="217" w:type="dxa"/>
          </w:tcPr>
          <w:p w14:paraId="6258703B" w14:textId="77777777" w:rsidR="002C0FD9" w:rsidRPr="00CA25CF" w:rsidRDefault="002C0FD9" w:rsidP="00CA25CF">
            <w:pPr>
              <w:rPr>
                <w:rFonts w:cs="Arial"/>
                <w:color w:val="FF0000"/>
                <w:sz w:val="21"/>
                <w:szCs w:val="21"/>
              </w:rPr>
            </w:pPr>
          </w:p>
        </w:tc>
        <w:tc>
          <w:tcPr>
            <w:tcW w:w="217" w:type="dxa"/>
          </w:tcPr>
          <w:p w14:paraId="75D66265" w14:textId="77777777" w:rsidR="002C0FD9" w:rsidRPr="00CA25CF" w:rsidRDefault="002C0FD9" w:rsidP="00CA25CF">
            <w:pPr>
              <w:rPr>
                <w:rFonts w:cs="Arial"/>
                <w:color w:val="FF0000"/>
                <w:sz w:val="21"/>
                <w:szCs w:val="21"/>
              </w:rPr>
            </w:pPr>
          </w:p>
        </w:tc>
        <w:tc>
          <w:tcPr>
            <w:tcW w:w="217" w:type="dxa"/>
          </w:tcPr>
          <w:p w14:paraId="3C89AA2A" w14:textId="77777777" w:rsidR="002C0FD9" w:rsidRPr="00CA25CF" w:rsidRDefault="002C0FD9" w:rsidP="00CA25CF">
            <w:pPr>
              <w:rPr>
                <w:rFonts w:cs="Arial"/>
                <w:color w:val="FF0000"/>
                <w:sz w:val="21"/>
                <w:szCs w:val="21"/>
              </w:rPr>
            </w:pPr>
          </w:p>
        </w:tc>
        <w:tc>
          <w:tcPr>
            <w:tcW w:w="217" w:type="dxa"/>
          </w:tcPr>
          <w:p w14:paraId="0851CF46" w14:textId="77777777" w:rsidR="002C0FD9" w:rsidRPr="00CA25CF" w:rsidRDefault="002C0FD9" w:rsidP="00CA25CF">
            <w:pPr>
              <w:rPr>
                <w:rFonts w:cs="Arial"/>
                <w:color w:val="FF0000"/>
                <w:sz w:val="21"/>
                <w:szCs w:val="21"/>
              </w:rPr>
            </w:pPr>
          </w:p>
        </w:tc>
        <w:tc>
          <w:tcPr>
            <w:tcW w:w="217" w:type="dxa"/>
          </w:tcPr>
          <w:p w14:paraId="458964E1" w14:textId="77777777" w:rsidR="002C0FD9" w:rsidRPr="00CA25CF" w:rsidRDefault="002C0FD9" w:rsidP="00CA25CF">
            <w:pPr>
              <w:rPr>
                <w:rFonts w:cs="Arial"/>
                <w:color w:val="FF0000"/>
                <w:sz w:val="21"/>
                <w:szCs w:val="21"/>
              </w:rPr>
            </w:pPr>
          </w:p>
        </w:tc>
        <w:tc>
          <w:tcPr>
            <w:tcW w:w="217" w:type="dxa"/>
          </w:tcPr>
          <w:p w14:paraId="75A7A0DD" w14:textId="67997C74" w:rsidR="002C0FD9" w:rsidRPr="00CA25CF" w:rsidRDefault="002C0FD9" w:rsidP="00CA25CF">
            <w:pPr>
              <w:rPr>
                <w:rFonts w:cs="Arial"/>
                <w:color w:val="FF0000"/>
                <w:sz w:val="21"/>
                <w:szCs w:val="21"/>
              </w:rPr>
            </w:pPr>
          </w:p>
        </w:tc>
        <w:tc>
          <w:tcPr>
            <w:tcW w:w="217" w:type="dxa"/>
          </w:tcPr>
          <w:p w14:paraId="3AD34708" w14:textId="77777777" w:rsidR="002C0FD9" w:rsidRPr="00CA25CF" w:rsidRDefault="002C0FD9" w:rsidP="00CA25CF">
            <w:pPr>
              <w:rPr>
                <w:rFonts w:cs="Arial"/>
                <w:color w:val="FF0000"/>
                <w:sz w:val="21"/>
                <w:szCs w:val="21"/>
              </w:rPr>
            </w:pPr>
          </w:p>
        </w:tc>
        <w:tc>
          <w:tcPr>
            <w:tcW w:w="217" w:type="dxa"/>
          </w:tcPr>
          <w:p w14:paraId="5658C46A" w14:textId="77777777" w:rsidR="002C0FD9" w:rsidRPr="00CA25CF" w:rsidRDefault="002C0FD9" w:rsidP="00CA25CF">
            <w:pPr>
              <w:rPr>
                <w:rFonts w:cs="Arial"/>
                <w:color w:val="FF0000"/>
                <w:sz w:val="21"/>
                <w:szCs w:val="21"/>
              </w:rPr>
            </w:pPr>
          </w:p>
        </w:tc>
        <w:tc>
          <w:tcPr>
            <w:tcW w:w="217" w:type="dxa"/>
          </w:tcPr>
          <w:p w14:paraId="2673ED6D" w14:textId="77777777" w:rsidR="002C0FD9" w:rsidRPr="00CA25CF" w:rsidRDefault="002C0FD9" w:rsidP="00CA25CF">
            <w:pPr>
              <w:rPr>
                <w:rFonts w:cs="Arial"/>
                <w:color w:val="FF0000"/>
                <w:sz w:val="21"/>
                <w:szCs w:val="21"/>
              </w:rPr>
            </w:pPr>
          </w:p>
        </w:tc>
        <w:tc>
          <w:tcPr>
            <w:tcW w:w="217" w:type="dxa"/>
          </w:tcPr>
          <w:p w14:paraId="48683D0C" w14:textId="77777777" w:rsidR="002C0FD9" w:rsidRPr="00CA25CF" w:rsidRDefault="002C0FD9" w:rsidP="00CA25CF">
            <w:pPr>
              <w:rPr>
                <w:rFonts w:cs="Arial"/>
                <w:color w:val="FF0000"/>
                <w:sz w:val="21"/>
                <w:szCs w:val="21"/>
              </w:rPr>
            </w:pPr>
          </w:p>
        </w:tc>
        <w:tc>
          <w:tcPr>
            <w:tcW w:w="217" w:type="dxa"/>
          </w:tcPr>
          <w:p w14:paraId="61FAD604" w14:textId="77777777" w:rsidR="002C0FD9" w:rsidRPr="00CA25CF" w:rsidRDefault="002C0FD9" w:rsidP="00CA25CF">
            <w:pPr>
              <w:rPr>
                <w:rFonts w:cs="Arial"/>
                <w:color w:val="FF0000"/>
                <w:sz w:val="21"/>
                <w:szCs w:val="21"/>
              </w:rPr>
            </w:pPr>
          </w:p>
        </w:tc>
        <w:tc>
          <w:tcPr>
            <w:tcW w:w="217" w:type="dxa"/>
          </w:tcPr>
          <w:p w14:paraId="6EF13D6E" w14:textId="77777777" w:rsidR="002C0FD9" w:rsidRPr="00CA25CF" w:rsidRDefault="002C0FD9" w:rsidP="00CA25CF">
            <w:pPr>
              <w:rPr>
                <w:rFonts w:cs="Arial"/>
                <w:color w:val="FF0000"/>
                <w:sz w:val="21"/>
                <w:szCs w:val="21"/>
              </w:rPr>
            </w:pPr>
          </w:p>
        </w:tc>
        <w:tc>
          <w:tcPr>
            <w:tcW w:w="217" w:type="dxa"/>
          </w:tcPr>
          <w:p w14:paraId="4AF425A7" w14:textId="77777777" w:rsidR="002C0FD9" w:rsidRPr="00CA25CF" w:rsidRDefault="002C0FD9" w:rsidP="00CA25CF">
            <w:pPr>
              <w:rPr>
                <w:rFonts w:cs="Arial"/>
                <w:color w:val="FF0000"/>
                <w:sz w:val="21"/>
                <w:szCs w:val="21"/>
              </w:rPr>
            </w:pPr>
          </w:p>
        </w:tc>
        <w:tc>
          <w:tcPr>
            <w:tcW w:w="217" w:type="dxa"/>
          </w:tcPr>
          <w:p w14:paraId="13555E66" w14:textId="77777777" w:rsidR="002C0FD9" w:rsidRPr="00CA25CF" w:rsidRDefault="002C0FD9" w:rsidP="00CA25CF">
            <w:pPr>
              <w:rPr>
                <w:rFonts w:cs="Arial"/>
                <w:color w:val="FF0000"/>
                <w:sz w:val="21"/>
                <w:szCs w:val="21"/>
              </w:rPr>
            </w:pPr>
          </w:p>
        </w:tc>
        <w:tc>
          <w:tcPr>
            <w:tcW w:w="217" w:type="dxa"/>
          </w:tcPr>
          <w:p w14:paraId="4D1323A7" w14:textId="77777777" w:rsidR="002C0FD9" w:rsidRPr="00CA25CF" w:rsidRDefault="002C0FD9" w:rsidP="00CA25CF">
            <w:pPr>
              <w:rPr>
                <w:rFonts w:cs="Arial"/>
                <w:color w:val="FF0000"/>
                <w:sz w:val="21"/>
                <w:szCs w:val="21"/>
              </w:rPr>
            </w:pPr>
          </w:p>
        </w:tc>
        <w:tc>
          <w:tcPr>
            <w:tcW w:w="217" w:type="dxa"/>
          </w:tcPr>
          <w:p w14:paraId="724BAB23" w14:textId="77777777" w:rsidR="002C0FD9" w:rsidRPr="00CA25CF" w:rsidRDefault="002C0FD9" w:rsidP="00CA25CF">
            <w:pPr>
              <w:rPr>
                <w:rFonts w:cs="Arial"/>
                <w:color w:val="FF0000"/>
                <w:sz w:val="21"/>
                <w:szCs w:val="21"/>
              </w:rPr>
            </w:pPr>
          </w:p>
        </w:tc>
        <w:tc>
          <w:tcPr>
            <w:tcW w:w="217" w:type="dxa"/>
          </w:tcPr>
          <w:p w14:paraId="5BF14603" w14:textId="77777777" w:rsidR="002C0FD9" w:rsidRPr="00CA25CF" w:rsidRDefault="002C0FD9" w:rsidP="00CA25CF">
            <w:pPr>
              <w:rPr>
                <w:rFonts w:cs="Arial"/>
                <w:color w:val="FF0000"/>
                <w:sz w:val="21"/>
                <w:szCs w:val="21"/>
              </w:rPr>
            </w:pPr>
          </w:p>
        </w:tc>
        <w:tc>
          <w:tcPr>
            <w:tcW w:w="217" w:type="dxa"/>
          </w:tcPr>
          <w:p w14:paraId="5217DB4C" w14:textId="77777777" w:rsidR="002C0FD9" w:rsidRPr="00CA25CF" w:rsidRDefault="002C0FD9" w:rsidP="00CA25CF">
            <w:pPr>
              <w:rPr>
                <w:rFonts w:cs="Arial"/>
                <w:color w:val="FF0000"/>
                <w:sz w:val="21"/>
                <w:szCs w:val="21"/>
              </w:rPr>
            </w:pPr>
          </w:p>
        </w:tc>
        <w:tc>
          <w:tcPr>
            <w:tcW w:w="217" w:type="dxa"/>
          </w:tcPr>
          <w:p w14:paraId="7844D643" w14:textId="77777777" w:rsidR="002C0FD9" w:rsidRPr="00CA25CF" w:rsidRDefault="002C0FD9" w:rsidP="00CA25CF">
            <w:pPr>
              <w:rPr>
                <w:rFonts w:cs="Arial"/>
                <w:color w:val="FF0000"/>
                <w:sz w:val="21"/>
                <w:szCs w:val="21"/>
              </w:rPr>
            </w:pPr>
          </w:p>
        </w:tc>
        <w:tc>
          <w:tcPr>
            <w:tcW w:w="217" w:type="dxa"/>
          </w:tcPr>
          <w:p w14:paraId="03DCB883" w14:textId="77777777" w:rsidR="002C0FD9" w:rsidRPr="00CA25CF" w:rsidRDefault="002C0FD9" w:rsidP="00CA25CF">
            <w:pPr>
              <w:rPr>
                <w:rFonts w:cs="Arial"/>
                <w:color w:val="FF0000"/>
                <w:sz w:val="21"/>
                <w:szCs w:val="21"/>
              </w:rPr>
            </w:pPr>
          </w:p>
        </w:tc>
        <w:tc>
          <w:tcPr>
            <w:tcW w:w="217" w:type="dxa"/>
          </w:tcPr>
          <w:p w14:paraId="459F29EB" w14:textId="77777777" w:rsidR="002C0FD9" w:rsidRPr="00CA25CF" w:rsidRDefault="002C0FD9" w:rsidP="00CA25CF">
            <w:pPr>
              <w:rPr>
                <w:rFonts w:cs="Arial"/>
                <w:color w:val="FF0000"/>
                <w:sz w:val="21"/>
                <w:szCs w:val="21"/>
              </w:rPr>
            </w:pPr>
          </w:p>
        </w:tc>
        <w:tc>
          <w:tcPr>
            <w:tcW w:w="217" w:type="dxa"/>
          </w:tcPr>
          <w:p w14:paraId="0617FC48" w14:textId="77777777" w:rsidR="002C0FD9" w:rsidRPr="00CA25CF" w:rsidRDefault="002C0FD9" w:rsidP="00CA25CF">
            <w:pPr>
              <w:rPr>
                <w:rFonts w:cs="Arial"/>
                <w:color w:val="FF0000"/>
                <w:sz w:val="21"/>
                <w:szCs w:val="21"/>
              </w:rPr>
            </w:pPr>
          </w:p>
        </w:tc>
        <w:tc>
          <w:tcPr>
            <w:tcW w:w="217" w:type="dxa"/>
          </w:tcPr>
          <w:p w14:paraId="61361CD0" w14:textId="77777777" w:rsidR="002C0FD9" w:rsidRPr="00CA25CF" w:rsidRDefault="002C0FD9" w:rsidP="00CA25CF">
            <w:pPr>
              <w:rPr>
                <w:rFonts w:cs="Arial"/>
                <w:color w:val="FF0000"/>
                <w:sz w:val="21"/>
                <w:szCs w:val="21"/>
              </w:rPr>
            </w:pPr>
          </w:p>
        </w:tc>
        <w:tc>
          <w:tcPr>
            <w:tcW w:w="217" w:type="dxa"/>
          </w:tcPr>
          <w:p w14:paraId="73FC3C6A" w14:textId="77777777" w:rsidR="002C0FD9" w:rsidRPr="00CA25CF" w:rsidRDefault="002C0FD9" w:rsidP="00CA25CF">
            <w:pPr>
              <w:rPr>
                <w:rFonts w:cs="Arial"/>
                <w:color w:val="FF0000"/>
                <w:sz w:val="21"/>
                <w:szCs w:val="21"/>
              </w:rPr>
            </w:pPr>
          </w:p>
        </w:tc>
        <w:tc>
          <w:tcPr>
            <w:tcW w:w="217" w:type="dxa"/>
          </w:tcPr>
          <w:p w14:paraId="2EA69B15" w14:textId="77777777" w:rsidR="002C0FD9" w:rsidRPr="00CA25CF" w:rsidRDefault="002C0FD9" w:rsidP="00CA25CF">
            <w:pPr>
              <w:rPr>
                <w:rFonts w:cs="Arial"/>
                <w:color w:val="FF0000"/>
                <w:sz w:val="21"/>
                <w:szCs w:val="21"/>
              </w:rPr>
            </w:pPr>
          </w:p>
        </w:tc>
        <w:tc>
          <w:tcPr>
            <w:tcW w:w="217" w:type="dxa"/>
          </w:tcPr>
          <w:p w14:paraId="48982FBF" w14:textId="77777777" w:rsidR="002C0FD9" w:rsidRPr="00CA25CF" w:rsidRDefault="002C0FD9" w:rsidP="00CA25CF">
            <w:pPr>
              <w:rPr>
                <w:rFonts w:cs="Arial"/>
                <w:color w:val="FF0000"/>
                <w:sz w:val="21"/>
                <w:szCs w:val="21"/>
              </w:rPr>
            </w:pPr>
          </w:p>
        </w:tc>
        <w:tc>
          <w:tcPr>
            <w:tcW w:w="217" w:type="dxa"/>
          </w:tcPr>
          <w:p w14:paraId="116C984B" w14:textId="77777777" w:rsidR="002C0FD9" w:rsidRPr="00CA25CF" w:rsidRDefault="002C0FD9" w:rsidP="00CA25CF">
            <w:pPr>
              <w:rPr>
                <w:rFonts w:cs="Arial"/>
                <w:color w:val="FF0000"/>
                <w:sz w:val="21"/>
                <w:szCs w:val="21"/>
              </w:rPr>
            </w:pPr>
          </w:p>
        </w:tc>
        <w:tc>
          <w:tcPr>
            <w:tcW w:w="217" w:type="dxa"/>
          </w:tcPr>
          <w:p w14:paraId="0E1B29ED" w14:textId="77777777" w:rsidR="002C0FD9" w:rsidRPr="00CA25CF" w:rsidRDefault="002C0FD9" w:rsidP="00CA25CF">
            <w:pPr>
              <w:rPr>
                <w:rFonts w:cs="Arial"/>
                <w:color w:val="FF0000"/>
                <w:sz w:val="21"/>
                <w:szCs w:val="21"/>
              </w:rPr>
            </w:pPr>
          </w:p>
        </w:tc>
        <w:tc>
          <w:tcPr>
            <w:tcW w:w="217" w:type="dxa"/>
          </w:tcPr>
          <w:p w14:paraId="432410CF" w14:textId="77777777" w:rsidR="002C0FD9" w:rsidRPr="00CA25CF" w:rsidRDefault="002C0FD9" w:rsidP="00CA25CF">
            <w:pPr>
              <w:rPr>
                <w:rFonts w:cs="Arial"/>
                <w:color w:val="FF0000"/>
                <w:sz w:val="21"/>
                <w:szCs w:val="21"/>
              </w:rPr>
            </w:pPr>
          </w:p>
        </w:tc>
        <w:tc>
          <w:tcPr>
            <w:tcW w:w="217" w:type="dxa"/>
          </w:tcPr>
          <w:p w14:paraId="59A5B961" w14:textId="77777777" w:rsidR="002C0FD9" w:rsidRPr="00CA25CF" w:rsidRDefault="002C0FD9" w:rsidP="00CA25CF">
            <w:pPr>
              <w:rPr>
                <w:rFonts w:cs="Arial"/>
                <w:color w:val="FF0000"/>
                <w:sz w:val="21"/>
                <w:szCs w:val="21"/>
              </w:rPr>
            </w:pPr>
          </w:p>
        </w:tc>
        <w:tc>
          <w:tcPr>
            <w:tcW w:w="217" w:type="dxa"/>
          </w:tcPr>
          <w:p w14:paraId="45C59275" w14:textId="77777777" w:rsidR="002C0FD9" w:rsidRPr="00CA25CF" w:rsidRDefault="002C0FD9" w:rsidP="00CA25CF">
            <w:pPr>
              <w:rPr>
                <w:rFonts w:cs="Arial"/>
                <w:color w:val="FF0000"/>
                <w:sz w:val="21"/>
                <w:szCs w:val="21"/>
              </w:rPr>
            </w:pPr>
          </w:p>
        </w:tc>
        <w:tc>
          <w:tcPr>
            <w:tcW w:w="217" w:type="dxa"/>
          </w:tcPr>
          <w:p w14:paraId="479072A3" w14:textId="77777777" w:rsidR="002C0FD9" w:rsidRPr="00CA25CF" w:rsidRDefault="002C0FD9" w:rsidP="00CA25CF">
            <w:pPr>
              <w:rPr>
                <w:rFonts w:cs="Arial"/>
                <w:color w:val="FF0000"/>
                <w:sz w:val="21"/>
                <w:szCs w:val="21"/>
              </w:rPr>
            </w:pPr>
          </w:p>
        </w:tc>
        <w:tc>
          <w:tcPr>
            <w:tcW w:w="217" w:type="dxa"/>
          </w:tcPr>
          <w:p w14:paraId="0B8AB2C8" w14:textId="77777777" w:rsidR="002C0FD9" w:rsidRPr="00CA25CF" w:rsidRDefault="002C0FD9" w:rsidP="00CA25CF">
            <w:pPr>
              <w:rPr>
                <w:rFonts w:cs="Arial"/>
                <w:color w:val="FF0000"/>
                <w:sz w:val="21"/>
                <w:szCs w:val="21"/>
              </w:rPr>
            </w:pPr>
          </w:p>
        </w:tc>
      </w:tr>
      <w:tr w:rsidR="002C0FD9" w:rsidRPr="00A16219" w14:paraId="0F86CD98" w14:textId="4C9AD589" w:rsidTr="002C0FD9">
        <w:trPr>
          <w:trHeight w:val="635"/>
        </w:trPr>
        <w:tc>
          <w:tcPr>
            <w:tcW w:w="515" w:type="dxa"/>
          </w:tcPr>
          <w:p w14:paraId="7534A766" w14:textId="77777777" w:rsidR="002C0FD9" w:rsidRPr="00CA25CF" w:rsidRDefault="002C0FD9" w:rsidP="00CA25CF">
            <w:pPr>
              <w:rPr>
                <w:rFonts w:cs="Arial"/>
                <w:color w:val="FF0000"/>
                <w:sz w:val="21"/>
                <w:szCs w:val="21"/>
              </w:rPr>
            </w:pPr>
          </w:p>
        </w:tc>
        <w:tc>
          <w:tcPr>
            <w:tcW w:w="217" w:type="dxa"/>
          </w:tcPr>
          <w:p w14:paraId="30D7A820" w14:textId="77777777" w:rsidR="002C0FD9" w:rsidRPr="00CA25CF" w:rsidRDefault="002C0FD9" w:rsidP="00CA25CF">
            <w:pPr>
              <w:rPr>
                <w:rFonts w:cs="Arial"/>
                <w:color w:val="FF0000"/>
                <w:sz w:val="21"/>
                <w:szCs w:val="21"/>
              </w:rPr>
            </w:pPr>
          </w:p>
        </w:tc>
        <w:tc>
          <w:tcPr>
            <w:tcW w:w="217" w:type="dxa"/>
          </w:tcPr>
          <w:p w14:paraId="0006F5C3" w14:textId="0D207290" w:rsidR="002C0FD9" w:rsidRPr="00CA25CF" w:rsidRDefault="002C0FD9" w:rsidP="00CA25CF">
            <w:pPr>
              <w:rPr>
                <w:rFonts w:cs="Arial"/>
                <w:color w:val="FF0000"/>
                <w:sz w:val="21"/>
                <w:szCs w:val="21"/>
              </w:rPr>
            </w:pPr>
          </w:p>
        </w:tc>
        <w:tc>
          <w:tcPr>
            <w:tcW w:w="217" w:type="dxa"/>
          </w:tcPr>
          <w:p w14:paraId="260ED724" w14:textId="77777777" w:rsidR="002C0FD9" w:rsidRPr="00CA25CF" w:rsidRDefault="002C0FD9" w:rsidP="00CA25CF">
            <w:pPr>
              <w:rPr>
                <w:rFonts w:cs="Arial"/>
                <w:color w:val="FF0000"/>
                <w:sz w:val="21"/>
                <w:szCs w:val="21"/>
              </w:rPr>
            </w:pPr>
          </w:p>
        </w:tc>
        <w:tc>
          <w:tcPr>
            <w:tcW w:w="217" w:type="dxa"/>
          </w:tcPr>
          <w:p w14:paraId="22603462" w14:textId="77777777" w:rsidR="002C0FD9" w:rsidRPr="00CA25CF" w:rsidRDefault="002C0FD9" w:rsidP="00CA25CF">
            <w:pPr>
              <w:rPr>
                <w:rFonts w:cs="Arial"/>
                <w:color w:val="FF0000"/>
                <w:sz w:val="21"/>
                <w:szCs w:val="21"/>
              </w:rPr>
            </w:pPr>
          </w:p>
        </w:tc>
        <w:tc>
          <w:tcPr>
            <w:tcW w:w="217" w:type="dxa"/>
          </w:tcPr>
          <w:p w14:paraId="5FC64C78" w14:textId="77777777" w:rsidR="002C0FD9" w:rsidRPr="00CA25CF" w:rsidRDefault="002C0FD9" w:rsidP="00CA25CF">
            <w:pPr>
              <w:rPr>
                <w:rFonts w:cs="Arial"/>
                <w:color w:val="FF0000"/>
                <w:sz w:val="21"/>
                <w:szCs w:val="21"/>
              </w:rPr>
            </w:pPr>
          </w:p>
        </w:tc>
        <w:tc>
          <w:tcPr>
            <w:tcW w:w="217" w:type="dxa"/>
          </w:tcPr>
          <w:p w14:paraId="557092A0" w14:textId="77777777" w:rsidR="002C0FD9" w:rsidRPr="00CA25CF" w:rsidRDefault="002C0FD9" w:rsidP="00CA25CF">
            <w:pPr>
              <w:rPr>
                <w:rFonts w:cs="Arial"/>
                <w:color w:val="FF0000"/>
                <w:sz w:val="21"/>
                <w:szCs w:val="21"/>
              </w:rPr>
            </w:pPr>
          </w:p>
        </w:tc>
        <w:tc>
          <w:tcPr>
            <w:tcW w:w="217" w:type="dxa"/>
          </w:tcPr>
          <w:p w14:paraId="5AB5E7B4" w14:textId="77777777" w:rsidR="002C0FD9" w:rsidRPr="00CA25CF" w:rsidRDefault="002C0FD9" w:rsidP="00CA25CF">
            <w:pPr>
              <w:rPr>
                <w:rFonts w:cs="Arial"/>
                <w:color w:val="FF0000"/>
                <w:sz w:val="21"/>
                <w:szCs w:val="21"/>
              </w:rPr>
            </w:pPr>
          </w:p>
        </w:tc>
        <w:tc>
          <w:tcPr>
            <w:tcW w:w="217" w:type="dxa"/>
          </w:tcPr>
          <w:p w14:paraId="33DC26E7" w14:textId="77777777" w:rsidR="002C0FD9" w:rsidRPr="00CA25CF" w:rsidRDefault="002C0FD9" w:rsidP="00CA25CF">
            <w:pPr>
              <w:rPr>
                <w:rFonts w:cs="Arial"/>
                <w:color w:val="FF0000"/>
                <w:sz w:val="21"/>
                <w:szCs w:val="21"/>
              </w:rPr>
            </w:pPr>
          </w:p>
        </w:tc>
        <w:tc>
          <w:tcPr>
            <w:tcW w:w="217" w:type="dxa"/>
          </w:tcPr>
          <w:p w14:paraId="1FCD3892" w14:textId="77777777" w:rsidR="002C0FD9" w:rsidRPr="00CA25CF" w:rsidRDefault="002C0FD9" w:rsidP="00CA25CF">
            <w:pPr>
              <w:rPr>
                <w:rFonts w:cs="Arial"/>
                <w:color w:val="FF0000"/>
                <w:sz w:val="21"/>
                <w:szCs w:val="21"/>
              </w:rPr>
            </w:pPr>
          </w:p>
        </w:tc>
        <w:tc>
          <w:tcPr>
            <w:tcW w:w="217" w:type="dxa"/>
          </w:tcPr>
          <w:p w14:paraId="1F000BE9" w14:textId="77777777" w:rsidR="002C0FD9" w:rsidRPr="00CA25CF" w:rsidRDefault="002C0FD9" w:rsidP="00CA25CF">
            <w:pPr>
              <w:rPr>
                <w:rFonts w:cs="Arial"/>
                <w:color w:val="FF0000"/>
                <w:sz w:val="21"/>
                <w:szCs w:val="21"/>
              </w:rPr>
            </w:pPr>
          </w:p>
        </w:tc>
        <w:tc>
          <w:tcPr>
            <w:tcW w:w="217" w:type="dxa"/>
          </w:tcPr>
          <w:p w14:paraId="5FD5BF70" w14:textId="77777777" w:rsidR="002C0FD9" w:rsidRPr="00CA25CF" w:rsidRDefault="002C0FD9" w:rsidP="00CA25CF">
            <w:pPr>
              <w:rPr>
                <w:rFonts w:cs="Arial"/>
                <w:color w:val="FF0000"/>
                <w:sz w:val="21"/>
                <w:szCs w:val="21"/>
              </w:rPr>
            </w:pPr>
          </w:p>
        </w:tc>
        <w:tc>
          <w:tcPr>
            <w:tcW w:w="217" w:type="dxa"/>
          </w:tcPr>
          <w:p w14:paraId="261E04B4" w14:textId="77777777" w:rsidR="002C0FD9" w:rsidRPr="00CA25CF" w:rsidRDefault="002C0FD9" w:rsidP="00CA25CF">
            <w:pPr>
              <w:rPr>
                <w:rFonts w:cs="Arial"/>
                <w:color w:val="FF0000"/>
                <w:sz w:val="21"/>
                <w:szCs w:val="21"/>
              </w:rPr>
            </w:pPr>
          </w:p>
        </w:tc>
        <w:tc>
          <w:tcPr>
            <w:tcW w:w="217" w:type="dxa"/>
          </w:tcPr>
          <w:p w14:paraId="68A73F23" w14:textId="77777777" w:rsidR="002C0FD9" w:rsidRPr="00CA25CF" w:rsidRDefault="002C0FD9" w:rsidP="00CA25CF">
            <w:pPr>
              <w:rPr>
                <w:rFonts w:cs="Arial"/>
                <w:color w:val="FF0000"/>
                <w:sz w:val="21"/>
                <w:szCs w:val="21"/>
              </w:rPr>
            </w:pPr>
          </w:p>
        </w:tc>
        <w:tc>
          <w:tcPr>
            <w:tcW w:w="217" w:type="dxa"/>
          </w:tcPr>
          <w:p w14:paraId="732E0212" w14:textId="77777777" w:rsidR="002C0FD9" w:rsidRPr="00CA25CF" w:rsidRDefault="002C0FD9" w:rsidP="00CA25CF">
            <w:pPr>
              <w:rPr>
                <w:rFonts w:cs="Arial"/>
                <w:color w:val="FF0000"/>
                <w:sz w:val="21"/>
                <w:szCs w:val="21"/>
              </w:rPr>
            </w:pPr>
          </w:p>
        </w:tc>
        <w:tc>
          <w:tcPr>
            <w:tcW w:w="217" w:type="dxa"/>
          </w:tcPr>
          <w:p w14:paraId="46BB03B5" w14:textId="6B0181C4" w:rsidR="002C0FD9" w:rsidRPr="00CA25CF" w:rsidRDefault="002C0FD9" w:rsidP="00CA25CF">
            <w:pPr>
              <w:rPr>
                <w:rFonts w:cs="Arial"/>
                <w:color w:val="FF0000"/>
                <w:sz w:val="21"/>
                <w:szCs w:val="21"/>
              </w:rPr>
            </w:pPr>
          </w:p>
        </w:tc>
        <w:tc>
          <w:tcPr>
            <w:tcW w:w="217" w:type="dxa"/>
          </w:tcPr>
          <w:p w14:paraId="0F8A0249" w14:textId="77777777" w:rsidR="002C0FD9" w:rsidRPr="00CA25CF" w:rsidRDefault="002C0FD9" w:rsidP="00CA25CF">
            <w:pPr>
              <w:rPr>
                <w:rFonts w:cs="Arial"/>
                <w:color w:val="FF0000"/>
                <w:sz w:val="21"/>
                <w:szCs w:val="21"/>
              </w:rPr>
            </w:pPr>
          </w:p>
        </w:tc>
        <w:tc>
          <w:tcPr>
            <w:tcW w:w="217" w:type="dxa"/>
          </w:tcPr>
          <w:p w14:paraId="3C866198" w14:textId="77777777" w:rsidR="002C0FD9" w:rsidRPr="00CA25CF" w:rsidRDefault="002C0FD9" w:rsidP="00CA25CF">
            <w:pPr>
              <w:rPr>
                <w:rFonts w:cs="Arial"/>
                <w:color w:val="FF0000"/>
                <w:sz w:val="21"/>
                <w:szCs w:val="21"/>
              </w:rPr>
            </w:pPr>
          </w:p>
        </w:tc>
        <w:tc>
          <w:tcPr>
            <w:tcW w:w="217" w:type="dxa"/>
          </w:tcPr>
          <w:p w14:paraId="0A5ACB1B" w14:textId="77777777" w:rsidR="002C0FD9" w:rsidRPr="00CA25CF" w:rsidRDefault="002C0FD9" w:rsidP="00CA25CF">
            <w:pPr>
              <w:rPr>
                <w:rFonts w:cs="Arial"/>
                <w:color w:val="FF0000"/>
                <w:sz w:val="21"/>
                <w:szCs w:val="21"/>
              </w:rPr>
            </w:pPr>
          </w:p>
        </w:tc>
        <w:tc>
          <w:tcPr>
            <w:tcW w:w="217" w:type="dxa"/>
          </w:tcPr>
          <w:p w14:paraId="582E77D7" w14:textId="77777777" w:rsidR="002C0FD9" w:rsidRPr="00CA25CF" w:rsidRDefault="002C0FD9" w:rsidP="00CA25CF">
            <w:pPr>
              <w:rPr>
                <w:rFonts w:cs="Arial"/>
                <w:color w:val="FF0000"/>
                <w:sz w:val="21"/>
                <w:szCs w:val="21"/>
              </w:rPr>
            </w:pPr>
          </w:p>
        </w:tc>
        <w:tc>
          <w:tcPr>
            <w:tcW w:w="217" w:type="dxa"/>
          </w:tcPr>
          <w:p w14:paraId="09B85351" w14:textId="77777777" w:rsidR="002C0FD9" w:rsidRPr="00CA25CF" w:rsidRDefault="002C0FD9" w:rsidP="00CA25CF">
            <w:pPr>
              <w:rPr>
                <w:rFonts w:cs="Arial"/>
                <w:color w:val="FF0000"/>
                <w:sz w:val="21"/>
                <w:szCs w:val="21"/>
              </w:rPr>
            </w:pPr>
          </w:p>
        </w:tc>
        <w:tc>
          <w:tcPr>
            <w:tcW w:w="217" w:type="dxa"/>
          </w:tcPr>
          <w:p w14:paraId="7F610697" w14:textId="77777777" w:rsidR="002C0FD9" w:rsidRPr="00CA25CF" w:rsidRDefault="002C0FD9" w:rsidP="00CA25CF">
            <w:pPr>
              <w:rPr>
                <w:rFonts w:cs="Arial"/>
                <w:color w:val="FF0000"/>
                <w:sz w:val="21"/>
                <w:szCs w:val="21"/>
              </w:rPr>
            </w:pPr>
          </w:p>
        </w:tc>
        <w:tc>
          <w:tcPr>
            <w:tcW w:w="217" w:type="dxa"/>
          </w:tcPr>
          <w:p w14:paraId="6AFED69D" w14:textId="77777777" w:rsidR="002C0FD9" w:rsidRPr="00CA25CF" w:rsidRDefault="002C0FD9" w:rsidP="00CA25CF">
            <w:pPr>
              <w:rPr>
                <w:rFonts w:cs="Arial"/>
                <w:color w:val="FF0000"/>
                <w:sz w:val="21"/>
                <w:szCs w:val="21"/>
              </w:rPr>
            </w:pPr>
          </w:p>
        </w:tc>
        <w:tc>
          <w:tcPr>
            <w:tcW w:w="217" w:type="dxa"/>
          </w:tcPr>
          <w:p w14:paraId="4D7C29D0" w14:textId="77777777" w:rsidR="002C0FD9" w:rsidRPr="00CA25CF" w:rsidRDefault="002C0FD9" w:rsidP="00CA25CF">
            <w:pPr>
              <w:rPr>
                <w:rFonts w:cs="Arial"/>
                <w:color w:val="FF0000"/>
                <w:sz w:val="21"/>
                <w:szCs w:val="21"/>
              </w:rPr>
            </w:pPr>
          </w:p>
        </w:tc>
        <w:tc>
          <w:tcPr>
            <w:tcW w:w="217" w:type="dxa"/>
          </w:tcPr>
          <w:p w14:paraId="2F5CF63E" w14:textId="77777777" w:rsidR="002C0FD9" w:rsidRPr="00CA25CF" w:rsidRDefault="002C0FD9" w:rsidP="00CA25CF">
            <w:pPr>
              <w:rPr>
                <w:rFonts w:cs="Arial"/>
                <w:color w:val="FF0000"/>
                <w:sz w:val="21"/>
                <w:szCs w:val="21"/>
              </w:rPr>
            </w:pPr>
          </w:p>
        </w:tc>
        <w:tc>
          <w:tcPr>
            <w:tcW w:w="217" w:type="dxa"/>
          </w:tcPr>
          <w:p w14:paraId="1C5F6EA9" w14:textId="77777777" w:rsidR="002C0FD9" w:rsidRPr="00CA25CF" w:rsidRDefault="002C0FD9" w:rsidP="00CA25CF">
            <w:pPr>
              <w:rPr>
                <w:rFonts w:cs="Arial"/>
                <w:color w:val="FF0000"/>
                <w:sz w:val="21"/>
                <w:szCs w:val="21"/>
              </w:rPr>
            </w:pPr>
          </w:p>
        </w:tc>
        <w:tc>
          <w:tcPr>
            <w:tcW w:w="217" w:type="dxa"/>
          </w:tcPr>
          <w:p w14:paraId="1424FD79" w14:textId="77777777" w:rsidR="002C0FD9" w:rsidRPr="00CA25CF" w:rsidRDefault="002C0FD9" w:rsidP="00CA25CF">
            <w:pPr>
              <w:rPr>
                <w:rFonts w:cs="Arial"/>
                <w:color w:val="FF0000"/>
                <w:sz w:val="21"/>
                <w:szCs w:val="21"/>
              </w:rPr>
            </w:pPr>
          </w:p>
        </w:tc>
        <w:tc>
          <w:tcPr>
            <w:tcW w:w="217" w:type="dxa"/>
          </w:tcPr>
          <w:p w14:paraId="6A1CC7A6" w14:textId="77777777" w:rsidR="002C0FD9" w:rsidRPr="00CA25CF" w:rsidRDefault="002C0FD9" w:rsidP="00CA25CF">
            <w:pPr>
              <w:rPr>
                <w:rFonts w:cs="Arial"/>
                <w:color w:val="FF0000"/>
                <w:sz w:val="21"/>
                <w:szCs w:val="21"/>
              </w:rPr>
            </w:pPr>
          </w:p>
        </w:tc>
        <w:tc>
          <w:tcPr>
            <w:tcW w:w="217" w:type="dxa"/>
          </w:tcPr>
          <w:p w14:paraId="6D240A16" w14:textId="77777777" w:rsidR="002C0FD9" w:rsidRPr="00CA25CF" w:rsidRDefault="002C0FD9" w:rsidP="00CA25CF">
            <w:pPr>
              <w:rPr>
                <w:rFonts w:cs="Arial"/>
                <w:color w:val="FF0000"/>
                <w:sz w:val="21"/>
                <w:szCs w:val="21"/>
              </w:rPr>
            </w:pPr>
          </w:p>
        </w:tc>
        <w:tc>
          <w:tcPr>
            <w:tcW w:w="217" w:type="dxa"/>
          </w:tcPr>
          <w:p w14:paraId="1AA3E595" w14:textId="77777777" w:rsidR="002C0FD9" w:rsidRPr="00CA25CF" w:rsidRDefault="002C0FD9" w:rsidP="00CA25CF">
            <w:pPr>
              <w:rPr>
                <w:rFonts w:cs="Arial"/>
                <w:color w:val="FF0000"/>
                <w:sz w:val="21"/>
                <w:szCs w:val="21"/>
              </w:rPr>
            </w:pPr>
          </w:p>
        </w:tc>
        <w:tc>
          <w:tcPr>
            <w:tcW w:w="217" w:type="dxa"/>
          </w:tcPr>
          <w:p w14:paraId="1CAB34B6" w14:textId="77777777" w:rsidR="002C0FD9" w:rsidRPr="00CA25CF" w:rsidRDefault="002C0FD9" w:rsidP="00CA25CF">
            <w:pPr>
              <w:rPr>
                <w:rFonts w:cs="Arial"/>
                <w:color w:val="FF0000"/>
                <w:sz w:val="21"/>
                <w:szCs w:val="21"/>
              </w:rPr>
            </w:pPr>
          </w:p>
        </w:tc>
        <w:tc>
          <w:tcPr>
            <w:tcW w:w="217" w:type="dxa"/>
          </w:tcPr>
          <w:p w14:paraId="6F11EAB4" w14:textId="77777777" w:rsidR="002C0FD9" w:rsidRPr="00CA25CF" w:rsidRDefault="002C0FD9" w:rsidP="00CA25CF">
            <w:pPr>
              <w:rPr>
                <w:rFonts w:cs="Arial"/>
                <w:color w:val="FF0000"/>
                <w:sz w:val="21"/>
                <w:szCs w:val="21"/>
              </w:rPr>
            </w:pPr>
          </w:p>
        </w:tc>
        <w:tc>
          <w:tcPr>
            <w:tcW w:w="217" w:type="dxa"/>
          </w:tcPr>
          <w:p w14:paraId="1D65EB43" w14:textId="77777777" w:rsidR="002C0FD9" w:rsidRPr="00CA25CF" w:rsidRDefault="002C0FD9" w:rsidP="00CA25CF">
            <w:pPr>
              <w:rPr>
                <w:rFonts w:cs="Arial"/>
                <w:color w:val="FF0000"/>
                <w:sz w:val="21"/>
                <w:szCs w:val="21"/>
              </w:rPr>
            </w:pPr>
          </w:p>
        </w:tc>
        <w:tc>
          <w:tcPr>
            <w:tcW w:w="217" w:type="dxa"/>
          </w:tcPr>
          <w:p w14:paraId="69FF2428" w14:textId="77777777" w:rsidR="002C0FD9" w:rsidRPr="00CA25CF" w:rsidRDefault="002C0FD9" w:rsidP="00CA25CF">
            <w:pPr>
              <w:rPr>
                <w:rFonts w:cs="Arial"/>
                <w:color w:val="FF0000"/>
                <w:sz w:val="21"/>
                <w:szCs w:val="21"/>
              </w:rPr>
            </w:pPr>
          </w:p>
        </w:tc>
        <w:tc>
          <w:tcPr>
            <w:tcW w:w="217" w:type="dxa"/>
          </w:tcPr>
          <w:p w14:paraId="7C1B02EC" w14:textId="77777777" w:rsidR="002C0FD9" w:rsidRPr="00CA25CF" w:rsidRDefault="002C0FD9" w:rsidP="00CA25CF">
            <w:pPr>
              <w:rPr>
                <w:rFonts w:cs="Arial"/>
                <w:color w:val="FF0000"/>
                <w:sz w:val="21"/>
                <w:szCs w:val="21"/>
              </w:rPr>
            </w:pPr>
          </w:p>
        </w:tc>
        <w:tc>
          <w:tcPr>
            <w:tcW w:w="217" w:type="dxa"/>
          </w:tcPr>
          <w:p w14:paraId="334C0342" w14:textId="77777777" w:rsidR="002C0FD9" w:rsidRPr="00CA25CF" w:rsidRDefault="002C0FD9" w:rsidP="00CA25CF">
            <w:pPr>
              <w:rPr>
                <w:rFonts w:cs="Arial"/>
                <w:color w:val="FF0000"/>
                <w:sz w:val="21"/>
                <w:szCs w:val="21"/>
              </w:rPr>
            </w:pPr>
          </w:p>
        </w:tc>
        <w:tc>
          <w:tcPr>
            <w:tcW w:w="217" w:type="dxa"/>
          </w:tcPr>
          <w:p w14:paraId="0625C7A2" w14:textId="77777777" w:rsidR="002C0FD9" w:rsidRPr="00CA25CF" w:rsidRDefault="002C0FD9" w:rsidP="00CA25CF">
            <w:pPr>
              <w:rPr>
                <w:rFonts w:cs="Arial"/>
                <w:color w:val="FF0000"/>
                <w:sz w:val="21"/>
                <w:szCs w:val="21"/>
              </w:rPr>
            </w:pPr>
          </w:p>
        </w:tc>
        <w:tc>
          <w:tcPr>
            <w:tcW w:w="217" w:type="dxa"/>
          </w:tcPr>
          <w:p w14:paraId="72683E5B" w14:textId="77777777" w:rsidR="002C0FD9" w:rsidRPr="00CA25CF" w:rsidRDefault="002C0FD9" w:rsidP="00CA25CF">
            <w:pPr>
              <w:rPr>
                <w:rFonts w:cs="Arial"/>
                <w:color w:val="FF0000"/>
                <w:sz w:val="21"/>
                <w:szCs w:val="21"/>
              </w:rPr>
            </w:pPr>
          </w:p>
        </w:tc>
        <w:tc>
          <w:tcPr>
            <w:tcW w:w="217" w:type="dxa"/>
          </w:tcPr>
          <w:p w14:paraId="242D2538" w14:textId="77777777" w:rsidR="002C0FD9" w:rsidRPr="00CA25CF" w:rsidRDefault="002C0FD9" w:rsidP="00CA25CF">
            <w:pPr>
              <w:rPr>
                <w:rFonts w:cs="Arial"/>
                <w:color w:val="FF0000"/>
                <w:sz w:val="21"/>
                <w:szCs w:val="21"/>
              </w:rPr>
            </w:pPr>
          </w:p>
        </w:tc>
        <w:tc>
          <w:tcPr>
            <w:tcW w:w="217" w:type="dxa"/>
          </w:tcPr>
          <w:p w14:paraId="72F98811" w14:textId="77777777" w:rsidR="002C0FD9" w:rsidRPr="00CA25CF" w:rsidRDefault="002C0FD9" w:rsidP="00CA25CF">
            <w:pPr>
              <w:rPr>
                <w:rFonts w:cs="Arial"/>
                <w:color w:val="FF0000"/>
                <w:sz w:val="21"/>
                <w:szCs w:val="21"/>
              </w:rPr>
            </w:pPr>
          </w:p>
        </w:tc>
        <w:tc>
          <w:tcPr>
            <w:tcW w:w="217" w:type="dxa"/>
          </w:tcPr>
          <w:p w14:paraId="69E5F340" w14:textId="77777777" w:rsidR="002C0FD9" w:rsidRPr="00CA25CF" w:rsidRDefault="002C0FD9" w:rsidP="00CA25CF">
            <w:pPr>
              <w:rPr>
                <w:rFonts w:cs="Arial"/>
                <w:color w:val="FF0000"/>
                <w:sz w:val="21"/>
                <w:szCs w:val="21"/>
              </w:rPr>
            </w:pPr>
          </w:p>
        </w:tc>
        <w:tc>
          <w:tcPr>
            <w:tcW w:w="217" w:type="dxa"/>
          </w:tcPr>
          <w:p w14:paraId="35B1E0DA" w14:textId="77777777" w:rsidR="002C0FD9" w:rsidRPr="00CA25CF" w:rsidRDefault="002C0FD9" w:rsidP="00CA25CF">
            <w:pPr>
              <w:rPr>
                <w:rFonts w:cs="Arial"/>
                <w:color w:val="FF0000"/>
                <w:sz w:val="21"/>
                <w:szCs w:val="21"/>
              </w:rPr>
            </w:pPr>
          </w:p>
        </w:tc>
        <w:tc>
          <w:tcPr>
            <w:tcW w:w="217" w:type="dxa"/>
          </w:tcPr>
          <w:p w14:paraId="040BD5AE" w14:textId="77777777" w:rsidR="002C0FD9" w:rsidRPr="00CA25CF" w:rsidRDefault="002C0FD9" w:rsidP="00CA25CF">
            <w:pPr>
              <w:rPr>
                <w:rFonts w:cs="Arial"/>
                <w:color w:val="FF0000"/>
                <w:sz w:val="21"/>
                <w:szCs w:val="21"/>
              </w:rPr>
            </w:pPr>
          </w:p>
        </w:tc>
      </w:tr>
      <w:tr w:rsidR="002C0FD9" w:rsidRPr="00A16219" w14:paraId="2C313416" w14:textId="43A68335" w:rsidTr="002C0FD9">
        <w:trPr>
          <w:trHeight w:val="635"/>
        </w:trPr>
        <w:tc>
          <w:tcPr>
            <w:tcW w:w="515" w:type="dxa"/>
          </w:tcPr>
          <w:p w14:paraId="4189F498" w14:textId="77777777" w:rsidR="002C0FD9" w:rsidRPr="00CA25CF" w:rsidRDefault="002C0FD9" w:rsidP="00CA25CF">
            <w:pPr>
              <w:rPr>
                <w:rFonts w:cs="Arial"/>
                <w:color w:val="FF0000"/>
                <w:sz w:val="21"/>
                <w:szCs w:val="21"/>
              </w:rPr>
            </w:pPr>
          </w:p>
        </w:tc>
        <w:tc>
          <w:tcPr>
            <w:tcW w:w="217" w:type="dxa"/>
          </w:tcPr>
          <w:p w14:paraId="00283417" w14:textId="77777777" w:rsidR="002C0FD9" w:rsidRPr="00CA25CF" w:rsidRDefault="002C0FD9" w:rsidP="00CA25CF">
            <w:pPr>
              <w:rPr>
                <w:rFonts w:cs="Arial"/>
                <w:color w:val="FF0000"/>
                <w:sz w:val="21"/>
                <w:szCs w:val="21"/>
              </w:rPr>
            </w:pPr>
          </w:p>
        </w:tc>
        <w:tc>
          <w:tcPr>
            <w:tcW w:w="217" w:type="dxa"/>
          </w:tcPr>
          <w:p w14:paraId="647943C8" w14:textId="25531A64" w:rsidR="002C0FD9" w:rsidRPr="00CA25CF" w:rsidRDefault="002C0FD9" w:rsidP="00CA25CF">
            <w:pPr>
              <w:rPr>
                <w:rFonts w:cs="Arial"/>
                <w:color w:val="FF0000"/>
                <w:sz w:val="21"/>
                <w:szCs w:val="21"/>
              </w:rPr>
            </w:pPr>
          </w:p>
        </w:tc>
        <w:tc>
          <w:tcPr>
            <w:tcW w:w="217" w:type="dxa"/>
          </w:tcPr>
          <w:p w14:paraId="1B2A4452" w14:textId="77777777" w:rsidR="002C0FD9" w:rsidRPr="00CA25CF" w:rsidRDefault="002C0FD9" w:rsidP="00CA25CF">
            <w:pPr>
              <w:rPr>
                <w:rFonts w:cs="Arial"/>
                <w:color w:val="FF0000"/>
                <w:sz w:val="21"/>
                <w:szCs w:val="21"/>
              </w:rPr>
            </w:pPr>
          </w:p>
        </w:tc>
        <w:tc>
          <w:tcPr>
            <w:tcW w:w="217" w:type="dxa"/>
          </w:tcPr>
          <w:p w14:paraId="3F8BD083" w14:textId="77777777" w:rsidR="002C0FD9" w:rsidRPr="00CA25CF" w:rsidRDefault="002C0FD9" w:rsidP="00CA25CF">
            <w:pPr>
              <w:rPr>
                <w:rFonts w:cs="Arial"/>
                <w:color w:val="FF0000"/>
                <w:sz w:val="21"/>
                <w:szCs w:val="21"/>
              </w:rPr>
            </w:pPr>
          </w:p>
        </w:tc>
        <w:tc>
          <w:tcPr>
            <w:tcW w:w="217" w:type="dxa"/>
          </w:tcPr>
          <w:p w14:paraId="71CAF972" w14:textId="77777777" w:rsidR="002C0FD9" w:rsidRPr="00CA25CF" w:rsidRDefault="002C0FD9" w:rsidP="00CA25CF">
            <w:pPr>
              <w:rPr>
                <w:rFonts w:cs="Arial"/>
                <w:color w:val="FF0000"/>
                <w:sz w:val="21"/>
                <w:szCs w:val="21"/>
              </w:rPr>
            </w:pPr>
          </w:p>
        </w:tc>
        <w:tc>
          <w:tcPr>
            <w:tcW w:w="217" w:type="dxa"/>
          </w:tcPr>
          <w:p w14:paraId="12D06BAD" w14:textId="77777777" w:rsidR="002C0FD9" w:rsidRPr="00CA25CF" w:rsidRDefault="002C0FD9" w:rsidP="00CA25CF">
            <w:pPr>
              <w:rPr>
                <w:rFonts w:cs="Arial"/>
                <w:color w:val="FF0000"/>
                <w:sz w:val="21"/>
                <w:szCs w:val="21"/>
              </w:rPr>
            </w:pPr>
          </w:p>
        </w:tc>
        <w:tc>
          <w:tcPr>
            <w:tcW w:w="217" w:type="dxa"/>
          </w:tcPr>
          <w:p w14:paraId="60BF767B" w14:textId="77777777" w:rsidR="002C0FD9" w:rsidRPr="00CA25CF" w:rsidRDefault="002C0FD9" w:rsidP="00CA25CF">
            <w:pPr>
              <w:rPr>
                <w:rFonts w:cs="Arial"/>
                <w:color w:val="FF0000"/>
                <w:sz w:val="21"/>
                <w:szCs w:val="21"/>
              </w:rPr>
            </w:pPr>
          </w:p>
        </w:tc>
        <w:tc>
          <w:tcPr>
            <w:tcW w:w="217" w:type="dxa"/>
          </w:tcPr>
          <w:p w14:paraId="60C46A9E" w14:textId="77777777" w:rsidR="002C0FD9" w:rsidRPr="00CA25CF" w:rsidRDefault="002C0FD9" w:rsidP="00CA25CF">
            <w:pPr>
              <w:rPr>
                <w:rFonts w:cs="Arial"/>
                <w:color w:val="FF0000"/>
                <w:sz w:val="21"/>
                <w:szCs w:val="21"/>
              </w:rPr>
            </w:pPr>
          </w:p>
        </w:tc>
        <w:tc>
          <w:tcPr>
            <w:tcW w:w="217" w:type="dxa"/>
          </w:tcPr>
          <w:p w14:paraId="6A3B2C87" w14:textId="77777777" w:rsidR="002C0FD9" w:rsidRPr="00CA25CF" w:rsidRDefault="002C0FD9" w:rsidP="00CA25CF">
            <w:pPr>
              <w:rPr>
                <w:rFonts w:cs="Arial"/>
                <w:color w:val="FF0000"/>
                <w:sz w:val="21"/>
                <w:szCs w:val="21"/>
              </w:rPr>
            </w:pPr>
          </w:p>
        </w:tc>
        <w:tc>
          <w:tcPr>
            <w:tcW w:w="217" w:type="dxa"/>
          </w:tcPr>
          <w:p w14:paraId="7B281DEB" w14:textId="77777777" w:rsidR="002C0FD9" w:rsidRPr="00CA25CF" w:rsidRDefault="002C0FD9" w:rsidP="00CA25CF">
            <w:pPr>
              <w:rPr>
                <w:rFonts w:cs="Arial"/>
                <w:color w:val="FF0000"/>
                <w:sz w:val="21"/>
                <w:szCs w:val="21"/>
              </w:rPr>
            </w:pPr>
          </w:p>
        </w:tc>
        <w:tc>
          <w:tcPr>
            <w:tcW w:w="217" w:type="dxa"/>
          </w:tcPr>
          <w:p w14:paraId="4D10A945" w14:textId="77777777" w:rsidR="002C0FD9" w:rsidRPr="00CA25CF" w:rsidRDefault="002C0FD9" w:rsidP="00CA25CF">
            <w:pPr>
              <w:rPr>
                <w:rFonts w:cs="Arial"/>
                <w:color w:val="FF0000"/>
                <w:sz w:val="21"/>
                <w:szCs w:val="21"/>
              </w:rPr>
            </w:pPr>
          </w:p>
        </w:tc>
        <w:tc>
          <w:tcPr>
            <w:tcW w:w="217" w:type="dxa"/>
          </w:tcPr>
          <w:p w14:paraId="133AA14C" w14:textId="77777777" w:rsidR="002C0FD9" w:rsidRPr="00CA25CF" w:rsidRDefault="002C0FD9" w:rsidP="00CA25CF">
            <w:pPr>
              <w:rPr>
                <w:rFonts w:cs="Arial"/>
                <w:color w:val="FF0000"/>
                <w:sz w:val="21"/>
                <w:szCs w:val="21"/>
              </w:rPr>
            </w:pPr>
          </w:p>
        </w:tc>
        <w:tc>
          <w:tcPr>
            <w:tcW w:w="217" w:type="dxa"/>
          </w:tcPr>
          <w:p w14:paraId="4B4AA34C" w14:textId="77777777" w:rsidR="002C0FD9" w:rsidRPr="00CA25CF" w:rsidRDefault="002C0FD9" w:rsidP="00CA25CF">
            <w:pPr>
              <w:rPr>
                <w:rFonts w:cs="Arial"/>
                <w:color w:val="FF0000"/>
                <w:sz w:val="21"/>
                <w:szCs w:val="21"/>
              </w:rPr>
            </w:pPr>
          </w:p>
        </w:tc>
        <w:tc>
          <w:tcPr>
            <w:tcW w:w="217" w:type="dxa"/>
          </w:tcPr>
          <w:p w14:paraId="0967676A" w14:textId="77777777" w:rsidR="002C0FD9" w:rsidRPr="00CA25CF" w:rsidRDefault="002C0FD9" w:rsidP="00CA25CF">
            <w:pPr>
              <w:rPr>
                <w:rFonts w:cs="Arial"/>
                <w:color w:val="FF0000"/>
                <w:sz w:val="21"/>
                <w:szCs w:val="21"/>
              </w:rPr>
            </w:pPr>
          </w:p>
        </w:tc>
        <w:tc>
          <w:tcPr>
            <w:tcW w:w="217" w:type="dxa"/>
          </w:tcPr>
          <w:p w14:paraId="7DED2016" w14:textId="1F9636E3" w:rsidR="002C0FD9" w:rsidRPr="00CA25CF" w:rsidRDefault="002C0FD9" w:rsidP="00CA25CF">
            <w:pPr>
              <w:rPr>
                <w:rFonts w:cs="Arial"/>
                <w:color w:val="FF0000"/>
                <w:sz w:val="21"/>
                <w:szCs w:val="21"/>
              </w:rPr>
            </w:pPr>
          </w:p>
        </w:tc>
        <w:tc>
          <w:tcPr>
            <w:tcW w:w="217" w:type="dxa"/>
          </w:tcPr>
          <w:p w14:paraId="0CF4F903" w14:textId="77777777" w:rsidR="002C0FD9" w:rsidRPr="00CA25CF" w:rsidRDefault="002C0FD9" w:rsidP="00CA25CF">
            <w:pPr>
              <w:rPr>
                <w:rFonts w:cs="Arial"/>
                <w:color w:val="FF0000"/>
                <w:sz w:val="21"/>
                <w:szCs w:val="21"/>
              </w:rPr>
            </w:pPr>
          </w:p>
        </w:tc>
        <w:tc>
          <w:tcPr>
            <w:tcW w:w="217" w:type="dxa"/>
          </w:tcPr>
          <w:p w14:paraId="2D0195B9" w14:textId="77777777" w:rsidR="002C0FD9" w:rsidRPr="00CA25CF" w:rsidRDefault="002C0FD9" w:rsidP="00CA25CF">
            <w:pPr>
              <w:rPr>
                <w:rFonts w:cs="Arial"/>
                <w:color w:val="FF0000"/>
                <w:sz w:val="21"/>
                <w:szCs w:val="21"/>
              </w:rPr>
            </w:pPr>
          </w:p>
        </w:tc>
        <w:tc>
          <w:tcPr>
            <w:tcW w:w="217" w:type="dxa"/>
          </w:tcPr>
          <w:p w14:paraId="30D9A570" w14:textId="77777777" w:rsidR="002C0FD9" w:rsidRPr="00CA25CF" w:rsidRDefault="002C0FD9" w:rsidP="00CA25CF">
            <w:pPr>
              <w:rPr>
                <w:rFonts w:cs="Arial"/>
                <w:color w:val="FF0000"/>
                <w:sz w:val="21"/>
                <w:szCs w:val="21"/>
              </w:rPr>
            </w:pPr>
          </w:p>
        </w:tc>
        <w:tc>
          <w:tcPr>
            <w:tcW w:w="217" w:type="dxa"/>
          </w:tcPr>
          <w:p w14:paraId="28AC7B40" w14:textId="77777777" w:rsidR="002C0FD9" w:rsidRPr="00CA25CF" w:rsidRDefault="002C0FD9" w:rsidP="00CA25CF">
            <w:pPr>
              <w:rPr>
                <w:rFonts w:cs="Arial"/>
                <w:color w:val="FF0000"/>
                <w:sz w:val="21"/>
                <w:szCs w:val="21"/>
              </w:rPr>
            </w:pPr>
          </w:p>
        </w:tc>
        <w:tc>
          <w:tcPr>
            <w:tcW w:w="217" w:type="dxa"/>
          </w:tcPr>
          <w:p w14:paraId="7C011D9D" w14:textId="77777777" w:rsidR="002C0FD9" w:rsidRPr="00CA25CF" w:rsidRDefault="002C0FD9" w:rsidP="00CA25CF">
            <w:pPr>
              <w:rPr>
                <w:rFonts w:cs="Arial"/>
                <w:color w:val="FF0000"/>
                <w:sz w:val="21"/>
                <w:szCs w:val="21"/>
              </w:rPr>
            </w:pPr>
          </w:p>
        </w:tc>
        <w:tc>
          <w:tcPr>
            <w:tcW w:w="217" w:type="dxa"/>
          </w:tcPr>
          <w:p w14:paraId="51DA084B" w14:textId="77777777" w:rsidR="002C0FD9" w:rsidRPr="00CA25CF" w:rsidRDefault="002C0FD9" w:rsidP="00CA25CF">
            <w:pPr>
              <w:rPr>
                <w:rFonts w:cs="Arial"/>
                <w:color w:val="FF0000"/>
                <w:sz w:val="21"/>
                <w:szCs w:val="21"/>
              </w:rPr>
            </w:pPr>
          </w:p>
        </w:tc>
        <w:tc>
          <w:tcPr>
            <w:tcW w:w="217" w:type="dxa"/>
          </w:tcPr>
          <w:p w14:paraId="66047366" w14:textId="77777777" w:rsidR="002C0FD9" w:rsidRPr="00CA25CF" w:rsidRDefault="002C0FD9" w:rsidP="00CA25CF">
            <w:pPr>
              <w:rPr>
                <w:rFonts w:cs="Arial"/>
                <w:color w:val="FF0000"/>
                <w:sz w:val="21"/>
                <w:szCs w:val="21"/>
              </w:rPr>
            </w:pPr>
          </w:p>
        </w:tc>
        <w:tc>
          <w:tcPr>
            <w:tcW w:w="217" w:type="dxa"/>
          </w:tcPr>
          <w:p w14:paraId="53CC0684" w14:textId="77777777" w:rsidR="002C0FD9" w:rsidRPr="00CA25CF" w:rsidRDefault="002C0FD9" w:rsidP="00CA25CF">
            <w:pPr>
              <w:rPr>
                <w:rFonts w:cs="Arial"/>
                <w:color w:val="FF0000"/>
                <w:sz w:val="21"/>
                <w:szCs w:val="21"/>
              </w:rPr>
            </w:pPr>
          </w:p>
        </w:tc>
        <w:tc>
          <w:tcPr>
            <w:tcW w:w="217" w:type="dxa"/>
          </w:tcPr>
          <w:p w14:paraId="5522D676" w14:textId="77777777" w:rsidR="002C0FD9" w:rsidRPr="00CA25CF" w:rsidRDefault="002C0FD9" w:rsidP="00CA25CF">
            <w:pPr>
              <w:rPr>
                <w:rFonts w:cs="Arial"/>
                <w:color w:val="FF0000"/>
                <w:sz w:val="21"/>
                <w:szCs w:val="21"/>
              </w:rPr>
            </w:pPr>
          </w:p>
        </w:tc>
        <w:tc>
          <w:tcPr>
            <w:tcW w:w="217" w:type="dxa"/>
          </w:tcPr>
          <w:p w14:paraId="348A44E9" w14:textId="77777777" w:rsidR="002C0FD9" w:rsidRPr="00CA25CF" w:rsidRDefault="002C0FD9" w:rsidP="00CA25CF">
            <w:pPr>
              <w:rPr>
                <w:rFonts w:cs="Arial"/>
                <w:color w:val="FF0000"/>
                <w:sz w:val="21"/>
                <w:szCs w:val="21"/>
              </w:rPr>
            </w:pPr>
          </w:p>
        </w:tc>
        <w:tc>
          <w:tcPr>
            <w:tcW w:w="217" w:type="dxa"/>
          </w:tcPr>
          <w:p w14:paraId="37826288" w14:textId="77777777" w:rsidR="002C0FD9" w:rsidRPr="00CA25CF" w:rsidRDefault="002C0FD9" w:rsidP="00CA25CF">
            <w:pPr>
              <w:rPr>
                <w:rFonts w:cs="Arial"/>
                <w:color w:val="FF0000"/>
                <w:sz w:val="21"/>
                <w:szCs w:val="21"/>
              </w:rPr>
            </w:pPr>
          </w:p>
        </w:tc>
        <w:tc>
          <w:tcPr>
            <w:tcW w:w="217" w:type="dxa"/>
          </w:tcPr>
          <w:p w14:paraId="200AC49D" w14:textId="77777777" w:rsidR="002C0FD9" w:rsidRPr="00CA25CF" w:rsidRDefault="002C0FD9" w:rsidP="00CA25CF">
            <w:pPr>
              <w:rPr>
                <w:rFonts w:cs="Arial"/>
                <w:color w:val="FF0000"/>
                <w:sz w:val="21"/>
                <w:szCs w:val="21"/>
              </w:rPr>
            </w:pPr>
          </w:p>
        </w:tc>
        <w:tc>
          <w:tcPr>
            <w:tcW w:w="217" w:type="dxa"/>
          </w:tcPr>
          <w:p w14:paraId="58258045" w14:textId="77777777" w:rsidR="002C0FD9" w:rsidRPr="00CA25CF" w:rsidRDefault="002C0FD9" w:rsidP="00CA25CF">
            <w:pPr>
              <w:rPr>
                <w:rFonts w:cs="Arial"/>
                <w:color w:val="FF0000"/>
                <w:sz w:val="21"/>
                <w:szCs w:val="21"/>
              </w:rPr>
            </w:pPr>
          </w:p>
        </w:tc>
        <w:tc>
          <w:tcPr>
            <w:tcW w:w="217" w:type="dxa"/>
          </w:tcPr>
          <w:p w14:paraId="31B6AA9D" w14:textId="77777777" w:rsidR="002C0FD9" w:rsidRPr="00CA25CF" w:rsidRDefault="002C0FD9" w:rsidP="00CA25CF">
            <w:pPr>
              <w:rPr>
                <w:rFonts w:cs="Arial"/>
                <w:color w:val="FF0000"/>
                <w:sz w:val="21"/>
                <w:szCs w:val="21"/>
              </w:rPr>
            </w:pPr>
          </w:p>
        </w:tc>
        <w:tc>
          <w:tcPr>
            <w:tcW w:w="217" w:type="dxa"/>
          </w:tcPr>
          <w:p w14:paraId="47BC10D1" w14:textId="77777777" w:rsidR="002C0FD9" w:rsidRPr="00CA25CF" w:rsidRDefault="002C0FD9" w:rsidP="00CA25CF">
            <w:pPr>
              <w:rPr>
                <w:rFonts w:cs="Arial"/>
                <w:color w:val="FF0000"/>
                <w:sz w:val="21"/>
                <w:szCs w:val="21"/>
              </w:rPr>
            </w:pPr>
          </w:p>
        </w:tc>
        <w:tc>
          <w:tcPr>
            <w:tcW w:w="217" w:type="dxa"/>
          </w:tcPr>
          <w:p w14:paraId="14DDFC38" w14:textId="77777777" w:rsidR="002C0FD9" w:rsidRPr="00CA25CF" w:rsidRDefault="002C0FD9" w:rsidP="00CA25CF">
            <w:pPr>
              <w:rPr>
                <w:rFonts w:cs="Arial"/>
                <w:color w:val="FF0000"/>
                <w:sz w:val="21"/>
                <w:szCs w:val="21"/>
              </w:rPr>
            </w:pPr>
          </w:p>
        </w:tc>
        <w:tc>
          <w:tcPr>
            <w:tcW w:w="217" w:type="dxa"/>
          </w:tcPr>
          <w:p w14:paraId="23219F1A" w14:textId="77777777" w:rsidR="002C0FD9" w:rsidRPr="00CA25CF" w:rsidRDefault="002C0FD9" w:rsidP="00CA25CF">
            <w:pPr>
              <w:rPr>
                <w:rFonts w:cs="Arial"/>
                <w:color w:val="FF0000"/>
                <w:sz w:val="21"/>
                <w:szCs w:val="21"/>
              </w:rPr>
            </w:pPr>
          </w:p>
        </w:tc>
        <w:tc>
          <w:tcPr>
            <w:tcW w:w="217" w:type="dxa"/>
          </w:tcPr>
          <w:p w14:paraId="5BE1691B" w14:textId="77777777" w:rsidR="002C0FD9" w:rsidRPr="00CA25CF" w:rsidRDefault="002C0FD9" w:rsidP="00CA25CF">
            <w:pPr>
              <w:rPr>
                <w:rFonts w:cs="Arial"/>
                <w:color w:val="FF0000"/>
                <w:sz w:val="21"/>
                <w:szCs w:val="21"/>
              </w:rPr>
            </w:pPr>
          </w:p>
        </w:tc>
        <w:tc>
          <w:tcPr>
            <w:tcW w:w="217" w:type="dxa"/>
          </w:tcPr>
          <w:p w14:paraId="718A27A4" w14:textId="77777777" w:rsidR="002C0FD9" w:rsidRPr="00CA25CF" w:rsidRDefault="002C0FD9" w:rsidP="00CA25CF">
            <w:pPr>
              <w:rPr>
                <w:rFonts w:cs="Arial"/>
                <w:color w:val="FF0000"/>
                <w:sz w:val="21"/>
                <w:szCs w:val="21"/>
              </w:rPr>
            </w:pPr>
          </w:p>
        </w:tc>
        <w:tc>
          <w:tcPr>
            <w:tcW w:w="217" w:type="dxa"/>
          </w:tcPr>
          <w:p w14:paraId="5C1FC1ED" w14:textId="77777777" w:rsidR="002C0FD9" w:rsidRPr="00CA25CF" w:rsidRDefault="002C0FD9" w:rsidP="00CA25CF">
            <w:pPr>
              <w:rPr>
                <w:rFonts w:cs="Arial"/>
                <w:color w:val="FF0000"/>
                <w:sz w:val="21"/>
                <w:szCs w:val="21"/>
              </w:rPr>
            </w:pPr>
          </w:p>
        </w:tc>
        <w:tc>
          <w:tcPr>
            <w:tcW w:w="217" w:type="dxa"/>
          </w:tcPr>
          <w:p w14:paraId="495F8AF9" w14:textId="77777777" w:rsidR="002C0FD9" w:rsidRPr="00CA25CF" w:rsidRDefault="002C0FD9" w:rsidP="00CA25CF">
            <w:pPr>
              <w:rPr>
                <w:rFonts w:cs="Arial"/>
                <w:color w:val="FF0000"/>
                <w:sz w:val="21"/>
                <w:szCs w:val="21"/>
              </w:rPr>
            </w:pPr>
          </w:p>
        </w:tc>
        <w:tc>
          <w:tcPr>
            <w:tcW w:w="217" w:type="dxa"/>
          </w:tcPr>
          <w:p w14:paraId="71633F2E" w14:textId="77777777" w:rsidR="002C0FD9" w:rsidRPr="00CA25CF" w:rsidRDefault="002C0FD9" w:rsidP="00CA25CF">
            <w:pPr>
              <w:rPr>
                <w:rFonts w:cs="Arial"/>
                <w:color w:val="FF0000"/>
                <w:sz w:val="21"/>
                <w:szCs w:val="21"/>
              </w:rPr>
            </w:pPr>
          </w:p>
        </w:tc>
        <w:tc>
          <w:tcPr>
            <w:tcW w:w="217" w:type="dxa"/>
          </w:tcPr>
          <w:p w14:paraId="077BC7EB" w14:textId="77777777" w:rsidR="002C0FD9" w:rsidRPr="00CA25CF" w:rsidRDefault="002C0FD9" w:rsidP="00CA25CF">
            <w:pPr>
              <w:rPr>
                <w:rFonts w:cs="Arial"/>
                <w:color w:val="FF0000"/>
                <w:sz w:val="21"/>
                <w:szCs w:val="21"/>
              </w:rPr>
            </w:pPr>
          </w:p>
        </w:tc>
        <w:tc>
          <w:tcPr>
            <w:tcW w:w="217" w:type="dxa"/>
          </w:tcPr>
          <w:p w14:paraId="32B12DC1" w14:textId="77777777" w:rsidR="002C0FD9" w:rsidRPr="00CA25CF" w:rsidRDefault="002C0FD9" w:rsidP="00CA25CF">
            <w:pPr>
              <w:rPr>
                <w:rFonts w:cs="Arial"/>
                <w:color w:val="FF0000"/>
                <w:sz w:val="21"/>
                <w:szCs w:val="21"/>
              </w:rPr>
            </w:pPr>
          </w:p>
        </w:tc>
        <w:tc>
          <w:tcPr>
            <w:tcW w:w="217" w:type="dxa"/>
          </w:tcPr>
          <w:p w14:paraId="52352578" w14:textId="77777777" w:rsidR="002C0FD9" w:rsidRPr="00CA25CF" w:rsidRDefault="002C0FD9" w:rsidP="00CA25CF">
            <w:pPr>
              <w:rPr>
                <w:rFonts w:cs="Arial"/>
                <w:color w:val="FF0000"/>
                <w:sz w:val="21"/>
                <w:szCs w:val="21"/>
              </w:rPr>
            </w:pPr>
          </w:p>
        </w:tc>
        <w:tc>
          <w:tcPr>
            <w:tcW w:w="217" w:type="dxa"/>
          </w:tcPr>
          <w:p w14:paraId="5BEB5D0F" w14:textId="77777777" w:rsidR="002C0FD9" w:rsidRPr="00CA25CF" w:rsidRDefault="002C0FD9" w:rsidP="00CA25CF">
            <w:pPr>
              <w:rPr>
                <w:rFonts w:cs="Arial"/>
                <w:color w:val="FF0000"/>
                <w:sz w:val="21"/>
                <w:szCs w:val="21"/>
              </w:rPr>
            </w:pPr>
          </w:p>
        </w:tc>
        <w:tc>
          <w:tcPr>
            <w:tcW w:w="217" w:type="dxa"/>
          </w:tcPr>
          <w:p w14:paraId="6F5DFAF0" w14:textId="77777777" w:rsidR="002C0FD9" w:rsidRPr="00CA25CF" w:rsidRDefault="002C0FD9" w:rsidP="00CA25CF">
            <w:pPr>
              <w:rPr>
                <w:rFonts w:cs="Arial"/>
                <w:color w:val="FF0000"/>
                <w:sz w:val="21"/>
                <w:szCs w:val="21"/>
              </w:rPr>
            </w:pPr>
          </w:p>
        </w:tc>
      </w:tr>
      <w:tr w:rsidR="002C0FD9" w:rsidRPr="00A16219" w14:paraId="09B9881C" w14:textId="13E069A1" w:rsidTr="002C0FD9">
        <w:trPr>
          <w:trHeight w:val="635"/>
        </w:trPr>
        <w:tc>
          <w:tcPr>
            <w:tcW w:w="515" w:type="dxa"/>
          </w:tcPr>
          <w:p w14:paraId="76A7FCF1" w14:textId="77777777" w:rsidR="002C0FD9" w:rsidRPr="00CA25CF" w:rsidRDefault="002C0FD9" w:rsidP="00CA25CF">
            <w:pPr>
              <w:rPr>
                <w:rFonts w:cs="Arial"/>
                <w:color w:val="FF0000"/>
                <w:sz w:val="21"/>
                <w:szCs w:val="21"/>
              </w:rPr>
            </w:pPr>
          </w:p>
        </w:tc>
        <w:tc>
          <w:tcPr>
            <w:tcW w:w="217" w:type="dxa"/>
          </w:tcPr>
          <w:p w14:paraId="2AE6F715" w14:textId="77777777" w:rsidR="002C0FD9" w:rsidRPr="00CA25CF" w:rsidRDefault="002C0FD9" w:rsidP="00CA25CF">
            <w:pPr>
              <w:rPr>
                <w:rFonts w:cs="Arial"/>
                <w:color w:val="FF0000"/>
                <w:sz w:val="21"/>
                <w:szCs w:val="21"/>
              </w:rPr>
            </w:pPr>
          </w:p>
        </w:tc>
        <w:tc>
          <w:tcPr>
            <w:tcW w:w="217" w:type="dxa"/>
          </w:tcPr>
          <w:p w14:paraId="259F984C" w14:textId="5AE5547C" w:rsidR="002C0FD9" w:rsidRPr="00CA25CF" w:rsidRDefault="002C0FD9" w:rsidP="00CA25CF">
            <w:pPr>
              <w:rPr>
                <w:rFonts w:cs="Arial"/>
                <w:color w:val="FF0000"/>
                <w:sz w:val="21"/>
                <w:szCs w:val="21"/>
              </w:rPr>
            </w:pPr>
          </w:p>
        </w:tc>
        <w:tc>
          <w:tcPr>
            <w:tcW w:w="217" w:type="dxa"/>
          </w:tcPr>
          <w:p w14:paraId="76A260EA" w14:textId="77777777" w:rsidR="002C0FD9" w:rsidRPr="00CA25CF" w:rsidRDefault="002C0FD9" w:rsidP="00CA25CF">
            <w:pPr>
              <w:rPr>
                <w:rFonts w:cs="Arial"/>
                <w:color w:val="FF0000"/>
                <w:sz w:val="21"/>
                <w:szCs w:val="21"/>
              </w:rPr>
            </w:pPr>
          </w:p>
        </w:tc>
        <w:tc>
          <w:tcPr>
            <w:tcW w:w="217" w:type="dxa"/>
          </w:tcPr>
          <w:p w14:paraId="4E6CF1E2" w14:textId="77777777" w:rsidR="002C0FD9" w:rsidRPr="00CA25CF" w:rsidRDefault="002C0FD9" w:rsidP="00CA25CF">
            <w:pPr>
              <w:rPr>
                <w:rFonts w:cs="Arial"/>
                <w:color w:val="FF0000"/>
                <w:sz w:val="21"/>
                <w:szCs w:val="21"/>
              </w:rPr>
            </w:pPr>
          </w:p>
        </w:tc>
        <w:tc>
          <w:tcPr>
            <w:tcW w:w="217" w:type="dxa"/>
          </w:tcPr>
          <w:p w14:paraId="44885520" w14:textId="77777777" w:rsidR="002C0FD9" w:rsidRPr="00CA25CF" w:rsidRDefault="002C0FD9" w:rsidP="00CA25CF">
            <w:pPr>
              <w:rPr>
                <w:rFonts w:cs="Arial"/>
                <w:color w:val="FF0000"/>
                <w:sz w:val="21"/>
                <w:szCs w:val="21"/>
              </w:rPr>
            </w:pPr>
          </w:p>
        </w:tc>
        <w:tc>
          <w:tcPr>
            <w:tcW w:w="217" w:type="dxa"/>
          </w:tcPr>
          <w:p w14:paraId="3D36874A" w14:textId="77777777" w:rsidR="002C0FD9" w:rsidRPr="00CA25CF" w:rsidRDefault="002C0FD9" w:rsidP="00CA25CF">
            <w:pPr>
              <w:rPr>
                <w:rFonts w:cs="Arial"/>
                <w:color w:val="FF0000"/>
                <w:sz w:val="21"/>
                <w:szCs w:val="21"/>
              </w:rPr>
            </w:pPr>
          </w:p>
        </w:tc>
        <w:tc>
          <w:tcPr>
            <w:tcW w:w="217" w:type="dxa"/>
          </w:tcPr>
          <w:p w14:paraId="6FF0F37A" w14:textId="77777777" w:rsidR="002C0FD9" w:rsidRPr="00CA25CF" w:rsidRDefault="002C0FD9" w:rsidP="00CA25CF">
            <w:pPr>
              <w:rPr>
                <w:rFonts w:cs="Arial"/>
                <w:color w:val="FF0000"/>
                <w:sz w:val="21"/>
                <w:szCs w:val="21"/>
              </w:rPr>
            </w:pPr>
          </w:p>
        </w:tc>
        <w:tc>
          <w:tcPr>
            <w:tcW w:w="217" w:type="dxa"/>
          </w:tcPr>
          <w:p w14:paraId="7C324360" w14:textId="77777777" w:rsidR="002C0FD9" w:rsidRPr="00CA25CF" w:rsidRDefault="002C0FD9" w:rsidP="00CA25CF">
            <w:pPr>
              <w:rPr>
                <w:rFonts w:cs="Arial"/>
                <w:color w:val="FF0000"/>
                <w:sz w:val="21"/>
                <w:szCs w:val="21"/>
              </w:rPr>
            </w:pPr>
          </w:p>
        </w:tc>
        <w:tc>
          <w:tcPr>
            <w:tcW w:w="217" w:type="dxa"/>
          </w:tcPr>
          <w:p w14:paraId="2F4FBDD3" w14:textId="77777777" w:rsidR="002C0FD9" w:rsidRPr="00CA25CF" w:rsidRDefault="002C0FD9" w:rsidP="00CA25CF">
            <w:pPr>
              <w:rPr>
                <w:rFonts w:cs="Arial"/>
                <w:color w:val="FF0000"/>
                <w:sz w:val="21"/>
                <w:szCs w:val="21"/>
              </w:rPr>
            </w:pPr>
          </w:p>
        </w:tc>
        <w:tc>
          <w:tcPr>
            <w:tcW w:w="217" w:type="dxa"/>
          </w:tcPr>
          <w:p w14:paraId="21321C8C" w14:textId="77777777" w:rsidR="002C0FD9" w:rsidRPr="00CA25CF" w:rsidRDefault="002C0FD9" w:rsidP="00CA25CF">
            <w:pPr>
              <w:rPr>
                <w:rFonts w:cs="Arial"/>
                <w:color w:val="FF0000"/>
                <w:sz w:val="21"/>
                <w:szCs w:val="21"/>
              </w:rPr>
            </w:pPr>
          </w:p>
        </w:tc>
        <w:tc>
          <w:tcPr>
            <w:tcW w:w="217" w:type="dxa"/>
          </w:tcPr>
          <w:p w14:paraId="1A7DF8FC" w14:textId="77777777" w:rsidR="002C0FD9" w:rsidRPr="00CA25CF" w:rsidRDefault="002C0FD9" w:rsidP="00CA25CF">
            <w:pPr>
              <w:rPr>
                <w:rFonts w:cs="Arial"/>
                <w:color w:val="FF0000"/>
                <w:sz w:val="21"/>
                <w:szCs w:val="21"/>
              </w:rPr>
            </w:pPr>
          </w:p>
        </w:tc>
        <w:tc>
          <w:tcPr>
            <w:tcW w:w="217" w:type="dxa"/>
          </w:tcPr>
          <w:p w14:paraId="6DC59204" w14:textId="77777777" w:rsidR="002C0FD9" w:rsidRPr="00CA25CF" w:rsidRDefault="002C0FD9" w:rsidP="00CA25CF">
            <w:pPr>
              <w:rPr>
                <w:rFonts w:cs="Arial"/>
                <w:color w:val="FF0000"/>
                <w:sz w:val="21"/>
                <w:szCs w:val="21"/>
              </w:rPr>
            </w:pPr>
          </w:p>
        </w:tc>
        <w:tc>
          <w:tcPr>
            <w:tcW w:w="217" w:type="dxa"/>
          </w:tcPr>
          <w:p w14:paraId="4F7FA5AE" w14:textId="77777777" w:rsidR="002C0FD9" w:rsidRPr="00CA25CF" w:rsidRDefault="002C0FD9" w:rsidP="00CA25CF">
            <w:pPr>
              <w:rPr>
                <w:rFonts w:cs="Arial"/>
                <w:color w:val="FF0000"/>
                <w:sz w:val="21"/>
                <w:szCs w:val="21"/>
              </w:rPr>
            </w:pPr>
          </w:p>
        </w:tc>
        <w:tc>
          <w:tcPr>
            <w:tcW w:w="217" w:type="dxa"/>
          </w:tcPr>
          <w:p w14:paraId="6F03D235" w14:textId="77777777" w:rsidR="002C0FD9" w:rsidRPr="00CA25CF" w:rsidRDefault="002C0FD9" w:rsidP="00CA25CF">
            <w:pPr>
              <w:rPr>
                <w:rFonts w:cs="Arial"/>
                <w:color w:val="FF0000"/>
                <w:sz w:val="21"/>
                <w:szCs w:val="21"/>
              </w:rPr>
            </w:pPr>
          </w:p>
        </w:tc>
        <w:tc>
          <w:tcPr>
            <w:tcW w:w="217" w:type="dxa"/>
          </w:tcPr>
          <w:p w14:paraId="52B73E96" w14:textId="7916D690" w:rsidR="002C0FD9" w:rsidRPr="00CA25CF" w:rsidRDefault="002C0FD9" w:rsidP="00CA25CF">
            <w:pPr>
              <w:rPr>
                <w:rFonts w:cs="Arial"/>
                <w:color w:val="FF0000"/>
                <w:sz w:val="21"/>
                <w:szCs w:val="21"/>
              </w:rPr>
            </w:pPr>
          </w:p>
        </w:tc>
        <w:tc>
          <w:tcPr>
            <w:tcW w:w="217" w:type="dxa"/>
          </w:tcPr>
          <w:p w14:paraId="5AE8ECC3" w14:textId="77777777" w:rsidR="002C0FD9" w:rsidRPr="00CA25CF" w:rsidRDefault="002C0FD9" w:rsidP="00CA25CF">
            <w:pPr>
              <w:rPr>
                <w:rFonts w:cs="Arial"/>
                <w:color w:val="FF0000"/>
                <w:sz w:val="21"/>
                <w:szCs w:val="21"/>
              </w:rPr>
            </w:pPr>
          </w:p>
        </w:tc>
        <w:tc>
          <w:tcPr>
            <w:tcW w:w="217" w:type="dxa"/>
          </w:tcPr>
          <w:p w14:paraId="34CFE0BD" w14:textId="77777777" w:rsidR="002C0FD9" w:rsidRPr="00CA25CF" w:rsidRDefault="002C0FD9" w:rsidP="00CA25CF">
            <w:pPr>
              <w:rPr>
                <w:rFonts w:cs="Arial"/>
                <w:color w:val="FF0000"/>
                <w:sz w:val="21"/>
                <w:szCs w:val="21"/>
              </w:rPr>
            </w:pPr>
          </w:p>
        </w:tc>
        <w:tc>
          <w:tcPr>
            <w:tcW w:w="217" w:type="dxa"/>
          </w:tcPr>
          <w:p w14:paraId="25ED7BB8" w14:textId="77777777" w:rsidR="002C0FD9" w:rsidRPr="00CA25CF" w:rsidRDefault="002C0FD9" w:rsidP="00CA25CF">
            <w:pPr>
              <w:rPr>
                <w:rFonts w:cs="Arial"/>
                <w:color w:val="FF0000"/>
                <w:sz w:val="21"/>
                <w:szCs w:val="21"/>
              </w:rPr>
            </w:pPr>
          </w:p>
        </w:tc>
        <w:tc>
          <w:tcPr>
            <w:tcW w:w="217" w:type="dxa"/>
          </w:tcPr>
          <w:p w14:paraId="22AFF925" w14:textId="77777777" w:rsidR="002C0FD9" w:rsidRPr="00CA25CF" w:rsidRDefault="002C0FD9" w:rsidP="00CA25CF">
            <w:pPr>
              <w:rPr>
                <w:rFonts w:cs="Arial"/>
                <w:color w:val="FF0000"/>
                <w:sz w:val="21"/>
                <w:szCs w:val="21"/>
              </w:rPr>
            </w:pPr>
          </w:p>
        </w:tc>
        <w:tc>
          <w:tcPr>
            <w:tcW w:w="217" w:type="dxa"/>
          </w:tcPr>
          <w:p w14:paraId="53F5B5DD" w14:textId="77777777" w:rsidR="002C0FD9" w:rsidRPr="00CA25CF" w:rsidRDefault="002C0FD9" w:rsidP="00CA25CF">
            <w:pPr>
              <w:rPr>
                <w:rFonts w:cs="Arial"/>
                <w:color w:val="FF0000"/>
                <w:sz w:val="21"/>
                <w:szCs w:val="21"/>
              </w:rPr>
            </w:pPr>
          </w:p>
        </w:tc>
        <w:tc>
          <w:tcPr>
            <w:tcW w:w="217" w:type="dxa"/>
          </w:tcPr>
          <w:p w14:paraId="144ECCAF" w14:textId="77777777" w:rsidR="002C0FD9" w:rsidRPr="00CA25CF" w:rsidRDefault="002C0FD9" w:rsidP="00CA25CF">
            <w:pPr>
              <w:rPr>
                <w:rFonts w:cs="Arial"/>
                <w:color w:val="FF0000"/>
                <w:sz w:val="21"/>
                <w:szCs w:val="21"/>
              </w:rPr>
            </w:pPr>
          </w:p>
        </w:tc>
        <w:tc>
          <w:tcPr>
            <w:tcW w:w="217" w:type="dxa"/>
          </w:tcPr>
          <w:p w14:paraId="23410567" w14:textId="77777777" w:rsidR="002C0FD9" w:rsidRPr="00CA25CF" w:rsidRDefault="002C0FD9" w:rsidP="00CA25CF">
            <w:pPr>
              <w:rPr>
                <w:rFonts w:cs="Arial"/>
                <w:color w:val="FF0000"/>
                <w:sz w:val="21"/>
                <w:szCs w:val="21"/>
              </w:rPr>
            </w:pPr>
          </w:p>
        </w:tc>
        <w:tc>
          <w:tcPr>
            <w:tcW w:w="217" w:type="dxa"/>
          </w:tcPr>
          <w:p w14:paraId="107917F0" w14:textId="77777777" w:rsidR="002C0FD9" w:rsidRPr="00CA25CF" w:rsidRDefault="002C0FD9" w:rsidP="00CA25CF">
            <w:pPr>
              <w:rPr>
                <w:rFonts w:cs="Arial"/>
                <w:color w:val="FF0000"/>
                <w:sz w:val="21"/>
                <w:szCs w:val="21"/>
              </w:rPr>
            </w:pPr>
          </w:p>
        </w:tc>
        <w:tc>
          <w:tcPr>
            <w:tcW w:w="217" w:type="dxa"/>
          </w:tcPr>
          <w:p w14:paraId="10980BA9" w14:textId="77777777" w:rsidR="002C0FD9" w:rsidRPr="00CA25CF" w:rsidRDefault="002C0FD9" w:rsidP="00CA25CF">
            <w:pPr>
              <w:rPr>
                <w:rFonts w:cs="Arial"/>
                <w:color w:val="FF0000"/>
                <w:sz w:val="21"/>
                <w:szCs w:val="21"/>
              </w:rPr>
            </w:pPr>
          </w:p>
        </w:tc>
        <w:tc>
          <w:tcPr>
            <w:tcW w:w="217" w:type="dxa"/>
          </w:tcPr>
          <w:p w14:paraId="34041216" w14:textId="77777777" w:rsidR="002C0FD9" w:rsidRPr="00CA25CF" w:rsidRDefault="002C0FD9" w:rsidP="00CA25CF">
            <w:pPr>
              <w:rPr>
                <w:rFonts w:cs="Arial"/>
                <w:color w:val="FF0000"/>
                <w:sz w:val="21"/>
                <w:szCs w:val="21"/>
              </w:rPr>
            </w:pPr>
          </w:p>
        </w:tc>
        <w:tc>
          <w:tcPr>
            <w:tcW w:w="217" w:type="dxa"/>
          </w:tcPr>
          <w:p w14:paraId="1B36989B" w14:textId="77777777" w:rsidR="002C0FD9" w:rsidRPr="00CA25CF" w:rsidRDefault="002C0FD9" w:rsidP="00CA25CF">
            <w:pPr>
              <w:rPr>
                <w:rFonts w:cs="Arial"/>
                <w:color w:val="FF0000"/>
                <w:sz w:val="21"/>
                <w:szCs w:val="21"/>
              </w:rPr>
            </w:pPr>
          </w:p>
        </w:tc>
        <w:tc>
          <w:tcPr>
            <w:tcW w:w="217" w:type="dxa"/>
          </w:tcPr>
          <w:p w14:paraId="18893825" w14:textId="77777777" w:rsidR="002C0FD9" w:rsidRPr="00CA25CF" w:rsidRDefault="002C0FD9" w:rsidP="00CA25CF">
            <w:pPr>
              <w:rPr>
                <w:rFonts w:cs="Arial"/>
                <w:color w:val="FF0000"/>
                <w:sz w:val="21"/>
                <w:szCs w:val="21"/>
              </w:rPr>
            </w:pPr>
          </w:p>
        </w:tc>
        <w:tc>
          <w:tcPr>
            <w:tcW w:w="217" w:type="dxa"/>
          </w:tcPr>
          <w:p w14:paraId="633BA201" w14:textId="77777777" w:rsidR="002C0FD9" w:rsidRPr="00CA25CF" w:rsidRDefault="002C0FD9" w:rsidP="00CA25CF">
            <w:pPr>
              <w:rPr>
                <w:rFonts w:cs="Arial"/>
                <w:color w:val="FF0000"/>
                <w:sz w:val="21"/>
                <w:szCs w:val="21"/>
              </w:rPr>
            </w:pPr>
          </w:p>
        </w:tc>
        <w:tc>
          <w:tcPr>
            <w:tcW w:w="217" w:type="dxa"/>
          </w:tcPr>
          <w:p w14:paraId="01C2F3E8" w14:textId="77777777" w:rsidR="002C0FD9" w:rsidRPr="00CA25CF" w:rsidRDefault="002C0FD9" w:rsidP="00CA25CF">
            <w:pPr>
              <w:rPr>
                <w:rFonts w:cs="Arial"/>
                <w:color w:val="FF0000"/>
                <w:sz w:val="21"/>
                <w:szCs w:val="21"/>
              </w:rPr>
            </w:pPr>
          </w:p>
        </w:tc>
        <w:tc>
          <w:tcPr>
            <w:tcW w:w="217" w:type="dxa"/>
          </w:tcPr>
          <w:p w14:paraId="2F13C234" w14:textId="77777777" w:rsidR="002C0FD9" w:rsidRPr="00CA25CF" w:rsidRDefault="002C0FD9" w:rsidP="00CA25CF">
            <w:pPr>
              <w:rPr>
                <w:rFonts w:cs="Arial"/>
                <w:color w:val="FF0000"/>
                <w:sz w:val="21"/>
                <w:szCs w:val="21"/>
              </w:rPr>
            </w:pPr>
          </w:p>
        </w:tc>
        <w:tc>
          <w:tcPr>
            <w:tcW w:w="217" w:type="dxa"/>
          </w:tcPr>
          <w:p w14:paraId="240E2434" w14:textId="77777777" w:rsidR="002C0FD9" w:rsidRPr="00CA25CF" w:rsidRDefault="002C0FD9" w:rsidP="00CA25CF">
            <w:pPr>
              <w:rPr>
                <w:rFonts w:cs="Arial"/>
                <w:color w:val="FF0000"/>
                <w:sz w:val="21"/>
                <w:szCs w:val="21"/>
              </w:rPr>
            </w:pPr>
          </w:p>
        </w:tc>
        <w:tc>
          <w:tcPr>
            <w:tcW w:w="217" w:type="dxa"/>
          </w:tcPr>
          <w:p w14:paraId="4D8FAB2B" w14:textId="77777777" w:rsidR="002C0FD9" w:rsidRPr="00CA25CF" w:rsidRDefault="002C0FD9" w:rsidP="00CA25CF">
            <w:pPr>
              <w:rPr>
                <w:rFonts w:cs="Arial"/>
                <w:color w:val="FF0000"/>
                <w:sz w:val="21"/>
                <w:szCs w:val="21"/>
              </w:rPr>
            </w:pPr>
          </w:p>
        </w:tc>
        <w:tc>
          <w:tcPr>
            <w:tcW w:w="217" w:type="dxa"/>
          </w:tcPr>
          <w:p w14:paraId="1BA66704" w14:textId="77777777" w:rsidR="002C0FD9" w:rsidRPr="00CA25CF" w:rsidRDefault="002C0FD9" w:rsidP="00CA25CF">
            <w:pPr>
              <w:rPr>
                <w:rFonts w:cs="Arial"/>
                <w:color w:val="FF0000"/>
                <w:sz w:val="21"/>
                <w:szCs w:val="21"/>
              </w:rPr>
            </w:pPr>
          </w:p>
        </w:tc>
        <w:tc>
          <w:tcPr>
            <w:tcW w:w="217" w:type="dxa"/>
          </w:tcPr>
          <w:p w14:paraId="59CAC87D" w14:textId="77777777" w:rsidR="002C0FD9" w:rsidRPr="00CA25CF" w:rsidRDefault="002C0FD9" w:rsidP="00CA25CF">
            <w:pPr>
              <w:rPr>
                <w:rFonts w:cs="Arial"/>
                <w:color w:val="FF0000"/>
                <w:sz w:val="21"/>
                <w:szCs w:val="21"/>
              </w:rPr>
            </w:pPr>
          </w:p>
        </w:tc>
        <w:tc>
          <w:tcPr>
            <w:tcW w:w="217" w:type="dxa"/>
          </w:tcPr>
          <w:p w14:paraId="537A3A8D" w14:textId="77777777" w:rsidR="002C0FD9" w:rsidRPr="00CA25CF" w:rsidRDefault="002C0FD9" w:rsidP="00CA25CF">
            <w:pPr>
              <w:rPr>
                <w:rFonts w:cs="Arial"/>
                <w:color w:val="FF0000"/>
                <w:sz w:val="21"/>
                <w:szCs w:val="21"/>
              </w:rPr>
            </w:pPr>
          </w:p>
        </w:tc>
        <w:tc>
          <w:tcPr>
            <w:tcW w:w="217" w:type="dxa"/>
          </w:tcPr>
          <w:p w14:paraId="13251695" w14:textId="77777777" w:rsidR="002C0FD9" w:rsidRPr="00CA25CF" w:rsidRDefault="002C0FD9" w:rsidP="00CA25CF">
            <w:pPr>
              <w:rPr>
                <w:rFonts w:cs="Arial"/>
                <w:color w:val="FF0000"/>
                <w:sz w:val="21"/>
                <w:szCs w:val="21"/>
              </w:rPr>
            </w:pPr>
          </w:p>
        </w:tc>
        <w:tc>
          <w:tcPr>
            <w:tcW w:w="217" w:type="dxa"/>
          </w:tcPr>
          <w:p w14:paraId="10E00010" w14:textId="77777777" w:rsidR="002C0FD9" w:rsidRPr="00CA25CF" w:rsidRDefault="002C0FD9" w:rsidP="00CA25CF">
            <w:pPr>
              <w:rPr>
                <w:rFonts w:cs="Arial"/>
                <w:color w:val="FF0000"/>
                <w:sz w:val="21"/>
                <w:szCs w:val="21"/>
              </w:rPr>
            </w:pPr>
          </w:p>
        </w:tc>
        <w:tc>
          <w:tcPr>
            <w:tcW w:w="217" w:type="dxa"/>
          </w:tcPr>
          <w:p w14:paraId="7C6F268C" w14:textId="77777777" w:rsidR="002C0FD9" w:rsidRPr="00CA25CF" w:rsidRDefault="002C0FD9" w:rsidP="00CA25CF">
            <w:pPr>
              <w:rPr>
                <w:rFonts w:cs="Arial"/>
                <w:color w:val="FF0000"/>
                <w:sz w:val="21"/>
                <w:szCs w:val="21"/>
              </w:rPr>
            </w:pPr>
          </w:p>
        </w:tc>
        <w:tc>
          <w:tcPr>
            <w:tcW w:w="217" w:type="dxa"/>
          </w:tcPr>
          <w:p w14:paraId="4F26C6AA" w14:textId="77777777" w:rsidR="002C0FD9" w:rsidRPr="00CA25CF" w:rsidRDefault="002C0FD9" w:rsidP="00CA25CF">
            <w:pPr>
              <w:rPr>
                <w:rFonts w:cs="Arial"/>
                <w:color w:val="FF0000"/>
                <w:sz w:val="21"/>
                <w:szCs w:val="21"/>
              </w:rPr>
            </w:pPr>
          </w:p>
        </w:tc>
        <w:tc>
          <w:tcPr>
            <w:tcW w:w="217" w:type="dxa"/>
          </w:tcPr>
          <w:p w14:paraId="1DA040B3" w14:textId="77777777" w:rsidR="002C0FD9" w:rsidRPr="00CA25CF" w:rsidRDefault="002C0FD9" w:rsidP="00CA25CF">
            <w:pPr>
              <w:rPr>
                <w:rFonts w:cs="Arial"/>
                <w:color w:val="FF0000"/>
                <w:sz w:val="21"/>
                <w:szCs w:val="21"/>
              </w:rPr>
            </w:pPr>
          </w:p>
        </w:tc>
        <w:tc>
          <w:tcPr>
            <w:tcW w:w="217" w:type="dxa"/>
          </w:tcPr>
          <w:p w14:paraId="27DEDDCF" w14:textId="77777777" w:rsidR="002C0FD9" w:rsidRPr="00CA25CF" w:rsidRDefault="002C0FD9" w:rsidP="00CA25CF">
            <w:pPr>
              <w:rPr>
                <w:rFonts w:cs="Arial"/>
                <w:color w:val="FF0000"/>
                <w:sz w:val="21"/>
                <w:szCs w:val="21"/>
              </w:rPr>
            </w:pPr>
          </w:p>
        </w:tc>
        <w:tc>
          <w:tcPr>
            <w:tcW w:w="217" w:type="dxa"/>
          </w:tcPr>
          <w:p w14:paraId="2BF00C51" w14:textId="77777777" w:rsidR="002C0FD9" w:rsidRPr="00CA25CF" w:rsidRDefault="002C0FD9" w:rsidP="00CA25CF">
            <w:pPr>
              <w:rPr>
                <w:rFonts w:cs="Arial"/>
                <w:color w:val="FF0000"/>
                <w:sz w:val="21"/>
                <w:szCs w:val="21"/>
              </w:rPr>
            </w:pPr>
          </w:p>
        </w:tc>
      </w:tr>
      <w:tr w:rsidR="002C0FD9" w:rsidRPr="00A16219" w14:paraId="3EC6A39B" w14:textId="0517E8C7" w:rsidTr="002C0FD9">
        <w:trPr>
          <w:trHeight w:val="635"/>
        </w:trPr>
        <w:tc>
          <w:tcPr>
            <w:tcW w:w="515" w:type="dxa"/>
          </w:tcPr>
          <w:p w14:paraId="2DA74628" w14:textId="77777777" w:rsidR="002C0FD9" w:rsidRPr="00CA25CF" w:rsidRDefault="002C0FD9" w:rsidP="00CA25CF">
            <w:pPr>
              <w:rPr>
                <w:rFonts w:cs="Arial"/>
                <w:color w:val="FF0000"/>
                <w:sz w:val="21"/>
                <w:szCs w:val="21"/>
              </w:rPr>
            </w:pPr>
          </w:p>
        </w:tc>
        <w:tc>
          <w:tcPr>
            <w:tcW w:w="217" w:type="dxa"/>
          </w:tcPr>
          <w:p w14:paraId="1BABEB8F" w14:textId="77777777" w:rsidR="002C0FD9" w:rsidRPr="00CA25CF" w:rsidRDefault="002C0FD9" w:rsidP="00CA25CF">
            <w:pPr>
              <w:rPr>
                <w:rFonts w:cs="Arial"/>
                <w:color w:val="FF0000"/>
                <w:sz w:val="21"/>
                <w:szCs w:val="21"/>
              </w:rPr>
            </w:pPr>
          </w:p>
        </w:tc>
        <w:tc>
          <w:tcPr>
            <w:tcW w:w="217" w:type="dxa"/>
          </w:tcPr>
          <w:p w14:paraId="053B37EA" w14:textId="283BDD77" w:rsidR="002C0FD9" w:rsidRPr="00CA25CF" w:rsidRDefault="002C0FD9" w:rsidP="00CA25CF">
            <w:pPr>
              <w:rPr>
                <w:rFonts w:cs="Arial"/>
                <w:color w:val="FF0000"/>
                <w:sz w:val="21"/>
                <w:szCs w:val="21"/>
              </w:rPr>
            </w:pPr>
          </w:p>
        </w:tc>
        <w:tc>
          <w:tcPr>
            <w:tcW w:w="217" w:type="dxa"/>
          </w:tcPr>
          <w:p w14:paraId="4BDCB525" w14:textId="77777777" w:rsidR="002C0FD9" w:rsidRPr="00CA25CF" w:rsidRDefault="002C0FD9" w:rsidP="00CA25CF">
            <w:pPr>
              <w:rPr>
                <w:rFonts w:cs="Arial"/>
                <w:color w:val="FF0000"/>
                <w:sz w:val="21"/>
                <w:szCs w:val="21"/>
              </w:rPr>
            </w:pPr>
          </w:p>
        </w:tc>
        <w:tc>
          <w:tcPr>
            <w:tcW w:w="217" w:type="dxa"/>
          </w:tcPr>
          <w:p w14:paraId="6D1E1B90" w14:textId="77777777" w:rsidR="002C0FD9" w:rsidRPr="00CA25CF" w:rsidRDefault="002C0FD9" w:rsidP="00CA25CF">
            <w:pPr>
              <w:rPr>
                <w:rFonts w:cs="Arial"/>
                <w:color w:val="FF0000"/>
                <w:sz w:val="21"/>
                <w:szCs w:val="21"/>
              </w:rPr>
            </w:pPr>
          </w:p>
        </w:tc>
        <w:tc>
          <w:tcPr>
            <w:tcW w:w="217" w:type="dxa"/>
          </w:tcPr>
          <w:p w14:paraId="37145C53" w14:textId="77777777" w:rsidR="002C0FD9" w:rsidRPr="00CA25CF" w:rsidRDefault="002C0FD9" w:rsidP="00CA25CF">
            <w:pPr>
              <w:rPr>
                <w:rFonts w:cs="Arial"/>
                <w:color w:val="FF0000"/>
                <w:sz w:val="21"/>
                <w:szCs w:val="21"/>
              </w:rPr>
            </w:pPr>
          </w:p>
        </w:tc>
        <w:tc>
          <w:tcPr>
            <w:tcW w:w="217" w:type="dxa"/>
          </w:tcPr>
          <w:p w14:paraId="23269D1E" w14:textId="77777777" w:rsidR="002C0FD9" w:rsidRPr="00CA25CF" w:rsidRDefault="002C0FD9" w:rsidP="00CA25CF">
            <w:pPr>
              <w:rPr>
                <w:rFonts w:cs="Arial"/>
                <w:color w:val="FF0000"/>
                <w:sz w:val="21"/>
                <w:szCs w:val="21"/>
              </w:rPr>
            </w:pPr>
          </w:p>
        </w:tc>
        <w:tc>
          <w:tcPr>
            <w:tcW w:w="217" w:type="dxa"/>
          </w:tcPr>
          <w:p w14:paraId="1B664DE2" w14:textId="77777777" w:rsidR="002C0FD9" w:rsidRPr="00CA25CF" w:rsidRDefault="002C0FD9" w:rsidP="00CA25CF">
            <w:pPr>
              <w:rPr>
                <w:rFonts w:cs="Arial"/>
                <w:color w:val="FF0000"/>
                <w:sz w:val="21"/>
                <w:szCs w:val="21"/>
              </w:rPr>
            </w:pPr>
          </w:p>
        </w:tc>
        <w:tc>
          <w:tcPr>
            <w:tcW w:w="217" w:type="dxa"/>
          </w:tcPr>
          <w:p w14:paraId="39AEF179" w14:textId="77777777" w:rsidR="002C0FD9" w:rsidRPr="00CA25CF" w:rsidRDefault="002C0FD9" w:rsidP="00CA25CF">
            <w:pPr>
              <w:rPr>
                <w:rFonts w:cs="Arial"/>
                <w:color w:val="FF0000"/>
                <w:sz w:val="21"/>
                <w:szCs w:val="21"/>
              </w:rPr>
            </w:pPr>
          </w:p>
        </w:tc>
        <w:tc>
          <w:tcPr>
            <w:tcW w:w="217" w:type="dxa"/>
          </w:tcPr>
          <w:p w14:paraId="0772940A" w14:textId="77777777" w:rsidR="002C0FD9" w:rsidRPr="00CA25CF" w:rsidRDefault="002C0FD9" w:rsidP="00CA25CF">
            <w:pPr>
              <w:rPr>
                <w:rFonts w:cs="Arial"/>
                <w:color w:val="FF0000"/>
                <w:sz w:val="21"/>
                <w:szCs w:val="21"/>
              </w:rPr>
            </w:pPr>
          </w:p>
        </w:tc>
        <w:tc>
          <w:tcPr>
            <w:tcW w:w="217" w:type="dxa"/>
          </w:tcPr>
          <w:p w14:paraId="51A5F862" w14:textId="77777777" w:rsidR="002C0FD9" w:rsidRPr="00CA25CF" w:rsidRDefault="002C0FD9" w:rsidP="00CA25CF">
            <w:pPr>
              <w:rPr>
                <w:rFonts w:cs="Arial"/>
                <w:color w:val="FF0000"/>
                <w:sz w:val="21"/>
                <w:szCs w:val="21"/>
              </w:rPr>
            </w:pPr>
          </w:p>
        </w:tc>
        <w:tc>
          <w:tcPr>
            <w:tcW w:w="217" w:type="dxa"/>
          </w:tcPr>
          <w:p w14:paraId="67369CA5" w14:textId="77777777" w:rsidR="002C0FD9" w:rsidRPr="00CA25CF" w:rsidRDefault="002C0FD9" w:rsidP="00CA25CF">
            <w:pPr>
              <w:rPr>
                <w:rFonts w:cs="Arial"/>
                <w:color w:val="FF0000"/>
                <w:sz w:val="21"/>
                <w:szCs w:val="21"/>
              </w:rPr>
            </w:pPr>
          </w:p>
        </w:tc>
        <w:tc>
          <w:tcPr>
            <w:tcW w:w="217" w:type="dxa"/>
          </w:tcPr>
          <w:p w14:paraId="35244600" w14:textId="77777777" w:rsidR="002C0FD9" w:rsidRPr="00CA25CF" w:rsidRDefault="002C0FD9" w:rsidP="00CA25CF">
            <w:pPr>
              <w:rPr>
                <w:rFonts w:cs="Arial"/>
                <w:color w:val="FF0000"/>
                <w:sz w:val="21"/>
                <w:szCs w:val="21"/>
              </w:rPr>
            </w:pPr>
          </w:p>
        </w:tc>
        <w:tc>
          <w:tcPr>
            <w:tcW w:w="217" w:type="dxa"/>
          </w:tcPr>
          <w:p w14:paraId="4B9E4298" w14:textId="77777777" w:rsidR="002C0FD9" w:rsidRPr="00CA25CF" w:rsidRDefault="002C0FD9" w:rsidP="00CA25CF">
            <w:pPr>
              <w:rPr>
                <w:rFonts w:cs="Arial"/>
                <w:color w:val="FF0000"/>
                <w:sz w:val="21"/>
                <w:szCs w:val="21"/>
              </w:rPr>
            </w:pPr>
          </w:p>
        </w:tc>
        <w:tc>
          <w:tcPr>
            <w:tcW w:w="217" w:type="dxa"/>
          </w:tcPr>
          <w:p w14:paraId="116D9DD5" w14:textId="77777777" w:rsidR="002C0FD9" w:rsidRPr="00CA25CF" w:rsidRDefault="002C0FD9" w:rsidP="00CA25CF">
            <w:pPr>
              <w:rPr>
                <w:rFonts w:cs="Arial"/>
                <w:color w:val="FF0000"/>
                <w:sz w:val="21"/>
                <w:szCs w:val="21"/>
              </w:rPr>
            </w:pPr>
          </w:p>
        </w:tc>
        <w:tc>
          <w:tcPr>
            <w:tcW w:w="217" w:type="dxa"/>
          </w:tcPr>
          <w:p w14:paraId="5710E521" w14:textId="1E5839D2" w:rsidR="002C0FD9" w:rsidRPr="00CA25CF" w:rsidRDefault="002C0FD9" w:rsidP="00CA25CF">
            <w:pPr>
              <w:rPr>
                <w:rFonts w:cs="Arial"/>
                <w:color w:val="FF0000"/>
                <w:sz w:val="21"/>
                <w:szCs w:val="21"/>
              </w:rPr>
            </w:pPr>
          </w:p>
        </w:tc>
        <w:tc>
          <w:tcPr>
            <w:tcW w:w="217" w:type="dxa"/>
          </w:tcPr>
          <w:p w14:paraId="3E330E36" w14:textId="77777777" w:rsidR="002C0FD9" w:rsidRPr="00CA25CF" w:rsidRDefault="002C0FD9" w:rsidP="00CA25CF">
            <w:pPr>
              <w:rPr>
                <w:rFonts w:cs="Arial"/>
                <w:color w:val="FF0000"/>
                <w:sz w:val="21"/>
                <w:szCs w:val="21"/>
              </w:rPr>
            </w:pPr>
          </w:p>
        </w:tc>
        <w:tc>
          <w:tcPr>
            <w:tcW w:w="217" w:type="dxa"/>
          </w:tcPr>
          <w:p w14:paraId="47B504AF" w14:textId="77777777" w:rsidR="002C0FD9" w:rsidRPr="00CA25CF" w:rsidRDefault="002C0FD9" w:rsidP="00CA25CF">
            <w:pPr>
              <w:rPr>
                <w:rFonts w:cs="Arial"/>
                <w:color w:val="FF0000"/>
                <w:sz w:val="21"/>
                <w:szCs w:val="21"/>
              </w:rPr>
            </w:pPr>
          </w:p>
        </w:tc>
        <w:tc>
          <w:tcPr>
            <w:tcW w:w="217" w:type="dxa"/>
          </w:tcPr>
          <w:p w14:paraId="068189F7" w14:textId="77777777" w:rsidR="002C0FD9" w:rsidRPr="00CA25CF" w:rsidRDefault="002C0FD9" w:rsidP="00CA25CF">
            <w:pPr>
              <w:rPr>
                <w:rFonts w:cs="Arial"/>
                <w:color w:val="FF0000"/>
                <w:sz w:val="21"/>
                <w:szCs w:val="21"/>
              </w:rPr>
            </w:pPr>
          </w:p>
        </w:tc>
        <w:tc>
          <w:tcPr>
            <w:tcW w:w="217" w:type="dxa"/>
          </w:tcPr>
          <w:p w14:paraId="32967AC9" w14:textId="77777777" w:rsidR="002C0FD9" w:rsidRPr="00CA25CF" w:rsidRDefault="002C0FD9" w:rsidP="00CA25CF">
            <w:pPr>
              <w:rPr>
                <w:rFonts w:cs="Arial"/>
                <w:color w:val="FF0000"/>
                <w:sz w:val="21"/>
                <w:szCs w:val="21"/>
              </w:rPr>
            </w:pPr>
          </w:p>
        </w:tc>
        <w:tc>
          <w:tcPr>
            <w:tcW w:w="217" w:type="dxa"/>
          </w:tcPr>
          <w:p w14:paraId="51F13162" w14:textId="77777777" w:rsidR="002C0FD9" w:rsidRPr="00CA25CF" w:rsidRDefault="002C0FD9" w:rsidP="00CA25CF">
            <w:pPr>
              <w:rPr>
                <w:rFonts w:cs="Arial"/>
                <w:color w:val="FF0000"/>
                <w:sz w:val="21"/>
                <w:szCs w:val="21"/>
              </w:rPr>
            </w:pPr>
          </w:p>
        </w:tc>
        <w:tc>
          <w:tcPr>
            <w:tcW w:w="217" w:type="dxa"/>
          </w:tcPr>
          <w:p w14:paraId="2D005791" w14:textId="77777777" w:rsidR="002C0FD9" w:rsidRPr="00CA25CF" w:rsidRDefault="002C0FD9" w:rsidP="00CA25CF">
            <w:pPr>
              <w:rPr>
                <w:rFonts w:cs="Arial"/>
                <w:color w:val="FF0000"/>
                <w:sz w:val="21"/>
                <w:szCs w:val="21"/>
              </w:rPr>
            </w:pPr>
          </w:p>
        </w:tc>
        <w:tc>
          <w:tcPr>
            <w:tcW w:w="217" w:type="dxa"/>
          </w:tcPr>
          <w:p w14:paraId="0149BE56" w14:textId="77777777" w:rsidR="002C0FD9" w:rsidRPr="00CA25CF" w:rsidRDefault="002C0FD9" w:rsidP="00CA25CF">
            <w:pPr>
              <w:rPr>
                <w:rFonts w:cs="Arial"/>
                <w:color w:val="FF0000"/>
                <w:sz w:val="21"/>
                <w:szCs w:val="21"/>
              </w:rPr>
            </w:pPr>
          </w:p>
        </w:tc>
        <w:tc>
          <w:tcPr>
            <w:tcW w:w="217" w:type="dxa"/>
          </w:tcPr>
          <w:p w14:paraId="0517AAE2" w14:textId="77777777" w:rsidR="002C0FD9" w:rsidRPr="00CA25CF" w:rsidRDefault="002C0FD9" w:rsidP="00CA25CF">
            <w:pPr>
              <w:rPr>
                <w:rFonts w:cs="Arial"/>
                <w:color w:val="FF0000"/>
                <w:sz w:val="21"/>
                <w:szCs w:val="21"/>
              </w:rPr>
            </w:pPr>
          </w:p>
        </w:tc>
        <w:tc>
          <w:tcPr>
            <w:tcW w:w="217" w:type="dxa"/>
          </w:tcPr>
          <w:p w14:paraId="78035812" w14:textId="77777777" w:rsidR="002C0FD9" w:rsidRPr="00CA25CF" w:rsidRDefault="002C0FD9" w:rsidP="00CA25CF">
            <w:pPr>
              <w:rPr>
                <w:rFonts w:cs="Arial"/>
                <w:color w:val="FF0000"/>
                <w:sz w:val="21"/>
                <w:szCs w:val="21"/>
              </w:rPr>
            </w:pPr>
          </w:p>
        </w:tc>
        <w:tc>
          <w:tcPr>
            <w:tcW w:w="217" w:type="dxa"/>
          </w:tcPr>
          <w:p w14:paraId="3356AA2E" w14:textId="77777777" w:rsidR="002C0FD9" w:rsidRPr="00CA25CF" w:rsidRDefault="002C0FD9" w:rsidP="00CA25CF">
            <w:pPr>
              <w:rPr>
                <w:rFonts w:cs="Arial"/>
                <w:color w:val="FF0000"/>
                <w:sz w:val="21"/>
                <w:szCs w:val="21"/>
              </w:rPr>
            </w:pPr>
          </w:p>
        </w:tc>
        <w:tc>
          <w:tcPr>
            <w:tcW w:w="217" w:type="dxa"/>
          </w:tcPr>
          <w:p w14:paraId="1ECB7DB4" w14:textId="77777777" w:rsidR="002C0FD9" w:rsidRPr="00CA25CF" w:rsidRDefault="002C0FD9" w:rsidP="00CA25CF">
            <w:pPr>
              <w:rPr>
                <w:rFonts w:cs="Arial"/>
                <w:color w:val="FF0000"/>
                <w:sz w:val="21"/>
                <w:szCs w:val="21"/>
              </w:rPr>
            </w:pPr>
          </w:p>
        </w:tc>
        <w:tc>
          <w:tcPr>
            <w:tcW w:w="217" w:type="dxa"/>
          </w:tcPr>
          <w:p w14:paraId="7FA237CE" w14:textId="77777777" w:rsidR="002C0FD9" w:rsidRPr="00CA25CF" w:rsidRDefault="002C0FD9" w:rsidP="00CA25CF">
            <w:pPr>
              <w:rPr>
                <w:rFonts w:cs="Arial"/>
                <w:color w:val="FF0000"/>
                <w:sz w:val="21"/>
                <w:szCs w:val="21"/>
              </w:rPr>
            </w:pPr>
          </w:p>
        </w:tc>
        <w:tc>
          <w:tcPr>
            <w:tcW w:w="217" w:type="dxa"/>
          </w:tcPr>
          <w:p w14:paraId="0D43DCBD" w14:textId="77777777" w:rsidR="002C0FD9" w:rsidRPr="00CA25CF" w:rsidRDefault="002C0FD9" w:rsidP="00CA25CF">
            <w:pPr>
              <w:rPr>
                <w:rFonts w:cs="Arial"/>
                <w:color w:val="FF0000"/>
                <w:sz w:val="21"/>
                <w:szCs w:val="21"/>
              </w:rPr>
            </w:pPr>
          </w:p>
        </w:tc>
        <w:tc>
          <w:tcPr>
            <w:tcW w:w="217" w:type="dxa"/>
          </w:tcPr>
          <w:p w14:paraId="7F77FEB8" w14:textId="77777777" w:rsidR="002C0FD9" w:rsidRPr="00CA25CF" w:rsidRDefault="002C0FD9" w:rsidP="00CA25CF">
            <w:pPr>
              <w:rPr>
                <w:rFonts w:cs="Arial"/>
                <w:color w:val="FF0000"/>
                <w:sz w:val="21"/>
                <w:szCs w:val="21"/>
              </w:rPr>
            </w:pPr>
          </w:p>
        </w:tc>
        <w:tc>
          <w:tcPr>
            <w:tcW w:w="217" w:type="dxa"/>
          </w:tcPr>
          <w:p w14:paraId="3973E4A9" w14:textId="77777777" w:rsidR="002C0FD9" w:rsidRPr="00CA25CF" w:rsidRDefault="002C0FD9" w:rsidP="00CA25CF">
            <w:pPr>
              <w:rPr>
                <w:rFonts w:cs="Arial"/>
                <w:color w:val="FF0000"/>
                <w:sz w:val="21"/>
                <w:szCs w:val="21"/>
              </w:rPr>
            </w:pPr>
          </w:p>
        </w:tc>
        <w:tc>
          <w:tcPr>
            <w:tcW w:w="217" w:type="dxa"/>
          </w:tcPr>
          <w:p w14:paraId="2E17FEFD" w14:textId="77777777" w:rsidR="002C0FD9" w:rsidRPr="00CA25CF" w:rsidRDefault="002C0FD9" w:rsidP="00CA25CF">
            <w:pPr>
              <w:rPr>
                <w:rFonts w:cs="Arial"/>
                <w:color w:val="FF0000"/>
                <w:sz w:val="21"/>
                <w:szCs w:val="21"/>
              </w:rPr>
            </w:pPr>
          </w:p>
        </w:tc>
        <w:tc>
          <w:tcPr>
            <w:tcW w:w="217" w:type="dxa"/>
          </w:tcPr>
          <w:p w14:paraId="699DF059" w14:textId="77777777" w:rsidR="002C0FD9" w:rsidRPr="00CA25CF" w:rsidRDefault="002C0FD9" w:rsidP="00CA25CF">
            <w:pPr>
              <w:rPr>
                <w:rFonts w:cs="Arial"/>
                <w:color w:val="FF0000"/>
                <w:sz w:val="21"/>
                <w:szCs w:val="21"/>
              </w:rPr>
            </w:pPr>
          </w:p>
        </w:tc>
        <w:tc>
          <w:tcPr>
            <w:tcW w:w="217" w:type="dxa"/>
          </w:tcPr>
          <w:p w14:paraId="6B1A6843" w14:textId="77777777" w:rsidR="002C0FD9" w:rsidRPr="00CA25CF" w:rsidRDefault="002C0FD9" w:rsidP="00CA25CF">
            <w:pPr>
              <w:rPr>
                <w:rFonts w:cs="Arial"/>
                <w:color w:val="FF0000"/>
                <w:sz w:val="21"/>
                <w:szCs w:val="21"/>
              </w:rPr>
            </w:pPr>
          </w:p>
        </w:tc>
        <w:tc>
          <w:tcPr>
            <w:tcW w:w="217" w:type="dxa"/>
          </w:tcPr>
          <w:p w14:paraId="6F1EBBB0" w14:textId="77777777" w:rsidR="002C0FD9" w:rsidRPr="00CA25CF" w:rsidRDefault="002C0FD9" w:rsidP="00CA25CF">
            <w:pPr>
              <w:rPr>
                <w:rFonts w:cs="Arial"/>
                <w:color w:val="FF0000"/>
                <w:sz w:val="21"/>
                <w:szCs w:val="21"/>
              </w:rPr>
            </w:pPr>
          </w:p>
        </w:tc>
        <w:tc>
          <w:tcPr>
            <w:tcW w:w="217" w:type="dxa"/>
          </w:tcPr>
          <w:p w14:paraId="0913379E" w14:textId="77777777" w:rsidR="002C0FD9" w:rsidRPr="00CA25CF" w:rsidRDefault="002C0FD9" w:rsidP="00CA25CF">
            <w:pPr>
              <w:rPr>
                <w:rFonts w:cs="Arial"/>
                <w:color w:val="FF0000"/>
                <w:sz w:val="21"/>
                <w:szCs w:val="21"/>
              </w:rPr>
            </w:pPr>
          </w:p>
        </w:tc>
        <w:tc>
          <w:tcPr>
            <w:tcW w:w="217" w:type="dxa"/>
          </w:tcPr>
          <w:p w14:paraId="4149526F" w14:textId="77777777" w:rsidR="002C0FD9" w:rsidRPr="00CA25CF" w:rsidRDefault="002C0FD9" w:rsidP="00CA25CF">
            <w:pPr>
              <w:rPr>
                <w:rFonts w:cs="Arial"/>
                <w:color w:val="FF0000"/>
                <w:sz w:val="21"/>
                <w:szCs w:val="21"/>
              </w:rPr>
            </w:pPr>
          </w:p>
        </w:tc>
        <w:tc>
          <w:tcPr>
            <w:tcW w:w="217" w:type="dxa"/>
          </w:tcPr>
          <w:p w14:paraId="34EC4258" w14:textId="77777777" w:rsidR="002C0FD9" w:rsidRPr="00CA25CF" w:rsidRDefault="002C0FD9" w:rsidP="00CA25CF">
            <w:pPr>
              <w:rPr>
                <w:rFonts w:cs="Arial"/>
                <w:color w:val="FF0000"/>
                <w:sz w:val="21"/>
                <w:szCs w:val="21"/>
              </w:rPr>
            </w:pPr>
          </w:p>
        </w:tc>
        <w:tc>
          <w:tcPr>
            <w:tcW w:w="217" w:type="dxa"/>
          </w:tcPr>
          <w:p w14:paraId="66B9F186" w14:textId="77777777" w:rsidR="002C0FD9" w:rsidRPr="00CA25CF" w:rsidRDefault="002C0FD9" w:rsidP="00CA25CF">
            <w:pPr>
              <w:rPr>
                <w:rFonts w:cs="Arial"/>
                <w:color w:val="FF0000"/>
                <w:sz w:val="21"/>
                <w:szCs w:val="21"/>
              </w:rPr>
            </w:pPr>
          </w:p>
        </w:tc>
        <w:tc>
          <w:tcPr>
            <w:tcW w:w="217" w:type="dxa"/>
          </w:tcPr>
          <w:p w14:paraId="06738D6E" w14:textId="77777777" w:rsidR="002C0FD9" w:rsidRPr="00CA25CF" w:rsidRDefault="002C0FD9" w:rsidP="00CA25CF">
            <w:pPr>
              <w:rPr>
                <w:rFonts w:cs="Arial"/>
                <w:color w:val="FF0000"/>
                <w:sz w:val="21"/>
                <w:szCs w:val="21"/>
              </w:rPr>
            </w:pPr>
          </w:p>
        </w:tc>
        <w:tc>
          <w:tcPr>
            <w:tcW w:w="217" w:type="dxa"/>
          </w:tcPr>
          <w:p w14:paraId="1A057015" w14:textId="77777777" w:rsidR="002C0FD9" w:rsidRPr="00CA25CF" w:rsidRDefault="002C0FD9" w:rsidP="00CA25CF">
            <w:pPr>
              <w:rPr>
                <w:rFonts w:cs="Arial"/>
                <w:color w:val="FF0000"/>
                <w:sz w:val="21"/>
                <w:szCs w:val="21"/>
              </w:rPr>
            </w:pPr>
          </w:p>
        </w:tc>
        <w:tc>
          <w:tcPr>
            <w:tcW w:w="217" w:type="dxa"/>
          </w:tcPr>
          <w:p w14:paraId="5DA9952B" w14:textId="77777777" w:rsidR="002C0FD9" w:rsidRPr="00CA25CF" w:rsidRDefault="002C0FD9" w:rsidP="00CA25CF">
            <w:pPr>
              <w:rPr>
                <w:rFonts w:cs="Arial"/>
                <w:color w:val="FF0000"/>
                <w:sz w:val="21"/>
                <w:szCs w:val="21"/>
              </w:rPr>
            </w:pPr>
          </w:p>
        </w:tc>
        <w:tc>
          <w:tcPr>
            <w:tcW w:w="217" w:type="dxa"/>
          </w:tcPr>
          <w:p w14:paraId="4DCC6DA9" w14:textId="77777777" w:rsidR="002C0FD9" w:rsidRPr="00CA25CF" w:rsidRDefault="002C0FD9" w:rsidP="00CA25CF">
            <w:pPr>
              <w:rPr>
                <w:rFonts w:cs="Arial"/>
                <w:color w:val="FF0000"/>
                <w:sz w:val="21"/>
                <w:szCs w:val="21"/>
              </w:rPr>
            </w:pPr>
          </w:p>
        </w:tc>
      </w:tr>
      <w:tr w:rsidR="002C0FD9" w:rsidRPr="00A16219" w14:paraId="507CB2FB" w14:textId="31EE8D26" w:rsidTr="002C0FD9">
        <w:trPr>
          <w:trHeight w:val="635"/>
        </w:trPr>
        <w:tc>
          <w:tcPr>
            <w:tcW w:w="515" w:type="dxa"/>
          </w:tcPr>
          <w:p w14:paraId="657F363E" w14:textId="77777777" w:rsidR="002C0FD9" w:rsidRPr="00CA25CF" w:rsidRDefault="002C0FD9" w:rsidP="00CA25CF">
            <w:pPr>
              <w:rPr>
                <w:rFonts w:cs="Arial"/>
                <w:color w:val="FF0000"/>
                <w:sz w:val="21"/>
                <w:szCs w:val="21"/>
              </w:rPr>
            </w:pPr>
          </w:p>
        </w:tc>
        <w:tc>
          <w:tcPr>
            <w:tcW w:w="217" w:type="dxa"/>
          </w:tcPr>
          <w:p w14:paraId="50DC94C5" w14:textId="77777777" w:rsidR="002C0FD9" w:rsidRPr="00CA25CF" w:rsidRDefault="002C0FD9" w:rsidP="00CA25CF">
            <w:pPr>
              <w:rPr>
                <w:rFonts w:cs="Arial"/>
                <w:color w:val="FF0000"/>
                <w:sz w:val="21"/>
                <w:szCs w:val="21"/>
              </w:rPr>
            </w:pPr>
          </w:p>
        </w:tc>
        <w:tc>
          <w:tcPr>
            <w:tcW w:w="217" w:type="dxa"/>
          </w:tcPr>
          <w:p w14:paraId="5C50C68F" w14:textId="6264D217" w:rsidR="002C0FD9" w:rsidRPr="00CA25CF" w:rsidRDefault="002C0FD9" w:rsidP="00CA25CF">
            <w:pPr>
              <w:rPr>
                <w:rFonts w:cs="Arial"/>
                <w:color w:val="FF0000"/>
                <w:sz w:val="21"/>
                <w:szCs w:val="21"/>
              </w:rPr>
            </w:pPr>
          </w:p>
        </w:tc>
        <w:tc>
          <w:tcPr>
            <w:tcW w:w="217" w:type="dxa"/>
          </w:tcPr>
          <w:p w14:paraId="21DE3438" w14:textId="77777777" w:rsidR="002C0FD9" w:rsidRPr="00CA25CF" w:rsidRDefault="002C0FD9" w:rsidP="00CA25CF">
            <w:pPr>
              <w:rPr>
                <w:rFonts w:cs="Arial"/>
                <w:color w:val="FF0000"/>
                <w:sz w:val="21"/>
                <w:szCs w:val="21"/>
              </w:rPr>
            </w:pPr>
          </w:p>
        </w:tc>
        <w:tc>
          <w:tcPr>
            <w:tcW w:w="217" w:type="dxa"/>
          </w:tcPr>
          <w:p w14:paraId="6485FAC5" w14:textId="77777777" w:rsidR="002C0FD9" w:rsidRPr="00CA25CF" w:rsidRDefault="002C0FD9" w:rsidP="00CA25CF">
            <w:pPr>
              <w:rPr>
                <w:rFonts w:cs="Arial"/>
                <w:color w:val="FF0000"/>
                <w:sz w:val="21"/>
                <w:szCs w:val="21"/>
              </w:rPr>
            </w:pPr>
          </w:p>
        </w:tc>
        <w:tc>
          <w:tcPr>
            <w:tcW w:w="217" w:type="dxa"/>
          </w:tcPr>
          <w:p w14:paraId="02F23AC7" w14:textId="77777777" w:rsidR="002C0FD9" w:rsidRPr="00CA25CF" w:rsidRDefault="002C0FD9" w:rsidP="00CA25CF">
            <w:pPr>
              <w:rPr>
                <w:rFonts w:cs="Arial"/>
                <w:color w:val="FF0000"/>
                <w:sz w:val="21"/>
                <w:szCs w:val="21"/>
              </w:rPr>
            </w:pPr>
          </w:p>
        </w:tc>
        <w:tc>
          <w:tcPr>
            <w:tcW w:w="217" w:type="dxa"/>
          </w:tcPr>
          <w:p w14:paraId="21C5844A" w14:textId="77777777" w:rsidR="002C0FD9" w:rsidRPr="00CA25CF" w:rsidRDefault="002C0FD9" w:rsidP="00CA25CF">
            <w:pPr>
              <w:rPr>
                <w:rFonts w:cs="Arial"/>
                <w:color w:val="FF0000"/>
                <w:sz w:val="21"/>
                <w:szCs w:val="21"/>
              </w:rPr>
            </w:pPr>
          </w:p>
        </w:tc>
        <w:tc>
          <w:tcPr>
            <w:tcW w:w="217" w:type="dxa"/>
          </w:tcPr>
          <w:p w14:paraId="3170D3DE" w14:textId="77777777" w:rsidR="002C0FD9" w:rsidRPr="00CA25CF" w:rsidRDefault="002C0FD9" w:rsidP="00CA25CF">
            <w:pPr>
              <w:rPr>
                <w:rFonts w:cs="Arial"/>
                <w:color w:val="FF0000"/>
                <w:sz w:val="21"/>
                <w:szCs w:val="21"/>
              </w:rPr>
            </w:pPr>
          </w:p>
        </w:tc>
        <w:tc>
          <w:tcPr>
            <w:tcW w:w="217" w:type="dxa"/>
          </w:tcPr>
          <w:p w14:paraId="3AD20F99" w14:textId="77777777" w:rsidR="002C0FD9" w:rsidRPr="00CA25CF" w:rsidRDefault="002C0FD9" w:rsidP="00CA25CF">
            <w:pPr>
              <w:rPr>
                <w:rFonts w:cs="Arial"/>
                <w:color w:val="FF0000"/>
                <w:sz w:val="21"/>
                <w:szCs w:val="21"/>
              </w:rPr>
            </w:pPr>
          </w:p>
        </w:tc>
        <w:tc>
          <w:tcPr>
            <w:tcW w:w="217" w:type="dxa"/>
          </w:tcPr>
          <w:p w14:paraId="27AD316E" w14:textId="77777777" w:rsidR="002C0FD9" w:rsidRPr="00CA25CF" w:rsidRDefault="002C0FD9" w:rsidP="00CA25CF">
            <w:pPr>
              <w:rPr>
                <w:rFonts w:cs="Arial"/>
                <w:color w:val="FF0000"/>
                <w:sz w:val="21"/>
                <w:szCs w:val="21"/>
              </w:rPr>
            </w:pPr>
          </w:p>
        </w:tc>
        <w:tc>
          <w:tcPr>
            <w:tcW w:w="217" w:type="dxa"/>
          </w:tcPr>
          <w:p w14:paraId="3A4E226D" w14:textId="77777777" w:rsidR="002C0FD9" w:rsidRPr="00CA25CF" w:rsidRDefault="002C0FD9" w:rsidP="00CA25CF">
            <w:pPr>
              <w:rPr>
                <w:rFonts w:cs="Arial"/>
                <w:color w:val="FF0000"/>
                <w:sz w:val="21"/>
                <w:szCs w:val="21"/>
              </w:rPr>
            </w:pPr>
          </w:p>
        </w:tc>
        <w:tc>
          <w:tcPr>
            <w:tcW w:w="217" w:type="dxa"/>
          </w:tcPr>
          <w:p w14:paraId="628B84CA" w14:textId="77777777" w:rsidR="002C0FD9" w:rsidRPr="00CA25CF" w:rsidRDefault="002C0FD9" w:rsidP="00CA25CF">
            <w:pPr>
              <w:rPr>
                <w:rFonts w:cs="Arial"/>
                <w:color w:val="FF0000"/>
                <w:sz w:val="21"/>
                <w:szCs w:val="21"/>
              </w:rPr>
            </w:pPr>
          </w:p>
        </w:tc>
        <w:tc>
          <w:tcPr>
            <w:tcW w:w="217" w:type="dxa"/>
          </w:tcPr>
          <w:p w14:paraId="1D722761" w14:textId="77777777" w:rsidR="002C0FD9" w:rsidRPr="00CA25CF" w:rsidRDefault="002C0FD9" w:rsidP="00CA25CF">
            <w:pPr>
              <w:rPr>
                <w:rFonts w:cs="Arial"/>
                <w:color w:val="FF0000"/>
                <w:sz w:val="21"/>
                <w:szCs w:val="21"/>
              </w:rPr>
            </w:pPr>
          </w:p>
        </w:tc>
        <w:tc>
          <w:tcPr>
            <w:tcW w:w="217" w:type="dxa"/>
          </w:tcPr>
          <w:p w14:paraId="3F5D8097" w14:textId="77777777" w:rsidR="002C0FD9" w:rsidRPr="00CA25CF" w:rsidRDefault="002C0FD9" w:rsidP="00CA25CF">
            <w:pPr>
              <w:rPr>
                <w:rFonts w:cs="Arial"/>
                <w:color w:val="FF0000"/>
                <w:sz w:val="21"/>
                <w:szCs w:val="21"/>
              </w:rPr>
            </w:pPr>
          </w:p>
        </w:tc>
        <w:tc>
          <w:tcPr>
            <w:tcW w:w="217" w:type="dxa"/>
          </w:tcPr>
          <w:p w14:paraId="011AFE38" w14:textId="77777777" w:rsidR="002C0FD9" w:rsidRPr="00CA25CF" w:rsidRDefault="002C0FD9" w:rsidP="00CA25CF">
            <w:pPr>
              <w:rPr>
                <w:rFonts w:cs="Arial"/>
                <w:color w:val="FF0000"/>
                <w:sz w:val="21"/>
                <w:szCs w:val="21"/>
              </w:rPr>
            </w:pPr>
          </w:p>
        </w:tc>
        <w:tc>
          <w:tcPr>
            <w:tcW w:w="217" w:type="dxa"/>
          </w:tcPr>
          <w:p w14:paraId="026F01FE" w14:textId="49D99265" w:rsidR="002C0FD9" w:rsidRPr="00CA25CF" w:rsidRDefault="002C0FD9" w:rsidP="00CA25CF">
            <w:pPr>
              <w:rPr>
                <w:rFonts w:cs="Arial"/>
                <w:color w:val="FF0000"/>
                <w:sz w:val="21"/>
                <w:szCs w:val="21"/>
              </w:rPr>
            </w:pPr>
          </w:p>
        </w:tc>
        <w:tc>
          <w:tcPr>
            <w:tcW w:w="217" w:type="dxa"/>
          </w:tcPr>
          <w:p w14:paraId="77AC1F66" w14:textId="77777777" w:rsidR="002C0FD9" w:rsidRPr="00CA25CF" w:rsidRDefault="002C0FD9" w:rsidP="00CA25CF">
            <w:pPr>
              <w:rPr>
                <w:rFonts w:cs="Arial"/>
                <w:color w:val="FF0000"/>
                <w:sz w:val="21"/>
                <w:szCs w:val="21"/>
              </w:rPr>
            </w:pPr>
          </w:p>
        </w:tc>
        <w:tc>
          <w:tcPr>
            <w:tcW w:w="217" w:type="dxa"/>
          </w:tcPr>
          <w:p w14:paraId="213D79C1" w14:textId="77777777" w:rsidR="002C0FD9" w:rsidRPr="00CA25CF" w:rsidRDefault="002C0FD9" w:rsidP="00CA25CF">
            <w:pPr>
              <w:rPr>
                <w:rFonts w:cs="Arial"/>
                <w:color w:val="FF0000"/>
                <w:sz w:val="21"/>
                <w:szCs w:val="21"/>
              </w:rPr>
            </w:pPr>
          </w:p>
        </w:tc>
        <w:tc>
          <w:tcPr>
            <w:tcW w:w="217" w:type="dxa"/>
          </w:tcPr>
          <w:p w14:paraId="4E74A885" w14:textId="77777777" w:rsidR="002C0FD9" w:rsidRPr="00CA25CF" w:rsidRDefault="002C0FD9" w:rsidP="00CA25CF">
            <w:pPr>
              <w:rPr>
                <w:rFonts w:cs="Arial"/>
                <w:color w:val="FF0000"/>
                <w:sz w:val="21"/>
                <w:szCs w:val="21"/>
              </w:rPr>
            </w:pPr>
          </w:p>
        </w:tc>
        <w:tc>
          <w:tcPr>
            <w:tcW w:w="217" w:type="dxa"/>
          </w:tcPr>
          <w:p w14:paraId="6C71D420" w14:textId="77777777" w:rsidR="002C0FD9" w:rsidRPr="00CA25CF" w:rsidRDefault="002C0FD9" w:rsidP="00CA25CF">
            <w:pPr>
              <w:rPr>
                <w:rFonts w:cs="Arial"/>
                <w:color w:val="FF0000"/>
                <w:sz w:val="21"/>
                <w:szCs w:val="21"/>
              </w:rPr>
            </w:pPr>
          </w:p>
        </w:tc>
        <w:tc>
          <w:tcPr>
            <w:tcW w:w="217" w:type="dxa"/>
          </w:tcPr>
          <w:p w14:paraId="65E3B959" w14:textId="77777777" w:rsidR="002C0FD9" w:rsidRPr="00CA25CF" w:rsidRDefault="002C0FD9" w:rsidP="00CA25CF">
            <w:pPr>
              <w:rPr>
                <w:rFonts w:cs="Arial"/>
                <w:color w:val="FF0000"/>
                <w:sz w:val="21"/>
                <w:szCs w:val="21"/>
              </w:rPr>
            </w:pPr>
          </w:p>
        </w:tc>
        <w:tc>
          <w:tcPr>
            <w:tcW w:w="217" w:type="dxa"/>
          </w:tcPr>
          <w:p w14:paraId="6C4A708F" w14:textId="77777777" w:rsidR="002C0FD9" w:rsidRPr="00CA25CF" w:rsidRDefault="002C0FD9" w:rsidP="00CA25CF">
            <w:pPr>
              <w:rPr>
                <w:rFonts w:cs="Arial"/>
                <w:color w:val="FF0000"/>
                <w:sz w:val="21"/>
                <w:szCs w:val="21"/>
              </w:rPr>
            </w:pPr>
          </w:p>
        </w:tc>
        <w:tc>
          <w:tcPr>
            <w:tcW w:w="217" w:type="dxa"/>
          </w:tcPr>
          <w:p w14:paraId="27A9CAF1" w14:textId="77777777" w:rsidR="002C0FD9" w:rsidRPr="00CA25CF" w:rsidRDefault="002C0FD9" w:rsidP="00CA25CF">
            <w:pPr>
              <w:rPr>
                <w:rFonts w:cs="Arial"/>
                <w:color w:val="FF0000"/>
                <w:sz w:val="21"/>
                <w:szCs w:val="21"/>
              </w:rPr>
            </w:pPr>
          </w:p>
        </w:tc>
        <w:tc>
          <w:tcPr>
            <w:tcW w:w="217" w:type="dxa"/>
          </w:tcPr>
          <w:p w14:paraId="37DB34C0" w14:textId="77777777" w:rsidR="002C0FD9" w:rsidRPr="00CA25CF" w:rsidRDefault="002C0FD9" w:rsidP="00CA25CF">
            <w:pPr>
              <w:rPr>
                <w:rFonts w:cs="Arial"/>
                <w:color w:val="FF0000"/>
                <w:sz w:val="21"/>
                <w:szCs w:val="21"/>
              </w:rPr>
            </w:pPr>
          </w:p>
        </w:tc>
        <w:tc>
          <w:tcPr>
            <w:tcW w:w="217" w:type="dxa"/>
          </w:tcPr>
          <w:p w14:paraId="6F83823D" w14:textId="77777777" w:rsidR="002C0FD9" w:rsidRPr="00CA25CF" w:rsidRDefault="002C0FD9" w:rsidP="00CA25CF">
            <w:pPr>
              <w:rPr>
                <w:rFonts w:cs="Arial"/>
                <w:color w:val="FF0000"/>
                <w:sz w:val="21"/>
                <w:szCs w:val="21"/>
              </w:rPr>
            </w:pPr>
          </w:p>
        </w:tc>
        <w:tc>
          <w:tcPr>
            <w:tcW w:w="217" w:type="dxa"/>
          </w:tcPr>
          <w:p w14:paraId="23284BDB" w14:textId="77777777" w:rsidR="002C0FD9" w:rsidRPr="00CA25CF" w:rsidRDefault="002C0FD9" w:rsidP="00CA25CF">
            <w:pPr>
              <w:rPr>
                <w:rFonts w:cs="Arial"/>
                <w:color w:val="FF0000"/>
                <w:sz w:val="21"/>
                <w:szCs w:val="21"/>
              </w:rPr>
            </w:pPr>
          </w:p>
        </w:tc>
        <w:tc>
          <w:tcPr>
            <w:tcW w:w="217" w:type="dxa"/>
          </w:tcPr>
          <w:p w14:paraId="5BF2E766" w14:textId="77777777" w:rsidR="002C0FD9" w:rsidRPr="00CA25CF" w:rsidRDefault="002C0FD9" w:rsidP="00CA25CF">
            <w:pPr>
              <w:rPr>
                <w:rFonts w:cs="Arial"/>
                <w:color w:val="FF0000"/>
                <w:sz w:val="21"/>
                <w:szCs w:val="21"/>
              </w:rPr>
            </w:pPr>
          </w:p>
        </w:tc>
        <w:tc>
          <w:tcPr>
            <w:tcW w:w="217" w:type="dxa"/>
          </w:tcPr>
          <w:p w14:paraId="10A421E7" w14:textId="77777777" w:rsidR="002C0FD9" w:rsidRPr="00CA25CF" w:rsidRDefault="002C0FD9" w:rsidP="00CA25CF">
            <w:pPr>
              <w:rPr>
                <w:rFonts w:cs="Arial"/>
                <w:color w:val="FF0000"/>
                <w:sz w:val="21"/>
                <w:szCs w:val="21"/>
              </w:rPr>
            </w:pPr>
          </w:p>
        </w:tc>
        <w:tc>
          <w:tcPr>
            <w:tcW w:w="217" w:type="dxa"/>
          </w:tcPr>
          <w:p w14:paraId="03B55956" w14:textId="77777777" w:rsidR="002C0FD9" w:rsidRPr="00CA25CF" w:rsidRDefault="002C0FD9" w:rsidP="00CA25CF">
            <w:pPr>
              <w:rPr>
                <w:rFonts w:cs="Arial"/>
                <w:color w:val="FF0000"/>
                <w:sz w:val="21"/>
                <w:szCs w:val="21"/>
              </w:rPr>
            </w:pPr>
          </w:p>
        </w:tc>
        <w:tc>
          <w:tcPr>
            <w:tcW w:w="217" w:type="dxa"/>
          </w:tcPr>
          <w:p w14:paraId="5F30F77B" w14:textId="77777777" w:rsidR="002C0FD9" w:rsidRPr="00CA25CF" w:rsidRDefault="002C0FD9" w:rsidP="00CA25CF">
            <w:pPr>
              <w:rPr>
                <w:rFonts w:cs="Arial"/>
                <w:color w:val="FF0000"/>
                <w:sz w:val="21"/>
                <w:szCs w:val="21"/>
              </w:rPr>
            </w:pPr>
          </w:p>
        </w:tc>
        <w:tc>
          <w:tcPr>
            <w:tcW w:w="217" w:type="dxa"/>
          </w:tcPr>
          <w:p w14:paraId="74930F35" w14:textId="77777777" w:rsidR="002C0FD9" w:rsidRPr="00CA25CF" w:rsidRDefault="002C0FD9" w:rsidP="00CA25CF">
            <w:pPr>
              <w:rPr>
                <w:rFonts w:cs="Arial"/>
                <w:color w:val="FF0000"/>
                <w:sz w:val="21"/>
                <w:szCs w:val="21"/>
              </w:rPr>
            </w:pPr>
          </w:p>
        </w:tc>
        <w:tc>
          <w:tcPr>
            <w:tcW w:w="217" w:type="dxa"/>
          </w:tcPr>
          <w:p w14:paraId="48BB692D" w14:textId="77777777" w:rsidR="002C0FD9" w:rsidRPr="00CA25CF" w:rsidRDefault="002C0FD9" w:rsidP="00CA25CF">
            <w:pPr>
              <w:rPr>
                <w:rFonts w:cs="Arial"/>
                <w:color w:val="FF0000"/>
                <w:sz w:val="21"/>
                <w:szCs w:val="21"/>
              </w:rPr>
            </w:pPr>
          </w:p>
        </w:tc>
        <w:tc>
          <w:tcPr>
            <w:tcW w:w="217" w:type="dxa"/>
          </w:tcPr>
          <w:p w14:paraId="58BEC607" w14:textId="77777777" w:rsidR="002C0FD9" w:rsidRPr="00CA25CF" w:rsidRDefault="002C0FD9" w:rsidP="00CA25CF">
            <w:pPr>
              <w:rPr>
                <w:rFonts w:cs="Arial"/>
                <w:color w:val="FF0000"/>
                <w:sz w:val="21"/>
                <w:szCs w:val="21"/>
              </w:rPr>
            </w:pPr>
          </w:p>
        </w:tc>
        <w:tc>
          <w:tcPr>
            <w:tcW w:w="217" w:type="dxa"/>
          </w:tcPr>
          <w:p w14:paraId="29BFDCDA" w14:textId="77777777" w:rsidR="002C0FD9" w:rsidRPr="00CA25CF" w:rsidRDefault="002C0FD9" w:rsidP="00CA25CF">
            <w:pPr>
              <w:rPr>
                <w:rFonts w:cs="Arial"/>
                <w:color w:val="FF0000"/>
                <w:sz w:val="21"/>
                <w:szCs w:val="21"/>
              </w:rPr>
            </w:pPr>
          </w:p>
        </w:tc>
        <w:tc>
          <w:tcPr>
            <w:tcW w:w="217" w:type="dxa"/>
          </w:tcPr>
          <w:p w14:paraId="408856A9" w14:textId="77777777" w:rsidR="002C0FD9" w:rsidRPr="00CA25CF" w:rsidRDefault="002C0FD9" w:rsidP="00CA25CF">
            <w:pPr>
              <w:rPr>
                <w:rFonts w:cs="Arial"/>
                <w:color w:val="FF0000"/>
                <w:sz w:val="21"/>
                <w:szCs w:val="21"/>
              </w:rPr>
            </w:pPr>
          </w:p>
        </w:tc>
        <w:tc>
          <w:tcPr>
            <w:tcW w:w="217" w:type="dxa"/>
          </w:tcPr>
          <w:p w14:paraId="49716577" w14:textId="77777777" w:rsidR="002C0FD9" w:rsidRPr="00CA25CF" w:rsidRDefault="002C0FD9" w:rsidP="00CA25CF">
            <w:pPr>
              <w:rPr>
                <w:rFonts w:cs="Arial"/>
                <w:color w:val="FF0000"/>
                <w:sz w:val="21"/>
                <w:szCs w:val="21"/>
              </w:rPr>
            </w:pPr>
          </w:p>
        </w:tc>
        <w:tc>
          <w:tcPr>
            <w:tcW w:w="217" w:type="dxa"/>
          </w:tcPr>
          <w:p w14:paraId="1E4E586E" w14:textId="77777777" w:rsidR="002C0FD9" w:rsidRPr="00CA25CF" w:rsidRDefault="002C0FD9" w:rsidP="00CA25CF">
            <w:pPr>
              <w:rPr>
                <w:rFonts w:cs="Arial"/>
                <w:color w:val="FF0000"/>
                <w:sz w:val="21"/>
                <w:szCs w:val="21"/>
              </w:rPr>
            </w:pPr>
          </w:p>
        </w:tc>
        <w:tc>
          <w:tcPr>
            <w:tcW w:w="217" w:type="dxa"/>
          </w:tcPr>
          <w:p w14:paraId="3EA33167" w14:textId="77777777" w:rsidR="002C0FD9" w:rsidRPr="00CA25CF" w:rsidRDefault="002C0FD9" w:rsidP="00CA25CF">
            <w:pPr>
              <w:rPr>
                <w:rFonts w:cs="Arial"/>
                <w:color w:val="FF0000"/>
                <w:sz w:val="21"/>
                <w:szCs w:val="21"/>
              </w:rPr>
            </w:pPr>
          </w:p>
        </w:tc>
        <w:tc>
          <w:tcPr>
            <w:tcW w:w="217" w:type="dxa"/>
          </w:tcPr>
          <w:p w14:paraId="15AB1429" w14:textId="77777777" w:rsidR="002C0FD9" w:rsidRPr="00CA25CF" w:rsidRDefault="002C0FD9" w:rsidP="00CA25CF">
            <w:pPr>
              <w:rPr>
                <w:rFonts w:cs="Arial"/>
                <w:color w:val="FF0000"/>
                <w:sz w:val="21"/>
                <w:szCs w:val="21"/>
              </w:rPr>
            </w:pPr>
          </w:p>
        </w:tc>
        <w:tc>
          <w:tcPr>
            <w:tcW w:w="217" w:type="dxa"/>
          </w:tcPr>
          <w:p w14:paraId="5F313745" w14:textId="77777777" w:rsidR="002C0FD9" w:rsidRPr="00CA25CF" w:rsidRDefault="002C0FD9" w:rsidP="00CA25CF">
            <w:pPr>
              <w:rPr>
                <w:rFonts w:cs="Arial"/>
                <w:color w:val="FF0000"/>
                <w:sz w:val="21"/>
                <w:szCs w:val="21"/>
              </w:rPr>
            </w:pPr>
          </w:p>
        </w:tc>
        <w:tc>
          <w:tcPr>
            <w:tcW w:w="217" w:type="dxa"/>
          </w:tcPr>
          <w:p w14:paraId="7E222BC1" w14:textId="77777777" w:rsidR="002C0FD9" w:rsidRPr="00CA25CF" w:rsidRDefault="002C0FD9" w:rsidP="00CA25CF">
            <w:pPr>
              <w:rPr>
                <w:rFonts w:cs="Arial"/>
                <w:color w:val="FF0000"/>
                <w:sz w:val="21"/>
                <w:szCs w:val="21"/>
              </w:rPr>
            </w:pPr>
          </w:p>
        </w:tc>
        <w:tc>
          <w:tcPr>
            <w:tcW w:w="217" w:type="dxa"/>
          </w:tcPr>
          <w:p w14:paraId="7FF57535" w14:textId="77777777" w:rsidR="002C0FD9" w:rsidRPr="00CA25CF" w:rsidRDefault="002C0FD9" w:rsidP="00CA25CF">
            <w:pPr>
              <w:rPr>
                <w:rFonts w:cs="Arial"/>
                <w:color w:val="FF0000"/>
                <w:sz w:val="21"/>
                <w:szCs w:val="21"/>
              </w:rPr>
            </w:pPr>
          </w:p>
        </w:tc>
        <w:tc>
          <w:tcPr>
            <w:tcW w:w="217" w:type="dxa"/>
          </w:tcPr>
          <w:p w14:paraId="069E7A41" w14:textId="77777777" w:rsidR="002C0FD9" w:rsidRPr="00CA25CF" w:rsidRDefault="002C0FD9" w:rsidP="00CA25CF">
            <w:pPr>
              <w:rPr>
                <w:rFonts w:cs="Arial"/>
                <w:color w:val="FF0000"/>
                <w:sz w:val="21"/>
                <w:szCs w:val="21"/>
              </w:rPr>
            </w:pPr>
          </w:p>
        </w:tc>
      </w:tr>
      <w:tr w:rsidR="002C0FD9" w:rsidRPr="00A16219" w14:paraId="1CF7B7FA" w14:textId="5866DEDD" w:rsidTr="002C0FD9">
        <w:trPr>
          <w:trHeight w:val="635"/>
        </w:trPr>
        <w:tc>
          <w:tcPr>
            <w:tcW w:w="515" w:type="dxa"/>
          </w:tcPr>
          <w:p w14:paraId="5AEB1E06" w14:textId="77777777" w:rsidR="002C0FD9" w:rsidRPr="00CA25CF" w:rsidRDefault="002C0FD9" w:rsidP="00CA25CF">
            <w:pPr>
              <w:rPr>
                <w:rFonts w:cs="Arial"/>
                <w:color w:val="FF0000"/>
                <w:sz w:val="21"/>
                <w:szCs w:val="21"/>
              </w:rPr>
            </w:pPr>
          </w:p>
        </w:tc>
        <w:tc>
          <w:tcPr>
            <w:tcW w:w="217" w:type="dxa"/>
          </w:tcPr>
          <w:p w14:paraId="76290F81" w14:textId="77777777" w:rsidR="002C0FD9" w:rsidRPr="00CA25CF" w:rsidRDefault="002C0FD9" w:rsidP="00CA25CF">
            <w:pPr>
              <w:rPr>
                <w:rFonts w:cs="Arial"/>
                <w:color w:val="FF0000"/>
                <w:sz w:val="21"/>
                <w:szCs w:val="21"/>
              </w:rPr>
            </w:pPr>
          </w:p>
        </w:tc>
        <w:tc>
          <w:tcPr>
            <w:tcW w:w="217" w:type="dxa"/>
          </w:tcPr>
          <w:p w14:paraId="08EBBA07" w14:textId="245F46BA" w:rsidR="002C0FD9" w:rsidRPr="00CA25CF" w:rsidRDefault="002C0FD9" w:rsidP="00CA25CF">
            <w:pPr>
              <w:rPr>
                <w:rFonts w:cs="Arial"/>
                <w:color w:val="FF0000"/>
                <w:sz w:val="21"/>
                <w:szCs w:val="21"/>
              </w:rPr>
            </w:pPr>
          </w:p>
        </w:tc>
        <w:tc>
          <w:tcPr>
            <w:tcW w:w="217" w:type="dxa"/>
          </w:tcPr>
          <w:p w14:paraId="564C5CF5" w14:textId="77777777" w:rsidR="002C0FD9" w:rsidRPr="00CA25CF" w:rsidRDefault="002C0FD9" w:rsidP="00CA25CF">
            <w:pPr>
              <w:rPr>
                <w:rFonts w:cs="Arial"/>
                <w:color w:val="FF0000"/>
                <w:sz w:val="21"/>
                <w:szCs w:val="21"/>
              </w:rPr>
            </w:pPr>
          </w:p>
        </w:tc>
        <w:tc>
          <w:tcPr>
            <w:tcW w:w="217" w:type="dxa"/>
          </w:tcPr>
          <w:p w14:paraId="4A97089B" w14:textId="77777777" w:rsidR="002C0FD9" w:rsidRPr="00CA25CF" w:rsidRDefault="002C0FD9" w:rsidP="00CA25CF">
            <w:pPr>
              <w:rPr>
                <w:rFonts w:cs="Arial"/>
                <w:color w:val="FF0000"/>
                <w:sz w:val="21"/>
                <w:szCs w:val="21"/>
              </w:rPr>
            </w:pPr>
          </w:p>
        </w:tc>
        <w:tc>
          <w:tcPr>
            <w:tcW w:w="217" w:type="dxa"/>
          </w:tcPr>
          <w:p w14:paraId="1F3207D7" w14:textId="77777777" w:rsidR="002C0FD9" w:rsidRPr="00CA25CF" w:rsidRDefault="002C0FD9" w:rsidP="00CA25CF">
            <w:pPr>
              <w:rPr>
                <w:rFonts w:cs="Arial"/>
                <w:color w:val="FF0000"/>
                <w:sz w:val="21"/>
                <w:szCs w:val="21"/>
              </w:rPr>
            </w:pPr>
          </w:p>
        </w:tc>
        <w:tc>
          <w:tcPr>
            <w:tcW w:w="217" w:type="dxa"/>
          </w:tcPr>
          <w:p w14:paraId="5D637B4D" w14:textId="77777777" w:rsidR="002C0FD9" w:rsidRPr="00CA25CF" w:rsidRDefault="002C0FD9" w:rsidP="00CA25CF">
            <w:pPr>
              <w:rPr>
                <w:rFonts w:cs="Arial"/>
                <w:color w:val="FF0000"/>
                <w:sz w:val="21"/>
                <w:szCs w:val="21"/>
              </w:rPr>
            </w:pPr>
          </w:p>
        </w:tc>
        <w:tc>
          <w:tcPr>
            <w:tcW w:w="217" w:type="dxa"/>
          </w:tcPr>
          <w:p w14:paraId="4C7E1BA7" w14:textId="77777777" w:rsidR="002C0FD9" w:rsidRPr="00CA25CF" w:rsidRDefault="002C0FD9" w:rsidP="00CA25CF">
            <w:pPr>
              <w:rPr>
                <w:rFonts w:cs="Arial"/>
                <w:color w:val="FF0000"/>
                <w:sz w:val="21"/>
                <w:szCs w:val="21"/>
              </w:rPr>
            </w:pPr>
          </w:p>
        </w:tc>
        <w:tc>
          <w:tcPr>
            <w:tcW w:w="217" w:type="dxa"/>
          </w:tcPr>
          <w:p w14:paraId="7AB95E8B" w14:textId="77777777" w:rsidR="002C0FD9" w:rsidRPr="00CA25CF" w:rsidRDefault="002C0FD9" w:rsidP="00CA25CF">
            <w:pPr>
              <w:rPr>
                <w:rFonts w:cs="Arial"/>
                <w:color w:val="FF0000"/>
                <w:sz w:val="21"/>
                <w:szCs w:val="21"/>
              </w:rPr>
            </w:pPr>
          </w:p>
        </w:tc>
        <w:tc>
          <w:tcPr>
            <w:tcW w:w="217" w:type="dxa"/>
          </w:tcPr>
          <w:p w14:paraId="346CFA8D" w14:textId="77777777" w:rsidR="002C0FD9" w:rsidRPr="00CA25CF" w:rsidRDefault="002C0FD9" w:rsidP="00CA25CF">
            <w:pPr>
              <w:rPr>
                <w:rFonts w:cs="Arial"/>
                <w:color w:val="FF0000"/>
                <w:sz w:val="21"/>
                <w:szCs w:val="21"/>
              </w:rPr>
            </w:pPr>
          </w:p>
        </w:tc>
        <w:tc>
          <w:tcPr>
            <w:tcW w:w="217" w:type="dxa"/>
          </w:tcPr>
          <w:p w14:paraId="53D4CDF6" w14:textId="77777777" w:rsidR="002C0FD9" w:rsidRPr="00CA25CF" w:rsidRDefault="002C0FD9" w:rsidP="00CA25CF">
            <w:pPr>
              <w:rPr>
                <w:rFonts w:cs="Arial"/>
                <w:color w:val="FF0000"/>
                <w:sz w:val="21"/>
                <w:szCs w:val="21"/>
              </w:rPr>
            </w:pPr>
          </w:p>
        </w:tc>
        <w:tc>
          <w:tcPr>
            <w:tcW w:w="217" w:type="dxa"/>
          </w:tcPr>
          <w:p w14:paraId="25EE2EEF" w14:textId="77777777" w:rsidR="002C0FD9" w:rsidRPr="00CA25CF" w:rsidRDefault="002C0FD9" w:rsidP="00CA25CF">
            <w:pPr>
              <w:rPr>
                <w:rFonts w:cs="Arial"/>
                <w:color w:val="FF0000"/>
                <w:sz w:val="21"/>
                <w:szCs w:val="21"/>
              </w:rPr>
            </w:pPr>
          </w:p>
        </w:tc>
        <w:tc>
          <w:tcPr>
            <w:tcW w:w="217" w:type="dxa"/>
          </w:tcPr>
          <w:p w14:paraId="3D8B5520" w14:textId="77777777" w:rsidR="002C0FD9" w:rsidRPr="00CA25CF" w:rsidRDefault="002C0FD9" w:rsidP="00CA25CF">
            <w:pPr>
              <w:rPr>
                <w:rFonts w:cs="Arial"/>
                <w:color w:val="FF0000"/>
                <w:sz w:val="21"/>
                <w:szCs w:val="21"/>
              </w:rPr>
            </w:pPr>
          </w:p>
        </w:tc>
        <w:tc>
          <w:tcPr>
            <w:tcW w:w="217" w:type="dxa"/>
          </w:tcPr>
          <w:p w14:paraId="254D7F59" w14:textId="77777777" w:rsidR="002C0FD9" w:rsidRPr="00CA25CF" w:rsidRDefault="002C0FD9" w:rsidP="00CA25CF">
            <w:pPr>
              <w:rPr>
                <w:rFonts w:cs="Arial"/>
                <w:color w:val="FF0000"/>
                <w:sz w:val="21"/>
                <w:szCs w:val="21"/>
              </w:rPr>
            </w:pPr>
          </w:p>
        </w:tc>
        <w:tc>
          <w:tcPr>
            <w:tcW w:w="217" w:type="dxa"/>
          </w:tcPr>
          <w:p w14:paraId="291B4131" w14:textId="77777777" w:rsidR="002C0FD9" w:rsidRPr="00CA25CF" w:rsidRDefault="002C0FD9" w:rsidP="00CA25CF">
            <w:pPr>
              <w:rPr>
                <w:rFonts w:cs="Arial"/>
                <w:color w:val="FF0000"/>
                <w:sz w:val="21"/>
                <w:szCs w:val="21"/>
              </w:rPr>
            </w:pPr>
          </w:p>
        </w:tc>
        <w:tc>
          <w:tcPr>
            <w:tcW w:w="217" w:type="dxa"/>
          </w:tcPr>
          <w:p w14:paraId="42C85B94" w14:textId="0347F61D" w:rsidR="002C0FD9" w:rsidRPr="00CA25CF" w:rsidRDefault="002C0FD9" w:rsidP="00CA25CF">
            <w:pPr>
              <w:rPr>
                <w:rFonts w:cs="Arial"/>
                <w:color w:val="FF0000"/>
                <w:sz w:val="21"/>
                <w:szCs w:val="21"/>
              </w:rPr>
            </w:pPr>
          </w:p>
        </w:tc>
        <w:tc>
          <w:tcPr>
            <w:tcW w:w="217" w:type="dxa"/>
          </w:tcPr>
          <w:p w14:paraId="1B6E1269" w14:textId="77777777" w:rsidR="002C0FD9" w:rsidRPr="00CA25CF" w:rsidRDefault="002C0FD9" w:rsidP="00CA25CF">
            <w:pPr>
              <w:rPr>
                <w:rFonts w:cs="Arial"/>
                <w:color w:val="FF0000"/>
                <w:sz w:val="21"/>
                <w:szCs w:val="21"/>
              </w:rPr>
            </w:pPr>
          </w:p>
        </w:tc>
        <w:tc>
          <w:tcPr>
            <w:tcW w:w="217" w:type="dxa"/>
          </w:tcPr>
          <w:p w14:paraId="68C51138" w14:textId="77777777" w:rsidR="002C0FD9" w:rsidRPr="00CA25CF" w:rsidRDefault="002C0FD9" w:rsidP="00CA25CF">
            <w:pPr>
              <w:rPr>
                <w:rFonts w:cs="Arial"/>
                <w:color w:val="FF0000"/>
                <w:sz w:val="21"/>
                <w:szCs w:val="21"/>
              </w:rPr>
            </w:pPr>
          </w:p>
        </w:tc>
        <w:tc>
          <w:tcPr>
            <w:tcW w:w="217" w:type="dxa"/>
          </w:tcPr>
          <w:p w14:paraId="6B3291B2" w14:textId="77777777" w:rsidR="002C0FD9" w:rsidRPr="00CA25CF" w:rsidRDefault="002C0FD9" w:rsidP="00CA25CF">
            <w:pPr>
              <w:rPr>
                <w:rFonts w:cs="Arial"/>
                <w:color w:val="FF0000"/>
                <w:sz w:val="21"/>
                <w:szCs w:val="21"/>
              </w:rPr>
            </w:pPr>
          </w:p>
        </w:tc>
        <w:tc>
          <w:tcPr>
            <w:tcW w:w="217" w:type="dxa"/>
          </w:tcPr>
          <w:p w14:paraId="0E0C3947" w14:textId="77777777" w:rsidR="002C0FD9" w:rsidRPr="00CA25CF" w:rsidRDefault="002C0FD9" w:rsidP="00CA25CF">
            <w:pPr>
              <w:rPr>
                <w:rFonts w:cs="Arial"/>
                <w:color w:val="FF0000"/>
                <w:sz w:val="21"/>
                <w:szCs w:val="21"/>
              </w:rPr>
            </w:pPr>
          </w:p>
        </w:tc>
        <w:tc>
          <w:tcPr>
            <w:tcW w:w="217" w:type="dxa"/>
          </w:tcPr>
          <w:p w14:paraId="05FE0395" w14:textId="77777777" w:rsidR="002C0FD9" w:rsidRPr="00CA25CF" w:rsidRDefault="002C0FD9" w:rsidP="00CA25CF">
            <w:pPr>
              <w:rPr>
                <w:rFonts w:cs="Arial"/>
                <w:color w:val="FF0000"/>
                <w:sz w:val="21"/>
                <w:szCs w:val="21"/>
              </w:rPr>
            </w:pPr>
          </w:p>
        </w:tc>
        <w:tc>
          <w:tcPr>
            <w:tcW w:w="217" w:type="dxa"/>
          </w:tcPr>
          <w:p w14:paraId="7CDC13BD" w14:textId="77777777" w:rsidR="002C0FD9" w:rsidRPr="00CA25CF" w:rsidRDefault="002C0FD9" w:rsidP="00CA25CF">
            <w:pPr>
              <w:rPr>
                <w:rFonts w:cs="Arial"/>
                <w:color w:val="FF0000"/>
                <w:sz w:val="21"/>
                <w:szCs w:val="21"/>
              </w:rPr>
            </w:pPr>
          </w:p>
        </w:tc>
        <w:tc>
          <w:tcPr>
            <w:tcW w:w="217" w:type="dxa"/>
          </w:tcPr>
          <w:p w14:paraId="7D80A1DE" w14:textId="77777777" w:rsidR="002C0FD9" w:rsidRPr="00CA25CF" w:rsidRDefault="002C0FD9" w:rsidP="00CA25CF">
            <w:pPr>
              <w:rPr>
                <w:rFonts w:cs="Arial"/>
                <w:color w:val="FF0000"/>
                <w:sz w:val="21"/>
                <w:szCs w:val="21"/>
              </w:rPr>
            </w:pPr>
          </w:p>
        </w:tc>
        <w:tc>
          <w:tcPr>
            <w:tcW w:w="217" w:type="dxa"/>
          </w:tcPr>
          <w:p w14:paraId="4ACEBCD5" w14:textId="77777777" w:rsidR="002C0FD9" w:rsidRPr="00CA25CF" w:rsidRDefault="002C0FD9" w:rsidP="00CA25CF">
            <w:pPr>
              <w:rPr>
                <w:rFonts w:cs="Arial"/>
                <w:color w:val="FF0000"/>
                <w:sz w:val="21"/>
                <w:szCs w:val="21"/>
              </w:rPr>
            </w:pPr>
          </w:p>
        </w:tc>
        <w:tc>
          <w:tcPr>
            <w:tcW w:w="217" w:type="dxa"/>
          </w:tcPr>
          <w:p w14:paraId="782F0287" w14:textId="77777777" w:rsidR="002C0FD9" w:rsidRPr="00CA25CF" w:rsidRDefault="002C0FD9" w:rsidP="00CA25CF">
            <w:pPr>
              <w:rPr>
                <w:rFonts w:cs="Arial"/>
                <w:color w:val="FF0000"/>
                <w:sz w:val="21"/>
                <w:szCs w:val="21"/>
              </w:rPr>
            </w:pPr>
          </w:p>
        </w:tc>
        <w:tc>
          <w:tcPr>
            <w:tcW w:w="217" w:type="dxa"/>
          </w:tcPr>
          <w:p w14:paraId="3E80FC5D" w14:textId="77777777" w:rsidR="002C0FD9" w:rsidRPr="00CA25CF" w:rsidRDefault="002C0FD9" w:rsidP="00CA25CF">
            <w:pPr>
              <w:rPr>
                <w:rFonts w:cs="Arial"/>
                <w:color w:val="FF0000"/>
                <w:sz w:val="21"/>
                <w:szCs w:val="21"/>
              </w:rPr>
            </w:pPr>
          </w:p>
        </w:tc>
        <w:tc>
          <w:tcPr>
            <w:tcW w:w="217" w:type="dxa"/>
          </w:tcPr>
          <w:p w14:paraId="755E5745" w14:textId="77777777" w:rsidR="002C0FD9" w:rsidRPr="00CA25CF" w:rsidRDefault="002C0FD9" w:rsidP="00CA25CF">
            <w:pPr>
              <w:rPr>
                <w:rFonts w:cs="Arial"/>
                <w:color w:val="FF0000"/>
                <w:sz w:val="21"/>
                <w:szCs w:val="21"/>
              </w:rPr>
            </w:pPr>
          </w:p>
        </w:tc>
        <w:tc>
          <w:tcPr>
            <w:tcW w:w="217" w:type="dxa"/>
          </w:tcPr>
          <w:p w14:paraId="3F46E9F4" w14:textId="77777777" w:rsidR="002C0FD9" w:rsidRPr="00CA25CF" w:rsidRDefault="002C0FD9" w:rsidP="00CA25CF">
            <w:pPr>
              <w:rPr>
                <w:rFonts w:cs="Arial"/>
                <w:color w:val="FF0000"/>
                <w:sz w:val="21"/>
                <w:szCs w:val="21"/>
              </w:rPr>
            </w:pPr>
          </w:p>
        </w:tc>
        <w:tc>
          <w:tcPr>
            <w:tcW w:w="217" w:type="dxa"/>
          </w:tcPr>
          <w:p w14:paraId="1E8A0119" w14:textId="77777777" w:rsidR="002C0FD9" w:rsidRPr="00CA25CF" w:rsidRDefault="002C0FD9" w:rsidP="00CA25CF">
            <w:pPr>
              <w:rPr>
                <w:rFonts w:cs="Arial"/>
                <w:color w:val="FF0000"/>
                <w:sz w:val="21"/>
                <w:szCs w:val="21"/>
              </w:rPr>
            </w:pPr>
          </w:p>
        </w:tc>
        <w:tc>
          <w:tcPr>
            <w:tcW w:w="217" w:type="dxa"/>
          </w:tcPr>
          <w:p w14:paraId="2F58CC30" w14:textId="77777777" w:rsidR="002C0FD9" w:rsidRPr="00CA25CF" w:rsidRDefault="002C0FD9" w:rsidP="00CA25CF">
            <w:pPr>
              <w:rPr>
                <w:rFonts w:cs="Arial"/>
                <w:color w:val="FF0000"/>
                <w:sz w:val="21"/>
                <w:szCs w:val="21"/>
              </w:rPr>
            </w:pPr>
          </w:p>
        </w:tc>
        <w:tc>
          <w:tcPr>
            <w:tcW w:w="217" w:type="dxa"/>
          </w:tcPr>
          <w:p w14:paraId="7C9E1870" w14:textId="77777777" w:rsidR="002C0FD9" w:rsidRPr="00CA25CF" w:rsidRDefault="002C0FD9" w:rsidP="00CA25CF">
            <w:pPr>
              <w:rPr>
                <w:rFonts w:cs="Arial"/>
                <w:color w:val="FF0000"/>
                <w:sz w:val="21"/>
                <w:szCs w:val="21"/>
              </w:rPr>
            </w:pPr>
          </w:p>
        </w:tc>
        <w:tc>
          <w:tcPr>
            <w:tcW w:w="217" w:type="dxa"/>
          </w:tcPr>
          <w:p w14:paraId="581C7A12" w14:textId="77777777" w:rsidR="002C0FD9" w:rsidRPr="00CA25CF" w:rsidRDefault="002C0FD9" w:rsidP="00CA25CF">
            <w:pPr>
              <w:rPr>
                <w:rFonts w:cs="Arial"/>
                <w:color w:val="FF0000"/>
                <w:sz w:val="21"/>
                <w:szCs w:val="21"/>
              </w:rPr>
            </w:pPr>
          </w:p>
        </w:tc>
        <w:tc>
          <w:tcPr>
            <w:tcW w:w="217" w:type="dxa"/>
          </w:tcPr>
          <w:p w14:paraId="5783E844" w14:textId="77777777" w:rsidR="002C0FD9" w:rsidRPr="00CA25CF" w:rsidRDefault="002C0FD9" w:rsidP="00CA25CF">
            <w:pPr>
              <w:rPr>
                <w:rFonts w:cs="Arial"/>
                <w:color w:val="FF0000"/>
                <w:sz w:val="21"/>
                <w:szCs w:val="21"/>
              </w:rPr>
            </w:pPr>
          </w:p>
        </w:tc>
        <w:tc>
          <w:tcPr>
            <w:tcW w:w="217" w:type="dxa"/>
          </w:tcPr>
          <w:p w14:paraId="7A726FD6" w14:textId="77777777" w:rsidR="002C0FD9" w:rsidRPr="00CA25CF" w:rsidRDefault="002C0FD9" w:rsidP="00CA25CF">
            <w:pPr>
              <w:rPr>
                <w:rFonts w:cs="Arial"/>
                <w:color w:val="FF0000"/>
                <w:sz w:val="21"/>
                <w:szCs w:val="21"/>
              </w:rPr>
            </w:pPr>
          </w:p>
        </w:tc>
        <w:tc>
          <w:tcPr>
            <w:tcW w:w="217" w:type="dxa"/>
          </w:tcPr>
          <w:p w14:paraId="13395D9B" w14:textId="77777777" w:rsidR="002C0FD9" w:rsidRPr="00CA25CF" w:rsidRDefault="002C0FD9" w:rsidP="00CA25CF">
            <w:pPr>
              <w:rPr>
                <w:rFonts w:cs="Arial"/>
                <w:color w:val="FF0000"/>
                <w:sz w:val="21"/>
                <w:szCs w:val="21"/>
              </w:rPr>
            </w:pPr>
          </w:p>
        </w:tc>
        <w:tc>
          <w:tcPr>
            <w:tcW w:w="217" w:type="dxa"/>
          </w:tcPr>
          <w:p w14:paraId="1AC8B656" w14:textId="77777777" w:rsidR="002C0FD9" w:rsidRPr="00CA25CF" w:rsidRDefault="002C0FD9" w:rsidP="00CA25CF">
            <w:pPr>
              <w:rPr>
                <w:rFonts w:cs="Arial"/>
                <w:color w:val="FF0000"/>
                <w:sz w:val="21"/>
                <w:szCs w:val="21"/>
              </w:rPr>
            </w:pPr>
          </w:p>
        </w:tc>
        <w:tc>
          <w:tcPr>
            <w:tcW w:w="217" w:type="dxa"/>
          </w:tcPr>
          <w:p w14:paraId="2107CF78" w14:textId="77777777" w:rsidR="002C0FD9" w:rsidRPr="00CA25CF" w:rsidRDefault="002C0FD9" w:rsidP="00CA25CF">
            <w:pPr>
              <w:rPr>
                <w:rFonts w:cs="Arial"/>
                <w:color w:val="FF0000"/>
                <w:sz w:val="21"/>
                <w:szCs w:val="21"/>
              </w:rPr>
            </w:pPr>
          </w:p>
        </w:tc>
        <w:tc>
          <w:tcPr>
            <w:tcW w:w="217" w:type="dxa"/>
          </w:tcPr>
          <w:p w14:paraId="43AEFA59" w14:textId="77777777" w:rsidR="002C0FD9" w:rsidRPr="00CA25CF" w:rsidRDefault="002C0FD9" w:rsidP="00CA25CF">
            <w:pPr>
              <w:rPr>
                <w:rFonts w:cs="Arial"/>
                <w:color w:val="FF0000"/>
                <w:sz w:val="21"/>
                <w:szCs w:val="21"/>
              </w:rPr>
            </w:pPr>
          </w:p>
        </w:tc>
        <w:tc>
          <w:tcPr>
            <w:tcW w:w="217" w:type="dxa"/>
          </w:tcPr>
          <w:p w14:paraId="2AC6F450" w14:textId="77777777" w:rsidR="002C0FD9" w:rsidRPr="00CA25CF" w:rsidRDefault="002C0FD9" w:rsidP="00CA25CF">
            <w:pPr>
              <w:rPr>
                <w:rFonts w:cs="Arial"/>
                <w:color w:val="FF0000"/>
                <w:sz w:val="21"/>
                <w:szCs w:val="21"/>
              </w:rPr>
            </w:pPr>
          </w:p>
        </w:tc>
        <w:tc>
          <w:tcPr>
            <w:tcW w:w="217" w:type="dxa"/>
          </w:tcPr>
          <w:p w14:paraId="2D975B95" w14:textId="77777777" w:rsidR="002C0FD9" w:rsidRPr="00CA25CF" w:rsidRDefault="002C0FD9" w:rsidP="00CA25CF">
            <w:pPr>
              <w:rPr>
                <w:rFonts w:cs="Arial"/>
                <w:color w:val="FF0000"/>
                <w:sz w:val="21"/>
                <w:szCs w:val="21"/>
              </w:rPr>
            </w:pPr>
          </w:p>
        </w:tc>
        <w:tc>
          <w:tcPr>
            <w:tcW w:w="217" w:type="dxa"/>
          </w:tcPr>
          <w:p w14:paraId="22A137A6" w14:textId="77777777" w:rsidR="002C0FD9" w:rsidRPr="00CA25CF" w:rsidRDefault="002C0FD9" w:rsidP="00CA25CF">
            <w:pPr>
              <w:rPr>
                <w:rFonts w:cs="Arial"/>
                <w:color w:val="FF0000"/>
                <w:sz w:val="21"/>
                <w:szCs w:val="21"/>
              </w:rPr>
            </w:pPr>
          </w:p>
        </w:tc>
        <w:tc>
          <w:tcPr>
            <w:tcW w:w="217" w:type="dxa"/>
          </w:tcPr>
          <w:p w14:paraId="1DE0B0F3" w14:textId="77777777" w:rsidR="002C0FD9" w:rsidRPr="00CA25CF" w:rsidRDefault="002C0FD9" w:rsidP="00CA25CF">
            <w:pPr>
              <w:rPr>
                <w:rFonts w:cs="Arial"/>
                <w:color w:val="FF0000"/>
                <w:sz w:val="21"/>
                <w:szCs w:val="21"/>
              </w:rPr>
            </w:pPr>
          </w:p>
        </w:tc>
        <w:tc>
          <w:tcPr>
            <w:tcW w:w="217" w:type="dxa"/>
          </w:tcPr>
          <w:p w14:paraId="4FF1255B" w14:textId="77777777" w:rsidR="002C0FD9" w:rsidRPr="00CA25CF" w:rsidRDefault="002C0FD9" w:rsidP="00CA25CF">
            <w:pPr>
              <w:rPr>
                <w:rFonts w:cs="Arial"/>
                <w:color w:val="FF0000"/>
                <w:sz w:val="21"/>
                <w:szCs w:val="21"/>
              </w:rPr>
            </w:pPr>
          </w:p>
        </w:tc>
      </w:tr>
      <w:tr w:rsidR="002C0FD9" w:rsidRPr="00A16219" w14:paraId="25194457" w14:textId="299AF83E" w:rsidTr="002C0FD9">
        <w:trPr>
          <w:trHeight w:val="635"/>
        </w:trPr>
        <w:tc>
          <w:tcPr>
            <w:tcW w:w="515" w:type="dxa"/>
          </w:tcPr>
          <w:p w14:paraId="6659B148" w14:textId="77777777" w:rsidR="002C0FD9" w:rsidRPr="00CA25CF" w:rsidRDefault="002C0FD9" w:rsidP="00CA25CF">
            <w:pPr>
              <w:rPr>
                <w:rFonts w:cs="Arial"/>
                <w:color w:val="FF0000"/>
                <w:sz w:val="21"/>
                <w:szCs w:val="21"/>
              </w:rPr>
            </w:pPr>
          </w:p>
        </w:tc>
        <w:tc>
          <w:tcPr>
            <w:tcW w:w="217" w:type="dxa"/>
          </w:tcPr>
          <w:p w14:paraId="4C42C59A" w14:textId="77777777" w:rsidR="002C0FD9" w:rsidRPr="00CA25CF" w:rsidRDefault="002C0FD9" w:rsidP="00CA25CF">
            <w:pPr>
              <w:rPr>
                <w:rFonts w:cs="Arial"/>
                <w:color w:val="FF0000"/>
                <w:sz w:val="21"/>
                <w:szCs w:val="21"/>
              </w:rPr>
            </w:pPr>
          </w:p>
        </w:tc>
        <w:tc>
          <w:tcPr>
            <w:tcW w:w="217" w:type="dxa"/>
          </w:tcPr>
          <w:p w14:paraId="19F31197" w14:textId="173AF7D8" w:rsidR="002C0FD9" w:rsidRPr="00CA25CF" w:rsidRDefault="002C0FD9" w:rsidP="00CA25CF">
            <w:pPr>
              <w:rPr>
                <w:rFonts w:cs="Arial"/>
                <w:color w:val="FF0000"/>
                <w:sz w:val="21"/>
                <w:szCs w:val="21"/>
              </w:rPr>
            </w:pPr>
          </w:p>
        </w:tc>
        <w:tc>
          <w:tcPr>
            <w:tcW w:w="217" w:type="dxa"/>
          </w:tcPr>
          <w:p w14:paraId="1CF6A00E" w14:textId="77777777" w:rsidR="002C0FD9" w:rsidRPr="00CA25CF" w:rsidRDefault="002C0FD9" w:rsidP="00CA25CF">
            <w:pPr>
              <w:rPr>
                <w:rFonts w:cs="Arial"/>
                <w:color w:val="FF0000"/>
                <w:sz w:val="21"/>
                <w:szCs w:val="21"/>
              </w:rPr>
            </w:pPr>
          </w:p>
        </w:tc>
        <w:tc>
          <w:tcPr>
            <w:tcW w:w="217" w:type="dxa"/>
          </w:tcPr>
          <w:p w14:paraId="3C66F687" w14:textId="77777777" w:rsidR="002C0FD9" w:rsidRPr="00CA25CF" w:rsidRDefault="002C0FD9" w:rsidP="00CA25CF">
            <w:pPr>
              <w:rPr>
                <w:rFonts w:cs="Arial"/>
                <w:color w:val="FF0000"/>
                <w:sz w:val="21"/>
                <w:szCs w:val="21"/>
              </w:rPr>
            </w:pPr>
          </w:p>
        </w:tc>
        <w:tc>
          <w:tcPr>
            <w:tcW w:w="217" w:type="dxa"/>
          </w:tcPr>
          <w:p w14:paraId="550C70C8" w14:textId="77777777" w:rsidR="002C0FD9" w:rsidRPr="00CA25CF" w:rsidRDefault="002C0FD9" w:rsidP="00CA25CF">
            <w:pPr>
              <w:rPr>
                <w:rFonts w:cs="Arial"/>
                <w:color w:val="FF0000"/>
                <w:sz w:val="21"/>
                <w:szCs w:val="21"/>
              </w:rPr>
            </w:pPr>
          </w:p>
        </w:tc>
        <w:tc>
          <w:tcPr>
            <w:tcW w:w="217" w:type="dxa"/>
          </w:tcPr>
          <w:p w14:paraId="594F9D65" w14:textId="77777777" w:rsidR="002C0FD9" w:rsidRPr="00CA25CF" w:rsidRDefault="002C0FD9" w:rsidP="00CA25CF">
            <w:pPr>
              <w:rPr>
                <w:rFonts w:cs="Arial"/>
                <w:color w:val="FF0000"/>
                <w:sz w:val="21"/>
                <w:szCs w:val="21"/>
              </w:rPr>
            </w:pPr>
          </w:p>
        </w:tc>
        <w:tc>
          <w:tcPr>
            <w:tcW w:w="217" w:type="dxa"/>
          </w:tcPr>
          <w:p w14:paraId="5E560561" w14:textId="77777777" w:rsidR="002C0FD9" w:rsidRPr="00CA25CF" w:rsidRDefault="002C0FD9" w:rsidP="00CA25CF">
            <w:pPr>
              <w:rPr>
                <w:rFonts w:cs="Arial"/>
                <w:color w:val="FF0000"/>
                <w:sz w:val="21"/>
                <w:szCs w:val="21"/>
              </w:rPr>
            </w:pPr>
          </w:p>
        </w:tc>
        <w:tc>
          <w:tcPr>
            <w:tcW w:w="217" w:type="dxa"/>
          </w:tcPr>
          <w:p w14:paraId="12D00110" w14:textId="77777777" w:rsidR="002C0FD9" w:rsidRPr="00CA25CF" w:rsidRDefault="002C0FD9" w:rsidP="00CA25CF">
            <w:pPr>
              <w:rPr>
                <w:rFonts w:cs="Arial"/>
                <w:color w:val="FF0000"/>
                <w:sz w:val="21"/>
                <w:szCs w:val="21"/>
              </w:rPr>
            </w:pPr>
          </w:p>
        </w:tc>
        <w:tc>
          <w:tcPr>
            <w:tcW w:w="217" w:type="dxa"/>
          </w:tcPr>
          <w:p w14:paraId="50C58B32" w14:textId="77777777" w:rsidR="002C0FD9" w:rsidRPr="00CA25CF" w:rsidRDefault="002C0FD9" w:rsidP="00CA25CF">
            <w:pPr>
              <w:rPr>
                <w:rFonts w:cs="Arial"/>
                <w:color w:val="FF0000"/>
                <w:sz w:val="21"/>
                <w:szCs w:val="21"/>
              </w:rPr>
            </w:pPr>
          </w:p>
        </w:tc>
        <w:tc>
          <w:tcPr>
            <w:tcW w:w="217" w:type="dxa"/>
          </w:tcPr>
          <w:p w14:paraId="4579D97A" w14:textId="77777777" w:rsidR="002C0FD9" w:rsidRPr="00CA25CF" w:rsidRDefault="002C0FD9" w:rsidP="00CA25CF">
            <w:pPr>
              <w:rPr>
                <w:rFonts w:cs="Arial"/>
                <w:color w:val="FF0000"/>
                <w:sz w:val="21"/>
                <w:szCs w:val="21"/>
              </w:rPr>
            </w:pPr>
          </w:p>
        </w:tc>
        <w:tc>
          <w:tcPr>
            <w:tcW w:w="217" w:type="dxa"/>
          </w:tcPr>
          <w:p w14:paraId="6E98EEC4" w14:textId="77777777" w:rsidR="002C0FD9" w:rsidRPr="00CA25CF" w:rsidRDefault="002C0FD9" w:rsidP="00CA25CF">
            <w:pPr>
              <w:rPr>
                <w:rFonts w:cs="Arial"/>
                <w:color w:val="FF0000"/>
                <w:sz w:val="21"/>
                <w:szCs w:val="21"/>
              </w:rPr>
            </w:pPr>
          </w:p>
        </w:tc>
        <w:tc>
          <w:tcPr>
            <w:tcW w:w="217" w:type="dxa"/>
          </w:tcPr>
          <w:p w14:paraId="7C0CC00C" w14:textId="77777777" w:rsidR="002C0FD9" w:rsidRPr="00CA25CF" w:rsidRDefault="002C0FD9" w:rsidP="00CA25CF">
            <w:pPr>
              <w:rPr>
                <w:rFonts w:cs="Arial"/>
                <w:color w:val="FF0000"/>
                <w:sz w:val="21"/>
                <w:szCs w:val="21"/>
              </w:rPr>
            </w:pPr>
          </w:p>
        </w:tc>
        <w:tc>
          <w:tcPr>
            <w:tcW w:w="217" w:type="dxa"/>
          </w:tcPr>
          <w:p w14:paraId="10308D50" w14:textId="77777777" w:rsidR="002C0FD9" w:rsidRPr="00CA25CF" w:rsidRDefault="002C0FD9" w:rsidP="00CA25CF">
            <w:pPr>
              <w:rPr>
                <w:rFonts w:cs="Arial"/>
                <w:color w:val="FF0000"/>
                <w:sz w:val="21"/>
                <w:szCs w:val="21"/>
              </w:rPr>
            </w:pPr>
          </w:p>
        </w:tc>
        <w:tc>
          <w:tcPr>
            <w:tcW w:w="217" w:type="dxa"/>
          </w:tcPr>
          <w:p w14:paraId="31AA00C4" w14:textId="77777777" w:rsidR="002C0FD9" w:rsidRPr="00CA25CF" w:rsidRDefault="002C0FD9" w:rsidP="00CA25CF">
            <w:pPr>
              <w:rPr>
                <w:rFonts w:cs="Arial"/>
                <w:color w:val="FF0000"/>
                <w:sz w:val="21"/>
                <w:szCs w:val="21"/>
              </w:rPr>
            </w:pPr>
          </w:p>
        </w:tc>
        <w:tc>
          <w:tcPr>
            <w:tcW w:w="217" w:type="dxa"/>
          </w:tcPr>
          <w:p w14:paraId="766615A0" w14:textId="02690ACD" w:rsidR="002C0FD9" w:rsidRPr="00CA25CF" w:rsidRDefault="002C0FD9" w:rsidP="00CA25CF">
            <w:pPr>
              <w:rPr>
                <w:rFonts w:cs="Arial"/>
                <w:color w:val="FF0000"/>
                <w:sz w:val="21"/>
                <w:szCs w:val="21"/>
              </w:rPr>
            </w:pPr>
          </w:p>
        </w:tc>
        <w:tc>
          <w:tcPr>
            <w:tcW w:w="217" w:type="dxa"/>
          </w:tcPr>
          <w:p w14:paraId="45588945" w14:textId="77777777" w:rsidR="002C0FD9" w:rsidRPr="00CA25CF" w:rsidRDefault="002C0FD9" w:rsidP="00CA25CF">
            <w:pPr>
              <w:rPr>
                <w:rFonts w:cs="Arial"/>
                <w:color w:val="FF0000"/>
                <w:sz w:val="21"/>
                <w:szCs w:val="21"/>
              </w:rPr>
            </w:pPr>
          </w:p>
        </w:tc>
        <w:tc>
          <w:tcPr>
            <w:tcW w:w="217" w:type="dxa"/>
          </w:tcPr>
          <w:p w14:paraId="7096F65A" w14:textId="77777777" w:rsidR="002C0FD9" w:rsidRPr="00CA25CF" w:rsidRDefault="002C0FD9" w:rsidP="00CA25CF">
            <w:pPr>
              <w:rPr>
                <w:rFonts w:cs="Arial"/>
                <w:color w:val="FF0000"/>
                <w:sz w:val="21"/>
                <w:szCs w:val="21"/>
              </w:rPr>
            </w:pPr>
          </w:p>
        </w:tc>
        <w:tc>
          <w:tcPr>
            <w:tcW w:w="217" w:type="dxa"/>
          </w:tcPr>
          <w:p w14:paraId="6A75D62D" w14:textId="77777777" w:rsidR="002C0FD9" w:rsidRPr="00CA25CF" w:rsidRDefault="002C0FD9" w:rsidP="00CA25CF">
            <w:pPr>
              <w:rPr>
                <w:rFonts w:cs="Arial"/>
                <w:color w:val="FF0000"/>
                <w:sz w:val="21"/>
                <w:szCs w:val="21"/>
              </w:rPr>
            </w:pPr>
          </w:p>
        </w:tc>
        <w:tc>
          <w:tcPr>
            <w:tcW w:w="217" w:type="dxa"/>
          </w:tcPr>
          <w:p w14:paraId="45A66360" w14:textId="77777777" w:rsidR="002C0FD9" w:rsidRPr="00CA25CF" w:rsidRDefault="002C0FD9" w:rsidP="00CA25CF">
            <w:pPr>
              <w:rPr>
                <w:rFonts w:cs="Arial"/>
                <w:color w:val="FF0000"/>
                <w:sz w:val="21"/>
                <w:szCs w:val="21"/>
              </w:rPr>
            </w:pPr>
          </w:p>
        </w:tc>
        <w:tc>
          <w:tcPr>
            <w:tcW w:w="217" w:type="dxa"/>
          </w:tcPr>
          <w:p w14:paraId="1B3F2A5A" w14:textId="77777777" w:rsidR="002C0FD9" w:rsidRPr="00CA25CF" w:rsidRDefault="002C0FD9" w:rsidP="00CA25CF">
            <w:pPr>
              <w:rPr>
                <w:rFonts w:cs="Arial"/>
                <w:color w:val="FF0000"/>
                <w:sz w:val="21"/>
                <w:szCs w:val="21"/>
              </w:rPr>
            </w:pPr>
          </w:p>
        </w:tc>
        <w:tc>
          <w:tcPr>
            <w:tcW w:w="217" w:type="dxa"/>
          </w:tcPr>
          <w:p w14:paraId="61487551" w14:textId="77777777" w:rsidR="002C0FD9" w:rsidRPr="00CA25CF" w:rsidRDefault="002C0FD9" w:rsidP="00CA25CF">
            <w:pPr>
              <w:rPr>
                <w:rFonts w:cs="Arial"/>
                <w:color w:val="FF0000"/>
                <w:sz w:val="21"/>
                <w:szCs w:val="21"/>
              </w:rPr>
            </w:pPr>
          </w:p>
        </w:tc>
        <w:tc>
          <w:tcPr>
            <w:tcW w:w="217" w:type="dxa"/>
          </w:tcPr>
          <w:p w14:paraId="39323180" w14:textId="77777777" w:rsidR="002C0FD9" w:rsidRPr="00CA25CF" w:rsidRDefault="002C0FD9" w:rsidP="00CA25CF">
            <w:pPr>
              <w:rPr>
                <w:rFonts w:cs="Arial"/>
                <w:color w:val="FF0000"/>
                <w:sz w:val="21"/>
                <w:szCs w:val="21"/>
              </w:rPr>
            </w:pPr>
          </w:p>
        </w:tc>
        <w:tc>
          <w:tcPr>
            <w:tcW w:w="217" w:type="dxa"/>
          </w:tcPr>
          <w:p w14:paraId="55A1C035" w14:textId="77777777" w:rsidR="002C0FD9" w:rsidRPr="00CA25CF" w:rsidRDefault="002C0FD9" w:rsidP="00CA25CF">
            <w:pPr>
              <w:rPr>
                <w:rFonts w:cs="Arial"/>
                <w:color w:val="FF0000"/>
                <w:sz w:val="21"/>
                <w:szCs w:val="21"/>
              </w:rPr>
            </w:pPr>
          </w:p>
        </w:tc>
        <w:tc>
          <w:tcPr>
            <w:tcW w:w="217" w:type="dxa"/>
          </w:tcPr>
          <w:p w14:paraId="3957A0BF" w14:textId="77777777" w:rsidR="002C0FD9" w:rsidRPr="00CA25CF" w:rsidRDefault="002C0FD9" w:rsidP="00CA25CF">
            <w:pPr>
              <w:rPr>
                <w:rFonts w:cs="Arial"/>
                <w:color w:val="FF0000"/>
                <w:sz w:val="21"/>
                <w:szCs w:val="21"/>
              </w:rPr>
            </w:pPr>
          </w:p>
        </w:tc>
        <w:tc>
          <w:tcPr>
            <w:tcW w:w="217" w:type="dxa"/>
          </w:tcPr>
          <w:p w14:paraId="71BEA403" w14:textId="77777777" w:rsidR="002C0FD9" w:rsidRPr="00CA25CF" w:rsidRDefault="002C0FD9" w:rsidP="00CA25CF">
            <w:pPr>
              <w:rPr>
                <w:rFonts w:cs="Arial"/>
                <w:color w:val="FF0000"/>
                <w:sz w:val="21"/>
                <w:szCs w:val="21"/>
              </w:rPr>
            </w:pPr>
          </w:p>
        </w:tc>
        <w:tc>
          <w:tcPr>
            <w:tcW w:w="217" w:type="dxa"/>
          </w:tcPr>
          <w:p w14:paraId="39A7051F" w14:textId="77777777" w:rsidR="002C0FD9" w:rsidRPr="00CA25CF" w:rsidRDefault="002C0FD9" w:rsidP="00CA25CF">
            <w:pPr>
              <w:rPr>
                <w:rFonts w:cs="Arial"/>
                <w:color w:val="FF0000"/>
                <w:sz w:val="21"/>
                <w:szCs w:val="21"/>
              </w:rPr>
            </w:pPr>
          </w:p>
        </w:tc>
        <w:tc>
          <w:tcPr>
            <w:tcW w:w="217" w:type="dxa"/>
          </w:tcPr>
          <w:p w14:paraId="577C3DAB" w14:textId="77777777" w:rsidR="002C0FD9" w:rsidRPr="00CA25CF" w:rsidRDefault="002C0FD9" w:rsidP="00CA25CF">
            <w:pPr>
              <w:rPr>
                <w:rFonts w:cs="Arial"/>
                <w:color w:val="FF0000"/>
                <w:sz w:val="21"/>
                <w:szCs w:val="21"/>
              </w:rPr>
            </w:pPr>
          </w:p>
        </w:tc>
        <w:tc>
          <w:tcPr>
            <w:tcW w:w="217" w:type="dxa"/>
          </w:tcPr>
          <w:p w14:paraId="5456A6EE" w14:textId="77777777" w:rsidR="002C0FD9" w:rsidRPr="00CA25CF" w:rsidRDefault="002C0FD9" w:rsidP="00CA25CF">
            <w:pPr>
              <w:rPr>
                <w:rFonts w:cs="Arial"/>
                <w:color w:val="FF0000"/>
                <w:sz w:val="21"/>
                <w:szCs w:val="21"/>
              </w:rPr>
            </w:pPr>
          </w:p>
        </w:tc>
        <w:tc>
          <w:tcPr>
            <w:tcW w:w="217" w:type="dxa"/>
          </w:tcPr>
          <w:p w14:paraId="1B4EE230" w14:textId="77777777" w:rsidR="002C0FD9" w:rsidRPr="00CA25CF" w:rsidRDefault="002C0FD9" w:rsidP="00CA25CF">
            <w:pPr>
              <w:rPr>
                <w:rFonts w:cs="Arial"/>
                <w:color w:val="FF0000"/>
                <w:sz w:val="21"/>
                <w:szCs w:val="21"/>
              </w:rPr>
            </w:pPr>
          </w:p>
        </w:tc>
        <w:tc>
          <w:tcPr>
            <w:tcW w:w="217" w:type="dxa"/>
          </w:tcPr>
          <w:p w14:paraId="3C480A3A" w14:textId="77777777" w:rsidR="002C0FD9" w:rsidRPr="00CA25CF" w:rsidRDefault="002C0FD9" w:rsidP="00CA25CF">
            <w:pPr>
              <w:rPr>
                <w:rFonts w:cs="Arial"/>
                <w:color w:val="FF0000"/>
                <w:sz w:val="21"/>
                <w:szCs w:val="21"/>
              </w:rPr>
            </w:pPr>
          </w:p>
        </w:tc>
        <w:tc>
          <w:tcPr>
            <w:tcW w:w="217" w:type="dxa"/>
          </w:tcPr>
          <w:p w14:paraId="32BD3527" w14:textId="77777777" w:rsidR="002C0FD9" w:rsidRPr="00CA25CF" w:rsidRDefault="002C0FD9" w:rsidP="00CA25CF">
            <w:pPr>
              <w:rPr>
                <w:rFonts w:cs="Arial"/>
                <w:color w:val="FF0000"/>
                <w:sz w:val="21"/>
                <w:szCs w:val="21"/>
              </w:rPr>
            </w:pPr>
          </w:p>
        </w:tc>
        <w:tc>
          <w:tcPr>
            <w:tcW w:w="217" w:type="dxa"/>
          </w:tcPr>
          <w:p w14:paraId="1FACEA18" w14:textId="77777777" w:rsidR="002C0FD9" w:rsidRPr="00CA25CF" w:rsidRDefault="002C0FD9" w:rsidP="00CA25CF">
            <w:pPr>
              <w:rPr>
                <w:rFonts w:cs="Arial"/>
                <w:color w:val="FF0000"/>
                <w:sz w:val="21"/>
                <w:szCs w:val="21"/>
              </w:rPr>
            </w:pPr>
          </w:p>
        </w:tc>
        <w:tc>
          <w:tcPr>
            <w:tcW w:w="217" w:type="dxa"/>
          </w:tcPr>
          <w:p w14:paraId="479D54CA" w14:textId="77777777" w:rsidR="002C0FD9" w:rsidRPr="00CA25CF" w:rsidRDefault="002C0FD9" w:rsidP="00CA25CF">
            <w:pPr>
              <w:rPr>
                <w:rFonts w:cs="Arial"/>
                <w:color w:val="FF0000"/>
                <w:sz w:val="21"/>
                <w:szCs w:val="21"/>
              </w:rPr>
            </w:pPr>
          </w:p>
        </w:tc>
        <w:tc>
          <w:tcPr>
            <w:tcW w:w="217" w:type="dxa"/>
          </w:tcPr>
          <w:p w14:paraId="79CA9A74" w14:textId="77777777" w:rsidR="002C0FD9" w:rsidRPr="00CA25CF" w:rsidRDefault="002C0FD9" w:rsidP="00CA25CF">
            <w:pPr>
              <w:rPr>
                <w:rFonts w:cs="Arial"/>
                <w:color w:val="FF0000"/>
                <w:sz w:val="21"/>
                <w:szCs w:val="21"/>
              </w:rPr>
            </w:pPr>
          </w:p>
        </w:tc>
        <w:tc>
          <w:tcPr>
            <w:tcW w:w="217" w:type="dxa"/>
          </w:tcPr>
          <w:p w14:paraId="6C944282" w14:textId="77777777" w:rsidR="002C0FD9" w:rsidRPr="00CA25CF" w:rsidRDefault="002C0FD9" w:rsidP="00CA25CF">
            <w:pPr>
              <w:rPr>
                <w:rFonts w:cs="Arial"/>
                <w:color w:val="FF0000"/>
                <w:sz w:val="21"/>
                <w:szCs w:val="21"/>
              </w:rPr>
            </w:pPr>
          </w:p>
        </w:tc>
        <w:tc>
          <w:tcPr>
            <w:tcW w:w="217" w:type="dxa"/>
          </w:tcPr>
          <w:p w14:paraId="0EC86480" w14:textId="77777777" w:rsidR="002C0FD9" w:rsidRPr="00CA25CF" w:rsidRDefault="002C0FD9" w:rsidP="00CA25CF">
            <w:pPr>
              <w:rPr>
                <w:rFonts w:cs="Arial"/>
                <w:color w:val="FF0000"/>
                <w:sz w:val="21"/>
                <w:szCs w:val="21"/>
              </w:rPr>
            </w:pPr>
          </w:p>
        </w:tc>
        <w:tc>
          <w:tcPr>
            <w:tcW w:w="217" w:type="dxa"/>
          </w:tcPr>
          <w:p w14:paraId="38C42BF0" w14:textId="77777777" w:rsidR="002C0FD9" w:rsidRPr="00CA25CF" w:rsidRDefault="002C0FD9" w:rsidP="00CA25CF">
            <w:pPr>
              <w:rPr>
                <w:rFonts w:cs="Arial"/>
                <w:color w:val="FF0000"/>
                <w:sz w:val="21"/>
                <w:szCs w:val="21"/>
              </w:rPr>
            </w:pPr>
          </w:p>
        </w:tc>
        <w:tc>
          <w:tcPr>
            <w:tcW w:w="217" w:type="dxa"/>
          </w:tcPr>
          <w:p w14:paraId="58D65AD2" w14:textId="77777777" w:rsidR="002C0FD9" w:rsidRPr="00CA25CF" w:rsidRDefault="002C0FD9" w:rsidP="00CA25CF">
            <w:pPr>
              <w:rPr>
                <w:rFonts w:cs="Arial"/>
                <w:color w:val="FF0000"/>
                <w:sz w:val="21"/>
                <w:szCs w:val="21"/>
              </w:rPr>
            </w:pPr>
          </w:p>
        </w:tc>
        <w:tc>
          <w:tcPr>
            <w:tcW w:w="217" w:type="dxa"/>
          </w:tcPr>
          <w:p w14:paraId="326712D1" w14:textId="77777777" w:rsidR="002C0FD9" w:rsidRPr="00CA25CF" w:rsidRDefault="002C0FD9" w:rsidP="00CA25CF">
            <w:pPr>
              <w:rPr>
                <w:rFonts w:cs="Arial"/>
                <w:color w:val="FF0000"/>
                <w:sz w:val="21"/>
                <w:szCs w:val="21"/>
              </w:rPr>
            </w:pPr>
          </w:p>
        </w:tc>
        <w:tc>
          <w:tcPr>
            <w:tcW w:w="217" w:type="dxa"/>
          </w:tcPr>
          <w:p w14:paraId="37499E50" w14:textId="77777777" w:rsidR="002C0FD9" w:rsidRPr="00CA25CF" w:rsidRDefault="002C0FD9" w:rsidP="00CA25CF">
            <w:pPr>
              <w:rPr>
                <w:rFonts w:cs="Arial"/>
                <w:color w:val="FF0000"/>
                <w:sz w:val="21"/>
                <w:szCs w:val="21"/>
              </w:rPr>
            </w:pPr>
          </w:p>
        </w:tc>
        <w:tc>
          <w:tcPr>
            <w:tcW w:w="217" w:type="dxa"/>
          </w:tcPr>
          <w:p w14:paraId="1E4B3A5B" w14:textId="77777777" w:rsidR="002C0FD9" w:rsidRPr="00CA25CF" w:rsidRDefault="002C0FD9" w:rsidP="00CA25CF">
            <w:pPr>
              <w:rPr>
                <w:rFonts w:cs="Arial"/>
                <w:color w:val="FF0000"/>
                <w:sz w:val="21"/>
                <w:szCs w:val="21"/>
              </w:rPr>
            </w:pPr>
          </w:p>
        </w:tc>
        <w:tc>
          <w:tcPr>
            <w:tcW w:w="217" w:type="dxa"/>
          </w:tcPr>
          <w:p w14:paraId="470A7FFD" w14:textId="77777777" w:rsidR="002C0FD9" w:rsidRPr="00CA25CF" w:rsidRDefault="002C0FD9" w:rsidP="00CA25CF">
            <w:pPr>
              <w:rPr>
                <w:rFonts w:cs="Arial"/>
                <w:color w:val="FF0000"/>
                <w:sz w:val="21"/>
                <w:szCs w:val="21"/>
              </w:rPr>
            </w:pPr>
          </w:p>
        </w:tc>
      </w:tr>
      <w:tr w:rsidR="002C0FD9" w:rsidRPr="00A16219" w14:paraId="34882F22" w14:textId="78455DBD" w:rsidTr="002C0FD9">
        <w:trPr>
          <w:trHeight w:val="635"/>
        </w:trPr>
        <w:tc>
          <w:tcPr>
            <w:tcW w:w="515" w:type="dxa"/>
          </w:tcPr>
          <w:p w14:paraId="555F78DF" w14:textId="77777777" w:rsidR="002C0FD9" w:rsidRPr="00CA25CF" w:rsidRDefault="002C0FD9" w:rsidP="00CA25CF">
            <w:pPr>
              <w:rPr>
                <w:rFonts w:cs="Arial"/>
                <w:color w:val="FF0000"/>
                <w:sz w:val="21"/>
                <w:szCs w:val="21"/>
              </w:rPr>
            </w:pPr>
          </w:p>
        </w:tc>
        <w:tc>
          <w:tcPr>
            <w:tcW w:w="217" w:type="dxa"/>
          </w:tcPr>
          <w:p w14:paraId="01008C1C" w14:textId="77777777" w:rsidR="002C0FD9" w:rsidRPr="00CA25CF" w:rsidRDefault="002C0FD9" w:rsidP="00CA25CF">
            <w:pPr>
              <w:rPr>
                <w:rFonts w:cs="Arial"/>
                <w:color w:val="FF0000"/>
                <w:sz w:val="21"/>
                <w:szCs w:val="21"/>
              </w:rPr>
            </w:pPr>
          </w:p>
        </w:tc>
        <w:tc>
          <w:tcPr>
            <w:tcW w:w="217" w:type="dxa"/>
          </w:tcPr>
          <w:p w14:paraId="4AACF6DA" w14:textId="03D79876" w:rsidR="002C0FD9" w:rsidRPr="00CA25CF" w:rsidRDefault="002C0FD9" w:rsidP="00CA25CF">
            <w:pPr>
              <w:rPr>
                <w:rFonts w:cs="Arial"/>
                <w:color w:val="FF0000"/>
                <w:sz w:val="21"/>
                <w:szCs w:val="21"/>
              </w:rPr>
            </w:pPr>
          </w:p>
        </w:tc>
        <w:tc>
          <w:tcPr>
            <w:tcW w:w="217" w:type="dxa"/>
          </w:tcPr>
          <w:p w14:paraId="6886DBFD" w14:textId="77777777" w:rsidR="002C0FD9" w:rsidRPr="00CA25CF" w:rsidRDefault="002C0FD9" w:rsidP="00CA25CF">
            <w:pPr>
              <w:rPr>
                <w:rFonts w:cs="Arial"/>
                <w:color w:val="FF0000"/>
                <w:sz w:val="21"/>
                <w:szCs w:val="21"/>
              </w:rPr>
            </w:pPr>
          </w:p>
        </w:tc>
        <w:tc>
          <w:tcPr>
            <w:tcW w:w="217" w:type="dxa"/>
          </w:tcPr>
          <w:p w14:paraId="18B26E1A" w14:textId="77777777" w:rsidR="002C0FD9" w:rsidRPr="00CA25CF" w:rsidRDefault="002C0FD9" w:rsidP="00CA25CF">
            <w:pPr>
              <w:rPr>
                <w:rFonts w:cs="Arial"/>
                <w:color w:val="FF0000"/>
                <w:sz w:val="21"/>
                <w:szCs w:val="21"/>
              </w:rPr>
            </w:pPr>
          </w:p>
        </w:tc>
        <w:tc>
          <w:tcPr>
            <w:tcW w:w="217" w:type="dxa"/>
          </w:tcPr>
          <w:p w14:paraId="10369239" w14:textId="77777777" w:rsidR="002C0FD9" w:rsidRPr="00CA25CF" w:rsidRDefault="002C0FD9" w:rsidP="00CA25CF">
            <w:pPr>
              <w:rPr>
                <w:rFonts w:cs="Arial"/>
                <w:color w:val="FF0000"/>
                <w:sz w:val="21"/>
                <w:szCs w:val="21"/>
              </w:rPr>
            </w:pPr>
          </w:p>
        </w:tc>
        <w:tc>
          <w:tcPr>
            <w:tcW w:w="217" w:type="dxa"/>
          </w:tcPr>
          <w:p w14:paraId="18943FB8" w14:textId="77777777" w:rsidR="002C0FD9" w:rsidRPr="00CA25CF" w:rsidRDefault="002C0FD9" w:rsidP="00CA25CF">
            <w:pPr>
              <w:rPr>
                <w:rFonts w:cs="Arial"/>
                <w:color w:val="FF0000"/>
                <w:sz w:val="21"/>
                <w:szCs w:val="21"/>
              </w:rPr>
            </w:pPr>
          </w:p>
        </w:tc>
        <w:tc>
          <w:tcPr>
            <w:tcW w:w="217" w:type="dxa"/>
          </w:tcPr>
          <w:p w14:paraId="0A5D335D" w14:textId="77777777" w:rsidR="002C0FD9" w:rsidRPr="00CA25CF" w:rsidRDefault="002C0FD9" w:rsidP="00CA25CF">
            <w:pPr>
              <w:rPr>
                <w:rFonts w:cs="Arial"/>
                <w:color w:val="FF0000"/>
                <w:sz w:val="21"/>
                <w:szCs w:val="21"/>
              </w:rPr>
            </w:pPr>
          </w:p>
        </w:tc>
        <w:tc>
          <w:tcPr>
            <w:tcW w:w="217" w:type="dxa"/>
          </w:tcPr>
          <w:p w14:paraId="76074ABF" w14:textId="77777777" w:rsidR="002C0FD9" w:rsidRPr="00CA25CF" w:rsidRDefault="002C0FD9" w:rsidP="00CA25CF">
            <w:pPr>
              <w:rPr>
                <w:rFonts w:cs="Arial"/>
                <w:color w:val="FF0000"/>
                <w:sz w:val="21"/>
                <w:szCs w:val="21"/>
              </w:rPr>
            </w:pPr>
          </w:p>
        </w:tc>
        <w:tc>
          <w:tcPr>
            <w:tcW w:w="217" w:type="dxa"/>
          </w:tcPr>
          <w:p w14:paraId="10CB86C3" w14:textId="77777777" w:rsidR="002C0FD9" w:rsidRPr="00CA25CF" w:rsidRDefault="002C0FD9" w:rsidP="00CA25CF">
            <w:pPr>
              <w:rPr>
                <w:rFonts w:cs="Arial"/>
                <w:color w:val="FF0000"/>
                <w:sz w:val="21"/>
                <w:szCs w:val="21"/>
              </w:rPr>
            </w:pPr>
          </w:p>
        </w:tc>
        <w:tc>
          <w:tcPr>
            <w:tcW w:w="217" w:type="dxa"/>
          </w:tcPr>
          <w:p w14:paraId="6AFDB43D" w14:textId="77777777" w:rsidR="002C0FD9" w:rsidRPr="00CA25CF" w:rsidRDefault="002C0FD9" w:rsidP="00CA25CF">
            <w:pPr>
              <w:rPr>
                <w:rFonts w:cs="Arial"/>
                <w:color w:val="FF0000"/>
                <w:sz w:val="21"/>
                <w:szCs w:val="21"/>
              </w:rPr>
            </w:pPr>
          </w:p>
        </w:tc>
        <w:tc>
          <w:tcPr>
            <w:tcW w:w="217" w:type="dxa"/>
          </w:tcPr>
          <w:p w14:paraId="21F87A5A" w14:textId="77777777" w:rsidR="002C0FD9" w:rsidRPr="00CA25CF" w:rsidRDefault="002C0FD9" w:rsidP="00CA25CF">
            <w:pPr>
              <w:rPr>
                <w:rFonts w:cs="Arial"/>
                <w:color w:val="FF0000"/>
                <w:sz w:val="21"/>
                <w:szCs w:val="21"/>
              </w:rPr>
            </w:pPr>
          </w:p>
        </w:tc>
        <w:tc>
          <w:tcPr>
            <w:tcW w:w="217" w:type="dxa"/>
          </w:tcPr>
          <w:p w14:paraId="547AA1A4" w14:textId="77777777" w:rsidR="002C0FD9" w:rsidRPr="00CA25CF" w:rsidRDefault="002C0FD9" w:rsidP="00CA25CF">
            <w:pPr>
              <w:rPr>
                <w:rFonts w:cs="Arial"/>
                <w:color w:val="FF0000"/>
                <w:sz w:val="21"/>
                <w:szCs w:val="21"/>
              </w:rPr>
            </w:pPr>
          </w:p>
        </w:tc>
        <w:tc>
          <w:tcPr>
            <w:tcW w:w="217" w:type="dxa"/>
          </w:tcPr>
          <w:p w14:paraId="7F97ED56" w14:textId="77777777" w:rsidR="002C0FD9" w:rsidRPr="00CA25CF" w:rsidRDefault="002C0FD9" w:rsidP="00CA25CF">
            <w:pPr>
              <w:rPr>
                <w:rFonts w:cs="Arial"/>
                <w:color w:val="FF0000"/>
                <w:sz w:val="21"/>
                <w:szCs w:val="21"/>
              </w:rPr>
            </w:pPr>
          </w:p>
        </w:tc>
        <w:tc>
          <w:tcPr>
            <w:tcW w:w="217" w:type="dxa"/>
          </w:tcPr>
          <w:p w14:paraId="0278F781" w14:textId="77777777" w:rsidR="002C0FD9" w:rsidRPr="00CA25CF" w:rsidRDefault="002C0FD9" w:rsidP="00CA25CF">
            <w:pPr>
              <w:rPr>
                <w:rFonts w:cs="Arial"/>
                <w:color w:val="FF0000"/>
                <w:sz w:val="21"/>
                <w:szCs w:val="21"/>
              </w:rPr>
            </w:pPr>
          </w:p>
        </w:tc>
        <w:tc>
          <w:tcPr>
            <w:tcW w:w="217" w:type="dxa"/>
          </w:tcPr>
          <w:p w14:paraId="444C8E1E" w14:textId="0019BA28" w:rsidR="002C0FD9" w:rsidRPr="00CA25CF" w:rsidRDefault="002C0FD9" w:rsidP="00CA25CF">
            <w:pPr>
              <w:rPr>
                <w:rFonts w:cs="Arial"/>
                <w:color w:val="FF0000"/>
                <w:sz w:val="21"/>
                <w:szCs w:val="21"/>
              </w:rPr>
            </w:pPr>
          </w:p>
        </w:tc>
        <w:tc>
          <w:tcPr>
            <w:tcW w:w="217" w:type="dxa"/>
          </w:tcPr>
          <w:p w14:paraId="47F4F1CF" w14:textId="77777777" w:rsidR="002C0FD9" w:rsidRPr="00CA25CF" w:rsidRDefault="002C0FD9" w:rsidP="00CA25CF">
            <w:pPr>
              <w:rPr>
                <w:rFonts w:cs="Arial"/>
                <w:color w:val="FF0000"/>
                <w:sz w:val="21"/>
                <w:szCs w:val="21"/>
              </w:rPr>
            </w:pPr>
          </w:p>
        </w:tc>
        <w:tc>
          <w:tcPr>
            <w:tcW w:w="217" w:type="dxa"/>
          </w:tcPr>
          <w:p w14:paraId="1AED7508" w14:textId="77777777" w:rsidR="002C0FD9" w:rsidRPr="00CA25CF" w:rsidRDefault="002C0FD9" w:rsidP="00CA25CF">
            <w:pPr>
              <w:rPr>
                <w:rFonts w:cs="Arial"/>
                <w:color w:val="FF0000"/>
                <w:sz w:val="21"/>
                <w:szCs w:val="21"/>
              </w:rPr>
            </w:pPr>
          </w:p>
        </w:tc>
        <w:tc>
          <w:tcPr>
            <w:tcW w:w="217" w:type="dxa"/>
          </w:tcPr>
          <w:p w14:paraId="22AF7DCA" w14:textId="77777777" w:rsidR="002C0FD9" w:rsidRPr="00CA25CF" w:rsidRDefault="002C0FD9" w:rsidP="00CA25CF">
            <w:pPr>
              <w:rPr>
                <w:rFonts w:cs="Arial"/>
                <w:color w:val="FF0000"/>
                <w:sz w:val="21"/>
                <w:szCs w:val="21"/>
              </w:rPr>
            </w:pPr>
          </w:p>
        </w:tc>
        <w:tc>
          <w:tcPr>
            <w:tcW w:w="217" w:type="dxa"/>
          </w:tcPr>
          <w:p w14:paraId="4179659B" w14:textId="77777777" w:rsidR="002C0FD9" w:rsidRPr="00CA25CF" w:rsidRDefault="002C0FD9" w:rsidP="00CA25CF">
            <w:pPr>
              <w:rPr>
                <w:rFonts w:cs="Arial"/>
                <w:color w:val="FF0000"/>
                <w:sz w:val="21"/>
                <w:szCs w:val="21"/>
              </w:rPr>
            </w:pPr>
          </w:p>
        </w:tc>
        <w:tc>
          <w:tcPr>
            <w:tcW w:w="217" w:type="dxa"/>
          </w:tcPr>
          <w:p w14:paraId="693BC020" w14:textId="77777777" w:rsidR="002C0FD9" w:rsidRPr="00CA25CF" w:rsidRDefault="002C0FD9" w:rsidP="00CA25CF">
            <w:pPr>
              <w:rPr>
                <w:rFonts w:cs="Arial"/>
                <w:color w:val="FF0000"/>
                <w:sz w:val="21"/>
                <w:szCs w:val="21"/>
              </w:rPr>
            </w:pPr>
          </w:p>
        </w:tc>
        <w:tc>
          <w:tcPr>
            <w:tcW w:w="217" w:type="dxa"/>
          </w:tcPr>
          <w:p w14:paraId="34467D24" w14:textId="77777777" w:rsidR="002C0FD9" w:rsidRPr="00CA25CF" w:rsidRDefault="002C0FD9" w:rsidP="00CA25CF">
            <w:pPr>
              <w:rPr>
                <w:rFonts w:cs="Arial"/>
                <w:color w:val="FF0000"/>
                <w:sz w:val="21"/>
                <w:szCs w:val="21"/>
              </w:rPr>
            </w:pPr>
          </w:p>
        </w:tc>
        <w:tc>
          <w:tcPr>
            <w:tcW w:w="217" w:type="dxa"/>
          </w:tcPr>
          <w:p w14:paraId="182A180B" w14:textId="77777777" w:rsidR="002C0FD9" w:rsidRPr="00CA25CF" w:rsidRDefault="002C0FD9" w:rsidP="00CA25CF">
            <w:pPr>
              <w:rPr>
                <w:rFonts w:cs="Arial"/>
                <w:color w:val="FF0000"/>
                <w:sz w:val="21"/>
                <w:szCs w:val="21"/>
              </w:rPr>
            </w:pPr>
          </w:p>
        </w:tc>
        <w:tc>
          <w:tcPr>
            <w:tcW w:w="217" w:type="dxa"/>
          </w:tcPr>
          <w:p w14:paraId="21E9258E" w14:textId="77777777" w:rsidR="002C0FD9" w:rsidRPr="00CA25CF" w:rsidRDefault="002C0FD9" w:rsidP="00CA25CF">
            <w:pPr>
              <w:rPr>
                <w:rFonts w:cs="Arial"/>
                <w:color w:val="FF0000"/>
                <w:sz w:val="21"/>
                <w:szCs w:val="21"/>
              </w:rPr>
            </w:pPr>
          </w:p>
        </w:tc>
        <w:tc>
          <w:tcPr>
            <w:tcW w:w="217" w:type="dxa"/>
          </w:tcPr>
          <w:p w14:paraId="08527DF9" w14:textId="77777777" w:rsidR="002C0FD9" w:rsidRPr="00CA25CF" w:rsidRDefault="002C0FD9" w:rsidP="00CA25CF">
            <w:pPr>
              <w:rPr>
                <w:rFonts w:cs="Arial"/>
                <w:color w:val="FF0000"/>
                <w:sz w:val="21"/>
                <w:szCs w:val="21"/>
              </w:rPr>
            </w:pPr>
          </w:p>
        </w:tc>
        <w:tc>
          <w:tcPr>
            <w:tcW w:w="217" w:type="dxa"/>
          </w:tcPr>
          <w:p w14:paraId="5FB77493" w14:textId="77777777" w:rsidR="002C0FD9" w:rsidRPr="00CA25CF" w:rsidRDefault="002C0FD9" w:rsidP="00CA25CF">
            <w:pPr>
              <w:rPr>
                <w:rFonts w:cs="Arial"/>
                <w:color w:val="FF0000"/>
                <w:sz w:val="21"/>
                <w:szCs w:val="21"/>
              </w:rPr>
            </w:pPr>
          </w:p>
        </w:tc>
        <w:tc>
          <w:tcPr>
            <w:tcW w:w="217" w:type="dxa"/>
          </w:tcPr>
          <w:p w14:paraId="1C00114F" w14:textId="77777777" w:rsidR="002C0FD9" w:rsidRPr="00CA25CF" w:rsidRDefault="002C0FD9" w:rsidP="00CA25CF">
            <w:pPr>
              <w:rPr>
                <w:rFonts w:cs="Arial"/>
                <w:color w:val="FF0000"/>
                <w:sz w:val="21"/>
                <w:szCs w:val="21"/>
              </w:rPr>
            </w:pPr>
          </w:p>
        </w:tc>
        <w:tc>
          <w:tcPr>
            <w:tcW w:w="217" w:type="dxa"/>
          </w:tcPr>
          <w:p w14:paraId="49A4B860" w14:textId="77777777" w:rsidR="002C0FD9" w:rsidRPr="00CA25CF" w:rsidRDefault="002C0FD9" w:rsidP="00CA25CF">
            <w:pPr>
              <w:rPr>
                <w:rFonts w:cs="Arial"/>
                <w:color w:val="FF0000"/>
                <w:sz w:val="21"/>
                <w:szCs w:val="21"/>
              </w:rPr>
            </w:pPr>
          </w:p>
        </w:tc>
        <w:tc>
          <w:tcPr>
            <w:tcW w:w="217" w:type="dxa"/>
          </w:tcPr>
          <w:p w14:paraId="4F4208F3" w14:textId="77777777" w:rsidR="002C0FD9" w:rsidRPr="00CA25CF" w:rsidRDefault="002C0FD9" w:rsidP="00CA25CF">
            <w:pPr>
              <w:rPr>
                <w:rFonts w:cs="Arial"/>
                <w:color w:val="FF0000"/>
                <w:sz w:val="21"/>
                <w:szCs w:val="21"/>
              </w:rPr>
            </w:pPr>
          </w:p>
        </w:tc>
        <w:tc>
          <w:tcPr>
            <w:tcW w:w="217" w:type="dxa"/>
          </w:tcPr>
          <w:p w14:paraId="335E3675" w14:textId="77777777" w:rsidR="002C0FD9" w:rsidRPr="00CA25CF" w:rsidRDefault="002C0FD9" w:rsidP="00CA25CF">
            <w:pPr>
              <w:rPr>
                <w:rFonts w:cs="Arial"/>
                <w:color w:val="FF0000"/>
                <w:sz w:val="21"/>
                <w:szCs w:val="21"/>
              </w:rPr>
            </w:pPr>
          </w:p>
        </w:tc>
        <w:tc>
          <w:tcPr>
            <w:tcW w:w="217" w:type="dxa"/>
          </w:tcPr>
          <w:p w14:paraId="405BFAB9" w14:textId="77777777" w:rsidR="002C0FD9" w:rsidRPr="00CA25CF" w:rsidRDefault="002C0FD9" w:rsidP="00CA25CF">
            <w:pPr>
              <w:rPr>
                <w:rFonts w:cs="Arial"/>
                <w:color w:val="FF0000"/>
                <w:sz w:val="21"/>
                <w:szCs w:val="21"/>
              </w:rPr>
            </w:pPr>
          </w:p>
        </w:tc>
        <w:tc>
          <w:tcPr>
            <w:tcW w:w="217" w:type="dxa"/>
          </w:tcPr>
          <w:p w14:paraId="23AE6B58" w14:textId="77777777" w:rsidR="002C0FD9" w:rsidRPr="00CA25CF" w:rsidRDefault="002C0FD9" w:rsidP="00CA25CF">
            <w:pPr>
              <w:rPr>
                <w:rFonts w:cs="Arial"/>
                <w:color w:val="FF0000"/>
                <w:sz w:val="21"/>
                <w:szCs w:val="21"/>
              </w:rPr>
            </w:pPr>
          </w:p>
        </w:tc>
        <w:tc>
          <w:tcPr>
            <w:tcW w:w="217" w:type="dxa"/>
          </w:tcPr>
          <w:p w14:paraId="7558C42A" w14:textId="77777777" w:rsidR="002C0FD9" w:rsidRPr="00CA25CF" w:rsidRDefault="002C0FD9" w:rsidP="00CA25CF">
            <w:pPr>
              <w:rPr>
                <w:rFonts w:cs="Arial"/>
                <w:color w:val="FF0000"/>
                <w:sz w:val="21"/>
                <w:szCs w:val="21"/>
              </w:rPr>
            </w:pPr>
          </w:p>
        </w:tc>
        <w:tc>
          <w:tcPr>
            <w:tcW w:w="217" w:type="dxa"/>
          </w:tcPr>
          <w:p w14:paraId="696A7E1C" w14:textId="77777777" w:rsidR="002C0FD9" w:rsidRPr="00CA25CF" w:rsidRDefault="002C0FD9" w:rsidP="00CA25CF">
            <w:pPr>
              <w:rPr>
                <w:rFonts w:cs="Arial"/>
                <w:color w:val="FF0000"/>
                <w:sz w:val="21"/>
                <w:szCs w:val="21"/>
              </w:rPr>
            </w:pPr>
          </w:p>
        </w:tc>
        <w:tc>
          <w:tcPr>
            <w:tcW w:w="217" w:type="dxa"/>
          </w:tcPr>
          <w:p w14:paraId="3574E5F1" w14:textId="77777777" w:rsidR="002C0FD9" w:rsidRPr="00CA25CF" w:rsidRDefault="002C0FD9" w:rsidP="00CA25CF">
            <w:pPr>
              <w:rPr>
                <w:rFonts w:cs="Arial"/>
                <w:color w:val="FF0000"/>
                <w:sz w:val="21"/>
                <w:szCs w:val="21"/>
              </w:rPr>
            </w:pPr>
          </w:p>
        </w:tc>
        <w:tc>
          <w:tcPr>
            <w:tcW w:w="217" w:type="dxa"/>
          </w:tcPr>
          <w:p w14:paraId="60A62C5C" w14:textId="77777777" w:rsidR="002C0FD9" w:rsidRPr="00CA25CF" w:rsidRDefault="002C0FD9" w:rsidP="00CA25CF">
            <w:pPr>
              <w:rPr>
                <w:rFonts w:cs="Arial"/>
                <w:color w:val="FF0000"/>
                <w:sz w:val="21"/>
                <w:szCs w:val="21"/>
              </w:rPr>
            </w:pPr>
          </w:p>
        </w:tc>
        <w:tc>
          <w:tcPr>
            <w:tcW w:w="217" w:type="dxa"/>
          </w:tcPr>
          <w:p w14:paraId="6200AF25" w14:textId="77777777" w:rsidR="002C0FD9" w:rsidRPr="00CA25CF" w:rsidRDefault="002C0FD9" w:rsidP="00CA25CF">
            <w:pPr>
              <w:rPr>
                <w:rFonts w:cs="Arial"/>
                <w:color w:val="FF0000"/>
                <w:sz w:val="21"/>
                <w:szCs w:val="21"/>
              </w:rPr>
            </w:pPr>
          </w:p>
        </w:tc>
        <w:tc>
          <w:tcPr>
            <w:tcW w:w="217" w:type="dxa"/>
          </w:tcPr>
          <w:p w14:paraId="4F4C0398" w14:textId="77777777" w:rsidR="002C0FD9" w:rsidRPr="00CA25CF" w:rsidRDefault="002C0FD9" w:rsidP="00CA25CF">
            <w:pPr>
              <w:rPr>
                <w:rFonts w:cs="Arial"/>
                <w:color w:val="FF0000"/>
                <w:sz w:val="21"/>
                <w:szCs w:val="21"/>
              </w:rPr>
            </w:pPr>
          </w:p>
        </w:tc>
        <w:tc>
          <w:tcPr>
            <w:tcW w:w="217" w:type="dxa"/>
          </w:tcPr>
          <w:p w14:paraId="3232C04D" w14:textId="77777777" w:rsidR="002C0FD9" w:rsidRPr="00CA25CF" w:rsidRDefault="002C0FD9" w:rsidP="00CA25CF">
            <w:pPr>
              <w:rPr>
                <w:rFonts w:cs="Arial"/>
                <w:color w:val="FF0000"/>
                <w:sz w:val="21"/>
                <w:szCs w:val="21"/>
              </w:rPr>
            </w:pPr>
          </w:p>
        </w:tc>
        <w:tc>
          <w:tcPr>
            <w:tcW w:w="217" w:type="dxa"/>
          </w:tcPr>
          <w:p w14:paraId="60081AE5" w14:textId="77777777" w:rsidR="002C0FD9" w:rsidRPr="00CA25CF" w:rsidRDefault="002C0FD9" w:rsidP="00CA25CF">
            <w:pPr>
              <w:rPr>
                <w:rFonts w:cs="Arial"/>
                <w:color w:val="FF0000"/>
                <w:sz w:val="21"/>
                <w:szCs w:val="21"/>
              </w:rPr>
            </w:pPr>
          </w:p>
        </w:tc>
        <w:tc>
          <w:tcPr>
            <w:tcW w:w="217" w:type="dxa"/>
          </w:tcPr>
          <w:p w14:paraId="31FCA3A0" w14:textId="77777777" w:rsidR="002C0FD9" w:rsidRPr="00CA25CF" w:rsidRDefault="002C0FD9" w:rsidP="00CA25CF">
            <w:pPr>
              <w:rPr>
                <w:rFonts w:cs="Arial"/>
                <w:color w:val="FF0000"/>
                <w:sz w:val="21"/>
                <w:szCs w:val="21"/>
              </w:rPr>
            </w:pPr>
          </w:p>
        </w:tc>
        <w:tc>
          <w:tcPr>
            <w:tcW w:w="217" w:type="dxa"/>
          </w:tcPr>
          <w:p w14:paraId="441E0233" w14:textId="77777777" w:rsidR="002C0FD9" w:rsidRPr="00CA25CF" w:rsidRDefault="002C0FD9" w:rsidP="00CA25CF">
            <w:pPr>
              <w:rPr>
                <w:rFonts w:cs="Arial"/>
                <w:color w:val="FF0000"/>
                <w:sz w:val="21"/>
                <w:szCs w:val="21"/>
              </w:rPr>
            </w:pPr>
          </w:p>
        </w:tc>
        <w:tc>
          <w:tcPr>
            <w:tcW w:w="217" w:type="dxa"/>
          </w:tcPr>
          <w:p w14:paraId="4E472688" w14:textId="77777777" w:rsidR="002C0FD9" w:rsidRPr="00CA25CF" w:rsidRDefault="002C0FD9" w:rsidP="00CA25CF">
            <w:pPr>
              <w:rPr>
                <w:rFonts w:cs="Arial"/>
                <w:color w:val="FF0000"/>
                <w:sz w:val="21"/>
                <w:szCs w:val="21"/>
              </w:rPr>
            </w:pPr>
          </w:p>
        </w:tc>
      </w:tr>
      <w:tr w:rsidR="002C0FD9" w:rsidRPr="00A16219" w14:paraId="5FD810CA" w14:textId="4E22352D" w:rsidTr="002C0FD9">
        <w:trPr>
          <w:trHeight w:val="635"/>
        </w:trPr>
        <w:tc>
          <w:tcPr>
            <w:tcW w:w="515" w:type="dxa"/>
          </w:tcPr>
          <w:p w14:paraId="6784F59A" w14:textId="77777777" w:rsidR="002C0FD9" w:rsidRPr="00CA25CF" w:rsidRDefault="002C0FD9" w:rsidP="00CA25CF">
            <w:pPr>
              <w:rPr>
                <w:rFonts w:cs="Arial"/>
                <w:color w:val="FF0000"/>
                <w:sz w:val="21"/>
                <w:szCs w:val="21"/>
              </w:rPr>
            </w:pPr>
          </w:p>
        </w:tc>
        <w:tc>
          <w:tcPr>
            <w:tcW w:w="217" w:type="dxa"/>
          </w:tcPr>
          <w:p w14:paraId="7D451C94" w14:textId="77777777" w:rsidR="002C0FD9" w:rsidRPr="00CA25CF" w:rsidRDefault="002C0FD9" w:rsidP="00CA25CF">
            <w:pPr>
              <w:rPr>
                <w:rFonts w:cs="Arial"/>
                <w:color w:val="FF0000"/>
                <w:sz w:val="21"/>
                <w:szCs w:val="21"/>
              </w:rPr>
            </w:pPr>
          </w:p>
        </w:tc>
        <w:tc>
          <w:tcPr>
            <w:tcW w:w="217" w:type="dxa"/>
          </w:tcPr>
          <w:p w14:paraId="72CF155F" w14:textId="37A9844C" w:rsidR="002C0FD9" w:rsidRPr="00CA25CF" w:rsidRDefault="002C0FD9" w:rsidP="00CA25CF">
            <w:pPr>
              <w:rPr>
                <w:rFonts w:cs="Arial"/>
                <w:color w:val="FF0000"/>
                <w:sz w:val="21"/>
                <w:szCs w:val="21"/>
              </w:rPr>
            </w:pPr>
          </w:p>
        </w:tc>
        <w:tc>
          <w:tcPr>
            <w:tcW w:w="217" w:type="dxa"/>
          </w:tcPr>
          <w:p w14:paraId="0D73C418" w14:textId="77777777" w:rsidR="002C0FD9" w:rsidRPr="00CA25CF" w:rsidRDefault="002C0FD9" w:rsidP="00CA25CF">
            <w:pPr>
              <w:rPr>
                <w:rFonts w:cs="Arial"/>
                <w:color w:val="FF0000"/>
                <w:sz w:val="21"/>
                <w:szCs w:val="21"/>
              </w:rPr>
            </w:pPr>
          </w:p>
        </w:tc>
        <w:tc>
          <w:tcPr>
            <w:tcW w:w="217" w:type="dxa"/>
          </w:tcPr>
          <w:p w14:paraId="2D367375" w14:textId="77777777" w:rsidR="002C0FD9" w:rsidRPr="00CA25CF" w:rsidRDefault="002C0FD9" w:rsidP="00CA25CF">
            <w:pPr>
              <w:rPr>
                <w:rFonts w:cs="Arial"/>
                <w:color w:val="FF0000"/>
                <w:sz w:val="21"/>
                <w:szCs w:val="21"/>
              </w:rPr>
            </w:pPr>
          </w:p>
        </w:tc>
        <w:tc>
          <w:tcPr>
            <w:tcW w:w="217" w:type="dxa"/>
          </w:tcPr>
          <w:p w14:paraId="1CF825D3" w14:textId="77777777" w:rsidR="002C0FD9" w:rsidRPr="00CA25CF" w:rsidRDefault="002C0FD9" w:rsidP="00CA25CF">
            <w:pPr>
              <w:rPr>
                <w:rFonts w:cs="Arial"/>
                <w:color w:val="FF0000"/>
                <w:sz w:val="21"/>
                <w:szCs w:val="21"/>
              </w:rPr>
            </w:pPr>
          </w:p>
        </w:tc>
        <w:tc>
          <w:tcPr>
            <w:tcW w:w="217" w:type="dxa"/>
          </w:tcPr>
          <w:p w14:paraId="76CFCCB7" w14:textId="77777777" w:rsidR="002C0FD9" w:rsidRPr="00CA25CF" w:rsidRDefault="002C0FD9" w:rsidP="00CA25CF">
            <w:pPr>
              <w:rPr>
                <w:rFonts w:cs="Arial"/>
                <w:color w:val="FF0000"/>
                <w:sz w:val="21"/>
                <w:szCs w:val="21"/>
              </w:rPr>
            </w:pPr>
          </w:p>
        </w:tc>
        <w:tc>
          <w:tcPr>
            <w:tcW w:w="217" w:type="dxa"/>
          </w:tcPr>
          <w:p w14:paraId="1CED8A1C" w14:textId="77777777" w:rsidR="002C0FD9" w:rsidRPr="00CA25CF" w:rsidRDefault="002C0FD9" w:rsidP="00CA25CF">
            <w:pPr>
              <w:rPr>
                <w:rFonts w:cs="Arial"/>
                <w:color w:val="FF0000"/>
                <w:sz w:val="21"/>
                <w:szCs w:val="21"/>
              </w:rPr>
            </w:pPr>
          </w:p>
        </w:tc>
        <w:tc>
          <w:tcPr>
            <w:tcW w:w="217" w:type="dxa"/>
          </w:tcPr>
          <w:p w14:paraId="1B30A80C" w14:textId="77777777" w:rsidR="002C0FD9" w:rsidRPr="00CA25CF" w:rsidRDefault="002C0FD9" w:rsidP="00CA25CF">
            <w:pPr>
              <w:rPr>
                <w:rFonts w:cs="Arial"/>
                <w:color w:val="FF0000"/>
                <w:sz w:val="21"/>
                <w:szCs w:val="21"/>
              </w:rPr>
            </w:pPr>
          </w:p>
        </w:tc>
        <w:tc>
          <w:tcPr>
            <w:tcW w:w="217" w:type="dxa"/>
          </w:tcPr>
          <w:p w14:paraId="34AB8CA2" w14:textId="77777777" w:rsidR="002C0FD9" w:rsidRPr="00CA25CF" w:rsidRDefault="002C0FD9" w:rsidP="00CA25CF">
            <w:pPr>
              <w:rPr>
                <w:rFonts w:cs="Arial"/>
                <w:color w:val="FF0000"/>
                <w:sz w:val="21"/>
                <w:szCs w:val="21"/>
              </w:rPr>
            </w:pPr>
          </w:p>
        </w:tc>
        <w:tc>
          <w:tcPr>
            <w:tcW w:w="217" w:type="dxa"/>
          </w:tcPr>
          <w:p w14:paraId="343EE623" w14:textId="77777777" w:rsidR="002C0FD9" w:rsidRPr="00CA25CF" w:rsidRDefault="002C0FD9" w:rsidP="00CA25CF">
            <w:pPr>
              <w:rPr>
                <w:rFonts w:cs="Arial"/>
                <w:color w:val="FF0000"/>
                <w:sz w:val="21"/>
                <w:szCs w:val="21"/>
              </w:rPr>
            </w:pPr>
          </w:p>
        </w:tc>
        <w:tc>
          <w:tcPr>
            <w:tcW w:w="217" w:type="dxa"/>
          </w:tcPr>
          <w:p w14:paraId="6C0FAAE6" w14:textId="77777777" w:rsidR="002C0FD9" w:rsidRPr="00CA25CF" w:rsidRDefault="002C0FD9" w:rsidP="00CA25CF">
            <w:pPr>
              <w:rPr>
                <w:rFonts w:cs="Arial"/>
                <w:color w:val="FF0000"/>
                <w:sz w:val="21"/>
                <w:szCs w:val="21"/>
              </w:rPr>
            </w:pPr>
          </w:p>
        </w:tc>
        <w:tc>
          <w:tcPr>
            <w:tcW w:w="217" w:type="dxa"/>
          </w:tcPr>
          <w:p w14:paraId="301C1FC2" w14:textId="77777777" w:rsidR="002C0FD9" w:rsidRPr="00CA25CF" w:rsidRDefault="002C0FD9" w:rsidP="00CA25CF">
            <w:pPr>
              <w:rPr>
                <w:rFonts w:cs="Arial"/>
                <w:color w:val="FF0000"/>
                <w:sz w:val="21"/>
                <w:szCs w:val="21"/>
              </w:rPr>
            </w:pPr>
          </w:p>
        </w:tc>
        <w:tc>
          <w:tcPr>
            <w:tcW w:w="217" w:type="dxa"/>
          </w:tcPr>
          <w:p w14:paraId="41FB2606" w14:textId="77777777" w:rsidR="002C0FD9" w:rsidRPr="00CA25CF" w:rsidRDefault="002C0FD9" w:rsidP="00CA25CF">
            <w:pPr>
              <w:rPr>
                <w:rFonts w:cs="Arial"/>
                <w:color w:val="FF0000"/>
                <w:sz w:val="21"/>
                <w:szCs w:val="21"/>
              </w:rPr>
            </w:pPr>
          </w:p>
        </w:tc>
        <w:tc>
          <w:tcPr>
            <w:tcW w:w="217" w:type="dxa"/>
          </w:tcPr>
          <w:p w14:paraId="5AEE9822" w14:textId="77777777" w:rsidR="002C0FD9" w:rsidRPr="00CA25CF" w:rsidRDefault="002C0FD9" w:rsidP="00CA25CF">
            <w:pPr>
              <w:rPr>
                <w:rFonts w:cs="Arial"/>
                <w:color w:val="FF0000"/>
                <w:sz w:val="21"/>
                <w:szCs w:val="21"/>
              </w:rPr>
            </w:pPr>
          </w:p>
        </w:tc>
        <w:tc>
          <w:tcPr>
            <w:tcW w:w="217" w:type="dxa"/>
          </w:tcPr>
          <w:p w14:paraId="6189DE73" w14:textId="66530D43" w:rsidR="002C0FD9" w:rsidRPr="00CA25CF" w:rsidRDefault="002C0FD9" w:rsidP="00CA25CF">
            <w:pPr>
              <w:rPr>
                <w:rFonts w:cs="Arial"/>
                <w:color w:val="FF0000"/>
                <w:sz w:val="21"/>
                <w:szCs w:val="21"/>
              </w:rPr>
            </w:pPr>
          </w:p>
        </w:tc>
        <w:tc>
          <w:tcPr>
            <w:tcW w:w="217" w:type="dxa"/>
          </w:tcPr>
          <w:p w14:paraId="0127DE9D" w14:textId="77777777" w:rsidR="002C0FD9" w:rsidRPr="00CA25CF" w:rsidRDefault="002C0FD9" w:rsidP="00CA25CF">
            <w:pPr>
              <w:rPr>
                <w:rFonts w:cs="Arial"/>
                <w:color w:val="FF0000"/>
                <w:sz w:val="21"/>
                <w:szCs w:val="21"/>
              </w:rPr>
            </w:pPr>
          </w:p>
        </w:tc>
        <w:tc>
          <w:tcPr>
            <w:tcW w:w="217" w:type="dxa"/>
          </w:tcPr>
          <w:p w14:paraId="7193D1AC" w14:textId="77777777" w:rsidR="002C0FD9" w:rsidRPr="00CA25CF" w:rsidRDefault="002C0FD9" w:rsidP="00CA25CF">
            <w:pPr>
              <w:rPr>
                <w:rFonts w:cs="Arial"/>
                <w:color w:val="FF0000"/>
                <w:sz w:val="21"/>
                <w:szCs w:val="21"/>
              </w:rPr>
            </w:pPr>
          </w:p>
        </w:tc>
        <w:tc>
          <w:tcPr>
            <w:tcW w:w="217" w:type="dxa"/>
          </w:tcPr>
          <w:p w14:paraId="4EDFACDE" w14:textId="77777777" w:rsidR="002C0FD9" w:rsidRPr="00CA25CF" w:rsidRDefault="002C0FD9" w:rsidP="00CA25CF">
            <w:pPr>
              <w:rPr>
                <w:rFonts w:cs="Arial"/>
                <w:color w:val="FF0000"/>
                <w:sz w:val="21"/>
                <w:szCs w:val="21"/>
              </w:rPr>
            </w:pPr>
          </w:p>
        </w:tc>
        <w:tc>
          <w:tcPr>
            <w:tcW w:w="217" w:type="dxa"/>
          </w:tcPr>
          <w:p w14:paraId="75F7AFEA" w14:textId="77777777" w:rsidR="002C0FD9" w:rsidRPr="00CA25CF" w:rsidRDefault="002C0FD9" w:rsidP="00CA25CF">
            <w:pPr>
              <w:rPr>
                <w:rFonts w:cs="Arial"/>
                <w:color w:val="FF0000"/>
                <w:sz w:val="21"/>
                <w:szCs w:val="21"/>
              </w:rPr>
            </w:pPr>
          </w:p>
        </w:tc>
        <w:tc>
          <w:tcPr>
            <w:tcW w:w="217" w:type="dxa"/>
          </w:tcPr>
          <w:p w14:paraId="3A249A18" w14:textId="77777777" w:rsidR="002C0FD9" w:rsidRPr="00CA25CF" w:rsidRDefault="002C0FD9" w:rsidP="00CA25CF">
            <w:pPr>
              <w:rPr>
                <w:rFonts w:cs="Arial"/>
                <w:color w:val="FF0000"/>
                <w:sz w:val="21"/>
                <w:szCs w:val="21"/>
              </w:rPr>
            </w:pPr>
          </w:p>
        </w:tc>
        <w:tc>
          <w:tcPr>
            <w:tcW w:w="217" w:type="dxa"/>
          </w:tcPr>
          <w:p w14:paraId="29386EC0" w14:textId="77777777" w:rsidR="002C0FD9" w:rsidRPr="00CA25CF" w:rsidRDefault="002C0FD9" w:rsidP="00CA25CF">
            <w:pPr>
              <w:rPr>
                <w:rFonts w:cs="Arial"/>
                <w:color w:val="FF0000"/>
                <w:sz w:val="21"/>
                <w:szCs w:val="21"/>
              </w:rPr>
            </w:pPr>
          </w:p>
        </w:tc>
        <w:tc>
          <w:tcPr>
            <w:tcW w:w="217" w:type="dxa"/>
          </w:tcPr>
          <w:p w14:paraId="115EEB9F" w14:textId="77777777" w:rsidR="002C0FD9" w:rsidRPr="00CA25CF" w:rsidRDefault="002C0FD9" w:rsidP="00CA25CF">
            <w:pPr>
              <w:rPr>
                <w:rFonts w:cs="Arial"/>
                <w:color w:val="FF0000"/>
                <w:sz w:val="21"/>
                <w:szCs w:val="21"/>
              </w:rPr>
            </w:pPr>
          </w:p>
        </w:tc>
        <w:tc>
          <w:tcPr>
            <w:tcW w:w="217" w:type="dxa"/>
          </w:tcPr>
          <w:p w14:paraId="0181F84D" w14:textId="77777777" w:rsidR="002C0FD9" w:rsidRPr="00CA25CF" w:rsidRDefault="002C0FD9" w:rsidP="00CA25CF">
            <w:pPr>
              <w:rPr>
                <w:rFonts w:cs="Arial"/>
                <w:color w:val="FF0000"/>
                <w:sz w:val="21"/>
                <w:szCs w:val="21"/>
              </w:rPr>
            </w:pPr>
          </w:p>
        </w:tc>
        <w:tc>
          <w:tcPr>
            <w:tcW w:w="217" w:type="dxa"/>
          </w:tcPr>
          <w:p w14:paraId="721F44A9" w14:textId="77777777" w:rsidR="002C0FD9" w:rsidRPr="00CA25CF" w:rsidRDefault="002C0FD9" w:rsidP="00CA25CF">
            <w:pPr>
              <w:rPr>
                <w:rFonts w:cs="Arial"/>
                <w:color w:val="FF0000"/>
                <w:sz w:val="21"/>
                <w:szCs w:val="21"/>
              </w:rPr>
            </w:pPr>
          </w:p>
        </w:tc>
        <w:tc>
          <w:tcPr>
            <w:tcW w:w="217" w:type="dxa"/>
          </w:tcPr>
          <w:p w14:paraId="349A0B6C" w14:textId="77777777" w:rsidR="002C0FD9" w:rsidRPr="00CA25CF" w:rsidRDefault="002C0FD9" w:rsidP="00CA25CF">
            <w:pPr>
              <w:rPr>
                <w:rFonts w:cs="Arial"/>
                <w:color w:val="FF0000"/>
                <w:sz w:val="21"/>
                <w:szCs w:val="21"/>
              </w:rPr>
            </w:pPr>
          </w:p>
        </w:tc>
        <w:tc>
          <w:tcPr>
            <w:tcW w:w="217" w:type="dxa"/>
          </w:tcPr>
          <w:p w14:paraId="14B4EF33" w14:textId="77777777" w:rsidR="002C0FD9" w:rsidRPr="00CA25CF" w:rsidRDefault="002C0FD9" w:rsidP="00CA25CF">
            <w:pPr>
              <w:rPr>
                <w:rFonts w:cs="Arial"/>
                <w:color w:val="FF0000"/>
                <w:sz w:val="21"/>
                <w:szCs w:val="21"/>
              </w:rPr>
            </w:pPr>
          </w:p>
        </w:tc>
        <w:tc>
          <w:tcPr>
            <w:tcW w:w="217" w:type="dxa"/>
          </w:tcPr>
          <w:p w14:paraId="7C493D82" w14:textId="77777777" w:rsidR="002C0FD9" w:rsidRPr="00CA25CF" w:rsidRDefault="002C0FD9" w:rsidP="00CA25CF">
            <w:pPr>
              <w:rPr>
                <w:rFonts w:cs="Arial"/>
                <w:color w:val="FF0000"/>
                <w:sz w:val="21"/>
                <w:szCs w:val="21"/>
              </w:rPr>
            </w:pPr>
          </w:p>
        </w:tc>
        <w:tc>
          <w:tcPr>
            <w:tcW w:w="217" w:type="dxa"/>
          </w:tcPr>
          <w:p w14:paraId="20C99718" w14:textId="77777777" w:rsidR="002C0FD9" w:rsidRPr="00CA25CF" w:rsidRDefault="002C0FD9" w:rsidP="00CA25CF">
            <w:pPr>
              <w:rPr>
                <w:rFonts w:cs="Arial"/>
                <w:color w:val="FF0000"/>
                <w:sz w:val="21"/>
                <w:szCs w:val="21"/>
              </w:rPr>
            </w:pPr>
          </w:p>
        </w:tc>
        <w:tc>
          <w:tcPr>
            <w:tcW w:w="217" w:type="dxa"/>
          </w:tcPr>
          <w:p w14:paraId="70B638BA" w14:textId="77777777" w:rsidR="002C0FD9" w:rsidRPr="00CA25CF" w:rsidRDefault="002C0FD9" w:rsidP="00CA25CF">
            <w:pPr>
              <w:rPr>
                <w:rFonts w:cs="Arial"/>
                <w:color w:val="FF0000"/>
                <w:sz w:val="21"/>
                <w:szCs w:val="21"/>
              </w:rPr>
            </w:pPr>
          </w:p>
        </w:tc>
        <w:tc>
          <w:tcPr>
            <w:tcW w:w="217" w:type="dxa"/>
          </w:tcPr>
          <w:p w14:paraId="19AB1C94" w14:textId="77777777" w:rsidR="002C0FD9" w:rsidRPr="00CA25CF" w:rsidRDefault="002C0FD9" w:rsidP="00CA25CF">
            <w:pPr>
              <w:rPr>
                <w:rFonts w:cs="Arial"/>
                <w:color w:val="FF0000"/>
                <w:sz w:val="21"/>
                <w:szCs w:val="21"/>
              </w:rPr>
            </w:pPr>
          </w:p>
        </w:tc>
        <w:tc>
          <w:tcPr>
            <w:tcW w:w="217" w:type="dxa"/>
          </w:tcPr>
          <w:p w14:paraId="5474078C" w14:textId="77777777" w:rsidR="002C0FD9" w:rsidRPr="00CA25CF" w:rsidRDefault="002C0FD9" w:rsidP="00CA25CF">
            <w:pPr>
              <w:rPr>
                <w:rFonts w:cs="Arial"/>
                <w:color w:val="FF0000"/>
                <w:sz w:val="21"/>
                <w:szCs w:val="21"/>
              </w:rPr>
            </w:pPr>
          </w:p>
        </w:tc>
        <w:tc>
          <w:tcPr>
            <w:tcW w:w="217" w:type="dxa"/>
          </w:tcPr>
          <w:p w14:paraId="02525F07" w14:textId="77777777" w:rsidR="002C0FD9" w:rsidRPr="00CA25CF" w:rsidRDefault="002C0FD9" w:rsidP="00CA25CF">
            <w:pPr>
              <w:rPr>
                <w:rFonts w:cs="Arial"/>
                <w:color w:val="FF0000"/>
                <w:sz w:val="21"/>
                <w:szCs w:val="21"/>
              </w:rPr>
            </w:pPr>
          </w:p>
        </w:tc>
        <w:tc>
          <w:tcPr>
            <w:tcW w:w="217" w:type="dxa"/>
          </w:tcPr>
          <w:p w14:paraId="2D1448DD" w14:textId="77777777" w:rsidR="002C0FD9" w:rsidRPr="00CA25CF" w:rsidRDefault="002C0FD9" w:rsidP="00CA25CF">
            <w:pPr>
              <w:rPr>
                <w:rFonts w:cs="Arial"/>
                <w:color w:val="FF0000"/>
                <w:sz w:val="21"/>
                <w:szCs w:val="21"/>
              </w:rPr>
            </w:pPr>
          </w:p>
        </w:tc>
        <w:tc>
          <w:tcPr>
            <w:tcW w:w="217" w:type="dxa"/>
          </w:tcPr>
          <w:p w14:paraId="7E3C1E66" w14:textId="77777777" w:rsidR="002C0FD9" w:rsidRPr="00CA25CF" w:rsidRDefault="002C0FD9" w:rsidP="00CA25CF">
            <w:pPr>
              <w:rPr>
                <w:rFonts w:cs="Arial"/>
                <w:color w:val="FF0000"/>
                <w:sz w:val="21"/>
                <w:szCs w:val="21"/>
              </w:rPr>
            </w:pPr>
          </w:p>
        </w:tc>
        <w:tc>
          <w:tcPr>
            <w:tcW w:w="217" w:type="dxa"/>
          </w:tcPr>
          <w:p w14:paraId="63673746" w14:textId="77777777" w:rsidR="002C0FD9" w:rsidRPr="00CA25CF" w:rsidRDefault="002C0FD9" w:rsidP="00CA25CF">
            <w:pPr>
              <w:rPr>
                <w:rFonts w:cs="Arial"/>
                <w:color w:val="FF0000"/>
                <w:sz w:val="21"/>
                <w:szCs w:val="21"/>
              </w:rPr>
            </w:pPr>
          </w:p>
        </w:tc>
        <w:tc>
          <w:tcPr>
            <w:tcW w:w="217" w:type="dxa"/>
          </w:tcPr>
          <w:p w14:paraId="09C05AD0" w14:textId="77777777" w:rsidR="002C0FD9" w:rsidRPr="00CA25CF" w:rsidRDefault="002C0FD9" w:rsidP="00CA25CF">
            <w:pPr>
              <w:rPr>
                <w:rFonts w:cs="Arial"/>
                <w:color w:val="FF0000"/>
                <w:sz w:val="21"/>
                <w:szCs w:val="21"/>
              </w:rPr>
            </w:pPr>
          </w:p>
        </w:tc>
        <w:tc>
          <w:tcPr>
            <w:tcW w:w="217" w:type="dxa"/>
          </w:tcPr>
          <w:p w14:paraId="3368A3FF" w14:textId="77777777" w:rsidR="002C0FD9" w:rsidRPr="00CA25CF" w:rsidRDefault="002C0FD9" w:rsidP="00CA25CF">
            <w:pPr>
              <w:rPr>
                <w:rFonts w:cs="Arial"/>
                <w:color w:val="FF0000"/>
                <w:sz w:val="21"/>
                <w:szCs w:val="21"/>
              </w:rPr>
            </w:pPr>
          </w:p>
        </w:tc>
        <w:tc>
          <w:tcPr>
            <w:tcW w:w="217" w:type="dxa"/>
          </w:tcPr>
          <w:p w14:paraId="50683D96" w14:textId="77777777" w:rsidR="002C0FD9" w:rsidRPr="00CA25CF" w:rsidRDefault="002C0FD9" w:rsidP="00CA25CF">
            <w:pPr>
              <w:rPr>
                <w:rFonts w:cs="Arial"/>
                <w:color w:val="FF0000"/>
                <w:sz w:val="21"/>
                <w:szCs w:val="21"/>
              </w:rPr>
            </w:pPr>
          </w:p>
        </w:tc>
        <w:tc>
          <w:tcPr>
            <w:tcW w:w="217" w:type="dxa"/>
          </w:tcPr>
          <w:p w14:paraId="4A0F7610" w14:textId="77777777" w:rsidR="002C0FD9" w:rsidRPr="00CA25CF" w:rsidRDefault="002C0FD9" w:rsidP="00CA25CF">
            <w:pPr>
              <w:rPr>
                <w:rFonts w:cs="Arial"/>
                <w:color w:val="FF0000"/>
                <w:sz w:val="21"/>
                <w:szCs w:val="21"/>
              </w:rPr>
            </w:pPr>
          </w:p>
        </w:tc>
        <w:tc>
          <w:tcPr>
            <w:tcW w:w="217" w:type="dxa"/>
          </w:tcPr>
          <w:p w14:paraId="4E312418" w14:textId="77777777" w:rsidR="002C0FD9" w:rsidRPr="00CA25CF" w:rsidRDefault="002C0FD9" w:rsidP="00CA25CF">
            <w:pPr>
              <w:rPr>
                <w:rFonts w:cs="Arial"/>
                <w:color w:val="FF0000"/>
                <w:sz w:val="21"/>
                <w:szCs w:val="21"/>
              </w:rPr>
            </w:pPr>
          </w:p>
        </w:tc>
        <w:tc>
          <w:tcPr>
            <w:tcW w:w="217" w:type="dxa"/>
          </w:tcPr>
          <w:p w14:paraId="4E429638" w14:textId="77777777" w:rsidR="002C0FD9" w:rsidRPr="00CA25CF" w:rsidRDefault="002C0FD9" w:rsidP="00CA25CF">
            <w:pPr>
              <w:rPr>
                <w:rFonts w:cs="Arial"/>
                <w:color w:val="FF0000"/>
                <w:sz w:val="21"/>
                <w:szCs w:val="21"/>
              </w:rPr>
            </w:pPr>
          </w:p>
        </w:tc>
        <w:tc>
          <w:tcPr>
            <w:tcW w:w="217" w:type="dxa"/>
          </w:tcPr>
          <w:p w14:paraId="6B89B297" w14:textId="77777777" w:rsidR="002C0FD9" w:rsidRPr="00CA25CF" w:rsidRDefault="002C0FD9" w:rsidP="00CA25CF">
            <w:pPr>
              <w:rPr>
                <w:rFonts w:cs="Arial"/>
                <w:color w:val="FF0000"/>
                <w:sz w:val="21"/>
                <w:szCs w:val="21"/>
              </w:rPr>
            </w:pPr>
          </w:p>
        </w:tc>
      </w:tr>
      <w:tr w:rsidR="002C0FD9" w:rsidRPr="00A16219" w14:paraId="22BD6A24" w14:textId="33778691" w:rsidTr="002C0FD9">
        <w:trPr>
          <w:trHeight w:val="635"/>
        </w:trPr>
        <w:tc>
          <w:tcPr>
            <w:tcW w:w="515" w:type="dxa"/>
          </w:tcPr>
          <w:p w14:paraId="7F08ED32" w14:textId="77777777" w:rsidR="002C0FD9" w:rsidRPr="00CA25CF" w:rsidRDefault="002C0FD9" w:rsidP="00CA25CF">
            <w:pPr>
              <w:rPr>
                <w:rFonts w:cs="Arial"/>
                <w:color w:val="FF0000"/>
                <w:sz w:val="21"/>
                <w:szCs w:val="21"/>
              </w:rPr>
            </w:pPr>
          </w:p>
        </w:tc>
        <w:tc>
          <w:tcPr>
            <w:tcW w:w="217" w:type="dxa"/>
          </w:tcPr>
          <w:p w14:paraId="7842CE6B" w14:textId="77777777" w:rsidR="002C0FD9" w:rsidRPr="00CA25CF" w:rsidRDefault="002C0FD9" w:rsidP="00CA25CF">
            <w:pPr>
              <w:rPr>
                <w:rFonts w:cs="Arial"/>
                <w:color w:val="FF0000"/>
                <w:sz w:val="21"/>
                <w:szCs w:val="21"/>
              </w:rPr>
            </w:pPr>
          </w:p>
        </w:tc>
        <w:tc>
          <w:tcPr>
            <w:tcW w:w="217" w:type="dxa"/>
          </w:tcPr>
          <w:p w14:paraId="148092E0" w14:textId="5D8FFF52" w:rsidR="002C0FD9" w:rsidRPr="00CA25CF" w:rsidRDefault="002C0FD9" w:rsidP="00CA25CF">
            <w:pPr>
              <w:rPr>
                <w:rFonts w:cs="Arial"/>
                <w:color w:val="FF0000"/>
                <w:sz w:val="21"/>
                <w:szCs w:val="21"/>
              </w:rPr>
            </w:pPr>
          </w:p>
        </w:tc>
        <w:tc>
          <w:tcPr>
            <w:tcW w:w="217" w:type="dxa"/>
          </w:tcPr>
          <w:p w14:paraId="238F4AA8" w14:textId="77777777" w:rsidR="002C0FD9" w:rsidRPr="00CA25CF" w:rsidRDefault="002C0FD9" w:rsidP="00CA25CF">
            <w:pPr>
              <w:rPr>
                <w:rFonts w:cs="Arial"/>
                <w:color w:val="FF0000"/>
                <w:sz w:val="21"/>
                <w:szCs w:val="21"/>
              </w:rPr>
            </w:pPr>
          </w:p>
        </w:tc>
        <w:tc>
          <w:tcPr>
            <w:tcW w:w="217" w:type="dxa"/>
          </w:tcPr>
          <w:p w14:paraId="4B2FDA1C" w14:textId="77777777" w:rsidR="002C0FD9" w:rsidRPr="00CA25CF" w:rsidRDefault="002C0FD9" w:rsidP="00CA25CF">
            <w:pPr>
              <w:rPr>
                <w:rFonts w:cs="Arial"/>
                <w:color w:val="FF0000"/>
                <w:sz w:val="21"/>
                <w:szCs w:val="21"/>
              </w:rPr>
            </w:pPr>
          </w:p>
        </w:tc>
        <w:tc>
          <w:tcPr>
            <w:tcW w:w="217" w:type="dxa"/>
          </w:tcPr>
          <w:p w14:paraId="05CF3E2A" w14:textId="77777777" w:rsidR="002C0FD9" w:rsidRPr="00CA25CF" w:rsidRDefault="002C0FD9" w:rsidP="00CA25CF">
            <w:pPr>
              <w:rPr>
                <w:rFonts w:cs="Arial"/>
                <w:color w:val="FF0000"/>
                <w:sz w:val="21"/>
                <w:szCs w:val="21"/>
              </w:rPr>
            </w:pPr>
          </w:p>
        </w:tc>
        <w:tc>
          <w:tcPr>
            <w:tcW w:w="217" w:type="dxa"/>
          </w:tcPr>
          <w:p w14:paraId="7A908A80" w14:textId="77777777" w:rsidR="002C0FD9" w:rsidRPr="00CA25CF" w:rsidRDefault="002C0FD9" w:rsidP="00CA25CF">
            <w:pPr>
              <w:rPr>
                <w:rFonts w:cs="Arial"/>
                <w:color w:val="FF0000"/>
                <w:sz w:val="21"/>
                <w:szCs w:val="21"/>
              </w:rPr>
            </w:pPr>
          </w:p>
        </w:tc>
        <w:tc>
          <w:tcPr>
            <w:tcW w:w="217" w:type="dxa"/>
          </w:tcPr>
          <w:p w14:paraId="161E4803" w14:textId="77777777" w:rsidR="002C0FD9" w:rsidRPr="00CA25CF" w:rsidRDefault="002C0FD9" w:rsidP="00CA25CF">
            <w:pPr>
              <w:rPr>
                <w:rFonts w:cs="Arial"/>
                <w:color w:val="FF0000"/>
                <w:sz w:val="21"/>
                <w:szCs w:val="21"/>
              </w:rPr>
            </w:pPr>
          </w:p>
        </w:tc>
        <w:tc>
          <w:tcPr>
            <w:tcW w:w="217" w:type="dxa"/>
          </w:tcPr>
          <w:p w14:paraId="122BD699" w14:textId="77777777" w:rsidR="002C0FD9" w:rsidRPr="00CA25CF" w:rsidRDefault="002C0FD9" w:rsidP="00CA25CF">
            <w:pPr>
              <w:rPr>
                <w:rFonts w:cs="Arial"/>
                <w:color w:val="FF0000"/>
                <w:sz w:val="21"/>
                <w:szCs w:val="21"/>
              </w:rPr>
            </w:pPr>
          </w:p>
        </w:tc>
        <w:tc>
          <w:tcPr>
            <w:tcW w:w="217" w:type="dxa"/>
          </w:tcPr>
          <w:p w14:paraId="36D46402" w14:textId="77777777" w:rsidR="002C0FD9" w:rsidRPr="00CA25CF" w:rsidRDefault="002C0FD9" w:rsidP="00CA25CF">
            <w:pPr>
              <w:rPr>
                <w:rFonts w:cs="Arial"/>
                <w:color w:val="FF0000"/>
                <w:sz w:val="21"/>
                <w:szCs w:val="21"/>
              </w:rPr>
            </w:pPr>
          </w:p>
        </w:tc>
        <w:tc>
          <w:tcPr>
            <w:tcW w:w="217" w:type="dxa"/>
          </w:tcPr>
          <w:p w14:paraId="0D0D6298" w14:textId="77777777" w:rsidR="002C0FD9" w:rsidRPr="00CA25CF" w:rsidRDefault="002C0FD9" w:rsidP="00CA25CF">
            <w:pPr>
              <w:rPr>
                <w:rFonts w:cs="Arial"/>
                <w:color w:val="FF0000"/>
                <w:sz w:val="21"/>
                <w:szCs w:val="21"/>
              </w:rPr>
            </w:pPr>
          </w:p>
        </w:tc>
        <w:tc>
          <w:tcPr>
            <w:tcW w:w="217" w:type="dxa"/>
          </w:tcPr>
          <w:p w14:paraId="558C07BB" w14:textId="77777777" w:rsidR="002C0FD9" w:rsidRPr="00CA25CF" w:rsidRDefault="002C0FD9" w:rsidP="00CA25CF">
            <w:pPr>
              <w:rPr>
                <w:rFonts w:cs="Arial"/>
                <w:color w:val="FF0000"/>
                <w:sz w:val="21"/>
                <w:szCs w:val="21"/>
              </w:rPr>
            </w:pPr>
          </w:p>
        </w:tc>
        <w:tc>
          <w:tcPr>
            <w:tcW w:w="217" w:type="dxa"/>
          </w:tcPr>
          <w:p w14:paraId="781178B5" w14:textId="77777777" w:rsidR="002C0FD9" w:rsidRPr="00CA25CF" w:rsidRDefault="002C0FD9" w:rsidP="00CA25CF">
            <w:pPr>
              <w:rPr>
                <w:rFonts w:cs="Arial"/>
                <w:color w:val="FF0000"/>
                <w:sz w:val="21"/>
                <w:szCs w:val="21"/>
              </w:rPr>
            </w:pPr>
          </w:p>
        </w:tc>
        <w:tc>
          <w:tcPr>
            <w:tcW w:w="217" w:type="dxa"/>
          </w:tcPr>
          <w:p w14:paraId="5150A78C" w14:textId="77777777" w:rsidR="002C0FD9" w:rsidRPr="00CA25CF" w:rsidRDefault="002C0FD9" w:rsidP="00CA25CF">
            <w:pPr>
              <w:rPr>
                <w:rFonts w:cs="Arial"/>
                <w:color w:val="FF0000"/>
                <w:sz w:val="21"/>
                <w:szCs w:val="21"/>
              </w:rPr>
            </w:pPr>
          </w:p>
        </w:tc>
        <w:tc>
          <w:tcPr>
            <w:tcW w:w="217" w:type="dxa"/>
          </w:tcPr>
          <w:p w14:paraId="1E388000" w14:textId="77777777" w:rsidR="002C0FD9" w:rsidRPr="00CA25CF" w:rsidRDefault="002C0FD9" w:rsidP="00CA25CF">
            <w:pPr>
              <w:rPr>
                <w:rFonts w:cs="Arial"/>
                <w:color w:val="FF0000"/>
                <w:sz w:val="21"/>
                <w:szCs w:val="21"/>
              </w:rPr>
            </w:pPr>
          </w:p>
        </w:tc>
        <w:tc>
          <w:tcPr>
            <w:tcW w:w="217" w:type="dxa"/>
          </w:tcPr>
          <w:p w14:paraId="3EA93A80" w14:textId="03273513" w:rsidR="002C0FD9" w:rsidRPr="00CA25CF" w:rsidRDefault="002C0FD9" w:rsidP="00CA25CF">
            <w:pPr>
              <w:rPr>
                <w:rFonts w:cs="Arial"/>
                <w:color w:val="FF0000"/>
                <w:sz w:val="21"/>
                <w:szCs w:val="21"/>
              </w:rPr>
            </w:pPr>
          </w:p>
        </w:tc>
        <w:tc>
          <w:tcPr>
            <w:tcW w:w="217" w:type="dxa"/>
          </w:tcPr>
          <w:p w14:paraId="7D36068E" w14:textId="77777777" w:rsidR="002C0FD9" w:rsidRPr="00CA25CF" w:rsidRDefault="002C0FD9" w:rsidP="00CA25CF">
            <w:pPr>
              <w:rPr>
                <w:rFonts w:cs="Arial"/>
                <w:color w:val="FF0000"/>
                <w:sz w:val="21"/>
                <w:szCs w:val="21"/>
              </w:rPr>
            </w:pPr>
          </w:p>
        </w:tc>
        <w:tc>
          <w:tcPr>
            <w:tcW w:w="217" w:type="dxa"/>
          </w:tcPr>
          <w:p w14:paraId="1CA66F6C" w14:textId="77777777" w:rsidR="002C0FD9" w:rsidRPr="00CA25CF" w:rsidRDefault="002C0FD9" w:rsidP="00CA25CF">
            <w:pPr>
              <w:rPr>
                <w:rFonts w:cs="Arial"/>
                <w:color w:val="FF0000"/>
                <w:sz w:val="21"/>
                <w:szCs w:val="21"/>
              </w:rPr>
            </w:pPr>
          </w:p>
        </w:tc>
        <w:tc>
          <w:tcPr>
            <w:tcW w:w="217" w:type="dxa"/>
          </w:tcPr>
          <w:p w14:paraId="380D430C" w14:textId="77777777" w:rsidR="002C0FD9" w:rsidRPr="00CA25CF" w:rsidRDefault="002C0FD9" w:rsidP="00CA25CF">
            <w:pPr>
              <w:rPr>
                <w:rFonts w:cs="Arial"/>
                <w:color w:val="FF0000"/>
                <w:sz w:val="21"/>
                <w:szCs w:val="21"/>
              </w:rPr>
            </w:pPr>
          </w:p>
        </w:tc>
        <w:tc>
          <w:tcPr>
            <w:tcW w:w="217" w:type="dxa"/>
          </w:tcPr>
          <w:p w14:paraId="6FD201C4" w14:textId="77777777" w:rsidR="002C0FD9" w:rsidRPr="00CA25CF" w:rsidRDefault="002C0FD9" w:rsidP="00CA25CF">
            <w:pPr>
              <w:rPr>
                <w:rFonts w:cs="Arial"/>
                <w:color w:val="FF0000"/>
                <w:sz w:val="21"/>
                <w:szCs w:val="21"/>
              </w:rPr>
            </w:pPr>
          </w:p>
        </w:tc>
        <w:tc>
          <w:tcPr>
            <w:tcW w:w="217" w:type="dxa"/>
          </w:tcPr>
          <w:p w14:paraId="669AB74F" w14:textId="77777777" w:rsidR="002C0FD9" w:rsidRPr="00CA25CF" w:rsidRDefault="002C0FD9" w:rsidP="00CA25CF">
            <w:pPr>
              <w:rPr>
                <w:rFonts w:cs="Arial"/>
                <w:color w:val="FF0000"/>
                <w:sz w:val="21"/>
                <w:szCs w:val="21"/>
              </w:rPr>
            </w:pPr>
          </w:p>
        </w:tc>
        <w:tc>
          <w:tcPr>
            <w:tcW w:w="217" w:type="dxa"/>
          </w:tcPr>
          <w:p w14:paraId="58773C52" w14:textId="77777777" w:rsidR="002C0FD9" w:rsidRPr="00CA25CF" w:rsidRDefault="002C0FD9" w:rsidP="00CA25CF">
            <w:pPr>
              <w:rPr>
                <w:rFonts w:cs="Arial"/>
                <w:color w:val="FF0000"/>
                <w:sz w:val="21"/>
                <w:szCs w:val="21"/>
              </w:rPr>
            </w:pPr>
          </w:p>
        </w:tc>
        <w:tc>
          <w:tcPr>
            <w:tcW w:w="217" w:type="dxa"/>
          </w:tcPr>
          <w:p w14:paraId="0B722AD7" w14:textId="77777777" w:rsidR="002C0FD9" w:rsidRPr="00CA25CF" w:rsidRDefault="002C0FD9" w:rsidP="00CA25CF">
            <w:pPr>
              <w:rPr>
                <w:rFonts w:cs="Arial"/>
                <w:color w:val="FF0000"/>
                <w:sz w:val="21"/>
                <w:szCs w:val="21"/>
              </w:rPr>
            </w:pPr>
          </w:p>
        </w:tc>
        <w:tc>
          <w:tcPr>
            <w:tcW w:w="217" w:type="dxa"/>
          </w:tcPr>
          <w:p w14:paraId="35E23C7E" w14:textId="77777777" w:rsidR="002C0FD9" w:rsidRPr="00CA25CF" w:rsidRDefault="002C0FD9" w:rsidP="00CA25CF">
            <w:pPr>
              <w:rPr>
                <w:rFonts w:cs="Arial"/>
                <w:color w:val="FF0000"/>
                <w:sz w:val="21"/>
                <w:szCs w:val="21"/>
              </w:rPr>
            </w:pPr>
          </w:p>
        </w:tc>
        <w:tc>
          <w:tcPr>
            <w:tcW w:w="217" w:type="dxa"/>
          </w:tcPr>
          <w:p w14:paraId="43378511" w14:textId="77777777" w:rsidR="002C0FD9" w:rsidRPr="00CA25CF" w:rsidRDefault="002C0FD9" w:rsidP="00CA25CF">
            <w:pPr>
              <w:rPr>
                <w:rFonts w:cs="Arial"/>
                <w:color w:val="FF0000"/>
                <w:sz w:val="21"/>
                <w:szCs w:val="21"/>
              </w:rPr>
            </w:pPr>
          </w:p>
        </w:tc>
        <w:tc>
          <w:tcPr>
            <w:tcW w:w="217" w:type="dxa"/>
          </w:tcPr>
          <w:p w14:paraId="43F8A81B" w14:textId="77777777" w:rsidR="002C0FD9" w:rsidRPr="00CA25CF" w:rsidRDefault="002C0FD9" w:rsidP="00CA25CF">
            <w:pPr>
              <w:rPr>
                <w:rFonts w:cs="Arial"/>
                <w:color w:val="FF0000"/>
                <w:sz w:val="21"/>
                <w:szCs w:val="21"/>
              </w:rPr>
            </w:pPr>
          </w:p>
        </w:tc>
        <w:tc>
          <w:tcPr>
            <w:tcW w:w="217" w:type="dxa"/>
          </w:tcPr>
          <w:p w14:paraId="3555DFDD" w14:textId="77777777" w:rsidR="002C0FD9" w:rsidRPr="00CA25CF" w:rsidRDefault="002C0FD9" w:rsidP="00CA25CF">
            <w:pPr>
              <w:rPr>
                <w:rFonts w:cs="Arial"/>
                <w:color w:val="FF0000"/>
                <w:sz w:val="21"/>
                <w:szCs w:val="21"/>
              </w:rPr>
            </w:pPr>
          </w:p>
        </w:tc>
        <w:tc>
          <w:tcPr>
            <w:tcW w:w="217" w:type="dxa"/>
          </w:tcPr>
          <w:p w14:paraId="3A79E2C6" w14:textId="77777777" w:rsidR="002C0FD9" w:rsidRPr="00CA25CF" w:rsidRDefault="002C0FD9" w:rsidP="00CA25CF">
            <w:pPr>
              <w:rPr>
                <w:rFonts w:cs="Arial"/>
                <w:color w:val="FF0000"/>
                <w:sz w:val="21"/>
                <w:szCs w:val="21"/>
              </w:rPr>
            </w:pPr>
          </w:p>
        </w:tc>
        <w:tc>
          <w:tcPr>
            <w:tcW w:w="217" w:type="dxa"/>
          </w:tcPr>
          <w:p w14:paraId="70FD9653" w14:textId="77777777" w:rsidR="002C0FD9" w:rsidRPr="00CA25CF" w:rsidRDefault="002C0FD9" w:rsidP="00CA25CF">
            <w:pPr>
              <w:rPr>
                <w:rFonts w:cs="Arial"/>
                <w:color w:val="FF0000"/>
                <w:sz w:val="21"/>
                <w:szCs w:val="21"/>
              </w:rPr>
            </w:pPr>
          </w:p>
        </w:tc>
        <w:tc>
          <w:tcPr>
            <w:tcW w:w="217" w:type="dxa"/>
          </w:tcPr>
          <w:p w14:paraId="4B7CEA88" w14:textId="77777777" w:rsidR="002C0FD9" w:rsidRPr="00CA25CF" w:rsidRDefault="002C0FD9" w:rsidP="00CA25CF">
            <w:pPr>
              <w:rPr>
                <w:rFonts w:cs="Arial"/>
                <w:color w:val="FF0000"/>
                <w:sz w:val="21"/>
                <w:szCs w:val="21"/>
              </w:rPr>
            </w:pPr>
          </w:p>
        </w:tc>
        <w:tc>
          <w:tcPr>
            <w:tcW w:w="217" w:type="dxa"/>
          </w:tcPr>
          <w:p w14:paraId="123E5154" w14:textId="77777777" w:rsidR="002C0FD9" w:rsidRPr="00CA25CF" w:rsidRDefault="002C0FD9" w:rsidP="00CA25CF">
            <w:pPr>
              <w:rPr>
                <w:rFonts w:cs="Arial"/>
                <w:color w:val="FF0000"/>
                <w:sz w:val="21"/>
                <w:szCs w:val="21"/>
              </w:rPr>
            </w:pPr>
          </w:p>
        </w:tc>
        <w:tc>
          <w:tcPr>
            <w:tcW w:w="217" w:type="dxa"/>
          </w:tcPr>
          <w:p w14:paraId="7BC2C8E5" w14:textId="77777777" w:rsidR="002C0FD9" w:rsidRPr="00CA25CF" w:rsidRDefault="002C0FD9" w:rsidP="00CA25CF">
            <w:pPr>
              <w:rPr>
                <w:rFonts w:cs="Arial"/>
                <w:color w:val="FF0000"/>
                <w:sz w:val="21"/>
                <w:szCs w:val="21"/>
              </w:rPr>
            </w:pPr>
          </w:p>
        </w:tc>
        <w:tc>
          <w:tcPr>
            <w:tcW w:w="217" w:type="dxa"/>
          </w:tcPr>
          <w:p w14:paraId="7AA20108" w14:textId="77777777" w:rsidR="002C0FD9" w:rsidRPr="00CA25CF" w:rsidRDefault="002C0FD9" w:rsidP="00CA25CF">
            <w:pPr>
              <w:rPr>
                <w:rFonts w:cs="Arial"/>
                <w:color w:val="FF0000"/>
                <w:sz w:val="21"/>
                <w:szCs w:val="21"/>
              </w:rPr>
            </w:pPr>
          </w:p>
        </w:tc>
        <w:tc>
          <w:tcPr>
            <w:tcW w:w="217" w:type="dxa"/>
          </w:tcPr>
          <w:p w14:paraId="340E9C3F" w14:textId="77777777" w:rsidR="002C0FD9" w:rsidRPr="00CA25CF" w:rsidRDefault="002C0FD9" w:rsidP="00CA25CF">
            <w:pPr>
              <w:rPr>
                <w:rFonts w:cs="Arial"/>
                <w:color w:val="FF0000"/>
                <w:sz w:val="21"/>
                <w:szCs w:val="21"/>
              </w:rPr>
            </w:pPr>
          </w:p>
        </w:tc>
        <w:tc>
          <w:tcPr>
            <w:tcW w:w="217" w:type="dxa"/>
          </w:tcPr>
          <w:p w14:paraId="2F8CFEF8" w14:textId="77777777" w:rsidR="002C0FD9" w:rsidRPr="00CA25CF" w:rsidRDefault="002C0FD9" w:rsidP="00CA25CF">
            <w:pPr>
              <w:rPr>
                <w:rFonts w:cs="Arial"/>
                <w:color w:val="FF0000"/>
                <w:sz w:val="21"/>
                <w:szCs w:val="21"/>
              </w:rPr>
            </w:pPr>
          </w:p>
        </w:tc>
        <w:tc>
          <w:tcPr>
            <w:tcW w:w="217" w:type="dxa"/>
          </w:tcPr>
          <w:p w14:paraId="4F1E4104" w14:textId="77777777" w:rsidR="002C0FD9" w:rsidRPr="00CA25CF" w:rsidRDefault="002C0FD9" w:rsidP="00CA25CF">
            <w:pPr>
              <w:rPr>
                <w:rFonts w:cs="Arial"/>
                <w:color w:val="FF0000"/>
                <w:sz w:val="21"/>
                <w:szCs w:val="21"/>
              </w:rPr>
            </w:pPr>
          </w:p>
        </w:tc>
        <w:tc>
          <w:tcPr>
            <w:tcW w:w="217" w:type="dxa"/>
          </w:tcPr>
          <w:p w14:paraId="56B116E3" w14:textId="77777777" w:rsidR="002C0FD9" w:rsidRPr="00CA25CF" w:rsidRDefault="002C0FD9" w:rsidP="00CA25CF">
            <w:pPr>
              <w:rPr>
                <w:rFonts w:cs="Arial"/>
                <w:color w:val="FF0000"/>
                <w:sz w:val="21"/>
                <w:szCs w:val="21"/>
              </w:rPr>
            </w:pPr>
          </w:p>
        </w:tc>
        <w:tc>
          <w:tcPr>
            <w:tcW w:w="217" w:type="dxa"/>
          </w:tcPr>
          <w:p w14:paraId="62C7D389" w14:textId="77777777" w:rsidR="002C0FD9" w:rsidRPr="00CA25CF" w:rsidRDefault="002C0FD9" w:rsidP="00CA25CF">
            <w:pPr>
              <w:rPr>
                <w:rFonts w:cs="Arial"/>
                <w:color w:val="FF0000"/>
                <w:sz w:val="21"/>
                <w:szCs w:val="21"/>
              </w:rPr>
            </w:pPr>
          </w:p>
        </w:tc>
        <w:tc>
          <w:tcPr>
            <w:tcW w:w="217" w:type="dxa"/>
          </w:tcPr>
          <w:p w14:paraId="270B1D24" w14:textId="77777777" w:rsidR="002C0FD9" w:rsidRPr="00CA25CF" w:rsidRDefault="002C0FD9" w:rsidP="00CA25CF">
            <w:pPr>
              <w:rPr>
                <w:rFonts w:cs="Arial"/>
                <w:color w:val="FF0000"/>
                <w:sz w:val="21"/>
                <w:szCs w:val="21"/>
              </w:rPr>
            </w:pPr>
          </w:p>
        </w:tc>
        <w:tc>
          <w:tcPr>
            <w:tcW w:w="217" w:type="dxa"/>
          </w:tcPr>
          <w:p w14:paraId="7069B6E8" w14:textId="77777777" w:rsidR="002C0FD9" w:rsidRPr="00CA25CF" w:rsidRDefault="002C0FD9" w:rsidP="00CA25CF">
            <w:pPr>
              <w:rPr>
                <w:rFonts w:cs="Arial"/>
                <w:color w:val="FF0000"/>
                <w:sz w:val="21"/>
                <w:szCs w:val="21"/>
              </w:rPr>
            </w:pPr>
          </w:p>
        </w:tc>
        <w:tc>
          <w:tcPr>
            <w:tcW w:w="217" w:type="dxa"/>
          </w:tcPr>
          <w:p w14:paraId="229AD167" w14:textId="77777777" w:rsidR="002C0FD9" w:rsidRPr="00CA25CF" w:rsidRDefault="002C0FD9" w:rsidP="00CA25CF">
            <w:pPr>
              <w:rPr>
                <w:rFonts w:cs="Arial"/>
                <w:color w:val="FF0000"/>
                <w:sz w:val="21"/>
                <w:szCs w:val="21"/>
              </w:rPr>
            </w:pPr>
          </w:p>
        </w:tc>
        <w:tc>
          <w:tcPr>
            <w:tcW w:w="217" w:type="dxa"/>
          </w:tcPr>
          <w:p w14:paraId="28601E48" w14:textId="77777777" w:rsidR="002C0FD9" w:rsidRPr="00CA25CF" w:rsidRDefault="002C0FD9" w:rsidP="00CA25CF">
            <w:pPr>
              <w:rPr>
                <w:rFonts w:cs="Arial"/>
                <w:color w:val="FF0000"/>
                <w:sz w:val="21"/>
                <w:szCs w:val="21"/>
              </w:rPr>
            </w:pPr>
          </w:p>
        </w:tc>
        <w:tc>
          <w:tcPr>
            <w:tcW w:w="217" w:type="dxa"/>
          </w:tcPr>
          <w:p w14:paraId="0A767D09" w14:textId="77777777" w:rsidR="002C0FD9" w:rsidRPr="00CA25CF" w:rsidRDefault="002C0FD9" w:rsidP="00CA25CF">
            <w:pPr>
              <w:rPr>
                <w:rFonts w:cs="Arial"/>
                <w:color w:val="FF0000"/>
                <w:sz w:val="21"/>
                <w:szCs w:val="21"/>
              </w:rPr>
            </w:pPr>
          </w:p>
        </w:tc>
      </w:tr>
      <w:tr w:rsidR="002C0FD9" w:rsidRPr="00A16219" w14:paraId="6656DB37" w14:textId="1CE7F281" w:rsidTr="002C0FD9">
        <w:trPr>
          <w:trHeight w:val="635"/>
        </w:trPr>
        <w:tc>
          <w:tcPr>
            <w:tcW w:w="515" w:type="dxa"/>
          </w:tcPr>
          <w:p w14:paraId="579DB2C1" w14:textId="77777777" w:rsidR="002C0FD9" w:rsidRPr="00CA25CF" w:rsidRDefault="002C0FD9" w:rsidP="00CA25CF">
            <w:pPr>
              <w:rPr>
                <w:rFonts w:cs="Arial"/>
                <w:color w:val="FF0000"/>
                <w:sz w:val="21"/>
                <w:szCs w:val="21"/>
              </w:rPr>
            </w:pPr>
          </w:p>
        </w:tc>
        <w:tc>
          <w:tcPr>
            <w:tcW w:w="217" w:type="dxa"/>
          </w:tcPr>
          <w:p w14:paraId="1ABABD84" w14:textId="77777777" w:rsidR="002C0FD9" w:rsidRPr="00CA25CF" w:rsidRDefault="002C0FD9" w:rsidP="00CA25CF">
            <w:pPr>
              <w:rPr>
                <w:rFonts w:cs="Arial"/>
                <w:color w:val="FF0000"/>
                <w:sz w:val="21"/>
                <w:szCs w:val="21"/>
              </w:rPr>
            </w:pPr>
          </w:p>
        </w:tc>
        <w:tc>
          <w:tcPr>
            <w:tcW w:w="217" w:type="dxa"/>
          </w:tcPr>
          <w:p w14:paraId="57DF817C" w14:textId="745C79D4" w:rsidR="002C0FD9" w:rsidRPr="00CA25CF" w:rsidRDefault="002C0FD9" w:rsidP="00CA25CF">
            <w:pPr>
              <w:rPr>
                <w:rFonts w:cs="Arial"/>
                <w:color w:val="FF0000"/>
                <w:sz w:val="21"/>
                <w:szCs w:val="21"/>
              </w:rPr>
            </w:pPr>
          </w:p>
        </w:tc>
        <w:tc>
          <w:tcPr>
            <w:tcW w:w="217" w:type="dxa"/>
          </w:tcPr>
          <w:p w14:paraId="3477570D" w14:textId="77777777" w:rsidR="002C0FD9" w:rsidRPr="00CA25CF" w:rsidRDefault="002C0FD9" w:rsidP="00CA25CF">
            <w:pPr>
              <w:rPr>
                <w:rFonts w:cs="Arial"/>
                <w:color w:val="FF0000"/>
                <w:sz w:val="21"/>
                <w:szCs w:val="21"/>
              </w:rPr>
            </w:pPr>
          </w:p>
        </w:tc>
        <w:tc>
          <w:tcPr>
            <w:tcW w:w="217" w:type="dxa"/>
          </w:tcPr>
          <w:p w14:paraId="615361DE" w14:textId="77777777" w:rsidR="002C0FD9" w:rsidRPr="00CA25CF" w:rsidRDefault="002C0FD9" w:rsidP="00CA25CF">
            <w:pPr>
              <w:rPr>
                <w:rFonts w:cs="Arial"/>
                <w:color w:val="FF0000"/>
                <w:sz w:val="21"/>
                <w:szCs w:val="21"/>
              </w:rPr>
            </w:pPr>
          </w:p>
        </w:tc>
        <w:tc>
          <w:tcPr>
            <w:tcW w:w="217" w:type="dxa"/>
          </w:tcPr>
          <w:p w14:paraId="56DE5AD0" w14:textId="77777777" w:rsidR="002C0FD9" w:rsidRPr="00CA25CF" w:rsidRDefault="002C0FD9" w:rsidP="00CA25CF">
            <w:pPr>
              <w:rPr>
                <w:rFonts w:cs="Arial"/>
                <w:color w:val="FF0000"/>
                <w:sz w:val="21"/>
                <w:szCs w:val="21"/>
              </w:rPr>
            </w:pPr>
          </w:p>
        </w:tc>
        <w:tc>
          <w:tcPr>
            <w:tcW w:w="217" w:type="dxa"/>
          </w:tcPr>
          <w:p w14:paraId="2B4EBD3F" w14:textId="77777777" w:rsidR="002C0FD9" w:rsidRPr="00CA25CF" w:rsidRDefault="002C0FD9" w:rsidP="00CA25CF">
            <w:pPr>
              <w:rPr>
                <w:rFonts w:cs="Arial"/>
                <w:color w:val="FF0000"/>
                <w:sz w:val="21"/>
                <w:szCs w:val="21"/>
              </w:rPr>
            </w:pPr>
          </w:p>
        </w:tc>
        <w:tc>
          <w:tcPr>
            <w:tcW w:w="217" w:type="dxa"/>
          </w:tcPr>
          <w:p w14:paraId="06BEF202" w14:textId="77777777" w:rsidR="002C0FD9" w:rsidRPr="00CA25CF" w:rsidRDefault="002C0FD9" w:rsidP="00CA25CF">
            <w:pPr>
              <w:rPr>
                <w:rFonts w:cs="Arial"/>
                <w:color w:val="FF0000"/>
                <w:sz w:val="21"/>
                <w:szCs w:val="21"/>
              </w:rPr>
            </w:pPr>
          </w:p>
        </w:tc>
        <w:tc>
          <w:tcPr>
            <w:tcW w:w="217" w:type="dxa"/>
          </w:tcPr>
          <w:p w14:paraId="3A3BD22F" w14:textId="77777777" w:rsidR="002C0FD9" w:rsidRPr="00CA25CF" w:rsidRDefault="002C0FD9" w:rsidP="00CA25CF">
            <w:pPr>
              <w:rPr>
                <w:rFonts w:cs="Arial"/>
                <w:color w:val="FF0000"/>
                <w:sz w:val="21"/>
                <w:szCs w:val="21"/>
              </w:rPr>
            </w:pPr>
          </w:p>
        </w:tc>
        <w:tc>
          <w:tcPr>
            <w:tcW w:w="217" w:type="dxa"/>
          </w:tcPr>
          <w:p w14:paraId="23FB173D" w14:textId="77777777" w:rsidR="002C0FD9" w:rsidRPr="00CA25CF" w:rsidRDefault="002C0FD9" w:rsidP="00CA25CF">
            <w:pPr>
              <w:rPr>
                <w:rFonts w:cs="Arial"/>
                <w:color w:val="FF0000"/>
                <w:sz w:val="21"/>
                <w:szCs w:val="21"/>
              </w:rPr>
            </w:pPr>
          </w:p>
        </w:tc>
        <w:tc>
          <w:tcPr>
            <w:tcW w:w="217" w:type="dxa"/>
          </w:tcPr>
          <w:p w14:paraId="72B7418B" w14:textId="77777777" w:rsidR="002C0FD9" w:rsidRPr="00CA25CF" w:rsidRDefault="002C0FD9" w:rsidP="00CA25CF">
            <w:pPr>
              <w:rPr>
                <w:rFonts w:cs="Arial"/>
                <w:color w:val="FF0000"/>
                <w:sz w:val="21"/>
                <w:szCs w:val="21"/>
              </w:rPr>
            </w:pPr>
          </w:p>
        </w:tc>
        <w:tc>
          <w:tcPr>
            <w:tcW w:w="217" w:type="dxa"/>
          </w:tcPr>
          <w:p w14:paraId="7B5A6F26" w14:textId="77777777" w:rsidR="002C0FD9" w:rsidRPr="00CA25CF" w:rsidRDefault="002C0FD9" w:rsidP="00CA25CF">
            <w:pPr>
              <w:rPr>
                <w:rFonts w:cs="Arial"/>
                <w:color w:val="FF0000"/>
                <w:sz w:val="21"/>
                <w:szCs w:val="21"/>
              </w:rPr>
            </w:pPr>
          </w:p>
        </w:tc>
        <w:tc>
          <w:tcPr>
            <w:tcW w:w="217" w:type="dxa"/>
          </w:tcPr>
          <w:p w14:paraId="5766F62C" w14:textId="77777777" w:rsidR="002C0FD9" w:rsidRPr="00CA25CF" w:rsidRDefault="002C0FD9" w:rsidP="00CA25CF">
            <w:pPr>
              <w:rPr>
                <w:rFonts w:cs="Arial"/>
                <w:color w:val="FF0000"/>
                <w:sz w:val="21"/>
                <w:szCs w:val="21"/>
              </w:rPr>
            </w:pPr>
          </w:p>
        </w:tc>
        <w:tc>
          <w:tcPr>
            <w:tcW w:w="217" w:type="dxa"/>
          </w:tcPr>
          <w:p w14:paraId="23FEC915" w14:textId="77777777" w:rsidR="002C0FD9" w:rsidRPr="00CA25CF" w:rsidRDefault="002C0FD9" w:rsidP="00CA25CF">
            <w:pPr>
              <w:rPr>
                <w:rFonts w:cs="Arial"/>
                <w:color w:val="FF0000"/>
                <w:sz w:val="21"/>
                <w:szCs w:val="21"/>
              </w:rPr>
            </w:pPr>
          </w:p>
        </w:tc>
        <w:tc>
          <w:tcPr>
            <w:tcW w:w="217" w:type="dxa"/>
          </w:tcPr>
          <w:p w14:paraId="0074EEF8" w14:textId="77777777" w:rsidR="002C0FD9" w:rsidRPr="00CA25CF" w:rsidRDefault="002C0FD9" w:rsidP="00CA25CF">
            <w:pPr>
              <w:rPr>
                <w:rFonts w:cs="Arial"/>
                <w:color w:val="FF0000"/>
                <w:sz w:val="21"/>
                <w:szCs w:val="21"/>
              </w:rPr>
            </w:pPr>
          </w:p>
        </w:tc>
        <w:tc>
          <w:tcPr>
            <w:tcW w:w="217" w:type="dxa"/>
          </w:tcPr>
          <w:p w14:paraId="3F22B2F6" w14:textId="42C5D2FB" w:rsidR="002C0FD9" w:rsidRPr="00CA25CF" w:rsidRDefault="002C0FD9" w:rsidP="00CA25CF">
            <w:pPr>
              <w:rPr>
                <w:rFonts w:cs="Arial"/>
                <w:color w:val="FF0000"/>
                <w:sz w:val="21"/>
                <w:szCs w:val="21"/>
              </w:rPr>
            </w:pPr>
          </w:p>
        </w:tc>
        <w:tc>
          <w:tcPr>
            <w:tcW w:w="217" w:type="dxa"/>
          </w:tcPr>
          <w:p w14:paraId="31387091" w14:textId="77777777" w:rsidR="002C0FD9" w:rsidRPr="00CA25CF" w:rsidRDefault="002C0FD9" w:rsidP="00CA25CF">
            <w:pPr>
              <w:rPr>
                <w:rFonts w:cs="Arial"/>
                <w:color w:val="FF0000"/>
                <w:sz w:val="21"/>
                <w:szCs w:val="21"/>
              </w:rPr>
            </w:pPr>
          </w:p>
        </w:tc>
        <w:tc>
          <w:tcPr>
            <w:tcW w:w="217" w:type="dxa"/>
          </w:tcPr>
          <w:p w14:paraId="5D43456A" w14:textId="77777777" w:rsidR="002C0FD9" w:rsidRPr="00CA25CF" w:rsidRDefault="002C0FD9" w:rsidP="00CA25CF">
            <w:pPr>
              <w:rPr>
                <w:rFonts w:cs="Arial"/>
                <w:color w:val="FF0000"/>
                <w:sz w:val="21"/>
                <w:szCs w:val="21"/>
              </w:rPr>
            </w:pPr>
          </w:p>
        </w:tc>
        <w:tc>
          <w:tcPr>
            <w:tcW w:w="217" w:type="dxa"/>
          </w:tcPr>
          <w:p w14:paraId="78CACC12" w14:textId="77777777" w:rsidR="002C0FD9" w:rsidRPr="00CA25CF" w:rsidRDefault="002C0FD9" w:rsidP="00CA25CF">
            <w:pPr>
              <w:rPr>
                <w:rFonts w:cs="Arial"/>
                <w:color w:val="FF0000"/>
                <w:sz w:val="21"/>
                <w:szCs w:val="21"/>
              </w:rPr>
            </w:pPr>
          </w:p>
        </w:tc>
        <w:tc>
          <w:tcPr>
            <w:tcW w:w="217" w:type="dxa"/>
          </w:tcPr>
          <w:p w14:paraId="1703C335" w14:textId="77777777" w:rsidR="002C0FD9" w:rsidRPr="00CA25CF" w:rsidRDefault="002C0FD9" w:rsidP="00CA25CF">
            <w:pPr>
              <w:rPr>
                <w:rFonts w:cs="Arial"/>
                <w:color w:val="FF0000"/>
                <w:sz w:val="21"/>
                <w:szCs w:val="21"/>
              </w:rPr>
            </w:pPr>
          </w:p>
        </w:tc>
        <w:tc>
          <w:tcPr>
            <w:tcW w:w="217" w:type="dxa"/>
          </w:tcPr>
          <w:p w14:paraId="066474B1" w14:textId="77777777" w:rsidR="002C0FD9" w:rsidRPr="00CA25CF" w:rsidRDefault="002C0FD9" w:rsidP="00CA25CF">
            <w:pPr>
              <w:rPr>
                <w:rFonts w:cs="Arial"/>
                <w:color w:val="FF0000"/>
                <w:sz w:val="21"/>
                <w:szCs w:val="21"/>
              </w:rPr>
            </w:pPr>
          </w:p>
        </w:tc>
        <w:tc>
          <w:tcPr>
            <w:tcW w:w="217" w:type="dxa"/>
          </w:tcPr>
          <w:p w14:paraId="56DD52C3" w14:textId="77777777" w:rsidR="002C0FD9" w:rsidRPr="00CA25CF" w:rsidRDefault="002C0FD9" w:rsidP="00CA25CF">
            <w:pPr>
              <w:rPr>
                <w:rFonts w:cs="Arial"/>
                <w:color w:val="FF0000"/>
                <w:sz w:val="21"/>
                <w:szCs w:val="21"/>
              </w:rPr>
            </w:pPr>
          </w:p>
        </w:tc>
        <w:tc>
          <w:tcPr>
            <w:tcW w:w="217" w:type="dxa"/>
          </w:tcPr>
          <w:p w14:paraId="094F0620" w14:textId="77777777" w:rsidR="002C0FD9" w:rsidRPr="00CA25CF" w:rsidRDefault="002C0FD9" w:rsidP="00CA25CF">
            <w:pPr>
              <w:rPr>
                <w:rFonts w:cs="Arial"/>
                <w:color w:val="FF0000"/>
                <w:sz w:val="21"/>
                <w:szCs w:val="21"/>
              </w:rPr>
            </w:pPr>
          </w:p>
        </w:tc>
        <w:tc>
          <w:tcPr>
            <w:tcW w:w="217" w:type="dxa"/>
          </w:tcPr>
          <w:p w14:paraId="37AAA323" w14:textId="77777777" w:rsidR="002C0FD9" w:rsidRPr="00CA25CF" w:rsidRDefault="002C0FD9" w:rsidP="00CA25CF">
            <w:pPr>
              <w:rPr>
                <w:rFonts w:cs="Arial"/>
                <w:color w:val="FF0000"/>
                <w:sz w:val="21"/>
                <w:szCs w:val="21"/>
              </w:rPr>
            </w:pPr>
          </w:p>
        </w:tc>
        <w:tc>
          <w:tcPr>
            <w:tcW w:w="217" w:type="dxa"/>
          </w:tcPr>
          <w:p w14:paraId="28414152" w14:textId="77777777" w:rsidR="002C0FD9" w:rsidRPr="00CA25CF" w:rsidRDefault="002C0FD9" w:rsidP="00CA25CF">
            <w:pPr>
              <w:rPr>
                <w:rFonts w:cs="Arial"/>
                <w:color w:val="FF0000"/>
                <w:sz w:val="21"/>
                <w:szCs w:val="21"/>
              </w:rPr>
            </w:pPr>
          </w:p>
        </w:tc>
        <w:tc>
          <w:tcPr>
            <w:tcW w:w="217" w:type="dxa"/>
          </w:tcPr>
          <w:p w14:paraId="6A73A4D4" w14:textId="77777777" w:rsidR="002C0FD9" w:rsidRPr="00CA25CF" w:rsidRDefault="002C0FD9" w:rsidP="00CA25CF">
            <w:pPr>
              <w:rPr>
                <w:rFonts w:cs="Arial"/>
                <w:color w:val="FF0000"/>
                <w:sz w:val="21"/>
                <w:szCs w:val="21"/>
              </w:rPr>
            </w:pPr>
          </w:p>
        </w:tc>
        <w:tc>
          <w:tcPr>
            <w:tcW w:w="217" w:type="dxa"/>
          </w:tcPr>
          <w:p w14:paraId="71874223" w14:textId="77777777" w:rsidR="002C0FD9" w:rsidRPr="00CA25CF" w:rsidRDefault="002C0FD9" w:rsidP="00CA25CF">
            <w:pPr>
              <w:rPr>
                <w:rFonts w:cs="Arial"/>
                <w:color w:val="FF0000"/>
                <w:sz w:val="21"/>
                <w:szCs w:val="21"/>
              </w:rPr>
            </w:pPr>
          </w:p>
        </w:tc>
        <w:tc>
          <w:tcPr>
            <w:tcW w:w="217" w:type="dxa"/>
          </w:tcPr>
          <w:p w14:paraId="6D0132D8" w14:textId="77777777" w:rsidR="002C0FD9" w:rsidRPr="00CA25CF" w:rsidRDefault="002C0FD9" w:rsidP="00CA25CF">
            <w:pPr>
              <w:rPr>
                <w:rFonts w:cs="Arial"/>
                <w:color w:val="FF0000"/>
                <w:sz w:val="21"/>
                <w:szCs w:val="21"/>
              </w:rPr>
            </w:pPr>
          </w:p>
        </w:tc>
        <w:tc>
          <w:tcPr>
            <w:tcW w:w="217" w:type="dxa"/>
          </w:tcPr>
          <w:p w14:paraId="62088B84" w14:textId="77777777" w:rsidR="002C0FD9" w:rsidRPr="00CA25CF" w:rsidRDefault="002C0FD9" w:rsidP="00CA25CF">
            <w:pPr>
              <w:rPr>
                <w:rFonts w:cs="Arial"/>
                <w:color w:val="FF0000"/>
                <w:sz w:val="21"/>
                <w:szCs w:val="21"/>
              </w:rPr>
            </w:pPr>
          </w:p>
        </w:tc>
        <w:tc>
          <w:tcPr>
            <w:tcW w:w="217" w:type="dxa"/>
          </w:tcPr>
          <w:p w14:paraId="7CDD3B50" w14:textId="77777777" w:rsidR="002C0FD9" w:rsidRPr="00CA25CF" w:rsidRDefault="002C0FD9" w:rsidP="00CA25CF">
            <w:pPr>
              <w:rPr>
                <w:rFonts w:cs="Arial"/>
                <w:color w:val="FF0000"/>
                <w:sz w:val="21"/>
                <w:szCs w:val="21"/>
              </w:rPr>
            </w:pPr>
          </w:p>
        </w:tc>
        <w:tc>
          <w:tcPr>
            <w:tcW w:w="217" w:type="dxa"/>
          </w:tcPr>
          <w:p w14:paraId="4E396FA3" w14:textId="77777777" w:rsidR="002C0FD9" w:rsidRPr="00CA25CF" w:rsidRDefault="002C0FD9" w:rsidP="00CA25CF">
            <w:pPr>
              <w:rPr>
                <w:rFonts w:cs="Arial"/>
                <w:color w:val="FF0000"/>
                <w:sz w:val="21"/>
                <w:szCs w:val="21"/>
              </w:rPr>
            </w:pPr>
          </w:p>
        </w:tc>
        <w:tc>
          <w:tcPr>
            <w:tcW w:w="217" w:type="dxa"/>
          </w:tcPr>
          <w:p w14:paraId="0C7C988F" w14:textId="77777777" w:rsidR="002C0FD9" w:rsidRPr="00CA25CF" w:rsidRDefault="002C0FD9" w:rsidP="00CA25CF">
            <w:pPr>
              <w:rPr>
                <w:rFonts w:cs="Arial"/>
                <w:color w:val="FF0000"/>
                <w:sz w:val="21"/>
                <w:szCs w:val="21"/>
              </w:rPr>
            </w:pPr>
          </w:p>
        </w:tc>
        <w:tc>
          <w:tcPr>
            <w:tcW w:w="217" w:type="dxa"/>
          </w:tcPr>
          <w:p w14:paraId="22F55F59" w14:textId="77777777" w:rsidR="002C0FD9" w:rsidRPr="00CA25CF" w:rsidRDefault="002C0FD9" w:rsidP="00CA25CF">
            <w:pPr>
              <w:rPr>
                <w:rFonts w:cs="Arial"/>
                <w:color w:val="FF0000"/>
                <w:sz w:val="21"/>
                <w:szCs w:val="21"/>
              </w:rPr>
            </w:pPr>
          </w:p>
        </w:tc>
        <w:tc>
          <w:tcPr>
            <w:tcW w:w="217" w:type="dxa"/>
          </w:tcPr>
          <w:p w14:paraId="3A57920E" w14:textId="77777777" w:rsidR="002C0FD9" w:rsidRPr="00CA25CF" w:rsidRDefault="002C0FD9" w:rsidP="00CA25CF">
            <w:pPr>
              <w:rPr>
                <w:rFonts w:cs="Arial"/>
                <w:color w:val="FF0000"/>
                <w:sz w:val="21"/>
                <w:szCs w:val="21"/>
              </w:rPr>
            </w:pPr>
          </w:p>
        </w:tc>
        <w:tc>
          <w:tcPr>
            <w:tcW w:w="217" w:type="dxa"/>
          </w:tcPr>
          <w:p w14:paraId="4C8AE9D1" w14:textId="77777777" w:rsidR="002C0FD9" w:rsidRPr="00CA25CF" w:rsidRDefault="002C0FD9" w:rsidP="00CA25CF">
            <w:pPr>
              <w:rPr>
                <w:rFonts w:cs="Arial"/>
                <w:color w:val="FF0000"/>
                <w:sz w:val="21"/>
                <w:szCs w:val="21"/>
              </w:rPr>
            </w:pPr>
          </w:p>
        </w:tc>
        <w:tc>
          <w:tcPr>
            <w:tcW w:w="217" w:type="dxa"/>
          </w:tcPr>
          <w:p w14:paraId="0838E2C0" w14:textId="77777777" w:rsidR="002C0FD9" w:rsidRPr="00CA25CF" w:rsidRDefault="002C0FD9" w:rsidP="00CA25CF">
            <w:pPr>
              <w:rPr>
                <w:rFonts w:cs="Arial"/>
                <w:color w:val="FF0000"/>
                <w:sz w:val="21"/>
                <w:szCs w:val="21"/>
              </w:rPr>
            </w:pPr>
          </w:p>
        </w:tc>
        <w:tc>
          <w:tcPr>
            <w:tcW w:w="217" w:type="dxa"/>
          </w:tcPr>
          <w:p w14:paraId="095FA1D7" w14:textId="77777777" w:rsidR="002C0FD9" w:rsidRPr="00CA25CF" w:rsidRDefault="002C0FD9" w:rsidP="00CA25CF">
            <w:pPr>
              <w:rPr>
                <w:rFonts w:cs="Arial"/>
                <w:color w:val="FF0000"/>
                <w:sz w:val="21"/>
                <w:szCs w:val="21"/>
              </w:rPr>
            </w:pPr>
          </w:p>
        </w:tc>
        <w:tc>
          <w:tcPr>
            <w:tcW w:w="217" w:type="dxa"/>
          </w:tcPr>
          <w:p w14:paraId="34D07086" w14:textId="77777777" w:rsidR="002C0FD9" w:rsidRPr="00CA25CF" w:rsidRDefault="002C0FD9" w:rsidP="00CA25CF">
            <w:pPr>
              <w:rPr>
                <w:rFonts w:cs="Arial"/>
                <w:color w:val="FF0000"/>
                <w:sz w:val="21"/>
                <w:szCs w:val="21"/>
              </w:rPr>
            </w:pPr>
          </w:p>
        </w:tc>
        <w:tc>
          <w:tcPr>
            <w:tcW w:w="217" w:type="dxa"/>
          </w:tcPr>
          <w:p w14:paraId="3B79A018" w14:textId="77777777" w:rsidR="002C0FD9" w:rsidRPr="00CA25CF" w:rsidRDefault="002C0FD9" w:rsidP="00CA25CF">
            <w:pPr>
              <w:rPr>
                <w:rFonts w:cs="Arial"/>
                <w:color w:val="FF0000"/>
                <w:sz w:val="21"/>
                <w:szCs w:val="21"/>
              </w:rPr>
            </w:pPr>
          </w:p>
        </w:tc>
        <w:tc>
          <w:tcPr>
            <w:tcW w:w="217" w:type="dxa"/>
          </w:tcPr>
          <w:p w14:paraId="43FF8346" w14:textId="77777777" w:rsidR="002C0FD9" w:rsidRPr="00CA25CF" w:rsidRDefault="002C0FD9" w:rsidP="00CA25CF">
            <w:pPr>
              <w:rPr>
                <w:rFonts w:cs="Arial"/>
                <w:color w:val="FF0000"/>
                <w:sz w:val="21"/>
                <w:szCs w:val="21"/>
              </w:rPr>
            </w:pPr>
          </w:p>
        </w:tc>
        <w:tc>
          <w:tcPr>
            <w:tcW w:w="217" w:type="dxa"/>
          </w:tcPr>
          <w:p w14:paraId="3C5BE401" w14:textId="77777777" w:rsidR="002C0FD9" w:rsidRPr="00CA25CF" w:rsidRDefault="002C0FD9" w:rsidP="00CA25CF">
            <w:pPr>
              <w:rPr>
                <w:rFonts w:cs="Arial"/>
                <w:color w:val="FF0000"/>
                <w:sz w:val="21"/>
                <w:szCs w:val="21"/>
              </w:rPr>
            </w:pPr>
          </w:p>
        </w:tc>
        <w:tc>
          <w:tcPr>
            <w:tcW w:w="217" w:type="dxa"/>
          </w:tcPr>
          <w:p w14:paraId="2C46D075" w14:textId="77777777" w:rsidR="002C0FD9" w:rsidRPr="00CA25CF" w:rsidRDefault="002C0FD9" w:rsidP="00CA25CF">
            <w:pPr>
              <w:rPr>
                <w:rFonts w:cs="Arial"/>
                <w:color w:val="FF0000"/>
                <w:sz w:val="21"/>
                <w:szCs w:val="21"/>
              </w:rPr>
            </w:pPr>
          </w:p>
        </w:tc>
        <w:tc>
          <w:tcPr>
            <w:tcW w:w="217" w:type="dxa"/>
          </w:tcPr>
          <w:p w14:paraId="33B7E708" w14:textId="77777777" w:rsidR="002C0FD9" w:rsidRPr="00CA25CF" w:rsidRDefault="002C0FD9" w:rsidP="00CA25CF">
            <w:pPr>
              <w:rPr>
                <w:rFonts w:cs="Arial"/>
                <w:color w:val="FF0000"/>
                <w:sz w:val="21"/>
                <w:szCs w:val="21"/>
              </w:rPr>
            </w:pPr>
          </w:p>
        </w:tc>
      </w:tr>
      <w:tr w:rsidR="002C0FD9" w:rsidRPr="00A16219" w14:paraId="4FD06790" w14:textId="7A9E68B3" w:rsidTr="002C0FD9">
        <w:trPr>
          <w:trHeight w:val="635"/>
        </w:trPr>
        <w:tc>
          <w:tcPr>
            <w:tcW w:w="515" w:type="dxa"/>
          </w:tcPr>
          <w:p w14:paraId="2D24B86E" w14:textId="77777777" w:rsidR="002C0FD9" w:rsidRPr="00CA25CF" w:rsidRDefault="002C0FD9" w:rsidP="00CA25CF">
            <w:pPr>
              <w:rPr>
                <w:rFonts w:cs="Arial"/>
                <w:color w:val="FF0000"/>
                <w:sz w:val="21"/>
                <w:szCs w:val="21"/>
              </w:rPr>
            </w:pPr>
          </w:p>
        </w:tc>
        <w:tc>
          <w:tcPr>
            <w:tcW w:w="217" w:type="dxa"/>
          </w:tcPr>
          <w:p w14:paraId="5DA432DB" w14:textId="77777777" w:rsidR="002C0FD9" w:rsidRPr="00CA25CF" w:rsidRDefault="002C0FD9" w:rsidP="00CA25CF">
            <w:pPr>
              <w:rPr>
                <w:rFonts w:cs="Arial"/>
                <w:color w:val="FF0000"/>
                <w:sz w:val="21"/>
                <w:szCs w:val="21"/>
              </w:rPr>
            </w:pPr>
          </w:p>
        </w:tc>
        <w:tc>
          <w:tcPr>
            <w:tcW w:w="217" w:type="dxa"/>
          </w:tcPr>
          <w:p w14:paraId="74C41991" w14:textId="58DAD181" w:rsidR="002C0FD9" w:rsidRPr="00CA25CF" w:rsidRDefault="002C0FD9" w:rsidP="00CA25CF">
            <w:pPr>
              <w:rPr>
                <w:rFonts w:cs="Arial"/>
                <w:color w:val="FF0000"/>
                <w:sz w:val="21"/>
                <w:szCs w:val="21"/>
              </w:rPr>
            </w:pPr>
          </w:p>
        </w:tc>
        <w:tc>
          <w:tcPr>
            <w:tcW w:w="217" w:type="dxa"/>
          </w:tcPr>
          <w:p w14:paraId="2215C611" w14:textId="77777777" w:rsidR="002C0FD9" w:rsidRPr="00CA25CF" w:rsidRDefault="002C0FD9" w:rsidP="00CA25CF">
            <w:pPr>
              <w:rPr>
                <w:rFonts w:cs="Arial"/>
                <w:color w:val="FF0000"/>
                <w:sz w:val="21"/>
                <w:szCs w:val="21"/>
              </w:rPr>
            </w:pPr>
          </w:p>
        </w:tc>
        <w:tc>
          <w:tcPr>
            <w:tcW w:w="217" w:type="dxa"/>
          </w:tcPr>
          <w:p w14:paraId="385C2D5A" w14:textId="77777777" w:rsidR="002C0FD9" w:rsidRPr="00CA25CF" w:rsidRDefault="002C0FD9" w:rsidP="00CA25CF">
            <w:pPr>
              <w:rPr>
                <w:rFonts w:cs="Arial"/>
                <w:color w:val="FF0000"/>
                <w:sz w:val="21"/>
                <w:szCs w:val="21"/>
              </w:rPr>
            </w:pPr>
          </w:p>
        </w:tc>
        <w:tc>
          <w:tcPr>
            <w:tcW w:w="217" w:type="dxa"/>
          </w:tcPr>
          <w:p w14:paraId="4344B1DB" w14:textId="77777777" w:rsidR="002C0FD9" w:rsidRPr="00CA25CF" w:rsidRDefault="002C0FD9" w:rsidP="00CA25CF">
            <w:pPr>
              <w:rPr>
                <w:rFonts w:cs="Arial"/>
                <w:color w:val="FF0000"/>
                <w:sz w:val="21"/>
                <w:szCs w:val="21"/>
              </w:rPr>
            </w:pPr>
          </w:p>
        </w:tc>
        <w:tc>
          <w:tcPr>
            <w:tcW w:w="217" w:type="dxa"/>
          </w:tcPr>
          <w:p w14:paraId="3D68086F" w14:textId="77777777" w:rsidR="002C0FD9" w:rsidRPr="00CA25CF" w:rsidRDefault="002C0FD9" w:rsidP="00CA25CF">
            <w:pPr>
              <w:rPr>
                <w:rFonts w:cs="Arial"/>
                <w:color w:val="FF0000"/>
                <w:sz w:val="21"/>
                <w:szCs w:val="21"/>
              </w:rPr>
            </w:pPr>
          </w:p>
        </w:tc>
        <w:tc>
          <w:tcPr>
            <w:tcW w:w="217" w:type="dxa"/>
          </w:tcPr>
          <w:p w14:paraId="5B18570D" w14:textId="77777777" w:rsidR="002C0FD9" w:rsidRPr="00CA25CF" w:rsidRDefault="002C0FD9" w:rsidP="00CA25CF">
            <w:pPr>
              <w:rPr>
                <w:rFonts w:cs="Arial"/>
                <w:color w:val="FF0000"/>
                <w:sz w:val="21"/>
                <w:szCs w:val="21"/>
              </w:rPr>
            </w:pPr>
          </w:p>
        </w:tc>
        <w:tc>
          <w:tcPr>
            <w:tcW w:w="217" w:type="dxa"/>
          </w:tcPr>
          <w:p w14:paraId="331105EA" w14:textId="77777777" w:rsidR="002C0FD9" w:rsidRPr="00CA25CF" w:rsidRDefault="002C0FD9" w:rsidP="00CA25CF">
            <w:pPr>
              <w:rPr>
                <w:rFonts w:cs="Arial"/>
                <w:color w:val="FF0000"/>
                <w:sz w:val="21"/>
                <w:szCs w:val="21"/>
              </w:rPr>
            </w:pPr>
          </w:p>
        </w:tc>
        <w:tc>
          <w:tcPr>
            <w:tcW w:w="217" w:type="dxa"/>
          </w:tcPr>
          <w:p w14:paraId="2F1CB435" w14:textId="77777777" w:rsidR="002C0FD9" w:rsidRPr="00CA25CF" w:rsidRDefault="002C0FD9" w:rsidP="00CA25CF">
            <w:pPr>
              <w:rPr>
                <w:rFonts w:cs="Arial"/>
                <w:color w:val="FF0000"/>
                <w:sz w:val="21"/>
                <w:szCs w:val="21"/>
              </w:rPr>
            </w:pPr>
          </w:p>
        </w:tc>
        <w:tc>
          <w:tcPr>
            <w:tcW w:w="217" w:type="dxa"/>
          </w:tcPr>
          <w:p w14:paraId="7B3A12B1" w14:textId="77777777" w:rsidR="002C0FD9" w:rsidRPr="00CA25CF" w:rsidRDefault="002C0FD9" w:rsidP="00CA25CF">
            <w:pPr>
              <w:rPr>
                <w:rFonts w:cs="Arial"/>
                <w:color w:val="FF0000"/>
                <w:sz w:val="21"/>
                <w:szCs w:val="21"/>
              </w:rPr>
            </w:pPr>
          </w:p>
        </w:tc>
        <w:tc>
          <w:tcPr>
            <w:tcW w:w="217" w:type="dxa"/>
          </w:tcPr>
          <w:p w14:paraId="7DEC0E67" w14:textId="77777777" w:rsidR="002C0FD9" w:rsidRPr="00CA25CF" w:rsidRDefault="002C0FD9" w:rsidP="00CA25CF">
            <w:pPr>
              <w:rPr>
                <w:rFonts w:cs="Arial"/>
                <w:color w:val="FF0000"/>
                <w:sz w:val="21"/>
                <w:szCs w:val="21"/>
              </w:rPr>
            </w:pPr>
          </w:p>
        </w:tc>
        <w:tc>
          <w:tcPr>
            <w:tcW w:w="217" w:type="dxa"/>
          </w:tcPr>
          <w:p w14:paraId="63F17A3B" w14:textId="77777777" w:rsidR="002C0FD9" w:rsidRPr="00CA25CF" w:rsidRDefault="002C0FD9" w:rsidP="00CA25CF">
            <w:pPr>
              <w:rPr>
                <w:rFonts w:cs="Arial"/>
                <w:color w:val="FF0000"/>
                <w:sz w:val="21"/>
                <w:szCs w:val="21"/>
              </w:rPr>
            </w:pPr>
          </w:p>
        </w:tc>
        <w:tc>
          <w:tcPr>
            <w:tcW w:w="217" w:type="dxa"/>
          </w:tcPr>
          <w:p w14:paraId="41EB0A2B" w14:textId="77777777" w:rsidR="002C0FD9" w:rsidRPr="00CA25CF" w:rsidRDefault="002C0FD9" w:rsidP="00CA25CF">
            <w:pPr>
              <w:rPr>
                <w:rFonts w:cs="Arial"/>
                <w:color w:val="FF0000"/>
                <w:sz w:val="21"/>
                <w:szCs w:val="21"/>
              </w:rPr>
            </w:pPr>
          </w:p>
        </w:tc>
        <w:tc>
          <w:tcPr>
            <w:tcW w:w="217" w:type="dxa"/>
          </w:tcPr>
          <w:p w14:paraId="70F1DA33" w14:textId="77777777" w:rsidR="002C0FD9" w:rsidRPr="00CA25CF" w:rsidRDefault="002C0FD9" w:rsidP="00CA25CF">
            <w:pPr>
              <w:rPr>
                <w:rFonts w:cs="Arial"/>
                <w:color w:val="FF0000"/>
                <w:sz w:val="21"/>
                <w:szCs w:val="21"/>
              </w:rPr>
            </w:pPr>
          </w:p>
        </w:tc>
        <w:tc>
          <w:tcPr>
            <w:tcW w:w="217" w:type="dxa"/>
          </w:tcPr>
          <w:p w14:paraId="11CD4400" w14:textId="604E3340" w:rsidR="002C0FD9" w:rsidRPr="00CA25CF" w:rsidRDefault="002C0FD9" w:rsidP="00CA25CF">
            <w:pPr>
              <w:rPr>
                <w:rFonts w:cs="Arial"/>
                <w:color w:val="FF0000"/>
                <w:sz w:val="21"/>
                <w:szCs w:val="21"/>
              </w:rPr>
            </w:pPr>
          </w:p>
        </w:tc>
        <w:tc>
          <w:tcPr>
            <w:tcW w:w="217" w:type="dxa"/>
          </w:tcPr>
          <w:p w14:paraId="0AB65EDD" w14:textId="77777777" w:rsidR="002C0FD9" w:rsidRPr="00CA25CF" w:rsidRDefault="002C0FD9" w:rsidP="00CA25CF">
            <w:pPr>
              <w:rPr>
                <w:rFonts w:cs="Arial"/>
                <w:color w:val="FF0000"/>
                <w:sz w:val="21"/>
                <w:szCs w:val="21"/>
              </w:rPr>
            </w:pPr>
          </w:p>
        </w:tc>
        <w:tc>
          <w:tcPr>
            <w:tcW w:w="217" w:type="dxa"/>
          </w:tcPr>
          <w:p w14:paraId="1161F3DE" w14:textId="77777777" w:rsidR="002C0FD9" w:rsidRPr="00CA25CF" w:rsidRDefault="002C0FD9" w:rsidP="00CA25CF">
            <w:pPr>
              <w:rPr>
                <w:rFonts w:cs="Arial"/>
                <w:color w:val="FF0000"/>
                <w:sz w:val="21"/>
                <w:szCs w:val="21"/>
              </w:rPr>
            </w:pPr>
          </w:p>
        </w:tc>
        <w:tc>
          <w:tcPr>
            <w:tcW w:w="217" w:type="dxa"/>
          </w:tcPr>
          <w:p w14:paraId="75D54C3C" w14:textId="77777777" w:rsidR="002C0FD9" w:rsidRPr="00CA25CF" w:rsidRDefault="002C0FD9" w:rsidP="00CA25CF">
            <w:pPr>
              <w:rPr>
                <w:rFonts w:cs="Arial"/>
                <w:color w:val="FF0000"/>
                <w:sz w:val="21"/>
                <w:szCs w:val="21"/>
              </w:rPr>
            </w:pPr>
          </w:p>
        </w:tc>
        <w:tc>
          <w:tcPr>
            <w:tcW w:w="217" w:type="dxa"/>
          </w:tcPr>
          <w:p w14:paraId="12DA89AB" w14:textId="77777777" w:rsidR="002C0FD9" w:rsidRPr="00CA25CF" w:rsidRDefault="002C0FD9" w:rsidP="00CA25CF">
            <w:pPr>
              <w:rPr>
                <w:rFonts w:cs="Arial"/>
                <w:color w:val="FF0000"/>
                <w:sz w:val="21"/>
                <w:szCs w:val="21"/>
              </w:rPr>
            </w:pPr>
          </w:p>
        </w:tc>
        <w:tc>
          <w:tcPr>
            <w:tcW w:w="217" w:type="dxa"/>
          </w:tcPr>
          <w:p w14:paraId="64E01FF0" w14:textId="77777777" w:rsidR="002C0FD9" w:rsidRPr="00CA25CF" w:rsidRDefault="002C0FD9" w:rsidP="00CA25CF">
            <w:pPr>
              <w:rPr>
                <w:rFonts w:cs="Arial"/>
                <w:color w:val="FF0000"/>
                <w:sz w:val="21"/>
                <w:szCs w:val="21"/>
              </w:rPr>
            </w:pPr>
          </w:p>
        </w:tc>
        <w:tc>
          <w:tcPr>
            <w:tcW w:w="217" w:type="dxa"/>
          </w:tcPr>
          <w:p w14:paraId="05362A95" w14:textId="77777777" w:rsidR="002C0FD9" w:rsidRPr="00CA25CF" w:rsidRDefault="002C0FD9" w:rsidP="00CA25CF">
            <w:pPr>
              <w:rPr>
                <w:rFonts w:cs="Arial"/>
                <w:color w:val="FF0000"/>
                <w:sz w:val="21"/>
                <w:szCs w:val="21"/>
              </w:rPr>
            </w:pPr>
          </w:p>
        </w:tc>
        <w:tc>
          <w:tcPr>
            <w:tcW w:w="217" w:type="dxa"/>
          </w:tcPr>
          <w:p w14:paraId="2A2387D3" w14:textId="77777777" w:rsidR="002C0FD9" w:rsidRPr="00CA25CF" w:rsidRDefault="002C0FD9" w:rsidP="00CA25CF">
            <w:pPr>
              <w:rPr>
                <w:rFonts w:cs="Arial"/>
                <w:color w:val="FF0000"/>
                <w:sz w:val="21"/>
                <w:szCs w:val="21"/>
              </w:rPr>
            </w:pPr>
          </w:p>
        </w:tc>
        <w:tc>
          <w:tcPr>
            <w:tcW w:w="217" w:type="dxa"/>
          </w:tcPr>
          <w:p w14:paraId="301E799A" w14:textId="77777777" w:rsidR="002C0FD9" w:rsidRPr="00CA25CF" w:rsidRDefault="002C0FD9" w:rsidP="00CA25CF">
            <w:pPr>
              <w:rPr>
                <w:rFonts w:cs="Arial"/>
                <w:color w:val="FF0000"/>
                <w:sz w:val="21"/>
                <w:szCs w:val="21"/>
              </w:rPr>
            </w:pPr>
          </w:p>
        </w:tc>
        <w:tc>
          <w:tcPr>
            <w:tcW w:w="217" w:type="dxa"/>
          </w:tcPr>
          <w:p w14:paraId="1C2BDB85" w14:textId="77777777" w:rsidR="002C0FD9" w:rsidRPr="00CA25CF" w:rsidRDefault="002C0FD9" w:rsidP="00CA25CF">
            <w:pPr>
              <w:rPr>
                <w:rFonts w:cs="Arial"/>
                <w:color w:val="FF0000"/>
                <w:sz w:val="21"/>
                <w:szCs w:val="21"/>
              </w:rPr>
            </w:pPr>
          </w:p>
        </w:tc>
        <w:tc>
          <w:tcPr>
            <w:tcW w:w="217" w:type="dxa"/>
          </w:tcPr>
          <w:p w14:paraId="5991373C" w14:textId="77777777" w:rsidR="002C0FD9" w:rsidRPr="00CA25CF" w:rsidRDefault="002C0FD9" w:rsidP="00CA25CF">
            <w:pPr>
              <w:rPr>
                <w:rFonts w:cs="Arial"/>
                <w:color w:val="FF0000"/>
                <w:sz w:val="21"/>
                <w:szCs w:val="21"/>
              </w:rPr>
            </w:pPr>
          </w:p>
        </w:tc>
        <w:tc>
          <w:tcPr>
            <w:tcW w:w="217" w:type="dxa"/>
          </w:tcPr>
          <w:p w14:paraId="3300E24C" w14:textId="77777777" w:rsidR="002C0FD9" w:rsidRPr="00CA25CF" w:rsidRDefault="002C0FD9" w:rsidP="00CA25CF">
            <w:pPr>
              <w:rPr>
                <w:rFonts w:cs="Arial"/>
                <w:color w:val="FF0000"/>
                <w:sz w:val="21"/>
                <w:szCs w:val="21"/>
              </w:rPr>
            </w:pPr>
          </w:p>
        </w:tc>
        <w:tc>
          <w:tcPr>
            <w:tcW w:w="217" w:type="dxa"/>
          </w:tcPr>
          <w:p w14:paraId="43F64DDC" w14:textId="77777777" w:rsidR="002C0FD9" w:rsidRPr="00CA25CF" w:rsidRDefault="002C0FD9" w:rsidP="00CA25CF">
            <w:pPr>
              <w:rPr>
                <w:rFonts w:cs="Arial"/>
                <w:color w:val="FF0000"/>
                <w:sz w:val="21"/>
                <w:szCs w:val="21"/>
              </w:rPr>
            </w:pPr>
          </w:p>
        </w:tc>
        <w:tc>
          <w:tcPr>
            <w:tcW w:w="217" w:type="dxa"/>
          </w:tcPr>
          <w:p w14:paraId="5B15B900" w14:textId="77777777" w:rsidR="002C0FD9" w:rsidRPr="00CA25CF" w:rsidRDefault="002C0FD9" w:rsidP="00CA25CF">
            <w:pPr>
              <w:rPr>
                <w:rFonts w:cs="Arial"/>
                <w:color w:val="FF0000"/>
                <w:sz w:val="21"/>
                <w:szCs w:val="21"/>
              </w:rPr>
            </w:pPr>
          </w:p>
        </w:tc>
        <w:tc>
          <w:tcPr>
            <w:tcW w:w="217" w:type="dxa"/>
          </w:tcPr>
          <w:p w14:paraId="6B672B29" w14:textId="77777777" w:rsidR="002C0FD9" w:rsidRPr="00CA25CF" w:rsidRDefault="002C0FD9" w:rsidP="00CA25CF">
            <w:pPr>
              <w:rPr>
                <w:rFonts w:cs="Arial"/>
                <w:color w:val="FF0000"/>
                <w:sz w:val="21"/>
                <w:szCs w:val="21"/>
              </w:rPr>
            </w:pPr>
          </w:p>
        </w:tc>
        <w:tc>
          <w:tcPr>
            <w:tcW w:w="217" w:type="dxa"/>
          </w:tcPr>
          <w:p w14:paraId="6FEFAEE4" w14:textId="77777777" w:rsidR="002C0FD9" w:rsidRPr="00CA25CF" w:rsidRDefault="002C0FD9" w:rsidP="00CA25CF">
            <w:pPr>
              <w:rPr>
                <w:rFonts w:cs="Arial"/>
                <w:color w:val="FF0000"/>
                <w:sz w:val="21"/>
                <w:szCs w:val="21"/>
              </w:rPr>
            </w:pPr>
          </w:p>
        </w:tc>
        <w:tc>
          <w:tcPr>
            <w:tcW w:w="217" w:type="dxa"/>
          </w:tcPr>
          <w:p w14:paraId="5915495A" w14:textId="77777777" w:rsidR="002C0FD9" w:rsidRPr="00CA25CF" w:rsidRDefault="002C0FD9" w:rsidP="00CA25CF">
            <w:pPr>
              <w:rPr>
                <w:rFonts w:cs="Arial"/>
                <w:color w:val="FF0000"/>
                <w:sz w:val="21"/>
                <w:szCs w:val="21"/>
              </w:rPr>
            </w:pPr>
          </w:p>
        </w:tc>
        <w:tc>
          <w:tcPr>
            <w:tcW w:w="217" w:type="dxa"/>
          </w:tcPr>
          <w:p w14:paraId="20ABEA86" w14:textId="77777777" w:rsidR="002C0FD9" w:rsidRPr="00CA25CF" w:rsidRDefault="002C0FD9" w:rsidP="00CA25CF">
            <w:pPr>
              <w:rPr>
                <w:rFonts w:cs="Arial"/>
                <w:color w:val="FF0000"/>
                <w:sz w:val="21"/>
                <w:szCs w:val="21"/>
              </w:rPr>
            </w:pPr>
          </w:p>
        </w:tc>
        <w:tc>
          <w:tcPr>
            <w:tcW w:w="217" w:type="dxa"/>
          </w:tcPr>
          <w:p w14:paraId="7E50CE93" w14:textId="77777777" w:rsidR="002C0FD9" w:rsidRPr="00CA25CF" w:rsidRDefault="002C0FD9" w:rsidP="00CA25CF">
            <w:pPr>
              <w:rPr>
                <w:rFonts w:cs="Arial"/>
                <w:color w:val="FF0000"/>
                <w:sz w:val="21"/>
                <w:szCs w:val="21"/>
              </w:rPr>
            </w:pPr>
          </w:p>
        </w:tc>
        <w:tc>
          <w:tcPr>
            <w:tcW w:w="217" w:type="dxa"/>
          </w:tcPr>
          <w:p w14:paraId="7D11CA92" w14:textId="77777777" w:rsidR="002C0FD9" w:rsidRPr="00CA25CF" w:rsidRDefault="002C0FD9" w:rsidP="00CA25CF">
            <w:pPr>
              <w:rPr>
                <w:rFonts w:cs="Arial"/>
                <w:color w:val="FF0000"/>
                <w:sz w:val="21"/>
                <w:szCs w:val="21"/>
              </w:rPr>
            </w:pPr>
          </w:p>
        </w:tc>
        <w:tc>
          <w:tcPr>
            <w:tcW w:w="217" w:type="dxa"/>
          </w:tcPr>
          <w:p w14:paraId="2E9535E8" w14:textId="77777777" w:rsidR="002C0FD9" w:rsidRPr="00CA25CF" w:rsidRDefault="002C0FD9" w:rsidP="00CA25CF">
            <w:pPr>
              <w:rPr>
                <w:rFonts w:cs="Arial"/>
                <w:color w:val="FF0000"/>
                <w:sz w:val="21"/>
                <w:szCs w:val="21"/>
              </w:rPr>
            </w:pPr>
          </w:p>
        </w:tc>
        <w:tc>
          <w:tcPr>
            <w:tcW w:w="217" w:type="dxa"/>
          </w:tcPr>
          <w:p w14:paraId="2D41CA4B" w14:textId="77777777" w:rsidR="002C0FD9" w:rsidRPr="00CA25CF" w:rsidRDefault="002C0FD9" w:rsidP="00CA25CF">
            <w:pPr>
              <w:rPr>
                <w:rFonts w:cs="Arial"/>
                <w:color w:val="FF0000"/>
                <w:sz w:val="21"/>
                <w:szCs w:val="21"/>
              </w:rPr>
            </w:pPr>
          </w:p>
        </w:tc>
        <w:tc>
          <w:tcPr>
            <w:tcW w:w="217" w:type="dxa"/>
          </w:tcPr>
          <w:p w14:paraId="4FFA5DE3" w14:textId="77777777" w:rsidR="002C0FD9" w:rsidRPr="00CA25CF" w:rsidRDefault="002C0FD9" w:rsidP="00CA25CF">
            <w:pPr>
              <w:rPr>
                <w:rFonts w:cs="Arial"/>
                <w:color w:val="FF0000"/>
                <w:sz w:val="21"/>
                <w:szCs w:val="21"/>
              </w:rPr>
            </w:pPr>
          </w:p>
        </w:tc>
        <w:tc>
          <w:tcPr>
            <w:tcW w:w="217" w:type="dxa"/>
          </w:tcPr>
          <w:p w14:paraId="52F0A19C" w14:textId="77777777" w:rsidR="002C0FD9" w:rsidRPr="00CA25CF" w:rsidRDefault="002C0FD9" w:rsidP="00CA25CF">
            <w:pPr>
              <w:rPr>
                <w:rFonts w:cs="Arial"/>
                <w:color w:val="FF0000"/>
                <w:sz w:val="21"/>
                <w:szCs w:val="21"/>
              </w:rPr>
            </w:pPr>
          </w:p>
        </w:tc>
        <w:tc>
          <w:tcPr>
            <w:tcW w:w="217" w:type="dxa"/>
          </w:tcPr>
          <w:p w14:paraId="7474B6D5" w14:textId="77777777" w:rsidR="002C0FD9" w:rsidRPr="00CA25CF" w:rsidRDefault="002C0FD9" w:rsidP="00CA25CF">
            <w:pPr>
              <w:rPr>
                <w:rFonts w:cs="Arial"/>
                <w:color w:val="FF0000"/>
                <w:sz w:val="21"/>
                <w:szCs w:val="21"/>
              </w:rPr>
            </w:pPr>
          </w:p>
        </w:tc>
        <w:tc>
          <w:tcPr>
            <w:tcW w:w="217" w:type="dxa"/>
          </w:tcPr>
          <w:p w14:paraId="3C970F6D" w14:textId="77777777" w:rsidR="002C0FD9" w:rsidRPr="00CA25CF" w:rsidRDefault="002C0FD9" w:rsidP="00CA25CF">
            <w:pPr>
              <w:rPr>
                <w:rFonts w:cs="Arial"/>
                <w:color w:val="FF0000"/>
                <w:sz w:val="21"/>
                <w:szCs w:val="21"/>
              </w:rPr>
            </w:pPr>
          </w:p>
        </w:tc>
        <w:tc>
          <w:tcPr>
            <w:tcW w:w="217" w:type="dxa"/>
          </w:tcPr>
          <w:p w14:paraId="0A37A0CB" w14:textId="77777777" w:rsidR="002C0FD9" w:rsidRPr="00CA25CF" w:rsidRDefault="002C0FD9" w:rsidP="00CA25CF">
            <w:pPr>
              <w:rPr>
                <w:rFonts w:cs="Arial"/>
                <w:color w:val="FF0000"/>
                <w:sz w:val="21"/>
                <w:szCs w:val="21"/>
              </w:rPr>
            </w:pPr>
          </w:p>
        </w:tc>
        <w:tc>
          <w:tcPr>
            <w:tcW w:w="217" w:type="dxa"/>
          </w:tcPr>
          <w:p w14:paraId="13203735" w14:textId="77777777" w:rsidR="002C0FD9" w:rsidRPr="00CA25CF" w:rsidRDefault="002C0FD9" w:rsidP="00CA25CF">
            <w:pPr>
              <w:rPr>
                <w:rFonts w:cs="Arial"/>
                <w:color w:val="FF0000"/>
                <w:sz w:val="21"/>
                <w:szCs w:val="21"/>
              </w:rPr>
            </w:pPr>
          </w:p>
        </w:tc>
      </w:tr>
      <w:tr w:rsidR="002C0FD9" w:rsidRPr="00A16219" w14:paraId="688D65FC" w14:textId="4E487A04" w:rsidTr="002C0FD9">
        <w:trPr>
          <w:trHeight w:val="635"/>
        </w:trPr>
        <w:tc>
          <w:tcPr>
            <w:tcW w:w="515" w:type="dxa"/>
          </w:tcPr>
          <w:p w14:paraId="0921D0FD" w14:textId="77777777" w:rsidR="002C0FD9" w:rsidRPr="00CA25CF" w:rsidRDefault="002C0FD9" w:rsidP="00CA25CF">
            <w:pPr>
              <w:rPr>
                <w:rFonts w:cs="Arial"/>
                <w:color w:val="FF0000"/>
                <w:sz w:val="21"/>
                <w:szCs w:val="21"/>
              </w:rPr>
            </w:pPr>
          </w:p>
        </w:tc>
        <w:tc>
          <w:tcPr>
            <w:tcW w:w="217" w:type="dxa"/>
          </w:tcPr>
          <w:p w14:paraId="4B184DAC" w14:textId="77777777" w:rsidR="002C0FD9" w:rsidRPr="00CA25CF" w:rsidRDefault="002C0FD9" w:rsidP="00CA25CF">
            <w:pPr>
              <w:rPr>
                <w:rFonts w:cs="Arial"/>
                <w:color w:val="FF0000"/>
                <w:sz w:val="21"/>
                <w:szCs w:val="21"/>
              </w:rPr>
            </w:pPr>
          </w:p>
        </w:tc>
        <w:tc>
          <w:tcPr>
            <w:tcW w:w="217" w:type="dxa"/>
          </w:tcPr>
          <w:p w14:paraId="715B2CEF" w14:textId="207F34C6" w:rsidR="002C0FD9" w:rsidRPr="00CA25CF" w:rsidRDefault="002C0FD9" w:rsidP="00CA25CF">
            <w:pPr>
              <w:rPr>
                <w:rFonts w:cs="Arial"/>
                <w:color w:val="FF0000"/>
                <w:sz w:val="21"/>
                <w:szCs w:val="21"/>
              </w:rPr>
            </w:pPr>
          </w:p>
        </w:tc>
        <w:tc>
          <w:tcPr>
            <w:tcW w:w="217" w:type="dxa"/>
          </w:tcPr>
          <w:p w14:paraId="51D7C169" w14:textId="77777777" w:rsidR="002C0FD9" w:rsidRPr="00CA25CF" w:rsidRDefault="002C0FD9" w:rsidP="00CA25CF">
            <w:pPr>
              <w:rPr>
                <w:rFonts w:cs="Arial"/>
                <w:color w:val="FF0000"/>
                <w:sz w:val="21"/>
                <w:szCs w:val="21"/>
              </w:rPr>
            </w:pPr>
          </w:p>
        </w:tc>
        <w:tc>
          <w:tcPr>
            <w:tcW w:w="217" w:type="dxa"/>
          </w:tcPr>
          <w:p w14:paraId="5D23CB42" w14:textId="77777777" w:rsidR="002C0FD9" w:rsidRPr="00CA25CF" w:rsidRDefault="002C0FD9" w:rsidP="00CA25CF">
            <w:pPr>
              <w:rPr>
                <w:rFonts w:cs="Arial"/>
                <w:color w:val="FF0000"/>
                <w:sz w:val="21"/>
                <w:szCs w:val="21"/>
              </w:rPr>
            </w:pPr>
          </w:p>
        </w:tc>
        <w:tc>
          <w:tcPr>
            <w:tcW w:w="217" w:type="dxa"/>
          </w:tcPr>
          <w:p w14:paraId="41399551" w14:textId="77777777" w:rsidR="002C0FD9" w:rsidRPr="00CA25CF" w:rsidRDefault="002C0FD9" w:rsidP="00CA25CF">
            <w:pPr>
              <w:rPr>
                <w:rFonts w:cs="Arial"/>
                <w:color w:val="FF0000"/>
                <w:sz w:val="21"/>
                <w:szCs w:val="21"/>
              </w:rPr>
            </w:pPr>
          </w:p>
        </w:tc>
        <w:tc>
          <w:tcPr>
            <w:tcW w:w="217" w:type="dxa"/>
          </w:tcPr>
          <w:p w14:paraId="5922254F" w14:textId="77777777" w:rsidR="002C0FD9" w:rsidRPr="00CA25CF" w:rsidRDefault="002C0FD9" w:rsidP="00CA25CF">
            <w:pPr>
              <w:rPr>
                <w:rFonts w:cs="Arial"/>
                <w:color w:val="FF0000"/>
                <w:sz w:val="21"/>
                <w:szCs w:val="21"/>
              </w:rPr>
            </w:pPr>
          </w:p>
        </w:tc>
        <w:tc>
          <w:tcPr>
            <w:tcW w:w="217" w:type="dxa"/>
          </w:tcPr>
          <w:p w14:paraId="0DFE1C39" w14:textId="77777777" w:rsidR="002C0FD9" w:rsidRPr="00CA25CF" w:rsidRDefault="002C0FD9" w:rsidP="00CA25CF">
            <w:pPr>
              <w:rPr>
                <w:rFonts w:cs="Arial"/>
                <w:color w:val="FF0000"/>
                <w:sz w:val="21"/>
                <w:szCs w:val="21"/>
              </w:rPr>
            </w:pPr>
          </w:p>
        </w:tc>
        <w:tc>
          <w:tcPr>
            <w:tcW w:w="217" w:type="dxa"/>
          </w:tcPr>
          <w:p w14:paraId="6CEFDA17" w14:textId="77777777" w:rsidR="002C0FD9" w:rsidRPr="00CA25CF" w:rsidRDefault="002C0FD9" w:rsidP="00CA25CF">
            <w:pPr>
              <w:rPr>
                <w:rFonts w:cs="Arial"/>
                <w:color w:val="FF0000"/>
                <w:sz w:val="21"/>
                <w:szCs w:val="21"/>
              </w:rPr>
            </w:pPr>
          </w:p>
        </w:tc>
        <w:tc>
          <w:tcPr>
            <w:tcW w:w="217" w:type="dxa"/>
          </w:tcPr>
          <w:p w14:paraId="488E9892" w14:textId="77777777" w:rsidR="002C0FD9" w:rsidRPr="00CA25CF" w:rsidRDefault="002C0FD9" w:rsidP="00CA25CF">
            <w:pPr>
              <w:rPr>
                <w:rFonts w:cs="Arial"/>
                <w:color w:val="FF0000"/>
                <w:sz w:val="21"/>
                <w:szCs w:val="21"/>
              </w:rPr>
            </w:pPr>
          </w:p>
        </w:tc>
        <w:tc>
          <w:tcPr>
            <w:tcW w:w="217" w:type="dxa"/>
          </w:tcPr>
          <w:p w14:paraId="217FE864" w14:textId="77777777" w:rsidR="002C0FD9" w:rsidRPr="00CA25CF" w:rsidRDefault="002C0FD9" w:rsidP="00CA25CF">
            <w:pPr>
              <w:rPr>
                <w:rFonts w:cs="Arial"/>
                <w:color w:val="FF0000"/>
                <w:sz w:val="21"/>
                <w:szCs w:val="21"/>
              </w:rPr>
            </w:pPr>
          </w:p>
        </w:tc>
        <w:tc>
          <w:tcPr>
            <w:tcW w:w="217" w:type="dxa"/>
          </w:tcPr>
          <w:p w14:paraId="43030584" w14:textId="77777777" w:rsidR="002C0FD9" w:rsidRPr="00CA25CF" w:rsidRDefault="002C0FD9" w:rsidP="00CA25CF">
            <w:pPr>
              <w:rPr>
                <w:rFonts w:cs="Arial"/>
                <w:color w:val="FF0000"/>
                <w:sz w:val="21"/>
                <w:szCs w:val="21"/>
              </w:rPr>
            </w:pPr>
          </w:p>
        </w:tc>
        <w:tc>
          <w:tcPr>
            <w:tcW w:w="217" w:type="dxa"/>
          </w:tcPr>
          <w:p w14:paraId="65F773D7" w14:textId="77777777" w:rsidR="002C0FD9" w:rsidRPr="00CA25CF" w:rsidRDefault="002C0FD9" w:rsidP="00CA25CF">
            <w:pPr>
              <w:rPr>
                <w:rFonts w:cs="Arial"/>
                <w:color w:val="FF0000"/>
                <w:sz w:val="21"/>
                <w:szCs w:val="21"/>
              </w:rPr>
            </w:pPr>
          </w:p>
        </w:tc>
        <w:tc>
          <w:tcPr>
            <w:tcW w:w="217" w:type="dxa"/>
          </w:tcPr>
          <w:p w14:paraId="6123E59B" w14:textId="77777777" w:rsidR="002C0FD9" w:rsidRPr="00CA25CF" w:rsidRDefault="002C0FD9" w:rsidP="00CA25CF">
            <w:pPr>
              <w:rPr>
                <w:rFonts w:cs="Arial"/>
                <w:color w:val="FF0000"/>
                <w:sz w:val="21"/>
                <w:szCs w:val="21"/>
              </w:rPr>
            </w:pPr>
          </w:p>
        </w:tc>
        <w:tc>
          <w:tcPr>
            <w:tcW w:w="217" w:type="dxa"/>
          </w:tcPr>
          <w:p w14:paraId="392C57BB" w14:textId="77777777" w:rsidR="002C0FD9" w:rsidRPr="00CA25CF" w:rsidRDefault="002C0FD9" w:rsidP="00CA25CF">
            <w:pPr>
              <w:rPr>
                <w:rFonts w:cs="Arial"/>
                <w:color w:val="FF0000"/>
                <w:sz w:val="21"/>
                <w:szCs w:val="21"/>
              </w:rPr>
            </w:pPr>
          </w:p>
        </w:tc>
        <w:tc>
          <w:tcPr>
            <w:tcW w:w="217" w:type="dxa"/>
          </w:tcPr>
          <w:p w14:paraId="1B06B37C" w14:textId="7D136AA9" w:rsidR="002C0FD9" w:rsidRPr="00CA25CF" w:rsidRDefault="002C0FD9" w:rsidP="00CA25CF">
            <w:pPr>
              <w:rPr>
                <w:rFonts w:cs="Arial"/>
                <w:color w:val="FF0000"/>
                <w:sz w:val="21"/>
                <w:szCs w:val="21"/>
              </w:rPr>
            </w:pPr>
          </w:p>
        </w:tc>
        <w:tc>
          <w:tcPr>
            <w:tcW w:w="217" w:type="dxa"/>
          </w:tcPr>
          <w:p w14:paraId="6B204E52" w14:textId="77777777" w:rsidR="002C0FD9" w:rsidRPr="00CA25CF" w:rsidRDefault="002C0FD9" w:rsidP="00CA25CF">
            <w:pPr>
              <w:rPr>
                <w:rFonts w:cs="Arial"/>
                <w:color w:val="FF0000"/>
                <w:sz w:val="21"/>
                <w:szCs w:val="21"/>
              </w:rPr>
            </w:pPr>
          </w:p>
        </w:tc>
        <w:tc>
          <w:tcPr>
            <w:tcW w:w="217" w:type="dxa"/>
          </w:tcPr>
          <w:p w14:paraId="51699B6C" w14:textId="77777777" w:rsidR="002C0FD9" w:rsidRPr="00CA25CF" w:rsidRDefault="002C0FD9" w:rsidP="00CA25CF">
            <w:pPr>
              <w:rPr>
                <w:rFonts w:cs="Arial"/>
                <w:color w:val="FF0000"/>
                <w:sz w:val="21"/>
                <w:szCs w:val="21"/>
              </w:rPr>
            </w:pPr>
          </w:p>
        </w:tc>
        <w:tc>
          <w:tcPr>
            <w:tcW w:w="217" w:type="dxa"/>
          </w:tcPr>
          <w:p w14:paraId="5B7C4CD5" w14:textId="77777777" w:rsidR="002C0FD9" w:rsidRPr="00CA25CF" w:rsidRDefault="002C0FD9" w:rsidP="00CA25CF">
            <w:pPr>
              <w:rPr>
                <w:rFonts w:cs="Arial"/>
                <w:color w:val="FF0000"/>
                <w:sz w:val="21"/>
                <w:szCs w:val="21"/>
              </w:rPr>
            </w:pPr>
          </w:p>
        </w:tc>
        <w:tc>
          <w:tcPr>
            <w:tcW w:w="217" w:type="dxa"/>
          </w:tcPr>
          <w:p w14:paraId="4A9C75F9" w14:textId="77777777" w:rsidR="002C0FD9" w:rsidRPr="00CA25CF" w:rsidRDefault="002C0FD9" w:rsidP="00CA25CF">
            <w:pPr>
              <w:rPr>
                <w:rFonts w:cs="Arial"/>
                <w:color w:val="FF0000"/>
                <w:sz w:val="21"/>
                <w:szCs w:val="21"/>
              </w:rPr>
            </w:pPr>
          </w:p>
        </w:tc>
        <w:tc>
          <w:tcPr>
            <w:tcW w:w="217" w:type="dxa"/>
          </w:tcPr>
          <w:p w14:paraId="6F66AF31" w14:textId="77777777" w:rsidR="002C0FD9" w:rsidRPr="00CA25CF" w:rsidRDefault="002C0FD9" w:rsidP="00CA25CF">
            <w:pPr>
              <w:rPr>
                <w:rFonts w:cs="Arial"/>
                <w:color w:val="FF0000"/>
                <w:sz w:val="21"/>
                <w:szCs w:val="21"/>
              </w:rPr>
            </w:pPr>
          </w:p>
        </w:tc>
        <w:tc>
          <w:tcPr>
            <w:tcW w:w="217" w:type="dxa"/>
          </w:tcPr>
          <w:p w14:paraId="515BCD8E" w14:textId="77777777" w:rsidR="002C0FD9" w:rsidRPr="00CA25CF" w:rsidRDefault="002C0FD9" w:rsidP="00CA25CF">
            <w:pPr>
              <w:rPr>
                <w:rFonts w:cs="Arial"/>
                <w:color w:val="FF0000"/>
                <w:sz w:val="21"/>
                <w:szCs w:val="21"/>
              </w:rPr>
            </w:pPr>
          </w:p>
        </w:tc>
        <w:tc>
          <w:tcPr>
            <w:tcW w:w="217" w:type="dxa"/>
          </w:tcPr>
          <w:p w14:paraId="4D7DD6C0" w14:textId="77777777" w:rsidR="002C0FD9" w:rsidRPr="00CA25CF" w:rsidRDefault="002C0FD9" w:rsidP="00CA25CF">
            <w:pPr>
              <w:rPr>
                <w:rFonts w:cs="Arial"/>
                <w:color w:val="FF0000"/>
                <w:sz w:val="21"/>
                <w:szCs w:val="21"/>
              </w:rPr>
            </w:pPr>
          </w:p>
        </w:tc>
        <w:tc>
          <w:tcPr>
            <w:tcW w:w="217" w:type="dxa"/>
          </w:tcPr>
          <w:p w14:paraId="6FA461C8" w14:textId="77777777" w:rsidR="002C0FD9" w:rsidRPr="00CA25CF" w:rsidRDefault="002C0FD9" w:rsidP="00CA25CF">
            <w:pPr>
              <w:rPr>
                <w:rFonts w:cs="Arial"/>
                <w:color w:val="FF0000"/>
                <w:sz w:val="21"/>
                <w:szCs w:val="21"/>
              </w:rPr>
            </w:pPr>
          </w:p>
        </w:tc>
        <w:tc>
          <w:tcPr>
            <w:tcW w:w="217" w:type="dxa"/>
          </w:tcPr>
          <w:p w14:paraId="1048344A" w14:textId="77777777" w:rsidR="002C0FD9" w:rsidRPr="00CA25CF" w:rsidRDefault="002C0FD9" w:rsidP="00CA25CF">
            <w:pPr>
              <w:rPr>
                <w:rFonts w:cs="Arial"/>
                <w:color w:val="FF0000"/>
                <w:sz w:val="21"/>
                <w:szCs w:val="21"/>
              </w:rPr>
            </w:pPr>
          </w:p>
        </w:tc>
        <w:tc>
          <w:tcPr>
            <w:tcW w:w="217" w:type="dxa"/>
          </w:tcPr>
          <w:p w14:paraId="3D0AAD4F" w14:textId="77777777" w:rsidR="002C0FD9" w:rsidRPr="00CA25CF" w:rsidRDefault="002C0FD9" w:rsidP="00CA25CF">
            <w:pPr>
              <w:rPr>
                <w:rFonts w:cs="Arial"/>
                <w:color w:val="FF0000"/>
                <w:sz w:val="21"/>
                <w:szCs w:val="21"/>
              </w:rPr>
            </w:pPr>
          </w:p>
        </w:tc>
        <w:tc>
          <w:tcPr>
            <w:tcW w:w="217" w:type="dxa"/>
          </w:tcPr>
          <w:p w14:paraId="5DA792E7" w14:textId="77777777" w:rsidR="002C0FD9" w:rsidRPr="00CA25CF" w:rsidRDefault="002C0FD9" w:rsidP="00CA25CF">
            <w:pPr>
              <w:rPr>
                <w:rFonts w:cs="Arial"/>
                <w:color w:val="FF0000"/>
                <w:sz w:val="21"/>
                <w:szCs w:val="21"/>
              </w:rPr>
            </w:pPr>
          </w:p>
        </w:tc>
        <w:tc>
          <w:tcPr>
            <w:tcW w:w="217" w:type="dxa"/>
          </w:tcPr>
          <w:p w14:paraId="00BB94A5" w14:textId="77777777" w:rsidR="002C0FD9" w:rsidRPr="00CA25CF" w:rsidRDefault="002C0FD9" w:rsidP="00CA25CF">
            <w:pPr>
              <w:rPr>
                <w:rFonts w:cs="Arial"/>
                <w:color w:val="FF0000"/>
                <w:sz w:val="21"/>
                <w:szCs w:val="21"/>
              </w:rPr>
            </w:pPr>
          </w:p>
        </w:tc>
        <w:tc>
          <w:tcPr>
            <w:tcW w:w="217" w:type="dxa"/>
          </w:tcPr>
          <w:p w14:paraId="3742208F" w14:textId="77777777" w:rsidR="002C0FD9" w:rsidRPr="00CA25CF" w:rsidRDefault="002C0FD9" w:rsidP="00CA25CF">
            <w:pPr>
              <w:rPr>
                <w:rFonts w:cs="Arial"/>
                <w:color w:val="FF0000"/>
                <w:sz w:val="21"/>
                <w:szCs w:val="21"/>
              </w:rPr>
            </w:pPr>
          </w:p>
        </w:tc>
        <w:tc>
          <w:tcPr>
            <w:tcW w:w="217" w:type="dxa"/>
          </w:tcPr>
          <w:p w14:paraId="7EE7E4A4" w14:textId="77777777" w:rsidR="002C0FD9" w:rsidRPr="00CA25CF" w:rsidRDefault="002C0FD9" w:rsidP="00CA25CF">
            <w:pPr>
              <w:rPr>
                <w:rFonts w:cs="Arial"/>
                <w:color w:val="FF0000"/>
                <w:sz w:val="21"/>
                <w:szCs w:val="21"/>
              </w:rPr>
            </w:pPr>
          </w:p>
        </w:tc>
        <w:tc>
          <w:tcPr>
            <w:tcW w:w="217" w:type="dxa"/>
          </w:tcPr>
          <w:p w14:paraId="213B52F4" w14:textId="77777777" w:rsidR="002C0FD9" w:rsidRPr="00CA25CF" w:rsidRDefault="002C0FD9" w:rsidP="00CA25CF">
            <w:pPr>
              <w:rPr>
                <w:rFonts w:cs="Arial"/>
                <w:color w:val="FF0000"/>
                <w:sz w:val="21"/>
                <w:szCs w:val="21"/>
              </w:rPr>
            </w:pPr>
          </w:p>
        </w:tc>
        <w:tc>
          <w:tcPr>
            <w:tcW w:w="217" w:type="dxa"/>
          </w:tcPr>
          <w:p w14:paraId="7BEA195A" w14:textId="77777777" w:rsidR="002C0FD9" w:rsidRPr="00CA25CF" w:rsidRDefault="002C0FD9" w:rsidP="00CA25CF">
            <w:pPr>
              <w:rPr>
                <w:rFonts w:cs="Arial"/>
                <w:color w:val="FF0000"/>
                <w:sz w:val="21"/>
                <w:szCs w:val="21"/>
              </w:rPr>
            </w:pPr>
          </w:p>
        </w:tc>
        <w:tc>
          <w:tcPr>
            <w:tcW w:w="217" w:type="dxa"/>
          </w:tcPr>
          <w:p w14:paraId="5EDB932B" w14:textId="77777777" w:rsidR="002C0FD9" w:rsidRPr="00CA25CF" w:rsidRDefault="002C0FD9" w:rsidP="00CA25CF">
            <w:pPr>
              <w:rPr>
                <w:rFonts w:cs="Arial"/>
                <w:color w:val="FF0000"/>
                <w:sz w:val="21"/>
                <w:szCs w:val="21"/>
              </w:rPr>
            </w:pPr>
          </w:p>
        </w:tc>
        <w:tc>
          <w:tcPr>
            <w:tcW w:w="217" w:type="dxa"/>
          </w:tcPr>
          <w:p w14:paraId="28A9D408" w14:textId="77777777" w:rsidR="002C0FD9" w:rsidRPr="00CA25CF" w:rsidRDefault="002C0FD9" w:rsidP="00CA25CF">
            <w:pPr>
              <w:rPr>
                <w:rFonts w:cs="Arial"/>
                <w:color w:val="FF0000"/>
                <w:sz w:val="21"/>
                <w:szCs w:val="21"/>
              </w:rPr>
            </w:pPr>
          </w:p>
        </w:tc>
        <w:tc>
          <w:tcPr>
            <w:tcW w:w="217" w:type="dxa"/>
          </w:tcPr>
          <w:p w14:paraId="1637F09B" w14:textId="77777777" w:rsidR="002C0FD9" w:rsidRPr="00CA25CF" w:rsidRDefault="002C0FD9" w:rsidP="00CA25CF">
            <w:pPr>
              <w:rPr>
                <w:rFonts w:cs="Arial"/>
                <w:color w:val="FF0000"/>
                <w:sz w:val="21"/>
                <w:szCs w:val="21"/>
              </w:rPr>
            </w:pPr>
          </w:p>
        </w:tc>
        <w:tc>
          <w:tcPr>
            <w:tcW w:w="217" w:type="dxa"/>
          </w:tcPr>
          <w:p w14:paraId="7B161889" w14:textId="77777777" w:rsidR="002C0FD9" w:rsidRPr="00CA25CF" w:rsidRDefault="002C0FD9" w:rsidP="00CA25CF">
            <w:pPr>
              <w:rPr>
                <w:rFonts w:cs="Arial"/>
                <w:color w:val="FF0000"/>
                <w:sz w:val="21"/>
                <w:szCs w:val="21"/>
              </w:rPr>
            </w:pPr>
          </w:p>
        </w:tc>
        <w:tc>
          <w:tcPr>
            <w:tcW w:w="217" w:type="dxa"/>
          </w:tcPr>
          <w:p w14:paraId="19B842BF" w14:textId="77777777" w:rsidR="002C0FD9" w:rsidRPr="00CA25CF" w:rsidRDefault="002C0FD9" w:rsidP="00CA25CF">
            <w:pPr>
              <w:rPr>
                <w:rFonts w:cs="Arial"/>
                <w:color w:val="FF0000"/>
                <w:sz w:val="21"/>
                <w:szCs w:val="21"/>
              </w:rPr>
            </w:pPr>
          </w:p>
        </w:tc>
        <w:tc>
          <w:tcPr>
            <w:tcW w:w="217" w:type="dxa"/>
          </w:tcPr>
          <w:p w14:paraId="4CE56058" w14:textId="77777777" w:rsidR="002C0FD9" w:rsidRPr="00CA25CF" w:rsidRDefault="002C0FD9" w:rsidP="00CA25CF">
            <w:pPr>
              <w:rPr>
                <w:rFonts w:cs="Arial"/>
                <w:color w:val="FF0000"/>
                <w:sz w:val="21"/>
                <w:szCs w:val="21"/>
              </w:rPr>
            </w:pPr>
          </w:p>
        </w:tc>
        <w:tc>
          <w:tcPr>
            <w:tcW w:w="217" w:type="dxa"/>
          </w:tcPr>
          <w:p w14:paraId="16ADEA56" w14:textId="77777777" w:rsidR="002C0FD9" w:rsidRPr="00CA25CF" w:rsidRDefault="002C0FD9" w:rsidP="00CA25CF">
            <w:pPr>
              <w:rPr>
                <w:rFonts w:cs="Arial"/>
                <w:color w:val="FF0000"/>
                <w:sz w:val="21"/>
                <w:szCs w:val="21"/>
              </w:rPr>
            </w:pPr>
          </w:p>
        </w:tc>
        <w:tc>
          <w:tcPr>
            <w:tcW w:w="217" w:type="dxa"/>
          </w:tcPr>
          <w:p w14:paraId="29039AF8" w14:textId="77777777" w:rsidR="002C0FD9" w:rsidRPr="00CA25CF" w:rsidRDefault="002C0FD9" w:rsidP="00CA25CF">
            <w:pPr>
              <w:rPr>
                <w:rFonts w:cs="Arial"/>
                <w:color w:val="FF0000"/>
                <w:sz w:val="21"/>
                <w:szCs w:val="21"/>
              </w:rPr>
            </w:pPr>
          </w:p>
        </w:tc>
        <w:tc>
          <w:tcPr>
            <w:tcW w:w="217" w:type="dxa"/>
          </w:tcPr>
          <w:p w14:paraId="0A5CD8A4" w14:textId="77777777" w:rsidR="002C0FD9" w:rsidRPr="00CA25CF" w:rsidRDefault="002C0FD9" w:rsidP="00CA25CF">
            <w:pPr>
              <w:rPr>
                <w:rFonts w:cs="Arial"/>
                <w:color w:val="FF0000"/>
                <w:sz w:val="21"/>
                <w:szCs w:val="21"/>
              </w:rPr>
            </w:pPr>
          </w:p>
        </w:tc>
        <w:tc>
          <w:tcPr>
            <w:tcW w:w="217" w:type="dxa"/>
          </w:tcPr>
          <w:p w14:paraId="26EFB610" w14:textId="77777777" w:rsidR="002C0FD9" w:rsidRPr="00CA25CF" w:rsidRDefault="002C0FD9" w:rsidP="00CA25CF">
            <w:pPr>
              <w:rPr>
                <w:rFonts w:cs="Arial"/>
                <w:color w:val="FF0000"/>
                <w:sz w:val="21"/>
                <w:szCs w:val="21"/>
              </w:rPr>
            </w:pPr>
          </w:p>
        </w:tc>
        <w:tc>
          <w:tcPr>
            <w:tcW w:w="217" w:type="dxa"/>
          </w:tcPr>
          <w:p w14:paraId="55285D47" w14:textId="77777777" w:rsidR="002C0FD9" w:rsidRPr="00CA25CF" w:rsidRDefault="002C0FD9" w:rsidP="00CA25CF">
            <w:pPr>
              <w:rPr>
                <w:rFonts w:cs="Arial"/>
                <w:color w:val="FF0000"/>
                <w:sz w:val="21"/>
                <w:szCs w:val="21"/>
              </w:rPr>
            </w:pPr>
          </w:p>
        </w:tc>
      </w:tr>
      <w:tr w:rsidR="002C0FD9" w:rsidRPr="00A16219" w14:paraId="4796EF4E" w14:textId="7D48F6D8" w:rsidTr="002C0FD9">
        <w:trPr>
          <w:trHeight w:val="635"/>
        </w:trPr>
        <w:tc>
          <w:tcPr>
            <w:tcW w:w="515" w:type="dxa"/>
          </w:tcPr>
          <w:p w14:paraId="138E65FE" w14:textId="77777777" w:rsidR="002C0FD9" w:rsidRPr="00CA25CF" w:rsidRDefault="002C0FD9" w:rsidP="00CA25CF">
            <w:pPr>
              <w:rPr>
                <w:rFonts w:cs="Arial"/>
                <w:color w:val="FF0000"/>
                <w:sz w:val="21"/>
                <w:szCs w:val="21"/>
              </w:rPr>
            </w:pPr>
          </w:p>
        </w:tc>
        <w:tc>
          <w:tcPr>
            <w:tcW w:w="217" w:type="dxa"/>
          </w:tcPr>
          <w:p w14:paraId="1F557029" w14:textId="77777777" w:rsidR="002C0FD9" w:rsidRPr="00CA25CF" w:rsidRDefault="002C0FD9" w:rsidP="00CA25CF">
            <w:pPr>
              <w:rPr>
                <w:rFonts w:cs="Arial"/>
                <w:color w:val="FF0000"/>
                <w:sz w:val="21"/>
                <w:szCs w:val="21"/>
              </w:rPr>
            </w:pPr>
          </w:p>
        </w:tc>
        <w:tc>
          <w:tcPr>
            <w:tcW w:w="217" w:type="dxa"/>
          </w:tcPr>
          <w:p w14:paraId="58EB74E6" w14:textId="74DEB868" w:rsidR="002C0FD9" w:rsidRPr="00CA25CF" w:rsidRDefault="002C0FD9" w:rsidP="00CA25CF">
            <w:pPr>
              <w:rPr>
                <w:rFonts w:cs="Arial"/>
                <w:color w:val="FF0000"/>
                <w:sz w:val="21"/>
                <w:szCs w:val="21"/>
              </w:rPr>
            </w:pPr>
          </w:p>
        </w:tc>
        <w:tc>
          <w:tcPr>
            <w:tcW w:w="217" w:type="dxa"/>
          </w:tcPr>
          <w:p w14:paraId="5BF07B29" w14:textId="77777777" w:rsidR="002C0FD9" w:rsidRPr="00CA25CF" w:rsidRDefault="002C0FD9" w:rsidP="00CA25CF">
            <w:pPr>
              <w:rPr>
                <w:rFonts w:cs="Arial"/>
                <w:color w:val="FF0000"/>
                <w:sz w:val="21"/>
                <w:szCs w:val="21"/>
              </w:rPr>
            </w:pPr>
          </w:p>
        </w:tc>
        <w:tc>
          <w:tcPr>
            <w:tcW w:w="217" w:type="dxa"/>
          </w:tcPr>
          <w:p w14:paraId="33B1CB68" w14:textId="77777777" w:rsidR="002C0FD9" w:rsidRPr="00CA25CF" w:rsidRDefault="002C0FD9" w:rsidP="00CA25CF">
            <w:pPr>
              <w:rPr>
                <w:rFonts w:cs="Arial"/>
                <w:color w:val="FF0000"/>
                <w:sz w:val="21"/>
                <w:szCs w:val="21"/>
              </w:rPr>
            </w:pPr>
          </w:p>
        </w:tc>
        <w:tc>
          <w:tcPr>
            <w:tcW w:w="217" w:type="dxa"/>
          </w:tcPr>
          <w:p w14:paraId="46D523C1" w14:textId="77777777" w:rsidR="002C0FD9" w:rsidRPr="00CA25CF" w:rsidRDefault="002C0FD9" w:rsidP="00CA25CF">
            <w:pPr>
              <w:rPr>
                <w:rFonts w:cs="Arial"/>
                <w:color w:val="FF0000"/>
                <w:sz w:val="21"/>
                <w:szCs w:val="21"/>
              </w:rPr>
            </w:pPr>
          </w:p>
        </w:tc>
        <w:tc>
          <w:tcPr>
            <w:tcW w:w="217" w:type="dxa"/>
          </w:tcPr>
          <w:p w14:paraId="79C98E2F" w14:textId="77777777" w:rsidR="002C0FD9" w:rsidRPr="00CA25CF" w:rsidRDefault="002C0FD9" w:rsidP="00CA25CF">
            <w:pPr>
              <w:rPr>
                <w:rFonts w:cs="Arial"/>
                <w:color w:val="FF0000"/>
                <w:sz w:val="21"/>
                <w:szCs w:val="21"/>
              </w:rPr>
            </w:pPr>
          </w:p>
        </w:tc>
        <w:tc>
          <w:tcPr>
            <w:tcW w:w="217" w:type="dxa"/>
          </w:tcPr>
          <w:p w14:paraId="44609091" w14:textId="77777777" w:rsidR="002C0FD9" w:rsidRPr="00CA25CF" w:rsidRDefault="002C0FD9" w:rsidP="00CA25CF">
            <w:pPr>
              <w:rPr>
                <w:rFonts w:cs="Arial"/>
                <w:color w:val="FF0000"/>
                <w:sz w:val="21"/>
                <w:szCs w:val="21"/>
              </w:rPr>
            </w:pPr>
          </w:p>
        </w:tc>
        <w:tc>
          <w:tcPr>
            <w:tcW w:w="217" w:type="dxa"/>
          </w:tcPr>
          <w:p w14:paraId="50DE901A" w14:textId="77777777" w:rsidR="002C0FD9" w:rsidRPr="00CA25CF" w:rsidRDefault="002C0FD9" w:rsidP="00CA25CF">
            <w:pPr>
              <w:rPr>
                <w:rFonts w:cs="Arial"/>
                <w:color w:val="FF0000"/>
                <w:sz w:val="21"/>
                <w:szCs w:val="21"/>
              </w:rPr>
            </w:pPr>
          </w:p>
        </w:tc>
        <w:tc>
          <w:tcPr>
            <w:tcW w:w="217" w:type="dxa"/>
          </w:tcPr>
          <w:p w14:paraId="054B1BE1" w14:textId="77777777" w:rsidR="002C0FD9" w:rsidRPr="00CA25CF" w:rsidRDefault="002C0FD9" w:rsidP="00CA25CF">
            <w:pPr>
              <w:rPr>
                <w:rFonts w:cs="Arial"/>
                <w:color w:val="FF0000"/>
                <w:sz w:val="21"/>
                <w:szCs w:val="21"/>
              </w:rPr>
            </w:pPr>
          </w:p>
        </w:tc>
        <w:tc>
          <w:tcPr>
            <w:tcW w:w="217" w:type="dxa"/>
          </w:tcPr>
          <w:p w14:paraId="2D793678" w14:textId="77777777" w:rsidR="002C0FD9" w:rsidRPr="00CA25CF" w:rsidRDefault="002C0FD9" w:rsidP="00CA25CF">
            <w:pPr>
              <w:rPr>
                <w:rFonts w:cs="Arial"/>
                <w:color w:val="FF0000"/>
                <w:sz w:val="21"/>
                <w:szCs w:val="21"/>
              </w:rPr>
            </w:pPr>
          </w:p>
        </w:tc>
        <w:tc>
          <w:tcPr>
            <w:tcW w:w="217" w:type="dxa"/>
          </w:tcPr>
          <w:p w14:paraId="1E2B681F" w14:textId="77777777" w:rsidR="002C0FD9" w:rsidRPr="00CA25CF" w:rsidRDefault="002C0FD9" w:rsidP="00CA25CF">
            <w:pPr>
              <w:rPr>
                <w:rFonts w:cs="Arial"/>
                <w:color w:val="FF0000"/>
                <w:sz w:val="21"/>
                <w:szCs w:val="21"/>
              </w:rPr>
            </w:pPr>
          </w:p>
        </w:tc>
        <w:tc>
          <w:tcPr>
            <w:tcW w:w="217" w:type="dxa"/>
          </w:tcPr>
          <w:p w14:paraId="02462E87" w14:textId="77777777" w:rsidR="002C0FD9" w:rsidRPr="00CA25CF" w:rsidRDefault="002C0FD9" w:rsidP="00CA25CF">
            <w:pPr>
              <w:rPr>
                <w:rFonts w:cs="Arial"/>
                <w:color w:val="FF0000"/>
                <w:sz w:val="21"/>
                <w:szCs w:val="21"/>
              </w:rPr>
            </w:pPr>
          </w:p>
        </w:tc>
        <w:tc>
          <w:tcPr>
            <w:tcW w:w="217" w:type="dxa"/>
          </w:tcPr>
          <w:p w14:paraId="5973AC89" w14:textId="77777777" w:rsidR="002C0FD9" w:rsidRPr="00CA25CF" w:rsidRDefault="002C0FD9" w:rsidP="00CA25CF">
            <w:pPr>
              <w:rPr>
                <w:rFonts w:cs="Arial"/>
                <w:color w:val="FF0000"/>
                <w:sz w:val="21"/>
                <w:szCs w:val="21"/>
              </w:rPr>
            </w:pPr>
          </w:p>
        </w:tc>
        <w:tc>
          <w:tcPr>
            <w:tcW w:w="217" w:type="dxa"/>
          </w:tcPr>
          <w:p w14:paraId="45AEE627" w14:textId="77777777" w:rsidR="002C0FD9" w:rsidRPr="00CA25CF" w:rsidRDefault="002C0FD9" w:rsidP="00CA25CF">
            <w:pPr>
              <w:rPr>
                <w:rFonts w:cs="Arial"/>
                <w:color w:val="FF0000"/>
                <w:sz w:val="21"/>
                <w:szCs w:val="21"/>
              </w:rPr>
            </w:pPr>
          </w:p>
        </w:tc>
        <w:tc>
          <w:tcPr>
            <w:tcW w:w="217" w:type="dxa"/>
          </w:tcPr>
          <w:p w14:paraId="53A1F180" w14:textId="024FF7B5" w:rsidR="002C0FD9" w:rsidRPr="00CA25CF" w:rsidRDefault="002C0FD9" w:rsidP="00CA25CF">
            <w:pPr>
              <w:rPr>
                <w:rFonts w:cs="Arial"/>
                <w:color w:val="FF0000"/>
                <w:sz w:val="21"/>
                <w:szCs w:val="21"/>
              </w:rPr>
            </w:pPr>
          </w:p>
        </w:tc>
        <w:tc>
          <w:tcPr>
            <w:tcW w:w="217" w:type="dxa"/>
          </w:tcPr>
          <w:p w14:paraId="06BA8AB4" w14:textId="77777777" w:rsidR="002C0FD9" w:rsidRPr="00CA25CF" w:rsidRDefault="002C0FD9" w:rsidP="00CA25CF">
            <w:pPr>
              <w:rPr>
                <w:rFonts w:cs="Arial"/>
                <w:color w:val="FF0000"/>
                <w:sz w:val="21"/>
                <w:szCs w:val="21"/>
              </w:rPr>
            </w:pPr>
          </w:p>
        </w:tc>
        <w:tc>
          <w:tcPr>
            <w:tcW w:w="217" w:type="dxa"/>
          </w:tcPr>
          <w:p w14:paraId="3D67CEA4" w14:textId="77777777" w:rsidR="002C0FD9" w:rsidRPr="00CA25CF" w:rsidRDefault="002C0FD9" w:rsidP="00CA25CF">
            <w:pPr>
              <w:rPr>
                <w:rFonts w:cs="Arial"/>
                <w:color w:val="FF0000"/>
                <w:sz w:val="21"/>
                <w:szCs w:val="21"/>
              </w:rPr>
            </w:pPr>
          </w:p>
        </w:tc>
        <w:tc>
          <w:tcPr>
            <w:tcW w:w="217" w:type="dxa"/>
          </w:tcPr>
          <w:p w14:paraId="526F4CB5" w14:textId="77777777" w:rsidR="002C0FD9" w:rsidRPr="00CA25CF" w:rsidRDefault="002C0FD9" w:rsidP="00CA25CF">
            <w:pPr>
              <w:rPr>
                <w:rFonts w:cs="Arial"/>
                <w:color w:val="FF0000"/>
                <w:sz w:val="21"/>
                <w:szCs w:val="21"/>
              </w:rPr>
            </w:pPr>
          </w:p>
        </w:tc>
        <w:tc>
          <w:tcPr>
            <w:tcW w:w="217" w:type="dxa"/>
          </w:tcPr>
          <w:p w14:paraId="12DEA182" w14:textId="77777777" w:rsidR="002C0FD9" w:rsidRPr="00CA25CF" w:rsidRDefault="002C0FD9" w:rsidP="00CA25CF">
            <w:pPr>
              <w:rPr>
                <w:rFonts w:cs="Arial"/>
                <w:color w:val="FF0000"/>
                <w:sz w:val="21"/>
                <w:szCs w:val="21"/>
              </w:rPr>
            </w:pPr>
          </w:p>
        </w:tc>
        <w:tc>
          <w:tcPr>
            <w:tcW w:w="217" w:type="dxa"/>
          </w:tcPr>
          <w:p w14:paraId="01E6C555" w14:textId="77777777" w:rsidR="002C0FD9" w:rsidRPr="00CA25CF" w:rsidRDefault="002C0FD9" w:rsidP="00CA25CF">
            <w:pPr>
              <w:rPr>
                <w:rFonts w:cs="Arial"/>
                <w:color w:val="FF0000"/>
                <w:sz w:val="21"/>
                <w:szCs w:val="21"/>
              </w:rPr>
            </w:pPr>
          </w:p>
        </w:tc>
        <w:tc>
          <w:tcPr>
            <w:tcW w:w="217" w:type="dxa"/>
          </w:tcPr>
          <w:p w14:paraId="0D2CFDD6" w14:textId="77777777" w:rsidR="002C0FD9" w:rsidRPr="00CA25CF" w:rsidRDefault="002C0FD9" w:rsidP="00CA25CF">
            <w:pPr>
              <w:rPr>
                <w:rFonts w:cs="Arial"/>
                <w:color w:val="FF0000"/>
                <w:sz w:val="21"/>
                <w:szCs w:val="21"/>
              </w:rPr>
            </w:pPr>
          </w:p>
        </w:tc>
        <w:tc>
          <w:tcPr>
            <w:tcW w:w="217" w:type="dxa"/>
          </w:tcPr>
          <w:p w14:paraId="7332C044" w14:textId="77777777" w:rsidR="002C0FD9" w:rsidRPr="00CA25CF" w:rsidRDefault="002C0FD9" w:rsidP="00CA25CF">
            <w:pPr>
              <w:rPr>
                <w:rFonts w:cs="Arial"/>
                <w:color w:val="FF0000"/>
                <w:sz w:val="21"/>
                <w:szCs w:val="21"/>
              </w:rPr>
            </w:pPr>
          </w:p>
        </w:tc>
        <w:tc>
          <w:tcPr>
            <w:tcW w:w="217" w:type="dxa"/>
          </w:tcPr>
          <w:p w14:paraId="7D06DE05" w14:textId="77777777" w:rsidR="002C0FD9" w:rsidRPr="00CA25CF" w:rsidRDefault="002C0FD9" w:rsidP="00CA25CF">
            <w:pPr>
              <w:rPr>
                <w:rFonts w:cs="Arial"/>
                <w:color w:val="FF0000"/>
                <w:sz w:val="21"/>
                <w:szCs w:val="21"/>
              </w:rPr>
            </w:pPr>
          </w:p>
        </w:tc>
        <w:tc>
          <w:tcPr>
            <w:tcW w:w="217" w:type="dxa"/>
          </w:tcPr>
          <w:p w14:paraId="0B80669F" w14:textId="77777777" w:rsidR="002C0FD9" w:rsidRPr="00CA25CF" w:rsidRDefault="002C0FD9" w:rsidP="00CA25CF">
            <w:pPr>
              <w:rPr>
                <w:rFonts w:cs="Arial"/>
                <w:color w:val="FF0000"/>
                <w:sz w:val="21"/>
                <w:szCs w:val="21"/>
              </w:rPr>
            </w:pPr>
          </w:p>
        </w:tc>
        <w:tc>
          <w:tcPr>
            <w:tcW w:w="217" w:type="dxa"/>
          </w:tcPr>
          <w:p w14:paraId="57ED9E87" w14:textId="77777777" w:rsidR="002C0FD9" w:rsidRPr="00CA25CF" w:rsidRDefault="002C0FD9" w:rsidP="00CA25CF">
            <w:pPr>
              <w:rPr>
                <w:rFonts w:cs="Arial"/>
                <w:color w:val="FF0000"/>
                <w:sz w:val="21"/>
                <w:szCs w:val="21"/>
              </w:rPr>
            </w:pPr>
          </w:p>
        </w:tc>
        <w:tc>
          <w:tcPr>
            <w:tcW w:w="217" w:type="dxa"/>
          </w:tcPr>
          <w:p w14:paraId="51E786CB" w14:textId="77777777" w:rsidR="002C0FD9" w:rsidRPr="00CA25CF" w:rsidRDefault="002C0FD9" w:rsidP="00CA25CF">
            <w:pPr>
              <w:rPr>
                <w:rFonts w:cs="Arial"/>
                <w:color w:val="FF0000"/>
                <w:sz w:val="21"/>
                <w:szCs w:val="21"/>
              </w:rPr>
            </w:pPr>
          </w:p>
        </w:tc>
        <w:tc>
          <w:tcPr>
            <w:tcW w:w="217" w:type="dxa"/>
          </w:tcPr>
          <w:p w14:paraId="3A2B0D36" w14:textId="77777777" w:rsidR="002C0FD9" w:rsidRPr="00CA25CF" w:rsidRDefault="002C0FD9" w:rsidP="00CA25CF">
            <w:pPr>
              <w:rPr>
                <w:rFonts w:cs="Arial"/>
                <w:color w:val="FF0000"/>
                <w:sz w:val="21"/>
                <w:szCs w:val="21"/>
              </w:rPr>
            </w:pPr>
          </w:p>
        </w:tc>
        <w:tc>
          <w:tcPr>
            <w:tcW w:w="217" w:type="dxa"/>
          </w:tcPr>
          <w:p w14:paraId="20A6A6F0" w14:textId="77777777" w:rsidR="002C0FD9" w:rsidRPr="00CA25CF" w:rsidRDefault="002C0FD9" w:rsidP="00CA25CF">
            <w:pPr>
              <w:rPr>
                <w:rFonts w:cs="Arial"/>
                <w:color w:val="FF0000"/>
                <w:sz w:val="21"/>
                <w:szCs w:val="21"/>
              </w:rPr>
            </w:pPr>
          </w:p>
        </w:tc>
        <w:tc>
          <w:tcPr>
            <w:tcW w:w="217" w:type="dxa"/>
          </w:tcPr>
          <w:p w14:paraId="345F0241" w14:textId="77777777" w:rsidR="002C0FD9" w:rsidRPr="00CA25CF" w:rsidRDefault="002C0FD9" w:rsidP="00CA25CF">
            <w:pPr>
              <w:rPr>
                <w:rFonts w:cs="Arial"/>
                <w:color w:val="FF0000"/>
                <w:sz w:val="21"/>
                <w:szCs w:val="21"/>
              </w:rPr>
            </w:pPr>
          </w:p>
        </w:tc>
        <w:tc>
          <w:tcPr>
            <w:tcW w:w="217" w:type="dxa"/>
          </w:tcPr>
          <w:p w14:paraId="3BE652E0" w14:textId="77777777" w:rsidR="002C0FD9" w:rsidRPr="00CA25CF" w:rsidRDefault="002C0FD9" w:rsidP="00CA25CF">
            <w:pPr>
              <w:rPr>
                <w:rFonts w:cs="Arial"/>
                <w:color w:val="FF0000"/>
                <w:sz w:val="21"/>
                <w:szCs w:val="21"/>
              </w:rPr>
            </w:pPr>
          </w:p>
        </w:tc>
        <w:tc>
          <w:tcPr>
            <w:tcW w:w="217" w:type="dxa"/>
          </w:tcPr>
          <w:p w14:paraId="0E063E5C" w14:textId="77777777" w:rsidR="002C0FD9" w:rsidRPr="00CA25CF" w:rsidRDefault="002C0FD9" w:rsidP="00CA25CF">
            <w:pPr>
              <w:rPr>
                <w:rFonts w:cs="Arial"/>
                <w:color w:val="FF0000"/>
                <w:sz w:val="21"/>
                <w:szCs w:val="21"/>
              </w:rPr>
            </w:pPr>
          </w:p>
        </w:tc>
        <w:tc>
          <w:tcPr>
            <w:tcW w:w="217" w:type="dxa"/>
          </w:tcPr>
          <w:p w14:paraId="209300E0" w14:textId="77777777" w:rsidR="002C0FD9" w:rsidRPr="00CA25CF" w:rsidRDefault="002C0FD9" w:rsidP="00CA25CF">
            <w:pPr>
              <w:rPr>
                <w:rFonts w:cs="Arial"/>
                <w:color w:val="FF0000"/>
                <w:sz w:val="21"/>
                <w:szCs w:val="21"/>
              </w:rPr>
            </w:pPr>
          </w:p>
        </w:tc>
        <w:tc>
          <w:tcPr>
            <w:tcW w:w="217" w:type="dxa"/>
          </w:tcPr>
          <w:p w14:paraId="429566B8" w14:textId="77777777" w:rsidR="002C0FD9" w:rsidRPr="00CA25CF" w:rsidRDefault="002C0FD9" w:rsidP="00CA25CF">
            <w:pPr>
              <w:rPr>
                <w:rFonts w:cs="Arial"/>
                <w:color w:val="FF0000"/>
                <w:sz w:val="21"/>
                <w:szCs w:val="21"/>
              </w:rPr>
            </w:pPr>
          </w:p>
        </w:tc>
        <w:tc>
          <w:tcPr>
            <w:tcW w:w="217" w:type="dxa"/>
          </w:tcPr>
          <w:p w14:paraId="78927669" w14:textId="77777777" w:rsidR="002C0FD9" w:rsidRPr="00CA25CF" w:rsidRDefault="002C0FD9" w:rsidP="00CA25CF">
            <w:pPr>
              <w:rPr>
                <w:rFonts w:cs="Arial"/>
                <w:color w:val="FF0000"/>
                <w:sz w:val="21"/>
                <w:szCs w:val="21"/>
              </w:rPr>
            </w:pPr>
          </w:p>
        </w:tc>
        <w:tc>
          <w:tcPr>
            <w:tcW w:w="217" w:type="dxa"/>
          </w:tcPr>
          <w:p w14:paraId="25D5849F" w14:textId="77777777" w:rsidR="002C0FD9" w:rsidRPr="00CA25CF" w:rsidRDefault="002C0FD9" w:rsidP="00CA25CF">
            <w:pPr>
              <w:rPr>
                <w:rFonts w:cs="Arial"/>
                <w:color w:val="FF0000"/>
                <w:sz w:val="21"/>
                <w:szCs w:val="21"/>
              </w:rPr>
            </w:pPr>
          </w:p>
        </w:tc>
        <w:tc>
          <w:tcPr>
            <w:tcW w:w="217" w:type="dxa"/>
          </w:tcPr>
          <w:p w14:paraId="0B4D7F96" w14:textId="77777777" w:rsidR="002C0FD9" w:rsidRPr="00CA25CF" w:rsidRDefault="002C0FD9" w:rsidP="00CA25CF">
            <w:pPr>
              <w:rPr>
                <w:rFonts w:cs="Arial"/>
                <w:color w:val="FF0000"/>
                <w:sz w:val="21"/>
                <w:szCs w:val="21"/>
              </w:rPr>
            </w:pPr>
          </w:p>
        </w:tc>
        <w:tc>
          <w:tcPr>
            <w:tcW w:w="217" w:type="dxa"/>
          </w:tcPr>
          <w:p w14:paraId="37245D55" w14:textId="77777777" w:rsidR="002C0FD9" w:rsidRPr="00CA25CF" w:rsidRDefault="002C0FD9" w:rsidP="00CA25CF">
            <w:pPr>
              <w:rPr>
                <w:rFonts w:cs="Arial"/>
                <w:color w:val="FF0000"/>
                <w:sz w:val="21"/>
                <w:szCs w:val="21"/>
              </w:rPr>
            </w:pPr>
          </w:p>
        </w:tc>
        <w:tc>
          <w:tcPr>
            <w:tcW w:w="217" w:type="dxa"/>
          </w:tcPr>
          <w:p w14:paraId="091D566E" w14:textId="77777777" w:rsidR="002C0FD9" w:rsidRPr="00CA25CF" w:rsidRDefault="002C0FD9" w:rsidP="00CA25CF">
            <w:pPr>
              <w:rPr>
                <w:rFonts w:cs="Arial"/>
                <w:color w:val="FF0000"/>
                <w:sz w:val="21"/>
                <w:szCs w:val="21"/>
              </w:rPr>
            </w:pPr>
          </w:p>
        </w:tc>
        <w:tc>
          <w:tcPr>
            <w:tcW w:w="217" w:type="dxa"/>
          </w:tcPr>
          <w:p w14:paraId="4589778D" w14:textId="77777777" w:rsidR="002C0FD9" w:rsidRPr="00CA25CF" w:rsidRDefault="002C0FD9" w:rsidP="00CA25CF">
            <w:pPr>
              <w:rPr>
                <w:rFonts w:cs="Arial"/>
                <w:color w:val="FF0000"/>
                <w:sz w:val="21"/>
                <w:szCs w:val="21"/>
              </w:rPr>
            </w:pPr>
          </w:p>
        </w:tc>
        <w:tc>
          <w:tcPr>
            <w:tcW w:w="217" w:type="dxa"/>
          </w:tcPr>
          <w:p w14:paraId="45BC41E6" w14:textId="77777777" w:rsidR="002C0FD9" w:rsidRPr="00CA25CF" w:rsidRDefault="002C0FD9" w:rsidP="00CA25CF">
            <w:pPr>
              <w:rPr>
                <w:rFonts w:cs="Arial"/>
                <w:color w:val="FF0000"/>
                <w:sz w:val="21"/>
                <w:szCs w:val="21"/>
              </w:rPr>
            </w:pPr>
          </w:p>
        </w:tc>
        <w:tc>
          <w:tcPr>
            <w:tcW w:w="217" w:type="dxa"/>
          </w:tcPr>
          <w:p w14:paraId="6239010D" w14:textId="77777777" w:rsidR="002C0FD9" w:rsidRPr="00CA25CF" w:rsidRDefault="002C0FD9" w:rsidP="00CA25CF">
            <w:pPr>
              <w:rPr>
                <w:rFonts w:cs="Arial"/>
                <w:color w:val="FF0000"/>
                <w:sz w:val="21"/>
                <w:szCs w:val="21"/>
              </w:rPr>
            </w:pPr>
          </w:p>
        </w:tc>
        <w:tc>
          <w:tcPr>
            <w:tcW w:w="217" w:type="dxa"/>
          </w:tcPr>
          <w:p w14:paraId="3FEA2A29" w14:textId="77777777" w:rsidR="002C0FD9" w:rsidRPr="00CA25CF" w:rsidRDefault="002C0FD9" w:rsidP="00CA25CF">
            <w:pPr>
              <w:rPr>
                <w:rFonts w:cs="Arial"/>
                <w:color w:val="FF0000"/>
                <w:sz w:val="21"/>
                <w:szCs w:val="21"/>
              </w:rPr>
            </w:pPr>
          </w:p>
        </w:tc>
      </w:tr>
      <w:tr w:rsidR="002C0FD9" w:rsidRPr="00A16219" w14:paraId="255631C4" w14:textId="224B0D09" w:rsidTr="002C0FD9">
        <w:trPr>
          <w:trHeight w:val="635"/>
        </w:trPr>
        <w:tc>
          <w:tcPr>
            <w:tcW w:w="515" w:type="dxa"/>
          </w:tcPr>
          <w:p w14:paraId="04675B02" w14:textId="77777777" w:rsidR="002C0FD9" w:rsidRPr="00CA25CF" w:rsidRDefault="002C0FD9" w:rsidP="00CA25CF">
            <w:pPr>
              <w:rPr>
                <w:rFonts w:cs="Arial"/>
                <w:color w:val="FF0000"/>
                <w:sz w:val="21"/>
                <w:szCs w:val="21"/>
              </w:rPr>
            </w:pPr>
          </w:p>
        </w:tc>
        <w:tc>
          <w:tcPr>
            <w:tcW w:w="217" w:type="dxa"/>
          </w:tcPr>
          <w:p w14:paraId="320BE336" w14:textId="77777777" w:rsidR="002C0FD9" w:rsidRPr="00CA25CF" w:rsidRDefault="002C0FD9" w:rsidP="00CA25CF">
            <w:pPr>
              <w:rPr>
                <w:rFonts w:cs="Arial"/>
                <w:color w:val="FF0000"/>
                <w:sz w:val="21"/>
                <w:szCs w:val="21"/>
              </w:rPr>
            </w:pPr>
          </w:p>
        </w:tc>
        <w:tc>
          <w:tcPr>
            <w:tcW w:w="217" w:type="dxa"/>
          </w:tcPr>
          <w:p w14:paraId="0C1AFCC6" w14:textId="071E5768" w:rsidR="002C0FD9" w:rsidRPr="00CA25CF" w:rsidRDefault="002C0FD9" w:rsidP="00CA25CF">
            <w:pPr>
              <w:rPr>
                <w:rFonts w:cs="Arial"/>
                <w:color w:val="FF0000"/>
                <w:sz w:val="21"/>
                <w:szCs w:val="21"/>
              </w:rPr>
            </w:pPr>
          </w:p>
        </w:tc>
        <w:tc>
          <w:tcPr>
            <w:tcW w:w="217" w:type="dxa"/>
          </w:tcPr>
          <w:p w14:paraId="025FEF61" w14:textId="77777777" w:rsidR="002C0FD9" w:rsidRPr="00CA25CF" w:rsidRDefault="002C0FD9" w:rsidP="00CA25CF">
            <w:pPr>
              <w:rPr>
                <w:rFonts w:cs="Arial"/>
                <w:color w:val="FF0000"/>
                <w:sz w:val="21"/>
                <w:szCs w:val="21"/>
              </w:rPr>
            </w:pPr>
          </w:p>
        </w:tc>
        <w:tc>
          <w:tcPr>
            <w:tcW w:w="217" w:type="dxa"/>
          </w:tcPr>
          <w:p w14:paraId="356F1F9A" w14:textId="77777777" w:rsidR="002C0FD9" w:rsidRPr="00CA25CF" w:rsidRDefault="002C0FD9" w:rsidP="00CA25CF">
            <w:pPr>
              <w:rPr>
                <w:rFonts w:cs="Arial"/>
                <w:color w:val="FF0000"/>
                <w:sz w:val="21"/>
                <w:szCs w:val="21"/>
              </w:rPr>
            </w:pPr>
          </w:p>
        </w:tc>
        <w:tc>
          <w:tcPr>
            <w:tcW w:w="217" w:type="dxa"/>
          </w:tcPr>
          <w:p w14:paraId="031C15BE" w14:textId="77777777" w:rsidR="002C0FD9" w:rsidRPr="00CA25CF" w:rsidRDefault="002C0FD9" w:rsidP="00CA25CF">
            <w:pPr>
              <w:rPr>
                <w:rFonts w:cs="Arial"/>
                <w:color w:val="FF0000"/>
                <w:sz w:val="21"/>
                <w:szCs w:val="21"/>
              </w:rPr>
            </w:pPr>
          </w:p>
        </w:tc>
        <w:tc>
          <w:tcPr>
            <w:tcW w:w="217" w:type="dxa"/>
          </w:tcPr>
          <w:p w14:paraId="677AC661" w14:textId="77777777" w:rsidR="002C0FD9" w:rsidRPr="00CA25CF" w:rsidRDefault="002C0FD9" w:rsidP="00CA25CF">
            <w:pPr>
              <w:rPr>
                <w:rFonts w:cs="Arial"/>
                <w:color w:val="FF0000"/>
                <w:sz w:val="21"/>
                <w:szCs w:val="21"/>
              </w:rPr>
            </w:pPr>
          </w:p>
        </w:tc>
        <w:tc>
          <w:tcPr>
            <w:tcW w:w="217" w:type="dxa"/>
          </w:tcPr>
          <w:p w14:paraId="6C196575" w14:textId="77777777" w:rsidR="002C0FD9" w:rsidRPr="00CA25CF" w:rsidRDefault="002C0FD9" w:rsidP="00CA25CF">
            <w:pPr>
              <w:rPr>
                <w:rFonts w:cs="Arial"/>
                <w:color w:val="FF0000"/>
                <w:sz w:val="21"/>
                <w:szCs w:val="21"/>
              </w:rPr>
            </w:pPr>
          </w:p>
        </w:tc>
        <w:tc>
          <w:tcPr>
            <w:tcW w:w="217" w:type="dxa"/>
          </w:tcPr>
          <w:p w14:paraId="68E5155F" w14:textId="77777777" w:rsidR="002C0FD9" w:rsidRPr="00CA25CF" w:rsidRDefault="002C0FD9" w:rsidP="00CA25CF">
            <w:pPr>
              <w:rPr>
                <w:rFonts w:cs="Arial"/>
                <w:color w:val="FF0000"/>
                <w:sz w:val="21"/>
                <w:szCs w:val="21"/>
              </w:rPr>
            </w:pPr>
          </w:p>
        </w:tc>
        <w:tc>
          <w:tcPr>
            <w:tcW w:w="217" w:type="dxa"/>
          </w:tcPr>
          <w:p w14:paraId="3771C00B" w14:textId="77777777" w:rsidR="002C0FD9" w:rsidRPr="00CA25CF" w:rsidRDefault="002C0FD9" w:rsidP="00CA25CF">
            <w:pPr>
              <w:rPr>
                <w:rFonts w:cs="Arial"/>
                <w:color w:val="FF0000"/>
                <w:sz w:val="21"/>
                <w:szCs w:val="21"/>
              </w:rPr>
            </w:pPr>
          </w:p>
        </w:tc>
        <w:tc>
          <w:tcPr>
            <w:tcW w:w="217" w:type="dxa"/>
          </w:tcPr>
          <w:p w14:paraId="21E13A5E" w14:textId="77777777" w:rsidR="002C0FD9" w:rsidRPr="00CA25CF" w:rsidRDefault="002C0FD9" w:rsidP="00CA25CF">
            <w:pPr>
              <w:rPr>
                <w:rFonts w:cs="Arial"/>
                <w:color w:val="FF0000"/>
                <w:sz w:val="21"/>
                <w:szCs w:val="21"/>
              </w:rPr>
            </w:pPr>
          </w:p>
        </w:tc>
        <w:tc>
          <w:tcPr>
            <w:tcW w:w="217" w:type="dxa"/>
          </w:tcPr>
          <w:p w14:paraId="5888EFDB" w14:textId="77777777" w:rsidR="002C0FD9" w:rsidRPr="00CA25CF" w:rsidRDefault="002C0FD9" w:rsidP="00CA25CF">
            <w:pPr>
              <w:rPr>
                <w:rFonts w:cs="Arial"/>
                <w:color w:val="FF0000"/>
                <w:sz w:val="21"/>
                <w:szCs w:val="21"/>
              </w:rPr>
            </w:pPr>
          </w:p>
        </w:tc>
        <w:tc>
          <w:tcPr>
            <w:tcW w:w="217" w:type="dxa"/>
          </w:tcPr>
          <w:p w14:paraId="186677E2" w14:textId="77777777" w:rsidR="002C0FD9" w:rsidRPr="00CA25CF" w:rsidRDefault="002C0FD9" w:rsidP="00CA25CF">
            <w:pPr>
              <w:rPr>
                <w:rFonts w:cs="Arial"/>
                <w:color w:val="FF0000"/>
                <w:sz w:val="21"/>
                <w:szCs w:val="21"/>
              </w:rPr>
            </w:pPr>
          </w:p>
        </w:tc>
        <w:tc>
          <w:tcPr>
            <w:tcW w:w="217" w:type="dxa"/>
          </w:tcPr>
          <w:p w14:paraId="2E11CBFB" w14:textId="77777777" w:rsidR="002C0FD9" w:rsidRPr="00CA25CF" w:rsidRDefault="002C0FD9" w:rsidP="00CA25CF">
            <w:pPr>
              <w:rPr>
                <w:rFonts w:cs="Arial"/>
                <w:color w:val="FF0000"/>
                <w:sz w:val="21"/>
                <w:szCs w:val="21"/>
              </w:rPr>
            </w:pPr>
          </w:p>
        </w:tc>
        <w:tc>
          <w:tcPr>
            <w:tcW w:w="217" w:type="dxa"/>
          </w:tcPr>
          <w:p w14:paraId="7BCB1C78" w14:textId="77777777" w:rsidR="002C0FD9" w:rsidRPr="00CA25CF" w:rsidRDefault="002C0FD9" w:rsidP="00CA25CF">
            <w:pPr>
              <w:rPr>
                <w:rFonts w:cs="Arial"/>
                <w:color w:val="FF0000"/>
                <w:sz w:val="21"/>
                <w:szCs w:val="21"/>
              </w:rPr>
            </w:pPr>
          </w:p>
        </w:tc>
        <w:tc>
          <w:tcPr>
            <w:tcW w:w="217" w:type="dxa"/>
          </w:tcPr>
          <w:p w14:paraId="579F07CA" w14:textId="7DBA2331" w:rsidR="002C0FD9" w:rsidRPr="00CA25CF" w:rsidRDefault="002C0FD9" w:rsidP="00CA25CF">
            <w:pPr>
              <w:rPr>
                <w:rFonts w:cs="Arial"/>
                <w:color w:val="FF0000"/>
                <w:sz w:val="21"/>
                <w:szCs w:val="21"/>
              </w:rPr>
            </w:pPr>
          </w:p>
        </w:tc>
        <w:tc>
          <w:tcPr>
            <w:tcW w:w="217" w:type="dxa"/>
          </w:tcPr>
          <w:p w14:paraId="0AFAC32D" w14:textId="77777777" w:rsidR="002C0FD9" w:rsidRPr="00CA25CF" w:rsidRDefault="002C0FD9" w:rsidP="00CA25CF">
            <w:pPr>
              <w:rPr>
                <w:rFonts w:cs="Arial"/>
                <w:color w:val="FF0000"/>
                <w:sz w:val="21"/>
                <w:szCs w:val="21"/>
              </w:rPr>
            </w:pPr>
          </w:p>
        </w:tc>
        <w:tc>
          <w:tcPr>
            <w:tcW w:w="217" w:type="dxa"/>
          </w:tcPr>
          <w:p w14:paraId="511E5350" w14:textId="77777777" w:rsidR="002C0FD9" w:rsidRPr="00CA25CF" w:rsidRDefault="002C0FD9" w:rsidP="00CA25CF">
            <w:pPr>
              <w:rPr>
                <w:rFonts w:cs="Arial"/>
                <w:color w:val="FF0000"/>
                <w:sz w:val="21"/>
                <w:szCs w:val="21"/>
              </w:rPr>
            </w:pPr>
          </w:p>
        </w:tc>
        <w:tc>
          <w:tcPr>
            <w:tcW w:w="217" w:type="dxa"/>
          </w:tcPr>
          <w:p w14:paraId="136F0639" w14:textId="77777777" w:rsidR="002C0FD9" w:rsidRPr="00CA25CF" w:rsidRDefault="002C0FD9" w:rsidP="00CA25CF">
            <w:pPr>
              <w:rPr>
                <w:rFonts w:cs="Arial"/>
                <w:color w:val="FF0000"/>
                <w:sz w:val="21"/>
                <w:szCs w:val="21"/>
              </w:rPr>
            </w:pPr>
          </w:p>
        </w:tc>
        <w:tc>
          <w:tcPr>
            <w:tcW w:w="217" w:type="dxa"/>
          </w:tcPr>
          <w:p w14:paraId="254E6A3D" w14:textId="77777777" w:rsidR="002C0FD9" w:rsidRPr="00CA25CF" w:rsidRDefault="002C0FD9" w:rsidP="00CA25CF">
            <w:pPr>
              <w:rPr>
                <w:rFonts w:cs="Arial"/>
                <w:color w:val="FF0000"/>
                <w:sz w:val="21"/>
                <w:szCs w:val="21"/>
              </w:rPr>
            </w:pPr>
          </w:p>
        </w:tc>
        <w:tc>
          <w:tcPr>
            <w:tcW w:w="217" w:type="dxa"/>
          </w:tcPr>
          <w:p w14:paraId="4C4E5C1C" w14:textId="77777777" w:rsidR="002C0FD9" w:rsidRPr="00CA25CF" w:rsidRDefault="002C0FD9" w:rsidP="00CA25CF">
            <w:pPr>
              <w:rPr>
                <w:rFonts w:cs="Arial"/>
                <w:color w:val="FF0000"/>
                <w:sz w:val="21"/>
                <w:szCs w:val="21"/>
              </w:rPr>
            </w:pPr>
          </w:p>
        </w:tc>
        <w:tc>
          <w:tcPr>
            <w:tcW w:w="217" w:type="dxa"/>
          </w:tcPr>
          <w:p w14:paraId="75306F9E" w14:textId="77777777" w:rsidR="002C0FD9" w:rsidRPr="00CA25CF" w:rsidRDefault="002C0FD9" w:rsidP="00CA25CF">
            <w:pPr>
              <w:rPr>
                <w:rFonts w:cs="Arial"/>
                <w:color w:val="FF0000"/>
                <w:sz w:val="21"/>
                <w:szCs w:val="21"/>
              </w:rPr>
            </w:pPr>
          </w:p>
        </w:tc>
        <w:tc>
          <w:tcPr>
            <w:tcW w:w="217" w:type="dxa"/>
          </w:tcPr>
          <w:p w14:paraId="343FE837" w14:textId="77777777" w:rsidR="002C0FD9" w:rsidRPr="00CA25CF" w:rsidRDefault="002C0FD9" w:rsidP="00CA25CF">
            <w:pPr>
              <w:rPr>
                <w:rFonts w:cs="Arial"/>
                <w:color w:val="FF0000"/>
                <w:sz w:val="21"/>
                <w:szCs w:val="21"/>
              </w:rPr>
            </w:pPr>
          </w:p>
        </w:tc>
        <w:tc>
          <w:tcPr>
            <w:tcW w:w="217" w:type="dxa"/>
          </w:tcPr>
          <w:p w14:paraId="12BC4692" w14:textId="77777777" w:rsidR="002C0FD9" w:rsidRPr="00CA25CF" w:rsidRDefault="002C0FD9" w:rsidP="00CA25CF">
            <w:pPr>
              <w:rPr>
                <w:rFonts w:cs="Arial"/>
                <w:color w:val="FF0000"/>
                <w:sz w:val="21"/>
                <w:szCs w:val="21"/>
              </w:rPr>
            </w:pPr>
          </w:p>
        </w:tc>
        <w:tc>
          <w:tcPr>
            <w:tcW w:w="217" w:type="dxa"/>
          </w:tcPr>
          <w:p w14:paraId="5BEC188B" w14:textId="77777777" w:rsidR="002C0FD9" w:rsidRPr="00CA25CF" w:rsidRDefault="002C0FD9" w:rsidP="00CA25CF">
            <w:pPr>
              <w:rPr>
                <w:rFonts w:cs="Arial"/>
                <w:color w:val="FF0000"/>
                <w:sz w:val="21"/>
                <w:szCs w:val="21"/>
              </w:rPr>
            </w:pPr>
          </w:p>
        </w:tc>
        <w:tc>
          <w:tcPr>
            <w:tcW w:w="217" w:type="dxa"/>
          </w:tcPr>
          <w:p w14:paraId="0B766D9B" w14:textId="77777777" w:rsidR="002C0FD9" w:rsidRPr="00CA25CF" w:rsidRDefault="002C0FD9" w:rsidP="00CA25CF">
            <w:pPr>
              <w:rPr>
                <w:rFonts w:cs="Arial"/>
                <w:color w:val="FF0000"/>
                <w:sz w:val="21"/>
                <w:szCs w:val="21"/>
              </w:rPr>
            </w:pPr>
          </w:p>
        </w:tc>
        <w:tc>
          <w:tcPr>
            <w:tcW w:w="217" w:type="dxa"/>
          </w:tcPr>
          <w:p w14:paraId="5957965E" w14:textId="77777777" w:rsidR="002C0FD9" w:rsidRPr="00CA25CF" w:rsidRDefault="002C0FD9" w:rsidP="00CA25CF">
            <w:pPr>
              <w:rPr>
                <w:rFonts w:cs="Arial"/>
                <w:color w:val="FF0000"/>
                <w:sz w:val="21"/>
                <w:szCs w:val="21"/>
              </w:rPr>
            </w:pPr>
          </w:p>
        </w:tc>
        <w:tc>
          <w:tcPr>
            <w:tcW w:w="217" w:type="dxa"/>
          </w:tcPr>
          <w:p w14:paraId="103083CB" w14:textId="77777777" w:rsidR="002C0FD9" w:rsidRPr="00CA25CF" w:rsidRDefault="002C0FD9" w:rsidP="00CA25CF">
            <w:pPr>
              <w:rPr>
                <w:rFonts w:cs="Arial"/>
                <w:color w:val="FF0000"/>
                <w:sz w:val="21"/>
                <w:szCs w:val="21"/>
              </w:rPr>
            </w:pPr>
          </w:p>
        </w:tc>
        <w:tc>
          <w:tcPr>
            <w:tcW w:w="217" w:type="dxa"/>
          </w:tcPr>
          <w:p w14:paraId="303CCEF3" w14:textId="77777777" w:rsidR="002C0FD9" w:rsidRPr="00CA25CF" w:rsidRDefault="002C0FD9" w:rsidP="00CA25CF">
            <w:pPr>
              <w:rPr>
                <w:rFonts w:cs="Arial"/>
                <w:color w:val="FF0000"/>
                <w:sz w:val="21"/>
                <w:szCs w:val="21"/>
              </w:rPr>
            </w:pPr>
          </w:p>
        </w:tc>
        <w:tc>
          <w:tcPr>
            <w:tcW w:w="217" w:type="dxa"/>
          </w:tcPr>
          <w:p w14:paraId="27DC0FB4" w14:textId="77777777" w:rsidR="002C0FD9" w:rsidRPr="00CA25CF" w:rsidRDefault="002C0FD9" w:rsidP="00CA25CF">
            <w:pPr>
              <w:rPr>
                <w:rFonts w:cs="Arial"/>
                <w:color w:val="FF0000"/>
                <w:sz w:val="21"/>
                <w:szCs w:val="21"/>
              </w:rPr>
            </w:pPr>
          </w:p>
        </w:tc>
        <w:tc>
          <w:tcPr>
            <w:tcW w:w="217" w:type="dxa"/>
          </w:tcPr>
          <w:p w14:paraId="4053348C" w14:textId="77777777" w:rsidR="002C0FD9" w:rsidRPr="00CA25CF" w:rsidRDefault="002C0FD9" w:rsidP="00CA25CF">
            <w:pPr>
              <w:rPr>
                <w:rFonts w:cs="Arial"/>
                <w:color w:val="FF0000"/>
                <w:sz w:val="21"/>
                <w:szCs w:val="21"/>
              </w:rPr>
            </w:pPr>
          </w:p>
        </w:tc>
        <w:tc>
          <w:tcPr>
            <w:tcW w:w="217" w:type="dxa"/>
          </w:tcPr>
          <w:p w14:paraId="5313B5A0" w14:textId="77777777" w:rsidR="002C0FD9" w:rsidRPr="00CA25CF" w:rsidRDefault="002C0FD9" w:rsidP="00CA25CF">
            <w:pPr>
              <w:rPr>
                <w:rFonts w:cs="Arial"/>
                <w:color w:val="FF0000"/>
                <w:sz w:val="21"/>
                <w:szCs w:val="21"/>
              </w:rPr>
            </w:pPr>
          </w:p>
        </w:tc>
        <w:tc>
          <w:tcPr>
            <w:tcW w:w="217" w:type="dxa"/>
          </w:tcPr>
          <w:p w14:paraId="362BA201" w14:textId="77777777" w:rsidR="002C0FD9" w:rsidRPr="00CA25CF" w:rsidRDefault="002C0FD9" w:rsidP="00CA25CF">
            <w:pPr>
              <w:rPr>
                <w:rFonts w:cs="Arial"/>
                <w:color w:val="FF0000"/>
                <w:sz w:val="21"/>
                <w:szCs w:val="21"/>
              </w:rPr>
            </w:pPr>
          </w:p>
        </w:tc>
        <w:tc>
          <w:tcPr>
            <w:tcW w:w="217" w:type="dxa"/>
          </w:tcPr>
          <w:p w14:paraId="42F2C2E6" w14:textId="77777777" w:rsidR="002C0FD9" w:rsidRPr="00CA25CF" w:rsidRDefault="002C0FD9" w:rsidP="00CA25CF">
            <w:pPr>
              <w:rPr>
                <w:rFonts w:cs="Arial"/>
                <w:color w:val="FF0000"/>
                <w:sz w:val="21"/>
                <w:szCs w:val="21"/>
              </w:rPr>
            </w:pPr>
          </w:p>
        </w:tc>
        <w:tc>
          <w:tcPr>
            <w:tcW w:w="217" w:type="dxa"/>
          </w:tcPr>
          <w:p w14:paraId="762BD6C8" w14:textId="77777777" w:rsidR="002C0FD9" w:rsidRPr="00CA25CF" w:rsidRDefault="002C0FD9" w:rsidP="00CA25CF">
            <w:pPr>
              <w:rPr>
                <w:rFonts w:cs="Arial"/>
                <w:color w:val="FF0000"/>
                <w:sz w:val="21"/>
                <w:szCs w:val="21"/>
              </w:rPr>
            </w:pPr>
          </w:p>
        </w:tc>
        <w:tc>
          <w:tcPr>
            <w:tcW w:w="217" w:type="dxa"/>
          </w:tcPr>
          <w:p w14:paraId="0ADB9FB6" w14:textId="77777777" w:rsidR="002C0FD9" w:rsidRPr="00CA25CF" w:rsidRDefault="002C0FD9" w:rsidP="00CA25CF">
            <w:pPr>
              <w:rPr>
                <w:rFonts w:cs="Arial"/>
                <w:color w:val="FF0000"/>
                <w:sz w:val="21"/>
                <w:szCs w:val="21"/>
              </w:rPr>
            </w:pPr>
          </w:p>
        </w:tc>
        <w:tc>
          <w:tcPr>
            <w:tcW w:w="217" w:type="dxa"/>
          </w:tcPr>
          <w:p w14:paraId="268AAF8F" w14:textId="77777777" w:rsidR="002C0FD9" w:rsidRPr="00CA25CF" w:rsidRDefault="002C0FD9" w:rsidP="00CA25CF">
            <w:pPr>
              <w:rPr>
                <w:rFonts w:cs="Arial"/>
                <w:color w:val="FF0000"/>
                <w:sz w:val="21"/>
                <w:szCs w:val="21"/>
              </w:rPr>
            </w:pPr>
          </w:p>
        </w:tc>
        <w:tc>
          <w:tcPr>
            <w:tcW w:w="217" w:type="dxa"/>
          </w:tcPr>
          <w:p w14:paraId="317DBB65" w14:textId="77777777" w:rsidR="002C0FD9" w:rsidRPr="00CA25CF" w:rsidRDefault="002C0FD9" w:rsidP="00CA25CF">
            <w:pPr>
              <w:rPr>
                <w:rFonts w:cs="Arial"/>
                <w:color w:val="FF0000"/>
                <w:sz w:val="21"/>
                <w:szCs w:val="21"/>
              </w:rPr>
            </w:pPr>
          </w:p>
        </w:tc>
        <w:tc>
          <w:tcPr>
            <w:tcW w:w="217" w:type="dxa"/>
          </w:tcPr>
          <w:p w14:paraId="3F8ADF3E" w14:textId="77777777" w:rsidR="002C0FD9" w:rsidRPr="00CA25CF" w:rsidRDefault="002C0FD9" w:rsidP="00CA25CF">
            <w:pPr>
              <w:rPr>
                <w:rFonts w:cs="Arial"/>
                <w:color w:val="FF0000"/>
                <w:sz w:val="21"/>
                <w:szCs w:val="21"/>
              </w:rPr>
            </w:pPr>
          </w:p>
        </w:tc>
        <w:tc>
          <w:tcPr>
            <w:tcW w:w="217" w:type="dxa"/>
          </w:tcPr>
          <w:p w14:paraId="4DA32749" w14:textId="77777777" w:rsidR="002C0FD9" w:rsidRPr="00CA25CF" w:rsidRDefault="002C0FD9" w:rsidP="00CA25CF">
            <w:pPr>
              <w:rPr>
                <w:rFonts w:cs="Arial"/>
                <w:color w:val="FF0000"/>
                <w:sz w:val="21"/>
                <w:szCs w:val="21"/>
              </w:rPr>
            </w:pPr>
          </w:p>
        </w:tc>
        <w:tc>
          <w:tcPr>
            <w:tcW w:w="217" w:type="dxa"/>
          </w:tcPr>
          <w:p w14:paraId="07270C97" w14:textId="77777777" w:rsidR="002C0FD9" w:rsidRPr="00CA25CF" w:rsidRDefault="002C0FD9" w:rsidP="00CA25CF">
            <w:pPr>
              <w:rPr>
                <w:rFonts w:cs="Arial"/>
                <w:color w:val="FF0000"/>
                <w:sz w:val="21"/>
                <w:szCs w:val="21"/>
              </w:rPr>
            </w:pPr>
          </w:p>
        </w:tc>
        <w:tc>
          <w:tcPr>
            <w:tcW w:w="217" w:type="dxa"/>
          </w:tcPr>
          <w:p w14:paraId="001AB402" w14:textId="77777777" w:rsidR="002C0FD9" w:rsidRPr="00CA25CF" w:rsidRDefault="002C0FD9" w:rsidP="00CA25CF">
            <w:pPr>
              <w:rPr>
                <w:rFonts w:cs="Arial"/>
                <w:color w:val="FF0000"/>
                <w:sz w:val="21"/>
                <w:szCs w:val="21"/>
              </w:rPr>
            </w:pPr>
          </w:p>
        </w:tc>
        <w:tc>
          <w:tcPr>
            <w:tcW w:w="217" w:type="dxa"/>
          </w:tcPr>
          <w:p w14:paraId="1B785837" w14:textId="77777777" w:rsidR="002C0FD9" w:rsidRPr="00CA25CF" w:rsidRDefault="002C0FD9" w:rsidP="00CA25CF">
            <w:pPr>
              <w:rPr>
                <w:rFonts w:cs="Arial"/>
                <w:color w:val="FF0000"/>
                <w:sz w:val="21"/>
                <w:szCs w:val="21"/>
              </w:rPr>
            </w:pPr>
          </w:p>
        </w:tc>
      </w:tr>
      <w:tr w:rsidR="002C0FD9" w:rsidRPr="00A16219" w14:paraId="597B4D9C" w14:textId="6721976A" w:rsidTr="002C0FD9">
        <w:trPr>
          <w:trHeight w:val="635"/>
        </w:trPr>
        <w:tc>
          <w:tcPr>
            <w:tcW w:w="515" w:type="dxa"/>
          </w:tcPr>
          <w:p w14:paraId="76BFF435" w14:textId="77777777" w:rsidR="002C0FD9" w:rsidRPr="00CA25CF" w:rsidRDefault="002C0FD9" w:rsidP="00CA25CF">
            <w:pPr>
              <w:rPr>
                <w:rFonts w:cs="Arial"/>
                <w:color w:val="FF0000"/>
                <w:sz w:val="21"/>
                <w:szCs w:val="21"/>
              </w:rPr>
            </w:pPr>
          </w:p>
        </w:tc>
        <w:tc>
          <w:tcPr>
            <w:tcW w:w="217" w:type="dxa"/>
          </w:tcPr>
          <w:p w14:paraId="41546F6A" w14:textId="77777777" w:rsidR="002C0FD9" w:rsidRPr="00CA25CF" w:rsidRDefault="002C0FD9" w:rsidP="00CA25CF">
            <w:pPr>
              <w:rPr>
                <w:rFonts w:cs="Arial"/>
                <w:color w:val="FF0000"/>
                <w:sz w:val="21"/>
                <w:szCs w:val="21"/>
              </w:rPr>
            </w:pPr>
          </w:p>
        </w:tc>
        <w:tc>
          <w:tcPr>
            <w:tcW w:w="217" w:type="dxa"/>
          </w:tcPr>
          <w:p w14:paraId="3D088473" w14:textId="26F5DE0D" w:rsidR="002C0FD9" w:rsidRPr="00CA25CF" w:rsidRDefault="002C0FD9" w:rsidP="00CA25CF">
            <w:pPr>
              <w:rPr>
                <w:rFonts w:cs="Arial"/>
                <w:color w:val="FF0000"/>
                <w:sz w:val="21"/>
                <w:szCs w:val="21"/>
              </w:rPr>
            </w:pPr>
          </w:p>
        </w:tc>
        <w:tc>
          <w:tcPr>
            <w:tcW w:w="217" w:type="dxa"/>
          </w:tcPr>
          <w:p w14:paraId="0ACDF889" w14:textId="77777777" w:rsidR="002C0FD9" w:rsidRPr="00CA25CF" w:rsidRDefault="002C0FD9" w:rsidP="00CA25CF">
            <w:pPr>
              <w:rPr>
                <w:rFonts w:cs="Arial"/>
                <w:color w:val="FF0000"/>
                <w:sz w:val="21"/>
                <w:szCs w:val="21"/>
              </w:rPr>
            </w:pPr>
          </w:p>
        </w:tc>
        <w:tc>
          <w:tcPr>
            <w:tcW w:w="217" w:type="dxa"/>
          </w:tcPr>
          <w:p w14:paraId="1AC4618F" w14:textId="77777777" w:rsidR="002C0FD9" w:rsidRPr="00CA25CF" w:rsidRDefault="002C0FD9" w:rsidP="00CA25CF">
            <w:pPr>
              <w:rPr>
                <w:rFonts w:cs="Arial"/>
                <w:color w:val="FF0000"/>
                <w:sz w:val="21"/>
                <w:szCs w:val="21"/>
              </w:rPr>
            </w:pPr>
          </w:p>
        </w:tc>
        <w:tc>
          <w:tcPr>
            <w:tcW w:w="217" w:type="dxa"/>
          </w:tcPr>
          <w:p w14:paraId="7ADF70DB" w14:textId="77777777" w:rsidR="002C0FD9" w:rsidRPr="00CA25CF" w:rsidRDefault="002C0FD9" w:rsidP="00CA25CF">
            <w:pPr>
              <w:rPr>
                <w:rFonts w:cs="Arial"/>
                <w:color w:val="FF0000"/>
                <w:sz w:val="21"/>
                <w:szCs w:val="21"/>
              </w:rPr>
            </w:pPr>
          </w:p>
        </w:tc>
        <w:tc>
          <w:tcPr>
            <w:tcW w:w="217" w:type="dxa"/>
          </w:tcPr>
          <w:p w14:paraId="68F96D74" w14:textId="77777777" w:rsidR="002C0FD9" w:rsidRPr="00CA25CF" w:rsidRDefault="002C0FD9" w:rsidP="00CA25CF">
            <w:pPr>
              <w:rPr>
                <w:rFonts w:cs="Arial"/>
                <w:color w:val="FF0000"/>
                <w:sz w:val="21"/>
                <w:szCs w:val="21"/>
              </w:rPr>
            </w:pPr>
          </w:p>
        </w:tc>
        <w:tc>
          <w:tcPr>
            <w:tcW w:w="217" w:type="dxa"/>
          </w:tcPr>
          <w:p w14:paraId="43E8EA8F" w14:textId="77777777" w:rsidR="002C0FD9" w:rsidRPr="00CA25CF" w:rsidRDefault="002C0FD9" w:rsidP="00CA25CF">
            <w:pPr>
              <w:rPr>
                <w:rFonts w:cs="Arial"/>
                <w:color w:val="FF0000"/>
                <w:sz w:val="21"/>
                <w:szCs w:val="21"/>
              </w:rPr>
            </w:pPr>
          </w:p>
        </w:tc>
        <w:tc>
          <w:tcPr>
            <w:tcW w:w="217" w:type="dxa"/>
          </w:tcPr>
          <w:p w14:paraId="61BF5CA8" w14:textId="77777777" w:rsidR="002C0FD9" w:rsidRPr="00CA25CF" w:rsidRDefault="002C0FD9" w:rsidP="00CA25CF">
            <w:pPr>
              <w:rPr>
                <w:rFonts w:cs="Arial"/>
                <w:color w:val="FF0000"/>
                <w:sz w:val="21"/>
                <w:szCs w:val="21"/>
              </w:rPr>
            </w:pPr>
          </w:p>
        </w:tc>
        <w:tc>
          <w:tcPr>
            <w:tcW w:w="217" w:type="dxa"/>
          </w:tcPr>
          <w:p w14:paraId="055291BF" w14:textId="77777777" w:rsidR="002C0FD9" w:rsidRPr="00CA25CF" w:rsidRDefault="002C0FD9" w:rsidP="00CA25CF">
            <w:pPr>
              <w:rPr>
                <w:rFonts w:cs="Arial"/>
                <w:color w:val="FF0000"/>
                <w:sz w:val="21"/>
                <w:szCs w:val="21"/>
              </w:rPr>
            </w:pPr>
          </w:p>
        </w:tc>
        <w:tc>
          <w:tcPr>
            <w:tcW w:w="217" w:type="dxa"/>
          </w:tcPr>
          <w:p w14:paraId="4BADF167" w14:textId="77777777" w:rsidR="002C0FD9" w:rsidRPr="00CA25CF" w:rsidRDefault="002C0FD9" w:rsidP="00CA25CF">
            <w:pPr>
              <w:rPr>
                <w:rFonts w:cs="Arial"/>
                <w:color w:val="FF0000"/>
                <w:sz w:val="21"/>
                <w:szCs w:val="21"/>
              </w:rPr>
            </w:pPr>
          </w:p>
        </w:tc>
        <w:tc>
          <w:tcPr>
            <w:tcW w:w="217" w:type="dxa"/>
          </w:tcPr>
          <w:p w14:paraId="6B12CBEA" w14:textId="77777777" w:rsidR="002C0FD9" w:rsidRPr="00CA25CF" w:rsidRDefault="002C0FD9" w:rsidP="00CA25CF">
            <w:pPr>
              <w:rPr>
                <w:rFonts w:cs="Arial"/>
                <w:color w:val="FF0000"/>
                <w:sz w:val="21"/>
                <w:szCs w:val="21"/>
              </w:rPr>
            </w:pPr>
          </w:p>
        </w:tc>
        <w:tc>
          <w:tcPr>
            <w:tcW w:w="217" w:type="dxa"/>
          </w:tcPr>
          <w:p w14:paraId="4B25C57F" w14:textId="77777777" w:rsidR="002C0FD9" w:rsidRPr="00CA25CF" w:rsidRDefault="002C0FD9" w:rsidP="00CA25CF">
            <w:pPr>
              <w:rPr>
                <w:rFonts w:cs="Arial"/>
                <w:color w:val="FF0000"/>
                <w:sz w:val="21"/>
                <w:szCs w:val="21"/>
              </w:rPr>
            </w:pPr>
          </w:p>
        </w:tc>
        <w:tc>
          <w:tcPr>
            <w:tcW w:w="217" w:type="dxa"/>
          </w:tcPr>
          <w:p w14:paraId="03166BC9" w14:textId="77777777" w:rsidR="002C0FD9" w:rsidRPr="00CA25CF" w:rsidRDefault="002C0FD9" w:rsidP="00CA25CF">
            <w:pPr>
              <w:rPr>
                <w:rFonts w:cs="Arial"/>
                <w:color w:val="FF0000"/>
                <w:sz w:val="21"/>
                <w:szCs w:val="21"/>
              </w:rPr>
            </w:pPr>
          </w:p>
        </w:tc>
        <w:tc>
          <w:tcPr>
            <w:tcW w:w="217" w:type="dxa"/>
          </w:tcPr>
          <w:p w14:paraId="0E31BEE9" w14:textId="77777777" w:rsidR="002C0FD9" w:rsidRPr="00CA25CF" w:rsidRDefault="002C0FD9" w:rsidP="00CA25CF">
            <w:pPr>
              <w:rPr>
                <w:rFonts w:cs="Arial"/>
                <w:color w:val="FF0000"/>
                <w:sz w:val="21"/>
                <w:szCs w:val="21"/>
              </w:rPr>
            </w:pPr>
          </w:p>
        </w:tc>
        <w:tc>
          <w:tcPr>
            <w:tcW w:w="217" w:type="dxa"/>
          </w:tcPr>
          <w:p w14:paraId="30B144D2" w14:textId="6DA80471" w:rsidR="002C0FD9" w:rsidRPr="00CA25CF" w:rsidRDefault="002C0FD9" w:rsidP="00CA25CF">
            <w:pPr>
              <w:rPr>
                <w:rFonts w:cs="Arial"/>
                <w:color w:val="FF0000"/>
                <w:sz w:val="21"/>
                <w:szCs w:val="21"/>
              </w:rPr>
            </w:pPr>
          </w:p>
        </w:tc>
        <w:tc>
          <w:tcPr>
            <w:tcW w:w="217" w:type="dxa"/>
          </w:tcPr>
          <w:p w14:paraId="1BA9FE43" w14:textId="77777777" w:rsidR="002C0FD9" w:rsidRPr="00CA25CF" w:rsidRDefault="002C0FD9" w:rsidP="00CA25CF">
            <w:pPr>
              <w:rPr>
                <w:rFonts w:cs="Arial"/>
                <w:color w:val="FF0000"/>
                <w:sz w:val="21"/>
                <w:szCs w:val="21"/>
              </w:rPr>
            </w:pPr>
          </w:p>
        </w:tc>
        <w:tc>
          <w:tcPr>
            <w:tcW w:w="217" w:type="dxa"/>
          </w:tcPr>
          <w:p w14:paraId="638C1F3D" w14:textId="77777777" w:rsidR="002C0FD9" w:rsidRPr="00CA25CF" w:rsidRDefault="002C0FD9" w:rsidP="00CA25CF">
            <w:pPr>
              <w:rPr>
                <w:rFonts w:cs="Arial"/>
                <w:color w:val="FF0000"/>
                <w:sz w:val="21"/>
                <w:szCs w:val="21"/>
              </w:rPr>
            </w:pPr>
          </w:p>
        </w:tc>
        <w:tc>
          <w:tcPr>
            <w:tcW w:w="217" w:type="dxa"/>
          </w:tcPr>
          <w:p w14:paraId="11974B44" w14:textId="77777777" w:rsidR="002C0FD9" w:rsidRPr="00CA25CF" w:rsidRDefault="002C0FD9" w:rsidP="00CA25CF">
            <w:pPr>
              <w:rPr>
                <w:rFonts w:cs="Arial"/>
                <w:color w:val="FF0000"/>
                <w:sz w:val="21"/>
                <w:szCs w:val="21"/>
              </w:rPr>
            </w:pPr>
          </w:p>
        </w:tc>
        <w:tc>
          <w:tcPr>
            <w:tcW w:w="217" w:type="dxa"/>
          </w:tcPr>
          <w:p w14:paraId="742F3CF4" w14:textId="77777777" w:rsidR="002C0FD9" w:rsidRPr="00CA25CF" w:rsidRDefault="002C0FD9" w:rsidP="00CA25CF">
            <w:pPr>
              <w:rPr>
                <w:rFonts w:cs="Arial"/>
                <w:color w:val="FF0000"/>
                <w:sz w:val="21"/>
                <w:szCs w:val="21"/>
              </w:rPr>
            </w:pPr>
          </w:p>
        </w:tc>
        <w:tc>
          <w:tcPr>
            <w:tcW w:w="217" w:type="dxa"/>
          </w:tcPr>
          <w:p w14:paraId="534240E5" w14:textId="77777777" w:rsidR="002C0FD9" w:rsidRPr="00CA25CF" w:rsidRDefault="002C0FD9" w:rsidP="00CA25CF">
            <w:pPr>
              <w:rPr>
                <w:rFonts w:cs="Arial"/>
                <w:color w:val="FF0000"/>
                <w:sz w:val="21"/>
                <w:szCs w:val="21"/>
              </w:rPr>
            </w:pPr>
          </w:p>
        </w:tc>
        <w:tc>
          <w:tcPr>
            <w:tcW w:w="217" w:type="dxa"/>
          </w:tcPr>
          <w:p w14:paraId="2FC06C61" w14:textId="77777777" w:rsidR="002C0FD9" w:rsidRPr="00CA25CF" w:rsidRDefault="002C0FD9" w:rsidP="00CA25CF">
            <w:pPr>
              <w:rPr>
                <w:rFonts w:cs="Arial"/>
                <w:color w:val="FF0000"/>
                <w:sz w:val="21"/>
                <w:szCs w:val="21"/>
              </w:rPr>
            </w:pPr>
          </w:p>
        </w:tc>
        <w:tc>
          <w:tcPr>
            <w:tcW w:w="217" w:type="dxa"/>
          </w:tcPr>
          <w:p w14:paraId="0EBAB8FE" w14:textId="77777777" w:rsidR="002C0FD9" w:rsidRPr="00CA25CF" w:rsidRDefault="002C0FD9" w:rsidP="00CA25CF">
            <w:pPr>
              <w:rPr>
                <w:rFonts w:cs="Arial"/>
                <w:color w:val="FF0000"/>
                <w:sz w:val="21"/>
                <w:szCs w:val="21"/>
              </w:rPr>
            </w:pPr>
          </w:p>
        </w:tc>
        <w:tc>
          <w:tcPr>
            <w:tcW w:w="217" w:type="dxa"/>
          </w:tcPr>
          <w:p w14:paraId="2C57A8F0" w14:textId="77777777" w:rsidR="002C0FD9" w:rsidRPr="00CA25CF" w:rsidRDefault="002C0FD9" w:rsidP="00CA25CF">
            <w:pPr>
              <w:rPr>
                <w:rFonts w:cs="Arial"/>
                <w:color w:val="FF0000"/>
                <w:sz w:val="21"/>
                <w:szCs w:val="21"/>
              </w:rPr>
            </w:pPr>
          </w:p>
        </w:tc>
        <w:tc>
          <w:tcPr>
            <w:tcW w:w="217" w:type="dxa"/>
          </w:tcPr>
          <w:p w14:paraId="39F8CFA9" w14:textId="77777777" w:rsidR="002C0FD9" w:rsidRPr="00CA25CF" w:rsidRDefault="002C0FD9" w:rsidP="00CA25CF">
            <w:pPr>
              <w:rPr>
                <w:rFonts w:cs="Arial"/>
                <w:color w:val="FF0000"/>
                <w:sz w:val="21"/>
                <w:szCs w:val="21"/>
              </w:rPr>
            </w:pPr>
          </w:p>
        </w:tc>
        <w:tc>
          <w:tcPr>
            <w:tcW w:w="217" w:type="dxa"/>
          </w:tcPr>
          <w:p w14:paraId="19436362" w14:textId="77777777" w:rsidR="002C0FD9" w:rsidRPr="00CA25CF" w:rsidRDefault="002C0FD9" w:rsidP="00CA25CF">
            <w:pPr>
              <w:rPr>
                <w:rFonts w:cs="Arial"/>
                <w:color w:val="FF0000"/>
                <w:sz w:val="21"/>
                <w:szCs w:val="21"/>
              </w:rPr>
            </w:pPr>
          </w:p>
        </w:tc>
        <w:tc>
          <w:tcPr>
            <w:tcW w:w="217" w:type="dxa"/>
          </w:tcPr>
          <w:p w14:paraId="49486A09" w14:textId="77777777" w:rsidR="002C0FD9" w:rsidRPr="00CA25CF" w:rsidRDefault="002C0FD9" w:rsidP="00CA25CF">
            <w:pPr>
              <w:rPr>
                <w:rFonts w:cs="Arial"/>
                <w:color w:val="FF0000"/>
                <w:sz w:val="21"/>
                <w:szCs w:val="21"/>
              </w:rPr>
            </w:pPr>
          </w:p>
        </w:tc>
        <w:tc>
          <w:tcPr>
            <w:tcW w:w="217" w:type="dxa"/>
          </w:tcPr>
          <w:p w14:paraId="7A18C763" w14:textId="77777777" w:rsidR="002C0FD9" w:rsidRPr="00CA25CF" w:rsidRDefault="002C0FD9" w:rsidP="00CA25CF">
            <w:pPr>
              <w:rPr>
                <w:rFonts w:cs="Arial"/>
                <w:color w:val="FF0000"/>
                <w:sz w:val="21"/>
                <w:szCs w:val="21"/>
              </w:rPr>
            </w:pPr>
          </w:p>
        </w:tc>
        <w:tc>
          <w:tcPr>
            <w:tcW w:w="217" w:type="dxa"/>
          </w:tcPr>
          <w:p w14:paraId="23A6254A" w14:textId="77777777" w:rsidR="002C0FD9" w:rsidRPr="00CA25CF" w:rsidRDefault="002C0FD9" w:rsidP="00CA25CF">
            <w:pPr>
              <w:rPr>
                <w:rFonts w:cs="Arial"/>
                <w:color w:val="FF0000"/>
                <w:sz w:val="21"/>
                <w:szCs w:val="21"/>
              </w:rPr>
            </w:pPr>
          </w:p>
        </w:tc>
        <w:tc>
          <w:tcPr>
            <w:tcW w:w="217" w:type="dxa"/>
          </w:tcPr>
          <w:p w14:paraId="37F1592E" w14:textId="77777777" w:rsidR="002C0FD9" w:rsidRPr="00CA25CF" w:rsidRDefault="002C0FD9" w:rsidP="00CA25CF">
            <w:pPr>
              <w:rPr>
                <w:rFonts w:cs="Arial"/>
                <w:color w:val="FF0000"/>
                <w:sz w:val="21"/>
                <w:szCs w:val="21"/>
              </w:rPr>
            </w:pPr>
          </w:p>
        </w:tc>
        <w:tc>
          <w:tcPr>
            <w:tcW w:w="217" w:type="dxa"/>
          </w:tcPr>
          <w:p w14:paraId="40F7169F" w14:textId="77777777" w:rsidR="002C0FD9" w:rsidRPr="00CA25CF" w:rsidRDefault="002C0FD9" w:rsidP="00CA25CF">
            <w:pPr>
              <w:rPr>
                <w:rFonts w:cs="Arial"/>
                <w:color w:val="FF0000"/>
                <w:sz w:val="21"/>
                <w:szCs w:val="21"/>
              </w:rPr>
            </w:pPr>
          </w:p>
        </w:tc>
        <w:tc>
          <w:tcPr>
            <w:tcW w:w="217" w:type="dxa"/>
          </w:tcPr>
          <w:p w14:paraId="622BB497" w14:textId="77777777" w:rsidR="002C0FD9" w:rsidRPr="00CA25CF" w:rsidRDefault="002C0FD9" w:rsidP="00CA25CF">
            <w:pPr>
              <w:rPr>
                <w:rFonts w:cs="Arial"/>
                <w:color w:val="FF0000"/>
                <w:sz w:val="21"/>
                <w:szCs w:val="21"/>
              </w:rPr>
            </w:pPr>
          </w:p>
        </w:tc>
        <w:tc>
          <w:tcPr>
            <w:tcW w:w="217" w:type="dxa"/>
          </w:tcPr>
          <w:p w14:paraId="41BBF519" w14:textId="77777777" w:rsidR="002C0FD9" w:rsidRPr="00CA25CF" w:rsidRDefault="002C0FD9" w:rsidP="00CA25CF">
            <w:pPr>
              <w:rPr>
                <w:rFonts w:cs="Arial"/>
                <w:color w:val="FF0000"/>
                <w:sz w:val="21"/>
                <w:szCs w:val="21"/>
              </w:rPr>
            </w:pPr>
          </w:p>
        </w:tc>
        <w:tc>
          <w:tcPr>
            <w:tcW w:w="217" w:type="dxa"/>
          </w:tcPr>
          <w:p w14:paraId="62B69DAA" w14:textId="77777777" w:rsidR="002C0FD9" w:rsidRPr="00CA25CF" w:rsidRDefault="002C0FD9" w:rsidP="00CA25CF">
            <w:pPr>
              <w:rPr>
                <w:rFonts w:cs="Arial"/>
                <w:color w:val="FF0000"/>
                <w:sz w:val="21"/>
                <w:szCs w:val="21"/>
              </w:rPr>
            </w:pPr>
          </w:p>
        </w:tc>
        <w:tc>
          <w:tcPr>
            <w:tcW w:w="217" w:type="dxa"/>
          </w:tcPr>
          <w:p w14:paraId="12CB7DF1" w14:textId="77777777" w:rsidR="002C0FD9" w:rsidRPr="00CA25CF" w:rsidRDefault="002C0FD9" w:rsidP="00CA25CF">
            <w:pPr>
              <w:rPr>
                <w:rFonts w:cs="Arial"/>
                <w:color w:val="FF0000"/>
                <w:sz w:val="21"/>
                <w:szCs w:val="21"/>
              </w:rPr>
            </w:pPr>
          </w:p>
        </w:tc>
        <w:tc>
          <w:tcPr>
            <w:tcW w:w="217" w:type="dxa"/>
          </w:tcPr>
          <w:p w14:paraId="23AB51B5" w14:textId="77777777" w:rsidR="002C0FD9" w:rsidRPr="00CA25CF" w:rsidRDefault="002C0FD9" w:rsidP="00CA25CF">
            <w:pPr>
              <w:rPr>
                <w:rFonts w:cs="Arial"/>
                <w:color w:val="FF0000"/>
                <w:sz w:val="21"/>
                <w:szCs w:val="21"/>
              </w:rPr>
            </w:pPr>
          </w:p>
        </w:tc>
        <w:tc>
          <w:tcPr>
            <w:tcW w:w="217" w:type="dxa"/>
          </w:tcPr>
          <w:p w14:paraId="7E6A4758" w14:textId="77777777" w:rsidR="002C0FD9" w:rsidRPr="00CA25CF" w:rsidRDefault="002C0FD9" w:rsidP="00CA25CF">
            <w:pPr>
              <w:rPr>
                <w:rFonts w:cs="Arial"/>
                <w:color w:val="FF0000"/>
                <w:sz w:val="21"/>
                <w:szCs w:val="21"/>
              </w:rPr>
            </w:pPr>
          </w:p>
        </w:tc>
        <w:tc>
          <w:tcPr>
            <w:tcW w:w="217" w:type="dxa"/>
          </w:tcPr>
          <w:p w14:paraId="4E3FFCD2" w14:textId="77777777" w:rsidR="002C0FD9" w:rsidRPr="00CA25CF" w:rsidRDefault="002C0FD9" w:rsidP="00CA25CF">
            <w:pPr>
              <w:rPr>
                <w:rFonts w:cs="Arial"/>
                <w:color w:val="FF0000"/>
                <w:sz w:val="21"/>
                <w:szCs w:val="21"/>
              </w:rPr>
            </w:pPr>
          </w:p>
        </w:tc>
        <w:tc>
          <w:tcPr>
            <w:tcW w:w="217" w:type="dxa"/>
          </w:tcPr>
          <w:p w14:paraId="07D2D5E4" w14:textId="77777777" w:rsidR="002C0FD9" w:rsidRPr="00CA25CF" w:rsidRDefault="002C0FD9" w:rsidP="00CA25CF">
            <w:pPr>
              <w:rPr>
                <w:rFonts w:cs="Arial"/>
                <w:color w:val="FF0000"/>
                <w:sz w:val="21"/>
                <w:szCs w:val="21"/>
              </w:rPr>
            </w:pPr>
          </w:p>
        </w:tc>
        <w:tc>
          <w:tcPr>
            <w:tcW w:w="217" w:type="dxa"/>
          </w:tcPr>
          <w:p w14:paraId="3E6437E3" w14:textId="77777777" w:rsidR="002C0FD9" w:rsidRPr="00CA25CF" w:rsidRDefault="002C0FD9" w:rsidP="00CA25CF">
            <w:pPr>
              <w:rPr>
                <w:rFonts w:cs="Arial"/>
                <w:color w:val="FF0000"/>
                <w:sz w:val="21"/>
                <w:szCs w:val="21"/>
              </w:rPr>
            </w:pPr>
          </w:p>
        </w:tc>
        <w:tc>
          <w:tcPr>
            <w:tcW w:w="217" w:type="dxa"/>
          </w:tcPr>
          <w:p w14:paraId="25C0D1D0" w14:textId="77777777" w:rsidR="002C0FD9" w:rsidRPr="00CA25CF" w:rsidRDefault="002C0FD9" w:rsidP="00CA25CF">
            <w:pPr>
              <w:rPr>
                <w:rFonts w:cs="Arial"/>
                <w:color w:val="FF0000"/>
                <w:sz w:val="21"/>
                <w:szCs w:val="21"/>
              </w:rPr>
            </w:pPr>
          </w:p>
        </w:tc>
        <w:tc>
          <w:tcPr>
            <w:tcW w:w="217" w:type="dxa"/>
          </w:tcPr>
          <w:p w14:paraId="713DE3F0" w14:textId="77777777" w:rsidR="002C0FD9" w:rsidRPr="00CA25CF" w:rsidRDefault="002C0FD9" w:rsidP="00CA25CF">
            <w:pPr>
              <w:rPr>
                <w:rFonts w:cs="Arial"/>
                <w:color w:val="FF0000"/>
                <w:sz w:val="21"/>
                <w:szCs w:val="21"/>
              </w:rPr>
            </w:pPr>
          </w:p>
        </w:tc>
        <w:tc>
          <w:tcPr>
            <w:tcW w:w="217" w:type="dxa"/>
          </w:tcPr>
          <w:p w14:paraId="6E5E640C" w14:textId="77777777" w:rsidR="002C0FD9" w:rsidRPr="00CA25CF" w:rsidRDefault="002C0FD9" w:rsidP="00CA25CF">
            <w:pPr>
              <w:rPr>
                <w:rFonts w:cs="Arial"/>
                <w:color w:val="FF0000"/>
                <w:sz w:val="21"/>
                <w:szCs w:val="21"/>
              </w:rPr>
            </w:pPr>
          </w:p>
        </w:tc>
      </w:tr>
      <w:tr w:rsidR="002C0FD9" w:rsidRPr="00A16219" w14:paraId="32926427" w14:textId="17D59156" w:rsidTr="002C0FD9">
        <w:trPr>
          <w:trHeight w:val="635"/>
        </w:trPr>
        <w:tc>
          <w:tcPr>
            <w:tcW w:w="515" w:type="dxa"/>
          </w:tcPr>
          <w:p w14:paraId="6A5D3575" w14:textId="77777777" w:rsidR="002C0FD9" w:rsidRPr="00CA25CF" w:rsidRDefault="002C0FD9" w:rsidP="00CA25CF">
            <w:pPr>
              <w:rPr>
                <w:rFonts w:cs="Arial"/>
                <w:color w:val="FF0000"/>
                <w:sz w:val="21"/>
                <w:szCs w:val="21"/>
              </w:rPr>
            </w:pPr>
          </w:p>
        </w:tc>
        <w:tc>
          <w:tcPr>
            <w:tcW w:w="217" w:type="dxa"/>
          </w:tcPr>
          <w:p w14:paraId="73FA70C2" w14:textId="77777777" w:rsidR="002C0FD9" w:rsidRPr="00CA25CF" w:rsidRDefault="002C0FD9" w:rsidP="00CA25CF">
            <w:pPr>
              <w:rPr>
                <w:rFonts w:cs="Arial"/>
                <w:color w:val="FF0000"/>
                <w:sz w:val="21"/>
                <w:szCs w:val="21"/>
              </w:rPr>
            </w:pPr>
          </w:p>
        </w:tc>
        <w:tc>
          <w:tcPr>
            <w:tcW w:w="217" w:type="dxa"/>
          </w:tcPr>
          <w:p w14:paraId="14D8B6E7" w14:textId="387ECFE6" w:rsidR="002C0FD9" w:rsidRPr="00CA25CF" w:rsidRDefault="002C0FD9" w:rsidP="00CA25CF">
            <w:pPr>
              <w:rPr>
                <w:rFonts w:cs="Arial"/>
                <w:color w:val="FF0000"/>
                <w:sz w:val="21"/>
                <w:szCs w:val="21"/>
              </w:rPr>
            </w:pPr>
          </w:p>
        </w:tc>
        <w:tc>
          <w:tcPr>
            <w:tcW w:w="217" w:type="dxa"/>
          </w:tcPr>
          <w:p w14:paraId="58ED76E3" w14:textId="77777777" w:rsidR="002C0FD9" w:rsidRPr="00CA25CF" w:rsidRDefault="002C0FD9" w:rsidP="00CA25CF">
            <w:pPr>
              <w:rPr>
                <w:rFonts w:cs="Arial"/>
                <w:color w:val="FF0000"/>
                <w:sz w:val="21"/>
                <w:szCs w:val="21"/>
              </w:rPr>
            </w:pPr>
          </w:p>
        </w:tc>
        <w:tc>
          <w:tcPr>
            <w:tcW w:w="217" w:type="dxa"/>
          </w:tcPr>
          <w:p w14:paraId="28F6BA6F" w14:textId="77777777" w:rsidR="002C0FD9" w:rsidRPr="00CA25CF" w:rsidRDefault="002C0FD9" w:rsidP="00CA25CF">
            <w:pPr>
              <w:rPr>
                <w:rFonts w:cs="Arial"/>
                <w:color w:val="FF0000"/>
                <w:sz w:val="21"/>
                <w:szCs w:val="21"/>
              </w:rPr>
            </w:pPr>
          </w:p>
        </w:tc>
        <w:tc>
          <w:tcPr>
            <w:tcW w:w="217" w:type="dxa"/>
          </w:tcPr>
          <w:p w14:paraId="1C5AF13E" w14:textId="77777777" w:rsidR="002C0FD9" w:rsidRPr="00CA25CF" w:rsidRDefault="002C0FD9" w:rsidP="00CA25CF">
            <w:pPr>
              <w:rPr>
                <w:rFonts w:cs="Arial"/>
                <w:color w:val="FF0000"/>
                <w:sz w:val="21"/>
                <w:szCs w:val="21"/>
              </w:rPr>
            </w:pPr>
          </w:p>
        </w:tc>
        <w:tc>
          <w:tcPr>
            <w:tcW w:w="217" w:type="dxa"/>
          </w:tcPr>
          <w:p w14:paraId="67E5A4D9" w14:textId="77777777" w:rsidR="002C0FD9" w:rsidRPr="00CA25CF" w:rsidRDefault="002C0FD9" w:rsidP="00CA25CF">
            <w:pPr>
              <w:rPr>
                <w:rFonts w:cs="Arial"/>
                <w:color w:val="FF0000"/>
                <w:sz w:val="21"/>
                <w:szCs w:val="21"/>
              </w:rPr>
            </w:pPr>
          </w:p>
        </w:tc>
        <w:tc>
          <w:tcPr>
            <w:tcW w:w="217" w:type="dxa"/>
          </w:tcPr>
          <w:p w14:paraId="6FF2040D" w14:textId="77777777" w:rsidR="002C0FD9" w:rsidRPr="00CA25CF" w:rsidRDefault="002C0FD9" w:rsidP="00CA25CF">
            <w:pPr>
              <w:rPr>
                <w:rFonts w:cs="Arial"/>
                <w:color w:val="FF0000"/>
                <w:sz w:val="21"/>
                <w:szCs w:val="21"/>
              </w:rPr>
            </w:pPr>
          </w:p>
        </w:tc>
        <w:tc>
          <w:tcPr>
            <w:tcW w:w="217" w:type="dxa"/>
          </w:tcPr>
          <w:p w14:paraId="6D97E3DD" w14:textId="77777777" w:rsidR="002C0FD9" w:rsidRPr="00CA25CF" w:rsidRDefault="002C0FD9" w:rsidP="00CA25CF">
            <w:pPr>
              <w:rPr>
                <w:rFonts w:cs="Arial"/>
                <w:color w:val="FF0000"/>
                <w:sz w:val="21"/>
                <w:szCs w:val="21"/>
              </w:rPr>
            </w:pPr>
          </w:p>
        </w:tc>
        <w:tc>
          <w:tcPr>
            <w:tcW w:w="217" w:type="dxa"/>
          </w:tcPr>
          <w:p w14:paraId="770D8214" w14:textId="77777777" w:rsidR="002C0FD9" w:rsidRPr="00CA25CF" w:rsidRDefault="002C0FD9" w:rsidP="00CA25CF">
            <w:pPr>
              <w:rPr>
                <w:rFonts w:cs="Arial"/>
                <w:color w:val="FF0000"/>
                <w:sz w:val="21"/>
                <w:szCs w:val="21"/>
              </w:rPr>
            </w:pPr>
          </w:p>
        </w:tc>
        <w:tc>
          <w:tcPr>
            <w:tcW w:w="217" w:type="dxa"/>
          </w:tcPr>
          <w:p w14:paraId="5C443B1D" w14:textId="77777777" w:rsidR="002C0FD9" w:rsidRPr="00CA25CF" w:rsidRDefault="002C0FD9" w:rsidP="00CA25CF">
            <w:pPr>
              <w:rPr>
                <w:rFonts w:cs="Arial"/>
                <w:color w:val="FF0000"/>
                <w:sz w:val="21"/>
                <w:szCs w:val="21"/>
              </w:rPr>
            </w:pPr>
          </w:p>
        </w:tc>
        <w:tc>
          <w:tcPr>
            <w:tcW w:w="217" w:type="dxa"/>
          </w:tcPr>
          <w:p w14:paraId="409CBF7F" w14:textId="77777777" w:rsidR="002C0FD9" w:rsidRPr="00CA25CF" w:rsidRDefault="002C0FD9" w:rsidP="00CA25CF">
            <w:pPr>
              <w:rPr>
                <w:rFonts w:cs="Arial"/>
                <w:color w:val="FF0000"/>
                <w:sz w:val="21"/>
                <w:szCs w:val="21"/>
              </w:rPr>
            </w:pPr>
          </w:p>
        </w:tc>
        <w:tc>
          <w:tcPr>
            <w:tcW w:w="217" w:type="dxa"/>
          </w:tcPr>
          <w:p w14:paraId="586B3D8F" w14:textId="77777777" w:rsidR="002C0FD9" w:rsidRPr="00CA25CF" w:rsidRDefault="002C0FD9" w:rsidP="00CA25CF">
            <w:pPr>
              <w:rPr>
                <w:rFonts w:cs="Arial"/>
                <w:color w:val="FF0000"/>
                <w:sz w:val="21"/>
                <w:szCs w:val="21"/>
              </w:rPr>
            </w:pPr>
          </w:p>
        </w:tc>
        <w:tc>
          <w:tcPr>
            <w:tcW w:w="217" w:type="dxa"/>
          </w:tcPr>
          <w:p w14:paraId="2525694C" w14:textId="77777777" w:rsidR="002C0FD9" w:rsidRPr="00CA25CF" w:rsidRDefault="002C0FD9" w:rsidP="00CA25CF">
            <w:pPr>
              <w:rPr>
                <w:rFonts w:cs="Arial"/>
                <w:color w:val="FF0000"/>
                <w:sz w:val="21"/>
                <w:szCs w:val="21"/>
              </w:rPr>
            </w:pPr>
          </w:p>
        </w:tc>
        <w:tc>
          <w:tcPr>
            <w:tcW w:w="217" w:type="dxa"/>
          </w:tcPr>
          <w:p w14:paraId="274553FD" w14:textId="77777777" w:rsidR="002C0FD9" w:rsidRPr="00CA25CF" w:rsidRDefault="002C0FD9" w:rsidP="00CA25CF">
            <w:pPr>
              <w:rPr>
                <w:rFonts w:cs="Arial"/>
                <w:color w:val="FF0000"/>
                <w:sz w:val="21"/>
                <w:szCs w:val="21"/>
              </w:rPr>
            </w:pPr>
          </w:p>
        </w:tc>
        <w:tc>
          <w:tcPr>
            <w:tcW w:w="217" w:type="dxa"/>
          </w:tcPr>
          <w:p w14:paraId="23CB0CDF" w14:textId="014C77AD" w:rsidR="002C0FD9" w:rsidRPr="00CA25CF" w:rsidRDefault="002C0FD9" w:rsidP="00CA25CF">
            <w:pPr>
              <w:rPr>
                <w:rFonts w:cs="Arial"/>
                <w:color w:val="FF0000"/>
                <w:sz w:val="21"/>
                <w:szCs w:val="21"/>
              </w:rPr>
            </w:pPr>
          </w:p>
        </w:tc>
        <w:tc>
          <w:tcPr>
            <w:tcW w:w="217" w:type="dxa"/>
          </w:tcPr>
          <w:p w14:paraId="3FB99FCD" w14:textId="77777777" w:rsidR="002C0FD9" w:rsidRPr="00CA25CF" w:rsidRDefault="002C0FD9" w:rsidP="00CA25CF">
            <w:pPr>
              <w:rPr>
                <w:rFonts w:cs="Arial"/>
                <w:color w:val="FF0000"/>
                <w:sz w:val="21"/>
                <w:szCs w:val="21"/>
              </w:rPr>
            </w:pPr>
          </w:p>
        </w:tc>
        <w:tc>
          <w:tcPr>
            <w:tcW w:w="217" w:type="dxa"/>
          </w:tcPr>
          <w:p w14:paraId="4F345EAD" w14:textId="77777777" w:rsidR="002C0FD9" w:rsidRPr="00CA25CF" w:rsidRDefault="002C0FD9" w:rsidP="00CA25CF">
            <w:pPr>
              <w:rPr>
                <w:rFonts w:cs="Arial"/>
                <w:color w:val="FF0000"/>
                <w:sz w:val="21"/>
                <w:szCs w:val="21"/>
              </w:rPr>
            </w:pPr>
          </w:p>
        </w:tc>
        <w:tc>
          <w:tcPr>
            <w:tcW w:w="217" w:type="dxa"/>
          </w:tcPr>
          <w:p w14:paraId="2720FF92" w14:textId="77777777" w:rsidR="002C0FD9" w:rsidRPr="00CA25CF" w:rsidRDefault="002C0FD9" w:rsidP="00CA25CF">
            <w:pPr>
              <w:rPr>
                <w:rFonts w:cs="Arial"/>
                <w:color w:val="FF0000"/>
                <w:sz w:val="21"/>
                <w:szCs w:val="21"/>
              </w:rPr>
            </w:pPr>
          </w:p>
        </w:tc>
        <w:tc>
          <w:tcPr>
            <w:tcW w:w="217" w:type="dxa"/>
          </w:tcPr>
          <w:p w14:paraId="37F94D05" w14:textId="77777777" w:rsidR="002C0FD9" w:rsidRPr="00CA25CF" w:rsidRDefault="002C0FD9" w:rsidP="00CA25CF">
            <w:pPr>
              <w:rPr>
                <w:rFonts w:cs="Arial"/>
                <w:color w:val="FF0000"/>
                <w:sz w:val="21"/>
                <w:szCs w:val="21"/>
              </w:rPr>
            </w:pPr>
          </w:p>
        </w:tc>
        <w:tc>
          <w:tcPr>
            <w:tcW w:w="217" w:type="dxa"/>
          </w:tcPr>
          <w:p w14:paraId="720C8F81" w14:textId="77777777" w:rsidR="002C0FD9" w:rsidRPr="00CA25CF" w:rsidRDefault="002C0FD9" w:rsidP="00CA25CF">
            <w:pPr>
              <w:rPr>
                <w:rFonts w:cs="Arial"/>
                <w:color w:val="FF0000"/>
                <w:sz w:val="21"/>
                <w:szCs w:val="21"/>
              </w:rPr>
            </w:pPr>
          </w:p>
        </w:tc>
        <w:tc>
          <w:tcPr>
            <w:tcW w:w="217" w:type="dxa"/>
          </w:tcPr>
          <w:p w14:paraId="66EA4E22" w14:textId="77777777" w:rsidR="002C0FD9" w:rsidRPr="00CA25CF" w:rsidRDefault="002C0FD9" w:rsidP="00CA25CF">
            <w:pPr>
              <w:rPr>
                <w:rFonts w:cs="Arial"/>
                <w:color w:val="FF0000"/>
                <w:sz w:val="21"/>
                <w:szCs w:val="21"/>
              </w:rPr>
            </w:pPr>
          </w:p>
        </w:tc>
        <w:tc>
          <w:tcPr>
            <w:tcW w:w="217" w:type="dxa"/>
          </w:tcPr>
          <w:p w14:paraId="77354B82" w14:textId="77777777" w:rsidR="002C0FD9" w:rsidRPr="00CA25CF" w:rsidRDefault="002C0FD9" w:rsidP="00CA25CF">
            <w:pPr>
              <w:rPr>
                <w:rFonts w:cs="Arial"/>
                <w:color w:val="FF0000"/>
                <w:sz w:val="21"/>
                <w:szCs w:val="21"/>
              </w:rPr>
            </w:pPr>
          </w:p>
        </w:tc>
        <w:tc>
          <w:tcPr>
            <w:tcW w:w="217" w:type="dxa"/>
          </w:tcPr>
          <w:p w14:paraId="529EAE11" w14:textId="77777777" w:rsidR="002C0FD9" w:rsidRPr="00CA25CF" w:rsidRDefault="002C0FD9" w:rsidP="00CA25CF">
            <w:pPr>
              <w:rPr>
                <w:rFonts w:cs="Arial"/>
                <w:color w:val="FF0000"/>
                <w:sz w:val="21"/>
                <w:szCs w:val="21"/>
              </w:rPr>
            </w:pPr>
          </w:p>
        </w:tc>
        <w:tc>
          <w:tcPr>
            <w:tcW w:w="217" w:type="dxa"/>
          </w:tcPr>
          <w:p w14:paraId="2C8894F9" w14:textId="77777777" w:rsidR="002C0FD9" w:rsidRPr="00CA25CF" w:rsidRDefault="002C0FD9" w:rsidP="00CA25CF">
            <w:pPr>
              <w:rPr>
                <w:rFonts w:cs="Arial"/>
                <w:color w:val="FF0000"/>
                <w:sz w:val="21"/>
                <w:szCs w:val="21"/>
              </w:rPr>
            </w:pPr>
          </w:p>
        </w:tc>
        <w:tc>
          <w:tcPr>
            <w:tcW w:w="217" w:type="dxa"/>
          </w:tcPr>
          <w:p w14:paraId="0EC7E349" w14:textId="77777777" w:rsidR="002C0FD9" w:rsidRPr="00CA25CF" w:rsidRDefault="002C0FD9" w:rsidP="00CA25CF">
            <w:pPr>
              <w:rPr>
                <w:rFonts w:cs="Arial"/>
                <w:color w:val="FF0000"/>
                <w:sz w:val="21"/>
                <w:szCs w:val="21"/>
              </w:rPr>
            </w:pPr>
          </w:p>
        </w:tc>
        <w:tc>
          <w:tcPr>
            <w:tcW w:w="217" w:type="dxa"/>
          </w:tcPr>
          <w:p w14:paraId="25671E4B" w14:textId="77777777" w:rsidR="002C0FD9" w:rsidRPr="00CA25CF" w:rsidRDefault="002C0FD9" w:rsidP="00CA25CF">
            <w:pPr>
              <w:rPr>
                <w:rFonts w:cs="Arial"/>
                <w:color w:val="FF0000"/>
                <w:sz w:val="21"/>
                <w:szCs w:val="21"/>
              </w:rPr>
            </w:pPr>
          </w:p>
        </w:tc>
        <w:tc>
          <w:tcPr>
            <w:tcW w:w="217" w:type="dxa"/>
          </w:tcPr>
          <w:p w14:paraId="0001F49F" w14:textId="77777777" w:rsidR="002C0FD9" w:rsidRPr="00CA25CF" w:rsidRDefault="002C0FD9" w:rsidP="00CA25CF">
            <w:pPr>
              <w:rPr>
                <w:rFonts w:cs="Arial"/>
                <w:color w:val="FF0000"/>
                <w:sz w:val="21"/>
                <w:szCs w:val="21"/>
              </w:rPr>
            </w:pPr>
          </w:p>
        </w:tc>
        <w:tc>
          <w:tcPr>
            <w:tcW w:w="217" w:type="dxa"/>
          </w:tcPr>
          <w:p w14:paraId="66123547" w14:textId="77777777" w:rsidR="002C0FD9" w:rsidRPr="00CA25CF" w:rsidRDefault="002C0FD9" w:rsidP="00CA25CF">
            <w:pPr>
              <w:rPr>
                <w:rFonts w:cs="Arial"/>
                <w:color w:val="FF0000"/>
                <w:sz w:val="21"/>
                <w:szCs w:val="21"/>
              </w:rPr>
            </w:pPr>
          </w:p>
        </w:tc>
        <w:tc>
          <w:tcPr>
            <w:tcW w:w="217" w:type="dxa"/>
          </w:tcPr>
          <w:p w14:paraId="6392C380" w14:textId="77777777" w:rsidR="002C0FD9" w:rsidRPr="00CA25CF" w:rsidRDefault="002C0FD9" w:rsidP="00CA25CF">
            <w:pPr>
              <w:rPr>
                <w:rFonts w:cs="Arial"/>
                <w:color w:val="FF0000"/>
                <w:sz w:val="21"/>
                <w:szCs w:val="21"/>
              </w:rPr>
            </w:pPr>
          </w:p>
        </w:tc>
        <w:tc>
          <w:tcPr>
            <w:tcW w:w="217" w:type="dxa"/>
          </w:tcPr>
          <w:p w14:paraId="106303FB" w14:textId="77777777" w:rsidR="002C0FD9" w:rsidRPr="00CA25CF" w:rsidRDefault="002C0FD9" w:rsidP="00CA25CF">
            <w:pPr>
              <w:rPr>
                <w:rFonts w:cs="Arial"/>
                <w:color w:val="FF0000"/>
                <w:sz w:val="21"/>
                <w:szCs w:val="21"/>
              </w:rPr>
            </w:pPr>
          </w:p>
        </w:tc>
        <w:tc>
          <w:tcPr>
            <w:tcW w:w="217" w:type="dxa"/>
          </w:tcPr>
          <w:p w14:paraId="419C7F0A" w14:textId="77777777" w:rsidR="002C0FD9" w:rsidRPr="00CA25CF" w:rsidRDefault="002C0FD9" w:rsidP="00CA25CF">
            <w:pPr>
              <w:rPr>
                <w:rFonts w:cs="Arial"/>
                <w:color w:val="FF0000"/>
                <w:sz w:val="21"/>
                <w:szCs w:val="21"/>
              </w:rPr>
            </w:pPr>
          </w:p>
        </w:tc>
        <w:tc>
          <w:tcPr>
            <w:tcW w:w="217" w:type="dxa"/>
          </w:tcPr>
          <w:p w14:paraId="2BC267B8" w14:textId="77777777" w:rsidR="002C0FD9" w:rsidRPr="00CA25CF" w:rsidRDefault="002C0FD9" w:rsidP="00CA25CF">
            <w:pPr>
              <w:rPr>
                <w:rFonts w:cs="Arial"/>
                <w:color w:val="FF0000"/>
                <w:sz w:val="21"/>
                <w:szCs w:val="21"/>
              </w:rPr>
            </w:pPr>
          </w:p>
        </w:tc>
        <w:tc>
          <w:tcPr>
            <w:tcW w:w="217" w:type="dxa"/>
          </w:tcPr>
          <w:p w14:paraId="5C11C373" w14:textId="77777777" w:rsidR="002C0FD9" w:rsidRPr="00CA25CF" w:rsidRDefault="002C0FD9" w:rsidP="00CA25CF">
            <w:pPr>
              <w:rPr>
                <w:rFonts w:cs="Arial"/>
                <w:color w:val="FF0000"/>
                <w:sz w:val="21"/>
                <w:szCs w:val="21"/>
              </w:rPr>
            </w:pPr>
          </w:p>
        </w:tc>
        <w:tc>
          <w:tcPr>
            <w:tcW w:w="217" w:type="dxa"/>
          </w:tcPr>
          <w:p w14:paraId="3084092A" w14:textId="77777777" w:rsidR="002C0FD9" w:rsidRPr="00CA25CF" w:rsidRDefault="002C0FD9" w:rsidP="00CA25CF">
            <w:pPr>
              <w:rPr>
                <w:rFonts w:cs="Arial"/>
                <w:color w:val="FF0000"/>
                <w:sz w:val="21"/>
                <w:szCs w:val="21"/>
              </w:rPr>
            </w:pPr>
          </w:p>
        </w:tc>
        <w:tc>
          <w:tcPr>
            <w:tcW w:w="217" w:type="dxa"/>
          </w:tcPr>
          <w:p w14:paraId="546069CC" w14:textId="77777777" w:rsidR="002C0FD9" w:rsidRPr="00CA25CF" w:rsidRDefault="002C0FD9" w:rsidP="00CA25CF">
            <w:pPr>
              <w:rPr>
                <w:rFonts w:cs="Arial"/>
                <w:color w:val="FF0000"/>
                <w:sz w:val="21"/>
                <w:szCs w:val="21"/>
              </w:rPr>
            </w:pPr>
          </w:p>
        </w:tc>
        <w:tc>
          <w:tcPr>
            <w:tcW w:w="217" w:type="dxa"/>
          </w:tcPr>
          <w:p w14:paraId="11C79346" w14:textId="77777777" w:rsidR="002C0FD9" w:rsidRPr="00CA25CF" w:rsidRDefault="002C0FD9" w:rsidP="00CA25CF">
            <w:pPr>
              <w:rPr>
                <w:rFonts w:cs="Arial"/>
                <w:color w:val="FF0000"/>
                <w:sz w:val="21"/>
                <w:szCs w:val="21"/>
              </w:rPr>
            </w:pPr>
          </w:p>
        </w:tc>
        <w:tc>
          <w:tcPr>
            <w:tcW w:w="217" w:type="dxa"/>
          </w:tcPr>
          <w:p w14:paraId="3069A7F1" w14:textId="77777777" w:rsidR="002C0FD9" w:rsidRPr="00CA25CF" w:rsidRDefault="002C0FD9" w:rsidP="00CA25CF">
            <w:pPr>
              <w:rPr>
                <w:rFonts w:cs="Arial"/>
                <w:color w:val="FF0000"/>
                <w:sz w:val="21"/>
                <w:szCs w:val="21"/>
              </w:rPr>
            </w:pPr>
          </w:p>
        </w:tc>
        <w:tc>
          <w:tcPr>
            <w:tcW w:w="217" w:type="dxa"/>
          </w:tcPr>
          <w:p w14:paraId="605C9547" w14:textId="77777777" w:rsidR="002C0FD9" w:rsidRPr="00CA25CF" w:rsidRDefault="002C0FD9" w:rsidP="00CA25CF">
            <w:pPr>
              <w:rPr>
                <w:rFonts w:cs="Arial"/>
                <w:color w:val="FF0000"/>
                <w:sz w:val="21"/>
                <w:szCs w:val="21"/>
              </w:rPr>
            </w:pPr>
          </w:p>
        </w:tc>
        <w:tc>
          <w:tcPr>
            <w:tcW w:w="217" w:type="dxa"/>
          </w:tcPr>
          <w:p w14:paraId="5AD79EA1" w14:textId="77777777" w:rsidR="002C0FD9" w:rsidRPr="00CA25CF" w:rsidRDefault="002C0FD9" w:rsidP="00CA25CF">
            <w:pPr>
              <w:rPr>
                <w:rFonts w:cs="Arial"/>
                <w:color w:val="FF0000"/>
                <w:sz w:val="21"/>
                <w:szCs w:val="21"/>
              </w:rPr>
            </w:pPr>
          </w:p>
        </w:tc>
        <w:tc>
          <w:tcPr>
            <w:tcW w:w="217" w:type="dxa"/>
          </w:tcPr>
          <w:p w14:paraId="1CED7E87" w14:textId="77777777" w:rsidR="002C0FD9" w:rsidRPr="00CA25CF" w:rsidRDefault="002C0FD9" w:rsidP="00CA25CF">
            <w:pPr>
              <w:rPr>
                <w:rFonts w:cs="Arial"/>
                <w:color w:val="FF0000"/>
                <w:sz w:val="21"/>
                <w:szCs w:val="21"/>
              </w:rPr>
            </w:pPr>
          </w:p>
        </w:tc>
        <w:tc>
          <w:tcPr>
            <w:tcW w:w="217" w:type="dxa"/>
          </w:tcPr>
          <w:p w14:paraId="5E1BB411" w14:textId="77777777" w:rsidR="002C0FD9" w:rsidRPr="00CA25CF" w:rsidRDefault="002C0FD9" w:rsidP="00CA25CF">
            <w:pPr>
              <w:rPr>
                <w:rFonts w:cs="Arial"/>
                <w:color w:val="FF0000"/>
                <w:sz w:val="21"/>
                <w:szCs w:val="21"/>
              </w:rPr>
            </w:pPr>
          </w:p>
        </w:tc>
        <w:tc>
          <w:tcPr>
            <w:tcW w:w="217" w:type="dxa"/>
          </w:tcPr>
          <w:p w14:paraId="67D7E4C3" w14:textId="77777777" w:rsidR="002C0FD9" w:rsidRPr="00CA25CF" w:rsidRDefault="002C0FD9" w:rsidP="00CA25CF">
            <w:pPr>
              <w:rPr>
                <w:rFonts w:cs="Arial"/>
                <w:color w:val="FF0000"/>
                <w:sz w:val="21"/>
                <w:szCs w:val="21"/>
              </w:rPr>
            </w:pPr>
          </w:p>
        </w:tc>
      </w:tr>
      <w:tr w:rsidR="002C0FD9" w:rsidRPr="00A16219" w14:paraId="38ED40F5" w14:textId="3DEF2611" w:rsidTr="002C0FD9">
        <w:trPr>
          <w:trHeight w:val="635"/>
        </w:trPr>
        <w:tc>
          <w:tcPr>
            <w:tcW w:w="515" w:type="dxa"/>
          </w:tcPr>
          <w:p w14:paraId="3519088E" w14:textId="77777777" w:rsidR="002C0FD9" w:rsidRPr="00CA25CF" w:rsidRDefault="002C0FD9" w:rsidP="00CA25CF">
            <w:pPr>
              <w:rPr>
                <w:rFonts w:cs="Arial"/>
                <w:color w:val="FF0000"/>
                <w:sz w:val="21"/>
                <w:szCs w:val="21"/>
              </w:rPr>
            </w:pPr>
          </w:p>
        </w:tc>
        <w:tc>
          <w:tcPr>
            <w:tcW w:w="217" w:type="dxa"/>
          </w:tcPr>
          <w:p w14:paraId="09A29D7B" w14:textId="77777777" w:rsidR="002C0FD9" w:rsidRPr="00CA25CF" w:rsidRDefault="002C0FD9" w:rsidP="00CA25CF">
            <w:pPr>
              <w:rPr>
                <w:rFonts w:cs="Arial"/>
                <w:color w:val="FF0000"/>
                <w:sz w:val="21"/>
                <w:szCs w:val="21"/>
              </w:rPr>
            </w:pPr>
          </w:p>
        </w:tc>
        <w:tc>
          <w:tcPr>
            <w:tcW w:w="217" w:type="dxa"/>
          </w:tcPr>
          <w:p w14:paraId="1C6A0801" w14:textId="4CA5A473" w:rsidR="002C0FD9" w:rsidRPr="00CA25CF" w:rsidRDefault="002C0FD9" w:rsidP="00CA25CF">
            <w:pPr>
              <w:rPr>
                <w:rFonts w:cs="Arial"/>
                <w:color w:val="FF0000"/>
                <w:sz w:val="21"/>
                <w:szCs w:val="21"/>
              </w:rPr>
            </w:pPr>
          </w:p>
        </w:tc>
        <w:tc>
          <w:tcPr>
            <w:tcW w:w="217" w:type="dxa"/>
          </w:tcPr>
          <w:p w14:paraId="2AC1CEBA" w14:textId="77777777" w:rsidR="002C0FD9" w:rsidRPr="00CA25CF" w:rsidRDefault="002C0FD9" w:rsidP="00CA25CF">
            <w:pPr>
              <w:rPr>
                <w:rFonts w:cs="Arial"/>
                <w:color w:val="FF0000"/>
                <w:sz w:val="21"/>
                <w:szCs w:val="21"/>
              </w:rPr>
            </w:pPr>
          </w:p>
        </w:tc>
        <w:tc>
          <w:tcPr>
            <w:tcW w:w="217" w:type="dxa"/>
          </w:tcPr>
          <w:p w14:paraId="68249088" w14:textId="77777777" w:rsidR="002C0FD9" w:rsidRPr="00CA25CF" w:rsidRDefault="002C0FD9" w:rsidP="00CA25CF">
            <w:pPr>
              <w:rPr>
                <w:rFonts w:cs="Arial"/>
                <w:color w:val="FF0000"/>
                <w:sz w:val="21"/>
                <w:szCs w:val="21"/>
              </w:rPr>
            </w:pPr>
          </w:p>
        </w:tc>
        <w:tc>
          <w:tcPr>
            <w:tcW w:w="217" w:type="dxa"/>
          </w:tcPr>
          <w:p w14:paraId="5DC99EE0" w14:textId="77777777" w:rsidR="002C0FD9" w:rsidRPr="00CA25CF" w:rsidRDefault="002C0FD9" w:rsidP="00CA25CF">
            <w:pPr>
              <w:rPr>
                <w:rFonts w:cs="Arial"/>
                <w:color w:val="FF0000"/>
                <w:sz w:val="21"/>
                <w:szCs w:val="21"/>
              </w:rPr>
            </w:pPr>
          </w:p>
        </w:tc>
        <w:tc>
          <w:tcPr>
            <w:tcW w:w="217" w:type="dxa"/>
          </w:tcPr>
          <w:p w14:paraId="1AE0DFAE" w14:textId="77777777" w:rsidR="002C0FD9" w:rsidRPr="00CA25CF" w:rsidRDefault="002C0FD9" w:rsidP="00CA25CF">
            <w:pPr>
              <w:rPr>
                <w:rFonts w:cs="Arial"/>
                <w:color w:val="FF0000"/>
                <w:sz w:val="21"/>
                <w:szCs w:val="21"/>
              </w:rPr>
            </w:pPr>
          </w:p>
        </w:tc>
        <w:tc>
          <w:tcPr>
            <w:tcW w:w="217" w:type="dxa"/>
          </w:tcPr>
          <w:p w14:paraId="3FF1C3B1" w14:textId="77777777" w:rsidR="002C0FD9" w:rsidRPr="00CA25CF" w:rsidRDefault="002C0FD9" w:rsidP="00CA25CF">
            <w:pPr>
              <w:rPr>
                <w:rFonts w:cs="Arial"/>
                <w:color w:val="FF0000"/>
                <w:sz w:val="21"/>
                <w:szCs w:val="21"/>
              </w:rPr>
            </w:pPr>
          </w:p>
        </w:tc>
        <w:tc>
          <w:tcPr>
            <w:tcW w:w="217" w:type="dxa"/>
          </w:tcPr>
          <w:p w14:paraId="6B339571" w14:textId="77777777" w:rsidR="002C0FD9" w:rsidRPr="00CA25CF" w:rsidRDefault="002C0FD9" w:rsidP="00CA25CF">
            <w:pPr>
              <w:rPr>
                <w:rFonts w:cs="Arial"/>
                <w:color w:val="FF0000"/>
                <w:sz w:val="21"/>
                <w:szCs w:val="21"/>
              </w:rPr>
            </w:pPr>
          </w:p>
        </w:tc>
        <w:tc>
          <w:tcPr>
            <w:tcW w:w="217" w:type="dxa"/>
          </w:tcPr>
          <w:p w14:paraId="34F8FC66" w14:textId="77777777" w:rsidR="002C0FD9" w:rsidRPr="00CA25CF" w:rsidRDefault="002C0FD9" w:rsidP="00CA25CF">
            <w:pPr>
              <w:rPr>
                <w:rFonts w:cs="Arial"/>
                <w:color w:val="FF0000"/>
                <w:sz w:val="21"/>
                <w:szCs w:val="21"/>
              </w:rPr>
            </w:pPr>
          </w:p>
        </w:tc>
        <w:tc>
          <w:tcPr>
            <w:tcW w:w="217" w:type="dxa"/>
          </w:tcPr>
          <w:p w14:paraId="4EF7A18E" w14:textId="77777777" w:rsidR="002C0FD9" w:rsidRPr="00CA25CF" w:rsidRDefault="002C0FD9" w:rsidP="00CA25CF">
            <w:pPr>
              <w:rPr>
                <w:rFonts w:cs="Arial"/>
                <w:color w:val="FF0000"/>
                <w:sz w:val="21"/>
                <w:szCs w:val="21"/>
              </w:rPr>
            </w:pPr>
          </w:p>
        </w:tc>
        <w:tc>
          <w:tcPr>
            <w:tcW w:w="217" w:type="dxa"/>
          </w:tcPr>
          <w:p w14:paraId="0CFDAFE3" w14:textId="77777777" w:rsidR="002C0FD9" w:rsidRPr="00CA25CF" w:rsidRDefault="002C0FD9" w:rsidP="00CA25CF">
            <w:pPr>
              <w:rPr>
                <w:rFonts w:cs="Arial"/>
                <w:color w:val="FF0000"/>
                <w:sz w:val="21"/>
                <w:szCs w:val="21"/>
              </w:rPr>
            </w:pPr>
          </w:p>
        </w:tc>
        <w:tc>
          <w:tcPr>
            <w:tcW w:w="217" w:type="dxa"/>
          </w:tcPr>
          <w:p w14:paraId="7B514F22" w14:textId="77777777" w:rsidR="002C0FD9" w:rsidRPr="00CA25CF" w:rsidRDefault="002C0FD9" w:rsidP="00CA25CF">
            <w:pPr>
              <w:rPr>
                <w:rFonts w:cs="Arial"/>
                <w:color w:val="FF0000"/>
                <w:sz w:val="21"/>
                <w:szCs w:val="21"/>
              </w:rPr>
            </w:pPr>
          </w:p>
        </w:tc>
        <w:tc>
          <w:tcPr>
            <w:tcW w:w="217" w:type="dxa"/>
          </w:tcPr>
          <w:p w14:paraId="7955C9FA" w14:textId="77777777" w:rsidR="002C0FD9" w:rsidRPr="00CA25CF" w:rsidRDefault="002C0FD9" w:rsidP="00CA25CF">
            <w:pPr>
              <w:rPr>
                <w:rFonts w:cs="Arial"/>
                <w:color w:val="FF0000"/>
                <w:sz w:val="21"/>
                <w:szCs w:val="21"/>
              </w:rPr>
            </w:pPr>
          </w:p>
        </w:tc>
        <w:tc>
          <w:tcPr>
            <w:tcW w:w="217" w:type="dxa"/>
          </w:tcPr>
          <w:p w14:paraId="6B327AF9" w14:textId="77777777" w:rsidR="002C0FD9" w:rsidRPr="00CA25CF" w:rsidRDefault="002C0FD9" w:rsidP="00CA25CF">
            <w:pPr>
              <w:rPr>
                <w:rFonts w:cs="Arial"/>
                <w:color w:val="FF0000"/>
                <w:sz w:val="21"/>
                <w:szCs w:val="21"/>
              </w:rPr>
            </w:pPr>
          </w:p>
        </w:tc>
        <w:tc>
          <w:tcPr>
            <w:tcW w:w="217" w:type="dxa"/>
          </w:tcPr>
          <w:p w14:paraId="241C2078" w14:textId="5BB288B6" w:rsidR="002C0FD9" w:rsidRPr="00CA25CF" w:rsidRDefault="002C0FD9" w:rsidP="00CA25CF">
            <w:pPr>
              <w:rPr>
                <w:rFonts w:cs="Arial"/>
                <w:color w:val="FF0000"/>
                <w:sz w:val="21"/>
                <w:szCs w:val="21"/>
              </w:rPr>
            </w:pPr>
          </w:p>
        </w:tc>
        <w:tc>
          <w:tcPr>
            <w:tcW w:w="217" w:type="dxa"/>
          </w:tcPr>
          <w:p w14:paraId="6616542A" w14:textId="77777777" w:rsidR="002C0FD9" w:rsidRPr="00CA25CF" w:rsidRDefault="002C0FD9" w:rsidP="00CA25CF">
            <w:pPr>
              <w:rPr>
                <w:rFonts w:cs="Arial"/>
                <w:color w:val="FF0000"/>
                <w:sz w:val="21"/>
                <w:szCs w:val="21"/>
              </w:rPr>
            </w:pPr>
          </w:p>
        </w:tc>
        <w:tc>
          <w:tcPr>
            <w:tcW w:w="217" w:type="dxa"/>
          </w:tcPr>
          <w:p w14:paraId="01A7AE6C" w14:textId="77777777" w:rsidR="002C0FD9" w:rsidRPr="00CA25CF" w:rsidRDefault="002C0FD9" w:rsidP="00CA25CF">
            <w:pPr>
              <w:rPr>
                <w:rFonts w:cs="Arial"/>
                <w:color w:val="FF0000"/>
                <w:sz w:val="21"/>
                <w:szCs w:val="21"/>
              </w:rPr>
            </w:pPr>
          </w:p>
        </w:tc>
        <w:tc>
          <w:tcPr>
            <w:tcW w:w="217" w:type="dxa"/>
          </w:tcPr>
          <w:p w14:paraId="18DB0C93" w14:textId="77777777" w:rsidR="002C0FD9" w:rsidRPr="00CA25CF" w:rsidRDefault="002C0FD9" w:rsidP="00CA25CF">
            <w:pPr>
              <w:rPr>
                <w:rFonts w:cs="Arial"/>
                <w:color w:val="FF0000"/>
                <w:sz w:val="21"/>
                <w:szCs w:val="21"/>
              </w:rPr>
            </w:pPr>
          </w:p>
        </w:tc>
        <w:tc>
          <w:tcPr>
            <w:tcW w:w="217" w:type="dxa"/>
          </w:tcPr>
          <w:p w14:paraId="267E24BE" w14:textId="77777777" w:rsidR="002C0FD9" w:rsidRPr="00CA25CF" w:rsidRDefault="002C0FD9" w:rsidP="00CA25CF">
            <w:pPr>
              <w:rPr>
                <w:rFonts w:cs="Arial"/>
                <w:color w:val="FF0000"/>
                <w:sz w:val="21"/>
                <w:szCs w:val="21"/>
              </w:rPr>
            </w:pPr>
          </w:p>
        </w:tc>
        <w:tc>
          <w:tcPr>
            <w:tcW w:w="217" w:type="dxa"/>
          </w:tcPr>
          <w:p w14:paraId="50545AFC" w14:textId="77777777" w:rsidR="002C0FD9" w:rsidRPr="00CA25CF" w:rsidRDefault="002C0FD9" w:rsidP="00CA25CF">
            <w:pPr>
              <w:rPr>
                <w:rFonts w:cs="Arial"/>
                <w:color w:val="FF0000"/>
                <w:sz w:val="21"/>
                <w:szCs w:val="21"/>
              </w:rPr>
            </w:pPr>
          </w:p>
        </w:tc>
        <w:tc>
          <w:tcPr>
            <w:tcW w:w="217" w:type="dxa"/>
          </w:tcPr>
          <w:p w14:paraId="4F336274" w14:textId="77777777" w:rsidR="002C0FD9" w:rsidRPr="00CA25CF" w:rsidRDefault="002C0FD9" w:rsidP="00CA25CF">
            <w:pPr>
              <w:rPr>
                <w:rFonts w:cs="Arial"/>
                <w:color w:val="FF0000"/>
                <w:sz w:val="21"/>
                <w:szCs w:val="21"/>
              </w:rPr>
            </w:pPr>
          </w:p>
        </w:tc>
        <w:tc>
          <w:tcPr>
            <w:tcW w:w="217" w:type="dxa"/>
          </w:tcPr>
          <w:p w14:paraId="1A942EB3" w14:textId="77777777" w:rsidR="002C0FD9" w:rsidRPr="00CA25CF" w:rsidRDefault="002C0FD9" w:rsidP="00CA25CF">
            <w:pPr>
              <w:rPr>
                <w:rFonts w:cs="Arial"/>
                <w:color w:val="FF0000"/>
                <w:sz w:val="21"/>
                <w:szCs w:val="21"/>
              </w:rPr>
            </w:pPr>
          </w:p>
        </w:tc>
        <w:tc>
          <w:tcPr>
            <w:tcW w:w="217" w:type="dxa"/>
          </w:tcPr>
          <w:p w14:paraId="41D0384F" w14:textId="77777777" w:rsidR="002C0FD9" w:rsidRPr="00CA25CF" w:rsidRDefault="002C0FD9" w:rsidP="00CA25CF">
            <w:pPr>
              <w:rPr>
                <w:rFonts w:cs="Arial"/>
                <w:color w:val="FF0000"/>
                <w:sz w:val="21"/>
                <w:szCs w:val="21"/>
              </w:rPr>
            </w:pPr>
          </w:p>
        </w:tc>
        <w:tc>
          <w:tcPr>
            <w:tcW w:w="217" w:type="dxa"/>
          </w:tcPr>
          <w:p w14:paraId="6C0CF9C6" w14:textId="77777777" w:rsidR="002C0FD9" w:rsidRPr="00CA25CF" w:rsidRDefault="002C0FD9" w:rsidP="00CA25CF">
            <w:pPr>
              <w:rPr>
                <w:rFonts w:cs="Arial"/>
                <w:color w:val="FF0000"/>
                <w:sz w:val="21"/>
                <w:szCs w:val="21"/>
              </w:rPr>
            </w:pPr>
          </w:p>
        </w:tc>
        <w:tc>
          <w:tcPr>
            <w:tcW w:w="217" w:type="dxa"/>
          </w:tcPr>
          <w:p w14:paraId="48D72148" w14:textId="77777777" w:rsidR="002C0FD9" w:rsidRPr="00CA25CF" w:rsidRDefault="002C0FD9" w:rsidP="00CA25CF">
            <w:pPr>
              <w:rPr>
                <w:rFonts w:cs="Arial"/>
                <w:color w:val="FF0000"/>
                <w:sz w:val="21"/>
                <w:szCs w:val="21"/>
              </w:rPr>
            </w:pPr>
          </w:p>
        </w:tc>
        <w:tc>
          <w:tcPr>
            <w:tcW w:w="217" w:type="dxa"/>
          </w:tcPr>
          <w:p w14:paraId="0024A6D8" w14:textId="77777777" w:rsidR="002C0FD9" w:rsidRPr="00CA25CF" w:rsidRDefault="002C0FD9" w:rsidP="00CA25CF">
            <w:pPr>
              <w:rPr>
                <w:rFonts w:cs="Arial"/>
                <w:color w:val="FF0000"/>
                <w:sz w:val="21"/>
                <w:szCs w:val="21"/>
              </w:rPr>
            </w:pPr>
          </w:p>
        </w:tc>
        <w:tc>
          <w:tcPr>
            <w:tcW w:w="217" w:type="dxa"/>
          </w:tcPr>
          <w:p w14:paraId="19215E39" w14:textId="77777777" w:rsidR="002C0FD9" w:rsidRPr="00CA25CF" w:rsidRDefault="002C0FD9" w:rsidP="00CA25CF">
            <w:pPr>
              <w:rPr>
                <w:rFonts w:cs="Arial"/>
                <w:color w:val="FF0000"/>
                <w:sz w:val="21"/>
                <w:szCs w:val="21"/>
              </w:rPr>
            </w:pPr>
          </w:p>
        </w:tc>
        <w:tc>
          <w:tcPr>
            <w:tcW w:w="217" w:type="dxa"/>
          </w:tcPr>
          <w:p w14:paraId="30287B90" w14:textId="77777777" w:rsidR="002C0FD9" w:rsidRPr="00CA25CF" w:rsidRDefault="002C0FD9" w:rsidP="00CA25CF">
            <w:pPr>
              <w:rPr>
                <w:rFonts w:cs="Arial"/>
                <w:color w:val="FF0000"/>
                <w:sz w:val="21"/>
                <w:szCs w:val="21"/>
              </w:rPr>
            </w:pPr>
          </w:p>
        </w:tc>
        <w:tc>
          <w:tcPr>
            <w:tcW w:w="217" w:type="dxa"/>
          </w:tcPr>
          <w:p w14:paraId="1C1916C4" w14:textId="77777777" w:rsidR="002C0FD9" w:rsidRPr="00CA25CF" w:rsidRDefault="002C0FD9" w:rsidP="00CA25CF">
            <w:pPr>
              <w:rPr>
                <w:rFonts w:cs="Arial"/>
                <w:color w:val="FF0000"/>
                <w:sz w:val="21"/>
                <w:szCs w:val="21"/>
              </w:rPr>
            </w:pPr>
          </w:p>
        </w:tc>
        <w:tc>
          <w:tcPr>
            <w:tcW w:w="217" w:type="dxa"/>
          </w:tcPr>
          <w:p w14:paraId="098B25E3" w14:textId="77777777" w:rsidR="002C0FD9" w:rsidRPr="00CA25CF" w:rsidRDefault="002C0FD9" w:rsidP="00CA25CF">
            <w:pPr>
              <w:rPr>
                <w:rFonts w:cs="Arial"/>
                <w:color w:val="FF0000"/>
                <w:sz w:val="21"/>
                <w:szCs w:val="21"/>
              </w:rPr>
            </w:pPr>
          </w:p>
        </w:tc>
        <w:tc>
          <w:tcPr>
            <w:tcW w:w="217" w:type="dxa"/>
          </w:tcPr>
          <w:p w14:paraId="3A393049" w14:textId="77777777" w:rsidR="002C0FD9" w:rsidRPr="00CA25CF" w:rsidRDefault="002C0FD9" w:rsidP="00CA25CF">
            <w:pPr>
              <w:rPr>
                <w:rFonts w:cs="Arial"/>
                <w:color w:val="FF0000"/>
                <w:sz w:val="21"/>
                <w:szCs w:val="21"/>
              </w:rPr>
            </w:pPr>
          </w:p>
        </w:tc>
        <w:tc>
          <w:tcPr>
            <w:tcW w:w="217" w:type="dxa"/>
          </w:tcPr>
          <w:p w14:paraId="3EFE2A8D" w14:textId="77777777" w:rsidR="002C0FD9" w:rsidRPr="00CA25CF" w:rsidRDefault="002C0FD9" w:rsidP="00CA25CF">
            <w:pPr>
              <w:rPr>
                <w:rFonts w:cs="Arial"/>
                <w:color w:val="FF0000"/>
                <w:sz w:val="21"/>
                <w:szCs w:val="21"/>
              </w:rPr>
            </w:pPr>
          </w:p>
        </w:tc>
        <w:tc>
          <w:tcPr>
            <w:tcW w:w="217" w:type="dxa"/>
          </w:tcPr>
          <w:p w14:paraId="37B32862" w14:textId="77777777" w:rsidR="002C0FD9" w:rsidRPr="00CA25CF" w:rsidRDefault="002C0FD9" w:rsidP="00CA25CF">
            <w:pPr>
              <w:rPr>
                <w:rFonts w:cs="Arial"/>
                <w:color w:val="FF0000"/>
                <w:sz w:val="21"/>
                <w:szCs w:val="21"/>
              </w:rPr>
            </w:pPr>
          </w:p>
        </w:tc>
        <w:tc>
          <w:tcPr>
            <w:tcW w:w="217" w:type="dxa"/>
          </w:tcPr>
          <w:p w14:paraId="6F21042D" w14:textId="77777777" w:rsidR="002C0FD9" w:rsidRPr="00CA25CF" w:rsidRDefault="002C0FD9" w:rsidP="00CA25CF">
            <w:pPr>
              <w:rPr>
                <w:rFonts w:cs="Arial"/>
                <w:color w:val="FF0000"/>
                <w:sz w:val="21"/>
                <w:szCs w:val="21"/>
              </w:rPr>
            </w:pPr>
          </w:p>
        </w:tc>
        <w:tc>
          <w:tcPr>
            <w:tcW w:w="217" w:type="dxa"/>
          </w:tcPr>
          <w:p w14:paraId="60AA249D" w14:textId="77777777" w:rsidR="002C0FD9" w:rsidRPr="00CA25CF" w:rsidRDefault="002C0FD9" w:rsidP="00CA25CF">
            <w:pPr>
              <w:rPr>
                <w:rFonts w:cs="Arial"/>
                <w:color w:val="FF0000"/>
                <w:sz w:val="21"/>
                <w:szCs w:val="21"/>
              </w:rPr>
            </w:pPr>
          </w:p>
        </w:tc>
        <w:tc>
          <w:tcPr>
            <w:tcW w:w="217" w:type="dxa"/>
          </w:tcPr>
          <w:p w14:paraId="7A4B7505" w14:textId="77777777" w:rsidR="002C0FD9" w:rsidRPr="00CA25CF" w:rsidRDefault="002C0FD9" w:rsidP="00CA25CF">
            <w:pPr>
              <w:rPr>
                <w:rFonts w:cs="Arial"/>
                <w:color w:val="FF0000"/>
                <w:sz w:val="21"/>
                <w:szCs w:val="21"/>
              </w:rPr>
            </w:pPr>
          </w:p>
        </w:tc>
        <w:tc>
          <w:tcPr>
            <w:tcW w:w="217" w:type="dxa"/>
          </w:tcPr>
          <w:p w14:paraId="3BD546CA" w14:textId="77777777" w:rsidR="002C0FD9" w:rsidRPr="00CA25CF" w:rsidRDefault="002C0FD9" w:rsidP="00CA25CF">
            <w:pPr>
              <w:rPr>
                <w:rFonts w:cs="Arial"/>
                <w:color w:val="FF0000"/>
                <w:sz w:val="21"/>
                <w:szCs w:val="21"/>
              </w:rPr>
            </w:pPr>
          </w:p>
        </w:tc>
        <w:tc>
          <w:tcPr>
            <w:tcW w:w="217" w:type="dxa"/>
          </w:tcPr>
          <w:p w14:paraId="00098489" w14:textId="77777777" w:rsidR="002C0FD9" w:rsidRPr="00CA25CF" w:rsidRDefault="002C0FD9" w:rsidP="00CA25CF">
            <w:pPr>
              <w:rPr>
                <w:rFonts w:cs="Arial"/>
                <w:color w:val="FF0000"/>
                <w:sz w:val="21"/>
                <w:szCs w:val="21"/>
              </w:rPr>
            </w:pPr>
          </w:p>
        </w:tc>
        <w:tc>
          <w:tcPr>
            <w:tcW w:w="217" w:type="dxa"/>
          </w:tcPr>
          <w:p w14:paraId="082E2462" w14:textId="77777777" w:rsidR="002C0FD9" w:rsidRPr="00CA25CF" w:rsidRDefault="002C0FD9" w:rsidP="00CA25CF">
            <w:pPr>
              <w:rPr>
                <w:rFonts w:cs="Arial"/>
                <w:color w:val="FF0000"/>
                <w:sz w:val="21"/>
                <w:szCs w:val="21"/>
              </w:rPr>
            </w:pPr>
          </w:p>
        </w:tc>
        <w:tc>
          <w:tcPr>
            <w:tcW w:w="217" w:type="dxa"/>
          </w:tcPr>
          <w:p w14:paraId="6D36884F" w14:textId="77777777" w:rsidR="002C0FD9" w:rsidRPr="00CA25CF" w:rsidRDefault="002C0FD9" w:rsidP="00CA25CF">
            <w:pPr>
              <w:rPr>
                <w:rFonts w:cs="Arial"/>
                <w:color w:val="FF0000"/>
                <w:sz w:val="21"/>
                <w:szCs w:val="21"/>
              </w:rPr>
            </w:pPr>
          </w:p>
        </w:tc>
        <w:tc>
          <w:tcPr>
            <w:tcW w:w="217" w:type="dxa"/>
          </w:tcPr>
          <w:p w14:paraId="60183BD9" w14:textId="77777777" w:rsidR="002C0FD9" w:rsidRPr="00CA25CF" w:rsidRDefault="002C0FD9" w:rsidP="00CA25CF">
            <w:pPr>
              <w:rPr>
                <w:rFonts w:cs="Arial"/>
                <w:color w:val="FF0000"/>
                <w:sz w:val="21"/>
                <w:szCs w:val="21"/>
              </w:rPr>
            </w:pPr>
          </w:p>
        </w:tc>
        <w:tc>
          <w:tcPr>
            <w:tcW w:w="217" w:type="dxa"/>
          </w:tcPr>
          <w:p w14:paraId="1CBCD2EB" w14:textId="77777777" w:rsidR="002C0FD9" w:rsidRPr="00CA25CF" w:rsidRDefault="002C0FD9" w:rsidP="00CA25CF">
            <w:pPr>
              <w:rPr>
                <w:rFonts w:cs="Arial"/>
                <w:color w:val="FF0000"/>
                <w:sz w:val="21"/>
                <w:szCs w:val="21"/>
              </w:rPr>
            </w:pPr>
          </w:p>
        </w:tc>
      </w:tr>
      <w:tr w:rsidR="002C0FD9" w:rsidRPr="00A16219" w14:paraId="56F200E8" w14:textId="622D8E27" w:rsidTr="002C0FD9">
        <w:trPr>
          <w:trHeight w:val="635"/>
        </w:trPr>
        <w:tc>
          <w:tcPr>
            <w:tcW w:w="515" w:type="dxa"/>
          </w:tcPr>
          <w:p w14:paraId="00E1C0D0" w14:textId="77777777" w:rsidR="002C0FD9" w:rsidRPr="00CA25CF" w:rsidRDefault="002C0FD9" w:rsidP="00CA25CF">
            <w:pPr>
              <w:rPr>
                <w:rFonts w:cs="Arial"/>
                <w:color w:val="FF0000"/>
                <w:sz w:val="21"/>
                <w:szCs w:val="21"/>
              </w:rPr>
            </w:pPr>
          </w:p>
        </w:tc>
        <w:tc>
          <w:tcPr>
            <w:tcW w:w="217" w:type="dxa"/>
          </w:tcPr>
          <w:p w14:paraId="115710EA" w14:textId="77777777" w:rsidR="002C0FD9" w:rsidRPr="00CA25CF" w:rsidRDefault="002C0FD9" w:rsidP="00CA25CF">
            <w:pPr>
              <w:rPr>
                <w:rFonts w:cs="Arial"/>
                <w:color w:val="FF0000"/>
                <w:sz w:val="21"/>
                <w:szCs w:val="21"/>
              </w:rPr>
            </w:pPr>
          </w:p>
        </w:tc>
        <w:tc>
          <w:tcPr>
            <w:tcW w:w="217" w:type="dxa"/>
          </w:tcPr>
          <w:p w14:paraId="6FAE9BD0" w14:textId="39CD3AD7" w:rsidR="002C0FD9" w:rsidRPr="00CA25CF" w:rsidRDefault="002C0FD9" w:rsidP="00CA25CF">
            <w:pPr>
              <w:rPr>
                <w:rFonts w:cs="Arial"/>
                <w:color w:val="FF0000"/>
                <w:sz w:val="21"/>
                <w:szCs w:val="21"/>
              </w:rPr>
            </w:pPr>
          </w:p>
        </w:tc>
        <w:tc>
          <w:tcPr>
            <w:tcW w:w="217" w:type="dxa"/>
          </w:tcPr>
          <w:p w14:paraId="189C79DF" w14:textId="77777777" w:rsidR="002C0FD9" w:rsidRPr="00CA25CF" w:rsidRDefault="002C0FD9" w:rsidP="00CA25CF">
            <w:pPr>
              <w:rPr>
                <w:rFonts w:cs="Arial"/>
                <w:color w:val="FF0000"/>
                <w:sz w:val="21"/>
                <w:szCs w:val="21"/>
              </w:rPr>
            </w:pPr>
          </w:p>
        </w:tc>
        <w:tc>
          <w:tcPr>
            <w:tcW w:w="217" w:type="dxa"/>
          </w:tcPr>
          <w:p w14:paraId="45FC0FE4" w14:textId="77777777" w:rsidR="002C0FD9" w:rsidRPr="00CA25CF" w:rsidRDefault="002C0FD9" w:rsidP="00CA25CF">
            <w:pPr>
              <w:rPr>
                <w:rFonts w:cs="Arial"/>
                <w:color w:val="FF0000"/>
                <w:sz w:val="21"/>
                <w:szCs w:val="21"/>
              </w:rPr>
            </w:pPr>
          </w:p>
        </w:tc>
        <w:tc>
          <w:tcPr>
            <w:tcW w:w="217" w:type="dxa"/>
          </w:tcPr>
          <w:p w14:paraId="71FA7A49" w14:textId="77777777" w:rsidR="002C0FD9" w:rsidRPr="00CA25CF" w:rsidRDefault="002C0FD9" w:rsidP="00CA25CF">
            <w:pPr>
              <w:rPr>
                <w:rFonts w:cs="Arial"/>
                <w:color w:val="FF0000"/>
                <w:sz w:val="21"/>
                <w:szCs w:val="21"/>
              </w:rPr>
            </w:pPr>
          </w:p>
        </w:tc>
        <w:tc>
          <w:tcPr>
            <w:tcW w:w="217" w:type="dxa"/>
          </w:tcPr>
          <w:p w14:paraId="31324845" w14:textId="77777777" w:rsidR="002C0FD9" w:rsidRPr="00CA25CF" w:rsidRDefault="002C0FD9" w:rsidP="00CA25CF">
            <w:pPr>
              <w:rPr>
                <w:rFonts w:cs="Arial"/>
                <w:color w:val="FF0000"/>
                <w:sz w:val="21"/>
                <w:szCs w:val="21"/>
              </w:rPr>
            </w:pPr>
          </w:p>
        </w:tc>
        <w:tc>
          <w:tcPr>
            <w:tcW w:w="217" w:type="dxa"/>
          </w:tcPr>
          <w:p w14:paraId="710B3B62" w14:textId="77777777" w:rsidR="002C0FD9" w:rsidRPr="00CA25CF" w:rsidRDefault="002C0FD9" w:rsidP="00CA25CF">
            <w:pPr>
              <w:rPr>
                <w:rFonts w:cs="Arial"/>
                <w:color w:val="FF0000"/>
                <w:sz w:val="21"/>
                <w:szCs w:val="21"/>
              </w:rPr>
            </w:pPr>
          </w:p>
        </w:tc>
        <w:tc>
          <w:tcPr>
            <w:tcW w:w="217" w:type="dxa"/>
          </w:tcPr>
          <w:p w14:paraId="1CF8EC87" w14:textId="77777777" w:rsidR="002C0FD9" w:rsidRPr="00CA25CF" w:rsidRDefault="002C0FD9" w:rsidP="00CA25CF">
            <w:pPr>
              <w:rPr>
                <w:rFonts w:cs="Arial"/>
                <w:color w:val="FF0000"/>
                <w:sz w:val="21"/>
                <w:szCs w:val="21"/>
              </w:rPr>
            </w:pPr>
          </w:p>
        </w:tc>
        <w:tc>
          <w:tcPr>
            <w:tcW w:w="217" w:type="dxa"/>
          </w:tcPr>
          <w:p w14:paraId="1496AD72" w14:textId="77777777" w:rsidR="002C0FD9" w:rsidRPr="00CA25CF" w:rsidRDefault="002C0FD9" w:rsidP="00CA25CF">
            <w:pPr>
              <w:rPr>
                <w:rFonts w:cs="Arial"/>
                <w:color w:val="FF0000"/>
                <w:sz w:val="21"/>
                <w:szCs w:val="21"/>
              </w:rPr>
            </w:pPr>
          </w:p>
        </w:tc>
        <w:tc>
          <w:tcPr>
            <w:tcW w:w="217" w:type="dxa"/>
          </w:tcPr>
          <w:p w14:paraId="73889CF1" w14:textId="77777777" w:rsidR="002C0FD9" w:rsidRPr="00CA25CF" w:rsidRDefault="002C0FD9" w:rsidP="00CA25CF">
            <w:pPr>
              <w:rPr>
                <w:rFonts w:cs="Arial"/>
                <w:color w:val="FF0000"/>
                <w:sz w:val="21"/>
                <w:szCs w:val="21"/>
              </w:rPr>
            </w:pPr>
          </w:p>
        </w:tc>
        <w:tc>
          <w:tcPr>
            <w:tcW w:w="217" w:type="dxa"/>
          </w:tcPr>
          <w:p w14:paraId="5AF9C209" w14:textId="77777777" w:rsidR="002C0FD9" w:rsidRPr="00CA25CF" w:rsidRDefault="002C0FD9" w:rsidP="00CA25CF">
            <w:pPr>
              <w:rPr>
                <w:rFonts w:cs="Arial"/>
                <w:color w:val="FF0000"/>
                <w:sz w:val="21"/>
                <w:szCs w:val="21"/>
              </w:rPr>
            </w:pPr>
          </w:p>
        </w:tc>
        <w:tc>
          <w:tcPr>
            <w:tcW w:w="217" w:type="dxa"/>
          </w:tcPr>
          <w:p w14:paraId="3A95B01B" w14:textId="77777777" w:rsidR="002C0FD9" w:rsidRPr="00CA25CF" w:rsidRDefault="002C0FD9" w:rsidP="00CA25CF">
            <w:pPr>
              <w:rPr>
                <w:rFonts w:cs="Arial"/>
                <w:color w:val="FF0000"/>
                <w:sz w:val="21"/>
                <w:szCs w:val="21"/>
              </w:rPr>
            </w:pPr>
          </w:p>
        </w:tc>
        <w:tc>
          <w:tcPr>
            <w:tcW w:w="217" w:type="dxa"/>
          </w:tcPr>
          <w:p w14:paraId="1B91D7AC" w14:textId="77777777" w:rsidR="002C0FD9" w:rsidRPr="00CA25CF" w:rsidRDefault="002C0FD9" w:rsidP="00CA25CF">
            <w:pPr>
              <w:rPr>
                <w:rFonts w:cs="Arial"/>
                <w:color w:val="FF0000"/>
                <w:sz w:val="21"/>
                <w:szCs w:val="21"/>
              </w:rPr>
            </w:pPr>
          </w:p>
        </w:tc>
        <w:tc>
          <w:tcPr>
            <w:tcW w:w="217" w:type="dxa"/>
          </w:tcPr>
          <w:p w14:paraId="450BAF7C" w14:textId="77777777" w:rsidR="002C0FD9" w:rsidRPr="00CA25CF" w:rsidRDefault="002C0FD9" w:rsidP="00CA25CF">
            <w:pPr>
              <w:rPr>
                <w:rFonts w:cs="Arial"/>
                <w:color w:val="FF0000"/>
                <w:sz w:val="21"/>
                <w:szCs w:val="21"/>
              </w:rPr>
            </w:pPr>
          </w:p>
        </w:tc>
        <w:tc>
          <w:tcPr>
            <w:tcW w:w="217" w:type="dxa"/>
          </w:tcPr>
          <w:p w14:paraId="2C954289" w14:textId="201D3EA4" w:rsidR="002C0FD9" w:rsidRPr="00CA25CF" w:rsidRDefault="002C0FD9" w:rsidP="00CA25CF">
            <w:pPr>
              <w:rPr>
                <w:rFonts w:cs="Arial"/>
                <w:color w:val="FF0000"/>
                <w:sz w:val="21"/>
                <w:szCs w:val="21"/>
              </w:rPr>
            </w:pPr>
          </w:p>
        </w:tc>
        <w:tc>
          <w:tcPr>
            <w:tcW w:w="217" w:type="dxa"/>
          </w:tcPr>
          <w:p w14:paraId="75265337" w14:textId="77777777" w:rsidR="002C0FD9" w:rsidRPr="00CA25CF" w:rsidRDefault="002C0FD9" w:rsidP="00CA25CF">
            <w:pPr>
              <w:rPr>
                <w:rFonts w:cs="Arial"/>
                <w:color w:val="FF0000"/>
                <w:sz w:val="21"/>
                <w:szCs w:val="21"/>
              </w:rPr>
            </w:pPr>
          </w:p>
        </w:tc>
        <w:tc>
          <w:tcPr>
            <w:tcW w:w="217" w:type="dxa"/>
          </w:tcPr>
          <w:p w14:paraId="5A534FD4" w14:textId="77777777" w:rsidR="002C0FD9" w:rsidRPr="00CA25CF" w:rsidRDefault="002C0FD9" w:rsidP="00CA25CF">
            <w:pPr>
              <w:rPr>
                <w:rFonts w:cs="Arial"/>
                <w:color w:val="FF0000"/>
                <w:sz w:val="21"/>
                <w:szCs w:val="21"/>
              </w:rPr>
            </w:pPr>
          </w:p>
        </w:tc>
        <w:tc>
          <w:tcPr>
            <w:tcW w:w="217" w:type="dxa"/>
          </w:tcPr>
          <w:p w14:paraId="492A529B" w14:textId="77777777" w:rsidR="002C0FD9" w:rsidRPr="00CA25CF" w:rsidRDefault="002C0FD9" w:rsidP="00CA25CF">
            <w:pPr>
              <w:rPr>
                <w:rFonts w:cs="Arial"/>
                <w:color w:val="FF0000"/>
                <w:sz w:val="21"/>
                <w:szCs w:val="21"/>
              </w:rPr>
            </w:pPr>
          </w:p>
        </w:tc>
        <w:tc>
          <w:tcPr>
            <w:tcW w:w="217" w:type="dxa"/>
          </w:tcPr>
          <w:p w14:paraId="77AFCEEF" w14:textId="77777777" w:rsidR="002C0FD9" w:rsidRPr="00CA25CF" w:rsidRDefault="002C0FD9" w:rsidP="00CA25CF">
            <w:pPr>
              <w:rPr>
                <w:rFonts w:cs="Arial"/>
                <w:color w:val="FF0000"/>
                <w:sz w:val="21"/>
                <w:szCs w:val="21"/>
              </w:rPr>
            </w:pPr>
          </w:p>
        </w:tc>
        <w:tc>
          <w:tcPr>
            <w:tcW w:w="217" w:type="dxa"/>
          </w:tcPr>
          <w:p w14:paraId="2EA2A3BB" w14:textId="77777777" w:rsidR="002C0FD9" w:rsidRPr="00CA25CF" w:rsidRDefault="002C0FD9" w:rsidP="00CA25CF">
            <w:pPr>
              <w:rPr>
                <w:rFonts w:cs="Arial"/>
                <w:color w:val="FF0000"/>
                <w:sz w:val="21"/>
                <w:szCs w:val="21"/>
              </w:rPr>
            </w:pPr>
          </w:p>
        </w:tc>
        <w:tc>
          <w:tcPr>
            <w:tcW w:w="217" w:type="dxa"/>
          </w:tcPr>
          <w:p w14:paraId="30700EFB" w14:textId="77777777" w:rsidR="002C0FD9" w:rsidRPr="00CA25CF" w:rsidRDefault="002C0FD9" w:rsidP="00CA25CF">
            <w:pPr>
              <w:rPr>
                <w:rFonts w:cs="Arial"/>
                <w:color w:val="FF0000"/>
                <w:sz w:val="21"/>
                <w:szCs w:val="21"/>
              </w:rPr>
            </w:pPr>
          </w:p>
        </w:tc>
        <w:tc>
          <w:tcPr>
            <w:tcW w:w="217" w:type="dxa"/>
          </w:tcPr>
          <w:p w14:paraId="08B34FF4" w14:textId="77777777" w:rsidR="002C0FD9" w:rsidRPr="00CA25CF" w:rsidRDefault="002C0FD9" w:rsidP="00CA25CF">
            <w:pPr>
              <w:rPr>
                <w:rFonts w:cs="Arial"/>
                <w:color w:val="FF0000"/>
                <w:sz w:val="21"/>
                <w:szCs w:val="21"/>
              </w:rPr>
            </w:pPr>
          </w:p>
        </w:tc>
        <w:tc>
          <w:tcPr>
            <w:tcW w:w="217" w:type="dxa"/>
          </w:tcPr>
          <w:p w14:paraId="620EF8B0" w14:textId="77777777" w:rsidR="002C0FD9" w:rsidRPr="00CA25CF" w:rsidRDefault="002C0FD9" w:rsidP="00CA25CF">
            <w:pPr>
              <w:rPr>
                <w:rFonts w:cs="Arial"/>
                <w:color w:val="FF0000"/>
                <w:sz w:val="21"/>
                <w:szCs w:val="21"/>
              </w:rPr>
            </w:pPr>
          </w:p>
        </w:tc>
        <w:tc>
          <w:tcPr>
            <w:tcW w:w="217" w:type="dxa"/>
          </w:tcPr>
          <w:p w14:paraId="736768DA" w14:textId="77777777" w:rsidR="002C0FD9" w:rsidRPr="00CA25CF" w:rsidRDefault="002C0FD9" w:rsidP="00CA25CF">
            <w:pPr>
              <w:rPr>
                <w:rFonts w:cs="Arial"/>
                <w:color w:val="FF0000"/>
                <w:sz w:val="21"/>
                <w:szCs w:val="21"/>
              </w:rPr>
            </w:pPr>
          </w:p>
        </w:tc>
        <w:tc>
          <w:tcPr>
            <w:tcW w:w="217" w:type="dxa"/>
          </w:tcPr>
          <w:p w14:paraId="612E6921" w14:textId="77777777" w:rsidR="002C0FD9" w:rsidRPr="00CA25CF" w:rsidRDefault="002C0FD9" w:rsidP="00CA25CF">
            <w:pPr>
              <w:rPr>
                <w:rFonts w:cs="Arial"/>
                <w:color w:val="FF0000"/>
                <w:sz w:val="21"/>
                <w:szCs w:val="21"/>
              </w:rPr>
            </w:pPr>
          </w:p>
        </w:tc>
        <w:tc>
          <w:tcPr>
            <w:tcW w:w="217" w:type="dxa"/>
          </w:tcPr>
          <w:p w14:paraId="4C841372" w14:textId="77777777" w:rsidR="002C0FD9" w:rsidRPr="00CA25CF" w:rsidRDefault="002C0FD9" w:rsidP="00CA25CF">
            <w:pPr>
              <w:rPr>
                <w:rFonts w:cs="Arial"/>
                <w:color w:val="FF0000"/>
                <w:sz w:val="21"/>
                <w:szCs w:val="21"/>
              </w:rPr>
            </w:pPr>
          </w:p>
        </w:tc>
        <w:tc>
          <w:tcPr>
            <w:tcW w:w="217" w:type="dxa"/>
          </w:tcPr>
          <w:p w14:paraId="01EACAF1" w14:textId="77777777" w:rsidR="002C0FD9" w:rsidRPr="00CA25CF" w:rsidRDefault="002C0FD9" w:rsidP="00CA25CF">
            <w:pPr>
              <w:rPr>
                <w:rFonts w:cs="Arial"/>
                <w:color w:val="FF0000"/>
                <w:sz w:val="21"/>
                <w:szCs w:val="21"/>
              </w:rPr>
            </w:pPr>
          </w:p>
        </w:tc>
        <w:tc>
          <w:tcPr>
            <w:tcW w:w="217" w:type="dxa"/>
          </w:tcPr>
          <w:p w14:paraId="277840D1" w14:textId="77777777" w:rsidR="002C0FD9" w:rsidRPr="00CA25CF" w:rsidRDefault="002C0FD9" w:rsidP="00CA25CF">
            <w:pPr>
              <w:rPr>
                <w:rFonts w:cs="Arial"/>
                <w:color w:val="FF0000"/>
                <w:sz w:val="21"/>
                <w:szCs w:val="21"/>
              </w:rPr>
            </w:pPr>
          </w:p>
        </w:tc>
        <w:tc>
          <w:tcPr>
            <w:tcW w:w="217" w:type="dxa"/>
          </w:tcPr>
          <w:p w14:paraId="4B5B4D6C" w14:textId="77777777" w:rsidR="002C0FD9" w:rsidRPr="00CA25CF" w:rsidRDefault="002C0FD9" w:rsidP="00CA25CF">
            <w:pPr>
              <w:rPr>
                <w:rFonts w:cs="Arial"/>
                <w:color w:val="FF0000"/>
                <w:sz w:val="21"/>
                <w:szCs w:val="21"/>
              </w:rPr>
            </w:pPr>
          </w:p>
        </w:tc>
        <w:tc>
          <w:tcPr>
            <w:tcW w:w="217" w:type="dxa"/>
          </w:tcPr>
          <w:p w14:paraId="08B5FB42" w14:textId="77777777" w:rsidR="002C0FD9" w:rsidRPr="00CA25CF" w:rsidRDefault="002C0FD9" w:rsidP="00CA25CF">
            <w:pPr>
              <w:rPr>
                <w:rFonts w:cs="Arial"/>
                <w:color w:val="FF0000"/>
                <w:sz w:val="21"/>
                <w:szCs w:val="21"/>
              </w:rPr>
            </w:pPr>
          </w:p>
        </w:tc>
        <w:tc>
          <w:tcPr>
            <w:tcW w:w="217" w:type="dxa"/>
          </w:tcPr>
          <w:p w14:paraId="4874D058" w14:textId="77777777" w:rsidR="002C0FD9" w:rsidRPr="00CA25CF" w:rsidRDefault="002C0FD9" w:rsidP="00CA25CF">
            <w:pPr>
              <w:rPr>
                <w:rFonts w:cs="Arial"/>
                <w:color w:val="FF0000"/>
                <w:sz w:val="21"/>
                <w:szCs w:val="21"/>
              </w:rPr>
            </w:pPr>
          </w:p>
        </w:tc>
        <w:tc>
          <w:tcPr>
            <w:tcW w:w="217" w:type="dxa"/>
          </w:tcPr>
          <w:p w14:paraId="446990BE" w14:textId="77777777" w:rsidR="002C0FD9" w:rsidRPr="00CA25CF" w:rsidRDefault="002C0FD9" w:rsidP="00CA25CF">
            <w:pPr>
              <w:rPr>
                <w:rFonts w:cs="Arial"/>
                <w:color w:val="FF0000"/>
                <w:sz w:val="21"/>
                <w:szCs w:val="21"/>
              </w:rPr>
            </w:pPr>
          </w:p>
        </w:tc>
        <w:tc>
          <w:tcPr>
            <w:tcW w:w="217" w:type="dxa"/>
          </w:tcPr>
          <w:p w14:paraId="20E29B86" w14:textId="77777777" w:rsidR="002C0FD9" w:rsidRPr="00CA25CF" w:rsidRDefault="002C0FD9" w:rsidP="00CA25CF">
            <w:pPr>
              <w:rPr>
                <w:rFonts w:cs="Arial"/>
                <w:color w:val="FF0000"/>
                <w:sz w:val="21"/>
                <w:szCs w:val="21"/>
              </w:rPr>
            </w:pPr>
          </w:p>
        </w:tc>
        <w:tc>
          <w:tcPr>
            <w:tcW w:w="217" w:type="dxa"/>
          </w:tcPr>
          <w:p w14:paraId="307516A2" w14:textId="77777777" w:rsidR="002C0FD9" w:rsidRPr="00CA25CF" w:rsidRDefault="002C0FD9" w:rsidP="00CA25CF">
            <w:pPr>
              <w:rPr>
                <w:rFonts w:cs="Arial"/>
                <w:color w:val="FF0000"/>
                <w:sz w:val="21"/>
                <w:szCs w:val="21"/>
              </w:rPr>
            </w:pPr>
          </w:p>
        </w:tc>
        <w:tc>
          <w:tcPr>
            <w:tcW w:w="217" w:type="dxa"/>
          </w:tcPr>
          <w:p w14:paraId="16F20C1C" w14:textId="77777777" w:rsidR="002C0FD9" w:rsidRPr="00CA25CF" w:rsidRDefault="002C0FD9" w:rsidP="00CA25CF">
            <w:pPr>
              <w:rPr>
                <w:rFonts w:cs="Arial"/>
                <w:color w:val="FF0000"/>
                <w:sz w:val="21"/>
                <w:szCs w:val="21"/>
              </w:rPr>
            </w:pPr>
          </w:p>
        </w:tc>
        <w:tc>
          <w:tcPr>
            <w:tcW w:w="217" w:type="dxa"/>
          </w:tcPr>
          <w:p w14:paraId="5EC75E0B" w14:textId="77777777" w:rsidR="002C0FD9" w:rsidRPr="00CA25CF" w:rsidRDefault="002C0FD9" w:rsidP="00CA25CF">
            <w:pPr>
              <w:rPr>
                <w:rFonts w:cs="Arial"/>
                <w:color w:val="FF0000"/>
                <w:sz w:val="21"/>
                <w:szCs w:val="21"/>
              </w:rPr>
            </w:pPr>
          </w:p>
        </w:tc>
        <w:tc>
          <w:tcPr>
            <w:tcW w:w="217" w:type="dxa"/>
          </w:tcPr>
          <w:p w14:paraId="216FBDF7" w14:textId="77777777" w:rsidR="002C0FD9" w:rsidRPr="00CA25CF" w:rsidRDefault="002C0FD9" w:rsidP="00CA25CF">
            <w:pPr>
              <w:rPr>
                <w:rFonts w:cs="Arial"/>
                <w:color w:val="FF0000"/>
                <w:sz w:val="21"/>
                <w:szCs w:val="21"/>
              </w:rPr>
            </w:pPr>
          </w:p>
        </w:tc>
        <w:tc>
          <w:tcPr>
            <w:tcW w:w="217" w:type="dxa"/>
          </w:tcPr>
          <w:p w14:paraId="56D76AC5" w14:textId="77777777" w:rsidR="002C0FD9" w:rsidRPr="00CA25CF" w:rsidRDefault="002C0FD9" w:rsidP="00CA25CF">
            <w:pPr>
              <w:rPr>
                <w:rFonts w:cs="Arial"/>
                <w:color w:val="FF0000"/>
                <w:sz w:val="21"/>
                <w:szCs w:val="21"/>
              </w:rPr>
            </w:pPr>
          </w:p>
        </w:tc>
        <w:tc>
          <w:tcPr>
            <w:tcW w:w="217" w:type="dxa"/>
          </w:tcPr>
          <w:p w14:paraId="2127F0B1" w14:textId="77777777" w:rsidR="002C0FD9" w:rsidRPr="00CA25CF" w:rsidRDefault="002C0FD9" w:rsidP="00CA25CF">
            <w:pPr>
              <w:rPr>
                <w:rFonts w:cs="Arial"/>
                <w:color w:val="FF0000"/>
                <w:sz w:val="21"/>
                <w:szCs w:val="21"/>
              </w:rPr>
            </w:pPr>
          </w:p>
        </w:tc>
        <w:tc>
          <w:tcPr>
            <w:tcW w:w="217" w:type="dxa"/>
          </w:tcPr>
          <w:p w14:paraId="14498A13" w14:textId="77777777" w:rsidR="002C0FD9" w:rsidRPr="00CA25CF" w:rsidRDefault="002C0FD9" w:rsidP="00CA25CF">
            <w:pPr>
              <w:rPr>
                <w:rFonts w:cs="Arial"/>
                <w:color w:val="FF0000"/>
                <w:sz w:val="21"/>
                <w:szCs w:val="21"/>
              </w:rPr>
            </w:pPr>
          </w:p>
        </w:tc>
        <w:tc>
          <w:tcPr>
            <w:tcW w:w="217" w:type="dxa"/>
          </w:tcPr>
          <w:p w14:paraId="6442B139" w14:textId="77777777" w:rsidR="002C0FD9" w:rsidRPr="00CA25CF" w:rsidRDefault="002C0FD9" w:rsidP="00CA25CF">
            <w:pPr>
              <w:rPr>
                <w:rFonts w:cs="Arial"/>
                <w:color w:val="FF0000"/>
                <w:sz w:val="21"/>
                <w:szCs w:val="21"/>
              </w:rPr>
            </w:pPr>
          </w:p>
        </w:tc>
        <w:tc>
          <w:tcPr>
            <w:tcW w:w="217" w:type="dxa"/>
          </w:tcPr>
          <w:p w14:paraId="6D95CBFE" w14:textId="77777777" w:rsidR="002C0FD9" w:rsidRPr="00CA25CF" w:rsidRDefault="002C0FD9" w:rsidP="00CA25CF">
            <w:pPr>
              <w:rPr>
                <w:rFonts w:cs="Arial"/>
                <w:color w:val="FF0000"/>
                <w:sz w:val="21"/>
                <w:szCs w:val="21"/>
              </w:rPr>
            </w:pPr>
          </w:p>
        </w:tc>
      </w:tr>
      <w:tr w:rsidR="002C0FD9" w:rsidRPr="00A16219" w14:paraId="1BC2A204" w14:textId="5F708AC8" w:rsidTr="002C0FD9">
        <w:trPr>
          <w:trHeight w:val="635"/>
        </w:trPr>
        <w:tc>
          <w:tcPr>
            <w:tcW w:w="515" w:type="dxa"/>
          </w:tcPr>
          <w:p w14:paraId="1D19AA1C" w14:textId="77777777" w:rsidR="002C0FD9" w:rsidRPr="00CA25CF" w:rsidRDefault="002C0FD9" w:rsidP="00CA25CF">
            <w:pPr>
              <w:rPr>
                <w:rFonts w:cs="Arial"/>
                <w:color w:val="FF0000"/>
                <w:sz w:val="21"/>
                <w:szCs w:val="21"/>
              </w:rPr>
            </w:pPr>
          </w:p>
        </w:tc>
        <w:tc>
          <w:tcPr>
            <w:tcW w:w="217" w:type="dxa"/>
          </w:tcPr>
          <w:p w14:paraId="6B99558A" w14:textId="77777777" w:rsidR="002C0FD9" w:rsidRPr="00CA25CF" w:rsidRDefault="002C0FD9" w:rsidP="00CA25CF">
            <w:pPr>
              <w:rPr>
                <w:rFonts w:cs="Arial"/>
                <w:color w:val="FF0000"/>
                <w:sz w:val="21"/>
                <w:szCs w:val="21"/>
              </w:rPr>
            </w:pPr>
          </w:p>
        </w:tc>
        <w:tc>
          <w:tcPr>
            <w:tcW w:w="217" w:type="dxa"/>
          </w:tcPr>
          <w:p w14:paraId="7C9FC83D" w14:textId="73B46BD2" w:rsidR="002C0FD9" w:rsidRPr="00CA25CF" w:rsidRDefault="002C0FD9" w:rsidP="00CA25CF">
            <w:pPr>
              <w:rPr>
                <w:rFonts w:cs="Arial"/>
                <w:color w:val="FF0000"/>
                <w:sz w:val="21"/>
                <w:szCs w:val="21"/>
              </w:rPr>
            </w:pPr>
          </w:p>
        </w:tc>
        <w:tc>
          <w:tcPr>
            <w:tcW w:w="217" w:type="dxa"/>
          </w:tcPr>
          <w:p w14:paraId="18D1C4B9" w14:textId="77777777" w:rsidR="002C0FD9" w:rsidRPr="00CA25CF" w:rsidRDefault="002C0FD9" w:rsidP="00CA25CF">
            <w:pPr>
              <w:rPr>
                <w:rFonts w:cs="Arial"/>
                <w:color w:val="FF0000"/>
                <w:sz w:val="21"/>
                <w:szCs w:val="21"/>
              </w:rPr>
            </w:pPr>
          </w:p>
        </w:tc>
        <w:tc>
          <w:tcPr>
            <w:tcW w:w="217" w:type="dxa"/>
          </w:tcPr>
          <w:p w14:paraId="4274AAB9" w14:textId="77777777" w:rsidR="002C0FD9" w:rsidRPr="00CA25CF" w:rsidRDefault="002C0FD9" w:rsidP="00CA25CF">
            <w:pPr>
              <w:rPr>
                <w:rFonts w:cs="Arial"/>
                <w:color w:val="FF0000"/>
                <w:sz w:val="21"/>
                <w:szCs w:val="21"/>
              </w:rPr>
            </w:pPr>
          </w:p>
        </w:tc>
        <w:tc>
          <w:tcPr>
            <w:tcW w:w="217" w:type="dxa"/>
          </w:tcPr>
          <w:p w14:paraId="10C659EB" w14:textId="77777777" w:rsidR="002C0FD9" w:rsidRPr="00CA25CF" w:rsidRDefault="002C0FD9" w:rsidP="00CA25CF">
            <w:pPr>
              <w:rPr>
                <w:rFonts w:cs="Arial"/>
                <w:color w:val="FF0000"/>
                <w:sz w:val="21"/>
                <w:szCs w:val="21"/>
              </w:rPr>
            </w:pPr>
          </w:p>
        </w:tc>
        <w:tc>
          <w:tcPr>
            <w:tcW w:w="217" w:type="dxa"/>
          </w:tcPr>
          <w:p w14:paraId="247456A1" w14:textId="77777777" w:rsidR="002C0FD9" w:rsidRPr="00CA25CF" w:rsidRDefault="002C0FD9" w:rsidP="00CA25CF">
            <w:pPr>
              <w:rPr>
                <w:rFonts w:cs="Arial"/>
                <w:color w:val="FF0000"/>
                <w:sz w:val="21"/>
                <w:szCs w:val="21"/>
              </w:rPr>
            </w:pPr>
          </w:p>
        </w:tc>
        <w:tc>
          <w:tcPr>
            <w:tcW w:w="217" w:type="dxa"/>
          </w:tcPr>
          <w:p w14:paraId="1E2C1231" w14:textId="77777777" w:rsidR="002C0FD9" w:rsidRPr="00CA25CF" w:rsidRDefault="002C0FD9" w:rsidP="00CA25CF">
            <w:pPr>
              <w:rPr>
                <w:rFonts w:cs="Arial"/>
                <w:color w:val="FF0000"/>
                <w:sz w:val="21"/>
                <w:szCs w:val="21"/>
              </w:rPr>
            </w:pPr>
          </w:p>
        </w:tc>
        <w:tc>
          <w:tcPr>
            <w:tcW w:w="217" w:type="dxa"/>
          </w:tcPr>
          <w:p w14:paraId="7BE49607" w14:textId="77777777" w:rsidR="002C0FD9" w:rsidRPr="00CA25CF" w:rsidRDefault="002C0FD9" w:rsidP="00CA25CF">
            <w:pPr>
              <w:rPr>
                <w:rFonts w:cs="Arial"/>
                <w:color w:val="FF0000"/>
                <w:sz w:val="21"/>
                <w:szCs w:val="21"/>
              </w:rPr>
            </w:pPr>
          </w:p>
        </w:tc>
        <w:tc>
          <w:tcPr>
            <w:tcW w:w="217" w:type="dxa"/>
          </w:tcPr>
          <w:p w14:paraId="0B5C7385" w14:textId="77777777" w:rsidR="002C0FD9" w:rsidRPr="00CA25CF" w:rsidRDefault="002C0FD9" w:rsidP="00CA25CF">
            <w:pPr>
              <w:rPr>
                <w:rFonts w:cs="Arial"/>
                <w:color w:val="FF0000"/>
                <w:sz w:val="21"/>
                <w:szCs w:val="21"/>
              </w:rPr>
            </w:pPr>
          </w:p>
        </w:tc>
        <w:tc>
          <w:tcPr>
            <w:tcW w:w="217" w:type="dxa"/>
          </w:tcPr>
          <w:p w14:paraId="74C87B39" w14:textId="77777777" w:rsidR="002C0FD9" w:rsidRPr="00CA25CF" w:rsidRDefault="002C0FD9" w:rsidP="00CA25CF">
            <w:pPr>
              <w:rPr>
                <w:rFonts w:cs="Arial"/>
                <w:color w:val="FF0000"/>
                <w:sz w:val="21"/>
                <w:szCs w:val="21"/>
              </w:rPr>
            </w:pPr>
          </w:p>
        </w:tc>
        <w:tc>
          <w:tcPr>
            <w:tcW w:w="217" w:type="dxa"/>
          </w:tcPr>
          <w:p w14:paraId="4A2C259A" w14:textId="77777777" w:rsidR="002C0FD9" w:rsidRPr="00CA25CF" w:rsidRDefault="002C0FD9" w:rsidP="00CA25CF">
            <w:pPr>
              <w:rPr>
                <w:rFonts w:cs="Arial"/>
                <w:color w:val="FF0000"/>
                <w:sz w:val="21"/>
                <w:szCs w:val="21"/>
              </w:rPr>
            </w:pPr>
          </w:p>
        </w:tc>
        <w:tc>
          <w:tcPr>
            <w:tcW w:w="217" w:type="dxa"/>
          </w:tcPr>
          <w:p w14:paraId="1AAB745E" w14:textId="77777777" w:rsidR="002C0FD9" w:rsidRPr="00CA25CF" w:rsidRDefault="002C0FD9" w:rsidP="00CA25CF">
            <w:pPr>
              <w:rPr>
                <w:rFonts w:cs="Arial"/>
                <w:color w:val="FF0000"/>
                <w:sz w:val="21"/>
                <w:szCs w:val="21"/>
              </w:rPr>
            </w:pPr>
          </w:p>
        </w:tc>
        <w:tc>
          <w:tcPr>
            <w:tcW w:w="217" w:type="dxa"/>
          </w:tcPr>
          <w:p w14:paraId="3E9BF172" w14:textId="77777777" w:rsidR="002C0FD9" w:rsidRPr="00CA25CF" w:rsidRDefault="002C0FD9" w:rsidP="00CA25CF">
            <w:pPr>
              <w:rPr>
                <w:rFonts w:cs="Arial"/>
                <w:color w:val="FF0000"/>
                <w:sz w:val="21"/>
                <w:szCs w:val="21"/>
              </w:rPr>
            </w:pPr>
          </w:p>
        </w:tc>
        <w:tc>
          <w:tcPr>
            <w:tcW w:w="217" w:type="dxa"/>
          </w:tcPr>
          <w:p w14:paraId="7F8A7E33" w14:textId="77777777" w:rsidR="002C0FD9" w:rsidRPr="00CA25CF" w:rsidRDefault="002C0FD9" w:rsidP="00CA25CF">
            <w:pPr>
              <w:rPr>
                <w:rFonts w:cs="Arial"/>
                <w:color w:val="FF0000"/>
                <w:sz w:val="21"/>
                <w:szCs w:val="21"/>
              </w:rPr>
            </w:pPr>
          </w:p>
        </w:tc>
        <w:tc>
          <w:tcPr>
            <w:tcW w:w="217" w:type="dxa"/>
          </w:tcPr>
          <w:p w14:paraId="5F6911F8" w14:textId="1A103C43" w:rsidR="002C0FD9" w:rsidRPr="00CA25CF" w:rsidRDefault="002C0FD9" w:rsidP="00CA25CF">
            <w:pPr>
              <w:rPr>
                <w:rFonts w:cs="Arial"/>
                <w:color w:val="FF0000"/>
                <w:sz w:val="21"/>
                <w:szCs w:val="21"/>
              </w:rPr>
            </w:pPr>
          </w:p>
        </w:tc>
        <w:tc>
          <w:tcPr>
            <w:tcW w:w="217" w:type="dxa"/>
          </w:tcPr>
          <w:p w14:paraId="5CE3440A" w14:textId="77777777" w:rsidR="002C0FD9" w:rsidRPr="00CA25CF" w:rsidRDefault="002C0FD9" w:rsidP="00CA25CF">
            <w:pPr>
              <w:rPr>
                <w:rFonts w:cs="Arial"/>
                <w:color w:val="FF0000"/>
                <w:sz w:val="21"/>
                <w:szCs w:val="21"/>
              </w:rPr>
            </w:pPr>
          </w:p>
        </w:tc>
        <w:tc>
          <w:tcPr>
            <w:tcW w:w="217" w:type="dxa"/>
          </w:tcPr>
          <w:p w14:paraId="15B61185" w14:textId="77777777" w:rsidR="002C0FD9" w:rsidRPr="00CA25CF" w:rsidRDefault="002C0FD9" w:rsidP="00CA25CF">
            <w:pPr>
              <w:rPr>
                <w:rFonts w:cs="Arial"/>
                <w:color w:val="FF0000"/>
                <w:sz w:val="21"/>
                <w:szCs w:val="21"/>
              </w:rPr>
            </w:pPr>
          </w:p>
        </w:tc>
        <w:tc>
          <w:tcPr>
            <w:tcW w:w="217" w:type="dxa"/>
          </w:tcPr>
          <w:p w14:paraId="04CAE5A6" w14:textId="77777777" w:rsidR="002C0FD9" w:rsidRPr="00CA25CF" w:rsidRDefault="002C0FD9" w:rsidP="00CA25CF">
            <w:pPr>
              <w:rPr>
                <w:rFonts w:cs="Arial"/>
                <w:color w:val="FF0000"/>
                <w:sz w:val="21"/>
                <w:szCs w:val="21"/>
              </w:rPr>
            </w:pPr>
          </w:p>
        </w:tc>
        <w:tc>
          <w:tcPr>
            <w:tcW w:w="217" w:type="dxa"/>
          </w:tcPr>
          <w:p w14:paraId="76D8CBF8" w14:textId="77777777" w:rsidR="002C0FD9" w:rsidRPr="00CA25CF" w:rsidRDefault="002C0FD9" w:rsidP="00CA25CF">
            <w:pPr>
              <w:rPr>
                <w:rFonts w:cs="Arial"/>
                <w:color w:val="FF0000"/>
                <w:sz w:val="21"/>
                <w:szCs w:val="21"/>
              </w:rPr>
            </w:pPr>
          </w:p>
        </w:tc>
        <w:tc>
          <w:tcPr>
            <w:tcW w:w="217" w:type="dxa"/>
          </w:tcPr>
          <w:p w14:paraId="7615F1E9" w14:textId="77777777" w:rsidR="002C0FD9" w:rsidRPr="00CA25CF" w:rsidRDefault="002C0FD9" w:rsidP="00CA25CF">
            <w:pPr>
              <w:rPr>
                <w:rFonts w:cs="Arial"/>
                <w:color w:val="FF0000"/>
                <w:sz w:val="21"/>
                <w:szCs w:val="21"/>
              </w:rPr>
            </w:pPr>
          </w:p>
        </w:tc>
        <w:tc>
          <w:tcPr>
            <w:tcW w:w="217" w:type="dxa"/>
          </w:tcPr>
          <w:p w14:paraId="42EE6B69" w14:textId="77777777" w:rsidR="002C0FD9" w:rsidRPr="00CA25CF" w:rsidRDefault="002C0FD9" w:rsidP="00CA25CF">
            <w:pPr>
              <w:rPr>
                <w:rFonts w:cs="Arial"/>
                <w:color w:val="FF0000"/>
                <w:sz w:val="21"/>
                <w:szCs w:val="21"/>
              </w:rPr>
            </w:pPr>
          </w:p>
        </w:tc>
        <w:tc>
          <w:tcPr>
            <w:tcW w:w="217" w:type="dxa"/>
          </w:tcPr>
          <w:p w14:paraId="7B88F923" w14:textId="77777777" w:rsidR="002C0FD9" w:rsidRPr="00CA25CF" w:rsidRDefault="002C0FD9" w:rsidP="00CA25CF">
            <w:pPr>
              <w:rPr>
                <w:rFonts w:cs="Arial"/>
                <w:color w:val="FF0000"/>
                <w:sz w:val="21"/>
                <w:szCs w:val="21"/>
              </w:rPr>
            </w:pPr>
          </w:p>
        </w:tc>
        <w:tc>
          <w:tcPr>
            <w:tcW w:w="217" w:type="dxa"/>
          </w:tcPr>
          <w:p w14:paraId="50CAB5CA" w14:textId="77777777" w:rsidR="002C0FD9" w:rsidRPr="00CA25CF" w:rsidRDefault="002C0FD9" w:rsidP="00CA25CF">
            <w:pPr>
              <w:rPr>
                <w:rFonts w:cs="Arial"/>
                <w:color w:val="FF0000"/>
                <w:sz w:val="21"/>
                <w:szCs w:val="21"/>
              </w:rPr>
            </w:pPr>
          </w:p>
        </w:tc>
        <w:tc>
          <w:tcPr>
            <w:tcW w:w="217" w:type="dxa"/>
          </w:tcPr>
          <w:p w14:paraId="0BACECD0" w14:textId="77777777" w:rsidR="002C0FD9" w:rsidRPr="00CA25CF" w:rsidRDefault="002C0FD9" w:rsidP="00CA25CF">
            <w:pPr>
              <w:rPr>
                <w:rFonts w:cs="Arial"/>
                <w:color w:val="FF0000"/>
                <w:sz w:val="21"/>
                <w:szCs w:val="21"/>
              </w:rPr>
            </w:pPr>
          </w:p>
        </w:tc>
        <w:tc>
          <w:tcPr>
            <w:tcW w:w="217" w:type="dxa"/>
          </w:tcPr>
          <w:p w14:paraId="0405A6A8" w14:textId="77777777" w:rsidR="002C0FD9" w:rsidRPr="00CA25CF" w:rsidRDefault="002C0FD9" w:rsidP="00CA25CF">
            <w:pPr>
              <w:rPr>
                <w:rFonts w:cs="Arial"/>
                <w:color w:val="FF0000"/>
                <w:sz w:val="21"/>
                <w:szCs w:val="21"/>
              </w:rPr>
            </w:pPr>
          </w:p>
        </w:tc>
        <w:tc>
          <w:tcPr>
            <w:tcW w:w="217" w:type="dxa"/>
          </w:tcPr>
          <w:p w14:paraId="67D72C42" w14:textId="77777777" w:rsidR="002C0FD9" w:rsidRPr="00CA25CF" w:rsidRDefault="002C0FD9" w:rsidP="00CA25CF">
            <w:pPr>
              <w:rPr>
                <w:rFonts w:cs="Arial"/>
                <w:color w:val="FF0000"/>
                <w:sz w:val="21"/>
                <w:szCs w:val="21"/>
              </w:rPr>
            </w:pPr>
          </w:p>
        </w:tc>
        <w:tc>
          <w:tcPr>
            <w:tcW w:w="217" w:type="dxa"/>
          </w:tcPr>
          <w:p w14:paraId="44C9C6C7" w14:textId="77777777" w:rsidR="002C0FD9" w:rsidRPr="00CA25CF" w:rsidRDefault="002C0FD9" w:rsidP="00CA25CF">
            <w:pPr>
              <w:rPr>
                <w:rFonts w:cs="Arial"/>
                <w:color w:val="FF0000"/>
                <w:sz w:val="21"/>
                <w:szCs w:val="21"/>
              </w:rPr>
            </w:pPr>
          </w:p>
        </w:tc>
        <w:tc>
          <w:tcPr>
            <w:tcW w:w="217" w:type="dxa"/>
          </w:tcPr>
          <w:p w14:paraId="0BDBA23A" w14:textId="77777777" w:rsidR="002C0FD9" w:rsidRPr="00CA25CF" w:rsidRDefault="002C0FD9" w:rsidP="00CA25CF">
            <w:pPr>
              <w:rPr>
                <w:rFonts w:cs="Arial"/>
                <w:color w:val="FF0000"/>
                <w:sz w:val="21"/>
                <w:szCs w:val="21"/>
              </w:rPr>
            </w:pPr>
          </w:p>
        </w:tc>
        <w:tc>
          <w:tcPr>
            <w:tcW w:w="217" w:type="dxa"/>
          </w:tcPr>
          <w:p w14:paraId="03EB4E0F" w14:textId="77777777" w:rsidR="002C0FD9" w:rsidRPr="00CA25CF" w:rsidRDefault="002C0FD9" w:rsidP="00CA25CF">
            <w:pPr>
              <w:rPr>
                <w:rFonts w:cs="Arial"/>
                <w:color w:val="FF0000"/>
                <w:sz w:val="21"/>
                <w:szCs w:val="21"/>
              </w:rPr>
            </w:pPr>
          </w:p>
        </w:tc>
        <w:tc>
          <w:tcPr>
            <w:tcW w:w="217" w:type="dxa"/>
          </w:tcPr>
          <w:p w14:paraId="751E57C2" w14:textId="77777777" w:rsidR="002C0FD9" w:rsidRPr="00CA25CF" w:rsidRDefault="002C0FD9" w:rsidP="00CA25CF">
            <w:pPr>
              <w:rPr>
                <w:rFonts w:cs="Arial"/>
                <w:color w:val="FF0000"/>
                <w:sz w:val="21"/>
                <w:szCs w:val="21"/>
              </w:rPr>
            </w:pPr>
          </w:p>
        </w:tc>
        <w:tc>
          <w:tcPr>
            <w:tcW w:w="217" w:type="dxa"/>
          </w:tcPr>
          <w:p w14:paraId="2819A42A" w14:textId="77777777" w:rsidR="002C0FD9" w:rsidRPr="00CA25CF" w:rsidRDefault="002C0FD9" w:rsidP="00CA25CF">
            <w:pPr>
              <w:rPr>
                <w:rFonts w:cs="Arial"/>
                <w:color w:val="FF0000"/>
                <w:sz w:val="21"/>
                <w:szCs w:val="21"/>
              </w:rPr>
            </w:pPr>
          </w:p>
        </w:tc>
        <w:tc>
          <w:tcPr>
            <w:tcW w:w="217" w:type="dxa"/>
          </w:tcPr>
          <w:p w14:paraId="7ABBAE4E" w14:textId="77777777" w:rsidR="002C0FD9" w:rsidRPr="00CA25CF" w:rsidRDefault="002C0FD9" w:rsidP="00CA25CF">
            <w:pPr>
              <w:rPr>
                <w:rFonts w:cs="Arial"/>
                <w:color w:val="FF0000"/>
                <w:sz w:val="21"/>
                <w:szCs w:val="21"/>
              </w:rPr>
            </w:pPr>
          </w:p>
        </w:tc>
        <w:tc>
          <w:tcPr>
            <w:tcW w:w="217" w:type="dxa"/>
          </w:tcPr>
          <w:p w14:paraId="0D1AD861" w14:textId="77777777" w:rsidR="002C0FD9" w:rsidRPr="00CA25CF" w:rsidRDefault="002C0FD9" w:rsidP="00CA25CF">
            <w:pPr>
              <w:rPr>
                <w:rFonts w:cs="Arial"/>
                <w:color w:val="FF0000"/>
                <w:sz w:val="21"/>
                <w:szCs w:val="21"/>
              </w:rPr>
            </w:pPr>
          </w:p>
        </w:tc>
        <w:tc>
          <w:tcPr>
            <w:tcW w:w="217" w:type="dxa"/>
          </w:tcPr>
          <w:p w14:paraId="59EBC63F" w14:textId="77777777" w:rsidR="002C0FD9" w:rsidRPr="00CA25CF" w:rsidRDefault="002C0FD9" w:rsidP="00CA25CF">
            <w:pPr>
              <w:rPr>
                <w:rFonts w:cs="Arial"/>
                <w:color w:val="FF0000"/>
                <w:sz w:val="21"/>
                <w:szCs w:val="21"/>
              </w:rPr>
            </w:pPr>
          </w:p>
        </w:tc>
        <w:tc>
          <w:tcPr>
            <w:tcW w:w="217" w:type="dxa"/>
          </w:tcPr>
          <w:p w14:paraId="452143E4" w14:textId="77777777" w:rsidR="002C0FD9" w:rsidRPr="00CA25CF" w:rsidRDefault="002C0FD9" w:rsidP="00CA25CF">
            <w:pPr>
              <w:rPr>
                <w:rFonts w:cs="Arial"/>
                <w:color w:val="FF0000"/>
                <w:sz w:val="21"/>
                <w:szCs w:val="21"/>
              </w:rPr>
            </w:pPr>
          </w:p>
        </w:tc>
        <w:tc>
          <w:tcPr>
            <w:tcW w:w="217" w:type="dxa"/>
          </w:tcPr>
          <w:p w14:paraId="283655F9" w14:textId="77777777" w:rsidR="002C0FD9" w:rsidRPr="00CA25CF" w:rsidRDefault="002C0FD9" w:rsidP="00CA25CF">
            <w:pPr>
              <w:rPr>
                <w:rFonts w:cs="Arial"/>
                <w:color w:val="FF0000"/>
                <w:sz w:val="21"/>
                <w:szCs w:val="21"/>
              </w:rPr>
            </w:pPr>
          </w:p>
        </w:tc>
        <w:tc>
          <w:tcPr>
            <w:tcW w:w="217" w:type="dxa"/>
          </w:tcPr>
          <w:p w14:paraId="478D0A9F" w14:textId="77777777" w:rsidR="002C0FD9" w:rsidRPr="00CA25CF" w:rsidRDefault="002C0FD9" w:rsidP="00CA25CF">
            <w:pPr>
              <w:rPr>
                <w:rFonts w:cs="Arial"/>
                <w:color w:val="FF0000"/>
                <w:sz w:val="21"/>
                <w:szCs w:val="21"/>
              </w:rPr>
            </w:pPr>
          </w:p>
        </w:tc>
        <w:tc>
          <w:tcPr>
            <w:tcW w:w="217" w:type="dxa"/>
          </w:tcPr>
          <w:p w14:paraId="08DD5573" w14:textId="77777777" w:rsidR="002C0FD9" w:rsidRPr="00CA25CF" w:rsidRDefault="002C0FD9" w:rsidP="00CA25CF">
            <w:pPr>
              <w:rPr>
                <w:rFonts w:cs="Arial"/>
                <w:color w:val="FF0000"/>
                <w:sz w:val="21"/>
                <w:szCs w:val="21"/>
              </w:rPr>
            </w:pPr>
          </w:p>
        </w:tc>
        <w:tc>
          <w:tcPr>
            <w:tcW w:w="217" w:type="dxa"/>
          </w:tcPr>
          <w:p w14:paraId="2E23CE88" w14:textId="77777777" w:rsidR="002C0FD9" w:rsidRPr="00CA25CF" w:rsidRDefault="002C0FD9" w:rsidP="00CA25CF">
            <w:pPr>
              <w:rPr>
                <w:rFonts w:cs="Arial"/>
                <w:color w:val="FF0000"/>
                <w:sz w:val="21"/>
                <w:szCs w:val="21"/>
              </w:rPr>
            </w:pPr>
          </w:p>
        </w:tc>
        <w:tc>
          <w:tcPr>
            <w:tcW w:w="217" w:type="dxa"/>
          </w:tcPr>
          <w:p w14:paraId="2EB70243" w14:textId="77777777" w:rsidR="002C0FD9" w:rsidRPr="00CA25CF" w:rsidRDefault="002C0FD9" w:rsidP="00CA25CF">
            <w:pPr>
              <w:rPr>
                <w:rFonts w:cs="Arial"/>
                <w:color w:val="FF0000"/>
                <w:sz w:val="21"/>
                <w:szCs w:val="21"/>
              </w:rPr>
            </w:pPr>
          </w:p>
        </w:tc>
        <w:tc>
          <w:tcPr>
            <w:tcW w:w="217" w:type="dxa"/>
          </w:tcPr>
          <w:p w14:paraId="3DDE896D" w14:textId="77777777" w:rsidR="002C0FD9" w:rsidRPr="00CA25CF" w:rsidRDefault="002C0FD9" w:rsidP="00CA25CF">
            <w:pPr>
              <w:rPr>
                <w:rFonts w:cs="Arial"/>
                <w:color w:val="FF0000"/>
                <w:sz w:val="21"/>
                <w:szCs w:val="21"/>
              </w:rPr>
            </w:pPr>
          </w:p>
        </w:tc>
        <w:tc>
          <w:tcPr>
            <w:tcW w:w="217" w:type="dxa"/>
          </w:tcPr>
          <w:p w14:paraId="1D4AE035" w14:textId="77777777" w:rsidR="002C0FD9" w:rsidRPr="00CA25CF" w:rsidRDefault="002C0FD9" w:rsidP="00CA25CF">
            <w:pPr>
              <w:rPr>
                <w:rFonts w:cs="Arial"/>
                <w:color w:val="FF0000"/>
                <w:sz w:val="21"/>
                <w:szCs w:val="21"/>
              </w:rPr>
            </w:pPr>
          </w:p>
        </w:tc>
      </w:tr>
      <w:tr w:rsidR="002C0FD9" w:rsidRPr="00A16219" w14:paraId="2F50E1CD" w14:textId="356EEB0B" w:rsidTr="002C0FD9">
        <w:trPr>
          <w:trHeight w:val="635"/>
        </w:trPr>
        <w:tc>
          <w:tcPr>
            <w:tcW w:w="515" w:type="dxa"/>
          </w:tcPr>
          <w:p w14:paraId="14CE407B" w14:textId="77777777" w:rsidR="002C0FD9" w:rsidRPr="00CA25CF" w:rsidRDefault="002C0FD9" w:rsidP="00CA25CF">
            <w:pPr>
              <w:rPr>
                <w:rFonts w:cs="Arial"/>
                <w:color w:val="FF0000"/>
                <w:sz w:val="21"/>
                <w:szCs w:val="21"/>
              </w:rPr>
            </w:pPr>
          </w:p>
        </w:tc>
        <w:tc>
          <w:tcPr>
            <w:tcW w:w="217" w:type="dxa"/>
          </w:tcPr>
          <w:p w14:paraId="6EB828EF" w14:textId="77777777" w:rsidR="002C0FD9" w:rsidRPr="00CA25CF" w:rsidRDefault="002C0FD9" w:rsidP="00CA25CF">
            <w:pPr>
              <w:rPr>
                <w:rFonts w:cs="Arial"/>
                <w:color w:val="FF0000"/>
                <w:sz w:val="21"/>
                <w:szCs w:val="21"/>
              </w:rPr>
            </w:pPr>
          </w:p>
        </w:tc>
        <w:tc>
          <w:tcPr>
            <w:tcW w:w="217" w:type="dxa"/>
          </w:tcPr>
          <w:p w14:paraId="478C7E08" w14:textId="59E985A0" w:rsidR="002C0FD9" w:rsidRPr="00CA25CF" w:rsidRDefault="002C0FD9" w:rsidP="00CA25CF">
            <w:pPr>
              <w:rPr>
                <w:rFonts w:cs="Arial"/>
                <w:color w:val="FF0000"/>
                <w:sz w:val="21"/>
                <w:szCs w:val="21"/>
              </w:rPr>
            </w:pPr>
          </w:p>
        </w:tc>
        <w:tc>
          <w:tcPr>
            <w:tcW w:w="217" w:type="dxa"/>
          </w:tcPr>
          <w:p w14:paraId="73CBE074" w14:textId="77777777" w:rsidR="002C0FD9" w:rsidRPr="00CA25CF" w:rsidRDefault="002C0FD9" w:rsidP="00CA25CF">
            <w:pPr>
              <w:rPr>
                <w:rFonts w:cs="Arial"/>
                <w:color w:val="FF0000"/>
                <w:sz w:val="21"/>
                <w:szCs w:val="21"/>
              </w:rPr>
            </w:pPr>
          </w:p>
        </w:tc>
        <w:tc>
          <w:tcPr>
            <w:tcW w:w="217" w:type="dxa"/>
          </w:tcPr>
          <w:p w14:paraId="6F6EC364" w14:textId="77777777" w:rsidR="002C0FD9" w:rsidRPr="00CA25CF" w:rsidRDefault="002C0FD9" w:rsidP="00CA25CF">
            <w:pPr>
              <w:rPr>
                <w:rFonts w:cs="Arial"/>
                <w:color w:val="FF0000"/>
                <w:sz w:val="21"/>
                <w:szCs w:val="21"/>
              </w:rPr>
            </w:pPr>
          </w:p>
        </w:tc>
        <w:tc>
          <w:tcPr>
            <w:tcW w:w="217" w:type="dxa"/>
          </w:tcPr>
          <w:p w14:paraId="074AB9E9" w14:textId="77777777" w:rsidR="002C0FD9" w:rsidRPr="00CA25CF" w:rsidRDefault="002C0FD9" w:rsidP="00CA25CF">
            <w:pPr>
              <w:rPr>
                <w:rFonts w:cs="Arial"/>
                <w:color w:val="FF0000"/>
                <w:sz w:val="21"/>
                <w:szCs w:val="21"/>
              </w:rPr>
            </w:pPr>
          </w:p>
        </w:tc>
        <w:tc>
          <w:tcPr>
            <w:tcW w:w="217" w:type="dxa"/>
          </w:tcPr>
          <w:p w14:paraId="58CAC662" w14:textId="77777777" w:rsidR="002C0FD9" w:rsidRPr="00CA25CF" w:rsidRDefault="002C0FD9" w:rsidP="00CA25CF">
            <w:pPr>
              <w:rPr>
                <w:rFonts w:cs="Arial"/>
                <w:color w:val="FF0000"/>
                <w:sz w:val="21"/>
                <w:szCs w:val="21"/>
              </w:rPr>
            </w:pPr>
          </w:p>
        </w:tc>
        <w:tc>
          <w:tcPr>
            <w:tcW w:w="217" w:type="dxa"/>
          </w:tcPr>
          <w:p w14:paraId="762973EA" w14:textId="77777777" w:rsidR="002C0FD9" w:rsidRPr="00CA25CF" w:rsidRDefault="002C0FD9" w:rsidP="00CA25CF">
            <w:pPr>
              <w:rPr>
                <w:rFonts w:cs="Arial"/>
                <w:color w:val="FF0000"/>
                <w:sz w:val="21"/>
                <w:szCs w:val="21"/>
              </w:rPr>
            </w:pPr>
          </w:p>
        </w:tc>
        <w:tc>
          <w:tcPr>
            <w:tcW w:w="217" w:type="dxa"/>
          </w:tcPr>
          <w:p w14:paraId="655AA63A" w14:textId="77777777" w:rsidR="002C0FD9" w:rsidRPr="00CA25CF" w:rsidRDefault="002C0FD9" w:rsidP="00CA25CF">
            <w:pPr>
              <w:rPr>
                <w:rFonts w:cs="Arial"/>
                <w:color w:val="FF0000"/>
                <w:sz w:val="21"/>
                <w:szCs w:val="21"/>
              </w:rPr>
            </w:pPr>
          </w:p>
        </w:tc>
        <w:tc>
          <w:tcPr>
            <w:tcW w:w="217" w:type="dxa"/>
          </w:tcPr>
          <w:p w14:paraId="61A7EEA3" w14:textId="77777777" w:rsidR="002C0FD9" w:rsidRPr="00CA25CF" w:rsidRDefault="002C0FD9" w:rsidP="00CA25CF">
            <w:pPr>
              <w:rPr>
                <w:rFonts w:cs="Arial"/>
                <w:color w:val="FF0000"/>
                <w:sz w:val="21"/>
                <w:szCs w:val="21"/>
              </w:rPr>
            </w:pPr>
          </w:p>
        </w:tc>
        <w:tc>
          <w:tcPr>
            <w:tcW w:w="217" w:type="dxa"/>
          </w:tcPr>
          <w:p w14:paraId="027ACED1" w14:textId="77777777" w:rsidR="002C0FD9" w:rsidRPr="00CA25CF" w:rsidRDefault="002C0FD9" w:rsidP="00CA25CF">
            <w:pPr>
              <w:rPr>
                <w:rFonts w:cs="Arial"/>
                <w:color w:val="FF0000"/>
                <w:sz w:val="21"/>
                <w:szCs w:val="21"/>
              </w:rPr>
            </w:pPr>
          </w:p>
        </w:tc>
        <w:tc>
          <w:tcPr>
            <w:tcW w:w="217" w:type="dxa"/>
          </w:tcPr>
          <w:p w14:paraId="3C5CD51C" w14:textId="77777777" w:rsidR="002C0FD9" w:rsidRPr="00CA25CF" w:rsidRDefault="002C0FD9" w:rsidP="00CA25CF">
            <w:pPr>
              <w:rPr>
                <w:rFonts w:cs="Arial"/>
                <w:color w:val="FF0000"/>
                <w:sz w:val="21"/>
                <w:szCs w:val="21"/>
              </w:rPr>
            </w:pPr>
          </w:p>
        </w:tc>
        <w:tc>
          <w:tcPr>
            <w:tcW w:w="217" w:type="dxa"/>
          </w:tcPr>
          <w:p w14:paraId="50685AF4" w14:textId="77777777" w:rsidR="002C0FD9" w:rsidRPr="00CA25CF" w:rsidRDefault="002C0FD9" w:rsidP="00CA25CF">
            <w:pPr>
              <w:rPr>
                <w:rFonts w:cs="Arial"/>
                <w:color w:val="FF0000"/>
                <w:sz w:val="21"/>
                <w:szCs w:val="21"/>
              </w:rPr>
            </w:pPr>
          </w:p>
        </w:tc>
        <w:tc>
          <w:tcPr>
            <w:tcW w:w="217" w:type="dxa"/>
          </w:tcPr>
          <w:p w14:paraId="4E7633EF" w14:textId="77777777" w:rsidR="002C0FD9" w:rsidRPr="00CA25CF" w:rsidRDefault="002C0FD9" w:rsidP="00CA25CF">
            <w:pPr>
              <w:rPr>
                <w:rFonts w:cs="Arial"/>
                <w:color w:val="FF0000"/>
                <w:sz w:val="21"/>
                <w:szCs w:val="21"/>
              </w:rPr>
            </w:pPr>
          </w:p>
        </w:tc>
        <w:tc>
          <w:tcPr>
            <w:tcW w:w="217" w:type="dxa"/>
          </w:tcPr>
          <w:p w14:paraId="27B323E1" w14:textId="77777777" w:rsidR="002C0FD9" w:rsidRPr="00CA25CF" w:rsidRDefault="002C0FD9" w:rsidP="00CA25CF">
            <w:pPr>
              <w:rPr>
                <w:rFonts w:cs="Arial"/>
                <w:color w:val="FF0000"/>
                <w:sz w:val="21"/>
                <w:szCs w:val="21"/>
              </w:rPr>
            </w:pPr>
          </w:p>
        </w:tc>
        <w:tc>
          <w:tcPr>
            <w:tcW w:w="217" w:type="dxa"/>
          </w:tcPr>
          <w:p w14:paraId="2DDD1ECF" w14:textId="50479637" w:rsidR="002C0FD9" w:rsidRPr="00CA25CF" w:rsidRDefault="002C0FD9" w:rsidP="00CA25CF">
            <w:pPr>
              <w:rPr>
                <w:rFonts w:cs="Arial"/>
                <w:color w:val="FF0000"/>
                <w:sz w:val="21"/>
                <w:szCs w:val="21"/>
              </w:rPr>
            </w:pPr>
          </w:p>
        </w:tc>
        <w:tc>
          <w:tcPr>
            <w:tcW w:w="217" w:type="dxa"/>
          </w:tcPr>
          <w:p w14:paraId="16F3B9CD" w14:textId="77777777" w:rsidR="002C0FD9" w:rsidRPr="00CA25CF" w:rsidRDefault="002C0FD9" w:rsidP="00CA25CF">
            <w:pPr>
              <w:rPr>
                <w:rFonts w:cs="Arial"/>
                <w:color w:val="FF0000"/>
                <w:sz w:val="21"/>
                <w:szCs w:val="21"/>
              </w:rPr>
            </w:pPr>
          </w:p>
        </w:tc>
        <w:tc>
          <w:tcPr>
            <w:tcW w:w="217" w:type="dxa"/>
          </w:tcPr>
          <w:p w14:paraId="1F2BB5B5" w14:textId="77777777" w:rsidR="002C0FD9" w:rsidRPr="00CA25CF" w:rsidRDefault="002C0FD9" w:rsidP="00CA25CF">
            <w:pPr>
              <w:rPr>
                <w:rFonts w:cs="Arial"/>
                <w:color w:val="FF0000"/>
                <w:sz w:val="21"/>
                <w:szCs w:val="21"/>
              </w:rPr>
            </w:pPr>
          </w:p>
        </w:tc>
        <w:tc>
          <w:tcPr>
            <w:tcW w:w="217" w:type="dxa"/>
          </w:tcPr>
          <w:p w14:paraId="6AE69820" w14:textId="77777777" w:rsidR="002C0FD9" w:rsidRPr="00CA25CF" w:rsidRDefault="002C0FD9" w:rsidP="00CA25CF">
            <w:pPr>
              <w:rPr>
                <w:rFonts w:cs="Arial"/>
                <w:color w:val="FF0000"/>
                <w:sz w:val="21"/>
                <w:szCs w:val="21"/>
              </w:rPr>
            </w:pPr>
          </w:p>
        </w:tc>
        <w:tc>
          <w:tcPr>
            <w:tcW w:w="217" w:type="dxa"/>
          </w:tcPr>
          <w:p w14:paraId="2B66E662" w14:textId="77777777" w:rsidR="002C0FD9" w:rsidRPr="00CA25CF" w:rsidRDefault="002C0FD9" w:rsidP="00CA25CF">
            <w:pPr>
              <w:rPr>
                <w:rFonts w:cs="Arial"/>
                <w:color w:val="FF0000"/>
                <w:sz w:val="21"/>
                <w:szCs w:val="21"/>
              </w:rPr>
            </w:pPr>
          </w:p>
        </w:tc>
        <w:tc>
          <w:tcPr>
            <w:tcW w:w="217" w:type="dxa"/>
          </w:tcPr>
          <w:p w14:paraId="25A10084" w14:textId="77777777" w:rsidR="002C0FD9" w:rsidRPr="00CA25CF" w:rsidRDefault="002C0FD9" w:rsidP="00CA25CF">
            <w:pPr>
              <w:rPr>
                <w:rFonts w:cs="Arial"/>
                <w:color w:val="FF0000"/>
                <w:sz w:val="21"/>
                <w:szCs w:val="21"/>
              </w:rPr>
            </w:pPr>
          </w:p>
        </w:tc>
        <w:tc>
          <w:tcPr>
            <w:tcW w:w="217" w:type="dxa"/>
          </w:tcPr>
          <w:p w14:paraId="2C9D834C" w14:textId="77777777" w:rsidR="002C0FD9" w:rsidRPr="00CA25CF" w:rsidRDefault="002C0FD9" w:rsidP="00CA25CF">
            <w:pPr>
              <w:rPr>
                <w:rFonts w:cs="Arial"/>
                <w:color w:val="FF0000"/>
                <w:sz w:val="21"/>
                <w:szCs w:val="21"/>
              </w:rPr>
            </w:pPr>
          </w:p>
        </w:tc>
        <w:tc>
          <w:tcPr>
            <w:tcW w:w="217" w:type="dxa"/>
          </w:tcPr>
          <w:p w14:paraId="7B3BC881" w14:textId="77777777" w:rsidR="002C0FD9" w:rsidRPr="00CA25CF" w:rsidRDefault="002C0FD9" w:rsidP="00CA25CF">
            <w:pPr>
              <w:rPr>
                <w:rFonts w:cs="Arial"/>
                <w:color w:val="FF0000"/>
                <w:sz w:val="21"/>
                <w:szCs w:val="21"/>
              </w:rPr>
            </w:pPr>
          </w:p>
        </w:tc>
        <w:tc>
          <w:tcPr>
            <w:tcW w:w="217" w:type="dxa"/>
          </w:tcPr>
          <w:p w14:paraId="3F87EFF4" w14:textId="77777777" w:rsidR="002C0FD9" w:rsidRPr="00CA25CF" w:rsidRDefault="002C0FD9" w:rsidP="00CA25CF">
            <w:pPr>
              <w:rPr>
                <w:rFonts w:cs="Arial"/>
                <w:color w:val="FF0000"/>
                <w:sz w:val="21"/>
                <w:szCs w:val="21"/>
              </w:rPr>
            </w:pPr>
          </w:p>
        </w:tc>
        <w:tc>
          <w:tcPr>
            <w:tcW w:w="217" w:type="dxa"/>
          </w:tcPr>
          <w:p w14:paraId="5D0D3D7A" w14:textId="77777777" w:rsidR="002C0FD9" w:rsidRPr="00CA25CF" w:rsidRDefault="002C0FD9" w:rsidP="00CA25CF">
            <w:pPr>
              <w:rPr>
                <w:rFonts w:cs="Arial"/>
                <w:color w:val="FF0000"/>
                <w:sz w:val="21"/>
                <w:szCs w:val="21"/>
              </w:rPr>
            </w:pPr>
          </w:p>
        </w:tc>
        <w:tc>
          <w:tcPr>
            <w:tcW w:w="217" w:type="dxa"/>
          </w:tcPr>
          <w:p w14:paraId="5FFC695B" w14:textId="77777777" w:rsidR="002C0FD9" w:rsidRPr="00CA25CF" w:rsidRDefault="002C0FD9" w:rsidP="00CA25CF">
            <w:pPr>
              <w:rPr>
                <w:rFonts w:cs="Arial"/>
                <w:color w:val="FF0000"/>
                <w:sz w:val="21"/>
                <w:szCs w:val="21"/>
              </w:rPr>
            </w:pPr>
          </w:p>
        </w:tc>
        <w:tc>
          <w:tcPr>
            <w:tcW w:w="217" w:type="dxa"/>
          </w:tcPr>
          <w:p w14:paraId="7162A172" w14:textId="77777777" w:rsidR="002C0FD9" w:rsidRPr="00CA25CF" w:rsidRDefault="002C0FD9" w:rsidP="00CA25CF">
            <w:pPr>
              <w:rPr>
                <w:rFonts w:cs="Arial"/>
                <w:color w:val="FF0000"/>
                <w:sz w:val="21"/>
                <w:szCs w:val="21"/>
              </w:rPr>
            </w:pPr>
          </w:p>
        </w:tc>
        <w:tc>
          <w:tcPr>
            <w:tcW w:w="217" w:type="dxa"/>
          </w:tcPr>
          <w:p w14:paraId="6FD88700" w14:textId="77777777" w:rsidR="002C0FD9" w:rsidRPr="00CA25CF" w:rsidRDefault="002C0FD9" w:rsidP="00CA25CF">
            <w:pPr>
              <w:rPr>
                <w:rFonts w:cs="Arial"/>
                <w:color w:val="FF0000"/>
                <w:sz w:val="21"/>
                <w:szCs w:val="21"/>
              </w:rPr>
            </w:pPr>
          </w:p>
        </w:tc>
        <w:tc>
          <w:tcPr>
            <w:tcW w:w="217" w:type="dxa"/>
          </w:tcPr>
          <w:p w14:paraId="60BFFD1D" w14:textId="77777777" w:rsidR="002C0FD9" w:rsidRPr="00CA25CF" w:rsidRDefault="002C0FD9" w:rsidP="00CA25CF">
            <w:pPr>
              <w:rPr>
                <w:rFonts w:cs="Arial"/>
                <w:color w:val="FF0000"/>
                <w:sz w:val="21"/>
                <w:szCs w:val="21"/>
              </w:rPr>
            </w:pPr>
          </w:p>
        </w:tc>
        <w:tc>
          <w:tcPr>
            <w:tcW w:w="217" w:type="dxa"/>
          </w:tcPr>
          <w:p w14:paraId="405E33F3" w14:textId="77777777" w:rsidR="002C0FD9" w:rsidRPr="00CA25CF" w:rsidRDefault="002C0FD9" w:rsidP="00CA25CF">
            <w:pPr>
              <w:rPr>
                <w:rFonts w:cs="Arial"/>
                <w:color w:val="FF0000"/>
                <w:sz w:val="21"/>
                <w:szCs w:val="21"/>
              </w:rPr>
            </w:pPr>
          </w:p>
        </w:tc>
        <w:tc>
          <w:tcPr>
            <w:tcW w:w="217" w:type="dxa"/>
          </w:tcPr>
          <w:p w14:paraId="78FBD920" w14:textId="77777777" w:rsidR="002C0FD9" w:rsidRPr="00CA25CF" w:rsidRDefault="002C0FD9" w:rsidP="00CA25CF">
            <w:pPr>
              <w:rPr>
                <w:rFonts w:cs="Arial"/>
                <w:color w:val="FF0000"/>
                <w:sz w:val="21"/>
                <w:szCs w:val="21"/>
              </w:rPr>
            </w:pPr>
          </w:p>
        </w:tc>
        <w:tc>
          <w:tcPr>
            <w:tcW w:w="217" w:type="dxa"/>
          </w:tcPr>
          <w:p w14:paraId="70C59762" w14:textId="77777777" w:rsidR="002C0FD9" w:rsidRPr="00CA25CF" w:rsidRDefault="002C0FD9" w:rsidP="00CA25CF">
            <w:pPr>
              <w:rPr>
                <w:rFonts w:cs="Arial"/>
                <w:color w:val="FF0000"/>
                <w:sz w:val="21"/>
                <w:szCs w:val="21"/>
              </w:rPr>
            </w:pPr>
          </w:p>
        </w:tc>
        <w:tc>
          <w:tcPr>
            <w:tcW w:w="217" w:type="dxa"/>
          </w:tcPr>
          <w:p w14:paraId="674D870E" w14:textId="77777777" w:rsidR="002C0FD9" w:rsidRPr="00CA25CF" w:rsidRDefault="002C0FD9" w:rsidP="00CA25CF">
            <w:pPr>
              <w:rPr>
                <w:rFonts w:cs="Arial"/>
                <w:color w:val="FF0000"/>
                <w:sz w:val="21"/>
                <w:szCs w:val="21"/>
              </w:rPr>
            </w:pPr>
          </w:p>
        </w:tc>
        <w:tc>
          <w:tcPr>
            <w:tcW w:w="217" w:type="dxa"/>
          </w:tcPr>
          <w:p w14:paraId="2443190D" w14:textId="77777777" w:rsidR="002C0FD9" w:rsidRPr="00CA25CF" w:rsidRDefault="002C0FD9" w:rsidP="00CA25CF">
            <w:pPr>
              <w:rPr>
                <w:rFonts w:cs="Arial"/>
                <w:color w:val="FF0000"/>
                <w:sz w:val="21"/>
                <w:szCs w:val="21"/>
              </w:rPr>
            </w:pPr>
          </w:p>
        </w:tc>
        <w:tc>
          <w:tcPr>
            <w:tcW w:w="217" w:type="dxa"/>
          </w:tcPr>
          <w:p w14:paraId="3D24CFF4" w14:textId="77777777" w:rsidR="002C0FD9" w:rsidRPr="00CA25CF" w:rsidRDefault="002C0FD9" w:rsidP="00CA25CF">
            <w:pPr>
              <w:rPr>
                <w:rFonts w:cs="Arial"/>
                <w:color w:val="FF0000"/>
                <w:sz w:val="21"/>
                <w:szCs w:val="21"/>
              </w:rPr>
            </w:pPr>
          </w:p>
        </w:tc>
        <w:tc>
          <w:tcPr>
            <w:tcW w:w="217" w:type="dxa"/>
          </w:tcPr>
          <w:p w14:paraId="484AA160" w14:textId="77777777" w:rsidR="002C0FD9" w:rsidRPr="00CA25CF" w:rsidRDefault="002C0FD9" w:rsidP="00CA25CF">
            <w:pPr>
              <w:rPr>
                <w:rFonts w:cs="Arial"/>
                <w:color w:val="FF0000"/>
                <w:sz w:val="21"/>
                <w:szCs w:val="21"/>
              </w:rPr>
            </w:pPr>
          </w:p>
        </w:tc>
        <w:tc>
          <w:tcPr>
            <w:tcW w:w="217" w:type="dxa"/>
          </w:tcPr>
          <w:p w14:paraId="721DC2A1" w14:textId="77777777" w:rsidR="002C0FD9" w:rsidRPr="00CA25CF" w:rsidRDefault="002C0FD9" w:rsidP="00CA25CF">
            <w:pPr>
              <w:rPr>
                <w:rFonts w:cs="Arial"/>
                <w:color w:val="FF0000"/>
                <w:sz w:val="21"/>
                <w:szCs w:val="21"/>
              </w:rPr>
            </w:pPr>
          </w:p>
        </w:tc>
        <w:tc>
          <w:tcPr>
            <w:tcW w:w="217" w:type="dxa"/>
          </w:tcPr>
          <w:p w14:paraId="7AC083C2" w14:textId="77777777" w:rsidR="002C0FD9" w:rsidRPr="00CA25CF" w:rsidRDefault="002C0FD9" w:rsidP="00CA25CF">
            <w:pPr>
              <w:rPr>
                <w:rFonts w:cs="Arial"/>
                <w:color w:val="FF0000"/>
                <w:sz w:val="21"/>
                <w:szCs w:val="21"/>
              </w:rPr>
            </w:pPr>
          </w:p>
        </w:tc>
        <w:tc>
          <w:tcPr>
            <w:tcW w:w="217" w:type="dxa"/>
          </w:tcPr>
          <w:p w14:paraId="468BB19F" w14:textId="77777777" w:rsidR="002C0FD9" w:rsidRPr="00CA25CF" w:rsidRDefault="002C0FD9" w:rsidP="00CA25CF">
            <w:pPr>
              <w:rPr>
                <w:rFonts w:cs="Arial"/>
                <w:color w:val="FF0000"/>
                <w:sz w:val="21"/>
                <w:szCs w:val="21"/>
              </w:rPr>
            </w:pPr>
          </w:p>
        </w:tc>
        <w:tc>
          <w:tcPr>
            <w:tcW w:w="217" w:type="dxa"/>
          </w:tcPr>
          <w:p w14:paraId="7829FC3F" w14:textId="77777777" w:rsidR="002C0FD9" w:rsidRPr="00CA25CF" w:rsidRDefault="002C0FD9" w:rsidP="00CA25CF">
            <w:pPr>
              <w:rPr>
                <w:rFonts w:cs="Arial"/>
                <w:color w:val="FF0000"/>
                <w:sz w:val="21"/>
                <w:szCs w:val="21"/>
              </w:rPr>
            </w:pPr>
          </w:p>
        </w:tc>
        <w:tc>
          <w:tcPr>
            <w:tcW w:w="217" w:type="dxa"/>
          </w:tcPr>
          <w:p w14:paraId="7DBEF4C5" w14:textId="77777777" w:rsidR="002C0FD9" w:rsidRPr="00CA25CF" w:rsidRDefault="002C0FD9" w:rsidP="00CA25CF">
            <w:pPr>
              <w:rPr>
                <w:rFonts w:cs="Arial"/>
                <w:color w:val="FF0000"/>
                <w:sz w:val="21"/>
                <w:szCs w:val="21"/>
              </w:rPr>
            </w:pPr>
          </w:p>
        </w:tc>
        <w:tc>
          <w:tcPr>
            <w:tcW w:w="217" w:type="dxa"/>
          </w:tcPr>
          <w:p w14:paraId="21C11B62" w14:textId="77777777" w:rsidR="002C0FD9" w:rsidRPr="00CA25CF" w:rsidRDefault="002C0FD9" w:rsidP="00CA25CF">
            <w:pPr>
              <w:rPr>
                <w:rFonts w:cs="Arial"/>
                <w:color w:val="FF0000"/>
                <w:sz w:val="21"/>
                <w:szCs w:val="21"/>
              </w:rPr>
            </w:pPr>
          </w:p>
        </w:tc>
        <w:tc>
          <w:tcPr>
            <w:tcW w:w="217" w:type="dxa"/>
          </w:tcPr>
          <w:p w14:paraId="08445526" w14:textId="77777777" w:rsidR="002C0FD9" w:rsidRPr="00CA25CF" w:rsidRDefault="002C0FD9" w:rsidP="00CA25CF">
            <w:pPr>
              <w:rPr>
                <w:rFonts w:cs="Arial"/>
                <w:color w:val="FF0000"/>
                <w:sz w:val="21"/>
                <w:szCs w:val="21"/>
              </w:rPr>
            </w:pPr>
          </w:p>
        </w:tc>
      </w:tr>
      <w:tr w:rsidR="002C0FD9" w:rsidRPr="00A16219" w14:paraId="1498E16F" w14:textId="04A074E4" w:rsidTr="002C0FD9">
        <w:trPr>
          <w:trHeight w:val="635"/>
        </w:trPr>
        <w:tc>
          <w:tcPr>
            <w:tcW w:w="515" w:type="dxa"/>
          </w:tcPr>
          <w:p w14:paraId="4CF350CF" w14:textId="77777777" w:rsidR="002C0FD9" w:rsidRPr="00CA25CF" w:rsidRDefault="002C0FD9" w:rsidP="00CA25CF">
            <w:pPr>
              <w:rPr>
                <w:rFonts w:cs="Arial"/>
                <w:color w:val="FF0000"/>
                <w:sz w:val="21"/>
                <w:szCs w:val="21"/>
              </w:rPr>
            </w:pPr>
          </w:p>
        </w:tc>
        <w:tc>
          <w:tcPr>
            <w:tcW w:w="217" w:type="dxa"/>
          </w:tcPr>
          <w:p w14:paraId="2B7CDDCD" w14:textId="77777777" w:rsidR="002C0FD9" w:rsidRPr="00CA25CF" w:rsidRDefault="002C0FD9" w:rsidP="00CA25CF">
            <w:pPr>
              <w:rPr>
                <w:rFonts w:cs="Arial"/>
                <w:color w:val="FF0000"/>
                <w:sz w:val="21"/>
                <w:szCs w:val="21"/>
              </w:rPr>
            </w:pPr>
          </w:p>
        </w:tc>
        <w:tc>
          <w:tcPr>
            <w:tcW w:w="217" w:type="dxa"/>
          </w:tcPr>
          <w:p w14:paraId="2D6FFF26" w14:textId="170B670B" w:rsidR="002C0FD9" w:rsidRPr="00CA25CF" w:rsidRDefault="002C0FD9" w:rsidP="00CA25CF">
            <w:pPr>
              <w:rPr>
                <w:rFonts w:cs="Arial"/>
                <w:color w:val="FF0000"/>
                <w:sz w:val="21"/>
                <w:szCs w:val="21"/>
              </w:rPr>
            </w:pPr>
          </w:p>
        </w:tc>
        <w:tc>
          <w:tcPr>
            <w:tcW w:w="217" w:type="dxa"/>
          </w:tcPr>
          <w:p w14:paraId="3C9C2880" w14:textId="77777777" w:rsidR="002C0FD9" w:rsidRPr="00CA25CF" w:rsidRDefault="002C0FD9" w:rsidP="00CA25CF">
            <w:pPr>
              <w:rPr>
                <w:rFonts w:cs="Arial"/>
                <w:color w:val="FF0000"/>
                <w:sz w:val="21"/>
                <w:szCs w:val="21"/>
              </w:rPr>
            </w:pPr>
          </w:p>
        </w:tc>
        <w:tc>
          <w:tcPr>
            <w:tcW w:w="217" w:type="dxa"/>
          </w:tcPr>
          <w:p w14:paraId="4DCA8C38" w14:textId="77777777" w:rsidR="002C0FD9" w:rsidRPr="00CA25CF" w:rsidRDefault="002C0FD9" w:rsidP="00CA25CF">
            <w:pPr>
              <w:rPr>
                <w:rFonts w:cs="Arial"/>
                <w:color w:val="FF0000"/>
                <w:sz w:val="21"/>
                <w:szCs w:val="21"/>
              </w:rPr>
            </w:pPr>
          </w:p>
        </w:tc>
        <w:tc>
          <w:tcPr>
            <w:tcW w:w="217" w:type="dxa"/>
          </w:tcPr>
          <w:p w14:paraId="6E721263" w14:textId="77777777" w:rsidR="002C0FD9" w:rsidRPr="00CA25CF" w:rsidRDefault="002C0FD9" w:rsidP="00CA25CF">
            <w:pPr>
              <w:rPr>
                <w:rFonts w:cs="Arial"/>
                <w:color w:val="FF0000"/>
                <w:sz w:val="21"/>
                <w:szCs w:val="21"/>
              </w:rPr>
            </w:pPr>
          </w:p>
        </w:tc>
        <w:tc>
          <w:tcPr>
            <w:tcW w:w="217" w:type="dxa"/>
          </w:tcPr>
          <w:p w14:paraId="29385C33" w14:textId="77777777" w:rsidR="002C0FD9" w:rsidRPr="00CA25CF" w:rsidRDefault="002C0FD9" w:rsidP="00CA25CF">
            <w:pPr>
              <w:rPr>
                <w:rFonts w:cs="Arial"/>
                <w:color w:val="FF0000"/>
                <w:sz w:val="21"/>
                <w:szCs w:val="21"/>
              </w:rPr>
            </w:pPr>
          </w:p>
        </w:tc>
        <w:tc>
          <w:tcPr>
            <w:tcW w:w="217" w:type="dxa"/>
          </w:tcPr>
          <w:p w14:paraId="7235CA25" w14:textId="77777777" w:rsidR="002C0FD9" w:rsidRPr="00CA25CF" w:rsidRDefault="002C0FD9" w:rsidP="00CA25CF">
            <w:pPr>
              <w:rPr>
                <w:rFonts w:cs="Arial"/>
                <w:color w:val="FF0000"/>
                <w:sz w:val="21"/>
                <w:szCs w:val="21"/>
              </w:rPr>
            </w:pPr>
          </w:p>
        </w:tc>
        <w:tc>
          <w:tcPr>
            <w:tcW w:w="217" w:type="dxa"/>
          </w:tcPr>
          <w:p w14:paraId="59407497" w14:textId="77777777" w:rsidR="002C0FD9" w:rsidRPr="00CA25CF" w:rsidRDefault="002C0FD9" w:rsidP="00CA25CF">
            <w:pPr>
              <w:rPr>
                <w:rFonts w:cs="Arial"/>
                <w:color w:val="FF0000"/>
                <w:sz w:val="21"/>
                <w:szCs w:val="21"/>
              </w:rPr>
            </w:pPr>
          </w:p>
        </w:tc>
        <w:tc>
          <w:tcPr>
            <w:tcW w:w="217" w:type="dxa"/>
          </w:tcPr>
          <w:p w14:paraId="18C5B09B" w14:textId="77777777" w:rsidR="002C0FD9" w:rsidRPr="00CA25CF" w:rsidRDefault="002C0FD9" w:rsidP="00CA25CF">
            <w:pPr>
              <w:rPr>
                <w:rFonts w:cs="Arial"/>
                <w:color w:val="FF0000"/>
                <w:sz w:val="21"/>
                <w:szCs w:val="21"/>
              </w:rPr>
            </w:pPr>
          </w:p>
        </w:tc>
        <w:tc>
          <w:tcPr>
            <w:tcW w:w="217" w:type="dxa"/>
          </w:tcPr>
          <w:p w14:paraId="7314E56D" w14:textId="77777777" w:rsidR="002C0FD9" w:rsidRPr="00CA25CF" w:rsidRDefault="002C0FD9" w:rsidP="00CA25CF">
            <w:pPr>
              <w:rPr>
                <w:rFonts w:cs="Arial"/>
                <w:color w:val="FF0000"/>
                <w:sz w:val="21"/>
                <w:szCs w:val="21"/>
              </w:rPr>
            </w:pPr>
          </w:p>
        </w:tc>
        <w:tc>
          <w:tcPr>
            <w:tcW w:w="217" w:type="dxa"/>
          </w:tcPr>
          <w:p w14:paraId="03B26C81" w14:textId="77777777" w:rsidR="002C0FD9" w:rsidRPr="00CA25CF" w:rsidRDefault="002C0FD9" w:rsidP="00CA25CF">
            <w:pPr>
              <w:rPr>
                <w:rFonts w:cs="Arial"/>
                <w:color w:val="FF0000"/>
                <w:sz w:val="21"/>
                <w:szCs w:val="21"/>
              </w:rPr>
            </w:pPr>
          </w:p>
        </w:tc>
        <w:tc>
          <w:tcPr>
            <w:tcW w:w="217" w:type="dxa"/>
          </w:tcPr>
          <w:p w14:paraId="6EF94589" w14:textId="77777777" w:rsidR="002C0FD9" w:rsidRPr="00CA25CF" w:rsidRDefault="002C0FD9" w:rsidP="00CA25CF">
            <w:pPr>
              <w:rPr>
                <w:rFonts w:cs="Arial"/>
                <w:color w:val="FF0000"/>
                <w:sz w:val="21"/>
                <w:szCs w:val="21"/>
              </w:rPr>
            </w:pPr>
          </w:p>
        </w:tc>
        <w:tc>
          <w:tcPr>
            <w:tcW w:w="217" w:type="dxa"/>
          </w:tcPr>
          <w:p w14:paraId="6BED8D35" w14:textId="77777777" w:rsidR="002C0FD9" w:rsidRPr="00CA25CF" w:rsidRDefault="002C0FD9" w:rsidP="00CA25CF">
            <w:pPr>
              <w:rPr>
                <w:rFonts w:cs="Arial"/>
                <w:color w:val="FF0000"/>
                <w:sz w:val="21"/>
                <w:szCs w:val="21"/>
              </w:rPr>
            </w:pPr>
          </w:p>
        </w:tc>
        <w:tc>
          <w:tcPr>
            <w:tcW w:w="217" w:type="dxa"/>
          </w:tcPr>
          <w:p w14:paraId="134F0E70" w14:textId="77777777" w:rsidR="002C0FD9" w:rsidRPr="00CA25CF" w:rsidRDefault="002C0FD9" w:rsidP="00CA25CF">
            <w:pPr>
              <w:rPr>
                <w:rFonts w:cs="Arial"/>
                <w:color w:val="FF0000"/>
                <w:sz w:val="21"/>
                <w:szCs w:val="21"/>
              </w:rPr>
            </w:pPr>
          </w:p>
        </w:tc>
        <w:tc>
          <w:tcPr>
            <w:tcW w:w="217" w:type="dxa"/>
          </w:tcPr>
          <w:p w14:paraId="1647AB40" w14:textId="23BE5E9D" w:rsidR="002C0FD9" w:rsidRPr="00CA25CF" w:rsidRDefault="002C0FD9" w:rsidP="00CA25CF">
            <w:pPr>
              <w:rPr>
                <w:rFonts w:cs="Arial"/>
                <w:color w:val="FF0000"/>
                <w:sz w:val="21"/>
                <w:szCs w:val="21"/>
              </w:rPr>
            </w:pPr>
          </w:p>
        </w:tc>
        <w:tc>
          <w:tcPr>
            <w:tcW w:w="217" w:type="dxa"/>
          </w:tcPr>
          <w:p w14:paraId="56817304" w14:textId="77777777" w:rsidR="002C0FD9" w:rsidRPr="00CA25CF" w:rsidRDefault="002C0FD9" w:rsidP="00CA25CF">
            <w:pPr>
              <w:rPr>
                <w:rFonts w:cs="Arial"/>
                <w:color w:val="FF0000"/>
                <w:sz w:val="21"/>
                <w:szCs w:val="21"/>
              </w:rPr>
            </w:pPr>
          </w:p>
        </w:tc>
        <w:tc>
          <w:tcPr>
            <w:tcW w:w="217" w:type="dxa"/>
          </w:tcPr>
          <w:p w14:paraId="3F264635" w14:textId="77777777" w:rsidR="002C0FD9" w:rsidRPr="00CA25CF" w:rsidRDefault="002C0FD9" w:rsidP="00CA25CF">
            <w:pPr>
              <w:rPr>
                <w:rFonts w:cs="Arial"/>
                <w:color w:val="FF0000"/>
                <w:sz w:val="21"/>
                <w:szCs w:val="21"/>
              </w:rPr>
            </w:pPr>
          </w:p>
        </w:tc>
        <w:tc>
          <w:tcPr>
            <w:tcW w:w="217" w:type="dxa"/>
          </w:tcPr>
          <w:p w14:paraId="3A602C5B" w14:textId="77777777" w:rsidR="002C0FD9" w:rsidRPr="00CA25CF" w:rsidRDefault="002C0FD9" w:rsidP="00CA25CF">
            <w:pPr>
              <w:rPr>
                <w:rFonts w:cs="Arial"/>
                <w:color w:val="FF0000"/>
                <w:sz w:val="21"/>
                <w:szCs w:val="21"/>
              </w:rPr>
            </w:pPr>
          </w:p>
        </w:tc>
        <w:tc>
          <w:tcPr>
            <w:tcW w:w="217" w:type="dxa"/>
          </w:tcPr>
          <w:p w14:paraId="16927561" w14:textId="77777777" w:rsidR="002C0FD9" w:rsidRPr="00CA25CF" w:rsidRDefault="002C0FD9" w:rsidP="00CA25CF">
            <w:pPr>
              <w:rPr>
                <w:rFonts w:cs="Arial"/>
                <w:color w:val="FF0000"/>
                <w:sz w:val="21"/>
                <w:szCs w:val="21"/>
              </w:rPr>
            </w:pPr>
          </w:p>
        </w:tc>
        <w:tc>
          <w:tcPr>
            <w:tcW w:w="217" w:type="dxa"/>
          </w:tcPr>
          <w:p w14:paraId="0BADC74F" w14:textId="77777777" w:rsidR="002C0FD9" w:rsidRPr="00CA25CF" w:rsidRDefault="002C0FD9" w:rsidP="00CA25CF">
            <w:pPr>
              <w:rPr>
                <w:rFonts w:cs="Arial"/>
                <w:color w:val="FF0000"/>
                <w:sz w:val="21"/>
                <w:szCs w:val="21"/>
              </w:rPr>
            </w:pPr>
          </w:p>
        </w:tc>
        <w:tc>
          <w:tcPr>
            <w:tcW w:w="217" w:type="dxa"/>
          </w:tcPr>
          <w:p w14:paraId="24C3D69A" w14:textId="77777777" w:rsidR="002C0FD9" w:rsidRPr="00CA25CF" w:rsidRDefault="002C0FD9" w:rsidP="00CA25CF">
            <w:pPr>
              <w:rPr>
                <w:rFonts w:cs="Arial"/>
                <w:color w:val="FF0000"/>
                <w:sz w:val="21"/>
                <w:szCs w:val="21"/>
              </w:rPr>
            </w:pPr>
          </w:p>
        </w:tc>
        <w:tc>
          <w:tcPr>
            <w:tcW w:w="217" w:type="dxa"/>
          </w:tcPr>
          <w:p w14:paraId="1AB0F5B8" w14:textId="77777777" w:rsidR="002C0FD9" w:rsidRPr="00CA25CF" w:rsidRDefault="002C0FD9" w:rsidP="00CA25CF">
            <w:pPr>
              <w:rPr>
                <w:rFonts w:cs="Arial"/>
                <w:color w:val="FF0000"/>
                <w:sz w:val="21"/>
                <w:szCs w:val="21"/>
              </w:rPr>
            </w:pPr>
          </w:p>
        </w:tc>
        <w:tc>
          <w:tcPr>
            <w:tcW w:w="217" w:type="dxa"/>
          </w:tcPr>
          <w:p w14:paraId="11CF51BD" w14:textId="77777777" w:rsidR="002C0FD9" w:rsidRPr="00CA25CF" w:rsidRDefault="002C0FD9" w:rsidP="00CA25CF">
            <w:pPr>
              <w:rPr>
                <w:rFonts w:cs="Arial"/>
                <w:color w:val="FF0000"/>
                <w:sz w:val="21"/>
                <w:szCs w:val="21"/>
              </w:rPr>
            </w:pPr>
          </w:p>
        </w:tc>
        <w:tc>
          <w:tcPr>
            <w:tcW w:w="217" w:type="dxa"/>
          </w:tcPr>
          <w:p w14:paraId="597F747C" w14:textId="77777777" w:rsidR="002C0FD9" w:rsidRPr="00CA25CF" w:rsidRDefault="002C0FD9" w:rsidP="00CA25CF">
            <w:pPr>
              <w:rPr>
                <w:rFonts w:cs="Arial"/>
                <w:color w:val="FF0000"/>
                <w:sz w:val="21"/>
                <w:szCs w:val="21"/>
              </w:rPr>
            </w:pPr>
          </w:p>
        </w:tc>
        <w:tc>
          <w:tcPr>
            <w:tcW w:w="217" w:type="dxa"/>
          </w:tcPr>
          <w:p w14:paraId="09A49510" w14:textId="77777777" w:rsidR="002C0FD9" w:rsidRPr="00CA25CF" w:rsidRDefault="002C0FD9" w:rsidP="00CA25CF">
            <w:pPr>
              <w:rPr>
                <w:rFonts w:cs="Arial"/>
                <w:color w:val="FF0000"/>
                <w:sz w:val="21"/>
                <w:szCs w:val="21"/>
              </w:rPr>
            </w:pPr>
          </w:p>
        </w:tc>
        <w:tc>
          <w:tcPr>
            <w:tcW w:w="217" w:type="dxa"/>
          </w:tcPr>
          <w:p w14:paraId="09F73C64" w14:textId="77777777" w:rsidR="002C0FD9" w:rsidRPr="00CA25CF" w:rsidRDefault="002C0FD9" w:rsidP="00CA25CF">
            <w:pPr>
              <w:rPr>
                <w:rFonts w:cs="Arial"/>
                <w:color w:val="FF0000"/>
                <w:sz w:val="21"/>
                <w:szCs w:val="21"/>
              </w:rPr>
            </w:pPr>
          </w:p>
        </w:tc>
        <w:tc>
          <w:tcPr>
            <w:tcW w:w="217" w:type="dxa"/>
          </w:tcPr>
          <w:p w14:paraId="6CD476EE" w14:textId="77777777" w:rsidR="002C0FD9" w:rsidRPr="00CA25CF" w:rsidRDefault="002C0FD9" w:rsidP="00CA25CF">
            <w:pPr>
              <w:rPr>
                <w:rFonts w:cs="Arial"/>
                <w:color w:val="FF0000"/>
                <w:sz w:val="21"/>
                <w:szCs w:val="21"/>
              </w:rPr>
            </w:pPr>
          </w:p>
        </w:tc>
        <w:tc>
          <w:tcPr>
            <w:tcW w:w="217" w:type="dxa"/>
          </w:tcPr>
          <w:p w14:paraId="2DE387EA" w14:textId="77777777" w:rsidR="002C0FD9" w:rsidRPr="00CA25CF" w:rsidRDefault="002C0FD9" w:rsidP="00CA25CF">
            <w:pPr>
              <w:rPr>
                <w:rFonts w:cs="Arial"/>
                <w:color w:val="FF0000"/>
                <w:sz w:val="21"/>
                <w:szCs w:val="21"/>
              </w:rPr>
            </w:pPr>
          </w:p>
        </w:tc>
        <w:tc>
          <w:tcPr>
            <w:tcW w:w="217" w:type="dxa"/>
          </w:tcPr>
          <w:p w14:paraId="0CE1F4CD" w14:textId="77777777" w:rsidR="002C0FD9" w:rsidRPr="00CA25CF" w:rsidRDefault="002C0FD9" w:rsidP="00CA25CF">
            <w:pPr>
              <w:rPr>
                <w:rFonts w:cs="Arial"/>
                <w:color w:val="FF0000"/>
                <w:sz w:val="21"/>
                <w:szCs w:val="21"/>
              </w:rPr>
            </w:pPr>
          </w:p>
        </w:tc>
        <w:tc>
          <w:tcPr>
            <w:tcW w:w="217" w:type="dxa"/>
          </w:tcPr>
          <w:p w14:paraId="53791950" w14:textId="77777777" w:rsidR="002C0FD9" w:rsidRPr="00CA25CF" w:rsidRDefault="002C0FD9" w:rsidP="00CA25CF">
            <w:pPr>
              <w:rPr>
                <w:rFonts w:cs="Arial"/>
                <w:color w:val="FF0000"/>
                <w:sz w:val="21"/>
                <w:szCs w:val="21"/>
              </w:rPr>
            </w:pPr>
          </w:p>
        </w:tc>
        <w:tc>
          <w:tcPr>
            <w:tcW w:w="217" w:type="dxa"/>
          </w:tcPr>
          <w:p w14:paraId="67CCFEC8" w14:textId="77777777" w:rsidR="002C0FD9" w:rsidRPr="00CA25CF" w:rsidRDefault="002C0FD9" w:rsidP="00CA25CF">
            <w:pPr>
              <w:rPr>
                <w:rFonts w:cs="Arial"/>
                <w:color w:val="FF0000"/>
                <w:sz w:val="21"/>
                <w:szCs w:val="21"/>
              </w:rPr>
            </w:pPr>
          </w:p>
        </w:tc>
        <w:tc>
          <w:tcPr>
            <w:tcW w:w="217" w:type="dxa"/>
          </w:tcPr>
          <w:p w14:paraId="3E572E00" w14:textId="77777777" w:rsidR="002C0FD9" w:rsidRPr="00CA25CF" w:rsidRDefault="002C0FD9" w:rsidP="00CA25CF">
            <w:pPr>
              <w:rPr>
                <w:rFonts w:cs="Arial"/>
                <w:color w:val="FF0000"/>
                <w:sz w:val="21"/>
                <w:szCs w:val="21"/>
              </w:rPr>
            </w:pPr>
          </w:p>
        </w:tc>
        <w:tc>
          <w:tcPr>
            <w:tcW w:w="217" w:type="dxa"/>
          </w:tcPr>
          <w:p w14:paraId="318C8CB1" w14:textId="77777777" w:rsidR="002C0FD9" w:rsidRPr="00CA25CF" w:rsidRDefault="002C0FD9" w:rsidP="00CA25CF">
            <w:pPr>
              <w:rPr>
                <w:rFonts w:cs="Arial"/>
                <w:color w:val="FF0000"/>
                <w:sz w:val="21"/>
                <w:szCs w:val="21"/>
              </w:rPr>
            </w:pPr>
          </w:p>
        </w:tc>
        <w:tc>
          <w:tcPr>
            <w:tcW w:w="217" w:type="dxa"/>
          </w:tcPr>
          <w:p w14:paraId="77FE4235" w14:textId="77777777" w:rsidR="002C0FD9" w:rsidRPr="00CA25CF" w:rsidRDefault="002C0FD9" w:rsidP="00CA25CF">
            <w:pPr>
              <w:rPr>
                <w:rFonts w:cs="Arial"/>
                <w:color w:val="FF0000"/>
                <w:sz w:val="21"/>
                <w:szCs w:val="21"/>
              </w:rPr>
            </w:pPr>
          </w:p>
        </w:tc>
        <w:tc>
          <w:tcPr>
            <w:tcW w:w="217" w:type="dxa"/>
          </w:tcPr>
          <w:p w14:paraId="703ED846" w14:textId="77777777" w:rsidR="002C0FD9" w:rsidRPr="00CA25CF" w:rsidRDefault="002C0FD9" w:rsidP="00CA25CF">
            <w:pPr>
              <w:rPr>
                <w:rFonts w:cs="Arial"/>
                <w:color w:val="FF0000"/>
                <w:sz w:val="21"/>
                <w:szCs w:val="21"/>
              </w:rPr>
            </w:pPr>
          </w:p>
        </w:tc>
        <w:tc>
          <w:tcPr>
            <w:tcW w:w="217" w:type="dxa"/>
          </w:tcPr>
          <w:p w14:paraId="35FBDA5C" w14:textId="77777777" w:rsidR="002C0FD9" w:rsidRPr="00CA25CF" w:rsidRDefault="002C0FD9" w:rsidP="00CA25CF">
            <w:pPr>
              <w:rPr>
                <w:rFonts w:cs="Arial"/>
                <w:color w:val="FF0000"/>
                <w:sz w:val="21"/>
                <w:szCs w:val="21"/>
              </w:rPr>
            </w:pPr>
          </w:p>
        </w:tc>
        <w:tc>
          <w:tcPr>
            <w:tcW w:w="217" w:type="dxa"/>
          </w:tcPr>
          <w:p w14:paraId="19F4C8AD" w14:textId="77777777" w:rsidR="002C0FD9" w:rsidRPr="00CA25CF" w:rsidRDefault="002C0FD9" w:rsidP="00CA25CF">
            <w:pPr>
              <w:rPr>
                <w:rFonts w:cs="Arial"/>
                <w:color w:val="FF0000"/>
                <w:sz w:val="21"/>
                <w:szCs w:val="21"/>
              </w:rPr>
            </w:pPr>
          </w:p>
        </w:tc>
        <w:tc>
          <w:tcPr>
            <w:tcW w:w="217" w:type="dxa"/>
          </w:tcPr>
          <w:p w14:paraId="5EC352BD" w14:textId="77777777" w:rsidR="002C0FD9" w:rsidRPr="00CA25CF" w:rsidRDefault="002C0FD9" w:rsidP="00CA25CF">
            <w:pPr>
              <w:rPr>
                <w:rFonts w:cs="Arial"/>
                <w:color w:val="FF0000"/>
                <w:sz w:val="21"/>
                <w:szCs w:val="21"/>
              </w:rPr>
            </w:pPr>
          </w:p>
        </w:tc>
        <w:tc>
          <w:tcPr>
            <w:tcW w:w="217" w:type="dxa"/>
          </w:tcPr>
          <w:p w14:paraId="0649F7DA" w14:textId="77777777" w:rsidR="002C0FD9" w:rsidRPr="00CA25CF" w:rsidRDefault="002C0FD9" w:rsidP="00CA25CF">
            <w:pPr>
              <w:rPr>
                <w:rFonts w:cs="Arial"/>
                <w:color w:val="FF0000"/>
                <w:sz w:val="21"/>
                <w:szCs w:val="21"/>
              </w:rPr>
            </w:pPr>
          </w:p>
        </w:tc>
        <w:tc>
          <w:tcPr>
            <w:tcW w:w="217" w:type="dxa"/>
          </w:tcPr>
          <w:p w14:paraId="5EB61BD8" w14:textId="77777777" w:rsidR="002C0FD9" w:rsidRPr="00CA25CF" w:rsidRDefault="002C0FD9" w:rsidP="00CA25CF">
            <w:pPr>
              <w:rPr>
                <w:rFonts w:cs="Arial"/>
                <w:color w:val="FF0000"/>
                <w:sz w:val="21"/>
                <w:szCs w:val="21"/>
              </w:rPr>
            </w:pPr>
          </w:p>
        </w:tc>
        <w:tc>
          <w:tcPr>
            <w:tcW w:w="217" w:type="dxa"/>
          </w:tcPr>
          <w:p w14:paraId="0B570969" w14:textId="77777777" w:rsidR="002C0FD9" w:rsidRPr="00CA25CF" w:rsidRDefault="002C0FD9" w:rsidP="00CA25CF">
            <w:pPr>
              <w:rPr>
                <w:rFonts w:cs="Arial"/>
                <w:color w:val="FF0000"/>
                <w:sz w:val="21"/>
                <w:szCs w:val="21"/>
              </w:rPr>
            </w:pPr>
          </w:p>
        </w:tc>
        <w:tc>
          <w:tcPr>
            <w:tcW w:w="217" w:type="dxa"/>
          </w:tcPr>
          <w:p w14:paraId="2510AFC0" w14:textId="77777777" w:rsidR="002C0FD9" w:rsidRPr="00CA25CF" w:rsidRDefault="002C0FD9" w:rsidP="00CA25CF">
            <w:pPr>
              <w:rPr>
                <w:rFonts w:cs="Arial"/>
                <w:color w:val="FF0000"/>
                <w:sz w:val="21"/>
                <w:szCs w:val="21"/>
              </w:rPr>
            </w:pPr>
          </w:p>
        </w:tc>
      </w:tr>
      <w:tr w:rsidR="002C0FD9" w:rsidRPr="00A16219" w14:paraId="00F22027" w14:textId="19499D87" w:rsidTr="002C0FD9">
        <w:trPr>
          <w:trHeight w:val="635"/>
        </w:trPr>
        <w:tc>
          <w:tcPr>
            <w:tcW w:w="515" w:type="dxa"/>
          </w:tcPr>
          <w:p w14:paraId="480D19B1" w14:textId="77777777" w:rsidR="002C0FD9" w:rsidRPr="00CA25CF" w:rsidRDefault="002C0FD9" w:rsidP="00CA25CF">
            <w:pPr>
              <w:rPr>
                <w:rFonts w:cs="Arial"/>
                <w:color w:val="FF0000"/>
                <w:sz w:val="21"/>
                <w:szCs w:val="21"/>
              </w:rPr>
            </w:pPr>
          </w:p>
        </w:tc>
        <w:tc>
          <w:tcPr>
            <w:tcW w:w="217" w:type="dxa"/>
          </w:tcPr>
          <w:p w14:paraId="383C9F13" w14:textId="77777777" w:rsidR="002C0FD9" w:rsidRPr="00CA25CF" w:rsidRDefault="002C0FD9" w:rsidP="00CA25CF">
            <w:pPr>
              <w:rPr>
                <w:rFonts w:cs="Arial"/>
                <w:color w:val="FF0000"/>
                <w:sz w:val="21"/>
                <w:szCs w:val="21"/>
              </w:rPr>
            </w:pPr>
          </w:p>
        </w:tc>
        <w:tc>
          <w:tcPr>
            <w:tcW w:w="217" w:type="dxa"/>
          </w:tcPr>
          <w:p w14:paraId="399F883F" w14:textId="1F987E93" w:rsidR="002C0FD9" w:rsidRPr="00CA25CF" w:rsidRDefault="002C0FD9" w:rsidP="00CA25CF">
            <w:pPr>
              <w:rPr>
                <w:rFonts w:cs="Arial"/>
                <w:color w:val="FF0000"/>
                <w:sz w:val="21"/>
                <w:szCs w:val="21"/>
              </w:rPr>
            </w:pPr>
          </w:p>
        </w:tc>
        <w:tc>
          <w:tcPr>
            <w:tcW w:w="217" w:type="dxa"/>
          </w:tcPr>
          <w:p w14:paraId="383AB6C6" w14:textId="77777777" w:rsidR="002C0FD9" w:rsidRPr="00CA25CF" w:rsidRDefault="002C0FD9" w:rsidP="00CA25CF">
            <w:pPr>
              <w:rPr>
                <w:rFonts w:cs="Arial"/>
                <w:color w:val="FF0000"/>
                <w:sz w:val="21"/>
                <w:szCs w:val="21"/>
              </w:rPr>
            </w:pPr>
          </w:p>
        </w:tc>
        <w:tc>
          <w:tcPr>
            <w:tcW w:w="217" w:type="dxa"/>
          </w:tcPr>
          <w:p w14:paraId="3F829442" w14:textId="77777777" w:rsidR="002C0FD9" w:rsidRPr="00CA25CF" w:rsidRDefault="002C0FD9" w:rsidP="00CA25CF">
            <w:pPr>
              <w:rPr>
                <w:rFonts w:cs="Arial"/>
                <w:color w:val="FF0000"/>
                <w:sz w:val="21"/>
                <w:szCs w:val="21"/>
              </w:rPr>
            </w:pPr>
          </w:p>
        </w:tc>
        <w:tc>
          <w:tcPr>
            <w:tcW w:w="217" w:type="dxa"/>
          </w:tcPr>
          <w:p w14:paraId="0F7E8903" w14:textId="77777777" w:rsidR="002C0FD9" w:rsidRPr="00CA25CF" w:rsidRDefault="002C0FD9" w:rsidP="00CA25CF">
            <w:pPr>
              <w:rPr>
                <w:rFonts w:cs="Arial"/>
                <w:color w:val="FF0000"/>
                <w:sz w:val="21"/>
                <w:szCs w:val="21"/>
              </w:rPr>
            </w:pPr>
          </w:p>
        </w:tc>
        <w:tc>
          <w:tcPr>
            <w:tcW w:w="217" w:type="dxa"/>
          </w:tcPr>
          <w:p w14:paraId="045AF430" w14:textId="77777777" w:rsidR="002C0FD9" w:rsidRPr="00CA25CF" w:rsidRDefault="002C0FD9" w:rsidP="00CA25CF">
            <w:pPr>
              <w:rPr>
                <w:rFonts w:cs="Arial"/>
                <w:color w:val="FF0000"/>
                <w:sz w:val="21"/>
                <w:szCs w:val="21"/>
              </w:rPr>
            </w:pPr>
          </w:p>
        </w:tc>
        <w:tc>
          <w:tcPr>
            <w:tcW w:w="217" w:type="dxa"/>
          </w:tcPr>
          <w:p w14:paraId="30567C7A" w14:textId="77777777" w:rsidR="002C0FD9" w:rsidRPr="00CA25CF" w:rsidRDefault="002C0FD9" w:rsidP="00CA25CF">
            <w:pPr>
              <w:rPr>
                <w:rFonts w:cs="Arial"/>
                <w:color w:val="FF0000"/>
                <w:sz w:val="21"/>
                <w:szCs w:val="21"/>
              </w:rPr>
            </w:pPr>
          </w:p>
        </w:tc>
        <w:tc>
          <w:tcPr>
            <w:tcW w:w="217" w:type="dxa"/>
          </w:tcPr>
          <w:p w14:paraId="137CB76B" w14:textId="77777777" w:rsidR="002C0FD9" w:rsidRPr="00CA25CF" w:rsidRDefault="002C0FD9" w:rsidP="00CA25CF">
            <w:pPr>
              <w:rPr>
                <w:rFonts w:cs="Arial"/>
                <w:color w:val="FF0000"/>
                <w:sz w:val="21"/>
                <w:szCs w:val="21"/>
              </w:rPr>
            </w:pPr>
          </w:p>
        </w:tc>
        <w:tc>
          <w:tcPr>
            <w:tcW w:w="217" w:type="dxa"/>
          </w:tcPr>
          <w:p w14:paraId="329547AF" w14:textId="77777777" w:rsidR="002C0FD9" w:rsidRPr="00CA25CF" w:rsidRDefault="002C0FD9" w:rsidP="00CA25CF">
            <w:pPr>
              <w:rPr>
                <w:rFonts w:cs="Arial"/>
                <w:color w:val="FF0000"/>
                <w:sz w:val="21"/>
                <w:szCs w:val="21"/>
              </w:rPr>
            </w:pPr>
          </w:p>
        </w:tc>
        <w:tc>
          <w:tcPr>
            <w:tcW w:w="217" w:type="dxa"/>
          </w:tcPr>
          <w:p w14:paraId="23EBC6D0" w14:textId="77777777" w:rsidR="002C0FD9" w:rsidRPr="00CA25CF" w:rsidRDefault="002C0FD9" w:rsidP="00CA25CF">
            <w:pPr>
              <w:rPr>
                <w:rFonts w:cs="Arial"/>
                <w:color w:val="FF0000"/>
                <w:sz w:val="21"/>
                <w:szCs w:val="21"/>
              </w:rPr>
            </w:pPr>
          </w:p>
        </w:tc>
        <w:tc>
          <w:tcPr>
            <w:tcW w:w="217" w:type="dxa"/>
          </w:tcPr>
          <w:p w14:paraId="2736E2EB" w14:textId="77777777" w:rsidR="002C0FD9" w:rsidRPr="00CA25CF" w:rsidRDefault="002C0FD9" w:rsidP="00CA25CF">
            <w:pPr>
              <w:rPr>
                <w:rFonts w:cs="Arial"/>
                <w:color w:val="FF0000"/>
                <w:sz w:val="21"/>
                <w:szCs w:val="21"/>
              </w:rPr>
            </w:pPr>
          </w:p>
        </w:tc>
        <w:tc>
          <w:tcPr>
            <w:tcW w:w="217" w:type="dxa"/>
          </w:tcPr>
          <w:p w14:paraId="7FAC248A" w14:textId="77777777" w:rsidR="002C0FD9" w:rsidRPr="00CA25CF" w:rsidRDefault="002C0FD9" w:rsidP="00CA25CF">
            <w:pPr>
              <w:rPr>
                <w:rFonts w:cs="Arial"/>
                <w:color w:val="FF0000"/>
                <w:sz w:val="21"/>
                <w:szCs w:val="21"/>
              </w:rPr>
            </w:pPr>
          </w:p>
        </w:tc>
        <w:tc>
          <w:tcPr>
            <w:tcW w:w="217" w:type="dxa"/>
          </w:tcPr>
          <w:p w14:paraId="0A02B3CD" w14:textId="77777777" w:rsidR="002C0FD9" w:rsidRPr="00CA25CF" w:rsidRDefault="002C0FD9" w:rsidP="00CA25CF">
            <w:pPr>
              <w:rPr>
                <w:rFonts w:cs="Arial"/>
                <w:color w:val="FF0000"/>
                <w:sz w:val="21"/>
                <w:szCs w:val="21"/>
              </w:rPr>
            </w:pPr>
          </w:p>
        </w:tc>
        <w:tc>
          <w:tcPr>
            <w:tcW w:w="217" w:type="dxa"/>
          </w:tcPr>
          <w:p w14:paraId="24B88815" w14:textId="77777777" w:rsidR="002C0FD9" w:rsidRPr="00CA25CF" w:rsidRDefault="002C0FD9" w:rsidP="00CA25CF">
            <w:pPr>
              <w:rPr>
                <w:rFonts w:cs="Arial"/>
                <w:color w:val="FF0000"/>
                <w:sz w:val="21"/>
                <w:szCs w:val="21"/>
              </w:rPr>
            </w:pPr>
          </w:p>
        </w:tc>
        <w:tc>
          <w:tcPr>
            <w:tcW w:w="217" w:type="dxa"/>
          </w:tcPr>
          <w:p w14:paraId="610A6F72" w14:textId="271CB5F1" w:rsidR="002C0FD9" w:rsidRPr="00CA25CF" w:rsidRDefault="002C0FD9" w:rsidP="00CA25CF">
            <w:pPr>
              <w:rPr>
                <w:rFonts w:cs="Arial"/>
                <w:color w:val="FF0000"/>
                <w:sz w:val="21"/>
                <w:szCs w:val="21"/>
              </w:rPr>
            </w:pPr>
          </w:p>
        </w:tc>
        <w:tc>
          <w:tcPr>
            <w:tcW w:w="217" w:type="dxa"/>
          </w:tcPr>
          <w:p w14:paraId="686252E3" w14:textId="77777777" w:rsidR="002C0FD9" w:rsidRPr="00CA25CF" w:rsidRDefault="002C0FD9" w:rsidP="00CA25CF">
            <w:pPr>
              <w:rPr>
                <w:rFonts w:cs="Arial"/>
                <w:color w:val="FF0000"/>
                <w:sz w:val="21"/>
                <w:szCs w:val="21"/>
              </w:rPr>
            </w:pPr>
          </w:p>
        </w:tc>
        <w:tc>
          <w:tcPr>
            <w:tcW w:w="217" w:type="dxa"/>
          </w:tcPr>
          <w:p w14:paraId="1F12AC94" w14:textId="77777777" w:rsidR="002C0FD9" w:rsidRPr="00CA25CF" w:rsidRDefault="002C0FD9" w:rsidP="00CA25CF">
            <w:pPr>
              <w:rPr>
                <w:rFonts w:cs="Arial"/>
                <w:color w:val="FF0000"/>
                <w:sz w:val="21"/>
                <w:szCs w:val="21"/>
              </w:rPr>
            </w:pPr>
          </w:p>
        </w:tc>
        <w:tc>
          <w:tcPr>
            <w:tcW w:w="217" w:type="dxa"/>
          </w:tcPr>
          <w:p w14:paraId="2A7362A3" w14:textId="77777777" w:rsidR="002C0FD9" w:rsidRPr="00CA25CF" w:rsidRDefault="002C0FD9" w:rsidP="00CA25CF">
            <w:pPr>
              <w:rPr>
                <w:rFonts w:cs="Arial"/>
                <w:color w:val="FF0000"/>
                <w:sz w:val="21"/>
                <w:szCs w:val="21"/>
              </w:rPr>
            </w:pPr>
          </w:p>
        </w:tc>
        <w:tc>
          <w:tcPr>
            <w:tcW w:w="217" w:type="dxa"/>
          </w:tcPr>
          <w:p w14:paraId="279BDBE3" w14:textId="77777777" w:rsidR="002C0FD9" w:rsidRPr="00CA25CF" w:rsidRDefault="002C0FD9" w:rsidP="00CA25CF">
            <w:pPr>
              <w:rPr>
                <w:rFonts w:cs="Arial"/>
                <w:color w:val="FF0000"/>
                <w:sz w:val="21"/>
                <w:szCs w:val="21"/>
              </w:rPr>
            </w:pPr>
          </w:p>
        </w:tc>
        <w:tc>
          <w:tcPr>
            <w:tcW w:w="217" w:type="dxa"/>
          </w:tcPr>
          <w:p w14:paraId="214F50AF" w14:textId="77777777" w:rsidR="002C0FD9" w:rsidRPr="00CA25CF" w:rsidRDefault="002C0FD9" w:rsidP="00CA25CF">
            <w:pPr>
              <w:rPr>
                <w:rFonts w:cs="Arial"/>
                <w:color w:val="FF0000"/>
                <w:sz w:val="21"/>
                <w:szCs w:val="21"/>
              </w:rPr>
            </w:pPr>
          </w:p>
        </w:tc>
        <w:tc>
          <w:tcPr>
            <w:tcW w:w="217" w:type="dxa"/>
          </w:tcPr>
          <w:p w14:paraId="7AD70C68" w14:textId="77777777" w:rsidR="002C0FD9" w:rsidRPr="00CA25CF" w:rsidRDefault="002C0FD9" w:rsidP="00CA25CF">
            <w:pPr>
              <w:rPr>
                <w:rFonts w:cs="Arial"/>
                <w:color w:val="FF0000"/>
                <w:sz w:val="21"/>
                <w:szCs w:val="21"/>
              </w:rPr>
            </w:pPr>
          </w:p>
        </w:tc>
        <w:tc>
          <w:tcPr>
            <w:tcW w:w="217" w:type="dxa"/>
          </w:tcPr>
          <w:p w14:paraId="382D0E86" w14:textId="77777777" w:rsidR="002C0FD9" w:rsidRPr="00CA25CF" w:rsidRDefault="002C0FD9" w:rsidP="00CA25CF">
            <w:pPr>
              <w:rPr>
                <w:rFonts w:cs="Arial"/>
                <w:color w:val="FF0000"/>
                <w:sz w:val="21"/>
                <w:szCs w:val="21"/>
              </w:rPr>
            </w:pPr>
          </w:p>
        </w:tc>
        <w:tc>
          <w:tcPr>
            <w:tcW w:w="217" w:type="dxa"/>
          </w:tcPr>
          <w:p w14:paraId="3392F349" w14:textId="77777777" w:rsidR="002C0FD9" w:rsidRPr="00CA25CF" w:rsidRDefault="002C0FD9" w:rsidP="00CA25CF">
            <w:pPr>
              <w:rPr>
                <w:rFonts w:cs="Arial"/>
                <w:color w:val="FF0000"/>
                <w:sz w:val="21"/>
                <w:szCs w:val="21"/>
              </w:rPr>
            </w:pPr>
          </w:p>
        </w:tc>
        <w:tc>
          <w:tcPr>
            <w:tcW w:w="217" w:type="dxa"/>
          </w:tcPr>
          <w:p w14:paraId="278C11BC" w14:textId="77777777" w:rsidR="002C0FD9" w:rsidRPr="00CA25CF" w:rsidRDefault="002C0FD9" w:rsidP="00CA25CF">
            <w:pPr>
              <w:rPr>
                <w:rFonts w:cs="Arial"/>
                <w:color w:val="FF0000"/>
                <w:sz w:val="21"/>
                <w:szCs w:val="21"/>
              </w:rPr>
            </w:pPr>
          </w:p>
        </w:tc>
        <w:tc>
          <w:tcPr>
            <w:tcW w:w="217" w:type="dxa"/>
          </w:tcPr>
          <w:p w14:paraId="43912772" w14:textId="77777777" w:rsidR="002C0FD9" w:rsidRPr="00CA25CF" w:rsidRDefault="002C0FD9" w:rsidP="00CA25CF">
            <w:pPr>
              <w:rPr>
                <w:rFonts w:cs="Arial"/>
                <w:color w:val="FF0000"/>
                <w:sz w:val="21"/>
                <w:szCs w:val="21"/>
              </w:rPr>
            </w:pPr>
          </w:p>
        </w:tc>
        <w:tc>
          <w:tcPr>
            <w:tcW w:w="217" w:type="dxa"/>
          </w:tcPr>
          <w:p w14:paraId="32A32B90" w14:textId="77777777" w:rsidR="002C0FD9" w:rsidRPr="00CA25CF" w:rsidRDefault="002C0FD9" w:rsidP="00CA25CF">
            <w:pPr>
              <w:rPr>
                <w:rFonts w:cs="Arial"/>
                <w:color w:val="FF0000"/>
                <w:sz w:val="21"/>
                <w:szCs w:val="21"/>
              </w:rPr>
            </w:pPr>
          </w:p>
        </w:tc>
        <w:tc>
          <w:tcPr>
            <w:tcW w:w="217" w:type="dxa"/>
          </w:tcPr>
          <w:p w14:paraId="38CB0369" w14:textId="77777777" w:rsidR="002C0FD9" w:rsidRPr="00CA25CF" w:rsidRDefault="002C0FD9" w:rsidP="00CA25CF">
            <w:pPr>
              <w:rPr>
                <w:rFonts w:cs="Arial"/>
                <w:color w:val="FF0000"/>
                <w:sz w:val="21"/>
                <w:szCs w:val="21"/>
              </w:rPr>
            </w:pPr>
          </w:p>
        </w:tc>
        <w:tc>
          <w:tcPr>
            <w:tcW w:w="217" w:type="dxa"/>
          </w:tcPr>
          <w:p w14:paraId="5F4EB3A7" w14:textId="77777777" w:rsidR="002C0FD9" w:rsidRPr="00CA25CF" w:rsidRDefault="002C0FD9" w:rsidP="00CA25CF">
            <w:pPr>
              <w:rPr>
                <w:rFonts w:cs="Arial"/>
                <w:color w:val="FF0000"/>
                <w:sz w:val="21"/>
                <w:szCs w:val="21"/>
              </w:rPr>
            </w:pPr>
          </w:p>
        </w:tc>
        <w:tc>
          <w:tcPr>
            <w:tcW w:w="217" w:type="dxa"/>
          </w:tcPr>
          <w:p w14:paraId="694EE5B5" w14:textId="77777777" w:rsidR="002C0FD9" w:rsidRPr="00CA25CF" w:rsidRDefault="002C0FD9" w:rsidP="00CA25CF">
            <w:pPr>
              <w:rPr>
                <w:rFonts w:cs="Arial"/>
                <w:color w:val="FF0000"/>
                <w:sz w:val="21"/>
                <w:szCs w:val="21"/>
              </w:rPr>
            </w:pPr>
          </w:p>
        </w:tc>
        <w:tc>
          <w:tcPr>
            <w:tcW w:w="217" w:type="dxa"/>
          </w:tcPr>
          <w:p w14:paraId="12CF3B01" w14:textId="77777777" w:rsidR="002C0FD9" w:rsidRPr="00CA25CF" w:rsidRDefault="002C0FD9" w:rsidP="00CA25CF">
            <w:pPr>
              <w:rPr>
                <w:rFonts w:cs="Arial"/>
                <w:color w:val="FF0000"/>
                <w:sz w:val="21"/>
                <w:szCs w:val="21"/>
              </w:rPr>
            </w:pPr>
          </w:p>
        </w:tc>
        <w:tc>
          <w:tcPr>
            <w:tcW w:w="217" w:type="dxa"/>
          </w:tcPr>
          <w:p w14:paraId="33175E92" w14:textId="77777777" w:rsidR="002C0FD9" w:rsidRPr="00CA25CF" w:rsidRDefault="002C0FD9" w:rsidP="00CA25CF">
            <w:pPr>
              <w:rPr>
                <w:rFonts w:cs="Arial"/>
                <w:color w:val="FF0000"/>
                <w:sz w:val="21"/>
                <w:szCs w:val="21"/>
              </w:rPr>
            </w:pPr>
          </w:p>
        </w:tc>
        <w:tc>
          <w:tcPr>
            <w:tcW w:w="217" w:type="dxa"/>
          </w:tcPr>
          <w:p w14:paraId="2293CC46" w14:textId="77777777" w:rsidR="002C0FD9" w:rsidRPr="00CA25CF" w:rsidRDefault="002C0FD9" w:rsidP="00CA25CF">
            <w:pPr>
              <w:rPr>
                <w:rFonts w:cs="Arial"/>
                <w:color w:val="FF0000"/>
                <w:sz w:val="21"/>
                <w:szCs w:val="21"/>
              </w:rPr>
            </w:pPr>
          </w:p>
        </w:tc>
        <w:tc>
          <w:tcPr>
            <w:tcW w:w="217" w:type="dxa"/>
          </w:tcPr>
          <w:p w14:paraId="1B106CFA" w14:textId="77777777" w:rsidR="002C0FD9" w:rsidRPr="00CA25CF" w:rsidRDefault="002C0FD9" w:rsidP="00CA25CF">
            <w:pPr>
              <w:rPr>
                <w:rFonts w:cs="Arial"/>
                <w:color w:val="FF0000"/>
                <w:sz w:val="21"/>
                <w:szCs w:val="21"/>
              </w:rPr>
            </w:pPr>
          </w:p>
        </w:tc>
        <w:tc>
          <w:tcPr>
            <w:tcW w:w="217" w:type="dxa"/>
          </w:tcPr>
          <w:p w14:paraId="60317A9A" w14:textId="77777777" w:rsidR="002C0FD9" w:rsidRPr="00CA25CF" w:rsidRDefault="002C0FD9" w:rsidP="00CA25CF">
            <w:pPr>
              <w:rPr>
                <w:rFonts w:cs="Arial"/>
                <w:color w:val="FF0000"/>
                <w:sz w:val="21"/>
                <w:szCs w:val="21"/>
              </w:rPr>
            </w:pPr>
          </w:p>
        </w:tc>
        <w:tc>
          <w:tcPr>
            <w:tcW w:w="217" w:type="dxa"/>
          </w:tcPr>
          <w:p w14:paraId="6539403B" w14:textId="77777777" w:rsidR="002C0FD9" w:rsidRPr="00CA25CF" w:rsidRDefault="002C0FD9" w:rsidP="00CA25CF">
            <w:pPr>
              <w:rPr>
                <w:rFonts w:cs="Arial"/>
                <w:color w:val="FF0000"/>
                <w:sz w:val="21"/>
                <w:szCs w:val="21"/>
              </w:rPr>
            </w:pPr>
          </w:p>
        </w:tc>
        <w:tc>
          <w:tcPr>
            <w:tcW w:w="217" w:type="dxa"/>
          </w:tcPr>
          <w:p w14:paraId="606212EA" w14:textId="77777777" w:rsidR="002C0FD9" w:rsidRPr="00CA25CF" w:rsidRDefault="002C0FD9" w:rsidP="00CA25CF">
            <w:pPr>
              <w:rPr>
                <w:rFonts w:cs="Arial"/>
                <w:color w:val="FF0000"/>
                <w:sz w:val="21"/>
                <w:szCs w:val="21"/>
              </w:rPr>
            </w:pPr>
          </w:p>
        </w:tc>
        <w:tc>
          <w:tcPr>
            <w:tcW w:w="217" w:type="dxa"/>
          </w:tcPr>
          <w:p w14:paraId="2D7C8209" w14:textId="77777777" w:rsidR="002C0FD9" w:rsidRPr="00CA25CF" w:rsidRDefault="002C0FD9" w:rsidP="00CA25CF">
            <w:pPr>
              <w:rPr>
                <w:rFonts w:cs="Arial"/>
                <w:color w:val="FF0000"/>
                <w:sz w:val="21"/>
                <w:szCs w:val="21"/>
              </w:rPr>
            </w:pPr>
          </w:p>
        </w:tc>
        <w:tc>
          <w:tcPr>
            <w:tcW w:w="217" w:type="dxa"/>
          </w:tcPr>
          <w:p w14:paraId="1C9563BF" w14:textId="77777777" w:rsidR="002C0FD9" w:rsidRPr="00CA25CF" w:rsidRDefault="002C0FD9" w:rsidP="00CA25CF">
            <w:pPr>
              <w:rPr>
                <w:rFonts w:cs="Arial"/>
                <w:color w:val="FF0000"/>
                <w:sz w:val="21"/>
                <w:szCs w:val="21"/>
              </w:rPr>
            </w:pPr>
          </w:p>
        </w:tc>
        <w:tc>
          <w:tcPr>
            <w:tcW w:w="217" w:type="dxa"/>
          </w:tcPr>
          <w:p w14:paraId="2A204D03" w14:textId="77777777" w:rsidR="002C0FD9" w:rsidRPr="00CA25CF" w:rsidRDefault="002C0FD9" w:rsidP="00CA25CF">
            <w:pPr>
              <w:rPr>
                <w:rFonts w:cs="Arial"/>
                <w:color w:val="FF0000"/>
                <w:sz w:val="21"/>
                <w:szCs w:val="21"/>
              </w:rPr>
            </w:pPr>
          </w:p>
        </w:tc>
        <w:tc>
          <w:tcPr>
            <w:tcW w:w="217" w:type="dxa"/>
          </w:tcPr>
          <w:p w14:paraId="34372F87" w14:textId="77777777" w:rsidR="002C0FD9" w:rsidRPr="00CA25CF" w:rsidRDefault="002C0FD9" w:rsidP="00CA25CF">
            <w:pPr>
              <w:rPr>
                <w:rFonts w:cs="Arial"/>
                <w:color w:val="FF0000"/>
                <w:sz w:val="21"/>
                <w:szCs w:val="21"/>
              </w:rPr>
            </w:pPr>
          </w:p>
        </w:tc>
        <w:tc>
          <w:tcPr>
            <w:tcW w:w="217" w:type="dxa"/>
          </w:tcPr>
          <w:p w14:paraId="442713CD" w14:textId="77777777" w:rsidR="002C0FD9" w:rsidRPr="00CA25CF" w:rsidRDefault="002C0FD9" w:rsidP="00CA25CF">
            <w:pPr>
              <w:rPr>
                <w:rFonts w:cs="Arial"/>
                <w:color w:val="FF0000"/>
                <w:sz w:val="21"/>
                <w:szCs w:val="21"/>
              </w:rPr>
            </w:pPr>
          </w:p>
        </w:tc>
        <w:tc>
          <w:tcPr>
            <w:tcW w:w="217" w:type="dxa"/>
          </w:tcPr>
          <w:p w14:paraId="2A2F7D6F" w14:textId="77777777" w:rsidR="002C0FD9" w:rsidRPr="00CA25CF" w:rsidRDefault="002C0FD9" w:rsidP="00CA25CF">
            <w:pPr>
              <w:rPr>
                <w:rFonts w:cs="Arial"/>
                <w:color w:val="FF0000"/>
                <w:sz w:val="21"/>
                <w:szCs w:val="21"/>
              </w:rPr>
            </w:pPr>
          </w:p>
        </w:tc>
      </w:tr>
      <w:tr w:rsidR="002C0FD9" w:rsidRPr="00A16219" w14:paraId="59CF84B3" w14:textId="32365551" w:rsidTr="002C0FD9">
        <w:trPr>
          <w:trHeight w:val="635"/>
        </w:trPr>
        <w:tc>
          <w:tcPr>
            <w:tcW w:w="515" w:type="dxa"/>
          </w:tcPr>
          <w:p w14:paraId="63C824C0" w14:textId="77777777" w:rsidR="002C0FD9" w:rsidRPr="00CA25CF" w:rsidRDefault="002C0FD9" w:rsidP="00CA25CF">
            <w:pPr>
              <w:rPr>
                <w:rFonts w:cs="Arial"/>
                <w:color w:val="FF0000"/>
                <w:sz w:val="21"/>
                <w:szCs w:val="21"/>
              </w:rPr>
            </w:pPr>
          </w:p>
        </w:tc>
        <w:tc>
          <w:tcPr>
            <w:tcW w:w="217" w:type="dxa"/>
          </w:tcPr>
          <w:p w14:paraId="75671717" w14:textId="77777777" w:rsidR="002C0FD9" w:rsidRPr="00CA25CF" w:rsidRDefault="002C0FD9" w:rsidP="00CA25CF">
            <w:pPr>
              <w:rPr>
                <w:rFonts w:cs="Arial"/>
                <w:color w:val="FF0000"/>
                <w:sz w:val="21"/>
                <w:szCs w:val="21"/>
              </w:rPr>
            </w:pPr>
          </w:p>
        </w:tc>
        <w:tc>
          <w:tcPr>
            <w:tcW w:w="217" w:type="dxa"/>
          </w:tcPr>
          <w:p w14:paraId="1036B684" w14:textId="2AA0C9B6" w:rsidR="002C0FD9" w:rsidRPr="00CA25CF" w:rsidRDefault="002C0FD9" w:rsidP="00CA25CF">
            <w:pPr>
              <w:rPr>
                <w:rFonts w:cs="Arial"/>
                <w:color w:val="FF0000"/>
                <w:sz w:val="21"/>
                <w:szCs w:val="21"/>
              </w:rPr>
            </w:pPr>
          </w:p>
        </w:tc>
        <w:tc>
          <w:tcPr>
            <w:tcW w:w="217" w:type="dxa"/>
          </w:tcPr>
          <w:p w14:paraId="1E049FF3" w14:textId="77777777" w:rsidR="002C0FD9" w:rsidRPr="00CA25CF" w:rsidRDefault="002C0FD9" w:rsidP="00CA25CF">
            <w:pPr>
              <w:rPr>
                <w:rFonts w:cs="Arial"/>
                <w:color w:val="FF0000"/>
                <w:sz w:val="21"/>
                <w:szCs w:val="21"/>
              </w:rPr>
            </w:pPr>
          </w:p>
        </w:tc>
        <w:tc>
          <w:tcPr>
            <w:tcW w:w="217" w:type="dxa"/>
          </w:tcPr>
          <w:p w14:paraId="3278F762" w14:textId="77777777" w:rsidR="002C0FD9" w:rsidRPr="00CA25CF" w:rsidRDefault="002C0FD9" w:rsidP="00CA25CF">
            <w:pPr>
              <w:rPr>
                <w:rFonts w:cs="Arial"/>
                <w:color w:val="FF0000"/>
                <w:sz w:val="21"/>
                <w:szCs w:val="21"/>
              </w:rPr>
            </w:pPr>
          </w:p>
        </w:tc>
        <w:tc>
          <w:tcPr>
            <w:tcW w:w="217" w:type="dxa"/>
          </w:tcPr>
          <w:p w14:paraId="65B736BA" w14:textId="77777777" w:rsidR="002C0FD9" w:rsidRPr="00CA25CF" w:rsidRDefault="002C0FD9" w:rsidP="00CA25CF">
            <w:pPr>
              <w:rPr>
                <w:rFonts w:cs="Arial"/>
                <w:color w:val="FF0000"/>
                <w:sz w:val="21"/>
                <w:szCs w:val="21"/>
              </w:rPr>
            </w:pPr>
          </w:p>
        </w:tc>
        <w:tc>
          <w:tcPr>
            <w:tcW w:w="217" w:type="dxa"/>
          </w:tcPr>
          <w:p w14:paraId="40BB6C64" w14:textId="77777777" w:rsidR="002C0FD9" w:rsidRPr="00CA25CF" w:rsidRDefault="002C0FD9" w:rsidP="00CA25CF">
            <w:pPr>
              <w:rPr>
                <w:rFonts w:cs="Arial"/>
                <w:color w:val="FF0000"/>
                <w:sz w:val="21"/>
                <w:szCs w:val="21"/>
              </w:rPr>
            </w:pPr>
          </w:p>
        </w:tc>
        <w:tc>
          <w:tcPr>
            <w:tcW w:w="217" w:type="dxa"/>
          </w:tcPr>
          <w:p w14:paraId="713A049A" w14:textId="77777777" w:rsidR="002C0FD9" w:rsidRPr="00CA25CF" w:rsidRDefault="002C0FD9" w:rsidP="00CA25CF">
            <w:pPr>
              <w:rPr>
                <w:rFonts w:cs="Arial"/>
                <w:color w:val="FF0000"/>
                <w:sz w:val="21"/>
                <w:szCs w:val="21"/>
              </w:rPr>
            </w:pPr>
          </w:p>
        </w:tc>
        <w:tc>
          <w:tcPr>
            <w:tcW w:w="217" w:type="dxa"/>
          </w:tcPr>
          <w:p w14:paraId="3E372A24" w14:textId="77777777" w:rsidR="002C0FD9" w:rsidRPr="00CA25CF" w:rsidRDefault="002C0FD9" w:rsidP="00CA25CF">
            <w:pPr>
              <w:rPr>
                <w:rFonts w:cs="Arial"/>
                <w:color w:val="FF0000"/>
                <w:sz w:val="21"/>
                <w:szCs w:val="21"/>
              </w:rPr>
            </w:pPr>
          </w:p>
        </w:tc>
        <w:tc>
          <w:tcPr>
            <w:tcW w:w="217" w:type="dxa"/>
          </w:tcPr>
          <w:p w14:paraId="655887A9" w14:textId="77777777" w:rsidR="002C0FD9" w:rsidRPr="00CA25CF" w:rsidRDefault="002C0FD9" w:rsidP="00CA25CF">
            <w:pPr>
              <w:rPr>
                <w:rFonts w:cs="Arial"/>
                <w:color w:val="FF0000"/>
                <w:sz w:val="21"/>
                <w:szCs w:val="21"/>
              </w:rPr>
            </w:pPr>
          </w:p>
        </w:tc>
        <w:tc>
          <w:tcPr>
            <w:tcW w:w="217" w:type="dxa"/>
          </w:tcPr>
          <w:p w14:paraId="10593D68" w14:textId="77777777" w:rsidR="002C0FD9" w:rsidRPr="00CA25CF" w:rsidRDefault="002C0FD9" w:rsidP="00CA25CF">
            <w:pPr>
              <w:rPr>
                <w:rFonts w:cs="Arial"/>
                <w:color w:val="FF0000"/>
                <w:sz w:val="21"/>
                <w:szCs w:val="21"/>
              </w:rPr>
            </w:pPr>
          </w:p>
        </w:tc>
        <w:tc>
          <w:tcPr>
            <w:tcW w:w="217" w:type="dxa"/>
          </w:tcPr>
          <w:p w14:paraId="4A957E8B" w14:textId="77777777" w:rsidR="002C0FD9" w:rsidRPr="00CA25CF" w:rsidRDefault="002C0FD9" w:rsidP="00CA25CF">
            <w:pPr>
              <w:rPr>
                <w:rFonts w:cs="Arial"/>
                <w:color w:val="FF0000"/>
                <w:sz w:val="21"/>
                <w:szCs w:val="21"/>
              </w:rPr>
            </w:pPr>
          </w:p>
        </w:tc>
        <w:tc>
          <w:tcPr>
            <w:tcW w:w="217" w:type="dxa"/>
          </w:tcPr>
          <w:p w14:paraId="64248A70" w14:textId="77777777" w:rsidR="002C0FD9" w:rsidRPr="00CA25CF" w:rsidRDefault="002C0FD9" w:rsidP="00CA25CF">
            <w:pPr>
              <w:rPr>
                <w:rFonts w:cs="Arial"/>
                <w:color w:val="FF0000"/>
                <w:sz w:val="21"/>
                <w:szCs w:val="21"/>
              </w:rPr>
            </w:pPr>
          </w:p>
        </w:tc>
        <w:tc>
          <w:tcPr>
            <w:tcW w:w="217" w:type="dxa"/>
          </w:tcPr>
          <w:p w14:paraId="68DFD2C3" w14:textId="77777777" w:rsidR="002C0FD9" w:rsidRPr="00CA25CF" w:rsidRDefault="002C0FD9" w:rsidP="00CA25CF">
            <w:pPr>
              <w:rPr>
                <w:rFonts w:cs="Arial"/>
                <w:color w:val="FF0000"/>
                <w:sz w:val="21"/>
                <w:szCs w:val="21"/>
              </w:rPr>
            </w:pPr>
          </w:p>
        </w:tc>
        <w:tc>
          <w:tcPr>
            <w:tcW w:w="217" w:type="dxa"/>
          </w:tcPr>
          <w:p w14:paraId="6DA56824" w14:textId="77777777" w:rsidR="002C0FD9" w:rsidRPr="00CA25CF" w:rsidRDefault="002C0FD9" w:rsidP="00CA25CF">
            <w:pPr>
              <w:rPr>
                <w:rFonts w:cs="Arial"/>
                <w:color w:val="FF0000"/>
                <w:sz w:val="21"/>
                <w:szCs w:val="21"/>
              </w:rPr>
            </w:pPr>
          </w:p>
        </w:tc>
        <w:tc>
          <w:tcPr>
            <w:tcW w:w="217" w:type="dxa"/>
          </w:tcPr>
          <w:p w14:paraId="06DC01DA" w14:textId="6BEEAB86" w:rsidR="002C0FD9" w:rsidRPr="00CA25CF" w:rsidRDefault="002C0FD9" w:rsidP="00CA25CF">
            <w:pPr>
              <w:rPr>
                <w:rFonts w:cs="Arial"/>
                <w:color w:val="FF0000"/>
                <w:sz w:val="21"/>
                <w:szCs w:val="21"/>
              </w:rPr>
            </w:pPr>
          </w:p>
        </w:tc>
        <w:tc>
          <w:tcPr>
            <w:tcW w:w="217" w:type="dxa"/>
          </w:tcPr>
          <w:p w14:paraId="413FAA10" w14:textId="77777777" w:rsidR="002C0FD9" w:rsidRPr="00CA25CF" w:rsidRDefault="002C0FD9" w:rsidP="00CA25CF">
            <w:pPr>
              <w:rPr>
                <w:rFonts w:cs="Arial"/>
                <w:color w:val="FF0000"/>
                <w:sz w:val="21"/>
                <w:szCs w:val="21"/>
              </w:rPr>
            </w:pPr>
          </w:p>
        </w:tc>
        <w:tc>
          <w:tcPr>
            <w:tcW w:w="217" w:type="dxa"/>
          </w:tcPr>
          <w:p w14:paraId="426C058C" w14:textId="77777777" w:rsidR="002C0FD9" w:rsidRPr="00CA25CF" w:rsidRDefault="002C0FD9" w:rsidP="00CA25CF">
            <w:pPr>
              <w:rPr>
                <w:rFonts w:cs="Arial"/>
                <w:color w:val="FF0000"/>
                <w:sz w:val="21"/>
                <w:szCs w:val="21"/>
              </w:rPr>
            </w:pPr>
          </w:p>
        </w:tc>
        <w:tc>
          <w:tcPr>
            <w:tcW w:w="217" w:type="dxa"/>
          </w:tcPr>
          <w:p w14:paraId="451DAE9D" w14:textId="77777777" w:rsidR="002C0FD9" w:rsidRPr="00CA25CF" w:rsidRDefault="002C0FD9" w:rsidP="00CA25CF">
            <w:pPr>
              <w:rPr>
                <w:rFonts w:cs="Arial"/>
                <w:color w:val="FF0000"/>
                <w:sz w:val="21"/>
                <w:szCs w:val="21"/>
              </w:rPr>
            </w:pPr>
          </w:p>
        </w:tc>
        <w:tc>
          <w:tcPr>
            <w:tcW w:w="217" w:type="dxa"/>
          </w:tcPr>
          <w:p w14:paraId="1EC0A650" w14:textId="77777777" w:rsidR="002C0FD9" w:rsidRPr="00CA25CF" w:rsidRDefault="002C0FD9" w:rsidP="00CA25CF">
            <w:pPr>
              <w:rPr>
                <w:rFonts w:cs="Arial"/>
                <w:color w:val="FF0000"/>
                <w:sz w:val="21"/>
                <w:szCs w:val="21"/>
              </w:rPr>
            </w:pPr>
          </w:p>
        </w:tc>
        <w:tc>
          <w:tcPr>
            <w:tcW w:w="217" w:type="dxa"/>
          </w:tcPr>
          <w:p w14:paraId="5FB90667" w14:textId="77777777" w:rsidR="002C0FD9" w:rsidRPr="00CA25CF" w:rsidRDefault="002C0FD9" w:rsidP="00CA25CF">
            <w:pPr>
              <w:rPr>
                <w:rFonts w:cs="Arial"/>
                <w:color w:val="FF0000"/>
                <w:sz w:val="21"/>
                <w:szCs w:val="21"/>
              </w:rPr>
            </w:pPr>
          </w:p>
        </w:tc>
        <w:tc>
          <w:tcPr>
            <w:tcW w:w="217" w:type="dxa"/>
          </w:tcPr>
          <w:p w14:paraId="58379839" w14:textId="77777777" w:rsidR="002C0FD9" w:rsidRPr="00CA25CF" w:rsidRDefault="002C0FD9" w:rsidP="00CA25CF">
            <w:pPr>
              <w:rPr>
                <w:rFonts w:cs="Arial"/>
                <w:color w:val="FF0000"/>
                <w:sz w:val="21"/>
                <w:szCs w:val="21"/>
              </w:rPr>
            </w:pPr>
          </w:p>
        </w:tc>
        <w:tc>
          <w:tcPr>
            <w:tcW w:w="217" w:type="dxa"/>
          </w:tcPr>
          <w:p w14:paraId="6973CE4E" w14:textId="77777777" w:rsidR="002C0FD9" w:rsidRPr="00CA25CF" w:rsidRDefault="002C0FD9" w:rsidP="00CA25CF">
            <w:pPr>
              <w:rPr>
                <w:rFonts w:cs="Arial"/>
                <w:color w:val="FF0000"/>
                <w:sz w:val="21"/>
                <w:szCs w:val="21"/>
              </w:rPr>
            </w:pPr>
          </w:p>
        </w:tc>
        <w:tc>
          <w:tcPr>
            <w:tcW w:w="217" w:type="dxa"/>
          </w:tcPr>
          <w:p w14:paraId="1ABE63ED" w14:textId="77777777" w:rsidR="002C0FD9" w:rsidRPr="00CA25CF" w:rsidRDefault="002C0FD9" w:rsidP="00CA25CF">
            <w:pPr>
              <w:rPr>
                <w:rFonts w:cs="Arial"/>
                <w:color w:val="FF0000"/>
                <w:sz w:val="21"/>
                <w:szCs w:val="21"/>
              </w:rPr>
            </w:pPr>
          </w:p>
        </w:tc>
        <w:tc>
          <w:tcPr>
            <w:tcW w:w="217" w:type="dxa"/>
          </w:tcPr>
          <w:p w14:paraId="150C298E" w14:textId="77777777" w:rsidR="002C0FD9" w:rsidRPr="00CA25CF" w:rsidRDefault="002C0FD9" w:rsidP="00CA25CF">
            <w:pPr>
              <w:rPr>
                <w:rFonts w:cs="Arial"/>
                <w:color w:val="FF0000"/>
                <w:sz w:val="21"/>
                <w:szCs w:val="21"/>
              </w:rPr>
            </w:pPr>
          </w:p>
        </w:tc>
        <w:tc>
          <w:tcPr>
            <w:tcW w:w="217" w:type="dxa"/>
          </w:tcPr>
          <w:p w14:paraId="0EA2F7BE" w14:textId="77777777" w:rsidR="002C0FD9" w:rsidRPr="00CA25CF" w:rsidRDefault="002C0FD9" w:rsidP="00CA25CF">
            <w:pPr>
              <w:rPr>
                <w:rFonts w:cs="Arial"/>
                <w:color w:val="FF0000"/>
                <w:sz w:val="21"/>
                <w:szCs w:val="21"/>
              </w:rPr>
            </w:pPr>
          </w:p>
        </w:tc>
        <w:tc>
          <w:tcPr>
            <w:tcW w:w="217" w:type="dxa"/>
          </w:tcPr>
          <w:p w14:paraId="1D06EE9F" w14:textId="77777777" w:rsidR="002C0FD9" w:rsidRPr="00CA25CF" w:rsidRDefault="002C0FD9" w:rsidP="00CA25CF">
            <w:pPr>
              <w:rPr>
                <w:rFonts w:cs="Arial"/>
                <w:color w:val="FF0000"/>
                <w:sz w:val="21"/>
                <w:szCs w:val="21"/>
              </w:rPr>
            </w:pPr>
          </w:p>
        </w:tc>
        <w:tc>
          <w:tcPr>
            <w:tcW w:w="217" w:type="dxa"/>
          </w:tcPr>
          <w:p w14:paraId="2DFCFEE3" w14:textId="77777777" w:rsidR="002C0FD9" w:rsidRPr="00CA25CF" w:rsidRDefault="002C0FD9" w:rsidP="00CA25CF">
            <w:pPr>
              <w:rPr>
                <w:rFonts w:cs="Arial"/>
                <w:color w:val="FF0000"/>
                <w:sz w:val="21"/>
                <w:szCs w:val="21"/>
              </w:rPr>
            </w:pPr>
          </w:p>
        </w:tc>
        <w:tc>
          <w:tcPr>
            <w:tcW w:w="217" w:type="dxa"/>
          </w:tcPr>
          <w:p w14:paraId="5DCB1BFC" w14:textId="77777777" w:rsidR="002C0FD9" w:rsidRPr="00CA25CF" w:rsidRDefault="002C0FD9" w:rsidP="00CA25CF">
            <w:pPr>
              <w:rPr>
                <w:rFonts w:cs="Arial"/>
                <w:color w:val="FF0000"/>
                <w:sz w:val="21"/>
                <w:szCs w:val="21"/>
              </w:rPr>
            </w:pPr>
          </w:p>
        </w:tc>
        <w:tc>
          <w:tcPr>
            <w:tcW w:w="217" w:type="dxa"/>
          </w:tcPr>
          <w:p w14:paraId="53FD845D" w14:textId="77777777" w:rsidR="002C0FD9" w:rsidRPr="00CA25CF" w:rsidRDefault="002C0FD9" w:rsidP="00CA25CF">
            <w:pPr>
              <w:rPr>
                <w:rFonts w:cs="Arial"/>
                <w:color w:val="FF0000"/>
                <w:sz w:val="21"/>
                <w:szCs w:val="21"/>
              </w:rPr>
            </w:pPr>
          </w:p>
        </w:tc>
        <w:tc>
          <w:tcPr>
            <w:tcW w:w="217" w:type="dxa"/>
          </w:tcPr>
          <w:p w14:paraId="3FCBBA41" w14:textId="77777777" w:rsidR="002C0FD9" w:rsidRPr="00CA25CF" w:rsidRDefault="002C0FD9" w:rsidP="00CA25CF">
            <w:pPr>
              <w:rPr>
                <w:rFonts w:cs="Arial"/>
                <w:color w:val="FF0000"/>
                <w:sz w:val="21"/>
                <w:szCs w:val="21"/>
              </w:rPr>
            </w:pPr>
          </w:p>
        </w:tc>
        <w:tc>
          <w:tcPr>
            <w:tcW w:w="217" w:type="dxa"/>
          </w:tcPr>
          <w:p w14:paraId="05B51A9F" w14:textId="77777777" w:rsidR="002C0FD9" w:rsidRPr="00CA25CF" w:rsidRDefault="002C0FD9" w:rsidP="00CA25CF">
            <w:pPr>
              <w:rPr>
                <w:rFonts w:cs="Arial"/>
                <w:color w:val="FF0000"/>
                <w:sz w:val="21"/>
                <w:szCs w:val="21"/>
              </w:rPr>
            </w:pPr>
          </w:p>
        </w:tc>
        <w:tc>
          <w:tcPr>
            <w:tcW w:w="217" w:type="dxa"/>
          </w:tcPr>
          <w:p w14:paraId="0FCAF26C" w14:textId="77777777" w:rsidR="002C0FD9" w:rsidRPr="00CA25CF" w:rsidRDefault="002C0FD9" w:rsidP="00CA25CF">
            <w:pPr>
              <w:rPr>
                <w:rFonts w:cs="Arial"/>
                <w:color w:val="FF0000"/>
                <w:sz w:val="21"/>
                <w:szCs w:val="21"/>
              </w:rPr>
            </w:pPr>
          </w:p>
        </w:tc>
        <w:tc>
          <w:tcPr>
            <w:tcW w:w="217" w:type="dxa"/>
          </w:tcPr>
          <w:p w14:paraId="77C2D699" w14:textId="77777777" w:rsidR="002C0FD9" w:rsidRPr="00CA25CF" w:rsidRDefault="002C0FD9" w:rsidP="00CA25CF">
            <w:pPr>
              <w:rPr>
                <w:rFonts w:cs="Arial"/>
                <w:color w:val="FF0000"/>
                <w:sz w:val="21"/>
                <w:szCs w:val="21"/>
              </w:rPr>
            </w:pPr>
          </w:p>
        </w:tc>
        <w:tc>
          <w:tcPr>
            <w:tcW w:w="217" w:type="dxa"/>
          </w:tcPr>
          <w:p w14:paraId="08AFA2B9" w14:textId="77777777" w:rsidR="002C0FD9" w:rsidRPr="00CA25CF" w:rsidRDefault="002C0FD9" w:rsidP="00CA25CF">
            <w:pPr>
              <w:rPr>
                <w:rFonts w:cs="Arial"/>
                <w:color w:val="FF0000"/>
                <w:sz w:val="21"/>
                <w:szCs w:val="21"/>
              </w:rPr>
            </w:pPr>
          </w:p>
        </w:tc>
        <w:tc>
          <w:tcPr>
            <w:tcW w:w="217" w:type="dxa"/>
          </w:tcPr>
          <w:p w14:paraId="55023F57" w14:textId="77777777" w:rsidR="002C0FD9" w:rsidRPr="00CA25CF" w:rsidRDefault="002C0FD9" w:rsidP="00CA25CF">
            <w:pPr>
              <w:rPr>
                <w:rFonts w:cs="Arial"/>
                <w:color w:val="FF0000"/>
                <w:sz w:val="21"/>
                <w:szCs w:val="21"/>
              </w:rPr>
            </w:pPr>
          </w:p>
        </w:tc>
        <w:tc>
          <w:tcPr>
            <w:tcW w:w="217" w:type="dxa"/>
          </w:tcPr>
          <w:p w14:paraId="5244C5EB" w14:textId="77777777" w:rsidR="002C0FD9" w:rsidRPr="00CA25CF" w:rsidRDefault="002C0FD9" w:rsidP="00CA25CF">
            <w:pPr>
              <w:rPr>
                <w:rFonts w:cs="Arial"/>
                <w:color w:val="FF0000"/>
                <w:sz w:val="21"/>
                <w:szCs w:val="21"/>
              </w:rPr>
            </w:pPr>
          </w:p>
        </w:tc>
        <w:tc>
          <w:tcPr>
            <w:tcW w:w="217" w:type="dxa"/>
          </w:tcPr>
          <w:p w14:paraId="3369B5FE" w14:textId="77777777" w:rsidR="002C0FD9" w:rsidRPr="00CA25CF" w:rsidRDefault="002C0FD9" w:rsidP="00CA25CF">
            <w:pPr>
              <w:rPr>
                <w:rFonts w:cs="Arial"/>
                <w:color w:val="FF0000"/>
                <w:sz w:val="21"/>
                <w:szCs w:val="21"/>
              </w:rPr>
            </w:pPr>
          </w:p>
        </w:tc>
        <w:tc>
          <w:tcPr>
            <w:tcW w:w="217" w:type="dxa"/>
          </w:tcPr>
          <w:p w14:paraId="7977A125" w14:textId="77777777" w:rsidR="002C0FD9" w:rsidRPr="00CA25CF" w:rsidRDefault="002C0FD9" w:rsidP="00CA25CF">
            <w:pPr>
              <w:rPr>
                <w:rFonts w:cs="Arial"/>
                <w:color w:val="FF0000"/>
                <w:sz w:val="21"/>
                <w:szCs w:val="21"/>
              </w:rPr>
            </w:pPr>
          </w:p>
        </w:tc>
        <w:tc>
          <w:tcPr>
            <w:tcW w:w="217" w:type="dxa"/>
          </w:tcPr>
          <w:p w14:paraId="7D6DFA67" w14:textId="77777777" w:rsidR="002C0FD9" w:rsidRPr="00CA25CF" w:rsidRDefault="002C0FD9" w:rsidP="00CA25CF">
            <w:pPr>
              <w:rPr>
                <w:rFonts w:cs="Arial"/>
                <w:color w:val="FF0000"/>
                <w:sz w:val="21"/>
                <w:szCs w:val="21"/>
              </w:rPr>
            </w:pPr>
          </w:p>
        </w:tc>
        <w:tc>
          <w:tcPr>
            <w:tcW w:w="217" w:type="dxa"/>
          </w:tcPr>
          <w:p w14:paraId="7F2C4C42" w14:textId="77777777" w:rsidR="002C0FD9" w:rsidRPr="00CA25CF" w:rsidRDefault="002C0FD9" w:rsidP="00CA25CF">
            <w:pPr>
              <w:rPr>
                <w:rFonts w:cs="Arial"/>
                <w:color w:val="FF0000"/>
                <w:sz w:val="21"/>
                <w:szCs w:val="21"/>
              </w:rPr>
            </w:pPr>
          </w:p>
        </w:tc>
        <w:tc>
          <w:tcPr>
            <w:tcW w:w="217" w:type="dxa"/>
          </w:tcPr>
          <w:p w14:paraId="61767024" w14:textId="77777777" w:rsidR="002C0FD9" w:rsidRPr="00CA25CF" w:rsidRDefault="002C0FD9" w:rsidP="00CA25CF">
            <w:pPr>
              <w:rPr>
                <w:rFonts w:cs="Arial"/>
                <w:color w:val="FF0000"/>
                <w:sz w:val="21"/>
                <w:szCs w:val="21"/>
              </w:rPr>
            </w:pPr>
          </w:p>
        </w:tc>
        <w:tc>
          <w:tcPr>
            <w:tcW w:w="217" w:type="dxa"/>
          </w:tcPr>
          <w:p w14:paraId="17B91223" w14:textId="77777777" w:rsidR="002C0FD9" w:rsidRPr="00CA25CF" w:rsidRDefault="002C0FD9" w:rsidP="00CA25CF">
            <w:pPr>
              <w:rPr>
                <w:rFonts w:cs="Arial"/>
                <w:color w:val="FF0000"/>
                <w:sz w:val="21"/>
                <w:szCs w:val="21"/>
              </w:rPr>
            </w:pPr>
          </w:p>
        </w:tc>
      </w:tr>
      <w:tr w:rsidR="002C0FD9" w:rsidRPr="00A16219" w14:paraId="4C4A4070" w14:textId="453DBD7D" w:rsidTr="002C0FD9">
        <w:trPr>
          <w:trHeight w:val="635"/>
        </w:trPr>
        <w:tc>
          <w:tcPr>
            <w:tcW w:w="515" w:type="dxa"/>
          </w:tcPr>
          <w:p w14:paraId="0922B181" w14:textId="77777777" w:rsidR="002C0FD9" w:rsidRPr="00CA25CF" w:rsidRDefault="002C0FD9" w:rsidP="00CA25CF">
            <w:pPr>
              <w:rPr>
                <w:rFonts w:cs="Arial"/>
                <w:color w:val="FF0000"/>
                <w:sz w:val="21"/>
                <w:szCs w:val="21"/>
              </w:rPr>
            </w:pPr>
          </w:p>
        </w:tc>
        <w:tc>
          <w:tcPr>
            <w:tcW w:w="217" w:type="dxa"/>
          </w:tcPr>
          <w:p w14:paraId="2E92D458" w14:textId="77777777" w:rsidR="002C0FD9" w:rsidRPr="00CA25CF" w:rsidRDefault="002C0FD9" w:rsidP="00CA25CF">
            <w:pPr>
              <w:rPr>
                <w:rFonts w:cs="Arial"/>
                <w:color w:val="FF0000"/>
                <w:sz w:val="21"/>
                <w:szCs w:val="21"/>
              </w:rPr>
            </w:pPr>
          </w:p>
        </w:tc>
        <w:tc>
          <w:tcPr>
            <w:tcW w:w="217" w:type="dxa"/>
          </w:tcPr>
          <w:p w14:paraId="1300599D" w14:textId="45DC46BF" w:rsidR="002C0FD9" w:rsidRPr="00CA25CF" w:rsidRDefault="002C0FD9" w:rsidP="00CA25CF">
            <w:pPr>
              <w:rPr>
                <w:rFonts w:cs="Arial"/>
                <w:color w:val="FF0000"/>
                <w:sz w:val="21"/>
                <w:szCs w:val="21"/>
              </w:rPr>
            </w:pPr>
          </w:p>
        </w:tc>
        <w:tc>
          <w:tcPr>
            <w:tcW w:w="217" w:type="dxa"/>
          </w:tcPr>
          <w:p w14:paraId="0F7A94E9" w14:textId="77777777" w:rsidR="002C0FD9" w:rsidRPr="00CA25CF" w:rsidRDefault="002C0FD9" w:rsidP="00CA25CF">
            <w:pPr>
              <w:rPr>
                <w:rFonts w:cs="Arial"/>
                <w:color w:val="FF0000"/>
                <w:sz w:val="21"/>
                <w:szCs w:val="21"/>
              </w:rPr>
            </w:pPr>
          </w:p>
        </w:tc>
        <w:tc>
          <w:tcPr>
            <w:tcW w:w="217" w:type="dxa"/>
          </w:tcPr>
          <w:p w14:paraId="6CAF5CF3" w14:textId="77777777" w:rsidR="002C0FD9" w:rsidRPr="00CA25CF" w:rsidRDefault="002C0FD9" w:rsidP="00CA25CF">
            <w:pPr>
              <w:rPr>
                <w:rFonts w:cs="Arial"/>
                <w:color w:val="FF0000"/>
                <w:sz w:val="21"/>
                <w:szCs w:val="21"/>
              </w:rPr>
            </w:pPr>
          </w:p>
        </w:tc>
        <w:tc>
          <w:tcPr>
            <w:tcW w:w="217" w:type="dxa"/>
          </w:tcPr>
          <w:p w14:paraId="1E8DB9DC" w14:textId="77777777" w:rsidR="002C0FD9" w:rsidRPr="00CA25CF" w:rsidRDefault="002C0FD9" w:rsidP="00CA25CF">
            <w:pPr>
              <w:rPr>
                <w:rFonts w:cs="Arial"/>
                <w:color w:val="FF0000"/>
                <w:sz w:val="21"/>
                <w:szCs w:val="21"/>
              </w:rPr>
            </w:pPr>
          </w:p>
        </w:tc>
        <w:tc>
          <w:tcPr>
            <w:tcW w:w="217" w:type="dxa"/>
          </w:tcPr>
          <w:p w14:paraId="3E1FEFD5" w14:textId="77777777" w:rsidR="002C0FD9" w:rsidRPr="00CA25CF" w:rsidRDefault="002C0FD9" w:rsidP="00CA25CF">
            <w:pPr>
              <w:rPr>
                <w:rFonts w:cs="Arial"/>
                <w:color w:val="FF0000"/>
                <w:sz w:val="21"/>
                <w:szCs w:val="21"/>
              </w:rPr>
            </w:pPr>
          </w:p>
        </w:tc>
        <w:tc>
          <w:tcPr>
            <w:tcW w:w="217" w:type="dxa"/>
          </w:tcPr>
          <w:p w14:paraId="6A40A015" w14:textId="77777777" w:rsidR="002C0FD9" w:rsidRPr="00CA25CF" w:rsidRDefault="002C0FD9" w:rsidP="00CA25CF">
            <w:pPr>
              <w:rPr>
                <w:rFonts w:cs="Arial"/>
                <w:color w:val="FF0000"/>
                <w:sz w:val="21"/>
                <w:szCs w:val="21"/>
              </w:rPr>
            </w:pPr>
          </w:p>
        </w:tc>
        <w:tc>
          <w:tcPr>
            <w:tcW w:w="217" w:type="dxa"/>
          </w:tcPr>
          <w:p w14:paraId="4DC8FC0B" w14:textId="77777777" w:rsidR="002C0FD9" w:rsidRPr="00CA25CF" w:rsidRDefault="002C0FD9" w:rsidP="00CA25CF">
            <w:pPr>
              <w:rPr>
                <w:rFonts w:cs="Arial"/>
                <w:color w:val="FF0000"/>
                <w:sz w:val="21"/>
                <w:szCs w:val="21"/>
              </w:rPr>
            </w:pPr>
          </w:p>
        </w:tc>
        <w:tc>
          <w:tcPr>
            <w:tcW w:w="217" w:type="dxa"/>
          </w:tcPr>
          <w:p w14:paraId="327A20BE" w14:textId="77777777" w:rsidR="002C0FD9" w:rsidRPr="00CA25CF" w:rsidRDefault="002C0FD9" w:rsidP="00CA25CF">
            <w:pPr>
              <w:rPr>
                <w:rFonts w:cs="Arial"/>
                <w:color w:val="FF0000"/>
                <w:sz w:val="21"/>
                <w:szCs w:val="21"/>
              </w:rPr>
            </w:pPr>
          </w:p>
        </w:tc>
        <w:tc>
          <w:tcPr>
            <w:tcW w:w="217" w:type="dxa"/>
          </w:tcPr>
          <w:p w14:paraId="1246DE56" w14:textId="77777777" w:rsidR="002C0FD9" w:rsidRPr="00CA25CF" w:rsidRDefault="002C0FD9" w:rsidP="00CA25CF">
            <w:pPr>
              <w:rPr>
                <w:rFonts w:cs="Arial"/>
                <w:color w:val="FF0000"/>
                <w:sz w:val="21"/>
                <w:szCs w:val="21"/>
              </w:rPr>
            </w:pPr>
          </w:p>
        </w:tc>
        <w:tc>
          <w:tcPr>
            <w:tcW w:w="217" w:type="dxa"/>
          </w:tcPr>
          <w:p w14:paraId="43CC3D64" w14:textId="77777777" w:rsidR="002C0FD9" w:rsidRPr="00CA25CF" w:rsidRDefault="002C0FD9" w:rsidP="00CA25CF">
            <w:pPr>
              <w:rPr>
                <w:rFonts w:cs="Arial"/>
                <w:color w:val="FF0000"/>
                <w:sz w:val="21"/>
                <w:szCs w:val="21"/>
              </w:rPr>
            </w:pPr>
          </w:p>
        </w:tc>
        <w:tc>
          <w:tcPr>
            <w:tcW w:w="217" w:type="dxa"/>
          </w:tcPr>
          <w:p w14:paraId="0D5C0F5B" w14:textId="77777777" w:rsidR="002C0FD9" w:rsidRPr="00CA25CF" w:rsidRDefault="002C0FD9" w:rsidP="00CA25CF">
            <w:pPr>
              <w:rPr>
                <w:rFonts w:cs="Arial"/>
                <w:color w:val="FF0000"/>
                <w:sz w:val="21"/>
                <w:szCs w:val="21"/>
              </w:rPr>
            </w:pPr>
          </w:p>
        </w:tc>
        <w:tc>
          <w:tcPr>
            <w:tcW w:w="217" w:type="dxa"/>
          </w:tcPr>
          <w:p w14:paraId="1FC5CA5C" w14:textId="77777777" w:rsidR="002C0FD9" w:rsidRPr="00CA25CF" w:rsidRDefault="002C0FD9" w:rsidP="00CA25CF">
            <w:pPr>
              <w:rPr>
                <w:rFonts w:cs="Arial"/>
                <w:color w:val="FF0000"/>
                <w:sz w:val="21"/>
                <w:szCs w:val="21"/>
              </w:rPr>
            </w:pPr>
          </w:p>
        </w:tc>
        <w:tc>
          <w:tcPr>
            <w:tcW w:w="217" w:type="dxa"/>
          </w:tcPr>
          <w:p w14:paraId="01F0FD06" w14:textId="77777777" w:rsidR="002C0FD9" w:rsidRPr="00CA25CF" w:rsidRDefault="002C0FD9" w:rsidP="00CA25CF">
            <w:pPr>
              <w:rPr>
                <w:rFonts w:cs="Arial"/>
                <w:color w:val="FF0000"/>
                <w:sz w:val="21"/>
                <w:szCs w:val="21"/>
              </w:rPr>
            </w:pPr>
          </w:p>
        </w:tc>
        <w:tc>
          <w:tcPr>
            <w:tcW w:w="217" w:type="dxa"/>
          </w:tcPr>
          <w:p w14:paraId="144A63F1" w14:textId="2ED8C9F8" w:rsidR="002C0FD9" w:rsidRPr="00CA25CF" w:rsidRDefault="002C0FD9" w:rsidP="00CA25CF">
            <w:pPr>
              <w:rPr>
                <w:rFonts w:cs="Arial"/>
                <w:color w:val="FF0000"/>
                <w:sz w:val="21"/>
                <w:szCs w:val="21"/>
              </w:rPr>
            </w:pPr>
          </w:p>
        </w:tc>
        <w:tc>
          <w:tcPr>
            <w:tcW w:w="217" w:type="dxa"/>
          </w:tcPr>
          <w:p w14:paraId="04E8D405" w14:textId="77777777" w:rsidR="002C0FD9" w:rsidRPr="00CA25CF" w:rsidRDefault="002C0FD9" w:rsidP="00CA25CF">
            <w:pPr>
              <w:rPr>
                <w:rFonts w:cs="Arial"/>
                <w:color w:val="FF0000"/>
                <w:sz w:val="21"/>
                <w:szCs w:val="21"/>
              </w:rPr>
            </w:pPr>
          </w:p>
        </w:tc>
        <w:tc>
          <w:tcPr>
            <w:tcW w:w="217" w:type="dxa"/>
          </w:tcPr>
          <w:p w14:paraId="731A7185" w14:textId="77777777" w:rsidR="002C0FD9" w:rsidRPr="00CA25CF" w:rsidRDefault="002C0FD9" w:rsidP="00CA25CF">
            <w:pPr>
              <w:rPr>
                <w:rFonts w:cs="Arial"/>
                <w:color w:val="FF0000"/>
                <w:sz w:val="21"/>
                <w:szCs w:val="21"/>
              </w:rPr>
            </w:pPr>
          </w:p>
        </w:tc>
        <w:tc>
          <w:tcPr>
            <w:tcW w:w="217" w:type="dxa"/>
          </w:tcPr>
          <w:p w14:paraId="5881F3E0" w14:textId="77777777" w:rsidR="002C0FD9" w:rsidRPr="00CA25CF" w:rsidRDefault="002C0FD9" w:rsidP="00CA25CF">
            <w:pPr>
              <w:rPr>
                <w:rFonts w:cs="Arial"/>
                <w:color w:val="FF0000"/>
                <w:sz w:val="21"/>
                <w:szCs w:val="21"/>
              </w:rPr>
            </w:pPr>
          </w:p>
        </w:tc>
        <w:tc>
          <w:tcPr>
            <w:tcW w:w="217" w:type="dxa"/>
          </w:tcPr>
          <w:p w14:paraId="0C75BC42" w14:textId="77777777" w:rsidR="002C0FD9" w:rsidRPr="00CA25CF" w:rsidRDefault="002C0FD9" w:rsidP="00CA25CF">
            <w:pPr>
              <w:rPr>
                <w:rFonts w:cs="Arial"/>
                <w:color w:val="FF0000"/>
                <w:sz w:val="21"/>
                <w:szCs w:val="21"/>
              </w:rPr>
            </w:pPr>
          </w:p>
        </w:tc>
        <w:tc>
          <w:tcPr>
            <w:tcW w:w="217" w:type="dxa"/>
          </w:tcPr>
          <w:p w14:paraId="1BC3E853" w14:textId="77777777" w:rsidR="002C0FD9" w:rsidRPr="00CA25CF" w:rsidRDefault="002C0FD9" w:rsidP="00CA25CF">
            <w:pPr>
              <w:rPr>
                <w:rFonts w:cs="Arial"/>
                <w:color w:val="FF0000"/>
                <w:sz w:val="21"/>
                <w:szCs w:val="21"/>
              </w:rPr>
            </w:pPr>
          </w:p>
        </w:tc>
        <w:tc>
          <w:tcPr>
            <w:tcW w:w="217" w:type="dxa"/>
          </w:tcPr>
          <w:p w14:paraId="45B48268" w14:textId="77777777" w:rsidR="002C0FD9" w:rsidRPr="00CA25CF" w:rsidRDefault="002C0FD9" w:rsidP="00CA25CF">
            <w:pPr>
              <w:rPr>
                <w:rFonts w:cs="Arial"/>
                <w:color w:val="FF0000"/>
                <w:sz w:val="21"/>
                <w:szCs w:val="21"/>
              </w:rPr>
            </w:pPr>
          </w:p>
        </w:tc>
        <w:tc>
          <w:tcPr>
            <w:tcW w:w="217" w:type="dxa"/>
          </w:tcPr>
          <w:p w14:paraId="6C9B50FB" w14:textId="77777777" w:rsidR="002C0FD9" w:rsidRPr="00CA25CF" w:rsidRDefault="002C0FD9" w:rsidP="00CA25CF">
            <w:pPr>
              <w:rPr>
                <w:rFonts w:cs="Arial"/>
                <w:color w:val="FF0000"/>
                <w:sz w:val="21"/>
                <w:szCs w:val="21"/>
              </w:rPr>
            </w:pPr>
          </w:p>
        </w:tc>
        <w:tc>
          <w:tcPr>
            <w:tcW w:w="217" w:type="dxa"/>
          </w:tcPr>
          <w:p w14:paraId="1D7E8E98" w14:textId="77777777" w:rsidR="002C0FD9" w:rsidRPr="00CA25CF" w:rsidRDefault="002C0FD9" w:rsidP="00CA25CF">
            <w:pPr>
              <w:rPr>
                <w:rFonts w:cs="Arial"/>
                <w:color w:val="FF0000"/>
                <w:sz w:val="21"/>
                <w:szCs w:val="21"/>
              </w:rPr>
            </w:pPr>
          </w:p>
        </w:tc>
        <w:tc>
          <w:tcPr>
            <w:tcW w:w="217" w:type="dxa"/>
          </w:tcPr>
          <w:p w14:paraId="1B3115CB" w14:textId="77777777" w:rsidR="002C0FD9" w:rsidRPr="00CA25CF" w:rsidRDefault="002C0FD9" w:rsidP="00CA25CF">
            <w:pPr>
              <w:rPr>
                <w:rFonts w:cs="Arial"/>
                <w:color w:val="FF0000"/>
                <w:sz w:val="21"/>
                <w:szCs w:val="21"/>
              </w:rPr>
            </w:pPr>
          </w:p>
        </w:tc>
        <w:tc>
          <w:tcPr>
            <w:tcW w:w="217" w:type="dxa"/>
          </w:tcPr>
          <w:p w14:paraId="451DC58B" w14:textId="77777777" w:rsidR="002C0FD9" w:rsidRPr="00CA25CF" w:rsidRDefault="002C0FD9" w:rsidP="00CA25CF">
            <w:pPr>
              <w:rPr>
                <w:rFonts w:cs="Arial"/>
                <w:color w:val="FF0000"/>
                <w:sz w:val="21"/>
                <w:szCs w:val="21"/>
              </w:rPr>
            </w:pPr>
          </w:p>
        </w:tc>
        <w:tc>
          <w:tcPr>
            <w:tcW w:w="217" w:type="dxa"/>
          </w:tcPr>
          <w:p w14:paraId="22303333" w14:textId="77777777" w:rsidR="002C0FD9" w:rsidRPr="00CA25CF" w:rsidRDefault="002C0FD9" w:rsidP="00CA25CF">
            <w:pPr>
              <w:rPr>
                <w:rFonts w:cs="Arial"/>
                <w:color w:val="FF0000"/>
                <w:sz w:val="21"/>
                <w:szCs w:val="21"/>
              </w:rPr>
            </w:pPr>
          </w:p>
        </w:tc>
        <w:tc>
          <w:tcPr>
            <w:tcW w:w="217" w:type="dxa"/>
          </w:tcPr>
          <w:p w14:paraId="2E28ECDE" w14:textId="77777777" w:rsidR="002C0FD9" w:rsidRPr="00CA25CF" w:rsidRDefault="002C0FD9" w:rsidP="00CA25CF">
            <w:pPr>
              <w:rPr>
                <w:rFonts w:cs="Arial"/>
                <w:color w:val="FF0000"/>
                <w:sz w:val="21"/>
                <w:szCs w:val="21"/>
              </w:rPr>
            </w:pPr>
          </w:p>
        </w:tc>
        <w:tc>
          <w:tcPr>
            <w:tcW w:w="217" w:type="dxa"/>
          </w:tcPr>
          <w:p w14:paraId="7313C31B" w14:textId="77777777" w:rsidR="002C0FD9" w:rsidRPr="00CA25CF" w:rsidRDefault="002C0FD9" w:rsidP="00CA25CF">
            <w:pPr>
              <w:rPr>
                <w:rFonts w:cs="Arial"/>
                <w:color w:val="FF0000"/>
                <w:sz w:val="21"/>
                <w:szCs w:val="21"/>
              </w:rPr>
            </w:pPr>
          </w:p>
        </w:tc>
        <w:tc>
          <w:tcPr>
            <w:tcW w:w="217" w:type="dxa"/>
          </w:tcPr>
          <w:p w14:paraId="5830E76E" w14:textId="77777777" w:rsidR="002C0FD9" w:rsidRPr="00CA25CF" w:rsidRDefault="002C0FD9" w:rsidP="00CA25CF">
            <w:pPr>
              <w:rPr>
                <w:rFonts w:cs="Arial"/>
                <w:color w:val="FF0000"/>
                <w:sz w:val="21"/>
                <w:szCs w:val="21"/>
              </w:rPr>
            </w:pPr>
          </w:p>
        </w:tc>
        <w:tc>
          <w:tcPr>
            <w:tcW w:w="217" w:type="dxa"/>
          </w:tcPr>
          <w:p w14:paraId="672B5421" w14:textId="77777777" w:rsidR="002C0FD9" w:rsidRPr="00CA25CF" w:rsidRDefault="002C0FD9" w:rsidP="00CA25CF">
            <w:pPr>
              <w:rPr>
                <w:rFonts w:cs="Arial"/>
                <w:color w:val="FF0000"/>
                <w:sz w:val="21"/>
                <w:szCs w:val="21"/>
              </w:rPr>
            </w:pPr>
          </w:p>
        </w:tc>
        <w:tc>
          <w:tcPr>
            <w:tcW w:w="217" w:type="dxa"/>
          </w:tcPr>
          <w:p w14:paraId="044768C8" w14:textId="77777777" w:rsidR="002C0FD9" w:rsidRPr="00CA25CF" w:rsidRDefault="002C0FD9" w:rsidP="00CA25CF">
            <w:pPr>
              <w:rPr>
                <w:rFonts w:cs="Arial"/>
                <w:color w:val="FF0000"/>
                <w:sz w:val="21"/>
                <w:szCs w:val="21"/>
              </w:rPr>
            </w:pPr>
          </w:p>
        </w:tc>
        <w:tc>
          <w:tcPr>
            <w:tcW w:w="217" w:type="dxa"/>
          </w:tcPr>
          <w:p w14:paraId="428B7E9F" w14:textId="77777777" w:rsidR="002C0FD9" w:rsidRPr="00CA25CF" w:rsidRDefault="002C0FD9" w:rsidP="00CA25CF">
            <w:pPr>
              <w:rPr>
                <w:rFonts w:cs="Arial"/>
                <w:color w:val="FF0000"/>
                <w:sz w:val="21"/>
                <w:szCs w:val="21"/>
              </w:rPr>
            </w:pPr>
          </w:p>
        </w:tc>
        <w:tc>
          <w:tcPr>
            <w:tcW w:w="217" w:type="dxa"/>
          </w:tcPr>
          <w:p w14:paraId="7C857BEA" w14:textId="77777777" w:rsidR="002C0FD9" w:rsidRPr="00CA25CF" w:rsidRDefault="002C0FD9" w:rsidP="00CA25CF">
            <w:pPr>
              <w:rPr>
                <w:rFonts w:cs="Arial"/>
                <w:color w:val="FF0000"/>
                <w:sz w:val="21"/>
                <w:szCs w:val="21"/>
              </w:rPr>
            </w:pPr>
          </w:p>
        </w:tc>
        <w:tc>
          <w:tcPr>
            <w:tcW w:w="217" w:type="dxa"/>
          </w:tcPr>
          <w:p w14:paraId="27EFBE44" w14:textId="77777777" w:rsidR="002C0FD9" w:rsidRPr="00CA25CF" w:rsidRDefault="002C0FD9" w:rsidP="00CA25CF">
            <w:pPr>
              <w:rPr>
                <w:rFonts w:cs="Arial"/>
                <w:color w:val="FF0000"/>
                <w:sz w:val="21"/>
                <w:szCs w:val="21"/>
              </w:rPr>
            </w:pPr>
          </w:p>
        </w:tc>
        <w:tc>
          <w:tcPr>
            <w:tcW w:w="217" w:type="dxa"/>
          </w:tcPr>
          <w:p w14:paraId="3362ECBA" w14:textId="77777777" w:rsidR="002C0FD9" w:rsidRPr="00CA25CF" w:rsidRDefault="002C0FD9" w:rsidP="00CA25CF">
            <w:pPr>
              <w:rPr>
                <w:rFonts w:cs="Arial"/>
                <w:color w:val="FF0000"/>
                <w:sz w:val="21"/>
                <w:szCs w:val="21"/>
              </w:rPr>
            </w:pPr>
          </w:p>
        </w:tc>
        <w:tc>
          <w:tcPr>
            <w:tcW w:w="217" w:type="dxa"/>
          </w:tcPr>
          <w:p w14:paraId="752073FC" w14:textId="77777777" w:rsidR="002C0FD9" w:rsidRPr="00CA25CF" w:rsidRDefault="002C0FD9" w:rsidP="00CA25CF">
            <w:pPr>
              <w:rPr>
                <w:rFonts w:cs="Arial"/>
                <w:color w:val="FF0000"/>
                <w:sz w:val="21"/>
                <w:szCs w:val="21"/>
              </w:rPr>
            </w:pPr>
          </w:p>
        </w:tc>
        <w:tc>
          <w:tcPr>
            <w:tcW w:w="217" w:type="dxa"/>
          </w:tcPr>
          <w:p w14:paraId="790E7145" w14:textId="77777777" w:rsidR="002C0FD9" w:rsidRPr="00CA25CF" w:rsidRDefault="002C0FD9" w:rsidP="00CA25CF">
            <w:pPr>
              <w:rPr>
                <w:rFonts w:cs="Arial"/>
                <w:color w:val="FF0000"/>
                <w:sz w:val="21"/>
                <w:szCs w:val="21"/>
              </w:rPr>
            </w:pPr>
          </w:p>
        </w:tc>
        <w:tc>
          <w:tcPr>
            <w:tcW w:w="217" w:type="dxa"/>
          </w:tcPr>
          <w:p w14:paraId="3A1C6578" w14:textId="77777777" w:rsidR="002C0FD9" w:rsidRPr="00CA25CF" w:rsidRDefault="002C0FD9" w:rsidP="00CA25CF">
            <w:pPr>
              <w:rPr>
                <w:rFonts w:cs="Arial"/>
                <w:color w:val="FF0000"/>
                <w:sz w:val="21"/>
                <w:szCs w:val="21"/>
              </w:rPr>
            </w:pPr>
          </w:p>
        </w:tc>
        <w:tc>
          <w:tcPr>
            <w:tcW w:w="217" w:type="dxa"/>
          </w:tcPr>
          <w:p w14:paraId="6E6D7ABE" w14:textId="77777777" w:rsidR="002C0FD9" w:rsidRPr="00CA25CF" w:rsidRDefault="002C0FD9" w:rsidP="00CA25CF">
            <w:pPr>
              <w:rPr>
                <w:rFonts w:cs="Arial"/>
                <w:color w:val="FF0000"/>
                <w:sz w:val="21"/>
                <w:szCs w:val="21"/>
              </w:rPr>
            </w:pPr>
          </w:p>
        </w:tc>
        <w:tc>
          <w:tcPr>
            <w:tcW w:w="217" w:type="dxa"/>
          </w:tcPr>
          <w:p w14:paraId="790AB62B" w14:textId="77777777" w:rsidR="002C0FD9" w:rsidRPr="00CA25CF" w:rsidRDefault="002C0FD9" w:rsidP="00CA25CF">
            <w:pPr>
              <w:rPr>
                <w:rFonts w:cs="Arial"/>
                <w:color w:val="FF0000"/>
                <w:sz w:val="21"/>
                <w:szCs w:val="21"/>
              </w:rPr>
            </w:pPr>
          </w:p>
        </w:tc>
        <w:tc>
          <w:tcPr>
            <w:tcW w:w="217" w:type="dxa"/>
          </w:tcPr>
          <w:p w14:paraId="2AFB8616" w14:textId="77777777" w:rsidR="002C0FD9" w:rsidRPr="00CA25CF" w:rsidRDefault="002C0FD9" w:rsidP="00CA25CF">
            <w:pPr>
              <w:rPr>
                <w:rFonts w:cs="Arial"/>
                <w:color w:val="FF0000"/>
                <w:sz w:val="21"/>
                <w:szCs w:val="21"/>
              </w:rPr>
            </w:pPr>
          </w:p>
        </w:tc>
        <w:tc>
          <w:tcPr>
            <w:tcW w:w="217" w:type="dxa"/>
          </w:tcPr>
          <w:p w14:paraId="0E53B437" w14:textId="77777777" w:rsidR="002C0FD9" w:rsidRPr="00CA25CF" w:rsidRDefault="002C0FD9" w:rsidP="00CA25CF">
            <w:pPr>
              <w:rPr>
                <w:rFonts w:cs="Arial"/>
                <w:color w:val="FF0000"/>
                <w:sz w:val="21"/>
                <w:szCs w:val="21"/>
              </w:rPr>
            </w:pPr>
          </w:p>
        </w:tc>
      </w:tr>
      <w:tr w:rsidR="002C0FD9" w:rsidRPr="00A16219" w14:paraId="4EE51624" w14:textId="40119131" w:rsidTr="002C0FD9">
        <w:trPr>
          <w:trHeight w:val="635"/>
        </w:trPr>
        <w:tc>
          <w:tcPr>
            <w:tcW w:w="515" w:type="dxa"/>
          </w:tcPr>
          <w:p w14:paraId="5796D75C" w14:textId="77777777" w:rsidR="002C0FD9" w:rsidRPr="00CA25CF" w:rsidRDefault="002C0FD9" w:rsidP="00CA25CF">
            <w:pPr>
              <w:rPr>
                <w:rFonts w:cs="Arial"/>
                <w:color w:val="FF0000"/>
                <w:sz w:val="21"/>
                <w:szCs w:val="21"/>
              </w:rPr>
            </w:pPr>
          </w:p>
        </w:tc>
        <w:tc>
          <w:tcPr>
            <w:tcW w:w="217" w:type="dxa"/>
          </w:tcPr>
          <w:p w14:paraId="2F376A10" w14:textId="77777777" w:rsidR="002C0FD9" w:rsidRPr="00CA25CF" w:rsidRDefault="002C0FD9" w:rsidP="00CA25CF">
            <w:pPr>
              <w:rPr>
                <w:rFonts w:cs="Arial"/>
                <w:color w:val="FF0000"/>
                <w:sz w:val="21"/>
                <w:szCs w:val="21"/>
              </w:rPr>
            </w:pPr>
          </w:p>
        </w:tc>
        <w:tc>
          <w:tcPr>
            <w:tcW w:w="217" w:type="dxa"/>
          </w:tcPr>
          <w:p w14:paraId="50D0D9FC" w14:textId="11601CA4" w:rsidR="002C0FD9" w:rsidRPr="00CA25CF" w:rsidRDefault="002C0FD9" w:rsidP="00CA25CF">
            <w:pPr>
              <w:rPr>
                <w:rFonts w:cs="Arial"/>
                <w:color w:val="FF0000"/>
                <w:sz w:val="21"/>
                <w:szCs w:val="21"/>
              </w:rPr>
            </w:pPr>
          </w:p>
        </w:tc>
        <w:tc>
          <w:tcPr>
            <w:tcW w:w="217" w:type="dxa"/>
          </w:tcPr>
          <w:p w14:paraId="77477228" w14:textId="77777777" w:rsidR="002C0FD9" w:rsidRPr="00CA25CF" w:rsidRDefault="002C0FD9" w:rsidP="00CA25CF">
            <w:pPr>
              <w:rPr>
                <w:rFonts w:cs="Arial"/>
                <w:color w:val="FF0000"/>
                <w:sz w:val="21"/>
                <w:szCs w:val="21"/>
              </w:rPr>
            </w:pPr>
          </w:p>
        </w:tc>
        <w:tc>
          <w:tcPr>
            <w:tcW w:w="217" w:type="dxa"/>
          </w:tcPr>
          <w:p w14:paraId="0AF37207" w14:textId="77777777" w:rsidR="002C0FD9" w:rsidRPr="00CA25CF" w:rsidRDefault="002C0FD9" w:rsidP="00CA25CF">
            <w:pPr>
              <w:rPr>
                <w:rFonts w:cs="Arial"/>
                <w:color w:val="FF0000"/>
                <w:sz w:val="21"/>
                <w:szCs w:val="21"/>
              </w:rPr>
            </w:pPr>
          </w:p>
        </w:tc>
        <w:tc>
          <w:tcPr>
            <w:tcW w:w="217" w:type="dxa"/>
          </w:tcPr>
          <w:p w14:paraId="386A3602" w14:textId="77777777" w:rsidR="002C0FD9" w:rsidRPr="00CA25CF" w:rsidRDefault="002C0FD9" w:rsidP="00CA25CF">
            <w:pPr>
              <w:rPr>
                <w:rFonts w:cs="Arial"/>
                <w:color w:val="FF0000"/>
                <w:sz w:val="21"/>
                <w:szCs w:val="21"/>
              </w:rPr>
            </w:pPr>
          </w:p>
        </w:tc>
        <w:tc>
          <w:tcPr>
            <w:tcW w:w="217" w:type="dxa"/>
          </w:tcPr>
          <w:p w14:paraId="5DA6BECB" w14:textId="77777777" w:rsidR="002C0FD9" w:rsidRPr="00CA25CF" w:rsidRDefault="002C0FD9" w:rsidP="00CA25CF">
            <w:pPr>
              <w:rPr>
                <w:rFonts w:cs="Arial"/>
                <w:color w:val="FF0000"/>
                <w:sz w:val="21"/>
                <w:szCs w:val="21"/>
              </w:rPr>
            </w:pPr>
          </w:p>
        </w:tc>
        <w:tc>
          <w:tcPr>
            <w:tcW w:w="217" w:type="dxa"/>
          </w:tcPr>
          <w:p w14:paraId="60F26A4E" w14:textId="77777777" w:rsidR="002C0FD9" w:rsidRPr="00CA25CF" w:rsidRDefault="002C0FD9" w:rsidP="00CA25CF">
            <w:pPr>
              <w:rPr>
                <w:rFonts w:cs="Arial"/>
                <w:color w:val="FF0000"/>
                <w:sz w:val="21"/>
                <w:szCs w:val="21"/>
              </w:rPr>
            </w:pPr>
          </w:p>
        </w:tc>
        <w:tc>
          <w:tcPr>
            <w:tcW w:w="217" w:type="dxa"/>
          </w:tcPr>
          <w:p w14:paraId="6B6D7D1A" w14:textId="77777777" w:rsidR="002C0FD9" w:rsidRPr="00CA25CF" w:rsidRDefault="002C0FD9" w:rsidP="00CA25CF">
            <w:pPr>
              <w:rPr>
                <w:rFonts w:cs="Arial"/>
                <w:color w:val="FF0000"/>
                <w:sz w:val="21"/>
                <w:szCs w:val="21"/>
              </w:rPr>
            </w:pPr>
          </w:p>
        </w:tc>
        <w:tc>
          <w:tcPr>
            <w:tcW w:w="217" w:type="dxa"/>
          </w:tcPr>
          <w:p w14:paraId="626544C1" w14:textId="77777777" w:rsidR="002C0FD9" w:rsidRPr="00CA25CF" w:rsidRDefault="002C0FD9" w:rsidP="00CA25CF">
            <w:pPr>
              <w:rPr>
                <w:rFonts w:cs="Arial"/>
                <w:color w:val="FF0000"/>
                <w:sz w:val="21"/>
                <w:szCs w:val="21"/>
              </w:rPr>
            </w:pPr>
          </w:p>
        </w:tc>
        <w:tc>
          <w:tcPr>
            <w:tcW w:w="217" w:type="dxa"/>
          </w:tcPr>
          <w:p w14:paraId="620B991F" w14:textId="77777777" w:rsidR="002C0FD9" w:rsidRPr="00CA25CF" w:rsidRDefault="002C0FD9" w:rsidP="00CA25CF">
            <w:pPr>
              <w:rPr>
                <w:rFonts w:cs="Arial"/>
                <w:color w:val="FF0000"/>
                <w:sz w:val="21"/>
                <w:szCs w:val="21"/>
              </w:rPr>
            </w:pPr>
          </w:p>
        </w:tc>
        <w:tc>
          <w:tcPr>
            <w:tcW w:w="217" w:type="dxa"/>
          </w:tcPr>
          <w:p w14:paraId="71FE2183" w14:textId="77777777" w:rsidR="002C0FD9" w:rsidRPr="00CA25CF" w:rsidRDefault="002C0FD9" w:rsidP="00CA25CF">
            <w:pPr>
              <w:rPr>
                <w:rFonts w:cs="Arial"/>
                <w:color w:val="FF0000"/>
                <w:sz w:val="21"/>
                <w:szCs w:val="21"/>
              </w:rPr>
            </w:pPr>
          </w:p>
        </w:tc>
        <w:tc>
          <w:tcPr>
            <w:tcW w:w="217" w:type="dxa"/>
          </w:tcPr>
          <w:p w14:paraId="3D5883F8" w14:textId="77777777" w:rsidR="002C0FD9" w:rsidRPr="00CA25CF" w:rsidRDefault="002C0FD9" w:rsidP="00CA25CF">
            <w:pPr>
              <w:rPr>
                <w:rFonts w:cs="Arial"/>
                <w:color w:val="FF0000"/>
                <w:sz w:val="21"/>
                <w:szCs w:val="21"/>
              </w:rPr>
            </w:pPr>
          </w:p>
        </w:tc>
        <w:tc>
          <w:tcPr>
            <w:tcW w:w="217" w:type="dxa"/>
          </w:tcPr>
          <w:p w14:paraId="07CB91CC" w14:textId="77777777" w:rsidR="002C0FD9" w:rsidRPr="00CA25CF" w:rsidRDefault="002C0FD9" w:rsidP="00CA25CF">
            <w:pPr>
              <w:rPr>
                <w:rFonts w:cs="Arial"/>
                <w:color w:val="FF0000"/>
                <w:sz w:val="21"/>
                <w:szCs w:val="21"/>
              </w:rPr>
            </w:pPr>
          </w:p>
        </w:tc>
        <w:tc>
          <w:tcPr>
            <w:tcW w:w="217" w:type="dxa"/>
          </w:tcPr>
          <w:p w14:paraId="27A4E447" w14:textId="77777777" w:rsidR="002C0FD9" w:rsidRPr="00CA25CF" w:rsidRDefault="002C0FD9" w:rsidP="00CA25CF">
            <w:pPr>
              <w:rPr>
                <w:rFonts w:cs="Arial"/>
                <w:color w:val="FF0000"/>
                <w:sz w:val="21"/>
                <w:szCs w:val="21"/>
              </w:rPr>
            </w:pPr>
          </w:p>
        </w:tc>
        <w:tc>
          <w:tcPr>
            <w:tcW w:w="217" w:type="dxa"/>
          </w:tcPr>
          <w:p w14:paraId="5B8DB450" w14:textId="3B6D4E9C" w:rsidR="002C0FD9" w:rsidRPr="00CA25CF" w:rsidRDefault="002C0FD9" w:rsidP="00CA25CF">
            <w:pPr>
              <w:rPr>
                <w:rFonts w:cs="Arial"/>
                <w:color w:val="FF0000"/>
                <w:sz w:val="21"/>
                <w:szCs w:val="21"/>
              </w:rPr>
            </w:pPr>
          </w:p>
        </w:tc>
        <w:tc>
          <w:tcPr>
            <w:tcW w:w="217" w:type="dxa"/>
          </w:tcPr>
          <w:p w14:paraId="664B489D" w14:textId="77777777" w:rsidR="002C0FD9" w:rsidRPr="00CA25CF" w:rsidRDefault="002C0FD9" w:rsidP="00CA25CF">
            <w:pPr>
              <w:rPr>
                <w:rFonts w:cs="Arial"/>
                <w:color w:val="FF0000"/>
                <w:sz w:val="21"/>
                <w:szCs w:val="21"/>
              </w:rPr>
            </w:pPr>
          </w:p>
        </w:tc>
        <w:tc>
          <w:tcPr>
            <w:tcW w:w="217" w:type="dxa"/>
          </w:tcPr>
          <w:p w14:paraId="712D89EC" w14:textId="77777777" w:rsidR="002C0FD9" w:rsidRPr="00CA25CF" w:rsidRDefault="002C0FD9" w:rsidP="00CA25CF">
            <w:pPr>
              <w:rPr>
                <w:rFonts w:cs="Arial"/>
                <w:color w:val="FF0000"/>
                <w:sz w:val="21"/>
                <w:szCs w:val="21"/>
              </w:rPr>
            </w:pPr>
          </w:p>
        </w:tc>
        <w:tc>
          <w:tcPr>
            <w:tcW w:w="217" w:type="dxa"/>
          </w:tcPr>
          <w:p w14:paraId="7B11093C" w14:textId="77777777" w:rsidR="002C0FD9" w:rsidRPr="00CA25CF" w:rsidRDefault="002C0FD9" w:rsidP="00CA25CF">
            <w:pPr>
              <w:rPr>
                <w:rFonts w:cs="Arial"/>
                <w:color w:val="FF0000"/>
                <w:sz w:val="21"/>
                <w:szCs w:val="21"/>
              </w:rPr>
            </w:pPr>
          </w:p>
        </w:tc>
        <w:tc>
          <w:tcPr>
            <w:tcW w:w="217" w:type="dxa"/>
          </w:tcPr>
          <w:p w14:paraId="579C2F38" w14:textId="77777777" w:rsidR="002C0FD9" w:rsidRPr="00CA25CF" w:rsidRDefault="002C0FD9" w:rsidP="00CA25CF">
            <w:pPr>
              <w:rPr>
                <w:rFonts w:cs="Arial"/>
                <w:color w:val="FF0000"/>
                <w:sz w:val="21"/>
                <w:szCs w:val="21"/>
              </w:rPr>
            </w:pPr>
          </w:p>
        </w:tc>
        <w:tc>
          <w:tcPr>
            <w:tcW w:w="217" w:type="dxa"/>
          </w:tcPr>
          <w:p w14:paraId="1DCC4AE4" w14:textId="77777777" w:rsidR="002C0FD9" w:rsidRPr="00CA25CF" w:rsidRDefault="002C0FD9" w:rsidP="00CA25CF">
            <w:pPr>
              <w:rPr>
                <w:rFonts w:cs="Arial"/>
                <w:color w:val="FF0000"/>
                <w:sz w:val="21"/>
                <w:szCs w:val="21"/>
              </w:rPr>
            </w:pPr>
          </w:p>
        </w:tc>
        <w:tc>
          <w:tcPr>
            <w:tcW w:w="217" w:type="dxa"/>
          </w:tcPr>
          <w:p w14:paraId="4161D49C" w14:textId="77777777" w:rsidR="002C0FD9" w:rsidRPr="00CA25CF" w:rsidRDefault="002C0FD9" w:rsidP="00CA25CF">
            <w:pPr>
              <w:rPr>
                <w:rFonts w:cs="Arial"/>
                <w:color w:val="FF0000"/>
                <w:sz w:val="21"/>
                <w:szCs w:val="21"/>
              </w:rPr>
            </w:pPr>
          </w:p>
        </w:tc>
        <w:tc>
          <w:tcPr>
            <w:tcW w:w="217" w:type="dxa"/>
          </w:tcPr>
          <w:p w14:paraId="7CFBECDF" w14:textId="77777777" w:rsidR="002C0FD9" w:rsidRPr="00CA25CF" w:rsidRDefault="002C0FD9" w:rsidP="00CA25CF">
            <w:pPr>
              <w:rPr>
                <w:rFonts w:cs="Arial"/>
                <w:color w:val="FF0000"/>
                <w:sz w:val="21"/>
                <w:szCs w:val="21"/>
              </w:rPr>
            </w:pPr>
          </w:p>
        </w:tc>
        <w:tc>
          <w:tcPr>
            <w:tcW w:w="217" w:type="dxa"/>
          </w:tcPr>
          <w:p w14:paraId="67BB32AD" w14:textId="77777777" w:rsidR="002C0FD9" w:rsidRPr="00CA25CF" w:rsidRDefault="002C0FD9" w:rsidP="00CA25CF">
            <w:pPr>
              <w:rPr>
                <w:rFonts w:cs="Arial"/>
                <w:color w:val="FF0000"/>
                <w:sz w:val="21"/>
                <w:szCs w:val="21"/>
              </w:rPr>
            </w:pPr>
          </w:p>
        </w:tc>
        <w:tc>
          <w:tcPr>
            <w:tcW w:w="217" w:type="dxa"/>
          </w:tcPr>
          <w:p w14:paraId="139406DE" w14:textId="77777777" w:rsidR="002C0FD9" w:rsidRPr="00CA25CF" w:rsidRDefault="002C0FD9" w:rsidP="00CA25CF">
            <w:pPr>
              <w:rPr>
                <w:rFonts w:cs="Arial"/>
                <w:color w:val="FF0000"/>
                <w:sz w:val="21"/>
                <w:szCs w:val="21"/>
              </w:rPr>
            </w:pPr>
          </w:p>
        </w:tc>
        <w:tc>
          <w:tcPr>
            <w:tcW w:w="217" w:type="dxa"/>
          </w:tcPr>
          <w:p w14:paraId="30D83B55" w14:textId="77777777" w:rsidR="002C0FD9" w:rsidRPr="00CA25CF" w:rsidRDefault="002C0FD9" w:rsidP="00CA25CF">
            <w:pPr>
              <w:rPr>
                <w:rFonts w:cs="Arial"/>
                <w:color w:val="FF0000"/>
                <w:sz w:val="21"/>
                <w:szCs w:val="21"/>
              </w:rPr>
            </w:pPr>
          </w:p>
        </w:tc>
        <w:tc>
          <w:tcPr>
            <w:tcW w:w="217" w:type="dxa"/>
          </w:tcPr>
          <w:p w14:paraId="7268E6B2" w14:textId="77777777" w:rsidR="002C0FD9" w:rsidRPr="00CA25CF" w:rsidRDefault="002C0FD9" w:rsidP="00CA25CF">
            <w:pPr>
              <w:rPr>
                <w:rFonts w:cs="Arial"/>
                <w:color w:val="FF0000"/>
                <w:sz w:val="21"/>
                <w:szCs w:val="21"/>
              </w:rPr>
            </w:pPr>
          </w:p>
        </w:tc>
        <w:tc>
          <w:tcPr>
            <w:tcW w:w="217" w:type="dxa"/>
          </w:tcPr>
          <w:p w14:paraId="3D672B0F" w14:textId="77777777" w:rsidR="002C0FD9" w:rsidRPr="00CA25CF" w:rsidRDefault="002C0FD9" w:rsidP="00CA25CF">
            <w:pPr>
              <w:rPr>
                <w:rFonts w:cs="Arial"/>
                <w:color w:val="FF0000"/>
                <w:sz w:val="21"/>
                <w:szCs w:val="21"/>
              </w:rPr>
            </w:pPr>
          </w:p>
        </w:tc>
        <w:tc>
          <w:tcPr>
            <w:tcW w:w="217" w:type="dxa"/>
          </w:tcPr>
          <w:p w14:paraId="39EBA39C" w14:textId="77777777" w:rsidR="002C0FD9" w:rsidRPr="00CA25CF" w:rsidRDefault="002C0FD9" w:rsidP="00CA25CF">
            <w:pPr>
              <w:rPr>
                <w:rFonts w:cs="Arial"/>
                <w:color w:val="FF0000"/>
                <w:sz w:val="21"/>
                <w:szCs w:val="21"/>
              </w:rPr>
            </w:pPr>
          </w:p>
        </w:tc>
        <w:tc>
          <w:tcPr>
            <w:tcW w:w="217" w:type="dxa"/>
          </w:tcPr>
          <w:p w14:paraId="1FF06440" w14:textId="77777777" w:rsidR="002C0FD9" w:rsidRPr="00CA25CF" w:rsidRDefault="002C0FD9" w:rsidP="00CA25CF">
            <w:pPr>
              <w:rPr>
                <w:rFonts w:cs="Arial"/>
                <w:color w:val="FF0000"/>
                <w:sz w:val="21"/>
                <w:szCs w:val="21"/>
              </w:rPr>
            </w:pPr>
          </w:p>
        </w:tc>
        <w:tc>
          <w:tcPr>
            <w:tcW w:w="217" w:type="dxa"/>
          </w:tcPr>
          <w:p w14:paraId="6442B727" w14:textId="77777777" w:rsidR="002C0FD9" w:rsidRPr="00CA25CF" w:rsidRDefault="002C0FD9" w:rsidP="00CA25CF">
            <w:pPr>
              <w:rPr>
                <w:rFonts w:cs="Arial"/>
                <w:color w:val="FF0000"/>
                <w:sz w:val="21"/>
                <w:szCs w:val="21"/>
              </w:rPr>
            </w:pPr>
          </w:p>
        </w:tc>
        <w:tc>
          <w:tcPr>
            <w:tcW w:w="217" w:type="dxa"/>
          </w:tcPr>
          <w:p w14:paraId="6E792D14" w14:textId="77777777" w:rsidR="002C0FD9" w:rsidRPr="00CA25CF" w:rsidRDefault="002C0FD9" w:rsidP="00CA25CF">
            <w:pPr>
              <w:rPr>
                <w:rFonts w:cs="Arial"/>
                <w:color w:val="FF0000"/>
                <w:sz w:val="21"/>
                <w:szCs w:val="21"/>
              </w:rPr>
            </w:pPr>
          </w:p>
        </w:tc>
        <w:tc>
          <w:tcPr>
            <w:tcW w:w="217" w:type="dxa"/>
          </w:tcPr>
          <w:p w14:paraId="39C35745" w14:textId="77777777" w:rsidR="002C0FD9" w:rsidRPr="00CA25CF" w:rsidRDefault="002C0FD9" w:rsidP="00CA25CF">
            <w:pPr>
              <w:rPr>
                <w:rFonts w:cs="Arial"/>
                <w:color w:val="FF0000"/>
                <w:sz w:val="21"/>
                <w:szCs w:val="21"/>
              </w:rPr>
            </w:pPr>
          </w:p>
        </w:tc>
        <w:tc>
          <w:tcPr>
            <w:tcW w:w="217" w:type="dxa"/>
          </w:tcPr>
          <w:p w14:paraId="15F7C76A" w14:textId="77777777" w:rsidR="002C0FD9" w:rsidRPr="00CA25CF" w:rsidRDefault="002C0FD9" w:rsidP="00CA25CF">
            <w:pPr>
              <w:rPr>
                <w:rFonts w:cs="Arial"/>
                <w:color w:val="FF0000"/>
                <w:sz w:val="21"/>
                <w:szCs w:val="21"/>
              </w:rPr>
            </w:pPr>
          </w:p>
        </w:tc>
        <w:tc>
          <w:tcPr>
            <w:tcW w:w="217" w:type="dxa"/>
          </w:tcPr>
          <w:p w14:paraId="5DA9DCB6" w14:textId="77777777" w:rsidR="002C0FD9" w:rsidRPr="00CA25CF" w:rsidRDefault="002C0FD9" w:rsidP="00CA25CF">
            <w:pPr>
              <w:rPr>
                <w:rFonts w:cs="Arial"/>
                <w:color w:val="FF0000"/>
                <w:sz w:val="21"/>
                <w:szCs w:val="21"/>
              </w:rPr>
            </w:pPr>
          </w:p>
        </w:tc>
        <w:tc>
          <w:tcPr>
            <w:tcW w:w="217" w:type="dxa"/>
          </w:tcPr>
          <w:p w14:paraId="58851C97" w14:textId="77777777" w:rsidR="002C0FD9" w:rsidRPr="00CA25CF" w:rsidRDefault="002C0FD9" w:rsidP="00CA25CF">
            <w:pPr>
              <w:rPr>
                <w:rFonts w:cs="Arial"/>
                <w:color w:val="FF0000"/>
                <w:sz w:val="21"/>
                <w:szCs w:val="21"/>
              </w:rPr>
            </w:pPr>
          </w:p>
        </w:tc>
        <w:tc>
          <w:tcPr>
            <w:tcW w:w="217" w:type="dxa"/>
          </w:tcPr>
          <w:p w14:paraId="05A6AAF8" w14:textId="77777777" w:rsidR="002C0FD9" w:rsidRPr="00CA25CF" w:rsidRDefault="002C0FD9" w:rsidP="00CA25CF">
            <w:pPr>
              <w:rPr>
                <w:rFonts w:cs="Arial"/>
                <w:color w:val="FF0000"/>
                <w:sz w:val="21"/>
                <w:szCs w:val="21"/>
              </w:rPr>
            </w:pPr>
          </w:p>
        </w:tc>
        <w:tc>
          <w:tcPr>
            <w:tcW w:w="217" w:type="dxa"/>
          </w:tcPr>
          <w:p w14:paraId="65F9A4F6" w14:textId="77777777" w:rsidR="002C0FD9" w:rsidRPr="00CA25CF" w:rsidRDefault="002C0FD9" w:rsidP="00CA25CF">
            <w:pPr>
              <w:rPr>
                <w:rFonts w:cs="Arial"/>
                <w:color w:val="FF0000"/>
                <w:sz w:val="21"/>
                <w:szCs w:val="21"/>
              </w:rPr>
            </w:pPr>
          </w:p>
        </w:tc>
        <w:tc>
          <w:tcPr>
            <w:tcW w:w="217" w:type="dxa"/>
          </w:tcPr>
          <w:p w14:paraId="353A6C67" w14:textId="77777777" w:rsidR="002C0FD9" w:rsidRPr="00CA25CF" w:rsidRDefault="002C0FD9" w:rsidP="00CA25CF">
            <w:pPr>
              <w:rPr>
                <w:rFonts w:cs="Arial"/>
                <w:color w:val="FF0000"/>
                <w:sz w:val="21"/>
                <w:szCs w:val="21"/>
              </w:rPr>
            </w:pPr>
          </w:p>
        </w:tc>
        <w:tc>
          <w:tcPr>
            <w:tcW w:w="217" w:type="dxa"/>
          </w:tcPr>
          <w:p w14:paraId="1D5D68A3" w14:textId="77777777" w:rsidR="002C0FD9" w:rsidRPr="00CA25CF" w:rsidRDefault="002C0FD9" w:rsidP="00CA25CF">
            <w:pPr>
              <w:rPr>
                <w:rFonts w:cs="Arial"/>
                <w:color w:val="FF0000"/>
                <w:sz w:val="21"/>
                <w:szCs w:val="21"/>
              </w:rPr>
            </w:pPr>
          </w:p>
        </w:tc>
        <w:tc>
          <w:tcPr>
            <w:tcW w:w="217" w:type="dxa"/>
          </w:tcPr>
          <w:p w14:paraId="2383F80E" w14:textId="77777777" w:rsidR="002C0FD9" w:rsidRPr="00CA25CF" w:rsidRDefault="002C0FD9" w:rsidP="00CA25CF">
            <w:pPr>
              <w:rPr>
                <w:rFonts w:cs="Arial"/>
                <w:color w:val="FF0000"/>
                <w:sz w:val="21"/>
                <w:szCs w:val="21"/>
              </w:rPr>
            </w:pPr>
          </w:p>
        </w:tc>
        <w:tc>
          <w:tcPr>
            <w:tcW w:w="217" w:type="dxa"/>
          </w:tcPr>
          <w:p w14:paraId="18CFE577" w14:textId="77777777" w:rsidR="002C0FD9" w:rsidRPr="00CA25CF" w:rsidRDefault="002C0FD9" w:rsidP="00CA25CF">
            <w:pPr>
              <w:rPr>
                <w:rFonts w:cs="Arial"/>
                <w:color w:val="FF0000"/>
                <w:sz w:val="21"/>
                <w:szCs w:val="21"/>
              </w:rPr>
            </w:pPr>
          </w:p>
        </w:tc>
        <w:tc>
          <w:tcPr>
            <w:tcW w:w="217" w:type="dxa"/>
          </w:tcPr>
          <w:p w14:paraId="7AA2B86E" w14:textId="77777777" w:rsidR="002C0FD9" w:rsidRPr="00CA25CF" w:rsidRDefault="002C0FD9" w:rsidP="00CA25CF">
            <w:pPr>
              <w:rPr>
                <w:rFonts w:cs="Arial"/>
                <w:color w:val="FF0000"/>
                <w:sz w:val="21"/>
                <w:szCs w:val="21"/>
              </w:rPr>
            </w:pPr>
          </w:p>
        </w:tc>
      </w:tr>
      <w:tr w:rsidR="002C0FD9" w:rsidRPr="00A16219" w14:paraId="138F119A" w14:textId="3090D08F" w:rsidTr="002C0FD9">
        <w:trPr>
          <w:trHeight w:val="635"/>
        </w:trPr>
        <w:tc>
          <w:tcPr>
            <w:tcW w:w="515" w:type="dxa"/>
          </w:tcPr>
          <w:p w14:paraId="458F3AD2" w14:textId="77777777" w:rsidR="002C0FD9" w:rsidRPr="00CA25CF" w:rsidRDefault="002C0FD9" w:rsidP="00CA25CF">
            <w:pPr>
              <w:rPr>
                <w:rFonts w:cs="Arial"/>
                <w:color w:val="FF0000"/>
                <w:sz w:val="21"/>
                <w:szCs w:val="21"/>
              </w:rPr>
            </w:pPr>
          </w:p>
        </w:tc>
        <w:tc>
          <w:tcPr>
            <w:tcW w:w="217" w:type="dxa"/>
          </w:tcPr>
          <w:p w14:paraId="1941CAB9" w14:textId="77777777" w:rsidR="002C0FD9" w:rsidRPr="00CA25CF" w:rsidRDefault="002C0FD9" w:rsidP="00CA25CF">
            <w:pPr>
              <w:rPr>
                <w:rFonts w:cs="Arial"/>
                <w:color w:val="FF0000"/>
                <w:sz w:val="21"/>
                <w:szCs w:val="21"/>
              </w:rPr>
            </w:pPr>
          </w:p>
        </w:tc>
        <w:tc>
          <w:tcPr>
            <w:tcW w:w="217" w:type="dxa"/>
          </w:tcPr>
          <w:p w14:paraId="22D058AB" w14:textId="04E9D29F" w:rsidR="002C0FD9" w:rsidRPr="00CA25CF" w:rsidRDefault="002C0FD9" w:rsidP="00CA25CF">
            <w:pPr>
              <w:rPr>
                <w:rFonts w:cs="Arial"/>
                <w:color w:val="FF0000"/>
                <w:sz w:val="21"/>
                <w:szCs w:val="21"/>
              </w:rPr>
            </w:pPr>
          </w:p>
        </w:tc>
        <w:tc>
          <w:tcPr>
            <w:tcW w:w="217" w:type="dxa"/>
          </w:tcPr>
          <w:p w14:paraId="2DE64B73" w14:textId="77777777" w:rsidR="002C0FD9" w:rsidRPr="00CA25CF" w:rsidRDefault="002C0FD9" w:rsidP="00CA25CF">
            <w:pPr>
              <w:rPr>
                <w:rFonts w:cs="Arial"/>
                <w:color w:val="FF0000"/>
                <w:sz w:val="21"/>
                <w:szCs w:val="21"/>
              </w:rPr>
            </w:pPr>
          </w:p>
        </w:tc>
        <w:tc>
          <w:tcPr>
            <w:tcW w:w="217" w:type="dxa"/>
          </w:tcPr>
          <w:p w14:paraId="76E93E82" w14:textId="77777777" w:rsidR="002C0FD9" w:rsidRPr="00CA25CF" w:rsidRDefault="002C0FD9" w:rsidP="00CA25CF">
            <w:pPr>
              <w:rPr>
                <w:rFonts w:cs="Arial"/>
                <w:color w:val="FF0000"/>
                <w:sz w:val="21"/>
                <w:szCs w:val="21"/>
              </w:rPr>
            </w:pPr>
          </w:p>
        </w:tc>
        <w:tc>
          <w:tcPr>
            <w:tcW w:w="217" w:type="dxa"/>
          </w:tcPr>
          <w:p w14:paraId="6D100938" w14:textId="77777777" w:rsidR="002C0FD9" w:rsidRPr="00CA25CF" w:rsidRDefault="002C0FD9" w:rsidP="00CA25CF">
            <w:pPr>
              <w:rPr>
                <w:rFonts w:cs="Arial"/>
                <w:color w:val="FF0000"/>
                <w:sz w:val="21"/>
                <w:szCs w:val="21"/>
              </w:rPr>
            </w:pPr>
          </w:p>
        </w:tc>
        <w:tc>
          <w:tcPr>
            <w:tcW w:w="217" w:type="dxa"/>
          </w:tcPr>
          <w:p w14:paraId="1B3E9D43" w14:textId="77777777" w:rsidR="002C0FD9" w:rsidRPr="00CA25CF" w:rsidRDefault="002C0FD9" w:rsidP="00CA25CF">
            <w:pPr>
              <w:rPr>
                <w:rFonts w:cs="Arial"/>
                <w:color w:val="FF0000"/>
                <w:sz w:val="21"/>
                <w:szCs w:val="21"/>
              </w:rPr>
            </w:pPr>
          </w:p>
        </w:tc>
        <w:tc>
          <w:tcPr>
            <w:tcW w:w="217" w:type="dxa"/>
          </w:tcPr>
          <w:p w14:paraId="4C23C6D1" w14:textId="77777777" w:rsidR="002C0FD9" w:rsidRPr="00CA25CF" w:rsidRDefault="002C0FD9" w:rsidP="00CA25CF">
            <w:pPr>
              <w:rPr>
                <w:rFonts w:cs="Arial"/>
                <w:color w:val="FF0000"/>
                <w:sz w:val="21"/>
                <w:szCs w:val="21"/>
              </w:rPr>
            </w:pPr>
          </w:p>
        </w:tc>
        <w:tc>
          <w:tcPr>
            <w:tcW w:w="217" w:type="dxa"/>
          </w:tcPr>
          <w:p w14:paraId="175805AF" w14:textId="77777777" w:rsidR="002C0FD9" w:rsidRPr="00CA25CF" w:rsidRDefault="002C0FD9" w:rsidP="00CA25CF">
            <w:pPr>
              <w:rPr>
                <w:rFonts w:cs="Arial"/>
                <w:color w:val="FF0000"/>
                <w:sz w:val="21"/>
                <w:szCs w:val="21"/>
              </w:rPr>
            </w:pPr>
          </w:p>
        </w:tc>
        <w:tc>
          <w:tcPr>
            <w:tcW w:w="217" w:type="dxa"/>
          </w:tcPr>
          <w:p w14:paraId="26DEC6BE" w14:textId="77777777" w:rsidR="002C0FD9" w:rsidRPr="00CA25CF" w:rsidRDefault="002C0FD9" w:rsidP="00CA25CF">
            <w:pPr>
              <w:rPr>
                <w:rFonts w:cs="Arial"/>
                <w:color w:val="FF0000"/>
                <w:sz w:val="21"/>
                <w:szCs w:val="21"/>
              </w:rPr>
            </w:pPr>
          </w:p>
        </w:tc>
        <w:tc>
          <w:tcPr>
            <w:tcW w:w="217" w:type="dxa"/>
          </w:tcPr>
          <w:p w14:paraId="4B7B3B64" w14:textId="77777777" w:rsidR="002C0FD9" w:rsidRPr="00CA25CF" w:rsidRDefault="002C0FD9" w:rsidP="00CA25CF">
            <w:pPr>
              <w:rPr>
                <w:rFonts w:cs="Arial"/>
                <w:color w:val="FF0000"/>
                <w:sz w:val="21"/>
                <w:szCs w:val="21"/>
              </w:rPr>
            </w:pPr>
          </w:p>
        </w:tc>
        <w:tc>
          <w:tcPr>
            <w:tcW w:w="217" w:type="dxa"/>
          </w:tcPr>
          <w:p w14:paraId="51A25966" w14:textId="77777777" w:rsidR="002C0FD9" w:rsidRPr="00CA25CF" w:rsidRDefault="002C0FD9" w:rsidP="00CA25CF">
            <w:pPr>
              <w:rPr>
                <w:rFonts w:cs="Arial"/>
                <w:color w:val="FF0000"/>
                <w:sz w:val="21"/>
                <w:szCs w:val="21"/>
              </w:rPr>
            </w:pPr>
          </w:p>
        </w:tc>
        <w:tc>
          <w:tcPr>
            <w:tcW w:w="217" w:type="dxa"/>
          </w:tcPr>
          <w:p w14:paraId="5C4C7160" w14:textId="77777777" w:rsidR="002C0FD9" w:rsidRPr="00CA25CF" w:rsidRDefault="002C0FD9" w:rsidP="00CA25CF">
            <w:pPr>
              <w:rPr>
                <w:rFonts w:cs="Arial"/>
                <w:color w:val="FF0000"/>
                <w:sz w:val="21"/>
                <w:szCs w:val="21"/>
              </w:rPr>
            </w:pPr>
          </w:p>
        </w:tc>
        <w:tc>
          <w:tcPr>
            <w:tcW w:w="217" w:type="dxa"/>
          </w:tcPr>
          <w:p w14:paraId="7BA6491C" w14:textId="77777777" w:rsidR="002C0FD9" w:rsidRPr="00CA25CF" w:rsidRDefault="002C0FD9" w:rsidP="00CA25CF">
            <w:pPr>
              <w:rPr>
                <w:rFonts w:cs="Arial"/>
                <w:color w:val="FF0000"/>
                <w:sz w:val="21"/>
                <w:szCs w:val="21"/>
              </w:rPr>
            </w:pPr>
          </w:p>
        </w:tc>
        <w:tc>
          <w:tcPr>
            <w:tcW w:w="217" w:type="dxa"/>
          </w:tcPr>
          <w:p w14:paraId="354FC430" w14:textId="77777777" w:rsidR="002C0FD9" w:rsidRPr="00CA25CF" w:rsidRDefault="002C0FD9" w:rsidP="00CA25CF">
            <w:pPr>
              <w:rPr>
                <w:rFonts w:cs="Arial"/>
                <w:color w:val="FF0000"/>
                <w:sz w:val="21"/>
                <w:szCs w:val="21"/>
              </w:rPr>
            </w:pPr>
          </w:p>
        </w:tc>
        <w:tc>
          <w:tcPr>
            <w:tcW w:w="217" w:type="dxa"/>
          </w:tcPr>
          <w:p w14:paraId="5A85AD60" w14:textId="7D9D51CC" w:rsidR="002C0FD9" w:rsidRPr="00CA25CF" w:rsidRDefault="002C0FD9" w:rsidP="00CA25CF">
            <w:pPr>
              <w:rPr>
                <w:rFonts w:cs="Arial"/>
                <w:color w:val="FF0000"/>
                <w:sz w:val="21"/>
                <w:szCs w:val="21"/>
              </w:rPr>
            </w:pPr>
          </w:p>
        </w:tc>
        <w:tc>
          <w:tcPr>
            <w:tcW w:w="217" w:type="dxa"/>
          </w:tcPr>
          <w:p w14:paraId="555918DC" w14:textId="77777777" w:rsidR="002C0FD9" w:rsidRPr="00CA25CF" w:rsidRDefault="002C0FD9" w:rsidP="00CA25CF">
            <w:pPr>
              <w:rPr>
                <w:rFonts w:cs="Arial"/>
                <w:color w:val="FF0000"/>
                <w:sz w:val="21"/>
                <w:szCs w:val="21"/>
              </w:rPr>
            </w:pPr>
          </w:p>
        </w:tc>
        <w:tc>
          <w:tcPr>
            <w:tcW w:w="217" w:type="dxa"/>
          </w:tcPr>
          <w:p w14:paraId="561B99B8" w14:textId="77777777" w:rsidR="002C0FD9" w:rsidRPr="00CA25CF" w:rsidRDefault="002C0FD9" w:rsidP="00CA25CF">
            <w:pPr>
              <w:rPr>
                <w:rFonts w:cs="Arial"/>
                <w:color w:val="FF0000"/>
                <w:sz w:val="21"/>
                <w:szCs w:val="21"/>
              </w:rPr>
            </w:pPr>
          </w:p>
        </w:tc>
        <w:tc>
          <w:tcPr>
            <w:tcW w:w="217" w:type="dxa"/>
          </w:tcPr>
          <w:p w14:paraId="7BE513F6" w14:textId="77777777" w:rsidR="002C0FD9" w:rsidRPr="00CA25CF" w:rsidRDefault="002C0FD9" w:rsidP="00CA25CF">
            <w:pPr>
              <w:rPr>
                <w:rFonts w:cs="Arial"/>
                <w:color w:val="FF0000"/>
                <w:sz w:val="21"/>
                <w:szCs w:val="21"/>
              </w:rPr>
            </w:pPr>
          </w:p>
        </w:tc>
        <w:tc>
          <w:tcPr>
            <w:tcW w:w="217" w:type="dxa"/>
          </w:tcPr>
          <w:p w14:paraId="1E3BC8B1" w14:textId="77777777" w:rsidR="002C0FD9" w:rsidRPr="00CA25CF" w:rsidRDefault="002C0FD9" w:rsidP="00CA25CF">
            <w:pPr>
              <w:rPr>
                <w:rFonts w:cs="Arial"/>
                <w:color w:val="FF0000"/>
                <w:sz w:val="21"/>
                <w:szCs w:val="21"/>
              </w:rPr>
            </w:pPr>
          </w:p>
        </w:tc>
        <w:tc>
          <w:tcPr>
            <w:tcW w:w="217" w:type="dxa"/>
          </w:tcPr>
          <w:p w14:paraId="768EFF98" w14:textId="77777777" w:rsidR="002C0FD9" w:rsidRPr="00CA25CF" w:rsidRDefault="002C0FD9" w:rsidP="00CA25CF">
            <w:pPr>
              <w:rPr>
                <w:rFonts w:cs="Arial"/>
                <w:color w:val="FF0000"/>
                <w:sz w:val="21"/>
                <w:szCs w:val="21"/>
              </w:rPr>
            </w:pPr>
          </w:p>
        </w:tc>
        <w:tc>
          <w:tcPr>
            <w:tcW w:w="217" w:type="dxa"/>
          </w:tcPr>
          <w:p w14:paraId="66F06D7E" w14:textId="77777777" w:rsidR="002C0FD9" w:rsidRPr="00CA25CF" w:rsidRDefault="002C0FD9" w:rsidP="00CA25CF">
            <w:pPr>
              <w:rPr>
                <w:rFonts w:cs="Arial"/>
                <w:color w:val="FF0000"/>
                <w:sz w:val="21"/>
                <w:szCs w:val="21"/>
              </w:rPr>
            </w:pPr>
          </w:p>
        </w:tc>
        <w:tc>
          <w:tcPr>
            <w:tcW w:w="217" w:type="dxa"/>
          </w:tcPr>
          <w:p w14:paraId="3E9DDB16" w14:textId="77777777" w:rsidR="002C0FD9" w:rsidRPr="00CA25CF" w:rsidRDefault="002C0FD9" w:rsidP="00CA25CF">
            <w:pPr>
              <w:rPr>
                <w:rFonts w:cs="Arial"/>
                <w:color w:val="FF0000"/>
                <w:sz w:val="21"/>
                <w:szCs w:val="21"/>
              </w:rPr>
            </w:pPr>
          </w:p>
        </w:tc>
        <w:tc>
          <w:tcPr>
            <w:tcW w:w="217" w:type="dxa"/>
          </w:tcPr>
          <w:p w14:paraId="48EAAC5D" w14:textId="77777777" w:rsidR="002C0FD9" w:rsidRPr="00CA25CF" w:rsidRDefault="002C0FD9" w:rsidP="00CA25CF">
            <w:pPr>
              <w:rPr>
                <w:rFonts w:cs="Arial"/>
                <w:color w:val="FF0000"/>
                <w:sz w:val="21"/>
                <w:szCs w:val="21"/>
              </w:rPr>
            </w:pPr>
          </w:p>
        </w:tc>
        <w:tc>
          <w:tcPr>
            <w:tcW w:w="217" w:type="dxa"/>
          </w:tcPr>
          <w:p w14:paraId="6DE34FA9" w14:textId="77777777" w:rsidR="002C0FD9" w:rsidRPr="00CA25CF" w:rsidRDefault="002C0FD9" w:rsidP="00CA25CF">
            <w:pPr>
              <w:rPr>
                <w:rFonts w:cs="Arial"/>
                <w:color w:val="FF0000"/>
                <w:sz w:val="21"/>
                <w:szCs w:val="21"/>
              </w:rPr>
            </w:pPr>
          </w:p>
        </w:tc>
        <w:tc>
          <w:tcPr>
            <w:tcW w:w="217" w:type="dxa"/>
          </w:tcPr>
          <w:p w14:paraId="44740B78" w14:textId="77777777" w:rsidR="002C0FD9" w:rsidRPr="00CA25CF" w:rsidRDefault="002C0FD9" w:rsidP="00CA25CF">
            <w:pPr>
              <w:rPr>
                <w:rFonts w:cs="Arial"/>
                <w:color w:val="FF0000"/>
                <w:sz w:val="21"/>
                <w:szCs w:val="21"/>
              </w:rPr>
            </w:pPr>
          </w:p>
        </w:tc>
        <w:tc>
          <w:tcPr>
            <w:tcW w:w="217" w:type="dxa"/>
          </w:tcPr>
          <w:p w14:paraId="32E8C4D9" w14:textId="77777777" w:rsidR="002C0FD9" w:rsidRPr="00CA25CF" w:rsidRDefault="002C0FD9" w:rsidP="00CA25CF">
            <w:pPr>
              <w:rPr>
                <w:rFonts w:cs="Arial"/>
                <w:color w:val="FF0000"/>
                <w:sz w:val="21"/>
                <w:szCs w:val="21"/>
              </w:rPr>
            </w:pPr>
          </w:p>
        </w:tc>
        <w:tc>
          <w:tcPr>
            <w:tcW w:w="217" w:type="dxa"/>
          </w:tcPr>
          <w:p w14:paraId="26D492E6" w14:textId="77777777" w:rsidR="002C0FD9" w:rsidRPr="00CA25CF" w:rsidRDefault="002C0FD9" w:rsidP="00CA25CF">
            <w:pPr>
              <w:rPr>
                <w:rFonts w:cs="Arial"/>
                <w:color w:val="FF0000"/>
                <w:sz w:val="21"/>
                <w:szCs w:val="21"/>
              </w:rPr>
            </w:pPr>
          </w:p>
        </w:tc>
        <w:tc>
          <w:tcPr>
            <w:tcW w:w="217" w:type="dxa"/>
          </w:tcPr>
          <w:p w14:paraId="441441C5" w14:textId="77777777" w:rsidR="002C0FD9" w:rsidRPr="00CA25CF" w:rsidRDefault="002C0FD9" w:rsidP="00CA25CF">
            <w:pPr>
              <w:rPr>
                <w:rFonts w:cs="Arial"/>
                <w:color w:val="FF0000"/>
                <w:sz w:val="21"/>
                <w:szCs w:val="21"/>
              </w:rPr>
            </w:pPr>
          </w:p>
        </w:tc>
        <w:tc>
          <w:tcPr>
            <w:tcW w:w="217" w:type="dxa"/>
          </w:tcPr>
          <w:p w14:paraId="582BEF97" w14:textId="77777777" w:rsidR="002C0FD9" w:rsidRPr="00CA25CF" w:rsidRDefault="002C0FD9" w:rsidP="00CA25CF">
            <w:pPr>
              <w:rPr>
                <w:rFonts w:cs="Arial"/>
                <w:color w:val="FF0000"/>
                <w:sz w:val="21"/>
                <w:szCs w:val="21"/>
              </w:rPr>
            </w:pPr>
          </w:p>
        </w:tc>
        <w:tc>
          <w:tcPr>
            <w:tcW w:w="217" w:type="dxa"/>
          </w:tcPr>
          <w:p w14:paraId="28936992" w14:textId="77777777" w:rsidR="002C0FD9" w:rsidRPr="00CA25CF" w:rsidRDefault="002C0FD9" w:rsidP="00CA25CF">
            <w:pPr>
              <w:rPr>
                <w:rFonts w:cs="Arial"/>
                <w:color w:val="FF0000"/>
                <w:sz w:val="21"/>
                <w:szCs w:val="21"/>
              </w:rPr>
            </w:pPr>
          </w:p>
        </w:tc>
        <w:tc>
          <w:tcPr>
            <w:tcW w:w="217" w:type="dxa"/>
          </w:tcPr>
          <w:p w14:paraId="3A45C73A" w14:textId="77777777" w:rsidR="002C0FD9" w:rsidRPr="00CA25CF" w:rsidRDefault="002C0FD9" w:rsidP="00CA25CF">
            <w:pPr>
              <w:rPr>
                <w:rFonts w:cs="Arial"/>
                <w:color w:val="FF0000"/>
                <w:sz w:val="21"/>
                <w:szCs w:val="21"/>
              </w:rPr>
            </w:pPr>
          </w:p>
        </w:tc>
        <w:tc>
          <w:tcPr>
            <w:tcW w:w="217" w:type="dxa"/>
          </w:tcPr>
          <w:p w14:paraId="21F8D6F6" w14:textId="77777777" w:rsidR="002C0FD9" w:rsidRPr="00CA25CF" w:rsidRDefault="002C0FD9" w:rsidP="00CA25CF">
            <w:pPr>
              <w:rPr>
                <w:rFonts w:cs="Arial"/>
                <w:color w:val="FF0000"/>
                <w:sz w:val="21"/>
                <w:szCs w:val="21"/>
              </w:rPr>
            </w:pPr>
          </w:p>
        </w:tc>
        <w:tc>
          <w:tcPr>
            <w:tcW w:w="217" w:type="dxa"/>
          </w:tcPr>
          <w:p w14:paraId="625B5B81" w14:textId="77777777" w:rsidR="002C0FD9" w:rsidRPr="00CA25CF" w:rsidRDefault="002C0FD9" w:rsidP="00CA25CF">
            <w:pPr>
              <w:rPr>
                <w:rFonts w:cs="Arial"/>
                <w:color w:val="FF0000"/>
                <w:sz w:val="21"/>
                <w:szCs w:val="21"/>
              </w:rPr>
            </w:pPr>
          </w:p>
        </w:tc>
        <w:tc>
          <w:tcPr>
            <w:tcW w:w="217" w:type="dxa"/>
          </w:tcPr>
          <w:p w14:paraId="65D25048" w14:textId="77777777" w:rsidR="002C0FD9" w:rsidRPr="00CA25CF" w:rsidRDefault="002C0FD9" w:rsidP="00CA25CF">
            <w:pPr>
              <w:rPr>
                <w:rFonts w:cs="Arial"/>
                <w:color w:val="FF0000"/>
                <w:sz w:val="21"/>
                <w:szCs w:val="21"/>
              </w:rPr>
            </w:pPr>
          </w:p>
        </w:tc>
        <w:tc>
          <w:tcPr>
            <w:tcW w:w="217" w:type="dxa"/>
          </w:tcPr>
          <w:p w14:paraId="505ED3FD" w14:textId="77777777" w:rsidR="002C0FD9" w:rsidRPr="00CA25CF" w:rsidRDefault="002C0FD9" w:rsidP="00CA25CF">
            <w:pPr>
              <w:rPr>
                <w:rFonts w:cs="Arial"/>
                <w:color w:val="FF0000"/>
                <w:sz w:val="21"/>
                <w:szCs w:val="21"/>
              </w:rPr>
            </w:pPr>
          </w:p>
        </w:tc>
        <w:tc>
          <w:tcPr>
            <w:tcW w:w="217" w:type="dxa"/>
          </w:tcPr>
          <w:p w14:paraId="60F77816" w14:textId="77777777" w:rsidR="002C0FD9" w:rsidRPr="00CA25CF" w:rsidRDefault="002C0FD9" w:rsidP="00CA25CF">
            <w:pPr>
              <w:rPr>
                <w:rFonts w:cs="Arial"/>
                <w:color w:val="FF0000"/>
                <w:sz w:val="21"/>
                <w:szCs w:val="21"/>
              </w:rPr>
            </w:pPr>
          </w:p>
        </w:tc>
        <w:tc>
          <w:tcPr>
            <w:tcW w:w="217" w:type="dxa"/>
          </w:tcPr>
          <w:p w14:paraId="10C6C268" w14:textId="77777777" w:rsidR="002C0FD9" w:rsidRPr="00CA25CF" w:rsidRDefault="002C0FD9" w:rsidP="00CA25CF">
            <w:pPr>
              <w:rPr>
                <w:rFonts w:cs="Arial"/>
                <w:color w:val="FF0000"/>
                <w:sz w:val="21"/>
                <w:szCs w:val="21"/>
              </w:rPr>
            </w:pPr>
          </w:p>
        </w:tc>
        <w:tc>
          <w:tcPr>
            <w:tcW w:w="217" w:type="dxa"/>
          </w:tcPr>
          <w:p w14:paraId="341CBE2A" w14:textId="77777777" w:rsidR="002C0FD9" w:rsidRPr="00CA25CF" w:rsidRDefault="002C0FD9" w:rsidP="00CA25CF">
            <w:pPr>
              <w:rPr>
                <w:rFonts w:cs="Arial"/>
                <w:color w:val="FF0000"/>
                <w:sz w:val="21"/>
                <w:szCs w:val="21"/>
              </w:rPr>
            </w:pPr>
          </w:p>
        </w:tc>
        <w:tc>
          <w:tcPr>
            <w:tcW w:w="217" w:type="dxa"/>
          </w:tcPr>
          <w:p w14:paraId="4DB81571" w14:textId="77777777" w:rsidR="002C0FD9" w:rsidRPr="00CA25CF" w:rsidRDefault="002C0FD9" w:rsidP="00CA25CF">
            <w:pPr>
              <w:rPr>
                <w:rFonts w:cs="Arial"/>
                <w:color w:val="FF0000"/>
                <w:sz w:val="21"/>
                <w:szCs w:val="21"/>
              </w:rPr>
            </w:pPr>
          </w:p>
        </w:tc>
        <w:tc>
          <w:tcPr>
            <w:tcW w:w="217" w:type="dxa"/>
          </w:tcPr>
          <w:p w14:paraId="2A1B7521" w14:textId="77777777" w:rsidR="002C0FD9" w:rsidRPr="00CA25CF" w:rsidRDefault="002C0FD9" w:rsidP="00CA25CF">
            <w:pPr>
              <w:rPr>
                <w:rFonts w:cs="Arial"/>
                <w:color w:val="FF0000"/>
                <w:sz w:val="21"/>
                <w:szCs w:val="21"/>
              </w:rPr>
            </w:pPr>
          </w:p>
        </w:tc>
        <w:tc>
          <w:tcPr>
            <w:tcW w:w="217" w:type="dxa"/>
          </w:tcPr>
          <w:p w14:paraId="7A694E19" w14:textId="77777777" w:rsidR="002C0FD9" w:rsidRPr="00CA25CF" w:rsidRDefault="002C0FD9" w:rsidP="00CA25CF">
            <w:pPr>
              <w:rPr>
                <w:rFonts w:cs="Arial"/>
                <w:color w:val="FF0000"/>
                <w:sz w:val="21"/>
                <w:szCs w:val="21"/>
              </w:rPr>
            </w:pPr>
          </w:p>
        </w:tc>
        <w:tc>
          <w:tcPr>
            <w:tcW w:w="217" w:type="dxa"/>
          </w:tcPr>
          <w:p w14:paraId="34E6107D" w14:textId="77777777" w:rsidR="002C0FD9" w:rsidRPr="00CA25CF" w:rsidRDefault="002C0FD9" w:rsidP="00CA25CF">
            <w:pPr>
              <w:rPr>
                <w:rFonts w:cs="Arial"/>
                <w:color w:val="FF0000"/>
                <w:sz w:val="21"/>
                <w:szCs w:val="21"/>
              </w:rPr>
            </w:pPr>
          </w:p>
        </w:tc>
      </w:tr>
      <w:tr w:rsidR="002C0FD9" w:rsidRPr="00A16219" w14:paraId="50FE5818" w14:textId="31AA0AF1" w:rsidTr="002C0FD9">
        <w:trPr>
          <w:trHeight w:val="635"/>
        </w:trPr>
        <w:tc>
          <w:tcPr>
            <w:tcW w:w="515" w:type="dxa"/>
          </w:tcPr>
          <w:p w14:paraId="72A2F3F8" w14:textId="77777777" w:rsidR="002C0FD9" w:rsidRPr="00CA25CF" w:rsidRDefault="002C0FD9" w:rsidP="00CA25CF">
            <w:pPr>
              <w:rPr>
                <w:rFonts w:cs="Arial"/>
                <w:color w:val="FF0000"/>
                <w:sz w:val="21"/>
                <w:szCs w:val="21"/>
              </w:rPr>
            </w:pPr>
          </w:p>
        </w:tc>
        <w:tc>
          <w:tcPr>
            <w:tcW w:w="217" w:type="dxa"/>
          </w:tcPr>
          <w:p w14:paraId="77B67B65" w14:textId="77777777" w:rsidR="002C0FD9" w:rsidRPr="00CA25CF" w:rsidRDefault="002C0FD9" w:rsidP="00CA25CF">
            <w:pPr>
              <w:rPr>
                <w:rFonts w:cs="Arial"/>
                <w:color w:val="FF0000"/>
                <w:sz w:val="21"/>
                <w:szCs w:val="21"/>
              </w:rPr>
            </w:pPr>
          </w:p>
        </w:tc>
        <w:tc>
          <w:tcPr>
            <w:tcW w:w="217" w:type="dxa"/>
          </w:tcPr>
          <w:p w14:paraId="707665AE" w14:textId="7245B826" w:rsidR="002C0FD9" w:rsidRPr="00CA25CF" w:rsidRDefault="002C0FD9" w:rsidP="00CA25CF">
            <w:pPr>
              <w:rPr>
                <w:rFonts w:cs="Arial"/>
                <w:color w:val="FF0000"/>
                <w:sz w:val="21"/>
                <w:szCs w:val="21"/>
              </w:rPr>
            </w:pPr>
          </w:p>
        </w:tc>
        <w:tc>
          <w:tcPr>
            <w:tcW w:w="217" w:type="dxa"/>
          </w:tcPr>
          <w:p w14:paraId="0927B655" w14:textId="77777777" w:rsidR="002C0FD9" w:rsidRPr="00CA25CF" w:rsidRDefault="002C0FD9" w:rsidP="00CA25CF">
            <w:pPr>
              <w:rPr>
                <w:rFonts w:cs="Arial"/>
                <w:color w:val="FF0000"/>
                <w:sz w:val="21"/>
                <w:szCs w:val="21"/>
              </w:rPr>
            </w:pPr>
          </w:p>
        </w:tc>
        <w:tc>
          <w:tcPr>
            <w:tcW w:w="217" w:type="dxa"/>
          </w:tcPr>
          <w:p w14:paraId="538A8091" w14:textId="77777777" w:rsidR="002C0FD9" w:rsidRPr="00CA25CF" w:rsidRDefault="002C0FD9" w:rsidP="00CA25CF">
            <w:pPr>
              <w:rPr>
                <w:rFonts w:cs="Arial"/>
                <w:color w:val="FF0000"/>
                <w:sz w:val="21"/>
                <w:szCs w:val="21"/>
              </w:rPr>
            </w:pPr>
          </w:p>
        </w:tc>
        <w:tc>
          <w:tcPr>
            <w:tcW w:w="217" w:type="dxa"/>
          </w:tcPr>
          <w:p w14:paraId="03732288" w14:textId="77777777" w:rsidR="002C0FD9" w:rsidRPr="00CA25CF" w:rsidRDefault="002C0FD9" w:rsidP="00CA25CF">
            <w:pPr>
              <w:rPr>
                <w:rFonts w:cs="Arial"/>
                <w:color w:val="FF0000"/>
                <w:sz w:val="21"/>
                <w:szCs w:val="21"/>
              </w:rPr>
            </w:pPr>
          </w:p>
        </w:tc>
        <w:tc>
          <w:tcPr>
            <w:tcW w:w="217" w:type="dxa"/>
          </w:tcPr>
          <w:p w14:paraId="73006570" w14:textId="77777777" w:rsidR="002C0FD9" w:rsidRPr="00CA25CF" w:rsidRDefault="002C0FD9" w:rsidP="00CA25CF">
            <w:pPr>
              <w:rPr>
                <w:rFonts w:cs="Arial"/>
                <w:color w:val="FF0000"/>
                <w:sz w:val="21"/>
                <w:szCs w:val="21"/>
              </w:rPr>
            </w:pPr>
          </w:p>
        </w:tc>
        <w:tc>
          <w:tcPr>
            <w:tcW w:w="217" w:type="dxa"/>
          </w:tcPr>
          <w:p w14:paraId="71407611" w14:textId="77777777" w:rsidR="002C0FD9" w:rsidRPr="00CA25CF" w:rsidRDefault="002C0FD9" w:rsidP="00CA25CF">
            <w:pPr>
              <w:rPr>
                <w:rFonts w:cs="Arial"/>
                <w:color w:val="FF0000"/>
                <w:sz w:val="21"/>
                <w:szCs w:val="21"/>
              </w:rPr>
            </w:pPr>
          </w:p>
        </w:tc>
        <w:tc>
          <w:tcPr>
            <w:tcW w:w="217" w:type="dxa"/>
          </w:tcPr>
          <w:p w14:paraId="42A0802C" w14:textId="77777777" w:rsidR="002C0FD9" w:rsidRPr="00CA25CF" w:rsidRDefault="002C0FD9" w:rsidP="00CA25CF">
            <w:pPr>
              <w:rPr>
                <w:rFonts w:cs="Arial"/>
                <w:color w:val="FF0000"/>
                <w:sz w:val="21"/>
                <w:szCs w:val="21"/>
              </w:rPr>
            </w:pPr>
          </w:p>
        </w:tc>
        <w:tc>
          <w:tcPr>
            <w:tcW w:w="217" w:type="dxa"/>
          </w:tcPr>
          <w:p w14:paraId="2261E9E2" w14:textId="77777777" w:rsidR="002C0FD9" w:rsidRPr="00CA25CF" w:rsidRDefault="002C0FD9" w:rsidP="00CA25CF">
            <w:pPr>
              <w:rPr>
                <w:rFonts w:cs="Arial"/>
                <w:color w:val="FF0000"/>
                <w:sz w:val="21"/>
                <w:szCs w:val="21"/>
              </w:rPr>
            </w:pPr>
          </w:p>
        </w:tc>
        <w:tc>
          <w:tcPr>
            <w:tcW w:w="217" w:type="dxa"/>
          </w:tcPr>
          <w:p w14:paraId="215658AC" w14:textId="77777777" w:rsidR="002C0FD9" w:rsidRPr="00CA25CF" w:rsidRDefault="002C0FD9" w:rsidP="00CA25CF">
            <w:pPr>
              <w:rPr>
                <w:rFonts w:cs="Arial"/>
                <w:color w:val="FF0000"/>
                <w:sz w:val="21"/>
                <w:szCs w:val="21"/>
              </w:rPr>
            </w:pPr>
          </w:p>
        </w:tc>
        <w:tc>
          <w:tcPr>
            <w:tcW w:w="217" w:type="dxa"/>
          </w:tcPr>
          <w:p w14:paraId="08948299" w14:textId="77777777" w:rsidR="002C0FD9" w:rsidRPr="00CA25CF" w:rsidRDefault="002C0FD9" w:rsidP="00CA25CF">
            <w:pPr>
              <w:rPr>
                <w:rFonts w:cs="Arial"/>
                <w:color w:val="FF0000"/>
                <w:sz w:val="21"/>
                <w:szCs w:val="21"/>
              </w:rPr>
            </w:pPr>
          </w:p>
        </w:tc>
        <w:tc>
          <w:tcPr>
            <w:tcW w:w="217" w:type="dxa"/>
          </w:tcPr>
          <w:p w14:paraId="4462DF54" w14:textId="77777777" w:rsidR="002C0FD9" w:rsidRPr="00CA25CF" w:rsidRDefault="002C0FD9" w:rsidP="00CA25CF">
            <w:pPr>
              <w:rPr>
                <w:rFonts w:cs="Arial"/>
                <w:color w:val="FF0000"/>
                <w:sz w:val="21"/>
                <w:szCs w:val="21"/>
              </w:rPr>
            </w:pPr>
          </w:p>
        </w:tc>
        <w:tc>
          <w:tcPr>
            <w:tcW w:w="217" w:type="dxa"/>
          </w:tcPr>
          <w:p w14:paraId="201E78C0" w14:textId="77777777" w:rsidR="002C0FD9" w:rsidRPr="00CA25CF" w:rsidRDefault="002C0FD9" w:rsidP="00CA25CF">
            <w:pPr>
              <w:rPr>
                <w:rFonts w:cs="Arial"/>
                <w:color w:val="FF0000"/>
                <w:sz w:val="21"/>
                <w:szCs w:val="21"/>
              </w:rPr>
            </w:pPr>
          </w:p>
        </w:tc>
        <w:tc>
          <w:tcPr>
            <w:tcW w:w="217" w:type="dxa"/>
          </w:tcPr>
          <w:p w14:paraId="4C0B326B" w14:textId="77777777" w:rsidR="002C0FD9" w:rsidRPr="00CA25CF" w:rsidRDefault="002C0FD9" w:rsidP="00CA25CF">
            <w:pPr>
              <w:rPr>
                <w:rFonts w:cs="Arial"/>
                <w:color w:val="FF0000"/>
                <w:sz w:val="21"/>
                <w:szCs w:val="21"/>
              </w:rPr>
            </w:pPr>
          </w:p>
        </w:tc>
        <w:tc>
          <w:tcPr>
            <w:tcW w:w="217" w:type="dxa"/>
          </w:tcPr>
          <w:p w14:paraId="18AF2300" w14:textId="00186327" w:rsidR="002C0FD9" w:rsidRPr="00CA25CF" w:rsidRDefault="002C0FD9" w:rsidP="00CA25CF">
            <w:pPr>
              <w:rPr>
                <w:rFonts w:cs="Arial"/>
                <w:color w:val="FF0000"/>
                <w:sz w:val="21"/>
                <w:szCs w:val="21"/>
              </w:rPr>
            </w:pPr>
          </w:p>
        </w:tc>
        <w:tc>
          <w:tcPr>
            <w:tcW w:w="217" w:type="dxa"/>
          </w:tcPr>
          <w:p w14:paraId="11DE8228" w14:textId="77777777" w:rsidR="002C0FD9" w:rsidRPr="00CA25CF" w:rsidRDefault="002C0FD9" w:rsidP="00CA25CF">
            <w:pPr>
              <w:rPr>
                <w:rFonts w:cs="Arial"/>
                <w:color w:val="FF0000"/>
                <w:sz w:val="21"/>
                <w:szCs w:val="21"/>
              </w:rPr>
            </w:pPr>
          </w:p>
        </w:tc>
        <w:tc>
          <w:tcPr>
            <w:tcW w:w="217" w:type="dxa"/>
          </w:tcPr>
          <w:p w14:paraId="2033F321" w14:textId="77777777" w:rsidR="002C0FD9" w:rsidRPr="00CA25CF" w:rsidRDefault="002C0FD9" w:rsidP="00CA25CF">
            <w:pPr>
              <w:rPr>
                <w:rFonts w:cs="Arial"/>
                <w:color w:val="FF0000"/>
                <w:sz w:val="21"/>
                <w:szCs w:val="21"/>
              </w:rPr>
            </w:pPr>
          </w:p>
        </w:tc>
        <w:tc>
          <w:tcPr>
            <w:tcW w:w="217" w:type="dxa"/>
          </w:tcPr>
          <w:p w14:paraId="0402EE1E" w14:textId="77777777" w:rsidR="002C0FD9" w:rsidRPr="00CA25CF" w:rsidRDefault="002C0FD9" w:rsidP="00CA25CF">
            <w:pPr>
              <w:rPr>
                <w:rFonts w:cs="Arial"/>
                <w:color w:val="FF0000"/>
                <w:sz w:val="21"/>
                <w:szCs w:val="21"/>
              </w:rPr>
            </w:pPr>
          </w:p>
        </w:tc>
        <w:tc>
          <w:tcPr>
            <w:tcW w:w="217" w:type="dxa"/>
          </w:tcPr>
          <w:p w14:paraId="7F75A00E" w14:textId="77777777" w:rsidR="002C0FD9" w:rsidRPr="00CA25CF" w:rsidRDefault="002C0FD9" w:rsidP="00CA25CF">
            <w:pPr>
              <w:rPr>
                <w:rFonts w:cs="Arial"/>
                <w:color w:val="FF0000"/>
                <w:sz w:val="21"/>
                <w:szCs w:val="21"/>
              </w:rPr>
            </w:pPr>
          </w:p>
        </w:tc>
        <w:tc>
          <w:tcPr>
            <w:tcW w:w="217" w:type="dxa"/>
          </w:tcPr>
          <w:p w14:paraId="5E8A2AE7" w14:textId="77777777" w:rsidR="002C0FD9" w:rsidRPr="00CA25CF" w:rsidRDefault="002C0FD9" w:rsidP="00CA25CF">
            <w:pPr>
              <w:rPr>
                <w:rFonts w:cs="Arial"/>
                <w:color w:val="FF0000"/>
                <w:sz w:val="21"/>
                <w:szCs w:val="21"/>
              </w:rPr>
            </w:pPr>
          </w:p>
        </w:tc>
        <w:tc>
          <w:tcPr>
            <w:tcW w:w="217" w:type="dxa"/>
          </w:tcPr>
          <w:p w14:paraId="759CB675" w14:textId="77777777" w:rsidR="002C0FD9" w:rsidRPr="00CA25CF" w:rsidRDefault="002C0FD9" w:rsidP="00CA25CF">
            <w:pPr>
              <w:rPr>
                <w:rFonts w:cs="Arial"/>
                <w:color w:val="FF0000"/>
                <w:sz w:val="21"/>
                <w:szCs w:val="21"/>
              </w:rPr>
            </w:pPr>
          </w:p>
        </w:tc>
        <w:tc>
          <w:tcPr>
            <w:tcW w:w="217" w:type="dxa"/>
          </w:tcPr>
          <w:p w14:paraId="637286F5" w14:textId="77777777" w:rsidR="002C0FD9" w:rsidRPr="00CA25CF" w:rsidRDefault="002C0FD9" w:rsidP="00CA25CF">
            <w:pPr>
              <w:rPr>
                <w:rFonts w:cs="Arial"/>
                <w:color w:val="FF0000"/>
                <w:sz w:val="21"/>
                <w:szCs w:val="21"/>
              </w:rPr>
            </w:pPr>
          </w:p>
        </w:tc>
        <w:tc>
          <w:tcPr>
            <w:tcW w:w="217" w:type="dxa"/>
          </w:tcPr>
          <w:p w14:paraId="3BB042D1" w14:textId="77777777" w:rsidR="002C0FD9" w:rsidRPr="00CA25CF" w:rsidRDefault="002C0FD9" w:rsidP="00CA25CF">
            <w:pPr>
              <w:rPr>
                <w:rFonts w:cs="Arial"/>
                <w:color w:val="FF0000"/>
                <w:sz w:val="21"/>
                <w:szCs w:val="21"/>
              </w:rPr>
            </w:pPr>
          </w:p>
        </w:tc>
        <w:tc>
          <w:tcPr>
            <w:tcW w:w="217" w:type="dxa"/>
          </w:tcPr>
          <w:p w14:paraId="74000F49" w14:textId="77777777" w:rsidR="002C0FD9" w:rsidRPr="00CA25CF" w:rsidRDefault="002C0FD9" w:rsidP="00CA25CF">
            <w:pPr>
              <w:rPr>
                <w:rFonts w:cs="Arial"/>
                <w:color w:val="FF0000"/>
                <w:sz w:val="21"/>
                <w:szCs w:val="21"/>
              </w:rPr>
            </w:pPr>
          </w:p>
        </w:tc>
        <w:tc>
          <w:tcPr>
            <w:tcW w:w="217" w:type="dxa"/>
          </w:tcPr>
          <w:p w14:paraId="415748AC" w14:textId="77777777" w:rsidR="002C0FD9" w:rsidRPr="00CA25CF" w:rsidRDefault="002C0FD9" w:rsidP="00CA25CF">
            <w:pPr>
              <w:rPr>
                <w:rFonts w:cs="Arial"/>
                <w:color w:val="FF0000"/>
                <w:sz w:val="21"/>
                <w:szCs w:val="21"/>
              </w:rPr>
            </w:pPr>
          </w:p>
        </w:tc>
        <w:tc>
          <w:tcPr>
            <w:tcW w:w="217" w:type="dxa"/>
          </w:tcPr>
          <w:p w14:paraId="4C8BD091" w14:textId="77777777" w:rsidR="002C0FD9" w:rsidRPr="00CA25CF" w:rsidRDefault="002C0FD9" w:rsidP="00CA25CF">
            <w:pPr>
              <w:rPr>
                <w:rFonts w:cs="Arial"/>
                <w:color w:val="FF0000"/>
                <w:sz w:val="21"/>
                <w:szCs w:val="21"/>
              </w:rPr>
            </w:pPr>
          </w:p>
        </w:tc>
        <w:tc>
          <w:tcPr>
            <w:tcW w:w="217" w:type="dxa"/>
          </w:tcPr>
          <w:p w14:paraId="2ACD1B9A" w14:textId="77777777" w:rsidR="002C0FD9" w:rsidRPr="00CA25CF" w:rsidRDefault="002C0FD9" w:rsidP="00CA25CF">
            <w:pPr>
              <w:rPr>
                <w:rFonts w:cs="Arial"/>
                <w:color w:val="FF0000"/>
                <w:sz w:val="21"/>
                <w:szCs w:val="21"/>
              </w:rPr>
            </w:pPr>
          </w:p>
        </w:tc>
        <w:tc>
          <w:tcPr>
            <w:tcW w:w="217" w:type="dxa"/>
          </w:tcPr>
          <w:p w14:paraId="19A89D04" w14:textId="77777777" w:rsidR="002C0FD9" w:rsidRPr="00CA25CF" w:rsidRDefault="002C0FD9" w:rsidP="00CA25CF">
            <w:pPr>
              <w:rPr>
                <w:rFonts w:cs="Arial"/>
                <w:color w:val="FF0000"/>
                <w:sz w:val="21"/>
                <w:szCs w:val="21"/>
              </w:rPr>
            </w:pPr>
          </w:p>
        </w:tc>
        <w:tc>
          <w:tcPr>
            <w:tcW w:w="217" w:type="dxa"/>
          </w:tcPr>
          <w:p w14:paraId="749C7386" w14:textId="77777777" w:rsidR="002C0FD9" w:rsidRPr="00CA25CF" w:rsidRDefault="002C0FD9" w:rsidP="00CA25CF">
            <w:pPr>
              <w:rPr>
                <w:rFonts w:cs="Arial"/>
                <w:color w:val="FF0000"/>
                <w:sz w:val="21"/>
                <w:szCs w:val="21"/>
              </w:rPr>
            </w:pPr>
          </w:p>
        </w:tc>
        <w:tc>
          <w:tcPr>
            <w:tcW w:w="217" w:type="dxa"/>
          </w:tcPr>
          <w:p w14:paraId="3108CA0D" w14:textId="77777777" w:rsidR="002C0FD9" w:rsidRPr="00CA25CF" w:rsidRDefault="002C0FD9" w:rsidP="00CA25CF">
            <w:pPr>
              <w:rPr>
                <w:rFonts w:cs="Arial"/>
                <w:color w:val="FF0000"/>
                <w:sz w:val="21"/>
                <w:szCs w:val="21"/>
              </w:rPr>
            </w:pPr>
          </w:p>
        </w:tc>
        <w:tc>
          <w:tcPr>
            <w:tcW w:w="217" w:type="dxa"/>
          </w:tcPr>
          <w:p w14:paraId="393C1DA1" w14:textId="77777777" w:rsidR="002C0FD9" w:rsidRPr="00CA25CF" w:rsidRDefault="002C0FD9" w:rsidP="00CA25CF">
            <w:pPr>
              <w:rPr>
                <w:rFonts w:cs="Arial"/>
                <w:color w:val="FF0000"/>
                <w:sz w:val="21"/>
                <w:szCs w:val="21"/>
              </w:rPr>
            </w:pPr>
          </w:p>
        </w:tc>
        <w:tc>
          <w:tcPr>
            <w:tcW w:w="217" w:type="dxa"/>
          </w:tcPr>
          <w:p w14:paraId="52497936" w14:textId="77777777" w:rsidR="002C0FD9" w:rsidRPr="00CA25CF" w:rsidRDefault="002C0FD9" w:rsidP="00CA25CF">
            <w:pPr>
              <w:rPr>
                <w:rFonts w:cs="Arial"/>
                <w:color w:val="FF0000"/>
                <w:sz w:val="21"/>
                <w:szCs w:val="21"/>
              </w:rPr>
            </w:pPr>
          </w:p>
        </w:tc>
        <w:tc>
          <w:tcPr>
            <w:tcW w:w="217" w:type="dxa"/>
          </w:tcPr>
          <w:p w14:paraId="67BBF0A5" w14:textId="77777777" w:rsidR="002C0FD9" w:rsidRPr="00CA25CF" w:rsidRDefault="002C0FD9" w:rsidP="00CA25CF">
            <w:pPr>
              <w:rPr>
                <w:rFonts w:cs="Arial"/>
                <w:color w:val="FF0000"/>
                <w:sz w:val="21"/>
                <w:szCs w:val="21"/>
              </w:rPr>
            </w:pPr>
          </w:p>
        </w:tc>
        <w:tc>
          <w:tcPr>
            <w:tcW w:w="217" w:type="dxa"/>
          </w:tcPr>
          <w:p w14:paraId="300BD697" w14:textId="77777777" w:rsidR="002C0FD9" w:rsidRPr="00CA25CF" w:rsidRDefault="002C0FD9" w:rsidP="00CA25CF">
            <w:pPr>
              <w:rPr>
                <w:rFonts w:cs="Arial"/>
                <w:color w:val="FF0000"/>
                <w:sz w:val="21"/>
                <w:szCs w:val="21"/>
              </w:rPr>
            </w:pPr>
          </w:p>
        </w:tc>
        <w:tc>
          <w:tcPr>
            <w:tcW w:w="217" w:type="dxa"/>
          </w:tcPr>
          <w:p w14:paraId="513420DE" w14:textId="77777777" w:rsidR="002C0FD9" w:rsidRPr="00CA25CF" w:rsidRDefault="002C0FD9" w:rsidP="00CA25CF">
            <w:pPr>
              <w:rPr>
                <w:rFonts w:cs="Arial"/>
                <w:color w:val="FF0000"/>
                <w:sz w:val="21"/>
                <w:szCs w:val="21"/>
              </w:rPr>
            </w:pPr>
          </w:p>
        </w:tc>
        <w:tc>
          <w:tcPr>
            <w:tcW w:w="217" w:type="dxa"/>
          </w:tcPr>
          <w:p w14:paraId="57DDBF76" w14:textId="77777777" w:rsidR="002C0FD9" w:rsidRPr="00CA25CF" w:rsidRDefault="002C0FD9" w:rsidP="00CA25CF">
            <w:pPr>
              <w:rPr>
                <w:rFonts w:cs="Arial"/>
                <w:color w:val="FF0000"/>
                <w:sz w:val="21"/>
                <w:szCs w:val="21"/>
              </w:rPr>
            </w:pPr>
          </w:p>
        </w:tc>
        <w:tc>
          <w:tcPr>
            <w:tcW w:w="217" w:type="dxa"/>
          </w:tcPr>
          <w:p w14:paraId="7106F166" w14:textId="77777777" w:rsidR="002C0FD9" w:rsidRPr="00CA25CF" w:rsidRDefault="002C0FD9" w:rsidP="00CA25CF">
            <w:pPr>
              <w:rPr>
                <w:rFonts w:cs="Arial"/>
                <w:color w:val="FF0000"/>
                <w:sz w:val="21"/>
                <w:szCs w:val="21"/>
              </w:rPr>
            </w:pPr>
          </w:p>
        </w:tc>
        <w:tc>
          <w:tcPr>
            <w:tcW w:w="217" w:type="dxa"/>
          </w:tcPr>
          <w:p w14:paraId="3267C699" w14:textId="77777777" w:rsidR="002C0FD9" w:rsidRPr="00CA25CF" w:rsidRDefault="002C0FD9" w:rsidP="00CA25CF">
            <w:pPr>
              <w:rPr>
                <w:rFonts w:cs="Arial"/>
                <w:color w:val="FF0000"/>
                <w:sz w:val="21"/>
                <w:szCs w:val="21"/>
              </w:rPr>
            </w:pPr>
          </w:p>
        </w:tc>
        <w:tc>
          <w:tcPr>
            <w:tcW w:w="217" w:type="dxa"/>
          </w:tcPr>
          <w:p w14:paraId="523AAEAD" w14:textId="77777777" w:rsidR="002C0FD9" w:rsidRPr="00CA25CF" w:rsidRDefault="002C0FD9" w:rsidP="00CA25CF">
            <w:pPr>
              <w:rPr>
                <w:rFonts w:cs="Arial"/>
                <w:color w:val="FF0000"/>
                <w:sz w:val="21"/>
                <w:szCs w:val="21"/>
              </w:rPr>
            </w:pPr>
          </w:p>
        </w:tc>
        <w:tc>
          <w:tcPr>
            <w:tcW w:w="217" w:type="dxa"/>
          </w:tcPr>
          <w:p w14:paraId="304C0D8C" w14:textId="77777777" w:rsidR="002C0FD9" w:rsidRPr="00CA25CF" w:rsidRDefault="002C0FD9" w:rsidP="00CA25CF">
            <w:pPr>
              <w:rPr>
                <w:rFonts w:cs="Arial"/>
                <w:color w:val="FF0000"/>
                <w:sz w:val="21"/>
                <w:szCs w:val="21"/>
              </w:rPr>
            </w:pPr>
          </w:p>
        </w:tc>
        <w:tc>
          <w:tcPr>
            <w:tcW w:w="217" w:type="dxa"/>
          </w:tcPr>
          <w:p w14:paraId="70B08082" w14:textId="77777777" w:rsidR="002C0FD9" w:rsidRPr="00CA25CF" w:rsidRDefault="002C0FD9" w:rsidP="00CA25CF">
            <w:pPr>
              <w:rPr>
                <w:rFonts w:cs="Arial"/>
                <w:color w:val="FF0000"/>
                <w:sz w:val="21"/>
                <w:szCs w:val="21"/>
              </w:rPr>
            </w:pPr>
          </w:p>
        </w:tc>
        <w:tc>
          <w:tcPr>
            <w:tcW w:w="217" w:type="dxa"/>
          </w:tcPr>
          <w:p w14:paraId="3E3EF476" w14:textId="77777777" w:rsidR="002C0FD9" w:rsidRPr="00CA25CF" w:rsidRDefault="002C0FD9" w:rsidP="00CA25CF">
            <w:pPr>
              <w:rPr>
                <w:rFonts w:cs="Arial"/>
                <w:color w:val="FF0000"/>
                <w:sz w:val="21"/>
                <w:szCs w:val="21"/>
              </w:rPr>
            </w:pPr>
          </w:p>
        </w:tc>
      </w:tr>
      <w:tr w:rsidR="002C0FD9" w:rsidRPr="00A16219" w14:paraId="550B29AE" w14:textId="72C6F1E3" w:rsidTr="002C0FD9">
        <w:trPr>
          <w:trHeight w:val="635"/>
        </w:trPr>
        <w:tc>
          <w:tcPr>
            <w:tcW w:w="515" w:type="dxa"/>
          </w:tcPr>
          <w:p w14:paraId="48867C8A" w14:textId="77777777" w:rsidR="002C0FD9" w:rsidRPr="00CA25CF" w:rsidRDefault="002C0FD9" w:rsidP="00CA25CF">
            <w:pPr>
              <w:rPr>
                <w:rFonts w:cs="Arial"/>
                <w:color w:val="FF0000"/>
                <w:sz w:val="21"/>
                <w:szCs w:val="21"/>
              </w:rPr>
            </w:pPr>
          </w:p>
        </w:tc>
        <w:tc>
          <w:tcPr>
            <w:tcW w:w="217" w:type="dxa"/>
          </w:tcPr>
          <w:p w14:paraId="20E42545" w14:textId="77777777" w:rsidR="002C0FD9" w:rsidRPr="00CA25CF" w:rsidRDefault="002C0FD9" w:rsidP="00CA25CF">
            <w:pPr>
              <w:rPr>
                <w:rFonts w:cs="Arial"/>
                <w:color w:val="FF0000"/>
                <w:sz w:val="21"/>
                <w:szCs w:val="21"/>
              </w:rPr>
            </w:pPr>
          </w:p>
        </w:tc>
        <w:tc>
          <w:tcPr>
            <w:tcW w:w="217" w:type="dxa"/>
          </w:tcPr>
          <w:p w14:paraId="6A64A295" w14:textId="1D1745F9" w:rsidR="002C0FD9" w:rsidRPr="00CA25CF" w:rsidRDefault="002C0FD9" w:rsidP="00CA25CF">
            <w:pPr>
              <w:rPr>
                <w:rFonts w:cs="Arial"/>
                <w:color w:val="FF0000"/>
                <w:sz w:val="21"/>
                <w:szCs w:val="21"/>
              </w:rPr>
            </w:pPr>
          </w:p>
        </w:tc>
        <w:tc>
          <w:tcPr>
            <w:tcW w:w="217" w:type="dxa"/>
          </w:tcPr>
          <w:p w14:paraId="31BE0FE9" w14:textId="77777777" w:rsidR="002C0FD9" w:rsidRPr="00CA25CF" w:rsidRDefault="002C0FD9" w:rsidP="00CA25CF">
            <w:pPr>
              <w:rPr>
                <w:rFonts w:cs="Arial"/>
                <w:color w:val="FF0000"/>
                <w:sz w:val="21"/>
                <w:szCs w:val="21"/>
              </w:rPr>
            </w:pPr>
          </w:p>
        </w:tc>
        <w:tc>
          <w:tcPr>
            <w:tcW w:w="217" w:type="dxa"/>
          </w:tcPr>
          <w:p w14:paraId="6375390E" w14:textId="77777777" w:rsidR="002C0FD9" w:rsidRPr="00CA25CF" w:rsidRDefault="002C0FD9" w:rsidP="00CA25CF">
            <w:pPr>
              <w:rPr>
                <w:rFonts w:cs="Arial"/>
                <w:color w:val="FF0000"/>
                <w:sz w:val="21"/>
                <w:szCs w:val="21"/>
              </w:rPr>
            </w:pPr>
          </w:p>
        </w:tc>
        <w:tc>
          <w:tcPr>
            <w:tcW w:w="217" w:type="dxa"/>
          </w:tcPr>
          <w:p w14:paraId="231ABF01" w14:textId="77777777" w:rsidR="002C0FD9" w:rsidRPr="00CA25CF" w:rsidRDefault="002C0FD9" w:rsidP="00CA25CF">
            <w:pPr>
              <w:rPr>
                <w:rFonts w:cs="Arial"/>
                <w:color w:val="FF0000"/>
                <w:sz w:val="21"/>
                <w:szCs w:val="21"/>
              </w:rPr>
            </w:pPr>
          </w:p>
        </w:tc>
        <w:tc>
          <w:tcPr>
            <w:tcW w:w="217" w:type="dxa"/>
          </w:tcPr>
          <w:p w14:paraId="541E58F0" w14:textId="77777777" w:rsidR="002C0FD9" w:rsidRPr="00CA25CF" w:rsidRDefault="002C0FD9" w:rsidP="00CA25CF">
            <w:pPr>
              <w:rPr>
                <w:rFonts w:cs="Arial"/>
                <w:color w:val="FF0000"/>
                <w:sz w:val="21"/>
                <w:szCs w:val="21"/>
              </w:rPr>
            </w:pPr>
          </w:p>
        </w:tc>
        <w:tc>
          <w:tcPr>
            <w:tcW w:w="217" w:type="dxa"/>
          </w:tcPr>
          <w:p w14:paraId="2B46C548" w14:textId="77777777" w:rsidR="002C0FD9" w:rsidRPr="00CA25CF" w:rsidRDefault="002C0FD9" w:rsidP="00CA25CF">
            <w:pPr>
              <w:rPr>
                <w:rFonts w:cs="Arial"/>
                <w:color w:val="FF0000"/>
                <w:sz w:val="21"/>
                <w:szCs w:val="21"/>
              </w:rPr>
            </w:pPr>
          </w:p>
        </w:tc>
        <w:tc>
          <w:tcPr>
            <w:tcW w:w="217" w:type="dxa"/>
          </w:tcPr>
          <w:p w14:paraId="55E06583" w14:textId="77777777" w:rsidR="002C0FD9" w:rsidRPr="00CA25CF" w:rsidRDefault="002C0FD9" w:rsidP="00CA25CF">
            <w:pPr>
              <w:rPr>
                <w:rFonts w:cs="Arial"/>
                <w:color w:val="FF0000"/>
                <w:sz w:val="21"/>
                <w:szCs w:val="21"/>
              </w:rPr>
            </w:pPr>
          </w:p>
        </w:tc>
        <w:tc>
          <w:tcPr>
            <w:tcW w:w="217" w:type="dxa"/>
          </w:tcPr>
          <w:p w14:paraId="1CA34741" w14:textId="77777777" w:rsidR="002C0FD9" w:rsidRPr="00CA25CF" w:rsidRDefault="002C0FD9" w:rsidP="00CA25CF">
            <w:pPr>
              <w:rPr>
                <w:rFonts w:cs="Arial"/>
                <w:color w:val="FF0000"/>
                <w:sz w:val="21"/>
                <w:szCs w:val="21"/>
              </w:rPr>
            </w:pPr>
          </w:p>
        </w:tc>
        <w:tc>
          <w:tcPr>
            <w:tcW w:w="217" w:type="dxa"/>
          </w:tcPr>
          <w:p w14:paraId="3EF15B56" w14:textId="77777777" w:rsidR="002C0FD9" w:rsidRPr="00CA25CF" w:rsidRDefault="002C0FD9" w:rsidP="00CA25CF">
            <w:pPr>
              <w:rPr>
                <w:rFonts w:cs="Arial"/>
                <w:color w:val="FF0000"/>
                <w:sz w:val="21"/>
                <w:szCs w:val="21"/>
              </w:rPr>
            </w:pPr>
          </w:p>
        </w:tc>
        <w:tc>
          <w:tcPr>
            <w:tcW w:w="217" w:type="dxa"/>
          </w:tcPr>
          <w:p w14:paraId="4C49BA19" w14:textId="77777777" w:rsidR="002C0FD9" w:rsidRPr="00CA25CF" w:rsidRDefault="002C0FD9" w:rsidP="00CA25CF">
            <w:pPr>
              <w:rPr>
                <w:rFonts w:cs="Arial"/>
                <w:color w:val="FF0000"/>
                <w:sz w:val="21"/>
                <w:szCs w:val="21"/>
              </w:rPr>
            </w:pPr>
          </w:p>
        </w:tc>
        <w:tc>
          <w:tcPr>
            <w:tcW w:w="217" w:type="dxa"/>
          </w:tcPr>
          <w:p w14:paraId="43753257" w14:textId="77777777" w:rsidR="002C0FD9" w:rsidRPr="00CA25CF" w:rsidRDefault="002C0FD9" w:rsidP="00CA25CF">
            <w:pPr>
              <w:rPr>
                <w:rFonts w:cs="Arial"/>
                <w:color w:val="FF0000"/>
                <w:sz w:val="21"/>
                <w:szCs w:val="21"/>
              </w:rPr>
            </w:pPr>
          </w:p>
        </w:tc>
        <w:tc>
          <w:tcPr>
            <w:tcW w:w="217" w:type="dxa"/>
          </w:tcPr>
          <w:p w14:paraId="0219049B" w14:textId="77777777" w:rsidR="002C0FD9" w:rsidRPr="00CA25CF" w:rsidRDefault="002C0FD9" w:rsidP="00CA25CF">
            <w:pPr>
              <w:rPr>
                <w:rFonts w:cs="Arial"/>
                <w:color w:val="FF0000"/>
                <w:sz w:val="21"/>
                <w:szCs w:val="21"/>
              </w:rPr>
            </w:pPr>
          </w:p>
        </w:tc>
        <w:tc>
          <w:tcPr>
            <w:tcW w:w="217" w:type="dxa"/>
          </w:tcPr>
          <w:p w14:paraId="14D26F59" w14:textId="77777777" w:rsidR="002C0FD9" w:rsidRPr="00CA25CF" w:rsidRDefault="002C0FD9" w:rsidP="00CA25CF">
            <w:pPr>
              <w:rPr>
                <w:rFonts w:cs="Arial"/>
                <w:color w:val="FF0000"/>
                <w:sz w:val="21"/>
                <w:szCs w:val="21"/>
              </w:rPr>
            </w:pPr>
          </w:p>
        </w:tc>
        <w:tc>
          <w:tcPr>
            <w:tcW w:w="217" w:type="dxa"/>
          </w:tcPr>
          <w:p w14:paraId="599FFFD8" w14:textId="17B6AB90" w:rsidR="002C0FD9" w:rsidRPr="00CA25CF" w:rsidRDefault="002C0FD9" w:rsidP="00CA25CF">
            <w:pPr>
              <w:rPr>
                <w:rFonts w:cs="Arial"/>
                <w:color w:val="FF0000"/>
                <w:sz w:val="21"/>
                <w:szCs w:val="21"/>
              </w:rPr>
            </w:pPr>
          </w:p>
        </w:tc>
        <w:tc>
          <w:tcPr>
            <w:tcW w:w="217" w:type="dxa"/>
          </w:tcPr>
          <w:p w14:paraId="6A26E5B8" w14:textId="77777777" w:rsidR="002C0FD9" w:rsidRPr="00CA25CF" w:rsidRDefault="002C0FD9" w:rsidP="00CA25CF">
            <w:pPr>
              <w:rPr>
                <w:rFonts w:cs="Arial"/>
                <w:color w:val="FF0000"/>
                <w:sz w:val="21"/>
                <w:szCs w:val="21"/>
              </w:rPr>
            </w:pPr>
          </w:p>
        </w:tc>
        <w:tc>
          <w:tcPr>
            <w:tcW w:w="217" w:type="dxa"/>
          </w:tcPr>
          <w:p w14:paraId="7147C564" w14:textId="77777777" w:rsidR="002C0FD9" w:rsidRPr="00CA25CF" w:rsidRDefault="002C0FD9" w:rsidP="00CA25CF">
            <w:pPr>
              <w:rPr>
                <w:rFonts w:cs="Arial"/>
                <w:color w:val="FF0000"/>
                <w:sz w:val="21"/>
                <w:szCs w:val="21"/>
              </w:rPr>
            </w:pPr>
          </w:p>
        </w:tc>
        <w:tc>
          <w:tcPr>
            <w:tcW w:w="217" w:type="dxa"/>
          </w:tcPr>
          <w:p w14:paraId="696C8FB3" w14:textId="77777777" w:rsidR="002C0FD9" w:rsidRPr="00CA25CF" w:rsidRDefault="002C0FD9" w:rsidP="00CA25CF">
            <w:pPr>
              <w:rPr>
                <w:rFonts w:cs="Arial"/>
                <w:color w:val="FF0000"/>
                <w:sz w:val="21"/>
                <w:szCs w:val="21"/>
              </w:rPr>
            </w:pPr>
          </w:p>
        </w:tc>
        <w:tc>
          <w:tcPr>
            <w:tcW w:w="217" w:type="dxa"/>
          </w:tcPr>
          <w:p w14:paraId="04D1C855" w14:textId="77777777" w:rsidR="002C0FD9" w:rsidRPr="00CA25CF" w:rsidRDefault="002C0FD9" w:rsidP="00CA25CF">
            <w:pPr>
              <w:rPr>
                <w:rFonts w:cs="Arial"/>
                <w:color w:val="FF0000"/>
                <w:sz w:val="21"/>
                <w:szCs w:val="21"/>
              </w:rPr>
            </w:pPr>
          </w:p>
        </w:tc>
        <w:tc>
          <w:tcPr>
            <w:tcW w:w="217" w:type="dxa"/>
          </w:tcPr>
          <w:p w14:paraId="7EFF137B" w14:textId="77777777" w:rsidR="002C0FD9" w:rsidRPr="00CA25CF" w:rsidRDefault="002C0FD9" w:rsidP="00CA25CF">
            <w:pPr>
              <w:rPr>
                <w:rFonts w:cs="Arial"/>
                <w:color w:val="FF0000"/>
                <w:sz w:val="21"/>
                <w:szCs w:val="21"/>
              </w:rPr>
            </w:pPr>
          </w:p>
        </w:tc>
        <w:tc>
          <w:tcPr>
            <w:tcW w:w="217" w:type="dxa"/>
          </w:tcPr>
          <w:p w14:paraId="1A9B5524" w14:textId="77777777" w:rsidR="002C0FD9" w:rsidRPr="00CA25CF" w:rsidRDefault="002C0FD9" w:rsidP="00CA25CF">
            <w:pPr>
              <w:rPr>
                <w:rFonts w:cs="Arial"/>
                <w:color w:val="FF0000"/>
                <w:sz w:val="21"/>
                <w:szCs w:val="21"/>
              </w:rPr>
            </w:pPr>
          </w:p>
        </w:tc>
        <w:tc>
          <w:tcPr>
            <w:tcW w:w="217" w:type="dxa"/>
          </w:tcPr>
          <w:p w14:paraId="553A982F" w14:textId="77777777" w:rsidR="002C0FD9" w:rsidRPr="00CA25CF" w:rsidRDefault="002C0FD9" w:rsidP="00CA25CF">
            <w:pPr>
              <w:rPr>
                <w:rFonts w:cs="Arial"/>
                <w:color w:val="FF0000"/>
                <w:sz w:val="21"/>
                <w:szCs w:val="21"/>
              </w:rPr>
            </w:pPr>
          </w:p>
        </w:tc>
        <w:tc>
          <w:tcPr>
            <w:tcW w:w="217" w:type="dxa"/>
          </w:tcPr>
          <w:p w14:paraId="43ED338B" w14:textId="77777777" w:rsidR="002C0FD9" w:rsidRPr="00CA25CF" w:rsidRDefault="002C0FD9" w:rsidP="00CA25CF">
            <w:pPr>
              <w:rPr>
                <w:rFonts w:cs="Arial"/>
                <w:color w:val="FF0000"/>
                <w:sz w:val="21"/>
                <w:szCs w:val="21"/>
              </w:rPr>
            </w:pPr>
          </w:p>
        </w:tc>
        <w:tc>
          <w:tcPr>
            <w:tcW w:w="217" w:type="dxa"/>
          </w:tcPr>
          <w:p w14:paraId="7DDF279F" w14:textId="77777777" w:rsidR="002C0FD9" w:rsidRPr="00CA25CF" w:rsidRDefault="002C0FD9" w:rsidP="00CA25CF">
            <w:pPr>
              <w:rPr>
                <w:rFonts w:cs="Arial"/>
                <w:color w:val="FF0000"/>
                <w:sz w:val="21"/>
                <w:szCs w:val="21"/>
              </w:rPr>
            </w:pPr>
          </w:p>
        </w:tc>
        <w:tc>
          <w:tcPr>
            <w:tcW w:w="217" w:type="dxa"/>
          </w:tcPr>
          <w:p w14:paraId="74FFED94" w14:textId="77777777" w:rsidR="002C0FD9" w:rsidRPr="00CA25CF" w:rsidRDefault="002C0FD9" w:rsidP="00CA25CF">
            <w:pPr>
              <w:rPr>
                <w:rFonts w:cs="Arial"/>
                <w:color w:val="FF0000"/>
                <w:sz w:val="21"/>
                <w:szCs w:val="21"/>
              </w:rPr>
            </w:pPr>
          </w:p>
        </w:tc>
        <w:tc>
          <w:tcPr>
            <w:tcW w:w="217" w:type="dxa"/>
          </w:tcPr>
          <w:p w14:paraId="194A397C" w14:textId="77777777" w:rsidR="002C0FD9" w:rsidRPr="00CA25CF" w:rsidRDefault="002C0FD9" w:rsidP="00CA25CF">
            <w:pPr>
              <w:rPr>
                <w:rFonts w:cs="Arial"/>
                <w:color w:val="FF0000"/>
                <w:sz w:val="21"/>
                <w:szCs w:val="21"/>
              </w:rPr>
            </w:pPr>
          </w:p>
        </w:tc>
        <w:tc>
          <w:tcPr>
            <w:tcW w:w="217" w:type="dxa"/>
          </w:tcPr>
          <w:p w14:paraId="4F8C011E" w14:textId="77777777" w:rsidR="002C0FD9" w:rsidRPr="00CA25CF" w:rsidRDefault="002C0FD9" w:rsidP="00CA25CF">
            <w:pPr>
              <w:rPr>
                <w:rFonts w:cs="Arial"/>
                <w:color w:val="FF0000"/>
                <w:sz w:val="21"/>
                <w:szCs w:val="21"/>
              </w:rPr>
            </w:pPr>
          </w:p>
        </w:tc>
        <w:tc>
          <w:tcPr>
            <w:tcW w:w="217" w:type="dxa"/>
          </w:tcPr>
          <w:p w14:paraId="4913C925" w14:textId="77777777" w:rsidR="002C0FD9" w:rsidRPr="00CA25CF" w:rsidRDefault="002C0FD9" w:rsidP="00CA25CF">
            <w:pPr>
              <w:rPr>
                <w:rFonts w:cs="Arial"/>
                <w:color w:val="FF0000"/>
                <w:sz w:val="21"/>
                <w:szCs w:val="21"/>
              </w:rPr>
            </w:pPr>
          </w:p>
        </w:tc>
        <w:tc>
          <w:tcPr>
            <w:tcW w:w="217" w:type="dxa"/>
          </w:tcPr>
          <w:p w14:paraId="171863D7" w14:textId="77777777" w:rsidR="002C0FD9" w:rsidRPr="00CA25CF" w:rsidRDefault="002C0FD9" w:rsidP="00CA25CF">
            <w:pPr>
              <w:rPr>
                <w:rFonts w:cs="Arial"/>
                <w:color w:val="FF0000"/>
                <w:sz w:val="21"/>
                <w:szCs w:val="21"/>
              </w:rPr>
            </w:pPr>
          </w:p>
        </w:tc>
        <w:tc>
          <w:tcPr>
            <w:tcW w:w="217" w:type="dxa"/>
          </w:tcPr>
          <w:p w14:paraId="1DBAE8F4" w14:textId="77777777" w:rsidR="002C0FD9" w:rsidRPr="00CA25CF" w:rsidRDefault="002C0FD9" w:rsidP="00CA25CF">
            <w:pPr>
              <w:rPr>
                <w:rFonts w:cs="Arial"/>
                <w:color w:val="FF0000"/>
                <w:sz w:val="21"/>
                <w:szCs w:val="21"/>
              </w:rPr>
            </w:pPr>
          </w:p>
        </w:tc>
        <w:tc>
          <w:tcPr>
            <w:tcW w:w="217" w:type="dxa"/>
          </w:tcPr>
          <w:p w14:paraId="268794CF" w14:textId="77777777" w:rsidR="002C0FD9" w:rsidRPr="00CA25CF" w:rsidRDefault="002C0FD9" w:rsidP="00CA25CF">
            <w:pPr>
              <w:rPr>
                <w:rFonts w:cs="Arial"/>
                <w:color w:val="FF0000"/>
                <w:sz w:val="21"/>
                <w:szCs w:val="21"/>
              </w:rPr>
            </w:pPr>
          </w:p>
        </w:tc>
        <w:tc>
          <w:tcPr>
            <w:tcW w:w="217" w:type="dxa"/>
          </w:tcPr>
          <w:p w14:paraId="3A649D92" w14:textId="77777777" w:rsidR="002C0FD9" w:rsidRPr="00CA25CF" w:rsidRDefault="002C0FD9" w:rsidP="00CA25CF">
            <w:pPr>
              <w:rPr>
                <w:rFonts w:cs="Arial"/>
                <w:color w:val="FF0000"/>
                <w:sz w:val="21"/>
                <w:szCs w:val="21"/>
              </w:rPr>
            </w:pPr>
          </w:p>
        </w:tc>
        <w:tc>
          <w:tcPr>
            <w:tcW w:w="217" w:type="dxa"/>
          </w:tcPr>
          <w:p w14:paraId="40FDB1BF" w14:textId="77777777" w:rsidR="002C0FD9" w:rsidRPr="00CA25CF" w:rsidRDefault="002C0FD9" w:rsidP="00CA25CF">
            <w:pPr>
              <w:rPr>
                <w:rFonts w:cs="Arial"/>
                <w:color w:val="FF0000"/>
                <w:sz w:val="21"/>
                <w:szCs w:val="21"/>
              </w:rPr>
            </w:pPr>
          </w:p>
        </w:tc>
        <w:tc>
          <w:tcPr>
            <w:tcW w:w="217" w:type="dxa"/>
          </w:tcPr>
          <w:p w14:paraId="5F98BFB5" w14:textId="77777777" w:rsidR="002C0FD9" w:rsidRPr="00CA25CF" w:rsidRDefault="002C0FD9" w:rsidP="00CA25CF">
            <w:pPr>
              <w:rPr>
                <w:rFonts w:cs="Arial"/>
                <w:color w:val="FF0000"/>
                <w:sz w:val="21"/>
                <w:szCs w:val="21"/>
              </w:rPr>
            </w:pPr>
          </w:p>
        </w:tc>
        <w:tc>
          <w:tcPr>
            <w:tcW w:w="217" w:type="dxa"/>
          </w:tcPr>
          <w:p w14:paraId="01FF5BFF" w14:textId="77777777" w:rsidR="002C0FD9" w:rsidRPr="00CA25CF" w:rsidRDefault="002C0FD9" w:rsidP="00CA25CF">
            <w:pPr>
              <w:rPr>
                <w:rFonts w:cs="Arial"/>
                <w:color w:val="FF0000"/>
                <w:sz w:val="21"/>
                <w:szCs w:val="21"/>
              </w:rPr>
            </w:pPr>
          </w:p>
        </w:tc>
        <w:tc>
          <w:tcPr>
            <w:tcW w:w="217" w:type="dxa"/>
          </w:tcPr>
          <w:p w14:paraId="3C7905ED" w14:textId="77777777" w:rsidR="002C0FD9" w:rsidRPr="00CA25CF" w:rsidRDefault="002C0FD9" w:rsidP="00CA25CF">
            <w:pPr>
              <w:rPr>
                <w:rFonts w:cs="Arial"/>
                <w:color w:val="FF0000"/>
                <w:sz w:val="21"/>
                <w:szCs w:val="21"/>
              </w:rPr>
            </w:pPr>
          </w:p>
        </w:tc>
        <w:tc>
          <w:tcPr>
            <w:tcW w:w="217" w:type="dxa"/>
          </w:tcPr>
          <w:p w14:paraId="09E52919" w14:textId="77777777" w:rsidR="002C0FD9" w:rsidRPr="00CA25CF" w:rsidRDefault="002C0FD9" w:rsidP="00CA25CF">
            <w:pPr>
              <w:rPr>
                <w:rFonts w:cs="Arial"/>
                <w:color w:val="FF0000"/>
                <w:sz w:val="21"/>
                <w:szCs w:val="21"/>
              </w:rPr>
            </w:pPr>
          </w:p>
        </w:tc>
        <w:tc>
          <w:tcPr>
            <w:tcW w:w="217" w:type="dxa"/>
          </w:tcPr>
          <w:p w14:paraId="37665FF3" w14:textId="77777777" w:rsidR="002C0FD9" w:rsidRPr="00CA25CF" w:rsidRDefault="002C0FD9" w:rsidP="00CA25CF">
            <w:pPr>
              <w:rPr>
                <w:rFonts w:cs="Arial"/>
                <w:color w:val="FF0000"/>
                <w:sz w:val="21"/>
                <w:szCs w:val="21"/>
              </w:rPr>
            </w:pPr>
          </w:p>
        </w:tc>
        <w:tc>
          <w:tcPr>
            <w:tcW w:w="217" w:type="dxa"/>
          </w:tcPr>
          <w:p w14:paraId="6D7BCC22" w14:textId="77777777" w:rsidR="002C0FD9" w:rsidRPr="00CA25CF" w:rsidRDefault="002C0FD9" w:rsidP="00CA25CF">
            <w:pPr>
              <w:rPr>
                <w:rFonts w:cs="Arial"/>
                <w:color w:val="FF0000"/>
                <w:sz w:val="21"/>
                <w:szCs w:val="21"/>
              </w:rPr>
            </w:pPr>
          </w:p>
        </w:tc>
        <w:tc>
          <w:tcPr>
            <w:tcW w:w="217" w:type="dxa"/>
          </w:tcPr>
          <w:p w14:paraId="415332E8" w14:textId="77777777" w:rsidR="002C0FD9" w:rsidRPr="00CA25CF" w:rsidRDefault="002C0FD9" w:rsidP="00CA25CF">
            <w:pPr>
              <w:rPr>
                <w:rFonts w:cs="Arial"/>
                <w:color w:val="FF0000"/>
                <w:sz w:val="21"/>
                <w:szCs w:val="21"/>
              </w:rPr>
            </w:pPr>
          </w:p>
        </w:tc>
        <w:tc>
          <w:tcPr>
            <w:tcW w:w="217" w:type="dxa"/>
          </w:tcPr>
          <w:p w14:paraId="2FD4C02E" w14:textId="77777777" w:rsidR="002C0FD9" w:rsidRPr="00CA25CF" w:rsidRDefault="002C0FD9" w:rsidP="00CA25CF">
            <w:pPr>
              <w:rPr>
                <w:rFonts w:cs="Arial"/>
                <w:color w:val="FF0000"/>
                <w:sz w:val="21"/>
                <w:szCs w:val="21"/>
              </w:rPr>
            </w:pPr>
          </w:p>
        </w:tc>
        <w:tc>
          <w:tcPr>
            <w:tcW w:w="217" w:type="dxa"/>
          </w:tcPr>
          <w:p w14:paraId="0FDD6CA5" w14:textId="77777777" w:rsidR="002C0FD9" w:rsidRPr="00CA25CF" w:rsidRDefault="002C0FD9" w:rsidP="00CA25CF">
            <w:pPr>
              <w:rPr>
                <w:rFonts w:cs="Arial"/>
                <w:color w:val="FF0000"/>
                <w:sz w:val="21"/>
                <w:szCs w:val="21"/>
              </w:rPr>
            </w:pPr>
          </w:p>
        </w:tc>
      </w:tr>
      <w:tr w:rsidR="002C0FD9" w:rsidRPr="00A16219" w14:paraId="4DA9B553" w14:textId="0656FBE6" w:rsidTr="002C0FD9">
        <w:trPr>
          <w:trHeight w:val="635"/>
        </w:trPr>
        <w:tc>
          <w:tcPr>
            <w:tcW w:w="515" w:type="dxa"/>
          </w:tcPr>
          <w:p w14:paraId="284ADFD7" w14:textId="77777777" w:rsidR="002C0FD9" w:rsidRPr="00CA25CF" w:rsidRDefault="002C0FD9" w:rsidP="00CA25CF">
            <w:pPr>
              <w:rPr>
                <w:rFonts w:cs="Arial"/>
                <w:color w:val="FF0000"/>
                <w:sz w:val="21"/>
                <w:szCs w:val="21"/>
              </w:rPr>
            </w:pPr>
          </w:p>
        </w:tc>
        <w:tc>
          <w:tcPr>
            <w:tcW w:w="217" w:type="dxa"/>
          </w:tcPr>
          <w:p w14:paraId="614FD521" w14:textId="77777777" w:rsidR="002C0FD9" w:rsidRPr="00CA25CF" w:rsidRDefault="002C0FD9" w:rsidP="00CA25CF">
            <w:pPr>
              <w:rPr>
                <w:rFonts w:cs="Arial"/>
                <w:color w:val="FF0000"/>
                <w:sz w:val="21"/>
                <w:szCs w:val="21"/>
              </w:rPr>
            </w:pPr>
          </w:p>
        </w:tc>
        <w:tc>
          <w:tcPr>
            <w:tcW w:w="217" w:type="dxa"/>
          </w:tcPr>
          <w:p w14:paraId="5B79F699" w14:textId="6EF5A88B" w:rsidR="002C0FD9" w:rsidRPr="00CA25CF" w:rsidRDefault="002C0FD9" w:rsidP="00CA25CF">
            <w:pPr>
              <w:rPr>
                <w:rFonts w:cs="Arial"/>
                <w:color w:val="FF0000"/>
                <w:sz w:val="21"/>
                <w:szCs w:val="21"/>
              </w:rPr>
            </w:pPr>
          </w:p>
        </w:tc>
        <w:tc>
          <w:tcPr>
            <w:tcW w:w="217" w:type="dxa"/>
          </w:tcPr>
          <w:p w14:paraId="70F62DF6" w14:textId="77777777" w:rsidR="002C0FD9" w:rsidRPr="00CA25CF" w:rsidRDefault="002C0FD9" w:rsidP="00CA25CF">
            <w:pPr>
              <w:rPr>
                <w:rFonts w:cs="Arial"/>
                <w:color w:val="FF0000"/>
                <w:sz w:val="21"/>
                <w:szCs w:val="21"/>
              </w:rPr>
            </w:pPr>
          </w:p>
        </w:tc>
        <w:tc>
          <w:tcPr>
            <w:tcW w:w="217" w:type="dxa"/>
          </w:tcPr>
          <w:p w14:paraId="2F4E232A" w14:textId="77777777" w:rsidR="002C0FD9" w:rsidRPr="00CA25CF" w:rsidRDefault="002C0FD9" w:rsidP="00CA25CF">
            <w:pPr>
              <w:rPr>
                <w:rFonts w:cs="Arial"/>
                <w:color w:val="FF0000"/>
                <w:sz w:val="21"/>
                <w:szCs w:val="21"/>
              </w:rPr>
            </w:pPr>
          </w:p>
        </w:tc>
        <w:tc>
          <w:tcPr>
            <w:tcW w:w="217" w:type="dxa"/>
          </w:tcPr>
          <w:p w14:paraId="63A7D234" w14:textId="77777777" w:rsidR="002C0FD9" w:rsidRPr="00CA25CF" w:rsidRDefault="002C0FD9" w:rsidP="00CA25CF">
            <w:pPr>
              <w:rPr>
                <w:rFonts w:cs="Arial"/>
                <w:color w:val="FF0000"/>
                <w:sz w:val="21"/>
                <w:szCs w:val="21"/>
              </w:rPr>
            </w:pPr>
          </w:p>
        </w:tc>
        <w:tc>
          <w:tcPr>
            <w:tcW w:w="217" w:type="dxa"/>
          </w:tcPr>
          <w:p w14:paraId="38380DD3" w14:textId="77777777" w:rsidR="002C0FD9" w:rsidRPr="00CA25CF" w:rsidRDefault="002C0FD9" w:rsidP="00CA25CF">
            <w:pPr>
              <w:rPr>
                <w:rFonts w:cs="Arial"/>
                <w:color w:val="FF0000"/>
                <w:sz w:val="21"/>
                <w:szCs w:val="21"/>
              </w:rPr>
            </w:pPr>
          </w:p>
        </w:tc>
        <w:tc>
          <w:tcPr>
            <w:tcW w:w="217" w:type="dxa"/>
          </w:tcPr>
          <w:p w14:paraId="597737EF" w14:textId="77777777" w:rsidR="002C0FD9" w:rsidRPr="00CA25CF" w:rsidRDefault="002C0FD9" w:rsidP="00CA25CF">
            <w:pPr>
              <w:rPr>
                <w:rFonts w:cs="Arial"/>
                <w:color w:val="FF0000"/>
                <w:sz w:val="21"/>
                <w:szCs w:val="21"/>
              </w:rPr>
            </w:pPr>
          </w:p>
        </w:tc>
        <w:tc>
          <w:tcPr>
            <w:tcW w:w="217" w:type="dxa"/>
          </w:tcPr>
          <w:p w14:paraId="29374505" w14:textId="77777777" w:rsidR="002C0FD9" w:rsidRPr="00CA25CF" w:rsidRDefault="002C0FD9" w:rsidP="00CA25CF">
            <w:pPr>
              <w:rPr>
                <w:rFonts w:cs="Arial"/>
                <w:color w:val="FF0000"/>
                <w:sz w:val="21"/>
                <w:szCs w:val="21"/>
              </w:rPr>
            </w:pPr>
          </w:p>
        </w:tc>
        <w:tc>
          <w:tcPr>
            <w:tcW w:w="217" w:type="dxa"/>
          </w:tcPr>
          <w:p w14:paraId="485F947A" w14:textId="77777777" w:rsidR="002C0FD9" w:rsidRPr="00CA25CF" w:rsidRDefault="002C0FD9" w:rsidP="00CA25CF">
            <w:pPr>
              <w:rPr>
                <w:rFonts w:cs="Arial"/>
                <w:color w:val="FF0000"/>
                <w:sz w:val="21"/>
                <w:szCs w:val="21"/>
              </w:rPr>
            </w:pPr>
          </w:p>
        </w:tc>
        <w:tc>
          <w:tcPr>
            <w:tcW w:w="217" w:type="dxa"/>
          </w:tcPr>
          <w:p w14:paraId="15CFE6FD" w14:textId="77777777" w:rsidR="002C0FD9" w:rsidRPr="00CA25CF" w:rsidRDefault="002C0FD9" w:rsidP="00CA25CF">
            <w:pPr>
              <w:rPr>
                <w:rFonts w:cs="Arial"/>
                <w:color w:val="FF0000"/>
                <w:sz w:val="21"/>
                <w:szCs w:val="21"/>
              </w:rPr>
            </w:pPr>
          </w:p>
        </w:tc>
        <w:tc>
          <w:tcPr>
            <w:tcW w:w="217" w:type="dxa"/>
          </w:tcPr>
          <w:p w14:paraId="63DD2324" w14:textId="77777777" w:rsidR="002C0FD9" w:rsidRPr="00CA25CF" w:rsidRDefault="002C0FD9" w:rsidP="00CA25CF">
            <w:pPr>
              <w:rPr>
                <w:rFonts w:cs="Arial"/>
                <w:color w:val="FF0000"/>
                <w:sz w:val="21"/>
                <w:szCs w:val="21"/>
              </w:rPr>
            </w:pPr>
          </w:p>
        </w:tc>
        <w:tc>
          <w:tcPr>
            <w:tcW w:w="217" w:type="dxa"/>
          </w:tcPr>
          <w:p w14:paraId="359A14DD" w14:textId="77777777" w:rsidR="002C0FD9" w:rsidRPr="00CA25CF" w:rsidRDefault="002C0FD9" w:rsidP="00CA25CF">
            <w:pPr>
              <w:rPr>
                <w:rFonts w:cs="Arial"/>
                <w:color w:val="FF0000"/>
                <w:sz w:val="21"/>
                <w:szCs w:val="21"/>
              </w:rPr>
            </w:pPr>
          </w:p>
        </w:tc>
        <w:tc>
          <w:tcPr>
            <w:tcW w:w="217" w:type="dxa"/>
          </w:tcPr>
          <w:p w14:paraId="731F34A1" w14:textId="77777777" w:rsidR="002C0FD9" w:rsidRPr="00CA25CF" w:rsidRDefault="002C0FD9" w:rsidP="00CA25CF">
            <w:pPr>
              <w:rPr>
                <w:rFonts w:cs="Arial"/>
                <w:color w:val="FF0000"/>
                <w:sz w:val="21"/>
                <w:szCs w:val="21"/>
              </w:rPr>
            </w:pPr>
          </w:p>
        </w:tc>
        <w:tc>
          <w:tcPr>
            <w:tcW w:w="217" w:type="dxa"/>
          </w:tcPr>
          <w:p w14:paraId="0F32F63C" w14:textId="77777777" w:rsidR="002C0FD9" w:rsidRPr="00CA25CF" w:rsidRDefault="002C0FD9" w:rsidP="00CA25CF">
            <w:pPr>
              <w:rPr>
                <w:rFonts w:cs="Arial"/>
                <w:color w:val="FF0000"/>
                <w:sz w:val="21"/>
                <w:szCs w:val="21"/>
              </w:rPr>
            </w:pPr>
          </w:p>
        </w:tc>
        <w:tc>
          <w:tcPr>
            <w:tcW w:w="217" w:type="dxa"/>
          </w:tcPr>
          <w:p w14:paraId="0F97A88A" w14:textId="77C05985" w:rsidR="002C0FD9" w:rsidRPr="00CA25CF" w:rsidRDefault="002C0FD9" w:rsidP="00CA25CF">
            <w:pPr>
              <w:rPr>
                <w:rFonts w:cs="Arial"/>
                <w:color w:val="FF0000"/>
                <w:sz w:val="21"/>
                <w:szCs w:val="21"/>
              </w:rPr>
            </w:pPr>
          </w:p>
        </w:tc>
        <w:tc>
          <w:tcPr>
            <w:tcW w:w="217" w:type="dxa"/>
          </w:tcPr>
          <w:p w14:paraId="48296676" w14:textId="77777777" w:rsidR="002C0FD9" w:rsidRPr="00CA25CF" w:rsidRDefault="002C0FD9" w:rsidP="00CA25CF">
            <w:pPr>
              <w:rPr>
                <w:rFonts w:cs="Arial"/>
                <w:color w:val="FF0000"/>
                <w:sz w:val="21"/>
                <w:szCs w:val="21"/>
              </w:rPr>
            </w:pPr>
          </w:p>
        </w:tc>
        <w:tc>
          <w:tcPr>
            <w:tcW w:w="217" w:type="dxa"/>
          </w:tcPr>
          <w:p w14:paraId="774C9CC6" w14:textId="77777777" w:rsidR="002C0FD9" w:rsidRPr="00CA25CF" w:rsidRDefault="002C0FD9" w:rsidP="00CA25CF">
            <w:pPr>
              <w:rPr>
                <w:rFonts w:cs="Arial"/>
                <w:color w:val="FF0000"/>
                <w:sz w:val="21"/>
                <w:szCs w:val="21"/>
              </w:rPr>
            </w:pPr>
          </w:p>
        </w:tc>
        <w:tc>
          <w:tcPr>
            <w:tcW w:w="217" w:type="dxa"/>
          </w:tcPr>
          <w:p w14:paraId="512744F3" w14:textId="77777777" w:rsidR="002C0FD9" w:rsidRPr="00CA25CF" w:rsidRDefault="002C0FD9" w:rsidP="00CA25CF">
            <w:pPr>
              <w:rPr>
                <w:rFonts w:cs="Arial"/>
                <w:color w:val="FF0000"/>
                <w:sz w:val="21"/>
                <w:szCs w:val="21"/>
              </w:rPr>
            </w:pPr>
          </w:p>
        </w:tc>
        <w:tc>
          <w:tcPr>
            <w:tcW w:w="217" w:type="dxa"/>
          </w:tcPr>
          <w:p w14:paraId="6A8D0334" w14:textId="77777777" w:rsidR="002C0FD9" w:rsidRPr="00CA25CF" w:rsidRDefault="002C0FD9" w:rsidP="00CA25CF">
            <w:pPr>
              <w:rPr>
                <w:rFonts w:cs="Arial"/>
                <w:color w:val="FF0000"/>
                <w:sz w:val="21"/>
                <w:szCs w:val="21"/>
              </w:rPr>
            </w:pPr>
          </w:p>
        </w:tc>
        <w:tc>
          <w:tcPr>
            <w:tcW w:w="217" w:type="dxa"/>
          </w:tcPr>
          <w:p w14:paraId="3EC0D56E" w14:textId="77777777" w:rsidR="002C0FD9" w:rsidRPr="00CA25CF" w:rsidRDefault="002C0FD9" w:rsidP="00CA25CF">
            <w:pPr>
              <w:rPr>
                <w:rFonts w:cs="Arial"/>
                <w:color w:val="FF0000"/>
                <w:sz w:val="21"/>
                <w:szCs w:val="21"/>
              </w:rPr>
            </w:pPr>
          </w:p>
        </w:tc>
        <w:tc>
          <w:tcPr>
            <w:tcW w:w="217" w:type="dxa"/>
          </w:tcPr>
          <w:p w14:paraId="06C8BA40" w14:textId="77777777" w:rsidR="002C0FD9" w:rsidRPr="00CA25CF" w:rsidRDefault="002C0FD9" w:rsidP="00CA25CF">
            <w:pPr>
              <w:rPr>
                <w:rFonts w:cs="Arial"/>
                <w:color w:val="FF0000"/>
                <w:sz w:val="21"/>
                <w:szCs w:val="21"/>
              </w:rPr>
            </w:pPr>
          </w:p>
        </w:tc>
        <w:tc>
          <w:tcPr>
            <w:tcW w:w="217" w:type="dxa"/>
          </w:tcPr>
          <w:p w14:paraId="520A499F" w14:textId="77777777" w:rsidR="002C0FD9" w:rsidRPr="00CA25CF" w:rsidRDefault="002C0FD9" w:rsidP="00CA25CF">
            <w:pPr>
              <w:rPr>
                <w:rFonts w:cs="Arial"/>
                <w:color w:val="FF0000"/>
                <w:sz w:val="21"/>
                <w:szCs w:val="21"/>
              </w:rPr>
            </w:pPr>
          </w:p>
        </w:tc>
        <w:tc>
          <w:tcPr>
            <w:tcW w:w="217" w:type="dxa"/>
          </w:tcPr>
          <w:p w14:paraId="6FB732E6" w14:textId="77777777" w:rsidR="002C0FD9" w:rsidRPr="00CA25CF" w:rsidRDefault="002C0FD9" w:rsidP="00CA25CF">
            <w:pPr>
              <w:rPr>
                <w:rFonts w:cs="Arial"/>
                <w:color w:val="FF0000"/>
                <w:sz w:val="21"/>
                <w:szCs w:val="21"/>
              </w:rPr>
            </w:pPr>
          </w:p>
        </w:tc>
        <w:tc>
          <w:tcPr>
            <w:tcW w:w="217" w:type="dxa"/>
          </w:tcPr>
          <w:p w14:paraId="62288F19" w14:textId="77777777" w:rsidR="002C0FD9" w:rsidRPr="00CA25CF" w:rsidRDefault="002C0FD9" w:rsidP="00CA25CF">
            <w:pPr>
              <w:rPr>
                <w:rFonts w:cs="Arial"/>
                <w:color w:val="FF0000"/>
                <w:sz w:val="21"/>
                <w:szCs w:val="21"/>
              </w:rPr>
            </w:pPr>
          </w:p>
        </w:tc>
        <w:tc>
          <w:tcPr>
            <w:tcW w:w="217" w:type="dxa"/>
          </w:tcPr>
          <w:p w14:paraId="4906A15A" w14:textId="77777777" w:rsidR="002C0FD9" w:rsidRPr="00CA25CF" w:rsidRDefault="002C0FD9" w:rsidP="00CA25CF">
            <w:pPr>
              <w:rPr>
                <w:rFonts w:cs="Arial"/>
                <w:color w:val="FF0000"/>
                <w:sz w:val="21"/>
                <w:szCs w:val="21"/>
              </w:rPr>
            </w:pPr>
          </w:p>
        </w:tc>
        <w:tc>
          <w:tcPr>
            <w:tcW w:w="217" w:type="dxa"/>
          </w:tcPr>
          <w:p w14:paraId="1E68C96C" w14:textId="77777777" w:rsidR="002C0FD9" w:rsidRPr="00CA25CF" w:rsidRDefault="002C0FD9" w:rsidP="00CA25CF">
            <w:pPr>
              <w:rPr>
                <w:rFonts w:cs="Arial"/>
                <w:color w:val="FF0000"/>
                <w:sz w:val="21"/>
                <w:szCs w:val="21"/>
              </w:rPr>
            </w:pPr>
          </w:p>
        </w:tc>
        <w:tc>
          <w:tcPr>
            <w:tcW w:w="217" w:type="dxa"/>
          </w:tcPr>
          <w:p w14:paraId="3503F1E7" w14:textId="77777777" w:rsidR="002C0FD9" w:rsidRPr="00CA25CF" w:rsidRDefault="002C0FD9" w:rsidP="00CA25CF">
            <w:pPr>
              <w:rPr>
                <w:rFonts w:cs="Arial"/>
                <w:color w:val="FF0000"/>
                <w:sz w:val="21"/>
                <w:szCs w:val="21"/>
              </w:rPr>
            </w:pPr>
          </w:p>
        </w:tc>
        <w:tc>
          <w:tcPr>
            <w:tcW w:w="217" w:type="dxa"/>
          </w:tcPr>
          <w:p w14:paraId="7363F133" w14:textId="77777777" w:rsidR="002C0FD9" w:rsidRPr="00CA25CF" w:rsidRDefault="002C0FD9" w:rsidP="00CA25CF">
            <w:pPr>
              <w:rPr>
                <w:rFonts w:cs="Arial"/>
                <w:color w:val="FF0000"/>
                <w:sz w:val="21"/>
                <w:szCs w:val="21"/>
              </w:rPr>
            </w:pPr>
          </w:p>
        </w:tc>
        <w:tc>
          <w:tcPr>
            <w:tcW w:w="217" w:type="dxa"/>
          </w:tcPr>
          <w:p w14:paraId="5C2919E7" w14:textId="77777777" w:rsidR="002C0FD9" w:rsidRPr="00CA25CF" w:rsidRDefault="002C0FD9" w:rsidP="00CA25CF">
            <w:pPr>
              <w:rPr>
                <w:rFonts w:cs="Arial"/>
                <w:color w:val="FF0000"/>
                <w:sz w:val="21"/>
                <w:szCs w:val="21"/>
              </w:rPr>
            </w:pPr>
          </w:p>
        </w:tc>
        <w:tc>
          <w:tcPr>
            <w:tcW w:w="217" w:type="dxa"/>
          </w:tcPr>
          <w:p w14:paraId="2FD38DCF" w14:textId="77777777" w:rsidR="002C0FD9" w:rsidRPr="00CA25CF" w:rsidRDefault="002C0FD9" w:rsidP="00CA25CF">
            <w:pPr>
              <w:rPr>
                <w:rFonts w:cs="Arial"/>
                <w:color w:val="FF0000"/>
                <w:sz w:val="21"/>
                <w:szCs w:val="21"/>
              </w:rPr>
            </w:pPr>
          </w:p>
        </w:tc>
        <w:tc>
          <w:tcPr>
            <w:tcW w:w="217" w:type="dxa"/>
          </w:tcPr>
          <w:p w14:paraId="61F3FE56" w14:textId="77777777" w:rsidR="002C0FD9" w:rsidRPr="00CA25CF" w:rsidRDefault="002C0FD9" w:rsidP="00CA25CF">
            <w:pPr>
              <w:rPr>
                <w:rFonts w:cs="Arial"/>
                <w:color w:val="FF0000"/>
                <w:sz w:val="21"/>
                <w:szCs w:val="21"/>
              </w:rPr>
            </w:pPr>
          </w:p>
        </w:tc>
        <w:tc>
          <w:tcPr>
            <w:tcW w:w="217" w:type="dxa"/>
          </w:tcPr>
          <w:p w14:paraId="687115A9" w14:textId="77777777" w:rsidR="002C0FD9" w:rsidRPr="00CA25CF" w:rsidRDefault="002C0FD9" w:rsidP="00CA25CF">
            <w:pPr>
              <w:rPr>
                <w:rFonts w:cs="Arial"/>
                <w:color w:val="FF0000"/>
                <w:sz w:val="21"/>
                <w:szCs w:val="21"/>
              </w:rPr>
            </w:pPr>
          </w:p>
        </w:tc>
        <w:tc>
          <w:tcPr>
            <w:tcW w:w="217" w:type="dxa"/>
          </w:tcPr>
          <w:p w14:paraId="5558EE3A" w14:textId="77777777" w:rsidR="002C0FD9" w:rsidRPr="00CA25CF" w:rsidRDefault="002C0FD9" w:rsidP="00CA25CF">
            <w:pPr>
              <w:rPr>
                <w:rFonts w:cs="Arial"/>
                <w:color w:val="FF0000"/>
                <w:sz w:val="21"/>
                <w:szCs w:val="21"/>
              </w:rPr>
            </w:pPr>
          </w:p>
        </w:tc>
        <w:tc>
          <w:tcPr>
            <w:tcW w:w="217" w:type="dxa"/>
          </w:tcPr>
          <w:p w14:paraId="4FB80E3F" w14:textId="77777777" w:rsidR="002C0FD9" w:rsidRPr="00CA25CF" w:rsidRDefault="002C0FD9" w:rsidP="00CA25CF">
            <w:pPr>
              <w:rPr>
                <w:rFonts w:cs="Arial"/>
                <w:color w:val="FF0000"/>
                <w:sz w:val="21"/>
                <w:szCs w:val="21"/>
              </w:rPr>
            </w:pPr>
          </w:p>
        </w:tc>
        <w:tc>
          <w:tcPr>
            <w:tcW w:w="217" w:type="dxa"/>
          </w:tcPr>
          <w:p w14:paraId="6307654B" w14:textId="77777777" w:rsidR="002C0FD9" w:rsidRPr="00CA25CF" w:rsidRDefault="002C0FD9" w:rsidP="00CA25CF">
            <w:pPr>
              <w:rPr>
                <w:rFonts w:cs="Arial"/>
                <w:color w:val="FF0000"/>
                <w:sz w:val="21"/>
                <w:szCs w:val="21"/>
              </w:rPr>
            </w:pPr>
          </w:p>
        </w:tc>
        <w:tc>
          <w:tcPr>
            <w:tcW w:w="217" w:type="dxa"/>
          </w:tcPr>
          <w:p w14:paraId="2DC5E95B" w14:textId="77777777" w:rsidR="002C0FD9" w:rsidRPr="00CA25CF" w:rsidRDefault="002C0FD9" w:rsidP="00CA25CF">
            <w:pPr>
              <w:rPr>
                <w:rFonts w:cs="Arial"/>
                <w:color w:val="FF0000"/>
                <w:sz w:val="21"/>
                <w:szCs w:val="21"/>
              </w:rPr>
            </w:pPr>
          </w:p>
        </w:tc>
        <w:tc>
          <w:tcPr>
            <w:tcW w:w="217" w:type="dxa"/>
          </w:tcPr>
          <w:p w14:paraId="1C960C3F" w14:textId="77777777" w:rsidR="002C0FD9" w:rsidRPr="00CA25CF" w:rsidRDefault="002C0FD9" w:rsidP="00CA25CF">
            <w:pPr>
              <w:rPr>
                <w:rFonts w:cs="Arial"/>
                <w:color w:val="FF0000"/>
                <w:sz w:val="21"/>
                <w:szCs w:val="21"/>
              </w:rPr>
            </w:pPr>
          </w:p>
        </w:tc>
        <w:tc>
          <w:tcPr>
            <w:tcW w:w="217" w:type="dxa"/>
          </w:tcPr>
          <w:p w14:paraId="43608B9A" w14:textId="77777777" w:rsidR="002C0FD9" w:rsidRPr="00CA25CF" w:rsidRDefault="002C0FD9" w:rsidP="00CA25CF">
            <w:pPr>
              <w:rPr>
                <w:rFonts w:cs="Arial"/>
                <w:color w:val="FF0000"/>
                <w:sz w:val="21"/>
                <w:szCs w:val="21"/>
              </w:rPr>
            </w:pPr>
          </w:p>
        </w:tc>
        <w:tc>
          <w:tcPr>
            <w:tcW w:w="217" w:type="dxa"/>
          </w:tcPr>
          <w:p w14:paraId="69D86E0E" w14:textId="77777777" w:rsidR="002C0FD9" w:rsidRPr="00CA25CF" w:rsidRDefault="002C0FD9" w:rsidP="00CA25CF">
            <w:pPr>
              <w:rPr>
                <w:rFonts w:cs="Arial"/>
                <w:color w:val="FF0000"/>
                <w:sz w:val="21"/>
                <w:szCs w:val="21"/>
              </w:rPr>
            </w:pPr>
          </w:p>
        </w:tc>
        <w:tc>
          <w:tcPr>
            <w:tcW w:w="217" w:type="dxa"/>
          </w:tcPr>
          <w:p w14:paraId="2F030A7F" w14:textId="77777777" w:rsidR="002C0FD9" w:rsidRPr="00CA25CF" w:rsidRDefault="002C0FD9" w:rsidP="00CA25CF">
            <w:pPr>
              <w:rPr>
                <w:rFonts w:cs="Arial"/>
                <w:color w:val="FF0000"/>
                <w:sz w:val="21"/>
                <w:szCs w:val="21"/>
              </w:rPr>
            </w:pPr>
          </w:p>
        </w:tc>
        <w:tc>
          <w:tcPr>
            <w:tcW w:w="217" w:type="dxa"/>
          </w:tcPr>
          <w:p w14:paraId="22B663D5" w14:textId="77777777" w:rsidR="002C0FD9" w:rsidRPr="00CA25CF" w:rsidRDefault="002C0FD9" w:rsidP="00CA25CF">
            <w:pPr>
              <w:rPr>
                <w:rFonts w:cs="Arial"/>
                <w:color w:val="FF0000"/>
                <w:sz w:val="21"/>
                <w:szCs w:val="21"/>
              </w:rPr>
            </w:pPr>
          </w:p>
        </w:tc>
        <w:tc>
          <w:tcPr>
            <w:tcW w:w="217" w:type="dxa"/>
          </w:tcPr>
          <w:p w14:paraId="4A20B6F9" w14:textId="77777777" w:rsidR="002C0FD9" w:rsidRPr="00CA25CF" w:rsidRDefault="002C0FD9" w:rsidP="00CA25CF">
            <w:pPr>
              <w:rPr>
                <w:rFonts w:cs="Arial"/>
                <w:color w:val="FF0000"/>
                <w:sz w:val="21"/>
                <w:szCs w:val="21"/>
              </w:rPr>
            </w:pPr>
          </w:p>
        </w:tc>
      </w:tr>
      <w:tr w:rsidR="002C0FD9" w:rsidRPr="00A16219" w14:paraId="41B50854" w14:textId="667E480E" w:rsidTr="002C0FD9">
        <w:trPr>
          <w:trHeight w:val="635"/>
        </w:trPr>
        <w:tc>
          <w:tcPr>
            <w:tcW w:w="515" w:type="dxa"/>
          </w:tcPr>
          <w:p w14:paraId="029E0168" w14:textId="77777777" w:rsidR="002C0FD9" w:rsidRPr="00CA25CF" w:rsidRDefault="002C0FD9" w:rsidP="00CA25CF">
            <w:pPr>
              <w:rPr>
                <w:rFonts w:cs="Arial"/>
                <w:color w:val="FF0000"/>
                <w:sz w:val="21"/>
                <w:szCs w:val="21"/>
              </w:rPr>
            </w:pPr>
          </w:p>
        </w:tc>
        <w:tc>
          <w:tcPr>
            <w:tcW w:w="217" w:type="dxa"/>
          </w:tcPr>
          <w:p w14:paraId="4EBE8991" w14:textId="77777777" w:rsidR="002C0FD9" w:rsidRPr="00CA25CF" w:rsidRDefault="002C0FD9" w:rsidP="00CA25CF">
            <w:pPr>
              <w:rPr>
                <w:rFonts w:cs="Arial"/>
                <w:color w:val="FF0000"/>
                <w:sz w:val="21"/>
                <w:szCs w:val="21"/>
              </w:rPr>
            </w:pPr>
          </w:p>
        </w:tc>
        <w:tc>
          <w:tcPr>
            <w:tcW w:w="217" w:type="dxa"/>
          </w:tcPr>
          <w:p w14:paraId="02A89481" w14:textId="1F95BE9E" w:rsidR="002C0FD9" w:rsidRPr="00CA25CF" w:rsidRDefault="002C0FD9" w:rsidP="00CA25CF">
            <w:pPr>
              <w:rPr>
                <w:rFonts w:cs="Arial"/>
                <w:color w:val="FF0000"/>
                <w:sz w:val="21"/>
                <w:szCs w:val="21"/>
              </w:rPr>
            </w:pPr>
          </w:p>
        </w:tc>
        <w:tc>
          <w:tcPr>
            <w:tcW w:w="217" w:type="dxa"/>
          </w:tcPr>
          <w:p w14:paraId="1855C24E" w14:textId="77777777" w:rsidR="002C0FD9" w:rsidRPr="00CA25CF" w:rsidRDefault="002C0FD9" w:rsidP="00CA25CF">
            <w:pPr>
              <w:rPr>
                <w:rFonts w:cs="Arial"/>
                <w:color w:val="FF0000"/>
                <w:sz w:val="21"/>
                <w:szCs w:val="21"/>
              </w:rPr>
            </w:pPr>
          </w:p>
        </w:tc>
        <w:tc>
          <w:tcPr>
            <w:tcW w:w="217" w:type="dxa"/>
          </w:tcPr>
          <w:p w14:paraId="2D0BDF9B" w14:textId="77777777" w:rsidR="002C0FD9" w:rsidRPr="00CA25CF" w:rsidRDefault="002C0FD9" w:rsidP="00CA25CF">
            <w:pPr>
              <w:rPr>
                <w:rFonts w:cs="Arial"/>
                <w:color w:val="FF0000"/>
                <w:sz w:val="21"/>
                <w:szCs w:val="21"/>
              </w:rPr>
            </w:pPr>
          </w:p>
        </w:tc>
        <w:tc>
          <w:tcPr>
            <w:tcW w:w="217" w:type="dxa"/>
          </w:tcPr>
          <w:p w14:paraId="3B8E1525" w14:textId="77777777" w:rsidR="002C0FD9" w:rsidRPr="00CA25CF" w:rsidRDefault="002C0FD9" w:rsidP="00CA25CF">
            <w:pPr>
              <w:rPr>
                <w:rFonts w:cs="Arial"/>
                <w:color w:val="FF0000"/>
                <w:sz w:val="21"/>
                <w:szCs w:val="21"/>
              </w:rPr>
            </w:pPr>
          </w:p>
        </w:tc>
        <w:tc>
          <w:tcPr>
            <w:tcW w:w="217" w:type="dxa"/>
          </w:tcPr>
          <w:p w14:paraId="54CDF9F4" w14:textId="77777777" w:rsidR="002C0FD9" w:rsidRPr="00CA25CF" w:rsidRDefault="002C0FD9" w:rsidP="00CA25CF">
            <w:pPr>
              <w:rPr>
                <w:rFonts w:cs="Arial"/>
                <w:color w:val="FF0000"/>
                <w:sz w:val="21"/>
                <w:szCs w:val="21"/>
              </w:rPr>
            </w:pPr>
          </w:p>
        </w:tc>
        <w:tc>
          <w:tcPr>
            <w:tcW w:w="217" w:type="dxa"/>
          </w:tcPr>
          <w:p w14:paraId="7CFAEF23" w14:textId="77777777" w:rsidR="002C0FD9" w:rsidRPr="00CA25CF" w:rsidRDefault="002C0FD9" w:rsidP="00CA25CF">
            <w:pPr>
              <w:rPr>
                <w:rFonts w:cs="Arial"/>
                <w:color w:val="FF0000"/>
                <w:sz w:val="21"/>
                <w:szCs w:val="21"/>
              </w:rPr>
            </w:pPr>
          </w:p>
        </w:tc>
        <w:tc>
          <w:tcPr>
            <w:tcW w:w="217" w:type="dxa"/>
          </w:tcPr>
          <w:p w14:paraId="173BFBFD" w14:textId="77777777" w:rsidR="002C0FD9" w:rsidRPr="00CA25CF" w:rsidRDefault="002C0FD9" w:rsidP="00CA25CF">
            <w:pPr>
              <w:rPr>
                <w:rFonts w:cs="Arial"/>
                <w:color w:val="FF0000"/>
                <w:sz w:val="21"/>
                <w:szCs w:val="21"/>
              </w:rPr>
            </w:pPr>
          </w:p>
        </w:tc>
        <w:tc>
          <w:tcPr>
            <w:tcW w:w="217" w:type="dxa"/>
          </w:tcPr>
          <w:p w14:paraId="733ED7EC" w14:textId="77777777" w:rsidR="002C0FD9" w:rsidRPr="00CA25CF" w:rsidRDefault="002C0FD9" w:rsidP="00CA25CF">
            <w:pPr>
              <w:rPr>
                <w:rFonts w:cs="Arial"/>
                <w:color w:val="FF0000"/>
                <w:sz w:val="21"/>
                <w:szCs w:val="21"/>
              </w:rPr>
            </w:pPr>
          </w:p>
        </w:tc>
        <w:tc>
          <w:tcPr>
            <w:tcW w:w="217" w:type="dxa"/>
          </w:tcPr>
          <w:p w14:paraId="4CEE6FB8" w14:textId="77777777" w:rsidR="002C0FD9" w:rsidRPr="00CA25CF" w:rsidRDefault="002C0FD9" w:rsidP="00CA25CF">
            <w:pPr>
              <w:rPr>
                <w:rFonts w:cs="Arial"/>
                <w:color w:val="FF0000"/>
                <w:sz w:val="21"/>
                <w:szCs w:val="21"/>
              </w:rPr>
            </w:pPr>
          </w:p>
        </w:tc>
        <w:tc>
          <w:tcPr>
            <w:tcW w:w="217" w:type="dxa"/>
          </w:tcPr>
          <w:p w14:paraId="7240D0C4" w14:textId="77777777" w:rsidR="002C0FD9" w:rsidRPr="00CA25CF" w:rsidRDefault="002C0FD9" w:rsidP="00CA25CF">
            <w:pPr>
              <w:rPr>
                <w:rFonts w:cs="Arial"/>
                <w:color w:val="FF0000"/>
                <w:sz w:val="21"/>
                <w:szCs w:val="21"/>
              </w:rPr>
            </w:pPr>
          </w:p>
        </w:tc>
        <w:tc>
          <w:tcPr>
            <w:tcW w:w="217" w:type="dxa"/>
          </w:tcPr>
          <w:p w14:paraId="3B95D0C3" w14:textId="77777777" w:rsidR="002C0FD9" w:rsidRPr="00CA25CF" w:rsidRDefault="002C0FD9" w:rsidP="00CA25CF">
            <w:pPr>
              <w:rPr>
                <w:rFonts w:cs="Arial"/>
                <w:color w:val="FF0000"/>
                <w:sz w:val="21"/>
                <w:szCs w:val="21"/>
              </w:rPr>
            </w:pPr>
          </w:p>
        </w:tc>
        <w:tc>
          <w:tcPr>
            <w:tcW w:w="217" w:type="dxa"/>
          </w:tcPr>
          <w:p w14:paraId="7D768F58" w14:textId="77777777" w:rsidR="002C0FD9" w:rsidRPr="00CA25CF" w:rsidRDefault="002C0FD9" w:rsidP="00CA25CF">
            <w:pPr>
              <w:rPr>
                <w:rFonts w:cs="Arial"/>
                <w:color w:val="FF0000"/>
                <w:sz w:val="21"/>
                <w:szCs w:val="21"/>
              </w:rPr>
            </w:pPr>
          </w:p>
        </w:tc>
        <w:tc>
          <w:tcPr>
            <w:tcW w:w="217" w:type="dxa"/>
          </w:tcPr>
          <w:p w14:paraId="48662040" w14:textId="77777777" w:rsidR="002C0FD9" w:rsidRPr="00CA25CF" w:rsidRDefault="002C0FD9" w:rsidP="00CA25CF">
            <w:pPr>
              <w:rPr>
                <w:rFonts w:cs="Arial"/>
                <w:color w:val="FF0000"/>
                <w:sz w:val="21"/>
                <w:szCs w:val="21"/>
              </w:rPr>
            </w:pPr>
          </w:p>
        </w:tc>
        <w:tc>
          <w:tcPr>
            <w:tcW w:w="217" w:type="dxa"/>
          </w:tcPr>
          <w:p w14:paraId="14C4BA0A" w14:textId="2B3123ED" w:rsidR="002C0FD9" w:rsidRPr="00CA25CF" w:rsidRDefault="002C0FD9" w:rsidP="00CA25CF">
            <w:pPr>
              <w:rPr>
                <w:rFonts w:cs="Arial"/>
                <w:color w:val="FF0000"/>
                <w:sz w:val="21"/>
                <w:szCs w:val="21"/>
              </w:rPr>
            </w:pPr>
          </w:p>
        </w:tc>
        <w:tc>
          <w:tcPr>
            <w:tcW w:w="217" w:type="dxa"/>
          </w:tcPr>
          <w:p w14:paraId="5A21C27C" w14:textId="77777777" w:rsidR="002C0FD9" w:rsidRPr="00CA25CF" w:rsidRDefault="002C0FD9" w:rsidP="00CA25CF">
            <w:pPr>
              <w:rPr>
                <w:rFonts w:cs="Arial"/>
                <w:color w:val="FF0000"/>
                <w:sz w:val="21"/>
                <w:szCs w:val="21"/>
              </w:rPr>
            </w:pPr>
          </w:p>
        </w:tc>
        <w:tc>
          <w:tcPr>
            <w:tcW w:w="217" w:type="dxa"/>
          </w:tcPr>
          <w:p w14:paraId="5C2EF95E" w14:textId="77777777" w:rsidR="002C0FD9" w:rsidRPr="00CA25CF" w:rsidRDefault="002C0FD9" w:rsidP="00CA25CF">
            <w:pPr>
              <w:rPr>
                <w:rFonts w:cs="Arial"/>
                <w:color w:val="FF0000"/>
                <w:sz w:val="21"/>
                <w:szCs w:val="21"/>
              </w:rPr>
            </w:pPr>
          </w:p>
        </w:tc>
        <w:tc>
          <w:tcPr>
            <w:tcW w:w="217" w:type="dxa"/>
          </w:tcPr>
          <w:p w14:paraId="112181B0" w14:textId="77777777" w:rsidR="002C0FD9" w:rsidRPr="00CA25CF" w:rsidRDefault="002C0FD9" w:rsidP="00CA25CF">
            <w:pPr>
              <w:rPr>
                <w:rFonts w:cs="Arial"/>
                <w:color w:val="FF0000"/>
                <w:sz w:val="21"/>
                <w:szCs w:val="21"/>
              </w:rPr>
            </w:pPr>
          </w:p>
        </w:tc>
        <w:tc>
          <w:tcPr>
            <w:tcW w:w="217" w:type="dxa"/>
          </w:tcPr>
          <w:p w14:paraId="4D78FE0D" w14:textId="77777777" w:rsidR="002C0FD9" w:rsidRPr="00CA25CF" w:rsidRDefault="002C0FD9" w:rsidP="00CA25CF">
            <w:pPr>
              <w:rPr>
                <w:rFonts w:cs="Arial"/>
                <w:color w:val="FF0000"/>
                <w:sz w:val="21"/>
                <w:szCs w:val="21"/>
              </w:rPr>
            </w:pPr>
          </w:p>
        </w:tc>
        <w:tc>
          <w:tcPr>
            <w:tcW w:w="217" w:type="dxa"/>
          </w:tcPr>
          <w:p w14:paraId="35B70CA5" w14:textId="77777777" w:rsidR="002C0FD9" w:rsidRPr="00CA25CF" w:rsidRDefault="002C0FD9" w:rsidP="00CA25CF">
            <w:pPr>
              <w:rPr>
                <w:rFonts w:cs="Arial"/>
                <w:color w:val="FF0000"/>
                <w:sz w:val="21"/>
                <w:szCs w:val="21"/>
              </w:rPr>
            </w:pPr>
          </w:p>
        </w:tc>
        <w:tc>
          <w:tcPr>
            <w:tcW w:w="217" w:type="dxa"/>
          </w:tcPr>
          <w:p w14:paraId="4A6CDA33" w14:textId="77777777" w:rsidR="002C0FD9" w:rsidRPr="00CA25CF" w:rsidRDefault="002C0FD9" w:rsidP="00CA25CF">
            <w:pPr>
              <w:rPr>
                <w:rFonts w:cs="Arial"/>
                <w:color w:val="FF0000"/>
                <w:sz w:val="21"/>
                <w:szCs w:val="21"/>
              </w:rPr>
            </w:pPr>
          </w:p>
        </w:tc>
        <w:tc>
          <w:tcPr>
            <w:tcW w:w="217" w:type="dxa"/>
          </w:tcPr>
          <w:p w14:paraId="159F3860" w14:textId="77777777" w:rsidR="002C0FD9" w:rsidRPr="00CA25CF" w:rsidRDefault="002C0FD9" w:rsidP="00CA25CF">
            <w:pPr>
              <w:rPr>
                <w:rFonts w:cs="Arial"/>
                <w:color w:val="FF0000"/>
                <w:sz w:val="21"/>
                <w:szCs w:val="21"/>
              </w:rPr>
            </w:pPr>
          </w:p>
        </w:tc>
        <w:tc>
          <w:tcPr>
            <w:tcW w:w="217" w:type="dxa"/>
          </w:tcPr>
          <w:p w14:paraId="184274F2" w14:textId="77777777" w:rsidR="002C0FD9" w:rsidRPr="00CA25CF" w:rsidRDefault="002C0FD9" w:rsidP="00CA25CF">
            <w:pPr>
              <w:rPr>
                <w:rFonts w:cs="Arial"/>
                <w:color w:val="FF0000"/>
                <w:sz w:val="21"/>
                <w:szCs w:val="21"/>
              </w:rPr>
            </w:pPr>
          </w:p>
        </w:tc>
        <w:tc>
          <w:tcPr>
            <w:tcW w:w="217" w:type="dxa"/>
          </w:tcPr>
          <w:p w14:paraId="488D38FC" w14:textId="77777777" w:rsidR="002C0FD9" w:rsidRPr="00CA25CF" w:rsidRDefault="002C0FD9" w:rsidP="00CA25CF">
            <w:pPr>
              <w:rPr>
                <w:rFonts w:cs="Arial"/>
                <w:color w:val="FF0000"/>
                <w:sz w:val="21"/>
                <w:szCs w:val="21"/>
              </w:rPr>
            </w:pPr>
          </w:p>
        </w:tc>
        <w:tc>
          <w:tcPr>
            <w:tcW w:w="217" w:type="dxa"/>
          </w:tcPr>
          <w:p w14:paraId="6CD009EA" w14:textId="77777777" w:rsidR="002C0FD9" w:rsidRPr="00CA25CF" w:rsidRDefault="002C0FD9" w:rsidP="00CA25CF">
            <w:pPr>
              <w:rPr>
                <w:rFonts w:cs="Arial"/>
                <w:color w:val="FF0000"/>
                <w:sz w:val="21"/>
                <w:szCs w:val="21"/>
              </w:rPr>
            </w:pPr>
          </w:p>
        </w:tc>
        <w:tc>
          <w:tcPr>
            <w:tcW w:w="217" w:type="dxa"/>
          </w:tcPr>
          <w:p w14:paraId="04194535" w14:textId="77777777" w:rsidR="002C0FD9" w:rsidRPr="00CA25CF" w:rsidRDefault="002C0FD9" w:rsidP="00CA25CF">
            <w:pPr>
              <w:rPr>
                <w:rFonts w:cs="Arial"/>
                <w:color w:val="FF0000"/>
                <w:sz w:val="21"/>
                <w:szCs w:val="21"/>
              </w:rPr>
            </w:pPr>
          </w:p>
        </w:tc>
        <w:tc>
          <w:tcPr>
            <w:tcW w:w="217" w:type="dxa"/>
          </w:tcPr>
          <w:p w14:paraId="5880A4A5" w14:textId="77777777" w:rsidR="002C0FD9" w:rsidRPr="00CA25CF" w:rsidRDefault="002C0FD9" w:rsidP="00CA25CF">
            <w:pPr>
              <w:rPr>
                <w:rFonts w:cs="Arial"/>
                <w:color w:val="FF0000"/>
                <w:sz w:val="21"/>
                <w:szCs w:val="21"/>
              </w:rPr>
            </w:pPr>
          </w:p>
        </w:tc>
        <w:tc>
          <w:tcPr>
            <w:tcW w:w="217" w:type="dxa"/>
          </w:tcPr>
          <w:p w14:paraId="5A393617" w14:textId="77777777" w:rsidR="002C0FD9" w:rsidRPr="00CA25CF" w:rsidRDefault="002C0FD9" w:rsidP="00CA25CF">
            <w:pPr>
              <w:rPr>
                <w:rFonts w:cs="Arial"/>
                <w:color w:val="FF0000"/>
                <w:sz w:val="21"/>
                <w:szCs w:val="21"/>
              </w:rPr>
            </w:pPr>
          </w:p>
        </w:tc>
        <w:tc>
          <w:tcPr>
            <w:tcW w:w="217" w:type="dxa"/>
          </w:tcPr>
          <w:p w14:paraId="5FDCFCA0" w14:textId="77777777" w:rsidR="002C0FD9" w:rsidRPr="00CA25CF" w:rsidRDefault="002C0FD9" w:rsidP="00CA25CF">
            <w:pPr>
              <w:rPr>
                <w:rFonts w:cs="Arial"/>
                <w:color w:val="FF0000"/>
                <w:sz w:val="21"/>
                <w:szCs w:val="21"/>
              </w:rPr>
            </w:pPr>
          </w:p>
        </w:tc>
        <w:tc>
          <w:tcPr>
            <w:tcW w:w="217" w:type="dxa"/>
          </w:tcPr>
          <w:p w14:paraId="3BD47206" w14:textId="77777777" w:rsidR="002C0FD9" w:rsidRPr="00CA25CF" w:rsidRDefault="002C0FD9" w:rsidP="00CA25CF">
            <w:pPr>
              <w:rPr>
                <w:rFonts w:cs="Arial"/>
                <w:color w:val="FF0000"/>
                <w:sz w:val="21"/>
                <w:szCs w:val="21"/>
              </w:rPr>
            </w:pPr>
          </w:p>
        </w:tc>
        <w:tc>
          <w:tcPr>
            <w:tcW w:w="217" w:type="dxa"/>
          </w:tcPr>
          <w:p w14:paraId="6027193C" w14:textId="77777777" w:rsidR="002C0FD9" w:rsidRPr="00CA25CF" w:rsidRDefault="002C0FD9" w:rsidP="00CA25CF">
            <w:pPr>
              <w:rPr>
                <w:rFonts w:cs="Arial"/>
                <w:color w:val="FF0000"/>
                <w:sz w:val="21"/>
                <w:szCs w:val="21"/>
              </w:rPr>
            </w:pPr>
          </w:p>
        </w:tc>
        <w:tc>
          <w:tcPr>
            <w:tcW w:w="217" w:type="dxa"/>
          </w:tcPr>
          <w:p w14:paraId="56FFF075" w14:textId="77777777" w:rsidR="002C0FD9" w:rsidRPr="00CA25CF" w:rsidRDefault="002C0FD9" w:rsidP="00CA25CF">
            <w:pPr>
              <w:rPr>
                <w:rFonts w:cs="Arial"/>
                <w:color w:val="FF0000"/>
                <w:sz w:val="21"/>
                <w:szCs w:val="21"/>
              </w:rPr>
            </w:pPr>
          </w:p>
        </w:tc>
        <w:tc>
          <w:tcPr>
            <w:tcW w:w="217" w:type="dxa"/>
          </w:tcPr>
          <w:p w14:paraId="33B8944B" w14:textId="77777777" w:rsidR="002C0FD9" w:rsidRPr="00CA25CF" w:rsidRDefault="002C0FD9" w:rsidP="00CA25CF">
            <w:pPr>
              <w:rPr>
                <w:rFonts w:cs="Arial"/>
                <w:color w:val="FF0000"/>
                <w:sz w:val="21"/>
                <w:szCs w:val="21"/>
              </w:rPr>
            </w:pPr>
          </w:p>
        </w:tc>
        <w:tc>
          <w:tcPr>
            <w:tcW w:w="217" w:type="dxa"/>
          </w:tcPr>
          <w:p w14:paraId="4B1DC847" w14:textId="77777777" w:rsidR="002C0FD9" w:rsidRPr="00CA25CF" w:rsidRDefault="002C0FD9" w:rsidP="00CA25CF">
            <w:pPr>
              <w:rPr>
                <w:rFonts w:cs="Arial"/>
                <w:color w:val="FF0000"/>
                <w:sz w:val="21"/>
                <w:szCs w:val="21"/>
              </w:rPr>
            </w:pPr>
          </w:p>
        </w:tc>
        <w:tc>
          <w:tcPr>
            <w:tcW w:w="217" w:type="dxa"/>
          </w:tcPr>
          <w:p w14:paraId="50992D20" w14:textId="77777777" w:rsidR="002C0FD9" w:rsidRPr="00CA25CF" w:rsidRDefault="002C0FD9" w:rsidP="00CA25CF">
            <w:pPr>
              <w:rPr>
                <w:rFonts w:cs="Arial"/>
                <w:color w:val="FF0000"/>
                <w:sz w:val="21"/>
                <w:szCs w:val="21"/>
              </w:rPr>
            </w:pPr>
          </w:p>
        </w:tc>
        <w:tc>
          <w:tcPr>
            <w:tcW w:w="217" w:type="dxa"/>
          </w:tcPr>
          <w:p w14:paraId="1F64FC98" w14:textId="77777777" w:rsidR="002C0FD9" w:rsidRPr="00CA25CF" w:rsidRDefault="002C0FD9" w:rsidP="00CA25CF">
            <w:pPr>
              <w:rPr>
                <w:rFonts w:cs="Arial"/>
                <w:color w:val="FF0000"/>
                <w:sz w:val="21"/>
                <w:szCs w:val="21"/>
              </w:rPr>
            </w:pPr>
          </w:p>
        </w:tc>
        <w:tc>
          <w:tcPr>
            <w:tcW w:w="217" w:type="dxa"/>
          </w:tcPr>
          <w:p w14:paraId="003B1024" w14:textId="77777777" w:rsidR="002C0FD9" w:rsidRPr="00CA25CF" w:rsidRDefault="002C0FD9" w:rsidP="00CA25CF">
            <w:pPr>
              <w:rPr>
                <w:rFonts w:cs="Arial"/>
                <w:color w:val="FF0000"/>
                <w:sz w:val="21"/>
                <w:szCs w:val="21"/>
              </w:rPr>
            </w:pPr>
          </w:p>
        </w:tc>
        <w:tc>
          <w:tcPr>
            <w:tcW w:w="217" w:type="dxa"/>
          </w:tcPr>
          <w:p w14:paraId="74E6DC0A" w14:textId="77777777" w:rsidR="002C0FD9" w:rsidRPr="00CA25CF" w:rsidRDefault="002C0FD9" w:rsidP="00CA25CF">
            <w:pPr>
              <w:rPr>
                <w:rFonts w:cs="Arial"/>
                <w:color w:val="FF0000"/>
                <w:sz w:val="21"/>
                <w:szCs w:val="21"/>
              </w:rPr>
            </w:pPr>
          </w:p>
        </w:tc>
        <w:tc>
          <w:tcPr>
            <w:tcW w:w="217" w:type="dxa"/>
          </w:tcPr>
          <w:p w14:paraId="579456DB" w14:textId="77777777" w:rsidR="002C0FD9" w:rsidRPr="00CA25CF" w:rsidRDefault="002C0FD9" w:rsidP="00CA25CF">
            <w:pPr>
              <w:rPr>
                <w:rFonts w:cs="Arial"/>
                <w:color w:val="FF0000"/>
                <w:sz w:val="21"/>
                <w:szCs w:val="21"/>
              </w:rPr>
            </w:pPr>
          </w:p>
        </w:tc>
        <w:tc>
          <w:tcPr>
            <w:tcW w:w="217" w:type="dxa"/>
          </w:tcPr>
          <w:p w14:paraId="70D4F4EF" w14:textId="77777777" w:rsidR="002C0FD9" w:rsidRPr="00CA25CF" w:rsidRDefault="002C0FD9" w:rsidP="00CA25CF">
            <w:pPr>
              <w:rPr>
                <w:rFonts w:cs="Arial"/>
                <w:color w:val="FF0000"/>
                <w:sz w:val="21"/>
                <w:szCs w:val="21"/>
              </w:rPr>
            </w:pPr>
          </w:p>
        </w:tc>
        <w:tc>
          <w:tcPr>
            <w:tcW w:w="217" w:type="dxa"/>
          </w:tcPr>
          <w:p w14:paraId="34C56BD0" w14:textId="77777777" w:rsidR="002C0FD9" w:rsidRPr="00CA25CF" w:rsidRDefault="002C0FD9" w:rsidP="00CA25CF">
            <w:pPr>
              <w:rPr>
                <w:rFonts w:cs="Arial"/>
                <w:color w:val="FF0000"/>
                <w:sz w:val="21"/>
                <w:szCs w:val="21"/>
              </w:rPr>
            </w:pPr>
          </w:p>
        </w:tc>
        <w:tc>
          <w:tcPr>
            <w:tcW w:w="217" w:type="dxa"/>
          </w:tcPr>
          <w:p w14:paraId="14C5CF20" w14:textId="77777777" w:rsidR="002C0FD9" w:rsidRPr="00CA25CF" w:rsidRDefault="002C0FD9" w:rsidP="00CA25CF">
            <w:pPr>
              <w:rPr>
                <w:rFonts w:cs="Arial"/>
                <w:color w:val="FF0000"/>
                <w:sz w:val="21"/>
                <w:szCs w:val="21"/>
              </w:rPr>
            </w:pPr>
          </w:p>
        </w:tc>
      </w:tr>
      <w:tr w:rsidR="002C0FD9" w:rsidRPr="00A16219" w14:paraId="5AF9EF63" w14:textId="44B73007" w:rsidTr="002C0FD9">
        <w:trPr>
          <w:trHeight w:val="635"/>
        </w:trPr>
        <w:tc>
          <w:tcPr>
            <w:tcW w:w="515" w:type="dxa"/>
          </w:tcPr>
          <w:p w14:paraId="590D46AC" w14:textId="77777777" w:rsidR="002C0FD9" w:rsidRPr="00CA25CF" w:rsidRDefault="002C0FD9" w:rsidP="00CA25CF">
            <w:pPr>
              <w:rPr>
                <w:rFonts w:cs="Arial"/>
                <w:color w:val="FF0000"/>
                <w:sz w:val="21"/>
                <w:szCs w:val="21"/>
              </w:rPr>
            </w:pPr>
          </w:p>
        </w:tc>
        <w:tc>
          <w:tcPr>
            <w:tcW w:w="217" w:type="dxa"/>
          </w:tcPr>
          <w:p w14:paraId="4E0FEF6B" w14:textId="77777777" w:rsidR="002C0FD9" w:rsidRPr="00CA25CF" w:rsidRDefault="002C0FD9" w:rsidP="00CA25CF">
            <w:pPr>
              <w:rPr>
                <w:rFonts w:cs="Arial"/>
                <w:color w:val="FF0000"/>
                <w:sz w:val="21"/>
                <w:szCs w:val="21"/>
              </w:rPr>
            </w:pPr>
          </w:p>
        </w:tc>
        <w:tc>
          <w:tcPr>
            <w:tcW w:w="217" w:type="dxa"/>
          </w:tcPr>
          <w:p w14:paraId="6D5D0B40" w14:textId="61E94BDB" w:rsidR="002C0FD9" w:rsidRPr="00CA25CF" w:rsidRDefault="002C0FD9" w:rsidP="00CA25CF">
            <w:pPr>
              <w:rPr>
                <w:rFonts w:cs="Arial"/>
                <w:color w:val="FF0000"/>
                <w:sz w:val="21"/>
                <w:szCs w:val="21"/>
              </w:rPr>
            </w:pPr>
          </w:p>
        </w:tc>
        <w:tc>
          <w:tcPr>
            <w:tcW w:w="217" w:type="dxa"/>
          </w:tcPr>
          <w:p w14:paraId="25857D21" w14:textId="77777777" w:rsidR="002C0FD9" w:rsidRPr="00CA25CF" w:rsidRDefault="002C0FD9" w:rsidP="00CA25CF">
            <w:pPr>
              <w:rPr>
                <w:rFonts w:cs="Arial"/>
                <w:color w:val="FF0000"/>
                <w:sz w:val="21"/>
                <w:szCs w:val="21"/>
              </w:rPr>
            </w:pPr>
          </w:p>
        </w:tc>
        <w:tc>
          <w:tcPr>
            <w:tcW w:w="217" w:type="dxa"/>
          </w:tcPr>
          <w:p w14:paraId="0D1E1D9A" w14:textId="77777777" w:rsidR="002C0FD9" w:rsidRPr="00CA25CF" w:rsidRDefault="002C0FD9" w:rsidP="00CA25CF">
            <w:pPr>
              <w:rPr>
                <w:rFonts w:cs="Arial"/>
                <w:color w:val="FF0000"/>
                <w:sz w:val="21"/>
                <w:szCs w:val="21"/>
              </w:rPr>
            </w:pPr>
          </w:p>
        </w:tc>
        <w:tc>
          <w:tcPr>
            <w:tcW w:w="217" w:type="dxa"/>
          </w:tcPr>
          <w:p w14:paraId="576262C7" w14:textId="77777777" w:rsidR="002C0FD9" w:rsidRPr="00CA25CF" w:rsidRDefault="002C0FD9" w:rsidP="00CA25CF">
            <w:pPr>
              <w:rPr>
                <w:rFonts w:cs="Arial"/>
                <w:color w:val="FF0000"/>
                <w:sz w:val="21"/>
                <w:szCs w:val="21"/>
              </w:rPr>
            </w:pPr>
          </w:p>
        </w:tc>
        <w:tc>
          <w:tcPr>
            <w:tcW w:w="217" w:type="dxa"/>
          </w:tcPr>
          <w:p w14:paraId="74745138" w14:textId="77777777" w:rsidR="002C0FD9" w:rsidRPr="00CA25CF" w:rsidRDefault="002C0FD9" w:rsidP="00CA25CF">
            <w:pPr>
              <w:rPr>
                <w:rFonts w:cs="Arial"/>
                <w:color w:val="FF0000"/>
                <w:sz w:val="21"/>
                <w:szCs w:val="21"/>
              </w:rPr>
            </w:pPr>
          </w:p>
        </w:tc>
        <w:tc>
          <w:tcPr>
            <w:tcW w:w="217" w:type="dxa"/>
          </w:tcPr>
          <w:p w14:paraId="2D5CC4E2" w14:textId="77777777" w:rsidR="002C0FD9" w:rsidRPr="00CA25CF" w:rsidRDefault="002C0FD9" w:rsidP="00CA25CF">
            <w:pPr>
              <w:rPr>
                <w:rFonts w:cs="Arial"/>
                <w:color w:val="FF0000"/>
                <w:sz w:val="21"/>
                <w:szCs w:val="21"/>
              </w:rPr>
            </w:pPr>
          </w:p>
        </w:tc>
        <w:tc>
          <w:tcPr>
            <w:tcW w:w="217" w:type="dxa"/>
          </w:tcPr>
          <w:p w14:paraId="6CDCEA3A" w14:textId="77777777" w:rsidR="002C0FD9" w:rsidRPr="00CA25CF" w:rsidRDefault="002C0FD9" w:rsidP="00CA25CF">
            <w:pPr>
              <w:rPr>
                <w:rFonts w:cs="Arial"/>
                <w:color w:val="FF0000"/>
                <w:sz w:val="21"/>
                <w:szCs w:val="21"/>
              </w:rPr>
            </w:pPr>
          </w:p>
        </w:tc>
        <w:tc>
          <w:tcPr>
            <w:tcW w:w="217" w:type="dxa"/>
          </w:tcPr>
          <w:p w14:paraId="7212A363" w14:textId="77777777" w:rsidR="002C0FD9" w:rsidRPr="00CA25CF" w:rsidRDefault="002C0FD9" w:rsidP="00CA25CF">
            <w:pPr>
              <w:rPr>
                <w:rFonts w:cs="Arial"/>
                <w:color w:val="FF0000"/>
                <w:sz w:val="21"/>
                <w:szCs w:val="21"/>
              </w:rPr>
            </w:pPr>
          </w:p>
        </w:tc>
        <w:tc>
          <w:tcPr>
            <w:tcW w:w="217" w:type="dxa"/>
          </w:tcPr>
          <w:p w14:paraId="5012F198" w14:textId="77777777" w:rsidR="002C0FD9" w:rsidRPr="00CA25CF" w:rsidRDefault="002C0FD9" w:rsidP="00CA25CF">
            <w:pPr>
              <w:rPr>
                <w:rFonts w:cs="Arial"/>
                <w:color w:val="FF0000"/>
                <w:sz w:val="21"/>
                <w:szCs w:val="21"/>
              </w:rPr>
            </w:pPr>
          </w:p>
        </w:tc>
        <w:tc>
          <w:tcPr>
            <w:tcW w:w="217" w:type="dxa"/>
          </w:tcPr>
          <w:p w14:paraId="01CB2BF7" w14:textId="77777777" w:rsidR="002C0FD9" w:rsidRPr="00CA25CF" w:rsidRDefault="002C0FD9" w:rsidP="00CA25CF">
            <w:pPr>
              <w:rPr>
                <w:rFonts w:cs="Arial"/>
                <w:color w:val="FF0000"/>
                <w:sz w:val="21"/>
                <w:szCs w:val="21"/>
              </w:rPr>
            </w:pPr>
          </w:p>
        </w:tc>
        <w:tc>
          <w:tcPr>
            <w:tcW w:w="217" w:type="dxa"/>
          </w:tcPr>
          <w:p w14:paraId="6A624ABD" w14:textId="77777777" w:rsidR="002C0FD9" w:rsidRPr="00CA25CF" w:rsidRDefault="002C0FD9" w:rsidP="00CA25CF">
            <w:pPr>
              <w:rPr>
                <w:rFonts w:cs="Arial"/>
                <w:color w:val="FF0000"/>
                <w:sz w:val="21"/>
                <w:szCs w:val="21"/>
              </w:rPr>
            </w:pPr>
          </w:p>
        </w:tc>
        <w:tc>
          <w:tcPr>
            <w:tcW w:w="217" w:type="dxa"/>
          </w:tcPr>
          <w:p w14:paraId="57DA34B7" w14:textId="77777777" w:rsidR="002C0FD9" w:rsidRPr="00CA25CF" w:rsidRDefault="002C0FD9" w:rsidP="00CA25CF">
            <w:pPr>
              <w:rPr>
                <w:rFonts w:cs="Arial"/>
                <w:color w:val="FF0000"/>
                <w:sz w:val="21"/>
                <w:szCs w:val="21"/>
              </w:rPr>
            </w:pPr>
          </w:p>
        </w:tc>
        <w:tc>
          <w:tcPr>
            <w:tcW w:w="217" w:type="dxa"/>
          </w:tcPr>
          <w:p w14:paraId="69252B37" w14:textId="77777777" w:rsidR="002C0FD9" w:rsidRPr="00CA25CF" w:rsidRDefault="002C0FD9" w:rsidP="00CA25CF">
            <w:pPr>
              <w:rPr>
                <w:rFonts w:cs="Arial"/>
                <w:color w:val="FF0000"/>
                <w:sz w:val="21"/>
                <w:szCs w:val="21"/>
              </w:rPr>
            </w:pPr>
          </w:p>
        </w:tc>
        <w:tc>
          <w:tcPr>
            <w:tcW w:w="217" w:type="dxa"/>
          </w:tcPr>
          <w:p w14:paraId="5FCB3EB5" w14:textId="184A138E" w:rsidR="002C0FD9" w:rsidRPr="00CA25CF" w:rsidRDefault="002C0FD9" w:rsidP="00CA25CF">
            <w:pPr>
              <w:rPr>
                <w:rFonts w:cs="Arial"/>
                <w:color w:val="FF0000"/>
                <w:sz w:val="21"/>
                <w:szCs w:val="21"/>
              </w:rPr>
            </w:pPr>
          </w:p>
        </w:tc>
        <w:tc>
          <w:tcPr>
            <w:tcW w:w="217" w:type="dxa"/>
          </w:tcPr>
          <w:p w14:paraId="13318C1C" w14:textId="77777777" w:rsidR="002C0FD9" w:rsidRPr="00CA25CF" w:rsidRDefault="002C0FD9" w:rsidP="00CA25CF">
            <w:pPr>
              <w:rPr>
                <w:rFonts w:cs="Arial"/>
                <w:color w:val="FF0000"/>
                <w:sz w:val="21"/>
                <w:szCs w:val="21"/>
              </w:rPr>
            </w:pPr>
          </w:p>
        </w:tc>
        <w:tc>
          <w:tcPr>
            <w:tcW w:w="217" w:type="dxa"/>
          </w:tcPr>
          <w:p w14:paraId="6ED8C64A" w14:textId="77777777" w:rsidR="002C0FD9" w:rsidRPr="00CA25CF" w:rsidRDefault="002C0FD9" w:rsidP="00CA25CF">
            <w:pPr>
              <w:rPr>
                <w:rFonts w:cs="Arial"/>
                <w:color w:val="FF0000"/>
                <w:sz w:val="21"/>
                <w:szCs w:val="21"/>
              </w:rPr>
            </w:pPr>
          </w:p>
        </w:tc>
        <w:tc>
          <w:tcPr>
            <w:tcW w:w="217" w:type="dxa"/>
          </w:tcPr>
          <w:p w14:paraId="0D3C06F6" w14:textId="77777777" w:rsidR="002C0FD9" w:rsidRPr="00CA25CF" w:rsidRDefault="002C0FD9" w:rsidP="00CA25CF">
            <w:pPr>
              <w:rPr>
                <w:rFonts w:cs="Arial"/>
                <w:color w:val="FF0000"/>
                <w:sz w:val="21"/>
                <w:szCs w:val="21"/>
              </w:rPr>
            </w:pPr>
          </w:p>
        </w:tc>
        <w:tc>
          <w:tcPr>
            <w:tcW w:w="217" w:type="dxa"/>
          </w:tcPr>
          <w:p w14:paraId="52E3CB6E" w14:textId="77777777" w:rsidR="002C0FD9" w:rsidRPr="00CA25CF" w:rsidRDefault="002C0FD9" w:rsidP="00CA25CF">
            <w:pPr>
              <w:rPr>
                <w:rFonts w:cs="Arial"/>
                <w:color w:val="FF0000"/>
                <w:sz w:val="21"/>
                <w:szCs w:val="21"/>
              </w:rPr>
            </w:pPr>
          </w:p>
        </w:tc>
        <w:tc>
          <w:tcPr>
            <w:tcW w:w="217" w:type="dxa"/>
          </w:tcPr>
          <w:p w14:paraId="0800206B" w14:textId="77777777" w:rsidR="002C0FD9" w:rsidRPr="00CA25CF" w:rsidRDefault="002C0FD9" w:rsidP="00CA25CF">
            <w:pPr>
              <w:rPr>
                <w:rFonts w:cs="Arial"/>
                <w:color w:val="FF0000"/>
                <w:sz w:val="21"/>
                <w:szCs w:val="21"/>
              </w:rPr>
            </w:pPr>
          </w:p>
        </w:tc>
        <w:tc>
          <w:tcPr>
            <w:tcW w:w="217" w:type="dxa"/>
          </w:tcPr>
          <w:p w14:paraId="07E85A1A" w14:textId="77777777" w:rsidR="002C0FD9" w:rsidRPr="00CA25CF" w:rsidRDefault="002C0FD9" w:rsidP="00CA25CF">
            <w:pPr>
              <w:rPr>
                <w:rFonts w:cs="Arial"/>
                <w:color w:val="FF0000"/>
                <w:sz w:val="21"/>
                <w:szCs w:val="21"/>
              </w:rPr>
            </w:pPr>
          </w:p>
        </w:tc>
        <w:tc>
          <w:tcPr>
            <w:tcW w:w="217" w:type="dxa"/>
          </w:tcPr>
          <w:p w14:paraId="42BA4AFE" w14:textId="77777777" w:rsidR="002C0FD9" w:rsidRPr="00CA25CF" w:rsidRDefault="002C0FD9" w:rsidP="00CA25CF">
            <w:pPr>
              <w:rPr>
                <w:rFonts w:cs="Arial"/>
                <w:color w:val="FF0000"/>
                <w:sz w:val="21"/>
                <w:szCs w:val="21"/>
              </w:rPr>
            </w:pPr>
          </w:p>
        </w:tc>
        <w:tc>
          <w:tcPr>
            <w:tcW w:w="217" w:type="dxa"/>
          </w:tcPr>
          <w:p w14:paraId="7FDBD2ED" w14:textId="77777777" w:rsidR="002C0FD9" w:rsidRPr="00CA25CF" w:rsidRDefault="002C0FD9" w:rsidP="00CA25CF">
            <w:pPr>
              <w:rPr>
                <w:rFonts w:cs="Arial"/>
                <w:color w:val="FF0000"/>
                <w:sz w:val="21"/>
                <w:szCs w:val="21"/>
              </w:rPr>
            </w:pPr>
          </w:p>
        </w:tc>
        <w:tc>
          <w:tcPr>
            <w:tcW w:w="217" w:type="dxa"/>
          </w:tcPr>
          <w:p w14:paraId="2F37DA71" w14:textId="77777777" w:rsidR="002C0FD9" w:rsidRPr="00CA25CF" w:rsidRDefault="002C0FD9" w:rsidP="00CA25CF">
            <w:pPr>
              <w:rPr>
                <w:rFonts w:cs="Arial"/>
                <w:color w:val="FF0000"/>
                <w:sz w:val="21"/>
                <w:szCs w:val="21"/>
              </w:rPr>
            </w:pPr>
          </w:p>
        </w:tc>
        <w:tc>
          <w:tcPr>
            <w:tcW w:w="217" w:type="dxa"/>
          </w:tcPr>
          <w:p w14:paraId="0CC3DCC6" w14:textId="77777777" w:rsidR="002C0FD9" w:rsidRPr="00CA25CF" w:rsidRDefault="002C0FD9" w:rsidP="00CA25CF">
            <w:pPr>
              <w:rPr>
                <w:rFonts w:cs="Arial"/>
                <w:color w:val="FF0000"/>
                <w:sz w:val="21"/>
                <w:szCs w:val="21"/>
              </w:rPr>
            </w:pPr>
          </w:p>
        </w:tc>
        <w:tc>
          <w:tcPr>
            <w:tcW w:w="217" w:type="dxa"/>
          </w:tcPr>
          <w:p w14:paraId="50F9427D" w14:textId="77777777" w:rsidR="002C0FD9" w:rsidRPr="00CA25CF" w:rsidRDefault="002C0FD9" w:rsidP="00CA25CF">
            <w:pPr>
              <w:rPr>
                <w:rFonts w:cs="Arial"/>
                <w:color w:val="FF0000"/>
                <w:sz w:val="21"/>
                <w:szCs w:val="21"/>
              </w:rPr>
            </w:pPr>
          </w:p>
        </w:tc>
        <w:tc>
          <w:tcPr>
            <w:tcW w:w="217" w:type="dxa"/>
          </w:tcPr>
          <w:p w14:paraId="057895D9" w14:textId="77777777" w:rsidR="002C0FD9" w:rsidRPr="00CA25CF" w:rsidRDefault="002C0FD9" w:rsidP="00CA25CF">
            <w:pPr>
              <w:rPr>
                <w:rFonts w:cs="Arial"/>
                <w:color w:val="FF0000"/>
                <w:sz w:val="21"/>
                <w:szCs w:val="21"/>
              </w:rPr>
            </w:pPr>
          </w:p>
        </w:tc>
        <w:tc>
          <w:tcPr>
            <w:tcW w:w="217" w:type="dxa"/>
          </w:tcPr>
          <w:p w14:paraId="7E19508A" w14:textId="77777777" w:rsidR="002C0FD9" w:rsidRPr="00CA25CF" w:rsidRDefault="002C0FD9" w:rsidP="00CA25CF">
            <w:pPr>
              <w:rPr>
                <w:rFonts w:cs="Arial"/>
                <w:color w:val="FF0000"/>
                <w:sz w:val="21"/>
                <w:szCs w:val="21"/>
              </w:rPr>
            </w:pPr>
          </w:p>
        </w:tc>
        <w:tc>
          <w:tcPr>
            <w:tcW w:w="217" w:type="dxa"/>
          </w:tcPr>
          <w:p w14:paraId="2C33AC81" w14:textId="77777777" w:rsidR="002C0FD9" w:rsidRPr="00CA25CF" w:rsidRDefault="002C0FD9" w:rsidP="00CA25CF">
            <w:pPr>
              <w:rPr>
                <w:rFonts w:cs="Arial"/>
                <w:color w:val="FF0000"/>
                <w:sz w:val="21"/>
                <w:szCs w:val="21"/>
              </w:rPr>
            </w:pPr>
          </w:p>
        </w:tc>
        <w:tc>
          <w:tcPr>
            <w:tcW w:w="217" w:type="dxa"/>
          </w:tcPr>
          <w:p w14:paraId="556D99C4" w14:textId="77777777" w:rsidR="002C0FD9" w:rsidRPr="00CA25CF" w:rsidRDefault="002C0FD9" w:rsidP="00CA25CF">
            <w:pPr>
              <w:rPr>
                <w:rFonts w:cs="Arial"/>
                <w:color w:val="FF0000"/>
                <w:sz w:val="21"/>
                <w:szCs w:val="21"/>
              </w:rPr>
            </w:pPr>
          </w:p>
        </w:tc>
        <w:tc>
          <w:tcPr>
            <w:tcW w:w="217" w:type="dxa"/>
          </w:tcPr>
          <w:p w14:paraId="68B0EA4A" w14:textId="77777777" w:rsidR="002C0FD9" w:rsidRPr="00CA25CF" w:rsidRDefault="002C0FD9" w:rsidP="00CA25CF">
            <w:pPr>
              <w:rPr>
                <w:rFonts w:cs="Arial"/>
                <w:color w:val="FF0000"/>
                <w:sz w:val="21"/>
                <w:szCs w:val="21"/>
              </w:rPr>
            </w:pPr>
          </w:p>
        </w:tc>
        <w:tc>
          <w:tcPr>
            <w:tcW w:w="217" w:type="dxa"/>
          </w:tcPr>
          <w:p w14:paraId="6618FCE9" w14:textId="77777777" w:rsidR="002C0FD9" w:rsidRPr="00CA25CF" w:rsidRDefault="002C0FD9" w:rsidP="00CA25CF">
            <w:pPr>
              <w:rPr>
                <w:rFonts w:cs="Arial"/>
                <w:color w:val="FF0000"/>
                <w:sz w:val="21"/>
                <w:szCs w:val="21"/>
              </w:rPr>
            </w:pPr>
          </w:p>
        </w:tc>
        <w:tc>
          <w:tcPr>
            <w:tcW w:w="217" w:type="dxa"/>
          </w:tcPr>
          <w:p w14:paraId="67AB634A" w14:textId="77777777" w:rsidR="002C0FD9" w:rsidRPr="00CA25CF" w:rsidRDefault="002C0FD9" w:rsidP="00CA25CF">
            <w:pPr>
              <w:rPr>
                <w:rFonts w:cs="Arial"/>
                <w:color w:val="FF0000"/>
                <w:sz w:val="21"/>
                <w:szCs w:val="21"/>
              </w:rPr>
            </w:pPr>
          </w:p>
        </w:tc>
        <w:tc>
          <w:tcPr>
            <w:tcW w:w="217" w:type="dxa"/>
          </w:tcPr>
          <w:p w14:paraId="350CF642" w14:textId="77777777" w:rsidR="002C0FD9" w:rsidRPr="00CA25CF" w:rsidRDefault="002C0FD9" w:rsidP="00CA25CF">
            <w:pPr>
              <w:rPr>
                <w:rFonts w:cs="Arial"/>
                <w:color w:val="FF0000"/>
                <w:sz w:val="21"/>
                <w:szCs w:val="21"/>
              </w:rPr>
            </w:pPr>
          </w:p>
        </w:tc>
        <w:tc>
          <w:tcPr>
            <w:tcW w:w="217" w:type="dxa"/>
          </w:tcPr>
          <w:p w14:paraId="4D501CCA" w14:textId="77777777" w:rsidR="002C0FD9" w:rsidRPr="00CA25CF" w:rsidRDefault="002C0FD9" w:rsidP="00CA25CF">
            <w:pPr>
              <w:rPr>
                <w:rFonts w:cs="Arial"/>
                <w:color w:val="FF0000"/>
                <w:sz w:val="21"/>
                <w:szCs w:val="21"/>
              </w:rPr>
            </w:pPr>
          </w:p>
        </w:tc>
        <w:tc>
          <w:tcPr>
            <w:tcW w:w="217" w:type="dxa"/>
          </w:tcPr>
          <w:p w14:paraId="156D50EB" w14:textId="77777777" w:rsidR="002C0FD9" w:rsidRPr="00CA25CF" w:rsidRDefault="002C0FD9" w:rsidP="00CA25CF">
            <w:pPr>
              <w:rPr>
                <w:rFonts w:cs="Arial"/>
                <w:color w:val="FF0000"/>
                <w:sz w:val="21"/>
                <w:szCs w:val="21"/>
              </w:rPr>
            </w:pPr>
          </w:p>
        </w:tc>
        <w:tc>
          <w:tcPr>
            <w:tcW w:w="217" w:type="dxa"/>
          </w:tcPr>
          <w:p w14:paraId="1DC6118D" w14:textId="77777777" w:rsidR="002C0FD9" w:rsidRPr="00CA25CF" w:rsidRDefault="002C0FD9" w:rsidP="00CA25CF">
            <w:pPr>
              <w:rPr>
                <w:rFonts w:cs="Arial"/>
                <w:color w:val="FF0000"/>
                <w:sz w:val="21"/>
                <w:szCs w:val="21"/>
              </w:rPr>
            </w:pPr>
          </w:p>
        </w:tc>
        <w:tc>
          <w:tcPr>
            <w:tcW w:w="217" w:type="dxa"/>
          </w:tcPr>
          <w:p w14:paraId="529C2151" w14:textId="77777777" w:rsidR="002C0FD9" w:rsidRPr="00CA25CF" w:rsidRDefault="002C0FD9" w:rsidP="00CA25CF">
            <w:pPr>
              <w:rPr>
                <w:rFonts w:cs="Arial"/>
                <w:color w:val="FF0000"/>
                <w:sz w:val="21"/>
                <w:szCs w:val="21"/>
              </w:rPr>
            </w:pPr>
          </w:p>
        </w:tc>
        <w:tc>
          <w:tcPr>
            <w:tcW w:w="217" w:type="dxa"/>
          </w:tcPr>
          <w:p w14:paraId="4AB70B20" w14:textId="77777777" w:rsidR="002C0FD9" w:rsidRPr="00CA25CF" w:rsidRDefault="002C0FD9" w:rsidP="00CA25CF">
            <w:pPr>
              <w:rPr>
                <w:rFonts w:cs="Arial"/>
                <w:color w:val="FF0000"/>
                <w:sz w:val="21"/>
                <w:szCs w:val="21"/>
              </w:rPr>
            </w:pPr>
          </w:p>
        </w:tc>
        <w:tc>
          <w:tcPr>
            <w:tcW w:w="217" w:type="dxa"/>
          </w:tcPr>
          <w:p w14:paraId="6B329746" w14:textId="77777777" w:rsidR="002C0FD9" w:rsidRPr="00CA25CF" w:rsidRDefault="002C0FD9" w:rsidP="00CA25CF">
            <w:pPr>
              <w:rPr>
                <w:rFonts w:cs="Arial"/>
                <w:color w:val="FF0000"/>
                <w:sz w:val="21"/>
                <w:szCs w:val="21"/>
              </w:rPr>
            </w:pPr>
          </w:p>
        </w:tc>
        <w:tc>
          <w:tcPr>
            <w:tcW w:w="217" w:type="dxa"/>
          </w:tcPr>
          <w:p w14:paraId="0EE251AB" w14:textId="77777777" w:rsidR="002C0FD9" w:rsidRPr="00CA25CF" w:rsidRDefault="002C0FD9" w:rsidP="00CA25CF">
            <w:pPr>
              <w:rPr>
                <w:rFonts w:cs="Arial"/>
                <w:color w:val="FF0000"/>
                <w:sz w:val="21"/>
                <w:szCs w:val="21"/>
              </w:rPr>
            </w:pPr>
          </w:p>
        </w:tc>
        <w:tc>
          <w:tcPr>
            <w:tcW w:w="217" w:type="dxa"/>
          </w:tcPr>
          <w:p w14:paraId="1B63BC8E" w14:textId="77777777" w:rsidR="002C0FD9" w:rsidRPr="00CA25CF" w:rsidRDefault="002C0FD9" w:rsidP="00CA25CF">
            <w:pPr>
              <w:rPr>
                <w:rFonts w:cs="Arial"/>
                <w:color w:val="FF0000"/>
                <w:sz w:val="21"/>
                <w:szCs w:val="21"/>
              </w:rPr>
            </w:pPr>
          </w:p>
        </w:tc>
      </w:tr>
      <w:tr w:rsidR="002C0FD9" w:rsidRPr="00A16219" w14:paraId="1AC5C9B2" w14:textId="05999BA5" w:rsidTr="002C0FD9">
        <w:trPr>
          <w:trHeight w:val="635"/>
        </w:trPr>
        <w:tc>
          <w:tcPr>
            <w:tcW w:w="515" w:type="dxa"/>
          </w:tcPr>
          <w:p w14:paraId="41618846" w14:textId="77777777" w:rsidR="002C0FD9" w:rsidRPr="00CA25CF" w:rsidRDefault="002C0FD9" w:rsidP="00CA25CF">
            <w:pPr>
              <w:rPr>
                <w:rFonts w:cs="Arial"/>
                <w:color w:val="FF0000"/>
                <w:sz w:val="21"/>
                <w:szCs w:val="21"/>
              </w:rPr>
            </w:pPr>
          </w:p>
        </w:tc>
        <w:tc>
          <w:tcPr>
            <w:tcW w:w="217" w:type="dxa"/>
          </w:tcPr>
          <w:p w14:paraId="0E7A13B3" w14:textId="77777777" w:rsidR="002C0FD9" w:rsidRPr="00CA25CF" w:rsidRDefault="002C0FD9" w:rsidP="00CA25CF">
            <w:pPr>
              <w:rPr>
                <w:rFonts w:cs="Arial"/>
                <w:color w:val="FF0000"/>
                <w:sz w:val="21"/>
                <w:szCs w:val="21"/>
              </w:rPr>
            </w:pPr>
          </w:p>
        </w:tc>
        <w:tc>
          <w:tcPr>
            <w:tcW w:w="217" w:type="dxa"/>
          </w:tcPr>
          <w:p w14:paraId="55B5C111" w14:textId="22A77D2E" w:rsidR="002C0FD9" w:rsidRPr="00CA25CF" w:rsidRDefault="002C0FD9" w:rsidP="00CA25CF">
            <w:pPr>
              <w:rPr>
                <w:rFonts w:cs="Arial"/>
                <w:color w:val="FF0000"/>
                <w:sz w:val="21"/>
                <w:szCs w:val="21"/>
              </w:rPr>
            </w:pPr>
          </w:p>
        </w:tc>
        <w:tc>
          <w:tcPr>
            <w:tcW w:w="217" w:type="dxa"/>
          </w:tcPr>
          <w:p w14:paraId="38BC88A3" w14:textId="77777777" w:rsidR="002C0FD9" w:rsidRPr="00CA25CF" w:rsidRDefault="002C0FD9" w:rsidP="00CA25CF">
            <w:pPr>
              <w:rPr>
                <w:rFonts w:cs="Arial"/>
                <w:color w:val="FF0000"/>
                <w:sz w:val="21"/>
                <w:szCs w:val="21"/>
              </w:rPr>
            </w:pPr>
          </w:p>
        </w:tc>
        <w:tc>
          <w:tcPr>
            <w:tcW w:w="217" w:type="dxa"/>
          </w:tcPr>
          <w:p w14:paraId="33D2986D" w14:textId="77777777" w:rsidR="002C0FD9" w:rsidRPr="00CA25CF" w:rsidRDefault="002C0FD9" w:rsidP="00CA25CF">
            <w:pPr>
              <w:rPr>
                <w:rFonts w:cs="Arial"/>
                <w:color w:val="FF0000"/>
                <w:sz w:val="21"/>
                <w:szCs w:val="21"/>
              </w:rPr>
            </w:pPr>
          </w:p>
        </w:tc>
        <w:tc>
          <w:tcPr>
            <w:tcW w:w="217" w:type="dxa"/>
          </w:tcPr>
          <w:p w14:paraId="312E64D1" w14:textId="77777777" w:rsidR="002C0FD9" w:rsidRPr="00CA25CF" w:rsidRDefault="002C0FD9" w:rsidP="00CA25CF">
            <w:pPr>
              <w:rPr>
                <w:rFonts w:cs="Arial"/>
                <w:color w:val="FF0000"/>
                <w:sz w:val="21"/>
                <w:szCs w:val="21"/>
              </w:rPr>
            </w:pPr>
          </w:p>
        </w:tc>
        <w:tc>
          <w:tcPr>
            <w:tcW w:w="217" w:type="dxa"/>
          </w:tcPr>
          <w:p w14:paraId="5BDE69E2" w14:textId="77777777" w:rsidR="002C0FD9" w:rsidRPr="00CA25CF" w:rsidRDefault="002C0FD9" w:rsidP="00CA25CF">
            <w:pPr>
              <w:rPr>
                <w:rFonts w:cs="Arial"/>
                <w:color w:val="FF0000"/>
                <w:sz w:val="21"/>
                <w:szCs w:val="21"/>
              </w:rPr>
            </w:pPr>
          </w:p>
        </w:tc>
        <w:tc>
          <w:tcPr>
            <w:tcW w:w="217" w:type="dxa"/>
          </w:tcPr>
          <w:p w14:paraId="7E90F9A2" w14:textId="77777777" w:rsidR="002C0FD9" w:rsidRPr="00CA25CF" w:rsidRDefault="002C0FD9" w:rsidP="00CA25CF">
            <w:pPr>
              <w:rPr>
                <w:rFonts w:cs="Arial"/>
                <w:color w:val="FF0000"/>
                <w:sz w:val="21"/>
                <w:szCs w:val="21"/>
              </w:rPr>
            </w:pPr>
          </w:p>
        </w:tc>
        <w:tc>
          <w:tcPr>
            <w:tcW w:w="217" w:type="dxa"/>
          </w:tcPr>
          <w:p w14:paraId="5E7CF212" w14:textId="77777777" w:rsidR="002C0FD9" w:rsidRPr="00CA25CF" w:rsidRDefault="002C0FD9" w:rsidP="00CA25CF">
            <w:pPr>
              <w:rPr>
                <w:rFonts w:cs="Arial"/>
                <w:color w:val="FF0000"/>
                <w:sz w:val="21"/>
                <w:szCs w:val="21"/>
              </w:rPr>
            </w:pPr>
          </w:p>
        </w:tc>
        <w:tc>
          <w:tcPr>
            <w:tcW w:w="217" w:type="dxa"/>
          </w:tcPr>
          <w:p w14:paraId="7A5F7DCB" w14:textId="77777777" w:rsidR="002C0FD9" w:rsidRPr="00CA25CF" w:rsidRDefault="002C0FD9" w:rsidP="00CA25CF">
            <w:pPr>
              <w:rPr>
                <w:rFonts w:cs="Arial"/>
                <w:color w:val="FF0000"/>
                <w:sz w:val="21"/>
                <w:szCs w:val="21"/>
              </w:rPr>
            </w:pPr>
          </w:p>
        </w:tc>
        <w:tc>
          <w:tcPr>
            <w:tcW w:w="217" w:type="dxa"/>
          </w:tcPr>
          <w:p w14:paraId="3C69CC1B" w14:textId="77777777" w:rsidR="002C0FD9" w:rsidRPr="00CA25CF" w:rsidRDefault="002C0FD9" w:rsidP="00CA25CF">
            <w:pPr>
              <w:rPr>
                <w:rFonts w:cs="Arial"/>
                <w:color w:val="FF0000"/>
                <w:sz w:val="21"/>
                <w:szCs w:val="21"/>
              </w:rPr>
            </w:pPr>
          </w:p>
        </w:tc>
        <w:tc>
          <w:tcPr>
            <w:tcW w:w="217" w:type="dxa"/>
          </w:tcPr>
          <w:p w14:paraId="41C80F49" w14:textId="77777777" w:rsidR="002C0FD9" w:rsidRPr="00CA25CF" w:rsidRDefault="002C0FD9" w:rsidP="00CA25CF">
            <w:pPr>
              <w:rPr>
                <w:rFonts w:cs="Arial"/>
                <w:color w:val="FF0000"/>
                <w:sz w:val="21"/>
                <w:szCs w:val="21"/>
              </w:rPr>
            </w:pPr>
          </w:p>
        </w:tc>
        <w:tc>
          <w:tcPr>
            <w:tcW w:w="217" w:type="dxa"/>
          </w:tcPr>
          <w:p w14:paraId="32FF3771" w14:textId="77777777" w:rsidR="002C0FD9" w:rsidRPr="00CA25CF" w:rsidRDefault="002C0FD9" w:rsidP="00CA25CF">
            <w:pPr>
              <w:rPr>
                <w:rFonts w:cs="Arial"/>
                <w:color w:val="FF0000"/>
                <w:sz w:val="21"/>
                <w:szCs w:val="21"/>
              </w:rPr>
            </w:pPr>
          </w:p>
        </w:tc>
        <w:tc>
          <w:tcPr>
            <w:tcW w:w="217" w:type="dxa"/>
          </w:tcPr>
          <w:p w14:paraId="03FEAE50" w14:textId="77777777" w:rsidR="002C0FD9" w:rsidRPr="00CA25CF" w:rsidRDefault="002C0FD9" w:rsidP="00CA25CF">
            <w:pPr>
              <w:rPr>
                <w:rFonts w:cs="Arial"/>
                <w:color w:val="FF0000"/>
                <w:sz w:val="21"/>
                <w:szCs w:val="21"/>
              </w:rPr>
            </w:pPr>
          </w:p>
        </w:tc>
        <w:tc>
          <w:tcPr>
            <w:tcW w:w="217" w:type="dxa"/>
          </w:tcPr>
          <w:p w14:paraId="5C71F8BF" w14:textId="77777777" w:rsidR="002C0FD9" w:rsidRPr="00CA25CF" w:rsidRDefault="002C0FD9" w:rsidP="00CA25CF">
            <w:pPr>
              <w:rPr>
                <w:rFonts w:cs="Arial"/>
                <w:color w:val="FF0000"/>
                <w:sz w:val="21"/>
                <w:szCs w:val="21"/>
              </w:rPr>
            </w:pPr>
          </w:p>
        </w:tc>
        <w:tc>
          <w:tcPr>
            <w:tcW w:w="217" w:type="dxa"/>
          </w:tcPr>
          <w:p w14:paraId="5AF92528" w14:textId="4E20E1A2" w:rsidR="002C0FD9" w:rsidRPr="00CA25CF" w:rsidRDefault="002C0FD9" w:rsidP="00CA25CF">
            <w:pPr>
              <w:rPr>
                <w:rFonts w:cs="Arial"/>
                <w:color w:val="FF0000"/>
                <w:sz w:val="21"/>
                <w:szCs w:val="21"/>
              </w:rPr>
            </w:pPr>
          </w:p>
        </w:tc>
        <w:tc>
          <w:tcPr>
            <w:tcW w:w="217" w:type="dxa"/>
          </w:tcPr>
          <w:p w14:paraId="23136219" w14:textId="77777777" w:rsidR="002C0FD9" w:rsidRPr="00CA25CF" w:rsidRDefault="002C0FD9" w:rsidP="00CA25CF">
            <w:pPr>
              <w:rPr>
                <w:rFonts w:cs="Arial"/>
                <w:color w:val="FF0000"/>
                <w:sz w:val="21"/>
                <w:szCs w:val="21"/>
              </w:rPr>
            </w:pPr>
          </w:p>
        </w:tc>
        <w:tc>
          <w:tcPr>
            <w:tcW w:w="217" w:type="dxa"/>
          </w:tcPr>
          <w:p w14:paraId="39A72882" w14:textId="77777777" w:rsidR="002C0FD9" w:rsidRPr="00CA25CF" w:rsidRDefault="002C0FD9" w:rsidP="00CA25CF">
            <w:pPr>
              <w:rPr>
                <w:rFonts w:cs="Arial"/>
                <w:color w:val="FF0000"/>
                <w:sz w:val="21"/>
                <w:szCs w:val="21"/>
              </w:rPr>
            </w:pPr>
          </w:p>
        </w:tc>
        <w:tc>
          <w:tcPr>
            <w:tcW w:w="217" w:type="dxa"/>
          </w:tcPr>
          <w:p w14:paraId="5CC9CB62" w14:textId="77777777" w:rsidR="002C0FD9" w:rsidRPr="00CA25CF" w:rsidRDefault="002C0FD9" w:rsidP="00CA25CF">
            <w:pPr>
              <w:rPr>
                <w:rFonts w:cs="Arial"/>
                <w:color w:val="FF0000"/>
                <w:sz w:val="21"/>
                <w:szCs w:val="21"/>
              </w:rPr>
            </w:pPr>
          </w:p>
        </w:tc>
        <w:tc>
          <w:tcPr>
            <w:tcW w:w="217" w:type="dxa"/>
          </w:tcPr>
          <w:p w14:paraId="448C455E" w14:textId="77777777" w:rsidR="002C0FD9" w:rsidRPr="00CA25CF" w:rsidRDefault="002C0FD9" w:rsidP="00CA25CF">
            <w:pPr>
              <w:rPr>
                <w:rFonts w:cs="Arial"/>
                <w:color w:val="FF0000"/>
                <w:sz w:val="21"/>
                <w:szCs w:val="21"/>
              </w:rPr>
            </w:pPr>
          </w:p>
        </w:tc>
        <w:tc>
          <w:tcPr>
            <w:tcW w:w="217" w:type="dxa"/>
          </w:tcPr>
          <w:p w14:paraId="544E0E06" w14:textId="77777777" w:rsidR="002C0FD9" w:rsidRPr="00CA25CF" w:rsidRDefault="002C0FD9" w:rsidP="00CA25CF">
            <w:pPr>
              <w:rPr>
                <w:rFonts w:cs="Arial"/>
                <w:color w:val="FF0000"/>
                <w:sz w:val="21"/>
                <w:szCs w:val="21"/>
              </w:rPr>
            </w:pPr>
          </w:p>
        </w:tc>
        <w:tc>
          <w:tcPr>
            <w:tcW w:w="217" w:type="dxa"/>
          </w:tcPr>
          <w:p w14:paraId="517CE514" w14:textId="77777777" w:rsidR="002C0FD9" w:rsidRPr="00CA25CF" w:rsidRDefault="002C0FD9" w:rsidP="00CA25CF">
            <w:pPr>
              <w:rPr>
                <w:rFonts w:cs="Arial"/>
                <w:color w:val="FF0000"/>
                <w:sz w:val="21"/>
                <w:szCs w:val="21"/>
              </w:rPr>
            </w:pPr>
          </w:p>
        </w:tc>
        <w:tc>
          <w:tcPr>
            <w:tcW w:w="217" w:type="dxa"/>
          </w:tcPr>
          <w:p w14:paraId="70F4ACAE" w14:textId="77777777" w:rsidR="002C0FD9" w:rsidRPr="00CA25CF" w:rsidRDefault="002C0FD9" w:rsidP="00CA25CF">
            <w:pPr>
              <w:rPr>
                <w:rFonts w:cs="Arial"/>
                <w:color w:val="FF0000"/>
                <w:sz w:val="21"/>
                <w:szCs w:val="21"/>
              </w:rPr>
            </w:pPr>
          </w:p>
        </w:tc>
        <w:tc>
          <w:tcPr>
            <w:tcW w:w="217" w:type="dxa"/>
          </w:tcPr>
          <w:p w14:paraId="759181B3" w14:textId="77777777" w:rsidR="002C0FD9" w:rsidRPr="00CA25CF" w:rsidRDefault="002C0FD9" w:rsidP="00CA25CF">
            <w:pPr>
              <w:rPr>
                <w:rFonts w:cs="Arial"/>
                <w:color w:val="FF0000"/>
                <w:sz w:val="21"/>
                <w:szCs w:val="21"/>
              </w:rPr>
            </w:pPr>
          </w:p>
        </w:tc>
        <w:tc>
          <w:tcPr>
            <w:tcW w:w="217" w:type="dxa"/>
          </w:tcPr>
          <w:p w14:paraId="6A299ED8" w14:textId="77777777" w:rsidR="002C0FD9" w:rsidRPr="00CA25CF" w:rsidRDefault="002C0FD9" w:rsidP="00CA25CF">
            <w:pPr>
              <w:rPr>
                <w:rFonts w:cs="Arial"/>
                <w:color w:val="FF0000"/>
                <w:sz w:val="21"/>
                <w:szCs w:val="21"/>
              </w:rPr>
            </w:pPr>
          </w:p>
        </w:tc>
        <w:tc>
          <w:tcPr>
            <w:tcW w:w="217" w:type="dxa"/>
          </w:tcPr>
          <w:p w14:paraId="59BFB72F" w14:textId="77777777" w:rsidR="002C0FD9" w:rsidRPr="00CA25CF" w:rsidRDefault="002C0FD9" w:rsidP="00CA25CF">
            <w:pPr>
              <w:rPr>
                <w:rFonts w:cs="Arial"/>
                <w:color w:val="FF0000"/>
                <w:sz w:val="21"/>
                <w:szCs w:val="21"/>
              </w:rPr>
            </w:pPr>
          </w:p>
        </w:tc>
        <w:tc>
          <w:tcPr>
            <w:tcW w:w="217" w:type="dxa"/>
          </w:tcPr>
          <w:p w14:paraId="2AE36370" w14:textId="77777777" w:rsidR="002C0FD9" w:rsidRPr="00CA25CF" w:rsidRDefault="002C0FD9" w:rsidP="00CA25CF">
            <w:pPr>
              <w:rPr>
                <w:rFonts w:cs="Arial"/>
                <w:color w:val="FF0000"/>
                <w:sz w:val="21"/>
                <w:szCs w:val="21"/>
              </w:rPr>
            </w:pPr>
          </w:p>
        </w:tc>
        <w:tc>
          <w:tcPr>
            <w:tcW w:w="217" w:type="dxa"/>
          </w:tcPr>
          <w:p w14:paraId="706A7F99" w14:textId="77777777" w:rsidR="002C0FD9" w:rsidRPr="00CA25CF" w:rsidRDefault="002C0FD9" w:rsidP="00CA25CF">
            <w:pPr>
              <w:rPr>
                <w:rFonts w:cs="Arial"/>
                <w:color w:val="FF0000"/>
                <w:sz w:val="21"/>
                <w:szCs w:val="21"/>
              </w:rPr>
            </w:pPr>
          </w:p>
        </w:tc>
        <w:tc>
          <w:tcPr>
            <w:tcW w:w="217" w:type="dxa"/>
          </w:tcPr>
          <w:p w14:paraId="40AE0E76" w14:textId="77777777" w:rsidR="002C0FD9" w:rsidRPr="00CA25CF" w:rsidRDefault="002C0FD9" w:rsidP="00CA25CF">
            <w:pPr>
              <w:rPr>
                <w:rFonts w:cs="Arial"/>
                <w:color w:val="FF0000"/>
                <w:sz w:val="21"/>
                <w:szCs w:val="21"/>
              </w:rPr>
            </w:pPr>
          </w:p>
        </w:tc>
        <w:tc>
          <w:tcPr>
            <w:tcW w:w="217" w:type="dxa"/>
          </w:tcPr>
          <w:p w14:paraId="706DA4B3" w14:textId="77777777" w:rsidR="002C0FD9" w:rsidRPr="00CA25CF" w:rsidRDefault="002C0FD9" w:rsidP="00CA25CF">
            <w:pPr>
              <w:rPr>
                <w:rFonts w:cs="Arial"/>
                <w:color w:val="FF0000"/>
                <w:sz w:val="21"/>
                <w:szCs w:val="21"/>
              </w:rPr>
            </w:pPr>
          </w:p>
        </w:tc>
        <w:tc>
          <w:tcPr>
            <w:tcW w:w="217" w:type="dxa"/>
          </w:tcPr>
          <w:p w14:paraId="39544D15" w14:textId="77777777" w:rsidR="002C0FD9" w:rsidRPr="00CA25CF" w:rsidRDefault="002C0FD9" w:rsidP="00CA25CF">
            <w:pPr>
              <w:rPr>
                <w:rFonts w:cs="Arial"/>
                <w:color w:val="FF0000"/>
                <w:sz w:val="21"/>
                <w:szCs w:val="21"/>
              </w:rPr>
            </w:pPr>
          </w:p>
        </w:tc>
        <w:tc>
          <w:tcPr>
            <w:tcW w:w="217" w:type="dxa"/>
          </w:tcPr>
          <w:p w14:paraId="721DE13D" w14:textId="77777777" w:rsidR="002C0FD9" w:rsidRPr="00CA25CF" w:rsidRDefault="002C0FD9" w:rsidP="00CA25CF">
            <w:pPr>
              <w:rPr>
                <w:rFonts w:cs="Arial"/>
                <w:color w:val="FF0000"/>
                <w:sz w:val="21"/>
                <w:szCs w:val="21"/>
              </w:rPr>
            </w:pPr>
          </w:p>
        </w:tc>
        <w:tc>
          <w:tcPr>
            <w:tcW w:w="217" w:type="dxa"/>
          </w:tcPr>
          <w:p w14:paraId="7F56CD5A" w14:textId="77777777" w:rsidR="002C0FD9" w:rsidRPr="00CA25CF" w:rsidRDefault="002C0FD9" w:rsidP="00CA25CF">
            <w:pPr>
              <w:rPr>
                <w:rFonts w:cs="Arial"/>
                <w:color w:val="FF0000"/>
                <w:sz w:val="21"/>
                <w:szCs w:val="21"/>
              </w:rPr>
            </w:pPr>
          </w:p>
        </w:tc>
        <w:tc>
          <w:tcPr>
            <w:tcW w:w="217" w:type="dxa"/>
          </w:tcPr>
          <w:p w14:paraId="401100FD" w14:textId="77777777" w:rsidR="002C0FD9" w:rsidRPr="00CA25CF" w:rsidRDefault="002C0FD9" w:rsidP="00CA25CF">
            <w:pPr>
              <w:rPr>
                <w:rFonts w:cs="Arial"/>
                <w:color w:val="FF0000"/>
                <w:sz w:val="21"/>
                <w:szCs w:val="21"/>
              </w:rPr>
            </w:pPr>
          </w:p>
        </w:tc>
        <w:tc>
          <w:tcPr>
            <w:tcW w:w="217" w:type="dxa"/>
          </w:tcPr>
          <w:p w14:paraId="675FB729" w14:textId="77777777" w:rsidR="002C0FD9" w:rsidRPr="00CA25CF" w:rsidRDefault="002C0FD9" w:rsidP="00CA25CF">
            <w:pPr>
              <w:rPr>
                <w:rFonts w:cs="Arial"/>
                <w:color w:val="FF0000"/>
                <w:sz w:val="21"/>
                <w:szCs w:val="21"/>
              </w:rPr>
            </w:pPr>
          </w:p>
        </w:tc>
        <w:tc>
          <w:tcPr>
            <w:tcW w:w="217" w:type="dxa"/>
          </w:tcPr>
          <w:p w14:paraId="5E028426" w14:textId="77777777" w:rsidR="002C0FD9" w:rsidRPr="00CA25CF" w:rsidRDefault="002C0FD9" w:rsidP="00CA25CF">
            <w:pPr>
              <w:rPr>
                <w:rFonts w:cs="Arial"/>
                <w:color w:val="FF0000"/>
                <w:sz w:val="21"/>
                <w:szCs w:val="21"/>
              </w:rPr>
            </w:pPr>
          </w:p>
        </w:tc>
        <w:tc>
          <w:tcPr>
            <w:tcW w:w="217" w:type="dxa"/>
          </w:tcPr>
          <w:p w14:paraId="219480FF" w14:textId="77777777" w:rsidR="002C0FD9" w:rsidRPr="00CA25CF" w:rsidRDefault="002C0FD9" w:rsidP="00CA25CF">
            <w:pPr>
              <w:rPr>
                <w:rFonts w:cs="Arial"/>
                <w:color w:val="FF0000"/>
                <w:sz w:val="21"/>
                <w:szCs w:val="21"/>
              </w:rPr>
            </w:pPr>
          </w:p>
        </w:tc>
        <w:tc>
          <w:tcPr>
            <w:tcW w:w="217" w:type="dxa"/>
          </w:tcPr>
          <w:p w14:paraId="59256C49" w14:textId="77777777" w:rsidR="002C0FD9" w:rsidRPr="00CA25CF" w:rsidRDefault="002C0FD9" w:rsidP="00CA25CF">
            <w:pPr>
              <w:rPr>
                <w:rFonts w:cs="Arial"/>
                <w:color w:val="FF0000"/>
                <w:sz w:val="21"/>
                <w:szCs w:val="21"/>
              </w:rPr>
            </w:pPr>
          </w:p>
        </w:tc>
        <w:tc>
          <w:tcPr>
            <w:tcW w:w="217" w:type="dxa"/>
          </w:tcPr>
          <w:p w14:paraId="0BB80876" w14:textId="77777777" w:rsidR="002C0FD9" w:rsidRPr="00CA25CF" w:rsidRDefault="002C0FD9" w:rsidP="00CA25CF">
            <w:pPr>
              <w:rPr>
                <w:rFonts w:cs="Arial"/>
                <w:color w:val="FF0000"/>
                <w:sz w:val="21"/>
                <w:szCs w:val="21"/>
              </w:rPr>
            </w:pPr>
          </w:p>
        </w:tc>
        <w:tc>
          <w:tcPr>
            <w:tcW w:w="217" w:type="dxa"/>
          </w:tcPr>
          <w:p w14:paraId="2E294579" w14:textId="77777777" w:rsidR="002C0FD9" w:rsidRPr="00CA25CF" w:rsidRDefault="002C0FD9" w:rsidP="00CA25CF">
            <w:pPr>
              <w:rPr>
                <w:rFonts w:cs="Arial"/>
                <w:color w:val="FF0000"/>
                <w:sz w:val="21"/>
                <w:szCs w:val="21"/>
              </w:rPr>
            </w:pPr>
          </w:p>
        </w:tc>
        <w:tc>
          <w:tcPr>
            <w:tcW w:w="217" w:type="dxa"/>
          </w:tcPr>
          <w:p w14:paraId="005B0C0D" w14:textId="77777777" w:rsidR="002C0FD9" w:rsidRPr="00CA25CF" w:rsidRDefault="002C0FD9" w:rsidP="00CA25CF">
            <w:pPr>
              <w:rPr>
                <w:rFonts w:cs="Arial"/>
                <w:color w:val="FF0000"/>
                <w:sz w:val="21"/>
                <w:szCs w:val="21"/>
              </w:rPr>
            </w:pPr>
          </w:p>
        </w:tc>
        <w:tc>
          <w:tcPr>
            <w:tcW w:w="217" w:type="dxa"/>
          </w:tcPr>
          <w:p w14:paraId="3FEA0113" w14:textId="77777777" w:rsidR="002C0FD9" w:rsidRPr="00CA25CF" w:rsidRDefault="002C0FD9" w:rsidP="00CA25CF">
            <w:pPr>
              <w:rPr>
                <w:rFonts w:cs="Arial"/>
                <w:color w:val="FF0000"/>
                <w:sz w:val="21"/>
                <w:szCs w:val="21"/>
              </w:rPr>
            </w:pPr>
          </w:p>
        </w:tc>
        <w:tc>
          <w:tcPr>
            <w:tcW w:w="217" w:type="dxa"/>
          </w:tcPr>
          <w:p w14:paraId="0F381225" w14:textId="77777777" w:rsidR="002C0FD9" w:rsidRPr="00CA25CF" w:rsidRDefault="002C0FD9" w:rsidP="00CA25CF">
            <w:pPr>
              <w:rPr>
                <w:rFonts w:cs="Arial"/>
                <w:color w:val="FF0000"/>
                <w:sz w:val="21"/>
                <w:szCs w:val="21"/>
              </w:rPr>
            </w:pPr>
          </w:p>
        </w:tc>
      </w:tr>
      <w:tr w:rsidR="002C0FD9" w:rsidRPr="00A16219" w14:paraId="4B0AE55B" w14:textId="6E856BE1" w:rsidTr="002C0FD9">
        <w:trPr>
          <w:trHeight w:val="635"/>
        </w:trPr>
        <w:tc>
          <w:tcPr>
            <w:tcW w:w="515" w:type="dxa"/>
          </w:tcPr>
          <w:p w14:paraId="30D75F4C" w14:textId="77777777" w:rsidR="002C0FD9" w:rsidRPr="00CA25CF" w:rsidRDefault="002C0FD9" w:rsidP="00CA25CF">
            <w:pPr>
              <w:rPr>
                <w:rFonts w:cs="Arial"/>
                <w:color w:val="FF0000"/>
                <w:sz w:val="21"/>
                <w:szCs w:val="21"/>
              </w:rPr>
            </w:pPr>
          </w:p>
        </w:tc>
        <w:tc>
          <w:tcPr>
            <w:tcW w:w="217" w:type="dxa"/>
          </w:tcPr>
          <w:p w14:paraId="2B99631B" w14:textId="77777777" w:rsidR="002C0FD9" w:rsidRPr="00CA25CF" w:rsidRDefault="002C0FD9" w:rsidP="00CA25CF">
            <w:pPr>
              <w:rPr>
                <w:rFonts w:cs="Arial"/>
                <w:color w:val="FF0000"/>
                <w:sz w:val="21"/>
                <w:szCs w:val="21"/>
              </w:rPr>
            </w:pPr>
          </w:p>
        </w:tc>
        <w:tc>
          <w:tcPr>
            <w:tcW w:w="217" w:type="dxa"/>
          </w:tcPr>
          <w:p w14:paraId="516FB1D6" w14:textId="58AE239F" w:rsidR="002C0FD9" w:rsidRPr="00CA25CF" w:rsidRDefault="002C0FD9" w:rsidP="00CA25CF">
            <w:pPr>
              <w:rPr>
                <w:rFonts w:cs="Arial"/>
                <w:color w:val="FF0000"/>
                <w:sz w:val="21"/>
                <w:szCs w:val="21"/>
              </w:rPr>
            </w:pPr>
          </w:p>
        </w:tc>
        <w:tc>
          <w:tcPr>
            <w:tcW w:w="217" w:type="dxa"/>
          </w:tcPr>
          <w:p w14:paraId="450646AB" w14:textId="77777777" w:rsidR="002C0FD9" w:rsidRPr="00CA25CF" w:rsidRDefault="002C0FD9" w:rsidP="00CA25CF">
            <w:pPr>
              <w:rPr>
                <w:rFonts w:cs="Arial"/>
                <w:color w:val="FF0000"/>
                <w:sz w:val="21"/>
                <w:szCs w:val="21"/>
              </w:rPr>
            </w:pPr>
          </w:p>
        </w:tc>
        <w:tc>
          <w:tcPr>
            <w:tcW w:w="217" w:type="dxa"/>
          </w:tcPr>
          <w:p w14:paraId="1CD1E57D" w14:textId="77777777" w:rsidR="002C0FD9" w:rsidRPr="00CA25CF" w:rsidRDefault="002C0FD9" w:rsidP="00CA25CF">
            <w:pPr>
              <w:rPr>
                <w:rFonts w:cs="Arial"/>
                <w:color w:val="FF0000"/>
                <w:sz w:val="21"/>
                <w:szCs w:val="21"/>
              </w:rPr>
            </w:pPr>
          </w:p>
        </w:tc>
        <w:tc>
          <w:tcPr>
            <w:tcW w:w="217" w:type="dxa"/>
          </w:tcPr>
          <w:p w14:paraId="3B5DBE4F" w14:textId="77777777" w:rsidR="002C0FD9" w:rsidRPr="00CA25CF" w:rsidRDefault="002C0FD9" w:rsidP="00CA25CF">
            <w:pPr>
              <w:rPr>
                <w:rFonts w:cs="Arial"/>
                <w:color w:val="FF0000"/>
                <w:sz w:val="21"/>
                <w:szCs w:val="21"/>
              </w:rPr>
            </w:pPr>
          </w:p>
        </w:tc>
        <w:tc>
          <w:tcPr>
            <w:tcW w:w="217" w:type="dxa"/>
          </w:tcPr>
          <w:p w14:paraId="165AA4A2" w14:textId="77777777" w:rsidR="002C0FD9" w:rsidRPr="00CA25CF" w:rsidRDefault="002C0FD9" w:rsidP="00CA25CF">
            <w:pPr>
              <w:rPr>
                <w:rFonts w:cs="Arial"/>
                <w:color w:val="FF0000"/>
                <w:sz w:val="21"/>
                <w:szCs w:val="21"/>
              </w:rPr>
            </w:pPr>
          </w:p>
        </w:tc>
        <w:tc>
          <w:tcPr>
            <w:tcW w:w="217" w:type="dxa"/>
          </w:tcPr>
          <w:p w14:paraId="2E6A9CB7" w14:textId="77777777" w:rsidR="002C0FD9" w:rsidRPr="00CA25CF" w:rsidRDefault="002C0FD9" w:rsidP="00CA25CF">
            <w:pPr>
              <w:rPr>
                <w:rFonts w:cs="Arial"/>
                <w:color w:val="FF0000"/>
                <w:sz w:val="21"/>
                <w:szCs w:val="21"/>
              </w:rPr>
            </w:pPr>
          </w:p>
        </w:tc>
        <w:tc>
          <w:tcPr>
            <w:tcW w:w="217" w:type="dxa"/>
          </w:tcPr>
          <w:p w14:paraId="3DFF7A07" w14:textId="77777777" w:rsidR="002C0FD9" w:rsidRPr="00CA25CF" w:rsidRDefault="002C0FD9" w:rsidP="00CA25CF">
            <w:pPr>
              <w:rPr>
                <w:rFonts w:cs="Arial"/>
                <w:color w:val="FF0000"/>
                <w:sz w:val="21"/>
                <w:szCs w:val="21"/>
              </w:rPr>
            </w:pPr>
          </w:p>
        </w:tc>
        <w:tc>
          <w:tcPr>
            <w:tcW w:w="217" w:type="dxa"/>
          </w:tcPr>
          <w:p w14:paraId="0CF93D08" w14:textId="77777777" w:rsidR="002C0FD9" w:rsidRPr="00CA25CF" w:rsidRDefault="002C0FD9" w:rsidP="00CA25CF">
            <w:pPr>
              <w:rPr>
                <w:rFonts w:cs="Arial"/>
                <w:color w:val="FF0000"/>
                <w:sz w:val="21"/>
                <w:szCs w:val="21"/>
              </w:rPr>
            </w:pPr>
          </w:p>
        </w:tc>
        <w:tc>
          <w:tcPr>
            <w:tcW w:w="217" w:type="dxa"/>
          </w:tcPr>
          <w:p w14:paraId="50A71141" w14:textId="77777777" w:rsidR="002C0FD9" w:rsidRPr="00CA25CF" w:rsidRDefault="002C0FD9" w:rsidP="00CA25CF">
            <w:pPr>
              <w:rPr>
                <w:rFonts w:cs="Arial"/>
                <w:color w:val="FF0000"/>
                <w:sz w:val="21"/>
                <w:szCs w:val="21"/>
              </w:rPr>
            </w:pPr>
          </w:p>
        </w:tc>
        <w:tc>
          <w:tcPr>
            <w:tcW w:w="217" w:type="dxa"/>
          </w:tcPr>
          <w:p w14:paraId="344DD10B" w14:textId="77777777" w:rsidR="002C0FD9" w:rsidRPr="00CA25CF" w:rsidRDefault="002C0FD9" w:rsidP="00CA25CF">
            <w:pPr>
              <w:rPr>
                <w:rFonts w:cs="Arial"/>
                <w:color w:val="FF0000"/>
                <w:sz w:val="21"/>
                <w:szCs w:val="21"/>
              </w:rPr>
            </w:pPr>
          </w:p>
        </w:tc>
        <w:tc>
          <w:tcPr>
            <w:tcW w:w="217" w:type="dxa"/>
          </w:tcPr>
          <w:p w14:paraId="28595216" w14:textId="77777777" w:rsidR="002C0FD9" w:rsidRPr="00CA25CF" w:rsidRDefault="002C0FD9" w:rsidP="00CA25CF">
            <w:pPr>
              <w:rPr>
                <w:rFonts w:cs="Arial"/>
                <w:color w:val="FF0000"/>
                <w:sz w:val="21"/>
                <w:szCs w:val="21"/>
              </w:rPr>
            </w:pPr>
          </w:p>
        </w:tc>
        <w:tc>
          <w:tcPr>
            <w:tcW w:w="217" w:type="dxa"/>
          </w:tcPr>
          <w:p w14:paraId="05AEED96" w14:textId="77777777" w:rsidR="002C0FD9" w:rsidRPr="00CA25CF" w:rsidRDefault="002C0FD9" w:rsidP="00CA25CF">
            <w:pPr>
              <w:rPr>
                <w:rFonts w:cs="Arial"/>
                <w:color w:val="FF0000"/>
                <w:sz w:val="21"/>
                <w:szCs w:val="21"/>
              </w:rPr>
            </w:pPr>
          </w:p>
        </w:tc>
        <w:tc>
          <w:tcPr>
            <w:tcW w:w="217" w:type="dxa"/>
          </w:tcPr>
          <w:p w14:paraId="22DD53EF" w14:textId="77777777" w:rsidR="002C0FD9" w:rsidRPr="00CA25CF" w:rsidRDefault="002C0FD9" w:rsidP="00CA25CF">
            <w:pPr>
              <w:rPr>
                <w:rFonts w:cs="Arial"/>
                <w:color w:val="FF0000"/>
                <w:sz w:val="21"/>
                <w:szCs w:val="21"/>
              </w:rPr>
            </w:pPr>
          </w:p>
        </w:tc>
        <w:tc>
          <w:tcPr>
            <w:tcW w:w="217" w:type="dxa"/>
          </w:tcPr>
          <w:p w14:paraId="50C424F3" w14:textId="3DB0AD91" w:rsidR="002C0FD9" w:rsidRPr="00CA25CF" w:rsidRDefault="002C0FD9" w:rsidP="00CA25CF">
            <w:pPr>
              <w:rPr>
                <w:rFonts w:cs="Arial"/>
                <w:color w:val="FF0000"/>
                <w:sz w:val="21"/>
                <w:szCs w:val="21"/>
              </w:rPr>
            </w:pPr>
          </w:p>
        </w:tc>
        <w:tc>
          <w:tcPr>
            <w:tcW w:w="217" w:type="dxa"/>
          </w:tcPr>
          <w:p w14:paraId="0FCA4BD5" w14:textId="77777777" w:rsidR="002C0FD9" w:rsidRPr="00CA25CF" w:rsidRDefault="002C0FD9" w:rsidP="00CA25CF">
            <w:pPr>
              <w:rPr>
                <w:rFonts w:cs="Arial"/>
                <w:color w:val="FF0000"/>
                <w:sz w:val="21"/>
                <w:szCs w:val="21"/>
              </w:rPr>
            </w:pPr>
          </w:p>
        </w:tc>
        <w:tc>
          <w:tcPr>
            <w:tcW w:w="217" w:type="dxa"/>
          </w:tcPr>
          <w:p w14:paraId="5ECBDDC7" w14:textId="77777777" w:rsidR="002C0FD9" w:rsidRPr="00CA25CF" w:rsidRDefault="002C0FD9" w:rsidP="00CA25CF">
            <w:pPr>
              <w:rPr>
                <w:rFonts w:cs="Arial"/>
                <w:color w:val="FF0000"/>
                <w:sz w:val="21"/>
                <w:szCs w:val="21"/>
              </w:rPr>
            </w:pPr>
          </w:p>
        </w:tc>
        <w:tc>
          <w:tcPr>
            <w:tcW w:w="217" w:type="dxa"/>
          </w:tcPr>
          <w:p w14:paraId="4E080C5C" w14:textId="77777777" w:rsidR="002C0FD9" w:rsidRPr="00CA25CF" w:rsidRDefault="002C0FD9" w:rsidP="00CA25CF">
            <w:pPr>
              <w:rPr>
                <w:rFonts w:cs="Arial"/>
                <w:color w:val="FF0000"/>
                <w:sz w:val="21"/>
                <w:szCs w:val="21"/>
              </w:rPr>
            </w:pPr>
          </w:p>
        </w:tc>
        <w:tc>
          <w:tcPr>
            <w:tcW w:w="217" w:type="dxa"/>
          </w:tcPr>
          <w:p w14:paraId="25CF02EF" w14:textId="77777777" w:rsidR="002C0FD9" w:rsidRPr="00CA25CF" w:rsidRDefault="002C0FD9" w:rsidP="00CA25CF">
            <w:pPr>
              <w:rPr>
                <w:rFonts w:cs="Arial"/>
                <w:color w:val="FF0000"/>
                <w:sz w:val="21"/>
                <w:szCs w:val="21"/>
              </w:rPr>
            </w:pPr>
          </w:p>
        </w:tc>
        <w:tc>
          <w:tcPr>
            <w:tcW w:w="217" w:type="dxa"/>
          </w:tcPr>
          <w:p w14:paraId="11B058AE" w14:textId="77777777" w:rsidR="002C0FD9" w:rsidRPr="00CA25CF" w:rsidRDefault="002C0FD9" w:rsidP="00CA25CF">
            <w:pPr>
              <w:rPr>
                <w:rFonts w:cs="Arial"/>
                <w:color w:val="FF0000"/>
                <w:sz w:val="21"/>
                <w:szCs w:val="21"/>
              </w:rPr>
            </w:pPr>
          </w:p>
        </w:tc>
        <w:tc>
          <w:tcPr>
            <w:tcW w:w="217" w:type="dxa"/>
          </w:tcPr>
          <w:p w14:paraId="3546B41F" w14:textId="77777777" w:rsidR="002C0FD9" w:rsidRPr="00CA25CF" w:rsidRDefault="002C0FD9" w:rsidP="00CA25CF">
            <w:pPr>
              <w:rPr>
                <w:rFonts w:cs="Arial"/>
                <w:color w:val="FF0000"/>
                <w:sz w:val="21"/>
                <w:szCs w:val="21"/>
              </w:rPr>
            </w:pPr>
          </w:p>
        </w:tc>
        <w:tc>
          <w:tcPr>
            <w:tcW w:w="217" w:type="dxa"/>
          </w:tcPr>
          <w:p w14:paraId="0F888D81" w14:textId="77777777" w:rsidR="002C0FD9" w:rsidRPr="00CA25CF" w:rsidRDefault="002C0FD9" w:rsidP="00CA25CF">
            <w:pPr>
              <w:rPr>
                <w:rFonts w:cs="Arial"/>
                <w:color w:val="FF0000"/>
                <w:sz w:val="21"/>
                <w:szCs w:val="21"/>
              </w:rPr>
            </w:pPr>
          </w:p>
        </w:tc>
        <w:tc>
          <w:tcPr>
            <w:tcW w:w="217" w:type="dxa"/>
          </w:tcPr>
          <w:p w14:paraId="04A93D99" w14:textId="77777777" w:rsidR="002C0FD9" w:rsidRPr="00CA25CF" w:rsidRDefault="002C0FD9" w:rsidP="00CA25CF">
            <w:pPr>
              <w:rPr>
                <w:rFonts w:cs="Arial"/>
                <w:color w:val="FF0000"/>
                <w:sz w:val="21"/>
                <w:szCs w:val="21"/>
              </w:rPr>
            </w:pPr>
          </w:p>
        </w:tc>
        <w:tc>
          <w:tcPr>
            <w:tcW w:w="217" w:type="dxa"/>
          </w:tcPr>
          <w:p w14:paraId="6BACBEBE" w14:textId="77777777" w:rsidR="002C0FD9" w:rsidRPr="00CA25CF" w:rsidRDefault="002C0FD9" w:rsidP="00CA25CF">
            <w:pPr>
              <w:rPr>
                <w:rFonts w:cs="Arial"/>
                <w:color w:val="FF0000"/>
                <w:sz w:val="21"/>
                <w:szCs w:val="21"/>
              </w:rPr>
            </w:pPr>
          </w:p>
        </w:tc>
        <w:tc>
          <w:tcPr>
            <w:tcW w:w="217" w:type="dxa"/>
          </w:tcPr>
          <w:p w14:paraId="5D1E66A6" w14:textId="77777777" w:rsidR="002C0FD9" w:rsidRPr="00CA25CF" w:rsidRDefault="002C0FD9" w:rsidP="00CA25CF">
            <w:pPr>
              <w:rPr>
                <w:rFonts w:cs="Arial"/>
                <w:color w:val="FF0000"/>
                <w:sz w:val="21"/>
                <w:szCs w:val="21"/>
              </w:rPr>
            </w:pPr>
          </w:p>
        </w:tc>
        <w:tc>
          <w:tcPr>
            <w:tcW w:w="217" w:type="dxa"/>
          </w:tcPr>
          <w:p w14:paraId="7254D03C" w14:textId="77777777" w:rsidR="002C0FD9" w:rsidRPr="00CA25CF" w:rsidRDefault="002C0FD9" w:rsidP="00CA25CF">
            <w:pPr>
              <w:rPr>
                <w:rFonts w:cs="Arial"/>
                <w:color w:val="FF0000"/>
                <w:sz w:val="21"/>
                <w:szCs w:val="21"/>
              </w:rPr>
            </w:pPr>
          </w:p>
        </w:tc>
        <w:tc>
          <w:tcPr>
            <w:tcW w:w="217" w:type="dxa"/>
          </w:tcPr>
          <w:p w14:paraId="3AC57726" w14:textId="77777777" w:rsidR="002C0FD9" w:rsidRPr="00CA25CF" w:rsidRDefault="002C0FD9" w:rsidP="00CA25CF">
            <w:pPr>
              <w:rPr>
                <w:rFonts w:cs="Arial"/>
                <w:color w:val="FF0000"/>
                <w:sz w:val="21"/>
                <w:szCs w:val="21"/>
              </w:rPr>
            </w:pPr>
          </w:p>
        </w:tc>
        <w:tc>
          <w:tcPr>
            <w:tcW w:w="217" w:type="dxa"/>
          </w:tcPr>
          <w:p w14:paraId="4478AF1E" w14:textId="77777777" w:rsidR="002C0FD9" w:rsidRPr="00CA25CF" w:rsidRDefault="002C0FD9" w:rsidP="00CA25CF">
            <w:pPr>
              <w:rPr>
                <w:rFonts w:cs="Arial"/>
                <w:color w:val="FF0000"/>
                <w:sz w:val="21"/>
                <w:szCs w:val="21"/>
              </w:rPr>
            </w:pPr>
          </w:p>
        </w:tc>
        <w:tc>
          <w:tcPr>
            <w:tcW w:w="217" w:type="dxa"/>
          </w:tcPr>
          <w:p w14:paraId="64E2E238" w14:textId="77777777" w:rsidR="002C0FD9" w:rsidRPr="00CA25CF" w:rsidRDefault="002C0FD9" w:rsidP="00CA25CF">
            <w:pPr>
              <w:rPr>
                <w:rFonts w:cs="Arial"/>
                <w:color w:val="FF0000"/>
                <w:sz w:val="21"/>
                <w:szCs w:val="21"/>
              </w:rPr>
            </w:pPr>
          </w:p>
        </w:tc>
        <w:tc>
          <w:tcPr>
            <w:tcW w:w="217" w:type="dxa"/>
          </w:tcPr>
          <w:p w14:paraId="6F0D73C1" w14:textId="77777777" w:rsidR="002C0FD9" w:rsidRPr="00CA25CF" w:rsidRDefault="002C0FD9" w:rsidP="00CA25CF">
            <w:pPr>
              <w:rPr>
                <w:rFonts w:cs="Arial"/>
                <w:color w:val="FF0000"/>
                <w:sz w:val="21"/>
                <w:szCs w:val="21"/>
              </w:rPr>
            </w:pPr>
          </w:p>
        </w:tc>
        <w:tc>
          <w:tcPr>
            <w:tcW w:w="217" w:type="dxa"/>
          </w:tcPr>
          <w:p w14:paraId="721EA527" w14:textId="77777777" w:rsidR="002C0FD9" w:rsidRPr="00CA25CF" w:rsidRDefault="002C0FD9" w:rsidP="00CA25CF">
            <w:pPr>
              <w:rPr>
                <w:rFonts w:cs="Arial"/>
                <w:color w:val="FF0000"/>
                <w:sz w:val="21"/>
                <w:szCs w:val="21"/>
              </w:rPr>
            </w:pPr>
          </w:p>
        </w:tc>
        <w:tc>
          <w:tcPr>
            <w:tcW w:w="217" w:type="dxa"/>
          </w:tcPr>
          <w:p w14:paraId="1CB2B48B" w14:textId="77777777" w:rsidR="002C0FD9" w:rsidRPr="00CA25CF" w:rsidRDefault="002C0FD9" w:rsidP="00CA25CF">
            <w:pPr>
              <w:rPr>
                <w:rFonts w:cs="Arial"/>
                <w:color w:val="FF0000"/>
                <w:sz w:val="21"/>
                <w:szCs w:val="21"/>
              </w:rPr>
            </w:pPr>
          </w:p>
        </w:tc>
        <w:tc>
          <w:tcPr>
            <w:tcW w:w="217" w:type="dxa"/>
          </w:tcPr>
          <w:p w14:paraId="0EC4F737" w14:textId="77777777" w:rsidR="002C0FD9" w:rsidRPr="00CA25CF" w:rsidRDefault="002C0FD9" w:rsidP="00CA25CF">
            <w:pPr>
              <w:rPr>
                <w:rFonts w:cs="Arial"/>
                <w:color w:val="FF0000"/>
                <w:sz w:val="21"/>
                <w:szCs w:val="21"/>
              </w:rPr>
            </w:pPr>
          </w:p>
        </w:tc>
        <w:tc>
          <w:tcPr>
            <w:tcW w:w="217" w:type="dxa"/>
          </w:tcPr>
          <w:p w14:paraId="354CADBB" w14:textId="77777777" w:rsidR="002C0FD9" w:rsidRPr="00CA25CF" w:rsidRDefault="002C0FD9" w:rsidP="00CA25CF">
            <w:pPr>
              <w:rPr>
                <w:rFonts w:cs="Arial"/>
                <w:color w:val="FF0000"/>
                <w:sz w:val="21"/>
                <w:szCs w:val="21"/>
              </w:rPr>
            </w:pPr>
          </w:p>
        </w:tc>
        <w:tc>
          <w:tcPr>
            <w:tcW w:w="217" w:type="dxa"/>
          </w:tcPr>
          <w:p w14:paraId="59B1B3FA" w14:textId="77777777" w:rsidR="002C0FD9" w:rsidRPr="00CA25CF" w:rsidRDefault="002C0FD9" w:rsidP="00CA25CF">
            <w:pPr>
              <w:rPr>
                <w:rFonts w:cs="Arial"/>
                <w:color w:val="FF0000"/>
                <w:sz w:val="21"/>
                <w:szCs w:val="21"/>
              </w:rPr>
            </w:pPr>
          </w:p>
        </w:tc>
        <w:tc>
          <w:tcPr>
            <w:tcW w:w="217" w:type="dxa"/>
          </w:tcPr>
          <w:p w14:paraId="11525DE2" w14:textId="77777777" w:rsidR="002C0FD9" w:rsidRPr="00CA25CF" w:rsidRDefault="002C0FD9" w:rsidP="00CA25CF">
            <w:pPr>
              <w:rPr>
                <w:rFonts w:cs="Arial"/>
                <w:color w:val="FF0000"/>
                <w:sz w:val="21"/>
                <w:szCs w:val="21"/>
              </w:rPr>
            </w:pPr>
          </w:p>
        </w:tc>
        <w:tc>
          <w:tcPr>
            <w:tcW w:w="217" w:type="dxa"/>
          </w:tcPr>
          <w:p w14:paraId="1FE85556" w14:textId="77777777" w:rsidR="002C0FD9" w:rsidRPr="00CA25CF" w:rsidRDefault="002C0FD9" w:rsidP="00CA25CF">
            <w:pPr>
              <w:rPr>
                <w:rFonts w:cs="Arial"/>
                <w:color w:val="FF0000"/>
                <w:sz w:val="21"/>
                <w:szCs w:val="21"/>
              </w:rPr>
            </w:pPr>
          </w:p>
        </w:tc>
        <w:tc>
          <w:tcPr>
            <w:tcW w:w="217" w:type="dxa"/>
          </w:tcPr>
          <w:p w14:paraId="2F1E7A7E" w14:textId="77777777" w:rsidR="002C0FD9" w:rsidRPr="00CA25CF" w:rsidRDefault="002C0FD9" w:rsidP="00CA25CF">
            <w:pPr>
              <w:rPr>
                <w:rFonts w:cs="Arial"/>
                <w:color w:val="FF0000"/>
                <w:sz w:val="21"/>
                <w:szCs w:val="21"/>
              </w:rPr>
            </w:pPr>
          </w:p>
        </w:tc>
        <w:tc>
          <w:tcPr>
            <w:tcW w:w="217" w:type="dxa"/>
          </w:tcPr>
          <w:p w14:paraId="3F4DFABB" w14:textId="77777777" w:rsidR="002C0FD9" w:rsidRPr="00CA25CF" w:rsidRDefault="002C0FD9" w:rsidP="00CA25CF">
            <w:pPr>
              <w:rPr>
                <w:rFonts w:cs="Arial"/>
                <w:color w:val="FF0000"/>
                <w:sz w:val="21"/>
                <w:szCs w:val="21"/>
              </w:rPr>
            </w:pPr>
          </w:p>
        </w:tc>
        <w:tc>
          <w:tcPr>
            <w:tcW w:w="217" w:type="dxa"/>
          </w:tcPr>
          <w:p w14:paraId="2D98B24C" w14:textId="77777777" w:rsidR="002C0FD9" w:rsidRPr="00CA25CF" w:rsidRDefault="002C0FD9" w:rsidP="00CA25CF">
            <w:pPr>
              <w:rPr>
                <w:rFonts w:cs="Arial"/>
                <w:color w:val="FF0000"/>
                <w:sz w:val="21"/>
                <w:szCs w:val="21"/>
              </w:rPr>
            </w:pPr>
          </w:p>
        </w:tc>
        <w:tc>
          <w:tcPr>
            <w:tcW w:w="217" w:type="dxa"/>
          </w:tcPr>
          <w:p w14:paraId="55FCE9B2" w14:textId="77777777" w:rsidR="002C0FD9" w:rsidRPr="00CA25CF" w:rsidRDefault="002C0FD9" w:rsidP="00CA25CF">
            <w:pPr>
              <w:rPr>
                <w:rFonts w:cs="Arial"/>
                <w:color w:val="FF0000"/>
                <w:sz w:val="21"/>
                <w:szCs w:val="21"/>
              </w:rPr>
            </w:pPr>
          </w:p>
        </w:tc>
        <w:tc>
          <w:tcPr>
            <w:tcW w:w="217" w:type="dxa"/>
          </w:tcPr>
          <w:p w14:paraId="629E3491" w14:textId="77777777" w:rsidR="002C0FD9" w:rsidRPr="00CA25CF" w:rsidRDefault="002C0FD9" w:rsidP="00CA25CF">
            <w:pPr>
              <w:rPr>
                <w:rFonts w:cs="Arial"/>
                <w:color w:val="FF0000"/>
                <w:sz w:val="21"/>
                <w:szCs w:val="21"/>
              </w:rPr>
            </w:pPr>
          </w:p>
        </w:tc>
      </w:tr>
      <w:tr w:rsidR="002C0FD9" w:rsidRPr="00A16219" w14:paraId="006658D0" w14:textId="4BA5C5A7" w:rsidTr="002C0FD9">
        <w:trPr>
          <w:trHeight w:val="635"/>
        </w:trPr>
        <w:tc>
          <w:tcPr>
            <w:tcW w:w="515" w:type="dxa"/>
          </w:tcPr>
          <w:p w14:paraId="7C0DBBD5" w14:textId="77777777" w:rsidR="002C0FD9" w:rsidRPr="00CA25CF" w:rsidRDefault="002C0FD9" w:rsidP="00CA25CF">
            <w:pPr>
              <w:rPr>
                <w:rFonts w:cs="Arial"/>
                <w:color w:val="FF0000"/>
                <w:sz w:val="21"/>
                <w:szCs w:val="21"/>
              </w:rPr>
            </w:pPr>
          </w:p>
        </w:tc>
        <w:tc>
          <w:tcPr>
            <w:tcW w:w="217" w:type="dxa"/>
          </w:tcPr>
          <w:p w14:paraId="3BB8930C" w14:textId="77777777" w:rsidR="002C0FD9" w:rsidRPr="00CA25CF" w:rsidRDefault="002C0FD9" w:rsidP="00CA25CF">
            <w:pPr>
              <w:rPr>
                <w:rFonts w:cs="Arial"/>
                <w:color w:val="FF0000"/>
                <w:sz w:val="21"/>
                <w:szCs w:val="21"/>
              </w:rPr>
            </w:pPr>
          </w:p>
        </w:tc>
        <w:tc>
          <w:tcPr>
            <w:tcW w:w="217" w:type="dxa"/>
          </w:tcPr>
          <w:p w14:paraId="35EBCA2C" w14:textId="67BC3E8D" w:rsidR="002C0FD9" w:rsidRPr="00CA25CF" w:rsidRDefault="002C0FD9" w:rsidP="00CA25CF">
            <w:pPr>
              <w:rPr>
                <w:rFonts w:cs="Arial"/>
                <w:color w:val="FF0000"/>
                <w:sz w:val="21"/>
                <w:szCs w:val="21"/>
              </w:rPr>
            </w:pPr>
          </w:p>
        </w:tc>
        <w:tc>
          <w:tcPr>
            <w:tcW w:w="217" w:type="dxa"/>
          </w:tcPr>
          <w:p w14:paraId="31B7D420" w14:textId="77777777" w:rsidR="002C0FD9" w:rsidRPr="00CA25CF" w:rsidRDefault="002C0FD9" w:rsidP="00CA25CF">
            <w:pPr>
              <w:rPr>
                <w:rFonts w:cs="Arial"/>
                <w:color w:val="FF0000"/>
                <w:sz w:val="21"/>
                <w:szCs w:val="21"/>
              </w:rPr>
            </w:pPr>
          </w:p>
        </w:tc>
        <w:tc>
          <w:tcPr>
            <w:tcW w:w="217" w:type="dxa"/>
          </w:tcPr>
          <w:p w14:paraId="745196CE" w14:textId="77777777" w:rsidR="002C0FD9" w:rsidRPr="00CA25CF" w:rsidRDefault="002C0FD9" w:rsidP="00CA25CF">
            <w:pPr>
              <w:rPr>
                <w:rFonts w:cs="Arial"/>
                <w:color w:val="FF0000"/>
                <w:sz w:val="21"/>
                <w:szCs w:val="21"/>
              </w:rPr>
            </w:pPr>
          </w:p>
        </w:tc>
        <w:tc>
          <w:tcPr>
            <w:tcW w:w="217" w:type="dxa"/>
          </w:tcPr>
          <w:p w14:paraId="79134C1A" w14:textId="77777777" w:rsidR="002C0FD9" w:rsidRPr="00CA25CF" w:rsidRDefault="002C0FD9" w:rsidP="00CA25CF">
            <w:pPr>
              <w:rPr>
                <w:rFonts w:cs="Arial"/>
                <w:color w:val="FF0000"/>
                <w:sz w:val="21"/>
                <w:szCs w:val="21"/>
              </w:rPr>
            </w:pPr>
          </w:p>
        </w:tc>
        <w:tc>
          <w:tcPr>
            <w:tcW w:w="217" w:type="dxa"/>
          </w:tcPr>
          <w:p w14:paraId="745B779B" w14:textId="77777777" w:rsidR="002C0FD9" w:rsidRPr="00CA25CF" w:rsidRDefault="002C0FD9" w:rsidP="00CA25CF">
            <w:pPr>
              <w:rPr>
                <w:rFonts w:cs="Arial"/>
                <w:color w:val="FF0000"/>
                <w:sz w:val="21"/>
                <w:szCs w:val="21"/>
              </w:rPr>
            </w:pPr>
          </w:p>
        </w:tc>
        <w:tc>
          <w:tcPr>
            <w:tcW w:w="217" w:type="dxa"/>
          </w:tcPr>
          <w:p w14:paraId="74086061" w14:textId="77777777" w:rsidR="002C0FD9" w:rsidRPr="00CA25CF" w:rsidRDefault="002C0FD9" w:rsidP="00CA25CF">
            <w:pPr>
              <w:rPr>
                <w:rFonts w:cs="Arial"/>
                <w:color w:val="FF0000"/>
                <w:sz w:val="21"/>
                <w:szCs w:val="21"/>
              </w:rPr>
            </w:pPr>
          </w:p>
        </w:tc>
        <w:tc>
          <w:tcPr>
            <w:tcW w:w="217" w:type="dxa"/>
          </w:tcPr>
          <w:p w14:paraId="343A9201" w14:textId="77777777" w:rsidR="002C0FD9" w:rsidRPr="00CA25CF" w:rsidRDefault="002C0FD9" w:rsidP="00CA25CF">
            <w:pPr>
              <w:rPr>
                <w:rFonts w:cs="Arial"/>
                <w:color w:val="FF0000"/>
                <w:sz w:val="21"/>
                <w:szCs w:val="21"/>
              </w:rPr>
            </w:pPr>
          </w:p>
        </w:tc>
        <w:tc>
          <w:tcPr>
            <w:tcW w:w="217" w:type="dxa"/>
          </w:tcPr>
          <w:p w14:paraId="45FFFF6A" w14:textId="77777777" w:rsidR="002C0FD9" w:rsidRPr="00CA25CF" w:rsidRDefault="002C0FD9" w:rsidP="00CA25CF">
            <w:pPr>
              <w:rPr>
                <w:rFonts w:cs="Arial"/>
                <w:color w:val="FF0000"/>
                <w:sz w:val="21"/>
                <w:szCs w:val="21"/>
              </w:rPr>
            </w:pPr>
          </w:p>
        </w:tc>
        <w:tc>
          <w:tcPr>
            <w:tcW w:w="217" w:type="dxa"/>
          </w:tcPr>
          <w:p w14:paraId="08F65130" w14:textId="77777777" w:rsidR="002C0FD9" w:rsidRPr="00CA25CF" w:rsidRDefault="002C0FD9" w:rsidP="00CA25CF">
            <w:pPr>
              <w:rPr>
                <w:rFonts w:cs="Arial"/>
                <w:color w:val="FF0000"/>
                <w:sz w:val="21"/>
                <w:szCs w:val="21"/>
              </w:rPr>
            </w:pPr>
          </w:p>
        </w:tc>
        <w:tc>
          <w:tcPr>
            <w:tcW w:w="217" w:type="dxa"/>
          </w:tcPr>
          <w:p w14:paraId="6C956372" w14:textId="77777777" w:rsidR="002C0FD9" w:rsidRPr="00CA25CF" w:rsidRDefault="002C0FD9" w:rsidP="00CA25CF">
            <w:pPr>
              <w:rPr>
                <w:rFonts w:cs="Arial"/>
                <w:color w:val="FF0000"/>
                <w:sz w:val="21"/>
                <w:szCs w:val="21"/>
              </w:rPr>
            </w:pPr>
          </w:p>
        </w:tc>
        <w:tc>
          <w:tcPr>
            <w:tcW w:w="217" w:type="dxa"/>
          </w:tcPr>
          <w:p w14:paraId="3A14F16B" w14:textId="77777777" w:rsidR="002C0FD9" w:rsidRPr="00CA25CF" w:rsidRDefault="002C0FD9" w:rsidP="00CA25CF">
            <w:pPr>
              <w:rPr>
                <w:rFonts w:cs="Arial"/>
                <w:color w:val="FF0000"/>
                <w:sz w:val="21"/>
                <w:szCs w:val="21"/>
              </w:rPr>
            </w:pPr>
          </w:p>
        </w:tc>
        <w:tc>
          <w:tcPr>
            <w:tcW w:w="217" w:type="dxa"/>
          </w:tcPr>
          <w:p w14:paraId="507E6A04" w14:textId="77777777" w:rsidR="002C0FD9" w:rsidRPr="00CA25CF" w:rsidRDefault="002C0FD9" w:rsidP="00CA25CF">
            <w:pPr>
              <w:rPr>
                <w:rFonts w:cs="Arial"/>
                <w:color w:val="FF0000"/>
                <w:sz w:val="21"/>
                <w:szCs w:val="21"/>
              </w:rPr>
            </w:pPr>
          </w:p>
        </w:tc>
        <w:tc>
          <w:tcPr>
            <w:tcW w:w="217" w:type="dxa"/>
          </w:tcPr>
          <w:p w14:paraId="1CB5F49F" w14:textId="77777777" w:rsidR="002C0FD9" w:rsidRPr="00CA25CF" w:rsidRDefault="002C0FD9" w:rsidP="00CA25CF">
            <w:pPr>
              <w:rPr>
                <w:rFonts w:cs="Arial"/>
                <w:color w:val="FF0000"/>
                <w:sz w:val="21"/>
                <w:szCs w:val="21"/>
              </w:rPr>
            </w:pPr>
          </w:p>
        </w:tc>
        <w:tc>
          <w:tcPr>
            <w:tcW w:w="217" w:type="dxa"/>
          </w:tcPr>
          <w:p w14:paraId="1D382D5C" w14:textId="3CEB9186" w:rsidR="002C0FD9" w:rsidRPr="00CA25CF" w:rsidRDefault="002C0FD9" w:rsidP="00CA25CF">
            <w:pPr>
              <w:rPr>
                <w:rFonts w:cs="Arial"/>
                <w:color w:val="FF0000"/>
                <w:sz w:val="21"/>
                <w:szCs w:val="21"/>
              </w:rPr>
            </w:pPr>
          </w:p>
        </w:tc>
        <w:tc>
          <w:tcPr>
            <w:tcW w:w="217" w:type="dxa"/>
          </w:tcPr>
          <w:p w14:paraId="0F30E423" w14:textId="77777777" w:rsidR="002C0FD9" w:rsidRPr="00CA25CF" w:rsidRDefault="002C0FD9" w:rsidP="00CA25CF">
            <w:pPr>
              <w:rPr>
                <w:rFonts w:cs="Arial"/>
                <w:color w:val="FF0000"/>
                <w:sz w:val="21"/>
                <w:szCs w:val="21"/>
              </w:rPr>
            </w:pPr>
          </w:p>
        </w:tc>
        <w:tc>
          <w:tcPr>
            <w:tcW w:w="217" w:type="dxa"/>
          </w:tcPr>
          <w:p w14:paraId="61ACD1A7" w14:textId="77777777" w:rsidR="002C0FD9" w:rsidRPr="00CA25CF" w:rsidRDefault="002C0FD9" w:rsidP="00CA25CF">
            <w:pPr>
              <w:rPr>
                <w:rFonts w:cs="Arial"/>
                <w:color w:val="FF0000"/>
                <w:sz w:val="21"/>
                <w:szCs w:val="21"/>
              </w:rPr>
            </w:pPr>
          </w:p>
        </w:tc>
        <w:tc>
          <w:tcPr>
            <w:tcW w:w="217" w:type="dxa"/>
          </w:tcPr>
          <w:p w14:paraId="3DF3E3B0" w14:textId="77777777" w:rsidR="002C0FD9" w:rsidRPr="00CA25CF" w:rsidRDefault="002C0FD9" w:rsidP="00CA25CF">
            <w:pPr>
              <w:rPr>
                <w:rFonts w:cs="Arial"/>
                <w:color w:val="FF0000"/>
                <w:sz w:val="21"/>
                <w:szCs w:val="21"/>
              </w:rPr>
            </w:pPr>
          </w:p>
        </w:tc>
        <w:tc>
          <w:tcPr>
            <w:tcW w:w="217" w:type="dxa"/>
          </w:tcPr>
          <w:p w14:paraId="50729F9E" w14:textId="77777777" w:rsidR="002C0FD9" w:rsidRPr="00CA25CF" w:rsidRDefault="002C0FD9" w:rsidP="00CA25CF">
            <w:pPr>
              <w:rPr>
                <w:rFonts w:cs="Arial"/>
                <w:color w:val="FF0000"/>
                <w:sz w:val="21"/>
                <w:szCs w:val="21"/>
              </w:rPr>
            </w:pPr>
          </w:p>
        </w:tc>
        <w:tc>
          <w:tcPr>
            <w:tcW w:w="217" w:type="dxa"/>
          </w:tcPr>
          <w:p w14:paraId="58625194" w14:textId="77777777" w:rsidR="002C0FD9" w:rsidRPr="00CA25CF" w:rsidRDefault="002C0FD9" w:rsidP="00CA25CF">
            <w:pPr>
              <w:rPr>
                <w:rFonts w:cs="Arial"/>
                <w:color w:val="FF0000"/>
                <w:sz w:val="21"/>
                <w:szCs w:val="21"/>
              </w:rPr>
            </w:pPr>
          </w:p>
        </w:tc>
        <w:tc>
          <w:tcPr>
            <w:tcW w:w="217" w:type="dxa"/>
          </w:tcPr>
          <w:p w14:paraId="4EE08B28" w14:textId="77777777" w:rsidR="002C0FD9" w:rsidRPr="00CA25CF" w:rsidRDefault="002C0FD9" w:rsidP="00CA25CF">
            <w:pPr>
              <w:rPr>
                <w:rFonts w:cs="Arial"/>
                <w:color w:val="FF0000"/>
                <w:sz w:val="21"/>
                <w:szCs w:val="21"/>
              </w:rPr>
            </w:pPr>
          </w:p>
        </w:tc>
        <w:tc>
          <w:tcPr>
            <w:tcW w:w="217" w:type="dxa"/>
          </w:tcPr>
          <w:p w14:paraId="319C85AA" w14:textId="77777777" w:rsidR="002C0FD9" w:rsidRPr="00CA25CF" w:rsidRDefault="002C0FD9" w:rsidP="00CA25CF">
            <w:pPr>
              <w:rPr>
                <w:rFonts w:cs="Arial"/>
                <w:color w:val="FF0000"/>
                <w:sz w:val="21"/>
                <w:szCs w:val="21"/>
              </w:rPr>
            </w:pPr>
          </w:p>
        </w:tc>
        <w:tc>
          <w:tcPr>
            <w:tcW w:w="217" w:type="dxa"/>
          </w:tcPr>
          <w:p w14:paraId="5CC0971C" w14:textId="77777777" w:rsidR="002C0FD9" w:rsidRPr="00CA25CF" w:rsidRDefault="002C0FD9" w:rsidP="00CA25CF">
            <w:pPr>
              <w:rPr>
                <w:rFonts w:cs="Arial"/>
                <w:color w:val="FF0000"/>
                <w:sz w:val="21"/>
                <w:szCs w:val="21"/>
              </w:rPr>
            </w:pPr>
          </w:p>
        </w:tc>
        <w:tc>
          <w:tcPr>
            <w:tcW w:w="217" w:type="dxa"/>
          </w:tcPr>
          <w:p w14:paraId="6371EA88" w14:textId="77777777" w:rsidR="002C0FD9" w:rsidRPr="00CA25CF" w:rsidRDefault="002C0FD9" w:rsidP="00CA25CF">
            <w:pPr>
              <w:rPr>
                <w:rFonts w:cs="Arial"/>
                <w:color w:val="FF0000"/>
                <w:sz w:val="21"/>
                <w:szCs w:val="21"/>
              </w:rPr>
            </w:pPr>
          </w:p>
        </w:tc>
        <w:tc>
          <w:tcPr>
            <w:tcW w:w="217" w:type="dxa"/>
          </w:tcPr>
          <w:p w14:paraId="243F49AF" w14:textId="77777777" w:rsidR="002C0FD9" w:rsidRPr="00CA25CF" w:rsidRDefault="002C0FD9" w:rsidP="00CA25CF">
            <w:pPr>
              <w:rPr>
                <w:rFonts w:cs="Arial"/>
                <w:color w:val="FF0000"/>
                <w:sz w:val="21"/>
                <w:szCs w:val="21"/>
              </w:rPr>
            </w:pPr>
          </w:p>
        </w:tc>
        <w:tc>
          <w:tcPr>
            <w:tcW w:w="217" w:type="dxa"/>
          </w:tcPr>
          <w:p w14:paraId="2AFA9618" w14:textId="77777777" w:rsidR="002C0FD9" w:rsidRPr="00CA25CF" w:rsidRDefault="002C0FD9" w:rsidP="00CA25CF">
            <w:pPr>
              <w:rPr>
                <w:rFonts w:cs="Arial"/>
                <w:color w:val="FF0000"/>
                <w:sz w:val="21"/>
                <w:szCs w:val="21"/>
              </w:rPr>
            </w:pPr>
          </w:p>
        </w:tc>
        <w:tc>
          <w:tcPr>
            <w:tcW w:w="217" w:type="dxa"/>
          </w:tcPr>
          <w:p w14:paraId="6A5CD030" w14:textId="77777777" w:rsidR="002C0FD9" w:rsidRPr="00CA25CF" w:rsidRDefault="002C0FD9" w:rsidP="00CA25CF">
            <w:pPr>
              <w:rPr>
                <w:rFonts w:cs="Arial"/>
                <w:color w:val="FF0000"/>
                <w:sz w:val="21"/>
                <w:szCs w:val="21"/>
              </w:rPr>
            </w:pPr>
          </w:p>
        </w:tc>
        <w:tc>
          <w:tcPr>
            <w:tcW w:w="217" w:type="dxa"/>
          </w:tcPr>
          <w:p w14:paraId="05ABA77E" w14:textId="77777777" w:rsidR="002C0FD9" w:rsidRPr="00CA25CF" w:rsidRDefault="002C0FD9" w:rsidP="00CA25CF">
            <w:pPr>
              <w:rPr>
                <w:rFonts w:cs="Arial"/>
                <w:color w:val="FF0000"/>
                <w:sz w:val="21"/>
                <w:szCs w:val="21"/>
              </w:rPr>
            </w:pPr>
          </w:p>
        </w:tc>
        <w:tc>
          <w:tcPr>
            <w:tcW w:w="217" w:type="dxa"/>
          </w:tcPr>
          <w:p w14:paraId="25454F63" w14:textId="77777777" w:rsidR="002C0FD9" w:rsidRPr="00CA25CF" w:rsidRDefault="002C0FD9" w:rsidP="00CA25CF">
            <w:pPr>
              <w:rPr>
                <w:rFonts w:cs="Arial"/>
                <w:color w:val="FF0000"/>
                <w:sz w:val="21"/>
                <w:szCs w:val="21"/>
              </w:rPr>
            </w:pPr>
          </w:p>
        </w:tc>
        <w:tc>
          <w:tcPr>
            <w:tcW w:w="217" w:type="dxa"/>
          </w:tcPr>
          <w:p w14:paraId="6F034ECC" w14:textId="77777777" w:rsidR="002C0FD9" w:rsidRPr="00CA25CF" w:rsidRDefault="002C0FD9" w:rsidP="00CA25CF">
            <w:pPr>
              <w:rPr>
                <w:rFonts w:cs="Arial"/>
                <w:color w:val="FF0000"/>
                <w:sz w:val="21"/>
                <w:szCs w:val="21"/>
              </w:rPr>
            </w:pPr>
          </w:p>
        </w:tc>
        <w:tc>
          <w:tcPr>
            <w:tcW w:w="217" w:type="dxa"/>
          </w:tcPr>
          <w:p w14:paraId="6CF2CD09" w14:textId="77777777" w:rsidR="002C0FD9" w:rsidRPr="00CA25CF" w:rsidRDefault="002C0FD9" w:rsidP="00CA25CF">
            <w:pPr>
              <w:rPr>
                <w:rFonts w:cs="Arial"/>
                <w:color w:val="FF0000"/>
                <w:sz w:val="21"/>
                <w:szCs w:val="21"/>
              </w:rPr>
            </w:pPr>
          </w:p>
        </w:tc>
        <w:tc>
          <w:tcPr>
            <w:tcW w:w="217" w:type="dxa"/>
          </w:tcPr>
          <w:p w14:paraId="39B0C5E2" w14:textId="77777777" w:rsidR="002C0FD9" w:rsidRPr="00CA25CF" w:rsidRDefault="002C0FD9" w:rsidP="00CA25CF">
            <w:pPr>
              <w:rPr>
                <w:rFonts w:cs="Arial"/>
                <w:color w:val="FF0000"/>
                <w:sz w:val="21"/>
                <w:szCs w:val="21"/>
              </w:rPr>
            </w:pPr>
          </w:p>
        </w:tc>
        <w:tc>
          <w:tcPr>
            <w:tcW w:w="217" w:type="dxa"/>
          </w:tcPr>
          <w:p w14:paraId="4DA4536E" w14:textId="77777777" w:rsidR="002C0FD9" w:rsidRPr="00CA25CF" w:rsidRDefault="002C0FD9" w:rsidP="00CA25CF">
            <w:pPr>
              <w:rPr>
                <w:rFonts w:cs="Arial"/>
                <w:color w:val="FF0000"/>
                <w:sz w:val="21"/>
                <w:szCs w:val="21"/>
              </w:rPr>
            </w:pPr>
          </w:p>
        </w:tc>
        <w:tc>
          <w:tcPr>
            <w:tcW w:w="217" w:type="dxa"/>
          </w:tcPr>
          <w:p w14:paraId="3421851E" w14:textId="77777777" w:rsidR="002C0FD9" w:rsidRPr="00CA25CF" w:rsidRDefault="002C0FD9" w:rsidP="00CA25CF">
            <w:pPr>
              <w:rPr>
                <w:rFonts w:cs="Arial"/>
                <w:color w:val="FF0000"/>
                <w:sz w:val="21"/>
                <w:szCs w:val="21"/>
              </w:rPr>
            </w:pPr>
          </w:p>
        </w:tc>
        <w:tc>
          <w:tcPr>
            <w:tcW w:w="217" w:type="dxa"/>
          </w:tcPr>
          <w:p w14:paraId="04FCA7CB" w14:textId="77777777" w:rsidR="002C0FD9" w:rsidRPr="00CA25CF" w:rsidRDefault="002C0FD9" w:rsidP="00CA25CF">
            <w:pPr>
              <w:rPr>
                <w:rFonts w:cs="Arial"/>
                <w:color w:val="FF0000"/>
                <w:sz w:val="21"/>
                <w:szCs w:val="21"/>
              </w:rPr>
            </w:pPr>
          </w:p>
        </w:tc>
        <w:tc>
          <w:tcPr>
            <w:tcW w:w="217" w:type="dxa"/>
          </w:tcPr>
          <w:p w14:paraId="6BBDCCB1" w14:textId="77777777" w:rsidR="002C0FD9" w:rsidRPr="00CA25CF" w:rsidRDefault="002C0FD9" w:rsidP="00CA25CF">
            <w:pPr>
              <w:rPr>
                <w:rFonts w:cs="Arial"/>
                <w:color w:val="FF0000"/>
                <w:sz w:val="21"/>
                <w:szCs w:val="21"/>
              </w:rPr>
            </w:pPr>
          </w:p>
        </w:tc>
        <w:tc>
          <w:tcPr>
            <w:tcW w:w="217" w:type="dxa"/>
          </w:tcPr>
          <w:p w14:paraId="6B629A1C" w14:textId="77777777" w:rsidR="002C0FD9" w:rsidRPr="00CA25CF" w:rsidRDefault="002C0FD9" w:rsidP="00CA25CF">
            <w:pPr>
              <w:rPr>
                <w:rFonts w:cs="Arial"/>
                <w:color w:val="FF0000"/>
                <w:sz w:val="21"/>
                <w:szCs w:val="21"/>
              </w:rPr>
            </w:pPr>
          </w:p>
        </w:tc>
        <w:tc>
          <w:tcPr>
            <w:tcW w:w="217" w:type="dxa"/>
          </w:tcPr>
          <w:p w14:paraId="40BF0F18" w14:textId="77777777" w:rsidR="002C0FD9" w:rsidRPr="00CA25CF" w:rsidRDefault="002C0FD9" w:rsidP="00CA25CF">
            <w:pPr>
              <w:rPr>
                <w:rFonts w:cs="Arial"/>
                <w:color w:val="FF0000"/>
                <w:sz w:val="21"/>
                <w:szCs w:val="21"/>
              </w:rPr>
            </w:pPr>
          </w:p>
        </w:tc>
        <w:tc>
          <w:tcPr>
            <w:tcW w:w="217" w:type="dxa"/>
          </w:tcPr>
          <w:p w14:paraId="7CB2ED59" w14:textId="77777777" w:rsidR="002C0FD9" w:rsidRPr="00CA25CF" w:rsidRDefault="002C0FD9" w:rsidP="00CA25CF">
            <w:pPr>
              <w:rPr>
                <w:rFonts w:cs="Arial"/>
                <w:color w:val="FF0000"/>
                <w:sz w:val="21"/>
                <w:szCs w:val="21"/>
              </w:rPr>
            </w:pPr>
          </w:p>
        </w:tc>
        <w:tc>
          <w:tcPr>
            <w:tcW w:w="217" w:type="dxa"/>
          </w:tcPr>
          <w:p w14:paraId="7748632B" w14:textId="77777777" w:rsidR="002C0FD9" w:rsidRPr="00CA25CF" w:rsidRDefault="002C0FD9" w:rsidP="00CA25CF">
            <w:pPr>
              <w:rPr>
                <w:rFonts w:cs="Arial"/>
                <w:color w:val="FF0000"/>
                <w:sz w:val="21"/>
                <w:szCs w:val="21"/>
              </w:rPr>
            </w:pPr>
          </w:p>
        </w:tc>
        <w:tc>
          <w:tcPr>
            <w:tcW w:w="217" w:type="dxa"/>
          </w:tcPr>
          <w:p w14:paraId="2F1161C8" w14:textId="77777777" w:rsidR="002C0FD9" w:rsidRPr="00CA25CF" w:rsidRDefault="002C0FD9" w:rsidP="00CA25CF">
            <w:pPr>
              <w:rPr>
                <w:rFonts w:cs="Arial"/>
                <w:color w:val="FF0000"/>
                <w:sz w:val="21"/>
                <w:szCs w:val="21"/>
              </w:rPr>
            </w:pPr>
          </w:p>
        </w:tc>
        <w:tc>
          <w:tcPr>
            <w:tcW w:w="217" w:type="dxa"/>
          </w:tcPr>
          <w:p w14:paraId="48E1048E" w14:textId="77777777" w:rsidR="002C0FD9" w:rsidRPr="00CA25CF" w:rsidRDefault="002C0FD9" w:rsidP="00CA25CF">
            <w:pPr>
              <w:rPr>
                <w:rFonts w:cs="Arial"/>
                <w:color w:val="FF0000"/>
                <w:sz w:val="21"/>
                <w:szCs w:val="21"/>
              </w:rPr>
            </w:pPr>
          </w:p>
        </w:tc>
      </w:tr>
      <w:tr w:rsidR="002C0FD9" w:rsidRPr="00A16219" w14:paraId="6904E282" w14:textId="6ED5038D" w:rsidTr="002C0FD9">
        <w:trPr>
          <w:trHeight w:val="635"/>
        </w:trPr>
        <w:tc>
          <w:tcPr>
            <w:tcW w:w="515" w:type="dxa"/>
          </w:tcPr>
          <w:p w14:paraId="7169C281" w14:textId="77777777" w:rsidR="002C0FD9" w:rsidRPr="00CA25CF" w:rsidRDefault="002C0FD9" w:rsidP="00CA25CF">
            <w:pPr>
              <w:rPr>
                <w:rFonts w:cs="Arial"/>
                <w:color w:val="FF0000"/>
                <w:sz w:val="21"/>
                <w:szCs w:val="21"/>
              </w:rPr>
            </w:pPr>
          </w:p>
        </w:tc>
        <w:tc>
          <w:tcPr>
            <w:tcW w:w="217" w:type="dxa"/>
          </w:tcPr>
          <w:p w14:paraId="7EAD0551" w14:textId="77777777" w:rsidR="002C0FD9" w:rsidRPr="00CA25CF" w:rsidRDefault="002C0FD9" w:rsidP="00CA25CF">
            <w:pPr>
              <w:rPr>
                <w:rFonts w:cs="Arial"/>
                <w:color w:val="FF0000"/>
                <w:sz w:val="21"/>
                <w:szCs w:val="21"/>
              </w:rPr>
            </w:pPr>
          </w:p>
        </w:tc>
        <w:tc>
          <w:tcPr>
            <w:tcW w:w="217" w:type="dxa"/>
          </w:tcPr>
          <w:p w14:paraId="0157CFBF" w14:textId="5D577193" w:rsidR="002C0FD9" w:rsidRPr="00CA25CF" w:rsidRDefault="002C0FD9" w:rsidP="00CA25CF">
            <w:pPr>
              <w:rPr>
                <w:rFonts w:cs="Arial"/>
                <w:color w:val="FF0000"/>
                <w:sz w:val="21"/>
                <w:szCs w:val="21"/>
              </w:rPr>
            </w:pPr>
          </w:p>
        </w:tc>
        <w:tc>
          <w:tcPr>
            <w:tcW w:w="217" w:type="dxa"/>
          </w:tcPr>
          <w:p w14:paraId="20C97E12" w14:textId="77777777" w:rsidR="002C0FD9" w:rsidRPr="00CA25CF" w:rsidRDefault="002C0FD9" w:rsidP="00CA25CF">
            <w:pPr>
              <w:rPr>
                <w:rFonts w:cs="Arial"/>
                <w:color w:val="FF0000"/>
                <w:sz w:val="21"/>
                <w:szCs w:val="21"/>
              </w:rPr>
            </w:pPr>
          </w:p>
        </w:tc>
        <w:tc>
          <w:tcPr>
            <w:tcW w:w="217" w:type="dxa"/>
          </w:tcPr>
          <w:p w14:paraId="6CF64E68" w14:textId="77777777" w:rsidR="002C0FD9" w:rsidRPr="00CA25CF" w:rsidRDefault="002C0FD9" w:rsidP="00CA25CF">
            <w:pPr>
              <w:rPr>
                <w:rFonts w:cs="Arial"/>
                <w:color w:val="FF0000"/>
                <w:sz w:val="21"/>
                <w:szCs w:val="21"/>
              </w:rPr>
            </w:pPr>
          </w:p>
        </w:tc>
        <w:tc>
          <w:tcPr>
            <w:tcW w:w="217" w:type="dxa"/>
          </w:tcPr>
          <w:p w14:paraId="402AD744" w14:textId="77777777" w:rsidR="002C0FD9" w:rsidRPr="00CA25CF" w:rsidRDefault="002C0FD9" w:rsidP="00CA25CF">
            <w:pPr>
              <w:rPr>
                <w:rFonts w:cs="Arial"/>
                <w:color w:val="FF0000"/>
                <w:sz w:val="21"/>
                <w:szCs w:val="21"/>
              </w:rPr>
            </w:pPr>
          </w:p>
        </w:tc>
        <w:tc>
          <w:tcPr>
            <w:tcW w:w="217" w:type="dxa"/>
          </w:tcPr>
          <w:p w14:paraId="469127F1" w14:textId="77777777" w:rsidR="002C0FD9" w:rsidRPr="00CA25CF" w:rsidRDefault="002C0FD9" w:rsidP="00CA25CF">
            <w:pPr>
              <w:rPr>
                <w:rFonts w:cs="Arial"/>
                <w:color w:val="FF0000"/>
                <w:sz w:val="21"/>
                <w:szCs w:val="21"/>
              </w:rPr>
            </w:pPr>
          </w:p>
        </w:tc>
        <w:tc>
          <w:tcPr>
            <w:tcW w:w="217" w:type="dxa"/>
          </w:tcPr>
          <w:p w14:paraId="49B61307" w14:textId="77777777" w:rsidR="002C0FD9" w:rsidRPr="00CA25CF" w:rsidRDefault="002C0FD9" w:rsidP="00CA25CF">
            <w:pPr>
              <w:rPr>
                <w:rFonts w:cs="Arial"/>
                <w:color w:val="FF0000"/>
                <w:sz w:val="21"/>
                <w:szCs w:val="21"/>
              </w:rPr>
            </w:pPr>
          </w:p>
        </w:tc>
        <w:tc>
          <w:tcPr>
            <w:tcW w:w="217" w:type="dxa"/>
          </w:tcPr>
          <w:p w14:paraId="61CB2B9B" w14:textId="77777777" w:rsidR="002C0FD9" w:rsidRPr="00CA25CF" w:rsidRDefault="002C0FD9" w:rsidP="00CA25CF">
            <w:pPr>
              <w:rPr>
                <w:rFonts w:cs="Arial"/>
                <w:color w:val="FF0000"/>
                <w:sz w:val="21"/>
                <w:szCs w:val="21"/>
              </w:rPr>
            </w:pPr>
          </w:p>
        </w:tc>
        <w:tc>
          <w:tcPr>
            <w:tcW w:w="217" w:type="dxa"/>
          </w:tcPr>
          <w:p w14:paraId="4A54C548" w14:textId="77777777" w:rsidR="002C0FD9" w:rsidRPr="00CA25CF" w:rsidRDefault="002C0FD9" w:rsidP="00CA25CF">
            <w:pPr>
              <w:rPr>
                <w:rFonts w:cs="Arial"/>
                <w:color w:val="FF0000"/>
                <w:sz w:val="21"/>
                <w:szCs w:val="21"/>
              </w:rPr>
            </w:pPr>
          </w:p>
        </w:tc>
        <w:tc>
          <w:tcPr>
            <w:tcW w:w="217" w:type="dxa"/>
          </w:tcPr>
          <w:p w14:paraId="31212B2E" w14:textId="77777777" w:rsidR="002C0FD9" w:rsidRPr="00CA25CF" w:rsidRDefault="002C0FD9" w:rsidP="00CA25CF">
            <w:pPr>
              <w:rPr>
                <w:rFonts w:cs="Arial"/>
                <w:color w:val="FF0000"/>
                <w:sz w:val="21"/>
                <w:szCs w:val="21"/>
              </w:rPr>
            </w:pPr>
          </w:p>
        </w:tc>
        <w:tc>
          <w:tcPr>
            <w:tcW w:w="217" w:type="dxa"/>
          </w:tcPr>
          <w:p w14:paraId="60825D40" w14:textId="77777777" w:rsidR="002C0FD9" w:rsidRPr="00CA25CF" w:rsidRDefault="002C0FD9" w:rsidP="00CA25CF">
            <w:pPr>
              <w:rPr>
                <w:rFonts w:cs="Arial"/>
                <w:color w:val="FF0000"/>
                <w:sz w:val="21"/>
                <w:szCs w:val="21"/>
              </w:rPr>
            </w:pPr>
          </w:p>
        </w:tc>
        <w:tc>
          <w:tcPr>
            <w:tcW w:w="217" w:type="dxa"/>
          </w:tcPr>
          <w:p w14:paraId="04403C6A" w14:textId="77777777" w:rsidR="002C0FD9" w:rsidRPr="00CA25CF" w:rsidRDefault="002C0FD9" w:rsidP="00CA25CF">
            <w:pPr>
              <w:rPr>
                <w:rFonts w:cs="Arial"/>
                <w:color w:val="FF0000"/>
                <w:sz w:val="21"/>
                <w:szCs w:val="21"/>
              </w:rPr>
            </w:pPr>
          </w:p>
        </w:tc>
        <w:tc>
          <w:tcPr>
            <w:tcW w:w="217" w:type="dxa"/>
          </w:tcPr>
          <w:p w14:paraId="2F5A7205" w14:textId="77777777" w:rsidR="002C0FD9" w:rsidRPr="00CA25CF" w:rsidRDefault="002C0FD9" w:rsidP="00CA25CF">
            <w:pPr>
              <w:rPr>
                <w:rFonts w:cs="Arial"/>
                <w:color w:val="FF0000"/>
                <w:sz w:val="21"/>
                <w:szCs w:val="21"/>
              </w:rPr>
            </w:pPr>
          </w:p>
        </w:tc>
        <w:tc>
          <w:tcPr>
            <w:tcW w:w="217" w:type="dxa"/>
          </w:tcPr>
          <w:p w14:paraId="3BD4F68B" w14:textId="77777777" w:rsidR="002C0FD9" w:rsidRPr="00CA25CF" w:rsidRDefault="002C0FD9" w:rsidP="00CA25CF">
            <w:pPr>
              <w:rPr>
                <w:rFonts w:cs="Arial"/>
                <w:color w:val="FF0000"/>
                <w:sz w:val="21"/>
                <w:szCs w:val="21"/>
              </w:rPr>
            </w:pPr>
          </w:p>
        </w:tc>
        <w:tc>
          <w:tcPr>
            <w:tcW w:w="217" w:type="dxa"/>
          </w:tcPr>
          <w:p w14:paraId="087B1850" w14:textId="207FCC3E" w:rsidR="002C0FD9" w:rsidRPr="00CA25CF" w:rsidRDefault="002C0FD9" w:rsidP="00CA25CF">
            <w:pPr>
              <w:rPr>
                <w:rFonts w:cs="Arial"/>
                <w:color w:val="FF0000"/>
                <w:sz w:val="21"/>
                <w:szCs w:val="21"/>
              </w:rPr>
            </w:pPr>
          </w:p>
        </w:tc>
        <w:tc>
          <w:tcPr>
            <w:tcW w:w="217" w:type="dxa"/>
          </w:tcPr>
          <w:p w14:paraId="75606756" w14:textId="77777777" w:rsidR="002C0FD9" w:rsidRPr="00CA25CF" w:rsidRDefault="002C0FD9" w:rsidP="00CA25CF">
            <w:pPr>
              <w:rPr>
                <w:rFonts w:cs="Arial"/>
                <w:color w:val="FF0000"/>
                <w:sz w:val="21"/>
                <w:szCs w:val="21"/>
              </w:rPr>
            </w:pPr>
          </w:p>
        </w:tc>
        <w:tc>
          <w:tcPr>
            <w:tcW w:w="217" w:type="dxa"/>
          </w:tcPr>
          <w:p w14:paraId="0E6949E1" w14:textId="77777777" w:rsidR="002C0FD9" w:rsidRPr="00CA25CF" w:rsidRDefault="002C0FD9" w:rsidP="00CA25CF">
            <w:pPr>
              <w:rPr>
                <w:rFonts w:cs="Arial"/>
                <w:color w:val="FF0000"/>
                <w:sz w:val="21"/>
                <w:szCs w:val="21"/>
              </w:rPr>
            </w:pPr>
          </w:p>
        </w:tc>
        <w:tc>
          <w:tcPr>
            <w:tcW w:w="217" w:type="dxa"/>
          </w:tcPr>
          <w:p w14:paraId="7843E4F9" w14:textId="77777777" w:rsidR="002C0FD9" w:rsidRPr="00CA25CF" w:rsidRDefault="002C0FD9" w:rsidP="00CA25CF">
            <w:pPr>
              <w:rPr>
                <w:rFonts w:cs="Arial"/>
                <w:color w:val="FF0000"/>
                <w:sz w:val="21"/>
                <w:szCs w:val="21"/>
              </w:rPr>
            </w:pPr>
          </w:p>
        </w:tc>
        <w:tc>
          <w:tcPr>
            <w:tcW w:w="217" w:type="dxa"/>
          </w:tcPr>
          <w:p w14:paraId="5FB4130D" w14:textId="77777777" w:rsidR="002C0FD9" w:rsidRPr="00CA25CF" w:rsidRDefault="002C0FD9" w:rsidP="00CA25CF">
            <w:pPr>
              <w:rPr>
                <w:rFonts w:cs="Arial"/>
                <w:color w:val="FF0000"/>
                <w:sz w:val="21"/>
                <w:szCs w:val="21"/>
              </w:rPr>
            </w:pPr>
          </w:p>
        </w:tc>
        <w:tc>
          <w:tcPr>
            <w:tcW w:w="217" w:type="dxa"/>
          </w:tcPr>
          <w:p w14:paraId="1A4BB776" w14:textId="77777777" w:rsidR="002C0FD9" w:rsidRPr="00CA25CF" w:rsidRDefault="002C0FD9" w:rsidP="00CA25CF">
            <w:pPr>
              <w:rPr>
                <w:rFonts w:cs="Arial"/>
                <w:color w:val="FF0000"/>
                <w:sz w:val="21"/>
                <w:szCs w:val="21"/>
              </w:rPr>
            </w:pPr>
          </w:p>
        </w:tc>
        <w:tc>
          <w:tcPr>
            <w:tcW w:w="217" w:type="dxa"/>
          </w:tcPr>
          <w:p w14:paraId="65C9E642" w14:textId="77777777" w:rsidR="002C0FD9" w:rsidRPr="00CA25CF" w:rsidRDefault="002C0FD9" w:rsidP="00CA25CF">
            <w:pPr>
              <w:rPr>
                <w:rFonts w:cs="Arial"/>
                <w:color w:val="FF0000"/>
                <w:sz w:val="21"/>
                <w:szCs w:val="21"/>
              </w:rPr>
            </w:pPr>
          </w:p>
        </w:tc>
        <w:tc>
          <w:tcPr>
            <w:tcW w:w="217" w:type="dxa"/>
          </w:tcPr>
          <w:p w14:paraId="7CF61A60" w14:textId="77777777" w:rsidR="002C0FD9" w:rsidRPr="00CA25CF" w:rsidRDefault="002C0FD9" w:rsidP="00CA25CF">
            <w:pPr>
              <w:rPr>
                <w:rFonts w:cs="Arial"/>
                <w:color w:val="FF0000"/>
                <w:sz w:val="21"/>
                <w:szCs w:val="21"/>
              </w:rPr>
            </w:pPr>
          </w:p>
        </w:tc>
        <w:tc>
          <w:tcPr>
            <w:tcW w:w="217" w:type="dxa"/>
          </w:tcPr>
          <w:p w14:paraId="085ED322" w14:textId="77777777" w:rsidR="002C0FD9" w:rsidRPr="00CA25CF" w:rsidRDefault="002C0FD9" w:rsidP="00CA25CF">
            <w:pPr>
              <w:rPr>
                <w:rFonts w:cs="Arial"/>
                <w:color w:val="FF0000"/>
                <w:sz w:val="21"/>
                <w:szCs w:val="21"/>
              </w:rPr>
            </w:pPr>
          </w:p>
        </w:tc>
        <w:tc>
          <w:tcPr>
            <w:tcW w:w="217" w:type="dxa"/>
          </w:tcPr>
          <w:p w14:paraId="38D67560" w14:textId="77777777" w:rsidR="002C0FD9" w:rsidRPr="00CA25CF" w:rsidRDefault="002C0FD9" w:rsidP="00CA25CF">
            <w:pPr>
              <w:rPr>
                <w:rFonts w:cs="Arial"/>
                <w:color w:val="FF0000"/>
                <w:sz w:val="21"/>
                <w:szCs w:val="21"/>
              </w:rPr>
            </w:pPr>
          </w:p>
        </w:tc>
        <w:tc>
          <w:tcPr>
            <w:tcW w:w="217" w:type="dxa"/>
          </w:tcPr>
          <w:p w14:paraId="1661BC4B" w14:textId="77777777" w:rsidR="002C0FD9" w:rsidRPr="00CA25CF" w:rsidRDefault="002C0FD9" w:rsidP="00CA25CF">
            <w:pPr>
              <w:rPr>
                <w:rFonts w:cs="Arial"/>
                <w:color w:val="FF0000"/>
                <w:sz w:val="21"/>
                <w:szCs w:val="21"/>
              </w:rPr>
            </w:pPr>
          </w:p>
        </w:tc>
        <w:tc>
          <w:tcPr>
            <w:tcW w:w="217" w:type="dxa"/>
          </w:tcPr>
          <w:p w14:paraId="3E81499C" w14:textId="77777777" w:rsidR="002C0FD9" w:rsidRPr="00CA25CF" w:rsidRDefault="002C0FD9" w:rsidP="00CA25CF">
            <w:pPr>
              <w:rPr>
                <w:rFonts w:cs="Arial"/>
                <w:color w:val="FF0000"/>
                <w:sz w:val="21"/>
                <w:szCs w:val="21"/>
              </w:rPr>
            </w:pPr>
          </w:p>
        </w:tc>
        <w:tc>
          <w:tcPr>
            <w:tcW w:w="217" w:type="dxa"/>
          </w:tcPr>
          <w:p w14:paraId="00F1C0A4" w14:textId="77777777" w:rsidR="002C0FD9" w:rsidRPr="00CA25CF" w:rsidRDefault="002C0FD9" w:rsidP="00CA25CF">
            <w:pPr>
              <w:rPr>
                <w:rFonts w:cs="Arial"/>
                <w:color w:val="FF0000"/>
                <w:sz w:val="21"/>
                <w:szCs w:val="21"/>
              </w:rPr>
            </w:pPr>
          </w:p>
        </w:tc>
        <w:tc>
          <w:tcPr>
            <w:tcW w:w="217" w:type="dxa"/>
          </w:tcPr>
          <w:p w14:paraId="5577F452" w14:textId="77777777" w:rsidR="002C0FD9" w:rsidRPr="00CA25CF" w:rsidRDefault="002C0FD9" w:rsidP="00CA25CF">
            <w:pPr>
              <w:rPr>
                <w:rFonts w:cs="Arial"/>
                <w:color w:val="FF0000"/>
                <w:sz w:val="21"/>
                <w:szCs w:val="21"/>
              </w:rPr>
            </w:pPr>
          </w:p>
        </w:tc>
        <w:tc>
          <w:tcPr>
            <w:tcW w:w="217" w:type="dxa"/>
          </w:tcPr>
          <w:p w14:paraId="75E4D616" w14:textId="77777777" w:rsidR="002C0FD9" w:rsidRPr="00CA25CF" w:rsidRDefault="002C0FD9" w:rsidP="00CA25CF">
            <w:pPr>
              <w:rPr>
                <w:rFonts w:cs="Arial"/>
                <w:color w:val="FF0000"/>
                <w:sz w:val="21"/>
                <w:szCs w:val="21"/>
              </w:rPr>
            </w:pPr>
          </w:p>
        </w:tc>
        <w:tc>
          <w:tcPr>
            <w:tcW w:w="217" w:type="dxa"/>
          </w:tcPr>
          <w:p w14:paraId="66F60FAA" w14:textId="77777777" w:rsidR="002C0FD9" w:rsidRPr="00CA25CF" w:rsidRDefault="002C0FD9" w:rsidP="00CA25CF">
            <w:pPr>
              <w:rPr>
                <w:rFonts w:cs="Arial"/>
                <w:color w:val="FF0000"/>
                <w:sz w:val="21"/>
                <w:szCs w:val="21"/>
              </w:rPr>
            </w:pPr>
          </w:p>
        </w:tc>
        <w:tc>
          <w:tcPr>
            <w:tcW w:w="217" w:type="dxa"/>
          </w:tcPr>
          <w:p w14:paraId="08C3C866" w14:textId="77777777" w:rsidR="002C0FD9" w:rsidRPr="00CA25CF" w:rsidRDefault="002C0FD9" w:rsidP="00CA25CF">
            <w:pPr>
              <w:rPr>
                <w:rFonts w:cs="Arial"/>
                <w:color w:val="FF0000"/>
                <w:sz w:val="21"/>
                <w:szCs w:val="21"/>
              </w:rPr>
            </w:pPr>
          </w:p>
        </w:tc>
        <w:tc>
          <w:tcPr>
            <w:tcW w:w="217" w:type="dxa"/>
          </w:tcPr>
          <w:p w14:paraId="59EBAA26" w14:textId="77777777" w:rsidR="002C0FD9" w:rsidRPr="00CA25CF" w:rsidRDefault="002C0FD9" w:rsidP="00CA25CF">
            <w:pPr>
              <w:rPr>
                <w:rFonts w:cs="Arial"/>
                <w:color w:val="FF0000"/>
                <w:sz w:val="21"/>
                <w:szCs w:val="21"/>
              </w:rPr>
            </w:pPr>
          </w:p>
        </w:tc>
        <w:tc>
          <w:tcPr>
            <w:tcW w:w="217" w:type="dxa"/>
          </w:tcPr>
          <w:p w14:paraId="40EB5D61" w14:textId="77777777" w:rsidR="002C0FD9" w:rsidRPr="00CA25CF" w:rsidRDefault="002C0FD9" w:rsidP="00CA25CF">
            <w:pPr>
              <w:rPr>
                <w:rFonts w:cs="Arial"/>
                <w:color w:val="FF0000"/>
                <w:sz w:val="21"/>
                <w:szCs w:val="21"/>
              </w:rPr>
            </w:pPr>
          </w:p>
        </w:tc>
        <w:tc>
          <w:tcPr>
            <w:tcW w:w="217" w:type="dxa"/>
          </w:tcPr>
          <w:p w14:paraId="206A2975" w14:textId="77777777" w:rsidR="002C0FD9" w:rsidRPr="00CA25CF" w:rsidRDefault="002C0FD9" w:rsidP="00CA25CF">
            <w:pPr>
              <w:rPr>
                <w:rFonts w:cs="Arial"/>
                <w:color w:val="FF0000"/>
                <w:sz w:val="21"/>
                <w:szCs w:val="21"/>
              </w:rPr>
            </w:pPr>
          </w:p>
        </w:tc>
        <w:tc>
          <w:tcPr>
            <w:tcW w:w="217" w:type="dxa"/>
          </w:tcPr>
          <w:p w14:paraId="23C53177" w14:textId="77777777" w:rsidR="002C0FD9" w:rsidRPr="00CA25CF" w:rsidRDefault="002C0FD9" w:rsidP="00CA25CF">
            <w:pPr>
              <w:rPr>
                <w:rFonts w:cs="Arial"/>
                <w:color w:val="FF0000"/>
                <w:sz w:val="21"/>
                <w:szCs w:val="21"/>
              </w:rPr>
            </w:pPr>
          </w:p>
        </w:tc>
        <w:tc>
          <w:tcPr>
            <w:tcW w:w="217" w:type="dxa"/>
          </w:tcPr>
          <w:p w14:paraId="5F077267" w14:textId="77777777" w:rsidR="002C0FD9" w:rsidRPr="00CA25CF" w:rsidRDefault="002C0FD9" w:rsidP="00CA25CF">
            <w:pPr>
              <w:rPr>
                <w:rFonts w:cs="Arial"/>
                <w:color w:val="FF0000"/>
                <w:sz w:val="21"/>
                <w:szCs w:val="21"/>
              </w:rPr>
            </w:pPr>
          </w:p>
        </w:tc>
        <w:tc>
          <w:tcPr>
            <w:tcW w:w="217" w:type="dxa"/>
          </w:tcPr>
          <w:p w14:paraId="3BBCC0E5" w14:textId="77777777" w:rsidR="002C0FD9" w:rsidRPr="00CA25CF" w:rsidRDefault="002C0FD9" w:rsidP="00CA25CF">
            <w:pPr>
              <w:rPr>
                <w:rFonts w:cs="Arial"/>
                <w:color w:val="FF0000"/>
                <w:sz w:val="21"/>
                <w:szCs w:val="21"/>
              </w:rPr>
            </w:pPr>
          </w:p>
        </w:tc>
        <w:tc>
          <w:tcPr>
            <w:tcW w:w="217" w:type="dxa"/>
          </w:tcPr>
          <w:p w14:paraId="5340E51C" w14:textId="77777777" w:rsidR="002C0FD9" w:rsidRPr="00CA25CF" w:rsidRDefault="002C0FD9" w:rsidP="00CA25CF">
            <w:pPr>
              <w:rPr>
                <w:rFonts w:cs="Arial"/>
                <w:color w:val="FF0000"/>
                <w:sz w:val="21"/>
                <w:szCs w:val="21"/>
              </w:rPr>
            </w:pPr>
          </w:p>
        </w:tc>
        <w:tc>
          <w:tcPr>
            <w:tcW w:w="217" w:type="dxa"/>
          </w:tcPr>
          <w:p w14:paraId="7BA24DCB" w14:textId="77777777" w:rsidR="002C0FD9" w:rsidRPr="00CA25CF" w:rsidRDefault="002C0FD9" w:rsidP="00CA25CF">
            <w:pPr>
              <w:rPr>
                <w:rFonts w:cs="Arial"/>
                <w:color w:val="FF0000"/>
                <w:sz w:val="21"/>
                <w:szCs w:val="21"/>
              </w:rPr>
            </w:pPr>
          </w:p>
        </w:tc>
        <w:tc>
          <w:tcPr>
            <w:tcW w:w="217" w:type="dxa"/>
          </w:tcPr>
          <w:p w14:paraId="1C8F50CC" w14:textId="77777777" w:rsidR="002C0FD9" w:rsidRPr="00CA25CF" w:rsidRDefault="002C0FD9" w:rsidP="00CA25CF">
            <w:pPr>
              <w:rPr>
                <w:rFonts w:cs="Arial"/>
                <w:color w:val="FF0000"/>
                <w:sz w:val="21"/>
                <w:szCs w:val="21"/>
              </w:rPr>
            </w:pPr>
          </w:p>
        </w:tc>
        <w:tc>
          <w:tcPr>
            <w:tcW w:w="217" w:type="dxa"/>
          </w:tcPr>
          <w:p w14:paraId="411B52BD" w14:textId="77777777" w:rsidR="002C0FD9" w:rsidRPr="00CA25CF" w:rsidRDefault="002C0FD9" w:rsidP="00CA25CF">
            <w:pPr>
              <w:rPr>
                <w:rFonts w:cs="Arial"/>
                <w:color w:val="FF0000"/>
                <w:sz w:val="21"/>
                <w:szCs w:val="21"/>
              </w:rPr>
            </w:pPr>
          </w:p>
        </w:tc>
        <w:tc>
          <w:tcPr>
            <w:tcW w:w="217" w:type="dxa"/>
          </w:tcPr>
          <w:p w14:paraId="5041F214" w14:textId="77777777" w:rsidR="002C0FD9" w:rsidRPr="00CA25CF" w:rsidRDefault="002C0FD9" w:rsidP="00CA25CF">
            <w:pPr>
              <w:rPr>
                <w:rFonts w:cs="Arial"/>
                <w:color w:val="FF0000"/>
                <w:sz w:val="21"/>
                <w:szCs w:val="21"/>
              </w:rPr>
            </w:pPr>
          </w:p>
        </w:tc>
      </w:tr>
      <w:tr w:rsidR="002C0FD9" w:rsidRPr="00A16219" w14:paraId="71C8DC51" w14:textId="58F49023" w:rsidTr="002C0FD9">
        <w:trPr>
          <w:trHeight w:val="635"/>
        </w:trPr>
        <w:tc>
          <w:tcPr>
            <w:tcW w:w="515" w:type="dxa"/>
          </w:tcPr>
          <w:p w14:paraId="7B7295CD" w14:textId="77777777" w:rsidR="002C0FD9" w:rsidRPr="00CA25CF" w:rsidRDefault="002C0FD9" w:rsidP="00CA25CF">
            <w:pPr>
              <w:rPr>
                <w:rFonts w:cs="Arial"/>
                <w:color w:val="FF0000"/>
                <w:sz w:val="21"/>
                <w:szCs w:val="21"/>
              </w:rPr>
            </w:pPr>
          </w:p>
        </w:tc>
        <w:tc>
          <w:tcPr>
            <w:tcW w:w="217" w:type="dxa"/>
          </w:tcPr>
          <w:p w14:paraId="4FA0DEF7" w14:textId="77777777" w:rsidR="002C0FD9" w:rsidRPr="00CA25CF" w:rsidRDefault="002C0FD9" w:rsidP="00CA25CF">
            <w:pPr>
              <w:rPr>
                <w:rFonts w:cs="Arial"/>
                <w:color w:val="FF0000"/>
                <w:sz w:val="21"/>
                <w:szCs w:val="21"/>
              </w:rPr>
            </w:pPr>
          </w:p>
        </w:tc>
        <w:tc>
          <w:tcPr>
            <w:tcW w:w="217" w:type="dxa"/>
          </w:tcPr>
          <w:p w14:paraId="75E9CDFC" w14:textId="2698D144" w:rsidR="002C0FD9" w:rsidRPr="00CA25CF" w:rsidRDefault="002C0FD9" w:rsidP="00CA25CF">
            <w:pPr>
              <w:rPr>
                <w:rFonts w:cs="Arial"/>
                <w:color w:val="FF0000"/>
                <w:sz w:val="21"/>
                <w:szCs w:val="21"/>
              </w:rPr>
            </w:pPr>
          </w:p>
        </w:tc>
        <w:tc>
          <w:tcPr>
            <w:tcW w:w="217" w:type="dxa"/>
          </w:tcPr>
          <w:p w14:paraId="259027C5" w14:textId="77777777" w:rsidR="002C0FD9" w:rsidRPr="00CA25CF" w:rsidRDefault="002C0FD9" w:rsidP="00CA25CF">
            <w:pPr>
              <w:rPr>
                <w:rFonts w:cs="Arial"/>
                <w:color w:val="FF0000"/>
                <w:sz w:val="21"/>
                <w:szCs w:val="21"/>
              </w:rPr>
            </w:pPr>
          </w:p>
        </w:tc>
        <w:tc>
          <w:tcPr>
            <w:tcW w:w="217" w:type="dxa"/>
          </w:tcPr>
          <w:p w14:paraId="265287B6" w14:textId="77777777" w:rsidR="002C0FD9" w:rsidRPr="00CA25CF" w:rsidRDefault="002C0FD9" w:rsidP="00CA25CF">
            <w:pPr>
              <w:rPr>
                <w:rFonts w:cs="Arial"/>
                <w:color w:val="FF0000"/>
                <w:sz w:val="21"/>
                <w:szCs w:val="21"/>
              </w:rPr>
            </w:pPr>
          </w:p>
        </w:tc>
        <w:tc>
          <w:tcPr>
            <w:tcW w:w="217" w:type="dxa"/>
          </w:tcPr>
          <w:p w14:paraId="472D0E1C" w14:textId="77777777" w:rsidR="002C0FD9" w:rsidRPr="00CA25CF" w:rsidRDefault="002C0FD9" w:rsidP="00CA25CF">
            <w:pPr>
              <w:rPr>
                <w:rFonts w:cs="Arial"/>
                <w:color w:val="FF0000"/>
                <w:sz w:val="21"/>
                <w:szCs w:val="21"/>
              </w:rPr>
            </w:pPr>
          </w:p>
        </w:tc>
        <w:tc>
          <w:tcPr>
            <w:tcW w:w="217" w:type="dxa"/>
          </w:tcPr>
          <w:p w14:paraId="26831C78" w14:textId="77777777" w:rsidR="002C0FD9" w:rsidRPr="00CA25CF" w:rsidRDefault="002C0FD9" w:rsidP="00CA25CF">
            <w:pPr>
              <w:rPr>
                <w:rFonts w:cs="Arial"/>
                <w:color w:val="FF0000"/>
                <w:sz w:val="21"/>
                <w:szCs w:val="21"/>
              </w:rPr>
            </w:pPr>
          </w:p>
        </w:tc>
        <w:tc>
          <w:tcPr>
            <w:tcW w:w="217" w:type="dxa"/>
          </w:tcPr>
          <w:p w14:paraId="0EE7E856" w14:textId="77777777" w:rsidR="002C0FD9" w:rsidRPr="00CA25CF" w:rsidRDefault="002C0FD9" w:rsidP="00CA25CF">
            <w:pPr>
              <w:rPr>
                <w:rFonts w:cs="Arial"/>
                <w:color w:val="FF0000"/>
                <w:sz w:val="21"/>
                <w:szCs w:val="21"/>
              </w:rPr>
            </w:pPr>
          </w:p>
        </w:tc>
        <w:tc>
          <w:tcPr>
            <w:tcW w:w="217" w:type="dxa"/>
          </w:tcPr>
          <w:p w14:paraId="2EC1A948" w14:textId="77777777" w:rsidR="002C0FD9" w:rsidRPr="00CA25CF" w:rsidRDefault="002C0FD9" w:rsidP="00CA25CF">
            <w:pPr>
              <w:rPr>
                <w:rFonts w:cs="Arial"/>
                <w:color w:val="FF0000"/>
                <w:sz w:val="21"/>
                <w:szCs w:val="21"/>
              </w:rPr>
            </w:pPr>
          </w:p>
        </w:tc>
        <w:tc>
          <w:tcPr>
            <w:tcW w:w="217" w:type="dxa"/>
          </w:tcPr>
          <w:p w14:paraId="5687FAE8" w14:textId="77777777" w:rsidR="002C0FD9" w:rsidRPr="00CA25CF" w:rsidRDefault="002C0FD9" w:rsidP="00CA25CF">
            <w:pPr>
              <w:rPr>
                <w:rFonts w:cs="Arial"/>
                <w:color w:val="FF0000"/>
                <w:sz w:val="21"/>
                <w:szCs w:val="21"/>
              </w:rPr>
            </w:pPr>
          </w:p>
        </w:tc>
        <w:tc>
          <w:tcPr>
            <w:tcW w:w="217" w:type="dxa"/>
          </w:tcPr>
          <w:p w14:paraId="39B1889F" w14:textId="77777777" w:rsidR="002C0FD9" w:rsidRPr="00CA25CF" w:rsidRDefault="002C0FD9" w:rsidP="00CA25CF">
            <w:pPr>
              <w:rPr>
                <w:rFonts w:cs="Arial"/>
                <w:color w:val="FF0000"/>
                <w:sz w:val="21"/>
                <w:szCs w:val="21"/>
              </w:rPr>
            </w:pPr>
          </w:p>
        </w:tc>
        <w:tc>
          <w:tcPr>
            <w:tcW w:w="217" w:type="dxa"/>
          </w:tcPr>
          <w:p w14:paraId="6AD31CA4" w14:textId="77777777" w:rsidR="002C0FD9" w:rsidRPr="00CA25CF" w:rsidRDefault="002C0FD9" w:rsidP="00CA25CF">
            <w:pPr>
              <w:rPr>
                <w:rFonts w:cs="Arial"/>
                <w:color w:val="FF0000"/>
                <w:sz w:val="21"/>
                <w:szCs w:val="21"/>
              </w:rPr>
            </w:pPr>
          </w:p>
        </w:tc>
        <w:tc>
          <w:tcPr>
            <w:tcW w:w="217" w:type="dxa"/>
          </w:tcPr>
          <w:p w14:paraId="3FFEBA76" w14:textId="77777777" w:rsidR="002C0FD9" w:rsidRPr="00CA25CF" w:rsidRDefault="002C0FD9" w:rsidP="00CA25CF">
            <w:pPr>
              <w:rPr>
                <w:rFonts w:cs="Arial"/>
                <w:color w:val="FF0000"/>
                <w:sz w:val="21"/>
                <w:szCs w:val="21"/>
              </w:rPr>
            </w:pPr>
          </w:p>
        </w:tc>
        <w:tc>
          <w:tcPr>
            <w:tcW w:w="217" w:type="dxa"/>
          </w:tcPr>
          <w:p w14:paraId="2A441683" w14:textId="77777777" w:rsidR="002C0FD9" w:rsidRPr="00CA25CF" w:rsidRDefault="002C0FD9" w:rsidP="00CA25CF">
            <w:pPr>
              <w:rPr>
                <w:rFonts w:cs="Arial"/>
                <w:color w:val="FF0000"/>
                <w:sz w:val="21"/>
                <w:szCs w:val="21"/>
              </w:rPr>
            </w:pPr>
          </w:p>
        </w:tc>
        <w:tc>
          <w:tcPr>
            <w:tcW w:w="217" w:type="dxa"/>
          </w:tcPr>
          <w:p w14:paraId="11206AAC" w14:textId="77777777" w:rsidR="002C0FD9" w:rsidRPr="00CA25CF" w:rsidRDefault="002C0FD9" w:rsidP="00CA25CF">
            <w:pPr>
              <w:rPr>
                <w:rFonts w:cs="Arial"/>
                <w:color w:val="FF0000"/>
                <w:sz w:val="21"/>
                <w:szCs w:val="21"/>
              </w:rPr>
            </w:pPr>
          </w:p>
        </w:tc>
        <w:tc>
          <w:tcPr>
            <w:tcW w:w="217" w:type="dxa"/>
          </w:tcPr>
          <w:p w14:paraId="1DF48874" w14:textId="0E7EBA67" w:rsidR="002C0FD9" w:rsidRPr="00CA25CF" w:rsidRDefault="002C0FD9" w:rsidP="00CA25CF">
            <w:pPr>
              <w:rPr>
                <w:rFonts w:cs="Arial"/>
                <w:color w:val="FF0000"/>
                <w:sz w:val="21"/>
                <w:szCs w:val="21"/>
              </w:rPr>
            </w:pPr>
          </w:p>
        </w:tc>
        <w:tc>
          <w:tcPr>
            <w:tcW w:w="217" w:type="dxa"/>
          </w:tcPr>
          <w:p w14:paraId="49239957" w14:textId="77777777" w:rsidR="002C0FD9" w:rsidRPr="00CA25CF" w:rsidRDefault="002C0FD9" w:rsidP="00CA25CF">
            <w:pPr>
              <w:rPr>
                <w:rFonts w:cs="Arial"/>
                <w:color w:val="FF0000"/>
                <w:sz w:val="21"/>
                <w:szCs w:val="21"/>
              </w:rPr>
            </w:pPr>
          </w:p>
        </w:tc>
        <w:tc>
          <w:tcPr>
            <w:tcW w:w="217" w:type="dxa"/>
          </w:tcPr>
          <w:p w14:paraId="75BE7837" w14:textId="77777777" w:rsidR="002C0FD9" w:rsidRPr="00CA25CF" w:rsidRDefault="002C0FD9" w:rsidP="00CA25CF">
            <w:pPr>
              <w:rPr>
                <w:rFonts w:cs="Arial"/>
                <w:color w:val="FF0000"/>
                <w:sz w:val="21"/>
                <w:szCs w:val="21"/>
              </w:rPr>
            </w:pPr>
          </w:p>
        </w:tc>
        <w:tc>
          <w:tcPr>
            <w:tcW w:w="217" w:type="dxa"/>
          </w:tcPr>
          <w:p w14:paraId="2716DF7A" w14:textId="77777777" w:rsidR="002C0FD9" w:rsidRPr="00CA25CF" w:rsidRDefault="002C0FD9" w:rsidP="00CA25CF">
            <w:pPr>
              <w:rPr>
                <w:rFonts w:cs="Arial"/>
                <w:color w:val="FF0000"/>
                <w:sz w:val="21"/>
                <w:szCs w:val="21"/>
              </w:rPr>
            </w:pPr>
          </w:p>
        </w:tc>
        <w:tc>
          <w:tcPr>
            <w:tcW w:w="217" w:type="dxa"/>
          </w:tcPr>
          <w:p w14:paraId="33880AC9" w14:textId="77777777" w:rsidR="002C0FD9" w:rsidRPr="00CA25CF" w:rsidRDefault="002C0FD9" w:rsidP="00CA25CF">
            <w:pPr>
              <w:rPr>
                <w:rFonts w:cs="Arial"/>
                <w:color w:val="FF0000"/>
                <w:sz w:val="21"/>
                <w:szCs w:val="21"/>
              </w:rPr>
            </w:pPr>
          </w:p>
        </w:tc>
        <w:tc>
          <w:tcPr>
            <w:tcW w:w="217" w:type="dxa"/>
          </w:tcPr>
          <w:p w14:paraId="05129518" w14:textId="77777777" w:rsidR="002C0FD9" w:rsidRPr="00CA25CF" w:rsidRDefault="002C0FD9" w:rsidP="00CA25CF">
            <w:pPr>
              <w:rPr>
                <w:rFonts w:cs="Arial"/>
                <w:color w:val="FF0000"/>
                <w:sz w:val="21"/>
                <w:szCs w:val="21"/>
              </w:rPr>
            </w:pPr>
          </w:p>
        </w:tc>
        <w:tc>
          <w:tcPr>
            <w:tcW w:w="217" w:type="dxa"/>
          </w:tcPr>
          <w:p w14:paraId="34EE658E" w14:textId="77777777" w:rsidR="002C0FD9" w:rsidRPr="00CA25CF" w:rsidRDefault="002C0FD9" w:rsidP="00CA25CF">
            <w:pPr>
              <w:rPr>
                <w:rFonts w:cs="Arial"/>
                <w:color w:val="FF0000"/>
                <w:sz w:val="21"/>
                <w:szCs w:val="21"/>
              </w:rPr>
            </w:pPr>
          </w:p>
        </w:tc>
        <w:tc>
          <w:tcPr>
            <w:tcW w:w="217" w:type="dxa"/>
          </w:tcPr>
          <w:p w14:paraId="394A6A6E" w14:textId="77777777" w:rsidR="002C0FD9" w:rsidRPr="00CA25CF" w:rsidRDefault="002C0FD9" w:rsidP="00CA25CF">
            <w:pPr>
              <w:rPr>
                <w:rFonts w:cs="Arial"/>
                <w:color w:val="FF0000"/>
                <w:sz w:val="21"/>
                <w:szCs w:val="21"/>
              </w:rPr>
            </w:pPr>
          </w:p>
        </w:tc>
        <w:tc>
          <w:tcPr>
            <w:tcW w:w="217" w:type="dxa"/>
          </w:tcPr>
          <w:p w14:paraId="76E1BE06" w14:textId="77777777" w:rsidR="002C0FD9" w:rsidRPr="00CA25CF" w:rsidRDefault="002C0FD9" w:rsidP="00CA25CF">
            <w:pPr>
              <w:rPr>
                <w:rFonts w:cs="Arial"/>
                <w:color w:val="FF0000"/>
                <w:sz w:val="21"/>
                <w:szCs w:val="21"/>
              </w:rPr>
            </w:pPr>
          </w:p>
        </w:tc>
        <w:tc>
          <w:tcPr>
            <w:tcW w:w="217" w:type="dxa"/>
          </w:tcPr>
          <w:p w14:paraId="4D43D1A2" w14:textId="77777777" w:rsidR="002C0FD9" w:rsidRPr="00CA25CF" w:rsidRDefault="002C0FD9" w:rsidP="00CA25CF">
            <w:pPr>
              <w:rPr>
                <w:rFonts w:cs="Arial"/>
                <w:color w:val="FF0000"/>
                <w:sz w:val="21"/>
                <w:szCs w:val="21"/>
              </w:rPr>
            </w:pPr>
          </w:p>
        </w:tc>
        <w:tc>
          <w:tcPr>
            <w:tcW w:w="217" w:type="dxa"/>
          </w:tcPr>
          <w:p w14:paraId="3DCE0B71" w14:textId="77777777" w:rsidR="002C0FD9" w:rsidRPr="00CA25CF" w:rsidRDefault="002C0FD9" w:rsidP="00CA25CF">
            <w:pPr>
              <w:rPr>
                <w:rFonts w:cs="Arial"/>
                <w:color w:val="FF0000"/>
                <w:sz w:val="21"/>
                <w:szCs w:val="21"/>
              </w:rPr>
            </w:pPr>
          </w:p>
        </w:tc>
        <w:tc>
          <w:tcPr>
            <w:tcW w:w="217" w:type="dxa"/>
          </w:tcPr>
          <w:p w14:paraId="2499D4DB" w14:textId="77777777" w:rsidR="002C0FD9" w:rsidRPr="00CA25CF" w:rsidRDefault="002C0FD9" w:rsidP="00CA25CF">
            <w:pPr>
              <w:rPr>
                <w:rFonts w:cs="Arial"/>
                <w:color w:val="FF0000"/>
                <w:sz w:val="21"/>
                <w:szCs w:val="21"/>
              </w:rPr>
            </w:pPr>
          </w:p>
        </w:tc>
        <w:tc>
          <w:tcPr>
            <w:tcW w:w="217" w:type="dxa"/>
          </w:tcPr>
          <w:p w14:paraId="3C879121" w14:textId="77777777" w:rsidR="002C0FD9" w:rsidRPr="00CA25CF" w:rsidRDefault="002C0FD9" w:rsidP="00CA25CF">
            <w:pPr>
              <w:rPr>
                <w:rFonts w:cs="Arial"/>
                <w:color w:val="FF0000"/>
                <w:sz w:val="21"/>
                <w:szCs w:val="21"/>
              </w:rPr>
            </w:pPr>
          </w:p>
        </w:tc>
        <w:tc>
          <w:tcPr>
            <w:tcW w:w="217" w:type="dxa"/>
          </w:tcPr>
          <w:p w14:paraId="37D761FA" w14:textId="77777777" w:rsidR="002C0FD9" w:rsidRPr="00CA25CF" w:rsidRDefault="002C0FD9" w:rsidP="00CA25CF">
            <w:pPr>
              <w:rPr>
                <w:rFonts w:cs="Arial"/>
                <w:color w:val="FF0000"/>
                <w:sz w:val="21"/>
                <w:szCs w:val="21"/>
              </w:rPr>
            </w:pPr>
          </w:p>
        </w:tc>
        <w:tc>
          <w:tcPr>
            <w:tcW w:w="217" w:type="dxa"/>
          </w:tcPr>
          <w:p w14:paraId="5CD67621" w14:textId="77777777" w:rsidR="002C0FD9" w:rsidRPr="00CA25CF" w:rsidRDefault="002C0FD9" w:rsidP="00CA25CF">
            <w:pPr>
              <w:rPr>
                <w:rFonts w:cs="Arial"/>
                <w:color w:val="FF0000"/>
                <w:sz w:val="21"/>
                <w:szCs w:val="21"/>
              </w:rPr>
            </w:pPr>
          </w:p>
        </w:tc>
        <w:tc>
          <w:tcPr>
            <w:tcW w:w="217" w:type="dxa"/>
          </w:tcPr>
          <w:p w14:paraId="2A7EC6AD" w14:textId="77777777" w:rsidR="002C0FD9" w:rsidRPr="00CA25CF" w:rsidRDefault="002C0FD9" w:rsidP="00CA25CF">
            <w:pPr>
              <w:rPr>
                <w:rFonts w:cs="Arial"/>
                <w:color w:val="FF0000"/>
                <w:sz w:val="21"/>
                <w:szCs w:val="21"/>
              </w:rPr>
            </w:pPr>
          </w:p>
        </w:tc>
        <w:tc>
          <w:tcPr>
            <w:tcW w:w="217" w:type="dxa"/>
          </w:tcPr>
          <w:p w14:paraId="5C98A9E5" w14:textId="77777777" w:rsidR="002C0FD9" w:rsidRPr="00CA25CF" w:rsidRDefault="002C0FD9" w:rsidP="00CA25CF">
            <w:pPr>
              <w:rPr>
                <w:rFonts w:cs="Arial"/>
                <w:color w:val="FF0000"/>
                <w:sz w:val="21"/>
                <w:szCs w:val="21"/>
              </w:rPr>
            </w:pPr>
          </w:p>
        </w:tc>
        <w:tc>
          <w:tcPr>
            <w:tcW w:w="217" w:type="dxa"/>
          </w:tcPr>
          <w:p w14:paraId="67BAA83B" w14:textId="77777777" w:rsidR="002C0FD9" w:rsidRPr="00CA25CF" w:rsidRDefault="002C0FD9" w:rsidP="00CA25CF">
            <w:pPr>
              <w:rPr>
                <w:rFonts w:cs="Arial"/>
                <w:color w:val="FF0000"/>
                <w:sz w:val="21"/>
                <w:szCs w:val="21"/>
              </w:rPr>
            </w:pPr>
          </w:p>
        </w:tc>
        <w:tc>
          <w:tcPr>
            <w:tcW w:w="217" w:type="dxa"/>
          </w:tcPr>
          <w:p w14:paraId="7ED4CACD" w14:textId="77777777" w:rsidR="002C0FD9" w:rsidRPr="00CA25CF" w:rsidRDefault="002C0FD9" w:rsidP="00CA25CF">
            <w:pPr>
              <w:rPr>
                <w:rFonts w:cs="Arial"/>
                <w:color w:val="FF0000"/>
                <w:sz w:val="21"/>
                <w:szCs w:val="21"/>
              </w:rPr>
            </w:pPr>
          </w:p>
        </w:tc>
        <w:tc>
          <w:tcPr>
            <w:tcW w:w="217" w:type="dxa"/>
          </w:tcPr>
          <w:p w14:paraId="447525D7" w14:textId="77777777" w:rsidR="002C0FD9" w:rsidRPr="00CA25CF" w:rsidRDefault="002C0FD9" w:rsidP="00CA25CF">
            <w:pPr>
              <w:rPr>
                <w:rFonts w:cs="Arial"/>
                <w:color w:val="FF0000"/>
                <w:sz w:val="21"/>
                <w:szCs w:val="21"/>
              </w:rPr>
            </w:pPr>
          </w:p>
        </w:tc>
        <w:tc>
          <w:tcPr>
            <w:tcW w:w="217" w:type="dxa"/>
          </w:tcPr>
          <w:p w14:paraId="5D397D40" w14:textId="77777777" w:rsidR="002C0FD9" w:rsidRPr="00CA25CF" w:rsidRDefault="002C0FD9" w:rsidP="00CA25CF">
            <w:pPr>
              <w:rPr>
                <w:rFonts w:cs="Arial"/>
                <w:color w:val="FF0000"/>
                <w:sz w:val="21"/>
                <w:szCs w:val="21"/>
              </w:rPr>
            </w:pPr>
          </w:p>
        </w:tc>
        <w:tc>
          <w:tcPr>
            <w:tcW w:w="217" w:type="dxa"/>
          </w:tcPr>
          <w:p w14:paraId="0186D96B" w14:textId="77777777" w:rsidR="002C0FD9" w:rsidRPr="00CA25CF" w:rsidRDefault="002C0FD9" w:rsidP="00CA25CF">
            <w:pPr>
              <w:rPr>
                <w:rFonts w:cs="Arial"/>
                <w:color w:val="FF0000"/>
                <w:sz w:val="21"/>
                <w:szCs w:val="21"/>
              </w:rPr>
            </w:pPr>
          </w:p>
        </w:tc>
        <w:tc>
          <w:tcPr>
            <w:tcW w:w="217" w:type="dxa"/>
          </w:tcPr>
          <w:p w14:paraId="2D4F9731" w14:textId="77777777" w:rsidR="002C0FD9" w:rsidRPr="00CA25CF" w:rsidRDefault="002C0FD9" w:rsidP="00CA25CF">
            <w:pPr>
              <w:rPr>
                <w:rFonts w:cs="Arial"/>
                <w:color w:val="FF0000"/>
                <w:sz w:val="21"/>
                <w:szCs w:val="21"/>
              </w:rPr>
            </w:pPr>
          </w:p>
        </w:tc>
        <w:tc>
          <w:tcPr>
            <w:tcW w:w="217" w:type="dxa"/>
          </w:tcPr>
          <w:p w14:paraId="61680AEA" w14:textId="77777777" w:rsidR="002C0FD9" w:rsidRPr="00CA25CF" w:rsidRDefault="002C0FD9" w:rsidP="00CA25CF">
            <w:pPr>
              <w:rPr>
                <w:rFonts w:cs="Arial"/>
                <w:color w:val="FF0000"/>
                <w:sz w:val="21"/>
                <w:szCs w:val="21"/>
              </w:rPr>
            </w:pPr>
          </w:p>
        </w:tc>
        <w:tc>
          <w:tcPr>
            <w:tcW w:w="217" w:type="dxa"/>
          </w:tcPr>
          <w:p w14:paraId="6F77AFB9" w14:textId="77777777" w:rsidR="002C0FD9" w:rsidRPr="00CA25CF" w:rsidRDefault="002C0FD9" w:rsidP="00CA25CF">
            <w:pPr>
              <w:rPr>
                <w:rFonts w:cs="Arial"/>
                <w:color w:val="FF0000"/>
                <w:sz w:val="21"/>
                <w:szCs w:val="21"/>
              </w:rPr>
            </w:pPr>
          </w:p>
        </w:tc>
        <w:tc>
          <w:tcPr>
            <w:tcW w:w="217" w:type="dxa"/>
          </w:tcPr>
          <w:p w14:paraId="5D9D4657" w14:textId="77777777" w:rsidR="002C0FD9" w:rsidRPr="00CA25CF" w:rsidRDefault="002C0FD9" w:rsidP="00CA25CF">
            <w:pPr>
              <w:rPr>
                <w:rFonts w:cs="Arial"/>
                <w:color w:val="FF0000"/>
                <w:sz w:val="21"/>
                <w:szCs w:val="21"/>
              </w:rPr>
            </w:pPr>
          </w:p>
        </w:tc>
        <w:tc>
          <w:tcPr>
            <w:tcW w:w="217" w:type="dxa"/>
          </w:tcPr>
          <w:p w14:paraId="75A0544A" w14:textId="77777777" w:rsidR="002C0FD9" w:rsidRPr="00CA25CF" w:rsidRDefault="002C0FD9" w:rsidP="00CA25CF">
            <w:pPr>
              <w:rPr>
                <w:rFonts w:cs="Arial"/>
                <w:color w:val="FF0000"/>
                <w:sz w:val="21"/>
                <w:szCs w:val="21"/>
              </w:rPr>
            </w:pPr>
          </w:p>
        </w:tc>
        <w:tc>
          <w:tcPr>
            <w:tcW w:w="217" w:type="dxa"/>
          </w:tcPr>
          <w:p w14:paraId="22CE8F2C" w14:textId="77777777" w:rsidR="002C0FD9" w:rsidRPr="00CA25CF" w:rsidRDefault="002C0FD9" w:rsidP="00CA25CF">
            <w:pPr>
              <w:rPr>
                <w:rFonts w:cs="Arial"/>
                <w:color w:val="FF0000"/>
                <w:sz w:val="21"/>
                <w:szCs w:val="21"/>
              </w:rPr>
            </w:pPr>
          </w:p>
        </w:tc>
      </w:tr>
      <w:tr w:rsidR="002C0FD9" w:rsidRPr="00A16219" w14:paraId="23A55C9D" w14:textId="3C1BA2CA" w:rsidTr="002C0FD9">
        <w:trPr>
          <w:trHeight w:val="635"/>
        </w:trPr>
        <w:tc>
          <w:tcPr>
            <w:tcW w:w="515" w:type="dxa"/>
          </w:tcPr>
          <w:p w14:paraId="41B90EA7" w14:textId="77777777" w:rsidR="002C0FD9" w:rsidRPr="00CA25CF" w:rsidRDefault="002C0FD9" w:rsidP="00CA25CF">
            <w:pPr>
              <w:rPr>
                <w:rFonts w:cs="Arial"/>
                <w:color w:val="FF0000"/>
                <w:sz w:val="21"/>
                <w:szCs w:val="21"/>
              </w:rPr>
            </w:pPr>
          </w:p>
        </w:tc>
        <w:tc>
          <w:tcPr>
            <w:tcW w:w="217" w:type="dxa"/>
          </w:tcPr>
          <w:p w14:paraId="27236326" w14:textId="77777777" w:rsidR="002C0FD9" w:rsidRPr="00CA25CF" w:rsidRDefault="002C0FD9" w:rsidP="00CA25CF">
            <w:pPr>
              <w:rPr>
                <w:rFonts w:cs="Arial"/>
                <w:color w:val="FF0000"/>
                <w:sz w:val="21"/>
                <w:szCs w:val="21"/>
              </w:rPr>
            </w:pPr>
          </w:p>
        </w:tc>
        <w:tc>
          <w:tcPr>
            <w:tcW w:w="217" w:type="dxa"/>
          </w:tcPr>
          <w:p w14:paraId="737406D7" w14:textId="7780E6CE" w:rsidR="002C0FD9" w:rsidRPr="00CA25CF" w:rsidRDefault="002C0FD9" w:rsidP="00CA25CF">
            <w:pPr>
              <w:rPr>
                <w:rFonts w:cs="Arial"/>
                <w:color w:val="FF0000"/>
                <w:sz w:val="21"/>
                <w:szCs w:val="21"/>
              </w:rPr>
            </w:pPr>
          </w:p>
        </w:tc>
        <w:tc>
          <w:tcPr>
            <w:tcW w:w="217" w:type="dxa"/>
          </w:tcPr>
          <w:p w14:paraId="45374EB5" w14:textId="77777777" w:rsidR="002C0FD9" w:rsidRPr="00CA25CF" w:rsidRDefault="002C0FD9" w:rsidP="00CA25CF">
            <w:pPr>
              <w:rPr>
                <w:rFonts w:cs="Arial"/>
                <w:color w:val="FF0000"/>
                <w:sz w:val="21"/>
                <w:szCs w:val="21"/>
              </w:rPr>
            </w:pPr>
          </w:p>
        </w:tc>
        <w:tc>
          <w:tcPr>
            <w:tcW w:w="217" w:type="dxa"/>
          </w:tcPr>
          <w:p w14:paraId="75D33F1B" w14:textId="77777777" w:rsidR="002C0FD9" w:rsidRPr="00CA25CF" w:rsidRDefault="002C0FD9" w:rsidP="00CA25CF">
            <w:pPr>
              <w:rPr>
                <w:rFonts w:cs="Arial"/>
                <w:color w:val="FF0000"/>
                <w:sz w:val="21"/>
                <w:szCs w:val="21"/>
              </w:rPr>
            </w:pPr>
          </w:p>
        </w:tc>
        <w:tc>
          <w:tcPr>
            <w:tcW w:w="217" w:type="dxa"/>
          </w:tcPr>
          <w:p w14:paraId="4428E858" w14:textId="77777777" w:rsidR="002C0FD9" w:rsidRPr="00CA25CF" w:rsidRDefault="002C0FD9" w:rsidP="00CA25CF">
            <w:pPr>
              <w:rPr>
                <w:rFonts w:cs="Arial"/>
                <w:color w:val="FF0000"/>
                <w:sz w:val="21"/>
                <w:szCs w:val="21"/>
              </w:rPr>
            </w:pPr>
          </w:p>
        </w:tc>
        <w:tc>
          <w:tcPr>
            <w:tcW w:w="217" w:type="dxa"/>
          </w:tcPr>
          <w:p w14:paraId="70664345" w14:textId="77777777" w:rsidR="002C0FD9" w:rsidRPr="00CA25CF" w:rsidRDefault="002C0FD9" w:rsidP="00CA25CF">
            <w:pPr>
              <w:rPr>
                <w:rFonts w:cs="Arial"/>
                <w:color w:val="FF0000"/>
                <w:sz w:val="21"/>
                <w:szCs w:val="21"/>
              </w:rPr>
            </w:pPr>
          </w:p>
        </w:tc>
        <w:tc>
          <w:tcPr>
            <w:tcW w:w="217" w:type="dxa"/>
          </w:tcPr>
          <w:p w14:paraId="1E2F9CF6" w14:textId="77777777" w:rsidR="002C0FD9" w:rsidRPr="00CA25CF" w:rsidRDefault="002C0FD9" w:rsidP="00CA25CF">
            <w:pPr>
              <w:rPr>
                <w:rFonts w:cs="Arial"/>
                <w:color w:val="FF0000"/>
                <w:sz w:val="21"/>
                <w:szCs w:val="21"/>
              </w:rPr>
            </w:pPr>
          </w:p>
        </w:tc>
        <w:tc>
          <w:tcPr>
            <w:tcW w:w="217" w:type="dxa"/>
          </w:tcPr>
          <w:p w14:paraId="47ACF7CF" w14:textId="77777777" w:rsidR="002C0FD9" w:rsidRPr="00CA25CF" w:rsidRDefault="002C0FD9" w:rsidP="00CA25CF">
            <w:pPr>
              <w:rPr>
                <w:rFonts w:cs="Arial"/>
                <w:color w:val="FF0000"/>
                <w:sz w:val="21"/>
                <w:szCs w:val="21"/>
              </w:rPr>
            </w:pPr>
          </w:p>
        </w:tc>
        <w:tc>
          <w:tcPr>
            <w:tcW w:w="217" w:type="dxa"/>
          </w:tcPr>
          <w:p w14:paraId="51ABAB45" w14:textId="77777777" w:rsidR="002C0FD9" w:rsidRPr="00CA25CF" w:rsidRDefault="002C0FD9" w:rsidP="00CA25CF">
            <w:pPr>
              <w:rPr>
                <w:rFonts w:cs="Arial"/>
                <w:color w:val="FF0000"/>
                <w:sz w:val="21"/>
                <w:szCs w:val="21"/>
              </w:rPr>
            </w:pPr>
          </w:p>
        </w:tc>
        <w:tc>
          <w:tcPr>
            <w:tcW w:w="217" w:type="dxa"/>
          </w:tcPr>
          <w:p w14:paraId="41D6658F" w14:textId="77777777" w:rsidR="002C0FD9" w:rsidRPr="00CA25CF" w:rsidRDefault="002C0FD9" w:rsidP="00CA25CF">
            <w:pPr>
              <w:rPr>
                <w:rFonts w:cs="Arial"/>
                <w:color w:val="FF0000"/>
                <w:sz w:val="21"/>
                <w:szCs w:val="21"/>
              </w:rPr>
            </w:pPr>
          </w:p>
        </w:tc>
        <w:tc>
          <w:tcPr>
            <w:tcW w:w="217" w:type="dxa"/>
          </w:tcPr>
          <w:p w14:paraId="59030394" w14:textId="77777777" w:rsidR="002C0FD9" w:rsidRPr="00CA25CF" w:rsidRDefault="002C0FD9" w:rsidP="00CA25CF">
            <w:pPr>
              <w:rPr>
                <w:rFonts w:cs="Arial"/>
                <w:color w:val="FF0000"/>
                <w:sz w:val="21"/>
                <w:szCs w:val="21"/>
              </w:rPr>
            </w:pPr>
          </w:p>
        </w:tc>
        <w:tc>
          <w:tcPr>
            <w:tcW w:w="217" w:type="dxa"/>
          </w:tcPr>
          <w:p w14:paraId="63AD1C6E" w14:textId="77777777" w:rsidR="002C0FD9" w:rsidRPr="00CA25CF" w:rsidRDefault="002C0FD9" w:rsidP="00CA25CF">
            <w:pPr>
              <w:rPr>
                <w:rFonts w:cs="Arial"/>
                <w:color w:val="FF0000"/>
                <w:sz w:val="21"/>
                <w:szCs w:val="21"/>
              </w:rPr>
            </w:pPr>
          </w:p>
        </w:tc>
        <w:tc>
          <w:tcPr>
            <w:tcW w:w="217" w:type="dxa"/>
          </w:tcPr>
          <w:p w14:paraId="032895BC" w14:textId="77777777" w:rsidR="002C0FD9" w:rsidRPr="00CA25CF" w:rsidRDefault="002C0FD9" w:rsidP="00CA25CF">
            <w:pPr>
              <w:rPr>
                <w:rFonts w:cs="Arial"/>
                <w:color w:val="FF0000"/>
                <w:sz w:val="21"/>
                <w:szCs w:val="21"/>
              </w:rPr>
            </w:pPr>
          </w:p>
        </w:tc>
        <w:tc>
          <w:tcPr>
            <w:tcW w:w="217" w:type="dxa"/>
          </w:tcPr>
          <w:p w14:paraId="470504BE" w14:textId="77777777" w:rsidR="002C0FD9" w:rsidRPr="00CA25CF" w:rsidRDefault="002C0FD9" w:rsidP="00CA25CF">
            <w:pPr>
              <w:rPr>
                <w:rFonts w:cs="Arial"/>
                <w:color w:val="FF0000"/>
                <w:sz w:val="21"/>
                <w:szCs w:val="21"/>
              </w:rPr>
            </w:pPr>
          </w:p>
        </w:tc>
        <w:tc>
          <w:tcPr>
            <w:tcW w:w="217" w:type="dxa"/>
          </w:tcPr>
          <w:p w14:paraId="1014C2E2" w14:textId="3E9DD2CE" w:rsidR="002C0FD9" w:rsidRPr="00CA25CF" w:rsidRDefault="002C0FD9" w:rsidP="00CA25CF">
            <w:pPr>
              <w:rPr>
                <w:rFonts w:cs="Arial"/>
                <w:color w:val="FF0000"/>
                <w:sz w:val="21"/>
                <w:szCs w:val="21"/>
              </w:rPr>
            </w:pPr>
          </w:p>
        </w:tc>
        <w:tc>
          <w:tcPr>
            <w:tcW w:w="217" w:type="dxa"/>
          </w:tcPr>
          <w:p w14:paraId="07851BD7" w14:textId="77777777" w:rsidR="002C0FD9" w:rsidRPr="00CA25CF" w:rsidRDefault="002C0FD9" w:rsidP="00CA25CF">
            <w:pPr>
              <w:rPr>
                <w:rFonts w:cs="Arial"/>
                <w:color w:val="FF0000"/>
                <w:sz w:val="21"/>
                <w:szCs w:val="21"/>
              </w:rPr>
            </w:pPr>
          </w:p>
        </w:tc>
        <w:tc>
          <w:tcPr>
            <w:tcW w:w="217" w:type="dxa"/>
          </w:tcPr>
          <w:p w14:paraId="1889C260" w14:textId="77777777" w:rsidR="002C0FD9" w:rsidRPr="00CA25CF" w:rsidRDefault="002C0FD9" w:rsidP="00CA25CF">
            <w:pPr>
              <w:rPr>
                <w:rFonts w:cs="Arial"/>
                <w:color w:val="FF0000"/>
                <w:sz w:val="21"/>
                <w:szCs w:val="21"/>
              </w:rPr>
            </w:pPr>
          </w:p>
        </w:tc>
        <w:tc>
          <w:tcPr>
            <w:tcW w:w="217" w:type="dxa"/>
          </w:tcPr>
          <w:p w14:paraId="77F2AA59" w14:textId="77777777" w:rsidR="002C0FD9" w:rsidRPr="00CA25CF" w:rsidRDefault="002C0FD9" w:rsidP="00CA25CF">
            <w:pPr>
              <w:rPr>
                <w:rFonts w:cs="Arial"/>
                <w:color w:val="FF0000"/>
                <w:sz w:val="21"/>
                <w:szCs w:val="21"/>
              </w:rPr>
            </w:pPr>
          </w:p>
        </w:tc>
        <w:tc>
          <w:tcPr>
            <w:tcW w:w="217" w:type="dxa"/>
          </w:tcPr>
          <w:p w14:paraId="337E117E" w14:textId="77777777" w:rsidR="002C0FD9" w:rsidRPr="00CA25CF" w:rsidRDefault="002C0FD9" w:rsidP="00CA25CF">
            <w:pPr>
              <w:rPr>
                <w:rFonts w:cs="Arial"/>
                <w:color w:val="FF0000"/>
                <w:sz w:val="21"/>
                <w:szCs w:val="21"/>
              </w:rPr>
            </w:pPr>
          </w:p>
        </w:tc>
        <w:tc>
          <w:tcPr>
            <w:tcW w:w="217" w:type="dxa"/>
          </w:tcPr>
          <w:p w14:paraId="0671DDAD" w14:textId="77777777" w:rsidR="002C0FD9" w:rsidRPr="00CA25CF" w:rsidRDefault="002C0FD9" w:rsidP="00CA25CF">
            <w:pPr>
              <w:rPr>
                <w:rFonts w:cs="Arial"/>
                <w:color w:val="FF0000"/>
                <w:sz w:val="21"/>
                <w:szCs w:val="21"/>
              </w:rPr>
            </w:pPr>
          </w:p>
        </w:tc>
        <w:tc>
          <w:tcPr>
            <w:tcW w:w="217" w:type="dxa"/>
          </w:tcPr>
          <w:p w14:paraId="5951F396" w14:textId="77777777" w:rsidR="002C0FD9" w:rsidRPr="00CA25CF" w:rsidRDefault="002C0FD9" w:rsidP="00CA25CF">
            <w:pPr>
              <w:rPr>
                <w:rFonts w:cs="Arial"/>
                <w:color w:val="FF0000"/>
                <w:sz w:val="21"/>
                <w:szCs w:val="21"/>
              </w:rPr>
            </w:pPr>
          </w:p>
        </w:tc>
        <w:tc>
          <w:tcPr>
            <w:tcW w:w="217" w:type="dxa"/>
          </w:tcPr>
          <w:p w14:paraId="0B4101FE" w14:textId="77777777" w:rsidR="002C0FD9" w:rsidRPr="00CA25CF" w:rsidRDefault="002C0FD9" w:rsidP="00CA25CF">
            <w:pPr>
              <w:rPr>
                <w:rFonts w:cs="Arial"/>
                <w:color w:val="FF0000"/>
                <w:sz w:val="21"/>
                <w:szCs w:val="21"/>
              </w:rPr>
            </w:pPr>
          </w:p>
        </w:tc>
        <w:tc>
          <w:tcPr>
            <w:tcW w:w="217" w:type="dxa"/>
          </w:tcPr>
          <w:p w14:paraId="57F6223F" w14:textId="77777777" w:rsidR="002C0FD9" w:rsidRPr="00CA25CF" w:rsidRDefault="002C0FD9" w:rsidP="00CA25CF">
            <w:pPr>
              <w:rPr>
                <w:rFonts w:cs="Arial"/>
                <w:color w:val="FF0000"/>
                <w:sz w:val="21"/>
                <w:szCs w:val="21"/>
              </w:rPr>
            </w:pPr>
          </w:p>
        </w:tc>
        <w:tc>
          <w:tcPr>
            <w:tcW w:w="217" w:type="dxa"/>
          </w:tcPr>
          <w:p w14:paraId="188CB4D7" w14:textId="77777777" w:rsidR="002C0FD9" w:rsidRPr="00CA25CF" w:rsidRDefault="002C0FD9" w:rsidP="00CA25CF">
            <w:pPr>
              <w:rPr>
                <w:rFonts w:cs="Arial"/>
                <w:color w:val="FF0000"/>
                <w:sz w:val="21"/>
                <w:szCs w:val="21"/>
              </w:rPr>
            </w:pPr>
          </w:p>
        </w:tc>
        <w:tc>
          <w:tcPr>
            <w:tcW w:w="217" w:type="dxa"/>
          </w:tcPr>
          <w:p w14:paraId="6902496F" w14:textId="77777777" w:rsidR="002C0FD9" w:rsidRPr="00CA25CF" w:rsidRDefault="002C0FD9" w:rsidP="00CA25CF">
            <w:pPr>
              <w:rPr>
                <w:rFonts w:cs="Arial"/>
                <w:color w:val="FF0000"/>
                <w:sz w:val="21"/>
                <w:szCs w:val="21"/>
              </w:rPr>
            </w:pPr>
          </w:p>
        </w:tc>
        <w:tc>
          <w:tcPr>
            <w:tcW w:w="217" w:type="dxa"/>
          </w:tcPr>
          <w:p w14:paraId="17C82369" w14:textId="77777777" w:rsidR="002C0FD9" w:rsidRPr="00CA25CF" w:rsidRDefault="002C0FD9" w:rsidP="00CA25CF">
            <w:pPr>
              <w:rPr>
                <w:rFonts w:cs="Arial"/>
                <w:color w:val="FF0000"/>
                <w:sz w:val="21"/>
                <w:szCs w:val="21"/>
              </w:rPr>
            </w:pPr>
          </w:p>
        </w:tc>
        <w:tc>
          <w:tcPr>
            <w:tcW w:w="217" w:type="dxa"/>
          </w:tcPr>
          <w:p w14:paraId="74031ED3" w14:textId="77777777" w:rsidR="002C0FD9" w:rsidRPr="00CA25CF" w:rsidRDefault="002C0FD9" w:rsidP="00CA25CF">
            <w:pPr>
              <w:rPr>
                <w:rFonts w:cs="Arial"/>
                <w:color w:val="FF0000"/>
                <w:sz w:val="21"/>
                <w:szCs w:val="21"/>
              </w:rPr>
            </w:pPr>
          </w:p>
        </w:tc>
        <w:tc>
          <w:tcPr>
            <w:tcW w:w="217" w:type="dxa"/>
          </w:tcPr>
          <w:p w14:paraId="36C280E2" w14:textId="77777777" w:rsidR="002C0FD9" w:rsidRPr="00CA25CF" w:rsidRDefault="002C0FD9" w:rsidP="00CA25CF">
            <w:pPr>
              <w:rPr>
                <w:rFonts w:cs="Arial"/>
                <w:color w:val="FF0000"/>
                <w:sz w:val="21"/>
                <w:szCs w:val="21"/>
              </w:rPr>
            </w:pPr>
          </w:p>
        </w:tc>
        <w:tc>
          <w:tcPr>
            <w:tcW w:w="217" w:type="dxa"/>
          </w:tcPr>
          <w:p w14:paraId="5ED73E15" w14:textId="77777777" w:rsidR="002C0FD9" w:rsidRPr="00CA25CF" w:rsidRDefault="002C0FD9" w:rsidP="00CA25CF">
            <w:pPr>
              <w:rPr>
                <w:rFonts w:cs="Arial"/>
                <w:color w:val="FF0000"/>
                <w:sz w:val="21"/>
                <w:szCs w:val="21"/>
              </w:rPr>
            </w:pPr>
          </w:p>
        </w:tc>
        <w:tc>
          <w:tcPr>
            <w:tcW w:w="217" w:type="dxa"/>
          </w:tcPr>
          <w:p w14:paraId="02759F9F" w14:textId="77777777" w:rsidR="002C0FD9" w:rsidRPr="00CA25CF" w:rsidRDefault="002C0FD9" w:rsidP="00CA25CF">
            <w:pPr>
              <w:rPr>
                <w:rFonts w:cs="Arial"/>
                <w:color w:val="FF0000"/>
                <w:sz w:val="21"/>
                <w:szCs w:val="21"/>
              </w:rPr>
            </w:pPr>
          </w:p>
        </w:tc>
        <w:tc>
          <w:tcPr>
            <w:tcW w:w="217" w:type="dxa"/>
          </w:tcPr>
          <w:p w14:paraId="75795121" w14:textId="77777777" w:rsidR="002C0FD9" w:rsidRPr="00CA25CF" w:rsidRDefault="002C0FD9" w:rsidP="00CA25CF">
            <w:pPr>
              <w:rPr>
                <w:rFonts w:cs="Arial"/>
                <w:color w:val="FF0000"/>
                <w:sz w:val="21"/>
                <w:szCs w:val="21"/>
              </w:rPr>
            </w:pPr>
          </w:p>
        </w:tc>
        <w:tc>
          <w:tcPr>
            <w:tcW w:w="217" w:type="dxa"/>
          </w:tcPr>
          <w:p w14:paraId="4A2A4BF0" w14:textId="77777777" w:rsidR="002C0FD9" w:rsidRPr="00CA25CF" w:rsidRDefault="002C0FD9" w:rsidP="00CA25CF">
            <w:pPr>
              <w:rPr>
                <w:rFonts w:cs="Arial"/>
                <w:color w:val="FF0000"/>
                <w:sz w:val="21"/>
                <w:szCs w:val="21"/>
              </w:rPr>
            </w:pPr>
          </w:p>
        </w:tc>
        <w:tc>
          <w:tcPr>
            <w:tcW w:w="217" w:type="dxa"/>
          </w:tcPr>
          <w:p w14:paraId="53B004A3" w14:textId="77777777" w:rsidR="002C0FD9" w:rsidRPr="00CA25CF" w:rsidRDefault="002C0FD9" w:rsidP="00CA25CF">
            <w:pPr>
              <w:rPr>
                <w:rFonts w:cs="Arial"/>
                <w:color w:val="FF0000"/>
                <w:sz w:val="21"/>
                <w:szCs w:val="21"/>
              </w:rPr>
            </w:pPr>
          </w:p>
        </w:tc>
        <w:tc>
          <w:tcPr>
            <w:tcW w:w="217" w:type="dxa"/>
          </w:tcPr>
          <w:p w14:paraId="22AEC1E0" w14:textId="77777777" w:rsidR="002C0FD9" w:rsidRPr="00CA25CF" w:rsidRDefault="002C0FD9" w:rsidP="00CA25CF">
            <w:pPr>
              <w:rPr>
                <w:rFonts w:cs="Arial"/>
                <w:color w:val="FF0000"/>
                <w:sz w:val="21"/>
                <w:szCs w:val="21"/>
              </w:rPr>
            </w:pPr>
          </w:p>
        </w:tc>
        <w:tc>
          <w:tcPr>
            <w:tcW w:w="217" w:type="dxa"/>
          </w:tcPr>
          <w:p w14:paraId="25506DFE" w14:textId="77777777" w:rsidR="002C0FD9" w:rsidRPr="00CA25CF" w:rsidRDefault="002C0FD9" w:rsidP="00CA25CF">
            <w:pPr>
              <w:rPr>
                <w:rFonts w:cs="Arial"/>
                <w:color w:val="FF0000"/>
                <w:sz w:val="21"/>
                <w:szCs w:val="21"/>
              </w:rPr>
            </w:pPr>
          </w:p>
        </w:tc>
        <w:tc>
          <w:tcPr>
            <w:tcW w:w="217" w:type="dxa"/>
          </w:tcPr>
          <w:p w14:paraId="199864EB" w14:textId="77777777" w:rsidR="002C0FD9" w:rsidRPr="00CA25CF" w:rsidRDefault="002C0FD9" w:rsidP="00CA25CF">
            <w:pPr>
              <w:rPr>
                <w:rFonts w:cs="Arial"/>
                <w:color w:val="FF0000"/>
                <w:sz w:val="21"/>
                <w:szCs w:val="21"/>
              </w:rPr>
            </w:pPr>
          </w:p>
        </w:tc>
        <w:tc>
          <w:tcPr>
            <w:tcW w:w="217" w:type="dxa"/>
          </w:tcPr>
          <w:p w14:paraId="06645554" w14:textId="77777777" w:rsidR="002C0FD9" w:rsidRPr="00CA25CF" w:rsidRDefault="002C0FD9" w:rsidP="00CA25CF">
            <w:pPr>
              <w:rPr>
                <w:rFonts w:cs="Arial"/>
                <w:color w:val="FF0000"/>
                <w:sz w:val="21"/>
                <w:szCs w:val="21"/>
              </w:rPr>
            </w:pPr>
          </w:p>
        </w:tc>
        <w:tc>
          <w:tcPr>
            <w:tcW w:w="217" w:type="dxa"/>
          </w:tcPr>
          <w:p w14:paraId="522A35B5" w14:textId="77777777" w:rsidR="002C0FD9" w:rsidRPr="00CA25CF" w:rsidRDefault="002C0FD9" w:rsidP="00CA25CF">
            <w:pPr>
              <w:rPr>
                <w:rFonts w:cs="Arial"/>
                <w:color w:val="FF0000"/>
                <w:sz w:val="21"/>
                <w:szCs w:val="21"/>
              </w:rPr>
            </w:pPr>
          </w:p>
        </w:tc>
        <w:tc>
          <w:tcPr>
            <w:tcW w:w="217" w:type="dxa"/>
          </w:tcPr>
          <w:p w14:paraId="385B3174" w14:textId="77777777" w:rsidR="002C0FD9" w:rsidRPr="00CA25CF" w:rsidRDefault="002C0FD9" w:rsidP="00CA25CF">
            <w:pPr>
              <w:rPr>
                <w:rFonts w:cs="Arial"/>
                <w:color w:val="FF0000"/>
                <w:sz w:val="21"/>
                <w:szCs w:val="21"/>
              </w:rPr>
            </w:pPr>
          </w:p>
        </w:tc>
        <w:tc>
          <w:tcPr>
            <w:tcW w:w="217" w:type="dxa"/>
          </w:tcPr>
          <w:p w14:paraId="1D84FAAC" w14:textId="77777777" w:rsidR="002C0FD9" w:rsidRPr="00CA25CF" w:rsidRDefault="002C0FD9" w:rsidP="00CA25CF">
            <w:pPr>
              <w:rPr>
                <w:rFonts w:cs="Arial"/>
                <w:color w:val="FF0000"/>
                <w:sz w:val="21"/>
                <w:szCs w:val="21"/>
              </w:rPr>
            </w:pPr>
          </w:p>
        </w:tc>
        <w:tc>
          <w:tcPr>
            <w:tcW w:w="217" w:type="dxa"/>
          </w:tcPr>
          <w:p w14:paraId="11914F8F" w14:textId="77777777" w:rsidR="002C0FD9" w:rsidRPr="00CA25CF" w:rsidRDefault="002C0FD9" w:rsidP="00CA25CF">
            <w:pPr>
              <w:rPr>
                <w:rFonts w:cs="Arial"/>
                <w:color w:val="FF0000"/>
                <w:sz w:val="21"/>
                <w:szCs w:val="21"/>
              </w:rPr>
            </w:pPr>
          </w:p>
        </w:tc>
        <w:tc>
          <w:tcPr>
            <w:tcW w:w="217" w:type="dxa"/>
          </w:tcPr>
          <w:p w14:paraId="0EA5E7D6" w14:textId="77777777" w:rsidR="002C0FD9" w:rsidRPr="00CA25CF" w:rsidRDefault="002C0FD9" w:rsidP="00CA25CF">
            <w:pPr>
              <w:rPr>
                <w:rFonts w:cs="Arial"/>
                <w:color w:val="FF0000"/>
                <w:sz w:val="21"/>
                <w:szCs w:val="21"/>
              </w:rPr>
            </w:pPr>
          </w:p>
        </w:tc>
      </w:tr>
      <w:tr w:rsidR="002C0FD9" w:rsidRPr="00A16219" w14:paraId="6D40E28C" w14:textId="356BAE3F" w:rsidTr="002C0FD9">
        <w:trPr>
          <w:trHeight w:val="635"/>
        </w:trPr>
        <w:tc>
          <w:tcPr>
            <w:tcW w:w="515" w:type="dxa"/>
          </w:tcPr>
          <w:p w14:paraId="19DEC54F" w14:textId="77777777" w:rsidR="002C0FD9" w:rsidRPr="00CA25CF" w:rsidRDefault="002C0FD9" w:rsidP="00CA25CF">
            <w:pPr>
              <w:rPr>
                <w:rFonts w:cs="Arial"/>
                <w:color w:val="FF0000"/>
                <w:sz w:val="21"/>
                <w:szCs w:val="21"/>
              </w:rPr>
            </w:pPr>
          </w:p>
        </w:tc>
        <w:tc>
          <w:tcPr>
            <w:tcW w:w="217" w:type="dxa"/>
          </w:tcPr>
          <w:p w14:paraId="03BC9D5C" w14:textId="77777777" w:rsidR="002C0FD9" w:rsidRPr="00CA25CF" w:rsidRDefault="002C0FD9" w:rsidP="00CA25CF">
            <w:pPr>
              <w:rPr>
                <w:rFonts w:cs="Arial"/>
                <w:color w:val="FF0000"/>
                <w:sz w:val="21"/>
                <w:szCs w:val="21"/>
              </w:rPr>
            </w:pPr>
          </w:p>
        </w:tc>
        <w:tc>
          <w:tcPr>
            <w:tcW w:w="217" w:type="dxa"/>
          </w:tcPr>
          <w:p w14:paraId="12442C1D" w14:textId="59393BEB" w:rsidR="002C0FD9" w:rsidRPr="00CA25CF" w:rsidRDefault="002C0FD9" w:rsidP="00CA25CF">
            <w:pPr>
              <w:rPr>
                <w:rFonts w:cs="Arial"/>
                <w:color w:val="FF0000"/>
                <w:sz w:val="21"/>
                <w:szCs w:val="21"/>
              </w:rPr>
            </w:pPr>
          </w:p>
        </w:tc>
        <w:tc>
          <w:tcPr>
            <w:tcW w:w="217" w:type="dxa"/>
          </w:tcPr>
          <w:p w14:paraId="5C5D01CA" w14:textId="77777777" w:rsidR="002C0FD9" w:rsidRPr="00CA25CF" w:rsidRDefault="002C0FD9" w:rsidP="00CA25CF">
            <w:pPr>
              <w:rPr>
                <w:rFonts w:cs="Arial"/>
                <w:color w:val="FF0000"/>
                <w:sz w:val="21"/>
                <w:szCs w:val="21"/>
              </w:rPr>
            </w:pPr>
          </w:p>
        </w:tc>
        <w:tc>
          <w:tcPr>
            <w:tcW w:w="217" w:type="dxa"/>
          </w:tcPr>
          <w:p w14:paraId="771A977E" w14:textId="77777777" w:rsidR="002C0FD9" w:rsidRPr="00CA25CF" w:rsidRDefault="002C0FD9" w:rsidP="00CA25CF">
            <w:pPr>
              <w:rPr>
                <w:rFonts w:cs="Arial"/>
                <w:color w:val="FF0000"/>
                <w:sz w:val="21"/>
                <w:szCs w:val="21"/>
              </w:rPr>
            </w:pPr>
          </w:p>
        </w:tc>
        <w:tc>
          <w:tcPr>
            <w:tcW w:w="217" w:type="dxa"/>
          </w:tcPr>
          <w:p w14:paraId="5232B94E" w14:textId="77777777" w:rsidR="002C0FD9" w:rsidRPr="00CA25CF" w:rsidRDefault="002C0FD9" w:rsidP="00CA25CF">
            <w:pPr>
              <w:rPr>
                <w:rFonts w:cs="Arial"/>
                <w:color w:val="FF0000"/>
                <w:sz w:val="21"/>
                <w:szCs w:val="21"/>
              </w:rPr>
            </w:pPr>
          </w:p>
        </w:tc>
        <w:tc>
          <w:tcPr>
            <w:tcW w:w="217" w:type="dxa"/>
          </w:tcPr>
          <w:p w14:paraId="7EFBBAD3" w14:textId="77777777" w:rsidR="002C0FD9" w:rsidRPr="00CA25CF" w:rsidRDefault="002C0FD9" w:rsidP="00CA25CF">
            <w:pPr>
              <w:rPr>
                <w:rFonts w:cs="Arial"/>
                <w:color w:val="FF0000"/>
                <w:sz w:val="21"/>
                <w:szCs w:val="21"/>
              </w:rPr>
            </w:pPr>
          </w:p>
        </w:tc>
        <w:tc>
          <w:tcPr>
            <w:tcW w:w="217" w:type="dxa"/>
          </w:tcPr>
          <w:p w14:paraId="1A3B3A86" w14:textId="77777777" w:rsidR="002C0FD9" w:rsidRPr="00CA25CF" w:rsidRDefault="002C0FD9" w:rsidP="00CA25CF">
            <w:pPr>
              <w:rPr>
                <w:rFonts w:cs="Arial"/>
                <w:color w:val="FF0000"/>
                <w:sz w:val="21"/>
                <w:szCs w:val="21"/>
              </w:rPr>
            </w:pPr>
          </w:p>
        </w:tc>
        <w:tc>
          <w:tcPr>
            <w:tcW w:w="217" w:type="dxa"/>
          </w:tcPr>
          <w:p w14:paraId="48372D56" w14:textId="77777777" w:rsidR="002C0FD9" w:rsidRPr="00CA25CF" w:rsidRDefault="002C0FD9" w:rsidP="00CA25CF">
            <w:pPr>
              <w:rPr>
                <w:rFonts w:cs="Arial"/>
                <w:color w:val="FF0000"/>
                <w:sz w:val="21"/>
                <w:szCs w:val="21"/>
              </w:rPr>
            </w:pPr>
          </w:p>
        </w:tc>
        <w:tc>
          <w:tcPr>
            <w:tcW w:w="217" w:type="dxa"/>
          </w:tcPr>
          <w:p w14:paraId="07D31C9B" w14:textId="77777777" w:rsidR="002C0FD9" w:rsidRPr="00CA25CF" w:rsidRDefault="002C0FD9" w:rsidP="00CA25CF">
            <w:pPr>
              <w:rPr>
                <w:rFonts w:cs="Arial"/>
                <w:color w:val="FF0000"/>
                <w:sz w:val="21"/>
                <w:szCs w:val="21"/>
              </w:rPr>
            </w:pPr>
          </w:p>
        </w:tc>
        <w:tc>
          <w:tcPr>
            <w:tcW w:w="217" w:type="dxa"/>
          </w:tcPr>
          <w:p w14:paraId="48FD0A0D" w14:textId="77777777" w:rsidR="002C0FD9" w:rsidRPr="00CA25CF" w:rsidRDefault="002C0FD9" w:rsidP="00CA25CF">
            <w:pPr>
              <w:rPr>
                <w:rFonts w:cs="Arial"/>
                <w:color w:val="FF0000"/>
                <w:sz w:val="21"/>
                <w:szCs w:val="21"/>
              </w:rPr>
            </w:pPr>
          </w:p>
        </w:tc>
        <w:tc>
          <w:tcPr>
            <w:tcW w:w="217" w:type="dxa"/>
          </w:tcPr>
          <w:p w14:paraId="2E7760DA" w14:textId="77777777" w:rsidR="002C0FD9" w:rsidRPr="00CA25CF" w:rsidRDefault="002C0FD9" w:rsidP="00CA25CF">
            <w:pPr>
              <w:rPr>
                <w:rFonts w:cs="Arial"/>
                <w:color w:val="FF0000"/>
                <w:sz w:val="21"/>
                <w:szCs w:val="21"/>
              </w:rPr>
            </w:pPr>
          </w:p>
        </w:tc>
        <w:tc>
          <w:tcPr>
            <w:tcW w:w="217" w:type="dxa"/>
          </w:tcPr>
          <w:p w14:paraId="34CB53A7" w14:textId="77777777" w:rsidR="002C0FD9" w:rsidRPr="00CA25CF" w:rsidRDefault="002C0FD9" w:rsidP="00CA25CF">
            <w:pPr>
              <w:rPr>
                <w:rFonts w:cs="Arial"/>
                <w:color w:val="FF0000"/>
                <w:sz w:val="21"/>
                <w:szCs w:val="21"/>
              </w:rPr>
            </w:pPr>
          </w:p>
        </w:tc>
        <w:tc>
          <w:tcPr>
            <w:tcW w:w="217" w:type="dxa"/>
          </w:tcPr>
          <w:p w14:paraId="7754F9F1" w14:textId="77777777" w:rsidR="002C0FD9" w:rsidRPr="00CA25CF" w:rsidRDefault="002C0FD9" w:rsidP="00CA25CF">
            <w:pPr>
              <w:rPr>
                <w:rFonts w:cs="Arial"/>
                <w:color w:val="FF0000"/>
                <w:sz w:val="21"/>
                <w:szCs w:val="21"/>
              </w:rPr>
            </w:pPr>
          </w:p>
        </w:tc>
        <w:tc>
          <w:tcPr>
            <w:tcW w:w="217" w:type="dxa"/>
          </w:tcPr>
          <w:p w14:paraId="12058F4F" w14:textId="77777777" w:rsidR="002C0FD9" w:rsidRPr="00CA25CF" w:rsidRDefault="002C0FD9" w:rsidP="00CA25CF">
            <w:pPr>
              <w:rPr>
                <w:rFonts w:cs="Arial"/>
                <w:color w:val="FF0000"/>
                <w:sz w:val="21"/>
                <w:szCs w:val="21"/>
              </w:rPr>
            </w:pPr>
          </w:p>
        </w:tc>
        <w:tc>
          <w:tcPr>
            <w:tcW w:w="217" w:type="dxa"/>
          </w:tcPr>
          <w:p w14:paraId="29077203" w14:textId="3F520283" w:rsidR="002C0FD9" w:rsidRPr="00CA25CF" w:rsidRDefault="002C0FD9" w:rsidP="00CA25CF">
            <w:pPr>
              <w:rPr>
                <w:rFonts w:cs="Arial"/>
                <w:color w:val="FF0000"/>
                <w:sz w:val="21"/>
                <w:szCs w:val="21"/>
              </w:rPr>
            </w:pPr>
          </w:p>
        </w:tc>
        <w:tc>
          <w:tcPr>
            <w:tcW w:w="217" w:type="dxa"/>
          </w:tcPr>
          <w:p w14:paraId="1DADB907" w14:textId="77777777" w:rsidR="002C0FD9" w:rsidRPr="00CA25CF" w:rsidRDefault="002C0FD9" w:rsidP="00CA25CF">
            <w:pPr>
              <w:rPr>
                <w:rFonts w:cs="Arial"/>
                <w:color w:val="FF0000"/>
                <w:sz w:val="21"/>
                <w:szCs w:val="21"/>
              </w:rPr>
            </w:pPr>
          </w:p>
        </w:tc>
        <w:tc>
          <w:tcPr>
            <w:tcW w:w="217" w:type="dxa"/>
          </w:tcPr>
          <w:p w14:paraId="2CA01683" w14:textId="77777777" w:rsidR="002C0FD9" w:rsidRPr="00CA25CF" w:rsidRDefault="002C0FD9" w:rsidP="00CA25CF">
            <w:pPr>
              <w:rPr>
                <w:rFonts w:cs="Arial"/>
                <w:color w:val="FF0000"/>
                <w:sz w:val="21"/>
                <w:szCs w:val="21"/>
              </w:rPr>
            </w:pPr>
          </w:p>
        </w:tc>
        <w:tc>
          <w:tcPr>
            <w:tcW w:w="217" w:type="dxa"/>
          </w:tcPr>
          <w:p w14:paraId="148C78AF" w14:textId="77777777" w:rsidR="002C0FD9" w:rsidRPr="00CA25CF" w:rsidRDefault="002C0FD9" w:rsidP="00CA25CF">
            <w:pPr>
              <w:rPr>
                <w:rFonts w:cs="Arial"/>
                <w:color w:val="FF0000"/>
                <w:sz w:val="21"/>
                <w:szCs w:val="21"/>
              </w:rPr>
            </w:pPr>
          </w:p>
        </w:tc>
        <w:tc>
          <w:tcPr>
            <w:tcW w:w="217" w:type="dxa"/>
          </w:tcPr>
          <w:p w14:paraId="6BFE83EC" w14:textId="77777777" w:rsidR="002C0FD9" w:rsidRPr="00CA25CF" w:rsidRDefault="002C0FD9" w:rsidP="00CA25CF">
            <w:pPr>
              <w:rPr>
                <w:rFonts w:cs="Arial"/>
                <w:color w:val="FF0000"/>
                <w:sz w:val="21"/>
                <w:szCs w:val="21"/>
              </w:rPr>
            </w:pPr>
          </w:p>
        </w:tc>
        <w:tc>
          <w:tcPr>
            <w:tcW w:w="217" w:type="dxa"/>
          </w:tcPr>
          <w:p w14:paraId="1E17F756" w14:textId="77777777" w:rsidR="002C0FD9" w:rsidRPr="00CA25CF" w:rsidRDefault="002C0FD9" w:rsidP="00CA25CF">
            <w:pPr>
              <w:rPr>
                <w:rFonts w:cs="Arial"/>
                <w:color w:val="FF0000"/>
                <w:sz w:val="21"/>
                <w:szCs w:val="21"/>
              </w:rPr>
            </w:pPr>
          </w:p>
        </w:tc>
        <w:tc>
          <w:tcPr>
            <w:tcW w:w="217" w:type="dxa"/>
          </w:tcPr>
          <w:p w14:paraId="187868CC" w14:textId="77777777" w:rsidR="002C0FD9" w:rsidRPr="00CA25CF" w:rsidRDefault="002C0FD9" w:rsidP="00CA25CF">
            <w:pPr>
              <w:rPr>
                <w:rFonts w:cs="Arial"/>
                <w:color w:val="FF0000"/>
                <w:sz w:val="21"/>
                <w:szCs w:val="21"/>
              </w:rPr>
            </w:pPr>
          </w:p>
        </w:tc>
        <w:tc>
          <w:tcPr>
            <w:tcW w:w="217" w:type="dxa"/>
          </w:tcPr>
          <w:p w14:paraId="7F087B54" w14:textId="77777777" w:rsidR="002C0FD9" w:rsidRPr="00CA25CF" w:rsidRDefault="002C0FD9" w:rsidP="00CA25CF">
            <w:pPr>
              <w:rPr>
                <w:rFonts w:cs="Arial"/>
                <w:color w:val="FF0000"/>
                <w:sz w:val="21"/>
                <w:szCs w:val="21"/>
              </w:rPr>
            </w:pPr>
          </w:p>
        </w:tc>
        <w:tc>
          <w:tcPr>
            <w:tcW w:w="217" w:type="dxa"/>
          </w:tcPr>
          <w:p w14:paraId="03703A8F" w14:textId="77777777" w:rsidR="002C0FD9" w:rsidRPr="00CA25CF" w:rsidRDefault="002C0FD9" w:rsidP="00CA25CF">
            <w:pPr>
              <w:rPr>
                <w:rFonts w:cs="Arial"/>
                <w:color w:val="FF0000"/>
                <w:sz w:val="21"/>
                <w:szCs w:val="21"/>
              </w:rPr>
            </w:pPr>
          </w:p>
        </w:tc>
        <w:tc>
          <w:tcPr>
            <w:tcW w:w="217" w:type="dxa"/>
          </w:tcPr>
          <w:p w14:paraId="038328CA" w14:textId="77777777" w:rsidR="002C0FD9" w:rsidRPr="00CA25CF" w:rsidRDefault="002C0FD9" w:rsidP="00CA25CF">
            <w:pPr>
              <w:rPr>
                <w:rFonts w:cs="Arial"/>
                <w:color w:val="FF0000"/>
                <w:sz w:val="21"/>
                <w:szCs w:val="21"/>
              </w:rPr>
            </w:pPr>
          </w:p>
        </w:tc>
        <w:tc>
          <w:tcPr>
            <w:tcW w:w="217" w:type="dxa"/>
          </w:tcPr>
          <w:p w14:paraId="59C080A2" w14:textId="77777777" w:rsidR="002C0FD9" w:rsidRPr="00CA25CF" w:rsidRDefault="002C0FD9" w:rsidP="00CA25CF">
            <w:pPr>
              <w:rPr>
                <w:rFonts w:cs="Arial"/>
                <w:color w:val="FF0000"/>
                <w:sz w:val="21"/>
                <w:szCs w:val="21"/>
              </w:rPr>
            </w:pPr>
          </w:p>
        </w:tc>
        <w:tc>
          <w:tcPr>
            <w:tcW w:w="217" w:type="dxa"/>
          </w:tcPr>
          <w:p w14:paraId="4913A9FB" w14:textId="77777777" w:rsidR="002C0FD9" w:rsidRPr="00CA25CF" w:rsidRDefault="002C0FD9" w:rsidP="00CA25CF">
            <w:pPr>
              <w:rPr>
                <w:rFonts w:cs="Arial"/>
                <w:color w:val="FF0000"/>
                <w:sz w:val="21"/>
                <w:szCs w:val="21"/>
              </w:rPr>
            </w:pPr>
          </w:p>
        </w:tc>
        <w:tc>
          <w:tcPr>
            <w:tcW w:w="217" w:type="dxa"/>
          </w:tcPr>
          <w:p w14:paraId="126CE7F0" w14:textId="77777777" w:rsidR="002C0FD9" w:rsidRPr="00CA25CF" w:rsidRDefault="002C0FD9" w:rsidP="00CA25CF">
            <w:pPr>
              <w:rPr>
                <w:rFonts w:cs="Arial"/>
                <w:color w:val="FF0000"/>
                <w:sz w:val="21"/>
                <w:szCs w:val="21"/>
              </w:rPr>
            </w:pPr>
          </w:p>
        </w:tc>
        <w:tc>
          <w:tcPr>
            <w:tcW w:w="217" w:type="dxa"/>
          </w:tcPr>
          <w:p w14:paraId="770AAF49" w14:textId="77777777" w:rsidR="002C0FD9" w:rsidRPr="00CA25CF" w:rsidRDefault="002C0FD9" w:rsidP="00CA25CF">
            <w:pPr>
              <w:rPr>
                <w:rFonts w:cs="Arial"/>
                <w:color w:val="FF0000"/>
                <w:sz w:val="21"/>
                <w:szCs w:val="21"/>
              </w:rPr>
            </w:pPr>
          </w:p>
        </w:tc>
        <w:tc>
          <w:tcPr>
            <w:tcW w:w="217" w:type="dxa"/>
          </w:tcPr>
          <w:p w14:paraId="6FF38033" w14:textId="77777777" w:rsidR="002C0FD9" w:rsidRPr="00CA25CF" w:rsidRDefault="002C0FD9" w:rsidP="00CA25CF">
            <w:pPr>
              <w:rPr>
                <w:rFonts w:cs="Arial"/>
                <w:color w:val="FF0000"/>
                <w:sz w:val="21"/>
                <w:szCs w:val="21"/>
              </w:rPr>
            </w:pPr>
          </w:p>
        </w:tc>
        <w:tc>
          <w:tcPr>
            <w:tcW w:w="217" w:type="dxa"/>
          </w:tcPr>
          <w:p w14:paraId="6B8A07F4" w14:textId="77777777" w:rsidR="002C0FD9" w:rsidRPr="00CA25CF" w:rsidRDefault="002C0FD9" w:rsidP="00CA25CF">
            <w:pPr>
              <w:rPr>
                <w:rFonts w:cs="Arial"/>
                <w:color w:val="FF0000"/>
                <w:sz w:val="21"/>
                <w:szCs w:val="21"/>
              </w:rPr>
            </w:pPr>
          </w:p>
        </w:tc>
        <w:tc>
          <w:tcPr>
            <w:tcW w:w="217" w:type="dxa"/>
          </w:tcPr>
          <w:p w14:paraId="29601D58" w14:textId="77777777" w:rsidR="002C0FD9" w:rsidRPr="00CA25CF" w:rsidRDefault="002C0FD9" w:rsidP="00CA25CF">
            <w:pPr>
              <w:rPr>
                <w:rFonts w:cs="Arial"/>
                <w:color w:val="FF0000"/>
                <w:sz w:val="21"/>
                <w:szCs w:val="21"/>
              </w:rPr>
            </w:pPr>
          </w:p>
        </w:tc>
        <w:tc>
          <w:tcPr>
            <w:tcW w:w="217" w:type="dxa"/>
          </w:tcPr>
          <w:p w14:paraId="67527CA0" w14:textId="77777777" w:rsidR="002C0FD9" w:rsidRPr="00CA25CF" w:rsidRDefault="002C0FD9" w:rsidP="00CA25CF">
            <w:pPr>
              <w:rPr>
                <w:rFonts w:cs="Arial"/>
                <w:color w:val="FF0000"/>
                <w:sz w:val="21"/>
                <w:szCs w:val="21"/>
              </w:rPr>
            </w:pPr>
          </w:p>
        </w:tc>
        <w:tc>
          <w:tcPr>
            <w:tcW w:w="217" w:type="dxa"/>
          </w:tcPr>
          <w:p w14:paraId="62840726" w14:textId="77777777" w:rsidR="002C0FD9" w:rsidRPr="00CA25CF" w:rsidRDefault="002C0FD9" w:rsidP="00CA25CF">
            <w:pPr>
              <w:rPr>
                <w:rFonts w:cs="Arial"/>
                <w:color w:val="FF0000"/>
                <w:sz w:val="21"/>
                <w:szCs w:val="21"/>
              </w:rPr>
            </w:pPr>
          </w:p>
        </w:tc>
        <w:tc>
          <w:tcPr>
            <w:tcW w:w="217" w:type="dxa"/>
          </w:tcPr>
          <w:p w14:paraId="7E1334C3" w14:textId="77777777" w:rsidR="002C0FD9" w:rsidRPr="00CA25CF" w:rsidRDefault="002C0FD9" w:rsidP="00CA25CF">
            <w:pPr>
              <w:rPr>
                <w:rFonts w:cs="Arial"/>
                <w:color w:val="FF0000"/>
                <w:sz w:val="21"/>
                <w:szCs w:val="21"/>
              </w:rPr>
            </w:pPr>
          </w:p>
        </w:tc>
        <w:tc>
          <w:tcPr>
            <w:tcW w:w="217" w:type="dxa"/>
          </w:tcPr>
          <w:p w14:paraId="41DC15A0" w14:textId="77777777" w:rsidR="002C0FD9" w:rsidRPr="00CA25CF" w:rsidRDefault="002C0FD9" w:rsidP="00CA25CF">
            <w:pPr>
              <w:rPr>
                <w:rFonts w:cs="Arial"/>
                <w:color w:val="FF0000"/>
                <w:sz w:val="21"/>
                <w:szCs w:val="21"/>
              </w:rPr>
            </w:pPr>
          </w:p>
        </w:tc>
        <w:tc>
          <w:tcPr>
            <w:tcW w:w="217" w:type="dxa"/>
          </w:tcPr>
          <w:p w14:paraId="33366D79" w14:textId="77777777" w:rsidR="002C0FD9" w:rsidRPr="00CA25CF" w:rsidRDefault="002C0FD9" w:rsidP="00CA25CF">
            <w:pPr>
              <w:rPr>
                <w:rFonts w:cs="Arial"/>
                <w:color w:val="FF0000"/>
                <w:sz w:val="21"/>
                <w:szCs w:val="21"/>
              </w:rPr>
            </w:pPr>
          </w:p>
        </w:tc>
        <w:tc>
          <w:tcPr>
            <w:tcW w:w="217" w:type="dxa"/>
          </w:tcPr>
          <w:p w14:paraId="4A128656" w14:textId="77777777" w:rsidR="002C0FD9" w:rsidRPr="00CA25CF" w:rsidRDefault="002C0FD9" w:rsidP="00CA25CF">
            <w:pPr>
              <w:rPr>
                <w:rFonts w:cs="Arial"/>
                <w:color w:val="FF0000"/>
                <w:sz w:val="21"/>
                <w:szCs w:val="21"/>
              </w:rPr>
            </w:pPr>
          </w:p>
        </w:tc>
        <w:tc>
          <w:tcPr>
            <w:tcW w:w="217" w:type="dxa"/>
          </w:tcPr>
          <w:p w14:paraId="43B860BE" w14:textId="77777777" w:rsidR="002C0FD9" w:rsidRPr="00CA25CF" w:rsidRDefault="002C0FD9" w:rsidP="00CA25CF">
            <w:pPr>
              <w:rPr>
                <w:rFonts w:cs="Arial"/>
                <w:color w:val="FF0000"/>
                <w:sz w:val="21"/>
                <w:szCs w:val="21"/>
              </w:rPr>
            </w:pPr>
          </w:p>
        </w:tc>
        <w:tc>
          <w:tcPr>
            <w:tcW w:w="217" w:type="dxa"/>
          </w:tcPr>
          <w:p w14:paraId="13642827" w14:textId="77777777" w:rsidR="002C0FD9" w:rsidRPr="00CA25CF" w:rsidRDefault="002C0FD9" w:rsidP="00CA25CF">
            <w:pPr>
              <w:rPr>
                <w:rFonts w:cs="Arial"/>
                <w:color w:val="FF0000"/>
                <w:sz w:val="21"/>
                <w:szCs w:val="21"/>
              </w:rPr>
            </w:pPr>
          </w:p>
        </w:tc>
        <w:tc>
          <w:tcPr>
            <w:tcW w:w="217" w:type="dxa"/>
          </w:tcPr>
          <w:p w14:paraId="04650C74" w14:textId="77777777" w:rsidR="002C0FD9" w:rsidRPr="00CA25CF" w:rsidRDefault="002C0FD9" w:rsidP="00CA25CF">
            <w:pPr>
              <w:rPr>
                <w:rFonts w:cs="Arial"/>
                <w:color w:val="FF0000"/>
                <w:sz w:val="21"/>
                <w:szCs w:val="21"/>
              </w:rPr>
            </w:pPr>
          </w:p>
        </w:tc>
        <w:tc>
          <w:tcPr>
            <w:tcW w:w="217" w:type="dxa"/>
          </w:tcPr>
          <w:p w14:paraId="339B7F08" w14:textId="77777777" w:rsidR="002C0FD9" w:rsidRPr="00CA25CF" w:rsidRDefault="002C0FD9" w:rsidP="00CA25CF">
            <w:pPr>
              <w:rPr>
                <w:rFonts w:cs="Arial"/>
                <w:color w:val="FF0000"/>
                <w:sz w:val="21"/>
                <w:szCs w:val="21"/>
              </w:rPr>
            </w:pPr>
          </w:p>
        </w:tc>
        <w:tc>
          <w:tcPr>
            <w:tcW w:w="217" w:type="dxa"/>
          </w:tcPr>
          <w:p w14:paraId="6F6514EB" w14:textId="77777777" w:rsidR="002C0FD9" w:rsidRPr="00CA25CF" w:rsidRDefault="002C0FD9" w:rsidP="00CA25CF">
            <w:pPr>
              <w:rPr>
                <w:rFonts w:cs="Arial"/>
                <w:color w:val="FF0000"/>
                <w:sz w:val="21"/>
                <w:szCs w:val="21"/>
              </w:rPr>
            </w:pPr>
          </w:p>
        </w:tc>
      </w:tr>
      <w:tr w:rsidR="002C0FD9" w:rsidRPr="00A16219" w14:paraId="7CD883D7" w14:textId="422939BE" w:rsidTr="002C0FD9">
        <w:trPr>
          <w:trHeight w:val="635"/>
        </w:trPr>
        <w:tc>
          <w:tcPr>
            <w:tcW w:w="515" w:type="dxa"/>
          </w:tcPr>
          <w:p w14:paraId="6D3FF3B7" w14:textId="77777777" w:rsidR="002C0FD9" w:rsidRPr="00CA25CF" w:rsidRDefault="002C0FD9" w:rsidP="00CA25CF">
            <w:pPr>
              <w:rPr>
                <w:rFonts w:cs="Arial"/>
                <w:color w:val="FF0000"/>
                <w:sz w:val="21"/>
                <w:szCs w:val="21"/>
              </w:rPr>
            </w:pPr>
          </w:p>
        </w:tc>
        <w:tc>
          <w:tcPr>
            <w:tcW w:w="217" w:type="dxa"/>
          </w:tcPr>
          <w:p w14:paraId="48F5F753" w14:textId="77777777" w:rsidR="002C0FD9" w:rsidRPr="00CA25CF" w:rsidRDefault="002C0FD9" w:rsidP="00CA25CF">
            <w:pPr>
              <w:rPr>
                <w:rFonts w:cs="Arial"/>
                <w:color w:val="FF0000"/>
                <w:sz w:val="21"/>
                <w:szCs w:val="21"/>
              </w:rPr>
            </w:pPr>
          </w:p>
        </w:tc>
        <w:tc>
          <w:tcPr>
            <w:tcW w:w="217" w:type="dxa"/>
          </w:tcPr>
          <w:p w14:paraId="4975B209" w14:textId="647DCB87" w:rsidR="002C0FD9" w:rsidRPr="00CA25CF" w:rsidRDefault="002C0FD9" w:rsidP="00CA25CF">
            <w:pPr>
              <w:rPr>
                <w:rFonts w:cs="Arial"/>
                <w:color w:val="FF0000"/>
                <w:sz w:val="21"/>
                <w:szCs w:val="21"/>
              </w:rPr>
            </w:pPr>
          </w:p>
        </w:tc>
        <w:tc>
          <w:tcPr>
            <w:tcW w:w="217" w:type="dxa"/>
          </w:tcPr>
          <w:p w14:paraId="433BD52B" w14:textId="77777777" w:rsidR="002C0FD9" w:rsidRPr="00CA25CF" w:rsidRDefault="002C0FD9" w:rsidP="00CA25CF">
            <w:pPr>
              <w:rPr>
                <w:rFonts w:cs="Arial"/>
                <w:color w:val="FF0000"/>
                <w:sz w:val="21"/>
                <w:szCs w:val="21"/>
              </w:rPr>
            </w:pPr>
          </w:p>
        </w:tc>
        <w:tc>
          <w:tcPr>
            <w:tcW w:w="217" w:type="dxa"/>
          </w:tcPr>
          <w:p w14:paraId="696D9A8D" w14:textId="77777777" w:rsidR="002C0FD9" w:rsidRPr="00CA25CF" w:rsidRDefault="002C0FD9" w:rsidP="00CA25CF">
            <w:pPr>
              <w:rPr>
                <w:rFonts w:cs="Arial"/>
                <w:color w:val="FF0000"/>
                <w:sz w:val="21"/>
                <w:szCs w:val="21"/>
              </w:rPr>
            </w:pPr>
          </w:p>
        </w:tc>
        <w:tc>
          <w:tcPr>
            <w:tcW w:w="217" w:type="dxa"/>
          </w:tcPr>
          <w:p w14:paraId="2CCEFB73" w14:textId="77777777" w:rsidR="002C0FD9" w:rsidRPr="00CA25CF" w:rsidRDefault="002C0FD9" w:rsidP="00CA25CF">
            <w:pPr>
              <w:rPr>
                <w:rFonts w:cs="Arial"/>
                <w:color w:val="FF0000"/>
                <w:sz w:val="21"/>
                <w:szCs w:val="21"/>
              </w:rPr>
            </w:pPr>
          </w:p>
        </w:tc>
        <w:tc>
          <w:tcPr>
            <w:tcW w:w="217" w:type="dxa"/>
          </w:tcPr>
          <w:p w14:paraId="1B9137A8" w14:textId="77777777" w:rsidR="002C0FD9" w:rsidRPr="00CA25CF" w:rsidRDefault="002C0FD9" w:rsidP="00CA25CF">
            <w:pPr>
              <w:rPr>
                <w:rFonts w:cs="Arial"/>
                <w:color w:val="FF0000"/>
                <w:sz w:val="21"/>
                <w:szCs w:val="21"/>
              </w:rPr>
            </w:pPr>
          </w:p>
        </w:tc>
        <w:tc>
          <w:tcPr>
            <w:tcW w:w="217" w:type="dxa"/>
          </w:tcPr>
          <w:p w14:paraId="2D10E972" w14:textId="77777777" w:rsidR="002C0FD9" w:rsidRPr="00CA25CF" w:rsidRDefault="002C0FD9" w:rsidP="00CA25CF">
            <w:pPr>
              <w:rPr>
                <w:rFonts w:cs="Arial"/>
                <w:color w:val="FF0000"/>
                <w:sz w:val="21"/>
                <w:szCs w:val="21"/>
              </w:rPr>
            </w:pPr>
          </w:p>
        </w:tc>
        <w:tc>
          <w:tcPr>
            <w:tcW w:w="217" w:type="dxa"/>
          </w:tcPr>
          <w:p w14:paraId="37F2627E" w14:textId="77777777" w:rsidR="002C0FD9" w:rsidRPr="00CA25CF" w:rsidRDefault="002C0FD9" w:rsidP="00CA25CF">
            <w:pPr>
              <w:rPr>
                <w:rFonts w:cs="Arial"/>
                <w:color w:val="FF0000"/>
                <w:sz w:val="21"/>
                <w:szCs w:val="21"/>
              </w:rPr>
            </w:pPr>
          </w:p>
        </w:tc>
        <w:tc>
          <w:tcPr>
            <w:tcW w:w="217" w:type="dxa"/>
          </w:tcPr>
          <w:p w14:paraId="68B95F5A" w14:textId="77777777" w:rsidR="002C0FD9" w:rsidRPr="00CA25CF" w:rsidRDefault="002C0FD9" w:rsidP="00CA25CF">
            <w:pPr>
              <w:rPr>
                <w:rFonts w:cs="Arial"/>
                <w:color w:val="FF0000"/>
                <w:sz w:val="21"/>
                <w:szCs w:val="21"/>
              </w:rPr>
            </w:pPr>
          </w:p>
        </w:tc>
        <w:tc>
          <w:tcPr>
            <w:tcW w:w="217" w:type="dxa"/>
          </w:tcPr>
          <w:p w14:paraId="2A8BE8E5" w14:textId="77777777" w:rsidR="002C0FD9" w:rsidRPr="00CA25CF" w:rsidRDefault="002C0FD9" w:rsidP="00CA25CF">
            <w:pPr>
              <w:rPr>
                <w:rFonts w:cs="Arial"/>
                <w:color w:val="FF0000"/>
                <w:sz w:val="21"/>
                <w:szCs w:val="21"/>
              </w:rPr>
            </w:pPr>
          </w:p>
        </w:tc>
        <w:tc>
          <w:tcPr>
            <w:tcW w:w="217" w:type="dxa"/>
          </w:tcPr>
          <w:p w14:paraId="547273EE" w14:textId="77777777" w:rsidR="002C0FD9" w:rsidRPr="00CA25CF" w:rsidRDefault="002C0FD9" w:rsidP="00CA25CF">
            <w:pPr>
              <w:rPr>
                <w:rFonts w:cs="Arial"/>
                <w:color w:val="FF0000"/>
                <w:sz w:val="21"/>
                <w:szCs w:val="21"/>
              </w:rPr>
            </w:pPr>
          </w:p>
        </w:tc>
        <w:tc>
          <w:tcPr>
            <w:tcW w:w="217" w:type="dxa"/>
          </w:tcPr>
          <w:p w14:paraId="45D64A07" w14:textId="77777777" w:rsidR="002C0FD9" w:rsidRPr="00CA25CF" w:rsidRDefault="002C0FD9" w:rsidP="00CA25CF">
            <w:pPr>
              <w:rPr>
                <w:rFonts w:cs="Arial"/>
                <w:color w:val="FF0000"/>
                <w:sz w:val="21"/>
                <w:szCs w:val="21"/>
              </w:rPr>
            </w:pPr>
          </w:p>
        </w:tc>
        <w:tc>
          <w:tcPr>
            <w:tcW w:w="217" w:type="dxa"/>
          </w:tcPr>
          <w:p w14:paraId="48E2BCD8" w14:textId="77777777" w:rsidR="002C0FD9" w:rsidRPr="00CA25CF" w:rsidRDefault="002C0FD9" w:rsidP="00CA25CF">
            <w:pPr>
              <w:rPr>
                <w:rFonts w:cs="Arial"/>
                <w:color w:val="FF0000"/>
                <w:sz w:val="21"/>
                <w:szCs w:val="21"/>
              </w:rPr>
            </w:pPr>
          </w:p>
        </w:tc>
        <w:tc>
          <w:tcPr>
            <w:tcW w:w="217" w:type="dxa"/>
          </w:tcPr>
          <w:p w14:paraId="3D737D31" w14:textId="77777777" w:rsidR="002C0FD9" w:rsidRPr="00CA25CF" w:rsidRDefault="002C0FD9" w:rsidP="00CA25CF">
            <w:pPr>
              <w:rPr>
                <w:rFonts w:cs="Arial"/>
                <w:color w:val="FF0000"/>
                <w:sz w:val="21"/>
                <w:szCs w:val="21"/>
              </w:rPr>
            </w:pPr>
          </w:p>
        </w:tc>
        <w:tc>
          <w:tcPr>
            <w:tcW w:w="217" w:type="dxa"/>
          </w:tcPr>
          <w:p w14:paraId="4FF32B91" w14:textId="6292E1EE" w:rsidR="002C0FD9" w:rsidRPr="00CA25CF" w:rsidRDefault="002C0FD9" w:rsidP="00CA25CF">
            <w:pPr>
              <w:rPr>
                <w:rFonts w:cs="Arial"/>
                <w:color w:val="FF0000"/>
                <w:sz w:val="21"/>
                <w:szCs w:val="21"/>
              </w:rPr>
            </w:pPr>
          </w:p>
        </w:tc>
        <w:tc>
          <w:tcPr>
            <w:tcW w:w="217" w:type="dxa"/>
          </w:tcPr>
          <w:p w14:paraId="3EDB3B88" w14:textId="77777777" w:rsidR="002C0FD9" w:rsidRPr="00CA25CF" w:rsidRDefault="002C0FD9" w:rsidP="00CA25CF">
            <w:pPr>
              <w:rPr>
                <w:rFonts w:cs="Arial"/>
                <w:color w:val="FF0000"/>
                <w:sz w:val="21"/>
                <w:szCs w:val="21"/>
              </w:rPr>
            </w:pPr>
          </w:p>
        </w:tc>
        <w:tc>
          <w:tcPr>
            <w:tcW w:w="217" w:type="dxa"/>
          </w:tcPr>
          <w:p w14:paraId="7B87B2C9" w14:textId="77777777" w:rsidR="002C0FD9" w:rsidRPr="00CA25CF" w:rsidRDefault="002C0FD9" w:rsidP="00CA25CF">
            <w:pPr>
              <w:rPr>
                <w:rFonts w:cs="Arial"/>
                <w:color w:val="FF0000"/>
                <w:sz w:val="21"/>
                <w:szCs w:val="21"/>
              </w:rPr>
            </w:pPr>
          </w:p>
        </w:tc>
        <w:tc>
          <w:tcPr>
            <w:tcW w:w="217" w:type="dxa"/>
          </w:tcPr>
          <w:p w14:paraId="1FE2B5D1" w14:textId="77777777" w:rsidR="002C0FD9" w:rsidRPr="00CA25CF" w:rsidRDefault="002C0FD9" w:rsidP="00CA25CF">
            <w:pPr>
              <w:rPr>
                <w:rFonts w:cs="Arial"/>
                <w:color w:val="FF0000"/>
                <w:sz w:val="21"/>
                <w:szCs w:val="21"/>
              </w:rPr>
            </w:pPr>
          </w:p>
        </w:tc>
        <w:tc>
          <w:tcPr>
            <w:tcW w:w="217" w:type="dxa"/>
          </w:tcPr>
          <w:p w14:paraId="5765E2E0" w14:textId="77777777" w:rsidR="002C0FD9" w:rsidRPr="00CA25CF" w:rsidRDefault="002C0FD9" w:rsidP="00CA25CF">
            <w:pPr>
              <w:rPr>
                <w:rFonts w:cs="Arial"/>
                <w:color w:val="FF0000"/>
                <w:sz w:val="21"/>
                <w:szCs w:val="21"/>
              </w:rPr>
            </w:pPr>
          </w:p>
        </w:tc>
        <w:tc>
          <w:tcPr>
            <w:tcW w:w="217" w:type="dxa"/>
          </w:tcPr>
          <w:p w14:paraId="7ABD7DF1" w14:textId="77777777" w:rsidR="002C0FD9" w:rsidRPr="00CA25CF" w:rsidRDefault="002C0FD9" w:rsidP="00CA25CF">
            <w:pPr>
              <w:rPr>
                <w:rFonts w:cs="Arial"/>
                <w:color w:val="FF0000"/>
                <w:sz w:val="21"/>
                <w:szCs w:val="21"/>
              </w:rPr>
            </w:pPr>
          </w:p>
        </w:tc>
        <w:tc>
          <w:tcPr>
            <w:tcW w:w="217" w:type="dxa"/>
          </w:tcPr>
          <w:p w14:paraId="52958D32" w14:textId="77777777" w:rsidR="002C0FD9" w:rsidRPr="00CA25CF" w:rsidRDefault="002C0FD9" w:rsidP="00CA25CF">
            <w:pPr>
              <w:rPr>
                <w:rFonts w:cs="Arial"/>
                <w:color w:val="FF0000"/>
                <w:sz w:val="21"/>
                <w:szCs w:val="21"/>
              </w:rPr>
            </w:pPr>
          </w:p>
        </w:tc>
        <w:tc>
          <w:tcPr>
            <w:tcW w:w="217" w:type="dxa"/>
          </w:tcPr>
          <w:p w14:paraId="4298F488" w14:textId="77777777" w:rsidR="002C0FD9" w:rsidRPr="00CA25CF" w:rsidRDefault="002C0FD9" w:rsidP="00CA25CF">
            <w:pPr>
              <w:rPr>
                <w:rFonts w:cs="Arial"/>
                <w:color w:val="FF0000"/>
                <w:sz w:val="21"/>
                <w:szCs w:val="21"/>
              </w:rPr>
            </w:pPr>
          </w:p>
        </w:tc>
        <w:tc>
          <w:tcPr>
            <w:tcW w:w="217" w:type="dxa"/>
          </w:tcPr>
          <w:p w14:paraId="00E9DC54" w14:textId="77777777" w:rsidR="002C0FD9" w:rsidRPr="00CA25CF" w:rsidRDefault="002C0FD9" w:rsidP="00CA25CF">
            <w:pPr>
              <w:rPr>
                <w:rFonts w:cs="Arial"/>
                <w:color w:val="FF0000"/>
                <w:sz w:val="21"/>
                <w:szCs w:val="21"/>
              </w:rPr>
            </w:pPr>
          </w:p>
        </w:tc>
        <w:tc>
          <w:tcPr>
            <w:tcW w:w="217" w:type="dxa"/>
          </w:tcPr>
          <w:p w14:paraId="26B62A9B" w14:textId="77777777" w:rsidR="002C0FD9" w:rsidRPr="00CA25CF" w:rsidRDefault="002C0FD9" w:rsidP="00CA25CF">
            <w:pPr>
              <w:rPr>
                <w:rFonts w:cs="Arial"/>
                <w:color w:val="FF0000"/>
                <w:sz w:val="21"/>
                <w:szCs w:val="21"/>
              </w:rPr>
            </w:pPr>
          </w:p>
        </w:tc>
        <w:tc>
          <w:tcPr>
            <w:tcW w:w="217" w:type="dxa"/>
          </w:tcPr>
          <w:p w14:paraId="358D369B" w14:textId="77777777" w:rsidR="002C0FD9" w:rsidRPr="00CA25CF" w:rsidRDefault="002C0FD9" w:rsidP="00CA25CF">
            <w:pPr>
              <w:rPr>
                <w:rFonts w:cs="Arial"/>
                <w:color w:val="FF0000"/>
                <w:sz w:val="21"/>
                <w:szCs w:val="21"/>
              </w:rPr>
            </w:pPr>
          </w:p>
        </w:tc>
        <w:tc>
          <w:tcPr>
            <w:tcW w:w="217" w:type="dxa"/>
          </w:tcPr>
          <w:p w14:paraId="0574A36E" w14:textId="77777777" w:rsidR="002C0FD9" w:rsidRPr="00CA25CF" w:rsidRDefault="002C0FD9" w:rsidP="00CA25CF">
            <w:pPr>
              <w:rPr>
                <w:rFonts w:cs="Arial"/>
                <w:color w:val="FF0000"/>
                <w:sz w:val="21"/>
                <w:szCs w:val="21"/>
              </w:rPr>
            </w:pPr>
          </w:p>
        </w:tc>
        <w:tc>
          <w:tcPr>
            <w:tcW w:w="217" w:type="dxa"/>
          </w:tcPr>
          <w:p w14:paraId="66AE56ED" w14:textId="77777777" w:rsidR="002C0FD9" w:rsidRPr="00CA25CF" w:rsidRDefault="002C0FD9" w:rsidP="00CA25CF">
            <w:pPr>
              <w:rPr>
                <w:rFonts w:cs="Arial"/>
                <w:color w:val="FF0000"/>
                <w:sz w:val="21"/>
                <w:szCs w:val="21"/>
              </w:rPr>
            </w:pPr>
          </w:p>
        </w:tc>
        <w:tc>
          <w:tcPr>
            <w:tcW w:w="217" w:type="dxa"/>
          </w:tcPr>
          <w:p w14:paraId="4949A321" w14:textId="77777777" w:rsidR="002C0FD9" w:rsidRPr="00CA25CF" w:rsidRDefault="002C0FD9" w:rsidP="00CA25CF">
            <w:pPr>
              <w:rPr>
                <w:rFonts w:cs="Arial"/>
                <w:color w:val="FF0000"/>
                <w:sz w:val="21"/>
                <w:szCs w:val="21"/>
              </w:rPr>
            </w:pPr>
          </w:p>
        </w:tc>
        <w:tc>
          <w:tcPr>
            <w:tcW w:w="217" w:type="dxa"/>
          </w:tcPr>
          <w:p w14:paraId="29040B72" w14:textId="77777777" w:rsidR="002C0FD9" w:rsidRPr="00CA25CF" w:rsidRDefault="002C0FD9" w:rsidP="00CA25CF">
            <w:pPr>
              <w:rPr>
                <w:rFonts w:cs="Arial"/>
                <w:color w:val="FF0000"/>
                <w:sz w:val="21"/>
                <w:szCs w:val="21"/>
              </w:rPr>
            </w:pPr>
          </w:p>
        </w:tc>
        <w:tc>
          <w:tcPr>
            <w:tcW w:w="217" w:type="dxa"/>
          </w:tcPr>
          <w:p w14:paraId="1B37E1D1" w14:textId="77777777" w:rsidR="002C0FD9" w:rsidRPr="00CA25CF" w:rsidRDefault="002C0FD9" w:rsidP="00CA25CF">
            <w:pPr>
              <w:rPr>
                <w:rFonts w:cs="Arial"/>
                <w:color w:val="FF0000"/>
                <w:sz w:val="21"/>
                <w:szCs w:val="21"/>
              </w:rPr>
            </w:pPr>
          </w:p>
        </w:tc>
        <w:tc>
          <w:tcPr>
            <w:tcW w:w="217" w:type="dxa"/>
          </w:tcPr>
          <w:p w14:paraId="49DEDAC1" w14:textId="77777777" w:rsidR="002C0FD9" w:rsidRPr="00CA25CF" w:rsidRDefault="002C0FD9" w:rsidP="00CA25CF">
            <w:pPr>
              <w:rPr>
                <w:rFonts w:cs="Arial"/>
                <w:color w:val="FF0000"/>
                <w:sz w:val="21"/>
                <w:szCs w:val="21"/>
              </w:rPr>
            </w:pPr>
          </w:p>
        </w:tc>
        <w:tc>
          <w:tcPr>
            <w:tcW w:w="217" w:type="dxa"/>
          </w:tcPr>
          <w:p w14:paraId="057AF110" w14:textId="77777777" w:rsidR="002C0FD9" w:rsidRPr="00CA25CF" w:rsidRDefault="002C0FD9" w:rsidP="00CA25CF">
            <w:pPr>
              <w:rPr>
                <w:rFonts w:cs="Arial"/>
                <w:color w:val="FF0000"/>
                <w:sz w:val="21"/>
                <w:szCs w:val="21"/>
              </w:rPr>
            </w:pPr>
          </w:p>
        </w:tc>
        <w:tc>
          <w:tcPr>
            <w:tcW w:w="217" w:type="dxa"/>
          </w:tcPr>
          <w:p w14:paraId="587EA936" w14:textId="77777777" w:rsidR="002C0FD9" w:rsidRPr="00CA25CF" w:rsidRDefault="002C0FD9" w:rsidP="00CA25CF">
            <w:pPr>
              <w:rPr>
                <w:rFonts w:cs="Arial"/>
                <w:color w:val="FF0000"/>
                <w:sz w:val="21"/>
                <w:szCs w:val="21"/>
              </w:rPr>
            </w:pPr>
          </w:p>
        </w:tc>
        <w:tc>
          <w:tcPr>
            <w:tcW w:w="217" w:type="dxa"/>
          </w:tcPr>
          <w:p w14:paraId="0E2E5184" w14:textId="77777777" w:rsidR="002C0FD9" w:rsidRPr="00CA25CF" w:rsidRDefault="002C0FD9" w:rsidP="00CA25CF">
            <w:pPr>
              <w:rPr>
                <w:rFonts w:cs="Arial"/>
                <w:color w:val="FF0000"/>
                <w:sz w:val="21"/>
                <w:szCs w:val="21"/>
              </w:rPr>
            </w:pPr>
          </w:p>
        </w:tc>
        <w:tc>
          <w:tcPr>
            <w:tcW w:w="217" w:type="dxa"/>
          </w:tcPr>
          <w:p w14:paraId="21F9E0B7" w14:textId="77777777" w:rsidR="002C0FD9" w:rsidRPr="00CA25CF" w:rsidRDefault="002C0FD9" w:rsidP="00CA25CF">
            <w:pPr>
              <w:rPr>
                <w:rFonts w:cs="Arial"/>
                <w:color w:val="FF0000"/>
                <w:sz w:val="21"/>
                <w:szCs w:val="21"/>
              </w:rPr>
            </w:pPr>
          </w:p>
        </w:tc>
        <w:tc>
          <w:tcPr>
            <w:tcW w:w="217" w:type="dxa"/>
          </w:tcPr>
          <w:p w14:paraId="0A2E82F5" w14:textId="77777777" w:rsidR="002C0FD9" w:rsidRPr="00CA25CF" w:rsidRDefault="002C0FD9" w:rsidP="00CA25CF">
            <w:pPr>
              <w:rPr>
                <w:rFonts w:cs="Arial"/>
                <w:color w:val="FF0000"/>
                <w:sz w:val="21"/>
                <w:szCs w:val="21"/>
              </w:rPr>
            </w:pPr>
          </w:p>
        </w:tc>
        <w:tc>
          <w:tcPr>
            <w:tcW w:w="217" w:type="dxa"/>
          </w:tcPr>
          <w:p w14:paraId="3562A681" w14:textId="77777777" w:rsidR="002C0FD9" w:rsidRPr="00CA25CF" w:rsidRDefault="002C0FD9" w:rsidP="00CA25CF">
            <w:pPr>
              <w:rPr>
                <w:rFonts w:cs="Arial"/>
                <w:color w:val="FF0000"/>
                <w:sz w:val="21"/>
                <w:szCs w:val="21"/>
              </w:rPr>
            </w:pPr>
          </w:p>
        </w:tc>
        <w:tc>
          <w:tcPr>
            <w:tcW w:w="217" w:type="dxa"/>
          </w:tcPr>
          <w:p w14:paraId="249A70DE" w14:textId="77777777" w:rsidR="002C0FD9" w:rsidRPr="00CA25CF" w:rsidRDefault="002C0FD9" w:rsidP="00CA25CF">
            <w:pPr>
              <w:rPr>
                <w:rFonts w:cs="Arial"/>
                <w:color w:val="FF0000"/>
                <w:sz w:val="21"/>
                <w:szCs w:val="21"/>
              </w:rPr>
            </w:pPr>
          </w:p>
        </w:tc>
        <w:tc>
          <w:tcPr>
            <w:tcW w:w="217" w:type="dxa"/>
          </w:tcPr>
          <w:p w14:paraId="53E8AB7F" w14:textId="77777777" w:rsidR="002C0FD9" w:rsidRPr="00CA25CF" w:rsidRDefault="002C0FD9" w:rsidP="00CA25CF">
            <w:pPr>
              <w:rPr>
                <w:rFonts w:cs="Arial"/>
                <w:color w:val="FF0000"/>
                <w:sz w:val="21"/>
                <w:szCs w:val="21"/>
              </w:rPr>
            </w:pPr>
          </w:p>
        </w:tc>
        <w:tc>
          <w:tcPr>
            <w:tcW w:w="217" w:type="dxa"/>
          </w:tcPr>
          <w:p w14:paraId="2007FF7B" w14:textId="77777777" w:rsidR="002C0FD9" w:rsidRPr="00CA25CF" w:rsidRDefault="002C0FD9" w:rsidP="00CA25CF">
            <w:pPr>
              <w:rPr>
                <w:rFonts w:cs="Arial"/>
                <w:color w:val="FF0000"/>
                <w:sz w:val="21"/>
                <w:szCs w:val="21"/>
              </w:rPr>
            </w:pPr>
          </w:p>
        </w:tc>
        <w:tc>
          <w:tcPr>
            <w:tcW w:w="217" w:type="dxa"/>
          </w:tcPr>
          <w:p w14:paraId="6DE0CB14" w14:textId="77777777" w:rsidR="002C0FD9" w:rsidRPr="00CA25CF" w:rsidRDefault="002C0FD9" w:rsidP="00CA25CF">
            <w:pPr>
              <w:rPr>
                <w:rFonts w:cs="Arial"/>
                <w:color w:val="FF0000"/>
                <w:sz w:val="21"/>
                <w:szCs w:val="21"/>
              </w:rPr>
            </w:pPr>
          </w:p>
        </w:tc>
        <w:tc>
          <w:tcPr>
            <w:tcW w:w="217" w:type="dxa"/>
          </w:tcPr>
          <w:p w14:paraId="63DB9D59" w14:textId="77777777" w:rsidR="002C0FD9" w:rsidRPr="00CA25CF" w:rsidRDefault="002C0FD9" w:rsidP="00CA25CF">
            <w:pPr>
              <w:rPr>
                <w:rFonts w:cs="Arial"/>
                <w:color w:val="FF0000"/>
                <w:sz w:val="21"/>
                <w:szCs w:val="21"/>
              </w:rPr>
            </w:pPr>
          </w:p>
        </w:tc>
      </w:tr>
      <w:tr w:rsidR="002C0FD9" w:rsidRPr="00A16219" w14:paraId="3C8C03BC" w14:textId="4FB1A436" w:rsidTr="002C0FD9">
        <w:trPr>
          <w:trHeight w:val="635"/>
        </w:trPr>
        <w:tc>
          <w:tcPr>
            <w:tcW w:w="515" w:type="dxa"/>
          </w:tcPr>
          <w:p w14:paraId="1946CF9C" w14:textId="77777777" w:rsidR="002C0FD9" w:rsidRPr="00CA25CF" w:rsidRDefault="002C0FD9" w:rsidP="00CA25CF">
            <w:pPr>
              <w:rPr>
                <w:rFonts w:cs="Arial"/>
                <w:color w:val="FF0000"/>
                <w:sz w:val="21"/>
                <w:szCs w:val="21"/>
              </w:rPr>
            </w:pPr>
          </w:p>
        </w:tc>
        <w:tc>
          <w:tcPr>
            <w:tcW w:w="217" w:type="dxa"/>
          </w:tcPr>
          <w:p w14:paraId="75B425BD" w14:textId="77777777" w:rsidR="002C0FD9" w:rsidRPr="00CA25CF" w:rsidRDefault="002C0FD9" w:rsidP="00CA25CF">
            <w:pPr>
              <w:rPr>
                <w:rFonts w:cs="Arial"/>
                <w:color w:val="FF0000"/>
                <w:sz w:val="21"/>
                <w:szCs w:val="21"/>
              </w:rPr>
            </w:pPr>
          </w:p>
        </w:tc>
        <w:tc>
          <w:tcPr>
            <w:tcW w:w="217" w:type="dxa"/>
          </w:tcPr>
          <w:p w14:paraId="4C975AEE" w14:textId="23C91EED" w:rsidR="002C0FD9" w:rsidRPr="00CA25CF" w:rsidRDefault="002C0FD9" w:rsidP="00CA25CF">
            <w:pPr>
              <w:rPr>
                <w:rFonts w:cs="Arial"/>
                <w:color w:val="FF0000"/>
                <w:sz w:val="21"/>
                <w:szCs w:val="21"/>
              </w:rPr>
            </w:pPr>
          </w:p>
        </w:tc>
        <w:tc>
          <w:tcPr>
            <w:tcW w:w="217" w:type="dxa"/>
          </w:tcPr>
          <w:p w14:paraId="65882C55" w14:textId="77777777" w:rsidR="002C0FD9" w:rsidRPr="00CA25CF" w:rsidRDefault="002C0FD9" w:rsidP="00CA25CF">
            <w:pPr>
              <w:rPr>
                <w:rFonts w:cs="Arial"/>
                <w:color w:val="FF0000"/>
                <w:sz w:val="21"/>
                <w:szCs w:val="21"/>
              </w:rPr>
            </w:pPr>
          </w:p>
        </w:tc>
        <w:tc>
          <w:tcPr>
            <w:tcW w:w="217" w:type="dxa"/>
          </w:tcPr>
          <w:p w14:paraId="3419AAD9" w14:textId="77777777" w:rsidR="002C0FD9" w:rsidRPr="00CA25CF" w:rsidRDefault="002C0FD9" w:rsidP="00CA25CF">
            <w:pPr>
              <w:rPr>
                <w:rFonts w:cs="Arial"/>
                <w:color w:val="FF0000"/>
                <w:sz w:val="21"/>
                <w:szCs w:val="21"/>
              </w:rPr>
            </w:pPr>
          </w:p>
        </w:tc>
        <w:tc>
          <w:tcPr>
            <w:tcW w:w="217" w:type="dxa"/>
          </w:tcPr>
          <w:p w14:paraId="57BC04DF" w14:textId="77777777" w:rsidR="002C0FD9" w:rsidRPr="00CA25CF" w:rsidRDefault="002C0FD9" w:rsidP="00CA25CF">
            <w:pPr>
              <w:rPr>
                <w:rFonts w:cs="Arial"/>
                <w:color w:val="FF0000"/>
                <w:sz w:val="21"/>
                <w:szCs w:val="21"/>
              </w:rPr>
            </w:pPr>
          </w:p>
        </w:tc>
        <w:tc>
          <w:tcPr>
            <w:tcW w:w="217" w:type="dxa"/>
          </w:tcPr>
          <w:p w14:paraId="6313C822" w14:textId="77777777" w:rsidR="002C0FD9" w:rsidRPr="00CA25CF" w:rsidRDefault="002C0FD9" w:rsidP="00CA25CF">
            <w:pPr>
              <w:rPr>
                <w:rFonts w:cs="Arial"/>
                <w:color w:val="FF0000"/>
                <w:sz w:val="21"/>
                <w:szCs w:val="21"/>
              </w:rPr>
            </w:pPr>
          </w:p>
        </w:tc>
        <w:tc>
          <w:tcPr>
            <w:tcW w:w="217" w:type="dxa"/>
          </w:tcPr>
          <w:p w14:paraId="08F1BA7D" w14:textId="77777777" w:rsidR="002C0FD9" w:rsidRPr="00CA25CF" w:rsidRDefault="002C0FD9" w:rsidP="00CA25CF">
            <w:pPr>
              <w:rPr>
                <w:rFonts w:cs="Arial"/>
                <w:color w:val="FF0000"/>
                <w:sz w:val="21"/>
                <w:szCs w:val="21"/>
              </w:rPr>
            </w:pPr>
          </w:p>
        </w:tc>
        <w:tc>
          <w:tcPr>
            <w:tcW w:w="217" w:type="dxa"/>
          </w:tcPr>
          <w:p w14:paraId="698F3023" w14:textId="77777777" w:rsidR="002C0FD9" w:rsidRPr="00CA25CF" w:rsidRDefault="002C0FD9" w:rsidP="00CA25CF">
            <w:pPr>
              <w:rPr>
                <w:rFonts w:cs="Arial"/>
                <w:color w:val="FF0000"/>
                <w:sz w:val="21"/>
                <w:szCs w:val="21"/>
              </w:rPr>
            </w:pPr>
          </w:p>
        </w:tc>
        <w:tc>
          <w:tcPr>
            <w:tcW w:w="217" w:type="dxa"/>
          </w:tcPr>
          <w:p w14:paraId="3536A208" w14:textId="77777777" w:rsidR="002C0FD9" w:rsidRPr="00CA25CF" w:rsidRDefault="002C0FD9" w:rsidP="00CA25CF">
            <w:pPr>
              <w:rPr>
                <w:rFonts w:cs="Arial"/>
                <w:color w:val="FF0000"/>
                <w:sz w:val="21"/>
                <w:szCs w:val="21"/>
              </w:rPr>
            </w:pPr>
          </w:p>
        </w:tc>
        <w:tc>
          <w:tcPr>
            <w:tcW w:w="217" w:type="dxa"/>
          </w:tcPr>
          <w:p w14:paraId="0BF2D54A" w14:textId="77777777" w:rsidR="002C0FD9" w:rsidRPr="00CA25CF" w:rsidRDefault="002C0FD9" w:rsidP="00CA25CF">
            <w:pPr>
              <w:rPr>
                <w:rFonts w:cs="Arial"/>
                <w:color w:val="FF0000"/>
                <w:sz w:val="21"/>
                <w:szCs w:val="21"/>
              </w:rPr>
            </w:pPr>
          </w:p>
        </w:tc>
        <w:tc>
          <w:tcPr>
            <w:tcW w:w="217" w:type="dxa"/>
          </w:tcPr>
          <w:p w14:paraId="7DED3D30" w14:textId="77777777" w:rsidR="002C0FD9" w:rsidRPr="00CA25CF" w:rsidRDefault="002C0FD9" w:rsidP="00CA25CF">
            <w:pPr>
              <w:rPr>
                <w:rFonts w:cs="Arial"/>
                <w:color w:val="FF0000"/>
                <w:sz w:val="21"/>
                <w:szCs w:val="21"/>
              </w:rPr>
            </w:pPr>
          </w:p>
        </w:tc>
        <w:tc>
          <w:tcPr>
            <w:tcW w:w="217" w:type="dxa"/>
          </w:tcPr>
          <w:p w14:paraId="11515B51" w14:textId="77777777" w:rsidR="002C0FD9" w:rsidRPr="00CA25CF" w:rsidRDefault="002C0FD9" w:rsidP="00CA25CF">
            <w:pPr>
              <w:rPr>
                <w:rFonts w:cs="Arial"/>
                <w:color w:val="FF0000"/>
                <w:sz w:val="21"/>
                <w:szCs w:val="21"/>
              </w:rPr>
            </w:pPr>
          </w:p>
        </w:tc>
        <w:tc>
          <w:tcPr>
            <w:tcW w:w="217" w:type="dxa"/>
          </w:tcPr>
          <w:p w14:paraId="7928F615" w14:textId="77777777" w:rsidR="002C0FD9" w:rsidRPr="00CA25CF" w:rsidRDefault="002C0FD9" w:rsidP="00CA25CF">
            <w:pPr>
              <w:rPr>
                <w:rFonts w:cs="Arial"/>
                <w:color w:val="FF0000"/>
                <w:sz w:val="21"/>
                <w:szCs w:val="21"/>
              </w:rPr>
            </w:pPr>
          </w:p>
        </w:tc>
        <w:tc>
          <w:tcPr>
            <w:tcW w:w="217" w:type="dxa"/>
          </w:tcPr>
          <w:p w14:paraId="337584A8" w14:textId="77777777" w:rsidR="002C0FD9" w:rsidRPr="00CA25CF" w:rsidRDefault="002C0FD9" w:rsidP="00CA25CF">
            <w:pPr>
              <w:rPr>
                <w:rFonts w:cs="Arial"/>
                <w:color w:val="FF0000"/>
                <w:sz w:val="21"/>
                <w:szCs w:val="21"/>
              </w:rPr>
            </w:pPr>
          </w:p>
        </w:tc>
        <w:tc>
          <w:tcPr>
            <w:tcW w:w="217" w:type="dxa"/>
          </w:tcPr>
          <w:p w14:paraId="4393A347" w14:textId="5097C5E1" w:rsidR="002C0FD9" w:rsidRPr="00CA25CF" w:rsidRDefault="002C0FD9" w:rsidP="00CA25CF">
            <w:pPr>
              <w:rPr>
                <w:rFonts w:cs="Arial"/>
                <w:color w:val="FF0000"/>
                <w:sz w:val="21"/>
                <w:szCs w:val="21"/>
              </w:rPr>
            </w:pPr>
          </w:p>
        </w:tc>
        <w:tc>
          <w:tcPr>
            <w:tcW w:w="217" w:type="dxa"/>
          </w:tcPr>
          <w:p w14:paraId="11EBA2F4" w14:textId="77777777" w:rsidR="002C0FD9" w:rsidRPr="00CA25CF" w:rsidRDefault="002C0FD9" w:rsidP="00CA25CF">
            <w:pPr>
              <w:rPr>
                <w:rFonts w:cs="Arial"/>
                <w:color w:val="FF0000"/>
                <w:sz w:val="21"/>
                <w:szCs w:val="21"/>
              </w:rPr>
            </w:pPr>
          </w:p>
        </w:tc>
        <w:tc>
          <w:tcPr>
            <w:tcW w:w="217" w:type="dxa"/>
          </w:tcPr>
          <w:p w14:paraId="17D71B0C" w14:textId="77777777" w:rsidR="002C0FD9" w:rsidRPr="00CA25CF" w:rsidRDefault="002C0FD9" w:rsidP="00CA25CF">
            <w:pPr>
              <w:rPr>
                <w:rFonts w:cs="Arial"/>
                <w:color w:val="FF0000"/>
                <w:sz w:val="21"/>
                <w:szCs w:val="21"/>
              </w:rPr>
            </w:pPr>
          </w:p>
        </w:tc>
        <w:tc>
          <w:tcPr>
            <w:tcW w:w="217" w:type="dxa"/>
          </w:tcPr>
          <w:p w14:paraId="32355BE0" w14:textId="77777777" w:rsidR="002C0FD9" w:rsidRPr="00CA25CF" w:rsidRDefault="002C0FD9" w:rsidP="00CA25CF">
            <w:pPr>
              <w:rPr>
                <w:rFonts w:cs="Arial"/>
                <w:color w:val="FF0000"/>
                <w:sz w:val="21"/>
                <w:szCs w:val="21"/>
              </w:rPr>
            </w:pPr>
          </w:p>
        </w:tc>
        <w:tc>
          <w:tcPr>
            <w:tcW w:w="217" w:type="dxa"/>
          </w:tcPr>
          <w:p w14:paraId="441262E9" w14:textId="77777777" w:rsidR="002C0FD9" w:rsidRPr="00CA25CF" w:rsidRDefault="002C0FD9" w:rsidP="00CA25CF">
            <w:pPr>
              <w:rPr>
                <w:rFonts w:cs="Arial"/>
                <w:color w:val="FF0000"/>
                <w:sz w:val="21"/>
                <w:szCs w:val="21"/>
              </w:rPr>
            </w:pPr>
          </w:p>
        </w:tc>
        <w:tc>
          <w:tcPr>
            <w:tcW w:w="217" w:type="dxa"/>
          </w:tcPr>
          <w:p w14:paraId="106969E0" w14:textId="77777777" w:rsidR="002C0FD9" w:rsidRPr="00CA25CF" w:rsidRDefault="002C0FD9" w:rsidP="00CA25CF">
            <w:pPr>
              <w:rPr>
                <w:rFonts w:cs="Arial"/>
                <w:color w:val="FF0000"/>
                <w:sz w:val="21"/>
                <w:szCs w:val="21"/>
              </w:rPr>
            </w:pPr>
          </w:p>
        </w:tc>
        <w:tc>
          <w:tcPr>
            <w:tcW w:w="217" w:type="dxa"/>
          </w:tcPr>
          <w:p w14:paraId="370F7910" w14:textId="77777777" w:rsidR="002C0FD9" w:rsidRPr="00CA25CF" w:rsidRDefault="002C0FD9" w:rsidP="00CA25CF">
            <w:pPr>
              <w:rPr>
                <w:rFonts w:cs="Arial"/>
                <w:color w:val="FF0000"/>
                <w:sz w:val="21"/>
                <w:szCs w:val="21"/>
              </w:rPr>
            </w:pPr>
          </w:p>
        </w:tc>
        <w:tc>
          <w:tcPr>
            <w:tcW w:w="217" w:type="dxa"/>
          </w:tcPr>
          <w:p w14:paraId="6CF58DC5" w14:textId="77777777" w:rsidR="002C0FD9" w:rsidRPr="00CA25CF" w:rsidRDefault="002C0FD9" w:rsidP="00CA25CF">
            <w:pPr>
              <w:rPr>
                <w:rFonts w:cs="Arial"/>
                <w:color w:val="FF0000"/>
                <w:sz w:val="21"/>
                <w:szCs w:val="21"/>
              </w:rPr>
            </w:pPr>
          </w:p>
        </w:tc>
        <w:tc>
          <w:tcPr>
            <w:tcW w:w="217" w:type="dxa"/>
          </w:tcPr>
          <w:p w14:paraId="234CBCD3" w14:textId="77777777" w:rsidR="002C0FD9" w:rsidRPr="00CA25CF" w:rsidRDefault="002C0FD9" w:rsidP="00CA25CF">
            <w:pPr>
              <w:rPr>
                <w:rFonts w:cs="Arial"/>
                <w:color w:val="FF0000"/>
                <w:sz w:val="21"/>
                <w:szCs w:val="21"/>
              </w:rPr>
            </w:pPr>
          </w:p>
        </w:tc>
        <w:tc>
          <w:tcPr>
            <w:tcW w:w="217" w:type="dxa"/>
          </w:tcPr>
          <w:p w14:paraId="51F4A0AD" w14:textId="77777777" w:rsidR="002C0FD9" w:rsidRPr="00CA25CF" w:rsidRDefault="002C0FD9" w:rsidP="00CA25CF">
            <w:pPr>
              <w:rPr>
                <w:rFonts w:cs="Arial"/>
                <w:color w:val="FF0000"/>
                <w:sz w:val="21"/>
                <w:szCs w:val="21"/>
              </w:rPr>
            </w:pPr>
          </w:p>
        </w:tc>
        <w:tc>
          <w:tcPr>
            <w:tcW w:w="217" w:type="dxa"/>
          </w:tcPr>
          <w:p w14:paraId="30C4E544" w14:textId="77777777" w:rsidR="002C0FD9" w:rsidRPr="00CA25CF" w:rsidRDefault="002C0FD9" w:rsidP="00CA25CF">
            <w:pPr>
              <w:rPr>
                <w:rFonts w:cs="Arial"/>
                <w:color w:val="FF0000"/>
                <w:sz w:val="21"/>
                <w:szCs w:val="21"/>
              </w:rPr>
            </w:pPr>
          </w:p>
        </w:tc>
        <w:tc>
          <w:tcPr>
            <w:tcW w:w="217" w:type="dxa"/>
          </w:tcPr>
          <w:p w14:paraId="0C9C2212" w14:textId="77777777" w:rsidR="002C0FD9" w:rsidRPr="00CA25CF" w:rsidRDefault="002C0FD9" w:rsidP="00CA25CF">
            <w:pPr>
              <w:rPr>
                <w:rFonts w:cs="Arial"/>
                <w:color w:val="FF0000"/>
                <w:sz w:val="21"/>
                <w:szCs w:val="21"/>
              </w:rPr>
            </w:pPr>
          </w:p>
        </w:tc>
        <w:tc>
          <w:tcPr>
            <w:tcW w:w="217" w:type="dxa"/>
          </w:tcPr>
          <w:p w14:paraId="5CD3C123" w14:textId="77777777" w:rsidR="002C0FD9" w:rsidRPr="00CA25CF" w:rsidRDefault="002C0FD9" w:rsidP="00CA25CF">
            <w:pPr>
              <w:rPr>
                <w:rFonts w:cs="Arial"/>
                <w:color w:val="FF0000"/>
                <w:sz w:val="21"/>
                <w:szCs w:val="21"/>
              </w:rPr>
            </w:pPr>
          </w:p>
        </w:tc>
        <w:tc>
          <w:tcPr>
            <w:tcW w:w="217" w:type="dxa"/>
          </w:tcPr>
          <w:p w14:paraId="42A5492F" w14:textId="77777777" w:rsidR="002C0FD9" w:rsidRPr="00CA25CF" w:rsidRDefault="002C0FD9" w:rsidP="00CA25CF">
            <w:pPr>
              <w:rPr>
                <w:rFonts w:cs="Arial"/>
                <w:color w:val="FF0000"/>
                <w:sz w:val="21"/>
                <w:szCs w:val="21"/>
              </w:rPr>
            </w:pPr>
          </w:p>
        </w:tc>
        <w:tc>
          <w:tcPr>
            <w:tcW w:w="217" w:type="dxa"/>
          </w:tcPr>
          <w:p w14:paraId="59F57860" w14:textId="77777777" w:rsidR="002C0FD9" w:rsidRPr="00CA25CF" w:rsidRDefault="002C0FD9" w:rsidP="00CA25CF">
            <w:pPr>
              <w:rPr>
                <w:rFonts w:cs="Arial"/>
                <w:color w:val="FF0000"/>
                <w:sz w:val="21"/>
                <w:szCs w:val="21"/>
              </w:rPr>
            </w:pPr>
          </w:p>
        </w:tc>
        <w:tc>
          <w:tcPr>
            <w:tcW w:w="217" w:type="dxa"/>
          </w:tcPr>
          <w:p w14:paraId="3917CEB8" w14:textId="77777777" w:rsidR="002C0FD9" w:rsidRPr="00CA25CF" w:rsidRDefault="002C0FD9" w:rsidP="00CA25CF">
            <w:pPr>
              <w:rPr>
                <w:rFonts w:cs="Arial"/>
                <w:color w:val="FF0000"/>
                <w:sz w:val="21"/>
                <w:szCs w:val="21"/>
              </w:rPr>
            </w:pPr>
          </w:p>
        </w:tc>
        <w:tc>
          <w:tcPr>
            <w:tcW w:w="217" w:type="dxa"/>
          </w:tcPr>
          <w:p w14:paraId="61624C7F" w14:textId="77777777" w:rsidR="002C0FD9" w:rsidRPr="00CA25CF" w:rsidRDefault="002C0FD9" w:rsidP="00CA25CF">
            <w:pPr>
              <w:rPr>
                <w:rFonts w:cs="Arial"/>
                <w:color w:val="FF0000"/>
                <w:sz w:val="21"/>
                <w:szCs w:val="21"/>
              </w:rPr>
            </w:pPr>
          </w:p>
        </w:tc>
        <w:tc>
          <w:tcPr>
            <w:tcW w:w="217" w:type="dxa"/>
          </w:tcPr>
          <w:p w14:paraId="131D944F" w14:textId="77777777" w:rsidR="002C0FD9" w:rsidRPr="00CA25CF" w:rsidRDefault="002C0FD9" w:rsidP="00CA25CF">
            <w:pPr>
              <w:rPr>
                <w:rFonts w:cs="Arial"/>
                <w:color w:val="FF0000"/>
                <w:sz w:val="21"/>
                <w:szCs w:val="21"/>
              </w:rPr>
            </w:pPr>
          </w:p>
        </w:tc>
        <w:tc>
          <w:tcPr>
            <w:tcW w:w="217" w:type="dxa"/>
          </w:tcPr>
          <w:p w14:paraId="70CF4AF3" w14:textId="77777777" w:rsidR="002C0FD9" w:rsidRPr="00CA25CF" w:rsidRDefault="002C0FD9" w:rsidP="00CA25CF">
            <w:pPr>
              <w:rPr>
                <w:rFonts w:cs="Arial"/>
                <w:color w:val="FF0000"/>
                <w:sz w:val="21"/>
                <w:szCs w:val="21"/>
              </w:rPr>
            </w:pPr>
          </w:p>
        </w:tc>
        <w:tc>
          <w:tcPr>
            <w:tcW w:w="217" w:type="dxa"/>
          </w:tcPr>
          <w:p w14:paraId="5B7B4B94" w14:textId="77777777" w:rsidR="002C0FD9" w:rsidRPr="00CA25CF" w:rsidRDefault="002C0FD9" w:rsidP="00CA25CF">
            <w:pPr>
              <w:rPr>
                <w:rFonts w:cs="Arial"/>
                <w:color w:val="FF0000"/>
                <w:sz w:val="21"/>
                <w:szCs w:val="21"/>
              </w:rPr>
            </w:pPr>
          </w:p>
        </w:tc>
        <w:tc>
          <w:tcPr>
            <w:tcW w:w="217" w:type="dxa"/>
          </w:tcPr>
          <w:p w14:paraId="240F5DFC" w14:textId="77777777" w:rsidR="002C0FD9" w:rsidRPr="00CA25CF" w:rsidRDefault="002C0FD9" w:rsidP="00CA25CF">
            <w:pPr>
              <w:rPr>
                <w:rFonts w:cs="Arial"/>
                <w:color w:val="FF0000"/>
                <w:sz w:val="21"/>
                <w:szCs w:val="21"/>
              </w:rPr>
            </w:pPr>
          </w:p>
        </w:tc>
        <w:tc>
          <w:tcPr>
            <w:tcW w:w="217" w:type="dxa"/>
          </w:tcPr>
          <w:p w14:paraId="7C9551A1" w14:textId="77777777" w:rsidR="002C0FD9" w:rsidRPr="00CA25CF" w:rsidRDefault="002C0FD9" w:rsidP="00CA25CF">
            <w:pPr>
              <w:rPr>
                <w:rFonts w:cs="Arial"/>
                <w:color w:val="FF0000"/>
                <w:sz w:val="21"/>
                <w:szCs w:val="21"/>
              </w:rPr>
            </w:pPr>
          </w:p>
        </w:tc>
        <w:tc>
          <w:tcPr>
            <w:tcW w:w="217" w:type="dxa"/>
          </w:tcPr>
          <w:p w14:paraId="07697977" w14:textId="77777777" w:rsidR="002C0FD9" w:rsidRPr="00CA25CF" w:rsidRDefault="002C0FD9" w:rsidP="00CA25CF">
            <w:pPr>
              <w:rPr>
                <w:rFonts w:cs="Arial"/>
                <w:color w:val="FF0000"/>
                <w:sz w:val="21"/>
                <w:szCs w:val="21"/>
              </w:rPr>
            </w:pPr>
          </w:p>
        </w:tc>
        <w:tc>
          <w:tcPr>
            <w:tcW w:w="217" w:type="dxa"/>
          </w:tcPr>
          <w:p w14:paraId="746573F6" w14:textId="77777777" w:rsidR="002C0FD9" w:rsidRPr="00CA25CF" w:rsidRDefault="002C0FD9" w:rsidP="00CA25CF">
            <w:pPr>
              <w:rPr>
                <w:rFonts w:cs="Arial"/>
                <w:color w:val="FF0000"/>
                <w:sz w:val="21"/>
                <w:szCs w:val="21"/>
              </w:rPr>
            </w:pPr>
          </w:p>
        </w:tc>
        <w:tc>
          <w:tcPr>
            <w:tcW w:w="217" w:type="dxa"/>
          </w:tcPr>
          <w:p w14:paraId="731EAB3C" w14:textId="77777777" w:rsidR="002C0FD9" w:rsidRPr="00CA25CF" w:rsidRDefault="002C0FD9" w:rsidP="00CA25CF">
            <w:pPr>
              <w:rPr>
                <w:rFonts w:cs="Arial"/>
                <w:color w:val="FF0000"/>
                <w:sz w:val="21"/>
                <w:szCs w:val="21"/>
              </w:rPr>
            </w:pPr>
          </w:p>
        </w:tc>
        <w:tc>
          <w:tcPr>
            <w:tcW w:w="217" w:type="dxa"/>
          </w:tcPr>
          <w:p w14:paraId="7A9C1B33" w14:textId="77777777" w:rsidR="002C0FD9" w:rsidRPr="00CA25CF" w:rsidRDefault="002C0FD9" w:rsidP="00CA25CF">
            <w:pPr>
              <w:rPr>
                <w:rFonts w:cs="Arial"/>
                <w:color w:val="FF0000"/>
                <w:sz w:val="21"/>
                <w:szCs w:val="21"/>
              </w:rPr>
            </w:pPr>
          </w:p>
        </w:tc>
        <w:tc>
          <w:tcPr>
            <w:tcW w:w="217" w:type="dxa"/>
          </w:tcPr>
          <w:p w14:paraId="51CC5DDA" w14:textId="77777777" w:rsidR="002C0FD9" w:rsidRPr="00CA25CF" w:rsidRDefault="002C0FD9" w:rsidP="00CA25CF">
            <w:pPr>
              <w:rPr>
                <w:rFonts w:cs="Arial"/>
                <w:color w:val="FF0000"/>
                <w:sz w:val="21"/>
                <w:szCs w:val="21"/>
              </w:rPr>
            </w:pPr>
          </w:p>
        </w:tc>
        <w:tc>
          <w:tcPr>
            <w:tcW w:w="217" w:type="dxa"/>
          </w:tcPr>
          <w:p w14:paraId="28394472" w14:textId="77777777" w:rsidR="002C0FD9" w:rsidRPr="00CA25CF" w:rsidRDefault="002C0FD9" w:rsidP="00CA25CF">
            <w:pPr>
              <w:rPr>
                <w:rFonts w:cs="Arial"/>
                <w:color w:val="FF0000"/>
                <w:sz w:val="21"/>
                <w:szCs w:val="21"/>
              </w:rPr>
            </w:pPr>
          </w:p>
        </w:tc>
      </w:tr>
      <w:tr w:rsidR="002C0FD9" w:rsidRPr="00A16219" w14:paraId="0C8BF782" w14:textId="7B85AFD2" w:rsidTr="002C0FD9">
        <w:trPr>
          <w:trHeight w:val="635"/>
        </w:trPr>
        <w:tc>
          <w:tcPr>
            <w:tcW w:w="515" w:type="dxa"/>
          </w:tcPr>
          <w:p w14:paraId="62781138" w14:textId="77777777" w:rsidR="002C0FD9" w:rsidRPr="00CA25CF" w:rsidRDefault="002C0FD9" w:rsidP="00CA25CF">
            <w:pPr>
              <w:rPr>
                <w:rFonts w:cs="Arial"/>
                <w:color w:val="FF0000"/>
                <w:sz w:val="21"/>
                <w:szCs w:val="21"/>
              </w:rPr>
            </w:pPr>
          </w:p>
        </w:tc>
        <w:tc>
          <w:tcPr>
            <w:tcW w:w="217" w:type="dxa"/>
          </w:tcPr>
          <w:p w14:paraId="34E8B5D2" w14:textId="77777777" w:rsidR="002C0FD9" w:rsidRPr="00CA25CF" w:rsidRDefault="002C0FD9" w:rsidP="00CA25CF">
            <w:pPr>
              <w:rPr>
                <w:rFonts w:cs="Arial"/>
                <w:color w:val="FF0000"/>
                <w:sz w:val="21"/>
                <w:szCs w:val="21"/>
              </w:rPr>
            </w:pPr>
          </w:p>
        </w:tc>
        <w:tc>
          <w:tcPr>
            <w:tcW w:w="217" w:type="dxa"/>
          </w:tcPr>
          <w:p w14:paraId="33398DF3" w14:textId="0576AD73" w:rsidR="002C0FD9" w:rsidRPr="00CA25CF" w:rsidRDefault="002C0FD9" w:rsidP="00CA25CF">
            <w:pPr>
              <w:rPr>
                <w:rFonts w:cs="Arial"/>
                <w:color w:val="FF0000"/>
                <w:sz w:val="21"/>
                <w:szCs w:val="21"/>
              </w:rPr>
            </w:pPr>
          </w:p>
        </w:tc>
        <w:tc>
          <w:tcPr>
            <w:tcW w:w="217" w:type="dxa"/>
          </w:tcPr>
          <w:p w14:paraId="42077FBD" w14:textId="77777777" w:rsidR="002C0FD9" w:rsidRPr="00CA25CF" w:rsidRDefault="002C0FD9" w:rsidP="00CA25CF">
            <w:pPr>
              <w:rPr>
                <w:rFonts w:cs="Arial"/>
                <w:color w:val="FF0000"/>
                <w:sz w:val="21"/>
                <w:szCs w:val="21"/>
              </w:rPr>
            </w:pPr>
          </w:p>
        </w:tc>
        <w:tc>
          <w:tcPr>
            <w:tcW w:w="217" w:type="dxa"/>
          </w:tcPr>
          <w:p w14:paraId="34BC550B" w14:textId="77777777" w:rsidR="002C0FD9" w:rsidRPr="00CA25CF" w:rsidRDefault="002C0FD9" w:rsidP="00CA25CF">
            <w:pPr>
              <w:rPr>
                <w:rFonts w:cs="Arial"/>
                <w:color w:val="FF0000"/>
                <w:sz w:val="21"/>
                <w:szCs w:val="21"/>
              </w:rPr>
            </w:pPr>
          </w:p>
        </w:tc>
        <w:tc>
          <w:tcPr>
            <w:tcW w:w="217" w:type="dxa"/>
          </w:tcPr>
          <w:p w14:paraId="3817699A" w14:textId="77777777" w:rsidR="002C0FD9" w:rsidRPr="00CA25CF" w:rsidRDefault="002C0FD9" w:rsidP="00CA25CF">
            <w:pPr>
              <w:rPr>
                <w:rFonts w:cs="Arial"/>
                <w:color w:val="FF0000"/>
                <w:sz w:val="21"/>
                <w:szCs w:val="21"/>
              </w:rPr>
            </w:pPr>
          </w:p>
        </w:tc>
        <w:tc>
          <w:tcPr>
            <w:tcW w:w="217" w:type="dxa"/>
          </w:tcPr>
          <w:p w14:paraId="753B1448" w14:textId="77777777" w:rsidR="002C0FD9" w:rsidRPr="00CA25CF" w:rsidRDefault="002C0FD9" w:rsidP="00CA25CF">
            <w:pPr>
              <w:rPr>
                <w:rFonts w:cs="Arial"/>
                <w:color w:val="FF0000"/>
                <w:sz w:val="21"/>
                <w:szCs w:val="21"/>
              </w:rPr>
            </w:pPr>
          </w:p>
        </w:tc>
        <w:tc>
          <w:tcPr>
            <w:tcW w:w="217" w:type="dxa"/>
          </w:tcPr>
          <w:p w14:paraId="7685F81A" w14:textId="77777777" w:rsidR="002C0FD9" w:rsidRPr="00CA25CF" w:rsidRDefault="002C0FD9" w:rsidP="00CA25CF">
            <w:pPr>
              <w:rPr>
                <w:rFonts w:cs="Arial"/>
                <w:color w:val="FF0000"/>
                <w:sz w:val="21"/>
                <w:szCs w:val="21"/>
              </w:rPr>
            </w:pPr>
          </w:p>
        </w:tc>
        <w:tc>
          <w:tcPr>
            <w:tcW w:w="217" w:type="dxa"/>
          </w:tcPr>
          <w:p w14:paraId="1158E3A8" w14:textId="77777777" w:rsidR="002C0FD9" w:rsidRPr="00CA25CF" w:rsidRDefault="002C0FD9" w:rsidP="00CA25CF">
            <w:pPr>
              <w:rPr>
                <w:rFonts w:cs="Arial"/>
                <w:color w:val="FF0000"/>
                <w:sz w:val="21"/>
                <w:szCs w:val="21"/>
              </w:rPr>
            </w:pPr>
          </w:p>
        </w:tc>
        <w:tc>
          <w:tcPr>
            <w:tcW w:w="217" w:type="dxa"/>
          </w:tcPr>
          <w:p w14:paraId="1A224D2B" w14:textId="77777777" w:rsidR="002C0FD9" w:rsidRPr="00CA25CF" w:rsidRDefault="002C0FD9" w:rsidP="00CA25CF">
            <w:pPr>
              <w:rPr>
                <w:rFonts w:cs="Arial"/>
                <w:color w:val="FF0000"/>
                <w:sz w:val="21"/>
                <w:szCs w:val="21"/>
              </w:rPr>
            </w:pPr>
          </w:p>
        </w:tc>
        <w:tc>
          <w:tcPr>
            <w:tcW w:w="217" w:type="dxa"/>
          </w:tcPr>
          <w:p w14:paraId="30F739BF" w14:textId="77777777" w:rsidR="002C0FD9" w:rsidRPr="00CA25CF" w:rsidRDefault="002C0FD9" w:rsidP="00CA25CF">
            <w:pPr>
              <w:rPr>
                <w:rFonts w:cs="Arial"/>
                <w:color w:val="FF0000"/>
                <w:sz w:val="21"/>
                <w:szCs w:val="21"/>
              </w:rPr>
            </w:pPr>
          </w:p>
        </w:tc>
        <w:tc>
          <w:tcPr>
            <w:tcW w:w="217" w:type="dxa"/>
          </w:tcPr>
          <w:p w14:paraId="176F2709" w14:textId="77777777" w:rsidR="002C0FD9" w:rsidRPr="00CA25CF" w:rsidRDefault="002C0FD9" w:rsidP="00CA25CF">
            <w:pPr>
              <w:rPr>
                <w:rFonts w:cs="Arial"/>
                <w:color w:val="FF0000"/>
                <w:sz w:val="21"/>
                <w:szCs w:val="21"/>
              </w:rPr>
            </w:pPr>
          </w:p>
        </w:tc>
        <w:tc>
          <w:tcPr>
            <w:tcW w:w="217" w:type="dxa"/>
          </w:tcPr>
          <w:p w14:paraId="1E394529" w14:textId="77777777" w:rsidR="002C0FD9" w:rsidRPr="00CA25CF" w:rsidRDefault="002C0FD9" w:rsidP="00CA25CF">
            <w:pPr>
              <w:rPr>
                <w:rFonts w:cs="Arial"/>
                <w:color w:val="FF0000"/>
                <w:sz w:val="21"/>
                <w:szCs w:val="21"/>
              </w:rPr>
            </w:pPr>
          </w:p>
        </w:tc>
        <w:tc>
          <w:tcPr>
            <w:tcW w:w="217" w:type="dxa"/>
          </w:tcPr>
          <w:p w14:paraId="161EF4EA" w14:textId="77777777" w:rsidR="002C0FD9" w:rsidRPr="00CA25CF" w:rsidRDefault="002C0FD9" w:rsidP="00CA25CF">
            <w:pPr>
              <w:rPr>
                <w:rFonts w:cs="Arial"/>
                <w:color w:val="FF0000"/>
                <w:sz w:val="21"/>
                <w:szCs w:val="21"/>
              </w:rPr>
            </w:pPr>
          </w:p>
        </w:tc>
        <w:tc>
          <w:tcPr>
            <w:tcW w:w="217" w:type="dxa"/>
          </w:tcPr>
          <w:p w14:paraId="3CA65F45" w14:textId="77777777" w:rsidR="002C0FD9" w:rsidRPr="00CA25CF" w:rsidRDefault="002C0FD9" w:rsidP="00CA25CF">
            <w:pPr>
              <w:rPr>
                <w:rFonts w:cs="Arial"/>
                <w:color w:val="FF0000"/>
                <w:sz w:val="21"/>
                <w:szCs w:val="21"/>
              </w:rPr>
            </w:pPr>
          </w:p>
        </w:tc>
        <w:tc>
          <w:tcPr>
            <w:tcW w:w="217" w:type="dxa"/>
          </w:tcPr>
          <w:p w14:paraId="214B3795" w14:textId="6F4DA8FD" w:rsidR="002C0FD9" w:rsidRPr="00CA25CF" w:rsidRDefault="002C0FD9" w:rsidP="00CA25CF">
            <w:pPr>
              <w:rPr>
                <w:rFonts w:cs="Arial"/>
                <w:color w:val="FF0000"/>
                <w:sz w:val="21"/>
                <w:szCs w:val="21"/>
              </w:rPr>
            </w:pPr>
          </w:p>
        </w:tc>
        <w:tc>
          <w:tcPr>
            <w:tcW w:w="217" w:type="dxa"/>
          </w:tcPr>
          <w:p w14:paraId="5DA019D5" w14:textId="77777777" w:rsidR="002C0FD9" w:rsidRPr="00CA25CF" w:rsidRDefault="002C0FD9" w:rsidP="00CA25CF">
            <w:pPr>
              <w:rPr>
                <w:rFonts w:cs="Arial"/>
                <w:color w:val="FF0000"/>
                <w:sz w:val="21"/>
                <w:szCs w:val="21"/>
              </w:rPr>
            </w:pPr>
          </w:p>
        </w:tc>
        <w:tc>
          <w:tcPr>
            <w:tcW w:w="217" w:type="dxa"/>
          </w:tcPr>
          <w:p w14:paraId="620BDDE3" w14:textId="77777777" w:rsidR="002C0FD9" w:rsidRPr="00CA25CF" w:rsidRDefault="002C0FD9" w:rsidP="00CA25CF">
            <w:pPr>
              <w:rPr>
                <w:rFonts w:cs="Arial"/>
                <w:color w:val="FF0000"/>
                <w:sz w:val="21"/>
                <w:szCs w:val="21"/>
              </w:rPr>
            </w:pPr>
          </w:p>
        </w:tc>
        <w:tc>
          <w:tcPr>
            <w:tcW w:w="217" w:type="dxa"/>
          </w:tcPr>
          <w:p w14:paraId="7C4C41AD" w14:textId="77777777" w:rsidR="002C0FD9" w:rsidRPr="00CA25CF" w:rsidRDefault="002C0FD9" w:rsidP="00CA25CF">
            <w:pPr>
              <w:rPr>
                <w:rFonts w:cs="Arial"/>
                <w:color w:val="FF0000"/>
                <w:sz w:val="21"/>
                <w:szCs w:val="21"/>
              </w:rPr>
            </w:pPr>
          </w:p>
        </w:tc>
        <w:tc>
          <w:tcPr>
            <w:tcW w:w="217" w:type="dxa"/>
          </w:tcPr>
          <w:p w14:paraId="14807F7D" w14:textId="77777777" w:rsidR="002C0FD9" w:rsidRPr="00CA25CF" w:rsidRDefault="002C0FD9" w:rsidP="00CA25CF">
            <w:pPr>
              <w:rPr>
                <w:rFonts w:cs="Arial"/>
                <w:color w:val="FF0000"/>
                <w:sz w:val="21"/>
                <w:szCs w:val="21"/>
              </w:rPr>
            </w:pPr>
          </w:p>
        </w:tc>
        <w:tc>
          <w:tcPr>
            <w:tcW w:w="217" w:type="dxa"/>
          </w:tcPr>
          <w:p w14:paraId="20A798A2" w14:textId="77777777" w:rsidR="002C0FD9" w:rsidRPr="00CA25CF" w:rsidRDefault="002C0FD9" w:rsidP="00CA25CF">
            <w:pPr>
              <w:rPr>
                <w:rFonts w:cs="Arial"/>
                <w:color w:val="FF0000"/>
                <w:sz w:val="21"/>
                <w:szCs w:val="21"/>
              </w:rPr>
            </w:pPr>
          </w:p>
        </w:tc>
        <w:tc>
          <w:tcPr>
            <w:tcW w:w="217" w:type="dxa"/>
          </w:tcPr>
          <w:p w14:paraId="5897377F" w14:textId="77777777" w:rsidR="002C0FD9" w:rsidRPr="00CA25CF" w:rsidRDefault="002C0FD9" w:rsidP="00CA25CF">
            <w:pPr>
              <w:rPr>
                <w:rFonts w:cs="Arial"/>
                <w:color w:val="FF0000"/>
                <w:sz w:val="21"/>
                <w:szCs w:val="21"/>
              </w:rPr>
            </w:pPr>
          </w:p>
        </w:tc>
        <w:tc>
          <w:tcPr>
            <w:tcW w:w="217" w:type="dxa"/>
          </w:tcPr>
          <w:p w14:paraId="52B6F3D0" w14:textId="77777777" w:rsidR="002C0FD9" w:rsidRPr="00CA25CF" w:rsidRDefault="002C0FD9" w:rsidP="00CA25CF">
            <w:pPr>
              <w:rPr>
                <w:rFonts w:cs="Arial"/>
                <w:color w:val="FF0000"/>
                <w:sz w:val="21"/>
                <w:szCs w:val="21"/>
              </w:rPr>
            </w:pPr>
          </w:p>
        </w:tc>
        <w:tc>
          <w:tcPr>
            <w:tcW w:w="217" w:type="dxa"/>
          </w:tcPr>
          <w:p w14:paraId="4FB45B63" w14:textId="77777777" w:rsidR="002C0FD9" w:rsidRPr="00CA25CF" w:rsidRDefault="002C0FD9" w:rsidP="00CA25CF">
            <w:pPr>
              <w:rPr>
                <w:rFonts w:cs="Arial"/>
                <w:color w:val="FF0000"/>
                <w:sz w:val="21"/>
                <w:szCs w:val="21"/>
              </w:rPr>
            </w:pPr>
          </w:p>
        </w:tc>
        <w:tc>
          <w:tcPr>
            <w:tcW w:w="217" w:type="dxa"/>
          </w:tcPr>
          <w:p w14:paraId="5522C339" w14:textId="77777777" w:rsidR="002C0FD9" w:rsidRPr="00CA25CF" w:rsidRDefault="002C0FD9" w:rsidP="00CA25CF">
            <w:pPr>
              <w:rPr>
                <w:rFonts w:cs="Arial"/>
                <w:color w:val="FF0000"/>
                <w:sz w:val="21"/>
                <w:szCs w:val="21"/>
              </w:rPr>
            </w:pPr>
          </w:p>
        </w:tc>
        <w:tc>
          <w:tcPr>
            <w:tcW w:w="217" w:type="dxa"/>
          </w:tcPr>
          <w:p w14:paraId="31A84EE1" w14:textId="77777777" w:rsidR="002C0FD9" w:rsidRPr="00CA25CF" w:rsidRDefault="002C0FD9" w:rsidP="00CA25CF">
            <w:pPr>
              <w:rPr>
                <w:rFonts w:cs="Arial"/>
                <w:color w:val="FF0000"/>
                <w:sz w:val="21"/>
                <w:szCs w:val="21"/>
              </w:rPr>
            </w:pPr>
          </w:p>
        </w:tc>
        <w:tc>
          <w:tcPr>
            <w:tcW w:w="217" w:type="dxa"/>
          </w:tcPr>
          <w:p w14:paraId="20E6DA2B" w14:textId="77777777" w:rsidR="002C0FD9" w:rsidRPr="00CA25CF" w:rsidRDefault="002C0FD9" w:rsidP="00CA25CF">
            <w:pPr>
              <w:rPr>
                <w:rFonts w:cs="Arial"/>
                <w:color w:val="FF0000"/>
                <w:sz w:val="21"/>
                <w:szCs w:val="21"/>
              </w:rPr>
            </w:pPr>
          </w:p>
        </w:tc>
        <w:tc>
          <w:tcPr>
            <w:tcW w:w="217" w:type="dxa"/>
          </w:tcPr>
          <w:p w14:paraId="534C6196" w14:textId="77777777" w:rsidR="002C0FD9" w:rsidRPr="00CA25CF" w:rsidRDefault="002C0FD9" w:rsidP="00CA25CF">
            <w:pPr>
              <w:rPr>
                <w:rFonts w:cs="Arial"/>
                <w:color w:val="FF0000"/>
                <w:sz w:val="21"/>
                <w:szCs w:val="21"/>
              </w:rPr>
            </w:pPr>
          </w:p>
        </w:tc>
        <w:tc>
          <w:tcPr>
            <w:tcW w:w="217" w:type="dxa"/>
          </w:tcPr>
          <w:p w14:paraId="344899A6" w14:textId="77777777" w:rsidR="002C0FD9" w:rsidRPr="00CA25CF" w:rsidRDefault="002C0FD9" w:rsidP="00CA25CF">
            <w:pPr>
              <w:rPr>
                <w:rFonts w:cs="Arial"/>
                <w:color w:val="FF0000"/>
                <w:sz w:val="21"/>
                <w:szCs w:val="21"/>
              </w:rPr>
            </w:pPr>
          </w:p>
        </w:tc>
        <w:tc>
          <w:tcPr>
            <w:tcW w:w="217" w:type="dxa"/>
          </w:tcPr>
          <w:p w14:paraId="603B4D32" w14:textId="77777777" w:rsidR="002C0FD9" w:rsidRPr="00CA25CF" w:rsidRDefault="002C0FD9" w:rsidP="00CA25CF">
            <w:pPr>
              <w:rPr>
                <w:rFonts w:cs="Arial"/>
                <w:color w:val="FF0000"/>
                <w:sz w:val="21"/>
                <w:szCs w:val="21"/>
              </w:rPr>
            </w:pPr>
          </w:p>
        </w:tc>
        <w:tc>
          <w:tcPr>
            <w:tcW w:w="217" w:type="dxa"/>
          </w:tcPr>
          <w:p w14:paraId="5E0D5379" w14:textId="77777777" w:rsidR="002C0FD9" w:rsidRPr="00CA25CF" w:rsidRDefault="002C0FD9" w:rsidP="00CA25CF">
            <w:pPr>
              <w:rPr>
                <w:rFonts w:cs="Arial"/>
                <w:color w:val="FF0000"/>
                <w:sz w:val="21"/>
                <w:szCs w:val="21"/>
              </w:rPr>
            </w:pPr>
          </w:p>
        </w:tc>
        <w:tc>
          <w:tcPr>
            <w:tcW w:w="217" w:type="dxa"/>
          </w:tcPr>
          <w:p w14:paraId="404840C5" w14:textId="77777777" w:rsidR="002C0FD9" w:rsidRPr="00CA25CF" w:rsidRDefault="002C0FD9" w:rsidP="00CA25CF">
            <w:pPr>
              <w:rPr>
                <w:rFonts w:cs="Arial"/>
                <w:color w:val="FF0000"/>
                <w:sz w:val="21"/>
                <w:szCs w:val="21"/>
              </w:rPr>
            </w:pPr>
          </w:p>
        </w:tc>
        <w:tc>
          <w:tcPr>
            <w:tcW w:w="217" w:type="dxa"/>
          </w:tcPr>
          <w:p w14:paraId="2EE98A0D" w14:textId="77777777" w:rsidR="002C0FD9" w:rsidRPr="00CA25CF" w:rsidRDefault="002C0FD9" w:rsidP="00CA25CF">
            <w:pPr>
              <w:rPr>
                <w:rFonts w:cs="Arial"/>
                <w:color w:val="FF0000"/>
                <w:sz w:val="21"/>
                <w:szCs w:val="21"/>
              </w:rPr>
            </w:pPr>
          </w:p>
        </w:tc>
        <w:tc>
          <w:tcPr>
            <w:tcW w:w="217" w:type="dxa"/>
          </w:tcPr>
          <w:p w14:paraId="5061EF4F" w14:textId="77777777" w:rsidR="002C0FD9" w:rsidRPr="00CA25CF" w:rsidRDefault="002C0FD9" w:rsidP="00CA25CF">
            <w:pPr>
              <w:rPr>
                <w:rFonts w:cs="Arial"/>
                <w:color w:val="FF0000"/>
                <w:sz w:val="21"/>
                <w:szCs w:val="21"/>
              </w:rPr>
            </w:pPr>
          </w:p>
        </w:tc>
        <w:tc>
          <w:tcPr>
            <w:tcW w:w="217" w:type="dxa"/>
          </w:tcPr>
          <w:p w14:paraId="58269AB1" w14:textId="77777777" w:rsidR="002C0FD9" w:rsidRPr="00CA25CF" w:rsidRDefault="002C0FD9" w:rsidP="00CA25CF">
            <w:pPr>
              <w:rPr>
                <w:rFonts w:cs="Arial"/>
                <w:color w:val="FF0000"/>
                <w:sz w:val="21"/>
                <w:szCs w:val="21"/>
              </w:rPr>
            </w:pPr>
          </w:p>
        </w:tc>
        <w:tc>
          <w:tcPr>
            <w:tcW w:w="217" w:type="dxa"/>
          </w:tcPr>
          <w:p w14:paraId="5C094ED7" w14:textId="77777777" w:rsidR="002C0FD9" w:rsidRPr="00CA25CF" w:rsidRDefault="002C0FD9" w:rsidP="00CA25CF">
            <w:pPr>
              <w:rPr>
                <w:rFonts w:cs="Arial"/>
                <w:color w:val="FF0000"/>
                <w:sz w:val="21"/>
                <w:szCs w:val="21"/>
              </w:rPr>
            </w:pPr>
          </w:p>
        </w:tc>
        <w:tc>
          <w:tcPr>
            <w:tcW w:w="217" w:type="dxa"/>
          </w:tcPr>
          <w:p w14:paraId="6C228670" w14:textId="77777777" w:rsidR="002C0FD9" w:rsidRPr="00CA25CF" w:rsidRDefault="002C0FD9" w:rsidP="00CA25CF">
            <w:pPr>
              <w:rPr>
                <w:rFonts w:cs="Arial"/>
                <w:color w:val="FF0000"/>
                <w:sz w:val="21"/>
                <w:szCs w:val="21"/>
              </w:rPr>
            </w:pPr>
          </w:p>
        </w:tc>
        <w:tc>
          <w:tcPr>
            <w:tcW w:w="217" w:type="dxa"/>
          </w:tcPr>
          <w:p w14:paraId="038C6BF4" w14:textId="77777777" w:rsidR="002C0FD9" w:rsidRPr="00CA25CF" w:rsidRDefault="002C0FD9" w:rsidP="00CA25CF">
            <w:pPr>
              <w:rPr>
                <w:rFonts w:cs="Arial"/>
                <w:color w:val="FF0000"/>
                <w:sz w:val="21"/>
                <w:szCs w:val="21"/>
              </w:rPr>
            </w:pPr>
          </w:p>
        </w:tc>
        <w:tc>
          <w:tcPr>
            <w:tcW w:w="217" w:type="dxa"/>
          </w:tcPr>
          <w:p w14:paraId="3D162D75" w14:textId="77777777" w:rsidR="002C0FD9" w:rsidRPr="00CA25CF" w:rsidRDefault="002C0FD9" w:rsidP="00CA25CF">
            <w:pPr>
              <w:rPr>
                <w:rFonts w:cs="Arial"/>
                <w:color w:val="FF0000"/>
                <w:sz w:val="21"/>
                <w:szCs w:val="21"/>
              </w:rPr>
            </w:pPr>
          </w:p>
        </w:tc>
        <w:tc>
          <w:tcPr>
            <w:tcW w:w="217" w:type="dxa"/>
          </w:tcPr>
          <w:p w14:paraId="16DAB5BA" w14:textId="77777777" w:rsidR="002C0FD9" w:rsidRPr="00CA25CF" w:rsidRDefault="002C0FD9" w:rsidP="00CA25CF">
            <w:pPr>
              <w:rPr>
                <w:rFonts w:cs="Arial"/>
                <w:color w:val="FF0000"/>
                <w:sz w:val="21"/>
                <w:szCs w:val="21"/>
              </w:rPr>
            </w:pPr>
          </w:p>
        </w:tc>
        <w:tc>
          <w:tcPr>
            <w:tcW w:w="217" w:type="dxa"/>
          </w:tcPr>
          <w:p w14:paraId="5F7A5A57" w14:textId="77777777" w:rsidR="002C0FD9" w:rsidRPr="00CA25CF" w:rsidRDefault="002C0FD9" w:rsidP="00CA25CF">
            <w:pPr>
              <w:rPr>
                <w:rFonts w:cs="Arial"/>
                <w:color w:val="FF0000"/>
                <w:sz w:val="21"/>
                <w:szCs w:val="21"/>
              </w:rPr>
            </w:pPr>
          </w:p>
        </w:tc>
        <w:tc>
          <w:tcPr>
            <w:tcW w:w="217" w:type="dxa"/>
          </w:tcPr>
          <w:p w14:paraId="73E8972A" w14:textId="77777777" w:rsidR="002C0FD9" w:rsidRPr="00CA25CF" w:rsidRDefault="002C0FD9" w:rsidP="00CA25CF">
            <w:pPr>
              <w:rPr>
                <w:rFonts w:cs="Arial"/>
                <w:color w:val="FF0000"/>
                <w:sz w:val="21"/>
                <w:szCs w:val="21"/>
              </w:rPr>
            </w:pPr>
          </w:p>
        </w:tc>
        <w:tc>
          <w:tcPr>
            <w:tcW w:w="217" w:type="dxa"/>
          </w:tcPr>
          <w:p w14:paraId="3CFC251D" w14:textId="77777777" w:rsidR="002C0FD9" w:rsidRPr="00CA25CF" w:rsidRDefault="002C0FD9" w:rsidP="00CA25CF">
            <w:pPr>
              <w:rPr>
                <w:rFonts w:cs="Arial"/>
                <w:color w:val="FF0000"/>
                <w:sz w:val="21"/>
                <w:szCs w:val="21"/>
              </w:rPr>
            </w:pPr>
          </w:p>
        </w:tc>
      </w:tr>
      <w:tr w:rsidR="002C0FD9" w:rsidRPr="00A16219" w14:paraId="361D6B53" w14:textId="7350F225" w:rsidTr="002C0FD9">
        <w:trPr>
          <w:trHeight w:val="635"/>
        </w:trPr>
        <w:tc>
          <w:tcPr>
            <w:tcW w:w="515" w:type="dxa"/>
          </w:tcPr>
          <w:p w14:paraId="70A2E5A7" w14:textId="77777777" w:rsidR="002C0FD9" w:rsidRPr="00CA25CF" w:rsidRDefault="002C0FD9" w:rsidP="00CA25CF">
            <w:pPr>
              <w:rPr>
                <w:rFonts w:cs="Arial"/>
                <w:color w:val="FF0000"/>
                <w:sz w:val="21"/>
                <w:szCs w:val="21"/>
              </w:rPr>
            </w:pPr>
          </w:p>
        </w:tc>
        <w:tc>
          <w:tcPr>
            <w:tcW w:w="217" w:type="dxa"/>
          </w:tcPr>
          <w:p w14:paraId="5D02FDFD" w14:textId="77777777" w:rsidR="002C0FD9" w:rsidRPr="00CA25CF" w:rsidRDefault="002C0FD9" w:rsidP="00CA25CF">
            <w:pPr>
              <w:rPr>
                <w:rFonts w:cs="Arial"/>
                <w:color w:val="FF0000"/>
                <w:sz w:val="21"/>
                <w:szCs w:val="21"/>
              </w:rPr>
            </w:pPr>
          </w:p>
        </w:tc>
        <w:tc>
          <w:tcPr>
            <w:tcW w:w="217" w:type="dxa"/>
          </w:tcPr>
          <w:p w14:paraId="3451370C" w14:textId="2969DAFE" w:rsidR="002C0FD9" w:rsidRPr="00CA25CF" w:rsidRDefault="002C0FD9" w:rsidP="00CA25CF">
            <w:pPr>
              <w:rPr>
                <w:rFonts w:cs="Arial"/>
                <w:color w:val="FF0000"/>
                <w:sz w:val="21"/>
                <w:szCs w:val="21"/>
              </w:rPr>
            </w:pPr>
          </w:p>
        </w:tc>
        <w:tc>
          <w:tcPr>
            <w:tcW w:w="217" w:type="dxa"/>
          </w:tcPr>
          <w:p w14:paraId="2AB9991C" w14:textId="77777777" w:rsidR="002C0FD9" w:rsidRPr="00CA25CF" w:rsidRDefault="002C0FD9" w:rsidP="00CA25CF">
            <w:pPr>
              <w:rPr>
                <w:rFonts w:cs="Arial"/>
                <w:color w:val="FF0000"/>
                <w:sz w:val="21"/>
                <w:szCs w:val="21"/>
              </w:rPr>
            </w:pPr>
          </w:p>
        </w:tc>
        <w:tc>
          <w:tcPr>
            <w:tcW w:w="217" w:type="dxa"/>
          </w:tcPr>
          <w:p w14:paraId="2D33812B" w14:textId="77777777" w:rsidR="002C0FD9" w:rsidRPr="00CA25CF" w:rsidRDefault="002C0FD9" w:rsidP="00CA25CF">
            <w:pPr>
              <w:rPr>
                <w:rFonts w:cs="Arial"/>
                <w:color w:val="FF0000"/>
                <w:sz w:val="21"/>
                <w:szCs w:val="21"/>
              </w:rPr>
            </w:pPr>
          </w:p>
        </w:tc>
        <w:tc>
          <w:tcPr>
            <w:tcW w:w="217" w:type="dxa"/>
          </w:tcPr>
          <w:p w14:paraId="2BEF18BA" w14:textId="77777777" w:rsidR="002C0FD9" w:rsidRPr="00CA25CF" w:rsidRDefault="002C0FD9" w:rsidP="00CA25CF">
            <w:pPr>
              <w:rPr>
                <w:rFonts w:cs="Arial"/>
                <w:color w:val="FF0000"/>
                <w:sz w:val="21"/>
                <w:szCs w:val="21"/>
              </w:rPr>
            </w:pPr>
          </w:p>
        </w:tc>
        <w:tc>
          <w:tcPr>
            <w:tcW w:w="217" w:type="dxa"/>
          </w:tcPr>
          <w:p w14:paraId="0E9463B3" w14:textId="77777777" w:rsidR="002C0FD9" w:rsidRPr="00CA25CF" w:rsidRDefault="002C0FD9" w:rsidP="00CA25CF">
            <w:pPr>
              <w:rPr>
                <w:rFonts w:cs="Arial"/>
                <w:color w:val="FF0000"/>
                <w:sz w:val="21"/>
                <w:szCs w:val="21"/>
              </w:rPr>
            </w:pPr>
          </w:p>
        </w:tc>
        <w:tc>
          <w:tcPr>
            <w:tcW w:w="217" w:type="dxa"/>
          </w:tcPr>
          <w:p w14:paraId="6DC1927B" w14:textId="77777777" w:rsidR="002C0FD9" w:rsidRPr="00CA25CF" w:rsidRDefault="002C0FD9" w:rsidP="00CA25CF">
            <w:pPr>
              <w:rPr>
                <w:rFonts w:cs="Arial"/>
                <w:color w:val="FF0000"/>
                <w:sz w:val="21"/>
                <w:szCs w:val="21"/>
              </w:rPr>
            </w:pPr>
          </w:p>
        </w:tc>
        <w:tc>
          <w:tcPr>
            <w:tcW w:w="217" w:type="dxa"/>
          </w:tcPr>
          <w:p w14:paraId="5672058B" w14:textId="77777777" w:rsidR="002C0FD9" w:rsidRPr="00CA25CF" w:rsidRDefault="002C0FD9" w:rsidP="00CA25CF">
            <w:pPr>
              <w:rPr>
                <w:rFonts w:cs="Arial"/>
                <w:color w:val="FF0000"/>
                <w:sz w:val="21"/>
                <w:szCs w:val="21"/>
              </w:rPr>
            </w:pPr>
          </w:p>
        </w:tc>
        <w:tc>
          <w:tcPr>
            <w:tcW w:w="217" w:type="dxa"/>
          </w:tcPr>
          <w:p w14:paraId="6F4B9A4F" w14:textId="77777777" w:rsidR="002C0FD9" w:rsidRPr="00CA25CF" w:rsidRDefault="002C0FD9" w:rsidP="00CA25CF">
            <w:pPr>
              <w:rPr>
                <w:rFonts w:cs="Arial"/>
                <w:color w:val="FF0000"/>
                <w:sz w:val="21"/>
                <w:szCs w:val="21"/>
              </w:rPr>
            </w:pPr>
          </w:p>
        </w:tc>
        <w:tc>
          <w:tcPr>
            <w:tcW w:w="217" w:type="dxa"/>
          </w:tcPr>
          <w:p w14:paraId="426BA95B" w14:textId="77777777" w:rsidR="002C0FD9" w:rsidRPr="00CA25CF" w:rsidRDefault="002C0FD9" w:rsidP="00CA25CF">
            <w:pPr>
              <w:rPr>
                <w:rFonts w:cs="Arial"/>
                <w:color w:val="FF0000"/>
                <w:sz w:val="21"/>
                <w:szCs w:val="21"/>
              </w:rPr>
            </w:pPr>
          </w:p>
        </w:tc>
        <w:tc>
          <w:tcPr>
            <w:tcW w:w="217" w:type="dxa"/>
          </w:tcPr>
          <w:p w14:paraId="374CEE09" w14:textId="77777777" w:rsidR="002C0FD9" w:rsidRPr="00CA25CF" w:rsidRDefault="002C0FD9" w:rsidP="00CA25CF">
            <w:pPr>
              <w:rPr>
                <w:rFonts w:cs="Arial"/>
                <w:color w:val="FF0000"/>
                <w:sz w:val="21"/>
                <w:szCs w:val="21"/>
              </w:rPr>
            </w:pPr>
          </w:p>
        </w:tc>
        <w:tc>
          <w:tcPr>
            <w:tcW w:w="217" w:type="dxa"/>
          </w:tcPr>
          <w:p w14:paraId="1D54B147" w14:textId="77777777" w:rsidR="002C0FD9" w:rsidRPr="00CA25CF" w:rsidRDefault="002C0FD9" w:rsidP="00CA25CF">
            <w:pPr>
              <w:rPr>
                <w:rFonts w:cs="Arial"/>
                <w:color w:val="FF0000"/>
                <w:sz w:val="21"/>
                <w:szCs w:val="21"/>
              </w:rPr>
            </w:pPr>
          </w:p>
        </w:tc>
        <w:tc>
          <w:tcPr>
            <w:tcW w:w="217" w:type="dxa"/>
          </w:tcPr>
          <w:p w14:paraId="5521BABF" w14:textId="77777777" w:rsidR="002C0FD9" w:rsidRPr="00CA25CF" w:rsidRDefault="002C0FD9" w:rsidP="00CA25CF">
            <w:pPr>
              <w:rPr>
                <w:rFonts w:cs="Arial"/>
                <w:color w:val="FF0000"/>
                <w:sz w:val="21"/>
                <w:szCs w:val="21"/>
              </w:rPr>
            </w:pPr>
          </w:p>
        </w:tc>
        <w:tc>
          <w:tcPr>
            <w:tcW w:w="217" w:type="dxa"/>
          </w:tcPr>
          <w:p w14:paraId="0A0615F2" w14:textId="77777777" w:rsidR="002C0FD9" w:rsidRPr="00CA25CF" w:rsidRDefault="002C0FD9" w:rsidP="00CA25CF">
            <w:pPr>
              <w:rPr>
                <w:rFonts w:cs="Arial"/>
                <w:color w:val="FF0000"/>
                <w:sz w:val="21"/>
                <w:szCs w:val="21"/>
              </w:rPr>
            </w:pPr>
          </w:p>
        </w:tc>
        <w:tc>
          <w:tcPr>
            <w:tcW w:w="217" w:type="dxa"/>
          </w:tcPr>
          <w:p w14:paraId="66DE3DCF" w14:textId="5F979D15" w:rsidR="002C0FD9" w:rsidRPr="00CA25CF" w:rsidRDefault="002C0FD9" w:rsidP="00CA25CF">
            <w:pPr>
              <w:rPr>
                <w:rFonts w:cs="Arial"/>
                <w:color w:val="FF0000"/>
                <w:sz w:val="21"/>
                <w:szCs w:val="21"/>
              </w:rPr>
            </w:pPr>
          </w:p>
        </w:tc>
        <w:tc>
          <w:tcPr>
            <w:tcW w:w="217" w:type="dxa"/>
          </w:tcPr>
          <w:p w14:paraId="76F62542" w14:textId="77777777" w:rsidR="002C0FD9" w:rsidRPr="00CA25CF" w:rsidRDefault="002C0FD9" w:rsidP="00CA25CF">
            <w:pPr>
              <w:rPr>
                <w:rFonts w:cs="Arial"/>
                <w:color w:val="FF0000"/>
                <w:sz w:val="21"/>
                <w:szCs w:val="21"/>
              </w:rPr>
            </w:pPr>
          </w:p>
        </w:tc>
        <w:tc>
          <w:tcPr>
            <w:tcW w:w="217" w:type="dxa"/>
          </w:tcPr>
          <w:p w14:paraId="5C0046DE" w14:textId="77777777" w:rsidR="002C0FD9" w:rsidRPr="00CA25CF" w:rsidRDefault="002C0FD9" w:rsidP="00CA25CF">
            <w:pPr>
              <w:rPr>
                <w:rFonts w:cs="Arial"/>
                <w:color w:val="FF0000"/>
                <w:sz w:val="21"/>
                <w:szCs w:val="21"/>
              </w:rPr>
            </w:pPr>
          </w:p>
        </w:tc>
        <w:tc>
          <w:tcPr>
            <w:tcW w:w="217" w:type="dxa"/>
          </w:tcPr>
          <w:p w14:paraId="11AB9016" w14:textId="77777777" w:rsidR="002C0FD9" w:rsidRPr="00CA25CF" w:rsidRDefault="002C0FD9" w:rsidP="00CA25CF">
            <w:pPr>
              <w:rPr>
                <w:rFonts w:cs="Arial"/>
                <w:color w:val="FF0000"/>
                <w:sz w:val="21"/>
                <w:szCs w:val="21"/>
              </w:rPr>
            </w:pPr>
          </w:p>
        </w:tc>
        <w:tc>
          <w:tcPr>
            <w:tcW w:w="217" w:type="dxa"/>
          </w:tcPr>
          <w:p w14:paraId="7DC362DF" w14:textId="77777777" w:rsidR="002C0FD9" w:rsidRPr="00CA25CF" w:rsidRDefault="002C0FD9" w:rsidP="00CA25CF">
            <w:pPr>
              <w:rPr>
                <w:rFonts w:cs="Arial"/>
                <w:color w:val="FF0000"/>
                <w:sz w:val="21"/>
                <w:szCs w:val="21"/>
              </w:rPr>
            </w:pPr>
          </w:p>
        </w:tc>
        <w:tc>
          <w:tcPr>
            <w:tcW w:w="217" w:type="dxa"/>
          </w:tcPr>
          <w:p w14:paraId="4BB4FEC5" w14:textId="77777777" w:rsidR="002C0FD9" w:rsidRPr="00CA25CF" w:rsidRDefault="002C0FD9" w:rsidP="00CA25CF">
            <w:pPr>
              <w:rPr>
                <w:rFonts w:cs="Arial"/>
                <w:color w:val="FF0000"/>
                <w:sz w:val="21"/>
                <w:szCs w:val="21"/>
              </w:rPr>
            </w:pPr>
          </w:p>
        </w:tc>
        <w:tc>
          <w:tcPr>
            <w:tcW w:w="217" w:type="dxa"/>
          </w:tcPr>
          <w:p w14:paraId="799EABD9" w14:textId="77777777" w:rsidR="002C0FD9" w:rsidRPr="00CA25CF" w:rsidRDefault="002C0FD9" w:rsidP="00CA25CF">
            <w:pPr>
              <w:rPr>
                <w:rFonts w:cs="Arial"/>
                <w:color w:val="FF0000"/>
                <w:sz w:val="21"/>
                <w:szCs w:val="21"/>
              </w:rPr>
            </w:pPr>
          </w:p>
        </w:tc>
        <w:tc>
          <w:tcPr>
            <w:tcW w:w="217" w:type="dxa"/>
          </w:tcPr>
          <w:p w14:paraId="03665A99" w14:textId="77777777" w:rsidR="002C0FD9" w:rsidRPr="00CA25CF" w:rsidRDefault="002C0FD9" w:rsidP="00CA25CF">
            <w:pPr>
              <w:rPr>
                <w:rFonts w:cs="Arial"/>
                <w:color w:val="FF0000"/>
                <w:sz w:val="21"/>
                <w:szCs w:val="21"/>
              </w:rPr>
            </w:pPr>
          </w:p>
        </w:tc>
        <w:tc>
          <w:tcPr>
            <w:tcW w:w="217" w:type="dxa"/>
          </w:tcPr>
          <w:p w14:paraId="08AE5B4E" w14:textId="77777777" w:rsidR="002C0FD9" w:rsidRPr="00CA25CF" w:rsidRDefault="002C0FD9" w:rsidP="00CA25CF">
            <w:pPr>
              <w:rPr>
                <w:rFonts w:cs="Arial"/>
                <w:color w:val="FF0000"/>
                <w:sz w:val="21"/>
                <w:szCs w:val="21"/>
              </w:rPr>
            </w:pPr>
          </w:p>
        </w:tc>
        <w:tc>
          <w:tcPr>
            <w:tcW w:w="217" w:type="dxa"/>
          </w:tcPr>
          <w:p w14:paraId="23F169E6" w14:textId="77777777" w:rsidR="002C0FD9" w:rsidRPr="00CA25CF" w:rsidRDefault="002C0FD9" w:rsidP="00CA25CF">
            <w:pPr>
              <w:rPr>
                <w:rFonts w:cs="Arial"/>
                <w:color w:val="FF0000"/>
                <w:sz w:val="21"/>
                <w:szCs w:val="21"/>
              </w:rPr>
            </w:pPr>
          </w:p>
        </w:tc>
        <w:tc>
          <w:tcPr>
            <w:tcW w:w="217" w:type="dxa"/>
          </w:tcPr>
          <w:p w14:paraId="7F78569F" w14:textId="77777777" w:rsidR="002C0FD9" w:rsidRPr="00CA25CF" w:rsidRDefault="002C0FD9" w:rsidP="00CA25CF">
            <w:pPr>
              <w:rPr>
                <w:rFonts w:cs="Arial"/>
                <w:color w:val="FF0000"/>
                <w:sz w:val="21"/>
                <w:szCs w:val="21"/>
              </w:rPr>
            </w:pPr>
          </w:p>
        </w:tc>
        <w:tc>
          <w:tcPr>
            <w:tcW w:w="217" w:type="dxa"/>
          </w:tcPr>
          <w:p w14:paraId="46A00933" w14:textId="77777777" w:rsidR="002C0FD9" w:rsidRPr="00CA25CF" w:rsidRDefault="002C0FD9" w:rsidP="00CA25CF">
            <w:pPr>
              <w:rPr>
                <w:rFonts w:cs="Arial"/>
                <w:color w:val="FF0000"/>
                <w:sz w:val="21"/>
                <w:szCs w:val="21"/>
              </w:rPr>
            </w:pPr>
          </w:p>
        </w:tc>
        <w:tc>
          <w:tcPr>
            <w:tcW w:w="217" w:type="dxa"/>
          </w:tcPr>
          <w:p w14:paraId="048DB18A" w14:textId="77777777" w:rsidR="002C0FD9" w:rsidRPr="00CA25CF" w:rsidRDefault="002C0FD9" w:rsidP="00CA25CF">
            <w:pPr>
              <w:rPr>
                <w:rFonts w:cs="Arial"/>
                <w:color w:val="FF0000"/>
                <w:sz w:val="21"/>
                <w:szCs w:val="21"/>
              </w:rPr>
            </w:pPr>
          </w:p>
        </w:tc>
        <w:tc>
          <w:tcPr>
            <w:tcW w:w="217" w:type="dxa"/>
          </w:tcPr>
          <w:p w14:paraId="4AE09D99" w14:textId="77777777" w:rsidR="002C0FD9" w:rsidRPr="00CA25CF" w:rsidRDefault="002C0FD9" w:rsidP="00CA25CF">
            <w:pPr>
              <w:rPr>
                <w:rFonts w:cs="Arial"/>
                <w:color w:val="FF0000"/>
                <w:sz w:val="21"/>
                <w:szCs w:val="21"/>
              </w:rPr>
            </w:pPr>
          </w:p>
        </w:tc>
        <w:tc>
          <w:tcPr>
            <w:tcW w:w="217" w:type="dxa"/>
          </w:tcPr>
          <w:p w14:paraId="260AE5B4" w14:textId="77777777" w:rsidR="002C0FD9" w:rsidRPr="00CA25CF" w:rsidRDefault="002C0FD9" w:rsidP="00CA25CF">
            <w:pPr>
              <w:rPr>
                <w:rFonts w:cs="Arial"/>
                <w:color w:val="FF0000"/>
                <w:sz w:val="21"/>
                <w:szCs w:val="21"/>
              </w:rPr>
            </w:pPr>
          </w:p>
        </w:tc>
        <w:tc>
          <w:tcPr>
            <w:tcW w:w="217" w:type="dxa"/>
          </w:tcPr>
          <w:p w14:paraId="0B1AEC2E" w14:textId="77777777" w:rsidR="002C0FD9" w:rsidRPr="00CA25CF" w:rsidRDefault="002C0FD9" w:rsidP="00CA25CF">
            <w:pPr>
              <w:rPr>
                <w:rFonts w:cs="Arial"/>
                <w:color w:val="FF0000"/>
                <w:sz w:val="21"/>
                <w:szCs w:val="21"/>
              </w:rPr>
            </w:pPr>
          </w:p>
        </w:tc>
        <w:tc>
          <w:tcPr>
            <w:tcW w:w="217" w:type="dxa"/>
          </w:tcPr>
          <w:p w14:paraId="22E3669F" w14:textId="77777777" w:rsidR="002C0FD9" w:rsidRPr="00CA25CF" w:rsidRDefault="002C0FD9" w:rsidP="00CA25CF">
            <w:pPr>
              <w:rPr>
                <w:rFonts w:cs="Arial"/>
                <w:color w:val="FF0000"/>
                <w:sz w:val="21"/>
                <w:szCs w:val="21"/>
              </w:rPr>
            </w:pPr>
          </w:p>
        </w:tc>
        <w:tc>
          <w:tcPr>
            <w:tcW w:w="217" w:type="dxa"/>
          </w:tcPr>
          <w:p w14:paraId="08E4A74D" w14:textId="77777777" w:rsidR="002C0FD9" w:rsidRPr="00CA25CF" w:rsidRDefault="002C0FD9" w:rsidP="00CA25CF">
            <w:pPr>
              <w:rPr>
                <w:rFonts w:cs="Arial"/>
                <w:color w:val="FF0000"/>
                <w:sz w:val="21"/>
                <w:szCs w:val="21"/>
              </w:rPr>
            </w:pPr>
          </w:p>
        </w:tc>
        <w:tc>
          <w:tcPr>
            <w:tcW w:w="217" w:type="dxa"/>
          </w:tcPr>
          <w:p w14:paraId="46F2D7AA" w14:textId="77777777" w:rsidR="002C0FD9" w:rsidRPr="00CA25CF" w:rsidRDefault="002C0FD9" w:rsidP="00CA25CF">
            <w:pPr>
              <w:rPr>
                <w:rFonts w:cs="Arial"/>
                <w:color w:val="FF0000"/>
                <w:sz w:val="21"/>
                <w:szCs w:val="21"/>
              </w:rPr>
            </w:pPr>
          </w:p>
        </w:tc>
        <w:tc>
          <w:tcPr>
            <w:tcW w:w="217" w:type="dxa"/>
          </w:tcPr>
          <w:p w14:paraId="6D48726A" w14:textId="77777777" w:rsidR="002C0FD9" w:rsidRPr="00CA25CF" w:rsidRDefault="002C0FD9" w:rsidP="00CA25CF">
            <w:pPr>
              <w:rPr>
                <w:rFonts w:cs="Arial"/>
                <w:color w:val="FF0000"/>
                <w:sz w:val="21"/>
                <w:szCs w:val="21"/>
              </w:rPr>
            </w:pPr>
          </w:p>
        </w:tc>
        <w:tc>
          <w:tcPr>
            <w:tcW w:w="217" w:type="dxa"/>
          </w:tcPr>
          <w:p w14:paraId="0F5A4EA9" w14:textId="77777777" w:rsidR="002C0FD9" w:rsidRPr="00CA25CF" w:rsidRDefault="002C0FD9" w:rsidP="00CA25CF">
            <w:pPr>
              <w:rPr>
                <w:rFonts w:cs="Arial"/>
                <w:color w:val="FF0000"/>
                <w:sz w:val="21"/>
                <w:szCs w:val="21"/>
              </w:rPr>
            </w:pPr>
          </w:p>
        </w:tc>
        <w:tc>
          <w:tcPr>
            <w:tcW w:w="217" w:type="dxa"/>
          </w:tcPr>
          <w:p w14:paraId="16887081" w14:textId="77777777" w:rsidR="002C0FD9" w:rsidRPr="00CA25CF" w:rsidRDefault="002C0FD9" w:rsidP="00CA25CF">
            <w:pPr>
              <w:rPr>
                <w:rFonts w:cs="Arial"/>
                <w:color w:val="FF0000"/>
                <w:sz w:val="21"/>
                <w:szCs w:val="21"/>
              </w:rPr>
            </w:pPr>
          </w:p>
        </w:tc>
        <w:tc>
          <w:tcPr>
            <w:tcW w:w="217" w:type="dxa"/>
          </w:tcPr>
          <w:p w14:paraId="0B50C6CE" w14:textId="77777777" w:rsidR="002C0FD9" w:rsidRPr="00CA25CF" w:rsidRDefault="002C0FD9" w:rsidP="00CA25CF">
            <w:pPr>
              <w:rPr>
                <w:rFonts w:cs="Arial"/>
                <w:color w:val="FF0000"/>
                <w:sz w:val="21"/>
                <w:szCs w:val="21"/>
              </w:rPr>
            </w:pPr>
          </w:p>
        </w:tc>
        <w:tc>
          <w:tcPr>
            <w:tcW w:w="217" w:type="dxa"/>
          </w:tcPr>
          <w:p w14:paraId="34E77A52" w14:textId="77777777" w:rsidR="002C0FD9" w:rsidRPr="00CA25CF" w:rsidRDefault="002C0FD9" w:rsidP="00CA25CF">
            <w:pPr>
              <w:rPr>
                <w:rFonts w:cs="Arial"/>
                <w:color w:val="FF0000"/>
                <w:sz w:val="21"/>
                <w:szCs w:val="21"/>
              </w:rPr>
            </w:pPr>
          </w:p>
        </w:tc>
        <w:tc>
          <w:tcPr>
            <w:tcW w:w="217" w:type="dxa"/>
          </w:tcPr>
          <w:p w14:paraId="2F4C5915" w14:textId="77777777" w:rsidR="002C0FD9" w:rsidRPr="00CA25CF" w:rsidRDefault="002C0FD9" w:rsidP="00CA25CF">
            <w:pPr>
              <w:rPr>
                <w:rFonts w:cs="Arial"/>
                <w:color w:val="FF0000"/>
                <w:sz w:val="21"/>
                <w:szCs w:val="21"/>
              </w:rPr>
            </w:pPr>
          </w:p>
        </w:tc>
        <w:tc>
          <w:tcPr>
            <w:tcW w:w="217" w:type="dxa"/>
          </w:tcPr>
          <w:p w14:paraId="1F024470" w14:textId="77777777" w:rsidR="002C0FD9" w:rsidRPr="00CA25CF" w:rsidRDefault="002C0FD9" w:rsidP="00CA25CF">
            <w:pPr>
              <w:rPr>
                <w:rFonts w:cs="Arial"/>
                <w:color w:val="FF0000"/>
                <w:sz w:val="21"/>
                <w:szCs w:val="21"/>
              </w:rPr>
            </w:pPr>
          </w:p>
        </w:tc>
        <w:tc>
          <w:tcPr>
            <w:tcW w:w="217" w:type="dxa"/>
          </w:tcPr>
          <w:p w14:paraId="35082CF1" w14:textId="77777777" w:rsidR="002C0FD9" w:rsidRPr="00CA25CF" w:rsidRDefault="002C0FD9" w:rsidP="00CA25CF">
            <w:pPr>
              <w:rPr>
                <w:rFonts w:cs="Arial"/>
                <w:color w:val="FF0000"/>
                <w:sz w:val="21"/>
                <w:szCs w:val="21"/>
              </w:rPr>
            </w:pPr>
          </w:p>
        </w:tc>
        <w:tc>
          <w:tcPr>
            <w:tcW w:w="217" w:type="dxa"/>
          </w:tcPr>
          <w:p w14:paraId="15B0F27E" w14:textId="77777777" w:rsidR="002C0FD9" w:rsidRPr="00CA25CF" w:rsidRDefault="002C0FD9" w:rsidP="00CA25CF">
            <w:pPr>
              <w:rPr>
                <w:rFonts w:cs="Arial"/>
                <w:color w:val="FF0000"/>
                <w:sz w:val="21"/>
                <w:szCs w:val="21"/>
              </w:rPr>
            </w:pPr>
          </w:p>
        </w:tc>
      </w:tr>
      <w:tr w:rsidR="002C0FD9" w:rsidRPr="00A16219" w14:paraId="1ECFD9C8" w14:textId="24A05A1F" w:rsidTr="002C0FD9">
        <w:trPr>
          <w:trHeight w:val="635"/>
        </w:trPr>
        <w:tc>
          <w:tcPr>
            <w:tcW w:w="515" w:type="dxa"/>
          </w:tcPr>
          <w:p w14:paraId="21AB258C" w14:textId="77777777" w:rsidR="002C0FD9" w:rsidRPr="00CA25CF" w:rsidRDefault="002C0FD9" w:rsidP="00CA25CF">
            <w:pPr>
              <w:rPr>
                <w:rFonts w:cs="Arial"/>
                <w:color w:val="FF0000"/>
                <w:sz w:val="21"/>
                <w:szCs w:val="21"/>
              </w:rPr>
            </w:pPr>
          </w:p>
        </w:tc>
        <w:tc>
          <w:tcPr>
            <w:tcW w:w="217" w:type="dxa"/>
          </w:tcPr>
          <w:p w14:paraId="31BBBB0A" w14:textId="77777777" w:rsidR="002C0FD9" w:rsidRPr="00CA25CF" w:rsidRDefault="002C0FD9" w:rsidP="00CA25CF">
            <w:pPr>
              <w:rPr>
                <w:rFonts w:cs="Arial"/>
                <w:color w:val="FF0000"/>
                <w:sz w:val="21"/>
                <w:szCs w:val="21"/>
              </w:rPr>
            </w:pPr>
          </w:p>
        </w:tc>
        <w:tc>
          <w:tcPr>
            <w:tcW w:w="217" w:type="dxa"/>
          </w:tcPr>
          <w:p w14:paraId="3DCC2FE5" w14:textId="6F447EA7" w:rsidR="002C0FD9" w:rsidRPr="00CA25CF" w:rsidRDefault="002C0FD9" w:rsidP="00CA25CF">
            <w:pPr>
              <w:rPr>
                <w:rFonts w:cs="Arial"/>
                <w:color w:val="FF0000"/>
                <w:sz w:val="21"/>
                <w:szCs w:val="21"/>
              </w:rPr>
            </w:pPr>
          </w:p>
        </w:tc>
        <w:tc>
          <w:tcPr>
            <w:tcW w:w="217" w:type="dxa"/>
          </w:tcPr>
          <w:p w14:paraId="5D563B55" w14:textId="77777777" w:rsidR="002C0FD9" w:rsidRPr="00CA25CF" w:rsidRDefault="002C0FD9" w:rsidP="00CA25CF">
            <w:pPr>
              <w:rPr>
                <w:rFonts w:cs="Arial"/>
                <w:color w:val="FF0000"/>
                <w:sz w:val="21"/>
                <w:szCs w:val="21"/>
              </w:rPr>
            </w:pPr>
          </w:p>
        </w:tc>
        <w:tc>
          <w:tcPr>
            <w:tcW w:w="217" w:type="dxa"/>
          </w:tcPr>
          <w:p w14:paraId="502F0F3C" w14:textId="77777777" w:rsidR="002C0FD9" w:rsidRPr="00CA25CF" w:rsidRDefault="002C0FD9" w:rsidP="00CA25CF">
            <w:pPr>
              <w:rPr>
                <w:rFonts w:cs="Arial"/>
                <w:color w:val="FF0000"/>
                <w:sz w:val="21"/>
                <w:szCs w:val="21"/>
              </w:rPr>
            </w:pPr>
          </w:p>
        </w:tc>
        <w:tc>
          <w:tcPr>
            <w:tcW w:w="217" w:type="dxa"/>
          </w:tcPr>
          <w:p w14:paraId="38684518" w14:textId="77777777" w:rsidR="002C0FD9" w:rsidRPr="00CA25CF" w:rsidRDefault="002C0FD9" w:rsidP="00CA25CF">
            <w:pPr>
              <w:rPr>
                <w:rFonts w:cs="Arial"/>
                <w:color w:val="FF0000"/>
                <w:sz w:val="21"/>
                <w:szCs w:val="21"/>
              </w:rPr>
            </w:pPr>
          </w:p>
        </w:tc>
        <w:tc>
          <w:tcPr>
            <w:tcW w:w="217" w:type="dxa"/>
          </w:tcPr>
          <w:p w14:paraId="132F6A76" w14:textId="77777777" w:rsidR="002C0FD9" w:rsidRPr="00CA25CF" w:rsidRDefault="002C0FD9" w:rsidP="00CA25CF">
            <w:pPr>
              <w:rPr>
                <w:rFonts w:cs="Arial"/>
                <w:color w:val="FF0000"/>
                <w:sz w:val="21"/>
                <w:szCs w:val="21"/>
              </w:rPr>
            </w:pPr>
          </w:p>
        </w:tc>
        <w:tc>
          <w:tcPr>
            <w:tcW w:w="217" w:type="dxa"/>
          </w:tcPr>
          <w:p w14:paraId="1D13E1F3" w14:textId="77777777" w:rsidR="002C0FD9" w:rsidRPr="00CA25CF" w:rsidRDefault="002C0FD9" w:rsidP="00CA25CF">
            <w:pPr>
              <w:rPr>
                <w:rFonts w:cs="Arial"/>
                <w:color w:val="FF0000"/>
                <w:sz w:val="21"/>
                <w:szCs w:val="21"/>
              </w:rPr>
            </w:pPr>
          </w:p>
        </w:tc>
        <w:tc>
          <w:tcPr>
            <w:tcW w:w="217" w:type="dxa"/>
          </w:tcPr>
          <w:p w14:paraId="65E01CD0" w14:textId="77777777" w:rsidR="002C0FD9" w:rsidRPr="00CA25CF" w:rsidRDefault="002C0FD9" w:rsidP="00CA25CF">
            <w:pPr>
              <w:rPr>
                <w:rFonts w:cs="Arial"/>
                <w:color w:val="FF0000"/>
                <w:sz w:val="21"/>
                <w:szCs w:val="21"/>
              </w:rPr>
            </w:pPr>
          </w:p>
        </w:tc>
        <w:tc>
          <w:tcPr>
            <w:tcW w:w="217" w:type="dxa"/>
          </w:tcPr>
          <w:p w14:paraId="61BE5152" w14:textId="77777777" w:rsidR="002C0FD9" w:rsidRPr="00CA25CF" w:rsidRDefault="002C0FD9" w:rsidP="00CA25CF">
            <w:pPr>
              <w:rPr>
                <w:rFonts w:cs="Arial"/>
                <w:color w:val="FF0000"/>
                <w:sz w:val="21"/>
                <w:szCs w:val="21"/>
              </w:rPr>
            </w:pPr>
          </w:p>
        </w:tc>
        <w:tc>
          <w:tcPr>
            <w:tcW w:w="217" w:type="dxa"/>
          </w:tcPr>
          <w:p w14:paraId="5D4296FF" w14:textId="77777777" w:rsidR="002C0FD9" w:rsidRPr="00CA25CF" w:rsidRDefault="002C0FD9" w:rsidP="00CA25CF">
            <w:pPr>
              <w:rPr>
                <w:rFonts w:cs="Arial"/>
                <w:color w:val="FF0000"/>
                <w:sz w:val="21"/>
                <w:szCs w:val="21"/>
              </w:rPr>
            </w:pPr>
          </w:p>
        </w:tc>
        <w:tc>
          <w:tcPr>
            <w:tcW w:w="217" w:type="dxa"/>
          </w:tcPr>
          <w:p w14:paraId="5EA7972A" w14:textId="77777777" w:rsidR="002C0FD9" w:rsidRPr="00CA25CF" w:rsidRDefault="002C0FD9" w:rsidP="00CA25CF">
            <w:pPr>
              <w:rPr>
                <w:rFonts w:cs="Arial"/>
                <w:color w:val="FF0000"/>
                <w:sz w:val="21"/>
                <w:szCs w:val="21"/>
              </w:rPr>
            </w:pPr>
          </w:p>
        </w:tc>
        <w:tc>
          <w:tcPr>
            <w:tcW w:w="217" w:type="dxa"/>
          </w:tcPr>
          <w:p w14:paraId="5E5F20FD" w14:textId="77777777" w:rsidR="002C0FD9" w:rsidRPr="00CA25CF" w:rsidRDefault="002C0FD9" w:rsidP="00CA25CF">
            <w:pPr>
              <w:rPr>
                <w:rFonts w:cs="Arial"/>
                <w:color w:val="FF0000"/>
                <w:sz w:val="21"/>
                <w:szCs w:val="21"/>
              </w:rPr>
            </w:pPr>
          </w:p>
        </w:tc>
        <w:tc>
          <w:tcPr>
            <w:tcW w:w="217" w:type="dxa"/>
          </w:tcPr>
          <w:p w14:paraId="028177FC" w14:textId="77777777" w:rsidR="002C0FD9" w:rsidRPr="00CA25CF" w:rsidRDefault="002C0FD9" w:rsidP="00CA25CF">
            <w:pPr>
              <w:rPr>
                <w:rFonts w:cs="Arial"/>
                <w:color w:val="FF0000"/>
                <w:sz w:val="21"/>
                <w:szCs w:val="21"/>
              </w:rPr>
            </w:pPr>
          </w:p>
        </w:tc>
        <w:tc>
          <w:tcPr>
            <w:tcW w:w="217" w:type="dxa"/>
          </w:tcPr>
          <w:p w14:paraId="3BE4AB81" w14:textId="77777777" w:rsidR="002C0FD9" w:rsidRPr="00CA25CF" w:rsidRDefault="002C0FD9" w:rsidP="00CA25CF">
            <w:pPr>
              <w:rPr>
                <w:rFonts w:cs="Arial"/>
                <w:color w:val="FF0000"/>
                <w:sz w:val="21"/>
                <w:szCs w:val="21"/>
              </w:rPr>
            </w:pPr>
          </w:p>
        </w:tc>
        <w:tc>
          <w:tcPr>
            <w:tcW w:w="217" w:type="dxa"/>
          </w:tcPr>
          <w:p w14:paraId="1A6E8A57" w14:textId="117F90BB" w:rsidR="002C0FD9" w:rsidRPr="00CA25CF" w:rsidRDefault="002C0FD9" w:rsidP="00CA25CF">
            <w:pPr>
              <w:rPr>
                <w:rFonts w:cs="Arial"/>
                <w:color w:val="FF0000"/>
                <w:sz w:val="21"/>
                <w:szCs w:val="21"/>
              </w:rPr>
            </w:pPr>
          </w:p>
        </w:tc>
        <w:tc>
          <w:tcPr>
            <w:tcW w:w="217" w:type="dxa"/>
          </w:tcPr>
          <w:p w14:paraId="1DBDF051" w14:textId="77777777" w:rsidR="002C0FD9" w:rsidRPr="00CA25CF" w:rsidRDefault="002C0FD9" w:rsidP="00CA25CF">
            <w:pPr>
              <w:rPr>
                <w:rFonts w:cs="Arial"/>
                <w:color w:val="FF0000"/>
                <w:sz w:val="21"/>
                <w:szCs w:val="21"/>
              </w:rPr>
            </w:pPr>
          </w:p>
        </w:tc>
        <w:tc>
          <w:tcPr>
            <w:tcW w:w="217" w:type="dxa"/>
          </w:tcPr>
          <w:p w14:paraId="1AB91C8F" w14:textId="77777777" w:rsidR="002C0FD9" w:rsidRPr="00CA25CF" w:rsidRDefault="002C0FD9" w:rsidP="00CA25CF">
            <w:pPr>
              <w:rPr>
                <w:rFonts w:cs="Arial"/>
                <w:color w:val="FF0000"/>
                <w:sz w:val="21"/>
                <w:szCs w:val="21"/>
              </w:rPr>
            </w:pPr>
          </w:p>
        </w:tc>
        <w:tc>
          <w:tcPr>
            <w:tcW w:w="217" w:type="dxa"/>
          </w:tcPr>
          <w:p w14:paraId="4A895837" w14:textId="77777777" w:rsidR="002C0FD9" w:rsidRPr="00CA25CF" w:rsidRDefault="002C0FD9" w:rsidP="00CA25CF">
            <w:pPr>
              <w:rPr>
                <w:rFonts w:cs="Arial"/>
                <w:color w:val="FF0000"/>
                <w:sz w:val="21"/>
                <w:szCs w:val="21"/>
              </w:rPr>
            </w:pPr>
          </w:p>
        </w:tc>
        <w:tc>
          <w:tcPr>
            <w:tcW w:w="217" w:type="dxa"/>
          </w:tcPr>
          <w:p w14:paraId="120A0DA6" w14:textId="77777777" w:rsidR="002C0FD9" w:rsidRPr="00CA25CF" w:rsidRDefault="002C0FD9" w:rsidP="00CA25CF">
            <w:pPr>
              <w:rPr>
                <w:rFonts w:cs="Arial"/>
                <w:color w:val="FF0000"/>
                <w:sz w:val="21"/>
                <w:szCs w:val="21"/>
              </w:rPr>
            </w:pPr>
          </w:p>
        </w:tc>
        <w:tc>
          <w:tcPr>
            <w:tcW w:w="217" w:type="dxa"/>
          </w:tcPr>
          <w:p w14:paraId="26BA60B7" w14:textId="77777777" w:rsidR="002C0FD9" w:rsidRPr="00CA25CF" w:rsidRDefault="002C0FD9" w:rsidP="00CA25CF">
            <w:pPr>
              <w:rPr>
                <w:rFonts w:cs="Arial"/>
                <w:color w:val="FF0000"/>
                <w:sz w:val="21"/>
                <w:szCs w:val="21"/>
              </w:rPr>
            </w:pPr>
          </w:p>
        </w:tc>
        <w:tc>
          <w:tcPr>
            <w:tcW w:w="217" w:type="dxa"/>
          </w:tcPr>
          <w:p w14:paraId="571D03ED" w14:textId="77777777" w:rsidR="002C0FD9" w:rsidRPr="00CA25CF" w:rsidRDefault="002C0FD9" w:rsidP="00CA25CF">
            <w:pPr>
              <w:rPr>
                <w:rFonts w:cs="Arial"/>
                <w:color w:val="FF0000"/>
                <w:sz w:val="21"/>
                <w:szCs w:val="21"/>
              </w:rPr>
            </w:pPr>
          </w:p>
        </w:tc>
        <w:tc>
          <w:tcPr>
            <w:tcW w:w="217" w:type="dxa"/>
          </w:tcPr>
          <w:p w14:paraId="36AE26E9" w14:textId="77777777" w:rsidR="002C0FD9" w:rsidRPr="00CA25CF" w:rsidRDefault="002C0FD9" w:rsidP="00CA25CF">
            <w:pPr>
              <w:rPr>
                <w:rFonts w:cs="Arial"/>
                <w:color w:val="FF0000"/>
                <w:sz w:val="21"/>
                <w:szCs w:val="21"/>
              </w:rPr>
            </w:pPr>
          </w:p>
        </w:tc>
        <w:tc>
          <w:tcPr>
            <w:tcW w:w="217" w:type="dxa"/>
          </w:tcPr>
          <w:p w14:paraId="521795B4" w14:textId="77777777" w:rsidR="002C0FD9" w:rsidRPr="00CA25CF" w:rsidRDefault="002C0FD9" w:rsidP="00CA25CF">
            <w:pPr>
              <w:rPr>
                <w:rFonts w:cs="Arial"/>
                <w:color w:val="FF0000"/>
                <w:sz w:val="21"/>
                <w:szCs w:val="21"/>
              </w:rPr>
            </w:pPr>
          </w:p>
        </w:tc>
        <w:tc>
          <w:tcPr>
            <w:tcW w:w="217" w:type="dxa"/>
          </w:tcPr>
          <w:p w14:paraId="6DD70B28" w14:textId="77777777" w:rsidR="002C0FD9" w:rsidRPr="00CA25CF" w:rsidRDefault="002C0FD9" w:rsidP="00CA25CF">
            <w:pPr>
              <w:rPr>
                <w:rFonts w:cs="Arial"/>
                <w:color w:val="FF0000"/>
                <w:sz w:val="21"/>
                <w:szCs w:val="21"/>
              </w:rPr>
            </w:pPr>
          </w:p>
        </w:tc>
        <w:tc>
          <w:tcPr>
            <w:tcW w:w="217" w:type="dxa"/>
          </w:tcPr>
          <w:p w14:paraId="6DD3E587" w14:textId="77777777" w:rsidR="002C0FD9" w:rsidRPr="00CA25CF" w:rsidRDefault="002C0FD9" w:rsidP="00CA25CF">
            <w:pPr>
              <w:rPr>
                <w:rFonts w:cs="Arial"/>
                <w:color w:val="FF0000"/>
                <w:sz w:val="21"/>
                <w:szCs w:val="21"/>
              </w:rPr>
            </w:pPr>
          </w:p>
        </w:tc>
        <w:tc>
          <w:tcPr>
            <w:tcW w:w="217" w:type="dxa"/>
          </w:tcPr>
          <w:p w14:paraId="751970BD" w14:textId="77777777" w:rsidR="002C0FD9" w:rsidRPr="00CA25CF" w:rsidRDefault="002C0FD9" w:rsidP="00CA25CF">
            <w:pPr>
              <w:rPr>
                <w:rFonts w:cs="Arial"/>
                <w:color w:val="FF0000"/>
                <w:sz w:val="21"/>
                <w:szCs w:val="21"/>
              </w:rPr>
            </w:pPr>
          </w:p>
        </w:tc>
        <w:tc>
          <w:tcPr>
            <w:tcW w:w="217" w:type="dxa"/>
          </w:tcPr>
          <w:p w14:paraId="6C06F6DF" w14:textId="77777777" w:rsidR="002C0FD9" w:rsidRPr="00CA25CF" w:rsidRDefault="002C0FD9" w:rsidP="00CA25CF">
            <w:pPr>
              <w:rPr>
                <w:rFonts w:cs="Arial"/>
                <w:color w:val="FF0000"/>
                <w:sz w:val="21"/>
                <w:szCs w:val="21"/>
              </w:rPr>
            </w:pPr>
          </w:p>
        </w:tc>
        <w:tc>
          <w:tcPr>
            <w:tcW w:w="217" w:type="dxa"/>
          </w:tcPr>
          <w:p w14:paraId="6239BEB9" w14:textId="77777777" w:rsidR="002C0FD9" w:rsidRPr="00CA25CF" w:rsidRDefault="002C0FD9" w:rsidP="00CA25CF">
            <w:pPr>
              <w:rPr>
                <w:rFonts w:cs="Arial"/>
                <w:color w:val="FF0000"/>
                <w:sz w:val="21"/>
                <w:szCs w:val="21"/>
              </w:rPr>
            </w:pPr>
          </w:p>
        </w:tc>
        <w:tc>
          <w:tcPr>
            <w:tcW w:w="217" w:type="dxa"/>
          </w:tcPr>
          <w:p w14:paraId="5C56A6D5" w14:textId="77777777" w:rsidR="002C0FD9" w:rsidRPr="00CA25CF" w:rsidRDefault="002C0FD9" w:rsidP="00CA25CF">
            <w:pPr>
              <w:rPr>
                <w:rFonts w:cs="Arial"/>
                <w:color w:val="FF0000"/>
                <w:sz w:val="21"/>
                <w:szCs w:val="21"/>
              </w:rPr>
            </w:pPr>
          </w:p>
        </w:tc>
        <w:tc>
          <w:tcPr>
            <w:tcW w:w="217" w:type="dxa"/>
          </w:tcPr>
          <w:p w14:paraId="034B1B3D" w14:textId="77777777" w:rsidR="002C0FD9" w:rsidRPr="00CA25CF" w:rsidRDefault="002C0FD9" w:rsidP="00CA25CF">
            <w:pPr>
              <w:rPr>
                <w:rFonts w:cs="Arial"/>
                <w:color w:val="FF0000"/>
                <w:sz w:val="21"/>
                <w:szCs w:val="21"/>
              </w:rPr>
            </w:pPr>
          </w:p>
        </w:tc>
        <w:tc>
          <w:tcPr>
            <w:tcW w:w="217" w:type="dxa"/>
          </w:tcPr>
          <w:p w14:paraId="7360AF2D" w14:textId="77777777" w:rsidR="002C0FD9" w:rsidRPr="00CA25CF" w:rsidRDefault="002C0FD9" w:rsidP="00CA25CF">
            <w:pPr>
              <w:rPr>
                <w:rFonts w:cs="Arial"/>
                <w:color w:val="FF0000"/>
                <w:sz w:val="21"/>
                <w:szCs w:val="21"/>
              </w:rPr>
            </w:pPr>
          </w:p>
        </w:tc>
        <w:tc>
          <w:tcPr>
            <w:tcW w:w="217" w:type="dxa"/>
          </w:tcPr>
          <w:p w14:paraId="5F2D3E25" w14:textId="77777777" w:rsidR="002C0FD9" w:rsidRPr="00CA25CF" w:rsidRDefault="002C0FD9" w:rsidP="00CA25CF">
            <w:pPr>
              <w:rPr>
                <w:rFonts w:cs="Arial"/>
                <w:color w:val="FF0000"/>
                <w:sz w:val="21"/>
                <w:szCs w:val="21"/>
              </w:rPr>
            </w:pPr>
          </w:p>
        </w:tc>
        <w:tc>
          <w:tcPr>
            <w:tcW w:w="217" w:type="dxa"/>
          </w:tcPr>
          <w:p w14:paraId="65B5F851" w14:textId="77777777" w:rsidR="002C0FD9" w:rsidRPr="00CA25CF" w:rsidRDefault="002C0FD9" w:rsidP="00CA25CF">
            <w:pPr>
              <w:rPr>
                <w:rFonts w:cs="Arial"/>
                <w:color w:val="FF0000"/>
                <w:sz w:val="21"/>
                <w:szCs w:val="21"/>
              </w:rPr>
            </w:pPr>
          </w:p>
        </w:tc>
        <w:tc>
          <w:tcPr>
            <w:tcW w:w="217" w:type="dxa"/>
          </w:tcPr>
          <w:p w14:paraId="11042454" w14:textId="77777777" w:rsidR="002C0FD9" w:rsidRPr="00CA25CF" w:rsidRDefault="002C0FD9" w:rsidP="00CA25CF">
            <w:pPr>
              <w:rPr>
                <w:rFonts w:cs="Arial"/>
                <w:color w:val="FF0000"/>
                <w:sz w:val="21"/>
                <w:szCs w:val="21"/>
              </w:rPr>
            </w:pPr>
          </w:p>
        </w:tc>
        <w:tc>
          <w:tcPr>
            <w:tcW w:w="217" w:type="dxa"/>
          </w:tcPr>
          <w:p w14:paraId="66F26961" w14:textId="77777777" w:rsidR="002C0FD9" w:rsidRPr="00CA25CF" w:rsidRDefault="002C0FD9" w:rsidP="00CA25CF">
            <w:pPr>
              <w:rPr>
                <w:rFonts w:cs="Arial"/>
                <w:color w:val="FF0000"/>
                <w:sz w:val="21"/>
                <w:szCs w:val="21"/>
              </w:rPr>
            </w:pPr>
          </w:p>
        </w:tc>
        <w:tc>
          <w:tcPr>
            <w:tcW w:w="217" w:type="dxa"/>
          </w:tcPr>
          <w:p w14:paraId="7CC19749" w14:textId="77777777" w:rsidR="002C0FD9" w:rsidRPr="00CA25CF" w:rsidRDefault="002C0FD9" w:rsidP="00CA25CF">
            <w:pPr>
              <w:rPr>
                <w:rFonts w:cs="Arial"/>
                <w:color w:val="FF0000"/>
                <w:sz w:val="21"/>
                <w:szCs w:val="21"/>
              </w:rPr>
            </w:pPr>
          </w:p>
        </w:tc>
        <w:tc>
          <w:tcPr>
            <w:tcW w:w="217" w:type="dxa"/>
          </w:tcPr>
          <w:p w14:paraId="29D5BEB0" w14:textId="77777777" w:rsidR="002C0FD9" w:rsidRPr="00CA25CF" w:rsidRDefault="002C0FD9" w:rsidP="00CA25CF">
            <w:pPr>
              <w:rPr>
                <w:rFonts w:cs="Arial"/>
                <w:color w:val="FF0000"/>
                <w:sz w:val="21"/>
                <w:szCs w:val="21"/>
              </w:rPr>
            </w:pPr>
          </w:p>
        </w:tc>
        <w:tc>
          <w:tcPr>
            <w:tcW w:w="217" w:type="dxa"/>
          </w:tcPr>
          <w:p w14:paraId="08012076" w14:textId="77777777" w:rsidR="002C0FD9" w:rsidRPr="00CA25CF" w:rsidRDefault="002C0FD9" w:rsidP="00CA25CF">
            <w:pPr>
              <w:rPr>
                <w:rFonts w:cs="Arial"/>
                <w:color w:val="FF0000"/>
                <w:sz w:val="21"/>
                <w:szCs w:val="21"/>
              </w:rPr>
            </w:pPr>
          </w:p>
        </w:tc>
        <w:tc>
          <w:tcPr>
            <w:tcW w:w="217" w:type="dxa"/>
          </w:tcPr>
          <w:p w14:paraId="2E46FD06" w14:textId="77777777" w:rsidR="002C0FD9" w:rsidRPr="00CA25CF" w:rsidRDefault="002C0FD9" w:rsidP="00CA25CF">
            <w:pPr>
              <w:rPr>
                <w:rFonts w:cs="Arial"/>
                <w:color w:val="FF0000"/>
                <w:sz w:val="21"/>
                <w:szCs w:val="21"/>
              </w:rPr>
            </w:pPr>
          </w:p>
        </w:tc>
        <w:tc>
          <w:tcPr>
            <w:tcW w:w="217" w:type="dxa"/>
          </w:tcPr>
          <w:p w14:paraId="7465A4D2" w14:textId="77777777" w:rsidR="002C0FD9" w:rsidRPr="00CA25CF" w:rsidRDefault="002C0FD9" w:rsidP="00CA25CF">
            <w:pPr>
              <w:rPr>
                <w:rFonts w:cs="Arial"/>
                <w:color w:val="FF0000"/>
                <w:sz w:val="21"/>
                <w:szCs w:val="21"/>
              </w:rPr>
            </w:pPr>
          </w:p>
        </w:tc>
        <w:tc>
          <w:tcPr>
            <w:tcW w:w="217" w:type="dxa"/>
          </w:tcPr>
          <w:p w14:paraId="7A70FDBA" w14:textId="77777777" w:rsidR="002C0FD9" w:rsidRPr="00CA25CF" w:rsidRDefault="002C0FD9" w:rsidP="00CA25CF">
            <w:pPr>
              <w:rPr>
                <w:rFonts w:cs="Arial"/>
                <w:color w:val="FF0000"/>
                <w:sz w:val="21"/>
                <w:szCs w:val="21"/>
              </w:rPr>
            </w:pPr>
          </w:p>
        </w:tc>
        <w:tc>
          <w:tcPr>
            <w:tcW w:w="217" w:type="dxa"/>
          </w:tcPr>
          <w:p w14:paraId="5BC2C8EC" w14:textId="77777777" w:rsidR="002C0FD9" w:rsidRPr="00CA25CF" w:rsidRDefault="002C0FD9" w:rsidP="00CA25CF">
            <w:pPr>
              <w:rPr>
                <w:rFonts w:cs="Arial"/>
                <w:color w:val="FF0000"/>
                <w:sz w:val="21"/>
                <w:szCs w:val="21"/>
              </w:rPr>
            </w:pPr>
          </w:p>
        </w:tc>
      </w:tr>
      <w:tr w:rsidR="002C0FD9" w:rsidRPr="00A16219" w14:paraId="46CCCDB4" w14:textId="05E6E1C4" w:rsidTr="002C0FD9">
        <w:trPr>
          <w:trHeight w:val="635"/>
        </w:trPr>
        <w:tc>
          <w:tcPr>
            <w:tcW w:w="515" w:type="dxa"/>
          </w:tcPr>
          <w:p w14:paraId="26E29178" w14:textId="77777777" w:rsidR="002C0FD9" w:rsidRPr="00CA25CF" w:rsidRDefault="002C0FD9" w:rsidP="00CA25CF">
            <w:pPr>
              <w:rPr>
                <w:rFonts w:cs="Arial"/>
                <w:color w:val="FF0000"/>
                <w:sz w:val="21"/>
                <w:szCs w:val="21"/>
              </w:rPr>
            </w:pPr>
          </w:p>
        </w:tc>
        <w:tc>
          <w:tcPr>
            <w:tcW w:w="217" w:type="dxa"/>
          </w:tcPr>
          <w:p w14:paraId="17386024" w14:textId="77777777" w:rsidR="002C0FD9" w:rsidRPr="00CA25CF" w:rsidRDefault="002C0FD9" w:rsidP="00CA25CF">
            <w:pPr>
              <w:rPr>
                <w:rFonts w:cs="Arial"/>
                <w:color w:val="FF0000"/>
                <w:sz w:val="21"/>
                <w:szCs w:val="21"/>
              </w:rPr>
            </w:pPr>
          </w:p>
        </w:tc>
        <w:tc>
          <w:tcPr>
            <w:tcW w:w="217" w:type="dxa"/>
          </w:tcPr>
          <w:p w14:paraId="5CF36AD4" w14:textId="34074D97" w:rsidR="002C0FD9" w:rsidRPr="00CA25CF" w:rsidRDefault="002C0FD9" w:rsidP="00CA25CF">
            <w:pPr>
              <w:rPr>
                <w:rFonts w:cs="Arial"/>
                <w:color w:val="FF0000"/>
                <w:sz w:val="21"/>
                <w:szCs w:val="21"/>
              </w:rPr>
            </w:pPr>
          </w:p>
        </w:tc>
        <w:tc>
          <w:tcPr>
            <w:tcW w:w="217" w:type="dxa"/>
          </w:tcPr>
          <w:p w14:paraId="015636BD" w14:textId="77777777" w:rsidR="002C0FD9" w:rsidRPr="00CA25CF" w:rsidRDefault="002C0FD9" w:rsidP="00CA25CF">
            <w:pPr>
              <w:rPr>
                <w:rFonts w:cs="Arial"/>
                <w:color w:val="FF0000"/>
                <w:sz w:val="21"/>
                <w:szCs w:val="21"/>
              </w:rPr>
            </w:pPr>
          </w:p>
        </w:tc>
        <w:tc>
          <w:tcPr>
            <w:tcW w:w="217" w:type="dxa"/>
          </w:tcPr>
          <w:p w14:paraId="637E9D77" w14:textId="77777777" w:rsidR="002C0FD9" w:rsidRPr="00CA25CF" w:rsidRDefault="002C0FD9" w:rsidP="00CA25CF">
            <w:pPr>
              <w:rPr>
                <w:rFonts w:cs="Arial"/>
                <w:color w:val="FF0000"/>
                <w:sz w:val="21"/>
                <w:szCs w:val="21"/>
              </w:rPr>
            </w:pPr>
          </w:p>
        </w:tc>
        <w:tc>
          <w:tcPr>
            <w:tcW w:w="217" w:type="dxa"/>
          </w:tcPr>
          <w:p w14:paraId="0B6BCFE7" w14:textId="77777777" w:rsidR="002C0FD9" w:rsidRPr="00CA25CF" w:rsidRDefault="002C0FD9" w:rsidP="00CA25CF">
            <w:pPr>
              <w:rPr>
                <w:rFonts w:cs="Arial"/>
                <w:color w:val="FF0000"/>
                <w:sz w:val="21"/>
                <w:szCs w:val="21"/>
              </w:rPr>
            </w:pPr>
          </w:p>
        </w:tc>
        <w:tc>
          <w:tcPr>
            <w:tcW w:w="217" w:type="dxa"/>
          </w:tcPr>
          <w:p w14:paraId="42137E8D" w14:textId="77777777" w:rsidR="002C0FD9" w:rsidRPr="00CA25CF" w:rsidRDefault="002C0FD9" w:rsidP="00CA25CF">
            <w:pPr>
              <w:rPr>
                <w:rFonts w:cs="Arial"/>
                <w:color w:val="FF0000"/>
                <w:sz w:val="21"/>
                <w:szCs w:val="21"/>
              </w:rPr>
            </w:pPr>
          </w:p>
        </w:tc>
        <w:tc>
          <w:tcPr>
            <w:tcW w:w="217" w:type="dxa"/>
          </w:tcPr>
          <w:p w14:paraId="00EAB274" w14:textId="77777777" w:rsidR="002C0FD9" w:rsidRPr="00CA25CF" w:rsidRDefault="002C0FD9" w:rsidP="00CA25CF">
            <w:pPr>
              <w:rPr>
                <w:rFonts w:cs="Arial"/>
                <w:color w:val="FF0000"/>
                <w:sz w:val="21"/>
                <w:szCs w:val="21"/>
              </w:rPr>
            </w:pPr>
          </w:p>
        </w:tc>
        <w:tc>
          <w:tcPr>
            <w:tcW w:w="217" w:type="dxa"/>
          </w:tcPr>
          <w:p w14:paraId="5B31DAED" w14:textId="77777777" w:rsidR="002C0FD9" w:rsidRPr="00CA25CF" w:rsidRDefault="002C0FD9" w:rsidP="00CA25CF">
            <w:pPr>
              <w:rPr>
                <w:rFonts w:cs="Arial"/>
                <w:color w:val="FF0000"/>
                <w:sz w:val="21"/>
                <w:szCs w:val="21"/>
              </w:rPr>
            </w:pPr>
          </w:p>
        </w:tc>
        <w:tc>
          <w:tcPr>
            <w:tcW w:w="217" w:type="dxa"/>
          </w:tcPr>
          <w:p w14:paraId="22A89DF3" w14:textId="77777777" w:rsidR="002C0FD9" w:rsidRPr="00CA25CF" w:rsidRDefault="002C0FD9" w:rsidP="00CA25CF">
            <w:pPr>
              <w:rPr>
                <w:rFonts w:cs="Arial"/>
                <w:color w:val="FF0000"/>
                <w:sz w:val="21"/>
                <w:szCs w:val="21"/>
              </w:rPr>
            </w:pPr>
          </w:p>
        </w:tc>
        <w:tc>
          <w:tcPr>
            <w:tcW w:w="217" w:type="dxa"/>
          </w:tcPr>
          <w:p w14:paraId="39C043AD" w14:textId="77777777" w:rsidR="002C0FD9" w:rsidRPr="00CA25CF" w:rsidRDefault="002C0FD9" w:rsidP="00CA25CF">
            <w:pPr>
              <w:rPr>
                <w:rFonts w:cs="Arial"/>
                <w:color w:val="FF0000"/>
                <w:sz w:val="21"/>
                <w:szCs w:val="21"/>
              </w:rPr>
            </w:pPr>
          </w:p>
        </w:tc>
        <w:tc>
          <w:tcPr>
            <w:tcW w:w="217" w:type="dxa"/>
          </w:tcPr>
          <w:p w14:paraId="1FF119DE" w14:textId="77777777" w:rsidR="002C0FD9" w:rsidRPr="00CA25CF" w:rsidRDefault="002C0FD9" w:rsidP="00CA25CF">
            <w:pPr>
              <w:rPr>
                <w:rFonts w:cs="Arial"/>
                <w:color w:val="FF0000"/>
                <w:sz w:val="21"/>
                <w:szCs w:val="21"/>
              </w:rPr>
            </w:pPr>
          </w:p>
        </w:tc>
        <w:tc>
          <w:tcPr>
            <w:tcW w:w="217" w:type="dxa"/>
          </w:tcPr>
          <w:p w14:paraId="7F7A2134" w14:textId="77777777" w:rsidR="002C0FD9" w:rsidRPr="00CA25CF" w:rsidRDefault="002C0FD9" w:rsidP="00CA25CF">
            <w:pPr>
              <w:rPr>
                <w:rFonts w:cs="Arial"/>
                <w:color w:val="FF0000"/>
                <w:sz w:val="21"/>
                <w:szCs w:val="21"/>
              </w:rPr>
            </w:pPr>
          </w:p>
        </w:tc>
        <w:tc>
          <w:tcPr>
            <w:tcW w:w="217" w:type="dxa"/>
          </w:tcPr>
          <w:p w14:paraId="0B58B3A4" w14:textId="77777777" w:rsidR="002C0FD9" w:rsidRPr="00CA25CF" w:rsidRDefault="002C0FD9" w:rsidP="00CA25CF">
            <w:pPr>
              <w:rPr>
                <w:rFonts w:cs="Arial"/>
                <w:color w:val="FF0000"/>
                <w:sz w:val="21"/>
                <w:szCs w:val="21"/>
              </w:rPr>
            </w:pPr>
          </w:p>
        </w:tc>
        <w:tc>
          <w:tcPr>
            <w:tcW w:w="217" w:type="dxa"/>
          </w:tcPr>
          <w:p w14:paraId="64F055B2" w14:textId="77777777" w:rsidR="002C0FD9" w:rsidRPr="00CA25CF" w:rsidRDefault="002C0FD9" w:rsidP="00CA25CF">
            <w:pPr>
              <w:rPr>
                <w:rFonts w:cs="Arial"/>
                <w:color w:val="FF0000"/>
                <w:sz w:val="21"/>
                <w:szCs w:val="21"/>
              </w:rPr>
            </w:pPr>
          </w:p>
        </w:tc>
        <w:tc>
          <w:tcPr>
            <w:tcW w:w="217" w:type="dxa"/>
          </w:tcPr>
          <w:p w14:paraId="3A696F46" w14:textId="142E9C60" w:rsidR="002C0FD9" w:rsidRPr="00CA25CF" w:rsidRDefault="002C0FD9" w:rsidP="00CA25CF">
            <w:pPr>
              <w:rPr>
                <w:rFonts w:cs="Arial"/>
                <w:color w:val="FF0000"/>
                <w:sz w:val="21"/>
                <w:szCs w:val="21"/>
              </w:rPr>
            </w:pPr>
          </w:p>
        </w:tc>
        <w:tc>
          <w:tcPr>
            <w:tcW w:w="217" w:type="dxa"/>
          </w:tcPr>
          <w:p w14:paraId="79DEB0DC" w14:textId="77777777" w:rsidR="002C0FD9" w:rsidRPr="00CA25CF" w:rsidRDefault="002C0FD9" w:rsidP="00CA25CF">
            <w:pPr>
              <w:rPr>
                <w:rFonts w:cs="Arial"/>
                <w:color w:val="FF0000"/>
                <w:sz w:val="21"/>
                <w:szCs w:val="21"/>
              </w:rPr>
            </w:pPr>
          </w:p>
        </w:tc>
        <w:tc>
          <w:tcPr>
            <w:tcW w:w="217" w:type="dxa"/>
          </w:tcPr>
          <w:p w14:paraId="6F33DF5B" w14:textId="77777777" w:rsidR="002C0FD9" w:rsidRPr="00CA25CF" w:rsidRDefault="002C0FD9" w:rsidP="00CA25CF">
            <w:pPr>
              <w:rPr>
                <w:rFonts w:cs="Arial"/>
                <w:color w:val="FF0000"/>
                <w:sz w:val="21"/>
                <w:szCs w:val="21"/>
              </w:rPr>
            </w:pPr>
          </w:p>
        </w:tc>
        <w:tc>
          <w:tcPr>
            <w:tcW w:w="217" w:type="dxa"/>
          </w:tcPr>
          <w:p w14:paraId="340C946E" w14:textId="77777777" w:rsidR="002C0FD9" w:rsidRPr="00CA25CF" w:rsidRDefault="002C0FD9" w:rsidP="00CA25CF">
            <w:pPr>
              <w:rPr>
                <w:rFonts w:cs="Arial"/>
                <w:color w:val="FF0000"/>
                <w:sz w:val="21"/>
                <w:szCs w:val="21"/>
              </w:rPr>
            </w:pPr>
          </w:p>
        </w:tc>
        <w:tc>
          <w:tcPr>
            <w:tcW w:w="217" w:type="dxa"/>
          </w:tcPr>
          <w:p w14:paraId="61A708DD" w14:textId="77777777" w:rsidR="002C0FD9" w:rsidRPr="00CA25CF" w:rsidRDefault="002C0FD9" w:rsidP="00CA25CF">
            <w:pPr>
              <w:rPr>
                <w:rFonts w:cs="Arial"/>
                <w:color w:val="FF0000"/>
                <w:sz w:val="21"/>
                <w:szCs w:val="21"/>
              </w:rPr>
            </w:pPr>
          </w:p>
        </w:tc>
        <w:tc>
          <w:tcPr>
            <w:tcW w:w="217" w:type="dxa"/>
          </w:tcPr>
          <w:p w14:paraId="600BFC5F" w14:textId="77777777" w:rsidR="002C0FD9" w:rsidRPr="00CA25CF" w:rsidRDefault="002C0FD9" w:rsidP="00CA25CF">
            <w:pPr>
              <w:rPr>
                <w:rFonts w:cs="Arial"/>
                <w:color w:val="FF0000"/>
                <w:sz w:val="21"/>
                <w:szCs w:val="21"/>
              </w:rPr>
            </w:pPr>
          </w:p>
        </w:tc>
        <w:tc>
          <w:tcPr>
            <w:tcW w:w="217" w:type="dxa"/>
          </w:tcPr>
          <w:p w14:paraId="46DDAC8A" w14:textId="77777777" w:rsidR="002C0FD9" w:rsidRPr="00CA25CF" w:rsidRDefault="002C0FD9" w:rsidP="00CA25CF">
            <w:pPr>
              <w:rPr>
                <w:rFonts w:cs="Arial"/>
                <w:color w:val="FF0000"/>
                <w:sz w:val="21"/>
                <w:szCs w:val="21"/>
              </w:rPr>
            </w:pPr>
          </w:p>
        </w:tc>
        <w:tc>
          <w:tcPr>
            <w:tcW w:w="217" w:type="dxa"/>
          </w:tcPr>
          <w:p w14:paraId="056FE14A" w14:textId="77777777" w:rsidR="002C0FD9" w:rsidRPr="00CA25CF" w:rsidRDefault="002C0FD9" w:rsidP="00CA25CF">
            <w:pPr>
              <w:rPr>
                <w:rFonts w:cs="Arial"/>
                <w:color w:val="FF0000"/>
                <w:sz w:val="21"/>
                <w:szCs w:val="21"/>
              </w:rPr>
            </w:pPr>
          </w:p>
        </w:tc>
        <w:tc>
          <w:tcPr>
            <w:tcW w:w="217" w:type="dxa"/>
          </w:tcPr>
          <w:p w14:paraId="3022997E" w14:textId="77777777" w:rsidR="002C0FD9" w:rsidRPr="00CA25CF" w:rsidRDefault="002C0FD9" w:rsidP="00CA25CF">
            <w:pPr>
              <w:rPr>
                <w:rFonts w:cs="Arial"/>
                <w:color w:val="FF0000"/>
                <w:sz w:val="21"/>
                <w:szCs w:val="21"/>
              </w:rPr>
            </w:pPr>
          </w:p>
        </w:tc>
        <w:tc>
          <w:tcPr>
            <w:tcW w:w="217" w:type="dxa"/>
          </w:tcPr>
          <w:p w14:paraId="3A6746CC" w14:textId="77777777" w:rsidR="002C0FD9" w:rsidRPr="00CA25CF" w:rsidRDefault="002C0FD9" w:rsidP="00CA25CF">
            <w:pPr>
              <w:rPr>
                <w:rFonts w:cs="Arial"/>
                <w:color w:val="FF0000"/>
                <w:sz w:val="21"/>
                <w:szCs w:val="21"/>
              </w:rPr>
            </w:pPr>
          </w:p>
        </w:tc>
        <w:tc>
          <w:tcPr>
            <w:tcW w:w="217" w:type="dxa"/>
          </w:tcPr>
          <w:p w14:paraId="2713D9A7" w14:textId="77777777" w:rsidR="002C0FD9" w:rsidRPr="00CA25CF" w:rsidRDefault="002C0FD9" w:rsidP="00CA25CF">
            <w:pPr>
              <w:rPr>
                <w:rFonts w:cs="Arial"/>
                <w:color w:val="FF0000"/>
                <w:sz w:val="21"/>
                <w:szCs w:val="21"/>
              </w:rPr>
            </w:pPr>
          </w:p>
        </w:tc>
        <w:tc>
          <w:tcPr>
            <w:tcW w:w="217" w:type="dxa"/>
          </w:tcPr>
          <w:p w14:paraId="3F919178" w14:textId="77777777" w:rsidR="002C0FD9" w:rsidRPr="00CA25CF" w:rsidRDefault="002C0FD9" w:rsidP="00CA25CF">
            <w:pPr>
              <w:rPr>
                <w:rFonts w:cs="Arial"/>
                <w:color w:val="FF0000"/>
                <w:sz w:val="21"/>
                <w:szCs w:val="21"/>
              </w:rPr>
            </w:pPr>
          </w:p>
        </w:tc>
        <w:tc>
          <w:tcPr>
            <w:tcW w:w="217" w:type="dxa"/>
          </w:tcPr>
          <w:p w14:paraId="4E866C1B" w14:textId="77777777" w:rsidR="002C0FD9" w:rsidRPr="00CA25CF" w:rsidRDefault="002C0FD9" w:rsidP="00CA25CF">
            <w:pPr>
              <w:rPr>
                <w:rFonts w:cs="Arial"/>
                <w:color w:val="FF0000"/>
                <w:sz w:val="21"/>
                <w:szCs w:val="21"/>
              </w:rPr>
            </w:pPr>
          </w:p>
        </w:tc>
        <w:tc>
          <w:tcPr>
            <w:tcW w:w="217" w:type="dxa"/>
          </w:tcPr>
          <w:p w14:paraId="15EE148A" w14:textId="77777777" w:rsidR="002C0FD9" w:rsidRPr="00CA25CF" w:rsidRDefault="002C0FD9" w:rsidP="00CA25CF">
            <w:pPr>
              <w:rPr>
                <w:rFonts w:cs="Arial"/>
                <w:color w:val="FF0000"/>
                <w:sz w:val="21"/>
                <w:szCs w:val="21"/>
              </w:rPr>
            </w:pPr>
          </w:p>
        </w:tc>
        <w:tc>
          <w:tcPr>
            <w:tcW w:w="217" w:type="dxa"/>
          </w:tcPr>
          <w:p w14:paraId="6996A59B" w14:textId="77777777" w:rsidR="002C0FD9" w:rsidRPr="00CA25CF" w:rsidRDefault="002C0FD9" w:rsidP="00CA25CF">
            <w:pPr>
              <w:rPr>
                <w:rFonts w:cs="Arial"/>
                <w:color w:val="FF0000"/>
                <w:sz w:val="21"/>
                <w:szCs w:val="21"/>
              </w:rPr>
            </w:pPr>
          </w:p>
        </w:tc>
        <w:tc>
          <w:tcPr>
            <w:tcW w:w="217" w:type="dxa"/>
          </w:tcPr>
          <w:p w14:paraId="535C2358" w14:textId="77777777" w:rsidR="002C0FD9" w:rsidRPr="00CA25CF" w:rsidRDefault="002C0FD9" w:rsidP="00CA25CF">
            <w:pPr>
              <w:rPr>
                <w:rFonts w:cs="Arial"/>
                <w:color w:val="FF0000"/>
                <w:sz w:val="21"/>
                <w:szCs w:val="21"/>
              </w:rPr>
            </w:pPr>
          </w:p>
        </w:tc>
        <w:tc>
          <w:tcPr>
            <w:tcW w:w="217" w:type="dxa"/>
          </w:tcPr>
          <w:p w14:paraId="10C4C05D" w14:textId="77777777" w:rsidR="002C0FD9" w:rsidRPr="00CA25CF" w:rsidRDefault="002C0FD9" w:rsidP="00CA25CF">
            <w:pPr>
              <w:rPr>
                <w:rFonts w:cs="Arial"/>
                <w:color w:val="FF0000"/>
                <w:sz w:val="21"/>
                <w:szCs w:val="21"/>
              </w:rPr>
            </w:pPr>
          </w:p>
        </w:tc>
        <w:tc>
          <w:tcPr>
            <w:tcW w:w="217" w:type="dxa"/>
          </w:tcPr>
          <w:p w14:paraId="671457A5" w14:textId="77777777" w:rsidR="002C0FD9" w:rsidRPr="00CA25CF" w:rsidRDefault="002C0FD9" w:rsidP="00CA25CF">
            <w:pPr>
              <w:rPr>
                <w:rFonts w:cs="Arial"/>
                <w:color w:val="FF0000"/>
                <w:sz w:val="21"/>
                <w:szCs w:val="21"/>
              </w:rPr>
            </w:pPr>
          </w:p>
        </w:tc>
        <w:tc>
          <w:tcPr>
            <w:tcW w:w="217" w:type="dxa"/>
          </w:tcPr>
          <w:p w14:paraId="1273470F" w14:textId="77777777" w:rsidR="002C0FD9" w:rsidRPr="00CA25CF" w:rsidRDefault="002C0FD9" w:rsidP="00CA25CF">
            <w:pPr>
              <w:rPr>
                <w:rFonts w:cs="Arial"/>
                <w:color w:val="FF0000"/>
                <w:sz w:val="21"/>
                <w:szCs w:val="21"/>
              </w:rPr>
            </w:pPr>
          </w:p>
        </w:tc>
        <w:tc>
          <w:tcPr>
            <w:tcW w:w="217" w:type="dxa"/>
          </w:tcPr>
          <w:p w14:paraId="6B79D66D" w14:textId="77777777" w:rsidR="002C0FD9" w:rsidRPr="00CA25CF" w:rsidRDefault="002C0FD9" w:rsidP="00CA25CF">
            <w:pPr>
              <w:rPr>
                <w:rFonts w:cs="Arial"/>
                <w:color w:val="FF0000"/>
                <w:sz w:val="21"/>
                <w:szCs w:val="21"/>
              </w:rPr>
            </w:pPr>
          </w:p>
        </w:tc>
        <w:tc>
          <w:tcPr>
            <w:tcW w:w="217" w:type="dxa"/>
          </w:tcPr>
          <w:p w14:paraId="3C23F47B" w14:textId="77777777" w:rsidR="002C0FD9" w:rsidRPr="00CA25CF" w:rsidRDefault="002C0FD9" w:rsidP="00CA25CF">
            <w:pPr>
              <w:rPr>
                <w:rFonts w:cs="Arial"/>
                <w:color w:val="FF0000"/>
                <w:sz w:val="21"/>
                <w:szCs w:val="21"/>
              </w:rPr>
            </w:pPr>
          </w:p>
        </w:tc>
        <w:tc>
          <w:tcPr>
            <w:tcW w:w="217" w:type="dxa"/>
          </w:tcPr>
          <w:p w14:paraId="4A66E747" w14:textId="77777777" w:rsidR="002C0FD9" w:rsidRPr="00CA25CF" w:rsidRDefault="002C0FD9" w:rsidP="00CA25CF">
            <w:pPr>
              <w:rPr>
                <w:rFonts w:cs="Arial"/>
                <w:color w:val="FF0000"/>
                <w:sz w:val="21"/>
                <w:szCs w:val="21"/>
              </w:rPr>
            </w:pPr>
          </w:p>
        </w:tc>
        <w:tc>
          <w:tcPr>
            <w:tcW w:w="217" w:type="dxa"/>
          </w:tcPr>
          <w:p w14:paraId="68C36B67" w14:textId="77777777" w:rsidR="002C0FD9" w:rsidRPr="00CA25CF" w:rsidRDefault="002C0FD9" w:rsidP="00CA25CF">
            <w:pPr>
              <w:rPr>
                <w:rFonts w:cs="Arial"/>
                <w:color w:val="FF0000"/>
                <w:sz w:val="21"/>
                <w:szCs w:val="21"/>
              </w:rPr>
            </w:pPr>
          </w:p>
        </w:tc>
        <w:tc>
          <w:tcPr>
            <w:tcW w:w="217" w:type="dxa"/>
          </w:tcPr>
          <w:p w14:paraId="2BFC3BBD" w14:textId="77777777" w:rsidR="002C0FD9" w:rsidRPr="00CA25CF" w:rsidRDefault="002C0FD9" w:rsidP="00CA25CF">
            <w:pPr>
              <w:rPr>
                <w:rFonts w:cs="Arial"/>
                <w:color w:val="FF0000"/>
                <w:sz w:val="21"/>
                <w:szCs w:val="21"/>
              </w:rPr>
            </w:pPr>
          </w:p>
        </w:tc>
        <w:tc>
          <w:tcPr>
            <w:tcW w:w="217" w:type="dxa"/>
          </w:tcPr>
          <w:p w14:paraId="068C9C07" w14:textId="77777777" w:rsidR="002C0FD9" w:rsidRPr="00CA25CF" w:rsidRDefault="002C0FD9" w:rsidP="00CA25CF">
            <w:pPr>
              <w:rPr>
                <w:rFonts w:cs="Arial"/>
                <w:color w:val="FF0000"/>
                <w:sz w:val="21"/>
                <w:szCs w:val="21"/>
              </w:rPr>
            </w:pPr>
          </w:p>
        </w:tc>
        <w:tc>
          <w:tcPr>
            <w:tcW w:w="217" w:type="dxa"/>
          </w:tcPr>
          <w:p w14:paraId="5B4A6E44" w14:textId="77777777" w:rsidR="002C0FD9" w:rsidRPr="00CA25CF" w:rsidRDefault="002C0FD9" w:rsidP="00CA25CF">
            <w:pPr>
              <w:rPr>
                <w:rFonts w:cs="Arial"/>
                <w:color w:val="FF0000"/>
                <w:sz w:val="21"/>
                <w:szCs w:val="21"/>
              </w:rPr>
            </w:pPr>
          </w:p>
        </w:tc>
        <w:tc>
          <w:tcPr>
            <w:tcW w:w="217" w:type="dxa"/>
          </w:tcPr>
          <w:p w14:paraId="5175099C" w14:textId="77777777" w:rsidR="002C0FD9" w:rsidRPr="00CA25CF" w:rsidRDefault="002C0FD9" w:rsidP="00CA25CF">
            <w:pPr>
              <w:rPr>
                <w:rFonts w:cs="Arial"/>
                <w:color w:val="FF0000"/>
                <w:sz w:val="21"/>
                <w:szCs w:val="21"/>
              </w:rPr>
            </w:pPr>
          </w:p>
        </w:tc>
        <w:tc>
          <w:tcPr>
            <w:tcW w:w="217" w:type="dxa"/>
          </w:tcPr>
          <w:p w14:paraId="11FE7686" w14:textId="77777777" w:rsidR="002C0FD9" w:rsidRPr="00CA25CF" w:rsidRDefault="002C0FD9" w:rsidP="00CA25CF">
            <w:pPr>
              <w:rPr>
                <w:rFonts w:cs="Arial"/>
                <w:color w:val="FF0000"/>
                <w:sz w:val="21"/>
                <w:szCs w:val="21"/>
              </w:rPr>
            </w:pPr>
          </w:p>
        </w:tc>
      </w:tr>
      <w:tr w:rsidR="002C0FD9" w:rsidRPr="00A16219" w14:paraId="085F8719" w14:textId="34F778D4" w:rsidTr="002C0FD9">
        <w:trPr>
          <w:trHeight w:val="635"/>
        </w:trPr>
        <w:tc>
          <w:tcPr>
            <w:tcW w:w="515" w:type="dxa"/>
          </w:tcPr>
          <w:p w14:paraId="712CD49A" w14:textId="77777777" w:rsidR="002C0FD9" w:rsidRPr="00CA25CF" w:rsidRDefault="002C0FD9" w:rsidP="00CA25CF">
            <w:pPr>
              <w:rPr>
                <w:rFonts w:cs="Arial"/>
                <w:color w:val="FF0000"/>
                <w:sz w:val="21"/>
                <w:szCs w:val="21"/>
              </w:rPr>
            </w:pPr>
          </w:p>
        </w:tc>
        <w:tc>
          <w:tcPr>
            <w:tcW w:w="217" w:type="dxa"/>
          </w:tcPr>
          <w:p w14:paraId="093BCDB7" w14:textId="77777777" w:rsidR="002C0FD9" w:rsidRPr="00CA25CF" w:rsidRDefault="002C0FD9" w:rsidP="00CA25CF">
            <w:pPr>
              <w:rPr>
                <w:rFonts w:cs="Arial"/>
                <w:color w:val="FF0000"/>
                <w:sz w:val="21"/>
                <w:szCs w:val="21"/>
              </w:rPr>
            </w:pPr>
          </w:p>
        </w:tc>
        <w:tc>
          <w:tcPr>
            <w:tcW w:w="217" w:type="dxa"/>
          </w:tcPr>
          <w:p w14:paraId="5FE50530" w14:textId="3B92C928" w:rsidR="002C0FD9" w:rsidRPr="00CA25CF" w:rsidRDefault="002C0FD9" w:rsidP="00CA25CF">
            <w:pPr>
              <w:rPr>
                <w:rFonts w:cs="Arial"/>
                <w:color w:val="FF0000"/>
                <w:sz w:val="21"/>
                <w:szCs w:val="21"/>
              </w:rPr>
            </w:pPr>
          </w:p>
        </w:tc>
        <w:tc>
          <w:tcPr>
            <w:tcW w:w="217" w:type="dxa"/>
          </w:tcPr>
          <w:p w14:paraId="7004FC32" w14:textId="77777777" w:rsidR="002C0FD9" w:rsidRPr="00CA25CF" w:rsidRDefault="002C0FD9" w:rsidP="00CA25CF">
            <w:pPr>
              <w:rPr>
                <w:rFonts w:cs="Arial"/>
                <w:color w:val="FF0000"/>
                <w:sz w:val="21"/>
                <w:szCs w:val="21"/>
              </w:rPr>
            </w:pPr>
          </w:p>
        </w:tc>
        <w:tc>
          <w:tcPr>
            <w:tcW w:w="217" w:type="dxa"/>
          </w:tcPr>
          <w:p w14:paraId="0A4BEA60" w14:textId="77777777" w:rsidR="002C0FD9" w:rsidRPr="00CA25CF" w:rsidRDefault="002C0FD9" w:rsidP="00CA25CF">
            <w:pPr>
              <w:rPr>
                <w:rFonts w:cs="Arial"/>
                <w:color w:val="FF0000"/>
                <w:sz w:val="21"/>
                <w:szCs w:val="21"/>
              </w:rPr>
            </w:pPr>
          </w:p>
        </w:tc>
        <w:tc>
          <w:tcPr>
            <w:tcW w:w="217" w:type="dxa"/>
          </w:tcPr>
          <w:p w14:paraId="1D6B210B" w14:textId="77777777" w:rsidR="002C0FD9" w:rsidRPr="00CA25CF" w:rsidRDefault="002C0FD9" w:rsidP="00CA25CF">
            <w:pPr>
              <w:rPr>
                <w:rFonts w:cs="Arial"/>
                <w:color w:val="FF0000"/>
                <w:sz w:val="21"/>
                <w:szCs w:val="21"/>
              </w:rPr>
            </w:pPr>
          </w:p>
        </w:tc>
        <w:tc>
          <w:tcPr>
            <w:tcW w:w="217" w:type="dxa"/>
          </w:tcPr>
          <w:p w14:paraId="31DF775E" w14:textId="77777777" w:rsidR="002C0FD9" w:rsidRPr="00CA25CF" w:rsidRDefault="002C0FD9" w:rsidP="00CA25CF">
            <w:pPr>
              <w:rPr>
                <w:rFonts w:cs="Arial"/>
                <w:color w:val="FF0000"/>
                <w:sz w:val="21"/>
                <w:szCs w:val="21"/>
              </w:rPr>
            </w:pPr>
          </w:p>
        </w:tc>
        <w:tc>
          <w:tcPr>
            <w:tcW w:w="217" w:type="dxa"/>
          </w:tcPr>
          <w:p w14:paraId="64F318DA" w14:textId="77777777" w:rsidR="002C0FD9" w:rsidRPr="00CA25CF" w:rsidRDefault="002C0FD9" w:rsidP="00CA25CF">
            <w:pPr>
              <w:rPr>
                <w:rFonts w:cs="Arial"/>
                <w:color w:val="FF0000"/>
                <w:sz w:val="21"/>
                <w:szCs w:val="21"/>
              </w:rPr>
            </w:pPr>
          </w:p>
        </w:tc>
        <w:tc>
          <w:tcPr>
            <w:tcW w:w="217" w:type="dxa"/>
          </w:tcPr>
          <w:p w14:paraId="5D0D5CE1" w14:textId="77777777" w:rsidR="002C0FD9" w:rsidRPr="00CA25CF" w:rsidRDefault="002C0FD9" w:rsidP="00CA25CF">
            <w:pPr>
              <w:rPr>
                <w:rFonts w:cs="Arial"/>
                <w:color w:val="FF0000"/>
                <w:sz w:val="21"/>
                <w:szCs w:val="21"/>
              </w:rPr>
            </w:pPr>
          </w:p>
        </w:tc>
        <w:tc>
          <w:tcPr>
            <w:tcW w:w="217" w:type="dxa"/>
          </w:tcPr>
          <w:p w14:paraId="64B0FCFA" w14:textId="77777777" w:rsidR="002C0FD9" w:rsidRPr="00CA25CF" w:rsidRDefault="002C0FD9" w:rsidP="00CA25CF">
            <w:pPr>
              <w:rPr>
                <w:rFonts w:cs="Arial"/>
                <w:color w:val="FF0000"/>
                <w:sz w:val="21"/>
                <w:szCs w:val="21"/>
              </w:rPr>
            </w:pPr>
          </w:p>
        </w:tc>
        <w:tc>
          <w:tcPr>
            <w:tcW w:w="217" w:type="dxa"/>
          </w:tcPr>
          <w:p w14:paraId="74E5E978" w14:textId="77777777" w:rsidR="002C0FD9" w:rsidRPr="00CA25CF" w:rsidRDefault="002C0FD9" w:rsidP="00CA25CF">
            <w:pPr>
              <w:rPr>
                <w:rFonts w:cs="Arial"/>
                <w:color w:val="FF0000"/>
                <w:sz w:val="21"/>
                <w:szCs w:val="21"/>
              </w:rPr>
            </w:pPr>
          </w:p>
        </w:tc>
        <w:tc>
          <w:tcPr>
            <w:tcW w:w="217" w:type="dxa"/>
          </w:tcPr>
          <w:p w14:paraId="333A9AF4" w14:textId="77777777" w:rsidR="002C0FD9" w:rsidRPr="00CA25CF" w:rsidRDefault="002C0FD9" w:rsidP="00CA25CF">
            <w:pPr>
              <w:rPr>
                <w:rFonts w:cs="Arial"/>
                <w:color w:val="FF0000"/>
                <w:sz w:val="21"/>
                <w:szCs w:val="21"/>
              </w:rPr>
            </w:pPr>
          </w:p>
        </w:tc>
        <w:tc>
          <w:tcPr>
            <w:tcW w:w="217" w:type="dxa"/>
          </w:tcPr>
          <w:p w14:paraId="6A574DF1" w14:textId="77777777" w:rsidR="002C0FD9" w:rsidRPr="00CA25CF" w:rsidRDefault="002C0FD9" w:rsidP="00CA25CF">
            <w:pPr>
              <w:rPr>
                <w:rFonts w:cs="Arial"/>
                <w:color w:val="FF0000"/>
                <w:sz w:val="21"/>
                <w:szCs w:val="21"/>
              </w:rPr>
            </w:pPr>
          </w:p>
        </w:tc>
        <w:tc>
          <w:tcPr>
            <w:tcW w:w="217" w:type="dxa"/>
          </w:tcPr>
          <w:p w14:paraId="32560572" w14:textId="77777777" w:rsidR="002C0FD9" w:rsidRPr="00CA25CF" w:rsidRDefault="002C0FD9" w:rsidP="00CA25CF">
            <w:pPr>
              <w:rPr>
                <w:rFonts w:cs="Arial"/>
                <w:color w:val="FF0000"/>
                <w:sz w:val="21"/>
                <w:szCs w:val="21"/>
              </w:rPr>
            </w:pPr>
          </w:p>
        </w:tc>
        <w:tc>
          <w:tcPr>
            <w:tcW w:w="217" w:type="dxa"/>
          </w:tcPr>
          <w:p w14:paraId="291BB9A9" w14:textId="77777777" w:rsidR="002C0FD9" w:rsidRPr="00CA25CF" w:rsidRDefault="002C0FD9" w:rsidP="00CA25CF">
            <w:pPr>
              <w:rPr>
                <w:rFonts w:cs="Arial"/>
                <w:color w:val="FF0000"/>
                <w:sz w:val="21"/>
                <w:szCs w:val="21"/>
              </w:rPr>
            </w:pPr>
          </w:p>
        </w:tc>
        <w:tc>
          <w:tcPr>
            <w:tcW w:w="217" w:type="dxa"/>
          </w:tcPr>
          <w:p w14:paraId="27AE5AAB" w14:textId="77777777" w:rsidR="002C0FD9" w:rsidRPr="00CA25CF" w:rsidRDefault="002C0FD9" w:rsidP="00CA25CF">
            <w:pPr>
              <w:rPr>
                <w:rFonts w:cs="Arial"/>
                <w:color w:val="FF0000"/>
                <w:sz w:val="21"/>
                <w:szCs w:val="21"/>
              </w:rPr>
            </w:pPr>
          </w:p>
        </w:tc>
        <w:tc>
          <w:tcPr>
            <w:tcW w:w="217" w:type="dxa"/>
          </w:tcPr>
          <w:p w14:paraId="66D91687" w14:textId="77777777" w:rsidR="002C0FD9" w:rsidRPr="00CA25CF" w:rsidRDefault="002C0FD9" w:rsidP="00CA25CF">
            <w:pPr>
              <w:rPr>
                <w:rFonts w:cs="Arial"/>
                <w:color w:val="FF0000"/>
                <w:sz w:val="21"/>
                <w:szCs w:val="21"/>
              </w:rPr>
            </w:pPr>
          </w:p>
        </w:tc>
        <w:tc>
          <w:tcPr>
            <w:tcW w:w="217" w:type="dxa"/>
          </w:tcPr>
          <w:p w14:paraId="31423307" w14:textId="77777777" w:rsidR="002C0FD9" w:rsidRPr="00CA25CF" w:rsidRDefault="002C0FD9" w:rsidP="00CA25CF">
            <w:pPr>
              <w:rPr>
                <w:rFonts w:cs="Arial"/>
                <w:color w:val="FF0000"/>
                <w:sz w:val="21"/>
                <w:szCs w:val="21"/>
              </w:rPr>
            </w:pPr>
          </w:p>
        </w:tc>
        <w:tc>
          <w:tcPr>
            <w:tcW w:w="217" w:type="dxa"/>
          </w:tcPr>
          <w:p w14:paraId="53AC624B" w14:textId="77777777" w:rsidR="002C0FD9" w:rsidRPr="00CA25CF" w:rsidRDefault="002C0FD9" w:rsidP="00CA25CF">
            <w:pPr>
              <w:rPr>
                <w:rFonts w:cs="Arial"/>
                <w:color w:val="FF0000"/>
                <w:sz w:val="21"/>
                <w:szCs w:val="21"/>
              </w:rPr>
            </w:pPr>
          </w:p>
        </w:tc>
        <w:tc>
          <w:tcPr>
            <w:tcW w:w="217" w:type="dxa"/>
          </w:tcPr>
          <w:p w14:paraId="1743AD6B" w14:textId="77777777" w:rsidR="002C0FD9" w:rsidRPr="00CA25CF" w:rsidRDefault="002C0FD9" w:rsidP="00CA25CF">
            <w:pPr>
              <w:rPr>
                <w:rFonts w:cs="Arial"/>
                <w:color w:val="FF0000"/>
                <w:sz w:val="21"/>
                <w:szCs w:val="21"/>
              </w:rPr>
            </w:pPr>
          </w:p>
        </w:tc>
        <w:tc>
          <w:tcPr>
            <w:tcW w:w="217" w:type="dxa"/>
          </w:tcPr>
          <w:p w14:paraId="1A609101" w14:textId="77777777" w:rsidR="002C0FD9" w:rsidRPr="00CA25CF" w:rsidRDefault="002C0FD9" w:rsidP="00CA25CF">
            <w:pPr>
              <w:rPr>
                <w:rFonts w:cs="Arial"/>
                <w:color w:val="FF0000"/>
                <w:sz w:val="21"/>
                <w:szCs w:val="21"/>
              </w:rPr>
            </w:pPr>
          </w:p>
        </w:tc>
        <w:tc>
          <w:tcPr>
            <w:tcW w:w="217" w:type="dxa"/>
          </w:tcPr>
          <w:p w14:paraId="05A79082" w14:textId="77777777" w:rsidR="002C0FD9" w:rsidRPr="00CA25CF" w:rsidRDefault="002C0FD9" w:rsidP="00CA25CF">
            <w:pPr>
              <w:rPr>
                <w:rFonts w:cs="Arial"/>
                <w:color w:val="FF0000"/>
                <w:sz w:val="21"/>
                <w:szCs w:val="21"/>
              </w:rPr>
            </w:pPr>
          </w:p>
        </w:tc>
        <w:tc>
          <w:tcPr>
            <w:tcW w:w="217" w:type="dxa"/>
          </w:tcPr>
          <w:p w14:paraId="14E3295F" w14:textId="77777777" w:rsidR="002C0FD9" w:rsidRPr="00CA25CF" w:rsidRDefault="002C0FD9" w:rsidP="00CA25CF">
            <w:pPr>
              <w:rPr>
                <w:rFonts w:cs="Arial"/>
                <w:color w:val="FF0000"/>
                <w:sz w:val="21"/>
                <w:szCs w:val="21"/>
              </w:rPr>
            </w:pPr>
          </w:p>
        </w:tc>
        <w:tc>
          <w:tcPr>
            <w:tcW w:w="217" w:type="dxa"/>
          </w:tcPr>
          <w:p w14:paraId="69B6D882" w14:textId="77777777" w:rsidR="002C0FD9" w:rsidRPr="00CA25CF" w:rsidRDefault="002C0FD9" w:rsidP="00CA25CF">
            <w:pPr>
              <w:rPr>
                <w:rFonts w:cs="Arial"/>
                <w:color w:val="FF0000"/>
                <w:sz w:val="21"/>
                <w:szCs w:val="21"/>
              </w:rPr>
            </w:pPr>
          </w:p>
        </w:tc>
        <w:tc>
          <w:tcPr>
            <w:tcW w:w="217" w:type="dxa"/>
          </w:tcPr>
          <w:p w14:paraId="269CD981" w14:textId="77777777" w:rsidR="002C0FD9" w:rsidRPr="00CA25CF" w:rsidRDefault="002C0FD9" w:rsidP="00CA25CF">
            <w:pPr>
              <w:rPr>
                <w:rFonts w:cs="Arial"/>
                <w:color w:val="FF0000"/>
                <w:sz w:val="21"/>
                <w:szCs w:val="21"/>
              </w:rPr>
            </w:pPr>
          </w:p>
        </w:tc>
        <w:tc>
          <w:tcPr>
            <w:tcW w:w="217" w:type="dxa"/>
          </w:tcPr>
          <w:p w14:paraId="6A510161" w14:textId="77777777" w:rsidR="002C0FD9" w:rsidRPr="00CA25CF" w:rsidRDefault="002C0FD9" w:rsidP="00CA25CF">
            <w:pPr>
              <w:rPr>
                <w:rFonts w:cs="Arial"/>
                <w:color w:val="FF0000"/>
                <w:sz w:val="21"/>
                <w:szCs w:val="21"/>
              </w:rPr>
            </w:pPr>
          </w:p>
        </w:tc>
        <w:tc>
          <w:tcPr>
            <w:tcW w:w="217" w:type="dxa"/>
          </w:tcPr>
          <w:p w14:paraId="40AEC612" w14:textId="77777777" w:rsidR="002C0FD9" w:rsidRPr="00CA25CF" w:rsidRDefault="002C0FD9" w:rsidP="00CA25CF">
            <w:pPr>
              <w:rPr>
                <w:rFonts w:cs="Arial"/>
                <w:color w:val="FF0000"/>
                <w:sz w:val="21"/>
                <w:szCs w:val="21"/>
              </w:rPr>
            </w:pPr>
          </w:p>
        </w:tc>
        <w:tc>
          <w:tcPr>
            <w:tcW w:w="217" w:type="dxa"/>
          </w:tcPr>
          <w:p w14:paraId="0BF18698" w14:textId="77777777" w:rsidR="002C0FD9" w:rsidRPr="00CA25CF" w:rsidRDefault="002C0FD9" w:rsidP="00CA25CF">
            <w:pPr>
              <w:rPr>
                <w:rFonts w:cs="Arial"/>
                <w:color w:val="FF0000"/>
                <w:sz w:val="21"/>
                <w:szCs w:val="21"/>
              </w:rPr>
            </w:pPr>
          </w:p>
        </w:tc>
        <w:tc>
          <w:tcPr>
            <w:tcW w:w="217" w:type="dxa"/>
          </w:tcPr>
          <w:p w14:paraId="4BC537D4" w14:textId="77777777" w:rsidR="002C0FD9" w:rsidRPr="00CA25CF" w:rsidRDefault="002C0FD9" w:rsidP="00CA25CF">
            <w:pPr>
              <w:rPr>
                <w:rFonts w:cs="Arial"/>
                <w:color w:val="FF0000"/>
                <w:sz w:val="21"/>
                <w:szCs w:val="21"/>
              </w:rPr>
            </w:pPr>
          </w:p>
        </w:tc>
        <w:tc>
          <w:tcPr>
            <w:tcW w:w="217" w:type="dxa"/>
          </w:tcPr>
          <w:p w14:paraId="67FBAC36" w14:textId="77777777" w:rsidR="002C0FD9" w:rsidRPr="00CA25CF" w:rsidRDefault="002C0FD9" w:rsidP="00CA25CF">
            <w:pPr>
              <w:rPr>
                <w:rFonts w:cs="Arial"/>
                <w:color w:val="FF0000"/>
                <w:sz w:val="21"/>
                <w:szCs w:val="21"/>
              </w:rPr>
            </w:pPr>
          </w:p>
        </w:tc>
        <w:tc>
          <w:tcPr>
            <w:tcW w:w="217" w:type="dxa"/>
          </w:tcPr>
          <w:p w14:paraId="3D0A788C" w14:textId="77777777" w:rsidR="002C0FD9" w:rsidRPr="00CA25CF" w:rsidRDefault="002C0FD9" w:rsidP="00CA25CF">
            <w:pPr>
              <w:rPr>
                <w:rFonts w:cs="Arial"/>
                <w:color w:val="FF0000"/>
                <w:sz w:val="21"/>
                <w:szCs w:val="21"/>
              </w:rPr>
            </w:pPr>
          </w:p>
        </w:tc>
        <w:tc>
          <w:tcPr>
            <w:tcW w:w="217" w:type="dxa"/>
          </w:tcPr>
          <w:p w14:paraId="55BF6009" w14:textId="77777777" w:rsidR="002C0FD9" w:rsidRPr="00CA25CF" w:rsidRDefault="002C0FD9" w:rsidP="00CA25CF">
            <w:pPr>
              <w:rPr>
                <w:rFonts w:cs="Arial"/>
                <w:color w:val="FF0000"/>
                <w:sz w:val="21"/>
                <w:szCs w:val="21"/>
              </w:rPr>
            </w:pPr>
          </w:p>
        </w:tc>
        <w:tc>
          <w:tcPr>
            <w:tcW w:w="217" w:type="dxa"/>
          </w:tcPr>
          <w:p w14:paraId="29D4168F" w14:textId="77777777" w:rsidR="002C0FD9" w:rsidRPr="00CA25CF" w:rsidRDefault="002C0FD9" w:rsidP="00CA25CF">
            <w:pPr>
              <w:rPr>
                <w:rFonts w:cs="Arial"/>
                <w:color w:val="FF0000"/>
                <w:sz w:val="21"/>
                <w:szCs w:val="21"/>
              </w:rPr>
            </w:pPr>
          </w:p>
        </w:tc>
        <w:tc>
          <w:tcPr>
            <w:tcW w:w="217" w:type="dxa"/>
          </w:tcPr>
          <w:p w14:paraId="487224E5" w14:textId="77777777" w:rsidR="002C0FD9" w:rsidRPr="00CA25CF" w:rsidRDefault="002C0FD9" w:rsidP="00CA25CF">
            <w:pPr>
              <w:rPr>
                <w:rFonts w:cs="Arial"/>
                <w:color w:val="FF0000"/>
                <w:sz w:val="21"/>
                <w:szCs w:val="21"/>
              </w:rPr>
            </w:pPr>
          </w:p>
        </w:tc>
        <w:tc>
          <w:tcPr>
            <w:tcW w:w="217" w:type="dxa"/>
          </w:tcPr>
          <w:p w14:paraId="5DFE40D4" w14:textId="77777777" w:rsidR="002C0FD9" w:rsidRPr="00CA25CF" w:rsidRDefault="002C0FD9" w:rsidP="00CA25CF">
            <w:pPr>
              <w:rPr>
                <w:rFonts w:cs="Arial"/>
                <w:color w:val="FF0000"/>
                <w:sz w:val="21"/>
                <w:szCs w:val="21"/>
              </w:rPr>
            </w:pPr>
          </w:p>
        </w:tc>
        <w:tc>
          <w:tcPr>
            <w:tcW w:w="217" w:type="dxa"/>
          </w:tcPr>
          <w:p w14:paraId="7E09E479" w14:textId="77777777" w:rsidR="002C0FD9" w:rsidRPr="00CA25CF" w:rsidRDefault="002C0FD9" w:rsidP="00CA25CF">
            <w:pPr>
              <w:rPr>
                <w:rFonts w:cs="Arial"/>
                <w:color w:val="FF0000"/>
                <w:sz w:val="21"/>
                <w:szCs w:val="21"/>
              </w:rPr>
            </w:pPr>
          </w:p>
        </w:tc>
        <w:tc>
          <w:tcPr>
            <w:tcW w:w="217" w:type="dxa"/>
          </w:tcPr>
          <w:p w14:paraId="5C8EDF88" w14:textId="77777777" w:rsidR="002C0FD9" w:rsidRPr="00CA25CF" w:rsidRDefault="002C0FD9" w:rsidP="00CA25CF">
            <w:pPr>
              <w:rPr>
                <w:rFonts w:cs="Arial"/>
                <w:color w:val="FF0000"/>
                <w:sz w:val="21"/>
                <w:szCs w:val="21"/>
              </w:rPr>
            </w:pPr>
          </w:p>
        </w:tc>
        <w:tc>
          <w:tcPr>
            <w:tcW w:w="217" w:type="dxa"/>
          </w:tcPr>
          <w:p w14:paraId="70223BB2" w14:textId="77777777" w:rsidR="002C0FD9" w:rsidRPr="00CA25CF" w:rsidRDefault="002C0FD9" w:rsidP="00CA25CF">
            <w:pPr>
              <w:rPr>
                <w:rFonts w:cs="Arial"/>
                <w:color w:val="FF0000"/>
                <w:sz w:val="21"/>
                <w:szCs w:val="21"/>
              </w:rPr>
            </w:pPr>
          </w:p>
        </w:tc>
        <w:tc>
          <w:tcPr>
            <w:tcW w:w="217" w:type="dxa"/>
          </w:tcPr>
          <w:p w14:paraId="6C590CF4" w14:textId="77777777" w:rsidR="002C0FD9" w:rsidRPr="00CA25CF" w:rsidRDefault="002C0FD9" w:rsidP="00CA25CF">
            <w:pPr>
              <w:rPr>
                <w:rFonts w:cs="Arial"/>
                <w:color w:val="FF0000"/>
                <w:sz w:val="21"/>
                <w:szCs w:val="21"/>
              </w:rPr>
            </w:pPr>
          </w:p>
        </w:tc>
        <w:tc>
          <w:tcPr>
            <w:tcW w:w="217" w:type="dxa"/>
          </w:tcPr>
          <w:p w14:paraId="2F52DF0F" w14:textId="77777777" w:rsidR="002C0FD9" w:rsidRPr="00CA25CF" w:rsidRDefault="002C0FD9" w:rsidP="00CA25CF">
            <w:pPr>
              <w:rPr>
                <w:rFonts w:cs="Arial"/>
                <w:color w:val="FF0000"/>
                <w:sz w:val="21"/>
                <w:szCs w:val="21"/>
              </w:rPr>
            </w:pPr>
          </w:p>
        </w:tc>
        <w:tc>
          <w:tcPr>
            <w:tcW w:w="217" w:type="dxa"/>
          </w:tcPr>
          <w:p w14:paraId="19440404" w14:textId="77777777" w:rsidR="002C0FD9" w:rsidRPr="00CA25CF" w:rsidRDefault="002C0FD9" w:rsidP="00CA25CF">
            <w:pPr>
              <w:rPr>
                <w:rFonts w:cs="Arial"/>
                <w:color w:val="FF0000"/>
                <w:sz w:val="21"/>
                <w:szCs w:val="21"/>
              </w:rPr>
            </w:pPr>
          </w:p>
        </w:tc>
        <w:tc>
          <w:tcPr>
            <w:tcW w:w="217" w:type="dxa"/>
          </w:tcPr>
          <w:p w14:paraId="615ABE74" w14:textId="77777777" w:rsidR="002C0FD9" w:rsidRPr="00CA25CF" w:rsidRDefault="002C0FD9" w:rsidP="00CA25CF">
            <w:pPr>
              <w:rPr>
                <w:rFonts w:cs="Arial"/>
                <w:color w:val="FF0000"/>
                <w:sz w:val="21"/>
                <w:szCs w:val="21"/>
              </w:rPr>
            </w:pPr>
          </w:p>
        </w:tc>
        <w:tc>
          <w:tcPr>
            <w:tcW w:w="217" w:type="dxa"/>
          </w:tcPr>
          <w:p w14:paraId="71496066" w14:textId="77777777" w:rsidR="002C0FD9" w:rsidRPr="00CA25CF" w:rsidRDefault="002C0FD9" w:rsidP="00CA25CF">
            <w:pPr>
              <w:rPr>
                <w:rFonts w:cs="Arial"/>
                <w:color w:val="FF0000"/>
                <w:sz w:val="21"/>
                <w:szCs w:val="21"/>
              </w:rPr>
            </w:pPr>
          </w:p>
        </w:tc>
      </w:tr>
      <w:tr w:rsidR="002C0FD9" w:rsidRPr="00A16219" w14:paraId="599BE484" w14:textId="290FCFD4" w:rsidTr="002C0FD9">
        <w:trPr>
          <w:trHeight w:val="635"/>
        </w:trPr>
        <w:tc>
          <w:tcPr>
            <w:tcW w:w="515" w:type="dxa"/>
          </w:tcPr>
          <w:p w14:paraId="53CE8294" w14:textId="77777777" w:rsidR="002C0FD9" w:rsidRPr="00CA25CF" w:rsidRDefault="002C0FD9" w:rsidP="00CA25CF">
            <w:pPr>
              <w:rPr>
                <w:rFonts w:cs="Arial"/>
                <w:color w:val="FF0000"/>
                <w:sz w:val="21"/>
                <w:szCs w:val="21"/>
              </w:rPr>
            </w:pPr>
          </w:p>
        </w:tc>
        <w:tc>
          <w:tcPr>
            <w:tcW w:w="217" w:type="dxa"/>
          </w:tcPr>
          <w:p w14:paraId="1A556E24" w14:textId="77777777" w:rsidR="002C0FD9" w:rsidRPr="00CA25CF" w:rsidRDefault="002C0FD9" w:rsidP="00CA25CF">
            <w:pPr>
              <w:rPr>
                <w:rFonts w:cs="Arial"/>
                <w:color w:val="FF0000"/>
                <w:sz w:val="21"/>
                <w:szCs w:val="21"/>
              </w:rPr>
            </w:pPr>
          </w:p>
        </w:tc>
        <w:tc>
          <w:tcPr>
            <w:tcW w:w="217" w:type="dxa"/>
          </w:tcPr>
          <w:p w14:paraId="34743FF5" w14:textId="014A4C15" w:rsidR="002C0FD9" w:rsidRPr="00CA25CF" w:rsidRDefault="002C0FD9" w:rsidP="00CA25CF">
            <w:pPr>
              <w:rPr>
                <w:rFonts w:cs="Arial"/>
                <w:color w:val="FF0000"/>
                <w:sz w:val="21"/>
                <w:szCs w:val="21"/>
              </w:rPr>
            </w:pPr>
          </w:p>
        </w:tc>
        <w:tc>
          <w:tcPr>
            <w:tcW w:w="217" w:type="dxa"/>
          </w:tcPr>
          <w:p w14:paraId="6AC66BD3" w14:textId="77777777" w:rsidR="002C0FD9" w:rsidRPr="00CA25CF" w:rsidRDefault="002C0FD9" w:rsidP="00CA25CF">
            <w:pPr>
              <w:rPr>
                <w:rFonts w:cs="Arial"/>
                <w:color w:val="FF0000"/>
                <w:sz w:val="21"/>
                <w:szCs w:val="21"/>
              </w:rPr>
            </w:pPr>
          </w:p>
        </w:tc>
        <w:tc>
          <w:tcPr>
            <w:tcW w:w="217" w:type="dxa"/>
          </w:tcPr>
          <w:p w14:paraId="592364FA" w14:textId="77777777" w:rsidR="002C0FD9" w:rsidRPr="00CA25CF" w:rsidRDefault="002C0FD9" w:rsidP="00CA25CF">
            <w:pPr>
              <w:rPr>
                <w:rFonts w:cs="Arial"/>
                <w:color w:val="FF0000"/>
                <w:sz w:val="21"/>
                <w:szCs w:val="21"/>
              </w:rPr>
            </w:pPr>
          </w:p>
        </w:tc>
        <w:tc>
          <w:tcPr>
            <w:tcW w:w="217" w:type="dxa"/>
          </w:tcPr>
          <w:p w14:paraId="3DE5B73E" w14:textId="77777777" w:rsidR="002C0FD9" w:rsidRPr="00CA25CF" w:rsidRDefault="002C0FD9" w:rsidP="00CA25CF">
            <w:pPr>
              <w:rPr>
                <w:rFonts w:cs="Arial"/>
                <w:color w:val="FF0000"/>
                <w:sz w:val="21"/>
                <w:szCs w:val="21"/>
              </w:rPr>
            </w:pPr>
          </w:p>
        </w:tc>
        <w:tc>
          <w:tcPr>
            <w:tcW w:w="217" w:type="dxa"/>
          </w:tcPr>
          <w:p w14:paraId="30B398FF" w14:textId="77777777" w:rsidR="002C0FD9" w:rsidRPr="00CA25CF" w:rsidRDefault="002C0FD9" w:rsidP="00CA25CF">
            <w:pPr>
              <w:rPr>
                <w:rFonts w:cs="Arial"/>
                <w:color w:val="FF0000"/>
                <w:sz w:val="21"/>
                <w:szCs w:val="21"/>
              </w:rPr>
            </w:pPr>
          </w:p>
        </w:tc>
        <w:tc>
          <w:tcPr>
            <w:tcW w:w="217" w:type="dxa"/>
          </w:tcPr>
          <w:p w14:paraId="75012F72" w14:textId="77777777" w:rsidR="002C0FD9" w:rsidRPr="00CA25CF" w:rsidRDefault="002C0FD9" w:rsidP="00CA25CF">
            <w:pPr>
              <w:rPr>
                <w:rFonts w:cs="Arial"/>
                <w:color w:val="FF0000"/>
                <w:sz w:val="21"/>
                <w:szCs w:val="21"/>
              </w:rPr>
            </w:pPr>
          </w:p>
        </w:tc>
        <w:tc>
          <w:tcPr>
            <w:tcW w:w="217" w:type="dxa"/>
          </w:tcPr>
          <w:p w14:paraId="49862D30" w14:textId="77777777" w:rsidR="002C0FD9" w:rsidRPr="00CA25CF" w:rsidRDefault="002C0FD9" w:rsidP="00CA25CF">
            <w:pPr>
              <w:rPr>
                <w:rFonts w:cs="Arial"/>
                <w:color w:val="FF0000"/>
                <w:sz w:val="21"/>
                <w:szCs w:val="21"/>
              </w:rPr>
            </w:pPr>
          </w:p>
        </w:tc>
        <w:tc>
          <w:tcPr>
            <w:tcW w:w="217" w:type="dxa"/>
          </w:tcPr>
          <w:p w14:paraId="3B805F2F" w14:textId="77777777" w:rsidR="002C0FD9" w:rsidRPr="00CA25CF" w:rsidRDefault="002C0FD9" w:rsidP="00CA25CF">
            <w:pPr>
              <w:rPr>
                <w:rFonts w:cs="Arial"/>
                <w:color w:val="FF0000"/>
                <w:sz w:val="21"/>
                <w:szCs w:val="21"/>
              </w:rPr>
            </w:pPr>
          </w:p>
        </w:tc>
        <w:tc>
          <w:tcPr>
            <w:tcW w:w="217" w:type="dxa"/>
          </w:tcPr>
          <w:p w14:paraId="46D05242" w14:textId="77777777" w:rsidR="002C0FD9" w:rsidRPr="00CA25CF" w:rsidRDefault="002C0FD9" w:rsidP="00CA25CF">
            <w:pPr>
              <w:rPr>
                <w:rFonts w:cs="Arial"/>
                <w:color w:val="FF0000"/>
                <w:sz w:val="21"/>
                <w:szCs w:val="21"/>
              </w:rPr>
            </w:pPr>
          </w:p>
        </w:tc>
        <w:tc>
          <w:tcPr>
            <w:tcW w:w="217" w:type="dxa"/>
          </w:tcPr>
          <w:p w14:paraId="40F0930E" w14:textId="77777777" w:rsidR="002C0FD9" w:rsidRPr="00CA25CF" w:rsidRDefault="002C0FD9" w:rsidP="00CA25CF">
            <w:pPr>
              <w:rPr>
                <w:rFonts w:cs="Arial"/>
                <w:color w:val="FF0000"/>
                <w:sz w:val="21"/>
                <w:szCs w:val="21"/>
              </w:rPr>
            </w:pPr>
          </w:p>
        </w:tc>
        <w:tc>
          <w:tcPr>
            <w:tcW w:w="217" w:type="dxa"/>
          </w:tcPr>
          <w:p w14:paraId="68465B32" w14:textId="77777777" w:rsidR="002C0FD9" w:rsidRPr="00CA25CF" w:rsidRDefault="002C0FD9" w:rsidP="00CA25CF">
            <w:pPr>
              <w:rPr>
                <w:rFonts w:cs="Arial"/>
                <w:color w:val="FF0000"/>
                <w:sz w:val="21"/>
                <w:szCs w:val="21"/>
              </w:rPr>
            </w:pPr>
          </w:p>
        </w:tc>
        <w:tc>
          <w:tcPr>
            <w:tcW w:w="217" w:type="dxa"/>
          </w:tcPr>
          <w:p w14:paraId="6E258892" w14:textId="77777777" w:rsidR="002C0FD9" w:rsidRPr="00CA25CF" w:rsidRDefault="002C0FD9" w:rsidP="00CA25CF">
            <w:pPr>
              <w:rPr>
                <w:rFonts w:cs="Arial"/>
                <w:color w:val="FF0000"/>
                <w:sz w:val="21"/>
                <w:szCs w:val="21"/>
              </w:rPr>
            </w:pPr>
          </w:p>
        </w:tc>
        <w:tc>
          <w:tcPr>
            <w:tcW w:w="217" w:type="dxa"/>
          </w:tcPr>
          <w:p w14:paraId="30F52919" w14:textId="77777777" w:rsidR="002C0FD9" w:rsidRPr="00CA25CF" w:rsidRDefault="002C0FD9" w:rsidP="00CA25CF">
            <w:pPr>
              <w:rPr>
                <w:rFonts w:cs="Arial"/>
                <w:color w:val="FF0000"/>
                <w:sz w:val="21"/>
                <w:szCs w:val="21"/>
              </w:rPr>
            </w:pPr>
          </w:p>
        </w:tc>
        <w:tc>
          <w:tcPr>
            <w:tcW w:w="217" w:type="dxa"/>
          </w:tcPr>
          <w:p w14:paraId="483678AD" w14:textId="77777777" w:rsidR="002C0FD9" w:rsidRPr="00CA25CF" w:rsidRDefault="002C0FD9" w:rsidP="00CA25CF">
            <w:pPr>
              <w:rPr>
                <w:rFonts w:cs="Arial"/>
                <w:color w:val="FF0000"/>
                <w:sz w:val="21"/>
                <w:szCs w:val="21"/>
              </w:rPr>
            </w:pPr>
          </w:p>
        </w:tc>
        <w:tc>
          <w:tcPr>
            <w:tcW w:w="217" w:type="dxa"/>
          </w:tcPr>
          <w:p w14:paraId="6CC06175" w14:textId="77777777" w:rsidR="002C0FD9" w:rsidRPr="00CA25CF" w:rsidRDefault="002C0FD9" w:rsidP="00CA25CF">
            <w:pPr>
              <w:rPr>
                <w:rFonts w:cs="Arial"/>
                <w:color w:val="FF0000"/>
                <w:sz w:val="21"/>
                <w:szCs w:val="21"/>
              </w:rPr>
            </w:pPr>
          </w:p>
        </w:tc>
        <w:tc>
          <w:tcPr>
            <w:tcW w:w="217" w:type="dxa"/>
          </w:tcPr>
          <w:p w14:paraId="2B67B2D3" w14:textId="77777777" w:rsidR="002C0FD9" w:rsidRPr="00CA25CF" w:rsidRDefault="002C0FD9" w:rsidP="00CA25CF">
            <w:pPr>
              <w:rPr>
                <w:rFonts w:cs="Arial"/>
                <w:color w:val="FF0000"/>
                <w:sz w:val="21"/>
                <w:szCs w:val="21"/>
              </w:rPr>
            </w:pPr>
          </w:p>
        </w:tc>
        <w:tc>
          <w:tcPr>
            <w:tcW w:w="217" w:type="dxa"/>
          </w:tcPr>
          <w:p w14:paraId="44442317" w14:textId="77777777" w:rsidR="002C0FD9" w:rsidRPr="00CA25CF" w:rsidRDefault="002C0FD9" w:rsidP="00CA25CF">
            <w:pPr>
              <w:rPr>
                <w:rFonts w:cs="Arial"/>
                <w:color w:val="FF0000"/>
                <w:sz w:val="21"/>
                <w:szCs w:val="21"/>
              </w:rPr>
            </w:pPr>
          </w:p>
        </w:tc>
        <w:tc>
          <w:tcPr>
            <w:tcW w:w="217" w:type="dxa"/>
          </w:tcPr>
          <w:p w14:paraId="05030C6A" w14:textId="77777777" w:rsidR="002C0FD9" w:rsidRPr="00CA25CF" w:rsidRDefault="002C0FD9" w:rsidP="00CA25CF">
            <w:pPr>
              <w:rPr>
                <w:rFonts w:cs="Arial"/>
                <w:color w:val="FF0000"/>
                <w:sz w:val="21"/>
                <w:szCs w:val="21"/>
              </w:rPr>
            </w:pPr>
          </w:p>
        </w:tc>
        <w:tc>
          <w:tcPr>
            <w:tcW w:w="217" w:type="dxa"/>
          </w:tcPr>
          <w:p w14:paraId="60FFF6ED" w14:textId="77777777" w:rsidR="002C0FD9" w:rsidRPr="00CA25CF" w:rsidRDefault="002C0FD9" w:rsidP="00CA25CF">
            <w:pPr>
              <w:rPr>
                <w:rFonts w:cs="Arial"/>
                <w:color w:val="FF0000"/>
                <w:sz w:val="21"/>
                <w:szCs w:val="21"/>
              </w:rPr>
            </w:pPr>
          </w:p>
        </w:tc>
        <w:tc>
          <w:tcPr>
            <w:tcW w:w="217" w:type="dxa"/>
          </w:tcPr>
          <w:p w14:paraId="56B0D9AF" w14:textId="77777777" w:rsidR="002C0FD9" w:rsidRPr="00CA25CF" w:rsidRDefault="002C0FD9" w:rsidP="00CA25CF">
            <w:pPr>
              <w:rPr>
                <w:rFonts w:cs="Arial"/>
                <w:color w:val="FF0000"/>
                <w:sz w:val="21"/>
                <w:szCs w:val="21"/>
              </w:rPr>
            </w:pPr>
          </w:p>
        </w:tc>
        <w:tc>
          <w:tcPr>
            <w:tcW w:w="217" w:type="dxa"/>
          </w:tcPr>
          <w:p w14:paraId="5EA4B96D" w14:textId="77777777" w:rsidR="002C0FD9" w:rsidRPr="00CA25CF" w:rsidRDefault="002C0FD9" w:rsidP="00CA25CF">
            <w:pPr>
              <w:rPr>
                <w:rFonts w:cs="Arial"/>
                <w:color w:val="FF0000"/>
                <w:sz w:val="21"/>
                <w:szCs w:val="21"/>
              </w:rPr>
            </w:pPr>
          </w:p>
        </w:tc>
        <w:tc>
          <w:tcPr>
            <w:tcW w:w="217" w:type="dxa"/>
          </w:tcPr>
          <w:p w14:paraId="706A7A63" w14:textId="77777777" w:rsidR="002C0FD9" w:rsidRPr="00CA25CF" w:rsidRDefault="002C0FD9" w:rsidP="00CA25CF">
            <w:pPr>
              <w:rPr>
                <w:rFonts w:cs="Arial"/>
                <w:color w:val="FF0000"/>
                <w:sz w:val="21"/>
                <w:szCs w:val="21"/>
              </w:rPr>
            </w:pPr>
          </w:p>
        </w:tc>
        <w:tc>
          <w:tcPr>
            <w:tcW w:w="217" w:type="dxa"/>
          </w:tcPr>
          <w:p w14:paraId="3FE62878" w14:textId="77777777" w:rsidR="002C0FD9" w:rsidRPr="00CA25CF" w:rsidRDefault="002C0FD9" w:rsidP="00CA25CF">
            <w:pPr>
              <w:rPr>
                <w:rFonts w:cs="Arial"/>
                <w:color w:val="FF0000"/>
                <w:sz w:val="21"/>
                <w:szCs w:val="21"/>
              </w:rPr>
            </w:pPr>
          </w:p>
        </w:tc>
        <w:tc>
          <w:tcPr>
            <w:tcW w:w="217" w:type="dxa"/>
          </w:tcPr>
          <w:p w14:paraId="7BAB4AD9" w14:textId="77777777" w:rsidR="002C0FD9" w:rsidRPr="00CA25CF" w:rsidRDefault="002C0FD9" w:rsidP="00CA25CF">
            <w:pPr>
              <w:rPr>
                <w:rFonts w:cs="Arial"/>
                <w:color w:val="FF0000"/>
                <w:sz w:val="21"/>
                <w:szCs w:val="21"/>
              </w:rPr>
            </w:pPr>
          </w:p>
        </w:tc>
        <w:tc>
          <w:tcPr>
            <w:tcW w:w="217" w:type="dxa"/>
          </w:tcPr>
          <w:p w14:paraId="75635D11" w14:textId="77777777" w:rsidR="002C0FD9" w:rsidRPr="00CA25CF" w:rsidRDefault="002C0FD9" w:rsidP="00CA25CF">
            <w:pPr>
              <w:rPr>
                <w:rFonts w:cs="Arial"/>
                <w:color w:val="FF0000"/>
                <w:sz w:val="21"/>
                <w:szCs w:val="21"/>
              </w:rPr>
            </w:pPr>
          </w:p>
        </w:tc>
        <w:tc>
          <w:tcPr>
            <w:tcW w:w="217" w:type="dxa"/>
          </w:tcPr>
          <w:p w14:paraId="7FF64723" w14:textId="77777777" w:rsidR="002C0FD9" w:rsidRPr="00CA25CF" w:rsidRDefault="002C0FD9" w:rsidP="00CA25CF">
            <w:pPr>
              <w:rPr>
                <w:rFonts w:cs="Arial"/>
                <w:color w:val="FF0000"/>
                <w:sz w:val="21"/>
                <w:szCs w:val="21"/>
              </w:rPr>
            </w:pPr>
          </w:p>
        </w:tc>
        <w:tc>
          <w:tcPr>
            <w:tcW w:w="217" w:type="dxa"/>
          </w:tcPr>
          <w:p w14:paraId="2614148F" w14:textId="77777777" w:rsidR="002C0FD9" w:rsidRPr="00CA25CF" w:rsidRDefault="002C0FD9" w:rsidP="00CA25CF">
            <w:pPr>
              <w:rPr>
                <w:rFonts w:cs="Arial"/>
                <w:color w:val="FF0000"/>
                <w:sz w:val="21"/>
                <w:szCs w:val="21"/>
              </w:rPr>
            </w:pPr>
          </w:p>
        </w:tc>
        <w:tc>
          <w:tcPr>
            <w:tcW w:w="217" w:type="dxa"/>
          </w:tcPr>
          <w:p w14:paraId="6B657BC0" w14:textId="77777777" w:rsidR="002C0FD9" w:rsidRPr="00CA25CF" w:rsidRDefault="002C0FD9" w:rsidP="00CA25CF">
            <w:pPr>
              <w:rPr>
                <w:rFonts w:cs="Arial"/>
                <w:color w:val="FF0000"/>
                <w:sz w:val="21"/>
                <w:szCs w:val="21"/>
              </w:rPr>
            </w:pPr>
          </w:p>
        </w:tc>
        <w:tc>
          <w:tcPr>
            <w:tcW w:w="217" w:type="dxa"/>
          </w:tcPr>
          <w:p w14:paraId="2F4971BB" w14:textId="77777777" w:rsidR="002C0FD9" w:rsidRPr="00CA25CF" w:rsidRDefault="002C0FD9" w:rsidP="00CA25CF">
            <w:pPr>
              <w:rPr>
                <w:rFonts w:cs="Arial"/>
                <w:color w:val="FF0000"/>
                <w:sz w:val="21"/>
                <w:szCs w:val="21"/>
              </w:rPr>
            </w:pPr>
          </w:p>
        </w:tc>
        <w:tc>
          <w:tcPr>
            <w:tcW w:w="217" w:type="dxa"/>
          </w:tcPr>
          <w:p w14:paraId="2F9CEBE0" w14:textId="77777777" w:rsidR="002C0FD9" w:rsidRPr="00CA25CF" w:rsidRDefault="002C0FD9" w:rsidP="00CA25CF">
            <w:pPr>
              <w:rPr>
                <w:rFonts w:cs="Arial"/>
                <w:color w:val="FF0000"/>
                <w:sz w:val="21"/>
                <w:szCs w:val="21"/>
              </w:rPr>
            </w:pPr>
          </w:p>
        </w:tc>
        <w:tc>
          <w:tcPr>
            <w:tcW w:w="217" w:type="dxa"/>
          </w:tcPr>
          <w:p w14:paraId="3211BB28" w14:textId="77777777" w:rsidR="002C0FD9" w:rsidRPr="00CA25CF" w:rsidRDefault="002C0FD9" w:rsidP="00CA25CF">
            <w:pPr>
              <w:rPr>
                <w:rFonts w:cs="Arial"/>
                <w:color w:val="FF0000"/>
                <w:sz w:val="21"/>
                <w:szCs w:val="21"/>
              </w:rPr>
            </w:pPr>
          </w:p>
        </w:tc>
        <w:tc>
          <w:tcPr>
            <w:tcW w:w="217" w:type="dxa"/>
          </w:tcPr>
          <w:p w14:paraId="6D45ABA5" w14:textId="77777777" w:rsidR="002C0FD9" w:rsidRPr="00CA25CF" w:rsidRDefault="002C0FD9" w:rsidP="00CA25CF">
            <w:pPr>
              <w:rPr>
                <w:rFonts w:cs="Arial"/>
                <w:color w:val="FF0000"/>
                <w:sz w:val="21"/>
                <w:szCs w:val="21"/>
              </w:rPr>
            </w:pPr>
          </w:p>
        </w:tc>
        <w:tc>
          <w:tcPr>
            <w:tcW w:w="217" w:type="dxa"/>
          </w:tcPr>
          <w:p w14:paraId="24D6C909" w14:textId="77777777" w:rsidR="002C0FD9" w:rsidRPr="00CA25CF" w:rsidRDefault="002C0FD9" w:rsidP="00CA25CF">
            <w:pPr>
              <w:rPr>
                <w:rFonts w:cs="Arial"/>
                <w:color w:val="FF0000"/>
                <w:sz w:val="21"/>
                <w:szCs w:val="21"/>
              </w:rPr>
            </w:pPr>
          </w:p>
        </w:tc>
        <w:tc>
          <w:tcPr>
            <w:tcW w:w="217" w:type="dxa"/>
          </w:tcPr>
          <w:p w14:paraId="5EEB2DEB" w14:textId="77777777" w:rsidR="002C0FD9" w:rsidRPr="00CA25CF" w:rsidRDefault="002C0FD9" w:rsidP="00CA25CF">
            <w:pPr>
              <w:rPr>
                <w:rFonts w:cs="Arial"/>
                <w:color w:val="FF0000"/>
                <w:sz w:val="21"/>
                <w:szCs w:val="21"/>
              </w:rPr>
            </w:pPr>
          </w:p>
        </w:tc>
        <w:tc>
          <w:tcPr>
            <w:tcW w:w="217" w:type="dxa"/>
          </w:tcPr>
          <w:p w14:paraId="7F4D6D6E" w14:textId="77777777" w:rsidR="002C0FD9" w:rsidRPr="00CA25CF" w:rsidRDefault="002C0FD9" w:rsidP="00CA25CF">
            <w:pPr>
              <w:rPr>
                <w:rFonts w:cs="Arial"/>
                <w:color w:val="FF0000"/>
                <w:sz w:val="21"/>
                <w:szCs w:val="21"/>
              </w:rPr>
            </w:pPr>
          </w:p>
        </w:tc>
        <w:tc>
          <w:tcPr>
            <w:tcW w:w="217" w:type="dxa"/>
          </w:tcPr>
          <w:p w14:paraId="586C05BA" w14:textId="77777777" w:rsidR="002C0FD9" w:rsidRPr="00CA25CF" w:rsidRDefault="002C0FD9" w:rsidP="00CA25CF">
            <w:pPr>
              <w:rPr>
                <w:rFonts w:cs="Arial"/>
                <w:color w:val="FF0000"/>
                <w:sz w:val="21"/>
                <w:szCs w:val="21"/>
              </w:rPr>
            </w:pPr>
          </w:p>
        </w:tc>
        <w:tc>
          <w:tcPr>
            <w:tcW w:w="217" w:type="dxa"/>
          </w:tcPr>
          <w:p w14:paraId="432498A5" w14:textId="77777777" w:rsidR="002C0FD9" w:rsidRPr="00CA25CF" w:rsidRDefault="002C0FD9" w:rsidP="00CA25CF">
            <w:pPr>
              <w:rPr>
                <w:rFonts w:cs="Arial"/>
                <w:color w:val="FF0000"/>
                <w:sz w:val="21"/>
                <w:szCs w:val="21"/>
              </w:rPr>
            </w:pPr>
          </w:p>
        </w:tc>
        <w:tc>
          <w:tcPr>
            <w:tcW w:w="217" w:type="dxa"/>
          </w:tcPr>
          <w:p w14:paraId="6E00D73E" w14:textId="77777777" w:rsidR="002C0FD9" w:rsidRPr="00CA25CF" w:rsidRDefault="002C0FD9" w:rsidP="00CA25CF">
            <w:pPr>
              <w:rPr>
                <w:rFonts w:cs="Arial"/>
                <w:color w:val="FF0000"/>
                <w:sz w:val="21"/>
                <w:szCs w:val="21"/>
              </w:rPr>
            </w:pPr>
          </w:p>
        </w:tc>
        <w:tc>
          <w:tcPr>
            <w:tcW w:w="217" w:type="dxa"/>
          </w:tcPr>
          <w:p w14:paraId="314E558B" w14:textId="77777777" w:rsidR="002C0FD9" w:rsidRPr="00CA25CF" w:rsidRDefault="002C0FD9" w:rsidP="00CA25CF">
            <w:pPr>
              <w:rPr>
                <w:rFonts w:cs="Arial"/>
                <w:color w:val="FF0000"/>
                <w:sz w:val="21"/>
                <w:szCs w:val="21"/>
              </w:rPr>
            </w:pPr>
          </w:p>
        </w:tc>
        <w:tc>
          <w:tcPr>
            <w:tcW w:w="217" w:type="dxa"/>
          </w:tcPr>
          <w:p w14:paraId="25347E41" w14:textId="77777777" w:rsidR="002C0FD9" w:rsidRPr="00CA25CF" w:rsidRDefault="002C0FD9" w:rsidP="00CA25CF">
            <w:pPr>
              <w:rPr>
                <w:rFonts w:cs="Arial"/>
                <w:color w:val="FF0000"/>
                <w:sz w:val="21"/>
                <w:szCs w:val="21"/>
              </w:rPr>
            </w:pPr>
          </w:p>
        </w:tc>
        <w:tc>
          <w:tcPr>
            <w:tcW w:w="217" w:type="dxa"/>
          </w:tcPr>
          <w:p w14:paraId="69DC4566" w14:textId="77777777" w:rsidR="002C0FD9" w:rsidRPr="00CA25CF" w:rsidRDefault="002C0FD9" w:rsidP="00CA25CF">
            <w:pPr>
              <w:rPr>
                <w:rFonts w:cs="Arial"/>
                <w:color w:val="FF0000"/>
                <w:sz w:val="21"/>
                <w:szCs w:val="21"/>
              </w:rPr>
            </w:pPr>
          </w:p>
        </w:tc>
      </w:tr>
      <w:tr w:rsidR="002C0FD9" w:rsidRPr="00A16219" w14:paraId="1ACA2A3C" w14:textId="64691DC7" w:rsidTr="002C0FD9">
        <w:trPr>
          <w:trHeight w:val="635"/>
        </w:trPr>
        <w:tc>
          <w:tcPr>
            <w:tcW w:w="515" w:type="dxa"/>
          </w:tcPr>
          <w:p w14:paraId="4C9A82E7" w14:textId="77777777" w:rsidR="002C0FD9" w:rsidRPr="00CA25CF" w:rsidRDefault="002C0FD9" w:rsidP="00CA25CF">
            <w:pPr>
              <w:rPr>
                <w:rFonts w:cs="Arial"/>
                <w:color w:val="FF0000"/>
                <w:sz w:val="21"/>
                <w:szCs w:val="21"/>
              </w:rPr>
            </w:pPr>
          </w:p>
        </w:tc>
        <w:tc>
          <w:tcPr>
            <w:tcW w:w="217" w:type="dxa"/>
          </w:tcPr>
          <w:p w14:paraId="71E277A6" w14:textId="77777777" w:rsidR="002C0FD9" w:rsidRPr="00CA25CF" w:rsidRDefault="002C0FD9" w:rsidP="00CA25CF">
            <w:pPr>
              <w:rPr>
                <w:rFonts w:cs="Arial"/>
                <w:color w:val="FF0000"/>
                <w:sz w:val="21"/>
                <w:szCs w:val="21"/>
              </w:rPr>
            </w:pPr>
          </w:p>
        </w:tc>
        <w:tc>
          <w:tcPr>
            <w:tcW w:w="217" w:type="dxa"/>
          </w:tcPr>
          <w:p w14:paraId="5E9CC7C9" w14:textId="3596B675" w:rsidR="002C0FD9" w:rsidRPr="00CA25CF" w:rsidRDefault="002C0FD9" w:rsidP="00CA25CF">
            <w:pPr>
              <w:rPr>
                <w:rFonts w:cs="Arial"/>
                <w:color w:val="FF0000"/>
                <w:sz w:val="21"/>
                <w:szCs w:val="21"/>
              </w:rPr>
            </w:pPr>
          </w:p>
        </w:tc>
        <w:tc>
          <w:tcPr>
            <w:tcW w:w="217" w:type="dxa"/>
          </w:tcPr>
          <w:p w14:paraId="3FA94B20" w14:textId="77777777" w:rsidR="002C0FD9" w:rsidRPr="00CA25CF" w:rsidRDefault="002C0FD9" w:rsidP="00CA25CF">
            <w:pPr>
              <w:rPr>
                <w:rFonts w:cs="Arial"/>
                <w:color w:val="FF0000"/>
                <w:sz w:val="21"/>
                <w:szCs w:val="21"/>
              </w:rPr>
            </w:pPr>
          </w:p>
        </w:tc>
        <w:tc>
          <w:tcPr>
            <w:tcW w:w="217" w:type="dxa"/>
          </w:tcPr>
          <w:p w14:paraId="5CB3F40C" w14:textId="77777777" w:rsidR="002C0FD9" w:rsidRPr="00CA25CF" w:rsidRDefault="002C0FD9" w:rsidP="00CA25CF">
            <w:pPr>
              <w:rPr>
                <w:rFonts w:cs="Arial"/>
                <w:color w:val="FF0000"/>
                <w:sz w:val="21"/>
                <w:szCs w:val="21"/>
              </w:rPr>
            </w:pPr>
          </w:p>
        </w:tc>
        <w:tc>
          <w:tcPr>
            <w:tcW w:w="217" w:type="dxa"/>
          </w:tcPr>
          <w:p w14:paraId="7EA66000" w14:textId="77777777" w:rsidR="002C0FD9" w:rsidRPr="00CA25CF" w:rsidRDefault="002C0FD9" w:rsidP="00CA25CF">
            <w:pPr>
              <w:rPr>
                <w:rFonts w:cs="Arial"/>
                <w:color w:val="FF0000"/>
                <w:sz w:val="21"/>
                <w:szCs w:val="21"/>
              </w:rPr>
            </w:pPr>
          </w:p>
        </w:tc>
        <w:tc>
          <w:tcPr>
            <w:tcW w:w="217" w:type="dxa"/>
          </w:tcPr>
          <w:p w14:paraId="4FBDD291" w14:textId="77777777" w:rsidR="002C0FD9" w:rsidRPr="00CA25CF" w:rsidRDefault="002C0FD9" w:rsidP="00CA25CF">
            <w:pPr>
              <w:rPr>
                <w:rFonts w:cs="Arial"/>
                <w:color w:val="FF0000"/>
                <w:sz w:val="21"/>
                <w:szCs w:val="21"/>
              </w:rPr>
            </w:pPr>
          </w:p>
        </w:tc>
        <w:tc>
          <w:tcPr>
            <w:tcW w:w="217" w:type="dxa"/>
          </w:tcPr>
          <w:p w14:paraId="4043D42D" w14:textId="77777777" w:rsidR="002C0FD9" w:rsidRPr="00CA25CF" w:rsidRDefault="002C0FD9" w:rsidP="00CA25CF">
            <w:pPr>
              <w:rPr>
                <w:rFonts w:cs="Arial"/>
                <w:color w:val="FF0000"/>
                <w:sz w:val="21"/>
                <w:szCs w:val="21"/>
              </w:rPr>
            </w:pPr>
          </w:p>
        </w:tc>
        <w:tc>
          <w:tcPr>
            <w:tcW w:w="217" w:type="dxa"/>
          </w:tcPr>
          <w:p w14:paraId="052F917A" w14:textId="77777777" w:rsidR="002C0FD9" w:rsidRPr="00CA25CF" w:rsidRDefault="002C0FD9" w:rsidP="00CA25CF">
            <w:pPr>
              <w:rPr>
                <w:rFonts w:cs="Arial"/>
                <w:color w:val="FF0000"/>
                <w:sz w:val="21"/>
                <w:szCs w:val="21"/>
              </w:rPr>
            </w:pPr>
          </w:p>
        </w:tc>
        <w:tc>
          <w:tcPr>
            <w:tcW w:w="217" w:type="dxa"/>
          </w:tcPr>
          <w:p w14:paraId="0CECA19B" w14:textId="77777777" w:rsidR="002C0FD9" w:rsidRPr="00CA25CF" w:rsidRDefault="002C0FD9" w:rsidP="00CA25CF">
            <w:pPr>
              <w:rPr>
                <w:rFonts w:cs="Arial"/>
                <w:color w:val="FF0000"/>
                <w:sz w:val="21"/>
                <w:szCs w:val="21"/>
              </w:rPr>
            </w:pPr>
          </w:p>
        </w:tc>
        <w:tc>
          <w:tcPr>
            <w:tcW w:w="217" w:type="dxa"/>
          </w:tcPr>
          <w:p w14:paraId="6D007832" w14:textId="77777777" w:rsidR="002C0FD9" w:rsidRPr="00CA25CF" w:rsidRDefault="002C0FD9" w:rsidP="00CA25CF">
            <w:pPr>
              <w:rPr>
                <w:rFonts w:cs="Arial"/>
                <w:color w:val="FF0000"/>
                <w:sz w:val="21"/>
                <w:szCs w:val="21"/>
              </w:rPr>
            </w:pPr>
          </w:p>
        </w:tc>
        <w:tc>
          <w:tcPr>
            <w:tcW w:w="217" w:type="dxa"/>
          </w:tcPr>
          <w:p w14:paraId="460FFB8B" w14:textId="77777777" w:rsidR="002C0FD9" w:rsidRPr="00CA25CF" w:rsidRDefault="002C0FD9" w:rsidP="00CA25CF">
            <w:pPr>
              <w:rPr>
                <w:rFonts w:cs="Arial"/>
                <w:color w:val="FF0000"/>
                <w:sz w:val="21"/>
                <w:szCs w:val="21"/>
              </w:rPr>
            </w:pPr>
          </w:p>
        </w:tc>
        <w:tc>
          <w:tcPr>
            <w:tcW w:w="217" w:type="dxa"/>
          </w:tcPr>
          <w:p w14:paraId="6E31D431" w14:textId="77777777" w:rsidR="002C0FD9" w:rsidRPr="00CA25CF" w:rsidRDefault="002C0FD9" w:rsidP="00CA25CF">
            <w:pPr>
              <w:rPr>
                <w:rFonts w:cs="Arial"/>
                <w:color w:val="FF0000"/>
                <w:sz w:val="21"/>
                <w:szCs w:val="21"/>
              </w:rPr>
            </w:pPr>
          </w:p>
        </w:tc>
        <w:tc>
          <w:tcPr>
            <w:tcW w:w="217" w:type="dxa"/>
          </w:tcPr>
          <w:p w14:paraId="08A64DB2" w14:textId="77777777" w:rsidR="002C0FD9" w:rsidRPr="00CA25CF" w:rsidRDefault="002C0FD9" w:rsidP="00CA25CF">
            <w:pPr>
              <w:rPr>
                <w:rFonts w:cs="Arial"/>
                <w:color w:val="FF0000"/>
                <w:sz w:val="21"/>
                <w:szCs w:val="21"/>
              </w:rPr>
            </w:pPr>
          </w:p>
        </w:tc>
        <w:tc>
          <w:tcPr>
            <w:tcW w:w="217" w:type="dxa"/>
          </w:tcPr>
          <w:p w14:paraId="6EFF5CBC" w14:textId="77777777" w:rsidR="002C0FD9" w:rsidRPr="00CA25CF" w:rsidRDefault="002C0FD9" w:rsidP="00CA25CF">
            <w:pPr>
              <w:rPr>
                <w:rFonts w:cs="Arial"/>
                <w:color w:val="FF0000"/>
                <w:sz w:val="21"/>
                <w:szCs w:val="21"/>
              </w:rPr>
            </w:pPr>
          </w:p>
        </w:tc>
        <w:tc>
          <w:tcPr>
            <w:tcW w:w="217" w:type="dxa"/>
          </w:tcPr>
          <w:p w14:paraId="5595858B" w14:textId="77777777" w:rsidR="002C0FD9" w:rsidRPr="00CA25CF" w:rsidRDefault="002C0FD9" w:rsidP="00CA25CF">
            <w:pPr>
              <w:rPr>
                <w:rFonts w:cs="Arial"/>
                <w:color w:val="FF0000"/>
                <w:sz w:val="21"/>
                <w:szCs w:val="21"/>
              </w:rPr>
            </w:pPr>
          </w:p>
        </w:tc>
        <w:tc>
          <w:tcPr>
            <w:tcW w:w="217" w:type="dxa"/>
          </w:tcPr>
          <w:p w14:paraId="6430F8E4" w14:textId="77777777" w:rsidR="002C0FD9" w:rsidRPr="00CA25CF" w:rsidRDefault="002C0FD9" w:rsidP="00CA25CF">
            <w:pPr>
              <w:rPr>
                <w:rFonts w:cs="Arial"/>
                <w:color w:val="FF0000"/>
                <w:sz w:val="21"/>
                <w:szCs w:val="21"/>
              </w:rPr>
            </w:pPr>
          </w:p>
        </w:tc>
        <w:tc>
          <w:tcPr>
            <w:tcW w:w="217" w:type="dxa"/>
          </w:tcPr>
          <w:p w14:paraId="45C92309" w14:textId="77777777" w:rsidR="002C0FD9" w:rsidRPr="00CA25CF" w:rsidRDefault="002C0FD9" w:rsidP="00CA25CF">
            <w:pPr>
              <w:rPr>
                <w:rFonts w:cs="Arial"/>
                <w:color w:val="FF0000"/>
                <w:sz w:val="21"/>
                <w:szCs w:val="21"/>
              </w:rPr>
            </w:pPr>
          </w:p>
        </w:tc>
        <w:tc>
          <w:tcPr>
            <w:tcW w:w="217" w:type="dxa"/>
          </w:tcPr>
          <w:p w14:paraId="5051F2CD" w14:textId="77777777" w:rsidR="002C0FD9" w:rsidRPr="00CA25CF" w:rsidRDefault="002C0FD9" w:rsidP="00CA25CF">
            <w:pPr>
              <w:rPr>
                <w:rFonts w:cs="Arial"/>
                <w:color w:val="FF0000"/>
                <w:sz w:val="21"/>
                <w:szCs w:val="21"/>
              </w:rPr>
            </w:pPr>
          </w:p>
        </w:tc>
        <w:tc>
          <w:tcPr>
            <w:tcW w:w="217" w:type="dxa"/>
          </w:tcPr>
          <w:p w14:paraId="72DC76D7" w14:textId="77777777" w:rsidR="002C0FD9" w:rsidRPr="00CA25CF" w:rsidRDefault="002C0FD9" w:rsidP="00CA25CF">
            <w:pPr>
              <w:rPr>
                <w:rFonts w:cs="Arial"/>
                <w:color w:val="FF0000"/>
                <w:sz w:val="21"/>
                <w:szCs w:val="21"/>
              </w:rPr>
            </w:pPr>
          </w:p>
        </w:tc>
        <w:tc>
          <w:tcPr>
            <w:tcW w:w="217" w:type="dxa"/>
          </w:tcPr>
          <w:p w14:paraId="0EC8042E" w14:textId="77777777" w:rsidR="002C0FD9" w:rsidRPr="00CA25CF" w:rsidRDefault="002C0FD9" w:rsidP="00CA25CF">
            <w:pPr>
              <w:rPr>
                <w:rFonts w:cs="Arial"/>
                <w:color w:val="FF0000"/>
                <w:sz w:val="21"/>
                <w:szCs w:val="21"/>
              </w:rPr>
            </w:pPr>
          </w:p>
        </w:tc>
        <w:tc>
          <w:tcPr>
            <w:tcW w:w="217" w:type="dxa"/>
          </w:tcPr>
          <w:p w14:paraId="2A5505BF" w14:textId="77777777" w:rsidR="002C0FD9" w:rsidRPr="00CA25CF" w:rsidRDefault="002C0FD9" w:rsidP="00CA25CF">
            <w:pPr>
              <w:rPr>
                <w:rFonts w:cs="Arial"/>
                <w:color w:val="FF0000"/>
                <w:sz w:val="21"/>
                <w:szCs w:val="21"/>
              </w:rPr>
            </w:pPr>
          </w:p>
        </w:tc>
        <w:tc>
          <w:tcPr>
            <w:tcW w:w="217" w:type="dxa"/>
          </w:tcPr>
          <w:p w14:paraId="2FA838F4" w14:textId="77777777" w:rsidR="002C0FD9" w:rsidRPr="00CA25CF" w:rsidRDefault="002C0FD9" w:rsidP="00CA25CF">
            <w:pPr>
              <w:rPr>
                <w:rFonts w:cs="Arial"/>
                <w:color w:val="FF0000"/>
                <w:sz w:val="21"/>
                <w:szCs w:val="21"/>
              </w:rPr>
            </w:pPr>
          </w:p>
        </w:tc>
        <w:tc>
          <w:tcPr>
            <w:tcW w:w="217" w:type="dxa"/>
          </w:tcPr>
          <w:p w14:paraId="639DC46D" w14:textId="77777777" w:rsidR="002C0FD9" w:rsidRPr="00CA25CF" w:rsidRDefault="002C0FD9" w:rsidP="00CA25CF">
            <w:pPr>
              <w:rPr>
                <w:rFonts w:cs="Arial"/>
                <w:color w:val="FF0000"/>
                <w:sz w:val="21"/>
                <w:szCs w:val="21"/>
              </w:rPr>
            </w:pPr>
          </w:p>
        </w:tc>
        <w:tc>
          <w:tcPr>
            <w:tcW w:w="217" w:type="dxa"/>
          </w:tcPr>
          <w:p w14:paraId="368576FE" w14:textId="77777777" w:rsidR="002C0FD9" w:rsidRPr="00CA25CF" w:rsidRDefault="002C0FD9" w:rsidP="00CA25CF">
            <w:pPr>
              <w:rPr>
                <w:rFonts w:cs="Arial"/>
                <w:color w:val="FF0000"/>
                <w:sz w:val="21"/>
                <w:szCs w:val="21"/>
              </w:rPr>
            </w:pPr>
          </w:p>
        </w:tc>
        <w:tc>
          <w:tcPr>
            <w:tcW w:w="217" w:type="dxa"/>
          </w:tcPr>
          <w:p w14:paraId="3932CF9B" w14:textId="77777777" w:rsidR="002C0FD9" w:rsidRPr="00CA25CF" w:rsidRDefault="002C0FD9" w:rsidP="00CA25CF">
            <w:pPr>
              <w:rPr>
                <w:rFonts w:cs="Arial"/>
                <w:color w:val="FF0000"/>
                <w:sz w:val="21"/>
                <w:szCs w:val="21"/>
              </w:rPr>
            </w:pPr>
          </w:p>
        </w:tc>
        <w:tc>
          <w:tcPr>
            <w:tcW w:w="217" w:type="dxa"/>
          </w:tcPr>
          <w:p w14:paraId="6D534546" w14:textId="77777777" w:rsidR="002C0FD9" w:rsidRPr="00CA25CF" w:rsidRDefault="002C0FD9" w:rsidP="00CA25CF">
            <w:pPr>
              <w:rPr>
                <w:rFonts w:cs="Arial"/>
                <w:color w:val="FF0000"/>
                <w:sz w:val="21"/>
                <w:szCs w:val="21"/>
              </w:rPr>
            </w:pPr>
          </w:p>
        </w:tc>
        <w:tc>
          <w:tcPr>
            <w:tcW w:w="217" w:type="dxa"/>
          </w:tcPr>
          <w:p w14:paraId="2E9571B6" w14:textId="77777777" w:rsidR="002C0FD9" w:rsidRPr="00CA25CF" w:rsidRDefault="002C0FD9" w:rsidP="00CA25CF">
            <w:pPr>
              <w:rPr>
                <w:rFonts w:cs="Arial"/>
                <w:color w:val="FF0000"/>
                <w:sz w:val="21"/>
                <w:szCs w:val="21"/>
              </w:rPr>
            </w:pPr>
          </w:p>
        </w:tc>
        <w:tc>
          <w:tcPr>
            <w:tcW w:w="217" w:type="dxa"/>
          </w:tcPr>
          <w:p w14:paraId="36382085" w14:textId="77777777" w:rsidR="002C0FD9" w:rsidRPr="00CA25CF" w:rsidRDefault="002C0FD9" w:rsidP="00CA25CF">
            <w:pPr>
              <w:rPr>
                <w:rFonts w:cs="Arial"/>
                <w:color w:val="FF0000"/>
                <w:sz w:val="21"/>
                <w:szCs w:val="21"/>
              </w:rPr>
            </w:pPr>
          </w:p>
        </w:tc>
        <w:tc>
          <w:tcPr>
            <w:tcW w:w="217" w:type="dxa"/>
          </w:tcPr>
          <w:p w14:paraId="22445A25" w14:textId="77777777" w:rsidR="002C0FD9" w:rsidRPr="00CA25CF" w:rsidRDefault="002C0FD9" w:rsidP="00CA25CF">
            <w:pPr>
              <w:rPr>
                <w:rFonts w:cs="Arial"/>
                <w:color w:val="FF0000"/>
                <w:sz w:val="21"/>
                <w:szCs w:val="21"/>
              </w:rPr>
            </w:pPr>
          </w:p>
        </w:tc>
        <w:tc>
          <w:tcPr>
            <w:tcW w:w="217" w:type="dxa"/>
          </w:tcPr>
          <w:p w14:paraId="33431063" w14:textId="77777777" w:rsidR="002C0FD9" w:rsidRPr="00CA25CF" w:rsidRDefault="002C0FD9" w:rsidP="00CA25CF">
            <w:pPr>
              <w:rPr>
                <w:rFonts w:cs="Arial"/>
                <w:color w:val="FF0000"/>
                <w:sz w:val="21"/>
                <w:szCs w:val="21"/>
              </w:rPr>
            </w:pPr>
          </w:p>
        </w:tc>
        <w:tc>
          <w:tcPr>
            <w:tcW w:w="217" w:type="dxa"/>
          </w:tcPr>
          <w:p w14:paraId="2ED882BA" w14:textId="77777777" w:rsidR="002C0FD9" w:rsidRPr="00CA25CF" w:rsidRDefault="002C0FD9" w:rsidP="00CA25CF">
            <w:pPr>
              <w:rPr>
                <w:rFonts w:cs="Arial"/>
                <w:color w:val="FF0000"/>
                <w:sz w:val="21"/>
                <w:szCs w:val="21"/>
              </w:rPr>
            </w:pPr>
          </w:p>
        </w:tc>
        <w:tc>
          <w:tcPr>
            <w:tcW w:w="217" w:type="dxa"/>
          </w:tcPr>
          <w:p w14:paraId="431BEE77" w14:textId="77777777" w:rsidR="002C0FD9" w:rsidRPr="00CA25CF" w:rsidRDefault="002C0FD9" w:rsidP="00CA25CF">
            <w:pPr>
              <w:rPr>
                <w:rFonts w:cs="Arial"/>
                <w:color w:val="FF0000"/>
                <w:sz w:val="21"/>
                <w:szCs w:val="21"/>
              </w:rPr>
            </w:pPr>
          </w:p>
        </w:tc>
        <w:tc>
          <w:tcPr>
            <w:tcW w:w="217" w:type="dxa"/>
          </w:tcPr>
          <w:p w14:paraId="21981D5B" w14:textId="77777777" w:rsidR="002C0FD9" w:rsidRPr="00CA25CF" w:rsidRDefault="002C0FD9" w:rsidP="00CA25CF">
            <w:pPr>
              <w:rPr>
                <w:rFonts w:cs="Arial"/>
                <w:color w:val="FF0000"/>
                <w:sz w:val="21"/>
                <w:szCs w:val="21"/>
              </w:rPr>
            </w:pPr>
          </w:p>
        </w:tc>
        <w:tc>
          <w:tcPr>
            <w:tcW w:w="217" w:type="dxa"/>
          </w:tcPr>
          <w:p w14:paraId="63AAE288" w14:textId="77777777" w:rsidR="002C0FD9" w:rsidRPr="00CA25CF" w:rsidRDefault="002C0FD9" w:rsidP="00CA25CF">
            <w:pPr>
              <w:rPr>
                <w:rFonts w:cs="Arial"/>
                <w:color w:val="FF0000"/>
                <w:sz w:val="21"/>
                <w:szCs w:val="21"/>
              </w:rPr>
            </w:pPr>
          </w:p>
        </w:tc>
        <w:tc>
          <w:tcPr>
            <w:tcW w:w="217" w:type="dxa"/>
          </w:tcPr>
          <w:p w14:paraId="2DC15745" w14:textId="77777777" w:rsidR="002C0FD9" w:rsidRPr="00CA25CF" w:rsidRDefault="002C0FD9" w:rsidP="00CA25CF">
            <w:pPr>
              <w:rPr>
                <w:rFonts w:cs="Arial"/>
                <w:color w:val="FF0000"/>
                <w:sz w:val="21"/>
                <w:szCs w:val="21"/>
              </w:rPr>
            </w:pPr>
          </w:p>
        </w:tc>
        <w:tc>
          <w:tcPr>
            <w:tcW w:w="217" w:type="dxa"/>
          </w:tcPr>
          <w:p w14:paraId="6D3DC010" w14:textId="77777777" w:rsidR="002C0FD9" w:rsidRPr="00CA25CF" w:rsidRDefault="002C0FD9" w:rsidP="00CA25CF">
            <w:pPr>
              <w:rPr>
                <w:rFonts w:cs="Arial"/>
                <w:color w:val="FF0000"/>
                <w:sz w:val="21"/>
                <w:szCs w:val="21"/>
              </w:rPr>
            </w:pPr>
          </w:p>
        </w:tc>
        <w:tc>
          <w:tcPr>
            <w:tcW w:w="217" w:type="dxa"/>
          </w:tcPr>
          <w:p w14:paraId="74FE2962" w14:textId="77777777" w:rsidR="002C0FD9" w:rsidRPr="00CA25CF" w:rsidRDefault="002C0FD9" w:rsidP="00CA25CF">
            <w:pPr>
              <w:rPr>
                <w:rFonts w:cs="Arial"/>
                <w:color w:val="FF0000"/>
                <w:sz w:val="21"/>
                <w:szCs w:val="21"/>
              </w:rPr>
            </w:pPr>
          </w:p>
        </w:tc>
        <w:tc>
          <w:tcPr>
            <w:tcW w:w="217" w:type="dxa"/>
          </w:tcPr>
          <w:p w14:paraId="5586934E" w14:textId="77777777" w:rsidR="002C0FD9" w:rsidRPr="00CA25CF" w:rsidRDefault="002C0FD9" w:rsidP="00CA25CF">
            <w:pPr>
              <w:rPr>
                <w:rFonts w:cs="Arial"/>
                <w:color w:val="FF0000"/>
                <w:sz w:val="21"/>
                <w:szCs w:val="21"/>
              </w:rPr>
            </w:pPr>
          </w:p>
        </w:tc>
        <w:tc>
          <w:tcPr>
            <w:tcW w:w="217" w:type="dxa"/>
          </w:tcPr>
          <w:p w14:paraId="26CDF72C" w14:textId="77777777" w:rsidR="002C0FD9" w:rsidRPr="00CA25CF" w:rsidRDefault="002C0FD9" w:rsidP="00CA25CF">
            <w:pPr>
              <w:rPr>
                <w:rFonts w:cs="Arial"/>
                <w:color w:val="FF0000"/>
                <w:sz w:val="21"/>
                <w:szCs w:val="21"/>
              </w:rPr>
            </w:pPr>
          </w:p>
        </w:tc>
        <w:tc>
          <w:tcPr>
            <w:tcW w:w="217" w:type="dxa"/>
          </w:tcPr>
          <w:p w14:paraId="469012AC" w14:textId="77777777" w:rsidR="002C0FD9" w:rsidRPr="00CA25CF" w:rsidRDefault="002C0FD9" w:rsidP="00CA25CF">
            <w:pPr>
              <w:rPr>
                <w:rFonts w:cs="Arial"/>
                <w:color w:val="FF0000"/>
                <w:sz w:val="21"/>
                <w:szCs w:val="21"/>
              </w:rPr>
            </w:pPr>
          </w:p>
        </w:tc>
        <w:tc>
          <w:tcPr>
            <w:tcW w:w="217" w:type="dxa"/>
          </w:tcPr>
          <w:p w14:paraId="20293976" w14:textId="77777777" w:rsidR="002C0FD9" w:rsidRPr="00CA25CF" w:rsidRDefault="002C0FD9" w:rsidP="00CA25CF">
            <w:pPr>
              <w:rPr>
                <w:rFonts w:cs="Arial"/>
                <w:color w:val="FF0000"/>
                <w:sz w:val="21"/>
                <w:szCs w:val="21"/>
              </w:rPr>
            </w:pPr>
          </w:p>
        </w:tc>
        <w:tc>
          <w:tcPr>
            <w:tcW w:w="217" w:type="dxa"/>
          </w:tcPr>
          <w:p w14:paraId="688E29B3" w14:textId="77777777" w:rsidR="002C0FD9" w:rsidRPr="00CA25CF" w:rsidRDefault="002C0FD9" w:rsidP="00CA25CF">
            <w:pPr>
              <w:rPr>
                <w:rFonts w:cs="Arial"/>
                <w:color w:val="FF0000"/>
                <w:sz w:val="21"/>
                <w:szCs w:val="21"/>
              </w:rPr>
            </w:pPr>
          </w:p>
        </w:tc>
      </w:tr>
      <w:tr w:rsidR="002C0FD9" w:rsidRPr="00A16219" w14:paraId="2FA73A21" w14:textId="68C131FF" w:rsidTr="002C0FD9">
        <w:trPr>
          <w:trHeight w:val="635"/>
        </w:trPr>
        <w:tc>
          <w:tcPr>
            <w:tcW w:w="515" w:type="dxa"/>
          </w:tcPr>
          <w:p w14:paraId="58C2FBF7" w14:textId="77777777" w:rsidR="002C0FD9" w:rsidRPr="00CA25CF" w:rsidRDefault="002C0FD9" w:rsidP="00CA25CF">
            <w:pPr>
              <w:rPr>
                <w:rFonts w:cs="Arial"/>
                <w:color w:val="FF0000"/>
                <w:sz w:val="21"/>
                <w:szCs w:val="21"/>
              </w:rPr>
            </w:pPr>
          </w:p>
        </w:tc>
        <w:tc>
          <w:tcPr>
            <w:tcW w:w="217" w:type="dxa"/>
          </w:tcPr>
          <w:p w14:paraId="3200E7BD" w14:textId="77777777" w:rsidR="002C0FD9" w:rsidRPr="00CA25CF" w:rsidRDefault="002C0FD9" w:rsidP="00CA25CF">
            <w:pPr>
              <w:rPr>
                <w:rFonts w:cs="Arial"/>
                <w:color w:val="FF0000"/>
                <w:sz w:val="21"/>
                <w:szCs w:val="21"/>
              </w:rPr>
            </w:pPr>
          </w:p>
        </w:tc>
        <w:tc>
          <w:tcPr>
            <w:tcW w:w="217" w:type="dxa"/>
          </w:tcPr>
          <w:p w14:paraId="4B490719" w14:textId="6DD225CC" w:rsidR="002C0FD9" w:rsidRPr="00CA25CF" w:rsidRDefault="002C0FD9" w:rsidP="00CA25CF">
            <w:pPr>
              <w:rPr>
                <w:rFonts w:cs="Arial"/>
                <w:color w:val="FF0000"/>
                <w:sz w:val="21"/>
                <w:szCs w:val="21"/>
              </w:rPr>
            </w:pPr>
          </w:p>
        </w:tc>
        <w:tc>
          <w:tcPr>
            <w:tcW w:w="217" w:type="dxa"/>
          </w:tcPr>
          <w:p w14:paraId="4BA23827" w14:textId="77777777" w:rsidR="002C0FD9" w:rsidRPr="00CA25CF" w:rsidRDefault="002C0FD9" w:rsidP="00CA25CF">
            <w:pPr>
              <w:rPr>
                <w:rFonts w:cs="Arial"/>
                <w:color w:val="FF0000"/>
                <w:sz w:val="21"/>
                <w:szCs w:val="21"/>
              </w:rPr>
            </w:pPr>
          </w:p>
        </w:tc>
        <w:tc>
          <w:tcPr>
            <w:tcW w:w="217" w:type="dxa"/>
          </w:tcPr>
          <w:p w14:paraId="2951037D" w14:textId="77777777" w:rsidR="002C0FD9" w:rsidRPr="00CA25CF" w:rsidRDefault="002C0FD9" w:rsidP="00CA25CF">
            <w:pPr>
              <w:rPr>
                <w:rFonts w:cs="Arial"/>
                <w:color w:val="FF0000"/>
                <w:sz w:val="21"/>
                <w:szCs w:val="21"/>
              </w:rPr>
            </w:pPr>
          </w:p>
        </w:tc>
        <w:tc>
          <w:tcPr>
            <w:tcW w:w="217" w:type="dxa"/>
          </w:tcPr>
          <w:p w14:paraId="23FFABA7" w14:textId="77777777" w:rsidR="002C0FD9" w:rsidRPr="00CA25CF" w:rsidRDefault="002C0FD9" w:rsidP="00CA25CF">
            <w:pPr>
              <w:rPr>
                <w:rFonts w:cs="Arial"/>
                <w:color w:val="FF0000"/>
                <w:sz w:val="21"/>
                <w:szCs w:val="21"/>
              </w:rPr>
            </w:pPr>
          </w:p>
        </w:tc>
        <w:tc>
          <w:tcPr>
            <w:tcW w:w="217" w:type="dxa"/>
          </w:tcPr>
          <w:p w14:paraId="2268E5F5" w14:textId="77777777" w:rsidR="002C0FD9" w:rsidRPr="00CA25CF" w:rsidRDefault="002C0FD9" w:rsidP="00CA25CF">
            <w:pPr>
              <w:rPr>
                <w:rFonts w:cs="Arial"/>
                <w:color w:val="FF0000"/>
                <w:sz w:val="21"/>
                <w:szCs w:val="21"/>
              </w:rPr>
            </w:pPr>
          </w:p>
        </w:tc>
        <w:tc>
          <w:tcPr>
            <w:tcW w:w="217" w:type="dxa"/>
          </w:tcPr>
          <w:p w14:paraId="2D4ABC00" w14:textId="77777777" w:rsidR="002C0FD9" w:rsidRPr="00CA25CF" w:rsidRDefault="002C0FD9" w:rsidP="00CA25CF">
            <w:pPr>
              <w:rPr>
                <w:rFonts w:cs="Arial"/>
                <w:color w:val="FF0000"/>
                <w:sz w:val="21"/>
                <w:szCs w:val="21"/>
              </w:rPr>
            </w:pPr>
          </w:p>
        </w:tc>
        <w:tc>
          <w:tcPr>
            <w:tcW w:w="217" w:type="dxa"/>
          </w:tcPr>
          <w:p w14:paraId="271B173B" w14:textId="77777777" w:rsidR="002C0FD9" w:rsidRPr="00CA25CF" w:rsidRDefault="002C0FD9" w:rsidP="00CA25CF">
            <w:pPr>
              <w:rPr>
                <w:rFonts w:cs="Arial"/>
                <w:color w:val="FF0000"/>
                <w:sz w:val="21"/>
                <w:szCs w:val="21"/>
              </w:rPr>
            </w:pPr>
          </w:p>
        </w:tc>
        <w:tc>
          <w:tcPr>
            <w:tcW w:w="217" w:type="dxa"/>
          </w:tcPr>
          <w:p w14:paraId="5556F3FF" w14:textId="77777777" w:rsidR="002C0FD9" w:rsidRPr="00CA25CF" w:rsidRDefault="002C0FD9" w:rsidP="00CA25CF">
            <w:pPr>
              <w:rPr>
                <w:rFonts w:cs="Arial"/>
                <w:color w:val="FF0000"/>
                <w:sz w:val="21"/>
                <w:szCs w:val="21"/>
              </w:rPr>
            </w:pPr>
          </w:p>
        </w:tc>
        <w:tc>
          <w:tcPr>
            <w:tcW w:w="217" w:type="dxa"/>
          </w:tcPr>
          <w:p w14:paraId="03DB5502" w14:textId="77777777" w:rsidR="002C0FD9" w:rsidRPr="00CA25CF" w:rsidRDefault="002C0FD9" w:rsidP="00CA25CF">
            <w:pPr>
              <w:rPr>
                <w:rFonts w:cs="Arial"/>
                <w:color w:val="FF0000"/>
                <w:sz w:val="21"/>
                <w:szCs w:val="21"/>
              </w:rPr>
            </w:pPr>
          </w:p>
        </w:tc>
        <w:tc>
          <w:tcPr>
            <w:tcW w:w="217" w:type="dxa"/>
          </w:tcPr>
          <w:p w14:paraId="1058D943" w14:textId="77777777" w:rsidR="002C0FD9" w:rsidRPr="00CA25CF" w:rsidRDefault="002C0FD9" w:rsidP="00CA25CF">
            <w:pPr>
              <w:rPr>
                <w:rFonts w:cs="Arial"/>
                <w:color w:val="FF0000"/>
                <w:sz w:val="21"/>
                <w:szCs w:val="21"/>
              </w:rPr>
            </w:pPr>
          </w:p>
        </w:tc>
        <w:tc>
          <w:tcPr>
            <w:tcW w:w="217" w:type="dxa"/>
          </w:tcPr>
          <w:p w14:paraId="3B93A746" w14:textId="77777777" w:rsidR="002C0FD9" w:rsidRPr="00CA25CF" w:rsidRDefault="002C0FD9" w:rsidP="00CA25CF">
            <w:pPr>
              <w:rPr>
                <w:rFonts w:cs="Arial"/>
                <w:color w:val="FF0000"/>
                <w:sz w:val="21"/>
                <w:szCs w:val="21"/>
              </w:rPr>
            </w:pPr>
          </w:p>
        </w:tc>
        <w:tc>
          <w:tcPr>
            <w:tcW w:w="217" w:type="dxa"/>
          </w:tcPr>
          <w:p w14:paraId="2A84EA4B" w14:textId="77777777" w:rsidR="002C0FD9" w:rsidRPr="00CA25CF" w:rsidRDefault="002C0FD9" w:rsidP="00CA25CF">
            <w:pPr>
              <w:rPr>
                <w:rFonts w:cs="Arial"/>
                <w:color w:val="FF0000"/>
                <w:sz w:val="21"/>
                <w:szCs w:val="21"/>
              </w:rPr>
            </w:pPr>
          </w:p>
        </w:tc>
        <w:tc>
          <w:tcPr>
            <w:tcW w:w="217" w:type="dxa"/>
          </w:tcPr>
          <w:p w14:paraId="481D0C1F" w14:textId="77777777" w:rsidR="002C0FD9" w:rsidRPr="00CA25CF" w:rsidRDefault="002C0FD9" w:rsidP="00CA25CF">
            <w:pPr>
              <w:rPr>
                <w:rFonts w:cs="Arial"/>
                <w:color w:val="FF0000"/>
                <w:sz w:val="21"/>
                <w:szCs w:val="21"/>
              </w:rPr>
            </w:pPr>
          </w:p>
        </w:tc>
        <w:tc>
          <w:tcPr>
            <w:tcW w:w="217" w:type="dxa"/>
          </w:tcPr>
          <w:p w14:paraId="1D66E90A" w14:textId="77777777" w:rsidR="002C0FD9" w:rsidRPr="00CA25CF" w:rsidRDefault="002C0FD9" w:rsidP="00CA25CF">
            <w:pPr>
              <w:rPr>
                <w:rFonts w:cs="Arial"/>
                <w:color w:val="FF0000"/>
                <w:sz w:val="21"/>
                <w:szCs w:val="21"/>
              </w:rPr>
            </w:pPr>
          </w:p>
        </w:tc>
        <w:tc>
          <w:tcPr>
            <w:tcW w:w="217" w:type="dxa"/>
          </w:tcPr>
          <w:p w14:paraId="1006EE11" w14:textId="77777777" w:rsidR="002C0FD9" w:rsidRPr="00CA25CF" w:rsidRDefault="002C0FD9" w:rsidP="00CA25CF">
            <w:pPr>
              <w:rPr>
                <w:rFonts w:cs="Arial"/>
                <w:color w:val="FF0000"/>
                <w:sz w:val="21"/>
                <w:szCs w:val="21"/>
              </w:rPr>
            </w:pPr>
          </w:p>
        </w:tc>
        <w:tc>
          <w:tcPr>
            <w:tcW w:w="217" w:type="dxa"/>
          </w:tcPr>
          <w:p w14:paraId="74E7B5F3" w14:textId="77777777" w:rsidR="002C0FD9" w:rsidRPr="00CA25CF" w:rsidRDefault="002C0FD9" w:rsidP="00CA25CF">
            <w:pPr>
              <w:rPr>
                <w:rFonts w:cs="Arial"/>
                <w:color w:val="FF0000"/>
                <w:sz w:val="21"/>
                <w:szCs w:val="21"/>
              </w:rPr>
            </w:pPr>
          </w:p>
        </w:tc>
        <w:tc>
          <w:tcPr>
            <w:tcW w:w="217" w:type="dxa"/>
          </w:tcPr>
          <w:p w14:paraId="783C18D2" w14:textId="77777777" w:rsidR="002C0FD9" w:rsidRPr="00CA25CF" w:rsidRDefault="002C0FD9" w:rsidP="00CA25CF">
            <w:pPr>
              <w:rPr>
                <w:rFonts w:cs="Arial"/>
                <w:color w:val="FF0000"/>
                <w:sz w:val="21"/>
                <w:szCs w:val="21"/>
              </w:rPr>
            </w:pPr>
          </w:p>
        </w:tc>
        <w:tc>
          <w:tcPr>
            <w:tcW w:w="217" w:type="dxa"/>
          </w:tcPr>
          <w:p w14:paraId="34911F8F" w14:textId="77777777" w:rsidR="002C0FD9" w:rsidRPr="00CA25CF" w:rsidRDefault="002C0FD9" w:rsidP="00CA25CF">
            <w:pPr>
              <w:rPr>
                <w:rFonts w:cs="Arial"/>
                <w:color w:val="FF0000"/>
                <w:sz w:val="21"/>
                <w:szCs w:val="21"/>
              </w:rPr>
            </w:pPr>
          </w:p>
        </w:tc>
        <w:tc>
          <w:tcPr>
            <w:tcW w:w="217" w:type="dxa"/>
          </w:tcPr>
          <w:p w14:paraId="3E7480C0" w14:textId="77777777" w:rsidR="002C0FD9" w:rsidRPr="00CA25CF" w:rsidRDefault="002C0FD9" w:rsidP="00CA25CF">
            <w:pPr>
              <w:rPr>
                <w:rFonts w:cs="Arial"/>
                <w:color w:val="FF0000"/>
                <w:sz w:val="21"/>
                <w:szCs w:val="21"/>
              </w:rPr>
            </w:pPr>
          </w:p>
        </w:tc>
        <w:tc>
          <w:tcPr>
            <w:tcW w:w="217" w:type="dxa"/>
          </w:tcPr>
          <w:p w14:paraId="167C0A63" w14:textId="77777777" w:rsidR="002C0FD9" w:rsidRPr="00CA25CF" w:rsidRDefault="002C0FD9" w:rsidP="00CA25CF">
            <w:pPr>
              <w:rPr>
                <w:rFonts w:cs="Arial"/>
                <w:color w:val="FF0000"/>
                <w:sz w:val="21"/>
                <w:szCs w:val="21"/>
              </w:rPr>
            </w:pPr>
          </w:p>
        </w:tc>
        <w:tc>
          <w:tcPr>
            <w:tcW w:w="217" w:type="dxa"/>
          </w:tcPr>
          <w:p w14:paraId="56A7E2F2" w14:textId="77777777" w:rsidR="002C0FD9" w:rsidRPr="00CA25CF" w:rsidRDefault="002C0FD9" w:rsidP="00CA25CF">
            <w:pPr>
              <w:rPr>
                <w:rFonts w:cs="Arial"/>
                <w:color w:val="FF0000"/>
                <w:sz w:val="21"/>
                <w:szCs w:val="21"/>
              </w:rPr>
            </w:pPr>
          </w:p>
        </w:tc>
        <w:tc>
          <w:tcPr>
            <w:tcW w:w="217" w:type="dxa"/>
          </w:tcPr>
          <w:p w14:paraId="01BA4505" w14:textId="77777777" w:rsidR="002C0FD9" w:rsidRPr="00CA25CF" w:rsidRDefault="002C0FD9" w:rsidP="00CA25CF">
            <w:pPr>
              <w:rPr>
                <w:rFonts w:cs="Arial"/>
                <w:color w:val="FF0000"/>
                <w:sz w:val="21"/>
                <w:szCs w:val="21"/>
              </w:rPr>
            </w:pPr>
          </w:p>
        </w:tc>
        <w:tc>
          <w:tcPr>
            <w:tcW w:w="217" w:type="dxa"/>
          </w:tcPr>
          <w:p w14:paraId="61F681E5" w14:textId="77777777" w:rsidR="002C0FD9" w:rsidRPr="00CA25CF" w:rsidRDefault="002C0FD9" w:rsidP="00CA25CF">
            <w:pPr>
              <w:rPr>
                <w:rFonts w:cs="Arial"/>
                <w:color w:val="FF0000"/>
                <w:sz w:val="21"/>
                <w:szCs w:val="21"/>
              </w:rPr>
            </w:pPr>
          </w:p>
        </w:tc>
        <w:tc>
          <w:tcPr>
            <w:tcW w:w="217" w:type="dxa"/>
          </w:tcPr>
          <w:p w14:paraId="48E2070F" w14:textId="77777777" w:rsidR="002C0FD9" w:rsidRPr="00CA25CF" w:rsidRDefault="002C0FD9" w:rsidP="00CA25CF">
            <w:pPr>
              <w:rPr>
                <w:rFonts w:cs="Arial"/>
                <w:color w:val="FF0000"/>
                <w:sz w:val="21"/>
                <w:szCs w:val="21"/>
              </w:rPr>
            </w:pPr>
          </w:p>
        </w:tc>
        <w:tc>
          <w:tcPr>
            <w:tcW w:w="217" w:type="dxa"/>
          </w:tcPr>
          <w:p w14:paraId="2235A544" w14:textId="77777777" w:rsidR="002C0FD9" w:rsidRPr="00CA25CF" w:rsidRDefault="002C0FD9" w:rsidP="00CA25CF">
            <w:pPr>
              <w:rPr>
                <w:rFonts w:cs="Arial"/>
                <w:color w:val="FF0000"/>
                <w:sz w:val="21"/>
                <w:szCs w:val="21"/>
              </w:rPr>
            </w:pPr>
          </w:p>
        </w:tc>
        <w:tc>
          <w:tcPr>
            <w:tcW w:w="217" w:type="dxa"/>
          </w:tcPr>
          <w:p w14:paraId="7F11DADF" w14:textId="77777777" w:rsidR="002C0FD9" w:rsidRPr="00CA25CF" w:rsidRDefault="002C0FD9" w:rsidP="00CA25CF">
            <w:pPr>
              <w:rPr>
                <w:rFonts w:cs="Arial"/>
                <w:color w:val="FF0000"/>
                <w:sz w:val="21"/>
                <w:szCs w:val="21"/>
              </w:rPr>
            </w:pPr>
          </w:p>
        </w:tc>
        <w:tc>
          <w:tcPr>
            <w:tcW w:w="217" w:type="dxa"/>
          </w:tcPr>
          <w:p w14:paraId="6B068D8D" w14:textId="77777777" w:rsidR="002C0FD9" w:rsidRPr="00CA25CF" w:rsidRDefault="002C0FD9" w:rsidP="00CA25CF">
            <w:pPr>
              <w:rPr>
                <w:rFonts w:cs="Arial"/>
                <w:color w:val="FF0000"/>
                <w:sz w:val="21"/>
                <w:szCs w:val="21"/>
              </w:rPr>
            </w:pPr>
          </w:p>
        </w:tc>
        <w:tc>
          <w:tcPr>
            <w:tcW w:w="217" w:type="dxa"/>
          </w:tcPr>
          <w:p w14:paraId="757153AE" w14:textId="77777777" w:rsidR="002C0FD9" w:rsidRPr="00CA25CF" w:rsidRDefault="002C0FD9" w:rsidP="00CA25CF">
            <w:pPr>
              <w:rPr>
                <w:rFonts w:cs="Arial"/>
                <w:color w:val="FF0000"/>
                <w:sz w:val="21"/>
                <w:szCs w:val="21"/>
              </w:rPr>
            </w:pPr>
          </w:p>
        </w:tc>
        <w:tc>
          <w:tcPr>
            <w:tcW w:w="217" w:type="dxa"/>
          </w:tcPr>
          <w:p w14:paraId="17A424FD" w14:textId="77777777" w:rsidR="002C0FD9" w:rsidRPr="00CA25CF" w:rsidRDefault="002C0FD9" w:rsidP="00CA25CF">
            <w:pPr>
              <w:rPr>
                <w:rFonts w:cs="Arial"/>
                <w:color w:val="FF0000"/>
                <w:sz w:val="21"/>
                <w:szCs w:val="21"/>
              </w:rPr>
            </w:pPr>
          </w:p>
        </w:tc>
        <w:tc>
          <w:tcPr>
            <w:tcW w:w="217" w:type="dxa"/>
          </w:tcPr>
          <w:p w14:paraId="0F2BAB3F" w14:textId="77777777" w:rsidR="002C0FD9" w:rsidRPr="00CA25CF" w:rsidRDefault="002C0FD9" w:rsidP="00CA25CF">
            <w:pPr>
              <w:rPr>
                <w:rFonts w:cs="Arial"/>
                <w:color w:val="FF0000"/>
                <w:sz w:val="21"/>
                <w:szCs w:val="21"/>
              </w:rPr>
            </w:pPr>
          </w:p>
        </w:tc>
        <w:tc>
          <w:tcPr>
            <w:tcW w:w="217" w:type="dxa"/>
          </w:tcPr>
          <w:p w14:paraId="19553F3E" w14:textId="77777777" w:rsidR="002C0FD9" w:rsidRPr="00CA25CF" w:rsidRDefault="002C0FD9" w:rsidP="00CA25CF">
            <w:pPr>
              <w:rPr>
                <w:rFonts w:cs="Arial"/>
                <w:color w:val="FF0000"/>
                <w:sz w:val="21"/>
                <w:szCs w:val="21"/>
              </w:rPr>
            </w:pPr>
          </w:p>
        </w:tc>
        <w:tc>
          <w:tcPr>
            <w:tcW w:w="217" w:type="dxa"/>
          </w:tcPr>
          <w:p w14:paraId="7667FF91" w14:textId="77777777" w:rsidR="002C0FD9" w:rsidRPr="00CA25CF" w:rsidRDefault="002C0FD9" w:rsidP="00CA25CF">
            <w:pPr>
              <w:rPr>
                <w:rFonts w:cs="Arial"/>
                <w:color w:val="FF0000"/>
                <w:sz w:val="21"/>
                <w:szCs w:val="21"/>
              </w:rPr>
            </w:pPr>
          </w:p>
        </w:tc>
        <w:tc>
          <w:tcPr>
            <w:tcW w:w="217" w:type="dxa"/>
          </w:tcPr>
          <w:p w14:paraId="0EC459E9" w14:textId="77777777" w:rsidR="002C0FD9" w:rsidRPr="00CA25CF" w:rsidRDefault="002C0FD9" w:rsidP="00CA25CF">
            <w:pPr>
              <w:rPr>
                <w:rFonts w:cs="Arial"/>
                <w:color w:val="FF0000"/>
                <w:sz w:val="21"/>
                <w:szCs w:val="21"/>
              </w:rPr>
            </w:pPr>
          </w:p>
        </w:tc>
        <w:tc>
          <w:tcPr>
            <w:tcW w:w="217" w:type="dxa"/>
          </w:tcPr>
          <w:p w14:paraId="1DB9F944" w14:textId="77777777" w:rsidR="002C0FD9" w:rsidRPr="00CA25CF" w:rsidRDefault="002C0FD9" w:rsidP="00CA25CF">
            <w:pPr>
              <w:rPr>
                <w:rFonts w:cs="Arial"/>
                <w:color w:val="FF0000"/>
                <w:sz w:val="21"/>
                <w:szCs w:val="21"/>
              </w:rPr>
            </w:pPr>
          </w:p>
        </w:tc>
        <w:tc>
          <w:tcPr>
            <w:tcW w:w="217" w:type="dxa"/>
          </w:tcPr>
          <w:p w14:paraId="029C7355" w14:textId="77777777" w:rsidR="002C0FD9" w:rsidRPr="00CA25CF" w:rsidRDefault="002C0FD9" w:rsidP="00CA25CF">
            <w:pPr>
              <w:rPr>
                <w:rFonts w:cs="Arial"/>
                <w:color w:val="FF0000"/>
                <w:sz w:val="21"/>
                <w:szCs w:val="21"/>
              </w:rPr>
            </w:pPr>
          </w:p>
        </w:tc>
        <w:tc>
          <w:tcPr>
            <w:tcW w:w="217" w:type="dxa"/>
          </w:tcPr>
          <w:p w14:paraId="47013E3F" w14:textId="77777777" w:rsidR="002C0FD9" w:rsidRPr="00CA25CF" w:rsidRDefault="002C0FD9" w:rsidP="00CA25CF">
            <w:pPr>
              <w:rPr>
                <w:rFonts w:cs="Arial"/>
                <w:color w:val="FF0000"/>
                <w:sz w:val="21"/>
                <w:szCs w:val="21"/>
              </w:rPr>
            </w:pPr>
          </w:p>
        </w:tc>
        <w:tc>
          <w:tcPr>
            <w:tcW w:w="217" w:type="dxa"/>
          </w:tcPr>
          <w:p w14:paraId="15BDE3D6" w14:textId="77777777" w:rsidR="002C0FD9" w:rsidRPr="00CA25CF" w:rsidRDefault="002C0FD9" w:rsidP="00CA25CF">
            <w:pPr>
              <w:rPr>
                <w:rFonts w:cs="Arial"/>
                <w:color w:val="FF0000"/>
                <w:sz w:val="21"/>
                <w:szCs w:val="21"/>
              </w:rPr>
            </w:pPr>
          </w:p>
        </w:tc>
        <w:tc>
          <w:tcPr>
            <w:tcW w:w="217" w:type="dxa"/>
          </w:tcPr>
          <w:p w14:paraId="30DA5745" w14:textId="77777777" w:rsidR="002C0FD9" w:rsidRPr="00CA25CF" w:rsidRDefault="002C0FD9" w:rsidP="00CA25CF">
            <w:pPr>
              <w:rPr>
                <w:rFonts w:cs="Arial"/>
                <w:color w:val="FF0000"/>
                <w:sz w:val="21"/>
                <w:szCs w:val="21"/>
              </w:rPr>
            </w:pPr>
          </w:p>
        </w:tc>
        <w:tc>
          <w:tcPr>
            <w:tcW w:w="217" w:type="dxa"/>
          </w:tcPr>
          <w:p w14:paraId="4352B354" w14:textId="77777777" w:rsidR="002C0FD9" w:rsidRPr="00CA25CF" w:rsidRDefault="002C0FD9" w:rsidP="00CA25CF">
            <w:pPr>
              <w:rPr>
                <w:rFonts w:cs="Arial"/>
                <w:color w:val="FF0000"/>
                <w:sz w:val="21"/>
                <w:szCs w:val="21"/>
              </w:rPr>
            </w:pPr>
          </w:p>
        </w:tc>
        <w:tc>
          <w:tcPr>
            <w:tcW w:w="217" w:type="dxa"/>
          </w:tcPr>
          <w:p w14:paraId="56B67F5F" w14:textId="77777777" w:rsidR="002C0FD9" w:rsidRPr="00CA25CF" w:rsidRDefault="002C0FD9" w:rsidP="00CA25CF">
            <w:pPr>
              <w:rPr>
                <w:rFonts w:cs="Arial"/>
                <w:color w:val="FF0000"/>
                <w:sz w:val="21"/>
                <w:szCs w:val="21"/>
              </w:rPr>
            </w:pPr>
          </w:p>
        </w:tc>
        <w:tc>
          <w:tcPr>
            <w:tcW w:w="217" w:type="dxa"/>
          </w:tcPr>
          <w:p w14:paraId="324141E5" w14:textId="77777777" w:rsidR="002C0FD9" w:rsidRPr="00CA25CF" w:rsidRDefault="002C0FD9" w:rsidP="00CA25CF">
            <w:pPr>
              <w:rPr>
                <w:rFonts w:cs="Arial"/>
                <w:color w:val="FF0000"/>
                <w:sz w:val="21"/>
                <w:szCs w:val="21"/>
              </w:rPr>
            </w:pPr>
          </w:p>
        </w:tc>
      </w:tr>
      <w:tr w:rsidR="002C0FD9" w:rsidRPr="00A16219" w14:paraId="6363E61F" w14:textId="3B6B6179" w:rsidTr="002C0FD9">
        <w:trPr>
          <w:trHeight w:val="635"/>
        </w:trPr>
        <w:tc>
          <w:tcPr>
            <w:tcW w:w="515" w:type="dxa"/>
          </w:tcPr>
          <w:p w14:paraId="3D6DC660" w14:textId="77777777" w:rsidR="002C0FD9" w:rsidRPr="00CA25CF" w:rsidRDefault="002C0FD9" w:rsidP="00CA25CF">
            <w:pPr>
              <w:rPr>
                <w:rFonts w:cs="Arial"/>
                <w:color w:val="FF0000"/>
                <w:sz w:val="21"/>
                <w:szCs w:val="21"/>
              </w:rPr>
            </w:pPr>
          </w:p>
        </w:tc>
        <w:tc>
          <w:tcPr>
            <w:tcW w:w="217" w:type="dxa"/>
          </w:tcPr>
          <w:p w14:paraId="6993EB6C" w14:textId="77777777" w:rsidR="002C0FD9" w:rsidRPr="00CA25CF" w:rsidRDefault="002C0FD9" w:rsidP="00CA25CF">
            <w:pPr>
              <w:rPr>
                <w:rFonts w:cs="Arial"/>
                <w:color w:val="FF0000"/>
                <w:sz w:val="21"/>
                <w:szCs w:val="21"/>
              </w:rPr>
            </w:pPr>
          </w:p>
        </w:tc>
        <w:tc>
          <w:tcPr>
            <w:tcW w:w="217" w:type="dxa"/>
          </w:tcPr>
          <w:p w14:paraId="3760282B" w14:textId="464BEB6F" w:rsidR="002C0FD9" w:rsidRPr="00CA25CF" w:rsidRDefault="002C0FD9" w:rsidP="00CA25CF">
            <w:pPr>
              <w:rPr>
                <w:rFonts w:cs="Arial"/>
                <w:color w:val="FF0000"/>
                <w:sz w:val="21"/>
                <w:szCs w:val="21"/>
              </w:rPr>
            </w:pPr>
          </w:p>
        </w:tc>
        <w:tc>
          <w:tcPr>
            <w:tcW w:w="217" w:type="dxa"/>
          </w:tcPr>
          <w:p w14:paraId="7EF1C48C" w14:textId="77777777" w:rsidR="002C0FD9" w:rsidRPr="00CA25CF" w:rsidRDefault="002C0FD9" w:rsidP="00CA25CF">
            <w:pPr>
              <w:rPr>
                <w:rFonts w:cs="Arial"/>
                <w:color w:val="FF0000"/>
                <w:sz w:val="21"/>
                <w:szCs w:val="21"/>
              </w:rPr>
            </w:pPr>
          </w:p>
        </w:tc>
        <w:tc>
          <w:tcPr>
            <w:tcW w:w="217" w:type="dxa"/>
          </w:tcPr>
          <w:p w14:paraId="1C0E2147" w14:textId="77777777" w:rsidR="002C0FD9" w:rsidRPr="00CA25CF" w:rsidRDefault="002C0FD9" w:rsidP="00CA25CF">
            <w:pPr>
              <w:rPr>
                <w:rFonts w:cs="Arial"/>
                <w:color w:val="FF0000"/>
                <w:sz w:val="21"/>
                <w:szCs w:val="21"/>
              </w:rPr>
            </w:pPr>
          </w:p>
        </w:tc>
        <w:tc>
          <w:tcPr>
            <w:tcW w:w="217" w:type="dxa"/>
          </w:tcPr>
          <w:p w14:paraId="651F625A" w14:textId="77777777" w:rsidR="002C0FD9" w:rsidRPr="00CA25CF" w:rsidRDefault="002C0FD9" w:rsidP="00CA25CF">
            <w:pPr>
              <w:rPr>
                <w:rFonts w:cs="Arial"/>
                <w:color w:val="FF0000"/>
                <w:sz w:val="21"/>
                <w:szCs w:val="21"/>
              </w:rPr>
            </w:pPr>
          </w:p>
        </w:tc>
        <w:tc>
          <w:tcPr>
            <w:tcW w:w="217" w:type="dxa"/>
          </w:tcPr>
          <w:p w14:paraId="000D146E" w14:textId="77777777" w:rsidR="002C0FD9" w:rsidRPr="00CA25CF" w:rsidRDefault="002C0FD9" w:rsidP="00CA25CF">
            <w:pPr>
              <w:rPr>
                <w:rFonts w:cs="Arial"/>
                <w:color w:val="FF0000"/>
                <w:sz w:val="21"/>
                <w:szCs w:val="21"/>
              </w:rPr>
            </w:pPr>
          </w:p>
        </w:tc>
        <w:tc>
          <w:tcPr>
            <w:tcW w:w="217" w:type="dxa"/>
          </w:tcPr>
          <w:p w14:paraId="10D56B7F" w14:textId="77777777" w:rsidR="002C0FD9" w:rsidRPr="00CA25CF" w:rsidRDefault="002C0FD9" w:rsidP="00CA25CF">
            <w:pPr>
              <w:rPr>
                <w:rFonts w:cs="Arial"/>
                <w:color w:val="FF0000"/>
                <w:sz w:val="21"/>
                <w:szCs w:val="21"/>
              </w:rPr>
            </w:pPr>
          </w:p>
        </w:tc>
        <w:tc>
          <w:tcPr>
            <w:tcW w:w="217" w:type="dxa"/>
          </w:tcPr>
          <w:p w14:paraId="6689AF11" w14:textId="77777777" w:rsidR="002C0FD9" w:rsidRPr="00CA25CF" w:rsidRDefault="002C0FD9" w:rsidP="00CA25CF">
            <w:pPr>
              <w:rPr>
                <w:rFonts w:cs="Arial"/>
                <w:color w:val="FF0000"/>
                <w:sz w:val="21"/>
                <w:szCs w:val="21"/>
              </w:rPr>
            </w:pPr>
          </w:p>
        </w:tc>
        <w:tc>
          <w:tcPr>
            <w:tcW w:w="217" w:type="dxa"/>
          </w:tcPr>
          <w:p w14:paraId="4B0E150E" w14:textId="77777777" w:rsidR="002C0FD9" w:rsidRPr="00CA25CF" w:rsidRDefault="002C0FD9" w:rsidP="00CA25CF">
            <w:pPr>
              <w:rPr>
                <w:rFonts w:cs="Arial"/>
                <w:color w:val="FF0000"/>
                <w:sz w:val="21"/>
                <w:szCs w:val="21"/>
              </w:rPr>
            </w:pPr>
          </w:p>
        </w:tc>
        <w:tc>
          <w:tcPr>
            <w:tcW w:w="217" w:type="dxa"/>
          </w:tcPr>
          <w:p w14:paraId="764AA7B4" w14:textId="77777777" w:rsidR="002C0FD9" w:rsidRPr="00CA25CF" w:rsidRDefault="002C0FD9" w:rsidP="00CA25CF">
            <w:pPr>
              <w:rPr>
                <w:rFonts w:cs="Arial"/>
                <w:color w:val="FF0000"/>
                <w:sz w:val="21"/>
                <w:szCs w:val="21"/>
              </w:rPr>
            </w:pPr>
          </w:p>
        </w:tc>
        <w:tc>
          <w:tcPr>
            <w:tcW w:w="217" w:type="dxa"/>
          </w:tcPr>
          <w:p w14:paraId="29109AA1" w14:textId="77777777" w:rsidR="002C0FD9" w:rsidRPr="00CA25CF" w:rsidRDefault="002C0FD9" w:rsidP="00CA25CF">
            <w:pPr>
              <w:rPr>
                <w:rFonts w:cs="Arial"/>
                <w:color w:val="FF0000"/>
                <w:sz w:val="21"/>
                <w:szCs w:val="21"/>
              </w:rPr>
            </w:pPr>
          </w:p>
        </w:tc>
        <w:tc>
          <w:tcPr>
            <w:tcW w:w="217" w:type="dxa"/>
          </w:tcPr>
          <w:p w14:paraId="7D08DE16" w14:textId="77777777" w:rsidR="002C0FD9" w:rsidRPr="00CA25CF" w:rsidRDefault="002C0FD9" w:rsidP="00CA25CF">
            <w:pPr>
              <w:rPr>
                <w:rFonts w:cs="Arial"/>
                <w:color w:val="FF0000"/>
                <w:sz w:val="21"/>
                <w:szCs w:val="21"/>
              </w:rPr>
            </w:pPr>
          </w:p>
        </w:tc>
        <w:tc>
          <w:tcPr>
            <w:tcW w:w="217" w:type="dxa"/>
          </w:tcPr>
          <w:p w14:paraId="583CFCC2" w14:textId="77777777" w:rsidR="002C0FD9" w:rsidRPr="00CA25CF" w:rsidRDefault="002C0FD9" w:rsidP="00CA25CF">
            <w:pPr>
              <w:rPr>
                <w:rFonts w:cs="Arial"/>
                <w:color w:val="FF0000"/>
                <w:sz w:val="21"/>
                <w:szCs w:val="21"/>
              </w:rPr>
            </w:pPr>
          </w:p>
        </w:tc>
        <w:tc>
          <w:tcPr>
            <w:tcW w:w="217" w:type="dxa"/>
          </w:tcPr>
          <w:p w14:paraId="36B9879A" w14:textId="77777777" w:rsidR="002C0FD9" w:rsidRPr="00CA25CF" w:rsidRDefault="002C0FD9" w:rsidP="00CA25CF">
            <w:pPr>
              <w:rPr>
                <w:rFonts w:cs="Arial"/>
                <w:color w:val="FF0000"/>
                <w:sz w:val="21"/>
                <w:szCs w:val="21"/>
              </w:rPr>
            </w:pPr>
          </w:p>
        </w:tc>
        <w:tc>
          <w:tcPr>
            <w:tcW w:w="217" w:type="dxa"/>
          </w:tcPr>
          <w:p w14:paraId="0693F2B8" w14:textId="77777777" w:rsidR="002C0FD9" w:rsidRPr="00CA25CF" w:rsidRDefault="002C0FD9" w:rsidP="00CA25CF">
            <w:pPr>
              <w:rPr>
                <w:rFonts w:cs="Arial"/>
                <w:color w:val="FF0000"/>
                <w:sz w:val="21"/>
                <w:szCs w:val="21"/>
              </w:rPr>
            </w:pPr>
          </w:p>
        </w:tc>
        <w:tc>
          <w:tcPr>
            <w:tcW w:w="217" w:type="dxa"/>
          </w:tcPr>
          <w:p w14:paraId="74D3332A" w14:textId="77777777" w:rsidR="002C0FD9" w:rsidRPr="00CA25CF" w:rsidRDefault="002C0FD9" w:rsidP="00CA25CF">
            <w:pPr>
              <w:rPr>
                <w:rFonts w:cs="Arial"/>
                <w:color w:val="FF0000"/>
                <w:sz w:val="21"/>
                <w:szCs w:val="21"/>
              </w:rPr>
            </w:pPr>
          </w:p>
        </w:tc>
        <w:tc>
          <w:tcPr>
            <w:tcW w:w="217" w:type="dxa"/>
          </w:tcPr>
          <w:p w14:paraId="655EC68B" w14:textId="77777777" w:rsidR="002C0FD9" w:rsidRPr="00CA25CF" w:rsidRDefault="002C0FD9" w:rsidP="00CA25CF">
            <w:pPr>
              <w:rPr>
                <w:rFonts w:cs="Arial"/>
                <w:color w:val="FF0000"/>
                <w:sz w:val="21"/>
                <w:szCs w:val="21"/>
              </w:rPr>
            </w:pPr>
          </w:p>
        </w:tc>
        <w:tc>
          <w:tcPr>
            <w:tcW w:w="217" w:type="dxa"/>
          </w:tcPr>
          <w:p w14:paraId="7FF3BF19" w14:textId="77777777" w:rsidR="002C0FD9" w:rsidRPr="00CA25CF" w:rsidRDefault="002C0FD9" w:rsidP="00CA25CF">
            <w:pPr>
              <w:rPr>
                <w:rFonts w:cs="Arial"/>
                <w:color w:val="FF0000"/>
                <w:sz w:val="21"/>
                <w:szCs w:val="21"/>
              </w:rPr>
            </w:pPr>
          </w:p>
        </w:tc>
        <w:tc>
          <w:tcPr>
            <w:tcW w:w="217" w:type="dxa"/>
          </w:tcPr>
          <w:p w14:paraId="44F724E8" w14:textId="77777777" w:rsidR="002C0FD9" w:rsidRPr="00CA25CF" w:rsidRDefault="002C0FD9" w:rsidP="00CA25CF">
            <w:pPr>
              <w:rPr>
                <w:rFonts w:cs="Arial"/>
                <w:color w:val="FF0000"/>
                <w:sz w:val="21"/>
                <w:szCs w:val="21"/>
              </w:rPr>
            </w:pPr>
          </w:p>
        </w:tc>
        <w:tc>
          <w:tcPr>
            <w:tcW w:w="217" w:type="dxa"/>
          </w:tcPr>
          <w:p w14:paraId="584FB7AA" w14:textId="77777777" w:rsidR="002C0FD9" w:rsidRPr="00CA25CF" w:rsidRDefault="002C0FD9" w:rsidP="00CA25CF">
            <w:pPr>
              <w:rPr>
                <w:rFonts w:cs="Arial"/>
                <w:color w:val="FF0000"/>
                <w:sz w:val="21"/>
                <w:szCs w:val="21"/>
              </w:rPr>
            </w:pPr>
          </w:p>
        </w:tc>
        <w:tc>
          <w:tcPr>
            <w:tcW w:w="217" w:type="dxa"/>
          </w:tcPr>
          <w:p w14:paraId="0545D75E" w14:textId="77777777" w:rsidR="002C0FD9" w:rsidRPr="00CA25CF" w:rsidRDefault="002C0FD9" w:rsidP="00CA25CF">
            <w:pPr>
              <w:rPr>
                <w:rFonts w:cs="Arial"/>
                <w:color w:val="FF0000"/>
                <w:sz w:val="21"/>
                <w:szCs w:val="21"/>
              </w:rPr>
            </w:pPr>
          </w:p>
        </w:tc>
        <w:tc>
          <w:tcPr>
            <w:tcW w:w="217" w:type="dxa"/>
          </w:tcPr>
          <w:p w14:paraId="21873F3E" w14:textId="77777777" w:rsidR="002C0FD9" w:rsidRPr="00CA25CF" w:rsidRDefault="002C0FD9" w:rsidP="00CA25CF">
            <w:pPr>
              <w:rPr>
                <w:rFonts w:cs="Arial"/>
                <w:color w:val="FF0000"/>
                <w:sz w:val="21"/>
                <w:szCs w:val="21"/>
              </w:rPr>
            </w:pPr>
          </w:p>
        </w:tc>
        <w:tc>
          <w:tcPr>
            <w:tcW w:w="217" w:type="dxa"/>
          </w:tcPr>
          <w:p w14:paraId="5C91F0A8" w14:textId="77777777" w:rsidR="002C0FD9" w:rsidRPr="00CA25CF" w:rsidRDefault="002C0FD9" w:rsidP="00CA25CF">
            <w:pPr>
              <w:rPr>
                <w:rFonts w:cs="Arial"/>
                <w:color w:val="FF0000"/>
                <w:sz w:val="21"/>
                <w:szCs w:val="21"/>
              </w:rPr>
            </w:pPr>
          </w:p>
        </w:tc>
        <w:tc>
          <w:tcPr>
            <w:tcW w:w="217" w:type="dxa"/>
          </w:tcPr>
          <w:p w14:paraId="65CA53A4" w14:textId="77777777" w:rsidR="002C0FD9" w:rsidRPr="00CA25CF" w:rsidRDefault="002C0FD9" w:rsidP="00CA25CF">
            <w:pPr>
              <w:rPr>
                <w:rFonts w:cs="Arial"/>
                <w:color w:val="FF0000"/>
                <w:sz w:val="21"/>
                <w:szCs w:val="21"/>
              </w:rPr>
            </w:pPr>
          </w:p>
        </w:tc>
        <w:tc>
          <w:tcPr>
            <w:tcW w:w="217" w:type="dxa"/>
          </w:tcPr>
          <w:p w14:paraId="1DF7A906" w14:textId="77777777" w:rsidR="002C0FD9" w:rsidRPr="00CA25CF" w:rsidRDefault="002C0FD9" w:rsidP="00CA25CF">
            <w:pPr>
              <w:rPr>
                <w:rFonts w:cs="Arial"/>
                <w:color w:val="FF0000"/>
                <w:sz w:val="21"/>
                <w:szCs w:val="21"/>
              </w:rPr>
            </w:pPr>
          </w:p>
        </w:tc>
        <w:tc>
          <w:tcPr>
            <w:tcW w:w="217" w:type="dxa"/>
          </w:tcPr>
          <w:p w14:paraId="411C1AFB" w14:textId="77777777" w:rsidR="002C0FD9" w:rsidRPr="00CA25CF" w:rsidRDefault="002C0FD9" w:rsidP="00CA25CF">
            <w:pPr>
              <w:rPr>
                <w:rFonts w:cs="Arial"/>
                <w:color w:val="FF0000"/>
                <w:sz w:val="21"/>
                <w:szCs w:val="21"/>
              </w:rPr>
            </w:pPr>
          </w:p>
        </w:tc>
        <w:tc>
          <w:tcPr>
            <w:tcW w:w="217" w:type="dxa"/>
          </w:tcPr>
          <w:p w14:paraId="6E43D3D1" w14:textId="77777777" w:rsidR="002C0FD9" w:rsidRPr="00CA25CF" w:rsidRDefault="002C0FD9" w:rsidP="00CA25CF">
            <w:pPr>
              <w:rPr>
                <w:rFonts w:cs="Arial"/>
                <w:color w:val="FF0000"/>
                <w:sz w:val="21"/>
                <w:szCs w:val="21"/>
              </w:rPr>
            </w:pPr>
          </w:p>
        </w:tc>
        <w:tc>
          <w:tcPr>
            <w:tcW w:w="217" w:type="dxa"/>
          </w:tcPr>
          <w:p w14:paraId="3B21E174" w14:textId="77777777" w:rsidR="002C0FD9" w:rsidRPr="00CA25CF" w:rsidRDefault="002C0FD9" w:rsidP="00CA25CF">
            <w:pPr>
              <w:rPr>
                <w:rFonts w:cs="Arial"/>
                <w:color w:val="FF0000"/>
                <w:sz w:val="21"/>
                <w:szCs w:val="21"/>
              </w:rPr>
            </w:pPr>
          </w:p>
        </w:tc>
        <w:tc>
          <w:tcPr>
            <w:tcW w:w="217" w:type="dxa"/>
          </w:tcPr>
          <w:p w14:paraId="1DD2E19B" w14:textId="77777777" w:rsidR="002C0FD9" w:rsidRPr="00CA25CF" w:rsidRDefault="002C0FD9" w:rsidP="00CA25CF">
            <w:pPr>
              <w:rPr>
                <w:rFonts w:cs="Arial"/>
                <w:color w:val="FF0000"/>
                <w:sz w:val="21"/>
                <w:szCs w:val="21"/>
              </w:rPr>
            </w:pPr>
          </w:p>
        </w:tc>
        <w:tc>
          <w:tcPr>
            <w:tcW w:w="217" w:type="dxa"/>
          </w:tcPr>
          <w:p w14:paraId="3E25AF35" w14:textId="77777777" w:rsidR="002C0FD9" w:rsidRPr="00CA25CF" w:rsidRDefault="002C0FD9" w:rsidP="00CA25CF">
            <w:pPr>
              <w:rPr>
                <w:rFonts w:cs="Arial"/>
                <w:color w:val="FF0000"/>
                <w:sz w:val="21"/>
                <w:szCs w:val="21"/>
              </w:rPr>
            </w:pPr>
          </w:p>
        </w:tc>
        <w:tc>
          <w:tcPr>
            <w:tcW w:w="217" w:type="dxa"/>
          </w:tcPr>
          <w:p w14:paraId="46BF4B10" w14:textId="77777777" w:rsidR="002C0FD9" w:rsidRPr="00CA25CF" w:rsidRDefault="002C0FD9" w:rsidP="00CA25CF">
            <w:pPr>
              <w:rPr>
                <w:rFonts w:cs="Arial"/>
                <w:color w:val="FF0000"/>
                <w:sz w:val="21"/>
                <w:szCs w:val="21"/>
              </w:rPr>
            </w:pPr>
          </w:p>
        </w:tc>
        <w:tc>
          <w:tcPr>
            <w:tcW w:w="217" w:type="dxa"/>
          </w:tcPr>
          <w:p w14:paraId="33AF713E" w14:textId="77777777" w:rsidR="002C0FD9" w:rsidRPr="00CA25CF" w:rsidRDefault="002C0FD9" w:rsidP="00CA25CF">
            <w:pPr>
              <w:rPr>
                <w:rFonts w:cs="Arial"/>
                <w:color w:val="FF0000"/>
                <w:sz w:val="21"/>
                <w:szCs w:val="21"/>
              </w:rPr>
            </w:pPr>
          </w:p>
        </w:tc>
        <w:tc>
          <w:tcPr>
            <w:tcW w:w="217" w:type="dxa"/>
          </w:tcPr>
          <w:p w14:paraId="6C98157D" w14:textId="77777777" w:rsidR="002C0FD9" w:rsidRPr="00CA25CF" w:rsidRDefault="002C0FD9" w:rsidP="00CA25CF">
            <w:pPr>
              <w:rPr>
                <w:rFonts w:cs="Arial"/>
                <w:color w:val="FF0000"/>
                <w:sz w:val="21"/>
                <w:szCs w:val="21"/>
              </w:rPr>
            </w:pPr>
          </w:p>
        </w:tc>
        <w:tc>
          <w:tcPr>
            <w:tcW w:w="217" w:type="dxa"/>
          </w:tcPr>
          <w:p w14:paraId="217D3E92" w14:textId="77777777" w:rsidR="002C0FD9" w:rsidRPr="00CA25CF" w:rsidRDefault="002C0FD9" w:rsidP="00CA25CF">
            <w:pPr>
              <w:rPr>
                <w:rFonts w:cs="Arial"/>
                <w:color w:val="FF0000"/>
                <w:sz w:val="21"/>
                <w:szCs w:val="21"/>
              </w:rPr>
            </w:pPr>
          </w:p>
        </w:tc>
        <w:tc>
          <w:tcPr>
            <w:tcW w:w="217" w:type="dxa"/>
          </w:tcPr>
          <w:p w14:paraId="5CD61891" w14:textId="77777777" w:rsidR="002C0FD9" w:rsidRPr="00CA25CF" w:rsidRDefault="002C0FD9" w:rsidP="00CA25CF">
            <w:pPr>
              <w:rPr>
                <w:rFonts w:cs="Arial"/>
                <w:color w:val="FF0000"/>
                <w:sz w:val="21"/>
                <w:szCs w:val="21"/>
              </w:rPr>
            </w:pPr>
          </w:p>
        </w:tc>
        <w:tc>
          <w:tcPr>
            <w:tcW w:w="217" w:type="dxa"/>
          </w:tcPr>
          <w:p w14:paraId="1C794EFD" w14:textId="77777777" w:rsidR="002C0FD9" w:rsidRPr="00CA25CF" w:rsidRDefault="002C0FD9" w:rsidP="00CA25CF">
            <w:pPr>
              <w:rPr>
                <w:rFonts w:cs="Arial"/>
                <w:color w:val="FF0000"/>
                <w:sz w:val="21"/>
                <w:szCs w:val="21"/>
              </w:rPr>
            </w:pPr>
          </w:p>
        </w:tc>
        <w:tc>
          <w:tcPr>
            <w:tcW w:w="217" w:type="dxa"/>
          </w:tcPr>
          <w:p w14:paraId="74D8115B" w14:textId="77777777" w:rsidR="002C0FD9" w:rsidRPr="00CA25CF" w:rsidRDefault="002C0FD9" w:rsidP="00CA25CF">
            <w:pPr>
              <w:rPr>
                <w:rFonts w:cs="Arial"/>
                <w:color w:val="FF0000"/>
                <w:sz w:val="21"/>
                <w:szCs w:val="21"/>
              </w:rPr>
            </w:pPr>
          </w:p>
        </w:tc>
        <w:tc>
          <w:tcPr>
            <w:tcW w:w="217" w:type="dxa"/>
          </w:tcPr>
          <w:p w14:paraId="201EBAE9" w14:textId="77777777" w:rsidR="002C0FD9" w:rsidRPr="00CA25CF" w:rsidRDefault="002C0FD9" w:rsidP="00CA25CF">
            <w:pPr>
              <w:rPr>
                <w:rFonts w:cs="Arial"/>
                <w:color w:val="FF0000"/>
                <w:sz w:val="21"/>
                <w:szCs w:val="21"/>
              </w:rPr>
            </w:pPr>
          </w:p>
        </w:tc>
        <w:tc>
          <w:tcPr>
            <w:tcW w:w="217" w:type="dxa"/>
          </w:tcPr>
          <w:p w14:paraId="55F530DE" w14:textId="77777777" w:rsidR="002C0FD9" w:rsidRPr="00CA25CF" w:rsidRDefault="002C0FD9" w:rsidP="00CA25CF">
            <w:pPr>
              <w:rPr>
                <w:rFonts w:cs="Arial"/>
                <w:color w:val="FF0000"/>
                <w:sz w:val="21"/>
                <w:szCs w:val="21"/>
              </w:rPr>
            </w:pPr>
          </w:p>
        </w:tc>
        <w:tc>
          <w:tcPr>
            <w:tcW w:w="217" w:type="dxa"/>
          </w:tcPr>
          <w:p w14:paraId="3A60A5A4" w14:textId="77777777" w:rsidR="002C0FD9" w:rsidRPr="00CA25CF" w:rsidRDefault="002C0FD9" w:rsidP="00CA25CF">
            <w:pPr>
              <w:rPr>
                <w:rFonts w:cs="Arial"/>
                <w:color w:val="FF0000"/>
                <w:sz w:val="21"/>
                <w:szCs w:val="21"/>
              </w:rPr>
            </w:pPr>
          </w:p>
        </w:tc>
        <w:tc>
          <w:tcPr>
            <w:tcW w:w="217" w:type="dxa"/>
          </w:tcPr>
          <w:p w14:paraId="28BF5B1F" w14:textId="77777777" w:rsidR="002C0FD9" w:rsidRPr="00CA25CF" w:rsidRDefault="002C0FD9" w:rsidP="00CA25CF">
            <w:pPr>
              <w:rPr>
                <w:rFonts w:cs="Arial"/>
                <w:color w:val="FF0000"/>
                <w:sz w:val="21"/>
                <w:szCs w:val="21"/>
              </w:rPr>
            </w:pPr>
          </w:p>
        </w:tc>
        <w:tc>
          <w:tcPr>
            <w:tcW w:w="217" w:type="dxa"/>
          </w:tcPr>
          <w:p w14:paraId="5017863C" w14:textId="77777777" w:rsidR="002C0FD9" w:rsidRPr="00CA25CF" w:rsidRDefault="002C0FD9" w:rsidP="00CA25CF">
            <w:pPr>
              <w:rPr>
                <w:rFonts w:cs="Arial"/>
                <w:color w:val="FF0000"/>
                <w:sz w:val="21"/>
                <w:szCs w:val="21"/>
              </w:rPr>
            </w:pPr>
          </w:p>
        </w:tc>
      </w:tr>
      <w:tr w:rsidR="002C0FD9" w:rsidRPr="00A16219" w14:paraId="55EB79A4" w14:textId="4AC86CD1" w:rsidTr="002C0FD9">
        <w:trPr>
          <w:trHeight w:val="635"/>
        </w:trPr>
        <w:tc>
          <w:tcPr>
            <w:tcW w:w="515" w:type="dxa"/>
          </w:tcPr>
          <w:p w14:paraId="0A801D37" w14:textId="77777777" w:rsidR="002C0FD9" w:rsidRPr="00CA25CF" w:rsidRDefault="002C0FD9" w:rsidP="00CA25CF">
            <w:pPr>
              <w:rPr>
                <w:rFonts w:cs="Arial"/>
                <w:color w:val="FF0000"/>
                <w:sz w:val="21"/>
                <w:szCs w:val="21"/>
              </w:rPr>
            </w:pPr>
          </w:p>
        </w:tc>
        <w:tc>
          <w:tcPr>
            <w:tcW w:w="217" w:type="dxa"/>
          </w:tcPr>
          <w:p w14:paraId="57CEB10F" w14:textId="77777777" w:rsidR="002C0FD9" w:rsidRPr="00CA25CF" w:rsidRDefault="002C0FD9" w:rsidP="00CA25CF">
            <w:pPr>
              <w:rPr>
                <w:rFonts w:cs="Arial"/>
                <w:color w:val="FF0000"/>
                <w:sz w:val="21"/>
                <w:szCs w:val="21"/>
              </w:rPr>
            </w:pPr>
          </w:p>
        </w:tc>
        <w:tc>
          <w:tcPr>
            <w:tcW w:w="217" w:type="dxa"/>
          </w:tcPr>
          <w:p w14:paraId="6FED744F" w14:textId="50974F6C" w:rsidR="002C0FD9" w:rsidRPr="00CA25CF" w:rsidRDefault="002C0FD9" w:rsidP="00CA25CF">
            <w:pPr>
              <w:rPr>
                <w:rFonts w:cs="Arial"/>
                <w:color w:val="FF0000"/>
                <w:sz w:val="21"/>
                <w:szCs w:val="21"/>
              </w:rPr>
            </w:pPr>
          </w:p>
        </w:tc>
        <w:tc>
          <w:tcPr>
            <w:tcW w:w="217" w:type="dxa"/>
          </w:tcPr>
          <w:p w14:paraId="0393F6C9" w14:textId="77777777" w:rsidR="002C0FD9" w:rsidRPr="00CA25CF" w:rsidRDefault="002C0FD9" w:rsidP="00CA25CF">
            <w:pPr>
              <w:rPr>
                <w:rFonts w:cs="Arial"/>
                <w:color w:val="FF0000"/>
                <w:sz w:val="21"/>
                <w:szCs w:val="21"/>
              </w:rPr>
            </w:pPr>
          </w:p>
        </w:tc>
        <w:tc>
          <w:tcPr>
            <w:tcW w:w="217" w:type="dxa"/>
          </w:tcPr>
          <w:p w14:paraId="5E6F28B4" w14:textId="77777777" w:rsidR="002C0FD9" w:rsidRPr="00CA25CF" w:rsidRDefault="002C0FD9" w:rsidP="00CA25CF">
            <w:pPr>
              <w:rPr>
                <w:rFonts w:cs="Arial"/>
                <w:color w:val="FF0000"/>
                <w:sz w:val="21"/>
                <w:szCs w:val="21"/>
              </w:rPr>
            </w:pPr>
          </w:p>
        </w:tc>
        <w:tc>
          <w:tcPr>
            <w:tcW w:w="217" w:type="dxa"/>
          </w:tcPr>
          <w:p w14:paraId="69795742" w14:textId="77777777" w:rsidR="002C0FD9" w:rsidRPr="00CA25CF" w:rsidRDefault="002C0FD9" w:rsidP="00CA25CF">
            <w:pPr>
              <w:rPr>
                <w:rFonts w:cs="Arial"/>
                <w:color w:val="FF0000"/>
                <w:sz w:val="21"/>
                <w:szCs w:val="21"/>
              </w:rPr>
            </w:pPr>
          </w:p>
        </w:tc>
        <w:tc>
          <w:tcPr>
            <w:tcW w:w="217" w:type="dxa"/>
          </w:tcPr>
          <w:p w14:paraId="6F155EF5" w14:textId="77777777" w:rsidR="002C0FD9" w:rsidRPr="00CA25CF" w:rsidRDefault="002C0FD9" w:rsidP="00CA25CF">
            <w:pPr>
              <w:rPr>
                <w:rFonts w:cs="Arial"/>
                <w:color w:val="FF0000"/>
                <w:sz w:val="21"/>
                <w:szCs w:val="21"/>
              </w:rPr>
            </w:pPr>
          </w:p>
        </w:tc>
        <w:tc>
          <w:tcPr>
            <w:tcW w:w="217" w:type="dxa"/>
          </w:tcPr>
          <w:p w14:paraId="21E8D0FF" w14:textId="77777777" w:rsidR="002C0FD9" w:rsidRPr="00CA25CF" w:rsidRDefault="002C0FD9" w:rsidP="00CA25CF">
            <w:pPr>
              <w:rPr>
                <w:rFonts w:cs="Arial"/>
                <w:color w:val="FF0000"/>
                <w:sz w:val="21"/>
                <w:szCs w:val="21"/>
              </w:rPr>
            </w:pPr>
          </w:p>
        </w:tc>
        <w:tc>
          <w:tcPr>
            <w:tcW w:w="217" w:type="dxa"/>
          </w:tcPr>
          <w:p w14:paraId="7BA68101" w14:textId="77777777" w:rsidR="002C0FD9" w:rsidRPr="00CA25CF" w:rsidRDefault="002C0FD9" w:rsidP="00CA25CF">
            <w:pPr>
              <w:rPr>
                <w:rFonts w:cs="Arial"/>
                <w:color w:val="FF0000"/>
                <w:sz w:val="21"/>
                <w:szCs w:val="21"/>
              </w:rPr>
            </w:pPr>
          </w:p>
        </w:tc>
        <w:tc>
          <w:tcPr>
            <w:tcW w:w="217" w:type="dxa"/>
          </w:tcPr>
          <w:p w14:paraId="3DAFF04F" w14:textId="77777777" w:rsidR="002C0FD9" w:rsidRPr="00CA25CF" w:rsidRDefault="002C0FD9" w:rsidP="00CA25CF">
            <w:pPr>
              <w:rPr>
                <w:rFonts w:cs="Arial"/>
                <w:color w:val="FF0000"/>
                <w:sz w:val="21"/>
                <w:szCs w:val="21"/>
              </w:rPr>
            </w:pPr>
          </w:p>
        </w:tc>
        <w:tc>
          <w:tcPr>
            <w:tcW w:w="217" w:type="dxa"/>
          </w:tcPr>
          <w:p w14:paraId="21A2E496" w14:textId="77777777" w:rsidR="002C0FD9" w:rsidRPr="00CA25CF" w:rsidRDefault="002C0FD9" w:rsidP="00CA25CF">
            <w:pPr>
              <w:rPr>
                <w:rFonts w:cs="Arial"/>
                <w:color w:val="FF0000"/>
                <w:sz w:val="21"/>
                <w:szCs w:val="21"/>
              </w:rPr>
            </w:pPr>
          </w:p>
        </w:tc>
        <w:tc>
          <w:tcPr>
            <w:tcW w:w="217" w:type="dxa"/>
          </w:tcPr>
          <w:p w14:paraId="012818D3" w14:textId="77777777" w:rsidR="002C0FD9" w:rsidRPr="00CA25CF" w:rsidRDefault="002C0FD9" w:rsidP="00CA25CF">
            <w:pPr>
              <w:rPr>
                <w:rFonts w:cs="Arial"/>
                <w:color w:val="FF0000"/>
                <w:sz w:val="21"/>
                <w:szCs w:val="21"/>
              </w:rPr>
            </w:pPr>
          </w:p>
        </w:tc>
        <w:tc>
          <w:tcPr>
            <w:tcW w:w="217" w:type="dxa"/>
          </w:tcPr>
          <w:p w14:paraId="7A4D1151" w14:textId="77777777" w:rsidR="002C0FD9" w:rsidRPr="00CA25CF" w:rsidRDefault="002C0FD9" w:rsidP="00CA25CF">
            <w:pPr>
              <w:rPr>
                <w:rFonts w:cs="Arial"/>
                <w:color w:val="FF0000"/>
                <w:sz w:val="21"/>
                <w:szCs w:val="21"/>
              </w:rPr>
            </w:pPr>
          </w:p>
        </w:tc>
        <w:tc>
          <w:tcPr>
            <w:tcW w:w="217" w:type="dxa"/>
          </w:tcPr>
          <w:p w14:paraId="799E593E" w14:textId="77777777" w:rsidR="002C0FD9" w:rsidRPr="00CA25CF" w:rsidRDefault="002C0FD9" w:rsidP="00CA25CF">
            <w:pPr>
              <w:rPr>
                <w:rFonts w:cs="Arial"/>
                <w:color w:val="FF0000"/>
                <w:sz w:val="21"/>
                <w:szCs w:val="21"/>
              </w:rPr>
            </w:pPr>
          </w:p>
        </w:tc>
        <w:tc>
          <w:tcPr>
            <w:tcW w:w="217" w:type="dxa"/>
          </w:tcPr>
          <w:p w14:paraId="4AD29ED4" w14:textId="77777777" w:rsidR="002C0FD9" w:rsidRPr="00CA25CF" w:rsidRDefault="002C0FD9" w:rsidP="00CA25CF">
            <w:pPr>
              <w:rPr>
                <w:rFonts w:cs="Arial"/>
                <w:color w:val="FF0000"/>
                <w:sz w:val="21"/>
                <w:szCs w:val="21"/>
              </w:rPr>
            </w:pPr>
          </w:p>
        </w:tc>
        <w:tc>
          <w:tcPr>
            <w:tcW w:w="217" w:type="dxa"/>
          </w:tcPr>
          <w:p w14:paraId="0D23F5DF" w14:textId="77777777" w:rsidR="002C0FD9" w:rsidRPr="00CA25CF" w:rsidRDefault="002C0FD9" w:rsidP="00CA25CF">
            <w:pPr>
              <w:rPr>
                <w:rFonts w:cs="Arial"/>
                <w:color w:val="FF0000"/>
                <w:sz w:val="21"/>
                <w:szCs w:val="21"/>
              </w:rPr>
            </w:pPr>
          </w:p>
        </w:tc>
        <w:tc>
          <w:tcPr>
            <w:tcW w:w="217" w:type="dxa"/>
          </w:tcPr>
          <w:p w14:paraId="379C3119" w14:textId="77777777" w:rsidR="002C0FD9" w:rsidRPr="00CA25CF" w:rsidRDefault="002C0FD9" w:rsidP="00CA25CF">
            <w:pPr>
              <w:rPr>
                <w:rFonts w:cs="Arial"/>
                <w:color w:val="FF0000"/>
                <w:sz w:val="21"/>
                <w:szCs w:val="21"/>
              </w:rPr>
            </w:pPr>
          </w:p>
        </w:tc>
        <w:tc>
          <w:tcPr>
            <w:tcW w:w="217" w:type="dxa"/>
          </w:tcPr>
          <w:p w14:paraId="7E1451B0" w14:textId="77777777" w:rsidR="002C0FD9" w:rsidRPr="00CA25CF" w:rsidRDefault="002C0FD9" w:rsidP="00CA25CF">
            <w:pPr>
              <w:rPr>
                <w:rFonts w:cs="Arial"/>
                <w:color w:val="FF0000"/>
                <w:sz w:val="21"/>
                <w:szCs w:val="21"/>
              </w:rPr>
            </w:pPr>
          </w:p>
        </w:tc>
        <w:tc>
          <w:tcPr>
            <w:tcW w:w="217" w:type="dxa"/>
          </w:tcPr>
          <w:p w14:paraId="6C8EC352" w14:textId="77777777" w:rsidR="002C0FD9" w:rsidRPr="00CA25CF" w:rsidRDefault="002C0FD9" w:rsidP="00CA25CF">
            <w:pPr>
              <w:rPr>
                <w:rFonts w:cs="Arial"/>
                <w:color w:val="FF0000"/>
                <w:sz w:val="21"/>
                <w:szCs w:val="21"/>
              </w:rPr>
            </w:pPr>
          </w:p>
        </w:tc>
        <w:tc>
          <w:tcPr>
            <w:tcW w:w="217" w:type="dxa"/>
          </w:tcPr>
          <w:p w14:paraId="3BE820B1" w14:textId="77777777" w:rsidR="002C0FD9" w:rsidRPr="00CA25CF" w:rsidRDefault="002C0FD9" w:rsidP="00CA25CF">
            <w:pPr>
              <w:rPr>
                <w:rFonts w:cs="Arial"/>
                <w:color w:val="FF0000"/>
                <w:sz w:val="21"/>
                <w:szCs w:val="21"/>
              </w:rPr>
            </w:pPr>
          </w:p>
        </w:tc>
        <w:tc>
          <w:tcPr>
            <w:tcW w:w="217" w:type="dxa"/>
          </w:tcPr>
          <w:p w14:paraId="533B0289" w14:textId="77777777" w:rsidR="002C0FD9" w:rsidRPr="00CA25CF" w:rsidRDefault="002C0FD9" w:rsidP="00CA25CF">
            <w:pPr>
              <w:rPr>
                <w:rFonts w:cs="Arial"/>
                <w:color w:val="FF0000"/>
                <w:sz w:val="21"/>
                <w:szCs w:val="21"/>
              </w:rPr>
            </w:pPr>
          </w:p>
        </w:tc>
        <w:tc>
          <w:tcPr>
            <w:tcW w:w="217" w:type="dxa"/>
          </w:tcPr>
          <w:p w14:paraId="19DD329D" w14:textId="77777777" w:rsidR="002C0FD9" w:rsidRPr="00CA25CF" w:rsidRDefault="002C0FD9" w:rsidP="00CA25CF">
            <w:pPr>
              <w:rPr>
                <w:rFonts w:cs="Arial"/>
                <w:color w:val="FF0000"/>
                <w:sz w:val="21"/>
                <w:szCs w:val="21"/>
              </w:rPr>
            </w:pPr>
          </w:p>
        </w:tc>
        <w:tc>
          <w:tcPr>
            <w:tcW w:w="217" w:type="dxa"/>
          </w:tcPr>
          <w:p w14:paraId="0603722F" w14:textId="77777777" w:rsidR="002C0FD9" w:rsidRPr="00CA25CF" w:rsidRDefault="002C0FD9" w:rsidP="00CA25CF">
            <w:pPr>
              <w:rPr>
                <w:rFonts w:cs="Arial"/>
                <w:color w:val="FF0000"/>
                <w:sz w:val="21"/>
                <w:szCs w:val="21"/>
              </w:rPr>
            </w:pPr>
          </w:p>
        </w:tc>
        <w:tc>
          <w:tcPr>
            <w:tcW w:w="217" w:type="dxa"/>
          </w:tcPr>
          <w:p w14:paraId="4D4029E6" w14:textId="77777777" w:rsidR="002C0FD9" w:rsidRPr="00CA25CF" w:rsidRDefault="002C0FD9" w:rsidP="00CA25CF">
            <w:pPr>
              <w:rPr>
                <w:rFonts w:cs="Arial"/>
                <w:color w:val="FF0000"/>
                <w:sz w:val="21"/>
                <w:szCs w:val="21"/>
              </w:rPr>
            </w:pPr>
          </w:p>
        </w:tc>
        <w:tc>
          <w:tcPr>
            <w:tcW w:w="217" w:type="dxa"/>
          </w:tcPr>
          <w:p w14:paraId="31943891" w14:textId="77777777" w:rsidR="002C0FD9" w:rsidRPr="00CA25CF" w:rsidRDefault="002C0FD9" w:rsidP="00CA25CF">
            <w:pPr>
              <w:rPr>
                <w:rFonts w:cs="Arial"/>
                <w:color w:val="FF0000"/>
                <w:sz w:val="21"/>
                <w:szCs w:val="21"/>
              </w:rPr>
            </w:pPr>
          </w:p>
        </w:tc>
        <w:tc>
          <w:tcPr>
            <w:tcW w:w="217" w:type="dxa"/>
          </w:tcPr>
          <w:p w14:paraId="1E4AEE9D" w14:textId="77777777" w:rsidR="002C0FD9" w:rsidRPr="00CA25CF" w:rsidRDefault="002C0FD9" w:rsidP="00CA25CF">
            <w:pPr>
              <w:rPr>
                <w:rFonts w:cs="Arial"/>
                <w:color w:val="FF0000"/>
                <w:sz w:val="21"/>
                <w:szCs w:val="21"/>
              </w:rPr>
            </w:pPr>
          </w:p>
        </w:tc>
        <w:tc>
          <w:tcPr>
            <w:tcW w:w="217" w:type="dxa"/>
          </w:tcPr>
          <w:p w14:paraId="3BB0D201" w14:textId="77777777" w:rsidR="002C0FD9" w:rsidRPr="00CA25CF" w:rsidRDefault="002C0FD9" w:rsidP="00CA25CF">
            <w:pPr>
              <w:rPr>
                <w:rFonts w:cs="Arial"/>
                <w:color w:val="FF0000"/>
                <w:sz w:val="21"/>
                <w:szCs w:val="21"/>
              </w:rPr>
            </w:pPr>
          </w:p>
        </w:tc>
        <w:tc>
          <w:tcPr>
            <w:tcW w:w="217" w:type="dxa"/>
          </w:tcPr>
          <w:p w14:paraId="09754975" w14:textId="77777777" w:rsidR="002C0FD9" w:rsidRPr="00CA25CF" w:rsidRDefault="002C0FD9" w:rsidP="00CA25CF">
            <w:pPr>
              <w:rPr>
                <w:rFonts w:cs="Arial"/>
                <w:color w:val="FF0000"/>
                <w:sz w:val="21"/>
                <w:szCs w:val="21"/>
              </w:rPr>
            </w:pPr>
          </w:p>
        </w:tc>
        <w:tc>
          <w:tcPr>
            <w:tcW w:w="217" w:type="dxa"/>
          </w:tcPr>
          <w:p w14:paraId="738FBFDA" w14:textId="77777777" w:rsidR="002C0FD9" w:rsidRPr="00CA25CF" w:rsidRDefault="002C0FD9" w:rsidP="00CA25CF">
            <w:pPr>
              <w:rPr>
                <w:rFonts w:cs="Arial"/>
                <w:color w:val="FF0000"/>
                <w:sz w:val="21"/>
                <w:szCs w:val="21"/>
              </w:rPr>
            </w:pPr>
          </w:p>
        </w:tc>
        <w:tc>
          <w:tcPr>
            <w:tcW w:w="217" w:type="dxa"/>
          </w:tcPr>
          <w:p w14:paraId="6CC010CB" w14:textId="77777777" w:rsidR="002C0FD9" w:rsidRPr="00CA25CF" w:rsidRDefault="002C0FD9" w:rsidP="00CA25CF">
            <w:pPr>
              <w:rPr>
                <w:rFonts w:cs="Arial"/>
                <w:color w:val="FF0000"/>
                <w:sz w:val="21"/>
                <w:szCs w:val="21"/>
              </w:rPr>
            </w:pPr>
          </w:p>
        </w:tc>
        <w:tc>
          <w:tcPr>
            <w:tcW w:w="217" w:type="dxa"/>
          </w:tcPr>
          <w:p w14:paraId="1F512CAA" w14:textId="77777777" w:rsidR="002C0FD9" w:rsidRPr="00CA25CF" w:rsidRDefault="002C0FD9" w:rsidP="00CA25CF">
            <w:pPr>
              <w:rPr>
                <w:rFonts w:cs="Arial"/>
                <w:color w:val="FF0000"/>
                <w:sz w:val="21"/>
                <w:szCs w:val="21"/>
              </w:rPr>
            </w:pPr>
          </w:p>
        </w:tc>
        <w:tc>
          <w:tcPr>
            <w:tcW w:w="217" w:type="dxa"/>
          </w:tcPr>
          <w:p w14:paraId="082B4569" w14:textId="77777777" w:rsidR="002C0FD9" w:rsidRPr="00CA25CF" w:rsidRDefault="002C0FD9" w:rsidP="00CA25CF">
            <w:pPr>
              <w:rPr>
                <w:rFonts w:cs="Arial"/>
                <w:color w:val="FF0000"/>
                <w:sz w:val="21"/>
                <w:szCs w:val="21"/>
              </w:rPr>
            </w:pPr>
          </w:p>
        </w:tc>
        <w:tc>
          <w:tcPr>
            <w:tcW w:w="217" w:type="dxa"/>
          </w:tcPr>
          <w:p w14:paraId="7F1283D7" w14:textId="77777777" w:rsidR="002C0FD9" w:rsidRPr="00CA25CF" w:rsidRDefault="002C0FD9" w:rsidP="00CA25CF">
            <w:pPr>
              <w:rPr>
                <w:rFonts w:cs="Arial"/>
                <w:color w:val="FF0000"/>
                <w:sz w:val="21"/>
                <w:szCs w:val="21"/>
              </w:rPr>
            </w:pPr>
          </w:p>
        </w:tc>
        <w:tc>
          <w:tcPr>
            <w:tcW w:w="217" w:type="dxa"/>
          </w:tcPr>
          <w:p w14:paraId="0458BFE0" w14:textId="77777777" w:rsidR="002C0FD9" w:rsidRPr="00CA25CF" w:rsidRDefault="002C0FD9" w:rsidP="00CA25CF">
            <w:pPr>
              <w:rPr>
                <w:rFonts w:cs="Arial"/>
                <w:color w:val="FF0000"/>
                <w:sz w:val="21"/>
                <w:szCs w:val="21"/>
              </w:rPr>
            </w:pPr>
          </w:p>
        </w:tc>
        <w:tc>
          <w:tcPr>
            <w:tcW w:w="217" w:type="dxa"/>
          </w:tcPr>
          <w:p w14:paraId="5BC5B616" w14:textId="77777777" w:rsidR="002C0FD9" w:rsidRPr="00CA25CF" w:rsidRDefault="002C0FD9" w:rsidP="00CA25CF">
            <w:pPr>
              <w:rPr>
                <w:rFonts w:cs="Arial"/>
                <w:color w:val="FF0000"/>
                <w:sz w:val="21"/>
                <w:szCs w:val="21"/>
              </w:rPr>
            </w:pPr>
          </w:p>
        </w:tc>
        <w:tc>
          <w:tcPr>
            <w:tcW w:w="217" w:type="dxa"/>
          </w:tcPr>
          <w:p w14:paraId="4AE74F4B" w14:textId="77777777" w:rsidR="002C0FD9" w:rsidRPr="00CA25CF" w:rsidRDefault="002C0FD9" w:rsidP="00CA25CF">
            <w:pPr>
              <w:rPr>
                <w:rFonts w:cs="Arial"/>
                <w:color w:val="FF0000"/>
                <w:sz w:val="21"/>
                <w:szCs w:val="21"/>
              </w:rPr>
            </w:pPr>
          </w:p>
        </w:tc>
        <w:tc>
          <w:tcPr>
            <w:tcW w:w="217" w:type="dxa"/>
          </w:tcPr>
          <w:p w14:paraId="26D9E044" w14:textId="77777777" w:rsidR="002C0FD9" w:rsidRPr="00CA25CF" w:rsidRDefault="002C0FD9" w:rsidP="00CA25CF">
            <w:pPr>
              <w:rPr>
                <w:rFonts w:cs="Arial"/>
                <w:color w:val="FF0000"/>
                <w:sz w:val="21"/>
                <w:szCs w:val="21"/>
              </w:rPr>
            </w:pPr>
          </w:p>
        </w:tc>
        <w:tc>
          <w:tcPr>
            <w:tcW w:w="217" w:type="dxa"/>
          </w:tcPr>
          <w:p w14:paraId="0F7D5963" w14:textId="77777777" w:rsidR="002C0FD9" w:rsidRPr="00CA25CF" w:rsidRDefault="002C0FD9" w:rsidP="00CA25CF">
            <w:pPr>
              <w:rPr>
                <w:rFonts w:cs="Arial"/>
                <w:color w:val="FF0000"/>
                <w:sz w:val="21"/>
                <w:szCs w:val="21"/>
              </w:rPr>
            </w:pPr>
          </w:p>
        </w:tc>
        <w:tc>
          <w:tcPr>
            <w:tcW w:w="217" w:type="dxa"/>
          </w:tcPr>
          <w:p w14:paraId="56DAE5C8" w14:textId="77777777" w:rsidR="002C0FD9" w:rsidRPr="00CA25CF" w:rsidRDefault="002C0FD9" w:rsidP="00CA25CF">
            <w:pPr>
              <w:rPr>
                <w:rFonts w:cs="Arial"/>
                <w:color w:val="FF0000"/>
                <w:sz w:val="21"/>
                <w:szCs w:val="21"/>
              </w:rPr>
            </w:pPr>
          </w:p>
        </w:tc>
        <w:tc>
          <w:tcPr>
            <w:tcW w:w="217" w:type="dxa"/>
          </w:tcPr>
          <w:p w14:paraId="26AE1A0D" w14:textId="77777777" w:rsidR="002C0FD9" w:rsidRPr="00CA25CF" w:rsidRDefault="002C0FD9" w:rsidP="00CA25CF">
            <w:pPr>
              <w:rPr>
                <w:rFonts w:cs="Arial"/>
                <w:color w:val="FF0000"/>
                <w:sz w:val="21"/>
                <w:szCs w:val="21"/>
              </w:rPr>
            </w:pPr>
          </w:p>
        </w:tc>
        <w:tc>
          <w:tcPr>
            <w:tcW w:w="217" w:type="dxa"/>
          </w:tcPr>
          <w:p w14:paraId="002A29E3" w14:textId="77777777" w:rsidR="002C0FD9" w:rsidRPr="00CA25CF" w:rsidRDefault="002C0FD9" w:rsidP="00CA25CF">
            <w:pPr>
              <w:rPr>
                <w:rFonts w:cs="Arial"/>
                <w:color w:val="FF0000"/>
                <w:sz w:val="21"/>
                <w:szCs w:val="21"/>
              </w:rPr>
            </w:pPr>
          </w:p>
        </w:tc>
        <w:tc>
          <w:tcPr>
            <w:tcW w:w="217" w:type="dxa"/>
          </w:tcPr>
          <w:p w14:paraId="6C958FAD" w14:textId="77777777" w:rsidR="002C0FD9" w:rsidRPr="00CA25CF" w:rsidRDefault="002C0FD9" w:rsidP="00CA25CF">
            <w:pPr>
              <w:rPr>
                <w:rFonts w:cs="Arial"/>
                <w:color w:val="FF0000"/>
                <w:sz w:val="21"/>
                <w:szCs w:val="21"/>
              </w:rPr>
            </w:pPr>
          </w:p>
        </w:tc>
        <w:tc>
          <w:tcPr>
            <w:tcW w:w="217" w:type="dxa"/>
          </w:tcPr>
          <w:p w14:paraId="40B5D21D" w14:textId="77777777" w:rsidR="002C0FD9" w:rsidRPr="00CA25CF" w:rsidRDefault="002C0FD9" w:rsidP="00CA25CF">
            <w:pPr>
              <w:rPr>
                <w:rFonts w:cs="Arial"/>
                <w:color w:val="FF0000"/>
                <w:sz w:val="21"/>
                <w:szCs w:val="21"/>
              </w:rPr>
            </w:pPr>
          </w:p>
        </w:tc>
      </w:tr>
      <w:tr w:rsidR="002C0FD9" w:rsidRPr="00A16219" w14:paraId="06D32C11" w14:textId="58927F41" w:rsidTr="002C0FD9">
        <w:trPr>
          <w:trHeight w:val="635"/>
        </w:trPr>
        <w:tc>
          <w:tcPr>
            <w:tcW w:w="515" w:type="dxa"/>
          </w:tcPr>
          <w:p w14:paraId="45A662CB" w14:textId="77777777" w:rsidR="002C0FD9" w:rsidRPr="00CA25CF" w:rsidRDefault="002C0FD9" w:rsidP="00CA25CF">
            <w:pPr>
              <w:rPr>
                <w:rFonts w:cs="Arial"/>
                <w:color w:val="FF0000"/>
                <w:sz w:val="21"/>
                <w:szCs w:val="21"/>
              </w:rPr>
            </w:pPr>
          </w:p>
        </w:tc>
        <w:tc>
          <w:tcPr>
            <w:tcW w:w="217" w:type="dxa"/>
          </w:tcPr>
          <w:p w14:paraId="034BD3F9" w14:textId="77777777" w:rsidR="002C0FD9" w:rsidRPr="00CA25CF" w:rsidRDefault="002C0FD9" w:rsidP="00CA25CF">
            <w:pPr>
              <w:rPr>
                <w:rFonts w:cs="Arial"/>
                <w:color w:val="FF0000"/>
                <w:sz w:val="21"/>
                <w:szCs w:val="21"/>
              </w:rPr>
            </w:pPr>
          </w:p>
        </w:tc>
        <w:tc>
          <w:tcPr>
            <w:tcW w:w="217" w:type="dxa"/>
          </w:tcPr>
          <w:p w14:paraId="1B28D3E6" w14:textId="12FCB22B" w:rsidR="002C0FD9" w:rsidRPr="00CA25CF" w:rsidRDefault="002C0FD9" w:rsidP="00CA25CF">
            <w:pPr>
              <w:rPr>
                <w:rFonts w:cs="Arial"/>
                <w:color w:val="FF0000"/>
                <w:sz w:val="21"/>
                <w:szCs w:val="21"/>
              </w:rPr>
            </w:pPr>
          </w:p>
        </w:tc>
        <w:tc>
          <w:tcPr>
            <w:tcW w:w="217" w:type="dxa"/>
          </w:tcPr>
          <w:p w14:paraId="0855E358" w14:textId="77777777" w:rsidR="002C0FD9" w:rsidRPr="00CA25CF" w:rsidRDefault="002C0FD9" w:rsidP="00CA25CF">
            <w:pPr>
              <w:rPr>
                <w:rFonts w:cs="Arial"/>
                <w:color w:val="FF0000"/>
                <w:sz w:val="21"/>
                <w:szCs w:val="21"/>
              </w:rPr>
            </w:pPr>
          </w:p>
        </w:tc>
        <w:tc>
          <w:tcPr>
            <w:tcW w:w="217" w:type="dxa"/>
          </w:tcPr>
          <w:p w14:paraId="61FF50B4" w14:textId="77777777" w:rsidR="002C0FD9" w:rsidRPr="00CA25CF" w:rsidRDefault="002C0FD9" w:rsidP="00CA25CF">
            <w:pPr>
              <w:rPr>
                <w:rFonts w:cs="Arial"/>
                <w:color w:val="FF0000"/>
                <w:sz w:val="21"/>
                <w:szCs w:val="21"/>
              </w:rPr>
            </w:pPr>
          </w:p>
        </w:tc>
        <w:tc>
          <w:tcPr>
            <w:tcW w:w="217" w:type="dxa"/>
          </w:tcPr>
          <w:p w14:paraId="1AC7E9E7" w14:textId="77777777" w:rsidR="002C0FD9" w:rsidRPr="00CA25CF" w:rsidRDefault="002C0FD9" w:rsidP="00CA25CF">
            <w:pPr>
              <w:rPr>
                <w:rFonts w:cs="Arial"/>
                <w:color w:val="FF0000"/>
                <w:sz w:val="21"/>
                <w:szCs w:val="21"/>
              </w:rPr>
            </w:pPr>
          </w:p>
        </w:tc>
        <w:tc>
          <w:tcPr>
            <w:tcW w:w="217" w:type="dxa"/>
          </w:tcPr>
          <w:p w14:paraId="0264F499" w14:textId="77777777" w:rsidR="002C0FD9" w:rsidRPr="00CA25CF" w:rsidRDefault="002C0FD9" w:rsidP="00CA25CF">
            <w:pPr>
              <w:rPr>
                <w:rFonts w:cs="Arial"/>
                <w:color w:val="FF0000"/>
                <w:sz w:val="21"/>
                <w:szCs w:val="21"/>
              </w:rPr>
            </w:pPr>
          </w:p>
        </w:tc>
        <w:tc>
          <w:tcPr>
            <w:tcW w:w="217" w:type="dxa"/>
          </w:tcPr>
          <w:p w14:paraId="76085577" w14:textId="77777777" w:rsidR="002C0FD9" w:rsidRPr="00CA25CF" w:rsidRDefault="002C0FD9" w:rsidP="00CA25CF">
            <w:pPr>
              <w:rPr>
                <w:rFonts w:cs="Arial"/>
                <w:color w:val="FF0000"/>
                <w:sz w:val="21"/>
                <w:szCs w:val="21"/>
              </w:rPr>
            </w:pPr>
          </w:p>
        </w:tc>
        <w:tc>
          <w:tcPr>
            <w:tcW w:w="217" w:type="dxa"/>
          </w:tcPr>
          <w:p w14:paraId="38C3A5CD" w14:textId="77777777" w:rsidR="002C0FD9" w:rsidRPr="00CA25CF" w:rsidRDefault="002C0FD9" w:rsidP="00CA25CF">
            <w:pPr>
              <w:rPr>
                <w:rFonts w:cs="Arial"/>
                <w:color w:val="FF0000"/>
                <w:sz w:val="21"/>
                <w:szCs w:val="21"/>
              </w:rPr>
            </w:pPr>
          </w:p>
        </w:tc>
        <w:tc>
          <w:tcPr>
            <w:tcW w:w="217" w:type="dxa"/>
          </w:tcPr>
          <w:p w14:paraId="44BC85B6" w14:textId="77777777" w:rsidR="002C0FD9" w:rsidRPr="00CA25CF" w:rsidRDefault="002C0FD9" w:rsidP="00CA25CF">
            <w:pPr>
              <w:rPr>
                <w:rFonts w:cs="Arial"/>
                <w:color w:val="FF0000"/>
                <w:sz w:val="21"/>
                <w:szCs w:val="21"/>
              </w:rPr>
            </w:pPr>
          </w:p>
        </w:tc>
        <w:tc>
          <w:tcPr>
            <w:tcW w:w="217" w:type="dxa"/>
          </w:tcPr>
          <w:p w14:paraId="0F626199" w14:textId="77777777" w:rsidR="002C0FD9" w:rsidRPr="00CA25CF" w:rsidRDefault="002C0FD9" w:rsidP="00CA25CF">
            <w:pPr>
              <w:rPr>
                <w:rFonts w:cs="Arial"/>
                <w:color w:val="FF0000"/>
                <w:sz w:val="21"/>
                <w:szCs w:val="21"/>
              </w:rPr>
            </w:pPr>
          </w:p>
        </w:tc>
        <w:tc>
          <w:tcPr>
            <w:tcW w:w="217" w:type="dxa"/>
          </w:tcPr>
          <w:p w14:paraId="4C46F330" w14:textId="77777777" w:rsidR="002C0FD9" w:rsidRPr="00CA25CF" w:rsidRDefault="002C0FD9" w:rsidP="00CA25CF">
            <w:pPr>
              <w:rPr>
                <w:rFonts w:cs="Arial"/>
                <w:color w:val="FF0000"/>
                <w:sz w:val="21"/>
                <w:szCs w:val="21"/>
              </w:rPr>
            </w:pPr>
          </w:p>
        </w:tc>
        <w:tc>
          <w:tcPr>
            <w:tcW w:w="217" w:type="dxa"/>
          </w:tcPr>
          <w:p w14:paraId="58EC52A6" w14:textId="77777777" w:rsidR="002C0FD9" w:rsidRPr="00CA25CF" w:rsidRDefault="002C0FD9" w:rsidP="00CA25CF">
            <w:pPr>
              <w:rPr>
                <w:rFonts w:cs="Arial"/>
                <w:color w:val="FF0000"/>
                <w:sz w:val="21"/>
                <w:szCs w:val="21"/>
              </w:rPr>
            </w:pPr>
          </w:p>
        </w:tc>
        <w:tc>
          <w:tcPr>
            <w:tcW w:w="217" w:type="dxa"/>
          </w:tcPr>
          <w:p w14:paraId="7D2B9ED1" w14:textId="77777777" w:rsidR="002C0FD9" w:rsidRPr="00CA25CF" w:rsidRDefault="002C0FD9" w:rsidP="00CA25CF">
            <w:pPr>
              <w:rPr>
                <w:rFonts w:cs="Arial"/>
                <w:color w:val="FF0000"/>
                <w:sz w:val="21"/>
                <w:szCs w:val="21"/>
              </w:rPr>
            </w:pPr>
          </w:p>
        </w:tc>
        <w:tc>
          <w:tcPr>
            <w:tcW w:w="217" w:type="dxa"/>
          </w:tcPr>
          <w:p w14:paraId="0D78A314" w14:textId="77777777" w:rsidR="002C0FD9" w:rsidRPr="00CA25CF" w:rsidRDefault="002C0FD9" w:rsidP="00CA25CF">
            <w:pPr>
              <w:rPr>
                <w:rFonts w:cs="Arial"/>
                <w:color w:val="FF0000"/>
                <w:sz w:val="21"/>
                <w:szCs w:val="21"/>
              </w:rPr>
            </w:pPr>
          </w:p>
        </w:tc>
        <w:tc>
          <w:tcPr>
            <w:tcW w:w="217" w:type="dxa"/>
          </w:tcPr>
          <w:p w14:paraId="6814E000" w14:textId="77777777" w:rsidR="002C0FD9" w:rsidRPr="00CA25CF" w:rsidRDefault="002C0FD9" w:rsidP="00CA25CF">
            <w:pPr>
              <w:rPr>
                <w:rFonts w:cs="Arial"/>
                <w:color w:val="FF0000"/>
                <w:sz w:val="21"/>
                <w:szCs w:val="21"/>
              </w:rPr>
            </w:pPr>
          </w:p>
        </w:tc>
        <w:tc>
          <w:tcPr>
            <w:tcW w:w="217" w:type="dxa"/>
          </w:tcPr>
          <w:p w14:paraId="03E24083" w14:textId="77777777" w:rsidR="002C0FD9" w:rsidRPr="00CA25CF" w:rsidRDefault="002C0FD9" w:rsidP="00CA25CF">
            <w:pPr>
              <w:rPr>
                <w:rFonts w:cs="Arial"/>
                <w:color w:val="FF0000"/>
                <w:sz w:val="21"/>
                <w:szCs w:val="21"/>
              </w:rPr>
            </w:pPr>
          </w:p>
        </w:tc>
        <w:tc>
          <w:tcPr>
            <w:tcW w:w="217" w:type="dxa"/>
          </w:tcPr>
          <w:p w14:paraId="19D19345" w14:textId="77777777" w:rsidR="002C0FD9" w:rsidRPr="00CA25CF" w:rsidRDefault="002C0FD9" w:rsidP="00CA25CF">
            <w:pPr>
              <w:rPr>
                <w:rFonts w:cs="Arial"/>
                <w:color w:val="FF0000"/>
                <w:sz w:val="21"/>
                <w:szCs w:val="21"/>
              </w:rPr>
            </w:pPr>
          </w:p>
        </w:tc>
        <w:tc>
          <w:tcPr>
            <w:tcW w:w="217" w:type="dxa"/>
          </w:tcPr>
          <w:p w14:paraId="180B81F4" w14:textId="77777777" w:rsidR="002C0FD9" w:rsidRPr="00CA25CF" w:rsidRDefault="002C0FD9" w:rsidP="00CA25CF">
            <w:pPr>
              <w:rPr>
                <w:rFonts w:cs="Arial"/>
                <w:color w:val="FF0000"/>
                <w:sz w:val="21"/>
                <w:szCs w:val="21"/>
              </w:rPr>
            </w:pPr>
          </w:p>
        </w:tc>
        <w:tc>
          <w:tcPr>
            <w:tcW w:w="217" w:type="dxa"/>
          </w:tcPr>
          <w:p w14:paraId="0C8536D9" w14:textId="77777777" w:rsidR="002C0FD9" w:rsidRPr="00CA25CF" w:rsidRDefault="002C0FD9" w:rsidP="00CA25CF">
            <w:pPr>
              <w:rPr>
                <w:rFonts w:cs="Arial"/>
                <w:color w:val="FF0000"/>
                <w:sz w:val="21"/>
                <w:szCs w:val="21"/>
              </w:rPr>
            </w:pPr>
          </w:p>
        </w:tc>
        <w:tc>
          <w:tcPr>
            <w:tcW w:w="217" w:type="dxa"/>
          </w:tcPr>
          <w:p w14:paraId="6D95E810" w14:textId="77777777" w:rsidR="002C0FD9" w:rsidRPr="00CA25CF" w:rsidRDefault="002C0FD9" w:rsidP="00CA25CF">
            <w:pPr>
              <w:rPr>
                <w:rFonts w:cs="Arial"/>
                <w:color w:val="FF0000"/>
                <w:sz w:val="21"/>
                <w:szCs w:val="21"/>
              </w:rPr>
            </w:pPr>
          </w:p>
        </w:tc>
        <w:tc>
          <w:tcPr>
            <w:tcW w:w="217" w:type="dxa"/>
          </w:tcPr>
          <w:p w14:paraId="2AF4A7B9" w14:textId="77777777" w:rsidR="002C0FD9" w:rsidRPr="00CA25CF" w:rsidRDefault="002C0FD9" w:rsidP="00CA25CF">
            <w:pPr>
              <w:rPr>
                <w:rFonts w:cs="Arial"/>
                <w:color w:val="FF0000"/>
                <w:sz w:val="21"/>
                <w:szCs w:val="21"/>
              </w:rPr>
            </w:pPr>
          </w:p>
        </w:tc>
        <w:tc>
          <w:tcPr>
            <w:tcW w:w="217" w:type="dxa"/>
          </w:tcPr>
          <w:p w14:paraId="0728D069" w14:textId="77777777" w:rsidR="002C0FD9" w:rsidRPr="00CA25CF" w:rsidRDefault="002C0FD9" w:rsidP="00CA25CF">
            <w:pPr>
              <w:rPr>
                <w:rFonts w:cs="Arial"/>
                <w:color w:val="FF0000"/>
                <w:sz w:val="21"/>
                <w:szCs w:val="21"/>
              </w:rPr>
            </w:pPr>
          </w:p>
        </w:tc>
        <w:tc>
          <w:tcPr>
            <w:tcW w:w="217" w:type="dxa"/>
          </w:tcPr>
          <w:p w14:paraId="43CFFFEC" w14:textId="77777777" w:rsidR="002C0FD9" w:rsidRPr="00CA25CF" w:rsidRDefault="002C0FD9" w:rsidP="00CA25CF">
            <w:pPr>
              <w:rPr>
                <w:rFonts w:cs="Arial"/>
                <w:color w:val="FF0000"/>
                <w:sz w:val="21"/>
                <w:szCs w:val="21"/>
              </w:rPr>
            </w:pPr>
          </w:p>
        </w:tc>
        <w:tc>
          <w:tcPr>
            <w:tcW w:w="217" w:type="dxa"/>
          </w:tcPr>
          <w:p w14:paraId="1D99C7EB" w14:textId="77777777" w:rsidR="002C0FD9" w:rsidRPr="00CA25CF" w:rsidRDefault="002C0FD9" w:rsidP="00CA25CF">
            <w:pPr>
              <w:rPr>
                <w:rFonts w:cs="Arial"/>
                <w:color w:val="FF0000"/>
                <w:sz w:val="21"/>
                <w:szCs w:val="21"/>
              </w:rPr>
            </w:pPr>
          </w:p>
        </w:tc>
        <w:tc>
          <w:tcPr>
            <w:tcW w:w="217" w:type="dxa"/>
          </w:tcPr>
          <w:p w14:paraId="2F974B47" w14:textId="77777777" w:rsidR="002C0FD9" w:rsidRPr="00CA25CF" w:rsidRDefault="002C0FD9" w:rsidP="00CA25CF">
            <w:pPr>
              <w:rPr>
                <w:rFonts w:cs="Arial"/>
                <w:color w:val="FF0000"/>
                <w:sz w:val="21"/>
                <w:szCs w:val="21"/>
              </w:rPr>
            </w:pPr>
          </w:p>
        </w:tc>
        <w:tc>
          <w:tcPr>
            <w:tcW w:w="217" w:type="dxa"/>
          </w:tcPr>
          <w:p w14:paraId="5A2FB284" w14:textId="77777777" w:rsidR="002C0FD9" w:rsidRPr="00CA25CF" w:rsidRDefault="002C0FD9" w:rsidP="00CA25CF">
            <w:pPr>
              <w:rPr>
                <w:rFonts w:cs="Arial"/>
                <w:color w:val="FF0000"/>
                <w:sz w:val="21"/>
                <w:szCs w:val="21"/>
              </w:rPr>
            </w:pPr>
          </w:p>
        </w:tc>
        <w:tc>
          <w:tcPr>
            <w:tcW w:w="217" w:type="dxa"/>
          </w:tcPr>
          <w:p w14:paraId="72E055FB" w14:textId="77777777" w:rsidR="002C0FD9" w:rsidRPr="00CA25CF" w:rsidRDefault="002C0FD9" w:rsidP="00CA25CF">
            <w:pPr>
              <w:rPr>
                <w:rFonts w:cs="Arial"/>
                <w:color w:val="FF0000"/>
                <w:sz w:val="21"/>
                <w:szCs w:val="21"/>
              </w:rPr>
            </w:pPr>
          </w:p>
        </w:tc>
        <w:tc>
          <w:tcPr>
            <w:tcW w:w="217" w:type="dxa"/>
          </w:tcPr>
          <w:p w14:paraId="234F6AD5" w14:textId="77777777" w:rsidR="002C0FD9" w:rsidRPr="00CA25CF" w:rsidRDefault="002C0FD9" w:rsidP="00CA25CF">
            <w:pPr>
              <w:rPr>
                <w:rFonts w:cs="Arial"/>
                <w:color w:val="FF0000"/>
                <w:sz w:val="21"/>
                <w:szCs w:val="21"/>
              </w:rPr>
            </w:pPr>
          </w:p>
        </w:tc>
        <w:tc>
          <w:tcPr>
            <w:tcW w:w="217" w:type="dxa"/>
          </w:tcPr>
          <w:p w14:paraId="38C22F64" w14:textId="77777777" w:rsidR="002C0FD9" w:rsidRPr="00CA25CF" w:rsidRDefault="002C0FD9" w:rsidP="00CA25CF">
            <w:pPr>
              <w:rPr>
                <w:rFonts w:cs="Arial"/>
                <w:color w:val="FF0000"/>
                <w:sz w:val="21"/>
                <w:szCs w:val="21"/>
              </w:rPr>
            </w:pPr>
          </w:p>
        </w:tc>
        <w:tc>
          <w:tcPr>
            <w:tcW w:w="217" w:type="dxa"/>
          </w:tcPr>
          <w:p w14:paraId="0CA0EA25" w14:textId="77777777" w:rsidR="002C0FD9" w:rsidRPr="00CA25CF" w:rsidRDefault="002C0FD9" w:rsidP="00CA25CF">
            <w:pPr>
              <w:rPr>
                <w:rFonts w:cs="Arial"/>
                <w:color w:val="FF0000"/>
                <w:sz w:val="21"/>
                <w:szCs w:val="21"/>
              </w:rPr>
            </w:pPr>
          </w:p>
        </w:tc>
        <w:tc>
          <w:tcPr>
            <w:tcW w:w="217" w:type="dxa"/>
          </w:tcPr>
          <w:p w14:paraId="1443469D" w14:textId="77777777" w:rsidR="002C0FD9" w:rsidRPr="00CA25CF" w:rsidRDefault="002C0FD9" w:rsidP="00CA25CF">
            <w:pPr>
              <w:rPr>
                <w:rFonts w:cs="Arial"/>
                <w:color w:val="FF0000"/>
                <w:sz w:val="21"/>
                <w:szCs w:val="21"/>
              </w:rPr>
            </w:pPr>
          </w:p>
        </w:tc>
        <w:tc>
          <w:tcPr>
            <w:tcW w:w="217" w:type="dxa"/>
          </w:tcPr>
          <w:p w14:paraId="73F8BF36" w14:textId="77777777" w:rsidR="002C0FD9" w:rsidRPr="00CA25CF" w:rsidRDefault="002C0FD9" w:rsidP="00CA25CF">
            <w:pPr>
              <w:rPr>
                <w:rFonts w:cs="Arial"/>
                <w:color w:val="FF0000"/>
                <w:sz w:val="21"/>
                <w:szCs w:val="21"/>
              </w:rPr>
            </w:pPr>
          </w:p>
        </w:tc>
        <w:tc>
          <w:tcPr>
            <w:tcW w:w="217" w:type="dxa"/>
          </w:tcPr>
          <w:p w14:paraId="28CC7414" w14:textId="77777777" w:rsidR="002C0FD9" w:rsidRPr="00CA25CF" w:rsidRDefault="002C0FD9" w:rsidP="00CA25CF">
            <w:pPr>
              <w:rPr>
                <w:rFonts w:cs="Arial"/>
                <w:color w:val="FF0000"/>
                <w:sz w:val="21"/>
                <w:szCs w:val="21"/>
              </w:rPr>
            </w:pPr>
          </w:p>
        </w:tc>
        <w:tc>
          <w:tcPr>
            <w:tcW w:w="217" w:type="dxa"/>
          </w:tcPr>
          <w:p w14:paraId="468DE7AD" w14:textId="77777777" w:rsidR="002C0FD9" w:rsidRPr="00CA25CF" w:rsidRDefault="002C0FD9" w:rsidP="00CA25CF">
            <w:pPr>
              <w:rPr>
                <w:rFonts w:cs="Arial"/>
                <w:color w:val="FF0000"/>
                <w:sz w:val="21"/>
                <w:szCs w:val="21"/>
              </w:rPr>
            </w:pPr>
          </w:p>
        </w:tc>
        <w:tc>
          <w:tcPr>
            <w:tcW w:w="217" w:type="dxa"/>
          </w:tcPr>
          <w:p w14:paraId="4CFDAB78" w14:textId="77777777" w:rsidR="002C0FD9" w:rsidRPr="00CA25CF" w:rsidRDefault="002C0FD9" w:rsidP="00CA25CF">
            <w:pPr>
              <w:rPr>
                <w:rFonts w:cs="Arial"/>
                <w:color w:val="FF0000"/>
                <w:sz w:val="21"/>
                <w:szCs w:val="21"/>
              </w:rPr>
            </w:pPr>
          </w:p>
        </w:tc>
        <w:tc>
          <w:tcPr>
            <w:tcW w:w="217" w:type="dxa"/>
          </w:tcPr>
          <w:p w14:paraId="3AA7E958" w14:textId="77777777" w:rsidR="002C0FD9" w:rsidRPr="00CA25CF" w:rsidRDefault="002C0FD9" w:rsidP="00CA25CF">
            <w:pPr>
              <w:rPr>
                <w:rFonts w:cs="Arial"/>
                <w:color w:val="FF0000"/>
                <w:sz w:val="21"/>
                <w:szCs w:val="21"/>
              </w:rPr>
            </w:pPr>
          </w:p>
        </w:tc>
        <w:tc>
          <w:tcPr>
            <w:tcW w:w="217" w:type="dxa"/>
          </w:tcPr>
          <w:p w14:paraId="56AFAB23" w14:textId="77777777" w:rsidR="002C0FD9" w:rsidRPr="00CA25CF" w:rsidRDefault="002C0FD9" w:rsidP="00CA25CF">
            <w:pPr>
              <w:rPr>
                <w:rFonts w:cs="Arial"/>
                <w:color w:val="FF0000"/>
                <w:sz w:val="21"/>
                <w:szCs w:val="21"/>
              </w:rPr>
            </w:pPr>
          </w:p>
        </w:tc>
        <w:tc>
          <w:tcPr>
            <w:tcW w:w="217" w:type="dxa"/>
          </w:tcPr>
          <w:p w14:paraId="2C453336" w14:textId="77777777" w:rsidR="002C0FD9" w:rsidRPr="00CA25CF" w:rsidRDefault="002C0FD9" w:rsidP="00CA25CF">
            <w:pPr>
              <w:rPr>
                <w:rFonts w:cs="Arial"/>
                <w:color w:val="FF0000"/>
                <w:sz w:val="21"/>
                <w:szCs w:val="21"/>
              </w:rPr>
            </w:pPr>
          </w:p>
        </w:tc>
        <w:tc>
          <w:tcPr>
            <w:tcW w:w="217" w:type="dxa"/>
          </w:tcPr>
          <w:p w14:paraId="75CA5BC1" w14:textId="77777777" w:rsidR="002C0FD9" w:rsidRPr="00CA25CF" w:rsidRDefault="002C0FD9" w:rsidP="00CA25CF">
            <w:pPr>
              <w:rPr>
                <w:rFonts w:cs="Arial"/>
                <w:color w:val="FF0000"/>
                <w:sz w:val="21"/>
                <w:szCs w:val="21"/>
              </w:rPr>
            </w:pPr>
          </w:p>
        </w:tc>
        <w:tc>
          <w:tcPr>
            <w:tcW w:w="217" w:type="dxa"/>
          </w:tcPr>
          <w:p w14:paraId="6F2F03B4" w14:textId="77777777" w:rsidR="002C0FD9" w:rsidRPr="00CA25CF" w:rsidRDefault="002C0FD9" w:rsidP="00CA25CF">
            <w:pPr>
              <w:rPr>
                <w:rFonts w:cs="Arial"/>
                <w:color w:val="FF0000"/>
                <w:sz w:val="21"/>
                <w:szCs w:val="21"/>
              </w:rPr>
            </w:pPr>
          </w:p>
        </w:tc>
        <w:tc>
          <w:tcPr>
            <w:tcW w:w="217" w:type="dxa"/>
          </w:tcPr>
          <w:p w14:paraId="79AE15AF" w14:textId="77777777" w:rsidR="002C0FD9" w:rsidRPr="00CA25CF" w:rsidRDefault="002C0FD9" w:rsidP="00CA25CF">
            <w:pPr>
              <w:rPr>
                <w:rFonts w:cs="Arial"/>
                <w:color w:val="FF0000"/>
                <w:sz w:val="21"/>
                <w:szCs w:val="21"/>
              </w:rPr>
            </w:pPr>
          </w:p>
        </w:tc>
        <w:tc>
          <w:tcPr>
            <w:tcW w:w="217" w:type="dxa"/>
          </w:tcPr>
          <w:p w14:paraId="2682E02C" w14:textId="77777777" w:rsidR="002C0FD9" w:rsidRPr="00CA25CF" w:rsidRDefault="002C0FD9" w:rsidP="00CA25CF">
            <w:pPr>
              <w:rPr>
                <w:rFonts w:cs="Arial"/>
                <w:color w:val="FF0000"/>
                <w:sz w:val="21"/>
                <w:szCs w:val="21"/>
              </w:rPr>
            </w:pPr>
          </w:p>
        </w:tc>
      </w:tr>
      <w:tr w:rsidR="002C0FD9" w:rsidRPr="00A16219" w14:paraId="3F728D62" w14:textId="5368F1FA" w:rsidTr="002C0FD9">
        <w:trPr>
          <w:trHeight w:val="635"/>
        </w:trPr>
        <w:tc>
          <w:tcPr>
            <w:tcW w:w="515" w:type="dxa"/>
          </w:tcPr>
          <w:p w14:paraId="6E4E4311" w14:textId="77777777" w:rsidR="002C0FD9" w:rsidRPr="00CA25CF" w:rsidRDefault="002C0FD9" w:rsidP="00CA25CF">
            <w:pPr>
              <w:rPr>
                <w:rFonts w:cs="Arial"/>
                <w:color w:val="FF0000"/>
                <w:sz w:val="21"/>
                <w:szCs w:val="21"/>
              </w:rPr>
            </w:pPr>
          </w:p>
        </w:tc>
        <w:tc>
          <w:tcPr>
            <w:tcW w:w="217" w:type="dxa"/>
          </w:tcPr>
          <w:p w14:paraId="4B749864" w14:textId="77777777" w:rsidR="002C0FD9" w:rsidRPr="00CA25CF" w:rsidRDefault="002C0FD9" w:rsidP="00CA25CF">
            <w:pPr>
              <w:rPr>
                <w:rFonts w:cs="Arial"/>
                <w:color w:val="FF0000"/>
                <w:sz w:val="21"/>
                <w:szCs w:val="21"/>
              </w:rPr>
            </w:pPr>
          </w:p>
        </w:tc>
        <w:tc>
          <w:tcPr>
            <w:tcW w:w="217" w:type="dxa"/>
          </w:tcPr>
          <w:p w14:paraId="4B6FDA89" w14:textId="546F4345" w:rsidR="002C0FD9" w:rsidRPr="00CA25CF" w:rsidRDefault="002C0FD9" w:rsidP="00CA25CF">
            <w:pPr>
              <w:rPr>
                <w:rFonts w:cs="Arial"/>
                <w:color w:val="FF0000"/>
                <w:sz w:val="21"/>
                <w:szCs w:val="21"/>
              </w:rPr>
            </w:pPr>
          </w:p>
        </w:tc>
        <w:tc>
          <w:tcPr>
            <w:tcW w:w="217" w:type="dxa"/>
          </w:tcPr>
          <w:p w14:paraId="1D1FA13F" w14:textId="77777777" w:rsidR="002C0FD9" w:rsidRPr="00CA25CF" w:rsidRDefault="002C0FD9" w:rsidP="00CA25CF">
            <w:pPr>
              <w:rPr>
                <w:rFonts w:cs="Arial"/>
                <w:color w:val="FF0000"/>
                <w:sz w:val="21"/>
                <w:szCs w:val="21"/>
              </w:rPr>
            </w:pPr>
          </w:p>
        </w:tc>
        <w:tc>
          <w:tcPr>
            <w:tcW w:w="217" w:type="dxa"/>
          </w:tcPr>
          <w:p w14:paraId="6179C1CE" w14:textId="77777777" w:rsidR="002C0FD9" w:rsidRPr="00CA25CF" w:rsidRDefault="002C0FD9" w:rsidP="00CA25CF">
            <w:pPr>
              <w:rPr>
                <w:rFonts w:cs="Arial"/>
                <w:color w:val="FF0000"/>
                <w:sz w:val="21"/>
                <w:szCs w:val="21"/>
              </w:rPr>
            </w:pPr>
          </w:p>
        </w:tc>
        <w:tc>
          <w:tcPr>
            <w:tcW w:w="217" w:type="dxa"/>
          </w:tcPr>
          <w:p w14:paraId="170CE676" w14:textId="77777777" w:rsidR="002C0FD9" w:rsidRPr="00CA25CF" w:rsidRDefault="002C0FD9" w:rsidP="00CA25CF">
            <w:pPr>
              <w:rPr>
                <w:rFonts w:cs="Arial"/>
                <w:color w:val="FF0000"/>
                <w:sz w:val="21"/>
                <w:szCs w:val="21"/>
              </w:rPr>
            </w:pPr>
          </w:p>
        </w:tc>
        <w:tc>
          <w:tcPr>
            <w:tcW w:w="217" w:type="dxa"/>
          </w:tcPr>
          <w:p w14:paraId="64F2028C" w14:textId="77777777" w:rsidR="002C0FD9" w:rsidRPr="00CA25CF" w:rsidRDefault="002C0FD9" w:rsidP="00CA25CF">
            <w:pPr>
              <w:rPr>
                <w:rFonts w:cs="Arial"/>
                <w:color w:val="FF0000"/>
                <w:sz w:val="21"/>
                <w:szCs w:val="21"/>
              </w:rPr>
            </w:pPr>
          </w:p>
        </w:tc>
        <w:tc>
          <w:tcPr>
            <w:tcW w:w="217" w:type="dxa"/>
          </w:tcPr>
          <w:p w14:paraId="3358B237" w14:textId="77777777" w:rsidR="002C0FD9" w:rsidRPr="00CA25CF" w:rsidRDefault="002C0FD9" w:rsidP="00CA25CF">
            <w:pPr>
              <w:rPr>
                <w:rFonts w:cs="Arial"/>
                <w:color w:val="FF0000"/>
                <w:sz w:val="21"/>
                <w:szCs w:val="21"/>
              </w:rPr>
            </w:pPr>
          </w:p>
        </w:tc>
        <w:tc>
          <w:tcPr>
            <w:tcW w:w="217" w:type="dxa"/>
          </w:tcPr>
          <w:p w14:paraId="6CB9BD65" w14:textId="77777777" w:rsidR="002C0FD9" w:rsidRPr="00CA25CF" w:rsidRDefault="002C0FD9" w:rsidP="00CA25CF">
            <w:pPr>
              <w:rPr>
                <w:rFonts w:cs="Arial"/>
                <w:color w:val="FF0000"/>
                <w:sz w:val="21"/>
                <w:szCs w:val="21"/>
              </w:rPr>
            </w:pPr>
          </w:p>
        </w:tc>
        <w:tc>
          <w:tcPr>
            <w:tcW w:w="217" w:type="dxa"/>
          </w:tcPr>
          <w:p w14:paraId="2CA3CE98" w14:textId="77777777" w:rsidR="002C0FD9" w:rsidRPr="00CA25CF" w:rsidRDefault="002C0FD9" w:rsidP="00CA25CF">
            <w:pPr>
              <w:rPr>
                <w:rFonts w:cs="Arial"/>
                <w:color w:val="FF0000"/>
                <w:sz w:val="21"/>
                <w:szCs w:val="21"/>
              </w:rPr>
            </w:pPr>
          </w:p>
        </w:tc>
        <w:tc>
          <w:tcPr>
            <w:tcW w:w="217" w:type="dxa"/>
          </w:tcPr>
          <w:p w14:paraId="23395D49" w14:textId="77777777" w:rsidR="002C0FD9" w:rsidRPr="00CA25CF" w:rsidRDefault="002C0FD9" w:rsidP="00CA25CF">
            <w:pPr>
              <w:rPr>
                <w:rFonts w:cs="Arial"/>
                <w:color w:val="FF0000"/>
                <w:sz w:val="21"/>
                <w:szCs w:val="21"/>
              </w:rPr>
            </w:pPr>
          </w:p>
        </w:tc>
        <w:tc>
          <w:tcPr>
            <w:tcW w:w="217" w:type="dxa"/>
          </w:tcPr>
          <w:p w14:paraId="6ABC789B" w14:textId="77777777" w:rsidR="002C0FD9" w:rsidRPr="00CA25CF" w:rsidRDefault="002C0FD9" w:rsidP="00CA25CF">
            <w:pPr>
              <w:rPr>
                <w:rFonts w:cs="Arial"/>
                <w:color w:val="FF0000"/>
                <w:sz w:val="21"/>
                <w:szCs w:val="21"/>
              </w:rPr>
            </w:pPr>
          </w:p>
        </w:tc>
        <w:tc>
          <w:tcPr>
            <w:tcW w:w="217" w:type="dxa"/>
          </w:tcPr>
          <w:p w14:paraId="5B6BD043" w14:textId="77777777" w:rsidR="002C0FD9" w:rsidRPr="00CA25CF" w:rsidRDefault="002C0FD9" w:rsidP="00CA25CF">
            <w:pPr>
              <w:rPr>
                <w:rFonts w:cs="Arial"/>
                <w:color w:val="FF0000"/>
                <w:sz w:val="21"/>
                <w:szCs w:val="21"/>
              </w:rPr>
            </w:pPr>
          </w:p>
        </w:tc>
        <w:tc>
          <w:tcPr>
            <w:tcW w:w="217" w:type="dxa"/>
          </w:tcPr>
          <w:p w14:paraId="52218124" w14:textId="77777777" w:rsidR="002C0FD9" w:rsidRPr="00CA25CF" w:rsidRDefault="002C0FD9" w:rsidP="00CA25CF">
            <w:pPr>
              <w:rPr>
                <w:rFonts w:cs="Arial"/>
                <w:color w:val="FF0000"/>
                <w:sz w:val="21"/>
                <w:szCs w:val="21"/>
              </w:rPr>
            </w:pPr>
          </w:p>
        </w:tc>
        <w:tc>
          <w:tcPr>
            <w:tcW w:w="217" w:type="dxa"/>
          </w:tcPr>
          <w:p w14:paraId="6A642402" w14:textId="77777777" w:rsidR="002C0FD9" w:rsidRPr="00CA25CF" w:rsidRDefault="002C0FD9" w:rsidP="00CA25CF">
            <w:pPr>
              <w:rPr>
                <w:rFonts w:cs="Arial"/>
                <w:color w:val="FF0000"/>
                <w:sz w:val="21"/>
                <w:szCs w:val="21"/>
              </w:rPr>
            </w:pPr>
          </w:p>
        </w:tc>
        <w:tc>
          <w:tcPr>
            <w:tcW w:w="217" w:type="dxa"/>
          </w:tcPr>
          <w:p w14:paraId="1EC64A14" w14:textId="77777777" w:rsidR="002C0FD9" w:rsidRPr="00CA25CF" w:rsidRDefault="002C0FD9" w:rsidP="00CA25CF">
            <w:pPr>
              <w:rPr>
                <w:rFonts w:cs="Arial"/>
                <w:color w:val="FF0000"/>
                <w:sz w:val="21"/>
                <w:szCs w:val="21"/>
              </w:rPr>
            </w:pPr>
          </w:p>
        </w:tc>
        <w:tc>
          <w:tcPr>
            <w:tcW w:w="217" w:type="dxa"/>
          </w:tcPr>
          <w:p w14:paraId="3814A394" w14:textId="77777777" w:rsidR="002C0FD9" w:rsidRPr="00CA25CF" w:rsidRDefault="002C0FD9" w:rsidP="00CA25CF">
            <w:pPr>
              <w:rPr>
                <w:rFonts w:cs="Arial"/>
                <w:color w:val="FF0000"/>
                <w:sz w:val="21"/>
                <w:szCs w:val="21"/>
              </w:rPr>
            </w:pPr>
          </w:p>
        </w:tc>
        <w:tc>
          <w:tcPr>
            <w:tcW w:w="217" w:type="dxa"/>
          </w:tcPr>
          <w:p w14:paraId="0AD43518" w14:textId="77777777" w:rsidR="002C0FD9" w:rsidRPr="00CA25CF" w:rsidRDefault="002C0FD9" w:rsidP="00CA25CF">
            <w:pPr>
              <w:rPr>
                <w:rFonts w:cs="Arial"/>
                <w:color w:val="FF0000"/>
                <w:sz w:val="21"/>
                <w:szCs w:val="21"/>
              </w:rPr>
            </w:pPr>
          </w:p>
        </w:tc>
        <w:tc>
          <w:tcPr>
            <w:tcW w:w="217" w:type="dxa"/>
          </w:tcPr>
          <w:p w14:paraId="0A058269" w14:textId="77777777" w:rsidR="002C0FD9" w:rsidRPr="00CA25CF" w:rsidRDefault="002C0FD9" w:rsidP="00CA25CF">
            <w:pPr>
              <w:rPr>
                <w:rFonts w:cs="Arial"/>
                <w:color w:val="FF0000"/>
                <w:sz w:val="21"/>
                <w:szCs w:val="21"/>
              </w:rPr>
            </w:pPr>
          </w:p>
        </w:tc>
        <w:tc>
          <w:tcPr>
            <w:tcW w:w="217" w:type="dxa"/>
          </w:tcPr>
          <w:p w14:paraId="10689B76" w14:textId="77777777" w:rsidR="002C0FD9" w:rsidRPr="00CA25CF" w:rsidRDefault="002C0FD9" w:rsidP="00CA25CF">
            <w:pPr>
              <w:rPr>
                <w:rFonts w:cs="Arial"/>
                <w:color w:val="FF0000"/>
                <w:sz w:val="21"/>
                <w:szCs w:val="21"/>
              </w:rPr>
            </w:pPr>
          </w:p>
        </w:tc>
        <w:tc>
          <w:tcPr>
            <w:tcW w:w="217" w:type="dxa"/>
          </w:tcPr>
          <w:p w14:paraId="1820C2E1" w14:textId="77777777" w:rsidR="002C0FD9" w:rsidRPr="00CA25CF" w:rsidRDefault="002C0FD9" w:rsidP="00CA25CF">
            <w:pPr>
              <w:rPr>
                <w:rFonts w:cs="Arial"/>
                <w:color w:val="FF0000"/>
                <w:sz w:val="21"/>
                <w:szCs w:val="21"/>
              </w:rPr>
            </w:pPr>
          </w:p>
        </w:tc>
        <w:tc>
          <w:tcPr>
            <w:tcW w:w="217" w:type="dxa"/>
          </w:tcPr>
          <w:p w14:paraId="3BE0F061" w14:textId="77777777" w:rsidR="002C0FD9" w:rsidRPr="00CA25CF" w:rsidRDefault="002C0FD9" w:rsidP="00CA25CF">
            <w:pPr>
              <w:rPr>
                <w:rFonts w:cs="Arial"/>
                <w:color w:val="FF0000"/>
                <w:sz w:val="21"/>
                <w:szCs w:val="21"/>
              </w:rPr>
            </w:pPr>
          </w:p>
        </w:tc>
        <w:tc>
          <w:tcPr>
            <w:tcW w:w="217" w:type="dxa"/>
          </w:tcPr>
          <w:p w14:paraId="7C17DEEE" w14:textId="77777777" w:rsidR="002C0FD9" w:rsidRPr="00CA25CF" w:rsidRDefault="002C0FD9" w:rsidP="00CA25CF">
            <w:pPr>
              <w:rPr>
                <w:rFonts w:cs="Arial"/>
                <w:color w:val="FF0000"/>
                <w:sz w:val="21"/>
                <w:szCs w:val="21"/>
              </w:rPr>
            </w:pPr>
          </w:p>
        </w:tc>
        <w:tc>
          <w:tcPr>
            <w:tcW w:w="217" w:type="dxa"/>
          </w:tcPr>
          <w:p w14:paraId="3AD04BDE" w14:textId="77777777" w:rsidR="002C0FD9" w:rsidRPr="00CA25CF" w:rsidRDefault="002C0FD9" w:rsidP="00CA25CF">
            <w:pPr>
              <w:rPr>
                <w:rFonts w:cs="Arial"/>
                <w:color w:val="FF0000"/>
                <w:sz w:val="21"/>
                <w:szCs w:val="21"/>
              </w:rPr>
            </w:pPr>
          </w:p>
        </w:tc>
        <w:tc>
          <w:tcPr>
            <w:tcW w:w="217" w:type="dxa"/>
          </w:tcPr>
          <w:p w14:paraId="63FB63C8" w14:textId="77777777" w:rsidR="002C0FD9" w:rsidRPr="00CA25CF" w:rsidRDefault="002C0FD9" w:rsidP="00CA25CF">
            <w:pPr>
              <w:rPr>
                <w:rFonts w:cs="Arial"/>
                <w:color w:val="FF0000"/>
                <w:sz w:val="21"/>
                <w:szCs w:val="21"/>
              </w:rPr>
            </w:pPr>
          </w:p>
        </w:tc>
        <w:tc>
          <w:tcPr>
            <w:tcW w:w="217" w:type="dxa"/>
          </w:tcPr>
          <w:p w14:paraId="3E2FCB38" w14:textId="77777777" w:rsidR="002C0FD9" w:rsidRPr="00CA25CF" w:rsidRDefault="002C0FD9" w:rsidP="00CA25CF">
            <w:pPr>
              <w:rPr>
                <w:rFonts w:cs="Arial"/>
                <w:color w:val="FF0000"/>
                <w:sz w:val="21"/>
                <w:szCs w:val="21"/>
              </w:rPr>
            </w:pPr>
          </w:p>
        </w:tc>
        <w:tc>
          <w:tcPr>
            <w:tcW w:w="217" w:type="dxa"/>
          </w:tcPr>
          <w:p w14:paraId="4A93FBD5" w14:textId="77777777" w:rsidR="002C0FD9" w:rsidRPr="00CA25CF" w:rsidRDefault="002C0FD9" w:rsidP="00CA25CF">
            <w:pPr>
              <w:rPr>
                <w:rFonts w:cs="Arial"/>
                <w:color w:val="FF0000"/>
                <w:sz w:val="21"/>
                <w:szCs w:val="21"/>
              </w:rPr>
            </w:pPr>
          </w:p>
        </w:tc>
        <w:tc>
          <w:tcPr>
            <w:tcW w:w="217" w:type="dxa"/>
          </w:tcPr>
          <w:p w14:paraId="2A310813" w14:textId="77777777" w:rsidR="002C0FD9" w:rsidRPr="00CA25CF" w:rsidRDefault="002C0FD9" w:rsidP="00CA25CF">
            <w:pPr>
              <w:rPr>
                <w:rFonts w:cs="Arial"/>
                <w:color w:val="FF0000"/>
                <w:sz w:val="21"/>
                <w:szCs w:val="21"/>
              </w:rPr>
            </w:pPr>
          </w:p>
        </w:tc>
        <w:tc>
          <w:tcPr>
            <w:tcW w:w="217" w:type="dxa"/>
          </w:tcPr>
          <w:p w14:paraId="360F97BF" w14:textId="77777777" w:rsidR="002C0FD9" w:rsidRPr="00CA25CF" w:rsidRDefault="002C0FD9" w:rsidP="00CA25CF">
            <w:pPr>
              <w:rPr>
                <w:rFonts w:cs="Arial"/>
                <w:color w:val="FF0000"/>
                <w:sz w:val="21"/>
                <w:szCs w:val="21"/>
              </w:rPr>
            </w:pPr>
          </w:p>
        </w:tc>
        <w:tc>
          <w:tcPr>
            <w:tcW w:w="217" w:type="dxa"/>
          </w:tcPr>
          <w:p w14:paraId="0F3D41DF" w14:textId="77777777" w:rsidR="002C0FD9" w:rsidRPr="00CA25CF" w:rsidRDefault="002C0FD9" w:rsidP="00CA25CF">
            <w:pPr>
              <w:rPr>
                <w:rFonts w:cs="Arial"/>
                <w:color w:val="FF0000"/>
                <w:sz w:val="21"/>
                <w:szCs w:val="21"/>
              </w:rPr>
            </w:pPr>
          </w:p>
        </w:tc>
        <w:tc>
          <w:tcPr>
            <w:tcW w:w="217" w:type="dxa"/>
          </w:tcPr>
          <w:p w14:paraId="3C14C66D" w14:textId="77777777" w:rsidR="002C0FD9" w:rsidRPr="00CA25CF" w:rsidRDefault="002C0FD9" w:rsidP="00CA25CF">
            <w:pPr>
              <w:rPr>
                <w:rFonts w:cs="Arial"/>
                <w:color w:val="FF0000"/>
                <w:sz w:val="21"/>
                <w:szCs w:val="21"/>
              </w:rPr>
            </w:pPr>
          </w:p>
        </w:tc>
        <w:tc>
          <w:tcPr>
            <w:tcW w:w="217" w:type="dxa"/>
          </w:tcPr>
          <w:p w14:paraId="040D2934" w14:textId="77777777" w:rsidR="002C0FD9" w:rsidRPr="00CA25CF" w:rsidRDefault="002C0FD9" w:rsidP="00CA25CF">
            <w:pPr>
              <w:rPr>
                <w:rFonts w:cs="Arial"/>
                <w:color w:val="FF0000"/>
                <w:sz w:val="21"/>
                <w:szCs w:val="21"/>
              </w:rPr>
            </w:pPr>
          </w:p>
        </w:tc>
        <w:tc>
          <w:tcPr>
            <w:tcW w:w="217" w:type="dxa"/>
          </w:tcPr>
          <w:p w14:paraId="07F26F0F" w14:textId="77777777" w:rsidR="002C0FD9" w:rsidRPr="00CA25CF" w:rsidRDefault="002C0FD9" w:rsidP="00CA25CF">
            <w:pPr>
              <w:rPr>
                <w:rFonts w:cs="Arial"/>
                <w:color w:val="FF0000"/>
                <w:sz w:val="21"/>
                <w:szCs w:val="21"/>
              </w:rPr>
            </w:pPr>
          </w:p>
        </w:tc>
        <w:tc>
          <w:tcPr>
            <w:tcW w:w="217" w:type="dxa"/>
          </w:tcPr>
          <w:p w14:paraId="7A9B4AA4" w14:textId="77777777" w:rsidR="002C0FD9" w:rsidRPr="00CA25CF" w:rsidRDefault="002C0FD9" w:rsidP="00CA25CF">
            <w:pPr>
              <w:rPr>
                <w:rFonts w:cs="Arial"/>
                <w:color w:val="FF0000"/>
                <w:sz w:val="21"/>
                <w:szCs w:val="21"/>
              </w:rPr>
            </w:pPr>
          </w:p>
        </w:tc>
        <w:tc>
          <w:tcPr>
            <w:tcW w:w="217" w:type="dxa"/>
          </w:tcPr>
          <w:p w14:paraId="328B7EA0" w14:textId="77777777" w:rsidR="002C0FD9" w:rsidRPr="00CA25CF" w:rsidRDefault="002C0FD9" w:rsidP="00CA25CF">
            <w:pPr>
              <w:rPr>
                <w:rFonts w:cs="Arial"/>
                <w:color w:val="FF0000"/>
                <w:sz w:val="21"/>
                <w:szCs w:val="21"/>
              </w:rPr>
            </w:pPr>
          </w:p>
        </w:tc>
        <w:tc>
          <w:tcPr>
            <w:tcW w:w="217" w:type="dxa"/>
          </w:tcPr>
          <w:p w14:paraId="2C857C25" w14:textId="77777777" w:rsidR="002C0FD9" w:rsidRPr="00CA25CF" w:rsidRDefault="002C0FD9" w:rsidP="00CA25CF">
            <w:pPr>
              <w:rPr>
                <w:rFonts w:cs="Arial"/>
                <w:color w:val="FF0000"/>
                <w:sz w:val="21"/>
                <w:szCs w:val="21"/>
              </w:rPr>
            </w:pPr>
          </w:p>
        </w:tc>
        <w:tc>
          <w:tcPr>
            <w:tcW w:w="217" w:type="dxa"/>
          </w:tcPr>
          <w:p w14:paraId="17F85DE0" w14:textId="77777777" w:rsidR="002C0FD9" w:rsidRPr="00CA25CF" w:rsidRDefault="002C0FD9" w:rsidP="00CA25CF">
            <w:pPr>
              <w:rPr>
                <w:rFonts w:cs="Arial"/>
                <w:color w:val="FF0000"/>
                <w:sz w:val="21"/>
                <w:szCs w:val="21"/>
              </w:rPr>
            </w:pPr>
          </w:p>
        </w:tc>
        <w:tc>
          <w:tcPr>
            <w:tcW w:w="217" w:type="dxa"/>
          </w:tcPr>
          <w:p w14:paraId="2E362A53" w14:textId="77777777" w:rsidR="002C0FD9" w:rsidRPr="00CA25CF" w:rsidRDefault="002C0FD9" w:rsidP="00CA25CF">
            <w:pPr>
              <w:rPr>
                <w:rFonts w:cs="Arial"/>
                <w:color w:val="FF0000"/>
                <w:sz w:val="21"/>
                <w:szCs w:val="21"/>
              </w:rPr>
            </w:pPr>
          </w:p>
        </w:tc>
        <w:tc>
          <w:tcPr>
            <w:tcW w:w="217" w:type="dxa"/>
          </w:tcPr>
          <w:p w14:paraId="6F0284B9" w14:textId="77777777" w:rsidR="002C0FD9" w:rsidRPr="00CA25CF" w:rsidRDefault="002C0FD9" w:rsidP="00CA25CF">
            <w:pPr>
              <w:rPr>
                <w:rFonts w:cs="Arial"/>
                <w:color w:val="FF0000"/>
                <w:sz w:val="21"/>
                <w:szCs w:val="21"/>
              </w:rPr>
            </w:pPr>
          </w:p>
        </w:tc>
        <w:tc>
          <w:tcPr>
            <w:tcW w:w="217" w:type="dxa"/>
          </w:tcPr>
          <w:p w14:paraId="4EAA8D7D" w14:textId="77777777" w:rsidR="002C0FD9" w:rsidRPr="00CA25CF" w:rsidRDefault="002C0FD9" w:rsidP="00CA25CF">
            <w:pPr>
              <w:rPr>
                <w:rFonts w:cs="Arial"/>
                <w:color w:val="FF0000"/>
                <w:sz w:val="21"/>
                <w:szCs w:val="21"/>
              </w:rPr>
            </w:pPr>
          </w:p>
        </w:tc>
        <w:tc>
          <w:tcPr>
            <w:tcW w:w="217" w:type="dxa"/>
          </w:tcPr>
          <w:p w14:paraId="0002DDFD" w14:textId="77777777" w:rsidR="002C0FD9" w:rsidRPr="00CA25CF" w:rsidRDefault="002C0FD9" w:rsidP="00CA25CF">
            <w:pPr>
              <w:rPr>
                <w:rFonts w:cs="Arial"/>
                <w:color w:val="FF0000"/>
                <w:sz w:val="21"/>
                <w:szCs w:val="21"/>
              </w:rPr>
            </w:pPr>
          </w:p>
        </w:tc>
        <w:tc>
          <w:tcPr>
            <w:tcW w:w="217" w:type="dxa"/>
          </w:tcPr>
          <w:p w14:paraId="090AE3C4" w14:textId="77777777" w:rsidR="002C0FD9" w:rsidRPr="00CA25CF" w:rsidRDefault="002C0FD9" w:rsidP="00CA25CF">
            <w:pPr>
              <w:rPr>
                <w:rFonts w:cs="Arial"/>
                <w:color w:val="FF0000"/>
                <w:sz w:val="21"/>
                <w:szCs w:val="21"/>
              </w:rPr>
            </w:pPr>
          </w:p>
        </w:tc>
        <w:tc>
          <w:tcPr>
            <w:tcW w:w="217" w:type="dxa"/>
          </w:tcPr>
          <w:p w14:paraId="01D09A2B" w14:textId="77777777" w:rsidR="002C0FD9" w:rsidRPr="00CA25CF" w:rsidRDefault="002C0FD9" w:rsidP="00CA25CF">
            <w:pPr>
              <w:rPr>
                <w:rFonts w:cs="Arial"/>
                <w:color w:val="FF0000"/>
                <w:sz w:val="21"/>
                <w:szCs w:val="21"/>
              </w:rPr>
            </w:pPr>
          </w:p>
        </w:tc>
      </w:tr>
      <w:tr w:rsidR="002C0FD9" w:rsidRPr="00A16219" w14:paraId="60CBA1CA" w14:textId="4A56FDB4" w:rsidTr="002C0FD9">
        <w:trPr>
          <w:trHeight w:val="635"/>
        </w:trPr>
        <w:tc>
          <w:tcPr>
            <w:tcW w:w="515" w:type="dxa"/>
          </w:tcPr>
          <w:p w14:paraId="28A6C1C5" w14:textId="77777777" w:rsidR="002C0FD9" w:rsidRPr="00CA25CF" w:rsidRDefault="002C0FD9" w:rsidP="00CA25CF">
            <w:pPr>
              <w:rPr>
                <w:rFonts w:cs="Arial"/>
                <w:color w:val="FF0000"/>
                <w:sz w:val="21"/>
                <w:szCs w:val="21"/>
              </w:rPr>
            </w:pPr>
          </w:p>
        </w:tc>
        <w:tc>
          <w:tcPr>
            <w:tcW w:w="217" w:type="dxa"/>
          </w:tcPr>
          <w:p w14:paraId="005EB04A" w14:textId="77777777" w:rsidR="002C0FD9" w:rsidRPr="00CA25CF" w:rsidRDefault="002C0FD9" w:rsidP="00CA25CF">
            <w:pPr>
              <w:rPr>
                <w:rFonts w:cs="Arial"/>
                <w:color w:val="FF0000"/>
                <w:sz w:val="21"/>
                <w:szCs w:val="21"/>
              </w:rPr>
            </w:pPr>
          </w:p>
        </w:tc>
        <w:tc>
          <w:tcPr>
            <w:tcW w:w="217" w:type="dxa"/>
          </w:tcPr>
          <w:p w14:paraId="20645BE4" w14:textId="136E0FBE" w:rsidR="002C0FD9" w:rsidRPr="00CA25CF" w:rsidRDefault="002C0FD9" w:rsidP="00CA25CF">
            <w:pPr>
              <w:rPr>
                <w:rFonts w:cs="Arial"/>
                <w:color w:val="FF0000"/>
                <w:sz w:val="21"/>
                <w:szCs w:val="21"/>
              </w:rPr>
            </w:pPr>
          </w:p>
        </w:tc>
        <w:tc>
          <w:tcPr>
            <w:tcW w:w="217" w:type="dxa"/>
          </w:tcPr>
          <w:p w14:paraId="4525EB95" w14:textId="77777777" w:rsidR="002C0FD9" w:rsidRPr="00CA25CF" w:rsidRDefault="002C0FD9" w:rsidP="00CA25CF">
            <w:pPr>
              <w:rPr>
                <w:rFonts w:cs="Arial"/>
                <w:color w:val="FF0000"/>
                <w:sz w:val="21"/>
                <w:szCs w:val="21"/>
              </w:rPr>
            </w:pPr>
          </w:p>
        </w:tc>
        <w:tc>
          <w:tcPr>
            <w:tcW w:w="217" w:type="dxa"/>
          </w:tcPr>
          <w:p w14:paraId="5ACB7DFB" w14:textId="77777777" w:rsidR="002C0FD9" w:rsidRPr="00CA25CF" w:rsidRDefault="002C0FD9" w:rsidP="00CA25CF">
            <w:pPr>
              <w:rPr>
                <w:rFonts w:cs="Arial"/>
                <w:color w:val="FF0000"/>
                <w:sz w:val="21"/>
                <w:szCs w:val="21"/>
              </w:rPr>
            </w:pPr>
          </w:p>
        </w:tc>
        <w:tc>
          <w:tcPr>
            <w:tcW w:w="217" w:type="dxa"/>
          </w:tcPr>
          <w:p w14:paraId="4BACF1A1" w14:textId="77777777" w:rsidR="002C0FD9" w:rsidRPr="00CA25CF" w:rsidRDefault="002C0FD9" w:rsidP="00CA25CF">
            <w:pPr>
              <w:rPr>
                <w:rFonts w:cs="Arial"/>
                <w:color w:val="FF0000"/>
                <w:sz w:val="21"/>
                <w:szCs w:val="21"/>
              </w:rPr>
            </w:pPr>
          </w:p>
        </w:tc>
        <w:tc>
          <w:tcPr>
            <w:tcW w:w="217" w:type="dxa"/>
          </w:tcPr>
          <w:p w14:paraId="44BE9976" w14:textId="77777777" w:rsidR="002C0FD9" w:rsidRPr="00CA25CF" w:rsidRDefault="002C0FD9" w:rsidP="00CA25CF">
            <w:pPr>
              <w:rPr>
                <w:rFonts w:cs="Arial"/>
                <w:color w:val="FF0000"/>
                <w:sz w:val="21"/>
                <w:szCs w:val="21"/>
              </w:rPr>
            </w:pPr>
          </w:p>
        </w:tc>
        <w:tc>
          <w:tcPr>
            <w:tcW w:w="217" w:type="dxa"/>
          </w:tcPr>
          <w:p w14:paraId="5F1213E4" w14:textId="77777777" w:rsidR="002C0FD9" w:rsidRPr="00CA25CF" w:rsidRDefault="002C0FD9" w:rsidP="00CA25CF">
            <w:pPr>
              <w:rPr>
                <w:rFonts w:cs="Arial"/>
                <w:color w:val="FF0000"/>
                <w:sz w:val="21"/>
                <w:szCs w:val="21"/>
              </w:rPr>
            </w:pPr>
          </w:p>
        </w:tc>
        <w:tc>
          <w:tcPr>
            <w:tcW w:w="217" w:type="dxa"/>
          </w:tcPr>
          <w:p w14:paraId="5391EB5E" w14:textId="77777777" w:rsidR="002C0FD9" w:rsidRPr="00CA25CF" w:rsidRDefault="002C0FD9" w:rsidP="00CA25CF">
            <w:pPr>
              <w:rPr>
                <w:rFonts w:cs="Arial"/>
                <w:color w:val="FF0000"/>
                <w:sz w:val="21"/>
                <w:szCs w:val="21"/>
              </w:rPr>
            </w:pPr>
          </w:p>
        </w:tc>
        <w:tc>
          <w:tcPr>
            <w:tcW w:w="217" w:type="dxa"/>
          </w:tcPr>
          <w:p w14:paraId="1FFF5150" w14:textId="77777777" w:rsidR="002C0FD9" w:rsidRPr="00CA25CF" w:rsidRDefault="002C0FD9" w:rsidP="00CA25CF">
            <w:pPr>
              <w:rPr>
                <w:rFonts w:cs="Arial"/>
                <w:color w:val="FF0000"/>
                <w:sz w:val="21"/>
                <w:szCs w:val="21"/>
              </w:rPr>
            </w:pPr>
          </w:p>
        </w:tc>
        <w:tc>
          <w:tcPr>
            <w:tcW w:w="217" w:type="dxa"/>
          </w:tcPr>
          <w:p w14:paraId="20DF2D93" w14:textId="77777777" w:rsidR="002C0FD9" w:rsidRPr="00CA25CF" w:rsidRDefault="002C0FD9" w:rsidP="00CA25CF">
            <w:pPr>
              <w:rPr>
                <w:rFonts w:cs="Arial"/>
                <w:color w:val="FF0000"/>
                <w:sz w:val="21"/>
                <w:szCs w:val="21"/>
              </w:rPr>
            </w:pPr>
          </w:p>
        </w:tc>
        <w:tc>
          <w:tcPr>
            <w:tcW w:w="217" w:type="dxa"/>
          </w:tcPr>
          <w:p w14:paraId="2CE42D21" w14:textId="77777777" w:rsidR="002C0FD9" w:rsidRPr="00CA25CF" w:rsidRDefault="002C0FD9" w:rsidP="00CA25CF">
            <w:pPr>
              <w:rPr>
                <w:rFonts w:cs="Arial"/>
                <w:color w:val="FF0000"/>
                <w:sz w:val="21"/>
                <w:szCs w:val="21"/>
              </w:rPr>
            </w:pPr>
          </w:p>
        </w:tc>
        <w:tc>
          <w:tcPr>
            <w:tcW w:w="217" w:type="dxa"/>
          </w:tcPr>
          <w:p w14:paraId="48A424D4" w14:textId="77777777" w:rsidR="002C0FD9" w:rsidRPr="00CA25CF" w:rsidRDefault="002C0FD9" w:rsidP="00CA25CF">
            <w:pPr>
              <w:rPr>
                <w:rFonts w:cs="Arial"/>
                <w:color w:val="FF0000"/>
                <w:sz w:val="21"/>
                <w:szCs w:val="21"/>
              </w:rPr>
            </w:pPr>
          </w:p>
        </w:tc>
        <w:tc>
          <w:tcPr>
            <w:tcW w:w="217" w:type="dxa"/>
          </w:tcPr>
          <w:p w14:paraId="5C25AAB0" w14:textId="77777777" w:rsidR="002C0FD9" w:rsidRPr="00CA25CF" w:rsidRDefault="002C0FD9" w:rsidP="00CA25CF">
            <w:pPr>
              <w:rPr>
                <w:rFonts w:cs="Arial"/>
                <w:color w:val="FF0000"/>
                <w:sz w:val="21"/>
                <w:szCs w:val="21"/>
              </w:rPr>
            </w:pPr>
          </w:p>
        </w:tc>
        <w:tc>
          <w:tcPr>
            <w:tcW w:w="217" w:type="dxa"/>
          </w:tcPr>
          <w:p w14:paraId="2C11FB54" w14:textId="77777777" w:rsidR="002C0FD9" w:rsidRPr="00CA25CF" w:rsidRDefault="002C0FD9" w:rsidP="00CA25CF">
            <w:pPr>
              <w:rPr>
                <w:rFonts w:cs="Arial"/>
                <w:color w:val="FF0000"/>
                <w:sz w:val="21"/>
                <w:szCs w:val="21"/>
              </w:rPr>
            </w:pPr>
          </w:p>
        </w:tc>
        <w:tc>
          <w:tcPr>
            <w:tcW w:w="217" w:type="dxa"/>
          </w:tcPr>
          <w:p w14:paraId="48E393BE" w14:textId="77777777" w:rsidR="002C0FD9" w:rsidRPr="00CA25CF" w:rsidRDefault="002C0FD9" w:rsidP="00CA25CF">
            <w:pPr>
              <w:rPr>
                <w:rFonts w:cs="Arial"/>
                <w:color w:val="FF0000"/>
                <w:sz w:val="21"/>
                <w:szCs w:val="21"/>
              </w:rPr>
            </w:pPr>
          </w:p>
        </w:tc>
        <w:tc>
          <w:tcPr>
            <w:tcW w:w="217" w:type="dxa"/>
          </w:tcPr>
          <w:p w14:paraId="5DA7ABC6" w14:textId="77777777" w:rsidR="002C0FD9" w:rsidRPr="00CA25CF" w:rsidRDefault="002C0FD9" w:rsidP="00CA25CF">
            <w:pPr>
              <w:rPr>
                <w:rFonts w:cs="Arial"/>
                <w:color w:val="FF0000"/>
                <w:sz w:val="21"/>
                <w:szCs w:val="21"/>
              </w:rPr>
            </w:pPr>
          </w:p>
        </w:tc>
        <w:tc>
          <w:tcPr>
            <w:tcW w:w="217" w:type="dxa"/>
          </w:tcPr>
          <w:p w14:paraId="0475BD46" w14:textId="77777777" w:rsidR="002C0FD9" w:rsidRPr="00CA25CF" w:rsidRDefault="002C0FD9" w:rsidP="00CA25CF">
            <w:pPr>
              <w:rPr>
                <w:rFonts w:cs="Arial"/>
                <w:color w:val="FF0000"/>
                <w:sz w:val="21"/>
                <w:szCs w:val="21"/>
              </w:rPr>
            </w:pPr>
          </w:p>
        </w:tc>
        <w:tc>
          <w:tcPr>
            <w:tcW w:w="217" w:type="dxa"/>
          </w:tcPr>
          <w:p w14:paraId="33EAE0F3" w14:textId="77777777" w:rsidR="002C0FD9" w:rsidRPr="00CA25CF" w:rsidRDefault="002C0FD9" w:rsidP="00CA25CF">
            <w:pPr>
              <w:rPr>
                <w:rFonts w:cs="Arial"/>
                <w:color w:val="FF0000"/>
                <w:sz w:val="21"/>
                <w:szCs w:val="21"/>
              </w:rPr>
            </w:pPr>
          </w:p>
        </w:tc>
        <w:tc>
          <w:tcPr>
            <w:tcW w:w="217" w:type="dxa"/>
          </w:tcPr>
          <w:p w14:paraId="54C49ECC" w14:textId="77777777" w:rsidR="002C0FD9" w:rsidRPr="00CA25CF" w:rsidRDefault="002C0FD9" w:rsidP="00CA25CF">
            <w:pPr>
              <w:rPr>
                <w:rFonts w:cs="Arial"/>
                <w:color w:val="FF0000"/>
                <w:sz w:val="21"/>
                <w:szCs w:val="21"/>
              </w:rPr>
            </w:pPr>
          </w:p>
        </w:tc>
        <w:tc>
          <w:tcPr>
            <w:tcW w:w="217" w:type="dxa"/>
          </w:tcPr>
          <w:p w14:paraId="160CCDC1" w14:textId="77777777" w:rsidR="002C0FD9" w:rsidRPr="00CA25CF" w:rsidRDefault="002C0FD9" w:rsidP="00CA25CF">
            <w:pPr>
              <w:rPr>
                <w:rFonts w:cs="Arial"/>
                <w:color w:val="FF0000"/>
                <w:sz w:val="21"/>
                <w:szCs w:val="21"/>
              </w:rPr>
            </w:pPr>
          </w:p>
        </w:tc>
        <w:tc>
          <w:tcPr>
            <w:tcW w:w="217" w:type="dxa"/>
          </w:tcPr>
          <w:p w14:paraId="043E3032" w14:textId="77777777" w:rsidR="002C0FD9" w:rsidRPr="00CA25CF" w:rsidRDefault="002C0FD9" w:rsidP="00CA25CF">
            <w:pPr>
              <w:rPr>
                <w:rFonts w:cs="Arial"/>
                <w:color w:val="FF0000"/>
                <w:sz w:val="21"/>
                <w:szCs w:val="21"/>
              </w:rPr>
            </w:pPr>
          </w:p>
        </w:tc>
        <w:tc>
          <w:tcPr>
            <w:tcW w:w="217" w:type="dxa"/>
          </w:tcPr>
          <w:p w14:paraId="064FB09F" w14:textId="77777777" w:rsidR="002C0FD9" w:rsidRPr="00CA25CF" w:rsidRDefault="002C0FD9" w:rsidP="00CA25CF">
            <w:pPr>
              <w:rPr>
                <w:rFonts w:cs="Arial"/>
                <w:color w:val="FF0000"/>
                <w:sz w:val="21"/>
                <w:szCs w:val="21"/>
              </w:rPr>
            </w:pPr>
          </w:p>
        </w:tc>
        <w:tc>
          <w:tcPr>
            <w:tcW w:w="217" w:type="dxa"/>
          </w:tcPr>
          <w:p w14:paraId="3A376927" w14:textId="77777777" w:rsidR="002C0FD9" w:rsidRPr="00CA25CF" w:rsidRDefault="002C0FD9" w:rsidP="00CA25CF">
            <w:pPr>
              <w:rPr>
                <w:rFonts w:cs="Arial"/>
                <w:color w:val="FF0000"/>
                <w:sz w:val="21"/>
                <w:szCs w:val="21"/>
              </w:rPr>
            </w:pPr>
          </w:p>
        </w:tc>
        <w:tc>
          <w:tcPr>
            <w:tcW w:w="217" w:type="dxa"/>
          </w:tcPr>
          <w:p w14:paraId="7AC9C924" w14:textId="77777777" w:rsidR="002C0FD9" w:rsidRPr="00CA25CF" w:rsidRDefault="002C0FD9" w:rsidP="00CA25CF">
            <w:pPr>
              <w:rPr>
                <w:rFonts w:cs="Arial"/>
                <w:color w:val="FF0000"/>
                <w:sz w:val="21"/>
                <w:szCs w:val="21"/>
              </w:rPr>
            </w:pPr>
          </w:p>
        </w:tc>
        <w:tc>
          <w:tcPr>
            <w:tcW w:w="217" w:type="dxa"/>
          </w:tcPr>
          <w:p w14:paraId="2A367153" w14:textId="77777777" w:rsidR="002C0FD9" w:rsidRPr="00CA25CF" w:rsidRDefault="002C0FD9" w:rsidP="00CA25CF">
            <w:pPr>
              <w:rPr>
                <w:rFonts w:cs="Arial"/>
                <w:color w:val="FF0000"/>
                <w:sz w:val="21"/>
                <w:szCs w:val="21"/>
              </w:rPr>
            </w:pPr>
          </w:p>
        </w:tc>
        <w:tc>
          <w:tcPr>
            <w:tcW w:w="217" w:type="dxa"/>
          </w:tcPr>
          <w:p w14:paraId="05A651C0" w14:textId="77777777" w:rsidR="002C0FD9" w:rsidRPr="00CA25CF" w:rsidRDefault="002C0FD9" w:rsidP="00CA25CF">
            <w:pPr>
              <w:rPr>
                <w:rFonts w:cs="Arial"/>
                <w:color w:val="FF0000"/>
                <w:sz w:val="21"/>
                <w:szCs w:val="21"/>
              </w:rPr>
            </w:pPr>
          </w:p>
        </w:tc>
        <w:tc>
          <w:tcPr>
            <w:tcW w:w="217" w:type="dxa"/>
          </w:tcPr>
          <w:p w14:paraId="589AE8FF" w14:textId="77777777" w:rsidR="002C0FD9" w:rsidRPr="00CA25CF" w:rsidRDefault="002C0FD9" w:rsidP="00CA25CF">
            <w:pPr>
              <w:rPr>
                <w:rFonts w:cs="Arial"/>
                <w:color w:val="FF0000"/>
                <w:sz w:val="21"/>
                <w:szCs w:val="21"/>
              </w:rPr>
            </w:pPr>
          </w:p>
        </w:tc>
        <w:tc>
          <w:tcPr>
            <w:tcW w:w="217" w:type="dxa"/>
          </w:tcPr>
          <w:p w14:paraId="49E96BF5" w14:textId="77777777" w:rsidR="002C0FD9" w:rsidRPr="00CA25CF" w:rsidRDefault="002C0FD9" w:rsidP="00CA25CF">
            <w:pPr>
              <w:rPr>
                <w:rFonts w:cs="Arial"/>
                <w:color w:val="FF0000"/>
                <w:sz w:val="21"/>
                <w:szCs w:val="21"/>
              </w:rPr>
            </w:pPr>
          </w:p>
        </w:tc>
        <w:tc>
          <w:tcPr>
            <w:tcW w:w="217" w:type="dxa"/>
          </w:tcPr>
          <w:p w14:paraId="1ADF705F" w14:textId="77777777" w:rsidR="002C0FD9" w:rsidRPr="00CA25CF" w:rsidRDefault="002C0FD9" w:rsidP="00CA25CF">
            <w:pPr>
              <w:rPr>
                <w:rFonts w:cs="Arial"/>
                <w:color w:val="FF0000"/>
                <w:sz w:val="21"/>
                <w:szCs w:val="21"/>
              </w:rPr>
            </w:pPr>
          </w:p>
        </w:tc>
        <w:tc>
          <w:tcPr>
            <w:tcW w:w="217" w:type="dxa"/>
          </w:tcPr>
          <w:p w14:paraId="08E6A23D" w14:textId="77777777" w:rsidR="002C0FD9" w:rsidRPr="00CA25CF" w:rsidRDefault="002C0FD9" w:rsidP="00CA25CF">
            <w:pPr>
              <w:rPr>
                <w:rFonts w:cs="Arial"/>
                <w:color w:val="FF0000"/>
                <w:sz w:val="21"/>
                <w:szCs w:val="21"/>
              </w:rPr>
            </w:pPr>
          </w:p>
        </w:tc>
        <w:tc>
          <w:tcPr>
            <w:tcW w:w="217" w:type="dxa"/>
          </w:tcPr>
          <w:p w14:paraId="12EABAB5" w14:textId="77777777" w:rsidR="002C0FD9" w:rsidRPr="00CA25CF" w:rsidRDefault="002C0FD9" w:rsidP="00CA25CF">
            <w:pPr>
              <w:rPr>
                <w:rFonts w:cs="Arial"/>
                <w:color w:val="FF0000"/>
                <w:sz w:val="21"/>
                <w:szCs w:val="21"/>
              </w:rPr>
            </w:pPr>
          </w:p>
        </w:tc>
        <w:tc>
          <w:tcPr>
            <w:tcW w:w="217" w:type="dxa"/>
          </w:tcPr>
          <w:p w14:paraId="52095C3D" w14:textId="77777777" w:rsidR="002C0FD9" w:rsidRPr="00CA25CF" w:rsidRDefault="002C0FD9" w:rsidP="00CA25CF">
            <w:pPr>
              <w:rPr>
                <w:rFonts w:cs="Arial"/>
                <w:color w:val="FF0000"/>
                <w:sz w:val="21"/>
                <w:szCs w:val="21"/>
              </w:rPr>
            </w:pPr>
          </w:p>
        </w:tc>
        <w:tc>
          <w:tcPr>
            <w:tcW w:w="217" w:type="dxa"/>
          </w:tcPr>
          <w:p w14:paraId="4C2469A0" w14:textId="77777777" w:rsidR="002C0FD9" w:rsidRPr="00CA25CF" w:rsidRDefault="002C0FD9" w:rsidP="00CA25CF">
            <w:pPr>
              <w:rPr>
                <w:rFonts w:cs="Arial"/>
                <w:color w:val="FF0000"/>
                <w:sz w:val="21"/>
                <w:szCs w:val="21"/>
              </w:rPr>
            </w:pPr>
          </w:p>
        </w:tc>
        <w:tc>
          <w:tcPr>
            <w:tcW w:w="217" w:type="dxa"/>
          </w:tcPr>
          <w:p w14:paraId="2BF4F452" w14:textId="77777777" w:rsidR="002C0FD9" w:rsidRPr="00CA25CF" w:rsidRDefault="002C0FD9" w:rsidP="00CA25CF">
            <w:pPr>
              <w:rPr>
                <w:rFonts w:cs="Arial"/>
                <w:color w:val="FF0000"/>
                <w:sz w:val="21"/>
                <w:szCs w:val="21"/>
              </w:rPr>
            </w:pPr>
          </w:p>
        </w:tc>
        <w:tc>
          <w:tcPr>
            <w:tcW w:w="217" w:type="dxa"/>
          </w:tcPr>
          <w:p w14:paraId="6F4DB56B" w14:textId="77777777" w:rsidR="002C0FD9" w:rsidRPr="00CA25CF" w:rsidRDefault="002C0FD9" w:rsidP="00CA25CF">
            <w:pPr>
              <w:rPr>
                <w:rFonts w:cs="Arial"/>
                <w:color w:val="FF0000"/>
                <w:sz w:val="21"/>
                <w:szCs w:val="21"/>
              </w:rPr>
            </w:pPr>
          </w:p>
        </w:tc>
        <w:tc>
          <w:tcPr>
            <w:tcW w:w="217" w:type="dxa"/>
          </w:tcPr>
          <w:p w14:paraId="1335BC97" w14:textId="77777777" w:rsidR="002C0FD9" w:rsidRPr="00CA25CF" w:rsidRDefault="002C0FD9" w:rsidP="00CA25CF">
            <w:pPr>
              <w:rPr>
                <w:rFonts w:cs="Arial"/>
                <w:color w:val="FF0000"/>
                <w:sz w:val="21"/>
                <w:szCs w:val="21"/>
              </w:rPr>
            </w:pPr>
          </w:p>
        </w:tc>
        <w:tc>
          <w:tcPr>
            <w:tcW w:w="217" w:type="dxa"/>
          </w:tcPr>
          <w:p w14:paraId="0F90A3EE" w14:textId="77777777" w:rsidR="002C0FD9" w:rsidRPr="00CA25CF" w:rsidRDefault="002C0FD9" w:rsidP="00CA25CF">
            <w:pPr>
              <w:rPr>
                <w:rFonts w:cs="Arial"/>
                <w:color w:val="FF0000"/>
                <w:sz w:val="21"/>
                <w:szCs w:val="21"/>
              </w:rPr>
            </w:pPr>
          </w:p>
        </w:tc>
        <w:tc>
          <w:tcPr>
            <w:tcW w:w="217" w:type="dxa"/>
          </w:tcPr>
          <w:p w14:paraId="3AEDA858" w14:textId="77777777" w:rsidR="002C0FD9" w:rsidRPr="00CA25CF" w:rsidRDefault="002C0FD9" w:rsidP="00CA25CF">
            <w:pPr>
              <w:rPr>
                <w:rFonts w:cs="Arial"/>
                <w:color w:val="FF0000"/>
                <w:sz w:val="21"/>
                <w:szCs w:val="21"/>
              </w:rPr>
            </w:pPr>
          </w:p>
        </w:tc>
        <w:tc>
          <w:tcPr>
            <w:tcW w:w="217" w:type="dxa"/>
          </w:tcPr>
          <w:p w14:paraId="4A600B5D" w14:textId="77777777" w:rsidR="002C0FD9" w:rsidRPr="00CA25CF" w:rsidRDefault="002C0FD9" w:rsidP="00CA25CF">
            <w:pPr>
              <w:rPr>
                <w:rFonts w:cs="Arial"/>
                <w:color w:val="FF0000"/>
                <w:sz w:val="21"/>
                <w:szCs w:val="21"/>
              </w:rPr>
            </w:pPr>
          </w:p>
        </w:tc>
        <w:tc>
          <w:tcPr>
            <w:tcW w:w="217" w:type="dxa"/>
          </w:tcPr>
          <w:p w14:paraId="61A0CEFE" w14:textId="77777777" w:rsidR="002C0FD9" w:rsidRPr="00CA25CF" w:rsidRDefault="002C0FD9" w:rsidP="00CA25CF">
            <w:pPr>
              <w:rPr>
                <w:rFonts w:cs="Arial"/>
                <w:color w:val="FF0000"/>
                <w:sz w:val="21"/>
                <w:szCs w:val="21"/>
              </w:rPr>
            </w:pPr>
          </w:p>
        </w:tc>
        <w:tc>
          <w:tcPr>
            <w:tcW w:w="217" w:type="dxa"/>
          </w:tcPr>
          <w:p w14:paraId="7131C8CD" w14:textId="77777777" w:rsidR="002C0FD9" w:rsidRPr="00CA25CF" w:rsidRDefault="002C0FD9" w:rsidP="00CA25CF">
            <w:pPr>
              <w:rPr>
                <w:rFonts w:cs="Arial"/>
                <w:color w:val="FF0000"/>
                <w:sz w:val="21"/>
                <w:szCs w:val="21"/>
              </w:rPr>
            </w:pPr>
          </w:p>
        </w:tc>
        <w:tc>
          <w:tcPr>
            <w:tcW w:w="217" w:type="dxa"/>
          </w:tcPr>
          <w:p w14:paraId="1DF15B35" w14:textId="77777777" w:rsidR="002C0FD9" w:rsidRPr="00CA25CF" w:rsidRDefault="002C0FD9" w:rsidP="00CA25CF">
            <w:pPr>
              <w:rPr>
                <w:rFonts w:cs="Arial"/>
                <w:color w:val="FF0000"/>
                <w:sz w:val="21"/>
                <w:szCs w:val="21"/>
              </w:rPr>
            </w:pPr>
          </w:p>
        </w:tc>
      </w:tr>
      <w:tr w:rsidR="002C0FD9" w:rsidRPr="00A16219" w14:paraId="208B2763" w14:textId="593F682D" w:rsidTr="002C0FD9">
        <w:trPr>
          <w:trHeight w:val="635"/>
        </w:trPr>
        <w:tc>
          <w:tcPr>
            <w:tcW w:w="515" w:type="dxa"/>
          </w:tcPr>
          <w:p w14:paraId="7F0AA1FD" w14:textId="77777777" w:rsidR="002C0FD9" w:rsidRPr="00CA25CF" w:rsidRDefault="002C0FD9" w:rsidP="00CA25CF">
            <w:pPr>
              <w:rPr>
                <w:rFonts w:cs="Arial"/>
                <w:color w:val="FF0000"/>
                <w:sz w:val="21"/>
                <w:szCs w:val="21"/>
              </w:rPr>
            </w:pPr>
          </w:p>
        </w:tc>
        <w:tc>
          <w:tcPr>
            <w:tcW w:w="217" w:type="dxa"/>
          </w:tcPr>
          <w:p w14:paraId="7EA56005" w14:textId="77777777" w:rsidR="002C0FD9" w:rsidRPr="00CA25CF" w:rsidRDefault="002C0FD9" w:rsidP="00CA25CF">
            <w:pPr>
              <w:rPr>
                <w:rFonts w:cs="Arial"/>
                <w:color w:val="FF0000"/>
                <w:sz w:val="21"/>
                <w:szCs w:val="21"/>
              </w:rPr>
            </w:pPr>
          </w:p>
        </w:tc>
        <w:tc>
          <w:tcPr>
            <w:tcW w:w="217" w:type="dxa"/>
          </w:tcPr>
          <w:p w14:paraId="55F55E6B" w14:textId="1DE894E9" w:rsidR="002C0FD9" w:rsidRPr="00CA25CF" w:rsidRDefault="002C0FD9" w:rsidP="00CA25CF">
            <w:pPr>
              <w:rPr>
                <w:rFonts w:cs="Arial"/>
                <w:color w:val="FF0000"/>
                <w:sz w:val="21"/>
                <w:szCs w:val="21"/>
              </w:rPr>
            </w:pPr>
          </w:p>
        </w:tc>
        <w:tc>
          <w:tcPr>
            <w:tcW w:w="217" w:type="dxa"/>
          </w:tcPr>
          <w:p w14:paraId="41342449" w14:textId="77777777" w:rsidR="002C0FD9" w:rsidRPr="00CA25CF" w:rsidRDefault="002C0FD9" w:rsidP="00CA25CF">
            <w:pPr>
              <w:rPr>
                <w:rFonts w:cs="Arial"/>
                <w:color w:val="FF0000"/>
                <w:sz w:val="21"/>
                <w:szCs w:val="21"/>
              </w:rPr>
            </w:pPr>
          </w:p>
        </w:tc>
        <w:tc>
          <w:tcPr>
            <w:tcW w:w="217" w:type="dxa"/>
          </w:tcPr>
          <w:p w14:paraId="0860D033" w14:textId="77777777" w:rsidR="002C0FD9" w:rsidRPr="00CA25CF" w:rsidRDefault="002C0FD9" w:rsidP="00CA25CF">
            <w:pPr>
              <w:rPr>
                <w:rFonts w:cs="Arial"/>
                <w:color w:val="FF0000"/>
                <w:sz w:val="21"/>
                <w:szCs w:val="21"/>
              </w:rPr>
            </w:pPr>
          </w:p>
        </w:tc>
        <w:tc>
          <w:tcPr>
            <w:tcW w:w="217" w:type="dxa"/>
          </w:tcPr>
          <w:p w14:paraId="051FF98A" w14:textId="77777777" w:rsidR="002C0FD9" w:rsidRPr="00CA25CF" w:rsidRDefault="002C0FD9" w:rsidP="00CA25CF">
            <w:pPr>
              <w:rPr>
                <w:rFonts w:cs="Arial"/>
                <w:color w:val="FF0000"/>
                <w:sz w:val="21"/>
                <w:szCs w:val="21"/>
              </w:rPr>
            </w:pPr>
          </w:p>
        </w:tc>
        <w:tc>
          <w:tcPr>
            <w:tcW w:w="217" w:type="dxa"/>
          </w:tcPr>
          <w:p w14:paraId="36B4E1C6" w14:textId="77777777" w:rsidR="002C0FD9" w:rsidRPr="00CA25CF" w:rsidRDefault="002C0FD9" w:rsidP="00CA25CF">
            <w:pPr>
              <w:rPr>
                <w:rFonts w:cs="Arial"/>
                <w:color w:val="FF0000"/>
                <w:sz w:val="21"/>
                <w:szCs w:val="21"/>
              </w:rPr>
            </w:pPr>
          </w:p>
        </w:tc>
        <w:tc>
          <w:tcPr>
            <w:tcW w:w="217" w:type="dxa"/>
          </w:tcPr>
          <w:p w14:paraId="54463D13" w14:textId="77777777" w:rsidR="002C0FD9" w:rsidRPr="00CA25CF" w:rsidRDefault="002C0FD9" w:rsidP="00CA25CF">
            <w:pPr>
              <w:rPr>
                <w:rFonts w:cs="Arial"/>
                <w:color w:val="FF0000"/>
                <w:sz w:val="21"/>
                <w:szCs w:val="21"/>
              </w:rPr>
            </w:pPr>
          </w:p>
        </w:tc>
        <w:tc>
          <w:tcPr>
            <w:tcW w:w="217" w:type="dxa"/>
          </w:tcPr>
          <w:p w14:paraId="25A1DB12" w14:textId="77777777" w:rsidR="002C0FD9" w:rsidRPr="00CA25CF" w:rsidRDefault="002C0FD9" w:rsidP="00CA25CF">
            <w:pPr>
              <w:rPr>
                <w:rFonts w:cs="Arial"/>
                <w:color w:val="FF0000"/>
                <w:sz w:val="21"/>
                <w:szCs w:val="21"/>
              </w:rPr>
            </w:pPr>
          </w:p>
        </w:tc>
        <w:tc>
          <w:tcPr>
            <w:tcW w:w="217" w:type="dxa"/>
          </w:tcPr>
          <w:p w14:paraId="4D5DFADC" w14:textId="77777777" w:rsidR="002C0FD9" w:rsidRPr="00CA25CF" w:rsidRDefault="002C0FD9" w:rsidP="00CA25CF">
            <w:pPr>
              <w:rPr>
                <w:rFonts w:cs="Arial"/>
                <w:color w:val="FF0000"/>
                <w:sz w:val="21"/>
                <w:szCs w:val="21"/>
              </w:rPr>
            </w:pPr>
          </w:p>
        </w:tc>
        <w:tc>
          <w:tcPr>
            <w:tcW w:w="217" w:type="dxa"/>
          </w:tcPr>
          <w:p w14:paraId="296DA20A" w14:textId="77777777" w:rsidR="002C0FD9" w:rsidRPr="00CA25CF" w:rsidRDefault="002C0FD9" w:rsidP="00CA25CF">
            <w:pPr>
              <w:rPr>
                <w:rFonts w:cs="Arial"/>
                <w:color w:val="FF0000"/>
                <w:sz w:val="21"/>
                <w:szCs w:val="21"/>
              </w:rPr>
            </w:pPr>
          </w:p>
        </w:tc>
        <w:tc>
          <w:tcPr>
            <w:tcW w:w="217" w:type="dxa"/>
          </w:tcPr>
          <w:p w14:paraId="6DEE247C" w14:textId="77777777" w:rsidR="002C0FD9" w:rsidRPr="00CA25CF" w:rsidRDefault="002C0FD9" w:rsidP="00CA25CF">
            <w:pPr>
              <w:rPr>
                <w:rFonts w:cs="Arial"/>
                <w:color w:val="FF0000"/>
                <w:sz w:val="21"/>
                <w:szCs w:val="21"/>
              </w:rPr>
            </w:pPr>
          </w:p>
        </w:tc>
        <w:tc>
          <w:tcPr>
            <w:tcW w:w="217" w:type="dxa"/>
          </w:tcPr>
          <w:p w14:paraId="63FA947E" w14:textId="77777777" w:rsidR="002C0FD9" w:rsidRPr="00CA25CF" w:rsidRDefault="002C0FD9" w:rsidP="00CA25CF">
            <w:pPr>
              <w:rPr>
                <w:rFonts w:cs="Arial"/>
                <w:color w:val="FF0000"/>
                <w:sz w:val="21"/>
                <w:szCs w:val="21"/>
              </w:rPr>
            </w:pPr>
          </w:p>
        </w:tc>
        <w:tc>
          <w:tcPr>
            <w:tcW w:w="217" w:type="dxa"/>
          </w:tcPr>
          <w:p w14:paraId="1F1F91BF" w14:textId="77777777" w:rsidR="002C0FD9" w:rsidRPr="00CA25CF" w:rsidRDefault="002C0FD9" w:rsidP="00CA25CF">
            <w:pPr>
              <w:rPr>
                <w:rFonts w:cs="Arial"/>
                <w:color w:val="FF0000"/>
                <w:sz w:val="21"/>
                <w:szCs w:val="21"/>
              </w:rPr>
            </w:pPr>
          </w:p>
        </w:tc>
        <w:tc>
          <w:tcPr>
            <w:tcW w:w="217" w:type="dxa"/>
          </w:tcPr>
          <w:p w14:paraId="19271C6A" w14:textId="77777777" w:rsidR="002C0FD9" w:rsidRPr="00CA25CF" w:rsidRDefault="002C0FD9" w:rsidP="00CA25CF">
            <w:pPr>
              <w:rPr>
                <w:rFonts w:cs="Arial"/>
                <w:color w:val="FF0000"/>
                <w:sz w:val="21"/>
                <w:szCs w:val="21"/>
              </w:rPr>
            </w:pPr>
          </w:p>
        </w:tc>
        <w:tc>
          <w:tcPr>
            <w:tcW w:w="217" w:type="dxa"/>
          </w:tcPr>
          <w:p w14:paraId="0C79C1B0" w14:textId="77777777" w:rsidR="002C0FD9" w:rsidRPr="00CA25CF" w:rsidRDefault="002C0FD9" w:rsidP="00CA25CF">
            <w:pPr>
              <w:rPr>
                <w:rFonts w:cs="Arial"/>
                <w:color w:val="FF0000"/>
                <w:sz w:val="21"/>
                <w:szCs w:val="21"/>
              </w:rPr>
            </w:pPr>
          </w:p>
        </w:tc>
        <w:tc>
          <w:tcPr>
            <w:tcW w:w="217" w:type="dxa"/>
          </w:tcPr>
          <w:p w14:paraId="360832BD" w14:textId="77777777" w:rsidR="002C0FD9" w:rsidRPr="00CA25CF" w:rsidRDefault="002C0FD9" w:rsidP="00CA25CF">
            <w:pPr>
              <w:rPr>
                <w:rFonts w:cs="Arial"/>
                <w:color w:val="FF0000"/>
                <w:sz w:val="21"/>
                <w:szCs w:val="21"/>
              </w:rPr>
            </w:pPr>
          </w:p>
        </w:tc>
        <w:tc>
          <w:tcPr>
            <w:tcW w:w="217" w:type="dxa"/>
          </w:tcPr>
          <w:p w14:paraId="738F402B" w14:textId="77777777" w:rsidR="002C0FD9" w:rsidRPr="00CA25CF" w:rsidRDefault="002C0FD9" w:rsidP="00CA25CF">
            <w:pPr>
              <w:rPr>
                <w:rFonts w:cs="Arial"/>
                <w:color w:val="FF0000"/>
                <w:sz w:val="21"/>
                <w:szCs w:val="21"/>
              </w:rPr>
            </w:pPr>
          </w:p>
        </w:tc>
        <w:tc>
          <w:tcPr>
            <w:tcW w:w="217" w:type="dxa"/>
          </w:tcPr>
          <w:p w14:paraId="599DA4B6" w14:textId="77777777" w:rsidR="002C0FD9" w:rsidRPr="00CA25CF" w:rsidRDefault="002C0FD9" w:rsidP="00CA25CF">
            <w:pPr>
              <w:rPr>
                <w:rFonts w:cs="Arial"/>
                <w:color w:val="FF0000"/>
                <w:sz w:val="21"/>
                <w:szCs w:val="21"/>
              </w:rPr>
            </w:pPr>
          </w:p>
        </w:tc>
        <w:tc>
          <w:tcPr>
            <w:tcW w:w="217" w:type="dxa"/>
          </w:tcPr>
          <w:p w14:paraId="0FC4B3F6" w14:textId="77777777" w:rsidR="002C0FD9" w:rsidRPr="00CA25CF" w:rsidRDefault="002C0FD9" w:rsidP="00CA25CF">
            <w:pPr>
              <w:rPr>
                <w:rFonts w:cs="Arial"/>
                <w:color w:val="FF0000"/>
                <w:sz w:val="21"/>
                <w:szCs w:val="21"/>
              </w:rPr>
            </w:pPr>
          </w:p>
        </w:tc>
        <w:tc>
          <w:tcPr>
            <w:tcW w:w="217" w:type="dxa"/>
          </w:tcPr>
          <w:p w14:paraId="08388FAE" w14:textId="77777777" w:rsidR="002C0FD9" w:rsidRPr="00CA25CF" w:rsidRDefault="002C0FD9" w:rsidP="00CA25CF">
            <w:pPr>
              <w:rPr>
                <w:rFonts w:cs="Arial"/>
                <w:color w:val="FF0000"/>
                <w:sz w:val="21"/>
                <w:szCs w:val="21"/>
              </w:rPr>
            </w:pPr>
          </w:p>
        </w:tc>
        <w:tc>
          <w:tcPr>
            <w:tcW w:w="217" w:type="dxa"/>
          </w:tcPr>
          <w:p w14:paraId="7CECB93C" w14:textId="77777777" w:rsidR="002C0FD9" w:rsidRPr="00CA25CF" w:rsidRDefault="002C0FD9" w:rsidP="00CA25CF">
            <w:pPr>
              <w:rPr>
                <w:rFonts w:cs="Arial"/>
                <w:color w:val="FF0000"/>
                <w:sz w:val="21"/>
                <w:szCs w:val="21"/>
              </w:rPr>
            </w:pPr>
          </w:p>
        </w:tc>
        <w:tc>
          <w:tcPr>
            <w:tcW w:w="217" w:type="dxa"/>
          </w:tcPr>
          <w:p w14:paraId="708C6CFF" w14:textId="77777777" w:rsidR="002C0FD9" w:rsidRPr="00CA25CF" w:rsidRDefault="002C0FD9" w:rsidP="00CA25CF">
            <w:pPr>
              <w:rPr>
                <w:rFonts w:cs="Arial"/>
                <w:color w:val="FF0000"/>
                <w:sz w:val="21"/>
                <w:szCs w:val="21"/>
              </w:rPr>
            </w:pPr>
          </w:p>
        </w:tc>
        <w:tc>
          <w:tcPr>
            <w:tcW w:w="217" w:type="dxa"/>
          </w:tcPr>
          <w:p w14:paraId="563E6CFE" w14:textId="77777777" w:rsidR="002C0FD9" w:rsidRPr="00CA25CF" w:rsidRDefault="002C0FD9" w:rsidP="00CA25CF">
            <w:pPr>
              <w:rPr>
                <w:rFonts w:cs="Arial"/>
                <w:color w:val="FF0000"/>
                <w:sz w:val="21"/>
                <w:szCs w:val="21"/>
              </w:rPr>
            </w:pPr>
          </w:p>
        </w:tc>
        <w:tc>
          <w:tcPr>
            <w:tcW w:w="217" w:type="dxa"/>
          </w:tcPr>
          <w:p w14:paraId="33E83DF1" w14:textId="77777777" w:rsidR="002C0FD9" w:rsidRPr="00CA25CF" w:rsidRDefault="002C0FD9" w:rsidP="00CA25CF">
            <w:pPr>
              <w:rPr>
                <w:rFonts w:cs="Arial"/>
                <w:color w:val="FF0000"/>
                <w:sz w:val="21"/>
                <w:szCs w:val="21"/>
              </w:rPr>
            </w:pPr>
          </w:p>
        </w:tc>
        <w:tc>
          <w:tcPr>
            <w:tcW w:w="217" w:type="dxa"/>
          </w:tcPr>
          <w:p w14:paraId="6F9D0F14" w14:textId="77777777" w:rsidR="002C0FD9" w:rsidRPr="00CA25CF" w:rsidRDefault="002C0FD9" w:rsidP="00CA25CF">
            <w:pPr>
              <w:rPr>
                <w:rFonts w:cs="Arial"/>
                <w:color w:val="FF0000"/>
                <w:sz w:val="21"/>
                <w:szCs w:val="21"/>
              </w:rPr>
            </w:pPr>
          </w:p>
        </w:tc>
        <w:tc>
          <w:tcPr>
            <w:tcW w:w="217" w:type="dxa"/>
          </w:tcPr>
          <w:p w14:paraId="77586BDF" w14:textId="77777777" w:rsidR="002C0FD9" w:rsidRPr="00CA25CF" w:rsidRDefault="002C0FD9" w:rsidP="00CA25CF">
            <w:pPr>
              <w:rPr>
                <w:rFonts w:cs="Arial"/>
                <w:color w:val="FF0000"/>
                <w:sz w:val="21"/>
                <w:szCs w:val="21"/>
              </w:rPr>
            </w:pPr>
          </w:p>
        </w:tc>
        <w:tc>
          <w:tcPr>
            <w:tcW w:w="217" w:type="dxa"/>
          </w:tcPr>
          <w:p w14:paraId="162F42B9" w14:textId="77777777" w:rsidR="002C0FD9" w:rsidRPr="00CA25CF" w:rsidRDefault="002C0FD9" w:rsidP="00CA25CF">
            <w:pPr>
              <w:rPr>
                <w:rFonts w:cs="Arial"/>
                <w:color w:val="FF0000"/>
                <w:sz w:val="21"/>
                <w:szCs w:val="21"/>
              </w:rPr>
            </w:pPr>
          </w:p>
        </w:tc>
        <w:tc>
          <w:tcPr>
            <w:tcW w:w="217" w:type="dxa"/>
          </w:tcPr>
          <w:p w14:paraId="2E1F7EA9" w14:textId="77777777" w:rsidR="002C0FD9" w:rsidRPr="00CA25CF" w:rsidRDefault="002C0FD9" w:rsidP="00CA25CF">
            <w:pPr>
              <w:rPr>
                <w:rFonts w:cs="Arial"/>
                <w:color w:val="FF0000"/>
                <w:sz w:val="21"/>
                <w:szCs w:val="21"/>
              </w:rPr>
            </w:pPr>
          </w:p>
        </w:tc>
        <w:tc>
          <w:tcPr>
            <w:tcW w:w="217" w:type="dxa"/>
          </w:tcPr>
          <w:p w14:paraId="094AEFDE" w14:textId="77777777" w:rsidR="002C0FD9" w:rsidRPr="00CA25CF" w:rsidRDefault="002C0FD9" w:rsidP="00CA25CF">
            <w:pPr>
              <w:rPr>
                <w:rFonts w:cs="Arial"/>
                <w:color w:val="FF0000"/>
                <w:sz w:val="21"/>
                <w:szCs w:val="21"/>
              </w:rPr>
            </w:pPr>
          </w:p>
        </w:tc>
        <w:tc>
          <w:tcPr>
            <w:tcW w:w="217" w:type="dxa"/>
          </w:tcPr>
          <w:p w14:paraId="1AE0BC4A" w14:textId="77777777" w:rsidR="002C0FD9" w:rsidRPr="00CA25CF" w:rsidRDefault="002C0FD9" w:rsidP="00CA25CF">
            <w:pPr>
              <w:rPr>
                <w:rFonts w:cs="Arial"/>
                <w:color w:val="FF0000"/>
                <w:sz w:val="21"/>
                <w:szCs w:val="21"/>
              </w:rPr>
            </w:pPr>
          </w:p>
        </w:tc>
        <w:tc>
          <w:tcPr>
            <w:tcW w:w="217" w:type="dxa"/>
          </w:tcPr>
          <w:p w14:paraId="3AA435E7" w14:textId="77777777" w:rsidR="002C0FD9" w:rsidRPr="00CA25CF" w:rsidRDefault="002C0FD9" w:rsidP="00CA25CF">
            <w:pPr>
              <w:rPr>
                <w:rFonts w:cs="Arial"/>
                <w:color w:val="FF0000"/>
                <w:sz w:val="21"/>
                <w:szCs w:val="21"/>
              </w:rPr>
            </w:pPr>
          </w:p>
        </w:tc>
        <w:tc>
          <w:tcPr>
            <w:tcW w:w="217" w:type="dxa"/>
          </w:tcPr>
          <w:p w14:paraId="48B4C2A6" w14:textId="77777777" w:rsidR="002C0FD9" w:rsidRPr="00CA25CF" w:rsidRDefault="002C0FD9" w:rsidP="00CA25CF">
            <w:pPr>
              <w:rPr>
                <w:rFonts w:cs="Arial"/>
                <w:color w:val="FF0000"/>
                <w:sz w:val="21"/>
                <w:szCs w:val="21"/>
              </w:rPr>
            </w:pPr>
          </w:p>
        </w:tc>
        <w:tc>
          <w:tcPr>
            <w:tcW w:w="217" w:type="dxa"/>
          </w:tcPr>
          <w:p w14:paraId="599C2B13" w14:textId="77777777" w:rsidR="002C0FD9" w:rsidRPr="00CA25CF" w:rsidRDefault="002C0FD9" w:rsidP="00CA25CF">
            <w:pPr>
              <w:rPr>
                <w:rFonts w:cs="Arial"/>
                <w:color w:val="FF0000"/>
                <w:sz w:val="21"/>
                <w:szCs w:val="21"/>
              </w:rPr>
            </w:pPr>
          </w:p>
        </w:tc>
        <w:tc>
          <w:tcPr>
            <w:tcW w:w="217" w:type="dxa"/>
          </w:tcPr>
          <w:p w14:paraId="572D70C3" w14:textId="77777777" w:rsidR="002C0FD9" w:rsidRPr="00CA25CF" w:rsidRDefault="002C0FD9" w:rsidP="00CA25CF">
            <w:pPr>
              <w:rPr>
                <w:rFonts w:cs="Arial"/>
                <w:color w:val="FF0000"/>
                <w:sz w:val="21"/>
                <w:szCs w:val="21"/>
              </w:rPr>
            </w:pPr>
          </w:p>
        </w:tc>
        <w:tc>
          <w:tcPr>
            <w:tcW w:w="217" w:type="dxa"/>
          </w:tcPr>
          <w:p w14:paraId="054BC229" w14:textId="77777777" w:rsidR="002C0FD9" w:rsidRPr="00CA25CF" w:rsidRDefault="002C0FD9" w:rsidP="00CA25CF">
            <w:pPr>
              <w:rPr>
                <w:rFonts w:cs="Arial"/>
                <w:color w:val="FF0000"/>
                <w:sz w:val="21"/>
                <w:szCs w:val="21"/>
              </w:rPr>
            </w:pPr>
          </w:p>
        </w:tc>
        <w:tc>
          <w:tcPr>
            <w:tcW w:w="217" w:type="dxa"/>
          </w:tcPr>
          <w:p w14:paraId="46643FCA" w14:textId="77777777" w:rsidR="002C0FD9" w:rsidRPr="00CA25CF" w:rsidRDefault="002C0FD9" w:rsidP="00CA25CF">
            <w:pPr>
              <w:rPr>
                <w:rFonts w:cs="Arial"/>
                <w:color w:val="FF0000"/>
                <w:sz w:val="21"/>
                <w:szCs w:val="21"/>
              </w:rPr>
            </w:pPr>
          </w:p>
        </w:tc>
        <w:tc>
          <w:tcPr>
            <w:tcW w:w="217" w:type="dxa"/>
          </w:tcPr>
          <w:p w14:paraId="0EEFF842" w14:textId="77777777" w:rsidR="002C0FD9" w:rsidRPr="00CA25CF" w:rsidRDefault="002C0FD9" w:rsidP="00CA25CF">
            <w:pPr>
              <w:rPr>
                <w:rFonts w:cs="Arial"/>
                <w:color w:val="FF0000"/>
                <w:sz w:val="21"/>
                <w:szCs w:val="21"/>
              </w:rPr>
            </w:pPr>
          </w:p>
        </w:tc>
        <w:tc>
          <w:tcPr>
            <w:tcW w:w="217" w:type="dxa"/>
          </w:tcPr>
          <w:p w14:paraId="2713C795" w14:textId="77777777" w:rsidR="002C0FD9" w:rsidRPr="00CA25CF" w:rsidRDefault="002C0FD9" w:rsidP="00CA25CF">
            <w:pPr>
              <w:rPr>
                <w:rFonts w:cs="Arial"/>
                <w:color w:val="FF0000"/>
                <w:sz w:val="21"/>
                <w:szCs w:val="21"/>
              </w:rPr>
            </w:pPr>
          </w:p>
        </w:tc>
        <w:tc>
          <w:tcPr>
            <w:tcW w:w="217" w:type="dxa"/>
          </w:tcPr>
          <w:p w14:paraId="3CDC5D2C" w14:textId="77777777" w:rsidR="002C0FD9" w:rsidRPr="00CA25CF" w:rsidRDefault="002C0FD9" w:rsidP="00CA25CF">
            <w:pPr>
              <w:rPr>
                <w:rFonts w:cs="Arial"/>
                <w:color w:val="FF0000"/>
                <w:sz w:val="21"/>
                <w:szCs w:val="21"/>
              </w:rPr>
            </w:pPr>
          </w:p>
        </w:tc>
        <w:tc>
          <w:tcPr>
            <w:tcW w:w="217" w:type="dxa"/>
          </w:tcPr>
          <w:p w14:paraId="6CEF23BE" w14:textId="77777777" w:rsidR="002C0FD9" w:rsidRPr="00CA25CF" w:rsidRDefault="002C0FD9" w:rsidP="00CA25CF">
            <w:pPr>
              <w:rPr>
                <w:rFonts w:cs="Arial"/>
                <w:color w:val="FF0000"/>
                <w:sz w:val="21"/>
                <w:szCs w:val="21"/>
              </w:rPr>
            </w:pPr>
          </w:p>
        </w:tc>
        <w:tc>
          <w:tcPr>
            <w:tcW w:w="217" w:type="dxa"/>
          </w:tcPr>
          <w:p w14:paraId="2D3B2A28" w14:textId="77777777" w:rsidR="002C0FD9" w:rsidRPr="00CA25CF" w:rsidRDefault="002C0FD9" w:rsidP="00CA25CF">
            <w:pPr>
              <w:rPr>
                <w:rFonts w:cs="Arial"/>
                <w:color w:val="FF0000"/>
                <w:sz w:val="21"/>
                <w:szCs w:val="21"/>
              </w:rPr>
            </w:pPr>
          </w:p>
        </w:tc>
        <w:tc>
          <w:tcPr>
            <w:tcW w:w="217" w:type="dxa"/>
          </w:tcPr>
          <w:p w14:paraId="51CD1D37" w14:textId="77777777" w:rsidR="002C0FD9" w:rsidRPr="00CA25CF" w:rsidRDefault="002C0FD9" w:rsidP="00CA25CF">
            <w:pPr>
              <w:rPr>
                <w:rFonts w:cs="Arial"/>
                <w:color w:val="FF0000"/>
                <w:sz w:val="21"/>
                <w:szCs w:val="21"/>
              </w:rPr>
            </w:pPr>
          </w:p>
        </w:tc>
      </w:tr>
      <w:tr w:rsidR="002C0FD9" w:rsidRPr="00A16219" w14:paraId="7AE5F52C" w14:textId="5969DF29" w:rsidTr="002C0FD9">
        <w:trPr>
          <w:trHeight w:val="635"/>
        </w:trPr>
        <w:tc>
          <w:tcPr>
            <w:tcW w:w="515" w:type="dxa"/>
          </w:tcPr>
          <w:p w14:paraId="1572CCB8" w14:textId="77777777" w:rsidR="002C0FD9" w:rsidRPr="00CA25CF" w:rsidRDefault="002C0FD9" w:rsidP="00CA25CF">
            <w:pPr>
              <w:rPr>
                <w:rFonts w:cs="Arial"/>
                <w:color w:val="FF0000"/>
                <w:sz w:val="21"/>
                <w:szCs w:val="21"/>
              </w:rPr>
            </w:pPr>
          </w:p>
        </w:tc>
        <w:tc>
          <w:tcPr>
            <w:tcW w:w="217" w:type="dxa"/>
          </w:tcPr>
          <w:p w14:paraId="119C54AD" w14:textId="77777777" w:rsidR="002C0FD9" w:rsidRPr="00CA25CF" w:rsidRDefault="002C0FD9" w:rsidP="00CA25CF">
            <w:pPr>
              <w:rPr>
                <w:rFonts w:cs="Arial"/>
                <w:color w:val="FF0000"/>
                <w:sz w:val="21"/>
                <w:szCs w:val="21"/>
              </w:rPr>
            </w:pPr>
          </w:p>
        </w:tc>
        <w:tc>
          <w:tcPr>
            <w:tcW w:w="217" w:type="dxa"/>
          </w:tcPr>
          <w:p w14:paraId="70247AD2" w14:textId="7B449886" w:rsidR="002C0FD9" w:rsidRPr="00CA25CF" w:rsidRDefault="002C0FD9" w:rsidP="00CA25CF">
            <w:pPr>
              <w:rPr>
                <w:rFonts w:cs="Arial"/>
                <w:color w:val="FF0000"/>
                <w:sz w:val="21"/>
                <w:szCs w:val="21"/>
              </w:rPr>
            </w:pPr>
          </w:p>
        </w:tc>
        <w:tc>
          <w:tcPr>
            <w:tcW w:w="217" w:type="dxa"/>
          </w:tcPr>
          <w:p w14:paraId="4288AB2C" w14:textId="77777777" w:rsidR="002C0FD9" w:rsidRPr="00CA25CF" w:rsidRDefault="002C0FD9" w:rsidP="00CA25CF">
            <w:pPr>
              <w:rPr>
                <w:rFonts w:cs="Arial"/>
                <w:color w:val="FF0000"/>
                <w:sz w:val="21"/>
                <w:szCs w:val="21"/>
              </w:rPr>
            </w:pPr>
          </w:p>
        </w:tc>
        <w:tc>
          <w:tcPr>
            <w:tcW w:w="217" w:type="dxa"/>
          </w:tcPr>
          <w:p w14:paraId="101B8B95" w14:textId="77777777" w:rsidR="002C0FD9" w:rsidRPr="00CA25CF" w:rsidRDefault="002C0FD9" w:rsidP="00CA25CF">
            <w:pPr>
              <w:rPr>
                <w:rFonts w:cs="Arial"/>
                <w:color w:val="FF0000"/>
                <w:sz w:val="21"/>
                <w:szCs w:val="21"/>
              </w:rPr>
            </w:pPr>
          </w:p>
        </w:tc>
        <w:tc>
          <w:tcPr>
            <w:tcW w:w="217" w:type="dxa"/>
          </w:tcPr>
          <w:p w14:paraId="0BC68961" w14:textId="77777777" w:rsidR="002C0FD9" w:rsidRPr="00CA25CF" w:rsidRDefault="002C0FD9" w:rsidP="00CA25CF">
            <w:pPr>
              <w:rPr>
                <w:rFonts w:cs="Arial"/>
                <w:color w:val="FF0000"/>
                <w:sz w:val="21"/>
                <w:szCs w:val="21"/>
              </w:rPr>
            </w:pPr>
          </w:p>
        </w:tc>
        <w:tc>
          <w:tcPr>
            <w:tcW w:w="217" w:type="dxa"/>
          </w:tcPr>
          <w:p w14:paraId="5A911532" w14:textId="77777777" w:rsidR="002C0FD9" w:rsidRPr="00CA25CF" w:rsidRDefault="002C0FD9" w:rsidP="00CA25CF">
            <w:pPr>
              <w:rPr>
                <w:rFonts w:cs="Arial"/>
                <w:color w:val="FF0000"/>
                <w:sz w:val="21"/>
                <w:szCs w:val="21"/>
              </w:rPr>
            </w:pPr>
          </w:p>
        </w:tc>
        <w:tc>
          <w:tcPr>
            <w:tcW w:w="217" w:type="dxa"/>
          </w:tcPr>
          <w:p w14:paraId="0AE6F988" w14:textId="77777777" w:rsidR="002C0FD9" w:rsidRPr="00CA25CF" w:rsidRDefault="002C0FD9" w:rsidP="00CA25CF">
            <w:pPr>
              <w:rPr>
                <w:rFonts w:cs="Arial"/>
                <w:color w:val="FF0000"/>
                <w:sz w:val="21"/>
                <w:szCs w:val="21"/>
              </w:rPr>
            </w:pPr>
          </w:p>
        </w:tc>
        <w:tc>
          <w:tcPr>
            <w:tcW w:w="217" w:type="dxa"/>
          </w:tcPr>
          <w:p w14:paraId="59FF8C21" w14:textId="77777777" w:rsidR="002C0FD9" w:rsidRPr="00CA25CF" w:rsidRDefault="002C0FD9" w:rsidP="00CA25CF">
            <w:pPr>
              <w:rPr>
                <w:rFonts w:cs="Arial"/>
                <w:color w:val="FF0000"/>
                <w:sz w:val="21"/>
                <w:szCs w:val="21"/>
              </w:rPr>
            </w:pPr>
          </w:p>
        </w:tc>
        <w:tc>
          <w:tcPr>
            <w:tcW w:w="217" w:type="dxa"/>
          </w:tcPr>
          <w:p w14:paraId="3BAFB0E5" w14:textId="77777777" w:rsidR="002C0FD9" w:rsidRPr="00CA25CF" w:rsidRDefault="002C0FD9" w:rsidP="00CA25CF">
            <w:pPr>
              <w:rPr>
                <w:rFonts w:cs="Arial"/>
                <w:color w:val="FF0000"/>
                <w:sz w:val="21"/>
                <w:szCs w:val="21"/>
              </w:rPr>
            </w:pPr>
          </w:p>
        </w:tc>
        <w:tc>
          <w:tcPr>
            <w:tcW w:w="217" w:type="dxa"/>
          </w:tcPr>
          <w:p w14:paraId="5E22120A" w14:textId="77777777" w:rsidR="002C0FD9" w:rsidRPr="00CA25CF" w:rsidRDefault="002C0FD9" w:rsidP="00CA25CF">
            <w:pPr>
              <w:rPr>
                <w:rFonts w:cs="Arial"/>
                <w:color w:val="FF0000"/>
                <w:sz w:val="21"/>
                <w:szCs w:val="21"/>
              </w:rPr>
            </w:pPr>
          </w:p>
        </w:tc>
        <w:tc>
          <w:tcPr>
            <w:tcW w:w="217" w:type="dxa"/>
          </w:tcPr>
          <w:p w14:paraId="5C1AE319" w14:textId="77777777" w:rsidR="002C0FD9" w:rsidRPr="00CA25CF" w:rsidRDefault="002C0FD9" w:rsidP="00CA25CF">
            <w:pPr>
              <w:rPr>
                <w:rFonts w:cs="Arial"/>
                <w:color w:val="FF0000"/>
                <w:sz w:val="21"/>
                <w:szCs w:val="21"/>
              </w:rPr>
            </w:pPr>
          </w:p>
        </w:tc>
        <w:tc>
          <w:tcPr>
            <w:tcW w:w="217" w:type="dxa"/>
          </w:tcPr>
          <w:p w14:paraId="0E870B47" w14:textId="77777777" w:rsidR="002C0FD9" w:rsidRPr="00CA25CF" w:rsidRDefault="002C0FD9" w:rsidP="00CA25CF">
            <w:pPr>
              <w:rPr>
                <w:rFonts w:cs="Arial"/>
                <w:color w:val="FF0000"/>
                <w:sz w:val="21"/>
                <w:szCs w:val="21"/>
              </w:rPr>
            </w:pPr>
          </w:p>
        </w:tc>
        <w:tc>
          <w:tcPr>
            <w:tcW w:w="217" w:type="dxa"/>
          </w:tcPr>
          <w:p w14:paraId="6DC86A6C" w14:textId="77777777" w:rsidR="002C0FD9" w:rsidRPr="00CA25CF" w:rsidRDefault="002C0FD9" w:rsidP="00CA25CF">
            <w:pPr>
              <w:rPr>
                <w:rFonts w:cs="Arial"/>
                <w:color w:val="FF0000"/>
                <w:sz w:val="21"/>
                <w:szCs w:val="21"/>
              </w:rPr>
            </w:pPr>
          </w:p>
        </w:tc>
        <w:tc>
          <w:tcPr>
            <w:tcW w:w="217" w:type="dxa"/>
          </w:tcPr>
          <w:p w14:paraId="3CA7A3F3" w14:textId="77777777" w:rsidR="002C0FD9" w:rsidRPr="00CA25CF" w:rsidRDefault="002C0FD9" w:rsidP="00CA25CF">
            <w:pPr>
              <w:rPr>
                <w:rFonts w:cs="Arial"/>
                <w:color w:val="FF0000"/>
                <w:sz w:val="21"/>
                <w:szCs w:val="21"/>
              </w:rPr>
            </w:pPr>
          </w:p>
        </w:tc>
        <w:tc>
          <w:tcPr>
            <w:tcW w:w="217" w:type="dxa"/>
          </w:tcPr>
          <w:p w14:paraId="06497EB7" w14:textId="77777777" w:rsidR="002C0FD9" w:rsidRPr="00CA25CF" w:rsidRDefault="002C0FD9" w:rsidP="00CA25CF">
            <w:pPr>
              <w:rPr>
                <w:rFonts w:cs="Arial"/>
                <w:color w:val="FF0000"/>
                <w:sz w:val="21"/>
                <w:szCs w:val="21"/>
              </w:rPr>
            </w:pPr>
          </w:p>
        </w:tc>
        <w:tc>
          <w:tcPr>
            <w:tcW w:w="217" w:type="dxa"/>
          </w:tcPr>
          <w:p w14:paraId="4C8EF95D" w14:textId="77777777" w:rsidR="002C0FD9" w:rsidRPr="00CA25CF" w:rsidRDefault="002C0FD9" w:rsidP="00CA25CF">
            <w:pPr>
              <w:rPr>
                <w:rFonts w:cs="Arial"/>
                <w:color w:val="FF0000"/>
                <w:sz w:val="21"/>
                <w:szCs w:val="21"/>
              </w:rPr>
            </w:pPr>
          </w:p>
        </w:tc>
        <w:tc>
          <w:tcPr>
            <w:tcW w:w="217" w:type="dxa"/>
          </w:tcPr>
          <w:p w14:paraId="2401382F" w14:textId="77777777" w:rsidR="002C0FD9" w:rsidRPr="00CA25CF" w:rsidRDefault="002C0FD9" w:rsidP="00CA25CF">
            <w:pPr>
              <w:rPr>
                <w:rFonts w:cs="Arial"/>
                <w:color w:val="FF0000"/>
                <w:sz w:val="21"/>
                <w:szCs w:val="21"/>
              </w:rPr>
            </w:pPr>
          </w:p>
        </w:tc>
        <w:tc>
          <w:tcPr>
            <w:tcW w:w="217" w:type="dxa"/>
          </w:tcPr>
          <w:p w14:paraId="5DD51CEB" w14:textId="77777777" w:rsidR="002C0FD9" w:rsidRPr="00CA25CF" w:rsidRDefault="002C0FD9" w:rsidP="00CA25CF">
            <w:pPr>
              <w:rPr>
                <w:rFonts w:cs="Arial"/>
                <w:color w:val="FF0000"/>
                <w:sz w:val="21"/>
                <w:szCs w:val="21"/>
              </w:rPr>
            </w:pPr>
          </w:p>
        </w:tc>
        <w:tc>
          <w:tcPr>
            <w:tcW w:w="217" w:type="dxa"/>
          </w:tcPr>
          <w:p w14:paraId="53C345E7" w14:textId="77777777" w:rsidR="002C0FD9" w:rsidRPr="00CA25CF" w:rsidRDefault="002C0FD9" w:rsidP="00CA25CF">
            <w:pPr>
              <w:rPr>
                <w:rFonts w:cs="Arial"/>
                <w:color w:val="FF0000"/>
                <w:sz w:val="21"/>
                <w:szCs w:val="21"/>
              </w:rPr>
            </w:pPr>
          </w:p>
        </w:tc>
        <w:tc>
          <w:tcPr>
            <w:tcW w:w="217" w:type="dxa"/>
          </w:tcPr>
          <w:p w14:paraId="055D834B" w14:textId="77777777" w:rsidR="002C0FD9" w:rsidRPr="00CA25CF" w:rsidRDefault="002C0FD9" w:rsidP="00CA25CF">
            <w:pPr>
              <w:rPr>
                <w:rFonts w:cs="Arial"/>
                <w:color w:val="FF0000"/>
                <w:sz w:val="21"/>
                <w:szCs w:val="21"/>
              </w:rPr>
            </w:pPr>
          </w:p>
        </w:tc>
        <w:tc>
          <w:tcPr>
            <w:tcW w:w="217" w:type="dxa"/>
          </w:tcPr>
          <w:p w14:paraId="6F827596" w14:textId="77777777" w:rsidR="002C0FD9" w:rsidRPr="00CA25CF" w:rsidRDefault="002C0FD9" w:rsidP="00CA25CF">
            <w:pPr>
              <w:rPr>
                <w:rFonts w:cs="Arial"/>
                <w:color w:val="FF0000"/>
                <w:sz w:val="21"/>
                <w:szCs w:val="21"/>
              </w:rPr>
            </w:pPr>
          </w:p>
        </w:tc>
        <w:tc>
          <w:tcPr>
            <w:tcW w:w="217" w:type="dxa"/>
          </w:tcPr>
          <w:p w14:paraId="4DA30747" w14:textId="77777777" w:rsidR="002C0FD9" w:rsidRPr="00CA25CF" w:rsidRDefault="002C0FD9" w:rsidP="00CA25CF">
            <w:pPr>
              <w:rPr>
                <w:rFonts w:cs="Arial"/>
                <w:color w:val="FF0000"/>
                <w:sz w:val="21"/>
                <w:szCs w:val="21"/>
              </w:rPr>
            </w:pPr>
          </w:p>
        </w:tc>
        <w:tc>
          <w:tcPr>
            <w:tcW w:w="217" w:type="dxa"/>
          </w:tcPr>
          <w:p w14:paraId="025B1167" w14:textId="77777777" w:rsidR="002C0FD9" w:rsidRPr="00CA25CF" w:rsidRDefault="002C0FD9" w:rsidP="00CA25CF">
            <w:pPr>
              <w:rPr>
                <w:rFonts w:cs="Arial"/>
                <w:color w:val="FF0000"/>
                <w:sz w:val="21"/>
                <w:szCs w:val="21"/>
              </w:rPr>
            </w:pPr>
          </w:p>
        </w:tc>
        <w:tc>
          <w:tcPr>
            <w:tcW w:w="217" w:type="dxa"/>
          </w:tcPr>
          <w:p w14:paraId="7AB75164" w14:textId="77777777" w:rsidR="002C0FD9" w:rsidRPr="00CA25CF" w:rsidRDefault="002C0FD9" w:rsidP="00CA25CF">
            <w:pPr>
              <w:rPr>
                <w:rFonts w:cs="Arial"/>
                <w:color w:val="FF0000"/>
                <w:sz w:val="21"/>
                <w:szCs w:val="21"/>
              </w:rPr>
            </w:pPr>
          </w:p>
        </w:tc>
        <w:tc>
          <w:tcPr>
            <w:tcW w:w="217" w:type="dxa"/>
          </w:tcPr>
          <w:p w14:paraId="65BA5347" w14:textId="77777777" w:rsidR="002C0FD9" w:rsidRPr="00CA25CF" w:rsidRDefault="002C0FD9" w:rsidP="00CA25CF">
            <w:pPr>
              <w:rPr>
                <w:rFonts w:cs="Arial"/>
                <w:color w:val="FF0000"/>
                <w:sz w:val="21"/>
                <w:szCs w:val="21"/>
              </w:rPr>
            </w:pPr>
          </w:p>
        </w:tc>
        <w:tc>
          <w:tcPr>
            <w:tcW w:w="217" w:type="dxa"/>
          </w:tcPr>
          <w:p w14:paraId="3819B56B" w14:textId="77777777" w:rsidR="002C0FD9" w:rsidRPr="00CA25CF" w:rsidRDefault="002C0FD9" w:rsidP="00CA25CF">
            <w:pPr>
              <w:rPr>
                <w:rFonts w:cs="Arial"/>
                <w:color w:val="FF0000"/>
                <w:sz w:val="21"/>
                <w:szCs w:val="21"/>
              </w:rPr>
            </w:pPr>
          </w:p>
        </w:tc>
        <w:tc>
          <w:tcPr>
            <w:tcW w:w="217" w:type="dxa"/>
          </w:tcPr>
          <w:p w14:paraId="4D518F8E" w14:textId="77777777" w:rsidR="002C0FD9" w:rsidRPr="00CA25CF" w:rsidRDefault="002C0FD9" w:rsidP="00CA25CF">
            <w:pPr>
              <w:rPr>
                <w:rFonts w:cs="Arial"/>
                <w:color w:val="FF0000"/>
                <w:sz w:val="21"/>
                <w:szCs w:val="21"/>
              </w:rPr>
            </w:pPr>
          </w:p>
        </w:tc>
        <w:tc>
          <w:tcPr>
            <w:tcW w:w="217" w:type="dxa"/>
          </w:tcPr>
          <w:p w14:paraId="4CFD1194" w14:textId="77777777" w:rsidR="002C0FD9" w:rsidRPr="00CA25CF" w:rsidRDefault="002C0FD9" w:rsidP="00CA25CF">
            <w:pPr>
              <w:rPr>
                <w:rFonts w:cs="Arial"/>
                <w:color w:val="FF0000"/>
                <w:sz w:val="21"/>
                <w:szCs w:val="21"/>
              </w:rPr>
            </w:pPr>
          </w:p>
        </w:tc>
        <w:tc>
          <w:tcPr>
            <w:tcW w:w="217" w:type="dxa"/>
          </w:tcPr>
          <w:p w14:paraId="23983030" w14:textId="77777777" w:rsidR="002C0FD9" w:rsidRPr="00CA25CF" w:rsidRDefault="002C0FD9" w:rsidP="00CA25CF">
            <w:pPr>
              <w:rPr>
                <w:rFonts w:cs="Arial"/>
                <w:color w:val="FF0000"/>
                <w:sz w:val="21"/>
                <w:szCs w:val="21"/>
              </w:rPr>
            </w:pPr>
          </w:p>
        </w:tc>
        <w:tc>
          <w:tcPr>
            <w:tcW w:w="217" w:type="dxa"/>
          </w:tcPr>
          <w:p w14:paraId="207D579D" w14:textId="77777777" w:rsidR="002C0FD9" w:rsidRPr="00CA25CF" w:rsidRDefault="002C0FD9" w:rsidP="00CA25CF">
            <w:pPr>
              <w:rPr>
                <w:rFonts w:cs="Arial"/>
                <w:color w:val="FF0000"/>
                <w:sz w:val="21"/>
                <w:szCs w:val="21"/>
              </w:rPr>
            </w:pPr>
          </w:p>
        </w:tc>
        <w:tc>
          <w:tcPr>
            <w:tcW w:w="217" w:type="dxa"/>
          </w:tcPr>
          <w:p w14:paraId="0396E207" w14:textId="77777777" w:rsidR="002C0FD9" w:rsidRPr="00CA25CF" w:rsidRDefault="002C0FD9" w:rsidP="00CA25CF">
            <w:pPr>
              <w:rPr>
                <w:rFonts w:cs="Arial"/>
                <w:color w:val="FF0000"/>
                <w:sz w:val="21"/>
                <w:szCs w:val="21"/>
              </w:rPr>
            </w:pPr>
          </w:p>
        </w:tc>
        <w:tc>
          <w:tcPr>
            <w:tcW w:w="217" w:type="dxa"/>
          </w:tcPr>
          <w:p w14:paraId="4E69DEAA" w14:textId="77777777" w:rsidR="002C0FD9" w:rsidRPr="00CA25CF" w:rsidRDefault="002C0FD9" w:rsidP="00CA25CF">
            <w:pPr>
              <w:rPr>
                <w:rFonts w:cs="Arial"/>
                <w:color w:val="FF0000"/>
                <w:sz w:val="21"/>
                <w:szCs w:val="21"/>
              </w:rPr>
            </w:pPr>
          </w:p>
        </w:tc>
        <w:tc>
          <w:tcPr>
            <w:tcW w:w="217" w:type="dxa"/>
          </w:tcPr>
          <w:p w14:paraId="4E8FFB78" w14:textId="77777777" w:rsidR="002C0FD9" w:rsidRPr="00CA25CF" w:rsidRDefault="002C0FD9" w:rsidP="00CA25CF">
            <w:pPr>
              <w:rPr>
                <w:rFonts w:cs="Arial"/>
                <w:color w:val="FF0000"/>
                <w:sz w:val="21"/>
                <w:szCs w:val="21"/>
              </w:rPr>
            </w:pPr>
          </w:p>
        </w:tc>
        <w:tc>
          <w:tcPr>
            <w:tcW w:w="217" w:type="dxa"/>
          </w:tcPr>
          <w:p w14:paraId="04AF1106" w14:textId="77777777" w:rsidR="002C0FD9" w:rsidRPr="00CA25CF" w:rsidRDefault="002C0FD9" w:rsidP="00CA25CF">
            <w:pPr>
              <w:rPr>
                <w:rFonts w:cs="Arial"/>
                <w:color w:val="FF0000"/>
                <w:sz w:val="21"/>
                <w:szCs w:val="21"/>
              </w:rPr>
            </w:pPr>
          </w:p>
        </w:tc>
        <w:tc>
          <w:tcPr>
            <w:tcW w:w="217" w:type="dxa"/>
          </w:tcPr>
          <w:p w14:paraId="4B2CD245" w14:textId="77777777" w:rsidR="002C0FD9" w:rsidRPr="00CA25CF" w:rsidRDefault="002C0FD9" w:rsidP="00CA25CF">
            <w:pPr>
              <w:rPr>
                <w:rFonts w:cs="Arial"/>
                <w:color w:val="FF0000"/>
                <w:sz w:val="21"/>
                <w:szCs w:val="21"/>
              </w:rPr>
            </w:pPr>
          </w:p>
        </w:tc>
        <w:tc>
          <w:tcPr>
            <w:tcW w:w="217" w:type="dxa"/>
          </w:tcPr>
          <w:p w14:paraId="118B78A9" w14:textId="77777777" w:rsidR="002C0FD9" w:rsidRPr="00CA25CF" w:rsidRDefault="002C0FD9" w:rsidP="00CA25CF">
            <w:pPr>
              <w:rPr>
                <w:rFonts w:cs="Arial"/>
                <w:color w:val="FF0000"/>
                <w:sz w:val="21"/>
                <w:szCs w:val="21"/>
              </w:rPr>
            </w:pPr>
          </w:p>
        </w:tc>
        <w:tc>
          <w:tcPr>
            <w:tcW w:w="217" w:type="dxa"/>
          </w:tcPr>
          <w:p w14:paraId="2EA0ABD6" w14:textId="77777777" w:rsidR="002C0FD9" w:rsidRPr="00CA25CF" w:rsidRDefault="002C0FD9" w:rsidP="00CA25CF">
            <w:pPr>
              <w:rPr>
                <w:rFonts w:cs="Arial"/>
                <w:color w:val="FF0000"/>
                <w:sz w:val="21"/>
                <w:szCs w:val="21"/>
              </w:rPr>
            </w:pPr>
          </w:p>
        </w:tc>
        <w:tc>
          <w:tcPr>
            <w:tcW w:w="217" w:type="dxa"/>
          </w:tcPr>
          <w:p w14:paraId="64ECEC4F" w14:textId="77777777" w:rsidR="002C0FD9" w:rsidRPr="00CA25CF" w:rsidRDefault="002C0FD9" w:rsidP="00CA25CF">
            <w:pPr>
              <w:rPr>
                <w:rFonts w:cs="Arial"/>
                <w:color w:val="FF0000"/>
                <w:sz w:val="21"/>
                <w:szCs w:val="21"/>
              </w:rPr>
            </w:pPr>
          </w:p>
        </w:tc>
        <w:tc>
          <w:tcPr>
            <w:tcW w:w="217" w:type="dxa"/>
          </w:tcPr>
          <w:p w14:paraId="70327C0C" w14:textId="77777777" w:rsidR="002C0FD9" w:rsidRPr="00CA25CF" w:rsidRDefault="002C0FD9" w:rsidP="00CA25CF">
            <w:pPr>
              <w:rPr>
                <w:rFonts w:cs="Arial"/>
                <w:color w:val="FF0000"/>
                <w:sz w:val="21"/>
                <w:szCs w:val="21"/>
              </w:rPr>
            </w:pPr>
          </w:p>
        </w:tc>
        <w:tc>
          <w:tcPr>
            <w:tcW w:w="217" w:type="dxa"/>
          </w:tcPr>
          <w:p w14:paraId="5BCDC108" w14:textId="77777777" w:rsidR="002C0FD9" w:rsidRPr="00CA25CF" w:rsidRDefault="002C0FD9" w:rsidP="00CA25CF">
            <w:pPr>
              <w:rPr>
                <w:rFonts w:cs="Arial"/>
                <w:color w:val="FF0000"/>
                <w:sz w:val="21"/>
                <w:szCs w:val="21"/>
              </w:rPr>
            </w:pPr>
          </w:p>
        </w:tc>
        <w:tc>
          <w:tcPr>
            <w:tcW w:w="217" w:type="dxa"/>
          </w:tcPr>
          <w:p w14:paraId="7F7346AA" w14:textId="77777777" w:rsidR="002C0FD9" w:rsidRPr="00CA25CF" w:rsidRDefault="002C0FD9" w:rsidP="00CA25CF">
            <w:pPr>
              <w:rPr>
                <w:rFonts w:cs="Arial"/>
                <w:color w:val="FF0000"/>
                <w:sz w:val="21"/>
                <w:szCs w:val="21"/>
              </w:rPr>
            </w:pPr>
          </w:p>
        </w:tc>
        <w:tc>
          <w:tcPr>
            <w:tcW w:w="217" w:type="dxa"/>
          </w:tcPr>
          <w:p w14:paraId="046AE425" w14:textId="77777777" w:rsidR="002C0FD9" w:rsidRPr="00CA25CF" w:rsidRDefault="002C0FD9" w:rsidP="00CA25CF">
            <w:pPr>
              <w:rPr>
                <w:rFonts w:cs="Arial"/>
                <w:color w:val="FF0000"/>
                <w:sz w:val="21"/>
                <w:szCs w:val="21"/>
              </w:rPr>
            </w:pPr>
          </w:p>
        </w:tc>
      </w:tr>
      <w:tr w:rsidR="002C0FD9" w:rsidRPr="00A16219" w14:paraId="2DA57FA5" w14:textId="0109F911" w:rsidTr="002C0FD9">
        <w:trPr>
          <w:trHeight w:val="635"/>
        </w:trPr>
        <w:tc>
          <w:tcPr>
            <w:tcW w:w="515" w:type="dxa"/>
          </w:tcPr>
          <w:p w14:paraId="62FB9896" w14:textId="77777777" w:rsidR="002C0FD9" w:rsidRPr="00CA25CF" w:rsidRDefault="002C0FD9" w:rsidP="00CA25CF">
            <w:pPr>
              <w:rPr>
                <w:rFonts w:cs="Arial"/>
                <w:color w:val="FF0000"/>
                <w:sz w:val="21"/>
                <w:szCs w:val="21"/>
              </w:rPr>
            </w:pPr>
          </w:p>
        </w:tc>
        <w:tc>
          <w:tcPr>
            <w:tcW w:w="217" w:type="dxa"/>
          </w:tcPr>
          <w:p w14:paraId="55C1CFC8" w14:textId="77777777" w:rsidR="002C0FD9" w:rsidRPr="00CA25CF" w:rsidRDefault="002C0FD9" w:rsidP="00CA25CF">
            <w:pPr>
              <w:rPr>
                <w:rFonts w:cs="Arial"/>
                <w:color w:val="FF0000"/>
                <w:sz w:val="21"/>
                <w:szCs w:val="21"/>
              </w:rPr>
            </w:pPr>
          </w:p>
        </w:tc>
        <w:tc>
          <w:tcPr>
            <w:tcW w:w="217" w:type="dxa"/>
          </w:tcPr>
          <w:p w14:paraId="69199937" w14:textId="05D84AFF" w:rsidR="002C0FD9" w:rsidRPr="00CA25CF" w:rsidRDefault="002C0FD9" w:rsidP="00CA25CF">
            <w:pPr>
              <w:rPr>
                <w:rFonts w:cs="Arial"/>
                <w:color w:val="FF0000"/>
                <w:sz w:val="21"/>
                <w:szCs w:val="21"/>
              </w:rPr>
            </w:pPr>
          </w:p>
        </w:tc>
        <w:tc>
          <w:tcPr>
            <w:tcW w:w="217" w:type="dxa"/>
          </w:tcPr>
          <w:p w14:paraId="1617D44F" w14:textId="77777777" w:rsidR="002C0FD9" w:rsidRPr="00CA25CF" w:rsidRDefault="002C0FD9" w:rsidP="00CA25CF">
            <w:pPr>
              <w:rPr>
                <w:rFonts w:cs="Arial"/>
                <w:color w:val="FF0000"/>
                <w:sz w:val="21"/>
                <w:szCs w:val="21"/>
              </w:rPr>
            </w:pPr>
          </w:p>
        </w:tc>
        <w:tc>
          <w:tcPr>
            <w:tcW w:w="217" w:type="dxa"/>
          </w:tcPr>
          <w:p w14:paraId="2B38A1CF" w14:textId="77777777" w:rsidR="002C0FD9" w:rsidRPr="00CA25CF" w:rsidRDefault="002C0FD9" w:rsidP="00CA25CF">
            <w:pPr>
              <w:rPr>
                <w:rFonts w:cs="Arial"/>
                <w:color w:val="FF0000"/>
                <w:sz w:val="21"/>
                <w:szCs w:val="21"/>
              </w:rPr>
            </w:pPr>
          </w:p>
        </w:tc>
        <w:tc>
          <w:tcPr>
            <w:tcW w:w="217" w:type="dxa"/>
          </w:tcPr>
          <w:p w14:paraId="36A44423" w14:textId="77777777" w:rsidR="002C0FD9" w:rsidRPr="00CA25CF" w:rsidRDefault="002C0FD9" w:rsidP="00CA25CF">
            <w:pPr>
              <w:rPr>
                <w:rFonts w:cs="Arial"/>
                <w:color w:val="FF0000"/>
                <w:sz w:val="21"/>
                <w:szCs w:val="21"/>
              </w:rPr>
            </w:pPr>
          </w:p>
        </w:tc>
        <w:tc>
          <w:tcPr>
            <w:tcW w:w="217" w:type="dxa"/>
          </w:tcPr>
          <w:p w14:paraId="56D6C68F" w14:textId="77777777" w:rsidR="002C0FD9" w:rsidRPr="00CA25CF" w:rsidRDefault="002C0FD9" w:rsidP="00CA25CF">
            <w:pPr>
              <w:rPr>
                <w:rFonts w:cs="Arial"/>
                <w:color w:val="FF0000"/>
                <w:sz w:val="21"/>
                <w:szCs w:val="21"/>
              </w:rPr>
            </w:pPr>
          </w:p>
        </w:tc>
        <w:tc>
          <w:tcPr>
            <w:tcW w:w="217" w:type="dxa"/>
          </w:tcPr>
          <w:p w14:paraId="088C3F9C" w14:textId="77777777" w:rsidR="002C0FD9" w:rsidRPr="00CA25CF" w:rsidRDefault="002C0FD9" w:rsidP="00CA25CF">
            <w:pPr>
              <w:rPr>
                <w:rFonts w:cs="Arial"/>
                <w:color w:val="FF0000"/>
                <w:sz w:val="21"/>
                <w:szCs w:val="21"/>
              </w:rPr>
            </w:pPr>
          </w:p>
        </w:tc>
        <w:tc>
          <w:tcPr>
            <w:tcW w:w="217" w:type="dxa"/>
          </w:tcPr>
          <w:p w14:paraId="0770E71E" w14:textId="77777777" w:rsidR="002C0FD9" w:rsidRPr="00CA25CF" w:rsidRDefault="002C0FD9" w:rsidP="00CA25CF">
            <w:pPr>
              <w:rPr>
                <w:rFonts w:cs="Arial"/>
                <w:color w:val="FF0000"/>
                <w:sz w:val="21"/>
                <w:szCs w:val="21"/>
              </w:rPr>
            </w:pPr>
          </w:p>
        </w:tc>
        <w:tc>
          <w:tcPr>
            <w:tcW w:w="217" w:type="dxa"/>
          </w:tcPr>
          <w:p w14:paraId="115F1A28" w14:textId="77777777" w:rsidR="002C0FD9" w:rsidRPr="00CA25CF" w:rsidRDefault="002C0FD9" w:rsidP="00CA25CF">
            <w:pPr>
              <w:rPr>
                <w:rFonts w:cs="Arial"/>
                <w:color w:val="FF0000"/>
                <w:sz w:val="21"/>
                <w:szCs w:val="21"/>
              </w:rPr>
            </w:pPr>
          </w:p>
        </w:tc>
        <w:tc>
          <w:tcPr>
            <w:tcW w:w="217" w:type="dxa"/>
          </w:tcPr>
          <w:p w14:paraId="087B231D" w14:textId="77777777" w:rsidR="002C0FD9" w:rsidRPr="00CA25CF" w:rsidRDefault="002C0FD9" w:rsidP="00CA25CF">
            <w:pPr>
              <w:rPr>
                <w:rFonts w:cs="Arial"/>
                <w:color w:val="FF0000"/>
                <w:sz w:val="21"/>
                <w:szCs w:val="21"/>
              </w:rPr>
            </w:pPr>
          </w:p>
        </w:tc>
        <w:tc>
          <w:tcPr>
            <w:tcW w:w="217" w:type="dxa"/>
          </w:tcPr>
          <w:p w14:paraId="76FEB3F3" w14:textId="77777777" w:rsidR="002C0FD9" w:rsidRPr="00CA25CF" w:rsidRDefault="002C0FD9" w:rsidP="00CA25CF">
            <w:pPr>
              <w:rPr>
                <w:rFonts w:cs="Arial"/>
                <w:color w:val="FF0000"/>
                <w:sz w:val="21"/>
                <w:szCs w:val="21"/>
              </w:rPr>
            </w:pPr>
          </w:p>
        </w:tc>
        <w:tc>
          <w:tcPr>
            <w:tcW w:w="217" w:type="dxa"/>
          </w:tcPr>
          <w:p w14:paraId="244A55C2" w14:textId="77777777" w:rsidR="002C0FD9" w:rsidRPr="00CA25CF" w:rsidRDefault="002C0FD9" w:rsidP="00CA25CF">
            <w:pPr>
              <w:rPr>
                <w:rFonts w:cs="Arial"/>
                <w:color w:val="FF0000"/>
                <w:sz w:val="21"/>
                <w:szCs w:val="21"/>
              </w:rPr>
            </w:pPr>
          </w:p>
        </w:tc>
        <w:tc>
          <w:tcPr>
            <w:tcW w:w="217" w:type="dxa"/>
          </w:tcPr>
          <w:p w14:paraId="52C8BD48" w14:textId="77777777" w:rsidR="002C0FD9" w:rsidRPr="00CA25CF" w:rsidRDefault="002C0FD9" w:rsidP="00CA25CF">
            <w:pPr>
              <w:rPr>
                <w:rFonts w:cs="Arial"/>
                <w:color w:val="FF0000"/>
                <w:sz w:val="21"/>
                <w:szCs w:val="21"/>
              </w:rPr>
            </w:pPr>
          </w:p>
        </w:tc>
        <w:tc>
          <w:tcPr>
            <w:tcW w:w="217" w:type="dxa"/>
          </w:tcPr>
          <w:p w14:paraId="7A1249C5" w14:textId="77777777" w:rsidR="002C0FD9" w:rsidRPr="00CA25CF" w:rsidRDefault="002C0FD9" w:rsidP="00CA25CF">
            <w:pPr>
              <w:rPr>
                <w:rFonts w:cs="Arial"/>
                <w:color w:val="FF0000"/>
                <w:sz w:val="21"/>
                <w:szCs w:val="21"/>
              </w:rPr>
            </w:pPr>
          </w:p>
        </w:tc>
        <w:tc>
          <w:tcPr>
            <w:tcW w:w="217" w:type="dxa"/>
          </w:tcPr>
          <w:p w14:paraId="2AA509DF" w14:textId="77777777" w:rsidR="002C0FD9" w:rsidRPr="00CA25CF" w:rsidRDefault="002C0FD9" w:rsidP="00CA25CF">
            <w:pPr>
              <w:rPr>
                <w:rFonts w:cs="Arial"/>
                <w:color w:val="FF0000"/>
                <w:sz w:val="21"/>
                <w:szCs w:val="21"/>
              </w:rPr>
            </w:pPr>
          </w:p>
        </w:tc>
        <w:tc>
          <w:tcPr>
            <w:tcW w:w="217" w:type="dxa"/>
          </w:tcPr>
          <w:p w14:paraId="18787ADE" w14:textId="77777777" w:rsidR="002C0FD9" w:rsidRPr="00CA25CF" w:rsidRDefault="002C0FD9" w:rsidP="00CA25CF">
            <w:pPr>
              <w:rPr>
                <w:rFonts w:cs="Arial"/>
                <w:color w:val="FF0000"/>
                <w:sz w:val="21"/>
                <w:szCs w:val="21"/>
              </w:rPr>
            </w:pPr>
          </w:p>
        </w:tc>
        <w:tc>
          <w:tcPr>
            <w:tcW w:w="217" w:type="dxa"/>
          </w:tcPr>
          <w:p w14:paraId="610E5BBB" w14:textId="77777777" w:rsidR="002C0FD9" w:rsidRPr="00CA25CF" w:rsidRDefault="002C0FD9" w:rsidP="00CA25CF">
            <w:pPr>
              <w:rPr>
                <w:rFonts w:cs="Arial"/>
                <w:color w:val="FF0000"/>
                <w:sz w:val="21"/>
                <w:szCs w:val="21"/>
              </w:rPr>
            </w:pPr>
          </w:p>
        </w:tc>
        <w:tc>
          <w:tcPr>
            <w:tcW w:w="217" w:type="dxa"/>
          </w:tcPr>
          <w:p w14:paraId="7EE200E7" w14:textId="77777777" w:rsidR="002C0FD9" w:rsidRPr="00CA25CF" w:rsidRDefault="002C0FD9" w:rsidP="00CA25CF">
            <w:pPr>
              <w:rPr>
                <w:rFonts w:cs="Arial"/>
                <w:color w:val="FF0000"/>
                <w:sz w:val="21"/>
                <w:szCs w:val="21"/>
              </w:rPr>
            </w:pPr>
          </w:p>
        </w:tc>
        <w:tc>
          <w:tcPr>
            <w:tcW w:w="217" w:type="dxa"/>
          </w:tcPr>
          <w:p w14:paraId="3F49944E" w14:textId="77777777" w:rsidR="002C0FD9" w:rsidRPr="00CA25CF" w:rsidRDefault="002C0FD9" w:rsidP="00CA25CF">
            <w:pPr>
              <w:rPr>
                <w:rFonts w:cs="Arial"/>
                <w:color w:val="FF0000"/>
                <w:sz w:val="21"/>
                <w:szCs w:val="21"/>
              </w:rPr>
            </w:pPr>
          </w:p>
        </w:tc>
        <w:tc>
          <w:tcPr>
            <w:tcW w:w="217" w:type="dxa"/>
          </w:tcPr>
          <w:p w14:paraId="04CB4DE1" w14:textId="77777777" w:rsidR="002C0FD9" w:rsidRPr="00CA25CF" w:rsidRDefault="002C0FD9" w:rsidP="00CA25CF">
            <w:pPr>
              <w:rPr>
                <w:rFonts w:cs="Arial"/>
                <w:color w:val="FF0000"/>
                <w:sz w:val="21"/>
                <w:szCs w:val="21"/>
              </w:rPr>
            </w:pPr>
          </w:p>
        </w:tc>
        <w:tc>
          <w:tcPr>
            <w:tcW w:w="217" w:type="dxa"/>
          </w:tcPr>
          <w:p w14:paraId="0677668A" w14:textId="77777777" w:rsidR="002C0FD9" w:rsidRPr="00CA25CF" w:rsidRDefault="002C0FD9" w:rsidP="00CA25CF">
            <w:pPr>
              <w:rPr>
                <w:rFonts w:cs="Arial"/>
                <w:color w:val="FF0000"/>
                <w:sz w:val="21"/>
                <w:szCs w:val="21"/>
              </w:rPr>
            </w:pPr>
          </w:p>
        </w:tc>
        <w:tc>
          <w:tcPr>
            <w:tcW w:w="217" w:type="dxa"/>
          </w:tcPr>
          <w:p w14:paraId="76A4C0B6" w14:textId="77777777" w:rsidR="002C0FD9" w:rsidRPr="00CA25CF" w:rsidRDefault="002C0FD9" w:rsidP="00CA25CF">
            <w:pPr>
              <w:rPr>
                <w:rFonts w:cs="Arial"/>
                <w:color w:val="FF0000"/>
                <w:sz w:val="21"/>
                <w:szCs w:val="21"/>
              </w:rPr>
            </w:pPr>
          </w:p>
        </w:tc>
        <w:tc>
          <w:tcPr>
            <w:tcW w:w="217" w:type="dxa"/>
          </w:tcPr>
          <w:p w14:paraId="29820785" w14:textId="77777777" w:rsidR="002C0FD9" w:rsidRPr="00CA25CF" w:rsidRDefault="002C0FD9" w:rsidP="00CA25CF">
            <w:pPr>
              <w:rPr>
                <w:rFonts w:cs="Arial"/>
                <w:color w:val="FF0000"/>
                <w:sz w:val="21"/>
                <w:szCs w:val="21"/>
              </w:rPr>
            </w:pPr>
          </w:p>
        </w:tc>
        <w:tc>
          <w:tcPr>
            <w:tcW w:w="217" w:type="dxa"/>
          </w:tcPr>
          <w:p w14:paraId="7C6752DA" w14:textId="77777777" w:rsidR="002C0FD9" w:rsidRPr="00CA25CF" w:rsidRDefault="002C0FD9" w:rsidP="00CA25CF">
            <w:pPr>
              <w:rPr>
                <w:rFonts w:cs="Arial"/>
                <w:color w:val="FF0000"/>
                <w:sz w:val="21"/>
                <w:szCs w:val="21"/>
              </w:rPr>
            </w:pPr>
          </w:p>
        </w:tc>
        <w:tc>
          <w:tcPr>
            <w:tcW w:w="217" w:type="dxa"/>
          </w:tcPr>
          <w:p w14:paraId="22E277B9" w14:textId="77777777" w:rsidR="002C0FD9" w:rsidRPr="00CA25CF" w:rsidRDefault="002C0FD9" w:rsidP="00CA25CF">
            <w:pPr>
              <w:rPr>
                <w:rFonts w:cs="Arial"/>
                <w:color w:val="FF0000"/>
                <w:sz w:val="21"/>
                <w:szCs w:val="21"/>
              </w:rPr>
            </w:pPr>
          </w:p>
        </w:tc>
        <w:tc>
          <w:tcPr>
            <w:tcW w:w="217" w:type="dxa"/>
          </w:tcPr>
          <w:p w14:paraId="6517B7B7" w14:textId="77777777" w:rsidR="002C0FD9" w:rsidRPr="00CA25CF" w:rsidRDefault="002C0FD9" w:rsidP="00CA25CF">
            <w:pPr>
              <w:rPr>
                <w:rFonts w:cs="Arial"/>
                <w:color w:val="FF0000"/>
                <w:sz w:val="21"/>
                <w:szCs w:val="21"/>
              </w:rPr>
            </w:pPr>
          </w:p>
        </w:tc>
        <w:tc>
          <w:tcPr>
            <w:tcW w:w="217" w:type="dxa"/>
          </w:tcPr>
          <w:p w14:paraId="59EFDA92" w14:textId="77777777" w:rsidR="002C0FD9" w:rsidRPr="00CA25CF" w:rsidRDefault="002C0FD9" w:rsidP="00CA25CF">
            <w:pPr>
              <w:rPr>
                <w:rFonts w:cs="Arial"/>
                <w:color w:val="FF0000"/>
                <w:sz w:val="21"/>
                <w:szCs w:val="21"/>
              </w:rPr>
            </w:pPr>
          </w:p>
        </w:tc>
        <w:tc>
          <w:tcPr>
            <w:tcW w:w="217" w:type="dxa"/>
          </w:tcPr>
          <w:p w14:paraId="61A0ECE0" w14:textId="77777777" w:rsidR="002C0FD9" w:rsidRPr="00CA25CF" w:rsidRDefault="002C0FD9" w:rsidP="00CA25CF">
            <w:pPr>
              <w:rPr>
                <w:rFonts w:cs="Arial"/>
                <w:color w:val="FF0000"/>
                <w:sz w:val="21"/>
                <w:szCs w:val="21"/>
              </w:rPr>
            </w:pPr>
          </w:p>
        </w:tc>
        <w:tc>
          <w:tcPr>
            <w:tcW w:w="217" w:type="dxa"/>
          </w:tcPr>
          <w:p w14:paraId="75AC4568" w14:textId="77777777" w:rsidR="002C0FD9" w:rsidRPr="00CA25CF" w:rsidRDefault="002C0FD9" w:rsidP="00CA25CF">
            <w:pPr>
              <w:rPr>
                <w:rFonts w:cs="Arial"/>
                <w:color w:val="FF0000"/>
                <w:sz w:val="21"/>
                <w:szCs w:val="21"/>
              </w:rPr>
            </w:pPr>
          </w:p>
        </w:tc>
        <w:tc>
          <w:tcPr>
            <w:tcW w:w="217" w:type="dxa"/>
          </w:tcPr>
          <w:p w14:paraId="6CEFA688" w14:textId="77777777" w:rsidR="002C0FD9" w:rsidRPr="00CA25CF" w:rsidRDefault="002C0FD9" w:rsidP="00CA25CF">
            <w:pPr>
              <w:rPr>
                <w:rFonts w:cs="Arial"/>
                <w:color w:val="FF0000"/>
                <w:sz w:val="21"/>
                <w:szCs w:val="21"/>
              </w:rPr>
            </w:pPr>
          </w:p>
        </w:tc>
        <w:tc>
          <w:tcPr>
            <w:tcW w:w="217" w:type="dxa"/>
          </w:tcPr>
          <w:p w14:paraId="40D4A412" w14:textId="77777777" w:rsidR="002C0FD9" w:rsidRPr="00CA25CF" w:rsidRDefault="002C0FD9" w:rsidP="00CA25CF">
            <w:pPr>
              <w:rPr>
                <w:rFonts w:cs="Arial"/>
                <w:color w:val="FF0000"/>
                <w:sz w:val="21"/>
                <w:szCs w:val="21"/>
              </w:rPr>
            </w:pPr>
          </w:p>
        </w:tc>
        <w:tc>
          <w:tcPr>
            <w:tcW w:w="217" w:type="dxa"/>
          </w:tcPr>
          <w:p w14:paraId="38A71956" w14:textId="77777777" w:rsidR="002C0FD9" w:rsidRPr="00CA25CF" w:rsidRDefault="002C0FD9" w:rsidP="00CA25CF">
            <w:pPr>
              <w:rPr>
                <w:rFonts w:cs="Arial"/>
                <w:color w:val="FF0000"/>
                <w:sz w:val="21"/>
                <w:szCs w:val="21"/>
              </w:rPr>
            </w:pPr>
          </w:p>
        </w:tc>
        <w:tc>
          <w:tcPr>
            <w:tcW w:w="217" w:type="dxa"/>
          </w:tcPr>
          <w:p w14:paraId="7D83C710" w14:textId="77777777" w:rsidR="002C0FD9" w:rsidRPr="00CA25CF" w:rsidRDefault="002C0FD9" w:rsidP="00CA25CF">
            <w:pPr>
              <w:rPr>
                <w:rFonts w:cs="Arial"/>
                <w:color w:val="FF0000"/>
                <w:sz w:val="21"/>
                <w:szCs w:val="21"/>
              </w:rPr>
            </w:pPr>
          </w:p>
        </w:tc>
        <w:tc>
          <w:tcPr>
            <w:tcW w:w="217" w:type="dxa"/>
          </w:tcPr>
          <w:p w14:paraId="4378B450" w14:textId="77777777" w:rsidR="002C0FD9" w:rsidRPr="00CA25CF" w:rsidRDefault="002C0FD9" w:rsidP="00CA25CF">
            <w:pPr>
              <w:rPr>
                <w:rFonts w:cs="Arial"/>
                <w:color w:val="FF0000"/>
                <w:sz w:val="21"/>
                <w:szCs w:val="21"/>
              </w:rPr>
            </w:pPr>
          </w:p>
        </w:tc>
        <w:tc>
          <w:tcPr>
            <w:tcW w:w="217" w:type="dxa"/>
          </w:tcPr>
          <w:p w14:paraId="08AA3283" w14:textId="77777777" w:rsidR="002C0FD9" w:rsidRPr="00CA25CF" w:rsidRDefault="002C0FD9" w:rsidP="00CA25CF">
            <w:pPr>
              <w:rPr>
                <w:rFonts w:cs="Arial"/>
                <w:color w:val="FF0000"/>
                <w:sz w:val="21"/>
                <w:szCs w:val="21"/>
              </w:rPr>
            </w:pPr>
          </w:p>
        </w:tc>
        <w:tc>
          <w:tcPr>
            <w:tcW w:w="217" w:type="dxa"/>
          </w:tcPr>
          <w:p w14:paraId="04609014" w14:textId="77777777" w:rsidR="002C0FD9" w:rsidRPr="00CA25CF" w:rsidRDefault="002C0FD9" w:rsidP="00CA25CF">
            <w:pPr>
              <w:rPr>
                <w:rFonts w:cs="Arial"/>
                <w:color w:val="FF0000"/>
                <w:sz w:val="21"/>
                <w:szCs w:val="21"/>
              </w:rPr>
            </w:pPr>
          </w:p>
        </w:tc>
        <w:tc>
          <w:tcPr>
            <w:tcW w:w="217" w:type="dxa"/>
          </w:tcPr>
          <w:p w14:paraId="0784037F" w14:textId="77777777" w:rsidR="002C0FD9" w:rsidRPr="00CA25CF" w:rsidRDefault="002C0FD9" w:rsidP="00CA25CF">
            <w:pPr>
              <w:rPr>
                <w:rFonts w:cs="Arial"/>
                <w:color w:val="FF0000"/>
                <w:sz w:val="21"/>
                <w:szCs w:val="21"/>
              </w:rPr>
            </w:pPr>
          </w:p>
        </w:tc>
        <w:tc>
          <w:tcPr>
            <w:tcW w:w="217" w:type="dxa"/>
          </w:tcPr>
          <w:p w14:paraId="6E86C366" w14:textId="77777777" w:rsidR="002C0FD9" w:rsidRPr="00CA25CF" w:rsidRDefault="002C0FD9" w:rsidP="00CA25CF">
            <w:pPr>
              <w:rPr>
                <w:rFonts w:cs="Arial"/>
                <w:color w:val="FF0000"/>
                <w:sz w:val="21"/>
                <w:szCs w:val="21"/>
              </w:rPr>
            </w:pPr>
          </w:p>
        </w:tc>
        <w:tc>
          <w:tcPr>
            <w:tcW w:w="217" w:type="dxa"/>
          </w:tcPr>
          <w:p w14:paraId="43031CF6" w14:textId="77777777" w:rsidR="002C0FD9" w:rsidRPr="00CA25CF" w:rsidRDefault="002C0FD9" w:rsidP="00CA25CF">
            <w:pPr>
              <w:rPr>
                <w:rFonts w:cs="Arial"/>
                <w:color w:val="FF0000"/>
                <w:sz w:val="21"/>
                <w:szCs w:val="21"/>
              </w:rPr>
            </w:pPr>
          </w:p>
        </w:tc>
        <w:tc>
          <w:tcPr>
            <w:tcW w:w="217" w:type="dxa"/>
          </w:tcPr>
          <w:p w14:paraId="697ADB69" w14:textId="77777777" w:rsidR="002C0FD9" w:rsidRPr="00CA25CF" w:rsidRDefault="002C0FD9" w:rsidP="00CA25CF">
            <w:pPr>
              <w:rPr>
                <w:rFonts w:cs="Arial"/>
                <w:color w:val="FF0000"/>
                <w:sz w:val="21"/>
                <w:szCs w:val="21"/>
              </w:rPr>
            </w:pPr>
          </w:p>
        </w:tc>
        <w:tc>
          <w:tcPr>
            <w:tcW w:w="217" w:type="dxa"/>
          </w:tcPr>
          <w:p w14:paraId="29404761" w14:textId="77777777" w:rsidR="002C0FD9" w:rsidRPr="00CA25CF" w:rsidRDefault="002C0FD9" w:rsidP="00CA25CF">
            <w:pPr>
              <w:rPr>
                <w:rFonts w:cs="Arial"/>
                <w:color w:val="FF0000"/>
                <w:sz w:val="21"/>
                <w:szCs w:val="21"/>
              </w:rPr>
            </w:pPr>
          </w:p>
        </w:tc>
        <w:tc>
          <w:tcPr>
            <w:tcW w:w="217" w:type="dxa"/>
          </w:tcPr>
          <w:p w14:paraId="21FF0DDC" w14:textId="77777777" w:rsidR="002C0FD9" w:rsidRPr="00CA25CF" w:rsidRDefault="002C0FD9" w:rsidP="00CA25CF">
            <w:pPr>
              <w:rPr>
                <w:rFonts w:cs="Arial"/>
                <w:color w:val="FF0000"/>
                <w:sz w:val="21"/>
                <w:szCs w:val="21"/>
              </w:rPr>
            </w:pPr>
          </w:p>
        </w:tc>
      </w:tr>
      <w:tr w:rsidR="002C0FD9" w:rsidRPr="00A16219" w14:paraId="46BC3FEC" w14:textId="3C760ACD" w:rsidTr="002C0FD9">
        <w:trPr>
          <w:trHeight w:val="635"/>
        </w:trPr>
        <w:tc>
          <w:tcPr>
            <w:tcW w:w="515" w:type="dxa"/>
          </w:tcPr>
          <w:p w14:paraId="411EA9AB" w14:textId="77777777" w:rsidR="002C0FD9" w:rsidRPr="00CA25CF" w:rsidRDefault="002C0FD9" w:rsidP="00CA25CF">
            <w:pPr>
              <w:rPr>
                <w:rFonts w:cs="Arial"/>
                <w:color w:val="FF0000"/>
                <w:sz w:val="21"/>
                <w:szCs w:val="21"/>
              </w:rPr>
            </w:pPr>
          </w:p>
        </w:tc>
        <w:tc>
          <w:tcPr>
            <w:tcW w:w="217" w:type="dxa"/>
          </w:tcPr>
          <w:p w14:paraId="2B94D675" w14:textId="77777777" w:rsidR="002C0FD9" w:rsidRPr="00CA25CF" w:rsidRDefault="002C0FD9" w:rsidP="00CA25CF">
            <w:pPr>
              <w:rPr>
                <w:rFonts w:cs="Arial"/>
                <w:color w:val="FF0000"/>
                <w:sz w:val="21"/>
                <w:szCs w:val="21"/>
              </w:rPr>
            </w:pPr>
          </w:p>
        </w:tc>
        <w:tc>
          <w:tcPr>
            <w:tcW w:w="217" w:type="dxa"/>
          </w:tcPr>
          <w:p w14:paraId="505FDEF6" w14:textId="23EF3A1B" w:rsidR="002C0FD9" w:rsidRPr="00CA25CF" w:rsidRDefault="002C0FD9" w:rsidP="00CA25CF">
            <w:pPr>
              <w:rPr>
                <w:rFonts w:cs="Arial"/>
                <w:color w:val="FF0000"/>
                <w:sz w:val="21"/>
                <w:szCs w:val="21"/>
              </w:rPr>
            </w:pPr>
          </w:p>
        </w:tc>
        <w:tc>
          <w:tcPr>
            <w:tcW w:w="217" w:type="dxa"/>
          </w:tcPr>
          <w:p w14:paraId="08F9550B" w14:textId="77777777" w:rsidR="002C0FD9" w:rsidRPr="00CA25CF" w:rsidRDefault="002C0FD9" w:rsidP="00CA25CF">
            <w:pPr>
              <w:rPr>
                <w:rFonts w:cs="Arial"/>
                <w:color w:val="FF0000"/>
                <w:sz w:val="21"/>
                <w:szCs w:val="21"/>
              </w:rPr>
            </w:pPr>
          </w:p>
        </w:tc>
        <w:tc>
          <w:tcPr>
            <w:tcW w:w="217" w:type="dxa"/>
          </w:tcPr>
          <w:p w14:paraId="60403A05" w14:textId="77777777" w:rsidR="002C0FD9" w:rsidRPr="00CA25CF" w:rsidRDefault="002C0FD9" w:rsidP="00CA25CF">
            <w:pPr>
              <w:rPr>
                <w:rFonts w:cs="Arial"/>
                <w:color w:val="FF0000"/>
                <w:sz w:val="21"/>
                <w:szCs w:val="21"/>
              </w:rPr>
            </w:pPr>
          </w:p>
        </w:tc>
        <w:tc>
          <w:tcPr>
            <w:tcW w:w="217" w:type="dxa"/>
          </w:tcPr>
          <w:p w14:paraId="1AFEC668" w14:textId="77777777" w:rsidR="002C0FD9" w:rsidRPr="00CA25CF" w:rsidRDefault="002C0FD9" w:rsidP="00CA25CF">
            <w:pPr>
              <w:rPr>
                <w:rFonts w:cs="Arial"/>
                <w:color w:val="FF0000"/>
                <w:sz w:val="21"/>
                <w:szCs w:val="21"/>
              </w:rPr>
            </w:pPr>
          </w:p>
        </w:tc>
        <w:tc>
          <w:tcPr>
            <w:tcW w:w="217" w:type="dxa"/>
          </w:tcPr>
          <w:p w14:paraId="3B0E4F89" w14:textId="77777777" w:rsidR="002C0FD9" w:rsidRPr="00CA25CF" w:rsidRDefault="002C0FD9" w:rsidP="00CA25CF">
            <w:pPr>
              <w:rPr>
                <w:rFonts w:cs="Arial"/>
                <w:color w:val="FF0000"/>
                <w:sz w:val="21"/>
                <w:szCs w:val="21"/>
              </w:rPr>
            </w:pPr>
          </w:p>
        </w:tc>
        <w:tc>
          <w:tcPr>
            <w:tcW w:w="217" w:type="dxa"/>
          </w:tcPr>
          <w:p w14:paraId="2F0E06C0" w14:textId="77777777" w:rsidR="002C0FD9" w:rsidRPr="00CA25CF" w:rsidRDefault="002C0FD9" w:rsidP="00CA25CF">
            <w:pPr>
              <w:rPr>
                <w:rFonts w:cs="Arial"/>
                <w:color w:val="FF0000"/>
                <w:sz w:val="21"/>
                <w:szCs w:val="21"/>
              </w:rPr>
            </w:pPr>
          </w:p>
        </w:tc>
        <w:tc>
          <w:tcPr>
            <w:tcW w:w="217" w:type="dxa"/>
          </w:tcPr>
          <w:p w14:paraId="4825AE45" w14:textId="77777777" w:rsidR="002C0FD9" w:rsidRPr="00CA25CF" w:rsidRDefault="002C0FD9" w:rsidP="00CA25CF">
            <w:pPr>
              <w:rPr>
                <w:rFonts w:cs="Arial"/>
                <w:color w:val="FF0000"/>
                <w:sz w:val="21"/>
                <w:szCs w:val="21"/>
              </w:rPr>
            </w:pPr>
          </w:p>
        </w:tc>
        <w:tc>
          <w:tcPr>
            <w:tcW w:w="217" w:type="dxa"/>
          </w:tcPr>
          <w:p w14:paraId="689B6195" w14:textId="77777777" w:rsidR="002C0FD9" w:rsidRPr="00CA25CF" w:rsidRDefault="002C0FD9" w:rsidP="00CA25CF">
            <w:pPr>
              <w:rPr>
                <w:rFonts w:cs="Arial"/>
                <w:color w:val="FF0000"/>
                <w:sz w:val="21"/>
                <w:szCs w:val="21"/>
              </w:rPr>
            </w:pPr>
          </w:p>
        </w:tc>
        <w:tc>
          <w:tcPr>
            <w:tcW w:w="217" w:type="dxa"/>
          </w:tcPr>
          <w:p w14:paraId="2BFB8D23" w14:textId="77777777" w:rsidR="002C0FD9" w:rsidRPr="00CA25CF" w:rsidRDefault="002C0FD9" w:rsidP="00CA25CF">
            <w:pPr>
              <w:rPr>
                <w:rFonts w:cs="Arial"/>
                <w:color w:val="FF0000"/>
                <w:sz w:val="21"/>
                <w:szCs w:val="21"/>
              </w:rPr>
            </w:pPr>
          </w:p>
        </w:tc>
        <w:tc>
          <w:tcPr>
            <w:tcW w:w="217" w:type="dxa"/>
          </w:tcPr>
          <w:p w14:paraId="6C6242CA" w14:textId="77777777" w:rsidR="002C0FD9" w:rsidRPr="00CA25CF" w:rsidRDefault="002C0FD9" w:rsidP="00CA25CF">
            <w:pPr>
              <w:rPr>
                <w:rFonts w:cs="Arial"/>
                <w:color w:val="FF0000"/>
                <w:sz w:val="21"/>
                <w:szCs w:val="21"/>
              </w:rPr>
            </w:pPr>
          </w:p>
        </w:tc>
        <w:tc>
          <w:tcPr>
            <w:tcW w:w="217" w:type="dxa"/>
          </w:tcPr>
          <w:p w14:paraId="10A93FBD" w14:textId="77777777" w:rsidR="002C0FD9" w:rsidRPr="00CA25CF" w:rsidRDefault="002C0FD9" w:rsidP="00CA25CF">
            <w:pPr>
              <w:rPr>
                <w:rFonts w:cs="Arial"/>
                <w:color w:val="FF0000"/>
                <w:sz w:val="21"/>
                <w:szCs w:val="21"/>
              </w:rPr>
            </w:pPr>
          </w:p>
        </w:tc>
        <w:tc>
          <w:tcPr>
            <w:tcW w:w="217" w:type="dxa"/>
          </w:tcPr>
          <w:p w14:paraId="47FEEEFB" w14:textId="77777777" w:rsidR="002C0FD9" w:rsidRPr="00CA25CF" w:rsidRDefault="002C0FD9" w:rsidP="00CA25CF">
            <w:pPr>
              <w:rPr>
                <w:rFonts w:cs="Arial"/>
                <w:color w:val="FF0000"/>
                <w:sz w:val="21"/>
                <w:szCs w:val="21"/>
              </w:rPr>
            </w:pPr>
          </w:p>
        </w:tc>
        <w:tc>
          <w:tcPr>
            <w:tcW w:w="217" w:type="dxa"/>
          </w:tcPr>
          <w:p w14:paraId="1A22EB4D" w14:textId="77777777" w:rsidR="002C0FD9" w:rsidRPr="00CA25CF" w:rsidRDefault="002C0FD9" w:rsidP="00CA25CF">
            <w:pPr>
              <w:rPr>
                <w:rFonts w:cs="Arial"/>
                <w:color w:val="FF0000"/>
                <w:sz w:val="21"/>
                <w:szCs w:val="21"/>
              </w:rPr>
            </w:pPr>
          </w:p>
        </w:tc>
        <w:tc>
          <w:tcPr>
            <w:tcW w:w="217" w:type="dxa"/>
          </w:tcPr>
          <w:p w14:paraId="48A9B3D3" w14:textId="77777777" w:rsidR="002C0FD9" w:rsidRPr="00CA25CF" w:rsidRDefault="002C0FD9" w:rsidP="00CA25CF">
            <w:pPr>
              <w:rPr>
                <w:rFonts w:cs="Arial"/>
                <w:color w:val="FF0000"/>
                <w:sz w:val="21"/>
                <w:szCs w:val="21"/>
              </w:rPr>
            </w:pPr>
          </w:p>
        </w:tc>
        <w:tc>
          <w:tcPr>
            <w:tcW w:w="217" w:type="dxa"/>
          </w:tcPr>
          <w:p w14:paraId="3164911A" w14:textId="77777777" w:rsidR="002C0FD9" w:rsidRPr="00CA25CF" w:rsidRDefault="002C0FD9" w:rsidP="00CA25CF">
            <w:pPr>
              <w:rPr>
                <w:rFonts w:cs="Arial"/>
                <w:color w:val="FF0000"/>
                <w:sz w:val="21"/>
                <w:szCs w:val="21"/>
              </w:rPr>
            </w:pPr>
          </w:p>
        </w:tc>
        <w:tc>
          <w:tcPr>
            <w:tcW w:w="217" w:type="dxa"/>
          </w:tcPr>
          <w:p w14:paraId="7A1F580D" w14:textId="77777777" w:rsidR="002C0FD9" w:rsidRPr="00CA25CF" w:rsidRDefault="002C0FD9" w:rsidP="00CA25CF">
            <w:pPr>
              <w:rPr>
                <w:rFonts w:cs="Arial"/>
                <w:color w:val="FF0000"/>
                <w:sz w:val="21"/>
                <w:szCs w:val="21"/>
              </w:rPr>
            </w:pPr>
          </w:p>
        </w:tc>
        <w:tc>
          <w:tcPr>
            <w:tcW w:w="217" w:type="dxa"/>
          </w:tcPr>
          <w:p w14:paraId="1F81E11D" w14:textId="77777777" w:rsidR="002C0FD9" w:rsidRPr="00CA25CF" w:rsidRDefault="002C0FD9" w:rsidP="00CA25CF">
            <w:pPr>
              <w:rPr>
                <w:rFonts w:cs="Arial"/>
                <w:color w:val="FF0000"/>
                <w:sz w:val="21"/>
                <w:szCs w:val="21"/>
              </w:rPr>
            </w:pPr>
          </w:p>
        </w:tc>
        <w:tc>
          <w:tcPr>
            <w:tcW w:w="217" w:type="dxa"/>
          </w:tcPr>
          <w:p w14:paraId="54A5C8B6" w14:textId="77777777" w:rsidR="002C0FD9" w:rsidRPr="00CA25CF" w:rsidRDefault="002C0FD9" w:rsidP="00CA25CF">
            <w:pPr>
              <w:rPr>
                <w:rFonts w:cs="Arial"/>
                <w:color w:val="FF0000"/>
                <w:sz w:val="21"/>
                <w:szCs w:val="21"/>
              </w:rPr>
            </w:pPr>
          </w:p>
        </w:tc>
        <w:tc>
          <w:tcPr>
            <w:tcW w:w="217" w:type="dxa"/>
          </w:tcPr>
          <w:p w14:paraId="7711CA47" w14:textId="77777777" w:rsidR="002C0FD9" w:rsidRPr="00CA25CF" w:rsidRDefault="002C0FD9" w:rsidP="00CA25CF">
            <w:pPr>
              <w:rPr>
                <w:rFonts w:cs="Arial"/>
                <w:color w:val="FF0000"/>
                <w:sz w:val="21"/>
                <w:szCs w:val="21"/>
              </w:rPr>
            </w:pPr>
          </w:p>
        </w:tc>
        <w:tc>
          <w:tcPr>
            <w:tcW w:w="217" w:type="dxa"/>
          </w:tcPr>
          <w:p w14:paraId="0089EFAC" w14:textId="77777777" w:rsidR="002C0FD9" w:rsidRPr="00CA25CF" w:rsidRDefault="002C0FD9" w:rsidP="00CA25CF">
            <w:pPr>
              <w:rPr>
                <w:rFonts w:cs="Arial"/>
                <w:color w:val="FF0000"/>
                <w:sz w:val="21"/>
                <w:szCs w:val="21"/>
              </w:rPr>
            </w:pPr>
          </w:p>
        </w:tc>
        <w:tc>
          <w:tcPr>
            <w:tcW w:w="217" w:type="dxa"/>
          </w:tcPr>
          <w:p w14:paraId="1789385C" w14:textId="77777777" w:rsidR="002C0FD9" w:rsidRPr="00CA25CF" w:rsidRDefault="002C0FD9" w:rsidP="00CA25CF">
            <w:pPr>
              <w:rPr>
                <w:rFonts w:cs="Arial"/>
                <w:color w:val="FF0000"/>
                <w:sz w:val="21"/>
                <w:szCs w:val="21"/>
              </w:rPr>
            </w:pPr>
          </w:p>
        </w:tc>
        <w:tc>
          <w:tcPr>
            <w:tcW w:w="217" w:type="dxa"/>
          </w:tcPr>
          <w:p w14:paraId="0643EBC1" w14:textId="77777777" w:rsidR="002C0FD9" w:rsidRPr="00CA25CF" w:rsidRDefault="002C0FD9" w:rsidP="00CA25CF">
            <w:pPr>
              <w:rPr>
                <w:rFonts w:cs="Arial"/>
                <w:color w:val="FF0000"/>
                <w:sz w:val="21"/>
                <w:szCs w:val="21"/>
              </w:rPr>
            </w:pPr>
          </w:p>
        </w:tc>
        <w:tc>
          <w:tcPr>
            <w:tcW w:w="217" w:type="dxa"/>
          </w:tcPr>
          <w:p w14:paraId="76B805C7" w14:textId="77777777" w:rsidR="002C0FD9" w:rsidRPr="00CA25CF" w:rsidRDefault="002C0FD9" w:rsidP="00CA25CF">
            <w:pPr>
              <w:rPr>
                <w:rFonts w:cs="Arial"/>
                <w:color w:val="FF0000"/>
                <w:sz w:val="21"/>
                <w:szCs w:val="21"/>
              </w:rPr>
            </w:pPr>
          </w:p>
        </w:tc>
        <w:tc>
          <w:tcPr>
            <w:tcW w:w="217" w:type="dxa"/>
          </w:tcPr>
          <w:p w14:paraId="0CC2AC1E" w14:textId="77777777" w:rsidR="002C0FD9" w:rsidRPr="00CA25CF" w:rsidRDefault="002C0FD9" w:rsidP="00CA25CF">
            <w:pPr>
              <w:rPr>
                <w:rFonts w:cs="Arial"/>
                <w:color w:val="FF0000"/>
                <w:sz w:val="21"/>
                <w:szCs w:val="21"/>
              </w:rPr>
            </w:pPr>
          </w:p>
        </w:tc>
        <w:tc>
          <w:tcPr>
            <w:tcW w:w="217" w:type="dxa"/>
          </w:tcPr>
          <w:p w14:paraId="2351A1F0" w14:textId="77777777" w:rsidR="002C0FD9" w:rsidRPr="00CA25CF" w:rsidRDefault="002C0FD9" w:rsidP="00CA25CF">
            <w:pPr>
              <w:rPr>
                <w:rFonts w:cs="Arial"/>
                <w:color w:val="FF0000"/>
                <w:sz w:val="21"/>
                <w:szCs w:val="21"/>
              </w:rPr>
            </w:pPr>
          </w:p>
        </w:tc>
        <w:tc>
          <w:tcPr>
            <w:tcW w:w="217" w:type="dxa"/>
          </w:tcPr>
          <w:p w14:paraId="0DBE4005" w14:textId="77777777" w:rsidR="002C0FD9" w:rsidRPr="00CA25CF" w:rsidRDefault="002C0FD9" w:rsidP="00CA25CF">
            <w:pPr>
              <w:rPr>
                <w:rFonts w:cs="Arial"/>
                <w:color w:val="FF0000"/>
                <w:sz w:val="21"/>
                <w:szCs w:val="21"/>
              </w:rPr>
            </w:pPr>
          </w:p>
        </w:tc>
        <w:tc>
          <w:tcPr>
            <w:tcW w:w="217" w:type="dxa"/>
          </w:tcPr>
          <w:p w14:paraId="56AAAC66" w14:textId="77777777" w:rsidR="002C0FD9" w:rsidRPr="00CA25CF" w:rsidRDefault="002C0FD9" w:rsidP="00CA25CF">
            <w:pPr>
              <w:rPr>
                <w:rFonts w:cs="Arial"/>
                <w:color w:val="FF0000"/>
                <w:sz w:val="21"/>
                <w:szCs w:val="21"/>
              </w:rPr>
            </w:pPr>
          </w:p>
        </w:tc>
        <w:tc>
          <w:tcPr>
            <w:tcW w:w="217" w:type="dxa"/>
          </w:tcPr>
          <w:p w14:paraId="6CA4A1D0" w14:textId="77777777" w:rsidR="002C0FD9" w:rsidRPr="00CA25CF" w:rsidRDefault="002C0FD9" w:rsidP="00CA25CF">
            <w:pPr>
              <w:rPr>
                <w:rFonts w:cs="Arial"/>
                <w:color w:val="FF0000"/>
                <w:sz w:val="21"/>
                <w:szCs w:val="21"/>
              </w:rPr>
            </w:pPr>
          </w:p>
        </w:tc>
        <w:tc>
          <w:tcPr>
            <w:tcW w:w="217" w:type="dxa"/>
          </w:tcPr>
          <w:p w14:paraId="02E0A3D3" w14:textId="77777777" w:rsidR="002C0FD9" w:rsidRPr="00CA25CF" w:rsidRDefault="002C0FD9" w:rsidP="00CA25CF">
            <w:pPr>
              <w:rPr>
                <w:rFonts w:cs="Arial"/>
                <w:color w:val="FF0000"/>
                <w:sz w:val="21"/>
                <w:szCs w:val="21"/>
              </w:rPr>
            </w:pPr>
          </w:p>
        </w:tc>
        <w:tc>
          <w:tcPr>
            <w:tcW w:w="217" w:type="dxa"/>
          </w:tcPr>
          <w:p w14:paraId="7EF9817B" w14:textId="77777777" w:rsidR="002C0FD9" w:rsidRPr="00CA25CF" w:rsidRDefault="002C0FD9" w:rsidP="00CA25CF">
            <w:pPr>
              <w:rPr>
                <w:rFonts w:cs="Arial"/>
                <w:color w:val="FF0000"/>
                <w:sz w:val="21"/>
                <w:szCs w:val="21"/>
              </w:rPr>
            </w:pPr>
          </w:p>
        </w:tc>
        <w:tc>
          <w:tcPr>
            <w:tcW w:w="217" w:type="dxa"/>
          </w:tcPr>
          <w:p w14:paraId="44E955DB" w14:textId="77777777" w:rsidR="002C0FD9" w:rsidRPr="00CA25CF" w:rsidRDefault="002C0FD9" w:rsidP="00CA25CF">
            <w:pPr>
              <w:rPr>
                <w:rFonts w:cs="Arial"/>
                <w:color w:val="FF0000"/>
                <w:sz w:val="21"/>
                <w:szCs w:val="21"/>
              </w:rPr>
            </w:pPr>
          </w:p>
        </w:tc>
        <w:tc>
          <w:tcPr>
            <w:tcW w:w="217" w:type="dxa"/>
          </w:tcPr>
          <w:p w14:paraId="468F7ADD" w14:textId="77777777" w:rsidR="002C0FD9" w:rsidRPr="00CA25CF" w:rsidRDefault="002C0FD9" w:rsidP="00CA25CF">
            <w:pPr>
              <w:rPr>
                <w:rFonts w:cs="Arial"/>
                <w:color w:val="FF0000"/>
                <w:sz w:val="21"/>
                <w:szCs w:val="21"/>
              </w:rPr>
            </w:pPr>
          </w:p>
        </w:tc>
        <w:tc>
          <w:tcPr>
            <w:tcW w:w="217" w:type="dxa"/>
          </w:tcPr>
          <w:p w14:paraId="096954FE" w14:textId="77777777" w:rsidR="002C0FD9" w:rsidRPr="00CA25CF" w:rsidRDefault="002C0FD9" w:rsidP="00CA25CF">
            <w:pPr>
              <w:rPr>
                <w:rFonts w:cs="Arial"/>
                <w:color w:val="FF0000"/>
                <w:sz w:val="21"/>
                <w:szCs w:val="21"/>
              </w:rPr>
            </w:pPr>
          </w:p>
        </w:tc>
        <w:tc>
          <w:tcPr>
            <w:tcW w:w="217" w:type="dxa"/>
          </w:tcPr>
          <w:p w14:paraId="28EE4C8C" w14:textId="77777777" w:rsidR="002C0FD9" w:rsidRPr="00CA25CF" w:rsidRDefault="002C0FD9" w:rsidP="00CA25CF">
            <w:pPr>
              <w:rPr>
                <w:rFonts w:cs="Arial"/>
                <w:color w:val="FF0000"/>
                <w:sz w:val="21"/>
                <w:szCs w:val="21"/>
              </w:rPr>
            </w:pPr>
          </w:p>
        </w:tc>
        <w:tc>
          <w:tcPr>
            <w:tcW w:w="217" w:type="dxa"/>
          </w:tcPr>
          <w:p w14:paraId="58FB5A25" w14:textId="77777777" w:rsidR="002C0FD9" w:rsidRPr="00CA25CF" w:rsidRDefault="002C0FD9" w:rsidP="00CA25CF">
            <w:pPr>
              <w:rPr>
                <w:rFonts w:cs="Arial"/>
                <w:color w:val="FF0000"/>
                <w:sz w:val="21"/>
                <w:szCs w:val="21"/>
              </w:rPr>
            </w:pPr>
          </w:p>
        </w:tc>
        <w:tc>
          <w:tcPr>
            <w:tcW w:w="217" w:type="dxa"/>
          </w:tcPr>
          <w:p w14:paraId="3DBE1BA0" w14:textId="77777777" w:rsidR="002C0FD9" w:rsidRPr="00CA25CF" w:rsidRDefault="002C0FD9" w:rsidP="00CA25CF">
            <w:pPr>
              <w:rPr>
                <w:rFonts w:cs="Arial"/>
                <w:color w:val="FF0000"/>
                <w:sz w:val="21"/>
                <w:szCs w:val="21"/>
              </w:rPr>
            </w:pPr>
          </w:p>
        </w:tc>
        <w:tc>
          <w:tcPr>
            <w:tcW w:w="217" w:type="dxa"/>
          </w:tcPr>
          <w:p w14:paraId="4136AF54" w14:textId="77777777" w:rsidR="002C0FD9" w:rsidRPr="00CA25CF" w:rsidRDefault="002C0FD9" w:rsidP="00CA25CF">
            <w:pPr>
              <w:rPr>
                <w:rFonts w:cs="Arial"/>
                <w:color w:val="FF0000"/>
                <w:sz w:val="21"/>
                <w:szCs w:val="21"/>
              </w:rPr>
            </w:pPr>
          </w:p>
        </w:tc>
        <w:tc>
          <w:tcPr>
            <w:tcW w:w="217" w:type="dxa"/>
          </w:tcPr>
          <w:p w14:paraId="69F0FA10" w14:textId="77777777" w:rsidR="002C0FD9" w:rsidRPr="00CA25CF" w:rsidRDefault="002C0FD9" w:rsidP="00CA25CF">
            <w:pPr>
              <w:rPr>
                <w:rFonts w:cs="Arial"/>
                <w:color w:val="FF0000"/>
                <w:sz w:val="21"/>
                <w:szCs w:val="21"/>
              </w:rPr>
            </w:pPr>
          </w:p>
        </w:tc>
        <w:tc>
          <w:tcPr>
            <w:tcW w:w="217" w:type="dxa"/>
          </w:tcPr>
          <w:p w14:paraId="5CB61BC4" w14:textId="77777777" w:rsidR="002C0FD9" w:rsidRPr="00CA25CF" w:rsidRDefault="002C0FD9" w:rsidP="00CA25CF">
            <w:pPr>
              <w:rPr>
                <w:rFonts w:cs="Arial"/>
                <w:color w:val="FF0000"/>
                <w:sz w:val="21"/>
                <w:szCs w:val="21"/>
              </w:rPr>
            </w:pPr>
          </w:p>
        </w:tc>
        <w:tc>
          <w:tcPr>
            <w:tcW w:w="217" w:type="dxa"/>
          </w:tcPr>
          <w:p w14:paraId="515413E1" w14:textId="77777777" w:rsidR="002C0FD9" w:rsidRPr="00CA25CF" w:rsidRDefault="002C0FD9" w:rsidP="00CA25CF">
            <w:pPr>
              <w:rPr>
                <w:rFonts w:cs="Arial"/>
                <w:color w:val="FF0000"/>
                <w:sz w:val="21"/>
                <w:szCs w:val="21"/>
              </w:rPr>
            </w:pPr>
          </w:p>
        </w:tc>
        <w:tc>
          <w:tcPr>
            <w:tcW w:w="217" w:type="dxa"/>
          </w:tcPr>
          <w:p w14:paraId="218B8B3D" w14:textId="77777777" w:rsidR="002C0FD9" w:rsidRPr="00CA25CF" w:rsidRDefault="002C0FD9" w:rsidP="00CA25CF">
            <w:pPr>
              <w:rPr>
                <w:rFonts w:cs="Arial"/>
                <w:color w:val="FF0000"/>
                <w:sz w:val="21"/>
                <w:szCs w:val="21"/>
              </w:rPr>
            </w:pPr>
          </w:p>
        </w:tc>
      </w:tr>
      <w:tr w:rsidR="002C0FD9" w:rsidRPr="00A16219" w14:paraId="77B514FC" w14:textId="7B5038FA" w:rsidTr="002C0FD9">
        <w:trPr>
          <w:trHeight w:val="635"/>
        </w:trPr>
        <w:tc>
          <w:tcPr>
            <w:tcW w:w="515" w:type="dxa"/>
          </w:tcPr>
          <w:p w14:paraId="3EED218B" w14:textId="77777777" w:rsidR="002C0FD9" w:rsidRPr="00CA25CF" w:rsidRDefault="002C0FD9" w:rsidP="00CA25CF">
            <w:pPr>
              <w:rPr>
                <w:rFonts w:cs="Arial"/>
                <w:color w:val="FF0000"/>
                <w:sz w:val="21"/>
                <w:szCs w:val="21"/>
              </w:rPr>
            </w:pPr>
          </w:p>
        </w:tc>
        <w:tc>
          <w:tcPr>
            <w:tcW w:w="217" w:type="dxa"/>
          </w:tcPr>
          <w:p w14:paraId="040196C3" w14:textId="77777777" w:rsidR="002C0FD9" w:rsidRPr="00CA25CF" w:rsidRDefault="002C0FD9" w:rsidP="00CA25CF">
            <w:pPr>
              <w:rPr>
                <w:rFonts w:cs="Arial"/>
                <w:color w:val="FF0000"/>
                <w:sz w:val="21"/>
                <w:szCs w:val="21"/>
              </w:rPr>
            </w:pPr>
          </w:p>
        </w:tc>
        <w:tc>
          <w:tcPr>
            <w:tcW w:w="217" w:type="dxa"/>
          </w:tcPr>
          <w:p w14:paraId="2A2CAA83" w14:textId="4252F804" w:rsidR="002C0FD9" w:rsidRPr="00CA25CF" w:rsidRDefault="002C0FD9" w:rsidP="00CA25CF">
            <w:pPr>
              <w:rPr>
                <w:rFonts w:cs="Arial"/>
                <w:color w:val="FF0000"/>
                <w:sz w:val="21"/>
                <w:szCs w:val="21"/>
              </w:rPr>
            </w:pPr>
          </w:p>
        </w:tc>
        <w:tc>
          <w:tcPr>
            <w:tcW w:w="217" w:type="dxa"/>
          </w:tcPr>
          <w:p w14:paraId="0E963557" w14:textId="77777777" w:rsidR="002C0FD9" w:rsidRPr="00CA25CF" w:rsidRDefault="002C0FD9" w:rsidP="00CA25CF">
            <w:pPr>
              <w:rPr>
                <w:rFonts w:cs="Arial"/>
                <w:color w:val="FF0000"/>
                <w:sz w:val="21"/>
                <w:szCs w:val="21"/>
              </w:rPr>
            </w:pPr>
          </w:p>
        </w:tc>
        <w:tc>
          <w:tcPr>
            <w:tcW w:w="217" w:type="dxa"/>
          </w:tcPr>
          <w:p w14:paraId="3389049A" w14:textId="77777777" w:rsidR="002C0FD9" w:rsidRPr="00CA25CF" w:rsidRDefault="002C0FD9" w:rsidP="00CA25CF">
            <w:pPr>
              <w:rPr>
                <w:rFonts w:cs="Arial"/>
                <w:color w:val="FF0000"/>
                <w:sz w:val="21"/>
                <w:szCs w:val="21"/>
              </w:rPr>
            </w:pPr>
          </w:p>
        </w:tc>
        <w:tc>
          <w:tcPr>
            <w:tcW w:w="217" w:type="dxa"/>
          </w:tcPr>
          <w:p w14:paraId="2A82520D" w14:textId="77777777" w:rsidR="002C0FD9" w:rsidRPr="00CA25CF" w:rsidRDefault="002C0FD9" w:rsidP="00CA25CF">
            <w:pPr>
              <w:rPr>
                <w:rFonts w:cs="Arial"/>
                <w:color w:val="FF0000"/>
                <w:sz w:val="21"/>
                <w:szCs w:val="21"/>
              </w:rPr>
            </w:pPr>
          </w:p>
        </w:tc>
        <w:tc>
          <w:tcPr>
            <w:tcW w:w="217" w:type="dxa"/>
          </w:tcPr>
          <w:p w14:paraId="649288D9" w14:textId="77777777" w:rsidR="002C0FD9" w:rsidRPr="00CA25CF" w:rsidRDefault="002C0FD9" w:rsidP="00CA25CF">
            <w:pPr>
              <w:rPr>
                <w:rFonts w:cs="Arial"/>
                <w:color w:val="FF0000"/>
                <w:sz w:val="21"/>
                <w:szCs w:val="21"/>
              </w:rPr>
            </w:pPr>
          </w:p>
        </w:tc>
        <w:tc>
          <w:tcPr>
            <w:tcW w:w="217" w:type="dxa"/>
          </w:tcPr>
          <w:p w14:paraId="6498DBA6" w14:textId="77777777" w:rsidR="002C0FD9" w:rsidRPr="00CA25CF" w:rsidRDefault="002C0FD9" w:rsidP="00CA25CF">
            <w:pPr>
              <w:rPr>
                <w:rFonts w:cs="Arial"/>
                <w:color w:val="FF0000"/>
                <w:sz w:val="21"/>
                <w:szCs w:val="21"/>
              </w:rPr>
            </w:pPr>
          </w:p>
        </w:tc>
        <w:tc>
          <w:tcPr>
            <w:tcW w:w="217" w:type="dxa"/>
          </w:tcPr>
          <w:p w14:paraId="572F61F2" w14:textId="77777777" w:rsidR="002C0FD9" w:rsidRPr="00CA25CF" w:rsidRDefault="002C0FD9" w:rsidP="00CA25CF">
            <w:pPr>
              <w:rPr>
                <w:rFonts w:cs="Arial"/>
                <w:color w:val="FF0000"/>
                <w:sz w:val="21"/>
                <w:szCs w:val="21"/>
              </w:rPr>
            </w:pPr>
          </w:p>
        </w:tc>
        <w:tc>
          <w:tcPr>
            <w:tcW w:w="217" w:type="dxa"/>
          </w:tcPr>
          <w:p w14:paraId="4FCD574E" w14:textId="77777777" w:rsidR="002C0FD9" w:rsidRPr="00CA25CF" w:rsidRDefault="002C0FD9" w:rsidP="00CA25CF">
            <w:pPr>
              <w:rPr>
                <w:rFonts w:cs="Arial"/>
                <w:color w:val="FF0000"/>
                <w:sz w:val="21"/>
                <w:szCs w:val="21"/>
              </w:rPr>
            </w:pPr>
          </w:p>
        </w:tc>
        <w:tc>
          <w:tcPr>
            <w:tcW w:w="217" w:type="dxa"/>
          </w:tcPr>
          <w:p w14:paraId="139B35BD" w14:textId="77777777" w:rsidR="002C0FD9" w:rsidRPr="00CA25CF" w:rsidRDefault="002C0FD9" w:rsidP="00CA25CF">
            <w:pPr>
              <w:rPr>
                <w:rFonts w:cs="Arial"/>
                <w:color w:val="FF0000"/>
                <w:sz w:val="21"/>
                <w:szCs w:val="21"/>
              </w:rPr>
            </w:pPr>
          </w:p>
        </w:tc>
        <w:tc>
          <w:tcPr>
            <w:tcW w:w="217" w:type="dxa"/>
          </w:tcPr>
          <w:p w14:paraId="44694470" w14:textId="77777777" w:rsidR="002C0FD9" w:rsidRPr="00CA25CF" w:rsidRDefault="002C0FD9" w:rsidP="00CA25CF">
            <w:pPr>
              <w:rPr>
                <w:rFonts w:cs="Arial"/>
                <w:color w:val="FF0000"/>
                <w:sz w:val="21"/>
                <w:szCs w:val="21"/>
              </w:rPr>
            </w:pPr>
          </w:p>
        </w:tc>
        <w:tc>
          <w:tcPr>
            <w:tcW w:w="217" w:type="dxa"/>
          </w:tcPr>
          <w:p w14:paraId="1573600C" w14:textId="77777777" w:rsidR="002C0FD9" w:rsidRPr="00CA25CF" w:rsidRDefault="002C0FD9" w:rsidP="00CA25CF">
            <w:pPr>
              <w:rPr>
                <w:rFonts w:cs="Arial"/>
                <w:color w:val="FF0000"/>
                <w:sz w:val="21"/>
                <w:szCs w:val="21"/>
              </w:rPr>
            </w:pPr>
          </w:p>
        </w:tc>
        <w:tc>
          <w:tcPr>
            <w:tcW w:w="217" w:type="dxa"/>
          </w:tcPr>
          <w:p w14:paraId="06385A4B" w14:textId="77777777" w:rsidR="002C0FD9" w:rsidRPr="00CA25CF" w:rsidRDefault="002C0FD9" w:rsidP="00CA25CF">
            <w:pPr>
              <w:rPr>
                <w:rFonts w:cs="Arial"/>
                <w:color w:val="FF0000"/>
                <w:sz w:val="21"/>
                <w:szCs w:val="21"/>
              </w:rPr>
            </w:pPr>
          </w:p>
        </w:tc>
        <w:tc>
          <w:tcPr>
            <w:tcW w:w="217" w:type="dxa"/>
          </w:tcPr>
          <w:p w14:paraId="3AECAFFC" w14:textId="77777777" w:rsidR="002C0FD9" w:rsidRPr="00CA25CF" w:rsidRDefault="002C0FD9" w:rsidP="00CA25CF">
            <w:pPr>
              <w:rPr>
                <w:rFonts w:cs="Arial"/>
                <w:color w:val="FF0000"/>
                <w:sz w:val="21"/>
                <w:szCs w:val="21"/>
              </w:rPr>
            </w:pPr>
          </w:p>
        </w:tc>
        <w:tc>
          <w:tcPr>
            <w:tcW w:w="217" w:type="dxa"/>
          </w:tcPr>
          <w:p w14:paraId="25282DFD" w14:textId="77777777" w:rsidR="002C0FD9" w:rsidRPr="00CA25CF" w:rsidRDefault="002C0FD9" w:rsidP="00CA25CF">
            <w:pPr>
              <w:rPr>
                <w:rFonts w:cs="Arial"/>
                <w:color w:val="FF0000"/>
                <w:sz w:val="21"/>
                <w:szCs w:val="21"/>
              </w:rPr>
            </w:pPr>
          </w:p>
        </w:tc>
        <w:tc>
          <w:tcPr>
            <w:tcW w:w="217" w:type="dxa"/>
          </w:tcPr>
          <w:p w14:paraId="11791BC7" w14:textId="77777777" w:rsidR="002C0FD9" w:rsidRPr="00CA25CF" w:rsidRDefault="002C0FD9" w:rsidP="00CA25CF">
            <w:pPr>
              <w:rPr>
                <w:rFonts w:cs="Arial"/>
                <w:color w:val="FF0000"/>
                <w:sz w:val="21"/>
                <w:szCs w:val="21"/>
              </w:rPr>
            </w:pPr>
          </w:p>
        </w:tc>
        <w:tc>
          <w:tcPr>
            <w:tcW w:w="217" w:type="dxa"/>
          </w:tcPr>
          <w:p w14:paraId="6E2B651A" w14:textId="77777777" w:rsidR="002C0FD9" w:rsidRPr="00CA25CF" w:rsidRDefault="002C0FD9" w:rsidP="00CA25CF">
            <w:pPr>
              <w:rPr>
                <w:rFonts w:cs="Arial"/>
                <w:color w:val="FF0000"/>
                <w:sz w:val="21"/>
                <w:szCs w:val="21"/>
              </w:rPr>
            </w:pPr>
          </w:p>
        </w:tc>
        <w:tc>
          <w:tcPr>
            <w:tcW w:w="217" w:type="dxa"/>
          </w:tcPr>
          <w:p w14:paraId="11D27F0C" w14:textId="77777777" w:rsidR="002C0FD9" w:rsidRPr="00CA25CF" w:rsidRDefault="002C0FD9" w:rsidP="00CA25CF">
            <w:pPr>
              <w:rPr>
                <w:rFonts w:cs="Arial"/>
                <w:color w:val="FF0000"/>
                <w:sz w:val="21"/>
                <w:szCs w:val="21"/>
              </w:rPr>
            </w:pPr>
          </w:p>
        </w:tc>
        <w:tc>
          <w:tcPr>
            <w:tcW w:w="217" w:type="dxa"/>
          </w:tcPr>
          <w:p w14:paraId="5360B8B7" w14:textId="77777777" w:rsidR="002C0FD9" w:rsidRPr="00CA25CF" w:rsidRDefault="002C0FD9" w:rsidP="00CA25CF">
            <w:pPr>
              <w:rPr>
                <w:rFonts w:cs="Arial"/>
                <w:color w:val="FF0000"/>
                <w:sz w:val="21"/>
                <w:szCs w:val="21"/>
              </w:rPr>
            </w:pPr>
          </w:p>
        </w:tc>
        <w:tc>
          <w:tcPr>
            <w:tcW w:w="217" w:type="dxa"/>
          </w:tcPr>
          <w:p w14:paraId="409B17A7" w14:textId="77777777" w:rsidR="002C0FD9" w:rsidRPr="00CA25CF" w:rsidRDefault="002C0FD9" w:rsidP="00CA25CF">
            <w:pPr>
              <w:rPr>
                <w:rFonts w:cs="Arial"/>
                <w:color w:val="FF0000"/>
                <w:sz w:val="21"/>
                <w:szCs w:val="21"/>
              </w:rPr>
            </w:pPr>
          </w:p>
        </w:tc>
        <w:tc>
          <w:tcPr>
            <w:tcW w:w="217" w:type="dxa"/>
          </w:tcPr>
          <w:p w14:paraId="18E72CF9" w14:textId="77777777" w:rsidR="002C0FD9" w:rsidRPr="00CA25CF" w:rsidRDefault="002C0FD9" w:rsidP="00CA25CF">
            <w:pPr>
              <w:rPr>
                <w:rFonts w:cs="Arial"/>
                <w:color w:val="FF0000"/>
                <w:sz w:val="21"/>
                <w:szCs w:val="21"/>
              </w:rPr>
            </w:pPr>
          </w:p>
        </w:tc>
        <w:tc>
          <w:tcPr>
            <w:tcW w:w="217" w:type="dxa"/>
          </w:tcPr>
          <w:p w14:paraId="4FA6D1DF" w14:textId="77777777" w:rsidR="002C0FD9" w:rsidRPr="00CA25CF" w:rsidRDefault="002C0FD9" w:rsidP="00CA25CF">
            <w:pPr>
              <w:rPr>
                <w:rFonts w:cs="Arial"/>
                <w:color w:val="FF0000"/>
                <w:sz w:val="21"/>
                <w:szCs w:val="21"/>
              </w:rPr>
            </w:pPr>
          </w:p>
        </w:tc>
        <w:tc>
          <w:tcPr>
            <w:tcW w:w="217" w:type="dxa"/>
          </w:tcPr>
          <w:p w14:paraId="4DCE2603" w14:textId="77777777" w:rsidR="002C0FD9" w:rsidRPr="00CA25CF" w:rsidRDefault="002C0FD9" w:rsidP="00CA25CF">
            <w:pPr>
              <w:rPr>
                <w:rFonts w:cs="Arial"/>
                <w:color w:val="FF0000"/>
                <w:sz w:val="21"/>
                <w:szCs w:val="21"/>
              </w:rPr>
            </w:pPr>
          </w:p>
        </w:tc>
        <w:tc>
          <w:tcPr>
            <w:tcW w:w="217" w:type="dxa"/>
          </w:tcPr>
          <w:p w14:paraId="78951E4C" w14:textId="77777777" w:rsidR="002C0FD9" w:rsidRPr="00CA25CF" w:rsidRDefault="002C0FD9" w:rsidP="00CA25CF">
            <w:pPr>
              <w:rPr>
                <w:rFonts w:cs="Arial"/>
                <w:color w:val="FF0000"/>
                <w:sz w:val="21"/>
                <w:szCs w:val="21"/>
              </w:rPr>
            </w:pPr>
          </w:p>
        </w:tc>
        <w:tc>
          <w:tcPr>
            <w:tcW w:w="217" w:type="dxa"/>
          </w:tcPr>
          <w:p w14:paraId="0BB84851" w14:textId="77777777" w:rsidR="002C0FD9" w:rsidRPr="00CA25CF" w:rsidRDefault="002C0FD9" w:rsidP="00CA25CF">
            <w:pPr>
              <w:rPr>
                <w:rFonts w:cs="Arial"/>
                <w:color w:val="FF0000"/>
                <w:sz w:val="21"/>
                <w:szCs w:val="21"/>
              </w:rPr>
            </w:pPr>
          </w:p>
        </w:tc>
        <w:tc>
          <w:tcPr>
            <w:tcW w:w="217" w:type="dxa"/>
          </w:tcPr>
          <w:p w14:paraId="37BB04E6" w14:textId="77777777" w:rsidR="002C0FD9" w:rsidRPr="00CA25CF" w:rsidRDefault="002C0FD9" w:rsidP="00CA25CF">
            <w:pPr>
              <w:rPr>
                <w:rFonts w:cs="Arial"/>
                <w:color w:val="FF0000"/>
                <w:sz w:val="21"/>
                <w:szCs w:val="21"/>
              </w:rPr>
            </w:pPr>
          </w:p>
        </w:tc>
        <w:tc>
          <w:tcPr>
            <w:tcW w:w="217" w:type="dxa"/>
          </w:tcPr>
          <w:p w14:paraId="1CB7AB3F" w14:textId="77777777" w:rsidR="002C0FD9" w:rsidRPr="00CA25CF" w:rsidRDefault="002C0FD9" w:rsidP="00CA25CF">
            <w:pPr>
              <w:rPr>
                <w:rFonts w:cs="Arial"/>
                <w:color w:val="FF0000"/>
                <w:sz w:val="21"/>
                <w:szCs w:val="21"/>
              </w:rPr>
            </w:pPr>
          </w:p>
        </w:tc>
        <w:tc>
          <w:tcPr>
            <w:tcW w:w="217" w:type="dxa"/>
          </w:tcPr>
          <w:p w14:paraId="4D31527F" w14:textId="77777777" w:rsidR="002C0FD9" w:rsidRPr="00CA25CF" w:rsidRDefault="002C0FD9" w:rsidP="00CA25CF">
            <w:pPr>
              <w:rPr>
                <w:rFonts w:cs="Arial"/>
                <w:color w:val="FF0000"/>
                <w:sz w:val="21"/>
                <w:szCs w:val="21"/>
              </w:rPr>
            </w:pPr>
          </w:p>
        </w:tc>
        <w:tc>
          <w:tcPr>
            <w:tcW w:w="217" w:type="dxa"/>
          </w:tcPr>
          <w:p w14:paraId="7836BE54" w14:textId="77777777" w:rsidR="002C0FD9" w:rsidRPr="00CA25CF" w:rsidRDefault="002C0FD9" w:rsidP="00CA25CF">
            <w:pPr>
              <w:rPr>
                <w:rFonts w:cs="Arial"/>
                <w:color w:val="FF0000"/>
                <w:sz w:val="21"/>
                <w:szCs w:val="21"/>
              </w:rPr>
            </w:pPr>
          </w:p>
        </w:tc>
        <w:tc>
          <w:tcPr>
            <w:tcW w:w="217" w:type="dxa"/>
          </w:tcPr>
          <w:p w14:paraId="6730A7CE" w14:textId="77777777" w:rsidR="002C0FD9" w:rsidRPr="00CA25CF" w:rsidRDefault="002C0FD9" w:rsidP="00CA25CF">
            <w:pPr>
              <w:rPr>
                <w:rFonts w:cs="Arial"/>
                <w:color w:val="FF0000"/>
                <w:sz w:val="21"/>
                <w:szCs w:val="21"/>
              </w:rPr>
            </w:pPr>
          </w:p>
        </w:tc>
        <w:tc>
          <w:tcPr>
            <w:tcW w:w="217" w:type="dxa"/>
          </w:tcPr>
          <w:p w14:paraId="50A27D73" w14:textId="77777777" w:rsidR="002C0FD9" w:rsidRPr="00CA25CF" w:rsidRDefault="002C0FD9" w:rsidP="00CA25CF">
            <w:pPr>
              <w:rPr>
                <w:rFonts w:cs="Arial"/>
                <w:color w:val="FF0000"/>
                <w:sz w:val="21"/>
                <w:szCs w:val="21"/>
              </w:rPr>
            </w:pPr>
          </w:p>
        </w:tc>
        <w:tc>
          <w:tcPr>
            <w:tcW w:w="217" w:type="dxa"/>
          </w:tcPr>
          <w:p w14:paraId="04B38909" w14:textId="77777777" w:rsidR="002C0FD9" w:rsidRPr="00CA25CF" w:rsidRDefault="002C0FD9" w:rsidP="00CA25CF">
            <w:pPr>
              <w:rPr>
                <w:rFonts w:cs="Arial"/>
                <w:color w:val="FF0000"/>
                <w:sz w:val="21"/>
                <w:szCs w:val="21"/>
              </w:rPr>
            </w:pPr>
          </w:p>
        </w:tc>
        <w:tc>
          <w:tcPr>
            <w:tcW w:w="217" w:type="dxa"/>
          </w:tcPr>
          <w:p w14:paraId="769CD317" w14:textId="77777777" w:rsidR="002C0FD9" w:rsidRPr="00CA25CF" w:rsidRDefault="002C0FD9" w:rsidP="00CA25CF">
            <w:pPr>
              <w:rPr>
                <w:rFonts w:cs="Arial"/>
                <w:color w:val="FF0000"/>
                <w:sz w:val="21"/>
                <w:szCs w:val="21"/>
              </w:rPr>
            </w:pPr>
          </w:p>
        </w:tc>
        <w:tc>
          <w:tcPr>
            <w:tcW w:w="217" w:type="dxa"/>
          </w:tcPr>
          <w:p w14:paraId="795B1BBA" w14:textId="77777777" w:rsidR="002C0FD9" w:rsidRPr="00CA25CF" w:rsidRDefault="002C0FD9" w:rsidP="00CA25CF">
            <w:pPr>
              <w:rPr>
                <w:rFonts w:cs="Arial"/>
                <w:color w:val="FF0000"/>
                <w:sz w:val="21"/>
                <w:szCs w:val="21"/>
              </w:rPr>
            </w:pPr>
          </w:p>
        </w:tc>
        <w:tc>
          <w:tcPr>
            <w:tcW w:w="217" w:type="dxa"/>
          </w:tcPr>
          <w:p w14:paraId="3743B0DF" w14:textId="77777777" w:rsidR="002C0FD9" w:rsidRPr="00CA25CF" w:rsidRDefault="002C0FD9" w:rsidP="00CA25CF">
            <w:pPr>
              <w:rPr>
                <w:rFonts w:cs="Arial"/>
                <w:color w:val="FF0000"/>
                <w:sz w:val="21"/>
                <w:szCs w:val="21"/>
              </w:rPr>
            </w:pPr>
          </w:p>
        </w:tc>
        <w:tc>
          <w:tcPr>
            <w:tcW w:w="217" w:type="dxa"/>
          </w:tcPr>
          <w:p w14:paraId="3AE5300E" w14:textId="77777777" w:rsidR="002C0FD9" w:rsidRPr="00CA25CF" w:rsidRDefault="002C0FD9" w:rsidP="00CA25CF">
            <w:pPr>
              <w:rPr>
                <w:rFonts w:cs="Arial"/>
                <w:color w:val="FF0000"/>
                <w:sz w:val="21"/>
                <w:szCs w:val="21"/>
              </w:rPr>
            </w:pPr>
          </w:p>
        </w:tc>
        <w:tc>
          <w:tcPr>
            <w:tcW w:w="217" w:type="dxa"/>
          </w:tcPr>
          <w:p w14:paraId="05716926" w14:textId="77777777" w:rsidR="002C0FD9" w:rsidRPr="00CA25CF" w:rsidRDefault="002C0FD9" w:rsidP="00CA25CF">
            <w:pPr>
              <w:rPr>
                <w:rFonts w:cs="Arial"/>
                <w:color w:val="FF0000"/>
                <w:sz w:val="21"/>
                <w:szCs w:val="21"/>
              </w:rPr>
            </w:pPr>
          </w:p>
        </w:tc>
        <w:tc>
          <w:tcPr>
            <w:tcW w:w="217" w:type="dxa"/>
          </w:tcPr>
          <w:p w14:paraId="6ADB8508" w14:textId="77777777" w:rsidR="002C0FD9" w:rsidRPr="00CA25CF" w:rsidRDefault="002C0FD9" w:rsidP="00CA25CF">
            <w:pPr>
              <w:rPr>
                <w:rFonts w:cs="Arial"/>
                <w:color w:val="FF0000"/>
                <w:sz w:val="21"/>
                <w:szCs w:val="21"/>
              </w:rPr>
            </w:pPr>
          </w:p>
        </w:tc>
        <w:tc>
          <w:tcPr>
            <w:tcW w:w="217" w:type="dxa"/>
          </w:tcPr>
          <w:p w14:paraId="028B86E3" w14:textId="77777777" w:rsidR="002C0FD9" w:rsidRPr="00CA25CF" w:rsidRDefault="002C0FD9" w:rsidP="00CA25CF">
            <w:pPr>
              <w:rPr>
                <w:rFonts w:cs="Arial"/>
                <w:color w:val="FF0000"/>
                <w:sz w:val="21"/>
                <w:szCs w:val="21"/>
              </w:rPr>
            </w:pPr>
          </w:p>
        </w:tc>
        <w:tc>
          <w:tcPr>
            <w:tcW w:w="217" w:type="dxa"/>
          </w:tcPr>
          <w:p w14:paraId="3DC2530F" w14:textId="77777777" w:rsidR="002C0FD9" w:rsidRPr="00CA25CF" w:rsidRDefault="002C0FD9" w:rsidP="00CA25CF">
            <w:pPr>
              <w:rPr>
                <w:rFonts w:cs="Arial"/>
                <w:color w:val="FF0000"/>
                <w:sz w:val="21"/>
                <w:szCs w:val="21"/>
              </w:rPr>
            </w:pPr>
          </w:p>
        </w:tc>
        <w:tc>
          <w:tcPr>
            <w:tcW w:w="217" w:type="dxa"/>
          </w:tcPr>
          <w:p w14:paraId="62F940D0" w14:textId="77777777" w:rsidR="002C0FD9" w:rsidRPr="00CA25CF" w:rsidRDefault="002C0FD9" w:rsidP="00CA25CF">
            <w:pPr>
              <w:rPr>
                <w:rFonts w:cs="Arial"/>
                <w:color w:val="FF0000"/>
                <w:sz w:val="21"/>
                <w:szCs w:val="21"/>
              </w:rPr>
            </w:pPr>
          </w:p>
        </w:tc>
        <w:tc>
          <w:tcPr>
            <w:tcW w:w="217" w:type="dxa"/>
          </w:tcPr>
          <w:p w14:paraId="0F385EA8" w14:textId="77777777" w:rsidR="002C0FD9" w:rsidRPr="00CA25CF" w:rsidRDefault="002C0FD9" w:rsidP="00CA25CF">
            <w:pPr>
              <w:rPr>
                <w:rFonts w:cs="Arial"/>
                <w:color w:val="FF0000"/>
                <w:sz w:val="21"/>
                <w:szCs w:val="21"/>
              </w:rPr>
            </w:pPr>
          </w:p>
        </w:tc>
      </w:tr>
      <w:tr w:rsidR="002C0FD9" w:rsidRPr="00A16219" w14:paraId="4A13C346" w14:textId="77D9A2F1" w:rsidTr="002C0FD9">
        <w:trPr>
          <w:trHeight w:val="635"/>
        </w:trPr>
        <w:tc>
          <w:tcPr>
            <w:tcW w:w="515" w:type="dxa"/>
          </w:tcPr>
          <w:p w14:paraId="78F30127" w14:textId="77777777" w:rsidR="002C0FD9" w:rsidRPr="00CA25CF" w:rsidRDefault="002C0FD9" w:rsidP="00CA25CF">
            <w:pPr>
              <w:rPr>
                <w:rFonts w:cs="Arial"/>
                <w:color w:val="FF0000"/>
                <w:sz w:val="21"/>
                <w:szCs w:val="21"/>
              </w:rPr>
            </w:pPr>
          </w:p>
        </w:tc>
        <w:tc>
          <w:tcPr>
            <w:tcW w:w="217" w:type="dxa"/>
          </w:tcPr>
          <w:p w14:paraId="11A2EB76" w14:textId="77777777" w:rsidR="002C0FD9" w:rsidRPr="00CA25CF" w:rsidRDefault="002C0FD9" w:rsidP="00CA25CF">
            <w:pPr>
              <w:rPr>
                <w:rFonts w:cs="Arial"/>
                <w:color w:val="FF0000"/>
                <w:sz w:val="21"/>
                <w:szCs w:val="21"/>
              </w:rPr>
            </w:pPr>
          </w:p>
        </w:tc>
        <w:tc>
          <w:tcPr>
            <w:tcW w:w="217" w:type="dxa"/>
          </w:tcPr>
          <w:p w14:paraId="1D802DE1" w14:textId="6A747B16" w:rsidR="002C0FD9" w:rsidRPr="00CA25CF" w:rsidRDefault="002C0FD9" w:rsidP="00CA25CF">
            <w:pPr>
              <w:rPr>
                <w:rFonts w:cs="Arial"/>
                <w:color w:val="FF0000"/>
                <w:sz w:val="21"/>
                <w:szCs w:val="21"/>
              </w:rPr>
            </w:pPr>
          </w:p>
        </w:tc>
        <w:tc>
          <w:tcPr>
            <w:tcW w:w="217" w:type="dxa"/>
          </w:tcPr>
          <w:p w14:paraId="596CDC31" w14:textId="77777777" w:rsidR="002C0FD9" w:rsidRPr="00CA25CF" w:rsidRDefault="002C0FD9" w:rsidP="00CA25CF">
            <w:pPr>
              <w:rPr>
                <w:rFonts w:cs="Arial"/>
                <w:color w:val="FF0000"/>
                <w:sz w:val="21"/>
                <w:szCs w:val="21"/>
              </w:rPr>
            </w:pPr>
          </w:p>
        </w:tc>
        <w:tc>
          <w:tcPr>
            <w:tcW w:w="217" w:type="dxa"/>
          </w:tcPr>
          <w:p w14:paraId="40481A45" w14:textId="77777777" w:rsidR="002C0FD9" w:rsidRPr="00CA25CF" w:rsidRDefault="002C0FD9" w:rsidP="00CA25CF">
            <w:pPr>
              <w:rPr>
                <w:rFonts w:cs="Arial"/>
                <w:color w:val="FF0000"/>
                <w:sz w:val="21"/>
                <w:szCs w:val="21"/>
              </w:rPr>
            </w:pPr>
          </w:p>
        </w:tc>
        <w:tc>
          <w:tcPr>
            <w:tcW w:w="217" w:type="dxa"/>
          </w:tcPr>
          <w:p w14:paraId="29249412" w14:textId="77777777" w:rsidR="002C0FD9" w:rsidRPr="00CA25CF" w:rsidRDefault="002C0FD9" w:rsidP="00CA25CF">
            <w:pPr>
              <w:rPr>
                <w:rFonts w:cs="Arial"/>
                <w:color w:val="FF0000"/>
                <w:sz w:val="21"/>
                <w:szCs w:val="21"/>
              </w:rPr>
            </w:pPr>
          </w:p>
        </w:tc>
        <w:tc>
          <w:tcPr>
            <w:tcW w:w="217" w:type="dxa"/>
          </w:tcPr>
          <w:p w14:paraId="7B51498E" w14:textId="77777777" w:rsidR="002C0FD9" w:rsidRPr="00CA25CF" w:rsidRDefault="002C0FD9" w:rsidP="00CA25CF">
            <w:pPr>
              <w:rPr>
                <w:rFonts w:cs="Arial"/>
                <w:color w:val="FF0000"/>
                <w:sz w:val="21"/>
                <w:szCs w:val="21"/>
              </w:rPr>
            </w:pPr>
          </w:p>
        </w:tc>
        <w:tc>
          <w:tcPr>
            <w:tcW w:w="217" w:type="dxa"/>
          </w:tcPr>
          <w:p w14:paraId="787FD6AD" w14:textId="77777777" w:rsidR="002C0FD9" w:rsidRPr="00CA25CF" w:rsidRDefault="002C0FD9" w:rsidP="00CA25CF">
            <w:pPr>
              <w:rPr>
                <w:rFonts w:cs="Arial"/>
                <w:color w:val="FF0000"/>
                <w:sz w:val="21"/>
                <w:szCs w:val="21"/>
              </w:rPr>
            </w:pPr>
          </w:p>
        </w:tc>
        <w:tc>
          <w:tcPr>
            <w:tcW w:w="217" w:type="dxa"/>
          </w:tcPr>
          <w:p w14:paraId="5B5BA20F" w14:textId="77777777" w:rsidR="002C0FD9" w:rsidRPr="00CA25CF" w:rsidRDefault="002C0FD9" w:rsidP="00CA25CF">
            <w:pPr>
              <w:rPr>
                <w:rFonts w:cs="Arial"/>
                <w:color w:val="FF0000"/>
                <w:sz w:val="21"/>
                <w:szCs w:val="21"/>
              </w:rPr>
            </w:pPr>
          </w:p>
        </w:tc>
        <w:tc>
          <w:tcPr>
            <w:tcW w:w="217" w:type="dxa"/>
          </w:tcPr>
          <w:p w14:paraId="6564F2FD" w14:textId="77777777" w:rsidR="002C0FD9" w:rsidRPr="00CA25CF" w:rsidRDefault="002C0FD9" w:rsidP="00CA25CF">
            <w:pPr>
              <w:rPr>
                <w:rFonts w:cs="Arial"/>
                <w:color w:val="FF0000"/>
                <w:sz w:val="21"/>
                <w:szCs w:val="21"/>
              </w:rPr>
            </w:pPr>
          </w:p>
        </w:tc>
        <w:tc>
          <w:tcPr>
            <w:tcW w:w="217" w:type="dxa"/>
          </w:tcPr>
          <w:p w14:paraId="6CCAB012" w14:textId="77777777" w:rsidR="002C0FD9" w:rsidRPr="00CA25CF" w:rsidRDefault="002C0FD9" w:rsidP="00CA25CF">
            <w:pPr>
              <w:rPr>
                <w:rFonts w:cs="Arial"/>
                <w:color w:val="FF0000"/>
                <w:sz w:val="21"/>
                <w:szCs w:val="21"/>
              </w:rPr>
            </w:pPr>
          </w:p>
        </w:tc>
        <w:tc>
          <w:tcPr>
            <w:tcW w:w="217" w:type="dxa"/>
          </w:tcPr>
          <w:p w14:paraId="36D18C6A" w14:textId="77777777" w:rsidR="002C0FD9" w:rsidRPr="00CA25CF" w:rsidRDefault="002C0FD9" w:rsidP="00CA25CF">
            <w:pPr>
              <w:rPr>
                <w:rFonts w:cs="Arial"/>
                <w:color w:val="FF0000"/>
                <w:sz w:val="21"/>
                <w:szCs w:val="21"/>
              </w:rPr>
            </w:pPr>
          </w:p>
        </w:tc>
        <w:tc>
          <w:tcPr>
            <w:tcW w:w="217" w:type="dxa"/>
          </w:tcPr>
          <w:p w14:paraId="20048B50" w14:textId="77777777" w:rsidR="002C0FD9" w:rsidRPr="00CA25CF" w:rsidRDefault="002C0FD9" w:rsidP="00CA25CF">
            <w:pPr>
              <w:rPr>
                <w:rFonts w:cs="Arial"/>
                <w:color w:val="FF0000"/>
                <w:sz w:val="21"/>
                <w:szCs w:val="21"/>
              </w:rPr>
            </w:pPr>
          </w:p>
        </w:tc>
        <w:tc>
          <w:tcPr>
            <w:tcW w:w="217" w:type="dxa"/>
          </w:tcPr>
          <w:p w14:paraId="69613681" w14:textId="77777777" w:rsidR="002C0FD9" w:rsidRPr="00CA25CF" w:rsidRDefault="002C0FD9" w:rsidP="00CA25CF">
            <w:pPr>
              <w:rPr>
                <w:rFonts w:cs="Arial"/>
                <w:color w:val="FF0000"/>
                <w:sz w:val="21"/>
                <w:szCs w:val="21"/>
              </w:rPr>
            </w:pPr>
          </w:p>
        </w:tc>
        <w:tc>
          <w:tcPr>
            <w:tcW w:w="217" w:type="dxa"/>
          </w:tcPr>
          <w:p w14:paraId="5174E6C7" w14:textId="77777777" w:rsidR="002C0FD9" w:rsidRPr="00CA25CF" w:rsidRDefault="002C0FD9" w:rsidP="00CA25CF">
            <w:pPr>
              <w:rPr>
                <w:rFonts w:cs="Arial"/>
                <w:color w:val="FF0000"/>
                <w:sz w:val="21"/>
                <w:szCs w:val="21"/>
              </w:rPr>
            </w:pPr>
          </w:p>
        </w:tc>
        <w:tc>
          <w:tcPr>
            <w:tcW w:w="217" w:type="dxa"/>
          </w:tcPr>
          <w:p w14:paraId="0CC63A0F" w14:textId="77777777" w:rsidR="002C0FD9" w:rsidRPr="00CA25CF" w:rsidRDefault="002C0FD9" w:rsidP="00CA25CF">
            <w:pPr>
              <w:rPr>
                <w:rFonts w:cs="Arial"/>
                <w:color w:val="FF0000"/>
                <w:sz w:val="21"/>
                <w:szCs w:val="21"/>
              </w:rPr>
            </w:pPr>
          </w:p>
        </w:tc>
        <w:tc>
          <w:tcPr>
            <w:tcW w:w="217" w:type="dxa"/>
          </w:tcPr>
          <w:p w14:paraId="2BAE1C27" w14:textId="77777777" w:rsidR="002C0FD9" w:rsidRPr="00CA25CF" w:rsidRDefault="002C0FD9" w:rsidP="00CA25CF">
            <w:pPr>
              <w:rPr>
                <w:rFonts w:cs="Arial"/>
                <w:color w:val="FF0000"/>
                <w:sz w:val="21"/>
                <w:szCs w:val="21"/>
              </w:rPr>
            </w:pPr>
          </w:p>
        </w:tc>
        <w:tc>
          <w:tcPr>
            <w:tcW w:w="217" w:type="dxa"/>
          </w:tcPr>
          <w:p w14:paraId="517AE1AE" w14:textId="77777777" w:rsidR="002C0FD9" w:rsidRPr="00CA25CF" w:rsidRDefault="002C0FD9" w:rsidP="00CA25CF">
            <w:pPr>
              <w:rPr>
                <w:rFonts w:cs="Arial"/>
                <w:color w:val="FF0000"/>
                <w:sz w:val="21"/>
                <w:szCs w:val="21"/>
              </w:rPr>
            </w:pPr>
          </w:p>
        </w:tc>
        <w:tc>
          <w:tcPr>
            <w:tcW w:w="217" w:type="dxa"/>
          </w:tcPr>
          <w:p w14:paraId="72309E0F" w14:textId="77777777" w:rsidR="002C0FD9" w:rsidRPr="00CA25CF" w:rsidRDefault="002C0FD9" w:rsidP="00CA25CF">
            <w:pPr>
              <w:rPr>
                <w:rFonts w:cs="Arial"/>
                <w:color w:val="FF0000"/>
                <w:sz w:val="21"/>
                <w:szCs w:val="21"/>
              </w:rPr>
            </w:pPr>
          </w:p>
        </w:tc>
        <w:tc>
          <w:tcPr>
            <w:tcW w:w="217" w:type="dxa"/>
          </w:tcPr>
          <w:p w14:paraId="4E2C9B16" w14:textId="77777777" w:rsidR="002C0FD9" w:rsidRPr="00CA25CF" w:rsidRDefault="002C0FD9" w:rsidP="00CA25CF">
            <w:pPr>
              <w:rPr>
                <w:rFonts w:cs="Arial"/>
                <w:color w:val="FF0000"/>
                <w:sz w:val="21"/>
                <w:szCs w:val="21"/>
              </w:rPr>
            </w:pPr>
          </w:p>
        </w:tc>
        <w:tc>
          <w:tcPr>
            <w:tcW w:w="217" w:type="dxa"/>
          </w:tcPr>
          <w:p w14:paraId="20467B94" w14:textId="77777777" w:rsidR="002C0FD9" w:rsidRPr="00CA25CF" w:rsidRDefault="002C0FD9" w:rsidP="00CA25CF">
            <w:pPr>
              <w:rPr>
                <w:rFonts w:cs="Arial"/>
                <w:color w:val="FF0000"/>
                <w:sz w:val="21"/>
                <w:szCs w:val="21"/>
              </w:rPr>
            </w:pPr>
          </w:p>
        </w:tc>
        <w:tc>
          <w:tcPr>
            <w:tcW w:w="217" w:type="dxa"/>
          </w:tcPr>
          <w:p w14:paraId="4AFF9569" w14:textId="77777777" w:rsidR="002C0FD9" w:rsidRPr="00CA25CF" w:rsidRDefault="002C0FD9" w:rsidP="00CA25CF">
            <w:pPr>
              <w:rPr>
                <w:rFonts w:cs="Arial"/>
                <w:color w:val="FF0000"/>
                <w:sz w:val="21"/>
                <w:szCs w:val="21"/>
              </w:rPr>
            </w:pPr>
          </w:p>
        </w:tc>
        <w:tc>
          <w:tcPr>
            <w:tcW w:w="217" w:type="dxa"/>
          </w:tcPr>
          <w:p w14:paraId="734CF79A" w14:textId="77777777" w:rsidR="002C0FD9" w:rsidRPr="00CA25CF" w:rsidRDefault="002C0FD9" w:rsidP="00CA25CF">
            <w:pPr>
              <w:rPr>
                <w:rFonts w:cs="Arial"/>
                <w:color w:val="FF0000"/>
                <w:sz w:val="21"/>
                <w:szCs w:val="21"/>
              </w:rPr>
            </w:pPr>
          </w:p>
        </w:tc>
        <w:tc>
          <w:tcPr>
            <w:tcW w:w="217" w:type="dxa"/>
          </w:tcPr>
          <w:p w14:paraId="6AC3B91E" w14:textId="77777777" w:rsidR="002C0FD9" w:rsidRPr="00CA25CF" w:rsidRDefault="002C0FD9" w:rsidP="00CA25CF">
            <w:pPr>
              <w:rPr>
                <w:rFonts w:cs="Arial"/>
                <w:color w:val="FF0000"/>
                <w:sz w:val="21"/>
                <w:szCs w:val="21"/>
              </w:rPr>
            </w:pPr>
          </w:p>
        </w:tc>
        <w:tc>
          <w:tcPr>
            <w:tcW w:w="217" w:type="dxa"/>
          </w:tcPr>
          <w:p w14:paraId="71A19C92" w14:textId="77777777" w:rsidR="002C0FD9" w:rsidRPr="00CA25CF" w:rsidRDefault="002C0FD9" w:rsidP="00CA25CF">
            <w:pPr>
              <w:rPr>
                <w:rFonts w:cs="Arial"/>
                <w:color w:val="FF0000"/>
                <w:sz w:val="21"/>
                <w:szCs w:val="21"/>
              </w:rPr>
            </w:pPr>
          </w:p>
        </w:tc>
        <w:tc>
          <w:tcPr>
            <w:tcW w:w="217" w:type="dxa"/>
          </w:tcPr>
          <w:p w14:paraId="600083B9" w14:textId="77777777" w:rsidR="002C0FD9" w:rsidRPr="00CA25CF" w:rsidRDefault="002C0FD9" w:rsidP="00CA25CF">
            <w:pPr>
              <w:rPr>
                <w:rFonts w:cs="Arial"/>
                <w:color w:val="FF0000"/>
                <w:sz w:val="21"/>
                <w:szCs w:val="21"/>
              </w:rPr>
            </w:pPr>
          </w:p>
        </w:tc>
        <w:tc>
          <w:tcPr>
            <w:tcW w:w="217" w:type="dxa"/>
          </w:tcPr>
          <w:p w14:paraId="0ECA459F" w14:textId="77777777" w:rsidR="002C0FD9" w:rsidRPr="00CA25CF" w:rsidRDefault="002C0FD9" w:rsidP="00CA25CF">
            <w:pPr>
              <w:rPr>
                <w:rFonts w:cs="Arial"/>
                <w:color w:val="FF0000"/>
                <w:sz w:val="21"/>
                <w:szCs w:val="21"/>
              </w:rPr>
            </w:pPr>
          </w:p>
        </w:tc>
        <w:tc>
          <w:tcPr>
            <w:tcW w:w="217" w:type="dxa"/>
          </w:tcPr>
          <w:p w14:paraId="00DDB072" w14:textId="77777777" w:rsidR="002C0FD9" w:rsidRPr="00CA25CF" w:rsidRDefault="002C0FD9" w:rsidP="00CA25CF">
            <w:pPr>
              <w:rPr>
                <w:rFonts w:cs="Arial"/>
                <w:color w:val="FF0000"/>
                <w:sz w:val="21"/>
                <w:szCs w:val="21"/>
              </w:rPr>
            </w:pPr>
          </w:p>
        </w:tc>
        <w:tc>
          <w:tcPr>
            <w:tcW w:w="217" w:type="dxa"/>
          </w:tcPr>
          <w:p w14:paraId="53C6A40F" w14:textId="77777777" w:rsidR="002C0FD9" w:rsidRPr="00CA25CF" w:rsidRDefault="002C0FD9" w:rsidP="00CA25CF">
            <w:pPr>
              <w:rPr>
                <w:rFonts w:cs="Arial"/>
                <w:color w:val="FF0000"/>
                <w:sz w:val="21"/>
                <w:szCs w:val="21"/>
              </w:rPr>
            </w:pPr>
          </w:p>
        </w:tc>
        <w:tc>
          <w:tcPr>
            <w:tcW w:w="217" w:type="dxa"/>
          </w:tcPr>
          <w:p w14:paraId="0690B875" w14:textId="77777777" w:rsidR="002C0FD9" w:rsidRPr="00CA25CF" w:rsidRDefault="002C0FD9" w:rsidP="00CA25CF">
            <w:pPr>
              <w:rPr>
                <w:rFonts w:cs="Arial"/>
                <w:color w:val="FF0000"/>
                <w:sz w:val="21"/>
                <w:szCs w:val="21"/>
              </w:rPr>
            </w:pPr>
          </w:p>
        </w:tc>
        <w:tc>
          <w:tcPr>
            <w:tcW w:w="217" w:type="dxa"/>
          </w:tcPr>
          <w:p w14:paraId="790119BF" w14:textId="77777777" w:rsidR="002C0FD9" w:rsidRPr="00CA25CF" w:rsidRDefault="002C0FD9" w:rsidP="00CA25CF">
            <w:pPr>
              <w:rPr>
                <w:rFonts w:cs="Arial"/>
                <w:color w:val="FF0000"/>
                <w:sz w:val="21"/>
                <w:szCs w:val="21"/>
              </w:rPr>
            </w:pPr>
          </w:p>
        </w:tc>
        <w:tc>
          <w:tcPr>
            <w:tcW w:w="217" w:type="dxa"/>
          </w:tcPr>
          <w:p w14:paraId="3A45ABE6" w14:textId="77777777" w:rsidR="002C0FD9" w:rsidRPr="00CA25CF" w:rsidRDefault="002C0FD9" w:rsidP="00CA25CF">
            <w:pPr>
              <w:rPr>
                <w:rFonts w:cs="Arial"/>
                <w:color w:val="FF0000"/>
                <w:sz w:val="21"/>
                <w:szCs w:val="21"/>
              </w:rPr>
            </w:pPr>
          </w:p>
        </w:tc>
        <w:tc>
          <w:tcPr>
            <w:tcW w:w="217" w:type="dxa"/>
          </w:tcPr>
          <w:p w14:paraId="1DE0659B" w14:textId="77777777" w:rsidR="002C0FD9" w:rsidRPr="00CA25CF" w:rsidRDefault="002C0FD9" w:rsidP="00CA25CF">
            <w:pPr>
              <w:rPr>
                <w:rFonts w:cs="Arial"/>
                <w:color w:val="FF0000"/>
                <w:sz w:val="21"/>
                <w:szCs w:val="21"/>
              </w:rPr>
            </w:pPr>
          </w:p>
        </w:tc>
        <w:tc>
          <w:tcPr>
            <w:tcW w:w="217" w:type="dxa"/>
          </w:tcPr>
          <w:p w14:paraId="44A6B6FC" w14:textId="77777777" w:rsidR="002C0FD9" w:rsidRPr="00CA25CF" w:rsidRDefault="002C0FD9" w:rsidP="00CA25CF">
            <w:pPr>
              <w:rPr>
                <w:rFonts w:cs="Arial"/>
                <w:color w:val="FF0000"/>
                <w:sz w:val="21"/>
                <w:szCs w:val="21"/>
              </w:rPr>
            </w:pPr>
          </w:p>
        </w:tc>
        <w:tc>
          <w:tcPr>
            <w:tcW w:w="217" w:type="dxa"/>
          </w:tcPr>
          <w:p w14:paraId="4AC6CCEB" w14:textId="77777777" w:rsidR="002C0FD9" w:rsidRPr="00CA25CF" w:rsidRDefault="002C0FD9" w:rsidP="00CA25CF">
            <w:pPr>
              <w:rPr>
                <w:rFonts w:cs="Arial"/>
                <w:color w:val="FF0000"/>
                <w:sz w:val="21"/>
                <w:szCs w:val="21"/>
              </w:rPr>
            </w:pPr>
          </w:p>
        </w:tc>
        <w:tc>
          <w:tcPr>
            <w:tcW w:w="217" w:type="dxa"/>
          </w:tcPr>
          <w:p w14:paraId="47B03860" w14:textId="77777777" w:rsidR="002C0FD9" w:rsidRPr="00CA25CF" w:rsidRDefault="002C0FD9" w:rsidP="00CA25CF">
            <w:pPr>
              <w:rPr>
                <w:rFonts w:cs="Arial"/>
                <w:color w:val="FF0000"/>
                <w:sz w:val="21"/>
                <w:szCs w:val="21"/>
              </w:rPr>
            </w:pPr>
          </w:p>
        </w:tc>
        <w:tc>
          <w:tcPr>
            <w:tcW w:w="217" w:type="dxa"/>
          </w:tcPr>
          <w:p w14:paraId="4E6F8F05" w14:textId="77777777" w:rsidR="002C0FD9" w:rsidRPr="00CA25CF" w:rsidRDefault="002C0FD9" w:rsidP="00CA25CF">
            <w:pPr>
              <w:rPr>
                <w:rFonts w:cs="Arial"/>
                <w:color w:val="FF0000"/>
                <w:sz w:val="21"/>
                <w:szCs w:val="21"/>
              </w:rPr>
            </w:pPr>
          </w:p>
        </w:tc>
        <w:tc>
          <w:tcPr>
            <w:tcW w:w="217" w:type="dxa"/>
          </w:tcPr>
          <w:p w14:paraId="28CE8BFC" w14:textId="77777777" w:rsidR="002C0FD9" w:rsidRPr="00CA25CF" w:rsidRDefault="002C0FD9" w:rsidP="00CA25CF">
            <w:pPr>
              <w:rPr>
                <w:rFonts w:cs="Arial"/>
                <w:color w:val="FF0000"/>
                <w:sz w:val="21"/>
                <w:szCs w:val="21"/>
              </w:rPr>
            </w:pPr>
          </w:p>
        </w:tc>
        <w:tc>
          <w:tcPr>
            <w:tcW w:w="217" w:type="dxa"/>
          </w:tcPr>
          <w:p w14:paraId="16DCFBDF" w14:textId="77777777" w:rsidR="002C0FD9" w:rsidRPr="00CA25CF" w:rsidRDefault="002C0FD9" w:rsidP="00CA25CF">
            <w:pPr>
              <w:rPr>
                <w:rFonts w:cs="Arial"/>
                <w:color w:val="FF0000"/>
                <w:sz w:val="21"/>
                <w:szCs w:val="21"/>
              </w:rPr>
            </w:pPr>
          </w:p>
        </w:tc>
        <w:tc>
          <w:tcPr>
            <w:tcW w:w="217" w:type="dxa"/>
          </w:tcPr>
          <w:p w14:paraId="36B74BC4" w14:textId="77777777" w:rsidR="002C0FD9" w:rsidRPr="00CA25CF" w:rsidRDefault="002C0FD9" w:rsidP="00CA25CF">
            <w:pPr>
              <w:rPr>
                <w:rFonts w:cs="Arial"/>
                <w:color w:val="FF0000"/>
                <w:sz w:val="21"/>
                <w:szCs w:val="21"/>
              </w:rPr>
            </w:pPr>
          </w:p>
        </w:tc>
        <w:tc>
          <w:tcPr>
            <w:tcW w:w="217" w:type="dxa"/>
          </w:tcPr>
          <w:p w14:paraId="30E2690F" w14:textId="77777777" w:rsidR="002C0FD9" w:rsidRPr="00CA25CF" w:rsidRDefault="002C0FD9" w:rsidP="00CA25CF">
            <w:pPr>
              <w:rPr>
                <w:rFonts w:cs="Arial"/>
                <w:color w:val="FF0000"/>
                <w:sz w:val="21"/>
                <w:szCs w:val="21"/>
              </w:rPr>
            </w:pPr>
          </w:p>
        </w:tc>
        <w:tc>
          <w:tcPr>
            <w:tcW w:w="217" w:type="dxa"/>
          </w:tcPr>
          <w:p w14:paraId="78E52988" w14:textId="77777777" w:rsidR="002C0FD9" w:rsidRPr="00CA25CF" w:rsidRDefault="002C0FD9" w:rsidP="00CA25CF">
            <w:pPr>
              <w:rPr>
                <w:rFonts w:cs="Arial"/>
                <w:color w:val="FF0000"/>
                <w:sz w:val="21"/>
                <w:szCs w:val="21"/>
              </w:rPr>
            </w:pPr>
          </w:p>
        </w:tc>
        <w:tc>
          <w:tcPr>
            <w:tcW w:w="217" w:type="dxa"/>
          </w:tcPr>
          <w:p w14:paraId="0A773262" w14:textId="77777777" w:rsidR="002C0FD9" w:rsidRPr="00CA25CF" w:rsidRDefault="002C0FD9" w:rsidP="00CA25CF">
            <w:pPr>
              <w:rPr>
                <w:rFonts w:cs="Arial"/>
                <w:color w:val="FF0000"/>
                <w:sz w:val="21"/>
                <w:szCs w:val="21"/>
              </w:rPr>
            </w:pPr>
          </w:p>
        </w:tc>
      </w:tr>
      <w:tr w:rsidR="002C0FD9" w:rsidRPr="00A16219" w14:paraId="4BEA15F9" w14:textId="30094FCB" w:rsidTr="002C0FD9">
        <w:trPr>
          <w:trHeight w:val="635"/>
        </w:trPr>
        <w:tc>
          <w:tcPr>
            <w:tcW w:w="515" w:type="dxa"/>
          </w:tcPr>
          <w:p w14:paraId="73371E02" w14:textId="77777777" w:rsidR="002C0FD9" w:rsidRPr="00CA25CF" w:rsidRDefault="002C0FD9" w:rsidP="00CA25CF">
            <w:pPr>
              <w:rPr>
                <w:rFonts w:cs="Arial"/>
                <w:color w:val="FF0000"/>
                <w:sz w:val="21"/>
                <w:szCs w:val="21"/>
              </w:rPr>
            </w:pPr>
          </w:p>
        </w:tc>
        <w:tc>
          <w:tcPr>
            <w:tcW w:w="217" w:type="dxa"/>
          </w:tcPr>
          <w:p w14:paraId="58C3D507" w14:textId="77777777" w:rsidR="002C0FD9" w:rsidRPr="00CA25CF" w:rsidRDefault="002C0FD9" w:rsidP="00CA25CF">
            <w:pPr>
              <w:rPr>
                <w:rFonts w:cs="Arial"/>
                <w:color w:val="FF0000"/>
                <w:sz w:val="21"/>
                <w:szCs w:val="21"/>
              </w:rPr>
            </w:pPr>
          </w:p>
        </w:tc>
        <w:tc>
          <w:tcPr>
            <w:tcW w:w="217" w:type="dxa"/>
          </w:tcPr>
          <w:p w14:paraId="24871ACE" w14:textId="303768FF" w:rsidR="002C0FD9" w:rsidRPr="00CA25CF" w:rsidRDefault="002C0FD9" w:rsidP="00CA25CF">
            <w:pPr>
              <w:rPr>
                <w:rFonts w:cs="Arial"/>
                <w:color w:val="FF0000"/>
                <w:sz w:val="21"/>
                <w:szCs w:val="21"/>
              </w:rPr>
            </w:pPr>
          </w:p>
        </w:tc>
        <w:tc>
          <w:tcPr>
            <w:tcW w:w="217" w:type="dxa"/>
          </w:tcPr>
          <w:p w14:paraId="6E1C0FD9" w14:textId="77777777" w:rsidR="002C0FD9" w:rsidRPr="00CA25CF" w:rsidRDefault="002C0FD9" w:rsidP="00CA25CF">
            <w:pPr>
              <w:rPr>
                <w:rFonts w:cs="Arial"/>
                <w:color w:val="FF0000"/>
                <w:sz w:val="21"/>
                <w:szCs w:val="21"/>
              </w:rPr>
            </w:pPr>
          </w:p>
        </w:tc>
        <w:tc>
          <w:tcPr>
            <w:tcW w:w="217" w:type="dxa"/>
          </w:tcPr>
          <w:p w14:paraId="4598EED1" w14:textId="77777777" w:rsidR="002C0FD9" w:rsidRPr="00CA25CF" w:rsidRDefault="002C0FD9" w:rsidP="00CA25CF">
            <w:pPr>
              <w:rPr>
                <w:rFonts w:cs="Arial"/>
                <w:color w:val="FF0000"/>
                <w:sz w:val="21"/>
                <w:szCs w:val="21"/>
              </w:rPr>
            </w:pPr>
          </w:p>
        </w:tc>
        <w:tc>
          <w:tcPr>
            <w:tcW w:w="217" w:type="dxa"/>
          </w:tcPr>
          <w:p w14:paraId="170EB2DA" w14:textId="77777777" w:rsidR="002C0FD9" w:rsidRPr="00CA25CF" w:rsidRDefault="002C0FD9" w:rsidP="00CA25CF">
            <w:pPr>
              <w:rPr>
                <w:rFonts w:cs="Arial"/>
                <w:color w:val="FF0000"/>
                <w:sz w:val="21"/>
                <w:szCs w:val="21"/>
              </w:rPr>
            </w:pPr>
          </w:p>
        </w:tc>
        <w:tc>
          <w:tcPr>
            <w:tcW w:w="217" w:type="dxa"/>
          </w:tcPr>
          <w:p w14:paraId="29F01064" w14:textId="77777777" w:rsidR="002C0FD9" w:rsidRPr="00CA25CF" w:rsidRDefault="002C0FD9" w:rsidP="00CA25CF">
            <w:pPr>
              <w:rPr>
                <w:rFonts w:cs="Arial"/>
                <w:color w:val="FF0000"/>
                <w:sz w:val="21"/>
                <w:szCs w:val="21"/>
              </w:rPr>
            </w:pPr>
          </w:p>
        </w:tc>
        <w:tc>
          <w:tcPr>
            <w:tcW w:w="217" w:type="dxa"/>
          </w:tcPr>
          <w:p w14:paraId="79B192D5" w14:textId="77777777" w:rsidR="002C0FD9" w:rsidRPr="00CA25CF" w:rsidRDefault="002C0FD9" w:rsidP="00CA25CF">
            <w:pPr>
              <w:rPr>
                <w:rFonts w:cs="Arial"/>
                <w:color w:val="FF0000"/>
                <w:sz w:val="21"/>
                <w:szCs w:val="21"/>
              </w:rPr>
            </w:pPr>
          </w:p>
        </w:tc>
        <w:tc>
          <w:tcPr>
            <w:tcW w:w="217" w:type="dxa"/>
          </w:tcPr>
          <w:p w14:paraId="2C5AF2A9" w14:textId="77777777" w:rsidR="002C0FD9" w:rsidRPr="00CA25CF" w:rsidRDefault="002C0FD9" w:rsidP="00CA25CF">
            <w:pPr>
              <w:rPr>
                <w:rFonts w:cs="Arial"/>
                <w:color w:val="FF0000"/>
                <w:sz w:val="21"/>
                <w:szCs w:val="21"/>
              </w:rPr>
            </w:pPr>
          </w:p>
        </w:tc>
        <w:tc>
          <w:tcPr>
            <w:tcW w:w="217" w:type="dxa"/>
          </w:tcPr>
          <w:p w14:paraId="381C0BD8" w14:textId="77777777" w:rsidR="002C0FD9" w:rsidRPr="00CA25CF" w:rsidRDefault="002C0FD9" w:rsidP="00CA25CF">
            <w:pPr>
              <w:rPr>
                <w:rFonts w:cs="Arial"/>
                <w:color w:val="FF0000"/>
                <w:sz w:val="21"/>
                <w:szCs w:val="21"/>
              </w:rPr>
            </w:pPr>
          </w:p>
        </w:tc>
        <w:tc>
          <w:tcPr>
            <w:tcW w:w="217" w:type="dxa"/>
          </w:tcPr>
          <w:p w14:paraId="26FF3E21" w14:textId="77777777" w:rsidR="002C0FD9" w:rsidRPr="00CA25CF" w:rsidRDefault="002C0FD9" w:rsidP="00CA25CF">
            <w:pPr>
              <w:rPr>
                <w:rFonts w:cs="Arial"/>
                <w:color w:val="FF0000"/>
                <w:sz w:val="21"/>
                <w:szCs w:val="21"/>
              </w:rPr>
            </w:pPr>
          </w:p>
        </w:tc>
        <w:tc>
          <w:tcPr>
            <w:tcW w:w="217" w:type="dxa"/>
          </w:tcPr>
          <w:p w14:paraId="28FF379B" w14:textId="77777777" w:rsidR="002C0FD9" w:rsidRPr="00CA25CF" w:rsidRDefault="002C0FD9" w:rsidP="00CA25CF">
            <w:pPr>
              <w:rPr>
                <w:rFonts w:cs="Arial"/>
                <w:color w:val="FF0000"/>
                <w:sz w:val="21"/>
                <w:szCs w:val="21"/>
              </w:rPr>
            </w:pPr>
          </w:p>
        </w:tc>
        <w:tc>
          <w:tcPr>
            <w:tcW w:w="217" w:type="dxa"/>
          </w:tcPr>
          <w:p w14:paraId="6204F0F3" w14:textId="77777777" w:rsidR="002C0FD9" w:rsidRPr="00CA25CF" w:rsidRDefault="002C0FD9" w:rsidP="00CA25CF">
            <w:pPr>
              <w:rPr>
                <w:rFonts w:cs="Arial"/>
                <w:color w:val="FF0000"/>
                <w:sz w:val="21"/>
                <w:szCs w:val="21"/>
              </w:rPr>
            </w:pPr>
          </w:p>
        </w:tc>
        <w:tc>
          <w:tcPr>
            <w:tcW w:w="217" w:type="dxa"/>
          </w:tcPr>
          <w:p w14:paraId="729C8A98" w14:textId="77777777" w:rsidR="002C0FD9" w:rsidRPr="00CA25CF" w:rsidRDefault="002C0FD9" w:rsidP="00CA25CF">
            <w:pPr>
              <w:rPr>
                <w:rFonts w:cs="Arial"/>
                <w:color w:val="FF0000"/>
                <w:sz w:val="21"/>
                <w:szCs w:val="21"/>
              </w:rPr>
            </w:pPr>
          </w:p>
        </w:tc>
        <w:tc>
          <w:tcPr>
            <w:tcW w:w="217" w:type="dxa"/>
          </w:tcPr>
          <w:p w14:paraId="7A7DCDC5" w14:textId="77777777" w:rsidR="002C0FD9" w:rsidRPr="00CA25CF" w:rsidRDefault="002C0FD9" w:rsidP="00CA25CF">
            <w:pPr>
              <w:rPr>
                <w:rFonts w:cs="Arial"/>
                <w:color w:val="FF0000"/>
                <w:sz w:val="21"/>
                <w:szCs w:val="21"/>
              </w:rPr>
            </w:pPr>
          </w:p>
        </w:tc>
        <w:tc>
          <w:tcPr>
            <w:tcW w:w="217" w:type="dxa"/>
          </w:tcPr>
          <w:p w14:paraId="474BF5A1" w14:textId="77777777" w:rsidR="002C0FD9" w:rsidRPr="00CA25CF" w:rsidRDefault="002C0FD9" w:rsidP="00CA25CF">
            <w:pPr>
              <w:rPr>
                <w:rFonts w:cs="Arial"/>
                <w:color w:val="FF0000"/>
                <w:sz w:val="21"/>
                <w:szCs w:val="21"/>
              </w:rPr>
            </w:pPr>
          </w:p>
        </w:tc>
        <w:tc>
          <w:tcPr>
            <w:tcW w:w="217" w:type="dxa"/>
          </w:tcPr>
          <w:p w14:paraId="481AED17" w14:textId="77777777" w:rsidR="002C0FD9" w:rsidRPr="00CA25CF" w:rsidRDefault="002C0FD9" w:rsidP="00CA25CF">
            <w:pPr>
              <w:rPr>
                <w:rFonts w:cs="Arial"/>
                <w:color w:val="FF0000"/>
                <w:sz w:val="21"/>
                <w:szCs w:val="21"/>
              </w:rPr>
            </w:pPr>
          </w:p>
        </w:tc>
        <w:tc>
          <w:tcPr>
            <w:tcW w:w="217" w:type="dxa"/>
          </w:tcPr>
          <w:p w14:paraId="4C066FC2" w14:textId="77777777" w:rsidR="002C0FD9" w:rsidRPr="00CA25CF" w:rsidRDefault="002C0FD9" w:rsidP="00CA25CF">
            <w:pPr>
              <w:rPr>
                <w:rFonts w:cs="Arial"/>
                <w:color w:val="FF0000"/>
                <w:sz w:val="21"/>
                <w:szCs w:val="21"/>
              </w:rPr>
            </w:pPr>
          </w:p>
        </w:tc>
        <w:tc>
          <w:tcPr>
            <w:tcW w:w="217" w:type="dxa"/>
          </w:tcPr>
          <w:p w14:paraId="2DFA4E9A" w14:textId="77777777" w:rsidR="002C0FD9" w:rsidRPr="00CA25CF" w:rsidRDefault="002C0FD9" w:rsidP="00CA25CF">
            <w:pPr>
              <w:rPr>
                <w:rFonts w:cs="Arial"/>
                <w:color w:val="FF0000"/>
                <w:sz w:val="21"/>
                <w:szCs w:val="21"/>
              </w:rPr>
            </w:pPr>
          </w:p>
        </w:tc>
        <w:tc>
          <w:tcPr>
            <w:tcW w:w="217" w:type="dxa"/>
          </w:tcPr>
          <w:p w14:paraId="76A63DB6" w14:textId="77777777" w:rsidR="002C0FD9" w:rsidRPr="00CA25CF" w:rsidRDefault="002C0FD9" w:rsidP="00CA25CF">
            <w:pPr>
              <w:rPr>
                <w:rFonts w:cs="Arial"/>
                <w:color w:val="FF0000"/>
                <w:sz w:val="21"/>
                <w:szCs w:val="21"/>
              </w:rPr>
            </w:pPr>
          </w:p>
        </w:tc>
        <w:tc>
          <w:tcPr>
            <w:tcW w:w="217" w:type="dxa"/>
          </w:tcPr>
          <w:p w14:paraId="629A722A" w14:textId="77777777" w:rsidR="002C0FD9" w:rsidRPr="00CA25CF" w:rsidRDefault="002C0FD9" w:rsidP="00CA25CF">
            <w:pPr>
              <w:rPr>
                <w:rFonts w:cs="Arial"/>
                <w:color w:val="FF0000"/>
                <w:sz w:val="21"/>
                <w:szCs w:val="21"/>
              </w:rPr>
            </w:pPr>
          </w:p>
        </w:tc>
        <w:tc>
          <w:tcPr>
            <w:tcW w:w="217" w:type="dxa"/>
          </w:tcPr>
          <w:p w14:paraId="5A1AA99F" w14:textId="77777777" w:rsidR="002C0FD9" w:rsidRPr="00CA25CF" w:rsidRDefault="002C0FD9" w:rsidP="00CA25CF">
            <w:pPr>
              <w:rPr>
                <w:rFonts w:cs="Arial"/>
                <w:color w:val="FF0000"/>
                <w:sz w:val="21"/>
                <w:szCs w:val="21"/>
              </w:rPr>
            </w:pPr>
          </w:p>
        </w:tc>
        <w:tc>
          <w:tcPr>
            <w:tcW w:w="217" w:type="dxa"/>
          </w:tcPr>
          <w:p w14:paraId="7046E2A1" w14:textId="77777777" w:rsidR="002C0FD9" w:rsidRPr="00CA25CF" w:rsidRDefault="002C0FD9" w:rsidP="00CA25CF">
            <w:pPr>
              <w:rPr>
                <w:rFonts w:cs="Arial"/>
                <w:color w:val="FF0000"/>
                <w:sz w:val="21"/>
                <w:szCs w:val="21"/>
              </w:rPr>
            </w:pPr>
          </w:p>
        </w:tc>
        <w:tc>
          <w:tcPr>
            <w:tcW w:w="217" w:type="dxa"/>
          </w:tcPr>
          <w:p w14:paraId="6A712A0E" w14:textId="77777777" w:rsidR="002C0FD9" w:rsidRPr="00CA25CF" w:rsidRDefault="002C0FD9" w:rsidP="00CA25CF">
            <w:pPr>
              <w:rPr>
                <w:rFonts w:cs="Arial"/>
                <w:color w:val="FF0000"/>
                <w:sz w:val="21"/>
                <w:szCs w:val="21"/>
              </w:rPr>
            </w:pPr>
          </w:p>
        </w:tc>
        <w:tc>
          <w:tcPr>
            <w:tcW w:w="217" w:type="dxa"/>
          </w:tcPr>
          <w:p w14:paraId="126746C3" w14:textId="77777777" w:rsidR="002C0FD9" w:rsidRPr="00CA25CF" w:rsidRDefault="002C0FD9" w:rsidP="00CA25CF">
            <w:pPr>
              <w:rPr>
                <w:rFonts w:cs="Arial"/>
                <w:color w:val="FF0000"/>
                <w:sz w:val="21"/>
                <w:szCs w:val="21"/>
              </w:rPr>
            </w:pPr>
          </w:p>
        </w:tc>
        <w:tc>
          <w:tcPr>
            <w:tcW w:w="217" w:type="dxa"/>
          </w:tcPr>
          <w:p w14:paraId="1F125AFE" w14:textId="77777777" w:rsidR="002C0FD9" w:rsidRPr="00CA25CF" w:rsidRDefault="002C0FD9" w:rsidP="00CA25CF">
            <w:pPr>
              <w:rPr>
                <w:rFonts w:cs="Arial"/>
                <w:color w:val="FF0000"/>
                <w:sz w:val="21"/>
                <w:szCs w:val="21"/>
              </w:rPr>
            </w:pPr>
          </w:p>
        </w:tc>
        <w:tc>
          <w:tcPr>
            <w:tcW w:w="217" w:type="dxa"/>
          </w:tcPr>
          <w:p w14:paraId="1E3985F0" w14:textId="77777777" w:rsidR="002C0FD9" w:rsidRPr="00CA25CF" w:rsidRDefault="002C0FD9" w:rsidP="00CA25CF">
            <w:pPr>
              <w:rPr>
                <w:rFonts w:cs="Arial"/>
                <w:color w:val="FF0000"/>
                <w:sz w:val="21"/>
                <w:szCs w:val="21"/>
              </w:rPr>
            </w:pPr>
          </w:p>
        </w:tc>
        <w:tc>
          <w:tcPr>
            <w:tcW w:w="217" w:type="dxa"/>
          </w:tcPr>
          <w:p w14:paraId="1FD3FC7D" w14:textId="77777777" w:rsidR="002C0FD9" w:rsidRPr="00CA25CF" w:rsidRDefault="002C0FD9" w:rsidP="00CA25CF">
            <w:pPr>
              <w:rPr>
                <w:rFonts w:cs="Arial"/>
                <w:color w:val="FF0000"/>
                <w:sz w:val="21"/>
                <w:szCs w:val="21"/>
              </w:rPr>
            </w:pPr>
          </w:p>
        </w:tc>
        <w:tc>
          <w:tcPr>
            <w:tcW w:w="217" w:type="dxa"/>
          </w:tcPr>
          <w:p w14:paraId="228A1902" w14:textId="77777777" w:rsidR="002C0FD9" w:rsidRPr="00CA25CF" w:rsidRDefault="002C0FD9" w:rsidP="00CA25CF">
            <w:pPr>
              <w:rPr>
                <w:rFonts w:cs="Arial"/>
                <w:color w:val="FF0000"/>
                <w:sz w:val="21"/>
                <w:szCs w:val="21"/>
              </w:rPr>
            </w:pPr>
          </w:p>
        </w:tc>
        <w:tc>
          <w:tcPr>
            <w:tcW w:w="217" w:type="dxa"/>
          </w:tcPr>
          <w:p w14:paraId="26EE3426" w14:textId="77777777" w:rsidR="002C0FD9" w:rsidRPr="00CA25CF" w:rsidRDefault="002C0FD9" w:rsidP="00CA25CF">
            <w:pPr>
              <w:rPr>
                <w:rFonts w:cs="Arial"/>
                <w:color w:val="FF0000"/>
                <w:sz w:val="21"/>
                <w:szCs w:val="21"/>
              </w:rPr>
            </w:pPr>
          </w:p>
        </w:tc>
        <w:tc>
          <w:tcPr>
            <w:tcW w:w="217" w:type="dxa"/>
          </w:tcPr>
          <w:p w14:paraId="1B536827" w14:textId="77777777" w:rsidR="002C0FD9" w:rsidRPr="00CA25CF" w:rsidRDefault="002C0FD9" w:rsidP="00CA25CF">
            <w:pPr>
              <w:rPr>
                <w:rFonts w:cs="Arial"/>
                <w:color w:val="FF0000"/>
                <w:sz w:val="21"/>
                <w:szCs w:val="21"/>
              </w:rPr>
            </w:pPr>
          </w:p>
        </w:tc>
        <w:tc>
          <w:tcPr>
            <w:tcW w:w="217" w:type="dxa"/>
          </w:tcPr>
          <w:p w14:paraId="69CF6B8B" w14:textId="77777777" w:rsidR="002C0FD9" w:rsidRPr="00CA25CF" w:rsidRDefault="002C0FD9" w:rsidP="00CA25CF">
            <w:pPr>
              <w:rPr>
                <w:rFonts w:cs="Arial"/>
                <w:color w:val="FF0000"/>
                <w:sz w:val="21"/>
                <w:szCs w:val="21"/>
              </w:rPr>
            </w:pPr>
          </w:p>
        </w:tc>
        <w:tc>
          <w:tcPr>
            <w:tcW w:w="217" w:type="dxa"/>
          </w:tcPr>
          <w:p w14:paraId="555DA95B" w14:textId="77777777" w:rsidR="002C0FD9" w:rsidRPr="00CA25CF" w:rsidRDefault="002C0FD9" w:rsidP="00CA25CF">
            <w:pPr>
              <w:rPr>
                <w:rFonts w:cs="Arial"/>
                <w:color w:val="FF0000"/>
                <w:sz w:val="21"/>
                <w:szCs w:val="21"/>
              </w:rPr>
            </w:pPr>
          </w:p>
        </w:tc>
        <w:tc>
          <w:tcPr>
            <w:tcW w:w="217" w:type="dxa"/>
          </w:tcPr>
          <w:p w14:paraId="0536FD8D" w14:textId="77777777" w:rsidR="002C0FD9" w:rsidRPr="00CA25CF" w:rsidRDefault="002C0FD9" w:rsidP="00CA25CF">
            <w:pPr>
              <w:rPr>
                <w:rFonts w:cs="Arial"/>
                <w:color w:val="FF0000"/>
                <w:sz w:val="21"/>
                <w:szCs w:val="21"/>
              </w:rPr>
            </w:pPr>
          </w:p>
        </w:tc>
        <w:tc>
          <w:tcPr>
            <w:tcW w:w="217" w:type="dxa"/>
          </w:tcPr>
          <w:p w14:paraId="29A9B682" w14:textId="77777777" w:rsidR="002C0FD9" w:rsidRPr="00CA25CF" w:rsidRDefault="002C0FD9" w:rsidP="00CA25CF">
            <w:pPr>
              <w:rPr>
                <w:rFonts w:cs="Arial"/>
                <w:color w:val="FF0000"/>
                <w:sz w:val="21"/>
                <w:szCs w:val="21"/>
              </w:rPr>
            </w:pPr>
          </w:p>
        </w:tc>
        <w:tc>
          <w:tcPr>
            <w:tcW w:w="217" w:type="dxa"/>
          </w:tcPr>
          <w:p w14:paraId="6ECB5A1D" w14:textId="77777777" w:rsidR="002C0FD9" w:rsidRPr="00CA25CF" w:rsidRDefault="002C0FD9" w:rsidP="00CA25CF">
            <w:pPr>
              <w:rPr>
                <w:rFonts w:cs="Arial"/>
                <w:color w:val="FF0000"/>
                <w:sz w:val="21"/>
                <w:szCs w:val="21"/>
              </w:rPr>
            </w:pPr>
          </w:p>
        </w:tc>
        <w:tc>
          <w:tcPr>
            <w:tcW w:w="217" w:type="dxa"/>
          </w:tcPr>
          <w:p w14:paraId="0A4CEFEB" w14:textId="77777777" w:rsidR="002C0FD9" w:rsidRPr="00CA25CF" w:rsidRDefault="002C0FD9" w:rsidP="00CA25CF">
            <w:pPr>
              <w:rPr>
                <w:rFonts w:cs="Arial"/>
                <w:color w:val="FF0000"/>
                <w:sz w:val="21"/>
                <w:szCs w:val="21"/>
              </w:rPr>
            </w:pPr>
          </w:p>
        </w:tc>
        <w:tc>
          <w:tcPr>
            <w:tcW w:w="217" w:type="dxa"/>
          </w:tcPr>
          <w:p w14:paraId="449CB4B5" w14:textId="77777777" w:rsidR="002C0FD9" w:rsidRPr="00CA25CF" w:rsidRDefault="002C0FD9" w:rsidP="00CA25CF">
            <w:pPr>
              <w:rPr>
                <w:rFonts w:cs="Arial"/>
                <w:color w:val="FF0000"/>
                <w:sz w:val="21"/>
                <w:szCs w:val="21"/>
              </w:rPr>
            </w:pPr>
          </w:p>
        </w:tc>
        <w:tc>
          <w:tcPr>
            <w:tcW w:w="217" w:type="dxa"/>
          </w:tcPr>
          <w:p w14:paraId="4ACD4F48" w14:textId="77777777" w:rsidR="002C0FD9" w:rsidRPr="00CA25CF" w:rsidRDefault="002C0FD9" w:rsidP="00CA25CF">
            <w:pPr>
              <w:rPr>
                <w:rFonts w:cs="Arial"/>
                <w:color w:val="FF0000"/>
                <w:sz w:val="21"/>
                <w:szCs w:val="21"/>
              </w:rPr>
            </w:pPr>
          </w:p>
        </w:tc>
        <w:tc>
          <w:tcPr>
            <w:tcW w:w="217" w:type="dxa"/>
          </w:tcPr>
          <w:p w14:paraId="41675A98" w14:textId="77777777" w:rsidR="002C0FD9" w:rsidRPr="00CA25CF" w:rsidRDefault="002C0FD9" w:rsidP="00CA25CF">
            <w:pPr>
              <w:rPr>
                <w:rFonts w:cs="Arial"/>
                <w:color w:val="FF0000"/>
                <w:sz w:val="21"/>
                <w:szCs w:val="21"/>
              </w:rPr>
            </w:pPr>
          </w:p>
        </w:tc>
        <w:tc>
          <w:tcPr>
            <w:tcW w:w="217" w:type="dxa"/>
          </w:tcPr>
          <w:p w14:paraId="350B401A" w14:textId="77777777" w:rsidR="002C0FD9" w:rsidRPr="00CA25CF" w:rsidRDefault="002C0FD9" w:rsidP="00CA25CF">
            <w:pPr>
              <w:rPr>
                <w:rFonts w:cs="Arial"/>
                <w:color w:val="FF0000"/>
                <w:sz w:val="21"/>
                <w:szCs w:val="21"/>
              </w:rPr>
            </w:pPr>
          </w:p>
        </w:tc>
        <w:tc>
          <w:tcPr>
            <w:tcW w:w="217" w:type="dxa"/>
          </w:tcPr>
          <w:p w14:paraId="0BA6F8D8" w14:textId="77777777" w:rsidR="002C0FD9" w:rsidRPr="00CA25CF" w:rsidRDefault="002C0FD9" w:rsidP="00CA25CF">
            <w:pPr>
              <w:rPr>
                <w:rFonts w:cs="Arial"/>
                <w:color w:val="FF0000"/>
                <w:sz w:val="21"/>
                <w:szCs w:val="21"/>
              </w:rPr>
            </w:pPr>
          </w:p>
        </w:tc>
        <w:tc>
          <w:tcPr>
            <w:tcW w:w="217" w:type="dxa"/>
          </w:tcPr>
          <w:p w14:paraId="1FA53051" w14:textId="77777777" w:rsidR="002C0FD9" w:rsidRPr="00CA25CF" w:rsidRDefault="002C0FD9" w:rsidP="00CA25CF">
            <w:pPr>
              <w:rPr>
                <w:rFonts w:cs="Arial"/>
                <w:color w:val="FF0000"/>
                <w:sz w:val="21"/>
                <w:szCs w:val="21"/>
              </w:rPr>
            </w:pPr>
          </w:p>
        </w:tc>
      </w:tr>
      <w:tr w:rsidR="002C0FD9" w:rsidRPr="00A16219" w14:paraId="19927246" w14:textId="7FF8BE8F" w:rsidTr="002C0FD9">
        <w:trPr>
          <w:trHeight w:val="635"/>
        </w:trPr>
        <w:tc>
          <w:tcPr>
            <w:tcW w:w="515" w:type="dxa"/>
          </w:tcPr>
          <w:p w14:paraId="6E59C9CC" w14:textId="77777777" w:rsidR="002C0FD9" w:rsidRPr="00CA25CF" w:rsidRDefault="002C0FD9" w:rsidP="00CA25CF">
            <w:pPr>
              <w:rPr>
                <w:rFonts w:cs="Arial"/>
                <w:color w:val="FF0000"/>
                <w:sz w:val="21"/>
                <w:szCs w:val="21"/>
              </w:rPr>
            </w:pPr>
          </w:p>
        </w:tc>
        <w:tc>
          <w:tcPr>
            <w:tcW w:w="217" w:type="dxa"/>
          </w:tcPr>
          <w:p w14:paraId="6FAD4D32" w14:textId="77777777" w:rsidR="002C0FD9" w:rsidRPr="00CA25CF" w:rsidRDefault="002C0FD9" w:rsidP="00CA25CF">
            <w:pPr>
              <w:rPr>
                <w:rFonts w:cs="Arial"/>
                <w:color w:val="FF0000"/>
                <w:sz w:val="21"/>
                <w:szCs w:val="21"/>
              </w:rPr>
            </w:pPr>
          </w:p>
        </w:tc>
        <w:tc>
          <w:tcPr>
            <w:tcW w:w="217" w:type="dxa"/>
          </w:tcPr>
          <w:p w14:paraId="059F76DF" w14:textId="1FF75CBC" w:rsidR="002C0FD9" w:rsidRPr="00CA25CF" w:rsidRDefault="002C0FD9" w:rsidP="00CA25CF">
            <w:pPr>
              <w:rPr>
                <w:rFonts w:cs="Arial"/>
                <w:color w:val="FF0000"/>
                <w:sz w:val="21"/>
                <w:szCs w:val="21"/>
              </w:rPr>
            </w:pPr>
          </w:p>
        </w:tc>
        <w:tc>
          <w:tcPr>
            <w:tcW w:w="217" w:type="dxa"/>
          </w:tcPr>
          <w:p w14:paraId="51A001BB" w14:textId="77777777" w:rsidR="002C0FD9" w:rsidRPr="00CA25CF" w:rsidRDefault="002C0FD9" w:rsidP="00CA25CF">
            <w:pPr>
              <w:rPr>
                <w:rFonts w:cs="Arial"/>
                <w:color w:val="FF0000"/>
                <w:sz w:val="21"/>
                <w:szCs w:val="21"/>
              </w:rPr>
            </w:pPr>
          </w:p>
        </w:tc>
        <w:tc>
          <w:tcPr>
            <w:tcW w:w="217" w:type="dxa"/>
          </w:tcPr>
          <w:p w14:paraId="026F5009" w14:textId="77777777" w:rsidR="002C0FD9" w:rsidRPr="00CA25CF" w:rsidRDefault="002C0FD9" w:rsidP="00CA25CF">
            <w:pPr>
              <w:rPr>
                <w:rFonts w:cs="Arial"/>
                <w:color w:val="FF0000"/>
                <w:sz w:val="21"/>
                <w:szCs w:val="21"/>
              </w:rPr>
            </w:pPr>
          </w:p>
        </w:tc>
        <w:tc>
          <w:tcPr>
            <w:tcW w:w="217" w:type="dxa"/>
          </w:tcPr>
          <w:p w14:paraId="035E085E" w14:textId="77777777" w:rsidR="002C0FD9" w:rsidRPr="00CA25CF" w:rsidRDefault="002C0FD9" w:rsidP="00CA25CF">
            <w:pPr>
              <w:rPr>
                <w:rFonts w:cs="Arial"/>
                <w:color w:val="FF0000"/>
                <w:sz w:val="21"/>
                <w:szCs w:val="21"/>
              </w:rPr>
            </w:pPr>
          </w:p>
        </w:tc>
        <w:tc>
          <w:tcPr>
            <w:tcW w:w="217" w:type="dxa"/>
          </w:tcPr>
          <w:p w14:paraId="4973C03D" w14:textId="77777777" w:rsidR="002C0FD9" w:rsidRPr="00CA25CF" w:rsidRDefault="002C0FD9" w:rsidP="00CA25CF">
            <w:pPr>
              <w:rPr>
                <w:rFonts w:cs="Arial"/>
                <w:color w:val="FF0000"/>
                <w:sz w:val="21"/>
                <w:szCs w:val="21"/>
              </w:rPr>
            </w:pPr>
          </w:p>
        </w:tc>
        <w:tc>
          <w:tcPr>
            <w:tcW w:w="217" w:type="dxa"/>
          </w:tcPr>
          <w:p w14:paraId="78A2B693" w14:textId="77777777" w:rsidR="002C0FD9" w:rsidRPr="00CA25CF" w:rsidRDefault="002C0FD9" w:rsidP="00CA25CF">
            <w:pPr>
              <w:rPr>
                <w:rFonts w:cs="Arial"/>
                <w:color w:val="FF0000"/>
                <w:sz w:val="21"/>
                <w:szCs w:val="21"/>
              </w:rPr>
            </w:pPr>
          </w:p>
        </w:tc>
        <w:tc>
          <w:tcPr>
            <w:tcW w:w="217" w:type="dxa"/>
          </w:tcPr>
          <w:p w14:paraId="15431679" w14:textId="77777777" w:rsidR="002C0FD9" w:rsidRPr="00CA25CF" w:rsidRDefault="002C0FD9" w:rsidP="00CA25CF">
            <w:pPr>
              <w:rPr>
                <w:rFonts w:cs="Arial"/>
                <w:color w:val="FF0000"/>
                <w:sz w:val="21"/>
                <w:szCs w:val="21"/>
              </w:rPr>
            </w:pPr>
          </w:p>
        </w:tc>
        <w:tc>
          <w:tcPr>
            <w:tcW w:w="217" w:type="dxa"/>
          </w:tcPr>
          <w:p w14:paraId="49C1D72E" w14:textId="77777777" w:rsidR="002C0FD9" w:rsidRPr="00CA25CF" w:rsidRDefault="002C0FD9" w:rsidP="00CA25CF">
            <w:pPr>
              <w:rPr>
                <w:rFonts w:cs="Arial"/>
                <w:color w:val="FF0000"/>
                <w:sz w:val="21"/>
                <w:szCs w:val="21"/>
              </w:rPr>
            </w:pPr>
          </w:p>
        </w:tc>
        <w:tc>
          <w:tcPr>
            <w:tcW w:w="217" w:type="dxa"/>
          </w:tcPr>
          <w:p w14:paraId="2C68D488" w14:textId="77777777" w:rsidR="002C0FD9" w:rsidRPr="00CA25CF" w:rsidRDefault="002C0FD9" w:rsidP="00CA25CF">
            <w:pPr>
              <w:rPr>
                <w:rFonts w:cs="Arial"/>
                <w:color w:val="FF0000"/>
                <w:sz w:val="21"/>
                <w:szCs w:val="21"/>
              </w:rPr>
            </w:pPr>
          </w:p>
        </w:tc>
        <w:tc>
          <w:tcPr>
            <w:tcW w:w="217" w:type="dxa"/>
          </w:tcPr>
          <w:p w14:paraId="4CAE308F" w14:textId="77777777" w:rsidR="002C0FD9" w:rsidRPr="00CA25CF" w:rsidRDefault="002C0FD9" w:rsidP="00CA25CF">
            <w:pPr>
              <w:rPr>
                <w:rFonts w:cs="Arial"/>
                <w:color w:val="FF0000"/>
                <w:sz w:val="21"/>
                <w:szCs w:val="21"/>
              </w:rPr>
            </w:pPr>
          </w:p>
        </w:tc>
        <w:tc>
          <w:tcPr>
            <w:tcW w:w="217" w:type="dxa"/>
          </w:tcPr>
          <w:p w14:paraId="5189BEE8" w14:textId="77777777" w:rsidR="002C0FD9" w:rsidRPr="00CA25CF" w:rsidRDefault="002C0FD9" w:rsidP="00CA25CF">
            <w:pPr>
              <w:rPr>
                <w:rFonts w:cs="Arial"/>
                <w:color w:val="FF0000"/>
                <w:sz w:val="21"/>
                <w:szCs w:val="21"/>
              </w:rPr>
            </w:pPr>
          </w:p>
        </w:tc>
        <w:tc>
          <w:tcPr>
            <w:tcW w:w="217" w:type="dxa"/>
          </w:tcPr>
          <w:p w14:paraId="2C6DA5C5" w14:textId="77777777" w:rsidR="002C0FD9" w:rsidRPr="00CA25CF" w:rsidRDefault="002C0FD9" w:rsidP="00CA25CF">
            <w:pPr>
              <w:rPr>
                <w:rFonts w:cs="Arial"/>
                <w:color w:val="FF0000"/>
                <w:sz w:val="21"/>
                <w:szCs w:val="21"/>
              </w:rPr>
            </w:pPr>
          </w:p>
        </w:tc>
        <w:tc>
          <w:tcPr>
            <w:tcW w:w="217" w:type="dxa"/>
          </w:tcPr>
          <w:p w14:paraId="057D4818" w14:textId="77777777" w:rsidR="002C0FD9" w:rsidRPr="00CA25CF" w:rsidRDefault="002C0FD9" w:rsidP="00CA25CF">
            <w:pPr>
              <w:rPr>
                <w:rFonts w:cs="Arial"/>
                <w:color w:val="FF0000"/>
                <w:sz w:val="21"/>
                <w:szCs w:val="21"/>
              </w:rPr>
            </w:pPr>
          </w:p>
        </w:tc>
        <w:tc>
          <w:tcPr>
            <w:tcW w:w="217" w:type="dxa"/>
          </w:tcPr>
          <w:p w14:paraId="324365CF" w14:textId="77777777" w:rsidR="002C0FD9" w:rsidRPr="00CA25CF" w:rsidRDefault="002C0FD9" w:rsidP="00CA25CF">
            <w:pPr>
              <w:rPr>
                <w:rFonts w:cs="Arial"/>
                <w:color w:val="FF0000"/>
                <w:sz w:val="21"/>
                <w:szCs w:val="21"/>
              </w:rPr>
            </w:pPr>
          </w:p>
        </w:tc>
        <w:tc>
          <w:tcPr>
            <w:tcW w:w="217" w:type="dxa"/>
          </w:tcPr>
          <w:p w14:paraId="5EA58CAA" w14:textId="77777777" w:rsidR="002C0FD9" w:rsidRPr="00CA25CF" w:rsidRDefault="002C0FD9" w:rsidP="00CA25CF">
            <w:pPr>
              <w:rPr>
                <w:rFonts w:cs="Arial"/>
                <w:color w:val="FF0000"/>
                <w:sz w:val="21"/>
                <w:szCs w:val="21"/>
              </w:rPr>
            </w:pPr>
          </w:p>
        </w:tc>
        <w:tc>
          <w:tcPr>
            <w:tcW w:w="217" w:type="dxa"/>
          </w:tcPr>
          <w:p w14:paraId="10124721" w14:textId="77777777" w:rsidR="002C0FD9" w:rsidRPr="00CA25CF" w:rsidRDefault="002C0FD9" w:rsidP="00CA25CF">
            <w:pPr>
              <w:rPr>
                <w:rFonts w:cs="Arial"/>
                <w:color w:val="FF0000"/>
                <w:sz w:val="21"/>
                <w:szCs w:val="21"/>
              </w:rPr>
            </w:pPr>
          </w:p>
        </w:tc>
        <w:tc>
          <w:tcPr>
            <w:tcW w:w="217" w:type="dxa"/>
          </w:tcPr>
          <w:p w14:paraId="283F69A6" w14:textId="77777777" w:rsidR="002C0FD9" w:rsidRPr="00CA25CF" w:rsidRDefault="002C0FD9" w:rsidP="00CA25CF">
            <w:pPr>
              <w:rPr>
                <w:rFonts w:cs="Arial"/>
                <w:color w:val="FF0000"/>
                <w:sz w:val="21"/>
                <w:szCs w:val="21"/>
              </w:rPr>
            </w:pPr>
          </w:p>
        </w:tc>
        <w:tc>
          <w:tcPr>
            <w:tcW w:w="217" w:type="dxa"/>
          </w:tcPr>
          <w:p w14:paraId="23C4C2AC" w14:textId="77777777" w:rsidR="002C0FD9" w:rsidRPr="00CA25CF" w:rsidRDefault="002C0FD9" w:rsidP="00CA25CF">
            <w:pPr>
              <w:rPr>
                <w:rFonts w:cs="Arial"/>
                <w:color w:val="FF0000"/>
                <w:sz w:val="21"/>
                <w:szCs w:val="21"/>
              </w:rPr>
            </w:pPr>
          </w:p>
        </w:tc>
        <w:tc>
          <w:tcPr>
            <w:tcW w:w="217" w:type="dxa"/>
          </w:tcPr>
          <w:p w14:paraId="4E6D1142" w14:textId="77777777" w:rsidR="002C0FD9" w:rsidRPr="00CA25CF" w:rsidRDefault="002C0FD9" w:rsidP="00CA25CF">
            <w:pPr>
              <w:rPr>
                <w:rFonts w:cs="Arial"/>
                <w:color w:val="FF0000"/>
                <w:sz w:val="21"/>
                <w:szCs w:val="21"/>
              </w:rPr>
            </w:pPr>
          </w:p>
        </w:tc>
        <w:tc>
          <w:tcPr>
            <w:tcW w:w="217" w:type="dxa"/>
          </w:tcPr>
          <w:p w14:paraId="493BE379" w14:textId="77777777" w:rsidR="002C0FD9" w:rsidRPr="00CA25CF" w:rsidRDefault="002C0FD9" w:rsidP="00CA25CF">
            <w:pPr>
              <w:rPr>
                <w:rFonts w:cs="Arial"/>
                <w:color w:val="FF0000"/>
                <w:sz w:val="21"/>
                <w:szCs w:val="21"/>
              </w:rPr>
            </w:pPr>
          </w:p>
        </w:tc>
        <w:tc>
          <w:tcPr>
            <w:tcW w:w="217" w:type="dxa"/>
          </w:tcPr>
          <w:p w14:paraId="04B36DA3" w14:textId="77777777" w:rsidR="002C0FD9" w:rsidRPr="00CA25CF" w:rsidRDefault="002C0FD9" w:rsidP="00CA25CF">
            <w:pPr>
              <w:rPr>
                <w:rFonts w:cs="Arial"/>
                <w:color w:val="FF0000"/>
                <w:sz w:val="21"/>
                <w:szCs w:val="21"/>
              </w:rPr>
            </w:pPr>
          </w:p>
        </w:tc>
        <w:tc>
          <w:tcPr>
            <w:tcW w:w="217" w:type="dxa"/>
          </w:tcPr>
          <w:p w14:paraId="7281B917" w14:textId="77777777" w:rsidR="002C0FD9" w:rsidRPr="00CA25CF" w:rsidRDefault="002C0FD9" w:rsidP="00CA25CF">
            <w:pPr>
              <w:rPr>
                <w:rFonts w:cs="Arial"/>
                <w:color w:val="FF0000"/>
                <w:sz w:val="21"/>
                <w:szCs w:val="21"/>
              </w:rPr>
            </w:pPr>
          </w:p>
        </w:tc>
        <w:tc>
          <w:tcPr>
            <w:tcW w:w="217" w:type="dxa"/>
          </w:tcPr>
          <w:p w14:paraId="75A68E01" w14:textId="77777777" w:rsidR="002C0FD9" w:rsidRPr="00CA25CF" w:rsidRDefault="002C0FD9" w:rsidP="00CA25CF">
            <w:pPr>
              <w:rPr>
                <w:rFonts w:cs="Arial"/>
                <w:color w:val="FF0000"/>
                <w:sz w:val="21"/>
                <w:szCs w:val="21"/>
              </w:rPr>
            </w:pPr>
          </w:p>
        </w:tc>
        <w:tc>
          <w:tcPr>
            <w:tcW w:w="217" w:type="dxa"/>
          </w:tcPr>
          <w:p w14:paraId="11A2B6B9" w14:textId="77777777" w:rsidR="002C0FD9" w:rsidRPr="00CA25CF" w:rsidRDefault="002C0FD9" w:rsidP="00CA25CF">
            <w:pPr>
              <w:rPr>
                <w:rFonts w:cs="Arial"/>
                <w:color w:val="FF0000"/>
                <w:sz w:val="21"/>
                <w:szCs w:val="21"/>
              </w:rPr>
            </w:pPr>
          </w:p>
        </w:tc>
        <w:tc>
          <w:tcPr>
            <w:tcW w:w="217" w:type="dxa"/>
          </w:tcPr>
          <w:p w14:paraId="2A48A283" w14:textId="77777777" w:rsidR="002C0FD9" w:rsidRPr="00CA25CF" w:rsidRDefault="002C0FD9" w:rsidP="00CA25CF">
            <w:pPr>
              <w:rPr>
                <w:rFonts w:cs="Arial"/>
                <w:color w:val="FF0000"/>
                <w:sz w:val="21"/>
                <w:szCs w:val="21"/>
              </w:rPr>
            </w:pPr>
          </w:p>
        </w:tc>
        <w:tc>
          <w:tcPr>
            <w:tcW w:w="217" w:type="dxa"/>
          </w:tcPr>
          <w:p w14:paraId="3F8F441F" w14:textId="77777777" w:rsidR="002C0FD9" w:rsidRPr="00CA25CF" w:rsidRDefault="002C0FD9" w:rsidP="00CA25CF">
            <w:pPr>
              <w:rPr>
                <w:rFonts w:cs="Arial"/>
                <w:color w:val="FF0000"/>
                <w:sz w:val="21"/>
                <w:szCs w:val="21"/>
              </w:rPr>
            </w:pPr>
          </w:p>
        </w:tc>
        <w:tc>
          <w:tcPr>
            <w:tcW w:w="217" w:type="dxa"/>
          </w:tcPr>
          <w:p w14:paraId="76352C81" w14:textId="77777777" w:rsidR="002C0FD9" w:rsidRPr="00CA25CF" w:rsidRDefault="002C0FD9" w:rsidP="00CA25CF">
            <w:pPr>
              <w:rPr>
                <w:rFonts w:cs="Arial"/>
                <w:color w:val="FF0000"/>
                <w:sz w:val="21"/>
                <w:szCs w:val="21"/>
              </w:rPr>
            </w:pPr>
          </w:p>
        </w:tc>
        <w:tc>
          <w:tcPr>
            <w:tcW w:w="217" w:type="dxa"/>
          </w:tcPr>
          <w:p w14:paraId="70F9497F" w14:textId="77777777" w:rsidR="002C0FD9" w:rsidRPr="00CA25CF" w:rsidRDefault="002C0FD9" w:rsidP="00CA25CF">
            <w:pPr>
              <w:rPr>
                <w:rFonts w:cs="Arial"/>
                <w:color w:val="FF0000"/>
                <w:sz w:val="21"/>
                <w:szCs w:val="21"/>
              </w:rPr>
            </w:pPr>
          </w:p>
        </w:tc>
        <w:tc>
          <w:tcPr>
            <w:tcW w:w="217" w:type="dxa"/>
          </w:tcPr>
          <w:p w14:paraId="268577E9" w14:textId="77777777" w:rsidR="002C0FD9" w:rsidRPr="00CA25CF" w:rsidRDefault="002C0FD9" w:rsidP="00CA25CF">
            <w:pPr>
              <w:rPr>
                <w:rFonts w:cs="Arial"/>
                <w:color w:val="FF0000"/>
                <w:sz w:val="21"/>
                <w:szCs w:val="21"/>
              </w:rPr>
            </w:pPr>
          </w:p>
        </w:tc>
        <w:tc>
          <w:tcPr>
            <w:tcW w:w="217" w:type="dxa"/>
          </w:tcPr>
          <w:p w14:paraId="6955F956" w14:textId="77777777" w:rsidR="002C0FD9" w:rsidRPr="00CA25CF" w:rsidRDefault="002C0FD9" w:rsidP="00CA25CF">
            <w:pPr>
              <w:rPr>
                <w:rFonts w:cs="Arial"/>
                <w:color w:val="FF0000"/>
                <w:sz w:val="21"/>
                <w:szCs w:val="21"/>
              </w:rPr>
            </w:pPr>
          </w:p>
        </w:tc>
        <w:tc>
          <w:tcPr>
            <w:tcW w:w="217" w:type="dxa"/>
          </w:tcPr>
          <w:p w14:paraId="224B5453" w14:textId="77777777" w:rsidR="002C0FD9" w:rsidRPr="00CA25CF" w:rsidRDefault="002C0FD9" w:rsidP="00CA25CF">
            <w:pPr>
              <w:rPr>
                <w:rFonts w:cs="Arial"/>
                <w:color w:val="FF0000"/>
                <w:sz w:val="21"/>
                <w:szCs w:val="21"/>
              </w:rPr>
            </w:pPr>
          </w:p>
        </w:tc>
        <w:tc>
          <w:tcPr>
            <w:tcW w:w="217" w:type="dxa"/>
          </w:tcPr>
          <w:p w14:paraId="3EEEC633" w14:textId="77777777" w:rsidR="002C0FD9" w:rsidRPr="00CA25CF" w:rsidRDefault="002C0FD9" w:rsidP="00CA25CF">
            <w:pPr>
              <w:rPr>
                <w:rFonts w:cs="Arial"/>
                <w:color w:val="FF0000"/>
                <w:sz w:val="21"/>
                <w:szCs w:val="21"/>
              </w:rPr>
            </w:pPr>
          </w:p>
        </w:tc>
        <w:tc>
          <w:tcPr>
            <w:tcW w:w="217" w:type="dxa"/>
          </w:tcPr>
          <w:p w14:paraId="69366865" w14:textId="77777777" w:rsidR="002C0FD9" w:rsidRPr="00CA25CF" w:rsidRDefault="002C0FD9" w:rsidP="00CA25CF">
            <w:pPr>
              <w:rPr>
                <w:rFonts w:cs="Arial"/>
                <w:color w:val="FF0000"/>
                <w:sz w:val="21"/>
                <w:szCs w:val="21"/>
              </w:rPr>
            </w:pPr>
          </w:p>
        </w:tc>
        <w:tc>
          <w:tcPr>
            <w:tcW w:w="217" w:type="dxa"/>
          </w:tcPr>
          <w:p w14:paraId="674FCAAC" w14:textId="77777777" w:rsidR="002C0FD9" w:rsidRPr="00CA25CF" w:rsidRDefault="002C0FD9" w:rsidP="00CA25CF">
            <w:pPr>
              <w:rPr>
                <w:rFonts w:cs="Arial"/>
                <w:color w:val="FF0000"/>
                <w:sz w:val="21"/>
                <w:szCs w:val="21"/>
              </w:rPr>
            </w:pPr>
          </w:p>
        </w:tc>
        <w:tc>
          <w:tcPr>
            <w:tcW w:w="217" w:type="dxa"/>
          </w:tcPr>
          <w:p w14:paraId="7B1F1C78" w14:textId="77777777" w:rsidR="002C0FD9" w:rsidRPr="00CA25CF" w:rsidRDefault="002C0FD9" w:rsidP="00CA25CF">
            <w:pPr>
              <w:rPr>
                <w:rFonts w:cs="Arial"/>
                <w:color w:val="FF0000"/>
                <w:sz w:val="21"/>
                <w:szCs w:val="21"/>
              </w:rPr>
            </w:pPr>
          </w:p>
        </w:tc>
        <w:tc>
          <w:tcPr>
            <w:tcW w:w="217" w:type="dxa"/>
          </w:tcPr>
          <w:p w14:paraId="73942EB0" w14:textId="77777777" w:rsidR="002C0FD9" w:rsidRPr="00CA25CF" w:rsidRDefault="002C0FD9" w:rsidP="00CA25CF">
            <w:pPr>
              <w:rPr>
                <w:rFonts w:cs="Arial"/>
                <w:color w:val="FF0000"/>
                <w:sz w:val="21"/>
                <w:szCs w:val="21"/>
              </w:rPr>
            </w:pPr>
          </w:p>
        </w:tc>
        <w:tc>
          <w:tcPr>
            <w:tcW w:w="217" w:type="dxa"/>
          </w:tcPr>
          <w:p w14:paraId="16D002F6" w14:textId="77777777" w:rsidR="002C0FD9" w:rsidRPr="00CA25CF" w:rsidRDefault="002C0FD9" w:rsidP="00CA25CF">
            <w:pPr>
              <w:rPr>
                <w:rFonts w:cs="Arial"/>
                <w:color w:val="FF0000"/>
                <w:sz w:val="21"/>
                <w:szCs w:val="21"/>
              </w:rPr>
            </w:pPr>
          </w:p>
        </w:tc>
        <w:tc>
          <w:tcPr>
            <w:tcW w:w="217" w:type="dxa"/>
          </w:tcPr>
          <w:p w14:paraId="450E55EF" w14:textId="77777777" w:rsidR="002C0FD9" w:rsidRPr="00CA25CF" w:rsidRDefault="002C0FD9" w:rsidP="00CA25CF">
            <w:pPr>
              <w:rPr>
                <w:rFonts w:cs="Arial"/>
                <w:color w:val="FF0000"/>
                <w:sz w:val="21"/>
                <w:szCs w:val="21"/>
              </w:rPr>
            </w:pPr>
          </w:p>
        </w:tc>
        <w:tc>
          <w:tcPr>
            <w:tcW w:w="217" w:type="dxa"/>
          </w:tcPr>
          <w:p w14:paraId="52037F00" w14:textId="77777777" w:rsidR="002C0FD9" w:rsidRPr="00CA25CF" w:rsidRDefault="002C0FD9" w:rsidP="00CA25CF">
            <w:pPr>
              <w:rPr>
                <w:rFonts w:cs="Arial"/>
                <w:color w:val="FF0000"/>
                <w:sz w:val="21"/>
                <w:szCs w:val="21"/>
              </w:rPr>
            </w:pPr>
          </w:p>
        </w:tc>
        <w:tc>
          <w:tcPr>
            <w:tcW w:w="217" w:type="dxa"/>
          </w:tcPr>
          <w:p w14:paraId="6B2C0049" w14:textId="77777777" w:rsidR="002C0FD9" w:rsidRPr="00CA25CF" w:rsidRDefault="002C0FD9" w:rsidP="00CA25CF">
            <w:pPr>
              <w:rPr>
                <w:rFonts w:cs="Arial"/>
                <w:color w:val="FF0000"/>
                <w:sz w:val="21"/>
                <w:szCs w:val="21"/>
              </w:rPr>
            </w:pPr>
          </w:p>
        </w:tc>
        <w:tc>
          <w:tcPr>
            <w:tcW w:w="217" w:type="dxa"/>
          </w:tcPr>
          <w:p w14:paraId="1213CFD5" w14:textId="77777777" w:rsidR="002C0FD9" w:rsidRPr="00CA25CF" w:rsidRDefault="002C0FD9" w:rsidP="00CA25CF">
            <w:pPr>
              <w:rPr>
                <w:rFonts w:cs="Arial"/>
                <w:color w:val="FF0000"/>
                <w:sz w:val="21"/>
                <w:szCs w:val="21"/>
              </w:rPr>
            </w:pPr>
          </w:p>
        </w:tc>
      </w:tr>
      <w:tr w:rsidR="002C0FD9" w:rsidRPr="00A16219" w14:paraId="45C5C635" w14:textId="313EEE33" w:rsidTr="002C0FD9">
        <w:trPr>
          <w:trHeight w:val="635"/>
        </w:trPr>
        <w:tc>
          <w:tcPr>
            <w:tcW w:w="515" w:type="dxa"/>
          </w:tcPr>
          <w:p w14:paraId="2236AEB0" w14:textId="77777777" w:rsidR="002C0FD9" w:rsidRPr="00CA25CF" w:rsidRDefault="002C0FD9" w:rsidP="00CA25CF">
            <w:pPr>
              <w:rPr>
                <w:rFonts w:cs="Arial"/>
                <w:color w:val="FF0000"/>
                <w:sz w:val="21"/>
                <w:szCs w:val="21"/>
              </w:rPr>
            </w:pPr>
          </w:p>
        </w:tc>
        <w:tc>
          <w:tcPr>
            <w:tcW w:w="217" w:type="dxa"/>
          </w:tcPr>
          <w:p w14:paraId="5E423B3F" w14:textId="77777777" w:rsidR="002C0FD9" w:rsidRPr="00CA25CF" w:rsidRDefault="002C0FD9" w:rsidP="00CA25CF">
            <w:pPr>
              <w:rPr>
                <w:rFonts w:cs="Arial"/>
                <w:color w:val="FF0000"/>
                <w:sz w:val="21"/>
                <w:szCs w:val="21"/>
              </w:rPr>
            </w:pPr>
          </w:p>
        </w:tc>
        <w:tc>
          <w:tcPr>
            <w:tcW w:w="217" w:type="dxa"/>
          </w:tcPr>
          <w:p w14:paraId="26D865D0" w14:textId="62A13A30" w:rsidR="002C0FD9" w:rsidRPr="00CA25CF" w:rsidRDefault="002C0FD9" w:rsidP="00CA25CF">
            <w:pPr>
              <w:rPr>
                <w:rFonts w:cs="Arial"/>
                <w:color w:val="FF0000"/>
                <w:sz w:val="21"/>
                <w:szCs w:val="21"/>
              </w:rPr>
            </w:pPr>
          </w:p>
        </w:tc>
        <w:tc>
          <w:tcPr>
            <w:tcW w:w="217" w:type="dxa"/>
          </w:tcPr>
          <w:p w14:paraId="56C6A82A" w14:textId="77777777" w:rsidR="002C0FD9" w:rsidRPr="00CA25CF" w:rsidRDefault="002C0FD9" w:rsidP="00CA25CF">
            <w:pPr>
              <w:rPr>
                <w:rFonts w:cs="Arial"/>
                <w:color w:val="FF0000"/>
                <w:sz w:val="21"/>
                <w:szCs w:val="21"/>
              </w:rPr>
            </w:pPr>
          </w:p>
        </w:tc>
        <w:tc>
          <w:tcPr>
            <w:tcW w:w="217" w:type="dxa"/>
          </w:tcPr>
          <w:p w14:paraId="1E2E37AA" w14:textId="77777777" w:rsidR="002C0FD9" w:rsidRPr="00CA25CF" w:rsidRDefault="002C0FD9" w:rsidP="00CA25CF">
            <w:pPr>
              <w:rPr>
                <w:rFonts w:cs="Arial"/>
                <w:color w:val="FF0000"/>
                <w:sz w:val="21"/>
                <w:szCs w:val="21"/>
              </w:rPr>
            </w:pPr>
          </w:p>
        </w:tc>
        <w:tc>
          <w:tcPr>
            <w:tcW w:w="217" w:type="dxa"/>
          </w:tcPr>
          <w:p w14:paraId="6E1A3784" w14:textId="77777777" w:rsidR="002C0FD9" w:rsidRPr="00CA25CF" w:rsidRDefault="002C0FD9" w:rsidP="00CA25CF">
            <w:pPr>
              <w:rPr>
                <w:rFonts w:cs="Arial"/>
                <w:color w:val="FF0000"/>
                <w:sz w:val="21"/>
                <w:szCs w:val="21"/>
              </w:rPr>
            </w:pPr>
          </w:p>
        </w:tc>
        <w:tc>
          <w:tcPr>
            <w:tcW w:w="217" w:type="dxa"/>
          </w:tcPr>
          <w:p w14:paraId="7ED0BD15" w14:textId="77777777" w:rsidR="002C0FD9" w:rsidRPr="00CA25CF" w:rsidRDefault="002C0FD9" w:rsidP="00CA25CF">
            <w:pPr>
              <w:rPr>
                <w:rFonts w:cs="Arial"/>
                <w:color w:val="FF0000"/>
                <w:sz w:val="21"/>
                <w:szCs w:val="21"/>
              </w:rPr>
            </w:pPr>
          </w:p>
        </w:tc>
        <w:tc>
          <w:tcPr>
            <w:tcW w:w="217" w:type="dxa"/>
          </w:tcPr>
          <w:p w14:paraId="28F2D1AE" w14:textId="77777777" w:rsidR="002C0FD9" w:rsidRPr="00CA25CF" w:rsidRDefault="002C0FD9" w:rsidP="00CA25CF">
            <w:pPr>
              <w:rPr>
                <w:rFonts w:cs="Arial"/>
                <w:color w:val="FF0000"/>
                <w:sz w:val="21"/>
                <w:szCs w:val="21"/>
              </w:rPr>
            </w:pPr>
          </w:p>
        </w:tc>
        <w:tc>
          <w:tcPr>
            <w:tcW w:w="217" w:type="dxa"/>
          </w:tcPr>
          <w:p w14:paraId="0662CE37" w14:textId="77777777" w:rsidR="002C0FD9" w:rsidRPr="00CA25CF" w:rsidRDefault="002C0FD9" w:rsidP="00CA25CF">
            <w:pPr>
              <w:rPr>
                <w:rFonts w:cs="Arial"/>
                <w:color w:val="FF0000"/>
                <w:sz w:val="21"/>
                <w:szCs w:val="21"/>
              </w:rPr>
            </w:pPr>
          </w:p>
        </w:tc>
        <w:tc>
          <w:tcPr>
            <w:tcW w:w="217" w:type="dxa"/>
          </w:tcPr>
          <w:p w14:paraId="178DCAD5" w14:textId="77777777" w:rsidR="002C0FD9" w:rsidRPr="00CA25CF" w:rsidRDefault="002C0FD9" w:rsidP="00CA25CF">
            <w:pPr>
              <w:rPr>
                <w:rFonts w:cs="Arial"/>
                <w:color w:val="FF0000"/>
                <w:sz w:val="21"/>
                <w:szCs w:val="21"/>
              </w:rPr>
            </w:pPr>
          </w:p>
        </w:tc>
        <w:tc>
          <w:tcPr>
            <w:tcW w:w="217" w:type="dxa"/>
          </w:tcPr>
          <w:p w14:paraId="35AAFF5B" w14:textId="77777777" w:rsidR="002C0FD9" w:rsidRPr="00CA25CF" w:rsidRDefault="002C0FD9" w:rsidP="00CA25CF">
            <w:pPr>
              <w:rPr>
                <w:rFonts w:cs="Arial"/>
                <w:color w:val="FF0000"/>
                <w:sz w:val="21"/>
                <w:szCs w:val="21"/>
              </w:rPr>
            </w:pPr>
          </w:p>
        </w:tc>
        <w:tc>
          <w:tcPr>
            <w:tcW w:w="217" w:type="dxa"/>
          </w:tcPr>
          <w:p w14:paraId="7C1325D0" w14:textId="77777777" w:rsidR="002C0FD9" w:rsidRPr="00CA25CF" w:rsidRDefault="002C0FD9" w:rsidP="00CA25CF">
            <w:pPr>
              <w:rPr>
                <w:rFonts w:cs="Arial"/>
                <w:color w:val="FF0000"/>
                <w:sz w:val="21"/>
                <w:szCs w:val="21"/>
              </w:rPr>
            </w:pPr>
          </w:p>
        </w:tc>
        <w:tc>
          <w:tcPr>
            <w:tcW w:w="217" w:type="dxa"/>
          </w:tcPr>
          <w:p w14:paraId="059EA204" w14:textId="77777777" w:rsidR="002C0FD9" w:rsidRPr="00CA25CF" w:rsidRDefault="002C0FD9" w:rsidP="00CA25CF">
            <w:pPr>
              <w:rPr>
                <w:rFonts w:cs="Arial"/>
                <w:color w:val="FF0000"/>
                <w:sz w:val="21"/>
                <w:szCs w:val="21"/>
              </w:rPr>
            </w:pPr>
          </w:p>
        </w:tc>
        <w:tc>
          <w:tcPr>
            <w:tcW w:w="217" w:type="dxa"/>
          </w:tcPr>
          <w:p w14:paraId="31BA13E6" w14:textId="77777777" w:rsidR="002C0FD9" w:rsidRPr="00CA25CF" w:rsidRDefault="002C0FD9" w:rsidP="00CA25CF">
            <w:pPr>
              <w:rPr>
                <w:rFonts w:cs="Arial"/>
                <w:color w:val="FF0000"/>
                <w:sz w:val="21"/>
                <w:szCs w:val="21"/>
              </w:rPr>
            </w:pPr>
          </w:p>
        </w:tc>
        <w:tc>
          <w:tcPr>
            <w:tcW w:w="217" w:type="dxa"/>
          </w:tcPr>
          <w:p w14:paraId="4A9A2AFB" w14:textId="77777777" w:rsidR="002C0FD9" w:rsidRPr="00CA25CF" w:rsidRDefault="002C0FD9" w:rsidP="00CA25CF">
            <w:pPr>
              <w:rPr>
                <w:rFonts w:cs="Arial"/>
                <w:color w:val="FF0000"/>
                <w:sz w:val="21"/>
                <w:szCs w:val="21"/>
              </w:rPr>
            </w:pPr>
          </w:p>
        </w:tc>
        <w:tc>
          <w:tcPr>
            <w:tcW w:w="217" w:type="dxa"/>
          </w:tcPr>
          <w:p w14:paraId="176FC384" w14:textId="77777777" w:rsidR="002C0FD9" w:rsidRPr="00CA25CF" w:rsidRDefault="002C0FD9" w:rsidP="00CA25CF">
            <w:pPr>
              <w:rPr>
                <w:rFonts w:cs="Arial"/>
                <w:color w:val="FF0000"/>
                <w:sz w:val="21"/>
                <w:szCs w:val="21"/>
              </w:rPr>
            </w:pPr>
          </w:p>
        </w:tc>
        <w:tc>
          <w:tcPr>
            <w:tcW w:w="217" w:type="dxa"/>
          </w:tcPr>
          <w:p w14:paraId="35AC5ABF" w14:textId="77777777" w:rsidR="002C0FD9" w:rsidRPr="00CA25CF" w:rsidRDefault="002C0FD9" w:rsidP="00CA25CF">
            <w:pPr>
              <w:rPr>
                <w:rFonts w:cs="Arial"/>
                <w:color w:val="FF0000"/>
                <w:sz w:val="21"/>
                <w:szCs w:val="21"/>
              </w:rPr>
            </w:pPr>
          </w:p>
        </w:tc>
        <w:tc>
          <w:tcPr>
            <w:tcW w:w="217" w:type="dxa"/>
          </w:tcPr>
          <w:p w14:paraId="30222947" w14:textId="77777777" w:rsidR="002C0FD9" w:rsidRPr="00CA25CF" w:rsidRDefault="002C0FD9" w:rsidP="00CA25CF">
            <w:pPr>
              <w:rPr>
                <w:rFonts w:cs="Arial"/>
                <w:color w:val="FF0000"/>
                <w:sz w:val="21"/>
                <w:szCs w:val="21"/>
              </w:rPr>
            </w:pPr>
          </w:p>
        </w:tc>
        <w:tc>
          <w:tcPr>
            <w:tcW w:w="217" w:type="dxa"/>
          </w:tcPr>
          <w:p w14:paraId="2996651B" w14:textId="77777777" w:rsidR="002C0FD9" w:rsidRPr="00CA25CF" w:rsidRDefault="002C0FD9" w:rsidP="00CA25CF">
            <w:pPr>
              <w:rPr>
                <w:rFonts w:cs="Arial"/>
                <w:color w:val="FF0000"/>
                <w:sz w:val="21"/>
                <w:szCs w:val="21"/>
              </w:rPr>
            </w:pPr>
          </w:p>
        </w:tc>
        <w:tc>
          <w:tcPr>
            <w:tcW w:w="217" w:type="dxa"/>
          </w:tcPr>
          <w:p w14:paraId="09B18E42" w14:textId="77777777" w:rsidR="002C0FD9" w:rsidRPr="00CA25CF" w:rsidRDefault="002C0FD9" w:rsidP="00CA25CF">
            <w:pPr>
              <w:rPr>
                <w:rFonts w:cs="Arial"/>
                <w:color w:val="FF0000"/>
                <w:sz w:val="21"/>
                <w:szCs w:val="21"/>
              </w:rPr>
            </w:pPr>
          </w:p>
        </w:tc>
        <w:tc>
          <w:tcPr>
            <w:tcW w:w="217" w:type="dxa"/>
          </w:tcPr>
          <w:p w14:paraId="7BAB3E75" w14:textId="77777777" w:rsidR="002C0FD9" w:rsidRPr="00CA25CF" w:rsidRDefault="002C0FD9" w:rsidP="00CA25CF">
            <w:pPr>
              <w:rPr>
                <w:rFonts w:cs="Arial"/>
                <w:color w:val="FF0000"/>
                <w:sz w:val="21"/>
                <w:szCs w:val="21"/>
              </w:rPr>
            </w:pPr>
          </w:p>
        </w:tc>
        <w:tc>
          <w:tcPr>
            <w:tcW w:w="217" w:type="dxa"/>
          </w:tcPr>
          <w:p w14:paraId="73880F74" w14:textId="77777777" w:rsidR="002C0FD9" w:rsidRPr="00CA25CF" w:rsidRDefault="002C0FD9" w:rsidP="00CA25CF">
            <w:pPr>
              <w:rPr>
                <w:rFonts w:cs="Arial"/>
                <w:color w:val="FF0000"/>
                <w:sz w:val="21"/>
                <w:szCs w:val="21"/>
              </w:rPr>
            </w:pPr>
          </w:p>
        </w:tc>
        <w:tc>
          <w:tcPr>
            <w:tcW w:w="217" w:type="dxa"/>
          </w:tcPr>
          <w:p w14:paraId="5644F1BE" w14:textId="77777777" w:rsidR="002C0FD9" w:rsidRPr="00CA25CF" w:rsidRDefault="002C0FD9" w:rsidP="00CA25CF">
            <w:pPr>
              <w:rPr>
                <w:rFonts w:cs="Arial"/>
                <w:color w:val="FF0000"/>
                <w:sz w:val="21"/>
                <w:szCs w:val="21"/>
              </w:rPr>
            </w:pPr>
          </w:p>
        </w:tc>
        <w:tc>
          <w:tcPr>
            <w:tcW w:w="217" w:type="dxa"/>
          </w:tcPr>
          <w:p w14:paraId="2DFAF059" w14:textId="77777777" w:rsidR="002C0FD9" w:rsidRPr="00CA25CF" w:rsidRDefault="002C0FD9" w:rsidP="00CA25CF">
            <w:pPr>
              <w:rPr>
                <w:rFonts w:cs="Arial"/>
                <w:color w:val="FF0000"/>
                <w:sz w:val="21"/>
                <w:szCs w:val="21"/>
              </w:rPr>
            </w:pPr>
          </w:p>
        </w:tc>
        <w:tc>
          <w:tcPr>
            <w:tcW w:w="217" w:type="dxa"/>
          </w:tcPr>
          <w:p w14:paraId="0EE35682" w14:textId="77777777" w:rsidR="002C0FD9" w:rsidRPr="00CA25CF" w:rsidRDefault="002C0FD9" w:rsidP="00CA25CF">
            <w:pPr>
              <w:rPr>
                <w:rFonts w:cs="Arial"/>
                <w:color w:val="FF0000"/>
                <w:sz w:val="21"/>
                <w:szCs w:val="21"/>
              </w:rPr>
            </w:pPr>
          </w:p>
        </w:tc>
        <w:tc>
          <w:tcPr>
            <w:tcW w:w="217" w:type="dxa"/>
          </w:tcPr>
          <w:p w14:paraId="427A7A57" w14:textId="77777777" w:rsidR="002C0FD9" w:rsidRPr="00CA25CF" w:rsidRDefault="002C0FD9" w:rsidP="00CA25CF">
            <w:pPr>
              <w:rPr>
                <w:rFonts w:cs="Arial"/>
                <w:color w:val="FF0000"/>
                <w:sz w:val="21"/>
                <w:szCs w:val="21"/>
              </w:rPr>
            </w:pPr>
          </w:p>
        </w:tc>
        <w:tc>
          <w:tcPr>
            <w:tcW w:w="217" w:type="dxa"/>
          </w:tcPr>
          <w:p w14:paraId="6FB42F86" w14:textId="77777777" w:rsidR="002C0FD9" w:rsidRPr="00CA25CF" w:rsidRDefault="002C0FD9" w:rsidP="00CA25CF">
            <w:pPr>
              <w:rPr>
                <w:rFonts w:cs="Arial"/>
                <w:color w:val="FF0000"/>
                <w:sz w:val="21"/>
                <w:szCs w:val="21"/>
              </w:rPr>
            </w:pPr>
          </w:p>
        </w:tc>
        <w:tc>
          <w:tcPr>
            <w:tcW w:w="217" w:type="dxa"/>
          </w:tcPr>
          <w:p w14:paraId="6E90124D" w14:textId="77777777" w:rsidR="002C0FD9" w:rsidRPr="00CA25CF" w:rsidRDefault="002C0FD9" w:rsidP="00CA25CF">
            <w:pPr>
              <w:rPr>
                <w:rFonts w:cs="Arial"/>
                <w:color w:val="FF0000"/>
                <w:sz w:val="21"/>
                <w:szCs w:val="21"/>
              </w:rPr>
            </w:pPr>
          </w:p>
        </w:tc>
        <w:tc>
          <w:tcPr>
            <w:tcW w:w="217" w:type="dxa"/>
          </w:tcPr>
          <w:p w14:paraId="281B0019" w14:textId="77777777" w:rsidR="002C0FD9" w:rsidRPr="00CA25CF" w:rsidRDefault="002C0FD9" w:rsidP="00CA25CF">
            <w:pPr>
              <w:rPr>
                <w:rFonts w:cs="Arial"/>
                <w:color w:val="FF0000"/>
                <w:sz w:val="21"/>
                <w:szCs w:val="21"/>
              </w:rPr>
            </w:pPr>
          </w:p>
        </w:tc>
        <w:tc>
          <w:tcPr>
            <w:tcW w:w="217" w:type="dxa"/>
          </w:tcPr>
          <w:p w14:paraId="2EDF76C1" w14:textId="77777777" w:rsidR="002C0FD9" w:rsidRPr="00CA25CF" w:rsidRDefault="002C0FD9" w:rsidP="00CA25CF">
            <w:pPr>
              <w:rPr>
                <w:rFonts w:cs="Arial"/>
                <w:color w:val="FF0000"/>
                <w:sz w:val="21"/>
                <w:szCs w:val="21"/>
              </w:rPr>
            </w:pPr>
          </w:p>
        </w:tc>
        <w:tc>
          <w:tcPr>
            <w:tcW w:w="217" w:type="dxa"/>
          </w:tcPr>
          <w:p w14:paraId="4DDBA261" w14:textId="77777777" w:rsidR="002C0FD9" w:rsidRPr="00CA25CF" w:rsidRDefault="002C0FD9" w:rsidP="00CA25CF">
            <w:pPr>
              <w:rPr>
                <w:rFonts w:cs="Arial"/>
                <w:color w:val="FF0000"/>
                <w:sz w:val="21"/>
                <w:szCs w:val="21"/>
              </w:rPr>
            </w:pPr>
          </w:p>
        </w:tc>
        <w:tc>
          <w:tcPr>
            <w:tcW w:w="217" w:type="dxa"/>
          </w:tcPr>
          <w:p w14:paraId="7DF13C06" w14:textId="77777777" w:rsidR="002C0FD9" w:rsidRPr="00CA25CF" w:rsidRDefault="002C0FD9" w:rsidP="00CA25CF">
            <w:pPr>
              <w:rPr>
                <w:rFonts w:cs="Arial"/>
                <w:color w:val="FF0000"/>
                <w:sz w:val="21"/>
                <w:szCs w:val="21"/>
              </w:rPr>
            </w:pPr>
          </w:p>
        </w:tc>
        <w:tc>
          <w:tcPr>
            <w:tcW w:w="217" w:type="dxa"/>
          </w:tcPr>
          <w:p w14:paraId="2A98BBC0" w14:textId="77777777" w:rsidR="002C0FD9" w:rsidRPr="00CA25CF" w:rsidRDefault="002C0FD9" w:rsidP="00CA25CF">
            <w:pPr>
              <w:rPr>
                <w:rFonts w:cs="Arial"/>
                <w:color w:val="FF0000"/>
                <w:sz w:val="21"/>
                <w:szCs w:val="21"/>
              </w:rPr>
            </w:pPr>
          </w:p>
        </w:tc>
        <w:tc>
          <w:tcPr>
            <w:tcW w:w="217" w:type="dxa"/>
          </w:tcPr>
          <w:p w14:paraId="40677B1C" w14:textId="77777777" w:rsidR="002C0FD9" w:rsidRPr="00CA25CF" w:rsidRDefault="002C0FD9" w:rsidP="00CA25CF">
            <w:pPr>
              <w:rPr>
                <w:rFonts w:cs="Arial"/>
                <w:color w:val="FF0000"/>
                <w:sz w:val="21"/>
                <w:szCs w:val="21"/>
              </w:rPr>
            </w:pPr>
          </w:p>
        </w:tc>
        <w:tc>
          <w:tcPr>
            <w:tcW w:w="217" w:type="dxa"/>
          </w:tcPr>
          <w:p w14:paraId="5CEAAA27" w14:textId="77777777" w:rsidR="002C0FD9" w:rsidRPr="00CA25CF" w:rsidRDefault="002C0FD9" w:rsidP="00CA25CF">
            <w:pPr>
              <w:rPr>
                <w:rFonts w:cs="Arial"/>
                <w:color w:val="FF0000"/>
                <w:sz w:val="21"/>
                <w:szCs w:val="21"/>
              </w:rPr>
            </w:pPr>
          </w:p>
        </w:tc>
        <w:tc>
          <w:tcPr>
            <w:tcW w:w="217" w:type="dxa"/>
          </w:tcPr>
          <w:p w14:paraId="318E70DC" w14:textId="77777777" w:rsidR="002C0FD9" w:rsidRPr="00CA25CF" w:rsidRDefault="002C0FD9" w:rsidP="00CA25CF">
            <w:pPr>
              <w:rPr>
                <w:rFonts w:cs="Arial"/>
                <w:color w:val="FF0000"/>
                <w:sz w:val="21"/>
                <w:szCs w:val="21"/>
              </w:rPr>
            </w:pPr>
          </w:p>
        </w:tc>
        <w:tc>
          <w:tcPr>
            <w:tcW w:w="217" w:type="dxa"/>
          </w:tcPr>
          <w:p w14:paraId="408C87D5" w14:textId="77777777" w:rsidR="002C0FD9" w:rsidRPr="00CA25CF" w:rsidRDefault="002C0FD9" w:rsidP="00CA25CF">
            <w:pPr>
              <w:rPr>
                <w:rFonts w:cs="Arial"/>
                <w:color w:val="FF0000"/>
                <w:sz w:val="21"/>
                <w:szCs w:val="21"/>
              </w:rPr>
            </w:pPr>
          </w:p>
        </w:tc>
        <w:tc>
          <w:tcPr>
            <w:tcW w:w="217" w:type="dxa"/>
          </w:tcPr>
          <w:p w14:paraId="6A43BD09" w14:textId="77777777" w:rsidR="002C0FD9" w:rsidRPr="00CA25CF" w:rsidRDefault="002C0FD9" w:rsidP="00CA25CF">
            <w:pPr>
              <w:rPr>
                <w:rFonts w:cs="Arial"/>
                <w:color w:val="FF0000"/>
                <w:sz w:val="21"/>
                <w:szCs w:val="21"/>
              </w:rPr>
            </w:pPr>
          </w:p>
        </w:tc>
        <w:tc>
          <w:tcPr>
            <w:tcW w:w="217" w:type="dxa"/>
          </w:tcPr>
          <w:p w14:paraId="43B7E720" w14:textId="77777777" w:rsidR="002C0FD9" w:rsidRPr="00CA25CF" w:rsidRDefault="002C0FD9" w:rsidP="00CA25CF">
            <w:pPr>
              <w:rPr>
                <w:rFonts w:cs="Arial"/>
                <w:color w:val="FF0000"/>
                <w:sz w:val="21"/>
                <w:szCs w:val="21"/>
              </w:rPr>
            </w:pPr>
          </w:p>
        </w:tc>
        <w:tc>
          <w:tcPr>
            <w:tcW w:w="217" w:type="dxa"/>
          </w:tcPr>
          <w:p w14:paraId="012A7CD6" w14:textId="77777777" w:rsidR="002C0FD9" w:rsidRPr="00CA25CF" w:rsidRDefault="002C0FD9" w:rsidP="00CA25CF">
            <w:pPr>
              <w:rPr>
                <w:rFonts w:cs="Arial"/>
                <w:color w:val="FF0000"/>
                <w:sz w:val="21"/>
                <w:szCs w:val="21"/>
              </w:rPr>
            </w:pPr>
          </w:p>
        </w:tc>
        <w:tc>
          <w:tcPr>
            <w:tcW w:w="217" w:type="dxa"/>
          </w:tcPr>
          <w:p w14:paraId="5603D8C9" w14:textId="77777777" w:rsidR="002C0FD9" w:rsidRPr="00CA25CF" w:rsidRDefault="002C0FD9" w:rsidP="00CA25CF">
            <w:pPr>
              <w:rPr>
                <w:rFonts w:cs="Arial"/>
                <w:color w:val="FF0000"/>
                <w:sz w:val="21"/>
                <w:szCs w:val="21"/>
              </w:rPr>
            </w:pPr>
          </w:p>
        </w:tc>
        <w:tc>
          <w:tcPr>
            <w:tcW w:w="217" w:type="dxa"/>
          </w:tcPr>
          <w:p w14:paraId="6CA075F4" w14:textId="77777777" w:rsidR="002C0FD9" w:rsidRPr="00CA25CF" w:rsidRDefault="002C0FD9" w:rsidP="00CA25CF">
            <w:pPr>
              <w:rPr>
                <w:rFonts w:cs="Arial"/>
                <w:color w:val="FF0000"/>
                <w:sz w:val="21"/>
                <w:szCs w:val="21"/>
              </w:rPr>
            </w:pPr>
          </w:p>
        </w:tc>
        <w:tc>
          <w:tcPr>
            <w:tcW w:w="217" w:type="dxa"/>
          </w:tcPr>
          <w:p w14:paraId="62D9FC43" w14:textId="77777777" w:rsidR="002C0FD9" w:rsidRPr="00CA25CF" w:rsidRDefault="002C0FD9" w:rsidP="00CA25CF">
            <w:pPr>
              <w:rPr>
                <w:rFonts w:cs="Arial"/>
                <w:color w:val="FF0000"/>
                <w:sz w:val="21"/>
                <w:szCs w:val="21"/>
              </w:rPr>
            </w:pPr>
          </w:p>
        </w:tc>
      </w:tr>
      <w:tr w:rsidR="002C0FD9" w:rsidRPr="00A16219" w14:paraId="43EF7DD8" w14:textId="2FD48450" w:rsidTr="002C0FD9">
        <w:trPr>
          <w:trHeight w:val="635"/>
        </w:trPr>
        <w:tc>
          <w:tcPr>
            <w:tcW w:w="515" w:type="dxa"/>
          </w:tcPr>
          <w:p w14:paraId="4F51BCD7" w14:textId="77777777" w:rsidR="002C0FD9" w:rsidRPr="00CA25CF" w:rsidRDefault="002C0FD9" w:rsidP="00CA25CF">
            <w:pPr>
              <w:rPr>
                <w:rFonts w:cs="Arial"/>
                <w:color w:val="FF0000"/>
                <w:sz w:val="21"/>
                <w:szCs w:val="21"/>
              </w:rPr>
            </w:pPr>
          </w:p>
        </w:tc>
        <w:tc>
          <w:tcPr>
            <w:tcW w:w="217" w:type="dxa"/>
          </w:tcPr>
          <w:p w14:paraId="7DC64A42" w14:textId="77777777" w:rsidR="002C0FD9" w:rsidRPr="00CA25CF" w:rsidRDefault="002C0FD9" w:rsidP="00CA25CF">
            <w:pPr>
              <w:rPr>
                <w:rFonts w:cs="Arial"/>
                <w:color w:val="FF0000"/>
                <w:sz w:val="21"/>
                <w:szCs w:val="21"/>
              </w:rPr>
            </w:pPr>
          </w:p>
        </w:tc>
        <w:tc>
          <w:tcPr>
            <w:tcW w:w="217" w:type="dxa"/>
          </w:tcPr>
          <w:p w14:paraId="0DC658ED" w14:textId="71199717" w:rsidR="002C0FD9" w:rsidRPr="00CA25CF" w:rsidRDefault="002C0FD9" w:rsidP="00CA25CF">
            <w:pPr>
              <w:rPr>
                <w:rFonts w:cs="Arial"/>
                <w:color w:val="FF0000"/>
                <w:sz w:val="21"/>
                <w:szCs w:val="21"/>
              </w:rPr>
            </w:pPr>
          </w:p>
        </w:tc>
        <w:tc>
          <w:tcPr>
            <w:tcW w:w="217" w:type="dxa"/>
          </w:tcPr>
          <w:p w14:paraId="0D4E4741" w14:textId="77777777" w:rsidR="002C0FD9" w:rsidRPr="00CA25CF" w:rsidRDefault="002C0FD9" w:rsidP="00CA25CF">
            <w:pPr>
              <w:rPr>
                <w:rFonts w:cs="Arial"/>
                <w:color w:val="FF0000"/>
                <w:sz w:val="21"/>
                <w:szCs w:val="21"/>
              </w:rPr>
            </w:pPr>
          </w:p>
        </w:tc>
        <w:tc>
          <w:tcPr>
            <w:tcW w:w="217" w:type="dxa"/>
          </w:tcPr>
          <w:p w14:paraId="0F104336" w14:textId="77777777" w:rsidR="002C0FD9" w:rsidRPr="00CA25CF" w:rsidRDefault="002C0FD9" w:rsidP="00CA25CF">
            <w:pPr>
              <w:rPr>
                <w:rFonts w:cs="Arial"/>
                <w:color w:val="FF0000"/>
                <w:sz w:val="21"/>
                <w:szCs w:val="21"/>
              </w:rPr>
            </w:pPr>
          </w:p>
        </w:tc>
        <w:tc>
          <w:tcPr>
            <w:tcW w:w="217" w:type="dxa"/>
          </w:tcPr>
          <w:p w14:paraId="7DEF23BD" w14:textId="77777777" w:rsidR="002C0FD9" w:rsidRPr="00CA25CF" w:rsidRDefault="002C0FD9" w:rsidP="00CA25CF">
            <w:pPr>
              <w:rPr>
                <w:rFonts w:cs="Arial"/>
                <w:color w:val="FF0000"/>
                <w:sz w:val="21"/>
                <w:szCs w:val="21"/>
              </w:rPr>
            </w:pPr>
          </w:p>
        </w:tc>
        <w:tc>
          <w:tcPr>
            <w:tcW w:w="217" w:type="dxa"/>
          </w:tcPr>
          <w:p w14:paraId="5A3B018B" w14:textId="77777777" w:rsidR="002C0FD9" w:rsidRPr="00CA25CF" w:rsidRDefault="002C0FD9" w:rsidP="00CA25CF">
            <w:pPr>
              <w:rPr>
                <w:rFonts w:cs="Arial"/>
                <w:color w:val="FF0000"/>
                <w:sz w:val="21"/>
                <w:szCs w:val="21"/>
              </w:rPr>
            </w:pPr>
          </w:p>
        </w:tc>
        <w:tc>
          <w:tcPr>
            <w:tcW w:w="217" w:type="dxa"/>
          </w:tcPr>
          <w:p w14:paraId="24B72350" w14:textId="77777777" w:rsidR="002C0FD9" w:rsidRPr="00CA25CF" w:rsidRDefault="002C0FD9" w:rsidP="00CA25CF">
            <w:pPr>
              <w:rPr>
                <w:rFonts w:cs="Arial"/>
                <w:color w:val="FF0000"/>
                <w:sz w:val="21"/>
                <w:szCs w:val="21"/>
              </w:rPr>
            </w:pPr>
          </w:p>
        </w:tc>
        <w:tc>
          <w:tcPr>
            <w:tcW w:w="217" w:type="dxa"/>
          </w:tcPr>
          <w:p w14:paraId="20D28A88" w14:textId="77777777" w:rsidR="002C0FD9" w:rsidRPr="00CA25CF" w:rsidRDefault="002C0FD9" w:rsidP="00CA25CF">
            <w:pPr>
              <w:rPr>
                <w:rFonts w:cs="Arial"/>
                <w:color w:val="FF0000"/>
                <w:sz w:val="21"/>
                <w:szCs w:val="21"/>
              </w:rPr>
            </w:pPr>
          </w:p>
        </w:tc>
        <w:tc>
          <w:tcPr>
            <w:tcW w:w="217" w:type="dxa"/>
          </w:tcPr>
          <w:p w14:paraId="48194E69" w14:textId="77777777" w:rsidR="002C0FD9" w:rsidRPr="00CA25CF" w:rsidRDefault="002C0FD9" w:rsidP="00CA25CF">
            <w:pPr>
              <w:rPr>
                <w:rFonts w:cs="Arial"/>
                <w:color w:val="FF0000"/>
                <w:sz w:val="21"/>
                <w:szCs w:val="21"/>
              </w:rPr>
            </w:pPr>
          </w:p>
        </w:tc>
        <w:tc>
          <w:tcPr>
            <w:tcW w:w="217" w:type="dxa"/>
          </w:tcPr>
          <w:p w14:paraId="0DE1E52B" w14:textId="77777777" w:rsidR="002C0FD9" w:rsidRPr="00CA25CF" w:rsidRDefault="002C0FD9" w:rsidP="00CA25CF">
            <w:pPr>
              <w:rPr>
                <w:rFonts w:cs="Arial"/>
                <w:color w:val="FF0000"/>
                <w:sz w:val="21"/>
                <w:szCs w:val="21"/>
              </w:rPr>
            </w:pPr>
          </w:p>
        </w:tc>
        <w:tc>
          <w:tcPr>
            <w:tcW w:w="217" w:type="dxa"/>
          </w:tcPr>
          <w:p w14:paraId="2E215FFD" w14:textId="77777777" w:rsidR="002C0FD9" w:rsidRPr="00CA25CF" w:rsidRDefault="002C0FD9" w:rsidP="00CA25CF">
            <w:pPr>
              <w:rPr>
                <w:rFonts w:cs="Arial"/>
                <w:color w:val="FF0000"/>
                <w:sz w:val="21"/>
                <w:szCs w:val="21"/>
              </w:rPr>
            </w:pPr>
          </w:p>
        </w:tc>
        <w:tc>
          <w:tcPr>
            <w:tcW w:w="217" w:type="dxa"/>
          </w:tcPr>
          <w:p w14:paraId="516C3DAF" w14:textId="77777777" w:rsidR="002C0FD9" w:rsidRPr="00CA25CF" w:rsidRDefault="002C0FD9" w:rsidP="00CA25CF">
            <w:pPr>
              <w:rPr>
                <w:rFonts w:cs="Arial"/>
                <w:color w:val="FF0000"/>
                <w:sz w:val="21"/>
                <w:szCs w:val="21"/>
              </w:rPr>
            </w:pPr>
          </w:p>
        </w:tc>
        <w:tc>
          <w:tcPr>
            <w:tcW w:w="217" w:type="dxa"/>
          </w:tcPr>
          <w:p w14:paraId="40873512" w14:textId="77777777" w:rsidR="002C0FD9" w:rsidRPr="00CA25CF" w:rsidRDefault="002C0FD9" w:rsidP="00CA25CF">
            <w:pPr>
              <w:rPr>
                <w:rFonts w:cs="Arial"/>
                <w:color w:val="FF0000"/>
                <w:sz w:val="21"/>
                <w:szCs w:val="21"/>
              </w:rPr>
            </w:pPr>
          </w:p>
        </w:tc>
        <w:tc>
          <w:tcPr>
            <w:tcW w:w="217" w:type="dxa"/>
          </w:tcPr>
          <w:p w14:paraId="1E0BCCDB" w14:textId="77777777" w:rsidR="002C0FD9" w:rsidRPr="00CA25CF" w:rsidRDefault="002C0FD9" w:rsidP="00CA25CF">
            <w:pPr>
              <w:rPr>
                <w:rFonts w:cs="Arial"/>
                <w:color w:val="FF0000"/>
                <w:sz w:val="21"/>
                <w:szCs w:val="21"/>
              </w:rPr>
            </w:pPr>
          </w:p>
        </w:tc>
        <w:tc>
          <w:tcPr>
            <w:tcW w:w="217" w:type="dxa"/>
          </w:tcPr>
          <w:p w14:paraId="45BEB4D1" w14:textId="77777777" w:rsidR="002C0FD9" w:rsidRPr="00CA25CF" w:rsidRDefault="002C0FD9" w:rsidP="00CA25CF">
            <w:pPr>
              <w:rPr>
                <w:rFonts w:cs="Arial"/>
                <w:color w:val="FF0000"/>
                <w:sz w:val="21"/>
                <w:szCs w:val="21"/>
              </w:rPr>
            </w:pPr>
          </w:p>
        </w:tc>
        <w:tc>
          <w:tcPr>
            <w:tcW w:w="217" w:type="dxa"/>
          </w:tcPr>
          <w:p w14:paraId="402B85CD" w14:textId="77777777" w:rsidR="002C0FD9" w:rsidRPr="00CA25CF" w:rsidRDefault="002C0FD9" w:rsidP="00CA25CF">
            <w:pPr>
              <w:rPr>
                <w:rFonts w:cs="Arial"/>
                <w:color w:val="FF0000"/>
                <w:sz w:val="21"/>
                <w:szCs w:val="21"/>
              </w:rPr>
            </w:pPr>
          </w:p>
        </w:tc>
        <w:tc>
          <w:tcPr>
            <w:tcW w:w="217" w:type="dxa"/>
          </w:tcPr>
          <w:p w14:paraId="60B8D513" w14:textId="77777777" w:rsidR="002C0FD9" w:rsidRPr="00CA25CF" w:rsidRDefault="002C0FD9" w:rsidP="00CA25CF">
            <w:pPr>
              <w:rPr>
                <w:rFonts w:cs="Arial"/>
                <w:color w:val="FF0000"/>
                <w:sz w:val="21"/>
                <w:szCs w:val="21"/>
              </w:rPr>
            </w:pPr>
          </w:p>
        </w:tc>
        <w:tc>
          <w:tcPr>
            <w:tcW w:w="217" w:type="dxa"/>
          </w:tcPr>
          <w:p w14:paraId="2DD31E4F" w14:textId="77777777" w:rsidR="002C0FD9" w:rsidRPr="00CA25CF" w:rsidRDefault="002C0FD9" w:rsidP="00CA25CF">
            <w:pPr>
              <w:rPr>
                <w:rFonts w:cs="Arial"/>
                <w:color w:val="FF0000"/>
                <w:sz w:val="21"/>
                <w:szCs w:val="21"/>
              </w:rPr>
            </w:pPr>
          </w:p>
        </w:tc>
        <w:tc>
          <w:tcPr>
            <w:tcW w:w="217" w:type="dxa"/>
          </w:tcPr>
          <w:p w14:paraId="173E7F77" w14:textId="77777777" w:rsidR="002C0FD9" w:rsidRPr="00CA25CF" w:rsidRDefault="002C0FD9" w:rsidP="00CA25CF">
            <w:pPr>
              <w:rPr>
                <w:rFonts w:cs="Arial"/>
                <w:color w:val="FF0000"/>
                <w:sz w:val="21"/>
                <w:szCs w:val="21"/>
              </w:rPr>
            </w:pPr>
          </w:p>
        </w:tc>
        <w:tc>
          <w:tcPr>
            <w:tcW w:w="217" w:type="dxa"/>
          </w:tcPr>
          <w:p w14:paraId="53ACA5A3" w14:textId="77777777" w:rsidR="002C0FD9" w:rsidRPr="00CA25CF" w:rsidRDefault="002C0FD9" w:rsidP="00CA25CF">
            <w:pPr>
              <w:rPr>
                <w:rFonts w:cs="Arial"/>
                <w:color w:val="FF0000"/>
                <w:sz w:val="21"/>
                <w:szCs w:val="21"/>
              </w:rPr>
            </w:pPr>
          </w:p>
        </w:tc>
        <w:tc>
          <w:tcPr>
            <w:tcW w:w="217" w:type="dxa"/>
          </w:tcPr>
          <w:p w14:paraId="215B3AE7" w14:textId="77777777" w:rsidR="002C0FD9" w:rsidRPr="00CA25CF" w:rsidRDefault="002C0FD9" w:rsidP="00CA25CF">
            <w:pPr>
              <w:rPr>
                <w:rFonts w:cs="Arial"/>
                <w:color w:val="FF0000"/>
                <w:sz w:val="21"/>
                <w:szCs w:val="21"/>
              </w:rPr>
            </w:pPr>
          </w:p>
        </w:tc>
        <w:tc>
          <w:tcPr>
            <w:tcW w:w="217" w:type="dxa"/>
          </w:tcPr>
          <w:p w14:paraId="06E4CE0D" w14:textId="77777777" w:rsidR="002C0FD9" w:rsidRPr="00CA25CF" w:rsidRDefault="002C0FD9" w:rsidP="00CA25CF">
            <w:pPr>
              <w:rPr>
                <w:rFonts w:cs="Arial"/>
                <w:color w:val="FF0000"/>
                <w:sz w:val="21"/>
                <w:szCs w:val="21"/>
              </w:rPr>
            </w:pPr>
          </w:p>
        </w:tc>
        <w:tc>
          <w:tcPr>
            <w:tcW w:w="217" w:type="dxa"/>
          </w:tcPr>
          <w:p w14:paraId="12C18C29" w14:textId="77777777" w:rsidR="002C0FD9" w:rsidRPr="00CA25CF" w:rsidRDefault="002C0FD9" w:rsidP="00CA25CF">
            <w:pPr>
              <w:rPr>
                <w:rFonts w:cs="Arial"/>
                <w:color w:val="FF0000"/>
                <w:sz w:val="21"/>
                <w:szCs w:val="21"/>
              </w:rPr>
            </w:pPr>
          </w:p>
        </w:tc>
        <w:tc>
          <w:tcPr>
            <w:tcW w:w="217" w:type="dxa"/>
          </w:tcPr>
          <w:p w14:paraId="262AC6A8" w14:textId="77777777" w:rsidR="002C0FD9" w:rsidRPr="00CA25CF" w:rsidRDefault="002C0FD9" w:rsidP="00CA25CF">
            <w:pPr>
              <w:rPr>
                <w:rFonts w:cs="Arial"/>
                <w:color w:val="FF0000"/>
                <w:sz w:val="21"/>
                <w:szCs w:val="21"/>
              </w:rPr>
            </w:pPr>
          </w:p>
        </w:tc>
        <w:tc>
          <w:tcPr>
            <w:tcW w:w="217" w:type="dxa"/>
          </w:tcPr>
          <w:p w14:paraId="5213D2A1" w14:textId="77777777" w:rsidR="002C0FD9" w:rsidRPr="00CA25CF" w:rsidRDefault="002C0FD9" w:rsidP="00CA25CF">
            <w:pPr>
              <w:rPr>
                <w:rFonts w:cs="Arial"/>
                <w:color w:val="FF0000"/>
                <w:sz w:val="21"/>
                <w:szCs w:val="21"/>
              </w:rPr>
            </w:pPr>
          </w:p>
        </w:tc>
        <w:tc>
          <w:tcPr>
            <w:tcW w:w="217" w:type="dxa"/>
          </w:tcPr>
          <w:p w14:paraId="5D843BC9" w14:textId="77777777" w:rsidR="002C0FD9" w:rsidRPr="00CA25CF" w:rsidRDefault="002C0FD9" w:rsidP="00CA25CF">
            <w:pPr>
              <w:rPr>
                <w:rFonts w:cs="Arial"/>
                <w:color w:val="FF0000"/>
                <w:sz w:val="21"/>
                <w:szCs w:val="21"/>
              </w:rPr>
            </w:pPr>
          </w:p>
        </w:tc>
        <w:tc>
          <w:tcPr>
            <w:tcW w:w="217" w:type="dxa"/>
          </w:tcPr>
          <w:p w14:paraId="34F66AEE" w14:textId="77777777" w:rsidR="002C0FD9" w:rsidRPr="00CA25CF" w:rsidRDefault="002C0FD9" w:rsidP="00CA25CF">
            <w:pPr>
              <w:rPr>
                <w:rFonts w:cs="Arial"/>
                <w:color w:val="FF0000"/>
                <w:sz w:val="21"/>
                <w:szCs w:val="21"/>
              </w:rPr>
            </w:pPr>
          </w:p>
        </w:tc>
        <w:tc>
          <w:tcPr>
            <w:tcW w:w="217" w:type="dxa"/>
          </w:tcPr>
          <w:p w14:paraId="6C710F4A" w14:textId="77777777" w:rsidR="002C0FD9" w:rsidRPr="00CA25CF" w:rsidRDefault="002C0FD9" w:rsidP="00CA25CF">
            <w:pPr>
              <w:rPr>
                <w:rFonts w:cs="Arial"/>
                <w:color w:val="FF0000"/>
                <w:sz w:val="21"/>
                <w:szCs w:val="21"/>
              </w:rPr>
            </w:pPr>
          </w:p>
        </w:tc>
        <w:tc>
          <w:tcPr>
            <w:tcW w:w="217" w:type="dxa"/>
          </w:tcPr>
          <w:p w14:paraId="48647A20" w14:textId="77777777" w:rsidR="002C0FD9" w:rsidRPr="00CA25CF" w:rsidRDefault="002C0FD9" w:rsidP="00CA25CF">
            <w:pPr>
              <w:rPr>
                <w:rFonts w:cs="Arial"/>
                <w:color w:val="FF0000"/>
                <w:sz w:val="21"/>
                <w:szCs w:val="21"/>
              </w:rPr>
            </w:pPr>
          </w:p>
        </w:tc>
        <w:tc>
          <w:tcPr>
            <w:tcW w:w="217" w:type="dxa"/>
          </w:tcPr>
          <w:p w14:paraId="51ADFB36" w14:textId="77777777" w:rsidR="002C0FD9" w:rsidRPr="00CA25CF" w:rsidRDefault="002C0FD9" w:rsidP="00CA25CF">
            <w:pPr>
              <w:rPr>
                <w:rFonts w:cs="Arial"/>
                <w:color w:val="FF0000"/>
                <w:sz w:val="21"/>
                <w:szCs w:val="21"/>
              </w:rPr>
            </w:pPr>
          </w:p>
        </w:tc>
        <w:tc>
          <w:tcPr>
            <w:tcW w:w="217" w:type="dxa"/>
          </w:tcPr>
          <w:p w14:paraId="1A8B1B70" w14:textId="77777777" w:rsidR="002C0FD9" w:rsidRPr="00CA25CF" w:rsidRDefault="002C0FD9" w:rsidP="00CA25CF">
            <w:pPr>
              <w:rPr>
                <w:rFonts w:cs="Arial"/>
                <w:color w:val="FF0000"/>
                <w:sz w:val="21"/>
                <w:szCs w:val="21"/>
              </w:rPr>
            </w:pPr>
          </w:p>
        </w:tc>
        <w:tc>
          <w:tcPr>
            <w:tcW w:w="217" w:type="dxa"/>
          </w:tcPr>
          <w:p w14:paraId="65A862D7" w14:textId="77777777" w:rsidR="002C0FD9" w:rsidRPr="00CA25CF" w:rsidRDefault="002C0FD9" w:rsidP="00CA25CF">
            <w:pPr>
              <w:rPr>
                <w:rFonts w:cs="Arial"/>
                <w:color w:val="FF0000"/>
                <w:sz w:val="21"/>
                <w:szCs w:val="21"/>
              </w:rPr>
            </w:pPr>
          </w:p>
        </w:tc>
        <w:tc>
          <w:tcPr>
            <w:tcW w:w="217" w:type="dxa"/>
          </w:tcPr>
          <w:p w14:paraId="07E4B311" w14:textId="77777777" w:rsidR="002C0FD9" w:rsidRPr="00CA25CF" w:rsidRDefault="002C0FD9" w:rsidP="00CA25CF">
            <w:pPr>
              <w:rPr>
                <w:rFonts w:cs="Arial"/>
                <w:color w:val="FF0000"/>
                <w:sz w:val="21"/>
                <w:szCs w:val="21"/>
              </w:rPr>
            </w:pPr>
          </w:p>
        </w:tc>
        <w:tc>
          <w:tcPr>
            <w:tcW w:w="217" w:type="dxa"/>
          </w:tcPr>
          <w:p w14:paraId="6BB6484C" w14:textId="77777777" w:rsidR="002C0FD9" w:rsidRPr="00CA25CF" w:rsidRDefault="002C0FD9" w:rsidP="00CA25CF">
            <w:pPr>
              <w:rPr>
                <w:rFonts w:cs="Arial"/>
                <w:color w:val="FF0000"/>
                <w:sz w:val="21"/>
                <w:szCs w:val="21"/>
              </w:rPr>
            </w:pPr>
          </w:p>
        </w:tc>
        <w:tc>
          <w:tcPr>
            <w:tcW w:w="217" w:type="dxa"/>
          </w:tcPr>
          <w:p w14:paraId="4B00837F" w14:textId="77777777" w:rsidR="002C0FD9" w:rsidRPr="00CA25CF" w:rsidRDefault="002C0FD9" w:rsidP="00CA25CF">
            <w:pPr>
              <w:rPr>
                <w:rFonts w:cs="Arial"/>
                <w:color w:val="FF0000"/>
                <w:sz w:val="21"/>
                <w:szCs w:val="21"/>
              </w:rPr>
            </w:pPr>
          </w:p>
        </w:tc>
        <w:tc>
          <w:tcPr>
            <w:tcW w:w="217" w:type="dxa"/>
          </w:tcPr>
          <w:p w14:paraId="6DC16A96" w14:textId="77777777" w:rsidR="002C0FD9" w:rsidRPr="00CA25CF" w:rsidRDefault="002C0FD9" w:rsidP="00CA25CF">
            <w:pPr>
              <w:rPr>
                <w:rFonts w:cs="Arial"/>
                <w:color w:val="FF0000"/>
                <w:sz w:val="21"/>
                <w:szCs w:val="21"/>
              </w:rPr>
            </w:pPr>
          </w:p>
        </w:tc>
        <w:tc>
          <w:tcPr>
            <w:tcW w:w="217" w:type="dxa"/>
          </w:tcPr>
          <w:p w14:paraId="3022F953" w14:textId="77777777" w:rsidR="002C0FD9" w:rsidRPr="00CA25CF" w:rsidRDefault="002C0FD9" w:rsidP="00CA25CF">
            <w:pPr>
              <w:rPr>
                <w:rFonts w:cs="Arial"/>
                <w:color w:val="FF0000"/>
                <w:sz w:val="21"/>
                <w:szCs w:val="21"/>
              </w:rPr>
            </w:pPr>
          </w:p>
        </w:tc>
        <w:tc>
          <w:tcPr>
            <w:tcW w:w="217" w:type="dxa"/>
          </w:tcPr>
          <w:p w14:paraId="48C3B028" w14:textId="77777777" w:rsidR="002C0FD9" w:rsidRPr="00CA25CF" w:rsidRDefault="002C0FD9" w:rsidP="00CA25CF">
            <w:pPr>
              <w:rPr>
                <w:rFonts w:cs="Arial"/>
                <w:color w:val="FF0000"/>
                <w:sz w:val="21"/>
                <w:szCs w:val="21"/>
              </w:rPr>
            </w:pPr>
          </w:p>
        </w:tc>
        <w:tc>
          <w:tcPr>
            <w:tcW w:w="217" w:type="dxa"/>
          </w:tcPr>
          <w:p w14:paraId="1649C18E" w14:textId="77777777" w:rsidR="002C0FD9" w:rsidRPr="00CA25CF" w:rsidRDefault="002C0FD9" w:rsidP="00CA25CF">
            <w:pPr>
              <w:rPr>
                <w:rFonts w:cs="Arial"/>
                <w:color w:val="FF0000"/>
                <w:sz w:val="21"/>
                <w:szCs w:val="21"/>
              </w:rPr>
            </w:pPr>
          </w:p>
        </w:tc>
        <w:tc>
          <w:tcPr>
            <w:tcW w:w="217" w:type="dxa"/>
          </w:tcPr>
          <w:p w14:paraId="269321F4" w14:textId="77777777" w:rsidR="002C0FD9" w:rsidRPr="00CA25CF" w:rsidRDefault="002C0FD9" w:rsidP="00CA25CF">
            <w:pPr>
              <w:rPr>
                <w:rFonts w:cs="Arial"/>
                <w:color w:val="FF0000"/>
                <w:sz w:val="21"/>
                <w:szCs w:val="21"/>
              </w:rPr>
            </w:pPr>
          </w:p>
        </w:tc>
        <w:tc>
          <w:tcPr>
            <w:tcW w:w="217" w:type="dxa"/>
          </w:tcPr>
          <w:p w14:paraId="758A5E69" w14:textId="77777777" w:rsidR="002C0FD9" w:rsidRPr="00CA25CF" w:rsidRDefault="002C0FD9" w:rsidP="00CA25CF">
            <w:pPr>
              <w:rPr>
                <w:rFonts w:cs="Arial"/>
                <w:color w:val="FF0000"/>
                <w:sz w:val="21"/>
                <w:szCs w:val="21"/>
              </w:rPr>
            </w:pPr>
          </w:p>
        </w:tc>
        <w:tc>
          <w:tcPr>
            <w:tcW w:w="217" w:type="dxa"/>
          </w:tcPr>
          <w:p w14:paraId="5854DB01" w14:textId="77777777" w:rsidR="002C0FD9" w:rsidRPr="00CA25CF" w:rsidRDefault="002C0FD9" w:rsidP="00CA25CF">
            <w:pPr>
              <w:rPr>
                <w:rFonts w:cs="Arial"/>
                <w:color w:val="FF0000"/>
                <w:sz w:val="21"/>
                <w:szCs w:val="21"/>
              </w:rPr>
            </w:pPr>
          </w:p>
        </w:tc>
      </w:tr>
      <w:tr w:rsidR="002C0FD9" w:rsidRPr="00A16219" w14:paraId="3DBEEC26" w14:textId="4715E55C" w:rsidTr="002C0FD9">
        <w:trPr>
          <w:trHeight w:val="635"/>
        </w:trPr>
        <w:tc>
          <w:tcPr>
            <w:tcW w:w="515" w:type="dxa"/>
          </w:tcPr>
          <w:p w14:paraId="55BB9DB6" w14:textId="77777777" w:rsidR="002C0FD9" w:rsidRPr="00CA25CF" w:rsidRDefault="002C0FD9" w:rsidP="00CA25CF">
            <w:pPr>
              <w:rPr>
                <w:rFonts w:cs="Arial"/>
                <w:color w:val="FF0000"/>
                <w:sz w:val="21"/>
                <w:szCs w:val="21"/>
              </w:rPr>
            </w:pPr>
          </w:p>
        </w:tc>
        <w:tc>
          <w:tcPr>
            <w:tcW w:w="217" w:type="dxa"/>
          </w:tcPr>
          <w:p w14:paraId="47BBDF4D" w14:textId="77777777" w:rsidR="002C0FD9" w:rsidRPr="00CA25CF" w:rsidRDefault="002C0FD9" w:rsidP="00CA25CF">
            <w:pPr>
              <w:rPr>
                <w:rFonts w:cs="Arial"/>
                <w:color w:val="FF0000"/>
                <w:sz w:val="21"/>
                <w:szCs w:val="21"/>
              </w:rPr>
            </w:pPr>
          </w:p>
        </w:tc>
        <w:tc>
          <w:tcPr>
            <w:tcW w:w="217" w:type="dxa"/>
          </w:tcPr>
          <w:p w14:paraId="199E2B95" w14:textId="35ACF83C" w:rsidR="002C0FD9" w:rsidRPr="00CA25CF" w:rsidRDefault="002C0FD9" w:rsidP="00CA25CF">
            <w:pPr>
              <w:rPr>
                <w:rFonts w:cs="Arial"/>
                <w:color w:val="FF0000"/>
                <w:sz w:val="21"/>
                <w:szCs w:val="21"/>
              </w:rPr>
            </w:pPr>
          </w:p>
        </w:tc>
        <w:tc>
          <w:tcPr>
            <w:tcW w:w="217" w:type="dxa"/>
          </w:tcPr>
          <w:p w14:paraId="63FAAC26" w14:textId="77777777" w:rsidR="002C0FD9" w:rsidRPr="00CA25CF" w:rsidRDefault="002C0FD9" w:rsidP="00CA25CF">
            <w:pPr>
              <w:rPr>
                <w:rFonts w:cs="Arial"/>
                <w:color w:val="FF0000"/>
                <w:sz w:val="21"/>
                <w:szCs w:val="21"/>
              </w:rPr>
            </w:pPr>
          </w:p>
        </w:tc>
        <w:tc>
          <w:tcPr>
            <w:tcW w:w="217" w:type="dxa"/>
          </w:tcPr>
          <w:p w14:paraId="22AB106A" w14:textId="77777777" w:rsidR="002C0FD9" w:rsidRPr="00CA25CF" w:rsidRDefault="002C0FD9" w:rsidP="00CA25CF">
            <w:pPr>
              <w:rPr>
                <w:rFonts w:cs="Arial"/>
                <w:color w:val="FF0000"/>
                <w:sz w:val="21"/>
                <w:szCs w:val="21"/>
              </w:rPr>
            </w:pPr>
          </w:p>
        </w:tc>
        <w:tc>
          <w:tcPr>
            <w:tcW w:w="217" w:type="dxa"/>
          </w:tcPr>
          <w:p w14:paraId="17A1677C" w14:textId="77777777" w:rsidR="002C0FD9" w:rsidRPr="00CA25CF" w:rsidRDefault="002C0FD9" w:rsidP="00CA25CF">
            <w:pPr>
              <w:rPr>
                <w:rFonts w:cs="Arial"/>
                <w:color w:val="FF0000"/>
                <w:sz w:val="21"/>
                <w:szCs w:val="21"/>
              </w:rPr>
            </w:pPr>
          </w:p>
        </w:tc>
        <w:tc>
          <w:tcPr>
            <w:tcW w:w="217" w:type="dxa"/>
          </w:tcPr>
          <w:p w14:paraId="260BC3A2" w14:textId="77777777" w:rsidR="002C0FD9" w:rsidRPr="00CA25CF" w:rsidRDefault="002C0FD9" w:rsidP="00CA25CF">
            <w:pPr>
              <w:rPr>
                <w:rFonts w:cs="Arial"/>
                <w:color w:val="FF0000"/>
                <w:sz w:val="21"/>
                <w:szCs w:val="21"/>
              </w:rPr>
            </w:pPr>
          </w:p>
        </w:tc>
        <w:tc>
          <w:tcPr>
            <w:tcW w:w="217" w:type="dxa"/>
          </w:tcPr>
          <w:p w14:paraId="2C5CF18C" w14:textId="77777777" w:rsidR="002C0FD9" w:rsidRPr="00CA25CF" w:rsidRDefault="002C0FD9" w:rsidP="00CA25CF">
            <w:pPr>
              <w:rPr>
                <w:rFonts w:cs="Arial"/>
                <w:color w:val="FF0000"/>
                <w:sz w:val="21"/>
                <w:szCs w:val="21"/>
              </w:rPr>
            </w:pPr>
          </w:p>
        </w:tc>
        <w:tc>
          <w:tcPr>
            <w:tcW w:w="217" w:type="dxa"/>
          </w:tcPr>
          <w:p w14:paraId="04AB5D95" w14:textId="77777777" w:rsidR="002C0FD9" w:rsidRPr="00CA25CF" w:rsidRDefault="002C0FD9" w:rsidP="00CA25CF">
            <w:pPr>
              <w:rPr>
                <w:rFonts w:cs="Arial"/>
                <w:color w:val="FF0000"/>
                <w:sz w:val="21"/>
                <w:szCs w:val="21"/>
              </w:rPr>
            </w:pPr>
          </w:p>
        </w:tc>
        <w:tc>
          <w:tcPr>
            <w:tcW w:w="217" w:type="dxa"/>
          </w:tcPr>
          <w:p w14:paraId="3D31C8D0" w14:textId="77777777" w:rsidR="002C0FD9" w:rsidRPr="00CA25CF" w:rsidRDefault="002C0FD9" w:rsidP="00CA25CF">
            <w:pPr>
              <w:rPr>
                <w:rFonts w:cs="Arial"/>
                <w:color w:val="FF0000"/>
                <w:sz w:val="21"/>
                <w:szCs w:val="21"/>
              </w:rPr>
            </w:pPr>
          </w:p>
        </w:tc>
        <w:tc>
          <w:tcPr>
            <w:tcW w:w="217" w:type="dxa"/>
          </w:tcPr>
          <w:p w14:paraId="39F1A96E" w14:textId="77777777" w:rsidR="002C0FD9" w:rsidRPr="00CA25CF" w:rsidRDefault="002C0FD9" w:rsidP="00CA25CF">
            <w:pPr>
              <w:rPr>
                <w:rFonts w:cs="Arial"/>
                <w:color w:val="FF0000"/>
                <w:sz w:val="21"/>
                <w:szCs w:val="21"/>
              </w:rPr>
            </w:pPr>
          </w:p>
        </w:tc>
        <w:tc>
          <w:tcPr>
            <w:tcW w:w="217" w:type="dxa"/>
          </w:tcPr>
          <w:p w14:paraId="06FDC0F3" w14:textId="77777777" w:rsidR="002C0FD9" w:rsidRPr="00CA25CF" w:rsidRDefault="002C0FD9" w:rsidP="00CA25CF">
            <w:pPr>
              <w:rPr>
                <w:rFonts w:cs="Arial"/>
                <w:color w:val="FF0000"/>
                <w:sz w:val="21"/>
                <w:szCs w:val="21"/>
              </w:rPr>
            </w:pPr>
          </w:p>
        </w:tc>
        <w:tc>
          <w:tcPr>
            <w:tcW w:w="217" w:type="dxa"/>
          </w:tcPr>
          <w:p w14:paraId="4FDFD18A" w14:textId="77777777" w:rsidR="002C0FD9" w:rsidRPr="00CA25CF" w:rsidRDefault="002C0FD9" w:rsidP="00CA25CF">
            <w:pPr>
              <w:rPr>
                <w:rFonts w:cs="Arial"/>
                <w:color w:val="FF0000"/>
                <w:sz w:val="21"/>
                <w:szCs w:val="21"/>
              </w:rPr>
            </w:pPr>
          </w:p>
        </w:tc>
        <w:tc>
          <w:tcPr>
            <w:tcW w:w="217" w:type="dxa"/>
          </w:tcPr>
          <w:p w14:paraId="58767BDD" w14:textId="77777777" w:rsidR="002C0FD9" w:rsidRPr="00CA25CF" w:rsidRDefault="002C0FD9" w:rsidP="00CA25CF">
            <w:pPr>
              <w:rPr>
                <w:rFonts w:cs="Arial"/>
                <w:color w:val="FF0000"/>
                <w:sz w:val="21"/>
                <w:szCs w:val="21"/>
              </w:rPr>
            </w:pPr>
          </w:p>
        </w:tc>
        <w:tc>
          <w:tcPr>
            <w:tcW w:w="217" w:type="dxa"/>
          </w:tcPr>
          <w:p w14:paraId="547ABA3B" w14:textId="77777777" w:rsidR="002C0FD9" w:rsidRPr="00CA25CF" w:rsidRDefault="002C0FD9" w:rsidP="00CA25CF">
            <w:pPr>
              <w:rPr>
                <w:rFonts w:cs="Arial"/>
                <w:color w:val="FF0000"/>
                <w:sz w:val="21"/>
                <w:szCs w:val="21"/>
              </w:rPr>
            </w:pPr>
          </w:p>
        </w:tc>
        <w:tc>
          <w:tcPr>
            <w:tcW w:w="217" w:type="dxa"/>
          </w:tcPr>
          <w:p w14:paraId="03474753" w14:textId="77777777" w:rsidR="002C0FD9" w:rsidRPr="00CA25CF" w:rsidRDefault="002C0FD9" w:rsidP="00CA25CF">
            <w:pPr>
              <w:rPr>
                <w:rFonts w:cs="Arial"/>
                <w:color w:val="FF0000"/>
                <w:sz w:val="21"/>
                <w:szCs w:val="21"/>
              </w:rPr>
            </w:pPr>
          </w:p>
        </w:tc>
        <w:tc>
          <w:tcPr>
            <w:tcW w:w="217" w:type="dxa"/>
          </w:tcPr>
          <w:p w14:paraId="6087DF1E" w14:textId="77777777" w:rsidR="002C0FD9" w:rsidRPr="00CA25CF" w:rsidRDefault="002C0FD9" w:rsidP="00CA25CF">
            <w:pPr>
              <w:rPr>
                <w:rFonts w:cs="Arial"/>
                <w:color w:val="FF0000"/>
                <w:sz w:val="21"/>
                <w:szCs w:val="21"/>
              </w:rPr>
            </w:pPr>
          </w:p>
        </w:tc>
        <w:tc>
          <w:tcPr>
            <w:tcW w:w="217" w:type="dxa"/>
          </w:tcPr>
          <w:p w14:paraId="578762EF" w14:textId="77777777" w:rsidR="002C0FD9" w:rsidRPr="00CA25CF" w:rsidRDefault="002C0FD9" w:rsidP="00CA25CF">
            <w:pPr>
              <w:rPr>
                <w:rFonts w:cs="Arial"/>
                <w:color w:val="FF0000"/>
                <w:sz w:val="21"/>
                <w:szCs w:val="21"/>
              </w:rPr>
            </w:pPr>
          </w:p>
        </w:tc>
        <w:tc>
          <w:tcPr>
            <w:tcW w:w="217" w:type="dxa"/>
          </w:tcPr>
          <w:p w14:paraId="7FEB3DEB" w14:textId="77777777" w:rsidR="002C0FD9" w:rsidRPr="00CA25CF" w:rsidRDefault="002C0FD9" w:rsidP="00CA25CF">
            <w:pPr>
              <w:rPr>
                <w:rFonts w:cs="Arial"/>
                <w:color w:val="FF0000"/>
                <w:sz w:val="21"/>
                <w:szCs w:val="21"/>
              </w:rPr>
            </w:pPr>
          </w:p>
        </w:tc>
        <w:tc>
          <w:tcPr>
            <w:tcW w:w="217" w:type="dxa"/>
          </w:tcPr>
          <w:p w14:paraId="7EB34B11" w14:textId="77777777" w:rsidR="002C0FD9" w:rsidRPr="00CA25CF" w:rsidRDefault="002C0FD9" w:rsidP="00CA25CF">
            <w:pPr>
              <w:rPr>
                <w:rFonts w:cs="Arial"/>
                <w:color w:val="FF0000"/>
                <w:sz w:val="21"/>
                <w:szCs w:val="21"/>
              </w:rPr>
            </w:pPr>
          </w:p>
        </w:tc>
        <w:tc>
          <w:tcPr>
            <w:tcW w:w="217" w:type="dxa"/>
          </w:tcPr>
          <w:p w14:paraId="3F53BE31" w14:textId="77777777" w:rsidR="002C0FD9" w:rsidRPr="00CA25CF" w:rsidRDefault="002C0FD9" w:rsidP="00CA25CF">
            <w:pPr>
              <w:rPr>
                <w:rFonts w:cs="Arial"/>
                <w:color w:val="FF0000"/>
                <w:sz w:val="21"/>
                <w:szCs w:val="21"/>
              </w:rPr>
            </w:pPr>
          </w:p>
        </w:tc>
        <w:tc>
          <w:tcPr>
            <w:tcW w:w="217" w:type="dxa"/>
          </w:tcPr>
          <w:p w14:paraId="0AB430C0" w14:textId="77777777" w:rsidR="002C0FD9" w:rsidRPr="00CA25CF" w:rsidRDefault="002C0FD9" w:rsidP="00CA25CF">
            <w:pPr>
              <w:rPr>
                <w:rFonts w:cs="Arial"/>
                <w:color w:val="FF0000"/>
                <w:sz w:val="21"/>
                <w:szCs w:val="21"/>
              </w:rPr>
            </w:pPr>
          </w:p>
        </w:tc>
        <w:tc>
          <w:tcPr>
            <w:tcW w:w="217" w:type="dxa"/>
          </w:tcPr>
          <w:p w14:paraId="2E0CC667" w14:textId="77777777" w:rsidR="002C0FD9" w:rsidRPr="00CA25CF" w:rsidRDefault="002C0FD9" w:rsidP="00CA25CF">
            <w:pPr>
              <w:rPr>
                <w:rFonts w:cs="Arial"/>
                <w:color w:val="FF0000"/>
                <w:sz w:val="21"/>
                <w:szCs w:val="21"/>
              </w:rPr>
            </w:pPr>
          </w:p>
        </w:tc>
        <w:tc>
          <w:tcPr>
            <w:tcW w:w="217" w:type="dxa"/>
          </w:tcPr>
          <w:p w14:paraId="3B2417F0" w14:textId="77777777" w:rsidR="002C0FD9" w:rsidRPr="00CA25CF" w:rsidRDefault="002C0FD9" w:rsidP="00CA25CF">
            <w:pPr>
              <w:rPr>
                <w:rFonts w:cs="Arial"/>
                <w:color w:val="FF0000"/>
                <w:sz w:val="21"/>
                <w:szCs w:val="21"/>
              </w:rPr>
            </w:pPr>
          </w:p>
        </w:tc>
        <w:tc>
          <w:tcPr>
            <w:tcW w:w="217" w:type="dxa"/>
          </w:tcPr>
          <w:p w14:paraId="72B726B4" w14:textId="77777777" w:rsidR="002C0FD9" w:rsidRPr="00CA25CF" w:rsidRDefault="002C0FD9" w:rsidP="00CA25CF">
            <w:pPr>
              <w:rPr>
                <w:rFonts w:cs="Arial"/>
                <w:color w:val="FF0000"/>
                <w:sz w:val="21"/>
                <w:szCs w:val="21"/>
              </w:rPr>
            </w:pPr>
          </w:p>
        </w:tc>
        <w:tc>
          <w:tcPr>
            <w:tcW w:w="217" w:type="dxa"/>
          </w:tcPr>
          <w:p w14:paraId="7754C365" w14:textId="77777777" w:rsidR="002C0FD9" w:rsidRPr="00CA25CF" w:rsidRDefault="002C0FD9" w:rsidP="00CA25CF">
            <w:pPr>
              <w:rPr>
                <w:rFonts w:cs="Arial"/>
                <w:color w:val="FF0000"/>
                <w:sz w:val="21"/>
                <w:szCs w:val="21"/>
              </w:rPr>
            </w:pPr>
          </w:p>
        </w:tc>
        <w:tc>
          <w:tcPr>
            <w:tcW w:w="217" w:type="dxa"/>
          </w:tcPr>
          <w:p w14:paraId="09D8EB36" w14:textId="77777777" w:rsidR="002C0FD9" w:rsidRPr="00CA25CF" w:rsidRDefault="002C0FD9" w:rsidP="00CA25CF">
            <w:pPr>
              <w:rPr>
                <w:rFonts w:cs="Arial"/>
                <w:color w:val="FF0000"/>
                <w:sz w:val="21"/>
                <w:szCs w:val="21"/>
              </w:rPr>
            </w:pPr>
          </w:p>
        </w:tc>
        <w:tc>
          <w:tcPr>
            <w:tcW w:w="217" w:type="dxa"/>
          </w:tcPr>
          <w:p w14:paraId="61C43149" w14:textId="77777777" w:rsidR="002C0FD9" w:rsidRPr="00CA25CF" w:rsidRDefault="002C0FD9" w:rsidP="00CA25CF">
            <w:pPr>
              <w:rPr>
                <w:rFonts w:cs="Arial"/>
                <w:color w:val="FF0000"/>
                <w:sz w:val="21"/>
                <w:szCs w:val="21"/>
              </w:rPr>
            </w:pPr>
          </w:p>
        </w:tc>
        <w:tc>
          <w:tcPr>
            <w:tcW w:w="217" w:type="dxa"/>
          </w:tcPr>
          <w:p w14:paraId="3EA39FFA" w14:textId="77777777" w:rsidR="002C0FD9" w:rsidRPr="00CA25CF" w:rsidRDefault="002C0FD9" w:rsidP="00CA25CF">
            <w:pPr>
              <w:rPr>
                <w:rFonts w:cs="Arial"/>
                <w:color w:val="FF0000"/>
                <w:sz w:val="21"/>
                <w:szCs w:val="21"/>
              </w:rPr>
            </w:pPr>
          </w:p>
        </w:tc>
        <w:tc>
          <w:tcPr>
            <w:tcW w:w="217" w:type="dxa"/>
          </w:tcPr>
          <w:p w14:paraId="263D0739" w14:textId="77777777" w:rsidR="002C0FD9" w:rsidRPr="00CA25CF" w:rsidRDefault="002C0FD9" w:rsidP="00CA25CF">
            <w:pPr>
              <w:rPr>
                <w:rFonts w:cs="Arial"/>
                <w:color w:val="FF0000"/>
                <w:sz w:val="21"/>
                <w:szCs w:val="21"/>
              </w:rPr>
            </w:pPr>
          </w:p>
        </w:tc>
        <w:tc>
          <w:tcPr>
            <w:tcW w:w="217" w:type="dxa"/>
          </w:tcPr>
          <w:p w14:paraId="0E4AE18A" w14:textId="77777777" w:rsidR="002C0FD9" w:rsidRPr="00CA25CF" w:rsidRDefault="002C0FD9" w:rsidP="00CA25CF">
            <w:pPr>
              <w:rPr>
                <w:rFonts w:cs="Arial"/>
                <w:color w:val="FF0000"/>
                <w:sz w:val="21"/>
                <w:szCs w:val="21"/>
              </w:rPr>
            </w:pPr>
          </w:p>
        </w:tc>
        <w:tc>
          <w:tcPr>
            <w:tcW w:w="217" w:type="dxa"/>
          </w:tcPr>
          <w:p w14:paraId="69BB17B7" w14:textId="77777777" w:rsidR="002C0FD9" w:rsidRPr="00CA25CF" w:rsidRDefault="002C0FD9" w:rsidP="00CA25CF">
            <w:pPr>
              <w:rPr>
                <w:rFonts w:cs="Arial"/>
                <w:color w:val="FF0000"/>
                <w:sz w:val="21"/>
                <w:szCs w:val="21"/>
              </w:rPr>
            </w:pPr>
          </w:p>
        </w:tc>
        <w:tc>
          <w:tcPr>
            <w:tcW w:w="217" w:type="dxa"/>
          </w:tcPr>
          <w:p w14:paraId="4989A43E" w14:textId="77777777" w:rsidR="002C0FD9" w:rsidRPr="00CA25CF" w:rsidRDefault="002C0FD9" w:rsidP="00CA25CF">
            <w:pPr>
              <w:rPr>
                <w:rFonts w:cs="Arial"/>
                <w:color w:val="FF0000"/>
                <w:sz w:val="21"/>
                <w:szCs w:val="21"/>
              </w:rPr>
            </w:pPr>
          </w:p>
        </w:tc>
        <w:tc>
          <w:tcPr>
            <w:tcW w:w="217" w:type="dxa"/>
          </w:tcPr>
          <w:p w14:paraId="406EB36B" w14:textId="77777777" w:rsidR="002C0FD9" w:rsidRPr="00CA25CF" w:rsidRDefault="002C0FD9" w:rsidP="00CA25CF">
            <w:pPr>
              <w:rPr>
                <w:rFonts w:cs="Arial"/>
                <w:color w:val="FF0000"/>
                <w:sz w:val="21"/>
                <w:szCs w:val="21"/>
              </w:rPr>
            </w:pPr>
          </w:p>
        </w:tc>
        <w:tc>
          <w:tcPr>
            <w:tcW w:w="217" w:type="dxa"/>
          </w:tcPr>
          <w:p w14:paraId="71E5E1FD" w14:textId="77777777" w:rsidR="002C0FD9" w:rsidRPr="00CA25CF" w:rsidRDefault="002C0FD9" w:rsidP="00CA25CF">
            <w:pPr>
              <w:rPr>
                <w:rFonts w:cs="Arial"/>
                <w:color w:val="FF0000"/>
                <w:sz w:val="21"/>
                <w:szCs w:val="21"/>
              </w:rPr>
            </w:pPr>
          </w:p>
        </w:tc>
        <w:tc>
          <w:tcPr>
            <w:tcW w:w="217" w:type="dxa"/>
          </w:tcPr>
          <w:p w14:paraId="1B1BAA1D" w14:textId="77777777" w:rsidR="002C0FD9" w:rsidRPr="00CA25CF" w:rsidRDefault="002C0FD9" w:rsidP="00CA25CF">
            <w:pPr>
              <w:rPr>
                <w:rFonts w:cs="Arial"/>
                <w:color w:val="FF0000"/>
                <w:sz w:val="21"/>
                <w:szCs w:val="21"/>
              </w:rPr>
            </w:pPr>
          </w:p>
        </w:tc>
        <w:tc>
          <w:tcPr>
            <w:tcW w:w="217" w:type="dxa"/>
          </w:tcPr>
          <w:p w14:paraId="0F59D01D" w14:textId="77777777" w:rsidR="002C0FD9" w:rsidRPr="00CA25CF" w:rsidRDefault="002C0FD9" w:rsidP="00CA25CF">
            <w:pPr>
              <w:rPr>
                <w:rFonts w:cs="Arial"/>
                <w:color w:val="FF0000"/>
                <w:sz w:val="21"/>
                <w:szCs w:val="21"/>
              </w:rPr>
            </w:pPr>
          </w:p>
        </w:tc>
        <w:tc>
          <w:tcPr>
            <w:tcW w:w="217" w:type="dxa"/>
          </w:tcPr>
          <w:p w14:paraId="03919725" w14:textId="77777777" w:rsidR="002C0FD9" w:rsidRPr="00CA25CF" w:rsidRDefault="002C0FD9" w:rsidP="00CA25CF">
            <w:pPr>
              <w:rPr>
                <w:rFonts w:cs="Arial"/>
                <w:color w:val="FF0000"/>
                <w:sz w:val="21"/>
                <w:szCs w:val="21"/>
              </w:rPr>
            </w:pPr>
          </w:p>
        </w:tc>
        <w:tc>
          <w:tcPr>
            <w:tcW w:w="217" w:type="dxa"/>
          </w:tcPr>
          <w:p w14:paraId="0360192C" w14:textId="77777777" w:rsidR="002C0FD9" w:rsidRPr="00CA25CF" w:rsidRDefault="002C0FD9" w:rsidP="00CA25CF">
            <w:pPr>
              <w:rPr>
                <w:rFonts w:cs="Arial"/>
                <w:color w:val="FF0000"/>
                <w:sz w:val="21"/>
                <w:szCs w:val="21"/>
              </w:rPr>
            </w:pPr>
          </w:p>
        </w:tc>
        <w:tc>
          <w:tcPr>
            <w:tcW w:w="217" w:type="dxa"/>
          </w:tcPr>
          <w:p w14:paraId="18B25F57" w14:textId="77777777" w:rsidR="002C0FD9" w:rsidRPr="00CA25CF" w:rsidRDefault="002C0FD9" w:rsidP="00CA25CF">
            <w:pPr>
              <w:rPr>
                <w:rFonts w:cs="Arial"/>
                <w:color w:val="FF0000"/>
                <w:sz w:val="21"/>
                <w:szCs w:val="21"/>
              </w:rPr>
            </w:pPr>
          </w:p>
        </w:tc>
        <w:tc>
          <w:tcPr>
            <w:tcW w:w="217" w:type="dxa"/>
          </w:tcPr>
          <w:p w14:paraId="0E00427B" w14:textId="77777777" w:rsidR="002C0FD9" w:rsidRPr="00CA25CF" w:rsidRDefault="002C0FD9" w:rsidP="00CA25CF">
            <w:pPr>
              <w:rPr>
                <w:rFonts w:cs="Arial"/>
                <w:color w:val="FF0000"/>
                <w:sz w:val="21"/>
                <w:szCs w:val="21"/>
              </w:rPr>
            </w:pPr>
          </w:p>
        </w:tc>
        <w:tc>
          <w:tcPr>
            <w:tcW w:w="217" w:type="dxa"/>
          </w:tcPr>
          <w:p w14:paraId="3B03332A" w14:textId="77777777" w:rsidR="002C0FD9" w:rsidRPr="00CA25CF" w:rsidRDefault="002C0FD9" w:rsidP="00CA25CF">
            <w:pPr>
              <w:rPr>
                <w:rFonts w:cs="Arial"/>
                <w:color w:val="FF0000"/>
                <w:sz w:val="21"/>
                <w:szCs w:val="21"/>
              </w:rPr>
            </w:pPr>
          </w:p>
        </w:tc>
        <w:tc>
          <w:tcPr>
            <w:tcW w:w="217" w:type="dxa"/>
          </w:tcPr>
          <w:p w14:paraId="04CE9ADE" w14:textId="77777777" w:rsidR="002C0FD9" w:rsidRPr="00CA25CF" w:rsidRDefault="002C0FD9" w:rsidP="00CA25CF">
            <w:pPr>
              <w:rPr>
                <w:rFonts w:cs="Arial"/>
                <w:color w:val="FF0000"/>
                <w:sz w:val="21"/>
                <w:szCs w:val="21"/>
              </w:rPr>
            </w:pPr>
          </w:p>
        </w:tc>
      </w:tr>
      <w:tr w:rsidR="002C0FD9" w:rsidRPr="00A16219" w14:paraId="799E37BA" w14:textId="72B51173" w:rsidTr="002C0FD9">
        <w:trPr>
          <w:trHeight w:val="635"/>
        </w:trPr>
        <w:tc>
          <w:tcPr>
            <w:tcW w:w="515" w:type="dxa"/>
          </w:tcPr>
          <w:p w14:paraId="607642B2" w14:textId="77777777" w:rsidR="002C0FD9" w:rsidRPr="00CA25CF" w:rsidRDefault="002C0FD9" w:rsidP="00CA25CF">
            <w:pPr>
              <w:rPr>
                <w:rFonts w:cs="Arial"/>
                <w:color w:val="FF0000"/>
                <w:sz w:val="21"/>
                <w:szCs w:val="21"/>
              </w:rPr>
            </w:pPr>
          </w:p>
        </w:tc>
        <w:tc>
          <w:tcPr>
            <w:tcW w:w="217" w:type="dxa"/>
          </w:tcPr>
          <w:p w14:paraId="37162155" w14:textId="77777777" w:rsidR="002C0FD9" w:rsidRPr="00CA25CF" w:rsidRDefault="002C0FD9" w:rsidP="00CA25CF">
            <w:pPr>
              <w:rPr>
                <w:rFonts w:cs="Arial"/>
                <w:color w:val="FF0000"/>
                <w:sz w:val="21"/>
                <w:szCs w:val="21"/>
              </w:rPr>
            </w:pPr>
          </w:p>
        </w:tc>
        <w:tc>
          <w:tcPr>
            <w:tcW w:w="217" w:type="dxa"/>
          </w:tcPr>
          <w:p w14:paraId="33E99F26" w14:textId="686CF594" w:rsidR="002C0FD9" w:rsidRPr="00CA25CF" w:rsidRDefault="002C0FD9" w:rsidP="00CA25CF">
            <w:pPr>
              <w:rPr>
                <w:rFonts w:cs="Arial"/>
                <w:color w:val="FF0000"/>
                <w:sz w:val="21"/>
                <w:szCs w:val="21"/>
              </w:rPr>
            </w:pPr>
          </w:p>
        </w:tc>
        <w:tc>
          <w:tcPr>
            <w:tcW w:w="217" w:type="dxa"/>
          </w:tcPr>
          <w:p w14:paraId="248B51A5" w14:textId="77777777" w:rsidR="002C0FD9" w:rsidRPr="00CA25CF" w:rsidRDefault="002C0FD9" w:rsidP="00CA25CF">
            <w:pPr>
              <w:rPr>
                <w:rFonts w:cs="Arial"/>
                <w:color w:val="FF0000"/>
                <w:sz w:val="21"/>
                <w:szCs w:val="21"/>
              </w:rPr>
            </w:pPr>
          </w:p>
        </w:tc>
        <w:tc>
          <w:tcPr>
            <w:tcW w:w="217" w:type="dxa"/>
          </w:tcPr>
          <w:p w14:paraId="0FC7DC72" w14:textId="77777777" w:rsidR="002C0FD9" w:rsidRPr="00CA25CF" w:rsidRDefault="002C0FD9" w:rsidP="00CA25CF">
            <w:pPr>
              <w:rPr>
                <w:rFonts w:cs="Arial"/>
                <w:color w:val="FF0000"/>
                <w:sz w:val="21"/>
                <w:szCs w:val="21"/>
              </w:rPr>
            </w:pPr>
          </w:p>
        </w:tc>
        <w:tc>
          <w:tcPr>
            <w:tcW w:w="217" w:type="dxa"/>
          </w:tcPr>
          <w:p w14:paraId="0160A90E" w14:textId="77777777" w:rsidR="002C0FD9" w:rsidRPr="00CA25CF" w:rsidRDefault="002C0FD9" w:rsidP="00CA25CF">
            <w:pPr>
              <w:rPr>
                <w:rFonts w:cs="Arial"/>
                <w:color w:val="FF0000"/>
                <w:sz w:val="21"/>
                <w:szCs w:val="21"/>
              </w:rPr>
            </w:pPr>
          </w:p>
        </w:tc>
        <w:tc>
          <w:tcPr>
            <w:tcW w:w="217" w:type="dxa"/>
          </w:tcPr>
          <w:p w14:paraId="744234EE" w14:textId="77777777" w:rsidR="002C0FD9" w:rsidRPr="00CA25CF" w:rsidRDefault="002C0FD9" w:rsidP="00CA25CF">
            <w:pPr>
              <w:rPr>
                <w:rFonts w:cs="Arial"/>
                <w:color w:val="FF0000"/>
                <w:sz w:val="21"/>
                <w:szCs w:val="21"/>
              </w:rPr>
            </w:pPr>
          </w:p>
        </w:tc>
        <w:tc>
          <w:tcPr>
            <w:tcW w:w="217" w:type="dxa"/>
          </w:tcPr>
          <w:p w14:paraId="2AF58D2B" w14:textId="77777777" w:rsidR="002C0FD9" w:rsidRPr="00CA25CF" w:rsidRDefault="002C0FD9" w:rsidP="00CA25CF">
            <w:pPr>
              <w:rPr>
                <w:rFonts w:cs="Arial"/>
                <w:color w:val="FF0000"/>
                <w:sz w:val="21"/>
                <w:szCs w:val="21"/>
              </w:rPr>
            </w:pPr>
          </w:p>
        </w:tc>
        <w:tc>
          <w:tcPr>
            <w:tcW w:w="217" w:type="dxa"/>
          </w:tcPr>
          <w:p w14:paraId="29356F7B" w14:textId="77777777" w:rsidR="002C0FD9" w:rsidRPr="00CA25CF" w:rsidRDefault="002C0FD9" w:rsidP="00CA25CF">
            <w:pPr>
              <w:rPr>
                <w:rFonts w:cs="Arial"/>
                <w:color w:val="FF0000"/>
                <w:sz w:val="21"/>
                <w:szCs w:val="21"/>
              </w:rPr>
            </w:pPr>
          </w:p>
        </w:tc>
        <w:tc>
          <w:tcPr>
            <w:tcW w:w="217" w:type="dxa"/>
          </w:tcPr>
          <w:p w14:paraId="020298C1" w14:textId="77777777" w:rsidR="002C0FD9" w:rsidRPr="00CA25CF" w:rsidRDefault="002C0FD9" w:rsidP="00CA25CF">
            <w:pPr>
              <w:rPr>
                <w:rFonts w:cs="Arial"/>
                <w:color w:val="FF0000"/>
                <w:sz w:val="21"/>
                <w:szCs w:val="21"/>
              </w:rPr>
            </w:pPr>
          </w:p>
        </w:tc>
        <w:tc>
          <w:tcPr>
            <w:tcW w:w="217" w:type="dxa"/>
          </w:tcPr>
          <w:p w14:paraId="38AADA23" w14:textId="77777777" w:rsidR="002C0FD9" w:rsidRPr="00CA25CF" w:rsidRDefault="002C0FD9" w:rsidP="00CA25CF">
            <w:pPr>
              <w:rPr>
                <w:rFonts w:cs="Arial"/>
                <w:color w:val="FF0000"/>
                <w:sz w:val="21"/>
                <w:szCs w:val="21"/>
              </w:rPr>
            </w:pPr>
          </w:p>
        </w:tc>
        <w:tc>
          <w:tcPr>
            <w:tcW w:w="217" w:type="dxa"/>
          </w:tcPr>
          <w:p w14:paraId="0D7F4923" w14:textId="77777777" w:rsidR="002C0FD9" w:rsidRPr="00CA25CF" w:rsidRDefault="002C0FD9" w:rsidP="00CA25CF">
            <w:pPr>
              <w:rPr>
                <w:rFonts w:cs="Arial"/>
                <w:color w:val="FF0000"/>
                <w:sz w:val="21"/>
                <w:szCs w:val="21"/>
              </w:rPr>
            </w:pPr>
          </w:p>
        </w:tc>
        <w:tc>
          <w:tcPr>
            <w:tcW w:w="217" w:type="dxa"/>
          </w:tcPr>
          <w:p w14:paraId="672574B7" w14:textId="77777777" w:rsidR="002C0FD9" w:rsidRPr="00CA25CF" w:rsidRDefault="002C0FD9" w:rsidP="00CA25CF">
            <w:pPr>
              <w:rPr>
                <w:rFonts w:cs="Arial"/>
                <w:color w:val="FF0000"/>
                <w:sz w:val="21"/>
                <w:szCs w:val="21"/>
              </w:rPr>
            </w:pPr>
          </w:p>
        </w:tc>
        <w:tc>
          <w:tcPr>
            <w:tcW w:w="217" w:type="dxa"/>
          </w:tcPr>
          <w:p w14:paraId="22FB88BE" w14:textId="77777777" w:rsidR="002C0FD9" w:rsidRPr="00CA25CF" w:rsidRDefault="002C0FD9" w:rsidP="00CA25CF">
            <w:pPr>
              <w:rPr>
                <w:rFonts w:cs="Arial"/>
                <w:color w:val="FF0000"/>
                <w:sz w:val="21"/>
                <w:szCs w:val="21"/>
              </w:rPr>
            </w:pPr>
          </w:p>
        </w:tc>
        <w:tc>
          <w:tcPr>
            <w:tcW w:w="217" w:type="dxa"/>
          </w:tcPr>
          <w:p w14:paraId="26B9A8F5" w14:textId="77777777" w:rsidR="002C0FD9" w:rsidRPr="00CA25CF" w:rsidRDefault="002C0FD9" w:rsidP="00CA25CF">
            <w:pPr>
              <w:rPr>
                <w:rFonts w:cs="Arial"/>
                <w:color w:val="FF0000"/>
                <w:sz w:val="21"/>
                <w:szCs w:val="21"/>
              </w:rPr>
            </w:pPr>
          </w:p>
        </w:tc>
        <w:tc>
          <w:tcPr>
            <w:tcW w:w="217" w:type="dxa"/>
          </w:tcPr>
          <w:p w14:paraId="3B9380DE" w14:textId="77777777" w:rsidR="002C0FD9" w:rsidRPr="00CA25CF" w:rsidRDefault="002C0FD9" w:rsidP="00CA25CF">
            <w:pPr>
              <w:rPr>
                <w:rFonts w:cs="Arial"/>
                <w:color w:val="FF0000"/>
                <w:sz w:val="21"/>
                <w:szCs w:val="21"/>
              </w:rPr>
            </w:pPr>
          </w:p>
        </w:tc>
        <w:tc>
          <w:tcPr>
            <w:tcW w:w="217" w:type="dxa"/>
          </w:tcPr>
          <w:p w14:paraId="24C39187" w14:textId="77777777" w:rsidR="002C0FD9" w:rsidRPr="00CA25CF" w:rsidRDefault="002C0FD9" w:rsidP="00CA25CF">
            <w:pPr>
              <w:rPr>
                <w:rFonts w:cs="Arial"/>
                <w:color w:val="FF0000"/>
                <w:sz w:val="21"/>
                <w:szCs w:val="21"/>
              </w:rPr>
            </w:pPr>
          </w:p>
        </w:tc>
        <w:tc>
          <w:tcPr>
            <w:tcW w:w="217" w:type="dxa"/>
          </w:tcPr>
          <w:p w14:paraId="7DB2A974" w14:textId="77777777" w:rsidR="002C0FD9" w:rsidRPr="00CA25CF" w:rsidRDefault="002C0FD9" w:rsidP="00CA25CF">
            <w:pPr>
              <w:rPr>
                <w:rFonts w:cs="Arial"/>
                <w:color w:val="FF0000"/>
                <w:sz w:val="21"/>
                <w:szCs w:val="21"/>
              </w:rPr>
            </w:pPr>
          </w:p>
        </w:tc>
        <w:tc>
          <w:tcPr>
            <w:tcW w:w="217" w:type="dxa"/>
          </w:tcPr>
          <w:p w14:paraId="4A1BB6EF" w14:textId="77777777" w:rsidR="002C0FD9" w:rsidRPr="00CA25CF" w:rsidRDefault="002C0FD9" w:rsidP="00CA25CF">
            <w:pPr>
              <w:rPr>
                <w:rFonts w:cs="Arial"/>
                <w:color w:val="FF0000"/>
                <w:sz w:val="21"/>
                <w:szCs w:val="21"/>
              </w:rPr>
            </w:pPr>
          </w:p>
        </w:tc>
        <w:tc>
          <w:tcPr>
            <w:tcW w:w="217" w:type="dxa"/>
          </w:tcPr>
          <w:p w14:paraId="2445C8F7" w14:textId="77777777" w:rsidR="002C0FD9" w:rsidRPr="00CA25CF" w:rsidRDefault="002C0FD9" w:rsidP="00CA25CF">
            <w:pPr>
              <w:rPr>
                <w:rFonts w:cs="Arial"/>
                <w:color w:val="FF0000"/>
                <w:sz w:val="21"/>
                <w:szCs w:val="21"/>
              </w:rPr>
            </w:pPr>
          </w:p>
        </w:tc>
        <w:tc>
          <w:tcPr>
            <w:tcW w:w="217" w:type="dxa"/>
          </w:tcPr>
          <w:p w14:paraId="243B72EA" w14:textId="77777777" w:rsidR="002C0FD9" w:rsidRPr="00CA25CF" w:rsidRDefault="002C0FD9" w:rsidP="00CA25CF">
            <w:pPr>
              <w:rPr>
                <w:rFonts w:cs="Arial"/>
                <w:color w:val="FF0000"/>
                <w:sz w:val="21"/>
                <w:szCs w:val="21"/>
              </w:rPr>
            </w:pPr>
          </w:p>
        </w:tc>
        <w:tc>
          <w:tcPr>
            <w:tcW w:w="217" w:type="dxa"/>
          </w:tcPr>
          <w:p w14:paraId="17B443EA" w14:textId="77777777" w:rsidR="002C0FD9" w:rsidRPr="00CA25CF" w:rsidRDefault="002C0FD9" w:rsidP="00CA25CF">
            <w:pPr>
              <w:rPr>
                <w:rFonts w:cs="Arial"/>
                <w:color w:val="FF0000"/>
                <w:sz w:val="21"/>
                <w:szCs w:val="21"/>
              </w:rPr>
            </w:pPr>
          </w:p>
        </w:tc>
        <w:tc>
          <w:tcPr>
            <w:tcW w:w="217" w:type="dxa"/>
          </w:tcPr>
          <w:p w14:paraId="276B5F3E" w14:textId="77777777" w:rsidR="002C0FD9" w:rsidRPr="00CA25CF" w:rsidRDefault="002C0FD9" w:rsidP="00CA25CF">
            <w:pPr>
              <w:rPr>
                <w:rFonts w:cs="Arial"/>
                <w:color w:val="FF0000"/>
                <w:sz w:val="21"/>
                <w:szCs w:val="21"/>
              </w:rPr>
            </w:pPr>
          </w:p>
        </w:tc>
        <w:tc>
          <w:tcPr>
            <w:tcW w:w="217" w:type="dxa"/>
          </w:tcPr>
          <w:p w14:paraId="5D319321" w14:textId="77777777" w:rsidR="002C0FD9" w:rsidRPr="00CA25CF" w:rsidRDefault="002C0FD9" w:rsidP="00CA25CF">
            <w:pPr>
              <w:rPr>
                <w:rFonts w:cs="Arial"/>
                <w:color w:val="FF0000"/>
                <w:sz w:val="21"/>
                <w:szCs w:val="21"/>
              </w:rPr>
            </w:pPr>
          </w:p>
        </w:tc>
        <w:tc>
          <w:tcPr>
            <w:tcW w:w="217" w:type="dxa"/>
          </w:tcPr>
          <w:p w14:paraId="51E64F60" w14:textId="77777777" w:rsidR="002C0FD9" w:rsidRPr="00CA25CF" w:rsidRDefault="002C0FD9" w:rsidP="00CA25CF">
            <w:pPr>
              <w:rPr>
                <w:rFonts w:cs="Arial"/>
                <w:color w:val="FF0000"/>
                <w:sz w:val="21"/>
                <w:szCs w:val="21"/>
              </w:rPr>
            </w:pPr>
          </w:p>
        </w:tc>
        <w:tc>
          <w:tcPr>
            <w:tcW w:w="217" w:type="dxa"/>
          </w:tcPr>
          <w:p w14:paraId="0B7FEF6B" w14:textId="77777777" w:rsidR="002C0FD9" w:rsidRPr="00CA25CF" w:rsidRDefault="002C0FD9" w:rsidP="00CA25CF">
            <w:pPr>
              <w:rPr>
                <w:rFonts w:cs="Arial"/>
                <w:color w:val="FF0000"/>
                <w:sz w:val="21"/>
                <w:szCs w:val="21"/>
              </w:rPr>
            </w:pPr>
          </w:p>
        </w:tc>
        <w:tc>
          <w:tcPr>
            <w:tcW w:w="217" w:type="dxa"/>
          </w:tcPr>
          <w:p w14:paraId="461091AB" w14:textId="77777777" w:rsidR="002C0FD9" w:rsidRPr="00CA25CF" w:rsidRDefault="002C0FD9" w:rsidP="00CA25CF">
            <w:pPr>
              <w:rPr>
                <w:rFonts w:cs="Arial"/>
                <w:color w:val="FF0000"/>
                <w:sz w:val="21"/>
                <w:szCs w:val="21"/>
              </w:rPr>
            </w:pPr>
          </w:p>
        </w:tc>
        <w:tc>
          <w:tcPr>
            <w:tcW w:w="217" w:type="dxa"/>
          </w:tcPr>
          <w:p w14:paraId="04B13700" w14:textId="77777777" w:rsidR="002C0FD9" w:rsidRPr="00CA25CF" w:rsidRDefault="002C0FD9" w:rsidP="00CA25CF">
            <w:pPr>
              <w:rPr>
                <w:rFonts w:cs="Arial"/>
                <w:color w:val="FF0000"/>
                <w:sz w:val="21"/>
                <w:szCs w:val="21"/>
              </w:rPr>
            </w:pPr>
          </w:p>
        </w:tc>
        <w:tc>
          <w:tcPr>
            <w:tcW w:w="217" w:type="dxa"/>
          </w:tcPr>
          <w:p w14:paraId="1D97A15E" w14:textId="77777777" w:rsidR="002C0FD9" w:rsidRPr="00CA25CF" w:rsidRDefault="002C0FD9" w:rsidP="00CA25CF">
            <w:pPr>
              <w:rPr>
                <w:rFonts w:cs="Arial"/>
                <w:color w:val="FF0000"/>
                <w:sz w:val="21"/>
                <w:szCs w:val="21"/>
              </w:rPr>
            </w:pPr>
          </w:p>
        </w:tc>
        <w:tc>
          <w:tcPr>
            <w:tcW w:w="217" w:type="dxa"/>
          </w:tcPr>
          <w:p w14:paraId="5D16469F" w14:textId="77777777" w:rsidR="002C0FD9" w:rsidRPr="00CA25CF" w:rsidRDefault="002C0FD9" w:rsidP="00CA25CF">
            <w:pPr>
              <w:rPr>
                <w:rFonts w:cs="Arial"/>
                <w:color w:val="FF0000"/>
                <w:sz w:val="21"/>
                <w:szCs w:val="21"/>
              </w:rPr>
            </w:pPr>
          </w:p>
        </w:tc>
        <w:tc>
          <w:tcPr>
            <w:tcW w:w="217" w:type="dxa"/>
          </w:tcPr>
          <w:p w14:paraId="3AA039CC" w14:textId="77777777" w:rsidR="002C0FD9" w:rsidRPr="00CA25CF" w:rsidRDefault="002C0FD9" w:rsidP="00CA25CF">
            <w:pPr>
              <w:rPr>
                <w:rFonts w:cs="Arial"/>
                <w:color w:val="FF0000"/>
                <w:sz w:val="21"/>
                <w:szCs w:val="21"/>
              </w:rPr>
            </w:pPr>
          </w:p>
        </w:tc>
        <w:tc>
          <w:tcPr>
            <w:tcW w:w="217" w:type="dxa"/>
          </w:tcPr>
          <w:p w14:paraId="2FD62080" w14:textId="77777777" w:rsidR="002C0FD9" w:rsidRPr="00CA25CF" w:rsidRDefault="002C0FD9" w:rsidP="00CA25CF">
            <w:pPr>
              <w:rPr>
                <w:rFonts w:cs="Arial"/>
                <w:color w:val="FF0000"/>
                <w:sz w:val="21"/>
                <w:szCs w:val="21"/>
              </w:rPr>
            </w:pPr>
          </w:p>
        </w:tc>
        <w:tc>
          <w:tcPr>
            <w:tcW w:w="217" w:type="dxa"/>
          </w:tcPr>
          <w:p w14:paraId="44A99CBA" w14:textId="77777777" w:rsidR="002C0FD9" w:rsidRPr="00CA25CF" w:rsidRDefault="002C0FD9" w:rsidP="00CA25CF">
            <w:pPr>
              <w:rPr>
                <w:rFonts w:cs="Arial"/>
                <w:color w:val="FF0000"/>
                <w:sz w:val="21"/>
                <w:szCs w:val="21"/>
              </w:rPr>
            </w:pPr>
          </w:p>
        </w:tc>
        <w:tc>
          <w:tcPr>
            <w:tcW w:w="217" w:type="dxa"/>
          </w:tcPr>
          <w:p w14:paraId="39EE5753" w14:textId="77777777" w:rsidR="002C0FD9" w:rsidRPr="00CA25CF" w:rsidRDefault="002C0FD9" w:rsidP="00CA25CF">
            <w:pPr>
              <w:rPr>
                <w:rFonts w:cs="Arial"/>
                <w:color w:val="FF0000"/>
                <w:sz w:val="21"/>
                <w:szCs w:val="21"/>
              </w:rPr>
            </w:pPr>
          </w:p>
        </w:tc>
        <w:tc>
          <w:tcPr>
            <w:tcW w:w="217" w:type="dxa"/>
          </w:tcPr>
          <w:p w14:paraId="0798D722" w14:textId="77777777" w:rsidR="002C0FD9" w:rsidRPr="00CA25CF" w:rsidRDefault="002C0FD9" w:rsidP="00CA25CF">
            <w:pPr>
              <w:rPr>
                <w:rFonts w:cs="Arial"/>
                <w:color w:val="FF0000"/>
                <w:sz w:val="21"/>
                <w:szCs w:val="21"/>
              </w:rPr>
            </w:pPr>
          </w:p>
        </w:tc>
        <w:tc>
          <w:tcPr>
            <w:tcW w:w="217" w:type="dxa"/>
          </w:tcPr>
          <w:p w14:paraId="0D81EDE0" w14:textId="77777777" w:rsidR="002C0FD9" w:rsidRPr="00CA25CF" w:rsidRDefault="002C0FD9" w:rsidP="00CA25CF">
            <w:pPr>
              <w:rPr>
                <w:rFonts w:cs="Arial"/>
                <w:color w:val="FF0000"/>
                <w:sz w:val="21"/>
                <w:szCs w:val="21"/>
              </w:rPr>
            </w:pPr>
          </w:p>
        </w:tc>
        <w:tc>
          <w:tcPr>
            <w:tcW w:w="217" w:type="dxa"/>
          </w:tcPr>
          <w:p w14:paraId="4C8F5888" w14:textId="77777777" w:rsidR="002C0FD9" w:rsidRPr="00CA25CF" w:rsidRDefault="002C0FD9" w:rsidP="00CA25CF">
            <w:pPr>
              <w:rPr>
                <w:rFonts w:cs="Arial"/>
                <w:color w:val="FF0000"/>
                <w:sz w:val="21"/>
                <w:szCs w:val="21"/>
              </w:rPr>
            </w:pPr>
          </w:p>
        </w:tc>
        <w:tc>
          <w:tcPr>
            <w:tcW w:w="217" w:type="dxa"/>
          </w:tcPr>
          <w:p w14:paraId="32442F0D" w14:textId="77777777" w:rsidR="002C0FD9" w:rsidRPr="00CA25CF" w:rsidRDefault="002C0FD9" w:rsidP="00CA25CF">
            <w:pPr>
              <w:rPr>
                <w:rFonts w:cs="Arial"/>
                <w:color w:val="FF0000"/>
                <w:sz w:val="21"/>
                <w:szCs w:val="21"/>
              </w:rPr>
            </w:pPr>
          </w:p>
        </w:tc>
        <w:tc>
          <w:tcPr>
            <w:tcW w:w="217" w:type="dxa"/>
          </w:tcPr>
          <w:p w14:paraId="7CCDD0CC" w14:textId="77777777" w:rsidR="002C0FD9" w:rsidRPr="00CA25CF" w:rsidRDefault="002C0FD9" w:rsidP="00CA25CF">
            <w:pPr>
              <w:rPr>
                <w:rFonts w:cs="Arial"/>
                <w:color w:val="FF0000"/>
                <w:sz w:val="21"/>
                <w:szCs w:val="21"/>
              </w:rPr>
            </w:pPr>
          </w:p>
        </w:tc>
        <w:tc>
          <w:tcPr>
            <w:tcW w:w="217" w:type="dxa"/>
          </w:tcPr>
          <w:p w14:paraId="7ED02275" w14:textId="77777777" w:rsidR="002C0FD9" w:rsidRPr="00CA25CF" w:rsidRDefault="002C0FD9" w:rsidP="00CA25CF">
            <w:pPr>
              <w:rPr>
                <w:rFonts w:cs="Arial"/>
                <w:color w:val="FF0000"/>
                <w:sz w:val="21"/>
                <w:szCs w:val="21"/>
              </w:rPr>
            </w:pPr>
          </w:p>
        </w:tc>
        <w:tc>
          <w:tcPr>
            <w:tcW w:w="217" w:type="dxa"/>
          </w:tcPr>
          <w:p w14:paraId="11C6E88E" w14:textId="77777777" w:rsidR="002C0FD9" w:rsidRPr="00CA25CF" w:rsidRDefault="002C0FD9" w:rsidP="00CA25CF">
            <w:pPr>
              <w:rPr>
                <w:rFonts w:cs="Arial"/>
                <w:color w:val="FF0000"/>
                <w:sz w:val="21"/>
                <w:szCs w:val="21"/>
              </w:rPr>
            </w:pPr>
          </w:p>
        </w:tc>
        <w:tc>
          <w:tcPr>
            <w:tcW w:w="217" w:type="dxa"/>
          </w:tcPr>
          <w:p w14:paraId="16D4416B" w14:textId="77777777" w:rsidR="002C0FD9" w:rsidRPr="00CA25CF" w:rsidRDefault="002C0FD9" w:rsidP="00CA25CF">
            <w:pPr>
              <w:rPr>
                <w:rFonts w:cs="Arial"/>
                <w:color w:val="FF0000"/>
                <w:sz w:val="21"/>
                <w:szCs w:val="21"/>
              </w:rPr>
            </w:pPr>
          </w:p>
        </w:tc>
        <w:tc>
          <w:tcPr>
            <w:tcW w:w="217" w:type="dxa"/>
          </w:tcPr>
          <w:p w14:paraId="67DE5154" w14:textId="77777777" w:rsidR="002C0FD9" w:rsidRPr="00CA25CF" w:rsidRDefault="002C0FD9" w:rsidP="00CA25CF">
            <w:pPr>
              <w:rPr>
                <w:rFonts w:cs="Arial"/>
                <w:color w:val="FF0000"/>
                <w:sz w:val="21"/>
                <w:szCs w:val="21"/>
              </w:rPr>
            </w:pPr>
          </w:p>
        </w:tc>
      </w:tr>
      <w:tr w:rsidR="002C0FD9" w:rsidRPr="00A16219" w14:paraId="17602FA5" w14:textId="02C7FCA5" w:rsidTr="002C0FD9">
        <w:trPr>
          <w:trHeight w:val="635"/>
        </w:trPr>
        <w:tc>
          <w:tcPr>
            <w:tcW w:w="515" w:type="dxa"/>
          </w:tcPr>
          <w:p w14:paraId="45CCE4F6" w14:textId="77777777" w:rsidR="002C0FD9" w:rsidRPr="00CA25CF" w:rsidRDefault="002C0FD9" w:rsidP="00CA25CF">
            <w:pPr>
              <w:rPr>
                <w:rFonts w:cs="Arial"/>
                <w:color w:val="FF0000"/>
                <w:sz w:val="21"/>
                <w:szCs w:val="21"/>
              </w:rPr>
            </w:pPr>
          </w:p>
        </w:tc>
        <w:tc>
          <w:tcPr>
            <w:tcW w:w="217" w:type="dxa"/>
          </w:tcPr>
          <w:p w14:paraId="6AFD5202" w14:textId="77777777" w:rsidR="002C0FD9" w:rsidRPr="00CA25CF" w:rsidRDefault="002C0FD9" w:rsidP="00CA25CF">
            <w:pPr>
              <w:rPr>
                <w:rFonts w:cs="Arial"/>
                <w:color w:val="FF0000"/>
                <w:sz w:val="21"/>
                <w:szCs w:val="21"/>
              </w:rPr>
            </w:pPr>
          </w:p>
        </w:tc>
        <w:tc>
          <w:tcPr>
            <w:tcW w:w="217" w:type="dxa"/>
          </w:tcPr>
          <w:p w14:paraId="60789E16" w14:textId="3C74E18A" w:rsidR="002C0FD9" w:rsidRPr="00CA25CF" w:rsidRDefault="002C0FD9" w:rsidP="00CA25CF">
            <w:pPr>
              <w:rPr>
                <w:rFonts w:cs="Arial"/>
                <w:color w:val="FF0000"/>
                <w:sz w:val="21"/>
                <w:szCs w:val="21"/>
              </w:rPr>
            </w:pPr>
          </w:p>
        </w:tc>
        <w:tc>
          <w:tcPr>
            <w:tcW w:w="217" w:type="dxa"/>
          </w:tcPr>
          <w:p w14:paraId="0E55A157" w14:textId="77777777" w:rsidR="002C0FD9" w:rsidRPr="00CA25CF" w:rsidRDefault="002C0FD9" w:rsidP="00CA25CF">
            <w:pPr>
              <w:rPr>
                <w:rFonts w:cs="Arial"/>
                <w:color w:val="FF0000"/>
                <w:sz w:val="21"/>
                <w:szCs w:val="21"/>
              </w:rPr>
            </w:pPr>
          </w:p>
        </w:tc>
        <w:tc>
          <w:tcPr>
            <w:tcW w:w="217" w:type="dxa"/>
          </w:tcPr>
          <w:p w14:paraId="061B36F0" w14:textId="77777777" w:rsidR="002C0FD9" w:rsidRPr="00CA25CF" w:rsidRDefault="002C0FD9" w:rsidP="00CA25CF">
            <w:pPr>
              <w:rPr>
                <w:rFonts w:cs="Arial"/>
                <w:color w:val="FF0000"/>
                <w:sz w:val="21"/>
                <w:szCs w:val="21"/>
              </w:rPr>
            </w:pPr>
          </w:p>
        </w:tc>
        <w:tc>
          <w:tcPr>
            <w:tcW w:w="217" w:type="dxa"/>
          </w:tcPr>
          <w:p w14:paraId="5D174EBB" w14:textId="77777777" w:rsidR="002C0FD9" w:rsidRPr="00CA25CF" w:rsidRDefault="002C0FD9" w:rsidP="00CA25CF">
            <w:pPr>
              <w:rPr>
                <w:rFonts w:cs="Arial"/>
                <w:color w:val="FF0000"/>
                <w:sz w:val="21"/>
                <w:szCs w:val="21"/>
              </w:rPr>
            </w:pPr>
          </w:p>
        </w:tc>
        <w:tc>
          <w:tcPr>
            <w:tcW w:w="217" w:type="dxa"/>
          </w:tcPr>
          <w:p w14:paraId="623448F4" w14:textId="77777777" w:rsidR="002C0FD9" w:rsidRPr="00CA25CF" w:rsidRDefault="002C0FD9" w:rsidP="00CA25CF">
            <w:pPr>
              <w:rPr>
                <w:rFonts w:cs="Arial"/>
                <w:color w:val="FF0000"/>
                <w:sz w:val="21"/>
                <w:szCs w:val="21"/>
              </w:rPr>
            </w:pPr>
          </w:p>
        </w:tc>
        <w:tc>
          <w:tcPr>
            <w:tcW w:w="217" w:type="dxa"/>
          </w:tcPr>
          <w:p w14:paraId="0ADF9D7F" w14:textId="77777777" w:rsidR="002C0FD9" w:rsidRPr="00CA25CF" w:rsidRDefault="002C0FD9" w:rsidP="00CA25CF">
            <w:pPr>
              <w:rPr>
                <w:rFonts w:cs="Arial"/>
                <w:color w:val="FF0000"/>
                <w:sz w:val="21"/>
                <w:szCs w:val="21"/>
              </w:rPr>
            </w:pPr>
          </w:p>
        </w:tc>
        <w:tc>
          <w:tcPr>
            <w:tcW w:w="217" w:type="dxa"/>
          </w:tcPr>
          <w:p w14:paraId="3FA9D758" w14:textId="77777777" w:rsidR="002C0FD9" w:rsidRPr="00CA25CF" w:rsidRDefault="002C0FD9" w:rsidP="00CA25CF">
            <w:pPr>
              <w:rPr>
                <w:rFonts w:cs="Arial"/>
                <w:color w:val="FF0000"/>
                <w:sz w:val="21"/>
                <w:szCs w:val="21"/>
              </w:rPr>
            </w:pPr>
          </w:p>
        </w:tc>
        <w:tc>
          <w:tcPr>
            <w:tcW w:w="217" w:type="dxa"/>
          </w:tcPr>
          <w:p w14:paraId="71B72C5F" w14:textId="77777777" w:rsidR="002C0FD9" w:rsidRPr="00CA25CF" w:rsidRDefault="002C0FD9" w:rsidP="00CA25CF">
            <w:pPr>
              <w:rPr>
                <w:rFonts w:cs="Arial"/>
                <w:color w:val="FF0000"/>
                <w:sz w:val="21"/>
                <w:szCs w:val="21"/>
              </w:rPr>
            </w:pPr>
          </w:p>
        </w:tc>
        <w:tc>
          <w:tcPr>
            <w:tcW w:w="217" w:type="dxa"/>
          </w:tcPr>
          <w:p w14:paraId="1B2E3DD0" w14:textId="77777777" w:rsidR="002C0FD9" w:rsidRPr="00CA25CF" w:rsidRDefault="002C0FD9" w:rsidP="00CA25CF">
            <w:pPr>
              <w:rPr>
                <w:rFonts w:cs="Arial"/>
                <w:color w:val="FF0000"/>
                <w:sz w:val="21"/>
                <w:szCs w:val="21"/>
              </w:rPr>
            </w:pPr>
          </w:p>
        </w:tc>
        <w:tc>
          <w:tcPr>
            <w:tcW w:w="217" w:type="dxa"/>
          </w:tcPr>
          <w:p w14:paraId="58060D6F" w14:textId="77777777" w:rsidR="002C0FD9" w:rsidRPr="00CA25CF" w:rsidRDefault="002C0FD9" w:rsidP="00CA25CF">
            <w:pPr>
              <w:rPr>
                <w:rFonts w:cs="Arial"/>
                <w:color w:val="FF0000"/>
                <w:sz w:val="21"/>
                <w:szCs w:val="21"/>
              </w:rPr>
            </w:pPr>
          </w:p>
        </w:tc>
        <w:tc>
          <w:tcPr>
            <w:tcW w:w="217" w:type="dxa"/>
          </w:tcPr>
          <w:p w14:paraId="7B3E2FFD" w14:textId="77777777" w:rsidR="002C0FD9" w:rsidRPr="00CA25CF" w:rsidRDefault="002C0FD9" w:rsidP="00CA25CF">
            <w:pPr>
              <w:rPr>
                <w:rFonts w:cs="Arial"/>
                <w:color w:val="FF0000"/>
                <w:sz w:val="21"/>
                <w:szCs w:val="21"/>
              </w:rPr>
            </w:pPr>
          </w:p>
        </w:tc>
        <w:tc>
          <w:tcPr>
            <w:tcW w:w="217" w:type="dxa"/>
          </w:tcPr>
          <w:p w14:paraId="1BC406DB" w14:textId="77777777" w:rsidR="002C0FD9" w:rsidRPr="00CA25CF" w:rsidRDefault="002C0FD9" w:rsidP="00CA25CF">
            <w:pPr>
              <w:rPr>
                <w:rFonts w:cs="Arial"/>
                <w:color w:val="FF0000"/>
                <w:sz w:val="21"/>
                <w:szCs w:val="21"/>
              </w:rPr>
            </w:pPr>
          </w:p>
        </w:tc>
        <w:tc>
          <w:tcPr>
            <w:tcW w:w="217" w:type="dxa"/>
          </w:tcPr>
          <w:p w14:paraId="4A47C278" w14:textId="77777777" w:rsidR="002C0FD9" w:rsidRPr="00CA25CF" w:rsidRDefault="002C0FD9" w:rsidP="00CA25CF">
            <w:pPr>
              <w:rPr>
                <w:rFonts w:cs="Arial"/>
                <w:color w:val="FF0000"/>
                <w:sz w:val="21"/>
                <w:szCs w:val="21"/>
              </w:rPr>
            </w:pPr>
          </w:p>
        </w:tc>
        <w:tc>
          <w:tcPr>
            <w:tcW w:w="217" w:type="dxa"/>
          </w:tcPr>
          <w:p w14:paraId="3DFC574D" w14:textId="77777777" w:rsidR="002C0FD9" w:rsidRPr="00CA25CF" w:rsidRDefault="002C0FD9" w:rsidP="00CA25CF">
            <w:pPr>
              <w:rPr>
                <w:rFonts w:cs="Arial"/>
                <w:color w:val="FF0000"/>
                <w:sz w:val="21"/>
                <w:szCs w:val="21"/>
              </w:rPr>
            </w:pPr>
          </w:p>
        </w:tc>
        <w:tc>
          <w:tcPr>
            <w:tcW w:w="217" w:type="dxa"/>
          </w:tcPr>
          <w:p w14:paraId="14ADF96B" w14:textId="77777777" w:rsidR="002C0FD9" w:rsidRPr="00CA25CF" w:rsidRDefault="002C0FD9" w:rsidP="00CA25CF">
            <w:pPr>
              <w:rPr>
                <w:rFonts w:cs="Arial"/>
                <w:color w:val="FF0000"/>
                <w:sz w:val="21"/>
                <w:szCs w:val="21"/>
              </w:rPr>
            </w:pPr>
          </w:p>
        </w:tc>
        <w:tc>
          <w:tcPr>
            <w:tcW w:w="217" w:type="dxa"/>
          </w:tcPr>
          <w:p w14:paraId="71464C8B" w14:textId="77777777" w:rsidR="002C0FD9" w:rsidRPr="00CA25CF" w:rsidRDefault="002C0FD9" w:rsidP="00CA25CF">
            <w:pPr>
              <w:rPr>
                <w:rFonts w:cs="Arial"/>
                <w:color w:val="FF0000"/>
                <w:sz w:val="21"/>
                <w:szCs w:val="21"/>
              </w:rPr>
            </w:pPr>
          </w:p>
        </w:tc>
        <w:tc>
          <w:tcPr>
            <w:tcW w:w="217" w:type="dxa"/>
          </w:tcPr>
          <w:p w14:paraId="30F3660F" w14:textId="77777777" w:rsidR="002C0FD9" w:rsidRPr="00CA25CF" w:rsidRDefault="002C0FD9" w:rsidP="00CA25CF">
            <w:pPr>
              <w:rPr>
                <w:rFonts w:cs="Arial"/>
                <w:color w:val="FF0000"/>
                <w:sz w:val="21"/>
                <w:szCs w:val="21"/>
              </w:rPr>
            </w:pPr>
          </w:p>
        </w:tc>
        <w:tc>
          <w:tcPr>
            <w:tcW w:w="217" w:type="dxa"/>
          </w:tcPr>
          <w:p w14:paraId="049F2724" w14:textId="77777777" w:rsidR="002C0FD9" w:rsidRPr="00CA25CF" w:rsidRDefault="002C0FD9" w:rsidP="00CA25CF">
            <w:pPr>
              <w:rPr>
                <w:rFonts w:cs="Arial"/>
                <w:color w:val="FF0000"/>
                <w:sz w:val="21"/>
                <w:szCs w:val="21"/>
              </w:rPr>
            </w:pPr>
          </w:p>
        </w:tc>
        <w:tc>
          <w:tcPr>
            <w:tcW w:w="217" w:type="dxa"/>
          </w:tcPr>
          <w:p w14:paraId="68AD53D0" w14:textId="77777777" w:rsidR="002C0FD9" w:rsidRPr="00CA25CF" w:rsidRDefault="002C0FD9" w:rsidP="00CA25CF">
            <w:pPr>
              <w:rPr>
                <w:rFonts w:cs="Arial"/>
                <w:color w:val="FF0000"/>
                <w:sz w:val="21"/>
                <w:szCs w:val="21"/>
              </w:rPr>
            </w:pPr>
          </w:p>
        </w:tc>
        <w:tc>
          <w:tcPr>
            <w:tcW w:w="217" w:type="dxa"/>
          </w:tcPr>
          <w:p w14:paraId="5C753431" w14:textId="77777777" w:rsidR="002C0FD9" w:rsidRPr="00CA25CF" w:rsidRDefault="002C0FD9" w:rsidP="00CA25CF">
            <w:pPr>
              <w:rPr>
                <w:rFonts w:cs="Arial"/>
                <w:color w:val="FF0000"/>
                <w:sz w:val="21"/>
                <w:szCs w:val="21"/>
              </w:rPr>
            </w:pPr>
          </w:p>
        </w:tc>
        <w:tc>
          <w:tcPr>
            <w:tcW w:w="217" w:type="dxa"/>
          </w:tcPr>
          <w:p w14:paraId="4D340AE0" w14:textId="77777777" w:rsidR="002C0FD9" w:rsidRPr="00CA25CF" w:rsidRDefault="002C0FD9" w:rsidP="00CA25CF">
            <w:pPr>
              <w:rPr>
                <w:rFonts w:cs="Arial"/>
                <w:color w:val="FF0000"/>
                <w:sz w:val="21"/>
                <w:szCs w:val="21"/>
              </w:rPr>
            </w:pPr>
          </w:p>
        </w:tc>
        <w:tc>
          <w:tcPr>
            <w:tcW w:w="217" w:type="dxa"/>
          </w:tcPr>
          <w:p w14:paraId="60921169" w14:textId="77777777" w:rsidR="002C0FD9" w:rsidRPr="00CA25CF" w:rsidRDefault="002C0FD9" w:rsidP="00CA25CF">
            <w:pPr>
              <w:rPr>
                <w:rFonts w:cs="Arial"/>
                <w:color w:val="FF0000"/>
                <w:sz w:val="21"/>
                <w:szCs w:val="21"/>
              </w:rPr>
            </w:pPr>
          </w:p>
        </w:tc>
        <w:tc>
          <w:tcPr>
            <w:tcW w:w="217" w:type="dxa"/>
          </w:tcPr>
          <w:p w14:paraId="5EB2D869" w14:textId="77777777" w:rsidR="002C0FD9" w:rsidRPr="00CA25CF" w:rsidRDefault="002C0FD9" w:rsidP="00CA25CF">
            <w:pPr>
              <w:rPr>
                <w:rFonts w:cs="Arial"/>
                <w:color w:val="FF0000"/>
                <w:sz w:val="21"/>
                <w:szCs w:val="21"/>
              </w:rPr>
            </w:pPr>
          </w:p>
        </w:tc>
        <w:tc>
          <w:tcPr>
            <w:tcW w:w="217" w:type="dxa"/>
          </w:tcPr>
          <w:p w14:paraId="0E252A3C" w14:textId="77777777" w:rsidR="002C0FD9" w:rsidRPr="00CA25CF" w:rsidRDefault="002C0FD9" w:rsidP="00CA25CF">
            <w:pPr>
              <w:rPr>
                <w:rFonts w:cs="Arial"/>
                <w:color w:val="FF0000"/>
                <w:sz w:val="21"/>
                <w:szCs w:val="21"/>
              </w:rPr>
            </w:pPr>
          </w:p>
        </w:tc>
        <w:tc>
          <w:tcPr>
            <w:tcW w:w="217" w:type="dxa"/>
          </w:tcPr>
          <w:p w14:paraId="42D1FD77" w14:textId="77777777" w:rsidR="002C0FD9" w:rsidRPr="00CA25CF" w:rsidRDefault="002C0FD9" w:rsidP="00CA25CF">
            <w:pPr>
              <w:rPr>
                <w:rFonts w:cs="Arial"/>
                <w:color w:val="FF0000"/>
                <w:sz w:val="21"/>
                <w:szCs w:val="21"/>
              </w:rPr>
            </w:pPr>
          </w:p>
        </w:tc>
        <w:tc>
          <w:tcPr>
            <w:tcW w:w="217" w:type="dxa"/>
          </w:tcPr>
          <w:p w14:paraId="0CF58484" w14:textId="77777777" w:rsidR="002C0FD9" w:rsidRPr="00CA25CF" w:rsidRDefault="002C0FD9" w:rsidP="00CA25CF">
            <w:pPr>
              <w:rPr>
                <w:rFonts w:cs="Arial"/>
                <w:color w:val="FF0000"/>
                <w:sz w:val="21"/>
                <w:szCs w:val="21"/>
              </w:rPr>
            </w:pPr>
          </w:p>
        </w:tc>
        <w:tc>
          <w:tcPr>
            <w:tcW w:w="217" w:type="dxa"/>
          </w:tcPr>
          <w:p w14:paraId="41E97DF7" w14:textId="77777777" w:rsidR="002C0FD9" w:rsidRPr="00CA25CF" w:rsidRDefault="002C0FD9" w:rsidP="00CA25CF">
            <w:pPr>
              <w:rPr>
                <w:rFonts w:cs="Arial"/>
                <w:color w:val="FF0000"/>
                <w:sz w:val="21"/>
                <w:szCs w:val="21"/>
              </w:rPr>
            </w:pPr>
          </w:p>
        </w:tc>
        <w:tc>
          <w:tcPr>
            <w:tcW w:w="217" w:type="dxa"/>
          </w:tcPr>
          <w:p w14:paraId="3592478B" w14:textId="77777777" w:rsidR="002C0FD9" w:rsidRPr="00CA25CF" w:rsidRDefault="002C0FD9" w:rsidP="00CA25CF">
            <w:pPr>
              <w:rPr>
                <w:rFonts w:cs="Arial"/>
                <w:color w:val="FF0000"/>
                <w:sz w:val="21"/>
                <w:szCs w:val="21"/>
              </w:rPr>
            </w:pPr>
          </w:p>
        </w:tc>
        <w:tc>
          <w:tcPr>
            <w:tcW w:w="217" w:type="dxa"/>
          </w:tcPr>
          <w:p w14:paraId="47CF7F08" w14:textId="77777777" w:rsidR="002C0FD9" w:rsidRPr="00CA25CF" w:rsidRDefault="002C0FD9" w:rsidP="00CA25CF">
            <w:pPr>
              <w:rPr>
                <w:rFonts w:cs="Arial"/>
                <w:color w:val="FF0000"/>
                <w:sz w:val="21"/>
                <w:szCs w:val="21"/>
              </w:rPr>
            </w:pPr>
          </w:p>
        </w:tc>
        <w:tc>
          <w:tcPr>
            <w:tcW w:w="217" w:type="dxa"/>
          </w:tcPr>
          <w:p w14:paraId="7E492015" w14:textId="77777777" w:rsidR="002C0FD9" w:rsidRPr="00CA25CF" w:rsidRDefault="002C0FD9" w:rsidP="00CA25CF">
            <w:pPr>
              <w:rPr>
                <w:rFonts w:cs="Arial"/>
                <w:color w:val="FF0000"/>
                <w:sz w:val="21"/>
                <w:szCs w:val="21"/>
              </w:rPr>
            </w:pPr>
          </w:p>
        </w:tc>
        <w:tc>
          <w:tcPr>
            <w:tcW w:w="217" w:type="dxa"/>
          </w:tcPr>
          <w:p w14:paraId="5660BF16" w14:textId="77777777" w:rsidR="002C0FD9" w:rsidRPr="00CA25CF" w:rsidRDefault="002C0FD9" w:rsidP="00CA25CF">
            <w:pPr>
              <w:rPr>
                <w:rFonts w:cs="Arial"/>
                <w:color w:val="FF0000"/>
                <w:sz w:val="21"/>
                <w:szCs w:val="21"/>
              </w:rPr>
            </w:pPr>
          </w:p>
        </w:tc>
        <w:tc>
          <w:tcPr>
            <w:tcW w:w="217" w:type="dxa"/>
          </w:tcPr>
          <w:p w14:paraId="588F99C4" w14:textId="77777777" w:rsidR="002C0FD9" w:rsidRPr="00CA25CF" w:rsidRDefault="002C0FD9" w:rsidP="00CA25CF">
            <w:pPr>
              <w:rPr>
                <w:rFonts w:cs="Arial"/>
                <w:color w:val="FF0000"/>
                <w:sz w:val="21"/>
                <w:szCs w:val="21"/>
              </w:rPr>
            </w:pPr>
          </w:p>
        </w:tc>
        <w:tc>
          <w:tcPr>
            <w:tcW w:w="217" w:type="dxa"/>
          </w:tcPr>
          <w:p w14:paraId="180AC7D3" w14:textId="77777777" w:rsidR="002C0FD9" w:rsidRPr="00CA25CF" w:rsidRDefault="002C0FD9" w:rsidP="00CA25CF">
            <w:pPr>
              <w:rPr>
                <w:rFonts w:cs="Arial"/>
                <w:color w:val="FF0000"/>
                <w:sz w:val="21"/>
                <w:szCs w:val="21"/>
              </w:rPr>
            </w:pPr>
          </w:p>
        </w:tc>
        <w:tc>
          <w:tcPr>
            <w:tcW w:w="217" w:type="dxa"/>
          </w:tcPr>
          <w:p w14:paraId="70A0B866" w14:textId="77777777" w:rsidR="002C0FD9" w:rsidRPr="00CA25CF" w:rsidRDefault="002C0FD9" w:rsidP="00CA25CF">
            <w:pPr>
              <w:rPr>
                <w:rFonts w:cs="Arial"/>
                <w:color w:val="FF0000"/>
                <w:sz w:val="21"/>
                <w:szCs w:val="21"/>
              </w:rPr>
            </w:pPr>
          </w:p>
        </w:tc>
        <w:tc>
          <w:tcPr>
            <w:tcW w:w="217" w:type="dxa"/>
          </w:tcPr>
          <w:p w14:paraId="60CF1D95" w14:textId="77777777" w:rsidR="002C0FD9" w:rsidRPr="00CA25CF" w:rsidRDefault="002C0FD9" w:rsidP="00CA25CF">
            <w:pPr>
              <w:rPr>
                <w:rFonts w:cs="Arial"/>
                <w:color w:val="FF0000"/>
                <w:sz w:val="21"/>
                <w:szCs w:val="21"/>
              </w:rPr>
            </w:pPr>
          </w:p>
        </w:tc>
        <w:tc>
          <w:tcPr>
            <w:tcW w:w="217" w:type="dxa"/>
          </w:tcPr>
          <w:p w14:paraId="04AED8FD" w14:textId="77777777" w:rsidR="002C0FD9" w:rsidRPr="00CA25CF" w:rsidRDefault="002C0FD9" w:rsidP="00CA25CF">
            <w:pPr>
              <w:rPr>
                <w:rFonts w:cs="Arial"/>
                <w:color w:val="FF0000"/>
                <w:sz w:val="21"/>
                <w:szCs w:val="21"/>
              </w:rPr>
            </w:pPr>
          </w:p>
        </w:tc>
        <w:tc>
          <w:tcPr>
            <w:tcW w:w="217" w:type="dxa"/>
          </w:tcPr>
          <w:p w14:paraId="42C71F0D" w14:textId="77777777" w:rsidR="002C0FD9" w:rsidRPr="00CA25CF" w:rsidRDefault="002C0FD9" w:rsidP="00CA25CF">
            <w:pPr>
              <w:rPr>
                <w:rFonts w:cs="Arial"/>
                <w:color w:val="FF0000"/>
                <w:sz w:val="21"/>
                <w:szCs w:val="21"/>
              </w:rPr>
            </w:pPr>
          </w:p>
        </w:tc>
        <w:tc>
          <w:tcPr>
            <w:tcW w:w="217" w:type="dxa"/>
          </w:tcPr>
          <w:p w14:paraId="6BFF17F4" w14:textId="77777777" w:rsidR="002C0FD9" w:rsidRPr="00CA25CF" w:rsidRDefault="002C0FD9" w:rsidP="00CA25CF">
            <w:pPr>
              <w:rPr>
                <w:rFonts w:cs="Arial"/>
                <w:color w:val="FF0000"/>
                <w:sz w:val="21"/>
                <w:szCs w:val="21"/>
              </w:rPr>
            </w:pPr>
          </w:p>
        </w:tc>
        <w:tc>
          <w:tcPr>
            <w:tcW w:w="217" w:type="dxa"/>
          </w:tcPr>
          <w:p w14:paraId="3446CA80" w14:textId="77777777" w:rsidR="002C0FD9" w:rsidRPr="00CA25CF" w:rsidRDefault="002C0FD9" w:rsidP="00CA25CF">
            <w:pPr>
              <w:rPr>
                <w:rFonts w:cs="Arial"/>
                <w:color w:val="FF0000"/>
                <w:sz w:val="21"/>
                <w:szCs w:val="21"/>
              </w:rPr>
            </w:pPr>
          </w:p>
        </w:tc>
        <w:tc>
          <w:tcPr>
            <w:tcW w:w="217" w:type="dxa"/>
          </w:tcPr>
          <w:p w14:paraId="1AD368B1" w14:textId="77777777" w:rsidR="002C0FD9" w:rsidRPr="00CA25CF" w:rsidRDefault="002C0FD9" w:rsidP="00CA25CF">
            <w:pPr>
              <w:rPr>
                <w:rFonts w:cs="Arial"/>
                <w:color w:val="FF0000"/>
                <w:sz w:val="21"/>
                <w:szCs w:val="21"/>
              </w:rPr>
            </w:pPr>
          </w:p>
        </w:tc>
        <w:tc>
          <w:tcPr>
            <w:tcW w:w="217" w:type="dxa"/>
          </w:tcPr>
          <w:p w14:paraId="3B642020" w14:textId="77777777" w:rsidR="002C0FD9" w:rsidRPr="00CA25CF" w:rsidRDefault="002C0FD9" w:rsidP="00CA25CF">
            <w:pPr>
              <w:rPr>
                <w:rFonts w:cs="Arial"/>
                <w:color w:val="FF0000"/>
                <w:sz w:val="21"/>
                <w:szCs w:val="21"/>
              </w:rPr>
            </w:pPr>
          </w:p>
        </w:tc>
      </w:tr>
      <w:tr w:rsidR="002C0FD9" w:rsidRPr="00A16219" w14:paraId="4C40E697" w14:textId="23449E9C" w:rsidTr="002C0FD9">
        <w:trPr>
          <w:trHeight w:val="635"/>
        </w:trPr>
        <w:tc>
          <w:tcPr>
            <w:tcW w:w="515" w:type="dxa"/>
          </w:tcPr>
          <w:p w14:paraId="6010795F" w14:textId="77777777" w:rsidR="002C0FD9" w:rsidRPr="00CA25CF" w:rsidRDefault="002C0FD9" w:rsidP="00CA25CF">
            <w:pPr>
              <w:rPr>
                <w:rFonts w:cs="Arial"/>
                <w:color w:val="FF0000"/>
                <w:sz w:val="21"/>
                <w:szCs w:val="21"/>
              </w:rPr>
            </w:pPr>
          </w:p>
        </w:tc>
        <w:tc>
          <w:tcPr>
            <w:tcW w:w="217" w:type="dxa"/>
          </w:tcPr>
          <w:p w14:paraId="54CC2F30" w14:textId="77777777" w:rsidR="002C0FD9" w:rsidRPr="00CA25CF" w:rsidRDefault="002C0FD9" w:rsidP="00CA25CF">
            <w:pPr>
              <w:rPr>
                <w:rFonts w:cs="Arial"/>
                <w:color w:val="FF0000"/>
                <w:sz w:val="21"/>
                <w:szCs w:val="21"/>
              </w:rPr>
            </w:pPr>
          </w:p>
        </w:tc>
        <w:tc>
          <w:tcPr>
            <w:tcW w:w="217" w:type="dxa"/>
          </w:tcPr>
          <w:p w14:paraId="730D26B2" w14:textId="0E1B9FC0" w:rsidR="002C0FD9" w:rsidRPr="00CA25CF" w:rsidRDefault="002C0FD9" w:rsidP="00CA25CF">
            <w:pPr>
              <w:rPr>
                <w:rFonts w:cs="Arial"/>
                <w:color w:val="FF0000"/>
                <w:sz w:val="21"/>
                <w:szCs w:val="21"/>
              </w:rPr>
            </w:pPr>
          </w:p>
        </w:tc>
        <w:tc>
          <w:tcPr>
            <w:tcW w:w="217" w:type="dxa"/>
          </w:tcPr>
          <w:p w14:paraId="5A927E29" w14:textId="77777777" w:rsidR="002C0FD9" w:rsidRPr="00CA25CF" w:rsidRDefault="002C0FD9" w:rsidP="00CA25CF">
            <w:pPr>
              <w:rPr>
                <w:rFonts w:cs="Arial"/>
                <w:color w:val="FF0000"/>
                <w:sz w:val="21"/>
                <w:szCs w:val="21"/>
              </w:rPr>
            </w:pPr>
          </w:p>
        </w:tc>
        <w:tc>
          <w:tcPr>
            <w:tcW w:w="217" w:type="dxa"/>
          </w:tcPr>
          <w:p w14:paraId="40FEE2B5" w14:textId="77777777" w:rsidR="002C0FD9" w:rsidRPr="00CA25CF" w:rsidRDefault="002C0FD9" w:rsidP="00CA25CF">
            <w:pPr>
              <w:rPr>
                <w:rFonts w:cs="Arial"/>
                <w:color w:val="FF0000"/>
                <w:sz w:val="21"/>
                <w:szCs w:val="21"/>
              </w:rPr>
            </w:pPr>
          </w:p>
        </w:tc>
        <w:tc>
          <w:tcPr>
            <w:tcW w:w="217" w:type="dxa"/>
          </w:tcPr>
          <w:p w14:paraId="0D4BFE3E" w14:textId="77777777" w:rsidR="002C0FD9" w:rsidRPr="00CA25CF" w:rsidRDefault="002C0FD9" w:rsidP="00CA25CF">
            <w:pPr>
              <w:rPr>
                <w:rFonts w:cs="Arial"/>
                <w:color w:val="FF0000"/>
                <w:sz w:val="21"/>
                <w:szCs w:val="21"/>
              </w:rPr>
            </w:pPr>
          </w:p>
        </w:tc>
        <w:tc>
          <w:tcPr>
            <w:tcW w:w="217" w:type="dxa"/>
          </w:tcPr>
          <w:p w14:paraId="376544C0" w14:textId="77777777" w:rsidR="002C0FD9" w:rsidRPr="00CA25CF" w:rsidRDefault="002C0FD9" w:rsidP="00CA25CF">
            <w:pPr>
              <w:rPr>
                <w:rFonts w:cs="Arial"/>
                <w:color w:val="FF0000"/>
                <w:sz w:val="21"/>
                <w:szCs w:val="21"/>
              </w:rPr>
            </w:pPr>
          </w:p>
        </w:tc>
        <w:tc>
          <w:tcPr>
            <w:tcW w:w="217" w:type="dxa"/>
          </w:tcPr>
          <w:p w14:paraId="430B4461" w14:textId="77777777" w:rsidR="002C0FD9" w:rsidRPr="00CA25CF" w:rsidRDefault="002C0FD9" w:rsidP="00CA25CF">
            <w:pPr>
              <w:rPr>
                <w:rFonts w:cs="Arial"/>
                <w:color w:val="FF0000"/>
                <w:sz w:val="21"/>
                <w:szCs w:val="21"/>
              </w:rPr>
            </w:pPr>
          </w:p>
        </w:tc>
        <w:tc>
          <w:tcPr>
            <w:tcW w:w="217" w:type="dxa"/>
          </w:tcPr>
          <w:p w14:paraId="224B13C8" w14:textId="77777777" w:rsidR="002C0FD9" w:rsidRPr="00CA25CF" w:rsidRDefault="002C0FD9" w:rsidP="00CA25CF">
            <w:pPr>
              <w:rPr>
                <w:rFonts w:cs="Arial"/>
                <w:color w:val="FF0000"/>
                <w:sz w:val="21"/>
                <w:szCs w:val="21"/>
              </w:rPr>
            </w:pPr>
          </w:p>
        </w:tc>
        <w:tc>
          <w:tcPr>
            <w:tcW w:w="217" w:type="dxa"/>
          </w:tcPr>
          <w:p w14:paraId="3542B1A1" w14:textId="77777777" w:rsidR="002C0FD9" w:rsidRPr="00CA25CF" w:rsidRDefault="002C0FD9" w:rsidP="00CA25CF">
            <w:pPr>
              <w:rPr>
                <w:rFonts w:cs="Arial"/>
                <w:color w:val="FF0000"/>
                <w:sz w:val="21"/>
                <w:szCs w:val="21"/>
              </w:rPr>
            </w:pPr>
          </w:p>
        </w:tc>
        <w:tc>
          <w:tcPr>
            <w:tcW w:w="217" w:type="dxa"/>
          </w:tcPr>
          <w:p w14:paraId="5AA53C63" w14:textId="77777777" w:rsidR="002C0FD9" w:rsidRPr="00CA25CF" w:rsidRDefault="002C0FD9" w:rsidP="00CA25CF">
            <w:pPr>
              <w:rPr>
                <w:rFonts w:cs="Arial"/>
                <w:color w:val="FF0000"/>
                <w:sz w:val="21"/>
                <w:szCs w:val="21"/>
              </w:rPr>
            </w:pPr>
          </w:p>
        </w:tc>
        <w:tc>
          <w:tcPr>
            <w:tcW w:w="217" w:type="dxa"/>
          </w:tcPr>
          <w:p w14:paraId="100A8613" w14:textId="77777777" w:rsidR="002C0FD9" w:rsidRPr="00CA25CF" w:rsidRDefault="002C0FD9" w:rsidP="00CA25CF">
            <w:pPr>
              <w:rPr>
                <w:rFonts w:cs="Arial"/>
                <w:color w:val="FF0000"/>
                <w:sz w:val="21"/>
                <w:szCs w:val="21"/>
              </w:rPr>
            </w:pPr>
          </w:p>
        </w:tc>
        <w:tc>
          <w:tcPr>
            <w:tcW w:w="217" w:type="dxa"/>
          </w:tcPr>
          <w:p w14:paraId="7EC62DC9" w14:textId="77777777" w:rsidR="002C0FD9" w:rsidRPr="00CA25CF" w:rsidRDefault="002C0FD9" w:rsidP="00CA25CF">
            <w:pPr>
              <w:rPr>
                <w:rFonts w:cs="Arial"/>
                <w:color w:val="FF0000"/>
                <w:sz w:val="21"/>
                <w:szCs w:val="21"/>
              </w:rPr>
            </w:pPr>
          </w:p>
        </w:tc>
        <w:tc>
          <w:tcPr>
            <w:tcW w:w="217" w:type="dxa"/>
          </w:tcPr>
          <w:p w14:paraId="13D782A4" w14:textId="77777777" w:rsidR="002C0FD9" w:rsidRPr="00CA25CF" w:rsidRDefault="002C0FD9" w:rsidP="00CA25CF">
            <w:pPr>
              <w:rPr>
                <w:rFonts w:cs="Arial"/>
                <w:color w:val="FF0000"/>
                <w:sz w:val="21"/>
                <w:szCs w:val="21"/>
              </w:rPr>
            </w:pPr>
          </w:p>
        </w:tc>
        <w:tc>
          <w:tcPr>
            <w:tcW w:w="217" w:type="dxa"/>
          </w:tcPr>
          <w:p w14:paraId="4DBB8267" w14:textId="77777777" w:rsidR="002C0FD9" w:rsidRPr="00CA25CF" w:rsidRDefault="002C0FD9" w:rsidP="00CA25CF">
            <w:pPr>
              <w:rPr>
                <w:rFonts w:cs="Arial"/>
                <w:color w:val="FF0000"/>
                <w:sz w:val="21"/>
                <w:szCs w:val="21"/>
              </w:rPr>
            </w:pPr>
          </w:p>
        </w:tc>
        <w:tc>
          <w:tcPr>
            <w:tcW w:w="217" w:type="dxa"/>
          </w:tcPr>
          <w:p w14:paraId="2D86856E" w14:textId="77777777" w:rsidR="002C0FD9" w:rsidRPr="00CA25CF" w:rsidRDefault="002C0FD9" w:rsidP="00CA25CF">
            <w:pPr>
              <w:rPr>
                <w:rFonts w:cs="Arial"/>
                <w:color w:val="FF0000"/>
                <w:sz w:val="21"/>
                <w:szCs w:val="21"/>
              </w:rPr>
            </w:pPr>
          </w:p>
        </w:tc>
        <w:tc>
          <w:tcPr>
            <w:tcW w:w="217" w:type="dxa"/>
          </w:tcPr>
          <w:p w14:paraId="1CB9A8E7" w14:textId="77777777" w:rsidR="002C0FD9" w:rsidRPr="00CA25CF" w:rsidRDefault="002C0FD9" w:rsidP="00CA25CF">
            <w:pPr>
              <w:rPr>
                <w:rFonts w:cs="Arial"/>
                <w:color w:val="FF0000"/>
                <w:sz w:val="21"/>
                <w:szCs w:val="21"/>
              </w:rPr>
            </w:pPr>
          </w:p>
        </w:tc>
        <w:tc>
          <w:tcPr>
            <w:tcW w:w="217" w:type="dxa"/>
          </w:tcPr>
          <w:p w14:paraId="19915487" w14:textId="77777777" w:rsidR="002C0FD9" w:rsidRPr="00CA25CF" w:rsidRDefault="002C0FD9" w:rsidP="00CA25CF">
            <w:pPr>
              <w:rPr>
                <w:rFonts w:cs="Arial"/>
                <w:color w:val="FF0000"/>
                <w:sz w:val="21"/>
                <w:szCs w:val="21"/>
              </w:rPr>
            </w:pPr>
          </w:p>
        </w:tc>
        <w:tc>
          <w:tcPr>
            <w:tcW w:w="217" w:type="dxa"/>
          </w:tcPr>
          <w:p w14:paraId="776471C4" w14:textId="77777777" w:rsidR="002C0FD9" w:rsidRPr="00CA25CF" w:rsidRDefault="002C0FD9" w:rsidP="00CA25CF">
            <w:pPr>
              <w:rPr>
                <w:rFonts w:cs="Arial"/>
                <w:color w:val="FF0000"/>
                <w:sz w:val="21"/>
                <w:szCs w:val="21"/>
              </w:rPr>
            </w:pPr>
          </w:p>
        </w:tc>
        <w:tc>
          <w:tcPr>
            <w:tcW w:w="217" w:type="dxa"/>
          </w:tcPr>
          <w:p w14:paraId="636D6B48" w14:textId="77777777" w:rsidR="002C0FD9" w:rsidRPr="00CA25CF" w:rsidRDefault="002C0FD9" w:rsidP="00CA25CF">
            <w:pPr>
              <w:rPr>
                <w:rFonts w:cs="Arial"/>
                <w:color w:val="FF0000"/>
                <w:sz w:val="21"/>
                <w:szCs w:val="21"/>
              </w:rPr>
            </w:pPr>
          </w:p>
        </w:tc>
        <w:tc>
          <w:tcPr>
            <w:tcW w:w="217" w:type="dxa"/>
          </w:tcPr>
          <w:p w14:paraId="77B98564" w14:textId="77777777" w:rsidR="002C0FD9" w:rsidRPr="00CA25CF" w:rsidRDefault="002C0FD9" w:rsidP="00CA25CF">
            <w:pPr>
              <w:rPr>
                <w:rFonts w:cs="Arial"/>
                <w:color w:val="FF0000"/>
                <w:sz w:val="21"/>
                <w:szCs w:val="21"/>
              </w:rPr>
            </w:pPr>
          </w:p>
        </w:tc>
        <w:tc>
          <w:tcPr>
            <w:tcW w:w="217" w:type="dxa"/>
          </w:tcPr>
          <w:p w14:paraId="233F3E2C" w14:textId="77777777" w:rsidR="002C0FD9" w:rsidRPr="00CA25CF" w:rsidRDefault="002C0FD9" w:rsidP="00CA25CF">
            <w:pPr>
              <w:rPr>
                <w:rFonts w:cs="Arial"/>
                <w:color w:val="FF0000"/>
                <w:sz w:val="21"/>
                <w:szCs w:val="21"/>
              </w:rPr>
            </w:pPr>
          </w:p>
        </w:tc>
        <w:tc>
          <w:tcPr>
            <w:tcW w:w="217" w:type="dxa"/>
          </w:tcPr>
          <w:p w14:paraId="1A858BAF" w14:textId="77777777" w:rsidR="002C0FD9" w:rsidRPr="00CA25CF" w:rsidRDefault="002C0FD9" w:rsidP="00CA25CF">
            <w:pPr>
              <w:rPr>
                <w:rFonts w:cs="Arial"/>
                <w:color w:val="FF0000"/>
                <w:sz w:val="21"/>
                <w:szCs w:val="21"/>
              </w:rPr>
            </w:pPr>
          </w:p>
        </w:tc>
        <w:tc>
          <w:tcPr>
            <w:tcW w:w="217" w:type="dxa"/>
          </w:tcPr>
          <w:p w14:paraId="104C7738" w14:textId="77777777" w:rsidR="002C0FD9" w:rsidRPr="00CA25CF" w:rsidRDefault="002C0FD9" w:rsidP="00CA25CF">
            <w:pPr>
              <w:rPr>
                <w:rFonts w:cs="Arial"/>
                <w:color w:val="FF0000"/>
                <w:sz w:val="21"/>
                <w:szCs w:val="21"/>
              </w:rPr>
            </w:pPr>
          </w:p>
        </w:tc>
        <w:tc>
          <w:tcPr>
            <w:tcW w:w="217" w:type="dxa"/>
          </w:tcPr>
          <w:p w14:paraId="60864D20" w14:textId="77777777" w:rsidR="002C0FD9" w:rsidRPr="00CA25CF" w:rsidRDefault="002C0FD9" w:rsidP="00CA25CF">
            <w:pPr>
              <w:rPr>
                <w:rFonts w:cs="Arial"/>
                <w:color w:val="FF0000"/>
                <w:sz w:val="21"/>
                <w:szCs w:val="21"/>
              </w:rPr>
            </w:pPr>
          </w:p>
        </w:tc>
        <w:tc>
          <w:tcPr>
            <w:tcW w:w="217" w:type="dxa"/>
          </w:tcPr>
          <w:p w14:paraId="1B499DCB" w14:textId="77777777" w:rsidR="002C0FD9" w:rsidRPr="00CA25CF" w:rsidRDefault="002C0FD9" w:rsidP="00CA25CF">
            <w:pPr>
              <w:rPr>
                <w:rFonts w:cs="Arial"/>
                <w:color w:val="FF0000"/>
                <w:sz w:val="21"/>
                <w:szCs w:val="21"/>
              </w:rPr>
            </w:pPr>
          </w:p>
        </w:tc>
        <w:tc>
          <w:tcPr>
            <w:tcW w:w="217" w:type="dxa"/>
          </w:tcPr>
          <w:p w14:paraId="72372E10" w14:textId="77777777" w:rsidR="002C0FD9" w:rsidRPr="00CA25CF" w:rsidRDefault="002C0FD9" w:rsidP="00CA25CF">
            <w:pPr>
              <w:rPr>
                <w:rFonts w:cs="Arial"/>
                <w:color w:val="FF0000"/>
                <w:sz w:val="21"/>
                <w:szCs w:val="21"/>
              </w:rPr>
            </w:pPr>
          </w:p>
        </w:tc>
        <w:tc>
          <w:tcPr>
            <w:tcW w:w="217" w:type="dxa"/>
          </w:tcPr>
          <w:p w14:paraId="49EF1A4B" w14:textId="77777777" w:rsidR="002C0FD9" w:rsidRPr="00CA25CF" w:rsidRDefault="002C0FD9" w:rsidP="00CA25CF">
            <w:pPr>
              <w:rPr>
                <w:rFonts w:cs="Arial"/>
                <w:color w:val="FF0000"/>
                <w:sz w:val="21"/>
                <w:szCs w:val="21"/>
              </w:rPr>
            </w:pPr>
          </w:p>
        </w:tc>
        <w:tc>
          <w:tcPr>
            <w:tcW w:w="217" w:type="dxa"/>
          </w:tcPr>
          <w:p w14:paraId="74D07A19" w14:textId="77777777" w:rsidR="002C0FD9" w:rsidRPr="00CA25CF" w:rsidRDefault="002C0FD9" w:rsidP="00CA25CF">
            <w:pPr>
              <w:rPr>
                <w:rFonts w:cs="Arial"/>
                <w:color w:val="FF0000"/>
                <w:sz w:val="21"/>
                <w:szCs w:val="21"/>
              </w:rPr>
            </w:pPr>
          </w:p>
        </w:tc>
        <w:tc>
          <w:tcPr>
            <w:tcW w:w="217" w:type="dxa"/>
          </w:tcPr>
          <w:p w14:paraId="7CE8FC87" w14:textId="77777777" w:rsidR="002C0FD9" w:rsidRPr="00CA25CF" w:rsidRDefault="002C0FD9" w:rsidP="00CA25CF">
            <w:pPr>
              <w:rPr>
                <w:rFonts w:cs="Arial"/>
                <w:color w:val="FF0000"/>
                <w:sz w:val="21"/>
                <w:szCs w:val="21"/>
              </w:rPr>
            </w:pPr>
          </w:p>
        </w:tc>
        <w:tc>
          <w:tcPr>
            <w:tcW w:w="217" w:type="dxa"/>
          </w:tcPr>
          <w:p w14:paraId="112CB305" w14:textId="77777777" w:rsidR="002C0FD9" w:rsidRPr="00CA25CF" w:rsidRDefault="002C0FD9" w:rsidP="00CA25CF">
            <w:pPr>
              <w:rPr>
                <w:rFonts w:cs="Arial"/>
                <w:color w:val="FF0000"/>
                <w:sz w:val="21"/>
                <w:szCs w:val="21"/>
              </w:rPr>
            </w:pPr>
          </w:p>
        </w:tc>
        <w:tc>
          <w:tcPr>
            <w:tcW w:w="217" w:type="dxa"/>
          </w:tcPr>
          <w:p w14:paraId="7ADC708C" w14:textId="77777777" w:rsidR="002C0FD9" w:rsidRPr="00CA25CF" w:rsidRDefault="002C0FD9" w:rsidP="00CA25CF">
            <w:pPr>
              <w:rPr>
                <w:rFonts w:cs="Arial"/>
                <w:color w:val="FF0000"/>
                <w:sz w:val="21"/>
                <w:szCs w:val="21"/>
              </w:rPr>
            </w:pPr>
          </w:p>
        </w:tc>
        <w:tc>
          <w:tcPr>
            <w:tcW w:w="217" w:type="dxa"/>
          </w:tcPr>
          <w:p w14:paraId="75D6B1BA" w14:textId="77777777" w:rsidR="002C0FD9" w:rsidRPr="00CA25CF" w:rsidRDefault="002C0FD9" w:rsidP="00CA25CF">
            <w:pPr>
              <w:rPr>
                <w:rFonts w:cs="Arial"/>
                <w:color w:val="FF0000"/>
                <w:sz w:val="21"/>
                <w:szCs w:val="21"/>
              </w:rPr>
            </w:pPr>
          </w:p>
        </w:tc>
        <w:tc>
          <w:tcPr>
            <w:tcW w:w="217" w:type="dxa"/>
          </w:tcPr>
          <w:p w14:paraId="486D2AF9" w14:textId="77777777" w:rsidR="002C0FD9" w:rsidRPr="00CA25CF" w:rsidRDefault="002C0FD9" w:rsidP="00CA25CF">
            <w:pPr>
              <w:rPr>
                <w:rFonts w:cs="Arial"/>
                <w:color w:val="FF0000"/>
                <w:sz w:val="21"/>
                <w:szCs w:val="21"/>
              </w:rPr>
            </w:pPr>
          </w:p>
        </w:tc>
        <w:tc>
          <w:tcPr>
            <w:tcW w:w="217" w:type="dxa"/>
          </w:tcPr>
          <w:p w14:paraId="1F167CC8" w14:textId="77777777" w:rsidR="002C0FD9" w:rsidRPr="00CA25CF" w:rsidRDefault="002C0FD9" w:rsidP="00CA25CF">
            <w:pPr>
              <w:rPr>
                <w:rFonts w:cs="Arial"/>
                <w:color w:val="FF0000"/>
                <w:sz w:val="21"/>
                <w:szCs w:val="21"/>
              </w:rPr>
            </w:pPr>
          </w:p>
        </w:tc>
        <w:tc>
          <w:tcPr>
            <w:tcW w:w="217" w:type="dxa"/>
          </w:tcPr>
          <w:p w14:paraId="3CBDD4D4" w14:textId="77777777" w:rsidR="002C0FD9" w:rsidRPr="00CA25CF" w:rsidRDefault="002C0FD9" w:rsidP="00CA25CF">
            <w:pPr>
              <w:rPr>
                <w:rFonts w:cs="Arial"/>
                <w:color w:val="FF0000"/>
                <w:sz w:val="21"/>
                <w:szCs w:val="21"/>
              </w:rPr>
            </w:pPr>
          </w:p>
        </w:tc>
        <w:tc>
          <w:tcPr>
            <w:tcW w:w="217" w:type="dxa"/>
          </w:tcPr>
          <w:p w14:paraId="599AB07E" w14:textId="77777777" w:rsidR="002C0FD9" w:rsidRPr="00CA25CF" w:rsidRDefault="002C0FD9" w:rsidP="00CA25CF">
            <w:pPr>
              <w:rPr>
                <w:rFonts w:cs="Arial"/>
                <w:color w:val="FF0000"/>
                <w:sz w:val="21"/>
                <w:szCs w:val="21"/>
              </w:rPr>
            </w:pPr>
          </w:p>
        </w:tc>
        <w:tc>
          <w:tcPr>
            <w:tcW w:w="217" w:type="dxa"/>
          </w:tcPr>
          <w:p w14:paraId="1E71A5B2" w14:textId="77777777" w:rsidR="002C0FD9" w:rsidRPr="00CA25CF" w:rsidRDefault="002C0FD9" w:rsidP="00CA25CF">
            <w:pPr>
              <w:rPr>
                <w:rFonts w:cs="Arial"/>
                <w:color w:val="FF0000"/>
                <w:sz w:val="21"/>
                <w:szCs w:val="21"/>
              </w:rPr>
            </w:pPr>
          </w:p>
        </w:tc>
        <w:tc>
          <w:tcPr>
            <w:tcW w:w="217" w:type="dxa"/>
          </w:tcPr>
          <w:p w14:paraId="08EE61ED" w14:textId="77777777" w:rsidR="002C0FD9" w:rsidRPr="00CA25CF" w:rsidRDefault="002C0FD9" w:rsidP="00CA25CF">
            <w:pPr>
              <w:rPr>
                <w:rFonts w:cs="Arial"/>
                <w:color w:val="FF0000"/>
                <w:sz w:val="21"/>
                <w:szCs w:val="21"/>
              </w:rPr>
            </w:pPr>
          </w:p>
        </w:tc>
        <w:tc>
          <w:tcPr>
            <w:tcW w:w="217" w:type="dxa"/>
          </w:tcPr>
          <w:p w14:paraId="3C2F86C8" w14:textId="77777777" w:rsidR="002C0FD9" w:rsidRPr="00CA25CF" w:rsidRDefault="002C0FD9" w:rsidP="00CA25CF">
            <w:pPr>
              <w:rPr>
                <w:rFonts w:cs="Arial"/>
                <w:color w:val="FF0000"/>
                <w:sz w:val="21"/>
                <w:szCs w:val="21"/>
              </w:rPr>
            </w:pPr>
          </w:p>
        </w:tc>
        <w:tc>
          <w:tcPr>
            <w:tcW w:w="217" w:type="dxa"/>
          </w:tcPr>
          <w:p w14:paraId="06527DA7" w14:textId="77777777" w:rsidR="002C0FD9" w:rsidRPr="00CA25CF" w:rsidRDefault="002C0FD9" w:rsidP="00CA25CF">
            <w:pPr>
              <w:rPr>
                <w:rFonts w:cs="Arial"/>
                <w:color w:val="FF0000"/>
                <w:sz w:val="21"/>
                <w:szCs w:val="21"/>
              </w:rPr>
            </w:pPr>
          </w:p>
        </w:tc>
        <w:tc>
          <w:tcPr>
            <w:tcW w:w="217" w:type="dxa"/>
          </w:tcPr>
          <w:p w14:paraId="25AB1EBA" w14:textId="77777777" w:rsidR="002C0FD9" w:rsidRPr="00CA25CF" w:rsidRDefault="002C0FD9" w:rsidP="00CA25CF">
            <w:pPr>
              <w:rPr>
                <w:rFonts w:cs="Arial"/>
                <w:color w:val="FF0000"/>
                <w:sz w:val="21"/>
                <w:szCs w:val="21"/>
              </w:rPr>
            </w:pPr>
          </w:p>
        </w:tc>
        <w:tc>
          <w:tcPr>
            <w:tcW w:w="217" w:type="dxa"/>
          </w:tcPr>
          <w:p w14:paraId="30C67BBF" w14:textId="77777777" w:rsidR="002C0FD9" w:rsidRPr="00CA25CF" w:rsidRDefault="002C0FD9" w:rsidP="00CA25CF">
            <w:pPr>
              <w:rPr>
                <w:rFonts w:cs="Arial"/>
                <w:color w:val="FF0000"/>
                <w:sz w:val="21"/>
                <w:szCs w:val="21"/>
              </w:rPr>
            </w:pPr>
          </w:p>
        </w:tc>
      </w:tr>
      <w:tr w:rsidR="002C0FD9" w:rsidRPr="00A16219" w14:paraId="5C8D25AF" w14:textId="243E4023" w:rsidTr="002C0FD9">
        <w:trPr>
          <w:trHeight w:val="635"/>
        </w:trPr>
        <w:tc>
          <w:tcPr>
            <w:tcW w:w="515" w:type="dxa"/>
          </w:tcPr>
          <w:p w14:paraId="70DB0911" w14:textId="77777777" w:rsidR="002C0FD9" w:rsidRPr="00CA25CF" w:rsidRDefault="002C0FD9" w:rsidP="00CA25CF">
            <w:pPr>
              <w:rPr>
                <w:rFonts w:cs="Arial"/>
                <w:color w:val="FF0000"/>
                <w:sz w:val="21"/>
                <w:szCs w:val="21"/>
              </w:rPr>
            </w:pPr>
          </w:p>
        </w:tc>
        <w:tc>
          <w:tcPr>
            <w:tcW w:w="217" w:type="dxa"/>
          </w:tcPr>
          <w:p w14:paraId="1A3A6DD9" w14:textId="77777777" w:rsidR="002C0FD9" w:rsidRPr="00CA25CF" w:rsidRDefault="002C0FD9" w:rsidP="00CA25CF">
            <w:pPr>
              <w:rPr>
                <w:rFonts w:cs="Arial"/>
                <w:color w:val="FF0000"/>
                <w:sz w:val="21"/>
                <w:szCs w:val="21"/>
              </w:rPr>
            </w:pPr>
          </w:p>
        </w:tc>
        <w:tc>
          <w:tcPr>
            <w:tcW w:w="217" w:type="dxa"/>
          </w:tcPr>
          <w:p w14:paraId="1DF7C5B1" w14:textId="2B273574" w:rsidR="002C0FD9" w:rsidRPr="00CA25CF" w:rsidRDefault="002C0FD9" w:rsidP="00CA25CF">
            <w:pPr>
              <w:rPr>
                <w:rFonts w:cs="Arial"/>
                <w:color w:val="FF0000"/>
                <w:sz w:val="21"/>
                <w:szCs w:val="21"/>
              </w:rPr>
            </w:pPr>
          </w:p>
        </w:tc>
        <w:tc>
          <w:tcPr>
            <w:tcW w:w="217" w:type="dxa"/>
          </w:tcPr>
          <w:p w14:paraId="4567DC29" w14:textId="77777777" w:rsidR="002C0FD9" w:rsidRPr="00CA25CF" w:rsidRDefault="002C0FD9" w:rsidP="00CA25CF">
            <w:pPr>
              <w:rPr>
                <w:rFonts w:cs="Arial"/>
                <w:color w:val="FF0000"/>
                <w:sz w:val="21"/>
                <w:szCs w:val="21"/>
              </w:rPr>
            </w:pPr>
          </w:p>
        </w:tc>
        <w:tc>
          <w:tcPr>
            <w:tcW w:w="217" w:type="dxa"/>
          </w:tcPr>
          <w:p w14:paraId="3C75E7F6" w14:textId="77777777" w:rsidR="002C0FD9" w:rsidRPr="00CA25CF" w:rsidRDefault="002C0FD9" w:rsidP="00CA25CF">
            <w:pPr>
              <w:rPr>
                <w:rFonts w:cs="Arial"/>
                <w:color w:val="FF0000"/>
                <w:sz w:val="21"/>
                <w:szCs w:val="21"/>
              </w:rPr>
            </w:pPr>
          </w:p>
        </w:tc>
        <w:tc>
          <w:tcPr>
            <w:tcW w:w="217" w:type="dxa"/>
          </w:tcPr>
          <w:p w14:paraId="1250A4C2" w14:textId="77777777" w:rsidR="002C0FD9" w:rsidRPr="00CA25CF" w:rsidRDefault="002C0FD9" w:rsidP="00CA25CF">
            <w:pPr>
              <w:rPr>
                <w:rFonts w:cs="Arial"/>
                <w:color w:val="FF0000"/>
                <w:sz w:val="21"/>
                <w:szCs w:val="21"/>
              </w:rPr>
            </w:pPr>
          </w:p>
        </w:tc>
        <w:tc>
          <w:tcPr>
            <w:tcW w:w="217" w:type="dxa"/>
          </w:tcPr>
          <w:p w14:paraId="3ACD5888" w14:textId="77777777" w:rsidR="002C0FD9" w:rsidRPr="00CA25CF" w:rsidRDefault="002C0FD9" w:rsidP="00CA25CF">
            <w:pPr>
              <w:rPr>
                <w:rFonts w:cs="Arial"/>
                <w:color w:val="FF0000"/>
                <w:sz w:val="21"/>
                <w:szCs w:val="21"/>
              </w:rPr>
            </w:pPr>
          </w:p>
        </w:tc>
        <w:tc>
          <w:tcPr>
            <w:tcW w:w="217" w:type="dxa"/>
          </w:tcPr>
          <w:p w14:paraId="72CA19C4" w14:textId="77777777" w:rsidR="002C0FD9" w:rsidRPr="00CA25CF" w:rsidRDefault="002C0FD9" w:rsidP="00CA25CF">
            <w:pPr>
              <w:rPr>
                <w:rFonts w:cs="Arial"/>
                <w:color w:val="FF0000"/>
                <w:sz w:val="21"/>
                <w:szCs w:val="21"/>
              </w:rPr>
            </w:pPr>
          </w:p>
        </w:tc>
        <w:tc>
          <w:tcPr>
            <w:tcW w:w="217" w:type="dxa"/>
          </w:tcPr>
          <w:p w14:paraId="4E4B7587" w14:textId="77777777" w:rsidR="002C0FD9" w:rsidRPr="00CA25CF" w:rsidRDefault="002C0FD9" w:rsidP="00CA25CF">
            <w:pPr>
              <w:rPr>
                <w:rFonts w:cs="Arial"/>
                <w:color w:val="FF0000"/>
                <w:sz w:val="21"/>
                <w:szCs w:val="21"/>
              </w:rPr>
            </w:pPr>
          </w:p>
        </w:tc>
        <w:tc>
          <w:tcPr>
            <w:tcW w:w="217" w:type="dxa"/>
          </w:tcPr>
          <w:p w14:paraId="3FE8A983" w14:textId="77777777" w:rsidR="002C0FD9" w:rsidRPr="00CA25CF" w:rsidRDefault="002C0FD9" w:rsidP="00CA25CF">
            <w:pPr>
              <w:rPr>
                <w:rFonts w:cs="Arial"/>
                <w:color w:val="FF0000"/>
                <w:sz w:val="21"/>
                <w:szCs w:val="21"/>
              </w:rPr>
            </w:pPr>
          </w:p>
        </w:tc>
        <w:tc>
          <w:tcPr>
            <w:tcW w:w="217" w:type="dxa"/>
          </w:tcPr>
          <w:p w14:paraId="5BBBEEE3" w14:textId="77777777" w:rsidR="002C0FD9" w:rsidRPr="00CA25CF" w:rsidRDefault="002C0FD9" w:rsidP="00CA25CF">
            <w:pPr>
              <w:rPr>
                <w:rFonts w:cs="Arial"/>
                <w:color w:val="FF0000"/>
                <w:sz w:val="21"/>
                <w:szCs w:val="21"/>
              </w:rPr>
            </w:pPr>
          </w:p>
        </w:tc>
        <w:tc>
          <w:tcPr>
            <w:tcW w:w="217" w:type="dxa"/>
          </w:tcPr>
          <w:p w14:paraId="53C874AC" w14:textId="77777777" w:rsidR="002C0FD9" w:rsidRPr="00CA25CF" w:rsidRDefault="002C0FD9" w:rsidP="00CA25CF">
            <w:pPr>
              <w:rPr>
                <w:rFonts w:cs="Arial"/>
                <w:color w:val="FF0000"/>
                <w:sz w:val="21"/>
                <w:szCs w:val="21"/>
              </w:rPr>
            </w:pPr>
          </w:p>
        </w:tc>
        <w:tc>
          <w:tcPr>
            <w:tcW w:w="217" w:type="dxa"/>
          </w:tcPr>
          <w:p w14:paraId="4C30CE23" w14:textId="77777777" w:rsidR="002C0FD9" w:rsidRPr="00CA25CF" w:rsidRDefault="002C0FD9" w:rsidP="00CA25CF">
            <w:pPr>
              <w:rPr>
                <w:rFonts w:cs="Arial"/>
                <w:color w:val="FF0000"/>
                <w:sz w:val="21"/>
                <w:szCs w:val="21"/>
              </w:rPr>
            </w:pPr>
          </w:p>
        </w:tc>
        <w:tc>
          <w:tcPr>
            <w:tcW w:w="217" w:type="dxa"/>
          </w:tcPr>
          <w:p w14:paraId="076104E3" w14:textId="77777777" w:rsidR="002C0FD9" w:rsidRPr="00CA25CF" w:rsidRDefault="002C0FD9" w:rsidP="00CA25CF">
            <w:pPr>
              <w:rPr>
                <w:rFonts w:cs="Arial"/>
                <w:color w:val="FF0000"/>
                <w:sz w:val="21"/>
                <w:szCs w:val="21"/>
              </w:rPr>
            </w:pPr>
          </w:p>
        </w:tc>
        <w:tc>
          <w:tcPr>
            <w:tcW w:w="217" w:type="dxa"/>
          </w:tcPr>
          <w:p w14:paraId="300528B8" w14:textId="77777777" w:rsidR="002C0FD9" w:rsidRPr="00CA25CF" w:rsidRDefault="002C0FD9" w:rsidP="00CA25CF">
            <w:pPr>
              <w:rPr>
                <w:rFonts w:cs="Arial"/>
                <w:color w:val="FF0000"/>
                <w:sz w:val="21"/>
                <w:szCs w:val="21"/>
              </w:rPr>
            </w:pPr>
          </w:p>
        </w:tc>
        <w:tc>
          <w:tcPr>
            <w:tcW w:w="217" w:type="dxa"/>
          </w:tcPr>
          <w:p w14:paraId="50F7F3C8" w14:textId="77777777" w:rsidR="002C0FD9" w:rsidRPr="00CA25CF" w:rsidRDefault="002C0FD9" w:rsidP="00CA25CF">
            <w:pPr>
              <w:rPr>
                <w:rFonts w:cs="Arial"/>
                <w:color w:val="FF0000"/>
                <w:sz w:val="21"/>
                <w:szCs w:val="21"/>
              </w:rPr>
            </w:pPr>
          </w:p>
        </w:tc>
        <w:tc>
          <w:tcPr>
            <w:tcW w:w="217" w:type="dxa"/>
          </w:tcPr>
          <w:p w14:paraId="535030CC" w14:textId="77777777" w:rsidR="002C0FD9" w:rsidRPr="00CA25CF" w:rsidRDefault="002C0FD9" w:rsidP="00CA25CF">
            <w:pPr>
              <w:rPr>
                <w:rFonts w:cs="Arial"/>
                <w:color w:val="FF0000"/>
                <w:sz w:val="21"/>
                <w:szCs w:val="21"/>
              </w:rPr>
            </w:pPr>
          </w:p>
        </w:tc>
        <w:tc>
          <w:tcPr>
            <w:tcW w:w="217" w:type="dxa"/>
          </w:tcPr>
          <w:p w14:paraId="466CE697" w14:textId="77777777" w:rsidR="002C0FD9" w:rsidRPr="00CA25CF" w:rsidRDefault="002C0FD9" w:rsidP="00CA25CF">
            <w:pPr>
              <w:rPr>
                <w:rFonts w:cs="Arial"/>
                <w:color w:val="FF0000"/>
                <w:sz w:val="21"/>
                <w:szCs w:val="21"/>
              </w:rPr>
            </w:pPr>
          </w:p>
        </w:tc>
        <w:tc>
          <w:tcPr>
            <w:tcW w:w="217" w:type="dxa"/>
          </w:tcPr>
          <w:p w14:paraId="5AD6F895" w14:textId="77777777" w:rsidR="002C0FD9" w:rsidRPr="00CA25CF" w:rsidRDefault="002C0FD9" w:rsidP="00CA25CF">
            <w:pPr>
              <w:rPr>
                <w:rFonts w:cs="Arial"/>
                <w:color w:val="FF0000"/>
                <w:sz w:val="21"/>
                <w:szCs w:val="21"/>
              </w:rPr>
            </w:pPr>
          </w:p>
        </w:tc>
        <w:tc>
          <w:tcPr>
            <w:tcW w:w="217" w:type="dxa"/>
          </w:tcPr>
          <w:p w14:paraId="040B6225" w14:textId="77777777" w:rsidR="002C0FD9" w:rsidRPr="00CA25CF" w:rsidRDefault="002C0FD9" w:rsidP="00CA25CF">
            <w:pPr>
              <w:rPr>
                <w:rFonts w:cs="Arial"/>
                <w:color w:val="FF0000"/>
                <w:sz w:val="21"/>
                <w:szCs w:val="21"/>
              </w:rPr>
            </w:pPr>
          </w:p>
        </w:tc>
        <w:tc>
          <w:tcPr>
            <w:tcW w:w="217" w:type="dxa"/>
          </w:tcPr>
          <w:p w14:paraId="43C0DC24" w14:textId="77777777" w:rsidR="002C0FD9" w:rsidRPr="00CA25CF" w:rsidRDefault="002C0FD9" w:rsidP="00CA25CF">
            <w:pPr>
              <w:rPr>
                <w:rFonts w:cs="Arial"/>
                <w:color w:val="FF0000"/>
                <w:sz w:val="21"/>
                <w:szCs w:val="21"/>
              </w:rPr>
            </w:pPr>
          </w:p>
        </w:tc>
        <w:tc>
          <w:tcPr>
            <w:tcW w:w="217" w:type="dxa"/>
          </w:tcPr>
          <w:p w14:paraId="58CA1B7B" w14:textId="77777777" w:rsidR="002C0FD9" w:rsidRPr="00CA25CF" w:rsidRDefault="002C0FD9" w:rsidP="00CA25CF">
            <w:pPr>
              <w:rPr>
                <w:rFonts w:cs="Arial"/>
                <w:color w:val="FF0000"/>
                <w:sz w:val="21"/>
                <w:szCs w:val="21"/>
              </w:rPr>
            </w:pPr>
          </w:p>
        </w:tc>
        <w:tc>
          <w:tcPr>
            <w:tcW w:w="217" w:type="dxa"/>
          </w:tcPr>
          <w:p w14:paraId="032F3EC8" w14:textId="77777777" w:rsidR="002C0FD9" w:rsidRPr="00CA25CF" w:rsidRDefault="002C0FD9" w:rsidP="00CA25CF">
            <w:pPr>
              <w:rPr>
                <w:rFonts w:cs="Arial"/>
                <w:color w:val="FF0000"/>
                <w:sz w:val="21"/>
                <w:szCs w:val="21"/>
              </w:rPr>
            </w:pPr>
          </w:p>
        </w:tc>
        <w:tc>
          <w:tcPr>
            <w:tcW w:w="217" w:type="dxa"/>
          </w:tcPr>
          <w:p w14:paraId="46883DBF" w14:textId="77777777" w:rsidR="002C0FD9" w:rsidRPr="00CA25CF" w:rsidRDefault="002C0FD9" w:rsidP="00CA25CF">
            <w:pPr>
              <w:rPr>
                <w:rFonts w:cs="Arial"/>
                <w:color w:val="FF0000"/>
                <w:sz w:val="21"/>
                <w:szCs w:val="21"/>
              </w:rPr>
            </w:pPr>
          </w:p>
        </w:tc>
        <w:tc>
          <w:tcPr>
            <w:tcW w:w="217" w:type="dxa"/>
          </w:tcPr>
          <w:p w14:paraId="73B59FFA" w14:textId="77777777" w:rsidR="002C0FD9" w:rsidRPr="00CA25CF" w:rsidRDefault="002C0FD9" w:rsidP="00CA25CF">
            <w:pPr>
              <w:rPr>
                <w:rFonts w:cs="Arial"/>
                <w:color w:val="FF0000"/>
                <w:sz w:val="21"/>
                <w:szCs w:val="21"/>
              </w:rPr>
            </w:pPr>
          </w:p>
        </w:tc>
        <w:tc>
          <w:tcPr>
            <w:tcW w:w="217" w:type="dxa"/>
          </w:tcPr>
          <w:p w14:paraId="19C737A1" w14:textId="77777777" w:rsidR="002C0FD9" w:rsidRPr="00CA25CF" w:rsidRDefault="002C0FD9" w:rsidP="00CA25CF">
            <w:pPr>
              <w:rPr>
                <w:rFonts w:cs="Arial"/>
                <w:color w:val="FF0000"/>
                <w:sz w:val="21"/>
                <w:szCs w:val="21"/>
              </w:rPr>
            </w:pPr>
          </w:p>
        </w:tc>
        <w:tc>
          <w:tcPr>
            <w:tcW w:w="217" w:type="dxa"/>
          </w:tcPr>
          <w:p w14:paraId="0AADCE12" w14:textId="77777777" w:rsidR="002C0FD9" w:rsidRPr="00CA25CF" w:rsidRDefault="002C0FD9" w:rsidP="00CA25CF">
            <w:pPr>
              <w:rPr>
                <w:rFonts w:cs="Arial"/>
                <w:color w:val="FF0000"/>
                <w:sz w:val="21"/>
                <w:szCs w:val="21"/>
              </w:rPr>
            </w:pPr>
          </w:p>
        </w:tc>
        <w:tc>
          <w:tcPr>
            <w:tcW w:w="217" w:type="dxa"/>
          </w:tcPr>
          <w:p w14:paraId="48C72CF4" w14:textId="77777777" w:rsidR="002C0FD9" w:rsidRPr="00CA25CF" w:rsidRDefault="002C0FD9" w:rsidP="00CA25CF">
            <w:pPr>
              <w:rPr>
                <w:rFonts w:cs="Arial"/>
                <w:color w:val="FF0000"/>
                <w:sz w:val="21"/>
                <w:szCs w:val="21"/>
              </w:rPr>
            </w:pPr>
          </w:p>
        </w:tc>
        <w:tc>
          <w:tcPr>
            <w:tcW w:w="217" w:type="dxa"/>
          </w:tcPr>
          <w:p w14:paraId="1C14711F" w14:textId="77777777" w:rsidR="002C0FD9" w:rsidRPr="00CA25CF" w:rsidRDefault="002C0FD9" w:rsidP="00CA25CF">
            <w:pPr>
              <w:rPr>
                <w:rFonts w:cs="Arial"/>
                <w:color w:val="FF0000"/>
                <w:sz w:val="21"/>
                <w:szCs w:val="21"/>
              </w:rPr>
            </w:pPr>
          </w:p>
        </w:tc>
        <w:tc>
          <w:tcPr>
            <w:tcW w:w="217" w:type="dxa"/>
          </w:tcPr>
          <w:p w14:paraId="57447BFD" w14:textId="77777777" w:rsidR="002C0FD9" w:rsidRPr="00CA25CF" w:rsidRDefault="002C0FD9" w:rsidP="00CA25CF">
            <w:pPr>
              <w:rPr>
                <w:rFonts w:cs="Arial"/>
                <w:color w:val="FF0000"/>
                <w:sz w:val="21"/>
                <w:szCs w:val="21"/>
              </w:rPr>
            </w:pPr>
          </w:p>
        </w:tc>
        <w:tc>
          <w:tcPr>
            <w:tcW w:w="217" w:type="dxa"/>
          </w:tcPr>
          <w:p w14:paraId="79558EEB" w14:textId="77777777" w:rsidR="002C0FD9" w:rsidRPr="00CA25CF" w:rsidRDefault="002C0FD9" w:rsidP="00CA25CF">
            <w:pPr>
              <w:rPr>
                <w:rFonts w:cs="Arial"/>
                <w:color w:val="FF0000"/>
                <w:sz w:val="21"/>
                <w:szCs w:val="21"/>
              </w:rPr>
            </w:pPr>
          </w:p>
        </w:tc>
        <w:tc>
          <w:tcPr>
            <w:tcW w:w="217" w:type="dxa"/>
          </w:tcPr>
          <w:p w14:paraId="6258D0CB" w14:textId="77777777" w:rsidR="002C0FD9" w:rsidRPr="00CA25CF" w:rsidRDefault="002C0FD9" w:rsidP="00CA25CF">
            <w:pPr>
              <w:rPr>
                <w:rFonts w:cs="Arial"/>
                <w:color w:val="FF0000"/>
                <w:sz w:val="21"/>
                <w:szCs w:val="21"/>
              </w:rPr>
            </w:pPr>
          </w:p>
        </w:tc>
        <w:tc>
          <w:tcPr>
            <w:tcW w:w="217" w:type="dxa"/>
          </w:tcPr>
          <w:p w14:paraId="044EEC84" w14:textId="77777777" w:rsidR="002C0FD9" w:rsidRPr="00CA25CF" w:rsidRDefault="002C0FD9" w:rsidP="00CA25CF">
            <w:pPr>
              <w:rPr>
                <w:rFonts w:cs="Arial"/>
                <w:color w:val="FF0000"/>
                <w:sz w:val="21"/>
                <w:szCs w:val="21"/>
              </w:rPr>
            </w:pPr>
          </w:p>
        </w:tc>
        <w:tc>
          <w:tcPr>
            <w:tcW w:w="217" w:type="dxa"/>
          </w:tcPr>
          <w:p w14:paraId="62D44597" w14:textId="77777777" w:rsidR="002C0FD9" w:rsidRPr="00CA25CF" w:rsidRDefault="002C0FD9" w:rsidP="00CA25CF">
            <w:pPr>
              <w:rPr>
                <w:rFonts w:cs="Arial"/>
                <w:color w:val="FF0000"/>
                <w:sz w:val="21"/>
                <w:szCs w:val="21"/>
              </w:rPr>
            </w:pPr>
          </w:p>
        </w:tc>
        <w:tc>
          <w:tcPr>
            <w:tcW w:w="217" w:type="dxa"/>
          </w:tcPr>
          <w:p w14:paraId="047E9032" w14:textId="77777777" w:rsidR="002C0FD9" w:rsidRPr="00CA25CF" w:rsidRDefault="002C0FD9" w:rsidP="00CA25CF">
            <w:pPr>
              <w:rPr>
                <w:rFonts w:cs="Arial"/>
                <w:color w:val="FF0000"/>
                <w:sz w:val="21"/>
                <w:szCs w:val="21"/>
              </w:rPr>
            </w:pPr>
          </w:p>
        </w:tc>
        <w:tc>
          <w:tcPr>
            <w:tcW w:w="217" w:type="dxa"/>
          </w:tcPr>
          <w:p w14:paraId="066E7595" w14:textId="77777777" w:rsidR="002C0FD9" w:rsidRPr="00CA25CF" w:rsidRDefault="002C0FD9" w:rsidP="00CA25CF">
            <w:pPr>
              <w:rPr>
                <w:rFonts w:cs="Arial"/>
                <w:color w:val="FF0000"/>
                <w:sz w:val="21"/>
                <w:szCs w:val="21"/>
              </w:rPr>
            </w:pPr>
          </w:p>
        </w:tc>
        <w:tc>
          <w:tcPr>
            <w:tcW w:w="217" w:type="dxa"/>
          </w:tcPr>
          <w:p w14:paraId="56A17712" w14:textId="77777777" w:rsidR="002C0FD9" w:rsidRPr="00CA25CF" w:rsidRDefault="002C0FD9" w:rsidP="00CA25CF">
            <w:pPr>
              <w:rPr>
                <w:rFonts w:cs="Arial"/>
                <w:color w:val="FF0000"/>
                <w:sz w:val="21"/>
                <w:szCs w:val="21"/>
              </w:rPr>
            </w:pPr>
          </w:p>
        </w:tc>
        <w:tc>
          <w:tcPr>
            <w:tcW w:w="217" w:type="dxa"/>
          </w:tcPr>
          <w:p w14:paraId="0B61D23F" w14:textId="77777777" w:rsidR="002C0FD9" w:rsidRPr="00CA25CF" w:rsidRDefault="002C0FD9" w:rsidP="00CA25CF">
            <w:pPr>
              <w:rPr>
                <w:rFonts w:cs="Arial"/>
                <w:color w:val="FF0000"/>
                <w:sz w:val="21"/>
                <w:szCs w:val="21"/>
              </w:rPr>
            </w:pPr>
          </w:p>
        </w:tc>
        <w:tc>
          <w:tcPr>
            <w:tcW w:w="217" w:type="dxa"/>
          </w:tcPr>
          <w:p w14:paraId="42CB7328" w14:textId="77777777" w:rsidR="002C0FD9" w:rsidRPr="00CA25CF" w:rsidRDefault="002C0FD9" w:rsidP="00CA25CF">
            <w:pPr>
              <w:rPr>
                <w:rFonts w:cs="Arial"/>
                <w:color w:val="FF0000"/>
                <w:sz w:val="21"/>
                <w:szCs w:val="21"/>
              </w:rPr>
            </w:pPr>
          </w:p>
        </w:tc>
        <w:tc>
          <w:tcPr>
            <w:tcW w:w="217" w:type="dxa"/>
          </w:tcPr>
          <w:p w14:paraId="120DAF2F" w14:textId="77777777" w:rsidR="002C0FD9" w:rsidRPr="00CA25CF" w:rsidRDefault="002C0FD9" w:rsidP="00CA25CF">
            <w:pPr>
              <w:rPr>
                <w:rFonts w:cs="Arial"/>
                <w:color w:val="FF0000"/>
                <w:sz w:val="21"/>
                <w:szCs w:val="21"/>
              </w:rPr>
            </w:pPr>
          </w:p>
        </w:tc>
        <w:tc>
          <w:tcPr>
            <w:tcW w:w="217" w:type="dxa"/>
          </w:tcPr>
          <w:p w14:paraId="320655E6" w14:textId="77777777" w:rsidR="002C0FD9" w:rsidRPr="00CA25CF" w:rsidRDefault="002C0FD9" w:rsidP="00CA25CF">
            <w:pPr>
              <w:rPr>
                <w:rFonts w:cs="Arial"/>
                <w:color w:val="FF0000"/>
                <w:sz w:val="21"/>
                <w:szCs w:val="21"/>
              </w:rPr>
            </w:pPr>
          </w:p>
        </w:tc>
        <w:tc>
          <w:tcPr>
            <w:tcW w:w="217" w:type="dxa"/>
          </w:tcPr>
          <w:p w14:paraId="381A1865" w14:textId="77777777" w:rsidR="002C0FD9" w:rsidRPr="00CA25CF" w:rsidRDefault="002C0FD9" w:rsidP="00CA25CF">
            <w:pPr>
              <w:rPr>
                <w:rFonts w:cs="Arial"/>
                <w:color w:val="FF0000"/>
                <w:sz w:val="21"/>
                <w:szCs w:val="21"/>
              </w:rPr>
            </w:pPr>
          </w:p>
        </w:tc>
        <w:tc>
          <w:tcPr>
            <w:tcW w:w="217" w:type="dxa"/>
          </w:tcPr>
          <w:p w14:paraId="5C26AB3D" w14:textId="77777777" w:rsidR="002C0FD9" w:rsidRPr="00CA25CF" w:rsidRDefault="002C0FD9" w:rsidP="00CA25CF">
            <w:pPr>
              <w:rPr>
                <w:rFonts w:cs="Arial"/>
                <w:color w:val="FF0000"/>
                <w:sz w:val="21"/>
                <w:szCs w:val="21"/>
              </w:rPr>
            </w:pPr>
          </w:p>
        </w:tc>
      </w:tr>
      <w:tr w:rsidR="002C0FD9" w:rsidRPr="00A16219" w14:paraId="150758A1" w14:textId="731A291C" w:rsidTr="002C0FD9">
        <w:trPr>
          <w:trHeight w:val="635"/>
        </w:trPr>
        <w:tc>
          <w:tcPr>
            <w:tcW w:w="515" w:type="dxa"/>
          </w:tcPr>
          <w:p w14:paraId="2DEB88E9" w14:textId="77777777" w:rsidR="002C0FD9" w:rsidRPr="00CA25CF" w:rsidRDefault="002C0FD9" w:rsidP="00CA25CF">
            <w:pPr>
              <w:rPr>
                <w:rFonts w:cs="Arial"/>
                <w:color w:val="FF0000"/>
                <w:sz w:val="21"/>
                <w:szCs w:val="21"/>
              </w:rPr>
            </w:pPr>
          </w:p>
        </w:tc>
        <w:tc>
          <w:tcPr>
            <w:tcW w:w="217" w:type="dxa"/>
          </w:tcPr>
          <w:p w14:paraId="7C536413" w14:textId="77777777" w:rsidR="002C0FD9" w:rsidRPr="00CA25CF" w:rsidRDefault="002C0FD9" w:rsidP="00CA25CF">
            <w:pPr>
              <w:rPr>
                <w:rFonts w:cs="Arial"/>
                <w:color w:val="FF0000"/>
                <w:sz w:val="21"/>
                <w:szCs w:val="21"/>
              </w:rPr>
            </w:pPr>
          </w:p>
        </w:tc>
        <w:tc>
          <w:tcPr>
            <w:tcW w:w="217" w:type="dxa"/>
          </w:tcPr>
          <w:p w14:paraId="3FF0206C" w14:textId="379F7B8B" w:rsidR="002C0FD9" w:rsidRPr="00CA25CF" w:rsidRDefault="002C0FD9" w:rsidP="00CA25CF">
            <w:pPr>
              <w:rPr>
                <w:rFonts w:cs="Arial"/>
                <w:color w:val="FF0000"/>
                <w:sz w:val="21"/>
                <w:szCs w:val="21"/>
              </w:rPr>
            </w:pPr>
          </w:p>
        </w:tc>
        <w:tc>
          <w:tcPr>
            <w:tcW w:w="217" w:type="dxa"/>
          </w:tcPr>
          <w:p w14:paraId="7A189789" w14:textId="77777777" w:rsidR="002C0FD9" w:rsidRPr="00CA25CF" w:rsidRDefault="002C0FD9" w:rsidP="00CA25CF">
            <w:pPr>
              <w:rPr>
                <w:rFonts w:cs="Arial"/>
                <w:color w:val="FF0000"/>
                <w:sz w:val="21"/>
                <w:szCs w:val="21"/>
              </w:rPr>
            </w:pPr>
          </w:p>
        </w:tc>
        <w:tc>
          <w:tcPr>
            <w:tcW w:w="217" w:type="dxa"/>
          </w:tcPr>
          <w:p w14:paraId="1C7A6DD7" w14:textId="77777777" w:rsidR="002C0FD9" w:rsidRPr="00CA25CF" w:rsidRDefault="002C0FD9" w:rsidP="00CA25CF">
            <w:pPr>
              <w:rPr>
                <w:rFonts w:cs="Arial"/>
                <w:color w:val="FF0000"/>
                <w:sz w:val="21"/>
                <w:szCs w:val="21"/>
              </w:rPr>
            </w:pPr>
          </w:p>
        </w:tc>
        <w:tc>
          <w:tcPr>
            <w:tcW w:w="217" w:type="dxa"/>
          </w:tcPr>
          <w:p w14:paraId="1FD48961" w14:textId="77777777" w:rsidR="002C0FD9" w:rsidRPr="00CA25CF" w:rsidRDefault="002C0FD9" w:rsidP="00CA25CF">
            <w:pPr>
              <w:rPr>
                <w:rFonts w:cs="Arial"/>
                <w:color w:val="FF0000"/>
                <w:sz w:val="21"/>
                <w:szCs w:val="21"/>
              </w:rPr>
            </w:pPr>
          </w:p>
        </w:tc>
        <w:tc>
          <w:tcPr>
            <w:tcW w:w="217" w:type="dxa"/>
          </w:tcPr>
          <w:p w14:paraId="37A71186" w14:textId="77777777" w:rsidR="002C0FD9" w:rsidRPr="00CA25CF" w:rsidRDefault="002C0FD9" w:rsidP="00CA25CF">
            <w:pPr>
              <w:rPr>
                <w:rFonts w:cs="Arial"/>
                <w:color w:val="FF0000"/>
                <w:sz w:val="21"/>
                <w:szCs w:val="21"/>
              </w:rPr>
            </w:pPr>
          </w:p>
        </w:tc>
        <w:tc>
          <w:tcPr>
            <w:tcW w:w="217" w:type="dxa"/>
          </w:tcPr>
          <w:p w14:paraId="1F581FDE" w14:textId="77777777" w:rsidR="002C0FD9" w:rsidRPr="00CA25CF" w:rsidRDefault="002C0FD9" w:rsidP="00CA25CF">
            <w:pPr>
              <w:rPr>
                <w:rFonts w:cs="Arial"/>
                <w:color w:val="FF0000"/>
                <w:sz w:val="21"/>
                <w:szCs w:val="21"/>
              </w:rPr>
            </w:pPr>
          </w:p>
        </w:tc>
        <w:tc>
          <w:tcPr>
            <w:tcW w:w="217" w:type="dxa"/>
          </w:tcPr>
          <w:p w14:paraId="12CB477E" w14:textId="77777777" w:rsidR="002C0FD9" w:rsidRPr="00CA25CF" w:rsidRDefault="002C0FD9" w:rsidP="00CA25CF">
            <w:pPr>
              <w:rPr>
                <w:rFonts w:cs="Arial"/>
                <w:color w:val="FF0000"/>
                <w:sz w:val="21"/>
                <w:szCs w:val="21"/>
              </w:rPr>
            </w:pPr>
          </w:p>
        </w:tc>
        <w:tc>
          <w:tcPr>
            <w:tcW w:w="217" w:type="dxa"/>
          </w:tcPr>
          <w:p w14:paraId="1B8256F6" w14:textId="77777777" w:rsidR="002C0FD9" w:rsidRPr="00CA25CF" w:rsidRDefault="002C0FD9" w:rsidP="00CA25CF">
            <w:pPr>
              <w:rPr>
                <w:rFonts w:cs="Arial"/>
                <w:color w:val="FF0000"/>
                <w:sz w:val="21"/>
                <w:szCs w:val="21"/>
              </w:rPr>
            </w:pPr>
          </w:p>
        </w:tc>
        <w:tc>
          <w:tcPr>
            <w:tcW w:w="217" w:type="dxa"/>
          </w:tcPr>
          <w:p w14:paraId="724ED8F5" w14:textId="77777777" w:rsidR="002C0FD9" w:rsidRPr="00CA25CF" w:rsidRDefault="002C0FD9" w:rsidP="00CA25CF">
            <w:pPr>
              <w:rPr>
                <w:rFonts w:cs="Arial"/>
                <w:color w:val="FF0000"/>
                <w:sz w:val="21"/>
                <w:szCs w:val="21"/>
              </w:rPr>
            </w:pPr>
          </w:p>
        </w:tc>
        <w:tc>
          <w:tcPr>
            <w:tcW w:w="217" w:type="dxa"/>
          </w:tcPr>
          <w:p w14:paraId="55E614AE" w14:textId="77777777" w:rsidR="002C0FD9" w:rsidRPr="00CA25CF" w:rsidRDefault="002C0FD9" w:rsidP="00CA25CF">
            <w:pPr>
              <w:rPr>
                <w:rFonts w:cs="Arial"/>
                <w:color w:val="FF0000"/>
                <w:sz w:val="21"/>
                <w:szCs w:val="21"/>
              </w:rPr>
            </w:pPr>
          </w:p>
        </w:tc>
        <w:tc>
          <w:tcPr>
            <w:tcW w:w="217" w:type="dxa"/>
          </w:tcPr>
          <w:p w14:paraId="76B443C7" w14:textId="77777777" w:rsidR="002C0FD9" w:rsidRPr="00CA25CF" w:rsidRDefault="002C0FD9" w:rsidP="00CA25CF">
            <w:pPr>
              <w:rPr>
                <w:rFonts w:cs="Arial"/>
                <w:color w:val="FF0000"/>
                <w:sz w:val="21"/>
                <w:szCs w:val="21"/>
              </w:rPr>
            </w:pPr>
          </w:p>
        </w:tc>
        <w:tc>
          <w:tcPr>
            <w:tcW w:w="217" w:type="dxa"/>
          </w:tcPr>
          <w:p w14:paraId="7C99310F" w14:textId="77777777" w:rsidR="002C0FD9" w:rsidRPr="00CA25CF" w:rsidRDefault="002C0FD9" w:rsidP="00CA25CF">
            <w:pPr>
              <w:rPr>
                <w:rFonts w:cs="Arial"/>
                <w:color w:val="FF0000"/>
                <w:sz w:val="21"/>
                <w:szCs w:val="21"/>
              </w:rPr>
            </w:pPr>
          </w:p>
        </w:tc>
        <w:tc>
          <w:tcPr>
            <w:tcW w:w="217" w:type="dxa"/>
          </w:tcPr>
          <w:p w14:paraId="1BFC11C0" w14:textId="77777777" w:rsidR="002C0FD9" w:rsidRPr="00CA25CF" w:rsidRDefault="002C0FD9" w:rsidP="00CA25CF">
            <w:pPr>
              <w:rPr>
                <w:rFonts w:cs="Arial"/>
                <w:color w:val="FF0000"/>
                <w:sz w:val="21"/>
                <w:szCs w:val="21"/>
              </w:rPr>
            </w:pPr>
          </w:p>
        </w:tc>
        <w:tc>
          <w:tcPr>
            <w:tcW w:w="217" w:type="dxa"/>
          </w:tcPr>
          <w:p w14:paraId="3041AB9F" w14:textId="77777777" w:rsidR="002C0FD9" w:rsidRPr="00CA25CF" w:rsidRDefault="002C0FD9" w:rsidP="00CA25CF">
            <w:pPr>
              <w:rPr>
                <w:rFonts w:cs="Arial"/>
                <w:color w:val="FF0000"/>
                <w:sz w:val="21"/>
                <w:szCs w:val="21"/>
              </w:rPr>
            </w:pPr>
          </w:p>
        </w:tc>
        <w:tc>
          <w:tcPr>
            <w:tcW w:w="217" w:type="dxa"/>
          </w:tcPr>
          <w:p w14:paraId="6261C76E" w14:textId="77777777" w:rsidR="002C0FD9" w:rsidRPr="00CA25CF" w:rsidRDefault="002C0FD9" w:rsidP="00CA25CF">
            <w:pPr>
              <w:rPr>
                <w:rFonts w:cs="Arial"/>
                <w:color w:val="FF0000"/>
                <w:sz w:val="21"/>
                <w:szCs w:val="21"/>
              </w:rPr>
            </w:pPr>
          </w:p>
        </w:tc>
        <w:tc>
          <w:tcPr>
            <w:tcW w:w="217" w:type="dxa"/>
          </w:tcPr>
          <w:p w14:paraId="5C2CAA8A" w14:textId="77777777" w:rsidR="002C0FD9" w:rsidRPr="00CA25CF" w:rsidRDefault="002C0FD9" w:rsidP="00CA25CF">
            <w:pPr>
              <w:rPr>
                <w:rFonts w:cs="Arial"/>
                <w:color w:val="FF0000"/>
                <w:sz w:val="21"/>
                <w:szCs w:val="21"/>
              </w:rPr>
            </w:pPr>
          </w:p>
        </w:tc>
        <w:tc>
          <w:tcPr>
            <w:tcW w:w="217" w:type="dxa"/>
          </w:tcPr>
          <w:p w14:paraId="38975955" w14:textId="77777777" w:rsidR="002C0FD9" w:rsidRPr="00CA25CF" w:rsidRDefault="002C0FD9" w:rsidP="00CA25CF">
            <w:pPr>
              <w:rPr>
                <w:rFonts w:cs="Arial"/>
                <w:color w:val="FF0000"/>
                <w:sz w:val="21"/>
                <w:szCs w:val="21"/>
              </w:rPr>
            </w:pPr>
          </w:p>
        </w:tc>
        <w:tc>
          <w:tcPr>
            <w:tcW w:w="217" w:type="dxa"/>
          </w:tcPr>
          <w:p w14:paraId="214AEC9F" w14:textId="77777777" w:rsidR="002C0FD9" w:rsidRPr="00CA25CF" w:rsidRDefault="002C0FD9" w:rsidP="00CA25CF">
            <w:pPr>
              <w:rPr>
                <w:rFonts w:cs="Arial"/>
                <w:color w:val="FF0000"/>
                <w:sz w:val="21"/>
                <w:szCs w:val="21"/>
              </w:rPr>
            </w:pPr>
          </w:p>
        </w:tc>
        <w:tc>
          <w:tcPr>
            <w:tcW w:w="217" w:type="dxa"/>
          </w:tcPr>
          <w:p w14:paraId="526441F6" w14:textId="77777777" w:rsidR="002C0FD9" w:rsidRPr="00CA25CF" w:rsidRDefault="002C0FD9" w:rsidP="00CA25CF">
            <w:pPr>
              <w:rPr>
                <w:rFonts w:cs="Arial"/>
                <w:color w:val="FF0000"/>
                <w:sz w:val="21"/>
                <w:szCs w:val="21"/>
              </w:rPr>
            </w:pPr>
          </w:p>
        </w:tc>
        <w:tc>
          <w:tcPr>
            <w:tcW w:w="217" w:type="dxa"/>
          </w:tcPr>
          <w:p w14:paraId="6B436F07" w14:textId="77777777" w:rsidR="002C0FD9" w:rsidRPr="00CA25CF" w:rsidRDefault="002C0FD9" w:rsidP="00CA25CF">
            <w:pPr>
              <w:rPr>
                <w:rFonts w:cs="Arial"/>
                <w:color w:val="FF0000"/>
                <w:sz w:val="21"/>
                <w:szCs w:val="21"/>
              </w:rPr>
            </w:pPr>
          </w:p>
        </w:tc>
        <w:tc>
          <w:tcPr>
            <w:tcW w:w="217" w:type="dxa"/>
          </w:tcPr>
          <w:p w14:paraId="4DA817F9" w14:textId="77777777" w:rsidR="002C0FD9" w:rsidRPr="00CA25CF" w:rsidRDefault="002C0FD9" w:rsidP="00CA25CF">
            <w:pPr>
              <w:rPr>
                <w:rFonts w:cs="Arial"/>
                <w:color w:val="FF0000"/>
                <w:sz w:val="21"/>
                <w:szCs w:val="21"/>
              </w:rPr>
            </w:pPr>
          </w:p>
        </w:tc>
        <w:tc>
          <w:tcPr>
            <w:tcW w:w="217" w:type="dxa"/>
          </w:tcPr>
          <w:p w14:paraId="44AC8E96" w14:textId="77777777" w:rsidR="002C0FD9" w:rsidRPr="00CA25CF" w:rsidRDefault="002C0FD9" w:rsidP="00CA25CF">
            <w:pPr>
              <w:rPr>
                <w:rFonts w:cs="Arial"/>
                <w:color w:val="FF0000"/>
                <w:sz w:val="21"/>
                <w:szCs w:val="21"/>
              </w:rPr>
            </w:pPr>
          </w:p>
        </w:tc>
        <w:tc>
          <w:tcPr>
            <w:tcW w:w="217" w:type="dxa"/>
          </w:tcPr>
          <w:p w14:paraId="2AE6F63F" w14:textId="77777777" w:rsidR="002C0FD9" w:rsidRPr="00CA25CF" w:rsidRDefault="002C0FD9" w:rsidP="00CA25CF">
            <w:pPr>
              <w:rPr>
                <w:rFonts w:cs="Arial"/>
                <w:color w:val="FF0000"/>
                <w:sz w:val="21"/>
                <w:szCs w:val="21"/>
              </w:rPr>
            </w:pPr>
          </w:p>
        </w:tc>
        <w:tc>
          <w:tcPr>
            <w:tcW w:w="217" w:type="dxa"/>
          </w:tcPr>
          <w:p w14:paraId="79819BFC" w14:textId="77777777" w:rsidR="002C0FD9" w:rsidRPr="00CA25CF" w:rsidRDefault="002C0FD9" w:rsidP="00CA25CF">
            <w:pPr>
              <w:rPr>
                <w:rFonts w:cs="Arial"/>
                <w:color w:val="FF0000"/>
                <w:sz w:val="21"/>
                <w:szCs w:val="21"/>
              </w:rPr>
            </w:pPr>
          </w:p>
        </w:tc>
        <w:tc>
          <w:tcPr>
            <w:tcW w:w="217" w:type="dxa"/>
          </w:tcPr>
          <w:p w14:paraId="7C4A0F39" w14:textId="77777777" w:rsidR="002C0FD9" w:rsidRPr="00CA25CF" w:rsidRDefault="002C0FD9" w:rsidP="00CA25CF">
            <w:pPr>
              <w:rPr>
                <w:rFonts w:cs="Arial"/>
                <w:color w:val="FF0000"/>
                <w:sz w:val="21"/>
                <w:szCs w:val="21"/>
              </w:rPr>
            </w:pPr>
          </w:p>
        </w:tc>
        <w:tc>
          <w:tcPr>
            <w:tcW w:w="217" w:type="dxa"/>
          </w:tcPr>
          <w:p w14:paraId="40370780" w14:textId="77777777" w:rsidR="002C0FD9" w:rsidRPr="00CA25CF" w:rsidRDefault="002C0FD9" w:rsidP="00CA25CF">
            <w:pPr>
              <w:rPr>
                <w:rFonts w:cs="Arial"/>
                <w:color w:val="FF0000"/>
                <w:sz w:val="21"/>
                <w:szCs w:val="21"/>
              </w:rPr>
            </w:pPr>
          </w:p>
        </w:tc>
        <w:tc>
          <w:tcPr>
            <w:tcW w:w="217" w:type="dxa"/>
          </w:tcPr>
          <w:p w14:paraId="1A2794D7" w14:textId="77777777" w:rsidR="002C0FD9" w:rsidRPr="00CA25CF" w:rsidRDefault="002C0FD9" w:rsidP="00CA25CF">
            <w:pPr>
              <w:rPr>
                <w:rFonts w:cs="Arial"/>
                <w:color w:val="FF0000"/>
                <w:sz w:val="21"/>
                <w:szCs w:val="21"/>
              </w:rPr>
            </w:pPr>
          </w:p>
        </w:tc>
        <w:tc>
          <w:tcPr>
            <w:tcW w:w="217" w:type="dxa"/>
          </w:tcPr>
          <w:p w14:paraId="7B85BFB0" w14:textId="77777777" w:rsidR="002C0FD9" w:rsidRPr="00CA25CF" w:rsidRDefault="002C0FD9" w:rsidP="00CA25CF">
            <w:pPr>
              <w:rPr>
                <w:rFonts w:cs="Arial"/>
                <w:color w:val="FF0000"/>
                <w:sz w:val="21"/>
                <w:szCs w:val="21"/>
              </w:rPr>
            </w:pPr>
          </w:p>
        </w:tc>
        <w:tc>
          <w:tcPr>
            <w:tcW w:w="217" w:type="dxa"/>
          </w:tcPr>
          <w:p w14:paraId="5517BCFF" w14:textId="77777777" w:rsidR="002C0FD9" w:rsidRPr="00CA25CF" w:rsidRDefault="002C0FD9" w:rsidP="00CA25CF">
            <w:pPr>
              <w:rPr>
                <w:rFonts w:cs="Arial"/>
                <w:color w:val="FF0000"/>
                <w:sz w:val="21"/>
                <w:szCs w:val="21"/>
              </w:rPr>
            </w:pPr>
          </w:p>
        </w:tc>
        <w:tc>
          <w:tcPr>
            <w:tcW w:w="217" w:type="dxa"/>
          </w:tcPr>
          <w:p w14:paraId="0ABA586F" w14:textId="77777777" w:rsidR="002C0FD9" w:rsidRPr="00CA25CF" w:rsidRDefault="002C0FD9" w:rsidP="00CA25CF">
            <w:pPr>
              <w:rPr>
                <w:rFonts w:cs="Arial"/>
                <w:color w:val="FF0000"/>
                <w:sz w:val="21"/>
                <w:szCs w:val="21"/>
              </w:rPr>
            </w:pPr>
          </w:p>
        </w:tc>
        <w:tc>
          <w:tcPr>
            <w:tcW w:w="217" w:type="dxa"/>
          </w:tcPr>
          <w:p w14:paraId="29DF4CFA" w14:textId="77777777" w:rsidR="002C0FD9" w:rsidRPr="00CA25CF" w:rsidRDefault="002C0FD9" w:rsidP="00CA25CF">
            <w:pPr>
              <w:rPr>
                <w:rFonts w:cs="Arial"/>
                <w:color w:val="FF0000"/>
                <w:sz w:val="21"/>
                <w:szCs w:val="21"/>
              </w:rPr>
            </w:pPr>
          </w:p>
        </w:tc>
        <w:tc>
          <w:tcPr>
            <w:tcW w:w="217" w:type="dxa"/>
          </w:tcPr>
          <w:p w14:paraId="7698E490" w14:textId="77777777" w:rsidR="002C0FD9" w:rsidRPr="00CA25CF" w:rsidRDefault="002C0FD9" w:rsidP="00CA25CF">
            <w:pPr>
              <w:rPr>
                <w:rFonts w:cs="Arial"/>
                <w:color w:val="FF0000"/>
                <w:sz w:val="21"/>
                <w:szCs w:val="21"/>
              </w:rPr>
            </w:pPr>
          </w:p>
        </w:tc>
        <w:tc>
          <w:tcPr>
            <w:tcW w:w="217" w:type="dxa"/>
          </w:tcPr>
          <w:p w14:paraId="62856F08" w14:textId="77777777" w:rsidR="002C0FD9" w:rsidRPr="00CA25CF" w:rsidRDefault="002C0FD9" w:rsidP="00CA25CF">
            <w:pPr>
              <w:rPr>
                <w:rFonts w:cs="Arial"/>
                <w:color w:val="FF0000"/>
                <w:sz w:val="21"/>
                <w:szCs w:val="21"/>
              </w:rPr>
            </w:pPr>
          </w:p>
        </w:tc>
        <w:tc>
          <w:tcPr>
            <w:tcW w:w="217" w:type="dxa"/>
          </w:tcPr>
          <w:p w14:paraId="34017660" w14:textId="77777777" w:rsidR="002C0FD9" w:rsidRPr="00CA25CF" w:rsidRDefault="002C0FD9" w:rsidP="00CA25CF">
            <w:pPr>
              <w:rPr>
                <w:rFonts w:cs="Arial"/>
                <w:color w:val="FF0000"/>
                <w:sz w:val="21"/>
                <w:szCs w:val="21"/>
              </w:rPr>
            </w:pPr>
          </w:p>
        </w:tc>
        <w:tc>
          <w:tcPr>
            <w:tcW w:w="217" w:type="dxa"/>
          </w:tcPr>
          <w:p w14:paraId="37270D01" w14:textId="77777777" w:rsidR="002C0FD9" w:rsidRPr="00CA25CF" w:rsidRDefault="002C0FD9" w:rsidP="00CA25CF">
            <w:pPr>
              <w:rPr>
                <w:rFonts w:cs="Arial"/>
                <w:color w:val="FF0000"/>
                <w:sz w:val="21"/>
                <w:szCs w:val="21"/>
              </w:rPr>
            </w:pPr>
          </w:p>
        </w:tc>
        <w:tc>
          <w:tcPr>
            <w:tcW w:w="217" w:type="dxa"/>
          </w:tcPr>
          <w:p w14:paraId="702AA7D1" w14:textId="77777777" w:rsidR="002C0FD9" w:rsidRPr="00CA25CF" w:rsidRDefault="002C0FD9" w:rsidP="00CA25CF">
            <w:pPr>
              <w:rPr>
                <w:rFonts w:cs="Arial"/>
                <w:color w:val="FF0000"/>
                <w:sz w:val="21"/>
                <w:szCs w:val="21"/>
              </w:rPr>
            </w:pPr>
          </w:p>
        </w:tc>
        <w:tc>
          <w:tcPr>
            <w:tcW w:w="217" w:type="dxa"/>
          </w:tcPr>
          <w:p w14:paraId="2F74EF91" w14:textId="77777777" w:rsidR="002C0FD9" w:rsidRPr="00CA25CF" w:rsidRDefault="002C0FD9" w:rsidP="00CA25CF">
            <w:pPr>
              <w:rPr>
                <w:rFonts w:cs="Arial"/>
                <w:color w:val="FF0000"/>
                <w:sz w:val="21"/>
                <w:szCs w:val="21"/>
              </w:rPr>
            </w:pPr>
          </w:p>
        </w:tc>
        <w:tc>
          <w:tcPr>
            <w:tcW w:w="217" w:type="dxa"/>
          </w:tcPr>
          <w:p w14:paraId="34176412" w14:textId="77777777" w:rsidR="002C0FD9" w:rsidRPr="00CA25CF" w:rsidRDefault="002C0FD9" w:rsidP="00CA25CF">
            <w:pPr>
              <w:rPr>
                <w:rFonts w:cs="Arial"/>
                <w:color w:val="FF0000"/>
                <w:sz w:val="21"/>
                <w:szCs w:val="21"/>
              </w:rPr>
            </w:pPr>
          </w:p>
        </w:tc>
        <w:tc>
          <w:tcPr>
            <w:tcW w:w="217" w:type="dxa"/>
          </w:tcPr>
          <w:p w14:paraId="0066CA94" w14:textId="77777777" w:rsidR="002C0FD9" w:rsidRPr="00CA25CF" w:rsidRDefault="002C0FD9" w:rsidP="00CA25CF">
            <w:pPr>
              <w:rPr>
                <w:rFonts w:cs="Arial"/>
                <w:color w:val="FF0000"/>
                <w:sz w:val="21"/>
                <w:szCs w:val="21"/>
              </w:rPr>
            </w:pPr>
          </w:p>
        </w:tc>
        <w:tc>
          <w:tcPr>
            <w:tcW w:w="217" w:type="dxa"/>
          </w:tcPr>
          <w:p w14:paraId="0276408C" w14:textId="77777777" w:rsidR="002C0FD9" w:rsidRPr="00CA25CF" w:rsidRDefault="002C0FD9" w:rsidP="00CA25CF">
            <w:pPr>
              <w:rPr>
                <w:rFonts w:cs="Arial"/>
                <w:color w:val="FF0000"/>
                <w:sz w:val="21"/>
                <w:szCs w:val="21"/>
              </w:rPr>
            </w:pPr>
          </w:p>
        </w:tc>
        <w:tc>
          <w:tcPr>
            <w:tcW w:w="217" w:type="dxa"/>
          </w:tcPr>
          <w:p w14:paraId="0D96F7DB" w14:textId="77777777" w:rsidR="002C0FD9" w:rsidRPr="00CA25CF" w:rsidRDefault="002C0FD9" w:rsidP="00CA25CF">
            <w:pPr>
              <w:rPr>
                <w:rFonts w:cs="Arial"/>
                <w:color w:val="FF0000"/>
                <w:sz w:val="21"/>
                <w:szCs w:val="21"/>
              </w:rPr>
            </w:pPr>
          </w:p>
        </w:tc>
      </w:tr>
      <w:tr w:rsidR="002C0FD9" w:rsidRPr="00A16219" w14:paraId="7C4AA4D4" w14:textId="43A55E87" w:rsidTr="002C0FD9">
        <w:trPr>
          <w:trHeight w:val="635"/>
        </w:trPr>
        <w:tc>
          <w:tcPr>
            <w:tcW w:w="515" w:type="dxa"/>
          </w:tcPr>
          <w:p w14:paraId="55DFE058" w14:textId="77777777" w:rsidR="002C0FD9" w:rsidRPr="00CA25CF" w:rsidRDefault="002C0FD9" w:rsidP="00CA25CF">
            <w:pPr>
              <w:rPr>
                <w:rFonts w:cs="Arial"/>
                <w:color w:val="FF0000"/>
                <w:sz w:val="21"/>
                <w:szCs w:val="21"/>
              </w:rPr>
            </w:pPr>
          </w:p>
        </w:tc>
        <w:tc>
          <w:tcPr>
            <w:tcW w:w="217" w:type="dxa"/>
          </w:tcPr>
          <w:p w14:paraId="653CD31E" w14:textId="77777777" w:rsidR="002C0FD9" w:rsidRPr="00CA25CF" w:rsidRDefault="002C0FD9" w:rsidP="00CA25CF">
            <w:pPr>
              <w:rPr>
                <w:rFonts w:cs="Arial"/>
                <w:color w:val="FF0000"/>
                <w:sz w:val="21"/>
                <w:szCs w:val="21"/>
              </w:rPr>
            </w:pPr>
          </w:p>
        </w:tc>
        <w:tc>
          <w:tcPr>
            <w:tcW w:w="217" w:type="dxa"/>
          </w:tcPr>
          <w:p w14:paraId="08AE713B" w14:textId="036F7088" w:rsidR="002C0FD9" w:rsidRPr="00CA25CF" w:rsidRDefault="002C0FD9" w:rsidP="00CA25CF">
            <w:pPr>
              <w:rPr>
                <w:rFonts w:cs="Arial"/>
                <w:color w:val="FF0000"/>
                <w:sz w:val="21"/>
                <w:szCs w:val="21"/>
              </w:rPr>
            </w:pPr>
          </w:p>
        </w:tc>
        <w:tc>
          <w:tcPr>
            <w:tcW w:w="217" w:type="dxa"/>
          </w:tcPr>
          <w:p w14:paraId="273A8F12" w14:textId="77777777" w:rsidR="002C0FD9" w:rsidRPr="00CA25CF" w:rsidRDefault="002C0FD9" w:rsidP="00CA25CF">
            <w:pPr>
              <w:rPr>
                <w:rFonts w:cs="Arial"/>
                <w:color w:val="FF0000"/>
                <w:sz w:val="21"/>
                <w:szCs w:val="21"/>
              </w:rPr>
            </w:pPr>
          </w:p>
        </w:tc>
        <w:tc>
          <w:tcPr>
            <w:tcW w:w="217" w:type="dxa"/>
          </w:tcPr>
          <w:p w14:paraId="0C8F6695" w14:textId="77777777" w:rsidR="002C0FD9" w:rsidRPr="00CA25CF" w:rsidRDefault="002C0FD9" w:rsidP="00CA25CF">
            <w:pPr>
              <w:rPr>
                <w:rFonts w:cs="Arial"/>
                <w:color w:val="FF0000"/>
                <w:sz w:val="21"/>
                <w:szCs w:val="21"/>
              </w:rPr>
            </w:pPr>
          </w:p>
        </w:tc>
        <w:tc>
          <w:tcPr>
            <w:tcW w:w="217" w:type="dxa"/>
          </w:tcPr>
          <w:p w14:paraId="745F08B7" w14:textId="77777777" w:rsidR="002C0FD9" w:rsidRPr="00CA25CF" w:rsidRDefault="002C0FD9" w:rsidP="00CA25CF">
            <w:pPr>
              <w:rPr>
                <w:rFonts w:cs="Arial"/>
                <w:color w:val="FF0000"/>
                <w:sz w:val="21"/>
                <w:szCs w:val="21"/>
              </w:rPr>
            </w:pPr>
          </w:p>
        </w:tc>
        <w:tc>
          <w:tcPr>
            <w:tcW w:w="217" w:type="dxa"/>
          </w:tcPr>
          <w:p w14:paraId="7CDE4339" w14:textId="77777777" w:rsidR="002C0FD9" w:rsidRPr="00CA25CF" w:rsidRDefault="002C0FD9" w:rsidP="00CA25CF">
            <w:pPr>
              <w:rPr>
                <w:rFonts w:cs="Arial"/>
                <w:color w:val="FF0000"/>
                <w:sz w:val="21"/>
                <w:szCs w:val="21"/>
              </w:rPr>
            </w:pPr>
          </w:p>
        </w:tc>
        <w:tc>
          <w:tcPr>
            <w:tcW w:w="217" w:type="dxa"/>
          </w:tcPr>
          <w:p w14:paraId="75C5CD60" w14:textId="77777777" w:rsidR="002C0FD9" w:rsidRPr="00CA25CF" w:rsidRDefault="002C0FD9" w:rsidP="00CA25CF">
            <w:pPr>
              <w:rPr>
                <w:rFonts w:cs="Arial"/>
                <w:color w:val="FF0000"/>
                <w:sz w:val="21"/>
                <w:szCs w:val="21"/>
              </w:rPr>
            </w:pPr>
          </w:p>
        </w:tc>
        <w:tc>
          <w:tcPr>
            <w:tcW w:w="217" w:type="dxa"/>
          </w:tcPr>
          <w:p w14:paraId="4064DCD4" w14:textId="77777777" w:rsidR="002C0FD9" w:rsidRPr="00CA25CF" w:rsidRDefault="002C0FD9" w:rsidP="00CA25CF">
            <w:pPr>
              <w:rPr>
                <w:rFonts w:cs="Arial"/>
                <w:color w:val="FF0000"/>
                <w:sz w:val="21"/>
                <w:szCs w:val="21"/>
              </w:rPr>
            </w:pPr>
          </w:p>
        </w:tc>
        <w:tc>
          <w:tcPr>
            <w:tcW w:w="217" w:type="dxa"/>
          </w:tcPr>
          <w:p w14:paraId="78787BB7" w14:textId="77777777" w:rsidR="002C0FD9" w:rsidRPr="00CA25CF" w:rsidRDefault="002C0FD9" w:rsidP="00CA25CF">
            <w:pPr>
              <w:rPr>
                <w:rFonts w:cs="Arial"/>
                <w:color w:val="FF0000"/>
                <w:sz w:val="21"/>
                <w:szCs w:val="21"/>
              </w:rPr>
            </w:pPr>
          </w:p>
        </w:tc>
        <w:tc>
          <w:tcPr>
            <w:tcW w:w="217" w:type="dxa"/>
          </w:tcPr>
          <w:p w14:paraId="412F1F5B" w14:textId="77777777" w:rsidR="002C0FD9" w:rsidRPr="00CA25CF" w:rsidRDefault="002C0FD9" w:rsidP="00CA25CF">
            <w:pPr>
              <w:rPr>
                <w:rFonts w:cs="Arial"/>
                <w:color w:val="FF0000"/>
                <w:sz w:val="21"/>
                <w:szCs w:val="21"/>
              </w:rPr>
            </w:pPr>
          </w:p>
        </w:tc>
        <w:tc>
          <w:tcPr>
            <w:tcW w:w="217" w:type="dxa"/>
          </w:tcPr>
          <w:p w14:paraId="47D2B3E9" w14:textId="77777777" w:rsidR="002C0FD9" w:rsidRPr="00CA25CF" w:rsidRDefault="002C0FD9" w:rsidP="00CA25CF">
            <w:pPr>
              <w:rPr>
                <w:rFonts w:cs="Arial"/>
                <w:color w:val="FF0000"/>
                <w:sz w:val="21"/>
                <w:szCs w:val="21"/>
              </w:rPr>
            </w:pPr>
          </w:p>
        </w:tc>
        <w:tc>
          <w:tcPr>
            <w:tcW w:w="217" w:type="dxa"/>
          </w:tcPr>
          <w:p w14:paraId="794CC0EA" w14:textId="77777777" w:rsidR="002C0FD9" w:rsidRPr="00CA25CF" w:rsidRDefault="002C0FD9" w:rsidP="00CA25CF">
            <w:pPr>
              <w:rPr>
                <w:rFonts w:cs="Arial"/>
                <w:color w:val="FF0000"/>
                <w:sz w:val="21"/>
                <w:szCs w:val="21"/>
              </w:rPr>
            </w:pPr>
          </w:p>
        </w:tc>
        <w:tc>
          <w:tcPr>
            <w:tcW w:w="217" w:type="dxa"/>
          </w:tcPr>
          <w:p w14:paraId="1091D7F5" w14:textId="77777777" w:rsidR="002C0FD9" w:rsidRPr="00CA25CF" w:rsidRDefault="002C0FD9" w:rsidP="00CA25CF">
            <w:pPr>
              <w:rPr>
                <w:rFonts w:cs="Arial"/>
                <w:color w:val="FF0000"/>
                <w:sz w:val="21"/>
                <w:szCs w:val="21"/>
              </w:rPr>
            </w:pPr>
          </w:p>
        </w:tc>
        <w:tc>
          <w:tcPr>
            <w:tcW w:w="217" w:type="dxa"/>
          </w:tcPr>
          <w:p w14:paraId="46168AB9" w14:textId="77777777" w:rsidR="002C0FD9" w:rsidRPr="00CA25CF" w:rsidRDefault="002C0FD9" w:rsidP="00CA25CF">
            <w:pPr>
              <w:rPr>
                <w:rFonts w:cs="Arial"/>
                <w:color w:val="FF0000"/>
                <w:sz w:val="21"/>
                <w:szCs w:val="21"/>
              </w:rPr>
            </w:pPr>
          </w:p>
        </w:tc>
        <w:tc>
          <w:tcPr>
            <w:tcW w:w="217" w:type="dxa"/>
          </w:tcPr>
          <w:p w14:paraId="69D4C84D" w14:textId="77777777" w:rsidR="002C0FD9" w:rsidRPr="00CA25CF" w:rsidRDefault="002C0FD9" w:rsidP="00CA25CF">
            <w:pPr>
              <w:rPr>
                <w:rFonts w:cs="Arial"/>
                <w:color w:val="FF0000"/>
                <w:sz w:val="21"/>
                <w:szCs w:val="21"/>
              </w:rPr>
            </w:pPr>
          </w:p>
        </w:tc>
        <w:tc>
          <w:tcPr>
            <w:tcW w:w="217" w:type="dxa"/>
          </w:tcPr>
          <w:p w14:paraId="23151DCC" w14:textId="77777777" w:rsidR="002C0FD9" w:rsidRPr="00CA25CF" w:rsidRDefault="002C0FD9" w:rsidP="00CA25CF">
            <w:pPr>
              <w:rPr>
                <w:rFonts w:cs="Arial"/>
                <w:color w:val="FF0000"/>
                <w:sz w:val="21"/>
                <w:szCs w:val="21"/>
              </w:rPr>
            </w:pPr>
          </w:p>
        </w:tc>
        <w:tc>
          <w:tcPr>
            <w:tcW w:w="217" w:type="dxa"/>
          </w:tcPr>
          <w:p w14:paraId="7C24DD31" w14:textId="77777777" w:rsidR="002C0FD9" w:rsidRPr="00CA25CF" w:rsidRDefault="002C0FD9" w:rsidP="00CA25CF">
            <w:pPr>
              <w:rPr>
                <w:rFonts w:cs="Arial"/>
                <w:color w:val="FF0000"/>
                <w:sz w:val="21"/>
                <w:szCs w:val="21"/>
              </w:rPr>
            </w:pPr>
          </w:p>
        </w:tc>
        <w:tc>
          <w:tcPr>
            <w:tcW w:w="217" w:type="dxa"/>
          </w:tcPr>
          <w:p w14:paraId="2D46A8F2" w14:textId="77777777" w:rsidR="002C0FD9" w:rsidRPr="00CA25CF" w:rsidRDefault="002C0FD9" w:rsidP="00CA25CF">
            <w:pPr>
              <w:rPr>
                <w:rFonts w:cs="Arial"/>
                <w:color w:val="FF0000"/>
                <w:sz w:val="21"/>
                <w:szCs w:val="21"/>
              </w:rPr>
            </w:pPr>
          </w:p>
        </w:tc>
        <w:tc>
          <w:tcPr>
            <w:tcW w:w="217" w:type="dxa"/>
          </w:tcPr>
          <w:p w14:paraId="0ACC2768" w14:textId="77777777" w:rsidR="002C0FD9" w:rsidRPr="00CA25CF" w:rsidRDefault="002C0FD9" w:rsidP="00CA25CF">
            <w:pPr>
              <w:rPr>
                <w:rFonts w:cs="Arial"/>
                <w:color w:val="FF0000"/>
                <w:sz w:val="21"/>
                <w:szCs w:val="21"/>
              </w:rPr>
            </w:pPr>
          </w:p>
        </w:tc>
        <w:tc>
          <w:tcPr>
            <w:tcW w:w="217" w:type="dxa"/>
          </w:tcPr>
          <w:p w14:paraId="55106BF0" w14:textId="77777777" w:rsidR="002C0FD9" w:rsidRPr="00CA25CF" w:rsidRDefault="002C0FD9" w:rsidP="00CA25CF">
            <w:pPr>
              <w:rPr>
                <w:rFonts w:cs="Arial"/>
                <w:color w:val="FF0000"/>
                <w:sz w:val="21"/>
                <w:szCs w:val="21"/>
              </w:rPr>
            </w:pPr>
          </w:p>
        </w:tc>
        <w:tc>
          <w:tcPr>
            <w:tcW w:w="217" w:type="dxa"/>
          </w:tcPr>
          <w:p w14:paraId="7209C800" w14:textId="77777777" w:rsidR="002C0FD9" w:rsidRPr="00CA25CF" w:rsidRDefault="002C0FD9" w:rsidP="00CA25CF">
            <w:pPr>
              <w:rPr>
                <w:rFonts w:cs="Arial"/>
                <w:color w:val="FF0000"/>
                <w:sz w:val="21"/>
                <w:szCs w:val="21"/>
              </w:rPr>
            </w:pPr>
          </w:p>
        </w:tc>
        <w:tc>
          <w:tcPr>
            <w:tcW w:w="217" w:type="dxa"/>
          </w:tcPr>
          <w:p w14:paraId="3A28326A" w14:textId="77777777" w:rsidR="002C0FD9" w:rsidRPr="00CA25CF" w:rsidRDefault="002C0FD9" w:rsidP="00CA25CF">
            <w:pPr>
              <w:rPr>
                <w:rFonts w:cs="Arial"/>
                <w:color w:val="FF0000"/>
                <w:sz w:val="21"/>
                <w:szCs w:val="21"/>
              </w:rPr>
            </w:pPr>
          </w:p>
        </w:tc>
        <w:tc>
          <w:tcPr>
            <w:tcW w:w="217" w:type="dxa"/>
          </w:tcPr>
          <w:p w14:paraId="3322F063" w14:textId="77777777" w:rsidR="002C0FD9" w:rsidRPr="00CA25CF" w:rsidRDefault="002C0FD9" w:rsidP="00CA25CF">
            <w:pPr>
              <w:rPr>
                <w:rFonts w:cs="Arial"/>
                <w:color w:val="FF0000"/>
                <w:sz w:val="21"/>
                <w:szCs w:val="21"/>
              </w:rPr>
            </w:pPr>
          </w:p>
        </w:tc>
        <w:tc>
          <w:tcPr>
            <w:tcW w:w="217" w:type="dxa"/>
          </w:tcPr>
          <w:p w14:paraId="5E6CE4AC" w14:textId="77777777" w:rsidR="002C0FD9" w:rsidRPr="00CA25CF" w:rsidRDefault="002C0FD9" w:rsidP="00CA25CF">
            <w:pPr>
              <w:rPr>
                <w:rFonts w:cs="Arial"/>
                <w:color w:val="FF0000"/>
                <w:sz w:val="21"/>
                <w:szCs w:val="21"/>
              </w:rPr>
            </w:pPr>
          </w:p>
        </w:tc>
        <w:tc>
          <w:tcPr>
            <w:tcW w:w="217" w:type="dxa"/>
          </w:tcPr>
          <w:p w14:paraId="128D8B1B" w14:textId="77777777" w:rsidR="002C0FD9" w:rsidRPr="00CA25CF" w:rsidRDefault="002C0FD9" w:rsidP="00CA25CF">
            <w:pPr>
              <w:rPr>
                <w:rFonts w:cs="Arial"/>
                <w:color w:val="FF0000"/>
                <w:sz w:val="21"/>
                <w:szCs w:val="21"/>
              </w:rPr>
            </w:pPr>
          </w:p>
        </w:tc>
        <w:tc>
          <w:tcPr>
            <w:tcW w:w="217" w:type="dxa"/>
          </w:tcPr>
          <w:p w14:paraId="5B1E3E82" w14:textId="77777777" w:rsidR="002C0FD9" w:rsidRPr="00CA25CF" w:rsidRDefault="002C0FD9" w:rsidP="00CA25CF">
            <w:pPr>
              <w:rPr>
                <w:rFonts w:cs="Arial"/>
                <w:color w:val="FF0000"/>
                <w:sz w:val="21"/>
                <w:szCs w:val="21"/>
              </w:rPr>
            </w:pPr>
          </w:p>
        </w:tc>
        <w:tc>
          <w:tcPr>
            <w:tcW w:w="217" w:type="dxa"/>
          </w:tcPr>
          <w:p w14:paraId="3250E7CE" w14:textId="77777777" w:rsidR="002C0FD9" w:rsidRPr="00CA25CF" w:rsidRDefault="002C0FD9" w:rsidP="00CA25CF">
            <w:pPr>
              <w:rPr>
                <w:rFonts w:cs="Arial"/>
                <w:color w:val="FF0000"/>
                <w:sz w:val="21"/>
                <w:szCs w:val="21"/>
              </w:rPr>
            </w:pPr>
          </w:p>
        </w:tc>
        <w:tc>
          <w:tcPr>
            <w:tcW w:w="217" w:type="dxa"/>
          </w:tcPr>
          <w:p w14:paraId="64D996DC" w14:textId="77777777" w:rsidR="002C0FD9" w:rsidRPr="00CA25CF" w:rsidRDefault="002C0FD9" w:rsidP="00CA25CF">
            <w:pPr>
              <w:rPr>
                <w:rFonts w:cs="Arial"/>
                <w:color w:val="FF0000"/>
                <w:sz w:val="21"/>
                <w:szCs w:val="21"/>
              </w:rPr>
            </w:pPr>
          </w:p>
        </w:tc>
        <w:tc>
          <w:tcPr>
            <w:tcW w:w="217" w:type="dxa"/>
          </w:tcPr>
          <w:p w14:paraId="0A7D6BA3" w14:textId="77777777" w:rsidR="002C0FD9" w:rsidRPr="00CA25CF" w:rsidRDefault="002C0FD9" w:rsidP="00CA25CF">
            <w:pPr>
              <w:rPr>
                <w:rFonts w:cs="Arial"/>
                <w:color w:val="FF0000"/>
                <w:sz w:val="21"/>
                <w:szCs w:val="21"/>
              </w:rPr>
            </w:pPr>
          </w:p>
        </w:tc>
        <w:tc>
          <w:tcPr>
            <w:tcW w:w="217" w:type="dxa"/>
          </w:tcPr>
          <w:p w14:paraId="08970D68" w14:textId="77777777" w:rsidR="002C0FD9" w:rsidRPr="00CA25CF" w:rsidRDefault="002C0FD9" w:rsidP="00CA25CF">
            <w:pPr>
              <w:rPr>
                <w:rFonts w:cs="Arial"/>
                <w:color w:val="FF0000"/>
                <w:sz w:val="21"/>
                <w:szCs w:val="21"/>
              </w:rPr>
            </w:pPr>
          </w:p>
        </w:tc>
        <w:tc>
          <w:tcPr>
            <w:tcW w:w="217" w:type="dxa"/>
          </w:tcPr>
          <w:p w14:paraId="25EA034F" w14:textId="77777777" w:rsidR="002C0FD9" w:rsidRPr="00CA25CF" w:rsidRDefault="002C0FD9" w:rsidP="00CA25CF">
            <w:pPr>
              <w:rPr>
                <w:rFonts w:cs="Arial"/>
                <w:color w:val="FF0000"/>
                <w:sz w:val="21"/>
                <w:szCs w:val="21"/>
              </w:rPr>
            </w:pPr>
          </w:p>
        </w:tc>
        <w:tc>
          <w:tcPr>
            <w:tcW w:w="217" w:type="dxa"/>
          </w:tcPr>
          <w:p w14:paraId="1D8DADD7" w14:textId="77777777" w:rsidR="002C0FD9" w:rsidRPr="00CA25CF" w:rsidRDefault="002C0FD9" w:rsidP="00CA25CF">
            <w:pPr>
              <w:rPr>
                <w:rFonts w:cs="Arial"/>
                <w:color w:val="FF0000"/>
                <w:sz w:val="21"/>
                <w:szCs w:val="21"/>
              </w:rPr>
            </w:pPr>
          </w:p>
        </w:tc>
        <w:tc>
          <w:tcPr>
            <w:tcW w:w="217" w:type="dxa"/>
          </w:tcPr>
          <w:p w14:paraId="5F52D729" w14:textId="77777777" w:rsidR="002C0FD9" w:rsidRPr="00CA25CF" w:rsidRDefault="002C0FD9" w:rsidP="00CA25CF">
            <w:pPr>
              <w:rPr>
                <w:rFonts w:cs="Arial"/>
                <w:color w:val="FF0000"/>
                <w:sz w:val="21"/>
                <w:szCs w:val="21"/>
              </w:rPr>
            </w:pPr>
          </w:p>
        </w:tc>
        <w:tc>
          <w:tcPr>
            <w:tcW w:w="217" w:type="dxa"/>
          </w:tcPr>
          <w:p w14:paraId="081539BB" w14:textId="77777777" w:rsidR="002C0FD9" w:rsidRPr="00CA25CF" w:rsidRDefault="002C0FD9" w:rsidP="00CA25CF">
            <w:pPr>
              <w:rPr>
                <w:rFonts w:cs="Arial"/>
                <w:color w:val="FF0000"/>
                <w:sz w:val="21"/>
                <w:szCs w:val="21"/>
              </w:rPr>
            </w:pPr>
          </w:p>
        </w:tc>
        <w:tc>
          <w:tcPr>
            <w:tcW w:w="217" w:type="dxa"/>
          </w:tcPr>
          <w:p w14:paraId="31547BBF" w14:textId="77777777" w:rsidR="002C0FD9" w:rsidRPr="00CA25CF" w:rsidRDefault="002C0FD9" w:rsidP="00CA25CF">
            <w:pPr>
              <w:rPr>
                <w:rFonts w:cs="Arial"/>
                <w:color w:val="FF0000"/>
                <w:sz w:val="21"/>
                <w:szCs w:val="21"/>
              </w:rPr>
            </w:pPr>
          </w:p>
        </w:tc>
        <w:tc>
          <w:tcPr>
            <w:tcW w:w="217" w:type="dxa"/>
          </w:tcPr>
          <w:p w14:paraId="111C2CCD" w14:textId="77777777" w:rsidR="002C0FD9" w:rsidRPr="00CA25CF" w:rsidRDefault="002C0FD9" w:rsidP="00CA25CF">
            <w:pPr>
              <w:rPr>
                <w:rFonts w:cs="Arial"/>
                <w:color w:val="FF0000"/>
                <w:sz w:val="21"/>
                <w:szCs w:val="21"/>
              </w:rPr>
            </w:pPr>
          </w:p>
        </w:tc>
        <w:tc>
          <w:tcPr>
            <w:tcW w:w="217" w:type="dxa"/>
          </w:tcPr>
          <w:p w14:paraId="00EF62DC" w14:textId="77777777" w:rsidR="002C0FD9" w:rsidRPr="00CA25CF" w:rsidRDefault="002C0FD9" w:rsidP="00CA25CF">
            <w:pPr>
              <w:rPr>
                <w:rFonts w:cs="Arial"/>
                <w:color w:val="FF0000"/>
                <w:sz w:val="21"/>
                <w:szCs w:val="21"/>
              </w:rPr>
            </w:pPr>
          </w:p>
        </w:tc>
        <w:tc>
          <w:tcPr>
            <w:tcW w:w="217" w:type="dxa"/>
          </w:tcPr>
          <w:p w14:paraId="7AB02FBD" w14:textId="77777777" w:rsidR="002C0FD9" w:rsidRPr="00CA25CF" w:rsidRDefault="002C0FD9" w:rsidP="00CA25CF">
            <w:pPr>
              <w:rPr>
                <w:rFonts w:cs="Arial"/>
                <w:color w:val="FF0000"/>
                <w:sz w:val="21"/>
                <w:szCs w:val="21"/>
              </w:rPr>
            </w:pPr>
          </w:p>
        </w:tc>
        <w:tc>
          <w:tcPr>
            <w:tcW w:w="217" w:type="dxa"/>
          </w:tcPr>
          <w:p w14:paraId="5424711A" w14:textId="77777777" w:rsidR="002C0FD9" w:rsidRPr="00CA25CF" w:rsidRDefault="002C0FD9" w:rsidP="00CA25CF">
            <w:pPr>
              <w:rPr>
                <w:rFonts w:cs="Arial"/>
                <w:color w:val="FF0000"/>
                <w:sz w:val="21"/>
                <w:szCs w:val="21"/>
              </w:rPr>
            </w:pPr>
          </w:p>
        </w:tc>
        <w:tc>
          <w:tcPr>
            <w:tcW w:w="217" w:type="dxa"/>
          </w:tcPr>
          <w:p w14:paraId="1513D906" w14:textId="77777777" w:rsidR="002C0FD9" w:rsidRPr="00CA25CF" w:rsidRDefault="002C0FD9" w:rsidP="00CA25CF">
            <w:pPr>
              <w:rPr>
                <w:rFonts w:cs="Arial"/>
                <w:color w:val="FF0000"/>
                <w:sz w:val="21"/>
                <w:szCs w:val="21"/>
              </w:rPr>
            </w:pPr>
          </w:p>
        </w:tc>
        <w:tc>
          <w:tcPr>
            <w:tcW w:w="217" w:type="dxa"/>
          </w:tcPr>
          <w:p w14:paraId="35798835" w14:textId="77777777" w:rsidR="002C0FD9" w:rsidRPr="00CA25CF" w:rsidRDefault="002C0FD9" w:rsidP="00CA25CF">
            <w:pPr>
              <w:rPr>
                <w:rFonts w:cs="Arial"/>
                <w:color w:val="FF0000"/>
                <w:sz w:val="21"/>
                <w:szCs w:val="21"/>
              </w:rPr>
            </w:pPr>
          </w:p>
        </w:tc>
        <w:tc>
          <w:tcPr>
            <w:tcW w:w="217" w:type="dxa"/>
          </w:tcPr>
          <w:p w14:paraId="126B289B" w14:textId="77777777" w:rsidR="002C0FD9" w:rsidRPr="00CA25CF" w:rsidRDefault="002C0FD9" w:rsidP="00CA25CF">
            <w:pPr>
              <w:rPr>
                <w:rFonts w:cs="Arial"/>
                <w:color w:val="FF0000"/>
                <w:sz w:val="21"/>
                <w:szCs w:val="21"/>
              </w:rPr>
            </w:pPr>
          </w:p>
        </w:tc>
      </w:tr>
      <w:tr w:rsidR="002C0FD9" w:rsidRPr="00A16219" w14:paraId="3E1BF1FA" w14:textId="613C1EAE" w:rsidTr="002C0FD9">
        <w:trPr>
          <w:trHeight w:val="635"/>
        </w:trPr>
        <w:tc>
          <w:tcPr>
            <w:tcW w:w="515" w:type="dxa"/>
          </w:tcPr>
          <w:p w14:paraId="56A24A62" w14:textId="77777777" w:rsidR="002C0FD9" w:rsidRPr="00CA25CF" w:rsidRDefault="002C0FD9" w:rsidP="00CA25CF">
            <w:pPr>
              <w:rPr>
                <w:rFonts w:cs="Arial"/>
                <w:color w:val="FF0000"/>
                <w:sz w:val="21"/>
                <w:szCs w:val="21"/>
              </w:rPr>
            </w:pPr>
          </w:p>
        </w:tc>
        <w:tc>
          <w:tcPr>
            <w:tcW w:w="217" w:type="dxa"/>
          </w:tcPr>
          <w:p w14:paraId="62C7D150" w14:textId="77777777" w:rsidR="002C0FD9" w:rsidRPr="00CA25CF" w:rsidRDefault="002C0FD9" w:rsidP="00CA25CF">
            <w:pPr>
              <w:rPr>
                <w:rFonts w:cs="Arial"/>
                <w:color w:val="FF0000"/>
                <w:sz w:val="21"/>
                <w:szCs w:val="21"/>
              </w:rPr>
            </w:pPr>
          </w:p>
        </w:tc>
        <w:tc>
          <w:tcPr>
            <w:tcW w:w="217" w:type="dxa"/>
          </w:tcPr>
          <w:p w14:paraId="2B0C64B3" w14:textId="1B172A8B" w:rsidR="002C0FD9" w:rsidRPr="00CA25CF" w:rsidRDefault="002C0FD9" w:rsidP="00CA25CF">
            <w:pPr>
              <w:rPr>
                <w:rFonts w:cs="Arial"/>
                <w:color w:val="FF0000"/>
                <w:sz w:val="21"/>
                <w:szCs w:val="21"/>
              </w:rPr>
            </w:pPr>
          </w:p>
        </w:tc>
        <w:tc>
          <w:tcPr>
            <w:tcW w:w="217" w:type="dxa"/>
          </w:tcPr>
          <w:p w14:paraId="157FEB5D" w14:textId="77777777" w:rsidR="002C0FD9" w:rsidRPr="00CA25CF" w:rsidRDefault="002C0FD9" w:rsidP="00CA25CF">
            <w:pPr>
              <w:rPr>
                <w:rFonts w:cs="Arial"/>
                <w:color w:val="FF0000"/>
                <w:sz w:val="21"/>
                <w:szCs w:val="21"/>
              </w:rPr>
            </w:pPr>
          </w:p>
        </w:tc>
        <w:tc>
          <w:tcPr>
            <w:tcW w:w="217" w:type="dxa"/>
          </w:tcPr>
          <w:p w14:paraId="67751B6F" w14:textId="77777777" w:rsidR="002C0FD9" w:rsidRPr="00CA25CF" w:rsidRDefault="002C0FD9" w:rsidP="00CA25CF">
            <w:pPr>
              <w:rPr>
                <w:rFonts w:cs="Arial"/>
                <w:color w:val="FF0000"/>
                <w:sz w:val="21"/>
                <w:szCs w:val="21"/>
              </w:rPr>
            </w:pPr>
          </w:p>
        </w:tc>
        <w:tc>
          <w:tcPr>
            <w:tcW w:w="217" w:type="dxa"/>
          </w:tcPr>
          <w:p w14:paraId="12AA6A90" w14:textId="77777777" w:rsidR="002C0FD9" w:rsidRPr="00CA25CF" w:rsidRDefault="002C0FD9" w:rsidP="00CA25CF">
            <w:pPr>
              <w:rPr>
                <w:rFonts w:cs="Arial"/>
                <w:color w:val="FF0000"/>
                <w:sz w:val="21"/>
                <w:szCs w:val="21"/>
              </w:rPr>
            </w:pPr>
          </w:p>
        </w:tc>
        <w:tc>
          <w:tcPr>
            <w:tcW w:w="217" w:type="dxa"/>
          </w:tcPr>
          <w:p w14:paraId="2EC6C5BE" w14:textId="77777777" w:rsidR="002C0FD9" w:rsidRPr="00CA25CF" w:rsidRDefault="002C0FD9" w:rsidP="00CA25CF">
            <w:pPr>
              <w:rPr>
                <w:rFonts w:cs="Arial"/>
                <w:color w:val="FF0000"/>
                <w:sz w:val="21"/>
                <w:szCs w:val="21"/>
              </w:rPr>
            </w:pPr>
          </w:p>
        </w:tc>
        <w:tc>
          <w:tcPr>
            <w:tcW w:w="217" w:type="dxa"/>
          </w:tcPr>
          <w:p w14:paraId="1A9CE30A" w14:textId="77777777" w:rsidR="002C0FD9" w:rsidRPr="00CA25CF" w:rsidRDefault="002C0FD9" w:rsidP="00CA25CF">
            <w:pPr>
              <w:rPr>
                <w:rFonts w:cs="Arial"/>
                <w:color w:val="FF0000"/>
                <w:sz w:val="21"/>
                <w:szCs w:val="21"/>
              </w:rPr>
            </w:pPr>
          </w:p>
        </w:tc>
        <w:tc>
          <w:tcPr>
            <w:tcW w:w="217" w:type="dxa"/>
          </w:tcPr>
          <w:p w14:paraId="0FBEC862" w14:textId="77777777" w:rsidR="002C0FD9" w:rsidRPr="00CA25CF" w:rsidRDefault="002C0FD9" w:rsidP="00CA25CF">
            <w:pPr>
              <w:rPr>
                <w:rFonts w:cs="Arial"/>
                <w:color w:val="FF0000"/>
                <w:sz w:val="21"/>
                <w:szCs w:val="21"/>
              </w:rPr>
            </w:pPr>
          </w:p>
        </w:tc>
        <w:tc>
          <w:tcPr>
            <w:tcW w:w="217" w:type="dxa"/>
          </w:tcPr>
          <w:p w14:paraId="251A1199" w14:textId="77777777" w:rsidR="002C0FD9" w:rsidRPr="00CA25CF" w:rsidRDefault="002C0FD9" w:rsidP="00CA25CF">
            <w:pPr>
              <w:rPr>
                <w:rFonts w:cs="Arial"/>
                <w:color w:val="FF0000"/>
                <w:sz w:val="21"/>
                <w:szCs w:val="21"/>
              </w:rPr>
            </w:pPr>
          </w:p>
        </w:tc>
        <w:tc>
          <w:tcPr>
            <w:tcW w:w="217" w:type="dxa"/>
          </w:tcPr>
          <w:p w14:paraId="7421E4AF" w14:textId="77777777" w:rsidR="002C0FD9" w:rsidRPr="00CA25CF" w:rsidRDefault="002C0FD9" w:rsidP="00CA25CF">
            <w:pPr>
              <w:rPr>
                <w:rFonts w:cs="Arial"/>
                <w:color w:val="FF0000"/>
                <w:sz w:val="21"/>
                <w:szCs w:val="21"/>
              </w:rPr>
            </w:pPr>
          </w:p>
        </w:tc>
        <w:tc>
          <w:tcPr>
            <w:tcW w:w="217" w:type="dxa"/>
          </w:tcPr>
          <w:p w14:paraId="534F0010" w14:textId="77777777" w:rsidR="002C0FD9" w:rsidRPr="00CA25CF" w:rsidRDefault="002C0FD9" w:rsidP="00CA25CF">
            <w:pPr>
              <w:rPr>
                <w:rFonts w:cs="Arial"/>
                <w:color w:val="FF0000"/>
                <w:sz w:val="21"/>
                <w:szCs w:val="21"/>
              </w:rPr>
            </w:pPr>
          </w:p>
        </w:tc>
        <w:tc>
          <w:tcPr>
            <w:tcW w:w="217" w:type="dxa"/>
          </w:tcPr>
          <w:p w14:paraId="18C254A2" w14:textId="77777777" w:rsidR="002C0FD9" w:rsidRPr="00CA25CF" w:rsidRDefault="002C0FD9" w:rsidP="00CA25CF">
            <w:pPr>
              <w:rPr>
                <w:rFonts w:cs="Arial"/>
                <w:color w:val="FF0000"/>
                <w:sz w:val="21"/>
                <w:szCs w:val="21"/>
              </w:rPr>
            </w:pPr>
          </w:p>
        </w:tc>
        <w:tc>
          <w:tcPr>
            <w:tcW w:w="217" w:type="dxa"/>
          </w:tcPr>
          <w:p w14:paraId="72359720" w14:textId="77777777" w:rsidR="002C0FD9" w:rsidRPr="00CA25CF" w:rsidRDefault="002C0FD9" w:rsidP="00CA25CF">
            <w:pPr>
              <w:rPr>
                <w:rFonts w:cs="Arial"/>
                <w:color w:val="FF0000"/>
                <w:sz w:val="21"/>
                <w:szCs w:val="21"/>
              </w:rPr>
            </w:pPr>
          </w:p>
        </w:tc>
        <w:tc>
          <w:tcPr>
            <w:tcW w:w="217" w:type="dxa"/>
          </w:tcPr>
          <w:p w14:paraId="0CF3A362" w14:textId="77777777" w:rsidR="002C0FD9" w:rsidRPr="00CA25CF" w:rsidRDefault="002C0FD9" w:rsidP="00CA25CF">
            <w:pPr>
              <w:rPr>
                <w:rFonts w:cs="Arial"/>
                <w:color w:val="FF0000"/>
                <w:sz w:val="21"/>
                <w:szCs w:val="21"/>
              </w:rPr>
            </w:pPr>
          </w:p>
        </w:tc>
        <w:tc>
          <w:tcPr>
            <w:tcW w:w="217" w:type="dxa"/>
          </w:tcPr>
          <w:p w14:paraId="79CFAAB5" w14:textId="77777777" w:rsidR="002C0FD9" w:rsidRPr="00CA25CF" w:rsidRDefault="002C0FD9" w:rsidP="00CA25CF">
            <w:pPr>
              <w:rPr>
                <w:rFonts w:cs="Arial"/>
                <w:color w:val="FF0000"/>
                <w:sz w:val="21"/>
                <w:szCs w:val="21"/>
              </w:rPr>
            </w:pPr>
          </w:p>
        </w:tc>
        <w:tc>
          <w:tcPr>
            <w:tcW w:w="217" w:type="dxa"/>
          </w:tcPr>
          <w:p w14:paraId="2ED4E63A" w14:textId="77777777" w:rsidR="002C0FD9" w:rsidRPr="00CA25CF" w:rsidRDefault="002C0FD9" w:rsidP="00CA25CF">
            <w:pPr>
              <w:rPr>
                <w:rFonts w:cs="Arial"/>
                <w:color w:val="FF0000"/>
                <w:sz w:val="21"/>
                <w:szCs w:val="21"/>
              </w:rPr>
            </w:pPr>
          </w:p>
        </w:tc>
        <w:tc>
          <w:tcPr>
            <w:tcW w:w="217" w:type="dxa"/>
          </w:tcPr>
          <w:p w14:paraId="38911E4E" w14:textId="77777777" w:rsidR="002C0FD9" w:rsidRPr="00CA25CF" w:rsidRDefault="002C0FD9" w:rsidP="00CA25CF">
            <w:pPr>
              <w:rPr>
                <w:rFonts w:cs="Arial"/>
                <w:color w:val="FF0000"/>
                <w:sz w:val="21"/>
                <w:szCs w:val="21"/>
              </w:rPr>
            </w:pPr>
          </w:p>
        </w:tc>
        <w:tc>
          <w:tcPr>
            <w:tcW w:w="217" w:type="dxa"/>
          </w:tcPr>
          <w:p w14:paraId="32446B02" w14:textId="77777777" w:rsidR="002C0FD9" w:rsidRPr="00CA25CF" w:rsidRDefault="002C0FD9" w:rsidP="00CA25CF">
            <w:pPr>
              <w:rPr>
                <w:rFonts w:cs="Arial"/>
                <w:color w:val="FF0000"/>
                <w:sz w:val="21"/>
                <w:szCs w:val="21"/>
              </w:rPr>
            </w:pPr>
          </w:p>
        </w:tc>
        <w:tc>
          <w:tcPr>
            <w:tcW w:w="217" w:type="dxa"/>
          </w:tcPr>
          <w:p w14:paraId="05C9E8F2" w14:textId="77777777" w:rsidR="002C0FD9" w:rsidRPr="00CA25CF" w:rsidRDefault="002C0FD9" w:rsidP="00CA25CF">
            <w:pPr>
              <w:rPr>
                <w:rFonts w:cs="Arial"/>
                <w:color w:val="FF0000"/>
                <w:sz w:val="21"/>
                <w:szCs w:val="21"/>
              </w:rPr>
            </w:pPr>
          </w:p>
        </w:tc>
        <w:tc>
          <w:tcPr>
            <w:tcW w:w="217" w:type="dxa"/>
          </w:tcPr>
          <w:p w14:paraId="2DFA4EC0" w14:textId="77777777" w:rsidR="002C0FD9" w:rsidRPr="00CA25CF" w:rsidRDefault="002C0FD9" w:rsidP="00CA25CF">
            <w:pPr>
              <w:rPr>
                <w:rFonts w:cs="Arial"/>
                <w:color w:val="FF0000"/>
                <w:sz w:val="21"/>
                <w:szCs w:val="21"/>
              </w:rPr>
            </w:pPr>
          </w:p>
        </w:tc>
        <w:tc>
          <w:tcPr>
            <w:tcW w:w="217" w:type="dxa"/>
          </w:tcPr>
          <w:p w14:paraId="76ABF67C" w14:textId="77777777" w:rsidR="002C0FD9" w:rsidRPr="00CA25CF" w:rsidRDefault="002C0FD9" w:rsidP="00CA25CF">
            <w:pPr>
              <w:rPr>
                <w:rFonts w:cs="Arial"/>
                <w:color w:val="FF0000"/>
                <w:sz w:val="21"/>
                <w:szCs w:val="21"/>
              </w:rPr>
            </w:pPr>
          </w:p>
        </w:tc>
        <w:tc>
          <w:tcPr>
            <w:tcW w:w="217" w:type="dxa"/>
          </w:tcPr>
          <w:p w14:paraId="5A71E5A2" w14:textId="77777777" w:rsidR="002C0FD9" w:rsidRPr="00CA25CF" w:rsidRDefault="002C0FD9" w:rsidP="00CA25CF">
            <w:pPr>
              <w:rPr>
                <w:rFonts w:cs="Arial"/>
                <w:color w:val="FF0000"/>
                <w:sz w:val="21"/>
                <w:szCs w:val="21"/>
              </w:rPr>
            </w:pPr>
          </w:p>
        </w:tc>
        <w:tc>
          <w:tcPr>
            <w:tcW w:w="217" w:type="dxa"/>
          </w:tcPr>
          <w:p w14:paraId="5E834B52" w14:textId="77777777" w:rsidR="002C0FD9" w:rsidRPr="00CA25CF" w:rsidRDefault="002C0FD9" w:rsidP="00CA25CF">
            <w:pPr>
              <w:rPr>
                <w:rFonts w:cs="Arial"/>
                <w:color w:val="FF0000"/>
                <w:sz w:val="21"/>
                <w:szCs w:val="21"/>
              </w:rPr>
            </w:pPr>
          </w:p>
        </w:tc>
        <w:tc>
          <w:tcPr>
            <w:tcW w:w="217" w:type="dxa"/>
          </w:tcPr>
          <w:p w14:paraId="6DED6FF6" w14:textId="77777777" w:rsidR="002C0FD9" w:rsidRPr="00CA25CF" w:rsidRDefault="002C0FD9" w:rsidP="00CA25CF">
            <w:pPr>
              <w:rPr>
                <w:rFonts w:cs="Arial"/>
                <w:color w:val="FF0000"/>
                <w:sz w:val="21"/>
                <w:szCs w:val="21"/>
              </w:rPr>
            </w:pPr>
          </w:p>
        </w:tc>
        <w:tc>
          <w:tcPr>
            <w:tcW w:w="217" w:type="dxa"/>
          </w:tcPr>
          <w:p w14:paraId="48ED3524" w14:textId="77777777" w:rsidR="002C0FD9" w:rsidRPr="00CA25CF" w:rsidRDefault="002C0FD9" w:rsidP="00CA25CF">
            <w:pPr>
              <w:rPr>
                <w:rFonts w:cs="Arial"/>
                <w:color w:val="FF0000"/>
                <w:sz w:val="21"/>
                <w:szCs w:val="21"/>
              </w:rPr>
            </w:pPr>
          </w:p>
        </w:tc>
        <w:tc>
          <w:tcPr>
            <w:tcW w:w="217" w:type="dxa"/>
          </w:tcPr>
          <w:p w14:paraId="4F1C7AD2" w14:textId="77777777" w:rsidR="002C0FD9" w:rsidRPr="00CA25CF" w:rsidRDefault="002C0FD9" w:rsidP="00CA25CF">
            <w:pPr>
              <w:rPr>
                <w:rFonts w:cs="Arial"/>
                <w:color w:val="FF0000"/>
                <w:sz w:val="21"/>
                <w:szCs w:val="21"/>
              </w:rPr>
            </w:pPr>
          </w:p>
        </w:tc>
        <w:tc>
          <w:tcPr>
            <w:tcW w:w="217" w:type="dxa"/>
          </w:tcPr>
          <w:p w14:paraId="12A0B4D7" w14:textId="77777777" w:rsidR="002C0FD9" w:rsidRPr="00CA25CF" w:rsidRDefault="002C0FD9" w:rsidP="00CA25CF">
            <w:pPr>
              <w:rPr>
                <w:rFonts w:cs="Arial"/>
                <w:color w:val="FF0000"/>
                <w:sz w:val="21"/>
                <w:szCs w:val="21"/>
              </w:rPr>
            </w:pPr>
          </w:p>
        </w:tc>
        <w:tc>
          <w:tcPr>
            <w:tcW w:w="217" w:type="dxa"/>
          </w:tcPr>
          <w:p w14:paraId="3A465AD2" w14:textId="77777777" w:rsidR="002C0FD9" w:rsidRPr="00CA25CF" w:rsidRDefault="002C0FD9" w:rsidP="00CA25CF">
            <w:pPr>
              <w:rPr>
                <w:rFonts w:cs="Arial"/>
                <w:color w:val="FF0000"/>
                <w:sz w:val="21"/>
                <w:szCs w:val="21"/>
              </w:rPr>
            </w:pPr>
          </w:p>
        </w:tc>
        <w:tc>
          <w:tcPr>
            <w:tcW w:w="217" w:type="dxa"/>
          </w:tcPr>
          <w:p w14:paraId="38170567" w14:textId="77777777" w:rsidR="002C0FD9" w:rsidRPr="00CA25CF" w:rsidRDefault="002C0FD9" w:rsidP="00CA25CF">
            <w:pPr>
              <w:rPr>
                <w:rFonts w:cs="Arial"/>
                <w:color w:val="FF0000"/>
                <w:sz w:val="21"/>
                <w:szCs w:val="21"/>
              </w:rPr>
            </w:pPr>
          </w:p>
        </w:tc>
        <w:tc>
          <w:tcPr>
            <w:tcW w:w="217" w:type="dxa"/>
          </w:tcPr>
          <w:p w14:paraId="66371576" w14:textId="77777777" w:rsidR="002C0FD9" w:rsidRPr="00CA25CF" w:rsidRDefault="002C0FD9" w:rsidP="00CA25CF">
            <w:pPr>
              <w:rPr>
                <w:rFonts w:cs="Arial"/>
                <w:color w:val="FF0000"/>
                <w:sz w:val="21"/>
                <w:szCs w:val="21"/>
              </w:rPr>
            </w:pPr>
          </w:p>
        </w:tc>
        <w:tc>
          <w:tcPr>
            <w:tcW w:w="217" w:type="dxa"/>
          </w:tcPr>
          <w:p w14:paraId="6A3F2FEC" w14:textId="77777777" w:rsidR="002C0FD9" w:rsidRPr="00CA25CF" w:rsidRDefault="002C0FD9" w:rsidP="00CA25CF">
            <w:pPr>
              <w:rPr>
                <w:rFonts w:cs="Arial"/>
                <w:color w:val="FF0000"/>
                <w:sz w:val="21"/>
                <w:szCs w:val="21"/>
              </w:rPr>
            </w:pPr>
          </w:p>
        </w:tc>
        <w:tc>
          <w:tcPr>
            <w:tcW w:w="217" w:type="dxa"/>
          </w:tcPr>
          <w:p w14:paraId="151E6BB2" w14:textId="77777777" w:rsidR="002C0FD9" w:rsidRPr="00CA25CF" w:rsidRDefault="002C0FD9" w:rsidP="00CA25CF">
            <w:pPr>
              <w:rPr>
                <w:rFonts w:cs="Arial"/>
                <w:color w:val="FF0000"/>
                <w:sz w:val="21"/>
                <w:szCs w:val="21"/>
              </w:rPr>
            </w:pPr>
          </w:p>
        </w:tc>
        <w:tc>
          <w:tcPr>
            <w:tcW w:w="217" w:type="dxa"/>
          </w:tcPr>
          <w:p w14:paraId="4B1641E9" w14:textId="77777777" w:rsidR="002C0FD9" w:rsidRPr="00CA25CF" w:rsidRDefault="002C0FD9" w:rsidP="00CA25CF">
            <w:pPr>
              <w:rPr>
                <w:rFonts w:cs="Arial"/>
                <w:color w:val="FF0000"/>
                <w:sz w:val="21"/>
                <w:szCs w:val="21"/>
              </w:rPr>
            </w:pPr>
          </w:p>
        </w:tc>
        <w:tc>
          <w:tcPr>
            <w:tcW w:w="217" w:type="dxa"/>
          </w:tcPr>
          <w:p w14:paraId="2FEB74F7" w14:textId="77777777" w:rsidR="002C0FD9" w:rsidRPr="00CA25CF" w:rsidRDefault="002C0FD9" w:rsidP="00CA25CF">
            <w:pPr>
              <w:rPr>
                <w:rFonts w:cs="Arial"/>
                <w:color w:val="FF0000"/>
                <w:sz w:val="21"/>
                <w:szCs w:val="21"/>
              </w:rPr>
            </w:pPr>
          </w:p>
        </w:tc>
        <w:tc>
          <w:tcPr>
            <w:tcW w:w="217" w:type="dxa"/>
          </w:tcPr>
          <w:p w14:paraId="76F30217" w14:textId="77777777" w:rsidR="002C0FD9" w:rsidRPr="00CA25CF" w:rsidRDefault="002C0FD9" w:rsidP="00CA25CF">
            <w:pPr>
              <w:rPr>
                <w:rFonts w:cs="Arial"/>
                <w:color w:val="FF0000"/>
                <w:sz w:val="21"/>
                <w:szCs w:val="21"/>
              </w:rPr>
            </w:pPr>
          </w:p>
        </w:tc>
        <w:tc>
          <w:tcPr>
            <w:tcW w:w="217" w:type="dxa"/>
          </w:tcPr>
          <w:p w14:paraId="63A42ECE" w14:textId="77777777" w:rsidR="002C0FD9" w:rsidRPr="00CA25CF" w:rsidRDefault="002C0FD9" w:rsidP="00CA25CF">
            <w:pPr>
              <w:rPr>
                <w:rFonts w:cs="Arial"/>
                <w:color w:val="FF0000"/>
                <w:sz w:val="21"/>
                <w:szCs w:val="21"/>
              </w:rPr>
            </w:pPr>
          </w:p>
        </w:tc>
        <w:tc>
          <w:tcPr>
            <w:tcW w:w="217" w:type="dxa"/>
          </w:tcPr>
          <w:p w14:paraId="2CA477D1" w14:textId="77777777" w:rsidR="002C0FD9" w:rsidRPr="00CA25CF" w:rsidRDefault="002C0FD9" w:rsidP="00CA25CF">
            <w:pPr>
              <w:rPr>
                <w:rFonts w:cs="Arial"/>
                <w:color w:val="FF0000"/>
                <w:sz w:val="21"/>
                <w:szCs w:val="21"/>
              </w:rPr>
            </w:pPr>
          </w:p>
        </w:tc>
        <w:tc>
          <w:tcPr>
            <w:tcW w:w="217" w:type="dxa"/>
          </w:tcPr>
          <w:p w14:paraId="3C9564BE" w14:textId="77777777" w:rsidR="002C0FD9" w:rsidRPr="00CA25CF" w:rsidRDefault="002C0FD9" w:rsidP="00CA25CF">
            <w:pPr>
              <w:rPr>
                <w:rFonts w:cs="Arial"/>
                <w:color w:val="FF0000"/>
                <w:sz w:val="21"/>
                <w:szCs w:val="21"/>
              </w:rPr>
            </w:pPr>
          </w:p>
        </w:tc>
        <w:tc>
          <w:tcPr>
            <w:tcW w:w="217" w:type="dxa"/>
          </w:tcPr>
          <w:p w14:paraId="4A46A25E" w14:textId="77777777" w:rsidR="002C0FD9" w:rsidRPr="00CA25CF" w:rsidRDefault="002C0FD9" w:rsidP="00CA25CF">
            <w:pPr>
              <w:rPr>
                <w:rFonts w:cs="Arial"/>
                <w:color w:val="FF0000"/>
                <w:sz w:val="21"/>
                <w:szCs w:val="21"/>
              </w:rPr>
            </w:pPr>
          </w:p>
        </w:tc>
        <w:tc>
          <w:tcPr>
            <w:tcW w:w="217" w:type="dxa"/>
          </w:tcPr>
          <w:p w14:paraId="12CFC5B8" w14:textId="77777777" w:rsidR="002C0FD9" w:rsidRPr="00CA25CF" w:rsidRDefault="002C0FD9" w:rsidP="00CA25CF">
            <w:pPr>
              <w:rPr>
                <w:rFonts w:cs="Arial"/>
                <w:color w:val="FF0000"/>
                <w:sz w:val="21"/>
                <w:szCs w:val="21"/>
              </w:rPr>
            </w:pPr>
          </w:p>
        </w:tc>
        <w:tc>
          <w:tcPr>
            <w:tcW w:w="217" w:type="dxa"/>
          </w:tcPr>
          <w:p w14:paraId="47E0E7F4" w14:textId="77777777" w:rsidR="002C0FD9" w:rsidRPr="00CA25CF" w:rsidRDefault="002C0FD9" w:rsidP="00CA25CF">
            <w:pPr>
              <w:rPr>
                <w:rFonts w:cs="Arial"/>
                <w:color w:val="FF0000"/>
                <w:sz w:val="21"/>
                <w:szCs w:val="21"/>
              </w:rPr>
            </w:pPr>
          </w:p>
        </w:tc>
        <w:tc>
          <w:tcPr>
            <w:tcW w:w="217" w:type="dxa"/>
          </w:tcPr>
          <w:p w14:paraId="1A2F59C1" w14:textId="77777777" w:rsidR="002C0FD9" w:rsidRPr="00CA25CF" w:rsidRDefault="002C0FD9" w:rsidP="00CA25CF">
            <w:pPr>
              <w:rPr>
                <w:rFonts w:cs="Arial"/>
                <w:color w:val="FF0000"/>
                <w:sz w:val="21"/>
                <w:szCs w:val="21"/>
              </w:rPr>
            </w:pPr>
          </w:p>
        </w:tc>
      </w:tr>
      <w:tr w:rsidR="002C0FD9" w:rsidRPr="00A16219" w14:paraId="230AD7AA" w14:textId="4840DA8F" w:rsidTr="002C0FD9">
        <w:trPr>
          <w:trHeight w:val="635"/>
        </w:trPr>
        <w:tc>
          <w:tcPr>
            <w:tcW w:w="515" w:type="dxa"/>
          </w:tcPr>
          <w:p w14:paraId="511ED21F" w14:textId="77777777" w:rsidR="002C0FD9" w:rsidRPr="00CA25CF" w:rsidRDefault="002C0FD9" w:rsidP="00CA25CF">
            <w:pPr>
              <w:rPr>
                <w:rFonts w:cs="Arial"/>
                <w:color w:val="FF0000"/>
                <w:sz w:val="21"/>
                <w:szCs w:val="21"/>
              </w:rPr>
            </w:pPr>
          </w:p>
        </w:tc>
        <w:tc>
          <w:tcPr>
            <w:tcW w:w="217" w:type="dxa"/>
          </w:tcPr>
          <w:p w14:paraId="44E5D425" w14:textId="77777777" w:rsidR="002C0FD9" w:rsidRPr="00CA25CF" w:rsidRDefault="002C0FD9" w:rsidP="00CA25CF">
            <w:pPr>
              <w:rPr>
                <w:rFonts w:cs="Arial"/>
                <w:color w:val="FF0000"/>
                <w:sz w:val="21"/>
                <w:szCs w:val="21"/>
              </w:rPr>
            </w:pPr>
          </w:p>
        </w:tc>
        <w:tc>
          <w:tcPr>
            <w:tcW w:w="217" w:type="dxa"/>
          </w:tcPr>
          <w:p w14:paraId="266FC1FC" w14:textId="41506956" w:rsidR="002C0FD9" w:rsidRPr="00CA25CF" w:rsidRDefault="002C0FD9" w:rsidP="00CA25CF">
            <w:pPr>
              <w:rPr>
                <w:rFonts w:cs="Arial"/>
                <w:color w:val="FF0000"/>
                <w:sz w:val="21"/>
                <w:szCs w:val="21"/>
              </w:rPr>
            </w:pPr>
          </w:p>
        </w:tc>
        <w:tc>
          <w:tcPr>
            <w:tcW w:w="217" w:type="dxa"/>
          </w:tcPr>
          <w:p w14:paraId="2871A868" w14:textId="77777777" w:rsidR="002C0FD9" w:rsidRPr="00CA25CF" w:rsidRDefault="002C0FD9" w:rsidP="00CA25CF">
            <w:pPr>
              <w:rPr>
                <w:rFonts w:cs="Arial"/>
                <w:color w:val="FF0000"/>
                <w:sz w:val="21"/>
                <w:szCs w:val="21"/>
              </w:rPr>
            </w:pPr>
          </w:p>
        </w:tc>
        <w:tc>
          <w:tcPr>
            <w:tcW w:w="217" w:type="dxa"/>
          </w:tcPr>
          <w:p w14:paraId="2B5658AD" w14:textId="77777777" w:rsidR="002C0FD9" w:rsidRPr="00CA25CF" w:rsidRDefault="002C0FD9" w:rsidP="00CA25CF">
            <w:pPr>
              <w:rPr>
                <w:rFonts w:cs="Arial"/>
                <w:color w:val="FF0000"/>
                <w:sz w:val="21"/>
                <w:szCs w:val="21"/>
              </w:rPr>
            </w:pPr>
          </w:p>
        </w:tc>
        <w:tc>
          <w:tcPr>
            <w:tcW w:w="217" w:type="dxa"/>
          </w:tcPr>
          <w:p w14:paraId="2A94B5D9" w14:textId="77777777" w:rsidR="002C0FD9" w:rsidRPr="00CA25CF" w:rsidRDefault="002C0FD9" w:rsidP="00CA25CF">
            <w:pPr>
              <w:rPr>
                <w:rFonts w:cs="Arial"/>
                <w:color w:val="FF0000"/>
                <w:sz w:val="21"/>
                <w:szCs w:val="21"/>
              </w:rPr>
            </w:pPr>
          </w:p>
        </w:tc>
        <w:tc>
          <w:tcPr>
            <w:tcW w:w="217" w:type="dxa"/>
          </w:tcPr>
          <w:p w14:paraId="261106DF" w14:textId="77777777" w:rsidR="002C0FD9" w:rsidRPr="00CA25CF" w:rsidRDefault="002C0FD9" w:rsidP="00CA25CF">
            <w:pPr>
              <w:rPr>
                <w:rFonts w:cs="Arial"/>
                <w:color w:val="FF0000"/>
                <w:sz w:val="21"/>
                <w:szCs w:val="21"/>
              </w:rPr>
            </w:pPr>
          </w:p>
        </w:tc>
        <w:tc>
          <w:tcPr>
            <w:tcW w:w="217" w:type="dxa"/>
          </w:tcPr>
          <w:p w14:paraId="764165F6" w14:textId="77777777" w:rsidR="002C0FD9" w:rsidRPr="00CA25CF" w:rsidRDefault="002C0FD9" w:rsidP="00CA25CF">
            <w:pPr>
              <w:rPr>
                <w:rFonts w:cs="Arial"/>
                <w:color w:val="FF0000"/>
                <w:sz w:val="21"/>
                <w:szCs w:val="21"/>
              </w:rPr>
            </w:pPr>
          </w:p>
        </w:tc>
        <w:tc>
          <w:tcPr>
            <w:tcW w:w="217" w:type="dxa"/>
          </w:tcPr>
          <w:p w14:paraId="45F17D1C" w14:textId="77777777" w:rsidR="002C0FD9" w:rsidRPr="00CA25CF" w:rsidRDefault="002C0FD9" w:rsidP="00CA25CF">
            <w:pPr>
              <w:rPr>
                <w:rFonts w:cs="Arial"/>
                <w:color w:val="FF0000"/>
                <w:sz w:val="21"/>
                <w:szCs w:val="21"/>
              </w:rPr>
            </w:pPr>
          </w:p>
        </w:tc>
        <w:tc>
          <w:tcPr>
            <w:tcW w:w="217" w:type="dxa"/>
          </w:tcPr>
          <w:p w14:paraId="5C5986D8" w14:textId="77777777" w:rsidR="002C0FD9" w:rsidRPr="00CA25CF" w:rsidRDefault="002C0FD9" w:rsidP="00CA25CF">
            <w:pPr>
              <w:rPr>
                <w:rFonts w:cs="Arial"/>
                <w:color w:val="FF0000"/>
                <w:sz w:val="21"/>
                <w:szCs w:val="21"/>
              </w:rPr>
            </w:pPr>
          </w:p>
        </w:tc>
        <w:tc>
          <w:tcPr>
            <w:tcW w:w="217" w:type="dxa"/>
          </w:tcPr>
          <w:p w14:paraId="7196E6FB" w14:textId="77777777" w:rsidR="002C0FD9" w:rsidRPr="00CA25CF" w:rsidRDefault="002C0FD9" w:rsidP="00CA25CF">
            <w:pPr>
              <w:rPr>
                <w:rFonts w:cs="Arial"/>
                <w:color w:val="FF0000"/>
                <w:sz w:val="21"/>
                <w:szCs w:val="21"/>
              </w:rPr>
            </w:pPr>
          </w:p>
        </w:tc>
        <w:tc>
          <w:tcPr>
            <w:tcW w:w="217" w:type="dxa"/>
          </w:tcPr>
          <w:p w14:paraId="45281535" w14:textId="77777777" w:rsidR="002C0FD9" w:rsidRPr="00CA25CF" w:rsidRDefault="002C0FD9" w:rsidP="00CA25CF">
            <w:pPr>
              <w:rPr>
                <w:rFonts w:cs="Arial"/>
                <w:color w:val="FF0000"/>
                <w:sz w:val="21"/>
                <w:szCs w:val="21"/>
              </w:rPr>
            </w:pPr>
          </w:p>
        </w:tc>
        <w:tc>
          <w:tcPr>
            <w:tcW w:w="217" w:type="dxa"/>
          </w:tcPr>
          <w:p w14:paraId="2DC26CFE" w14:textId="77777777" w:rsidR="002C0FD9" w:rsidRPr="00CA25CF" w:rsidRDefault="002C0FD9" w:rsidP="00CA25CF">
            <w:pPr>
              <w:rPr>
                <w:rFonts w:cs="Arial"/>
                <w:color w:val="FF0000"/>
                <w:sz w:val="21"/>
                <w:szCs w:val="21"/>
              </w:rPr>
            </w:pPr>
          </w:p>
        </w:tc>
        <w:tc>
          <w:tcPr>
            <w:tcW w:w="217" w:type="dxa"/>
          </w:tcPr>
          <w:p w14:paraId="16DC24D7" w14:textId="77777777" w:rsidR="002C0FD9" w:rsidRPr="00CA25CF" w:rsidRDefault="002C0FD9" w:rsidP="00CA25CF">
            <w:pPr>
              <w:rPr>
                <w:rFonts w:cs="Arial"/>
                <w:color w:val="FF0000"/>
                <w:sz w:val="21"/>
                <w:szCs w:val="21"/>
              </w:rPr>
            </w:pPr>
          </w:p>
        </w:tc>
        <w:tc>
          <w:tcPr>
            <w:tcW w:w="217" w:type="dxa"/>
          </w:tcPr>
          <w:p w14:paraId="167E1A69" w14:textId="77777777" w:rsidR="002C0FD9" w:rsidRPr="00CA25CF" w:rsidRDefault="002C0FD9" w:rsidP="00CA25CF">
            <w:pPr>
              <w:rPr>
                <w:rFonts w:cs="Arial"/>
                <w:color w:val="FF0000"/>
                <w:sz w:val="21"/>
                <w:szCs w:val="21"/>
              </w:rPr>
            </w:pPr>
          </w:p>
        </w:tc>
        <w:tc>
          <w:tcPr>
            <w:tcW w:w="217" w:type="dxa"/>
          </w:tcPr>
          <w:p w14:paraId="7EC7DA80" w14:textId="77777777" w:rsidR="002C0FD9" w:rsidRPr="00CA25CF" w:rsidRDefault="002C0FD9" w:rsidP="00CA25CF">
            <w:pPr>
              <w:rPr>
                <w:rFonts w:cs="Arial"/>
                <w:color w:val="FF0000"/>
                <w:sz w:val="21"/>
                <w:szCs w:val="21"/>
              </w:rPr>
            </w:pPr>
          </w:p>
        </w:tc>
        <w:tc>
          <w:tcPr>
            <w:tcW w:w="217" w:type="dxa"/>
          </w:tcPr>
          <w:p w14:paraId="54164EB8" w14:textId="77777777" w:rsidR="002C0FD9" w:rsidRPr="00CA25CF" w:rsidRDefault="002C0FD9" w:rsidP="00CA25CF">
            <w:pPr>
              <w:rPr>
                <w:rFonts w:cs="Arial"/>
                <w:color w:val="FF0000"/>
                <w:sz w:val="21"/>
                <w:szCs w:val="21"/>
              </w:rPr>
            </w:pPr>
          </w:p>
        </w:tc>
        <w:tc>
          <w:tcPr>
            <w:tcW w:w="217" w:type="dxa"/>
          </w:tcPr>
          <w:p w14:paraId="76D6CA2C" w14:textId="77777777" w:rsidR="002C0FD9" w:rsidRPr="00CA25CF" w:rsidRDefault="002C0FD9" w:rsidP="00CA25CF">
            <w:pPr>
              <w:rPr>
                <w:rFonts w:cs="Arial"/>
                <w:color w:val="FF0000"/>
                <w:sz w:val="21"/>
                <w:szCs w:val="21"/>
              </w:rPr>
            </w:pPr>
          </w:p>
        </w:tc>
        <w:tc>
          <w:tcPr>
            <w:tcW w:w="217" w:type="dxa"/>
          </w:tcPr>
          <w:p w14:paraId="2916F851" w14:textId="77777777" w:rsidR="002C0FD9" w:rsidRPr="00CA25CF" w:rsidRDefault="002C0FD9" w:rsidP="00CA25CF">
            <w:pPr>
              <w:rPr>
                <w:rFonts w:cs="Arial"/>
                <w:color w:val="FF0000"/>
                <w:sz w:val="21"/>
                <w:szCs w:val="21"/>
              </w:rPr>
            </w:pPr>
          </w:p>
        </w:tc>
        <w:tc>
          <w:tcPr>
            <w:tcW w:w="217" w:type="dxa"/>
          </w:tcPr>
          <w:p w14:paraId="7140F857" w14:textId="77777777" w:rsidR="002C0FD9" w:rsidRPr="00CA25CF" w:rsidRDefault="002C0FD9" w:rsidP="00CA25CF">
            <w:pPr>
              <w:rPr>
                <w:rFonts w:cs="Arial"/>
                <w:color w:val="FF0000"/>
                <w:sz w:val="21"/>
                <w:szCs w:val="21"/>
              </w:rPr>
            </w:pPr>
          </w:p>
        </w:tc>
        <w:tc>
          <w:tcPr>
            <w:tcW w:w="217" w:type="dxa"/>
          </w:tcPr>
          <w:p w14:paraId="6484154B" w14:textId="77777777" w:rsidR="002C0FD9" w:rsidRPr="00CA25CF" w:rsidRDefault="002C0FD9" w:rsidP="00CA25CF">
            <w:pPr>
              <w:rPr>
                <w:rFonts w:cs="Arial"/>
                <w:color w:val="FF0000"/>
                <w:sz w:val="21"/>
                <w:szCs w:val="21"/>
              </w:rPr>
            </w:pPr>
          </w:p>
        </w:tc>
        <w:tc>
          <w:tcPr>
            <w:tcW w:w="217" w:type="dxa"/>
          </w:tcPr>
          <w:p w14:paraId="3A31C978" w14:textId="77777777" w:rsidR="002C0FD9" w:rsidRPr="00CA25CF" w:rsidRDefault="002C0FD9" w:rsidP="00CA25CF">
            <w:pPr>
              <w:rPr>
                <w:rFonts w:cs="Arial"/>
                <w:color w:val="FF0000"/>
                <w:sz w:val="21"/>
                <w:szCs w:val="21"/>
              </w:rPr>
            </w:pPr>
          </w:p>
        </w:tc>
        <w:tc>
          <w:tcPr>
            <w:tcW w:w="217" w:type="dxa"/>
          </w:tcPr>
          <w:p w14:paraId="7B0D8925" w14:textId="77777777" w:rsidR="002C0FD9" w:rsidRPr="00CA25CF" w:rsidRDefault="002C0FD9" w:rsidP="00CA25CF">
            <w:pPr>
              <w:rPr>
                <w:rFonts w:cs="Arial"/>
                <w:color w:val="FF0000"/>
                <w:sz w:val="21"/>
                <w:szCs w:val="21"/>
              </w:rPr>
            </w:pPr>
          </w:p>
        </w:tc>
        <w:tc>
          <w:tcPr>
            <w:tcW w:w="217" w:type="dxa"/>
          </w:tcPr>
          <w:p w14:paraId="5153518B" w14:textId="77777777" w:rsidR="002C0FD9" w:rsidRPr="00CA25CF" w:rsidRDefault="002C0FD9" w:rsidP="00CA25CF">
            <w:pPr>
              <w:rPr>
                <w:rFonts w:cs="Arial"/>
                <w:color w:val="FF0000"/>
                <w:sz w:val="21"/>
                <w:szCs w:val="21"/>
              </w:rPr>
            </w:pPr>
          </w:p>
        </w:tc>
        <w:tc>
          <w:tcPr>
            <w:tcW w:w="217" w:type="dxa"/>
          </w:tcPr>
          <w:p w14:paraId="046C1A24" w14:textId="77777777" w:rsidR="002C0FD9" w:rsidRPr="00CA25CF" w:rsidRDefault="002C0FD9" w:rsidP="00CA25CF">
            <w:pPr>
              <w:rPr>
                <w:rFonts w:cs="Arial"/>
                <w:color w:val="FF0000"/>
                <w:sz w:val="21"/>
                <w:szCs w:val="21"/>
              </w:rPr>
            </w:pPr>
          </w:p>
        </w:tc>
        <w:tc>
          <w:tcPr>
            <w:tcW w:w="217" w:type="dxa"/>
          </w:tcPr>
          <w:p w14:paraId="423385FC" w14:textId="77777777" w:rsidR="002C0FD9" w:rsidRPr="00CA25CF" w:rsidRDefault="002C0FD9" w:rsidP="00CA25CF">
            <w:pPr>
              <w:rPr>
                <w:rFonts w:cs="Arial"/>
                <w:color w:val="FF0000"/>
                <w:sz w:val="21"/>
                <w:szCs w:val="21"/>
              </w:rPr>
            </w:pPr>
          </w:p>
        </w:tc>
        <w:tc>
          <w:tcPr>
            <w:tcW w:w="217" w:type="dxa"/>
          </w:tcPr>
          <w:p w14:paraId="4DA7E325" w14:textId="77777777" w:rsidR="002C0FD9" w:rsidRPr="00CA25CF" w:rsidRDefault="002C0FD9" w:rsidP="00CA25CF">
            <w:pPr>
              <w:rPr>
                <w:rFonts w:cs="Arial"/>
                <w:color w:val="FF0000"/>
                <w:sz w:val="21"/>
                <w:szCs w:val="21"/>
              </w:rPr>
            </w:pPr>
          </w:p>
        </w:tc>
        <w:tc>
          <w:tcPr>
            <w:tcW w:w="217" w:type="dxa"/>
          </w:tcPr>
          <w:p w14:paraId="3CC1F109" w14:textId="77777777" w:rsidR="002C0FD9" w:rsidRPr="00CA25CF" w:rsidRDefault="002C0FD9" w:rsidP="00CA25CF">
            <w:pPr>
              <w:rPr>
                <w:rFonts w:cs="Arial"/>
                <w:color w:val="FF0000"/>
                <w:sz w:val="21"/>
                <w:szCs w:val="21"/>
              </w:rPr>
            </w:pPr>
          </w:p>
        </w:tc>
        <w:tc>
          <w:tcPr>
            <w:tcW w:w="217" w:type="dxa"/>
          </w:tcPr>
          <w:p w14:paraId="7748C400" w14:textId="77777777" w:rsidR="002C0FD9" w:rsidRPr="00CA25CF" w:rsidRDefault="002C0FD9" w:rsidP="00CA25CF">
            <w:pPr>
              <w:rPr>
                <w:rFonts w:cs="Arial"/>
                <w:color w:val="FF0000"/>
                <w:sz w:val="21"/>
                <w:szCs w:val="21"/>
              </w:rPr>
            </w:pPr>
          </w:p>
        </w:tc>
        <w:tc>
          <w:tcPr>
            <w:tcW w:w="217" w:type="dxa"/>
          </w:tcPr>
          <w:p w14:paraId="3D943D1F" w14:textId="77777777" w:rsidR="002C0FD9" w:rsidRPr="00CA25CF" w:rsidRDefault="002C0FD9" w:rsidP="00CA25CF">
            <w:pPr>
              <w:rPr>
                <w:rFonts w:cs="Arial"/>
                <w:color w:val="FF0000"/>
                <w:sz w:val="21"/>
                <w:szCs w:val="21"/>
              </w:rPr>
            </w:pPr>
          </w:p>
        </w:tc>
        <w:tc>
          <w:tcPr>
            <w:tcW w:w="217" w:type="dxa"/>
          </w:tcPr>
          <w:p w14:paraId="7AF9912B" w14:textId="77777777" w:rsidR="002C0FD9" w:rsidRPr="00CA25CF" w:rsidRDefault="002C0FD9" w:rsidP="00CA25CF">
            <w:pPr>
              <w:rPr>
                <w:rFonts w:cs="Arial"/>
                <w:color w:val="FF0000"/>
                <w:sz w:val="21"/>
                <w:szCs w:val="21"/>
              </w:rPr>
            </w:pPr>
          </w:p>
        </w:tc>
        <w:tc>
          <w:tcPr>
            <w:tcW w:w="217" w:type="dxa"/>
          </w:tcPr>
          <w:p w14:paraId="534326B1" w14:textId="77777777" w:rsidR="002C0FD9" w:rsidRPr="00CA25CF" w:rsidRDefault="002C0FD9" w:rsidP="00CA25CF">
            <w:pPr>
              <w:rPr>
                <w:rFonts w:cs="Arial"/>
                <w:color w:val="FF0000"/>
                <w:sz w:val="21"/>
                <w:szCs w:val="21"/>
              </w:rPr>
            </w:pPr>
          </w:p>
        </w:tc>
        <w:tc>
          <w:tcPr>
            <w:tcW w:w="217" w:type="dxa"/>
          </w:tcPr>
          <w:p w14:paraId="523028BF" w14:textId="77777777" w:rsidR="002C0FD9" w:rsidRPr="00CA25CF" w:rsidRDefault="002C0FD9" w:rsidP="00CA25CF">
            <w:pPr>
              <w:rPr>
                <w:rFonts w:cs="Arial"/>
                <w:color w:val="FF0000"/>
                <w:sz w:val="21"/>
                <w:szCs w:val="21"/>
              </w:rPr>
            </w:pPr>
          </w:p>
        </w:tc>
        <w:tc>
          <w:tcPr>
            <w:tcW w:w="217" w:type="dxa"/>
          </w:tcPr>
          <w:p w14:paraId="1C97F610" w14:textId="77777777" w:rsidR="002C0FD9" w:rsidRPr="00CA25CF" w:rsidRDefault="002C0FD9" w:rsidP="00CA25CF">
            <w:pPr>
              <w:rPr>
                <w:rFonts w:cs="Arial"/>
                <w:color w:val="FF0000"/>
                <w:sz w:val="21"/>
                <w:szCs w:val="21"/>
              </w:rPr>
            </w:pPr>
          </w:p>
        </w:tc>
        <w:tc>
          <w:tcPr>
            <w:tcW w:w="217" w:type="dxa"/>
          </w:tcPr>
          <w:p w14:paraId="0CC79304" w14:textId="77777777" w:rsidR="002C0FD9" w:rsidRPr="00CA25CF" w:rsidRDefault="002C0FD9" w:rsidP="00CA25CF">
            <w:pPr>
              <w:rPr>
                <w:rFonts w:cs="Arial"/>
                <w:color w:val="FF0000"/>
                <w:sz w:val="21"/>
                <w:szCs w:val="21"/>
              </w:rPr>
            </w:pPr>
          </w:p>
        </w:tc>
        <w:tc>
          <w:tcPr>
            <w:tcW w:w="217" w:type="dxa"/>
          </w:tcPr>
          <w:p w14:paraId="5F5FB3B4" w14:textId="77777777" w:rsidR="002C0FD9" w:rsidRPr="00CA25CF" w:rsidRDefault="002C0FD9" w:rsidP="00CA25CF">
            <w:pPr>
              <w:rPr>
                <w:rFonts w:cs="Arial"/>
                <w:color w:val="FF0000"/>
                <w:sz w:val="21"/>
                <w:szCs w:val="21"/>
              </w:rPr>
            </w:pPr>
          </w:p>
        </w:tc>
        <w:tc>
          <w:tcPr>
            <w:tcW w:w="217" w:type="dxa"/>
          </w:tcPr>
          <w:p w14:paraId="757DE385" w14:textId="77777777" w:rsidR="002C0FD9" w:rsidRPr="00CA25CF" w:rsidRDefault="002C0FD9" w:rsidP="00CA25CF">
            <w:pPr>
              <w:rPr>
                <w:rFonts w:cs="Arial"/>
                <w:color w:val="FF0000"/>
                <w:sz w:val="21"/>
                <w:szCs w:val="21"/>
              </w:rPr>
            </w:pPr>
          </w:p>
        </w:tc>
        <w:tc>
          <w:tcPr>
            <w:tcW w:w="217" w:type="dxa"/>
          </w:tcPr>
          <w:p w14:paraId="798E4B11" w14:textId="77777777" w:rsidR="002C0FD9" w:rsidRPr="00CA25CF" w:rsidRDefault="002C0FD9" w:rsidP="00CA25CF">
            <w:pPr>
              <w:rPr>
                <w:rFonts w:cs="Arial"/>
                <w:color w:val="FF0000"/>
                <w:sz w:val="21"/>
                <w:szCs w:val="21"/>
              </w:rPr>
            </w:pPr>
          </w:p>
        </w:tc>
        <w:tc>
          <w:tcPr>
            <w:tcW w:w="217" w:type="dxa"/>
          </w:tcPr>
          <w:p w14:paraId="62E2BEA3" w14:textId="77777777" w:rsidR="002C0FD9" w:rsidRPr="00CA25CF" w:rsidRDefault="002C0FD9" w:rsidP="00CA25CF">
            <w:pPr>
              <w:rPr>
                <w:rFonts w:cs="Arial"/>
                <w:color w:val="FF0000"/>
                <w:sz w:val="21"/>
                <w:szCs w:val="21"/>
              </w:rPr>
            </w:pPr>
          </w:p>
        </w:tc>
        <w:tc>
          <w:tcPr>
            <w:tcW w:w="217" w:type="dxa"/>
          </w:tcPr>
          <w:p w14:paraId="2FB86FF9" w14:textId="77777777" w:rsidR="002C0FD9" w:rsidRPr="00CA25CF" w:rsidRDefault="002C0FD9" w:rsidP="00CA25CF">
            <w:pPr>
              <w:rPr>
                <w:rFonts w:cs="Arial"/>
                <w:color w:val="FF0000"/>
                <w:sz w:val="21"/>
                <w:szCs w:val="21"/>
              </w:rPr>
            </w:pPr>
          </w:p>
        </w:tc>
        <w:tc>
          <w:tcPr>
            <w:tcW w:w="217" w:type="dxa"/>
          </w:tcPr>
          <w:p w14:paraId="51AC677E" w14:textId="77777777" w:rsidR="002C0FD9" w:rsidRPr="00CA25CF" w:rsidRDefault="002C0FD9" w:rsidP="00CA25CF">
            <w:pPr>
              <w:rPr>
                <w:rFonts w:cs="Arial"/>
                <w:color w:val="FF0000"/>
                <w:sz w:val="21"/>
                <w:szCs w:val="21"/>
              </w:rPr>
            </w:pPr>
          </w:p>
        </w:tc>
        <w:tc>
          <w:tcPr>
            <w:tcW w:w="217" w:type="dxa"/>
          </w:tcPr>
          <w:p w14:paraId="5E0B23EA" w14:textId="77777777" w:rsidR="002C0FD9" w:rsidRPr="00CA25CF" w:rsidRDefault="002C0FD9" w:rsidP="00CA25CF">
            <w:pPr>
              <w:rPr>
                <w:rFonts w:cs="Arial"/>
                <w:color w:val="FF0000"/>
                <w:sz w:val="21"/>
                <w:szCs w:val="21"/>
              </w:rPr>
            </w:pPr>
          </w:p>
        </w:tc>
        <w:tc>
          <w:tcPr>
            <w:tcW w:w="217" w:type="dxa"/>
          </w:tcPr>
          <w:p w14:paraId="6C6DAB5C" w14:textId="77777777" w:rsidR="002C0FD9" w:rsidRPr="00CA25CF" w:rsidRDefault="002C0FD9" w:rsidP="00CA25CF">
            <w:pPr>
              <w:rPr>
                <w:rFonts w:cs="Arial"/>
                <w:color w:val="FF0000"/>
                <w:sz w:val="21"/>
                <w:szCs w:val="21"/>
              </w:rPr>
            </w:pPr>
          </w:p>
        </w:tc>
      </w:tr>
      <w:tr w:rsidR="002C0FD9" w:rsidRPr="00A16219" w14:paraId="6D68502A" w14:textId="4F7C9676" w:rsidTr="002C0FD9">
        <w:trPr>
          <w:trHeight w:val="635"/>
        </w:trPr>
        <w:tc>
          <w:tcPr>
            <w:tcW w:w="515" w:type="dxa"/>
          </w:tcPr>
          <w:p w14:paraId="72004AC7" w14:textId="77777777" w:rsidR="002C0FD9" w:rsidRPr="00CA25CF" w:rsidRDefault="002C0FD9" w:rsidP="00CA25CF">
            <w:pPr>
              <w:rPr>
                <w:rFonts w:cs="Arial"/>
                <w:color w:val="FF0000"/>
                <w:sz w:val="21"/>
                <w:szCs w:val="21"/>
              </w:rPr>
            </w:pPr>
          </w:p>
        </w:tc>
        <w:tc>
          <w:tcPr>
            <w:tcW w:w="217" w:type="dxa"/>
          </w:tcPr>
          <w:p w14:paraId="523BDA35" w14:textId="77777777" w:rsidR="002C0FD9" w:rsidRPr="00CA25CF" w:rsidRDefault="002C0FD9" w:rsidP="00CA25CF">
            <w:pPr>
              <w:rPr>
                <w:rFonts w:cs="Arial"/>
                <w:color w:val="FF0000"/>
                <w:sz w:val="21"/>
                <w:szCs w:val="21"/>
              </w:rPr>
            </w:pPr>
          </w:p>
        </w:tc>
        <w:tc>
          <w:tcPr>
            <w:tcW w:w="217" w:type="dxa"/>
          </w:tcPr>
          <w:p w14:paraId="1041B313" w14:textId="3527C84C" w:rsidR="002C0FD9" w:rsidRPr="00CA25CF" w:rsidRDefault="002C0FD9" w:rsidP="00CA25CF">
            <w:pPr>
              <w:rPr>
                <w:rFonts w:cs="Arial"/>
                <w:color w:val="FF0000"/>
                <w:sz w:val="21"/>
                <w:szCs w:val="21"/>
              </w:rPr>
            </w:pPr>
          </w:p>
        </w:tc>
        <w:tc>
          <w:tcPr>
            <w:tcW w:w="217" w:type="dxa"/>
          </w:tcPr>
          <w:p w14:paraId="437FA044" w14:textId="77777777" w:rsidR="002C0FD9" w:rsidRPr="00CA25CF" w:rsidRDefault="002C0FD9" w:rsidP="00CA25CF">
            <w:pPr>
              <w:rPr>
                <w:rFonts w:cs="Arial"/>
                <w:color w:val="FF0000"/>
                <w:sz w:val="21"/>
                <w:szCs w:val="21"/>
              </w:rPr>
            </w:pPr>
          </w:p>
        </w:tc>
        <w:tc>
          <w:tcPr>
            <w:tcW w:w="217" w:type="dxa"/>
          </w:tcPr>
          <w:p w14:paraId="12342BAB" w14:textId="77777777" w:rsidR="002C0FD9" w:rsidRPr="00CA25CF" w:rsidRDefault="002C0FD9" w:rsidP="00CA25CF">
            <w:pPr>
              <w:rPr>
                <w:rFonts w:cs="Arial"/>
                <w:color w:val="FF0000"/>
                <w:sz w:val="21"/>
                <w:szCs w:val="21"/>
              </w:rPr>
            </w:pPr>
          </w:p>
        </w:tc>
        <w:tc>
          <w:tcPr>
            <w:tcW w:w="217" w:type="dxa"/>
          </w:tcPr>
          <w:p w14:paraId="767C063A" w14:textId="77777777" w:rsidR="002C0FD9" w:rsidRPr="00CA25CF" w:rsidRDefault="002C0FD9" w:rsidP="00CA25CF">
            <w:pPr>
              <w:rPr>
                <w:rFonts w:cs="Arial"/>
                <w:color w:val="FF0000"/>
                <w:sz w:val="21"/>
                <w:szCs w:val="21"/>
              </w:rPr>
            </w:pPr>
          </w:p>
        </w:tc>
        <w:tc>
          <w:tcPr>
            <w:tcW w:w="217" w:type="dxa"/>
          </w:tcPr>
          <w:p w14:paraId="0F07C760" w14:textId="77777777" w:rsidR="002C0FD9" w:rsidRPr="00CA25CF" w:rsidRDefault="002C0FD9" w:rsidP="00CA25CF">
            <w:pPr>
              <w:rPr>
                <w:rFonts w:cs="Arial"/>
                <w:color w:val="FF0000"/>
                <w:sz w:val="21"/>
                <w:szCs w:val="21"/>
              </w:rPr>
            </w:pPr>
          </w:p>
        </w:tc>
        <w:tc>
          <w:tcPr>
            <w:tcW w:w="217" w:type="dxa"/>
          </w:tcPr>
          <w:p w14:paraId="38785B5B" w14:textId="77777777" w:rsidR="002C0FD9" w:rsidRPr="00CA25CF" w:rsidRDefault="002C0FD9" w:rsidP="00CA25CF">
            <w:pPr>
              <w:rPr>
                <w:rFonts w:cs="Arial"/>
                <w:color w:val="FF0000"/>
                <w:sz w:val="21"/>
                <w:szCs w:val="21"/>
              </w:rPr>
            </w:pPr>
          </w:p>
        </w:tc>
        <w:tc>
          <w:tcPr>
            <w:tcW w:w="217" w:type="dxa"/>
          </w:tcPr>
          <w:p w14:paraId="7C5595B6" w14:textId="77777777" w:rsidR="002C0FD9" w:rsidRPr="00CA25CF" w:rsidRDefault="002C0FD9" w:rsidP="00CA25CF">
            <w:pPr>
              <w:rPr>
                <w:rFonts w:cs="Arial"/>
                <w:color w:val="FF0000"/>
                <w:sz w:val="21"/>
                <w:szCs w:val="21"/>
              </w:rPr>
            </w:pPr>
          </w:p>
        </w:tc>
        <w:tc>
          <w:tcPr>
            <w:tcW w:w="217" w:type="dxa"/>
          </w:tcPr>
          <w:p w14:paraId="7A5D5748" w14:textId="77777777" w:rsidR="002C0FD9" w:rsidRPr="00CA25CF" w:rsidRDefault="002C0FD9" w:rsidP="00CA25CF">
            <w:pPr>
              <w:rPr>
                <w:rFonts w:cs="Arial"/>
                <w:color w:val="FF0000"/>
                <w:sz w:val="21"/>
                <w:szCs w:val="21"/>
              </w:rPr>
            </w:pPr>
          </w:p>
        </w:tc>
        <w:tc>
          <w:tcPr>
            <w:tcW w:w="217" w:type="dxa"/>
          </w:tcPr>
          <w:p w14:paraId="69EA6236" w14:textId="77777777" w:rsidR="002C0FD9" w:rsidRPr="00CA25CF" w:rsidRDefault="002C0FD9" w:rsidP="00CA25CF">
            <w:pPr>
              <w:rPr>
                <w:rFonts w:cs="Arial"/>
                <w:color w:val="FF0000"/>
                <w:sz w:val="21"/>
                <w:szCs w:val="21"/>
              </w:rPr>
            </w:pPr>
          </w:p>
        </w:tc>
        <w:tc>
          <w:tcPr>
            <w:tcW w:w="217" w:type="dxa"/>
          </w:tcPr>
          <w:p w14:paraId="5FC69199" w14:textId="77777777" w:rsidR="002C0FD9" w:rsidRPr="00CA25CF" w:rsidRDefault="002C0FD9" w:rsidP="00CA25CF">
            <w:pPr>
              <w:rPr>
                <w:rFonts w:cs="Arial"/>
                <w:color w:val="FF0000"/>
                <w:sz w:val="21"/>
                <w:szCs w:val="21"/>
              </w:rPr>
            </w:pPr>
          </w:p>
        </w:tc>
        <w:tc>
          <w:tcPr>
            <w:tcW w:w="217" w:type="dxa"/>
          </w:tcPr>
          <w:p w14:paraId="5FCC8E92" w14:textId="77777777" w:rsidR="002C0FD9" w:rsidRPr="00CA25CF" w:rsidRDefault="002C0FD9" w:rsidP="00CA25CF">
            <w:pPr>
              <w:rPr>
                <w:rFonts w:cs="Arial"/>
                <w:color w:val="FF0000"/>
                <w:sz w:val="21"/>
                <w:szCs w:val="21"/>
              </w:rPr>
            </w:pPr>
          </w:p>
        </w:tc>
        <w:tc>
          <w:tcPr>
            <w:tcW w:w="217" w:type="dxa"/>
          </w:tcPr>
          <w:p w14:paraId="458657C5" w14:textId="77777777" w:rsidR="002C0FD9" w:rsidRPr="00CA25CF" w:rsidRDefault="002C0FD9" w:rsidP="00CA25CF">
            <w:pPr>
              <w:rPr>
                <w:rFonts w:cs="Arial"/>
                <w:color w:val="FF0000"/>
                <w:sz w:val="21"/>
                <w:szCs w:val="21"/>
              </w:rPr>
            </w:pPr>
          </w:p>
        </w:tc>
        <w:tc>
          <w:tcPr>
            <w:tcW w:w="217" w:type="dxa"/>
          </w:tcPr>
          <w:p w14:paraId="4DE20D83" w14:textId="77777777" w:rsidR="002C0FD9" w:rsidRPr="00CA25CF" w:rsidRDefault="002C0FD9" w:rsidP="00CA25CF">
            <w:pPr>
              <w:rPr>
                <w:rFonts w:cs="Arial"/>
                <w:color w:val="FF0000"/>
                <w:sz w:val="21"/>
                <w:szCs w:val="21"/>
              </w:rPr>
            </w:pPr>
          </w:p>
        </w:tc>
        <w:tc>
          <w:tcPr>
            <w:tcW w:w="217" w:type="dxa"/>
          </w:tcPr>
          <w:p w14:paraId="742D3879" w14:textId="77777777" w:rsidR="002C0FD9" w:rsidRPr="00CA25CF" w:rsidRDefault="002C0FD9" w:rsidP="00CA25CF">
            <w:pPr>
              <w:rPr>
                <w:rFonts w:cs="Arial"/>
                <w:color w:val="FF0000"/>
                <w:sz w:val="21"/>
                <w:szCs w:val="21"/>
              </w:rPr>
            </w:pPr>
          </w:p>
        </w:tc>
        <w:tc>
          <w:tcPr>
            <w:tcW w:w="217" w:type="dxa"/>
          </w:tcPr>
          <w:p w14:paraId="05DC6AA7" w14:textId="77777777" w:rsidR="002C0FD9" w:rsidRPr="00CA25CF" w:rsidRDefault="002C0FD9" w:rsidP="00CA25CF">
            <w:pPr>
              <w:rPr>
                <w:rFonts w:cs="Arial"/>
                <w:color w:val="FF0000"/>
                <w:sz w:val="21"/>
                <w:szCs w:val="21"/>
              </w:rPr>
            </w:pPr>
          </w:p>
        </w:tc>
        <w:tc>
          <w:tcPr>
            <w:tcW w:w="217" w:type="dxa"/>
          </w:tcPr>
          <w:p w14:paraId="73F44355" w14:textId="77777777" w:rsidR="002C0FD9" w:rsidRPr="00CA25CF" w:rsidRDefault="002C0FD9" w:rsidP="00CA25CF">
            <w:pPr>
              <w:rPr>
                <w:rFonts w:cs="Arial"/>
                <w:color w:val="FF0000"/>
                <w:sz w:val="21"/>
                <w:szCs w:val="21"/>
              </w:rPr>
            </w:pPr>
          </w:p>
        </w:tc>
        <w:tc>
          <w:tcPr>
            <w:tcW w:w="217" w:type="dxa"/>
          </w:tcPr>
          <w:p w14:paraId="7CC81CB2" w14:textId="77777777" w:rsidR="002C0FD9" w:rsidRPr="00CA25CF" w:rsidRDefault="002C0FD9" w:rsidP="00CA25CF">
            <w:pPr>
              <w:rPr>
                <w:rFonts w:cs="Arial"/>
                <w:color w:val="FF0000"/>
                <w:sz w:val="21"/>
                <w:szCs w:val="21"/>
              </w:rPr>
            </w:pPr>
          </w:p>
        </w:tc>
        <w:tc>
          <w:tcPr>
            <w:tcW w:w="217" w:type="dxa"/>
          </w:tcPr>
          <w:p w14:paraId="2401CC6E" w14:textId="77777777" w:rsidR="002C0FD9" w:rsidRPr="00CA25CF" w:rsidRDefault="002C0FD9" w:rsidP="00CA25CF">
            <w:pPr>
              <w:rPr>
                <w:rFonts w:cs="Arial"/>
                <w:color w:val="FF0000"/>
                <w:sz w:val="21"/>
                <w:szCs w:val="21"/>
              </w:rPr>
            </w:pPr>
          </w:p>
        </w:tc>
        <w:tc>
          <w:tcPr>
            <w:tcW w:w="217" w:type="dxa"/>
          </w:tcPr>
          <w:p w14:paraId="740C63DC" w14:textId="77777777" w:rsidR="002C0FD9" w:rsidRPr="00CA25CF" w:rsidRDefault="002C0FD9" w:rsidP="00CA25CF">
            <w:pPr>
              <w:rPr>
                <w:rFonts w:cs="Arial"/>
                <w:color w:val="FF0000"/>
                <w:sz w:val="21"/>
                <w:szCs w:val="21"/>
              </w:rPr>
            </w:pPr>
          </w:p>
        </w:tc>
        <w:tc>
          <w:tcPr>
            <w:tcW w:w="217" w:type="dxa"/>
          </w:tcPr>
          <w:p w14:paraId="1A5FEF34" w14:textId="77777777" w:rsidR="002C0FD9" w:rsidRPr="00CA25CF" w:rsidRDefault="002C0FD9" w:rsidP="00CA25CF">
            <w:pPr>
              <w:rPr>
                <w:rFonts w:cs="Arial"/>
                <w:color w:val="FF0000"/>
                <w:sz w:val="21"/>
                <w:szCs w:val="21"/>
              </w:rPr>
            </w:pPr>
          </w:p>
        </w:tc>
        <w:tc>
          <w:tcPr>
            <w:tcW w:w="217" w:type="dxa"/>
          </w:tcPr>
          <w:p w14:paraId="79A5019C" w14:textId="77777777" w:rsidR="002C0FD9" w:rsidRPr="00CA25CF" w:rsidRDefault="002C0FD9" w:rsidP="00CA25CF">
            <w:pPr>
              <w:rPr>
                <w:rFonts w:cs="Arial"/>
                <w:color w:val="FF0000"/>
                <w:sz w:val="21"/>
                <w:szCs w:val="21"/>
              </w:rPr>
            </w:pPr>
          </w:p>
        </w:tc>
        <w:tc>
          <w:tcPr>
            <w:tcW w:w="217" w:type="dxa"/>
          </w:tcPr>
          <w:p w14:paraId="4A3BA838" w14:textId="77777777" w:rsidR="002C0FD9" w:rsidRPr="00CA25CF" w:rsidRDefault="002C0FD9" w:rsidP="00CA25CF">
            <w:pPr>
              <w:rPr>
                <w:rFonts w:cs="Arial"/>
                <w:color w:val="FF0000"/>
                <w:sz w:val="21"/>
                <w:szCs w:val="21"/>
              </w:rPr>
            </w:pPr>
          </w:p>
        </w:tc>
        <w:tc>
          <w:tcPr>
            <w:tcW w:w="217" w:type="dxa"/>
          </w:tcPr>
          <w:p w14:paraId="6DB1516B" w14:textId="77777777" w:rsidR="002C0FD9" w:rsidRPr="00CA25CF" w:rsidRDefault="002C0FD9" w:rsidP="00CA25CF">
            <w:pPr>
              <w:rPr>
                <w:rFonts w:cs="Arial"/>
                <w:color w:val="FF0000"/>
                <w:sz w:val="21"/>
                <w:szCs w:val="21"/>
              </w:rPr>
            </w:pPr>
          </w:p>
        </w:tc>
        <w:tc>
          <w:tcPr>
            <w:tcW w:w="217" w:type="dxa"/>
          </w:tcPr>
          <w:p w14:paraId="468D7759" w14:textId="77777777" w:rsidR="002C0FD9" w:rsidRPr="00CA25CF" w:rsidRDefault="002C0FD9" w:rsidP="00CA25CF">
            <w:pPr>
              <w:rPr>
                <w:rFonts w:cs="Arial"/>
                <w:color w:val="FF0000"/>
                <w:sz w:val="21"/>
                <w:szCs w:val="21"/>
              </w:rPr>
            </w:pPr>
          </w:p>
        </w:tc>
        <w:tc>
          <w:tcPr>
            <w:tcW w:w="217" w:type="dxa"/>
          </w:tcPr>
          <w:p w14:paraId="3C286660" w14:textId="77777777" w:rsidR="002C0FD9" w:rsidRPr="00CA25CF" w:rsidRDefault="002C0FD9" w:rsidP="00CA25CF">
            <w:pPr>
              <w:rPr>
                <w:rFonts w:cs="Arial"/>
                <w:color w:val="FF0000"/>
                <w:sz w:val="21"/>
                <w:szCs w:val="21"/>
              </w:rPr>
            </w:pPr>
          </w:p>
        </w:tc>
        <w:tc>
          <w:tcPr>
            <w:tcW w:w="217" w:type="dxa"/>
          </w:tcPr>
          <w:p w14:paraId="74EC50EE" w14:textId="77777777" w:rsidR="002C0FD9" w:rsidRPr="00CA25CF" w:rsidRDefault="002C0FD9" w:rsidP="00CA25CF">
            <w:pPr>
              <w:rPr>
                <w:rFonts w:cs="Arial"/>
                <w:color w:val="FF0000"/>
                <w:sz w:val="21"/>
                <w:szCs w:val="21"/>
              </w:rPr>
            </w:pPr>
          </w:p>
        </w:tc>
        <w:tc>
          <w:tcPr>
            <w:tcW w:w="217" w:type="dxa"/>
          </w:tcPr>
          <w:p w14:paraId="28E9B56C" w14:textId="77777777" w:rsidR="002C0FD9" w:rsidRPr="00CA25CF" w:rsidRDefault="002C0FD9" w:rsidP="00CA25CF">
            <w:pPr>
              <w:rPr>
                <w:rFonts w:cs="Arial"/>
                <w:color w:val="FF0000"/>
                <w:sz w:val="21"/>
                <w:szCs w:val="21"/>
              </w:rPr>
            </w:pPr>
          </w:p>
        </w:tc>
        <w:tc>
          <w:tcPr>
            <w:tcW w:w="217" w:type="dxa"/>
          </w:tcPr>
          <w:p w14:paraId="28E1A68F" w14:textId="77777777" w:rsidR="002C0FD9" w:rsidRPr="00CA25CF" w:rsidRDefault="002C0FD9" w:rsidP="00CA25CF">
            <w:pPr>
              <w:rPr>
                <w:rFonts w:cs="Arial"/>
                <w:color w:val="FF0000"/>
                <w:sz w:val="21"/>
                <w:szCs w:val="21"/>
              </w:rPr>
            </w:pPr>
          </w:p>
        </w:tc>
        <w:tc>
          <w:tcPr>
            <w:tcW w:w="217" w:type="dxa"/>
          </w:tcPr>
          <w:p w14:paraId="73BF89DF" w14:textId="77777777" w:rsidR="002C0FD9" w:rsidRPr="00CA25CF" w:rsidRDefault="002C0FD9" w:rsidP="00CA25CF">
            <w:pPr>
              <w:rPr>
                <w:rFonts w:cs="Arial"/>
                <w:color w:val="FF0000"/>
                <w:sz w:val="21"/>
                <w:szCs w:val="21"/>
              </w:rPr>
            </w:pPr>
          </w:p>
        </w:tc>
        <w:tc>
          <w:tcPr>
            <w:tcW w:w="217" w:type="dxa"/>
          </w:tcPr>
          <w:p w14:paraId="16192C9F" w14:textId="77777777" w:rsidR="002C0FD9" w:rsidRPr="00CA25CF" w:rsidRDefault="002C0FD9" w:rsidP="00CA25CF">
            <w:pPr>
              <w:rPr>
                <w:rFonts w:cs="Arial"/>
                <w:color w:val="FF0000"/>
                <w:sz w:val="21"/>
                <w:szCs w:val="21"/>
              </w:rPr>
            </w:pPr>
          </w:p>
        </w:tc>
        <w:tc>
          <w:tcPr>
            <w:tcW w:w="217" w:type="dxa"/>
          </w:tcPr>
          <w:p w14:paraId="5ED185EF" w14:textId="77777777" w:rsidR="002C0FD9" w:rsidRPr="00CA25CF" w:rsidRDefault="002C0FD9" w:rsidP="00CA25CF">
            <w:pPr>
              <w:rPr>
                <w:rFonts w:cs="Arial"/>
                <w:color w:val="FF0000"/>
                <w:sz w:val="21"/>
                <w:szCs w:val="21"/>
              </w:rPr>
            </w:pPr>
          </w:p>
        </w:tc>
        <w:tc>
          <w:tcPr>
            <w:tcW w:w="217" w:type="dxa"/>
          </w:tcPr>
          <w:p w14:paraId="270C082E" w14:textId="77777777" w:rsidR="002C0FD9" w:rsidRPr="00CA25CF" w:rsidRDefault="002C0FD9" w:rsidP="00CA25CF">
            <w:pPr>
              <w:rPr>
                <w:rFonts w:cs="Arial"/>
                <w:color w:val="FF0000"/>
                <w:sz w:val="21"/>
                <w:szCs w:val="21"/>
              </w:rPr>
            </w:pPr>
          </w:p>
        </w:tc>
        <w:tc>
          <w:tcPr>
            <w:tcW w:w="217" w:type="dxa"/>
          </w:tcPr>
          <w:p w14:paraId="13A284D6" w14:textId="77777777" w:rsidR="002C0FD9" w:rsidRPr="00CA25CF" w:rsidRDefault="002C0FD9" w:rsidP="00CA25CF">
            <w:pPr>
              <w:rPr>
                <w:rFonts w:cs="Arial"/>
                <w:color w:val="FF0000"/>
                <w:sz w:val="21"/>
                <w:szCs w:val="21"/>
              </w:rPr>
            </w:pPr>
          </w:p>
        </w:tc>
        <w:tc>
          <w:tcPr>
            <w:tcW w:w="217" w:type="dxa"/>
          </w:tcPr>
          <w:p w14:paraId="5CCEBB17" w14:textId="77777777" w:rsidR="002C0FD9" w:rsidRPr="00CA25CF" w:rsidRDefault="002C0FD9" w:rsidP="00CA25CF">
            <w:pPr>
              <w:rPr>
                <w:rFonts w:cs="Arial"/>
                <w:color w:val="FF0000"/>
                <w:sz w:val="21"/>
                <w:szCs w:val="21"/>
              </w:rPr>
            </w:pPr>
          </w:p>
        </w:tc>
        <w:tc>
          <w:tcPr>
            <w:tcW w:w="217" w:type="dxa"/>
          </w:tcPr>
          <w:p w14:paraId="01EC47C9" w14:textId="77777777" w:rsidR="002C0FD9" w:rsidRPr="00CA25CF" w:rsidRDefault="002C0FD9" w:rsidP="00CA25CF">
            <w:pPr>
              <w:rPr>
                <w:rFonts w:cs="Arial"/>
                <w:color w:val="FF0000"/>
                <w:sz w:val="21"/>
                <w:szCs w:val="21"/>
              </w:rPr>
            </w:pPr>
          </w:p>
        </w:tc>
        <w:tc>
          <w:tcPr>
            <w:tcW w:w="217" w:type="dxa"/>
          </w:tcPr>
          <w:p w14:paraId="608AA91C" w14:textId="77777777" w:rsidR="002C0FD9" w:rsidRPr="00CA25CF" w:rsidRDefault="002C0FD9" w:rsidP="00CA25CF">
            <w:pPr>
              <w:rPr>
                <w:rFonts w:cs="Arial"/>
                <w:color w:val="FF0000"/>
                <w:sz w:val="21"/>
                <w:szCs w:val="21"/>
              </w:rPr>
            </w:pPr>
          </w:p>
        </w:tc>
        <w:tc>
          <w:tcPr>
            <w:tcW w:w="217" w:type="dxa"/>
          </w:tcPr>
          <w:p w14:paraId="42866EC4" w14:textId="77777777" w:rsidR="002C0FD9" w:rsidRPr="00CA25CF" w:rsidRDefault="002C0FD9" w:rsidP="00CA25CF">
            <w:pPr>
              <w:rPr>
                <w:rFonts w:cs="Arial"/>
                <w:color w:val="FF0000"/>
                <w:sz w:val="21"/>
                <w:szCs w:val="21"/>
              </w:rPr>
            </w:pPr>
          </w:p>
        </w:tc>
        <w:tc>
          <w:tcPr>
            <w:tcW w:w="217" w:type="dxa"/>
          </w:tcPr>
          <w:p w14:paraId="3A542CA5" w14:textId="77777777" w:rsidR="002C0FD9" w:rsidRPr="00CA25CF" w:rsidRDefault="002C0FD9" w:rsidP="00CA25CF">
            <w:pPr>
              <w:rPr>
                <w:rFonts w:cs="Arial"/>
                <w:color w:val="FF0000"/>
                <w:sz w:val="21"/>
                <w:szCs w:val="21"/>
              </w:rPr>
            </w:pPr>
          </w:p>
        </w:tc>
        <w:tc>
          <w:tcPr>
            <w:tcW w:w="217" w:type="dxa"/>
          </w:tcPr>
          <w:p w14:paraId="4A418ECE" w14:textId="77777777" w:rsidR="002C0FD9" w:rsidRPr="00CA25CF" w:rsidRDefault="002C0FD9" w:rsidP="00CA25CF">
            <w:pPr>
              <w:rPr>
                <w:rFonts w:cs="Arial"/>
                <w:color w:val="FF0000"/>
                <w:sz w:val="21"/>
                <w:szCs w:val="21"/>
              </w:rPr>
            </w:pPr>
          </w:p>
        </w:tc>
        <w:tc>
          <w:tcPr>
            <w:tcW w:w="217" w:type="dxa"/>
          </w:tcPr>
          <w:p w14:paraId="50105F02" w14:textId="77777777" w:rsidR="002C0FD9" w:rsidRPr="00CA25CF" w:rsidRDefault="002C0FD9" w:rsidP="00CA25CF">
            <w:pPr>
              <w:rPr>
                <w:rFonts w:cs="Arial"/>
                <w:color w:val="FF0000"/>
                <w:sz w:val="21"/>
                <w:szCs w:val="21"/>
              </w:rPr>
            </w:pPr>
          </w:p>
        </w:tc>
        <w:tc>
          <w:tcPr>
            <w:tcW w:w="217" w:type="dxa"/>
          </w:tcPr>
          <w:p w14:paraId="1F19B854" w14:textId="77777777" w:rsidR="002C0FD9" w:rsidRPr="00CA25CF" w:rsidRDefault="002C0FD9" w:rsidP="00CA25CF">
            <w:pPr>
              <w:rPr>
                <w:rFonts w:cs="Arial"/>
                <w:color w:val="FF0000"/>
                <w:sz w:val="21"/>
                <w:szCs w:val="21"/>
              </w:rPr>
            </w:pPr>
          </w:p>
        </w:tc>
      </w:tr>
      <w:tr w:rsidR="002C0FD9" w:rsidRPr="00A16219" w14:paraId="1DD1AB74" w14:textId="16638B61" w:rsidTr="002C0FD9">
        <w:trPr>
          <w:trHeight w:val="635"/>
        </w:trPr>
        <w:tc>
          <w:tcPr>
            <w:tcW w:w="515" w:type="dxa"/>
          </w:tcPr>
          <w:p w14:paraId="55D856E3" w14:textId="77777777" w:rsidR="002C0FD9" w:rsidRPr="00CA25CF" w:rsidRDefault="002C0FD9" w:rsidP="00CA25CF">
            <w:pPr>
              <w:rPr>
                <w:rFonts w:cs="Arial"/>
                <w:color w:val="FF0000"/>
                <w:sz w:val="21"/>
                <w:szCs w:val="21"/>
              </w:rPr>
            </w:pPr>
          </w:p>
        </w:tc>
        <w:tc>
          <w:tcPr>
            <w:tcW w:w="217" w:type="dxa"/>
          </w:tcPr>
          <w:p w14:paraId="2A2DB53D" w14:textId="77777777" w:rsidR="002C0FD9" w:rsidRPr="00CA25CF" w:rsidRDefault="002C0FD9" w:rsidP="00CA25CF">
            <w:pPr>
              <w:rPr>
                <w:rFonts w:cs="Arial"/>
                <w:color w:val="FF0000"/>
                <w:sz w:val="21"/>
                <w:szCs w:val="21"/>
              </w:rPr>
            </w:pPr>
          </w:p>
        </w:tc>
        <w:tc>
          <w:tcPr>
            <w:tcW w:w="217" w:type="dxa"/>
          </w:tcPr>
          <w:p w14:paraId="678A376D" w14:textId="4FAC906E" w:rsidR="002C0FD9" w:rsidRPr="00CA25CF" w:rsidRDefault="002C0FD9" w:rsidP="00CA25CF">
            <w:pPr>
              <w:rPr>
                <w:rFonts w:cs="Arial"/>
                <w:color w:val="FF0000"/>
                <w:sz w:val="21"/>
                <w:szCs w:val="21"/>
              </w:rPr>
            </w:pPr>
          </w:p>
        </w:tc>
        <w:tc>
          <w:tcPr>
            <w:tcW w:w="217" w:type="dxa"/>
          </w:tcPr>
          <w:p w14:paraId="3C7D3F31" w14:textId="77777777" w:rsidR="002C0FD9" w:rsidRPr="00CA25CF" w:rsidRDefault="002C0FD9" w:rsidP="00CA25CF">
            <w:pPr>
              <w:rPr>
                <w:rFonts w:cs="Arial"/>
                <w:color w:val="FF0000"/>
                <w:sz w:val="21"/>
                <w:szCs w:val="21"/>
              </w:rPr>
            </w:pPr>
          </w:p>
        </w:tc>
        <w:tc>
          <w:tcPr>
            <w:tcW w:w="217" w:type="dxa"/>
          </w:tcPr>
          <w:p w14:paraId="2BEE188A" w14:textId="77777777" w:rsidR="002C0FD9" w:rsidRPr="00CA25CF" w:rsidRDefault="002C0FD9" w:rsidP="00CA25CF">
            <w:pPr>
              <w:rPr>
                <w:rFonts w:cs="Arial"/>
                <w:color w:val="FF0000"/>
                <w:sz w:val="21"/>
                <w:szCs w:val="21"/>
              </w:rPr>
            </w:pPr>
          </w:p>
        </w:tc>
        <w:tc>
          <w:tcPr>
            <w:tcW w:w="217" w:type="dxa"/>
          </w:tcPr>
          <w:p w14:paraId="68302286" w14:textId="77777777" w:rsidR="002C0FD9" w:rsidRPr="00CA25CF" w:rsidRDefault="002C0FD9" w:rsidP="00CA25CF">
            <w:pPr>
              <w:rPr>
                <w:rFonts w:cs="Arial"/>
                <w:color w:val="FF0000"/>
                <w:sz w:val="21"/>
                <w:szCs w:val="21"/>
              </w:rPr>
            </w:pPr>
          </w:p>
        </w:tc>
        <w:tc>
          <w:tcPr>
            <w:tcW w:w="217" w:type="dxa"/>
          </w:tcPr>
          <w:p w14:paraId="19A957F5" w14:textId="77777777" w:rsidR="002C0FD9" w:rsidRPr="00CA25CF" w:rsidRDefault="002C0FD9" w:rsidP="00CA25CF">
            <w:pPr>
              <w:rPr>
                <w:rFonts w:cs="Arial"/>
                <w:color w:val="FF0000"/>
                <w:sz w:val="21"/>
                <w:szCs w:val="21"/>
              </w:rPr>
            </w:pPr>
          </w:p>
        </w:tc>
        <w:tc>
          <w:tcPr>
            <w:tcW w:w="217" w:type="dxa"/>
          </w:tcPr>
          <w:p w14:paraId="10A00D5A" w14:textId="77777777" w:rsidR="002C0FD9" w:rsidRPr="00CA25CF" w:rsidRDefault="002C0FD9" w:rsidP="00CA25CF">
            <w:pPr>
              <w:rPr>
                <w:rFonts w:cs="Arial"/>
                <w:color w:val="FF0000"/>
                <w:sz w:val="21"/>
                <w:szCs w:val="21"/>
              </w:rPr>
            </w:pPr>
          </w:p>
        </w:tc>
        <w:tc>
          <w:tcPr>
            <w:tcW w:w="217" w:type="dxa"/>
          </w:tcPr>
          <w:p w14:paraId="672CE3C6" w14:textId="77777777" w:rsidR="002C0FD9" w:rsidRPr="00CA25CF" w:rsidRDefault="002C0FD9" w:rsidP="00CA25CF">
            <w:pPr>
              <w:rPr>
                <w:rFonts w:cs="Arial"/>
                <w:color w:val="FF0000"/>
                <w:sz w:val="21"/>
                <w:szCs w:val="21"/>
              </w:rPr>
            </w:pPr>
          </w:p>
        </w:tc>
        <w:tc>
          <w:tcPr>
            <w:tcW w:w="217" w:type="dxa"/>
          </w:tcPr>
          <w:p w14:paraId="402B17F8" w14:textId="77777777" w:rsidR="002C0FD9" w:rsidRPr="00CA25CF" w:rsidRDefault="002C0FD9" w:rsidP="00CA25CF">
            <w:pPr>
              <w:rPr>
                <w:rFonts w:cs="Arial"/>
                <w:color w:val="FF0000"/>
                <w:sz w:val="21"/>
                <w:szCs w:val="21"/>
              </w:rPr>
            </w:pPr>
          </w:p>
        </w:tc>
        <w:tc>
          <w:tcPr>
            <w:tcW w:w="217" w:type="dxa"/>
          </w:tcPr>
          <w:p w14:paraId="5043544B" w14:textId="77777777" w:rsidR="002C0FD9" w:rsidRPr="00CA25CF" w:rsidRDefault="002C0FD9" w:rsidP="00CA25CF">
            <w:pPr>
              <w:rPr>
                <w:rFonts w:cs="Arial"/>
                <w:color w:val="FF0000"/>
                <w:sz w:val="21"/>
                <w:szCs w:val="21"/>
              </w:rPr>
            </w:pPr>
          </w:p>
        </w:tc>
        <w:tc>
          <w:tcPr>
            <w:tcW w:w="217" w:type="dxa"/>
          </w:tcPr>
          <w:p w14:paraId="42059ADC" w14:textId="77777777" w:rsidR="002C0FD9" w:rsidRPr="00CA25CF" w:rsidRDefault="002C0FD9" w:rsidP="00CA25CF">
            <w:pPr>
              <w:rPr>
                <w:rFonts w:cs="Arial"/>
                <w:color w:val="FF0000"/>
                <w:sz w:val="21"/>
                <w:szCs w:val="21"/>
              </w:rPr>
            </w:pPr>
          </w:p>
        </w:tc>
        <w:tc>
          <w:tcPr>
            <w:tcW w:w="217" w:type="dxa"/>
          </w:tcPr>
          <w:p w14:paraId="6C12CD0D" w14:textId="77777777" w:rsidR="002C0FD9" w:rsidRPr="00CA25CF" w:rsidRDefault="002C0FD9" w:rsidP="00CA25CF">
            <w:pPr>
              <w:rPr>
                <w:rFonts w:cs="Arial"/>
                <w:color w:val="FF0000"/>
                <w:sz w:val="21"/>
                <w:szCs w:val="21"/>
              </w:rPr>
            </w:pPr>
          </w:p>
        </w:tc>
        <w:tc>
          <w:tcPr>
            <w:tcW w:w="217" w:type="dxa"/>
          </w:tcPr>
          <w:p w14:paraId="2851517A" w14:textId="77777777" w:rsidR="002C0FD9" w:rsidRPr="00CA25CF" w:rsidRDefault="002C0FD9" w:rsidP="00CA25CF">
            <w:pPr>
              <w:rPr>
                <w:rFonts w:cs="Arial"/>
                <w:color w:val="FF0000"/>
                <w:sz w:val="21"/>
                <w:szCs w:val="21"/>
              </w:rPr>
            </w:pPr>
          </w:p>
        </w:tc>
        <w:tc>
          <w:tcPr>
            <w:tcW w:w="217" w:type="dxa"/>
          </w:tcPr>
          <w:p w14:paraId="52AF826C" w14:textId="77777777" w:rsidR="002C0FD9" w:rsidRPr="00CA25CF" w:rsidRDefault="002C0FD9" w:rsidP="00CA25CF">
            <w:pPr>
              <w:rPr>
                <w:rFonts w:cs="Arial"/>
                <w:color w:val="FF0000"/>
                <w:sz w:val="21"/>
                <w:szCs w:val="21"/>
              </w:rPr>
            </w:pPr>
          </w:p>
        </w:tc>
        <w:tc>
          <w:tcPr>
            <w:tcW w:w="217" w:type="dxa"/>
          </w:tcPr>
          <w:p w14:paraId="322B3F8E" w14:textId="77777777" w:rsidR="002C0FD9" w:rsidRPr="00CA25CF" w:rsidRDefault="002C0FD9" w:rsidP="00CA25CF">
            <w:pPr>
              <w:rPr>
                <w:rFonts w:cs="Arial"/>
                <w:color w:val="FF0000"/>
                <w:sz w:val="21"/>
                <w:szCs w:val="21"/>
              </w:rPr>
            </w:pPr>
          </w:p>
        </w:tc>
        <w:tc>
          <w:tcPr>
            <w:tcW w:w="217" w:type="dxa"/>
          </w:tcPr>
          <w:p w14:paraId="4031E7A7" w14:textId="77777777" w:rsidR="002C0FD9" w:rsidRPr="00CA25CF" w:rsidRDefault="002C0FD9" w:rsidP="00CA25CF">
            <w:pPr>
              <w:rPr>
                <w:rFonts w:cs="Arial"/>
                <w:color w:val="FF0000"/>
                <w:sz w:val="21"/>
                <w:szCs w:val="21"/>
              </w:rPr>
            </w:pPr>
          </w:p>
        </w:tc>
        <w:tc>
          <w:tcPr>
            <w:tcW w:w="217" w:type="dxa"/>
          </w:tcPr>
          <w:p w14:paraId="5590CCEE" w14:textId="77777777" w:rsidR="002C0FD9" w:rsidRPr="00CA25CF" w:rsidRDefault="002C0FD9" w:rsidP="00CA25CF">
            <w:pPr>
              <w:rPr>
                <w:rFonts w:cs="Arial"/>
                <w:color w:val="FF0000"/>
                <w:sz w:val="21"/>
                <w:szCs w:val="21"/>
              </w:rPr>
            </w:pPr>
          </w:p>
        </w:tc>
        <w:tc>
          <w:tcPr>
            <w:tcW w:w="217" w:type="dxa"/>
          </w:tcPr>
          <w:p w14:paraId="2F12A971" w14:textId="77777777" w:rsidR="002C0FD9" w:rsidRPr="00CA25CF" w:rsidRDefault="002C0FD9" w:rsidP="00CA25CF">
            <w:pPr>
              <w:rPr>
                <w:rFonts w:cs="Arial"/>
                <w:color w:val="FF0000"/>
                <w:sz w:val="21"/>
                <w:szCs w:val="21"/>
              </w:rPr>
            </w:pPr>
          </w:p>
        </w:tc>
        <w:tc>
          <w:tcPr>
            <w:tcW w:w="217" w:type="dxa"/>
          </w:tcPr>
          <w:p w14:paraId="79FB2BDD" w14:textId="77777777" w:rsidR="002C0FD9" w:rsidRPr="00CA25CF" w:rsidRDefault="002C0FD9" w:rsidP="00CA25CF">
            <w:pPr>
              <w:rPr>
                <w:rFonts w:cs="Arial"/>
                <w:color w:val="FF0000"/>
                <w:sz w:val="21"/>
                <w:szCs w:val="21"/>
              </w:rPr>
            </w:pPr>
          </w:p>
        </w:tc>
        <w:tc>
          <w:tcPr>
            <w:tcW w:w="217" w:type="dxa"/>
          </w:tcPr>
          <w:p w14:paraId="33CEB8FE" w14:textId="77777777" w:rsidR="002C0FD9" w:rsidRPr="00CA25CF" w:rsidRDefault="002C0FD9" w:rsidP="00CA25CF">
            <w:pPr>
              <w:rPr>
                <w:rFonts w:cs="Arial"/>
                <w:color w:val="FF0000"/>
                <w:sz w:val="21"/>
                <w:szCs w:val="21"/>
              </w:rPr>
            </w:pPr>
          </w:p>
        </w:tc>
        <w:tc>
          <w:tcPr>
            <w:tcW w:w="217" w:type="dxa"/>
          </w:tcPr>
          <w:p w14:paraId="1C9BBDEB" w14:textId="77777777" w:rsidR="002C0FD9" w:rsidRPr="00CA25CF" w:rsidRDefault="002C0FD9" w:rsidP="00CA25CF">
            <w:pPr>
              <w:rPr>
                <w:rFonts w:cs="Arial"/>
                <w:color w:val="FF0000"/>
                <w:sz w:val="21"/>
                <w:szCs w:val="21"/>
              </w:rPr>
            </w:pPr>
          </w:p>
        </w:tc>
        <w:tc>
          <w:tcPr>
            <w:tcW w:w="217" w:type="dxa"/>
          </w:tcPr>
          <w:p w14:paraId="03E6D0C6" w14:textId="77777777" w:rsidR="002C0FD9" w:rsidRPr="00CA25CF" w:rsidRDefault="002C0FD9" w:rsidP="00CA25CF">
            <w:pPr>
              <w:rPr>
                <w:rFonts w:cs="Arial"/>
                <w:color w:val="FF0000"/>
                <w:sz w:val="21"/>
                <w:szCs w:val="21"/>
              </w:rPr>
            </w:pPr>
          </w:p>
        </w:tc>
        <w:tc>
          <w:tcPr>
            <w:tcW w:w="217" w:type="dxa"/>
          </w:tcPr>
          <w:p w14:paraId="48E3E8D0" w14:textId="77777777" w:rsidR="002C0FD9" w:rsidRPr="00CA25CF" w:rsidRDefault="002C0FD9" w:rsidP="00CA25CF">
            <w:pPr>
              <w:rPr>
                <w:rFonts w:cs="Arial"/>
                <w:color w:val="FF0000"/>
                <w:sz w:val="21"/>
                <w:szCs w:val="21"/>
              </w:rPr>
            </w:pPr>
          </w:p>
        </w:tc>
        <w:tc>
          <w:tcPr>
            <w:tcW w:w="217" w:type="dxa"/>
          </w:tcPr>
          <w:p w14:paraId="6A6745D5" w14:textId="77777777" w:rsidR="002C0FD9" w:rsidRPr="00CA25CF" w:rsidRDefault="002C0FD9" w:rsidP="00CA25CF">
            <w:pPr>
              <w:rPr>
                <w:rFonts w:cs="Arial"/>
                <w:color w:val="FF0000"/>
                <w:sz w:val="21"/>
                <w:szCs w:val="21"/>
              </w:rPr>
            </w:pPr>
          </w:p>
        </w:tc>
        <w:tc>
          <w:tcPr>
            <w:tcW w:w="217" w:type="dxa"/>
          </w:tcPr>
          <w:p w14:paraId="16EEE728" w14:textId="77777777" w:rsidR="002C0FD9" w:rsidRPr="00CA25CF" w:rsidRDefault="002C0FD9" w:rsidP="00CA25CF">
            <w:pPr>
              <w:rPr>
                <w:rFonts w:cs="Arial"/>
                <w:color w:val="FF0000"/>
                <w:sz w:val="21"/>
                <w:szCs w:val="21"/>
              </w:rPr>
            </w:pPr>
          </w:p>
        </w:tc>
        <w:tc>
          <w:tcPr>
            <w:tcW w:w="217" w:type="dxa"/>
          </w:tcPr>
          <w:p w14:paraId="662696C9" w14:textId="77777777" w:rsidR="002C0FD9" w:rsidRPr="00CA25CF" w:rsidRDefault="002C0FD9" w:rsidP="00CA25CF">
            <w:pPr>
              <w:rPr>
                <w:rFonts w:cs="Arial"/>
                <w:color w:val="FF0000"/>
                <w:sz w:val="21"/>
                <w:szCs w:val="21"/>
              </w:rPr>
            </w:pPr>
          </w:p>
        </w:tc>
        <w:tc>
          <w:tcPr>
            <w:tcW w:w="217" w:type="dxa"/>
          </w:tcPr>
          <w:p w14:paraId="71739221" w14:textId="77777777" w:rsidR="002C0FD9" w:rsidRPr="00CA25CF" w:rsidRDefault="002C0FD9" w:rsidP="00CA25CF">
            <w:pPr>
              <w:rPr>
                <w:rFonts w:cs="Arial"/>
                <w:color w:val="FF0000"/>
                <w:sz w:val="21"/>
                <w:szCs w:val="21"/>
              </w:rPr>
            </w:pPr>
          </w:p>
        </w:tc>
        <w:tc>
          <w:tcPr>
            <w:tcW w:w="217" w:type="dxa"/>
          </w:tcPr>
          <w:p w14:paraId="79B9F884" w14:textId="77777777" w:rsidR="002C0FD9" w:rsidRPr="00CA25CF" w:rsidRDefault="002C0FD9" w:rsidP="00CA25CF">
            <w:pPr>
              <w:rPr>
                <w:rFonts w:cs="Arial"/>
                <w:color w:val="FF0000"/>
                <w:sz w:val="21"/>
                <w:szCs w:val="21"/>
              </w:rPr>
            </w:pPr>
          </w:p>
        </w:tc>
        <w:tc>
          <w:tcPr>
            <w:tcW w:w="217" w:type="dxa"/>
          </w:tcPr>
          <w:p w14:paraId="6E7FDBCF" w14:textId="77777777" w:rsidR="002C0FD9" w:rsidRPr="00CA25CF" w:rsidRDefault="002C0FD9" w:rsidP="00CA25CF">
            <w:pPr>
              <w:rPr>
                <w:rFonts w:cs="Arial"/>
                <w:color w:val="FF0000"/>
                <w:sz w:val="21"/>
                <w:szCs w:val="21"/>
              </w:rPr>
            </w:pPr>
          </w:p>
        </w:tc>
        <w:tc>
          <w:tcPr>
            <w:tcW w:w="217" w:type="dxa"/>
          </w:tcPr>
          <w:p w14:paraId="3A2077C8" w14:textId="77777777" w:rsidR="002C0FD9" w:rsidRPr="00CA25CF" w:rsidRDefault="002C0FD9" w:rsidP="00CA25CF">
            <w:pPr>
              <w:rPr>
                <w:rFonts w:cs="Arial"/>
                <w:color w:val="FF0000"/>
                <w:sz w:val="21"/>
                <w:szCs w:val="21"/>
              </w:rPr>
            </w:pPr>
          </w:p>
        </w:tc>
        <w:tc>
          <w:tcPr>
            <w:tcW w:w="217" w:type="dxa"/>
          </w:tcPr>
          <w:p w14:paraId="0A9FF692" w14:textId="77777777" w:rsidR="002C0FD9" w:rsidRPr="00CA25CF" w:rsidRDefault="002C0FD9" w:rsidP="00CA25CF">
            <w:pPr>
              <w:rPr>
                <w:rFonts w:cs="Arial"/>
                <w:color w:val="FF0000"/>
                <w:sz w:val="21"/>
                <w:szCs w:val="21"/>
              </w:rPr>
            </w:pPr>
          </w:p>
        </w:tc>
        <w:tc>
          <w:tcPr>
            <w:tcW w:w="217" w:type="dxa"/>
          </w:tcPr>
          <w:p w14:paraId="35C2FA62" w14:textId="77777777" w:rsidR="002C0FD9" w:rsidRPr="00CA25CF" w:rsidRDefault="002C0FD9" w:rsidP="00CA25CF">
            <w:pPr>
              <w:rPr>
                <w:rFonts w:cs="Arial"/>
                <w:color w:val="FF0000"/>
                <w:sz w:val="21"/>
                <w:szCs w:val="21"/>
              </w:rPr>
            </w:pPr>
          </w:p>
        </w:tc>
        <w:tc>
          <w:tcPr>
            <w:tcW w:w="217" w:type="dxa"/>
          </w:tcPr>
          <w:p w14:paraId="140C560C" w14:textId="77777777" w:rsidR="002C0FD9" w:rsidRPr="00CA25CF" w:rsidRDefault="002C0FD9" w:rsidP="00CA25CF">
            <w:pPr>
              <w:rPr>
                <w:rFonts w:cs="Arial"/>
                <w:color w:val="FF0000"/>
                <w:sz w:val="21"/>
                <w:szCs w:val="21"/>
              </w:rPr>
            </w:pPr>
          </w:p>
        </w:tc>
        <w:tc>
          <w:tcPr>
            <w:tcW w:w="217" w:type="dxa"/>
          </w:tcPr>
          <w:p w14:paraId="384DD909" w14:textId="77777777" w:rsidR="002C0FD9" w:rsidRPr="00CA25CF" w:rsidRDefault="002C0FD9" w:rsidP="00CA25CF">
            <w:pPr>
              <w:rPr>
                <w:rFonts w:cs="Arial"/>
                <w:color w:val="FF0000"/>
                <w:sz w:val="21"/>
                <w:szCs w:val="21"/>
              </w:rPr>
            </w:pPr>
          </w:p>
        </w:tc>
        <w:tc>
          <w:tcPr>
            <w:tcW w:w="217" w:type="dxa"/>
          </w:tcPr>
          <w:p w14:paraId="1D8BFD79" w14:textId="77777777" w:rsidR="002C0FD9" w:rsidRPr="00CA25CF" w:rsidRDefault="002C0FD9" w:rsidP="00CA25CF">
            <w:pPr>
              <w:rPr>
                <w:rFonts w:cs="Arial"/>
                <w:color w:val="FF0000"/>
                <w:sz w:val="21"/>
                <w:szCs w:val="21"/>
              </w:rPr>
            </w:pPr>
          </w:p>
        </w:tc>
        <w:tc>
          <w:tcPr>
            <w:tcW w:w="217" w:type="dxa"/>
          </w:tcPr>
          <w:p w14:paraId="1E87BE36" w14:textId="77777777" w:rsidR="002C0FD9" w:rsidRPr="00CA25CF" w:rsidRDefault="002C0FD9" w:rsidP="00CA25CF">
            <w:pPr>
              <w:rPr>
                <w:rFonts w:cs="Arial"/>
                <w:color w:val="FF0000"/>
                <w:sz w:val="21"/>
                <w:szCs w:val="21"/>
              </w:rPr>
            </w:pPr>
          </w:p>
        </w:tc>
        <w:tc>
          <w:tcPr>
            <w:tcW w:w="217" w:type="dxa"/>
          </w:tcPr>
          <w:p w14:paraId="5898DA62" w14:textId="77777777" w:rsidR="002C0FD9" w:rsidRPr="00CA25CF" w:rsidRDefault="002C0FD9" w:rsidP="00CA25CF">
            <w:pPr>
              <w:rPr>
                <w:rFonts w:cs="Arial"/>
                <w:color w:val="FF0000"/>
                <w:sz w:val="21"/>
                <w:szCs w:val="21"/>
              </w:rPr>
            </w:pPr>
          </w:p>
        </w:tc>
        <w:tc>
          <w:tcPr>
            <w:tcW w:w="217" w:type="dxa"/>
          </w:tcPr>
          <w:p w14:paraId="7AFEC75A" w14:textId="77777777" w:rsidR="002C0FD9" w:rsidRPr="00CA25CF" w:rsidRDefault="002C0FD9" w:rsidP="00CA25CF">
            <w:pPr>
              <w:rPr>
                <w:rFonts w:cs="Arial"/>
                <w:color w:val="FF0000"/>
                <w:sz w:val="21"/>
                <w:szCs w:val="21"/>
              </w:rPr>
            </w:pPr>
          </w:p>
        </w:tc>
        <w:tc>
          <w:tcPr>
            <w:tcW w:w="217" w:type="dxa"/>
          </w:tcPr>
          <w:p w14:paraId="1B32BB2A" w14:textId="77777777" w:rsidR="002C0FD9" w:rsidRPr="00CA25CF" w:rsidRDefault="002C0FD9" w:rsidP="00CA25CF">
            <w:pPr>
              <w:rPr>
                <w:rFonts w:cs="Arial"/>
                <w:color w:val="FF0000"/>
                <w:sz w:val="21"/>
                <w:szCs w:val="21"/>
              </w:rPr>
            </w:pPr>
          </w:p>
        </w:tc>
        <w:tc>
          <w:tcPr>
            <w:tcW w:w="217" w:type="dxa"/>
          </w:tcPr>
          <w:p w14:paraId="0442EA4A" w14:textId="77777777" w:rsidR="002C0FD9" w:rsidRPr="00CA25CF" w:rsidRDefault="002C0FD9" w:rsidP="00CA25CF">
            <w:pPr>
              <w:rPr>
                <w:rFonts w:cs="Arial"/>
                <w:color w:val="FF0000"/>
                <w:sz w:val="21"/>
                <w:szCs w:val="21"/>
              </w:rPr>
            </w:pPr>
          </w:p>
        </w:tc>
        <w:tc>
          <w:tcPr>
            <w:tcW w:w="217" w:type="dxa"/>
          </w:tcPr>
          <w:p w14:paraId="1622DCEC" w14:textId="77777777" w:rsidR="002C0FD9" w:rsidRPr="00CA25CF" w:rsidRDefault="002C0FD9" w:rsidP="00CA25CF">
            <w:pPr>
              <w:rPr>
                <w:rFonts w:cs="Arial"/>
                <w:color w:val="FF0000"/>
                <w:sz w:val="21"/>
                <w:szCs w:val="21"/>
              </w:rPr>
            </w:pPr>
          </w:p>
        </w:tc>
        <w:tc>
          <w:tcPr>
            <w:tcW w:w="217" w:type="dxa"/>
          </w:tcPr>
          <w:p w14:paraId="5281FA83" w14:textId="77777777" w:rsidR="002C0FD9" w:rsidRPr="00CA25CF" w:rsidRDefault="002C0FD9" w:rsidP="00CA25CF">
            <w:pPr>
              <w:rPr>
                <w:rFonts w:cs="Arial"/>
                <w:color w:val="FF0000"/>
                <w:sz w:val="21"/>
                <w:szCs w:val="21"/>
              </w:rPr>
            </w:pPr>
          </w:p>
        </w:tc>
      </w:tr>
      <w:tr w:rsidR="002C0FD9" w:rsidRPr="00A16219" w14:paraId="4C0E5702" w14:textId="4550165B" w:rsidTr="002C0FD9">
        <w:trPr>
          <w:trHeight w:val="635"/>
        </w:trPr>
        <w:tc>
          <w:tcPr>
            <w:tcW w:w="515" w:type="dxa"/>
          </w:tcPr>
          <w:p w14:paraId="0FAB34C5" w14:textId="77777777" w:rsidR="002C0FD9" w:rsidRPr="00CA25CF" w:rsidRDefault="002C0FD9" w:rsidP="00CA25CF">
            <w:pPr>
              <w:rPr>
                <w:rFonts w:cs="Arial"/>
                <w:color w:val="FF0000"/>
                <w:sz w:val="21"/>
                <w:szCs w:val="21"/>
              </w:rPr>
            </w:pPr>
          </w:p>
        </w:tc>
        <w:tc>
          <w:tcPr>
            <w:tcW w:w="217" w:type="dxa"/>
          </w:tcPr>
          <w:p w14:paraId="1ADB7414" w14:textId="77777777" w:rsidR="002C0FD9" w:rsidRPr="00CA25CF" w:rsidRDefault="002C0FD9" w:rsidP="00CA25CF">
            <w:pPr>
              <w:rPr>
                <w:rFonts w:cs="Arial"/>
                <w:color w:val="FF0000"/>
                <w:sz w:val="21"/>
                <w:szCs w:val="21"/>
              </w:rPr>
            </w:pPr>
          </w:p>
        </w:tc>
        <w:tc>
          <w:tcPr>
            <w:tcW w:w="217" w:type="dxa"/>
          </w:tcPr>
          <w:p w14:paraId="361422D0" w14:textId="3DF92A60" w:rsidR="002C0FD9" w:rsidRPr="00CA25CF" w:rsidRDefault="002C0FD9" w:rsidP="00CA25CF">
            <w:pPr>
              <w:rPr>
                <w:rFonts w:cs="Arial"/>
                <w:color w:val="FF0000"/>
                <w:sz w:val="21"/>
                <w:szCs w:val="21"/>
              </w:rPr>
            </w:pPr>
          </w:p>
        </w:tc>
        <w:tc>
          <w:tcPr>
            <w:tcW w:w="217" w:type="dxa"/>
          </w:tcPr>
          <w:p w14:paraId="3D8856B6" w14:textId="77777777" w:rsidR="002C0FD9" w:rsidRPr="00CA25CF" w:rsidRDefault="002C0FD9" w:rsidP="00CA25CF">
            <w:pPr>
              <w:rPr>
                <w:rFonts w:cs="Arial"/>
                <w:color w:val="FF0000"/>
                <w:sz w:val="21"/>
                <w:szCs w:val="21"/>
              </w:rPr>
            </w:pPr>
          </w:p>
        </w:tc>
        <w:tc>
          <w:tcPr>
            <w:tcW w:w="217" w:type="dxa"/>
          </w:tcPr>
          <w:p w14:paraId="32735318" w14:textId="77777777" w:rsidR="002C0FD9" w:rsidRPr="00CA25CF" w:rsidRDefault="002C0FD9" w:rsidP="00CA25CF">
            <w:pPr>
              <w:rPr>
                <w:rFonts w:cs="Arial"/>
                <w:color w:val="FF0000"/>
                <w:sz w:val="21"/>
                <w:szCs w:val="21"/>
              </w:rPr>
            </w:pPr>
          </w:p>
        </w:tc>
        <w:tc>
          <w:tcPr>
            <w:tcW w:w="217" w:type="dxa"/>
          </w:tcPr>
          <w:p w14:paraId="0D47846E" w14:textId="77777777" w:rsidR="002C0FD9" w:rsidRPr="00CA25CF" w:rsidRDefault="002C0FD9" w:rsidP="00CA25CF">
            <w:pPr>
              <w:rPr>
                <w:rFonts w:cs="Arial"/>
                <w:color w:val="FF0000"/>
                <w:sz w:val="21"/>
                <w:szCs w:val="21"/>
              </w:rPr>
            </w:pPr>
          </w:p>
        </w:tc>
        <w:tc>
          <w:tcPr>
            <w:tcW w:w="217" w:type="dxa"/>
          </w:tcPr>
          <w:p w14:paraId="0BB03918" w14:textId="77777777" w:rsidR="002C0FD9" w:rsidRPr="00CA25CF" w:rsidRDefault="002C0FD9" w:rsidP="00CA25CF">
            <w:pPr>
              <w:rPr>
                <w:rFonts w:cs="Arial"/>
                <w:color w:val="FF0000"/>
                <w:sz w:val="21"/>
                <w:szCs w:val="21"/>
              </w:rPr>
            </w:pPr>
          </w:p>
        </w:tc>
        <w:tc>
          <w:tcPr>
            <w:tcW w:w="217" w:type="dxa"/>
          </w:tcPr>
          <w:p w14:paraId="028B0BFD" w14:textId="77777777" w:rsidR="002C0FD9" w:rsidRPr="00CA25CF" w:rsidRDefault="002C0FD9" w:rsidP="00CA25CF">
            <w:pPr>
              <w:rPr>
                <w:rFonts w:cs="Arial"/>
                <w:color w:val="FF0000"/>
                <w:sz w:val="21"/>
                <w:szCs w:val="21"/>
              </w:rPr>
            </w:pPr>
          </w:p>
        </w:tc>
        <w:tc>
          <w:tcPr>
            <w:tcW w:w="217" w:type="dxa"/>
          </w:tcPr>
          <w:p w14:paraId="2B579A37" w14:textId="77777777" w:rsidR="002C0FD9" w:rsidRPr="00CA25CF" w:rsidRDefault="002C0FD9" w:rsidP="00CA25CF">
            <w:pPr>
              <w:rPr>
                <w:rFonts w:cs="Arial"/>
                <w:color w:val="FF0000"/>
                <w:sz w:val="21"/>
                <w:szCs w:val="21"/>
              </w:rPr>
            </w:pPr>
          </w:p>
        </w:tc>
        <w:tc>
          <w:tcPr>
            <w:tcW w:w="217" w:type="dxa"/>
          </w:tcPr>
          <w:p w14:paraId="5AC3F763" w14:textId="77777777" w:rsidR="002C0FD9" w:rsidRPr="00CA25CF" w:rsidRDefault="002C0FD9" w:rsidP="00CA25CF">
            <w:pPr>
              <w:rPr>
                <w:rFonts w:cs="Arial"/>
                <w:color w:val="FF0000"/>
                <w:sz w:val="21"/>
                <w:szCs w:val="21"/>
              </w:rPr>
            </w:pPr>
          </w:p>
        </w:tc>
        <w:tc>
          <w:tcPr>
            <w:tcW w:w="217" w:type="dxa"/>
          </w:tcPr>
          <w:p w14:paraId="2AF685C8" w14:textId="77777777" w:rsidR="002C0FD9" w:rsidRPr="00CA25CF" w:rsidRDefault="002C0FD9" w:rsidP="00CA25CF">
            <w:pPr>
              <w:rPr>
                <w:rFonts w:cs="Arial"/>
                <w:color w:val="FF0000"/>
                <w:sz w:val="21"/>
                <w:szCs w:val="21"/>
              </w:rPr>
            </w:pPr>
          </w:p>
        </w:tc>
        <w:tc>
          <w:tcPr>
            <w:tcW w:w="217" w:type="dxa"/>
          </w:tcPr>
          <w:p w14:paraId="4E7703F3" w14:textId="77777777" w:rsidR="002C0FD9" w:rsidRPr="00CA25CF" w:rsidRDefault="002C0FD9" w:rsidP="00CA25CF">
            <w:pPr>
              <w:rPr>
                <w:rFonts w:cs="Arial"/>
                <w:color w:val="FF0000"/>
                <w:sz w:val="21"/>
                <w:szCs w:val="21"/>
              </w:rPr>
            </w:pPr>
          </w:p>
        </w:tc>
        <w:tc>
          <w:tcPr>
            <w:tcW w:w="217" w:type="dxa"/>
          </w:tcPr>
          <w:p w14:paraId="46DF6741" w14:textId="77777777" w:rsidR="002C0FD9" w:rsidRPr="00CA25CF" w:rsidRDefault="002C0FD9" w:rsidP="00CA25CF">
            <w:pPr>
              <w:rPr>
                <w:rFonts w:cs="Arial"/>
                <w:color w:val="FF0000"/>
                <w:sz w:val="21"/>
                <w:szCs w:val="21"/>
              </w:rPr>
            </w:pPr>
          </w:p>
        </w:tc>
        <w:tc>
          <w:tcPr>
            <w:tcW w:w="217" w:type="dxa"/>
          </w:tcPr>
          <w:p w14:paraId="03890AA0" w14:textId="77777777" w:rsidR="002C0FD9" w:rsidRPr="00CA25CF" w:rsidRDefault="002C0FD9" w:rsidP="00CA25CF">
            <w:pPr>
              <w:rPr>
                <w:rFonts w:cs="Arial"/>
                <w:color w:val="FF0000"/>
                <w:sz w:val="21"/>
                <w:szCs w:val="21"/>
              </w:rPr>
            </w:pPr>
          </w:p>
        </w:tc>
        <w:tc>
          <w:tcPr>
            <w:tcW w:w="217" w:type="dxa"/>
          </w:tcPr>
          <w:p w14:paraId="3B693FB7" w14:textId="77777777" w:rsidR="002C0FD9" w:rsidRPr="00CA25CF" w:rsidRDefault="002C0FD9" w:rsidP="00CA25CF">
            <w:pPr>
              <w:rPr>
                <w:rFonts w:cs="Arial"/>
                <w:color w:val="FF0000"/>
                <w:sz w:val="21"/>
                <w:szCs w:val="21"/>
              </w:rPr>
            </w:pPr>
          </w:p>
        </w:tc>
        <w:tc>
          <w:tcPr>
            <w:tcW w:w="217" w:type="dxa"/>
          </w:tcPr>
          <w:p w14:paraId="4FBE3409" w14:textId="77777777" w:rsidR="002C0FD9" w:rsidRPr="00CA25CF" w:rsidRDefault="002C0FD9" w:rsidP="00CA25CF">
            <w:pPr>
              <w:rPr>
                <w:rFonts w:cs="Arial"/>
                <w:color w:val="FF0000"/>
                <w:sz w:val="21"/>
                <w:szCs w:val="21"/>
              </w:rPr>
            </w:pPr>
          </w:p>
        </w:tc>
        <w:tc>
          <w:tcPr>
            <w:tcW w:w="217" w:type="dxa"/>
          </w:tcPr>
          <w:p w14:paraId="4EDF0DF7" w14:textId="77777777" w:rsidR="002C0FD9" w:rsidRPr="00CA25CF" w:rsidRDefault="002C0FD9" w:rsidP="00CA25CF">
            <w:pPr>
              <w:rPr>
                <w:rFonts w:cs="Arial"/>
                <w:color w:val="FF0000"/>
                <w:sz w:val="21"/>
                <w:szCs w:val="21"/>
              </w:rPr>
            </w:pPr>
          </w:p>
        </w:tc>
        <w:tc>
          <w:tcPr>
            <w:tcW w:w="217" w:type="dxa"/>
          </w:tcPr>
          <w:p w14:paraId="5E27AE9F" w14:textId="77777777" w:rsidR="002C0FD9" w:rsidRPr="00CA25CF" w:rsidRDefault="002C0FD9" w:rsidP="00CA25CF">
            <w:pPr>
              <w:rPr>
                <w:rFonts w:cs="Arial"/>
                <w:color w:val="FF0000"/>
                <w:sz w:val="21"/>
                <w:szCs w:val="21"/>
              </w:rPr>
            </w:pPr>
          </w:p>
        </w:tc>
        <w:tc>
          <w:tcPr>
            <w:tcW w:w="217" w:type="dxa"/>
          </w:tcPr>
          <w:p w14:paraId="3362E733" w14:textId="77777777" w:rsidR="002C0FD9" w:rsidRPr="00CA25CF" w:rsidRDefault="002C0FD9" w:rsidP="00CA25CF">
            <w:pPr>
              <w:rPr>
                <w:rFonts w:cs="Arial"/>
                <w:color w:val="FF0000"/>
                <w:sz w:val="21"/>
                <w:szCs w:val="21"/>
              </w:rPr>
            </w:pPr>
          </w:p>
        </w:tc>
        <w:tc>
          <w:tcPr>
            <w:tcW w:w="217" w:type="dxa"/>
          </w:tcPr>
          <w:p w14:paraId="744C5668" w14:textId="77777777" w:rsidR="002C0FD9" w:rsidRPr="00CA25CF" w:rsidRDefault="002C0FD9" w:rsidP="00CA25CF">
            <w:pPr>
              <w:rPr>
                <w:rFonts w:cs="Arial"/>
                <w:color w:val="FF0000"/>
                <w:sz w:val="21"/>
                <w:szCs w:val="21"/>
              </w:rPr>
            </w:pPr>
          </w:p>
        </w:tc>
        <w:tc>
          <w:tcPr>
            <w:tcW w:w="217" w:type="dxa"/>
          </w:tcPr>
          <w:p w14:paraId="2F9BCD8B" w14:textId="77777777" w:rsidR="002C0FD9" w:rsidRPr="00CA25CF" w:rsidRDefault="002C0FD9" w:rsidP="00CA25CF">
            <w:pPr>
              <w:rPr>
                <w:rFonts w:cs="Arial"/>
                <w:color w:val="FF0000"/>
                <w:sz w:val="21"/>
                <w:szCs w:val="21"/>
              </w:rPr>
            </w:pPr>
          </w:p>
        </w:tc>
        <w:tc>
          <w:tcPr>
            <w:tcW w:w="217" w:type="dxa"/>
          </w:tcPr>
          <w:p w14:paraId="0729076B" w14:textId="77777777" w:rsidR="002C0FD9" w:rsidRPr="00CA25CF" w:rsidRDefault="002C0FD9" w:rsidP="00CA25CF">
            <w:pPr>
              <w:rPr>
                <w:rFonts w:cs="Arial"/>
                <w:color w:val="FF0000"/>
                <w:sz w:val="21"/>
                <w:szCs w:val="21"/>
              </w:rPr>
            </w:pPr>
          </w:p>
        </w:tc>
        <w:tc>
          <w:tcPr>
            <w:tcW w:w="217" w:type="dxa"/>
          </w:tcPr>
          <w:p w14:paraId="2C767880" w14:textId="77777777" w:rsidR="002C0FD9" w:rsidRPr="00CA25CF" w:rsidRDefault="002C0FD9" w:rsidP="00CA25CF">
            <w:pPr>
              <w:rPr>
                <w:rFonts w:cs="Arial"/>
                <w:color w:val="FF0000"/>
                <w:sz w:val="21"/>
                <w:szCs w:val="21"/>
              </w:rPr>
            </w:pPr>
          </w:p>
        </w:tc>
        <w:tc>
          <w:tcPr>
            <w:tcW w:w="217" w:type="dxa"/>
          </w:tcPr>
          <w:p w14:paraId="57F99F5D" w14:textId="77777777" w:rsidR="002C0FD9" w:rsidRPr="00CA25CF" w:rsidRDefault="002C0FD9" w:rsidP="00CA25CF">
            <w:pPr>
              <w:rPr>
                <w:rFonts w:cs="Arial"/>
                <w:color w:val="FF0000"/>
                <w:sz w:val="21"/>
                <w:szCs w:val="21"/>
              </w:rPr>
            </w:pPr>
          </w:p>
        </w:tc>
        <w:tc>
          <w:tcPr>
            <w:tcW w:w="217" w:type="dxa"/>
          </w:tcPr>
          <w:p w14:paraId="1E639CF6" w14:textId="77777777" w:rsidR="002C0FD9" w:rsidRPr="00CA25CF" w:rsidRDefault="002C0FD9" w:rsidP="00CA25CF">
            <w:pPr>
              <w:rPr>
                <w:rFonts w:cs="Arial"/>
                <w:color w:val="FF0000"/>
                <w:sz w:val="21"/>
                <w:szCs w:val="21"/>
              </w:rPr>
            </w:pPr>
          </w:p>
        </w:tc>
        <w:tc>
          <w:tcPr>
            <w:tcW w:w="217" w:type="dxa"/>
          </w:tcPr>
          <w:p w14:paraId="6E894B9A" w14:textId="77777777" w:rsidR="002C0FD9" w:rsidRPr="00CA25CF" w:rsidRDefault="002C0FD9" w:rsidP="00CA25CF">
            <w:pPr>
              <w:rPr>
                <w:rFonts w:cs="Arial"/>
                <w:color w:val="FF0000"/>
                <w:sz w:val="21"/>
                <w:szCs w:val="21"/>
              </w:rPr>
            </w:pPr>
          </w:p>
        </w:tc>
        <w:tc>
          <w:tcPr>
            <w:tcW w:w="217" w:type="dxa"/>
          </w:tcPr>
          <w:p w14:paraId="242642AA" w14:textId="77777777" w:rsidR="002C0FD9" w:rsidRPr="00CA25CF" w:rsidRDefault="002C0FD9" w:rsidP="00CA25CF">
            <w:pPr>
              <w:rPr>
                <w:rFonts w:cs="Arial"/>
                <w:color w:val="FF0000"/>
                <w:sz w:val="21"/>
                <w:szCs w:val="21"/>
              </w:rPr>
            </w:pPr>
          </w:p>
        </w:tc>
        <w:tc>
          <w:tcPr>
            <w:tcW w:w="217" w:type="dxa"/>
          </w:tcPr>
          <w:p w14:paraId="6AD84700" w14:textId="77777777" w:rsidR="002C0FD9" w:rsidRPr="00CA25CF" w:rsidRDefault="002C0FD9" w:rsidP="00CA25CF">
            <w:pPr>
              <w:rPr>
                <w:rFonts w:cs="Arial"/>
                <w:color w:val="FF0000"/>
                <w:sz w:val="21"/>
                <w:szCs w:val="21"/>
              </w:rPr>
            </w:pPr>
          </w:p>
        </w:tc>
        <w:tc>
          <w:tcPr>
            <w:tcW w:w="217" w:type="dxa"/>
          </w:tcPr>
          <w:p w14:paraId="0628C3A3" w14:textId="77777777" w:rsidR="002C0FD9" w:rsidRPr="00CA25CF" w:rsidRDefault="002C0FD9" w:rsidP="00CA25CF">
            <w:pPr>
              <w:rPr>
                <w:rFonts w:cs="Arial"/>
                <w:color w:val="FF0000"/>
                <w:sz w:val="21"/>
                <w:szCs w:val="21"/>
              </w:rPr>
            </w:pPr>
          </w:p>
        </w:tc>
        <w:tc>
          <w:tcPr>
            <w:tcW w:w="217" w:type="dxa"/>
          </w:tcPr>
          <w:p w14:paraId="64E6089F" w14:textId="77777777" w:rsidR="002C0FD9" w:rsidRPr="00CA25CF" w:rsidRDefault="002C0FD9" w:rsidP="00CA25CF">
            <w:pPr>
              <w:rPr>
                <w:rFonts w:cs="Arial"/>
                <w:color w:val="FF0000"/>
                <w:sz w:val="21"/>
                <w:szCs w:val="21"/>
              </w:rPr>
            </w:pPr>
          </w:p>
        </w:tc>
        <w:tc>
          <w:tcPr>
            <w:tcW w:w="217" w:type="dxa"/>
          </w:tcPr>
          <w:p w14:paraId="67E5B5BE" w14:textId="77777777" w:rsidR="002C0FD9" w:rsidRPr="00CA25CF" w:rsidRDefault="002C0FD9" w:rsidP="00CA25CF">
            <w:pPr>
              <w:rPr>
                <w:rFonts w:cs="Arial"/>
                <w:color w:val="FF0000"/>
                <w:sz w:val="21"/>
                <w:szCs w:val="21"/>
              </w:rPr>
            </w:pPr>
          </w:p>
        </w:tc>
        <w:tc>
          <w:tcPr>
            <w:tcW w:w="217" w:type="dxa"/>
          </w:tcPr>
          <w:p w14:paraId="727A2F22" w14:textId="77777777" w:rsidR="002C0FD9" w:rsidRPr="00CA25CF" w:rsidRDefault="002C0FD9" w:rsidP="00CA25CF">
            <w:pPr>
              <w:rPr>
                <w:rFonts w:cs="Arial"/>
                <w:color w:val="FF0000"/>
                <w:sz w:val="21"/>
                <w:szCs w:val="21"/>
              </w:rPr>
            </w:pPr>
          </w:p>
        </w:tc>
        <w:tc>
          <w:tcPr>
            <w:tcW w:w="217" w:type="dxa"/>
          </w:tcPr>
          <w:p w14:paraId="546F27E2" w14:textId="77777777" w:rsidR="002C0FD9" w:rsidRPr="00CA25CF" w:rsidRDefault="002C0FD9" w:rsidP="00CA25CF">
            <w:pPr>
              <w:rPr>
                <w:rFonts w:cs="Arial"/>
                <w:color w:val="FF0000"/>
                <w:sz w:val="21"/>
                <w:szCs w:val="21"/>
              </w:rPr>
            </w:pPr>
          </w:p>
        </w:tc>
        <w:tc>
          <w:tcPr>
            <w:tcW w:w="217" w:type="dxa"/>
          </w:tcPr>
          <w:p w14:paraId="4759DE98" w14:textId="77777777" w:rsidR="002C0FD9" w:rsidRPr="00CA25CF" w:rsidRDefault="002C0FD9" w:rsidP="00CA25CF">
            <w:pPr>
              <w:rPr>
                <w:rFonts w:cs="Arial"/>
                <w:color w:val="FF0000"/>
                <w:sz w:val="21"/>
                <w:szCs w:val="21"/>
              </w:rPr>
            </w:pPr>
          </w:p>
        </w:tc>
        <w:tc>
          <w:tcPr>
            <w:tcW w:w="217" w:type="dxa"/>
          </w:tcPr>
          <w:p w14:paraId="5DBD50B9" w14:textId="77777777" w:rsidR="002C0FD9" w:rsidRPr="00CA25CF" w:rsidRDefault="002C0FD9" w:rsidP="00CA25CF">
            <w:pPr>
              <w:rPr>
                <w:rFonts w:cs="Arial"/>
                <w:color w:val="FF0000"/>
                <w:sz w:val="21"/>
                <w:szCs w:val="21"/>
              </w:rPr>
            </w:pPr>
          </w:p>
        </w:tc>
        <w:tc>
          <w:tcPr>
            <w:tcW w:w="217" w:type="dxa"/>
          </w:tcPr>
          <w:p w14:paraId="42CEAB70" w14:textId="77777777" w:rsidR="002C0FD9" w:rsidRPr="00CA25CF" w:rsidRDefault="002C0FD9" w:rsidP="00CA25CF">
            <w:pPr>
              <w:rPr>
                <w:rFonts w:cs="Arial"/>
                <w:color w:val="FF0000"/>
                <w:sz w:val="21"/>
                <w:szCs w:val="21"/>
              </w:rPr>
            </w:pPr>
          </w:p>
        </w:tc>
        <w:tc>
          <w:tcPr>
            <w:tcW w:w="217" w:type="dxa"/>
          </w:tcPr>
          <w:p w14:paraId="0D93C68D" w14:textId="77777777" w:rsidR="002C0FD9" w:rsidRPr="00CA25CF" w:rsidRDefault="002C0FD9" w:rsidP="00CA25CF">
            <w:pPr>
              <w:rPr>
                <w:rFonts w:cs="Arial"/>
                <w:color w:val="FF0000"/>
                <w:sz w:val="21"/>
                <w:szCs w:val="21"/>
              </w:rPr>
            </w:pPr>
          </w:p>
        </w:tc>
        <w:tc>
          <w:tcPr>
            <w:tcW w:w="217" w:type="dxa"/>
          </w:tcPr>
          <w:p w14:paraId="7934C10C" w14:textId="77777777" w:rsidR="002C0FD9" w:rsidRPr="00CA25CF" w:rsidRDefault="002C0FD9" w:rsidP="00CA25CF">
            <w:pPr>
              <w:rPr>
                <w:rFonts w:cs="Arial"/>
                <w:color w:val="FF0000"/>
                <w:sz w:val="21"/>
                <w:szCs w:val="21"/>
              </w:rPr>
            </w:pPr>
          </w:p>
        </w:tc>
        <w:tc>
          <w:tcPr>
            <w:tcW w:w="217" w:type="dxa"/>
          </w:tcPr>
          <w:p w14:paraId="77DEE18B" w14:textId="77777777" w:rsidR="002C0FD9" w:rsidRPr="00CA25CF" w:rsidRDefault="002C0FD9" w:rsidP="00CA25CF">
            <w:pPr>
              <w:rPr>
                <w:rFonts w:cs="Arial"/>
                <w:color w:val="FF0000"/>
                <w:sz w:val="21"/>
                <w:szCs w:val="21"/>
              </w:rPr>
            </w:pPr>
          </w:p>
        </w:tc>
        <w:tc>
          <w:tcPr>
            <w:tcW w:w="217" w:type="dxa"/>
          </w:tcPr>
          <w:p w14:paraId="3C7F78D3" w14:textId="77777777" w:rsidR="002C0FD9" w:rsidRPr="00CA25CF" w:rsidRDefault="002C0FD9" w:rsidP="00CA25CF">
            <w:pPr>
              <w:rPr>
                <w:rFonts w:cs="Arial"/>
                <w:color w:val="FF0000"/>
                <w:sz w:val="21"/>
                <w:szCs w:val="21"/>
              </w:rPr>
            </w:pPr>
          </w:p>
        </w:tc>
        <w:tc>
          <w:tcPr>
            <w:tcW w:w="217" w:type="dxa"/>
          </w:tcPr>
          <w:p w14:paraId="014AFCB7" w14:textId="77777777" w:rsidR="002C0FD9" w:rsidRPr="00CA25CF" w:rsidRDefault="002C0FD9" w:rsidP="00CA25CF">
            <w:pPr>
              <w:rPr>
                <w:rFonts w:cs="Arial"/>
                <w:color w:val="FF0000"/>
                <w:sz w:val="21"/>
                <w:szCs w:val="21"/>
              </w:rPr>
            </w:pPr>
          </w:p>
        </w:tc>
        <w:tc>
          <w:tcPr>
            <w:tcW w:w="217" w:type="dxa"/>
          </w:tcPr>
          <w:p w14:paraId="34CDA597" w14:textId="77777777" w:rsidR="002C0FD9" w:rsidRPr="00CA25CF" w:rsidRDefault="002C0FD9" w:rsidP="00CA25CF">
            <w:pPr>
              <w:rPr>
                <w:rFonts w:cs="Arial"/>
                <w:color w:val="FF0000"/>
                <w:sz w:val="21"/>
                <w:szCs w:val="21"/>
              </w:rPr>
            </w:pPr>
          </w:p>
        </w:tc>
        <w:tc>
          <w:tcPr>
            <w:tcW w:w="217" w:type="dxa"/>
          </w:tcPr>
          <w:p w14:paraId="505652AB" w14:textId="77777777" w:rsidR="002C0FD9" w:rsidRPr="00CA25CF" w:rsidRDefault="002C0FD9" w:rsidP="00CA25CF">
            <w:pPr>
              <w:rPr>
                <w:rFonts w:cs="Arial"/>
                <w:color w:val="FF0000"/>
                <w:sz w:val="21"/>
                <w:szCs w:val="21"/>
              </w:rPr>
            </w:pPr>
          </w:p>
        </w:tc>
      </w:tr>
      <w:tr w:rsidR="002C0FD9" w:rsidRPr="00A16219" w14:paraId="1DB6BDE0" w14:textId="595FB081" w:rsidTr="002C0FD9">
        <w:trPr>
          <w:trHeight w:val="635"/>
        </w:trPr>
        <w:tc>
          <w:tcPr>
            <w:tcW w:w="515" w:type="dxa"/>
          </w:tcPr>
          <w:p w14:paraId="5D2CB7F9" w14:textId="77777777" w:rsidR="002C0FD9" w:rsidRPr="00CA25CF" w:rsidRDefault="002C0FD9" w:rsidP="00CA25CF">
            <w:pPr>
              <w:rPr>
                <w:rFonts w:cs="Arial"/>
                <w:color w:val="FF0000"/>
                <w:sz w:val="21"/>
                <w:szCs w:val="21"/>
              </w:rPr>
            </w:pPr>
          </w:p>
        </w:tc>
        <w:tc>
          <w:tcPr>
            <w:tcW w:w="217" w:type="dxa"/>
          </w:tcPr>
          <w:p w14:paraId="0AADCCA7" w14:textId="77777777" w:rsidR="002C0FD9" w:rsidRPr="00CA25CF" w:rsidRDefault="002C0FD9" w:rsidP="00CA25CF">
            <w:pPr>
              <w:rPr>
                <w:rFonts w:cs="Arial"/>
                <w:color w:val="FF0000"/>
                <w:sz w:val="21"/>
                <w:szCs w:val="21"/>
              </w:rPr>
            </w:pPr>
          </w:p>
        </w:tc>
        <w:tc>
          <w:tcPr>
            <w:tcW w:w="217" w:type="dxa"/>
          </w:tcPr>
          <w:p w14:paraId="179AB9E7" w14:textId="07F63076" w:rsidR="002C0FD9" w:rsidRPr="00CA25CF" w:rsidRDefault="002C0FD9" w:rsidP="00CA25CF">
            <w:pPr>
              <w:rPr>
                <w:rFonts w:cs="Arial"/>
                <w:color w:val="FF0000"/>
                <w:sz w:val="21"/>
                <w:szCs w:val="21"/>
              </w:rPr>
            </w:pPr>
          </w:p>
        </w:tc>
        <w:tc>
          <w:tcPr>
            <w:tcW w:w="217" w:type="dxa"/>
          </w:tcPr>
          <w:p w14:paraId="25DAA2B8" w14:textId="77777777" w:rsidR="002C0FD9" w:rsidRPr="00CA25CF" w:rsidRDefault="002C0FD9" w:rsidP="00CA25CF">
            <w:pPr>
              <w:rPr>
                <w:rFonts w:cs="Arial"/>
                <w:color w:val="FF0000"/>
                <w:sz w:val="21"/>
                <w:szCs w:val="21"/>
              </w:rPr>
            </w:pPr>
          </w:p>
        </w:tc>
        <w:tc>
          <w:tcPr>
            <w:tcW w:w="217" w:type="dxa"/>
          </w:tcPr>
          <w:p w14:paraId="4FA1317A" w14:textId="77777777" w:rsidR="002C0FD9" w:rsidRPr="00CA25CF" w:rsidRDefault="002C0FD9" w:rsidP="00CA25CF">
            <w:pPr>
              <w:rPr>
                <w:rFonts w:cs="Arial"/>
                <w:color w:val="FF0000"/>
                <w:sz w:val="21"/>
                <w:szCs w:val="21"/>
              </w:rPr>
            </w:pPr>
          </w:p>
        </w:tc>
        <w:tc>
          <w:tcPr>
            <w:tcW w:w="217" w:type="dxa"/>
          </w:tcPr>
          <w:p w14:paraId="75F3FDD8" w14:textId="77777777" w:rsidR="002C0FD9" w:rsidRPr="00CA25CF" w:rsidRDefault="002C0FD9" w:rsidP="00CA25CF">
            <w:pPr>
              <w:rPr>
                <w:rFonts w:cs="Arial"/>
                <w:color w:val="FF0000"/>
                <w:sz w:val="21"/>
                <w:szCs w:val="21"/>
              </w:rPr>
            </w:pPr>
          </w:p>
        </w:tc>
        <w:tc>
          <w:tcPr>
            <w:tcW w:w="217" w:type="dxa"/>
          </w:tcPr>
          <w:p w14:paraId="2C5E3038" w14:textId="77777777" w:rsidR="002C0FD9" w:rsidRPr="00CA25CF" w:rsidRDefault="002C0FD9" w:rsidP="00CA25CF">
            <w:pPr>
              <w:rPr>
                <w:rFonts w:cs="Arial"/>
                <w:color w:val="FF0000"/>
                <w:sz w:val="21"/>
                <w:szCs w:val="21"/>
              </w:rPr>
            </w:pPr>
          </w:p>
        </w:tc>
        <w:tc>
          <w:tcPr>
            <w:tcW w:w="217" w:type="dxa"/>
          </w:tcPr>
          <w:p w14:paraId="346CABA3" w14:textId="77777777" w:rsidR="002C0FD9" w:rsidRPr="00CA25CF" w:rsidRDefault="002C0FD9" w:rsidP="00CA25CF">
            <w:pPr>
              <w:rPr>
                <w:rFonts w:cs="Arial"/>
                <w:color w:val="FF0000"/>
                <w:sz w:val="21"/>
                <w:szCs w:val="21"/>
              </w:rPr>
            </w:pPr>
          </w:p>
        </w:tc>
        <w:tc>
          <w:tcPr>
            <w:tcW w:w="217" w:type="dxa"/>
          </w:tcPr>
          <w:p w14:paraId="48015725" w14:textId="77777777" w:rsidR="002C0FD9" w:rsidRPr="00CA25CF" w:rsidRDefault="002C0FD9" w:rsidP="00CA25CF">
            <w:pPr>
              <w:rPr>
                <w:rFonts w:cs="Arial"/>
                <w:color w:val="FF0000"/>
                <w:sz w:val="21"/>
                <w:szCs w:val="21"/>
              </w:rPr>
            </w:pPr>
          </w:p>
        </w:tc>
        <w:tc>
          <w:tcPr>
            <w:tcW w:w="217" w:type="dxa"/>
          </w:tcPr>
          <w:p w14:paraId="7678F27E" w14:textId="77777777" w:rsidR="002C0FD9" w:rsidRPr="00CA25CF" w:rsidRDefault="002C0FD9" w:rsidP="00CA25CF">
            <w:pPr>
              <w:rPr>
                <w:rFonts w:cs="Arial"/>
                <w:color w:val="FF0000"/>
                <w:sz w:val="21"/>
                <w:szCs w:val="21"/>
              </w:rPr>
            </w:pPr>
          </w:p>
        </w:tc>
        <w:tc>
          <w:tcPr>
            <w:tcW w:w="217" w:type="dxa"/>
          </w:tcPr>
          <w:p w14:paraId="18FBB3A0" w14:textId="77777777" w:rsidR="002C0FD9" w:rsidRPr="00CA25CF" w:rsidRDefault="002C0FD9" w:rsidP="00CA25CF">
            <w:pPr>
              <w:rPr>
                <w:rFonts w:cs="Arial"/>
                <w:color w:val="FF0000"/>
                <w:sz w:val="21"/>
                <w:szCs w:val="21"/>
              </w:rPr>
            </w:pPr>
          </w:p>
        </w:tc>
        <w:tc>
          <w:tcPr>
            <w:tcW w:w="217" w:type="dxa"/>
          </w:tcPr>
          <w:p w14:paraId="0B26D187" w14:textId="77777777" w:rsidR="002C0FD9" w:rsidRPr="00CA25CF" w:rsidRDefault="002C0FD9" w:rsidP="00CA25CF">
            <w:pPr>
              <w:rPr>
                <w:rFonts w:cs="Arial"/>
                <w:color w:val="FF0000"/>
                <w:sz w:val="21"/>
                <w:szCs w:val="21"/>
              </w:rPr>
            </w:pPr>
          </w:p>
        </w:tc>
        <w:tc>
          <w:tcPr>
            <w:tcW w:w="217" w:type="dxa"/>
          </w:tcPr>
          <w:p w14:paraId="6B40D7B2" w14:textId="77777777" w:rsidR="002C0FD9" w:rsidRPr="00CA25CF" w:rsidRDefault="002C0FD9" w:rsidP="00CA25CF">
            <w:pPr>
              <w:rPr>
                <w:rFonts w:cs="Arial"/>
                <w:color w:val="FF0000"/>
                <w:sz w:val="21"/>
                <w:szCs w:val="21"/>
              </w:rPr>
            </w:pPr>
          </w:p>
        </w:tc>
        <w:tc>
          <w:tcPr>
            <w:tcW w:w="217" w:type="dxa"/>
          </w:tcPr>
          <w:p w14:paraId="319FB596" w14:textId="77777777" w:rsidR="002C0FD9" w:rsidRPr="00CA25CF" w:rsidRDefault="002C0FD9" w:rsidP="00CA25CF">
            <w:pPr>
              <w:rPr>
                <w:rFonts w:cs="Arial"/>
                <w:color w:val="FF0000"/>
                <w:sz w:val="21"/>
                <w:szCs w:val="21"/>
              </w:rPr>
            </w:pPr>
          </w:p>
        </w:tc>
        <w:tc>
          <w:tcPr>
            <w:tcW w:w="217" w:type="dxa"/>
          </w:tcPr>
          <w:p w14:paraId="570600F3" w14:textId="77777777" w:rsidR="002C0FD9" w:rsidRPr="00CA25CF" w:rsidRDefault="002C0FD9" w:rsidP="00CA25CF">
            <w:pPr>
              <w:rPr>
                <w:rFonts w:cs="Arial"/>
                <w:color w:val="FF0000"/>
                <w:sz w:val="21"/>
                <w:szCs w:val="21"/>
              </w:rPr>
            </w:pPr>
          </w:p>
        </w:tc>
        <w:tc>
          <w:tcPr>
            <w:tcW w:w="217" w:type="dxa"/>
          </w:tcPr>
          <w:p w14:paraId="1C5F52BB" w14:textId="77777777" w:rsidR="002C0FD9" w:rsidRPr="00CA25CF" w:rsidRDefault="002C0FD9" w:rsidP="00CA25CF">
            <w:pPr>
              <w:rPr>
                <w:rFonts w:cs="Arial"/>
                <w:color w:val="FF0000"/>
                <w:sz w:val="21"/>
                <w:szCs w:val="21"/>
              </w:rPr>
            </w:pPr>
          </w:p>
        </w:tc>
        <w:tc>
          <w:tcPr>
            <w:tcW w:w="217" w:type="dxa"/>
          </w:tcPr>
          <w:p w14:paraId="0FF58B5B" w14:textId="77777777" w:rsidR="002C0FD9" w:rsidRPr="00CA25CF" w:rsidRDefault="002C0FD9" w:rsidP="00CA25CF">
            <w:pPr>
              <w:rPr>
                <w:rFonts w:cs="Arial"/>
                <w:color w:val="FF0000"/>
                <w:sz w:val="21"/>
                <w:szCs w:val="21"/>
              </w:rPr>
            </w:pPr>
          </w:p>
        </w:tc>
        <w:tc>
          <w:tcPr>
            <w:tcW w:w="217" w:type="dxa"/>
          </w:tcPr>
          <w:p w14:paraId="59EFD71B" w14:textId="77777777" w:rsidR="002C0FD9" w:rsidRPr="00CA25CF" w:rsidRDefault="002C0FD9" w:rsidP="00CA25CF">
            <w:pPr>
              <w:rPr>
                <w:rFonts w:cs="Arial"/>
                <w:color w:val="FF0000"/>
                <w:sz w:val="21"/>
                <w:szCs w:val="21"/>
              </w:rPr>
            </w:pPr>
          </w:p>
        </w:tc>
        <w:tc>
          <w:tcPr>
            <w:tcW w:w="217" w:type="dxa"/>
          </w:tcPr>
          <w:p w14:paraId="611C17B9" w14:textId="77777777" w:rsidR="002C0FD9" w:rsidRPr="00CA25CF" w:rsidRDefault="002C0FD9" w:rsidP="00CA25CF">
            <w:pPr>
              <w:rPr>
                <w:rFonts w:cs="Arial"/>
                <w:color w:val="FF0000"/>
                <w:sz w:val="21"/>
                <w:szCs w:val="21"/>
              </w:rPr>
            </w:pPr>
          </w:p>
        </w:tc>
        <w:tc>
          <w:tcPr>
            <w:tcW w:w="217" w:type="dxa"/>
          </w:tcPr>
          <w:p w14:paraId="0DC70A26" w14:textId="77777777" w:rsidR="002C0FD9" w:rsidRPr="00CA25CF" w:rsidRDefault="002C0FD9" w:rsidP="00CA25CF">
            <w:pPr>
              <w:rPr>
                <w:rFonts w:cs="Arial"/>
                <w:color w:val="FF0000"/>
                <w:sz w:val="21"/>
                <w:szCs w:val="21"/>
              </w:rPr>
            </w:pPr>
          </w:p>
        </w:tc>
        <w:tc>
          <w:tcPr>
            <w:tcW w:w="217" w:type="dxa"/>
          </w:tcPr>
          <w:p w14:paraId="27DD0389" w14:textId="77777777" w:rsidR="002C0FD9" w:rsidRPr="00CA25CF" w:rsidRDefault="002C0FD9" w:rsidP="00CA25CF">
            <w:pPr>
              <w:rPr>
                <w:rFonts w:cs="Arial"/>
                <w:color w:val="FF0000"/>
                <w:sz w:val="21"/>
                <w:szCs w:val="21"/>
              </w:rPr>
            </w:pPr>
          </w:p>
        </w:tc>
        <w:tc>
          <w:tcPr>
            <w:tcW w:w="217" w:type="dxa"/>
          </w:tcPr>
          <w:p w14:paraId="64DD6D4B" w14:textId="77777777" w:rsidR="002C0FD9" w:rsidRPr="00CA25CF" w:rsidRDefault="002C0FD9" w:rsidP="00CA25CF">
            <w:pPr>
              <w:rPr>
                <w:rFonts w:cs="Arial"/>
                <w:color w:val="FF0000"/>
                <w:sz w:val="21"/>
                <w:szCs w:val="21"/>
              </w:rPr>
            </w:pPr>
          </w:p>
        </w:tc>
        <w:tc>
          <w:tcPr>
            <w:tcW w:w="217" w:type="dxa"/>
          </w:tcPr>
          <w:p w14:paraId="470327D8" w14:textId="77777777" w:rsidR="002C0FD9" w:rsidRPr="00CA25CF" w:rsidRDefault="002C0FD9" w:rsidP="00CA25CF">
            <w:pPr>
              <w:rPr>
                <w:rFonts w:cs="Arial"/>
                <w:color w:val="FF0000"/>
                <w:sz w:val="21"/>
                <w:szCs w:val="21"/>
              </w:rPr>
            </w:pPr>
          </w:p>
        </w:tc>
        <w:tc>
          <w:tcPr>
            <w:tcW w:w="217" w:type="dxa"/>
          </w:tcPr>
          <w:p w14:paraId="5F1C6148" w14:textId="77777777" w:rsidR="002C0FD9" w:rsidRPr="00CA25CF" w:rsidRDefault="002C0FD9" w:rsidP="00CA25CF">
            <w:pPr>
              <w:rPr>
                <w:rFonts w:cs="Arial"/>
                <w:color w:val="FF0000"/>
                <w:sz w:val="21"/>
                <w:szCs w:val="21"/>
              </w:rPr>
            </w:pPr>
          </w:p>
        </w:tc>
        <w:tc>
          <w:tcPr>
            <w:tcW w:w="217" w:type="dxa"/>
          </w:tcPr>
          <w:p w14:paraId="5ECD02DC" w14:textId="77777777" w:rsidR="002C0FD9" w:rsidRPr="00CA25CF" w:rsidRDefault="002C0FD9" w:rsidP="00CA25CF">
            <w:pPr>
              <w:rPr>
                <w:rFonts w:cs="Arial"/>
                <w:color w:val="FF0000"/>
                <w:sz w:val="21"/>
                <w:szCs w:val="21"/>
              </w:rPr>
            </w:pPr>
          </w:p>
        </w:tc>
        <w:tc>
          <w:tcPr>
            <w:tcW w:w="217" w:type="dxa"/>
          </w:tcPr>
          <w:p w14:paraId="79F3ADDA" w14:textId="77777777" w:rsidR="002C0FD9" w:rsidRPr="00CA25CF" w:rsidRDefault="002C0FD9" w:rsidP="00CA25CF">
            <w:pPr>
              <w:rPr>
                <w:rFonts w:cs="Arial"/>
                <w:color w:val="FF0000"/>
                <w:sz w:val="21"/>
                <w:szCs w:val="21"/>
              </w:rPr>
            </w:pPr>
          </w:p>
        </w:tc>
        <w:tc>
          <w:tcPr>
            <w:tcW w:w="217" w:type="dxa"/>
          </w:tcPr>
          <w:p w14:paraId="14616EAC" w14:textId="77777777" w:rsidR="002C0FD9" w:rsidRPr="00CA25CF" w:rsidRDefault="002C0FD9" w:rsidP="00CA25CF">
            <w:pPr>
              <w:rPr>
                <w:rFonts w:cs="Arial"/>
                <w:color w:val="FF0000"/>
                <w:sz w:val="21"/>
                <w:szCs w:val="21"/>
              </w:rPr>
            </w:pPr>
          </w:p>
        </w:tc>
        <w:tc>
          <w:tcPr>
            <w:tcW w:w="217" w:type="dxa"/>
          </w:tcPr>
          <w:p w14:paraId="78DF744E" w14:textId="77777777" w:rsidR="002C0FD9" w:rsidRPr="00CA25CF" w:rsidRDefault="002C0FD9" w:rsidP="00CA25CF">
            <w:pPr>
              <w:rPr>
                <w:rFonts w:cs="Arial"/>
                <w:color w:val="FF0000"/>
                <w:sz w:val="21"/>
                <w:szCs w:val="21"/>
              </w:rPr>
            </w:pPr>
          </w:p>
        </w:tc>
        <w:tc>
          <w:tcPr>
            <w:tcW w:w="217" w:type="dxa"/>
          </w:tcPr>
          <w:p w14:paraId="2F7DBA8A" w14:textId="77777777" w:rsidR="002C0FD9" w:rsidRPr="00CA25CF" w:rsidRDefault="002C0FD9" w:rsidP="00CA25CF">
            <w:pPr>
              <w:rPr>
                <w:rFonts w:cs="Arial"/>
                <w:color w:val="FF0000"/>
                <w:sz w:val="21"/>
                <w:szCs w:val="21"/>
              </w:rPr>
            </w:pPr>
          </w:p>
        </w:tc>
        <w:tc>
          <w:tcPr>
            <w:tcW w:w="217" w:type="dxa"/>
          </w:tcPr>
          <w:p w14:paraId="056A10AF" w14:textId="77777777" w:rsidR="002C0FD9" w:rsidRPr="00CA25CF" w:rsidRDefault="002C0FD9" w:rsidP="00CA25CF">
            <w:pPr>
              <w:rPr>
                <w:rFonts w:cs="Arial"/>
                <w:color w:val="FF0000"/>
                <w:sz w:val="21"/>
                <w:szCs w:val="21"/>
              </w:rPr>
            </w:pPr>
          </w:p>
        </w:tc>
        <w:tc>
          <w:tcPr>
            <w:tcW w:w="217" w:type="dxa"/>
          </w:tcPr>
          <w:p w14:paraId="510EC72A" w14:textId="77777777" w:rsidR="002C0FD9" w:rsidRPr="00CA25CF" w:rsidRDefault="002C0FD9" w:rsidP="00CA25CF">
            <w:pPr>
              <w:rPr>
                <w:rFonts w:cs="Arial"/>
                <w:color w:val="FF0000"/>
                <w:sz w:val="21"/>
                <w:szCs w:val="21"/>
              </w:rPr>
            </w:pPr>
          </w:p>
        </w:tc>
        <w:tc>
          <w:tcPr>
            <w:tcW w:w="217" w:type="dxa"/>
          </w:tcPr>
          <w:p w14:paraId="3EFB7BF0" w14:textId="77777777" w:rsidR="002C0FD9" w:rsidRPr="00CA25CF" w:rsidRDefault="002C0FD9" w:rsidP="00CA25CF">
            <w:pPr>
              <w:rPr>
                <w:rFonts w:cs="Arial"/>
                <w:color w:val="FF0000"/>
                <w:sz w:val="21"/>
                <w:szCs w:val="21"/>
              </w:rPr>
            </w:pPr>
          </w:p>
        </w:tc>
        <w:tc>
          <w:tcPr>
            <w:tcW w:w="217" w:type="dxa"/>
          </w:tcPr>
          <w:p w14:paraId="50CE6C52" w14:textId="77777777" w:rsidR="002C0FD9" w:rsidRPr="00CA25CF" w:rsidRDefault="002C0FD9" w:rsidP="00CA25CF">
            <w:pPr>
              <w:rPr>
                <w:rFonts w:cs="Arial"/>
                <w:color w:val="FF0000"/>
                <w:sz w:val="21"/>
                <w:szCs w:val="21"/>
              </w:rPr>
            </w:pPr>
          </w:p>
        </w:tc>
        <w:tc>
          <w:tcPr>
            <w:tcW w:w="217" w:type="dxa"/>
          </w:tcPr>
          <w:p w14:paraId="1A1E603B" w14:textId="77777777" w:rsidR="002C0FD9" w:rsidRPr="00CA25CF" w:rsidRDefault="002C0FD9" w:rsidP="00CA25CF">
            <w:pPr>
              <w:rPr>
                <w:rFonts w:cs="Arial"/>
                <w:color w:val="FF0000"/>
                <w:sz w:val="21"/>
                <w:szCs w:val="21"/>
              </w:rPr>
            </w:pPr>
          </w:p>
        </w:tc>
        <w:tc>
          <w:tcPr>
            <w:tcW w:w="217" w:type="dxa"/>
          </w:tcPr>
          <w:p w14:paraId="1A5E7421" w14:textId="77777777" w:rsidR="002C0FD9" w:rsidRPr="00CA25CF" w:rsidRDefault="002C0FD9" w:rsidP="00CA25CF">
            <w:pPr>
              <w:rPr>
                <w:rFonts w:cs="Arial"/>
                <w:color w:val="FF0000"/>
                <w:sz w:val="21"/>
                <w:szCs w:val="21"/>
              </w:rPr>
            </w:pPr>
          </w:p>
        </w:tc>
        <w:tc>
          <w:tcPr>
            <w:tcW w:w="217" w:type="dxa"/>
          </w:tcPr>
          <w:p w14:paraId="3499CE69" w14:textId="77777777" w:rsidR="002C0FD9" w:rsidRPr="00CA25CF" w:rsidRDefault="002C0FD9" w:rsidP="00CA25CF">
            <w:pPr>
              <w:rPr>
                <w:rFonts w:cs="Arial"/>
                <w:color w:val="FF0000"/>
                <w:sz w:val="21"/>
                <w:szCs w:val="21"/>
              </w:rPr>
            </w:pPr>
          </w:p>
        </w:tc>
        <w:tc>
          <w:tcPr>
            <w:tcW w:w="217" w:type="dxa"/>
          </w:tcPr>
          <w:p w14:paraId="0B90635F" w14:textId="77777777" w:rsidR="002C0FD9" w:rsidRPr="00CA25CF" w:rsidRDefault="002C0FD9" w:rsidP="00CA25CF">
            <w:pPr>
              <w:rPr>
                <w:rFonts w:cs="Arial"/>
                <w:color w:val="FF0000"/>
                <w:sz w:val="21"/>
                <w:szCs w:val="21"/>
              </w:rPr>
            </w:pPr>
          </w:p>
        </w:tc>
        <w:tc>
          <w:tcPr>
            <w:tcW w:w="217" w:type="dxa"/>
          </w:tcPr>
          <w:p w14:paraId="3D40E317" w14:textId="77777777" w:rsidR="002C0FD9" w:rsidRPr="00CA25CF" w:rsidRDefault="002C0FD9" w:rsidP="00CA25CF">
            <w:pPr>
              <w:rPr>
                <w:rFonts w:cs="Arial"/>
                <w:color w:val="FF0000"/>
                <w:sz w:val="21"/>
                <w:szCs w:val="21"/>
              </w:rPr>
            </w:pPr>
          </w:p>
        </w:tc>
        <w:tc>
          <w:tcPr>
            <w:tcW w:w="217" w:type="dxa"/>
          </w:tcPr>
          <w:p w14:paraId="7D54D04E" w14:textId="77777777" w:rsidR="002C0FD9" w:rsidRPr="00CA25CF" w:rsidRDefault="002C0FD9" w:rsidP="00CA25CF">
            <w:pPr>
              <w:rPr>
                <w:rFonts w:cs="Arial"/>
                <w:color w:val="FF0000"/>
                <w:sz w:val="21"/>
                <w:szCs w:val="21"/>
              </w:rPr>
            </w:pPr>
          </w:p>
        </w:tc>
        <w:tc>
          <w:tcPr>
            <w:tcW w:w="217" w:type="dxa"/>
          </w:tcPr>
          <w:p w14:paraId="39C83034" w14:textId="77777777" w:rsidR="002C0FD9" w:rsidRPr="00CA25CF" w:rsidRDefault="002C0FD9" w:rsidP="00CA25CF">
            <w:pPr>
              <w:rPr>
                <w:rFonts w:cs="Arial"/>
                <w:color w:val="FF0000"/>
                <w:sz w:val="21"/>
                <w:szCs w:val="21"/>
              </w:rPr>
            </w:pPr>
          </w:p>
        </w:tc>
        <w:tc>
          <w:tcPr>
            <w:tcW w:w="217" w:type="dxa"/>
          </w:tcPr>
          <w:p w14:paraId="4FEE1C12" w14:textId="77777777" w:rsidR="002C0FD9" w:rsidRPr="00CA25CF" w:rsidRDefault="002C0FD9" w:rsidP="00CA25CF">
            <w:pPr>
              <w:rPr>
                <w:rFonts w:cs="Arial"/>
                <w:color w:val="FF0000"/>
                <w:sz w:val="21"/>
                <w:szCs w:val="21"/>
              </w:rPr>
            </w:pPr>
          </w:p>
        </w:tc>
        <w:tc>
          <w:tcPr>
            <w:tcW w:w="217" w:type="dxa"/>
          </w:tcPr>
          <w:p w14:paraId="7CB7CEEE" w14:textId="77777777" w:rsidR="002C0FD9" w:rsidRPr="00CA25CF" w:rsidRDefault="002C0FD9" w:rsidP="00CA25CF">
            <w:pPr>
              <w:rPr>
                <w:rFonts w:cs="Arial"/>
                <w:color w:val="FF0000"/>
                <w:sz w:val="21"/>
                <w:szCs w:val="21"/>
              </w:rPr>
            </w:pPr>
          </w:p>
        </w:tc>
        <w:tc>
          <w:tcPr>
            <w:tcW w:w="217" w:type="dxa"/>
          </w:tcPr>
          <w:p w14:paraId="328A6BFC" w14:textId="77777777" w:rsidR="002C0FD9" w:rsidRPr="00CA25CF" w:rsidRDefault="002C0FD9" w:rsidP="00CA25CF">
            <w:pPr>
              <w:rPr>
                <w:rFonts w:cs="Arial"/>
                <w:color w:val="FF0000"/>
                <w:sz w:val="21"/>
                <w:szCs w:val="21"/>
              </w:rPr>
            </w:pPr>
          </w:p>
        </w:tc>
      </w:tr>
      <w:tr w:rsidR="002C0FD9" w:rsidRPr="00A16219" w14:paraId="10C14272" w14:textId="6B8480D8" w:rsidTr="002C0FD9">
        <w:trPr>
          <w:trHeight w:val="635"/>
        </w:trPr>
        <w:tc>
          <w:tcPr>
            <w:tcW w:w="515" w:type="dxa"/>
          </w:tcPr>
          <w:p w14:paraId="069EF5DF" w14:textId="77777777" w:rsidR="002C0FD9" w:rsidRPr="00CA25CF" w:rsidRDefault="002C0FD9" w:rsidP="00CA25CF">
            <w:pPr>
              <w:rPr>
                <w:rFonts w:cs="Arial"/>
                <w:color w:val="FF0000"/>
                <w:sz w:val="21"/>
                <w:szCs w:val="21"/>
              </w:rPr>
            </w:pPr>
          </w:p>
        </w:tc>
        <w:tc>
          <w:tcPr>
            <w:tcW w:w="217" w:type="dxa"/>
          </w:tcPr>
          <w:p w14:paraId="071E8080" w14:textId="77777777" w:rsidR="002C0FD9" w:rsidRPr="00CA25CF" w:rsidRDefault="002C0FD9" w:rsidP="00CA25CF">
            <w:pPr>
              <w:rPr>
                <w:rFonts w:cs="Arial"/>
                <w:color w:val="FF0000"/>
                <w:sz w:val="21"/>
                <w:szCs w:val="21"/>
              </w:rPr>
            </w:pPr>
          </w:p>
        </w:tc>
        <w:tc>
          <w:tcPr>
            <w:tcW w:w="217" w:type="dxa"/>
          </w:tcPr>
          <w:p w14:paraId="1B4B2808" w14:textId="5BC747E8" w:rsidR="002C0FD9" w:rsidRPr="00CA25CF" w:rsidRDefault="002C0FD9" w:rsidP="00CA25CF">
            <w:pPr>
              <w:rPr>
                <w:rFonts w:cs="Arial"/>
                <w:color w:val="FF0000"/>
                <w:sz w:val="21"/>
                <w:szCs w:val="21"/>
              </w:rPr>
            </w:pPr>
          </w:p>
        </w:tc>
        <w:tc>
          <w:tcPr>
            <w:tcW w:w="217" w:type="dxa"/>
          </w:tcPr>
          <w:p w14:paraId="2D4B8157" w14:textId="77777777" w:rsidR="002C0FD9" w:rsidRPr="00CA25CF" w:rsidRDefault="002C0FD9" w:rsidP="00CA25CF">
            <w:pPr>
              <w:rPr>
                <w:rFonts w:cs="Arial"/>
                <w:color w:val="FF0000"/>
                <w:sz w:val="21"/>
                <w:szCs w:val="21"/>
              </w:rPr>
            </w:pPr>
          </w:p>
        </w:tc>
        <w:tc>
          <w:tcPr>
            <w:tcW w:w="217" w:type="dxa"/>
          </w:tcPr>
          <w:p w14:paraId="44ADB68E" w14:textId="77777777" w:rsidR="002C0FD9" w:rsidRPr="00CA25CF" w:rsidRDefault="002C0FD9" w:rsidP="00CA25CF">
            <w:pPr>
              <w:rPr>
                <w:rFonts w:cs="Arial"/>
                <w:color w:val="FF0000"/>
                <w:sz w:val="21"/>
                <w:szCs w:val="21"/>
              </w:rPr>
            </w:pPr>
          </w:p>
        </w:tc>
        <w:tc>
          <w:tcPr>
            <w:tcW w:w="217" w:type="dxa"/>
          </w:tcPr>
          <w:p w14:paraId="57413828" w14:textId="77777777" w:rsidR="002C0FD9" w:rsidRPr="00CA25CF" w:rsidRDefault="002C0FD9" w:rsidP="00CA25CF">
            <w:pPr>
              <w:rPr>
                <w:rFonts w:cs="Arial"/>
                <w:color w:val="FF0000"/>
                <w:sz w:val="21"/>
                <w:szCs w:val="21"/>
              </w:rPr>
            </w:pPr>
          </w:p>
        </w:tc>
        <w:tc>
          <w:tcPr>
            <w:tcW w:w="217" w:type="dxa"/>
          </w:tcPr>
          <w:p w14:paraId="7C1436D0" w14:textId="77777777" w:rsidR="002C0FD9" w:rsidRPr="00CA25CF" w:rsidRDefault="002C0FD9" w:rsidP="00CA25CF">
            <w:pPr>
              <w:rPr>
                <w:rFonts w:cs="Arial"/>
                <w:color w:val="FF0000"/>
                <w:sz w:val="21"/>
                <w:szCs w:val="21"/>
              </w:rPr>
            </w:pPr>
          </w:p>
        </w:tc>
        <w:tc>
          <w:tcPr>
            <w:tcW w:w="217" w:type="dxa"/>
          </w:tcPr>
          <w:p w14:paraId="2E87B310" w14:textId="77777777" w:rsidR="002C0FD9" w:rsidRPr="00CA25CF" w:rsidRDefault="002C0FD9" w:rsidP="00CA25CF">
            <w:pPr>
              <w:rPr>
                <w:rFonts w:cs="Arial"/>
                <w:color w:val="FF0000"/>
                <w:sz w:val="21"/>
                <w:szCs w:val="21"/>
              </w:rPr>
            </w:pPr>
          </w:p>
        </w:tc>
        <w:tc>
          <w:tcPr>
            <w:tcW w:w="217" w:type="dxa"/>
          </w:tcPr>
          <w:p w14:paraId="26ED3D10" w14:textId="77777777" w:rsidR="002C0FD9" w:rsidRPr="00CA25CF" w:rsidRDefault="002C0FD9" w:rsidP="00CA25CF">
            <w:pPr>
              <w:rPr>
                <w:rFonts w:cs="Arial"/>
                <w:color w:val="FF0000"/>
                <w:sz w:val="21"/>
                <w:szCs w:val="21"/>
              </w:rPr>
            </w:pPr>
          </w:p>
        </w:tc>
        <w:tc>
          <w:tcPr>
            <w:tcW w:w="217" w:type="dxa"/>
          </w:tcPr>
          <w:p w14:paraId="764C56E4" w14:textId="77777777" w:rsidR="002C0FD9" w:rsidRPr="00CA25CF" w:rsidRDefault="002C0FD9" w:rsidP="00CA25CF">
            <w:pPr>
              <w:rPr>
                <w:rFonts w:cs="Arial"/>
                <w:color w:val="FF0000"/>
                <w:sz w:val="21"/>
                <w:szCs w:val="21"/>
              </w:rPr>
            </w:pPr>
          </w:p>
        </w:tc>
        <w:tc>
          <w:tcPr>
            <w:tcW w:w="217" w:type="dxa"/>
          </w:tcPr>
          <w:p w14:paraId="69AE5EFD" w14:textId="77777777" w:rsidR="002C0FD9" w:rsidRPr="00CA25CF" w:rsidRDefault="002C0FD9" w:rsidP="00CA25CF">
            <w:pPr>
              <w:rPr>
                <w:rFonts w:cs="Arial"/>
                <w:color w:val="FF0000"/>
                <w:sz w:val="21"/>
                <w:szCs w:val="21"/>
              </w:rPr>
            </w:pPr>
          </w:p>
        </w:tc>
        <w:tc>
          <w:tcPr>
            <w:tcW w:w="217" w:type="dxa"/>
          </w:tcPr>
          <w:p w14:paraId="617EFAFB" w14:textId="77777777" w:rsidR="002C0FD9" w:rsidRPr="00CA25CF" w:rsidRDefault="002C0FD9" w:rsidP="00CA25CF">
            <w:pPr>
              <w:rPr>
                <w:rFonts w:cs="Arial"/>
                <w:color w:val="FF0000"/>
                <w:sz w:val="21"/>
                <w:szCs w:val="21"/>
              </w:rPr>
            </w:pPr>
          </w:p>
        </w:tc>
        <w:tc>
          <w:tcPr>
            <w:tcW w:w="217" w:type="dxa"/>
          </w:tcPr>
          <w:p w14:paraId="5F6F5EAD" w14:textId="77777777" w:rsidR="002C0FD9" w:rsidRPr="00CA25CF" w:rsidRDefault="002C0FD9" w:rsidP="00CA25CF">
            <w:pPr>
              <w:rPr>
                <w:rFonts w:cs="Arial"/>
                <w:color w:val="FF0000"/>
                <w:sz w:val="21"/>
                <w:szCs w:val="21"/>
              </w:rPr>
            </w:pPr>
          </w:p>
        </w:tc>
        <w:tc>
          <w:tcPr>
            <w:tcW w:w="217" w:type="dxa"/>
          </w:tcPr>
          <w:p w14:paraId="4E8FF77A" w14:textId="77777777" w:rsidR="002C0FD9" w:rsidRPr="00CA25CF" w:rsidRDefault="002C0FD9" w:rsidP="00CA25CF">
            <w:pPr>
              <w:rPr>
                <w:rFonts w:cs="Arial"/>
                <w:color w:val="FF0000"/>
                <w:sz w:val="21"/>
                <w:szCs w:val="21"/>
              </w:rPr>
            </w:pPr>
          </w:p>
        </w:tc>
        <w:tc>
          <w:tcPr>
            <w:tcW w:w="217" w:type="dxa"/>
          </w:tcPr>
          <w:p w14:paraId="0415DAFE" w14:textId="77777777" w:rsidR="002C0FD9" w:rsidRPr="00CA25CF" w:rsidRDefault="002C0FD9" w:rsidP="00CA25CF">
            <w:pPr>
              <w:rPr>
                <w:rFonts w:cs="Arial"/>
                <w:color w:val="FF0000"/>
                <w:sz w:val="21"/>
                <w:szCs w:val="21"/>
              </w:rPr>
            </w:pPr>
          </w:p>
        </w:tc>
        <w:tc>
          <w:tcPr>
            <w:tcW w:w="217" w:type="dxa"/>
          </w:tcPr>
          <w:p w14:paraId="557EE351" w14:textId="77777777" w:rsidR="002C0FD9" w:rsidRPr="00CA25CF" w:rsidRDefault="002C0FD9" w:rsidP="00CA25CF">
            <w:pPr>
              <w:rPr>
                <w:rFonts w:cs="Arial"/>
                <w:color w:val="FF0000"/>
                <w:sz w:val="21"/>
                <w:szCs w:val="21"/>
              </w:rPr>
            </w:pPr>
          </w:p>
        </w:tc>
        <w:tc>
          <w:tcPr>
            <w:tcW w:w="217" w:type="dxa"/>
          </w:tcPr>
          <w:p w14:paraId="7FE3783C" w14:textId="77777777" w:rsidR="002C0FD9" w:rsidRPr="00CA25CF" w:rsidRDefault="002C0FD9" w:rsidP="00CA25CF">
            <w:pPr>
              <w:rPr>
                <w:rFonts w:cs="Arial"/>
                <w:color w:val="FF0000"/>
                <w:sz w:val="21"/>
                <w:szCs w:val="21"/>
              </w:rPr>
            </w:pPr>
          </w:p>
        </w:tc>
        <w:tc>
          <w:tcPr>
            <w:tcW w:w="217" w:type="dxa"/>
          </w:tcPr>
          <w:p w14:paraId="54887F85" w14:textId="77777777" w:rsidR="002C0FD9" w:rsidRPr="00CA25CF" w:rsidRDefault="002C0FD9" w:rsidP="00CA25CF">
            <w:pPr>
              <w:rPr>
                <w:rFonts w:cs="Arial"/>
                <w:color w:val="FF0000"/>
                <w:sz w:val="21"/>
                <w:szCs w:val="21"/>
              </w:rPr>
            </w:pPr>
          </w:p>
        </w:tc>
        <w:tc>
          <w:tcPr>
            <w:tcW w:w="217" w:type="dxa"/>
          </w:tcPr>
          <w:p w14:paraId="1390F68C" w14:textId="77777777" w:rsidR="002C0FD9" w:rsidRPr="00CA25CF" w:rsidRDefault="002C0FD9" w:rsidP="00CA25CF">
            <w:pPr>
              <w:rPr>
                <w:rFonts w:cs="Arial"/>
                <w:color w:val="FF0000"/>
                <w:sz w:val="21"/>
                <w:szCs w:val="21"/>
              </w:rPr>
            </w:pPr>
          </w:p>
        </w:tc>
        <w:tc>
          <w:tcPr>
            <w:tcW w:w="217" w:type="dxa"/>
          </w:tcPr>
          <w:p w14:paraId="3B4F1B8C" w14:textId="77777777" w:rsidR="002C0FD9" w:rsidRPr="00CA25CF" w:rsidRDefault="002C0FD9" w:rsidP="00CA25CF">
            <w:pPr>
              <w:rPr>
                <w:rFonts w:cs="Arial"/>
                <w:color w:val="FF0000"/>
                <w:sz w:val="21"/>
                <w:szCs w:val="21"/>
              </w:rPr>
            </w:pPr>
          </w:p>
        </w:tc>
        <w:tc>
          <w:tcPr>
            <w:tcW w:w="217" w:type="dxa"/>
          </w:tcPr>
          <w:p w14:paraId="64E096A9" w14:textId="77777777" w:rsidR="002C0FD9" w:rsidRPr="00CA25CF" w:rsidRDefault="002C0FD9" w:rsidP="00CA25CF">
            <w:pPr>
              <w:rPr>
                <w:rFonts w:cs="Arial"/>
                <w:color w:val="FF0000"/>
                <w:sz w:val="21"/>
                <w:szCs w:val="21"/>
              </w:rPr>
            </w:pPr>
          </w:p>
        </w:tc>
        <w:tc>
          <w:tcPr>
            <w:tcW w:w="217" w:type="dxa"/>
          </w:tcPr>
          <w:p w14:paraId="1700B234" w14:textId="77777777" w:rsidR="002C0FD9" w:rsidRPr="00CA25CF" w:rsidRDefault="002C0FD9" w:rsidP="00CA25CF">
            <w:pPr>
              <w:rPr>
                <w:rFonts w:cs="Arial"/>
                <w:color w:val="FF0000"/>
                <w:sz w:val="21"/>
                <w:szCs w:val="21"/>
              </w:rPr>
            </w:pPr>
          </w:p>
        </w:tc>
        <w:tc>
          <w:tcPr>
            <w:tcW w:w="217" w:type="dxa"/>
          </w:tcPr>
          <w:p w14:paraId="554FDDD9" w14:textId="77777777" w:rsidR="002C0FD9" w:rsidRPr="00CA25CF" w:rsidRDefault="002C0FD9" w:rsidP="00CA25CF">
            <w:pPr>
              <w:rPr>
                <w:rFonts w:cs="Arial"/>
                <w:color w:val="FF0000"/>
                <w:sz w:val="21"/>
                <w:szCs w:val="21"/>
              </w:rPr>
            </w:pPr>
          </w:p>
        </w:tc>
        <w:tc>
          <w:tcPr>
            <w:tcW w:w="217" w:type="dxa"/>
          </w:tcPr>
          <w:p w14:paraId="73FE9F93" w14:textId="77777777" w:rsidR="002C0FD9" w:rsidRPr="00CA25CF" w:rsidRDefault="002C0FD9" w:rsidP="00CA25CF">
            <w:pPr>
              <w:rPr>
                <w:rFonts w:cs="Arial"/>
                <w:color w:val="FF0000"/>
                <w:sz w:val="21"/>
                <w:szCs w:val="21"/>
              </w:rPr>
            </w:pPr>
          </w:p>
        </w:tc>
        <w:tc>
          <w:tcPr>
            <w:tcW w:w="217" w:type="dxa"/>
          </w:tcPr>
          <w:p w14:paraId="0A3CD121" w14:textId="77777777" w:rsidR="002C0FD9" w:rsidRPr="00CA25CF" w:rsidRDefault="002C0FD9" w:rsidP="00CA25CF">
            <w:pPr>
              <w:rPr>
                <w:rFonts w:cs="Arial"/>
                <w:color w:val="FF0000"/>
                <w:sz w:val="21"/>
                <w:szCs w:val="21"/>
              </w:rPr>
            </w:pPr>
          </w:p>
        </w:tc>
        <w:tc>
          <w:tcPr>
            <w:tcW w:w="217" w:type="dxa"/>
          </w:tcPr>
          <w:p w14:paraId="5A2F82BA" w14:textId="77777777" w:rsidR="002C0FD9" w:rsidRPr="00CA25CF" w:rsidRDefault="002C0FD9" w:rsidP="00CA25CF">
            <w:pPr>
              <w:rPr>
                <w:rFonts w:cs="Arial"/>
                <w:color w:val="FF0000"/>
                <w:sz w:val="21"/>
                <w:szCs w:val="21"/>
              </w:rPr>
            </w:pPr>
          </w:p>
        </w:tc>
        <w:tc>
          <w:tcPr>
            <w:tcW w:w="217" w:type="dxa"/>
          </w:tcPr>
          <w:p w14:paraId="6BB70C0F" w14:textId="77777777" w:rsidR="002C0FD9" w:rsidRPr="00CA25CF" w:rsidRDefault="002C0FD9" w:rsidP="00CA25CF">
            <w:pPr>
              <w:rPr>
                <w:rFonts w:cs="Arial"/>
                <w:color w:val="FF0000"/>
                <w:sz w:val="21"/>
                <w:szCs w:val="21"/>
              </w:rPr>
            </w:pPr>
          </w:p>
        </w:tc>
        <w:tc>
          <w:tcPr>
            <w:tcW w:w="217" w:type="dxa"/>
          </w:tcPr>
          <w:p w14:paraId="68568A44" w14:textId="77777777" w:rsidR="002C0FD9" w:rsidRPr="00CA25CF" w:rsidRDefault="002C0FD9" w:rsidP="00CA25CF">
            <w:pPr>
              <w:rPr>
                <w:rFonts w:cs="Arial"/>
                <w:color w:val="FF0000"/>
                <w:sz w:val="21"/>
                <w:szCs w:val="21"/>
              </w:rPr>
            </w:pPr>
          </w:p>
        </w:tc>
        <w:tc>
          <w:tcPr>
            <w:tcW w:w="217" w:type="dxa"/>
          </w:tcPr>
          <w:p w14:paraId="5B03456B" w14:textId="77777777" w:rsidR="002C0FD9" w:rsidRPr="00CA25CF" w:rsidRDefault="002C0FD9" w:rsidP="00CA25CF">
            <w:pPr>
              <w:rPr>
                <w:rFonts w:cs="Arial"/>
                <w:color w:val="FF0000"/>
                <w:sz w:val="21"/>
                <w:szCs w:val="21"/>
              </w:rPr>
            </w:pPr>
          </w:p>
        </w:tc>
        <w:tc>
          <w:tcPr>
            <w:tcW w:w="217" w:type="dxa"/>
          </w:tcPr>
          <w:p w14:paraId="278AF73C" w14:textId="77777777" w:rsidR="002C0FD9" w:rsidRPr="00CA25CF" w:rsidRDefault="002C0FD9" w:rsidP="00CA25CF">
            <w:pPr>
              <w:rPr>
                <w:rFonts w:cs="Arial"/>
                <w:color w:val="FF0000"/>
                <w:sz w:val="21"/>
                <w:szCs w:val="21"/>
              </w:rPr>
            </w:pPr>
          </w:p>
        </w:tc>
        <w:tc>
          <w:tcPr>
            <w:tcW w:w="217" w:type="dxa"/>
          </w:tcPr>
          <w:p w14:paraId="193B78B7" w14:textId="77777777" w:rsidR="002C0FD9" w:rsidRPr="00CA25CF" w:rsidRDefault="002C0FD9" w:rsidP="00CA25CF">
            <w:pPr>
              <w:rPr>
                <w:rFonts w:cs="Arial"/>
                <w:color w:val="FF0000"/>
                <w:sz w:val="21"/>
                <w:szCs w:val="21"/>
              </w:rPr>
            </w:pPr>
          </w:p>
        </w:tc>
        <w:tc>
          <w:tcPr>
            <w:tcW w:w="217" w:type="dxa"/>
          </w:tcPr>
          <w:p w14:paraId="1992B5A3" w14:textId="77777777" w:rsidR="002C0FD9" w:rsidRPr="00CA25CF" w:rsidRDefault="002C0FD9" w:rsidP="00CA25CF">
            <w:pPr>
              <w:rPr>
                <w:rFonts w:cs="Arial"/>
                <w:color w:val="FF0000"/>
                <w:sz w:val="21"/>
                <w:szCs w:val="21"/>
              </w:rPr>
            </w:pPr>
          </w:p>
        </w:tc>
        <w:tc>
          <w:tcPr>
            <w:tcW w:w="217" w:type="dxa"/>
          </w:tcPr>
          <w:p w14:paraId="2C4EE7B0" w14:textId="77777777" w:rsidR="002C0FD9" w:rsidRPr="00CA25CF" w:rsidRDefault="002C0FD9" w:rsidP="00CA25CF">
            <w:pPr>
              <w:rPr>
                <w:rFonts w:cs="Arial"/>
                <w:color w:val="FF0000"/>
                <w:sz w:val="21"/>
                <w:szCs w:val="21"/>
              </w:rPr>
            </w:pPr>
          </w:p>
        </w:tc>
        <w:tc>
          <w:tcPr>
            <w:tcW w:w="217" w:type="dxa"/>
          </w:tcPr>
          <w:p w14:paraId="6A1B0AA0" w14:textId="77777777" w:rsidR="002C0FD9" w:rsidRPr="00CA25CF" w:rsidRDefault="002C0FD9" w:rsidP="00CA25CF">
            <w:pPr>
              <w:rPr>
                <w:rFonts w:cs="Arial"/>
                <w:color w:val="FF0000"/>
                <w:sz w:val="21"/>
                <w:szCs w:val="21"/>
              </w:rPr>
            </w:pPr>
          </w:p>
        </w:tc>
        <w:tc>
          <w:tcPr>
            <w:tcW w:w="217" w:type="dxa"/>
          </w:tcPr>
          <w:p w14:paraId="2A73851A" w14:textId="77777777" w:rsidR="002C0FD9" w:rsidRPr="00CA25CF" w:rsidRDefault="002C0FD9" w:rsidP="00CA25CF">
            <w:pPr>
              <w:rPr>
                <w:rFonts w:cs="Arial"/>
                <w:color w:val="FF0000"/>
                <w:sz w:val="21"/>
                <w:szCs w:val="21"/>
              </w:rPr>
            </w:pPr>
          </w:p>
        </w:tc>
        <w:tc>
          <w:tcPr>
            <w:tcW w:w="217" w:type="dxa"/>
          </w:tcPr>
          <w:p w14:paraId="2CC5FC48" w14:textId="77777777" w:rsidR="002C0FD9" w:rsidRPr="00CA25CF" w:rsidRDefault="002C0FD9" w:rsidP="00CA25CF">
            <w:pPr>
              <w:rPr>
                <w:rFonts w:cs="Arial"/>
                <w:color w:val="FF0000"/>
                <w:sz w:val="21"/>
                <w:szCs w:val="21"/>
              </w:rPr>
            </w:pPr>
          </w:p>
        </w:tc>
        <w:tc>
          <w:tcPr>
            <w:tcW w:w="217" w:type="dxa"/>
          </w:tcPr>
          <w:p w14:paraId="426C14B9" w14:textId="77777777" w:rsidR="002C0FD9" w:rsidRPr="00CA25CF" w:rsidRDefault="002C0FD9" w:rsidP="00CA25CF">
            <w:pPr>
              <w:rPr>
                <w:rFonts w:cs="Arial"/>
                <w:color w:val="FF0000"/>
                <w:sz w:val="21"/>
                <w:szCs w:val="21"/>
              </w:rPr>
            </w:pPr>
          </w:p>
        </w:tc>
        <w:tc>
          <w:tcPr>
            <w:tcW w:w="217" w:type="dxa"/>
          </w:tcPr>
          <w:p w14:paraId="4763CA62" w14:textId="77777777" w:rsidR="002C0FD9" w:rsidRPr="00CA25CF" w:rsidRDefault="002C0FD9" w:rsidP="00CA25CF">
            <w:pPr>
              <w:rPr>
                <w:rFonts w:cs="Arial"/>
                <w:color w:val="FF0000"/>
                <w:sz w:val="21"/>
                <w:szCs w:val="21"/>
              </w:rPr>
            </w:pPr>
          </w:p>
        </w:tc>
        <w:tc>
          <w:tcPr>
            <w:tcW w:w="217" w:type="dxa"/>
          </w:tcPr>
          <w:p w14:paraId="5A57EEE3" w14:textId="77777777" w:rsidR="002C0FD9" w:rsidRPr="00CA25CF" w:rsidRDefault="002C0FD9" w:rsidP="00CA25CF">
            <w:pPr>
              <w:rPr>
                <w:rFonts w:cs="Arial"/>
                <w:color w:val="FF0000"/>
                <w:sz w:val="21"/>
                <w:szCs w:val="21"/>
              </w:rPr>
            </w:pPr>
          </w:p>
        </w:tc>
        <w:tc>
          <w:tcPr>
            <w:tcW w:w="217" w:type="dxa"/>
          </w:tcPr>
          <w:p w14:paraId="7A7459C5" w14:textId="77777777" w:rsidR="002C0FD9" w:rsidRPr="00CA25CF" w:rsidRDefault="002C0FD9" w:rsidP="00CA25CF">
            <w:pPr>
              <w:rPr>
                <w:rFonts w:cs="Arial"/>
                <w:color w:val="FF0000"/>
                <w:sz w:val="21"/>
                <w:szCs w:val="21"/>
              </w:rPr>
            </w:pPr>
          </w:p>
        </w:tc>
        <w:tc>
          <w:tcPr>
            <w:tcW w:w="217" w:type="dxa"/>
          </w:tcPr>
          <w:p w14:paraId="5CA4DC91" w14:textId="77777777" w:rsidR="002C0FD9" w:rsidRPr="00CA25CF" w:rsidRDefault="002C0FD9" w:rsidP="00CA25CF">
            <w:pPr>
              <w:rPr>
                <w:rFonts w:cs="Arial"/>
                <w:color w:val="FF0000"/>
                <w:sz w:val="21"/>
                <w:szCs w:val="21"/>
              </w:rPr>
            </w:pPr>
          </w:p>
        </w:tc>
        <w:tc>
          <w:tcPr>
            <w:tcW w:w="217" w:type="dxa"/>
          </w:tcPr>
          <w:p w14:paraId="3BAE8636" w14:textId="77777777" w:rsidR="002C0FD9" w:rsidRPr="00CA25CF" w:rsidRDefault="002C0FD9" w:rsidP="00CA25CF">
            <w:pPr>
              <w:rPr>
                <w:rFonts w:cs="Arial"/>
                <w:color w:val="FF0000"/>
                <w:sz w:val="21"/>
                <w:szCs w:val="21"/>
              </w:rPr>
            </w:pPr>
          </w:p>
        </w:tc>
        <w:tc>
          <w:tcPr>
            <w:tcW w:w="217" w:type="dxa"/>
          </w:tcPr>
          <w:p w14:paraId="315F8FCC" w14:textId="77777777" w:rsidR="002C0FD9" w:rsidRPr="00CA25CF" w:rsidRDefault="002C0FD9" w:rsidP="00CA25CF">
            <w:pPr>
              <w:rPr>
                <w:rFonts w:cs="Arial"/>
                <w:color w:val="FF0000"/>
                <w:sz w:val="21"/>
                <w:szCs w:val="21"/>
              </w:rPr>
            </w:pPr>
          </w:p>
        </w:tc>
      </w:tr>
      <w:tr w:rsidR="002C0FD9" w:rsidRPr="00A16219" w14:paraId="26AF224D" w14:textId="39C04682" w:rsidTr="002C0FD9">
        <w:trPr>
          <w:trHeight w:val="635"/>
        </w:trPr>
        <w:tc>
          <w:tcPr>
            <w:tcW w:w="515" w:type="dxa"/>
          </w:tcPr>
          <w:p w14:paraId="611EC2D0" w14:textId="77777777" w:rsidR="002C0FD9" w:rsidRPr="00CA25CF" w:rsidRDefault="002C0FD9" w:rsidP="00CA25CF">
            <w:pPr>
              <w:rPr>
                <w:rFonts w:cs="Arial"/>
                <w:color w:val="FF0000"/>
                <w:sz w:val="21"/>
                <w:szCs w:val="21"/>
              </w:rPr>
            </w:pPr>
          </w:p>
        </w:tc>
        <w:tc>
          <w:tcPr>
            <w:tcW w:w="217" w:type="dxa"/>
          </w:tcPr>
          <w:p w14:paraId="5BDA1522" w14:textId="77777777" w:rsidR="002C0FD9" w:rsidRPr="00CA25CF" w:rsidRDefault="002C0FD9" w:rsidP="00CA25CF">
            <w:pPr>
              <w:rPr>
                <w:rFonts w:cs="Arial"/>
                <w:color w:val="FF0000"/>
                <w:sz w:val="21"/>
                <w:szCs w:val="21"/>
              </w:rPr>
            </w:pPr>
          </w:p>
        </w:tc>
        <w:tc>
          <w:tcPr>
            <w:tcW w:w="217" w:type="dxa"/>
          </w:tcPr>
          <w:p w14:paraId="742496A0" w14:textId="59744078" w:rsidR="002C0FD9" w:rsidRPr="00CA25CF" w:rsidRDefault="002C0FD9" w:rsidP="00CA25CF">
            <w:pPr>
              <w:rPr>
                <w:rFonts w:cs="Arial"/>
                <w:color w:val="FF0000"/>
                <w:sz w:val="21"/>
                <w:szCs w:val="21"/>
              </w:rPr>
            </w:pPr>
          </w:p>
        </w:tc>
        <w:tc>
          <w:tcPr>
            <w:tcW w:w="217" w:type="dxa"/>
          </w:tcPr>
          <w:p w14:paraId="3AB37C00" w14:textId="77777777" w:rsidR="002C0FD9" w:rsidRPr="00CA25CF" w:rsidRDefault="002C0FD9" w:rsidP="00CA25CF">
            <w:pPr>
              <w:rPr>
                <w:rFonts w:cs="Arial"/>
                <w:color w:val="FF0000"/>
                <w:sz w:val="21"/>
                <w:szCs w:val="21"/>
              </w:rPr>
            </w:pPr>
          </w:p>
        </w:tc>
        <w:tc>
          <w:tcPr>
            <w:tcW w:w="217" w:type="dxa"/>
          </w:tcPr>
          <w:p w14:paraId="12A8D9DB" w14:textId="77777777" w:rsidR="002C0FD9" w:rsidRPr="00CA25CF" w:rsidRDefault="002C0FD9" w:rsidP="00CA25CF">
            <w:pPr>
              <w:rPr>
                <w:rFonts w:cs="Arial"/>
                <w:color w:val="FF0000"/>
                <w:sz w:val="21"/>
                <w:szCs w:val="21"/>
              </w:rPr>
            </w:pPr>
          </w:p>
        </w:tc>
        <w:tc>
          <w:tcPr>
            <w:tcW w:w="217" w:type="dxa"/>
          </w:tcPr>
          <w:p w14:paraId="72BA4F77" w14:textId="77777777" w:rsidR="002C0FD9" w:rsidRPr="00CA25CF" w:rsidRDefault="002C0FD9" w:rsidP="00CA25CF">
            <w:pPr>
              <w:rPr>
                <w:rFonts w:cs="Arial"/>
                <w:color w:val="FF0000"/>
                <w:sz w:val="21"/>
                <w:szCs w:val="21"/>
              </w:rPr>
            </w:pPr>
          </w:p>
        </w:tc>
        <w:tc>
          <w:tcPr>
            <w:tcW w:w="217" w:type="dxa"/>
          </w:tcPr>
          <w:p w14:paraId="70878F2C" w14:textId="77777777" w:rsidR="002C0FD9" w:rsidRPr="00CA25CF" w:rsidRDefault="002C0FD9" w:rsidP="00CA25CF">
            <w:pPr>
              <w:rPr>
                <w:rFonts w:cs="Arial"/>
                <w:color w:val="FF0000"/>
                <w:sz w:val="21"/>
                <w:szCs w:val="21"/>
              </w:rPr>
            </w:pPr>
          </w:p>
        </w:tc>
        <w:tc>
          <w:tcPr>
            <w:tcW w:w="217" w:type="dxa"/>
          </w:tcPr>
          <w:p w14:paraId="1B8C906F" w14:textId="77777777" w:rsidR="002C0FD9" w:rsidRPr="00CA25CF" w:rsidRDefault="002C0FD9" w:rsidP="00CA25CF">
            <w:pPr>
              <w:rPr>
                <w:rFonts w:cs="Arial"/>
                <w:color w:val="FF0000"/>
                <w:sz w:val="21"/>
                <w:szCs w:val="21"/>
              </w:rPr>
            </w:pPr>
          </w:p>
        </w:tc>
        <w:tc>
          <w:tcPr>
            <w:tcW w:w="217" w:type="dxa"/>
          </w:tcPr>
          <w:p w14:paraId="7A8DB921" w14:textId="77777777" w:rsidR="002C0FD9" w:rsidRPr="00CA25CF" w:rsidRDefault="002C0FD9" w:rsidP="00CA25CF">
            <w:pPr>
              <w:rPr>
                <w:rFonts w:cs="Arial"/>
                <w:color w:val="FF0000"/>
                <w:sz w:val="21"/>
                <w:szCs w:val="21"/>
              </w:rPr>
            </w:pPr>
          </w:p>
        </w:tc>
        <w:tc>
          <w:tcPr>
            <w:tcW w:w="217" w:type="dxa"/>
          </w:tcPr>
          <w:p w14:paraId="2A0419C8" w14:textId="77777777" w:rsidR="002C0FD9" w:rsidRPr="00CA25CF" w:rsidRDefault="002C0FD9" w:rsidP="00CA25CF">
            <w:pPr>
              <w:rPr>
                <w:rFonts w:cs="Arial"/>
                <w:color w:val="FF0000"/>
                <w:sz w:val="21"/>
                <w:szCs w:val="21"/>
              </w:rPr>
            </w:pPr>
          </w:p>
        </w:tc>
        <w:tc>
          <w:tcPr>
            <w:tcW w:w="217" w:type="dxa"/>
          </w:tcPr>
          <w:p w14:paraId="7A5DCB9E" w14:textId="77777777" w:rsidR="002C0FD9" w:rsidRPr="00CA25CF" w:rsidRDefault="002C0FD9" w:rsidP="00CA25CF">
            <w:pPr>
              <w:rPr>
                <w:rFonts w:cs="Arial"/>
                <w:color w:val="FF0000"/>
                <w:sz w:val="21"/>
                <w:szCs w:val="21"/>
              </w:rPr>
            </w:pPr>
          </w:p>
        </w:tc>
        <w:tc>
          <w:tcPr>
            <w:tcW w:w="217" w:type="dxa"/>
          </w:tcPr>
          <w:p w14:paraId="7B5974EA" w14:textId="77777777" w:rsidR="002C0FD9" w:rsidRPr="00CA25CF" w:rsidRDefault="002C0FD9" w:rsidP="00CA25CF">
            <w:pPr>
              <w:rPr>
                <w:rFonts w:cs="Arial"/>
                <w:color w:val="FF0000"/>
                <w:sz w:val="21"/>
                <w:szCs w:val="21"/>
              </w:rPr>
            </w:pPr>
          </w:p>
        </w:tc>
        <w:tc>
          <w:tcPr>
            <w:tcW w:w="217" w:type="dxa"/>
          </w:tcPr>
          <w:p w14:paraId="31E73343" w14:textId="77777777" w:rsidR="002C0FD9" w:rsidRPr="00CA25CF" w:rsidRDefault="002C0FD9" w:rsidP="00CA25CF">
            <w:pPr>
              <w:rPr>
                <w:rFonts w:cs="Arial"/>
                <w:color w:val="FF0000"/>
                <w:sz w:val="21"/>
                <w:szCs w:val="21"/>
              </w:rPr>
            </w:pPr>
          </w:p>
        </w:tc>
        <w:tc>
          <w:tcPr>
            <w:tcW w:w="217" w:type="dxa"/>
          </w:tcPr>
          <w:p w14:paraId="0DA66DBB" w14:textId="77777777" w:rsidR="002C0FD9" w:rsidRPr="00CA25CF" w:rsidRDefault="002C0FD9" w:rsidP="00CA25CF">
            <w:pPr>
              <w:rPr>
                <w:rFonts w:cs="Arial"/>
                <w:color w:val="FF0000"/>
                <w:sz w:val="21"/>
                <w:szCs w:val="21"/>
              </w:rPr>
            </w:pPr>
          </w:p>
        </w:tc>
        <w:tc>
          <w:tcPr>
            <w:tcW w:w="217" w:type="dxa"/>
          </w:tcPr>
          <w:p w14:paraId="44CC50FC" w14:textId="77777777" w:rsidR="002C0FD9" w:rsidRPr="00CA25CF" w:rsidRDefault="002C0FD9" w:rsidP="00CA25CF">
            <w:pPr>
              <w:rPr>
                <w:rFonts w:cs="Arial"/>
                <w:color w:val="FF0000"/>
                <w:sz w:val="21"/>
                <w:szCs w:val="21"/>
              </w:rPr>
            </w:pPr>
          </w:p>
        </w:tc>
        <w:tc>
          <w:tcPr>
            <w:tcW w:w="217" w:type="dxa"/>
          </w:tcPr>
          <w:p w14:paraId="6D4BBA45" w14:textId="77777777" w:rsidR="002C0FD9" w:rsidRPr="00CA25CF" w:rsidRDefault="002C0FD9" w:rsidP="00CA25CF">
            <w:pPr>
              <w:rPr>
                <w:rFonts w:cs="Arial"/>
                <w:color w:val="FF0000"/>
                <w:sz w:val="21"/>
                <w:szCs w:val="21"/>
              </w:rPr>
            </w:pPr>
          </w:p>
        </w:tc>
        <w:tc>
          <w:tcPr>
            <w:tcW w:w="217" w:type="dxa"/>
          </w:tcPr>
          <w:p w14:paraId="0D35EA65" w14:textId="77777777" w:rsidR="002C0FD9" w:rsidRPr="00CA25CF" w:rsidRDefault="002C0FD9" w:rsidP="00CA25CF">
            <w:pPr>
              <w:rPr>
                <w:rFonts w:cs="Arial"/>
                <w:color w:val="FF0000"/>
                <w:sz w:val="21"/>
                <w:szCs w:val="21"/>
              </w:rPr>
            </w:pPr>
          </w:p>
        </w:tc>
        <w:tc>
          <w:tcPr>
            <w:tcW w:w="217" w:type="dxa"/>
          </w:tcPr>
          <w:p w14:paraId="686DEBCC" w14:textId="77777777" w:rsidR="002C0FD9" w:rsidRPr="00CA25CF" w:rsidRDefault="002C0FD9" w:rsidP="00CA25CF">
            <w:pPr>
              <w:rPr>
                <w:rFonts w:cs="Arial"/>
                <w:color w:val="FF0000"/>
                <w:sz w:val="21"/>
                <w:szCs w:val="21"/>
              </w:rPr>
            </w:pPr>
          </w:p>
        </w:tc>
        <w:tc>
          <w:tcPr>
            <w:tcW w:w="217" w:type="dxa"/>
          </w:tcPr>
          <w:p w14:paraId="5BFBD968" w14:textId="77777777" w:rsidR="002C0FD9" w:rsidRPr="00CA25CF" w:rsidRDefault="002C0FD9" w:rsidP="00CA25CF">
            <w:pPr>
              <w:rPr>
                <w:rFonts w:cs="Arial"/>
                <w:color w:val="FF0000"/>
                <w:sz w:val="21"/>
                <w:szCs w:val="21"/>
              </w:rPr>
            </w:pPr>
          </w:p>
        </w:tc>
        <w:tc>
          <w:tcPr>
            <w:tcW w:w="217" w:type="dxa"/>
          </w:tcPr>
          <w:p w14:paraId="67D064FD" w14:textId="77777777" w:rsidR="002C0FD9" w:rsidRPr="00CA25CF" w:rsidRDefault="002C0FD9" w:rsidP="00CA25CF">
            <w:pPr>
              <w:rPr>
                <w:rFonts w:cs="Arial"/>
                <w:color w:val="FF0000"/>
                <w:sz w:val="21"/>
                <w:szCs w:val="21"/>
              </w:rPr>
            </w:pPr>
          </w:p>
        </w:tc>
        <w:tc>
          <w:tcPr>
            <w:tcW w:w="217" w:type="dxa"/>
          </w:tcPr>
          <w:p w14:paraId="40BF2191" w14:textId="77777777" w:rsidR="002C0FD9" w:rsidRPr="00CA25CF" w:rsidRDefault="002C0FD9" w:rsidP="00CA25CF">
            <w:pPr>
              <w:rPr>
                <w:rFonts w:cs="Arial"/>
                <w:color w:val="FF0000"/>
                <w:sz w:val="21"/>
                <w:szCs w:val="21"/>
              </w:rPr>
            </w:pPr>
          </w:p>
        </w:tc>
        <w:tc>
          <w:tcPr>
            <w:tcW w:w="217" w:type="dxa"/>
          </w:tcPr>
          <w:p w14:paraId="7F77817A" w14:textId="77777777" w:rsidR="002C0FD9" w:rsidRPr="00CA25CF" w:rsidRDefault="002C0FD9" w:rsidP="00CA25CF">
            <w:pPr>
              <w:rPr>
                <w:rFonts w:cs="Arial"/>
                <w:color w:val="FF0000"/>
                <w:sz w:val="21"/>
                <w:szCs w:val="21"/>
              </w:rPr>
            </w:pPr>
          </w:p>
        </w:tc>
        <w:tc>
          <w:tcPr>
            <w:tcW w:w="217" w:type="dxa"/>
          </w:tcPr>
          <w:p w14:paraId="205DBC2D" w14:textId="77777777" w:rsidR="002C0FD9" w:rsidRPr="00CA25CF" w:rsidRDefault="002C0FD9" w:rsidP="00CA25CF">
            <w:pPr>
              <w:rPr>
                <w:rFonts w:cs="Arial"/>
                <w:color w:val="FF0000"/>
                <w:sz w:val="21"/>
                <w:szCs w:val="21"/>
              </w:rPr>
            </w:pPr>
          </w:p>
        </w:tc>
        <w:tc>
          <w:tcPr>
            <w:tcW w:w="217" w:type="dxa"/>
          </w:tcPr>
          <w:p w14:paraId="4708C0BF" w14:textId="77777777" w:rsidR="002C0FD9" w:rsidRPr="00CA25CF" w:rsidRDefault="002C0FD9" w:rsidP="00CA25CF">
            <w:pPr>
              <w:rPr>
                <w:rFonts w:cs="Arial"/>
                <w:color w:val="FF0000"/>
                <w:sz w:val="21"/>
                <w:szCs w:val="21"/>
              </w:rPr>
            </w:pPr>
          </w:p>
        </w:tc>
        <w:tc>
          <w:tcPr>
            <w:tcW w:w="217" w:type="dxa"/>
          </w:tcPr>
          <w:p w14:paraId="35D73448" w14:textId="77777777" w:rsidR="002C0FD9" w:rsidRPr="00CA25CF" w:rsidRDefault="002C0FD9" w:rsidP="00CA25CF">
            <w:pPr>
              <w:rPr>
                <w:rFonts w:cs="Arial"/>
                <w:color w:val="FF0000"/>
                <w:sz w:val="21"/>
                <w:szCs w:val="21"/>
              </w:rPr>
            </w:pPr>
          </w:p>
        </w:tc>
        <w:tc>
          <w:tcPr>
            <w:tcW w:w="217" w:type="dxa"/>
          </w:tcPr>
          <w:p w14:paraId="1BFD8048" w14:textId="77777777" w:rsidR="002C0FD9" w:rsidRPr="00CA25CF" w:rsidRDefault="002C0FD9" w:rsidP="00CA25CF">
            <w:pPr>
              <w:rPr>
                <w:rFonts w:cs="Arial"/>
                <w:color w:val="FF0000"/>
                <w:sz w:val="21"/>
                <w:szCs w:val="21"/>
              </w:rPr>
            </w:pPr>
          </w:p>
        </w:tc>
        <w:tc>
          <w:tcPr>
            <w:tcW w:w="217" w:type="dxa"/>
          </w:tcPr>
          <w:p w14:paraId="672F00A1" w14:textId="77777777" w:rsidR="002C0FD9" w:rsidRPr="00CA25CF" w:rsidRDefault="002C0FD9" w:rsidP="00CA25CF">
            <w:pPr>
              <w:rPr>
                <w:rFonts w:cs="Arial"/>
                <w:color w:val="FF0000"/>
                <w:sz w:val="21"/>
                <w:szCs w:val="21"/>
              </w:rPr>
            </w:pPr>
          </w:p>
        </w:tc>
        <w:tc>
          <w:tcPr>
            <w:tcW w:w="217" w:type="dxa"/>
          </w:tcPr>
          <w:p w14:paraId="1137FC5B" w14:textId="77777777" w:rsidR="002C0FD9" w:rsidRPr="00CA25CF" w:rsidRDefault="002C0FD9" w:rsidP="00CA25CF">
            <w:pPr>
              <w:rPr>
                <w:rFonts w:cs="Arial"/>
                <w:color w:val="FF0000"/>
                <w:sz w:val="21"/>
                <w:szCs w:val="21"/>
              </w:rPr>
            </w:pPr>
          </w:p>
        </w:tc>
        <w:tc>
          <w:tcPr>
            <w:tcW w:w="217" w:type="dxa"/>
          </w:tcPr>
          <w:p w14:paraId="2BD8D6B2" w14:textId="77777777" w:rsidR="002C0FD9" w:rsidRPr="00CA25CF" w:rsidRDefault="002C0FD9" w:rsidP="00CA25CF">
            <w:pPr>
              <w:rPr>
                <w:rFonts w:cs="Arial"/>
                <w:color w:val="FF0000"/>
                <w:sz w:val="21"/>
                <w:szCs w:val="21"/>
              </w:rPr>
            </w:pPr>
          </w:p>
        </w:tc>
        <w:tc>
          <w:tcPr>
            <w:tcW w:w="217" w:type="dxa"/>
          </w:tcPr>
          <w:p w14:paraId="38B147E0" w14:textId="77777777" w:rsidR="002C0FD9" w:rsidRPr="00CA25CF" w:rsidRDefault="002C0FD9" w:rsidP="00CA25CF">
            <w:pPr>
              <w:rPr>
                <w:rFonts w:cs="Arial"/>
                <w:color w:val="FF0000"/>
                <w:sz w:val="21"/>
                <w:szCs w:val="21"/>
              </w:rPr>
            </w:pPr>
          </w:p>
        </w:tc>
        <w:tc>
          <w:tcPr>
            <w:tcW w:w="217" w:type="dxa"/>
          </w:tcPr>
          <w:p w14:paraId="041F34B8" w14:textId="77777777" w:rsidR="002C0FD9" w:rsidRPr="00CA25CF" w:rsidRDefault="002C0FD9" w:rsidP="00CA25CF">
            <w:pPr>
              <w:rPr>
                <w:rFonts w:cs="Arial"/>
                <w:color w:val="FF0000"/>
                <w:sz w:val="21"/>
                <w:szCs w:val="21"/>
              </w:rPr>
            </w:pPr>
          </w:p>
        </w:tc>
        <w:tc>
          <w:tcPr>
            <w:tcW w:w="217" w:type="dxa"/>
          </w:tcPr>
          <w:p w14:paraId="3C36303D" w14:textId="77777777" w:rsidR="002C0FD9" w:rsidRPr="00CA25CF" w:rsidRDefault="002C0FD9" w:rsidP="00CA25CF">
            <w:pPr>
              <w:rPr>
                <w:rFonts w:cs="Arial"/>
                <w:color w:val="FF0000"/>
                <w:sz w:val="21"/>
                <w:szCs w:val="21"/>
              </w:rPr>
            </w:pPr>
          </w:p>
        </w:tc>
        <w:tc>
          <w:tcPr>
            <w:tcW w:w="217" w:type="dxa"/>
          </w:tcPr>
          <w:p w14:paraId="05E5733F" w14:textId="77777777" w:rsidR="002C0FD9" w:rsidRPr="00CA25CF" w:rsidRDefault="002C0FD9" w:rsidP="00CA25CF">
            <w:pPr>
              <w:rPr>
                <w:rFonts w:cs="Arial"/>
                <w:color w:val="FF0000"/>
                <w:sz w:val="21"/>
                <w:szCs w:val="21"/>
              </w:rPr>
            </w:pPr>
          </w:p>
        </w:tc>
        <w:tc>
          <w:tcPr>
            <w:tcW w:w="217" w:type="dxa"/>
          </w:tcPr>
          <w:p w14:paraId="4E82FE9E" w14:textId="77777777" w:rsidR="002C0FD9" w:rsidRPr="00CA25CF" w:rsidRDefault="002C0FD9" w:rsidP="00CA25CF">
            <w:pPr>
              <w:rPr>
                <w:rFonts w:cs="Arial"/>
                <w:color w:val="FF0000"/>
                <w:sz w:val="21"/>
                <w:szCs w:val="21"/>
              </w:rPr>
            </w:pPr>
          </w:p>
        </w:tc>
        <w:tc>
          <w:tcPr>
            <w:tcW w:w="217" w:type="dxa"/>
          </w:tcPr>
          <w:p w14:paraId="126EDF39" w14:textId="77777777" w:rsidR="002C0FD9" w:rsidRPr="00CA25CF" w:rsidRDefault="002C0FD9" w:rsidP="00CA25CF">
            <w:pPr>
              <w:rPr>
                <w:rFonts w:cs="Arial"/>
                <w:color w:val="FF0000"/>
                <w:sz w:val="21"/>
                <w:szCs w:val="21"/>
              </w:rPr>
            </w:pPr>
          </w:p>
        </w:tc>
        <w:tc>
          <w:tcPr>
            <w:tcW w:w="217" w:type="dxa"/>
          </w:tcPr>
          <w:p w14:paraId="42764FCB" w14:textId="77777777" w:rsidR="002C0FD9" w:rsidRPr="00CA25CF" w:rsidRDefault="002C0FD9" w:rsidP="00CA25CF">
            <w:pPr>
              <w:rPr>
                <w:rFonts w:cs="Arial"/>
                <w:color w:val="FF0000"/>
                <w:sz w:val="21"/>
                <w:szCs w:val="21"/>
              </w:rPr>
            </w:pPr>
          </w:p>
        </w:tc>
        <w:tc>
          <w:tcPr>
            <w:tcW w:w="217" w:type="dxa"/>
          </w:tcPr>
          <w:p w14:paraId="4FE00087" w14:textId="77777777" w:rsidR="002C0FD9" w:rsidRPr="00CA25CF" w:rsidRDefault="002C0FD9" w:rsidP="00CA25CF">
            <w:pPr>
              <w:rPr>
                <w:rFonts w:cs="Arial"/>
                <w:color w:val="FF0000"/>
                <w:sz w:val="21"/>
                <w:szCs w:val="21"/>
              </w:rPr>
            </w:pPr>
          </w:p>
        </w:tc>
        <w:tc>
          <w:tcPr>
            <w:tcW w:w="217" w:type="dxa"/>
          </w:tcPr>
          <w:p w14:paraId="5F811674" w14:textId="77777777" w:rsidR="002C0FD9" w:rsidRPr="00CA25CF" w:rsidRDefault="002C0FD9" w:rsidP="00CA25CF">
            <w:pPr>
              <w:rPr>
                <w:rFonts w:cs="Arial"/>
                <w:color w:val="FF0000"/>
                <w:sz w:val="21"/>
                <w:szCs w:val="21"/>
              </w:rPr>
            </w:pPr>
          </w:p>
        </w:tc>
        <w:tc>
          <w:tcPr>
            <w:tcW w:w="217" w:type="dxa"/>
          </w:tcPr>
          <w:p w14:paraId="7647510E" w14:textId="77777777" w:rsidR="002C0FD9" w:rsidRPr="00CA25CF" w:rsidRDefault="002C0FD9" w:rsidP="00CA25CF">
            <w:pPr>
              <w:rPr>
                <w:rFonts w:cs="Arial"/>
                <w:color w:val="FF0000"/>
                <w:sz w:val="21"/>
                <w:szCs w:val="21"/>
              </w:rPr>
            </w:pPr>
          </w:p>
        </w:tc>
        <w:tc>
          <w:tcPr>
            <w:tcW w:w="217" w:type="dxa"/>
          </w:tcPr>
          <w:p w14:paraId="28FD7C06" w14:textId="77777777" w:rsidR="002C0FD9" w:rsidRPr="00CA25CF" w:rsidRDefault="002C0FD9" w:rsidP="00CA25CF">
            <w:pPr>
              <w:rPr>
                <w:rFonts w:cs="Arial"/>
                <w:color w:val="FF0000"/>
                <w:sz w:val="21"/>
                <w:szCs w:val="21"/>
              </w:rPr>
            </w:pPr>
          </w:p>
        </w:tc>
        <w:tc>
          <w:tcPr>
            <w:tcW w:w="217" w:type="dxa"/>
          </w:tcPr>
          <w:p w14:paraId="1F8BC846" w14:textId="77777777" w:rsidR="002C0FD9" w:rsidRPr="00CA25CF" w:rsidRDefault="002C0FD9" w:rsidP="00CA25CF">
            <w:pPr>
              <w:rPr>
                <w:rFonts w:cs="Arial"/>
                <w:color w:val="FF0000"/>
                <w:sz w:val="21"/>
                <w:szCs w:val="21"/>
              </w:rPr>
            </w:pPr>
          </w:p>
        </w:tc>
        <w:tc>
          <w:tcPr>
            <w:tcW w:w="217" w:type="dxa"/>
          </w:tcPr>
          <w:p w14:paraId="508EF3F4" w14:textId="77777777" w:rsidR="002C0FD9" w:rsidRPr="00CA25CF" w:rsidRDefault="002C0FD9" w:rsidP="00CA25CF">
            <w:pPr>
              <w:rPr>
                <w:rFonts w:cs="Arial"/>
                <w:color w:val="FF0000"/>
                <w:sz w:val="21"/>
                <w:szCs w:val="21"/>
              </w:rPr>
            </w:pPr>
          </w:p>
        </w:tc>
        <w:tc>
          <w:tcPr>
            <w:tcW w:w="217" w:type="dxa"/>
          </w:tcPr>
          <w:p w14:paraId="1731BF45" w14:textId="77777777" w:rsidR="002C0FD9" w:rsidRPr="00CA25CF" w:rsidRDefault="002C0FD9" w:rsidP="00CA25CF">
            <w:pPr>
              <w:rPr>
                <w:rFonts w:cs="Arial"/>
                <w:color w:val="FF0000"/>
                <w:sz w:val="21"/>
                <w:szCs w:val="21"/>
              </w:rPr>
            </w:pPr>
          </w:p>
        </w:tc>
      </w:tr>
      <w:tr w:rsidR="002C0FD9" w:rsidRPr="00A16219" w14:paraId="14A39EC2" w14:textId="08087051" w:rsidTr="002C0FD9">
        <w:trPr>
          <w:trHeight w:val="635"/>
        </w:trPr>
        <w:tc>
          <w:tcPr>
            <w:tcW w:w="515" w:type="dxa"/>
          </w:tcPr>
          <w:p w14:paraId="27C3BCEA" w14:textId="77777777" w:rsidR="002C0FD9" w:rsidRPr="00CA25CF" w:rsidRDefault="002C0FD9" w:rsidP="00CA25CF">
            <w:pPr>
              <w:rPr>
                <w:rFonts w:cs="Arial"/>
                <w:color w:val="FF0000"/>
                <w:sz w:val="21"/>
                <w:szCs w:val="21"/>
              </w:rPr>
            </w:pPr>
          </w:p>
        </w:tc>
        <w:tc>
          <w:tcPr>
            <w:tcW w:w="217" w:type="dxa"/>
          </w:tcPr>
          <w:p w14:paraId="0EDC19D9" w14:textId="77777777" w:rsidR="002C0FD9" w:rsidRPr="00CA25CF" w:rsidRDefault="002C0FD9" w:rsidP="00CA25CF">
            <w:pPr>
              <w:rPr>
                <w:rFonts w:cs="Arial"/>
                <w:color w:val="FF0000"/>
                <w:sz w:val="21"/>
                <w:szCs w:val="21"/>
              </w:rPr>
            </w:pPr>
          </w:p>
        </w:tc>
        <w:tc>
          <w:tcPr>
            <w:tcW w:w="217" w:type="dxa"/>
          </w:tcPr>
          <w:p w14:paraId="1B3327CA" w14:textId="537A1DF5" w:rsidR="002C0FD9" w:rsidRPr="00CA25CF" w:rsidRDefault="002C0FD9" w:rsidP="00CA25CF">
            <w:pPr>
              <w:rPr>
                <w:rFonts w:cs="Arial"/>
                <w:color w:val="FF0000"/>
                <w:sz w:val="21"/>
                <w:szCs w:val="21"/>
              </w:rPr>
            </w:pPr>
          </w:p>
        </w:tc>
        <w:tc>
          <w:tcPr>
            <w:tcW w:w="217" w:type="dxa"/>
          </w:tcPr>
          <w:p w14:paraId="148A2E80" w14:textId="77777777" w:rsidR="002C0FD9" w:rsidRPr="00CA25CF" w:rsidRDefault="002C0FD9" w:rsidP="00CA25CF">
            <w:pPr>
              <w:rPr>
                <w:rFonts w:cs="Arial"/>
                <w:color w:val="FF0000"/>
                <w:sz w:val="21"/>
                <w:szCs w:val="21"/>
              </w:rPr>
            </w:pPr>
          </w:p>
        </w:tc>
        <w:tc>
          <w:tcPr>
            <w:tcW w:w="217" w:type="dxa"/>
          </w:tcPr>
          <w:p w14:paraId="1426AE3C" w14:textId="77777777" w:rsidR="002C0FD9" w:rsidRPr="00CA25CF" w:rsidRDefault="002C0FD9" w:rsidP="00CA25CF">
            <w:pPr>
              <w:rPr>
                <w:rFonts w:cs="Arial"/>
                <w:color w:val="FF0000"/>
                <w:sz w:val="21"/>
                <w:szCs w:val="21"/>
              </w:rPr>
            </w:pPr>
          </w:p>
        </w:tc>
        <w:tc>
          <w:tcPr>
            <w:tcW w:w="217" w:type="dxa"/>
          </w:tcPr>
          <w:p w14:paraId="2AF6DD15" w14:textId="77777777" w:rsidR="002C0FD9" w:rsidRPr="00CA25CF" w:rsidRDefault="002C0FD9" w:rsidP="00CA25CF">
            <w:pPr>
              <w:rPr>
                <w:rFonts w:cs="Arial"/>
                <w:color w:val="FF0000"/>
                <w:sz w:val="21"/>
                <w:szCs w:val="21"/>
              </w:rPr>
            </w:pPr>
          </w:p>
        </w:tc>
        <w:tc>
          <w:tcPr>
            <w:tcW w:w="217" w:type="dxa"/>
          </w:tcPr>
          <w:p w14:paraId="5B8C4BB0" w14:textId="77777777" w:rsidR="002C0FD9" w:rsidRPr="00CA25CF" w:rsidRDefault="002C0FD9" w:rsidP="00CA25CF">
            <w:pPr>
              <w:rPr>
                <w:rFonts w:cs="Arial"/>
                <w:color w:val="FF0000"/>
                <w:sz w:val="21"/>
                <w:szCs w:val="21"/>
              </w:rPr>
            </w:pPr>
          </w:p>
        </w:tc>
        <w:tc>
          <w:tcPr>
            <w:tcW w:w="217" w:type="dxa"/>
          </w:tcPr>
          <w:p w14:paraId="30408FB5" w14:textId="77777777" w:rsidR="002C0FD9" w:rsidRPr="00CA25CF" w:rsidRDefault="002C0FD9" w:rsidP="00CA25CF">
            <w:pPr>
              <w:rPr>
                <w:rFonts w:cs="Arial"/>
                <w:color w:val="FF0000"/>
                <w:sz w:val="21"/>
                <w:szCs w:val="21"/>
              </w:rPr>
            </w:pPr>
          </w:p>
        </w:tc>
        <w:tc>
          <w:tcPr>
            <w:tcW w:w="217" w:type="dxa"/>
          </w:tcPr>
          <w:p w14:paraId="37D5D464" w14:textId="77777777" w:rsidR="002C0FD9" w:rsidRPr="00CA25CF" w:rsidRDefault="002C0FD9" w:rsidP="00CA25CF">
            <w:pPr>
              <w:rPr>
                <w:rFonts w:cs="Arial"/>
                <w:color w:val="FF0000"/>
                <w:sz w:val="21"/>
                <w:szCs w:val="21"/>
              </w:rPr>
            </w:pPr>
          </w:p>
        </w:tc>
        <w:tc>
          <w:tcPr>
            <w:tcW w:w="217" w:type="dxa"/>
          </w:tcPr>
          <w:p w14:paraId="2141DEAA" w14:textId="77777777" w:rsidR="002C0FD9" w:rsidRPr="00CA25CF" w:rsidRDefault="002C0FD9" w:rsidP="00CA25CF">
            <w:pPr>
              <w:rPr>
                <w:rFonts w:cs="Arial"/>
                <w:color w:val="FF0000"/>
                <w:sz w:val="21"/>
                <w:szCs w:val="21"/>
              </w:rPr>
            </w:pPr>
          </w:p>
        </w:tc>
        <w:tc>
          <w:tcPr>
            <w:tcW w:w="217" w:type="dxa"/>
          </w:tcPr>
          <w:p w14:paraId="7707ED88" w14:textId="77777777" w:rsidR="002C0FD9" w:rsidRPr="00CA25CF" w:rsidRDefault="002C0FD9" w:rsidP="00CA25CF">
            <w:pPr>
              <w:rPr>
                <w:rFonts w:cs="Arial"/>
                <w:color w:val="FF0000"/>
                <w:sz w:val="21"/>
                <w:szCs w:val="21"/>
              </w:rPr>
            </w:pPr>
          </w:p>
        </w:tc>
        <w:tc>
          <w:tcPr>
            <w:tcW w:w="217" w:type="dxa"/>
          </w:tcPr>
          <w:p w14:paraId="06306914" w14:textId="77777777" w:rsidR="002C0FD9" w:rsidRPr="00CA25CF" w:rsidRDefault="002C0FD9" w:rsidP="00CA25CF">
            <w:pPr>
              <w:rPr>
                <w:rFonts w:cs="Arial"/>
                <w:color w:val="FF0000"/>
                <w:sz w:val="21"/>
                <w:szCs w:val="21"/>
              </w:rPr>
            </w:pPr>
          </w:p>
        </w:tc>
        <w:tc>
          <w:tcPr>
            <w:tcW w:w="217" w:type="dxa"/>
          </w:tcPr>
          <w:p w14:paraId="0A3BE2AF" w14:textId="77777777" w:rsidR="002C0FD9" w:rsidRPr="00CA25CF" w:rsidRDefault="002C0FD9" w:rsidP="00CA25CF">
            <w:pPr>
              <w:rPr>
                <w:rFonts w:cs="Arial"/>
                <w:color w:val="FF0000"/>
                <w:sz w:val="21"/>
                <w:szCs w:val="21"/>
              </w:rPr>
            </w:pPr>
          </w:p>
        </w:tc>
        <w:tc>
          <w:tcPr>
            <w:tcW w:w="217" w:type="dxa"/>
          </w:tcPr>
          <w:p w14:paraId="367412D1" w14:textId="77777777" w:rsidR="002C0FD9" w:rsidRPr="00CA25CF" w:rsidRDefault="002C0FD9" w:rsidP="00CA25CF">
            <w:pPr>
              <w:rPr>
                <w:rFonts w:cs="Arial"/>
                <w:color w:val="FF0000"/>
                <w:sz w:val="21"/>
                <w:szCs w:val="21"/>
              </w:rPr>
            </w:pPr>
          </w:p>
        </w:tc>
        <w:tc>
          <w:tcPr>
            <w:tcW w:w="217" w:type="dxa"/>
          </w:tcPr>
          <w:p w14:paraId="1E029B18" w14:textId="77777777" w:rsidR="002C0FD9" w:rsidRPr="00CA25CF" w:rsidRDefault="002C0FD9" w:rsidP="00CA25CF">
            <w:pPr>
              <w:rPr>
                <w:rFonts w:cs="Arial"/>
                <w:color w:val="FF0000"/>
                <w:sz w:val="21"/>
                <w:szCs w:val="21"/>
              </w:rPr>
            </w:pPr>
          </w:p>
        </w:tc>
        <w:tc>
          <w:tcPr>
            <w:tcW w:w="217" w:type="dxa"/>
          </w:tcPr>
          <w:p w14:paraId="65049FEA" w14:textId="77777777" w:rsidR="002C0FD9" w:rsidRPr="00CA25CF" w:rsidRDefault="002C0FD9" w:rsidP="00CA25CF">
            <w:pPr>
              <w:rPr>
                <w:rFonts w:cs="Arial"/>
                <w:color w:val="FF0000"/>
                <w:sz w:val="21"/>
                <w:szCs w:val="21"/>
              </w:rPr>
            </w:pPr>
          </w:p>
        </w:tc>
        <w:tc>
          <w:tcPr>
            <w:tcW w:w="217" w:type="dxa"/>
          </w:tcPr>
          <w:p w14:paraId="7D77B6AF" w14:textId="77777777" w:rsidR="002C0FD9" w:rsidRPr="00CA25CF" w:rsidRDefault="002C0FD9" w:rsidP="00CA25CF">
            <w:pPr>
              <w:rPr>
                <w:rFonts w:cs="Arial"/>
                <w:color w:val="FF0000"/>
                <w:sz w:val="21"/>
                <w:szCs w:val="21"/>
              </w:rPr>
            </w:pPr>
          </w:p>
        </w:tc>
        <w:tc>
          <w:tcPr>
            <w:tcW w:w="217" w:type="dxa"/>
          </w:tcPr>
          <w:p w14:paraId="74A8603E" w14:textId="77777777" w:rsidR="002C0FD9" w:rsidRPr="00CA25CF" w:rsidRDefault="002C0FD9" w:rsidP="00CA25CF">
            <w:pPr>
              <w:rPr>
                <w:rFonts w:cs="Arial"/>
                <w:color w:val="FF0000"/>
                <w:sz w:val="21"/>
                <w:szCs w:val="21"/>
              </w:rPr>
            </w:pPr>
          </w:p>
        </w:tc>
        <w:tc>
          <w:tcPr>
            <w:tcW w:w="217" w:type="dxa"/>
          </w:tcPr>
          <w:p w14:paraId="7A811059" w14:textId="77777777" w:rsidR="002C0FD9" w:rsidRPr="00CA25CF" w:rsidRDefault="002C0FD9" w:rsidP="00CA25CF">
            <w:pPr>
              <w:rPr>
                <w:rFonts w:cs="Arial"/>
                <w:color w:val="FF0000"/>
                <w:sz w:val="21"/>
                <w:szCs w:val="21"/>
              </w:rPr>
            </w:pPr>
          </w:p>
        </w:tc>
        <w:tc>
          <w:tcPr>
            <w:tcW w:w="217" w:type="dxa"/>
          </w:tcPr>
          <w:p w14:paraId="445D20D7" w14:textId="77777777" w:rsidR="002C0FD9" w:rsidRPr="00CA25CF" w:rsidRDefault="002C0FD9" w:rsidP="00CA25CF">
            <w:pPr>
              <w:rPr>
                <w:rFonts w:cs="Arial"/>
                <w:color w:val="FF0000"/>
                <w:sz w:val="21"/>
                <w:szCs w:val="21"/>
              </w:rPr>
            </w:pPr>
          </w:p>
        </w:tc>
        <w:tc>
          <w:tcPr>
            <w:tcW w:w="217" w:type="dxa"/>
          </w:tcPr>
          <w:p w14:paraId="43C1B158" w14:textId="77777777" w:rsidR="002C0FD9" w:rsidRPr="00CA25CF" w:rsidRDefault="002C0FD9" w:rsidP="00CA25CF">
            <w:pPr>
              <w:rPr>
                <w:rFonts w:cs="Arial"/>
                <w:color w:val="FF0000"/>
                <w:sz w:val="21"/>
                <w:szCs w:val="21"/>
              </w:rPr>
            </w:pPr>
          </w:p>
        </w:tc>
        <w:tc>
          <w:tcPr>
            <w:tcW w:w="217" w:type="dxa"/>
          </w:tcPr>
          <w:p w14:paraId="78BD639E" w14:textId="77777777" w:rsidR="002C0FD9" w:rsidRPr="00CA25CF" w:rsidRDefault="002C0FD9" w:rsidP="00CA25CF">
            <w:pPr>
              <w:rPr>
                <w:rFonts w:cs="Arial"/>
                <w:color w:val="FF0000"/>
                <w:sz w:val="21"/>
                <w:szCs w:val="21"/>
              </w:rPr>
            </w:pPr>
          </w:p>
        </w:tc>
        <w:tc>
          <w:tcPr>
            <w:tcW w:w="217" w:type="dxa"/>
          </w:tcPr>
          <w:p w14:paraId="46C97D03" w14:textId="77777777" w:rsidR="002C0FD9" w:rsidRPr="00CA25CF" w:rsidRDefault="002C0FD9" w:rsidP="00CA25CF">
            <w:pPr>
              <w:rPr>
                <w:rFonts w:cs="Arial"/>
                <w:color w:val="FF0000"/>
                <w:sz w:val="21"/>
                <w:szCs w:val="21"/>
              </w:rPr>
            </w:pPr>
          </w:p>
        </w:tc>
        <w:tc>
          <w:tcPr>
            <w:tcW w:w="217" w:type="dxa"/>
          </w:tcPr>
          <w:p w14:paraId="3ACDAEA9" w14:textId="77777777" w:rsidR="002C0FD9" w:rsidRPr="00CA25CF" w:rsidRDefault="002C0FD9" w:rsidP="00CA25CF">
            <w:pPr>
              <w:rPr>
                <w:rFonts w:cs="Arial"/>
                <w:color w:val="FF0000"/>
                <w:sz w:val="21"/>
                <w:szCs w:val="21"/>
              </w:rPr>
            </w:pPr>
          </w:p>
        </w:tc>
        <w:tc>
          <w:tcPr>
            <w:tcW w:w="217" w:type="dxa"/>
          </w:tcPr>
          <w:p w14:paraId="7FB269AC" w14:textId="77777777" w:rsidR="002C0FD9" w:rsidRPr="00CA25CF" w:rsidRDefault="002C0FD9" w:rsidP="00CA25CF">
            <w:pPr>
              <w:rPr>
                <w:rFonts w:cs="Arial"/>
                <w:color w:val="FF0000"/>
                <w:sz w:val="21"/>
                <w:szCs w:val="21"/>
              </w:rPr>
            </w:pPr>
          </w:p>
        </w:tc>
        <w:tc>
          <w:tcPr>
            <w:tcW w:w="217" w:type="dxa"/>
          </w:tcPr>
          <w:p w14:paraId="7A8CFB58" w14:textId="77777777" w:rsidR="002C0FD9" w:rsidRPr="00CA25CF" w:rsidRDefault="002C0FD9" w:rsidP="00CA25CF">
            <w:pPr>
              <w:rPr>
                <w:rFonts w:cs="Arial"/>
                <w:color w:val="FF0000"/>
                <w:sz w:val="21"/>
                <w:szCs w:val="21"/>
              </w:rPr>
            </w:pPr>
          </w:p>
        </w:tc>
        <w:tc>
          <w:tcPr>
            <w:tcW w:w="217" w:type="dxa"/>
          </w:tcPr>
          <w:p w14:paraId="0D935595" w14:textId="77777777" w:rsidR="002C0FD9" w:rsidRPr="00CA25CF" w:rsidRDefault="002C0FD9" w:rsidP="00CA25CF">
            <w:pPr>
              <w:rPr>
                <w:rFonts w:cs="Arial"/>
                <w:color w:val="FF0000"/>
                <w:sz w:val="21"/>
                <w:szCs w:val="21"/>
              </w:rPr>
            </w:pPr>
          </w:p>
        </w:tc>
        <w:tc>
          <w:tcPr>
            <w:tcW w:w="217" w:type="dxa"/>
          </w:tcPr>
          <w:p w14:paraId="6846FD48" w14:textId="77777777" w:rsidR="002C0FD9" w:rsidRPr="00CA25CF" w:rsidRDefault="002C0FD9" w:rsidP="00CA25CF">
            <w:pPr>
              <w:rPr>
                <w:rFonts w:cs="Arial"/>
                <w:color w:val="FF0000"/>
                <w:sz w:val="21"/>
                <w:szCs w:val="21"/>
              </w:rPr>
            </w:pPr>
          </w:p>
        </w:tc>
        <w:tc>
          <w:tcPr>
            <w:tcW w:w="217" w:type="dxa"/>
          </w:tcPr>
          <w:p w14:paraId="066FB04A" w14:textId="77777777" w:rsidR="002C0FD9" w:rsidRPr="00CA25CF" w:rsidRDefault="002C0FD9" w:rsidP="00CA25CF">
            <w:pPr>
              <w:rPr>
                <w:rFonts w:cs="Arial"/>
                <w:color w:val="FF0000"/>
                <w:sz w:val="21"/>
                <w:szCs w:val="21"/>
              </w:rPr>
            </w:pPr>
          </w:p>
        </w:tc>
        <w:tc>
          <w:tcPr>
            <w:tcW w:w="217" w:type="dxa"/>
          </w:tcPr>
          <w:p w14:paraId="05CAC766" w14:textId="77777777" w:rsidR="002C0FD9" w:rsidRPr="00CA25CF" w:rsidRDefault="002C0FD9" w:rsidP="00CA25CF">
            <w:pPr>
              <w:rPr>
                <w:rFonts w:cs="Arial"/>
                <w:color w:val="FF0000"/>
                <w:sz w:val="21"/>
                <w:szCs w:val="21"/>
              </w:rPr>
            </w:pPr>
          </w:p>
        </w:tc>
        <w:tc>
          <w:tcPr>
            <w:tcW w:w="217" w:type="dxa"/>
          </w:tcPr>
          <w:p w14:paraId="4F505697" w14:textId="77777777" w:rsidR="002C0FD9" w:rsidRPr="00CA25CF" w:rsidRDefault="002C0FD9" w:rsidP="00CA25CF">
            <w:pPr>
              <w:rPr>
                <w:rFonts w:cs="Arial"/>
                <w:color w:val="FF0000"/>
                <w:sz w:val="21"/>
                <w:szCs w:val="21"/>
              </w:rPr>
            </w:pPr>
          </w:p>
        </w:tc>
        <w:tc>
          <w:tcPr>
            <w:tcW w:w="217" w:type="dxa"/>
          </w:tcPr>
          <w:p w14:paraId="5816C415" w14:textId="77777777" w:rsidR="002C0FD9" w:rsidRPr="00CA25CF" w:rsidRDefault="002C0FD9" w:rsidP="00CA25CF">
            <w:pPr>
              <w:rPr>
                <w:rFonts w:cs="Arial"/>
                <w:color w:val="FF0000"/>
                <w:sz w:val="21"/>
                <w:szCs w:val="21"/>
              </w:rPr>
            </w:pPr>
          </w:p>
        </w:tc>
        <w:tc>
          <w:tcPr>
            <w:tcW w:w="217" w:type="dxa"/>
          </w:tcPr>
          <w:p w14:paraId="7C6D42AD" w14:textId="77777777" w:rsidR="002C0FD9" w:rsidRPr="00CA25CF" w:rsidRDefault="002C0FD9" w:rsidP="00CA25CF">
            <w:pPr>
              <w:rPr>
                <w:rFonts w:cs="Arial"/>
                <w:color w:val="FF0000"/>
                <w:sz w:val="21"/>
                <w:szCs w:val="21"/>
              </w:rPr>
            </w:pPr>
          </w:p>
        </w:tc>
        <w:tc>
          <w:tcPr>
            <w:tcW w:w="217" w:type="dxa"/>
          </w:tcPr>
          <w:p w14:paraId="06A3DA04" w14:textId="77777777" w:rsidR="002C0FD9" w:rsidRPr="00CA25CF" w:rsidRDefault="002C0FD9" w:rsidP="00CA25CF">
            <w:pPr>
              <w:rPr>
                <w:rFonts w:cs="Arial"/>
                <w:color w:val="FF0000"/>
                <w:sz w:val="21"/>
                <w:szCs w:val="21"/>
              </w:rPr>
            </w:pPr>
          </w:p>
        </w:tc>
        <w:tc>
          <w:tcPr>
            <w:tcW w:w="217" w:type="dxa"/>
          </w:tcPr>
          <w:p w14:paraId="56EF85F9" w14:textId="77777777" w:rsidR="002C0FD9" w:rsidRPr="00CA25CF" w:rsidRDefault="002C0FD9" w:rsidP="00CA25CF">
            <w:pPr>
              <w:rPr>
                <w:rFonts w:cs="Arial"/>
                <w:color w:val="FF0000"/>
                <w:sz w:val="21"/>
                <w:szCs w:val="21"/>
              </w:rPr>
            </w:pPr>
          </w:p>
        </w:tc>
        <w:tc>
          <w:tcPr>
            <w:tcW w:w="217" w:type="dxa"/>
          </w:tcPr>
          <w:p w14:paraId="3DF375FA" w14:textId="77777777" w:rsidR="002C0FD9" w:rsidRPr="00CA25CF" w:rsidRDefault="002C0FD9" w:rsidP="00CA25CF">
            <w:pPr>
              <w:rPr>
                <w:rFonts w:cs="Arial"/>
                <w:color w:val="FF0000"/>
                <w:sz w:val="21"/>
                <w:szCs w:val="21"/>
              </w:rPr>
            </w:pPr>
          </w:p>
        </w:tc>
        <w:tc>
          <w:tcPr>
            <w:tcW w:w="217" w:type="dxa"/>
          </w:tcPr>
          <w:p w14:paraId="4001CD77" w14:textId="77777777" w:rsidR="002C0FD9" w:rsidRPr="00CA25CF" w:rsidRDefault="002C0FD9" w:rsidP="00CA25CF">
            <w:pPr>
              <w:rPr>
                <w:rFonts w:cs="Arial"/>
                <w:color w:val="FF0000"/>
                <w:sz w:val="21"/>
                <w:szCs w:val="21"/>
              </w:rPr>
            </w:pPr>
          </w:p>
        </w:tc>
        <w:tc>
          <w:tcPr>
            <w:tcW w:w="217" w:type="dxa"/>
          </w:tcPr>
          <w:p w14:paraId="20341950" w14:textId="77777777" w:rsidR="002C0FD9" w:rsidRPr="00CA25CF" w:rsidRDefault="002C0FD9" w:rsidP="00CA25CF">
            <w:pPr>
              <w:rPr>
                <w:rFonts w:cs="Arial"/>
                <w:color w:val="FF0000"/>
                <w:sz w:val="21"/>
                <w:szCs w:val="21"/>
              </w:rPr>
            </w:pPr>
          </w:p>
        </w:tc>
        <w:tc>
          <w:tcPr>
            <w:tcW w:w="217" w:type="dxa"/>
          </w:tcPr>
          <w:p w14:paraId="09BBC5B1" w14:textId="77777777" w:rsidR="002C0FD9" w:rsidRPr="00CA25CF" w:rsidRDefault="002C0FD9" w:rsidP="00CA25CF">
            <w:pPr>
              <w:rPr>
                <w:rFonts w:cs="Arial"/>
                <w:color w:val="FF0000"/>
                <w:sz w:val="21"/>
                <w:szCs w:val="21"/>
              </w:rPr>
            </w:pPr>
          </w:p>
        </w:tc>
        <w:tc>
          <w:tcPr>
            <w:tcW w:w="217" w:type="dxa"/>
          </w:tcPr>
          <w:p w14:paraId="039BD08D" w14:textId="77777777" w:rsidR="002C0FD9" w:rsidRPr="00CA25CF" w:rsidRDefault="002C0FD9" w:rsidP="00CA25CF">
            <w:pPr>
              <w:rPr>
                <w:rFonts w:cs="Arial"/>
                <w:color w:val="FF0000"/>
                <w:sz w:val="21"/>
                <w:szCs w:val="21"/>
              </w:rPr>
            </w:pPr>
          </w:p>
        </w:tc>
        <w:tc>
          <w:tcPr>
            <w:tcW w:w="217" w:type="dxa"/>
          </w:tcPr>
          <w:p w14:paraId="0B9C5C03" w14:textId="77777777" w:rsidR="002C0FD9" w:rsidRPr="00CA25CF" w:rsidRDefault="002C0FD9" w:rsidP="00CA25CF">
            <w:pPr>
              <w:rPr>
                <w:rFonts w:cs="Arial"/>
                <w:color w:val="FF0000"/>
                <w:sz w:val="21"/>
                <w:szCs w:val="21"/>
              </w:rPr>
            </w:pPr>
          </w:p>
        </w:tc>
        <w:tc>
          <w:tcPr>
            <w:tcW w:w="217" w:type="dxa"/>
          </w:tcPr>
          <w:p w14:paraId="088287B4" w14:textId="77777777" w:rsidR="002C0FD9" w:rsidRPr="00CA25CF" w:rsidRDefault="002C0FD9" w:rsidP="00CA25CF">
            <w:pPr>
              <w:rPr>
                <w:rFonts w:cs="Arial"/>
                <w:color w:val="FF0000"/>
                <w:sz w:val="21"/>
                <w:szCs w:val="21"/>
              </w:rPr>
            </w:pPr>
          </w:p>
        </w:tc>
        <w:tc>
          <w:tcPr>
            <w:tcW w:w="217" w:type="dxa"/>
          </w:tcPr>
          <w:p w14:paraId="129CC91A" w14:textId="77777777" w:rsidR="002C0FD9" w:rsidRPr="00CA25CF" w:rsidRDefault="002C0FD9" w:rsidP="00CA25CF">
            <w:pPr>
              <w:rPr>
                <w:rFonts w:cs="Arial"/>
                <w:color w:val="FF0000"/>
                <w:sz w:val="21"/>
                <w:szCs w:val="21"/>
              </w:rPr>
            </w:pPr>
          </w:p>
        </w:tc>
      </w:tr>
      <w:tr w:rsidR="002C0FD9" w:rsidRPr="00A16219" w14:paraId="5DF4A6E3" w14:textId="0D6C5193" w:rsidTr="002C0FD9">
        <w:trPr>
          <w:trHeight w:val="635"/>
        </w:trPr>
        <w:tc>
          <w:tcPr>
            <w:tcW w:w="515" w:type="dxa"/>
          </w:tcPr>
          <w:p w14:paraId="640E43C7" w14:textId="77777777" w:rsidR="002C0FD9" w:rsidRPr="00CA25CF" w:rsidRDefault="002C0FD9" w:rsidP="00CA25CF">
            <w:pPr>
              <w:rPr>
                <w:rFonts w:cs="Arial"/>
                <w:color w:val="FF0000"/>
                <w:sz w:val="21"/>
                <w:szCs w:val="21"/>
              </w:rPr>
            </w:pPr>
          </w:p>
        </w:tc>
        <w:tc>
          <w:tcPr>
            <w:tcW w:w="217" w:type="dxa"/>
          </w:tcPr>
          <w:p w14:paraId="376B500B" w14:textId="77777777" w:rsidR="002C0FD9" w:rsidRPr="00CA25CF" w:rsidRDefault="002C0FD9" w:rsidP="00CA25CF">
            <w:pPr>
              <w:rPr>
                <w:rFonts w:cs="Arial"/>
                <w:color w:val="FF0000"/>
                <w:sz w:val="21"/>
                <w:szCs w:val="21"/>
              </w:rPr>
            </w:pPr>
          </w:p>
        </w:tc>
        <w:tc>
          <w:tcPr>
            <w:tcW w:w="217" w:type="dxa"/>
          </w:tcPr>
          <w:p w14:paraId="124B1831" w14:textId="01B27CD3" w:rsidR="002C0FD9" w:rsidRPr="00CA25CF" w:rsidRDefault="002C0FD9" w:rsidP="00CA25CF">
            <w:pPr>
              <w:rPr>
                <w:rFonts w:cs="Arial"/>
                <w:color w:val="FF0000"/>
                <w:sz w:val="21"/>
                <w:szCs w:val="21"/>
              </w:rPr>
            </w:pPr>
          </w:p>
        </w:tc>
        <w:tc>
          <w:tcPr>
            <w:tcW w:w="217" w:type="dxa"/>
          </w:tcPr>
          <w:p w14:paraId="65EBBCAE" w14:textId="77777777" w:rsidR="002C0FD9" w:rsidRPr="00CA25CF" w:rsidRDefault="002C0FD9" w:rsidP="00CA25CF">
            <w:pPr>
              <w:rPr>
                <w:rFonts w:cs="Arial"/>
                <w:color w:val="FF0000"/>
                <w:sz w:val="21"/>
                <w:szCs w:val="21"/>
              </w:rPr>
            </w:pPr>
          </w:p>
        </w:tc>
        <w:tc>
          <w:tcPr>
            <w:tcW w:w="217" w:type="dxa"/>
          </w:tcPr>
          <w:p w14:paraId="1FB257D9" w14:textId="77777777" w:rsidR="002C0FD9" w:rsidRPr="00CA25CF" w:rsidRDefault="002C0FD9" w:rsidP="00CA25CF">
            <w:pPr>
              <w:rPr>
                <w:rFonts w:cs="Arial"/>
                <w:color w:val="FF0000"/>
                <w:sz w:val="21"/>
                <w:szCs w:val="21"/>
              </w:rPr>
            </w:pPr>
          </w:p>
        </w:tc>
        <w:tc>
          <w:tcPr>
            <w:tcW w:w="217" w:type="dxa"/>
          </w:tcPr>
          <w:p w14:paraId="17E0E43F" w14:textId="77777777" w:rsidR="002C0FD9" w:rsidRPr="00CA25CF" w:rsidRDefault="002C0FD9" w:rsidP="00CA25CF">
            <w:pPr>
              <w:rPr>
                <w:rFonts w:cs="Arial"/>
                <w:color w:val="FF0000"/>
                <w:sz w:val="21"/>
                <w:szCs w:val="21"/>
              </w:rPr>
            </w:pPr>
          </w:p>
        </w:tc>
        <w:tc>
          <w:tcPr>
            <w:tcW w:w="217" w:type="dxa"/>
          </w:tcPr>
          <w:p w14:paraId="29A0F225" w14:textId="77777777" w:rsidR="002C0FD9" w:rsidRPr="00CA25CF" w:rsidRDefault="002C0FD9" w:rsidP="00CA25CF">
            <w:pPr>
              <w:rPr>
                <w:rFonts w:cs="Arial"/>
                <w:color w:val="FF0000"/>
                <w:sz w:val="21"/>
                <w:szCs w:val="21"/>
              </w:rPr>
            </w:pPr>
          </w:p>
        </w:tc>
        <w:tc>
          <w:tcPr>
            <w:tcW w:w="217" w:type="dxa"/>
          </w:tcPr>
          <w:p w14:paraId="1E764432" w14:textId="77777777" w:rsidR="002C0FD9" w:rsidRPr="00CA25CF" w:rsidRDefault="002C0FD9" w:rsidP="00CA25CF">
            <w:pPr>
              <w:rPr>
                <w:rFonts w:cs="Arial"/>
                <w:color w:val="FF0000"/>
                <w:sz w:val="21"/>
                <w:szCs w:val="21"/>
              </w:rPr>
            </w:pPr>
          </w:p>
        </w:tc>
        <w:tc>
          <w:tcPr>
            <w:tcW w:w="217" w:type="dxa"/>
          </w:tcPr>
          <w:p w14:paraId="3A22E1F8" w14:textId="77777777" w:rsidR="002C0FD9" w:rsidRPr="00CA25CF" w:rsidRDefault="002C0FD9" w:rsidP="00CA25CF">
            <w:pPr>
              <w:rPr>
                <w:rFonts w:cs="Arial"/>
                <w:color w:val="FF0000"/>
                <w:sz w:val="21"/>
                <w:szCs w:val="21"/>
              </w:rPr>
            </w:pPr>
          </w:p>
        </w:tc>
        <w:tc>
          <w:tcPr>
            <w:tcW w:w="217" w:type="dxa"/>
          </w:tcPr>
          <w:p w14:paraId="6743BC96" w14:textId="77777777" w:rsidR="002C0FD9" w:rsidRPr="00CA25CF" w:rsidRDefault="002C0FD9" w:rsidP="00CA25CF">
            <w:pPr>
              <w:rPr>
                <w:rFonts w:cs="Arial"/>
                <w:color w:val="FF0000"/>
                <w:sz w:val="21"/>
                <w:szCs w:val="21"/>
              </w:rPr>
            </w:pPr>
          </w:p>
        </w:tc>
        <w:tc>
          <w:tcPr>
            <w:tcW w:w="217" w:type="dxa"/>
          </w:tcPr>
          <w:p w14:paraId="2CA6AA00" w14:textId="77777777" w:rsidR="002C0FD9" w:rsidRPr="00CA25CF" w:rsidRDefault="002C0FD9" w:rsidP="00CA25CF">
            <w:pPr>
              <w:rPr>
                <w:rFonts w:cs="Arial"/>
                <w:color w:val="FF0000"/>
                <w:sz w:val="21"/>
                <w:szCs w:val="21"/>
              </w:rPr>
            </w:pPr>
          </w:p>
        </w:tc>
        <w:tc>
          <w:tcPr>
            <w:tcW w:w="217" w:type="dxa"/>
          </w:tcPr>
          <w:p w14:paraId="10D47DDF" w14:textId="77777777" w:rsidR="002C0FD9" w:rsidRPr="00CA25CF" w:rsidRDefault="002C0FD9" w:rsidP="00CA25CF">
            <w:pPr>
              <w:rPr>
                <w:rFonts w:cs="Arial"/>
                <w:color w:val="FF0000"/>
                <w:sz w:val="21"/>
                <w:szCs w:val="21"/>
              </w:rPr>
            </w:pPr>
          </w:p>
        </w:tc>
        <w:tc>
          <w:tcPr>
            <w:tcW w:w="217" w:type="dxa"/>
          </w:tcPr>
          <w:p w14:paraId="42ED8C82" w14:textId="77777777" w:rsidR="002C0FD9" w:rsidRPr="00CA25CF" w:rsidRDefault="002C0FD9" w:rsidP="00CA25CF">
            <w:pPr>
              <w:rPr>
                <w:rFonts w:cs="Arial"/>
                <w:color w:val="FF0000"/>
                <w:sz w:val="21"/>
                <w:szCs w:val="21"/>
              </w:rPr>
            </w:pPr>
          </w:p>
        </w:tc>
        <w:tc>
          <w:tcPr>
            <w:tcW w:w="217" w:type="dxa"/>
          </w:tcPr>
          <w:p w14:paraId="2E342F6B" w14:textId="77777777" w:rsidR="002C0FD9" w:rsidRPr="00CA25CF" w:rsidRDefault="002C0FD9" w:rsidP="00CA25CF">
            <w:pPr>
              <w:rPr>
                <w:rFonts w:cs="Arial"/>
                <w:color w:val="FF0000"/>
                <w:sz w:val="21"/>
                <w:szCs w:val="21"/>
              </w:rPr>
            </w:pPr>
          </w:p>
        </w:tc>
        <w:tc>
          <w:tcPr>
            <w:tcW w:w="217" w:type="dxa"/>
          </w:tcPr>
          <w:p w14:paraId="230BEDB2" w14:textId="77777777" w:rsidR="002C0FD9" w:rsidRPr="00CA25CF" w:rsidRDefault="002C0FD9" w:rsidP="00CA25CF">
            <w:pPr>
              <w:rPr>
                <w:rFonts w:cs="Arial"/>
                <w:color w:val="FF0000"/>
                <w:sz w:val="21"/>
                <w:szCs w:val="21"/>
              </w:rPr>
            </w:pPr>
          </w:p>
        </w:tc>
        <w:tc>
          <w:tcPr>
            <w:tcW w:w="217" w:type="dxa"/>
          </w:tcPr>
          <w:p w14:paraId="1BAA86A1" w14:textId="77777777" w:rsidR="002C0FD9" w:rsidRPr="00CA25CF" w:rsidRDefault="002C0FD9" w:rsidP="00CA25CF">
            <w:pPr>
              <w:rPr>
                <w:rFonts w:cs="Arial"/>
                <w:color w:val="FF0000"/>
                <w:sz w:val="21"/>
                <w:szCs w:val="21"/>
              </w:rPr>
            </w:pPr>
          </w:p>
        </w:tc>
        <w:tc>
          <w:tcPr>
            <w:tcW w:w="217" w:type="dxa"/>
          </w:tcPr>
          <w:p w14:paraId="77FB9478" w14:textId="77777777" w:rsidR="002C0FD9" w:rsidRPr="00CA25CF" w:rsidRDefault="002C0FD9" w:rsidP="00CA25CF">
            <w:pPr>
              <w:rPr>
                <w:rFonts w:cs="Arial"/>
                <w:color w:val="FF0000"/>
                <w:sz w:val="21"/>
                <w:szCs w:val="21"/>
              </w:rPr>
            </w:pPr>
          </w:p>
        </w:tc>
        <w:tc>
          <w:tcPr>
            <w:tcW w:w="217" w:type="dxa"/>
          </w:tcPr>
          <w:p w14:paraId="097BB276" w14:textId="77777777" w:rsidR="002C0FD9" w:rsidRPr="00CA25CF" w:rsidRDefault="002C0FD9" w:rsidP="00CA25CF">
            <w:pPr>
              <w:rPr>
                <w:rFonts w:cs="Arial"/>
                <w:color w:val="FF0000"/>
                <w:sz w:val="21"/>
                <w:szCs w:val="21"/>
              </w:rPr>
            </w:pPr>
          </w:p>
        </w:tc>
        <w:tc>
          <w:tcPr>
            <w:tcW w:w="217" w:type="dxa"/>
          </w:tcPr>
          <w:p w14:paraId="697A1DE0" w14:textId="77777777" w:rsidR="002C0FD9" w:rsidRPr="00CA25CF" w:rsidRDefault="002C0FD9" w:rsidP="00CA25CF">
            <w:pPr>
              <w:rPr>
                <w:rFonts w:cs="Arial"/>
                <w:color w:val="FF0000"/>
                <w:sz w:val="21"/>
                <w:szCs w:val="21"/>
              </w:rPr>
            </w:pPr>
          </w:p>
        </w:tc>
        <w:tc>
          <w:tcPr>
            <w:tcW w:w="217" w:type="dxa"/>
          </w:tcPr>
          <w:p w14:paraId="0CD8FF62" w14:textId="77777777" w:rsidR="002C0FD9" w:rsidRPr="00CA25CF" w:rsidRDefault="002C0FD9" w:rsidP="00CA25CF">
            <w:pPr>
              <w:rPr>
                <w:rFonts w:cs="Arial"/>
                <w:color w:val="FF0000"/>
                <w:sz w:val="21"/>
                <w:szCs w:val="21"/>
              </w:rPr>
            </w:pPr>
          </w:p>
        </w:tc>
        <w:tc>
          <w:tcPr>
            <w:tcW w:w="217" w:type="dxa"/>
          </w:tcPr>
          <w:p w14:paraId="7BCA0061" w14:textId="77777777" w:rsidR="002C0FD9" w:rsidRPr="00CA25CF" w:rsidRDefault="002C0FD9" w:rsidP="00CA25CF">
            <w:pPr>
              <w:rPr>
                <w:rFonts w:cs="Arial"/>
                <w:color w:val="FF0000"/>
                <w:sz w:val="21"/>
                <w:szCs w:val="21"/>
              </w:rPr>
            </w:pPr>
          </w:p>
        </w:tc>
        <w:tc>
          <w:tcPr>
            <w:tcW w:w="217" w:type="dxa"/>
          </w:tcPr>
          <w:p w14:paraId="0F7D88C5" w14:textId="77777777" w:rsidR="002C0FD9" w:rsidRPr="00CA25CF" w:rsidRDefault="002C0FD9" w:rsidP="00CA25CF">
            <w:pPr>
              <w:rPr>
                <w:rFonts w:cs="Arial"/>
                <w:color w:val="FF0000"/>
                <w:sz w:val="21"/>
                <w:szCs w:val="21"/>
              </w:rPr>
            </w:pPr>
          </w:p>
        </w:tc>
        <w:tc>
          <w:tcPr>
            <w:tcW w:w="217" w:type="dxa"/>
          </w:tcPr>
          <w:p w14:paraId="0F823BD0" w14:textId="77777777" w:rsidR="002C0FD9" w:rsidRPr="00CA25CF" w:rsidRDefault="002C0FD9" w:rsidP="00CA25CF">
            <w:pPr>
              <w:rPr>
                <w:rFonts w:cs="Arial"/>
                <w:color w:val="FF0000"/>
                <w:sz w:val="21"/>
                <w:szCs w:val="21"/>
              </w:rPr>
            </w:pPr>
          </w:p>
        </w:tc>
        <w:tc>
          <w:tcPr>
            <w:tcW w:w="217" w:type="dxa"/>
          </w:tcPr>
          <w:p w14:paraId="123D5203" w14:textId="77777777" w:rsidR="002C0FD9" w:rsidRPr="00CA25CF" w:rsidRDefault="002C0FD9" w:rsidP="00CA25CF">
            <w:pPr>
              <w:rPr>
                <w:rFonts w:cs="Arial"/>
                <w:color w:val="FF0000"/>
                <w:sz w:val="21"/>
                <w:szCs w:val="21"/>
              </w:rPr>
            </w:pPr>
          </w:p>
        </w:tc>
        <w:tc>
          <w:tcPr>
            <w:tcW w:w="217" w:type="dxa"/>
          </w:tcPr>
          <w:p w14:paraId="55800073" w14:textId="77777777" w:rsidR="002C0FD9" w:rsidRPr="00CA25CF" w:rsidRDefault="002C0FD9" w:rsidP="00CA25CF">
            <w:pPr>
              <w:rPr>
                <w:rFonts w:cs="Arial"/>
                <w:color w:val="FF0000"/>
                <w:sz w:val="21"/>
                <w:szCs w:val="21"/>
              </w:rPr>
            </w:pPr>
          </w:p>
        </w:tc>
        <w:tc>
          <w:tcPr>
            <w:tcW w:w="217" w:type="dxa"/>
          </w:tcPr>
          <w:p w14:paraId="2A9E20EF" w14:textId="77777777" w:rsidR="002C0FD9" w:rsidRPr="00CA25CF" w:rsidRDefault="002C0FD9" w:rsidP="00CA25CF">
            <w:pPr>
              <w:rPr>
                <w:rFonts w:cs="Arial"/>
                <w:color w:val="FF0000"/>
                <w:sz w:val="21"/>
                <w:szCs w:val="21"/>
              </w:rPr>
            </w:pPr>
          </w:p>
        </w:tc>
        <w:tc>
          <w:tcPr>
            <w:tcW w:w="217" w:type="dxa"/>
          </w:tcPr>
          <w:p w14:paraId="0F622C8C" w14:textId="77777777" w:rsidR="002C0FD9" w:rsidRPr="00CA25CF" w:rsidRDefault="002C0FD9" w:rsidP="00CA25CF">
            <w:pPr>
              <w:rPr>
                <w:rFonts w:cs="Arial"/>
                <w:color w:val="FF0000"/>
                <w:sz w:val="21"/>
                <w:szCs w:val="21"/>
              </w:rPr>
            </w:pPr>
          </w:p>
        </w:tc>
        <w:tc>
          <w:tcPr>
            <w:tcW w:w="217" w:type="dxa"/>
          </w:tcPr>
          <w:p w14:paraId="4453A16B" w14:textId="77777777" w:rsidR="002C0FD9" w:rsidRPr="00CA25CF" w:rsidRDefault="002C0FD9" w:rsidP="00CA25CF">
            <w:pPr>
              <w:rPr>
                <w:rFonts w:cs="Arial"/>
                <w:color w:val="FF0000"/>
                <w:sz w:val="21"/>
                <w:szCs w:val="21"/>
              </w:rPr>
            </w:pPr>
          </w:p>
        </w:tc>
        <w:tc>
          <w:tcPr>
            <w:tcW w:w="217" w:type="dxa"/>
          </w:tcPr>
          <w:p w14:paraId="5764664D" w14:textId="77777777" w:rsidR="002C0FD9" w:rsidRPr="00CA25CF" w:rsidRDefault="002C0FD9" w:rsidP="00CA25CF">
            <w:pPr>
              <w:rPr>
                <w:rFonts w:cs="Arial"/>
                <w:color w:val="FF0000"/>
                <w:sz w:val="21"/>
                <w:szCs w:val="21"/>
              </w:rPr>
            </w:pPr>
          </w:p>
        </w:tc>
        <w:tc>
          <w:tcPr>
            <w:tcW w:w="217" w:type="dxa"/>
          </w:tcPr>
          <w:p w14:paraId="41B58F69" w14:textId="77777777" w:rsidR="002C0FD9" w:rsidRPr="00CA25CF" w:rsidRDefault="002C0FD9" w:rsidP="00CA25CF">
            <w:pPr>
              <w:rPr>
                <w:rFonts w:cs="Arial"/>
                <w:color w:val="FF0000"/>
                <w:sz w:val="21"/>
                <w:szCs w:val="21"/>
              </w:rPr>
            </w:pPr>
          </w:p>
        </w:tc>
        <w:tc>
          <w:tcPr>
            <w:tcW w:w="217" w:type="dxa"/>
          </w:tcPr>
          <w:p w14:paraId="6D4B7726" w14:textId="77777777" w:rsidR="002C0FD9" w:rsidRPr="00CA25CF" w:rsidRDefault="002C0FD9" w:rsidP="00CA25CF">
            <w:pPr>
              <w:rPr>
                <w:rFonts w:cs="Arial"/>
                <w:color w:val="FF0000"/>
                <w:sz w:val="21"/>
                <w:szCs w:val="21"/>
              </w:rPr>
            </w:pPr>
          </w:p>
        </w:tc>
        <w:tc>
          <w:tcPr>
            <w:tcW w:w="217" w:type="dxa"/>
          </w:tcPr>
          <w:p w14:paraId="0326DC01" w14:textId="77777777" w:rsidR="002C0FD9" w:rsidRPr="00CA25CF" w:rsidRDefault="002C0FD9" w:rsidP="00CA25CF">
            <w:pPr>
              <w:rPr>
                <w:rFonts w:cs="Arial"/>
                <w:color w:val="FF0000"/>
                <w:sz w:val="21"/>
                <w:szCs w:val="21"/>
              </w:rPr>
            </w:pPr>
          </w:p>
        </w:tc>
        <w:tc>
          <w:tcPr>
            <w:tcW w:w="217" w:type="dxa"/>
          </w:tcPr>
          <w:p w14:paraId="04D2B4C2" w14:textId="77777777" w:rsidR="002C0FD9" w:rsidRPr="00CA25CF" w:rsidRDefault="002C0FD9" w:rsidP="00CA25CF">
            <w:pPr>
              <w:rPr>
                <w:rFonts w:cs="Arial"/>
                <w:color w:val="FF0000"/>
                <w:sz w:val="21"/>
                <w:szCs w:val="21"/>
              </w:rPr>
            </w:pPr>
          </w:p>
        </w:tc>
        <w:tc>
          <w:tcPr>
            <w:tcW w:w="217" w:type="dxa"/>
          </w:tcPr>
          <w:p w14:paraId="226D3845" w14:textId="77777777" w:rsidR="002C0FD9" w:rsidRPr="00CA25CF" w:rsidRDefault="002C0FD9" w:rsidP="00CA25CF">
            <w:pPr>
              <w:rPr>
                <w:rFonts w:cs="Arial"/>
                <w:color w:val="FF0000"/>
                <w:sz w:val="21"/>
                <w:szCs w:val="21"/>
              </w:rPr>
            </w:pPr>
          </w:p>
        </w:tc>
        <w:tc>
          <w:tcPr>
            <w:tcW w:w="217" w:type="dxa"/>
          </w:tcPr>
          <w:p w14:paraId="5314659C" w14:textId="77777777" w:rsidR="002C0FD9" w:rsidRPr="00CA25CF" w:rsidRDefault="002C0FD9" w:rsidP="00CA25CF">
            <w:pPr>
              <w:rPr>
                <w:rFonts w:cs="Arial"/>
                <w:color w:val="FF0000"/>
                <w:sz w:val="21"/>
                <w:szCs w:val="21"/>
              </w:rPr>
            </w:pPr>
          </w:p>
        </w:tc>
        <w:tc>
          <w:tcPr>
            <w:tcW w:w="217" w:type="dxa"/>
          </w:tcPr>
          <w:p w14:paraId="508AECDC" w14:textId="77777777" w:rsidR="002C0FD9" w:rsidRPr="00CA25CF" w:rsidRDefault="002C0FD9" w:rsidP="00CA25CF">
            <w:pPr>
              <w:rPr>
                <w:rFonts w:cs="Arial"/>
                <w:color w:val="FF0000"/>
                <w:sz w:val="21"/>
                <w:szCs w:val="21"/>
              </w:rPr>
            </w:pPr>
          </w:p>
        </w:tc>
        <w:tc>
          <w:tcPr>
            <w:tcW w:w="217" w:type="dxa"/>
          </w:tcPr>
          <w:p w14:paraId="7CAD8FEE" w14:textId="77777777" w:rsidR="002C0FD9" w:rsidRPr="00CA25CF" w:rsidRDefault="002C0FD9" w:rsidP="00CA25CF">
            <w:pPr>
              <w:rPr>
                <w:rFonts w:cs="Arial"/>
                <w:color w:val="FF0000"/>
                <w:sz w:val="21"/>
                <w:szCs w:val="21"/>
              </w:rPr>
            </w:pPr>
          </w:p>
        </w:tc>
        <w:tc>
          <w:tcPr>
            <w:tcW w:w="217" w:type="dxa"/>
          </w:tcPr>
          <w:p w14:paraId="29779FC3" w14:textId="77777777" w:rsidR="002C0FD9" w:rsidRPr="00CA25CF" w:rsidRDefault="002C0FD9" w:rsidP="00CA25CF">
            <w:pPr>
              <w:rPr>
                <w:rFonts w:cs="Arial"/>
                <w:color w:val="FF0000"/>
                <w:sz w:val="21"/>
                <w:szCs w:val="21"/>
              </w:rPr>
            </w:pPr>
          </w:p>
        </w:tc>
        <w:tc>
          <w:tcPr>
            <w:tcW w:w="217" w:type="dxa"/>
          </w:tcPr>
          <w:p w14:paraId="6D38D0E2" w14:textId="77777777" w:rsidR="002C0FD9" w:rsidRPr="00CA25CF" w:rsidRDefault="002C0FD9" w:rsidP="00CA25CF">
            <w:pPr>
              <w:rPr>
                <w:rFonts w:cs="Arial"/>
                <w:color w:val="FF0000"/>
                <w:sz w:val="21"/>
                <w:szCs w:val="21"/>
              </w:rPr>
            </w:pPr>
          </w:p>
        </w:tc>
        <w:tc>
          <w:tcPr>
            <w:tcW w:w="217" w:type="dxa"/>
          </w:tcPr>
          <w:p w14:paraId="37B24E29" w14:textId="77777777" w:rsidR="002C0FD9" w:rsidRPr="00CA25CF" w:rsidRDefault="002C0FD9" w:rsidP="00CA25CF">
            <w:pPr>
              <w:rPr>
                <w:rFonts w:cs="Arial"/>
                <w:color w:val="FF0000"/>
                <w:sz w:val="21"/>
                <w:szCs w:val="21"/>
              </w:rPr>
            </w:pPr>
          </w:p>
        </w:tc>
        <w:tc>
          <w:tcPr>
            <w:tcW w:w="217" w:type="dxa"/>
          </w:tcPr>
          <w:p w14:paraId="4E6D4F7D" w14:textId="77777777" w:rsidR="002C0FD9" w:rsidRPr="00CA25CF" w:rsidRDefault="002C0FD9" w:rsidP="00CA25CF">
            <w:pPr>
              <w:rPr>
                <w:rFonts w:cs="Arial"/>
                <w:color w:val="FF0000"/>
                <w:sz w:val="21"/>
                <w:szCs w:val="21"/>
              </w:rPr>
            </w:pPr>
          </w:p>
        </w:tc>
        <w:tc>
          <w:tcPr>
            <w:tcW w:w="217" w:type="dxa"/>
          </w:tcPr>
          <w:p w14:paraId="528F4B05" w14:textId="77777777" w:rsidR="002C0FD9" w:rsidRPr="00CA25CF" w:rsidRDefault="002C0FD9" w:rsidP="00CA25CF">
            <w:pPr>
              <w:rPr>
                <w:rFonts w:cs="Arial"/>
                <w:color w:val="FF0000"/>
                <w:sz w:val="21"/>
                <w:szCs w:val="21"/>
              </w:rPr>
            </w:pPr>
          </w:p>
        </w:tc>
        <w:tc>
          <w:tcPr>
            <w:tcW w:w="217" w:type="dxa"/>
          </w:tcPr>
          <w:p w14:paraId="5E3DEC23" w14:textId="77777777" w:rsidR="002C0FD9" w:rsidRPr="00CA25CF" w:rsidRDefault="002C0FD9" w:rsidP="00CA25CF">
            <w:pPr>
              <w:rPr>
                <w:rFonts w:cs="Arial"/>
                <w:color w:val="FF0000"/>
                <w:sz w:val="21"/>
                <w:szCs w:val="21"/>
              </w:rPr>
            </w:pPr>
          </w:p>
        </w:tc>
      </w:tr>
      <w:tr w:rsidR="002C0FD9" w:rsidRPr="00A16219" w14:paraId="1C514187" w14:textId="4A9F2B9A" w:rsidTr="002C0FD9">
        <w:trPr>
          <w:trHeight w:val="635"/>
        </w:trPr>
        <w:tc>
          <w:tcPr>
            <w:tcW w:w="515" w:type="dxa"/>
          </w:tcPr>
          <w:p w14:paraId="0DB32A95" w14:textId="77777777" w:rsidR="002C0FD9" w:rsidRPr="00CA25CF" w:rsidRDefault="002C0FD9" w:rsidP="00CA25CF">
            <w:pPr>
              <w:rPr>
                <w:rFonts w:cs="Arial"/>
                <w:color w:val="FF0000"/>
                <w:sz w:val="21"/>
                <w:szCs w:val="21"/>
              </w:rPr>
            </w:pPr>
          </w:p>
        </w:tc>
        <w:tc>
          <w:tcPr>
            <w:tcW w:w="217" w:type="dxa"/>
          </w:tcPr>
          <w:p w14:paraId="5ECE41B4" w14:textId="77777777" w:rsidR="002C0FD9" w:rsidRPr="00CA25CF" w:rsidRDefault="002C0FD9" w:rsidP="00CA25CF">
            <w:pPr>
              <w:rPr>
                <w:rFonts w:cs="Arial"/>
                <w:color w:val="FF0000"/>
                <w:sz w:val="21"/>
                <w:szCs w:val="21"/>
              </w:rPr>
            </w:pPr>
          </w:p>
        </w:tc>
        <w:tc>
          <w:tcPr>
            <w:tcW w:w="217" w:type="dxa"/>
          </w:tcPr>
          <w:p w14:paraId="2D7560FC" w14:textId="056A6C6D" w:rsidR="002C0FD9" w:rsidRPr="00CA25CF" w:rsidRDefault="002C0FD9" w:rsidP="00CA25CF">
            <w:pPr>
              <w:rPr>
                <w:rFonts w:cs="Arial"/>
                <w:color w:val="FF0000"/>
                <w:sz w:val="21"/>
                <w:szCs w:val="21"/>
              </w:rPr>
            </w:pPr>
          </w:p>
        </w:tc>
        <w:tc>
          <w:tcPr>
            <w:tcW w:w="217" w:type="dxa"/>
          </w:tcPr>
          <w:p w14:paraId="0B1668A2" w14:textId="77777777" w:rsidR="002C0FD9" w:rsidRPr="00CA25CF" w:rsidRDefault="002C0FD9" w:rsidP="00CA25CF">
            <w:pPr>
              <w:rPr>
                <w:rFonts w:cs="Arial"/>
                <w:color w:val="FF0000"/>
                <w:sz w:val="21"/>
                <w:szCs w:val="21"/>
              </w:rPr>
            </w:pPr>
          </w:p>
        </w:tc>
        <w:tc>
          <w:tcPr>
            <w:tcW w:w="217" w:type="dxa"/>
          </w:tcPr>
          <w:p w14:paraId="75B8D475" w14:textId="77777777" w:rsidR="002C0FD9" w:rsidRPr="00CA25CF" w:rsidRDefault="002C0FD9" w:rsidP="00CA25CF">
            <w:pPr>
              <w:rPr>
                <w:rFonts w:cs="Arial"/>
                <w:color w:val="FF0000"/>
                <w:sz w:val="21"/>
                <w:szCs w:val="21"/>
              </w:rPr>
            </w:pPr>
          </w:p>
        </w:tc>
        <w:tc>
          <w:tcPr>
            <w:tcW w:w="217" w:type="dxa"/>
          </w:tcPr>
          <w:p w14:paraId="4EBB82E4" w14:textId="77777777" w:rsidR="002C0FD9" w:rsidRPr="00CA25CF" w:rsidRDefault="002C0FD9" w:rsidP="00CA25CF">
            <w:pPr>
              <w:rPr>
                <w:rFonts w:cs="Arial"/>
                <w:color w:val="FF0000"/>
                <w:sz w:val="21"/>
                <w:szCs w:val="21"/>
              </w:rPr>
            </w:pPr>
          </w:p>
        </w:tc>
        <w:tc>
          <w:tcPr>
            <w:tcW w:w="217" w:type="dxa"/>
          </w:tcPr>
          <w:p w14:paraId="0A993E5F" w14:textId="77777777" w:rsidR="002C0FD9" w:rsidRPr="00CA25CF" w:rsidRDefault="002C0FD9" w:rsidP="00CA25CF">
            <w:pPr>
              <w:rPr>
                <w:rFonts w:cs="Arial"/>
                <w:color w:val="FF0000"/>
                <w:sz w:val="21"/>
                <w:szCs w:val="21"/>
              </w:rPr>
            </w:pPr>
          </w:p>
        </w:tc>
        <w:tc>
          <w:tcPr>
            <w:tcW w:w="217" w:type="dxa"/>
          </w:tcPr>
          <w:p w14:paraId="33FA7850" w14:textId="77777777" w:rsidR="002C0FD9" w:rsidRPr="00CA25CF" w:rsidRDefault="002C0FD9" w:rsidP="00CA25CF">
            <w:pPr>
              <w:rPr>
                <w:rFonts w:cs="Arial"/>
                <w:color w:val="FF0000"/>
                <w:sz w:val="21"/>
                <w:szCs w:val="21"/>
              </w:rPr>
            </w:pPr>
          </w:p>
        </w:tc>
        <w:tc>
          <w:tcPr>
            <w:tcW w:w="217" w:type="dxa"/>
          </w:tcPr>
          <w:p w14:paraId="2AE65893" w14:textId="77777777" w:rsidR="002C0FD9" w:rsidRPr="00CA25CF" w:rsidRDefault="002C0FD9" w:rsidP="00CA25CF">
            <w:pPr>
              <w:rPr>
                <w:rFonts w:cs="Arial"/>
                <w:color w:val="FF0000"/>
                <w:sz w:val="21"/>
                <w:szCs w:val="21"/>
              </w:rPr>
            </w:pPr>
          </w:p>
        </w:tc>
        <w:tc>
          <w:tcPr>
            <w:tcW w:w="217" w:type="dxa"/>
          </w:tcPr>
          <w:p w14:paraId="61E0CC21" w14:textId="77777777" w:rsidR="002C0FD9" w:rsidRPr="00CA25CF" w:rsidRDefault="002C0FD9" w:rsidP="00CA25CF">
            <w:pPr>
              <w:rPr>
                <w:rFonts w:cs="Arial"/>
                <w:color w:val="FF0000"/>
                <w:sz w:val="21"/>
                <w:szCs w:val="21"/>
              </w:rPr>
            </w:pPr>
          </w:p>
        </w:tc>
        <w:tc>
          <w:tcPr>
            <w:tcW w:w="217" w:type="dxa"/>
          </w:tcPr>
          <w:p w14:paraId="0803E7D5" w14:textId="77777777" w:rsidR="002C0FD9" w:rsidRPr="00CA25CF" w:rsidRDefault="002C0FD9" w:rsidP="00CA25CF">
            <w:pPr>
              <w:rPr>
                <w:rFonts w:cs="Arial"/>
                <w:color w:val="FF0000"/>
                <w:sz w:val="21"/>
                <w:szCs w:val="21"/>
              </w:rPr>
            </w:pPr>
          </w:p>
        </w:tc>
        <w:tc>
          <w:tcPr>
            <w:tcW w:w="217" w:type="dxa"/>
          </w:tcPr>
          <w:p w14:paraId="18E181B1" w14:textId="77777777" w:rsidR="002C0FD9" w:rsidRPr="00CA25CF" w:rsidRDefault="002C0FD9" w:rsidP="00CA25CF">
            <w:pPr>
              <w:rPr>
                <w:rFonts w:cs="Arial"/>
                <w:color w:val="FF0000"/>
                <w:sz w:val="21"/>
                <w:szCs w:val="21"/>
              </w:rPr>
            </w:pPr>
          </w:p>
        </w:tc>
        <w:tc>
          <w:tcPr>
            <w:tcW w:w="217" w:type="dxa"/>
          </w:tcPr>
          <w:p w14:paraId="1E391654" w14:textId="77777777" w:rsidR="002C0FD9" w:rsidRPr="00CA25CF" w:rsidRDefault="002C0FD9" w:rsidP="00CA25CF">
            <w:pPr>
              <w:rPr>
                <w:rFonts w:cs="Arial"/>
                <w:color w:val="FF0000"/>
                <w:sz w:val="21"/>
                <w:szCs w:val="21"/>
              </w:rPr>
            </w:pPr>
          </w:p>
        </w:tc>
        <w:tc>
          <w:tcPr>
            <w:tcW w:w="217" w:type="dxa"/>
          </w:tcPr>
          <w:p w14:paraId="0F1A62BE" w14:textId="77777777" w:rsidR="002C0FD9" w:rsidRPr="00CA25CF" w:rsidRDefault="002C0FD9" w:rsidP="00CA25CF">
            <w:pPr>
              <w:rPr>
                <w:rFonts w:cs="Arial"/>
                <w:color w:val="FF0000"/>
                <w:sz w:val="21"/>
                <w:szCs w:val="21"/>
              </w:rPr>
            </w:pPr>
          </w:p>
        </w:tc>
        <w:tc>
          <w:tcPr>
            <w:tcW w:w="217" w:type="dxa"/>
          </w:tcPr>
          <w:p w14:paraId="024ADEC8" w14:textId="77777777" w:rsidR="002C0FD9" w:rsidRPr="00CA25CF" w:rsidRDefault="002C0FD9" w:rsidP="00CA25CF">
            <w:pPr>
              <w:rPr>
                <w:rFonts w:cs="Arial"/>
                <w:color w:val="FF0000"/>
                <w:sz w:val="21"/>
                <w:szCs w:val="21"/>
              </w:rPr>
            </w:pPr>
          </w:p>
        </w:tc>
        <w:tc>
          <w:tcPr>
            <w:tcW w:w="217" w:type="dxa"/>
          </w:tcPr>
          <w:p w14:paraId="0D514446" w14:textId="77777777" w:rsidR="002C0FD9" w:rsidRPr="00CA25CF" w:rsidRDefault="002C0FD9" w:rsidP="00CA25CF">
            <w:pPr>
              <w:rPr>
                <w:rFonts w:cs="Arial"/>
                <w:color w:val="FF0000"/>
                <w:sz w:val="21"/>
                <w:szCs w:val="21"/>
              </w:rPr>
            </w:pPr>
          </w:p>
        </w:tc>
        <w:tc>
          <w:tcPr>
            <w:tcW w:w="217" w:type="dxa"/>
          </w:tcPr>
          <w:p w14:paraId="01B4EBF5" w14:textId="77777777" w:rsidR="002C0FD9" w:rsidRPr="00CA25CF" w:rsidRDefault="002C0FD9" w:rsidP="00CA25CF">
            <w:pPr>
              <w:rPr>
                <w:rFonts w:cs="Arial"/>
                <w:color w:val="FF0000"/>
                <w:sz w:val="21"/>
                <w:szCs w:val="21"/>
              </w:rPr>
            </w:pPr>
          </w:p>
        </w:tc>
        <w:tc>
          <w:tcPr>
            <w:tcW w:w="217" w:type="dxa"/>
          </w:tcPr>
          <w:p w14:paraId="14CCB4CB" w14:textId="77777777" w:rsidR="002C0FD9" w:rsidRPr="00CA25CF" w:rsidRDefault="002C0FD9" w:rsidP="00CA25CF">
            <w:pPr>
              <w:rPr>
                <w:rFonts w:cs="Arial"/>
                <w:color w:val="FF0000"/>
                <w:sz w:val="21"/>
                <w:szCs w:val="21"/>
              </w:rPr>
            </w:pPr>
          </w:p>
        </w:tc>
        <w:tc>
          <w:tcPr>
            <w:tcW w:w="217" w:type="dxa"/>
          </w:tcPr>
          <w:p w14:paraId="0C408D12" w14:textId="77777777" w:rsidR="002C0FD9" w:rsidRPr="00CA25CF" w:rsidRDefault="002C0FD9" w:rsidP="00CA25CF">
            <w:pPr>
              <w:rPr>
                <w:rFonts w:cs="Arial"/>
                <w:color w:val="FF0000"/>
                <w:sz w:val="21"/>
                <w:szCs w:val="21"/>
              </w:rPr>
            </w:pPr>
          </w:p>
        </w:tc>
        <w:tc>
          <w:tcPr>
            <w:tcW w:w="217" w:type="dxa"/>
          </w:tcPr>
          <w:p w14:paraId="2370AD62" w14:textId="77777777" w:rsidR="002C0FD9" w:rsidRPr="00CA25CF" w:rsidRDefault="002C0FD9" w:rsidP="00CA25CF">
            <w:pPr>
              <w:rPr>
                <w:rFonts w:cs="Arial"/>
                <w:color w:val="FF0000"/>
                <w:sz w:val="21"/>
                <w:szCs w:val="21"/>
              </w:rPr>
            </w:pPr>
          </w:p>
        </w:tc>
        <w:tc>
          <w:tcPr>
            <w:tcW w:w="217" w:type="dxa"/>
          </w:tcPr>
          <w:p w14:paraId="34B85D54" w14:textId="77777777" w:rsidR="002C0FD9" w:rsidRPr="00CA25CF" w:rsidRDefault="002C0FD9" w:rsidP="00CA25CF">
            <w:pPr>
              <w:rPr>
                <w:rFonts w:cs="Arial"/>
                <w:color w:val="FF0000"/>
                <w:sz w:val="21"/>
                <w:szCs w:val="21"/>
              </w:rPr>
            </w:pPr>
          </w:p>
        </w:tc>
        <w:tc>
          <w:tcPr>
            <w:tcW w:w="217" w:type="dxa"/>
          </w:tcPr>
          <w:p w14:paraId="1FE12B92" w14:textId="77777777" w:rsidR="002C0FD9" w:rsidRPr="00CA25CF" w:rsidRDefault="002C0FD9" w:rsidP="00CA25CF">
            <w:pPr>
              <w:rPr>
                <w:rFonts w:cs="Arial"/>
                <w:color w:val="FF0000"/>
                <w:sz w:val="21"/>
                <w:szCs w:val="21"/>
              </w:rPr>
            </w:pPr>
          </w:p>
        </w:tc>
        <w:tc>
          <w:tcPr>
            <w:tcW w:w="217" w:type="dxa"/>
          </w:tcPr>
          <w:p w14:paraId="575883CB" w14:textId="77777777" w:rsidR="002C0FD9" w:rsidRPr="00CA25CF" w:rsidRDefault="002C0FD9" w:rsidP="00CA25CF">
            <w:pPr>
              <w:rPr>
                <w:rFonts w:cs="Arial"/>
                <w:color w:val="FF0000"/>
                <w:sz w:val="21"/>
                <w:szCs w:val="21"/>
              </w:rPr>
            </w:pPr>
          </w:p>
        </w:tc>
        <w:tc>
          <w:tcPr>
            <w:tcW w:w="217" w:type="dxa"/>
          </w:tcPr>
          <w:p w14:paraId="79C4DC35" w14:textId="77777777" w:rsidR="002C0FD9" w:rsidRPr="00CA25CF" w:rsidRDefault="002C0FD9" w:rsidP="00CA25CF">
            <w:pPr>
              <w:rPr>
                <w:rFonts w:cs="Arial"/>
                <w:color w:val="FF0000"/>
                <w:sz w:val="21"/>
                <w:szCs w:val="21"/>
              </w:rPr>
            </w:pPr>
          </w:p>
        </w:tc>
        <w:tc>
          <w:tcPr>
            <w:tcW w:w="217" w:type="dxa"/>
          </w:tcPr>
          <w:p w14:paraId="1040D8D0" w14:textId="77777777" w:rsidR="002C0FD9" w:rsidRPr="00CA25CF" w:rsidRDefault="002C0FD9" w:rsidP="00CA25CF">
            <w:pPr>
              <w:rPr>
                <w:rFonts w:cs="Arial"/>
                <w:color w:val="FF0000"/>
                <w:sz w:val="21"/>
                <w:szCs w:val="21"/>
              </w:rPr>
            </w:pPr>
          </w:p>
        </w:tc>
        <w:tc>
          <w:tcPr>
            <w:tcW w:w="217" w:type="dxa"/>
          </w:tcPr>
          <w:p w14:paraId="22CA6B45" w14:textId="77777777" w:rsidR="002C0FD9" w:rsidRPr="00CA25CF" w:rsidRDefault="002C0FD9" w:rsidP="00CA25CF">
            <w:pPr>
              <w:rPr>
                <w:rFonts w:cs="Arial"/>
                <w:color w:val="FF0000"/>
                <w:sz w:val="21"/>
                <w:szCs w:val="21"/>
              </w:rPr>
            </w:pPr>
          </w:p>
        </w:tc>
        <w:tc>
          <w:tcPr>
            <w:tcW w:w="217" w:type="dxa"/>
          </w:tcPr>
          <w:p w14:paraId="4A820963" w14:textId="77777777" w:rsidR="002C0FD9" w:rsidRPr="00CA25CF" w:rsidRDefault="002C0FD9" w:rsidP="00CA25CF">
            <w:pPr>
              <w:rPr>
                <w:rFonts w:cs="Arial"/>
                <w:color w:val="FF0000"/>
                <w:sz w:val="21"/>
                <w:szCs w:val="21"/>
              </w:rPr>
            </w:pPr>
          </w:p>
        </w:tc>
        <w:tc>
          <w:tcPr>
            <w:tcW w:w="217" w:type="dxa"/>
          </w:tcPr>
          <w:p w14:paraId="79AEF434" w14:textId="77777777" w:rsidR="002C0FD9" w:rsidRPr="00CA25CF" w:rsidRDefault="002C0FD9" w:rsidP="00CA25CF">
            <w:pPr>
              <w:rPr>
                <w:rFonts w:cs="Arial"/>
                <w:color w:val="FF0000"/>
                <w:sz w:val="21"/>
                <w:szCs w:val="21"/>
              </w:rPr>
            </w:pPr>
          </w:p>
        </w:tc>
        <w:tc>
          <w:tcPr>
            <w:tcW w:w="217" w:type="dxa"/>
          </w:tcPr>
          <w:p w14:paraId="47DB558B" w14:textId="77777777" w:rsidR="002C0FD9" w:rsidRPr="00CA25CF" w:rsidRDefault="002C0FD9" w:rsidP="00CA25CF">
            <w:pPr>
              <w:rPr>
                <w:rFonts w:cs="Arial"/>
                <w:color w:val="FF0000"/>
                <w:sz w:val="21"/>
                <w:szCs w:val="21"/>
              </w:rPr>
            </w:pPr>
          </w:p>
        </w:tc>
        <w:tc>
          <w:tcPr>
            <w:tcW w:w="217" w:type="dxa"/>
          </w:tcPr>
          <w:p w14:paraId="446D897E" w14:textId="77777777" w:rsidR="002C0FD9" w:rsidRPr="00CA25CF" w:rsidRDefault="002C0FD9" w:rsidP="00CA25CF">
            <w:pPr>
              <w:rPr>
                <w:rFonts w:cs="Arial"/>
                <w:color w:val="FF0000"/>
                <w:sz w:val="21"/>
                <w:szCs w:val="21"/>
              </w:rPr>
            </w:pPr>
          </w:p>
        </w:tc>
        <w:tc>
          <w:tcPr>
            <w:tcW w:w="217" w:type="dxa"/>
          </w:tcPr>
          <w:p w14:paraId="39407201" w14:textId="77777777" w:rsidR="002C0FD9" w:rsidRPr="00CA25CF" w:rsidRDefault="002C0FD9" w:rsidP="00CA25CF">
            <w:pPr>
              <w:rPr>
                <w:rFonts w:cs="Arial"/>
                <w:color w:val="FF0000"/>
                <w:sz w:val="21"/>
                <w:szCs w:val="21"/>
              </w:rPr>
            </w:pPr>
          </w:p>
        </w:tc>
        <w:tc>
          <w:tcPr>
            <w:tcW w:w="217" w:type="dxa"/>
          </w:tcPr>
          <w:p w14:paraId="786251EC" w14:textId="77777777" w:rsidR="002C0FD9" w:rsidRPr="00CA25CF" w:rsidRDefault="002C0FD9" w:rsidP="00CA25CF">
            <w:pPr>
              <w:rPr>
                <w:rFonts w:cs="Arial"/>
                <w:color w:val="FF0000"/>
                <w:sz w:val="21"/>
                <w:szCs w:val="21"/>
              </w:rPr>
            </w:pPr>
          </w:p>
        </w:tc>
        <w:tc>
          <w:tcPr>
            <w:tcW w:w="217" w:type="dxa"/>
          </w:tcPr>
          <w:p w14:paraId="6EEDC876" w14:textId="77777777" w:rsidR="002C0FD9" w:rsidRPr="00CA25CF" w:rsidRDefault="002C0FD9" w:rsidP="00CA25CF">
            <w:pPr>
              <w:rPr>
                <w:rFonts w:cs="Arial"/>
                <w:color w:val="FF0000"/>
                <w:sz w:val="21"/>
                <w:szCs w:val="21"/>
              </w:rPr>
            </w:pPr>
          </w:p>
        </w:tc>
        <w:tc>
          <w:tcPr>
            <w:tcW w:w="217" w:type="dxa"/>
          </w:tcPr>
          <w:p w14:paraId="33304F21" w14:textId="77777777" w:rsidR="002C0FD9" w:rsidRPr="00CA25CF" w:rsidRDefault="002C0FD9" w:rsidP="00CA25CF">
            <w:pPr>
              <w:rPr>
                <w:rFonts w:cs="Arial"/>
                <w:color w:val="FF0000"/>
                <w:sz w:val="21"/>
                <w:szCs w:val="21"/>
              </w:rPr>
            </w:pPr>
          </w:p>
        </w:tc>
        <w:tc>
          <w:tcPr>
            <w:tcW w:w="217" w:type="dxa"/>
          </w:tcPr>
          <w:p w14:paraId="5F586CFE" w14:textId="77777777" w:rsidR="002C0FD9" w:rsidRPr="00CA25CF" w:rsidRDefault="002C0FD9" w:rsidP="00CA25CF">
            <w:pPr>
              <w:rPr>
                <w:rFonts w:cs="Arial"/>
                <w:color w:val="FF0000"/>
                <w:sz w:val="21"/>
                <w:szCs w:val="21"/>
              </w:rPr>
            </w:pPr>
          </w:p>
        </w:tc>
        <w:tc>
          <w:tcPr>
            <w:tcW w:w="217" w:type="dxa"/>
          </w:tcPr>
          <w:p w14:paraId="5E5A3B77" w14:textId="77777777" w:rsidR="002C0FD9" w:rsidRPr="00CA25CF" w:rsidRDefault="002C0FD9" w:rsidP="00CA25CF">
            <w:pPr>
              <w:rPr>
                <w:rFonts w:cs="Arial"/>
                <w:color w:val="FF0000"/>
                <w:sz w:val="21"/>
                <w:szCs w:val="21"/>
              </w:rPr>
            </w:pPr>
          </w:p>
        </w:tc>
        <w:tc>
          <w:tcPr>
            <w:tcW w:w="217" w:type="dxa"/>
          </w:tcPr>
          <w:p w14:paraId="46A83359" w14:textId="77777777" w:rsidR="002C0FD9" w:rsidRPr="00CA25CF" w:rsidRDefault="002C0FD9" w:rsidP="00CA25CF">
            <w:pPr>
              <w:rPr>
                <w:rFonts w:cs="Arial"/>
                <w:color w:val="FF0000"/>
                <w:sz w:val="21"/>
                <w:szCs w:val="21"/>
              </w:rPr>
            </w:pPr>
          </w:p>
        </w:tc>
        <w:tc>
          <w:tcPr>
            <w:tcW w:w="217" w:type="dxa"/>
          </w:tcPr>
          <w:p w14:paraId="3DC6C57C" w14:textId="77777777" w:rsidR="002C0FD9" w:rsidRPr="00CA25CF" w:rsidRDefault="002C0FD9" w:rsidP="00CA25CF">
            <w:pPr>
              <w:rPr>
                <w:rFonts w:cs="Arial"/>
                <w:color w:val="FF0000"/>
                <w:sz w:val="21"/>
                <w:szCs w:val="21"/>
              </w:rPr>
            </w:pPr>
          </w:p>
        </w:tc>
        <w:tc>
          <w:tcPr>
            <w:tcW w:w="217" w:type="dxa"/>
          </w:tcPr>
          <w:p w14:paraId="0D92EBF5" w14:textId="77777777" w:rsidR="002C0FD9" w:rsidRPr="00CA25CF" w:rsidRDefault="002C0FD9" w:rsidP="00CA25CF">
            <w:pPr>
              <w:rPr>
                <w:rFonts w:cs="Arial"/>
                <w:color w:val="FF0000"/>
                <w:sz w:val="21"/>
                <w:szCs w:val="21"/>
              </w:rPr>
            </w:pPr>
          </w:p>
        </w:tc>
        <w:tc>
          <w:tcPr>
            <w:tcW w:w="217" w:type="dxa"/>
          </w:tcPr>
          <w:p w14:paraId="5872DB89" w14:textId="77777777" w:rsidR="002C0FD9" w:rsidRPr="00CA25CF" w:rsidRDefault="002C0FD9" w:rsidP="00CA25CF">
            <w:pPr>
              <w:rPr>
                <w:rFonts w:cs="Arial"/>
                <w:color w:val="FF0000"/>
                <w:sz w:val="21"/>
                <w:szCs w:val="21"/>
              </w:rPr>
            </w:pPr>
          </w:p>
        </w:tc>
        <w:tc>
          <w:tcPr>
            <w:tcW w:w="217" w:type="dxa"/>
          </w:tcPr>
          <w:p w14:paraId="495D0630" w14:textId="77777777" w:rsidR="002C0FD9" w:rsidRPr="00CA25CF" w:rsidRDefault="002C0FD9" w:rsidP="00CA25CF">
            <w:pPr>
              <w:rPr>
                <w:rFonts w:cs="Arial"/>
                <w:color w:val="FF0000"/>
                <w:sz w:val="21"/>
                <w:szCs w:val="21"/>
              </w:rPr>
            </w:pPr>
          </w:p>
        </w:tc>
        <w:tc>
          <w:tcPr>
            <w:tcW w:w="217" w:type="dxa"/>
          </w:tcPr>
          <w:p w14:paraId="10C33D1A" w14:textId="77777777" w:rsidR="002C0FD9" w:rsidRPr="00CA25CF" w:rsidRDefault="002C0FD9" w:rsidP="00CA25CF">
            <w:pPr>
              <w:rPr>
                <w:rFonts w:cs="Arial"/>
                <w:color w:val="FF0000"/>
                <w:sz w:val="21"/>
                <w:szCs w:val="21"/>
              </w:rPr>
            </w:pPr>
          </w:p>
        </w:tc>
        <w:tc>
          <w:tcPr>
            <w:tcW w:w="217" w:type="dxa"/>
          </w:tcPr>
          <w:p w14:paraId="2D0BC3DF" w14:textId="77777777" w:rsidR="002C0FD9" w:rsidRPr="00CA25CF" w:rsidRDefault="002C0FD9" w:rsidP="00CA25CF">
            <w:pPr>
              <w:rPr>
                <w:rFonts w:cs="Arial"/>
                <w:color w:val="FF0000"/>
                <w:sz w:val="21"/>
                <w:szCs w:val="21"/>
              </w:rPr>
            </w:pPr>
          </w:p>
        </w:tc>
      </w:tr>
      <w:tr w:rsidR="002C0FD9" w:rsidRPr="00A16219" w14:paraId="026DA619" w14:textId="222C8A7C" w:rsidTr="002C0FD9">
        <w:trPr>
          <w:trHeight w:val="635"/>
        </w:trPr>
        <w:tc>
          <w:tcPr>
            <w:tcW w:w="515" w:type="dxa"/>
          </w:tcPr>
          <w:p w14:paraId="744BA870" w14:textId="77777777" w:rsidR="002C0FD9" w:rsidRPr="00CA25CF" w:rsidRDefault="002C0FD9" w:rsidP="00CA25CF">
            <w:pPr>
              <w:rPr>
                <w:rFonts w:cs="Arial"/>
                <w:color w:val="FF0000"/>
                <w:sz w:val="21"/>
                <w:szCs w:val="21"/>
              </w:rPr>
            </w:pPr>
          </w:p>
        </w:tc>
        <w:tc>
          <w:tcPr>
            <w:tcW w:w="217" w:type="dxa"/>
          </w:tcPr>
          <w:p w14:paraId="3F84C8AD" w14:textId="77777777" w:rsidR="002C0FD9" w:rsidRPr="00CA25CF" w:rsidRDefault="002C0FD9" w:rsidP="00CA25CF">
            <w:pPr>
              <w:rPr>
                <w:rFonts w:cs="Arial"/>
                <w:color w:val="FF0000"/>
                <w:sz w:val="21"/>
                <w:szCs w:val="21"/>
              </w:rPr>
            </w:pPr>
          </w:p>
        </w:tc>
        <w:tc>
          <w:tcPr>
            <w:tcW w:w="217" w:type="dxa"/>
          </w:tcPr>
          <w:p w14:paraId="1589CD12" w14:textId="33A44200" w:rsidR="002C0FD9" w:rsidRPr="00CA25CF" w:rsidRDefault="002C0FD9" w:rsidP="00CA25CF">
            <w:pPr>
              <w:rPr>
                <w:rFonts w:cs="Arial"/>
                <w:color w:val="FF0000"/>
                <w:sz w:val="21"/>
                <w:szCs w:val="21"/>
              </w:rPr>
            </w:pPr>
          </w:p>
        </w:tc>
        <w:tc>
          <w:tcPr>
            <w:tcW w:w="217" w:type="dxa"/>
          </w:tcPr>
          <w:p w14:paraId="628CF318" w14:textId="77777777" w:rsidR="002C0FD9" w:rsidRPr="00CA25CF" w:rsidRDefault="002C0FD9" w:rsidP="00CA25CF">
            <w:pPr>
              <w:rPr>
                <w:rFonts w:cs="Arial"/>
                <w:color w:val="FF0000"/>
                <w:sz w:val="21"/>
                <w:szCs w:val="21"/>
              </w:rPr>
            </w:pPr>
          </w:p>
        </w:tc>
        <w:tc>
          <w:tcPr>
            <w:tcW w:w="217" w:type="dxa"/>
          </w:tcPr>
          <w:p w14:paraId="5456CB77" w14:textId="77777777" w:rsidR="002C0FD9" w:rsidRPr="00CA25CF" w:rsidRDefault="002C0FD9" w:rsidP="00CA25CF">
            <w:pPr>
              <w:rPr>
                <w:rFonts w:cs="Arial"/>
                <w:color w:val="FF0000"/>
                <w:sz w:val="21"/>
                <w:szCs w:val="21"/>
              </w:rPr>
            </w:pPr>
          </w:p>
        </w:tc>
        <w:tc>
          <w:tcPr>
            <w:tcW w:w="217" w:type="dxa"/>
          </w:tcPr>
          <w:p w14:paraId="20C875B7" w14:textId="77777777" w:rsidR="002C0FD9" w:rsidRPr="00CA25CF" w:rsidRDefault="002C0FD9" w:rsidP="00CA25CF">
            <w:pPr>
              <w:rPr>
                <w:rFonts w:cs="Arial"/>
                <w:color w:val="FF0000"/>
                <w:sz w:val="21"/>
                <w:szCs w:val="21"/>
              </w:rPr>
            </w:pPr>
          </w:p>
        </w:tc>
        <w:tc>
          <w:tcPr>
            <w:tcW w:w="217" w:type="dxa"/>
          </w:tcPr>
          <w:p w14:paraId="4558AD05" w14:textId="77777777" w:rsidR="002C0FD9" w:rsidRPr="00CA25CF" w:rsidRDefault="002C0FD9" w:rsidP="00CA25CF">
            <w:pPr>
              <w:rPr>
                <w:rFonts w:cs="Arial"/>
                <w:color w:val="FF0000"/>
                <w:sz w:val="21"/>
                <w:szCs w:val="21"/>
              </w:rPr>
            </w:pPr>
          </w:p>
        </w:tc>
        <w:tc>
          <w:tcPr>
            <w:tcW w:w="217" w:type="dxa"/>
          </w:tcPr>
          <w:p w14:paraId="75F273DA" w14:textId="77777777" w:rsidR="002C0FD9" w:rsidRPr="00CA25CF" w:rsidRDefault="002C0FD9" w:rsidP="00CA25CF">
            <w:pPr>
              <w:rPr>
                <w:rFonts w:cs="Arial"/>
                <w:color w:val="FF0000"/>
                <w:sz w:val="21"/>
                <w:szCs w:val="21"/>
              </w:rPr>
            </w:pPr>
          </w:p>
        </w:tc>
        <w:tc>
          <w:tcPr>
            <w:tcW w:w="217" w:type="dxa"/>
          </w:tcPr>
          <w:p w14:paraId="715366A2" w14:textId="77777777" w:rsidR="002C0FD9" w:rsidRPr="00CA25CF" w:rsidRDefault="002C0FD9" w:rsidP="00CA25CF">
            <w:pPr>
              <w:rPr>
                <w:rFonts w:cs="Arial"/>
                <w:color w:val="FF0000"/>
                <w:sz w:val="21"/>
                <w:szCs w:val="21"/>
              </w:rPr>
            </w:pPr>
          </w:p>
        </w:tc>
        <w:tc>
          <w:tcPr>
            <w:tcW w:w="217" w:type="dxa"/>
          </w:tcPr>
          <w:p w14:paraId="27953908" w14:textId="77777777" w:rsidR="002C0FD9" w:rsidRPr="00CA25CF" w:rsidRDefault="002C0FD9" w:rsidP="00CA25CF">
            <w:pPr>
              <w:rPr>
                <w:rFonts w:cs="Arial"/>
                <w:color w:val="FF0000"/>
                <w:sz w:val="21"/>
                <w:szCs w:val="21"/>
              </w:rPr>
            </w:pPr>
          </w:p>
        </w:tc>
        <w:tc>
          <w:tcPr>
            <w:tcW w:w="217" w:type="dxa"/>
          </w:tcPr>
          <w:p w14:paraId="22B9BC34" w14:textId="77777777" w:rsidR="002C0FD9" w:rsidRPr="00CA25CF" w:rsidRDefault="002C0FD9" w:rsidP="00CA25CF">
            <w:pPr>
              <w:rPr>
                <w:rFonts w:cs="Arial"/>
                <w:color w:val="FF0000"/>
                <w:sz w:val="21"/>
                <w:szCs w:val="21"/>
              </w:rPr>
            </w:pPr>
          </w:p>
        </w:tc>
        <w:tc>
          <w:tcPr>
            <w:tcW w:w="217" w:type="dxa"/>
          </w:tcPr>
          <w:p w14:paraId="4A75D7A1" w14:textId="77777777" w:rsidR="002C0FD9" w:rsidRPr="00CA25CF" w:rsidRDefault="002C0FD9" w:rsidP="00CA25CF">
            <w:pPr>
              <w:rPr>
                <w:rFonts w:cs="Arial"/>
                <w:color w:val="FF0000"/>
                <w:sz w:val="21"/>
                <w:szCs w:val="21"/>
              </w:rPr>
            </w:pPr>
          </w:p>
        </w:tc>
        <w:tc>
          <w:tcPr>
            <w:tcW w:w="217" w:type="dxa"/>
          </w:tcPr>
          <w:p w14:paraId="25DE12EE" w14:textId="77777777" w:rsidR="002C0FD9" w:rsidRPr="00CA25CF" w:rsidRDefault="002C0FD9" w:rsidP="00CA25CF">
            <w:pPr>
              <w:rPr>
                <w:rFonts w:cs="Arial"/>
                <w:color w:val="FF0000"/>
                <w:sz w:val="21"/>
                <w:szCs w:val="21"/>
              </w:rPr>
            </w:pPr>
          </w:p>
        </w:tc>
        <w:tc>
          <w:tcPr>
            <w:tcW w:w="217" w:type="dxa"/>
          </w:tcPr>
          <w:p w14:paraId="53890D53" w14:textId="77777777" w:rsidR="002C0FD9" w:rsidRPr="00CA25CF" w:rsidRDefault="002C0FD9" w:rsidP="00CA25CF">
            <w:pPr>
              <w:rPr>
                <w:rFonts w:cs="Arial"/>
                <w:color w:val="FF0000"/>
                <w:sz w:val="21"/>
                <w:szCs w:val="21"/>
              </w:rPr>
            </w:pPr>
          </w:p>
        </w:tc>
        <w:tc>
          <w:tcPr>
            <w:tcW w:w="217" w:type="dxa"/>
          </w:tcPr>
          <w:p w14:paraId="4BD11353" w14:textId="77777777" w:rsidR="002C0FD9" w:rsidRPr="00CA25CF" w:rsidRDefault="002C0FD9" w:rsidP="00CA25CF">
            <w:pPr>
              <w:rPr>
                <w:rFonts w:cs="Arial"/>
                <w:color w:val="FF0000"/>
                <w:sz w:val="21"/>
                <w:szCs w:val="21"/>
              </w:rPr>
            </w:pPr>
          </w:p>
        </w:tc>
        <w:tc>
          <w:tcPr>
            <w:tcW w:w="217" w:type="dxa"/>
          </w:tcPr>
          <w:p w14:paraId="2EDF3FC1" w14:textId="77777777" w:rsidR="002C0FD9" w:rsidRPr="00CA25CF" w:rsidRDefault="002C0FD9" w:rsidP="00CA25CF">
            <w:pPr>
              <w:rPr>
                <w:rFonts w:cs="Arial"/>
                <w:color w:val="FF0000"/>
                <w:sz w:val="21"/>
                <w:szCs w:val="21"/>
              </w:rPr>
            </w:pPr>
          </w:p>
        </w:tc>
        <w:tc>
          <w:tcPr>
            <w:tcW w:w="217" w:type="dxa"/>
          </w:tcPr>
          <w:p w14:paraId="459D9878" w14:textId="77777777" w:rsidR="002C0FD9" w:rsidRPr="00CA25CF" w:rsidRDefault="002C0FD9" w:rsidP="00CA25CF">
            <w:pPr>
              <w:rPr>
                <w:rFonts w:cs="Arial"/>
                <w:color w:val="FF0000"/>
                <w:sz w:val="21"/>
                <w:szCs w:val="21"/>
              </w:rPr>
            </w:pPr>
          </w:p>
        </w:tc>
        <w:tc>
          <w:tcPr>
            <w:tcW w:w="217" w:type="dxa"/>
          </w:tcPr>
          <w:p w14:paraId="49EF06C4" w14:textId="77777777" w:rsidR="002C0FD9" w:rsidRPr="00CA25CF" w:rsidRDefault="002C0FD9" w:rsidP="00CA25CF">
            <w:pPr>
              <w:rPr>
                <w:rFonts w:cs="Arial"/>
                <w:color w:val="FF0000"/>
                <w:sz w:val="21"/>
                <w:szCs w:val="21"/>
              </w:rPr>
            </w:pPr>
          </w:p>
        </w:tc>
        <w:tc>
          <w:tcPr>
            <w:tcW w:w="217" w:type="dxa"/>
          </w:tcPr>
          <w:p w14:paraId="71E35881" w14:textId="77777777" w:rsidR="002C0FD9" w:rsidRPr="00CA25CF" w:rsidRDefault="002C0FD9" w:rsidP="00CA25CF">
            <w:pPr>
              <w:rPr>
                <w:rFonts w:cs="Arial"/>
                <w:color w:val="FF0000"/>
                <w:sz w:val="21"/>
                <w:szCs w:val="21"/>
              </w:rPr>
            </w:pPr>
          </w:p>
        </w:tc>
        <w:tc>
          <w:tcPr>
            <w:tcW w:w="217" w:type="dxa"/>
          </w:tcPr>
          <w:p w14:paraId="39C73BC2" w14:textId="77777777" w:rsidR="002C0FD9" w:rsidRPr="00CA25CF" w:rsidRDefault="002C0FD9" w:rsidP="00CA25CF">
            <w:pPr>
              <w:rPr>
                <w:rFonts w:cs="Arial"/>
                <w:color w:val="FF0000"/>
                <w:sz w:val="21"/>
                <w:szCs w:val="21"/>
              </w:rPr>
            </w:pPr>
          </w:p>
        </w:tc>
        <w:tc>
          <w:tcPr>
            <w:tcW w:w="217" w:type="dxa"/>
          </w:tcPr>
          <w:p w14:paraId="2B4C54B9" w14:textId="77777777" w:rsidR="002C0FD9" w:rsidRPr="00CA25CF" w:rsidRDefault="002C0FD9" w:rsidP="00CA25CF">
            <w:pPr>
              <w:rPr>
                <w:rFonts w:cs="Arial"/>
                <w:color w:val="FF0000"/>
                <w:sz w:val="21"/>
                <w:szCs w:val="21"/>
              </w:rPr>
            </w:pPr>
          </w:p>
        </w:tc>
        <w:tc>
          <w:tcPr>
            <w:tcW w:w="217" w:type="dxa"/>
          </w:tcPr>
          <w:p w14:paraId="2A5B0F7B" w14:textId="77777777" w:rsidR="002C0FD9" w:rsidRPr="00CA25CF" w:rsidRDefault="002C0FD9" w:rsidP="00CA25CF">
            <w:pPr>
              <w:rPr>
                <w:rFonts w:cs="Arial"/>
                <w:color w:val="FF0000"/>
                <w:sz w:val="21"/>
                <w:szCs w:val="21"/>
              </w:rPr>
            </w:pPr>
          </w:p>
        </w:tc>
        <w:tc>
          <w:tcPr>
            <w:tcW w:w="217" w:type="dxa"/>
          </w:tcPr>
          <w:p w14:paraId="21C973F7" w14:textId="77777777" w:rsidR="002C0FD9" w:rsidRPr="00CA25CF" w:rsidRDefault="002C0FD9" w:rsidP="00CA25CF">
            <w:pPr>
              <w:rPr>
                <w:rFonts w:cs="Arial"/>
                <w:color w:val="FF0000"/>
                <w:sz w:val="21"/>
                <w:szCs w:val="21"/>
              </w:rPr>
            </w:pPr>
          </w:p>
        </w:tc>
        <w:tc>
          <w:tcPr>
            <w:tcW w:w="217" w:type="dxa"/>
          </w:tcPr>
          <w:p w14:paraId="4872980E" w14:textId="77777777" w:rsidR="002C0FD9" w:rsidRPr="00CA25CF" w:rsidRDefault="002C0FD9" w:rsidP="00CA25CF">
            <w:pPr>
              <w:rPr>
                <w:rFonts w:cs="Arial"/>
                <w:color w:val="FF0000"/>
                <w:sz w:val="21"/>
                <w:szCs w:val="21"/>
              </w:rPr>
            </w:pPr>
          </w:p>
        </w:tc>
        <w:tc>
          <w:tcPr>
            <w:tcW w:w="217" w:type="dxa"/>
          </w:tcPr>
          <w:p w14:paraId="6F403C4E" w14:textId="77777777" w:rsidR="002C0FD9" w:rsidRPr="00CA25CF" w:rsidRDefault="002C0FD9" w:rsidP="00CA25CF">
            <w:pPr>
              <w:rPr>
                <w:rFonts w:cs="Arial"/>
                <w:color w:val="FF0000"/>
                <w:sz w:val="21"/>
                <w:szCs w:val="21"/>
              </w:rPr>
            </w:pPr>
          </w:p>
        </w:tc>
        <w:tc>
          <w:tcPr>
            <w:tcW w:w="217" w:type="dxa"/>
          </w:tcPr>
          <w:p w14:paraId="0E5679C5" w14:textId="77777777" w:rsidR="002C0FD9" w:rsidRPr="00CA25CF" w:rsidRDefault="002C0FD9" w:rsidP="00CA25CF">
            <w:pPr>
              <w:rPr>
                <w:rFonts w:cs="Arial"/>
                <w:color w:val="FF0000"/>
                <w:sz w:val="21"/>
                <w:szCs w:val="21"/>
              </w:rPr>
            </w:pPr>
          </w:p>
        </w:tc>
        <w:tc>
          <w:tcPr>
            <w:tcW w:w="217" w:type="dxa"/>
          </w:tcPr>
          <w:p w14:paraId="268A3097" w14:textId="77777777" w:rsidR="002C0FD9" w:rsidRPr="00CA25CF" w:rsidRDefault="002C0FD9" w:rsidP="00CA25CF">
            <w:pPr>
              <w:rPr>
                <w:rFonts w:cs="Arial"/>
                <w:color w:val="FF0000"/>
                <w:sz w:val="21"/>
                <w:szCs w:val="21"/>
              </w:rPr>
            </w:pPr>
          </w:p>
        </w:tc>
        <w:tc>
          <w:tcPr>
            <w:tcW w:w="217" w:type="dxa"/>
          </w:tcPr>
          <w:p w14:paraId="1E76E946" w14:textId="77777777" w:rsidR="002C0FD9" w:rsidRPr="00CA25CF" w:rsidRDefault="002C0FD9" w:rsidP="00CA25CF">
            <w:pPr>
              <w:rPr>
                <w:rFonts w:cs="Arial"/>
                <w:color w:val="FF0000"/>
                <w:sz w:val="21"/>
                <w:szCs w:val="21"/>
              </w:rPr>
            </w:pPr>
          </w:p>
        </w:tc>
        <w:tc>
          <w:tcPr>
            <w:tcW w:w="217" w:type="dxa"/>
          </w:tcPr>
          <w:p w14:paraId="52DFE2CB" w14:textId="77777777" w:rsidR="002C0FD9" w:rsidRPr="00CA25CF" w:rsidRDefault="002C0FD9" w:rsidP="00CA25CF">
            <w:pPr>
              <w:rPr>
                <w:rFonts w:cs="Arial"/>
                <w:color w:val="FF0000"/>
                <w:sz w:val="21"/>
                <w:szCs w:val="21"/>
              </w:rPr>
            </w:pPr>
          </w:p>
        </w:tc>
        <w:tc>
          <w:tcPr>
            <w:tcW w:w="217" w:type="dxa"/>
          </w:tcPr>
          <w:p w14:paraId="720C60B5" w14:textId="77777777" w:rsidR="002C0FD9" w:rsidRPr="00CA25CF" w:rsidRDefault="002C0FD9" w:rsidP="00CA25CF">
            <w:pPr>
              <w:rPr>
                <w:rFonts w:cs="Arial"/>
                <w:color w:val="FF0000"/>
                <w:sz w:val="21"/>
                <w:szCs w:val="21"/>
              </w:rPr>
            </w:pPr>
          </w:p>
        </w:tc>
        <w:tc>
          <w:tcPr>
            <w:tcW w:w="217" w:type="dxa"/>
          </w:tcPr>
          <w:p w14:paraId="5FE6ED39" w14:textId="77777777" w:rsidR="002C0FD9" w:rsidRPr="00CA25CF" w:rsidRDefault="002C0FD9" w:rsidP="00CA25CF">
            <w:pPr>
              <w:rPr>
                <w:rFonts w:cs="Arial"/>
                <w:color w:val="FF0000"/>
                <w:sz w:val="21"/>
                <w:szCs w:val="21"/>
              </w:rPr>
            </w:pPr>
          </w:p>
        </w:tc>
        <w:tc>
          <w:tcPr>
            <w:tcW w:w="217" w:type="dxa"/>
          </w:tcPr>
          <w:p w14:paraId="39278C15" w14:textId="77777777" w:rsidR="002C0FD9" w:rsidRPr="00CA25CF" w:rsidRDefault="002C0FD9" w:rsidP="00CA25CF">
            <w:pPr>
              <w:rPr>
                <w:rFonts w:cs="Arial"/>
                <w:color w:val="FF0000"/>
                <w:sz w:val="21"/>
                <w:szCs w:val="21"/>
              </w:rPr>
            </w:pPr>
          </w:p>
        </w:tc>
        <w:tc>
          <w:tcPr>
            <w:tcW w:w="217" w:type="dxa"/>
          </w:tcPr>
          <w:p w14:paraId="3D35DC71" w14:textId="77777777" w:rsidR="002C0FD9" w:rsidRPr="00CA25CF" w:rsidRDefault="002C0FD9" w:rsidP="00CA25CF">
            <w:pPr>
              <w:rPr>
                <w:rFonts w:cs="Arial"/>
                <w:color w:val="FF0000"/>
                <w:sz w:val="21"/>
                <w:szCs w:val="21"/>
              </w:rPr>
            </w:pPr>
          </w:p>
        </w:tc>
        <w:tc>
          <w:tcPr>
            <w:tcW w:w="217" w:type="dxa"/>
          </w:tcPr>
          <w:p w14:paraId="5656BA95" w14:textId="77777777" w:rsidR="002C0FD9" w:rsidRPr="00CA25CF" w:rsidRDefault="002C0FD9" w:rsidP="00CA25CF">
            <w:pPr>
              <w:rPr>
                <w:rFonts w:cs="Arial"/>
                <w:color w:val="FF0000"/>
                <w:sz w:val="21"/>
                <w:szCs w:val="21"/>
              </w:rPr>
            </w:pPr>
          </w:p>
        </w:tc>
        <w:tc>
          <w:tcPr>
            <w:tcW w:w="217" w:type="dxa"/>
          </w:tcPr>
          <w:p w14:paraId="5840D6AC" w14:textId="77777777" w:rsidR="002C0FD9" w:rsidRPr="00CA25CF" w:rsidRDefault="002C0FD9" w:rsidP="00CA25CF">
            <w:pPr>
              <w:rPr>
                <w:rFonts w:cs="Arial"/>
                <w:color w:val="FF0000"/>
                <w:sz w:val="21"/>
                <w:szCs w:val="21"/>
              </w:rPr>
            </w:pPr>
          </w:p>
        </w:tc>
        <w:tc>
          <w:tcPr>
            <w:tcW w:w="217" w:type="dxa"/>
          </w:tcPr>
          <w:p w14:paraId="4A785794" w14:textId="77777777" w:rsidR="002C0FD9" w:rsidRPr="00CA25CF" w:rsidRDefault="002C0FD9" w:rsidP="00CA25CF">
            <w:pPr>
              <w:rPr>
                <w:rFonts w:cs="Arial"/>
                <w:color w:val="FF0000"/>
                <w:sz w:val="21"/>
                <w:szCs w:val="21"/>
              </w:rPr>
            </w:pPr>
          </w:p>
        </w:tc>
        <w:tc>
          <w:tcPr>
            <w:tcW w:w="217" w:type="dxa"/>
          </w:tcPr>
          <w:p w14:paraId="05C4B378" w14:textId="77777777" w:rsidR="002C0FD9" w:rsidRPr="00CA25CF" w:rsidRDefault="002C0FD9" w:rsidP="00CA25CF">
            <w:pPr>
              <w:rPr>
                <w:rFonts w:cs="Arial"/>
                <w:color w:val="FF0000"/>
                <w:sz w:val="21"/>
                <w:szCs w:val="21"/>
              </w:rPr>
            </w:pPr>
          </w:p>
        </w:tc>
        <w:tc>
          <w:tcPr>
            <w:tcW w:w="217" w:type="dxa"/>
          </w:tcPr>
          <w:p w14:paraId="6625A8E1" w14:textId="77777777" w:rsidR="002C0FD9" w:rsidRPr="00CA25CF" w:rsidRDefault="002C0FD9" w:rsidP="00CA25CF">
            <w:pPr>
              <w:rPr>
                <w:rFonts w:cs="Arial"/>
                <w:color w:val="FF0000"/>
                <w:sz w:val="21"/>
                <w:szCs w:val="21"/>
              </w:rPr>
            </w:pPr>
          </w:p>
        </w:tc>
        <w:tc>
          <w:tcPr>
            <w:tcW w:w="217" w:type="dxa"/>
          </w:tcPr>
          <w:p w14:paraId="4DCCB8F9" w14:textId="77777777" w:rsidR="002C0FD9" w:rsidRPr="00CA25CF" w:rsidRDefault="002C0FD9" w:rsidP="00CA25CF">
            <w:pPr>
              <w:rPr>
                <w:rFonts w:cs="Arial"/>
                <w:color w:val="FF0000"/>
                <w:sz w:val="21"/>
                <w:szCs w:val="21"/>
              </w:rPr>
            </w:pPr>
          </w:p>
        </w:tc>
        <w:tc>
          <w:tcPr>
            <w:tcW w:w="217" w:type="dxa"/>
          </w:tcPr>
          <w:p w14:paraId="41E0FE40" w14:textId="77777777" w:rsidR="002C0FD9" w:rsidRPr="00CA25CF" w:rsidRDefault="002C0FD9" w:rsidP="00CA25CF">
            <w:pPr>
              <w:rPr>
                <w:rFonts w:cs="Arial"/>
                <w:color w:val="FF0000"/>
                <w:sz w:val="21"/>
                <w:szCs w:val="21"/>
              </w:rPr>
            </w:pPr>
          </w:p>
        </w:tc>
        <w:tc>
          <w:tcPr>
            <w:tcW w:w="217" w:type="dxa"/>
          </w:tcPr>
          <w:p w14:paraId="6F86B643" w14:textId="77777777" w:rsidR="002C0FD9" w:rsidRPr="00CA25CF" w:rsidRDefault="002C0FD9" w:rsidP="00CA25CF">
            <w:pPr>
              <w:rPr>
                <w:rFonts w:cs="Arial"/>
                <w:color w:val="FF0000"/>
                <w:sz w:val="21"/>
                <w:szCs w:val="21"/>
              </w:rPr>
            </w:pPr>
          </w:p>
        </w:tc>
        <w:tc>
          <w:tcPr>
            <w:tcW w:w="217" w:type="dxa"/>
          </w:tcPr>
          <w:p w14:paraId="1E0B2074" w14:textId="77777777" w:rsidR="002C0FD9" w:rsidRPr="00CA25CF" w:rsidRDefault="002C0FD9" w:rsidP="00CA25CF">
            <w:pPr>
              <w:rPr>
                <w:rFonts w:cs="Arial"/>
                <w:color w:val="FF0000"/>
                <w:sz w:val="21"/>
                <w:szCs w:val="21"/>
              </w:rPr>
            </w:pPr>
          </w:p>
        </w:tc>
        <w:tc>
          <w:tcPr>
            <w:tcW w:w="217" w:type="dxa"/>
          </w:tcPr>
          <w:p w14:paraId="2BE8BC36" w14:textId="77777777" w:rsidR="002C0FD9" w:rsidRPr="00CA25CF" w:rsidRDefault="002C0FD9" w:rsidP="00CA25CF">
            <w:pPr>
              <w:rPr>
                <w:rFonts w:cs="Arial"/>
                <w:color w:val="FF0000"/>
                <w:sz w:val="21"/>
                <w:szCs w:val="21"/>
              </w:rPr>
            </w:pPr>
          </w:p>
        </w:tc>
      </w:tr>
      <w:tr w:rsidR="002C0FD9" w:rsidRPr="00A16219" w14:paraId="2118A6C0" w14:textId="3B11C988" w:rsidTr="002C0FD9">
        <w:trPr>
          <w:trHeight w:val="635"/>
        </w:trPr>
        <w:tc>
          <w:tcPr>
            <w:tcW w:w="515" w:type="dxa"/>
          </w:tcPr>
          <w:p w14:paraId="4389BA57" w14:textId="77777777" w:rsidR="002C0FD9" w:rsidRPr="00CA25CF" w:rsidRDefault="002C0FD9" w:rsidP="00CA25CF">
            <w:pPr>
              <w:rPr>
                <w:rFonts w:cs="Arial"/>
                <w:color w:val="FF0000"/>
                <w:sz w:val="21"/>
                <w:szCs w:val="21"/>
              </w:rPr>
            </w:pPr>
          </w:p>
        </w:tc>
        <w:tc>
          <w:tcPr>
            <w:tcW w:w="217" w:type="dxa"/>
          </w:tcPr>
          <w:p w14:paraId="1FC3683F" w14:textId="77777777" w:rsidR="002C0FD9" w:rsidRPr="00CA25CF" w:rsidRDefault="002C0FD9" w:rsidP="00CA25CF">
            <w:pPr>
              <w:rPr>
                <w:rFonts w:cs="Arial"/>
                <w:color w:val="FF0000"/>
                <w:sz w:val="21"/>
                <w:szCs w:val="21"/>
              </w:rPr>
            </w:pPr>
          </w:p>
        </w:tc>
        <w:tc>
          <w:tcPr>
            <w:tcW w:w="217" w:type="dxa"/>
          </w:tcPr>
          <w:p w14:paraId="15BE6A5C" w14:textId="1C0FA897" w:rsidR="002C0FD9" w:rsidRPr="00CA25CF" w:rsidRDefault="002C0FD9" w:rsidP="00CA25CF">
            <w:pPr>
              <w:rPr>
                <w:rFonts w:cs="Arial"/>
                <w:color w:val="FF0000"/>
                <w:sz w:val="21"/>
                <w:szCs w:val="21"/>
              </w:rPr>
            </w:pPr>
          </w:p>
        </w:tc>
        <w:tc>
          <w:tcPr>
            <w:tcW w:w="217" w:type="dxa"/>
          </w:tcPr>
          <w:p w14:paraId="4503123B" w14:textId="77777777" w:rsidR="002C0FD9" w:rsidRPr="00CA25CF" w:rsidRDefault="002C0FD9" w:rsidP="00CA25CF">
            <w:pPr>
              <w:rPr>
                <w:rFonts w:cs="Arial"/>
                <w:color w:val="FF0000"/>
                <w:sz w:val="21"/>
                <w:szCs w:val="21"/>
              </w:rPr>
            </w:pPr>
          </w:p>
        </w:tc>
        <w:tc>
          <w:tcPr>
            <w:tcW w:w="217" w:type="dxa"/>
          </w:tcPr>
          <w:p w14:paraId="21DF2DDD" w14:textId="77777777" w:rsidR="002C0FD9" w:rsidRPr="00CA25CF" w:rsidRDefault="002C0FD9" w:rsidP="00CA25CF">
            <w:pPr>
              <w:rPr>
                <w:rFonts w:cs="Arial"/>
                <w:color w:val="FF0000"/>
                <w:sz w:val="21"/>
                <w:szCs w:val="21"/>
              </w:rPr>
            </w:pPr>
          </w:p>
        </w:tc>
        <w:tc>
          <w:tcPr>
            <w:tcW w:w="217" w:type="dxa"/>
          </w:tcPr>
          <w:p w14:paraId="09EF3541" w14:textId="77777777" w:rsidR="002C0FD9" w:rsidRPr="00CA25CF" w:rsidRDefault="002C0FD9" w:rsidP="00CA25CF">
            <w:pPr>
              <w:rPr>
                <w:rFonts w:cs="Arial"/>
                <w:color w:val="FF0000"/>
                <w:sz w:val="21"/>
                <w:szCs w:val="21"/>
              </w:rPr>
            </w:pPr>
          </w:p>
        </w:tc>
        <w:tc>
          <w:tcPr>
            <w:tcW w:w="217" w:type="dxa"/>
          </w:tcPr>
          <w:p w14:paraId="38DABA68" w14:textId="77777777" w:rsidR="002C0FD9" w:rsidRPr="00CA25CF" w:rsidRDefault="002C0FD9" w:rsidP="00CA25CF">
            <w:pPr>
              <w:rPr>
                <w:rFonts w:cs="Arial"/>
                <w:color w:val="FF0000"/>
                <w:sz w:val="21"/>
                <w:szCs w:val="21"/>
              </w:rPr>
            </w:pPr>
          </w:p>
        </w:tc>
        <w:tc>
          <w:tcPr>
            <w:tcW w:w="217" w:type="dxa"/>
          </w:tcPr>
          <w:p w14:paraId="3A2DFFAC" w14:textId="77777777" w:rsidR="002C0FD9" w:rsidRPr="00CA25CF" w:rsidRDefault="002C0FD9" w:rsidP="00CA25CF">
            <w:pPr>
              <w:rPr>
                <w:rFonts w:cs="Arial"/>
                <w:color w:val="FF0000"/>
                <w:sz w:val="21"/>
                <w:szCs w:val="21"/>
              </w:rPr>
            </w:pPr>
          </w:p>
        </w:tc>
        <w:tc>
          <w:tcPr>
            <w:tcW w:w="217" w:type="dxa"/>
          </w:tcPr>
          <w:p w14:paraId="11B645CD" w14:textId="77777777" w:rsidR="002C0FD9" w:rsidRPr="00CA25CF" w:rsidRDefault="002C0FD9" w:rsidP="00CA25CF">
            <w:pPr>
              <w:rPr>
                <w:rFonts w:cs="Arial"/>
                <w:color w:val="FF0000"/>
                <w:sz w:val="21"/>
                <w:szCs w:val="21"/>
              </w:rPr>
            </w:pPr>
          </w:p>
        </w:tc>
        <w:tc>
          <w:tcPr>
            <w:tcW w:w="217" w:type="dxa"/>
          </w:tcPr>
          <w:p w14:paraId="18A0748F" w14:textId="77777777" w:rsidR="002C0FD9" w:rsidRPr="00CA25CF" w:rsidRDefault="002C0FD9" w:rsidP="00CA25CF">
            <w:pPr>
              <w:rPr>
                <w:rFonts w:cs="Arial"/>
                <w:color w:val="FF0000"/>
                <w:sz w:val="21"/>
                <w:szCs w:val="21"/>
              </w:rPr>
            </w:pPr>
          </w:p>
        </w:tc>
        <w:tc>
          <w:tcPr>
            <w:tcW w:w="217" w:type="dxa"/>
          </w:tcPr>
          <w:p w14:paraId="5EA4566F" w14:textId="77777777" w:rsidR="002C0FD9" w:rsidRPr="00CA25CF" w:rsidRDefault="002C0FD9" w:rsidP="00CA25CF">
            <w:pPr>
              <w:rPr>
                <w:rFonts w:cs="Arial"/>
                <w:color w:val="FF0000"/>
                <w:sz w:val="21"/>
                <w:szCs w:val="21"/>
              </w:rPr>
            </w:pPr>
          </w:p>
        </w:tc>
        <w:tc>
          <w:tcPr>
            <w:tcW w:w="217" w:type="dxa"/>
          </w:tcPr>
          <w:p w14:paraId="6194BAE9" w14:textId="77777777" w:rsidR="002C0FD9" w:rsidRPr="00CA25CF" w:rsidRDefault="002C0FD9" w:rsidP="00CA25CF">
            <w:pPr>
              <w:rPr>
                <w:rFonts w:cs="Arial"/>
                <w:color w:val="FF0000"/>
                <w:sz w:val="21"/>
                <w:szCs w:val="21"/>
              </w:rPr>
            </w:pPr>
          </w:p>
        </w:tc>
        <w:tc>
          <w:tcPr>
            <w:tcW w:w="217" w:type="dxa"/>
          </w:tcPr>
          <w:p w14:paraId="21D36DA3" w14:textId="77777777" w:rsidR="002C0FD9" w:rsidRPr="00CA25CF" w:rsidRDefault="002C0FD9" w:rsidP="00CA25CF">
            <w:pPr>
              <w:rPr>
                <w:rFonts w:cs="Arial"/>
                <w:color w:val="FF0000"/>
                <w:sz w:val="21"/>
                <w:szCs w:val="21"/>
              </w:rPr>
            </w:pPr>
          </w:p>
        </w:tc>
        <w:tc>
          <w:tcPr>
            <w:tcW w:w="217" w:type="dxa"/>
          </w:tcPr>
          <w:p w14:paraId="4721DCC2" w14:textId="77777777" w:rsidR="002C0FD9" w:rsidRPr="00CA25CF" w:rsidRDefault="002C0FD9" w:rsidP="00CA25CF">
            <w:pPr>
              <w:rPr>
                <w:rFonts w:cs="Arial"/>
                <w:color w:val="FF0000"/>
                <w:sz w:val="21"/>
                <w:szCs w:val="21"/>
              </w:rPr>
            </w:pPr>
          </w:p>
        </w:tc>
        <w:tc>
          <w:tcPr>
            <w:tcW w:w="217" w:type="dxa"/>
          </w:tcPr>
          <w:p w14:paraId="791ED072" w14:textId="77777777" w:rsidR="002C0FD9" w:rsidRPr="00CA25CF" w:rsidRDefault="002C0FD9" w:rsidP="00CA25CF">
            <w:pPr>
              <w:rPr>
                <w:rFonts w:cs="Arial"/>
                <w:color w:val="FF0000"/>
                <w:sz w:val="21"/>
                <w:szCs w:val="21"/>
              </w:rPr>
            </w:pPr>
          </w:p>
        </w:tc>
        <w:tc>
          <w:tcPr>
            <w:tcW w:w="217" w:type="dxa"/>
          </w:tcPr>
          <w:p w14:paraId="2E2F9AAE" w14:textId="77777777" w:rsidR="002C0FD9" w:rsidRPr="00CA25CF" w:rsidRDefault="002C0FD9" w:rsidP="00CA25CF">
            <w:pPr>
              <w:rPr>
                <w:rFonts w:cs="Arial"/>
                <w:color w:val="FF0000"/>
                <w:sz w:val="21"/>
                <w:szCs w:val="21"/>
              </w:rPr>
            </w:pPr>
          </w:p>
        </w:tc>
        <w:tc>
          <w:tcPr>
            <w:tcW w:w="217" w:type="dxa"/>
          </w:tcPr>
          <w:p w14:paraId="734DC306" w14:textId="77777777" w:rsidR="002C0FD9" w:rsidRPr="00CA25CF" w:rsidRDefault="002C0FD9" w:rsidP="00CA25CF">
            <w:pPr>
              <w:rPr>
                <w:rFonts w:cs="Arial"/>
                <w:color w:val="FF0000"/>
                <w:sz w:val="21"/>
                <w:szCs w:val="21"/>
              </w:rPr>
            </w:pPr>
          </w:p>
        </w:tc>
        <w:tc>
          <w:tcPr>
            <w:tcW w:w="217" w:type="dxa"/>
          </w:tcPr>
          <w:p w14:paraId="093FB7C4" w14:textId="77777777" w:rsidR="002C0FD9" w:rsidRPr="00CA25CF" w:rsidRDefault="002C0FD9" w:rsidP="00CA25CF">
            <w:pPr>
              <w:rPr>
                <w:rFonts w:cs="Arial"/>
                <w:color w:val="FF0000"/>
                <w:sz w:val="21"/>
                <w:szCs w:val="21"/>
              </w:rPr>
            </w:pPr>
          </w:p>
        </w:tc>
        <w:tc>
          <w:tcPr>
            <w:tcW w:w="217" w:type="dxa"/>
          </w:tcPr>
          <w:p w14:paraId="6C7993F8" w14:textId="77777777" w:rsidR="002C0FD9" w:rsidRPr="00CA25CF" w:rsidRDefault="002C0FD9" w:rsidP="00CA25CF">
            <w:pPr>
              <w:rPr>
                <w:rFonts w:cs="Arial"/>
                <w:color w:val="FF0000"/>
                <w:sz w:val="21"/>
                <w:szCs w:val="21"/>
              </w:rPr>
            </w:pPr>
          </w:p>
        </w:tc>
        <w:tc>
          <w:tcPr>
            <w:tcW w:w="217" w:type="dxa"/>
          </w:tcPr>
          <w:p w14:paraId="0F2E9306" w14:textId="77777777" w:rsidR="002C0FD9" w:rsidRPr="00CA25CF" w:rsidRDefault="002C0FD9" w:rsidP="00CA25CF">
            <w:pPr>
              <w:rPr>
                <w:rFonts w:cs="Arial"/>
                <w:color w:val="FF0000"/>
                <w:sz w:val="21"/>
                <w:szCs w:val="21"/>
              </w:rPr>
            </w:pPr>
          </w:p>
        </w:tc>
        <w:tc>
          <w:tcPr>
            <w:tcW w:w="217" w:type="dxa"/>
          </w:tcPr>
          <w:p w14:paraId="08CAFF4F" w14:textId="77777777" w:rsidR="002C0FD9" w:rsidRPr="00CA25CF" w:rsidRDefault="002C0FD9" w:rsidP="00CA25CF">
            <w:pPr>
              <w:rPr>
                <w:rFonts w:cs="Arial"/>
                <w:color w:val="FF0000"/>
                <w:sz w:val="21"/>
                <w:szCs w:val="21"/>
              </w:rPr>
            </w:pPr>
          </w:p>
        </w:tc>
        <w:tc>
          <w:tcPr>
            <w:tcW w:w="217" w:type="dxa"/>
          </w:tcPr>
          <w:p w14:paraId="6EB14107" w14:textId="77777777" w:rsidR="002C0FD9" w:rsidRPr="00CA25CF" w:rsidRDefault="002C0FD9" w:rsidP="00CA25CF">
            <w:pPr>
              <w:rPr>
                <w:rFonts w:cs="Arial"/>
                <w:color w:val="FF0000"/>
                <w:sz w:val="21"/>
                <w:szCs w:val="21"/>
              </w:rPr>
            </w:pPr>
          </w:p>
        </w:tc>
        <w:tc>
          <w:tcPr>
            <w:tcW w:w="217" w:type="dxa"/>
          </w:tcPr>
          <w:p w14:paraId="346D2F2A" w14:textId="77777777" w:rsidR="002C0FD9" w:rsidRPr="00CA25CF" w:rsidRDefault="002C0FD9" w:rsidP="00CA25CF">
            <w:pPr>
              <w:rPr>
                <w:rFonts w:cs="Arial"/>
                <w:color w:val="FF0000"/>
                <w:sz w:val="21"/>
                <w:szCs w:val="21"/>
              </w:rPr>
            </w:pPr>
          </w:p>
        </w:tc>
        <w:tc>
          <w:tcPr>
            <w:tcW w:w="217" w:type="dxa"/>
          </w:tcPr>
          <w:p w14:paraId="5BB7200B" w14:textId="77777777" w:rsidR="002C0FD9" w:rsidRPr="00CA25CF" w:rsidRDefault="002C0FD9" w:rsidP="00CA25CF">
            <w:pPr>
              <w:rPr>
                <w:rFonts w:cs="Arial"/>
                <w:color w:val="FF0000"/>
                <w:sz w:val="21"/>
                <w:szCs w:val="21"/>
              </w:rPr>
            </w:pPr>
          </w:p>
        </w:tc>
        <w:tc>
          <w:tcPr>
            <w:tcW w:w="217" w:type="dxa"/>
          </w:tcPr>
          <w:p w14:paraId="1B553245" w14:textId="77777777" w:rsidR="002C0FD9" w:rsidRPr="00CA25CF" w:rsidRDefault="002C0FD9" w:rsidP="00CA25CF">
            <w:pPr>
              <w:rPr>
                <w:rFonts w:cs="Arial"/>
                <w:color w:val="FF0000"/>
                <w:sz w:val="21"/>
                <w:szCs w:val="21"/>
              </w:rPr>
            </w:pPr>
          </w:p>
        </w:tc>
        <w:tc>
          <w:tcPr>
            <w:tcW w:w="217" w:type="dxa"/>
          </w:tcPr>
          <w:p w14:paraId="2E76469A" w14:textId="77777777" w:rsidR="002C0FD9" w:rsidRPr="00CA25CF" w:rsidRDefault="002C0FD9" w:rsidP="00CA25CF">
            <w:pPr>
              <w:rPr>
                <w:rFonts w:cs="Arial"/>
                <w:color w:val="FF0000"/>
                <w:sz w:val="21"/>
                <w:szCs w:val="21"/>
              </w:rPr>
            </w:pPr>
          </w:p>
        </w:tc>
        <w:tc>
          <w:tcPr>
            <w:tcW w:w="217" w:type="dxa"/>
          </w:tcPr>
          <w:p w14:paraId="0A7F4B01" w14:textId="77777777" w:rsidR="002C0FD9" w:rsidRPr="00CA25CF" w:rsidRDefault="002C0FD9" w:rsidP="00CA25CF">
            <w:pPr>
              <w:rPr>
                <w:rFonts w:cs="Arial"/>
                <w:color w:val="FF0000"/>
                <w:sz w:val="21"/>
                <w:szCs w:val="21"/>
              </w:rPr>
            </w:pPr>
          </w:p>
        </w:tc>
        <w:tc>
          <w:tcPr>
            <w:tcW w:w="217" w:type="dxa"/>
          </w:tcPr>
          <w:p w14:paraId="506D1CA9" w14:textId="77777777" w:rsidR="002C0FD9" w:rsidRPr="00CA25CF" w:rsidRDefault="002C0FD9" w:rsidP="00CA25CF">
            <w:pPr>
              <w:rPr>
                <w:rFonts w:cs="Arial"/>
                <w:color w:val="FF0000"/>
                <w:sz w:val="21"/>
                <w:szCs w:val="21"/>
              </w:rPr>
            </w:pPr>
          </w:p>
        </w:tc>
        <w:tc>
          <w:tcPr>
            <w:tcW w:w="217" w:type="dxa"/>
          </w:tcPr>
          <w:p w14:paraId="04F15B30" w14:textId="77777777" w:rsidR="002C0FD9" w:rsidRPr="00CA25CF" w:rsidRDefault="002C0FD9" w:rsidP="00CA25CF">
            <w:pPr>
              <w:rPr>
                <w:rFonts w:cs="Arial"/>
                <w:color w:val="FF0000"/>
                <w:sz w:val="21"/>
                <w:szCs w:val="21"/>
              </w:rPr>
            </w:pPr>
          </w:p>
        </w:tc>
        <w:tc>
          <w:tcPr>
            <w:tcW w:w="217" w:type="dxa"/>
          </w:tcPr>
          <w:p w14:paraId="3A43E11B" w14:textId="77777777" w:rsidR="002C0FD9" w:rsidRPr="00CA25CF" w:rsidRDefault="002C0FD9" w:rsidP="00CA25CF">
            <w:pPr>
              <w:rPr>
                <w:rFonts w:cs="Arial"/>
                <w:color w:val="FF0000"/>
                <w:sz w:val="21"/>
                <w:szCs w:val="21"/>
              </w:rPr>
            </w:pPr>
          </w:p>
        </w:tc>
        <w:tc>
          <w:tcPr>
            <w:tcW w:w="217" w:type="dxa"/>
          </w:tcPr>
          <w:p w14:paraId="591FAA24" w14:textId="77777777" w:rsidR="002C0FD9" w:rsidRPr="00CA25CF" w:rsidRDefault="002C0FD9" w:rsidP="00CA25CF">
            <w:pPr>
              <w:rPr>
                <w:rFonts w:cs="Arial"/>
                <w:color w:val="FF0000"/>
                <w:sz w:val="21"/>
                <w:szCs w:val="21"/>
              </w:rPr>
            </w:pPr>
          </w:p>
        </w:tc>
        <w:tc>
          <w:tcPr>
            <w:tcW w:w="217" w:type="dxa"/>
          </w:tcPr>
          <w:p w14:paraId="2ECEFF0C" w14:textId="77777777" w:rsidR="002C0FD9" w:rsidRPr="00CA25CF" w:rsidRDefault="002C0FD9" w:rsidP="00CA25CF">
            <w:pPr>
              <w:rPr>
                <w:rFonts w:cs="Arial"/>
                <w:color w:val="FF0000"/>
                <w:sz w:val="21"/>
                <w:szCs w:val="21"/>
              </w:rPr>
            </w:pPr>
          </w:p>
        </w:tc>
        <w:tc>
          <w:tcPr>
            <w:tcW w:w="217" w:type="dxa"/>
          </w:tcPr>
          <w:p w14:paraId="561B2C46" w14:textId="77777777" w:rsidR="002C0FD9" w:rsidRPr="00CA25CF" w:rsidRDefault="002C0FD9" w:rsidP="00CA25CF">
            <w:pPr>
              <w:rPr>
                <w:rFonts w:cs="Arial"/>
                <w:color w:val="FF0000"/>
                <w:sz w:val="21"/>
                <w:szCs w:val="21"/>
              </w:rPr>
            </w:pPr>
          </w:p>
        </w:tc>
        <w:tc>
          <w:tcPr>
            <w:tcW w:w="217" w:type="dxa"/>
          </w:tcPr>
          <w:p w14:paraId="6B7E6D1E" w14:textId="77777777" w:rsidR="002C0FD9" w:rsidRPr="00CA25CF" w:rsidRDefault="002C0FD9" w:rsidP="00CA25CF">
            <w:pPr>
              <w:rPr>
                <w:rFonts w:cs="Arial"/>
                <w:color w:val="FF0000"/>
                <w:sz w:val="21"/>
                <w:szCs w:val="21"/>
              </w:rPr>
            </w:pPr>
          </w:p>
        </w:tc>
        <w:tc>
          <w:tcPr>
            <w:tcW w:w="217" w:type="dxa"/>
          </w:tcPr>
          <w:p w14:paraId="6C2D031E" w14:textId="77777777" w:rsidR="002C0FD9" w:rsidRPr="00CA25CF" w:rsidRDefault="002C0FD9" w:rsidP="00CA25CF">
            <w:pPr>
              <w:rPr>
                <w:rFonts w:cs="Arial"/>
                <w:color w:val="FF0000"/>
                <w:sz w:val="21"/>
                <w:szCs w:val="21"/>
              </w:rPr>
            </w:pPr>
          </w:p>
        </w:tc>
        <w:tc>
          <w:tcPr>
            <w:tcW w:w="217" w:type="dxa"/>
          </w:tcPr>
          <w:p w14:paraId="15DD9368" w14:textId="77777777" w:rsidR="002C0FD9" w:rsidRPr="00CA25CF" w:rsidRDefault="002C0FD9" w:rsidP="00CA25CF">
            <w:pPr>
              <w:rPr>
                <w:rFonts w:cs="Arial"/>
                <w:color w:val="FF0000"/>
                <w:sz w:val="21"/>
                <w:szCs w:val="21"/>
              </w:rPr>
            </w:pPr>
          </w:p>
        </w:tc>
        <w:tc>
          <w:tcPr>
            <w:tcW w:w="217" w:type="dxa"/>
          </w:tcPr>
          <w:p w14:paraId="706CB9D8" w14:textId="77777777" w:rsidR="002C0FD9" w:rsidRPr="00CA25CF" w:rsidRDefault="002C0FD9" w:rsidP="00CA25CF">
            <w:pPr>
              <w:rPr>
                <w:rFonts w:cs="Arial"/>
                <w:color w:val="FF0000"/>
                <w:sz w:val="21"/>
                <w:szCs w:val="21"/>
              </w:rPr>
            </w:pPr>
          </w:p>
        </w:tc>
        <w:tc>
          <w:tcPr>
            <w:tcW w:w="217" w:type="dxa"/>
          </w:tcPr>
          <w:p w14:paraId="16229519" w14:textId="77777777" w:rsidR="002C0FD9" w:rsidRPr="00CA25CF" w:rsidRDefault="002C0FD9" w:rsidP="00CA25CF">
            <w:pPr>
              <w:rPr>
                <w:rFonts w:cs="Arial"/>
                <w:color w:val="FF0000"/>
                <w:sz w:val="21"/>
                <w:szCs w:val="21"/>
              </w:rPr>
            </w:pPr>
          </w:p>
        </w:tc>
        <w:tc>
          <w:tcPr>
            <w:tcW w:w="217" w:type="dxa"/>
          </w:tcPr>
          <w:p w14:paraId="47BE9CB3" w14:textId="77777777" w:rsidR="002C0FD9" w:rsidRPr="00CA25CF" w:rsidRDefault="002C0FD9" w:rsidP="00CA25CF">
            <w:pPr>
              <w:rPr>
                <w:rFonts w:cs="Arial"/>
                <w:color w:val="FF0000"/>
                <w:sz w:val="21"/>
                <w:szCs w:val="21"/>
              </w:rPr>
            </w:pPr>
          </w:p>
        </w:tc>
        <w:tc>
          <w:tcPr>
            <w:tcW w:w="217" w:type="dxa"/>
          </w:tcPr>
          <w:p w14:paraId="768E56D7" w14:textId="77777777" w:rsidR="002C0FD9" w:rsidRPr="00CA25CF" w:rsidRDefault="002C0FD9" w:rsidP="00CA25CF">
            <w:pPr>
              <w:rPr>
                <w:rFonts w:cs="Arial"/>
                <w:color w:val="FF0000"/>
                <w:sz w:val="21"/>
                <w:szCs w:val="21"/>
              </w:rPr>
            </w:pPr>
          </w:p>
        </w:tc>
        <w:tc>
          <w:tcPr>
            <w:tcW w:w="217" w:type="dxa"/>
          </w:tcPr>
          <w:p w14:paraId="4DA671D0" w14:textId="77777777" w:rsidR="002C0FD9" w:rsidRPr="00CA25CF" w:rsidRDefault="002C0FD9" w:rsidP="00CA25CF">
            <w:pPr>
              <w:rPr>
                <w:rFonts w:cs="Arial"/>
                <w:color w:val="FF0000"/>
                <w:sz w:val="21"/>
                <w:szCs w:val="21"/>
              </w:rPr>
            </w:pPr>
          </w:p>
        </w:tc>
        <w:tc>
          <w:tcPr>
            <w:tcW w:w="217" w:type="dxa"/>
          </w:tcPr>
          <w:p w14:paraId="05690E36" w14:textId="77777777" w:rsidR="002C0FD9" w:rsidRPr="00CA25CF" w:rsidRDefault="002C0FD9" w:rsidP="00CA25CF">
            <w:pPr>
              <w:rPr>
                <w:rFonts w:cs="Arial"/>
                <w:color w:val="FF0000"/>
                <w:sz w:val="21"/>
                <w:szCs w:val="21"/>
              </w:rPr>
            </w:pPr>
          </w:p>
        </w:tc>
        <w:tc>
          <w:tcPr>
            <w:tcW w:w="217" w:type="dxa"/>
          </w:tcPr>
          <w:p w14:paraId="2A52D255" w14:textId="77777777" w:rsidR="002C0FD9" w:rsidRPr="00CA25CF" w:rsidRDefault="002C0FD9" w:rsidP="00CA25CF">
            <w:pPr>
              <w:rPr>
                <w:rFonts w:cs="Arial"/>
                <w:color w:val="FF0000"/>
                <w:sz w:val="21"/>
                <w:szCs w:val="21"/>
              </w:rPr>
            </w:pPr>
          </w:p>
        </w:tc>
      </w:tr>
      <w:tr w:rsidR="002C0FD9" w:rsidRPr="00A16219" w14:paraId="40B0859F" w14:textId="06B4A921" w:rsidTr="002C0FD9">
        <w:trPr>
          <w:trHeight w:val="635"/>
        </w:trPr>
        <w:tc>
          <w:tcPr>
            <w:tcW w:w="515" w:type="dxa"/>
          </w:tcPr>
          <w:p w14:paraId="49C1DB4E" w14:textId="77777777" w:rsidR="002C0FD9" w:rsidRPr="00CA25CF" w:rsidRDefault="002C0FD9" w:rsidP="00CA25CF">
            <w:pPr>
              <w:rPr>
                <w:rFonts w:cs="Arial"/>
                <w:color w:val="FF0000"/>
                <w:sz w:val="21"/>
                <w:szCs w:val="21"/>
              </w:rPr>
            </w:pPr>
          </w:p>
        </w:tc>
        <w:tc>
          <w:tcPr>
            <w:tcW w:w="217" w:type="dxa"/>
          </w:tcPr>
          <w:p w14:paraId="73FEA6C3" w14:textId="77777777" w:rsidR="002C0FD9" w:rsidRPr="00CA25CF" w:rsidRDefault="002C0FD9" w:rsidP="00CA25CF">
            <w:pPr>
              <w:rPr>
                <w:rFonts w:cs="Arial"/>
                <w:color w:val="FF0000"/>
                <w:sz w:val="21"/>
                <w:szCs w:val="21"/>
              </w:rPr>
            </w:pPr>
          </w:p>
        </w:tc>
        <w:tc>
          <w:tcPr>
            <w:tcW w:w="217" w:type="dxa"/>
          </w:tcPr>
          <w:p w14:paraId="2D072B16" w14:textId="37954180" w:rsidR="002C0FD9" w:rsidRPr="00CA25CF" w:rsidRDefault="002C0FD9" w:rsidP="00CA25CF">
            <w:pPr>
              <w:rPr>
                <w:rFonts w:cs="Arial"/>
                <w:color w:val="FF0000"/>
                <w:sz w:val="21"/>
                <w:szCs w:val="21"/>
              </w:rPr>
            </w:pPr>
          </w:p>
        </w:tc>
        <w:tc>
          <w:tcPr>
            <w:tcW w:w="217" w:type="dxa"/>
          </w:tcPr>
          <w:p w14:paraId="070CA61D" w14:textId="77777777" w:rsidR="002C0FD9" w:rsidRPr="00CA25CF" w:rsidRDefault="002C0FD9" w:rsidP="00CA25CF">
            <w:pPr>
              <w:rPr>
                <w:rFonts w:cs="Arial"/>
                <w:color w:val="FF0000"/>
                <w:sz w:val="21"/>
                <w:szCs w:val="21"/>
              </w:rPr>
            </w:pPr>
          </w:p>
        </w:tc>
        <w:tc>
          <w:tcPr>
            <w:tcW w:w="217" w:type="dxa"/>
          </w:tcPr>
          <w:p w14:paraId="0B4D6614" w14:textId="77777777" w:rsidR="002C0FD9" w:rsidRPr="00CA25CF" w:rsidRDefault="002C0FD9" w:rsidP="00CA25CF">
            <w:pPr>
              <w:rPr>
                <w:rFonts w:cs="Arial"/>
                <w:color w:val="FF0000"/>
                <w:sz w:val="21"/>
                <w:szCs w:val="21"/>
              </w:rPr>
            </w:pPr>
          </w:p>
        </w:tc>
        <w:tc>
          <w:tcPr>
            <w:tcW w:w="217" w:type="dxa"/>
          </w:tcPr>
          <w:p w14:paraId="3351C1F1" w14:textId="77777777" w:rsidR="002C0FD9" w:rsidRPr="00CA25CF" w:rsidRDefault="002C0FD9" w:rsidP="00CA25CF">
            <w:pPr>
              <w:rPr>
                <w:rFonts w:cs="Arial"/>
                <w:color w:val="FF0000"/>
                <w:sz w:val="21"/>
                <w:szCs w:val="21"/>
              </w:rPr>
            </w:pPr>
          </w:p>
        </w:tc>
        <w:tc>
          <w:tcPr>
            <w:tcW w:w="217" w:type="dxa"/>
          </w:tcPr>
          <w:p w14:paraId="628A08A0" w14:textId="77777777" w:rsidR="002C0FD9" w:rsidRPr="00CA25CF" w:rsidRDefault="002C0FD9" w:rsidP="00CA25CF">
            <w:pPr>
              <w:rPr>
                <w:rFonts w:cs="Arial"/>
                <w:color w:val="FF0000"/>
                <w:sz w:val="21"/>
                <w:szCs w:val="21"/>
              </w:rPr>
            </w:pPr>
          </w:p>
        </w:tc>
        <w:tc>
          <w:tcPr>
            <w:tcW w:w="217" w:type="dxa"/>
          </w:tcPr>
          <w:p w14:paraId="6479C64D" w14:textId="77777777" w:rsidR="002C0FD9" w:rsidRPr="00CA25CF" w:rsidRDefault="002C0FD9" w:rsidP="00CA25CF">
            <w:pPr>
              <w:rPr>
                <w:rFonts w:cs="Arial"/>
                <w:color w:val="FF0000"/>
                <w:sz w:val="21"/>
                <w:szCs w:val="21"/>
              </w:rPr>
            </w:pPr>
          </w:p>
        </w:tc>
        <w:tc>
          <w:tcPr>
            <w:tcW w:w="217" w:type="dxa"/>
          </w:tcPr>
          <w:p w14:paraId="2EB9728F" w14:textId="77777777" w:rsidR="002C0FD9" w:rsidRPr="00CA25CF" w:rsidRDefault="002C0FD9" w:rsidP="00CA25CF">
            <w:pPr>
              <w:rPr>
                <w:rFonts w:cs="Arial"/>
                <w:color w:val="FF0000"/>
                <w:sz w:val="21"/>
                <w:szCs w:val="21"/>
              </w:rPr>
            </w:pPr>
          </w:p>
        </w:tc>
        <w:tc>
          <w:tcPr>
            <w:tcW w:w="217" w:type="dxa"/>
          </w:tcPr>
          <w:p w14:paraId="1B6C91B9" w14:textId="77777777" w:rsidR="002C0FD9" w:rsidRPr="00CA25CF" w:rsidRDefault="002C0FD9" w:rsidP="00CA25CF">
            <w:pPr>
              <w:rPr>
                <w:rFonts w:cs="Arial"/>
                <w:color w:val="FF0000"/>
                <w:sz w:val="21"/>
                <w:szCs w:val="21"/>
              </w:rPr>
            </w:pPr>
          </w:p>
        </w:tc>
        <w:tc>
          <w:tcPr>
            <w:tcW w:w="217" w:type="dxa"/>
          </w:tcPr>
          <w:p w14:paraId="2F1F1B68" w14:textId="77777777" w:rsidR="002C0FD9" w:rsidRPr="00CA25CF" w:rsidRDefault="002C0FD9" w:rsidP="00CA25CF">
            <w:pPr>
              <w:rPr>
                <w:rFonts w:cs="Arial"/>
                <w:color w:val="FF0000"/>
                <w:sz w:val="21"/>
                <w:szCs w:val="21"/>
              </w:rPr>
            </w:pPr>
          </w:p>
        </w:tc>
        <w:tc>
          <w:tcPr>
            <w:tcW w:w="217" w:type="dxa"/>
          </w:tcPr>
          <w:p w14:paraId="576B3D45" w14:textId="77777777" w:rsidR="002C0FD9" w:rsidRPr="00CA25CF" w:rsidRDefault="002C0FD9" w:rsidP="00CA25CF">
            <w:pPr>
              <w:rPr>
                <w:rFonts w:cs="Arial"/>
                <w:color w:val="FF0000"/>
                <w:sz w:val="21"/>
                <w:szCs w:val="21"/>
              </w:rPr>
            </w:pPr>
          </w:p>
        </w:tc>
        <w:tc>
          <w:tcPr>
            <w:tcW w:w="217" w:type="dxa"/>
          </w:tcPr>
          <w:p w14:paraId="481A6DC3" w14:textId="77777777" w:rsidR="002C0FD9" w:rsidRPr="00CA25CF" w:rsidRDefault="002C0FD9" w:rsidP="00CA25CF">
            <w:pPr>
              <w:rPr>
                <w:rFonts w:cs="Arial"/>
                <w:color w:val="FF0000"/>
                <w:sz w:val="21"/>
                <w:szCs w:val="21"/>
              </w:rPr>
            </w:pPr>
          </w:p>
        </w:tc>
        <w:tc>
          <w:tcPr>
            <w:tcW w:w="217" w:type="dxa"/>
          </w:tcPr>
          <w:p w14:paraId="38F1A8AF" w14:textId="77777777" w:rsidR="002C0FD9" w:rsidRPr="00CA25CF" w:rsidRDefault="002C0FD9" w:rsidP="00CA25CF">
            <w:pPr>
              <w:rPr>
                <w:rFonts w:cs="Arial"/>
                <w:color w:val="FF0000"/>
                <w:sz w:val="21"/>
                <w:szCs w:val="21"/>
              </w:rPr>
            </w:pPr>
          </w:p>
        </w:tc>
        <w:tc>
          <w:tcPr>
            <w:tcW w:w="217" w:type="dxa"/>
          </w:tcPr>
          <w:p w14:paraId="29E1090F" w14:textId="77777777" w:rsidR="002C0FD9" w:rsidRPr="00CA25CF" w:rsidRDefault="002C0FD9" w:rsidP="00CA25CF">
            <w:pPr>
              <w:rPr>
                <w:rFonts w:cs="Arial"/>
                <w:color w:val="FF0000"/>
                <w:sz w:val="21"/>
                <w:szCs w:val="21"/>
              </w:rPr>
            </w:pPr>
          </w:p>
        </w:tc>
        <w:tc>
          <w:tcPr>
            <w:tcW w:w="217" w:type="dxa"/>
          </w:tcPr>
          <w:p w14:paraId="392542DD" w14:textId="77777777" w:rsidR="002C0FD9" w:rsidRPr="00CA25CF" w:rsidRDefault="002C0FD9" w:rsidP="00CA25CF">
            <w:pPr>
              <w:rPr>
                <w:rFonts w:cs="Arial"/>
                <w:color w:val="FF0000"/>
                <w:sz w:val="21"/>
                <w:szCs w:val="21"/>
              </w:rPr>
            </w:pPr>
          </w:p>
        </w:tc>
        <w:tc>
          <w:tcPr>
            <w:tcW w:w="217" w:type="dxa"/>
          </w:tcPr>
          <w:p w14:paraId="6582FDE3" w14:textId="77777777" w:rsidR="002C0FD9" w:rsidRPr="00CA25CF" w:rsidRDefault="002C0FD9" w:rsidP="00CA25CF">
            <w:pPr>
              <w:rPr>
                <w:rFonts w:cs="Arial"/>
                <w:color w:val="FF0000"/>
                <w:sz w:val="21"/>
                <w:szCs w:val="21"/>
              </w:rPr>
            </w:pPr>
          </w:p>
        </w:tc>
        <w:tc>
          <w:tcPr>
            <w:tcW w:w="217" w:type="dxa"/>
          </w:tcPr>
          <w:p w14:paraId="6D52D2FE" w14:textId="77777777" w:rsidR="002C0FD9" w:rsidRPr="00CA25CF" w:rsidRDefault="002C0FD9" w:rsidP="00CA25CF">
            <w:pPr>
              <w:rPr>
                <w:rFonts w:cs="Arial"/>
                <w:color w:val="FF0000"/>
                <w:sz w:val="21"/>
                <w:szCs w:val="21"/>
              </w:rPr>
            </w:pPr>
          </w:p>
        </w:tc>
        <w:tc>
          <w:tcPr>
            <w:tcW w:w="217" w:type="dxa"/>
          </w:tcPr>
          <w:p w14:paraId="1D7538D6" w14:textId="77777777" w:rsidR="002C0FD9" w:rsidRPr="00CA25CF" w:rsidRDefault="002C0FD9" w:rsidP="00CA25CF">
            <w:pPr>
              <w:rPr>
                <w:rFonts w:cs="Arial"/>
                <w:color w:val="FF0000"/>
                <w:sz w:val="21"/>
                <w:szCs w:val="21"/>
              </w:rPr>
            </w:pPr>
          </w:p>
        </w:tc>
        <w:tc>
          <w:tcPr>
            <w:tcW w:w="217" w:type="dxa"/>
          </w:tcPr>
          <w:p w14:paraId="3512260F" w14:textId="77777777" w:rsidR="002C0FD9" w:rsidRPr="00CA25CF" w:rsidRDefault="002C0FD9" w:rsidP="00CA25CF">
            <w:pPr>
              <w:rPr>
                <w:rFonts w:cs="Arial"/>
                <w:color w:val="FF0000"/>
                <w:sz w:val="21"/>
                <w:szCs w:val="21"/>
              </w:rPr>
            </w:pPr>
          </w:p>
        </w:tc>
        <w:tc>
          <w:tcPr>
            <w:tcW w:w="217" w:type="dxa"/>
          </w:tcPr>
          <w:p w14:paraId="144AEFC2" w14:textId="77777777" w:rsidR="002C0FD9" w:rsidRPr="00CA25CF" w:rsidRDefault="002C0FD9" w:rsidP="00CA25CF">
            <w:pPr>
              <w:rPr>
                <w:rFonts w:cs="Arial"/>
                <w:color w:val="FF0000"/>
                <w:sz w:val="21"/>
                <w:szCs w:val="21"/>
              </w:rPr>
            </w:pPr>
          </w:p>
        </w:tc>
        <w:tc>
          <w:tcPr>
            <w:tcW w:w="217" w:type="dxa"/>
          </w:tcPr>
          <w:p w14:paraId="19DCA4F2" w14:textId="77777777" w:rsidR="002C0FD9" w:rsidRPr="00CA25CF" w:rsidRDefault="002C0FD9" w:rsidP="00CA25CF">
            <w:pPr>
              <w:rPr>
                <w:rFonts w:cs="Arial"/>
                <w:color w:val="FF0000"/>
                <w:sz w:val="21"/>
                <w:szCs w:val="21"/>
              </w:rPr>
            </w:pPr>
          </w:p>
        </w:tc>
        <w:tc>
          <w:tcPr>
            <w:tcW w:w="217" w:type="dxa"/>
          </w:tcPr>
          <w:p w14:paraId="5BC8FF99" w14:textId="77777777" w:rsidR="002C0FD9" w:rsidRPr="00CA25CF" w:rsidRDefault="002C0FD9" w:rsidP="00CA25CF">
            <w:pPr>
              <w:rPr>
                <w:rFonts w:cs="Arial"/>
                <w:color w:val="FF0000"/>
                <w:sz w:val="21"/>
                <w:szCs w:val="21"/>
              </w:rPr>
            </w:pPr>
          </w:p>
        </w:tc>
        <w:tc>
          <w:tcPr>
            <w:tcW w:w="217" w:type="dxa"/>
          </w:tcPr>
          <w:p w14:paraId="49027BA8" w14:textId="77777777" w:rsidR="002C0FD9" w:rsidRPr="00CA25CF" w:rsidRDefault="002C0FD9" w:rsidP="00CA25CF">
            <w:pPr>
              <w:rPr>
                <w:rFonts w:cs="Arial"/>
                <w:color w:val="FF0000"/>
                <w:sz w:val="21"/>
                <w:szCs w:val="21"/>
              </w:rPr>
            </w:pPr>
          </w:p>
        </w:tc>
        <w:tc>
          <w:tcPr>
            <w:tcW w:w="217" w:type="dxa"/>
          </w:tcPr>
          <w:p w14:paraId="7F4EA528" w14:textId="77777777" w:rsidR="002C0FD9" w:rsidRPr="00CA25CF" w:rsidRDefault="002C0FD9" w:rsidP="00CA25CF">
            <w:pPr>
              <w:rPr>
                <w:rFonts w:cs="Arial"/>
                <w:color w:val="FF0000"/>
                <w:sz w:val="21"/>
                <w:szCs w:val="21"/>
              </w:rPr>
            </w:pPr>
          </w:p>
        </w:tc>
        <w:tc>
          <w:tcPr>
            <w:tcW w:w="217" w:type="dxa"/>
          </w:tcPr>
          <w:p w14:paraId="0722FA87" w14:textId="77777777" w:rsidR="002C0FD9" w:rsidRPr="00CA25CF" w:rsidRDefault="002C0FD9" w:rsidP="00CA25CF">
            <w:pPr>
              <w:rPr>
                <w:rFonts w:cs="Arial"/>
                <w:color w:val="FF0000"/>
                <w:sz w:val="21"/>
                <w:szCs w:val="21"/>
              </w:rPr>
            </w:pPr>
          </w:p>
        </w:tc>
        <w:tc>
          <w:tcPr>
            <w:tcW w:w="217" w:type="dxa"/>
          </w:tcPr>
          <w:p w14:paraId="63F1BE6B" w14:textId="77777777" w:rsidR="002C0FD9" w:rsidRPr="00CA25CF" w:rsidRDefault="002C0FD9" w:rsidP="00CA25CF">
            <w:pPr>
              <w:rPr>
                <w:rFonts w:cs="Arial"/>
                <w:color w:val="FF0000"/>
                <w:sz w:val="21"/>
                <w:szCs w:val="21"/>
              </w:rPr>
            </w:pPr>
          </w:p>
        </w:tc>
        <w:tc>
          <w:tcPr>
            <w:tcW w:w="217" w:type="dxa"/>
          </w:tcPr>
          <w:p w14:paraId="4C23039C" w14:textId="77777777" w:rsidR="002C0FD9" w:rsidRPr="00CA25CF" w:rsidRDefault="002C0FD9" w:rsidP="00CA25CF">
            <w:pPr>
              <w:rPr>
                <w:rFonts w:cs="Arial"/>
                <w:color w:val="FF0000"/>
                <w:sz w:val="21"/>
                <w:szCs w:val="21"/>
              </w:rPr>
            </w:pPr>
          </w:p>
        </w:tc>
        <w:tc>
          <w:tcPr>
            <w:tcW w:w="217" w:type="dxa"/>
          </w:tcPr>
          <w:p w14:paraId="764E515C" w14:textId="77777777" w:rsidR="002C0FD9" w:rsidRPr="00CA25CF" w:rsidRDefault="002C0FD9" w:rsidP="00CA25CF">
            <w:pPr>
              <w:rPr>
                <w:rFonts w:cs="Arial"/>
                <w:color w:val="FF0000"/>
                <w:sz w:val="21"/>
                <w:szCs w:val="21"/>
              </w:rPr>
            </w:pPr>
          </w:p>
        </w:tc>
        <w:tc>
          <w:tcPr>
            <w:tcW w:w="217" w:type="dxa"/>
          </w:tcPr>
          <w:p w14:paraId="35942085" w14:textId="77777777" w:rsidR="002C0FD9" w:rsidRPr="00CA25CF" w:rsidRDefault="002C0FD9" w:rsidP="00CA25CF">
            <w:pPr>
              <w:rPr>
                <w:rFonts w:cs="Arial"/>
                <w:color w:val="FF0000"/>
                <w:sz w:val="21"/>
                <w:szCs w:val="21"/>
              </w:rPr>
            </w:pPr>
          </w:p>
        </w:tc>
        <w:tc>
          <w:tcPr>
            <w:tcW w:w="217" w:type="dxa"/>
          </w:tcPr>
          <w:p w14:paraId="0EB06FF4" w14:textId="77777777" w:rsidR="002C0FD9" w:rsidRPr="00CA25CF" w:rsidRDefault="002C0FD9" w:rsidP="00CA25CF">
            <w:pPr>
              <w:rPr>
                <w:rFonts w:cs="Arial"/>
                <w:color w:val="FF0000"/>
                <w:sz w:val="21"/>
                <w:szCs w:val="21"/>
              </w:rPr>
            </w:pPr>
          </w:p>
        </w:tc>
        <w:tc>
          <w:tcPr>
            <w:tcW w:w="217" w:type="dxa"/>
          </w:tcPr>
          <w:p w14:paraId="21C38AC1" w14:textId="77777777" w:rsidR="002C0FD9" w:rsidRPr="00CA25CF" w:rsidRDefault="002C0FD9" w:rsidP="00CA25CF">
            <w:pPr>
              <w:rPr>
                <w:rFonts w:cs="Arial"/>
                <w:color w:val="FF0000"/>
                <w:sz w:val="21"/>
                <w:szCs w:val="21"/>
              </w:rPr>
            </w:pPr>
          </w:p>
        </w:tc>
        <w:tc>
          <w:tcPr>
            <w:tcW w:w="217" w:type="dxa"/>
          </w:tcPr>
          <w:p w14:paraId="65AEE0E8" w14:textId="77777777" w:rsidR="002C0FD9" w:rsidRPr="00CA25CF" w:rsidRDefault="002C0FD9" w:rsidP="00CA25CF">
            <w:pPr>
              <w:rPr>
                <w:rFonts w:cs="Arial"/>
                <w:color w:val="FF0000"/>
                <w:sz w:val="21"/>
                <w:szCs w:val="21"/>
              </w:rPr>
            </w:pPr>
          </w:p>
        </w:tc>
        <w:tc>
          <w:tcPr>
            <w:tcW w:w="217" w:type="dxa"/>
          </w:tcPr>
          <w:p w14:paraId="00F71979" w14:textId="77777777" w:rsidR="002C0FD9" w:rsidRPr="00CA25CF" w:rsidRDefault="002C0FD9" w:rsidP="00CA25CF">
            <w:pPr>
              <w:rPr>
                <w:rFonts w:cs="Arial"/>
                <w:color w:val="FF0000"/>
                <w:sz w:val="21"/>
                <w:szCs w:val="21"/>
              </w:rPr>
            </w:pPr>
          </w:p>
        </w:tc>
        <w:tc>
          <w:tcPr>
            <w:tcW w:w="217" w:type="dxa"/>
          </w:tcPr>
          <w:p w14:paraId="2298EDBB" w14:textId="77777777" w:rsidR="002C0FD9" w:rsidRPr="00CA25CF" w:rsidRDefault="002C0FD9" w:rsidP="00CA25CF">
            <w:pPr>
              <w:rPr>
                <w:rFonts w:cs="Arial"/>
                <w:color w:val="FF0000"/>
                <w:sz w:val="21"/>
                <w:szCs w:val="21"/>
              </w:rPr>
            </w:pPr>
          </w:p>
        </w:tc>
        <w:tc>
          <w:tcPr>
            <w:tcW w:w="217" w:type="dxa"/>
          </w:tcPr>
          <w:p w14:paraId="5FE4F04E" w14:textId="77777777" w:rsidR="002C0FD9" w:rsidRPr="00CA25CF" w:rsidRDefault="002C0FD9" w:rsidP="00CA25CF">
            <w:pPr>
              <w:rPr>
                <w:rFonts w:cs="Arial"/>
                <w:color w:val="FF0000"/>
                <w:sz w:val="21"/>
                <w:szCs w:val="21"/>
              </w:rPr>
            </w:pPr>
          </w:p>
        </w:tc>
        <w:tc>
          <w:tcPr>
            <w:tcW w:w="217" w:type="dxa"/>
          </w:tcPr>
          <w:p w14:paraId="6CE3CFB7" w14:textId="77777777" w:rsidR="002C0FD9" w:rsidRPr="00CA25CF" w:rsidRDefault="002C0FD9" w:rsidP="00CA25CF">
            <w:pPr>
              <w:rPr>
                <w:rFonts w:cs="Arial"/>
                <w:color w:val="FF0000"/>
                <w:sz w:val="21"/>
                <w:szCs w:val="21"/>
              </w:rPr>
            </w:pPr>
          </w:p>
        </w:tc>
        <w:tc>
          <w:tcPr>
            <w:tcW w:w="217" w:type="dxa"/>
          </w:tcPr>
          <w:p w14:paraId="7AA48CDF" w14:textId="77777777" w:rsidR="002C0FD9" w:rsidRPr="00CA25CF" w:rsidRDefault="002C0FD9" w:rsidP="00CA25CF">
            <w:pPr>
              <w:rPr>
                <w:rFonts w:cs="Arial"/>
                <w:color w:val="FF0000"/>
                <w:sz w:val="21"/>
                <w:szCs w:val="21"/>
              </w:rPr>
            </w:pPr>
          </w:p>
        </w:tc>
        <w:tc>
          <w:tcPr>
            <w:tcW w:w="217" w:type="dxa"/>
          </w:tcPr>
          <w:p w14:paraId="15BD4EB6" w14:textId="77777777" w:rsidR="002C0FD9" w:rsidRPr="00CA25CF" w:rsidRDefault="002C0FD9" w:rsidP="00CA25CF">
            <w:pPr>
              <w:rPr>
                <w:rFonts w:cs="Arial"/>
                <w:color w:val="FF0000"/>
                <w:sz w:val="21"/>
                <w:szCs w:val="21"/>
              </w:rPr>
            </w:pPr>
          </w:p>
        </w:tc>
        <w:tc>
          <w:tcPr>
            <w:tcW w:w="217" w:type="dxa"/>
          </w:tcPr>
          <w:p w14:paraId="1A814DCC" w14:textId="77777777" w:rsidR="002C0FD9" w:rsidRPr="00CA25CF" w:rsidRDefault="002C0FD9" w:rsidP="00CA25CF">
            <w:pPr>
              <w:rPr>
                <w:rFonts w:cs="Arial"/>
                <w:color w:val="FF0000"/>
                <w:sz w:val="21"/>
                <w:szCs w:val="21"/>
              </w:rPr>
            </w:pPr>
          </w:p>
        </w:tc>
        <w:tc>
          <w:tcPr>
            <w:tcW w:w="217" w:type="dxa"/>
          </w:tcPr>
          <w:p w14:paraId="6D924EFE" w14:textId="77777777" w:rsidR="002C0FD9" w:rsidRPr="00CA25CF" w:rsidRDefault="002C0FD9" w:rsidP="00CA25CF">
            <w:pPr>
              <w:rPr>
                <w:rFonts w:cs="Arial"/>
                <w:color w:val="FF0000"/>
                <w:sz w:val="21"/>
                <w:szCs w:val="21"/>
              </w:rPr>
            </w:pPr>
          </w:p>
        </w:tc>
        <w:tc>
          <w:tcPr>
            <w:tcW w:w="217" w:type="dxa"/>
          </w:tcPr>
          <w:p w14:paraId="20ED55D8" w14:textId="77777777" w:rsidR="002C0FD9" w:rsidRPr="00CA25CF" w:rsidRDefault="002C0FD9" w:rsidP="00CA25CF">
            <w:pPr>
              <w:rPr>
                <w:rFonts w:cs="Arial"/>
                <w:color w:val="FF0000"/>
                <w:sz w:val="21"/>
                <w:szCs w:val="21"/>
              </w:rPr>
            </w:pPr>
          </w:p>
        </w:tc>
        <w:tc>
          <w:tcPr>
            <w:tcW w:w="217" w:type="dxa"/>
          </w:tcPr>
          <w:p w14:paraId="4C0304C7" w14:textId="77777777" w:rsidR="002C0FD9" w:rsidRPr="00CA25CF" w:rsidRDefault="002C0FD9" w:rsidP="00CA25CF">
            <w:pPr>
              <w:rPr>
                <w:rFonts w:cs="Arial"/>
                <w:color w:val="FF0000"/>
                <w:sz w:val="21"/>
                <w:szCs w:val="21"/>
              </w:rPr>
            </w:pPr>
          </w:p>
        </w:tc>
      </w:tr>
      <w:tr w:rsidR="002C0FD9" w:rsidRPr="00A16219" w14:paraId="0A29FFCC" w14:textId="46719A96" w:rsidTr="002C0FD9">
        <w:trPr>
          <w:trHeight w:val="635"/>
        </w:trPr>
        <w:tc>
          <w:tcPr>
            <w:tcW w:w="515" w:type="dxa"/>
          </w:tcPr>
          <w:p w14:paraId="4F02F6F5" w14:textId="77777777" w:rsidR="002C0FD9" w:rsidRPr="00CA25CF" w:rsidRDefault="002C0FD9" w:rsidP="00CA25CF">
            <w:pPr>
              <w:rPr>
                <w:rFonts w:cs="Arial"/>
                <w:color w:val="FF0000"/>
                <w:sz w:val="21"/>
                <w:szCs w:val="21"/>
              </w:rPr>
            </w:pPr>
          </w:p>
        </w:tc>
        <w:tc>
          <w:tcPr>
            <w:tcW w:w="217" w:type="dxa"/>
          </w:tcPr>
          <w:p w14:paraId="3255B1A1" w14:textId="77777777" w:rsidR="002C0FD9" w:rsidRPr="00CA25CF" w:rsidRDefault="002C0FD9" w:rsidP="00CA25CF">
            <w:pPr>
              <w:rPr>
                <w:rFonts w:cs="Arial"/>
                <w:color w:val="FF0000"/>
                <w:sz w:val="21"/>
                <w:szCs w:val="21"/>
              </w:rPr>
            </w:pPr>
          </w:p>
        </w:tc>
        <w:tc>
          <w:tcPr>
            <w:tcW w:w="217" w:type="dxa"/>
          </w:tcPr>
          <w:p w14:paraId="3FC8F8CF" w14:textId="24B44206" w:rsidR="002C0FD9" w:rsidRPr="00CA25CF" w:rsidRDefault="002C0FD9" w:rsidP="00CA25CF">
            <w:pPr>
              <w:rPr>
                <w:rFonts w:cs="Arial"/>
                <w:color w:val="FF0000"/>
                <w:sz w:val="21"/>
                <w:szCs w:val="21"/>
              </w:rPr>
            </w:pPr>
          </w:p>
        </w:tc>
        <w:tc>
          <w:tcPr>
            <w:tcW w:w="217" w:type="dxa"/>
          </w:tcPr>
          <w:p w14:paraId="1BFDF4F1" w14:textId="77777777" w:rsidR="002C0FD9" w:rsidRPr="00CA25CF" w:rsidRDefault="002C0FD9" w:rsidP="00CA25CF">
            <w:pPr>
              <w:rPr>
                <w:rFonts w:cs="Arial"/>
                <w:color w:val="FF0000"/>
                <w:sz w:val="21"/>
                <w:szCs w:val="21"/>
              </w:rPr>
            </w:pPr>
          </w:p>
        </w:tc>
        <w:tc>
          <w:tcPr>
            <w:tcW w:w="217" w:type="dxa"/>
          </w:tcPr>
          <w:p w14:paraId="78AA8FEC" w14:textId="77777777" w:rsidR="002C0FD9" w:rsidRPr="00CA25CF" w:rsidRDefault="002C0FD9" w:rsidP="00CA25CF">
            <w:pPr>
              <w:rPr>
                <w:rFonts w:cs="Arial"/>
                <w:color w:val="FF0000"/>
                <w:sz w:val="21"/>
                <w:szCs w:val="21"/>
              </w:rPr>
            </w:pPr>
          </w:p>
        </w:tc>
        <w:tc>
          <w:tcPr>
            <w:tcW w:w="217" w:type="dxa"/>
          </w:tcPr>
          <w:p w14:paraId="426050C9" w14:textId="77777777" w:rsidR="002C0FD9" w:rsidRPr="00CA25CF" w:rsidRDefault="002C0FD9" w:rsidP="00CA25CF">
            <w:pPr>
              <w:rPr>
                <w:rFonts w:cs="Arial"/>
                <w:color w:val="FF0000"/>
                <w:sz w:val="21"/>
                <w:szCs w:val="21"/>
              </w:rPr>
            </w:pPr>
          </w:p>
        </w:tc>
        <w:tc>
          <w:tcPr>
            <w:tcW w:w="217" w:type="dxa"/>
          </w:tcPr>
          <w:p w14:paraId="04081932" w14:textId="77777777" w:rsidR="002C0FD9" w:rsidRPr="00CA25CF" w:rsidRDefault="002C0FD9" w:rsidP="00CA25CF">
            <w:pPr>
              <w:rPr>
                <w:rFonts w:cs="Arial"/>
                <w:color w:val="FF0000"/>
                <w:sz w:val="21"/>
                <w:szCs w:val="21"/>
              </w:rPr>
            </w:pPr>
          </w:p>
        </w:tc>
        <w:tc>
          <w:tcPr>
            <w:tcW w:w="217" w:type="dxa"/>
          </w:tcPr>
          <w:p w14:paraId="45BB5567" w14:textId="77777777" w:rsidR="002C0FD9" w:rsidRPr="00CA25CF" w:rsidRDefault="002C0FD9" w:rsidP="00CA25CF">
            <w:pPr>
              <w:rPr>
                <w:rFonts w:cs="Arial"/>
                <w:color w:val="FF0000"/>
                <w:sz w:val="21"/>
                <w:szCs w:val="21"/>
              </w:rPr>
            </w:pPr>
          </w:p>
        </w:tc>
        <w:tc>
          <w:tcPr>
            <w:tcW w:w="217" w:type="dxa"/>
          </w:tcPr>
          <w:p w14:paraId="3EC819C6" w14:textId="77777777" w:rsidR="002C0FD9" w:rsidRPr="00CA25CF" w:rsidRDefault="002C0FD9" w:rsidP="00CA25CF">
            <w:pPr>
              <w:rPr>
                <w:rFonts w:cs="Arial"/>
                <w:color w:val="FF0000"/>
                <w:sz w:val="21"/>
                <w:szCs w:val="21"/>
              </w:rPr>
            </w:pPr>
          </w:p>
        </w:tc>
        <w:tc>
          <w:tcPr>
            <w:tcW w:w="217" w:type="dxa"/>
          </w:tcPr>
          <w:p w14:paraId="1D91941A" w14:textId="77777777" w:rsidR="002C0FD9" w:rsidRPr="00CA25CF" w:rsidRDefault="002C0FD9" w:rsidP="00CA25CF">
            <w:pPr>
              <w:rPr>
                <w:rFonts w:cs="Arial"/>
                <w:color w:val="FF0000"/>
                <w:sz w:val="21"/>
                <w:szCs w:val="21"/>
              </w:rPr>
            </w:pPr>
          </w:p>
        </w:tc>
        <w:tc>
          <w:tcPr>
            <w:tcW w:w="217" w:type="dxa"/>
          </w:tcPr>
          <w:p w14:paraId="74EB74BF" w14:textId="77777777" w:rsidR="002C0FD9" w:rsidRPr="00CA25CF" w:rsidRDefault="002C0FD9" w:rsidP="00CA25CF">
            <w:pPr>
              <w:rPr>
                <w:rFonts w:cs="Arial"/>
                <w:color w:val="FF0000"/>
                <w:sz w:val="21"/>
                <w:szCs w:val="21"/>
              </w:rPr>
            </w:pPr>
          </w:p>
        </w:tc>
        <w:tc>
          <w:tcPr>
            <w:tcW w:w="217" w:type="dxa"/>
          </w:tcPr>
          <w:p w14:paraId="07EAB249" w14:textId="77777777" w:rsidR="002C0FD9" w:rsidRPr="00CA25CF" w:rsidRDefault="002C0FD9" w:rsidP="00CA25CF">
            <w:pPr>
              <w:rPr>
                <w:rFonts w:cs="Arial"/>
                <w:color w:val="FF0000"/>
                <w:sz w:val="21"/>
                <w:szCs w:val="21"/>
              </w:rPr>
            </w:pPr>
          </w:p>
        </w:tc>
        <w:tc>
          <w:tcPr>
            <w:tcW w:w="217" w:type="dxa"/>
          </w:tcPr>
          <w:p w14:paraId="51C64767" w14:textId="77777777" w:rsidR="002C0FD9" w:rsidRPr="00CA25CF" w:rsidRDefault="002C0FD9" w:rsidP="00CA25CF">
            <w:pPr>
              <w:rPr>
                <w:rFonts w:cs="Arial"/>
                <w:color w:val="FF0000"/>
                <w:sz w:val="21"/>
                <w:szCs w:val="21"/>
              </w:rPr>
            </w:pPr>
          </w:p>
        </w:tc>
        <w:tc>
          <w:tcPr>
            <w:tcW w:w="217" w:type="dxa"/>
          </w:tcPr>
          <w:p w14:paraId="3EAE0CB1" w14:textId="77777777" w:rsidR="002C0FD9" w:rsidRPr="00CA25CF" w:rsidRDefault="002C0FD9" w:rsidP="00CA25CF">
            <w:pPr>
              <w:rPr>
                <w:rFonts w:cs="Arial"/>
                <w:color w:val="FF0000"/>
                <w:sz w:val="21"/>
                <w:szCs w:val="21"/>
              </w:rPr>
            </w:pPr>
          </w:p>
        </w:tc>
        <w:tc>
          <w:tcPr>
            <w:tcW w:w="217" w:type="dxa"/>
          </w:tcPr>
          <w:p w14:paraId="3629A6B6" w14:textId="77777777" w:rsidR="002C0FD9" w:rsidRPr="00CA25CF" w:rsidRDefault="002C0FD9" w:rsidP="00CA25CF">
            <w:pPr>
              <w:rPr>
                <w:rFonts w:cs="Arial"/>
                <w:color w:val="FF0000"/>
                <w:sz w:val="21"/>
                <w:szCs w:val="21"/>
              </w:rPr>
            </w:pPr>
          </w:p>
        </w:tc>
        <w:tc>
          <w:tcPr>
            <w:tcW w:w="217" w:type="dxa"/>
          </w:tcPr>
          <w:p w14:paraId="76ED67BC" w14:textId="77777777" w:rsidR="002C0FD9" w:rsidRPr="00CA25CF" w:rsidRDefault="002C0FD9" w:rsidP="00CA25CF">
            <w:pPr>
              <w:rPr>
                <w:rFonts w:cs="Arial"/>
                <w:color w:val="FF0000"/>
                <w:sz w:val="21"/>
                <w:szCs w:val="21"/>
              </w:rPr>
            </w:pPr>
          </w:p>
        </w:tc>
        <w:tc>
          <w:tcPr>
            <w:tcW w:w="217" w:type="dxa"/>
          </w:tcPr>
          <w:p w14:paraId="0CB18C6A" w14:textId="77777777" w:rsidR="002C0FD9" w:rsidRPr="00CA25CF" w:rsidRDefault="002C0FD9" w:rsidP="00CA25CF">
            <w:pPr>
              <w:rPr>
                <w:rFonts w:cs="Arial"/>
                <w:color w:val="FF0000"/>
                <w:sz w:val="21"/>
                <w:szCs w:val="21"/>
              </w:rPr>
            </w:pPr>
          </w:p>
        </w:tc>
        <w:tc>
          <w:tcPr>
            <w:tcW w:w="217" w:type="dxa"/>
          </w:tcPr>
          <w:p w14:paraId="12646E64" w14:textId="77777777" w:rsidR="002C0FD9" w:rsidRPr="00CA25CF" w:rsidRDefault="002C0FD9" w:rsidP="00CA25CF">
            <w:pPr>
              <w:rPr>
                <w:rFonts w:cs="Arial"/>
                <w:color w:val="FF0000"/>
                <w:sz w:val="21"/>
                <w:szCs w:val="21"/>
              </w:rPr>
            </w:pPr>
          </w:p>
        </w:tc>
        <w:tc>
          <w:tcPr>
            <w:tcW w:w="217" w:type="dxa"/>
          </w:tcPr>
          <w:p w14:paraId="31EBA86D" w14:textId="77777777" w:rsidR="002C0FD9" w:rsidRPr="00CA25CF" w:rsidRDefault="002C0FD9" w:rsidP="00CA25CF">
            <w:pPr>
              <w:rPr>
                <w:rFonts w:cs="Arial"/>
                <w:color w:val="FF0000"/>
                <w:sz w:val="21"/>
                <w:szCs w:val="21"/>
              </w:rPr>
            </w:pPr>
          </w:p>
        </w:tc>
        <w:tc>
          <w:tcPr>
            <w:tcW w:w="217" w:type="dxa"/>
          </w:tcPr>
          <w:p w14:paraId="38A93CFB" w14:textId="77777777" w:rsidR="002C0FD9" w:rsidRPr="00CA25CF" w:rsidRDefault="002C0FD9" w:rsidP="00CA25CF">
            <w:pPr>
              <w:rPr>
                <w:rFonts w:cs="Arial"/>
                <w:color w:val="FF0000"/>
                <w:sz w:val="21"/>
                <w:szCs w:val="21"/>
              </w:rPr>
            </w:pPr>
          </w:p>
        </w:tc>
        <w:tc>
          <w:tcPr>
            <w:tcW w:w="217" w:type="dxa"/>
          </w:tcPr>
          <w:p w14:paraId="4F954BCA" w14:textId="77777777" w:rsidR="002C0FD9" w:rsidRPr="00CA25CF" w:rsidRDefault="002C0FD9" w:rsidP="00CA25CF">
            <w:pPr>
              <w:rPr>
                <w:rFonts w:cs="Arial"/>
                <w:color w:val="FF0000"/>
                <w:sz w:val="21"/>
                <w:szCs w:val="21"/>
              </w:rPr>
            </w:pPr>
          </w:p>
        </w:tc>
        <w:tc>
          <w:tcPr>
            <w:tcW w:w="217" w:type="dxa"/>
          </w:tcPr>
          <w:p w14:paraId="2D895FB9" w14:textId="77777777" w:rsidR="002C0FD9" w:rsidRPr="00CA25CF" w:rsidRDefault="002C0FD9" w:rsidP="00CA25CF">
            <w:pPr>
              <w:rPr>
                <w:rFonts w:cs="Arial"/>
                <w:color w:val="FF0000"/>
                <w:sz w:val="21"/>
                <w:szCs w:val="21"/>
              </w:rPr>
            </w:pPr>
          </w:p>
        </w:tc>
        <w:tc>
          <w:tcPr>
            <w:tcW w:w="217" w:type="dxa"/>
          </w:tcPr>
          <w:p w14:paraId="0F443E18" w14:textId="77777777" w:rsidR="002C0FD9" w:rsidRPr="00CA25CF" w:rsidRDefault="002C0FD9" w:rsidP="00CA25CF">
            <w:pPr>
              <w:rPr>
                <w:rFonts w:cs="Arial"/>
                <w:color w:val="FF0000"/>
                <w:sz w:val="21"/>
                <w:szCs w:val="21"/>
              </w:rPr>
            </w:pPr>
          </w:p>
        </w:tc>
        <w:tc>
          <w:tcPr>
            <w:tcW w:w="217" w:type="dxa"/>
          </w:tcPr>
          <w:p w14:paraId="480ECAC7" w14:textId="77777777" w:rsidR="002C0FD9" w:rsidRPr="00CA25CF" w:rsidRDefault="002C0FD9" w:rsidP="00CA25CF">
            <w:pPr>
              <w:rPr>
                <w:rFonts w:cs="Arial"/>
                <w:color w:val="FF0000"/>
                <w:sz w:val="21"/>
                <w:szCs w:val="21"/>
              </w:rPr>
            </w:pPr>
          </w:p>
        </w:tc>
        <w:tc>
          <w:tcPr>
            <w:tcW w:w="217" w:type="dxa"/>
          </w:tcPr>
          <w:p w14:paraId="7A8606A3" w14:textId="77777777" w:rsidR="002C0FD9" w:rsidRPr="00CA25CF" w:rsidRDefault="002C0FD9" w:rsidP="00CA25CF">
            <w:pPr>
              <w:rPr>
                <w:rFonts w:cs="Arial"/>
                <w:color w:val="FF0000"/>
                <w:sz w:val="21"/>
                <w:szCs w:val="21"/>
              </w:rPr>
            </w:pPr>
          </w:p>
        </w:tc>
        <w:tc>
          <w:tcPr>
            <w:tcW w:w="217" w:type="dxa"/>
          </w:tcPr>
          <w:p w14:paraId="02B98CF6" w14:textId="77777777" w:rsidR="002C0FD9" w:rsidRPr="00CA25CF" w:rsidRDefault="002C0FD9" w:rsidP="00CA25CF">
            <w:pPr>
              <w:rPr>
                <w:rFonts w:cs="Arial"/>
                <w:color w:val="FF0000"/>
                <w:sz w:val="21"/>
                <w:szCs w:val="21"/>
              </w:rPr>
            </w:pPr>
          </w:p>
        </w:tc>
        <w:tc>
          <w:tcPr>
            <w:tcW w:w="217" w:type="dxa"/>
          </w:tcPr>
          <w:p w14:paraId="23616281" w14:textId="77777777" w:rsidR="002C0FD9" w:rsidRPr="00CA25CF" w:rsidRDefault="002C0FD9" w:rsidP="00CA25CF">
            <w:pPr>
              <w:rPr>
                <w:rFonts w:cs="Arial"/>
                <w:color w:val="FF0000"/>
                <w:sz w:val="21"/>
                <w:szCs w:val="21"/>
              </w:rPr>
            </w:pPr>
          </w:p>
        </w:tc>
        <w:tc>
          <w:tcPr>
            <w:tcW w:w="217" w:type="dxa"/>
          </w:tcPr>
          <w:p w14:paraId="6A0CBDFD" w14:textId="77777777" w:rsidR="002C0FD9" w:rsidRPr="00CA25CF" w:rsidRDefault="002C0FD9" w:rsidP="00CA25CF">
            <w:pPr>
              <w:rPr>
                <w:rFonts w:cs="Arial"/>
                <w:color w:val="FF0000"/>
                <w:sz w:val="21"/>
                <w:szCs w:val="21"/>
              </w:rPr>
            </w:pPr>
          </w:p>
        </w:tc>
        <w:tc>
          <w:tcPr>
            <w:tcW w:w="217" w:type="dxa"/>
          </w:tcPr>
          <w:p w14:paraId="05E17C90" w14:textId="77777777" w:rsidR="002C0FD9" w:rsidRPr="00CA25CF" w:rsidRDefault="002C0FD9" w:rsidP="00CA25CF">
            <w:pPr>
              <w:rPr>
                <w:rFonts w:cs="Arial"/>
                <w:color w:val="FF0000"/>
                <w:sz w:val="21"/>
                <w:szCs w:val="21"/>
              </w:rPr>
            </w:pPr>
          </w:p>
        </w:tc>
        <w:tc>
          <w:tcPr>
            <w:tcW w:w="217" w:type="dxa"/>
          </w:tcPr>
          <w:p w14:paraId="36745823" w14:textId="77777777" w:rsidR="002C0FD9" w:rsidRPr="00CA25CF" w:rsidRDefault="002C0FD9" w:rsidP="00CA25CF">
            <w:pPr>
              <w:rPr>
                <w:rFonts w:cs="Arial"/>
                <w:color w:val="FF0000"/>
                <w:sz w:val="21"/>
                <w:szCs w:val="21"/>
              </w:rPr>
            </w:pPr>
          </w:p>
        </w:tc>
        <w:tc>
          <w:tcPr>
            <w:tcW w:w="217" w:type="dxa"/>
          </w:tcPr>
          <w:p w14:paraId="2865F68E" w14:textId="77777777" w:rsidR="002C0FD9" w:rsidRPr="00CA25CF" w:rsidRDefault="002C0FD9" w:rsidP="00CA25CF">
            <w:pPr>
              <w:rPr>
                <w:rFonts w:cs="Arial"/>
                <w:color w:val="FF0000"/>
                <w:sz w:val="21"/>
                <w:szCs w:val="21"/>
              </w:rPr>
            </w:pPr>
          </w:p>
        </w:tc>
        <w:tc>
          <w:tcPr>
            <w:tcW w:w="217" w:type="dxa"/>
          </w:tcPr>
          <w:p w14:paraId="6AB07622" w14:textId="77777777" w:rsidR="002C0FD9" w:rsidRPr="00CA25CF" w:rsidRDefault="002C0FD9" w:rsidP="00CA25CF">
            <w:pPr>
              <w:rPr>
                <w:rFonts w:cs="Arial"/>
                <w:color w:val="FF0000"/>
                <w:sz w:val="21"/>
                <w:szCs w:val="21"/>
              </w:rPr>
            </w:pPr>
          </w:p>
        </w:tc>
        <w:tc>
          <w:tcPr>
            <w:tcW w:w="217" w:type="dxa"/>
          </w:tcPr>
          <w:p w14:paraId="0EB0DA4F" w14:textId="77777777" w:rsidR="002C0FD9" w:rsidRPr="00CA25CF" w:rsidRDefault="002C0FD9" w:rsidP="00CA25CF">
            <w:pPr>
              <w:rPr>
                <w:rFonts w:cs="Arial"/>
                <w:color w:val="FF0000"/>
                <w:sz w:val="21"/>
                <w:szCs w:val="21"/>
              </w:rPr>
            </w:pPr>
          </w:p>
        </w:tc>
        <w:tc>
          <w:tcPr>
            <w:tcW w:w="217" w:type="dxa"/>
          </w:tcPr>
          <w:p w14:paraId="31B3C804" w14:textId="77777777" w:rsidR="002C0FD9" w:rsidRPr="00CA25CF" w:rsidRDefault="002C0FD9" w:rsidP="00CA25CF">
            <w:pPr>
              <w:rPr>
                <w:rFonts w:cs="Arial"/>
                <w:color w:val="FF0000"/>
                <w:sz w:val="21"/>
                <w:szCs w:val="21"/>
              </w:rPr>
            </w:pPr>
          </w:p>
        </w:tc>
        <w:tc>
          <w:tcPr>
            <w:tcW w:w="217" w:type="dxa"/>
          </w:tcPr>
          <w:p w14:paraId="590D0796" w14:textId="77777777" w:rsidR="002C0FD9" w:rsidRPr="00CA25CF" w:rsidRDefault="002C0FD9" w:rsidP="00CA25CF">
            <w:pPr>
              <w:rPr>
                <w:rFonts w:cs="Arial"/>
                <w:color w:val="FF0000"/>
                <w:sz w:val="21"/>
                <w:szCs w:val="21"/>
              </w:rPr>
            </w:pPr>
          </w:p>
        </w:tc>
        <w:tc>
          <w:tcPr>
            <w:tcW w:w="217" w:type="dxa"/>
          </w:tcPr>
          <w:p w14:paraId="63E8DFEE" w14:textId="77777777" w:rsidR="002C0FD9" w:rsidRPr="00CA25CF" w:rsidRDefault="002C0FD9" w:rsidP="00CA25CF">
            <w:pPr>
              <w:rPr>
                <w:rFonts w:cs="Arial"/>
                <w:color w:val="FF0000"/>
                <w:sz w:val="21"/>
                <w:szCs w:val="21"/>
              </w:rPr>
            </w:pPr>
          </w:p>
        </w:tc>
        <w:tc>
          <w:tcPr>
            <w:tcW w:w="217" w:type="dxa"/>
          </w:tcPr>
          <w:p w14:paraId="77E39083" w14:textId="77777777" w:rsidR="002C0FD9" w:rsidRPr="00CA25CF" w:rsidRDefault="002C0FD9" w:rsidP="00CA25CF">
            <w:pPr>
              <w:rPr>
                <w:rFonts w:cs="Arial"/>
                <w:color w:val="FF0000"/>
                <w:sz w:val="21"/>
                <w:szCs w:val="21"/>
              </w:rPr>
            </w:pPr>
          </w:p>
        </w:tc>
        <w:tc>
          <w:tcPr>
            <w:tcW w:w="217" w:type="dxa"/>
          </w:tcPr>
          <w:p w14:paraId="702BF6BC" w14:textId="77777777" w:rsidR="002C0FD9" w:rsidRPr="00CA25CF" w:rsidRDefault="002C0FD9" w:rsidP="00CA25CF">
            <w:pPr>
              <w:rPr>
                <w:rFonts w:cs="Arial"/>
                <w:color w:val="FF0000"/>
                <w:sz w:val="21"/>
                <w:szCs w:val="21"/>
              </w:rPr>
            </w:pPr>
          </w:p>
        </w:tc>
        <w:tc>
          <w:tcPr>
            <w:tcW w:w="217" w:type="dxa"/>
          </w:tcPr>
          <w:p w14:paraId="61A581F5" w14:textId="77777777" w:rsidR="002C0FD9" w:rsidRPr="00CA25CF" w:rsidRDefault="002C0FD9" w:rsidP="00CA25CF">
            <w:pPr>
              <w:rPr>
                <w:rFonts w:cs="Arial"/>
                <w:color w:val="FF0000"/>
                <w:sz w:val="21"/>
                <w:szCs w:val="21"/>
              </w:rPr>
            </w:pPr>
          </w:p>
        </w:tc>
        <w:tc>
          <w:tcPr>
            <w:tcW w:w="217" w:type="dxa"/>
          </w:tcPr>
          <w:p w14:paraId="257770FE" w14:textId="77777777" w:rsidR="002C0FD9" w:rsidRPr="00CA25CF" w:rsidRDefault="002C0FD9" w:rsidP="00CA25CF">
            <w:pPr>
              <w:rPr>
                <w:rFonts w:cs="Arial"/>
                <w:color w:val="FF0000"/>
                <w:sz w:val="21"/>
                <w:szCs w:val="21"/>
              </w:rPr>
            </w:pPr>
          </w:p>
        </w:tc>
        <w:tc>
          <w:tcPr>
            <w:tcW w:w="217" w:type="dxa"/>
          </w:tcPr>
          <w:p w14:paraId="723683B5" w14:textId="77777777" w:rsidR="002C0FD9" w:rsidRPr="00CA25CF" w:rsidRDefault="002C0FD9" w:rsidP="00CA25CF">
            <w:pPr>
              <w:rPr>
                <w:rFonts w:cs="Arial"/>
                <w:color w:val="FF0000"/>
                <w:sz w:val="21"/>
                <w:szCs w:val="21"/>
              </w:rPr>
            </w:pPr>
          </w:p>
        </w:tc>
        <w:tc>
          <w:tcPr>
            <w:tcW w:w="217" w:type="dxa"/>
          </w:tcPr>
          <w:p w14:paraId="3067A2E0" w14:textId="77777777" w:rsidR="002C0FD9" w:rsidRPr="00CA25CF" w:rsidRDefault="002C0FD9" w:rsidP="00CA25CF">
            <w:pPr>
              <w:rPr>
                <w:rFonts w:cs="Arial"/>
                <w:color w:val="FF0000"/>
                <w:sz w:val="21"/>
                <w:szCs w:val="21"/>
              </w:rPr>
            </w:pPr>
          </w:p>
        </w:tc>
        <w:tc>
          <w:tcPr>
            <w:tcW w:w="217" w:type="dxa"/>
          </w:tcPr>
          <w:p w14:paraId="12E0496A" w14:textId="77777777" w:rsidR="002C0FD9" w:rsidRPr="00CA25CF" w:rsidRDefault="002C0FD9" w:rsidP="00CA25CF">
            <w:pPr>
              <w:rPr>
                <w:rFonts w:cs="Arial"/>
                <w:color w:val="FF0000"/>
                <w:sz w:val="21"/>
                <w:szCs w:val="21"/>
              </w:rPr>
            </w:pPr>
          </w:p>
        </w:tc>
      </w:tr>
      <w:tr w:rsidR="002C0FD9" w:rsidRPr="00A16219" w14:paraId="377F1061" w14:textId="43A81908" w:rsidTr="002C0FD9">
        <w:trPr>
          <w:trHeight w:val="635"/>
        </w:trPr>
        <w:tc>
          <w:tcPr>
            <w:tcW w:w="515" w:type="dxa"/>
          </w:tcPr>
          <w:p w14:paraId="0846E272" w14:textId="77777777" w:rsidR="002C0FD9" w:rsidRPr="00CA25CF" w:rsidRDefault="002C0FD9" w:rsidP="00CA25CF">
            <w:pPr>
              <w:rPr>
                <w:rFonts w:cs="Arial"/>
                <w:color w:val="FF0000"/>
                <w:sz w:val="21"/>
                <w:szCs w:val="21"/>
              </w:rPr>
            </w:pPr>
          </w:p>
        </w:tc>
        <w:tc>
          <w:tcPr>
            <w:tcW w:w="217" w:type="dxa"/>
          </w:tcPr>
          <w:p w14:paraId="0AEAF675" w14:textId="77777777" w:rsidR="002C0FD9" w:rsidRPr="00CA25CF" w:rsidRDefault="002C0FD9" w:rsidP="00CA25CF">
            <w:pPr>
              <w:rPr>
                <w:rFonts w:cs="Arial"/>
                <w:color w:val="FF0000"/>
                <w:sz w:val="21"/>
                <w:szCs w:val="21"/>
              </w:rPr>
            </w:pPr>
          </w:p>
        </w:tc>
        <w:tc>
          <w:tcPr>
            <w:tcW w:w="217" w:type="dxa"/>
          </w:tcPr>
          <w:p w14:paraId="2269DEC5" w14:textId="67E9AEFC" w:rsidR="002C0FD9" w:rsidRPr="00CA25CF" w:rsidRDefault="002C0FD9" w:rsidP="00CA25CF">
            <w:pPr>
              <w:rPr>
                <w:rFonts w:cs="Arial"/>
                <w:color w:val="FF0000"/>
                <w:sz w:val="21"/>
                <w:szCs w:val="21"/>
              </w:rPr>
            </w:pPr>
          </w:p>
        </w:tc>
        <w:tc>
          <w:tcPr>
            <w:tcW w:w="217" w:type="dxa"/>
          </w:tcPr>
          <w:p w14:paraId="5293FD9D" w14:textId="77777777" w:rsidR="002C0FD9" w:rsidRPr="00CA25CF" w:rsidRDefault="002C0FD9" w:rsidP="00CA25CF">
            <w:pPr>
              <w:rPr>
                <w:rFonts w:cs="Arial"/>
                <w:color w:val="FF0000"/>
                <w:sz w:val="21"/>
                <w:szCs w:val="21"/>
              </w:rPr>
            </w:pPr>
          </w:p>
        </w:tc>
        <w:tc>
          <w:tcPr>
            <w:tcW w:w="217" w:type="dxa"/>
          </w:tcPr>
          <w:p w14:paraId="127545E8" w14:textId="77777777" w:rsidR="002C0FD9" w:rsidRPr="00CA25CF" w:rsidRDefault="002C0FD9" w:rsidP="00CA25CF">
            <w:pPr>
              <w:rPr>
                <w:rFonts w:cs="Arial"/>
                <w:color w:val="FF0000"/>
                <w:sz w:val="21"/>
                <w:szCs w:val="21"/>
              </w:rPr>
            </w:pPr>
          </w:p>
        </w:tc>
        <w:tc>
          <w:tcPr>
            <w:tcW w:w="217" w:type="dxa"/>
          </w:tcPr>
          <w:p w14:paraId="38078EE7" w14:textId="77777777" w:rsidR="002C0FD9" w:rsidRPr="00CA25CF" w:rsidRDefault="002C0FD9" w:rsidP="00CA25CF">
            <w:pPr>
              <w:rPr>
                <w:rFonts w:cs="Arial"/>
                <w:color w:val="FF0000"/>
                <w:sz w:val="21"/>
                <w:szCs w:val="21"/>
              </w:rPr>
            </w:pPr>
          </w:p>
        </w:tc>
        <w:tc>
          <w:tcPr>
            <w:tcW w:w="217" w:type="dxa"/>
          </w:tcPr>
          <w:p w14:paraId="1502018C" w14:textId="77777777" w:rsidR="002C0FD9" w:rsidRPr="00CA25CF" w:rsidRDefault="002C0FD9" w:rsidP="00CA25CF">
            <w:pPr>
              <w:rPr>
                <w:rFonts w:cs="Arial"/>
                <w:color w:val="FF0000"/>
                <w:sz w:val="21"/>
                <w:szCs w:val="21"/>
              </w:rPr>
            </w:pPr>
          </w:p>
        </w:tc>
        <w:tc>
          <w:tcPr>
            <w:tcW w:w="217" w:type="dxa"/>
          </w:tcPr>
          <w:p w14:paraId="0902123B" w14:textId="77777777" w:rsidR="002C0FD9" w:rsidRPr="00CA25CF" w:rsidRDefault="002C0FD9" w:rsidP="00CA25CF">
            <w:pPr>
              <w:rPr>
                <w:rFonts w:cs="Arial"/>
                <w:color w:val="FF0000"/>
                <w:sz w:val="21"/>
                <w:szCs w:val="21"/>
              </w:rPr>
            </w:pPr>
          </w:p>
        </w:tc>
        <w:tc>
          <w:tcPr>
            <w:tcW w:w="217" w:type="dxa"/>
          </w:tcPr>
          <w:p w14:paraId="2F822804" w14:textId="77777777" w:rsidR="002C0FD9" w:rsidRPr="00CA25CF" w:rsidRDefault="002C0FD9" w:rsidP="00CA25CF">
            <w:pPr>
              <w:rPr>
                <w:rFonts w:cs="Arial"/>
                <w:color w:val="FF0000"/>
                <w:sz w:val="21"/>
                <w:szCs w:val="21"/>
              </w:rPr>
            </w:pPr>
          </w:p>
        </w:tc>
        <w:tc>
          <w:tcPr>
            <w:tcW w:w="217" w:type="dxa"/>
          </w:tcPr>
          <w:p w14:paraId="2F45FF57" w14:textId="77777777" w:rsidR="002C0FD9" w:rsidRPr="00CA25CF" w:rsidRDefault="002C0FD9" w:rsidP="00CA25CF">
            <w:pPr>
              <w:rPr>
                <w:rFonts w:cs="Arial"/>
                <w:color w:val="FF0000"/>
                <w:sz w:val="21"/>
                <w:szCs w:val="21"/>
              </w:rPr>
            </w:pPr>
          </w:p>
        </w:tc>
        <w:tc>
          <w:tcPr>
            <w:tcW w:w="217" w:type="dxa"/>
          </w:tcPr>
          <w:p w14:paraId="2B6176F0" w14:textId="77777777" w:rsidR="002C0FD9" w:rsidRPr="00CA25CF" w:rsidRDefault="002C0FD9" w:rsidP="00CA25CF">
            <w:pPr>
              <w:rPr>
                <w:rFonts w:cs="Arial"/>
                <w:color w:val="FF0000"/>
                <w:sz w:val="21"/>
                <w:szCs w:val="21"/>
              </w:rPr>
            </w:pPr>
          </w:p>
        </w:tc>
        <w:tc>
          <w:tcPr>
            <w:tcW w:w="217" w:type="dxa"/>
          </w:tcPr>
          <w:p w14:paraId="551C8FDB" w14:textId="77777777" w:rsidR="002C0FD9" w:rsidRPr="00CA25CF" w:rsidRDefault="002C0FD9" w:rsidP="00CA25CF">
            <w:pPr>
              <w:rPr>
                <w:rFonts w:cs="Arial"/>
                <w:color w:val="FF0000"/>
                <w:sz w:val="21"/>
                <w:szCs w:val="21"/>
              </w:rPr>
            </w:pPr>
          </w:p>
        </w:tc>
        <w:tc>
          <w:tcPr>
            <w:tcW w:w="217" w:type="dxa"/>
          </w:tcPr>
          <w:p w14:paraId="43C7A704" w14:textId="77777777" w:rsidR="002C0FD9" w:rsidRPr="00CA25CF" w:rsidRDefault="002C0FD9" w:rsidP="00CA25CF">
            <w:pPr>
              <w:rPr>
                <w:rFonts w:cs="Arial"/>
                <w:color w:val="FF0000"/>
                <w:sz w:val="21"/>
                <w:szCs w:val="21"/>
              </w:rPr>
            </w:pPr>
          </w:p>
        </w:tc>
        <w:tc>
          <w:tcPr>
            <w:tcW w:w="217" w:type="dxa"/>
          </w:tcPr>
          <w:p w14:paraId="5D5F11DA" w14:textId="77777777" w:rsidR="002C0FD9" w:rsidRPr="00CA25CF" w:rsidRDefault="002C0FD9" w:rsidP="00CA25CF">
            <w:pPr>
              <w:rPr>
                <w:rFonts w:cs="Arial"/>
                <w:color w:val="FF0000"/>
                <w:sz w:val="21"/>
                <w:szCs w:val="21"/>
              </w:rPr>
            </w:pPr>
          </w:p>
        </w:tc>
        <w:tc>
          <w:tcPr>
            <w:tcW w:w="217" w:type="dxa"/>
          </w:tcPr>
          <w:p w14:paraId="233CCA63" w14:textId="77777777" w:rsidR="002C0FD9" w:rsidRPr="00CA25CF" w:rsidRDefault="002C0FD9" w:rsidP="00CA25CF">
            <w:pPr>
              <w:rPr>
                <w:rFonts w:cs="Arial"/>
                <w:color w:val="FF0000"/>
                <w:sz w:val="21"/>
                <w:szCs w:val="21"/>
              </w:rPr>
            </w:pPr>
          </w:p>
        </w:tc>
        <w:tc>
          <w:tcPr>
            <w:tcW w:w="217" w:type="dxa"/>
          </w:tcPr>
          <w:p w14:paraId="6E2D0AE8" w14:textId="77777777" w:rsidR="002C0FD9" w:rsidRPr="00CA25CF" w:rsidRDefault="002C0FD9" w:rsidP="00CA25CF">
            <w:pPr>
              <w:rPr>
                <w:rFonts w:cs="Arial"/>
                <w:color w:val="FF0000"/>
                <w:sz w:val="21"/>
                <w:szCs w:val="21"/>
              </w:rPr>
            </w:pPr>
          </w:p>
        </w:tc>
        <w:tc>
          <w:tcPr>
            <w:tcW w:w="217" w:type="dxa"/>
          </w:tcPr>
          <w:p w14:paraId="51086968" w14:textId="77777777" w:rsidR="002C0FD9" w:rsidRPr="00CA25CF" w:rsidRDefault="002C0FD9" w:rsidP="00CA25CF">
            <w:pPr>
              <w:rPr>
                <w:rFonts w:cs="Arial"/>
                <w:color w:val="FF0000"/>
                <w:sz w:val="21"/>
                <w:szCs w:val="21"/>
              </w:rPr>
            </w:pPr>
          </w:p>
        </w:tc>
        <w:tc>
          <w:tcPr>
            <w:tcW w:w="217" w:type="dxa"/>
          </w:tcPr>
          <w:p w14:paraId="4AC08FAD" w14:textId="77777777" w:rsidR="002C0FD9" w:rsidRPr="00CA25CF" w:rsidRDefault="002C0FD9" w:rsidP="00CA25CF">
            <w:pPr>
              <w:rPr>
                <w:rFonts w:cs="Arial"/>
                <w:color w:val="FF0000"/>
                <w:sz w:val="21"/>
                <w:szCs w:val="21"/>
              </w:rPr>
            </w:pPr>
          </w:p>
        </w:tc>
        <w:tc>
          <w:tcPr>
            <w:tcW w:w="217" w:type="dxa"/>
          </w:tcPr>
          <w:p w14:paraId="5854B1F8" w14:textId="77777777" w:rsidR="002C0FD9" w:rsidRPr="00CA25CF" w:rsidRDefault="002C0FD9" w:rsidP="00CA25CF">
            <w:pPr>
              <w:rPr>
                <w:rFonts w:cs="Arial"/>
                <w:color w:val="FF0000"/>
                <w:sz w:val="21"/>
                <w:szCs w:val="21"/>
              </w:rPr>
            </w:pPr>
          </w:p>
        </w:tc>
        <w:tc>
          <w:tcPr>
            <w:tcW w:w="217" w:type="dxa"/>
          </w:tcPr>
          <w:p w14:paraId="443C53EE" w14:textId="77777777" w:rsidR="002C0FD9" w:rsidRPr="00CA25CF" w:rsidRDefault="002C0FD9" w:rsidP="00CA25CF">
            <w:pPr>
              <w:rPr>
                <w:rFonts w:cs="Arial"/>
                <w:color w:val="FF0000"/>
                <w:sz w:val="21"/>
                <w:szCs w:val="21"/>
              </w:rPr>
            </w:pPr>
          </w:p>
        </w:tc>
        <w:tc>
          <w:tcPr>
            <w:tcW w:w="217" w:type="dxa"/>
          </w:tcPr>
          <w:p w14:paraId="596CAD52" w14:textId="77777777" w:rsidR="002C0FD9" w:rsidRPr="00CA25CF" w:rsidRDefault="002C0FD9" w:rsidP="00CA25CF">
            <w:pPr>
              <w:rPr>
                <w:rFonts w:cs="Arial"/>
                <w:color w:val="FF0000"/>
                <w:sz w:val="21"/>
                <w:szCs w:val="21"/>
              </w:rPr>
            </w:pPr>
          </w:p>
        </w:tc>
        <w:tc>
          <w:tcPr>
            <w:tcW w:w="217" w:type="dxa"/>
          </w:tcPr>
          <w:p w14:paraId="39421727" w14:textId="77777777" w:rsidR="002C0FD9" w:rsidRPr="00CA25CF" w:rsidRDefault="002C0FD9" w:rsidP="00CA25CF">
            <w:pPr>
              <w:rPr>
                <w:rFonts w:cs="Arial"/>
                <w:color w:val="FF0000"/>
                <w:sz w:val="21"/>
                <w:szCs w:val="21"/>
              </w:rPr>
            </w:pPr>
          </w:p>
        </w:tc>
        <w:tc>
          <w:tcPr>
            <w:tcW w:w="217" w:type="dxa"/>
          </w:tcPr>
          <w:p w14:paraId="22D50E44" w14:textId="77777777" w:rsidR="002C0FD9" w:rsidRPr="00CA25CF" w:rsidRDefault="002C0FD9" w:rsidP="00CA25CF">
            <w:pPr>
              <w:rPr>
                <w:rFonts w:cs="Arial"/>
                <w:color w:val="FF0000"/>
                <w:sz w:val="21"/>
                <w:szCs w:val="21"/>
              </w:rPr>
            </w:pPr>
          </w:p>
        </w:tc>
        <w:tc>
          <w:tcPr>
            <w:tcW w:w="217" w:type="dxa"/>
          </w:tcPr>
          <w:p w14:paraId="62910FAE" w14:textId="77777777" w:rsidR="002C0FD9" w:rsidRPr="00CA25CF" w:rsidRDefault="002C0FD9" w:rsidP="00CA25CF">
            <w:pPr>
              <w:rPr>
                <w:rFonts w:cs="Arial"/>
                <w:color w:val="FF0000"/>
                <w:sz w:val="21"/>
                <w:szCs w:val="21"/>
              </w:rPr>
            </w:pPr>
          </w:p>
        </w:tc>
        <w:tc>
          <w:tcPr>
            <w:tcW w:w="217" w:type="dxa"/>
          </w:tcPr>
          <w:p w14:paraId="72138343" w14:textId="77777777" w:rsidR="002C0FD9" w:rsidRPr="00CA25CF" w:rsidRDefault="002C0FD9" w:rsidP="00CA25CF">
            <w:pPr>
              <w:rPr>
                <w:rFonts w:cs="Arial"/>
                <w:color w:val="FF0000"/>
                <w:sz w:val="21"/>
                <w:szCs w:val="21"/>
              </w:rPr>
            </w:pPr>
          </w:p>
        </w:tc>
        <w:tc>
          <w:tcPr>
            <w:tcW w:w="217" w:type="dxa"/>
          </w:tcPr>
          <w:p w14:paraId="719FA79C" w14:textId="77777777" w:rsidR="002C0FD9" w:rsidRPr="00CA25CF" w:rsidRDefault="002C0FD9" w:rsidP="00CA25CF">
            <w:pPr>
              <w:rPr>
                <w:rFonts w:cs="Arial"/>
                <w:color w:val="FF0000"/>
                <w:sz w:val="21"/>
                <w:szCs w:val="21"/>
              </w:rPr>
            </w:pPr>
          </w:p>
        </w:tc>
        <w:tc>
          <w:tcPr>
            <w:tcW w:w="217" w:type="dxa"/>
          </w:tcPr>
          <w:p w14:paraId="14EDF8B2" w14:textId="77777777" w:rsidR="002C0FD9" w:rsidRPr="00CA25CF" w:rsidRDefault="002C0FD9" w:rsidP="00CA25CF">
            <w:pPr>
              <w:rPr>
                <w:rFonts w:cs="Arial"/>
                <w:color w:val="FF0000"/>
                <w:sz w:val="21"/>
                <w:szCs w:val="21"/>
              </w:rPr>
            </w:pPr>
          </w:p>
        </w:tc>
        <w:tc>
          <w:tcPr>
            <w:tcW w:w="217" w:type="dxa"/>
          </w:tcPr>
          <w:p w14:paraId="086A833C" w14:textId="77777777" w:rsidR="002C0FD9" w:rsidRPr="00CA25CF" w:rsidRDefault="002C0FD9" w:rsidP="00CA25CF">
            <w:pPr>
              <w:rPr>
                <w:rFonts w:cs="Arial"/>
                <w:color w:val="FF0000"/>
                <w:sz w:val="21"/>
                <w:szCs w:val="21"/>
              </w:rPr>
            </w:pPr>
          </w:p>
        </w:tc>
        <w:tc>
          <w:tcPr>
            <w:tcW w:w="217" w:type="dxa"/>
          </w:tcPr>
          <w:p w14:paraId="79393B9B" w14:textId="77777777" w:rsidR="002C0FD9" w:rsidRPr="00CA25CF" w:rsidRDefault="002C0FD9" w:rsidP="00CA25CF">
            <w:pPr>
              <w:rPr>
                <w:rFonts w:cs="Arial"/>
                <w:color w:val="FF0000"/>
                <w:sz w:val="21"/>
                <w:szCs w:val="21"/>
              </w:rPr>
            </w:pPr>
          </w:p>
        </w:tc>
        <w:tc>
          <w:tcPr>
            <w:tcW w:w="217" w:type="dxa"/>
          </w:tcPr>
          <w:p w14:paraId="23B0ACF6" w14:textId="77777777" w:rsidR="002C0FD9" w:rsidRPr="00CA25CF" w:rsidRDefault="002C0FD9" w:rsidP="00CA25CF">
            <w:pPr>
              <w:rPr>
                <w:rFonts w:cs="Arial"/>
                <w:color w:val="FF0000"/>
                <w:sz w:val="21"/>
                <w:szCs w:val="21"/>
              </w:rPr>
            </w:pPr>
          </w:p>
        </w:tc>
        <w:tc>
          <w:tcPr>
            <w:tcW w:w="217" w:type="dxa"/>
          </w:tcPr>
          <w:p w14:paraId="4BE81263" w14:textId="77777777" w:rsidR="002C0FD9" w:rsidRPr="00CA25CF" w:rsidRDefault="002C0FD9" w:rsidP="00CA25CF">
            <w:pPr>
              <w:rPr>
                <w:rFonts w:cs="Arial"/>
                <w:color w:val="FF0000"/>
                <w:sz w:val="21"/>
                <w:szCs w:val="21"/>
              </w:rPr>
            </w:pPr>
          </w:p>
        </w:tc>
        <w:tc>
          <w:tcPr>
            <w:tcW w:w="217" w:type="dxa"/>
          </w:tcPr>
          <w:p w14:paraId="21164293" w14:textId="77777777" w:rsidR="002C0FD9" w:rsidRPr="00CA25CF" w:rsidRDefault="002C0FD9" w:rsidP="00CA25CF">
            <w:pPr>
              <w:rPr>
                <w:rFonts w:cs="Arial"/>
                <w:color w:val="FF0000"/>
                <w:sz w:val="21"/>
                <w:szCs w:val="21"/>
              </w:rPr>
            </w:pPr>
          </w:p>
        </w:tc>
        <w:tc>
          <w:tcPr>
            <w:tcW w:w="217" w:type="dxa"/>
          </w:tcPr>
          <w:p w14:paraId="6E04B660" w14:textId="77777777" w:rsidR="002C0FD9" w:rsidRPr="00CA25CF" w:rsidRDefault="002C0FD9" w:rsidP="00CA25CF">
            <w:pPr>
              <w:rPr>
                <w:rFonts w:cs="Arial"/>
                <w:color w:val="FF0000"/>
                <w:sz w:val="21"/>
                <w:szCs w:val="21"/>
              </w:rPr>
            </w:pPr>
          </w:p>
        </w:tc>
        <w:tc>
          <w:tcPr>
            <w:tcW w:w="217" w:type="dxa"/>
          </w:tcPr>
          <w:p w14:paraId="45D56AD3" w14:textId="77777777" w:rsidR="002C0FD9" w:rsidRPr="00CA25CF" w:rsidRDefault="002C0FD9" w:rsidP="00CA25CF">
            <w:pPr>
              <w:rPr>
                <w:rFonts w:cs="Arial"/>
                <w:color w:val="FF0000"/>
                <w:sz w:val="21"/>
                <w:szCs w:val="21"/>
              </w:rPr>
            </w:pPr>
          </w:p>
        </w:tc>
        <w:tc>
          <w:tcPr>
            <w:tcW w:w="217" w:type="dxa"/>
          </w:tcPr>
          <w:p w14:paraId="276FF459" w14:textId="77777777" w:rsidR="002C0FD9" w:rsidRPr="00CA25CF" w:rsidRDefault="002C0FD9" w:rsidP="00CA25CF">
            <w:pPr>
              <w:rPr>
                <w:rFonts w:cs="Arial"/>
                <w:color w:val="FF0000"/>
                <w:sz w:val="21"/>
                <w:szCs w:val="21"/>
              </w:rPr>
            </w:pPr>
          </w:p>
        </w:tc>
        <w:tc>
          <w:tcPr>
            <w:tcW w:w="217" w:type="dxa"/>
          </w:tcPr>
          <w:p w14:paraId="0CFDD00E" w14:textId="77777777" w:rsidR="002C0FD9" w:rsidRPr="00CA25CF" w:rsidRDefault="002C0FD9" w:rsidP="00CA25CF">
            <w:pPr>
              <w:rPr>
                <w:rFonts w:cs="Arial"/>
                <w:color w:val="FF0000"/>
                <w:sz w:val="21"/>
                <w:szCs w:val="21"/>
              </w:rPr>
            </w:pPr>
          </w:p>
        </w:tc>
        <w:tc>
          <w:tcPr>
            <w:tcW w:w="217" w:type="dxa"/>
          </w:tcPr>
          <w:p w14:paraId="002354C6" w14:textId="77777777" w:rsidR="002C0FD9" w:rsidRPr="00CA25CF" w:rsidRDefault="002C0FD9" w:rsidP="00CA25CF">
            <w:pPr>
              <w:rPr>
                <w:rFonts w:cs="Arial"/>
                <w:color w:val="FF0000"/>
                <w:sz w:val="21"/>
                <w:szCs w:val="21"/>
              </w:rPr>
            </w:pPr>
          </w:p>
        </w:tc>
        <w:tc>
          <w:tcPr>
            <w:tcW w:w="217" w:type="dxa"/>
          </w:tcPr>
          <w:p w14:paraId="6677DF6F" w14:textId="77777777" w:rsidR="002C0FD9" w:rsidRPr="00CA25CF" w:rsidRDefault="002C0FD9" w:rsidP="00CA25CF">
            <w:pPr>
              <w:rPr>
                <w:rFonts w:cs="Arial"/>
                <w:color w:val="FF0000"/>
                <w:sz w:val="21"/>
                <w:szCs w:val="21"/>
              </w:rPr>
            </w:pPr>
          </w:p>
        </w:tc>
        <w:tc>
          <w:tcPr>
            <w:tcW w:w="217" w:type="dxa"/>
          </w:tcPr>
          <w:p w14:paraId="1FC38550" w14:textId="77777777" w:rsidR="002C0FD9" w:rsidRPr="00CA25CF" w:rsidRDefault="002C0FD9" w:rsidP="00CA25CF">
            <w:pPr>
              <w:rPr>
                <w:rFonts w:cs="Arial"/>
                <w:color w:val="FF0000"/>
                <w:sz w:val="21"/>
                <w:szCs w:val="21"/>
              </w:rPr>
            </w:pPr>
          </w:p>
        </w:tc>
        <w:tc>
          <w:tcPr>
            <w:tcW w:w="217" w:type="dxa"/>
          </w:tcPr>
          <w:p w14:paraId="2ADE03B6" w14:textId="77777777" w:rsidR="002C0FD9" w:rsidRPr="00CA25CF" w:rsidRDefault="002C0FD9" w:rsidP="00CA25CF">
            <w:pPr>
              <w:rPr>
                <w:rFonts w:cs="Arial"/>
                <w:color w:val="FF0000"/>
                <w:sz w:val="21"/>
                <w:szCs w:val="21"/>
              </w:rPr>
            </w:pPr>
          </w:p>
        </w:tc>
        <w:tc>
          <w:tcPr>
            <w:tcW w:w="217" w:type="dxa"/>
          </w:tcPr>
          <w:p w14:paraId="2241390E" w14:textId="77777777" w:rsidR="002C0FD9" w:rsidRPr="00CA25CF" w:rsidRDefault="002C0FD9" w:rsidP="00CA25CF">
            <w:pPr>
              <w:rPr>
                <w:rFonts w:cs="Arial"/>
                <w:color w:val="FF0000"/>
                <w:sz w:val="21"/>
                <w:szCs w:val="21"/>
              </w:rPr>
            </w:pPr>
          </w:p>
        </w:tc>
        <w:tc>
          <w:tcPr>
            <w:tcW w:w="217" w:type="dxa"/>
          </w:tcPr>
          <w:p w14:paraId="3B36A30E" w14:textId="77777777" w:rsidR="002C0FD9" w:rsidRPr="00CA25CF" w:rsidRDefault="002C0FD9" w:rsidP="00CA25CF">
            <w:pPr>
              <w:rPr>
                <w:rFonts w:cs="Arial"/>
                <w:color w:val="FF0000"/>
                <w:sz w:val="21"/>
                <w:szCs w:val="21"/>
              </w:rPr>
            </w:pPr>
          </w:p>
        </w:tc>
        <w:tc>
          <w:tcPr>
            <w:tcW w:w="217" w:type="dxa"/>
          </w:tcPr>
          <w:p w14:paraId="3A1A292D" w14:textId="77777777" w:rsidR="002C0FD9" w:rsidRPr="00CA25CF" w:rsidRDefault="002C0FD9" w:rsidP="00CA25CF">
            <w:pPr>
              <w:rPr>
                <w:rFonts w:cs="Arial"/>
                <w:color w:val="FF0000"/>
                <w:sz w:val="21"/>
                <w:szCs w:val="21"/>
              </w:rPr>
            </w:pPr>
          </w:p>
        </w:tc>
      </w:tr>
      <w:tr w:rsidR="002C0FD9" w:rsidRPr="00A16219" w14:paraId="3899150F" w14:textId="72CD1333" w:rsidTr="002C0FD9">
        <w:trPr>
          <w:trHeight w:val="635"/>
        </w:trPr>
        <w:tc>
          <w:tcPr>
            <w:tcW w:w="515" w:type="dxa"/>
          </w:tcPr>
          <w:p w14:paraId="20A43195" w14:textId="77777777" w:rsidR="002C0FD9" w:rsidRPr="00CA25CF" w:rsidRDefault="002C0FD9" w:rsidP="00CA25CF">
            <w:pPr>
              <w:rPr>
                <w:rFonts w:cs="Arial"/>
                <w:color w:val="FF0000"/>
                <w:sz w:val="21"/>
                <w:szCs w:val="21"/>
              </w:rPr>
            </w:pPr>
          </w:p>
        </w:tc>
        <w:tc>
          <w:tcPr>
            <w:tcW w:w="217" w:type="dxa"/>
          </w:tcPr>
          <w:p w14:paraId="09045016" w14:textId="77777777" w:rsidR="002C0FD9" w:rsidRPr="00CA25CF" w:rsidRDefault="002C0FD9" w:rsidP="00CA25CF">
            <w:pPr>
              <w:rPr>
                <w:rFonts w:cs="Arial"/>
                <w:color w:val="FF0000"/>
                <w:sz w:val="21"/>
                <w:szCs w:val="21"/>
              </w:rPr>
            </w:pPr>
          </w:p>
        </w:tc>
        <w:tc>
          <w:tcPr>
            <w:tcW w:w="217" w:type="dxa"/>
          </w:tcPr>
          <w:p w14:paraId="560EDA86" w14:textId="68045380" w:rsidR="002C0FD9" w:rsidRPr="00CA25CF" w:rsidRDefault="002C0FD9" w:rsidP="00CA25CF">
            <w:pPr>
              <w:rPr>
                <w:rFonts w:cs="Arial"/>
                <w:color w:val="FF0000"/>
                <w:sz w:val="21"/>
                <w:szCs w:val="21"/>
              </w:rPr>
            </w:pPr>
          </w:p>
        </w:tc>
        <w:tc>
          <w:tcPr>
            <w:tcW w:w="217" w:type="dxa"/>
          </w:tcPr>
          <w:p w14:paraId="12E225C4" w14:textId="77777777" w:rsidR="002C0FD9" w:rsidRPr="00CA25CF" w:rsidRDefault="002C0FD9" w:rsidP="00CA25CF">
            <w:pPr>
              <w:rPr>
                <w:rFonts w:cs="Arial"/>
                <w:color w:val="FF0000"/>
                <w:sz w:val="21"/>
                <w:szCs w:val="21"/>
              </w:rPr>
            </w:pPr>
          </w:p>
        </w:tc>
        <w:tc>
          <w:tcPr>
            <w:tcW w:w="217" w:type="dxa"/>
          </w:tcPr>
          <w:p w14:paraId="08CF96F0" w14:textId="77777777" w:rsidR="002C0FD9" w:rsidRPr="00CA25CF" w:rsidRDefault="002C0FD9" w:rsidP="00CA25CF">
            <w:pPr>
              <w:rPr>
                <w:rFonts w:cs="Arial"/>
                <w:color w:val="FF0000"/>
                <w:sz w:val="21"/>
                <w:szCs w:val="21"/>
              </w:rPr>
            </w:pPr>
          </w:p>
        </w:tc>
        <w:tc>
          <w:tcPr>
            <w:tcW w:w="217" w:type="dxa"/>
          </w:tcPr>
          <w:p w14:paraId="1EDE3AA6" w14:textId="77777777" w:rsidR="002C0FD9" w:rsidRPr="00CA25CF" w:rsidRDefault="002C0FD9" w:rsidP="00CA25CF">
            <w:pPr>
              <w:rPr>
                <w:rFonts w:cs="Arial"/>
                <w:color w:val="FF0000"/>
                <w:sz w:val="21"/>
                <w:szCs w:val="21"/>
              </w:rPr>
            </w:pPr>
          </w:p>
        </w:tc>
        <w:tc>
          <w:tcPr>
            <w:tcW w:w="217" w:type="dxa"/>
          </w:tcPr>
          <w:p w14:paraId="4E7CB464" w14:textId="77777777" w:rsidR="002C0FD9" w:rsidRPr="00CA25CF" w:rsidRDefault="002C0FD9" w:rsidP="00CA25CF">
            <w:pPr>
              <w:rPr>
                <w:rFonts w:cs="Arial"/>
                <w:color w:val="FF0000"/>
                <w:sz w:val="21"/>
                <w:szCs w:val="21"/>
              </w:rPr>
            </w:pPr>
          </w:p>
        </w:tc>
        <w:tc>
          <w:tcPr>
            <w:tcW w:w="217" w:type="dxa"/>
          </w:tcPr>
          <w:p w14:paraId="2121421D" w14:textId="77777777" w:rsidR="002C0FD9" w:rsidRPr="00CA25CF" w:rsidRDefault="002C0FD9" w:rsidP="00CA25CF">
            <w:pPr>
              <w:rPr>
                <w:rFonts w:cs="Arial"/>
                <w:color w:val="FF0000"/>
                <w:sz w:val="21"/>
                <w:szCs w:val="21"/>
              </w:rPr>
            </w:pPr>
          </w:p>
        </w:tc>
        <w:tc>
          <w:tcPr>
            <w:tcW w:w="217" w:type="dxa"/>
          </w:tcPr>
          <w:p w14:paraId="13F20796" w14:textId="77777777" w:rsidR="002C0FD9" w:rsidRPr="00CA25CF" w:rsidRDefault="002C0FD9" w:rsidP="00CA25CF">
            <w:pPr>
              <w:rPr>
                <w:rFonts w:cs="Arial"/>
                <w:color w:val="FF0000"/>
                <w:sz w:val="21"/>
                <w:szCs w:val="21"/>
              </w:rPr>
            </w:pPr>
          </w:p>
        </w:tc>
        <w:tc>
          <w:tcPr>
            <w:tcW w:w="217" w:type="dxa"/>
          </w:tcPr>
          <w:p w14:paraId="4719D00C" w14:textId="77777777" w:rsidR="002C0FD9" w:rsidRPr="00CA25CF" w:rsidRDefault="002C0FD9" w:rsidP="00CA25CF">
            <w:pPr>
              <w:rPr>
                <w:rFonts w:cs="Arial"/>
                <w:color w:val="FF0000"/>
                <w:sz w:val="21"/>
                <w:szCs w:val="21"/>
              </w:rPr>
            </w:pPr>
          </w:p>
        </w:tc>
        <w:tc>
          <w:tcPr>
            <w:tcW w:w="217" w:type="dxa"/>
          </w:tcPr>
          <w:p w14:paraId="444F2BEF" w14:textId="77777777" w:rsidR="002C0FD9" w:rsidRPr="00CA25CF" w:rsidRDefault="002C0FD9" w:rsidP="00CA25CF">
            <w:pPr>
              <w:rPr>
                <w:rFonts w:cs="Arial"/>
                <w:color w:val="FF0000"/>
                <w:sz w:val="21"/>
                <w:szCs w:val="21"/>
              </w:rPr>
            </w:pPr>
          </w:p>
        </w:tc>
        <w:tc>
          <w:tcPr>
            <w:tcW w:w="217" w:type="dxa"/>
          </w:tcPr>
          <w:p w14:paraId="2C5545EB" w14:textId="77777777" w:rsidR="002C0FD9" w:rsidRPr="00CA25CF" w:rsidRDefault="002C0FD9" w:rsidP="00CA25CF">
            <w:pPr>
              <w:rPr>
                <w:rFonts w:cs="Arial"/>
                <w:color w:val="FF0000"/>
                <w:sz w:val="21"/>
                <w:szCs w:val="21"/>
              </w:rPr>
            </w:pPr>
          </w:p>
        </w:tc>
        <w:tc>
          <w:tcPr>
            <w:tcW w:w="217" w:type="dxa"/>
          </w:tcPr>
          <w:p w14:paraId="5E6816E5" w14:textId="77777777" w:rsidR="002C0FD9" w:rsidRPr="00CA25CF" w:rsidRDefault="002C0FD9" w:rsidP="00CA25CF">
            <w:pPr>
              <w:rPr>
                <w:rFonts w:cs="Arial"/>
                <w:color w:val="FF0000"/>
                <w:sz w:val="21"/>
                <w:szCs w:val="21"/>
              </w:rPr>
            </w:pPr>
          </w:p>
        </w:tc>
        <w:tc>
          <w:tcPr>
            <w:tcW w:w="217" w:type="dxa"/>
          </w:tcPr>
          <w:p w14:paraId="5A4336D1" w14:textId="77777777" w:rsidR="002C0FD9" w:rsidRPr="00CA25CF" w:rsidRDefault="002C0FD9" w:rsidP="00CA25CF">
            <w:pPr>
              <w:rPr>
                <w:rFonts w:cs="Arial"/>
                <w:color w:val="FF0000"/>
                <w:sz w:val="21"/>
                <w:szCs w:val="21"/>
              </w:rPr>
            </w:pPr>
          </w:p>
        </w:tc>
        <w:tc>
          <w:tcPr>
            <w:tcW w:w="217" w:type="dxa"/>
          </w:tcPr>
          <w:p w14:paraId="5F9AD1C8" w14:textId="77777777" w:rsidR="002C0FD9" w:rsidRPr="00CA25CF" w:rsidRDefault="002C0FD9" w:rsidP="00CA25CF">
            <w:pPr>
              <w:rPr>
                <w:rFonts w:cs="Arial"/>
                <w:color w:val="FF0000"/>
                <w:sz w:val="21"/>
                <w:szCs w:val="21"/>
              </w:rPr>
            </w:pPr>
          </w:p>
        </w:tc>
        <w:tc>
          <w:tcPr>
            <w:tcW w:w="217" w:type="dxa"/>
          </w:tcPr>
          <w:p w14:paraId="516EC809" w14:textId="77777777" w:rsidR="002C0FD9" w:rsidRPr="00CA25CF" w:rsidRDefault="002C0FD9" w:rsidP="00CA25CF">
            <w:pPr>
              <w:rPr>
                <w:rFonts w:cs="Arial"/>
                <w:color w:val="FF0000"/>
                <w:sz w:val="21"/>
                <w:szCs w:val="21"/>
              </w:rPr>
            </w:pPr>
          </w:p>
        </w:tc>
        <w:tc>
          <w:tcPr>
            <w:tcW w:w="217" w:type="dxa"/>
          </w:tcPr>
          <w:p w14:paraId="21FCEE11" w14:textId="77777777" w:rsidR="002C0FD9" w:rsidRPr="00CA25CF" w:rsidRDefault="002C0FD9" w:rsidP="00CA25CF">
            <w:pPr>
              <w:rPr>
                <w:rFonts w:cs="Arial"/>
                <w:color w:val="FF0000"/>
                <w:sz w:val="21"/>
                <w:szCs w:val="21"/>
              </w:rPr>
            </w:pPr>
          </w:p>
        </w:tc>
        <w:tc>
          <w:tcPr>
            <w:tcW w:w="217" w:type="dxa"/>
          </w:tcPr>
          <w:p w14:paraId="7F45D21F" w14:textId="77777777" w:rsidR="002C0FD9" w:rsidRPr="00CA25CF" w:rsidRDefault="002C0FD9" w:rsidP="00CA25CF">
            <w:pPr>
              <w:rPr>
                <w:rFonts w:cs="Arial"/>
                <w:color w:val="FF0000"/>
                <w:sz w:val="21"/>
                <w:szCs w:val="21"/>
              </w:rPr>
            </w:pPr>
          </w:p>
        </w:tc>
        <w:tc>
          <w:tcPr>
            <w:tcW w:w="217" w:type="dxa"/>
          </w:tcPr>
          <w:p w14:paraId="349AE832" w14:textId="77777777" w:rsidR="002C0FD9" w:rsidRPr="00CA25CF" w:rsidRDefault="002C0FD9" w:rsidP="00CA25CF">
            <w:pPr>
              <w:rPr>
                <w:rFonts w:cs="Arial"/>
                <w:color w:val="FF0000"/>
                <w:sz w:val="21"/>
                <w:szCs w:val="21"/>
              </w:rPr>
            </w:pPr>
          </w:p>
        </w:tc>
        <w:tc>
          <w:tcPr>
            <w:tcW w:w="217" w:type="dxa"/>
          </w:tcPr>
          <w:p w14:paraId="35CAA673" w14:textId="77777777" w:rsidR="002C0FD9" w:rsidRPr="00CA25CF" w:rsidRDefault="002C0FD9" w:rsidP="00CA25CF">
            <w:pPr>
              <w:rPr>
                <w:rFonts w:cs="Arial"/>
                <w:color w:val="FF0000"/>
                <w:sz w:val="21"/>
                <w:szCs w:val="21"/>
              </w:rPr>
            </w:pPr>
          </w:p>
        </w:tc>
        <w:tc>
          <w:tcPr>
            <w:tcW w:w="217" w:type="dxa"/>
          </w:tcPr>
          <w:p w14:paraId="3A604CEA" w14:textId="77777777" w:rsidR="002C0FD9" w:rsidRPr="00CA25CF" w:rsidRDefault="002C0FD9" w:rsidP="00CA25CF">
            <w:pPr>
              <w:rPr>
                <w:rFonts w:cs="Arial"/>
                <w:color w:val="FF0000"/>
                <w:sz w:val="21"/>
                <w:szCs w:val="21"/>
              </w:rPr>
            </w:pPr>
          </w:p>
        </w:tc>
        <w:tc>
          <w:tcPr>
            <w:tcW w:w="217" w:type="dxa"/>
          </w:tcPr>
          <w:p w14:paraId="1B737D42" w14:textId="77777777" w:rsidR="002C0FD9" w:rsidRPr="00CA25CF" w:rsidRDefault="002C0FD9" w:rsidP="00CA25CF">
            <w:pPr>
              <w:rPr>
                <w:rFonts w:cs="Arial"/>
                <w:color w:val="FF0000"/>
                <w:sz w:val="21"/>
                <w:szCs w:val="21"/>
              </w:rPr>
            </w:pPr>
          </w:p>
        </w:tc>
        <w:tc>
          <w:tcPr>
            <w:tcW w:w="217" w:type="dxa"/>
          </w:tcPr>
          <w:p w14:paraId="40667A7F" w14:textId="77777777" w:rsidR="002C0FD9" w:rsidRPr="00CA25CF" w:rsidRDefault="002C0FD9" w:rsidP="00CA25CF">
            <w:pPr>
              <w:rPr>
                <w:rFonts w:cs="Arial"/>
                <w:color w:val="FF0000"/>
                <w:sz w:val="21"/>
                <w:szCs w:val="21"/>
              </w:rPr>
            </w:pPr>
          </w:p>
        </w:tc>
        <w:tc>
          <w:tcPr>
            <w:tcW w:w="217" w:type="dxa"/>
          </w:tcPr>
          <w:p w14:paraId="3676346D" w14:textId="77777777" w:rsidR="002C0FD9" w:rsidRPr="00CA25CF" w:rsidRDefault="002C0FD9" w:rsidP="00CA25CF">
            <w:pPr>
              <w:rPr>
                <w:rFonts w:cs="Arial"/>
                <w:color w:val="FF0000"/>
                <w:sz w:val="21"/>
                <w:szCs w:val="21"/>
              </w:rPr>
            </w:pPr>
          </w:p>
        </w:tc>
        <w:tc>
          <w:tcPr>
            <w:tcW w:w="217" w:type="dxa"/>
          </w:tcPr>
          <w:p w14:paraId="6FC60EB7" w14:textId="77777777" w:rsidR="002C0FD9" w:rsidRPr="00CA25CF" w:rsidRDefault="002C0FD9" w:rsidP="00CA25CF">
            <w:pPr>
              <w:rPr>
                <w:rFonts w:cs="Arial"/>
                <w:color w:val="FF0000"/>
                <w:sz w:val="21"/>
                <w:szCs w:val="21"/>
              </w:rPr>
            </w:pPr>
          </w:p>
        </w:tc>
        <w:tc>
          <w:tcPr>
            <w:tcW w:w="217" w:type="dxa"/>
          </w:tcPr>
          <w:p w14:paraId="1C2F6982" w14:textId="77777777" w:rsidR="002C0FD9" w:rsidRPr="00CA25CF" w:rsidRDefault="002C0FD9" w:rsidP="00CA25CF">
            <w:pPr>
              <w:rPr>
                <w:rFonts w:cs="Arial"/>
                <w:color w:val="FF0000"/>
                <w:sz w:val="21"/>
                <w:szCs w:val="21"/>
              </w:rPr>
            </w:pPr>
          </w:p>
        </w:tc>
        <w:tc>
          <w:tcPr>
            <w:tcW w:w="217" w:type="dxa"/>
          </w:tcPr>
          <w:p w14:paraId="61EF70C6" w14:textId="77777777" w:rsidR="002C0FD9" w:rsidRPr="00CA25CF" w:rsidRDefault="002C0FD9" w:rsidP="00CA25CF">
            <w:pPr>
              <w:rPr>
                <w:rFonts w:cs="Arial"/>
                <w:color w:val="FF0000"/>
                <w:sz w:val="21"/>
                <w:szCs w:val="21"/>
              </w:rPr>
            </w:pPr>
          </w:p>
        </w:tc>
        <w:tc>
          <w:tcPr>
            <w:tcW w:w="217" w:type="dxa"/>
          </w:tcPr>
          <w:p w14:paraId="39C63FE2" w14:textId="77777777" w:rsidR="002C0FD9" w:rsidRPr="00CA25CF" w:rsidRDefault="002C0FD9" w:rsidP="00CA25CF">
            <w:pPr>
              <w:rPr>
                <w:rFonts w:cs="Arial"/>
                <w:color w:val="FF0000"/>
                <w:sz w:val="21"/>
                <w:szCs w:val="21"/>
              </w:rPr>
            </w:pPr>
          </w:p>
        </w:tc>
        <w:tc>
          <w:tcPr>
            <w:tcW w:w="217" w:type="dxa"/>
          </w:tcPr>
          <w:p w14:paraId="058DA6C8" w14:textId="77777777" w:rsidR="002C0FD9" w:rsidRPr="00CA25CF" w:rsidRDefault="002C0FD9" w:rsidP="00CA25CF">
            <w:pPr>
              <w:rPr>
                <w:rFonts w:cs="Arial"/>
                <w:color w:val="FF0000"/>
                <w:sz w:val="21"/>
                <w:szCs w:val="21"/>
              </w:rPr>
            </w:pPr>
          </w:p>
        </w:tc>
        <w:tc>
          <w:tcPr>
            <w:tcW w:w="217" w:type="dxa"/>
          </w:tcPr>
          <w:p w14:paraId="26440CCB" w14:textId="77777777" w:rsidR="002C0FD9" w:rsidRPr="00CA25CF" w:rsidRDefault="002C0FD9" w:rsidP="00CA25CF">
            <w:pPr>
              <w:rPr>
                <w:rFonts w:cs="Arial"/>
                <w:color w:val="FF0000"/>
                <w:sz w:val="21"/>
                <w:szCs w:val="21"/>
              </w:rPr>
            </w:pPr>
          </w:p>
        </w:tc>
        <w:tc>
          <w:tcPr>
            <w:tcW w:w="217" w:type="dxa"/>
          </w:tcPr>
          <w:p w14:paraId="1BAB7BD3" w14:textId="77777777" w:rsidR="002C0FD9" w:rsidRPr="00CA25CF" w:rsidRDefault="002C0FD9" w:rsidP="00CA25CF">
            <w:pPr>
              <w:rPr>
                <w:rFonts w:cs="Arial"/>
                <w:color w:val="FF0000"/>
                <w:sz w:val="21"/>
                <w:szCs w:val="21"/>
              </w:rPr>
            </w:pPr>
          </w:p>
        </w:tc>
        <w:tc>
          <w:tcPr>
            <w:tcW w:w="217" w:type="dxa"/>
          </w:tcPr>
          <w:p w14:paraId="1CBA0A59" w14:textId="77777777" w:rsidR="002C0FD9" w:rsidRPr="00CA25CF" w:rsidRDefault="002C0FD9" w:rsidP="00CA25CF">
            <w:pPr>
              <w:rPr>
                <w:rFonts w:cs="Arial"/>
                <w:color w:val="FF0000"/>
                <w:sz w:val="21"/>
                <w:szCs w:val="21"/>
              </w:rPr>
            </w:pPr>
          </w:p>
        </w:tc>
        <w:tc>
          <w:tcPr>
            <w:tcW w:w="217" w:type="dxa"/>
          </w:tcPr>
          <w:p w14:paraId="282BB0C1" w14:textId="77777777" w:rsidR="002C0FD9" w:rsidRPr="00CA25CF" w:rsidRDefault="002C0FD9" w:rsidP="00CA25CF">
            <w:pPr>
              <w:rPr>
                <w:rFonts w:cs="Arial"/>
                <w:color w:val="FF0000"/>
                <w:sz w:val="21"/>
                <w:szCs w:val="21"/>
              </w:rPr>
            </w:pPr>
          </w:p>
        </w:tc>
        <w:tc>
          <w:tcPr>
            <w:tcW w:w="217" w:type="dxa"/>
          </w:tcPr>
          <w:p w14:paraId="2F28AD56" w14:textId="77777777" w:rsidR="002C0FD9" w:rsidRPr="00CA25CF" w:rsidRDefault="002C0FD9" w:rsidP="00CA25CF">
            <w:pPr>
              <w:rPr>
                <w:rFonts w:cs="Arial"/>
                <w:color w:val="FF0000"/>
                <w:sz w:val="21"/>
                <w:szCs w:val="21"/>
              </w:rPr>
            </w:pPr>
          </w:p>
        </w:tc>
        <w:tc>
          <w:tcPr>
            <w:tcW w:w="217" w:type="dxa"/>
          </w:tcPr>
          <w:p w14:paraId="468E922F" w14:textId="77777777" w:rsidR="002C0FD9" w:rsidRPr="00CA25CF" w:rsidRDefault="002C0FD9" w:rsidP="00CA25CF">
            <w:pPr>
              <w:rPr>
                <w:rFonts w:cs="Arial"/>
                <w:color w:val="FF0000"/>
                <w:sz w:val="21"/>
                <w:szCs w:val="21"/>
              </w:rPr>
            </w:pPr>
          </w:p>
        </w:tc>
        <w:tc>
          <w:tcPr>
            <w:tcW w:w="217" w:type="dxa"/>
          </w:tcPr>
          <w:p w14:paraId="668AFC06" w14:textId="77777777" w:rsidR="002C0FD9" w:rsidRPr="00CA25CF" w:rsidRDefault="002C0FD9" w:rsidP="00CA25CF">
            <w:pPr>
              <w:rPr>
                <w:rFonts w:cs="Arial"/>
                <w:color w:val="FF0000"/>
                <w:sz w:val="21"/>
                <w:szCs w:val="21"/>
              </w:rPr>
            </w:pPr>
          </w:p>
        </w:tc>
        <w:tc>
          <w:tcPr>
            <w:tcW w:w="217" w:type="dxa"/>
          </w:tcPr>
          <w:p w14:paraId="7CF3620B" w14:textId="77777777" w:rsidR="002C0FD9" w:rsidRPr="00CA25CF" w:rsidRDefault="002C0FD9" w:rsidP="00CA25CF">
            <w:pPr>
              <w:rPr>
                <w:rFonts w:cs="Arial"/>
                <w:color w:val="FF0000"/>
                <w:sz w:val="21"/>
                <w:szCs w:val="21"/>
              </w:rPr>
            </w:pPr>
          </w:p>
        </w:tc>
        <w:tc>
          <w:tcPr>
            <w:tcW w:w="217" w:type="dxa"/>
          </w:tcPr>
          <w:p w14:paraId="20054778" w14:textId="77777777" w:rsidR="002C0FD9" w:rsidRPr="00CA25CF" w:rsidRDefault="002C0FD9" w:rsidP="00CA25CF">
            <w:pPr>
              <w:rPr>
                <w:rFonts w:cs="Arial"/>
                <w:color w:val="FF0000"/>
                <w:sz w:val="21"/>
                <w:szCs w:val="21"/>
              </w:rPr>
            </w:pPr>
          </w:p>
        </w:tc>
        <w:tc>
          <w:tcPr>
            <w:tcW w:w="217" w:type="dxa"/>
          </w:tcPr>
          <w:p w14:paraId="059389A9" w14:textId="77777777" w:rsidR="002C0FD9" w:rsidRPr="00CA25CF" w:rsidRDefault="002C0FD9" w:rsidP="00CA25CF">
            <w:pPr>
              <w:rPr>
                <w:rFonts w:cs="Arial"/>
                <w:color w:val="FF0000"/>
                <w:sz w:val="21"/>
                <w:szCs w:val="21"/>
              </w:rPr>
            </w:pPr>
          </w:p>
        </w:tc>
        <w:tc>
          <w:tcPr>
            <w:tcW w:w="217" w:type="dxa"/>
          </w:tcPr>
          <w:p w14:paraId="0814BB51" w14:textId="77777777" w:rsidR="002C0FD9" w:rsidRPr="00CA25CF" w:rsidRDefault="002C0FD9" w:rsidP="00CA25CF">
            <w:pPr>
              <w:rPr>
                <w:rFonts w:cs="Arial"/>
                <w:color w:val="FF0000"/>
                <w:sz w:val="21"/>
                <w:szCs w:val="21"/>
              </w:rPr>
            </w:pPr>
          </w:p>
        </w:tc>
        <w:tc>
          <w:tcPr>
            <w:tcW w:w="217" w:type="dxa"/>
          </w:tcPr>
          <w:p w14:paraId="1E62B844" w14:textId="77777777" w:rsidR="002C0FD9" w:rsidRPr="00CA25CF" w:rsidRDefault="002C0FD9" w:rsidP="00CA25CF">
            <w:pPr>
              <w:rPr>
                <w:rFonts w:cs="Arial"/>
                <w:color w:val="FF0000"/>
                <w:sz w:val="21"/>
                <w:szCs w:val="21"/>
              </w:rPr>
            </w:pPr>
          </w:p>
        </w:tc>
        <w:tc>
          <w:tcPr>
            <w:tcW w:w="217" w:type="dxa"/>
          </w:tcPr>
          <w:p w14:paraId="4C43D820" w14:textId="77777777" w:rsidR="002C0FD9" w:rsidRPr="00CA25CF" w:rsidRDefault="002C0FD9" w:rsidP="00CA25CF">
            <w:pPr>
              <w:rPr>
                <w:rFonts w:cs="Arial"/>
                <w:color w:val="FF0000"/>
                <w:sz w:val="21"/>
                <w:szCs w:val="21"/>
              </w:rPr>
            </w:pPr>
          </w:p>
        </w:tc>
        <w:tc>
          <w:tcPr>
            <w:tcW w:w="217" w:type="dxa"/>
          </w:tcPr>
          <w:p w14:paraId="61C73224" w14:textId="77777777" w:rsidR="002C0FD9" w:rsidRPr="00CA25CF" w:rsidRDefault="002C0FD9" w:rsidP="00CA25CF">
            <w:pPr>
              <w:rPr>
                <w:rFonts w:cs="Arial"/>
                <w:color w:val="FF0000"/>
                <w:sz w:val="21"/>
                <w:szCs w:val="21"/>
              </w:rPr>
            </w:pPr>
          </w:p>
        </w:tc>
      </w:tr>
      <w:tr w:rsidR="002C0FD9" w:rsidRPr="00A16219" w14:paraId="331A80FF" w14:textId="39713EE3" w:rsidTr="002C0FD9">
        <w:trPr>
          <w:trHeight w:val="635"/>
        </w:trPr>
        <w:tc>
          <w:tcPr>
            <w:tcW w:w="515" w:type="dxa"/>
          </w:tcPr>
          <w:p w14:paraId="63C9B03F" w14:textId="77777777" w:rsidR="002C0FD9" w:rsidRPr="00CA25CF" w:rsidRDefault="002C0FD9" w:rsidP="00CA25CF">
            <w:pPr>
              <w:rPr>
                <w:rFonts w:cs="Arial"/>
                <w:color w:val="FF0000"/>
                <w:sz w:val="21"/>
                <w:szCs w:val="21"/>
              </w:rPr>
            </w:pPr>
          </w:p>
        </w:tc>
        <w:tc>
          <w:tcPr>
            <w:tcW w:w="217" w:type="dxa"/>
          </w:tcPr>
          <w:p w14:paraId="3ABA99FA" w14:textId="77777777" w:rsidR="002C0FD9" w:rsidRPr="00CA25CF" w:rsidRDefault="002C0FD9" w:rsidP="00CA25CF">
            <w:pPr>
              <w:rPr>
                <w:rFonts w:cs="Arial"/>
                <w:color w:val="FF0000"/>
                <w:sz w:val="21"/>
                <w:szCs w:val="21"/>
              </w:rPr>
            </w:pPr>
          </w:p>
        </w:tc>
        <w:tc>
          <w:tcPr>
            <w:tcW w:w="217" w:type="dxa"/>
          </w:tcPr>
          <w:p w14:paraId="4B7B4BE2" w14:textId="023808EA" w:rsidR="002C0FD9" w:rsidRPr="00CA25CF" w:rsidRDefault="002C0FD9" w:rsidP="00CA25CF">
            <w:pPr>
              <w:rPr>
                <w:rFonts w:cs="Arial"/>
                <w:color w:val="FF0000"/>
                <w:sz w:val="21"/>
                <w:szCs w:val="21"/>
              </w:rPr>
            </w:pPr>
          </w:p>
        </w:tc>
        <w:tc>
          <w:tcPr>
            <w:tcW w:w="217" w:type="dxa"/>
          </w:tcPr>
          <w:p w14:paraId="541B05A0" w14:textId="77777777" w:rsidR="002C0FD9" w:rsidRPr="00CA25CF" w:rsidRDefault="002C0FD9" w:rsidP="00CA25CF">
            <w:pPr>
              <w:rPr>
                <w:rFonts w:cs="Arial"/>
                <w:color w:val="FF0000"/>
                <w:sz w:val="21"/>
                <w:szCs w:val="21"/>
              </w:rPr>
            </w:pPr>
          </w:p>
        </w:tc>
        <w:tc>
          <w:tcPr>
            <w:tcW w:w="217" w:type="dxa"/>
          </w:tcPr>
          <w:p w14:paraId="2BB3B3E0" w14:textId="77777777" w:rsidR="002C0FD9" w:rsidRPr="00CA25CF" w:rsidRDefault="002C0FD9" w:rsidP="00CA25CF">
            <w:pPr>
              <w:rPr>
                <w:rFonts w:cs="Arial"/>
                <w:color w:val="FF0000"/>
                <w:sz w:val="21"/>
                <w:szCs w:val="21"/>
              </w:rPr>
            </w:pPr>
          </w:p>
        </w:tc>
        <w:tc>
          <w:tcPr>
            <w:tcW w:w="217" w:type="dxa"/>
          </w:tcPr>
          <w:p w14:paraId="28086FAB" w14:textId="77777777" w:rsidR="002C0FD9" w:rsidRPr="00CA25CF" w:rsidRDefault="002C0FD9" w:rsidP="00CA25CF">
            <w:pPr>
              <w:rPr>
                <w:rFonts w:cs="Arial"/>
                <w:color w:val="FF0000"/>
                <w:sz w:val="21"/>
                <w:szCs w:val="21"/>
              </w:rPr>
            </w:pPr>
          </w:p>
        </w:tc>
        <w:tc>
          <w:tcPr>
            <w:tcW w:w="217" w:type="dxa"/>
          </w:tcPr>
          <w:p w14:paraId="66B0BE0C" w14:textId="77777777" w:rsidR="002C0FD9" w:rsidRPr="00CA25CF" w:rsidRDefault="002C0FD9" w:rsidP="00CA25CF">
            <w:pPr>
              <w:rPr>
                <w:rFonts w:cs="Arial"/>
                <w:color w:val="FF0000"/>
                <w:sz w:val="21"/>
                <w:szCs w:val="21"/>
              </w:rPr>
            </w:pPr>
          </w:p>
        </w:tc>
        <w:tc>
          <w:tcPr>
            <w:tcW w:w="217" w:type="dxa"/>
          </w:tcPr>
          <w:p w14:paraId="2577C4C7" w14:textId="77777777" w:rsidR="002C0FD9" w:rsidRPr="00CA25CF" w:rsidRDefault="002C0FD9" w:rsidP="00CA25CF">
            <w:pPr>
              <w:rPr>
                <w:rFonts w:cs="Arial"/>
                <w:color w:val="FF0000"/>
                <w:sz w:val="21"/>
                <w:szCs w:val="21"/>
              </w:rPr>
            </w:pPr>
          </w:p>
        </w:tc>
        <w:tc>
          <w:tcPr>
            <w:tcW w:w="217" w:type="dxa"/>
          </w:tcPr>
          <w:p w14:paraId="7EC4C7C7" w14:textId="77777777" w:rsidR="002C0FD9" w:rsidRPr="00CA25CF" w:rsidRDefault="002C0FD9" w:rsidP="00CA25CF">
            <w:pPr>
              <w:rPr>
                <w:rFonts w:cs="Arial"/>
                <w:color w:val="FF0000"/>
                <w:sz w:val="21"/>
                <w:szCs w:val="21"/>
              </w:rPr>
            </w:pPr>
          </w:p>
        </w:tc>
        <w:tc>
          <w:tcPr>
            <w:tcW w:w="217" w:type="dxa"/>
          </w:tcPr>
          <w:p w14:paraId="5E31140E" w14:textId="77777777" w:rsidR="002C0FD9" w:rsidRPr="00CA25CF" w:rsidRDefault="002C0FD9" w:rsidP="00CA25CF">
            <w:pPr>
              <w:rPr>
                <w:rFonts w:cs="Arial"/>
                <w:color w:val="FF0000"/>
                <w:sz w:val="21"/>
                <w:szCs w:val="21"/>
              </w:rPr>
            </w:pPr>
          </w:p>
        </w:tc>
        <w:tc>
          <w:tcPr>
            <w:tcW w:w="217" w:type="dxa"/>
          </w:tcPr>
          <w:p w14:paraId="1BDB332E" w14:textId="77777777" w:rsidR="002C0FD9" w:rsidRPr="00CA25CF" w:rsidRDefault="002C0FD9" w:rsidP="00CA25CF">
            <w:pPr>
              <w:rPr>
                <w:rFonts w:cs="Arial"/>
                <w:color w:val="FF0000"/>
                <w:sz w:val="21"/>
                <w:szCs w:val="21"/>
              </w:rPr>
            </w:pPr>
          </w:p>
        </w:tc>
        <w:tc>
          <w:tcPr>
            <w:tcW w:w="217" w:type="dxa"/>
          </w:tcPr>
          <w:p w14:paraId="43473A3C" w14:textId="77777777" w:rsidR="002C0FD9" w:rsidRPr="00CA25CF" w:rsidRDefault="002C0FD9" w:rsidP="00CA25CF">
            <w:pPr>
              <w:rPr>
                <w:rFonts w:cs="Arial"/>
                <w:color w:val="FF0000"/>
                <w:sz w:val="21"/>
                <w:szCs w:val="21"/>
              </w:rPr>
            </w:pPr>
          </w:p>
        </w:tc>
        <w:tc>
          <w:tcPr>
            <w:tcW w:w="217" w:type="dxa"/>
          </w:tcPr>
          <w:p w14:paraId="1E91F76D" w14:textId="77777777" w:rsidR="002C0FD9" w:rsidRPr="00CA25CF" w:rsidRDefault="002C0FD9" w:rsidP="00CA25CF">
            <w:pPr>
              <w:rPr>
                <w:rFonts w:cs="Arial"/>
                <w:color w:val="FF0000"/>
                <w:sz w:val="21"/>
                <w:szCs w:val="21"/>
              </w:rPr>
            </w:pPr>
          </w:p>
        </w:tc>
        <w:tc>
          <w:tcPr>
            <w:tcW w:w="217" w:type="dxa"/>
          </w:tcPr>
          <w:p w14:paraId="60CDCC17" w14:textId="77777777" w:rsidR="002C0FD9" w:rsidRPr="00CA25CF" w:rsidRDefault="002C0FD9" w:rsidP="00CA25CF">
            <w:pPr>
              <w:rPr>
                <w:rFonts w:cs="Arial"/>
                <w:color w:val="FF0000"/>
                <w:sz w:val="21"/>
                <w:szCs w:val="21"/>
              </w:rPr>
            </w:pPr>
          </w:p>
        </w:tc>
        <w:tc>
          <w:tcPr>
            <w:tcW w:w="217" w:type="dxa"/>
          </w:tcPr>
          <w:p w14:paraId="521B70BC" w14:textId="77777777" w:rsidR="002C0FD9" w:rsidRPr="00CA25CF" w:rsidRDefault="002C0FD9" w:rsidP="00CA25CF">
            <w:pPr>
              <w:rPr>
                <w:rFonts w:cs="Arial"/>
                <w:color w:val="FF0000"/>
                <w:sz w:val="21"/>
                <w:szCs w:val="21"/>
              </w:rPr>
            </w:pPr>
          </w:p>
        </w:tc>
        <w:tc>
          <w:tcPr>
            <w:tcW w:w="217" w:type="dxa"/>
          </w:tcPr>
          <w:p w14:paraId="01C0C919" w14:textId="77777777" w:rsidR="002C0FD9" w:rsidRPr="00CA25CF" w:rsidRDefault="002C0FD9" w:rsidP="00CA25CF">
            <w:pPr>
              <w:rPr>
                <w:rFonts w:cs="Arial"/>
                <w:color w:val="FF0000"/>
                <w:sz w:val="21"/>
                <w:szCs w:val="21"/>
              </w:rPr>
            </w:pPr>
          </w:p>
        </w:tc>
        <w:tc>
          <w:tcPr>
            <w:tcW w:w="217" w:type="dxa"/>
          </w:tcPr>
          <w:p w14:paraId="5BEF6DAA" w14:textId="77777777" w:rsidR="002C0FD9" w:rsidRPr="00CA25CF" w:rsidRDefault="002C0FD9" w:rsidP="00CA25CF">
            <w:pPr>
              <w:rPr>
                <w:rFonts w:cs="Arial"/>
                <w:color w:val="FF0000"/>
                <w:sz w:val="21"/>
                <w:szCs w:val="21"/>
              </w:rPr>
            </w:pPr>
          </w:p>
        </w:tc>
        <w:tc>
          <w:tcPr>
            <w:tcW w:w="217" w:type="dxa"/>
          </w:tcPr>
          <w:p w14:paraId="0B4F0BB3" w14:textId="77777777" w:rsidR="002C0FD9" w:rsidRPr="00CA25CF" w:rsidRDefault="002C0FD9" w:rsidP="00CA25CF">
            <w:pPr>
              <w:rPr>
                <w:rFonts w:cs="Arial"/>
                <w:color w:val="FF0000"/>
                <w:sz w:val="21"/>
                <w:szCs w:val="21"/>
              </w:rPr>
            </w:pPr>
          </w:p>
        </w:tc>
        <w:tc>
          <w:tcPr>
            <w:tcW w:w="217" w:type="dxa"/>
          </w:tcPr>
          <w:p w14:paraId="72807C95" w14:textId="77777777" w:rsidR="002C0FD9" w:rsidRPr="00CA25CF" w:rsidRDefault="002C0FD9" w:rsidP="00CA25CF">
            <w:pPr>
              <w:rPr>
                <w:rFonts w:cs="Arial"/>
                <w:color w:val="FF0000"/>
                <w:sz w:val="21"/>
                <w:szCs w:val="21"/>
              </w:rPr>
            </w:pPr>
          </w:p>
        </w:tc>
        <w:tc>
          <w:tcPr>
            <w:tcW w:w="217" w:type="dxa"/>
          </w:tcPr>
          <w:p w14:paraId="463866ED" w14:textId="77777777" w:rsidR="002C0FD9" w:rsidRPr="00CA25CF" w:rsidRDefault="002C0FD9" w:rsidP="00CA25CF">
            <w:pPr>
              <w:rPr>
                <w:rFonts w:cs="Arial"/>
                <w:color w:val="FF0000"/>
                <w:sz w:val="21"/>
                <w:szCs w:val="21"/>
              </w:rPr>
            </w:pPr>
          </w:p>
        </w:tc>
        <w:tc>
          <w:tcPr>
            <w:tcW w:w="217" w:type="dxa"/>
          </w:tcPr>
          <w:p w14:paraId="7CD1633E" w14:textId="77777777" w:rsidR="002C0FD9" w:rsidRPr="00CA25CF" w:rsidRDefault="002C0FD9" w:rsidP="00CA25CF">
            <w:pPr>
              <w:rPr>
                <w:rFonts w:cs="Arial"/>
                <w:color w:val="FF0000"/>
                <w:sz w:val="21"/>
                <w:szCs w:val="21"/>
              </w:rPr>
            </w:pPr>
          </w:p>
        </w:tc>
        <w:tc>
          <w:tcPr>
            <w:tcW w:w="217" w:type="dxa"/>
          </w:tcPr>
          <w:p w14:paraId="07D936DD" w14:textId="77777777" w:rsidR="002C0FD9" w:rsidRPr="00CA25CF" w:rsidRDefault="002C0FD9" w:rsidP="00CA25CF">
            <w:pPr>
              <w:rPr>
                <w:rFonts w:cs="Arial"/>
                <w:color w:val="FF0000"/>
                <w:sz w:val="21"/>
                <w:szCs w:val="21"/>
              </w:rPr>
            </w:pPr>
          </w:p>
        </w:tc>
        <w:tc>
          <w:tcPr>
            <w:tcW w:w="217" w:type="dxa"/>
          </w:tcPr>
          <w:p w14:paraId="48866FB1" w14:textId="77777777" w:rsidR="002C0FD9" w:rsidRPr="00CA25CF" w:rsidRDefault="002C0FD9" w:rsidP="00CA25CF">
            <w:pPr>
              <w:rPr>
                <w:rFonts w:cs="Arial"/>
                <w:color w:val="FF0000"/>
                <w:sz w:val="21"/>
                <w:szCs w:val="21"/>
              </w:rPr>
            </w:pPr>
          </w:p>
        </w:tc>
        <w:tc>
          <w:tcPr>
            <w:tcW w:w="217" w:type="dxa"/>
          </w:tcPr>
          <w:p w14:paraId="6877C259" w14:textId="77777777" w:rsidR="002C0FD9" w:rsidRPr="00CA25CF" w:rsidRDefault="002C0FD9" w:rsidP="00CA25CF">
            <w:pPr>
              <w:rPr>
                <w:rFonts w:cs="Arial"/>
                <w:color w:val="FF0000"/>
                <w:sz w:val="21"/>
                <w:szCs w:val="21"/>
              </w:rPr>
            </w:pPr>
          </w:p>
        </w:tc>
        <w:tc>
          <w:tcPr>
            <w:tcW w:w="217" w:type="dxa"/>
          </w:tcPr>
          <w:p w14:paraId="5567C37F" w14:textId="77777777" w:rsidR="002C0FD9" w:rsidRPr="00CA25CF" w:rsidRDefault="002C0FD9" w:rsidP="00CA25CF">
            <w:pPr>
              <w:rPr>
                <w:rFonts w:cs="Arial"/>
                <w:color w:val="FF0000"/>
                <w:sz w:val="21"/>
                <w:szCs w:val="21"/>
              </w:rPr>
            </w:pPr>
          </w:p>
        </w:tc>
        <w:tc>
          <w:tcPr>
            <w:tcW w:w="217" w:type="dxa"/>
          </w:tcPr>
          <w:p w14:paraId="08C3BFF3" w14:textId="77777777" w:rsidR="002C0FD9" w:rsidRPr="00CA25CF" w:rsidRDefault="002C0FD9" w:rsidP="00CA25CF">
            <w:pPr>
              <w:rPr>
                <w:rFonts w:cs="Arial"/>
                <w:color w:val="FF0000"/>
                <w:sz w:val="21"/>
                <w:szCs w:val="21"/>
              </w:rPr>
            </w:pPr>
          </w:p>
        </w:tc>
        <w:tc>
          <w:tcPr>
            <w:tcW w:w="217" w:type="dxa"/>
          </w:tcPr>
          <w:p w14:paraId="58A77477" w14:textId="77777777" w:rsidR="002C0FD9" w:rsidRPr="00CA25CF" w:rsidRDefault="002C0FD9" w:rsidP="00CA25CF">
            <w:pPr>
              <w:rPr>
                <w:rFonts w:cs="Arial"/>
                <w:color w:val="FF0000"/>
                <w:sz w:val="21"/>
                <w:szCs w:val="21"/>
              </w:rPr>
            </w:pPr>
          </w:p>
        </w:tc>
        <w:tc>
          <w:tcPr>
            <w:tcW w:w="217" w:type="dxa"/>
          </w:tcPr>
          <w:p w14:paraId="2B2BD2FF" w14:textId="77777777" w:rsidR="002C0FD9" w:rsidRPr="00CA25CF" w:rsidRDefault="002C0FD9" w:rsidP="00CA25CF">
            <w:pPr>
              <w:rPr>
                <w:rFonts w:cs="Arial"/>
                <w:color w:val="FF0000"/>
                <w:sz w:val="21"/>
                <w:szCs w:val="21"/>
              </w:rPr>
            </w:pPr>
          </w:p>
        </w:tc>
        <w:tc>
          <w:tcPr>
            <w:tcW w:w="217" w:type="dxa"/>
          </w:tcPr>
          <w:p w14:paraId="4B4A4B57" w14:textId="77777777" w:rsidR="002C0FD9" w:rsidRPr="00CA25CF" w:rsidRDefault="002C0FD9" w:rsidP="00CA25CF">
            <w:pPr>
              <w:rPr>
                <w:rFonts w:cs="Arial"/>
                <w:color w:val="FF0000"/>
                <w:sz w:val="21"/>
                <w:szCs w:val="21"/>
              </w:rPr>
            </w:pPr>
          </w:p>
        </w:tc>
        <w:tc>
          <w:tcPr>
            <w:tcW w:w="217" w:type="dxa"/>
          </w:tcPr>
          <w:p w14:paraId="7C39261D" w14:textId="77777777" w:rsidR="002C0FD9" w:rsidRPr="00CA25CF" w:rsidRDefault="002C0FD9" w:rsidP="00CA25CF">
            <w:pPr>
              <w:rPr>
                <w:rFonts w:cs="Arial"/>
                <w:color w:val="FF0000"/>
                <w:sz w:val="21"/>
                <w:szCs w:val="21"/>
              </w:rPr>
            </w:pPr>
          </w:p>
        </w:tc>
        <w:tc>
          <w:tcPr>
            <w:tcW w:w="217" w:type="dxa"/>
          </w:tcPr>
          <w:p w14:paraId="37781AC0" w14:textId="77777777" w:rsidR="002C0FD9" w:rsidRPr="00CA25CF" w:rsidRDefault="002C0FD9" w:rsidP="00CA25CF">
            <w:pPr>
              <w:rPr>
                <w:rFonts w:cs="Arial"/>
                <w:color w:val="FF0000"/>
                <w:sz w:val="21"/>
                <w:szCs w:val="21"/>
              </w:rPr>
            </w:pPr>
          </w:p>
        </w:tc>
        <w:tc>
          <w:tcPr>
            <w:tcW w:w="217" w:type="dxa"/>
          </w:tcPr>
          <w:p w14:paraId="15A7071A" w14:textId="77777777" w:rsidR="002C0FD9" w:rsidRPr="00CA25CF" w:rsidRDefault="002C0FD9" w:rsidP="00CA25CF">
            <w:pPr>
              <w:rPr>
                <w:rFonts w:cs="Arial"/>
                <w:color w:val="FF0000"/>
                <w:sz w:val="21"/>
                <w:szCs w:val="21"/>
              </w:rPr>
            </w:pPr>
          </w:p>
        </w:tc>
        <w:tc>
          <w:tcPr>
            <w:tcW w:w="217" w:type="dxa"/>
          </w:tcPr>
          <w:p w14:paraId="43C831A2" w14:textId="77777777" w:rsidR="002C0FD9" w:rsidRPr="00CA25CF" w:rsidRDefault="002C0FD9" w:rsidP="00CA25CF">
            <w:pPr>
              <w:rPr>
                <w:rFonts w:cs="Arial"/>
                <w:color w:val="FF0000"/>
                <w:sz w:val="21"/>
                <w:szCs w:val="21"/>
              </w:rPr>
            </w:pPr>
          </w:p>
        </w:tc>
        <w:tc>
          <w:tcPr>
            <w:tcW w:w="217" w:type="dxa"/>
          </w:tcPr>
          <w:p w14:paraId="7224EEBD" w14:textId="77777777" w:rsidR="002C0FD9" w:rsidRPr="00CA25CF" w:rsidRDefault="002C0FD9" w:rsidP="00CA25CF">
            <w:pPr>
              <w:rPr>
                <w:rFonts w:cs="Arial"/>
                <w:color w:val="FF0000"/>
                <w:sz w:val="21"/>
                <w:szCs w:val="21"/>
              </w:rPr>
            </w:pPr>
          </w:p>
        </w:tc>
        <w:tc>
          <w:tcPr>
            <w:tcW w:w="217" w:type="dxa"/>
          </w:tcPr>
          <w:p w14:paraId="0DE7AF2A" w14:textId="77777777" w:rsidR="002C0FD9" w:rsidRPr="00CA25CF" w:rsidRDefault="002C0FD9" w:rsidP="00CA25CF">
            <w:pPr>
              <w:rPr>
                <w:rFonts w:cs="Arial"/>
                <w:color w:val="FF0000"/>
                <w:sz w:val="21"/>
                <w:szCs w:val="21"/>
              </w:rPr>
            </w:pPr>
          </w:p>
        </w:tc>
        <w:tc>
          <w:tcPr>
            <w:tcW w:w="217" w:type="dxa"/>
          </w:tcPr>
          <w:p w14:paraId="0C37A452" w14:textId="77777777" w:rsidR="002C0FD9" w:rsidRPr="00CA25CF" w:rsidRDefault="002C0FD9" w:rsidP="00CA25CF">
            <w:pPr>
              <w:rPr>
                <w:rFonts w:cs="Arial"/>
                <w:color w:val="FF0000"/>
                <w:sz w:val="21"/>
                <w:szCs w:val="21"/>
              </w:rPr>
            </w:pPr>
          </w:p>
        </w:tc>
        <w:tc>
          <w:tcPr>
            <w:tcW w:w="217" w:type="dxa"/>
          </w:tcPr>
          <w:p w14:paraId="4DA78AE5" w14:textId="77777777" w:rsidR="002C0FD9" w:rsidRPr="00CA25CF" w:rsidRDefault="002C0FD9" w:rsidP="00CA25CF">
            <w:pPr>
              <w:rPr>
                <w:rFonts w:cs="Arial"/>
                <w:color w:val="FF0000"/>
                <w:sz w:val="21"/>
                <w:szCs w:val="21"/>
              </w:rPr>
            </w:pPr>
          </w:p>
        </w:tc>
        <w:tc>
          <w:tcPr>
            <w:tcW w:w="217" w:type="dxa"/>
          </w:tcPr>
          <w:p w14:paraId="2F885A5E" w14:textId="77777777" w:rsidR="002C0FD9" w:rsidRPr="00CA25CF" w:rsidRDefault="002C0FD9" w:rsidP="00CA25CF">
            <w:pPr>
              <w:rPr>
                <w:rFonts w:cs="Arial"/>
                <w:color w:val="FF0000"/>
                <w:sz w:val="21"/>
                <w:szCs w:val="21"/>
              </w:rPr>
            </w:pPr>
          </w:p>
        </w:tc>
        <w:tc>
          <w:tcPr>
            <w:tcW w:w="217" w:type="dxa"/>
          </w:tcPr>
          <w:p w14:paraId="1CFFA690" w14:textId="77777777" w:rsidR="002C0FD9" w:rsidRPr="00CA25CF" w:rsidRDefault="002C0FD9" w:rsidP="00CA25CF">
            <w:pPr>
              <w:rPr>
                <w:rFonts w:cs="Arial"/>
                <w:color w:val="FF0000"/>
                <w:sz w:val="21"/>
                <w:szCs w:val="21"/>
              </w:rPr>
            </w:pPr>
          </w:p>
        </w:tc>
        <w:tc>
          <w:tcPr>
            <w:tcW w:w="217" w:type="dxa"/>
          </w:tcPr>
          <w:p w14:paraId="16A590B2" w14:textId="77777777" w:rsidR="002C0FD9" w:rsidRPr="00CA25CF" w:rsidRDefault="002C0FD9" w:rsidP="00CA25CF">
            <w:pPr>
              <w:rPr>
                <w:rFonts w:cs="Arial"/>
                <w:color w:val="FF0000"/>
                <w:sz w:val="21"/>
                <w:szCs w:val="21"/>
              </w:rPr>
            </w:pPr>
          </w:p>
        </w:tc>
        <w:tc>
          <w:tcPr>
            <w:tcW w:w="217" w:type="dxa"/>
          </w:tcPr>
          <w:p w14:paraId="68ACC0D9" w14:textId="77777777" w:rsidR="002C0FD9" w:rsidRPr="00CA25CF" w:rsidRDefault="002C0FD9" w:rsidP="00CA25CF">
            <w:pPr>
              <w:rPr>
                <w:rFonts w:cs="Arial"/>
                <w:color w:val="FF0000"/>
                <w:sz w:val="21"/>
                <w:szCs w:val="21"/>
              </w:rPr>
            </w:pPr>
          </w:p>
        </w:tc>
        <w:tc>
          <w:tcPr>
            <w:tcW w:w="217" w:type="dxa"/>
          </w:tcPr>
          <w:p w14:paraId="466F29E9" w14:textId="77777777" w:rsidR="002C0FD9" w:rsidRPr="00CA25CF" w:rsidRDefault="002C0FD9" w:rsidP="00CA25CF">
            <w:pPr>
              <w:rPr>
                <w:rFonts w:cs="Arial"/>
                <w:color w:val="FF0000"/>
                <w:sz w:val="21"/>
                <w:szCs w:val="21"/>
              </w:rPr>
            </w:pPr>
          </w:p>
        </w:tc>
        <w:tc>
          <w:tcPr>
            <w:tcW w:w="217" w:type="dxa"/>
          </w:tcPr>
          <w:p w14:paraId="31A7AAC2" w14:textId="77777777" w:rsidR="002C0FD9" w:rsidRPr="00CA25CF" w:rsidRDefault="002C0FD9" w:rsidP="00CA25CF">
            <w:pPr>
              <w:rPr>
                <w:rFonts w:cs="Arial"/>
                <w:color w:val="FF0000"/>
                <w:sz w:val="21"/>
                <w:szCs w:val="21"/>
              </w:rPr>
            </w:pPr>
          </w:p>
        </w:tc>
      </w:tr>
      <w:tr w:rsidR="002C0FD9" w:rsidRPr="00A16219" w14:paraId="631EEC58" w14:textId="0421BE79" w:rsidTr="002C0FD9">
        <w:trPr>
          <w:trHeight w:val="635"/>
        </w:trPr>
        <w:tc>
          <w:tcPr>
            <w:tcW w:w="515" w:type="dxa"/>
          </w:tcPr>
          <w:p w14:paraId="1AD37FC5" w14:textId="77777777" w:rsidR="002C0FD9" w:rsidRPr="00CA25CF" w:rsidRDefault="002C0FD9" w:rsidP="00CA25CF">
            <w:pPr>
              <w:rPr>
                <w:rFonts w:cs="Arial"/>
                <w:color w:val="FF0000"/>
                <w:sz w:val="21"/>
                <w:szCs w:val="21"/>
              </w:rPr>
            </w:pPr>
          </w:p>
        </w:tc>
        <w:tc>
          <w:tcPr>
            <w:tcW w:w="217" w:type="dxa"/>
          </w:tcPr>
          <w:p w14:paraId="74E23439" w14:textId="77777777" w:rsidR="002C0FD9" w:rsidRPr="00CA25CF" w:rsidRDefault="002C0FD9" w:rsidP="00CA25CF">
            <w:pPr>
              <w:rPr>
                <w:rFonts w:cs="Arial"/>
                <w:color w:val="FF0000"/>
                <w:sz w:val="21"/>
                <w:szCs w:val="21"/>
              </w:rPr>
            </w:pPr>
          </w:p>
        </w:tc>
        <w:tc>
          <w:tcPr>
            <w:tcW w:w="217" w:type="dxa"/>
          </w:tcPr>
          <w:p w14:paraId="3ED966D5" w14:textId="2198903D" w:rsidR="002C0FD9" w:rsidRPr="00CA25CF" w:rsidRDefault="002C0FD9" w:rsidP="00CA25CF">
            <w:pPr>
              <w:rPr>
                <w:rFonts w:cs="Arial"/>
                <w:color w:val="FF0000"/>
                <w:sz w:val="21"/>
                <w:szCs w:val="21"/>
              </w:rPr>
            </w:pPr>
          </w:p>
        </w:tc>
        <w:tc>
          <w:tcPr>
            <w:tcW w:w="217" w:type="dxa"/>
          </w:tcPr>
          <w:p w14:paraId="354AD10C" w14:textId="77777777" w:rsidR="002C0FD9" w:rsidRPr="00CA25CF" w:rsidRDefault="002C0FD9" w:rsidP="00CA25CF">
            <w:pPr>
              <w:rPr>
                <w:rFonts w:cs="Arial"/>
                <w:color w:val="FF0000"/>
                <w:sz w:val="21"/>
                <w:szCs w:val="21"/>
              </w:rPr>
            </w:pPr>
          </w:p>
        </w:tc>
        <w:tc>
          <w:tcPr>
            <w:tcW w:w="217" w:type="dxa"/>
          </w:tcPr>
          <w:p w14:paraId="124280C5" w14:textId="77777777" w:rsidR="002C0FD9" w:rsidRPr="00CA25CF" w:rsidRDefault="002C0FD9" w:rsidP="00CA25CF">
            <w:pPr>
              <w:rPr>
                <w:rFonts w:cs="Arial"/>
                <w:color w:val="FF0000"/>
                <w:sz w:val="21"/>
                <w:szCs w:val="21"/>
              </w:rPr>
            </w:pPr>
          </w:p>
        </w:tc>
        <w:tc>
          <w:tcPr>
            <w:tcW w:w="217" w:type="dxa"/>
          </w:tcPr>
          <w:p w14:paraId="1C52BD04" w14:textId="77777777" w:rsidR="002C0FD9" w:rsidRPr="00CA25CF" w:rsidRDefault="002C0FD9" w:rsidP="00CA25CF">
            <w:pPr>
              <w:rPr>
                <w:rFonts w:cs="Arial"/>
                <w:color w:val="FF0000"/>
                <w:sz w:val="21"/>
                <w:szCs w:val="21"/>
              </w:rPr>
            </w:pPr>
          </w:p>
        </w:tc>
        <w:tc>
          <w:tcPr>
            <w:tcW w:w="217" w:type="dxa"/>
          </w:tcPr>
          <w:p w14:paraId="2D2A05D1" w14:textId="77777777" w:rsidR="002C0FD9" w:rsidRPr="00CA25CF" w:rsidRDefault="002C0FD9" w:rsidP="00CA25CF">
            <w:pPr>
              <w:rPr>
                <w:rFonts w:cs="Arial"/>
                <w:color w:val="FF0000"/>
                <w:sz w:val="21"/>
                <w:szCs w:val="21"/>
              </w:rPr>
            </w:pPr>
          </w:p>
        </w:tc>
        <w:tc>
          <w:tcPr>
            <w:tcW w:w="217" w:type="dxa"/>
          </w:tcPr>
          <w:p w14:paraId="402DE1B7" w14:textId="77777777" w:rsidR="002C0FD9" w:rsidRPr="00CA25CF" w:rsidRDefault="002C0FD9" w:rsidP="00CA25CF">
            <w:pPr>
              <w:rPr>
                <w:rFonts w:cs="Arial"/>
                <w:color w:val="FF0000"/>
                <w:sz w:val="21"/>
                <w:szCs w:val="21"/>
              </w:rPr>
            </w:pPr>
          </w:p>
        </w:tc>
        <w:tc>
          <w:tcPr>
            <w:tcW w:w="217" w:type="dxa"/>
          </w:tcPr>
          <w:p w14:paraId="3B390B90" w14:textId="77777777" w:rsidR="002C0FD9" w:rsidRPr="00CA25CF" w:rsidRDefault="002C0FD9" w:rsidP="00CA25CF">
            <w:pPr>
              <w:rPr>
                <w:rFonts w:cs="Arial"/>
                <w:color w:val="FF0000"/>
                <w:sz w:val="21"/>
                <w:szCs w:val="21"/>
              </w:rPr>
            </w:pPr>
          </w:p>
        </w:tc>
        <w:tc>
          <w:tcPr>
            <w:tcW w:w="217" w:type="dxa"/>
          </w:tcPr>
          <w:p w14:paraId="167D643D" w14:textId="77777777" w:rsidR="002C0FD9" w:rsidRPr="00CA25CF" w:rsidRDefault="002C0FD9" w:rsidP="00CA25CF">
            <w:pPr>
              <w:rPr>
                <w:rFonts w:cs="Arial"/>
                <w:color w:val="FF0000"/>
                <w:sz w:val="21"/>
                <w:szCs w:val="21"/>
              </w:rPr>
            </w:pPr>
          </w:p>
        </w:tc>
        <w:tc>
          <w:tcPr>
            <w:tcW w:w="217" w:type="dxa"/>
          </w:tcPr>
          <w:p w14:paraId="637B323A" w14:textId="77777777" w:rsidR="002C0FD9" w:rsidRPr="00CA25CF" w:rsidRDefault="002C0FD9" w:rsidP="00CA25CF">
            <w:pPr>
              <w:rPr>
                <w:rFonts w:cs="Arial"/>
                <w:color w:val="FF0000"/>
                <w:sz w:val="21"/>
                <w:szCs w:val="21"/>
              </w:rPr>
            </w:pPr>
          </w:p>
        </w:tc>
        <w:tc>
          <w:tcPr>
            <w:tcW w:w="217" w:type="dxa"/>
          </w:tcPr>
          <w:p w14:paraId="0842D282" w14:textId="77777777" w:rsidR="002C0FD9" w:rsidRPr="00CA25CF" w:rsidRDefault="002C0FD9" w:rsidP="00CA25CF">
            <w:pPr>
              <w:rPr>
                <w:rFonts w:cs="Arial"/>
                <w:color w:val="FF0000"/>
                <w:sz w:val="21"/>
                <w:szCs w:val="21"/>
              </w:rPr>
            </w:pPr>
          </w:p>
        </w:tc>
        <w:tc>
          <w:tcPr>
            <w:tcW w:w="217" w:type="dxa"/>
          </w:tcPr>
          <w:p w14:paraId="06928D3D" w14:textId="77777777" w:rsidR="002C0FD9" w:rsidRPr="00CA25CF" w:rsidRDefault="002C0FD9" w:rsidP="00CA25CF">
            <w:pPr>
              <w:rPr>
                <w:rFonts w:cs="Arial"/>
                <w:color w:val="FF0000"/>
                <w:sz w:val="21"/>
                <w:szCs w:val="21"/>
              </w:rPr>
            </w:pPr>
          </w:p>
        </w:tc>
        <w:tc>
          <w:tcPr>
            <w:tcW w:w="217" w:type="dxa"/>
          </w:tcPr>
          <w:p w14:paraId="3F40FFA1" w14:textId="77777777" w:rsidR="002C0FD9" w:rsidRPr="00CA25CF" w:rsidRDefault="002C0FD9" w:rsidP="00CA25CF">
            <w:pPr>
              <w:rPr>
                <w:rFonts w:cs="Arial"/>
                <w:color w:val="FF0000"/>
                <w:sz w:val="21"/>
                <w:szCs w:val="21"/>
              </w:rPr>
            </w:pPr>
          </w:p>
        </w:tc>
        <w:tc>
          <w:tcPr>
            <w:tcW w:w="217" w:type="dxa"/>
          </w:tcPr>
          <w:p w14:paraId="3B9B8C3F" w14:textId="77777777" w:rsidR="002C0FD9" w:rsidRPr="00CA25CF" w:rsidRDefault="002C0FD9" w:rsidP="00CA25CF">
            <w:pPr>
              <w:rPr>
                <w:rFonts w:cs="Arial"/>
                <w:color w:val="FF0000"/>
                <w:sz w:val="21"/>
                <w:szCs w:val="21"/>
              </w:rPr>
            </w:pPr>
          </w:p>
        </w:tc>
        <w:tc>
          <w:tcPr>
            <w:tcW w:w="217" w:type="dxa"/>
          </w:tcPr>
          <w:p w14:paraId="59600EAC" w14:textId="77777777" w:rsidR="002C0FD9" w:rsidRPr="00CA25CF" w:rsidRDefault="002C0FD9" w:rsidP="00CA25CF">
            <w:pPr>
              <w:rPr>
                <w:rFonts w:cs="Arial"/>
                <w:color w:val="FF0000"/>
                <w:sz w:val="21"/>
                <w:szCs w:val="21"/>
              </w:rPr>
            </w:pPr>
          </w:p>
        </w:tc>
        <w:tc>
          <w:tcPr>
            <w:tcW w:w="217" w:type="dxa"/>
          </w:tcPr>
          <w:p w14:paraId="551FC8C1" w14:textId="77777777" w:rsidR="002C0FD9" w:rsidRPr="00CA25CF" w:rsidRDefault="002C0FD9" w:rsidP="00CA25CF">
            <w:pPr>
              <w:rPr>
                <w:rFonts w:cs="Arial"/>
                <w:color w:val="FF0000"/>
                <w:sz w:val="21"/>
                <w:szCs w:val="21"/>
              </w:rPr>
            </w:pPr>
          </w:p>
        </w:tc>
        <w:tc>
          <w:tcPr>
            <w:tcW w:w="217" w:type="dxa"/>
          </w:tcPr>
          <w:p w14:paraId="3F658003" w14:textId="77777777" w:rsidR="002C0FD9" w:rsidRPr="00CA25CF" w:rsidRDefault="002C0FD9" w:rsidP="00CA25CF">
            <w:pPr>
              <w:rPr>
                <w:rFonts w:cs="Arial"/>
                <w:color w:val="FF0000"/>
                <w:sz w:val="21"/>
                <w:szCs w:val="21"/>
              </w:rPr>
            </w:pPr>
          </w:p>
        </w:tc>
        <w:tc>
          <w:tcPr>
            <w:tcW w:w="217" w:type="dxa"/>
          </w:tcPr>
          <w:p w14:paraId="33ECBC25" w14:textId="77777777" w:rsidR="002C0FD9" w:rsidRPr="00CA25CF" w:rsidRDefault="002C0FD9" w:rsidP="00CA25CF">
            <w:pPr>
              <w:rPr>
                <w:rFonts w:cs="Arial"/>
                <w:color w:val="FF0000"/>
                <w:sz w:val="21"/>
                <w:szCs w:val="21"/>
              </w:rPr>
            </w:pPr>
          </w:p>
        </w:tc>
        <w:tc>
          <w:tcPr>
            <w:tcW w:w="217" w:type="dxa"/>
          </w:tcPr>
          <w:p w14:paraId="1BFAB51B" w14:textId="77777777" w:rsidR="002C0FD9" w:rsidRPr="00CA25CF" w:rsidRDefault="002C0FD9" w:rsidP="00CA25CF">
            <w:pPr>
              <w:rPr>
                <w:rFonts w:cs="Arial"/>
                <w:color w:val="FF0000"/>
                <w:sz w:val="21"/>
                <w:szCs w:val="21"/>
              </w:rPr>
            </w:pPr>
          </w:p>
        </w:tc>
        <w:tc>
          <w:tcPr>
            <w:tcW w:w="217" w:type="dxa"/>
          </w:tcPr>
          <w:p w14:paraId="7C02823B" w14:textId="77777777" w:rsidR="002C0FD9" w:rsidRPr="00CA25CF" w:rsidRDefault="002C0FD9" w:rsidP="00CA25CF">
            <w:pPr>
              <w:rPr>
                <w:rFonts w:cs="Arial"/>
                <w:color w:val="FF0000"/>
                <w:sz w:val="21"/>
                <w:szCs w:val="21"/>
              </w:rPr>
            </w:pPr>
          </w:p>
        </w:tc>
        <w:tc>
          <w:tcPr>
            <w:tcW w:w="217" w:type="dxa"/>
          </w:tcPr>
          <w:p w14:paraId="074AFED5" w14:textId="77777777" w:rsidR="002C0FD9" w:rsidRPr="00CA25CF" w:rsidRDefault="002C0FD9" w:rsidP="00CA25CF">
            <w:pPr>
              <w:rPr>
                <w:rFonts w:cs="Arial"/>
                <w:color w:val="FF0000"/>
                <w:sz w:val="21"/>
                <w:szCs w:val="21"/>
              </w:rPr>
            </w:pPr>
          </w:p>
        </w:tc>
        <w:tc>
          <w:tcPr>
            <w:tcW w:w="217" w:type="dxa"/>
          </w:tcPr>
          <w:p w14:paraId="1D94DE35" w14:textId="77777777" w:rsidR="002C0FD9" w:rsidRPr="00CA25CF" w:rsidRDefault="002C0FD9" w:rsidP="00CA25CF">
            <w:pPr>
              <w:rPr>
                <w:rFonts w:cs="Arial"/>
                <w:color w:val="FF0000"/>
                <w:sz w:val="21"/>
                <w:szCs w:val="21"/>
              </w:rPr>
            </w:pPr>
          </w:p>
        </w:tc>
        <w:tc>
          <w:tcPr>
            <w:tcW w:w="217" w:type="dxa"/>
          </w:tcPr>
          <w:p w14:paraId="731D5E35" w14:textId="77777777" w:rsidR="002C0FD9" w:rsidRPr="00CA25CF" w:rsidRDefault="002C0FD9" w:rsidP="00CA25CF">
            <w:pPr>
              <w:rPr>
                <w:rFonts w:cs="Arial"/>
                <w:color w:val="FF0000"/>
                <w:sz w:val="21"/>
                <w:szCs w:val="21"/>
              </w:rPr>
            </w:pPr>
          </w:p>
        </w:tc>
        <w:tc>
          <w:tcPr>
            <w:tcW w:w="217" w:type="dxa"/>
          </w:tcPr>
          <w:p w14:paraId="48B417FB" w14:textId="77777777" w:rsidR="002C0FD9" w:rsidRPr="00CA25CF" w:rsidRDefault="002C0FD9" w:rsidP="00CA25CF">
            <w:pPr>
              <w:rPr>
                <w:rFonts w:cs="Arial"/>
                <w:color w:val="FF0000"/>
                <w:sz w:val="21"/>
                <w:szCs w:val="21"/>
              </w:rPr>
            </w:pPr>
          </w:p>
        </w:tc>
        <w:tc>
          <w:tcPr>
            <w:tcW w:w="217" w:type="dxa"/>
          </w:tcPr>
          <w:p w14:paraId="4008D445" w14:textId="77777777" w:rsidR="002C0FD9" w:rsidRPr="00CA25CF" w:rsidRDefault="002C0FD9" w:rsidP="00CA25CF">
            <w:pPr>
              <w:rPr>
                <w:rFonts w:cs="Arial"/>
                <w:color w:val="FF0000"/>
                <w:sz w:val="21"/>
                <w:szCs w:val="21"/>
              </w:rPr>
            </w:pPr>
          </w:p>
        </w:tc>
        <w:tc>
          <w:tcPr>
            <w:tcW w:w="217" w:type="dxa"/>
          </w:tcPr>
          <w:p w14:paraId="2DC43DF9" w14:textId="77777777" w:rsidR="002C0FD9" w:rsidRPr="00CA25CF" w:rsidRDefault="002C0FD9" w:rsidP="00CA25CF">
            <w:pPr>
              <w:rPr>
                <w:rFonts w:cs="Arial"/>
                <w:color w:val="FF0000"/>
                <w:sz w:val="21"/>
                <w:szCs w:val="21"/>
              </w:rPr>
            </w:pPr>
          </w:p>
        </w:tc>
        <w:tc>
          <w:tcPr>
            <w:tcW w:w="217" w:type="dxa"/>
          </w:tcPr>
          <w:p w14:paraId="5C8A4A4E" w14:textId="77777777" w:rsidR="002C0FD9" w:rsidRPr="00CA25CF" w:rsidRDefault="002C0FD9" w:rsidP="00CA25CF">
            <w:pPr>
              <w:rPr>
                <w:rFonts w:cs="Arial"/>
                <w:color w:val="FF0000"/>
                <w:sz w:val="21"/>
                <w:szCs w:val="21"/>
              </w:rPr>
            </w:pPr>
          </w:p>
        </w:tc>
        <w:tc>
          <w:tcPr>
            <w:tcW w:w="217" w:type="dxa"/>
          </w:tcPr>
          <w:p w14:paraId="40516BCD" w14:textId="77777777" w:rsidR="002C0FD9" w:rsidRPr="00CA25CF" w:rsidRDefault="002C0FD9" w:rsidP="00CA25CF">
            <w:pPr>
              <w:rPr>
                <w:rFonts w:cs="Arial"/>
                <w:color w:val="FF0000"/>
                <w:sz w:val="21"/>
                <w:szCs w:val="21"/>
              </w:rPr>
            </w:pPr>
          </w:p>
        </w:tc>
        <w:tc>
          <w:tcPr>
            <w:tcW w:w="217" w:type="dxa"/>
          </w:tcPr>
          <w:p w14:paraId="0EA16CAB" w14:textId="77777777" w:rsidR="002C0FD9" w:rsidRPr="00CA25CF" w:rsidRDefault="002C0FD9" w:rsidP="00CA25CF">
            <w:pPr>
              <w:rPr>
                <w:rFonts w:cs="Arial"/>
                <w:color w:val="FF0000"/>
                <w:sz w:val="21"/>
                <w:szCs w:val="21"/>
              </w:rPr>
            </w:pPr>
          </w:p>
        </w:tc>
        <w:tc>
          <w:tcPr>
            <w:tcW w:w="217" w:type="dxa"/>
          </w:tcPr>
          <w:p w14:paraId="61D2A3C0" w14:textId="77777777" w:rsidR="002C0FD9" w:rsidRPr="00CA25CF" w:rsidRDefault="002C0FD9" w:rsidP="00CA25CF">
            <w:pPr>
              <w:rPr>
                <w:rFonts w:cs="Arial"/>
                <w:color w:val="FF0000"/>
                <w:sz w:val="21"/>
                <w:szCs w:val="21"/>
              </w:rPr>
            </w:pPr>
          </w:p>
        </w:tc>
        <w:tc>
          <w:tcPr>
            <w:tcW w:w="217" w:type="dxa"/>
          </w:tcPr>
          <w:p w14:paraId="68E0EF77" w14:textId="77777777" w:rsidR="002C0FD9" w:rsidRPr="00CA25CF" w:rsidRDefault="002C0FD9" w:rsidP="00CA25CF">
            <w:pPr>
              <w:rPr>
                <w:rFonts w:cs="Arial"/>
                <w:color w:val="FF0000"/>
                <w:sz w:val="21"/>
                <w:szCs w:val="21"/>
              </w:rPr>
            </w:pPr>
          </w:p>
        </w:tc>
        <w:tc>
          <w:tcPr>
            <w:tcW w:w="217" w:type="dxa"/>
          </w:tcPr>
          <w:p w14:paraId="184F8598" w14:textId="77777777" w:rsidR="002C0FD9" w:rsidRPr="00CA25CF" w:rsidRDefault="002C0FD9" w:rsidP="00CA25CF">
            <w:pPr>
              <w:rPr>
                <w:rFonts w:cs="Arial"/>
                <w:color w:val="FF0000"/>
                <w:sz w:val="21"/>
                <w:szCs w:val="21"/>
              </w:rPr>
            </w:pPr>
          </w:p>
        </w:tc>
        <w:tc>
          <w:tcPr>
            <w:tcW w:w="217" w:type="dxa"/>
          </w:tcPr>
          <w:p w14:paraId="3DC4D822" w14:textId="77777777" w:rsidR="002C0FD9" w:rsidRPr="00CA25CF" w:rsidRDefault="002C0FD9" w:rsidP="00CA25CF">
            <w:pPr>
              <w:rPr>
                <w:rFonts w:cs="Arial"/>
                <w:color w:val="FF0000"/>
                <w:sz w:val="21"/>
                <w:szCs w:val="21"/>
              </w:rPr>
            </w:pPr>
          </w:p>
        </w:tc>
        <w:tc>
          <w:tcPr>
            <w:tcW w:w="217" w:type="dxa"/>
          </w:tcPr>
          <w:p w14:paraId="43A467DE" w14:textId="77777777" w:rsidR="002C0FD9" w:rsidRPr="00CA25CF" w:rsidRDefault="002C0FD9" w:rsidP="00CA25CF">
            <w:pPr>
              <w:rPr>
                <w:rFonts w:cs="Arial"/>
                <w:color w:val="FF0000"/>
                <w:sz w:val="21"/>
                <w:szCs w:val="21"/>
              </w:rPr>
            </w:pPr>
          </w:p>
        </w:tc>
        <w:tc>
          <w:tcPr>
            <w:tcW w:w="217" w:type="dxa"/>
          </w:tcPr>
          <w:p w14:paraId="15318F7C" w14:textId="77777777" w:rsidR="002C0FD9" w:rsidRPr="00CA25CF" w:rsidRDefault="002C0FD9" w:rsidP="00CA25CF">
            <w:pPr>
              <w:rPr>
                <w:rFonts w:cs="Arial"/>
                <w:color w:val="FF0000"/>
                <w:sz w:val="21"/>
                <w:szCs w:val="21"/>
              </w:rPr>
            </w:pPr>
          </w:p>
        </w:tc>
        <w:tc>
          <w:tcPr>
            <w:tcW w:w="217" w:type="dxa"/>
          </w:tcPr>
          <w:p w14:paraId="295A47BD" w14:textId="77777777" w:rsidR="002C0FD9" w:rsidRPr="00CA25CF" w:rsidRDefault="002C0FD9" w:rsidP="00CA25CF">
            <w:pPr>
              <w:rPr>
                <w:rFonts w:cs="Arial"/>
                <w:color w:val="FF0000"/>
                <w:sz w:val="21"/>
                <w:szCs w:val="21"/>
              </w:rPr>
            </w:pPr>
          </w:p>
        </w:tc>
        <w:tc>
          <w:tcPr>
            <w:tcW w:w="217" w:type="dxa"/>
          </w:tcPr>
          <w:p w14:paraId="077EE046" w14:textId="77777777" w:rsidR="002C0FD9" w:rsidRPr="00CA25CF" w:rsidRDefault="002C0FD9" w:rsidP="00CA25CF">
            <w:pPr>
              <w:rPr>
                <w:rFonts w:cs="Arial"/>
                <w:color w:val="FF0000"/>
                <w:sz w:val="21"/>
                <w:szCs w:val="21"/>
              </w:rPr>
            </w:pPr>
          </w:p>
        </w:tc>
        <w:tc>
          <w:tcPr>
            <w:tcW w:w="217" w:type="dxa"/>
          </w:tcPr>
          <w:p w14:paraId="296EA344" w14:textId="77777777" w:rsidR="002C0FD9" w:rsidRPr="00CA25CF" w:rsidRDefault="002C0FD9" w:rsidP="00CA25CF">
            <w:pPr>
              <w:rPr>
                <w:rFonts w:cs="Arial"/>
                <w:color w:val="FF0000"/>
                <w:sz w:val="21"/>
                <w:szCs w:val="21"/>
              </w:rPr>
            </w:pPr>
          </w:p>
        </w:tc>
        <w:tc>
          <w:tcPr>
            <w:tcW w:w="217" w:type="dxa"/>
          </w:tcPr>
          <w:p w14:paraId="147A2645" w14:textId="77777777" w:rsidR="002C0FD9" w:rsidRPr="00CA25CF" w:rsidRDefault="002C0FD9" w:rsidP="00CA25CF">
            <w:pPr>
              <w:rPr>
                <w:rFonts w:cs="Arial"/>
                <w:color w:val="FF0000"/>
                <w:sz w:val="21"/>
                <w:szCs w:val="21"/>
              </w:rPr>
            </w:pPr>
          </w:p>
        </w:tc>
        <w:tc>
          <w:tcPr>
            <w:tcW w:w="217" w:type="dxa"/>
          </w:tcPr>
          <w:p w14:paraId="2D1AF23E" w14:textId="77777777" w:rsidR="002C0FD9" w:rsidRPr="00CA25CF" w:rsidRDefault="002C0FD9" w:rsidP="00CA25CF">
            <w:pPr>
              <w:rPr>
                <w:rFonts w:cs="Arial"/>
                <w:color w:val="FF0000"/>
                <w:sz w:val="21"/>
                <w:szCs w:val="21"/>
              </w:rPr>
            </w:pPr>
          </w:p>
        </w:tc>
        <w:tc>
          <w:tcPr>
            <w:tcW w:w="217" w:type="dxa"/>
          </w:tcPr>
          <w:p w14:paraId="7DCC11CE" w14:textId="77777777" w:rsidR="002C0FD9" w:rsidRPr="00CA25CF" w:rsidRDefault="002C0FD9" w:rsidP="00CA25CF">
            <w:pPr>
              <w:rPr>
                <w:rFonts w:cs="Arial"/>
                <w:color w:val="FF0000"/>
                <w:sz w:val="21"/>
                <w:szCs w:val="21"/>
              </w:rPr>
            </w:pPr>
          </w:p>
        </w:tc>
        <w:tc>
          <w:tcPr>
            <w:tcW w:w="217" w:type="dxa"/>
          </w:tcPr>
          <w:p w14:paraId="18D41183" w14:textId="77777777" w:rsidR="002C0FD9" w:rsidRPr="00CA25CF" w:rsidRDefault="002C0FD9" w:rsidP="00CA25CF">
            <w:pPr>
              <w:rPr>
                <w:rFonts w:cs="Arial"/>
                <w:color w:val="FF0000"/>
                <w:sz w:val="21"/>
                <w:szCs w:val="21"/>
              </w:rPr>
            </w:pPr>
          </w:p>
        </w:tc>
      </w:tr>
      <w:tr w:rsidR="002C0FD9" w:rsidRPr="00A16219" w14:paraId="5359685A" w14:textId="50BA2699" w:rsidTr="002C0FD9">
        <w:trPr>
          <w:trHeight w:val="635"/>
        </w:trPr>
        <w:tc>
          <w:tcPr>
            <w:tcW w:w="515" w:type="dxa"/>
          </w:tcPr>
          <w:p w14:paraId="345DEA4D" w14:textId="77777777" w:rsidR="002C0FD9" w:rsidRPr="00CA25CF" w:rsidRDefault="002C0FD9" w:rsidP="00CA25CF">
            <w:pPr>
              <w:rPr>
                <w:rFonts w:cs="Arial"/>
                <w:color w:val="FF0000"/>
                <w:sz w:val="21"/>
                <w:szCs w:val="21"/>
              </w:rPr>
            </w:pPr>
          </w:p>
        </w:tc>
        <w:tc>
          <w:tcPr>
            <w:tcW w:w="217" w:type="dxa"/>
          </w:tcPr>
          <w:p w14:paraId="725695C3" w14:textId="77777777" w:rsidR="002C0FD9" w:rsidRPr="00CA25CF" w:rsidRDefault="002C0FD9" w:rsidP="00CA25CF">
            <w:pPr>
              <w:rPr>
                <w:rFonts w:cs="Arial"/>
                <w:color w:val="FF0000"/>
                <w:sz w:val="21"/>
                <w:szCs w:val="21"/>
              </w:rPr>
            </w:pPr>
          </w:p>
        </w:tc>
        <w:tc>
          <w:tcPr>
            <w:tcW w:w="217" w:type="dxa"/>
          </w:tcPr>
          <w:p w14:paraId="11F248E4" w14:textId="46FCFBD9" w:rsidR="002C0FD9" w:rsidRPr="00CA25CF" w:rsidRDefault="002C0FD9" w:rsidP="00CA25CF">
            <w:pPr>
              <w:rPr>
                <w:rFonts w:cs="Arial"/>
                <w:color w:val="FF0000"/>
                <w:sz w:val="21"/>
                <w:szCs w:val="21"/>
              </w:rPr>
            </w:pPr>
          </w:p>
        </w:tc>
        <w:tc>
          <w:tcPr>
            <w:tcW w:w="217" w:type="dxa"/>
          </w:tcPr>
          <w:p w14:paraId="16E32028" w14:textId="77777777" w:rsidR="002C0FD9" w:rsidRPr="00CA25CF" w:rsidRDefault="002C0FD9" w:rsidP="00CA25CF">
            <w:pPr>
              <w:rPr>
                <w:rFonts w:cs="Arial"/>
                <w:color w:val="FF0000"/>
                <w:sz w:val="21"/>
                <w:szCs w:val="21"/>
              </w:rPr>
            </w:pPr>
          </w:p>
        </w:tc>
        <w:tc>
          <w:tcPr>
            <w:tcW w:w="217" w:type="dxa"/>
          </w:tcPr>
          <w:p w14:paraId="22556364" w14:textId="77777777" w:rsidR="002C0FD9" w:rsidRPr="00CA25CF" w:rsidRDefault="002C0FD9" w:rsidP="00CA25CF">
            <w:pPr>
              <w:rPr>
                <w:rFonts w:cs="Arial"/>
                <w:color w:val="FF0000"/>
                <w:sz w:val="21"/>
                <w:szCs w:val="21"/>
              </w:rPr>
            </w:pPr>
          </w:p>
        </w:tc>
        <w:tc>
          <w:tcPr>
            <w:tcW w:w="217" w:type="dxa"/>
          </w:tcPr>
          <w:p w14:paraId="40D2CA65" w14:textId="77777777" w:rsidR="002C0FD9" w:rsidRPr="00CA25CF" w:rsidRDefault="002C0FD9" w:rsidP="00CA25CF">
            <w:pPr>
              <w:rPr>
                <w:rFonts w:cs="Arial"/>
                <w:color w:val="FF0000"/>
                <w:sz w:val="21"/>
                <w:szCs w:val="21"/>
              </w:rPr>
            </w:pPr>
          </w:p>
        </w:tc>
        <w:tc>
          <w:tcPr>
            <w:tcW w:w="217" w:type="dxa"/>
          </w:tcPr>
          <w:p w14:paraId="71AB6113" w14:textId="77777777" w:rsidR="002C0FD9" w:rsidRPr="00CA25CF" w:rsidRDefault="002C0FD9" w:rsidP="00CA25CF">
            <w:pPr>
              <w:rPr>
                <w:rFonts w:cs="Arial"/>
                <w:color w:val="FF0000"/>
                <w:sz w:val="21"/>
                <w:szCs w:val="21"/>
              </w:rPr>
            </w:pPr>
          </w:p>
        </w:tc>
        <w:tc>
          <w:tcPr>
            <w:tcW w:w="217" w:type="dxa"/>
          </w:tcPr>
          <w:p w14:paraId="56B814AE" w14:textId="77777777" w:rsidR="002C0FD9" w:rsidRPr="00CA25CF" w:rsidRDefault="002C0FD9" w:rsidP="00CA25CF">
            <w:pPr>
              <w:rPr>
                <w:rFonts w:cs="Arial"/>
                <w:color w:val="FF0000"/>
                <w:sz w:val="21"/>
                <w:szCs w:val="21"/>
              </w:rPr>
            </w:pPr>
          </w:p>
        </w:tc>
        <w:tc>
          <w:tcPr>
            <w:tcW w:w="217" w:type="dxa"/>
          </w:tcPr>
          <w:p w14:paraId="6EFE3DEF" w14:textId="77777777" w:rsidR="002C0FD9" w:rsidRPr="00CA25CF" w:rsidRDefault="002C0FD9" w:rsidP="00CA25CF">
            <w:pPr>
              <w:rPr>
                <w:rFonts w:cs="Arial"/>
                <w:color w:val="FF0000"/>
                <w:sz w:val="21"/>
                <w:szCs w:val="21"/>
              </w:rPr>
            </w:pPr>
          </w:p>
        </w:tc>
        <w:tc>
          <w:tcPr>
            <w:tcW w:w="217" w:type="dxa"/>
          </w:tcPr>
          <w:p w14:paraId="2A9AFB27" w14:textId="77777777" w:rsidR="002C0FD9" w:rsidRPr="00CA25CF" w:rsidRDefault="002C0FD9" w:rsidP="00CA25CF">
            <w:pPr>
              <w:rPr>
                <w:rFonts w:cs="Arial"/>
                <w:color w:val="FF0000"/>
                <w:sz w:val="21"/>
                <w:szCs w:val="21"/>
              </w:rPr>
            </w:pPr>
          </w:p>
        </w:tc>
        <w:tc>
          <w:tcPr>
            <w:tcW w:w="217" w:type="dxa"/>
          </w:tcPr>
          <w:p w14:paraId="16A1CE47" w14:textId="77777777" w:rsidR="002C0FD9" w:rsidRPr="00CA25CF" w:rsidRDefault="002C0FD9" w:rsidP="00CA25CF">
            <w:pPr>
              <w:rPr>
                <w:rFonts w:cs="Arial"/>
                <w:color w:val="FF0000"/>
                <w:sz w:val="21"/>
                <w:szCs w:val="21"/>
              </w:rPr>
            </w:pPr>
          </w:p>
        </w:tc>
        <w:tc>
          <w:tcPr>
            <w:tcW w:w="217" w:type="dxa"/>
          </w:tcPr>
          <w:p w14:paraId="58733BBB" w14:textId="77777777" w:rsidR="002C0FD9" w:rsidRPr="00CA25CF" w:rsidRDefault="002C0FD9" w:rsidP="00CA25CF">
            <w:pPr>
              <w:rPr>
                <w:rFonts w:cs="Arial"/>
                <w:color w:val="FF0000"/>
                <w:sz w:val="21"/>
                <w:szCs w:val="21"/>
              </w:rPr>
            </w:pPr>
          </w:p>
        </w:tc>
        <w:tc>
          <w:tcPr>
            <w:tcW w:w="217" w:type="dxa"/>
          </w:tcPr>
          <w:p w14:paraId="57C748C7" w14:textId="77777777" w:rsidR="002C0FD9" w:rsidRPr="00CA25CF" w:rsidRDefault="002C0FD9" w:rsidP="00CA25CF">
            <w:pPr>
              <w:rPr>
                <w:rFonts w:cs="Arial"/>
                <w:color w:val="FF0000"/>
                <w:sz w:val="21"/>
                <w:szCs w:val="21"/>
              </w:rPr>
            </w:pPr>
          </w:p>
        </w:tc>
        <w:tc>
          <w:tcPr>
            <w:tcW w:w="217" w:type="dxa"/>
          </w:tcPr>
          <w:p w14:paraId="133FDDF3" w14:textId="77777777" w:rsidR="002C0FD9" w:rsidRPr="00CA25CF" w:rsidRDefault="002C0FD9" w:rsidP="00CA25CF">
            <w:pPr>
              <w:rPr>
                <w:rFonts w:cs="Arial"/>
                <w:color w:val="FF0000"/>
                <w:sz w:val="21"/>
                <w:szCs w:val="21"/>
              </w:rPr>
            </w:pPr>
          </w:p>
        </w:tc>
        <w:tc>
          <w:tcPr>
            <w:tcW w:w="217" w:type="dxa"/>
          </w:tcPr>
          <w:p w14:paraId="14327D16" w14:textId="77777777" w:rsidR="002C0FD9" w:rsidRPr="00CA25CF" w:rsidRDefault="002C0FD9" w:rsidP="00CA25CF">
            <w:pPr>
              <w:rPr>
                <w:rFonts w:cs="Arial"/>
                <w:color w:val="FF0000"/>
                <w:sz w:val="21"/>
                <w:szCs w:val="21"/>
              </w:rPr>
            </w:pPr>
          </w:p>
        </w:tc>
        <w:tc>
          <w:tcPr>
            <w:tcW w:w="217" w:type="dxa"/>
          </w:tcPr>
          <w:p w14:paraId="6FF5653E" w14:textId="77777777" w:rsidR="002C0FD9" w:rsidRPr="00CA25CF" w:rsidRDefault="002C0FD9" w:rsidP="00CA25CF">
            <w:pPr>
              <w:rPr>
                <w:rFonts w:cs="Arial"/>
                <w:color w:val="FF0000"/>
                <w:sz w:val="21"/>
                <w:szCs w:val="21"/>
              </w:rPr>
            </w:pPr>
          </w:p>
        </w:tc>
        <w:tc>
          <w:tcPr>
            <w:tcW w:w="217" w:type="dxa"/>
          </w:tcPr>
          <w:p w14:paraId="3439FAD4" w14:textId="77777777" w:rsidR="002C0FD9" w:rsidRPr="00CA25CF" w:rsidRDefault="002C0FD9" w:rsidP="00CA25CF">
            <w:pPr>
              <w:rPr>
                <w:rFonts w:cs="Arial"/>
                <w:color w:val="FF0000"/>
                <w:sz w:val="21"/>
                <w:szCs w:val="21"/>
              </w:rPr>
            </w:pPr>
          </w:p>
        </w:tc>
        <w:tc>
          <w:tcPr>
            <w:tcW w:w="217" w:type="dxa"/>
          </w:tcPr>
          <w:p w14:paraId="2F5861DF" w14:textId="77777777" w:rsidR="002C0FD9" w:rsidRPr="00CA25CF" w:rsidRDefault="002C0FD9" w:rsidP="00CA25CF">
            <w:pPr>
              <w:rPr>
                <w:rFonts w:cs="Arial"/>
                <w:color w:val="FF0000"/>
                <w:sz w:val="21"/>
                <w:szCs w:val="21"/>
              </w:rPr>
            </w:pPr>
          </w:p>
        </w:tc>
        <w:tc>
          <w:tcPr>
            <w:tcW w:w="217" w:type="dxa"/>
          </w:tcPr>
          <w:p w14:paraId="6CAF6D18" w14:textId="77777777" w:rsidR="002C0FD9" w:rsidRPr="00CA25CF" w:rsidRDefault="002C0FD9" w:rsidP="00CA25CF">
            <w:pPr>
              <w:rPr>
                <w:rFonts w:cs="Arial"/>
                <w:color w:val="FF0000"/>
                <w:sz w:val="21"/>
                <w:szCs w:val="21"/>
              </w:rPr>
            </w:pPr>
          </w:p>
        </w:tc>
        <w:tc>
          <w:tcPr>
            <w:tcW w:w="217" w:type="dxa"/>
          </w:tcPr>
          <w:p w14:paraId="20F91DB1" w14:textId="77777777" w:rsidR="002C0FD9" w:rsidRPr="00CA25CF" w:rsidRDefault="002C0FD9" w:rsidP="00CA25CF">
            <w:pPr>
              <w:rPr>
                <w:rFonts w:cs="Arial"/>
                <w:color w:val="FF0000"/>
                <w:sz w:val="21"/>
                <w:szCs w:val="21"/>
              </w:rPr>
            </w:pPr>
          </w:p>
        </w:tc>
        <w:tc>
          <w:tcPr>
            <w:tcW w:w="217" w:type="dxa"/>
          </w:tcPr>
          <w:p w14:paraId="0FF4DF67" w14:textId="77777777" w:rsidR="002C0FD9" w:rsidRPr="00CA25CF" w:rsidRDefault="002C0FD9" w:rsidP="00CA25CF">
            <w:pPr>
              <w:rPr>
                <w:rFonts w:cs="Arial"/>
                <w:color w:val="FF0000"/>
                <w:sz w:val="21"/>
                <w:szCs w:val="21"/>
              </w:rPr>
            </w:pPr>
          </w:p>
        </w:tc>
        <w:tc>
          <w:tcPr>
            <w:tcW w:w="217" w:type="dxa"/>
          </w:tcPr>
          <w:p w14:paraId="402B2C90" w14:textId="77777777" w:rsidR="002C0FD9" w:rsidRPr="00CA25CF" w:rsidRDefault="002C0FD9" w:rsidP="00CA25CF">
            <w:pPr>
              <w:rPr>
                <w:rFonts w:cs="Arial"/>
                <w:color w:val="FF0000"/>
                <w:sz w:val="21"/>
                <w:szCs w:val="21"/>
              </w:rPr>
            </w:pPr>
          </w:p>
        </w:tc>
        <w:tc>
          <w:tcPr>
            <w:tcW w:w="217" w:type="dxa"/>
          </w:tcPr>
          <w:p w14:paraId="106792CE" w14:textId="77777777" w:rsidR="002C0FD9" w:rsidRPr="00CA25CF" w:rsidRDefault="002C0FD9" w:rsidP="00CA25CF">
            <w:pPr>
              <w:rPr>
                <w:rFonts w:cs="Arial"/>
                <w:color w:val="FF0000"/>
                <w:sz w:val="21"/>
                <w:szCs w:val="21"/>
              </w:rPr>
            </w:pPr>
          </w:p>
        </w:tc>
        <w:tc>
          <w:tcPr>
            <w:tcW w:w="217" w:type="dxa"/>
          </w:tcPr>
          <w:p w14:paraId="707791E5" w14:textId="77777777" w:rsidR="002C0FD9" w:rsidRPr="00CA25CF" w:rsidRDefault="002C0FD9" w:rsidP="00CA25CF">
            <w:pPr>
              <w:rPr>
                <w:rFonts w:cs="Arial"/>
                <w:color w:val="FF0000"/>
                <w:sz w:val="21"/>
                <w:szCs w:val="21"/>
              </w:rPr>
            </w:pPr>
          </w:p>
        </w:tc>
        <w:tc>
          <w:tcPr>
            <w:tcW w:w="217" w:type="dxa"/>
          </w:tcPr>
          <w:p w14:paraId="3624ECB6" w14:textId="77777777" w:rsidR="002C0FD9" w:rsidRPr="00CA25CF" w:rsidRDefault="002C0FD9" w:rsidP="00CA25CF">
            <w:pPr>
              <w:rPr>
                <w:rFonts w:cs="Arial"/>
                <w:color w:val="FF0000"/>
                <w:sz w:val="21"/>
                <w:szCs w:val="21"/>
              </w:rPr>
            </w:pPr>
          </w:p>
        </w:tc>
        <w:tc>
          <w:tcPr>
            <w:tcW w:w="217" w:type="dxa"/>
          </w:tcPr>
          <w:p w14:paraId="4199D8F6" w14:textId="77777777" w:rsidR="002C0FD9" w:rsidRPr="00CA25CF" w:rsidRDefault="002C0FD9" w:rsidP="00CA25CF">
            <w:pPr>
              <w:rPr>
                <w:rFonts w:cs="Arial"/>
                <w:color w:val="FF0000"/>
                <w:sz w:val="21"/>
                <w:szCs w:val="21"/>
              </w:rPr>
            </w:pPr>
          </w:p>
        </w:tc>
        <w:tc>
          <w:tcPr>
            <w:tcW w:w="217" w:type="dxa"/>
          </w:tcPr>
          <w:p w14:paraId="46251CD9" w14:textId="77777777" w:rsidR="002C0FD9" w:rsidRPr="00CA25CF" w:rsidRDefault="002C0FD9" w:rsidP="00CA25CF">
            <w:pPr>
              <w:rPr>
                <w:rFonts w:cs="Arial"/>
                <w:color w:val="FF0000"/>
                <w:sz w:val="21"/>
                <w:szCs w:val="21"/>
              </w:rPr>
            </w:pPr>
          </w:p>
        </w:tc>
        <w:tc>
          <w:tcPr>
            <w:tcW w:w="217" w:type="dxa"/>
          </w:tcPr>
          <w:p w14:paraId="18D0959D" w14:textId="77777777" w:rsidR="002C0FD9" w:rsidRPr="00CA25CF" w:rsidRDefault="002C0FD9" w:rsidP="00CA25CF">
            <w:pPr>
              <w:rPr>
                <w:rFonts w:cs="Arial"/>
                <w:color w:val="FF0000"/>
                <w:sz w:val="21"/>
                <w:szCs w:val="21"/>
              </w:rPr>
            </w:pPr>
          </w:p>
        </w:tc>
        <w:tc>
          <w:tcPr>
            <w:tcW w:w="217" w:type="dxa"/>
          </w:tcPr>
          <w:p w14:paraId="15086747" w14:textId="77777777" w:rsidR="002C0FD9" w:rsidRPr="00CA25CF" w:rsidRDefault="002C0FD9" w:rsidP="00CA25CF">
            <w:pPr>
              <w:rPr>
                <w:rFonts w:cs="Arial"/>
                <w:color w:val="FF0000"/>
                <w:sz w:val="21"/>
                <w:szCs w:val="21"/>
              </w:rPr>
            </w:pPr>
          </w:p>
        </w:tc>
        <w:tc>
          <w:tcPr>
            <w:tcW w:w="217" w:type="dxa"/>
          </w:tcPr>
          <w:p w14:paraId="7E6ECDF4" w14:textId="77777777" w:rsidR="002C0FD9" w:rsidRPr="00CA25CF" w:rsidRDefault="002C0FD9" w:rsidP="00CA25CF">
            <w:pPr>
              <w:rPr>
                <w:rFonts w:cs="Arial"/>
                <w:color w:val="FF0000"/>
                <w:sz w:val="21"/>
                <w:szCs w:val="21"/>
              </w:rPr>
            </w:pPr>
          </w:p>
        </w:tc>
        <w:tc>
          <w:tcPr>
            <w:tcW w:w="217" w:type="dxa"/>
          </w:tcPr>
          <w:p w14:paraId="7BE00E8F" w14:textId="77777777" w:rsidR="002C0FD9" w:rsidRPr="00CA25CF" w:rsidRDefault="002C0FD9" w:rsidP="00CA25CF">
            <w:pPr>
              <w:rPr>
                <w:rFonts w:cs="Arial"/>
                <w:color w:val="FF0000"/>
                <w:sz w:val="21"/>
                <w:szCs w:val="21"/>
              </w:rPr>
            </w:pPr>
          </w:p>
        </w:tc>
        <w:tc>
          <w:tcPr>
            <w:tcW w:w="217" w:type="dxa"/>
          </w:tcPr>
          <w:p w14:paraId="5D9B8CFE" w14:textId="77777777" w:rsidR="002C0FD9" w:rsidRPr="00CA25CF" w:rsidRDefault="002C0FD9" w:rsidP="00CA25CF">
            <w:pPr>
              <w:rPr>
                <w:rFonts w:cs="Arial"/>
                <w:color w:val="FF0000"/>
                <w:sz w:val="21"/>
                <w:szCs w:val="21"/>
              </w:rPr>
            </w:pPr>
          </w:p>
        </w:tc>
        <w:tc>
          <w:tcPr>
            <w:tcW w:w="217" w:type="dxa"/>
          </w:tcPr>
          <w:p w14:paraId="337CCEA8" w14:textId="77777777" w:rsidR="002C0FD9" w:rsidRPr="00CA25CF" w:rsidRDefault="002C0FD9" w:rsidP="00CA25CF">
            <w:pPr>
              <w:rPr>
                <w:rFonts w:cs="Arial"/>
                <w:color w:val="FF0000"/>
                <w:sz w:val="21"/>
                <w:szCs w:val="21"/>
              </w:rPr>
            </w:pPr>
          </w:p>
        </w:tc>
        <w:tc>
          <w:tcPr>
            <w:tcW w:w="217" w:type="dxa"/>
          </w:tcPr>
          <w:p w14:paraId="5610C976" w14:textId="77777777" w:rsidR="002C0FD9" w:rsidRPr="00CA25CF" w:rsidRDefault="002C0FD9" w:rsidP="00CA25CF">
            <w:pPr>
              <w:rPr>
                <w:rFonts w:cs="Arial"/>
                <w:color w:val="FF0000"/>
                <w:sz w:val="21"/>
                <w:szCs w:val="21"/>
              </w:rPr>
            </w:pPr>
          </w:p>
        </w:tc>
        <w:tc>
          <w:tcPr>
            <w:tcW w:w="217" w:type="dxa"/>
          </w:tcPr>
          <w:p w14:paraId="5D0DAA2D" w14:textId="77777777" w:rsidR="002C0FD9" w:rsidRPr="00CA25CF" w:rsidRDefault="002C0FD9" w:rsidP="00CA25CF">
            <w:pPr>
              <w:rPr>
                <w:rFonts w:cs="Arial"/>
                <w:color w:val="FF0000"/>
                <w:sz w:val="21"/>
                <w:szCs w:val="21"/>
              </w:rPr>
            </w:pPr>
          </w:p>
        </w:tc>
        <w:tc>
          <w:tcPr>
            <w:tcW w:w="217" w:type="dxa"/>
          </w:tcPr>
          <w:p w14:paraId="70467947" w14:textId="77777777" w:rsidR="002C0FD9" w:rsidRPr="00CA25CF" w:rsidRDefault="002C0FD9" w:rsidP="00CA25CF">
            <w:pPr>
              <w:rPr>
                <w:rFonts w:cs="Arial"/>
                <w:color w:val="FF0000"/>
                <w:sz w:val="21"/>
                <w:szCs w:val="21"/>
              </w:rPr>
            </w:pPr>
          </w:p>
        </w:tc>
        <w:tc>
          <w:tcPr>
            <w:tcW w:w="217" w:type="dxa"/>
          </w:tcPr>
          <w:p w14:paraId="5AA79F70" w14:textId="77777777" w:rsidR="002C0FD9" w:rsidRPr="00CA25CF" w:rsidRDefault="002C0FD9" w:rsidP="00CA25CF">
            <w:pPr>
              <w:rPr>
                <w:rFonts w:cs="Arial"/>
                <w:color w:val="FF0000"/>
                <w:sz w:val="21"/>
                <w:szCs w:val="21"/>
              </w:rPr>
            </w:pPr>
          </w:p>
        </w:tc>
        <w:tc>
          <w:tcPr>
            <w:tcW w:w="217" w:type="dxa"/>
          </w:tcPr>
          <w:p w14:paraId="6B9C7542" w14:textId="77777777" w:rsidR="002C0FD9" w:rsidRPr="00CA25CF" w:rsidRDefault="002C0FD9" w:rsidP="00CA25CF">
            <w:pPr>
              <w:rPr>
                <w:rFonts w:cs="Arial"/>
                <w:color w:val="FF0000"/>
                <w:sz w:val="21"/>
                <w:szCs w:val="21"/>
              </w:rPr>
            </w:pPr>
          </w:p>
        </w:tc>
        <w:tc>
          <w:tcPr>
            <w:tcW w:w="217" w:type="dxa"/>
          </w:tcPr>
          <w:p w14:paraId="6C4B628E" w14:textId="77777777" w:rsidR="002C0FD9" w:rsidRPr="00CA25CF" w:rsidRDefault="002C0FD9" w:rsidP="00CA25CF">
            <w:pPr>
              <w:rPr>
                <w:rFonts w:cs="Arial"/>
                <w:color w:val="FF0000"/>
                <w:sz w:val="21"/>
                <w:szCs w:val="21"/>
              </w:rPr>
            </w:pPr>
          </w:p>
        </w:tc>
        <w:tc>
          <w:tcPr>
            <w:tcW w:w="217" w:type="dxa"/>
          </w:tcPr>
          <w:p w14:paraId="2310CBE9" w14:textId="77777777" w:rsidR="002C0FD9" w:rsidRPr="00CA25CF" w:rsidRDefault="002C0FD9" w:rsidP="00CA25CF">
            <w:pPr>
              <w:rPr>
                <w:rFonts w:cs="Arial"/>
                <w:color w:val="FF0000"/>
                <w:sz w:val="21"/>
                <w:szCs w:val="21"/>
              </w:rPr>
            </w:pPr>
          </w:p>
        </w:tc>
        <w:tc>
          <w:tcPr>
            <w:tcW w:w="217" w:type="dxa"/>
          </w:tcPr>
          <w:p w14:paraId="566B79E4" w14:textId="77777777" w:rsidR="002C0FD9" w:rsidRPr="00CA25CF" w:rsidRDefault="002C0FD9" w:rsidP="00CA25CF">
            <w:pPr>
              <w:rPr>
                <w:rFonts w:cs="Arial"/>
                <w:color w:val="FF0000"/>
                <w:sz w:val="21"/>
                <w:szCs w:val="21"/>
              </w:rPr>
            </w:pPr>
          </w:p>
        </w:tc>
        <w:tc>
          <w:tcPr>
            <w:tcW w:w="217" w:type="dxa"/>
          </w:tcPr>
          <w:p w14:paraId="74300E45" w14:textId="77777777" w:rsidR="002C0FD9" w:rsidRPr="00CA25CF" w:rsidRDefault="002C0FD9" w:rsidP="00CA25CF">
            <w:pPr>
              <w:rPr>
                <w:rFonts w:cs="Arial"/>
                <w:color w:val="FF0000"/>
                <w:sz w:val="21"/>
                <w:szCs w:val="21"/>
              </w:rPr>
            </w:pPr>
          </w:p>
        </w:tc>
        <w:tc>
          <w:tcPr>
            <w:tcW w:w="217" w:type="dxa"/>
          </w:tcPr>
          <w:p w14:paraId="72A0633A" w14:textId="77777777" w:rsidR="002C0FD9" w:rsidRPr="00CA25CF" w:rsidRDefault="002C0FD9" w:rsidP="00CA25CF">
            <w:pPr>
              <w:rPr>
                <w:rFonts w:cs="Arial"/>
                <w:color w:val="FF0000"/>
                <w:sz w:val="21"/>
                <w:szCs w:val="21"/>
              </w:rPr>
            </w:pPr>
          </w:p>
        </w:tc>
      </w:tr>
      <w:tr w:rsidR="002C0FD9" w:rsidRPr="00A16219" w14:paraId="24B85A4B" w14:textId="68E39489" w:rsidTr="002C0FD9">
        <w:trPr>
          <w:trHeight w:val="635"/>
        </w:trPr>
        <w:tc>
          <w:tcPr>
            <w:tcW w:w="515" w:type="dxa"/>
          </w:tcPr>
          <w:p w14:paraId="28052EF2" w14:textId="77777777" w:rsidR="002C0FD9" w:rsidRPr="00CA25CF" w:rsidRDefault="002C0FD9" w:rsidP="00CA25CF">
            <w:pPr>
              <w:rPr>
                <w:rFonts w:cs="Arial"/>
                <w:color w:val="FF0000"/>
                <w:sz w:val="21"/>
                <w:szCs w:val="21"/>
              </w:rPr>
            </w:pPr>
          </w:p>
        </w:tc>
        <w:tc>
          <w:tcPr>
            <w:tcW w:w="217" w:type="dxa"/>
          </w:tcPr>
          <w:p w14:paraId="435BE7D8" w14:textId="77777777" w:rsidR="002C0FD9" w:rsidRPr="00CA25CF" w:rsidRDefault="002C0FD9" w:rsidP="00CA25CF">
            <w:pPr>
              <w:rPr>
                <w:rFonts w:cs="Arial"/>
                <w:color w:val="FF0000"/>
                <w:sz w:val="21"/>
                <w:szCs w:val="21"/>
              </w:rPr>
            </w:pPr>
          </w:p>
        </w:tc>
        <w:tc>
          <w:tcPr>
            <w:tcW w:w="217" w:type="dxa"/>
          </w:tcPr>
          <w:p w14:paraId="69E6C31E" w14:textId="698235EE" w:rsidR="002C0FD9" w:rsidRPr="00CA25CF" w:rsidRDefault="002C0FD9" w:rsidP="00CA25CF">
            <w:pPr>
              <w:rPr>
                <w:rFonts w:cs="Arial"/>
                <w:color w:val="FF0000"/>
                <w:sz w:val="21"/>
                <w:szCs w:val="21"/>
              </w:rPr>
            </w:pPr>
          </w:p>
        </w:tc>
        <w:tc>
          <w:tcPr>
            <w:tcW w:w="217" w:type="dxa"/>
          </w:tcPr>
          <w:p w14:paraId="54D8417F" w14:textId="77777777" w:rsidR="002C0FD9" w:rsidRPr="00CA25CF" w:rsidRDefault="002C0FD9" w:rsidP="00CA25CF">
            <w:pPr>
              <w:rPr>
                <w:rFonts w:cs="Arial"/>
                <w:color w:val="FF0000"/>
                <w:sz w:val="21"/>
                <w:szCs w:val="21"/>
              </w:rPr>
            </w:pPr>
          </w:p>
        </w:tc>
        <w:tc>
          <w:tcPr>
            <w:tcW w:w="217" w:type="dxa"/>
          </w:tcPr>
          <w:p w14:paraId="075578B0" w14:textId="77777777" w:rsidR="002C0FD9" w:rsidRPr="00CA25CF" w:rsidRDefault="002C0FD9" w:rsidP="00CA25CF">
            <w:pPr>
              <w:rPr>
                <w:rFonts w:cs="Arial"/>
                <w:color w:val="FF0000"/>
                <w:sz w:val="21"/>
                <w:szCs w:val="21"/>
              </w:rPr>
            </w:pPr>
          </w:p>
        </w:tc>
        <w:tc>
          <w:tcPr>
            <w:tcW w:w="217" w:type="dxa"/>
          </w:tcPr>
          <w:p w14:paraId="7503995A" w14:textId="77777777" w:rsidR="002C0FD9" w:rsidRPr="00CA25CF" w:rsidRDefault="002C0FD9" w:rsidP="00CA25CF">
            <w:pPr>
              <w:rPr>
                <w:rFonts w:cs="Arial"/>
                <w:color w:val="FF0000"/>
                <w:sz w:val="21"/>
                <w:szCs w:val="21"/>
              </w:rPr>
            </w:pPr>
          </w:p>
        </w:tc>
        <w:tc>
          <w:tcPr>
            <w:tcW w:w="217" w:type="dxa"/>
          </w:tcPr>
          <w:p w14:paraId="261F1259" w14:textId="77777777" w:rsidR="002C0FD9" w:rsidRPr="00CA25CF" w:rsidRDefault="002C0FD9" w:rsidP="00CA25CF">
            <w:pPr>
              <w:rPr>
                <w:rFonts w:cs="Arial"/>
                <w:color w:val="FF0000"/>
                <w:sz w:val="21"/>
                <w:szCs w:val="21"/>
              </w:rPr>
            </w:pPr>
          </w:p>
        </w:tc>
        <w:tc>
          <w:tcPr>
            <w:tcW w:w="217" w:type="dxa"/>
          </w:tcPr>
          <w:p w14:paraId="110FB587" w14:textId="77777777" w:rsidR="002C0FD9" w:rsidRPr="00CA25CF" w:rsidRDefault="002C0FD9" w:rsidP="00CA25CF">
            <w:pPr>
              <w:rPr>
                <w:rFonts w:cs="Arial"/>
                <w:color w:val="FF0000"/>
                <w:sz w:val="21"/>
                <w:szCs w:val="21"/>
              </w:rPr>
            </w:pPr>
          </w:p>
        </w:tc>
        <w:tc>
          <w:tcPr>
            <w:tcW w:w="217" w:type="dxa"/>
          </w:tcPr>
          <w:p w14:paraId="22B3C3AD" w14:textId="77777777" w:rsidR="002C0FD9" w:rsidRPr="00CA25CF" w:rsidRDefault="002C0FD9" w:rsidP="00CA25CF">
            <w:pPr>
              <w:rPr>
                <w:rFonts w:cs="Arial"/>
                <w:color w:val="FF0000"/>
                <w:sz w:val="21"/>
                <w:szCs w:val="21"/>
              </w:rPr>
            </w:pPr>
          </w:p>
        </w:tc>
        <w:tc>
          <w:tcPr>
            <w:tcW w:w="217" w:type="dxa"/>
          </w:tcPr>
          <w:p w14:paraId="65669033" w14:textId="77777777" w:rsidR="002C0FD9" w:rsidRPr="00CA25CF" w:rsidRDefault="002C0FD9" w:rsidP="00CA25CF">
            <w:pPr>
              <w:rPr>
                <w:rFonts w:cs="Arial"/>
                <w:color w:val="FF0000"/>
                <w:sz w:val="21"/>
                <w:szCs w:val="21"/>
              </w:rPr>
            </w:pPr>
          </w:p>
        </w:tc>
        <w:tc>
          <w:tcPr>
            <w:tcW w:w="217" w:type="dxa"/>
          </w:tcPr>
          <w:p w14:paraId="2AB6D1E4" w14:textId="77777777" w:rsidR="002C0FD9" w:rsidRPr="00CA25CF" w:rsidRDefault="002C0FD9" w:rsidP="00CA25CF">
            <w:pPr>
              <w:rPr>
                <w:rFonts w:cs="Arial"/>
                <w:color w:val="FF0000"/>
                <w:sz w:val="21"/>
                <w:szCs w:val="21"/>
              </w:rPr>
            </w:pPr>
          </w:p>
        </w:tc>
        <w:tc>
          <w:tcPr>
            <w:tcW w:w="217" w:type="dxa"/>
          </w:tcPr>
          <w:p w14:paraId="429ED7BE" w14:textId="77777777" w:rsidR="002C0FD9" w:rsidRPr="00CA25CF" w:rsidRDefault="002C0FD9" w:rsidP="00CA25CF">
            <w:pPr>
              <w:rPr>
                <w:rFonts w:cs="Arial"/>
                <w:color w:val="FF0000"/>
                <w:sz w:val="21"/>
                <w:szCs w:val="21"/>
              </w:rPr>
            </w:pPr>
          </w:p>
        </w:tc>
        <w:tc>
          <w:tcPr>
            <w:tcW w:w="217" w:type="dxa"/>
          </w:tcPr>
          <w:p w14:paraId="62C76B8A" w14:textId="77777777" w:rsidR="002C0FD9" w:rsidRPr="00CA25CF" w:rsidRDefault="002C0FD9" w:rsidP="00CA25CF">
            <w:pPr>
              <w:rPr>
                <w:rFonts w:cs="Arial"/>
                <w:color w:val="FF0000"/>
                <w:sz w:val="21"/>
                <w:szCs w:val="21"/>
              </w:rPr>
            </w:pPr>
          </w:p>
        </w:tc>
        <w:tc>
          <w:tcPr>
            <w:tcW w:w="217" w:type="dxa"/>
          </w:tcPr>
          <w:p w14:paraId="17756CF8" w14:textId="77777777" w:rsidR="002C0FD9" w:rsidRPr="00CA25CF" w:rsidRDefault="002C0FD9" w:rsidP="00CA25CF">
            <w:pPr>
              <w:rPr>
                <w:rFonts w:cs="Arial"/>
                <w:color w:val="FF0000"/>
                <w:sz w:val="21"/>
                <w:szCs w:val="21"/>
              </w:rPr>
            </w:pPr>
          </w:p>
        </w:tc>
        <w:tc>
          <w:tcPr>
            <w:tcW w:w="217" w:type="dxa"/>
          </w:tcPr>
          <w:p w14:paraId="0EE225C9" w14:textId="77777777" w:rsidR="002C0FD9" w:rsidRPr="00CA25CF" w:rsidRDefault="002C0FD9" w:rsidP="00CA25CF">
            <w:pPr>
              <w:rPr>
                <w:rFonts w:cs="Arial"/>
                <w:color w:val="FF0000"/>
                <w:sz w:val="21"/>
                <w:szCs w:val="21"/>
              </w:rPr>
            </w:pPr>
          </w:p>
        </w:tc>
        <w:tc>
          <w:tcPr>
            <w:tcW w:w="217" w:type="dxa"/>
          </w:tcPr>
          <w:p w14:paraId="14D052A2" w14:textId="77777777" w:rsidR="002C0FD9" w:rsidRPr="00CA25CF" w:rsidRDefault="002C0FD9" w:rsidP="00CA25CF">
            <w:pPr>
              <w:rPr>
                <w:rFonts w:cs="Arial"/>
                <w:color w:val="FF0000"/>
                <w:sz w:val="21"/>
                <w:szCs w:val="21"/>
              </w:rPr>
            </w:pPr>
          </w:p>
        </w:tc>
        <w:tc>
          <w:tcPr>
            <w:tcW w:w="217" w:type="dxa"/>
          </w:tcPr>
          <w:p w14:paraId="16FED6B0" w14:textId="77777777" w:rsidR="002C0FD9" w:rsidRPr="00CA25CF" w:rsidRDefault="002C0FD9" w:rsidP="00CA25CF">
            <w:pPr>
              <w:rPr>
                <w:rFonts w:cs="Arial"/>
                <w:color w:val="FF0000"/>
                <w:sz w:val="21"/>
                <w:szCs w:val="21"/>
              </w:rPr>
            </w:pPr>
          </w:p>
        </w:tc>
        <w:tc>
          <w:tcPr>
            <w:tcW w:w="217" w:type="dxa"/>
          </w:tcPr>
          <w:p w14:paraId="497EDC81" w14:textId="77777777" w:rsidR="002C0FD9" w:rsidRPr="00CA25CF" w:rsidRDefault="002C0FD9" w:rsidP="00CA25CF">
            <w:pPr>
              <w:rPr>
                <w:rFonts w:cs="Arial"/>
                <w:color w:val="FF0000"/>
                <w:sz w:val="21"/>
                <w:szCs w:val="21"/>
              </w:rPr>
            </w:pPr>
          </w:p>
        </w:tc>
        <w:tc>
          <w:tcPr>
            <w:tcW w:w="217" w:type="dxa"/>
          </w:tcPr>
          <w:p w14:paraId="22DE0E0B" w14:textId="77777777" w:rsidR="002C0FD9" w:rsidRPr="00CA25CF" w:rsidRDefault="002C0FD9" w:rsidP="00CA25CF">
            <w:pPr>
              <w:rPr>
                <w:rFonts w:cs="Arial"/>
                <w:color w:val="FF0000"/>
                <w:sz w:val="21"/>
                <w:szCs w:val="21"/>
              </w:rPr>
            </w:pPr>
          </w:p>
        </w:tc>
        <w:tc>
          <w:tcPr>
            <w:tcW w:w="217" w:type="dxa"/>
          </w:tcPr>
          <w:p w14:paraId="3BCD72EB" w14:textId="77777777" w:rsidR="002C0FD9" w:rsidRPr="00CA25CF" w:rsidRDefault="002C0FD9" w:rsidP="00CA25CF">
            <w:pPr>
              <w:rPr>
                <w:rFonts w:cs="Arial"/>
                <w:color w:val="FF0000"/>
                <w:sz w:val="21"/>
                <w:szCs w:val="21"/>
              </w:rPr>
            </w:pPr>
          </w:p>
        </w:tc>
        <w:tc>
          <w:tcPr>
            <w:tcW w:w="217" w:type="dxa"/>
          </w:tcPr>
          <w:p w14:paraId="53BE80AE" w14:textId="77777777" w:rsidR="002C0FD9" w:rsidRPr="00CA25CF" w:rsidRDefault="002C0FD9" w:rsidP="00CA25CF">
            <w:pPr>
              <w:rPr>
                <w:rFonts w:cs="Arial"/>
                <w:color w:val="FF0000"/>
                <w:sz w:val="21"/>
                <w:szCs w:val="21"/>
              </w:rPr>
            </w:pPr>
          </w:p>
        </w:tc>
        <w:tc>
          <w:tcPr>
            <w:tcW w:w="217" w:type="dxa"/>
          </w:tcPr>
          <w:p w14:paraId="4E5B6ED9" w14:textId="77777777" w:rsidR="002C0FD9" w:rsidRPr="00CA25CF" w:rsidRDefault="002C0FD9" w:rsidP="00CA25CF">
            <w:pPr>
              <w:rPr>
                <w:rFonts w:cs="Arial"/>
                <w:color w:val="FF0000"/>
                <w:sz w:val="21"/>
                <w:szCs w:val="21"/>
              </w:rPr>
            </w:pPr>
          </w:p>
        </w:tc>
        <w:tc>
          <w:tcPr>
            <w:tcW w:w="217" w:type="dxa"/>
          </w:tcPr>
          <w:p w14:paraId="7DC645AD" w14:textId="77777777" w:rsidR="002C0FD9" w:rsidRPr="00CA25CF" w:rsidRDefault="002C0FD9" w:rsidP="00CA25CF">
            <w:pPr>
              <w:rPr>
                <w:rFonts w:cs="Arial"/>
                <w:color w:val="FF0000"/>
                <w:sz w:val="21"/>
                <w:szCs w:val="21"/>
              </w:rPr>
            </w:pPr>
          </w:p>
        </w:tc>
        <w:tc>
          <w:tcPr>
            <w:tcW w:w="217" w:type="dxa"/>
          </w:tcPr>
          <w:p w14:paraId="3A6BEBFE" w14:textId="77777777" w:rsidR="002C0FD9" w:rsidRPr="00CA25CF" w:rsidRDefault="002C0FD9" w:rsidP="00CA25CF">
            <w:pPr>
              <w:rPr>
                <w:rFonts w:cs="Arial"/>
                <w:color w:val="FF0000"/>
                <w:sz w:val="21"/>
                <w:szCs w:val="21"/>
              </w:rPr>
            </w:pPr>
          </w:p>
        </w:tc>
        <w:tc>
          <w:tcPr>
            <w:tcW w:w="217" w:type="dxa"/>
          </w:tcPr>
          <w:p w14:paraId="59494990" w14:textId="77777777" w:rsidR="002C0FD9" w:rsidRPr="00CA25CF" w:rsidRDefault="002C0FD9" w:rsidP="00CA25CF">
            <w:pPr>
              <w:rPr>
                <w:rFonts w:cs="Arial"/>
                <w:color w:val="FF0000"/>
                <w:sz w:val="21"/>
                <w:szCs w:val="21"/>
              </w:rPr>
            </w:pPr>
          </w:p>
        </w:tc>
        <w:tc>
          <w:tcPr>
            <w:tcW w:w="217" w:type="dxa"/>
          </w:tcPr>
          <w:p w14:paraId="6B97EE6E" w14:textId="77777777" w:rsidR="002C0FD9" w:rsidRPr="00CA25CF" w:rsidRDefault="002C0FD9" w:rsidP="00CA25CF">
            <w:pPr>
              <w:rPr>
                <w:rFonts w:cs="Arial"/>
                <w:color w:val="FF0000"/>
                <w:sz w:val="21"/>
                <w:szCs w:val="21"/>
              </w:rPr>
            </w:pPr>
          </w:p>
        </w:tc>
        <w:tc>
          <w:tcPr>
            <w:tcW w:w="217" w:type="dxa"/>
          </w:tcPr>
          <w:p w14:paraId="3EA2D8FD" w14:textId="77777777" w:rsidR="002C0FD9" w:rsidRPr="00CA25CF" w:rsidRDefault="002C0FD9" w:rsidP="00CA25CF">
            <w:pPr>
              <w:rPr>
                <w:rFonts w:cs="Arial"/>
                <w:color w:val="FF0000"/>
                <w:sz w:val="21"/>
                <w:szCs w:val="21"/>
              </w:rPr>
            </w:pPr>
          </w:p>
        </w:tc>
        <w:tc>
          <w:tcPr>
            <w:tcW w:w="217" w:type="dxa"/>
          </w:tcPr>
          <w:p w14:paraId="086B3276" w14:textId="77777777" w:rsidR="002C0FD9" w:rsidRPr="00CA25CF" w:rsidRDefault="002C0FD9" w:rsidP="00CA25CF">
            <w:pPr>
              <w:rPr>
                <w:rFonts w:cs="Arial"/>
                <w:color w:val="FF0000"/>
                <w:sz w:val="21"/>
                <w:szCs w:val="21"/>
              </w:rPr>
            </w:pPr>
          </w:p>
        </w:tc>
        <w:tc>
          <w:tcPr>
            <w:tcW w:w="217" w:type="dxa"/>
          </w:tcPr>
          <w:p w14:paraId="137B9676" w14:textId="77777777" w:rsidR="002C0FD9" w:rsidRPr="00CA25CF" w:rsidRDefault="002C0FD9" w:rsidP="00CA25CF">
            <w:pPr>
              <w:rPr>
                <w:rFonts w:cs="Arial"/>
                <w:color w:val="FF0000"/>
                <w:sz w:val="21"/>
                <w:szCs w:val="21"/>
              </w:rPr>
            </w:pPr>
          </w:p>
        </w:tc>
        <w:tc>
          <w:tcPr>
            <w:tcW w:w="217" w:type="dxa"/>
          </w:tcPr>
          <w:p w14:paraId="0747EC2F" w14:textId="77777777" w:rsidR="002C0FD9" w:rsidRPr="00CA25CF" w:rsidRDefault="002C0FD9" w:rsidP="00CA25CF">
            <w:pPr>
              <w:rPr>
                <w:rFonts w:cs="Arial"/>
                <w:color w:val="FF0000"/>
                <w:sz w:val="21"/>
                <w:szCs w:val="21"/>
              </w:rPr>
            </w:pPr>
          </w:p>
        </w:tc>
        <w:tc>
          <w:tcPr>
            <w:tcW w:w="217" w:type="dxa"/>
          </w:tcPr>
          <w:p w14:paraId="6D3C8D34" w14:textId="77777777" w:rsidR="002C0FD9" w:rsidRPr="00CA25CF" w:rsidRDefault="002C0FD9" w:rsidP="00CA25CF">
            <w:pPr>
              <w:rPr>
                <w:rFonts w:cs="Arial"/>
                <w:color w:val="FF0000"/>
                <w:sz w:val="21"/>
                <w:szCs w:val="21"/>
              </w:rPr>
            </w:pPr>
          </w:p>
        </w:tc>
        <w:tc>
          <w:tcPr>
            <w:tcW w:w="217" w:type="dxa"/>
          </w:tcPr>
          <w:p w14:paraId="470204B1" w14:textId="77777777" w:rsidR="002C0FD9" w:rsidRPr="00CA25CF" w:rsidRDefault="002C0FD9" w:rsidP="00CA25CF">
            <w:pPr>
              <w:rPr>
                <w:rFonts w:cs="Arial"/>
                <w:color w:val="FF0000"/>
                <w:sz w:val="21"/>
                <w:szCs w:val="21"/>
              </w:rPr>
            </w:pPr>
          </w:p>
        </w:tc>
        <w:tc>
          <w:tcPr>
            <w:tcW w:w="217" w:type="dxa"/>
          </w:tcPr>
          <w:p w14:paraId="337ADD6F" w14:textId="77777777" w:rsidR="002C0FD9" w:rsidRPr="00CA25CF" w:rsidRDefault="002C0FD9" w:rsidP="00CA25CF">
            <w:pPr>
              <w:rPr>
                <w:rFonts w:cs="Arial"/>
                <w:color w:val="FF0000"/>
                <w:sz w:val="21"/>
                <w:szCs w:val="21"/>
              </w:rPr>
            </w:pPr>
          </w:p>
        </w:tc>
        <w:tc>
          <w:tcPr>
            <w:tcW w:w="217" w:type="dxa"/>
          </w:tcPr>
          <w:p w14:paraId="0B8DAAB8" w14:textId="77777777" w:rsidR="002C0FD9" w:rsidRPr="00CA25CF" w:rsidRDefault="002C0FD9" w:rsidP="00CA25CF">
            <w:pPr>
              <w:rPr>
                <w:rFonts w:cs="Arial"/>
                <w:color w:val="FF0000"/>
                <w:sz w:val="21"/>
                <w:szCs w:val="21"/>
              </w:rPr>
            </w:pPr>
          </w:p>
        </w:tc>
        <w:tc>
          <w:tcPr>
            <w:tcW w:w="217" w:type="dxa"/>
          </w:tcPr>
          <w:p w14:paraId="54DAFB95" w14:textId="77777777" w:rsidR="002C0FD9" w:rsidRPr="00CA25CF" w:rsidRDefault="002C0FD9" w:rsidP="00CA25CF">
            <w:pPr>
              <w:rPr>
                <w:rFonts w:cs="Arial"/>
                <w:color w:val="FF0000"/>
                <w:sz w:val="21"/>
                <w:szCs w:val="21"/>
              </w:rPr>
            </w:pPr>
          </w:p>
        </w:tc>
        <w:tc>
          <w:tcPr>
            <w:tcW w:w="217" w:type="dxa"/>
          </w:tcPr>
          <w:p w14:paraId="6FF25972" w14:textId="77777777" w:rsidR="002C0FD9" w:rsidRPr="00CA25CF" w:rsidRDefault="002C0FD9" w:rsidP="00CA25CF">
            <w:pPr>
              <w:rPr>
                <w:rFonts w:cs="Arial"/>
                <w:color w:val="FF0000"/>
                <w:sz w:val="21"/>
                <w:szCs w:val="21"/>
              </w:rPr>
            </w:pPr>
          </w:p>
        </w:tc>
        <w:tc>
          <w:tcPr>
            <w:tcW w:w="217" w:type="dxa"/>
          </w:tcPr>
          <w:p w14:paraId="3F5E4DD8" w14:textId="77777777" w:rsidR="002C0FD9" w:rsidRPr="00CA25CF" w:rsidRDefault="002C0FD9" w:rsidP="00CA25CF">
            <w:pPr>
              <w:rPr>
                <w:rFonts w:cs="Arial"/>
                <w:color w:val="FF0000"/>
                <w:sz w:val="21"/>
                <w:szCs w:val="21"/>
              </w:rPr>
            </w:pPr>
          </w:p>
        </w:tc>
        <w:tc>
          <w:tcPr>
            <w:tcW w:w="217" w:type="dxa"/>
          </w:tcPr>
          <w:p w14:paraId="1FDD32CF" w14:textId="77777777" w:rsidR="002C0FD9" w:rsidRPr="00CA25CF" w:rsidRDefault="002C0FD9" w:rsidP="00CA25CF">
            <w:pPr>
              <w:rPr>
                <w:rFonts w:cs="Arial"/>
                <w:color w:val="FF0000"/>
                <w:sz w:val="21"/>
                <w:szCs w:val="21"/>
              </w:rPr>
            </w:pPr>
          </w:p>
        </w:tc>
        <w:tc>
          <w:tcPr>
            <w:tcW w:w="217" w:type="dxa"/>
          </w:tcPr>
          <w:p w14:paraId="03F2F2CA" w14:textId="77777777" w:rsidR="002C0FD9" w:rsidRPr="00CA25CF" w:rsidRDefault="002C0FD9" w:rsidP="00CA25CF">
            <w:pPr>
              <w:rPr>
                <w:rFonts w:cs="Arial"/>
                <w:color w:val="FF0000"/>
                <w:sz w:val="21"/>
                <w:szCs w:val="21"/>
              </w:rPr>
            </w:pPr>
          </w:p>
        </w:tc>
        <w:tc>
          <w:tcPr>
            <w:tcW w:w="217" w:type="dxa"/>
          </w:tcPr>
          <w:p w14:paraId="1A58DCB8" w14:textId="77777777" w:rsidR="002C0FD9" w:rsidRPr="00CA25CF" w:rsidRDefault="002C0FD9" w:rsidP="00CA25CF">
            <w:pPr>
              <w:rPr>
                <w:rFonts w:cs="Arial"/>
                <w:color w:val="FF0000"/>
                <w:sz w:val="21"/>
                <w:szCs w:val="21"/>
              </w:rPr>
            </w:pPr>
          </w:p>
        </w:tc>
        <w:tc>
          <w:tcPr>
            <w:tcW w:w="217" w:type="dxa"/>
          </w:tcPr>
          <w:p w14:paraId="5E182E32" w14:textId="77777777" w:rsidR="002C0FD9" w:rsidRPr="00CA25CF" w:rsidRDefault="002C0FD9" w:rsidP="00CA25CF">
            <w:pPr>
              <w:rPr>
                <w:rFonts w:cs="Arial"/>
                <w:color w:val="FF0000"/>
                <w:sz w:val="21"/>
                <w:szCs w:val="21"/>
              </w:rPr>
            </w:pPr>
          </w:p>
        </w:tc>
        <w:tc>
          <w:tcPr>
            <w:tcW w:w="217" w:type="dxa"/>
          </w:tcPr>
          <w:p w14:paraId="60B12C92" w14:textId="77777777" w:rsidR="002C0FD9" w:rsidRPr="00CA25CF" w:rsidRDefault="002C0FD9" w:rsidP="00CA25CF">
            <w:pPr>
              <w:rPr>
                <w:rFonts w:cs="Arial"/>
                <w:color w:val="FF0000"/>
                <w:sz w:val="21"/>
                <w:szCs w:val="21"/>
              </w:rPr>
            </w:pPr>
          </w:p>
        </w:tc>
        <w:tc>
          <w:tcPr>
            <w:tcW w:w="217" w:type="dxa"/>
          </w:tcPr>
          <w:p w14:paraId="0807D946" w14:textId="77777777" w:rsidR="002C0FD9" w:rsidRPr="00CA25CF" w:rsidRDefault="002C0FD9" w:rsidP="00CA25CF">
            <w:pPr>
              <w:rPr>
                <w:rFonts w:cs="Arial"/>
                <w:color w:val="FF0000"/>
                <w:sz w:val="21"/>
                <w:szCs w:val="21"/>
              </w:rPr>
            </w:pPr>
          </w:p>
        </w:tc>
      </w:tr>
      <w:tr w:rsidR="002C0FD9" w:rsidRPr="00A16219" w14:paraId="7FFE8942" w14:textId="367A6311" w:rsidTr="002C0FD9">
        <w:trPr>
          <w:trHeight w:val="635"/>
        </w:trPr>
        <w:tc>
          <w:tcPr>
            <w:tcW w:w="515" w:type="dxa"/>
          </w:tcPr>
          <w:p w14:paraId="4F6CB275" w14:textId="77777777" w:rsidR="002C0FD9" w:rsidRPr="00CA25CF" w:rsidRDefault="002C0FD9" w:rsidP="00CA25CF">
            <w:pPr>
              <w:rPr>
                <w:rFonts w:cs="Arial"/>
                <w:color w:val="FF0000"/>
                <w:sz w:val="21"/>
                <w:szCs w:val="21"/>
              </w:rPr>
            </w:pPr>
          </w:p>
        </w:tc>
        <w:tc>
          <w:tcPr>
            <w:tcW w:w="217" w:type="dxa"/>
          </w:tcPr>
          <w:p w14:paraId="026632AC" w14:textId="77777777" w:rsidR="002C0FD9" w:rsidRPr="00CA25CF" w:rsidRDefault="002C0FD9" w:rsidP="00CA25CF">
            <w:pPr>
              <w:rPr>
                <w:rFonts w:cs="Arial"/>
                <w:color w:val="FF0000"/>
                <w:sz w:val="21"/>
                <w:szCs w:val="21"/>
              </w:rPr>
            </w:pPr>
          </w:p>
        </w:tc>
        <w:tc>
          <w:tcPr>
            <w:tcW w:w="217" w:type="dxa"/>
          </w:tcPr>
          <w:p w14:paraId="180709B9" w14:textId="03FFAB95" w:rsidR="002C0FD9" w:rsidRPr="00CA25CF" w:rsidRDefault="002C0FD9" w:rsidP="00CA25CF">
            <w:pPr>
              <w:rPr>
                <w:rFonts w:cs="Arial"/>
                <w:color w:val="FF0000"/>
                <w:sz w:val="21"/>
                <w:szCs w:val="21"/>
              </w:rPr>
            </w:pPr>
          </w:p>
        </w:tc>
        <w:tc>
          <w:tcPr>
            <w:tcW w:w="217" w:type="dxa"/>
          </w:tcPr>
          <w:p w14:paraId="610CC22A" w14:textId="77777777" w:rsidR="002C0FD9" w:rsidRPr="00CA25CF" w:rsidRDefault="002C0FD9" w:rsidP="00CA25CF">
            <w:pPr>
              <w:rPr>
                <w:rFonts w:cs="Arial"/>
                <w:color w:val="FF0000"/>
                <w:sz w:val="21"/>
                <w:szCs w:val="21"/>
              </w:rPr>
            </w:pPr>
          </w:p>
        </w:tc>
        <w:tc>
          <w:tcPr>
            <w:tcW w:w="217" w:type="dxa"/>
          </w:tcPr>
          <w:p w14:paraId="4181BBCB" w14:textId="77777777" w:rsidR="002C0FD9" w:rsidRPr="00CA25CF" w:rsidRDefault="002C0FD9" w:rsidP="00CA25CF">
            <w:pPr>
              <w:rPr>
                <w:rFonts w:cs="Arial"/>
                <w:color w:val="FF0000"/>
                <w:sz w:val="21"/>
                <w:szCs w:val="21"/>
              </w:rPr>
            </w:pPr>
          </w:p>
        </w:tc>
        <w:tc>
          <w:tcPr>
            <w:tcW w:w="217" w:type="dxa"/>
          </w:tcPr>
          <w:p w14:paraId="290E4239" w14:textId="77777777" w:rsidR="002C0FD9" w:rsidRPr="00CA25CF" w:rsidRDefault="002C0FD9" w:rsidP="00CA25CF">
            <w:pPr>
              <w:rPr>
                <w:rFonts w:cs="Arial"/>
                <w:color w:val="FF0000"/>
                <w:sz w:val="21"/>
                <w:szCs w:val="21"/>
              </w:rPr>
            </w:pPr>
          </w:p>
        </w:tc>
        <w:tc>
          <w:tcPr>
            <w:tcW w:w="217" w:type="dxa"/>
          </w:tcPr>
          <w:p w14:paraId="230F58A1" w14:textId="77777777" w:rsidR="002C0FD9" w:rsidRPr="00CA25CF" w:rsidRDefault="002C0FD9" w:rsidP="00CA25CF">
            <w:pPr>
              <w:rPr>
                <w:rFonts w:cs="Arial"/>
                <w:color w:val="FF0000"/>
                <w:sz w:val="21"/>
                <w:szCs w:val="21"/>
              </w:rPr>
            </w:pPr>
          </w:p>
        </w:tc>
        <w:tc>
          <w:tcPr>
            <w:tcW w:w="217" w:type="dxa"/>
          </w:tcPr>
          <w:p w14:paraId="1EC7DCC0" w14:textId="77777777" w:rsidR="002C0FD9" w:rsidRPr="00CA25CF" w:rsidRDefault="002C0FD9" w:rsidP="00CA25CF">
            <w:pPr>
              <w:rPr>
                <w:rFonts w:cs="Arial"/>
                <w:color w:val="FF0000"/>
                <w:sz w:val="21"/>
                <w:szCs w:val="21"/>
              </w:rPr>
            </w:pPr>
          </w:p>
        </w:tc>
        <w:tc>
          <w:tcPr>
            <w:tcW w:w="217" w:type="dxa"/>
          </w:tcPr>
          <w:p w14:paraId="746C776E" w14:textId="77777777" w:rsidR="002C0FD9" w:rsidRPr="00CA25CF" w:rsidRDefault="002C0FD9" w:rsidP="00CA25CF">
            <w:pPr>
              <w:rPr>
                <w:rFonts w:cs="Arial"/>
                <w:color w:val="FF0000"/>
                <w:sz w:val="21"/>
                <w:szCs w:val="21"/>
              </w:rPr>
            </w:pPr>
          </w:p>
        </w:tc>
        <w:tc>
          <w:tcPr>
            <w:tcW w:w="217" w:type="dxa"/>
          </w:tcPr>
          <w:p w14:paraId="002EB452" w14:textId="77777777" w:rsidR="002C0FD9" w:rsidRPr="00CA25CF" w:rsidRDefault="002C0FD9" w:rsidP="00CA25CF">
            <w:pPr>
              <w:rPr>
                <w:rFonts w:cs="Arial"/>
                <w:color w:val="FF0000"/>
                <w:sz w:val="21"/>
                <w:szCs w:val="21"/>
              </w:rPr>
            </w:pPr>
          </w:p>
        </w:tc>
        <w:tc>
          <w:tcPr>
            <w:tcW w:w="217" w:type="dxa"/>
          </w:tcPr>
          <w:p w14:paraId="1AC85CEC" w14:textId="77777777" w:rsidR="002C0FD9" w:rsidRPr="00CA25CF" w:rsidRDefault="002C0FD9" w:rsidP="00CA25CF">
            <w:pPr>
              <w:rPr>
                <w:rFonts w:cs="Arial"/>
                <w:color w:val="FF0000"/>
                <w:sz w:val="21"/>
                <w:szCs w:val="21"/>
              </w:rPr>
            </w:pPr>
          </w:p>
        </w:tc>
        <w:tc>
          <w:tcPr>
            <w:tcW w:w="217" w:type="dxa"/>
          </w:tcPr>
          <w:p w14:paraId="13A186E1" w14:textId="77777777" w:rsidR="002C0FD9" w:rsidRPr="00CA25CF" w:rsidRDefault="002C0FD9" w:rsidP="00CA25CF">
            <w:pPr>
              <w:rPr>
                <w:rFonts w:cs="Arial"/>
                <w:color w:val="FF0000"/>
                <w:sz w:val="21"/>
                <w:szCs w:val="21"/>
              </w:rPr>
            </w:pPr>
          </w:p>
        </w:tc>
        <w:tc>
          <w:tcPr>
            <w:tcW w:w="217" w:type="dxa"/>
          </w:tcPr>
          <w:p w14:paraId="36C02FFE" w14:textId="77777777" w:rsidR="002C0FD9" w:rsidRPr="00CA25CF" w:rsidRDefault="002C0FD9" w:rsidP="00CA25CF">
            <w:pPr>
              <w:rPr>
                <w:rFonts w:cs="Arial"/>
                <w:color w:val="FF0000"/>
                <w:sz w:val="21"/>
                <w:szCs w:val="21"/>
              </w:rPr>
            </w:pPr>
          </w:p>
        </w:tc>
        <w:tc>
          <w:tcPr>
            <w:tcW w:w="217" w:type="dxa"/>
          </w:tcPr>
          <w:p w14:paraId="05FDFD57" w14:textId="77777777" w:rsidR="002C0FD9" w:rsidRPr="00CA25CF" w:rsidRDefault="002C0FD9" w:rsidP="00CA25CF">
            <w:pPr>
              <w:rPr>
                <w:rFonts w:cs="Arial"/>
                <w:color w:val="FF0000"/>
                <w:sz w:val="21"/>
                <w:szCs w:val="21"/>
              </w:rPr>
            </w:pPr>
          </w:p>
        </w:tc>
        <w:tc>
          <w:tcPr>
            <w:tcW w:w="217" w:type="dxa"/>
          </w:tcPr>
          <w:p w14:paraId="7BECB2D1" w14:textId="77777777" w:rsidR="002C0FD9" w:rsidRPr="00CA25CF" w:rsidRDefault="002C0FD9" w:rsidP="00CA25CF">
            <w:pPr>
              <w:rPr>
                <w:rFonts w:cs="Arial"/>
                <w:color w:val="FF0000"/>
                <w:sz w:val="21"/>
                <w:szCs w:val="21"/>
              </w:rPr>
            </w:pPr>
          </w:p>
        </w:tc>
        <w:tc>
          <w:tcPr>
            <w:tcW w:w="217" w:type="dxa"/>
          </w:tcPr>
          <w:p w14:paraId="4294EF51" w14:textId="77777777" w:rsidR="002C0FD9" w:rsidRPr="00CA25CF" w:rsidRDefault="002C0FD9" w:rsidP="00CA25CF">
            <w:pPr>
              <w:rPr>
                <w:rFonts w:cs="Arial"/>
                <w:color w:val="FF0000"/>
                <w:sz w:val="21"/>
                <w:szCs w:val="21"/>
              </w:rPr>
            </w:pPr>
          </w:p>
        </w:tc>
        <w:tc>
          <w:tcPr>
            <w:tcW w:w="217" w:type="dxa"/>
          </w:tcPr>
          <w:p w14:paraId="66ADC5C6" w14:textId="77777777" w:rsidR="002C0FD9" w:rsidRPr="00CA25CF" w:rsidRDefault="002C0FD9" w:rsidP="00CA25CF">
            <w:pPr>
              <w:rPr>
                <w:rFonts w:cs="Arial"/>
                <w:color w:val="FF0000"/>
                <w:sz w:val="21"/>
                <w:szCs w:val="21"/>
              </w:rPr>
            </w:pPr>
          </w:p>
        </w:tc>
        <w:tc>
          <w:tcPr>
            <w:tcW w:w="217" w:type="dxa"/>
          </w:tcPr>
          <w:p w14:paraId="3389247B" w14:textId="77777777" w:rsidR="002C0FD9" w:rsidRPr="00CA25CF" w:rsidRDefault="002C0FD9" w:rsidP="00CA25CF">
            <w:pPr>
              <w:rPr>
                <w:rFonts w:cs="Arial"/>
                <w:color w:val="FF0000"/>
                <w:sz w:val="21"/>
                <w:szCs w:val="21"/>
              </w:rPr>
            </w:pPr>
          </w:p>
        </w:tc>
        <w:tc>
          <w:tcPr>
            <w:tcW w:w="217" w:type="dxa"/>
          </w:tcPr>
          <w:p w14:paraId="2F495D93" w14:textId="77777777" w:rsidR="002C0FD9" w:rsidRPr="00CA25CF" w:rsidRDefault="002C0FD9" w:rsidP="00CA25CF">
            <w:pPr>
              <w:rPr>
                <w:rFonts w:cs="Arial"/>
                <w:color w:val="FF0000"/>
                <w:sz w:val="21"/>
                <w:szCs w:val="21"/>
              </w:rPr>
            </w:pPr>
          </w:p>
        </w:tc>
        <w:tc>
          <w:tcPr>
            <w:tcW w:w="217" w:type="dxa"/>
          </w:tcPr>
          <w:p w14:paraId="2C97908B" w14:textId="77777777" w:rsidR="002C0FD9" w:rsidRPr="00CA25CF" w:rsidRDefault="002C0FD9" w:rsidP="00CA25CF">
            <w:pPr>
              <w:rPr>
                <w:rFonts w:cs="Arial"/>
                <w:color w:val="FF0000"/>
                <w:sz w:val="21"/>
                <w:szCs w:val="21"/>
              </w:rPr>
            </w:pPr>
          </w:p>
        </w:tc>
        <w:tc>
          <w:tcPr>
            <w:tcW w:w="217" w:type="dxa"/>
          </w:tcPr>
          <w:p w14:paraId="4D90EA8E" w14:textId="77777777" w:rsidR="002C0FD9" w:rsidRPr="00CA25CF" w:rsidRDefault="002C0FD9" w:rsidP="00CA25CF">
            <w:pPr>
              <w:rPr>
                <w:rFonts w:cs="Arial"/>
                <w:color w:val="FF0000"/>
                <w:sz w:val="21"/>
                <w:szCs w:val="21"/>
              </w:rPr>
            </w:pPr>
          </w:p>
        </w:tc>
        <w:tc>
          <w:tcPr>
            <w:tcW w:w="217" w:type="dxa"/>
          </w:tcPr>
          <w:p w14:paraId="4B831D0E" w14:textId="77777777" w:rsidR="002C0FD9" w:rsidRPr="00CA25CF" w:rsidRDefault="002C0FD9" w:rsidP="00CA25CF">
            <w:pPr>
              <w:rPr>
                <w:rFonts w:cs="Arial"/>
                <w:color w:val="FF0000"/>
                <w:sz w:val="21"/>
                <w:szCs w:val="21"/>
              </w:rPr>
            </w:pPr>
          </w:p>
        </w:tc>
        <w:tc>
          <w:tcPr>
            <w:tcW w:w="217" w:type="dxa"/>
          </w:tcPr>
          <w:p w14:paraId="103749C3" w14:textId="77777777" w:rsidR="002C0FD9" w:rsidRPr="00CA25CF" w:rsidRDefault="002C0FD9" w:rsidP="00CA25CF">
            <w:pPr>
              <w:rPr>
                <w:rFonts w:cs="Arial"/>
                <w:color w:val="FF0000"/>
                <w:sz w:val="21"/>
                <w:szCs w:val="21"/>
              </w:rPr>
            </w:pPr>
          </w:p>
        </w:tc>
        <w:tc>
          <w:tcPr>
            <w:tcW w:w="217" w:type="dxa"/>
          </w:tcPr>
          <w:p w14:paraId="3415755D" w14:textId="77777777" w:rsidR="002C0FD9" w:rsidRPr="00CA25CF" w:rsidRDefault="002C0FD9" w:rsidP="00CA25CF">
            <w:pPr>
              <w:rPr>
                <w:rFonts w:cs="Arial"/>
                <w:color w:val="FF0000"/>
                <w:sz w:val="21"/>
                <w:szCs w:val="21"/>
              </w:rPr>
            </w:pPr>
          </w:p>
        </w:tc>
        <w:tc>
          <w:tcPr>
            <w:tcW w:w="217" w:type="dxa"/>
          </w:tcPr>
          <w:p w14:paraId="36443B1D" w14:textId="77777777" w:rsidR="002C0FD9" w:rsidRPr="00CA25CF" w:rsidRDefault="002C0FD9" w:rsidP="00CA25CF">
            <w:pPr>
              <w:rPr>
                <w:rFonts w:cs="Arial"/>
                <w:color w:val="FF0000"/>
                <w:sz w:val="21"/>
                <w:szCs w:val="21"/>
              </w:rPr>
            </w:pPr>
          </w:p>
        </w:tc>
        <w:tc>
          <w:tcPr>
            <w:tcW w:w="217" w:type="dxa"/>
          </w:tcPr>
          <w:p w14:paraId="729CA891" w14:textId="77777777" w:rsidR="002C0FD9" w:rsidRPr="00CA25CF" w:rsidRDefault="002C0FD9" w:rsidP="00CA25CF">
            <w:pPr>
              <w:rPr>
                <w:rFonts w:cs="Arial"/>
                <w:color w:val="FF0000"/>
                <w:sz w:val="21"/>
                <w:szCs w:val="21"/>
              </w:rPr>
            </w:pPr>
          </w:p>
        </w:tc>
        <w:tc>
          <w:tcPr>
            <w:tcW w:w="217" w:type="dxa"/>
          </w:tcPr>
          <w:p w14:paraId="7EFBA521" w14:textId="77777777" w:rsidR="002C0FD9" w:rsidRPr="00CA25CF" w:rsidRDefault="002C0FD9" w:rsidP="00CA25CF">
            <w:pPr>
              <w:rPr>
                <w:rFonts w:cs="Arial"/>
                <w:color w:val="FF0000"/>
                <w:sz w:val="21"/>
                <w:szCs w:val="21"/>
              </w:rPr>
            </w:pPr>
          </w:p>
        </w:tc>
        <w:tc>
          <w:tcPr>
            <w:tcW w:w="217" w:type="dxa"/>
          </w:tcPr>
          <w:p w14:paraId="16FAD6C1" w14:textId="77777777" w:rsidR="002C0FD9" w:rsidRPr="00CA25CF" w:rsidRDefault="002C0FD9" w:rsidP="00CA25CF">
            <w:pPr>
              <w:rPr>
                <w:rFonts w:cs="Arial"/>
                <w:color w:val="FF0000"/>
                <w:sz w:val="21"/>
                <w:szCs w:val="21"/>
              </w:rPr>
            </w:pPr>
          </w:p>
        </w:tc>
        <w:tc>
          <w:tcPr>
            <w:tcW w:w="217" w:type="dxa"/>
          </w:tcPr>
          <w:p w14:paraId="300D7604" w14:textId="77777777" w:rsidR="002C0FD9" w:rsidRPr="00CA25CF" w:rsidRDefault="002C0FD9" w:rsidP="00CA25CF">
            <w:pPr>
              <w:rPr>
                <w:rFonts w:cs="Arial"/>
                <w:color w:val="FF0000"/>
                <w:sz w:val="21"/>
                <w:szCs w:val="21"/>
              </w:rPr>
            </w:pPr>
          </w:p>
        </w:tc>
        <w:tc>
          <w:tcPr>
            <w:tcW w:w="217" w:type="dxa"/>
          </w:tcPr>
          <w:p w14:paraId="0F75515F" w14:textId="77777777" w:rsidR="002C0FD9" w:rsidRPr="00CA25CF" w:rsidRDefault="002C0FD9" w:rsidP="00CA25CF">
            <w:pPr>
              <w:rPr>
                <w:rFonts w:cs="Arial"/>
                <w:color w:val="FF0000"/>
                <w:sz w:val="21"/>
                <w:szCs w:val="21"/>
              </w:rPr>
            </w:pPr>
          </w:p>
        </w:tc>
        <w:tc>
          <w:tcPr>
            <w:tcW w:w="217" w:type="dxa"/>
          </w:tcPr>
          <w:p w14:paraId="22BF5BCA" w14:textId="77777777" w:rsidR="002C0FD9" w:rsidRPr="00CA25CF" w:rsidRDefault="002C0FD9" w:rsidP="00CA25CF">
            <w:pPr>
              <w:rPr>
                <w:rFonts w:cs="Arial"/>
                <w:color w:val="FF0000"/>
                <w:sz w:val="21"/>
                <w:szCs w:val="21"/>
              </w:rPr>
            </w:pPr>
          </w:p>
        </w:tc>
        <w:tc>
          <w:tcPr>
            <w:tcW w:w="217" w:type="dxa"/>
          </w:tcPr>
          <w:p w14:paraId="223129A7" w14:textId="77777777" w:rsidR="002C0FD9" w:rsidRPr="00CA25CF" w:rsidRDefault="002C0FD9" w:rsidP="00CA25CF">
            <w:pPr>
              <w:rPr>
                <w:rFonts w:cs="Arial"/>
                <w:color w:val="FF0000"/>
                <w:sz w:val="21"/>
                <w:szCs w:val="21"/>
              </w:rPr>
            </w:pPr>
          </w:p>
        </w:tc>
        <w:tc>
          <w:tcPr>
            <w:tcW w:w="217" w:type="dxa"/>
          </w:tcPr>
          <w:p w14:paraId="5317BA44" w14:textId="77777777" w:rsidR="002C0FD9" w:rsidRPr="00CA25CF" w:rsidRDefault="002C0FD9" w:rsidP="00CA25CF">
            <w:pPr>
              <w:rPr>
                <w:rFonts w:cs="Arial"/>
                <w:color w:val="FF0000"/>
                <w:sz w:val="21"/>
                <w:szCs w:val="21"/>
              </w:rPr>
            </w:pPr>
          </w:p>
        </w:tc>
        <w:tc>
          <w:tcPr>
            <w:tcW w:w="217" w:type="dxa"/>
          </w:tcPr>
          <w:p w14:paraId="5051B14C" w14:textId="77777777" w:rsidR="002C0FD9" w:rsidRPr="00CA25CF" w:rsidRDefault="002C0FD9" w:rsidP="00CA25CF">
            <w:pPr>
              <w:rPr>
                <w:rFonts w:cs="Arial"/>
                <w:color w:val="FF0000"/>
                <w:sz w:val="21"/>
                <w:szCs w:val="21"/>
              </w:rPr>
            </w:pPr>
          </w:p>
        </w:tc>
        <w:tc>
          <w:tcPr>
            <w:tcW w:w="217" w:type="dxa"/>
          </w:tcPr>
          <w:p w14:paraId="690B8E58" w14:textId="77777777" w:rsidR="002C0FD9" w:rsidRPr="00CA25CF" w:rsidRDefault="002C0FD9" w:rsidP="00CA25CF">
            <w:pPr>
              <w:rPr>
                <w:rFonts w:cs="Arial"/>
                <w:color w:val="FF0000"/>
                <w:sz w:val="21"/>
                <w:szCs w:val="21"/>
              </w:rPr>
            </w:pPr>
          </w:p>
        </w:tc>
        <w:tc>
          <w:tcPr>
            <w:tcW w:w="217" w:type="dxa"/>
          </w:tcPr>
          <w:p w14:paraId="7B60A8B9" w14:textId="77777777" w:rsidR="002C0FD9" w:rsidRPr="00CA25CF" w:rsidRDefault="002C0FD9" w:rsidP="00CA25CF">
            <w:pPr>
              <w:rPr>
                <w:rFonts w:cs="Arial"/>
                <w:color w:val="FF0000"/>
                <w:sz w:val="21"/>
                <w:szCs w:val="21"/>
              </w:rPr>
            </w:pPr>
          </w:p>
        </w:tc>
        <w:tc>
          <w:tcPr>
            <w:tcW w:w="217" w:type="dxa"/>
          </w:tcPr>
          <w:p w14:paraId="4635AA7B" w14:textId="77777777" w:rsidR="002C0FD9" w:rsidRPr="00CA25CF" w:rsidRDefault="002C0FD9" w:rsidP="00CA25CF">
            <w:pPr>
              <w:rPr>
                <w:rFonts w:cs="Arial"/>
                <w:color w:val="FF0000"/>
                <w:sz w:val="21"/>
                <w:szCs w:val="21"/>
              </w:rPr>
            </w:pPr>
          </w:p>
        </w:tc>
        <w:tc>
          <w:tcPr>
            <w:tcW w:w="217" w:type="dxa"/>
          </w:tcPr>
          <w:p w14:paraId="13DA1278" w14:textId="77777777" w:rsidR="002C0FD9" w:rsidRPr="00CA25CF" w:rsidRDefault="002C0FD9" w:rsidP="00CA25CF">
            <w:pPr>
              <w:rPr>
                <w:rFonts w:cs="Arial"/>
                <w:color w:val="FF0000"/>
                <w:sz w:val="21"/>
                <w:szCs w:val="21"/>
              </w:rPr>
            </w:pPr>
          </w:p>
        </w:tc>
        <w:tc>
          <w:tcPr>
            <w:tcW w:w="217" w:type="dxa"/>
          </w:tcPr>
          <w:p w14:paraId="30033AA5" w14:textId="77777777" w:rsidR="002C0FD9" w:rsidRPr="00CA25CF" w:rsidRDefault="002C0FD9" w:rsidP="00CA25CF">
            <w:pPr>
              <w:rPr>
                <w:rFonts w:cs="Arial"/>
                <w:color w:val="FF0000"/>
                <w:sz w:val="21"/>
                <w:szCs w:val="21"/>
              </w:rPr>
            </w:pPr>
          </w:p>
        </w:tc>
        <w:tc>
          <w:tcPr>
            <w:tcW w:w="217" w:type="dxa"/>
          </w:tcPr>
          <w:p w14:paraId="06ED9680" w14:textId="77777777" w:rsidR="002C0FD9" w:rsidRPr="00CA25CF" w:rsidRDefault="002C0FD9" w:rsidP="00CA25CF">
            <w:pPr>
              <w:rPr>
                <w:rFonts w:cs="Arial"/>
                <w:color w:val="FF0000"/>
                <w:sz w:val="21"/>
                <w:szCs w:val="21"/>
              </w:rPr>
            </w:pPr>
          </w:p>
        </w:tc>
        <w:tc>
          <w:tcPr>
            <w:tcW w:w="217" w:type="dxa"/>
          </w:tcPr>
          <w:p w14:paraId="63B355B5" w14:textId="77777777" w:rsidR="002C0FD9" w:rsidRPr="00CA25CF" w:rsidRDefault="002C0FD9" w:rsidP="00CA25CF">
            <w:pPr>
              <w:rPr>
                <w:rFonts w:cs="Arial"/>
                <w:color w:val="FF0000"/>
                <w:sz w:val="21"/>
                <w:szCs w:val="21"/>
              </w:rPr>
            </w:pPr>
          </w:p>
        </w:tc>
        <w:tc>
          <w:tcPr>
            <w:tcW w:w="217" w:type="dxa"/>
          </w:tcPr>
          <w:p w14:paraId="71EBFD35" w14:textId="77777777" w:rsidR="002C0FD9" w:rsidRPr="00CA25CF" w:rsidRDefault="002C0FD9" w:rsidP="00CA25CF">
            <w:pPr>
              <w:rPr>
                <w:rFonts w:cs="Arial"/>
                <w:color w:val="FF0000"/>
                <w:sz w:val="21"/>
                <w:szCs w:val="21"/>
              </w:rPr>
            </w:pPr>
          </w:p>
        </w:tc>
        <w:tc>
          <w:tcPr>
            <w:tcW w:w="217" w:type="dxa"/>
          </w:tcPr>
          <w:p w14:paraId="055DCF25" w14:textId="77777777" w:rsidR="002C0FD9" w:rsidRPr="00CA25CF" w:rsidRDefault="002C0FD9" w:rsidP="00CA25CF">
            <w:pPr>
              <w:rPr>
                <w:rFonts w:cs="Arial"/>
                <w:color w:val="FF0000"/>
                <w:sz w:val="21"/>
                <w:szCs w:val="21"/>
              </w:rPr>
            </w:pPr>
          </w:p>
        </w:tc>
      </w:tr>
      <w:tr w:rsidR="002C0FD9" w:rsidRPr="00A16219" w14:paraId="776D4D4A" w14:textId="5C199944" w:rsidTr="002C0FD9">
        <w:trPr>
          <w:trHeight w:val="635"/>
        </w:trPr>
        <w:tc>
          <w:tcPr>
            <w:tcW w:w="515" w:type="dxa"/>
          </w:tcPr>
          <w:p w14:paraId="62E4ADBF" w14:textId="77777777" w:rsidR="002C0FD9" w:rsidRPr="00CA25CF" w:rsidRDefault="002C0FD9" w:rsidP="00CA25CF">
            <w:pPr>
              <w:rPr>
                <w:rFonts w:cs="Arial"/>
                <w:color w:val="FF0000"/>
                <w:sz w:val="21"/>
                <w:szCs w:val="21"/>
              </w:rPr>
            </w:pPr>
          </w:p>
        </w:tc>
        <w:tc>
          <w:tcPr>
            <w:tcW w:w="217" w:type="dxa"/>
          </w:tcPr>
          <w:p w14:paraId="06BC1AF3" w14:textId="77777777" w:rsidR="002C0FD9" w:rsidRPr="00CA25CF" w:rsidRDefault="002C0FD9" w:rsidP="00CA25CF">
            <w:pPr>
              <w:rPr>
                <w:rFonts w:cs="Arial"/>
                <w:color w:val="FF0000"/>
                <w:sz w:val="21"/>
                <w:szCs w:val="21"/>
              </w:rPr>
            </w:pPr>
          </w:p>
        </w:tc>
        <w:tc>
          <w:tcPr>
            <w:tcW w:w="217" w:type="dxa"/>
          </w:tcPr>
          <w:p w14:paraId="79EA737E" w14:textId="59149C46" w:rsidR="002C0FD9" w:rsidRPr="00CA25CF" w:rsidRDefault="002C0FD9" w:rsidP="00CA25CF">
            <w:pPr>
              <w:rPr>
                <w:rFonts w:cs="Arial"/>
                <w:color w:val="FF0000"/>
                <w:sz w:val="21"/>
                <w:szCs w:val="21"/>
              </w:rPr>
            </w:pPr>
          </w:p>
        </w:tc>
        <w:tc>
          <w:tcPr>
            <w:tcW w:w="217" w:type="dxa"/>
          </w:tcPr>
          <w:p w14:paraId="325D9353" w14:textId="77777777" w:rsidR="002C0FD9" w:rsidRPr="00CA25CF" w:rsidRDefault="002C0FD9" w:rsidP="00CA25CF">
            <w:pPr>
              <w:rPr>
                <w:rFonts w:cs="Arial"/>
                <w:color w:val="FF0000"/>
                <w:sz w:val="21"/>
                <w:szCs w:val="21"/>
              </w:rPr>
            </w:pPr>
          </w:p>
        </w:tc>
        <w:tc>
          <w:tcPr>
            <w:tcW w:w="217" w:type="dxa"/>
          </w:tcPr>
          <w:p w14:paraId="4AE995DE" w14:textId="77777777" w:rsidR="002C0FD9" w:rsidRPr="00CA25CF" w:rsidRDefault="002C0FD9" w:rsidP="00CA25CF">
            <w:pPr>
              <w:rPr>
                <w:rFonts w:cs="Arial"/>
                <w:color w:val="FF0000"/>
                <w:sz w:val="21"/>
                <w:szCs w:val="21"/>
              </w:rPr>
            </w:pPr>
          </w:p>
        </w:tc>
        <w:tc>
          <w:tcPr>
            <w:tcW w:w="217" w:type="dxa"/>
          </w:tcPr>
          <w:p w14:paraId="7E2740C2" w14:textId="77777777" w:rsidR="002C0FD9" w:rsidRPr="00CA25CF" w:rsidRDefault="002C0FD9" w:rsidP="00CA25CF">
            <w:pPr>
              <w:rPr>
                <w:rFonts w:cs="Arial"/>
                <w:color w:val="FF0000"/>
                <w:sz w:val="21"/>
                <w:szCs w:val="21"/>
              </w:rPr>
            </w:pPr>
          </w:p>
        </w:tc>
        <w:tc>
          <w:tcPr>
            <w:tcW w:w="217" w:type="dxa"/>
          </w:tcPr>
          <w:p w14:paraId="42EC4DE2" w14:textId="77777777" w:rsidR="002C0FD9" w:rsidRPr="00CA25CF" w:rsidRDefault="002C0FD9" w:rsidP="00CA25CF">
            <w:pPr>
              <w:rPr>
                <w:rFonts w:cs="Arial"/>
                <w:color w:val="FF0000"/>
                <w:sz w:val="21"/>
                <w:szCs w:val="21"/>
              </w:rPr>
            </w:pPr>
          </w:p>
        </w:tc>
        <w:tc>
          <w:tcPr>
            <w:tcW w:w="217" w:type="dxa"/>
          </w:tcPr>
          <w:p w14:paraId="7E74B73B" w14:textId="77777777" w:rsidR="002C0FD9" w:rsidRPr="00CA25CF" w:rsidRDefault="002C0FD9" w:rsidP="00CA25CF">
            <w:pPr>
              <w:rPr>
                <w:rFonts w:cs="Arial"/>
                <w:color w:val="FF0000"/>
                <w:sz w:val="21"/>
                <w:szCs w:val="21"/>
              </w:rPr>
            </w:pPr>
          </w:p>
        </w:tc>
        <w:tc>
          <w:tcPr>
            <w:tcW w:w="217" w:type="dxa"/>
          </w:tcPr>
          <w:p w14:paraId="5EA6545C" w14:textId="77777777" w:rsidR="002C0FD9" w:rsidRPr="00CA25CF" w:rsidRDefault="002C0FD9" w:rsidP="00CA25CF">
            <w:pPr>
              <w:rPr>
                <w:rFonts w:cs="Arial"/>
                <w:color w:val="FF0000"/>
                <w:sz w:val="21"/>
                <w:szCs w:val="21"/>
              </w:rPr>
            </w:pPr>
          </w:p>
        </w:tc>
        <w:tc>
          <w:tcPr>
            <w:tcW w:w="217" w:type="dxa"/>
          </w:tcPr>
          <w:p w14:paraId="2DFF25EA" w14:textId="77777777" w:rsidR="002C0FD9" w:rsidRPr="00CA25CF" w:rsidRDefault="002C0FD9" w:rsidP="00CA25CF">
            <w:pPr>
              <w:rPr>
                <w:rFonts w:cs="Arial"/>
                <w:color w:val="FF0000"/>
                <w:sz w:val="21"/>
                <w:szCs w:val="21"/>
              </w:rPr>
            </w:pPr>
          </w:p>
        </w:tc>
        <w:tc>
          <w:tcPr>
            <w:tcW w:w="217" w:type="dxa"/>
          </w:tcPr>
          <w:p w14:paraId="305E4957" w14:textId="77777777" w:rsidR="002C0FD9" w:rsidRPr="00CA25CF" w:rsidRDefault="002C0FD9" w:rsidP="00CA25CF">
            <w:pPr>
              <w:rPr>
                <w:rFonts w:cs="Arial"/>
                <w:color w:val="FF0000"/>
                <w:sz w:val="21"/>
                <w:szCs w:val="21"/>
              </w:rPr>
            </w:pPr>
          </w:p>
        </w:tc>
        <w:tc>
          <w:tcPr>
            <w:tcW w:w="217" w:type="dxa"/>
          </w:tcPr>
          <w:p w14:paraId="2C306573" w14:textId="77777777" w:rsidR="002C0FD9" w:rsidRPr="00CA25CF" w:rsidRDefault="002C0FD9" w:rsidP="00CA25CF">
            <w:pPr>
              <w:rPr>
                <w:rFonts w:cs="Arial"/>
                <w:color w:val="FF0000"/>
                <w:sz w:val="21"/>
                <w:szCs w:val="21"/>
              </w:rPr>
            </w:pPr>
          </w:p>
        </w:tc>
        <w:tc>
          <w:tcPr>
            <w:tcW w:w="217" w:type="dxa"/>
          </w:tcPr>
          <w:p w14:paraId="57B0B442" w14:textId="77777777" w:rsidR="002C0FD9" w:rsidRPr="00CA25CF" w:rsidRDefault="002C0FD9" w:rsidP="00CA25CF">
            <w:pPr>
              <w:rPr>
                <w:rFonts w:cs="Arial"/>
                <w:color w:val="FF0000"/>
                <w:sz w:val="21"/>
                <w:szCs w:val="21"/>
              </w:rPr>
            </w:pPr>
          </w:p>
        </w:tc>
        <w:tc>
          <w:tcPr>
            <w:tcW w:w="217" w:type="dxa"/>
          </w:tcPr>
          <w:p w14:paraId="31002CC2" w14:textId="77777777" w:rsidR="002C0FD9" w:rsidRPr="00CA25CF" w:rsidRDefault="002C0FD9" w:rsidP="00CA25CF">
            <w:pPr>
              <w:rPr>
                <w:rFonts w:cs="Arial"/>
                <w:color w:val="FF0000"/>
                <w:sz w:val="21"/>
                <w:szCs w:val="21"/>
              </w:rPr>
            </w:pPr>
          </w:p>
        </w:tc>
        <w:tc>
          <w:tcPr>
            <w:tcW w:w="217" w:type="dxa"/>
          </w:tcPr>
          <w:p w14:paraId="6EC1CDB7" w14:textId="77777777" w:rsidR="002C0FD9" w:rsidRPr="00CA25CF" w:rsidRDefault="002C0FD9" w:rsidP="00CA25CF">
            <w:pPr>
              <w:rPr>
                <w:rFonts w:cs="Arial"/>
                <w:color w:val="FF0000"/>
                <w:sz w:val="21"/>
                <w:szCs w:val="21"/>
              </w:rPr>
            </w:pPr>
          </w:p>
        </w:tc>
        <w:tc>
          <w:tcPr>
            <w:tcW w:w="217" w:type="dxa"/>
          </w:tcPr>
          <w:p w14:paraId="1BFDCB03" w14:textId="77777777" w:rsidR="002C0FD9" w:rsidRPr="00CA25CF" w:rsidRDefault="002C0FD9" w:rsidP="00CA25CF">
            <w:pPr>
              <w:rPr>
                <w:rFonts w:cs="Arial"/>
                <w:color w:val="FF0000"/>
                <w:sz w:val="21"/>
                <w:szCs w:val="21"/>
              </w:rPr>
            </w:pPr>
          </w:p>
        </w:tc>
        <w:tc>
          <w:tcPr>
            <w:tcW w:w="217" w:type="dxa"/>
          </w:tcPr>
          <w:p w14:paraId="7261EA5C" w14:textId="77777777" w:rsidR="002C0FD9" w:rsidRPr="00CA25CF" w:rsidRDefault="002C0FD9" w:rsidP="00CA25CF">
            <w:pPr>
              <w:rPr>
                <w:rFonts w:cs="Arial"/>
                <w:color w:val="FF0000"/>
                <w:sz w:val="21"/>
                <w:szCs w:val="21"/>
              </w:rPr>
            </w:pPr>
          </w:p>
        </w:tc>
        <w:tc>
          <w:tcPr>
            <w:tcW w:w="217" w:type="dxa"/>
          </w:tcPr>
          <w:p w14:paraId="3168B512" w14:textId="77777777" w:rsidR="002C0FD9" w:rsidRPr="00CA25CF" w:rsidRDefault="002C0FD9" w:rsidP="00CA25CF">
            <w:pPr>
              <w:rPr>
                <w:rFonts w:cs="Arial"/>
                <w:color w:val="FF0000"/>
                <w:sz w:val="21"/>
                <w:szCs w:val="21"/>
              </w:rPr>
            </w:pPr>
          </w:p>
        </w:tc>
        <w:tc>
          <w:tcPr>
            <w:tcW w:w="217" w:type="dxa"/>
          </w:tcPr>
          <w:p w14:paraId="18F751BA" w14:textId="77777777" w:rsidR="002C0FD9" w:rsidRPr="00CA25CF" w:rsidRDefault="002C0FD9" w:rsidP="00CA25CF">
            <w:pPr>
              <w:rPr>
                <w:rFonts w:cs="Arial"/>
                <w:color w:val="FF0000"/>
                <w:sz w:val="21"/>
                <w:szCs w:val="21"/>
              </w:rPr>
            </w:pPr>
          </w:p>
        </w:tc>
        <w:tc>
          <w:tcPr>
            <w:tcW w:w="217" w:type="dxa"/>
          </w:tcPr>
          <w:p w14:paraId="63070C68" w14:textId="77777777" w:rsidR="002C0FD9" w:rsidRPr="00CA25CF" w:rsidRDefault="002C0FD9" w:rsidP="00CA25CF">
            <w:pPr>
              <w:rPr>
                <w:rFonts w:cs="Arial"/>
                <w:color w:val="FF0000"/>
                <w:sz w:val="21"/>
                <w:szCs w:val="21"/>
              </w:rPr>
            </w:pPr>
          </w:p>
        </w:tc>
        <w:tc>
          <w:tcPr>
            <w:tcW w:w="217" w:type="dxa"/>
          </w:tcPr>
          <w:p w14:paraId="2073E8B2" w14:textId="77777777" w:rsidR="002C0FD9" w:rsidRPr="00CA25CF" w:rsidRDefault="002C0FD9" w:rsidP="00CA25CF">
            <w:pPr>
              <w:rPr>
                <w:rFonts w:cs="Arial"/>
                <w:color w:val="FF0000"/>
                <w:sz w:val="21"/>
                <w:szCs w:val="21"/>
              </w:rPr>
            </w:pPr>
          </w:p>
        </w:tc>
        <w:tc>
          <w:tcPr>
            <w:tcW w:w="217" w:type="dxa"/>
          </w:tcPr>
          <w:p w14:paraId="19B2B242" w14:textId="77777777" w:rsidR="002C0FD9" w:rsidRPr="00CA25CF" w:rsidRDefault="002C0FD9" w:rsidP="00CA25CF">
            <w:pPr>
              <w:rPr>
                <w:rFonts w:cs="Arial"/>
                <w:color w:val="FF0000"/>
                <w:sz w:val="21"/>
                <w:szCs w:val="21"/>
              </w:rPr>
            </w:pPr>
          </w:p>
        </w:tc>
        <w:tc>
          <w:tcPr>
            <w:tcW w:w="217" w:type="dxa"/>
          </w:tcPr>
          <w:p w14:paraId="5D19B27F" w14:textId="77777777" w:rsidR="002C0FD9" w:rsidRPr="00CA25CF" w:rsidRDefault="002C0FD9" w:rsidP="00CA25CF">
            <w:pPr>
              <w:rPr>
                <w:rFonts w:cs="Arial"/>
                <w:color w:val="FF0000"/>
                <w:sz w:val="21"/>
                <w:szCs w:val="21"/>
              </w:rPr>
            </w:pPr>
          </w:p>
        </w:tc>
        <w:tc>
          <w:tcPr>
            <w:tcW w:w="217" w:type="dxa"/>
          </w:tcPr>
          <w:p w14:paraId="3DE1A873" w14:textId="77777777" w:rsidR="002C0FD9" w:rsidRPr="00CA25CF" w:rsidRDefault="002C0FD9" w:rsidP="00CA25CF">
            <w:pPr>
              <w:rPr>
                <w:rFonts w:cs="Arial"/>
                <w:color w:val="FF0000"/>
                <w:sz w:val="21"/>
                <w:szCs w:val="21"/>
              </w:rPr>
            </w:pPr>
          </w:p>
        </w:tc>
        <w:tc>
          <w:tcPr>
            <w:tcW w:w="217" w:type="dxa"/>
          </w:tcPr>
          <w:p w14:paraId="1508165A" w14:textId="77777777" w:rsidR="002C0FD9" w:rsidRPr="00CA25CF" w:rsidRDefault="002C0FD9" w:rsidP="00CA25CF">
            <w:pPr>
              <w:rPr>
                <w:rFonts w:cs="Arial"/>
                <w:color w:val="FF0000"/>
                <w:sz w:val="21"/>
                <w:szCs w:val="21"/>
              </w:rPr>
            </w:pPr>
          </w:p>
        </w:tc>
        <w:tc>
          <w:tcPr>
            <w:tcW w:w="217" w:type="dxa"/>
          </w:tcPr>
          <w:p w14:paraId="724E349D" w14:textId="77777777" w:rsidR="002C0FD9" w:rsidRPr="00CA25CF" w:rsidRDefault="002C0FD9" w:rsidP="00CA25CF">
            <w:pPr>
              <w:rPr>
                <w:rFonts w:cs="Arial"/>
                <w:color w:val="FF0000"/>
                <w:sz w:val="21"/>
                <w:szCs w:val="21"/>
              </w:rPr>
            </w:pPr>
          </w:p>
        </w:tc>
        <w:tc>
          <w:tcPr>
            <w:tcW w:w="217" w:type="dxa"/>
          </w:tcPr>
          <w:p w14:paraId="3D455489" w14:textId="77777777" w:rsidR="002C0FD9" w:rsidRPr="00CA25CF" w:rsidRDefault="002C0FD9" w:rsidP="00CA25CF">
            <w:pPr>
              <w:rPr>
                <w:rFonts w:cs="Arial"/>
                <w:color w:val="FF0000"/>
                <w:sz w:val="21"/>
                <w:szCs w:val="21"/>
              </w:rPr>
            </w:pPr>
          </w:p>
        </w:tc>
        <w:tc>
          <w:tcPr>
            <w:tcW w:w="217" w:type="dxa"/>
          </w:tcPr>
          <w:p w14:paraId="27C8DC05" w14:textId="77777777" w:rsidR="002C0FD9" w:rsidRPr="00CA25CF" w:rsidRDefault="002C0FD9" w:rsidP="00CA25CF">
            <w:pPr>
              <w:rPr>
                <w:rFonts w:cs="Arial"/>
                <w:color w:val="FF0000"/>
                <w:sz w:val="21"/>
                <w:szCs w:val="21"/>
              </w:rPr>
            </w:pPr>
          </w:p>
        </w:tc>
        <w:tc>
          <w:tcPr>
            <w:tcW w:w="217" w:type="dxa"/>
          </w:tcPr>
          <w:p w14:paraId="5FAD73E5" w14:textId="77777777" w:rsidR="002C0FD9" w:rsidRPr="00CA25CF" w:rsidRDefault="002C0FD9" w:rsidP="00CA25CF">
            <w:pPr>
              <w:rPr>
                <w:rFonts w:cs="Arial"/>
                <w:color w:val="FF0000"/>
                <w:sz w:val="21"/>
                <w:szCs w:val="21"/>
              </w:rPr>
            </w:pPr>
          </w:p>
        </w:tc>
        <w:tc>
          <w:tcPr>
            <w:tcW w:w="217" w:type="dxa"/>
          </w:tcPr>
          <w:p w14:paraId="1C440E5B" w14:textId="77777777" w:rsidR="002C0FD9" w:rsidRPr="00CA25CF" w:rsidRDefault="002C0FD9" w:rsidP="00CA25CF">
            <w:pPr>
              <w:rPr>
                <w:rFonts w:cs="Arial"/>
                <w:color w:val="FF0000"/>
                <w:sz w:val="21"/>
                <w:szCs w:val="21"/>
              </w:rPr>
            </w:pPr>
          </w:p>
        </w:tc>
        <w:tc>
          <w:tcPr>
            <w:tcW w:w="217" w:type="dxa"/>
          </w:tcPr>
          <w:p w14:paraId="79E77DB1" w14:textId="77777777" w:rsidR="002C0FD9" w:rsidRPr="00CA25CF" w:rsidRDefault="002C0FD9" w:rsidP="00CA25CF">
            <w:pPr>
              <w:rPr>
                <w:rFonts w:cs="Arial"/>
                <w:color w:val="FF0000"/>
                <w:sz w:val="21"/>
                <w:szCs w:val="21"/>
              </w:rPr>
            </w:pPr>
          </w:p>
        </w:tc>
        <w:tc>
          <w:tcPr>
            <w:tcW w:w="217" w:type="dxa"/>
          </w:tcPr>
          <w:p w14:paraId="40CDD7D3" w14:textId="77777777" w:rsidR="002C0FD9" w:rsidRPr="00CA25CF" w:rsidRDefault="002C0FD9" w:rsidP="00CA25CF">
            <w:pPr>
              <w:rPr>
                <w:rFonts w:cs="Arial"/>
                <w:color w:val="FF0000"/>
                <w:sz w:val="21"/>
                <w:szCs w:val="21"/>
              </w:rPr>
            </w:pPr>
          </w:p>
        </w:tc>
        <w:tc>
          <w:tcPr>
            <w:tcW w:w="217" w:type="dxa"/>
          </w:tcPr>
          <w:p w14:paraId="33DDA27A" w14:textId="77777777" w:rsidR="002C0FD9" w:rsidRPr="00CA25CF" w:rsidRDefault="002C0FD9" w:rsidP="00CA25CF">
            <w:pPr>
              <w:rPr>
                <w:rFonts w:cs="Arial"/>
                <w:color w:val="FF0000"/>
                <w:sz w:val="21"/>
                <w:szCs w:val="21"/>
              </w:rPr>
            </w:pPr>
          </w:p>
        </w:tc>
        <w:tc>
          <w:tcPr>
            <w:tcW w:w="217" w:type="dxa"/>
          </w:tcPr>
          <w:p w14:paraId="58AF0094" w14:textId="77777777" w:rsidR="002C0FD9" w:rsidRPr="00CA25CF" w:rsidRDefault="002C0FD9" w:rsidP="00CA25CF">
            <w:pPr>
              <w:rPr>
                <w:rFonts w:cs="Arial"/>
                <w:color w:val="FF0000"/>
                <w:sz w:val="21"/>
                <w:szCs w:val="21"/>
              </w:rPr>
            </w:pPr>
          </w:p>
        </w:tc>
        <w:tc>
          <w:tcPr>
            <w:tcW w:w="217" w:type="dxa"/>
          </w:tcPr>
          <w:p w14:paraId="4CB61AF0" w14:textId="77777777" w:rsidR="002C0FD9" w:rsidRPr="00CA25CF" w:rsidRDefault="002C0FD9" w:rsidP="00CA25CF">
            <w:pPr>
              <w:rPr>
                <w:rFonts w:cs="Arial"/>
                <w:color w:val="FF0000"/>
                <w:sz w:val="21"/>
                <w:szCs w:val="21"/>
              </w:rPr>
            </w:pPr>
          </w:p>
        </w:tc>
        <w:tc>
          <w:tcPr>
            <w:tcW w:w="217" w:type="dxa"/>
          </w:tcPr>
          <w:p w14:paraId="0134359E" w14:textId="77777777" w:rsidR="002C0FD9" w:rsidRPr="00CA25CF" w:rsidRDefault="002C0FD9" w:rsidP="00CA25CF">
            <w:pPr>
              <w:rPr>
                <w:rFonts w:cs="Arial"/>
                <w:color w:val="FF0000"/>
                <w:sz w:val="21"/>
                <w:szCs w:val="21"/>
              </w:rPr>
            </w:pPr>
          </w:p>
        </w:tc>
        <w:tc>
          <w:tcPr>
            <w:tcW w:w="217" w:type="dxa"/>
          </w:tcPr>
          <w:p w14:paraId="4AF9AC5D" w14:textId="77777777" w:rsidR="002C0FD9" w:rsidRPr="00CA25CF" w:rsidRDefault="002C0FD9" w:rsidP="00CA25CF">
            <w:pPr>
              <w:rPr>
                <w:rFonts w:cs="Arial"/>
                <w:color w:val="FF0000"/>
                <w:sz w:val="21"/>
                <w:szCs w:val="21"/>
              </w:rPr>
            </w:pPr>
          </w:p>
        </w:tc>
        <w:tc>
          <w:tcPr>
            <w:tcW w:w="217" w:type="dxa"/>
          </w:tcPr>
          <w:p w14:paraId="67564DF1" w14:textId="77777777" w:rsidR="002C0FD9" w:rsidRPr="00CA25CF" w:rsidRDefault="002C0FD9" w:rsidP="00CA25CF">
            <w:pPr>
              <w:rPr>
                <w:rFonts w:cs="Arial"/>
                <w:color w:val="FF0000"/>
                <w:sz w:val="21"/>
                <w:szCs w:val="21"/>
              </w:rPr>
            </w:pPr>
          </w:p>
        </w:tc>
        <w:tc>
          <w:tcPr>
            <w:tcW w:w="217" w:type="dxa"/>
          </w:tcPr>
          <w:p w14:paraId="74F8F9E7" w14:textId="77777777" w:rsidR="002C0FD9" w:rsidRPr="00CA25CF" w:rsidRDefault="002C0FD9" w:rsidP="00CA25CF">
            <w:pPr>
              <w:rPr>
                <w:rFonts w:cs="Arial"/>
                <w:color w:val="FF0000"/>
                <w:sz w:val="21"/>
                <w:szCs w:val="21"/>
              </w:rPr>
            </w:pPr>
          </w:p>
        </w:tc>
        <w:tc>
          <w:tcPr>
            <w:tcW w:w="217" w:type="dxa"/>
          </w:tcPr>
          <w:p w14:paraId="0E980D94" w14:textId="77777777" w:rsidR="002C0FD9" w:rsidRPr="00CA25CF" w:rsidRDefault="002C0FD9" w:rsidP="00CA25CF">
            <w:pPr>
              <w:rPr>
                <w:rFonts w:cs="Arial"/>
                <w:color w:val="FF0000"/>
                <w:sz w:val="21"/>
                <w:szCs w:val="21"/>
              </w:rPr>
            </w:pPr>
          </w:p>
        </w:tc>
        <w:tc>
          <w:tcPr>
            <w:tcW w:w="217" w:type="dxa"/>
          </w:tcPr>
          <w:p w14:paraId="7A4DA793" w14:textId="77777777" w:rsidR="002C0FD9" w:rsidRPr="00CA25CF" w:rsidRDefault="002C0FD9" w:rsidP="00CA25CF">
            <w:pPr>
              <w:rPr>
                <w:rFonts w:cs="Arial"/>
                <w:color w:val="FF0000"/>
                <w:sz w:val="21"/>
                <w:szCs w:val="21"/>
              </w:rPr>
            </w:pPr>
          </w:p>
        </w:tc>
        <w:tc>
          <w:tcPr>
            <w:tcW w:w="217" w:type="dxa"/>
          </w:tcPr>
          <w:p w14:paraId="1022B72E" w14:textId="77777777" w:rsidR="002C0FD9" w:rsidRPr="00CA25CF" w:rsidRDefault="002C0FD9" w:rsidP="00CA25CF">
            <w:pPr>
              <w:rPr>
                <w:rFonts w:cs="Arial"/>
                <w:color w:val="FF0000"/>
                <w:sz w:val="21"/>
                <w:szCs w:val="21"/>
              </w:rPr>
            </w:pPr>
          </w:p>
        </w:tc>
        <w:tc>
          <w:tcPr>
            <w:tcW w:w="217" w:type="dxa"/>
          </w:tcPr>
          <w:p w14:paraId="1EDA0E18" w14:textId="77777777" w:rsidR="002C0FD9" w:rsidRPr="00CA25CF" w:rsidRDefault="002C0FD9" w:rsidP="00CA25CF">
            <w:pPr>
              <w:rPr>
                <w:rFonts w:cs="Arial"/>
                <w:color w:val="FF0000"/>
                <w:sz w:val="21"/>
                <w:szCs w:val="21"/>
              </w:rPr>
            </w:pPr>
          </w:p>
        </w:tc>
      </w:tr>
      <w:tr w:rsidR="002C0FD9" w:rsidRPr="00A16219" w14:paraId="1ED3B8D1" w14:textId="7FB7CDBF" w:rsidTr="002C0FD9">
        <w:trPr>
          <w:trHeight w:val="635"/>
        </w:trPr>
        <w:tc>
          <w:tcPr>
            <w:tcW w:w="515" w:type="dxa"/>
          </w:tcPr>
          <w:p w14:paraId="373AFC61" w14:textId="77777777" w:rsidR="002C0FD9" w:rsidRPr="00CA25CF" w:rsidRDefault="002C0FD9" w:rsidP="00CA25CF">
            <w:pPr>
              <w:rPr>
                <w:rFonts w:cs="Arial"/>
                <w:color w:val="FF0000"/>
                <w:sz w:val="21"/>
                <w:szCs w:val="21"/>
              </w:rPr>
            </w:pPr>
          </w:p>
        </w:tc>
        <w:tc>
          <w:tcPr>
            <w:tcW w:w="217" w:type="dxa"/>
          </w:tcPr>
          <w:p w14:paraId="76D07580" w14:textId="77777777" w:rsidR="002C0FD9" w:rsidRPr="00CA25CF" w:rsidRDefault="002C0FD9" w:rsidP="00CA25CF">
            <w:pPr>
              <w:rPr>
                <w:rFonts w:cs="Arial"/>
                <w:color w:val="FF0000"/>
                <w:sz w:val="21"/>
                <w:szCs w:val="21"/>
              </w:rPr>
            </w:pPr>
          </w:p>
        </w:tc>
        <w:tc>
          <w:tcPr>
            <w:tcW w:w="217" w:type="dxa"/>
          </w:tcPr>
          <w:p w14:paraId="6CF0EFAD" w14:textId="5A793418" w:rsidR="002C0FD9" w:rsidRPr="00CA25CF" w:rsidRDefault="002C0FD9" w:rsidP="00CA25CF">
            <w:pPr>
              <w:rPr>
                <w:rFonts w:cs="Arial"/>
                <w:color w:val="FF0000"/>
                <w:sz w:val="21"/>
                <w:szCs w:val="21"/>
              </w:rPr>
            </w:pPr>
          </w:p>
        </w:tc>
        <w:tc>
          <w:tcPr>
            <w:tcW w:w="217" w:type="dxa"/>
          </w:tcPr>
          <w:p w14:paraId="7227A2E6" w14:textId="77777777" w:rsidR="002C0FD9" w:rsidRPr="00CA25CF" w:rsidRDefault="002C0FD9" w:rsidP="00CA25CF">
            <w:pPr>
              <w:rPr>
                <w:rFonts w:cs="Arial"/>
                <w:color w:val="FF0000"/>
                <w:sz w:val="21"/>
                <w:szCs w:val="21"/>
              </w:rPr>
            </w:pPr>
          </w:p>
        </w:tc>
        <w:tc>
          <w:tcPr>
            <w:tcW w:w="217" w:type="dxa"/>
          </w:tcPr>
          <w:p w14:paraId="75A156B3" w14:textId="77777777" w:rsidR="002C0FD9" w:rsidRPr="00CA25CF" w:rsidRDefault="002C0FD9" w:rsidP="00CA25CF">
            <w:pPr>
              <w:rPr>
                <w:rFonts w:cs="Arial"/>
                <w:color w:val="FF0000"/>
                <w:sz w:val="21"/>
                <w:szCs w:val="21"/>
              </w:rPr>
            </w:pPr>
          </w:p>
        </w:tc>
        <w:tc>
          <w:tcPr>
            <w:tcW w:w="217" w:type="dxa"/>
          </w:tcPr>
          <w:p w14:paraId="498808B0" w14:textId="77777777" w:rsidR="002C0FD9" w:rsidRPr="00CA25CF" w:rsidRDefault="002C0FD9" w:rsidP="00CA25CF">
            <w:pPr>
              <w:rPr>
                <w:rFonts w:cs="Arial"/>
                <w:color w:val="FF0000"/>
                <w:sz w:val="21"/>
                <w:szCs w:val="21"/>
              </w:rPr>
            </w:pPr>
          </w:p>
        </w:tc>
        <w:tc>
          <w:tcPr>
            <w:tcW w:w="217" w:type="dxa"/>
          </w:tcPr>
          <w:p w14:paraId="02C224ED" w14:textId="77777777" w:rsidR="002C0FD9" w:rsidRPr="00CA25CF" w:rsidRDefault="002C0FD9" w:rsidP="00CA25CF">
            <w:pPr>
              <w:rPr>
                <w:rFonts w:cs="Arial"/>
                <w:color w:val="FF0000"/>
                <w:sz w:val="21"/>
                <w:szCs w:val="21"/>
              </w:rPr>
            </w:pPr>
          </w:p>
        </w:tc>
        <w:tc>
          <w:tcPr>
            <w:tcW w:w="217" w:type="dxa"/>
          </w:tcPr>
          <w:p w14:paraId="6D0F5B88" w14:textId="77777777" w:rsidR="002C0FD9" w:rsidRPr="00CA25CF" w:rsidRDefault="002C0FD9" w:rsidP="00CA25CF">
            <w:pPr>
              <w:rPr>
                <w:rFonts w:cs="Arial"/>
                <w:color w:val="FF0000"/>
                <w:sz w:val="21"/>
                <w:szCs w:val="21"/>
              </w:rPr>
            </w:pPr>
          </w:p>
        </w:tc>
        <w:tc>
          <w:tcPr>
            <w:tcW w:w="217" w:type="dxa"/>
          </w:tcPr>
          <w:p w14:paraId="01375C89" w14:textId="77777777" w:rsidR="002C0FD9" w:rsidRPr="00CA25CF" w:rsidRDefault="002C0FD9" w:rsidP="00CA25CF">
            <w:pPr>
              <w:rPr>
                <w:rFonts w:cs="Arial"/>
                <w:color w:val="FF0000"/>
                <w:sz w:val="21"/>
                <w:szCs w:val="21"/>
              </w:rPr>
            </w:pPr>
          </w:p>
        </w:tc>
        <w:tc>
          <w:tcPr>
            <w:tcW w:w="217" w:type="dxa"/>
          </w:tcPr>
          <w:p w14:paraId="43E59C02" w14:textId="77777777" w:rsidR="002C0FD9" w:rsidRPr="00CA25CF" w:rsidRDefault="002C0FD9" w:rsidP="00CA25CF">
            <w:pPr>
              <w:rPr>
                <w:rFonts w:cs="Arial"/>
                <w:color w:val="FF0000"/>
                <w:sz w:val="21"/>
                <w:szCs w:val="21"/>
              </w:rPr>
            </w:pPr>
          </w:p>
        </w:tc>
        <w:tc>
          <w:tcPr>
            <w:tcW w:w="217" w:type="dxa"/>
          </w:tcPr>
          <w:p w14:paraId="5A9EC0F5" w14:textId="77777777" w:rsidR="002C0FD9" w:rsidRPr="00CA25CF" w:rsidRDefault="002C0FD9" w:rsidP="00CA25CF">
            <w:pPr>
              <w:rPr>
                <w:rFonts w:cs="Arial"/>
                <w:color w:val="FF0000"/>
                <w:sz w:val="21"/>
                <w:szCs w:val="21"/>
              </w:rPr>
            </w:pPr>
          </w:p>
        </w:tc>
        <w:tc>
          <w:tcPr>
            <w:tcW w:w="217" w:type="dxa"/>
          </w:tcPr>
          <w:p w14:paraId="175D6035" w14:textId="77777777" w:rsidR="002C0FD9" w:rsidRPr="00CA25CF" w:rsidRDefault="002C0FD9" w:rsidP="00CA25CF">
            <w:pPr>
              <w:rPr>
                <w:rFonts w:cs="Arial"/>
                <w:color w:val="FF0000"/>
                <w:sz w:val="21"/>
                <w:szCs w:val="21"/>
              </w:rPr>
            </w:pPr>
          </w:p>
        </w:tc>
        <w:tc>
          <w:tcPr>
            <w:tcW w:w="217" w:type="dxa"/>
          </w:tcPr>
          <w:p w14:paraId="744085A0" w14:textId="77777777" w:rsidR="002C0FD9" w:rsidRPr="00CA25CF" w:rsidRDefault="002C0FD9" w:rsidP="00CA25CF">
            <w:pPr>
              <w:rPr>
                <w:rFonts w:cs="Arial"/>
                <w:color w:val="FF0000"/>
                <w:sz w:val="21"/>
                <w:szCs w:val="21"/>
              </w:rPr>
            </w:pPr>
          </w:p>
        </w:tc>
        <w:tc>
          <w:tcPr>
            <w:tcW w:w="217" w:type="dxa"/>
          </w:tcPr>
          <w:p w14:paraId="6A534A0D" w14:textId="77777777" w:rsidR="002C0FD9" w:rsidRPr="00CA25CF" w:rsidRDefault="002C0FD9" w:rsidP="00CA25CF">
            <w:pPr>
              <w:rPr>
                <w:rFonts w:cs="Arial"/>
                <w:color w:val="FF0000"/>
                <w:sz w:val="21"/>
                <w:szCs w:val="21"/>
              </w:rPr>
            </w:pPr>
          </w:p>
        </w:tc>
        <w:tc>
          <w:tcPr>
            <w:tcW w:w="217" w:type="dxa"/>
          </w:tcPr>
          <w:p w14:paraId="184CC964" w14:textId="77777777" w:rsidR="002C0FD9" w:rsidRPr="00CA25CF" w:rsidRDefault="002C0FD9" w:rsidP="00CA25CF">
            <w:pPr>
              <w:rPr>
                <w:rFonts w:cs="Arial"/>
                <w:color w:val="FF0000"/>
                <w:sz w:val="21"/>
                <w:szCs w:val="21"/>
              </w:rPr>
            </w:pPr>
          </w:p>
        </w:tc>
        <w:tc>
          <w:tcPr>
            <w:tcW w:w="217" w:type="dxa"/>
          </w:tcPr>
          <w:p w14:paraId="54D6ADAF" w14:textId="77777777" w:rsidR="002C0FD9" w:rsidRPr="00CA25CF" w:rsidRDefault="002C0FD9" w:rsidP="00CA25CF">
            <w:pPr>
              <w:rPr>
                <w:rFonts w:cs="Arial"/>
                <w:color w:val="FF0000"/>
                <w:sz w:val="21"/>
                <w:szCs w:val="21"/>
              </w:rPr>
            </w:pPr>
          </w:p>
        </w:tc>
        <w:tc>
          <w:tcPr>
            <w:tcW w:w="217" w:type="dxa"/>
          </w:tcPr>
          <w:p w14:paraId="4AD200CB" w14:textId="77777777" w:rsidR="002C0FD9" w:rsidRPr="00CA25CF" w:rsidRDefault="002C0FD9" w:rsidP="00CA25CF">
            <w:pPr>
              <w:rPr>
                <w:rFonts w:cs="Arial"/>
                <w:color w:val="FF0000"/>
                <w:sz w:val="21"/>
                <w:szCs w:val="21"/>
              </w:rPr>
            </w:pPr>
          </w:p>
        </w:tc>
        <w:tc>
          <w:tcPr>
            <w:tcW w:w="217" w:type="dxa"/>
          </w:tcPr>
          <w:p w14:paraId="75754D00" w14:textId="77777777" w:rsidR="002C0FD9" w:rsidRPr="00CA25CF" w:rsidRDefault="002C0FD9" w:rsidP="00CA25CF">
            <w:pPr>
              <w:rPr>
                <w:rFonts w:cs="Arial"/>
                <w:color w:val="FF0000"/>
                <w:sz w:val="21"/>
                <w:szCs w:val="21"/>
              </w:rPr>
            </w:pPr>
          </w:p>
        </w:tc>
        <w:tc>
          <w:tcPr>
            <w:tcW w:w="217" w:type="dxa"/>
          </w:tcPr>
          <w:p w14:paraId="3017F05D" w14:textId="77777777" w:rsidR="002C0FD9" w:rsidRPr="00CA25CF" w:rsidRDefault="002C0FD9" w:rsidP="00CA25CF">
            <w:pPr>
              <w:rPr>
                <w:rFonts w:cs="Arial"/>
                <w:color w:val="FF0000"/>
                <w:sz w:val="21"/>
                <w:szCs w:val="21"/>
              </w:rPr>
            </w:pPr>
          </w:p>
        </w:tc>
        <w:tc>
          <w:tcPr>
            <w:tcW w:w="217" w:type="dxa"/>
          </w:tcPr>
          <w:p w14:paraId="216CE0E6" w14:textId="77777777" w:rsidR="002C0FD9" w:rsidRPr="00CA25CF" w:rsidRDefault="002C0FD9" w:rsidP="00CA25CF">
            <w:pPr>
              <w:rPr>
                <w:rFonts w:cs="Arial"/>
                <w:color w:val="FF0000"/>
                <w:sz w:val="21"/>
                <w:szCs w:val="21"/>
              </w:rPr>
            </w:pPr>
          </w:p>
        </w:tc>
        <w:tc>
          <w:tcPr>
            <w:tcW w:w="217" w:type="dxa"/>
          </w:tcPr>
          <w:p w14:paraId="68FCAB79" w14:textId="77777777" w:rsidR="002C0FD9" w:rsidRPr="00CA25CF" w:rsidRDefault="002C0FD9" w:rsidP="00CA25CF">
            <w:pPr>
              <w:rPr>
                <w:rFonts w:cs="Arial"/>
                <w:color w:val="FF0000"/>
                <w:sz w:val="21"/>
                <w:szCs w:val="21"/>
              </w:rPr>
            </w:pPr>
          </w:p>
        </w:tc>
        <w:tc>
          <w:tcPr>
            <w:tcW w:w="217" w:type="dxa"/>
          </w:tcPr>
          <w:p w14:paraId="404B2B95" w14:textId="77777777" w:rsidR="002C0FD9" w:rsidRPr="00CA25CF" w:rsidRDefault="002C0FD9" w:rsidP="00CA25CF">
            <w:pPr>
              <w:rPr>
                <w:rFonts w:cs="Arial"/>
                <w:color w:val="FF0000"/>
                <w:sz w:val="21"/>
                <w:szCs w:val="21"/>
              </w:rPr>
            </w:pPr>
          </w:p>
        </w:tc>
        <w:tc>
          <w:tcPr>
            <w:tcW w:w="217" w:type="dxa"/>
          </w:tcPr>
          <w:p w14:paraId="495D13CB" w14:textId="77777777" w:rsidR="002C0FD9" w:rsidRPr="00CA25CF" w:rsidRDefault="002C0FD9" w:rsidP="00CA25CF">
            <w:pPr>
              <w:rPr>
                <w:rFonts w:cs="Arial"/>
                <w:color w:val="FF0000"/>
                <w:sz w:val="21"/>
                <w:szCs w:val="21"/>
              </w:rPr>
            </w:pPr>
          </w:p>
        </w:tc>
        <w:tc>
          <w:tcPr>
            <w:tcW w:w="217" w:type="dxa"/>
          </w:tcPr>
          <w:p w14:paraId="12CD32E2" w14:textId="77777777" w:rsidR="002C0FD9" w:rsidRPr="00CA25CF" w:rsidRDefault="002C0FD9" w:rsidP="00CA25CF">
            <w:pPr>
              <w:rPr>
                <w:rFonts w:cs="Arial"/>
                <w:color w:val="FF0000"/>
                <w:sz w:val="21"/>
                <w:szCs w:val="21"/>
              </w:rPr>
            </w:pPr>
          </w:p>
        </w:tc>
        <w:tc>
          <w:tcPr>
            <w:tcW w:w="217" w:type="dxa"/>
          </w:tcPr>
          <w:p w14:paraId="6525BD4C" w14:textId="77777777" w:rsidR="002C0FD9" w:rsidRPr="00CA25CF" w:rsidRDefault="002C0FD9" w:rsidP="00CA25CF">
            <w:pPr>
              <w:rPr>
                <w:rFonts w:cs="Arial"/>
                <w:color w:val="FF0000"/>
                <w:sz w:val="21"/>
                <w:szCs w:val="21"/>
              </w:rPr>
            </w:pPr>
          </w:p>
        </w:tc>
        <w:tc>
          <w:tcPr>
            <w:tcW w:w="217" w:type="dxa"/>
          </w:tcPr>
          <w:p w14:paraId="73DC0B76" w14:textId="77777777" w:rsidR="002C0FD9" w:rsidRPr="00CA25CF" w:rsidRDefault="002C0FD9" w:rsidP="00CA25CF">
            <w:pPr>
              <w:rPr>
                <w:rFonts w:cs="Arial"/>
                <w:color w:val="FF0000"/>
                <w:sz w:val="21"/>
                <w:szCs w:val="21"/>
              </w:rPr>
            </w:pPr>
          </w:p>
        </w:tc>
        <w:tc>
          <w:tcPr>
            <w:tcW w:w="217" w:type="dxa"/>
          </w:tcPr>
          <w:p w14:paraId="5BB09B90" w14:textId="77777777" w:rsidR="002C0FD9" w:rsidRPr="00CA25CF" w:rsidRDefault="002C0FD9" w:rsidP="00CA25CF">
            <w:pPr>
              <w:rPr>
                <w:rFonts w:cs="Arial"/>
                <w:color w:val="FF0000"/>
                <w:sz w:val="21"/>
                <w:szCs w:val="21"/>
              </w:rPr>
            </w:pPr>
          </w:p>
        </w:tc>
        <w:tc>
          <w:tcPr>
            <w:tcW w:w="217" w:type="dxa"/>
          </w:tcPr>
          <w:p w14:paraId="214CBA28" w14:textId="77777777" w:rsidR="002C0FD9" w:rsidRPr="00CA25CF" w:rsidRDefault="002C0FD9" w:rsidP="00CA25CF">
            <w:pPr>
              <w:rPr>
                <w:rFonts w:cs="Arial"/>
                <w:color w:val="FF0000"/>
                <w:sz w:val="21"/>
                <w:szCs w:val="21"/>
              </w:rPr>
            </w:pPr>
          </w:p>
        </w:tc>
        <w:tc>
          <w:tcPr>
            <w:tcW w:w="217" w:type="dxa"/>
          </w:tcPr>
          <w:p w14:paraId="178E5804" w14:textId="77777777" w:rsidR="002C0FD9" w:rsidRPr="00CA25CF" w:rsidRDefault="002C0FD9" w:rsidP="00CA25CF">
            <w:pPr>
              <w:rPr>
                <w:rFonts w:cs="Arial"/>
                <w:color w:val="FF0000"/>
                <w:sz w:val="21"/>
                <w:szCs w:val="21"/>
              </w:rPr>
            </w:pPr>
          </w:p>
        </w:tc>
        <w:tc>
          <w:tcPr>
            <w:tcW w:w="217" w:type="dxa"/>
          </w:tcPr>
          <w:p w14:paraId="4AD34FDE" w14:textId="77777777" w:rsidR="002C0FD9" w:rsidRPr="00CA25CF" w:rsidRDefault="002C0FD9" w:rsidP="00CA25CF">
            <w:pPr>
              <w:rPr>
                <w:rFonts w:cs="Arial"/>
                <w:color w:val="FF0000"/>
                <w:sz w:val="21"/>
                <w:szCs w:val="21"/>
              </w:rPr>
            </w:pPr>
          </w:p>
        </w:tc>
        <w:tc>
          <w:tcPr>
            <w:tcW w:w="217" w:type="dxa"/>
          </w:tcPr>
          <w:p w14:paraId="27ABDD41" w14:textId="77777777" w:rsidR="002C0FD9" w:rsidRPr="00CA25CF" w:rsidRDefault="002C0FD9" w:rsidP="00CA25CF">
            <w:pPr>
              <w:rPr>
                <w:rFonts w:cs="Arial"/>
                <w:color w:val="FF0000"/>
                <w:sz w:val="21"/>
                <w:szCs w:val="21"/>
              </w:rPr>
            </w:pPr>
          </w:p>
        </w:tc>
        <w:tc>
          <w:tcPr>
            <w:tcW w:w="217" w:type="dxa"/>
          </w:tcPr>
          <w:p w14:paraId="0753C5C8" w14:textId="77777777" w:rsidR="002C0FD9" w:rsidRPr="00CA25CF" w:rsidRDefault="002C0FD9" w:rsidP="00CA25CF">
            <w:pPr>
              <w:rPr>
                <w:rFonts w:cs="Arial"/>
                <w:color w:val="FF0000"/>
                <w:sz w:val="21"/>
                <w:szCs w:val="21"/>
              </w:rPr>
            </w:pPr>
          </w:p>
        </w:tc>
        <w:tc>
          <w:tcPr>
            <w:tcW w:w="217" w:type="dxa"/>
          </w:tcPr>
          <w:p w14:paraId="33D741DB" w14:textId="77777777" w:rsidR="002C0FD9" w:rsidRPr="00CA25CF" w:rsidRDefault="002C0FD9" w:rsidP="00CA25CF">
            <w:pPr>
              <w:rPr>
                <w:rFonts w:cs="Arial"/>
                <w:color w:val="FF0000"/>
                <w:sz w:val="21"/>
                <w:szCs w:val="21"/>
              </w:rPr>
            </w:pPr>
          </w:p>
        </w:tc>
        <w:tc>
          <w:tcPr>
            <w:tcW w:w="217" w:type="dxa"/>
          </w:tcPr>
          <w:p w14:paraId="64062AE0" w14:textId="77777777" w:rsidR="002C0FD9" w:rsidRPr="00CA25CF" w:rsidRDefault="002C0FD9" w:rsidP="00CA25CF">
            <w:pPr>
              <w:rPr>
                <w:rFonts w:cs="Arial"/>
                <w:color w:val="FF0000"/>
                <w:sz w:val="21"/>
                <w:szCs w:val="21"/>
              </w:rPr>
            </w:pPr>
          </w:p>
        </w:tc>
        <w:tc>
          <w:tcPr>
            <w:tcW w:w="217" w:type="dxa"/>
          </w:tcPr>
          <w:p w14:paraId="5BA7B5AE" w14:textId="77777777" w:rsidR="002C0FD9" w:rsidRPr="00CA25CF" w:rsidRDefault="002C0FD9" w:rsidP="00CA25CF">
            <w:pPr>
              <w:rPr>
                <w:rFonts w:cs="Arial"/>
                <w:color w:val="FF0000"/>
                <w:sz w:val="21"/>
                <w:szCs w:val="21"/>
              </w:rPr>
            </w:pPr>
          </w:p>
        </w:tc>
        <w:tc>
          <w:tcPr>
            <w:tcW w:w="217" w:type="dxa"/>
          </w:tcPr>
          <w:p w14:paraId="4BF1BA0A" w14:textId="77777777" w:rsidR="002C0FD9" w:rsidRPr="00CA25CF" w:rsidRDefault="002C0FD9" w:rsidP="00CA25CF">
            <w:pPr>
              <w:rPr>
                <w:rFonts w:cs="Arial"/>
                <w:color w:val="FF0000"/>
                <w:sz w:val="21"/>
                <w:szCs w:val="21"/>
              </w:rPr>
            </w:pPr>
          </w:p>
        </w:tc>
        <w:tc>
          <w:tcPr>
            <w:tcW w:w="217" w:type="dxa"/>
          </w:tcPr>
          <w:p w14:paraId="137AE5B5" w14:textId="77777777" w:rsidR="002C0FD9" w:rsidRPr="00CA25CF" w:rsidRDefault="002C0FD9" w:rsidP="00CA25CF">
            <w:pPr>
              <w:rPr>
                <w:rFonts w:cs="Arial"/>
                <w:color w:val="FF0000"/>
                <w:sz w:val="21"/>
                <w:szCs w:val="21"/>
              </w:rPr>
            </w:pPr>
          </w:p>
        </w:tc>
        <w:tc>
          <w:tcPr>
            <w:tcW w:w="217" w:type="dxa"/>
          </w:tcPr>
          <w:p w14:paraId="6CCAFC96" w14:textId="77777777" w:rsidR="002C0FD9" w:rsidRPr="00CA25CF" w:rsidRDefault="002C0FD9" w:rsidP="00CA25CF">
            <w:pPr>
              <w:rPr>
                <w:rFonts w:cs="Arial"/>
                <w:color w:val="FF0000"/>
                <w:sz w:val="21"/>
                <w:szCs w:val="21"/>
              </w:rPr>
            </w:pPr>
          </w:p>
        </w:tc>
        <w:tc>
          <w:tcPr>
            <w:tcW w:w="217" w:type="dxa"/>
          </w:tcPr>
          <w:p w14:paraId="4248EA4C" w14:textId="77777777" w:rsidR="002C0FD9" w:rsidRPr="00CA25CF" w:rsidRDefault="002C0FD9" w:rsidP="00CA25CF">
            <w:pPr>
              <w:rPr>
                <w:rFonts w:cs="Arial"/>
                <w:color w:val="FF0000"/>
                <w:sz w:val="21"/>
                <w:szCs w:val="21"/>
              </w:rPr>
            </w:pPr>
          </w:p>
        </w:tc>
        <w:tc>
          <w:tcPr>
            <w:tcW w:w="217" w:type="dxa"/>
          </w:tcPr>
          <w:p w14:paraId="02513D5B" w14:textId="77777777" w:rsidR="002C0FD9" w:rsidRPr="00CA25CF" w:rsidRDefault="002C0FD9" w:rsidP="00CA25CF">
            <w:pPr>
              <w:rPr>
                <w:rFonts w:cs="Arial"/>
                <w:color w:val="FF0000"/>
                <w:sz w:val="21"/>
                <w:szCs w:val="21"/>
              </w:rPr>
            </w:pPr>
          </w:p>
        </w:tc>
        <w:tc>
          <w:tcPr>
            <w:tcW w:w="217" w:type="dxa"/>
          </w:tcPr>
          <w:p w14:paraId="01AB7413" w14:textId="77777777" w:rsidR="002C0FD9" w:rsidRPr="00CA25CF" w:rsidRDefault="002C0FD9" w:rsidP="00CA25CF">
            <w:pPr>
              <w:rPr>
                <w:rFonts w:cs="Arial"/>
                <w:color w:val="FF0000"/>
                <w:sz w:val="21"/>
                <w:szCs w:val="21"/>
              </w:rPr>
            </w:pPr>
          </w:p>
        </w:tc>
        <w:tc>
          <w:tcPr>
            <w:tcW w:w="217" w:type="dxa"/>
          </w:tcPr>
          <w:p w14:paraId="2990B03B" w14:textId="77777777" w:rsidR="002C0FD9" w:rsidRPr="00CA25CF" w:rsidRDefault="002C0FD9" w:rsidP="00CA25CF">
            <w:pPr>
              <w:rPr>
                <w:rFonts w:cs="Arial"/>
                <w:color w:val="FF0000"/>
                <w:sz w:val="21"/>
                <w:szCs w:val="21"/>
              </w:rPr>
            </w:pPr>
          </w:p>
        </w:tc>
        <w:tc>
          <w:tcPr>
            <w:tcW w:w="217" w:type="dxa"/>
          </w:tcPr>
          <w:p w14:paraId="2EC5A22B" w14:textId="77777777" w:rsidR="002C0FD9" w:rsidRPr="00CA25CF" w:rsidRDefault="002C0FD9" w:rsidP="00CA25CF">
            <w:pPr>
              <w:rPr>
                <w:rFonts w:cs="Arial"/>
                <w:color w:val="FF0000"/>
                <w:sz w:val="21"/>
                <w:szCs w:val="21"/>
              </w:rPr>
            </w:pPr>
          </w:p>
        </w:tc>
      </w:tr>
      <w:tr w:rsidR="002C0FD9" w:rsidRPr="00A16219" w14:paraId="278DFB28" w14:textId="056BDB9D" w:rsidTr="002C0FD9">
        <w:trPr>
          <w:trHeight w:val="635"/>
        </w:trPr>
        <w:tc>
          <w:tcPr>
            <w:tcW w:w="515" w:type="dxa"/>
          </w:tcPr>
          <w:p w14:paraId="3B65DA8E" w14:textId="77777777" w:rsidR="002C0FD9" w:rsidRPr="00CA25CF" w:rsidRDefault="002C0FD9" w:rsidP="00CA25CF">
            <w:pPr>
              <w:rPr>
                <w:rFonts w:cs="Arial"/>
                <w:color w:val="FF0000"/>
                <w:sz w:val="21"/>
                <w:szCs w:val="21"/>
              </w:rPr>
            </w:pPr>
          </w:p>
        </w:tc>
        <w:tc>
          <w:tcPr>
            <w:tcW w:w="217" w:type="dxa"/>
          </w:tcPr>
          <w:p w14:paraId="14605FBC" w14:textId="77777777" w:rsidR="002C0FD9" w:rsidRPr="00CA25CF" w:rsidRDefault="002C0FD9" w:rsidP="00CA25CF">
            <w:pPr>
              <w:rPr>
                <w:rFonts w:cs="Arial"/>
                <w:color w:val="FF0000"/>
                <w:sz w:val="21"/>
                <w:szCs w:val="21"/>
              </w:rPr>
            </w:pPr>
          </w:p>
        </w:tc>
        <w:tc>
          <w:tcPr>
            <w:tcW w:w="217" w:type="dxa"/>
          </w:tcPr>
          <w:p w14:paraId="4D7E4F01" w14:textId="49DBE802" w:rsidR="002C0FD9" w:rsidRPr="00CA25CF" w:rsidRDefault="002C0FD9" w:rsidP="00CA25CF">
            <w:pPr>
              <w:rPr>
                <w:rFonts w:cs="Arial"/>
                <w:color w:val="FF0000"/>
                <w:sz w:val="21"/>
                <w:szCs w:val="21"/>
              </w:rPr>
            </w:pPr>
          </w:p>
        </w:tc>
        <w:tc>
          <w:tcPr>
            <w:tcW w:w="217" w:type="dxa"/>
          </w:tcPr>
          <w:p w14:paraId="01A9B5E7" w14:textId="77777777" w:rsidR="002C0FD9" w:rsidRPr="00CA25CF" w:rsidRDefault="002C0FD9" w:rsidP="00CA25CF">
            <w:pPr>
              <w:rPr>
                <w:rFonts w:cs="Arial"/>
                <w:color w:val="FF0000"/>
                <w:sz w:val="21"/>
                <w:szCs w:val="21"/>
              </w:rPr>
            </w:pPr>
          </w:p>
        </w:tc>
        <w:tc>
          <w:tcPr>
            <w:tcW w:w="217" w:type="dxa"/>
          </w:tcPr>
          <w:p w14:paraId="66B41EE8" w14:textId="77777777" w:rsidR="002C0FD9" w:rsidRPr="00CA25CF" w:rsidRDefault="002C0FD9" w:rsidP="00CA25CF">
            <w:pPr>
              <w:rPr>
                <w:rFonts w:cs="Arial"/>
                <w:color w:val="FF0000"/>
                <w:sz w:val="21"/>
                <w:szCs w:val="21"/>
              </w:rPr>
            </w:pPr>
          </w:p>
        </w:tc>
        <w:tc>
          <w:tcPr>
            <w:tcW w:w="217" w:type="dxa"/>
          </w:tcPr>
          <w:p w14:paraId="271288C5" w14:textId="77777777" w:rsidR="002C0FD9" w:rsidRPr="00CA25CF" w:rsidRDefault="002C0FD9" w:rsidP="00CA25CF">
            <w:pPr>
              <w:rPr>
                <w:rFonts w:cs="Arial"/>
                <w:color w:val="FF0000"/>
                <w:sz w:val="21"/>
                <w:szCs w:val="21"/>
              </w:rPr>
            </w:pPr>
          </w:p>
        </w:tc>
        <w:tc>
          <w:tcPr>
            <w:tcW w:w="217" w:type="dxa"/>
          </w:tcPr>
          <w:p w14:paraId="0D15AE62" w14:textId="77777777" w:rsidR="002C0FD9" w:rsidRPr="00CA25CF" w:rsidRDefault="002C0FD9" w:rsidP="00CA25CF">
            <w:pPr>
              <w:rPr>
                <w:rFonts w:cs="Arial"/>
                <w:color w:val="FF0000"/>
                <w:sz w:val="21"/>
                <w:szCs w:val="21"/>
              </w:rPr>
            </w:pPr>
          </w:p>
        </w:tc>
        <w:tc>
          <w:tcPr>
            <w:tcW w:w="217" w:type="dxa"/>
          </w:tcPr>
          <w:p w14:paraId="13CF9DA7" w14:textId="77777777" w:rsidR="002C0FD9" w:rsidRPr="00CA25CF" w:rsidRDefault="002C0FD9" w:rsidP="00CA25CF">
            <w:pPr>
              <w:rPr>
                <w:rFonts w:cs="Arial"/>
                <w:color w:val="FF0000"/>
                <w:sz w:val="21"/>
                <w:szCs w:val="21"/>
              </w:rPr>
            </w:pPr>
          </w:p>
        </w:tc>
        <w:tc>
          <w:tcPr>
            <w:tcW w:w="217" w:type="dxa"/>
          </w:tcPr>
          <w:p w14:paraId="1EDFBE0D" w14:textId="77777777" w:rsidR="002C0FD9" w:rsidRPr="00CA25CF" w:rsidRDefault="002C0FD9" w:rsidP="00CA25CF">
            <w:pPr>
              <w:rPr>
                <w:rFonts w:cs="Arial"/>
                <w:color w:val="FF0000"/>
                <w:sz w:val="21"/>
                <w:szCs w:val="21"/>
              </w:rPr>
            </w:pPr>
          </w:p>
        </w:tc>
        <w:tc>
          <w:tcPr>
            <w:tcW w:w="217" w:type="dxa"/>
          </w:tcPr>
          <w:p w14:paraId="088ABCE9" w14:textId="77777777" w:rsidR="002C0FD9" w:rsidRPr="00CA25CF" w:rsidRDefault="002C0FD9" w:rsidP="00CA25CF">
            <w:pPr>
              <w:rPr>
                <w:rFonts w:cs="Arial"/>
                <w:color w:val="FF0000"/>
                <w:sz w:val="21"/>
                <w:szCs w:val="21"/>
              </w:rPr>
            </w:pPr>
          </w:p>
        </w:tc>
        <w:tc>
          <w:tcPr>
            <w:tcW w:w="217" w:type="dxa"/>
          </w:tcPr>
          <w:p w14:paraId="4D7DF55C" w14:textId="77777777" w:rsidR="002C0FD9" w:rsidRPr="00CA25CF" w:rsidRDefault="002C0FD9" w:rsidP="00CA25CF">
            <w:pPr>
              <w:rPr>
                <w:rFonts w:cs="Arial"/>
                <w:color w:val="FF0000"/>
                <w:sz w:val="21"/>
                <w:szCs w:val="21"/>
              </w:rPr>
            </w:pPr>
          </w:p>
        </w:tc>
        <w:tc>
          <w:tcPr>
            <w:tcW w:w="217" w:type="dxa"/>
          </w:tcPr>
          <w:p w14:paraId="743AA588" w14:textId="77777777" w:rsidR="002C0FD9" w:rsidRPr="00CA25CF" w:rsidRDefault="002C0FD9" w:rsidP="00CA25CF">
            <w:pPr>
              <w:rPr>
                <w:rFonts w:cs="Arial"/>
                <w:color w:val="FF0000"/>
                <w:sz w:val="21"/>
                <w:szCs w:val="21"/>
              </w:rPr>
            </w:pPr>
          </w:p>
        </w:tc>
        <w:tc>
          <w:tcPr>
            <w:tcW w:w="217" w:type="dxa"/>
          </w:tcPr>
          <w:p w14:paraId="08ED4DD1" w14:textId="77777777" w:rsidR="002C0FD9" w:rsidRPr="00CA25CF" w:rsidRDefault="002C0FD9" w:rsidP="00CA25CF">
            <w:pPr>
              <w:rPr>
                <w:rFonts w:cs="Arial"/>
                <w:color w:val="FF0000"/>
                <w:sz w:val="21"/>
                <w:szCs w:val="21"/>
              </w:rPr>
            </w:pPr>
          </w:p>
        </w:tc>
        <w:tc>
          <w:tcPr>
            <w:tcW w:w="217" w:type="dxa"/>
          </w:tcPr>
          <w:p w14:paraId="12CF04B3" w14:textId="77777777" w:rsidR="002C0FD9" w:rsidRPr="00CA25CF" w:rsidRDefault="002C0FD9" w:rsidP="00CA25CF">
            <w:pPr>
              <w:rPr>
                <w:rFonts w:cs="Arial"/>
                <w:color w:val="FF0000"/>
                <w:sz w:val="21"/>
                <w:szCs w:val="21"/>
              </w:rPr>
            </w:pPr>
          </w:p>
        </w:tc>
        <w:tc>
          <w:tcPr>
            <w:tcW w:w="217" w:type="dxa"/>
          </w:tcPr>
          <w:p w14:paraId="2AF3FC3A" w14:textId="77777777" w:rsidR="002C0FD9" w:rsidRPr="00CA25CF" w:rsidRDefault="002C0FD9" w:rsidP="00CA25CF">
            <w:pPr>
              <w:rPr>
                <w:rFonts w:cs="Arial"/>
                <w:color w:val="FF0000"/>
                <w:sz w:val="21"/>
                <w:szCs w:val="21"/>
              </w:rPr>
            </w:pPr>
          </w:p>
        </w:tc>
        <w:tc>
          <w:tcPr>
            <w:tcW w:w="217" w:type="dxa"/>
          </w:tcPr>
          <w:p w14:paraId="6D20158F" w14:textId="77777777" w:rsidR="002C0FD9" w:rsidRPr="00CA25CF" w:rsidRDefault="002C0FD9" w:rsidP="00CA25CF">
            <w:pPr>
              <w:rPr>
                <w:rFonts w:cs="Arial"/>
                <w:color w:val="FF0000"/>
                <w:sz w:val="21"/>
                <w:szCs w:val="21"/>
              </w:rPr>
            </w:pPr>
          </w:p>
        </w:tc>
        <w:tc>
          <w:tcPr>
            <w:tcW w:w="217" w:type="dxa"/>
          </w:tcPr>
          <w:p w14:paraId="02E7FCA6" w14:textId="77777777" w:rsidR="002C0FD9" w:rsidRPr="00CA25CF" w:rsidRDefault="002C0FD9" w:rsidP="00CA25CF">
            <w:pPr>
              <w:rPr>
                <w:rFonts w:cs="Arial"/>
                <w:color w:val="FF0000"/>
                <w:sz w:val="21"/>
                <w:szCs w:val="21"/>
              </w:rPr>
            </w:pPr>
          </w:p>
        </w:tc>
        <w:tc>
          <w:tcPr>
            <w:tcW w:w="217" w:type="dxa"/>
          </w:tcPr>
          <w:p w14:paraId="18D41CC9" w14:textId="77777777" w:rsidR="002C0FD9" w:rsidRPr="00CA25CF" w:rsidRDefault="002C0FD9" w:rsidP="00CA25CF">
            <w:pPr>
              <w:rPr>
                <w:rFonts w:cs="Arial"/>
                <w:color w:val="FF0000"/>
                <w:sz w:val="21"/>
                <w:szCs w:val="21"/>
              </w:rPr>
            </w:pPr>
          </w:p>
        </w:tc>
        <w:tc>
          <w:tcPr>
            <w:tcW w:w="217" w:type="dxa"/>
          </w:tcPr>
          <w:p w14:paraId="1C611282" w14:textId="77777777" w:rsidR="002C0FD9" w:rsidRPr="00CA25CF" w:rsidRDefault="002C0FD9" w:rsidP="00CA25CF">
            <w:pPr>
              <w:rPr>
                <w:rFonts w:cs="Arial"/>
                <w:color w:val="FF0000"/>
                <w:sz w:val="21"/>
                <w:szCs w:val="21"/>
              </w:rPr>
            </w:pPr>
          </w:p>
        </w:tc>
        <w:tc>
          <w:tcPr>
            <w:tcW w:w="217" w:type="dxa"/>
          </w:tcPr>
          <w:p w14:paraId="530FB448" w14:textId="77777777" w:rsidR="002C0FD9" w:rsidRPr="00CA25CF" w:rsidRDefault="002C0FD9" w:rsidP="00CA25CF">
            <w:pPr>
              <w:rPr>
                <w:rFonts w:cs="Arial"/>
                <w:color w:val="FF0000"/>
                <w:sz w:val="21"/>
                <w:szCs w:val="21"/>
              </w:rPr>
            </w:pPr>
          </w:p>
        </w:tc>
        <w:tc>
          <w:tcPr>
            <w:tcW w:w="217" w:type="dxa"/>
          </w:tcPr>
          <w:p w14:paraId="1C840AB2" w14:textId="77777777" w:rsidR="002C0FD9" w:rsidRPr="00CA25CF" w:rsidRDefault="002C0FD9" w:rsidP="00CA25CF">
            <w:pPr>
              <w:rPr>
                <w:rFonts w:cs="Arial"/>
                <w:color w:val="FF0000"/>
                <w:sz w:val="21"/>
                <w:szCs w:val="21"/>
              </w:rPr>
            </w:pPr>
          </w:p>
        </w:tc>
        <w:tc>
          <w:tcPr>
            <w:tcW w:w="217" w:type="dxa"/>
          </w:tcPr>
          <w:p w14:paraId="109B0EA8" w14:textId="77777777" w:rsidR="002C0FD9" w:rsidRPr="00CA25CF" w:rsidRDefault="002C0FD9" w:rsidP="00CA25CF">
            <w:pPr>
              <w:rPr>
                <w:rFonts w:cs="Arial"/>
                <w:color w:val="FF0000"/>
                <w:sz w:val="21"/>
                <w:szCs w:val="21"/>
              </w:rPr>
            </w:pPr>
          </w:p>
        </w:tc>
        <w:tc>
          <w:tcPr>
            <w:tcW w:w="217" w:type="dxa"/>
          </w:tcPr>
          <w:p w14:paraId="15D4BEA6" w14:textId="77777777" w:rsidR="002C0FD9" w:rsidRPr="00CA25CF" w:rsidRDefault="002C0FD9" w:rsidP="00CA25CF">
            <w:pPr>
              <w:rPr>
                <w:rFonts w:cs="Arial"/>
                <w:color w:val="FF0000"/>
                <w:sz w:val="21"/>
                <w:szCs w:val="21"/>
              </w:rPr>
            </w:pPr>
          </w:p>
        </w:tc>
        <w:tc>
          <w:tcPr>
            <w:tcW w:w="217" w:type="dxa"/>
          </w:tcPr>
          <w:p w14:paraId="1DA2AB04" w14:textId="77777777" w:rsidR="002C0FD9" w:rsidRPr="00CA25CF" w:rsidRDefault="002C0FD9" w:rsidP="00CA25CF">
            <w:pPr>
              <w:rPr>
                <w:rFonts w:cs="Arial"/>
                <w:color w:val="FF0000"/>
                <w:sz w:val="21"/>
                <w:szCs w:val="21"/>
              </w:rPr>
            </w:pPr>
          </w:p>
        </w:tc>
        <w:tc>
          <w:tcPr>
            <w:tcW w:w="217" w:type="dxa"/>
          </w:tcPr>
          <w:p w14:paraId="04878196" w14:textId="77777777" w:rsidR="002C0FD9" w:rsidRPr="00CA25CF" w:rsidRDefault="002C0FD9" w:rsidP="00CA25CF">
            <w:pPr>
              <w:rPr>
                <w:rFonts w:cs="Arial"/>
                <w:color w:val="FF0000"/>
                <w:sz w:val="21"/>
                <w:szCs w:val="21"/>
              </w:rPr>
            </w:pPr>
          </w:p>
        </w:tc>
        <w:tc>
          <w:tcPr>
            <w:tcW w:w="217" w:type="dxa"/>
          </w:tcPr>
          <w:p w14:paraId="5D8315C2" w14:textId="77777777" w:rsidR="002C0FD9" w:rsidRPr="00CA25CF" w:rsidRDefault="002C0FD9" w:rsidP="00CA25CF">
            <w:pPr>
              <w:rPr>
                <w:rFonts w:cs="Arial"/>
                <w:color w:val="FF0000"/>
                <w:sz w:val="21"/>
                <w:szCs w:val="21"/>
              </w:rPr>
            </w:pPr>
          </w:p>
        </w:tc>
        <w:tc>
          <w:tcPr>
            <w:tcW w:w="217" w:type="dxa"/>
          </w:tcPr>
          <w:p w14:paraId="08E68B25" w14:textId="77777777" w:rsidR="002C0FD9" w:rsidRPr="00CA25CF" w:rsidRDefault="002C0FD9" w:rsidP="00CA25CF">
            <w:pPr>
              <w:rPr>
                <w:rFonts w:cs="Arial"/>
                <w:color w:val="FF0000"/>
                <w:sz w:val="21"/>
                <w:szCs w:val="21"/>
              </w:rPr>
            </w:pPr>
          </w:p>
        </w:tc>
        <w:tc>
          <w:tcPr>
            <w:tcW w:w="217" w:type="dxa"/>
          </w:tcPr>
          <w:p w14:paraId="0F74D1DA" w14:textId="77777777" w:rsidR="002C0FD9" w:rsidRPr="00CA25CF" w:rsidRDefault="002C0FD9" w:rsidP="00CA25CF">
            <w:pPr>
              <w:rPr>
                <w:rFonts w:cs="Arial"/>
                <w:color w:val="FF0000"/>
                <w:sz w:val="21"/>
                <w:szCs w:val="21"/>
              </w:rPr>
            </w:pPr>
          </w:p>
        </w:tc>
        <w:tc>
          <w:tcPr>
            <w:tcW w:w="217" w:type="dxa"/>
          </w:tcPr>
          <w:p w14:paraId="0FA34FA5" w14:textId="77777777" w:rsidR="002C0FD9" w:rsidRPr="00CA25CF" w:rsidRDefault="002C0FD9" w:rsidP="00CA25CF">
            <w:pPr>
              <w:rPr>
                <w:rFonts w:cs="Arial"/>
                <w:color w:val="FF0000"/>
                <w:sz w:val="21"/>
                <w:szCs w:val="21"/>
              </w:rPr>
            </w:pPr>
          </w:p>
        </w:tc>
        <w:tc>
          <w:tcPr>
            <w:tcW w:w="217" w:type="dxa"/>
          </w:tcPr>
          <w:p w14:paraId="0733304E" w14:textId="77777777" w:rsidR="002C0FD9" w:rsidRPr="00CA25CF" w:rsidRDefault="002C0FD9" w:rsidP="00CA25CF">
            <w:pPr>
              <w:rPr>
                <w:rFonts w:cs="Arial"/>
                <w:color w:val="FF0000"/>
                <w:sz w:val="21"/>
                <w:szCs w:val="21"/>
              </w:rPr>
            </w:pPr>
          </w:p>
        </w:tc>
        <w:tc>
          <w:tcPr>
            <w:tcW w:w="217" w:type="dxa"/>
          </w:tcPr>
          <w:p w14:paraId="51D0DF20" w14:textId="77777777" w:rsidR="002C0FD9" w:rsidRPr="00CA25CF" w:rsidRDefault="002C0FD9" w:rsidP="00CA25CF">
            <w:pPr>
              <w:rPr>
                <w:rFonts w:cs="Arial"/>
                <w:color w:val="FF0000"/>
                <w:sz w:val="21"/>
                <w:szCs w:val="21"/>
              </w:rPr>
            </w:pPr>
          </w:p>
        </w:tc>
        <w:tc>
          <w:tcPr>
            <w:tcW w:w="217" w:type="dxa"/>
          </w:tcPr>
          <w:p w14:paraId="550CB0B5" w14:textId="77777777" w:rsidR="002C0FD9" w:rsidRPr="00CA25CF" w:rsidRDefault="002C0FD9" w:rsidP="00CA25CF">
            <w:pPr>
              <w:rPr>
                <w:rFonts w:cs="Arial"/>
                <w:color w:val="FF0000"/>
                <w:sz w:val="21"/>
                <w:szCs w:val="21"/>
              </w:rPr>
            </w:pPr>
          </w:p>
        </w:tc>
        <w:tc>
          <w:tcPr>
            <w:tcW w:w="217" w:type="dxa"/>
          </w:tcPr>
          <w:p w14:paraId="62E3E0AD" w14:textId="77777777" w:rsidR="002C0FD9" w:rsidRPr="00CA25CF" w:rsidRDefault="002C0FD9" w:rsidP="00CA25CF">
            <w:pPr>
              <w:rPr>
                <w:rFonts w:cs="Arial"/>
                <w:color w:val="FF0000"/>
                <w:sz w:val="21"/>
                <w:szCs w:val="21"/>
              </w:rPr>
            </w:pPr>
          </w:p>
        </w:tc>
        <w:tc>
          <w:tcPr>
            <w:tcW w:w="217" w:type="dxa"/>
          </w:tcPr>
          <w:p w14:paraId="5B2F2D47" w14:textId="77777777" w:rsidR="002C0FD9" w:rsidRPr="00CA25CF" w:rsidRDefault="002C0FD9" w:rsidP="00CA25CF">
            <w:pPr>
              <w:rPr>
                <w:rFonts w:cs="Arial"/>
                <w:color w:val="FF0000"/>
                <w:sz w:val="21"/>
                <w:szCs w:val="21"/>
              </w:rPr>
            </w:pPr>
          </w:p>
        </w:tc>
        <w:tc>
          <w:tcPr>
            <w:tcW w:w="217" w:type="dxa"/>
          </w:tcPr>
          <w:p w14:paraId="3BE8F43B" w14:textId="77777777" w:rsidR="002C0FD9" w:rsidRPr="00CA25CF" w:rsidRDefault="002C0FD9" w:rsidP="00CA25CF">
            <w:pPr>
              <w:rPr>
                <w:rFonts w:cs="Arial"/>
                <w:color w:val="FF0000"/>
                <w:sz w:val="21"/>
                <w:szCs w:val="21"/>
              </w:rPr>
            </w:pPr>
          </w:p>
        </w:tc>
        <w:tc>
          <w:tcPr>
            <w:tcW w:w="217" w:type="dxa"/>
          </w:tcPr>
          <w:p w14:paraId="72EE4370" w14:textId="77777777" w:rsidR="002C0FD9" w:rsidRPr="00CA25CF" w:rsidRDefault="002C0FD9" w:rsidP="00CA25CF">
            <w:pPr>
              <w:rPr>
                <w:rFonts w:cs="Arial"/>
                <w:color w:val="FF0000"/>
                <w:sz w:val="21"/>
                <w:szCs w:val="21"/>
              </w:rPr>
            </w:pPr>
          </w:p>
        </w:tc>
        <w:tc>
          <w:tcPr>
            <w:tcW w:w="217" w:type="dxa"/>
          </w:tcPr>
          <w:p w14:paraId="399E0EE2" w14:textId="77777777" w:rsidR="002C0FD9" w:rsidRPr="00CA25CF" w:rsidRDefault="002C0FD9" w:rsidP="00CA25CF">
            <w:pPr>
              <w:rPr>
                <w:rFonts w:cs="Arial"/>
                <w:color w:val="FF0000"/>
                <w:sz w:val="21"/>
                <w:szCs w:val="21"/>
              </w:rPr>
            </w:pPr>
          </w:p>
        </w:tc>
        <w:tc>
          <w:tcPr>
            <w:tcW w:w="217" w:type="dxa"/>
          </w:tcPr>
          <w:p w14:paraId="7FADBCDA" w14:textId="77777777" w:rsidR="002C0FD9" w:rsidRPr="00CA25CF" w:rsidRDefault="002C0FD9" w:rsidP="00CA25CF">
            <w:pPr>
              <w:rPr>
                <w:rFonts w:cs="Arial"/>
                <w:color w:val="FF0000"/>
                <w:sz w:val="21"/>
                <w:szCs w:val="21"/>
              </w:rPr>
            </w:pPr>
          </w:p>
        </w:tc>
        <w:tc>
          <w:tcPr>
            <w:tcW w:w="217" w:type="dxa"/>
          </w:tcPr>
          <w:p w14:paraId="473305B5" w14:textId="77777777" w:rsidR="002C0FD9" w:rsidRPr="00CA25CF" w:rsidRDefault="002C0FD9" w:rsidP="00CA25CF">
            <w:pPr>
              <w:rPr>
                <w:rFonts w:cs="Arial"/>
                <w:color w:val="FF0000"/>
                <w:sz w:val="21"/>
                <w:szCs w:val="21"/>
              </w:rPr>
            </w:pPr>
          </w:p>
        </w:tc>
        <w:tc>
          <w:tcPr>
            <w:tcW w:w="217" w:type="dxa"/>
          </w:tcPr>
          <w:p w14:paraId="0B6EDD07" w14:textId="77777777" w:rsidR="002C0FD9" w:rsidRPr="00CA25CF" w:rsidRDefault="002C0FD9" w:rsidP="00CA25CF">
            <w:pPr>
              <w:rPr>
                <w:rFonts w:cs="Arial"/>
                <w:color w:val="FF0000"/>
                <w:sz w:val="21"/>
                <w:szCs w:val="21"/>
              </w:rPr>
            </w:pPr>
          </w:p>
        </w:tc>
        <w:tc>
          <w:tcPr>
            <w:tcW w:w="217" w:type="dxa"/>
          </w:tcPr>
          <w:p w14:paraId="37221B14" w14:textId="77777777" w:rsidR="002C0FD9" w:rsidRPr="00CA25CF" w:rsidRDefault="002C0FD9" w:rsidP="00CA25CF">
            <w:pPr>
              <w:rPr>
                <w:rFonts w:cs="Arial"/>
                <w:color w:val="FF0000"/>
                <w:sz w:val="21"/>
                <w:szCs w:val="21"/>
              </w:rPr>
            </w:pPr>
          </w:p>
        </w:tc>
        <w:tc>
          <w:tcPr>
            <w:tcW w:w="217" w:type="dxa"/>
          </w:tcPr>
          <w:p w14:paraId="32759752" w14:textId="77777777" w:rsidR="002C0FD9" w:rsidRPr="00CA25CF" w:rsidRDefault="002C0FD9" w:rsidP="00CA25CF">
            <w:pPr>
              <w:rPr>
                <w:rFonts w:cs="Arial"/>
                <w:color w:val="FF0000"/>
                <w:sz w:val="21"/>
                <w:szCs w:val="21"/>
              </w:rPr>
            </w:pPr>
          </w:p>
        </w:tc>
        <w:tc>
          <w:tcPr>
            <w:tcW w:w="217" w:type="dxa"/>
          </w:tcPr>
          <w:p w14:paraId="643B0273" w14:textId="77777777" w:rsidR="002C0FD9" w:rsidRPr="00CA25CF" w:rsidRDefault="002C0FD9" w:rsidP="00CA25CF">
            <w:pPr>
              <w:rPr>
                <w:rFonts w:cs="Arial"/>
                <w:color w:val="FF0000"/>
                <w:sz w:val="21"/>
                <w:szCs w:val="21"/>
              </w:rPr>
            </w:pPr>
          </w:p>
        </w:tc>
      </w:tr>
      <w:tr w:rsidR="002C0FD9" w:rsidRPr="00A16219" w14:paraId="386ED660" w14:textId="7528F715" w:rsidTr="002C0FD9">
        <w:trPr>
          <w:trHeight w:val="635"/>
        </w:trPr>
        <w:tc>
          <w:tcPr>
            <w:tcW w:w="515" w:type="dxa"/>
          </w:tcPr>
          <w:p w14:paraId="0CE8E2E2" w14:textId="77777777" w:rsidR="002C0FD9" w:rsidRPr="00CA25CF" w:rsidRDefault="002C0FD9" w:rsidP="00CA25CF">
            <w:pPr>
              <w:rPr>
                <w:rFonts w:cs="Arial"/>
                <w:color w:val="FF0000"/>
                <w:sz w:val="21"/>
                <w:szCs w:val="21"/>
              </w:rPr>
            </w:pPr>
          </w:p>
        </w:tc>
        <w:tc>
          <w:tcPr>
            <w:tcW w:w="217" w:type="dxa"/>
          </w:tcPr>
          <w:p w14:paraId="21C45705" w14:textId="77777777" w:rsidR="002C0FD9" w:rsidRPr="00CA25CF" w:rsidRDefault="002C0FD9" w:rsidP="00CA25CF">
            <w:pPr>
              <w:rPr>
                <w:rFonts w:cs="Arial"/>
                <w:color w:val="FF0000"/>
                <w:sz w:val="21"/>
                <w:szCs w:val="21"/>
              </w:rPr>
            </w:pPr>
          </w:p>
        </w:tc>
        <w:tc>
          <w:tcPr>
            <w:tcW w:w="217" w:type="dxa"/>
          </w:tcPr>
          <w:p w14:paraId="5D54B82A" w14:textId="72EDA448" w:rsidR="002C0FD9" w:rsidRPr="00CA25CF" w:rsidRDefault="002C0FD9" w:rsidP="00CA25CF">
            <w:pPr>
              <w:rPr>
                <w:rFonts w:cs="Arial"/>
                <w:color w:val="FF0000"/>
                <w:sz w:val="21"/>
                <w:szCs w:val="21"/>
              </w:rPr>
            </w:pPr>
          </w:p>
        </w:tc>
        <w:tc>
          <w:tcPr>
            <w:tcW w:w="217" w:type="dxa"/>
          </w:tcPr>
          <w:p w14:paraId="162A08B7" w14:textId="77777777" w:rsidR="002C0FD9" w:rsidRPr="00CA25CF" w:rsidRDefault="002C0FD9" w:rsidP="00CA25CF">
            <w:pPr>
              <w:rPr>
                <w:rFonts w:cs="Arial"/>
                <w:color w:val="FF0000"/>
                <w:sz w:val="21"/>
                <w:szCs w:val="21"/>
              </w:rPr>
            </w:pPr>
          </w:p>
        </w:tc>
        <w:tc>
          <w:tcPr>
            <w:tcW w:w="217" w:type="dxa"/>
          </w:tcPr>
          <w:p w14:paraId="659D05B5" w14:textId="77777777" w:rsidR="002C0FD9" w:rsidRPr="00CA25CF" w:rsidRDefault="002C0FD9" w:rsidP="00CA25CF">
            <w:pPr>
              <w:rPr>
                <w:rFonts w:cs="Arial"/>
                <w:color w:val="FF0000"/>
                <w:sz w:val="21"/>
                <w:szCs w:val="21"/>
              </w:rPr>
            </w:pPr>
          </w:p>
        </w:tc>
        <w:tc>
          <w:tcPr>
            <w:tcW w:w="217" w:type="dxa"/>
          </w:tcPr>
          <w:p w14:paraId="53F0D78E" w14:textId="77777777" w:rsidR="002C0FD9" w:rsidRPr="00CA25CF" w:rsidRDefault="002C0FD9" w:rsidP="00CA25CF">
            <w:pPr>
              <w:rPr>
                <w:rFonts w:cs="Arial"/>
                <w:color w:val="FF0000"/>
                <w:sz w:val="21"/>
                <w:szCs w:val="21"/>
              </w:rPr>
            </w:pPr>
          </w:p>
        </w:tc>
        <w:tc>
          <w:tcPr>
            <w:tcW w:w="217" w:type="dxa"/>
          </w:tcPr>
          <w:p w14:paraId="598A4484" w14:textId="77777777" w:rsidR="002C0FD9" w:rsidRPr="00CA25CF" w:rsidRDefault="002C0FD9" w:rsidP="00CA25CF">
            <w:pPr>
              <w:rPr>
                <w:rFonts w:cs="Arial"/>
                <w:color w:val="FF0000"/>
                <w:sz w:val="21"/>
                <w:szCs w:val="21"/>
              </w:rPr>
            </w:pPr>
          </w:p>
        </w:tc>
        <w:tc>
          <w:tcPr>
            <w:tcW w:w="217" w:type="dxa"/>
          </w:tcPr>
          <w:p w14:paraId="2873654E" w14:textId="77777777" w:rsidR="002C0FD9" w:rsidRPr="00CA25CF" w:rsidRDefault="002C0FD9" w:rsidP="00CA25CF">
            <w:pPr>
              <w:rPr>
                <w:rFonts w:cs="Arial"/>
                <w:color w:val="FF0000"/>
                <w:sz w:val="21"/>
                <w:szCs w:val="21"/>
              </w:rPr>
            </w:pPr>
          </w:p>
        </w:tc>
        <w:tc>
          <w:tcPr>
            <w:tcW w:w="217" w:type="dxa"/>
          </w:tcPr>
          <w:p w14:paraId="6E0223A5" w14:textId="77777777" w:rsidR="002C0FD9" w:rsidRPr="00CA25CF" w:rsidRDefault="002C0FD9" w:rsidP="00CA25CF">
            <w:pPr>
              <w:rPr>
                <w:rFonts w:cs="Arial"/>
                <w:color w:val="FF0000"/>
                <w:sz w:val="21"/>
                <w:szCs w:val="21"/>
              </w:rPr>
            </w:pPr>
          </w:p>
        </w:tc>
        <w:tc>
          <w:tcPr>
            <w:tcW w:w="217" w:type="dxa"/>
          </w:tcPr>
          <w:p w14:paraId="631E67A0" w14:textId="77777777" w:rsidR="002C0FD9" w:rsidRPr="00CA25CF" w:rsidRDefault="002C0FD9" w:rsidP="00CA25CF">
            <w:pPr>
              <w:rPr>
                <w:rFonts w:cs="Arial"/>
                <w:color w:val="FF0000"/>
                <w:sz w:val="21"/>
                <w:szCs w:val="21"/>
              </w:rPr>
            </w:pPr>
          </w:p>
        </w:tc>
        <w:tc>
          <w:tcPr>
            <w:tcW w:w="217" w:type="dxa"/>
          </w:tcPr>
          <w:p w14:paraId="207A5A8A" w14:textId="77777777" w:rsidR="002C0FD9" w:rsidRPr="00CA25CF" w:rsidRDefault="002C0FD9" w:rsidP="00CA25CF">
            <w:pPr>
              <w:rPr>
                <w:rFonts w:cs="Arial"/>
                <w:color w:val="FF0000"/>
                <w:sz w:val="21"/>
                <w:szCs w:val="21"/>
              </w:rPr>
            </w:pPr>
          </w:p>
        </w:tc>
        <w:tc>
          <w:tcPr>
            <w:tcW w:w="217" w:type="dxa"/>
          </w:tcPr>
          <w:p w14:paraId="10F02BD0" w14:textId="77777777" w:rsidR="002C0FD9" w:rsidRPr="00CA25CF" w:rsidRDefault="002C0FD9" w:rsidP="00CA25CF">
            <w:pPr>
              <w:rPr>
                <w:rFonts w:cs="Arial"/>
                <w:color w:val="FF0000"/>
                <w:sz w:val="21"/>
                <w:szCs w:val="21"/>
              </w:rPr>
            </w:pPr>
          </w:p>
        </w:tc>
        <w:tc>
          <w:tcPr>
            <w:tcW w:w="217" w:type="dxa"/>
          </w:tcPr>
          <w:p w14:paraId="68CD8F92" w14:textId="77777777" w:rsidR="002C0FD9" w:rsidRPr="00CA25CF" w:rsidRDefault="002C0FD9" w:rsidP="00CA25CF">
            <w:pPr>
              <w:rPr>
                <w:rFonts w:cs="Arial"/>
                <w:color w:val="FF0000"/>
                <w:sz w:val="21"/>
                <w:szCs w:val="21"/>
              </w:rPr>
            </w:pPr>
          </w:p>
        </w:tc>
        <w:tc>
          <w:tcPr>
            <w:tcW w:w="217" w:type="dxa"/>
          </w:tcPr>
          <w:p w14:paraId="3109B90B" w14:textId="77777777" w:rsidR="002C0FD9" w:rsidRPr="00CA25CF" w:rsidRDefault="002C0FD9" w:rsidP="00CA25CF">
            <w:pPr>
              <w:rPr>
                <w:rFonts w:cs="Arial"/>
                <w:color w:val="FF0000"/>
                <w:sz w:val="21"/>
                <w:szCs w:val="21"/>
              </w:rPr>
            </w:pPr>
          </w:p>
        </w:tc>
        <w:tc>
          <w:tcPr>
            <w:tcW w:w="217" w:type="dxa"/>
          </w:tcPr>
          <w:p w14:paraId="5D0CAF24" w14:textId="77777777" w:rsidR="002C0FD9" w:rsidRPr="00CA25CF" w:rsidRDefault="002C0FD9" w:rsidP="00CA25CF">
            <w:pPr>
              <w:rPr>
                <w:rFonts w:cs="Arial"/>
                <w:color w:val="FF0000"/>
                <w:sz w:val="21"/>
                <w:szCs w:val="21"/>
              </w:rPr>
            </w:pPr>
          </w:p>
        </w:tc>
        <w:tc>
          <w:tcPr>
            <w:tcW w:w="217" w:type="dxa"/>
          </w:tcPr>
          <w:p w14:paraId="4AA7D13E" w14:textId="77777777" w:rsidR="002C0FD9" w:rsidRPr="00CA25CF" w:rsidRDefault="002C0FD9" w:rsidP="00CA25CF">
            <w:pPr>
              <w:rPr>
                <w:rFonts w:cs="Arial"/>
                <w:color w:val="FF0000"/>
                <w:sz w:val="21"/>
                <w:szCs w:val="21"/>
              </w:rPr>
            </w:pPr>
          </w:p>
        </w:tc>
        <w:tc>
          <w:tcPr>
            <w:tcW w:w="217" w:type="dxa"/>
          </w:tcPr>
          <w:p w14:paraId="23131735" w14:textId="77777777" w:rsidR="002C0FD9" w:rsidRPr="00CA25CF" w:rsidRDefault="002C0FD9" w:rsidP="00CA25CF">
            <w:pPr>
              <w:rPr>
                <w:rFonts w:cs="Arial"/>
                <w:color w:val="FF0000"/>
                <w:sz w:val="21"/>
                <w:szCs w:val="21"/>
              </w:rPr>
            </w:pPr>
          </w:p>
        </w:tc>
        <w:tc>
          <w:tcPr>
            <w:tcW w:w="217" w:type="dxa"/>
          </w:tcPr>
          <w:p w14:paraId="2E6E245F" w14:textId="77777777" w:rsidR="002C0FD9" w:rsidRPr="00CA25CF" w:rsidRDefault="002C0FD9" w:rsidP="00CA25CF">
            <w:pPr>
              <w:rPr>
                <w:rFonts w:cs="Arial"/>
                <w:color w:val="FF0000"/>
                <w:sz w:val="21"/>
                <w:szCs w:val="21"/>
              </w:rPr>
            </w:pPr>
          </w:p>
        </w:tc>
        <w:tc>
          <w:tcPr>
            <w:tcW w:w="217" w:type="dxa"/>
          </w:tcPr>
          <w:p w14:paraId="52761B5D" w14:textId="77777777" w:rsidR="002C0FD9" w:rsidRPr="00CA25CF" w:rsidRDefault="002C0FD9" w:rsidP="00CA25CF">
            <w:pPr>
              <w:rPr>
                <w:rFonts w:cs="Arial"/>
                <w:color w:val="FF0000"/>
                <w:sz w:val="21"/>
                <w:szCs w:val="21"/>
              </w:rPr>
            </w:pPr>
          </w:p>
        </w:tc>
        <w:tc>
          <w:tcPr>
            <w:tcW w:w="217" w:type="dxa"/>
          </w:tcPr>
          <w:p w14:paraId="1804AA3C" w14:textId="77777777" w:rsidR="002C0FD9" w:rsidRPr="00CA25CF" w:rsidRDefault="002C0FD9" w:rsidP="00CA25CF">
            <w:pPr>
              <w:rPr>
                <w:rFonts w:cs="Arial"/>
                <w:color w:val="FF0000"/>
                <w:sz w:val="21"/>
                <w:szCs w:val="21"/>
              </w:rPr>
            </w:pPr>
          </w:p>
        </w:tc>
        <w:tc>
          <w:tcPr>
            <w:tcW w:w="217" w:type="dxa"/>
          </w:tcPr>
          <w:p w14:paraId="06038569" w14:textId="77777777" w:rsidR="002C0FD9" w:rsidRPr="00CA25CF" w:rsidRDefault="002C0FD9" w:rsidP="00CA25CF">
            <w:pPr>
              <w:rPr>
                <w:rFonts w:cs="Arial"/>
                <w:color w:val="FF0000"/>
                <w:sz w:val="21"/>
                <w:szCs w:val="21"/>
              </w:rPr>
            </w:pPr>
          </w:p>
        </w:tc>
        <w:tc>
          <w:tcPr>
            <w:tcW w:w="217" w:type="dxa"/>
          </w:tcPr>
          <w:p w14:paraId="5021B6CE" w14:textId="77777777" w:rsidR="002C0FD9" w:rsidRPr="00CA25CF" w:rsidRDefault="002C0FD9" w:rsidP="00CA25CF">
            <w:pPr>
              <w:rPr>
                <w:rFonts w:cs="Arial"/>
                <w:color w:val="FF0000"/>
                <w:sz w:val="21"/>
                <w:szCs w:val="21"/>
              </w:rPr>
            </w:pPr>
          </w:p>
        </w:tc>
        <w:tc>
          <w:tcPr>
            <w:tcW w:w="217" w:type="dxa"/>
          </w:tcPr>
          <w:p w14:paraId="3F9BDEF5" w14:textId="77777777" w:rsidR="002C0FD9" w:rsidRPr="00CA25CF" w:rsidRDefault="002C0FD9" w:rsidP="00CA25CF">
            <w:pPr>
              <w:rPr>
                <w:rFonts w:cs="Arial"/>
                <w:color w:val="FF0000"/>
                <w:sz w:val="21"/>
                <w:szCs w:val="21"/>
              </w:rPr>
            </w:pPr>
          </w:p>
        </w:tc>
        <w:tc>
          <w:tcPr>
            <w:tcW w:w="217" w:type="dxa"/>
          </w:tcPr>
          <w:p w14:paraId="59C54048" w14:textId="77777777" w:rsidR="002C0FD9" w:rsidRPr="00CA25CF" w:rsidRDefault="002C0FD9" w:rsidP="00CA25CF">
            <w:pPr>
              <w:rPr>
                <w:rFonts w:cs="Arial"/>
                <w:color w:val="FF0000"/>
                <w:sz w:val="21"/>
                <w:szCs w:val="21"/>
              </w:rPr>
            </w:pPr>
          </w:p>
        </w:tc>
        <w:tc>
          <w:tcPr>
            <w:tcW w:w="217" w:type="dxa"/>
          </w:tcPr>
          <w:p w14:paraId="7F3FFDD8" w14:textId="77777777" w:rsidR="002C0FD9" w:rsidRPr="00CA25CF" w:rsidRDefault="002C0FD9" w:rsidP="00CA25CF">
            <w:pPr>
              <w:rPr>
                <w:rFonts w:cs="Arial"/>
                <w:color w:val="FF0000"/>
                <w:sz w:val="21"/>
                <w:szCs w:val="21"/>
              </w:rPr>
            </w:pPr>
          </w:p>
        </w:tc>
        <w:tc>
          <w:tcPr>
            <w:tcW w:w="217" w:type="dxa"/>
          </w:tcPr>
          <w:p w14:paraId="54FA32B1" w14:textId="77777777" w:rsidR="002C0FD9" w:rsidRPr="00CA25CF" w:rsidRDefault="002C0FD9" w:rsidP="00CA25CF">
            <w:pPr>
              <w:rPr>
                <w:rFonts w:cs="Arial"/>
                <w:color w:val="FF0000"/>
                <w:sz w:val="21"/>
                <w:szCs w:val="21"/>
              </w:rPr>
            </w:pPr>
          </w:p>
        </w:tc>
        <w:tc>
          <w:tcPr>
            <w:tcW w:w="217" w:type="dxa"/>
          </w:tcPr>
          <w:p w14:paraId="1D778772" w14:textId="77777777" w:rsidR="002C0FD9" w:rsidRPr="00CA25CF" w:rsidRDefault="002C0FD9" w:rsidP="00CA25CF">
            <w:pPr>
              <w:rPr>
                <w:rFonts w:cs="Arial"/>
                <w:color w:val="FF0000"/>
                <w:sz w:val="21"/>
                <w:szCs w:val="21"/>
              </w:rPr>
            </w:pPr>
          </w:p>
        </w:tc>
        <w:tc>
          <w:tcPr>
            <w:tcW w:w="217" w:type="dxa"/>
          </w:tcPr>
          <w:p w14:paraId="0D93DD69" w14:textId="77777777" w:rsidR="002C0FD9" w:rsidRPr="00CA25CF" w:rsidRDefault="002C0FD9" w:rsidP="00CA25CF">
            <w:pPr>
              <w:rPr>
                <w:rFonts w:cs="Arial"/>
                <w:color w:val="FF0000"/>
                <w:sz w:val="21"/>
                <w:szCs w:val="21"/>
              </w:rPr>
            </w:pPr>
          </w:p>
        </w:tc>
        <w:tc>
          <w:tcPr>
            <w:tcW w:w="217" w:type="dxa"/>
          </w:tcPr>
          <w:p w14:paraId="7CA1B312" w14:textId="77777777" w:rsidR="002C0FD9" w:rsidRPr="00CA25CF" w:rsidRDefault="002C0FD9" w:rsidP="00CA25CF">
            <w:pPr>
              <w:rPr>
                <w:rFonts w:cs="Arial"/>
                <w:color w:val="FF0000"/>
                <w:sz w:val="21"/>
                <w:szCs w:val="21"/>
              </w:rPr>
            </w:pPr>
          </w:p>
        </w:tc>
        <w:tc>
          <w:tcPr>
            <w:tcW w:w="217" w:type="dxa"/>
          </w:tcPr>
          <w:p w14:paraId="625FC700" w14:textId="77777777" w:rsidR="002C0FD9" w:rsidRPr="00CA25CF" w:rsidRDefault="002C0FD9" w:rsidP="00CA25CF">
            <w:pPr>
              <w:rPr>
                <w:rFonts w:cs="Arial"/>
                <w:color w:val="FF0000"/>
                <w:sz w:val="21"/>
                <w:szCs w:val="21"/>
              </w:rPr>
            </w:pPr>
          </w:p>
        </w:tc>
        <w:tc>
          <w:tcPr>
            <w:tcW w:w="217" w:type="dxa"/>
          </w:tcPr>
          <w:p w14:paraId="0F6248CF" w14:textId="77777777" w:rsidR="002C0FD9" w:rsidRPr="00CA25CF" w:rsidRDefault="002C0FD9" w:rsidP="00CA25CF">
            <w:pPr>
              <w:rPr>
                <w:rFonts w:cs="Arial"/>
                <w:color w:val="FF0000"/>
                <w:sz w:val="21"/>
                <w:szCs w:val="21"/>
              </w:rPr>
            </w:pPr>
          </w:p>
        </w:tc>
        <w:tc>
          <w:tcPr>
            <w:tcW w:w="217" w:type="dxa"/>
          </w:tcPr>
          <w:p w14:paraId="488FDFB3" w14:textId="77777777" w:rsidR="002C0FD9" w:rsidRPr="00CA25CF" w:rsidRDefault="002C0FD9" w:rsidP="00CA25CF">
            <w:pPr>
              <w:rPr>
                <w:rFonts w:cs="Arial"/>
                <w:color w:val="FF0000"/>
                <w:sz w:val="21"/>
                <w:szCs w:val="21"/>
              </w:rPr>
            </w:pPr>
          </w:p>
        </w:tc>
        <w:tc>
          <w:tcPr>
            <w:tcW w:w="217" w:type="dxa"/>
          </w:tcPr>
          <w:p w14:paraId="5285C033" w14:textId="77777777" w:rsidR="002C0FD9" w:rsidRPr="00CA25CF" w:rsidRDefault="002C0FD9" w:rsidP="00CA25CF">
            <w:pPr>
              <w:rPr>
                <w:rFonts w:cs="Arial"/>
                <w:color w:val="FF0000"/>
                <w:sz w:val="21"/>
                <w:szCs w:val="21"/>
              </w:rPr>
            </w:pPr>
          </w:p>
        </w:tc>
        <w:tc>
          <w:tcPr>
            <w:tcW w:w="217" w:type="dxa"/>
          </w:tcPr>
          <w:p w14:paraId="702B4D20" w14:textId="77777777" w:rsidR="002C0FD9" w:rsidRPr="00CA25CF" w:rsidRDefault="002C0FD9" w:rsidP="00CA25CF">
            <w:pPr>
              <w:rPr>
                <w:rFonts w:cs="Arial"/>
                <w:color w:val="FF0000"/>
                <w:sz w:val="21"/>
                <w:szCs w:val="21"/>
              </w:rPr>
            </w:pPr>
          </w:p>
        </w:tc>
        <w:tc>
          <w:tcPr>
            <w:tcW w:w="217" w:type="dxa"/>
          </w:tcPr>
          <w:p w14:paraId="483AB458" w14:textId="77777777" w:rsidR="002C0FD9" w:rsidRPr="00CA25CF" w:rsidRDefault="002C0FD9" w:rsidP="00CA25CF">
            <w:pPr>
              <w:rPr>
                <w:rFonts w:cs="Arial"/>
                <w:color w:val="FF0000"/>
                <w:sz w:val="21"/>
                <w:szCs w:val="21"/>
              </w:rPr>
            </w:pPr>
          </w:p>
        </w:tc>
        <w:tc>
          <w:tcPr>
            <w:tcW w:w="217" w:type="dxa"/>
          </w:tcPr>
          <w:p w14:paraId="0F256738" w14:textId="77777777" w:rsidR="002C0FD9" w:rsidRPr="00CA25CF" w:rsidRDefault="002C0FD9" w:rsidP="00CA25CF">
            <w:pPr>
              <w:rPr>
                <w:rFonts w:cs="Arial"/>
                <w:color w:val="FF0000"/>
                <w:sz w:val="21"/>
                <w:szCs w:val="21"/>
              </w:rPr>
            </w:pPr>
          </w:p>
        </w:tc>
        <w:tc>
          <w:tcPr>
            <w:tcW w:w="217" w:type="dxa"/>
          </w:tcPr>
          <w:p w14:paraId="28F57B41" w14:textId="77777777" w:rsidR="002C0FD9" w:rsidRPr="00CA25CF" w:rsidRDefault="002C0FD9" w:rsidP="00CA25CF">
            <w:pPr>
              <w:rPr>
                <w:rFonts w:cs="Arial"/>
                <w:color w:val="FF0000"/>
                <w:sz w:val="21"/>
                <w:szCs w:val="21"/>
              </w:rPr>
            </w:pPr>
          </w:p>
        </w:tc>
        <w:tc>
          <w:tcPr>
            <w:tcW w:w="217" w:type="dxa"/>
          </w:tcPr>
          <w:p w14:paraId="6C863105" w14:textId="77777777" w:rsidR="002C0FD9" w:rsidRPr="00CA25CF" w:rsidRDefault="002C0FD9" w:rsidP="00CA25CF">
            <w:pPr>
              <w:rPr>
                <w:rFonts w:cs="Arial"/>
                <w:color w:val="FF0000"/>
                <w:sz w:val="21"/>
                <w:szCs w:val="21"/>
              </w:rPr>
            </w:pPr>
          </w:p>
        </w:tc>
        <w:tc>
          <w:tcPr>
            <w:tcW w:w="217" w:type="dxa"/>
          </w:tcPr>
          <w:p w14:paraId="731386CC" w14:textId="77777777" w:rsidR="002C0FD9" w:rsidRPr="00CA25CF" w:rsidRDefault="002C0FD9" w:rsidP="00CA25CF">
            <w:pPr>
              <w:rPr>
                <w:rFonts w:cs="Arial"/>
                <w:color w:val="FF0000"/>
                <w:sz w:val="21"/>
                <w:szCs w:val="21"/>
              </w:rPr>
            </w:pPr>
          </w:p>
        </w:tc>
        <w:tc>
          <w:tcPr>
            <w:tcW w:w="217" w:type="dxa"/>
          </w:tcPr>
          <w:p w14:paraId="4F273539" w14:textId="77777777" w:rsidR="002C0FD9" w:rsidRPr="00CA25CF" w:rsidRDefault="002C0FD9" w:rsidP="00CA25CF">
            <w:pPr>
              <w:rPr>
                <w:rFonts w:cs="Arial"/>
                <w:color w:val="FF0000"/>
                <w:sz w:val="21"/>
                <w:szCs w:val="21"/>
              </w:rPr>
            </w:pPr>
          </w:p>
        </w:tc>
        <w:tc>
          <w:tcPr>
            <w:tcW w:w="217" w:type="dxa"/>
          </w:tcPr>
          <w:p w14:paraId="2E31A1F3" w14:textId="77777777" w:rsidR="002C0FD9" w:rsidRPr="00CA25CF" w:rsidRDefault="002C0FD9" w:rsidP="00CA25CF">
            <w:pPr>
              <w:rPr>
                <w:rFonts w:cs="Arial"/>
                <w:color w:val="FF0000"/>
                <w:sz w:val="21"/>
                <w:szCs w:val="21"/>
              </w:rPr>
            </w:pPr>
          </w:p>
        </w:tc>
        <w:tc>
          <w:tcPr>
            <w:tcW w:w="217" w:type="dxa"/>
          </w:tcPr>
          <w:p w14:paraId="411EC3BD" w14:textId="77777777" w:rsidR="002C0FD9" w:rsidRPr="00CA25CF" w:rsidRDefault="002C0FD9" w:rsidP="00CA25CF">
            <w:pPr>
              <w:rPr>
                <w:rFonts w:cs="Arial"/>
                <w:color w:val="FF0000"/>
                <w:sz w:val="21"/>
                <w:szCs w:val="21"/>
              </w:rPr>
            </w:pPr>
          </w:p>
        </w:tc>
        <w:tc>
          <w:tcPr>
            <w:tcW w:w="217" w:type="dxa"/>
          </w:tcPr>
          <w:p w14:paraId="5448090B" w14:textId="77777777" w:rsidR="002C0FD9" w:rsidRPr="00CA25CF" w:rsidRDefault="002C0FD9" w:rsidP="00CA25CF">
            <w:pPr>
              <w:rPr>
                <w:rFonts w:cs="Arial"/>
                <w:color w:val="FF0000"/>
                <w:sz w:val="21"/>
                <w:szCs w:val="21"/>
              </w:rPr>
            </w:pPr>
          </w:p>
        </w:tc>
      </w:tr>
      <w:tr w:rsidR="002C0FD9" w:rsidRPr="00A16219" w14:paraId="4BB2620F" w14:textId="14E07C1C" w:rsidTr="002C0FD9">
        <w:trPr>
          <w:trHeight w:val="635"/>
        </w:trPr>
        <w:tc>
          <w:tcPr>
            <w:tcW w:w="515" w:type="dxa"/>
          </w:tcPr>
          <w:p w14:paraId="0F22FD0A" w14:textId="77777777" w:rsidR="002C0FD9" w:rsidRPr="00CA25CF" w:rsidRDefault="002C0FD9" w:rsidP="00CA25CF">
            <w:pPr>
              <w:rPr>
                <w:rFonts w:cs="Arial"/>
                <w:color w:val="FF0000"/>
                <w:sz w:val="21"/>
                <w:szCs w:val="21"/>
              </w:rPr>
            </w:pPr>
          </w:p>
        </w:tc>
        <w:tc>
          <w:tcPr>
            <w:tcW w:w="217" w:type="dxa"/>
          </w:tcPr>
          <w:p w14:paraId="46D639D9" w14:textId="77777777" w:rsidR="002C0FD9" w:rsidRPr="00CA25CF" w:rsidRDefault="002C0FD9" w:rsidP="00CA25CF">
            <w:pPr>
              <w:rPr>
                <w:rFonts w:cs="Arial"/>
                <w:color w:val="FF0000"/>
                <w:sz w:val="21"/>
                <w:szCs w:val="21"/>
              </w:rPr>
            </w:pPr>
          </w:p>
        </w:tc>
        <w:tc>
          <w:tcPr>
            <w:tcW w:w="217" w:type="dxa"/>
          </w:tcPr>
          <w:p w14:paraId="4C522C25" w14:textId="299EA96B" w:rsidR="002C0FD9" w:rsidRPr="00CA25CF" w:rsidRDefault="002C0FD9" w:rsidP="00CA25CF">
            <w:pPr>
              <w:rPr>
                <w:rFonts w:cs="Arial"/>
                <w:color w:val="FF0000"/>
                <w:sz w:val="21"/>
                <w:szCs w:val="21"/>
              </w:rPr>
            </w:pPr>
          </w:p>
        </w:tc>
        <w:tc>
          <w:tcPr>
            <w:tcW w:w="217" w:type="dxa"/>
          </w:tcPr>
          <w:p w14:paraId="0774542C" w14:textId="77777777" w:rsidR="002C0FD9" w:rsidRPr="00CA25CF" w:rsidRDefault="002C0FD9" w:rsidP="00CA25CF">
            <w:pPr>
              <w:rPr>
                <w:rFonts w:cs="Arial"/>
                <w:color w:val="FF0000"/>
                <w:sz w:val="21"/>
                <w:szCs w:val="21"/>
              </w:rPr>
            </w:pPr>
          </w:p>
        </w:tc>
        <w:tc>
          <w:tcPr>
            <w:tcW w:w="217" w:type="dxa"/>
          </w:tcPr>
          <w:p w14:paraId="14CDCF77" w14:textId="77777777" w:rsidR="002C0FD9" w:rsidRPr="00CA25CF" w:rsidRDefault="002C0FD9" w:rsidP="00CA25CF">
            <w:pPr>
              <w:rPr>
                <w:rFonts w:cs="Arial"/>
                <w:color w:val="FF0000"/>
                <w:sz w:val="21"/>
                <w:szCs w:val="21"/>
              </w:rPr>
            </w:pPr>
          </w:p>
        </w:tc>
        <w:tc>
          <w:tcPr>
            <w:tcW w:w="217" w:type="dxa"/>
          </w:tcPr>
          <w:p w14:paraId="369CB38A" w14:textId="77777777" w:rsidR="002C0FD9" w:rsidRPr="00CA25CF" w:rsidRDefault="002C0FD9" w:rsidP="00CA25CF">
            <w:pPr>
              <w:rPr>
                <w:rFonts w:cs="Arial"/>
                <w:color w:val="FF0000"/>
                <w:sz w:val="21"/>
                <w:szCs w:val="21"/>
              </w:rPr>
            </w:pPr>
          </w:p>
        </w:tc>
        <w:tc>
          <w:tcPr>
            <w:tcW w:w="217" w:type="dxa"/>
          </w:tcPr>
          <w:p w14:paraId="34A08E86" w14:textId="77777777" w:rsidR="002C0FD9" w:rsidRPr="00CA25CF" w:rsidRDefault="002C0FD9" w:rsidP="00CA25CF">
            <w:pPr>
              <w:rPr>
                <w:rFonts w:cs="Arial"/>
                <w:color w:val="FF0000"/>
                <w:sz w:val="21"/>
                <w:szCs w:val="21"/>
              </w:rPr>
            </w:pPr>
          </w:p>
        </w:tc>
        <w:tc>
          <w:tcPr>
            <w:tcW w:w="217" w:type="dxa"/>
          </w:tcPr>
          <w:p w14:paraId="0E8878E8" w14:textId="77777777" w:rsidR="002C0FD9" w:rsidRPr="00CA25CF" w:rsidRDefault="002C0FD9" w:rsidP="00CA25CF">
            <w:pPr>
              <w:rPr>
                <w:rFonts w:cs="Arial"/>
                <w:color w:val="FF0000"/>
                <w:sz w:val="21"/>
                <w:szCs w:val="21"/>
              </w:rPr>
            </w:pPr>
          </w:p>
        </w:tc>
        <w:tc>
          <w:tcPr>
            <w:tcW w:w="217" w:type="dxa"/>
          </w:tcPr>
          <w:p w14:paraId="24932809" w14:textId="77777777" w:rsidR="002C0FD9" w:rsidRPr="00CA25CF" w:rsidRDefault="002C0FD9" w:rsidP="00CA25CF">
            <w:pPr>
              <w:rPr>
                <w:rFonts w:cs="Arial"/>
                <w:color w:val="FF0000"/>
                <w:sz w:val="21"/>
                <w:szCs w:val="21"/>
              </w:rPr>
            </w:pPr>
          </w:p>
        </w:tc>
        <w:tc>
          <w:tcPr>
            <w:tcW w:w="217" w:type="dxa"/>
          </w:tcPr>
          <w:p w14:paraId="3C73AD3F" w14:textId="77777777" w:rsidR="002C0FD9" w:rsidRPr="00CA25CF" w:rsidRDefault="002C0FD9" w:rsidP="00CA25CF">
            <w:pPr>
              <w:rPr>
                <w:rFonts w:cs="Arial"/>
                <w:color w:val="FF0000"/>
                <w:sz w:val="21"/>
                <w:szCs w:val="21"/>
              </w:rPr>
            </w:pPr>
          </w:p>
        </w:tc>
        <w:tc>
          <w:tcPr>
            <w:tcW w:w="217" w:type="dxa"/>
          </w:tcPr>
          <w:p w14:paraId="3CCA2AC5" w14:textId="77777777" w:rsidR="002C0FD9" w:rsidRPr="00CA25CF" w:rsidRDefault="002C0FD9" w:rsidP="00CA25CF">
            <w:pPr>
              <w:rPr>
                <w:rFonts w:cs="Arial"/>
                <w:color w:val="FF0000"/>
                <w:sz w:val="21"/>
                <w:szCs w:val="21"/>
              </w:rPr>
            </w:pPr>
          </w:p>
        </w:tc>
        <w:tc>
          <w:tcPr>
            <w:tcW w:w="217" w:type="dxa"/>
          </w:tcPr>
          <w:p w14:paraId="32D79C16" w14:textId="77777777" w:rsidR="002C0FD9" w:rsidRPr="00CA25CF" w:rsidRDefault="002C0FD9" w:rsidP="00CA25CF">
            <w:pPr>
              <w:rPr>
                <w:rFonts w:cs="Arial"/>
                <w:color w:val="FF0000"/>
                <w:sz w:val="21"/>
                <w:szCs w:val="21"/>
              </w:rPr>
            </w:pPr>
          </w:p>
        </w:tc>
        <w:tc>
          <w:tcPr>
            <w:tcW w:w="217" w:type="dxa"/>
          </w:tcPr>
          <w:p w14:paraId="148BCDA3" w14:textId="77777777" w:rsidR="002C0FD9" w:rsidRPr="00CA25CF" w:rsidRDefault="002C0FD9" w:rsidP="00CA25CF">
            <w:pPr>
              <w:rPr>
                <w:rFonts w:cs="Arial"/>
                <w:color w:val="FF0000"/>
                <w:sz w:val="21"/>
                <w:szCs w:val="21"/>
              </w:rPr>
            </w:pPr>
          </w:p>
        </w:tc>
        <w:tc>
          <w:tcPr>
            <w:tcW w:w="217" w:type="dxa"/>
          </w:tcPr>
          <w:p w14:paraId="525CB14B" w14:textId="77777777" w:rsidR="002C0FD9" w:rsidRPr="00CA25CF" w:rsidRDefault="002C0FD9" w:rsidP="00CA25CF">
            <w:pPr>
              <w:rPr>
                <w:rFonts w:cs="Arial"/>
                <w:color w:val="FF0000"/>
                <w:sz w:val="21"/>
                <w:szCs w:val="21"/>
              </w:rPr>
            </w:pPr>
          </w:p>
        </w:tc>
        <w:tc>
          <w:tcPr>
            <w:tcW w:w="217" w:type="dxa"/>
          </w:tcPr>
          <w:p w14:paraId="490A643C" w14:textId="77777777" w:rsidR="002C0FD9" w:rsidRPr="00CA25CF" w:rsidRDefault="002C0FD9" w:rsidP="00CA25CF">
            <w:pPr>
              <w:rPr>
                <w:rFonts w:cs="Arial"/>
                <w:color w:val="FF0000"/>
                <w:sz w:val="21"/>
                <w:szCs w:val="21"/>
              </w:rPr>
            </w:pPr>
          </w:p>
        </w:tc>
        <w:tc>
          <w:tcPr>
            <w:tcW w:w="217" w:type="dxa"/>
          </w:tcPr>
          <w:p w14:paraId="2EB43168" w14:textId="77777777" w:rsidR="002C0FD9" w:rsidRPr="00CA25CF" w:rsidRDefault="002C0FD9" w:rsidP="00CA25CF">
            <w:pPr>
              <w:rPr>
                <w:rFonts w:cs="Arial"/>
                <w:color w:val="FF0000"/>
                <w:sz w:val="21"/>
                <w:szCs w:val="21"/>
              </w:rPr>
            </w:pPr>
          </w:p>
        </w:tc>
        <w:tc>
          <w:tcPr>
            <w:tcW w:w="217" w:type="dxa"/>
          </w:tcPr>
          <w:p w14:paraId="51D833EE" w14:textId="77777777" w:rsidR="002C0FD9" w:rsidRPr="00CA25CF" w:rsidRDefault="002C0FD9" w:rsidP="00CA25CF">
            <w:pPr>
              <w:rPr>
                <w:rFonts w:cs="Arial"/>
                <w:color w:val="FF0000"/>
                <w:sz w:val="21"/>
                <w:szCs w:val="21"/>
              </w:rPr>
            </w:pPr>
          </w:p>
        </w:tc>
        <w:tc>
          <w:tcPr>
            <w:tcW w:w="217" w:type="dxa"/>
          </w:tcPr>
          <w:p w14:paraId="6E4D006F" w14:textId="77777777" w:rsidR="002C0FD9" w:rsidRPr="00CA25CF" w:rsidRDefault="002C0FD9" w:rsidP="00CA25CF">
            <w:pPr>
              <w:rPr>
                <w:rFonts w:cs="Arial"/>
                <w:color w:val="FF0000"/>
                <w:sz w:val="21"/>
                <w:szCs w:val="21"/>
              </w:rPr>
            </w:pPr>
          </w:p>
        </w:tc>
        <w:tc>
          <w:tcPr>
            <w:tcW w:w="217" w:type="dxa"/>
          </w:tcPr>
          <w:p w14:paraId="1B168D66" w14:textId="77777777" w:rsidR="002C0FD9" w:rsidRPr="00CA25CF" w:rsidRDefault="002C0FD9" w:rsidP="00CA25CF">
            <w:pPr>
              <w:rPr>
                <w:rFonts w:cs="Arial"/>
                <w:color w:val="FF0000"/>
                <w:sz w:val="21"/>
                <w:szCs w:val="21"/>
              </w:rPr>
            </w:pPr>
          </w:p>
        </w:tc>
        <w:tc>
          <w:tcPr>
            <w:tcW w:w="217" w:type="dxa"/>
          </w:tcPr>
          <w:p w14:paraId="4B3B4B42" w14:textId="77777777" w:rsidR="002C0FD9" w:rsidRPr="00CA25CF" w:rsidRDefault="002C0FD9" w:rsidP="00CA25CF">
            <w:pPr>
              <w:rPr>
                <w:rFonts w:cs="Arial"/>
                <w:color w:val="FF0000"/>
                <w:sz w:val="21"/>
                <w:szCs w:val="21"/>
              </w:rPr>
            </w:pPr>
          </w:p>
        </w:tc>
        <w:tc>
          <w:tcPr>
            <w:tcW w:w="217" w:type="dxa"/>
          </w:tcPr>
          <w:p w14:paraId="3CC30E93" w14:textId="77777777" w:rsidR="002C0FD9" w:rsidRPr="00CA25CF" w:rsidRDefault="002C0FD9" w:rsidP="00CA25CF">
            <w:pPr>
              <w:rPr>
                <w:rFonts w:cs="Arial"/>
                <w:color w:val="FF0000"/>
                <w:sz w:val="21"/>
                <w:szCs w:val="21"/>
              </w:rPr>
            </w:pPr>
          </w:p>
        </w:tc>
        <w:tc>
          <w:tcPr>
            <w:tcW w:w="217" w:type="dxa"/>
          </w:tcPr>
          <w:p w14:paraId="2212F0F3" w14:textId="77777777" w:rsidR="002C0FD9" w:rsidRPr="00CA25CF" w:rsidRDefault="002C0FD9" w:rsidP="00CA25CF">
            <w:pPr>
              <w:rPr>
                <w:rFonts w:cs="Arial"/>
                <w:color w:val="FF0000"/>
                <w:sz w:val="21"/>
                <w:szCs w:val="21"/>
              </w:rPr>
            </w:pPr>
          </w:p>
        </w:tc>
        <w:tc>
          <w:tcPr>
            <w:tcW w:w="217" w:type="dxa"/>
          </w:tcPr>
          <w:p w14:paraId="0305EB82" w14:textId="77777777" w:rsidR="002C0FD9" w:rsidRPr="00CA25CF" w:rsidRDefault="002C0FD9" w:rsidP="00CA25CF">
            <w:pPr>
              <w:rPr>
                <w:rFonts w:cs="Arial"/>
                <w:color w:val="FF0000"/>
                <w:sz w:val="21"/>
                <w:szCs w:val="21"/>
              </w:rPr>
            </w:pPr>
          </w:p>
        </w:tc>
        <w:tc>
          <w:tcPr>
            <w:tcW w:w="217" w:type="dxa"/>
          </w:tcPr>
          <w:p w14:paraId="15288996" w14:textId="77777777" w:rsidR="002C0FD9" w:rsidRPr="00CA25CF" w:rsidRDefault="002C0FD9" w:rsidP="00CA25CF">
            <w:pPr>
              <w:rPr>
                <w:rFonts w:cs="Arial"/>
                <w:color w:val="FF0000"/>
                <w:sz w:val="21"/>
                <w:szCs w:val="21"/>
              </w:rPr>
            </w:pPr>
          </w:p>
        </w:tc>
        <w:tc>
          <w:tcPr>
            <w:tcW w:w="217" w:type="dxa"/>
          </w:tcPr>
          <w:p w14:paraId="4F32EB2D" w14:textId="77777777" w:rsidR="002C0FD9" w:rsidRPr="00CA25CF" w:rsidRDefault="002C0FD9" w:rsidP="00CA25CF">
            <w:pPr>
              <w:rPr>
                <w:rFonts w:cs="Arial"/>
                <w:color w:val="FF0000"/>
                <w:sz w:val="21"/>
                <w:szCs w:val="21"/>
              </w:rPr>
            </w:pPr>
          </w:p>
        </w:tc>
        <w:tc>
          <w:tcPr>
            <w:tcW w:w="217" w:type="dxa"/>
          </w:tcPr>
          <w:p w14:paraId="6F750A37" w14:textId="77777777" w:rsidR="002C0FD9" w:rsidRPr="00CA25CF" w:rsidRDefault="002C0FD9" w:rsidP="00CA25CF">
            <w:pPr>
              <w:rPr>
                <w:rFonts w:cs="Arial"/>
                <w:color w:val="FF0000"/>
                <w:sz w:val="21"/>
                <w:szCs w:val="21"/>
              </w:rPr>
            </w:pPr>
          </w:p>
        </w:tc>
        <w:tc>
          <w:tcPr>
            <w:tcW w:w="217" w:type="dxa"/>
          </w:tcPr>
          <w:p w14:paraId="7815DD42" w14:textId="77777777" w:rsidR="002C0FD9" w:rsidRPr="00CA25CF" w:rsidRDefault="002C0FD9" w:rsidP="00CA25CF">
            <w:pPr>
              <w:rPr>
                <w:rFonts w:cs="Arial"/>
                <w:color w:val="FF0000"/>
                <w:sz w:val="21"/>
                <w:szCs w:val="21"/>
              </w:rPr>
            </w:pPr>
          </w:p>
        </w:tc>
        <w:tc>
          <w:tcPr>
            <w:tcW w:w="217" w:type="dxa"/>
          </w:tcPr>
          <w:p w14:paraId="79D621C9" w14:textId="77777777" w:rsidR="002C0FD9" w:rsidRPr="00CA25CF" w:rsidRDefault="002C0FD9" w:rsidP="00CA25CF">
            <w:pPr>
              <w:rPr>
                <w:rFonts w:cs="Arial"/>
                <w:color w:val="FF0000"/>
                <w:sz w:val="21"/>
                <w:szCs w:val="21"/>
              </w:rPr>
            </w:pPr>
          </w:p>
        </w:tc>
        <w:tc>
          <w:tcPr>
            <w:tcW w:w="217" w:type="dxa"/>
          </w:tcPr>
          <w:p w14:paraId="26DB231E" w14:textId="77777777" w:rsidR="002C0FD9" w:rsidRPr="00CA25CF" w:rsidRDefault="002C0FD9" w:rsidP="00CA25CF">
            <w:pPr>
              <w:rPr>
                <w:rFonts w:cs="Arial"/>
                <w:color w:val="FF0000"/>
                <w:sz w:val="21"/>
                <w:szCs w:val="21"/>
              </w:rPr>
            </w:pPr>
          </w:p>
        </w:tc>
        <w:tc>
          <w:tcPr>
            <w:tcW w:w="217" w:type="dxa"/>
          </w:tcPr>
          <w:p w14:paraId="3FDEFC8E" w14:textId="77777777" w:rsidR="002C0FD9" w:rsidRPr="00CA25CF" w:rsidRDefault="002C0FD9" w:rsidP="00CA25CF">
            <w:pPr>
              <w:rPr>
                <w:rFonts w:cs="Arial"/>
                <w:color w:val="FF0000"/>
                <w:sz w:val="21"/>
                <w:szCs w:val="21"/>
              </w:rPr>
            </w:pPr>
          </w:p>
        </w:tc>
        <w:tc>
          <w:tcPr>
            <w:tcW w:w="217" w:type="dxa"/>
          </w:tcPr>
          <w:p w14:paraId="688BB870" w14:textId="77777777" w:rsidR="002C0FD9" w:rsidRPr="00CA25CF" w:rsidRDefault="002C0FD9" w:rsidP="00CA25CF">
            <w:pPr>
              <w:rPr>
                <w:rFonts w:cs="Arial"/>
                <w:color w:val="FF0000"/>
                <w:sz w:val="21"/>
                <w:szCs w:val="21"/>
              </w:rPr>
            </w:pPr>
          </w:p>
        </w:tc>
        <w:tc>
          <w:tcPr>
            <w:tcW w:w="217" w:type="dxa"/>
          </w:tcPr>
          <w:p w14:paraId="532F8D42" w14:textId="77777777" w:rsidR="002C0FD9" w:rsidRPr="00CA25CF" w:rsidRDefault="002C0FD9" w:rsidP="00CA25CF">
            <w:pPr>
              <w:rPr>
                <w:rFonts w:cs="Arial"/>
                <w:color w:val="FF0000"/>
                <w:sz w:val="21"/>
                <w:szCs w:val="21"/>
              </w:rPr>
            </w:pPr>
          </w:p>
        </w:tc>
        <w:tc>
          <w:tcPr>
            <w:tcW w:w="217" w:type="dxa"/>
          </w:tcPr>
          <w:p w14:paraId="624AFE62" w14:textId="77777777" w:rsidR="002C0FD9" w:rsidRPr="00CA25CF" w:rsidRDefault="002C0FD9" w:rsidP="00CA25CF">
            <w:pPr>
              <w:rPr>
                <w:rFonts w:cs="Arial"/>
                <w:color w:val="FF0000"/>
                <w:sz w:val="21"/>
                <w:szCs w:val="21"/>
              </w:rPr>
            </w:pPr>
          </w:p>
        </w:tc>
        <w:tc>
          <w:tcPr>
            <w:tcW w:w="217" w:type="dxa"/>
          </w:tcPr>
          <w:p w14:paraId="720DD488" w14:textId="77777777" w:rsidR="002C0FD9" w:rsidRPr="00CA25CF" w:rsidRDefault="002C0FD9" w:rsidP="00CA25CF">
            <w:pPr>
              <w:rPr>
                <w:rFonts w:cs="Arial"/>
                <w:color w:val="FF0000"/>
                <w:sz w:val="21"/>
                <w:szCs w:val="21"/>
              </w:rPr>
            </w:pPr>
          </w:p>
        </w:tc>
        <w:tc>
          <w:tcPr>
            <w:tcW w:w="217" w:type="dxa"/>
          </w:tcPr>
          <w:p w14:paraId="179F6AEE" w14:textId="77777777" w:rsidR="002C0FD9" w:rsidRPr="00CA25CF" w:rsidRDefault="002C0FD9" w:rsidP="00CA25CF">
            <w:pPr>
              <w:rPr>
                <w:rFonts w:cs="Arial"/>
                <w:color w:val="FF0000"/>
                <w:sz w:val="21"/>
                <w:szCs w:val="21"/>
              </w:rPr>
            </w:pPr>
          </w:p>
        </w:tc>
        <w:tc>
          <w:tcPr>
            <w:tcW w:w="217" w:type="dxa"/>
          </w:tcPr>
          <w:p w14:paraId="59D5FA29" w14:textId="77777777" w:rsidR="002C0FD9" w:rsidRPr="00CA25CF" w:rsidRDefault="002C0FD9" w:rsidP="00CA25CF">
            <w:pPr>
              <w:rPr>
                <w:rFonts w:cs="Arial"/>
                <w:color w:val="FF0000"/>
                <w:sz w:val="21"/>
                <w:szCs w:val="21"/>
              </w:rPr>
            </w:pPr>
          </w:p>
        </w:tc>
        <w:tc>
          <w:tcPr>
            <w:tcW w:w="217" w:type="dxa"/>
          </w:tcPr>
          <w:p w14:paraId="00EADE99" w14:textId="77777777" w:rsidR="002C0FD9" w:rsidRPr="00CA25CF" w:rsidRDefault="002C0FD9" w:rsidP="00CA25CF">
            <w:pPr>
              <w:rPr>
                <w:rFonts w:cs="Arial"/>
                <w:color w:val="FF0000"/>
                <w:sz w:val="21"/>
                <w:szCs w:val="21"/>
              </w:rPr>
            </w:pPr>
          </w:p>
        </w:tc>
        <w:tc>
          <w:tcPr>
            <w:tcW w:w="217" w:type="dxa"/>
          </w:tcPr>
          <w:p w14:paraId="4D6A560B" w14:textId="77777777" w:rsidR="002C0FD9" w:rsidRPr="00CA25CF" w:rsidRDefault="002C0FD9" w:rsidP="00CA25CF">
            <w:pPr>
              <w:rPr>
                <w:rFonts w:cs="Arial"/>
                <w:color w:val="FF0000"/>
                <w:sz w:val="21"/>
                <w:szCs w:val="21"/>
              </w:rPr>
            </w:pPr>
          </w:p>
        </w:tc>
        <w:tc>
          <w:tcPr>
            <w:tcW w:w="217" w:type="dxa"/>
          </w:tcPr>
          <w:p w14:paraId="0373C243" w14:textId="77777777" w:rsidR="002C0FD9" w:rsidRPr="00CA25CF" w:rsidRDefault="002C0FD9" w:rsidP="00CA25CF">
            <w:pPr>
              <w:rPr>
                <w:rFonts w:cs="Arial"/>
                <w:color w:val="FF0000"/>
                <w:sz w:val="21"/>
                <w:szCs w:val="21"/>
              </w:rPr>
            </w:pPr>
          </w:p>
        </w:tc>
        <w:tc>
          <w:tcPr>
            <w:tcW w:w="217" w:type="dxa"/>
          </w:tcPr>
          <w:p w14:paraId="0AF03040" w14:textId="77777777" w:rsidR="002C0FD9" w:rsidRPr="00CA25CF" w:rsidRDefault="002C0FD9" w:rsidP="00CA25CF">
            <w:pPr>
              <w:rPr>
                <w:rFonts w:cs="Arial"/>
                <w:color w:val="FF0000"/>
                <w:sz w:val="21"/>
                <w:szCs w:val="21"/>
              </w:rPr>
            </w:pPr>
          </w:p>
        </w:tc>
        <w:tc>
          <w:tcPr>
            <w:tcW w:w="217" w:type="dxa"/>
          </w:tcPr>
          <w:p w14:paraId="3B77CBA9" w14:textId="77777777" w:rsidR="002C0FD9" w:rsidRPr="00CA25CF" w:rsidRDefault="002C0FD9" w:rsidP="00CA25CF">
            <w:pPr>
              <w:rPr>
                <w:rFonts w:cs="Arial"/>
                <w:color w:val="FF0000"/>
                <w:sz w:val="21"/>
                <w:szCs w:val="21"/>
              </w:rPr>
            </w:pPr>
          </w:p>
        </w:tc>
        <w:tc>
          <w:tcPr>
            <w:tcW w:w="217" w:type="dxa"/>
          </w:tcPr>
          <w:p w14:paraId="7DCCE603" w14:textId="77777777" w:rsidR="002C0FD9" w:rsidRPr="00CA25CF" w:rsidRDefault="002C0FD9" w:rsidP="00CA25CF">
            <w:pPr>
              <w:rPr>
                <w:rFonts w:cs="Arial"/>
                <w:color w:val="FF0000"/>
                <w:sz w:val="21"/>
                <w:szCs w:val="21"/>
              </w:rPr>
            </w:pPr>
          </w:p>
        </w:tc>
        <w:tc>
          <w:tcPr>
            <w:tcW w:w="217" w:type="dxa"/>
          </w:tcPr>
          <w:p w14:paraId="38A0F634" w14:textId="77777777" w:rsidR="002C0FD9" w:rsidRPr="00CA25CF" w:rsidRDefault="002C0FD9" w:rsidP="00CA25CF">
            <w:pPr>
              <w:rPr>
                <w:rFonts w:cs="Arial"/>
                <w:color w:val="FF0000"/>
                <w:sz w:val="21"/>
                <w:szCs w:val="21"/>
              </w:rPr>
            </w:pPr>
          </w:p>
        </w:tc>
      </w:tr>
      <w:tr w:rsidR="002C0FD9" w:rsidRPr="00A16219" w14:paraId="4BA6E531" w14:textId="554DE5F2" w:rsidTr="002C0FD9">
        <w:trPr>
          <w:trHeight w:val="635"/>
        </w:trPr>
        <w:tc>
          <w:tcPr>
            <w:tcW w:w="515" w:type="dxa"/>
          </w:tcPr>
          <w:p w14:paraId="1568B3BE" w14:textId="77777777" w:rsidR="002C0FD9" w:rsidRPr="00CA25CF" w:rsidRDefault="002C0FD9" w:rsidP="00CA25CF">
            <w:pPr>
              <w:rPr>
                <w:rFonts w:cs="Arial"/>
                <w:color w:val="FF0000"/>
                <w:sz w:val="21"/>
                <w:szCs w:val="21"/>
              </w:rPr>
            </w:pPr>
          </w:p>
        </w:tc>
        <w:tc>
          <w:tcPr>
            <w:tcW w:w="217" w:type="dxa"/>
          </w:tcPr>
          <w:p w14:paraId="0C4D239D" w14:textId="77777777" w:rsidR="002C0FD9" w:rsidRPr="00CA25CF" w:rsidRDefault="002C0FD9" w:rsidP="00CA25CF">
            <w:pPr>
              <w:rPr>
                <w:rFonts w:cs="Arial"/>
                <w:color w:val="FF0000"/>
                <w:sz w:val="21"/>
                <w:szCs w:val="21"/>
              </w:rPr>
            </w:pPr>
          </w:p>
        </w:tc>
        <w:tc>
          <w:tcPr>
            <w:tcW w:w="217" w:type="dxa"/>
          </w:tcPr>
          <w:p w14:paraId="6CC42EC7" w14:textId="5672C71A" w:rsidR="002C0FD9" w:rsidRPr="00CA25CF" w:rsidRDefault="002C0FD9" w:rsidP="00CA25CF">
            <w:pPr>
              <w:rPr>
                <w:rFonts w:cs="Arial"/>
                <w:color w:val="FF0000"/>
                <w:sz w:val="21"/>
                <w:szCs w:val="21"/>
              </w:rPr>
            </w:pPr>
          </w:p>
        </w:tc>
        <w:tc>
          <w:tcPr>
            <w:tcW w:w="217" w:type="dxa"/>
          </w:tcPr>
          <w:p w14:paraId="3D436F52" w14:textId="77777777" w:rsidR="002C0FD9" w:rsidRPr="00CA25CF" w:rsidRDefault="002C0FD9" w:rsidP="00CA25CF">
            <w:pPr>
              <w:rPr>
                <w:rFonts w:cs="Arial"/>
                <w:color w:val="FF0000"/>
                <w:sz w:val="21"/>
                <w:szCs w:val="21"/>
              </w:rPr>
            </w:pPr>
          </w:p>
        </w:tc>
        <w:tc>
          <w:tcPr>
            <w:tcW w:w="217" w:type="dxa"/>
          </w:tcPr>
          <w:p w14:paraId="5F126D56" w14:textId="77777777" w:rsidR="002C0FD9" w:rsidRPr="00CA25CF" w:rsidRDefault="002C0FD9" w:rsidP="00CA25CF">
            <w:pPr>
              <w:rPr>
                <w:rFonts w:cs="Arial"/>
                <w:color w:val="FF0000"/>
                <w:sz w:val="21"/>
                <w:szCs w:val="21"/>
              </w:rPr>
            </w:pPr>
          </w:p>
        </w:tc>
        <w:tc>
          <w:tcPr>
            <w:tcW w:w="217" w:type="dxa"/>
          </w:tcPr>
          <w:p w14:paraId="60F96032" w14:textId="77777777" w:rsidR="002C0FD9" w:rsidRPr="00CA25CF" w:rsidRDefault="002C0FD9" w:rsidP="00CA25CF">
            <w:pPr>
              <w:rPr>
                <w:rFonts w:cs="Arial"/>
                <w:color w:val="FF0000"/>
                <w:sz w:val="21"/>
                <w:szCs w:val="21"/>
              </w:rPr>
            </w:pPr>
          </w:p>
        </w:tc>
        <w:tc>
          <w:tcPr>
            <w:tcW w:w="217" w:type="dxa"/>
          </w:tcPr>
          <w:p w14:paraId="59EC43D7" w14:textId="77777777" w:rsidR="002C0FD9" w:rsidRPr="00CA25CF" w:rsidRDefault="002C0FD9" w:rsidP="00CA25CF">
            <w:pPr>
              <w:rPr>
                <w:rFonts w:cs="Arial"/>
                <w:color w:val="FF0000"/>
                <w:sz w:val="21"/>
                <w:szCs w:val="21"/>
              </w:rPr>
            </w:pPr>
          </w:p>
        </w:tc>
        <w:tc>
          <w:tcPr>
            <w:tcW w:w="217" w:type="dxa"/>
          </w:tcPr>
          <w:p w14:paraId="57F37B9A" w14:textId="77777777" w:rsidR="002C0FD9" w:rsidRPr="00CA25CF" w:rsidRDefault="002C0FD9" w:rsidP="00CA25CF">
            <w:pPr>
              <w:rPr>
                <w:rFonts w:cs="Arial"/>
                <w:color w:val="FF0000"/>
                <w:sz w:val="21"/>
                <w:szCs w:val="21"/>
              </w:rPr>
            </w:pPr>
          </w:p>
        </w:tc>
        <w:tc>
          <w:tcPr>
            <w:tcW w:w="217" w:type="dxa"/>
          </w:tcPr>
          <w:p w14:paraId="32D99D63" w14:textId="77777777" w:rsidR="002C0FD9" w:rsidRPr="00CA25CF" w:rsidRDefault="002C0FD9" w:rsidP="00CA25CF">
            <w:pPr>
              <w:rPr>
                <w:rFonts w:cs="Arial"/>
                <w:color w:val="FF0000"/>
                <w:sz w:val="21"/>
                <w:szCs w:val="21"/>
              </w:rPr>
            </w:pPr>
          </w:p>
        </w:tc>
        <w:tc>
          <w:tcPr>
            <w:tcW w:w="217" w:type="dxa"/>
          </w:tcPr>
          <w:p w14:paraId="61779BA8" w14:textId="77777777" w:rsidR="002C0FD9" w:rsidRPr="00CA25CF" w:rsidRDefault="002C0FD9" w:rsidP="00CA25CF">
            <w:pPr>
              <w:rPr>
                <w:rFonts w:cs="Arial"/>
                <w:color w:val="FF0000"/>
                <w:sz w:val="21"/>
                <w:szCs w:val="21"/>
              </w:rPr>
            </w:pPr>
          </w:p>
        </w:tc>
        <w:tc>
          <w:tcPr>
            <w:tcW w:w="217" w:type="dxa"/>
          </w:tcPr>
          <w:p w14:paraId="449B5AD1" w14:textId="77777777" w:rsidR="002C0FD9" w:rsidRPr="00CA25CF" w:rsidRDefault="002C0FD9" w:rsidP="00CA25CF">
            <w:pPr>
              <w:rPr>
                <w:rFonts w:cs="Arial"/>
                <w:color w:val="FF0000"/>
                <w:sz w:val="21"/>
                <w:szCs w:val="21"/>
              </w:rPr>
            </w:pPr>
          </w:p>
        </w:tc>
        <w:tc>
          <w:tcPr>
            <w:tcW w:w="217" w:type="dxa"/>
          </w:tcPr>
          <w:p w14:paraId="16F7D527" w14:textId="77777777" w:rsidR="002C0FD9" w:rsidRPr="00CA25CF" w:rsidRDefault="002C0FD9" w:rsidP="00CA25CF">
            <w:pPr>
              <w:rPr>
                <w:rFonts w:cs="Arial"/>
                <w:color w:val="FF0000"/>
                <w:sz w:val="21"/>
                <w:szCs w:val="21"/>
              </w:rPr>
            </w:pPr>
          </w:p>
        </w:tc>
        <w:tc>
          <w:tcPr>
            <w:tcW w:w="217" w:type="dxa"/>
          </w:tcPr>
          <w:p w14:paraId="3CB8E8BF" w14:textId="77777777" w:rsidR="002C0FD9" w:rsidRPr="00CA25CF" w:rsidRDefault="002C0FD9" w:rsidP="00CA25CF">
            <w:pPr>
              <w:rPr>
                <w:rFonts w:cs="Arial"/>
                <w:color w:val="FF0000"/>
                <w:sz w:val="21"/>
                <w:szCs w:val="21"/>
              </w:rPr>
            </w:pPr>
          </w:p>
        </w:tc>
        <w:tc>
          <w:tcPr>
            <w:tcW w:w="217" w:type="dxa"/>
          </w:tcPr>
          <w:p w14:paraId="1CC5CE57" w14:textId="77777777" w:rsidR="002C0FD9" w:rsidRPr="00CA25CF" w:rsidRDefault="002C0FD9" w:rsidP="00CA25CF">
            <w:pPr>
              <w:rPr>
                <w:rFonts w:cs="Arial"/>
                <w:color w:val="FF0000"/>
                <w:sz w:val="21"/>
                <w:szCs w:val="21"/>
              </w:rPr>
            </w:pPr>
          </w:p>
        </w:tc>
        <w:tc>
          <w:tcPr>
            <w:tcW w:w="217" w:type="dxa"/>
          </w:tcPr>
          <w:p w14:paraId="6B89A91C" w14:textId="77777777" w:rsidR="002C0FD9" w:rsidRPr="00CA25CF" w:rsidRDefault="002C0FD9" w:rsidP="00CA25CF">
            <w:pPr>
              <w:rPr>
                <w:rFonts w:cs="Arial"/>
                <w:color w:val="FF0000"/>
                <w:sz w:val="21"/>
                <w:szCs w:val="21"/>
              </w:rPr>
            </w:pPr>
          </w:p>
        </w:tc>
        <w:tc>
          <w:tcPr>
            <w:tcW w:w="217" w:type="dxa"/>
          </w:tcPr>
          <w:p w14:paraId="1B297848" w14:textId="77777777" w:rsidR="002C0FD9" w:rsidRPr="00CA25CF" w:rsidRDefault="002C0FD9" w:rsidP="00CA25CF">
            <w:pPr>
              <w:rPr>
                <w:rFonts w:cs="Arial"/>
                <w:color w:val="FF0000"/>
                <w:sz w:val="21"/>
                <w:szCs w:val="21"/>
              </w:rPr>
            </w:pPr>
          </w:p>
        </w:tc>
        <w:tc>
          <w:tcPr>
            <w:tcW w:w="217" w:type="dxa"/>
          </w:tcPr>
          <w:p w14:paraId="20F82538" w14:textId="77777777" w:rsidR="002C0FD9" w:rsidRPr="00CA25CF" w:rsidRDefault="002C0FD9" w:rsidP="00CA25CF">
            <w:pPr>
              <w:rPr>
                <w:rFonts w:cs="Arial"/>
                <w:color w:val="FF0000"/>
                <w:sz w:val="21"/>
                <w:szCs w:val="21"/>
              </w:rPr>
            </w:pPr>
          </w:p>
        </w:tc>
        <w:tc>
          <w:tcPr>
            <w:tcW w:w="217" w:type="dxa"/>
          </w:tcPr>
          <w:p w14:paraId="6AB89E9F" w14:textId="77777777" w:rsidR="002C0FD9" w:rsidRPr="00CA25CF" w:rsidRDefault="002C0FD9" w:rsidP="00CA25CF">
            <w:pPr>
              <w:rPr>
                <w:rFonts w:cs="Arial"/>
                <w:color w:val="FF0000"/>
                <w:sz w:val="21"/>
                <w:szCs w:val="21"/>
              </w:rPr>
            </w:pPr>
          </w:p>
        </w:tc>
        <w:tc>
          <w:tcPr>
            <w:tcW w:w="217" w:type="dxa"/>
          </w:tcPr>
          <w:p w14:paraId="47AA2C54" w14:textId="77777777" w:rsidR="002C0FD9" w:rsidRPr="00CA25CF" w:rsidRDefault="002C0FD9" w:rsidP="00CA25CF">
            <w:pPr>
              <w:rPr>
                <w:rFonts w:cs="Arial"/>
                <w:color w:val="FF0000"/>
                <w:sz w:val="21"/>
                <w:szCs w:val="21"/>
              </w:rPr>
            </w:pPr>
          </w:p>
        </w:tc>
        <w:tc>
          <w:tcPr>
            <w:tcW w:w="217" w:type="dxa"/>
          </w:tcPr>
          <w:p w14:paraId="667361F0" w14:textId="77777777" w:rsidR="002C0FD9" w:rsidRPr="00CA25CF" w:rsidRDefault="002C0FD9" w:rsidP="00CA25CF">
            <w:pPr>
              <w:rPr>
                <w:rFonts w:cs="Arial"/>
                <w:color w:val="FF0000"/>
                <w:sz w:val="21"/>
                <w:szCs w:val="21"/>
              </w:rPr>
            </w:pPr>
          </w:p>
        </w:tc>
        <w:tc>
          <w:tcPr>
            <w:tcW w:w="217" w:type="dxa"/>
          </w:tcPr>
          <w:p w14:paraId="738122B4" w14:textId="77777777" w:rsidR="002C0FD9" w:rsidRPr="00CA25CF" w:rsidRDefault="002C0FD9" w:rsidP="00CA25CF">
            <w:pPr>
              <w:rPr>
                <w:rFonts w:cs="Arial"/>
                <w:color w:val="FF0000"/>
                <w:sz w:val="21"/>
                <w:szCs w:val="21"/>
              </w:rPr>
            </w:pPr>
          </w:p>
        </w:tc>
        <w:tc>
          <w:tcPr>
            <w:tcW w:w="217" w:type="dxa"/>
          </w:tcPr>
          <w:p w14:paraId="3C1D5085" w14:textId="77777777" w:rsidR="002C0FD9" w:rsidRPr="00CA25CF" w:rsidRDefault="002C0FD9" w:rsidP="00CA25CF">
            <w:pPr>
              <w:rPr>
                <w:rFonts w:cs="Arial"/>
                <w:color w:val="FF0000"/>
                <w:sz w:val="21"/>
                <w:szCs w:val="21"/>
              </w:rPr>
            </w:pPr>
          </w:p>
        </w:tc>
        <w:tc>
          <w:tcPr>
            <w:tcW w:w="217" w:type="dxa"/>
          </w:tcPr>
          <w:p w14:paraId="287B5785" w14:textId="77777777" w:rsidR="002C0FD9" w:rsidRPr="00CA25CF" w:rsidRDefault="002C0FD9" w:rsidP="00CA25CF">
            <w:pPr>
              <w:rPr>
                <w:rFonts w:cs="Arial"/>
                <w:color w:val="FF0000"/>
                <w:sz w:val="21"/>
                <w:szCs w:val="21"/>
              </w:rPr>
            </w:pPr>
          </w:p>
        </w:tc>
        <w:tc>
          <w:tcPr>
            <w:tcW w:w="217" w:type="dxa"/>
          </w:tcPr>
          <w:p w14:paraId="1ED964A8" w14:textId="77777777" w:rsidR="002C0FD9" w:rsidRPr="00CA25CF" w:rsidRDefault="002C0FD9" w:rsidP="00CA25CF">
            <w:pPr>
              <w:rPr>
                <w:rFonts w:cs="Arial"/>
                <w:color w:val="FF0000"/>
                <w:sz w:val="21"/>
                <w:szCs w:val="21"/>
              </w:rPr>
            </w:pPr>
          </w:p>
        </w:tc>
        <w:tc>
          <w:tcPr>
            <w:tcW w:w="217" w:type="dxa"/>
          </w:tcPr>
          <w:p w14:paraId="14F7449F" w14:textId="77777777" w:rsidR="002C0FD9" w:rsidRPr="00CA25CF" w:rsidRDefault="002C0FD9" w:rsidP="00CA25CF">
            <w:pPr>
              <w:rPr>
                <w:rFonts w:cs="Arial"/>
                <w:color w:val="FF0000"/>
                <w:sz w:val="21"/>
                <w:szCs w:val="21"/>
              </w:rPr>
            </w:pPr>
          </w:p>
        </w:tc>
        <w:tc>
          <w:tcPr>
            <w:tcW w:w="217" w:type="dxa"/>
          </w:tcPr>
          <w:p w14:paraId="6D103517" w14:textId="77777777" w:rsidR="002C0FD9" w:rsidRPr="00CA25CF" w:rsidRDefault="002C0FD9" w:rsidP="00CA25CF">
            <w:pPr>
              <w:rPr>
                <w:rFonts w:cs="Arial"/>
                <w:color w:val="FF0000"/>
                <w:sz w:val="21"/>
                <w:szCs w:val="21"/>
              </w:rPr>
            </w:pPr>
          </w:p>
        </w:tc>
        <w:tc>
          <w:tcPr>
            <w:tcW w:w="217" w:type="dxa"/>
          </w:tcPr>
          <w:p w14:paraId="21D1AF70" w14:textId="77777777" w:rsidR="002C0FD9" w:rsidRPr="00CA25CF" w:rsidRDefault="002C0FD9" w:rsidP="00CA25CF">
            <w:pPr>
              <w:rPr>
                <w:rFonts w:cs="Arial"/>
                <w:color w:val="FF0000"/>
                <w:sz w:val="21"/>
                <w:szCs w:val="21"/>
              </w:rPr>
            </w:pPr>
          </w:p>
        </w:tc>
        <w:tc>
          <w:tcPr>
            <w:tcW w:w="217" w:type="dxa"/>
          </w:tcPr>
          <w:p w14:paraId="04442DBD" w14:textId="77777777" w:rsidR="002C0FD9" w:rsidRPr="00CA25CF" w:rsidRDefault="002C0FD9" w:rsidP="00CA25CF">
            <w:pPr>
              <w:rPr>
                <w:rFonts w:cs="Arial"/>
                <w:color w:val="FF0000"/>
                <w:sz w:val="21"/>
                <w:szCs w:val="21"/>
              </w:rPr>
            </w:pPr>
          </w:p>
        </w:tc>
        <w:tc>
          <w:tcPr>
            <w:tcW w:w="217" w:type="dxa"/>
          </w:tcPr>
          <w:p w14:paraId="469B5B2A" w14:textId="77777777" w:rsidR="002C0FD9" w:rsidRPr="00CA25CF" w:rsidRDefault="002C0FD9" w:rsidP="00CA25CF">
            <w:pPr>
              <w:rPr>
                <w:rFonts w:cs="Arial"/>
                <w:color w:val="FF0000"/>
                <w:sz w:val="21"/>
                <w:szCs w:val="21"/>
              </w:rPr>
            </w:pPr>
          </w:p>
        </w:tc>
        <w:tc>
          <w:tcPr>
            <w:tcW w:w="217" w:type="dxa"/>
          </w:tcPr>
          <w:p w14:paraId="51053A3E" w14:textId="77777777" w:rsidR="002C0FD9" w:rsidRPr="00CA25CF" w:rsidRDefault="002C0FD9" w:rsidP="00CA25CF">
            <w:pPr>
              <w:rPr>
                <w:rFonts w:cs="Arial"/>
                <w:color w:val="FF0000"/>
                <w:sz w:val="21"/>
                <w:szCs w:val="21"/>
              </w:rPr>
            </w:pPr>
          </w:p>
        </w:tc>
        <w:tc>
          <w:tcPr>
            <w:tcW w:w="217" w:type="dxa"/>
          </w:tcPr>
          <w:p w14:paraId="50982A26" w14:textId="77777777" w:rsidR="002C0FD9" w:rsidRPr="00CA25CF" w:rsidRDefault="002C0FD9" w:rsidP="00CA25CF">
            <w:pPr>
              <w:rPr>
                <w:rFonts w:cs="Arial"/>
                <w:color w:val="FF0000"/>
                <w:sz w:val="21"/>
                <w:szCs w:val="21"/>
              </w:rPr>
            </w:pPr>
          </w:p>
        </w:tc>
        <w:tc>
          <w:tcPr>
            <w:tcW w:w="217" w:type="dxa"/>
          </w:tcPr>
          <w:p w14:paraId="7895D489" w14:textId="77777777" w:rsidR="002C0FD9" w:rsidRPr="00CA25CF" w:rsidRDefault="002C0FD9" w:rsidP="00CA25CF">
            <w:pPr>
              <w:rPr>
                <w:rFonts w:cs="Arial"/>
                <w:color w:val="FF0000"/>
                <w:sz w:val="21"/>
                <w:szCs w:val="21"/>
              </w:rPr>
            </w:pPr>
          </w:p>
        </w:tc>
        <w:tc>
          <w:tcPr>
            <w:tcW w:w="217" w:type="dxa"/>
          </w:tcPr>
          <w:p w14:paraId="270778B8" w14:textId="77777777" w:rsidR="002C0FD9" w:rsidRPr="00CA25CF" w:rsidRDefault="002C0FD9" w:rsidP="00CA25CF">
            <w:pPr>
              <w:rPr>
                <w:rFonts w:cs="Arial"/>
                <w:color w:val="FF0000"/>
                <w:sz w:val="21"/>
                <w:szCs w:val="21"/>
              </w:rPr>
            </w:pPr>
          </w:p>
        </w:tc>
        <w:tc>
          <w:tcPr>
            <w:tcW w:w="217" w:type="dxa"/>
          </w:tcPr>
          <w:p w14:paraId="64AEE25D" w14:textId="77777777" w:rsidR="002C0FD9" w:rsidRPr="00CA25CF" w:rsidRDefault="002C0FD9" w:rsidP="00CA25CF">
            <w:pPr>
              <w:rPr>
                <w:rFonts w:cs="Arial"/>
                <w:color w:val="FF0000"/>
                <w:sz w:val="21"/>
                <w:szCs w:val="21"/>
              </w:rPr>
            </w:pPr>
          </w:p>
        </w:tc>
        <w:tc>
          <w:tcPr>
            <w:tcW w:w="217" w:type="dxa"/>
          </w:tcPr>
          <w:p w14:paraId="242EFA7B" w14:textId="77777777" w:rsidR="002C0FD9" w:rsidRPr="00CA25CF" w:rsidRDefault="002C0FD9" w:rsidP="00CA25CF">
            <w:pPr>
              <w:rPr>
                <w:rFonts w:cs="Arial"/>
                <w:color w:val="FF0000"/>
                <w:sz w:val="21"/>
                <w:szCs w:val="21"/>
              </w:rPr>
            </w:pPr>
          </w:p>
        </w:tc>
        <w:tc>
          <w:tcPr>
            <w:tcW w:w="217" w:type="dxa"/>
          </w:tcPr>
          <w:p w14:paraId="394BFB5A" w14:textId="77777777" w:rsidR="002C0FD9" w:rsidRPr="00CA25CF" w:rsidRDefault="002C0FD9" w:rsidP="00CA25CF">
            <w:pPr>
              <w:rPr>
                <w:rFonts w:cs="Arial"/>
                <w:color w:val="FF0000"/>
                <w:sz w:val="21"/>
                <w:szCs w:val="21"/>
              </w:rPr>
            </w:pPr>
          </w:p>
        </w:tc>
        <w:tc>
          <w:tcPr>
            <w:tcW w:w="217" w:type="dxa"/>
          </w:tcPr>
          <w:p w14:paraId="32F68E27" w14:textId="77777777" w:rsidR="002C0FD9" w:rsidRPr="00CA25CF" w:rsidRDefault="002C0FD9" w:rsidP="00CA25CF">
            <w:pPr>
              <w:rPr>
                <w:rFonts w:cs="Arial"/>
                <w:color w:val="FF0000"/>
                <w:sz w:val="21"/>
                <w:szCs w:val="21"/>
              </w:rPr>
            </w:pPr>
          </w:p>
        </w:tc>
        <w:tc>
          <w:tcPr>
            <w:tcW w:w="217" w:type="dxa"/>
          </w:tcPr>
          <w:p w14:paraId="37B83B92" w14:textId="77777777" w:rsidR="002C0FD9" w:rsidRPr="00CA25CF" w:rsidRDefault="002C0FD9" w:rsidP="00CA25CF">
            <w:pPr>
              <w:rPr>
                <w:rFonts w:cs="Arial"/>
                <w:color w:val="FF0000"/>
                <w:sz w:val="21"/>
                <w:szCs w:val="21"/>
              </w:rPr>
            </w:pPr>
          </w:p>
        </w:tc>
        <w:tc>
          <w:tcPr>
            <w:tcW w:w="217" w:type="dxa"/>
          </w:tcPr>
          <w:p w14:paraId="31D21BDE" w14:textId="77777777" w:rsidR="002C0FD9" w:rsidRPr="00CA25CF" w:rsidRDefault="002C0FD9" w:rsidP="00CA25CF">
            <w:pPr>
              <w:rPr>
                <w:rFonts w:cs="Arial"/>
                <w:color w:val="FF0000"/>
                <w:sz w:val="21"/>
                <w:szCs w:val="21"/>
              </w:rPr>
            </w:pPr>
          </w:p>
        </w:tc>
        <w:tc>
          <w:tcPr>
            <w:tcW w:w="217" w:type="dxa"/>
          </w:tcPr>
          <w:p w14:paraId="6483E698" w14:textId="77777777" w:rsidR="002C0FD9" w:rsidRPr="00CA25CF" w:rsidRDefault="002C0FD9" w:rsidP="00CA25CF">
            <w:pPr>
              <w:rPr>
                <w:rFonts w:cs="Arial"/>
                <w:color w:val="FF0000"/>
                <w:sz w:val="21"/>
                <w:szCs w:val="21"/>
              </w:rPr>
            </w:pPr>
          </w:p>
        </w:tc>
        <w:tc>
          <w:tcPr>
            <w:tcW w:w="217" w:type="dxa"/>
          </w:tcPr>
          <w:p w14:paraId="333231FB" w14:textId="77777777" w:rsidR="002C0FD9" w:rsidRPr="00CA25CF" w:rsidRDefault="002C0FD9" w:rsidP="00CA25CF">
            <w:pPr>
              <w:rPr>
                <w:rFonts w:cs="Arial"/>
                <w:color w:val="FF0000"/>
                <w:sz w:val="21"/>
                <w:szCs w:val="21"/>
              </w:rPr>
            </w:pPr>
          </w:p>
        </w:tc>
        <w:tc>
          <w:tcPr>
            <w:tcW w:w="217" w:type="dxa"/>
          </w:tcPr>
          <w:p w14:paraId="27B43F14" w14:textId="77777777" w:rsidR="002C0FD9" w:rsidRPr="00CA25CF" w:rsidRDefault="002C0FD9" w:rsidP="00CA25CF">
            <w:pPr>
              <w:rPr>
                <w:rFonts w:cs="Arial"/>
                <w:color w:val="FF0000"/>
                <w:sz w:val="21"/>
                <w:szCs w:val="21"/>
              </w:rPr>
            </w:pPr>
          </w:p>
        </w:tc>
        <w:tc>
          <w:tcPr>
            <w:tcW w:w="217" w:type="dxa"/>
          </w:tcPr>
          <w:p w14:paraId="48E4B463" w14:textId="77777777" w:rsidR="002C0FD9" w:rsidRPr="00CA25CF" w:rsidRDefault="002C0FD9" w:rsidP="00CA25CF">
            <w:pPr>
              <w:rPr>
                <w:rFonts w:cs="Arial"/>
                <w:color w:val="FF0000"/>
                <w:sz w:val="21"/>
                <w:szCs w:val="21"/>
              </w:rPr>
            </w:pPr>
          </w:p>
        </w:tc>
      </w:tr>
      <w:tr w:rsidR="002C0FD9" w:rsidRPr="00A16219" w14:paraId="7588748C" w14:textId="7026BB3D" w:rsidTr="002C0FD9">
        <w:trPr>
          <w:trHeight w:val="635"/>
        </w:trPr>
        <w:tc>
          <w:tcPr>
            <w:tcW w:w="515" w:type="dxa"/>
          </w:tcPr>
          <w:p w14:paraId="5CB371B3" w14:textId="77777777" w:rsidR="002C0FD9" w:rsidRPr="00CA25CF" w:rsidRDefault="002C0FD9" w:rsidP="00CA25CF">
            <w:pPr>
              <w:rPr>
                <w:rFonts w:cs="Arial"/>
                <w:color w:val="FF0000"/>
                <w:sz w:val="21"/>
                <w:szCs w:val="21"/>
              </w:rPr>
            </w:pPr>
          </w:p>
        </w:tc>
        <w:tc>
          <w:tcPr>
            <w:tcW w:w="217" w:type="dxa"/>
          </w:tcPr>
          <w:p w14:paraId="30596E04" w14:textId="77777777" w:rsidR="002C0FD9" w:rsidRPr="00CA25CF" w:rsidRDefault="002C0FD9" w:rsidP="00CA25CF">
            <w:pPr>
              <w:rPr>
                <w:rFonts w:cs="Arial"/>
                <w:color w:val="FF0000"/>
                <w:sz w:val="21"/>
                <w:szCs w:val="21"/>
              </w:rPr>
            </w:pPr>
          </w:p>
        </w:tc>
        <w:tc>
          <w:tcPr>
            <w:tcW w:w="217" w:type="dxa"/>
          </w:tcPr>
          <w:p w14:paraId="6B1DC541" w14:textId="04A45B91" w:rsidR="002C0FD9" w:rsidRPr="00CA25CF" w:rsidRDefault="002C0FD9" w:rsidP="00CA25CF">
            <w:pPr>
              <w:rPr>
                <w:rFonts w:cs="Arial"/>
                <w:color w:val="FF0000"/>
                <w:sz w:val="21"/>
                <w:szCs w:val="21"/>
              </w:rPr>
            </w:pPr>
          </w:p>
        </w:tc>
        <w:tc>
          <w:tcPr>
            <w:tcW w:w="217" w:type="dxa"/>
          </w:tcPr>
          <w:p w14:paraId="702537A9" w14:textId="77777777" w:rsidR="002C0FD9" w:rsidRPr="00CA25CF" w:rsidRDefault="002C0FD9" w:rsidP="00CA25CF">
            <w:pPr>
              <w:rPr>
                <w:rFonts w:cs="Arial"/>
                <w:color w:val="FF0000"/>
                <w:sz w:val="21"/>
                <w:szCs w:val="21"/>
              </w:rPr>
            </w:pPr>
          </w:p>
        </w:tc>
        <w:tc>
          <w:tcPr>
            <w:tcW w:w="217" w:type="dxa"/>
          </w:tcPr>
          <w:p w14:paraId="5ED5418F" w14:textId="77777777" w:rsidR="002C0FD9" w:rsidRPr="00CA25CF" w:rsidRDefault="002C0FD9" w:rsidP="00CA25CF">
            <w:pPr>
              <w:rPr>
                <w:rFonts w:cs="Arial"/>
                <w:color w:val="FF0000"/>
                <w:sz w:val="21"/>
                <w:szCs w:val="21"/>
              </w:rPr>
            </w:pPr>
          </w:p>
        </w:tc>
        <w:tc>
          <w:tcPr>
            <w:tcW w:w="217" w:type="dxa"/>
          </w:tcPr>
          <w:p w14:paraId="3640EBD5" w14:textId="77777777" w:rsidR="002C0FD9" w:rsidRPr="00CA25CF" w:rsidRDefault="002C0FD9" w:rsidP="00CA25CF">
            <w:pPr>
              <w:rPr>
                <w:rFonts w:cs="Arial"/>
                <w:color w:val="FF0000"/>
                <w:sz w:val="21"/>
                <w:szCs w:val="21"/>
              </w:rPr>
            </w:pPr>
          </w:p>
        </w:tc>
        <w:tc>
          <w:tcPr>
            <w:tcW w:w="217" w:type="dxa"/>
          </w:tcPr>
          <w:p w14:paraId="73A41EE5" w14:textId="77777777" w:rsidR="002C0FD9" w:rsidRPr="00CA25CF" w:rsidRDefault="002C0FD9" w:rsidP="00CA25CF">
            <w:pPr>
              <w:rPr>
                <w:rFonts w:cs="Arial"/>
                <w:color w:val="FF0000"/>
                <w:sz w:val="21"/>
                <w:szCs w:val="21"/>
              </w:rPr>
            </w:pPr>
          </w:p>
        </w:tc>
        <w:tc>
          <w:tcPr>
            <w:tcW w:w="217" w:type="dxa"/>
          </w:tcPr>
          <w:p w14:paraId="7A423332" w14:textId="77777777" w:rsidR="002C0FD9" w:rsidRPr="00CA25CF" w:rsidRDefault="002C0FD9" w:rsidP="00CA25CF">
            <w:pPr>
              <w:rPr>
                <w:rFonts w:cs="Arial"/>
                <w:color w:val="FF0000"/>
                <w:sz w:val="21"/>
                <w:szCs w:val="21"/>
              </w:rPr>
            </w:pPr>
          </w:p>
        </w:tc>
        <w:tc>
          <w:tcPr>
            <w:tcW w:w="217" w:type="dxa"/>
          </w:tcPr>
          <w:p w14:paraId="58B2F6AE" w14:textId="77777777" w:rsidR="002C0FD9" w:rsidRPr="00CA25CF" w:rsidRDefault="002C0FD9" w:rsidP="00CA25CF">
            <w:pPr>
              <w:rPr>
                <w:rFonts w:cs="Arial"/>
                <w:color w:val="FF0000"/>
                <w:sz w:val="21"/>
                <w:szCs w:val="21"/>
              </w:rPr>
            </w:pPr>
          </w:p>
        </w:tc>
        <w:tc>
          <w:tcPr>
            <w:tcW w:w="217" w:type="dxa"/>
          </w:tcPr>
          <w:p w14:paraId="64AE523E" w14:textId="77777777" w:rsidR="002C0FD9" w:rsidRPr="00CA25CF" w:rsidRDefault="002C0FD9" w:rsidP="00CA25CF">
            <w:pPr>
              <w:rPr>
                <w:rFonts w:cs="Arial"/>
                <w:color w:val="FF0000"/>
                <w:sz w:val="21"/>
                <w:szCs w:val="21"/>
              </w:rPr>
            </w:pPr>
          </w:p>
        </w:tc>
        <w:tc>
          <w:tcPr>
            <w:tcW w:w="217" w:type="dxa"/>
          </w:tcPr>
          <w:p w14:paraId="0E95F6FC" w14:textId="77777777" w:rsidR="002C0FD9" w:rsidRPr="00CA25CF" w:rsidRDefault="002C0FD9" w:rsidP="00CA25CF">
            <w:pPr>
              <w:rPr>
                <w:rFonts w:cs="Arial"/>
                <w:color w:val="FF0000"/>
                <w:sz w:val="21"/>
                <w:szCs w:val="21"/>
              </w:rPr>
            </w:pPr>
          </w:p>
        </w:tc>
        <w:tc>
          <w:tcPr>
            <w:tcW w:w="217" w:type="dxa"/>
          </w:tcPr>
          <w:p w14:paraId="2A30C896" w14:textId="77777777" w:rsidR="002C0FD9" w:rsidRPr="00CA25CF" w:rsidRDefault="002C0FD9" w:rsidP="00CA25CF">
            <w:pPr>
              <w:rPr>
                <w:rFonts w:cs="Arial"/>
                <w:color w:val="FF0000"/>
                <w:sz w:val="21"/>
                <w:szCs w:val="21"/>
              </w:rPr>
            </w:pPr>
          </w:p>
        </w:tc>
        <w:tc>
          <w:tcPr>
            <w:tcW w:w="217" w:type="dxa"/>
          </w:tcPr>
          <w:p w14:paraId="2C8BEE52" w14:textId="77777777" w:rsidR="002C0FD9" w:rsidRPr="00CA25CF" w:rsidRDefault="002C0FD9" w:rsidP="00CA25CF">
            <w:pPr>
              <w:rPr>
                <w:rFonts w:cs="Arial"/>
                <w:color w:val="FF0000"/>
                <w:sz w:val="21"/>
                <w:szCs w:val="21"/>
              </w:rPr>
            </w:pPr>
          </w:p>
        </w:tc>
        <w:tc>
          <w:tcPr>
            <w:tcW w:w="217" w:type="dxa"/>
          </w:tcPr>
          <w:p w14:paraId="0F4292BD" w14:textId="77777777" w:rsidR="002C0FD9" w:rsidRPr="00CA25CF" w:rsidRDefault="002C0FD9" w:rsidP="00CA25CF">
            <w:pPr>
              <w:rPr>
                <w:rFonts w:cs="Arial"/>
                <w:color w:val="FF0000"/>
                <w:sz w:val="21"/>
                <w:szCs w:val="21"/>
              </w:rPr>
            </w:pPr>
          </w:p>
        </w:tc>
        <w:tc>
          <w:tcPr>
            <w:tcW w:w="217" w:type="dxa"/>
          </w:tcPr>
          <w:p w14:paraId="08041310" w14:textId="77777777" w:rsidR="002C0FD9" w:rsidRPr="00CA25CF" w:rsidRDefault="002C0FD9" w:rsidP="00CA25CF">
            <w:pPr>
              <w:rPr>
                <w:rFonts w:cs="Arial"/>
                <w:color w:val="FF0000"/>
                <w:sz w:val="21"/>
                <w:szCs w:val="21"/>
              </w:rPr>
            </w:pPr>
          </w:p>
        </w:tc>
        <w:tc>
          <w:tcPr>
            <w:tcW w:w="217" w:type="dxa"/>
          </w:tcPr>
          <w:p w14:paraId="1F5BFB58" w14:textId="77777777" w:rsidR="002C0FD9" w:rsidRPr="00CA25CF" w:rsidRDefault="002C0FD9" w:rsidP="00CA25CF">
            <w:pPr>
              <w:rPr>
                <w:rFonts w:cs="Arial"/>
                <w:color w:val="FF0000"/>
                <w:sz w:val="21"/>
                <w:szCs w:val="21"/>
              </w:rPr>
            </w:pPr>
          </w:p>
        </w:tc>
        <w:tc>
          <w:tcPr>
            <w:tcW w:w="217" w:type="dxa"/>
          </w:tcPr>
          <w:p w14:paraId="26C63118" w14:textId="77777777" w:rsidR="002C0FD9" w:rsidRPr="00CA25CF" w:rsidRDefault="002C0FD9" w:rsidP="00CA25CF">
            <w:pPr>
              <w:rPr>
                <w:rFonts w:cs="Arial"/>
                <w:color w:val="FF0000"/>
                <w:sz w:val="21"/>
                <w:szCs w:val="21"/>
              </w:rPr>
            </w:pPr>
          </w:p>
        </w:tc>
        <w:tc>
          <w:tcPr>
            <w:tcW w:w="217" w:type="dxa"/>
          </w:tcPr>
          <w:p w14:paraId="1C561C32" w14:textId="77777777" w:rsidR="002C0FD9" w:rsidRPr="00CA25CF" w:rsidRDefault="002C0FD9" w:rsidP="00CA25CF">
            <w:pPr>
              <w:rPr>
                <w:rFonts w:cs="Arial"/>
                <w:color w:val="FF0000"/>
                <w:sz w:val="21"/>
                <w:szCs w:val="21"/>
              </w:rPr>
            </w:pPr>
          </w:p>
        </w:tc>
        <w:tc>
          <w:tcPr>
            <w:tcW w:w="217" w:type="dxa"/>
          </w:tcPr>
          <w:p w14:paraId="2E845FAA" w14:textId="77777777" w:rsidR="002C0FD9" w:rsidRPr="00CA25CF" w:rsidRDefault="002C0FD9" w:rsidP="00CA25CF">
            <w:pPr>
              <w:rPr>
                <w:rFonts w:cs="Arial"/>
                <w:color w:val="FF0000"/>
                <w:sz w:val="21"/>
                <w:szCs w:val="21"/>
              </w:rPr>
            </w:pPr>
          </w:p>
        </w:tc>
        <w:tc>
          <w:tcPr>
            <w:tcW w:w="217" w:type="dxa"/>
          </w:tcPr>
          <w:p w14:paraId="2756CAC3" w14:textId="77777777" w:rsidR="002C0FD9" w:rsidRPr="00CA25CF" w:rsidRDefault="002C0FD9" w:rsidP="00CA25CF">
            <w:pPr>
              <w:rPr>
                <w:rFonts w:cs="Arial"/>
                <w:color w:val="FF0000"/>
                <w:sz w:val="21"/>
                <w:szCs w:val="21"/>
              </w:rPr>
            </w:pPr>
          </w:p>
        </w:tc>
        <w:tc>
          <w:tcPr>
            <w:tcW w:w="217" w:type="dxa"/>
          </w:tcPr>
          <w:p w14:paraId="47AD51B0" w14:textId="77777777" w:rsidR="002C0FD9" w:rsidRPr="00CA25CF" w:rsidRDefault="002C0FD9" w:rsidP="00CA25CF">
            <w:pPr>
              <w:rPr>
                <w:rFonts w:cs="Arial"/>
                <w:color w:val="FF0000"/>
                <w:sz w:val="21"/>
                <w:szCs w:val="21"/>
              </w:rPr>
            </w:pPr>
          </w:p>
        </w:tc>
        <w:tc>
          <w:tcPr>
            <w:tcW w:w="217" w:type="dxa"/>
          </w:tcPr>
          <w:p w14:paraId="5F23A547" w14:textId="77777777" w:rsidR="002C0FD9" w:rsidRPr="00CA25CF" w:rsidRDefault="002C0FD9" w:rsidP="00CA25CF">
            <w:pPr>
              <w:rPr>
                <w:rFonts w:cs="Arial"/>
                <w:color w:val="FF0000"/>
                <w:sz w:val="21"/>
                <w:szCs w:val="21"/>
              </w:rPr>
            </w:pPr>
          </w:p>
        </w:tc>
        <w:tc>
          <w:tcPr>
            <w:tcW w:w="217" w:type="dxa"/>
          </w:tcPr>
          <w:p w14:paraId="18EA16D0" w14:textId="77777777" w:rsidR="002C0FD9" w:rsidRPr="00CA25CF" w:rsidRDefault="002C0FD9" w:rsidP="00CA25CF">
            <w:pPr>
              <w:rPr>
                <w:rFonts w:cs="Arial"/>
                <w:color w:val="FF0000"/>
                <w:sz w:val="21"/>
                <w:szCs w:val="21"/>
              </w:rPr>
            </w:pPr>
          </w:p>
        </w:tc>
        <w:tc>
          <w:tcPr>
            <w:tcW w:w="217" w:type="dxa"/>
          </w:tcPr>
          <w:p w14:paraId="6779E295" w14:textId="77777777" w:rsidR="002C0FD9" w:rsidRPr="00CA25CF" w:rsidRDefault="002C0FD9" w:rsidP="00CA25CF">
            <w:pPr>
              <w:rPr>
                <w:rFonts w:cs="Arial"/>
                <w:color w:val="FF0000"/>
                <w:sz w:val="21"/>
                <w:szCs w:val="21"/>
              </w:rPr>
            </w:pPr>
          </w:p>
        </w:tc>
        <w:tc>
          <w:tcPr>
            <w:tcW w:w="217" w:type="dxa"/>
          </w:tcPr>
          <w:p w14:paraId="49F650BC" w14:textId="77777777" w:rsidR="002C0FD9" w:rsidRPr="00CA25CF" w:rsidRDefault="002C0FD9" w:rsidP="00CA25CF">
            <w:pPr>
              <w:rPr>
                <w:rFonts w:cs="Arial"/>
                <w:color w:val="FF0000"/>
                <w:sz w:val="21"/>
                <w:szCs w:val="21"/>
              </w:rPr>
            </w:pPr>
          </w:p>
        </w:tc>
        <w:tc>
          <w:tcPr>
            <w:tcW w:w="217" w:type="dxa"/>
          </w:tcPr>
          <w:p w14:paraId="098417A3" w14:textId="77777777" w:rsidR="002C0FD9" w:rsidRPr="00CA25CF" w:rsidRDefault="002C0FD9" w:rsidP="00CA25CF">
            <w:pPr>
              <w:rPr>
                <w:rFonts w:cs="Arial"/>
                <w:color w:val="FF0000"/>
                <w:sz w:val="21"/>
                <w:szCs w:val="21"/>
              </w:rPr>
            </w:pPr>
          </w:p>
        </w:tc>
        <w:tc>
          <w:tcPr>
            <w:tcW w:w="217" w:type="dxa"/>
          </w:tcPr>
          <w:p w14:paraId="2B8B8BCD" w14:textId="77777777" w:rsidR="002C0FD9" w:rsidRPr="00CA25CF" w:rsidRDefault="002C0FD9" w:rsidP="00CA25CF">
            <w:pPr>
              <w:rPr>
                <w:rFonts w:cs="Arial"/>
                <w:color w:val="FF0000"/>
                <w:sz w:val="21"/>
                <w:szCs w:val="21"/>
              </w:rPr>
            </w:pPr>
          </w:p>
        </w:tc>
        <w:tc>
          <w:tcPr>
            <w:tcW w:w="217" w:type="dxa"/>
          </w:tcPr>
          <w:p w14:paraId="237F0B2B" w14:textId="77777777" w:rsidR="002C0FD9" w:rsidRPr="00CA25CF" w:rsidRDefault="002C0FD9" w:rsidP="00CA25CF">
            <w:pPr>
              <w:rPr>
                <w:rFonts w:cs="Arial"/>
                <w:color w:val="FF0000"/>
                <w:sz w:val="21"/>
                <w:szCs w:val="21"/>
              </w:rPr>
            </w:pPr>
          </w:p>
        </w:tc>
        <w:tc>
          <w:tcPr>
            <w:tcW w:w="217" w:type="dxa"/>
          </w:tcPr>
          <w:p w14:paraId="5BDC4656" w14:textId="77777777" w:rsidR="002C0FD9" w:rsidRPr="00CA25CF" w:rsidRDefault="002C0FD9" w:rsidP="00CA25CF">
            <w:pPr>
              <w:rPr>
                <w:rFonts w:cs="Arial"/>
                <w:color w:val="FF0000"/>
                <w:sz w:val="21"/>
                <w:szCs w:val="21"/>
              </w:rPr>
            </w:pPr>
          </w:p>
        </w:tc>
        <w:tc>
          <w:tcPr>
            <w:tcW w:w="217" w:type="dxa"/>
          </w:tcPr>
          <w:p w14:paraId="2C8349A7" w14:textId="77777777" w:rsidR="002C0FD9" w:rsidRPr="00CA25CF" w:rsidRDefault="002C0FD9" w:rsidP="00CA25CF">
            <w:pPr>
              <w:rPr>
                <w:rFonts w:cs="Arial"/>
                <w:color w:val="FF0000"/>
                <w:sz w:val="21"/>
                <w:szCs w:val="21"/>
              </w:rPr>
            </w:pPr>
          </w:p>
        </w:tc>
        <w:tc>
          <w:tcPr>
            <w:tcW w:w="217" w:type="dxa"/>
          </w:tcPr>
          <w:p w14:paraId="43AD6189" w14:textId="77777777" w:rsidR="002C0FD9" w:rsidRPr="00CA25CF" w:rsidRDefault="002C0FD9" w:rsidP="00CA25CF">
            <w:pPr>
              <w:rPr>
                <w:rFonts w:cs="Arial"/>
                <w:color w:val="FF0000"/>
                <w:sz w:val="21"/>
                <w:szCs w:val="21"/>
              </w:rPr>
            </w:pPr>
          </w:p>
        </w:tc>
        <w:tc>
          <w:tcPr>
            <w:tcW w:w="217" w:type="dxa"/>
          </w:tcPr>
          <w:p w14:paraId="6D83A4C0" w14:textId="77777777" w:rsidR="002C0FD9" w:rsidRPr="00CA25CF" w:rsidRDefault="002C0FD9" w:rsidP="00CA25CF">
            <w:pPr>
              <w:rPr>
                <w:rFonts w:cs="Arial"/>
                <w:color w:val="FF0000"/>
                <w:sz w:val="21"/>
                <w:szCs w:val="21"/>
              </w:rPr>
            </w:pPr>
          </w:p>
        </w:tc>
        <w:tc>
          <w:tcPr>
            <w:tcW w:w="217" w:type="dxa"/>
          </w:tcPr>
          <w:p w14:paraId="6E544DBD" w14:textId="77777777" w:rsidR="002C0FD9" w:rsidRPr="00CA25CF" w:rsidRDefault="002C0FD9" w:rsidP="00CA25CF">
            <w:pPr>
              <w:rPr>
                <w:rFonts w:cs="Arial"/>
                <w:color w:val="FF0000"/>
                <w:sz w:val="21"/>
                <w:szCs w:val="21"/>
              </w:rPr>
            </w:pPr>
          </w:p>
        </w:tc>
        <w:tc>
          <w:tcPr>
            <w:tcW w:w="217" w:type="dxa"/>
          </w:tcPr>
          <w:p w14:paraId="33372C65" w14:textId="77777777" w:rsidR="002C0FD9" w:rsidRPr="00CA25CF" w:rsidRDefault="002C0FD9" w:rsidP="00CA25CF">
            <w:pPr>
              <w:rPr>
                <w:rFonts w:cs="Arial"/>
                <w:color w:val="FF0000"/>
                <w:sz w:val="21"/>
                <w:szCs w:val="21"/>
              </w:rPr>
            </w:pPr>
          </w:p>
        </w:tc>
        <w:tc>
          <w:tcPr>
            <w:tcW w:w="217" w:type="dxa"/>
          </w:tcPr>
          <w:p w14:paraId="66AEE559" w14:textId="77777777" w:rsidR="002C0FD9" w:rsidRPr="00CA25CF" w:rsidRDefault="002C0FD9" w:rsidP="00CA25CF">
            <w:pPr>
              <w:rPr>
                <w:rFonts w:cs="Arial"/>
                <w:color w:val="FF0000"/>
                <w:sz w:val="21"/>
                <w:szCs w:val="21"/>
              </w:rPr>
            </w:pPr>
          </w:p>
        </w:tc>
        <w:tc>
          <w:tcPr>
            <w:tcW w:w="217" w:type="dxa"/>
          </w:tcPr>
          <w:p w14:paraId="5EA16C2F" w14:textId="77777777" w:rsidR="002C0FD9" w:rsidRPr="00CA25CF" w:rsidRDefault="002C0FD9" w:rsidP="00CA25CF">
            <w:pPr>
              <w:rPr>
                <w:rFonts w:cs="Arial"/>
                <w:color w:val="FF0000"/>
                <w:sz w:val="21"/>
                <w:szCs w:val="21"/>
              </w:rPr>
            </w:pPr>
          </w:p>
        </w:tc>
        <w:tc>
          <w:tcPr>
            <w:tcW w:w="217" w:type="dxa"/>
          </w:tcPr>
          <w:p w14:paraId="71C033A5" w14:textId="77777777" w:rsidR="002C0FD9" w:rsidRPr="00CA25CF" w:rsidRDefault="002C0FD9" w:rsidP="00CA25CF">
            <w:pPr>
              <w:rPr>
                <w:rFonts w:cs="Arial"/>
                <w:color w:val="FF0000"/>
                <w:sz w:val="21"/>
                <w:szCs w:val="21"/>
              </w:rPr>
            </w:pPr>
          </w:p>
        </w:tc>
        <w:tc>
          <w:tcPr>
            <w:tcW w:w="217" w:type="dxa"/>
          </w:tcPr>
          <w:p w14:paraId="758A2258" w14:textId="77777777" w:rsidR="002C0FD9" w:rsidRPr="00CA25CF" w:rsidRDefault="002C0FD9" w:rsidP="00CA25CF">
            <w:pPr>
              <w:rPr>
                <w:rFonts w:cs="Arial"/>
                <w:color w:val="FF0000"/>
                <w:sz w:val="21"/>
                <w:szCs w:val="21"/>
              </w:rPr>
            </w:pPr>
          </w:p>
        </w:tc>
        <w:tc>
          <w:tcPr>
            <w:tcW w:w="217" w:type="dxa"/>
          </w:tcPr>
          <w:p w14:paraId="4F548F44" w14:textId="77777777" w:rsidR="002C0FD9" w:rsidRPr="00CA25CF" w:rsidRDefault="002C0FD9" w:rsidP="00CA25CF">
            <w:pPr>
              <w:rPr>
                <w:rFonts w:cs="Arial"/>
                <w:color w:val="FF0000"/>
                <w:sz w:val="21"/>
                <w:szCs w:val="21"/>
              </w:rPr>
            </w:pPr>
          </w:p>
        </w:tc>
        <w:tc>
          <w:tcPr>
            <w:tcW w:w="217" w:type="dxa"/>
          </w:tcPr>
          <w:p w14:paraId="7A0902EF" w14:textId="77777777" w:rsidR="002C0FD9" w:rsidRPr="00CA25CF" w:rsidRDefault="002C0FD9" w:rsidP="00CA25CF">
            <w:pPr>
              <w:rPr>
                <w:rFonts w:cs="Arial"/>
                <w:color w:val="FF0000"/>
                <w:sz w:val="21"/>
                <w:szCs w:val="21"/>
              </w:rPr>
            </w:pPr>
          </w:p>
        </w:tc>
        <w:tc>
          <w:tcPr>
            <w:tcW w:w="217" w:type="dxa"/>
          </w:tcPr>
          <w:p w14:paraId="46C285DB" w14:textId="77777777" w:rsidR="002C0FD9" w:rsidRPr="00CA25CF" w:rsidRDefault="002C0FD9" w:rsidP="00CA25CF">
            <w:pPr>
              <w:rPr>
                <w:rFonts w:cs="Arial"/>
                <w:color w:val="FF0000"/>
                <w:sz w:val="21"/>
                <w:szCs w:val="21"/>
              </w:rPr>
            </w:pPr>
          </w:p>
        </w:tc>
        <w:tc>
          <w:tcPr>
            <w:tcW w:w="217" w:type="dxa"/>
          </w:tcPr>
          <w:p w14:paraId="2F960624" w14:textId="77777777" w:rsidR="002C0FD9" w:rsidRPr="00CA25CF" w:rsidRDefault="002C0FD9" w:rsidP="00CA25CF">
            <w:pPr>
              <w:rPr>
                <w:rFonts w:cs="Arial"/>
                <w:color w:val="FF0000"/>
                <w:sz w:val="21"/>
                <w:szCs w:val="21"/>
              </w:rPr>
            </w:pPr>
          </w:p>
        </w:tc>
        <w:tc>
          <w:tcPr>
            <w:tcW w:w="217" w:type="dxa"/>
          </w:tcPr>
          <w:p w14:paraId="297655EA" w14:textId="77777777" w:rsidR="002C0FD9" w:rsidRPr="00CA25CF" w:rsidRDefault="002C0FD9" w:rsidP="00CA25CF">
            <w:pPr>
              <w:rPr>
                <w:rFonts w:cs="Arial"/>
                <w:color w:val="FF0000"/>
                <w:sz w:val="21"/>
                <w:szCs w:val="21"/>
              </w:rPr>
            </w:pPr>
          </w:p>
        </w:tc>
      </w:tr>
      <w:tr w:rsidR="002C0FD9" w:rsidRPr="00A16219" w14:paraId="2E758906" w14:textId="7FC1C5F0" w:rsidTr="002C0FD9">
        <w:trPr>
          <w:trHeight w:val="635"/>
        </w:trPr>
        <w:tc>
          <w:tcPr>
            <w:tcW w:w="515" w:type="dxa"/>
          </w:tcPr>
          <w:p w14:paraId="0EEC244F" w14:textId="77777777" w:rsidR="002C0FD9" w:rsidRPr="00CA25CF" w:rsidRDefault="002C0FD9" w:rsidP="00CA25CF">
            <w:pPr>
              <w:rPr>
                <w:rFonts w:cs="Arial"/>
                <w:color w:val="FF0000"/>
                <w:sz w:val="21"/>
                <w:szCs w:val="21"/>
              </w:rPr>
            </w:pPr>
          </w:p>
        </w:tc>
        <w:tc>
          <w:tcPr>
            <w:tcW w:w="217" w:type="dxa"/>
          </w:tcPr>
          <w:p w14:paraId="40371BF2" w14:textId="77777777" w:rsidR="002C0FD9" w:rsidRPr="00CA25CF" w:rsidRDefault="002C0FD9" w:rsidP="00CA25CF">
            <w:pPr>
              <w:rPr>
                <w:rFonts w:cs="Arial"/>
                <w:color w:val="FF0000"/>
                <w:sz w:val="21"/>
                <w:szCs w:val="21"/>
              </w:rPr>
            </w:pPr>
          </w:p>
        </w:tc>
        <w:tc>
          <w:tcPr>
            <w:tcW w:w="217" w:type="dxa"/>
          </w:tcPr>
          <w:p w14:paraId="1439B182" w14:textId="12A0DC7B" w:rsidR="002C0FD9" w:rsidRPr="00CA25CF" w:rsidRDefault="002C0FD9" w:rsidP="00CA25CF">
            <w:pPr>
              <w:rPr>
                <w:rFonts w:cs="Arial"/>
                <w:color w:val="FF0000"/>
                <w:sz w:val="21"/>
                <w:szCs w:val="21"/>
              </w:rPr>
            </w:pPr>
          </w:p>
        </w:tc>
        <w:tc>
          <w:tcPr>
            <w:tcW w:w="217" w:type="dxa"/>
          </w:tcPr>
          <w:p w14:paraId="045B94A8" w14:textId="77777777" w:rsidR="002C0FD9" w:rsidRPr="00CA25CF" w:rsidRDefault="002C0FD9" w:rsidP="00CA25CF">
            <w:pPr>
              <w:rPr>
                <w:rFonts w:cs="Arial"/>
                <w:color w:val="FF0000"/>
                <w:sz w:val="21"/>
                <w:szCs w:val="21"/>
              </w:rPr>
            </w:pPr>
          </w:p>
        </w:tc>
        <w:tc>
          <w:tcPr>
            <w:tcW w:w="217" w:type="dxa"/>
          </w:tcPr>
          <w:p w14:paraId="4862AEFF" w14:textId="77777777" w:rsidR="002C0FD9" w:rsidRPr="00CA25CF" w:rsidRDefault="002C0FD9" w:rsidP="00CA25CF">
            <w:pPr>
              <w:rPr>
                <w:rFonts w:cs="Arial"/>
                <w:color w:val="FF0000"/>
                <w:sz w:val="21"/>
                <w:szCs w:val="21"/>
              </w:rPr>
            </w:pPr>
          </w:p>
        </w:tc>
        <w:tc>
          <w:tcPr>
            <w:tcW w:w="217" w:type="dxa"/>
          </w:tcPr>
          <w:p w14:paraId="0CE04ECC" w14:textId="77777777" w:rsidR="002C0FD9" w:rsidRPr="00CA25CF" w:rsidRDefault="002C0FD9" w:rsidP="00CA25CF">
            <w:pPr>
              <w:rPr>
                <w:rFonts w:cs="Arial"/>
                <w:color w:val="FF0000"/>
                <w:sz w:val="21"/>
                <w:szCs w:val="21"/>
              </w:rPr>
            </w:pPr>
          </w:p>
        </w:tc>
        <w:tc>
          <w:tcPr>
            <w:tcW w:w="217" w:type="dxa"/>
          </w:tcPr>
          <w:p w14:paraId="143B99A4" w14:textId="77777777" w:rsidR="002C0FD9" w:rsidRPr="00CA25CF" w:rsidRDefault="002C0FD9" w:rsidP="00CA25CF">
            <w:pPr>
              <w:rPr>
                <w:rFonts w:cs="Arial"/>
                <w:color w:val="FF0000"/>
                <w:sz w:val="21"/>
                <w:szCs w:val="21"/>
              </w:rPr>
            </w:pPr>
          </w:p>
        </w:tc>
        <w:tc>
          <w:tcPr>
            <w:tcW w:w="217" w:type="dxa"/>
          </w:tcPr>
          <w:p w14:paraId="4D81DE87" w14:textId="77777777" w:rsidR="002C0FD9" w:rsidRPr="00CA25CF" w:rsidRDefault="002C0FD9" w:rsidP="00CA25CF">
            <w:pPr>
              <w:rPr>
                <w:rFonts w:cs="Arial"/>
                <w:color w:val="FF0000"/>
                <w:sz w:val="21"/>
                <w:szCs w:val="21"/>
              </w:rPr>
            </w:pPr>
          </w:p>
        </w:tc>
        <w:tc>
          <w:tcPr>
            <w:tcW w:w="217" w:type="dxa"/>
          </w:tcPr>
          <w:p w14:paraId="0A42B27E" w14:textId="77777777" w:rsidR="002C0FD9" w:rsidRPr="00CA25CF" w:rsidRDefault="002C0FD9" w:rsidP="00CA25CF">
            <w:pPr>
              <w:rPr>
                <w:rFonts w:cs="Arial"/>
                <w:color w:val="FF0000"/>
                <w:sz w:val="21"/>
                <w:szCs w:val="21"/>
              </w:rPr>
            </w:pPr>
          </w:p>
        </w:tc>
        <w:tc>
          <w:tcPr>
            <w:tcW w:w="217" w:type="dxa"/>
          </w:tcPr>
          <w:p w14:paraId="3BC65042" w14:textId="77777777" w:rsidR="002C0FD9" w:rsidRPr="00CA25CF" w:rsidRDefault="002C0FD9" w:rsidP="00CA25CF">
            <w:pPr>
              <w:rPr>
                <w:rFonts w:cs="Arial"/>
                <w:color w:val="FF0000"/>
                <w:sz w:val="21"/>
                <w:szCs w:val="21"/>
              </w:rPr>
            </w:pPr>
          </w:p>
        </w:tc>
        <w:tc>
          <w:tcPr>
            <w:tcW w:w="217" w:type="dxa"/>
          </w:tcPr>
          <w:p w14:paraId="4201CE91" w14:textId="77777777" w:rsidR="002C0FD9" w:rsidRPr="00CA25CF" w:rsidRDefault="002C0FD9" w:rsidP="00CA25CF">
            <w:pPr>
              <w:rPr>
                <w:rFonts w:cs="Arial"/>
                <w:color w:val="FF0000"/>
                <w:sz w:val="21"/>
                <w:szCs w:val="21"/>
              </w:rPr>
            </w:pPr>
          </w:p>
        </w:tc>
        <w:tc>
          <w:tcPr>
            <w:tcW w:w="217" w:type="dxa"/>
          </w:tcPr>
          <w:p w14:paraId="5A5E5B4E" w14:textId="77777777" w:rsidR="002C0FD9" w:rsidRPr="00CA25CF" w:rsidRDefault="002C0FD9" w:rsidP="00CA25CF">
            <w:pPr>
              <w:rPr>
                <w:rFonts w:cs="Arial"/>
                <w:color w:val="FF0000"/>
                <w:sz w:val="21"/>
                <w:szCs w:val="21"/>
              </w:rPr>
            </w:pPr>
          </w:p>
        </w:tc>
        <w:tc>
          <w:tcPr>
            <w:tcW w:w="217" w:type="dxa"/>
          </w:tcPr>
          <w:p w14:paraId="70E195E0" w14:textId="77777777" w:rsidR="002C0FD9" w:rsidRPr="00CA25CF" w:rsidRDefault="002C0FD9" w:rsidP="00CA25CF">
            <w:pPr>
              <w:rPr>
                <w:rFonts w:cs="Arial"/>
                <w:color w:val="FF0000"/>
                <w:sz w:val="21"/>
                <w:szCs w:val="21"/>
              </w:rPr>
            </w:pPr>
          </w:p>
        </w:tc>
        <w:tc>
          <w:tcPr>
            <w:tcW w:w="217" w:type="dxa"/>
          </w:tcPr>
          <w:p w14:paraId="193FAAB6" w14:textId="77777777" w:rsidR="002C0FD9" w:rsidRPr="00CA25CF" w:rsidRDefault="002C0FD9" w:rsidP="00CA25CF">
            <w:pPr>
              <w:rPr>
                <w:rFonts w:cs="Arial"/>
                <w:color w:val="FF0000"/>
                <w:sz w:val="21"/>
                <w:szCs w:val="21"/>
              </w:rPr>
            </w:pPr>
          </w:p>
        </w:tc>
        <w:tc>
          <w:tcPr>
            <w:tcW w:w="217" w:type="dxa"/>
          </w:tcPr>
          <w:p w14:paraId="3A84D704" w14:textId="77777777" w:rsidR="002C0FD9" w:rsidRPr="00CA25CF" w:rsidRDefault="002C0FD9" w:rsidP="00CA25CF">
            <w:pPr>
              <w:rPr>
                <w:rFonts w:cs="Arial"/>
                <w:color w:val="FF0000"/>
                <w:sz w:val="21"/>
                <w:szCs w:val="21"/>
              </w:rPr>
            </w:pPr>
          </w:p>
        </w:tc>
        <w:tc>
          <w:tcPr>
            <w:tcW w:w="217" w:type="dxa"/>
          </w:tcPr>
          <w:p w14:paraId="1539988F" w14:textId="77777777" w:rsidR="002C0FD9" w:rsidRPr="00CA25CF" w:rsidRDefault="002C0FD9" w:rsidP="00CA25CF">
            <w:pPr>
              <w:rPr>
                <w:rFonts w:cs="Arial"/>
                <w:color w:val="FF0000"/>
                <w:sz w:val="21"/>
                <w:szCs w:val="21"/>
              </w:rPr>
            </w:pPr>
          </w:p>
        </w:tc>
        <w:tc>
          <w:tcPr>
            <w:tcW w:w="217" w:type="dxa"/>
          </w:tcPr>
          <w:p w14:paraId="5D9E7333" w14:textId="77777777" w:rsidR="002C0FD9" w:rsidRPr="00CA25CF" w:rsidRDefault="002C0FD9" w:rsidP="00CA25CF">
            <w:pPr>
              <w:rPr>
                <w:rFonts w:cs="Arial"/>
                <w:color w:val="FF0000"/>
                <w:sz w:val="21"/>
                <w:szCs w:val="21"/>
              </w:rPr>
            </w:pPr>
          </w:p>
        </w:tc>
        <w:tc>
          <w:tcPr>
            <w:tcW w:w="217" w:type="dxa"/>
          </w:tcPr>
          <w:p w14:paraId="22B64FC9" w14:textId="77777777" w:rsidR="002C0FD9" w:rsidRPr="00CA25CF" w:rsidRDefault="002C0FD9" w:rsidP="00CA25CF">
            <w:pPr>
              <w:rPr>
                <w:rFonts w:cs="Arial"/>
                <w:color w:val="FF0000"/>
                <w:sz w:val="21"/>
                <w:szCs w:val="21"/>
              </w:rPr>
            </w:pPr>
          </w:p>
        </w:tc>
        <w:tc>
          <w:tcPr>
            <w:tcW w:w="217" w:type="dxa"/>
          </w:tcPr>
          <w:p w14:paraId="471F86D8" w14:textId="77777777" w:rsidR="002C0FD9" w:rsidRPr="00CA25CF" w:rsidRDefault="002C0FD9" w:rsidP="00CA25CF">
            <w:pPr>
              <w:rPr>
                <w:rFonts w:cs="Arial"/>
                <w:color w:val="FF0000"/>
                <w:sz w:val="21"/>
                <w:szCs w:val="21"/>
              </w:rPr>
            </w:pPr>
          </w:p>
        </w:tc>
        <w:tc>
          <w:tcPr>
            <w:tcW w:w="217" w:type="dxa"/>
          </w:tcPr>
          <w:p w14:paraId="1F84E87C" w14:textId="77777777" w:rsidR="002C0FD9" w:rsidRPr="00CA25CF" w:rsidRDefault="002C0FD9" w:rsidP="00CA25CF">
            <w:pPr>
              <w:rPr>
                <w:rFonts w:cs="Arial"/>
                <w:color w:val="FF0000"/>
                <w:sz w:val="21"/>
                <w:szCs w:val="21"/>
              </w:rPr>
            </w:pPr>
          </w:p>
        </w:tc>
        <w:tc>
          <w:tcPr>
            <w:tcW w:w="217" w:type="dxa"/>
          </w:tcPr>
          <w:p w14:paraId="48D7929F" w14:textId="77777777" w:rsidR="002C0FD9" w:rsidRPr="00CA25CF" w:rsidRDefault="002C0FD9" w:rsidP="00CA25CF">
            <w:pPr>
              <w:rPr>
                <w:rFonts w:cs="Arial"/>
                <w:color w:val="FF0000"/>
                <w:sz w:val="21"/>
                <w:szCs w:val="21"/>
              </w:rPr>
            </w:pPr>
          </w:p>
        </w:tc>
        <w:tc>
          <w:tcPr>
            <w:tcW w:w="217" w:type="dxa"/>
          </w:tcPr>
          <w:p w14:paraId="1120B2BC" w14:textId="77777777" w:rsidR="002C0FD9" w:rsidRPr="00CA25CF" w:rsidRDefault="002C0FD9" w:rsidP="00CA25CF">
            <w:pPr>
              <w:rPr>
                <w:rFonts w:cs="Arial"/>
                <w:color w:val="FF0000"/>
                <w:sz w:val="21"/>
                <w:szCs w:val="21"/>
              </w:rPr>
            </w:pPr>
          </w:p>
        </w:tc>
        <w:tc>
          <w:tcPr>
            <w:tcW w:w="217" w:type="dxa"/>
          </w:tcPr>
          <w:p w14:paraId="47D38159" w14:textId="77777777" w:rsidR="002C0FD9" w:rsidRPr="00CA25CF" w:rsidRDefault="002C0FD9" w:rsidP="00CA25CF">
            <w:pPr>
              <w:rPr>
                <w:rFonts w:cs="Arial"/>
                <w:color w:val="FF0000"/>
                <w:sz w:val="21"/>
                <w:szCs w:val="21"/>
              </w:rPr>
            </w:pPr>
          </w:p>
        </w:tc>
        <w:tc>
          <w:tcPr>
            <w:tcW w:w="217" w:type="dxa"/>
          </w:tcPr>
          <w:p w14:paraId="1816023C" w14:textId="77777777" w:rsidR="002C0FD9" w:rsidRPr="00CA25CF" w:rsidRDefault="002C0FD9" w:rsidP="00CA25CF">
            <w:pPr>
              <w:rPr>
                <w:rFonts w:cs="Arial"/>
                <w:color w:val="FF0000"/>
                <w:sz w:val="21"/>
                <w:szCs w:val="21"/>
              </w:rPr>
            </w:pPr>
          </w:p>
        </w:tc>
        <w:tc>
          <w:tcPr>
            <w:tcW w:w="217" w:type="dxa"/>
          </w:tcPr>
          <w:p w14:paraId="1F60758A" w14:textId="77777777" w:rsidR="002C0FD9" w:rsidRPr="00CA25CF" w:rsidRDefault="002C0FD9" w:rsidP="00CA25CF">
            <w:pPr>
              <w:rPr>
                <w:rFonts w:cs="Arial"/>
                <w:color w:val="FF0000"/>
                <w:sz w:val="21"/>
                <w:szCs w:val="21"/>
              </w:rPr>
            </w:pPr>
          </w:p>
        </w:tc>
        <w:tc>
          <w:tcPr>
            <w:tcW w:w="217" w:type="dxa"/>
          </w:tcPr>
          <w:p w14:paraId="5289FC62" w14:textId="77777777" w:rsidR="002C0FD9" w:rsidRPr="00CA25CF" w:rsidRDefault="002C0FD9" w:rsidP="00CA25CF">
            <w:pPr>
              <w:rPr>
                <w:rFonts w:cs="Arial"/>
                <w:color w:val="FF0000"/>
                <w:sz w:val="21"/>
                <w:szCs w:val="21"/>
              </w:rPr>
            </w:pPr>
          </w:p>
        </w:tc>
        <w:tc>
          <w:tcPr>
            <w:tcW w:w="217" w:type="dxa"/>
          </w:tcPr>
          <w:p w14:paraId="12A41FDC" w14:textId="77777777" w:rsidR="002C0FD9" w:rsidRPr="00CA25CF" w:rsidRDefault="002C0FD9" w:rsidP="00CA25CF">
            <w:pPr>
              <w:rPr>
                <w:rFonts w:cs="Arial"/>
                <w:color w:val="FF0000"/>
                <w:sz w:val="21"/>
                <w:szCs w:val="21"/>
              </w:rPr>
            </w:pPr>
          </w:p>
        </w:tc>
        <w:tc>
          <w:tcPr>
            <w:tcW w:w="217" w:type="dxa"/>
          </w:tcPr>
          <w:p w14:paraId="3D66EFBF" w14:textId="77777777" w:rsidR="002C0FD9" w:rsidRPr="00CA25CF" w:rsidRDefault="002C0FD9" w:rsidP="00CA25CF">
            <w:pPr>
              <w:rPr>
                <w:rFonts w:cs="Arial"/>
                <w:color w:val="FF0000"/>
                <w:sz w:val="21"/>
                <w:szCs w:val="21"/>
              </w:rPr>
            </w:pPr>
          </w:p>
        </w:tc>
        <w:tc>
          <w:tcPr>
            <w:tcW w:w="217" w:type="dxa"/>
          </w:tcPr>
          <w:p w14:paraId="31084E66" w14:textId="77777777" w:rsidR="002C0FD9" w:rsidRPr="00CA25CF" w:rsidRDefault="002C0FD9" w:rsidP="00CA25CF">
            <w:pPr>
              <w:rPr>
                <w:rFonts w:cs="Arial"/>
                <w:color w:val="FF0000"/>
                <w:sz w:val="21"/>
                <w:szCs w:val="21"/>
              </w:rPr>
            </w:pPr>
          </w:p>
        </w:tc>
        <w:tc>
          <w:tcPr>
            <w:tcW w:w="217" w:type="dxa"/>
          </w:tcPr>
          <w:p w14:paraId="26B47AFE" w14:textId="77777777" w:rsidR="002C0FD9" w:rsidRPr="00CA25CF" w:rsidRDefault="002C0FD9" w:rsidP="00CA25CF">
            <w:pPr>
              <w:rPr>
                <w:rFonts w:cs="Arial"/>
                <w:color w:val="FF0000"/>
                <w:sz w:val="21"/>
                <w:szCs w:val="21"/>
              </w:rPr>
            </w:pPr>
          </w:p>
        </w:tc>
        <w:tc>
          <w:tcPr>
            <w:tcW w:w="217" w:type="dxa"/>
          </w:tcPr>
          <w:p w14:paraId="74DF373D" w14:textId="77777777" w:rsidR="002C0FD9" w:rsidRPr="00CA25CF" w:rsidRDefault="002C0FD9" w:rsidP="00CA25CF">
            <w:pPr>
              <w:rPr>
                <w:rFonts w:cs="Arial"/>
                <w:color w:val="FF0000"/>
                <w:sz w:val="21"/>
                <w:szCs w:val="21"/>
              </w:rPr>
            </w:pPr>
          </w:p>
        </w:tc>
        <w:tc>
          <w:tcPr>
            <w:tcW w:w="217" w:type="dxa"/>
          </w:tcPr>
          <w:p w14:paraId="32571E9D" w14:textId="77777777" w:rsidR="002C0FD9" w:rsidRPr="00CA25CF" w:rsidRDefault="002C0FD9" w:rsidP="00CA25CF">
            <w:pPr>
              <w:rPr>
                <w:rFonts w:cs="Arial"/>
                <w:color w:val="FF0000"/>
                <w:sz w:val="21"/>
                <w:szCs w:val="21"/>
              </w:rPr>
            </w:pPr>
          </w:p>
        </w:tc>
        <w:tc>
          <w:tcPr>
            <w:tcW w:w="217" w:type="dxa"/>
          </w:tcPr>
          <w:p w14:paraId="533E45D3" w14:textId="77777777" w:rsidR="002C0FD9" w:rsidRPr="00CA25CF" w:rsidRDefault="002C0FD9" w:rsidP="00CA25CF">
            <w:pPr>
              <w:rPr>
                <w:rFonts w:cs="Arial"/>
                <w:color w:val="FF0000"/>
                <w:sz w:val="21"/>
                <w:szCs w:val="21"/>
              </w:rPr>
            </w:pPr>
          </w:p>
        </w:tc>
        <w:tc>
          <w:tcPr>
            <w:tcW w:w="217" w:type="dxa"/>
          </w:tcPr>
          <w:p w14:paraId="170992DC" w14:textId="77777777" w:rsidR="002C0FD9" w:rsidRPr="00CA25CF" w:rsidRDefault="002C0FD9" w:rsidP="00CA25CF">
            <w:pPr>
              <w:rPr>
                <w:rFonts w:cs="Arial"/>
                <w:color w:val="FF0000"/>
                <w:sz w:val="21"/>
                <w:szCs w:val="21"/>
              </w:rPr>
            </w:pPr>
          </w:p>
        </w:tc>
        <w:tc>
          <w:tcPr>
            <w:tcW w:w="217" w:type="dxa"/>
          </w:tcPr>
          <w:p w14:paraId="6553C847" w14:textId="77777777" w:rsidR="002C0FD9" w:rsidRPr="00CA25CF" w:rsidRDefault="002C0FD9" w:rsidP="00CA25CF">
            <w:pPr>
              <w:rPr>
                <w:rFonts w:cs="Arial"/>
                <w:color w:val="FF0000"/>
                <w:sz w:val="21"/>
                <w:szCs w:val="21"/>
              </w:rPr>
            </w:pPr>
          </w:p>
        </w:tc>
        <w:tc>
          <w:tcPr>
            <w:tcW w:w="217" w:type="dxa"/>
          </w:tcPr>
          <w:p w14:paraId="5A373B23" w14:textId="77777777" w:rsidR="002C0FD9" w:rsidRPr="00CA25CF" w:rsidRDefault="002C0FD9" w:rsidP="00CA25CF">
            <w:pPr>
              <w:rPr>
                <w:rFonts w:cs="Arial"/>
                <w:color w:val="FF0000"/>
                <w:sz w:val="21"/>
                <w:szCs w:val="21"/>
              </w:rPr>
            </w:pPr>
          </w:p>
        </w:tc>
        <w:tc>
          <w:tcPr>
            <w:tcW w:w="217" w:type="dxa"/>
          </w:tcPr>
          <w:p w14:paraId="13E48469" w14:textId="77777777" w:rsidR="002C0FD9" w:rsidRPr="00CA25CF" w:rsidRDefault="002C0FD9" w:rsidP="00CA25CF">
            <w:pPr>
              <w:rPr>
                <w:rFonts w:cs="Arial"/>
                <w:color w:val="FF0000"/>
                <w:sz w:val="21"/>
                <w:szCs w:val="21"/>
              </w:rPr>
            </w:pPr>
          </w:p>
        </w:tc>
        <w:tc>
          <w:tcPr>
            <w:tcW w:w="217" w:type="dxa"/>
          </w:tcPr>
          <w:p w14:paraId="40B869B1" w14:textId="77777777" w:rsidR="002C0FD9" w:rsidRPr="00CA25CF" w:rsidRDefault="002C0FD9" w:rsidP="00CA25CF">
            <w:pPr>
              <w:rPr>
                <w:rFonts w:cs="Arial"/>
                <w:color w:val="FF0000"/>
                <w:sz w:val="21"/>
                <w:szCs w:val="21"/>
              </w:rPr>
            </w:pPr>
          </w:p>
        </w:tc>
        <w:tc>
          <w:tcPr>
            <w:tcW w:w="217" w:type="dxa"/>
          </w:tcPr>
          <w:p w14:paraId="7DBB71F4" w14:textId="77777777" w:rsidR="002C0FD9" w:rsidRPr="00CA25CF" w:rsidRDefault="002C0FD9" w:rsidP="00CA25CF">
            <w:pPr>
              <w:rPr>
                <w:rFonts w:cs="Arial"/>
                <w:color w:val="FF0000"/>
                <w:sz w:val="21"/>
                <w:szCs w:val="21"/>
              </w:rPr>
            </w:pPr>
          </w:p>
        </w:tc>
        <w:tc>
          <w:tcPr>
            <w:tcW w:w="217" w:type="dxa"/>
          </w:tcPr>
          <w:p w14:paraId="1B0FA8DC" w14:textId="77777777" w:rsidR="002C0FD9" w:rsidRPr="00CA25CF" w:rsidRDefault="002C0FD9" w:rsidP="00CA25CF">
            <w:pPr>
              <w:rPr>
                <w:rFonts w:cs="Arial"/>
                <w:color w:val="FF0000"/>
                <w:sz w:val="21"/>
                <w:szCs w:val="21"/>
              </w:rPr>
            </w:pPr>
          </w:p>
        </w:tc>
        <w:tc>
          <w:tcPr>
            <w:tcW w:w="217" w:type="dxa"/>
          </w:tcPr>
          <w:p w14:paraId="42CDC621" w14:textId="77777777" w:rsidR="002C0FD9" w:rsidRPr="00CA25CF" w:rsidRDefault="002C0FD9" w:rsidP="00CA25CF">
            <w:pPr>
              <w:rPr>
                <w:rFonts w:cs="Arial"/>
                <w:color w:val="FF0000"/>
                <w:sz w:val="21"/>
                <w:szCs w:val="21"/>
              </w:rPr>
            </w:pPr>
          </w:p>
        </w:tc>
        <w:tc>
          <w:tcPr>
            <w:tcW w:w="217" w:type="dxa"/>
          </w:tcPr>
          <w:p w14:paraId="6B36C165" w14:textId="77777777" w:rsidR="002C0FD9" w:rsidRPr="00CA25CF" w:rsidRDefault="002C0FD9" w:rsidP="00CA25CF">
            <w:pPr>
              <w:rPr>
                <w:rFonts w:cs="Arial"/>
                <w:color w:val="FF0000"/>
                <w:sz w:val="21"/>
                <w:szCs w:val="21"/>
              </w:rPr>
            </w:pPr>
          </w:p>
        </w:tc>
        <w:tc>
          <w:tcPr>
            <w:tcW w:w="217" w:type="dxa"/>
          </w:tcPr>
          <w:p w14:paraId="2EA61EA0" w14:textId="77777777" w:rsidR="002C0FD9" w:rsidRPr="00CA25CF" w:rsidRDefault="002C0FD9" w:rsidP="00CA25CF">
            <w:pPr>
              <w:rPr>
                <w:rFonts w:cs="Arial"/>
                <w:color w:val="FF0000"/>
                <w:sz w:val="21"/>
                <w:szCs w:val="21"/>
              </w:rPr>
            </w:pPr>
          </w:p>
        </w:tc>
      </w:tr>
      <w:tr w:rsidR="002C0FD9" w:rsidRPr="00A16219" w14:paraId="0B2FDC7F" w14:textId="3D01B2F0" w:rsidTr="002C0FD9">
        <w:trPr>
          <w:trHeight w:val="635"/>
        </w:trPr>
        <w:tc>
          <w:tcPr>
            <w:tcW w:w="515" w:type="dxa"/>
          </w:tcPr>
          <w:p w14:paraId="6E1683E4" w14:textId="77777777" w:rsidR="002C0FD9" w:rsidRPr="00CA25CF" w:rsidRDefault="002C0FD9" w:rsidP="00CA25CF">
            <w:pPr>
              <w:rPr>
                <w:rFonts w:cs="Arial"/>
                <w:color w:val="FF0000"/>
                <w:sz w:val="21"/>
                <w:szCs w:val="21"/>
              </w:rPr>
            </w:pPr>
          </w:p>
        </w:tc>
        <w:tc>
          <w:tcPr>
            <w:tcW w:w="217" w:type="dxa"/>
          </w:tcPr>
          <w:p w14:paraId="29342911" w14:textId="77777777" w:rsidR="002C0FD9" w:rsidRPr="00CA25CF" w:rsidRDefault="002C0FD9" w:rsidP="00CA25CF">
            <w:pPr>
              <w:rPr>
                <w:rFonts w:cs="Arial"/>
                <w:color w:val="FF0000"/>
                <w:sz w:val="21"/>
                <w:szCs w:val="21"/>
              </w:rPr>
            </w:pPr>
          </w:p>
        </w:tc>
        <w:tc>
          <w:tcPr>
            <w:tcW w:w="217" w:type="dxa"/>
          </w:tcPr>
          <w:p w14:paraId="70CEC46D" w14:textId="10F52FB7" w:rsidR="002C0FD9" w:rsidRPr="00CA25CF" w:rsidRDefault="002C0FD9" w:rsidP="00CA25CF">
            <w:pPr>
              <w:rPr>
                <w:rFonts w:cs="Arial"/>
                <w:color w:val="FF0000"/>
                <w:sz w:val="21"/>
                <w:szCs w:val="21"/>
              </w:rPr>
            </w:pPr>
          </w:p>
        </w:tc>
        <w:tc>
          <w:tcPr>
            <w:tcW w:w="217" w:type="dxa"/>
          </w:tcPr>
          <w:p w14:paraId="47527A84" w14:textId="77777777" w:rsidR="002C0FD9" w:rsidRPr="00CA25CF" w:rsidRDefault="002C0FD9" w:rsidP="00CA25CF">
            <w:pPr>
              <w:rPr>
                <w:rFonts w:cs="Arial"/>
                <w:color w:val="FF0000"/>
                <w:sz w:val="21"/>
                <w:szCs w:val="21"/>
              </w:rPr>
            </w:pPr>
          </w:p>
        </w:tc>
        <w:tc>
          <w:tcPr>
            <w:tcW w:w="217" w:type="dxa"/>
          </w:tcPr>
          <w:p w14:paraId="4232E99A" w14:textId="77777777" w:rsidR="002C0FD9" w:rsidRPr="00CA25CF" w:rsidRDefault="002C0FD9" w:rsidP="00CA25CF">
            <w:pPr>
              <w:rPr>
                <w:rFonts w:cs="Arial"/>
                <w:color w:val="FF0000"/>
                <w:sz w:val="21"/>
                <w:szCs w:val="21"/>
              </w:rPr>
            </w:pPr>
          </w:p>
        </w:tc>
        <w:tc>
          <w:tcPr>
            <w:tcW w:w="217" w:type="dxa"/>
          </w:tcPr>
          <w:p w14:paraId="36389602" w14:textId="77777777" w:rsidR="002C0FD9" w:rsidRPr="00CA25CF" w:rsidRDefault="002C0FD9" w:rsidP="00CA25CF">
            <w:pPr>
              <w:rPr>
                <w:rFonts w:cs="Arial"/>
                <w:color w:val="FF0000"/>
                <w:sz w:val="21"/>
                <w:szCs w:val="21"/>
              </w:rPr>
            </w:pPr>
          </w:p>
        </w:tc>
        <w:tc>
          <w:tcPr>
            <w:tcW w:w="217" w:type="dxa"/>
          </w:tcPr>
          <w:p w14:paraId="33DF9522" w14:textId="77777777" w:rsidR="002C0FD9" w:rsidRPr="00CA25CF" w:rsidRDefault="002C0FD9" w:rsidP="00CA25CF">
            <w:pPr>
              <w:rPr>
                <w:rFonts w:cs="Arial"/>
                <w:color w:val="FF0000"/>
                <w:sz w:val="21"/>
                <w:szCs w:val="21"/>
              </w:rPr>
            </w:pPr>
          </w:p>
        </w:tc>
        <w:tc>
          <w:tcPr>
            <w:tcW w:w="217" w:type="dxa"/>
          </w:tcPr>
          <w:p w14:paraId="2368FAFE" w14:textId="77777777" w:rsidR="002C0FD9" w:rsidRPr="00CA25CF" w:rsidRDefault="002C0FD9" w:rsidP="00CA25CF">
            <w:pPr>
              <w:rPr>
                <w:rFonts w:cs="Arial"/>
                <w:color w:val="FF0000"/>
                <w:sz w:val="21"/>
                <w:szCs w:val="21"/>
              </w:rPr>
            </w:pPr>
          </w:p>
        </w:tc>
        <w:tc>
          <w:tcPr>
            <w:tcW w:w="217" w:type="dxa"/>
          </w:tcPr>
          <w:p w14:paraId="0D719A40" w14:textId="77777777" w:rsidR="002C0FD9" w:rsidRPr="00CA25CF" w:rsidRDefault="002C0FD9" w:rsidP="00CA25CF">
            <w:pPr>
              <w:rPr>
                <w:rFonts w:cs="Arial"/>
                <w:color w:val="FF0000"/>
                <w:sz w:val="21"/>
                <w:szCs w:val="21"/>
              </w:rPr>
            </w:pPr>
          </w:p>
        </w:tc>
        <w:tc>
          <w:tcPr>
            <w:tcW w:w="217" w:type="dxa"/>
          </w:tcPr>
          <w:p w14:paraId="5A3730A9" w14:textId="77777777" w:rsidR="002C0FD9" w:rsidRPr="00CA25CF" w:rsidRDefault="002C0FD9" w:rsidP="00CA25CF">
            <w:pPr>
              <w:rPr>
                <w:rFonts w:cs="Arial"/>
                <w:color w:val="FF0000"/>
                <w:sz w:val="21"/>
                <w:szCs w:val="21"/>
              </w:rPr>
            </w:pPr>
          </w:p>
        </w:tc>
        <w:tc>
          <w:tcPr>
            <w:tcW w:w="217" w:type="dxa"/>
          </w:tcPr>
          <w:p w14:paraId="1252B211" w14:textId="77777777" w:rsidR="002C0FD9" w:rsidRPr="00CA25CF" w:rsidRDefault="002C0FD9" w:rsidP="00CA25CF">
            <w:pPr>
              <w:rPr>
                <w:rFonts w:cs="Arial"/>
                <w:color w:val="FF0000"/>
                <w:sz w:val="21"/>
                <w:szCs w:val="21"/>
              </w:rPr>
            </w:pPr>
          </w:p>
        </w:tc>
        <w:tc>
          <w:tcPr>
            <w:tcW w:w="217" w:type="dxa"/>
          </w:tcPr>
          <w:p w14:paraId="0985F485" w14:textId="77777777" w:rsidR="002C0FD9" w:rsidRPr="00CA25CF" w:rsidRDefault="002C0FD9" w:rsidP="00CA25CF">
            <w:pPr>
              <w:rPr>
                <w:rFonts w:cs="Arial"/>
                <w:color w:val="FF0000"/>
                <w:sz w:val="21"/>
                <w:szCs w:val="21"/>
              </w:rPr>
            </w:pPr>
          </w:p>
        </w:tc>
        <w:tc>
          <w:tcPr>
            <w:tcW w:w="217" w:type="dxa"/>
          </w:tcPr>
          <w:p w14:paraId="73024A96" w14:textId="77777777" w:rsidR="002C0FD9" w:rsidRPr="00CA25CF" w:rsidRDefault="002C0FD9" w:rsidP="00CA25CF">
            <w:pPr>
              <w:rPr>
                <w:rFonts w:cs="Arial"/>
                <w:color w:val="FF0000"/>
                <w:sz w:val="21"/>
                <w:szCs w:val="21"/>
              </w:rPr>
            </w:pPr>
          </w:p>
        </w:tc>
        <w:tc>
          <w:tcPr>
            <w:tcW w:w="217" w:type="dxa"/>
          </w:tcPr>
          <w:p w14:paraId="39F44624" w14:textId="77777777" w:rsidR="002C0FD9" w:rsidRPr="00CA25CF" w:rsidRDefault="002C0FD9" w:rsidP="00CA25CF">
            <w:pPr>
              <w:rPr>
                <w:rFonts w:cs="Arial"/>
                <w:color w:val="FF0000"/>
                <w:sz w:val="21"/>
                <w:szCs w:val="21"/>
              </w:rPr>
            </w:pPr>
          </w:p>
        </w:tc>
        <w:tc>
          <w:tcPr>
            <w:tcW w:w="217" w:type="dxa"/>
          </w:tcPr>
          <w:p w14:paraId="6B33B143" w14:textId="77777777" w:rsidR="002C0FD9" w:rsidRPr="00CA25CF" w:rsidRDefault="002C0FD9" w:rsidP="00CA25CF">
            <w:pPr>
              <w:rPr>
                <w:rFonts w:cs="Arial"/>
                <w:color w:val="FF0000"/>
                <w:sz w:val="21"/>
                <w:szCs w:val="21"/>
              </w:rPr>
            </w:pPr>
          </w:p>
        </w:tc>
        <w:tc>
          <w:tcPr>
            <w:tcW w:w="217" w:type="dxa"/>
          </w:tcPr>
          <w:p w14:paraId="39243D8B" w14:textId="77777777" w:rsidR="002C0FD9" w:rsidRPr="00CA25CF" w:rsidRDefault="002C0FD9" w:rsidP="00CA25CF">
            <w:pPr>
              <w:rPr>
                <w:rFonts w:cs="Arial"/>
                <w:color w:val="FF0000"/>
                <w:sz w:val="21"/>
                <w:szCs w:val="21"/>
              </w:rPr>
            </w:pPr>
          </w:p>
        </w:tc>
        <w:tc>
          <w:tcPr>
            <w:tcW w:w="217" w:type="dxa"/>
          </w:tcPr>
          <w:p w14:paraId="3E59CE0B" w14:textId="77777777" w:rsidR="002C0FD9" w:rsidRPr="00CA25CF" w:rsidRDefault="002C0FD9" w:rsidP="00CA25CF">
            <w:pPr>
              <w:rPr>
                <w:rFonts w:cs="Arial"/>
                <w:color w:val="FF0000"/>
                <w:sz w:val="21"/>
                <w:szCs w:val="21"/>
              </w:rPr>
            </w:pPr>
          </w:p>
        </w:tc>
        <w:tc>
          <w:tcPr>
            <w:tcW w:w="217" w:type="dxa"/>
          </w:tcPr>
          <w:p w14:paraId="16425FF4" w14:textId="77777777" w:rsidR="002C0FD9" w:rsidRPr="00CA25CF" w:rsidRDefault="002C0FD9" w:rsidP="00CA25CF">
            <w:pPr>
              <w:rPr>
                <w:rFonts w:cs="Arial"/>
                <w:color w:val="FF0000"/>
                <w:sz w:val="21"/>
                <w:szCs w:val="21"/>
              </w:rPr>
            </w:pPr>
          </w:p>
        </w:tc>
        <w:tc>
          <w:tcPr>
            <w:tcW w:w="217" w:type="dxa"/>
          </w:tcPr>
          <w:p w14:paraId="0B67D2F5" w14:textId="77777777" w:rsidR="002C0FD9" w:rsidRPr="00CA25CF" w:rsidRDefault="002C0FD9" w:rsidP="00CA25CF">
            <w:pPr>
              <w:rPr>
                <w:rFonts w:cs="Arial"/>
                <w:color w:val="FF0000"/>
                <w:sz w:val="21"/>
                <w:szCs w:val="21"/>
              </w:rPr>
            </w:pPr>
          </w:p>
        </w:tc>
        <w:tc>
          <w:tcPr>
            <w:tcW w:w="217" w:type="dxa"/>
          </w:tcPr>
          <w:p w14:paraId="2914C723" w14:textId="77777777" w:rsidR="002C0FD9" w:rsidRPr="00CA25CF" w:rsidRDefault="002C0FD9" w:rsidP="00CA25CF">
            <w:pPr>
              <w:rPr>
                <w:rFonts w:cs="Arial"/>
                <w:color w:val="FF0000"/>
                <w:sz w:val="21"/>
                <w:szCs w:val="21"/>
              </w:rPr>
            </w:pPr>
          </w:p>
        </w:tc>
        <w:tc>
          <w:tcPr>
            <w:tcW w:w="217" w:type="dxa"/>
          </w:tcPr>
          <w:p w14:paraId="1D286428" w14:textId="77777777" w:rsidR="002C0FD9" w:rsidRPr="00CA25CF" w:rsidRDefault="002C0FD9" w:rsidP="00CA25CF">
            <w:pPr>
              <w:rPr>
                <w:rFonts w:cs="Arial"/>
                <w:color w:val="FF0000"/>
                <w:sz w:val="21"/>
                <w:szCs w:val="21"/>
              </w:rPr>
            </w:pPr>
          </w:p>
        </w:tc>
        <w:tc>
          <w:tcPr>
            <w:tcW w:w="217" w:type="dxa"/>
          </w:tcPr>
          <w:p w14:paraId="31970F39" w14:textId="77777777" w:rsidR="002C0FD9" w:rsidRPr="00CA25CF" w:rsidRDefault="002C0FD9" w:rsidP="00CA25CF">
            <w:pPr>
              <w:rPr>
                <w:rFonts w:cs="Arial"/>
                <w:color w:val="FF0000"/>
                <w:sz w:val="21"/>
                <w:szCs w:val="21"/>
              </w:rPr>
            </w:pPr>
          </w:p>
        </w:tc>
        <w:tc>
          <w:tcPr>
            <w:tcW w:w="217" w:type="dxa"/>
          </w:tcPr>
          <w:p w14:paraId="053A6407" w14:textId="77777777" w:rsidR="002C0FD9" w:rsidRPr="00CA25CF" w:rsidRDefault="002C0FD9" w:rsidP="00CA25CF">
            <w:pPr>
              <w:rPr>
                <w:rFonts w:cs="Arial"/>
                <w:color w:val="FF0000"/>
                <w:sz w:val="21"/>
                <w:szCs w:val="21"/>
              </w:rPr>
            </w:pPr>
          </w:p>
        </w:tc>
        <w:tc>
          <w:tcPr>
            <w:tcW w:w="217" w:type="dxa"/>
          </w:tcPr>
          <w:p w14:paraId="2C1C14EB" w14:textId="77777777" w:rsidR="002C0FD9" w:rsidRPr="00CA25CF" w:rsidRDefault="002C0FD9" w:rsidP="00CA25CF">
            <w:pPr>
              <w:rPr>
                <w:rFonts w:cs="Arial"/>
                <w:color w:val="FF0000"/>
                <w:sz w:val="21"/>
                <w:szCs w:val="21"/>
              </w:rPr>
            </w:pPr>
          </w:p>
        </w:tc>
        <w:tc>
          <w:tcPr>
            <w:tcW w:w="217" w:type="dxa"/>
          </w:tcPr>
          <w:p w14:paraId="4C5B53F0" w14:textId="77777777" w:rsidR="002C0FD9" w:rsidRPr="00CA25CF" w:rsidRDefault="002C0FD9" w:rsidP="00CA25CF">
            <w:pPr>
              <w:rPr>
                <w:rFonts w:cs="Arial"/>
                <w:color w:val="FF0000"/>
                <w:sz w:val="21"/>
                <w:szCs w:val="21"/>
              </w:rPr>
            </w:pPr>
          </w:p>
        </w:tc>
        <w:tc>
          <w:tcPr>
            <w:tcW w:w="217" w:type="dxa"/>
          </w:tcPr>
          <w:p w14:paraId="66AFEC7C" w14:textId="77777777" w:rsidR="002C0FD9" w:rsidRPr="00CA25CF" w:rsidRDefault="002C0FD9" w:rsidP="00CA25CF">
            <w:pPr>
              <w:rPr>
                <w:rFonts w:cs="Arial"/>
                <w:color w:val="FF0000"/>
                <w:sz w:val="21"/>
                <w:szCs w:val="21"/>
              </w:rPr>
            </w:pPr>
          </w:p>
        </w:tc>
        <w:tc>
          <w:tcPr>
            <w:tcW w:w="217" w:type="dxa"/>
          </w:tcPr>
          <w:p w14:paraId="06104A23" w14:textId="77777777" w:rsidR="002C0FD9" w:rsidRPr="00CA25CF" w:rsidRDefault="002C0FD9" w:rsidP="00CA25CF">
            <w:pPr>
              <w:rPr>
                <w:rFonts w:cs="Arial"/>
                <w:color w:val="FF0000"/>
                <w:sz w:val="21"/>
                <w:szCs w:val="21"/>
              </w:rPr>
            </w:pPr>
          </w:p>
        </w:tc>
        <w:tc>
          <w:tcPr>
            <w:tcW w:w="217" w:type="dxa"/>
          </w:tcPr>
          <w:p w14:paraId="39F8C235" w14:textId="77777777" w:rsidR="002C0FD9" w:rsidRPr="00CA25CF" w:rsidRDefault="002C0FD9" w:rsidP="00CA25CF">
            <w:pPr>
              <w:rPr>
                <w:rFonts w:cs="Arial"/>
                <w:color w:val="FF0000"/>
                <w:sz w:val="21"/>
                <w:szCs w:val="21"/>
              </w:rPr>
            </w:pPr>
          </w:p>
        </w:tc>
        <w:tc>
          <w:tcPr>
            <w:tcW w:w="217" w:type="dxa"/>
          </w:tcPr>
          <w:p w14:paraId="173F4C83" w14:textId="77777777" w:rsidR="002C0FD9" w:rsidRPr="00CA25CF" w:rsidRDefault="002C0FD9" w:rsidP="00CA25CF">
            <w:pPr>
              <w:rPr>
                <w:rFonts w:cs="Arial"/>
                <w:color w:val="FF0000"/>
                <w:sz w:val="21"/>
                <w:szCs w:val="21"/>
              </w:rPr>
            </w:pPr>
          </w:p>
        </w:tc>
        <w:tc>
          <w:tcPr>
            <w:tcW w:w="217" w:type="dxa"/>
          </w:tcPr>
          <w:p w14:paraId="72670E96" w14:textId="77777777" w:rsidR="002C0FD9" w:rsidRPr="00CA25CF" w:rsidRDefault="002C0FD9" w:rsidP="00CA25CF">
            <w:pPr>
              <w:rPr>
                <w:rFonts w:cs="Arial"/>
                <w:color w:val="FF0000"/>
                <w:sz w:val="21"/>
                <w:szCs w:val="21"/>
              </w:rPr>
            </w:pPr>
          </w:p>
        </w:tc>
        <w:tc>
          <w:tcPr>
            <w:tcW w:w="217" w:type="dxa"/>
          </w:tcPr>
          <w:p w14:paraId="76A777E4" w14:textId="77777777" w:rsidR="002C0FD9" w:rsidRPr="00CA25CF" w:rsidRDefault="002C0FD9" w:rsidP="00CA25CF">
            <w:pPr>
              <w:rPr>
                <w:rFonts w:cs="Arial"/>
                <w:color w:val="FF0000"/>
                <w:sz w:val="21"/>
                <w:szCs w:val="21"/>
              </w:rPr>
            </w:pPr>
          </w:p>
        </w:tc>
        <w:tc>
          <w:tcPr>
            <w:tcW w:w="217" w:type="dxa"/>
          </w:tcPr>
          <w:p w14:paraId="11AF5925" w14:textId="77777777" w:rsidR="002C0FD9" w:rsidRPr="00CA25CF" w:rsidRDefault="002C0FD9" w:rsidP="00CA25CF">
            <w:pPr>
              <w:rPr>
                <w:rFonts w:cs="Arial"/>
                <w:color w:val="FF0000"/>
                <w:sz w:val="21"/>
                <w:szCs w:val="21"/>
              </w:rPr>
            </w:pPr>
          </w:p>
        </w:tc>
        <w:tc>
          <w:tcPr>
            <w:tcW w:w="217" w:type="dxa"/>
          </w:tcPr>
          <w:p w14:paraId="0EFBA8E6" w14:textId="77777777" w:rsidR="002C0FD9" w:rsidRPr="00CA25CF" w:rsidRDefault="002C0FD9" w:rsidP="00CA25CF">
            <w:pPr>
              <w:rPr>
                <w:rFonts w:cs="Arial"/>
                <w:color w:val="FF0000"/>
                <w:sz w:val="21"/>
                <w:szCs w:val="21"/>
              </w:rPr>
            </w:pPr>
          </w:p>
        </w:tc>
        <w:tc>
          <w:tcPr>
            <w:tcW w:w="217" w:type="dxa"/>
          </w:tcPr>
          <w:p w14:paraId="678B4BD4" w14:textId="77777777" w:rsidR="002C0FD9" w:rsidRPr="00CA25CF" w:rsidRDefault="002C0FD9" w:rsidP="00CA25CF">
            <w:pPr>
              <w:rPr>
                <w:rFonts w:cs="Arial"/>
                <w:color w:val="FF0000"/>
                <w:sz w:val="21"/>
                <w:szCs w:val="21"/>
              </w:rPr>
            </w:pPr>
          </w:p>
        </w:tc>
        <w:tc>
          <w:tcPr>
            <w:tcW w:w="217" w:type="dxa"/>
          </w:tcPr>
          <w:p w14:paraId="65E900C5" w14:textId="77777777" w:rsidR="002C0FD9" w:rsidRPr="00CA25CF" w:rsidRDefault="002C0FD9" w:rsidP="00CA25CF">
            <w:pPr>
              <w:rPr>
                <w:rFonts w:cs="Arial"/>
                <w:color w:val="FF0000"/>
                <w:sz w:val="21"/>
                <w:szCs w:val="21"/>
              </w:rPr>
            </w:pPr>
          </w:p>
        </w:tc>
        <w:tc>
          <w:tcPr>
            <w:tcW w:w="217" w:type="dxa"/>
          </w:tcPr>
          <w:p w14:paraId="36CF6FF7" w14:textId="77777777" w:rsidR="002C0FD9" w:rsidRPr="00CA25CF" w:rsidRDefault="002C0FD9" w:rsidP="00CA25CF">
            <w:pPr>
              <w:rPr>
                <w:rFonts w:cs="Arial"/>
                <w:color w:val="FF0000"/>
                <w:sz w:val="21"/>
                <w:szCs w:val="21"/>
              </w:rPr>
            </w:pPr>
          </w:p>
        </w:tc>
        <w:tc>
          <w:tcPr>
            <w:tcW w:w="217" w:type="dxa"/>
          </w:tcPr>
          <w:p w14:paraId="4F072DDF" w14:textId="77777777" w:rsidR="002C0FD9" w:rsidRPr="00CA25CF" w:rsidRDefault="002C0FD9" w:rsidP="00CA25CF">
            <w:pPr>
              <w:rPr>
                <w:rFonts w:cs="Arial"/>
                <w:color w:val="FF0000"/>
                <w:sz w:val="21"/>
                <w:szCs w:val="21"/>
              </w:rPr>
            </w:pPr>
          </w:p>
        </w:tc>
        <w:tc>
          <w:tcPr>
            <w:tcW w:w="217" w:type="dxa"/>
          </w:tcPr>
          <w:p w14:paraId="6177A75D" w14:textId="77777777" w:rsidR="002C0FD9" w:rsidRPr="00CA25CF" w:rsidRDefault="002C0FD9" w:rsidP="00CA25CF">
            <w:pPr>
              <w:rPr>
                <w:rFonts w:cs="Arial"/>
                <w:color w:val="FF0000"/>
                <w:sz w:val="21"/>
                <w:szCs w:val="21"/>
              </w:rPr>
            </w:pPr>
          </w:p>
        </w:tc>
        <w:tc>
          <w:tcPr>
            <w:tcW w:w="217" w:type="dxa"/>
          </w:tcPr>
          <w:p w14:paraId="465C9571" w14:textId="77777777" w:rsidR="002C0FD9" w:rsidRPr="00CA25CF" w:rsidRDefault="002C0FD9" w:rsidP="00CA25CF">
            <w:pPr>
              <w:rPr>
                <w:rFonts w:cs="Arial"/>
                <w:color w:val="FF0000"/>
                <w:sz w:val="21"/>
                <w:szCs w:val="21"/>
              </w:rPr>
            </w:pPr>
          </w:p>
        </w:tc>
        <w:tc>
          <w:tcPr>
            <w:tcW w:w="217" w:type="dxa"/>
          </w:tcPr>
          <w:p w14:paraId="68DDF726" w14:textId="77777777" w:rsidR="002C0FD9" w:rsidRPr="00CA25CF" w:rsidRDefault="002C0FD9" w:rsidP="00CA25CF">
            <w:pPr>
              <w:rPr>
                <w:rFonts w:cs="Arial"/>
                <w:color w:val="FF0000"/>
                <w:sz w:val="21"/>
                <w:szCs w:val="21"/>
              </w:rPr>
            </w:pPr>
          </w:p>
        </w:tc>
        <w:tc>
          <w:tcPr>
            <w:tcW w:w="217" w:type="dxa"/>
          </w:tcPr>
          <w:p w14:paraId="265F6A9C" w14:textId="77777777" w:rsidR="002C0FD9" w:rsidRPr="00CA25CF" w:rsidRDefault="002C0FD9" w:rsidP="00CA25CF">
            <w:pPr>
              <w:rPr>
                <w:rFonts w:cs="Arial"/>
                <w:color w:val="FF0000"/>
                <w:sz w:val="21"/>
                <w:szCs w:val="21"/>
              </w:rPr>
            </w:pPr>
          </w:p>
        </w:tc>
        <w:tc>
          <w:tcPr>
            <w:tcW w:w="217" w:type="dxa"/>
          </w:tcPr>
          <w:p w14:paraId="3589BB8A" w14:textId="77777777" w:rsidR="002C0FD9" w:rsidRPr="00CA25CF" w:rsidRDefault="002C0FD9" w:rsidP="00CA25CF">
            <w:pPr>
              <w:rPr>
                <w:rFonts w:cs="Arial"/>
                <w:color w:val="FF0000"/>
                <w:sz w:val="21"/>
                <w:szCs w:val="21"/>
              </w:rPr>
            </w:pPr>
          </w:p>
        </w:tc>
        <w:tc>
          <w:tcPr>
            <w:tcW w:w="217" w:type="dxa"/>
          </w:tcPr>
          <w:p w14:paraId="7FEC60F0" w14:textId="77777777" w:rsidR="002C0FD9" w:rsidRPr="00CA25CF" w:rsidRDefault="002C0FD9" w:rsidP="00CA25CF">
            <w:pPr>
              <w:rPr>
                <w:rFonts w:cs="Arial"/>
                <w:color w:val="FF0000"/>
                <w:sz w:val="21"/>
                <w:szCs w:val="21"/>
              </w:rPr>
            </w:pPr>
          </w:p>
        </w:tc>
      </w:tr>
      <w:tr w:rsidR="002C0FD9" w:rsidRPr="00A16219" w14:paraId="6B3AF20C" w14:textId="0454FADB" w:rsidTr="002C0FD9">
        <w:trPr>
          <w:trHeight w:val="635"/>
        </w:trPr>
        <w:tc>
          <w:tcPr>
            <w:tcW w:w="515" w:type="dxa"/>
          </w:tcPr>
          <w:p w14:paraId="462A9EFF" w14:textId="77777777" w:rsidR="002C0FD9" w:rsidRPr="00CA25CF" w:rsidRDefault="002C0FD9" w:rsidP="00CA25CF">
            <w:pPr>
              <w:rPr>
                <w:rFonts w:cs="Arial"/>
                <w:color w:val="FF0000"/>
                <w:sz w:val="21"/>
                <w:szCs w:val="21"/>
              </w:rPr>
            </w:pPr>
          </w:p>
        </w:tc>
        <w:tc>
          <w:tcPr>
            <w:tcW w:w="217" w:type="dxa"/>
          </w:tcPr>
          <w:p w14:paraId="2AA36F03" w14:textId="77777777" w:rsidR="002C0FD9" w:rsidRPr="00CA25CF" w:rsidRDefault="002C0FD9" w:rsidP="00CA25CF">
            <w:pPr>
              <w:rPr>
                <w:rFonts w:cs="Arial"/>
                <w:color w:val="FF0000"/>
                <w:sz w:val="21"/>
                <w:szCs w:val="21"/>
              </w:rPr>
            </w:pPr>
          </w:p>
        </w:tc>
        <w:tc>
          <w:tcPr>
            <w:tcW w:w="217" w:type="dxa"/>
          </w:tcPr>
          <w:p w14:paraId="6C227294" w14:textId="3497479F" w:rsidR="002C0FD9" w:rsidRPr="00CA25CF" w:rsidRDefault="002C0FD9" w:rsidP="00CA25CF">
            <w:pPr>
              <w:rPr>
                <w:rFonts w:cs="Arial"/>
                <w:color w:val="FF0000"/>
                <w:sz w:val="21"/>
                <w:szCs w:val="21"/>
              </w:rPr>
            </w:pPr>
          </w:p>
        </w:tc>
        <w:tc>
          <w:tcPr>
            <w:tcW w:w="217" w:type="dxa"/>
          </w:tcPr>
          <w:p w14:paraId="00927EB9" w14:textId="77777777" w:rsidR="002C0FD9" w:rsidRPr="00CA25CF" w:rsidRDefault="002C0FD9" w:rsidP="00CA25CF">
            <w:pPr>
              <w:rPr>
                <w:rFonts w:cs="Arial"/>
                <w:color w:val="FF0000"/>
                <w:sz w:val="21"/>
                <w:szCs w:val="21"/>
              </w:rPr>
            </w:pPr>
          </w:p>
        </w:tc>
        <w:tc>
          <w:tcPr>
            <w:tcW w:w="217" w:type="dxa"/>
          </w:tcPr>
          <w:p w14:paraId="0F14225A" w14:textId="77777777" w:rsidR="002C0FD9" w:rsidRPr="00CA25CF" w:rsidRDefault="002C0FD9" w:rsidP="00CA25CF">
            <w:pPr>
              <w:rPr>
                <w:rFonts w:cs="Arial"/>
                <w:color w:val="FF0000"/>
                <w:sz w:val="21"/>
                <w:szCs w:val="21"/>
              </w:rPr>
            </w:pPr>
          </w:p>
        </w:tc>
        <w:tc>
          <w:tcPr>
            <w:tcW w:w="217" w:type="dxa"/>
          </w:tcPr>
          <w:p w14:paraId="12769172" w14:textId="77777777" w:rsidR="002C0FD9" w:rsidRPr="00CA25CF" w:rsidRDefault="002C0FD9" w:rsidP="00CA25CF">
            <w:pPr>
              <w:rPr>
                <w:rFonts w:cs="Arial"/>
                <w:color w:val="FF0000"/>
                <w:sz w:val="21"/>
                <w:szCs w:val="21"/>
              </w:rPr>
            </w:pPr>
          </w:p>
        </w:tc>
        <w:tc>
          <w:tcPr>
            <w:tcW w:w="217" w:type="dxa"/>
          </w:tcPr>
          <w:p w14:paraId="69B66A9C" w14:textId="77777777" w:rsidR="002C0FD9" w:rsidRPr="00CA25CF" w:rsidRDefault="002C0FD9" w:rsidP="00CA25CF">
            <w:pPr>
              <w:rPr>
                <w:rFonts w:cs="Arial"/>
                <w:color w:val="FF0000"/>
                <w:sz w:val="21"/>
                <w:szCs w:val="21"/>
              </w:rPr>
            </w:pPr>
          </w:p>
        </w:tc>
        <w:tc>
          <w:tcPr>
            <w:tcW w:w="217" w:type="dxa"/>
          </w:tcPr>
          <w:p w14:paraId="1624E0F7" w14:textId="77777777" w:rsidR="002C0FD9" w:rsidRPr="00CA25CF" w:rsidRDefault="002C0FD9" w:rsidP="00CA25CF">
            <w:pPr>
              <w:rPr>
                <w:rFonts w:cs="Arial"/>
                <w:color w:val="FF0000"/>
                <w:sz w:val="21"/>
                <w:szCs w:val="21"/>
              </w:rPr>
            </w:pPr>
          </w:p>
        </w:tc>
        <w:tc>
          <w:tcPr>
            <w:tcW w:w="217" w:type="dxa"/>
          </w:tcPr>
          <w:p w14:paraId="1FD73062" w14:textId="77777777" w:rsidR="002C0FD9" w:rsidRPr="00CA25CF" w:rsidRDefault="002C0FD9" w:rsidP="00CA25CF">
            <w:pPr>
              <w:rPr>
                <w:rFonts w:cs="Arial"/>
                <w:color w:val="FF0000"/>
                <w:sz w:val="21"/>
                <w:szCs w:val="21"/>
              </w:rPr>
            </w:pPr>
          </w:p>
        </w:tc>
        <w:tc>
          <w:tcPr>
            <w:tcW w:w="217" w:type="dxa"/>
          </w:tcPr>
          <w:p w14:paraId="1D67F27A" w14:textId="77777777" w:rsidR="002C0FD9" w:rsidRPr="00CA25CF" w:rsidRDefault="002C0FD9" w:rsidP="00CA25CF">
            <w:pPr>
              <w:rPr>
                <w:rFonts w:cs="Arial"/>
                <w:color w:val="FF0000"/>
                <w:sz w:val="21"/>
                <w:szCs w:val="21"/>
              </w:rPr>
            </w:pPr>
          </w:p>
        </w:tc>
        <w:tc>
          <w:tcPr>
            <w:tcW w:w="217" w:type="dxa"/>
          </w:tcPr>
          <w:p w14:paraId="37CDE1C0" w14:textId="77777777" w:rsidR="002C0FD9" w:rsidRPr="00CA25CF" w:rsidRDefault="002C0FD9" w:rsidP="00CA25CF">
            <w:pPr>
              <w:rPr>
                <w:rFonts w:cs="Arial"/>
                <w:color w:val="FF0000"/>
                <w:sz w:val="21"/>
                <w:szCs w:val="21"/>
              </w:rPr>
            </w:pPr>
          </w:p>
        </w:tc>
        <w:tc>
          <w:tcPr>
            <w:tcW w:w="217" w:type="dxa"/>
          </w:tcPr>
          <w:p w14:paraId="705A5BC3" w14:textId="77777777" w:rsidR="002C0FD9" w:rsidRPr="00CA25CF" w:rsidRDefault="002C0FD9" w:rsidP="00CA25CF">
            <w:pPr>
              <w:rPr>
                <w:rFonts w:cs="Arial"/>
                <w:color w:val="FF0000"/>
                <w:sz w:val="21"/>
                <w:szCs w:val="21"/>
              </w:rPr>
            </w:pPr>
          </w:p>
        </w:tc>
        <w:tc>
          <w:tcPr>
            <w:tcW w:w="217" w:type="dxa"/>
          </w:tcPr>
          <w:p w14:paraId="557F3FF3" w14:textId="77777777" w:rsidR="002C0FD9" w:rsidRPr="00CA25CF" w:rsidRDefault="002C0FD9" w:rsidP="00CA25CF">
            <w:pPr>
              <w:rPr>
                <w:rFonts w:cs="Arial"/>
                <w:color w:val="FF0000"/>
                <w:sz w:val="21"/>
                <w:szCs w:val="21"/>
              </w:rPr>
            </w:pPr>
          </w:p>
        </w:tc>
        <w:tc>
          <w:tcPr>
            <w:tcW w:w="217" w:type="dxa"/>
          </w:tcPr>
          <w:p w14:paraId="0DC52DB7" w14:textId="77777777" w:rsidR="002C0FD9" w:rsidRPr="00CA25CF" w:rsidRDefault="002C0FD9" w:rsidP="00CA25CF">
            <w:pPr>
              <w:rPr>
                <w:rFonts w:cs="Arial"/>
                <w:color w:val="FF0000"/>
                <w:sz w:val="21"/>
                <w:szCs w:val="21"/>
              </w:rPr>
            </w:pPr>
          </w:p>
        </w:tc>
        <w:tc>
          <w:tcPr>
            <w:tcW w:w="217" w:type="dxa"/>
          </w:tcPr>
          <w:p w14:paraId="60777030" w14:textId="77777777" w:rsidR="002C0FD9" w:rsidRPr="00CA25CF" w:rsidRDefault="002C0FD9" w:rsidP="00CA25CF">
            <w:pPr>
              <w:rPr>
                <w:rFonts w:cs="Arial"/>
                <w:color w:val="FF0000"/>
                <w:sz w:val="21"/>
                <w:szCs w:val="21"/>
              </w:rPr>
            </w:pPr>
          </w:p>
        </w:tc>
        <w:tc>
          <w:tcPr>
            <w:tcW w:w="217" w:type="dxa"/>
          </w:tcPr>
          <w:p w14:paraId="6117CFCE" w14:textId="77777777" w:rsidR="002C0FD9" w:rsidRPr="00CA25CF" w:rsidRDefault="002C0FD9" w:rsidP="00CA25CF">
            <w:pPr>
              <w:rPr>
                <w:rFonts w:cs="Arial"/>
                <w:color w:val="FF0000"/>
                <w:sz w:val="21"/>
                <w:szCs w:val="21"/>
              </w:rPr>
            </w:pPr>
          </w:p>
        </w:tc>
        <w:tc>
          <w:tcPr>
            <w:tcW w:w="217" w:type="dxa"/>
          </w:tcPr>
          <w:p w14:paraId="698C0107" w14:textId="77777777" w:rsidR="002C0FD9" w:rsidRPr="00CA25CF" w:rsidRDefault="002C0FD9" w:rsidP="00CA25CF">
            <w:pPr>
              <w:rPr>
                <w:rFonts w:cs="Arial"/>
                <w:color w:val="FF0000"/>
                <w:sz w:val="21"/>
                <w:szCs w:val="21"/>
              </w:rPr>
            </w:pPr>
          </w:p>
        </w:tc>
        <w:tc>
          <w:tcPr>
            <w:tcW w:w="217" w:type="dxa"/>
          </w:tcPr>
          <w:p w14:paraId="3B1058AA" w14:textId="77777777" w:rsidR="002C0FD9" w:rsidRPr="00CA25CF" w:rsidRDefault="002C0FD9" w:rsidP="00CA25CF">
            <w:pPr>
              <w:rPr>
                <w:rFonts w:cs="Arial"/>
                <w:color w:val="FF0000"/>
                <w:sz w:val="21"/>
                <w:szCs w:val="21"/>
              </w:rPr>
            </w:pPr>
          </w:p>
        </w:tc>
        <w:tc>
          <w:tcPr>
            <w:tcW w:w="217" w:type="dxa"/>
          </w:tcPr>
          <w:p w14:paraId="7D26338B" w14:textId="77777777" w:rsidR="002C0FD9" w:rsidRPr="00CA25CF" w:rsidRDefault="002C0FD9" w:rsidP="00CA25CF">
            <w:pPr>
              <w:rPr>
                <w:rFonts w:cs="Arial"/>
                <w:color w:val="FF0000"/>
                <w:sz w:val="21"/>
                <w:szCs w:val="21"/>
              </w:rPr>
            </w:pPr>
          </w:p>
        </w:tc>
        <w:tc>
          <w:tcPr>
            <w:tcW w:w="217" w:type="dxa"/>
          </w:tcPr>
          <w:p w14:paraId="3D9447C5" w14:textId="77777777" w:rsidR="002C0FD9" w:rsidRPr="00CA25CF" w:rsidRDefault="002C0FD9" w:rsidP="00CA25CF">
            <w:pPr>
              <w:rPr>
                <w:rFonts w:cs="Arial"/>
                <w:color w:val="FF0000"/>
                <w:sz w:val="21"/>
                <w:szCs w:val="21"/>
              </w:rPr>
            </w:pPr>
          </w:p>
        </w:tc>
        <w:tc>
          <w:tcPr>
            <w:tcW w:w="217" w:type="dxa"/>
          </w:tcPr>
          <w:p w14:paraId="7C92162C" w14:textId="77777777" w:rsidR="002C0FD9" w:rsidRPr="00CA25CF" w:rsidRDefault="002C0FD9" w:rsidP="00CA25CF">
            <w:pPr>
              <w:rPr>
                <w:rFonts w:cs="Arial"/>
                <w:color w:val="FF0000"/>
                <w:sz w:val="21"/>
                <w:szCs w:val="21"/>
              </w:rPr>
            </w:pPr>
          </w:p>
        </w:tc>
        <w:tc>
          <w:tcPr>
            <w:tcW w:w="217" w:type="dxa"/>
          </w:tcPr>
          <w:p w14:paraId="0B698C60" w14:textId="77777777" w:rsidR="002C0FD9" w:rsidRPr="00CA25CF" w:rsidRDefault="002C0FD9" w:rsidP="00CA25CF">
            <w:pPr>
              <w:rPr>
                <w:rFonts w:cs="Arial"/>
                <w:color w:val="FF0000"/>
                <w:sz w:val="21"/>
                <w:szCs w:val="21"/>
              </w:rPr>
            </w:pPr>
          </w:p>
        </w:tc>
        <w:tc>
          <w:tcPr>
            <w:tcW w:w="217" w:type="dxa"/>
          </w:tcPr>
          <w:p w14:paraId="4B28487F" w14:textId="77777777" w:rsidR="002C0FD9" w:rsidRPr="00CA25CF" w:rsidRDefault="002C0FD9" w:rsidP="00CA25CF">
            <w:pPr>
              <w:rPr>
                <w:rFonts w:cs="Arial"/>
                <w:color w:val="FF0000"/>
                <w:sz w:val="21"/>
                <w:szCs w:val="21"/>
              </w:rPr>
            </w:pPr>
          </w:p>
        </w:tc>
        <w:tc>
          <w:tcPr>
            <w:tcW w:w="217" w:type="dxa"/>
          </w:tcPr>
          <w:p w14:paraId="63721F07" w14:textId="77777777" w:rsidR="002C0FD9" w:rsidRPr="00CA25CF" w:rsidRDefault="002C0FD9" w:rsidP="00CA25CF">
            <w:pPr>
              <w:rPr>
                <w:rFonts w:cs="Arial"/>
                <w:color w:val="FF0000"/>
                <w:sz w:val="21"/>
                <w:szCs w:val="21"/>
              </w:rPr>
            </w:pPr>
          </w:p>
        </w:tc>
        <w:tc>
          <w:tcPr>
            <w:tcW w:w="217" w:type="dxa"/>
          </w:tcPr>
          <w:p w14:paraId="2C1D4927" w14:textId="77777777" w:rsidR="002C0FD9" w:rsidRPr="00CA25CF" w:rsidRDefault="002C0FD9" w:rsidP="00CA25CF">
            <w:pPr>
              <w:rPr>
                <w:rFonts w:cs="Arial"/>
                <w:color w:val="FF0000"/>
                <w:sz w:val="21"/>
                <w:szCs w:val="21"/>
              </w:rPr>
            </w:pPr>
          </w:p>
        </w:tc>
        <w:tc>
          <w:tcPr>
            <w:tcW w:w="217" w:type="dxa"/>
          </w:tcPr>
          <w:p w14:paraId="7A8C2F70" w14:textId="77777777" w:rsidR="002C0FD9" w:rsidRPr="00CA25CF" w:rsidRDefault="002C0FD9" w:rsidP="00CA25CF">
            <w:pPr>
              <w:rPr>
                <w:rFonts w:cs="Arial"/>
                <w:color w:val="FF0000"/>
                <w:sz w:val="21"/>
                <w:szCs w:val="21"/>
              </w:rPr>
            </w:pPr>
          </w:p>
        </w:tc>
        <w:tc>
          <w:tcPr>
            <w:tcW w:w="217" w:type="dxa"/>
          </w:tcPr>
          <w:p w14:paraId="6F04C675" w14:textId="77777777" w:rsidR="002C0FD9" w:rsidRPr="00CA25CF" w:rsidRDefault="002C0FD9" w:rsidP="00CA25CF">
            <w:pPr>
              <w:rPr>
                <w:rFonts w:cs="Arial"/>
                <w:color w:val="FF0000"/>
                <w:sz w:val="21"/>
                <w:szCs w:val="21"/>
              </w:rPr>
            </w:pPr>
          </w:p>
        </w:tc>
        <w:tc>
          <w:tcPr>
            <w:tcW w:w="217" w:type="dxa"/>
          </w:tcPr>
          <w:p w14:paraId="253E7090" w14:textId="77777777" w:rsidR="002C0FD9" w:rsidRPr="00CA25CF" w:rsidRDefault="002C0FD9" w:rsidP="00CA25CF">
            <w:pPr>
              <w:rPr>
                <w:rFonts w:cs="Arial"/>
                <w:color w:val="FF0000"/>
                <w:sz w:val="21"/>
                <w:szCs w:val="21"/>
              </w:rPr>
            </w:pPr>
          </w:p>
        </w:tc>
        <w:tc>
          <w:tcPr>
            <w:tcW w:w="217" w:type="dxa"/>
          </w:tcPr>
          <w:p w14:paraId="67711A1A" w14:textId="77777777" w:rsidR="002C0FD9" w:rsidRPr="00CA25CF" w:rsidRDefault="002C0FD9" w:rsidP="00CA25CF">
            <w:pPr>
              <w:rPr>
                <w:rFonts w:cs="Arial"/>
                <w:color w:val="FF0000"/>
                <w:sz w:val="21"/>
                <w:szCs w:val="21"/>
              </w:rPr>
            </w:pPr>
          </w:p>
        </w:tc>
        <w:tc>
          <w:tcPr>
            <w:tcW w:w="217" w:type="dxa"/>
          </w:tcPr>
          <w:p w14:paraId="790356D2" w14:textId="77777777" w:rsidR="002C0FD9" w:rsidRPr="00CA25CF" w:rsidRDefault="002C0FD9" w:rsidP="00CA25CF">
            <w:pPr>
              <w:rPr>
                <w:rFonts w:cs="Arial"/>
                <w:color w:val="FF0000"/>
                <w:sz w:val="21"/>
                <w:szCs w:val="21"/>
              </w:rPr>
            </w:pPr>
          </w:p>
        </w:tc>
        <w:tc>
          <w:tcPr>
            <w:tcW w:w="217" w:type="dxa"/>
          </w:tcPr>
          <w:p w14:paraId="1026AE67" w14:textId="77777777" w:rsidR="002C0FD9" w:rsidRPr="00CA25CF" w:rsidRDefault="002C0FD9" w:rsidP="00CA25CF">
            <w:pPr>
              <w:rPr>
                <w:rFonts w:cs="Arial"/>
                <w:color w:val="FF0000"/>
                <w:sz w:val="21"/>
                <w:szCs w:val="21"/>
              </w:rPr>
            </w:pPr>
          </w:p>
        </w:tc>
        <w:tc>
          <w:tcPr>
            <w:tcW w:w="217" w:type="dxa"/>
          </w:tcPr>
          <w:p w14:paraId="36FD5F7D" w14:textId="77777777" w:rsidR="002C0FD9" w:rsidRPr="00CA25CF" w:rsidRDefault="002C0FD9" w:rsidP="00CA25CF">
            <w:pPr>
              <w:rPr>
                <w:rFonts w:cs="Arial"/>
                <w:color w:val="FF0000"/>
                <w:sz w:val="21"/>
                <w:szCs w:val="21"/>
              </w:rPr>
            </w:pPr>
          </w:p>
        </w:tc>
        <w:tc>
          <w:tcPr>
            <w:tcW w:w="217" w:type="dxa"/>
          </w:tcPr>
          <w:p w14:paraId="31450F7C" w14:textId="77777777" w:rsidR="002C0FD9" w:rsidRPr="00CA25CF" w:rsidRDefault="002C0FD9" w:rsidP="00CA25CF">
            <w:pPr>
              <w:rPr>
                <w:rFonts w:cs="Arial"/>
                <w:color w:val="FF0000"/>
                <w:sz w:val="21"/>
                <w:szCs w:val="21"/>
              </w:rPr>
            </w:pPr>
          </w:p>
        </w:tc>
        <w:tc>
          <w:tcPr>
            <w:tcW w:w="217" w:type="dxa"/>
          </w:tcPr>
          <w:p w14:paraId="416FD00E" w14:textId="77777777" w:rsidR="002C0FD9" w:rsidRPr="00CA25CF" w:rsidRDefault="002C0FD9" w:rsidP="00CA25CF">
            <w:pPr>
              <w:rPr>
                <w:rFonts w:cs="Arial"/>
                <w:color w:val="FF0000"/>
                <w:sz w:val="21"/>
                <w:szCs w:val="21"/>
              </w:rPr>
            </w:pPr>
          </w:p>
        </w:tc>
        <w:tc>
          <w:tcPr>
            <w:tcW w:w="217" w:type="dxa"/>
          </w:tcPr>
          <w:p w14:paraId="798D71EA" w14:textId="77777777" w:rsidR="002C0FD9" w:rsidRPr="00CA25CF" w:rsidRDefault="002C0FD9" w:rsidP="00CA25CF">
            <w:pPr>
              <w:rPr>
                <w:rFonts w:cs="Arial"/>
                <w:color w:val="FF0000"/>
                <w:sz w:val="21"/>
                <w:szCs w:val="21"/>
              </w:rPr>
            </w:pPr>
          </w:p>
        </w:tc>
        <w:tc>
          <w:tcPr>
            <w:tcW w:w="217" w:type="dxa"/>
          </w:tcPr>
          <w:p w14:paraId="42580D20" w14:textId="77777777" w:rsidR="002C0FD9" w:rsidRPr="00CA25CF" w:rsidRDefault="002C0FD9" w:rsidP="00CA25CF">
            <w:pPr>
              <w:rPr>
                <w:rFonts w:cs="Arial"/>
                <w:color w:val="FF0000"/>
                <w:sz w:val="21"/>
                <w:szCs w:val="21"/>
              </w:rPr>
            </w:pPr>
          </w:p>
        </w:tc>
        <w:tc>
          <w:tcPr>
            <w:tcW w:w="217" w:type="dxa"/>
          </w:tcPr>
          <w:p w14:paraId="46FC6CDA" w14:textId="77777777" w:rsidR="002C0FD9" w:rsidRPr="00CA25CF" w:rsidRDefault="002C0FD9" w:rsidP="00CA25CF">
            <w:pPr>
              <w:rPr>
                <w:rFonts w:cs="Arial"/>
                <w:color w:val="FF0000"/>
                <w:sz w:val="21"/>
                <w:szCs w:val="21"/>
              </w:rPr>
            </w:pPr>
          </w:p>
        </w:tc>
        <w:tc>
          <w:tcPr>
            <w:tcW w:w="217" w:type="dxa"/>
          </w:tcPr>
          <w:p w14:paraId="5CE8B412" w14:textId="77777777" w:rsidR="002C0FD9" w:rsidRPr="00CA25CF" w:rsidRDefault="002C0FD9" w:rsidP="00CA25CF">
            <w:pPr>
              <w:rPr>
                <w:rFonts w:cs="Arial"/>
                <w:color w:val="FF0000"/>
                <w:sz w:val="21"/>
                <w:szCs w:val="21"/>
              </w:rPr>
            </w:pPr>
          </w:p>
        </w:tc>
        <w:tc>
          <w:tcPr>
            <w:tcW w:w="217" w:type="dxa"/>
          </w:tcPr>
          <w:p w14:paraId="6650FE50" w14:textId="77777777" w:rsidR="002C0FD9" w:rsidRPr="00CA25CF" w:rsidRDefault="002C0FD9" w:rsidP="00CA25CF">
            <w:pPr>
              <w:rPr>
                <w:rFonts w:cs="Arial"/>
                <w:color w:val="FF0000"/>
                <w:sz w:val="21"/>
                <w:szCs w:val="21"/>
              </w:rPr>
            </w:pPr>
          </w:p>
        </w:tc>
        <w:tc>
          <w:tcPr>
            <w:tcW w:w="217" w:type="dxa"/>
          </w:tcPr>
          <w:p w14:paraId="4C3932DB" w14:textId="77777777" w:rsidR="002C0FD9" w:rsidRPr="00CA25CF" w:rsidRDefault="002C0FD9" w:rsidP="00CA25CF">
            <w:pPr>
              <w:rPr>
                <w:rFonts w:cs="Arial"/>
                <w:color w:val="FF0000"/>
                <w:sz w:val="21"/>
                <w:szCs w:val="21"/>
              </w:rPr>
            </w:pPr>
          </w:p>
        </w:tc>
        <w:tc>
          <w:tcPr>
            <w:tcW w:w="217" w:type="dxa"/>
          </w:tcPr>
          <w:p w14:paraId="4960D5B2" w14:textId="77777777" w:rsidR="002C0FD9" w:rsidRPr="00CA25CF" w:rsidRDefault="002C0FD9" w:rsidP="00CA25CF">
            <w:pPr>
              <w:rPr>
                <w:rFonts w:cs="Arial"/>
                <w:color w:val="FF0000"/>
                <w:sz w:val="21"/>
                <w:szCs w:val="21"/>
              </w:rPr>
            </w:pPr>
          </w:p>
        </w:tc>
        <w:tc>
          <w:tcPr>
            <w:tcW w:w="217" w:type="dxa"/>
          </w:tcPr>
          <w:p w14:paraId="22F2FB36" w14:textId="77777777" w:rsidR="002C0FD9" w:rsidRPr="00CA25CF" w:rsidRDefault="002C0FD9" w:rsidP="00CA25CF">
            <w:pPr>
              <w:rPr>
                <w:rFonts w:cs="Arial"/>
                <w:color w:val="FF0000"/>
                <w:sz w:val="21"/>
                <w:szCs w:val="21"/>
              </w:rPr>
            </w:pPr>
          </w:p>
        </w:tc>
        <w:tc>
          <w:tcPr>
            <w:tcW w:w="217" w:type="dxa"/>
          </w:tcPr>
          <w:p w14:paraId="5E9C0F85" w14:textId="77777777" w:rsidR="002C0FD9" w:rsidRPr="00CA25CF" w:rsidRDefault="002C0FD9" w:rsidP="00CA25CF">
            <w:pPr>
              <w:rPr>
                <w:rFonts w:cs="Arial"/>
                <w:color w:val="FF0000"/>
                <w:sz w:val="21"/>
                <w:szCs w:val="21"/>
              </w:rPr>
            </w:pPr>
          </w:p>
        </w:tc>
      </w:tr>
      <w:tr w:rsidR="002C0FD9" w:rsidRPr="00A16219" w14:paraId="705F17FF" w14:textId="7BA5780F" w:rsidTr="002C0FD9">
        <w:trPr>
          <w:trHeight w:val="635"/>
        </w:trPr>
        <w:tc>
          <w:tcPr>
            <w:tcW w:w="515" w:type="dxa"/>
          </w:tcPr>
          <w:p w14:paraId="4F64B8E2" w14:textId="77777777" w:rsidR="002C0FD9" w:rsidRPr="00CA25CF" w:rsidRDefault="002C0FD9" w:rsidP="00CA25CF">
            <w:pPr>
              <w:rPr>
                <w:rFonts w:cs="Arial"/>
                <w:color w:val="FF0000"/>
                <w:sz w:val="21"/>
                <w:szCs w:val="21"/>
              </w:rPr>
            </w:pPr>
          </w:p>
        </w:tc>
        <w:tc>
          <w:tcPr>
            <w:tcW w:w="217" w:type="dxa"/>
          </w:tcPr>
          <w:p w14:paraId="35240B32" w14:textId="77777777" w:rsidR="002C0FD9" w:rsidRPr="00CA25CF" w:rsidRDefault="002C0FD9" w:rsidP="00CA25CF">
            <w:pPr>
              <w:rPr>
                <w:rFonts w:cs="Arial"/>
                <w:color w:val="FF0000"/>
                <w:sz w:val="21"/>
                <w:szCs w:val="21"/>
              </w:rPr>
            </w:pPr>
          </w:p>
        </w:tc>
        <w:tc>
          <w:tcPr>
            <w:tcW w:w="217" w:type="dxa"/>
          </w:tcPr>
          <w:p w14:paraId="66159FF9" w14:textId="5A5CCCA7" w:rsidR="002C0FD9" w:rsidRPr="00CA25CF" w:rsidRDefault="002C0FD9" w:rsidP="00CA25CF">
            <w:pPr>
              <w:rPr>
                <w:rFonts w:cs="Arial"/>
                <w:color w:val="FF0000"/>
                <w:sz w:val="21"/>
                <w:szCs w:val="21"/>
              </w:rPr>
            </w:pPr>
          </w:p>
        </w:tc>
        <w:tc>
          <w:tcPr>
            <w:tcW w:w="217" w:type="dxa"/>
          </w:tcPr>
          <w:p w14:paraId="66A7068B" w14:textId="77777777" w:rsidR="002C0FD9" w:rsidRPr="00CA25CF" w:rsidRDefault="002C0FD9" w:rsidP="00CA25CF">
            <w:pPr>
              <w:rPr>
                <w:rFonts w:cs="Arial"/>
                <w:color w:val="FF0000"/>
                <w:sz w:val="21"/>
                <w:szCs w:val="21"/>
              </w:rPr>
            </w:pPr>
          </w:p>
        </w:tc>
        <w:tc>
          <w:tcPr>
            <w:tcW w:w="217" w:type="dxa"/>
          </w:tcPr>
          <w:p w14:paraId="30B302B3" w14:textId="77777777" w:rsidR="002C0FD9" w:rsidRPr="00CA25CF" w:rsidRDefault="002C0FD9" w:rsidP="00CA25CF">
            <w:pPr>
              <w:rPr>
                <w:rFonts w:cs="Arial"/>
                <w:color w:val="FF0000"/>
                <w:sz w:val="21"/>
                <w:szCs w:val="21"/>
              </w:rPr>
            </w:pPr>
          </w:p>
        </w:tc>
        <w:tc>
          <w:tcPr>
            <w:tcW w:w="217" w:type="dxa"/>
          </w:tcPr>
          <w:p w14:paraId="5E7B5EB3" w14:textId="77777777" w:rsidR="002C0FD9" w:rsidRPr="00CA25CF" w:rsidRDefault="002C0FD9" w:rsidP="00CA25CF">
            <w:pPr>
              <w:rPr>
                <w:rFonts w:cs="Arial"/>
                <w:color w:val="FF0000"/>
                <w:sz w:val="21"/>
                <w:szCs w:val="21"/>
              </w:rPr>
            </w:pPr>
          </w:p>
        </w:tc>
        <w:tc>
          <w:tcPr>
            <w:tcW w:w="217" w:type="dxa"/>
          </w:tcPr>
          <w:p w14:paraId="3DECD26B" w14:textId="77777777" w:rsidR="002C0FD9" w:rsidRPr="00CA25CF" w:rsidRDefault="002C0FD9" w:rsidP="00CA25CF">
            <w:pPr>
              <w:rPr>
                <w:rFonts w:cs="Arial"/>
                <w:color w:val="FF0000"/>
                <w:sz w:val="21"/>
                <w:szCs w:val="21"/>
              </w:rPr>
            </w:pPr>
          </w:p>
        </w:tc>
        <w:tc>
          <w:tcPr>
            <w:tcW w:w="217" w:type="dxa"/>
          </w:tcPr>
          <w:p w14:paraId="41512119" w14:textId="77777777" w:rsidR="002C0FD9" w:rsidRPr="00CA25CF" w:rsidRDefault="002C0FD9" w:rsidP="00CA25CF">
            <w:pPr>
              <w:rPr>
                <w:rFonts w:cs="Arial"/>
                <w:color w:val="FF0000"/>
                <w:sz w:val="21"/>
                <w:szCs w:val="21"/>
              </w:rPr>
            </w:pPr>
          </w:p>
        </w:tc>
        <w:tc>
          <w:tcPr>
            <w:tcW w:w="217" w:type="dxa"/>
          </w:tcPr>
          <w:p w14:paraId="606F87D5" w14:textId="77777777" w:rsidR="002C0FD9" w:rsidRPr="00CA25CF" w:rsidRDefault="002C0FD9" w:rsidP="00CA25CF">
            <w:pPr>
              <w:rPr>
                <w:rFonts w:cs="Arial"/>
                <w:color w:val="FF0000"/>
                <w:sz w:val="21"/>
                <w:szCs w:val="21"/>
              </w:rPr>
            </w:pPr>
          </w:p>
        </w:tc>
        <w:tc>
          <w:tcPr>
            <w:tcW w:w="217" w:type="dxa"/>
          </w:tcPr>
          <w:p w14:paraId="31BAE8B8" w14:textId="77777777" w:rsidR="002C0FD9" w:rsidRPr="00CA25CF" w:rsidRDefault="002C0FD9" w:rsidP="00CA25CF">
            <w:pPr>
              <w:rPr>
                <w:rFonts w:cs="Arial"/>
                <w:color w:val="FF0000"/>
                <w:sz w:val="21"/>
                <w:szCs w:val="21"/>
              </w:rPr>
            </w:pPr>
          </w:p>
        </w:tc>
        <w:tc>
          <w:tcPr>
            <w:tcW w:w="217" w:type="dxa"/>
          </w:tcPr>
          <w:p w14:paraId="6A7EBBB9" w14:textId="77777777" w:rsidR="002C0FD9" w:rsidRPr="00CA25CF" w:rsidRDefault="002C0FD9" w:rsidP="00CA25CF">
            <w:pPr>
              <w:rPr>
                <w:rFonts w:cs="Arial"/>
                <w:color w:val="FF0000"/>
                <w:sz w:val="21"/>
                <w:szCs w:val="21"/>
              </w:rPr>
            </w:pPr>
          </w:p>
        </w:tc>
        <w:tc>
          <w:tcPr>
            <w:tcW w:w="217" w:type="dxa"/>
          </w:tcPr>
          <w:p w14:paraId="1AF4A318" w14:textId="77777777" w:rsidR="002C0FD9" w:rsidRPr="00CA25CF" w:rsidRDefault="002C0FD9" w:rsidP="00CA25CF">
            <w:pPr>
              <w:rPr>
                <w:rFonts w:cs="Arial"/>
                <w:color w:val="FF0000"/>
                <w:sz w:val="21"/>
                <w:szCs w:val="21"/>
              </w:rPr>
            </w:pPr>
          </w:p>
        </w:tc>
        <w:tc>
          <w:tcPr>
            <w:tcW w:w="217" w:type="dxa"/>
          </w:tcPr>
          <w:p w14:paraId="36217F00" w14:textId="77777777" w:rsidR="002C0FD9" w:rsidRPr="00CA25CF" w:rsidRDefault="002C0FD9" w:rsidP="00CA25CF">
            <w:pPr>
              <w:rPr>
                <w:rFonts w:cs="Arial"/>
                <w:color w:val="FF0000"/>
                <w:sz w:val="21"/>
                <w:szCs w:val="21"/>
              </w:rPr>
            </w:pPr>
          </w:p>
        </w:tc>
        <w:tc>
          <w:tcPr>
            <w:tcW w:w="217" w:type="dxa"/>
          </w:tcPr>
          <w:p w14:paraId="3E11EE14" w14:textId="77777777" w:rsidR="002C0FD9" w:rsidRPr="00CA25CF" w:rsidRDefault="002C0FD9" w:rsidP="00CA25CF">
            <w:pPr>
              <w:rPr>
                <w:rFonts w:cs="Arial"/>
                <w:color w:val="FF0000"/>
                <w:sz w:val="21"/>
                <w:szCs w:val="21"/>
              </w:rPr>
            </w:pPr>
          </w:p>
        </w:tc>
        <w:tc>
          <w:tcPr>
            <w:tcW w:w="217" w:type="dxa"/>
          </w:tcPr>
          <w:p w14:paraId="50E74F41" w14:textId="77777777" w:rsidR="002C0FD9" w:rsidRPr="00CA25CF" w:rsidRDefault="002C0FD9" w:rsidP="00CA25CF">
            <w:pPr>
              <w:rPr>
                <w:rFonts w:cs="Arial"/>
                <w:color w:val="FF0000"/>
                <w:sz w:val="21"/>
                <w:szCs w:val="21"/>
              </w:rPr>
            </w:pPr>
          </w:p>
        </w:tc>
        <w:tc>
          <w:tcPr>
            <w:tcW w:w="217" w:type="dxa"/>
          </w:tcPr>
          <w:p w14:paraId="54D85039" w14:textId="77777777" w:rsidR="002C0FD9" w:rsidRPr="00CA25CF" w:rsidRDefault="002C0FD9" w:rsidP="00CA25CF">
            <w:pPr>
              <w:rPr>
                <w:rFonts w:cs="Arial"/>
                <w:color w:val="FF0000"/>
                <w:sz w:val="21"/>
                <w:szCs w:val="21"/>
              </w:rPr>
            </w:pPr>
          </w:p>
        </w:tc>
        <w:tc>
          <w:tcPr>
            <w:tcW w:w="217" w:type="dxa"/>
          </w:tcPr>
          <w:p w14:paraId="098A6BDC" w14:textId="77777777" w:rsidR="002C0FD9" w:rsidRPr="00CA25CF" w:rsidRDefault="002C0FD9" w:rsidP="00CA25CF">
            <w:pPr>
              <w:rPr>
                <w:rFonts w:cs="Arial"/>
                <w:color w:val="FF0000"/>
                <w:sz w:val="21"/>
                <w:szCs w:val="21"/>
              </w:rPr>
            </w:pPr>
          </w:p>
        </w:tc>
        <w:tc>
          <w:tcPr>
            <w:tcW w:w="217" w:type="dxa"/>
          </w:tcPr>
          <w:p w14:paraId="1E587F89" w14:textId="77777777" w:rsidR="002C0FD9" w:rsidRPr="00CA25CF" w:rsidRDefault="002C0FD9" w:rsidP="00CA25CF">
            <w:pPr>
              <w:rPr>
                <w:rFonts w:cs="Arial"/>
                <w:color w:val="FF0000"/>
                <w:sz w:val="21"/>
                <w:szCs w:val="21"/>
              </w:rPr>
            </w:pPr>
          </w:p>
        </w:tc>
        <w:tc>
          <w:tcPr>
            <w:tcW w:w="217" w:type="dxa"/>
          </w:tcPr>
          <w:p w14:paraId="44216F7B" w14:textId="77777777" w:rsidR="002C0FD9" w:rsidRPr="00CA25CF" w:rsidRDefault="002C0FD9" w:rsidP="00CA25CF">
            <w:pPr>
              <w:rPr>
                <w:rFonts w:cs="Arial"/>
                <w:color w:val="FF0000"/>
                <w:sz w:val="21"/>
                <w:szCs w:val="21"/>
              </w:rPr>
            </w:pPr>
          </w:p>
        </w:tc>
        <w:tc>
          <w:tcPr>
            <w:tcW w:w="217" w:type="dxa"/>
          </w:tcPr>
          <w:p w14:paraId="51BE8AD0" w14:textId="77777777" w:rsidR="002C0FD9" w:rsidRPr="00CA25CF" w:rsidRDefault="002C0FD9" w:rsidP="00CA25CF">
            <w:pPr>
              <w:rPr>
                <w:rFonts w:cs="Arial"/>
                <w:color w:val="FF0000"/>
                <w:sz w:val="21"/>
                <w:szCs w:val="21"/>
              </w:rPr>
            </w:pPr>
          </w:p>
        </w:tc>
        <w:tc>
          <w:tcPr>
            <w:tcW w:w="217" w:type="dxa"/>
          </w:tcPr>
          <w:p w14:paraId="15E03232" w14:textId="77777777" w:rsidR="002C0FD9" w:rsidRPr="00CA25CF" w:rsidRDefault="002C0FD9" w:rsidP="00CA25CF">
            <w:pPr>
              <w:rPr>
                <w:rFonts w:cs="Arial"/>
                <w:color w:val="FF0000"/>
                <w:sz w:val="21"/>
                <w:szCs w:val="21"/>
              </w:rPr>
            </w:pPr>
          </w:p>
        </w:tc>
        <w:tc>
          <w:tcPr>
            <w:tcW w:w="217" w:type="dxa"/>
          </w:tcPr>
          <w:p w14:paraId="54F25977" w14:textId="77777777" w:rsidR="002C0FD9" w:rsidRPr="00CA25CF" w:rsidRDefault="002C0FD9" w:rsidP="00CA25CF">
            <w:pPr>
              <w:rPr>
                <w:rFonts w:cs="Arial"/>
                <w:color w:val="FF0000"/>
                <w:sz w:val="21"/>
                <w:szCs w:val="21"/>
              </w:rPr>
            </w:pPr>
          </w:p>
        </w:tc>
        <w:tc>
          <w:tcPr>
            <w:tcW w:w="217" w:type="dxa"/>
          </w:tcPr>
          <w:p w14:paraId="15FBBFD4" w14:textId="77777777" w:rsidR="002C0FD9" w:rsidRPr="00CA25CF" w:rsidRDefault="002C0FD9" w:rsidP="00CA25CF">
            <w:pPr>
              <w:rPr>
                <w:rFonts w:cs="Arial"/>
                <w:color w:val="FF0000"/>
                <w:sz w:val="21"/>
                <w:szCs w:val="21"/>
              </w:rPr>
            </w:pPr>
          </w:p>
        </w:tc>
        <w:tc>
          <w:tcPr>
            <w:tcW w:w="217" w:type="dxa"/>
          </w:tcPr>
          <w:p w14:paraId="75FADC8A" w14:textId="77777777" w:rsidR="002C0FD9" w:rsidRPr="00CA25CF" w:rsidRDefault="002C0FD9" w:rsidP="00CA25CF">
            <w:pPr>
              <w:rPr>
                <w:rFonts w:cs="Arial"/>
                <w:color w:val="FF0000"/>
                <w:sz w:val="21"/>
                <w:szCs w:val="21"/>
              </w:rPr>
            </w:pPr>
          </w:p>
        </w:tc>
        <w:tc>
          <w:tcPr>
            <w:tcW w:w="217" w:type="dxa"/>
          </w:tcPr>
          <w:p w14:paraId="33EB80A3" w14:textId="77777777" w:rsidR="002C0FD9" w:rsidRPr="00CA25CF" w:rsidRDefault="002C0FD9" w:rsidP="00CA25CF">
            <w:pPr>
              <w:rPr>
                <w:rFonts w:cs="Arial"/>
                <w:color w:val="FF0000"/>
                <w:sz w:val="21"/>
                <w:szCs w:val="21"/>
              </w:rPr>
            </w:pPr>
          </w:p>
        </w:tc>
        <w:tc>
          <w:tcPr>
            <w:tcW w:w="217" w:type="dxa"/>
          </w:tcPr>
          <w:p w14:paraId="6CB2B345" w14:textId="77777777" w:rsidR="002C0FD9" w:rsidRPr="00CA25CF" w:rsidRDefault="002C0FD9" w:rsidP="00CA25CF">
            <w:pPr>
              <w:rPr>
                <w:rFonts w:cs="Arial"/>
                <w:color w:val="FF0000"/>
                <w:sz w:val="21"/>
                <w:szCs w:val="21"/>
              </w:rPr>
            </w:pPr>
          </w:p>
        </w:tc>
        <w:tc>
          <w:tcPr>
            <w:tcW w:w="217" w:type="dxa"/>
          </w:tcPr>
          <w:p w14:paraId="1E9457E7" w14:textId="77777777" w:rsidR="002C0FD9" w:rsidRPr="00CA25CF" w:rsidRDefault="002C0FD9" w:rsidP="00CA25CF">
            <w:pPr>
              <w:rPr>
                <w:rFonts w:cs="Arial"/>
                <w:color w:val="FF0000"/>
                <w:sz w:val="21"/>
                <w:szCs w:val="21"/>
              </w:rPr>
            </w:pPr>
          </w:p>
        </w:tc>
        <w:tc>
          <w:tcPr>
            <w:tcW w:w="217" w:type="dxa"/>
          </w:tcPr>
          <w:p w14:paraId="3BFCF9BB" w14:textId="77777777" w:rsidR="002C0FD9" w:rsidRPr="00CA25CF" w:rsidRDefault="002C0FD9" w:rsidP="00CA25CF">
            <w:pPr>
              <w:rPr>
                <w:rFonts w:cs="Arial"/>
                <w:color w:val="FF0000"/>
                <w:sz w:val="21"/>
                <w:szCs w:val="21"/>
              </w:rPr>
            </w:pPr>
          </w:p>
        </w:tc>
        <w:tc>
          <w:tcPr>
            <w:tcW w:w="217" w:type="dxa"/>
          </w:tcPr>
          <w:p w14:paraId="73055957" w14:textId="77777777" w:rsidR="002C0FD9" w:rsidRPr="00CA25CF" w:rsidRDefault="002C0FD9" w:rsidP="00CA25CF">
            <w:pPr>
              <w:rPr>
                <w:rFonts w:cs="Arial"/>
                <w:color w:val="FF0000"/>
                <w:sz w:val="21"/>
                <w:szCs w:val="21"/>
              </w:rPr>
            </w:pPr>
          </w:p>
        </w:tc>
        <w:tc>
          <w:tcPr>
            <w:tcW w:w="217" w:type="dxa"/>
          </w:tcPr>
          <w:p w14:paraId="2F4159B7" w14:textId="77777777" w:rsidR="002C0FD9" w:rsidRPr="00CA25CF" w:rsidRDefault="002C0FD9" w:rsidP="00CA25CF">
            <w:pPr>
              <w:rPr>
                <w:rFonts w:cs="Arial"/>
                <w:color w:val="FF0000"/>
                <w:sz w:val="21"/>
                <w:szCs w:val="21"/>
              </w:rPr>
            </w:pPr>
          </w:p>
        </w:tc>
        <w:tc>
          <w:tcPr>
            <w:tcW w:w="217" w:type="dxa"/>
          </w:tcPr>
          <w:p w14:paraId="791B85BD" w14:textId="77777777" w:rsidR="002C0FD9" w:rsidRPr="00CA25CF" w:rsidRDefault="002C0FD9" w:rsidP="00CA25CF">
            <w:pPr>
              <w:rPr>
                <w:rFonts w:cs="Arial"/>
                <w:color w:val="FF0000"/>
                <w:sz w:val="21"/>
                <w:szCs w:val="21"/>
              </w:rPr>
            </w:pPr>
          </w:p>
        </w:tc>
        <w:tc>
          <w:tcPr>
            <w:tcW w:w="217" w:type="dxa"/>
          </w:tcPr>
          <w:p w14:paraId="2FE68FB5" w14:textId="77777777" w:rsidR="002C0FD9" w:rsidRPr="00CA25CF" w:rsidRDefault="002C0FD9" w:rsidP="00CA25CF">
            <w:pPr>
              <w:rPr>
                <w:rFonts w:cs="Arial"/>
                <w:color w:val="FF0000"/>
                <w:sz w:val="21"/>
                <w:szCs w:val="21"/>
              </w:rPr>
            </w:pPr>
          </w:p>
        </w:tc>
        <w:tc>
          <w:tcPr>
            <w:tcW w:w="217" w:type="dxa"/>
          </w:tcPr>
          <w:p w14:paraId="3B23E9BF" w14:textId="77777777" w:rsidR="002C0FD9" w:rsidRPr="00CA25CF" w:rsidRDefault="002C0FD9" w:rsidP="00CA25CF">
            <w:pPr>
              <w:rPr>
                <w:rFonts w:cs="Arial"/>
                <w:color w:val="FF0000"/>
                <w:sz w:val="21"/>
                <w:szCs w:val="21"/>
              </w:rPr>
            </w:pPr>
          </w:p>
        </w:tc>
        <w:tc>
          <w:tcPr>
            <w:tcW w:w="217" w:type="dxa"/>
          </w:tcPr>
          <w:p w14:paraId="6BCB19CD" w14:textId="77777777" w:rsidR="002C0FD9" w:rsidRPr="00CA25CF" w:rsidRDefault="002C0FD9" w:rsidP="00CA25CF">
            <w:pPr>
              <w:rPr>
                <w:rFonts w:cs="Arial"/>
                <w:color w:val="FF0000"/>
                <w:sz w:val="21"/>
                <w:szCs w:val="21"/>
              </w:rPr>
            </w:pPr>
          </w:p>
        </w:tc>
        <w:tc>
          <w:tcPr>
            <w:tcW w:w="217" w:type="dxa"/>
          </w:tcPr>
          <w:p w14:paraId="69A9D05F" w14:textId="77777777" w:rsidR="002C0FD9" w:rsidRPr="00CA25CF" w:rsidRDefault="002C0FD9" w:rsidP="00CA25CF">
            <w:pPr>
              <w:rPr>
                <w:rFonts w:cs="Arial"/>
                <w:color w:val="FF0000"/>
                <w:sz w:val="21"/>
                <w:szCs w:val="21"/>
              </w:rPr>
            </w:pPr>
          </w:p>
        </w:tc>
        <w:tc>
          <w:tcPr>
            <w:tcW w:w="217" w:type="dxa"/>
          </w:tcPr>
          <w:p w14:paraId="32ABB2F1" w14:textId="77777777" w:rsidR="002C0FD9" w:rsidRPr="00CA25CF" w:rsidRDefault="002C0FD9" w:rsidP="00CA25CF">
            <w:pPr>
              <w:rPr>
                <w:rFonts w:cs="Arial"/>
                <w:color w:val="FF0000"/>
                <w:sz w:val="21"/>
                <w:szCs w:val="21"/>
              </w:rPr>
            </w:pPr>
          </w:p>
        </w:tc>
        <w:tc>
          <w:tcPr>
            <w:tcW w:w="217" w:type="dxa"/>
          </w:tcPr>
          <w:p w14:paraId="7FFC86A3" w14:textId="77777777" w:rsidR="002C0FD9" w:rsidRPr="00CA25CF" w:rsidRDefault="002C0FD9" w:rsidP="00CA25CF">
            <w:pPr>
              <w:rPr>
                <w:rFonts w:cs="Arial"/>
                <w:color w:val="FF0000"/>
                <w:sz w:val="21"/>
                <w:szCs w:val="21"/>
              </w:rPr>
            </w:pPr>
          </w:p>
        </w:tc>
        <w:tc>
          <w:tcPr>
            <w:tcW w:w="217" w:type="dxa"/>
          </w:tcPr>
          <w:p w14:paraId="15C6192C" w14:textId="77777777" w:rsidR="002C0FD9" w:rsidRPr="00CA25CF" w:rsidRDefault="002C0FD9" w:rsidP="00CA25CF">
            <w:pPr>
              <w:rPr>
                <w:rFonts w:cs="Arial"/>
                <w:color w:val="FF0000"/>
                <w:sz w:val="21"/>
                <w:szCs w:val="21"/>
              </w:rPr>
            </w:pPr>
          </w:p>
        </w:tc>
        <w:tc>
          <w:tcPr>
            <w:tcW w:w="217" w:type="dxa"/>
          </w:tcPr>
          <w:p w14:paraId="6BC06D7F" w14:textId="77777777" w:rsidR="002C0FD9" w:rsidRPr="00CA25CF" w:rsidRDefault="002C0FD9" w:rsidP="00CA25CF">
            <w:pPr>
              <w:rPr>
                <w:rFonts w:cs="Arial"/>
                <w:color w:val="FF0000"/>
                <w:sz w:val="21"/>
                <w:szCs w:val="21"/>
              </w:rPr>
            </w:pPr>
          </w:p>
        </w:tc>
        <w:tc>
          <w:tcPr>
            <w:tcW w:w="217" w:type="dxa"/>
          </w:tcPr>
          <w:p w14:paraId="50358A09" w14:textId="77777777" w:rsidR="002C0FD9" w:rsidRPr="00CA25CF" w:rsidRDefault="002C0FD9" w:rsidP="00CA25CF">
            <w:pPr>
              <w:rPr>
                <w:rFonts w:cs="Arial"/>
                <w:color w:val="FF0000"/>
                <w:sz w:val="21"/>
                <w:szCs w:val="21"/>
              </w:rPr>
            </w:pPr>
          </w:p>
        </w:tc>
        <w:tc>
          <w:tcPr>
            <w:tcW w:w="217" w:type="dxa"/>
          </w:tcPr>
          <w:p w14:paraId="30FD6080" w14:textId="77777777" w:rsidR="002C0FD9" w:rsidRPr="00CA25CF" w:rsidRDefault="002C0FD9" w:rsidP="00CA25CF">
            <w:pPr>
              <w:rPr>
                <w:rFonts w:cs="Arial"/>
                <w:color w:val="FF0000"/>
                <w:sz w:val="21"/>
                <w:szCs w:val="21"/>
              </w:rPr>
            </w:pPr>
          </w:p>
        </w:tc>
        <w:tc>
          <w:tcPr>
            <w:tcW w:w="217" w:type="dxa"/>
          </w:tcPr>
          <w:p w14:paraId="036BD131" w14:textId="77777777" w:rsidR="002C0FD9" w:rsidRPr="00CA25CF" w:rsidRDefault="002C0FD9" w:rsidP="00CA25CF">
            <w:pPr>
              <w:rPr>
                <w:rFonts w:cs="Arial"/>
                <w:color w:val="FF0000"/>
                <w:sz w:val="21"/>
                <w:szCs w:val="21"/>
              </w:rPr>
            </w:pPr>
          </w:p>
        </w:tc>
        <w:tc>
          <w:tcPr>
            <w:tcW w:w="217" w:type="dxa"/>
          </w:tcPr>
          <w:p w14:paraId="5A44EB3D" w14:textId="77777777" w:rsidR="002C0FD9" w:rsidRPr="00CA25CF" w:rsidRDefault="002C0FD9" w:rsidP="00CA25CF">
            <w:pPr>
              <w:rPr>
                <w:rFonts w:cs="Arial"/>
                <w:color w:val="FF0000"/>
                <w:sz w:val="21"/>
                <w:szCs w:val="21"/>
              </w:rPr>
            </w:pPr>
          </w:p>
        </w:tc>
      </w:tr>
      <w:tr w:rsidR="002C0FD9" w:rsidRPr="00A16219" w14:paraId="442D73E2" w14:textId="342409B5" w:rsidTr="002C0FD9">
        <w:trPr>
          <w:trHeight w:val="635"/>
        </w:trPr>
        <w:tc>
          <w:tcPr>
            <w:tcW w:w="515" w:type="dxa"/>
          </w:tcPr>
          <w:p w14:paraId="0B2895D0" w14:textId="77777777" w:rsidR="002C0FD9" w:rsidRPr="00CA25CF" w:rsidRDefault="002C0FD9" w:rsidP="00CA25CF">
            <w:pPr>
              <w:rPr>
                <w:rFonts w:cs="Arial"/>
                <w:color w:val="FF0000"/>
                <w:sz w:val="21"/>
                <w:szCs w:val="21"/>
              </w:rPr>
            </w:pPr>
          </w:p>
        </w:tc>
        <w:tc>
          <w:tcPr>
            <w:tcW w:w="217" w:type="dxa"/>
          </w:tcPr>
          <w:p w14:paraId="11B2A728" w14:textId="77777777" w:rsidR="002C0FD9" w:rsidRPr="00CA25CF" w:rsidRDefault="002C0FD9" w:rsidP="00CA25CF">
            <w:pPr>
              <w:rPr>
                <w:rFonts w:cs="Arial"/>
                <w:color w:val="FF0000"/>
                <w:sz w:val="21"/>
                <w:szCs w:val="21"/>
              </w:rPr>
            </w:pPr>
          </w:p>
        </w:tc>
        <w:tc>
          <w:tcPr>
            <w:tcW w:w="217" w:type="dxa"/>
          </w:tcPr>
          <w:p w14:paraId="2F080FED" w14:textId="3ABA21E2" w:rsidR="002C0FD9" w:rsidRPr="00CA25CF" w:rsidRDefault="002C0FD9" w:rsidP="00CA25CF">
            <w:pPr>
              <w:rPr>
                <w:rFonts w:cs="Arial"/>
                <w:color w:val="FF0000"/>
                <w:sz w:val="21"/>
                <w:szCs w:val="21"/>
              </w:rPr>
            </w:pPr>
          </w:p>
        </w:tc>
        <w:tc>
          <w:tcPr>
            <w:tcW w:w="217" w:type="dxa"/>
          </w:tcPr>
          <w:p w14:paraId="6357B5E3" w14:textId="77777777" w:rsidR="002C0FD9" w:rsidRPr="00CA25CF" w:rsidRDefault="002C0FD9" w:rsidP="00CA25CF">
            <w:pPr>
              <w:rPr>
                <w:rFonts w:cs="Arial"/>
                <w:color w:val="FF0000"/>
                <w:sz w:val="21"/>
                <w:szCs w:val="21"/>
              </w:rPr>
            </w:pPr>
          </w:p>
        </w:tc>
        <w:tc>
          <w:tcPr>
            <w:tcW w:w="217" w:type="dxa"/>
          </w:tcPr>
          <w:p w14:paraId="36E9A78C" w14:textId="77777777" w:rsidR="002C0FD9" w:rsidRPr="00CA25CF" w:rsidRDefault="002C0FD9" w:rsidP="00CA25CF">
            <w:pPr>
              <w:rPr>
                <w:rFonts w:cs="Arial"/>
                <w:color w:val="FF0000"/>
                <w:sz w:val="21"/>
                <w:szCs w:val="21"/>
              </w:rPr>
            </w:pPr>
          </w:p>
        </w:tc>
        <w:tc>
          <w:tcPr>
            <w:tcW w:w="217" w:type="dxa"/>
          </w:tcPr>
          <w:p w14:paraId="3CCD76C8" w14:textId="77777777" w:rsidR="002C0FD9" w:rsidRPr="00CA25CF" w:rsidRDefault="002C0FD9" w:rsidP="00CA25CF">
            <w:pPr>
              <w:rPr>
                <w:rFonts w:cs="Arial"/>
                <w:color w:val="FF0000"/>
                <w:sz w:val="21"/>
                <w:szCs w:val="21"/>
              </w:rPr>
            </w:pPr>
          </w:p>
        </w:tc>
        <w:tc>
          <w:tcPr>
            <w:tcW w:w="217" w:type="dxa"/>
          </w:tcPr>
          <w:p w14:paraId="3152B717" w14:textId="77777777" w:rsidR="002C0FD9" w:rsidRPr="00CA25CF" w:rsidRDefault="002C0FD9" w:rsidP="00CA25CF">
            <w:pPr>
              <w:rPr>
                <w:rFonts w:cs="Arial"/>
                <w:color w:val="FF0000"/>
                <w:sz w:val="21"/>
                <w:szCs w:val="21"/>
              </w:rPr>
            </w:pPr>
          </w:p>
        </w:tc>
        <w:tc>
          <w:tcPr>
            <w:tcW w:w="217" w:type="dxa"/>
          </w:tcPr>
          <w:p w14:paraId="4D46BE6D" w14:textId="77777777" w:rsidR="002C0FD9" w:rsidRPr="00CA25CF" w:rsidRDefault="002C0FD9" w:rsidP="00CA25CF">
            <w:pPr>
              <w:rPr>
                <w:rFonts w:cs="Arial"/>
                <w:color w:val="FF0000"/>
                <w:sz w:val="21"/>
                <w:szCs w:val="21"/>
              </w:rPr>
            </w:pPr>
          </w:p>
        </w:tc>
        <w:tc>
          <w:tcPr>
            <w:tcW w:w="217" w:type="dxa"/>
          </w:tcPr>
          <w:p w14:paraId="2E0449F8" w14:textId="77777777" w:rsidR="002C0FD9" w:rsidRPr="00CA25CF" w:rsidRDefault="002C0FD9" w:rsidP="00CA25CF">
            <w:pPr>
              <w:rPr>
                <w:rFonts w:cs="Arial"/>
                <w:color w:val="FF0000"/>
                <w:sz w:val="21"/>
                <w:szCs w:val="21"/>
              </w:rPr>
            </w:pPr>
          </w:p>
        </w:tc>
        <w:tc>
          <w:tcPr>
            <w:tcW w:w="217" w:type="dxa"/>
          </w:tcPr>
          <w:p w14:paraId="759677EC" w14:textId="77777777" w:rsidR="002C0FD9" w:rsidRPr="00CA25CF" w:rsidRDefault="002C0FD9" w:rsidP="00CA25CF">
            <w:pPr>
              <w:rPr>
                <w:rFonts w:cs="Arial"/>
                <w:color w:val="FF0000"/>
                <w:sz w:val="21"/>
                <w:szCs w:val="21"/>
              </w:rPr>
            </w:pPr>
          </w:p>
        </w:tc>
        <w:tc>
          <w:tcPr>
            <w:tcW w:w="217" w:type="dxa"/>
          </w:tcPr>
          <w:p w14:paraId="288387DB" w14:textId="77777777" w:rsidR="002C0FD9" w:rsidRPr="00CA25CF" w:rsidRDefault="002C0FD9" w:rsidP="00CA25CF">
            <w:pPr>
              <w:rPr>
                <w:rFonts w:cs="Arial"/>
                <w:color w:val="FF0000"/>
                <w:sz w:val="21"/>
                <w:szCs w:val="21"/>
              </w:rPr>
            </w:pPr>
          </w:p>
        </w:tc>
        <w:tc>
          <w:tcPr>
            <w:tcW w:w="217" w:type="dxa"/>
          </w:tcPr>
          <w:p w14:paraId="58FF9E6B" w14:textId="77777777" w:rsidR="002C0FD9" w:rsidRPr="00CA25CF" w:rsidRDefault="002C0FD9" w:rsidP="00CA25CF">
            <w:pPr>
              <w:rPr>
                <w:rFonts w:cs="Arial"/>
                <w:color w:val="FF0000"/>
                <w:sz w:val="21"/>
                <w:szCs w:val="21"/>
              </w:rPr>
            </w:pPr>
          </w:p>
        </w:tc>
        <w:tc>
          <w:tcPr>
            <w:tcW w:w="217" w:type="dxa"/>
          </w:tcPr>
          <w:p w14:paraId="616D621C" w14:textId="77777777" w:rsidR="002C0FD9" w:rsidRPr="00CA25CF" w:rsidRDefault="002C0FD9" w:rsidP="00CA25CF">
            <w:pPr>
              <w:rPr>
                <w:rFonts w:cs="Arial"/>
                <w:color w:val="FF0000"/>
                <w:sz w:val="21"/>
                <w:szCs w:val="21"/>
              </w:rPr>
            </w:pPr>
          </w:p>
        </w:tc>
        <w:tc>
          <w:tcPr>
            <w:tcW w:w="217" w:type="dxa"/>
          </w:tcPr>
          <w:p w14:paraId="3C59B3F3" w14:textId="77777777" w:rsidR="002C0FD9" w:rsidRPr="00CA25CF" w:rsidRDefault="002C0FD9" w:rsidP="00CA25CF">
            <w:pPr>
              <w:rPr>
                <w:rFonts w:cs="Arial"/>
                <w:color w:val="FF0000"/>
                <w:sz w:val="21"/>
                <w:szCs w:val="21"/>
              </w:rPr>
            </w:pPr>
          </w:p>
        </w:tc>
        <w:tc>
          <w:tcPr>
            <w:tcW w:w="217" w:type="dxa"/>
          </w:tcPr>
          <w:p w14:paraId="58593AB5" w14:textId="77777777" w:rsidR="002C0FD9" w:rsidRPr="00CA25CF" w:rsidRDefault="002C0FD9" w:rsidP="00CA25CF">
            <w:pPr>
              <w:rPr>
                <w:rFonts w:cs="Arial"/>
                <w:color w:val="FF0000"/>
                <w:sz w:val="21"/>
                <w:szCs w:val="21"/>
              </w:rPr>
            </w:pPr>
          </w:p>
        </w:tc>
        <w:tc>
          <w:tcPr>
            <w:tcW w:w="217" w:type="dxa"/>
          </w:tcPr>
          <w:p w14:paraId="722E0BE4" w14:textId="77777777" w:rsidR="002C0FD9" w:rsidRPr="00CA25CF" w:rsidRDefault="002C0FD9" w:rsidP="00CA25CF">
            <w:pPr>
              <w:rPr>
                <w:rFonts w:cs="Arial"/>
                <w:color w:val="FF0000"/>
                <w:sz w:val="21"/>
                <w:szCs w:val="21"/>
              </w:rPr>
            </w:pPr>
          </w:p>
        </w:tc>
        <w:tc>
          <w:tcPr>
            <w:tcW w:w="217" w:type="dxa"/>
          </w:tcPr>
          <w:p w14:paraId="6B8B175F" w14:textId="77777777" w:rsidR="002C0FD9" w:rsidRPr="00CA25CF" w:rsidRDefault="002C0FD9" w:rsidP="00CA25CF">
            <w:pPr>
              <w:rPr>
                <w:rFonts w:cs="Arial"/>
                <w:color w:val="FF0000"/>
                <w:sz w:val="21"/>
                <w:szCs w:val="21"/>
              </w:rPr>
            </w:pPr>
          </w:p>
        </w:tc>
        <w:tc>
          <w:tcPr>
            <w:tcW w:w="217" w:type="dxa"/>
          </w:tcPr>
          <w:p w14:paraId="520C86C8" w14:textId="77777777" w:rsidR="002C0FD9" w:rsidRPr="00CA25CF" w:rsidRDefault="002C0FD9" w:rsidP="00CA25CF">
            <w:pPr>
              <w:rPr>
                <w:rFonts w:cs="Arial"/>
                <w:color w:val="FF0000"/>
                <w:sz w:val="21"/>
                <w:szCs w:val="21"/>
              </w:rPr>
            </w:pPr>
          </w:p>
        </w:tc>
        <w:tc>
          <w:tcPr>
            <w:tcW w:w="217" w:type="dxa"/>
          </w:tcPr>
          <w:p w14:paraId="459B7674" w14:textId="77777777" w:rsidR="002C0FD9" w:rsidRPr="00CA25CF" w:rsidRDefault="002C0FD9" w:rsidP="00CA25CF">
            <w:pPr>
              <w:rPr>
                <w:rFonts w:cs="Arial"/>
                <w:color w:val="FF0000"/>
                <w:sz w:val="21"/>
                <w:szCs w:val="21"/>
              </w:rPr>
            </w:pPr>
          </w:p>
        </w:tc>
        <w:tc>
          <w:tcPr>
            <w:tcW w:w="217" w:type="dxa"/>
          </w:tcPr>
          <w:p w14:paraId="781C2B23" w14:textId="77777777" w:rsidR="002C0FD9" w:rsidRPr="00CA25CF" w:rsidRDefault="002C0FD9" w:rsidP="00CA25CF">
            <w:pPr>
              <w:rPr>
                <w:rFonts w:cs="Arial"/>
                <w:color w:val="FF0000"/>
                <w:sz w:val="21"/>
                <w:szCs w:val="21"/>
              </w:rPr>
            </w:pPr>
          </w:p>
        </w:tc>
        <w:tc>
          <w:tcPr>
            <w:tcW w:w="217" w:type="dxa"/>
          </w:tcPr>
          <w:p w14:paraId="6BAFC63D" w14:textId="77777777" w:rsidR="002C0FD9" w:rsidRPr="00CA25CF" w:rsidRDefault="002C0FD9" w:rsidP="00CA25CF">
            <w:pPr>
              <w:rPr>
                <w:rFonts w:cs="Arial"/>
                <w:color w:val="FF0000"/>
                <w:sz w:val="21"/>
                <w:szCs w:val="21"/>
              </w:rPr>
            </w:pPr>
          </w:p>
        </w:tc>
        <w:tc>
          <w:tcPr>
            <w:tcW w:w="217" w:type="dxa"/>
          </w:tcPr>
          <w:p w14:paraId="5154FAFC" w14:textId="77777777" w:rsidR="002C0FD9" w:rsidRPr="00CA25CF" w:rsidRDefault="002C0FD9" w:rsidP="00CA25CF">
            <w:pPr>
              <w:rPr>
                <w:rFonts w:cs="Arial"/>
                <w:color w:val="FF0000"/>
                <w:sz w:val="21"/>
                <w:szCs w:val="21"/>
              </w:rPr>
            </w:pPr>
          </w:p>
        </w:tc>
        <w:tc>
          <w:tcPr>
            <w:tcW w:w="217" w:type="dxa"/>
          </w:tcPr>
          <w:p w14:paraId="65952F75" w14:textId="77777777" w:rsidR="002C0FD9" w:rsidRPr="00CA25CF" w:rsidRDefault="002C0FD9" w:rsidP="00CA25CF">
            <w:pPr>
              <w:rPr>
                <w:rFonts w:cs="Arial"/>
                <w:color w:val="FF0000"/>
                <w:sz w:val="21"/>
                <w:szCs w:val="21"/>
              </w:rPr>
            </w:pPr>
          </w:p>
        </w:tc>
        <w:tc>
          <w:tcPr>
            <w:tcW w:w="217" w:type="dxa"/>
          </w:tcPr>
          <w:p w14:paraId="274A7904" w14:textId="77777777" w:rsidR="002C0FD9" w:rsidRPr="00CA25CF" w:rsidRDefault="002C0FD9" w:rsidP="00CA25CF">
            <w:pPr>
              <w:rPr>
                <w:rFonts w:cs="Arial"/>
                <w:color w:val="FF0000"/>
                <w:sz w:val="21"/>
                <w:szCs w:val="21"/>
              </w:rPr>
            </w:pPr>
          </w:p>
        </w:tc>
        <w:tc>
          <w:tcPr>
            <w:tcW w:w="217" w:type="dxa"/>
          </w:tcPr>
          <w:p w14:paraId="6F115C4D" w14:textId="77777777" w:rsidR="002C0FD9" w:rsidRPr="00CA25CF" w:rsidRDefault="002C0FD9" w:rsidP="00CA25CF">
            <w:pPr>
              <w:rPr>
                <w:rFonts w:cs="Arial"/>
                <w:color w:val="FF0000"/>
                <w:sz w:val="21"/>
                <w:szCs w:val="21"/>
              </w:rPr>
            </w:pPr>
          </w:p>
        </w:tc>
        <w:tc>
          <w:tcPr>
            <w:tcW w:w="217" w:type="dxa"/>
          </w:tcPr>
          <w:p w14:paraId="080EEB9D" w14:textId="77777777" w:rsidR="002C0FD9" w:rsidRPr="00CA25CF" w:rsidRDefault="002C0FD9" w:rsidP="00CA25CF">
            <w:pPr>
              <w:rPr>
                <w:rFonts w:cs="Arial"/>
                <w:color w:val="FF0000"/>
                <w:sz w:val="21"/>
                <w:szCs w:val="21"/>
              </w:rPr>
            </w:pPr>
          </w:p>
        </w:tc>
        <w:tc>
          <w:tcPr>
            <w:tcW w:w="217" w:type="dxa"/>
          </w:tcPr>
          <w:p w14:paraId="3F71A041" w14:textId="77777777" w:rsidR="002C0FD9" w:rsidRPr="00CA25CF" w:rsidRDefault="002C0FD9" w:rsidP="00CA25CF">
            <w:pPr>
              <w:rPr>
                <w:rFonts w:cs="Arial"/>
                <w:color w:val="FF0000"/>
                <w:sz w:val="21"/>
                <w:szCs w:val="21"/>
              </w:rPr>
            </w:pPr>
          </w:p>
        </w:tc>
        <w:tc>
          <w:tcPr>
            <w:tcW w:w="217" w:type="dxa"/>
          </w:tcPr>
          <w:p w14:paraId="051DBCA0" w14:textId="77777777" w:rsidR="002C0FD9" w:rsidRPr="00CA25CF" w:rsidRDefault="002C0FD9" w:rsidP="00CA25CF">
            <w:pPr>
              <w:rPr>
                <w:rFonts w:cs="Arial"/>
                <w:color w:val="FF0000"/>
                <w:sz w:val="21"/>
                <w:szCs w:val="21"/>
              </w:rPr>
            </w:pPr>
          </w:p>
        </w:tc>
        <w:tc>
          <w:tcPr>
            <w:tcW w:w="217" w:type="dxa"/>
          </w:tcPr>
          <w:p w14:paraId="60DA05E3" w14:textId="77777777" w:rsidR="002C0FD9" w:rsidRPr="00CA25CF" w:rsidRDefault="002C0FD9" w:rsidP="00CA25CF">
            <w:pPr>
              <w:rPr>
                <w:rFonts w:cs="Arial"/>
                <w:color w:val="FF0000"/>
                <w:sz w:val="21"/>
                <w:szCs w:val="21"/>
              </w:rPr>
            </w:pPr>
          </w:p>
        </w:tc>
        <w:tc>
          <w:tcPr>
            <w:tcW w:w="217" w:type="dxa"/>
          </w:tcPr>
          <w:p w14:paraId="2720C569" w14:textId="77777777" w:rsidR="002C0FD9" w:rsidRPr="00CA25CF" w:rsidRDefault="002C0FD9" w:rsidP="00CA25CF">
            <w:pPr>
              <w:rPr>
                <w:rFonts w:cs="Arial"/>
                <w:color w:val="FF0000"/>
                <w:sz w:val="21"/>
                <w:szCs w:val="21"/>
              </w:rPr>
            </w:pPr>
          </w:p>
        </w:tc>
        <w:tc>
          <w:tcPr>
            <w:tcW w:w="217" w:type="dxa"/>
          </w:tcPr>
          <w:p w14:paraId="2F420EDC" w14:textId="77777777" w:rsidR="002C0FD9" w:rsidRPr="00CA25CF" w:rsidRDefault="002C0FD9" w:rsidP="00CA25CF">
            <w:pPr>
              <w:rPr>
                <w:rFonts w:cs="Arial"/>
                <w:color w:val="FF0000"/>
                <w:sz w:val="21"/>
                <w:szCs w:val="21"/>
              </w:rPr>
            </w:pPr>
          </w:p>
        </w:tc>
        <w:tc>
          <w:tcPr>
            <w:tcW w:w="217" w:type="dxa"/>
          </w:tcPr>
          <w:p w14:paraId="1440CCDD" w14:textId="77777777" w:rsidR="002C0FD9" w:rsidRPr="00CA25CF" w:rsidRDefault="002C0FD9" w:rsidP="00CA25CF">
            <w:pPr>
              <w:rPr>
                <w:rFonts w:cs="Arial"/>
                <w:color w:val="FF0000"/>
                <w:sz w:val="21"/>
                <w:szCs w:val="21"/>
              </w:rPr>
            </w:pPr>
          </w:p>
        </w:tc>
        <w:tc>
          <w:tcPr>
            <w:tcW w:w="217" w:type="dxa"/>
          </w:tcPr>
          <w:p w14:paraId="150003F1" w14:textId="77777777" w:rsidR="002C0FD9" w:rsidRPr="00CA25CF" w:rsidRDefault="002C0FD9" w:rsidP="00CA25CF">
            <w:pPr>
              <w:rPr>
                <w:rFonts w:cs="Arial"/>
                <w:color w:val="FF0000"/>
                <w:sz w:val="21"/>
                <w:szCs w:val="21"/>
              </w:rPr>
            </w:pPr>
          </w:p>
        </w:tc>
        <w:tc>
          <w:tcPr>
            <w:tcW w:w="217" w:type="dxa"/>
          </w:tcPr>
          <w:p w14:paraId="3CA3FD3B" w14:textId="77777777" w:rsidR="002C0FD9" w:rsidRPr="00CA25CF" w:rsidRDefault="002C0FD9" w:rsidP="00CA25CF">
            <w:pPr>
              <w:rPr>
                <w:rFonts w:cs="Arial"/>
                <w:color w:val="FF0000"/>
                <w:sz w:val="21"/>
                <w:szCs w:val="21"/>
              </w:rPr>
            </w:pPr>
          </w:p>
        </w:tc>
        <w:tc>
          <w:tcPr>
            <w:tcW w:w="217" w:type="dxa"/>
          </w:tcPr>
          <w:p w14:paraId="7A36A19D" w14:textId="77777777" w:rsidR="002C0FD9" w:rsidRPr="00CA25CF" w:rsidRDefault="002C0FD9" w:rsidP="00CA25CF">
            <w:pPr>
              <w:rPr>
                <w:rFonts w:cs="Arial"/>
                <w:color w:val="FF0000"/>
                <w:sz w:val="21"/>
                <w:szCs w:val="21"/>
              </w:rPr>
            </w:pPr>
          </w:p>
        </w:tc>
        <w:tc>
          <w:tcPr>
            <w:tcW w:w="217" w:type="dxa"/>
          </w:tcPr>
          <w:p w14:paraId="1CE2F46E" w14:textId="77777777" w:rsidR="002C0FD9" w:rsidRPr="00CA25CF" w:rsidRDefault="002C0FD9" w:rsidP="00CA25CF">
            <w:pPr>
              <w:rPr>
                <w:rFonts w:cs="Arial"/>
                <w:color w:val="FF0000"/>
                <w:sz w:val="21"/>
                <w:szCs w:val="21"/>
              </w:rPr>
            </w:pPr>
          </w:p>
        </w:tc>
        <w:tc>
          <w:tcPr>
            <w:tcW w:w="217" w:type="dxa"/>
          </w:tcPr>
          <w:p w14:paraId="49C7E51F" w14:textId="77777777" w:rsidR="002C0FD9" w:rsidRPr="00CA25CF" w:rsidRDefault="002C0FD9" w:rsidP="00CA25CF">
            <w:pPr>
              <w:rPr>
                <w:rFonts w:cs="Arial"/>
                <w:color w:val="FF0000"/>
                <w:sz w:val="21"/>
                <w:szCs w:val="21"/>
              </w:rPr>
            </w:pPr>
          </w:p>
        </w:tc>
        <w:tc>
          <w:tcPr>
            <w:tcW w:w="217" w:type="dxa"/>
          </w:tcPr>
          <w:p w14:paraId="14ADA2D7" w14:textId="77777777" w:rsidR="002C0FD9" w:rsidRPr="00CA25CF" w:rsidRDefault="002C0FD9" w:rsidP="00CA25CF">
            <w:pPr>
              <w:rPr>
                <w:rFonts w:cs="Arial"/>
                <w:color w:val="FF0000"/>
                <w:sz w:val="21"/>
                <w:szCs w:val="21"/>
              </w:rPr>
            </w:pPr>
          </w:p>
        </w:tc>
        <w:tc>
          <w:tcPr>
            <w:tcW w:w="217" w:type="dxa"/>
          </w:tcPr>
          <w:p w14:paraId="644CDE02" w14:textId="77777777" w:rsidR="002C0FD9" w:rsidRPr="00CA25CF" w:rsidRDefault="002C0FD9" w:rsidP="00CA25CF">
            <w:pPr>
              <w:rPr>
                <w:rFonts w:cs="Arial"/>
                <w:color w:val="FF0000"/>
                <w:sz w:val="21"/>
                <w:szCs w:val="21"/>
              </w:rPr>
            </w:pPr>
          </w:p>
        </w:tc>
        <w:tc>
          <w:tcPr>
            <w:tcW w:w="217" w:type="dxa"/>
          </w:tcPr>
          <w:p w14:paraId="73EDCCA3" w14:textId="77777777" w:rsidR="002C0FD9" w:rsidRPr="00CA25CF" w:rsidRDefault="002C0FD9" w:rsidP="00CA25CF">
            <w:pPr>
              <w:rPr>
                <w:rFonts w:cs="Arial"/>
                <w:color w:val="FF0000"/>
                <w:sz w:val="21"/>
                <w:szCs w:val="21"/>
              </w:rPr>
            </w:pPr>
          </w:p>
        </w:tc>
        <w:tc>
          <w:tcPr>
            <w:tcW w:w="217" w:type="dxa"/>
          </w:tcPr>
          <w:p w14:paraId="04D08839" w14:textId="77777777" w:rsidR="002C0FD9" w:rsidRPr="00CA25CF" w:rsidRDefault="002C0FD9" w:rsidP="00CA25CF">
            <w:pPr>
              <w:rPr>
                <w:rFonts w:cs="Arial"/>
                <w:color w:val="FF0000"/>
                <w:sz w:val="21"/>
                <w:szCs w:val="21"/>
              </w:rPr>
            </w:pPr>
          </w:p>
        </w:tc>
        <w:tc>
          <w:tcPr>
            <w:tcW w:w="217" w:type="dxa"/>
          </w:tcPr>
          <w:p w14:paraId="4F06A1B0" w14:textId="77777777" w:rsidR="002C0FD9" w:rsidRPr="00CA25CF" w:rsidRDefault="002C0FD9" w:rsidP="00CA25CF">
            <w:pPr>
              <w:rPr>
                <w:rFonts w:cs="Arial"/>
                <w:color w:val="FF0000"/>
                <w:sz w:val="21"/>
                <w:szCs w:val="21"/>
              </w:rPr>
            </w:pPr>
          </w:p>
        </w:tc>
        <w:tc>
          <w:tcPr>
            <w:tcW w:w="217" w:type="dxa"/>
          </w:tcPr>
          <w:p w14:paraId="4C75B281" w14:textId="77777777" w:rsidR="002C0FD9" w:rsidRPr="00CA25CF" w:rsidRDefault="002C0FD9" w:rsidP="00CA25CF">
            <w:pPr>
              <w:rPr>
                <w:rFonts w:cs="Arial"/>
                <w:color w:val="FF0000"/>
                <w:sz w:val="21"/>
                <w:szCs w:val="21"/>
              </w:rPr>
            </w:pPr>
          </w:p>
        </w:tc>
      </w:tr>
      <w:tr w:rsidR="002C0FD9" w:rsidRPr="00A16219" w14:paraId="1E86FF13" w14:textId="094C69EF" w:rsidTr="002C0FD9">
        <w:trPr>
          <w:trHeight w:val="635"/>
        </w:trPr>
        <w:tc>
          <w:tcPr>
            <w:tcW w:w="515" w:type="dxa"/>
          </w:tcPr>
          <w:p w14:paraId="1EC372E1" w14:textId="77777777" w:rsidR="002C0FD9" w:rsidRPr="00CA25CF" w:rsidRDefault="002C0FD9" w:rsidP="00CA25CF">
            <w:pPr>
              <w:rPr>
                <w:rFonts w:cs="Arial"/>
                <w:color w:val="FF0000"/>
                <w:sz w:val="21"/>
                <w:szCs w:val="21"/>
              </w:rPr>
            </w:pPr>
          </w:p>
        </w:tc>
        <w:tc>
          <w:tcPr>
            <w:tcW w:w="217" w:type="dxa"/>
          </w:tcPr>
          <w:p w14:paraId="650C328E" w14:textId="77777777" w:rsidR="002C0FD9" w:rsidRPr="00CA25CF" w:rsidRDefault="002C0FD9" w:rsidP="00CA25CF">
            <w:pPr>
              <w:rPr>
                <w:rFonts w:cs="Arial"/>
                <w:color w:val="FF0000"/>
                <w:sz w:val="21"/>
                <w:szCs w:val="21"/>
              </w:rPr>
            </w:pPr>
          </w:p>
        </w:tc>
        <w:tc>
          <w:tcPr>
            <w:tcW w:w="217" w:type="dxa"/>
          </w:tcPr>
          <w:p w14:paraId="4B1AEA0B" w14:textId="5BD066FF" w:rsidR="002C0FD9" w:rsidRPr="00CA25CF" w:rsidRDefault="002C0FD9" w:rsidP="00CA25CF">
            <w:pPr>
              <w:rPr>
                <w:rFonts w:cs="Arial"/>
                <w:color w:val="FF0000"/>
                <w:sz w:val="21"/>
                <w:szCs w:val="21"/>
              </w:rPr>
            </w:pPr>
          </w:p>
        </w:tc>
        <w:tc>
          <w:tcPr>
            <w:tcW w:w="217" w:type="dxa"/>
          </w:tcPr>
          <w:p w14:paraId="62918CB3" w14:textId="77777777" w:rsidR="002C0FD9" w:rsidRPr="00CA25CF" w:rsidRDefault="002C0FD9" w:rsidP="00CA25CF">
            <w:pPr>
              <w:rPr>
                <w:rFonts w:cs="Arial"/>
                <w:color w:val="FF0000"/>
                <w:sz w:val="21"/>
                <w:szCs w:val="21"/>
              </w:rPr>
            </w:pPr>
          </w:p>
        </w:tc>
        <w:tc>
          <w:tcPr>
            <w:tcW w:w="217" w:type="dxa"/>
          </w:tcPr>
          <w:p w14:paraId="04CF8DAA" w14:textId="77777777" w:rsidR="002C0FD9" w:rsidRPr="00CA25CF" w:rsidRDefault="002C0FD9" w:rsidP="00CA25CF">
            <w:pPr>
              <w:rPr>
                <w:rFonts w:cs="Arial"/>
                <w:color w:val="FF0000"/>
                <w:sz w:val="21"/>
                <w:szCs w:val="21"/>
              </w:rPr>
            </w:pPr>
          </w:p>
        </w:tc>
        <w:tc>
          <w:tcPr>
            <w:tcW w:w="217" w:type="dxa"/>
          </w:tcPr>
          <w:p w14:paraId="297A760C" w14:textId="77777777" w:rsidR="002C0FD9" w:rsidRPr="00CA25CF" w:rsidRDefault="002C0FD9" w:rsidP="00CA25CF">
            <w:pPr>
              <w:rPr>
                <w:rFonts w:cs="Arial"/>
                <w:color w:val="FF0000"/>
                <w:sz w:val="21"/>
                <w:szCs w:val="21"/>
              </w:rPr>
            </w:pPr>
          </w:p>
        </w:tc>
        <w:tc>
          <w:tcPr>
            <w:tcW w:w="217" w:type="dxa"/>
          </w:tcPr>
          <w:p w14:paraId="5A0F622E" w14:textId="77777777" w:rsidR="002C0FD9" w:rsidRPr="00CA25CF" w:rsidRDefault="002C0FD9" w:rsidP="00CA25CF">
            <w:pPr>
              <w:rPr>
                <w:rFonts w:cs="Arial"/>
                <w:color w:val="FF0000"/>
                <w:sz w:val="21"/>
                <w:szCs w:val="21"/>
              </w:rPr>
            </w:pPr>
          </w:p>
        </w:tc>
        <w:tc>
          <w:tcPr>
            <w:tcW w:w="217" w:type="dxa"/>
          </w:tcPr>
          <w:p w14:paraId="1B3664EA" w14:textId="77777777" w:rsidR="002C0FD9" w:rsidRPr="00CA25CF" w:rsidRDefault="002C0FD9" w:rsidP="00CA25CF">
            <w:pPr>
              <w:rPr>
                <w:rFonts w:cs="Arial"/>
                <w:color w:val="FF0000"/>
                <w:sz w:val="21"/>
                <w:szCs w:val="21"/>
              </w:rPr>
            </w:pPr>
          </w:p>
        </w:tc>
        <w:tc>
          <w:tcPr>
            <w:tcW w:w="217" w:type="dxa"/>
          </w:tcPr>
          <w:p w14:paraId="10CA358F" w14:textId="77777777" w:rsidR="002C0FD9" w:rsidRPr="00CA25CF" w:rsidRDefault="002C0FD9" w:rsidP="00CA25CF">
            <w:pPr>
              <w:rPr>
                <w:rFonts w:cs="Arial"/>
                <w:color w:val="FF0000"/>
                <w:sz w:val="21"/>
                <w:szCs w:val="21"/>
              </w:rPr>
            </w:pPr>
          </w:p>
        </w:tc>
        <w:tc>
          <w:tcPr>
            <w:tcW w:w="217" w:type="dxa"/>
          </w:tcPr>
          <w:p w14:paraId="38756C8B" w14:textId="77777777" w:rsidR="002C0FD9" w:rsidRPr="00CA25CF" w:rsidRDefault="002C0FD9" w:rsidP="00CA25CF">
            <w:pPr>
              <w:rPr>
                <w:rFonts w:cs="Arial"/>
                <w:color w:val="FF0000"/>
                <w:sz w:val="21"/>
                <w:szCs w:val="21"/>
              </w:rPr>
            </w:pPr>
          </w:p>
        </w:tc>
        <w:tc>
          <w:tcPr>
            <w:tcW w:w="217" w:type="dxa"/>
          </w:tcPr>
          <w:p w14:paraId="0BD1CFD0" w14:textId="77777777" w:rsidR="002C0FD9" w:rsidRPr="00CA25CF" w:rsidRDefault="002C0FD9" w:rsidP="00CA25CF">
            <w:pPr>
              <w:rPr>
                <w:rFonts w:cs="Arial"/>
                <w:color w:val="FF0000"/>
                <w:sz w:val="21"/>
                <w:szCs w:val="21"/>
              </w:rPr>
            </w:pPr>
          </w:p>
        </w:tc>
        <w:tc>
          <w:tcPr>
            <w:tcW w:w="217" w:type="dxa"/>
          </w:tcPr>
          <w:p w14:paraId="0B1E24B3" w14:textId="77777777" w:rsidR="002C0FD9" w:rsidRPr="00CA25CF" w:rsidRDefault="002C0FD9" w:rsidP="00CA25CF">
            <w:pPr>
              <w:rPr>
                <w:rFonts w:cs="Arial"/>
                <w:color w:val="FF0000"/>
                <w:sz w:val="21"/>
                <w:szCs w:val="21"/>
              </w:rPr>
            </w:pPr>
          </w:p>
        </w:tc>
        <w:tc>
          <w:tcPr>
            <w:tcW w:w="217" w:type="dxa"/>
          </w:tcPr>
          <w:p w14:paraId="1E729B1B" w14:textId="77777777" w:rsidR="002C0FD9" w:rsidRPr="00CA25CF" w:rsidRDefault="002C0FD9" w:rsidP="00CA25CF">
            <w:pPr>
              <w:rPr>
                <w:rFonts w:cs="Arial"/>
                <w:color w:val="FF0000"/>
                <w:sz w:val="21"/>
                <w:szCs w:val="21"/>
              </w:rPr>
            </w:pPr>
          </w:p>
        </w:tc>
        <w:tc>
          <w:tcPr>
            <w:tcW w:w="217" w:type="dxa"/>
          </w:tcPr>
          <w:p w14:paraId="2DB51781" w14:textId="77777777" w:rsidR="002C0FD9" w:rsidRPr="00CA25CF" w:rsidRDefault="002C0FD9" w:rsidP="00CA25CF">
            <w:pPr>
              <w:rPr>
                <w:rFonts w:cs="Arial"/>
                <w:color w:val="FF0000"/>
                <w:sz w:val="21"/>
                <w:szCs w:val="21"/>
              </w:rPr>
            </w:pPr>
          </w:p>
        </w:tc>
        <w:tc>
          <w:tcPr>
            <w:tcW w:w="217" w:type="dxa"/>
          </w:tcPr>
          <w:p w14:paraId="17536849" w14:textId="77777777" w:rsidR="002C0FD9" w:rsidRPr="00CA25CF" w:rsidRDefault="002C0FD9" w:rsidP="00CA25CF">
            <w:pPr>
              <w:rPr>
                <w:rFonts w:cs="Arial"/>
                <w:color w:val="FF0000"/>
                <w:sz w:val="21"/>
                <w:szCs w:val="21"/>
              </w:rPr>
            </w:pPr>
          </w:p>
        </w:tc>
        <w:tc>
          <w:tcPr>
            <w:tcW w:w="217" w:type="dxa"/>
          </w:tcPr>
          <w:p w14:paraId="75D489BD" w14:textId="77777777" w:rsidR="002C0FD9" w:rsidRPr="00CA25CF" w:rsidRDefault="002C0FD9" w:rsidP="00CA25CF">
            <w:pPr>
              <w:rPr>
                <w:rFonts w:cs="Arial"/>
                <w:color w:val="FF0000"/>
                <w:sz w:val="21"/>
                <w:szCs w:val="21"/>
              </w:rPr>
            </w:pPr>
          </w:p>
        </w:tc>
        <w:tc>
          <w:tcPr>
            <w:tcW w:w="217" w:type="dxa"/>
          </w:tcPr>
          <w:p w14:paraId="75B513F7" w14:textId="77777777" w:rsidR="002C0FD9" w:rsidRPr="00CA25CF" w:rsidRDefault="002C0FD9" w:rsidP="00CA25CF">
            <w:pPr>
              <w:rPr>
                <w:rFonts w:cs="Arial"/>
                <w:color w:val="FF0000"/>
                <w:sz w:val="21"/>
                <w:szCs w:val="21"/>
              </w:rPr>
            </w:pPr>
          </w:p>
        </w:tc>
        <w:tc>
          <w:tcPr>
            <w:tcW w:w="217" w:type="dxa"/>
          </w:tcPr>
          <w:p w14:paraId="3ECBD1C2" w14:textId="77777777" w:rsidR="002C0FD9" w:rsidRPr="00CA25CF" w:rsidRDefault="002C0FD9" w:rsidP="00CA25CF">
            <w:pPr>
              <w:rPr>
                <w:rFonts w:cs="Arial"/>
                <w:color w:val="FF0000"/>
                <w:sz w:val="21"/>
                <w:szCs w:val="21"/>
              </w:rPr>
            </w:pPr>
          </w:p>
        </w:tc>
        <w:tc>
          <w:tcPr>
            <w:tcW w:w="217" w:type="dxa"/>
          </w:tcPr>
          <w:p w14:paraId="2C3AD007" w14:textId="77777777" w:rsidR="002C0FD9" w:rsidRPr="00CA25CF" w:rsidRDefault="002C0FD9" w:rsidP="00CA25CF">
            <w:pPr>
              <w:rPr>
                <w:rFonts w:cs="Arial"/>
                <w:color w:val="FF0000"/>
                <w:sz w:val="21"/>
                <w:szCs w:val="21"/>
              </w:rPr>
            </w:pPr>
          </w:p>
        </w:tc>
        <w:tc>
          <w:tcPr>
            <w:tcW w:w="217" w:type="dxa"/>
          </w:tcPr>
          <w:p w14:paraId="674B5A22" w14:textId="77777777" w:rsidR="002C0FD9" w:rsidRPr="00CA25CF" w:rsidRDefault="002C0FD9" w:rsidP="00CA25CF">
            <w:pPr>
              <w:rPr>
                <w:rFonts w:cs="Arial"/>
                <w:color w:val="FF0000"/>
                <w:sz w:val="21"/>
                <w:szCs w:val="21"/>
              </w:rPr>
            </w:pPr>
          </w:p>
        </w:tc>
        <w:tc>
          <w:tcPr>
            <w:tcW w:w="217" w:type="dxa"/>
          </w:tcPr>
          <w:p w14:paraId="50CDB007" w14:textId="77777777" w:rsidR="002C0FD9" w:rsidRPr="00CA25CF" w:rsidRDefault="002C0FD9" w:rsidP="00CA25CF">
            <w:pPr>
              <w:rPr>
                <w:rFonts w:cs="Arial"/>
                <w:color w:val="FF0000"/>
                <w:sz w:val="21"/>
                <w:szCs w:val="21"/>
              </w:rPr>
            </w:pPr>
          </w:p>
        </w:tc>
        <w:tc>
          <w:tcPr>
            <w:tcW w:w="217" w:type="dxa"/>
          </w:tcPr>
          <w:p w14:paraId="7DE6E909" w14:textId="77777777" w:rsidR="002C0FD9" w:rsidRPr="00CA25CF" w:rsidRDefault="002C0FD9" w:rsidP="00CA25CF">
            <w:pPr>
              <w:rPr>
                <w:rFonts w:cs="Arial"/>
                <w:color w:val="FF0000"/>
                <w:sz w:val="21"/>
                <w:szCs w:val="21"/>
              </w:rPr>
            </w:pPr>
          </w:p>
        </w:tc>
        <w:tc>
          <w:tcPr>
            <w:tcW w:w="217" w:type="dxa"/>
          </w:tcPr>
          <w:p w14:paraId="5388A434" w14:textId="77777777" w:rsidR="002C0FD9" w:rsidRPr="00CA25CF" w:rsidRDefault="002C0FD9" w:rsidP="00CA25CF">
            <w:pPr>
              <w:rPr>
                <w:rFonts w:cs="Arial"/>
                <w:color w:val="FF0000"/>
                <w:sz w:val="21"/>
                <w:szCs w:val="21"/>
              </w:rPr>
            </w:pPr>
          </w:p>
        </w:tc>
        <w:tc>
          <w:tcPr>
            <w:tcW w:w="217" w:type="dxa"/>
          </w:tcPr>
          <w:p w14:paraId="3C104970" w14:textId="77777777" w:rsidR="002C0FD9" w:rsidRPr="00CA25CF" w:rsidRDefault="002C0FD9" w:rsidP="00CA25CF">
            <w:pPr>
              <w:rPr>
                <w:rFonts w:cs="Arial"/>
                <w:color w:val="FF0000"/>
                <w:sz w:val="21"/>
                <w:szCs w:val="21"/>
              </w:rPr>
            </w:pPr>
          </w:p>
        </w:tc>
        <w:tc>
          <w:tcPr>
            <w:tcW w:w="217" w:type="dxa"/>
          </w:tcPr>
          <w:p w14:paraId="57DE32C4" w14:textId="77777777" w:rsidR="002C0FD9" w:rsidRPr="00CA25CF" w:rsidRDefault="002C0FD9" w:rsidP="00CA25CF">
            <w:pPr>
              <w:rPr>
                <w:rFonts w:cs="Arial"/>
                <w:color w:val="FF0000"/>
                <w:sz w:val="21"/>
                <w:szCs w:val="21"/>
              </w:rPr>
            </w:pPr>
          </w:p>
        </w:tc>
        <w:tc>
          <w:tcPr>
            <w:tcW w:w="217" w:type="dxa"/>
          </w:tcPr>
          <w:p w14:paraId="024E6452" w14:textId="77777777" w:rsidR="002C0FD9" w:rsidRPr="00CA25CF" w:rsidRDefault="002C0FD9" w:rsidP="00CA25CF">
            <w:pPr>
              <w:rPr>
                <w:rFonts w:cs="Arial"/>
                <w:color w:val="FF0000"/>
                <w:sz w:val="21"/>
                <w:szCs w:val="21"/>
              </w:rPr>
            </w:pPr>
          </w:p>
        </w:tc>
        <w:tc>
          <w:tcPr>
            <w:tcW w:w="217" w:type="dxa"/>
          </w:tcPr>
          <w:p w14:paraId="146B4C79" w14:textId="77777777" w:rsidR="002C0FD9" w:rsidRPr="00CA25CF" w:rsidRDefault="002C0FD9" w:rsidP="00CA25CF">
            <w:pPr>
              <w:rPr>
                <w:rFonts w:cs="Arial"/>
                <w:color w:val="FF0000"/>
                <w:sz w:val="21"/>
                <w:szCs w:val="21"/>
              </w:rPr>
            </w:pPr>
          </w:p>
        </w:tc>
        <w:tc>
          <w:tcPr>
            <w:tcW w:w="217" w:type="dxa"/>
          </w:tcPr>
          <w:p w14:paraId="736177A7" w14:textId="77777777" w:rsidR="002C0FD9" w:rsidRPr="00CA25CF" w:rsidRDefault="002C0FD9" w:rsidP="00CA25CF">
            <w:pPr>
              <w:rPr>
                <w:rFonts w:cs="Arial"/>
                <w:color w:val="FF0000"/>
                <w:sz w:val="21"/>
                <w:szCs w:val="21"/>
              </w:rPr>
            </w:pPr>
          </w:p>
        </w:tc>
        <w:tc>
          <w:tcPr>
            <w:tcW w:w="217" w:type="dxa"/>
          </w:tcPr>
          <w:p w14:paraId="7D382D43" w14:textId="77777777" w:rsidR="002C0FD9" w:rsidRPr="00CA25CF" w:rsidRDefault="002C0FD9" w:rsidP="00CA25CF">
            <w:pPr>
              <w:rPr>
                <w:rFonts w:cs="Arial"/>
                <w:color w:val="FF0000"/>
                <w:sz w:val="21"/>
                <w:szCs w:val="21"/>
              </w:rPr>
            </w:pPr>
          </w:p>
        </w:tc>
        <w:tc>
          <w:tcPr>
            <w:tcW w:w="217" w:type="dxa"/>
          </w:tcPr>
          <w:p w14:paraId="6F2D5D3F" w14:textId="77777777" w:rsidR="002C0FD9" w:rsidRPr="00CA25CF" w:rsidRDefault="002C0FD9" w:rsidP="00CA25CF">
            <w:pPr>
              <w:rPr>
                <w:rFonts w:cs="Arial"/>
                <w:color w:val="FF0000"/>
                <w:sz w:val="21"/>
                <w:szCs w:val="21"/>
              </w:rPr>
            </w:pPr>
          </w:p>
        </w:tc>
        <w:tc>
          <w:tcPr>
            <w:tcW w:w="217" w:type="dxa"/>
          </w:tcPr>
          <w:p w14:paraId="3A5F281B" w14:textId="77777777" w:rsidR="002C0FD9" w:rsidRPr="00CA25CF" w:rsidRDefault="002C0FD9" w:rsidP="00CA25CF">
            <w:pPr>
              <w:rPr>
                <w:rFonts w:cs="Arial"/>
                <w:color w:val="FF0000"/>
                <w:sz w:val="21"/>
                <w:szCs w:val="21"/>
              </w:rPr>
            </w:pPr>
          </w:p>
        </w:tc>
        <w:tc>
          <w:tcPr>
            <w:tcW w:w="217" w:type="dxa"/>
          </w:tcPr>
          <w:p w14:paraId="6F927523" w14:textId="77777777" w:rsidR="002C0FD9" w:rsidRPr="00CA25CF" w:rsidRDefault="002C0FD9" w:rsidP="00CA25CF">
            <w:pPr>
              <w:rPr>
                <w:rFonts w:cs="Arial"/>
                <w:color w:val="FF0000"/>
                <w:sz w:val="21"/>
                <w:szCs w:val="21"/>
              </w:rPr>
            </w:pPr>
          </w:p>
        </w:tc>
        <w:tc>
          <w:tcPr>
            <w:tcW w:w="217" w:type="dxa"/>
          </w:tcPr>
          <w:p w14:paraId="60A4BE0B" w14:textId="77777777" w:rsidR="002C0FD9" w:rsidRPr="00CA25CF" w:rsidRDefault="002C0FD9" w:rsidP="00CA25CF">
            <w:pPr>
              <w:rPr>
                <w:rFonts w:cs="Arial"/>
                <w:color w:val="FF0000"/>
                <w:sz w:val="21"/>
                <w:szCs w:val="21"/>
              </w:rPr>
            </w:pPr>
          </w:p>
        </w:tc>
        <w:tc>
          <w:tcPr>
            <w:tcW w:w="217" w:type="dxa"/>
          </w:tcPr>
          <w:p w14:paraId="2B1B8F47" w14:textId="77777777" w:rsidR="002C0FD9" w:rsidRPr="00CA25CF" w:rsidRDefault="002C0FD9" w:rsidP="00CA25CF">
            <w:pPr>
              <w:rPr>
                <w:rFonts w:cs="Arial"/>
                <w:color w:val="FF0000"/>
                <w:sz w:val="21"/>
                <w:szCs w:val="21"/>
              </w:rPr>
            </w:pPr>
          </w:p>
        </w:tc>
        <w:tc>
          <w:tcPr>
            <w:tcW w:w="217" w:type="dxa"/>
          </w:tcPr>
          <w:p w14:paraId="5B54641E" w14:textId="77777777" w:rsidR="002C0FD9" w:rsidRPr="00CA25CF" w:rsidRDefault="002C0FD9" w:rsidP="00CA25CF">
            <w:pPr>
              <w:rPr>
                <w:rFonts w:cs="Arial"/>
                <w:color w:val="FF0000"/>
                <w:sz w:val="21"/>
                <w:szCs w:val="21"/>
              </w:rPr>
            </w:pPr>
          </w:p>
        </w:tc>
        <w:tc>
          <w:tcPr>
            <w:tcW w:w="217" w:type="dxa"/>
          </w:tcPr>
          <w:p w14:paraId="4F91BE1F" w14:textId="77777777" w:rsidR="002C0FD9" w:rsidRPr="00CA25CF" w:rsidRDefault="002C0FD9" w:rsidP="00CA25CF">
            <w:pPr>
              <w:rPr>
                <w:rFonts w:cs="Arial"/>
                <w:color w:val="FF0000"/>
                <w:sz w:val="21"/>
                <w:szCs w:val="21"/>
              </w:rPr>
            </w:pPr>
          </w:p>
        </w:tc>
        <w:tc>
          <w:tcPr>
            <w:tcW w:w="217" w:type="dxa"/>
          </w:tcPr>
          <w:p w14:paraId="25378255" w14:textId="77777777" w:rsidR="002C0FD9" w:rsidRPr="00CA25CF" w:rsidRDefault="002C0FD9" w:rsidP="00CA25CF">
            <w:pPr>
              <w:rPr>
                <w:rFonts w:cs="Arial"/>
                <w:color w:val="FF0000"/>
                <w:sz w:val="21"/>
                <w:szCs w:val="21"/>
              </w:rPr>
            </w:pPr>
          </w:p>
        </w:tc>
        <w:tc>
          <w:tcPr>
            <w:tcW w:w="217" w:type="dxa"/>
          </w:tcPr>
          <w:p w14:paraId="5D8FACE7" w14:textId="77777777" w:rsidR="002C0FD9" w:rsidRPr="00CA25CF" w:rsidRDefault="002C0FD9" w:rsidP="00CA25CF">
            <w:pPr>
              <w:rPr>
                <w:rFonts w:cs="Arial"/>
                <w:color w:val="FF0000"/>
                <w:sz w:val="21"/>
                <w:szCs w:val="21"/>
              </w:rPr>
            </w:pPr>
          </w:p>
        </w:tc>
        <w:tc>
          <w:tcPr>
            <w:tcW w:w="217" w:type="dxa"/>
          </w:tcPr>
          <w:p w14:paraId="6BE8F255" w14:textId="77777777" w:rsidR="002C0FD9" w:rsidRPr="00CA25CF" w:rsidRDefault="002C0FD9" w:rsidP="00CA25CF">
            <w:pPr>
              <w:rPr>
                <w:rFonts w:cs="Arial"/>
                <w:color w:val="FF0000"/>
                <w:sz w:val="21"/>
                <w:szCs w:val="21"/>
              </w:rPr>
            </w:pPr>
          </w:p>
        </w:tc>
        <w:tc>
          <w:tcPr>
            <w:tcW w:w="217" w:type="dxa"/>
          </w:tcPr>
          <w:p w14:paraId="62A58D9B" w14:textId="77777777" w:rsidR="002C0FD9" w:rsidRPr="00CA25CF" w:rsidRDefault="002C0FD9" w:rsidP="00CA25CF">
            <w:pPr>
              <w:rPr>
                <w:rFonts w:cs="Arial"/>
                <w:color w:val="FF0000"/>
                <w:sz w:val="21"/>
                <w:szCs w:val="21"/>
              </w:rPr>
            </w:pPr>
          </w:p>
        </w:tc>
        <w:tc>
          <w:tcPr>
            <w:tcW w:w="217" w:type="dxa"/>
          </w:tcPr>
          <w:p w14:paraId="04364E5A" w14:textId="77777777" w:rsidR="002C0FD9" w:rsidRPr="00CA25CF" w:rsidRDefault="002C0FD9" w:rsidP="00CA25CF">
            <w:pPr>
              <w:rPr>
                <w:rFonts w:cs="Arial"/>
                <w:color w:val="FF0000"/>
                <w:sz w:val="21"/>
                <w:szCs w:val="21"/>
              </w:rPr>
            </w:pPr>
          </w:p>
        </w:tc>
        <w:tc>
          <w:tcPr>
            <w:tcW w:w="217" w:type="dxa"/>
          </w:tcPr>
          <w:p w14:paraId="32687A69" w14:textId="77777777" w:rsidR="002C0FD9" w:rsidRPr="00CA25CF" w:rsidRDefault="002C0FD9" w:rsidP="00CA25CF">
            <w:pPr>
              <w:rPr>
                <w:rFonts w:cs="Arial"/>
                <w:color w:val="FF0000"/>
                <w:sz w:val="21"/>
                <w:szCs w:val="21"/>
              </w:rPr>
            </w:pPr>
          </w:p>
        </w:tc>
        <w:tc>
          <w:tcPr>
            <w:tcW w:w="217" w:type="dxa"/>
          </w:tcPr>
          <w:p w14:paraId="6D2CCBF5" w14:textId="77777777" w:rsidR="002C0FD9" w:rsidRPr="00CA25CF" w:rsidRDefault="002C0FD9" w:rsidP="00CA25CF">
            <w:pPr>
              <w:rPr>
                <w:rFonts w:cs="Arial"/>
                <w:color w:val="FF0000"/>
                <w:sz w:val="21"/>
                <w:szCs w:val="21"/>
              </w:rPr>
            </w:pPr>
          </w:p>
        </w:tc>
      </w:tr>
      <w:tr w:rsidR="002C0FD9" w:rsidRPr="00A16219" w14:paraId="115F6BF2" w14:textId="408177B0" w:rsidTr="002C0FD9">
        <w:trPr>
          <w:trHeight w:val="635"/>
        </w:trPr>
        <w:tc>
          <w:tcPr>
            <w:tcW w:w="515" w:type="dxa"/>
          </w:tcPr>
          <w:p w14:paraId="3BF438AB" w14:textId="77777777" w:rsidR="002C0FD9" w:rsidRPr="00CA25CF" w:rsidRDefault="002C0FD9" w:rsidP="00CA25CF">
            <w:pPr>
              <w:rPr>
                <w:rFonts w:cs="Arial"/>
                <w:color w:val="FF0000"/>
                <w:sz w:val="21"/>
                <w:szCs w:val="21"/>
              </w:rPr>
            </w:pPr>
          </w:p>
        </w:tc>
        <w:tc>
          <w:tcPr>
            <w:tcW w:w="217" w:type="dxa"/>
          </w:tcPr>
          <w:p w14:paraId="6C1DBD30" w14:textId="77777777" w:rsidR="002C0FD9" w:rsidRPr="00CA25CF" w:rsidRDefault="002C0FD9" w:rsidP="00CA25CF">
            <w:pPr>
              <w:rPr>
                <w:rFonts w:cs="Arial"/>
                <w:color w:val="FF0000"/>
                <w:sz w:val="21"/>
                <w:szCs w:val="21"/>
              </w:rPr>
            </w:pPr>
          </w:p>
        </w:tc>
        <w:tc>
          <w:tcPr>
            <w:tcW w:w="217" w:type="dxa"/>
          </w:tcPr>
          <w:p w14:paraId="232EDDE0" w14:textId="11AB1A54" w:rsidR="002C0FD9" w:rsidRPr="00CA25CF" w:rsidRDefault="002C0FD9" w:rsidP="00CA25CF">
            <w:pPr>
              <w:rPr>
                <w:rFonts w:cs="Arial"/>
                <w:color w:val="FF0000"/>
                <w:sz w:val="21"/>
                <w:szCs w:val="21"/>
              </w:rPr>
            </w:pPr>
          </w:p>
        </w:tc>
        <w:tc>
          <w:tcPr>
            <w:tcW w:w="217" w:type="dxa"/>
          </w:tcPr>
          <w:p w14:paraId="5802A77A" w14:textId="77777777" w:rsidR="002C0FD9" w:rsidRPr="00CA25CF" w:rsidRDefault="002C0FD9" w:rsidP="00CA25CF">
            <w:pPr>
              <w:rPr>
                <w:rFonts w:cs="Arial"/>
                <w:color w:val="FF0000"/>
                <w:sz w:val="21"/>
                <w:szCs w:val="21"/>
              </w:rPr>
            </w:pPr>
          </w:p>
        </w:tc>
        <w:tc>
          <w:tcPr>
            <w:tcW w:w="217" w:type="dxa"/>
          </w:tcPr>
          <w:p w14:paraId="78DFC9A2" w14:textId="77777777" w:rsidR="002C0FD9" w:rsidRPr="00CA25CF" w:rsidRDefault="002C0FD9" w:rsidP="00CA25CF">
            <w:pPr>
              <w:rPr>
                <w:rFonts w:cs="Arial"/>
                <w:color w:val="FF0000"/>
                <w:sz w:val="21"/>
                <w:szCs w:val="21"/>
              </w:rPr>
            </w:pPr>
          </w:p>
        </w:tc>
        <w:tc>
          <w:tcPr>
            <w:tcW w:w="217" w:type="dxa"/>
          </w:tcPr>
          <w:p w14:paraId="3C4755A5" w14:textId="77777777" w:rsidR="002C0FD9" w:rsidRPr="00CA25CF" w:rsidRDefault="002C0FD9" w:rsidP="00CA25CF">
            <w:pPr>
              <w:rPr>
                <w:rFonts w:cs="Arial"/>
                <w:color w:val="FF0000"/>
                <w:sz w:val="21"/>
                <w:szCs w:val="21"/>
              </w:rPr>
            </w:pPr>
          </w:p>
        </w:tc>
        <w:tc>
          <w:tcPr>
            <w:tcW w:w="217" w:type="dxa"/>
          </w:tcPr>
          <w:p w14:paraId="17AD7648" w14:textId="77777777" w:rsidR="002C0FD9" w:rsidRPr="00CA25CF" w:rsidRDefault="002C0FD9" w:rsidP="00CA25CF">
            <w:pPr>
              <w:rPr>
                <w:rFonts w:cs="Arial"/>
                <w:color w:val="FF0000"/>
                <w:sz w:val="21"/>
                <w:szCs w:val="21"/>
              </w:rPr>
            </w:pPr>
          </w:p>
        </w:tc>
        <w:tc>
          <w:tcPr>
            <w:tcW w:w="217" w:type="dxa"/>
          </w:tcPr>
          <w:p w14:paraId="749F6BBD" w14:textId="77777777" w:rsidR="002C0FD9" w:rsidRPr="00CA25CF" w:rsidRDefault="002C0FD9" w:rsidP="00CA25CF">
            <w:pPr>
              <w:rPr>
                <w:rFonts w:cs="Arial"/>
                <w:color w:val="FF0000"/>
                <w:sz w:val="21"/>
                <w:szCs w:val="21"/>
              </w:rPr>
            </w:pPr>
          </w:p>
        </w:tc>
        <w:tc>
          <w:tcPr>
            <w:tcW w:w="217" w:type="dxa"/>
          </w:tcPr>
          <w:p w14:paraId="22F52BB8" w14:textId="77777777" w:rsidR="002C0FD9" w:rsidRPr="00CA25CF" w:rsidRDefault="002C0FD9" w:rsidP="00CA25CF">
            <w:pPr>
              <w:rPr>
                <w:rFonts w:cs="Arial"/>
                <w:color w:val="FF0000"/>
                <w:sz w:val="21"/>
                <w:szCs w:val="21"/>
              </w:rPr>
            </w:pPr>
          </w:p>
        </w:tc>
        <w:tc>
          <w:tcPr>
            <w:tcW w:w="217" w:type="dxa"/>
          </w:tcPr>
          <w:p w14:paraId="329B07A3" w14:textId="77777777" w:rsidR="002C0FD9" w:rsidRPr="00CA25CF" w:rsidRDefault="002C0FD9" w:rsidP="00CA25CF">
            <w:pPr>
              <w:rPr>
                <w:rFonts w:cs="Arial"/>
                <w:color w:val="FF0000"/>
                <w:sz w:val="21"/>
                <w:szCs w:val="21"/>
              </w:rPr>
            </w:pPr>
          </w:p>
        </w:tc>
        <w:tc>
          <w:tcPr>
            <w:tcW w:w="217" w:type="dxa"/>
          </w:tcPr>
          <w:p w14:paraId="0080D13C" w14:textId="77777777" w:rsidR="002C0FD9" w:rsidRPr="00CA25CF" w:rsidRDefault="002C0FD9" w:rsidP="00CA25CF">
            <w:pPr>
              <w:rPr>
                <w:rFonts w:cs="Arial"/>
                <w:color w:val="FF0000"/>
                <w:sz w:val="21"/>
                <w:szCs w:val="21"/>
              </w:rPr>
            </w:pPr>
          </w:p>
        </w:tc>
        <w:tc>
          <w:tcPr>
            <w:tcW w:w="217" w:type="dxa"/>
          </w:tcPr>
          <w:p w14:paraId="68E7962E" w14:textId="77777777" w:rsidR="002C0FD9" w:rsidRPr="00CA25CF" w:rsidRDefault="002C0FD9" w:rsidP="00CA25CF">
            <w:pPr>
              <w:rPr>
                <w:rFonts w:cs="Arial"/>
                <w:color w:val="FF0000"/>
                <w:sz w:val="21"/>
                <w:szCs w:val="21"/>
              </w:rPr>
            </w:pPr>
          </w:p>
        </w:tc>
        <w:tc>
          <w:tcPr>
            <w:tcW w:w="217" w:type="dxa"/>
          </w:tcPr>
          <w:p w14:paraId="17794313" w14:textId="77777777" w:rsidR="002C0FD9" w:rsidRPr="00CA25CF" w:rsidRDefault="002C0FD9" w:rsidP="00CA25CF">
            <w:pPr>
              <w:rPr>
                <w:rFonts w:cs="Arial"/>
                <w:color w:val="FF0000"/>
                <w:sz w:val="21"/>
                <w:szCs w:val="21"/>
              </w:rPr>
            </w:pPr>
          </w:p>
        </w:tc>
        <w:tc>
          <w:tcPr>
            <w:tcW w:w="217" w:type="dxa"/>
          </w:tcPr>
          <w:p w14:paraId="220EDF1C" w14:textId="77777777" w:rsidR="002C0FD9" w:rsidRPr="00CA25CF" w:rsidRDefault="002C0FD9" w:rsidP="00CA25CF">
            <w:pPr>
              <w:rPr>
                <w:rFonts w:cs="Arial"/>
                <w:color w:val="FF0000"/>
                <w:sz w:val="21"/>
                <w:szCs w:val="21"/>
              </w:rPr>
            </w:pPr>
          </w:p>
        </w:tc>
        <w:tc>
          <w:tcPr>
            <w:tcW w:w="217" w:type="dxa"/>
          </w:tcPr>
          <w:p w14:paraId="2F91F948" w14:textId="77777777" w:rsidR="002C0FD9" w:rsidRPr="00CA25CF" w:rsidRDefault="002C0FD9" w:rsidP="00CA25CF">
            <w:pPr>
              <w:rPr>
                <w:rFonts w:cs="Arial"/>
                <w:color w:val="FF0000"/>
                <w:sz w:val="21"/>
                <w:szCs w:val="21"/>
              </w:rPr>
            </w:pPr>
          </w:p>
        </w:tc>
        <w:tc>
          <w:tcPr>
            <w:tcW w:w="217" w:type="dxa"/>
          </w:tcPr>
          <w:p w14:paraId="0E151D45" w14:textId="77777777" w:rsidR="002C0FD9" w:rsidRPr="00CA25CF" w:rsidRDefault="002C0FD9" w:rsidP="00CA25CF">
            <w:pPr>
              <w:rPr>
                <w:rFonts w:cs="Arial"/>
                <w:color w:val="FF0000"/>
                <w:sz w:val="21"/>
                <w:szCs w:val="21"/>
              </w:rPr>
            </w:pPr>
          </w:p>
        </w:tc>
        <w:tc>
          <w:tcPr>
            <w:tcW w:w="217" w:type="dxa"/>
          </w:tcPr>
          <w:p w14:paraId="5B1098F0" w14:textId="77777777" w:rsidR="002C0FD9" w:rsidRPr="00CA25CF" w:rsidRDefault="002C0FD9" w:rsidP="00CA25CF">
            <w:pPr>
              <w:rPr>
                <w:rFonts w:cs="Arial"/>
                <w:color w:val="FF0000"/>
                <w:sz w:val="21"/>
                <w:szCs w:val="21"/>
              </w:rPr>
            </w:pPr>
          </w:p>
        </w:tc>
        <w:tc>
          <w:tcPr>
            <w:tcW w:w="217" w:type="dxa"/>
          </w:tcPr>
          <w:p w14:paraId="26C803DC" w14:textId="77777777" w:rsidR="002C0FD9" w:rsidRPr="00CA25CF" w:rsidRDefault="002C0FD9" w:rsidP="00CA25CF">
            <w:pPr>
              <w:rPr>
                <w:rFonts w:cs="Arial"/>
                <w:color w:val="FF0000"/>
                <w:sz w:val="21"/>
                <w:szCs w:val="21"/>
              </w:rPr>
            </w:pPr>
          </w:p>
        </w:tc>
        <w:tc>
          <w:tcPr>
            <w:tcW w:w="217" w:type="dxa"/>
          </w:tcPr>
          <w:p w14:paraId="6248CC23" w14:textId="77777777" w:rsidR="002C0FD9" w:rsidRPr="00CA25CF" w:rsidRDefault="002C0FD9" w:rsidP="00CA25CF">
            <w:pPr>
              <w:rPr>
                <w:rFonts w:cs="Arial"/>
                <w:color w:val="FF0000"/>
                <w:sz w:val="21"/>
                <w:szCs w:val="21"/>
              </w:rPr>
            </w:pPr>
          </w:p>
        </w:tc>
        <w:tc>
          <w:tcPr>
            <w:tcW w:w="217" w:type="dxa"/>
          </w:tcPr>
          <w:p w14:paraId="1DCC43EB" w14:textId="77777777" w:rsidR="002C0FD9" w:rsidRPr="00CA25CF" w:rsidRDefault="002C0FD9" w:rsidP="00CA25CF">
            <w:pPr>
              <w:rPr>
                <w:rFonts w:cs="Arial"/>
                <w:color w:val="FF0000"/>
                <w:sz w:val="21"/>
                <w:szCs w:val="21"/>
              </w:rPr>
            </w:pPr>
          </w:p>
        </w:tc>
        <w:tc>
          <w:tcPr>
            <w:tcW w:w="217" w:type="dxa"/>
          </w:tcPr>
          <w:p w14:paraId="405642BF" w14:textId="77777777" w:rsidR="002C0FD9" w:rsidRPr="00CA25CF" w:rsidRDefault="002C0FD9" w:rsidP="00CA25CF">
            <w:pPr>
              <w:rPr>
                <w:rFonts w:cs="Arial"/>
                <w:color w:val="FF0000"/>
                <w:sz w:val="21"/>
                <w:szCs w:val="21"/>
              </w:rPr>
            </w:pPr>
          </w:p>
        </w:tc>
        <w:tc>
          <w:tcPr>
            <w:tcW w:w="217" w:type="dxa"/>
          </w:tcPr>
          <w:p w14:paraId="484B71F4" w14:textId="77777777" w:rsidR="002C0FD9" w:rsidRPr="00CA25CF" w:rsidRDefault="002C0FD9" w:rsidP="00CA25CF">
            <w:pPr>
              <w:rPr>
                <w:rFonts w:cs="Arial"/>
                <w:color w:val="FF0000"/>
                <w:sz w:val="21"/>
                <w:szCs w:val="21"/>
              </w:rPr>
            </w:pPr>
          </w:p>
        </w:tc>
        <w:tc>
          <w:tcPr>
            <w:tcW w:w="217" w:type="dxa"/>
          </w:tcPr>
          <w:p w14:paraId="41D9736E" w14:textId="77777777" w:rsidR="002C0FD9" w:rsidRPr="00CA25CF" w:rsidRDefault="002C0FD9" w:rsidP="00CA25CF">
            <w:pPr>
              <w:rPr>
                <w:rFonts w:cs="Arial"/>
                <w:color w:val="FF0000"/>
                <w:sz w:val="21"/>
                <w:szCs w:val="21"/>
              </w:rPr>
            </w:pPr>
          </w:p>
        </w:tc>
        <w:tc>
          <w:tcPr>
            <w:tcW w:w="217" w:type="dxa"/>
          </w:tcPr>
          <w:p w14:paraId="4E2E0A4B" w14:textId="77777777" w:rsidR="002C0FD9" w:rsidRPr="00CA25CF" w:rsidRDefault="002C0FD9" w:rsidP="00CA25CF">
            <w:pPr>
              <w:rPr>
                <w:rFonts w:cs="Arial"/>
                <w:color w:val="FF0000"/>
                <w:sz w:val="21"/>
                <w:szCs w:val="21"/>
              </w:rPr>
            </w:pPr>
          </w:p>
        </w:tc>
        <w:tc>
          <w:tcPr>
            <w:tcW w:w="217" w:type="dxa"/>
          </w:tcPr>
          <w:p w14:paraId="574DB616" w14:textId="77777777" w:rsidR="002C0FD9" w:rsidRPr="00CA25CF" w:rsidRDefault="002C0FD9" w:rsidP="00CA25CF">
            <w:pPr>
              <w:rPr>
                <w:rFonts w:cs="Arial"/>
                <w:color w:val="FF0000"/>
                <w:sz w:val="21"/>
                <w:szCs w:val="21"/>
              </w:rPr>
            </w:pPr>
          </w:p>
        </w:tc>
        <w:tc>
          <w:tcPr>
            <w:tcW w:w="217" w:type="dxa"/>
          </w:tcPr>
          <w:p w14:paraId="5B4F57D6" w14:textId="77777777" w:rsidR="002C0FD9" w:rsidRPr="00CA25CF" w:rsidRDefault="002C0FD9" w:rsidP="00CA25CF">
            <w:pPr>
              <w:rPr>
                <w:rFonts w:cs="Arial"/>
                <w:color w:val="FF0000"/>
                <w:sz w:val="21"/>
                <w:szCs w:val="21"/>
              </w:rPr>
            </w:pPr>
          </w:p>
        </w:tc>
        <w:tc>
          <w:tcPr>
            <w:tcW w:w="217" w:type="dxa"/>
          </w:tcPr>
          <w:p w14:paraId="0DE99186" w14:textId="77777777" w:rsidR="002C0FD9" w:rsidRPr="00CA25CF" w:rsidRDefault="002C0FD9" w:rsidP="00CA25CF">
            <w:pPr>
              <w:rPr>
                <w:rFonts w:cs="Arial"/>
                <w:color w:val="FF0000"/>
                <w:sz w:val="21"/>
                <w:szCs w:val="21"/>
              </w:rPr>
            </w:pPr>
          </w:p>
        </w:tc>
        <w:tc>
          <w:tcPr>
            <w:tcW w:w="217" w:type="dxa"/>
          </w:tcPr>
          <w:p w14:paraId="548080EB" w14:textId="77777777" w:rsidR="002C0FD9" w:rsidRPr="00CA25CF" w:rsidRDefault="002C0FD9" w:rsidP="00CA25CF">
            <w:pPr>
              <w:rPr>
                <w:rFonts w:cs="Arial"/>
                <w:color w:val="FF0000"/>
                <w:sz w:val="21"/>
                <w:szCs w:val="21"/>
              </w:rPr>
            </w:pPr>
          </w:p>
        </w:tc>
        <w:tc>
          <w:tcPr>
            <w:tcW w:w="217" w:type="dxa"/>
          </w:tcPr>
          <w:p w14:paraId="60DE9CE6" w14:textId="77777777" w:rsidR="002C0FD9" w:rsidRPr="00CA25CF" w:rsidRDefault="002C0FD9" w:rsidP="00CA25CF">
            <w:pPr>
              <w:rPr>
                <w:rFonts w:cs="Arial"/>
                <w:color w:val="FF0000"/>
                <w:sz w:val="21"/>
                <w:szCs w:val="21"/>
              </w:rPr>
            </w:pPr>
          </w:p>
        </w:tc>
        <w:tc>
          <w:tcPr>
            <w:tcW w:w="217" w:type="dxa"/>
          </w:tcPr>
          <w:p w14:paraId="5736021D" w14:textId="77777777" w:rsidR="002C0FD9" w:rsidRPr="00CA25CF" w:rsidRDefault="002C0FD9" w:rsidP="00CA25CF">
            <w:pPr>
              <w:rPr>
                <w:rFonts w:cs="Arial"/>
                <w:color w:val="FF0000"/>
                <w:sz w:val="21"/>
                <w:szCs w:val="21"/>
              </w:rPr>
            </w:pPr>
          </w:p>
        </w:tc>
        <w:tc>
          <w:tcPr>
            <w:tcW w:w="217" w:type="dxa"/>
          </w:tcPr>
          <w:p w14:paraId="4DFBF537" w14:textId="77777777" w:rsidR="002C0FD9" w:rsidRPr="00CA25CF" w:rsidRDefault="002C0FD9" w:rsidP="00CA25CF">
            <w:pPr>
              <w:rPr>
                <w:rFonts w:cs="Arial"/>
                <w:color w:val="FF0000"/>
                <w:sz w:val="21"/>
                <w:szCs w:val="21"/>
              </w:rPr>
            </w:pPr>
          </w:p>
        </w:tc>
        <w:tc>
          <w:tcPr>
            <w:tcW w:w="217" w:type="dxa"/>
          </w:tcPr>
          <w:p w14:paraId="55FB2149" w14:textId="77777777" w:rsidR="002C0FD9" w:rsidRPr="00CA25CF" w:rsidRDefault="002C0FD9" w:rsidP="00CA25CF">
            <w:pPr>
              <w:rPr>
                <w:rFonts w:cs="Arial"/>
                <w:color w:val="FF0000"/>
                <w:sz w:val="21"/>
                <w:szCs w:val="21"/>
              </w:rPr>
            </w:pPr>
          </w:p>
        </w:tc>
        <w:tc>
          <w:tcPr>
            <w:tcW w:w="217" w:type="dxa"/>
          </w:tcPr>
          <w:p w14:paraId="1E38D359" w14:textId="77777777" w:rsidR="002C0FD9" w:rsidRPr="00CA25CF" w:rsidRDefault="002C0FD9" w:rsidP="00CA25CF">
            <w:pPr>
              <w:rPr>
                <w:rFonts w:cs="Arial"/>
                <w:color w:val="FF0000"/>
                <w:sz w:val="21"/>
                <w:szCs w:val="21"/>
              </w:rPr>
            </w:pPr>
          </w:p>
        </w:tc>
        <w:tc>
          <w:tcPr>
            <w:tcW w:w="217" w:type="dxa"/>
          </w:tcPr>
          <w:p w14:paraId="0510D168" w14:textId="77777777" w:rsidR="002C0FD9" w:rsidRPr="00CA25CF" w:rsidRDefault="002C0FD9" w:rsidP="00CA25CF">
            <w:pPr>
              <w:rPr>
                <w:rFonts w:cs="Arial"/>
                <w:color w:val="FF0000"/>
                <w:sz w:val="21"/>
                <w:szCs w:val="21"/>
              </w:rPr>
            </w:pPr>
          </w:p>
        </w:tc>
        <w:tc>
          <w:tcPr>
            <w:tcW w:w="217" w:type="dxa"/>
          </w:tcPr>
          <w:p w14:paraId="713E2E9D" w14:textId="77777777" w:rsidR="002C0FD9" w:rsidRPr="00CA25CF" w:rsidRDefault="002C0FD9" w:rsidP="00CA25CF">
            <w:pPr>
              <w:rPr>
                <w:rFonts w:cs="Arial"/>
                <w:color w:val="FF0000"/>
                <w:sz w:val="21"/>
                <w:szCs w:val="21"/>
              </w:rPr>
            </w:pPr>
          </w:p>
        </w:tc>
        <w:tc>
          <w:tcPr>
            <w:tcW w:w="217" w:type="dxa"/>
          </w:tcPr>
          <w:p w14:paraId="798F20D6" w14:textId="77777777" w:rsidR="002C0FD9" w:rsidRPr="00CA25CF" w:rsidRDefault="002C0FD9" w:rsidP="00CA25CF">
            <w:pPr>
              <w:rPr>
                <w:rFonts w:cs="Arial"/>
                <w:color w:val="FF0000"/>
                <w:sz w:val="21"/>
                <w:szCs w:val="21"/>
              </w:rPr>
            </w:pPr>
          </w:p>
        </w:tc>
        <w:tc>
          <w:tcPr>
            <w:tcW w:w="217" w:type="dxa"/>
          </w:tcPr>
          <w:p w14:paraId="02EBAFDA" w14:textId="77777777" w:rsidR="002C0FD9" w:rsidRPr="00CA25CF" w:rsidRDefault="002C0FD9" w:rsidP="00CA25CF">
            <w:pPr>
              <w:rPr>
                <w:rFonts w:cs="Arial"/>
                <w:color w:val="FF0000"/>
                <w:sz w:val="21"/>
                <w:szCs w:val="21"/>
              </w:rPr>
            </w:pPr>
          </w:p>
        </w:tc>
        <w:tc>
          <w:tcPr>
            <w:tcW w:w="217" w:type="dxa"/>
          </w:tcPr>
          <w:p w14:paraId="26C5E649" w14:textId="77777777" w:rsidR="002C0FD9" w:rsidRPr="00CA25CF" w:rsidRDefault="002C0FD9" w:rsidP="00CA25CF">
            <w:pPr>
              <w:rPr>
                <w:rFonts w:cs="Arial"/>
                <w:color w:val="FF0000"/>
                <w:sz w:val="21"/>
                <w:szCs w:val="21"/>
              </w:rPr>
            </w:pPr>
          </w:p>
        </w:tc>
        <w:tc>
          <w:tcPr>
            <w:tcW w:w="217" w:type="dxa"/>
          </w:tcPr>
          <w:p w14:paraId="112038D2" w14:textId="77777777" w:rsidR="002C0FD9" w:rsidRPr="00CA25CF" w:rsidRDefault="002C0FD9" w:rsidP="00CA25CF">
            <w:pPr>
              <w:rPr>
                <w:rFonts w:cs="Arial"/>
                <w:color w:val="FF0000"/>
                <w:sz w:val="21"/>
                <w:szCs w:val="21"/>
              </w:rPr>
            </w:pPr>
          </w:p>
        </w:tc>
        <w:tc>
          <w:tcPr>
            <w:tcW w:w="217" w:type="dxa"/>
          </w:tcPr>
          <w:p w14:paraId="1C30808C" w14:textId="77777777" w:rsidR="002C0FD9" w:rsidRPr="00CA25CF" w:rsidRDefault="002C0FD9" w:rsidP="00CA25CF">
            <w:pPr>
              <w:rPr>
                <w:rFonts w:cs="Arial"/>
                <w:color w:val="FF0000"/>
                <w:sz w:val="21"/>
                <w:szCs w:val="21"/>
              </w:rPr>
            </w:pPr>
          </w:p>
        </w:tc>
        <w:tc>
          <w:tcPr>
            <w:tcW w:w="217" w:type="dxa"/>
          </w:tcPr>
          <w:p w14:paraId="0BC02D71" w14:textId="77777777" w:rsidR="002C0FD9" w:rsidRPr="00CA25CF" w:rsidRDefault="002C0FD9" w:rsidP="00CA25CF">
            <w:pPr>
              <w:rPr>
                <w:rFonts w:cs="Arial"/>
                <w:color w:val="FF0000"/>
                <w:sz w:val="21"/>
                <w:szCs w:val="21"/>
              </w:rPr>
            </w:pPr>
          </w:p>
        </w:tc>
        <w:tc>
          <w:tcPr>
            <w:tcW w:w="217" w:type="dxa"/>
          </w:tcPr>
          <w:p w14:paraId="669BEC77" w14:textId="77777777" w:rsidR="002C0FD9" w:rsidRPr="00CA25CF" w:rsidRDefault="002C0FD9" w:rsidP="00CA25CF">
            <w:pPr>
              <w:rPr>
                <w:rFonts w:cs="Arial"/>
                <w:color w:val="FF0000"/>
                <w:sz w:val="21"/>
                <w:szCs w:val="21"/>
              </w:rPr>
            </w:pPr>
          </w:p>
        </w:tc>
        <w:tc>
          <w:tcPr>
            <w:tcW w:w="217" w:type="dxa"/>
          </w:tcPr>
          <w:p w14:paraId="06CB75B7" w14:textId="77777777" w:rsidR="002C0FD9" w:rsidRPr="00CA25CF" w:rsidRDefault="002C0FD9" w:rsidP="00CA25CF">
            <w:pPr>
              <w:rPr>
                <w:rFonts w:cs="Arial"/>
                <w:color w:val="FF0000"/>
                <w:sz w:val="21"/>
                <w:szCs w:val="21"/>
              </w:rPr>
            </w:pPr>
          </w:p>
        </w:tc>
      </w:tr>
      <w:tr w:rsidR="002C0FD9" w:rsidRPr="00A16219" w14:paraId="6571B068" w14:textId="4FF6DFBE" w:rsidTr="002C0FD9">
        <w:trPr>
          <w:trHeight w:val="635"/>
        </w:trPr>
        <w:tc>
          <w:tcPr>
            <w:tcW w:w="515" w:type="dxa"/>
          </w:tcPr>
          <w:p w14:paraId="14BCCF46" w14:textId="77777777" w:rsidR="002C0FD9" w:rsidRPr="00CA25CF" w:rsidRDefault="002C0FD9" w:rsidP="00CA25CF">
            <w:pPr>
              <w:rPr>
                <w:rFonts w:cs="Arial"/>
                <w:color w:val="FF0000"/>
                <w:sz w:val="21"/>
                <w:szCs w:val="21"/>
              </w:rPr>
            </w:pPr>
          </w:p>
        </w:tc>
        <w:tc>
          <w:tcPr>
            <w:tcW w:w="217" w:type="dxa"/>
          </w:tcPr>
          <w:p w14:paraId="140B70F9" w14:textId="77777777" w:rsidR="002C0FD9" w:rsidRPr="00CA25CF" w:rsidRDefault="002C0FD9" w:rsidP="00CA25CF">
            <w:pPr>
              <w:rPr>
                <w:rFonts w:cs="Arial"/>
                <w:color w:val="FF0000"/>
                <w:sz w:val="21"/>
                <w:szCs w:val="21"/>
              </w:rPr>
            </w:pPr>
          </w:p>
        </w:tc>
        <w:tc>
          <w:tcPr>
            <w:tcW w:w="217" w:type="dxa"/>
          </w:tcPr>
          <w:p w14:paraId="2A68784A" w14:textId="3CBF5ACE" w:rsidR="002C0FD9" w:rsidRPr="00CA25CF" w:rsidRDefault="002C0FD9" w:rsidP="00CA25CF">
            <w:pPr>
              <w:rPr>
                <w:rFonts w:cs="Arial"/>
                <w:color w:val="FF0000"/>
                <w:sz w:val="21"/>
                <w:szCs w:val="21"/>
              </w:rPr>
            </w:pPr>
          </w:p>
        </w:tc>
        <w:tc>
          <w:tcPr>
            <w:tcW w:w="217" w:type="dxa"/>
          </w:tcPr>
          <w:p w14:paraId="04DB69C8" w14:textId="77777777" w:rsidR="002C0FD9" w:rsidRPr="00CA25CF" w:rsidRDefault="002C0FD9" w:rsidP="00CA25CF">
            <w:pPr>
              <w:rPr>
                <w:rFonts w:cs="Arial"/>
                <w:color w:val="FF0000"/>
                <w:sz w:val="21"/>
                <w:szCs w:val="21"/>
              </w:rPr>
            </w:pPr>
          </w:p>
        </w:tc>
        <w:tc>
          <w:tcPr>
            <w:tcW w:w="217" w:type="dxa"/>
          </w:tcPr>
          <w:p w14:paraId="7075C84A" w14:textId="77777777" w:rsidR="002C0FD9" w:rsidRPr="00CA25CF" w:rsidRDefault="002C0FD9" w:rsidP="00CA25CF">
            <w:pPr>
              <w:rPr>
                <w:rFonts w:cs="Arial"/>
                <w:color w:val="FF0000"/>
                <w:sz w:val="21"/>
                <w:szCs w:val="21"/>
              </w:rPr>
            </w:pPr>
          </w:p>
        </w:tc>
        <w:tc>
          <w:tcPr>
            <w:tcW w:w="217" w:type="dxa"/>
          </w:tcPr>
          <w:p w14:paraId="7191A648" w14:textId="77777777" w:rsidR="002C0FD9" w:rsidRPr="00CA25CF" w:rsidRDefault="002C0FD9" w:rsidP="00CA25CF">
            <w:pPr>
              <w:rPr>
                <w:rFonts w:cs="Arial"/>
                <w:color w:val="FF0000"/>
                <w:sz w:val="21"/>
                <w:szCs w:val="21"/>
              </w:rPr>
            </w:pPr>
          </w:p>
        </w:tc>
        <w:tc>
          <w:tcPr>
            <w:tcW w:w="217" w:type="dxa"/>
          </w:tcPr>
          <w:p w14:paraId="7BA50B78" w14:textId="77777777" w:rsidR="002C0FD9" w:rsidRPr="00CA25CF" w:rsidRDefault="002C0FD9" w:rsidP="00CA25CF">
            <w:pPr>
              <w:rPr>
                <w:rFonts w:cs="Arial"/>
                <w:color w:val="FF0000"/>
                <w:sz w:val="21"/>
                <w:szCs w:val="21"/>
              </w:rPr>
            </w:pPr>
          </w:p>
        </w:tc>
        <w:tc>
          <w:tcPr>
            <w:tcW w:w="217" w:type="dxa"/>
          </w:tcPr>
          <w:p w14:paraId="05B5E96B" w14:textId="77777777" w:rsidR="002C0FD9" w:rsidRPr="00CA25CF" w:rsidRDefault="002C0FD9" w:rsidP="00CA25CF">
            <w:pPr>
              <w:rPr>
                <w:rFonts w:cs="Arial"/>
                <w:color w:val="FF0000"/>
                <w:sz w:val="21"/>
                <w:szCs w:val="21"/>
              </w:rPr>
            </w:pPr>
          </w:p>
        </w:tc>
        <w:tc>
          <w:tcPr>
            <w:tcW w:w="217" w:type="dxa"/>
          </w:tcPr>
          <w:p w14:paraId="2EC853DC" w14:textId="77777777" w:rsidR="002C0FD9" w:rsidRPr="00CA25CF" w:rsidRDefault="002C0FD9" w:rsidP="00CA25CF">
            <w:pPr>
              <w:rPr>
                <w:rFonts w:cs="Arial"/>
                <w:color w:val="FF0000"/>
                <w:sz w:val="21"/>
                <w:szCs w:val="21"/>
              </w:rPr>
            </w:pPr>
          </w:p>
        </w:tc>
        <w:tc>
          <w:tcPr>
            <w:tcW w:w="217" w:type="dxa"/>
          </w:tcPr>
          <w:p w14:paraId="5645FC48" w14:textId="77777777" w:rsidR="002C0FD9" w:rsidRPr="00CA25CF" w:rsidRDefault="002C0FD9" w:rsidP="00CA25CF">
            <w:pPr>
              <w:rPr>
                <w:rFonts w:cs="Arial"/>
                <w:color w:val="FF0000"/>
                <w:sz w:val="21"/>
                <w:szCs w:val="21"/>
              </w:rPr>
            </w:pPr>
          </w:p>
        </w:tc>
        <w:tc>
          <w:tcPr>
            <w:tcW w:w="217" w:type="dxa"/>
          </w:tcPr>
          <w:p w14:paraId="55EC3C6F" w14:textId="77777777" w:rsidR="002C0FD9" w:rsidRPr="00CA25CF" w:rsidRDefault="002C0FD9" w:rsidP="00CA25CF">
            <w:pPr>
              <w:rPr>
                <w:rFonts w:cs="Arial"/>
                <w:color w:val="FF0000"/>
                <w:sz w:val="21"/>
                <w:szCs w:val="21"/>
              </w:rPr>
            </w:pPr>
          </w:p>
        </w:tc>
        <w:tc>
          <w:tcPr>
            <w:tcW w:w="217" w:type="dxa"/>
          </w:tcPr>
          <w:p w14:paraId="62D745D7" w14:textId="77777777" w:rsidR="002C0FD9" w:rsidRPr="00CA25CF" w:rsidRDefault="002C0FD9" w:rsidP="00CA25CF">
            <w:pPr>
              <w:rPr>
                <w:rFonts w:cs="Arial"/>
                <w:color w:val="FF0000"/>
                <w:sz w:val="21"/>
                <w:szCs w:val="21"/>
              </w:rPr>
            </w:pPr>
          </w:p>
        </w:tc>
        <w:tc>
          <w:tcPr>
            <w:tcW w:w="217" w:type="dxa"/>
          </w:tcPr>
          <w:p w14:paraId="779F28F0" w14:textId="77777777" w:rsidR="002C0FD9" w:rsidRPr="00CA25CF" w:rsidRDefault="002C0FD9" w:rsidP="00CA25CF">
            <w:pPr>
              <w:rPr>
                <w:rFonts w:cs="Arial"/>
                <w:color w:val="FF0000"/>
                <w:sz w:val="21"/>
                <w:szCs w:val="21"/>
              </w:rPr>
            </w:pPr>
          </w:p>
        </w:tc>
        <w:tc>
          <w:tcPr>
            <w:tcW w:w="217" w:type="dxa"/>
          </w:tcPr>
          <w:p w14:paraId="2FF2653E" w14:textId="77777777" w:rsidR="002C0FD9" w:rsidRPr="00CA25CF" w:rsidRDefault="002C0FD9" w:rsidP="00CA25CF">
            <w:pPr>
              <w:rPr>
                <w:rFonts w:cs="Arial"/>
                <w:color w:val="FF0000"/>
                <w:sz w:val="21"/>
                <w:szCs w:val="21"/>
              </w:rPr>
            </w:pPr>
          </w:p>
        </w:tc>
        <w:tc>
          <w:tcPr>
            <w:tcW w:w="217" w:type="dxa"/>
          </w:tcPr>
          <w:p w14:paraId="0122BE24" w14:textId="77777777" w:rsidR="002C0FD9" w:rsidRPr="00CA25CF" w:rsidRDefault="002C0FD9" w:rsidP="00CA25CF">
            <w:pPr>
              <w:rPr>
                <w:rFonts w:cs="Arial"/>
                <w:color w:val="FF0000"/>
                <w:sz w:val="21"/>
                <w:szCs w:val="21"/>
              </w:rPr>
            </w:pPr>
          </w:p>
        </w:tc>
        <w:tc>
          <w:tcPr>
            <w:tcW w:w="217" w:type="dxa"/>
          </w:tcPr>
          <w:p w14:paraId="2CE50A8D" w14:textId="77777777" w:rsidR="002C0FD9" w:rsidRPr="00CA25CF" w:rsidRDefault="002C0FD9" w:rsidP="00CA25CF">
            <w:pPr>
              <w:rPr>
                <w:rFonts w:cs="Arial"/>
                <w:color w:val="FF0000"/>
                <w:sz w:val="21"/>
                <w:szCs w:val="21"/>
              </w:rPr>
            </w:pPr>
          </w:p>
        </w:tc>
        <w:tc>
          <w:tcPr>
            <w:tcW w:w="217" w:type="dxa"/>
          </w:tcPr>
          <w:p w14:paraId="69D281C9" w14:textId="77777777" w:rsidR="002C0FD9" w:rsidRPr="00CA25CF" w:rsidRDefault="002C0FD9" w:rsidP="00CA25CF">
            <w:pPr>
              <w:rPr>
                <w:rFonts w:cs="Arial"/>
                <w:color w:val="FF0000"/>
                <w:sz w:val="21"/>
                <w:szCs w:val="21"/>
              </w:rPr>
            </w:pPr>
          </w:p>
        </w:tc>
        <w:tc>
          <w:tcPr>
            <w:tcW w:w="217" w:type="dxa"/>
          </w:tcPr>
          <w:p w14:paraId="4BC9FB0F" w14:textId="77777777" w:rsidR="002C0FD9" w:rsidRPr="00CA25CF" w:rsidRDefault="002C0FD9" w:rsidP="00CA25CF">
            <w:pPr>
              <w:rPr>
                <w:rFonts w:cs="Arial"/>
                <w:color w:val="FF0000"/>
                <w:sz w:val="21"/>
                <w:szCs w:val="21"/>
              </w:rPr>
            </w:pPr>
          </w:p>
        </w:tc>
        <w:tc>
          <w:tcPr>
            <w:tcW w:w="217" w:type="dxa"/>
          </w:tcPr>
          <w:p w14:paraId="1EB15A6C" w14:textId="77777777" w:rsidR="002C0FD9" w:rsidRPr="00CA25CF" w:rsidRDefault="002C0FD9" w:rsidP="00CA25CF">
            <w:pPr>
              <w:rPr>
                <w:rFonts w:cs="Arial"/>
                <w:color w:val="FF0000"/>
                <w:sz w:val="21"/>
                <w:szCs w:val="21"/>
              </w:rPr>
            </w:pPr>
          </w:p>
        </w:tc>
        <w:tc>
          <w:tcPr>
            <w:tcW w:w="217" w:type="dxa"/>
          </w:tcPr>
          <w:p w14:paraId="14E6B143" w14:textId="77777777" w:rsidR="002C0FD9" w:rsidRPr="00CA25CF" w:rsidRDefault="002C0FD9" w:rsidP="00CA25CF">
            <w:pPr>
              <w:rPr>
                <w:rFonts w:cs="Arial"/>
                <w:color w:val="FF0000"/>
                <w:sz w:val="21"/>
                <w:szCs w:val="21"/>
              </w:rPr>
            </w:pPr>
          </w:p>
        </w:tc>
        <w:tc>
          <w:tcPr>
            <w:tcW w:w="217" w:type="dxa"/>
          </w:tcPr>
          <w:p w14:paraId="712B0A83" w14:textId="77777777" w:rsidR="002C0FD9" w:rsidRPr="00CA25CF" w:rsidRDefault="002C0FD9" w:rsidP="00CA25CF">
            <w:pPr>
              <w:rPr>
                <w:rFonts w:cs="Arial"/>
                <w:color w:val="FF0000"/>
                <w:sz w:val="21"/>
                <w:szCs w:val="21"/>
              </w:rPr>
            </w:pPr>
          </w:p>
        </w:tc>
        <w:tc>
          <w:tcPr>
            <w:tcW w:w="217" w:type="dxa"/>
          </w:tcPr>
          <w:p w14:paraId="1B3F461E" w14:textId="77777777" w:rsidR="002C0FD9" w:rsidRPr="00CA25CF" w:rsidRDefault="002C0FD9" w:rsidP="00CA25CF">
            <w:pPr>
              <w:rPr>
                <w:rFonts w:cs="Arial"/>
                <w:color w:val="FF0000"/>
                <w:sz w:val="21"/>
                <w:szCs w:val="21"/>
              </w:rPr>
            </w:pPr>
          </w:p>
        </w:tc>
        <w:tc>
          <w:tcPr>
            <w:tcW w:w="217" w:type="dxa"/>
          </w:tcPr>
          <w:p w14:paraId="4CF26CCA" w14:textId="77777777" w:rsidR="002C0FD9" w:rsidRPr="00CA25CF" w:rsidRDefault="002C0FD9" w:rsidP="00CA25CF">
            <w:pPr>
              <w:rPr>
                <w:rFonts w:cs="Arial"/>
                <w:color w:val="FF0000"/>
                <w:sz w:val="21"/>
                <w:szCs w:val="21"/>
              </w:rPr>
            </w:pPr>
          </w:p>
        </w:tc>
        <w:tc>
          <w:tcPr>
            <w:tcW w:w="217" w:type="dxa"/>
          </w:tcPr>
          <w:p w14:paraId="0B446963" w14:textId="77777777" w:rsidR="002C0FD9" w:rsidRPr="00CA25CF" w:rsidRDefault="002C0FD9" w:rsidP="00CA25CF">
            <w:pPr>
              <w:rPr>
                <w:rFonts w:cs="Arial"/>
                <w:color w:val="FF0000"/>
                <w:sz w:val="21"/>
                <w:szCs w:val="21"/>
              </w:rPr>
            </w:pPr>
          </w:p>
        </w:tc>
        <w:tc>
          <w:tcPr>
            <w:tcW w:w="217" w:type="dxa"/>
          </w:tcPr>
          <w:p w14:paraId="5A8BB2EF" w14:textId="77777777" w:rsidR="002C0FD9" w:rsidRPr="00CA25CF" w:rsidRDefault="002C0FD9" w:rsidP="00CA25CF">
            <w:pPr>
              <w:rPr>
                <w:rFonts w:cs="Arial"/>
                <w:color w:val="FF0000"/>
                <w:sz w:val="21"/>
                <w:szCs w:val="21"/>
              </w:rPr>
            </w:pPr>
          </w:p>
        </w:tc>
        <w:tc>
          <w:tcPr>
            <w:tcW w:w="217" w:type="dxa"/>
          </w:tcPr>
          <w:p w14:paraId="3C5C6EF7" w14:textId="77777777" w:rsidR="002C0FD9" w:rsidRPr="00CA25CF" w:rsidRDefault="002C0FD9" w:rsidP="00CA25CF">
            <w:pPr>
              <w:rPr>
                <w:rFonts w:cs="Arial"/>
                <w:color w:val="FF0000"/>
                <w:sz w:val="21"/>
                <w:szCs w:val="21"/>
              </w:rPr>
            </w:pPr>
          </w:p>
        </w:tc>
        <w:tc>
          <w:tcPr>
            <w:tcW w:w="217" w:type="dxa"/>
          </w:tcPr>
          <w:p w14:paraId="4119C209" w14:textId="77777777" w:rsidR="002C0FD9" w:rsidRPr="00CA25CF" w:rsidRDefault="002C0FD9" w:rsidP="00CA25CF">
            <w:pPr>
              <w:rPr>
                <w:rFonts w:cs="Arial"/>
                <w:color w:val="FF0000"/>
                <w:sz w:val="21"/>
                <w:szCs w:val="21"/>
              </w:rPr>
            </w:pPr>
          </w:p>
        </w:tc>
        <w:tc>
          <w:tcPr>
            <w:tcW w:w="217" w:type="dxa"/>
          </w:tcPr>
          <w:p w14:paraId="1435B7FA" w14:textId="77777777" w:rsidR="002C0FD9" w:rsidRPr="00CA25CF" w:rsidRDefault="002C0FD9" w:rsidP="00CA25CF">
            <w:pPr>
              <w:rPr>
                <w:rFonts w:cs="Arial"/>
                <w:color w:val="FF0000"/>
                <w:sz w:val="21"/>
                <w:szCs w:val="21"/>
              </w:rPr>
            </w:pPr>
          </w:p>
        </w:tc>
        <w:tc>
          <w:tcPr>
            <w:tcW w:w="217" w:type="dxa"/>
          </w:tcPr>
          <w:p w14:paraId="6BDFAA17" w14:textId="77777777" w:rsidR="002C0FD9" w:rsidRPr="00CA25CF" w:rsidRDefault="002C0FD9" w:rsidP="00CA25CF">
            <w:pPr>
              <w:rPr>
                <w:rFonts w:cs="Arial"/>
                <w:color w:val="FF0000"/>
                <w:sz w:val="21"/>
                <w:szCs w:val="21"/>
              </w:rPr>
            </w:pPr>
          </w:p>
        </w:tc>
        <w:tc>
          <w:tcPr>
            <w:tcW w:w="217" w:type="dxa"/>
          </w:tcPr>
          <w:p w14:paraId="7E8D1E00" w14:textId="77777777" w:rsidR="002C0FD9" w:rsidRPr="00CA25CF" w:rsidRDefault="002C0FD9" w:rsidP="00CA25CF">
            <w:pPr>
              <w:rPr>
                <w:rFonts w:cs="Arial"/>
                <w:color w:val="FF0000"/>
                <w:sz w:val="21"/>
                <w:szCs w:val="21"/>
              </w:rPr>
            </w:pPr>
          </w:p>
        </w:tc>
        <w:tc>
          <w:tcPr>
            <w:tcW w:w="217" w:type="dxa"/>
          </w:tcPr>
          <w:p w14:paraId="06C4EA8D" w14:textId="77777777" w:rsidR="002C0FD9" w:rsidRPr="00CA25CF" w:rsidRDefault="002C0FD9" w:rsidP="00CA25CF">
            <w:pPr>
              <w:rPr>
                <w:rFonts w:cs="Arial"/>
                <w:color w:val="FF0000"/>
                <w:sz w:val="21"/>
                <w:szCs w:val="21"/>
              </w:rPr>
            </w:pPr>
          </w:p>
        </w:tc>
        <w:tc>
          <w:tcPr>
            <w:tcW w:w="217" w:type="dxa"/>
          </w:tcPr>
          <w:p w14:paraId="4B66E323" w14:textId="77777777" w:rsidR="002C0FD9" w:rsidRPr="00CA25CF" w:rsidRDefault="002C0FD9" w:rsidP="00CA25CF">
            <w:pPr>
              <w:rPr>
                <w:rFonts w:cs="Arial"/>
                <w:color w:val="FF0000"/>
                <w:sz w:val="21"/>
                <w:szCs w:val="21"/>
              </w:rPr>
            </w:pPr>
          </w:p>
        </w:tc>
        <w:tc>
          <w:tcPr>
            <w:tcW w:w="217" w:type="dxa"/>
          </w:tcPr>
          <w:p w14:paraId="45248D3B" w14:textId="77777777" w:rsidR="002C0FD9" w:rsidRPr="00CA25CF" w:rsidRDefault="002C0FD9" w:rsidP="00CA25CF">
            <w:pPr>
              <w:rPr>
                <w:rFonts w:cs="Arial"/>
                <w:color w:val="FF0000"/>
                <w:sz w:val="21"/>
                <w:szCs w:val="21"/>
              </w:rPr>
            </w:pPr>
          </w:p>
        </w:tc>
        <w:tc>
          <w:tcPr>
            <w:tcW w:w="217" w:type="dxa"/>
          </w:tcPr>
          <w:p w14:paraId="264AF045" w14:textId="77777777" w:rsidR="002C0FD9" w:rsidRPr="00CA25CF" w:rsidRDefault="002C0FD9" w:rsidP="00CA25CF">
            <w:pPr>
              <w:rPr>
                <w:rFonts w:cs="Arial"/>
                <w:color w:val="FF0000"/>
                <w:sz w:val="21"/>
                <w:szCs w:val="21"/>
              </w:rPr>
            </w:pPr>
          </w:p>
        </w:tc>
        <w:tc>
          <w:tcPr>
            <w:tcW w:w="217" w:type="dxa"/>
          </w:tcPr>
          <w:p w14:paraId="23F046C2" w14:textId="77777777" w:rsidR="002C0FD9" w:rsidRPr="00CA25CF" w:rsidRDefault="002C0FD9" w:rsidP="00CA25CF">
            <w:pPr>
              <w:rPr>
                <w:rFonts w:cs="Arial"/>
                <w:color w:val="FF0000"/>
                <w:sz w:val="21"/>
                <w:szCs w:val="21"/>
              </w:rPr>
            </w:pPr>
          </w:p>
        </w:tc>
        <w:tc>
          <w:tcPr>
            <w:tcW w:w="217" w:type="dxa"/>
          </w:tcPr>
          <w:p w14:paraId="53D74316" w14:textId="77777777" w:rsidR="002C0FD9" w:rsidRPr="00CA25CF" w:rsidRDefault="002C0FD9" w:rsidP="00CA25CF">
            <w:pPr>
              <w:rPr>
                <w:rFonts w:cs="Arial"/>
                <w:color w:val="FF0000"/>
                <w:sz w:val="21"/>
                <w:szCs w:val="21"/>
              </w:rPr>
            </w:pPr>
          </w:p>
        </w:tc>
        <w:tc>
          <w:tcPr>
            <w:tcW w:w="217" w:type="dxa"/>
          </w:tcPr>
          <w:p w14:paraId="04358F31" w14:textId="77777777" w:rsidR="002C0FD9" w:rsidRPr="00CA25CF" w:rsidRDefault="002C0FD9" w:rsidP="00CA25CF">
            <w:pPr>
              <w:rPr>
                <w:rFonts w:cs="Arial"/>
                <w:color w:val="FF0000"/>
                <w:sz w:val="21"/>
                <w:szCs w:val="21"/>
              </w:rPr>
            </w:pPr>
          </w:p>
        </w:tc>
        <w:tc>
          <w:tcPr>
            <w:tcW w:w="217" w:type="dxa"/>
          </w:tcPr>
          <w:p w14:paraId="15C3095E" w14:textId="77777777" w:rsidR="002C0FD9" w:rsidRPr="00CA25CF" w:rsidRDefault="002C0FD9" w:rsidP="00CA25CF">
            <w:pPr>
              <w:rPr>
                <w:rFonts w:cs="Arial"/>
                <w:color w:val="FF0000"/>
                <w:sz w:val="21"/>
                <w:szCs w:val="21"/>
              </w:rPr>
            </w:pPr>
          </w:p>
        </w:tc>
        <w:tc>
          <w:tcPr>
            <w:tcW w:w="217" w:type="dxa"/>
          </w:tcPr>
          <w:p w14:paraId="764B2852" w14:textId="77777777" w:rsidR="002C0FD9" w:rsidRPr="00CA25CF" w:rsidRDefault="002C0FD9" w:rsidP="00CA25CF">
            <w:pPr>
              <w:rPr>
                <w:rFonts w:cs="Arial"/>
                <w:color w:val="FF0000"/>
                <w:sz w:val="21"/>
                <w:szCs w:val="21"/>
              </w:rPr>
            </w:pPr>
          </w:p>
        </w:tc>
        <w:tc>
          <w:tcPr>
            <w:tcW w:w="217" w:type="dxa"/>
          </w:tcPr>
          <w:p w14:paraId="3C56D570" w14:textId="77777777" w:rsidR="002C0FD9" w:rsidRPr="00CA25CF" w:rsidRDefault="002C0FD9" w:rsidP="00CA25CF">
            <w:pPr>
              <w:rPr>
                <w:rFonts w:cs="Arial"/>
                <w:color w:val="FF0000"/>
                <w:sz w:val="21"/>
                <w:szCs w:val="21"/>
              </w:rPr>
            </w:pPr>
          </w:p>
        </w:tc>
        <w:tc>
          <w:tcPr>
            <w:tcW w:w="217" w:type="dxa"/>
          </w:tcPr>
          <w:p w14:paraId="6A470912" w14:textId="77777777" w:rsidR="002C0FD9" w:rsidRPr="00CA25CF" w:rsidRDefault="002C0FD9" w:rsidP="00CA25CF">
            <w:pPr>
              <w:rPr>
                <w:rFonts w:cs="Arial"/>
                <w:color w:val="FF0000"/>
                <w:sz w:val="21"/>
                <w:szCs w:val="21"/>
              </w:rPr>
            </w:pPr>
          </w:p>
        </w:tc>
        <w:tc>
          <w:tcPr>
            <w:tcW w:w="217" w:type="dxa"/>
          </w:tcPr>
          <w:p w14:paraId="4233DA25" w14:textId="77777777" w:rsidR="002C0FD9" w:rsidRPr="00CA25CF" w:rsidRDefault="002C0FD9" w:rsidP="00CA25CF">
            <w:pPr>
              <w:rPr>
                <w:rFonts w:cs="Arial"/>
                <w:color w:val="FF0000"/>
                <w:sz w:val="21"/>
                <w:szCs w:val="21"/>
              </w:rPr>
            </w:pPr>
          </w:p>
        </w:tc>
        <w:tc>
          <w:tcPr>
            <w:tcW w:w="217" w:type="dxa"/>
          </w:tcPr>
          <w:p w14:paraId="5A4498C7" w14:textId="77777777" w:rsidR="002C0FD9" w:rsidRPr="00CA25CF" w:rsidRDefault="002C0FD9" w:rsidP="00CA25CF">
            <w:pPr>
              <w:rPr>
                <w:rFonts w:cs="Arial"/>
                <w:color w:val="FF0000"/>
                <w:sz w:val="21"/>
                <w:szCs w:val="21"/>
              </w:rPr>
            </w:pPr>
          </w:p>
        </w:tc>
      </w:tr>
      <w:tr w:rsidR="002C0FD9" w:rsidRPr="00A16219" w14:paraId="13CF3384" w14:textId="0202B411" w:rsidTr="002C0FD9">
        <w:trPr>
          <w:trHeight w:val="635"/>
        </w:trPr>
        <w:tc>
          <w:tcPr>
            <w:tcW w:w="515" w:type="dxa"/>
          </w:tcPr>
          <w:p w14:paraId="558978DF" w14:textId="77777777" w:rsidR="002C0FD9" w:rsidRPr="00CA25CF" w:rsidRDefault="002C0FD9" w:rsidP="00CA25CF">
            <w:pPr>
              <w:rPr>
                <w:rFonts w:cs="Arial"/>
                <w:color w:val="FF0000"/>
                <w:sz w:val="21"/>
                <w:szCs w:val="21"/>
              </w:rPr>
            </w:pPr>
          </w:p>
        </w:tc>
        <w:tc>
          <w:tcPr>
            <w:tcW w:w="217" w:type="dxa"/>
          </w:tcPr>
          <w:p w14:paraId="2678ABEF" w14:textId="77777777" w:rsidR="002C0FD9" w:rsidRPr="00CA25CF" w:rsidRDefault="002C0FD9" w:rsidP="00CA25CF">
            <w:pPr>
              <w:rPr>
                <w:rFonts w:cs="Arial"/>
                <w:color w:val="FF0000"/>
                <w:sz w:val="21"/>
                <w:szCs w:val="21"/>
              </w:rPr>
            </w:pPr>
          </w:p>
        </w:tc>
        <w:tc>
          <w:tcPr>
            <w:tcW w:w="217" w:type="dxa"/>
          </w:tcPr>
          <w:p w14:paraId="15EEDCDB" w14:textId="435ECA03" w:rsidR="002C0FD9" w:rsidRPr="00CA25CF" w:rsidRDefault="002C0FD9" w:rsidP="00CA25CF">
            <w:pPr>
              <w:rPr>
                <w:rFonts w:cs="Arial"/>
                <w:color w:val="FF0000"/>
                <w:sz w:val="21"/>
                <w:szCs w:val="21"/>
              </w:rPr>
            </w:pPr>
          </w:p>
        </w:tc>
        <w:tc>
          <w:tcPr>
            <w:tcW w:w="217" w:type="dxa"/>
          </w:tcPr>
          <w:p w14:paraId="079B68DF" w14:textId="77777777" w:rsidR="002C0FD9" w:rsidRPr="00CA25CF" w:rsidRDefault="002C0FD9" w:rsidP="00CA25CF">
            <w:pPr>
              <w:rPr>
                <w:rFonts w:cs="Arial"/>
                <w:color w:val="FF0000"/>
                <w:sz w:val="21"/>
                <w:szCs w:val="21"/>
              </w:rPr>
            </w:pPr>
          </w:p>
        </w:tc>
        <w:tc>
          <w:tcPr>
            <w:tcW w:w="217" w:type="dxa"/>
          </w:tcPr>
          <w:p w14:paraId="7012E609" w14:textId="77777777" w:rsidR="002C0FD9" w:rsidRPr="00CA25CF" w:rsidRDefault="002C0FD9" w:rsidP="00CA25CF">
            <w:pPr>
              <w:rPr>
                <w:rFonts w:cs="Arial"/>
                <w:color w:val="FF0000"/>
                <w:sz w:val="21"/>
                <w:szCs w:val="21"/>
              </w:rPr>
            </w:pPr>
          </w:p>
        </w:tc>
        <w:tc>
          <w:tcPr>
            <w:tcW w:w="217" w:type="dxa"/>
          </w:tcPr>
          <w:p w14:paraId="200FDBDC" w14:textId="77777777" w:rsidR="002C0FD9" w:rsidRPr="00CA25CF" w:rsidRDefault="002C0FD9" w:rsidP="00CA25CF">
            <w:pPr>
              <w:rPr>
                <w:rFonts w:cs="Arial"/>
                <w:color w:val="FF0000"/>
                <w:sz w:val="21"/>
                <w:szCs w:val="21"/>
              </w:rPr>
            </w:pPr>
          </w:p>
        </w:tc>
        <w:tc>
          <w:tcPr>
            <w:tcW w:w="217" w:type="dxa"/>
          </w:tcPr>
          <w:p w14:paraId="1B7252AD" w14:textId="77777777" w:rsidR="002C0FD9" w:rsidRPr="00CA25CF" w:rsidRDefault="002C0FD9" w:rsidP="00CA25CF">
            <w:pPr>
              <w:rPr>
                <w:rFonts w:cs="Arial"/>
                <w:color w:val="FF0000"/>
                <w:sz w:val="21"/>
                <w:szCs w:val="21"/>
              </w:rPr>
            </w:pPr>
          </w:p>
        </w:tc>
        <w:tc>
          <w:tcPr>
            <w:tcW w:w="217" w:type="dxa"/>
          </w:tcPr>
          <w:p w14:paraId="0BDA82D4" w14:textId="77777777" w:rsidR="002C0FD9" w:rsidRPr="00CA25CF" w:rsidRDefault="002C0FD9" w:rsidP="00CA25CF">
            <w:pPr>
              <w:rPr>
                <w:rFonts w:cs="Arial"/>
                <w:color w:val="FF0000"/>
                <w:sz w:val="21"/>
                <w:szCs w:val="21"/>
              </w:rPr>
            </w:pPr>
          </w:p>
        </w:tc>
        <w:tc>
          <w:tcPr>
            <w:tcW w:w="217" w:type="dxa"/>
          </w:tcPr>
          <w:p w14:paraId="58D9B989" w14:textId="77777777" w:rsidR="002C0FD9" w:rsidRPr="00CA25CF" w:rsidRDefault="002C0FD9" w:rsidP="00CA25CF">
            <w:pPr>
              <w:rPr>
                <w:rFonts w:cs="Arial"/>
                <w:color w:val="FF0000"/>
                <w:sz w:val="21"/>
                <w:szCs w:val="21"/>
              </w:rPr>
            </w:pPr>
          </w:p>
        </w:tc>
        <w:tc>
          <w:tcPr>
            <w:tcW w:w="217" w:type="dxa"/>
          </w:tcPr>
          <w:p w14:paraId="33AF914A" w14:textId="77777777" w:rsidR="002C0FD9" w:rsidRPr="00CA25CF" w:rsidRDefault="002C0FD9" w:rsidP="00CA25CF">
            <w:pPr>
              <w:rPr>
                <w:rFonts w:cs="Arial"/>
                <w:color w:val="FF0000"/>
                <w:sz w:val="21"/>
                <w:szCs w:val="21"/>
              </w:rPr>
            </w:pPr>
          </w:p>
        </w:tc>
        <w:tc>
          <w:tcPr>
            <w:tcW w:w="217" w:type="dxa"/>
          </w:tcPr>
          <w:p w14:paraId="71659986" w14:textId="77777777" w:rsidR="002C0FD9" w:rsidRPr="00CA25CF" w:rsidRDefault="002C0FD9" w:rsidP="00CA25CF">
            <w:pPr>
              <w:rPr>
                <w:rFonts w:cs="Arial"/>
                <w:color w:val="FF0000"/>
                <w:sz w:val="21"/>
                <w:szCs w:val="21"/>
              </w:rPr>
            </w:pPr>
          </w:p>
        </w:tc>
        <w:tc>
          <w:tcPr>
            <w:tcW w:w="217" w:type="dxa"/>
          </w:tcPr>
          <w:p w14:paraId="61BF9B1F" w14:textId="77777777" w:rsidR="002C0FD9" w:rsidRPr="00CA25CF" w:rsidRDefault="002C0FD9" w:rsidP="00CA25CF">
            <w:pPr>
              <w:rPr>
                <w:rFonts w:cs="Arial"/>
                <w:color w:val="FF0000"/>
                <w:sz w:val="21"/>
                <w:szCs w:val="21"/>
              </w:rPr>
            </w:pPr>
          </w:p>
        </w:tc>
        <w:tc>
          <w:tcPr>
            <w:tcW w:w="217" w:type="dxa"/>
          </w:tcPr>
          <w:p w14:paraId="0EAECE41" w14:textId="77777777" w:rsidR="002C0FD9" w:rsidRPr="00CA25CF" w:rsidRDefault="002C0FD9" w:rsidP="00CA25CF">
            <w:pPr>
              <w:rPr>
                <w:rFonts w:cs="Arial"/>
                <w:color w:val="FF0000"/>
                <w:sz w:val="21"/>
                <w:szCs w:val="21"/>
              </w:rPr>
            </w:pPr>
          </w:p>
        </w:tc>
        <w:tc>
          <w:tcPr>
            <w:tcW w:w="217" w:type="dxa"/>
          </w:tcPr>
          <w:p w14:paraId="632B4CDB" w14:textId="77777777" w:rsidR="002C0FD9" w:rsidRPr="00CA25CF" w:rsidRDefault="002C0FD9" w:rsidP="00CA25CF">
            <w:pPr>
              <w:rPr>
                <w:rFonts w:cs="Arial"/>
                <w:color w:val="FF0000"/>
                <w:sz w:val="21"/>
                <w:szCs w:val="21"/>
              </w:rPr>
            </w:pPr>
          </w:p>
        </w:tc>
        <w:tc>
          <w:tcPr>
            <w:tcW w:w="217" w:type="dxa"/>
          </w:tcPr>
          <w:p w14:paraId="0F306513" w14:textId="77777777" w:rsidR="002C0FD9" w:rsidRPr="00CA25CF" w:rsidRDefault="002C0FD9" w:rsidP="00CA25CF">
            <w:pPr>
              <w:rPr>
                <w:rFonts w:cs="Arial"/>
                <w:color w:val="FF0000"/>
                <w:sz w:val="21"/>
                <w:szCs w:val="21"/>
              </w:rPr>
            </w:pPr>
          </w:p>
        </w:tc>
        <w:tc>
          <w:tcPr>
            <w:tcW w:w="217" w:type="dxa"/>
          </w:tcPr>
          <w:p w14:paraId="4EA23283" w14:textId="77777777" w:rsidR="002C0FD9" w:rsidRPr="00CA25CF" w:rsidRDefault="002C0FD9" w:rsidP="00CA25CF">
            <w:pPr>
              <w:rPr>
                <w:rFonts w:cs="Arial"/>
                <w:color w:val="FF0000"/>
                <w:sz w:val="21"/>
                <w:szCs w:val="21"/>
              </w:rPr>
            </w:pPr>
          </w:p>
        </w:tc>
        <w:tc>
          <w:tcPr>
            <w:tcW w:w="217" w:type="dxa"/>
          </w:tcPr>
          <w:p w14:paraId="3F78B6AA" w14:textId="77777777" w:rsidR="002C0FD9" w:rsidRPr="00CA25CF" w:rsidRDefault="002C0FD9" w:rsidP="00CA25CF">
            <w:pPr>
              <w:rPr>
                <w:rFonts w:cs="Arial"/>
                <w:color w:val="FF0000"/>
                <w:sz w:val="21"/>
                <w:szCs w:val="21"/>
              </w:rPr>
            </w:pPr>
          </w:p>
        </w:tc>
        <w:tc>
          <w:tcPr>
            <w:tcW w:w="217" w:type="dxa"/>
          </w:tcPr>
          <w:p w14:paraId="150460E4" w14:textId="77777777" w:rsidR="002C0FD9" w:rsidRPr="00CA25CF" w:rsidRDefault="002C0FD9" w:rsidP="00CA25CF">
            <w:pPr>
              <w:rPr>
                <w:rFonts w:cs="Arial"/>
                <w:color w:val="FF0000"/>
                <w:sz w:val="21"/>
                <w:szCs w:val="21"/>
              </w:rPr>
            </w:pPr>
          </w:p>
        </w:tc>
        <w:tc>
          <w:tcPr>
            <w:tcW w:w="217" w:type="dxa"/>
          </w:tcPr>
          <w:p w14:paraId="6405C917" w14:textId="77777777" w:rsidR="002C0FD9" w:rsidRPr="00CA25CF" w:rsidRDefault="002C0FD9" w:rsidP="00CA25CF">
            <w:pPr>
              <w:rPr>
                <w:rFonts w:cs="Arial"/>
                <w:color w:val="FF0000"/>
                <w:sz w:val="21"/>
                <w:szCs w:val="21"/>
              </w:rPr>
            </w:pPr>
          </w:p>
        </w:tc>
        <w:tc>
          <w:tcPr>
            <w:tcW w:w="217" w:type="dxa"/>
          </w:tcPr>
          <w:p w14:paraId="4D007562" w14:textId="77777777" w:rsidR="002C0FD9" w:rsidRPr="00CA25CF" w:rsidRDefault="002C0FD9" w:rsidP="00CA25CF">
            <w:pPr>
              <w:rPr>
                <w:rFonts w:cs="Arial"/>
                <w:color w:val="FF0000"/>
                <w:sz w:val="21"/>
                <w:szCs w:val="21"/>
              </w:rPr>
            </w:pPr>
          </w:p>
        </w:tc>
        <w:tc>
          <w:tcPr>
            <w:tcW w:w="217" w:type="dxa"/>
          </w:tcPr>
          <w:p w14:paraId="25A41E60" w14:textId="77777777" w:rsidR="002C0FD9" w:rsidRPr="00CA25CF" w:rsidRDefault="002C0FD9" w:rsidP="00CA25CF">
            <w:pPr>
              <w:rPr>
                <w:rFonts w:cs="Arial"/>
                <w:color w:val="FF0000"/>
                <w:sz w:val="21"/>
                <w:szCs w:val="21"/>
              </w:rPr>
            </w:pPr>
          </w:p>
        </w:tc>
        <w:tc>
          <w:tcPr>
            <w:tcW w:w="217" w:type="dxa"/>
          </w:tcPr>
          <w:p w14:paraId="242E0053" w14:textId="77777777" w:rsidR="002C0FD9" w:rsidRPr="00CA25CF" w:rsidRDefault="002C0FD9" w:rsidP="00CA25CF">
            <w:pPr>
              <w:rPr>
                <w:rFonts w:cs="Arial"/>
                <w:color w:val="FF0000"/>
                <w:sz w:val="21"/>
                <w:szCs w:val="21"/>
              </w:rPr>
            </w:pPr>
          </w:p>
        </w:tc>
        <w:tc>
          <w:tcPr>
            <w:tcW w:w="217" w:type="dxa"/>
          </w:tcPr>
          <w:p w14:paraId="3CC29BDC" w14:textId="77777777" w:rsidR="002C0FD9" w:rsidRPr="00CA25CF" w:rsidRDefault="002C0FD9" w:rsidP="00CA25CF">
            <w:pPr>
              <w:rPr>
                <w:rFonts w:cs="Arial"/>
                <w:color w:val="FF0000"/>
                <w:sz w:val="21"/>
                <w:szCs w:val="21"/>
              </w:rPr>
            </w:pPr>
          </w:p>
        </w:tc>
        <w:tc>
          <w:tcPr>
            <w:tcW w:w="217" w:type="dxa"/>
          </w:tcPr>
          <w:p w14:paraId="10E21CCC" w14:textId="77777777" w:rsidR="002C0FD9" w:rsidRPr="00CA25CF" w:rsidRDefault="002C0FD9" w:rsidP="00CA25CF">
            <w:pPr>
              <w:rPr>
                <w:rFonts w:cs="Arial"/>
                <w:color w:val="FF0000"/>
                <w:sz w:val="21"/>
                <w:szCs w:val="21"/>
              </w:rPr>
            </w:pPr>
          </w:p>
        </w:tc>
        <w:tc>
          <w:tcPr>
            <w:tcW w:w="217" w:type="dxa"/>
          </w:tcPr>
          <w:p w14:paraId="4D77685E" w14:textId="77777777" w:rsidR="002C0FD9" w:rsidRPr="00CA25CF" w:rsidRDefault="002C0FD9" w:rsidP="00CA25CF">
            <w:pPr>
              <w:rPr>
                <w:rFonts w:cs="Arial"/>
                <w:color w:val="FF0000"/>
                <w:sz w:val="21"/>
                <w:szCs w:val="21"/>
              </w:rPr>
            </w:pPr>
          </w:p>
        </w:tc>
        <w:tc>
          <w:tcPr>
            <w:tcW w:w="217" w:type="dxa"/>
          </w:tcPr>
          <w:p w14:paraId="78EBC911" w14:textId="77777777" w:rsidR="002C0FD9" w:rsidRPr="00CA25CF" w:rsidRDefault="002C0FD9" w:rsidP="00CA25CF">
            <w:pPr>
              <w:rPr>
                <w:rFonts w:cs="Arial"/>
                <w:color w:val="FF0000"/>
                <w:sz w:val="21"/>
                <w:szCs w:val="21"/>
              </w:rPr>
            </w:pPr>
          </w:p>
        </w:tc>
        <w:tc>
          <w:tcPr>
            <w:tcW w:w="217" w:type="dxa"/>
          </w:tcPr>
          <w:p w14:paraId="088D9919" w14:textId="77777777" w:rsidR="002C0FD9" w:rsidRPr="00CA25CF" w:rsidRDefault="002C0FD9" w:rsidP="00CA25CF">
            <w:pPr>
              <w:rPr>
                <w:rFonts w:cs="Arial"/>
                <w:color w:val="FF0000"/>
                <w:sz w:val="21"/>
                <w:szCs w:val="21"/>
              </w:rPr>
            </w:pPr>
          </w:p>
        </w:tc>
        <w:tc>
          <w:tcPr>
            <w:tcW w:w="217" w:type="dxa"/>
          </w:tcPr>
          <w:p w14:paraId="3B371A97" w14:textId="77777777" w:rsidR="002C0FD9" w:rsidRPr="00CA25CF" w:rsidRDefault="002C0FD9" w:rsidP="00CA25CF">
            <w:pPr>
              <w:rPr>
                <w:rFonts w:cs="Arial"/>
                <w:color w:val="FF0000"/>
                <w:sz w:val="21"/>
                <w:szCs w:val="21"/>
              </w:rPr>
            </w:pPr>
          </w:p>
        </w:tc>
        <w:tc>
          <w:tcPr>
            <w:tcW w:w="217" w:type="dxa"/>
          </w:tcPr>
          <w:p w14:paraId="4C03E9C6" w14:textId="77777777" w:rsidR="002C0FD9" w:rsidRPr="00CA25CF" w:rsidRDefault="002C0FD9" w:rsidP="00CA25CF">
            <w:pPr>
              <w:rPr>
                <w:rFonts w:cs="Arial"/>
                <w:color w:val="FF0000"/>
                <w:sz w:val="21"/>
                <w:szCs w:val="21"/>
              </w:rPr>
            </w:pPr>
          </w:p>
        </w:tc>
        <w:tc>
          <w:tcPr>
            <w:tcW w:w="217" w:type="dxa"/>
          </w:tcPr>
          <w:p w14:paraId="4D2C1F61" w14:textId="77777777" w:rsidR="002C0FD9" w:rsidRPr="00CA25CF" w:rsidRDefault="002C0FD9" w:rsidP="00CA25CF">
            <w:pPr>
              <w:rPr>
                <w:rFonts w:cs="Arial"/>
                <w:color w:val="FF0000"/>
                <w:sz w:val="21"/>
                <w:szCs w:val="21"/>
              </w:rPr>
            </w:pPr>
          </w:p>
        </w:tc>
        <w:tc>
          <w:tcPr>
            <w:tcW w:w="217" w:type="dxa"/>
          </w:tcPr>
          <w:p w14:paraId="30BCACE6" w14:textId="77777777" w:rsidR="002C0FD9" w:rsidRPr="00CA25CF" w:rsidRDefault="002C0FD9" w:rsidP="00CA25CF">
            <w:pPr>
              <w:rPr>
                <w:rFonts w:cs="Arial"/>
                <w:color w:val="FF0000"/>
                <w:sz w:val="21"/>
                <w:szCs w:val="21"/>
              </w:rPr>
            </w:pPr>
          </w:p>
        </w:tc>
        <w:tc>
          <w:tcPr>
            <w:tcW w:w="217" w:type="dxa"/>
          </w:tcPr>
          <w:p w14:paraId="5141B32B" w14:textId="77777777" w:rsidR="002C0FD9" w:rsidRPr="00CA25CF" w:rsidRDefault="002C0FD9" w:rsidP="00CA25CF">
            <w:pPr>
              <w:rPr>
                <w:rFonts w:cs="Arial"/>
                <w:color w:val="FF0000"/>
                <w:sz w:val="21"/>
                <w:szCs w:val="21"/>
              </w:rPr>
            </w:pPr>
          </w:p>
        </w:tc>
        <w:tc>
          <w:tcPr>
            <w:tcW w:w="217" w:type="dxa"/>
          </w:tcPr>
          <w:p w14:paraId="60835AA0" w14:textId="77777777" w:rsidR="002C0FD9" w:rsidRPr="00CA25CF" w:rsidRDefault="002C0FD9" w:rsidP="00CA25CF">
            <w:pPr>
              <w:rPr>
                <w:rFonts w:cs="Arial"/>
                <w:color w:val="FF0000"/>
                <w:sz w:val="21"/>
                <w:szCs w:val="21"/>
              </w:rPr>
            </w:pPr>
          </w:p>
        </w:tc>
        <w:tc>
          <w:tcPr>
            <w:tcW w:w="217" w:type="dxa"/>
          </w:tcPr>
          <w:p w14:paraId="2A389C72" w14:textId="77777777" w:rsidR="002C0FD9" w:rsidRPr="00CA25CF" w:rsidRDefault="002C0FD9" w:rsidP="00CA25CF">
            <w:pPr>
              <w:rPr>
                <w:rFonts w:cs="Arial"/>
                <w:color w:val="FF0000"/>
                <w:sz w:val="21"/>
                <w:szCs w:val="21"/>
              </w:rPr>
            </w:pPr>
          </w:p>
        </w:tc>
        <w:tc>
          <w:tcPr>
            <w:tcW w:w="217" w:type="dxa"/>
          </w:tcPr>
          <w:p w14:paraId="58D67F9A" w14:textId="77777777" w:rsidR="002C0FD9" w:rsidRPr="00CA25CF" w:rsidRDefault="002C0FD9" w:rsidP="00CA25CF">
            <w:pPr>
              <w:rPr>
                <w:rFonts w:cs="Arial"/>
                <w:color w:val="FF0000"/>
                <w:sz w:val="21"/>
                <w:szCs w:val="21"/>
              </w:rPr>
            </w:pPr>
          </w:p>
        </w:tc>
        <w:tc>
          <w:tcPr>
            <w:tcW w:w="217" w:type="dxa"/>
          </w:tcPr>
          <w:p w14:paraId="37EA2E02" w14:textId="77777777" w:rsidR="002C0FD9" w:rsidRPr="00CA25CF" w:rsidRDefault="002C0FD9" w:rsidP="00CA25CF">
            <w:pPr>
              <w:rPr>
                <w:rFonts w:cs="Arial"/>
                <w:color w:val="FF0000"/>
                <w:sz w:val="21"/>
                <w:szCs w:val="21"/>
              </w:rPr>
            </w:pPr>
          </w:p>
        </w:tc>
        <w:tc>
          <w:tcPr>
            <w:tcW w:w="217" w:type="dxa"/>
          </w:tcPr>
          <w:p w14:paraId="2DF3CE41" w14:textId="77777777" w:rsidR="002C0FD9" w:rsidRPr="00CA25CF" w:rsidRDefault="002C0FD9" w:rsidP="00CA25CF">
            <w:pPr>
              <w:rPr>
                <w:rFonts w:cs="Arial"/>
                <w:color w:val="FF0000"/>
                <w:sz w:val="21"/>
                <w:szCs w:val="21"/>
              </w:rPr>
            </w:pPr>
          </w:p>
        </w:tc>
        <w:tc>
          <w:tcPr>
            <w:tcW w:w="217" w:type="dxa"/>
          </w:tcPr>
          <w:p w14:paraId="7D3C710C" w14:textId="77777777" w:rsidR="002C0FD9" w:rsidRPr="00CA25CF" w:rsidRDefault="002C0FD9" w:rsidP="00CA25CF">
            <w:pPr>
              <w:rPr>
                <w:rFonts w:cs="Arial"/>
                <w:color w:val="FF0000"/>
                <w:sz w:val="21"/>
                <w:szCs w:val="21"/>
              </w:rPr>
            </w:pPr>
          </w:p>
        </w:tc>
        <w:tc>
          <w:tcPr>
            <w:tcW w:w="217" w:type="dxa"/>
          </w:tcPr>
          <w:p w14:paraId="12C9C69C" w14:textId="77777777" w:rsidR="002C0FD9" w:rsidRPr="00CA25CF" w:rsidRDefault="002C0FD9" w:rsidP="00CA25CF">
            <w:pPr>
              <w:rPr>
                <w:rFonts w:cs="Arial"/>
                <w:color w:val="FF0000"/>
                <w:sz w:val="21"/>
                <w:szCs w:val="21"/>
              </w:rPr>
            </w:pPr>
          </w:p>
        </w:tc>
        <w:tc>
          <w:tcPr>
            <w:tcW w:w="217" w:type="dxa"/>
          </w:tcPr>
          <w:p w14:paraId="61D4FBB4" w14:textId="77777777" w:rsidR="002C0FD9" w:rsidRPr="00CA25CF" w:rsidRDefault="002C0FD9" w:rsidP="00CA25CF">
            <w:pPr>
              <w:rPr>
                <w:rFonts w:cs="Arial"/>
                <w:color w:val="FF0000"/>
                <w:sz w:val="21"/>
                <w:szCs w:val="21"/>
              </w:rPr>
            </w:pPr>
          </w:p>
        </w:tc>
        <w:tc>
          <w:tcPr>
            <w:tcW w:w="217" w:type="dxa"/>
          </w:tcPr>
          <w:p w14:paraId="42C90899" w14:textId="77777777" w:rsidR="002C0FD9" w:rsidRPr="00CA25CF" w:rsidRDefault="002C0FD9" w:rsidP="00CA25CF">
            <w:pPr>
              <w:rPr>
                <w:rFonts w:cs="Arial"/>
                <w:color w:val="FF0000"/>
                <w:sz w:val="21"/>
                <w:szCs w:val="21"/>
              </w:rPr>
            </w:pPr>
          </w:p>
        </w:tc>
        <w:tc>
          <w:tcPr>
            <w:tcW w:w="217" w:type="dxa"/>
          </w:tcPr>
          <w:p w14:paraId="355BB81D" w14:textId="77777777" w:rsidR="002C0FD9" w:rsidRPr="00CA25CF" w:rsidRDefault="002C0FD9" w:rsidP="00CA25CF">
            <w:pPr>
              <w:rPr>
                <w:rFonts w:cs="Arial"/>
                <w:color w:val="FF0000"/>
                <w:sz w:val="21"/>
                <w:szCs w:val="21"/>
              </w:rPr>
            </w:pPr>
          </w:p>
        </w:tc>
        <w:tc>
          <w:tcPr>
            <w:tcW w:w="217" w:type="dxa"/>
          </w:tcPr>
          <w:p w14:paraId="1AB304E8" w14:textId="77777777" w:rsidR="002C0FD9" w:rsidRPr="00CA25CF" w:rsidRDefault="002C0FD9" w:rsidP="00CA25CF">
            <w:pPr>
              <w:rPr>
                <w:rFonts w:cs="Arial"/>
                <w:color w:val="FF0000"/>
                <w:sz w:val="21"/>
                <w:szCs w:val="21"/>
              </w:rPr>
            </w:pPr>
          </w:p>
        </w:tc>
      </w:tr>
      <w:tr w:rsidR="002C0FD9" w:rsidRPr="00A16219" w14:paraId="5CA739A9" w14:textId="582490AC" w:rsidTr="002C0FD9">
        <w:trPr>
          <w:trHeight w:val="635"/>
        </w:trPr>
        <w:tc>
          <w:tcPr>
            <w:tcW w:w="515" w:type="dxa"/>
          </w:tcPr>
          <w:p w14:paraId="0EF80DBF" w14:textId="77777777" w:rsidR="002C0FD9" w:rsidRPr="00CA25CF" w:rsidRDefault="002C0FD9" w:rsidP="00CA25CF">
            <w:pPr>
              <w:rPr>
                <w:rFonts w:cs="Arial"/>
                <w:color w:val="FF0000"/>
                <w:sz w:val="21"/>
                <w:szCs w:val="21"/>
              </w:rPr>
            </w:pPr>
          </w:p>
        </w:tc>
        <w:tc>
          <w:tcPr>
            <w:tcW w:w="217" w:type="dxa"/>
          </w:tcPr>
          <w:p w14:paraId="32DE1A1D" w14:textId="77777777" w:rsidR="002C0FD9" w:rsidRPr="00CA25CF" w:rsidRDefault="002C0FD9" w:rsidP="00CA25CF">
            <w:pPr>
              <w:rPr>
                <w:rFonts w:cs="Arial"/>
                <w:color w:val="FF0000"/>
                <w:sz w:val="21"/>
                <w:szCs w:val="21"/>
              </w:rPr>
            </w:pPr>
          </w:p>
        </w:tc>
        <w:tc>
          <w:tcPr>
            <w:tcW w:w="217" w:type="dxa"/>
          </w:tcPr>
          <w:p w14:paraId="5D34141A" w14:textId="31700E37" w:rsidR="002C0FD9" w:rsidRPr="00CA25CF" w:rsidRDefault="002C0FD9" w:rsidP="00CA25CF">
            <w:pPr>
              <w:rPr>
                <w:rFonts w:cs="Arial"/>
                <w:color w:val="FF0000"/>
                <w:sz w:val="21"/>
                <w:szCs w:val="21"/>
              </w:rPr>
            </w:pPr>
          </w:p>
        </w:tc>
        <w:tc>
          <w:tcPr>
            <w:tcW w:w="217" w:type="dxa"/>
          </w:tcPr>
          <w:p w14:paraId="31F420BB" w14:textId="77777777" w:rsidR="002C0FD9" w:rsidRPr="00CA25CF" w:rsidRDefault="002C0FD9" w:rsidP="00CA25CF">
            <w:pPr>
              <w:rPr>
                <w:rFonts w:cs="Arial"/>
                <w:color w:val="FF0000"/>
                <w:sz w:val="21"/>
                <w:szCs w:val="21"/>
              </w:rPr>
            </w:pPr>
          </w:p>
        </w:tc>
        <w:tc>
          <w:tcPr>
            <w:tcW w:w="217" w:type="dxa"/>
          </w:tcPr>
          <w:p w14:paraId="7D98865D" w14:textId="77777777" w:rsidR="002C0FD9" w:rsidRPr="00CA25CF" w:rsidRDefault="002C0FD9" w:rsidP="00CA25CF">
            <w:pPr>
              <w:rPr>
                <w:rFonts w:cs="Arial"/>
                <w:color w:val="FF0000"/>
                <w:sz w:val="21"/>
                <w:szCs w:val="21"/>
              </w:rPr>
            </w:pPr>
          </w:p>
        </w:tc>
        <w:tc>
          <w:tcPr>
            <w:tcW w:w="217" w:type="dxa"/>
          </w:tcPr>
          <w:p w14:paraId="5F679538" w14:textId="77777777" w:rsidR="002C0FD9" w:rsidRPr="00CA25CF" w:rsidRDefault="002C0FD9" w:rsidP="00CA25CF">
            <w:pPr>
              <w:rPr>
                <w:rFonts w:cs="Arial"/>
                <w:color w:val="FF0000"/>
                <w:sz w:val="21"/>
                <w:szCs w:val="21"/>
              </w:rPr>
            </w:pPr>
          </w:p>
        </w:tc>
        <w:tc>
          <w:tcPr>
            <w:tcW w:w="217" w:type="dxa"/>
          </w:tcPr>
          <w:p w14:paraId="23D473B7" w14:textId="77777777" w:rsidR="002C0FD9" w:rsidRPr="00CA25CF" w:rsidRDefault="002C0FD9" w:rsidP="00CA25CF">
            <w:pPr>
              <w:rPr>
                <w:rFonts w:cs="Arial"/>
                <w:color w:val="FF0000"/>
                <w:sz w:val="21"/>
                <w:szCs w:val="21"/>
              </w:rPr>
            </w:pPr>
          </w:p>
        </w:tc>
        <w:tc>
          <w:tcPr>
            <w:tcW w:w="217" w:type="dxa"/>
          </w:tcPr>
          <w:p w14:paraId="2867FC50" w14:textId="77777777" w:rsidR="002C0FD9" w:rsidRPr="00CA25CF" w:rsidRDefault="002C0FD9" w:rsidP="00CA25CF">
            <w:pPr>
              <w:rPr>
                <w:rFonts w:cs="Arial"/>
                <w:color w:val="FF0000"/>
                <w:sz w:val="21"/>
                <w:szCs w:val="21"/>
              </w:rPr>
            </w:pPr>
          </w:p>
        </w:tc>
        <w:tc>
          <w:tcPr>
            <w:tcW w:w="217" w:type="dxa"/>
          </w:tcPr>
          <w:p w14:paraId="384751D2" w14:textId="77777777" w:rsidR="002C0FD9" w:rsidRPr="00CA25CF" w:rsidRDefault="002C0FD9" w:rsidP="00CA25CF">
            <w:pPr>
              <w:rPr>
                <w:rFonts w:cs="Arial"/>
                <w:color w:val="FF0000"/>
                <w:sz w:val="21"/>
                <w:szCs w:val="21"/>
              </w:rPr>
            </w:pPr>
          </w:p>
        </w:tc>
        <w:tc>
          <w:tcPr>
            <w:tcW w:w="217" w:type="dxa"/>
          </w:tcPr>
          <w:p w14:paraId="231AA714" w14:textId="77777777" w:rsidR="002C0FD9" w:rsidRPr="00CA25CF" w:rsidRDefault="002C0FD9" w:rsidP="00CA25CF">
            <w:pPr>
              <w:rPr>
                <w:rFonts w:cs="Arial"/>
                <w:color w:val="FF0000"/>
                <w:sz w:val="21"/>
                <w:szCs w:val="21"/>
              </w:rPr>
            </w:pPr>
          </w:p>
        </w:tc>
        <w:tc>
          <w:tcPr>
            <w:tcW w:w="217" w:type="dxa"/>
          </w:tcPr>
          <w:p w14:paraId="5088702C" w14:textId="77777777" w:rsidR="002C0FD9" w:rsidRPr="00CA25CF" w:rsidRDefault="002C0FD9" w:rsidP="00CA25CF">
            <w:pPr>
              <w:rPr>
                <w:rFonts w:cs="Arial"/>
                <w:color w:val="FF0000"/>
                <w:sz w:val="21"/>
                <w:szCs w:val="21"/>
              </w:rPr>
            </w:pPr>
          </w:p>
        </w:tc>
        <w:tc>
          <w:tcPr>
            <w:tcW w:w="217" w:type="dxa"/>
          </w:tcPr>
          <w:p w14:paraId="1D4433E2" w14:textId="77777777" w:rsidR="002C0FD9" w:rsidRPr="00CA25CF" w:rsidRDefault="002C0FD9" w:rsidP="00CA25CF">
            <w:pPr>
              <w:rPr>
                <w:rFonts w:cs="Arial"/>
                <w:color w:val="FF0000"/>
                <w:sz w:val="21"/>
                <w:szCs w:val="21"/>
              </w:rPr>
            </w:pPr>
          </w:p>
        </w:tc>
        <w:tc>
          <w:tcPr>
            <w:tcW w:w="217" w:type="dxa"/>
          </w:tcPr>
          <w:p w14:paraId="5C872E28" w14:textId="77777777" w:rsidR="002C0FD9" w:rsidRPr="00CA25CF" w:rsidRDefault="002C0FD9" w:rsidP="00CA25CF">
            <w:pPr>
              <w:rPr>
                <w:rFonts w:cs="Arial"/>
                <w:color w:val="FF0000"/>
                <w:sz w:val="21"/>
                <w:szCs w:val="21"/>
              </w:rPr>
            </w:pPr>
          </w:p>
        </w:tc>
        <w:tc>
          <w:tcPr>
            <w:tcW w:w="217" w:type="dxa"/>
          </w:tcPr>
          <w:p w14:paraId="49029231" w14:textId="77777777" w:rsidR="002C0FD9" w:rsidRPr="00CA25CF" w:rsidRDefault="002C0FD9" w:rsidP="00CA25CF">
            <w:pPr>
              <w:rPr>
                <w:rFonts w:cs="Arial"/>
                <w:color w:val="FF0000"/>
                <w:sz w:val="21"/>
                <w:szCs w:val="21"/>
              </w:rPr>
            </w:pPr>
          </w:p>
        </w:tc>
        <w:tc>
          <w:tcPr>
            <w:tcW w:w="217" w:type="dxa"/>
          </w:tcPr>
          <w:p w14:paraId="02AF3D98" w14:textId="77777777" w:rsidR="002C0FD9" w:rsidRPr="00CA25CF" w:rsidRDefault="002C0FD9" w:rsidP="00CA25CF">
            <w:pPr>
              <w:rPr>
                <w:rFonts w:cs="Arial"/>
                <w:color w:val="FF0000"/>
                <w:sz w:val="21"/>
                <w:szCs w:val="21"/>
              </w:rPr>
            </w:pPr>
          </w:p>
        </w:tc>
        <w:tc>
          <w:tcPr>
            <w:tcW w:w="217" w:type="dxa"/>
          </w:tcPr>
          <w:p w14:paraId="17DA90E4" w14:textId="77777777" w:rsidR="002C0FD9" w:rsidRPr="00CA25CF" w:rsidRDefault="002C0FD9" w:rsidP="00CA25CF">
            <w:pPr>
              <w:rPr>
                <w:rFonts w:cs="Arial"/>
                <w:color w:val="FF0000"/>
                <w:sz w:val="21"/>
                <w:szCs w:val="21"/>
              </w:rPr>
            </w:pPr>
          </w:p>
        </w:tc>
        <w:tc>
          <w:tcPr>
            <w:tcW w:w="217" w:type="dxa"/>
          </w:tcPr>
          <w:p w14:paraId="36F535CD" w14:textId="77777777" w:rsidR="002C0FD9" w:rsidRPr="00CA25CF" w:rsidRDefault="002C0FD9" w:rsidP="00CA25CF">
            <w:pPr>
              <w:rPr>
                <w:rFonts w:cs="Arial"/>
                <w:color w:val="FF0000"/>
                <w:sz w:val="21"/>
                <w:szCs w:val="21"/>
              </w:rPr>
            </w:pPr>
          </w:p>
        </w:tc>
        <w:tc>
          <w:tcPr>
            <w:tcW w:w="217" w:type="dxa"/>
          </w:tcPr>
          <w:p w14:paraId="781DC213" w14:textId="77777777" w:rsidR="002C0FD9" w:rsidRPr="00CA25CF" w:rsidRDefault="002C0FD9" w:rsidP="00CA25CF">
            <w:pPr>
              <w:rPr>
                <w:rFonts w:cs="Arial"/>
                <w:color w:val="FF0000"/>
                <w:sz w:val="21"/>
                <w:szCs w:val="21"/>
              </w:rPr>
            </w:pPr>
          </w:p>
        </w:tc>
        <w:tc>
          <w:tcPr>
            <w:tcW w:w="217" w:type="dxa"/>
          </w:tcPr>
          <w:p w14:paraId="28AB537B" w14:textId="77777777" w:rsidR="002C0FD9" w:rsidRPr="00CA25CF" w:rsidRDefault="002C0FD9" w:rsidP="00CA25CF">
            <w:pPr>
              <w:rPr>
                <w:rFonts w:cs="Arial"/>
                <w:color w:val="FF0000"/>
                <w:sz w:val="21"/>
                <w:szCs w:val="21"/>
              </w:rPr>
            </w:pPr>
          </w:p>
        </w:tc>
        <w:tc>
          <w:tcPr>
            <w:tcW w:w="217" w:type="dxa"/>
          </w:tcPr>
          <w:p w14:paraId="4FAE63D5" w14:textId="77777777" w:rsidR="002C0FD9" w:rsidRPr="00CA25CF" w:rsidRDefault="002C0FD9" w:rsidP="00CA25CF">
            <w:pPr>
              <w:rPr>
                <w:rFonts w:cs="Arial"/>
                <w:color w:val="FF0000"/>
                <w:sz w:val="21"/>
                <w:szCs w:val="21"/>
              </w:rPr>
            </w:pPr>
          </w:p>
        </w:tc>
        <w:tc>
          <w:tcPr>
            <w:tcW w:w="217" w:type="dxa"/>
          </w:tcPr>
          <w:p w14:paraId="7038CD86" w14:textId="77777777" w:rsidR="002C0FD9" w:rsidRPr="00CA25CF" w:rsidRDefault="002C0FD9" w:rsidP="00CA25CF">
            <w:pPr>
              <w:rPr>
                <w:rFonts w:cs="Arial"/>
                <w:color w:val="FF0000"/>
                <w:sz w:val="21"/>
                <w:szCs w:val="21"/>
              </w:rPr>
            </w:pPr>
          </w:p>
        </w:tc>
        <w:tc>
          <w:tcPr>
            <w:tcW w:w="217" w:type="dxa"/>
          </w:tcPr>
          <w:p w14:paraId="4E318424" w14:textId="77777777" w:rsidR="002C0FD9" w:rsidRPr="00CA25CF" w:rsidRDefault="002C0FD9" w:rsidP="00CA25CF">
            <w:pPr>
              <w:rPr>
                <w:rFonts w:cs="Arial"/>
                <w:color w:val="FF0000"/>
                <w:sz w:val="21"/>
                <w:szCs w:val="21"/>
              </w:rPr>
            </w:pPr>
          </w:p>
        </w:tc>
        <w:tc>
          <w:tcPr>
            <w:tcW w:w="217" w:type="dxa"/>
          </w:tcPr>
          <w:p w14:paraId="0DCEFD24" w14:textId="77777777" w:rsidR="002C0FD9" w:rsidRPr="00CA25CF" w:rsidRDefault="002C0FD9" w:rsidP="00CA25CF">
            <w:pPr>
              <w:rPr>
                <w:rFonts w:cs="Arial"/>
                <w:color w:val="FF0000"/>
                <w:sz w:val="21"/>
                <w:szCs w:val="21"/>
              </w:rPr>
            </w:pPr>
          </w:p>
        </w:tc>
        <w:tc>
          <w:tcPr>
            <w:tcW w:w="217" w:type="dxa"/>
          </w:tcPr>
          <w:p w14:paraId="58D1FBB5" w14:textId="77777777" w:rsidR="002C0FD9" w:rsidRPr="00CA25CF" w:rsidRDefault="002C0FD9" w:rsidP="00CA25CF">
            <w:pPr>
              <w:rPr>
                <w:rFonts w:cs="Arial"/>
                <w:color w:val="FF0000"/>
                <w:sz w:val="21"/>
                <w:szCs w:val="21"/>
              </w:rPr>
            </w:pPr>
          </w:p>
        </w:tc>
        <w:tc>
          <w:tcPr>
            <w:tcW w:w="217" w:type="dxa"/>
          </w:tcPr>
          <w:p w14:paraId="0AB24059" w14:textId="77777777" w:rsidR="002C0FD9" w:rsidRPr="00CA25CF" w:rsidRDefault="002C0FD9" w:rsidP="00CA25CF">
            <w:pPr>
              <w:rPr>
                <w:rFonts w:cs="Arial"/>
                <w:color w:val="FF0000"/>
                <w:sz w:val="21"/>
                <w:szCs w:val="21"/>
              </w:rPr>
            </w:pPr>
          </w:p>
        </w:tc>
        <w:tc>
          <w:tcPr>
            <w:tcW w:w="217" w:type="dxa"/>
          </w:tcPr>
          <w:p w14:paraId="735B57E4" w14:textId="77777777" w:rsidR="002C0FD9" w:rsidRPr="00CA25CF" w:rsidRDefault="002C0FD9" w:rsidP="00CA25CF">
            <w:pPr>
              <w:rPr>
                <w:rFonts w:cs="Arial"/>
                <w:color w:val="FF0000"/>
                <w:sz w:val="21"/>
                <w:szCs w:val="21"/>
              </w:rPr>
            </w:pPr>
          </w:p>
        </w:tc>
        <w:tc>
          <w:tcPr>
            <w:tcW w:w="217" w:type="dxa"/>
          </w:tcPr>
          <w:p w14:paraId="1247C390" w14:textId="77777777" w:rsidR="002C0FD9" w:rsidRPr="00CA25CF" w:rsidRDefault="002C0FD9" w:rsidP="00CA25CF">
            <w:pPr>
              <w:rPr>
                <w:rFonts w:cs="Arial"/>
                <w:color w:val="FF0000"/>
                <w:sz w:val="21"/>
                <w:szCs w:val="21"/>
              </w:rPr>
            </w:pPr>
          </w:p>
        </w:tc>
        <w:tc>
          <w:tcPr>
            <w:tcW w:w="217" w:type="dxa"/>
          </w:tcPr>
          <w:p w14:paraId="662616D8" w14:textId="77777777" w:rsidR="002C0FD9" w:rsidRPr="00CA25CF" w:rsidRDefault="002C0FD9" w:rsidP="00CA25CF">
            <w:pPr>
              <w:rPr>
                <w:rFonts w:cs="Arial"/>
                <w:color w:val="FF0000"/>
                <w:sz w:val="21"/>
                <w:szCs w:val="21"/>
              </w:rPr>
            </w:pPr>
          </w:p>
        </w:tc>
        <w:tc>
          <w:tcPr>
            <w:tcW w:w="217" w:type="dxa"/>
          </w:tcPr>
          <w:p w14:paraId="5E474AC3" w14:textId="77777777" w:rsidR="002C0FD9" w:rsidRPr="00CA25CF" w:rsidRDefault="002C0FD9" w:rsidP="00CA25CF">
            <w:pPr>
              <w:rPr>
                <w:rFonts w:cs="Arial"/>
                <w:color w:val="FF0000"/>
                <w:sz w:val="21"/>
                <w:szCs w:val="21"/>
              </w:rPr>
            </w:pPr>
          </w:p>
        </w:tc>
        <w:tc>
          <w:tcPr>
            <w:tcW w:w="217" w:type="dxa"/>
          </w:tcPr>
          <w:p w14:paraId="700C0310" w14:textId="77777777" w:rsidR="002C0FD9" w:rsidRPr="00CA25CF" w:rsidRDefault="002C0FD9" w:rsidP="00CA25CF">
            <w:pPr>
              <w:rPr>
                <w:rFonts w:cs="Arial"/>
                <w:color w:val="FF0000"/>
                <w:sz w:val="21"/>
                <w:szCs w:val="21"/>
              </w:rPr>
            </w:pPr>
          </w:p>
        </w:tc>
        <w:tc>
          <w:tcPr>
            <w:tcW w:w="217" w:type="dxa"/>
          </w:tcPr>
          <w:p w14:paraId="17DE700E" w14:textId="77777777" w:rsidR="002C0FD9" w:rsidRPr="00CA25CF" w:rsidRDefault="002C0FD9" w:rsidP="00CA25CF">
            <w:pPr>
              <w:rPr>
                <w:rFonts w:cs="Arial"/>
                <w:color w:val="FF0000"/>
                <w:sz w:val="21"/>
                <w:szCs w:val="21"/>
              </w:rPr>
            </w:pPr>
          </w:p>
        </w:tc>
        <w:tc>
          <w:tcPr>
            <w:tcW w:w="217" w:type="dxa"/>
          </w:tcPr>
          <w:p w14:paraId="4B7D8A7F" w14:textId="77777777" w:rsidR="002C0FD9" w:rsidRPr="00CA25CF" w:rsidRDefault="002C0FD9" w:rsidP="00CA25CF">
            <w:pPr>
              <w:rPr>
                <w:rFonts w:cs="Arial"/>
                <w:color w:val="FF0000"/>
                <w:sz w:val="21"/>
                <w:szCs w:val="21"/>
              </w:rPr>
            </w:pPr>
          </w:p>
        </w:tc>
        <w:tc>
          <w:tcPr>
            <w:tcW w:w="217" w:type="dxa"/>
          </w:tcPr>
          <w:p w14:paraId="2A3719EE" w14:textId="77777777" w:rsidR="002C0FD9" w:rsidRPr="00CA25CF" w:rsidRDefault="002C0FD9" w:rsidP="00CA25CF">
            <w:pPr>
              <w:rPr>
                <w:rFonts w:cs="Arial"/>
                <w:color w:val="FF0000"/>
                <w:sz w:val="21"/>
                <w:szCs w:val="21"/>
              </w:rPr>
            </w:pPr>
          </w:p>
        </w:tc>
        <w:tc>
          <w:tcPr>
            <w:tcW w:w="217" w:type="dxa"/>
          </w:tcPr>
          <w:p w14:paraId="1EEA999A" w14:textId="77777777" w:rsidR="002C0FD9" w:rsidRPr="00CA25CF" w:rsidRDefault="002C0FD9" w:rsidP="00CA25CF">
            <w:pPr>
              <w:rPr>
                <w:rFonts w:cs="Arial"/>
                <w:color w:val="FF0000"/>
                <w:sz w:val="21"/>
                <w:szCs w:val="21"/>
              </w:rPr>
            </w:pPr>
          </w:p>
        </w:tc>
        <w:tc>
          <w:tcPr>
            <w:tcW w:w="217" w:type="dxa"/>
          </w:tcPr>
          <w:p w14:paraId="29137021" w14:textId="77777777" w:rsidR="002C0FD9" w:rsidRPr="00CA25CF" w:rsidRDefault="002C0FD9" w:rsidP="00CA25CF">
            <w:pPr>
              <w:rPr>
                <w:rFonts w:cs="Arial"/>
                <w:color w:val="FF0000"/>
                <w:sz w:val="21"/>
                <w:szCs w:val="21"/>
              </w:rPr>
            </w:pPr>
          </w:p>
        </w:tc>
        <w:tc>
          <w:tcPr>
            <w:tcW w:w="217" w:type="dxa"/>
          </w:tcPr>
          <w:p w14:paraId="69C16AE4" w14:textId="77777777" w:rsidR="002C0FD9" w:rsidRPr="00CA25CF" w:rsidRDefault="002C0FD9" w:rsidP="00CA25CF">
            <w:pPr>
              <w:rPr>
                <w:rFonts w:cs="Arial"/>
                <w:color w:val="FF0000"/>
                <w:sz w:val="21"/>
                <w:szCs w:val="21"/>
              </w:rPr>
            </w:pPr>
          </w:p>
        </w:tc>
        <w:tc>
          <w:tcPr>
            <w:tcW w:w="217" w:type="dxa"/>
          </w:tcPr>
          <w:p w14:paraId="3C2EA2EA" w14:textId="77777777" w:rsidR="002C0FD9" w:rsidRPr="00CA25CF" w:rsidRDefault="002C0FD9" w:rsidP="00CA25CF">
            <w:pPr>
              <w:rPr>
                <w:rFonts w:cs="Arial"/>
                <w:color w:val="FF0000"/>
                <w:sz w:val="21"/>
                <w:szCs w:val="21"/>
              </w:rPr>
            </w:pPr>
          </w:p>
        </w:tc>
        <w:tc>
          <w:tcPr>
            <w:tcW w:w="217" w:type="dxa"/>
          </w:tcPr>
          <w:p w14:paraId="642CCF09" w14:textId="77777777" w:rsidR="002C0FD9" w:rsidRPr="00CA25CF" w:rsidRDefault="002C0FD9" w:rsidP="00CA25CF">
            <w:pPr>
              <w:rPr>
                <w:rFonts w:cs="Arial"/>
                <w:color w:val="FF0000"/>
                <w:sz w:val="21"/>
                <w:szCs w:val="21"/>
              </w:rPr>
            </w:pPr>
          </w:p>
        </w:tc>
        <w:tc>
          <w:tcPr>
            <w:tcW w:w="217" w:type="dxa"/>
          </w:tcPr>
          <w:p w14:paraId="260F78EB" w14:textId="77777777" w:rsidR="002C0FD9" w:rsidRPr="00CA25CF" w:rsidRDefault="002C0FD9" w:rsidP="00CA25CF">
            <w:pPr>
              <w:rPr>
                <w:rFonts w:cs="Arial"/>
                <w:color w:val="FF0000"/>
                <w:sz w:val="21"/>
                <w:szCs w:val="21"/>
              </w:rPr>
            </w:pPr>
          </w:p>
        </w:tc>
        <w:tc>
          <w:tcPr>
            <w:tcW w:w="217" w:type="dxa"/>
          </w:tcPr>
          <w:p w14:paraId="3A9E9162" w14:textId="77777777" w:rsidR="002C0FD9" w:rsidRPr="00CA25CF" w:rsidRDefault="002C0FD9" w:rsidP="00CA25CF">
            <w:pPr>
              <w:rPr>
                <w:rFonts w:cs="Arial"/>
                <w:color w:val="FF0000"/>
                <w:sz w:val="21"/>
                <w:szCs w:val="21"/>
              </w:rPr>
            </w:pPr>
          </w:p>
        </w:tc>
        <w:tc>
          <w:tcPr>
            <w:tcW w:w="217" w:type="dxa"/>
          </w:tcPr>
          <w:p w14:paraId="703C3769" w14:textId="77777777" w:rsidR="002C0FD9" w:rsidRPr="00CA25CF" w:rsidRDefault="002C0FD9" w:rsidP="00CA25CF">
            <w:pPr>
              <w:rPr>
                <w:rFonts w:cs="Arial"/>
                <w:color w:val="FF0000"/>
                <w:sz w:val="21"/>
                <w:szCs w:val="21"/>
              </w:rPr>
            </w:pPr>
          </w:p>
        </w:tc>
        <w:tc>
          <w:tcPr>
            <w:tcW w:w="217" w:type="dxa"/>
          </w:tcPr>
          <w:p w14:paraId="5126BD0A" w14:textId="77777777" w:rsidR="002C0FD9" w:rsidRPr="00CA25CF" w:rsidRDefault="002C0FD9" w:rsidP="00CA25CF">
            <w:pPr>
              <w:rPr>
                <w:rFonts w:cs="Arial"/>
                <w:color w:val="FF0000"/>
                <w:sz w:val="21"/>
                <w:szCs w:val="21"/>
              </w:rPr>
            </w:pPr>
          </w:p>
        </w:tc>
        <w:tc>
          <w:tcPr>
            <w:tcW w:w="217" w:type="dxa"/>
          </w:tcPr>
          <w:p w14:paraId="562F1940" w14:textId="77777777" w:rsidR="002C0FD9" w:rsidRPr="00CA25CF" w:rsidRDefault="002C0FD9" w:rsidP="00CA25CF">
            <w:pPr>
              <w:rPr>
                <w:rFonts w:cs="Arial"/>
                <w:color w:val="FF0000"/>
                <w:sz w:val="21"/>
                <w:szCs w:val="21"/>
              </w:rPr>
            </w:pPr>
          </w:p>
        </w:tc>
      </w:tr>
      <w:tr w:rsidR="002C0FD9" w:rsidRPr="00A16219" w14:paraId="6FEC8F85" w14:textId="5F610D9A" w:rsidTr="002C0FD9">
        <w:trPr>
          <w:trHeight w:val="635"/>
        </w:trPr>
        <w:tc>
          <w:tcPr>
            <w:tcW w:w="515" w:type="dxa"/>
          </w:tcPr>
          <w:p w14:paraId="165BE768" w14:textId="77777777" w:rsidR="002C0FD9" w:rsidRPr="00CA25CF" w:rsidRDefault="002C0FD9" w:rsidP="00CA25CF">
            <w:pPr>
              <w:rPr>
                <w:rFonts w:cs="Arial"/>
                <w:color w:val="FF0000"/>
                <w:sz w:val="21"/>
                <w:szCs w:val="21"/>
              </w:rPr>
            </w:pPr>
          </w:p>
        </w:tc>
        <w:tc>
          <w:tcPr>
            <w:tcW w:w="217" w:type="dxa"/>
          </w:tcPr>
          <w:p w14:paraId="1029F31A" w14:textId="77777777" w:rsidR="002C0FD9" w:rsidRPr="00CA25CF" w:rsidRDefault="002C0FD9" w:rsidP="00CA25CF">
            <w:pPr>
              <w:rPr>
                <w:rFonts w:cs="Arial"/>
                <w:color w:val="FF0000"/>
                <w:sz w:val="21"/>
                <w:szCs w:val="21"/>
              </w:rPr>
            </w:pPr>
          </w:p>
        </w:tc>
        <w:tc>
          <w:tcPr>
            <w:tcW w:w="217" w:type="dxa"/>
          </w:tcPr>
          <w:p w14:paraId="5EC9408B" w14:textId="20FFCB60" w:rsidR="002C0FD9" w:rsidRPr="00CA25CF" w:rsidRDefault="002C0FD9" w:rsidP="00CA25CF">
            <w:pPr>
              <w:rPr>
                <w:rFonts w:cs="Arial"/>
                <w:color w:val="FF0000"/>
                <w:sz w:val="21"/>
                <w:szCs w:val="21"/>
              </w:rPr>
            </w:pPr>
          </w:p>
        </w:tc>
        <w:tc>
          <w:tcPr>
            <w:tcW w:w="217" w:type="dxa"/>
          </w:tcPr>
          <w:p w14:paraId="69BE0470" w14:textId="77777777" w:rsidR="002C0FD9" w:rsidRPr="00CA25CF" w:rsidRDefault="002C0FD9" w:rsidP="00CA25CF">
            <w:pPr>
              <w:rPr>
                <w:rFonts w:cs="Arial"/>
                <w:color w:val="FF0000"/>
                <w:sz w:val="21"/>
                <w:szCs w:val="21"/>
              </w:rPr>
            </w:pPr>
          </w:p>
        </w:tc>
        <w:tc>
          <w:tcPr>
            <w:tcW w:w="217" w:type="dxa"/>
          </w:tcPr>
          <w:p w14:paraId="39BD24C3" w14:textId="77777777" w:rsidR="002C0FD9" w:rsidRPr="00CA25CF" w:rsidRDefault="002C0FD9" w:rsidP="00CA25CF">
            <w:pPr>
              <w:rPr>
                <w:rFonts w:cs="Arial"/>
                <w:color w:val="FF0000"/>
                <w:sz w:val="21"/>
                <w:szCs w:val="21"/>
              </w:rPr>
            </w:pPr>
          </w:p>
        </w:tc>
        <w:tc>
          <w:tcPr>
            <w:tcW w:w="217" w:type="dxa"/>
          </w:tcPr>
          <w:p w14:paraId="28383225" w14:textId="77777777" w:rsidR="002C0FD9" w:rsidRPr="00CA25CF" w:rsidRDefault="002C0FD9" w:rsidP="00CA25CF">
            <w:pPr>
              <w:rPr>
                <w:rFonts w:cs="Arial"/>
                <w:color w:val="FF0000"/>
                <w:sz w:val="21"/>
                <w:szCs w:val="21"/>
              </w:rPr>
            </w:pPr>
          </w:p>
        </w:tc>
        <w:tc>
          <w:tcPr>
            <w:tcW w:w="217" w:type="dxa"/>
          </w:tcPr>
          <w:p w14:paraId="0EE87F19" w14:textId="77777777" w:rsidR="002C0FD9" w:rsidRPr="00CA25CF" w:rsidRDefault="002C0FD9" w:rsidP="00CA25CF">
            <w:pPr>
              <w:rPr>
                <w:rFonts w:cs="Arial"/>
                <w:color w:val="FF0000"/>
                <w:sz w:val="21"/>
                <w:szCs w:val="21"/>
              </w:rPr>
            </w:pPr>
          </w:p>
        </w:tc>
        <w:tc>
          <w:tcPr>
            <w:tcW w:w="217" w:type="dxa"/>
          </w:tcPr>
          <w:p w14:paraId="0860AAC4" w14:textId="77777777" w:rsidR="002C0FD9" w:rsidRPr="00CA25CF" w:rsidRDefault="002C0FD9" w:rsidP="00CA25CF">
            <w:pPr>
              <w:rPr>
                <w:rFonts w:cs="Arial"/>
                <w:color w:val="FF0000"/>
                <w:sz w:val="21"/>
                <w:szCs w:val="21"/>
              </w:rPr>
            </w:pPr>
          </w:p>
        </w:tc>
        <w:tc>
          <w:tcPr>
            <w:tcW w:w="217" w:type="dxa"/>
          </w:tcPr>
          <w:p w14:paraId="7F83DC05" w14:textId="77777777" w:rsidR="002C0FD9" w:rsidRPr="00CA25CF" w:rsidRDefault="002C0FD9" w:rsidP="00CA25CF">
            <w:pPr>
              <w:rPr>
                <w:rFonts w:cs="Arial"/>
                <w:color w:val="FF0000"/>
                <w:sz w:val="21"/>
                <w:szCs w:val="21"/>
              </w:rPr>
            </w:pPr>
          </w:p>
        </w:tc>
        <w:tc>
          <w:tcPr>
            <w:tcW w:w="217" w:type="dxa"/>
          </w:tcPr>
          <w:p w14:paraId="009C9C37" w14:textId="77777777" w:rsidR="002C0FD9" w:rsidRPr="00CA25CF" w:rsidRDefault="002C0FD9" w:rsidP="00CA25CF">
            <w:pPr>
              <w:rPr>
                <w:rFonts w:cs="Arial"/>
                <w:color w:val="FF0000"/>
                <w:sz w:val="21"/>
                <w:szCs w:val="21"/>
              </w:rPr>
            </w:pPr>
          </w:p>
        </w:tc>
        <w:tc>
          <w:tcPr>
            <w:tcW w:w="217" w:type="dxa"/>
          </w:tcPr>
          <w:p w14:paraId="132188C7" w14:textId="77777777" w:rsidR="002C0FD9" w:rsidRPr="00CA25CF" w:rsidRDefault="002C0FD9" w:rsidP="00CA25CF">
            <w:pPr>
              <w:rPr>
                <w:rFonts w:cs="Arial"/>
                <w:color w:val="FF0000"/>
                <w:sz w:val="21"/>
                <w:szCs w:val="21"/>
              </w:rPr>
            </w:pPr>
          </w:p>
        </w:tc>
        <w:tc>
          <w:tcPr>
            <w:tcW w:w="217" w:type="dxa"/>
          </w:tcPr>
          <w:p w14:paraId="088906E0" w14:textId="77777777" w:rsidR="002C0FD9" w:rsidRPr="00CA25CF" w:rsidRDefault="002C0FD9" w:rsidP="00CA25CF">
            <w:pPr>
              <w:rPr>
                <w:rFonts w:cs="Arial"/>
                <w:color w:val="FF0000"/>
                <w:sz w:val="21"/>
                <w:szCs w:val="21"/>
              </w:rPr>
            </w:pPr>
          </w:p>
        </w:tc>
        <w:tc>
          <w:tcPr>
            <w:tcW w:w="217" w:type="dxa"/>
          </w:tcPr>
          <w:p w14:paraId="0BD9706B" w14:textId="77777777" w:rsidR="002C0FD9" w:rsidRPr="00CA25CF" w:rsidRDefault="002C0FD9" w:rsidP="00CA25CF">
            <w:pPr>
              <w:rPr>
                <w:rFonts w:cs="Arial"/>
                <w:color w:val="FF0000"/>
                <w:sz w:val="21"/>
                <w:szCs w:val="21"/>
              </w:rPr>
            </w:pPr>
          </w:p>
        </w:tc>
        <w:tc>
          <w:tcPr>
            <w:tcW w:w="217" w:type="dxa"/>
          </w:tcPr>
          <w:p w14:paraId="2FBA7B12" w14:textId="77777777" w:rsidR="002C0FD9" w:rsidRPr="00CA25CF" w:rsidRDefault="002C0FD9" w:rsidP="00CA25CF">
            <w:pPr>
              <w:rPr>
                <w:rFonts w:cs="Arial"/>
                <w:color w:val="FF0000"/>
                <w:sz w:val="21"/>
                <w:szCs w:val="21"/>
              </w:rPr>
            </w:pPr>
          </w:p>
        </w:tc>
        <w:tc>
          <w:tcPr>
            <w:tcW w:w="217" w:type="dxa"/>
          </w:tcPr>
          <w:p w14:paraId="20103A98" w14:textId="77777777" w:rsidR="002C0FD9" w:rsidRPr="00CA25CF" w:rsidRDefault="002C0FD9" w:rsidP="00CA25CF">
            <w:pPr>
              <w:rPr>
                <w:rFonts w:cs="Arial"/>
                <w:color w:val="FF0000"/>
                <w:sz w:val="21"/>
                <w:szCs w:val="21"/>
              </w:rPr>
            </w:pPr>
          </w:p>
        </w:tc>
        <w:tc>
          <w:tcPr>
            <w:tcW w:w="217" w:type="dxa"/>
          </w:tcPr>
          <w:p w14:paraId="29A49B45" w14:textId="77777777" w:rsidR="002C0FD9" w:rsidRPr="00CA25CF" w:rsidRDefault="002C0FD9" w:rsidP="00CA25CF">
            <w:pPr>
              <w:rPr>
                <w:rFonts w:cs="Arial"/>
                <w:color w:val="FF0000"/>
                <w:sz w:val="21"/>
                <w:szCs w:val="21"/>
              </w:rPr>
            </w:pPr>
          </w:p>
        </w:tc>
        <w:tc>
          <w:tcPr>
            <w:tcW w:w="217" w:type="dxa"/>
          </w:tcPr>
          <w:p w14:paraId="2AE5712F" w14:textId="77777777" w:rsidR="002C0FD9" w:rsidRPr="00CA25CF" w:rsidRDefault="002C0FD9" w:rsidP="00CA25CF">
            <w:pPr>
              <w:rPr>
                <w:rFonts w:cs="Arial"/>
                <w:color w:val="FF0000"/>
                <w:sz w:val="21"/>
                <w:szCs w:val="21"/>
              </w:rPr>
            </w:pPr>
          </w:p>
        </w:tc>
        <w:tc>
          <w:tcPr>
            <w:tcW w:w="217" w:type="dxa"/>
          </w:tcPr>
          <w:p w14:paraId="3F33E25E" w14:textId="77777777" w:rsidR="002C0FD9" w:rsidRPr="00CA25CF" w:rsidRDefault="002C0FD9" w:rsidP="00CA25CF">
            <w:pPr>
              <w:rPr>
                <w:rFonts w:cs="Arial"/>
                <w:color w:val="FF0000"/>
                <w:sz w:val="21"/>
                <w:szCs w:val="21"/>
              </w:rPr>
            </w:pPr>
          </w:p>
        </w:tc>
        <w:tc>
          <w:tcPr>
            <w:tcW w:w="217" w:type="dxa"/>
          </w:tcPr>
          <w:p w14:paraId="447FFA84" w14:textId="77777777" w:rsidR="002C0FD9" w:rsidRPr="00CA25CF" w:rsidRDefault="002C0FD9" w:rsidP="00CA25CF">
            <w:pPr>
              <w:rPr>
                <w:rFonts w:cs="Arial"/>
                <w:color w:val="FF0000"/>
                <w:sz w:val="21"/>
                <w:szCs w:val="21"/>
              </w:rPr>
            </w:pPr>
          </w:p>
        </w:tc>
        <w:tc>
          <w:tcPr>
            <w:tcW w:w="217" w:type="dxa"/>
          </w:tcPr>
          <w:p w14:paraId="7CBA6B52" w14:textId="77777777" w:rsidR="002C0FD9" w:rsidRPr="00CA25CF" w:rsidRDefault="002C0FD9" w:rsidP="00CA25CF">
            <w:pPr>
              <w:rPr>
                <w:rFonts w:cs="Arial"/>
                <w:color w:val="FF0000"/>
                <w:sz w:val="21"/>
                <w:szCs w:val="21"/>
              </w:rPr>
            </w:pPr>
          </w:p>
        </w:tc>
        <w:tc>
          <w:tcPr>
            <w:tcW w:w="217" w:type="dxa"/>
          </w:tcPr>
          <w:p w14:paraId="16B43309" w14:textId="77777777" w:rsidR="002C0FD9" w:rsidRPr="00CA25CF" w:rsidRDefault="002C0FD9" w:rsidP="00CA25CF">
            <w:pPr>
              <w:rPr>
                <w:rFonts w:cs="Arial"/>
                <w:color w:val="FF0000"/>
                <w:sz w:val="21"/>
                <w:szCs w:val="21"/>
              </w:rPr>
            </w:pPr>
          </w:p>
        </w:tc>
        <w:tc>
          <w:tcPr>
            <w:tcW w:w="217" w:type="dxa"/>
          </w:tcPr>
          <w:p w14:paraId="1A1698B1" w14:textId="77777777" w:rsidR="002C0FD9" w:rsidRPr="00CA25CF" w:rsidRDefault="002C0FD9" w:rsidP="00CA25CF">
            <w:pPr>
              <w:rPr>
                <w:rFonts w:cs="Arial"/>
                <w:color w:val="FF0000"/>
                <w:sz w:val="21"/>
                <w:szCs w:val="21"/>
              </w:rPr>
            </w:pPr>
          </w:p>
        </w:tc>
        <w:tc>
          <w:tcPr>
            <w:tcW w:w="217" w:type="dxa"/>
          </w:tcPr>
          <w:p w14:paraId="2953C2A9" w14:textId="77777777" w:rsidR="002C0FD9" w:rsidRPr="00CA25CF" w:rsidRDefault="002C0FD9" w:rsidP="00CA25CF">
            <w:pPr>
              <w:rPr>
                <w:rFonts w:cs="Arial"/>
                <w:color w:val="FF0000"/>
                <w:sz w:val="21"/>
                <w:szCs w:val="21"/>
              </w:rPr>
            </w:pPr>
          </w:p>
        </w:tc>
        <w:tc>
          <w:tcPr>
            <w:tcW w:w="217" w:type="dxa"/>
          </w:tcPr>
          <w:p w14:paraId="0D5F8E96" w14:textId="77777777" w:rsidR="002C0FD9" w:rsidRPr="00CA25CF" w:rsidRDefault="002C0FD9" w:rsidP="00CA25CF">
            <w:pPr>
              <w:rPr>
                <w:rFonts w:cs="Arial"/>
                <w:color w:val="FF0000"/>
                <w:sz w:val="21"/>
                <w:szCs w:val="21"/>
              </w:rPr>
            </w:pPr>
          </w:p>
        </w:tc>
        <w:tc>
          <w:tcPr>
            <w:tcW w:w="217" w:type="dxa"/>
          </w:tcPr>
          <w:p w14:paraId="25EDC505" w14:textId="77777777" w:rsidR="002C0FD9" w:rsidRPr="00CA25CF" w:rsidRDefault="002C0FD9" w:rsidP="00CA25CF">
            <w:pPr>
              <w:rPr>
                <w:rFonts w:cs="Arial"/>
                <w:color w:val="FF0000"/>
                <w:sz w:val="21"/>
                <w:szCs w:val="21"/>
              </w:rPr>
            </w:pPr>
          </w:p>
        </w:tc>
        <w:tc>
          <w:tcPr>
            <w:tcW w:w="217" w:type="dxa"/>
          </w:tcPr>
          <w:p w14:paraId="2DAC10F5" w14:textId="77777777" w:rsidR="002C0FD9" w:rsidRPr="00CA25CF" w:rsidRDefault="002C0FD9" w:rsidP="00CA25CF">
            <w:pPr>
              <w:rPr>
                <w:rFonts w:cs="Arial"/>
                <w:color w:val="FF0000"/>
                <w:sz w:val="21"/>
                <w:szCs w:val="21"/>
              </w:rPr>
            </w:pPr>
          </w:p>
        </w:tc>
        <w:tc>
          <w:tcPr>
            <w:tcW w:w="217" w:type="dxa"/>
          </w:tcPr>
          <w:p w14:paraId="3D134D10" w14:textId="77777777" w:rsidR="002C0FD9" w:rsidRPr="00CA25CF" w:rsidRDefault="002C0FD9" w:rsidP="00CA25CF">
            <w:pPr>
              <w:rPr>
                <w:rFonts w:cs="Arial"/>
                <w:color w:val="FF0000"/>
                <w:sz w:val="21"/>
                <w:szCs w:val="21"/>
              </w:rPr>
            </w:pPr>
          </w:p>
        </w:tc>
        <w:tc>
          <w:tcPr>
            <w:tcW w:w="217" w:type="dxa"/>
          </w:tcPr>
          <w:p w14:paraId="28803249" w14:textId="77777777" w:rsidR="002C0FD9" w:rsidRPr="00CA25CF" w:rsidRDefault="002C0FD9" w:rsidP="00CA25CF">
            <w:pPr>
              <w:rPr>
                <w:rFonts w:cs="Arial"/>
                <w:color w:val="FF0000"/>
                <w:sz w:val="21"/>
                <w:szCs w:val="21"/>
              </w:rPr>
            </w:pPr>
          </w:p>
        </w:tc>
        <w:tc>
          <w:tcPr>
            <w:tcW w:w="217" w:type="dxa"/>
          </w:tcPr>
          <w:p w14:paraId="5915DB55" w14:textId="77777777" w:rsidR="002C0FD9" w:rsidRPr="00CA25CF" w:rsidRDefault="002C0FD9" w:rsidP="00CA25CF">
            <w:pPr>
              <w:rPr>
                <w:rFonts w:cs="Arial"/>
                <w:color w:val="FF0000"/>
                <w:sz w:val="21"/>
                <w:szCs w:val="21"/>
              </w:rPr>
            </w:pPr>
          </w:p>
        </w:tc>
        <w:tc>
          <w:tcPr>
            <w:tcW w:w="217" w:type="dxa"/>
          </w:tcPr>
          <w:p w14:paraId="368C2A4A" w14:textId="77777777" w:rsidR="002C0FD9" w:rsidRPr="00CA25CF" w:rsidRDefault="002C0FD9" w:rsidP="00CA25CF">
            <w:pPr>
              <w:rPr>
                <w:rFonts w:cs="Arial"/>
                <w:color w:val="FF0000"/>
                <w:sz w:val="21"/>
                <w:szCs w:val="21"/>
              </w:rPr>
            </w:pPr>
          </w:p>
        </w:tc>
        <w:tc>
          <w:tcPr>
            <w:tcW w:w="217" w:type="dxa"/>
          </w:tcPr>
          <w:p w14:paraId="3A3F2DA1" w14:textId="77777777" w:rsidR="002C0FD9" w:rsidRPr="00CA25CF" w:rsidRDefault="002C0FD9" w:rsidP="00CA25CF">
            <w:pPr>
              <w:rPr>
                <w:rFonts w:cs="Arial"/>
                <w:color w:val="FF0000"/>
                <w:sz w:val="21"/>
                <w:szCs w:val="21"/>
              </w:rPr>
            </w:pPr>
          </w:p>
        </w:tc>
        <w:tc>
          <w:tcPr>
            <w:tcW w:w="217" w:type="dxa"/>
          </w:tcPr>
          <w:p w14:paraId="24C63DAD" w14:textId="77777777" w:rsidR="002C0FD9" w:rsidRPr="00CA25CF" w:rsidRDefault="002C0FD9" w:rsidP="00CA25CF">
            <w:pPr>
              <w:rPr>
                <w:rFonts w:cs="Arial"/>
                <w:color w:val="FF0000"/>
                <w:sz w:val="21"/>
                <w:szCs w:val="21"/>
              </w:rPr>
            </w:pPr>
          </w:p>
        </w:tc>
        <w:tc>
          <w:tcPr>
            <w:tcW w:w="217" w:type="dxa"/>
          </w:tcPr>
          <w:p w14:paraId="6438D490" w14:textId="77777777" w:rsidR="002C0FD9" w:rsidRPr="00CA25CF" w:rsidRDefault="002C0FD9" w:rsidP="00CA25CF">
            <w:pPr>
              <w:rPr>
                <w:rFonts w:cs="Arial"/>
                <w:color w:val="FF0000"/>
                <w:sz w:val="21"/>
                <w:szCs w:val="21"/>
              </w:rPr>
            </w:pPr>
          </w:p>
        </w:tc>
        <w:tc>
          <w:tcPr>
            <w:tcW w:w="217" w:type="dxa"/>
          </w:tcPr>
          <w:p w14:paraId="733F736C" w14:textId="77777777" w:rsidR="002C0FD9" w:rsidRPr="00CA25CF" w:rsidRDefault="002C0FD9" w:rsidP="00CA25CF">
            <w:pPr>
              <w:rPr>
                <w:rFonts w:cs="Arial"/>
                <w:color w:val="FF0000"/>
                <w:sz w:val="21"/>
                <w:szCs w:val="21"/>
              </w:rPr>
            </w:pPr>
          </w:p>
        </w:tc>
        <w:tc>
          <w:tcPr>
            <w:tcW w:w="217" w:type="dxa"/>
          </w:tcPr>
          <w:p w14:paraId="643BF1A4" w14:textId="77777777" w:rsidR="002C0FD9" w:rsidRPr="00CA25CF" w:rsidRDefault="002C0FD9" w:rsidP="00CA25CF">
            <w:pPr>
              <w:rPr>
                <w:rFonts w:cs="Arial"/>
                <w:color w:val="FF0000"/>
                <w:sz w:val="21"/>
                <w:szCs w:val="21"/>
              </w:rPr>
            </w:pPr>
          </w:p>
        </w:tc>
        <w:tc>
          <w:tcPr>
            <w:tcW w:w="217" w:type="dxa"/>
          </w:tcPr>
          <w:p w14:paraId="6AB200B5" w14:textId="77777777" w:rsidR="002C0FD9" w:rsidRPr="00CA25CF" w:rsidRDefault="002C0FD9" w:rsidP="00CA25CF">
            <w:pPr>
              <w:rPr>
                <w:rFonts w:cs="Arial"/>
                <w:color w:val="FF0000"/>
                <w:sz w:val="21"/>
                <w:szCs w:val="21"/>
              </w:rPr>
            </w:pPr>
          </w:p>
        </w:tc>
        <w:tc>
          <w:tcPr>
            <w:tcW w:w="217" w:type="dxa"/>
          </w:tcPr>
          <w:p w14:paraId="49D221AE" w14:textId="77777777" w:rsidR="002C0FD9" w:rsidRPr="00CA25CF" w:rsidRDefault="002C0FD9" w:rsidP="00CA25CF">
            <w:pPr>
              <w:rPr>
                <w:rFonts w:cs="Arial"/>
                <w:color w:val="FF0000"/>
                <w:sz w:val="21"/>
                <w:szCs w:val="21"/>
              </w:rPr>
            </w:pPr>
          </w:p>
        </w:tc>
        <w:tc>
          <w:tcPr>
            <w:tcW w:w="217" w:type="dxa"/>
          </w:tcPr>
          <w:p w14:paraId="1D62E8B4" w14:textId="77777777" w:rsidR="002C0FD9" w:rsidRPr="00CA25CF" w:rsidRDefault="002C0FD9" w:rsidP="00CA25CF">
            <w:pPr>
              <w:rPr>
                <w:rFonts w:cs="Arial"/>
                <w:color w:val="FF0000"/>
                <w:sz w:val="21"/>
                <w:szCs w:val="21"/>
              </w:rPr>
            </w:pPr>
          </w:p>
        </w:tc>
        <w:tc>
          <w:tcPr>
            <w:tcW w:w="217" w:type="dxa"/>
          </w:tcPr>
          <w:p w14:paraId="768608B8" w14:textId="77777777" w:rsidR="002C0FD9" w:rsidRPr="00CA25CF" w:rsidRDefault="002C0FD9" w:rsidP="00CA25CF">
            <w:pPr>
              <w:rPr>
                <w:rFonts w:cs="Arial"/>
                <w:color w:val="FF0000"/>
                <w:sz w:val="21"/>
                <w:szCs w:val="21"/>
              </w:rPr>
            </w:pPr>
          </w:p>
        </w:tc>
        <w:tc>
          <w:tcPr>
            <w:tcW w:w="217" w:type="dxa"/>
          </w:tcPr>
          <w:p w14:paraId="0F09780D" w14:textId="77777777" w:rsidR="002C0FD9" w:rsidRPr="00CA25CF" w:rsidRDefault="002C0FD9" w:rsidP="00CA25CF">
            <w:pPr>
              <w:rPr>
                <w:rFonts w:cs="Arial"/>
                <w:color w:val="FF0000"/>
                <w:sz w:val="21"/>
                <w:szCs w:val="21"/>
              </w:rPr>
            </w:pPr>
          </w:p>
        </w:tc>
        <w:tc>
          <w:tcPr>
            <w:tcW w:w="217" w:type="dxa"/>
          </w:tcPr>
          <w:p w14:paraId="794F5247" w14:textId="77777777" w:rsidR="002C0FD9" w:rsidRPr="00CA25CF" w:rsidRDefault="002C0FD9" w:rsidP="00CA25CF">
            <w:pPr>
              <w:rPr>
                <w:rFonts w:cs="Arial"/>
                <w:color w:val="FF0000"/>
                <w:sz w:val="21"/>
                <w:szCs w:val="21"/>
              </w:rPr>
            </w:pPr>
          </w:p>
        </w:tc>
        <w:tc>
          <w:tcPr>
            <w:tcW w:w="217" w:type="dxa"/>
          </w:tcPr>
          <w:p w14:paraId="73145989" w14:textId="77777777" w:rsidR="002C0FD9" w:rsidRPr="00CA25CF" w:rsidRDefault="002C0FD9" w:rsidP="00CA25CF">
            <w:pPr>
              <w:rPr>
                <w:rFonts w:cs="Arial"/>
                <w:color w:val="FF0000"/>
                <w:sz w:val="21"/>
                <w:szCs w:val="21"/>
              </w:rPr>
            </w:pPr>
          </w:p>
        </w:tc>
        <w:tc>
          <w:tcPr>
            <w:tcW w:w="217" w:type="dxa"/>
          </w:tcPr>
          <w:p w14:paraId="6EBBE49D" w14:textId="77777777" w:rsidR="002C0FD9" w:rsidRPr="00CA25CF" w:rsidRDefault="002C0FD9" w:rsidP="00CA25CF">
            <w:pPr>
              <w:rPr>
                <w:rFonts w:cs="Arial"/>
                <w:color w:val="FF0000"/>
                <w:sz w:val="21"/>
                <w:szCs w:val="21"/>
              </w:rPr>
            </w:pPr>
          </w:p>
        </w:tc>
      </w:tr>
      <w:tr w:rsidR="002C0FD9" w:rsidRPr="00A16219" w14:paraId="50633ED4" w14:textId="506752E8" w:rsidTr="002C0FD9">
        <w:trPr>
          <w:trHeight w:val="635"/>
        </w:trPr>
        <w:tc>
          <w:tcPr>
            <w:tcW w:w="515" w:type="dxa"/>
          </w:tcPr>
          <w:p w14:paraId="614ADD9F" w14:textId="77777777" w:rsidR="002C0FD9" w:rsidRPr="00CA25CF" w:rsidRDefault="002C0FD9" w:rsidP="00CA25CF">
            <w:pPr>
              <w:rPr>
                <w:rFonts w:cs="Arial"/>
                <w:color w:val="FF0000"/>
                <w:sz w:val="21"/>
                <w:szCs w:val="21"/>
              </w:rPr>
            </w:pPr>
          </w:p>
        </w:tc>
        <w:tc>
          <w:tcPr>
            <w:tcW w:w="217" w:type="dxa"/>
          </w:tcPr>
          <w:p w14:paraId="3700B0AB" w14:textId="77777777" w:rsidR="002C0FD9" w:rsidRPr="00CA25CF" w:rsidRDefault="002C0FD9" w:rsidP="00CA25CF">
            <w:pPr>
              <w:rPr>
                <w:rFonts w:cs="Arial"/>
                <w:color w:val="FF0000"/>
                <w:sz w:val="21"/>
                <w:szCs w:val="21"/>
              </w:rPr>
            </w:pPr>
          </w:p>
        </w:tc>
        <w:tc>
          <w:tcPr>
            <w:tcW w:w="217" w:type="dxa"/>
          </w:tcPr>
          <w:p w14:paraId="102503CB" w14:textId="043316DC" w:rsidR="002C0FD9" w:rsidRPr="00CA25CF" w:rsidRDefault="002C0FD9" w:rsidP="00CA25CF">
            <w:pPr>
              <w:rPr>
                <w:rFonts w:cs="Arial"/>
                <w:color w:val="FF0000"/>
                <w:sz w:val="21"/>
                <w:szCs w:val="21"/>
              </w:rPr>
            </w:pPr>
          </w:p>
        </w:tc>
        <w:tc>
          <w:tcPr>
            <w:tcW w:w="217" w:type="dxa"/>
          </w:tcPr>
          <w:p w14:paraId="770F2CDA" w14:textId="77777777" w:rsidR="002C0FD9" w:rsidRPr="00CA25CF" w:rsidRDefault="002C0FD9" w:rsidP="00CA25CF">
            <w:pPr>
              <w:rPr>
                <w:rFonts w:cs="Arial"/>
                <w:color w:val="FF0000"/>
                <w:sz w:val="21"/>
                <w:szCs w:val="21"/>
              </w:rPr>
            </w:pPr>
          </w:p>
        </w:tc>
        <w:tc>
          <w:tcPr>
            <w:tcW w:w="217" w:type="dxa"/>
          </w:tcPr>
          <w:p w14:paraId="1C38AA8C" w14:textId="77777777" w:rsidR="002C0FD9" w:rsidRPr="00CA25CF" w:rsidRDefault="002C0FD9" w:rsidP="00CA25CF">
            <w:pPr>
              <w:rPr>
                <w:rFonts w:cs="Arial"/>
                <w:color w:val="FF0000"/>
                <w:sz w:val="21"/>
                <w:szCs w:val="21"/>
              </w:rPr>
            </w:pPr>
          </w:p>
        </w:tc>
        <w:tc>
          <w:tcPr>
            <w:tcW w:w="217" w:type="dxa"/>
          </w:tcPr>
          <w:p w14:paraId="44F3805F" w14:textId="77777777" w:rsidR="002C0FD9" w:rsidRPr="00CA25CF" w:rsidRDefault="002C0FD9" w:rsidP="00CA25CF">
            <w:pPr>
              <w:rPr>
                <w:rFonts w:cs="Arial"/>
                <w:color w:val="FF0000"/>
                <w:sz w:val="21"/>
                <w:szCs w:val="21"/>
              </w:rPr>
            </w:pPr>
          </w:p>
        </w:tc>
        <w:tc>
          <w:tcPr>
            <w:tcW w:w="217" w:type="dxa"/>
          </w:tcPr>
          <w:p w14:paraId="4C90893D" w14:textId="77777777" w:rsidR="002C0FD9" w:rsidRPr="00CA25CF" w:rsidRDefault="002C0FD9" w:rsidP="00CA25CF">
            <w:pPr>
              <w:rPr>
                <w:rFonts w:cs="Arial"/>
                <w:color w:val="FF0000"/>
                <w:sz w:val="21"/>
                <w:szCs w:val="21"/>
              </w:rPr>
            </w:pPr>
          </w:p>
        </w:tc>
        <w:tc>
          <w:tcPr>
            <w:tcW w:w="217" w:type="dxa"/>
          </w:tcPr>
          <w:p w14:paraId="5FEDC2FF" w14:textId="77777777" w:rsidR="002C0FD9" w:rsidRPr="00CA25CF" w:rsidRDefault="002C0FD9" w:rsidP="00CA25CF">
            <w:pPr>
              <w:rPr>
                <w:rFonts w:cs="Arial"/>
                <w:color w:val="FF0000"/>
                <w:sz w:val="21"/>
                <w:szCs w:val="21"/>
              </w:rPr>
            </w:pPr>
          </w:p>
        </w:tc>
        <w:tc>
          <w:tcPr>
            <w:tcW w:w="217" w:type="dxa"/>
          </w:tcPr>
          <w:p w14:paraId="3F5EA8AC" w14:textId="77777777" w:rsidR="002C0FD9" w:rsidRPr="00CA25CF" w:rsidRDefault="002C0FD9" w:rsidP="00CA25CF">
            <w:pPr>
              <w:rPr>
                <w:rFonts w:cs="Arial"/>
                <w:color w:val="FF0000"/>
                <w:sz w:val="21"/>
                <w:szCs w:val="21"/>
              </w:rPr>
            </w:pPr>
          </w:p>
        </w:tc>
        <w:tc>
          <w:tcPr>
            <w:tcW w:w="217" w:type="dxa"/>
          </w:tcPr>
          <w:p w14:paraId="2D79A7E0" w14:textId="77777777" w:rsidR="002C0FD9" w:rsidRPr="00CA25CF" w:rsidRDefault="002C0FD9" w:rsidP="00CA25CF">
            <w:pPr>
              <w:rPr>
                <w:rFonts w:cs="Arial"/>
                <w:color w:val="FF0000"/>
                <w:sz w:val="21"/>
                <w:szCs w:val="21"/>
              </w:rPr>
            </w:pPr>
          </w:p>
        </w:tc>
        <w:tc>
          <w:tcPr>
            <w:tcW w:w="217" w:type="dxa"/>
          </w:tcPr>
          <w:p w14:paraId="2F2A0A9A" w14:textId="77777777" w:rsidR="002C0FD9" w:rsidRPr="00CA25CF" w:rsidRDefault="002C0FD9" w:rsidP="00CA25CF">
            <w:pPr>
              <w:rPr>
                <w:rFonts w:cs="Arial"/>
                <w:color w:val="FF0000"/>
                <w:sz w:val="21"/>
                <w:szCs w:val="21"/>
              </w:rPr>
            </w:pPr>
          </w:p>
        </w:tc>
        <w:tc>
          <w:tcPr>
            <w:tcW w:w="217" w:type="dxa"/>
          </w:tcPr>
          <w:p w14:paraId="7AE581B2" w14:textId="77777777" w:rsidR="002C0FD9" w:rsidRPr="00CA25CF" w:rsidRDefault="002C0FD9" w:rsidP="00CA25CF">
            <w:pPr>
              <w:rPr>
                <w:rFonts w:cs="Arial"/>
                <w:color w:val="FF0000"/>
                <w:sz w:val="21"/>
                <w:szCs w:val="21"/>
              </w:rPr>
            </w:pPr>
          </w:p>
        </w:tc>
        <w:tc>
          <w:tcPr>
            <w:tcW w:w="217" w:type="dxa"/>
          </w:tcPr>
          <w:p w14:paraId="51AD7C01" w14:textId="77777777" w:rsidR="002C0FD9" w:rsidRPr="00CA25CF" w:rsidRDefault="002C0FD9" w:rsidP="00CA25CF">
            <w:pPr>
              <w:rPr>
                <w:rFonts w:cs="Arial"/>
                <w:color w:val="FF0000"/>
                <w:sz w:val="21"/>
                <w:szCs w:val="21"/>
              </w:rPr>
            </w:pPr>
          </w:p>
        </w:tc>
        <w:tc>
          <w:tcPr>
            <w:tcW w:w="217" w:type="dxa"/>
          </w:tcPr>
          <w:p w14:paraId="077B1340" w14:textId="77777777" w:rsidR="002C0FD9" w:rsidRPr="00CA25CF" w:rsidRDefault="002C0FD9" w:rsidP="00CA25CF">
            <w:pPr>
              <w:rPr>
                <w:rFonts w:cs="Arial"/>
                <w:color w:val="FF0000"/>
                <w:sz w:val="21"/>
                <w:szCs w:val="21"/>
              </w:rPr>
            </w:pPr>
          </w:p>
        </w:tc>
        <w:tc>
          <w:tcPr>
            <w:tcW w:w="217" w:type="dxa"/>
          </w:tcPr>
          <w:p w14:paraId="179E2C69" w14:textId="77777777" w:rsidR="002C0FD9" w:rsidRPr="00CA25CF" w:rsidRDefault="002C0FD9" w:rsidP="00CA25CF">
            <w:pPr>
              <w:rPr>
                <w:rFonts w:cs="Arial"/>
                <w:color w:val="FF0000"/>
                <w:sz w:val="21"/>
                <w:szCs w:val="21"/>
              </w:rPr>
            </w:pPr>
          </w:p>
        </w:tc>
        <w:tc>
          <w:tcPr>
            <w:tcW w:w="217" w:type="dxa"/>
          </w:tcPr>
          <w:p w14:paraId="2A1A676D" w14:textId="77777777" w:rsidR="002C0FD9" w:rsidRPr="00CA25CF" w:rsidRDefault="002C0FD9" w:rsidP="00CA25CF">
            <w:pPr>
              <w:rPr>
                <w:rFonts w:cs="Arial"/>
                <w:color w:val="FF0000"/>
                <w:sz w:val="21"/>
                <w:szCs w:val="21"/>
              </w:rPr>
            </w:pPr>
          </w:p>
        </w:tc>
        <w:tc>
          <w:tcPr>
            <w:tcW w:w="217" w:type="dxa"/>
          </w:tcPr>
          <w:p w14:paraId="51FE8BAD" w14:textId="77777777" w:rsidR="002C0FD9" w:rsidRPr="00CA25CF" w:rsidRDefault="002C0FD9" w:rsidP="00CA25CF">
            <w:pPr>
              <w:rPr>
                <w:rFonts w:cs="Arial"/>
                <w:color w:val="FF0000"/>
                <w:sz w:val="21"/>
                <w:szCs w:val="21"/>
              </w:rPr>
            </w:pPr>
          </w:p>
        </w:tc>
        <w:tc>
          <w:tcPr>
            <w:tcW w:w="217" w:type="dxa"/>
          </w:tcPr>
          <w:p w14:paraId="2D4145D7" w14:textId="77777777" w:rsidR="002C0FD9" w:rsidRPr="00CA25CF" w:rsidRDefault="002C0FD9" w:rsidP="00CA25CF">
            <w:pPr>
              <w:rPr>
                <w:rFonts w:cs="Arial"/>
                <w:color w:val="FF0000"/>
                <w:sz w:val="21"/>
                <w:szCs w:val="21"/>
              </w:rPr>
            </w:pPr>
          </w:p>
        </w:tc>
        <w:tc>
          <w:tcPr>
            <w:tcW w:w="217" w:type="dxa"/>
          </w:tcPr>
          <w:p w14:paraId="3C21025A" w14:textId="77777777" w:rsidR="002C0FD9" w:rsidRPr="00CA25CF" w:rsidRDefault="002C0FD9" w:rsidP="00CA25CF">
            <w:pPr>
              <w:rPr>
                <w:rFonts w:cs="Arial"/>
                <w:color w:val="FF0000"/>
                <w:sz w:val="21"/>
                <w:szCs w:val="21"/>
              </w:rPr>
            </w:pPr>
          </w:p>
        </w:tc>
        <w:tc>
          <w:tcPr>
            <w:tcW w:w="217" w:type="dxa"/>
          </w:tcPr>
          <w:p w14:paraId="596407D7" w14:textId="77777777" w:rsidR="002C0FD9" w:rsidRPr="00CA25CF" w:rsidRDefault="002C0FD9" w:rsidP="00CA25CF">
            <w:pPr>
              <w:rPr>
                <w:rFonts w:cs="Arial"/>
                <w:color w:val="FF0000"/>
                <w:sz w:val="21"/>
                <w:szCs w:val="21"/>
              </w:rPr>
            </w:pPr>
          </w:p>
        </w:tc>
        <w:tc>
          <w:tcPr>
            <w:tcW w:w="217" w:type="dxa"/>
          </w:tcPr>
          <w:p w14:paraId="6D8DB871" w14:textId="77777777" w:rsidR="002C0FD9" w:rsidRPr="00CA25CF" w:rsidRDefault="002C0FD9" w:rsidP="00CA25CF">
            <w:pPr>
              <w:rPr>
                <w:rFonts w:cs="Arial"/>
                <w:color w:val="FF0000"/>
                <w:sz w:val="21"/>
                <w:szCs w:val="21"/>
              </w:rPr>
            </w:pPr>
          </w:p>
        </w:tc>
        <w:tc>
          <w:tcPr>
            <w:tcW w:w="217" w:type="dxa"/>
          </w:tcPr>
          <w:p w14:paraId="70E9B21F" w14:textId="77777777" w:rsidR="002C0FD9" w:rsidRPr="00CA25CF" w:rsidRDefault="002C0FD9" w:rsidP="00CA25CF">
            <w:pPr>
              <w:rPr>
                <w:rFonts w:cs="Arial"/>
                <w:color w:val="FF0000"/>
                <w:sz w:val="21"/>
                <w:szCs w:val="21"/>
              </w:rPr>
            </w:pPr>
          </w:p>
        </w:tc>
        <w:tc>
          <w:tcPr>
            <w:tcW w:w="217" w:type="dxa"/>
          </w:tcPr>
          <w:p w14:paraId="26E46EB7" w14:textId="77777777" w:rsidR="002C0FD9" w:rsidRPr="00CA25CF" w:rsidRDefault="002C0FD9" w:rsidP="00CA25CF">
            <w:pPr>
              <w:rPr>
                <w:rFonts w:cs="Arial"/>
                <w:color w:val="FF0000"/>
                <w:sz w:val="21"/>
                <w:szCs w:val="21"/>
              </w:rPr>
            </w:pPr>
          </w:p>
        </w:tc>
        <w:tc>
          <w:tcPr>
            <w:tcW w:w="217" w:type="dxa"/>
          </w:tcPr>
          <w:p w14:paraId="2478338E" w14:textId="77777777" w:rsidR="002C0FD9" w:rsidRPr="00CA25CF" w:rsidRDefault="002C0FD9" w:rsidP="00CA25CF">
            <w:pPr>
              <w:rPr>
                <w:rFonts w:cs="Arial"/>
                <w:color w:val="FF0000"/>
                <w:sz w:val="21"/>
                <w:szCs w:val="21"/>
              </w:rPr>
            </w:pPr>
          </w:p>
        </w:tc>
        <w:tc>
          <w:tcPr>
            <w:tcW w:w="217" w:type="dxa"/>
          </w:tcPr>
          <w:p w14:paraId="325E9698" w14:textId="77777777" w:rsidR="002C0FD9" w:rsidRPr="00CA25CF" w:rsidRDefault="002C0FD9" w:rsidP="00CA25CF">
            <w:pPr>
              <w:rPr>
                <w:rFonts w:cs="Arial"/>
                <w:color w:val="FF0000"/>
                <w:sz w:val="21"/>
                <w:szCs w:val="21"/>
              </w:rPr>
            </w:pPr>
          </w:p>
        </w:tc>
        <w:tc>
          <w:tcPr>
            <w:tcW w:w="217" w:type="dxa"/>
          </w:tcPr>
          <w:p w14:paraId="71C40E0C" w14:textId="77777777" w:rsidR="002C0FD9" w:rsidRPr="00CA25CF" w:rsidRDefault="002C0FD9" w:rsidP="00CA25CF">
            <w:pPr>
              <w:rPr>
                <w:rFonts w:cs="Arial"/>
                <w:color w:val="FF0000"/>
                <w:sz w:val="21"/>
                <w:szCs w:val="21"/>
              </w:rPr>
            </w:pPr>
          </w:p>
        </w:tc>
        <w:tc>
          <w:tcPr>
            <w:tcW w:w="217" w:type="dxa"/>
          </w:tcPr>
          <w:p w14:paraId="095BD17B" w14:textId="77777777" w:rsidR="002C0FD9" w:rsidRPr="00CA25CF" w:rsidRDefault="002C0FD9" w:rsidP="00CA25CF">
            <w:pPr>
              <w:rPr>
                <w:rFonts w:cs="Arial"/>
                <w:color w:val="FF0000"/>
                <w:sz w:val="21"/>
                <w:szCs w:val="21"/>
              </w:rPr>
            </w:pPr>
          </w:p>
        </w:tc>
        <w:tc>
          <w:tcPr>
            <w:tcW w:w="217" w:type="dxa"/>
          </w:tcPr>
          <w:p w14:paraId="22801D8C" w14:textId="77777777" w:rsidR="002C0FD9" w:rsidRPr="00CA25CF" w:rsidRDefault="002C0FD9" w:rsidP="00CA25CF">
            <w:pPr>
              <w:rPr>
                <w:rFonts w:cs="Arial"/>
                <w:color w:val="FF0000"/>
                <w:sz w:val="21"/>
                <w:szCs w:val="21"/>
              </w:rPr>
            </w:pPr>
          </w:p>
        </w:tc>
        <w:tc>
          <w:tcPr>
            <w:tcW w:w="217" w:type="dxa"/>
          </w:tcPr>
          <w:p w14:paraId="27FA50BD" w14:textId="77777777" w:rsidR="002C0FD9" w:rsidRPr="00CA25CF" w:rsidRDefault="002C0FD9" w:rsidP="00CA25CF">
            <w:pPr>
              <w:rPr>
                <w:rFonts w:cs="Arial"/>
                <w:color w:val="FF0000"/>
                <w:sz w:val="21"/>
                <w:szCs w:val="21"/>
              </w:rPr>
            </w:pPr>
          </w:p>
        </w:tc>
        <w:tc>
          <w:tcPr>
            <w:tcW w:w="217" w:type="dxa"/>
          </w:tcPr>
          <w:p w14:paraId="48F82413" w14:textId="77777777" w:rsidR="002C0FD9" w:rsidRPr="00CA25CF" w:rsidRDefault="002C0FD9" w:rsidP="00CA25CF">
            <w:pPr>
              <w:rPr>
                <w:rFonts w:cs="Arial"/>
                <w:color w:val="FF0000"/>
                <w:sz w:val="21"/>
                <w:szCs w:val="21"/>
              </w:rPr>
            </w:pPr>
          </w:p>
        </w:tc>
        <w:tc>
          <w:tcPr>
            <w:tcW w:w="217" w:type="dxa"/>
          </w:tcPr>
          <w:p w14:paraId="728CB654" w14:textId="77777777" w:rsidR="002C0FD9" w:rsidRPr="00CA25CF" w:rsidRDefault="002C0FD9" w:rsidP="00CA25CF">
            <w:pPr>
              <w:rPr>
                <w:rFonts w:cs="Arial"/>
                <w:color w:val="FF0000"/>
                <w:sz w:val="21"/>
                <w:szCs w:val="21"/>
              </w:rPr>
            </w:pPr>
          </w:p>
        </w:tc>
        <w:tc>
          <w:tcPr>
            <w:tcW w:w="217" w:type="dxa"/>
          </w:tcPr>
          <w:p w14:paraId="1B3BB505" w14:textId="77777777" w:rsidR="002C0FD9" w:rsidRPr="00CA25CF" w:rsidRDefault="002C0FD9" w:rsidP="00CA25CF">
            <w:pPr>
              <w:rPr>
                <w:rFonts w:cs="Arial"/>
                <w:color w:val="FF0000"/>
                <w:sz w:val="21"/>
                <w:szCs w:val="21"/>
              </w:rPr>
            </w:pPr>
          </w:p>
        </w:tc>
        <w:tc>
          <w:tcPr>
            <w:tcW w:w="217" w:type="dxa"/>
          </w:tcPr>
          <w:p w14:paraId="5C9C4812" w14:textId="77777777" w:rsidR="002C0FD9" w:rsidRPr="00CA25CF" w:rsidRDefault="002C0FD9" w:rsidP="00CA25CF">
            <w:pPr>
              <w:rPr>
                <w:rFonts w:cs="Arial"/>
                <w:color w:val="FF0000"/>
                <w:sz w:val="21"/>
                <w:szCs w:val="21"/>
              </w:rPr>
            </w:pPr>
          </w:p>
        </w:tc>
        <w:tc>
          <w:tcPr>
            <w:tcW w:w="217" w:type="dxa"/>
          </w:tcPr>
          <w:p w14:paraId="7285D0C6" w14:textId="77777777" w:rsidR="002C0FD9" w:rsidRPr="00CA25CF" w:rsidRDefault="002C0FD9" w:rsidP="00CA25CF">
            <w:pPr>
              <w:rPr>
                <w:rFonts w:cs="Arial"/>
                <w:color w:val="FF0000"/>
                <w:sz w:val="21"/>
                <w:szCs w:val="21"/>
              </w:rPr>
            </w:pPr>
          </w:p>
        </w:tc>
        <w:tc>
          <w:tcPr>
            <w:tcW w:w="217" w:type="dxa"/>
          </w:tcPr>
          <w:p w14:paraId="12A72DE6" w14:textId="77777777" w:rsidR="002C0FD9" w:rsidRPr="00CA25CF" w:rsidRDefault="002C0FD9" w:rsidP="00CA25CF">
            <w:pPr>
              <w:rPr>
                <w:rFonts w:cs="Arial"/>
                <w:color w:val="FF0000"/>
                <w:sz w:val="21"/>
                <w:szCs w:val="21"/>
              </w:rPr>
            </w:pPr>
          </w:p>
        </w:tc>
        <w:tc>
          <w:tcPr>
            <w:tcW w:w="217" w:type="dxa"/>
          </w:tcPr>
          <w:p w14:paraId="32988EAC" w14:textId="77777777" w:rsidR="002C0FD9" w:rsidRPr="00CA25CF" w:rsidRDefault="002C0FD9" w:rsidP="00CA25CF">
            <w:pPr>
              <w:rPr>
                <w:rFonts w:cs="Arial"/>
                <w:color w:val="FF0000"/>
                <w:sz w:val="21"/>
                <w:szCs w:val="21"/>
              </w:rPr>
            </w:pPr>
          </w:p>
        </w:tc>
        <w:tc>
          <w:tcPr>
            <w:tcW w:w="217" w:type="dxa"/>
          </w:tcPr>
          <w:p w14:paraId="21A62637" w14:textId="77777777" w:rsidR="002C0FD9" w:rsidRPr="00CA25CF" w:rsidRDefault="002C0FD9" w:rsidP="00CA25CF">
            <w:pPr>
              <w:rPr>
                <w:rFonts w:cs="Arial"/>
                <w:color w:val="FF0000"/>
                <w:sz w:val="21"/>
                <w:szCs w:val="21"/>
              </w:rPr>
            </w:pPr>
          </w:p>
        </w:tc>
        <w:tc>
          <w:tcPr>
            <w:tcW w:w="217" w:type="dxa"/>
          </w:tcPr>
          <w:p w14:paraId="7E14DBA0" w14:textId="77777777" w:rsidR="002C0FD9" w:rsidRPr="00CA25CF" w:rsidRDefault="002C0FD9" w:rsidP="00CA25CF">
            <w:pPr>
              <w:rPr>
                <w:rFonts w:cs="Arial"/>
                <w:color w:val="FF0000"/>
                <w:sz w:val="21"/>
                <w:szCs w:val="21"/>
              </w:rPr>
            </w:pPr>
          </w:p>
        </w:tc>
        <w:tc>
          <w:tcPr>
            <w:tcW w:w="217" w:type="dxa"/>
          </w:tcPr>
          <w:p w14:paraId="013A8C8E" w14:textId="77777777" w:rsidR="002C0FD9" w:rsidRPr="00CA25CF" w:rsidRDefault="002C0FD9" w:rsidP="00CA25CF">
            <w:pPr>
              <w:rPr>
                <w:rFonts w:cs="Arial"/>
                <w:color w:val="FF0000"/>
                <w:sz w:val="21"/>
                <w:szCs w:val="21"/>
              </w:rPr>
            </w:pPr>
          </w:p>
        </w:tc>
        <w:tc>
          <w:tcPr>
            <w:tcW w:w="217" w:type="dxa"/>
          </w:tcPr>
          <w:p w14:paraId="3E2EC7A0" w14:textId="77777777" w:rsidR="002C0FD9" w:rsidRPr="00CA25CF" w:rsidRDefault="002C0FD9" w:rsidP="00CA25CF">
            <w:pPr>
              <w:rPr>
                <w:rFonts w:cs="Arial"/>
                <w:color w:val="FF0000"/>
                <w:sz w:val="21"/>
                <w:szCs w:val="21"/>
              </w:rPr>
            </w:pPr>
          </w:p>
        </w:tc>
        <w:tc>
          <w:tcPr>
            <w:tcW w:w="217" w:type="dxa"/>
          </w:tcPr>
          <w:p w14:paraId="23AD2D21" w14:textId="77777777" w:rsidR="002C0FD9" w:rsidRPr="00CA25CF" w:rsidRDefault="002C0FD9" w:rsidP="00CA25CF">
            <w:pPr>
              <w:rPr>
                <w:rFonts w:cs="Arial"/>
                <w:color w:val="FF0000"/>
                <w:sz w:val="21"/>
                <w:szCs w:val="21"/>
              </w:rPr>
            </w:pPr>
          </w:p>
        </w:tc>
        <w:tc>
          <w:tcPr>
            <w:tcW w:w="217" w:type="dxa"/>
          </w:tcPr>
          <w:p w14:paraId="45A90E6C" w14:textId="77777777" w:rsidR="002C0FD9" w:rsidRPr="00CA25CF" w:rsidRDefault="002C0FD9" w:rsidP="00CA25CF">
            <w:pPr>
              <w:rPr>
                <w:rFonts w:cs="Arial"/>
                <w:color w:val="FF0000"/>
                <w:sz w:val="21"/>
                <w:szCs w:val="21"/>
              </w:rPr>
            </w:pPr>
          </w:p>
        </w:tc>
        <w:tc>
          <w:tcPr>
            <w:tcW w:w="217" w:type="dxa"/>
          </w:tcPr>
          <w:p w14:paraId="019B315C" w14:textId="77777777" w:rsidR="002C0FD9" w:rsidRPr="00CA25CF" w:rsidRDefault="002C0FD9" w:rsidP="00CA25CF">
            <w:pPr>
              <w:rPr>
                <w:rFonts w:cs="Arial"/>
                <w:color w:val="FF0000"/>
                <w:sz w:val="21"/>
                <w:szCs w:val="21"/>
              </w:rPr>
            </w:pPr>
          </w:p>
        </w:tc>
      </w:tr>
      <w:tr w:rsidR="002C0FD9" w:rsidRPr="00A16219" w14:paraId="7054BF65" w14:textId="33E12BE9" w:rsidTr="002C0FD9">
        <w:trPr>
          <w:trHeight w:val="635"/>
        </w:trPr>
        <w:tc>
          <w:tcPr>
            <w:tcW w:w="515" w:type="dxa"/>
          </w:tcPr>
          <w:p w14:paraId="0A6E36B1" w14:textId="77777777" w:rsidR="002C0FD9" w:rsidRPr="00CA25CF" w:rsidRDefault="002C0FD9" w:rsidP="00CA25CF">
            <w:pPr>
              <w:rPr>
                <w:rFonts w:cs="Arial"/>
                <w:color w:val="FF0000"/>
                <w:sz w:val="21"/>
                <w:szCs w:val="21"/>
              </w:rPr>
            </w:pPr>
          </w:p>
        </w:tc>
        <w:tc>
          <w:tcPr>
            <w:tcW w:w="217" w:type="dxa"/>
          </w:tcPr>
          <w:p w14:paraId="3EB83FC4" w14:textId="77777777" w:rsidR="002C0FD9" w:rsidRPr="00CA25CF" w:rsidRDefault="002C0FD9" w:rsidP="00CA25CF">
            <w:pPr>
              <w:rPr>
                <w:rFonts w:cs="Arial"/>
                <w:color w:val="FF0000"/>
                <w:sz w:val="21"/>
                <w:szCs w:val="21"/>
              </w:rPr>
            </w:pPr>
          </w:p>
        </w:tc>
        <w:tc>
          <w:tcPr>
            <w:tcW w:w="217" w:type="dxa"/>
          </w:tcPr>
          <w:p w14:paraId="4134D873" w14:textId="14849E43" w:rsidR="002C0FD9" w:rsidRPr="00CA25CF" w:rsidRDefault="002C0FD9" w:rsidP="00CA25CF">
            <w:pPr>
              <w:rPr>
                <w:rFonts w:cs="Arial"/>
                <w:color w:val="FF0000"/>
                <w:sz w:val="21"/>
                <w:szCs w:val="21"/>
              </w:rPr>
            </w:pPr>
          </w:p>
        </w:tc>
        <w:tc>
          <w:tcPr>
            <w:tcW w:w="217" w:type="dxa"/>
          </w:tcPr>
          <w:p w14:paraId="23609DCE" w14:textId="77777777" w:rsidR="002C0FD9" w:rsidRPr="00CA25CF" w:rsidRDefault="002C0FD9" w:rsidP="00CA25CF">
            <w:pPr>
              <w:rPr>
                <w:rFonts w:cs="Arial"/>
                <w:color w:val="FF0000"/>
                <w:sz w:val="21"/>
                <w:szCs w:val="21"/>
              </w:rPr>
            </w:pPr>
          </w:p>
        </w:tc>
        <w:tc>
          <w:tcPr>
            <w:tcW w:w="217" w:type="dxa"/>
          </w:tcPr>
          <w:p w14:paraId="4C929C23" w14:textId="77777777" w:rsidR="002C0FD9" w:rsidRPr="00CA25CF" w:rsidRDefault="002C0FD9" w:rsidP="00CA25CF">
            <w:pPr>
              <w:rPr>
                <w:rFonts w:cs="Arial"/>
                <w:color w:val="FF0000"/>
                <w:sz w:val="21"/>
                <w:szCs w:val="21"/>
              </w:rPr>
            </w:pPr>
          </w:p>
        </w:tc>
        <w:tc>
          <w:tcPr>
            <w:tcW w:w="217" w:type="dxa"/>
          </w:tcPr>
          <w:p w14:paraId="2F7CBC50" w14:textId="77777777" w:rsidR="002C0FD9" w:rsidRPr="00CA25CF" w:rsidRDefault="002C0FD9" w:rsidP="00CA25CF">
            <w:pPr>
              <w:rPr>
                <w:rFonts w:cs="Arial"/>
                <w:color w:val="FF0000"/>
                <w:sz w:val="21"/>
                <w:szCs w:val="21"/>
              </w:rPr>
            </w:pPr>
          </w:p>
        </w:tc>
        <w:tc>
          <w:tcPr>
            <w:tcW w:w="217" w:type="dxa"/>
          </w:tcPr>
          <w:p w14:paraId="5F511B7B" w14:textId="77777777" w:rsidR="002C0FD9" w:rsidRPr="00CA25CF" w:rsidRDefault="002C0FD9" w:rsidP="00CA25CF">
            <w:pPr>
              <w:rPr>
                <w:rFonts w:cs="Arial"/>
                <w:color w:val="FF0000"/>
                <w:sz w:val="21"/>
                <w:szCs w:val="21"/>
              </w:rPr>
            </w:pPr>
          </w:p>
        </w:tc>
        <w:tc>
          <w:tcPr>
            <w:tcW w:w="217" w:type="dxa"/>
          </w:tcPr>
          <w:p w14:paraId="45983665" w14:textId="77777777" w:rsidR="002C0FD9" w:rsidRPr="00CA25CF" w:rsidRDefault="002C0FD9" w:rsidP="00CA25CF">
            <w:pPr>
              <w:rPr>
                <w:rFonts w:cs="Arial"/>
                <w:color w:val="FF0000"/>
                <w:sz w:val="21"/>
                <w:szCs w:val="21"/>
              </w:rPr>
            </w:pPr>
          </w:p>
        </w:tc>
        <w:tc>
          <w:tcPr>
            <w:tcW w:w="217" w:type="dxa"/>
          </w:tcPr>
          <w:p w14:paraId="7B6B8C11" w14:textId="77777777" w:rsidR="002C0FD9" w:rsidRPr="00CA25CF" w:rsidRDefault="002C0FD9" w:rsidP="00CA25CF">
            <w:pPr>
              <w:rPr>
                <w:rFonts w:cs="Arial"/>
                <w:color w:val="FF0000"/>
                <w:sz w:val="21"/>
                <w:szCs w:val="21"/>
              </w:rPr>
            </w:pPr>
          </w:p>
        </w:tc>
        <w:tc>
          <w:tcPr>
            <w:tcW w:w="217" w:type="dxa"/>
          </w:tcPr>
          <w:p w14:paraId="67E95E09" w14:textId="77777777" w:rsidR="002C0FD9" w:rsidRPr="00CA25CF" w:rsidRDefault="002C0FD9" w:rsidP="00CA25CF">
            <w:pPr>
              <w:rPr>
                <w:rFonts w:cs="Arial"/>
                <w:color w:val="FF0000"/>
                <w:sz w:val="21"/>
                <w:szCs w:val="21"/>
              </w:rPr>
            </w:pPr>
          </w:p>
        </w:tc>
        <w:tc>
          <w:tcPr>
            <w:tcW w:w="217" w:type="dxa"/>
          </w:tcPr>
          <w:p w14:paraId="7EC974D4" w14:textId="77777777" w:rsidR="002C0FD9" w:rsidRPr="00CA25CF" w:rsidRDefault="002C0FD9" w:rsidP="00CA25CF">
            <w:pPr>
              <w:rPr>
                <w:rFonts w:cs="Arial"/>
                <w:color w:val="FF0000"/>
                <w:sz w:val="21"/>
                <w:szCs w:val="21"/>
              </w:rPr>
            </w:pPr>
          </w:p>
        </w:tc>
        <w:tc>
          <w:tcPr>
            <w:tcW w:w="217" w:type="dxa"/>
          </w:tcPr>
          <w:p w14:paraId="1193E8FF" w14:textId="77777777" w:rsidR="002C0FD9" w:rsidRPr="00CA25CF" w:rsidRDefault="002C0FD9" w:rsidP="00CA25CF">
            <w:pPr>
              <w:rPr>
                <w:rFonts w:cs="Arial"/>
                <w:color w:val="FF0000"/>
                <w:sz w:val="21"/>
                <w:szCs w:val="21"/>
              </w:rPr>
            </w:pPr>
          </w:p>
        </w:tc>
        <w:tc>
          <w:tcPr>
            <w:tcW w:w="217" w:type="dxa"/>
          </w:tcPr>
          <w:p w14:paraId="725E3B67" w14:textId="77777777" w:rsidR="002C0FD9" w:rsidRPr="00CA25CF" w:rsidRDefault="002C0FD9" w:rsidP="00CA25CF">
            <w:pPr>
              <w:rPr>
                <w:rFonts w:cs="Arial"/>
                <w:color w:val="FF0000"/>
                <w:sz w:val="21"/>
                <w:szCs w:val="21"/>
              </w:rPr>
            </w:pPr>
          </w:p>
        </w:tc>
        <w:tc>
          <w:tcPr>
            <w:tcW w:w="217" w:type="dxa"/>
          </w:tcPr>
          <w:p w14:paraId="2419C42C" w14:textId="77777777" w:rsidR="002C0FD9" w:rsidRPr="00CA25CF" w:rsidRDefault="002C0FD9" w:rsidP="00CA25CF">
            <w:pPr>
              <w:rPr>
                <w:rFonts w:cs="Arial"/>
                <w:color w:val="FF0000"/>
                <w:sz w:val="21"/>
                <w:szCs w:val="21"/>
              </w:rPr>
            </w:pPr>
          </w:p>
        </w:tc>
        <w:tc>
          <w:tcPr>
            <w:tcW w:w="217" w:type="dxa"/>
          </w:tcPr>
          <w:p w14:paraId="0B879917" w14:textId="77777777" w:rsidR="002C0FD9" w:rsidRPr="00CA25CF" w:rsidRDefault="002C0FD9" w:rsidP="00CA25CF">
            <w:pPr>
              <w:rPr>
                <w:rFonts w:cs="Arial"/>
                <w:color w:val="FF0000"/>
                <w:sz w:val="21"/>
                <w:szCs w:val="21"/>
              </w:rPr>
            </w:pPr>
          </w:p>
        </w:tc>
        <w:tc>
          <w:tcPr>
            <w:tcW w:w="217" w:type="dxa"/>
          </w:tcPr>
          <w:p w14:paraId="6C08B74F" w14:textId="77777777" w:rsidR="002C0FD9" w:rsidRPr="00CA25CF" w:rsidRDefault="002C0FD9" w:rsidP="00CA25CF">
            <w:pPr>
              <w:rPr>
                <w:rFonts w:cs="Arial"/>
                <w:color w:val="FF0000"/>
                <w:sz w:val="21"/>
                <w:szCs w:val="21"/>
              </w:rPr>
            </w:pPr>
          </w:p>
        </w:tc>
        <w:tc>
          <w:tcPr>
            <w:tcW w:w="217" w:type="dxa"/>
          </w:tcPr>
          <w:p w14:paraId="256D3522" w14:textId="77777777" w:rsidR="002C0FD9" w:rsidRPr="00CA25CF" w:rsidRDefault="002C0FD9" w:rsidP="00CA25CF">
            <w:pPr>
              <w:rPr>
                <w:rFonts w:cs="Arial"/>
                <w:color w:val="FF0000"/>
                <w:sz w:val="21"/>
                <w:szCs w:val="21"/>
              </w:rPr>
            </w:pPr>
          </w:p>
        </w:tc>
        <w:tc>
          <w:tcPr>
            <w:tcW w:w="217" w:type="dxa"/>
          </w:tcPr>
          <w:p w14:paraId="699C0E53" w14:textId="77777777" w:rsidR="002C0FD9" w:rsidRPr="00CA25CF" w:rsidRDefault="002C0FD9" w:rsidP="00CA25CF">
            <w:pPr>
              <w:rPr>
                <w:rFonts w:cs="Arial"/>
                <w:color w:val="FF0000"/>
                <w:sz w:val="21"/>
                <w:szCs w:val="21"/>
              </w:rPr>
            </w:pPr>
          </w:p>
        </w:tc>
        <w:tc>
          <w:tcPr>
            <w:tcW w:w="217" w:type="dxa"/>
          </w:tcPr>
          <w:p w14:paraId="22DE701A" w14:textId="77777777" w:rsidR="002C0FD9" w:rsidRPr="00CA25CF" w:rsidRDefault="002C0FD9" w:rsidP="00CA25CF">
            <w:pPr>
              <w:rPr>
                <w:rFonts w:cs="Arial"/>
                <w:color w:val="FF0000"/>
                <w:sz w:val="21"/>
                <w:szCs w:val="21"/>
              </w:rPr>
            </w:pPr>
          </w:p>
        </w:tc>
        <w:tc>
          <w:tcPr>
            <w:tcW w:w="217" w:type="dxa"/>
          </w:tcPr>
          <w:p w14:paraId="4A7F6924" w14:textId="77777777" w:rsidR="002C0FD9" w:rsidRPr="00CA25CF" w:rsidRDefault="002C0FD9" w:rsidP="00CA25CF">
            <w:pPr>
              <w:rPr>
                <w:rFonts w:cs="Arial"/>
                <w:color w:val="FF0000"/>
                <w:sz w:val="21"/>
                <w:szCs w:val="21"/>
              </w:rPr>
            </w:pPr>
          </w:p>
        </w:tc>
        <w:tc>
          <w:tcPr>
            <w:tcW w:w="217" w:type="dxa"/>
          </w:tcPr>
          <w:p w14:paraId="14F15FCD" w14:textId="77777777" w:rsidR="002C0FD9" w:rsidRPr="00CA25CF" w:rsidRDefault="002C0FD9" w:rsidP="00CA25CF">
            <w:pPr>
              <w:rPr>
                <w:rFonts w:cs="Arial"/>
                <w:color w:val="FF0000"/>
                <w:sz w:val="21"/>
                <w:szCs w:val="21"/>
              </w:rPr>
            </w:pPr>
          </w:p>
        </w:tc>
        <w:tc>
          <w:tcPr>
            <w:tcW w:w="217" w:type="dxa"/>
          </w:tcPr>
          <w:p w14:paraId="0AF4E729" w14:textId="77777777" w:rsidR="002C0FD9" w:rsidRPr="00CA25CF" w:rsidRDefault="002C0FD9" w:rsidP="00CA25CF">
            <w:pPr>
              <w:rPr>
                <w:rFonts w:cs="Arial"/>
                <w:color w:val="FF0000"/>
                <w:sz w:val="21"/>
                <w:szCs w:val="21"/>
              </w:rPr>
            </w:pPr>
          </w:p>
        </w:tc>
        <w:tc>
          <w:tcPr>
            <w:tcW w:w="217" w:type="dxa"/>
          </w:tcPr>
          <w:p w14:paraId="605E6475" w14:textId="77777777" w:rsidR="002C0FD9" w:rsidRPr="00CA25CF" w:rsidRDefault="002C0FD9" w:rsidP="00CA25CF">
            <w:pPr>
              <w:rPr>
                <w:rFonts w:cs="Arial"/>
                <w:color w:val="FF0000"/>
                <w:sz w:val="21"/>
                <w:szCs w:val="21"/>
              </w:rPr>
            </w:pPr>
          </w:p>
        </w:tc>
        <w:tc>
          <w:tcPr>
            <w:tcW w:w="217" w:type="dxa"/>
          </w:tcPr>
          <w:p w14:paraId="2040BC0A" w14:textId="77777777" w:rsidR="002C0FD9" w:rsidRPr="00CA25CF" w:rsidRDefault="002C0FD9" w:rsidP="00CA25CF">
            <w:pPr>
              <w:rPr>
                <w:rFonts w:cs="Arial"/>
                <w:color w:val="FF0000"/>
                <w:sz w:val="21"/>
                <w:szCs w:val="21"/>
              </w:rPr>
            </w:pPr>
          </w:p>
        </w:tc>
        <w:tc>
          <w:tcPr>
            <w:tcW w:w="217" w:type="dxa"/>
          </w:tcPr>
          <w:p w14:paraId="6E7A95CF" w14:textId="77777777" w:rsidR="002C0FD9" w:rsidRPr="00CA25CF" w:rsidRDefault="002C0FD9" w:rsidP="00CA25CF">
            <w:pPr>
              <w:rPr>
                <w:rFonts w:cs="Arial"/>
                <w:color w:val="FF0000"/>
                <w:sz w:val="21"/>
                <w:szCs w:val="21"/>
              </w:rPr>
            </w:pPr>
          </w:p>
        </w:tc>
        <w:tc>
          <w:tcPr>
            <w:tcW w:w="217" w:type="dxa"/>
          </w:tcPr>
          <w:p w14:paraId="6FD21FA8" w14:textId="77777777" w:rsidR="002C0FD9" w:rsidRPr="00CA25CF" w:rsidRDefault="002C0FD9" w:rsidP="00CA25CF">
            <w:pPr>
              <w:rPr>
                <w:rFonts w:cs="Arial"/>
                <w:color w:val="FF0000"/>
                <w:sz w:val="21"/>
                <w:szCs w:val="21"/>
              </w:rPr>
            </w:pPr>
          </w:p>
        </w:tc>
        <w:tc>
          <w:tcPr>
            <w:tcW w:w="217" w:type="dxa"/>
          </w:tcPr>
          <w:p w14:paraId="6B155ACD" w14:textId="77777777" w:rsidR="002C0FD9" w:rsidRPr="00CA25CF" w:rsidRDefault="002C0FD9" w:rsidP="00CA25CF">
            <w:pPr>
              <w:rPr>
                <w:rFonts w:cs="Arial"/>
                <w:color w:val="FF0000"/>
                <w:sz w:val="21"/>
                <w:szCs w:val="21"/>
              </w:rPr>
            </w:pPr>
          </w:p>
        </w:tc>
        <w:tc>
          <w:tcPr>
            <w:tcW w:w="217" w:type="dxa"/>
          </w:tcPr>
          <w:p w14:paraId="2D496488" w14:textId="77777777" w:rsidR="002C0FD9" w:rsidRPr="00CA25CF" w:rsidRDefault="002C0FD9" w:rsidP="00CA25CF">
            <w:pPr>
              <w:rPr>
                <w:rFonts w:cs="Arial"/>
                <w:color w:val="FF0000"/>
                <w:sz w:val="21"/>
                <w:szCs w:val="21"/>
              </w:rPr>
            </w:pPr>
          </w:p>
        </w:tc>
        <w:tc>
          <w:tcPr>
            <w:tcW w:w="217" w:type="dxa"/>
          </w:tcPr>
          <w:p w14:paraId="73A28B32" w14:textId="77777777" w:rsidR="002C0FD9" w:rsidRPr="00CA25CF" w:rsidRDefault="002C0FD9" w:rsidP="00CA25CF">
            <w:pPr>
              <w:rPr>
                <w:rFonts w:cs="Arial"/>
                <w:color w:val="FF0000"/>
                <w:sz w:val="21"/>
                <w:szCs w:val="21"/>
              </w:rPr>
            </w:pPr>
          </w:p>
        </w:tc>
        <w:tc>
          <w:tcPr>
            <w:tcW w:w="217" w:type="dxa"/>
          </w:tcPr>
          <w:p w14:paraId="3DC2FC8B" w14:textId="77777777" w:rsidR="002C0FD9" w:rsidRPr="00CA25CF" w:rsidRDefault="002C0FD9" w:rsidP="00CA25CF">
            <w:pPr>
              <w:rPr>
                <w:rFonts w:cs="Arial"/>
                <w:color w:val="FF0000"/>
                <w:sz w:val="21"/>
                <w:szCs w:val="21"/>
              </w:rPr>
            </w:pPr>
          </w:p>
        </w:tc>
        <w:tc>
          <w:tcPr>
            <w:tcW w:w="217" w:type="dxa"/>
          </w:tcPr>
          <w:p w14:paraId="7C5F323D" w14:textId="77777777" w:rsidR="002C0FD9" w:rsidRPr="00CA25CF" w:rsidRDefault="002C0FD9" w:rsidP="00CA25CF">
            <w:pPr>
              <w:rPr>
                <w:rFonts w:cs="Arial"/>
                <w:color w:val="FF0000"/>
                <w:sz w:val="21"/>
                <w:szCs w:val="21"/>
              </w:rPr>
            </w:pPr>
          </w:p>
        </w:tc>
        <w:tc>
          <w:tcPr>
            <w:tcW w:w="217" w:type="dxa"/>
          </w:tcPr>
          <w:p w14:paraId="6B1754E1" w14:textId="77777777" w:rsidR="002C0FD9" w:rsidRPr="00CA25CF" w:rsidRDefault="002C0FD9" w:rsidP="00CA25CF">
            <w:pPr>
              <w:rPr>
                <w:rFonts w:cs="Arial"/>
                <w:color w:val="FF0000"/>
                <w:sz w:val="21"/>
                <w:szCs w:val="21"/>
              </w:rPr>
            </w:pPr>
          </w:p>
        </w:tc>
        <w:tc>
          <w:tcPr>
            <w:tcW w:w="217" w:type="dxa"/>
          </w:tcPr>
          <w:p w14:paraId="79202C34" w14:textId="77777777" w:rsidR="002C0FD9" w:rsidRPr="00CA25CF" w:rsidRDefault="002C0FD9" w:rsidP="00CA25CF">
            <w:pPr>
              <w:rPr>
                <w:rFonts w:cs="Arial"/>
                <w:color w:val="FF0000"/>
                <w:sz w:val="21"/>
                <w:szCs w:val="21"/>
              </w:rPr>
            </w:pPr>
          </w:p>
        </w:tc>
        <w:tc>
          <w:tcPr>
            <w:tcW w:w="217" w:type="dxa"/>
          </w:tcPr>
          <w:p w14:paraId="624CB974" w14:textId="77777777" w:rsidR="002C0FD9" w:rsidRPr="00CA25CF" w:rsidRDefault="002C0FD9" w:rsidP="00CA25CF">
            <w:pPr>
              <w:rPr>
                <w:rFonts w:cs="Arial"/>
                <w:color w:val="FF0000"/>
                <w:sz w:val="21"/>
                <w:szCs w:val="21"/>
              </w:rPr>
            </w:pPr>
          </w:p>
        </w:tc>
        <w:tc>
          <w:tcPr>
            <w:tcW w:w="217" w:type="dxa"/>
          </w:tcPr>
          <w:p w14:paraId="34738D01" w14:textId="77777777" w:rsidR="002C0FD9" w:rsidRPr="00CA25CF" w:rsidRDefault="002C0FD9" w:rsidP="00CA25CF">
            <w:pPr>
              <w:rPr>
                <w:rFonts w:cs="Arial"/>
                <w:color w:val="FF0000"/>
                <w:sz w:val="21"/>
                <w:szCs w:val="21"/>
              </w:rPr>
            </w:pPr>
          </w:p>
        </w:tc>
        <w:tc>
          <w:tcPr>
            <w:tcW w:w="217" w:type="dxa"/>
          </w:tcPr>
          <w:p w14:paraId="4FF52E7D" w14:textId="77777777" w:rsidR="002C0FD9" w:rsidRPr="00CA25CF" w:rsidRDefault="002C0FD9" w:rsidP="00CA25CF">
            <w:pPr>
              <w:rPr>
                <w:rFonts w:cs="Arial"/>
                <w:color w:val="FF0000"/>
                <w:sz w:val="21"/>
                <w:szCs w:val="21"/>
              </w:rPr>
            </w:pPr>
          </w:p>
        </w:tc>
        <w:tc>
          <w:tcPr>
            <w:tcW w:w="217" w:type="dxa"/>
          </w:tcPr>
          <w:p w14:paraId="0C05440F" w14:textId="77777777" w:rsidR="002C0FD9" w:rsidRPr="00CA25CF" w:rsidRDefault="002C0FD9" w:rsidP="00CA25CF">
            <w:pPr>
              <w:rPr>
                <w:rFonts w:cs="Arial"/>
                <w:color w:val="FF0000"/>
                <w:sz w:val="21"/>
                <w:szCs w:val="21"/>
              </w:rPr>
            </w:pPr>
          </w:p>
        </w:tc>
        <w:tc>
          <w:tcPr>
            <w:tcW w:w="217" w:type="dxa"/>
          </w:tcPr>
          <w:p w14:paraId="4110B456" w14:textId="77777777" w:rsidR="002C0FD9" w:rsidRPr="00CA25CF" w:rsidRDefault="002C0FD9" w:rsidP="00CA25CF">
            <w:pPr>
              <w:rPr>
                <w:rFonts w:cs="Arial"/>
                <w:color w:val="FF0000"/>
                <w:sz w:val="21"/>
                <w:szCs w:val="21"/>
              </w:rPr>
            </w:pPr>
          </w:p>
        </w:tc>
        <w:tc>
          <w:tcPr>
            <w:tcW w:w="217" w:type="dxa"/>
          </w:tcPr>
          <w:p w14:paraId="38E32C9F" w14:textId="77777777" w:rsidR="002C0FD9" w:rsidRPr="00CA25CF" w:rsidRDefault="002C0FD9" w:rsidP="00CA25CF">
            <w:pPr>
              <w:rPr>
                <w:rFonts w:cs="Arial"/>
                <w:color w:val="FF0000"/>
                <w:sz w:val="21"/>
                <w:szCs w:val="21"/>
              </w:rPr>
            </w:pPr>
          </w:p>
        </w:tc>
        <w:tc>
          <w:tcPr>
            <w:tcW w:w="217" w:type="dxa"/>
          </w:tcPr>
          <w:p w14:paraId="7E33A062" w14:textId="77777777" w:rsidR="002C0FD9" w:rsidRPr="00CA25CF" w:rsidRDefault="002C0FD9" w:rsidP="00CA25CF">
            <w:pPr>
              <w:rPr>
                <w:rFonts w:cs="Arial"/>
                <w:color w:val="FF0000"/>
                <w:sz w:val="21"/>
                <w:szCs w:val="21"/>
              </w:rPr>
            </w:pPr>
          </w:p>
        </w:tc>
        <w:tc>
          <w:tcPr>
            <w:tcW w:w="217" w:type="dxa"/>
          </w:tcPr>
          <w:p w14:paraId="1D9CBA87" w14:textId="77777777" w:rsidR="002C0FD9" w:rsidRPr="00CA25CF" w:rsidRDefault="002C0FD9" w:rsidP="00CA25CF">
            <w:pPr>
              <w:rPr>
                <w:rFonts w:cs="Arial"/>
                <w:color w:val="FF0000"/>
                <w:sz w:val="21"/>
                <w:szCs w:val="21"/>
              </w:rPr>
            </w:pPr>
          </w:p>
        </w:tc>
        <w:tc>
          <w:tcPr>
            <w:tcW w:w="217" w:type="dxa"/>
          </w:tcPr>
          <w:p w14:paraId="20AC8850" w14:textId="77777777" w:rsidR="002C0FD9" w:rsidRPr="00CA25CF" w:rsidRDefault="002C0FD9" w:rsidP="00CA25CF">
            <w:pPr>
              <w:rPr>
                <w:rFonts w:cs="Arial"/>
                <w:color w:val="FF0000"/>
                <w:sz w:val="21"/>
                <w:szCs w:val="21"/>
              </w:rPr>
            </w:pPr>
          </w:p>
        </w:tc>
        <w:tc>
          <w:tcPr>
            <w:tcW w:w="217" w:type="dxa"/>
          </w:tcPr>
          <w:p w14:paraId="15F6328B" w14:textId="77777777" w:rsidR="002C0FD9" w:rsidRPr="00CA25CF" w:rsidRDefault="002C0FD9" w:rsidP="00CA25CF">
            <w:pPr>
              <w:rPr>
                <w:rFonts w:cs="Arial"/>
                <w:color w:val="FF0000"/>
                <w:sz w:val="21"/>
                <w:szCs w:val="21"/>
              </w:rPr>
            </w:pPr>
          </w:p>
        </w:tc>
      </w:tr>
      <w:tr w:rsidR="002C0FD9" w:rsidRPr="00A16219" w14:paraId="71639808" w14:textId="31563CA8" w:rsidTr="002C0FD9">
        <w:trPr>
          <w:trHeight w:val="635"/>
        </w:trPr>
        <w:tc>
          <w:tcPr>
            <w:tcW w:w="515" w:type="dxa"/>
          </w:tcPr>
          <w:p w14:paraId="7E3F8C09" w14:textId="77777777" w:rsidR="002C0FD9" w:rsidRPr="00CA25CF" w:rsidRDefault="002C0FD9" w:rsidP="00CA25CF">
            <w:pPr>
              <w:rPr>
                <w:rFonts w:cs="Arial"/>
                <w:color w:val="FF0000"/>
                <w:sz w:val="21"/>
                <w:szCs w:val="21"/>
              </w:rPr>
            </w:pPr>
          </w:p>
        </w:tc>
        <w:tc>
          <w:tcPr>
            <w:tcW w:w="217" w:type="dxa"/>
          </w:tcPr>
          <w:p w14:paraId="0E0C6FF7" w14:textId="77777777" w:rsidR="002C0FD9" w:rsidRPr="00CA25CF" w:rsidRDefault="002C0FD9" w:rsidP="00CA25CF">
            <w:pPr>
              <w:rPr>
                <w:rFonts w:cs="Arial"/>
                <w:color w:val="FF0000"/>
                <w:sz w:val="21"/>
                <w:szCs w:val="21"/>
              </w:rPr>
            </w:pPr>
          </w:p>
        </w:tc>
        <w:tc>
          <w:tcPr>
            <w:tcW w:w="217" w:type="dxa"/>
          </w:tcPr>
          <w:p w14:paraId="66EC2955" w14:textId="0B351251" w:rsidR="002C0FD9" w:rsidRPr="00CA25CF" w:rsidRDefault="002C0FD9" w:rsidP="00CA25CF">
            <w:pPr>
              <w:rPr>
                <w:rFonts w:cs="Arial"/>
                <w:color w:val="FF0000"/>
                <w:sz w:val="21"/>
                <w:szCs w:val="21"/>
              </w:rPr>
            </w:pPr>
          </w:p>
        </w:tc>
        <w:tc>
          <w:tcPr>
            <w:tcW w:w="217" w:type="dxa"/>
          </w:tcPr>
          <w:p w14:paraId="0CFA89A8" w14:textId="77777777" w:rsidR="002C0FD9" w:rsidRPr="00CA25CF" w:rsidRDefault="002C0FD9" w:rsidP="00CA25CF">
            <w:pPr>
              <w:rPr>
                <w:rFonts w:cs="Arial"/>
                <w:color w:val="FF0000"/>
                <w:sz w:val="21"/>
                <w:szCs w:val="21"/>
              </w:rPr>
            </w:pPr>
          </w:p>
        </w:tc>
        <w:tc>
          <w:tcPr>
            <w:tcW w:w="217" w:type="dxa"/>
          </w:tcPr>
          <w:p w14:paraId="027FBB77" w14:textId="77777777" w:rsidR="002C0FD9" w:rsidRPr="00CA25CF" w:rsidRDefault="002C0FD9" w:rsidP="00CA25CF">
            <w:pPr>
              <w:rPr>
                <w:rFonts w:cs="Arial"/>
                <w:color w:val="FF0000"/>
                <w:sz w:val="21"/>
                <w:szCs w:val="21"/>
              </w:rPr>
            </w:pPr>
          </w:p>
        </w:tc>
        <w:tc>
          <w:tcPr>
            <w:tcW w:w="217" w:type="dxa"/>
          </w:tcPr>
          <w:p w14:paraId="79477801" w14:textId="77777777" w:rsidR="002C0FD9" w:rsidRPr="00CA25CF" w:rsidRDefault="002C0FD9" w:rsidP="00CA25CF">
            <w:pPr>
              <w:rPr>
                <w:rFonts w:cs="Arial"/>
                <w:color w:val="FF0000"/>
                <w:sz w:val="21"/>
                <w:szCs w:val="21"/>
              </w:rPr>
            </w:pPr>
          </w:p>
        </w:tc>
        <w:tc>
          <w:tcPr>
            <w:tcW w:w="217" w:type="dxa"/>
          </w:tcPr>
          <w:p w14:paraId="45D3ABE9" w14:textId="77777777" w:rsidR="002C0FD9" w:rsidRPr="00CA25CF" w:rsidRDefault="002C0FD9" w:rsidP="00CA25CF">
            <w:pPr>
              <w:rPr>
                <w:rFonts w:cs="Arial"/>
                <w:color w:val="FF0000"/>
                <w:sz w:val="21"/>
                <w:szCs w:val="21"/>
              </w:rPr>
            </w:pPr>
          </w:p>
        </w:tc>
        <w:tc>
          <w:tcPr>
            <w:tcW w:w="217" w:type="dxa"/>
          </w:tcPr>
          <w:p w14:paraId="6476E97A" w14:textId="77777777" w:rsidR="002C0FD9" w:rsidRPr="00CA25CF" w:rsidRDefault="002C0FD9" w:rsidP="00CA25CF">
            <w:pPr>
              <w:rPr>
                <w:rFonts w:cs="Arial"/>
                <w:color w:val="FF0000"/>
                <w:sz w:val="21"/>
                <w:szCs w:val="21"/>
              </w:rPr>
            </w:pPr>
          </w:p>
        </w:tc>
        <w:tc>
          <w:tcPr>
            <w:tcW w:w="217" w:type="dxa"/>
          </w:tcPr>
          <w:p w14:paraId="40E7D35F" w14:textId="77777777" w:rsidR="002C0FD9" w:rsidRPr="00CA25CF" w:rsidRDefault="002C0FD9" w:rsidP="00CA25CF">
            <w:pPr>
              <w:rPr>
                <w:rFonts w:cs="Arial"/>
                <w:color w:val="FF0000"/>
                <w:sz w:val="21"/>
                <w:szCs w:val="21"/>
              </w:rPr>
            </w:pPr>
          </w:p>
        </w:tc>
        <w:tc>
          <w:tcPr>
            <w:tcW w:w="217" w:type="dxa"/>
          </w:tcPr>
          <w:p w14:paraId="18A4CC7D" w14:textId="77777777" w:rsidR="002C0FD9" w:rsidRPr="00CA25CF" w:rsidRDefault="002C0FD9" w:rsidP="00CA25CF">
            <w:pPr>
              <w:rPr>
                <w:rFonts w:cs="Arial"/>
                <w:color w:val="FF0000"/>
                <w:sz w:val="21"/>
                <w:szCs w:val="21"/>
              </w:rPr>
            </w:pPr>
          </w:p>
        </w:tc>
        <w:tc>
          <w:tcPr>
            <w:tcW w:w="217" w:type="dxa"/>
          </w:tcPr>
          <w:p w14:paraId="05459D3F" w14:textId="77777777" w:rsidR="002C0FD9" w:rsidRPr="00CA25CF" w:rsidRDefault="002C0FD9" w:rsidP="00CA25CF">
            <w:pPr>
              <w:rPr>
                <w:rFonts w:cs="Arial"/>
                <w:color w:val="FF0000"/>
                <w:sz w:val="21"/>
                <w:szCs w:val="21"/>
              </w:rPr>
            </w:pPr>
          </w:p>
        </w:tc>
        <w:tc>
          <w:tcPr>
            <w:tcW w:w="217" w:type="dxa"/>
          </w:tcPr>
          <w:p w14:paraId="5AAE3873" w14:textId="77777777" w:rsidR="002C0FD9" w:rsidRPr="00CA25CF" w:rsidRDefault="002C0FD9" w:rsidP="00CA25CF">
            <w:pPr>
              <w:rPr>
                <w:rFonts w:cs="Arial"/>
                <w:color w:val="FF0000"/>
                <w:sz w:val="21"/>
                <w:szCs w:val="21"/>
              </w:rPr>
            </w:pPr>
          </w:p>
        </w:tc>
        <w:tc>
          <w:tcPr>
            <w:tcW w:w="217" w:type="dxa"/>
          </w:tcPr>
          <w:p w14:paraId="68B88751" w14:textId="77777777" w:rsidR="002C0FD9" w:rsidRPr="00CA25CF" w:rsidRDefault="002C0FD9" w:rsidP="00CA25CF">
            <w:pPr>
              <w:rPr>
                <w:rFonts w:cs="Arial"/>
                <w:color w:val="FF0000"/>
                <w:sz w:val="21"/>
                <w:szCs w:val="21"/>
              </w:rPr>
            </w:pPr>
          </w:p>
        </w:tc>
        <w:tc>
          <w:tcPr>
            <w:tcW w:w="217" w:type="dxa"/>
          </w:tcPr>
          <w:p w14:paraId="0A2C0BB7" w14:textId="77777777" w:rsidR="002C0FD9" w:rsidRPr="00CA25CF" w:rsidRDefault="002C0FD9" w:rsidP="00CA25CF">
            <w:pPr>
              <w:rPr>
                <w:rFonts w:cs="Arial"/>
                <w:color w:val="FF0000"/>
                <w:sz w:val="21"/>
                <w:szCs w:val="21"/>
              </w:rPr>
            </w:pPr>
          </w:p>
        </w:tc>
        <w:tc>
          <w:tcPr>
            <w:tcW w:w="217" w:type="dxa"/>
          </w:tcPr>
          <w:p w14:paraId="56CA246D" w14:textId="77777777" w:rsidR="002C0FD9" w:rsidRPr="00CA25CF" w:rsidRDefault="002C0FD9" w:rsidP="00CA25CF">
            <w:pPr>
              <w:rPr>
                <w:rFonts w:cs="Arial"/>
                <w:color w:val="FF0000"/>
                <w:sz w:val="21"/>
                <w:szCs w:val="21"/>
              </w:rPr>
            </w:pPr>
          </w:p>
        </w:tc>
        <w:tc>
          <w:tcPr>
            <w:tcW w:w="217" w:type="dxa"/>
          </w:tcPr>
          <w:p w14:paraId="23E4453D" w14:textId="77777777" w:rsidR="002C0FD9" w:rsidRPr="00CA25CF" w:rsidRDefault="002C0FD9" w:rsidP="00CA25CF">
            <w:pPr>
              <w:rPr>
                <w:rFonts w:cs="Arial"/>
                <w:color w:val="FF0000"/>
                <w:sz w:val="21"/>
                <w:szCs w:val="21"/>
              </w:rPr>
            </w:pPr>
          </w:p>
        </w:tc>
        <w:tc>
          <w:tcPr>
            <w:tcW w:w="217" w:type="dxa"/>
          </w:tcPr>
          <w:p w14:paraId="0740EE42" w14:textId="77777777" w:rsidR="002C0FD9" w:rsidRPr="00CA25CF" w:rsidRDefault="002C0FD9" w:rsidP="00CA25CF">
            <w:pPr>
              <w:rPr>
                <w:rFonts w:cs="Arial"/>
                <w:color w:val="FF0000"/>
                <w:sz w:val="21"/>
                <w:szCs w:val="21"/>
              </w:rPr>
            </w:pPr>
          </w:p>
        </w:tc>
        <w:tc>
          <w:tcPr>
            <w:tcW w:w="217" w:type="dxa"/>
          </w:tcPr>
          <w:p w14:paraId="61011D30" w14:textId="77777777" w:rsidR="002C0FD9" w:rsidRPr="00CA25CF" w:rsidRDefault="002C0FD9" w:rsidP="00CA25CF">
            <w:pPr>
              <w:rPr>
                <w:rFonts w:cs="Arial"/>
                <w:color w:val="FF0000"/>
                <w:sz w:val="21"/>
                <w:szCs w:val="21"/>
              </w:rPr>
            </w:pPr>
          </w:p>
        </w:tc>
        <w:tc>
          <w:tcPr>
            <w:tcW w:w="217" w:type="dxa"/>
          </w:tcPr>
          <w:p w14:paraId="02C991A8" w14:textId="77777777" w:rsidR="002C0FD9" w:rsidRPr="00CA25CF" w:rsidRDefault="002C0FD9" w:rsidP="00CA25CF">
            <w:pPr>
              <w:rPr>
                <w:rFonts w:cs="Arial"/>
                <w:color w:val="FF0000"/>
                <w:sz w:val="21"/>
                <w:szCs w:val="21"/>
              </w:rPr>
            </w:pPr>
          </w:p>
        </w:tc>
        <w:tc>
          <w:tcPr>
            <w:tcW w:w="217" w:type="dxa"/>
          </w:tcPr>
          <w:p w14:paraId="09E59DFF" w14:textId="77777777" w:rsidR="002C0FD9" w:rsidRPr="00CA25CF" w:rsidRDefault="002C0FD9" w:rsidP="00CA25CF">
            <w:pPr>
              <w:rPr>
                <w:rFonts w:cs="Arial"/>
                <w:color w:val="FF0000"/>
                <w:sz w:val="21"/>
                <w:szCs w:val="21"/>
              </w:rPr>
            </w:pPr>
          </w:p>
        </w:tc>
        <w:tc>
          <w:tcPr>
            <w:tcW w:w="217" w:type="dxa"/>
          </w:tcPr>
          <w:p w14:paraId="48EAE973" w14:textId="77777777" w:rsidR="002C0FD9" w:rsidRPr="00CA25CF" w:rsidRDefault="002C0FD9" w:rsidP="00CA25CF">
            <w:pPr>
              <w:rPr>
                <w:rFonts w:cs="Arial"/>
                <w:color w:val="FF0000"/>
                <w:sz w:val="21"/>
                <w:szCs w:val="21"/>
              </w:rPr>
            </w:pPr>
          </w:p>
        </w:tc>
        <w:tc>
          <w:tcPr>
            <w:tcW w:w="217" w:type="dxa"/>
          </w:tcPr>
          <w:p w14:paraId="770AB8E1" w14:textId="77777777" w:rsidR="002C0FD9" w:rsidRPr="00CA25CF" w:rsidRDefault="002C0FD9" w:rsidP="00CA25CF">
            <w:pPr>
              <w:rPr>
                <w:rFonts w:cs="Arial"/>
                <w:color w:val="FF0000"/>
                <w:sz w:val="21"/>
                <w:szCs w:val="21"/>
              </w:rPr>
            </w:pPr>
          </w:p>
        </w:tc>
        <w:tc>
          <w:tcPr>
            <w:tcW w:w="217" w:type="dxa"/>
          </w:tcPr>
          <w:p w14:paraId="5461CA67" w14:textId="77777777" w:rsidR="002C0FD9" w:rsidRPr="00CA25CF" w:rsidRDefault="002C0FD9" w:rsidP="00CA25CF">
            <w:pPr>
              <w:rPr>
                <w:rFonts w:cs="Arial"/>
                <w:color w:val="FF0000"/>
                <w:sz w:val="21"/>
                <w:szCs w:val="21"/>
              </w:rPr>
            </w:pPr>
          </w:p>
        </w:tc>
        <w:tc>
          <w:tcPr>
            <w:tcW w:w="217" w:type="dxa"/>
          </w:tcPr>
          <w:p w14:paraId="469EB54C" w14:textId="77777777" w:rsidR="002C0FD9" w:rsidRPr="00CA25CF" w:rsidRDefault="002C0FD9" w:rsidP="00CA25CF">
            <w:pPr>
              <w:rPr>
                <w:rFonts w:cs="Arial"/>
                <w:color w:val="FF0000"/>
                <w:sz w:val="21"/>
                <w:szCs w:val="21"/>
              </w:rPr>
            </w:pPr>
          </w:p>
        </w:tc>
        <w:tc>
          <w:tcPr>
            <w:tcW w:w="217" w:type="dxa"/>
          </w:tcPr>
          <w:p w14:paraId="519E0351" w14:textId="77777777" w:rsidR="002C0FD9" w:rsidRPr="00CA25CF" w:rsidRDefault="002C0FD9" w:rsidP="00CA25CF">
            <w:pPr>
              <w:rPr>
                <w:rFonts w:cs="Arial"/>
                <w:color w:val="FF0000"/>
                <w:sz w:val="21"/>
                <w:szCs w:val="21"/>
              </w:rPr>
            </w:pPr>
          </w:p>
        </w:tc>
        <w:tc>
          <w:tcPr>
            <w:tcW w:w="217" w:type="dxa"/>
          </w:tcPr>
          <w:p w14:paraId="35F22B0B" w14:textId="77777777" w:rsidR="002C0FD9" w:rsidRPr="00CA25CF" w:rsidRDefault="002C0FD9" w:rsidP="00CA25CF">
            <w:pPr>
              <w:rPr>
                <w:rFonts w:cs="Arial"/>
                <w:color w:val="FF0000"/>
                <w:sz w:val="21"/>
                <w:szCs w:val="21"/>
              </w:rPr>
            </w:pPr>
          </w:p>
        </w:tc>
        <w:tc>
          <w:tcPr>
            <w:tcW w:w="217" w:type="dxa"/>
          </w:tcPr>
          <w:p w14:paraId="266A1F10" w14:textId="77777777" w:rsidR="002C0FD9" w:rsidRPr="00CA25CF" w:rsidRDefault="002C0FD9" w:rsidP="00CA25CF">
            <w:pPr>
              <w:rPr>
                <w:rFonts w:cs="Arial"/>
                <w:color w:val="FF0000"/>
                <w:sz w:val="21"/>
                <w:szCs w:val="21"/>
              </w:rPr>
            </w:pPr>
          </w:p>
        </w:tc>
        <w:tc>
          <w:tcPr>
            <w:tcW w:w="217" w:type="dxa"/>
          </w:tcPr>
          <w:p w14:paraId="50366906" w14:textId="77777777" w:rsidR="002C0FD9" w:rsidRPr="00CA25CF" w:rsidRDefault="002C0FD9" w:rsidP="00CA25CF">
            <w:pPr>
              <w:rPr>
                <w:rFonts w:cs="Arial"/>
                <w:color w:val="FF0000"/>
                <w:sz w:val="21"/>
                <w:szCs w:val="21"/>
              </w:rPr>
            </w:pPr>
          </w:p>
        </w:tc>
        <w:tc>
          <w:tcPr>
            <w:tcW w:w="217" w:type="dxa"/>
          </w:tcPr>
          <w:p w14:paraId="5267FE92" w14:textId="77777777" w:rsidR="002C0FD9" w:rsidRPr="00CA25CF" w:rsidRDefault="002C0FD9" w:rsidP="00CA25CF">
            <w:pPr>
              <w:rPr>
                <w:rFonts w:cs="Arial"/>
                <w:color w:val="FF0000"/>
                <w:sz w:val="21"/>
                <w:szCs w:val="21"/>
              </w:rPr>
            </w:pPr>
          </w:p>
        </w:tc>
        <w:tc>
          <w:tcPr>
            <w:tcW w:w="217" w:type="dxa"/>
          </w:tcPr>
          <w:p w14:paraId="7A9DF663" w14:textId="77777777" w:rsidR="002C0FD9" w:rsidRPr="00CA25CF" w:rsidRDefault="002C0FD9" w:rsidP="00CA25CF">
            <w:pPr>
              <w:rPr>
                <w:rFonts w:cs="Arial"/>
                <w:color w:val="FF0000"/>
                <w:sz w:val="21"/>
                <w:szCs w:val="21"/>
              </w:rPr>
            </w:pPr>
          </w:p>
        </w:tc>
        <w:tc>
          <w:tcPr>
            <w:tcW w:w="217" w:type="dxa"/>
          </w:tcPr>
          <w:p w14:paraId="19021B85" w14:textId="77777777" w:rsidR="002C0FD9" w:rsidRPr="00CA25CF" w:rsidRDefault="002C0FD9" w:rsidP="00CA25CF">
            <w:pPr>
              <w:rPr>
                <w:rFonts w:cs="Arial"/>
                <w:color w:val="FF0000"/>
                <w:sz w:val="21"/>
                <w:szCs w:val="21"/>
              </w:rPr>
            </w:pPr>
          </w:p>
        </w:tc>
        <w:tc>
          <w:tcPr>
            <w:tcW w:w="217" w:type="dxa"/>
          </w:tcPr>
          <w:p w14:paraId="00E671D8" w14:textId="77777777" w:rsidR="002C0FD9" w:rsidRPr="00CA25CF" w:rsidRDefault="002C0FD9" w:rsidP="00CA25CF">
            <w:pPr>
              <w:rPr>
                <w:rFonts w:cs="Arial"/>
                <w:color w:val="FF0000"/>
                <w:sz w:val="21"/>
                <w:szCs w:val="21"/>
              </w:rPr>
            </w:pPr>
          </w:p>
        </w:tc>
        <w:tc>
          <w:tcPr>
            <w:tcW w:w="217" w:type="dxa"/>
          </w:tcPr>
          <w:p w14:paraId="23AA2B9C" w14:textId="77777777" w:rsidR="002C0FD9" w:rsidRPr="00CA25CF" w:rsidRDefault="002C0FD9" w:rsidP="00CA25CF">
            <w:pPr>
              <w:rPr>
                <w:rFonts w:cs="Arial"/>
                <w:color w:val="FF0000"/>
                <w:sz w:val="21"/>
                <w:szCs w:val="21"/>
              </w:rPr>
            </w:pPr>
          </w:p>
        </w:tc>
        <w:tc>
          <w:tcPr>
            <w:tcW w:w="217" w:type="dxa"/>
          </w:tcPr>
          <w:p w14:paraId="5257C5BB" w14:textId="77777777" w:rsidR="002C0FD9" w:rsidRPr="00CA25CF" w:rsidRDefault="002C0FD9" w:rsidP="00CA25CF">
            <w:pPr>
              <w:rPr>
                <w:rFonts w:cs="Arial"/>
                <w:color w:val="FF0000"/>
                <w:sz w:val="21"/>
                <w:szCs w:val="21"/>
              </w:rPr>
            </w:pPr>
          </w:p>
        </w:tc>
        <w:tc>
          <w:tcPr>
            <w:tcW w:w="217" w:type="dxa"/>
          </w:tcPr>
          <w:p w14:paraId="0C4975E9" w14:textId="77777777" w:rsidR="002C0FD9" w:rsidRPr="00CA25CF" w:rsidRDefault="002C0FD9" w:rsidP="00CA25CF">
            <w:pPr>
              <w:rPr>
                <w:rFonts w:cs="Arial"/>
                <w:color w:val="FF0000"/>
                <w:sz w:val="21"/>
                <w:szCs w:val="21"/>
              </w:rPr>
            </w:pPr>
          </w:p>
        </w:tc>
        <w:tc>
          <w:tcPr>
            <w:tcW w:w="217" w:type="dxa"/>
          </w:tcPr>
          <w:p w14:paraId="793D14C7" w14:textId="77777777" w:rsidR="002C0FD9" w:rsidRPr="00CA25CF" w:rsidRDefault="002C0FD9" w:rsidP="00CA25CF">
            <w:pPr>
              <w:rPr>
                <w:rFonts w:cs="Arial"/>
                <w:color w:val="FF0000"/>
                <w:sz w:val="21"/>
                <w:szCs w:val="21"/>
              </w:rPr>
            </w:pPr>
          </w:p>
        </w:tc>
        <w:tc>
          <w:tcPr>
            <w:tcW w:w="217" w:type="dxa"/>
          </w:tcPr>
          <w:p w14:paraId="37530BC8" w14:textId="77777777" w:rsidR="002C0FD9" w:rsidRPr="00CA25CF" w:rsidRDefault="002C0FD9" w:rsidP="00CA25CF">
            <w:pPr>
              <w:rPr>
                <w:rFonts w:cs="Arial"/>
                <w:color w:val="FF0000"/>
                <w:sz w:val="21"/>
                <w:szCs w:val="21"/>
              </w:rPr>
            </w:pPr>
          </w:p>
        </w:tc>
        <w:tc>
          <w:tcPr>
            <w:tcW w:w="217" w:type="dxa"/>
          </w:tcPr>
          <w:p w14:paraId="07F7CA4E" w14:textId="77777777" w:rsidR="002C0FD9" w:rsidRPr="00CA25CF" w:rsidRDefault="002C0FD9" w:rsidP="00CA25CF">
            <w:pPr>
              <w:rPr>
                <w:rFonts w:cs="Arial"/>
                <w:color w:val="FF0000"/>
                <w:sz w:val="21"/>
                <w:szCs w:val="21"/>
              </w:rPr>
            </w:pPr>
          </w:p>
        </w:tc>
        <w:tc>
          <w:tcPr>
            <w:tcW w:w="217" w:type="dxa"/>
          </w:tcPr>
          <w:p w14:paraId="4818D339" w14:textId="77777777" w:rsidR="002C0FD9" w:rsidRPr="00CA25CF" w:rsidRDefault="002C0FD9" w:rsidP="00CA25CF">
            <w:pPr>
              <w:rPr>
                <w:rFonts w:cs="Arial"/>
                <w:color w:val="FF0000"/>
                <w:sz w:val="21"/>
                <w:szCs w:val="21"/>
              </w:rPr>
            </w:pPr>
          </w:p>
        </w:tc>
        <w:tc>
          <w:tcPr>
            <w:tcW w:w="217" w:type="dxa"/>
          </w:tcPr>
          <w:p w14:paraId="7B6C1715" w14:textId="77777777" w:rsidR="002C0FD9" w:rsidRPr="00CA25CF" w:rsidRDefault="002C0FD9" w:rsidP="00CA25CF">
            <w:pPr>
              <w:rPr>
                <w:rFonts w:cs="Arial"/>
                <w:color w:val="FF0000"/>
                <w:sz w:val="21"/>
                <w:szCs w:val="21"/>
              </w:rPr>
            </w:pPr>
          </w:p>
        </w:tc>
        <w:tc>
          <w:tcPr>
            <w:tcW w:w="217" w:type="dxa"/>
          </w:tcPr>
          <w:p w14:paraId="7CBE779D" w14:textId="77777777" w:rsidR="002C0FD9" w:rsidRPr="00CA25CF" w:rsidRDefault="002C0FD9" w:rsidP="00CA25CF">
            <w:pPr>
              <w:rPr>
                <w:rFonts w:cs="Arial"/>
                <w:color w:val="FF0000"/>
                <w:sz w:val="21"/>
                <w:szCs w:val="21"/>
              </w:rPr>
            </w:pPr>
          </w:p>
        </w:tc>
        <w:tc>
          <w:tcPr>
            <w:tcW w:w="217" w:type="dxa"/>
          </w:tcPr>
          <w:p w14:paraId="31FFACF6" w14:textId="77777777" w:rsidR="002C0FD9" w:rsidRPr="00CA25CF" w:rsidRDefault="002C0FD9" w:rsidP="00CA25CF">
            <w:pPr>
              <w:rPr>
                <w:rFonts w:cs="Arial"/>
                <w:color w:val="FF0000"/>
                <w:sz w:val="21"/>
                <w:szCs w:val="21"/>
              </w:rPr>
            </w:pPr>
          </w:p>
        </w:tc>
        <w:tc>
          <w:tcPr>
            <w:tcW w:w="217" w:type="dxa"/>
          </w:tcPr>
          <w:p w14:paraId="389B14A3" w14:textId="77777777" w:rsidR="002C0FD9" w:rsidRPr="00CA25CF" w:rsidRDefault="002C0FD9" w:rsidP="00CA25CF">
            <w:pPr>
              <w:rPr>
                <w:rFonts w:cs="Arial"/>
                <w:color w:val="FF0000"/>
                <w:sz w:val="21"/>
                <w:szCs w:val="21"/>
              </w:rPr>
            </w:pPr>
          </w:p>
        </w:tc>
      </w:tr>
      <w:tr w:rsidR="002C0FD9" w:rsidRPr="00A16219" w14:paraId="1B306F62" w14:textId="2045D0E9" w:rsidTr="002C0FD9">
        <w:trPr>
          <w:trHeight w:val="635"/>
        </w:trPr>
        <w:tc>
          <w:tcPr>
            <w:tcW w:w="515" w:type="dxa"/>
          </w:tcPr>
          <w:p w14:paraId="14CC5455" w14:textId="77777777" w:rsidR="002C0FD9" w:rsidRPr="00CA25CF" w:rsidRDefault="002C0FD9" w:rsidP="00CA25CF">
            <w:pPr>
              <w:rPr>
                <w:rFonts w:cs="Arial"/>
                <w:color w:val="FF0000"/>
                <w:sz w:val="21"/>
                <w:szCs w:val="21"/>
              </w:rPr>
            </w:pPr>
          </w:p>
        </w:tc>
        <w:tc>
          <w:tcPr>
            <w:tcW w:w="217" w:type="dxa"/>
          </w:tcPr>
          <w:p w14:paraId="3A578C9E" w14:textId="77777777" w:rsidR="002C0FD9" w:rsidRPr="00CA25CF" w:rsidRDefault="002C0FD9" w:rsidP="00CA25CF">
            <w:pPr>
              <w:rPr>
                <w:rFonts w:cs="Arial"/>
                <w:color w:val="FF0000"/>
                <w:sz w:val="21"/>
                <w:szCs w:val="21"/>
              </w:rPr>
            </w:pPr>
          </w:p>
        </w:tc>
        <w:tc>
          <w:tcPr>
            <w:tcW w:w="217" w:type="dxa"/>
          </w:tcPr>
          <w:p w14:paraId="7DCC0A3B" w14:textId="30A80F16" w:rsidR="002C0FD9" w:rsidRPr="00CA25CF" w:rsidRDefault="002C0FD9" w:rsidP="00CA25CF">
            <w:pPr>
              <w:rPr>
                <w:rFonts w:cs="Arial"/>
                <w:color w:val="FF0000"/>
                <w:sz w:val="21"/>
                <w:szCs w:val="21"/>
              </w:rPr>
            </w:pPr>
          </w:p>
        </w:tc>
        <w:tc>
          <w:tcPr>
            <w:tcW w:w="217" w:type="dxa"/>
          </w:tcPr>
          <w:p w14:paraId="17B172F8" w14:textId="77777777" w:rsidR="002C0FD9" w:rsidRPr="00CA25CF" w:rsidRDefault="002C0FD9" w:rsidP="00CA25CF">
            <w:pPr>
              <w:rPr>
                <w:rFonts w:cs="Arial"/>
                <w:color w:val="FF0000"/>
                <w:sz w:val="21"/>
                <w:szCs w:val="21"/>
              </w:rPr>
            </w:pPr>
          </w:p>
        </w:tc>
        <w:tc>
          <w:tcPr>
            <w:tcW w:w="217" w:type="dxa"/>
          </w:tcPr>
          <w:p w14:paraId="0D945F66" w14:textId="77777777" w:rsidR="002C0FD9" w:rsidRPr="00CA25CF" w:rsidRDefault="002C0FD9" w:rsidP="00CA25CF">
            <w:pPr>
              <w:rPr>
                <w:rFonts w:cs="Arial"/>
                <w:color w:val="FF0000"/>
                <w:sz w:val="21"/>
                <w:szCs w:val="21"/>
              </w:rPr>
            </w:pPr>
          </w:p>
        </w:tc>
        <w:tc>
          <w:tcPr>
            <w:tcW w:w="217" w:type="dxa"/>
          </w:tcPr>
          <w:p w14:paraId="101C9497" w14:textId="77777777" w:rsidR="002C0FD9" w:rsidRPr="00CA25CF" w:rsidRDefault="002C0FD9" w:rsidP="00CA25CF">
            <w:pPr>
              <w:rPr>
                <w:rFonts w:cs="Arial"/>
                <w:color w:val="FF0000"/>
                <w:sz w:val="21"/>
                <w:szCs w:val="21"/>
              </w:rPr>
            </w:pPr>
          </w:p>
        </w:tc>
        <w:tc>
          <w:tcPr>
            <w:tcW w:w="217" w:type="dxa"/>
          </w:tcPr>
          <w:p w14:paraId="337D11BD" w14:textId="77777777" w:rsidR="002C0FD9" w:rsidRPr="00CA25CF" w:rsidRDefault="002C0FD9" w:rsidP="00CA25CF">
            <w:pPr>
              <w:rPr>
                <w:rFonts w:cs="Arial"/>
                <w:color w:val="FF0000"/>
                <w:sz w:val="21"/>
                <w:szCs w:val="21"/>
              </w:rPr>
            </w:pPr>
          </w:p>
        </w:tc>
        <w:tc>
          <w:tcPr>
            <w:tcW w:w="217" w:type="dxa"/>
          </w:tcPr>
          <w:p w14:paraId="601E51EE" w14:textId="77777777" w:rsidR="002C0FD9" w:rsidRPr="00CA25CF" w:rsidRDefault="002C0FD9" w:rsidP="00CA25CF">
            <w:pPr>
              <w:rPr>
                <w:rFonts w:cs="Arial"/>
                <w:color w:val="FF0000"/>
                <w:sz w:val="21"/>
                <w:szCs w:val="21"/>
              </w:rPr>
            </w:pPr>
          </w:p>
        </w:tc>
        <w:tc>
          <w:tcPr>
            <w:tcW w:w="217" w:type="dxa"/>
          </w:tcPr>
          <w:p w14:paraId="063A023D" w14:textId="77777777" w:rsidR="002C0FD9" w:rsidRPr="00CA25CF" w:rsidRDefault="002C0FD9" w:rsidP="00CA25CF">
            <w:pPr>
              <w:rPr>
                <w:rFonts w:cs="Arial"/>
                <w:color w:val="FF0000"/>
                <w:sz w:val="21"/>
                <w:szCs w:val="21"/>
              </w:rPr>
            </w:pPr>
          </w:p>
        </w:tc>
        <w:tc>
          <w:tcPr>
            <w:tcW w:w="217" w:type="dxa"/>
          </w:tcPr>
          <w:p w14:paraId="7A748B6A" w14:textId="77777777" w:rsidR="002C0FD9" w:rsidRPr="00CA25CF" w:rsidRDefault="002C0FD9" w:rsidP="00CA25CF">
            <w:pPr>
              <w:rPr>
                <w:rFonts w:cs="Arial"/>
                <w:color w:val="FF0000"/>
                <w:sz w:val="21"/>
                <w:szCs w:val="21"/>
              </w:rPr>
            </w:pPr>
          </w:p>
        </w:tc>
        <w:tc>
          <w:tcPr>
            <w:tcW w:w="217" w:type="dxa"/>
          </w:tcPr>
          <w:p w14:paraId="6415569E" w14:textId="77777777" w:rsidR="002C0FD9" w:rsidRPr="00CA25CF" w:rsidRDefault="002C0FD9" w:rsidP="00CA25CF">
            <w:pPr>
              <w:rPr>
                <w:rFonts w:cs="Arial"/>
                <w:color w:val="FF0000"/>
                <w:sz w:val="21"/>
                <w:szCs w:val="21"/>
              </w:rPr>
            </w:pPr>
          </w:p>
        </w:tc>
        <w:tc>
          <w:tcPr>
            <w:tcW w:w="217" w:type="dxa"/>
          </w:tcPr>
          <w:p w14:paraId="21A8E802" w14:textId="77777777" w:rsidR="002C0FD9" w:rsidRPr="00CA25CF" w:rsidRDefault="002C0FD9" w:rsidP="00CA25CF">
            <w:pPr>
              <w:rPr>
                <w:rFonts w:cs="Arial"/>
                <w:color w:val="FF0000"/>
                <w:sz w:val="21"/>
                <w:szCs w:val="21"/>
              </w:rPr>
            </w:pPr>
          </w:p>
        </w:tc>
        <w:tc>
          <w:tcPr>
            <w:tcW w:w="217" w:type="dxa"/>
          </w:tcPr>
          <w:p w14:paraId="67D94AD3" w14:textId="77777777" w:rsidR="002C0FD9" w:rsidRPr="00CA25CF" w:rsidRDefault="002C0FD9" w:rsidP="00CA25CF">
            <w:pPr>
              <w:rPr>
                <w:rFonts w:cs="Arial"/>
                <w:color w:val="FF0000"/>
                <w:sz w:val="21"/>
                <w:szCs w:val="21"/>
              </w:rPr>
            </w:pPr>
          </w:p>
        </w:tc>
        <w:tc>
          <w:tcPr>
            <w:tcW w:w="217" w:type="dxa"/>
          </w:tcPr>
          <w:p w14:paraId="1618600A" w14:textId="77777777" w:rsidR="002C0FD9" w:rsidRPr="00CA25CF" w:rsidRDefault="002C0FD9" w:rsidP="00CA25CF">
            <w:pPr>
              <w:rPr>
                <w:rFonts w:cs="Arial"/>
                <w:color w:val="FF0000"/>
                <w:sz w:val="21"/>
                <w:szCs w:val="21"/>
              </w:rPr>
            </w:pPr>
          </w:p>
        </w:tc>
        <w:tc>
          <w:tcPr>
            <w:tcW w:w="217" w:type="dxa"/>
          </w:tcPr>
          <w:p w14:paraId="40291BE0" w14:textId="77777777" w:rsidR="002C0FD9" w:rsidRPr="00CA25CF" w:rsidRDefault="002C0FD9" w:rsidP="00CA25CF">
            <w:pPr>
              <w:rPr>
                <w:rFonts w:cs="Arial"/>
                <w:color w:val="FF0000"/>
                <w:sz w:val="21"/>
                <w:szCs w:val="21"/>
              </w:rPr>
            </w:pPr>
          </w:p>
        </w:tc>
        <w:tc>
          <w:tcPr>
            <w:tcW w:w="217" w:type="dxa"/>
          </w:tcPr>
          <w:p w14:paraId="041F3BB7" w14:textId="77777777" w:rsidR="002C0FD9" w:rsidRPr="00CA25CF" w:rsidRDefault="002C0FD9" w:rsidP="00CA25CF">
            <w:pPr>
              <w:rPr>
                <w:rFonts w:cs="Arial"/>
                <w:color w:val="FF0000"/>
                <w:sz w:val="21"/>
                <w:szCs w:val="21"/>
              </w:rPr>
            </w:pPr>
          </w:p>
        </w:tc>
        <w:tc>
          <w:tcPr>
            <w:tcW w:w="217" w:type="dxa"/>
          </w:tcPr>
          <w:p w14:paraId="3D429F11" w14:textId="77777777" w:rsidR="002C0FD9" w:rsidRPr="00CA25CF" w:rsidRDefault="002C0FD9" w:rsidP="00CA25CF">
            <w:pPr>
              <w:rPr>
                <w:rFonts w:cs="Arial"/>
                <w:color w:val="FF0000"/>
                <w:sz w:val="21"/>
                <w:szCs w:val="21"/>
              </w:rPr>
            </w:pPr>
          </w:p>
        </w:tc>
        <w:tc>
          <w:tcPr>
            <w:tcW w:w="217" w:type="dxa"/>
          </w:tcPr>
          <w:p w14:paraId="3FDD22DF" w14:textId="77777777" w:rsidR="002C0FD9" w:rsidRPr="00CA25CF" w:rsidRDefault="002C0FD9" w:rsidP="00CA25CF">
            <w:pPr>
              <w:rPr>
                <w:rFonts w:cs="Arial"/>
                <w:color w:val="FF0000"/>
                <w:sz w:val="21"/>
                <w:szCs w:val="21"/>
              </w:rPr>
            </w:pPr>
          </w:p>
        </w:tc>
        <w:tc>
          <w:tcPr>
            <w:tcW w:w="217" w:type="dxa"/>
          </w:tcPr>
          <w:p w14:paraId="218F9ABB" w14:textId="77777777" w:rsidR="002C0FD9" w:rsidRPr="00CA25CF" w:rsidRDefault="002C0FD9" w:rsidP="00CA25CF">
            <w:pPr>
              <w:rPr>
                <w:rFonts w:cs="Arial"/>
                <w:color w:val="FF0000"/>
                <w:sz w:val="21"/>
                <w:szCs w:val="21"/>
              </w:rPr>
            </w:pPr>
          </w:p>
        </w:tc>
        <w:tc>
          <w:tcPr>
            <w:tcW w:w="217" w:type="dxa"/>
          </w:tcPr>
          <w:p w14:paraId="1D2FC9FC" w14:textId="77777777" w:rsidR="002C0FD9" w:rsidRPr="00CA25CF" w:rsidRDefault="002C0FD9" w:rsidP="00CA25CF">
            <w:pPr>
              <w:rPr>
                <w:rFonts w:cs="Arial"/>
                <w:color w:val="FF0000"/>
                <w:sz w:val="21"/>
                <w:szCs w:val="21"/>
              </w:rPr>
            </w:pPr>
          </w:p>
        </w:tc>
        <w:tc>
          <w:tcPr>
            <w:tcW w:w="217" w:type="dxa"/>
          </w:tcPr>
          <w:p w14:paraId="4D64780D" w14:textId="77777777" w:rsidR="002C0FD9" w:rsidRPr="00CA25CF" w:rsidRDefault="002C0FD9" w:rsidP="00CA25CF">
            <w:pPr>
              <w:rPr>
                <w:rFonts w:cs="Arial"/>
                <w:color w:val="FF0000"/>
                <w:sz w:val="21"/>
                <w:szCs w:val="21"/>
              </w:rPr>
            </w:pPr>
          </w:p>
        </w:tc>
        <w:tc>
          <w:tcPr>
            <w:tcW w:w="217" w:type="dxa"/>
          </w:tcPr>
          <w:p w14:paraId="225E6AB5" w14:textId="77777777" w:rsidR="002C0FD9" w:rsidRPr="00CA25CF" w:rsidRDefault="002C0FD9" w:rsidP="00CA25CF">
            <w:pPr>
              <w:rPr>
                <w:rFonts w:cs="Arial"/>
                <w:color w:val="FF0000"/>
                <w:sz w:val="21"/>
                <w:szCs w:val="21"/>
              </w:rPr>
            </w:pPr>
          </w:p>
        </w:tc>
        <w:tc>
          <w:tcPr>
            <w:tcW w:w="217" w:type="dxa"/>
          </w:tcPr>
          <w:p w14:paraId="316C316B" w14:textId="77777777" w:rsidR="002C0FD9" w:rsidRPr="00CA25CF" w:rsidRDefault="002C0FD9" w:rsidP="00CA25CF">
            <w:pPr>
              <w:rPr>
                <w:rFonts w:cs="Arial"/>
                <w:color w:val="FF0000"/>
                <w:sz w:val="21"/>
                <w:szCs w:val="21"/>
              </w:rPr>
            </w:pPr>
          </w:p>
        </w:tc>
        <w:tc>
          <w:tcPr>
            <w:tcW w:w="217" w:type="dxa"/>
          </w:tcPr>
          <w:p w14:paraId="1EB0A73F" w14:textId="77777777" w:rsidR="002C0FD9" w:rsidRPr="00CA25CF" w:rsidRDefault="002C0FD9" w:rsidP="00CA25CF">
            <w:pPr>
              <w:rPr>
                <w:rFonts w:cs="Arial"/>
                <w:color w:val="FF0000"/>
                <w:sz w:val="21"/>
                <w:szCs w:val="21"/>
              </w:rPr>
            </w:pPr>
          </w:p>
        </w:tc>
        <w:tc>
          <w:tcPr>
            <w:tcW w:w="217" w:type="dxa"/>
          </w:tcPr>
          <w:p w14:paraId="7A0CD966" w14:textId="77777777" w:rsidR="002C0FD9" w:rsidRPr="00CA25CF" w:rsidRDefault="002C0FD9" w:rsidP="00CA25CF">
            <w:pPr>
              <w:rPr>
                <w:rFonts w:cs="Arial"/>
                <w:color w:val="FF0000"/>
                <w:sz w:val="21"/>
                <w:szCs w:val="21"/>
              </w:rPr>
            </w:pPr>
          </w:p>
        </w:tc>
        <w:tc>
          <w:tcPr>
            <w:tcW w:w="217" w:type="dxa"/>
          </w:tcPr>
          <w:p w14:paraId="59FD2320" w14:textId="77777777" w:rsidR="002C0FD9" w:rsidRPr="00CA25CF" w:rsidRDefault="002C0FD9" w:rsidP="00CA25CF">
            <w:pPr>
              <w:rPr>
                <w:rFonts w:cs="Arial"/>
                <w:color w:val="FF0000"/>
                <w:sz w:val="21"/>
                <w:szCs w:val="21"/>
              </w:rPr>
            </w:pPr>
          </w:p>
        </w:tc>
        <w:tc>
          <w:tcPr>
            <w:tcW w:w="217" w:type="dxa"/>
          </w:tcPr>
          <w:p w14:paraId="5F39733E" w14:textId="77777777" w:rsidR="002C0FD9" w:rsidRPr="00CA25CF" w:rsidRDefault="002C0FD9" w:rsidP="00CA25CF">
            <w:pPr>
              <w:rPr>
                <w:rFonts w:cs="Arial"/>
                <w:color w:val="FF0000"/>
                <w:sz w:val="21"/>
                <w:szCs w:val="21"/>
              </w:rPr>
            </w:pPr>
          </w:p>
        </w:tc>
        <w:tc>
          <w:tcPr>
            <w:tcW w:w="217" w:type="dxa"/>
          </w:tcPr>
          <w:p w14:paraId="3A06EB97" w14:textId="77777777" w:rsidR="002C0FD9" w:rsidRPr="00CA25CF" w:rsidRDefault="002C0FD9" w:rsidP="00CA25CF">
            <w:pPr>
              <w:rPr>
                <w:rFonts w:cs="Arial"/>
                <w:color w:val="FF0000"/>
                <w:sz w:val="21"/>
                <w:szCs w:val="21"/>
              </w:rPr>
            </w:pPr>
          </w:p>
        </w:tc>
        <w:tc>
          <w:tcPr>
            <w:tcW w:w="217" w:type="dxa"/>
          </w:tcPr>
          <w:p w14:paraId="3688C012" w14:textId="77777777" w:rsidR="002C0FD9" w:rsidRPr="00CA25CF" w:rsidRDefault="002C0FD9" w:rsidP="00CA25CF">
            <w:pPr>
              <w:rPr>
                <w:rFonts w:cs="Arial"/>
                <w:color w:val="FF0000"/>
                <w:sz w:val="21"/>
                <w:szCs w:val="21"/>
              </w:rPr>
            </w:pPr>
          </w:p>
        </w:tc>
        <w:tc>
          <w:tcPr>
            <w:tcW w:w="217" w:type="dxa"/>
          </w:tcPr>
          <w:p w14:paraId="373D3F91" w14:textId="77777777" w:rsidR="002C0FD9" w:rsidRPr="00CA25CF" w:rsidRDefault="002C0FD9" w:rsidP="00CA25CF">
            <w:pPr>
              <w:rPr>
                <w:rFonts w:cs="Arial"/>
                <w:color w:val="FF0000"/>
                <w:sz w:val="21"/>
                <w:szCs w:val="21"/>
              </w:rPr>
            </w:pPr>
          </w:p>
        </w:tc>
        <w:tc>
          <w:tcPr>
            <w:tcW w:w="217" w:type="dxa"/>
          </w:tcPr>
          <w:p w14:paraId="43BC6D06" w14:textId="77777777" w:rsidR="002C0FD9" w:rsidRPr="00CA25CF" w:rsidRDefault="002C0FD9" w:rsidP="00CA25CF">
            <w:pPr>
              <w:rPr>
                <w:rFonts w:cs="Arial"/>
                <w:color w:val="FF0000"/>
                <w:sz w:val="21"/>
                <w:szCs w:val="21"/>
              </w:rPr>
            </w:pPr>
          </w:p>
        </w:tc>
        <w:tc>
          <w:tcPr>
            <w:tcW w:w="217" w:type="dxa"/>
          </w:tcPr>
          <w:p w14:paraId="2EAF66BB" w14:textId="77777777" w:rsidR="002C0FD9" w:rsidRPr="00CA25CF" w:rsidRDefault="002C0FD9" w:rsidP="00CA25CF">
            <w:pPr>
              <w:rPr>
                <w:rFonts w:cs="Arial"/>
                <w:color w:val="FF0000"/>
                <w:sz w:val="21"/>
                <w:szCs w:val="21"/>
              </w:rPr>
            </w:pPr>
          </w:p>
        </w:tc>
        <w:tc>
          <w:tcPr>
            <w:tcW w:w="217" w:type="dxa"/>
          </w:tcPr>
          <w:p w14:paraId="1A04EED3" w14:textId="77777777" w:rsidR="002C0FD9" w:rsidRPr="00CA25CF" w:rsidRDefault="002C0FD9" w:rsidP="00CA25CF">
            <w:pPr>
              <w:rPr>
                <w:rFonts w:cs="Arial"/>
                <w:color w:val="FF0000"/>
                <w:sz w:val="21"/>
                <w:szCs w:val="21"/>
              </w:rPr>
            </w:pPr>
          </w:p>
        </w:tc>
        <w:tc>
          <w:tcPr>
            <w:tcW w:w="217" w:type="dxa"/>
          </w:tcPr>
          <w:p w14:paraId="4A4AD4CA" w14:textId="77777777" w:rsidR="002C0FD9" w:rsidRPr="00CA25CF" w:rsidRDefault="002C0FD9" w:rsidP="00CA25CF">
            <w:pPr>
              <w:rPr>
                <w:rFonts w:cs="Arial"/>
                <w:color w:val="FF0000"/>
                <w:sz w:val="21"/>
                <w:szCs w:val="21"/>
              </w:rPr>
            </w:pPr>
          </w:p>
        </w:tc>
        <w:tc>
          <w:tcPr>
            <w:tcW w:w="217" w:type="dxa"/>
          </w:tcPr>
          <w:p w14:paraId="33D235CE" w14:textId="77777777" w:rsidR="002C0FD9" w:rsidRPr="00CA25CF" w:rsidRDefault="002C0FD9" w:rsidP="00CA25CF">
            <w:pPr>
              <w:rPr>
                <w:rFonts w:cs="Arial"/>
                <w:color w:val="FF0000"/>
                <w:sz w:val="21"/>
                <w:szCs w:val="21"/>
              </w:rPr>
            </w:pPr>
          </w:p>
        </w:tc>
        <w:tc>
          <w:tcPr>
            <w:tcW w:w="217" w:type="dxa"/>
          </w:tcPr>
          <w:p w14:paraId="2266F34F" w14:textId="77777777" w:rsidR="002C0FD9" w:rsidRPr="00CA25CF" w:rsidRDefault="002C0FD9" w:rsidP="00CA25CF">
            <w:pPr>
              <w:rPr>
                <w:rFonts w:cs="Arial"/>
                <w:color w:val="FF0000"/>
                <w:sz w:val="21"/>
                <w:szCs w:val="21"/>
              </w:rPr>
            </w:pPr>
          </w:p>
        </w:tc>
        <w:tc>
          <w:tcPr>
            <w:tcW w:w="217" w:type="dxa"/>
          </w:tcPr>
          <w:p w14:paraId="6290DE83" w14:textId="77777777" w:rsidR="002C0FD9" w:rsidRPr="00CA25CF" w:rsidRDefault="002C0FD9" w:rsidP="00CA25CF">
            <w:pPr>
              <w:rPr>
                <w:rFonts w:cs="Arial"/>
                <w:color w:val="FF0000"/>
                <w:sz w:val="21"/>
                <w:szCs w:val="21"/>
              </w:rPr>
            </w:pPr>
          </w:p>
        </w:tc>
        <w:tc>
          <w:tcPr>
            <w:tcW w:w="217" w:type="dxa"/>
          </w:tcPr>
          <w:p w14:paraId="6AB525FF" w14:textId="77777777" w:rsidR="002C0FD9" w:rsidRPr="00CA25CF" w:rsidRDefault="002C0FD9" w:rsidP="00CA25CF">
            <w:pPr>
              <w:rPr>
                <w:rFonts w:cs="Arial"/>
                <w:color w:val="FF0000"/>
                <w:sz w:val="21"/>
                <w:szCs w:val="21"/>
              </w:rPr>
            </w:pPr>
          </w:p>
        </w:tc>
        <w:tc>
          <w:tcPr>
            <w:tcW w:w="217" w:type="dxa"/>
          </w:tcPr>
          <w:p w14:paraId="427FA2BE" w14:textId="77777777" w:rsidR="002C0FD9" w:rsidRPr="00CA25CF" w:rsidRDefault="002C0FD9" w:rsidP="00CA25CF">
            <w:pPr>
              <w:rPr>
                <w:rFonts w:cs="Arial"/>
                <w:color w:val="FF0000"/>
                <w:sz w:val="21"/>
                <w:szCs w:val="21"/>
              </w:rPr>
            </w:pPr>
          </w:p>
        </w:tc>
        <w:tc>
          <w:tcPr>
            <w:tcW w:w="217" w:type="dxa"/>
          </w:tcPr>
          <w:p w14:paraId="35933D93" w14:textId="77777777" w:rsidR="002C0FD9" w:rsidRPr="00CA25CF" w:rsidRDefault="002C0FD9" w:rsidP="00CA25CF">
            <w:pPr>
              <w:rPr>
                <w:rFonts w:cs="Arial"/>
                <w:color w:val="FF0000"/>
                <w:sz w:val="21"/>
                <w:szCs w:val="21"/>
              </w:rPr>
            </w:pPr>
          </w:p>
        </w:tc>
        <w:tc>
          <w:tcPr>
            <w:tcW w:w="217" w:type="dxa"/>
          </w:tcPr>
          <w:p w14:paraId="6CADEF1D" w14:textId="77777777" w:rsidR="002C0FD9" w:rsidRPr="00CA25CF" w:rsidRDefault="002C0FD9" w:rsidP="00CA25CF">
            <w:pPr>
              <w:rPr>
                <w:rFonts w:cs="Arial"/>
                <w:color w:val="FF0000"/>
                <w:sz w:val="21"/>
                <w:szCs w:val="21"/>
              </w:rPr>
            </w:pPr>
          </w:p>
        </w:tc>
        <w:tc>
          <w:tcPr>
            <w:tcW w:w="217" w:type="dxa"/>
          </w:tcPr>
          <w:p w14:paraId="67BB2D02" w14:textId="77777777" w:rsidR="002C0FD9" w:rsidRPr="00CA25CF" w:rsidRDefault="002C0FD9" w:rsidP="00CA25CF">
            <w:pPr>
              <w:rPr>
                <w:rFonts w:cs="Arial"/>
                <w:color w:val="FF0000"/>
                <w:sz w:val="21"/>
                <w:szCs w:val="21"/>
              </w:rPr>
            </w:pPr>
          </w:p>
        </w:tc>
        <w:tc>
          <w:tcPr>
            <w:tcW w:w="217" w:type="dxa"/>
          </w:tcPr>
          <w:p w14:paraId="12BAA123" w14:textId="77777777" w:rsidR="002C0FD9" w:rsidRPr="00CA25CF" w:rsidRDefault="002C0FD9" w:rsidP="00CA25CF">
            <w:pPr>
              <w:rPr>
                <w:rFonts w:cs="Arial"/>
                <w:color w:val="FF0000"/>
                <w:sz w:val="21"/>
                <w:szCs w:val="21"/>
              </w:rPr>
            </w:pPr>
          </w:p>
        </w:tc>
      </w:tr>
      <w:tr w:rsidR="002C0FD9" w:rsidRPr="00A16219" w14:paraId="473161E3" w14:textId="1D8A5C46" w:rsidTr="002C0FD9">
        <w:trPr>
          <w:trHeight w:val="635"/>
        </w:trPr>
        <w:tc>
          <w:tcPr>
            <w:tcW w:w="515" w:type="dxa"/>
          </w:tcPr>
          <w:p w14:paraId="2C2DBCF9" w14:textId="77777777" w:rsidR="002C0FD9" w:rsidRPr="00CA25CF" w:rsidRDefault="002C0FD9" w:rsidP="00CA25CF">
            <w:pPr>
              <w:rPr>
                <w:rFonts w:cs="Arial"/>
                <w:color w:val="FF0000"/>
                <w:sz w:val="21"/>
                <w:szCs w:val="21"/>
              </w:rPr>
            </w:pPr>
          </w:p>
        </w:tc>
        <w:tc>
          <w:tcPr>
            <w:tcW w:w="217" w:type="dxa"/>
          </w:tcPr>
          <w:p w14:paraId="450CA672" w14:textId="77777777" w:rsidR="002C0FD9" w:rsidRPr="00CA25CF" w:rsidRDefault="002C0FD9" w:rsidP="00CA25CF">
            <w:pPr>
              <w:rPr>
                <w:rFonts w:cs="Arial"/>
                <w:color w:val="FF0000"/>
                <w:sz w:val="21"/>
                <w:szCs w:val="21"/>
              </w:rPr>
            </w:pPr>
          </w:p>
        </w:tc>
        <w:tc>
          <w:tcPr>
            <w:tcW w:w="217" w:type="dxa"/>
          </w:tcPr>
          <w:p w14:paraId="71B76309" w14:textId="43418EB6" w:rsidR="002C0FD9" w:rsidRPr="00CA25CF" w:rsidRDefault="002C0FD9" w:rsidP="00CA25CF">
            <w:pPr>
              <w:rPr>
                <w:rFonts w:cs="Arial"/>
                <w:color w:val="FF0000"/>
                <w:sz w:val="21"/>
                <w:szCs w:val="21"/>
              </w:rPr>
            </w:pPr>
          </w:p>
        </w:tc>
        <w:tc>
          <w:tcPr>
            <w:tcW w:w="217" w:type="dxa"/>
          </w:tcPr>
          <w:p w14:paraId="235F5485" w14:textId="77777777" w:rsidR="002C0FD9" w:rsidRPr="00CA25CF" w:rsidRDefault="002C0FD9" w:rsidP="00CA25CF">
            <w:pPr>
              <w:rPr>
                <w:rFonts w:cs="Arial"/>
                <w:color w:val="FF0000"/>
                <w:sz w:val="21"/>
                <w:szCs w:val="21"/>
              </w:rPr>
            </w:pPr>
          </w:p>
        </w:tc>
        <w:tc>
          <w:tcPr>
            <w:tcW w:w="217" w:type="dxa"/>
          </w:tcPr>
          <w:p w14:paraId="1B3A3CB9" w14:textId="77777777" w:rsidR="002C0FD9" w:rsidRPr="00CA25CF" w:rsidRDefault="002C0FD9" w:rsidP="00CA25CF">
            <w:pPr>
              <w:rPr>
                <w:rFonts w:cs="Arial"/>
                <w:color w:val="FF0000"/>
                <w:sz w:val="21"/>
                <w:szCs w:val="21"/>
              </w:rPr>
            </w:pPr>
          </w:p>
        </w:tc>
        <w:tc>
          <w:tcPr>
            <w:tcW w:w="217" w:type="dxa"/>
          </w:tcPr>
          <w:p w14:paraId="243846D9" w14:textId="77777777" w:rsidR="002C0FD9" w:rsidRPr="00CA25CF" w:rsidRDefault="002C0FD9" w:rsidP="00CA25CF">
            <w:pPr>
              <w:rPr>
                <w:rFonts w:cs="Arial"/>
                <w:color w:val="FF0000"/>
                <w:sz w:val="21"/>
                <w:szCs w:val="21"/>
              </w:rPr>
            </w:pPr>
          </w:p>
        </w:tc>
        <w:tc>
          <w:tcPr>
            <w:tcW w:w="217" w:type="dxa"/>
          </w:tcPr>
          <w:p w14:paraId="1E02AACE" w14:textId="77777777" w:rsidR="002C0FD9" w:rsidRPr="00CA25CF" w:rsidRDefault="002C0FD9" w:rsidP="00CA25CF">
            <w:pPr>
              <w:rPr>
                <w:rFonts w:cs="Arial"/>
                <w:color w:val="FF0000"/>
                <w:sz w:val="21"/>
                <w:szCs w:val="21"/>
              </w:rPr>
            </w:pPr>
          </w:p>
        </w:tc>
        <w:tc>
          <w:tcPr>
            <w:tcW w:w="217" w:type="dxa"/>
          </w:tcPr>
          <w:p w14:paraId="675F6E9C" w14:textId="77777777" w:rsidR="002C0FD9" w:rsidRPr="00CA25CF" w:rsidRDefault="002C0FD9" w:rsidP="00CA25CF">
            <w:pPr>
              <w:rPr>
                <w:rFonts w:cs="Arial"/>
                <w:color w:val="FF0000"/>
                <w:sz w:val="21"/>
                <w:szCs w:val="21"/>
              </w:rPr>
            </w:pPr>
          </w:p>
        </w:tc>
        <w:tc>
          <w:tcPr>
            <w:tcW w:w="217" w:type="dxa"/>
          </w:tcPr>
          <w:p w14:paraId="53234557" w14:textId="77777777" w:rsidR="002C0FD9" w:rsidRPr="00CA25CF" w:rsidRDefault="002C0FD9" w:rsidP="00CA25CF">
            <w:pPr>
              <w:rPr>
                <w:rFonts w:cs="Arial"/>
                <w:color w:val="FF0000"/>
                <w:sz w:val="21"/>
                <w:szCs w:val="21"/>
              </w:rPr>
            </w:pPr>
          </w:p>
        </w:tc>
        <w:tc>
          <w:tcPr>
            <w:tcW w:w="217" w:type="dxa"/>
          </w:tcPr>
          <w:p w14:paraId="0B27FF50" w14:textId="77777777" w:rsidR="002C0FD9" w:rsidRPr="00CA25CF" w:rsidRDefault="002C0FD9" w:rsidP="00CA25CF">
            <w:pPr>
              <w:rPr>
                <w:rFonts w:cs="Arial"/>
                <w:color w:val="FF0000"/>
                <w:sz w:val="21"/>
                <w:szCs w:val="21"/>
              </w:rPr>
            </w:pPr>
          </w:p>
        </w:tc>
        <w:tc>
          <w:tcPr>
            <w:tcW w:w="217" w:type="dxa"/>
          </w:tcPr>
          <w:p w14:paraId="187A5856" w14:textId="77777777" w:rsidR="002C0FD9" w:rsidRPr="00CA25CF" w:rsidRDefault="002C0FD9" w:rsidP="00CA25CF">
            <w:pPr>
              <w:rPr>
                <w:rFonts w:cs="Arial"/>
                <w:color w:val="FF0000"/>
                <w:sz w:val="21"/>
                <w:szCs w:val="21"/>
              </w:rPr>
            </w:pPr>
          </w:p>
        </w:tc>
        <w:tc>
          <w:tcPr>
            <w:tcW w:w="217" w:type="dxa"/>
          </w:tcPr>
          <w:p w14:paraId="289B9E88" w14:textId="77777777" w:rsidR="002C0FD9" w:rsidRPr="00CA25CF" w:rsidRDefault="002C0FD9" w:rsidP="00CA25CF">
            <w:pPr>
              <w:rPr>
                <w:rFonts w:cs="Arial"/>
                <w:color w:val="FF0000"/>
                <w:sz w:val="21"/>
                <w:szCs w:val="21"/>
              </w:rPr>
            </w:pPr>
          </w:p>
        </w:tc>
        <w:tc>
          <w:tcPr>
            <w:tcW w:w="217" w:type="dxa"/>
          </w:tcPr>
          <w:p w14:paraId="751D7F3A" w14:textId="77777777" w:rsidR="002C0FD9" w:rsidRPr="00CA25CF" w:rsidRDefault="002C0FD9" w:rsidP="00CA25CF">
            <w:pPr>
              <w:rPr>
                <w:rFonts w:cs="Arial"/>
                <w:color w:val="FF0000"/>
                <w:sz w:val="21"/>
                <w:szCs w:val="21"/>
              </w:rPr>
            </w:pPr>
          </w:p>
        </w:tc>
        <w:tc>
          <w:tcPr>
            <w:tcW w:w="217" w:type="dxa"/>
          </w:tcPr>
          <w:p w14:paraId="07A6BA47" w14:textId="77777777" w:rsidR="002C0FD9" w:rsidRPr="00CA25CF" w:rsidRDefault="002C0FD9" w:rsidP="00CA25CF">
            <w:pPr>
              <w:rPr>
                <w:rFonts w:cs="Arial"/>
                <w:color w:val="FF0000"/>
                <w:sz w:val="21"/>
                <w:szCs w:val="21"/>
              </w:rPr>
            </w:pPr>
          </w:p>
        </w:tc>
        <w:tc>
          <w:tcPr>
            <w:tcW w:w="217" w:type="dxa"/>
          </w:tcPr>
          <w:p w14:paraId="2244DFFB" w14:textId="77777777" w:rsidR="002C0FD9" w:rsidRPr="00CA25CF" w:rsidRDefault="002C0FD9" w:rsidP="00CA25CF">
            <w:pPr>
              <w:rPr>
                <w:rFonts w:cs="Arial"/>
                <w:color w:val="FF0000"/>
                <w:sz w:val="21"/>
                <w:szCs w:val="21"/>
              </w:rPr>
            </w:pPr>
          </w:p>
        </w:tc>
        <w:tc>
          <w:tcPr>
            <w:tcW w:w="217" w:type="dxa"/>
          </w:tcPr>
          <w:p w14:paraId="47515DC6" w14:textId="77777777" w:rsidR="002C0FD9" w:rsidRPr="00CA25CF" w:rsidRDefault="002C0FD9" w:rsidP="00CA25CF">
            <w:pPr>
              <w:rPr>
                <w:rFonts w:cs="Arial"/>
                <w:color w:val="FF0000"/>
                <w:sz w:val="21"/>
                <w:szCs w:val="21"/>
              </w:rPr>
            </w:pPr>
          </w:p>
        </w:tc>
        <w:tc>
          <w:tcPr>
            <w:tcW w:w="217" w:type="dxa"/>
          </w:tcPr>
          <w:p w14:paraId="17875A9C" w14:textId="77777777" w:rsidR="002C0FD9" w:rsidRPr="00CA25CF" w:rsidRDefault="002C0FD9" w:rsidP="00CA25CF">
            <w:pPr>
              <w:rPr>
                <w:rFonts w:cs="Arial"/>
                <w:color w:val="FF0000"/>
                <w:sz w:val="21"/>
                <w:szCs w:val="21"/>
              </w:rPr>
            </w:pPr>
          </w:p>
        </w:tc>
        <w:tc>
          <w:tcPr>
            <w:tcW w:w="217" w:type="dxa"/>
          </w:tcPr>
          <w:p w14:paraId="3EABD8CE" w14:textId="77777777" w:rsidR="002C0FD9" w:rsidRPr="00CA25CF" w:rsidRDefault="002C0FD9" w:rsidP="00CA25CF">
            <w:pPr>
              <w:rPr>
                <w:rFonts w:cs="Arial"/>
                <w:color w:val="FF0000"/>
                <w:sz w:val="21"/>
                <w:szCs w:val="21"/>
              </w:rPr>
            </w:pPr>
          </w:p>
        </w:tc>
        <w:tc>
          <w:tcPr>
            <w:tcW w:w="217" w:type="dxa"/>
          </w:tcPr>
          <w:p w14:paraId="61A93146" w14:textId="77777777" w:rsidR="002C0FD9" w:rsidRPr="00CA25CF" w:rsidRDefault="002C0FD9" w:rsidP="00CA25CF">
            <w:pPr>
              <w:rPr>
                <w:rFonts w:cs="Arial"/>
                <w:color w:val="FF0000"/>
                <w:sz w:val="21"/>
                <w:szCs w:val="21"/>
              </w:rPr>
            </w:pPr>
          </w:p>
        </w:tc>
        <w:tc>
          <w:tcPr>
            <w:tcW w:w="217" w:type="dxa"/>
          </w:tcPr>
          <w:p w14:paraId="32D42D7C" w14:textId="77777777" w:rsidR="002C0FD9" w:rsidRPr="00CA25CF" w:rsidRDefault="002C0FD9" w:rsidP="00CA25CF">
            <w:pPr>
              <w:rPr>
                <w:rFonts w:cs="Arial"/>
                <w:color w:val="FF0000"/>
                <w:sz w:val="21"/>
                <w:szCs w:val="21"/>
              </w:rPr>
            </w:pPr>
          </w:p>
        </w:tc>
        <w:tc>
          <w:tcPr>
            <w:tcW w:w="217" w:type="dxa"/>
          </w:tcPr>
          <w:p w14:paraId="10E1CCD6" w14:textId="77777777" w:rsidR="002C0FD9" w:rsidRPr="00CA25CF" w:rsidRDefault="002C0FD9" w:rsidP="00CA25CF">
            <w:pPr>
              <w:rPr>
                <w:rFonts w:cs="Arial"/>
                <w:color w:val="FF0000"/>
                <w:sz w:val="21"/>
                <w:szCs w:val="21"/>
              </w:rPr>
            </w:pPr>
          </w:p>
        </w:tc>
        <w:tc>
          <w:tcPr>
            <w:tcW w:w="217" w:type="dxa"/>
          </w:tcPr>
          <w:p w14:paraId="417BD89A" w14:textId="77777777" w:rsidR="002C0FD9" w:rsidRPr="00CA25CF" w:rsidRDefault="002C0FD9" w:rsidP="00CA25CF">
            <w:pPr>
              <w:rPr>
                <w:rFonts w:cs="Arial"/>
                <w:color w:val="FF0000"/>
                <w:sz w:val="21"/>
                <w:szCs w:val="21"/>
              </w:rPr>
            </w:pPr>
          </w:p>
        </w:tc>
        <w:tc>
          <w:tcPr>
            <w:tcW w:w="217" w:type="dxa"/>
          </w:tcPr>
          <w:p w14:paraId="6002B063" w14:textId="77777777" w:rsidR="002C0FD9" w:rsidRPr="00CA25CF" w:rsidRDefault="002C0FD9" w:rsidP="00CA25CF">
            <w:pPr>
              <w:rPr>
                <w:rFonts w:cs="Arial"/>
                <w:color w:val="FF0000"/>
                <w:sz w:val="21"/>
                <w:szCs w:val="21"/>
              </w:rPr>
            </w:pPr>
          </w:p>
        </w:tc>
        <w:tc>
          <w:tcPr>
            <w:tcW w:w="217" w:type="dxa"/>
          </w:tcPr>
          <w:p w14:paraId="6235A054" w14:textId="77777777" w:rsidR="002C0FD9" w:rsidRPr="00CA25CF" w:rsidRDefault="002C0FD9" w:rsidP="00CA25CF">
            <w:pPr>
              <w:rPr>
                <w:rFonts w:cs="Arial"/>
                <w:color w:val="FF0000"/>
                <w:sz w:val="21"/>
                <w:szCs w:val="21"/>
              </w:rPr>
            </w:pPr>
          </w:p>
        </w:tc>
        <w:tc>
          <w:tcPr>
            <w:tcW w:w="217" w:type="dxa"/>
          </w:tcPr>
          <w:p w14:paraId="3E54929A" w14:textId="77777777" w:rsidR="002C0FD9" w:rsidRPr="00CA25CF" w:rsidRDefault="002C0FD9" w:rsidP="00CA25CF">
            <w:pPr>
              <w:rPr>
                <w:rFonts w:cs="Arial"/>
                <w:color w:val="FF0000"/>
                <w:sz w:val="21"/>
                <w:szCs w:val="21"/>
              </w:rPr>
            </w:pPr>
          </w:p>
        </w:tc>
        <w:tc>
          <w:tcPr>
            <w:tcW w:w="217" w:type="dxa"/>
          </w:tcPr>
          <w:p w14:paraId="4D8900DA" w14:textId="77777777" w:rsidR="002C0FD9" w:rsidRPr="00CA25CF" w:rsidRDefault="002C0FD9" w:rsidP="00CA25CF">
            <w:pPr>
              <w:rPr>
                <w:rFonts w:cs="Arial"/>
                <w:color w:val="FF0000"/>
                <w:sz w:val="21"/>
                <w:szCs w:val="21"/>
              </w:rPr>
            </w:pPr>
          </w:p>
        </w:tc>
        <w:tc>
          <w:tcPr>
            <w:tcW w:w="217" w:type="dxa"/>
          </w:tcPr>
          <w:p w14:paraId="1BF27C0C" w14:textId="77777777" w:rsidR="002C0FD9" w:rsidRPr="00CA25CF" w:rsidRDefault="002C0FD9" w:rsidP="00CA25CF">
            <w:pPr>
              <w:rPr>
                <w:rFonts w:cs="Arial"/>
                <w:color w:val="FF0000"/>
                <w:sz w:val="21"/>
                <w:szCs w:val="21"/>
              </w:rPr>
            </w:pPr>
          </w:p>
        </w:tc>
        <w:tc>
          <w:tcPr>
            <w:tcW w:w="217" w:type="dxa"/>
          </w:tcPr>
          <w:p w14:paraId="408D8B76" w14:textId="77777777" w:rsidR="002C0FD9" w:rsidRPr="00CA25CF" w:rsidRDefault="002C0FD9" w:rsidP="00CA25CF">
            <w:pPr>
              <w:rPr>
                <w:rFonts w:cs="Arial"/>
                <w:color w:val="FF0000"/>
                <w:sz w:val="21"/>
                <w:szCs w:val="21"/>
              </w:rPr>
            </w:pPr>
          </w:p>
        </w:tc>
        <w:tc>
          <w:tcPr>
            <w:tcW w:w="217" w:type="dxa"/>
          </w:tcPr>
          <w:p w14:paraId="112C0310" w14:textId="77777777" w:rsidR="002C0FD9" w:rsidRPr="00CA25CF" w:rsidRDefault="002C0FD9" w:rsidP="00CA25CF">
            <w:pPr>
              <w:rPr>
                <w:rFonts w:cs="Arial"/>
                <w:color w:val="FF0000"/>
                <w:sz w:val="21"/>
                <w:szCs w:val="21"/>
              </w:rPr>
            </w:pPr>
          </w:p>
        </w:tc>
        <w:tc>
          <w:tcPr>
            <w:tcW w:w="217" w:type="dxa"/>
          </w:tcPr>
          <w:p w14:paraId="607E4471" w14:textId="77777777" w:rsidR="002C0FD9" w:rsidRPr="00CA25CF" w:rsidRDefault="002C0FD9" w:rsidP="00CA25CF">
            <w:pPr>
              <w:rPr>
                <w:rFonts w:cs="Arial"/>
                <w:color w:val="FF0000"/>
                <w:sz w:val="21"/>
                <w:szCs w:val="21"/>
              </w:rPr>
            </w:pPr>
          </w:p>
        </w:tc>
        <w:tc>
          <w:tcPr>
            <w:tcW w:w="217" w:type="dxa"/>
          </w:tcPr>
          <w:p w14:paraId="671495C4" w14:textId="77777777" w:rsidR="002C0FD9" w:rsidRPr="00CA25CF" w:rsidRDefault="002C0FD9" w:rsidP="00CA25CF">
            <w:pPr>
              <w:rPr>
                <w:rFonts w:cs="Arial"/>
                <w:color w:val="FF0000"/>
                <w:sz w:val="21"/>
                <w:szCs w:val="21"/>
              </w:rPr>
            </w:pPr>
          </w:p>
        </w:tc>
        <w:tc>
          <w:tcPr>
            <w:tcW w:w="217" w:type="dxa"/>
          </w:tcPr>
          <w:p w14:paraId="1BC25D91" w14:textId="77777777" w:rsidR="002C0FD9" w:rsidRPr="00CA25CF" w:rsidRDefault="002C0FD9" w:rsidP="00CA25CF">
            <w:pPr>
              <w:rPr>
                <w:rFonts w:cs="Arial"/>
                <w:color w:val="FF0000"/>
                <w:sz w:val="21"/>
                <w:szCs w:val="21"/>
              </w:rPr>
            </w:pPr>
          </w:p>
        </w:tc>
        <w:tc>
          <w:tcPr>
            <w:tcW w:w="217" w:type="dxa"/>
          </w:tcPr>
          <w:p w14:paraId="0A8C4398" w14:textId="77777777" w:rsidR="002C0FD9" w:rsidRPr="00CA25CF" w:rsidRDefault="002C0FD9" w:rsidP="00CA25CF">
            <w:pPr>
              <w:rPr>
                <w:rFonts w:cs="Arial"/>
                <w:color w:val="FF0000"/>
                <w:sz w:val="21"/>
                <w:szCs w:val="21"/>
              </w:rPr>
            </w:pPr>
          </w:p>
        </w:tc>
        <w:tc>
          <w:tcPr>
            <w:tcW w:w="217" w:type="dxa"/>
          </w:tcPr>
          <w:p w14:paraId="4209CF5F" w14:textId="77777777" w:rsidR="002C0FD9" w:rsidRPr="00CA25CF" w:rsidRDefault="002C0FD9" w:rsidP="00CA25CF">
            <w:pPr>
              <w:rPr>
                <w:rFonts w:cs="Arial"/>
                <w:color w:val="FF0000"/>
                <w:sz w:val="21"/>
                <w:szCs w:val="21"/>
              </w:rPr>
            </w:pPr>
          </w:p>
        </w:tc>
        <w:tc>
          <w:tcPr>
            <w:tcW w:w="217" w:type="dxa"/>
          </w:tcPr>
          <w:p w14:paraId="0D654F59" w14:textId="77777777" w:rsidR="002C0FD9" w:rsidRPr="00CA25CF" w:rsidRDefault="002C0FD9" w:rsidP="00CA25CF">
            <w:pPr>
              <w:rPr>
                <w:rFonts w:cs="Arial"/>
                <w:color w:val="FF0000"/>
                <w:sz w:val="21"/>
                <w:szCs w:val="21"/>
              </w:rPr>
            </w:pPr>
          </w:p>
        </w:tc>
        <w:tc>
          <w:tcPr>
            <w:tcW w:w="217" w:type="dxa"/>
          </w:tcPr>
          <w:p w14:paraId="02A1C906" w14:textId="77777777" w:rsidR="002C0FD9" w:rsidRPr="00CA25CF" w:rsidRDefault="002C0FD9" w:rsidP="00CA25CF">
            <w:pPr>
              <w:rPr>
                <w:rFonts w:cs="Arial"/>
                <w:color w:val="FF0000"/>
                <w:sz w:val="21"/>
                <w:szCs w:val="21"/>
              </w:rPr>
            </w:pPr>
          </w:p>
        </w:tc>
        <w:tc>
          <w:tcPr>
            <w:tcW w:w="217" w:type="dxa"/>
          </w:tcPr>
          <w:p w14:paraId="13A9ADCB" w14:textId="77777777" w:rsidR="002C0FD9" w:rsidRPr="00CA25CF" w:rsidRDefault="002C0FD9" w:rsidP="00CA25CF">
            <w:pPr>
              <w:rPr>
                <w:rFonts w:cs="Arial"/>
                <w:color w:val="FF0000"/>
                <w:sz w:val="21"/>
                <w:szCs w:val="21"/>
              </w:rPr>
            </w:pPr>
          </w:p>
        </w:tc>
        <w:tc>
          <w:tcPr>
            <w:tcW w:w="217" w:type="dxa"/>
          </w:tcPr>
          <w:p w14:paraId="6F7D0A94" w14:textId="77777777" w:rsidR="002C0FD9" w:rsidRPr="00CA25CF" w:rsidRDefault="002C0FD9" w:rsidP="00CA25CF">
            <w:pPr>
              <w:rPr>
                <w:rFonts w:cs="Arial"/>
                <w:color w:val="FF0000"/>
                <w:sz w:val="21"/>
                <w:szCs w:val="21"/>
              </w:rPr>
            </w:pPr>
          </w:p>
        </w:tc>
        <w:tc>
          <w:tcPr>
            <w:tcW w:w="217" w:type="dxa"/>
          </w:tcPr>
          <w:p w14:paraId="2B0BCBB3" w14:textId="77777777" w:rsidR="002C0FD9" w:rsidRPr="00CA25CF" w:rsidRDefault="002C0FD9" w:rsidP="00CA25CF">
            <w:pPr>
              <w:rPr>
                <w:rFonts w:cs="Arial"/>
                <w:color w:val="FF0000"/>
                <w:sz w:val="21"/>
                <w:szCs w:val="21"/>
              </w:rPr>
            </w:pPr>
          </w:p>
        </w:tc>
        <w:tc>
          <w:tcPr>
            <w:tcW w:w="217" w:type="dxa"/>
          </w:tcPr>
          <w:p w14:paraId="7E925622" w14:textId="77777777" w:rsidR="002C0FD9" w:rsidRPr="00CA25CF" w:rsidRDefault="002C0FD9" w:rsidP="00CA25CF">
            <w:pPr>
              <w:rPr>
                <w:rFonts w:cs="Arial"/>
                <w:color w:val="FF0000"/>
                <w:sz w:val="21"/>
                <w:szCs w:val="21"/>
              </w:rPr>
            </w:pPr>
          </w:p>
        </w:tc>
        <w:tc>
          <w:tcPr>
            <w:tcW w:w="217" w:type="dxa"/>
          </w:tcPr>
          <w:p w14:paraId="4EFF5AD3" w14:textId="77777777" w:rsidR="002C0FD9" w:rsidRPr="00CA25CF" w:rsidRDefault="002C0FD9" w:rsidP="00CA25CF">
            <w:pPr>
              <w:rPr>
                <w:rFonts w:cs="Arial"/>
                <w:color w:val="FF0000"/>
                <w:sz w:val="21"/>
                <w:szCs w:val="21"/>
              </w:rPr>
            </w:pPr>
          </w:p>
        </w:tc>
        <w:tc>
          <w:tcPr>
            <w:tcW w:w="217" w:type="dxa"/>
          </w:tcPr>
          <w:p w14:paraId="354C2FE3" w14:textId="77777777" w:rsidR="002C0FD9" w:rsidRPr="00CA25CF" w:rsidRDefault="002C0FD9" w:rsidP="00CA25CF">
            <w:pPr>
              <w:rPr>
                <w:rFonts w:cs="Arial"/>
                <w:color w:val="FF0000"/>
                <w:sz w:val="21"/>
                <w:szCs w:val="21"/>
              </w:rPr>
            </w:pPr>
          </w:p>
        </w:tc>
        <w:tc>
          <w:tcPr>
            <w:tcW w:w="217" w:type="dxa"/>
          </w:tcPr>
          <w:p w14:paraId="46D5EC22" w14:textId="77777777" w:rsidR="002C0FD9" w:rsidRPr="00CA25CF" w:rsidRDefault="002C0FD9" w:rsidP="00CA25CF">
            <w:pPr>
              <w:rPr>
                <w:rFonts w:cs="Arial"/>
                <w:color w:val="FF0000"/>
                <w:sz w:val="21"/>
                <w:szCs w:val="21"/>
              </w:rPr>
            </w:pPr>
          </w:p>
        </w:tc>
      </w:tr>
      <w:tr w:rsidR="002C0FD9" w:rsidRPr="00A16219" w14:paraId="71BA9279" w14:textId="04984423" w:rsidTr="002C0FD9">
        <w:trPr>
          <w:trHeight w:val="635"/>
        </w:trPr>
        <w:tc>
          <w:tcPr>
            <w:tcW w:w="515" w:type="dxa"/>
          </w:tcPr>
          <w:p w14:paraId="4C85286A" w14:textId="77777777" w:rsidR="002C0FD9" w:rsidRPr="00CA25CF" w:rsidRDefault="002C0FD9" w:rsidP="00CA25CF">
            <w:pPr>
              <w:rPr>
                <w:rFonts w:cs="Arial"/>
                <w:color w:val="FF0000"/>
                <w:sz w:val="21"/>
                <w:szCs w:val="21"/>
              </w:rPr>
            </w:pPr>
          </w:p>
        </w:tc>
        <w:tc>
          <w:tcPr>
            <w:tcW w:w="217" w:type="dxa"/>
          </w:tcPr>
          <w:p w14:paraId="71FC4955" w14:textId="77777777" w:rsidR="002C0FD9" w:rsidRPr="00CA25CF" w:rsidRDefault="002C0FD9" w:rsidP="00CA25CF">
            <w:pPr>
              <w:rPr>
                <w:rFonts w:cs="Arial"/>
                <w:color w:val="FF0000"/>
                <w:sz w:val="21"/>
                <w:szCs w:val="21"/>
              </w:rPr>
            </w:pPr>
          </w:p>
        </w:tc>
        <w:tc>
          <w:tcPr>
            <w:tcW w:w="217" w:type="dxa"/>
          </w:tcPr>
          <w:p w14:paraId="2B6C5A61" w14:textId="67CE5769" w:rsidR="002C0FD9" w:rsidRPr="00CA25CF" w:rsidRDefault="002C0FD9" w:rsidP="00CA25CF">
            <w:pPr>
              <w:rPr>
                <w:rFonts w:cs="Arial"/>
                <w:color w:val="FF0000"/>
                <w:sz w:val="21"/>
                <w:szCs w:val="21"/>
              </w:rPr>
            </w:pPr>
          </w:p>
        </w:tc>
        <w:tc>
          <w:tcPr>
            <w:tcW w:w="217" w:type="dxa"/>
          </w:tcPr>
          <w:p w14:paraId="76D3F5FB" w14:textId="77777777" w:rsidR="002C0FD9" w:rsidRPr="00CA25CF" w:rsidRDefault="002C0FD9" w:rsidP="00CA25CF">
            <w:pPr>
              <w:rPr>
                <w:rFonts w:cs="Arial"/>
                <w:color w:val="FF0000"/>
                <w:sz w:val="21"/>
                <w:szCs w:val="21"/>
              </w:rPr>
            </w:pPr>
          </w:p>
        </w:tc>
        <w:tc>
          <w:tcPr>
            <w:tcW w:w="217" w:type="dxa"/>
          </w:tcPr>
          <w:p w14:paraId="3C90879C" w14:textId="77777777" w:rsidR="002C0FD9" w:rsidRPr="00CA25CF" w:rsidRDefault="002C0FD9" w:rsidP="00CA25CF">
            <w:pPr>
              <w:rPr>
                <w:rFonts w:cs="Arial"/>
                <w:color w:val="FF0000"/>
                <w:sz w:val="21"/>
                <w:szCs w:val="21"/>
              </w:rPr>
            </w:pPr>
          </w:p>
        </w:tc>
        <w:tc>
          <w:tcPr>
            <w:tcW w:w="217" w:type="dxa"/>
          </w:tcPr>
          <w:p w14:paraId="0FAF3508" w14:textId="77777777" w:rsidR="002C0FD9" w:rsidRPr="00CA25CF" w:rsidRDefault="002C0FD9" w:rsidP="00CA25CF">
            <w:pPr>
              <w:rPr>
                <w:rFonts w:cs="Arial"/>
                <w:color w:val="FF0000"/>
                <w:sz w:val="21"/>
                <w:szCs w:val="21"/>
              </w:rPr>
            </w:pPr>
          </w:p>
        </w:tc>
        <w:tc>
          <w:tcPr>
            <w:tcW w:w="217" w:type="dxa"/>
          </w:tcPr>
          <w:p w14:paraId="4F9220B6" w14:textId="77777777" w:rsidR="002C0FD9" w:rsidRPr="00CA25CF" w:rsidRDefault="002C0FD9" w:rsidP="00CA25CF">
            <w:pPr>
              <w:rPr>
                <w:rFonts w:cs="Arial"/>
                <w:color w:val="FF0000"/>
                <w:sz w:val="21"/>
                <w:szCs w:val="21"/>
              </w:rPr>
            </w:pPr>
          </w:p>
        </w:tc>
        <w:tc>
          <w:tcPr>
            <w:tcW w:w="217" w:type="dxa"/>
          </w:tcPr>
          <w:p w14:paraId="33FDD7C9" w14:textId="77777777" w:rsidR="002C0FD9" w:rsidRPr="00CA25CF" w:rsidRDefault="002C0FD9" w:rsidP="00CA25CF">
            <w:pPr>
              <w:rPr>
                <w:rFonts w:cs="Arial"/>
                <w:color w:val="FF0000"/>
                <w:sz w:val="21"/>
                <w:szCs w:val="21"/>
              </w:rPr>
            </w:pPr>
          </w:p>
        </w:tc>
        <w:tc>
          <w:tcPr>
            <w:tcW w:w="217" w:type="dxa"/>
          </w:tcPr>
          <w:p w14:paraId="2C4C028D" w14:textId="77777777" w:rsidR="002C0FD9" w:rsidRPr="00CA25CF" w:rsidRDefault="002C0FD9" w:rsidP="00CA25CF">
            <w:pPr>
              <w:rPr>
                <w:rFonts w:cs="Arial"/>
                <w:color w:val="FF0000"/>
                <w:sz w:val="21"/>
                <w:szCs w:val="21"/>
              </w:rPr>
            </w:pPr>
          </w:p>
        </w:tc>
        <w:tc>
          <w:tcPr>
            <w:tcW w:w="217" w:type="dxa"/>
          </w:tcPr>
          <w:p w14:paraId="7B0AAE77" w14:textId="77777777" w:rsidR="002C0FD9" w:rsidRPr="00CA25CF" w:rsidRDefault="002C0FD9" w:rsidP="00CA25CF">
            <w:pPr>
              <w:rPr>
                <w:rFonts w:cs="Arial"/>
                <w:color w:val="FF0000"/>
                <w:sz w:val="21"/>
                <w:szCs w:val="21"/>
              </w:rPr>
            </w:pPr>
          </w:p>
        </w:tc>
        <w:tc>
          <w:tcPr>
            <w:tcW w:w="217" w:type="dxa"/>
          </w:tcPr>
          <w:p w14:paraId="63D403DD" w14:textId="77777777" w:rsidR="002C0FD9" w:rsidRPr="00CA25CF" w:rsidRDefault="002C0FD9" w:rsidP="00CA25CF">
            <w:pPr>
              <w:rPr>
                <w:rFonts w:cs="Arial"/>
                <w:color w:val="FF0000"/>
                <w:sz w:val="21"/>
                <w:szCs w:val="21"/>
              </w:rPr>
            </w:pPr>
          </w:p>
        </w:tc>
        <w:tc>
          <w:tcPr>
            <w:tcW w:w="217" w:type="dxa"/>
          </w:tcPr>
          <w:p w14:paraId="57A5200F" w14:textId="77777777" w:rsidR="002C0FD9" w:rsidRPr="00CA25CF" w:rsidRDefault="002C0FD9" w:rsidP="00CA25CF">
            <w:pPr>
              <w:rPr>
                <w:rFonts w:cs="Arial"/>
                <w:color w:val="FF0000"/>
                <w:sz w:val="21"/>
                <w:szCs w:val="21"/>
              </w:rPr>
            </w:pPr>
          </w:p>
        </w:tc>
        <w:tc>
          <w:tcPr>
            <w:tcW w:w="217" w:type="dxa"/>
          </w:tcPr>
          <w:p w14:paraId="74CBB311" w14:textId="77777777" w:rsidR="002C0FD9" w:rsidRPr="00CA25CF" w:rsidRDefault="002C0FD9" w:rsidP="00CA25CF">
            <w:pPr>
              <w:rPr>
                <w:rFonts w:cs="Arial"/>
                <w:color w:val="FF0000"/>
                <w:sz w:val="21"/>
                <w:szCs w:val="21"/>
              </w:rPr>
            </w:pPr>
          </w:p>
        </w:tc>
        <w:tc>
          <w:tcPr>
            <w:tcW w:w="217" w:type="dxa"/>
          </w:tcPr>
          <w:p w14:paraId="45A1884A" w14:textId="77777777" w:rsidR="002C0FD9" w:rsidRPr="00CA25CF" w:rsidRDefault="002C0FD9" w:rsidP="00CA25CF">
            <w:pPr>
              <w:rPr>
                <w:rFonts w:cs="Arial"/>
                <w:color w:val="FF0000"/>
                <w:sz w:val="21"/>
                <w:szCs w:val="21"/>
              </w:rPr>
            </w:pPr>
          </w:p>
        </w:tc>
        <w:tc>
          <w:tcPr>
            <w:tcW w:w="217" w:type="dxa"/>
          </w:tcPr>
          <w:p w14:paraId="60F65520" w14:textId="77777777" w:rsidR="002C0FD9" w:rsidRPr="00CA25CF" w:rsidRDefault="002C0FD9" w:rsidP="00CA25CF">
            <w:pPr>
              <w:rPr>
                <w:rFonts w:cs="Arial"/>
                <w:color w:val="FF0000"/>
                <w:sz w:val="21"/>
                <w:szCs w:val="21"/>
              </w:rPr>
            </w:pPr>
          </w:p>
        </w:tc>
        <w:tc>
          <w:tcPr>
            <w:tcW w:w="217" w:type="dxa"/>
          </w:tcPr>
          <w:p w14:paraId="652C8916" w14:textId="77777777" w:rsidR="002C0FD9" w:rsidRPr="00CA25CF" w:rsidRDefault="002C0FD9" w:rsidP="00CA25CF">
            <w:pPr>
              <w:rPr>
                <w:rFonts w:cs="Arial"/>
                <w:color w:val="FF0000"/>
                <w:sz w:val="21"/>
                <w:szCs w:val="21"/>
              </w:rPr>
            </w:pPr>
          </w:p>
        </w:tc>
        <w:tc>
          <w:tcPr>
            <w:tcW w:w="217" w:type="dxa"/>
          </w:tcPr>
          <w:p w14:paraId="7893F05F" w14:textId="77777777" w:rsidR="002C0FD9" w:rsidRPr="00CA25CF" w:rsidRDefault="002C0FD9" w:rsidP="00CA25CF">
            <w:pPr>
              <w:rPr>
                <w:rFonts w:cs="Arial"/>
                <w:color w:val="FF0000"/>
                <w:sz w:val="21"/>
                <w:szCs w:val="21"/>
              </w:rPr>
            </w:pPr>
          </w:p>
        </w:tc>
        <w:tc>
          <w:tcPr>
            <w:tcW w:w="217" w:type="dxa"/>
          </w:tcPr>
          <w:p w14:paraId="5E79757B" w14:textId="77777777" w:rsidR="002C0FD9" w:rsidRPr="00CA25CF" w:rsidRDefault="002C0FD9" w:rsidP="00CA25CF">
            <w:pPr>
              <w:rPr>
                <w:rFonts w:cs="Arial"/>
                <w:color w:val="FF0000"/>
                <w:sz w:val="21"/>
                <w:szCs w:val="21"/>
              </w:rPr>
            </w:pPr>
          </w:p>
        </w:tc>
        <w:tc>
          <w:tcPr>
            <w:tcW w:w="217" w:type="dxa"/>
          </w:tcPr>
          <w:p w14:paraId="749CCB05" w14:textId="77777777" w:rsidR="002C0FD9" w:rsidRPr="00CA25CF" w:rsidRDefault="002C0FD9" w:rsidP="00CA25CF">
            <w:pPr>
              <w:rPr>
                <w:rFonts w:cs="Arial"/>
                <w:color w:val="FF0000"/>
                <w:sz w:val="21"/>
                <w:szCs w:val="21"/>
              </w:rPr>
            </w:pPr>
          </w:p>
        </w:tc>
        <w:tc>
          <w:tcPr>
            <w:tcW w:w="217" w:type="dxa"/>
          </w:tcPr>
          <w:p w14:paraId="3E2568C4" w14:textId="77777777" w:rsidR="002C0FD9" w:rsidRPr="00CA25CF" w:rsidRDefault="002C0FD9" w:rsidP="00CA25CF">
            <w:pPr>
              <w:rPr>
                <w:rFonts w:cs="Arial"/>
                <w:color w:val="FF0000"/>
                <w:sz w:val="21"/>
                <w:szCs w:val="21"/>
              </w:rPr>
            </w:pPr>
          </w:p>
        </w:tc>
        <w:tc>
          <w:tcPr>
            <w:tcW w:w="217" w:type="dxa"/>
          </w:tcPr>
          <w:p w14:paraId="3C30FAE6" w14:textId="77777777" w:rsidR="002C0FD9" w:rsidRPr="00CA25CF" w:rsidRDefault="002C0FD9" w:rsidP="00CA25CF">
            <w:pPr>
              <w:rPr>
                <w:rFonts w:cs="Arial"/>
                <w:color w:val="FF0000"/>
                <w:sz w:val="21"/>
                <w:szCs w:val="21"/>
              </w:rPr>
            </w:pPr>
          </w:p>
        </w:tc>
        <w:tc>
          <w:tcPr>
            <w:tcW w:w="217" w:type="dxa"/>
          </w:tcPr>
          <w:p w14:paraId="3E161F46" w14:textId="77777777" w:rsidR="002C0FD9" w:rsidRPr="00CA25CF" w:rsidRDefault="002C0FD9" w:rsidP="00CA25CF">
            <w:pPr>
              <w:rPr>
                <w:rFonts w:cs="Arial"/>
                <w:color w:val="FF0000"/>
                <w:sz w:val="21"/>
                <w:szCs w:val="21"/>
              </w:rPr>
            </w:pPr>
          </w:p>
        </w:tc>
        <w:tc>
          <w:tcPr>
            <w:tcW w:w="217" w:type="dxa"/>
          </w:tcPr>
          <w:p w14:paraId="607AA4EA" w14:textId="77777777" w:rsidR="002C0FD9" w:rsidRPr="00CA25CF" w:rsidRDefault="002C0FD9" w:rsidP="00CA25CF">
            <w:pPr>
              <w:rPr>
                <w:rFonts w:cs="Arial"/>
                <w:color w:val="FF0000"/>
                <w:sz w:val="21"/>
                <w:szCs w:val="21"/>
              </w:rPr>
            </w:pPr>
          </w:p>
        </w:tc>
        <w:tc>
          <w:tcPr>
            <w:tcW w:w="217" w:type="dxa"/>
          </w:tcPr>
          <w:p w14:paraId="5C1599AB" w14:textId="77777777" w:rsidR="002C0FD9" w:rsidRPr="00CA25CF" w:rsidRDefault="002C0FD9" w:rsidP="00CA25CF">
            <w:pPr>
              <w:rPr>
                <w:rFonts w:cs="Arial"/>
                <w:color w:val="FF0000"/>
                <w:sz w:val="21"/>
                <w:szCs w:val="21"/>
              </w:rPr>
            </w:pPr>
          </w:p>
        </w:tc>
        <w:tc>
          <w:tcPr>
            <w:tcW w:w="217" w:type="dxa"/>
          </w:tcPr>
          <w:p w14:paraId="43B52E35" w14:textId="77777777" w:rsidR="002C0FD9" w:rsidRPr="00CA25CF" w:rsidRDefault="002C0FD9" w:rsidP="00CA25CF">
            <w:pPr>
              <w:rPr>
                <w:rFonts w:cs="Arial"/>
                <w:color w:val="FF0000"/>
                <w:sz w:val="21"/>
                <w:szCs w:val="21"/>
              </w:rPr>
            </w:pPr>
          </w:p>
        </w:tc>
        <w:tc>
          <w:tcPr>
            <w:tcW w:w="217" w:type="dxa"/>
          </w:tcPr>
          <w:p w14:paraId="18BA6F1D" w14:textId="77777777" w:rsidR="002C0FD9" w:rsidRPr="00CA25CF" w:rsidRDefault="002C0FD9" w:rsidP="00CA25CF">
            <w:pPr>
              <w:rPr>
                <w:rFonts w:cs="Arial"/>
                <w:color w:val="FF0000"/>
                <w:sz w:val="21"/>
                <w:szCs w:val="21"/>
              </w:rPr>
            </w:pPr>
          </w:p>
        </w:tc>
        <w:tc>
          <w:tcPr>
            <w:tcW w:w="217" w:type="dxa"/>
          </w:tcPr>
          <w:p w14:paraId="4345666E" w14:textId="77777777" w:rsidR="002C0FD9" w:rsidRPr="00CA25CF" w:rsidRDefault="002C0FD9" w:rsidP="00CA25CF">
            <w:pPr>
              <w:rPr>
                <w:rFonts w:cs="Arial"/>
                <w:color w:val="FF0000"/>
                <w:sz w:val="21"/>
                <w:szCs w:val="21"/>
              </w:rPr>
            </w:pPr>
          </w:p>
        </w:tc>
        <w:tc>
          <w:tcPr>
            <w:tcW w:w="217" w:type="dxa"/>
          </w:tcPr>
          <w:p w14:paraId="58775AF5" w14:textId="77777777" w:rsidR="002C0FD9" w:rsidRPr="00CA25CF" w:rsidRDefault="002C0FD9" w:rsidP="00CA25CF">
            <w:pPr>
              <w:rPr>
                <w:rFonts w:cs="Arial"/>
                <w:color w:val="FF0000"/>
                <w:sz w:val="21"/>
                <w:szCs w:val="21"/>
              </w:rPr>
            </w:pPr>
          </w:p>
        </w:tc>
        <w:tc>
          <w:tcPr>
            <w:tcW w:w="217" w:type="dxa"/>
          </w:tcPr>
          <w:p w14:paraId="75E95067" w14:textId="77777777" w:rsidR="002C0FD9" w:rsidRPr="00CA25CF" w:rsidRDefault="002C0FD9" w:rsidP="00CA25CF">
            <w:pPr>
              <w:rPr>
                <w:rFonts w:cs="Arial"/>
                <w:color w:val="FF0000"/>
                <w:sz w:val="21"/>
                <w:szCs w:val="21"/>
              </w:rPr>
            </w:pPr>
          </w:p>
        </w:tc>
        <w:tc>
          <w:tcPr>
            <w:tcW w:w="217" w:type="dxa"/>
          </w:tcPr>
          <w:p w14:paraId="12BE72BC" w14:textId="77777777" w:rsidR="002C0FD9" w:rsidRPr="00CA25CF" w:rsidRDefault="002C0FD9" w:rsidP="00CA25CF">
            <w:pPr>
              <w:rPr>
                <w:rFonts w:cs="Arial"/>
                <w:color w:val="FF0000"/>
                <w:sz w:val="21"/>
                <w:szCs w:val="21"/>
              </w:rPr>
            </w:pPr>
          </w:p>
        </w:tc>
        <w:tc>
          <w:tcPr>
            <w:tcW w:w="217" w:type="dxa"/>
          </w:tcPr>
          <w:p w14:paraId="2F445EC1" w14:textId="77777777" w:rsidR="002C0FD9" w:rsidRPr="00CA25CF" w:rsidRDefault="002C0FD9" w:rsidP="00CA25CF">
            <w:pPr>
              <w:rPr>
                <w:rFonts w:cs="Arial"/>
                <w:color w:val="FF0000"/>
                <w:sz w:val="21"/>
                <w:szCs w:val="21"/>
              </w:rPr>
            </w:pPr>
          </w:p>
        </w:tc>
        <w:tc>
          <w:tcPr>
            <w:tcW w:w="217" w:type="dxa"/>
          </w:tcPr>
          <w:p w14:paraId="6CF3DE63" w14:textId="77777777" w:rsidR="002C0FD9" w:rsidRPr="00CA25CF" w:rsidRDefault="002C0FD9" w:rsidP="00CA25CF">
            <w:pPr>
              <w:rPr>
                <w:rFonts w:cs="Arial"/>
                <w:color w:val="FF0000"/>
                <w:sz w:val="21"/>
                <w:szCs w:val="21"/>
              </w:rPr>
            </w:pPr>
          </w:p>
        </w:tc>
        <w:tc>
          <w:tcPr>
            <w:tcW w:w="217" w:type="dxa"/>
          </w:tcPr>
          <w:p w14:paraId="62A778B8" w14:textId="77777777" w:rsidR="002C0FD9" w:rsidRPr="00CA25CF" w:rsidRDefault="002C0FD9" w:rsidP="00CA25CF">
            <w:pPr>
              <w:rPr>
                <w:rFonts w:cs="Arial"/>
                <w:color w:val="FF0000"/>
                <w:sz w:val="21"/>
                <w:szCs w:val="21"/>
              </w:rPr>
            </w:pPr>
          </w:p>
        </w:tc>
        <w:tc>
          <w:tcPr>
            <w:tcW w:w="217" w:type="dxa"/>
          </w:tcPr>
          <w:p w14:paraId="4DCF1551" w14:textId="77777777" w:rsidR="002C0FD9" w:rsidRPr="00CA25CF" w:rsidRDefault="002C0FD9" w:rsidP="00CA25CF">
            <w:pPr>
              <w:rPr>
                <w:rFonts w:cs="Arial"/>
                <w:color w:val="FF0000"/>
                <w:sz w:val="21"/>
                <w:szCs w:val="21"/>
              </w:rPr>
            </w:pPr>
          </w:p>
        </w:tc>
        <w:tc>
          <w:tcPr>
            <w:tcW w:w="217" w:type="dxa"/>
          </w:tcPr>
          <w:p w14:paraId="1C71A28A" w14:textId="77777777" w:rsidR="002C0FD9" w:rsidRPr="00CA25CF" w:rsidRDefault="002C0FD9" w:rsidP="00CA25CF">
            <w:pPr>
              <w:rPr>
                <w:rFonts w:cs="Arial"/>
                <w:color w:val="FF0000"/>
                <w:sz w:val="21"/>
                <w:szCs w:val="21"/>
              </w:rPr>
            </w:pPr>
          </w:p>
        </w:tc>
        <w:tc>
          <w:tcPr>
            <w:tcW w:w="217" w:type="dxa"/>
          </w:tcPr>
          <w:p w14:paraId="4E754101" w14:textId="77777777" w:rsidR="002C0FD9" w:rsidRPr="00CA25CF" w:rsidRDefault="002C0FD9" w:rsidP="00CA25CF">
            <w:pPr>
              <w:rPr>
                <w:rFonts w:cs="Arial"/>
                <w:color w:val="FF0000"/>
                <w:sz w:val="21"/>
                <w:szCs w:val="21"/>
              </w:rPr>
            </w:pPr>
          </w:p>
        </w:tc>
        <w:tc>
          <w:tcPr>
            <w:tcW w:w="217" w:type="dxa"/>
          </w:tcPr>
          <w:p w14:paraId="034B9809" w14:textId="77777777" w:rsidR="002C0FD9" w:rsidRPr="00CA25CF" w:rsidRDefault="002C0FD9" w:rsidP="00CA25CF">
            <w:pPr>
              <w:rPr>
                <w:rFonts w:cs="Arial"/>
                <w:color w:val="FF0000"/>
                <w:sz w:val="21"/>
                <w:szCs w:val="21"/>
              </w:rPr>
            </w:pPr>
          </w:p>
        </w:tc>
        <w:tc>
          <w:tcPr>
            <w:tcW w:w="217" w:type="dxa"/>
          </w:tcPr>
          <w:p w14:paraId="06144E7D" w14:textId="77777777" w:rsidR="002C0FD9" w:rsidRPr="00CA25CF" w:rsidRDefault="002C0FD9" w:rsidP="00CA25CF">
            <w:pPr>
              <w:rPr>
                <w:rFonts w:cs="Arial"/>
                <w:color w:val="FF0000"/>
                <w:sz w:val="21"/>
                <w:szCs w:val="21"/>
              </w:rPr>
            </w:pPr>
          </w:p>
        </w:tc>
        <w:tc>
          <w:tcPr>
            <w:tcW w:w="217" w:type="dxa"/>
          </w:tcPr>
          <w:p w14:paraId="5413D43F" w14:textId="77777777" w:rsidR="002C0FD9" w:rsidRPr="00CA25CF" w:rsidRDefault="002C0FD9" w:rsidP="00CA25CF">
            <w:pPr>
              <w:rPr>
                <w:rFonts w:cs="Arial"/>
                <w:color w:val="FF0000"/>
                <w:sz w:val="21"/>
                <w:szCs w:val="21"/>
              </w:rPr>
            </w:pPr>
          </w:p>
        </w:tc>
        <w:tc>
          <w:tcPr>
            <w:tcW w:w="217" w:type="dxa"/>
          </w:tcPr>
          <w:p w14:paraId="17C266A0" w14:textId="77777777" w:rsidR="002C0FD9" w:rsidRPr="00CA25CF" w:rsidRDefault="002C0FD9" w:rsidP="00CA25CF">
            <w:pPr>
              <w:rPr>
                <w:rFonts w:cs="Arial"/>
                <w:color w:val="FF0000"/>
                <w:sz w:val="21"/>
                <w:szCs w:val="21"/>
              </w:rPr>
            </w:pPr>
          </w:p>
        </w:tc>
        <w:tc>
          <w:tcPr>
            <w:tcW w:w="217" w:type="dxa"/>
          </w:tcPr>
          <w:p w14:paraId="17E7CFFC" w14:textId="77777777" w:rsidR="002C0FD9" w:rsidRPr="00CA25CF" w:rsidRDefault="002C0FD9" w:rsidP="00CA25CF">
            <w:pPr>
              <w:rPr>
                <w:rFonts w:cs="Arial"/>
                <w:color w:val="FF0000"/>
                <w:sz w:val="21"/>
                <w:szCs w:val="21"/>
              </w:rPr>
            </w:pPr>
          </w:p>
        </w:tc>
        <w:tc>
          <w:tcPr>
            <w:tcW w:w="217" w:type="dxa"/>
          </w:tcPr>
          <w:p w14:paraId="3322B171" w14:textId="77777777" w:rsidR="002C0FD9" w:rsidRPr="00CA25CF" w:rsidRDefault="002C0FD9" w:rsidP="00CA25CF">
            <w:pPr>
              <w:rPr>
                <w:rFonts w:cs="Arial"/>
                <w:color w:val="FF0000"/>
                <w:sz w:val="21"/>
                <w:szCs w:val="21"/>
              </w:rPr>
            </w:pPr>
          </w:p>
        </w:tc>
        <w:tc>
          <w:tcPr>
            <w:tcW w:w="217" w:type="dxa"/>
          </w:tcPr>
          <w:p w14:paraId="54FE0D0C" w14:textId="77777777" w:rsidR="002C0FD9" w:rsidRPr="00CA25CF" w:rsidRDefault="002C0FD9" w:rsidP="00CA25CF">
            <w:pPr>
              <w:rPr>
                <w:rFonts w:cs="Arial"/>
                <w:color w:val="FF0000"/>
                <w:sz w:val="21"/>
                <w:szCs w:val="21"/>
              </w:rPr>
            </w:pPr>
          </w:p>
        </w:tc>
      </w:tr>
      <w:tr w:rsidR="002C0FD9" w:rsidRPr="00A16219" w14:paraId="1B725BA0" w14:textId="35FCD121" w:rsidTr="002C0FD9">
        <w:trPr>
          <w:trHeight w:val="635"/>
        </w:trPr>
        <w:tc>
          <w:tcPr>
            <w:tcW w:w="515" w:type="dxa"/>
          </w:tcPr>
          <w:p w14:paraId="1D922831" w14:textId="77777777" w:rsidR="002C0FD9" w:rsidRPr="00CA25CF" w:rsidRDefault="002C0FD9" w:rsidP="00CA25CF">
            <w:pPr>
              <w:rPr>
                <w:rFonts w:cs="Arial"/>
                <w:color w:val="FF0000"/>
                <w:sz w:val="21"/>
                <w:szCs w:val="21"/>
              </w:rPr>
            </w:pPr>
          </w:p>
        </w:tc>
        <w:tc>
          <w:tcPr>
            <w:tcW w:w="217" w:type="dxa"/>
          </w:tcPr>
          <w:p w14:paraId="3CE86531" w14:textId="77777777" w:rsidR="002C0FD9" w:rsidRPr="00CA25CF" w:rsidRDefault="002C0FD9" w:rsidP="00CA25CF">
            <w:pPr>
              <w:rPr>
                <w:rFonts w:cs="Arial"/>
                <w:color w:val="FF0000"/>
                <w:sz w:val="21"/>
                <w:szCs w:val="21"/>
              </w:rPr>
            </w:pPr>
          </w:p>
        </w:tc>
        <w:tc>
          <w:tcPr>
            <w:tcW w:w="217" w:type="dxa"/>
          </w:tcPr>
          <w:p w14:paraId="0B1C996D" w14:textId="75F7C25D" w:rsidR="002C0FD9" w:rsidRPr="00CA25CF" w:rsidRDefault="002C0FD9" w:rsidP="00CA25CF">
            <w:pPr>
              <w:rPr>
                <w:rFonts w:cs="Arial"/>
                <w:color w:val="FF0000"/>
                <w:sz w:val="21"/>
                <w:szCs w:val="21"/>
              </w:rPr>
            </w:pPr>
          </w:p>
        </w:tc>
        <w:tc>
          <w:tcPr>
            <w:tcW w:w="217" w:type="dxa"/>
          </w:tcPr>
          <w:p w14:paraId="633691DC" w14:textId="77777777" w:rsidR="002C0FD9" w:rsidRPr="00CA25CF" w:rsidRDefault="002C0FD9" w:rsidP="00CA25CF">
            <w:pPr>
              <w:rPr>
                <w:rFonts w:cs="Arial"/>
                <w:color w:val="FF0000"/>
                <w:sz w:val="21"/>
                <w:szCs w:val="21"/>
              </w:rPr>
            </w:pPr>
          </w:p>
        </w:tc>
        <w:tc>
          <w:tcPr>
            <w:tcW w:w="217" w:type="dxa"/>
          </w:tcPr>
          <w:p w14:paraId="3F8685A8" w14:textId="77777777" w:rsidR="002C0FD9" w:rsidRPr="00CA25CF" w:rsidRDefault="002C0FD9" w:rsidP="00CA25CF">
            <w:pPr>
              <w:rPr>
                <w:rFonts w:cs="Arial"/>
                <w:color w:val="FF0000"/>
                <w:sz w:val="21"/>
                <w:szCs w:val="21"/>
              </w:rPr>
            </w:pPr>
          </w:p>
        </w:tc>
        <w:tc>
          <w:tcPr>
            <w:tcW w:w="217" w:type="dxa"/>
          </w:tcPr>
          <w:p w14:paraId="26C2449E" w14:textId="77777777" w:rsidR="002C0FD9" w:rsidRPr="00CA25CF" w:rsidRDefault="002C0FD9" w:rsidP="00CA25CF">
            <w:pPr>
              <w:rPr>
                <w:rFonts w:cs="Arial"/>
                <w:color w:val="FF0000"/>
                <w:sz w:val="21"/>
                <w:szCs w:val="21"/>
              </w:rPr>
            </w:pPr>
          </w:p>
        </w:tc>
        <w:tc>
          <w:tcPr>
            <w:tcW w:w="217" w:type="dxa"/>
          </w:tcPr>
          <w:p w14:paraId="05CF18ED" w14:textId="77777777" w:rsidR="002C0FD9" w:rsidRPr="00CA25CF" w:rsidRDefault="002C0FD9" w:rsidP="00CA25CF">
            <w:pPr>
              <w:rPr>
                <w:rFonts w:cs="Arial"/>
                <w:color w:val="FF0000"/>
                <w:sz w:val="21"/>
                <w:szCs w:val="21"/>
              </w:rPr>
            </w:pPr>
          </w:p>
        </w:tc>
        <w:tc>
          <w:tcPr>
            <w:tcW w:w="217" w:type="dxa"/>
          </w:tcPr>
          <w:p w14:paraId="74FBE00F" w14:textId="77777777" w:rsidR="002C0FD9" w:rsidRPr="00CA25CF" w:rsidRDefault="002C0FD9" w:rsidP="00CA25CF">
            <w:pPr>
              <w:rPr>
                <w:rFonts w:cs="Arial"/>
                <w:color w:val="FF0000"/>
                <w:sz w:val="21"/>
                <w:szCs w:val="21"/>
              </w:rPr>
            </w:pPr>
          </w:p>
        </w:tc>
        <w:tc>
          <w:tcPr>
            <w:tcW w:w="217" w:type="dxa"/>
          </w:tcPr>
          <w:p w14:paraId="7DCFA6D7" w14:textId="77777777" w:rsidR="002C0FD9" w:rsidRPr="00CA25CF" w:rsidRDefault="002C0FD9" w:rsidP="00CA25CF">
            <w:pPr>
              <w:rPr>
                <w:rFonts w:cs="Arial"/>
                <w:color w:val="FF0000"/>
                <w:sz w:val="21"/>
                <w:szCs w:val="21"/>
              </w:rPr>
            </w:pPr>
          </w:p>
        </w:tc>
        <w:tc>
          <w:tcPr>
            <w:tcW w:w="217" w:type="dxa"/>
          </w:tcPr>
          <w:p w14:paraId="22408F00" w14:textId="77777777" w:rsidR="002C0FD9" w:rsidRPr="00CA25CF" w:rsidRDefault="002C0FD9" w:rsidP="00CA25CF">
            <w:pPr>
              <w:rPr>
                <w:rFonts w:cs="Arial"/>
                <w:color w:val="FF0000"/>
                <w:sz w:val="21"/>
                <w:szCs w:val="21"/>
              </w:rPr>
            </w:pPr>
          </w:p>
        </w:tc>
        <w:tc>
          <w:tcPr>
            <w:tcW w:w="217" w:type="dxa"/>
          </w:tcPr>
          <w:p w14:paraId="21BAC772" w14:textId="77777777" w:rsidR="002C0FD9" w:rsidRPr="00CA25CF" w:rsidRDefault="002C0FD9" w:rsidP="00CA25CF">
            <w:pPr>
              <w:rPr>
                <w:rFonts w:cs="Arial"/>
                <w:color w:val="FF0000"/>
                <w:sz w:val="21"/>
                <w:szCs w:val="21"/>
              </w:rPr>
            </w:pPr>
          </w:p>
        </w:tc>
        <w:tc>
          <w:tcPr>
            <w:tcW w:w="217" w:type="dxa"/>
          </w:tcPr>
          <w:p w14:paraId="15822F17" w14:textId="77777777" w:rsidR="002C0FD9" w:rsidRPr="00CA25CF" w:rsidRDefault="002C0FD9" w:rsidP="00CA25CF">
            <w:pPr>
              <w:rPr>
                <w:rFonts w:cs="Arial"/>
                <w:color w:val="FF0000"/>
                <w:sz w:val="21"/>
                <w:szCs w:val="21"/>
              </w:rPr>
            </w:pPr>
          </w:p>
        </w:tc>
        <w:tc>
          <w:tcPr>
            <w:tcW w:w="217" w:type="dxa"/>
          </w:tcPr>
          <w:p w14:paraId="3E55548E" w14:textId="77777777" w:rsidR="002C0FD9" w:rsidRPr="00CA25CF" w:rsidRDefault="002C0FD9" w:rsidP="00CA25CF">
            <w:pPr>
              <w:rPr>
                <w:rFonts w:cs="Arial"/>
                <w:color w:val="FF0000"/>
                <w:sz w:val="21"/>
                <w:szCs w:val="21"/>
              </w:rPr>
            </w:pPr>
          </w:p>
        </w:tc>
        <w:tc>
          <w:tcPr>
            <w:tcW w:w="217" w:type="dxa"/>
          </w:tcPr>
          <w:p w14:paraId="6A99A533" w14:textId="77777777" w:rsidR="002C0FD9" w:rsidRPr="00CA25CF" w:rsidRDefault="002C0FD9" w:rsidP="00CA25CF">
            <w:pPr>
              <w:rPr>
                <w:rFonts w:cs="Arial"/>
                <w:color w:val="FF0000"/>
                <w:sz w:val="21"/>
                <w:szCs w:val="21"/>
              </w:rPr>
            </w:pPr>
          </w:p>
        </w:tc>
        <w:tc>
          <w:tcPr>
            <w:tcW w:w="217" w:type="dxa"/>
          </w:tcPr>
          <w:p w14:paraId="236378A9" w14:textId="77777777" w:rsidR="002C0FD9" w:rsidRPr="00CA25CF" w:rsidRDefault="002C0FD9" w:rsidP="00CA25CF">
            <w:pPr>
              <w:rPr>
                <w:rFonts w:cs="Arial"/>
                <w:color w:val="FF0000"/>
                <w:sz w:val="21"/>
                <w:szCs w:val="21"/>
              </w:rPr>
            </w:pPr>
          </w:p>
        </w:tc>
        <w:tc>
          <w:tcPr>
            <w:tcW w:w="217" w:type="dxa"/>
          </w:tcPr>
          <w:p w14:paraId="3A18AAC9" w14:textId="77777777" w:rsidR="002C0FD9" w:rsidRPr="00CA25CF" w:rsidRDefault="002C0FD9" w:rsidP="00CA25CF">
            <w:pPr>
              <w:rPr>
                <w:rFonts w:cs="Arial"/>
                <w:color w:val="FF0000"/>
                <w:sz w:val="21"/>
                <w:szCs w:val="21"/>
              </w:rPr>
            </w:pPr>
          </w:p>
        </w:tc>
        <w:tc>
          <w:tcPr>
            <w:tcW w:w="217" w:type="dxa"/>
          </w:tcPr>
          <w:p w14:paraId="5F5CAE1F" w14:textId="77777777" w:rsidR="002C0FD9" w:rsidRPr="00CA25CF" w:rsidRDefault="002C0FD9" w:rsidP="00CA25CF">
            <w:pPr>
              <w:rPr>
                <w:rFonts w:cs="Arial"/>
                <w:color w:val="FF0000"/>
                <w:sz w:val="21"/>
                <w:szCs w:val="21"/>
              </w:rPr>
            </w:pPr>
          </w:p>
        </w:tc>
        <w:tc>
          <w:tcPr>
            <w:tcW w:w="217" w:type="dxa"/>
          </w:tcPr>
          <w:p w14:paraId="0190B195" w14:textId="77777777" w:rsidR="002C0FD9" w:rsidRPr="00CA25CF" w:rsidRDefault="002C0FD9" w:rsidP="00CA25CF">
            <w:pPr>
              <w:rPr>
                <w:rFonts w:cs="Arial"/>
                <w:color w:val="FF0000"/>
                <w:sz w:val="21"/>
                <w:szCs w:val="21"/>
              </w:rPr>
            </w:pPr>
          </w:p>
        </w:tc>
        <w:tc>
          <w:tcPr>
            <w:tcW w:w="217" w:type="dxa"/>
          </w:tcPr>
          <w:p w14:paraId="26F95E33" w14:textId="77777777" w:rsidR="002C0FD9" w:rsidRPr="00CA25CF" w:rsidRDefault="002C0FD9" w:rsidP="00CA25CF">
            <w:pPr>
              <w:rPr>
                <w:rFonts w:cs="Arial"/>
                <w:color w:val="FF0000"/>
                <w:sz w:val="21"/>
                <w:szCs w:val="21"/>
              </w:rPr>
            </w:pPr>
          </w:p>
        </w:tc>
        <w:tc>
          <w:tcPr>
            <w:tcW w:w="217" w:type="dxa"/>
          </w:tcPr>
          <w:p w14:paraId="479F7F6E" w14:textId="77777777" w:rsidR="002C0FD9" w:rsidRPr="00CA25CF" w:rsidRDefault="002C0FD9" w:rsidP="00CA25CF">
            <w:pPr>
              <w:rPr>
                <w:rFonts w:cs="Arial"/>
                <w:color w:val="FF0000"/>
                <w:sz w:val="21"/>
                <w:szCs w:val="21"/>
              </w:rPr>
            </w:pPr>
          </w:p>
        </w:tc>
        <w:tc>
          <w:tcPr>
            <w:tcW w:w="217" w:type="dxa"/>
          </w:tcPr>
          <w:p w14:paraId="4CE86714" w14:textId="77777777" w:rsidR="002C0FD9" w:rsidRPr="00CA25CF" w:rsidRDefault="002C0FD9" w:rsidP="00CA25CF">
            <w:pPr>
              <w:rPr>
                <w:rFonts w:cs="Arial"/>
                <w:color w:val="FF0000"/>
                <w:sz w:val="21"/>
                <w:szCs w:val="21"/>
              </w:rPr>
            </w:pPr>
          </w:p>
        </w:tc>
        <w:tc>
          <w:tcPr>
            <w:tcW w:w="217" w:type="dxa"/>
          </w:tcPr>
          <w:p w14:paraId="0AC750C5" w14:textId="77777777" w:rsidR="002C0FD9" w:rsidRPr="00CA25CF" w:rsidRDefault="002C0FD9" w:rsidP="00CA25CF">
            <w:pPr>
              <w:rPr>
                <w:rFonts w:cs="Arial"/>
                <w:color w:val="FF0000"/>
                <w:sz w:val="21"/>
                <w:szCs w:val="21"/>
              </w:rPr>
            </w:pPr>
          </w:p>
        </w:tc>
        <w:tc>
          <w:tcPr>
            <w:tcW w:w="217" w:type="dxa"/>
          </w:tcPr>
          <w:p w14:paraId="3EEFA44C" w14:textId="77777777" w:rsidR="002C0FD9" w:rsidRPr="00CA25CF" w:rsidRDefault="002C0FD9" w:rsidP="00CA25CF">
            <w:pPr>
              <w:rPr>
                <w:rFonts w:cs="Arial"/>
                <w:color w:val="FF0000"/>
                <w:sz w:val="21"/>
                <w:szCs w:val="21"/>
              </w:rPr>
            </w:pPr>
          </w:p>
        </w:tc>
        <w:tc>
          <w:tcPr>
            <w:tcW w:w="217" w:type="dxa"/>
          </w:tcPr>
          <w:p w14:paraId="0A7ED220" w14:textId="77777777" w:rsidR="002C0FD9" w:rsidRPr="00CA25CF" w:rsidRDefault="002C0FD9" w:rsidP="00CA25CF">
            <w:pPr>
              <w:rPr>
                <w:rFonts w:cs="Arial"/>
                <w:color w:val="FF0000"/>
                <w:sz w:val="21"/>
                <w:szCs w:val="21"/>
              </w:rPr>
            </w:pPr>
          </w:p>
        </w:tc>
        <w:tc>
          <w:tcPr>
            <w:tcW w:w="217" w:type="dxa"/>
          </w:tcPr>
          <w:p w14:paraId="3E4FD949" w14:textId="77777777" w:rsidR="002C0FD9" w:rsidRPr="00CA25CF" w:rsidRDefault="002C0FD9" w:rsidP="00CA25CF">
            <w:pPr>
              <w:rPr>
                <w:rFonts w:cs="Arial"/>
                <w:color w:val="FF0000"/>
                <w:sz w:val="21"/>
                <w:szCs w:val="21"/>
              </w:rPr>
            </w:pPr>
          </w:p>
        </w:tc>
        <w:tc>
          <w:tcPr>
            <w:tcW w:w="217" w:type="dxa"/>
          </w:tcPr>
          <w:p w14:paraId="184FA02F" w14:textId="77777777" w:rsidR="002C0FD9" w:rsidRPr="00CA25CF" w:rsidRDefault="002C0FD9" w:rsidP="00CA25CF">
            <w:pPr>
              <w:rPr>
                <w:rFonts w:cs="Arial"/>
                <w:color w:val="FF0000"/>
                <w:sz w:val="21"/>
                <w:szCs w:val="21"/>
              </w:rPr>
            </w:pPr>
          </w:p>
        </w:tc>
        <w:tc>
          <w:tcPr>
            <w:tcW w:w="217" w:type="dxa"/>
          </w:tcPr>
          <w:p w14:paraId="41C0FCAC" w14:textId="77777777" w:rsidR="002C0FD9" w:rsidRPr="00CA25CF" w:rsidRDefault="002C0FD9" w:rsidP="00CA25CF">
            <w:pPr>
              <w:rPr>
                <w:rFonts w:cs="Arial"/>
                <w:color w:val="FF0000"/>
                <w:sz w:val="21"/>
                <w:szCs w:val="21"/>
              </w:rPr>
            </w:pPr>
          </w:p>
        </w:tc>
        <w:tc>
          <w:tcPr>
            <w:tcW w:w="217" w:type="dxa"/>
          </w:tcPr>
          <w:p w14:paraId="23AA24E8" w14:textId="77777777" w:rsidR="002C0FD9" w:rsidRPr="00CA25CF" w:rsidRDefault="002C0FD9" w:rsidP="00CA25CF">
            <w:pPr>
              <w:rPr>
                <w:rFonts w:cs="Arial"/>
                <w:color w:val="FF0000"/>
                <w:sz w:val="21"/>
                <w:szCs w:val="21"/>
              </w:rPr>
            </w:pPr>
          </w:p>
        </w:tc>
        <w:tc>
          <w:tcPr>
            <w:tcW w:w="217" w:type="dxa"/>
          </w:tcPr>
          <w:p w14:paraId="5156AAA0" w14:textId="77777777" w:rsidR="002C0FD9" w:rsidRPr="00CA25CF" w:rsidRDefault="002C0FD9" w:rsidP="00CA25CF">
            <w:pPr>
              <w:rPr>
                <w:rFonts w:cs="Arial"/>
                <w:color w:val="FF0000"/>
                <w:sz w:val="21"/>
                <w:szCs w:val="21"/>
              </w:rPr>
            </w:pPr>
          </w:p>
        </w:tc>
        <w:tc>
          <w:tcPr>
            <w:tcW w:w="217" w:type="dxa"/>
          </w:tcPr>
          <w:p w14:paraId="04DCADDF" w14:textId="77777777" w:rsidR="002C0FD9" w:rsidRPr="00CA25CF" w:rsidRDefault="002C0FD9" w:rsidP="00CA25CF">
            <w:pPr>
              <w:rPr>
                <w:rFonts w:cs="Arial"/>
                <w:color w:val="FF0000"/>
                <w:sz w:val="21"/>
                <w:szCs w:val="21"/>
              </w:rPr>
            </w:pPr>
          </w:p>
        </w:tc>
        <w:tc>
          <w:tcPr>
            <w:tcW w:w="217" w:type="dxa"/>
          </w:tcPr>
          <w:p w14:paraId="2106ED26" w14:textId="77777777" w:rsidR="002C0FD9" w:rsidRPr="00CA25CF" w:rsidRDefault="002C0FD9" w:rsidP="00CA25CF">
            <w:pPr>
              <w:rPr>
                <w:rFonts w:cs="Arial"/>
                <w:color w:val="FF0000"/>
                <w:sz w:val="21"/>
                <w:szCs w:val="21"/>
              </w:rPr>
            </w:pPr>
          </w:p>
        </w:tc>
        <w:tc>
          <w:tcPr>
            <w:tcW w:w="217" w:type="dxa"/>
          </w:tcPr>
          <w:p w14:paraId="21C499EE" w14:textId="77777777" w:rsidR="002C0FD9" w:rsidRPr="00CA25CF" w:rsidRDefault="002C0FD9" w:rsidP="00CA25CF">
            <w:pPr>
              <w:rPr>
                <w:rFonts w:cs="Arial"/>
                <w:color w:val="FF0000"/>
                <w:sz w:val="21"/>
                <w:szCs w:val="21"/>
              </w:rPr>
            </w:pPr>
          </w:p>
        </w:tc>
        <w:tc>
          <w:tcPr>
            <w:tcW w:w="217" w:type="dxa"/>
          </w:tcPr>
          <w:p w14:paraId="0E52121C" w14:textId="77777777" w:rsidR="002C0FD9" w:rsidRPr="00CA25CF" w:rsidRDefault="002C0FD9" w:rsidP="00CA25CF">
            <w:pPr>
              <w:rPr>
                <w:rFonts w:cs="Arial"/>
                <w:color w:val="FF0000"/>
                <w:sz w:val="21"/>
                <w:szCs w:val="21"/>
              </w:rPr>
            </w:pPr>
          </w:p>
        </w:tc>
        <w:tc>
          <w:tcPr>
            <w:tcW w:w="217" w:type="dxa"/>
          </w:tcPr>
          <w:p w14:paraId="7D8D7D0E" w14:textId="77777777" w:rsidR="002C0FD9" w:rsidRPr="00CA25CF" w:rsidRDefault="002C0FD9" w:rsidP="00CA25CF">
            <w:pPr>
              <w:rPr>
                <w:rFonts w:cs="Arial"/>
                <w:color w:val="FF0000"/>
                <w:sz w:val="21"/>
                <w:szCs w:val="21"/>
              </w:rPr>
            </w:pPr>
          </w:p>
        </w:tc>
        <w:tc>
          <w:tcPr>
            <w:tcW w:w="217" w:type="dxa"/>
          </w:tcPr>
          <w:p w14:paraId="38038DD4" w14:textId="77777777" w:rsidR="002C0FD9" w:rsidRPr="00CA25CF" w:rsidRDefault="002C0FD9" w:rsidP="00CA25CF">
            <w:pPr>
              <w:rPr>
                <w:rFonts w:cs="Arial"/>
                <w:color w:val="FF0000"/>
                <w:sz w:val="21"/>
                <w:szCs w:val="21"/>
              </w:rPr>
            </w:pPr>
          </w:p>
        </w:tc>
        <w:tc>
          <w:tcPr>
            <w:tcW w:w="217" w:type="dxa"/>
          </w:tcPr>
          <w:p w14:paraId="7B64CEB6" w14:textId="77777777" w:rsidR="002C0FD9" w:rsidRPr="00CA25CF" w:rsidRDefault="002C0FD9" w:rsidP="00CA25CF">
            <w:pPr>
              <w:rPr>
                <w:rFonts w:cs="Arial"/>
                <w:color w:val="FF0000"/>
                <w:sz w:val="21"/>
                <w:szCs w:val="21"/>
              </w:rPr>
            </w:pPr>
          </w:p>
        </w:tc>
        <w:tc>
          <w:tcPr>
            <w:tcW w:w="217" w:type="dxa"/>
          </w:tcPr>
          <w:p w14:paraId="655B0E02" w14:textId="77777777" w:rsidR="002C0FD9" w:rsidRPr="00CA25CF" w:rsidRDefault="002C0FD9" w:rsidP="00CA25CF">
            <w:pPr>
              <w:rPr>
                <w:rFonts w:cs="Arial"/>
                <w:color w:val="FF0000"/>
                <w:sz w:val="21"/>
                <w:szCs w:val="21"/>
              </w:rPr>
            </w:pPr>
          </w:p>
        </w:tc>
        <w:tc>
          <w:tcPr>
            <w:tcW w:w="217" w:type="dxa"/>
          </w:tcPr>
          <w:p w14:paraId="71354029" w14:textId="77777777" w:rsidR="002C0FD9" w:rsidRPr="00CA25CF" w:rsidRDefault="002C0FD9" w:rsidP="00CA25CF">
            <w:pPr>
              <w:rPr>
                <w:rFonts w:cs="Arial"/>
                <w:color w:val="FF0000"/>
                <w:sz w:val="21"/>
                <w:szCs w:val="21"/>
              </w:rPr>
            </w:pPr>
          </w:p>
        </w:tc>
        <w:tc>
          <w:tcPr>
            <w:tcW w:w="217" w:type="dxa"/>
          </w:tcPr>
          <w:p w14:paraId="22EB5224" w14:textId="77777777" w:rsidR="002C0FD9" w:rsidRPr="00CA25CF" w:rsidRDefault="002C0FD9" w:rsidP="00CA25CF">
            <w:pPr>
              <w:rPr>
                <w:rFonts w:cs="Arial"/>
                <w:color w:val="FF0000"/>
                <w:sz w:val="21"/>
                <w:szCs w:val="21"/>
              </w:rPr>
            </w:pPr>
          </w:p>
        </w:tc>
        <w:tc>
          <w:tcPr>
            <w:tcW w:w="217" w:type="dxa"/>
          </w:tcPr>
          <w:p w14:paraId="38BB0279" w14:textId="77777777" w:rsidR="002C0FD9" w:rsidRPr="00CA25CF" w:rsidRDefault="002C0FD9" w:rsidP="00CA25CF">
            <w:pPr>
              <w:rPr>
                <w:rFonts w:cs="Arial"/>
                <w:color w:val="FF0000"/>
                <w:sz w:val="21"/>
                <w:szCs w:val="21"/>
              </w:rPr>
            </w:pPr>
          </w:p>
        </w:tc>
        <w:tc>
          <w:tcPr>
            <w:tcW w:w="217" w:type="dxa"/>
          </w:tcPr>
          <w:p w14:paraId="795ABC29" w14:textId="77777777" w:rsidR="002C0FD9" w:rsidRPr="00CA25CF" w:rsidRDefault="002C0FD9" w:rsidP="00CA25CF">
            <w:pPr>
              <w:rPr>
                <w:rFonts w:cs="Arial"/>
                <w:color w:val="FF0000"/>
                <w:sz w:val="21"/>
                <w:szCs w:val="21"/>
              </w:rPr>
            </w:pPr>
          </w:p>
        </w:tc>
        <w:tc>
          <w:tcPr>
            <w:tcW w:w="217" w:type="dxa"/>
          </w:tcPr>
          <w:p w14:paraId="28F179CA" w14:textId="77777777" w:rsidR="002C0FD9" w:rsidRPr="00CA25CF" w:rsidRDefault="002C0FD9" w:rsidP="00CA25CF">
            <w:pPr>
              <w:rPr>
                <w:rFonts w:cs="Arial"/>
                <w:color w:val="FF0000"/>
                <w:sz w:val="21"/>
                <w:szCs w:val="21"/>
              </w:rPr>
            </w:pPr>
          </w:p>
        </w:tc>
        <w:tc>
          <w:tcPr>
            <w:tcW w:w="217" w:type="dxa"/>
          </w:tcPr>
          <w:p w14:paraId="52DA0ED4" w14:textId="77777777" w:rsidR="002C0FD9" w:rsidRPr="00CA25CF" w:rsidRDefault="002C0FD9" w:rsidP="00CA25CF">
            <w:pPr>
              <w:rPr>
                <w:rFonts w:cs="Arial"/>
                <w:color w:val="FF0000"/>
                <w:sz w:val="21"/>
                <w:szCs w:val="21"/>
              </w:rPr>
            </w:pPr>
          </w:p>
        </w:tc>
      </w:tr>
      <w:tr w:rsidR="002C0FD9" w:rsidRPr="00A16219" w14:paraId="54286C12" w14:textId="3DC09A1D" w:rsidTr="002C0FD9">
        <w:trPr>
          <w:trHeight w:val="635"/>
        </w:trPr>
        <w:tc>
          <w:tcPr>
            <w:tcW w:w="515" w:type="dxa"/>
          </w:tcPr>
          <w:p w14:paraId="0D31DC99" w14:textId="77777777" w:rsidR="002C0FD9" w:rsidRPr="00CA25CF" w:rsidRDefault="002C0FD9" w:rsidP="00CA25CF">
            <w:pPr>
              <w:rPr>
                <w:rFonts w:cs="Arial"/>
                <w:color w:val="FF0000"/>
                <w:sz w:val="21"/>
                <w:szCs w:val="21"/>
              </w:rPr>
            </w:pPr>
          </w:p>
        </w:tc>
        <w:tc>
          <w:tcPr>
            <w:tcW w:w="217" w:type="dxa"/>
          </w:tcPr>
          <w:p w14:paraId="2DEE19D6" w14:textId="77777777" w:rsidR="002C0FD9" w:rsidRPr="00CA25CF" w:rsidRDefault="002C0FD9" w:rsidP="00CA25CF">
            <w:pPr>
              <w:rPr>
                <w:rFonts w:cs="Arial"/>
                <w:color w:val="FF0000"/>
                <w:sz w:val="21"/>
                <w:szCs w:val="21"/>
              </w:rPr>
            </w:pPr>
          </w:p>
        </w:tc>
        <w:tc>
          <w:tcPr>
            <w:tcW w:w="217" w:type="dxa"/>
          </w:tcPr>
          <w:p w14:paraId="4CE89A65" w14:textId="6C3E5274" w:rsidR="002C0FD9" w:rsidRPr="00CA25CF" w:rsidRDefault="002C0FD9" w:rsidP="00CA25CF">
            <w:pPr>
              <w:rPr>
                <w:rFonts w:cs="Arial"/>
                <w:color w:val="FF0000"/>
                <w:sz w:val="21"/>
                <w:szCs w:val="21"/>
              </w:rPr>
            </w:pPr>
          </w:p>
        </w:tc>
        <w:tc>
          <w:tcPr>
            <w:tcW w:w="217" w:type="dxa"/>
          </w:tcPr>
          <w:p w14:paraId="1277F31B" w14:textId="77777777" w:rsidR="002C0FD9" w:rsidRPr="00CA25CF" w:rsidRDefault="002C0FD9" w:rsidP="00CA25CF">
            <w:pPr>
              <w:rPr>
                <w:rFonts w:cs="Arial"/>
                <w:color w:val="FF0000"/>
                <w:sz w:val="21"/>
                <w:szCs w:val="21"/>
              </w:rPr>
            </w:pPr>
          </w:p>
        </w:tc>
        <w:tc>
          <w:tcPr>
            <w:tcW w:w="217" w:type="dxa"/>
          </w:tcPr>
          <w:p w14:paraId="1EB60131" w14:textId="77777777" w:rsidR="002C0FD9" w:rsidRPr="00CA25CF" w:rsidRDefault="002C0FD9" w:rsidP="00CA25CF">
            <w:pPr>
              <w:rPr>
                <w:rFonts w:cs="Arial"/>
                <w:color w:val="FF0000"/>
                <w:sz w:val="21"/>
                <w:szCs w:val="21"/>
              </w:rPr>
            </w:pPr>
          </w:p>
        </w:tc>
        <w:tc>
          <w:tcPr>
            <w:tcW w:w="217" w:type="dxa"/>
          </w:tcPr>
          <w:p w14:paraId="475878FC" w14:textId="77777777" w:rsidR="002C0FD9" w:rsidRPr="00CA25CF" w:rsidRDefault="002C0FD9" w:rsidP="00CA25CF">
            <w:pPr>
              <w:rPr>
                <w:rFonts w:cs="Arial"/>
                <w:color w:val="FF0000"/>
                <w:sz w:val="21"/>
                <w:szCs w:val="21"/>
              </w:rPr>
            </w:pPr>
          </w:p>
        </w:tc>
        <w:tc>
          <w:tcPr>
            <w:tcW w:w="217" w:type="dxa"/>
          </w:tcPr>
          <w:p w14:paraId="282640A0" w14:textId="77777777" w:rsidR="002C0FD9" w:rsidRPr="00CA25CF" w:rsidRDefault="002C0FD9" w:rsidP="00CA25CF">
            <w:pPr>
              <w:rPr>
                <w:rFonts w:cs="Arial"/>
                <w:color w:val="FF0000"/>
                <w:sz w:val="21"/>
                <w:szCs w:val="21"/>
              </w:rPr>
            </w:pPr>
          </w:p>
        </w:tc>
        <w:tc>
          <w:tcPr>
            <w:tcW w:w="217" w:type="dxa"/>
          </w:tcPr>
          <w:p w14:paraId="5E8A153C" w14:textId="77777777" w:rsidR="002C0FD9" w:rsidRPr="00CA25CF" w:rsidRDefault="002C0FD9" w:rsidP="00CA25CF">
            <w:pPr>
              <w:rPr>
                <w:rFonts w:cs="Arial"/>
                <w:color w:val="FF0000"/>
                <w:sz w:val="21"/>
                <w:szCs w:val="21"/>
              </w:rPr>
            </w:pPr>
          </w:p>
        </w:tc>
        <w:tc>
          <w:tcPr>
            <w:tcW w:w="217" w:type="dxa"/>
          </w:tcPr>
          <w:p w14:paraId="725D9A33" w14:textId="77777777" w:rsidR="002C0FD9" w:rsidRPr="00CA25CF" w:rsidRDefault="002C0FD9" w:rsidP="00CA25CF">
            <w:pPr>
              <w:rPr>
                <w:rFonts w:cs="Arial"/>
                <w:color w:val="FF0000"/>
                <w:sz w:val="21"/>
                <w:szCs w:val="21"/>
              </w:rPr>
            </w:pPr>
          </w:p>
        </w:tc>
        <w:tc>
          <w:tcPr>
            <w:tcW w:w="217" w:type="dxa"/>
          </w:tcPr>
          <w:p w14:paraId="0BF19CF4" w14:textId="77777777" w:rsidR="002C0FD9" w:rsidRPr="00CA25CF" w:rsidRDefault="002C0FD9" w:rsidP="00CA25CF">
            <w:pPr>
              <w:rPr>
                <w:rFonts w:cs="Arial"/>
                <w:color w:val="FF0000"/>
                <w:sz w:val="21"/>
                <w:szCs w:val="21"/>
              </w:rPr>
            </w:pPr>
          </w:p>
        </w:tc>
        <w:tc>
          <w:tcPr>
            <w:tcW w:w="217" w:type="dxa"/>
          </w:tcPr>
          <w:p w14:paraId="4F1EEADF" w14:textId="77777777" w:rsidR="002C0FD9" w:rsidRPr="00CA25CF" w:rsidRDefault="002C0FD9" w:rsidP="00CA25CF">
            <w:pPr>
              <w:rPr>
                <w:rFonts w:cs="Arial"/>
                <w:color w:val="FF0000"/>
                <w:sz w:val="21"/>
                <w:szCs w:val="21"/>
              </w:rPr>
            </w:pPr>
          </w:p>
        </w:tc>
        <w:tc>
          <w:tcPr>
            <w:tcW w:w="217" w:type="dxa"/>
          </w:tcPr>
          <w:p w14:paraId="7025499F" w14:textId="77777777" w:rsidR="002C0FD9" w:rsidRPr="00CA25CF" w:rsidRDefault="002C0FD9" w:rsidP="00CA25CF">
            <w:pPr>
              <w:rPr>
                <w:rFonts w:cs="Arial"/>
                <w:color w:val="FF0000"/>
                <w:sz w:val="21"/>
                <w:szCs w:val="21"/>
              </w:rPr>
            </w:pPr>
          </w:p>
        </w:tc>
        <w:tc>
          <w:tcPr>
            <w:tcW w:w="217" w:type="dxa"/>
          </w:tcPr>
          <w:p w14:paraId="61864615" w14:textId="77777777" w:rsidR="002C0FD9" w:rsidRPr="00CA25CF" w:rsidRDefault="002C0FD9" w:rsidP="00CA25CF">
            <w:pPr>
              <w:rPr>
                <w:rFonts w:cs="Arial"/>
                <w:color w:val="FF0000"/>
                <w:sz w:val="21"/>
                <w:szCs w:val="21"/>
              </w:rPr>
            </w:pPr>
          </w:p>
        </w:tc>
        <w:tc>
          <w:tcPr>
            <w:tcW w:w="217" w:type="dxa"/>
          </w:tcPr>
          <w:p w14:paraId="773B6E10" w14:textId="77777777" w:rsidR="002C0FD9" w:rsidRPr="00CA25CF" w:rsidRDefault="002C0FD9" w:rsidP="00CA25CF">
            <w:pPr>
              <w:rPr>
                <w:rFonts w:cs="Arial"/>
                <w:color w:val="FF0000"/>
                <w:sz w:val="21"/>
                <w:szCs w:val="21"/>
              </w:rPr>
            </w:pPr>
          </w:p>
        </w:tc>
        <w:tc>
          <w:tcPr>
            <w:tcW w:w="217" w:type="dxa"/>
          </w:tcPr>
          <w:p w14:paraId="3DFA653B" w14:textId="77777777" w:rsidR="002C0FD9" w:rsidRPr="00CA25CF" w:rsidRDefault="002C0FD9" w:rsidP="00CA25CF">
            <w:pPr>
              <w:rPr>
                <w:rFonts w:cs="Arial"/>
                <w:color w:val="FF0000"/>
                <w:sz w:val="21"/>
                <w:szCs w:val="21"/>
              </w:rPr>
            </w:pPr>
          </w:p>
        </w:tc>
        <w:tc>
          <w:tcPr>
            <w:tcW w:w="217" w:type="dxa"/>
          </w:tcPr>
          <w:p w14:paraId="4A0A6738" w14:textId="77777777" w:rsidR="002C0FD9" w:rsidRPr="00CA25CF" w:rsidRDefault="002C0FD9" w:rsidP="00CA25CF">
            <w:pPr>
              <w:rPr>
                <w:rFonts w:cs="Arial"/>
                <w:color w:val="FF0000"/>
                <w:sz w:val="21"/>
                <w:szCs w:val="21"/>
              </w:rPr>
            </w:pPr>
          </w:p>
        </w:tc>
        <w:tc>
          <w:tcPr>
            <w:tcW w:w="217" w:type="dxa"/>
          </w:tcPr>
          <w:p w14:paraId="0C26A092" w14:textId="77777777" w:rsidR="002C0FD9" w:rsidRPr="00CA25CF" w:rsidRDefault="002C0FD9" w:rsidP="00CA25CF">
            <w:pPr>
              <w:rPr>
                <w:rFonts w:cs="Arial"/>
                <w:color w:val="FF0000"/>
                <w:sz w:val="21"/>
                <w:szCs w:val="21"/>
              </w:rPr>
            </w:pPr>
          </w:p>
        </w:tc>
        <w:tc>
          <w:tcPr>
            <w:tcW w:w="217" w:type="dxa"/>
          </w:tcPr>
          <w:p w14:paraId="40EAB09E" w14:textId="77777777" w:rsidR="002C0FD9" w:rsidRPr="00CA25CF" w:rsidRDefault="002C0FD9" w:rsidP="00CA25CF">
            <w:pPr>
              <w:rPr>
                <w:rFonts w:cs="Arial"/>
                <w:color w:val="FF0000"/>
                <w:sz w:val="21"/>
                <w:szCs w:val="21"/>
              </w:rPr>
            </w:pPr>
          </w:p>
        </w:tc>
        <w:tc>
          <w:tcPr>
            <w:tcW w:w="217" w:type="dxa"/>
          </w:tcPr>
          <w:p w14:paraId="0686845B" w14:textId="77777777" w:rsidR="002C0FD9" w:rsidRPr="00CA25CF" w:rsidRDefault="002C0FD9" w:rsidP="00CA25CF">
            <w:pPr>
              <w:rPr>
                <w:rFonts w:cs="Arial"/>
                <w:color w:val="FF0000"/>
                <w:sz w:val="21"/>
                <w:szCs w:val="21"/>
              </w:rPr>
            </w:pPr>
          </w:p>
        </w:tc>
        <w:tc>
          <w:tcPr>
            <w:tcW w:w="217" w:type="dxa"/>
          </w:tcPr>
          <w:p w14:paraId="71903A33" w14:textId="77777777" w:rsidR="002C0FD9" w:rsidRPr="00CA25CF" w:rsidRDefault="002C0FD9" w:rsidP="00CA25CF">
            <w:pPr>
              <w:rPr>
                <w:rFonts w:cs="Arial"/>
                <w:color w:val="FF0000"/>
                <w:sz w:val="21"/>
                <w:szCs w:val="21"/>
              </w:rPr>
            </w:pPr>
          </w:p>
        </w:tc>
        <w:tc>
          <w:tcPr>
            <w:tcW w:w="217" w:type="dxa"/>
          </w:tcPr>
          <w:p w14:paraId="451597A2" w14:textId="77777777" w:rsidR="002C0FD9" w:rsidRPr="00CA25CF" w:rsidRDefault="002C0FD9" w:rsidP="00CA25CF">
            <w:pPr>
              <w:rPr>
                <w:rFonts w:cs="Arial"/>
                <w:color w:val="FF0000"/>
                <w:sz w:val="21"/>
                <w:szCs w:val="21"/>
              </w:rPr>
            </w:pPr>
          </w:p>
        </w:tc>
        <w:tc>
          <w:tcPr>
            <w:tcW w:w="217" w:type="dxa"/>
          </w:tcPr>
          <w:p w14:paraId="68670B46" w14:textId="77777777" w:rsidR="002C0FD9" w:rsidRPr="00CA25CF" w:rsidRDefault="002C0FD9" w:rsidP="00CA25CF">
            <w:pPr>
              <w:rPr>
                <w:rFonts w:cs="Arial"/>
                <w:color w:val="FF0000"/>
                <w:sz w:val="21"/>
                <w:szCs w:val="21"/>
              </w:rPr>
            </w:pPr>
          </w:p>
        </w:tc>
        <w:tc>
          <w:tcPr>
            <w:tcW w:w="217" w:type="dxa"/>
          </w:tcPr>
          <w:p w14:paraId="20E52DAB" w14:textId="77777777" w:rsidR="002C0FD9" w:rsidRPr="00CA25CF" w:rsidRDefault="002C0FD9" w:rsidP="00CA25CF">
            <w:pPr>
              <w:rPr>
                <w:rFonts w:cs="Arial"/>
                <w:color w:val="FF0000"/>
                <w:sz w:val="21"/>
                <w:szCs w:val="21"/>
              </w:rPr>
            </w:pPr>
          </w:p>
        </w:tc>
        <w:tc>
          <w:tcPr>
            <w:tcW w:w="217" w:type="dxa"/>
          </w:tcPr>
          <w:p w14:paraId="1315B883" w14:textId="77777777" w:rsidR="002C0FD9" w:rsidRPr="00CA25CF" w:rsidRDefault="002C0FD9" w:rsidP="00CA25CF">
            <w:pPr>
              <w:rPr>
                <w:rFonts w:cs="Arial"/>
                <w:color w:val="FF0000"/>
                <w:sz w:val="21"/>
                <w:szCs w:val="21"/>
              </w:rPr>
            </w:pPr>
          </w:p>
        </w:tc>
        <w:tc>
          <w:tcPr>
            <w:tcW w:w="217" w:type="dxa"/>
          </w:tcPr>
          <w:p w14:paraId="435446B1" w14:textId="77777777" w:rsidR="002C0FD9" w:rsidRPr="00CA25CF" w:rsidRDefault="002C0FD9" w:rsidP="00CA25CF">
            <w:pPr>
              <w:rPr>
                <w:rFonts w:cs="Arial"/>
                <w:color w:val="FF0000"/>
                <w:sz w:val="21"/>
                <w:szCs w:val="21"/>
              </w:rPr>
            </w:pPr>
          </w:p>
        </w:tc>
        <w:tc>
          <w:tcPr>
            <w:tcW w:w="217" w:type="dxa"/>
          </w:tcPr>
          <w:p w14:paraId="1328CA9F" w14:textId="77777777" w:rsidR="002C0FD9" w:rsidRPr="00CA25CF" w:rsidRDefault="002C0FD9" w:rsidP="00CA25CF">
            <w:pPr>
              <w:rPr>
                <w:rFonts w:cs="Arial"/>
                <w:color w:val="FF0000"/>
                <w:sz w:val="21"/>
                <w:szCs w:val="21"/>
              </w:rPr>
            </w:pPr>
          </w:p>
        </w:tc>
        <w:tc>
          <w:tcPr>
            <w:tcW w:w="217" w:type="dxa"/>
          </w:tcPr>
          <w:p w14:paraId="1EF1F2D5" w14:textId="77777777" w:rsidR="002C0FD9" w:rsidRPr="00CA25CF" w:rsidRDefault="002C0FD9" w:rsidP="00CA25CF">
            <w:pPr>
              <w:rPr>
                <w:rFonts w:cs="Arial"/>
                <w:color w:val="FF0000"/>
                <w:sz w:val="21"/>
                <w:szCs w:val="21"/>
              </w:rPr>
            </w:pPr>
          </w:p>
        </w:tc>
        <w:tc>
          <w:tcPr>
            <w:tcW w:w="217" w:type="dxa"/>
          </w:tcPr>
          <w:p w14:paraId="42FD8A47" w14:textId="77777777" w:rsidR="002C0FD9" w:rsidRPr="00CA25CF" w:rsidRDefault="002C0FD9" w:rsidP="00CA25CF">
            <w:pPr>
              <w:rPr>
                <w:rFonts w:cs="Arial"/>
                <w:color w:val="FF0000"/>
                <w:sz w:val="21"/>
                <w:szCs w:val="21"/>
              </w:rPr>
            </w:pPr>
          </w:p>
        </w:tc>
        <w:tc>
          <w:tcPr>
            <w:tcW w:w="217" w:type="dxa"/>
          </w:tcPr>
          <w:p w14:paraId="13AEA8C7" w14:textId="77777777" w:rsidR="002C0FD9" w:rsidRPr="00CA25CF" w:rsidRDefault="002C0FD9" w:rsidP="00CA25CF">
            <w:pPr>
              <w:rPr>
                <w:rFonts w:cs="Arial"/>
                <w:color w:val="FF0000"/>
                <w:sz w:val="21"/>
                <w:szCs w:val="21"/>
              </w:rPr>
            </w:pPr>
          </w:p>
        </w:tc>
        <w:tc>
          <w:tcPr>
            <w:tcW w:w="217" w:type="dxa"/>
          </w:tcPr>
          <w:p w14:paraId="2E8D8BBF" w14:textId="77777777" w:rsidR="002C0FD9" w:rsidRPr="00CA25CF" w:rsidRDefault="002C0FD9" w:rsidP="00CA25CF">
            <w:pPr>
              <w:rPr>
                <w:rFonts w:cs="Arial"/>
                <w:color w:val="FF0000"/>
                <w:sz w:val="21"/>
                <w:szCs w:val="21"/>
              </w:rPr>
            </w:pPr>
          </w:p>
        </w:tc>
        <w:tc>
          <w:tcPr>
            <w:tcW w:w="217" w:type="dxa"/>
          </w:tcPr>
          <w:p w14:paraId="0736F3BC" w14:textId="77777777" w:rsidR="002C0FD9" w:rsidRPr="00CA25CF" w:rsidRDefault="002C0FD9" w:rsidP="00CA25CF">
            <w:pPr>
              <w:rPr>
                <w:rFonts w:cs="Arial"/>
                <w:color w:val="FF0000"/>
                <w:sz w:val="21"/>
                <w:szCs w:val="21"/>
              </w:rPr>
            </w:pPr>
          </w:p>
        </w:tc>
        <w:tc>
          <w:tcPr>
            <w:tcW w:w="217" w:type="dxa"/>
          </w:tcPr>
          <w:p w14:paraId="62312280" w14:textId="77777777" w:rsidR="002C0FD9" w:rsidRPr="00CA25CF" w:rsidRDefault="002C0FD9" w:rsidP="00CA25CF">
            <w:pPr>
              <w:rPr>
                <w:rFonts w:cs="Arial"/>
                <w:color w:val="FF0000"/>
                <w:sz w:val="21"/>
                <w:szCs w:val="21"/>
              </w:rPr>
            </w:pPr>
          </w:p>
        </w:tc>
        <w:tc>
          <w:tcPr>
            <w:tcW w:w="217" w:type="dxa"/>
          </w:tcPr>
          <w:p w14:paraId="120572FA" w14:textId="77777777" w:rsidR="002C0FD9" w:rsidRPr="00CA25CF" w:rsidRDefault="002C0FD9" w:rsidP="00CA25CF">
            <w:pPr>
              <w:rPr>
                <w:rFonts w:cs="Arial"/>
                <w:color w:val="FF0000"/>
                <w:sz w:val="21"/>
                <w:szCs w:val="21"/>
              </w:rPr>
            </w:pPr>
          </w:p>
        </w:tc>
        <w:tc>
          <w:tcPr>
            <w:tcW w:w="217" w:type="dxa"/>
          </w:tcPr>
          <w:p w14:paraId="76189890" w14:textId="77777777" w:rsidR="002C0FD9" w:rsidRPr="00CA25CF" w:rsidRDefault="002C0FD9" w:rsidP="00CA25CF">
            <w:pPr>
              <w:rPr>
                <w:rFonts w:cs="Arial"/>
                <w:color w:val="FF0000"/>
                <w:sz w:val="21"/>
                <w:szCs w:val="21"/>
              </w:rPr>
            </w:pPr>
          </w:p>
        </w:tc>
        <w:tc>
          <w:tcPr>
            <w:tcW w:w="217" w:type="dxa"/>
          </w:tcPr>
          <w:p w14:paraId="28A1D1E9" w14:textId="77777777" w:rsidR="002C0FD9" w:rsidRPr="00CA25CF" w:rsidRDefault="002C0FD9" w:rsidP="00CA25CF">
            <w:pPr>
              <w:rPr>
                <w:rFonts w:cs="Arial"/>
                <w:color w:val="FF0000"/>
                <w:sz w:val="21"/>
                <w:szCs w:val="21"/>
              </w:rPr>
            </w:pPr>
          </w:p>
        </w:tc>
        <w:tc>
          <w:tcPr>
            <w:tcW w:w="217" w:type="dxa"/>
          </w:tcPr>
          <w:p w14:paraId="62FEAC63" w14:textId="77777777" w:rsidR="002C0FD9" w:rsidRPr="00CA25CF" w:rsidRDefault="002C0FD9" w:rsidP="00CA25CF">
            <w:pPr>
              <w:rPr>
                <w:rFonts w:cs="Arial"/>
                <w:color w:val="FF0000"/>
                <w:sz w:val="21"/>
                <w:szCs w:val="21"/>
              </w:rPr>
            </w:pPr>
          </w:p>
        </w:tc>
        <w:tc>
          <w:tcPr>
            <w:tcW w:w="217" w:type="dxa"/>
          </w:tcPr>
          <w:p w14:paraId="5F283C83" w14:textId="77777777" w:rsidR="002C0FD9" w:rsidRPr="00CA25CF" w:rsidRDefault="002C0FD9" w:rsidP="00CA25CF">
            <w:pPr>
              <w:rPr>
                <w:rFonts w:cs="Arial"/>
                <w:color w:val="FF0000"/>
                <w:sz w:val="21"/>
                <w:szCs w:val="21"/>
              </w:rPr>
            </w:pPr>
          </w:p>
        </w:tc>
        <w:tc>
          <w:tcPr>
            <w:tcW w:w="217" w:type="dxa"/>
          </w:tcPr>
          <w:p w14:paraId="25A652AC" w14:textId="77777777" w:rsidR="002C0FD9" w:rsidRPr="00CA25CF" w:rsidRDefault="002C0FD9" w:rsidP="00CA25CF">
            <w:pPr>
              <w:rPr>
                <w:rFonts w:cs="Arial"/>
                <w:color w:val="FF0000"/>
                <w:sz w:val="21"/>
                <w:szCs w:val="21"/>
              </w:rPr>
            </w:pPr>
          </w:p>
        </w:tc>
        <w:tc>
          <w:tcPr>
            <w:tcW w:w="217" w:type="dxa"/>
          </w:tcPr>
          <w:p w14:paraId="78BE453B" w14:textId="77777777" w:rsidR="002C0FD9" w:rsidRPr="00CA25CF" w:rsidRDefault="002C0FD9" w:rsidP="00CA25CF">
            <w:pPr>
              <w:rPr>
                <w:rFonts w:cs="Arial"/>
                <w:color w:val="FF0000"/>
                <w:sz w:val="21"/>
                <w:szCs w:val="21"/>
              </w:rPr>
            </w:pPr>
          </w:p>
        </w:tc>
        <w:tc>
          <w:tcPr>
            <w:tcW w:w="217" w:type="dxa"/>
          </w:tcPr>
          <w:p w14:paraId="3672E3D7" w14:textId="77777777" w:rsidR="002C0FD9" w:rsidRPr="00CA25CF" w:rsidRDefault="002C0FD9" w:rsidP="00CA25CF">
            <w:pPr>
              <w:rPr>
                <w:rFonts w:cs="Arial"/>
                <w:color w:val="FF0000"/>
                <w:sz w:val="21"/>
                <w:szCs w:val="21"/>
              </w:rPr>
            </w:pPr>
          </w:p>
        </w:tc>
        <w:tc>
          <w:tcPr>
            <w:tcW w:w="217" w:type="dxa"/>
          </w:tcPr>
          <w:p w14:paraId="709B8F3C" w14:textId="77777777" w:rsidR="002C0FD9" w:rsidRPr="00CA25CF" w:rsidRDefault="002C0FD9" w:rsidP="00CA25CF">
            <w:pPr>
              <w:rPr>
                <w:rFonts w:cs="Arial"/>
                <w:color w:val="FF0000"/>
                <w:sz w:val="21"/>
                <w:szCs w:val="21"/>
              </w:rPr>
            </w:pPr>
          </w:p>
        </w:tc>
        <w:tc>
          <w:tcPr>
            <w:tcW w:w="217" w:type="dxa"/>
          </w:tcPr>
          <w:p w14:paraId="1AD2F2BA" w14:textId="77777777" w:rsidR="002C0FD9" w:rsidRPr="00CA25CF" w:rsidRDefault="002C0FD9" w:rsidP="00CA25CF">
            <w:pPr>
              <w:rPr>
                <w:rFonts w:cs="Arial"/>
                <w:color w:val="FF0000"/>
                <w:sz w:val="21"/>
                <w:szCs w:val="21"/>
              </w:rPr>
            </w:pPr>
          </w:p>
        </w:tc>
        <w:tc>
          <w:tcPr>
            <w:tcW w:w="217" w:type="dxa"/>
          </w:tcPr>
          <w:p w14:paraId="29B67BB3" w14:textId="77777777" w:rsidR="002C0FD9" w:rsidRPr="00CA25CF" w:rsidRDefault="002C0FD9" w:rsidP="00CA25CF">
            <w:pPr>
              <w:rPr>
                <w:rFonts w:cs="Arial"/>
                <w:color w:val="FF0000"/>
                <w:sz w:val="21"/>
                <w:szCs w:val="21"/>
              </w:rPr>
            </w:pPr>
          </w:p>
        </w:tc>
      </w:tr>
      <w:tr w:rsidR="002C0FD9" w:rsidRPr="00A16219" w14:paraId="5AA0AF89" w14:textId="1DF56930" w:rsidTr="002C0FD9">
        <w:trPr>
          <w:trHeight w:val="635"/>
        </w:trPr>
        <w:tc>
          <w:tcPr>
            <w:tcW w:w="515" w:type="dxa"/>
          </w:tcPr>
          <w:p w14:paraId="2DC6E11B" w14:textId="77777777" w:rsidR="002C0FD9" w:rsidRPr="00CA25CF" w:rsidRDefault="002C0FD9" w:rsidP="00CA25CF">
            <w:pPr>
              <w:rPr>
                <w:rFonts w:cs="Arial"/>
                <w:color w:val="FF0000"/>
                <w:sz w:val="21"/>
                <w:szCs w:val="21"/>
              </w:rPr>
            </w:pPr>
          </w:p>
        </w:tc>
        <w:tc>
          <w:tcPr>
            <w:tcW w:w="217" w:type="dxa"/>
          </w:tcPr>
          <w:p w14:paraId="056E1E67" w14:textId="77777777" w:rsidR="002C0FD9" w:rsidRPr="00CA25CF" w:rsidRDefault="002C0FD9" w:rsidP="00CA25CF">
            <w:pPr>
              <w:rPr>
                <w:rFonts w:cs="Arial"/>
                <w:color w:val="FF0000"/>
                <w:sz w:val="21"/>
                <w:szCs w:val="21"/>
              </w:rPr>
            </w:pPr>
          </w:p>
        </w:tc>
        <w:tc>
          <w:tcPr>
            <w:tcW w:w="217" w:type="dxa"/>
          </w:tcPr>
          <w:p w14:paraId="41B6983C" w14:textId="4C5F773C" w:rsidR="002C0FD9" w:rsidRPr="00CA25CF" w:rsidRDefault="002C0FD9" w:rsidP="00CA25CF">
            <w:pPr>
              <w:rPr>
                <w:rFonts w:cs="Arial"/>
                <w:color w:val="FF0000"/>
                <w:sz w:val="21"/>
                <w:szCs w:val="21"/>
              </w:rPr>
            </w:pPr>
          </w:p>
        </w:tc>
        <w:tc>
          <w:tcPr>
            <w:tcW w:w="217" w:type="dxa"/>
          </w:tcPr>
          <w:p w14:paraId="14FAFDF5" w14:textId="77777777" w:rsidR="002C0FD9" w:rsidRPr="00CA25CF" w:rsidRDefault="002C0FD9" w:rsidP="00CA25CF">
            <w:pPr>
              <w:rPr>
                <w:rFonts w:cs="Arial"/>
                <w:color w:val="FF0000"/>
                <w:sz w:val="21"/>
                <w:szCs w:val="21"/>
              </w:rPr>
            </w:pPr>
          </w:p>
        </w:tc>
        <w:tc>
          <w:tcPr>
            <w:tcW w:w="217" w:type="dxa"/>
          </w:tcPr>
          <w:p w14:paraId="7BED5067" w14:textId="77777777" w:rsidR="002C0FD9" w:rsidRPr="00CA25CF" w:rsidRDefault="002C0FD9" w:rsidP="00CA25CF">
            <w:pPr>
              <w:rPr>
                <w:rFonts w:cs="Arial"/>
                <w:color w:val="FF0000"/>
                <w:sz w:val="21"/>
                <w:szCs w:val="21"/>
              </w:rPr>
            </w:pPr>
          </w:p>
        </w:tc>
        <w:tc>
          <w:tcPr>
            <w:tcW w:w="217" w:type="dxa"/>
          </w:tcPr>
          <w:p w14:paraId="5A328CA8" w14:textId="77777777" w:rsidR="002C0FD9" w:rsidRPr="00CA25CF" w:rsidRDefault="002C0FD9" w:rsidP="00CA25CF">
            <w:pPr>
              <w:rPr>
                <w:rFonts w:cs="Arial"/>
                <w:color w:val="FF0000"/>
                <w:sz w:val="21"/>
                <w:szCs w:val="21"/>
              </w:rPr>
            </w:pPr>
          </w:p>
        </w:tc>
        <w:tc>
          <w:tcPr>
            <w:tcW w:w="217" w:type="dxa"/>
          </w:tcPr>
          <w:p w14:paraId="604AF201" w14:textId="77777777" w:rsidR="002C0FD9" w:rsidRPr="00CA25CF" w:rsidRDefault="002C0FD9" w:rsidP="00CA25CF">
            <w:pPr>
              <w:rPr>
                <w:rFonts w:cs="Arial"/>
                <w:color w:val="FF0000"/>
                <w:sz w:val="21"/>
                <w:szCs w:val="21"/>
              </w:rPr>
            </w:pPr>
          </w:p>
        </w:tc>
        <w:tc>
          <w:tcPr>
            <w:tcW w:w="217" w:type="dxa"/>
          </w:tcPr>
          <w:p w14:paraId="3632FC90" w14:textId="77777777" w:rsidR="002C0FD9" w:rsidRPr="00CA25CF" w:rsidRDefault="002C0FD9" w:rsidP="00CA25CF">
            <w:pPr>
              <w:rPr>
                <w:rFonts w:cs="Arial"/>
                <w:color w:val="FF0000"/>
                <w:sz w:val="21"/>
                <w:szCs w:val="21"/>
              </w:rPr>
            </w:pPr>
          </w:p>
        </w:tc>
        <w:tc>
          <w:tcPr>
            <w:tcW w:w="217" w:type="dxa"/>
          </w:tcPr>
          <w:p w14:paraId="5D0FDEE0" w14:textId="77777777" w:rsidR="002C0FD9" w:rsidRPr="00CA25CF" w:rsidRDefault="002C0FD9" w:rsidP="00CA25CF">
            <w:pPr>
              <w:rPr>
                <w:rFonts w:cs="Arial"/>
                <w:color w:val="FF0000"/>
                <w:sz w:val="21"/>
                <w:szCs w:val="21"/>
              </w:rPr>
            </w:pPr>
          </w:p>
        </w:tc>
        <w:tc>
          <w:tcPr>
            <w:tcW w:w="217" w:type="dxa"/>
          </w:tcPr>
          <w:p w14:paraId="44E62AEA" w14:textId="77777777" w:rsidR="002C0FD9" w:rsidRPr="00CA25CF" w:rsidRDefault="002C0FD9" w:rsidP="00CA25CF">
            <w:pPr>
              <w:rPr>
                <w:rFonts w:cs="Arial"/>
                <w:color w:val="FF0000"/>
                <w:sz w:val="21"/>
                <w:szCs w:val="21"/>
              </w:rPr>
            </w:pPr>
          </w:p>
        </w:tc>
        <w:tc>
          <w:tcPr>
            <w:tcW w:w="217" w:type="dxa"/>
          </w:tcPr>
          <w:p w14:paraId="4D09304B" w14:textId="77777777" w:rsidR="002C0FD9" w:rsidRPr="00CA25CF" w:rsidRDefault="002C0FD9" w:rsidP="00CA25CF">
            <w:pPr>
              <w:rPr>
                <w:rFonts w:cs="Arial"/>
                <w:color w:val="FF0000"/>
                <w:sz w:val="21"/>
                <w:szCs w:val="21"/>
              </w:rPr>
            </w:pPr>
          </w:p>
        </w:tc>
        <w:tc>
          <w:tcPr>
            <w:tcW w:w="217" w:type="dxa"/>
          </w:tcPr>
          <w:p w14:paraId="748E8C8D" w14:textId="77777777" w:rsidR="002C0FD9" w:rsidRPr="00CA25CF" w:rsidRDefault="002C0FD9" w:rsidP="00CA25CF">
            <w:pPr>
              <w:rPr>
                <w:rFonts w:cs="Arial"/>
                <w:color w:val="FF0000"/>
                <w:sz w:val="21"/>
                <w:szCs w:val="21"/>
              </w:rPr>
            </w:pPr>
          </w:p>
        </w:tc>
        <w:tc>
          <w:tcPr>
            <w:tcW w:w="217" w:type="dxa"/>
          </w:tcPr>
          <w:p w14:paraId="1BB2FF3A" w14:textId="77777777" w:rsidR="002C0FD9" w:rsidRPr="00CA25CF" w:rsidRDefault="002C0FD9" w:rsidP="00CA25CF">
            <w:pPr>
              <w:rPr>
                <w:rFonts w:cs="Arial"/>
                <w:color w:val="FF0000"/>
                <w:sz w:val="21"/>
                <w:szCs w:val="21"/>
              </w:rPr>
            </w:pPr>
          </w:p>
        </w:tc>
        <w:tc>
          <w:tcPr>
            <w:tcW w:w="217" w:type="dxa"/>
          </w:tcPr>
          <w:p w14:paraId="3CF60D3E" w14:textId="77777777" w:rsidR="002C0FD9" w:rsidRPr="00CA25CF" w:rsidRDefault="002C0FD9" w:rsidP="00CA25CF">
            <w:pPr>
              <w:rPr>
                <w:rFonts w:cs="Arial"/>
                <w:color w:val="FF0000"/>
                <w:sz w:val="21"/>
                <w:szCs w:val="21"/>
              </w:rPr>
            </w:pPr>
          </w:p>
        </w:tc>
        <w:tc>
          <w:tcPr>
            <w:tcW w:w="217" w:type="dxa"/>
          </w:tcPr>
          <w:p w14:paraId="4666CDB4" w14:textId="77777777" w:rsidR="002C0FD9" w:rsidRPr="00CA25CF" w:rsidRDefault="002C0FD9" w:rsidP="00CA25CF">
            <w:pPr>
              <w:rPr>
                <w:rFonts w:cs="Arial"/>
                <w:color w:val="FF0000"/>
                <w:sz w:val="21"/>
                <w:szCs w:val="21"/>
              </w:rPr>
            </w:pPr>
          </w:p>
        </w:tc>
        <w:tc>
          <w:tcPr>
            <w:tcW w:w="217" w:type="dxa"/>
          </w:tcPr>
          <w:p w14:paraId="70EE457C" w14:textId="77777777" w:rsidR="002C0FD9" w:rsidRPr="00CA25CF" w:rsidRDefault="002C0FD9" w:rsidP="00CA25CF">
            <w:pPr>
              <w:rPr>
                <w:rFonts w:cs="Arial"/>
                <w:color w:val="FF0000"/>
                <w:sz w:val="21"/>
                <w:szCs w:val="21"/>
              </w:rPr>
            </w:pPr>
          </w:p>
        </w:tc>
        <w:tc>
          <w:tcPr>
            <w:tcW w:w="217" w:type="dxa"/>
          </w:tcPr>
          <w:p w14:paraId="7FEC90BE" w14:textId="77777777" w:rsidR="002C0FD9" w:rsidRPr="00CA25CF" w:rsidRDefault="002C0FD9" w:rsidP="00CA25CF">
            <w:pPr>
              <w:rPr>
                <w:rFonts w:cs="Arial"/>
                <w:color w:val="FF0000"/>
                <w:sz w:val="21"/>
                <w:szCs w:val="21"/>
              </w:rPr>
            </w:pPr>
          </w:p>
        </w:tc>
        <w:tc>
          <w:tcPr>
            <w:tcW w:w="217" w:type="dxa"/>
          </w:tcPr>
          <w:p w14:paraId="3179BC0A" w14:textId="77777777" w:rsidR="002C0FD9" w:rsidRPr="00CA25CF" w:rsidRDefault="002C0FD9" w:rsidP="00CA25CF">
            <w:pPr>
              <w:rPr>
                <w:rFonts w:cs="Arial"/>
                <w:color w:val="FF0000"/>
                <w:sz w:val="21"/>
                <w:szCs w:val="21"/>
              </w:rPr>
            </w:pPr>
          </w:p>
        </w:tc>
        <w:tc>
          <w:tcPr>
            <w:tcW w:w="217" w:type="dxa"/>
          </w:tcPr>
          <w:p w14:paraId="262F9E95" w14:textId="77777777" w:rsidR="002C0FD9" w:rsidRPr="00CA25CF" w:rsidRDefault="002C0FD9" w:rsidP="00CA25CF">
            <w:pPr>
              <w:rPr>
                <w:rFonts w:cs="Arial"/>
                <w:color w:val="FF0000"/>
                <w:sz w:val="21"/>
                <w:szCs w:val="21"/>
              </w:rPr>
            </w:pPr>
          </w:p>
        </w:tc>
        <w:tc>
          <w:tcPr>
            <w:tcW w:w="217" w:type="dxa"/>
          </w:tcPr>
          <w:p w14:paraId="0BE37088" w14:textId="77777777" w:rsidR="002C0FD9" w:rsidRPr="00CA25CF" w:rsidRDefault="002C0FD9" w:rsidP="00CA25CF">
            <w:pPr>
              <w:rPr>
                <w:rFonts w:cs="Arial"/>
                <w:color w:val="FF0000"/>
                <w:sz w:val="21"/>
                <w:szCs w:val="21"/>
              </w:rPr>
            </w:pPr>
          </w:p>
        </w:tc>
        <w:tc>
          <w:tcPr>
            <w:tcW w:w="217" w:type="dxa"/>
          </w:tcPr>
          <w:p w14:paraId="2F60BFF0" w14:textId="77777777" w:rsidR="002C0FD9" w:rsidRPr="00CA25CF" w:rsidRDefault="002C0FD9" w:rsidP="00CA25CF">
            <w:pPr>
              <w:rPr>
                <w:rFonts w:cs="Arial"/>
                <w:color w:val="FF0000"/>
                <w:sz w:val="21"/>
                <w:szCs w:val="21"/>
              </w:rPr>
            </w:pPr>
          </w:p>
        </w:tc>
        <w:tc>
          <w:tcPr>
            <w:tcW w:w="217" w:type="dxa"/>
          </w:tcPr>
          <w:p w14:paraId="2DB02C4F" w14:textId="77777777" w:rsidR="002C0FD9" w:rsidRPr="00CA25CF" w:rsidRDefault="002C0FD9" w:rsidP="00CA25CF">
            <w:pPr>
              <w:rPr>
                <w:rFonts w:cs="Arial"/>
                <w:color w:val="FF0000"/>
                <w:sz w:val="21"/>
                <w:szCs w:val="21"/>
              </w:rPr>
            </w:pPr>
          </w:p>
        </w:tc>
        <w:tc>
          <w:tcPr>
            <w:tcW w:w="217" w:type="dxa"/>
          </w:tcPr>
          <w:p w14:paraId="6AD114DA" w14:textId="77777777" w:rsidR="002C0FD9" w:rsidRPr="00CA25CF" w:rsidRDefault="002C0FD9" w:rsidP="00CA25CF">
            <w:pPr>
              <w:rPr>
                <w:rFonts w:cs="Arial"/>
                <w:color w:val="FF0000"/>
                <w:sz w:val="21"/>
                <w:szCs w:val="21"/>
              </w:rPr>
            </w:pPr>
          </w:p>
        </w:tc>
        <w:tc>
          <w:tcPr>
            <w:tcW w:w="217" w:type="dxa"/>
          </w:tcPr>
          <w:p w14:paraId="7219D4CC" w14:textId="77777777" w:rsidR="002C0FD9" w:rsidRPr="00CA25CF" w:rsidRDefault="002C0FD9" w:rsidP="00CA25CF">
            <w:pPr>
              <w:rPr>
                <w:rFonts w:cs="Arial"/>
                <w:color w:val="FF0000"/>
                <w:sz w:val="21"/>
                <w:szCs w:val="21"/>
              </w:rPr>
            </w:pPr>
          </w:p>
        </w:tc>
        <w:tc>
          <w:tcPr>
            <w:tcW w:w="217" w:type="dxa"/>
          </w:tcPr>
          <w:p w14:paraId="64057BA3" w14:textId="77777777" w:rsidR="002C0FD9" w:rsidRPr="00CA25CF" w:rsidRDefault="002C0FD9" w:rsidP="00CA25CF">
            <w:pPr>
              <w:rPr>
                <w:rFonts w:cs="Arial"/>
                <w:color w:val="FF0000"/>
                <w:sz w:val="21"/>
                <w:szCs w:val="21"/>
              </w:rPr>
            </w:pPr>
          </w:p>
        </w:tc>
        <w:tc>
          <w:tcPr>
            <w:tcW w:w="217" w:type="dxa"/>
          </w:tcPr>
          <w:p w14:paraId="4164FAD9" w14:textId="77777777" w:rsidR="002C0FD9" w:rsidRPr="00CA25CF" w:rsidRDefault="002C0FD9" w:rsidP="00CA25CF">
            <w:pPr>
              <w:rPr>
                <w:rFonts w:cs="Arial"/>
                <w:color w:val="FF0000"/>
                <w:sz w:val="21"/>
                <w:szCs w:val="21"/>
              </w:rPr>
            </w:pPr>
          </w:p>
        </w:tc>
        <w:tc>
          <w:tcPr>
            <w:tcW w:w="217" w:type="dxa"/>
          </w:tcPr>
          <w:p w14:paraId="59F8407B" w14:textId="77777777" w:rsidR="002C0FD9" w:rsidRPr="00CA25CF" w:rsidRDefault="002C0FD9" w:rsidP="00CA25CF">
            <w:pPr>
              <w:rPr>
                <w:rFonts w:cs="Arial"/>
                <w:color w:val="FF0000"/>
                <w:sz w:val="21"/>
                <w:szCs w:val="21"/>
              </w:rPr>
            </w:pPr>
          </w:p>
        </w:tc>
        <w:tc>
          <w:tcPr>
            <w:tcW w:w="217" w:type="dxa"/>
          </w:tcPr>
          <w:p w14:paraId="23CE8CDF" w14:textId="77777777" w:rsidR="002C0FD9" w:rsidRPr="00CA25CF" w:rsidRDefault="002C0FD9" w:rsidP="00CA25CF">
            <w:pPr>
              <w:rPr>
                <w:rFonts w:cs="Arial"/>
                <w:color w:val="FF0000"/>
                <w:sz w:val="21"/>
                <w:szCs w:val="21"/>
              </w:rPr>
            </w:pPr>
          </w:p>
        </w:tc>
        <w:tc>
          <w:tcPr>
            <w:tcW w:w="217" w:type="dxa"/>
          </w:tcPr>
          <w:p w14:paraId="45FF06DA" w14:textId="77777777" w:rsidR="002C0FD9" w:rsidRPr="00CA25CF" w:rsidRDefault="002C0FD9" w:rsidP="00CA25CF">
            <w:pPr>
              <w:rPr>
                <w:rFonts w:cs="Arial"/>
                <w:color w:val="FF0000"/>
                <w:sz w:val="21"/>
                <w:szCs w:val="21"/>
              </w:rPr>
            </w:pPr>
          </w:p>
        </w:tc>
        <w:tc>
          <w:tcPr>
            <w:tcW w:w="217" w:type="dxa"/>
          </w:tcPr>
          <w:p w14:paraId="63B6A9BE" w14:textId="77777777" w:rsidR="002C0FD9" w:rsidRPr="00CA25CF" w:rsidRDefault="002C0FD9" w:rsidP="00CA25CF">
            <w:pPr>
              <w:rPr>
                <w:rFonts w:cs="Arial"/>
                <w:color w:val="FF0000"/>
                <w:sz w:val="21"/>
                <w:szCs w:val="21"/>
              </w:rPr>
            </w:pPr>
          </w:p>
        </w:tc>
        <w:tc>
          <w:tcPr>
            <w:tcW w:w="217" w:type="dxa"/>
          </w:tcPr>
          <w:p w14:paraId="719AC1FA" w14:textId="77777777" w:rsidR="002C0FD9" w:rsidRPr="00CA25CF" w:rsidRDefault="002C0FD9" w:rsidP="00CA25CF">
            <w:pPr>
              <w:rPr>
                <w:rFonts w:cs="Arial"/>
                <w:color w:val="FF0000"/>
                <w:sz w:val="21"/>
                <w:szCs w:val="21"/>
              </w:rPr>
            </w:pPr>
          </w:p>
        </w:tc>
        <w:tc>
          <w:tcPr>
            <w:tcW w:w="217" w:type="dxa"/>
          </w:tcPr>
          <w:p w14:paraId="5910797F" w14:textId="77777777" w:rsidR="002C0FD9" w:rsidRPr="00CA25CF" w:rsidRDefault="002C0FD9" w:rsidP="00CA25CF">
            <w:pPr>
              <w:rPr>
                <w:rFonts w:cs="Arial"/>
                <w:color w:val="FF0000"/>
                <w:sz w:val="21"/>
                <w:szCs w:val="21"/>
              </w:rPr>
            </w:pPr>
          </w:p>
        </w:tc>
        <w:tc>
          <w:tcPr>
            <w:tcW w:w="217" w:type="dxa"/>
          </w:tcPr>
          <w:p w14:paraId="6811E9B5" w14:textId="77777777" w:rsidR="002C0FD9" w:rsidRPr="00CA25CF" w:rsidRDefault="002C0FD9" w:rsidP="00CA25CF">
            <w:pPr>
              <w:rPr>
                <w:rFonts w:cs="Arial"/>
                <w:color w:val="FF0000"/>
                <w:sz w:val="21"/>
                <w:szCs w:val="21"/>
              </w:rPr>
            </w:pPr>
          </w:p>
        </w:tc>
        <w:tc>
          <w:tcPr>
            <w:tcW w:w="217" w:type="dxa"/>
          </w:tcPr>
          <w:p w14:paraId="123FA62A" w14:textId="77777777" w:rsidR="002C0FD9" w:rsidRPr="00CA25CF" w:rsidRDefault="002C0FD9" w:rsidP="00CA25CF">
            <w:pPr>
              <w:rPr>
                <w:rFonts w:cs="Arial"/>
                <w:color w:val="FF0000"/>
                <w:sz w:val="21"/>
                <w:szCs w:val="21"/>
              </w:rPr>
            </w:pPr>
          </w:p>
        </w:tc>
        <w:tc>
          <w:tcPr>
            <w:tcW w:w="217" w:type="dxa"/>
          </w:tcPr>
          <w:p w14:paraId="2ED651D4" w14:textId="77777777" w:rsidR="002C0FD9" w:rsidRPr="00CA25CF" w:rsidRDefault="002C0FD9" w:rsidP="00CA25CF">
            <w:pPr>
              <w:rPr>
                <w:rFonts w:cs="Arial"/>
                <w:color w:val="FF0000"/>
                <w:sz w:val="21"/>
                <w:szCs w:val="21"/>
              </w:rPr>
            </w:pPr>
          </w:p>
        </w:tc>
        <w:tc>
          <w:tcPr>
            <w:tcW w:w="217" w:type="dxa"/>
          </w:tcPr>
          <w:p w14:paraId="6F0E112C" w14:textId="77777777" w:rsidR="002C0FD9" w:rsidRPr="00CA25CF" w:rsidRDefault="002C0FD9" w:rsidP="00CA25CF">
            <w:pPr>
              <w:rPr>
                <w:rFonts w:cs="Arial"/>
                <w:color w:val="FF0000"/>
                <w:sz w:val="21"/>
                <w:szCs w:val="21"/>
              </w:rPr>
            </w:pPr>
          </w:p>
        </w:tc>
        <w:tc>
          <w:tcPr>
            <w:tcW w:w="217" w:type="dxa"/>
          </w:tcPr>
          <w:p w14:paraId="09B5B90D" w14:textId="77777777" w:rsidR="002C0FD9" w:rsidRPr="00CA25CF" w:rsidRDefault="002C0FD9" w:rsidP="00CA25CF">
            <w:pPr>
              <w:rPr>
                <w:rFonts w:cs="Arial"/>
                <w:color w:val="FF0000"/>
                <w:sz w:val="21"/>
                <w:szCs w:val="21"/>
              </w:rPr>
            </w:pPr>
          </w:p>
        </w:tc>
        <w:tc>
          <w:tcPr>
            <w:tcW w:w="217" w:type="dxa"/>
          </w:tcPr>
          <w:p w14:paraId="1B88E923" w14:textId="77777777" w:rsidR="002C0FD9" w:rsidRPr="00CA25CF" w:rsidRDefault="002C0FD9" w:rsidP="00CA25CF">
            <w:pPr>
              <w:rPr>
                <w:rFonts w:cs="Arial"/>
                <w:color w:val="FF0000"/>
                <w:sz w:val="21"/>
                <w:szCs w:val="21"/>
              </w:rPr>
            </w:pPr>
          </w:p>
        </w:tc>
        <w:tc>
          <w:tcPr>
            <w:tcW w:w="217" w:type="dxa"/>
          </w:tcPr>
          <w:p w14:paraId="6E64AD24" w14:textId="77777777" w:rsidR="002C0FD9" w:rsidRPr="00CA25CF" w:rsidRDefault="002C0FD9" w:rsidP="00CA25CF">
            <w:pPr>
              <w:rPr>
                <w:rFonts w:cs="Arial"/>
                <w:color w:val="FF0000"/>
                <w:sz w:val="21"/>
                <w:szCs w:val="21"/>
              </w:rPr>
            </w:pPr>
          </w:p>
        </w:tc>
        <w:tc>
          <w:tcPr>
            <w:tcW w:w="217" w:type="dxa"/>
          </w:tcPr>
          <w:p w14:paraId="27533E95" w14:textId="77777777" w:rsidR="002C0FD9" w:rsidRPr="00CA25CF" w:rsidRDefault="002C0FD9" w:rsidP="00CA25CF">
            <w:pPr>
              <w:rPr>
                <w:rFonts w:cs="Arial"/>
                <w:color w:val="FF0000"/>
                <w:sz w:val="21"/>
                <w:szCs w:val="21"/>
              </w:rPr>
            </w:pPr>
          </w:p>
        </w:tc>
        <w:tc>
          <w:tcPr>
            <w:tcW w:w="217" w:type="dxa"/>
          </w:tcPr>
          <w:p w14:paraId="3F94A163" w14:textId="77777777" w:rsidR="002C0FD9" w:rsidRPr="00CA25CF" w:rsidRDefault="002C0FD9" w:rsidP="00CA25CF">
            <w:pPr>
              <w:rPr>
                <w:rFonts w:cs="Arial"/>
                <w:color w:val="FF0000"/>
                <w:sz w:val="21"/>
                <w:szCs w:val="21"/>
              </w:rPr>
            </w:pPr>
          </w:p>
        </w:tc>
        <w:tc>
          <w:tcPr>
            <w:tcW w:w="217" w:type="dxa"/>
          </w:tcPr>
          <w:p w14:paraId="440022D7" w14:textId="77777777" w:rsidR="002C0FD9" w:rsidRPr="00CA25CF" w:rsidRDefault="002C0FD9" w:rsidP="00CA25CF">
            <w:pPr>
              <w:rPr>
                <w:rFonts w:cs="Arial"/>
                <w:color w:val="FF0000"/>
                <w:sz w:val="21"/>
                <w:szCs w:val="21"/>
              </w:rPr>
            </w:pPr>
          </w:p>
        </w:tc>
        <w:tc>
          <w:tcPr>
            <w:tcW w:w="217" w:type="dxa"/>
          </w:tcPr>
          <w:p w14:paraId="54455DB5" w14:textId="77777777" w:rsidR="002C0FD9" w:rsidRPr="00CA25CF" w:rsidRDefault="002C0FD9" w:rsidP="00CA25CF">
            <w:pPr>
              <w:rPr>
                <w:rFonts w:cs="Arial"/>
                <w:color w:val="FF0000"/>
                <w:sz w:val="21"/>
                <w:szCs w:val="21"/>
              </w:rPr>
            </w:pPr>
          </w:p>
        </w:tc>
      </w:tr>
      <w:tr w:rsidR="002C0FD9" w:rsidRPr="00A16219" w14:paraId="1A6A24DC" w14:textId="15AFE0CE" w:rsidTr="002C0FD9">
        <w:trPr>
          <w:trHeight w:val="635"/>
        </w:trPr>
        <w:tc>
          <w:tcPr>
            <w:tcW w:w="515" w:type="dxa"/>
          </w:tcPr>
          <w:p w14:paraId="617AF6A1" w14:textId="77777777" w:rsidR="002C0FD9" w:rsidRPr="00CA25CF" w:rsidRDefault="002C0FD9" w:rsidP="00CA25CF">
            <w:pPr>
              <w:rPr>
                <w:rFonts w:cs="Arial"/>
                <w:color w:val="FF0000"/>
                <w:sz w:val="21"/>
                <w:szCs w:val="21"/>
              </w:rPr>
            </w:pPr>
          </w:p>
        </w:tc>
        <w:tc>
          <w:tcPr>
            <w:tcW w:w="217" w:type="dxa"/>
          </w:tcPr>
          <w:p w14:paraId="57352FB4" w14:textId="77777777" w:rsidR="002C0FD9" w:rsidRPr="00CA25CF" w:rsidRDefault="002C0FD9" w:rsidP="00CA25CF">
            <w:pPr>
              <w:rPr>
                <w:rFonts w:cs="Arial"/>
                <w:color w:val="FF0000"/>
                <w:sz w:val="21"/>
                <w:szCs w:val="21"/>
              </w:rPr>
            </w:pPr>
          </w:p>
        </w:tc>
        <w:tc>
          <w:tcPr>
            <w:tcW w:w="217" w:type="dxa"/>
          </w:tcPr>
          <w:p w14:paraId="455472DA" w14:textId="7609209D" w:rsidR="002C0FD9" w:rsidRPr="00CA25CF" w:rsidRDefault="002C0FD9" w:rsidP="00CA25CF">
            <w:pPr>
              <w:rPr>
                <w:rFonts w:cs="Arial"/>
                <w:color w:val="FF0000"/>
                <w:sz w:val="21"/>
                <w:szCs w:val="21"/>
              </w:rPr>
            </w:pPr>
          </w:p>
        </w:tc>
        <w:tc>
          <w:tcPr>
            <w:tcW w:w="217" w:type="dxa"/>
          </w:tcPr>
          <w:p w14:paraId="53C6F268" w14:textId="77777777" w:rsidR="002C0FD9" w:rsidRPr="00CA25CF" w:rsidRDefault="002C0FD9" w:rsidP="00CA25CF">
            <w:pPr>
              <w:rPr>
                <w:rFonts w:cs="Arial"/>
                <w:color w:val="FF0000"/>
                <w:sz w:val="21"/>
                <w:szCs w:val="21"/>
              </w:rPr>
            </w:pPr>
          </w:p>
        </w:tc>
        <w:tc>
          <w:tcPr>
            <w:tcW w:w="217" w:type="dxa"/>
          </w:tcPr>
          <w:p w14:paraId="124E5820" w14:textId="77777777" w:rsidR="002C0FD9" w:rsidRPr="00CA25CF" w:rsidRDefault="002C0FD9" w:rsidP="00CA25CF">
            <w:pPr>
              <w:rPr>
                <w:rFonts w:cs="Arial"/>
                <w:color w:val="FF0000"/>
                <w:sz w:val="21"/>
                <w:szCs w:val="21"/>
              </w:rPr>
            </w:pPr>
          </w:p>
        </w:tc>
        <w:tc>
          <w:tcPr>
            <w:tcW w:w="217" w:type="dxa"/>
          </w:tcPr>
          <w:p w14:paraId="62977D05" w14:textId="77777777" w:rsidR="002C0FD9" w:rsidRPr="00CA25CF" w:rsidRDefault="002C0FD9" w:rsidP="00CA25CF">
            <w:pPr>
              <w:rPr>
                <w:rFonts w:cs="Arial"/>
                <w:color w:val="FF0000"/>
                <w:sz w:val="21"/>
                <w:szCs w:val="21"/>
              </w:rPr>
            </w:pPr>
          </w:p>
        </w:tc>
        <w:tc>
          <w:tcPr>
            <w:tcW w:w="217" w:type="dxa"/>
          </w:tcPr>
          <w:p w14:paraId="68A407E6" w14:textId="77777777" w:rsidR="002C0FD9" w:rsidRPr="00CA25CF" w:rsidRDefault="002C0FD9" w:rsidP="00CA25CF">
            <w:pPr>
              <w:rPr>
                <w:rFonts w:cs="Arial"/>
                <w:color w:val="FF0000"/>
                <w:sz w:val="21"/>
                <w:szCs w:val="21"/>
              </w:rPr>
            </w:pPr>
          </w:p>
        </w:tc>
        <w:tc>
          <w:tcPr>
            <w:tcW w:w="217" w:type="dxa"/>
          </w:tcPr>
          <w:p w14:paraId="77CFEFA6" w14:textId="77777777" w:rsidR="002C0FD9" w:rsidRPr="00CA25CF" w:rsidRDefault="002C0FD9" w:rsidP="00CA25CF">
            <w:pPr>
              <w:rPr>
                <w:rFonts w:cs="Arial"/>
                <w:color w:val="FF0000"/>
                <w:sz w:val="21"/>
                <w:szCs w:val="21"/>
              </w:rPr>
            </w:pPr>
          </w:p>
        </w:tc>
        <w:tc>
          <w:tcPr>
            <w:tcW w:w="217" w:type="dxa"/>
          </w:tcPr>
          <w:p w14:paraId="7F299F1F" w14:textId="77777777" w:rsidR="002C0FD9" w:rsidRPr="00CA25CF" w:rsidRDefault="002C0FD9" w:rsidP="00CA25CF">
            <w:pPr>
              <w:rPr>
                <w:rFonts w:cs="Arial"/>
                <w:color w:val="FF0000"/>
                <w:sz w:val="21"/>
                <w:szCs w:val="21"/>
              </w:rPr>
            </w:pPr>
          </w:p>
        </w:tc>
        <w:tc>
          <w:tcPr>
            <w:tcW w:w="217" w:type="dxa"/>
          </w:tcPr>
          <w:p w14:paraId="7ACA7726" w14:textId="77777777" w:rsidR="002C0FD9" w:rsidRPr="00CA25CF" w:rsidRDefault="002C0FD9" w:rsidP="00CA25CF">
            <w:pPr>
              <w:rPr>
                <w:rFonts w:cs="Arial"/>
                <w:color w:val="FF0000"/>
                <w:sz w:val="21"/>
                <w:szCs w:val="21"/>
              </w:rPr>
            </w:pPr>
          </w:p>
        </w:tc>
        <w:tc>
          <w:tcPr>
            <w:tcW w:w="217" w:type="dxa"/>
          </w:tcPr>
          <w:p w14:paraId="4449D5A1" w14:textId="77777777" w:rsidR="002C0FD9" w:rsidRPr="00CA25CF" w:rsidRDefault="002C0FD9" w:rsidP="00CA25CF">
            <w:pPr>
              <w:rPr>
                <w:rFonts w:cs="Arial"/>
                <w:color w:val="FF0000"/>
                <w:sz w:val="21"/>
                <w:szCs w:val="21"/>
              </w:rPr>
            </w:pPr>
          </w:p>
        </w:tc>
        <w:tc>
          <w:tcPr>
            <w:tcW w:w="217" w:type="dxa"/>
          </w:tcPr>
          <w:p w14:paraId="5F955FD2" w14:textId="77777777" w:rsidR="002C0FD9" w:rsidRPr="00CA25CF" w:rsidRDefault="002C0FD9" w:rsidP="00CA25CF">
            <w:pPr>
              <w:rPr>
                <w:rFonts w:cs="Arial"/>
                <w:color w:val="FF0000"/>
                <w:sz w:val="21"/>
                <w:szCs w:val="21"/>
              </w:rPr>
            </w:pPr>
          </w:p>
        </w:tc>
        <w:tc>
          <w:tcPr>
            <w:tcW w:w="217" w:type="dxa"/>
          </w:tcPr>
          <w:p w14:paraId="0089EF6F" w14:textId="77777777" w:rsidR="002C0FD9" w:rsidRPr="00CA25CF" w:rsidRDefault="002C0FD9" w:rsidP="00CA25CF">
            <w:pPr>
              <w:rPr>
                <w:rFonts w:cs="Arial"/>
                <w:color w:val="FF0000"/>
                <w:sz w:val="21"/>
                <w:szCs w:val="21"/>
              </w:rPr>
            </w:pPr>
          </w:p>
        </w:tc>
        <w:tc>
          <w:tcPr>
            <w:tcW w:w="217" w:type="dxa"/>
          </w:tcPr>
          <w:p w14:paraId="46B31744" w14:textId="77777777" w:rsidR="002C0FD9" w:rsidRPr="00CA25CF" w:rsidRDefault="002C0FD9" w:rsidP="00CA25CF">
            <w:pPr>
              <w:rPr>
                <w:rFonts w:cs="Arial"/>
                <w:color w:val="FF0000"/>
                <w:sz w:val="21"/>
                <w:szCs w:val="21"/>
              </w:rPr>
            </w:pPr>
          </w:p>
        </w:tc>
        <w:tc>
          <w:tcPr>
            <w:tcW w:w="217" w:type="dxa"/>
          </w:tcPr>
          <w:p w14:paraId="5F907068" w14:textId="77777777" w:rsidR="002C0FD9" w:rsidRPr="00CA25CF" w:rsidRDefault="002C0FD9" w:rsidP="00CA25CF">
            <w:pPr>
              <w:rPr>
                <w:rFonts w:cs="Arial"/>
                <w:color w:val="FF0000"/>
                <w:sz w:val="21"/>
                <w:szCs w:val="21"/>
              </w:rPr>
            </w:pPr>
          </w:p>
        </w:tc>
        <w:tc>
          <w:tcPr>
            <w:tcW w:w="217" w:type="dxa"/>
          </w:tcPr>
          <w:p w14:paraId="43352FE1" w14:textId="77777777" w:rsidR="002C0FD9" w:rsidRPr="00CA25CF" w:rsidRDefault="002C0FD9" w:rsidP="00CA25CF">
            <w:pPr>
              <w:rPr>
                <w:rFonts w:cs="Arial"/>
                <w:color w:val="FF0000"/>
                <w:sz w:val="21"/>
                <w:szCs w:val="21"/>
              </w:rPr>
            </w:pPr>
          </w:p>
        </w:tc>
        <w:tc>
          <w:tcPr>
            <w:tcW w:w="217" w:type="dxa"/>
          </w:tcPr>
          <w:p w14:paraId="6A7AAC5E" w14:textId="77777777" w:rsidR="002C0FD9" w:rsidRPr="00CA25CF" w:rsidRDefault="002C0FD9" w:rsidP="00CA25CF">
            <w:pPr>
              <w:rPr>
                <w:rFonts w:cs="Arial"/>
                <w:color w:val="FF0000"/>
                <w:sz w:val="21"/>
                <w:szCs w:val="21"/>
              </w:rPr>
            </w:pPr>
          </w:p>
        </w:tc>
        <w:tc>
          <w:tcPr>
            <w:tcW w:w="217" w:type="dxa"/>
          </w:tcPr>
          <w:p w14:paraId="7F3385FC" w14:textId="77777777" w:rsidR="002C0FD9" w:rsidRPr="00CA25CF" w:rsidRDefault="002C0FD9" w:rsidP="00CA25CF">
            <w:pPr>
              <w:rPr>
                <w:rFonts w:cs="Arial"/>
                <w:color w:val="FF0000"/>
                <w:sz w:val="21"/>
                <w:szCs w:val="21"/>
              </w:rPr>
            </w:pPr>
          </w:p>
        </w:tc>
        <w:tc>
          <w:tcPr>
            <w:tcW w:w="217" w:type="dxa"/>
          </w:tcPr>
          <w:p w14:paraId="76A80DB4" w14:textId="77777777" w:rsidR="002C0FD9" w:rsidRPr="00CA25CF" w:rsidRDefault="002C0FD9" w:rsidP="00CA25CF">
            <w:pPr>
              <w:rPr>
                <w:rFonts w:cs="Arial"/>
                <w:color w:val="FF0000"/>
                <w:sz w:val="21"/>
                <w:szCs w:val="21"/>
              </w:rPr>
            </w:pPr>
          </w:p>
        </w:tc>
        <w:tc>
          <w:tcPr>
            <w:tcW w:w="217" w:type="dxa"/>
          </w:tcPr>
          <w:p w14:paraId="2822A7A8" w14:textId="77777777" w:rsidR="002C0FD9" w:rsidRPr="00CA25CF" w:rsidRDefault="002C0FD9" w:rsidP="00CA25CF">
            <w:pPr>
              <w:rPr>
                <w:rFonts w:cs="Arial"/>
                <w:color w:val="FF0000"/>
                <w:sz w:val="21"/>
                <w:szCs w:val="21"/>
              </w:rPr>
            </w:pPr>
          </w:p>
        </w:tc>
        <w:tc>
          <w:tcPr>
            <w:tcW w:w="217" w:type="dxa"/>
          </w:tcPr>
          <w:p w14:paraId="548695D9" w14:textId="77777777" w:rsidR="002C0FD9" w:rsidRPr="00CA25CF" w:rsidRDefault="002C0FD9" w:rsidP="00CA25CF">
            <w:pPr>
              <w:rPr>
                <w:rFonts w:cs="Arial"/>
                <w:color w:val="FF0000"/>
                <w:sz w:val="21"/>
                <w:szCs w:val="21"/>
              </w:rPr>
            </w:pPr>
          </w:p>
        </w:tc>
        <w:tc>
          <w:tcPr>
            <w:tcW w:w="217" w:type="dxa"/>
          </w:tcPr>
          <w:p w14:paraId="4A2F7A0D" w14:textId="77777777" w:rsidR="002C0FD9" w:rsidRPr="00CA25CF" w:rsidRDefault="002C0FD9" w:rsidP="00CA25CF">
            <w:pPr>
              <w:rPr>
                <w:rFonts w:cs="Arial"/>
                <w:color w:val="FF0000"/>
                <w:sz w:val="21"/>
                <w:szCs w:val="21"/>
              </w:rPr>
            </w:pPr>
          </w:p>
        </w:tc>
        <w:tc>
          <w:tcPr>
            <w:tcW w:w="217" w:type="dxa"/>
          </w:tcPr>
          <w:p w14:paraId="174FF529" w14:textId="77777777" w:rsidR="002C0FD9" w:rsidRPr="00CA25CF" w:rsidRDefault="002C0FD9" w:rsidP="00CA25CF">
            <w:pPr>
              <w:rPr>
                <w:rFonts w:cs="Arial"/>
                <w:color w:val="FF0000"/>
                <w:sz w:val="21"/>
                <w:szCs w:val="21"/>
              </w:rPr>
            </w:pPr>
          </w:p>
        </w:tc>
        <w:tc>
          <w:tcPr>
            <w:tcW w:w="217" w:type="dxa"/>
          </w:tcPr>
          <w:p w14:paraId="717CF3D1" w14:textId="77777777" w:rsidR="002C0FD9" w:rsidRPr="00CA25CF" w:rsidRDefault="002C0FD9" w:rsidP="00CA25CF">
            <w:pPr>
              <w:rPr>
                <w:rFonts w:cs="Arial"/>
                <w:color w:val="FF0000"/>
                <w:sz w:val="21"/>
                <w:szCs w:val="21"/>
              </w:rPr>
            </w:pPr>
          </w:p>
        </w:tc>
        <w:tc>
          <w:tcPr>
            <w:tcW w:w="217" w:type="dxa"/>
          </w:tcPr>
          <w:p w14:paraId="61A29588" w14:textId="77777777" w:rsidR="002C0FD9" w:rsidRPr="00CA25CF" w:rsidRDefault="002C0FD9" w:rsidP="00CA25CF">
            <w:pPr>
              <w:rPr>
                <w:rFonts w:cs="Arial"/>
                <w:color w:val="FF0000"/>
                <w:sz w:val="21"/>
                <w:szCs w:val="21"/>
              </w:rPr>
            </w:pPr>
          </w:p>
        </w:tc>
        <w:tc>
          <w:tcPr>
            <w:tcW w:w="217" w:type="dxa"/>
          </w:tcPr>
          <w:p w14:paraId="354F5EF2" w14:textId="77777777" w:rsidR="002C0FD9" w:rsidRPr="00CA25CF" w:rsidRDefault="002C0FD9" w:rsidP="00CA25CF">
            <w:pPr>
              <w:rPr>
                <w:rFonts w:cs="Arial"/>
                <w:color w:val="FF0000"/>
                <w:sz w:val="21"/>
                <w:szCs w:val="21"/>
              </w:rPr>
            </w:pPr>
          </w:p>
        </w:tc>
        <w:tc>
          <w:tcPr>
            <w:tcW w:w="217" w:type="dxa"/>
          </w:tcPr>
          <w:p w14:paraId="40FA29E7" w14:textId="77777777" w:rsidR="002C0FD9" w:rsidRPr="00CA25CF" w:rsidRDefault="002C0FD9" w:rsidP="00CA25CF">
            <w:pPr>
              <w:rPr>
                <w:rFonts w:cs="Arial"/>
                <w:color w:val="FF0000"/>
                <w:sz w:val="21"/>
                <w:szCs w:val="21"/>
              </w:rPr>
            </w:pPr>
          </w:p>
        </w:tc>
        <w:tc>
          <w:tcPr>
            <w:tcW w:w="217" w:type="dxa"/>
          </w:tcPr>
          <w:p w14:paraId="58266167" w14:textId="77777777" w:rsidR="002C0FD9" w:rsidRPr="00CA25CF" w:rsidRDefault="002C0FD9" w:rsidP="00CA25CF">
            <w:pPr>
              <w:rPr>
                <w:rFonts w:cs="Arial"/>
                <w:color w:val="FF0000"/>
                <w:sz w:val="21"/>
                <w:szCs w:val="21"/>
              </w:rPr>
            </w:pPr>
          </w:p>
        </w:tc>
        <w:tc>
          <w:tcPr>
            <w:tcW w:w="217" w:type="dxa"/>
          </w:tcPr>
          <w:p w14:paraId="53738821" w14:textId="77777777" w:rsidR="002C0FD9" w:rsidRPr="00CA25CF" w:rsidRDefault="002C0FD9" w:rsidP="00CA25CF">
            <w:pPr>
              <w:rPr>
                <w:rFonts w:cs="Arial"/>
                <w:color w:val="FF0000"/>
                <w:sz w:val="21"/>
                <w:szCs w:val="21"/>
              </w:rPr>
            </w:pPr>
          </w:p>
        </w:tc>
        <w:tc>
          <w:tcPr>
            <w:tcW w:w="217" w:type="dxa"/>
          </w:tcPr>
          <w:p w14:paraId="123A406B" w14:textId="77777777" w:rsidR="002C0FD9" w:rsidRPr="00CA25CF" w:rsidRDefault="002C0FD9" w:rsidP="00CA25CF">
            <w:pPr>
              <w:rPr>
                <w:rFonts w:cs="Arial"/>
                <w:color w:val="FF0000"/>
                <w:sz w:val="21"/>
                <w:szCs w:val="21"/>
              </w:rPr>
            </w:pPr>
          </w:p>
        </w:tc>
        <w:tc>
          <w:tcPr>
            <w:tcW w:w="217" w:type="dxa"/>
          </w:tcPr>
          <w:p w14:paraId="5FC607F6" w14:textId="77777777" w:rsidR="002C0FD9" w:rsidRPr="00CA25CF" w:rsidRDefault="002C0FD9" w:rsidP="00CA25CF">
            <w:pPr>
              <w:rPr>
                <w:rFonts w:cs="Arial"/>
                <w:color w:val="FF0000"/>
                <w:sz w:val="21"/>
                <w:szCs w:val="21"/>
              </w:rPr>
            </w:pPr>
          </w:p>
        </w:tc>
        <w:tc>
          <w:tcPr>
            <w:tcW w:w="217" w:type="dxa"/>
          </w:tcPr>
          <w:p w14:paraId="4B2C3FF5" w14:textId="77777777" w:rsidR="002C0FD9" w:rsidRPr="00CA25CF" w:rsidRDefault="002C0FD9" w:rsidP="00CA25CF">
            <w:pPr>
              <w:rPr>
                <w:rFonts w:cs="Arial"/>
                <w:color w:val="FF0000"/>
                <w:sz w:val="21"/>
                <w:szCs w:val="21"/>
              </w:rPr>
            </w:pPr>
          </w:p>
        </w:tc>
        <w:tc>
          <w:tcPr>
            <w:tcW w:w="217" w:type="dxa"/>
          </w:tcPr>
          <w:p w14:paraId="7B9E80CD" w14:textId="77777777" w:rsidR="002C0FD9" w:rsidRPr="00CA25CF" w:rsidRDefault="002C0FD9" w:rsidP="00CA25CF">
            <w:pPr>
              <w:rPr>
                <w:rFonts w:cs="Arial"/>
                <w:color w:val="FF0000"/>
                <w:sz w:val="21"/>
                <w:szCs w:val="21"/>
              </w:rPr>
            </w:pPr>
          </w:p>
        </w:tc>
        <w:tc>
          <w:tcPr>
            <w:tcW w:w="217" w:type="dxa"/>
          </w:tcPr>
          <w:p w14:paraId="0AC040C5" w14:textId="77777777" w:rsidR="002C0FD9" w:rsidRPr="00CA25CF" w:rsidRDefault="002C0FD9" w:rsidP="00CA25CF">
            <w:pPr>
              <w:rPr>
                <w:rFonts w:cs="Arial"/>
                <w:color w:val="FF0000"/>
                <w:sz w:val="21"/>
                <w:szCs w:val="21"/>
              </w:rPr>
            </w:pPr>
          </w:p>
        </w:tc>
        <w:tc>
          <w:tcPr>
            <w:tcW w:w="217" w:type="dxa"/>
          </w:tcPr>
          <w:p w14:paraId="0C8188A1" w14:textId="77777777" w:rsidR="002C0FD9" w:rsidRPr="00CA25CF" w:rsidRDefault="002C0FD9" w:rsidP="00CA25CF">
            <w:pPr>
              <w:rPr>
                <w:rFonts w:cs="Arial"/>
                <w:color w:val="FF0000"/>
                <w:sz w:val="21"/>
                <w:szCs w:val="21"/>
              </w:rPr>
            </w:pPr>
          </w:p>
        </w:tc>
        <w:tc>
          <w:tcPr>
            <w:tcW w:w="217" w:type="dxa"/>
          </w:tcPr>
          <w:p w14:paraId="606351C4" w14:textId="77777777" w:rsidR="002C0FD9" w:rsidRPr="00CA25CF" w:rsidRDefault="002C0FD9" w:rsidP="00CA25CF">
            <w:pPr>
              <w:rPr>
                <w:rFonts w:cs="Arial"/>
                <w:color w:val="FF0000"/>
                <w:sz w:val="21"/>
                <w:szCs w:val="21"/>
              </w:rPr>
            </w:pPr>
          </w:p>
        </w:tc>
        <w:tc>
          <w:tcPr>
            <w:tcW w:w="217" w:type="dxa"/>
          </w:tcPr>
          <w:p w14:paraId="5D44BEC4" w14:textId="77777777" w:rsidR="002C0FD9" w:rsidRPr="00CA25CF" w:rsidRDefault="002C0FD9" w:rsidP="00CA25CF">
            <w:pPr>
              <w:rPr>
                <w:rFonts w:cs="Arial"/>
                <w:color w:val="FF0000"/>
                <w:sz w:val="21"/>
                <w:szCs w:val="21"/>
              </w:rPr>
            </w:pPr>
          </w:p>
        </w:tc>
        <w:tc>
          <w:tcPr>
            <w:tcW w:w="217" w:type="dxa"/>
          </w:tcPr>
          <w:p w14:paraId="31575AFE" w14:textId="77777777" w:rsidR="002C0FD9" w:rsidRPr="00CA25CF" w:rsidRDefault="002C0FD9" w:rsidP="00CA25CF">
            <w:pPr>
              <w:rPr>
                <w:rFonts w:cs="Arial"/>
                <w:color w:val="FF0000"/>
                <w:sz w:val="21"/>
                <w:szCs w:val="21"/>
              </w:rPr>
            </w:pPr>
          </w:p>
        </w:tc>
        <w:tc>
          <w:tcPr>
            <w:tcW w:w="217" w:type="dxa"/>
          </w:tcPr>
          <w:p w14:paraId="7F4A8A6D" w14:textId="77777777" w:rsidR="002C0FD9" w:rsidRPr="00CA25CF" w:rsidRDefault="002C0FD9" w:rsidP="00CA25CF">
            <w:pPr>
              <w:rPr>
                <w:rFonts w:cs="Arial"/>
                <w:color w:val="FF0000"/>
                <w:sz w:val="21"/>
                <w:szCs w:val="21"/>
              </w:rPr>
            </w:pPr>
          </w:p>
        </w:tc>
        <w:tc>
          <w:tcPr>
            <w:tcW w:w="217" w:type="dxa"/>
          </w:tcPr>
          <w:p w14:paraId="69AD74BA" w14:textId="77777777" w:rsidR="002C0FD9" w:rsidRPr="00CA25CF" w:rsidRDefault="002C0FD9" w:rsidP="00CA25CF">
            <w:pPr>
              <w:rPr>
                <w:rFonts w:cs="Arial"/>
                <w:color w:val="FF0000"/>
                <w:sz w:val="21"/>
                <w:szCs w:val="21"/>
              </w:rPr>
            </w:pPr>
          </w:p>
        </w:tc>
        <w:tc>
          <w:tcPr>
            <w:tcW w:w="217" w:type="dxa"/>
          </w:tcPr>
          <w:p w14:paraId="3E63EA73" w14:textId="77777777" w:rsidR="002C0FD9" w:rsidRPr="00CA25CF" w:rsidRDefault="002C0FD9" w:rsidP="00CA25CF">
            <w:pPr>
              <w:rPr>
                <w:rFonts w:cs="Arial"/>
                <w:color w:val="FF0000"/>
                <w:sz w:val="21"/>
                <w:szCs w:val="21"/>
              </w:rPr>
            </w:pPr>
          </w:p>
        </w:tc>
        <w:tc>
          <w:tcPr>
            <w:tcW w:w="217" w:type="dxa"/>
          </w:tcPr>
          <w:p w14:paraId="1A260051" w14:textId="77777777" w:rsidR="002C0FD9" w:rsidRPr="00CA25CF" w:rsidRDefault="002C0FD9" w:rsidP="00CA25CF">
            <w:pPr>
              <w:rPr>
                <w:rFonts w:cs="Arial"/>
                <w:color w:val="FF0000"/>
                <w:sz w:val="21"/>
                <w:szCs w:val="21"/>
              </w:rPr>
            </w:pPr>
          </w:p>
        </w:tc>
        <w:tc>
          <w:tcPr>
            <w:tcW w:w="217" w:type="dxa"/>
          </w:tcPr>
          <w:p w14:paraId="3EE6E24A" w14:textId="77777777" w:rsidR="002C0FD9" w:rsidRPr="00CA25CF" w:rsidRDefault="002C0FD9" w:rsidP="00CA25CF">
            <w:pPr>
              <w:rPr>
                <w:rFonts w:cs="Arial"/>
                <w:color w:val="FF0000"/>
                <w:sz w:val="21"/>
                <w:szCs w:val="21"/>
              </w:rPr>
            </w:pPr>
          </w:p>
        </w:tc>
      </w:tr>
      <w:tr w:rsidR="002C0FD9" w:rsidRPr="00A16219" w14:paraId="241EA374" w14:textId="524884EE" w:rsidTr="002C0FD9">
        <w:trPr>
          <w:trHeight w:val="635"/>
        </w:trPr>
        <w:tc>
          <w:tcPr>
            <w:tcW w:w="515" w:type="dxa"/>
          </w:tcPr>
          <w:p w14:paraId="7514C11E" w14:textId="77777777" w:rsidR="002C0FD9" w:rsidRPr="00CA25CF" w:rsidRDefault="002C0FD9" w:rsidP="00CA25CF">
            <w:pPr>
              <w:rPr>
                <w:rFonts w:cs="Arial"/>
                <w:color w:val="FF0000"/>
                <w:sz w:val="21"/>
                <w:szCs w:val="21"/>
              </w:rPr>
            </w:pPr>
          </w:p>
        </w:tc>
        <w:tc>
          <w:tcPr>
            <w:tcW w:w="217" w:type="dxa"/>
          </w:tcPr>
          <w:p w14:paraId="60A1F332" w14:textId="77777777" w:rsidR="002C0FD9" w:rsidRPr="00CA25CF" w:rsidRDefault="002C0FD9" w:rsidP="00CA25CF">
            <w:pPr>
              <w:rPr>
                <w:rFonts w:cs="Arial"/>
                <w:color w:val="FF0000"/>
                <w:sz w:val="21"/>
                <w:szCs w:val="21"/>
              </w:rPr>
            </w:pPr>
          </w:p>
        </w:tc>
        <w:tc>
          <w:tcPr>
            <w:tcW w:w="217" w:type="dxa"/>
          </w:tcPr>
          <w:p w14:paraId="38419AC1" w14:textId="38D50EB4" w:rsidR="002C0FD9" w:rsidRPr="00CA25CF" w:rsidRDefault="002C0FD9" w:rsidP="00CA25CF">
            <w:pPr>
              <w:rPr>
                <w:rFonts w:cs="Arial"/>
                <w:color w:val="FF0000"/>
                <w:sz w:val="21"/>
                <w:szCs w:val="21"/>
              </w:rPr>
            </w:pPr>
          </w:p>
        </w:tc>
        <w:tc>
          <w:tcPr>
            <w:tcW w:w="217" w:type="dxa"/>
          </w:tcPr>
          <w:p w14:paraId="47DAA585" w14:textId="77777777" w:rsidR="002C0FD9" w:rsidRPr="00CA25CF" w:rsidRDefault="002C0FD9" w:rsidP="00CA25CF">
            <w:pPr>
              <w:rPr>
                <w:rFonts w:cs="Arial"/>
                <w:color w:val="FF0000"/>
                <w:sz w:val="21"/>
                <w:szCs w:val="21"/>
              </w:rPr>
            </w:pPr>
          </w:p>
        </w:tc>
        <w:tc>
          <w:tcPr>
            <w:tcW w:w="217" w:type="dxa"/>
          </w:tcPr>
          <w:p w14:paraId="2A0CBD21" w14:textId="77777777" w:rsidR="002C0FD9" w:rsidRPr="00CA25CF" w:rsidRDefault="002C0FD9" w:rsidP="00CA25CF">
            <w:pPr>
              <w:rPr>
                <w:rFonts w:cs="Arial"/>
                <w:color w:val="FF0000"/>
                <w:sz w:val="21"/>
                <w:szCs w:val="21"/>
              </w:rPr>
            </w:pPr>
          </w:p>
        </w:tc>
        <w:tc>
          <w:tcPr>
            <w:tcW w:w="217" w:type="dxa"/>
          </w:tcPr>
          <w:p w14:paraId="45C05E59" w14:textId="77777777" w:rsidR="002C0FD9" w:rsidRPr="00CA25CF" w:rsidRDefault="002C0FD9" w:rsidP="00CA25CF">
            <w:pPr>
              <w:rPr>
                <w:rFonts w:cs="Arial"/>
                <w:color w:val="FF0000"/>
                <w:sz w:val="21"/>
                <w:szCs w:val="21"/>
              </w:rPr>
            </w:pPr>
          </w:p>
        </w:tc>
        <w:tc>
          <w:tcPr>
            <w:tcW w:w="217" w:type="dxa"/>
          </w:tcPr>
          <w:p w14:paraId="7FF0617B" w14:textId="77777777" w:rsidR="002C0FD9" w:rsidRPr="00CA25CF" w:rsidRDefault="002C0FD9" w:rsidP="00CA25CF">
            <w:pPr>
              <w:rPr>
                <w:rFonts w:cs="Arial"/>
                <w:color w:val="FF0000"/>
                <w:sz w:val="21"/>
                <w:szCs w:val="21"/>
              </w:rPr>
            </w:pPr>
          </w:p>
        </w:tc>
        <w:tc>
          <w:tcPr>
            <w:tcW w:w="217" w:type="dxa"/>
          </w:tcPr>
          <w:p w14:paraId="43D8B421" w14:textId="77777777" w:rsidR="002C0FD9" w:rsidRPr="00CA25CF" w:rsidRDefault="002C0FD9" w:rsidP="00CA25CF">
            <w:pPr>
              <w:rPr>
                <w:rFonts w:cs="Arial"/>
                <w:color w:val="FF0000"/>
                <w:sz w:val="21"/>
                <w:szCs w:val="21"/>
              </w:rPr>
            </w:pPr>
          </w:p>
        </w:tc>
        <w:tc>
          <w:tcPr>
            <w:tcW w:w="217" w:type="dxa"/>
          </w:tcPr>
          <w:p w14:paraId="6B8326FC" w14:textId="77777777" w:rsidR="002C0FD9" w:rsidRPr="00CA25CF" w:rsidRDefault="002C0FD9" w:rsidP="00CA25CF">
            <w:pPr>
              <w:rPr>
                <w:rFonts w:cs="Arial"/>
                <w:color w:val="FF0000"/>
                <w:sz w:val="21"/>
                <w:szCs w:val="21"/>
              </w:rPr>
            </w:pPr>
          </w:p>
        </w:tc>
        <w:tc>
          <w:tcPr>
            <w:tcW w:w="217" w:type="dxa"/>
          </w:tcPr>
          <w:p w14:paraId="217B78F3" w14:textId="77777777" w:rsidR="002C0FD9" w:rsidRPr="00CA25CF" w:rsidRDefault="002C0FD9" w:rsidP="00CA25CF">
            <w:pPr>
              <w:rPr>
                <w:rFonts w:cs="Arial"/>
                <w:color w:val="FF0000"/>
                <w:sz w:val="21"/>
                <w:szCs w:val="21"/>
              </w:rPr>
            </w:pPr>
          </w:p>
        </w:tc>
        <w:tc>
          <w:tcPr>
            <w:tcW w:w="217" w:type="dxa"/>
          </w:tcPr>
          <w:p w14:paraId="18DBCF3B" w14:textId="77777777" w:rsidR="002C0FD9" w:rsidRPr="00CA25CF" w:rsidRDefault="002C0FD9" w:rsidP="00CA25CF">
            <w:pPr>
              <w:rPr>
                <w:rFonts w:cs="Arial"/>
                <w:color w:val="FF0000"/>
                <w:sz w:val="21"/>
                <w:szCs w:val="21"/>
              </w:rPr>
            </w:pPr>
          </w:p>
        </w:tc>
        <w:tc>
          <w:tcPr>
            <w:tcW w:w="217" w:type="dxa"/>
          </w:tcPr>
          <w:p w14:paraId="43A9D2D0" w14:textId="77777777" w:rsidR="002C0FD9" w:rsidRPr="00CA25CF" w:rsidRDefault="002C0FD9" w:rsidP="00CA25CF">
            <w:pPr>
              <w:rPr>
                <w:rFonts w:cs="Arial"/>
                <w:color w:val="FF0000"/>
                <w:sz w:val="21"/>
                <w:szCs w:val="21"/>
              </w:rPr>
            </w:pPr>
          </w:p>
        </w:tc>
        <w:tc>
          <w:tcPr>
            <w:tcW w:w="217" w:type="dxa"/>
          </w:tcPr>
          <w:p w14:paraId="6509613C" w14:textId="77777777" w:rsidR="002C0FD9" w:rsidRPr="00CA25CF" w:rsidRDefault="002C0FD9" w:rsidP="00CA25CF">
            <w:pPr>
              <w:rPr>
                <w:rFonts w:cs="Arial"/>
                <w:color w:val="FF0000"/>
                <w:sz w:val="21"/>
                <w:szCs w:val="21"/>
              </w:rPr>
            </w:pPr>
          </w:p>
        </w:tc>
        <w:tc>
          <w:tcPr>
            <w:tcW w:w="217" w:type="dxa"/>
          </w:tcPr>
          <w:p w14:paraId="33E41550" w14:textId="77777777" w:rsidR="002C0FD9" w:rsidRPr="00CA25CF" w:rsidRDefault="002C0FD9" w:rsidP="00CA25CF">
            <w:pPr>
              <w:rPr>
                <w:rFonts w:cs="Arial"/>
                <w:color w:val="FF0000"/>
                <w:sz w:val="21"/>
                <w:szCs w:val="21"/>
              </w:rPr>
            </w:pPr>
          </w:p>
        </w:tc>
        <w:tc>
          <w:tcPr>
            <w:tcW w:w="217" w:type="dxa"/>
          </w:tcPr>
          <w:p w14:paraId="501261B9" w14:textId="77777777" w:rsidR="002C0FD9" w:rsidRPr="00CA25CF" w:rsidRDefault="002C0FD9" w:rsidP="00CA25CF">
            <w:pPr>
              <w:rPr>
                <w:rFonts w:cs="Arial"/>
                <w:color w:val="FF0000"/>
                <w:sz w:val="21"/>
                <w:szCs w:val="21"/>
              </w:rPr>
            </w:pPr>
          </w:p>
        </w:tc>
        <w:tc>
          <w:tcPr>
            <w:tcW w:w="217" w:type="dxa"/>
          </w:tcPr>
          <w:p w14:paraId="6C3BD0DE" w14:textId="77777777" w:rsidR="002C0FD9" w:rsidRPr="00CA25CF" w:rsidRDefault="002C0FD9" w:rsidP="00CA25CF">
            <w:pPr>
              <w:rPr>
                <w:rFonts w:cs="Arial"/>
                <w:color w:val="FF0000"/>
                <w:sz w:val="21"/>
                <w:szCs w:val="21"/>
              </w:rPr>
            </w:pPr>
          </w:p>
        </w:tc>
        <w:tc>
          <w:tcPr>
            <w:tcW w:w="217" w:type="dxa"/>
          </w:tcPr>
          <w:p w14:paraId="4DC8CC9C" w14:textId="77777777" w:rsidR="002C0FD9" w:rsidRPr="00CA25CF" w:rsidRDefault="002C0FD9" w:rsidP="00CA25CF">
            <w:pPr>
              <w:rPr>
                <w:rFonts w:cs="Arial"/>
                <w:color w:val="FF0000"/>
                <w:sz w:val="21"/>
                <w:szCs w:val="21"/>
              </w:rPr>
            </w:pPr>
          </w:p>
        </w:tc>
        <w:tc>
          <w:tcPr>
            <w:tcW w:w="217" w:type="dxa"/>
          </w:tcPr>
          <w:p w14:paraId="2B5E4F2B" w14:textId="77777777" w:rsidR="002C0FD9" w:rsidRPr="00CA25CF" w:rsidRDefault="002C0FD9" w:rsidP="00CA25CF">
            <w:pPr>
              <w:rPr>
                <w:rFonts w:cs="Arial"/>
                <w:color w:val="FF0000"/>
                <w:sz w:val="21"/>
                <w:szCs w:val="21"/>
              </w:rPr>
            </w:pPr>
          </w:p>
        </w:tc>
        <w:tc>
          <w:tcPr>
            <w:tcW w:w="217" w:type="dxa"/>
          </w:tcPr>
          <w:p w14:paraId="5C0FFDEF" w14:textId="77777777" w:rsidR="002C0FD9" w:rsidRPr="00CA25CF" w:rsidRDefault="002C0FD9" w:rsidP="00CA25CF">
            <w:pPr>
              <w:rPr>
                <w:rFonts w:cs="Arial"/>
                <w:color w:val="FF0000"/>
                <w:sz w:val="21"/>
                <w:szCs w:val="21"/>
              </w:rPr>
            </w:pPr>
          </w:p>
        </w:tc>
        <w:tc>
          <w:tcPr>
            <w:tcW w:w="217" w:type="dxa"/>
          </w:tcPr>
          <w:p w14:paraId="6C8DA771" w14:textId="77777777" w:rsidR="002C0FD9" w:rsidRPr="00CA25CF" w:rsidRDefault="002C0FD9" w:rsidP="00CA25CF">
            <w:pPr>
              <w:rPr>
                <w:rFonts w:cs="Arial"/>
                <w:color w:val="FF0000"/>
                <w:sz w:val="21"/>
                <w:szCs w:val="21"/>
              </w:rPr>
            </w:pPr>
          </w:p>
        </w:tc>
        <w:tc>
          <w:tcPr>
            <w:tcW w:w="217" w:type="dxa"/>
          </w:tcPr>
          <w:p w14:paraId="115D904A" w14:textId="77777777" w:rsidR="002C0FD9" w:rsidRPr="00CA25CF" w:rsidRDefault="002C0FD9" w:rsidP="00CA25CF">
            <w:pPr>
              <w:rPr>
                <w:rFonts w:cs="Arial"/>
                <w:color w:val="FF0000"/>
                <w:sz w:val="21"/>
                <w:szCs w:val="21"/>
              </w:rPr>
            </w:pPr>
          </w:p>
        </w:tc>
        <w:tc>
          <w:tcPr>
            <w:tcW w:w="217" w:type="dxa"/>
          </w:tcPr>
          <w:p w14:paraId="4D75327C" w14:textId="77777777" w:rsidR="002C0FD9" w:rsidRPr="00CA25CF" w:rsidRDefault="002C0FD9" w:rsidP="00CA25CF">
            <w:pPr>
              <w:rPr>
                <w:rFonts w:cs="Arial"/>
                <w:color w:val="FF0000"/>
                <w:sz w:val="21"/>
                <w:szCs w:val="21"/>
              </w:rPr>
            </w:pPr>
          </w:p>
        </w:tc>
        <w:tc>
          <w:tcPr>
            <w:tcW w:w="217" w:type="dxa"/>
          </w:tcPr>
          <w:p w14:paraId="43209260" w14:textId="77777777" w:rsidR="002C0FD9" w:rsidRPr="00CA25CF" w:rsidRDefault="002C0FD9" w:rsidP="00CA25CF">
            <w:pPr>
              <w:rPr>
                <w:rFonts w:cs="Arial"/>
                <w:color w:val="FF0000"/>
                <w:sz w:val="21"/>
                <w:szCs w:val="21"/>
              </w:rPr>
            </w:pPr>
          </w:p>
        </w:tc>
        <w:tc>
          <w:tcPr>
            <w:tcW w:w="217" w:type="dxa"/>
          </w:tcPr>
          <w:p w14:paraId="539C46A3" w14:textId="77777777" w:rsidR="002C0FD9" w:rsidRPr="00CA25CF" w:rsidRDefault="002C0FD9" w:rsidP="00CA25CF">
            <w:pPr>
              <w:rPr>
                <w:rFonts w:cs="Arial"/>
                <w:color w:val="FF0000"/>
                <w:sz w:val="21"/>
                <w:szCs w:val="21"/>
              </w:rPr>
            </w:pPr>
          </w:p>
        </w:tc>
        <w:tc>
          <w:tcPr>
            <w:tcW w:w="217" w:type="dxa"/>
          </w:tcPr>
          <w:p w14:paraId="2D4ECC48" w14:textId="77777777" w:rsidR="002C0FD9" w:rsidRPr="00CA25CF" w:rsidRDefault="002C0FD9" w:rsidP="00CA25CF">
            <w:pPr>
              <w:rPr>
                <w:rFonts w:cs="Arial"/>
                <w:color w:val="FF0000"/>
                <w:sz w:val="21"/>
                <w:szCs w:val="21"/>
              </w:rPr>
            </w:pPr>
          </w:p>
        </w:tc>
        <w:tc>
          <w:tcPr>
            <w:tcW w:w="217" w:type="dxa"/>
          </w:tcPr>
          <w:p w14:paraId="42FFC3AB" w14:textId="77777777" w:rsidR="002C0FD9" w:rsidRPr="00CA25CF" w:rsidRDefault="002C0FD9" w:rsidP="00CA25CF">
            <w:pPr>
              <w:rPr>
                <w:rFonts w:cs="Arial"/>
                <w:color w:val="FF0000"/>
                <w:sz w:val="21"/>
                <w:szCs w:val="21"/>
              </w:rPr>
            </w:pPr>
          </w:p>
        </w:tc>
        <w:tc>
          <w:tcPr>
            <w:tcW w:w="217" w:type="dxa"/>
          </w:tcPr>
          <w:p w14:paraId="690244F8" w14:textId="77777777" w:rsidR="002C0FD9" w:rsidRPr="00CA25CF" w:rsidRDefault="002C0FD9" w:rsidP="00CA25CF">
            <w:pPr>
              <w:rPr>
                <w:rFonts w:cs="Arial"/>
                <w:color w:val="FF0000"/>
                <w:sz w:val="21"/>
                <w:szCs w:val="21"/>
              </w:rPr>
            </w:pPr>
          </w:p>
        </w:tc>
        <w:tc>
          <w:tcPr>
            <w:tcW w:w="217" w:type="dxa"/>
          </w:tcPr>
          <w:p w14:paraId="171CD3BC" w14:textId="77777777" w:rsidR="002C0FD9" w:rsidRPr="00CA25CF" w:rsidRDefault="002C0FD9" w:rsidP="00CA25CF">
            <w:pPr>
              <w:rPr>
                <w:rFonts w:cs="Arial"/>
                <w:color w:val="FF0000"/>
                <w:sz w:val="21"/>
                <w:szCs w:val="21"/>
              </w:rPr>
            </w:pPr>
          </w:p>
        </w:tc>
        <w:tc>
          <w:tcPr>
            <w:tcW w:w="217" w:type="dxa"/>
          </w:tcPr>
          <w:p w14:paraId="47F38D84" w14:textId="77777777" w:rsidR="002C0FD9" w:rsidRPr="00CA25CF" w:rsidRDefault="002C0FD9" w:rsidP="00CA25CF">
            <w:pPr>
              <w:rPr>
                <w:rFonts w:cs="Arial"/>
                <w:color w:val="FF0000"/>
                <w:sz w:val="21"/>
                <w:szCs w:val="21"/>
              </w:rPr>
            </w:pPr>
          </w:p>
        </w:tc>
        <w:tc>
          <w:tcPr>
            <w:tcW w:w="217" w:type="dxa"/>
          </w:tcPr>
          <w:p w14:paraId="6588DFF6" w14:textId="77777777" w:rsidR="002C0FD9" w:rsidRPr="00CA25CF" w:rsidRDefault="002C0FD9" w:rsidP="00CA25CF">
            <w:pPr>
              <w:rPr>
                <w:rFonts w:cs="Arial"/>
                <w:color w:val="FF0000"/>
                <w:sz w:val="21"/>
                <w:szCs w:val="21"/>
              </w:rPr>
            </w:pPr>
          </w:p>
        </w:tc>
        <w:tc>
          <w:tcPr>
            <w:tcW w:w="217" w:type="dxa"/>
          </w:tcPr>
          <w:p w14:paraId="4F04C67E" w14:textId="77777777" w:rsidR="002C0FD9" w:rsidRPr="00CA25CF" w:rsidRDefault="002C0FD9" w:rsidP="00CA25CF">
            <w:pPr>
              <w:rPr>
                <w:rFonts w:cs="Arial"/>
                <w:color w:val="FF0000"/>
                <w:sz w:val="21"/>
                <w:szCs w:val="21"/>
              </w:rPr>
            </w:pPr>
          </w:p>
        </w:tc>
        <w:tc>
          <w:tcPr>
            <w:tcW w:w="217" w:type="dxa"/>
          </w:tcPr>
          <w:p w14:paraId="053FBFB8" w14:textId="77777777" w:rsidR="002C0FD9" w:rsidRPr="00CA25CF" w:rsidRDefault="002C0FD9" w:rsidP="00CA25CF">
            <w:pPr>
              <w:rPr>
                <w:rFonts w:cs="Arial"/>
                <w:color w:val="FF0000"/>
                <w:sz w:val="21"/>
                <w:szCs w:val="21"/>
              </w:rPr>
            </w:pPr>
          </w:p>
        </w:tc>
        <w:tc>
          <w:tcPr>
            <w:tcW w:w="217" w:type="dxa"/>
          </w:tcPr>
          <w:p w14:paraId="79AAB78D" w14:textId="77777777" w:rsidR="002C0FD9" w:rsidRPr="00CA25CF" w:rsidRDefault="002C0FD9" w:rsidP="00CA25CF">
            <w:pPr>
              <w:rPr>
                <w:rFonts w:cs="Arial"/>
                <w:color w:val="FF0000"/>
                <w:sz w:val="21"/>
                <w:szCs w:val="21"/>
              </w:rPr>
            </w:pPr>
          </w:p>
        </w:tc>
        <w:tc>
          <w:tcPr>
            <w:tcW w:w="217" w:type="dxa"/>
          </w:tcPr>
          <w:p w14:paraId="2550A7E4" w14:textId="77777777" w:rsidR="002C0FD9" w:rsidRPr="00CA25CF" w:rsidRDefault="002C0FD9" w:rsidP="00CA25CF">
            <w:pPr>
              <w:rPr>
                <w:rFonts w:cs="Arial"/>
                <w:color w:val="FF0000"/>
                <w:sz w:val="21"/>
                <w:szCs w:val="21"/>
              </w:rPr>
            </w:pPr>
          </w:p>
        </w:tc>
        <w:tc>
          <w:tcPr>
            <w:tcW w:w="217" w:type="dxa"/>
          </w:tcPr>
          <w:p w14:paraId="22459F7C" w14:textId="77777777" w:rsidR="002C0FD9" w:rsidRPr="00CA25CF" w:rsidRDefault="002C0FD9" w:rsidP="00CA25CF">
            <w:pPr>
              <w:rPr>
                <w:rFonts w:cs="Arial"/>
                <w:color w:val="FF0000"/>
                <w:sz w:val="21"/>
                <w:szCs w:val="21"/>
              </w:rPr>
            </w:pPr>
          </w:p>
        </w:tc>
        <w:tc>
          <w:tcPr>
            <w:tcW w:w="217" w:type="dxa"/>
          </w:tcPr>
          <w:p w14:paraId="640420BA" w14:textId="77777777" w:rsidR="002C0FD9" w:rsidRPr="00CA25CF" w:rsidRDefault="002C0FD9" w:rsidP="00CA25CF">
            <w:pPr>
              <w:rPr>
                <w:rFonts w:cs="Arial"/>
                <w:color w:val="FF0000"/>
                <w:sz w:val="21"/>
                <w:szCs w:val="21"/>
              </w:rPr>
            </w:pPr>
          </w:p>
        </w:tc>
        <w:tc>
          <w:tcPr>
            <w:tcW w:w="217" w:type="dxa"/>
          </w:tcPr>
          <w:p w14:paraId="0D6860C1" w14:textId="77777777" w:rsidR="002C0FD9" w:rsidRPr="00CA25CF" w:rsidRDefault="002C0FD9" w:rsidP="00CA25CF">
            <w:pPr>
              <w:rPr>
                <w:rFonts w:cs="Arial"/>
                <w:color w:val="FF0000"/>
                <w:sz w:val="21"/>
                <w:szCs w:val="21"/>
              </w:rPr>
            </w:pPr>
          </w:p>
        </w:tc>
        <w:tc>
          <w:tcPr>
            <w:tcW w:w="217" w:type="dxa"/>
          </w:tcPr>
          <w:p w14:paraId="78549624" w14:textId="77777777" w:rsidR="002C0FD9" w:rsidRPr="00CA25CF" w:rsidRDefault="002C0FD9" w:rsidP="00CA25CF">
            <w:pPr>
              <w:rPr>
                <w:rFonts w:cs="Arial"/>
                <w:color w:val="FF0000"/>
                <w:sz w:val="21"/>
                <w:szCs w:val="21"/>
              </w:rPr>
            </w:pPr>
          </w:p>
        </w:tc>
        <w:tc>
          <w:tcPr>
            <w:tcW w:w="217" w:type="dxa"/>
          </w:tcPr>
          <w:p w14:paraId="6010CE99" w14:textId="77777777" w:rsidR="002C0FD9" w:rsidRPr="00CA25CF" w:rsidRDefault="002C0FD9" w:rsidP="00CA25CF">
            <w:pPr>
              <w:rPr>
                <w:rFonts w:cs="Arial"/>
                <w:color w:val="FF0000"/>
                <w:sz w:val="21"/>
                <w:szCs w:val="21"/>
              </w:rPr>
            </w:pPr>
          </w:p>
        </w:tc>
        <w:tc>
          <w:tcPr>
            <w:tcW w:w="217" w:type="dxa"/>
          </w:tcPr>
          <w:p w14:paraId="7FD2B698" w14:textId="77777777" w:rsidR="002C0FD9" w:rsidRPr="00CA25CF" w:rsidRDefault="002C0FD9" w:rsidP="00CA25CF">
            <w:pPr>
              <w:rPr>
                <w:rFonts w:cs="Arial"/>
                <w:color w:val="FF0000"/>
                <w:sz w:val="21"/>
                <w:szCs w:val="21"/>
              </w:rPr>
            </w:pPr>
          </w:p>
        </w:tc>
        <w:tc>
          <w:tcPr>
            <w:tcW w:w="217" w:type="dxa"/>
          </w:tcPr>
          <w:p w14:paraId="51B3DE74" w14:textId="77777777" w:rsidR="002C0FD9" w:rsidRPr="00CA25CF" w:rsidRDefault="002C0FD9" w:rsidP="00CA25CF">
            <w:pPr>
              <w:rPr>
                <w:rFonts w:cs="Arial"/>
                <w:color w:val="FF0000"/>
                <w:sz w:val="21"/>
                <w:szCs w:val="21"/>
              </w:rPr>
            </w:pPr>
          </w:p>
        </w:tc>
        <w:tc>
          <w:tcPr>
            <w:tcW w:w="217" w:type="dxa"/>
          </w:tcPr>
          <w:p w14:paraId="7C69DDEE" w14:textId="77777777" w:rsidR="002C0FD9" w:rsidRPr="00CA25CF" w:rsidRDefault="002C0FD9" w:rsidP="00CA25CF">
            <w:pPr>
              <w:rPr>
                <w:rFonts w:cs="Arial"/>
                <w:color w:val="FF0000"/>
                <w:sz w:val="21"/>
                <w:szCs w:val="21"/>
              </w:rPr>
            </w:pPr>
          </w:p>
        </w:tc>
        <w:tc>
          <w:tcPr>
            <w:tcW w:w="217" w:type="dxa"/>
          </w:tcPr>
          <w:p w14:paraId="0473F2D8" w14:textId="77777777" w:rsidR="002C0FD9" w:rsidRPr="00CA25CF" w:rsidRDefault="002C0FD9" w:rsidP="00CA25CF">
            <w:pPr>
              <w:rPr>
                <w:rFonts w:cs="Arial"/>
                <w:color w:val="FF0000"/>
                <w:sz w:val="21"/>
                <w:szCs w:val="21"/>
              </w:rPr>
            </w:pPr>
          </w:p>
        </w:tc>
      </w:tr>
      <w:tr w:rsidR="002C0FD9" w:rsidRPr="00A16219" w14:paraId="56033308" w14:textId="2BA45BB1" w:rsidTr="002C0FD9">
        <w:trPr>
          <w:trHeight w:val="635"/>
        </w:trPr>
        <w:tc>
          <w:tcPr>
            <w:tcW w:w="515" w:type="dxa"/>
          </w:tcPr>
          <w:p w14:paraId="46715BE7" w14:textId="77777777" w:rsidR="002C0FD9" w:rsidRPr="00CA25CF" w:rsidRDefault="002C0FD9" w:rsidP="00CA25CF">
            <w:pPr>
              <w:rPr>
                <w:rFonts w:cs="Arial"/>
                <w:color w:val="FF0000"/>
                <w:sz w:val="21"/>
                <w:szCs w:val="21"/>
              </w:rPr>
            </w:pPr>
          </w:p>
        </w:tc>
        <w:tc>
          <w:tcPr>
            <w:tcW w:w="217" w:type="dxa"/>
          </w:tcPr>
          <w:p w14:paraId="67CA58F1" w14:textId="77777777" w:rsidR="002C0FD9" w:rsidRPr="00CA25CF" w:rsidRDefault="002C0FD9" w:rsidP="00CA25CF">
            <w:pPr>
              <w:rPr>
                <w:rFonts w:cs="Arial"/>
                <w:color w:val="FF0000"/>
                <w:sz w:val="21"/>
                <w:szCs w:val="21"/>
              </w:rPr>
            </w:pPr>
          </w:p>
        </w:tc>
        <w:tc>
          <w:tcPr>
            <w:tcW w:w="217" w:type="dxa"/>
          </w:tcPr>
          <w:p w14:paraId="05DF80B1" w14:textId="6DD38CB8" w:rsidR="002C0FD9" w:rsidRPr="00CA25CF" w:rsidRDefault="002C0FD9" w:rsidP="00CA25CF">
            <w:pPr>
              <w:rPr>
                <w:rFonts w:cs="Arial"/>
                <w:color w:val="FF0000"/>
                <w:sz w:val="21"/>
                <w:szCs w:val="21"/>
              </w:rPr>
            </w:pPr>
          </w:p>
        </w:tc>
        <w:tc>
          <w:tcPr>
            <w:tcW w:w="217" w:type="dxa"/>
          </w:tcPr>
          <w:p w14:paraId="6A58BC9F" w14:textId="77777777" w:rsidR="002C0FD9" w:rsidRPr="00CA25CF" w:rsidRDefault="002C0FD9" w:rsidP="00CA25CF">
            <w:pPr>
              <w:rPr>
                <w:rFonts w:cs="Arial"/>
                <w:color w:val="FF0000"/>
                <w:sz w:val="21"/>
                <w:szCs w:val="21"/>
              </w:rPr>
            </w:pPr>
          </w:p>
        </w:tc>
        <w:tc>
          <w:tcPr>
            <w:tcW w:w="217" w:type="dxa"/>
          </w:tcPr>
          <w:p w14:paraId="6949140C" w14:textId="77777777" w:rsidR="002C0FD9" w:rsidRPr="00CA25CF" w:rsidRDefault="002C0FD9" w:rsidP="00CA25CF">
            <w:pPr>
              <w:rPr>
                <w:rFonts w:cs="Arial"/>
                <w:color w:val="FF0000"/>
                <w:sz w:val="21"/>
                <w:szCs w:val="21"/>
              </w:rPr>
            </w:pPr>
          </w:p>
        </w:tc>
        <w:tc>
          <w:tcPr>
            <w:tcW w:w="217" w:type="dxa"/>
          </w:tcPr>
          <w:p w14:paraId="33930CF7" w14:textId="77777777" w:rsidR="002C0FD9" w:rsidRPr="00CA25CF" w:rsidRDefault="002C0FD9" w:rsidP="00CA25CF">
            <w:pPr>
              <w:rPr>
                <w:rFonts w:cs="Arial"/>
                <w:color w:val="FF0000"/>
                <w:sz w:val="21"/>
                <w:szCs w:val="21"/>
              </w:rPr>
            </w:pPr>
          </w:p>
        </w:tc>
        <w:tc>
          <w:tcPr>
            <w:tcW w:w="217" w:type="dxa"/>
          </w:tcPr>
          <w:p w14:paraId="2B653C32" w14:textId="77777777" w:rsidR="002C0FD9" w:rsidRPr="00CA25CF" w:rsidRDefault="002C0FD9" w:rsidP="00CA25CF">
            <w:pPr>
              <w:rPr>
                <w:rFonts w:cs="Arial"/>
                <w:color w:val="FF0000"/>
                <w:sz w:val="21"/>
                <w:szCs w:val="21"/>
              </w:rPr>
            </w:pPr>
          </w:p>
        </w:tc>
        <w:tc>
          <w:tcPr>
            <w:tcW w:w="217" w:type="dxa"/>
          </w:tcPr>
          <w:p w14:paraId="65C3032F" w14:textId="77777777" w:rsidR="002C0FD9" w:rsidRPr="00CA25CF" w:rsidRDefault="002C0FD9" w:rsidP="00CA25CF">
            <w:pPr>
              <w:rPr>
                <w:rFonts w:cs="Arial"/>
                <w:color w:val="FF0000"/>
                <w:sz w:val="21"/>
                <w:szCs w:val="21"/>
              </w:rPr>
            </w:pPr>
          </w:p>
        </w:tc>
        <w:tc>
          <w:tcPr>
            <w:tcW w:w="217" w:type="dxa"/>
          </w:tcPr>
          <w:p w14:paraId="055E04AF" w14:textId="77777777" w:rsidR="002C0FD9" w:rsidRPr="00CA25CF" w:rsidRDefault="002C0FD9" w:rsidP="00CA25CF">
            <w:pPr>
              <w:rPr>
                <w:rFonts w:cs="Arial"/>
                <w:color w:val="FF0000"/>
                <w:sz w:val="21"/>
                <w:szCs w:val="21"/>
              </w:rPr>
            </w:pPr>
          </w:p>
        </w:tc>
        <w:tc>
          <w:tcPr>
            <w:tcW w:w="217" w:type="dxa"/>
          </w:tcPr>
          <w:p w14:paraId="02E6628D" w14:textId="77777777" w:rsidR="002C0FD9" w:rsidRPr="00CA25CF" w:rsidRDefault="002C0FD9" w:rsidP="00CA25CF">
            <w:pPr>
              <w:rPr>
                <w:rFonts w:cs="Arial"/>
                <w:color w:val="FF0000"/>
                <w:sz w:val="21"/>
                <w:szCs w:val="21"/>
              </w:rPr>
            </w:pPr>
          </w:p>
        </w:tc>
        <w:tc>
          <w:tcPr>
            <w:tcW w:w="217" w:type="dxa"/>
          </w:tcPr>
          <w:p w14:paraId="5B5F7ECE" w14:textId="77777777" w:rsidR="002C0FD9" w:rsidRPr="00CA25CF" w:rsidRDefault="002C0FD9" w:rsidP="00CA25CF">
            <w:pPr>
              <w:rPr>
                <w:rFonts w:cs="Arial"/>
                <w:color w:val="FF0000"/>
                <w:sz w:val="21"/>
                <w:szCs w:val="21"/>
              </w:rPr>
            </w:pPr>
          </w:p>
        </w:tc>
        <w:tc>
          <w:tcPr>
            <w:tcW w:w="217" w:type="dxa"/>
          </w:tcPr>
          <w:p w14:paraId="79909EE5" w14:textId="77777777" w:rsidR="002C0FD9" w:rsidRPr="00CA25CF" w:rsidRDefault="002C0FD9" w:rsidP="00CA25CF">
            <w:pPr>
              <w:rPr>
                <w:rFonts w:cs="Arial"/>
                <w:color w:val="FF0000"/>
                <w:sz w:val="21"/>
                <w:szCs w:val="21"/>
              </w:rPr>
            </w:pPr>
          </w:p>
        </w:tc>
        <w:tc>
          <w:tcPr>
            <w:tcW w:w="217" w:type="dxa"/>
          </w:tcPr>
          <w:p w14:paraId="3C2CA3EA" w14:textId="77777777" w:rsidR="002C0FD9" w:rsidRPr="00CA25CF" w:rsidRDefault="002C0FD9" w:rsidP="00CA25CF">
            <w:pPr>
              <w:rPr>
                <w:rFonts w:cs="Arial"/>
                <w:color w:val="FF0000"/>
                <w:sz w:val="21"/>
                <w:szCs w:val="21"/>
              </w:rPr>
            </w:pPr>
          </w:p>
        </w:tc>
        <w:tc>
          <w:tcPr>
            <w:tcW w:w="217" w:type="dxa"/>
          </w:tcPr>
          <w:p w14:paraId="17991111" w14:textId="77777777" w:rsidR="002C0FD9" w:rsidRPr="00CA25CF" w:rsidRDefault="002C0FD9" w:rsidP="00CA25CF">
            <w:pPr>
              <w:rPr>
                <w:rFonts w:cs="Arial"/>
                <w:color w:val="FF0000"/>
                <w:sz w:val="21"/>
                <w:szCs w:val="21"/>
              </w:rPr>
            </w:pPr>
          </w:p>
        </w:tc>
        <w:tc>
          <w:tcPr>
            <w:tcW w:w="217" w:type="dxa"/>
          </w:tcPr>
          <w:p w14:paraId="66307079" w14:textId="77777777" w:rsidR="002C0FD9" w:rsidRPr="00CA25CF" w:rsidRDefault="002C0FD9" w:rsidP="00CA25CF">
            <w:pPr>
              <w:rPr>
                <w:rFonts w:cs="Arial"/>
                <w:color w:val="FF0000"/>
                <w:sz w:val="21"/>
                <w:szCs w:val="21"/>
              </w:rPr>
            </w:pPr>
          </w:p>
        </w:tc>
        <w:tc>
          <w:tcPr>
            <w:tcW w:w="217" w:type="dxa"/>
          </w:tcPr>
          <w:p w14:paraId="6B57ADBE" w14:textId="77777777" w:rsidR="002C0FD9" w:rsidRPr="00CA25CF" w:rsidRDefault="002C0FD9" w:rsidP="00CA25CF">
            <w:pPr>
              <w:rPr>
                <w:rFonts w:cs="Arial"/>
                <w:color w:val="FF0000"/>
                <w:sz w:val="21"/>
                <w:szCs w:val="21"/>
              </w:rPr>
            </w:pPr>
          </w:p>
        </w:tc>
        <w:tc>
          <w:tcPr>
            <w:tcW w:w="217" w:type="dxa"/>
          </w:tcPr>
          <w:p w14:paraId="1DB13F6C" w14:textId="77777777" w:rsidR="002C0FD9" w:rsidRPr="00CA25CF" w:rsidRDefault="002C0FD9" w:rsidP="00CA25CF">
            <w:pPr>
              <w:rPr>
                <w:rFonts w:cs="Arial"/>
                <w:color w:val="FF0000"/>
                <w:sz w:val="21"/>
                <w:szCs w:val="21"/>
              </w:rPr>
            </w:pPr>
          </w:p>
        </w:tc>
        <w:tc>
          <w:tcPr>
            <w:tcW w:w="217" w:type="dxa"/>
          </w:tcPr>
          <w:p w14:paraId="33DACD34" w14:textId="77777777" w:rsidR="002C0FD9" w:rsidRPr="00CA25CF" w:rsidRDefault="002C0FD9" w:rsidP="00CA25CF">
            <w:pPr>
              <w:rPr>
                <w:rFonts w:cs="Arial"/>
                <w:color w:val="FF0000"/>
                <w:sz w:val="21"/>
                <w:szCs w:val="21"/>
              </w:rPr>
            </w:pPr>
          </w:p>
        </w:tc>
        <w:tc>
          <w:tcPr>
            <w:tcW w:w="217" w:type="dxa"/>
          </w:tcPr>
          <w:p w14:paraId="6BFF1BDB" w14:textId="77777777" w:rsidR="002C0FD9" w:rsidRPr="00CA25CF" w:rsidRDefault="002C0FD9" w:rsidP="00CA25CF">
            <w:pPr>
              <w:rPr>
                <w:rFonts w:cs="Arial"/>
                <w:color w:val="FF0000"/>
                <w:sz w:val="21"/>
                <w:szCs w:val="21"/>
              </w:rPr>
            </w:pPr>
          </w:p>
        </w:tc>
        <w:tc>
          <w:tcPr>
            <w:tcW w:w="217" w:type="dxa"/>
          </w:tcPr>
          <w:p w14:paraId="34DC83D7" w14:textId="77777777" w:rsidR="002C0FD9" w:rsidRPr="00CA25CF" w:rsidRDefault="002C0FD9" w:rsidP="00CA25CF">
            <w:pPr>
              <w:rPr>
                <w:rFonts w:cs="Arial"/>
                <w:color w:val="FF0000"/>
                <w:sz w:val="21"/>
                <w:szCs w:val="21"/>
              </w:rPr>
            </w:pPr>
          </w:p>
        </w:tc>
        <w:tc>
          <w:tcPr>
            <w:tcW w:w="217" w:type="dxa"/>
          </w:tcPr>
          <w:p w14:paraId="0ABA9C83" w14:textId="77777777" w:rsidR="002C0FD9" w:rsidRPr="00CA25CF" w:rsidRDefault="002C0FD9" w:rsidP="00CA25CF">
            <w:pPr>
              <w:rPr>
                <w:rFonts w:cs="Arial"/>
                <w:color w:val="FF0000"/>
                <w:sz w:val="21"/>
                <w:szCs w:val="21"/>
              </w:rPr>
            </w:pPr>
          </w:p>
        </w:tc>
        <w:tc>
          <w:tcPr>
            <w:tcW w:w="217" w:type="dxa"/>
          </w:tcPr>
          <w:p w14:paraId="3412F30E" w14:textId="77777777" w:rsidR="002C0FD9" w:rsidRPr="00CA25CF" w:rsidRDefault="002C0FD9" w:rsidP="00CA25CF">
            <w:pPr>
              <w:rPr>
                <w:rFonts w:cs="Arial"/>
                <w:color w:val="FF0000"/>
                <w:sz w:val="21"/>
                <w:szCs w:val="21"/>
              </w:rPr>
            </w:pPr>
          </w:p>
        </w:tc>
        <w:tc>
          <w:tcPr>
            <w:tcW w:w="217" w:type="dxa"/>
          </w:tcPr>
          <w:p w14:paraId="5B5E616D" w14:textId="77777777" w:rsidR="002C0FD9" w:rsidRPr="00CA25CF" w:rsidRDefault="002C0FD9" w:rsidP="00CA25CF">
            <w:pPr>
              <w:rPr>
                <w:rFonts w:cs="Arial"/>
                <w:color w:val="FF0000"/>
                <w:sz w:val="21"/>
                <w:szCs w:val="21"/>
              </w:rPr>
            </w:pPr>
          </w:p>
        </w:tc>
        <w:tc>
          <w:tcPr>
            <w:tcW w:w="217" w:type="dxa"/>
          </w:tcPr>
          <w:p w14:paraId="4ECC816B" w14:textId="77777777" w:rsidR="002C0FD9" w:rsidRPr="00CA25CF" w:rsidRDefault="002C0FD9" w:rsidP="00CA25CF">
            <w:pPr>
              <w:rPr>
                <w:rFonts w:cs="Arial"/>
                <w:color w:val="FF0000"/>
                <w:sz w:val="21"/>
                <w:szCs w:val="21"/>
              </w:rPr>
            </w:pPr>
          </w:p>
        </w:tc>
        <w:tc>
          <w:tcPr>
            <w:tcW w:w="217" w:type="dxa"/>
          </w:tcPr>
          <w:p w14:paraId="168DB227" w14:textId="77777777" w:rsidR="002C0FD9" w:rsidRPr="00CA25CF" w:rsidRDefault="002C0FD9" w:rsidP="00CA25CF">
            <w:pPr>
              <w:rPr>
                <w:rFonts w:cs="Arial"/>
                <w:color w:val="FF0000"/>
                <w:sz w:val="21"/>
                <w:szCs w:val="21"/>
              </w:rPr>
            </w:pPr>
          </w:p>
        </w:tc>
        <w:tc>
          <w:tcPr>
            <w:tcW w:w="217" w:type="dxa"/>
          </w:tcPr>
          <w:p w14:paraId="54F83232" w14:textId="77777777" w:rsidR="002C0FD9" w:rsidRPr="00CA25CF" w:rsidRDefault="002C0FD9" w:rsidP="00CA25CF">
            <w:pPr>
              <w:rPr>
                <w:rFonts w:cs="Arial"/>
                <w:color w:val="FF0000"/>
                <w:sz w:val="21"/>
                <w:szCs w:val="21"/>
              </w:rPr>
            </w:pPr>
          </w:p>
        </w:tc>
        <w:tc>
          <w:tcPr>
            <w:tcW w:w="217" w:type="dxa"/>
          </w:tcPr>
          <w:p w14:paraId="50AA9290" w14:textId="77777777" w:rsidR="002C0FD9" w:rsidRPr="00CA25CF" w:rsidRDefault="002C0FD9" w:rsidP="00CA25CF">
            <w:pPr>
              <w:rPr>
                <w:rFonts w:cs="Arial"/>
                <w:color w:val="FF0000"/>
                <w:sz w:val="21"/>
                <w:szCs w:val="21"/>
              </w:rPr>
            </w:pPr>
          </w:p>
        </w:tc>
        <w:tc>
          <w:tcPr>
            <w:tcW w:w="217" w:type="dxa"/>
          </w:tcPr>
          <w:p w14:paraId="3AC57574" w14:textId="77777777" w:rsidR="002C0FD9" w:rsidRPr="00CA25CF" w:rsidRDefault="002C0FD9" w:rsidP="00CA25CF">
            <w:pPr>
              <w:rPr>
                <w:rFonts w:cs="Arial"/>
                <w:color w:val="FF0000"/>
                <w:sz w:val="21"/>
                <w:szCs w:val="21"/>
              </w:rPr>
            </w:pPr>
          </w:p>
        </w:tc>
        <w:tc>
          <w:tcPr>
            <w:tcW w:w="217" w:type="dxa"/>
          </w:tcPr>
          <w:p w14:paraId="4437C67F" w14:textId="77777777" w:rsidR="002C0FD9" w:rsidRPr="00CA25CF" w:rsidRDefault="002C0FD9" w:rsidP="00CA25CF">
            <w:pPr>
              <w:rPr>
                <w:rFonts w:cs="Arial"/>
                <w:color w:val="FF0000"/>
                <w:sz w:val="21"/>
                <w:szCs w:val="21"/>
              </w:rPr>
            </w:pPr>
          </w:p>
        </w:tc>
        <w:tc>
          <w:tcPr>
            <w:tcW w:w="217" w:type="dxa"/>
          </w:tcPr>
          <w:p w14:paraId="2AC6CA6F" w14:textId="77777777" w:rsidR="002C0FD9" w:rsidRPr="00CA25CF" w:rsidRDefault="002C0FD9" w:rsidP="00CA25CF">
            <w:pPr>
              <w:rPr>
                <w:rFonts w:cs="Arial"/>
                <w:color w:val="FF0000"/>
                <w:sz w:val="21"/>
                <w:szCs w:val="21"/>
              </w:rPr>
            </w:pPr>
          </w:p>
        </w:tc>
        <w:tc>
          <w:tcPr>
            <w:tcW w:w="217" w:type="dxa"/>
          </w:tcPr>
          <w:p w14:paraId="2750C510" w14:textId="77777777" w:rsidR="002C0FD9" w:rsidRPr="00CA25CF" w:rsidRDefault="002C0FD9" w:rsidP="00CA25CF">
            <w:pPr>
              <w:rPr>
                <w:rFonts w:cs="Arial"/>
                <w:color w:val="FF0000"/>
                <w:sz w:val="21"/>
                <w:szCs w:val="21"/>
              </w:rPr>
            </w:pPr>
          </w:p>
        </w:tc>
        <w:tc>
          <w:tcPr>
            <w:tcW w:w="217" w:type="dxa"/>
          </w:tcPr>
          <w:p w14:paraId="60A4CE41" w14:textId="77777777" w:rsidR="002C0FD9" w:rsidRPr="00CA25CF" w:rsidRDefault="002C0FD9" w:rsidP="00CA25CF">
            <w:pPr>
              <w:rPr>
                <w:rFonts w:cs="Arial"/>
                <w:color w:val="FF0000"/>
                <w:sz w:val="21"/>
                <w:szCs w:val="21"/>
              </w:rPr>
            </w:pPr>
          </w:p>
        </w:tc>
        <w:tc>
          <w:tcPr>
            <w:tcW w:w="217" w:type="dxa"/>
          </w:tcPr>
          <w:p w14:paraId="2D896C7B" w14:textId="77777777" w:rsidR="002C0FD9" w:rsidRPr="00CA25CF" w:rsidRDefault="002C0FD9" w:rsidP="00CA25CF">
            <w:pPr>
              <w:rPr>
                <w:rFonts w:cs="Arial"/>
                <w:color w:val="FF0000"/>
                <w:sz w:val="21"/>
                <w:szCs w:val="21"/>
              </w:rPr>
            </w:pPr>
          </w:p>
        </w:tc>
        <w:tc>
          <w:tcPr>
            <w:tcW w:w="217" w:type="dxa"/>
          </w:tcPr>
          <w:p w14:paraId="0C136E7F" w14:textId="77777777" w:rsidR="002C0FD9" w:rsidRPr="00CA25CF" w:rsidRDefault="002C0FD9" w:rsidP="00CA25CF">
            <w:pPr>
              <w:rPr>
                <w:rFonts w:cs="Arial"/>
                <w:color w:val="FF0000"/>
                <w:sz w:val="21"/>
                <w:szCs w:val="21"/>
              </w:rPr>
            </w:pPr>
          </w:p>
        </w:tc>
        <w:tc>
          <w:tcPr>
            <w:tcW w:w="217" w:type="dxa"/>
          </w:tcPr>
          <w:p w14:paraId="6082C05F" w14:textId="77777777" w:rsidR="002C0FD9" w:rsidRPr="00CA25CF" w:rsidRDefault="002C0FD9" w:rsidP="00CA25CF">
            <w:pPr>
              <w:rPr>
                <w:rFonts w:cs="Arial"/>
                <w:color w:val="FF0000"/>
                <w:sz w:val="21"/>
                <w:szCs w:val="21"/>
              </w:rPr>
            </w:pPr>
          </w:p>
        </w:tc>
        <w:tc>
          <w:tcPr>
            <w:tcW w:w="217" w:type="dxa"/>
          </w:tcPr>
          <w:p w14:paraId="131AEC3C" w14:textId="77777777" w:rsidR="002C0FD9" w:rsidRPr="00CA25CF" w:rsidRDefault="002C0FD9" w:rsidP="00CA25CF">
            <w:pPr>
              <w:rPr>
                <w:rFonts w:cs="Arial"/>
                <w:color w:val="FF0000"/>
                <w:sz w:val="21"/>
                <w:szCs w:val="21"/>
              </w:rPr>
            </w:pPr>
          </w:p>
        </w:tc>
        <w:tc>
          <w:tcPr>
            <w:tcW w:w="217" w:type="dxa"/>
          </w:tcPr>
          <w:p w14:paraId="0AE5669C" w14:textId="77777777" w:rsidR="002C0FD9" w:rsidRPr="00CA25CF" w:rsidRDefault="002C0FD9" w:rsidP="00CA25CF">
            <w:pPr>
              <w:rPr>
                <w:rFonts w:cs="Arial"/>
                <w:color w:val="FF0000"/>
                <w:sz w:val="21"/>
                <w:szCs w:val="21"/>
              </w:rPr>
            </w:pPr>
          </w:p>
        </w:tc>
        <w:tc>
          <w:tcPr>
            <w:tcW w:w="217" w:type="dxa"/>
          </w:tcPr>
          <w:p w14:paraId="1D9E139D" w14:textId="77777777" w:rsidR="002C0FD9" w:rsidRPr="00CA25CF" w:rsidRDefault="002C0FD9" w:rsidP="00CA25CF">
            <w:pPr>
              <w:rPr>
                <w:rFonts w:cs="Arial"/>
                <w:color w:val="FF0000"/>
                <w:sz w:val="21"/>
                <w:szCs w:val="21"/>
              </w:rPr>
            </w:pPr>
          </w:p>
        </w:tc>
        <w:tc>
          <w:tcPr>
            <w:tcW w:w="217" w:type="dxa"/>
          </w:tcPr>
          <w:p w14:paraId="54633691" w14:textId="77777777" w:rsidR="002C0FD9" w:rsidRPr="00CA25CF" w:rsidRDefault="002C0FD9" w:rsidP="00CA25CF">
            <w:pPr>
              <w:rPr>
                <w:rFonts w:cs="Arial"/>
                <w:color w:val="FF0000"/>
                <w:sz w:val="21"/>
                <w:szCs w:val="21"/>
              </w:rPr>
            </w:pPr>
          </w:p>
        </w:tc>
        <w:tc>
          <w:tcPr>
            <w:tcW w:w="217" w:type="dxa"/>
          </w:tcPr>
          <w:p w14:paraId="7D312BEB" w14:textId="77777777" w:rsidR="002C0FD9" w:rsidRPr="00CA25CF" w:rsidRDefault="002C0FD9" w:rsidP="00CA25CF">
            <w:pPr>
              <w:rPr>
                <w:rFonts w:cs="Arial"/>
                <w:color w:val="FF0000"/>
                <w:sz w:val="21"/>
                <w:szCs w:val="21"/>
              </w:rPr>
            </w:pPr>
          </w:p>
        </w:tc>
        <w:tc>
          <w:tcPr>
            <w:tcW w:w="217" w:type="dxa"/>
          </w:tcPr>
          <w:p w14:paraId="626ECF01" w14:textId="77777777" w:rsidR="002C0FD9" w:rsidRPr="00CA25CF" w:rsidRDefault="002C0FD9" w:rsidP="00CA25CF">
            <w:pPr>
              <w:rPr>
                <w:rFonts w:cs="Arial"/>
                <w:color w:val="FF0000"/>
                <w:sz w:val="21"/>
                <w:szCs w:val="21"/>
              </w:rPr>
            </w:pPr>
          </w:p>
        </w:tc>
        <w:tc>
          <w:tcPr>
            <w:tcW w:w="217" w:type="dxa"/>
          </w:tcPr>
          <w:p w14:paraId="50084423" w14:textId="77777777" w:rsidR="002C0FD9" w:rsidRPr="00CA25CF" w:rsidRDefault="002C0FD9" w:rsidP="00CA25CF">
            <w:pPr>
              <w:rPr>
                <w:rFonts w:cs="Arial"/>
                <w:color w:val="FF0000"/>
                <w:sz w:val="21"/>
                <w:szCs w:val="21"/>
              </w:rPr>
            </w:pPr>
          </w:p>
        </w:tc>
        <w:tc>
          <w:tcPr>
            <w:tcW w:w="217" w:type="dxa"/>
          </w:tcPr>
          <w:p w14:paraId="682AC655" w14:textId="77777777" w:rsidR="002C0FD9" w:rsidRPr="00CA25CF" w:rsidRDefault="002C0FD9" w:rsidP="00CA25CF">
            <w:pPr>
              <w:rPr>
                <w:rFonts w:cs="Arial"/>
                <w:color w:val="FF0000"/>
                <w:sz w:val="21"/>
                <w:szCs w:val="21"/>
              </w:rPr>
            </w:pPr>
          </w:p>
        </w:tc>
      </w:tr>
      <w:tr w:rsidR="002C0FD9" w:rsidRPr="00A16219" w14:paraId="6C994ED1" w14:textId="7E1E298A" w:rsidTr="002C0FD9">
        <w:trPr>
          <w:trHeight w:val="635"/>
        </w:trPr>
        <w:tc>
          <w:tcPr>
            <w:tcW w:w="515" w:type="dxa"/>
          </w:tcPr>
          <w:p w14:paraId="53C996AB" w14:textId="77777777" w:rsidR="002C0FD9" w:rsidRPr="00CA25CF" w:rsidRDefault="002C0FD9" w:rsidP="00CA25CF">
            <w:pPr>
              <w:rPr>
                <w:rFonts w:cs="Arial"/>
                <w:color w:val="FF0000"/>
                <w:sz w:val="21"/>
                <w:szCs w:val="21"/>
              </w:rPr>
            </w:pPr>
          </w:p>
        </w:tc>
        <w:tc>
          <w:tcPr>
            <w:tcW w:w="217" w:type="dxa"/>
          </w:tcPr>
          <w:p w14:paraId="336E9DA4" w14:textId="77777777" w:rsidR="002C0FD9" w:rsidRPr="00CA25CF" w:rsidRDefault="002C0FD9" w:rsidP="00CA25CF">
            <w:pPr>
              <w:rPr>
                <w:rFonts w:cs="Arial"/>
                <w:color w:val="FF0000"/>
                <w:sz w:val="21"/>
                <w:szCs w:val="21"/>
              </w:rPr>
            </w:pPr>
          </w:p>
        </w:tc>
        <w:tc>
          <w:tcPr>
            <w:tcW w:w="217" w:type="dxa"/>
          </w:tcPr>
          <w:p w14:paraId="77A5F303" w14:textId="4DD65B05" w:rsidR="002C0FD9" w:rsidRPr="00CA25CF" w:rsidRDefault="002C0FD9" w:rsidP="00CA25CF">
            <w:pPr>
              <w:rPr>
                <w:rFonts w:cs="Arial"/>
                <w:color w:val="FF0000"/>
                <w:sz w:val="21"/>
                <w:szCs w:val="21"/>
              </w:rPr>
            </w:pPr>
          </w:p>
        </w:tc>
        <w:tc>
          <w:tcPr>
            <w:tcW w:w="217" w:type="dxa"/>
          </w:tcPr>
          <w:p w14:paraId="3468B293" w14:textId="77777777" w:rsidR="002C0FD9" w:rsidRPr="00CA25CF" w:rsidRDefault="002C0FD9" w:rsidP="00CA25CF">
            <w:pPr>
              <w:rPr>
                <w:rFonts w:cs="Arial"/>
                <w:color w:val="FF0000"/>
                <w:sz w:val="21"/>
                <w:szCs w:val="21"/>
              </w:rPr>
            </w:pPr>
          </w:p>
        </w:tc>
        <w:tc>
          <w:tcPr>
            <w:tcW w:w="217" w:type="dxa"/>
          </w:tcPr>
          <w:p w14:paraId="2F978E3D" w14:textId="77777777" w:rsidR="002C0FD9" w:rsidRPr="00CA25CF" w:rsidRDefault="002C0FD9" w:rsidP="00CA25CF">
            <w:pPr>
              <w:rPr>
                <w:rFonts w:cs="Arial"/>
                <w:color w:val="FF0000"/>
                <w:sz w:val="21"/>
                <w:szCs w:val="21"/>
              </w:rPr>
            </w:pPr>
          </w:p>
        </w:tc>
        <w:tc>
          <w:tcPr>
            <w:tcW w:w="217" w:type="dxa"/>
          </w:tcPr>
          <w:p w14:paraId="64389605" w14:textId="77777777" w:rsidR="002C0FD9" w:rsidRPr="00CA25CF" w:rsidRDefault="002C0FD9" w:rsidP="00CA25CF">
            <w:pPr>
              <w:rPr>
                <w:rFonts w:cs="Arial"/>
                <w:color w:val="FF0000"/>
                <w:sz w:val="21"/>
                <w:szCs w:val="21"/>
              </w:rPr>
            </w:pPr>
          </w:p>
        </w:tc>
        <w:tc>
          <w:tcPr>
            <w:tcW w:w="217" w:type="dxa"/>
          </w:tcPr>
          <w:p w14:paraId="69E0322E" w14:textId="77777777" w:rsidR="002C0FD9" w:rsidRPr="00CA25CF" w:rsidRDefault="002C0FD9" w:rsidP="00CA25CF">
            <w:pPr>
              <w:rPr>
                <w:rFonts w:cs="Arial"/>
                <w:color w:val="FF0000"/>
                <w:sz w:val="21"/>
                <w:szCs w:val="21"/>
              </w:rPr>
            </w:pPr>
          </w:p>
        </w:tc>
        <w:tc>
          <w:tcPr>
            <w:tcW w:w="217" w:type="dxa"/>
          </w:tcPr>
          <w:p w14:paraId="58F1EBEC" w14:textId="77777777" w:rsidR="002C0FD9" w:rsidRPr="00CA25CF" w:rsidRDefault="002C0FD9" w:rsidP="00CA25CF">
            <w:pPr>
              <w:rPr>
                <w:rFonts w:cs="Arial"/>
                <w:color w:val="FF0000"/>
                <w:sz w:val="21"/>
                <w:szCs w:val="21"/>
              </w:rPr>
            </w:pPr>
          </w:p>
        </w:tc>
        <w:tc>
          <w:tcPr>
            <w:tcW w:w="217" w:type="dxa"/>
          </w:tcPr>
          <w:p w14:paraId="53F49513" w14:textId="77777777" w:rsidR="002C0FD9" w:rsidRPr="00CA25CF" w:rsidRDefault="002C0FD9" w:rsidP="00CA25CF">
            <w:pPr>
              <w:rPr>
                <w:rFonts w:cs="Arial"/>
                <w:color w:val="FF0000"/>
                <w:sz w:val="21"/>
                <w:szCs w:val="21"/>
              </w:rPr>
            </w:pPr>
          </w:p>
        </w:tc>
        <w:tc>
          <w:tcPr>
            <w:tcW w:w="217" w:type="dxa"/>
          </w:tcPr>
          <w:p w14:paraId="6907D9A9" w14:textId="77777777" w:rsidR="002C0FD9" w:rsidRPr="00CA25CF" w:rsidRDefault="002C0FD9" w:rsidP="00CA25CF">
            <w:pPr>
              <w:rPr>
                <w:rFonts w:cs="Arial"/>
                <w:color w:val="FF0000"/>
                <w:sz w:val="21"/>
                <w:szCs w:val="21"/>
              </w:rPr>
            </w:pPr>
          </w:p>
        </w:tc>
        <w:tc>
          <w:tcPr>
            <w:tcW w:w="217" w:type="dxa"/>
          </w:tcPr>
          <w:p w14:paraId="6D36077A" w14:textId="77777777" w:rsidR="002C0FD9" w:rsidRPr="00CA25CF" w:rsidRDefault="002C0FD9" w:rsidP="00CA25CF">
            <w:pPr>
              <w:rPr>
                <w:rFonts w:cs="Arial"/>
                <w:color w:val="FF0000"/>
                <w:sz w:val="21"/>
                <w:szCs w:val="21"/>
              </w:rPr>
            </w:pPr>
          </w:p>
        </w:tc>
        <w:tc>
          <w:tcPr>
            <w:tcW w:w="217" w:type="dxa"/>
          </w:tcPr>
          <w:p w14:paraId="4CC9C06A" w14:textId="77777777" w:rsidR="002C0FD9" w:rsidRPr="00CA25CF" w:rsidRDefault="002C0FD9" w:rsidP="00CA25CF">
            <w:pPr>
              <w:rPr>
                <w:rFonts w:cs="Arial"/>
                <w:color w:val="FF0000"/>
                <w:sz w:val="21"/>
                <w:szCs w:val="21"/>
              </w:rPr>
            </w:pPr>
          </w:p>
        </w:tc>
        <w:tc>
          <w:tcPr>
            <w:tcW w:w="217" w:type="dxa"/>
          </w:tcPr>
          <w:p w14:paraId="72E78E54" w14:textId="77777777" w:rsidR="002C0FD9" w:rsidRPr="00CA25CF" w:rsidRDefault="002C0FD9" w:rsidP="00CA25CF">
            <w:pPr>
              <w:rPr>
                <w:rFonts w:cs="Arial"/>
                <w:color w:val="FF0000"/>
                <w:sz w:val="21"/>
                <w:szCs w:val="21"/>
              </w:rPr>
            </w:pPr>
          </w:p>
        </w:tc>
        <w:tc>
          <w:tcPr>
            <w:tcW w:w="217" w:type="dxa"/>
          </w:tcPr>
          <w:p w14:paraId="384C14F7" w14:textId="77777777" w:rsidR="002C0FD9" w:rsidRPr="00CA25CF" w:rsidRDefault="002C0FD9" w:rsidP="00CA25CF">
            <w:pPr>
              <w:rPr>
                <w:rFonts w:cs="Arial"/>
                <w:color w:val="FF0000"/>
                <w:sz w:val="21"/>
                <w:szCs w:val="21"/>
              </w:rPr>
            </w:pPr>
          </w:p>
        </w:tc>
        <w:tc>
          <w:tcPr>
            <w:tcW w:w="217" w:type="dxa"/>
          </w:tcPr>
          <w:p w14:paraId="59CD2983" w14:textId="77777777" w:rsidR="002C0FD9" w:rsidRPr="00CA25CF" w:rsidRDefault="002C0FD9" w:rsidP="00CA25CF">
            <w:pPr>
              <w:rPr>
                <w:rFonts w:cs="Arial"/>
                <w:color w:val="FF0000"/>
                <w:sz w:val="21"/>
                <w:szCs w:val="21"/>
              </w:rPr>
            </w:pPr>
          </w:p>
        </w:tc>
        <w:tc>
          <w:tcPr>
            <w:tcW w:w="217" w:type="dxa"/>
          </w:tcPr>
          <w:p w14:paraId="2EBE6201" w14:textId="77777777" w:rsidR="002C0FD9" w:rsidRPr="00CA25CF" w:rsidRDefault="002C0FD9" w:rsidP="00CA25CF">
            <w:pPr>
              <w:rPr>
                <w:rFonts w:cs="Arial"/>
                <w:color w:val="FF0000"/>
                <w:sz w:val="21"/>
                <w:szCs w:val="21"/>
              </w:rPr>
            </w:pPr>
          </w:p>
        </w:tc>
        <w:tc>
          <w:tcPr>
            <w:tcW w:w="217" w:type="dxa"/>
          </w:tcPr>
          <w:p w14:paraId="58C28AEA" w14:textId="77777777" w:rsidR="002C0FD9" w:rsidRPr="00CA25CF" w:rsidRDefault="002C0FD9" w:rsidP="00CA25CF">
            <w:pPr>
              <w:rPr>
                <w:rFonts w:cs="Arial"/>
                <w:color w:val="FF0000"/>
                <w:sz w:val="21"/>
                <w:szCs w:val="21"/>
              </w:rPr>
            </w:pPr>
          </w:p>
        </w:tc>
        <w:tc>
          <w:tcPr>
            <w:tcW w:w="217" w:type="dxa"/>
          </w:tcPr>
          <w:p w14:paraId="3A5828F2" w14:textId="77777777" w:rsidR="002C0FD9" w:rsidRPr="00CA25CF" w:rsidRDefault="002C0FD9" w:rsidP="00CA25CF">
            <w:pPr>
              <w:rPr>
                <w:rFonts w:cs="Arial"/>
                <w:color w:val="FF0000"/>
                <w:sz w:val="21"/>
                <w:szCs w:val="21"/>
              </w:rPr>
            </w:pPr>
          </w:p>
        </w:tc>
        <w:tc>
          <w:tcPr>
            <w:tcW w:w="217" w:type="dxa"/>
          </w:tcPr>
          <w:p w14:paraId="6327A201" w14:textId="77777777" w:rsidR="002C0FD9" w:rsidRPr="00CA25CF" w:rsidRDefault="002C0FD9" w:rsidP="00CA25CF">
            <w:pPr>
              <w:rPr>
                <w:rFonts w:cs="Arial"/>
                <w:color w:val="FF0000"/>
                <w:sz w:val="21"/>
                <w:szCs w:val="21"/>
              </w:rPr>
            </w:pPr>
          </w:p>
        </w:tc>
        <w:tc>
          <w:tcPr>
            <w:tcW w:w="217" w:type="dxa"/>
          </w:tcPr>
          <w:p w14:paraId="027EF541" w14:textId="77777777" w:rsidR="002C0FD9" w:rsidRPr="00CA25CF" w:rsidRDefault="002C0FD9" w:rsidP="00CA25CF">
            <w:pPr>
              <w:rPr>
                <w:rFonts w:cs="Arial"/>
                <w:color w:val="FF0000"/>
                <w:sz w:val="21"/>
                <w:szCs w:val="21"/>
              </w:rPr>
            </w:pPr>
          </w:p>
        </w:tc>
        <w:tc>
          <w:tcPr>
            <w:tcW w:w="217" w:type="dxa"/>
          </w:tcPr>
          <w:p w14:paraId="5B937FE0" w14:textId="77777777" w:rsidR="002C0FD9" w:rsidRPr="00CA25CF" w:rsidRDefault="002C0FD9" w:rsidP="00CA25CF">
            <w:pPr>
              <w:rPr>
                <w:rFonts w:cs="Arial"/>
                <w:color w:val="FF0000"/>
                <w:sz w:val="21"/>
                <w:szCs w:val="21"/>
              </w:rPr>
            </w:pPr>
          </w:p>
        </w:tc>
        <w:tc>
          <w:tcPr>
            <w:tcW w:w="217" w:type="dxa"/>
          </w:tcPr>
          <w:p w14:paraId="449D963C" w14:textId="77777777" w:rsidR="002C0FD9" w:rsidRPr="00CA25CF" w:rsidRDefault="002C0FD9" w:rsidP="00CA25CF">
            <w:pPr>
              <w:rPr>
                <w:rFonts w:cs="Arial"/>
                <w:color w:val="FF0000"/>
                <w:sz w:val="21"/>
                <w:szCs w:val="21"/>
              </w:rPr>
            </w:pPr>
          </w:p>
        </w:tc>
        <w:tc>
          <w:tcPr>
            <w:tcW w:w="217" w:type="dxa"/>
          </w:tcPr>
          <w:p w14:paraId="662C9D00" w14:textId="77777777" w:rsidR="002C0FD9" w:rsidRPr="00CA25CF" w:rsidRDefault="002C0FD9" w:rsidP="00CA25CF">
            <w:pPr>
              <w:rPr>
                <w:rFonts w:cs="Arial"/>
                <w:color w:val="FF0000"/>
                <w:sz w:val="21"/>
                <w:szCs w:val="21"/>
              </w:rPr>
            </w:pPr>
          </w:p>
        </w:tc>
        <w:tc>
          <w:tcPr>
            <w:tcW w:w="217" w:type="dxa"/>
          </w:tcPr>
          <w:p w14:paraId="588FEB3B" w14:textId="77777777" w:rsidR="002C0FD9" w:rsidRPr="00CA25CF" w:rsidRDefault="002C0FD9" w:rsidP="00CA25CF">
            <w:pPr>
              <w:rPr>
                <w:rFonts w:cs="Arial"/>
                <w:color w:val="FF0000"/>
                <w:sz w:val="21"/>
                <w:szCs w:val="21"/>
              </w:rPr>
            </w:pPr>
          </w:p>
        </w:tc>
        <w:tc>
          <w:tcPr>
            <w:tcW w:w="217" w:type="dxa"/>
          </w:tcPr>
          <w:p w14:paraId="2440154B" w14:textId="77777777" w:rsidR="002C0FD9" w:rsidRPr="00CA25CF" w:rsidRDefault="002C0FD9" w:rsidP="00CA25CF">
            <w:pPr>
              <w:rPr>
                <w:rFonts w:cs="Arial"/>
                <w:color w:val="FF0000"/>
                <w:sz w:val="21"/>
                <w:szCs w:val="21"/>
              </w:rPr>
            </w:pPr>
          </w:p>
        </w:tc>
        <w:tc>
          <w:tcPr>
            <w:tcW w:w="217" w:type="dxa"/>
          </w:tcPr>
          <w:p w14:paraId="497DB670" w14:textId="77777777" w:rsidR="002C0FD9" w:rsidRPr="00CA25CF" w:rsidRDefault="002C0FD9" w:rsidP="00CA25CF">
            <w:pPr>
              <w:rPr>
                <w:rFonts w:cs="Arial"/>
                <w:color w:val="FF0000"/>
                <w:sz w:val="21"/>
                <w:szCs w:val="21"/>
              </w:rPr>
            </w:pPr>
          </w:p>
        </w:tc>
        <w:tc>
          <w:tcPr>
            <w:tcW w:w="217" w:type="dxa"/>
          </w:tcPr>
          <w:p w14:paraId="76CCB882" w14:textId="77777777" w:rsidR="002C0FD9" w:rsidRPr="00CA25CF" w:rsidRDefault="002C0FD9" w:rsidP="00CA25CF">
            <w:pPr>
              <w:rPr>
                <w:rFonts w:cs="Arial"/>
                <w:color w:val="FF0000"/>
                <w:sz w:val="21"/>
                <w:szCs w:val="21"/>
              </w:rPr>
            </w:pPr>
          </w:p>
        </w:tc>
        <w:tc>
          <w:tcPr>
            <w:tcW w:w="217" w:type="dxa"/>
          </w:tcPr>
          <w:p w14:paraId="26CF3A8E" w14:textId="77777777" w:rsidR="002C0FD9" w:rsidRPr="00CA25CF" w:rsidRDefault="002C0FD9" w:rsidP="00CA25CF">
            <w:pPr>
              <w:rPr>
                <w:rFonts w:cs="Arial"/>
                <w:color w:val="FF0000"/>
                <w:sz w:val="21"/>
                <w:szCs w:val="21"/>
              </w:rPr>
            </w:pPr>
          </w:p>
        </w:tc>
        <w:tc>
          <w:tcPr>
            <w:tcW w:w="217" w:type="dxa"/>
          </w:tcPr>
          <w:p w14:paraId="77061FA4" w14:textId="77777777" w:rsidR="002C0FD9" w:rsidRPr="00CA25CF" w:rsidRDefault="002C0FD9" w:rsidP="00CA25CF">
            <w:pPr>
              <w:rPr>
                <w:rFonts w:cs="Arial"/>
                <w:color w:val="FF0000"/>
                <w:sz w:val="21"/>
                <w:szCs w:val="21"/>
              </w:rPr>
            </w:pPr>
          </w:p>
        </w:tc>
        <w:tc>
          <w:tcPr>
            <w:tcW w:w="217" w:type="dxa"/>
          </w:tcPr>
          <w:p w14:paraId="40F8D069" w14:textId="77777777" w:rsidR="002C0FD9" w:rsidRPr="00CA25CF" w:rsidRDefault="002C0FD9" w:rsidP="00CA25CF">
            <w:pPr>
              <w:rPr>
                <w:rFonts w:cs="Arial"/>
                <w:color w:val="FF0000"/>
                <w:sz w:val="21"/>
                <w:szCs w:val="21"/>
              </w:rPr>
            </w:pPr>
          </w:p>
        </w:tc>
        <w:tc>
          <w:tcPr>
            <w:tcW w:w="217" w:type="dxa"/>
          </w:tcPr>
          <w:p w14:paraId="24603353" w14:textId="77777777" w:rsidR="002C0FD9" w:rsidRPr="00CA25CF" w:rsidRDefault="002C0FD9" w:rsidP="00CA25CF">
            <w:pPr>
              <w:rPr>
                <w:rFonts w:cs="Arial"/>
                <w:color w:val="FF0000"/>
                <w:sz w:val="21"/>
                <w:szCs w:val="21"/>
              </w:rPr>
            </w:pPr>
          </w:p>
        </w:tc>
        <w:tc>
          <w:tcPr>
            <w:tcW w:w="217" w:type="dxa"/>
          </w:tcPr>
          <w:p w14:paraId="199DAF34" w14:textId="77777777" w:rsidR="002C0FD9" w:rsidRPr="00CA25CF" w:rsidRDefault="002C0FD9" w:rsidP="00CA25CF">
            <w:pPr>
              <w:rPr>
                <w:rFonts w:cs="Arial"/>
                <w:color w:val="FF0000"/>
                <w:sz w:val="21"/>
                <w:szCs w:val="21"/>
              </w:rPr>
            </w:pPr>
          </w:p>
        </w:tc>
        <w:tc>
          <w:tcPr>
            <w:tcW w:w="217" w:type="dxa"/>
          </w:tcPr>
          <w:p w14:paraId="51570C45" w14:textId="77777777" w:rsidR="002C0FD9" w:rsidRPr="00CA25CF" w:rsidRDefault="002C0FD9" w:rsidP="00CA25CF">
            <w:pPr>
              <w:rPr>
                <w:rFonts w:cs="Arial"/>
                <w:color w:val="FF0000"/>
                <w:sz w:val="21"/>
                <w:szCs w:val="21"/>
              </w:rPr>
            </w:pPr>
          </w:p>
        </w:tc>
        <w:tc>
          <w:tcPr>
            <w:tcW w:w="217" w:type="dxa"/>
          </w:tcPr>
          <w:p w14:paraId="137E9D9E" w14:textId="77777777" w:rsidR="002C0FD9" w:rsidRPr="00CA25CF" w:rsidRDefault="002C0FD9" w:rsidP="00CA25CF">
            <w:pPr>
              <w:rPr>
                <w:rFonts w:cs="Arial"/>
                <w:color w:val="FF0000"/>
                <w:sz w:val="21"/>
                <w:szCs w:val="21"/>
              </w:rPr>
            </w:pPr>
          </w:p>
        </w:tc>
        <w:tc>
          <w:tcPr>
            <w:tcW w:w="217" w:type="dxa"/>
          </w:tcPr>
          <w:p w14:paraId="7B71751C" w14:textId="77777777" w:rsidR="002C0FD9" w:rsidRPr="00CA25CF" w:rsidRDefault="002C0FD9" w:rsidP="00CA25CF">
            <w:pPr>
              <w:rPr>
                <w:rFonts w:cs="Arial"/>
                <w:color w:val="FF0000"/>
                <w:sz w:val="21"/>
                <w:szCs w:val="21"/>
              </w:rPr>
            </w:pPr>
          </w:p>
        </w:tc>
        <w:tc>
          <w:tcPr>
            <w:tcW w:w="217" w:type="dxa"/>
          </w:tcPr>
          <w:p w14:paraId="4AA6B4A6" w14:textId="77777777" w:rsidR="002C0FD9" w:rsidRPr="00CA25CF" w:rsidRDefault="002C0FD9" w:rsidP="00CA25CF">
            <w:pPr>
              <w:rPr>
                <w:rFonts w:cs="Arial"/>
                <w:color w:val="FF0000"/>
                <w:sz w:val="21"/>
                <w:szCs w:val="21"/>
              </w:rPr>
            </w:pPr>
          </w:p>
        </w:tc>
        <w:tc>
          <w:tcPr>
            <w:tcW w:w="217" w:type="dxa"/>
          </w:tcPr>
          <w:p w14:paraId="786D1958" w14:textId="77777777" w:rsidR="002C0FD9" w:rsidRPr="00CA25CF" w:rsidRDefault="002C0FD9" w:rsidP="00CA25CF">
            <w:pPr>
              <w:rPr>
                <w:rFonts w:cs="Arial"/>
                <w:color w:val="FF0000"/>
                <w:sz w:val="21"/>
                <w:szCs w:val="21"/>
              </w:rPr>
            </w:pPr>
          </w:p>
        </w:tc>
        <w:tc>
          <w:tcPr>
            <w:tcW w:w="217" w:type="dxa"/>
          </w:tcPr>
          <w:p w14:paraId="0C724B65" w14:textId="77777777" w:rsidR="002C0FD9" w:rsidRPr="00CA25CF" w:rsidRDefault="002C0FD9" w:rsidP="00CA25CF">
            <w:pPr>
              <w:rPr>
                <w:rFonts w:cs="Arial"/>
                <w:color w:val="FF0000"/>
                <w:sz w:val="21"/>
                <w:szCs w:val="21"/>
              </w:rPr>
            </w:pPr>
          </w:p>
        </w:tc>
        <w:tc>
          <w:tcPr>
            <w:tcW w:w="217" w:type="dxa"/>
          </w:tcPr>
          <w:p w14:paraId="17C30FED" w14:textId="77777777" w:rsidR="002C0FD9" w:rsidRPr="00CA25CF" w:rsidRDefault="002C0FD9" w:rsidP="00CA25CF">
            <w:pPr>
              <w:rPr>
                <w:rFonts w:cs="Arial"/>
                <w:color w:val="FF0000"/>
                <w:sz w:val="21"/>
                <w:szCs w:val="21"/>
              </w:rPr>
            </w:pPr>
          </w:p>
        </w:tc>
        <w:tc>
          <w:tcPr>
            <w:tcW w:w="217" w:type="dxa"/>
          </w:tcPr>
          <w:p w14:paraId="3146AD59" w14:textId="77777777" w:rsidR="002C0FD9" w:rsidRPr="00CA25CF" w:rsidRDefault="002C0FD9" w:rsidP="00CA25CF">
            <w:pPr>
              <w:rPr>
                <w:rFonts w:cs="Arial"/>
                <w:color w:val="FF0000"/>
                <w:sz w:val="21"/>
                <w:szCs w:val="21"/>
              </w:rPr>
            </w:pPr>
          </w:p>
        </w:tc>
        <w:tc>
          <w:tcPr>
            <w:tcW w:w="217" w:type="dxa"/>
          </w:tcPr>
          <w:p w14:paraId="7F74F649" w14:textId="77777777" w:rsidR="002C0FD9" w:rsidRPr="00CA25CF" w:rsidRDefault="002C0FD9" w:rsidP="00CA25CF">
            <w:pPr>
              <w:rPr>
                <w:rFonts w:cs="Arial"/>
                <w:color w:val="FF0000"/>
                <w:sz w:val="21"/>
                <w:szCs w:val="21"/>
              </w:rPr>
            </w:pPr>
          </w:p>
        </w:tc>
        <w:tc>
          <w:tcPr>
            <w:tcW w:w="217" w:type="dxa"/>
          </w:tcPr>
          <w:p w14:paraId="45194F3F" w14:textId="77777777" w:rsidR="002C0FD9" w:rsidRPr="00CA25CF" w:rsidRDefault="002C0FD9" w:rsidP="00CA25CF">
            <w:pPr>
              <w:rPr>
                <w:rFonts w:cs="Arial"/>
                <w:color w:val="FF0000"/>
                <w:sz w:val="21"/>
                <w:szCs w:val="21"/>
              </w:rPr>
            </w:pPr>
          </w:p>
        </w:tc>
        <w:tc>
          <w:tcPr>
            <w:tcW w:w="217" w:type="dxa"/>
          </w:tcPr>
          <w:p w14:paraId="7701FFF8" w14:textId="77777777" w:rsidR="002C0FD9" w:rsidRPr="00CA25CF" w:rsidRDefault="002C0FD9" w:rsidP="00CA25CF">
            <w:pPr>
              <w:rPr>
                <w:rFonts w:cs="Arial"/>
                <w:color w:val="FF0000"/>
                <w:sz w:val="21"/>
                <w:szCs w:val="21"/>
              </w:rPr>
            </w:pPr>
          </w:p>
        </w:tc>
      </w:tr>
      <w:tr w:rsidR="002C0FD9" w:rsidRPr="00A16219" w14:paraId="64618C50" w14:textId="72AFE650" w:rsidTr="002C0FD9">
        <w:trPr>
          <w:trHeight w:val="635"/>
        </w:trPr>
        <w:tc>
          <w:tcPr>
            <w:tcW w:w="515" w:type="dxa"/>
          </w:tcPr>
          <w:p w14:paraId="50718BA8" w14:textId="77777777" w:rsidR="002C0FD9" w:rsidRPr="00CA25CF" w:rsidRDefault="002C0FD9" w:rsidP="00CA25CF">
            <w:pPr>
              <w:rPr>
                <w:rFonts w:cs="Arial"/>
                <w:color w:val="FF0000"/>
                <w:sz w:val="21"/>
                <w:szCs w:val="21"/>
              </w:rPr>
            </w:pPr>
          </w:p>
        </w:tc>
        <w:tc>
          <w:tcPr>
            <w:tcW w:w="217" w:type="dxa"/>
          </w:tcPr>
          <w:p w14:paraId="7E2BEC9C" w14:textId="77777777" w:rsidR="002C0FD9" w:rsidRPr="00CA25CF" w:rsidRDefault="002C0FD9" w:rsidP="00CA25CF">
            <w:pPr>
              <w:rPr>
                <w:rFonts w:cs="Arial"/>
                <w:color w:val="FF0000"/>
                <w:sz w:val="21"/>
                <w:szCs w:val="21"/>
              </w:rPr>
            </w:pPr>
          </w:p>
        </w:tc>
        <w:tc>
          <w:tcPr>
            <w:tcW w:w="217" w:type="dxa"/>
          </w:tcPr>
          <w:p w14:paraId="2F077CE1" w14:textId="48BFB913" w:rsidR="002C0FD9" w:rsidRPr="00CA25CF" w:rsidRDefault="002C0FD9" w:rsidP="00CA25CF">
            <w:pPr>
              <w:rPr>
                <w:rFonts w:cs="Arial"/>
                <w:color w:val="FF0000"/>
                <w:sz w:val="21"/>
                <w:szCs w:val="21"/>
              </w:rPr>
            </w:pPr>
          </w:p>
        </w:tc>
        <w:tc>
          <w:tcPr>
            <w:tcW w:w="217" w:type="dxa"/>
          </w:tcPr>
          <w:p w14:paraId="4D4E9D34" w14:textId="77777777" w:rsidR="002C0FD9" w:rsidRPr="00CA25CF" w:rsidRDefault="002C0FD9" w:rsidP="00CA25CF">
            <w:pPr>
              <w:rPr>
                <w:rFonts w:cs="Arial"/>
                <w:color w:val="FF0000"/>
                <w:sz w:val="21"/>
                <w:szCs w:val="21"/>
              </w:rPr>
            </w:pPr>
          </w:p>
        </w:tc>
        <w:tc>
          <w:tcPr>
            <w:tcW w:w="217" w:type="dxa"/>
          </w:tcPr>
          <w:p w14:paraId="5BF1A915" w14:textId="77777777" w:rsidR="002C0FD9" w:rsidRPr="00CA25CF" w:rsidRDefault="002C0FD9" w:rsidP="00CA25CF">
            <w:pPr>
              <w:rPr>
                <w:rFonts w:cs="Arial"/>
                <w:color w:val="FF0000"/>
                <w:sz w:val="21"/>
                <w:szCs w:val="21"/>
              </w:rPr>
            </w:pPr>
          </w:p>
        </w:tc>
        <w:tc>
          <w:tcPr>
            <w:tcW w:w="217" w:type="dxa"/>
          </w:tcPr>
          <w:p w14:paraId="60F0789F" w14:textId="77777777" w:rsidR="002C0FD9" w:rsidRPr="00CA25CF" w:rsidRDefault="002C0FD9" w:rsidP="00CA25CF">
            <w:pPr>
              <w:rPr>
                <w:rFonts w:cs="Arial"/>
                <w:color w:val="FF0000"/>
                <w:sz w:val="21"/>
                <w:szCs w:val="21"/>
              </w:rPr>
            </w:pPr>
          </w:p>
        </w:tc>
        <w:tc>
          <w:tcPr>
            <w:tcW w:w="217" w:type="dxa"/>
          </w:tcPr>
          <w:p w14:paraId="04505E7B" w14:textId="77777777" w:rsidR="002C0FD9" w:rsidRPr="00CA25CF" w:rsidRDefault="002C0FD9" w:rsidP="00CA25CF">
            <w:pPr>
              <w:rPr>
                <w:rFonts w:cs="Arial"/>
                <w:color w:val="FF0000"/>
                <w:sz w:val="21"/>
                <w:szCs w:val="21"/>
              </w:rPr>
            </w:pPr>
          </w:p>
        </w:tc>
        <w:tc>
          <w:tcPr>
            <w:tcW w:w="217" w:type="dxa"/>
          </w:tcPr>
          <w:p w14:paraId="1A454BAF" w14:textId="77777777" w:rsidR="002C0FD9" w:rsidRPr="00CA25CF" w:rsidRDefault="002C0FD9" w:rsidP="00CA25CF">
            <w:pPr>
              <w:rPr>
                <w:rFonts w:cs="Arial"/>
                <w:color w:val="FF0000"/>
                <w:sz w:val="21"/>
                <w:szCs w:val="21"/>
              </w:rPr>
            </w:pPr>
          </w:p>
        </w:tc>
        <w:tc>
          <w:tcPr>
            <w:tcW w:w="217" w:type="dxa"/>
          </w:tcPr>
          <w:p w14:paraId="6F75387C" w14:textId="77777777" w:rsidR="002C0FD9" w:rsidRPr="00CA25CF" w:rsidRDefault="002C0FD9" w:rsidP="00CA25CF">
            <w:pPr>
              <w:rPr>
                <w:rFonts w:cs="Arial"/>
                <w:color w:val="FF0000"/>
                <w:sz w:val="21"/>
                <w:szCs w:val="21"/>
              </w:rPr>
            </w:pPr>
          </w:p>
        </w:tc>
        <w:tc>
          <w:tcPr>
            <w:tcW w:w="217" w:type="dxa"/>
          </w:tcPr>
          <w:p w14:paraId="7F04EAEC" w14:textId="77777777" w:rsidR="002C0FD9" w:rsidRPr="00CA25CF" w:rsidRDefault="002C0FD9" w:rsidP="00CA25CF">
            <w:pPr>
              <w:rPr>
                <w:rFonts w:cs="Arial"/>
                <w:color w:val="FF0000"/>
                <w:sz w:val="21"/>
                <w:szCs w:val="21"/>
              </w:rPr>
            </w:pPr>
          </w:p>
        </w:tc>
        <w:tc>
          <w:tcPr>
            <w:tcW w:w="217" w:type="dxa"/>
          </w:tcPr>
          <w:p w14:paraId="7AB565ED" w14:textId="77777777" w:rsidR="002C0FD9" w:rsidRPr="00CA25CF" w:rsidRDefault="002C0FD9" w:rsidP="00CA25CF">
            <w:pPr>
              <w:rPr>
                <w:rFonts w:cs="Arial"/>
                <w:color w:val="FF0000"/>
                <w:sz w:val="21"/>
                <w:szCs w:val="21"/>
              </w:rPr>
            </w:pPr>
          </w:p>
        </w:tc>
        <w:tc>
          <w:tcPr>
            <w:tcW w:w="217" w:type="dxa"/>
          </w:tcPr>
          <w:p w14:paraId="1C144197" w14:textId="77777777" w:rsidR="002C0FD9" w:rsidRPr="00CA25CF" w:rsidRDefault="002C0FD9" w:rsidP="00CA25CF">
            <w:pPr>
              <w:rPr>
                <w:rFonts w:cs="Arial"/>
                <w:color w:val="FF0000"/>
                <w:sz w:val="21"/>
                <w:szCs w:val="21"/>
              </w:rPr>
            </w:pPr>
          </w:p>
        </w:tc>
        <w:tc>
          <w:tcPr>
            <w:tcW w:w="217" w:type="dxa"/>
          </w:tcPr>
          <w:p w14:paraId="50250782" w14:textId="77777777" w:rsidR="002C0FD9" w:rsidRPr="00CA25CF" w:rsidRDefault="002C0FD9" w:rsidP="00CA25CF">
            <w:pPr>
              <w:rPr>
                <w:rFonts w:cs="Arial"/>
                <w:color w:val="FF0000"/>
                <w:sz w:val="21"/>
                <w:szCs w:val="21"/>
              </w:rPr>
            </w:pPr>
          </w:p>
        </w:tc>
        <w:tc>
          <w:tcPr>
            <w:tcW w:w="217" w:type="dxa"/>
          </w:tcPr>
          <w:p w14:paraId="379DF545" w14:textId="77777777" w:rsidR="002C0FD9" w:rsidRPr="00CA25CF" w:rsidRDefault="002C0FD9" w:rsidP="00CA25CF">
            <w:pPr>
              <w:rPr>
                <w:rFonts w:cs="Arial"/>
                <w:color w:val="FF0000"/>
                <w:sz w:val="21"/>
                <w:szCs w:val="21"/>
              </w:rPr>
            </w:pPr>
          </w:p>
        </w:tc>
        <w:tc>
          <w:tcPr>
            <w:tcW w:w="217" w:type="dxa"/>
          </w:tcPr>
          <w:p w14:paraId="41D73940" w14:textId="77777777" w:rsidR="002C0FD9" w:rsidRPr="00CA25CF" w:rsidRDefault="002C0FD9" w:rsidP="00CA25CF">
            <w:pPr>
              <w:rPr>
                <w:rFonts w:cs="Arial"/>
                <w:color w:val="FF0000"/>
                <w:sz w:val="21"/>
                <w:szCs w:val="21"/>
              </w:rPr>
            </w:pPr>
          </w:p>
        </w:tc>
        <w:tc>
          <w:tcPr>
            <w:tcW w:w="217" w:type="dxa"/>
          </w:tcPr>
          <w:p w14:paraId="78BC1647" w14:textId="77777777" w:rsidR="002C0FD9" w:rsidRPr="00CA25CF" w:rsidRDefault="002C0FD9" w:rsidP="00CA25CF">
            <w:pPr>
              <w:rPr>
                <w:rFonts w:cs="Arial"/>
                <w:color w:val="FF0000"/>
                <w:sz w:val="21"/>
                <w:szCs w:val="21"/>
              </w:rPr>
            </w:pPr>
          </w:p>
        </w:tc>
        <w:tc>
          <w:tcPr>
            <w:tcW w:w="217" w:type="dxa"/>
          </w:tcPr>
          <w:p w14:paraId="62AF8D50" w14:textId="77777777" w:rsidR="002C0FD9" w:rsidRPr="00CA25CF" w:rsidRDefault="002C0FD9" w:rsidP="00CA25CF">
            <w:pPr>
              <w:rPr>
                <w:rFonts w:cs="Arial"/>
                <w:color w:val="FF0000"/>
                <w:sz w:val="21"/>
                <w:szCs w:val="21"/>
              </w:rPr>
            </w:pPr>
          </w:p>
        </w:tc>
        <w:tc>
          <w:tcPr>
            <w:tcW w:w="217" w:type="dxa"/>
          </w:tcPr>
          <w:p w14:paraId="03CD2915" w14:textId="77777777" w:rsidR="002C0FD9" w:rsidRPr="00CA25CF" w:rsidRDefault="002C0FD9" w:rsidP="00CA25CF">
            <w:pPr>
              <w:rPr>
                <w:rFonts w:cs="Arial"/>
                <w:color w:val="FF0000"/>
                <w:sz w:val="21"/>
                <w:szCs w:val="21"/>
              </w:rPr>
            </w:pPr>
          </w:p>
        </w:tc>
        <w:tc>
          <w:tcPr>
            <w:tcW w:w="217" w:type="dxa"/>
          </w:tcPr>
          <w:p w14:paraId="70ADB722" w14:textId="77777777" w:rsidR="002C0FD9" w:rsidRPr="00CA25CF" w:rsidRDefault="002C0FD9" w:rsidP="00CA25CF">
            <w:pPr>
              <w:rPr>
                <w:rFonts w:cs="Arial"/>
                <w:color w:val="FF0000"/>
                <w:sz w:val="21"/>
                <w:szCs w:val="21"/>
              </w:rPr>
            </w:pPr>
          </w:p>
        </w:tc>
        <w:tc>
          <w:tcPr>
            <w:tcW w:w="217" w:type="dxa"/>
          </w:tcPr>
          <w:p w14:paraId="53578F82" w14:textId="77777777" w:rsidR="002C0FD9" w:rsidRPr="00CA25CF" w:rsidRDefault="002C0FD9" w:rsidP="00CA25CF">
            <w:pPr>
              <w:rPr>
                <w:rFonts w:cs="Arial"/>
                <w:color w:val="FF0000"/>
                <w:sz w:val="21"/>
                <w:szCs w:val="21"/>
              </w:rPr>
            </w:pPr>
          </w:p>
        </w:tc>
        <w:tc>
          <w:tcPr>
            <w:tcW w:w="217" w:type="dxa"/>
          </w:tcPr>
          <w:p w14:paraId="61294751" w14:textId="77777777" w:rsidR="002C0FD9" w:rsidRPr="00CA25CF" w:rsidRDefault="002C0FD9" w:rsidP="00CA25CF">
            <w:pPr>
              <w:rPr>
                <w:rFonts w:cs="Arial"/>
                <w:color w:val="FF0000"/>
                <w:sz w:val="21"/>
                <w:szCs w:val="21"/>
              </w:rPr>
            </w:pPr>
          </w:p>
        </w:tc>
        <w:tc>
          <w:tcPr>
            <w:tcW w:w="217" w:type="dxa"/>
          </w:tcPr>
          <w:p w14:paraId="07A1C725" w14:textId="77777777" w:rsidR="002C0FD9" w:rsidRPr="00CA25CF" w:rsidRDefault="002C0FD9" w:rsidP="00CA25CF">
            <w:pPr>
              <w:rPr>
                <w:rFonts w:cs="Arial"/>
                <w:color w:val="FF0000"/>
                <w:sz w:val="21"/>
                <w:szCs w:val="21"/>
              </w:rPr>
            </w:pPr>
          </w:p>
        </w:tc>
        <w:tc>
          <w:tcPr>
            <w:tcW w:w="217" w:type="dxa"/>
          </w:tcPr>
          <w:p w14:paraId="6123869E" w14:textId="77777777" w:rsidR="002C0FD9" w:rsidRPr="00CA25CF" w:rsidRDefault="002C0FD9" w:rsidP="00CA25CF">
            <w:pPr>
              <w:rPr>
                <w:rFonts w:cs="Arial"/>
                <w:color w:val="FF0000"/>
                <w:sz w:val="21"/>
                <w:szCs w:val="21"/>
              </w:rPr>
            </w:pPr>
          </w:p>
        </w:tc>
        <w:tc>
          <w:tcPr>
            <w:tcW w:w="217" w:type="dxa"/>
          </w:tcPr>
          <w:p w14:paraId="2AF04978" w14:textId="77777777" w:rsidR="002C0FD9" w:rsidRPr="00CA25CF" w:rsidRDefault="002C0FD9" w:rsidP="00CA25CF">
            <w:pPr>
              <w:rPr>
                <w:rFonts w:cs="Arial"/>
                <w:color w:val="FF0000"/>
                <w:sz w:val="21"/>
                <w:szCs w:val="21"/>
              </w:rPr>
            </w:pPr>
          </w:p>
        </w:tc>
        <w:tc>
          <w:tcPr>
            <w:tcW w:w="217" w:type="dxa"/>
          </w:tcPr>
          <w:p w14:paraId="5F3F53EA" w14:textId="77777777" w:rsidR="002C0FD9" w:rsidRPr="00CA25CF" w:rsidRDefault="002C0FD9" w:rsidP="00CA25CF">
            <w:pPr>
              <w:rPr>
                <w:rFonts w:cs="Arial"/>
                <w:color w:val="FF0000"/>
                <w:sz w:val="21"/>
                <w:szCs w:val="21"/>
              </w:rPr>
            </w:pPr>
          </w:p>
        </w:tc>
        <w:tc>
          <w:tcPr>
            <w:tcW w:w="217" w:type="dxa"/>
          </w:tcPr>
          <w:p w14:paraId="1B831140" w14:textId="77777777" w:rsidR="002C0FD9" w:rsidRPr="00CA25CF" w:rsidRDefault="002C0FD9" w:rsidP="00CA25CF">
            <w:pPr>
              <w:rPr>
                <w:rFonts w:cs="Arial"/>
                <w:color w:val="FF0000"/>
                <w:sz w:val="21"/>
                <w:szCs w:val="21"/>
              </w:rPr>
            </w:pPr>
          </w:p>
        </w:tc>
        <w:tc>
          <w:tcPr>
            <w:tcW w:w="217" w:type="dxa"/>
          </w:tcPr>
          <w:p w14:paraId="0E39848B" w14:textId="77777777" w:rsidR="002C0FD9" w:rsidRPr="00CA25CF" w:rsidRDefault="002C0FD9" w:rsidP="00CA25CF">
            <w:pPr>
              <w:rPr>
                <w:rFonts w:cs="Arial"/>
                <w:color w:val="FF0000"/>
                <w:sz w:val="21"/>
                <w:szCs w:val="21"/>
              </w:rPr>
            </w:pPr>
          </w:p>
        </w:tc>
        <w:tc>
          <w:tcPr>
            <w:tcW w:w="217" w:type="dxa"/>
          </w:tcPr>
          <w:p w14:paraId="4F9E7620" w14:textId="77777777" w:rsidR="002C0FD9" w:rsidRPr="00CA25CF" w:rsidRDefault="002C0FD9" w:rsidP="00CA25CF">
            <w:pPr>
              <w:rPr>
                <w:rFonts w:cs="Arial"/>
                <w:color w:val="FF0000"/>
                <w:sz w:val="21"/>
                <w:szCs w:val="21"/>
              </w:rPr>
            </w:pPr>
          </w:p>
        </w:tc>
        <w:tc>
          <w:tcPr>
            <w:tcW w:w="217" w:type="dxa"/>
          </w:tcPr>
          <w:p w14:paraId="0D269B38" w14:textId="77777777" w:rsidR="002C0FD9" w:rsidRPr="00CA25CF" w:rsidRDefault="002C0FD9" w:rsidP="00CA25CF">
            <w:pPr>
              <w:rPr>
                <w:rFonts w:cs="Arial"/>
                <w:color w:val="FF0000"/>
                <w:sz w:val="21"/>
                <w:szCs w:val="21"/>
              </w:rPr>
            </w:pPr>
          </w:p>
        </w:tc>
        <w:tc>
          <w:tcPr>
            <w:tcW w:w="217" w:type="dxa"/>
          </w:tcPr>
          <w:p w14:paraId="1D1D74E9" w14:textId="77777777" w:rsidR="002C0FD9" w:rsidRPr="00CA25CF" w:rsidRDefault="002C0FD9" w:rsidP="00CA25CF">
            <w:pPr>
              <w:rPr>
                <w:rFonts w:cs="Arial"/>
                <w:color w:val="FF0000"/>
                <w:sz w:val="21"/>
                <w:szCs w:val="21"/>
              </w:rPr>
            </w:pPr>
          </w:p>
        </w:tc>
        <w:tc>
          <w:tcPr>
            <w:tcW w:w="217" w:type="dxa"/>
          </w:tcPr>
          <w:p w14:paraId="0E1ABFA7" w14:textId="77777777" w:rsidR="002C0FD9" w:rsidRPr="00CA25CF" w:rsidRDefault="002C0FD9" w:rsidP="00CA25CF">
            <w:pPr>
              <w:rPr>
                <w:rFonts w:cs="Arial"/>
                <w:color w:val="FF0000"/>
                <w:sz w:val="21"/>
                <w:szCs w:val="21"/>
              </w:rPr>
            </w:pPr>
          </w:p>
        </w:tc>
        <w:tc>
          <w:tcPr>
            <w:tcW w:w="217" w:type="dxa"/>
          </w:tcPr>
          <w:p w14:paraId="33371534" w14:textId="77777777" w:rsidR="002C0FD9" w:rsidRPr="00CA25CF" w:rsidRDefault="002C0FD9" w:rsidP="00CA25CF">
            <w:pPr>
              <w:rPr>
                <w:rFonts w:cs="Arial"/>
                <w:color w:val="FF0000"/>
                <w:sz w:val="21"/>
                <w:szCs w:val="21"/>
              </w:rPr>
            </w:pPr>
          </w:p>
        </w:tc>
        <w:tc>
          <w:tcPr>
            <w:tcW w:w="217" w:type="dxa"/>
          </w:tcPr>
          <w:p w14:paraId="633533D2" w14:textId="77777777" w:rsidR="002C0FD9" w:rsidRPr="00CA25CF" w:rsidRDefault="002C0FD9" w:rsidP="00CA25CF">
            <w:pPr>
              <w:rPr>
                <w:rFonts w:cs="Arial"/>
                <w:color w:val="FF0000"/>
                <w:sz w:val="21"/>
                <w:szCs w:val="21"/>
              </w:rPr>
            </w:pPr>
          </w:p>
        </w:tc>
        <w:tc>
          <w:tcPr>
            <w:tcW w:w="217" w:type="dxa"/>
          </w:tcPr>
          <w:p w14:paraId="0B11E785" w14:textId="77777777" w:rsidR="002C0FD9" w:rsidRPr="00CA25CF" w:rsidRDefault="002C0FD9" w:rsidP="00CA25CF">
            <w:pPr>
              <w:rPr>
                <w:rFonts w:cs="Arial"/>
                <w:color w:val="FF0000"/>
                <w:sz w:val="21"/>
                <w:szCs w:val="21"/>
              </w:rPr>
            </w:pPr>
          </w:p>
        </w:tc>
        <w:tc>
          <w:tcPr>
            <w:tcW w:w="217" w:type="dxa"/>
          </w:tcPr>
          <w:p w14:paraId="48EB7FD4" w14:textId="77777777" w:rsidR="002C0FD9" w:rsidRPr="00CA25CF" w:rsidRDefault="002C0FD9" w:rsidP="00CA25CF">
            <w:pPr>
              <w:rPr>
                <w:rFonts w:cs="Arial"/>
                <w:color w:val="FF0000"/>
                <w:sz w:val="21"/>
                <w:szCs w:val="21"/>
              </w:rPr>
            </w:pPr>
          </w:p>
        </w:tc>
        <w:tc>
          <w:tcPr>
            <w:tcW w:w="217" w:type="dxa"/>
          </w:tcPr>
          <w:p w14:paraId="0D93CFCB" w14:textId="77777777" w:rsidR="002C0FD9" w:rsidRPr="00CA25CF" w:rsidRDefault="002C0FD9" w:rsidP="00CA25CF">
            <w:pPr>
              <w:rPr>
                <w:rFonts w:cs="Arial"/>
                <w:color w:val="FF0000"/>
                <w:sz w:val="21"/>
                <w:szCs w:val="21"/>
              </w:rPr>
            </w:pPr>
          </w:p>
        </w:tc>
        <w:tc>
          <w:tcPr>
            <w:tcW w:w="217" w:type="dxa"/>
          </w:tcPr>
          <w:p w14:paraId="7A97682C" w14:textId="77777777" w:rsidR="002C0FD9" w:rsidRPr="00CA25CF" w:rsidRDefault="002C0FD9" w:rsidP="00CA25CF">
            <w:pPr>
              <w:rPr>
                <w:rFonts w:cs="Arial"/>
                <w:color w:val="FF0000"/>
                <w:sz w:val="21"/>
                <w:szCs w:val="21"/>
              </w:rPr>
            </w:pPr>
          </w:p>
        </w:tc>
        <w:tc>
          <w:tcPr>
            <w:tcW w:w="217" w:type="dxa"/>
          </w:tcPr>
          <w:p w14:paraId="1D84607D" w14:textId="77777777" w:rsidR="002C0FD9" w:rsidRPr="00CA25CF" w:rsidRDefault="002C0FD9" w:rsidP="00CA25CF">
            <w:pPr>
              <w:rPr>
                <w:rFonts w:cs="Arial"/>
                <w:color w:val="FF0000"/>
                <w:sz w:val="21"/>
                <w:szCs w:val="21"/>
              </w:rPr>
            </w:pPr>
          </w:p>
        </w:tc>
        <w:tc>
          <w:tcPr>
            <w:tcW w:w="217" w:type="dxa"/>
          </w:tcPr>
          <w:p w14:paraId="7A7662AA" w14:textId="77777777" w:rsidR="002C0FD9" w:rsidRPr="00CA25CF" w:rsidRDefault="002C0FD9" w:rsidP="00CA25CF">
            <w:pPr>
              <w:rPr>
                <w:rFonts w:cs="Arial"/>
                <w:color w:val="FF0000"/>
                <w:sz w:val="21"/>
                <w:szCs w:val="21"/>
              </w:rPr>
            </w:pPr>
          </w:p>
        </w:tc>
        <w:tc>
          <w:tcPr>
            <w:tcW w:w="217" w:type="dxa"/>
          </w:tcPr>
          <w:p w14:paraId="2AB409FF" w14:textId="77777777" w:rsidR="002C0FD9" w:rsidRPr="00CA25CF" w:rsidRDefault="002C0FD9" w:rsidP="00CA25CF">
            <w:pPr>
              <w:rPr>
                <w:rFonts w:cs="Arial"/>
                <w:color w:val="FF0000"/>
                <w:sz w:val="21"/>
                <w:szCs w:val="21"/>
              </w:rPr>
            </w:pPr>
          </w:p>
        </w:tc>
        <w:tc>
          <w:tcPr>
            <w:tcW w:w="217" w:type="dxa"/>
          </w:tcPr>
          <w:p w14:paraId="57F0473D" w14:textId="77777777" w:rsidR="002C0FD9" w:rsidRPr="00CA25CF" w:rsidRDefault="002C0FD9" w:rsidP="00CA25CF">
            <w:pPr>
              <w:rPr>
                <w:rFonts w:cs="Arial"/>
                <w:color w:val="FF0000"/>
                <w:sz w:val="21"/>
                <w:szCs w:val="21"/>
              </w:rPr>
            </w:pPr>
          </w:p>
        </w:tc>
        <w:tc>
          <w:tcPr>
            <w:tcW w:w="217" w:type="dxa"/>
          </w:tcPr>
          <w:p w14:paraId="37E9D391" w14:textId="77777777" w:rsidR="002C0FD9" w:rsidRPr="00CA25CF" w:rsidRDefault="002C0FD9" w:rsidP="00CA25CF">
            <w:pPr>
              <w:rPr>
                <w:rFonts w:cs="Arial"/>
                <w:color w:val="FF0000"/>
                <w:sz w:val="21"/>
                <w:szCs w:val="21"/>
              </w:rPr>
            </w:pPr>
          </w:p>
        </w:tc>
        <w:tc>
          <w:tcPr>
            <w:tcW w:w="217" w:type="dxa"/>
          </w:tcPr>
          <w:p w14:paraId="20662470" w14:textId="77777777" w:rsidR="002C0FD9" w:rsidRPr="00CA25CF" w:rsidRDefault="002C0FD9" w:rsidP="00CA25CF">
            <w:pPr>
              <w:rPr>
                <w:rFonts w:cs="Arial"/>
                <w:color w:val="FF0000"/>
                <w:sz w:val="21"/>
                <w:szCs w:val="21"/>
              </w:rPr>
            </w:pPr>
          </w:p>
        </w:tc>
      </w:tr>
      <w:tr w:rsidR="002C0FD9" w:rsidRPr="00A16219" w14:paraId="740DFB47" w14:textId="1CA706BB" w:rsidTr="002C0FD9">
        <w:trPr>
          <w:trHeight w:val="635"/>
        </w:trPr>
        <w:tc>
          <w:tcPr>
            <w:tcW w:w="515" w:type="dxa"/>
          </w:tcPr>
          <w:p w14:paraId="0D50C9E8" w14:textId="77777777" w:rsidR="002C0FD9" w:rsidRPr="00CA25CF" w:rsidRDefault="002C0FD9" w:rsidP="00CA25CF">
            <w:pPr>
              <w:rPr>
                <w:rFonts w:cs="Arial"/>
                <w:color w:val="FF0000"/>
                <w:sz w:val="21"/>
                <w:szCs w:val="21"/>
              </w:rPr>
            </w:pPr>
          </w:p>
        </w:tc>
        <w:tc>
          <w:tcPr>
            <w:tcW w:w="217" w:type="dxa"/>
          </w:tcPr>
          <w:p w14:paraId="1049EBA4" w14:textId="77777777" w:rsidR="002C0FD9" w:rsidRPr="00CA25CF" w:rsidRDefault="002C0FD9" w:rsidP="00CA25CF">
            <w:pPr>
              <w:rPr>
                <w:rFonts w:cs="Arial"/>
                <w:color w:val="FF0000"/>
                <w:sz w:val="21"/>
                <w:szCs w:val="21"/>
              </w:rPr>
            </w:pPr>
          </w:p>
        </w:tc>
        <w:tc>
          <w:tcPr>
            <w:tcW w:w="217" w:type="dxa"/>
          </w:tcPr>
          <w:p w14:paraId="6F5E91E2" w14:textId="5A126F6F" w:rsidR="002C0FD9" w:rsidRPr="00CA25CF" w:rsidRDefault="002C0FD9" w:rsidP="00CA25CF">
            <w:pPr>
              <w:rPr>
                <w:rFonts w:cs="Arial"/>
                <w:color w:val="FF0000"/>
                <w:sz w:val="21"/>
                <w:szCs w:val="21"/>
              </w:rPr>
            </w:pPr>
          </w:p>
        </w:tc>
        <w:tc>
          <w:tcPr>
            <w:tcW w:w="217" w:type="dxa"/>
          </w:tcPr>
          <w:p w14:paraId="1A0F8BAE" w14:textId="77777777" w:rsidR="002C0FD9" w:rsidRPr="00CA25CF" w:rsidRDefault="002C0FD9" w:rsidP="00CA25CF">
            <w:pPr>
              <w:rPr>
                <w:rFonts w:cs="Arial"/>
                <w:color w:val="FF0000"/>
                <w:sz w:val="21"/>
                <w:szCs w:val="21"/>
              </w:rPr>
            </w:pPr>
          </w:p>
        </w:tc>
        <w:tc>
          <w:tcPr>
            <w:tcW w:w="217" w:type="dxa"/>
          </w:tcPr>
          <w:p w14:paraId="616E605C" w14:textId="77777777" w:rsidR="002C0FD9" w:rsidRPr="00CA25CF" w:rsidRDefault="002C0FD9" w:rsidP="00CA25CF">
            <w:pPr>
              <w:rPr>
                <w:rFonts w:cs="Arial"/>
                <w:color w:val="FF0000"/>
                <w:sz w:val="21"/>
                <w:szCs w:val="21"/>
              </w:rPr>
            </w:pPr>
          </w:p>
        </w:tc>
        <w:tc>
          <w:tcPr>
            <w:tcW w:w="217" w:type="dxa"/>
          </w:tcPr>
          <w:p w14:paraId="62739491" w14:textId="77777777" w:rsidR="002C0FD9" w:rsidRPr="00CA25CF" w:rsidRDefault="002C0FD9" w:rsidP="00CA25CF">
            <w:pPr>
              <w:rPr>
                <w:rFonts w:cs="Arial"/>
                <w:color w:val="FF0000"/>
                <w:sz w:val="21"/>
                <w:szCs w:val="21"/>
              </w:rPr>
            </w:pPr>
          </w:p>
        </w:tc>
        <w:tc>
          <w:tcPr>
            <w:tcW w:w="217" w:type="dxa"/>
          </w:tcPr>
          <w:p w14:paraId="07177524" w14:textId="77777777" w:rsidR="002C0FD9" w:rsidRPr="00CA25CF" w:rsidRDefault="002C0FD9" w:rsidP="00CA25CF">
            <w:pPr>
              <w:rPr>
                <w:rFonts w:cs="Arial"/>
                <w:color w:val="FF0000"/>
                <w:sz w:val="21"/>
                <w:szCs w:val="21"/>
              </w:rPr>
            </w:pPr>
          </w:p>
        </w:tc>
        <w:tc>
          <w:tcPr>
            <w:tcW w:w="217" w:type="dxa"/>
          </w:tcPr>
          <w:p w14:paraId="29F5A039" w14:textId="77777777" w:rsidR="002C0FD9" w:rsidRPr="00CA25CF" w:rsidRDefault="002C0FD9" w:rsidP="00CA25CF">
            <w:pPr>
              <w:rPr>
                <w:rFonts w:cs="Arial"/>
                <w:color w:val="FF0000"/>
                <w:sz w:val="21"/>
                <w:szCs w:val="21"/>
              </w:rPr>
            </w:pPr>
          </w:p>
        </w:tc>
        <w:tc>
          <w:tcPr>
            <w:tcW w:w="217" w:type="dxa"/>
          </w:tcPr>
          <w:p w14:paraId="4F1082BF" w14:textId="77777777" w:rsidR="002C0FD9" w:rsidRPr="00CA25CF" w:rsidRDefault="002C0FD9" w:rsidP="00CA25CF">
            <w:pPr>
              <w:rPr>
                <w:rFonts w:cs="Arial"/>
                <w:color w:val="FF0000"/>
                <w:sz w:val="21"/>
                <w:szCs w:val="21"/>
              </w:rPr>
            </w:pPr>
          </w:p>
        </w:tc>
        <w:tc>
          <w:tcPr>
            <w:tcW w:w="217" w:type="dxa"/>
          </w:tcPr>
          <w:p w14:paraId="4774C3A3" w14:textId="77777777" w:rsidR="002C0FD9" w:rsidRPr="00CA25CF" w:rsidRDefault="002C0FD9" w:rsidP="00CA25CF">
            <w:pPr>
              <w:rPr>
                <w:rFonts w:cs="Arial"/>
                <w:color w:val="FF0000"/>
                <w:sz w:val="21"/>
                <w:szCs w:val="21"/>
              </w:rPr>
            </w:pPr>
          </w:p>
        </w:tc>
        <w:tc>
          <w:tcPr>
            <w:tcW w:w="217" w:type="dxa"/>
          </w:tcPr>
          <w:p w14:paraId="65820D6B" w14:textId="77777777" w:rsidR="002C0FD9" w:rsidRPr="00CA25CF" w:rsidRDefault="002C0FD9" w:rsidP="00CA25CF">
            <w:pPr>
              <w:rPr>
                <w:rFonts w:cs="Arial"/>
                <w:color w:val="FF0000"/>
                <w:sz w:val="21"/>
                <w:szCs w:val="21"/>
              </w:rPr>
            </w:pPr>
          </w:p>
        </w:tc>
        <w:tc>
          <w:tcPr>
            <w:tcW w:w="217" w:type="dxa"/>
          </w:tcPr>
          <w:p w14:paraId="4949AD78" w14:textId="77777777" w:rsidR="002C0FD9" w:rsidRPr="00CA25CF" w:rsidRDefault="002C0FD9" w:rsidP="00CA25CF">
            <w:pPr>
              <w:rPr>
                <w:rFonts w:cs="Arial"/>
                <w:color w:val="FF0000"/>
                <w:sz w:val="21"/>
                <w:szCs w:val="21"/>
              </w:rPr>
            </w:pPr>
          </w:p>
        </w:tc>
        <w:tc>
          <w:tcPr>
            <w:tcW w:w="217" w:type="dxa"/>
          </w:tcPr>
          <w:p w14:paraId="2A90A824" w14:textId="77777777" w:rsidR="002C0FD9" w:rsidRPr="00CA25CF" w:rsidRDefault="002C0FD9" w:rsidP="00CA25CF">
            <w:pPr>
              <w:rPr>
                <w:rFonts w:cs="Arial"/>
                <w:color w:val="FF0000"/>
                <w:sz w:val="21"/>
                <w:szCs w:val="21"/>
              </w:rPr>
            </w:pPr>
          </w:p>
        </w:tc>
        <w:tc>
          <w:tcPr>
            <w:tcW w:w="217" w:type="dxa"/>
          </w:tcPr>
          <w:p w14:paraId="0A8F34DD" w14:textId="77777777" w:rsidR="002C0FD9" w:rsidRPr="00CA25CF" w:rsidRDefault="002C0FD9" w:rsidP="00CA25CF">
            <w:pPr>
              <w:rPr>
                <w:rFonts w:cs="Arial"/>
                <w:color w:val="FF0000"/>
                <w:sz w:val="21"/>
                <w:szCs w:val="21"/>
              </w:rPr>
            </w:pPr>
          </w:p>
        </w:tc>
        <w:tc>
          <w:tcPr>
            <w:tcW w:w="217" w:type="dxa"/>
          </w:tcPr>
          <w:p w14:paraId="32EBB636" w14:textId="77777777" w:rsidR="002C0FD9" w:rsidRPr="00CA25CF" w:rsidRDefault="002C0FD9" w:rsidP="00CA25CF">
            <w:pPr>
              <w:rPr>
                <w:rFonts w:cs="Arial"/>
                <w:color w:val="FF0000"/>
                <w:sz w:val="21"/>
                <w:szCs w:val="21"/>
              </w:rPr>
            </w:pPr>
          </w:p>
        </w:tc>
        <w:tc>
          <w:tcPr>
            <w:tcW w:w="217" w:type="dxa"/>
          </w:tcPr>
          <w:p w14:paraId="17BA0ABD" w14:textId="77777777" w:rsidR="002C0FD9" w:rsidRPr="00CA25CF" w:rsidRDefault="002C0FD9" w:rsidP="00CA25CF">
            <w:pPr>
              <w:rPr>
                <w:rFonts w:cs="Arial"/>
                <w:color w:val="FF0000"/>
                <w:sz w:val="21"/>
                <w:szCs w:val="21"/>
              </w:rPr>
            </w:pPr>
          </w:p>
        </w:tc>
        <w:tc>
          <w:tcPr>
            <w:tcW w:w="217" w:type="dxa"/>
          </w:tcPr>
          <w:p w14:paraId="573AB552" w14:textId="77777777" w:rsidR="002C0FD9" w:rsidRPr="00CA25CF" w:rsidRDefault="002C0FD9" w:rsidP="00CA25CF">
            <w:pPr>
              <w:rPr>
                <w:rFonts w:cs="Arial"/>
                <w:color w:val="FF0000"/>
                <w:sz w:val="21"/>
                <w:szCs w:val="21"/>
              </w:rPr>
            </w:pPr>
          </w:p>
        </w:tc>
        <w:tc>
          <w:tcPr>
            <w:tcW w:w="217" w:type="dxa"/>
          </w:tcPr>
          <w:p w14:paraId="024B01A1" w14:textId="77777777" w:rsidR="002C0FD9" w:rsidRPr="00CA25CF" w:rsidRDefault="002C0FD9" w:rsidP="00CA25CF">
            <w:pPr>
              <w:rPr>
                <w:rFonts w:cs="Arial"/>
                <w:color w:val="FF0000"/>
                <w:sz w:val="21"/>
                <w:szCs w:val="21"/>
              </w:rPr>
            </w:pPr>
          </w:p>
        </w:tc>
        <w:tc>
          <w:tcPr>
            <w:tcW w:w="217" w:type="dxa"/>
          </w:tcPr>
          <w:p w14:paraId="128A341D" w14:textId="77777777" w:rsidR="002C0FD9" w:rsidRPr="00CA25CF" w:rsidRDefault="002C0FD9" w:rsidP="00CA25CF">
            <w:pPr>
              <w:rPr>
                <w:rFonts w:cs="Arial"/>
                <w:color w:val="FF0000"/>
                <w:sz w:val="21"/>
                <w:szCs w:val="21"/>
              </w:rPr>
            </w:pPr>
          </w:p>
        </w:tc>
        <w:tc>
          <w:tcPr>
            <w:tcW w:w="217" w:type="dxa"/>
          </w:tcPr>
          <w:p w14:paraId="5AFDFFF9" w14:textId="77777777" w:rsidR="002C0FD9" w:rsidRPr="00CA25CF" w:rsidRDefault="002C0FD9" w:rsidP="00CA25CF">
            <w:pPr>
              <w:rPr>
                <w:rFonts w:cs="Arial"/>
                <w:color w:val="FF0000"/>
                <w:sz w:val="21"/>
                <w:szCs w:val="21"/>
              </w:rPr>
            </w:pPr>
          </w:p>
        </w:tc>
        <w:tc>
          <w:tcPr>
            <w:tcW w:w="217" w:type="dxa"/>
          </w:tcPr>
          <w:p w14:paraId="5D51D037" w14:textId="77777777" w:rsidR="002C0FD9" w:rsidRPr="00CA25CF" w:rsidRDefault="002C0FD9" w:rsidP="00CA25CF">
            <w:pPr>
              <w:rPr>
                <w:rFonts w:cs="Arial"/>
                <w:color w:val="FF0000"/>
                <w:sz w:val="21"/>
                <w:szCs w:val="21"/>
              </w:rPr>
            </w:pPr>
          </w:p>
        </w:tc>
        <w:tc>
          <w:tcPr>
            <w:tcW w:w="217" w:type="dxa"/>
          </w:tcPr>
          <w:p w14:paraId="26ADC93D" w14:textId="77777777" w:rsidR="002C0FD9" w:rsidRPr="00CA25CF" w:rsidRDefault="002C0FD9" w:rsidP="00CA25CF">
            <w:pPr>
              <w:rPr>
                <w:rFonts w:cs="Arial"/>
                <w:color w:val="FF0000"/>
                <w:sz w:val="21"/>
                <w:szCs w:val="21"/>
              </w:rPr>
            </w:pPr>
          </w:p>
        </w:tc>
        <w:tc>
          <w:tcPr>
            <w:tcW w:w="217" w:type="dxa"/>
          </w:tcPr>
          <w:p w14:paraId="4EB9E3D0" w14:textId="77777777" w:rsidR="002C0FD9" w:rsidRPr="00CA25CF" w:rsidRDefault="002C0FD9" w:rsidP="00CA25CF">
            <w:pPr>
              <w:rPr>
                <w:rFonts w:cs="Arial"/>
                <w:color w:val="FF0000"/>
                <w:sz w:val="21"/>
                <w:szCs w:val="21"/>
              </w:rPr>
            </w:pPr>
          </w:p>
        </w:tc>
        <w:tc>
          <w:tcPr>
            <w:tcW w:w="217" w:type="dxa"/>
          </w:tcPr>
          <w:p w14:paraId="4C657F06" w14:textId="77777777" w:rsidR="002C0FD9" w:rsidRPr="00CA25CF" w:rsidRDefault="002C0FD9" w:rsidP="00CA25CF">
            <w:pPr>
              <w:rPr>
                <w:rFonts w:cs="Arial"/>
                <w:color w:val="FF0000"/>
                <w:sz w:val="21"/>
                <w:szCs w:val="21"/>
              </w:rPr>
            </w:pPr>
          </w:p>
        </w:tc>
        <w:tc>
          <w:tcPr>
            <w:tcW w:w="217" w:type="dxa"/>
          </w:tcPr>
          <w:p w14:paraId="6CC6E890" w14:textId="77777777" w:rsidR="002C0FD9" w:rsidRPr="00CA25CF" w:rsidRDefault="002C0FD9" w:rsidP="00CA25CF">
            <w:pPr>
              <w:rPr>
                <w:rFonts w:cs="Arial"/>
                <w:color w:val="FF0000"/>
                <w:sz w:val="21"/>
                <w:szCs w:val="21"/>
              </w:rPr>
            </w:pPr>
          </w:p>
        </w:tc>
        <w:tc>
          <w:tcPr>
            <w:tcW w:w="217" w:type="dxa"/>
          </w:tcPr>
          <w:p w14:paraId="25D4BEEC" w14:textId="77777777" w:rsidR="002C0FD9" w:rsidRPr="00CA25CF" w:rsidRDefault="002C0FD9" w:rsidP="00CA25CF">
            <w:pPr>
              <w:rPr>
                <w:rFonts w:cs="Arial"/>
                <w:color w:val="FF0000"/>
                <w:sz w:val="21"/>
                <w:szCs w:val="21"/>
              </w:rPr>
            </w:pPr>
          </w:p>
        </w:tc>
        <w:tc>
          <w:tcPr>
            <w:tcW w:w="217" w:type="dxa"/>
          </w:tcPr>
          <w:p w14:paraId="6DAD18B5" w14:textId="77777777" w:rsidR="002C0FD9" w:rsidRPr="00CA25CF" w:rsidRDefault="002C0FD9" w:rsidP="00CA25CF">
            <w:pPr>
              <w:rPr>
                <w:rFonts w:cs="Arial"/>
                <w:color w:val="FF0000"/>
                <w:sz w:val="21"/>
                <w:szCs w:val="21"/>
              </w:rPr>
            </w:pPr>
          </w:p>
        </w:tc>
        <w:tc>
          <w:tcPr>
            <w:tcW w:w="217" w:type="dxa"/>
          </w:tcPr>
          <w:p w14:paraId="2499C1B4" w14:textId="77777777" w:rsidR="002C0FD9" w:rsidRPr="00CA25CF" w:rsidRDefault="002C0FD9" w:rsidP="00CA25CF">
            <w:pPr>
              <w:rPr>
                <w:rFonts w:cs="Arial"/>
                <w:color w:val="FF0000"/>
                <w:sz w:val="21"/>
                <w:szCs w:val="21"/>
              </w:rPr>
            </w:pPr>
          </w:p>
        </w:tc>
        <w:tc>
          <w:tcPr>
            <w:tcW w:w="217" w:type="dxa"/>
          </w:tcPr>
          <w:p w14:paraId="39A8EA16" w14:textId="77777777" w:rsidR="002C0FD9" w:rsidRPr="00CA25CF" w:rsidRDefault="002C0FD9" w:rsidP="00CA25CF">
            <w:pPr>
              <w:rPr>
                <w:rFonts w:cs="Arial"/>
                <w:color w:val="FF0000"/>
                <w:sz w:val="21"/>
                <w:szCs w:val="21"/>
              </w:rPr>
            </w:pPr>
          </w:p>
        </w:tc>
        <w:tc>
          <w:tcPr>
            <w:tcW w:w="217" w:type="dxa"/>
          </w:tcPr>
          <w:p w14:paraId="202923B6" w14:textId="77777777" w:rsidR="002C0FD9" w:rsidRPr="00CA25CF" w:rsidRDefault="002C0FD9" w:rsidP="00CA25CF">
            <w:pPr>
              <w:rPr>
                <w:rFonts w:cs="Arial"/>
                <w:color w:val="FF0000"/>
                <w:sz w:val="21"/>
                <w:szCs w:val="21"/>
              </w:rPr>
            </w:pPr>
          </w:p>
        </w:tc>
        <w:tc>
          <w:tcPr>
            <w:tcW w:w="217" w:type="dxa"/>
          </w:tcPr>
          <w:p w14:paraId="654BCF29" w14:textId="77777777" w:rsidR="002C0FD9" w:rsidRPr="00CA25CF" w:rsidRDefault="002C0FD9" w:rsidP="00CA25CF">
            <w:pPr>
              <w:rPr>
                <w:rFonts w:cs="Arial"/>
                <w:color w:val="FF0000"/>
                <w:sz w:val="21"/>
                <w:szCs w:val="21"/>
              </w:rPr>
            </w:pPr>
          </w:p>
        </w:tc>
        <w:tc>
          <w:tcPr>
            <w:tcW w:w="217" w:type="dxa"/>
          </w:tcPr>
          <w:p w14:paraId="28575421" w14:textId="77777777" w:rsidR="002C0FD9" w:rsidRPr="00CA25CF" w:rsidRDefault="002C0FD9" w:rsidP="00CA25CF">
            <w:pPr>
              <w:rPr>
                <w:rFonts w:cs="Arial"/>
                <w:color w:val="FF0000"/>
                <w:sz w:val="21"/>
                <w:szCs w:val="21"/>
              </w:rPr>
            </w:pPr>
          </w:p>
        </w:tc>
        <w:tc>
          <w:tcPr>
            <w:tcW w:w="217" w:type="dxa"/>
          </w:tcPr>
          <w:p w14:paraId="39432F9C" w14:textId="77777777" w:rsidR="002C0FD9" w:rsidRPr="00CA25CF" w:rsidRDefault="002C0FD9" w:rsidP="00CA25CF">
            <w:pPr>
              <w:rPr>
                <w:rFonts w:cs="Arial"/>
                <w:color w:val="FF0000"/>
                <w:sz w:val="21"/>
                <w:szCs w:val="21"/>
              </w:rPr>
            </w:pPr>
          </w:p>
        </w:tc>
        <w:tc>
          <w:tcPr>
            <w:tcW w:w="217" w:type="dxa"/>
          </w:tcPr>
          <w:p w14:paraId="6186414C" w14:textId="77777777" w:rsidR="002C0FD9" w:rsidRPr="00CA25CF" w:rsidRDefault="002C0FD9" w:rsidP="00CA25CF">
            <w:pPr>
              <w:rPr>
                <w:rFonts w:cs="Arial"/>
                <w:color w:val="FF0000"/>
                <w:sz w:val="21"/>
                <w:szCs w:val="21"/>
              </w:rPr>
            </w:pPr>
          </w:p>
        </w:tc>
        <w:tc>
          <w:tcPr>
            <w:tcW w:w="217" w:type="dxa"/>
          </w:tcPr>
          <w:p w14:paraId="7683E157" w14:textId="77777777" w:rsidR="002C0FD9" w:rsidRPr="00CA25CF" w:rsidRDefault="002C0FD9" w:rsidP="00CA25CF">
            <w:pPr>
              <w:rPr>
                <w:rFonts w:cs="Arial"/>
                <w:color w:val="FF0000"/>
                <w:sz w:val="21"/>
                <w:szCs w:val="21"/>
              </w:rPr>
            </w:pPr>
          </w:p>
        </w:tc>
        <w:tc>
          <w:tcPr>
            <w:tcW w:w="217" w:type="dxa"/>
          </w:tcPr>
          <w:p w14:paraId="3C68B38D" w14:textId="77777777" w:rsidR="002C0FD9" w:rsidRPr="00CA25CF" w:rsidRDefault="002C0FD9" w:rsidP="00CA25CF">
            <w:pPr>
              <w:rPr>
                <w:rFonts w:cs="Arial"/>
                <w:color w:val="FF0000"/>
                <w:sz w:val="21"/>
                <w:szCs w:val="21"/>
              </w:rPr>
            </w:pPr>
          </w:p>
        </w:tc>
        <w:tc>
          <w:tcPr>
            <w:tcW w:w="217" w:type="dxa"/>
          </w:tcPr>
          <w:p w14:paraId="17BD061C" w14:textId="77777777" w:rsidR="002C0FD9" w:rsidRPr="00CA25CF" w:rsidRDefault="002C0FD9" w:rsidP="00CA25CF">
            <w:pPr>
              <w:rPr>
                <w:rFonts w:cs="Arial"/>
                <w:color w:val="FF0000"/>
                <w:sz w:val="21"/>
                <w:szCs w:val="21"/>
              </w:rPr>
            </w:pPr>
          </w:p>
        </w:tc>
        <w:tc>
          <w:tcPr>
            <w:tcW w:w="217" w:type="dxa"/>
          </w:tcPr>
          <w:p w14:paraId="49A02A80" w14:textId="77777777" w:rsidR="002C0FD9" w:rsidRPr="00CA25CF" w:rsidRDefault="002C0FD9" w:rsidP="00CA25CF">
            <w:pPr>
              <w:rPr>
                <w:rFonts w:cs="Arial"/>
                <w:color w:val="FF0000"/>
                <w:sz w:val="21"/>
                <w:szCs w:val="21"/>
              </w:rPr>
            </w:pPr>
          </w:p>
        </w:tc>
        <w:tc>
          <w:tcPr>
            <w:tcW w:w="217" w:type="dxa"/>
          </w:tcPr>
          <w:p w14:paraId="208B5189" w14:textId="77777777" w:rsidR="002C0FD9" w:rsidRPr="00CA25CF" w:rsidRDefault="002C0FD9" w:rsidP="00CA25CF">
            <w:pPr>
              <w:rPr>
                <w:rFonts w:cs="Arial"/>
                <w:color w:val="FF0000"/>
                <w:sz w:val="21"/>
                <w:szCs w:val="21"/>
              </w:rPr>
            </w:pPr>
          </w:p>
        </w:tc>
        <w:tc>
          <w:tcPr>
            <w:tcW w:w="217" w:type="dxa"/>
          </w:tcPr>
          <w:p w14:paraId="1BC3B0DD" w14:textId="77777777" w:rsidR="002C0FD9" w:rsidRPr="00CA25CF" w:rsidRDefault="002C0FD9" w:rsidP="00CA25CF">
            <w:pPr>
              <w:rPr>
                <w:rFonts w:cs="Arial"/>
                <w:color w:val="FF0000"/>
                <w:sz w:val="21"/>
                <w:szCs w:val="21"/>
              </w:rPr>
            </w:pPr>
          </w:p>
        </w:tc>
        <w:tc>
          <w:tcPr>
            <w:tcW w:w="217" w:type="dxa"/>
          </w:tcPr>
          <w:p w14:paraId="3D64DBB0" w14:textId="77777777" w:rsidR="002C0FD9" w:rsidRPr="00CA25CF" w:rsidRDefault="002C0FD9" w:rsidP="00CA25CF">
            <w:pPr>
              <w:rPr>
                <w:rFonts w:cs="Arial"/>
                <w:color w:val="FF0000"/>
                <w:sz w:val="21"/>
                <w:szCs w:val="21"/>
              </w:rPr>
            </w:pPr>
          </w:p>
        </w:tc>
        <w:tc>
          <w:tcPr>
            <w:tcW w:w="217" w:type="dxa"/>
          </w:tcPr>
          <w:p w14:paraId="614CBAC3" w14:textId="77777777" w:rsidR="002C0FD9" w:rsidRPr="00CA25CF" w:rsidRDefault="002C0FD9" w:rsidP="00CA25CF">
            <w:pPr>
              <w:rPr>
                <w:rFonts w:cs="Arial"/>
                <w:color w:val="FF0000"/>
                <w:sz w:val="21"/>
                <w:szCs w:val="21"/>
              </w:rPr>
            </w:pPr>
          </w:p>
        </w:tc>
        <w:tc>
          <w:tcPr>
            <w:tcW w:w="217" w:type="dxa"/>
          </w:tcPr>
          <w:p w14:paraId="57A5C426" w14:textId="77777777" w:rsidR="002C0FD9" w:rsidRPr="00CA25CF" w:rsidRDefault="002C0FD9" w:rsidP="00CA25CF">
            <w:pPr>
              <w:rPr>
                <w:rFonts w:cs="Arial"/>
                <w:color w:val="FF0000"/>
                <w:sz w:val="21"/>
                <w:szCs w:val="21"/>
              </w:rPr>
            </w:pPr>
          </w:p>
        </w:tc>
      </w:tr>
      <w:tr w:rsidR="002C0FD9" w:rsidRPr="00A16219" w14:paraId="4F1820EB" w14:textId="41AEF829" w:rsidTr="002C0FD9">
        <w:trPr>
          <w:trHeight w:val="635"/>
        </w:trPr>
        <w:tc>
          <w:tcPr>
            <w:tcW w:w="515" w:type="dxa"/>
          </w:tcPr>
          <w:p w14:paraId="576DD5FE" w14:textId="77777777" w:rsidR="002C0FD9" w:rsidRPr="00CA25CF" w:rsidRDefault="002C0FD9" w:rsidP="00CA25CF">
            <w:pPr>
              <w:rPr>
                <w:rFonts w:cs="Arial"/>
                <w:color w:val="FF0000"/>
                <w:sz w:val="21"/>
                <w:szCs w:val="21"/>
              </w:rPr>
            </w:pPr>
          </w:p>
        </w:tc>
        <w:tc>
          <w:tcPr>
            <w:tcW w:w="217" w:type="dxa"/>
          </w:tcPr>
          <w:p w14:paraId="5FF2E613" w14:textId="77777777" w:rsidR="002C0FD9" w:rsidRPr="00CA25CF" w:rsidRDefault="002C0FD9" w:rsidP="00CA25CF">
            <w:pPr>
              <w:rPr>
                <w:rFonts w:cs="Arial"/>
                <w:color w:val="FF0000"/>
                <w:sz w:val="21"/>
                <w:szCs w:val="21"/>
              </w:rPr>
            </w:pPr>
          </w:p>
        </w:tc>
        <w:tc>
          <w:tcPr>
            <w:tcW w:w="217" w:type="dxa"/>
          </w:tcPr>
          <w:p w14:paraId="2BB74D36" w14:textId="6E5C248B" w:rsidR="002C0FD9" w:rsidRPr="00CA25CF" w:rsidRDefault="002C0FD9" w:rsidP="00CA25CF">
            <w:pPr>
              <w:rPr>
                <w:rFonts w:cs="Arial"/>
                <w:color w:val="FF0000"/>
                <w:sz w:val="21"/>
                <w:szCs w:val="21"/>
              </w:rPr>
            </w:pPr>
          </w:p>
        </w:tc>
        <w:tc>
          <w:tcPr>
            <w:tcW w:w="217" w:type="dxa"/>
          </w:tcPr>
          <w:p w14:paraId="3219E596" w14:textId="77777777" w:rsidR="002C0FD9" w:rsidRPr="00CA25CF" w:rsidRDefault="002C0FD9" w:rsidP="00CA25CF">
            <w:pPr>
              <w:rPr>
                <w:rFonts w:cs="Arial"/>
                <w:color w:val="FF0000"/>
                <w:sz w:val="21"/>
                <w:szCs w:val="21"/>
              </w:rPr>
            </w:pPr>
          </w:p>
        </w:tc>
        <w:tc>
          <w:tcPr>
            <w:tcW w:w="217" w:type="dxa"/>
          </w:tcPr>
          <w:p w14:paraId="26898495" w14:textId="77777777" w:rsidR="002C0FD9" w:rsidRPr="00CA25CF" w:rsidRDefault="002C0FD9" w:rsidP="00CA25CF">
            <w:pPr>
              <w:rPr>
                <w:rFonts w:cs="Arial"/>
                <w:color w:val="FF0000"/>
                <w:sz w:val="21"/>
                <w:szCs w:val="21"/>
              </w:rPr>
            </w:pPr>
          </w:p>
        </w:tc>
        <w:tc>
          <w:tcPr>
            <w:tcW w:w="217" w:type="dxa"/>
          </w:tcPr>
          <w:p w14:paraId="04B020D9" w14:textId="77777777" w:rsidR="002C0FD9" w:rsidRPr="00CA25CF" w:rsidRDefault="002C0FD9" w:rsidP="00CA25CF">
            <w:pPr>
              <w:rPr>
                <w:rFonts w:cs="Arial"/>
                <w:color w:val="FF0000"/>
                <w:sz w:val="21"/>
                <w:szCs w:val="21"/>
              </w:rPr>
            </w:pPr>
          </w:p>
        </w:tc>
        <w:tc>
          <w:tcPr>
            <w:tcW w:w="217" w:type="dxa"/>
          </w:tcPr>
          <w:p w14:paraId="73E8DAB4" w14:textId="77777777" w:rsidR="002C0FD9" w:rsidRPr="00CA25CF" w:rsidRDefault="002C0FD9" w:rsidP="00CA25CF">
            <w:pPr>
              <w:rPr>
                <w:rFonts w:cs="Arial"/>
                <w:color w:val="FF0000"/>
                <w:sz w:val="21"/>
                <w:szCs w:val="21"/>
              </w:rPr>
            </w:pPr>
          </w:p>
        </w:tc>
        <w:tc>
          <w:tcPr>
            <w:tcW w:w="217" w:type="dxa"/>
          </w:tcPr>
          <w:p w14:paraId="471B1C3C" w14:textId="77777777" w:rsidR="002C0FD9" w:rsidRPr="00CA25CF" w:rsidRDefault="002C0FD9" w:rsidP="00CA25CF">
            <w:pPr>
              <w:rPr>
                <w:rFonts w:cs="Arial"/>
                <w:color w:val="FF0000"/>
                <w:sz w:val="21"/>
                <w:szCs w:val="21"/>
              </w:rPr>
            </w:pPr>
          </w:p>
        </w:tc>
        <w:tc>
          <w:tcPr>
            <w:tcW w:w="217" w:type="dxa"/>
          </w:tcPr>
          <w:p w14:paraId="7616F266" w14:textId="77777777" w:rsidR="002C0FD9" w:rsidRPr="00CA25CF" w:rsidRDefault="002C0FD9" w:rsidP="00CA25CF">
            <w:pPr>
              <w:rPr>
                <w:rFonts w:cs="Arial"/>
                <w:color w:val="FF0000"/>
                <w:sz w:val="21"/>
                <w:szCs w:val="21"/>
              </w:rPr>
            </w:pPr>
          </w:p>
        </w:tc>
        <w:tc>
          <w:tcPr>
            <w:tcW w:w="217" w:type="dxa"/>
          </w:tcPr>
          <w:p w14:paraId="695E33A1" w14:textId="77777777" w:rsidR="002C0FD9" w:rsidRPr="00CA25CF" w:rsidRDefault="002C0FD9" w:rsidP="00CA25CF">
            <w:pPr>
              <w:rPr>
                <w:rFonts w:cs="Arial"/>
                <w:color w:val="FF0000"/>
                <w:sz w:val="21"/>
                <w:szCs w:val="21"/>
              </w:rPr>
            </w:pPr>
          </w:p>
        </w:tc>
        <w:tc>
          <w:tcPr>
            <w:tcW w:w="217" w:type="dxa"/>
          </w:tcPr>
          <w:p w14:paraId="5DEF9C00" w14:textId="77777777" w:rsidR="002C0FD9" w:rsidRPr="00CA25CF" w:rsidRDefault="002C0FD9" w:rsidP="00CA25CF">
            <w:pPr>
              <w:rPr>
                <w:rFonts w:cs="Arial"/>
                <w:color w:val="FF0000"/>
                <w:sz w:val="21"/>
                <w:szCs w:val="21"/>
              </w:rPr>
            </w:pPr>
          </w:p>
        </w:tc>
        <w:tc>
          <w:tcPr>
            <w:tcW w:w="217" w:type="dxa"/>
          </w:tcPr>
          <w:p w14:paraId="4C409726" w14:textId="77777777" w:rsidR="002C0FD9" w:rsidRPr="00CA25CF" w:rsidRDefault="002C0FD9" w:rsidP="00CA25CF">
            <w:pPr>
              <w:rPr>
                <w:rFonts w:cs="Arial"/>
                <w:color w:val="FF0000"/>
                <w:sz w:val="21"/>
                <w:szCs w:val="21"/>
              </w:rPr>
            </w:pPr>
          </w:p>
        </w:tc>
        <w:tc>
          <w:tcPr>
            <w:tcW w:w="217" w:type="dxa"/>
          </w:tcPr>
          <w:p w14:paraId="64F35CE7" w14:textId="77777777" w:rsidR="002C0FD9" w:rsidRPr="00CA25CF" w:rsidRDefault="002C0FD9" w:rsidP="00CA25CF">
            <w:pPr>
              <w:rPr>
                <w:rFonts w:cs="Arial"/>
                <w:color w:val="FF0000"/>
                <w:sz w:val="21"/>
                <w:szCs w:val="21"/>
              </w:rPr>
            </w:pPr>
          </w:p>
        </w:tc>
        <w:tc>
          <w:tcPr>
            <w:tcW w:w="217" w:type="dxa"/>
          </w:tcPr>
          <w:p w14:paraId="673FEA6C" w14:textId="77777777" w:rsidR="002C0FD9" w:rsidRPr="00CA25CF" w:rsidRDefault="002C0FD9" w:rsidP="00CA25CF">
            <w:pPr>
              <w:rPr>
                <w:rFonts w:cs="Arial"/>
                <w:color w:val="FF0000"/>
                <w:sz w:val="21"/>
                <w:szCs w:val="21"/>
              </w:rPr>
            </w:pPr>
          </w:p>
        </w:tc>
        <w:tc>
          <w:tcPr>
            <w:tcW w:w="217" w:type="dxa"/>
          </w:tcPr>
          <w:p w14:paraId="1A112FA4" w14:textId="77777777" w:rsidR="002C0FD9" w:rsidRPr="00CA25CF" w:rsidRDefault="002C0FD9" w:rsidP="00CA25CF">
            <w:pPr>
              <w:rPr>
                <w:rFonts w:cs="Arial"/>
                <w:color w:val="FF0000"/>
                <w:sz w:val="21"/>
                <w:szCs w:val="21"/>
              </w:rPr>
            </w:pPr>
          </w:p>
        </w:tc>
        <w:tc>
          <w:tcPr>
            <w:tcW w:w="217" w:type="dxa"/>
          </w:tcPr>
          <w:p w14:paraId="205D6A77" w14:textId="77777777" w:rsidR="002C0FD9" w:rsidRPr="00CA25CF" w:rsidRDefault="002C0FD9" w:rsidP="00CA25CF">
            <w:pPr>
              <w:rPr>
                <w:rFonts w:cs="Arial"/>
                <w:color w:val="FF0000"/>
                <w:sz w:val="21"/>
                <w:szCs w:val="21"/>
              </w:rPr>
            </w:pPr>
          </w:p>
        </w:tc>
        <w:tc>
          <w:tcPr>
            <w:tcW w:w="217" w:type="dxa"/>
          </w:tcPr>
          <w:p w14:paraId="3ACA2070" w14:textId="77777777" w:rsidR="002C0FD9" w:rsidRPr="00CA25CF" w:rsidRDefault="002C0FD9" w:rsidP="00CA25CF">
            <w:pPr>
              <w:rPr>
                <w:rFonts w:cs="Arial"/>
                <w:color w:val="FF0000"/>
                <w:sz w:val="21"/>
                <w:szCs w:val="21"/>
              </w:rPr>
            </w:pPr>
          </w:p>
        </w:tc>
        <w:tc>
          <w:tcPr>
            <w:tcW w:w="217" w:type="dxa"/>
          </w:tcPr>
          <w:p w14:paraId="774B2DEB" w14:textId="77777777" w:rsidR="002C0FD9" w:rsidRPr="00CA25CF" w:rsidRDefault="002C0FD9" w:rsidP="00CA25CF">
            <w:pPr>
              <w:rPr>
                <w:rFonts w:cs="Arial"/>
                <w:color w:val="FF0000"/>
                <w:sz w:val="21"/>
                <w:szCs w:val="21"/>
              </w:rPr>
            </w:pPr>
          </w:p>
        </w:tc>
        <w:tc>
          <w:tcPr>
            <w:tcW w:w="217" w:type="dxa"/>
          </w:tcPr>
          <w:p w14:paraId="1A2D8A48" w14:textId="77777777" w:rsidR="002C0FD9" w:rsidRPr="00CA25CF" w:rsidRDefault="002C0FD9" w:rsidP="00CA25CF">
            <w:pPr>
              <w:rPr>
                <w:rFonts w:cs="Arial"/>
                <w:color w:val="FF0000"/>
                <w:sz w:val="21"/>
                <w:szCs w:val="21"/>
              </w:rPr>
            </w:pPr>
          </w:p>
        </w:tc>
        <w:tc>
          <w:tcPr>
            <w:tcW w:w="217" w:type="dxa"/>
          </w:tcPr>
          <w:p w14:paraId="601EB403" w14:textId="77777777" w:rsidR="002C0FD9" w:rsidRPr="00CA25CF" w:rsidRDefault="002C0FD9" w:rsidP="00CA25CF">
            <w:pPr>
              <w:rPr>
                <w:rFonts w:cs="Arial"/>
                <w:color w:val="FF0000"/>
                <w:sz w:val="21"/>
                <w:szCs w:val="21"/>
              </w:rPr>
            </w:pPr>
          </w:p>
        </w:tc>
        <w:tc>
          <w:tcPr>
            <w:tcW w:w="217" w:type="dxa"/>
          </w:tcPr>
          <w:p w14:paraId="14ECB85A" w14:textId="77777777" w:rsidR="002C0FD9" w:rsidRPr="00CA25CF" w:rsidRDefault="002C0FD9" w:rsidP="00CA25CF">
            <w:pPr>
              <w:rPr>
                <w:rFonts w:cs="Arial"/>
                <w:color w:val="FF0000"/>
                <w:sz w:val="21"/>
                <w:szCs w:val="21"/>
              </w:rPr>
            </w:pPr>
          </w:p>
        </w:tc>
        <w:tc>
          <w:tcPr>
            <w:tcW w:w="217" w:type="dxa"/>
          </w:tcPr>
          <w:p w14:paraId="5868FF54" w14:textId="77777777" w:rsidR="002C0FD9" w:rsidRPr="00CA25CF" w:rsidRDefault="002C0FD9" w:rsidP="00CA25CF">
            <w:pPr>
              <w:rPr>
                <w:rFonts w:cs="Arial"/>
                <w:color w:val="FF0000"/>
                <w:sz w:val="21"/>
                <w:szCs w:val="21"/>
              </w:rPr>
            </w:pPr>
          </w:p>
        </w:tc>
        <w:tc>
          <w:tcPr>
            <w:tcW w:w="217" w:type="dxa"/>
          </w:tcPr>
          <w:p w14:paraId="707319BA" w14:textId="77777777" w:rsidR="002C0FD9" w:rsidRPr="00CA25CF" w:rsidRDefault="002C0FD9" w:rsidP="00CA25CF">
            <w:pPr>
              <w:rPr>
                <w:rFonts w:cs="Arial"/>
                <w:color w:val="FF0000"/>
                <w:sz w:val="21"/>
                <w:szCs w:val="21"/>
              </w:rPr>
            </w:pPr>
          </w:p>
        </w:tc>
        <w:tc>
          <w:tcPr>
            <w:tcW w:w="217" w:type="dxa"/>
          </w:tcPr>
          <w:p w14:paraId="0AAEF6CD" w14:textId="77777777" w:rsidR="002C0FD9" w:rsidRPr="00CA25CF" w:rsidRDefault="002C0FD9" w:rsidP="00CA25CF">
            <w:pPr>
              <w:rPr>
                <w:rFonts w:cs="Arial"/>
                <w:color w:val="FF0000"/>
                <w:sz w:val="21"/>
                <w:szCs w:val="21"/>
              </w:rPr>
            </w:pPr>
          </w:p>
        </w:tc>
        <w:tc>
          <w:tcPr>
            <w:tcW w:w="217" w:type="dxa"/>
          </w:tcPr>
          <w:p w14:paraId="753EBE1B" w14:textId="77777777" w:rsidR="002C0FD9" w:rsidRPr="00CA25CF" w:rsidRDefault="002C0FD9" w:rsidP="00CA25CF">
            <w:pPr>
              <w:rPr>
                <w:rFonts w:cs="Arial"/>
                <w:color w:val="FF0000"/>
                <w:sz w:val="21"/>
                <w:szCs w:val="21"/>
              </w:rPr>
            </w:pPr>
          </w:p>
        </w:tc>
        <w:tc>
          <w:tcPr>
            <w:tcW w:w="217" w:type="dxa"/>
          </w:tcPr>
          <w:p w14:paraId="03101563" w14:textId="77777777" w:rsidR="002C0FD9" w:rsidRPr="00CA25CF" w:rsidRDefault="002C0FD9" w:rsidP="00CA25CF">
            <w:pPr>
              <w:rPr>
                <w:rFonts w:cs="Arial"/>
                <w:color w:val="FF0000"/>
                <w:sz w:val="21"/>
                <w:szCs w:val="21"/>
              </w:rPr>
            </w:pPr>
          </w:p>
        </w:tc>
        <w:tc>
          <w:tcPr>
            <w:tcW w:w="217" w:type="dxa"/>
          </w:tcPr>
          <w:p w14:paraId="1B1128F2" w14:textId="77777777" w:rsidR="002C0FD9" w:rsidRPr="00CA25CF" w:rsidRDefault="002C0FD9" w:rsidP="00CA25CF">
            <w:pPr>
              <w:rPr>
                <w:rFonts w:cs="Arial"/>
                <w:color w:val="FF0000"/>
                <w:sz w:val="21"/>
                <w:szCs w:val="21"/>
              </w:rPr>
            </w:pPr>
          </w:p>
        </w:tc>
        <w:tc>
          <w:tcPr>
            <w:tcW w:w="217" w:type="dxa"/>
          </w:tcPr>
          <w:p w14:paraId="7C5C854F" w14:textId="77777777" w:rsidR="002C0FD9" w:rsidRPr="00CA25CF" w:rsidRDefault="002C0FD9" w:rsidP="00CA25CF">
            <w:pPr>
              <w:rPr>
                <w:rFonts w:cs="Arial"/>
                <w:color w:val="FF0000"/>
                <w:sz w:val="21"/>
                <w:szCs w:val="21"/>
              </w:rPr>
            </w:pPr>
          </w:p>
        </w:tc>
        <w:tc>
          <w:tcPr>
            <w:tcW w:w="217" w:type="dxa"/>
          </w:tcPr>
          <w:p w14:paraId="04731DCA" w14:textId="77777777" w:rsidR="002C0FD9" w:rsidRPr="00CA25CF" w:rsidRDefault="002C0FD9" w:rsidP="00CA25CF">
            <w:pPr>
              <w:rPr>
                <w:rFonts w:cs="Arial"/>
                <w:color w:val="FF0000"/>
                <w:sz w:val="21"/>
                <w:szCs w:val="21"/>
              </w:rPr>
            </w:pPr>
          </w:p>
        </w:tc>
        <w:tc>
          <w:tcPr>
            <w:tcW w:w="217" w:type="dxa"/>
          </w:tcPr>
          <w:p w14:paraId="4F4A8C0C" w14:textId="77777777" w:rsidR="002C0FD9" w:rsidRPr="00CA25CF" w:rsidRDefault="002C0FD9" w:rsidP="00CA25CF">
            <w:pPr>
              <w:rPr>
                <w:rFonts w:cs="Arial"/>
                <w:color w:val="FF0000"/>
                <w:sz w:val="21"/>
                <w:szCs w:val="21"/>
              </w:rPr>
            </w:pPr>
          </w:p>
        </w:tc>
        <w:tc>
          <w:tcPr>
            <w:tcW w:w="217" w:type="dxa"/>
          </w:tcPr>
          <w:p w14:paraId="79EB9501" w14:textId="77777777" w:rsidR="002C0FD9" w:rsidRPr="00CA25CF" w:rsidRDefault="002C0FD9" w:rsidP="00CA25CF">
            <w:pPr>
              <w:rPr>
                <w:rFonts w:cs="Arial"/>
                <w:color w:val="FF0000"/>
                <w:sz w:val="21"/>
                <w:szCs w:val="21"/>
              </w:rPr>
            </w:pPr>
          </w:p>
        </w:tc>
        <w:tc>
          <w:tcPr>
            <w:tcW w:w="217" w:type="dxa"/>
          </w:tcPr>
          <w:p w14:paraId="5DC02FBD" w14:textId="77777777" w:rsidR="002C0FD9" w:rsidRPr="00CA25CF" w:rsidRDefault="002C0FD9" w:rsidP="00CA25CF">
            <w:pPr>
              <w:rPr>
                <w:rFonts w:cs="Arial"/>
                <w:color w:val="FF0000"/>
                <w:sz w:val="21"/>
                <w:szCs w:val="21"/>
              </w:rPr>
            </w:pPr>
          </w:p>
        </w:tc>
        <w:tc>
          <w:tcPr>
            <w:tcW w:w="217" w:type="dxa"/>
          </w:tcPr>
          <w:p w14:paraId="30F4408D" w14:textId="77777777" w:rsidR="002C0FD9" w:rsidRPr="00CA25CF" w:rsidRDefault="002C0FD9" w:rsidP="00CA25CF">
            <w:pPr>
              <w:rPr>
                <w:rFonts w:cs="Arial"/>
                <w:color w:val="FF0000"/>
                <w:sz w:val="21"/>
                <w:szCs w:val="21"/>
              </w:rPr>
            </w:pPr>
          </w:p>
        </w:tc>
        <w:tc>
          <w:tcPr>
            <w:tcW w:w="217" w:type="dxa"/>
          </w:tcPr>
          <w:p w14:paraId="255D215D" w14:textId="77777777" w:rsidR="002C0FD9" w:rsidRPr="00CA25CF" w:rsidRDefault="002C0FD9" w:rsidP="00CA25CF">
            <w:pPr>
              <w:rPr>
                <w:rFonts w:cs="Arial"/>
                <w:color w:val="FF0000"/>
                <w:sz w:val="21"/>
                <w:szCs w:val="21"/>
              </w:rPr>
            </w:pPr>
          </w:p>
        </w:tc>
        <w:tc>
          <w:tcPr>
            <w:tcW w:w="217" w:type="dxa"/>
          </w:tcPr>
          <w:p w14:paraId="00D5B2D9" w14:textId="77777777" w:rsidR="002C0FD9" w:rsidRPr="00CA25CF" w:rsidRDefault="002C0FD9" w:rsidP="00CA25CF">
            <w:pPr>
              <w:rPr>
                <w:rFonts w:cs="Arial"/>
                <w:color w:val="FF0000"/>
                <w:sz w:val="21"/>
                <w:szCs w:val="21"/>
              </w:rPr>
            </w:pPr>
          </w:p>
        </w:tc>
        <w:tc>
          <w:tcPr>
            <w:tcW w:w="217" w:type="dxa"/>
          </w:tcPr>
          <w:p w14:paraId="213ADBF1" w14:textId="77777777" w:rsidR="002C0FD9" w:rsidRPr="00CA25CF" w:rsidRDefault="002C0FD9" w:rsidP="00CA25CF">
            <w:pPr>
              <w:rPr>
                <w:rFonts w:cs="Arial"/>
                <w:color w:val="FF0000"/>
                <w:sz w:val="21"/>
                <w:szCs w:val="21"/>
              </w:rPr>
            </w:pPr>
          </w:p>
        </w:tc>
        <w:tc>
          <w:tcPr>
            <w:tcW w:w="217" w:type="dxa"/>
          </w:tcPr>
          <w:p w14:paraId="6A146D5D" w14:textId="77777777" w:rsidR="002C0FD9" w:rsidRPr="00CA25CF" w:rsidRDefault="002C0FD9" w:rsidP="00CA25CF">
            <w:pPr>
              <w:rPr>
                <w:rFonts w:cs="Arial"/>
                <w:color w:val="FF0000"/>
                <w:sz w:val="21"/>
                <w:szCs w:val="21"/>
              </w:rPr>
            </w:pPr>
          </w:p>
        </w:tc>
        <w:tc>
          <w:tcPr>
            <w:tcW w:w="217" w:type="dxa"/>
          </w:tcPr>
          <w:p w14:paraId="2CB472B3" w14:textId="77777777" w:rsidR="002C0FD9" w:rsidRPr="00CA25CF" w:rsidRDefault="002C0FD9" w:rsidP="00CA25CF">
            <w:pPr>
              <w:rPr>
                <w:rFonts w:cs="Arial"/>
                <w:color w:val="FF0000"/>
                <w:sz w:val="21"/>
                <w:szCs w:val="21"/>
              </w:rPr>
            </w:pPr>
          </w:p>
        </w:tc>
        <w:tc>
          <w:tcPr>
            <w:tcW w:w="217" w:type="dxa"/>
          </w:tcPr>
          <w:p w14:paraId="21A0FA19" w14:textId="77777777" w:rsidR="002C0FD9" w:rsidRPr="00CA25CF" w:rsidRDefault="002C0FD9" w:rsidP="00CA25CF">
            <w:pPr>
              <w:rPr>
                <w:rFonts w:cs="Arial"/>
                <w:color w:val="FF0000"/>
                <w:sz w:val="21"/>
                <w:szCs w:val="21"/>
              </w:rPr>
            </w:pPr>
          </w:p>
        </w:tc>
        <w:tc>
          <w:tcPr>
            <w:tcW w:w="217" w:type="dxa"/>
          </w:tcPr>
          <w:p w14:paraId="37A745FB" w14:textId="77777777" w:rsidR="002C0FD9" w:rsidRPr="00CA25CF" w:rsidRDefault="002C0FD9" w:rsidP="00CA25CF">
            <w:pPr>
              <w:rPr>
                <w:rFonts w:cs="Arial"/>
                <w:color w:val="FF0000"/>
                <w:sz w:val="21"/>
                <w:szCs w:val="21"/>
              </w:rPr>
            </w:pPr>
          </w:p>
        </w:tc>
        <w:tc>
          <w:tcPr>
            <w:tcW w:w="217" w:type="dxa"/>
          </w:tcPr>
          <w:p w14:paraId="2734912A" w14:textId="77777777" w:rsidR="002C0FD9" w:rsidRPr="00CA25CF" w:rsidRDefault="002C0FD9" w:rsidP="00CA25CF">
            <w:pPr>
              <w:rPr>
                <w:rFonts w:cs="Arial"/>
                <w:color w:val="FF0000"/>
                <w:sz w:val="21"/>
                <w:szCs w:val="21"/>
              </w:rPr>
            </w:pPr>
          </w:p>
        </w:tc>
        <w:tc>
          <w:tcPr>
            <w:tcW w:w="217" w:type="dxa"/>
          </w:tcPr>
          <w:p w14:paraId="26B1D013" w14:textId="77777777" w:rsidR="002C0FD9" w:rsidRPr="00CA25CF" w:rsidRDefault="002C0FD9" w:rsidP="00CA25CF">
            <w:pPr>
              <w:rPr>
                <w:rFonts w:cs="Arial"/>
                <w:color w:val="FF0000"/>
                <w:sz w:val="21"/>
                <w:szCs w:val="21"/>
              </w:rPr>
            </w:pPr>
          </w:p>
        </w:tc>
        <w:tc>
          <w:tcPr>
            <w:tcW w:w="217" w:type="dxa"/>
          </w:tcPr>
          <w:p w14:paraId="0E883E40" w14:textId="77777777" w:rsidR="002C0FD9" w:rsidRPr="00CA25CF" w:rsidRDefault="002C0FD9" w:rsidP="00CA25CF">
            <w:pPr>
              <w:rPr>
                <w:rFonts w:cs="Arial"/>
                <w:color w:val="FF0000"/>
                <w:sz w:val="21"/>
                <w:szCs w:val="21"/>
              </w:rPr>
            </w:pPr>
          </w:p>
        </w:tc>
      </w:tr>
      <w:tr w:rsidR="002C0FD9" w:rsidRPr="00A16219" w14:paraId="5DA4F2B7" w14:textId="37B22D25" w:rsidTr="002C0FD9">
        <w:trPr>
          <w:trHeight w:val="635"/>
        </w:trPr>
        <w:tc>
          <w:tcPr>
            <w:tcW w:w="515" w:type="dxa"/>
          </w:tcPr>
          <w:p w14:paraId="6BB3A452" w14:textId="77777777" w:rsidR="002C0FD9" w:rsidRPr="00CA25CF" w:rsidRDefault="002C0FD9" w:rsidP="00CA25CF">
            <w:pPr>
              <w:rPr>
                <w:rFonts w:cs="Arial"/>
                <w:color w:val="FF0000"/>
                <w:sz w:val="21"/>
                <w:szCs w:val="21"/>
              </w:rPr>
            </w:pPr>
          </w:p>
        </w:tc>
        <w:tc>
          <w:tcPr>
            <w:tcW w:w="217" w:type="dxa"/>
          </w:tcPr>
          <w:p w14:paraId="0126DBED" w14:textId="77777777" w:rsidR="002C0FD9" w:rsidRPr="00CA25CF" w:rsidRDefault="002C0FD9" w:rsidP="00CA25CF">
            <w:pPr>
              <w:rPr>
                <w:rFonts w:cs="Arial"/>
                <w:color w:val="FF0000"/>
                <w:sz w:val="21"/>
                <w:szCs w:val="21"/>
              </w:rPr>
            </w:pPr>
          </w:p>
        </w:tc>
        <w:tc>
          <w:tcPr>
            <w:tcW w:w="217" w:type="dxa"/>
          </w:tcPr>
          <w:p w14:paraId="65B3CC88" w14:textId="37D1A800" w:rsidR="002C0FD9" w:rsidRPr="00CA25CF" w:rsidRDefault="002C0FD9" w:rsidP="00CA25CF">
            <w:pPr>
              <w:rPr>
                <w:rFonts w:cs="Arial"/>
                <w:color w:val="FF0000"/>
                <w:sz w:val="21"/>
                <w:szCs w:val="21"/>
              </w:rPr>
            </w:pPr>
          </w:p>
        </w:tc>
        <w:tc>
          <w:tcPr>
            <w:tcW w:w="217" w:type="dxa"/>
          </w:tcPr>
          <w:p w14:paraId="3DBA6914" w14:textId="77777777" w:rsidR="002C0FD9" w:rsidRPr="00CA25CF" w:rsidRDefault="002C0FD9" w:rsidP="00CA25CF">
            <w:pPr>
              <w:rPr>
                <w:rFonts w:cs="Arial"/>
                <w:color w:val="FF0000"/>
                <w:sz w:val="21"/>
                <w:szCs w:val="21"/>
              </w:rPr>
            </w:pPr>
          </w:p>
        </w:tc>
        <w:tc>
          <w:tcPr>
            <w:tcW w:w="217" w:type="dxa"/>
          </w:tcPr>
          <w:p w14:paraId="335DFEC8" w14:textId="77777777" w:rsidR="002C0FD9" w:rsidRPr="00CA25CF" w:rsidRDefault="002C0FD9" w:rsidP="00CA25CF">
            <w:pPr>
              <w:rPr>
                <w:rFonts w:cs="Arial"/>
                <w:color w:val="FF0000"/>
                <w:sz w:val="21"/>
                <w:szCs w:val="21"/>
              </w:rPr>
            </w:pPr>
          </w:p>
        </w:tc>
        <w:tc>
          <w:tcPr>
            <w:tcW w:w="217" w:type="dxa"/>
          </w:tcPr>
          <w:p w14:paraId="38040251" w14:textId="77777777" w:rsidR="002C0FD9" w:rsidRPr="00CA25CF" w:rsidRDefault="002C0FD9" w:rsidP="00CA25CF">
            <w:pPr>
              <w:rPr>
                <w:rFonts w:cs="Arial"/>
                <w:color w:val="FF0000"/>
                <w:sz w:val="21"/>
                <w:szCs w:val="21"/>
              </w:rPr>
            </w:pPr>
          </w:p>
        </w:tc>
        <w:tc>
          <w:tcPr>
            <w:tcW w:w="217" w:type="dxa"/>
          </w:tcPr>
          <w:p w14:paraId="0CD9B818" w14:textId="77777777" w:rsidR="002C0FD9" w:rsidRPr="00CA25CF" w:rsidRDefault="002C0FD9" w:rsidP="00CA25CF">
            <w:pPr>
              <w:rPr>
                <w:rFonts w:cs="Arial"/>
                <w:color w:val="FF0000"/>
                <w:sz w:val="21"/>
                <w:szCs w:val="21"/>
              </w:rPr>
            </w:pPr>
          </w:p>
        </w:tc>
        <w:tc>
          <w:tcPr>
            <w:tcW w:w="217" w:type="dxa"/>
          </w:tcPr>
          <w:p w14:paraId="17781BF5" w14:textId="77777777" w:rsidR="002C0FD9" w:rsidRPr="00CA25CF" w:rsidRDefault="002C0FD9" w:rsidP="00CA25CF">
            <w:pPr>
              <w:rPr>
                <w:rFonts w:cs="Arial"/>
                <w:color w:val="FF0000"/>
                <w:sz w:val="21"/>
                <w:szCs w:val="21"/>
              </w:rPr>
            </w:pPr>
          </w:p>
        </w:tc>
        <w:tc>
          <w:tcPr>
            <w:tcW w:w="217" w:type="dxa"/>
          </w:tcPr>
          <w:p w14:paraId="75D5320F" w14:textId="77777777" w:rsidR="002C0FD9" w:rsidRPr="00CA25CF" w:rsidRDefault="002C0FD9" w:rsidP="00CA25CF">
            <w:pPr>
              <w:rPr>
                <w:rFonts w:cs="Arial"/>
                <w:color w:val="FF0000"/>
                <w:sz w:val="21"/>
                <w:szCs w:val="21"/>
              </w:rPr>
            </w:pPr>
          </w:p>
        </w:tc>
        <w:tc>
          <w:tcPr>
            <w:tcW w:w="217" w:type="dxa"/>
          </w:tcPr>
          <w:p w14:paraId="0EEE6229" w14:textId="77777777" w:rsidR="002C0FD9" w:rsidRPr="00CA25CF" w:rsidRDefault="002C0FD9" w:rsidP="00CA25CF">
            <w:pPr>
              <w:rPr>
                <w:rFonts w:cs="Arial"/>
                <w:color w:val="FF0000"/>
                <w:sz w:val="21"/>
                <w:szCs w:val="21"/>
              </w:rPr>
            </w:pPr>
          </w:p>
        </w:tc>
        <w:tc>
          <w:tcPr>
            <w:tcW w:w="217" w:type="dxa"/>
          </w:tcPr>
          <w:p w14:paraId="6A388A58" w14:textId="77777777" w:rsidR="002C0FD9" w:rsidRPr="00CA25CF" w:rsidRDefault="002C0FD9" w:rsidP="00CA25CF">
            <w:pPr>
              <w:rPr>
                <w:rFonts w:cs="Arial"/>
                <w:color w:val="FF0000"/>
                <w:sz w:val="21"/>
                <w:szCs w:val="21"/>
              </w:rPr>
            </w:pPr>
          </w:p>
        </w:tc>
        <w:tc>
          <w:tcPr>
            <w:tcW w:w="217" w:type="dxa"/>
          </w:tcPr>
          <w:p w14:paraId="16204ECD" w14:textId="77777777" w:rsidR="002C0FD9" w:rsidRPr="00CA25CF" w:rsidRDefault="002C0FD9" w:rsidP="00CA25CF">
            <w:pPr>
              <w:rPr>
                <w:rFonts w:cs="Arial"/>
                <w:color w:val="FF0000"/>
                <w:sz w:val="21"/>
                <w:szCs w:val="21"/>
              </w:rPr>
            </w:pPr>
          </w:p>
        </w:tc>
        <w:tc>
          <w:tcPr>
            <w:tcW w:w="217" w:type="dxa"/>
          </w:tcPr>
          <w:p w14:paraId="707BD979" w14:textId="77777777" w:rsidR="002C0FD9" w:rsidRPr="00CA25CF" w:rsidRDefault="002C0FD9" w:rsidP="00CA25CF">
            <w:pPr>
              <w:rPr>
                <w:rFonts w:cs="Arial"/>
                <w:color w:val="FF0000"/>
                <w:sz w:val="21"/>
                <w:szCs w:val="21"/>
              </w:rPr>
            </w:pPr>
          </w:p>
        </w:tc>
        <w:tc>
          <w:tcPr>
            <w:tcW w:w="217" w:type="dxa"/>
          </w:tcPr>
          <w:p w14:paraId="5A52F057" w14:textId="77777777" w:rsidR="002C0FD9" w:rsidRPr="00CA25CF" w:rsidRDefault="002C0FD9" w:rsidP="00CA25CF">
            <w:pPr>
              <w:rPr>
                <w:rFonts w:cs="Arial"/>
                <w:color w:val="FF0000"/>
                <w:sz w:val="21"/>
                <w:szCs w:val="21"/>
              </w:rPr>
            </w:pPr>
          </w:p>
        </w:tc>
        <w:tc>
          <w:tcPr>
            <w:tcW w:w="217" w:type="dxa"/>
          </w:tcPr>
          <w:p w14:paraId="3ADB1D56" w14:textId="77777777" w:rsidR="002C0FD9" w:rsidRPr="00CA25CF" w:rsidRDefault="002C0FD9" w:rsidP="00CA25CF">
            <w:pPr>
              <w:rPr>
                <w:rFonts w:cs="Arial"/>
                <w:color w:val="FF0000"/>
                <w:sz w:val="21"/>
                <w:szCs w:val="21"/>
              </w:rPr>
            </w:pPr>
          </w:p>
        </w:tc>
        <w:tc>
          <w:tcPr>
            <w:tcW w:w="217" w:type="dxa"/>
          </w:tcPr>
          <w:p w14:paraId="03013D05" w14:textId="77777777" w:rsidR="002C0FD9" w:rsidRPr="00CA25CF" w:rsidRDefault="002C0FD9" w:rsidP="00CA25CF">
            <w:pPr>
              <w:rPr>
                <w:rFonts w:cs="Arial"/>
                <w:color w:val="FF0000"/>
                <w:sz w:val="21"/>
                <w:szCs w:val="21"/>
              </w:rPr>
            </w:pPr>
          </w:p>
        </w:tc>
        <w:tc>
          <w:tcPr>
            <w:tcW w:w="217" w:type="dxa"/>
          </w:tcPr>
          <w:p w14:paraId="618E94F3" w14:textId="77777777" w:rsidR="002C0FD9" w:rsidRPr="00CA25CF" w:rsidRDefault="002C0FD9" w:rsidP="00CA25CF">
            <w:pPr>
              <w:rPr>
                <w:rFonts w:cs="Arial"/>
                <w:color w:val="FF0000"/>
                <w:sz w:val="21"/>
                <w:szCs w:val="21"/>
              </w:rPr>
            </w:pPr>
          </w:p>
        </w:tc>
        <w:tc>
          <w:tcPr>
            <w:tcW w:w="217" w:type="dxa"/>
          </w:tcPr>
          <w:p w14:paraId="35F50798" w14:textId="77777777" w:rsidR="002C0FD9" w:rsidRPr="00CA25CF" w:rsidRDefault="002C0FD9" w:rsidP="00CA25CF">
            <w:pPr>
              <w:rPr>
                <w:rFonts w:cs="Arial"/>
                <w:color w:val="FF0000"/>
                <w:sz w:val="21"/>
                <w:szCs w:val="21"/>
              </w:rPr>
            </w:pPr>
          </w:p>
        </w:tc>
        <w:tc>
          <w:tcPr>
            <w:tcW w:w="217" w:type="dxa"/>
          </w:tcPr>
          <w:p w14:paraId="1431307B" w14:textId="77777777" w:rsidR="002C0FD9" w:rsidRPr="00CA25CF" w:rsidRDefault="002C0FD9" w:rsidP="00CA25CF">
            <w:pPr>
              <w:rPr>
                <w:rFonts w:cs="Arial"/>
                <w:color w:val="FF0000"/>
                <w:sz w:val="21"/>
                <w:szCs w:val="21"/>
              </w:rPr>
            </w:pPr>
          </w:p>
        </w:tc>
        <w:tc>
          <w:tcPr>
            <w:tcW w:w="217" w:type="dxa"/>
          </w:tcPr>
          <w:p w14:paraId="3E1DA57E" w14:textId="77777777" w:rsidR="002C0FD9" w:rsidRPr="00CA25CF" w:rsidRDefault="002C0FD9" w:rsidP="00CA25CF">
            <w:pPr>
              <w:rPr>
                <w:rFonts w:cs="Arial"/>
                <w:color w:val="FF0000"/>
                <w:sz w:val="21"/>
                <w:szCs w:val="21"/>
              </w:rPr>
            </w:pPr>
          </w:p>
        </w:tc>
        <w:tc>
          <w:tcPr>
            <w:tcW w:w="217" w:type="dxa"/>
          </w:tcPr>
          <w:p w14:paraId="12629F34" w14:textId="77777777" w:rsidR="002C0FD9" w:rsidRPr="00CA25CF" w:rsidRDefault="002C0FD9" w:rsidP="00CA25CF">
            <w:pPr>
              <w:rPr>
                <w:rFonts w:cs="Arial"/>
                <w:color w:val="FF0000"/>
                <w:sz w:val="21"/>
                <w:szCs w:val="21"/>
              </w:rPr>
            </w:pPr>
          </w:p>
        </w:tc>
        <w:tc>
          <w:tcPr>
            <w:tcW w:w="217" w:type="dxa"/>
          </w:tcPr>
          <w:p w14:paraId="6C824BDB" w14:textId="77777777" w:rsidR="002C0FD9" w:rsidRPr="00CA25CF" w:rsidRDefault="002C0FD9" w:rsidP="00CA25CF">
            <w:pPr>
              <w:rPr>
                <w:rFonts w:cs="Arial"/>
                <w:color w:val="FF0000"/>
                <w:sz w:val="21"/>
                <w:szCs w:val="21"/>
              </w:rPr>
            </w:pPr>
          </w:p>
        </w:tc>
        <w:tc>
          <w:tcPr>
            <w:tcW w:w="217" w:type="dxa"/>
          </w:tcPr>
          <w:p w14:paraId="497AC3AD" w14:textId="77777777" w:rsidR="002C0FD9" w:rsidRPr="00CA25CF" w:rsidRDefault="002C0FD9" w:rsidP="00CA25CF">
            <w:pPr>
              <w:rPr>
                <w:rFonts w:cs="Arial"/>
                <w:color w:val="FF0000"/>
                <w:sz w:val="21"/>
                <w:szCs w:val="21"/>
              </w:rPr>
            </w:pPr>
          </w:p>
        </w:tc>
        <w:tc>
          <w:tcPr>
            <w:tcW w:w="217" w:type="dxa"/>
          </w:tcPr>
          <w:p w14:paraId="05B1A3FC" w14:textId="77777777" w:rsidR="002C0FD9" w:rsidRPr="00CA25CF" w:rsidRDefault="002C0FD9" w:rsidP="00CA25CF">
            <w:pPr>
              <w:rPr>
                <w:rFonts w:cs="Arial"/>
                <w:color w:val="FF0000"/>
                <w:sz w:val="21"/>
                <w:szCs w:val="21"/>
              </w:rPr>
            </w:pPr>
          </w:p>
        </w:tc>
        <w:tc>
          <w:tcPr>
            <w:tcW w:w="217" w:type="dxa"/>
          </w:tcPr>
          <w:p w14:paraId="0AECAFC0" w14:textId="77777777" w:rsidR="002C0FD9" w:rsidRPr="00CA25CF" w:rsidRDefault="002C0FD9" w:rsidP="00CA25CF">
            <w:pPr>
              <w:rPr>
                <w:rFonts w:cs="Arial"/>
                <w:color w:val="FF0000"/>
                <w:sz w:val="21"/>
                <w:szCs w:val="21"/>
              </w:rPr>
            </w:pPr>
          </w:p>
        </w:tc>
        <w:tc>
          <w:tcPr>
            <w:tcW w:w="217" w:type="dxa"/>
          </w:tcPr>
          <w:p w14:paraId="351F0AE1" w14:textId="77777777" w:rsidR="002C0FD9" w:rsidRPr="00CA25CF" w:rsidRDefault="002C0FD9" w:rsidP="00CA25CF">
            <w:pPr>
              <w:rPr>
                <w:rFonts w:cs="Arial"/>
                <w:color w:val="FF0000"/>
                <w:sz w:val="21"/>
                <w:szCs w:val="21"/>
              </w:rPr>
            </w:pPr>
          </w:p>
        </w:tc>
        <w:tc>
          <w:tcPr>
            <w:tcW w:w="217" w:type="dxa"/>
          </w:tcPr>
          <w:p w14:paraId="02F12113" w14:textId="77777777" w:rsidR="002C0FD9" w:rsidRPr="00CA25CF" w:rsidRDefault="002C0FD9" w:rsidP="00CA25CF">
            <w:pPr>
              <w:rPr>
                <w:rFonts w:cs="Arial"/>
                <w:color w:val="FF0000"/>
                <w:sz w:val="21"/>
                <w:szCs w:val="21"/>
              </w:rPr>
            </w:pPr>
          </w:p>
        </w:tc>
        <w:tc>
          <w:tcPr>
            <w:tcW w:w="217" w:type="dxa"/>
          </w:tcPr>
          <w:p w14:paraId="778E8661" w14:textId="77777777" w:rsidR="002C0FD9" w:rsidRPr="00CA25CF" w:rsidRDefault="002C0FD9" w:rsidP="00CA25CF">
            <w:pPr>
              <w:rPr>
                <w:rFonts w:cs="Arial"/>
                <w:color w:val="FF0000"/>
                <w:sz w:val="21"/>
                <w:szCs w:val="21"/>
              </w:rPr>
            </w:pPr>
          </w:p>
        </w:tc>
        <w:tc>
          <w:tcPr>
            <w:tcW w:w="217" w:type="dxa"/>
          </w:tcPr>
          <w:p w14:paraId="31C62516" w14:textId="77777777" w:rsidR="002C0FD9" w:rsidRPr="00CA25CF" w:rsidRDefault="002C0FD9" w:rsidP="00CA25CF">
            <w:pPr>
              <w:rPr>
                <w:rFonts w:cs="Arial"/>
                <w:color w:val="FF0000"/>
                <w:sz w:val="21"/>
                <w:szCs w:val="21"/>
              </w:rPr>
            </w:pPr>
          </w:p>
        </w:tc>
        <w:tc>
          <w:tcPr>
            <w:tcW w:w="217" w:type="dxa"/>
          </w:tcPr>
          <w:p w14:paraId="19899257" w14:textId="77777777" w:rsidR="002C0FD9" w:rsidRPr="00CA25CF" w:rsidRDefault="002C0FD9" w:rsidP="00CA25CF">
            <w:pPr>
              <w:rPr>
                <w:rFonts w:cs="Arial"/>
                <w:color w:val="FF0000"/>
                <w:sz w:val="21"/>
                <w:szCs w:val="21"/>
              </w:rPr>
            </w:pPr>
          </w:p>
        </w:tc>
        <w:tc>
          <w:tcPr>
            <w:tcW w:w="217" w:type="dxa"/>
          </w:tcPr>
          <w:p w14:paraId="4DBFC2CF" w14:textId="77777777" w:rsidR="002C0FD9" w:rsidRPr="00CA25CF" w:rsidRDefault="002C0FD9" w:rsidP="00CA25CF">
            <w:pPr>
              <w:rPr>
                <w:rFonts w:cs="Arial"/>
                <w:color w:val="FF0000"/>
                <w:sz w:val="21"/>
                <w:szCs w:val="21"/>
              </w:rPr>
            </w:pPr>
          </w:p>
        </w:tc>
        <w:tc>
          <w:tcPr>
            <w:tcW w:w="217" w:type="dxa"/>
          </w:tcPr>
          <w:p w14:paraId="50A169AC" w14:textId="77777777" w:rsidR="002C0FD9" w:rsidRPr="00CA25CF" w:rsidRDefault="002C0FD9" w:rsidP="00CA25CF">
            <w:pPr>
              <w:rPr>
                <w:rFonts w:cs="Arial"/>
                <w:color w:val="FF0000"/>
                <w:sz w:val="21"/>
                <w:szCs w:val="21"/>
              </w:rPr>
            </w:pPr>
          </w:p>
        </w:tc>
        <w:tc>
          <w:tcPr>
            <w:tcW w:w="217" w:type="dxa"/>
          </w:tcPr>
          <w:p w14:paraId="5B5FC998" w14:textId="77777777" w:rsidR="002C0FD9" w:rsidRPr="00CA25CF" w:rsidRDefault="002C0FD9" w:rsidP="00CA25CF">
            <w:pPr>
              <w:rPr>
                <w:rFonts w:cs="Arial"/>
                <w:color w:val="FF0000"/>
                <w:sz w:val="21"/>
                <w:szCs w:val="21"/>
              </w:rPr>
            </w:pPr>
          </w:p>
        </w:tc>
        <w:tc>
          <w:tcPr>
            <w:tcW w:w="217" w:type="dxa"/>
          </w:tcPr>
          <w:p w14:paraId="04C5AB75" w14:textId="77777777" w:rsidR="002C0FD9" w:rsidRPr="00CA25CF" w:rsidRDefault="002C0FD9" w:rsidP="00CA25CF">
            <w:pPr>
              <w:rPr>
                <w:rFonts w:cs="Arial"/>
                <w:color w:val="FF0000"/>
                <w:sz w:val="21"/>
                <w:szCs w:val="21"/>
              </w:rPr>
            </w:pPr>
          </w:p>
        </w:tc>
        <w:tc>
          <w:tcPr>
            <w:tcW w:w="217" w:type="dxa"/>
          </w:tcPr>
          <w:p w14:paraId="2E4F55D0" w14:textId="77777777" w:rsidR="002C0FD9" w:rsidRPr="00CA25CF" w:rsidRDefault="002C0FD9" w:rsidP="00CA25CF">
            <w:pPr>
              <w:rPr>
                <w:rFonts w:cs="Arial"/>
                <w:color w:val="FF0000"/>
                <w:sz w:val="21"/>
                <w:szCs w:val="21"/>
              </w:rPr>
            </w:pPr>
          </w:p>
        </w:tc>
        <w:tc>
          <w:tcPr>
            <w:tcW w:w="217" w:type="dxa"/>
          </w:tcPr>
          <w:p w14:paraId="349BC9C8" w14:textId="77777777" w:rsidR="002C0FD9" w:rsidRPr="00CA25CF" w:rsidRDefault="002C0FD9" w:rsidP="00CA25CF">
            <w:pPr>
              <w:rPr>
                <w:rFonts w:cs="Arial"/>
                <w:color w:val="FF0000"/>
                <w:sz w:val="21"/>
                <w:szCs w:val="21"/>
              </w:rPr>
            </w:pPr>
          </w:p>
        </w:tc>
        <w:tc>
          <w:tcPr>
            <w:tcW w:w="217" w:type="dxa"/>
          </w:tcPr>
          <w:p w14:paraId="5798C07E" w14:textId="77777777" w:rsidR="002C0FD9" w:rsidRPr="00CA25CF" w:rsidRDefault="002C0FD9" w:rsidP="00CA25CF">
            <w:pPr>
              <w:rPr>
                <w:rFonts w:cs="Arial"/>
                <w:color w:val="FF0000"/>
                <w:sz w:val="21"/>
                <w:szCs w:val="21"/>
              </w:rPr>
            </w:pPr>
          </w:p>
        </w:tc>
        <w:tc>
          <w:tcPr>
            <w:tcW w:w="217" w:type="dxa"/>
          </w:tcPr>
          <w:p w14:paraId="1A1D7C84" w14:textId="77777777" w:rsidR="002C0FD9" w:rsidRPr="00CA25CF" w:rsidRDefault="002C0FD9" w:rsidP="00CA25CF">
            <w:pPr>
              <w:rPr>
                <w:rFonts w:cs="Arial"/>
                <w:color w:val="FF0000"/>
                <w:sz w:val="21"/>
                <w:szCs w:val="21"/>
              </w:rPr>
            </w:pPr>
          </w:p>
        </w:tc>
        <w:tc>
          <w:tcPr>
            <w:tcW w:w="217" w:type="dxa"/>
          </w:tcPr>
          <w:p w14:paraId="783E8627" w14:textId="77777777" w:rsidR="002C0FD9" w:rsidRPr="00CA25CF" w:rsidRDefault="002C0FD9" w:rsidP="00CA25CF">
            <w:pPr>
              <w:rPr>
                <w:rFonts w:cs="Arial"/>
                <w:color w:val="FF0000"/>
                <w:sz w:val="21"/>
                <w:szCs w:val="21"/>
              </w:rPr>
            </w:pPr>
          </w:p>
        </w:tc>
        <w:tc>
          <w:tcPr>
            <w:tcW w:w="217" w:type="dxa"/>
          </w:tcPr>
          <w:p w14:paraId="11AD7AD6" w14:textId="77777777" w:rsidR="002C0FD9" w:rsidRPr="00CA25CF" w:rsidRDefault="002C0FD9" w:rsidP="00CA25CF">
            <w:pPr>
              <w:rPr>
                <w:rFonts w:cs="Arial"/>
                <w:color w:val="FF0000"/>
                <w:sz w:val="21"/>
                <w:szCs w:val="21"/>
              </w:rPr>
            </w:pPr>
          </w:p>
        </w:tc>
        <w:tc>
          <w:tcPr>
            <w:tcW w:w="217" w:type="dxa"/>
          </w:tcPr>
          <w:p w14:paraId="474E102D" w14:textId="77777777" w:rsidR="002C0FD9" w:rsidRPr="00CA25CF" w:rsidRDefault="002C0FD9" w:rsidP="00CA25CF">
            <w:pPr>
              <w:rPr>
                <w:rFonts w:cs="Arial"/>
                <w:color w:val="FF0000"/>
                <w:sz w:val="21"/>
                <w:szCs w:val="21"/>
              </w:rPr>
            </w:pPr>
          </w:p>
        </w:tc>
        <w:tc>
          <w:tcPr>
            <w:tcW w:w="217" w:type="dxa"/>
          </w:tcPr>
          <w:p w14:paraId="18CF5D2D" w14:textId="77777777" w:rsidR="002C0FD9" w:rsidRPr="00CA25CF" w:rsidRDefault="002C0FD9" w:rsidP="00CA25CF">
            <w:pPr>
              <w:rPr>
                <w:rFonts w:cs="Arial"/>
                <w:color w:val="FF0000"/>
                <w:sz w:val="21"/>
                <w:szCs w:val="21"/>
              </w:rPr>
            </w:pPr>
          </w:p>
        </w:tc>
        <w:tc>
          <w:tcPr>
            <w:tcW w:w="217" w:type="dxa"/>
          </w:tcPr>
          <w:p w14:paraId="66363E1E" w14:textId="77777777" w:rsidR="002C0FD9" w:rsidRPr="00CA25CF" w:rsidRDefault="002C0FD9" w:rsidP="00CA25CF">
            <w:pPr>
              <w:rPr>
                <w:rFonts w:cs="Arial"/>
                <w:color w:val="FF0000"/>
                <w:sz w:val="21"/>
                <w:szCs w:val="21"/>
              </w:rPr>
            </w:pPr>
          </w:p>
        </w:tc>
      </w:tr>
      <w:tr w:rsidR="002C0FD9" w:rsidRPr="00A16219" w14:paraId="294D7F58" w14:textId="243802A5" w:rsidTr="002C0FD9">
        <w:trPr>
          <w:trHeight w:val="635"/>
        </w:trPr>
        <w:tc>
          <w:tcPr>
            <w:tcW w:w="515" w:type="dxa"/>
          </w:tcPr>
          <w:p w14:paraId="1C002E60" w14:textId="77777777" w:rsidR="002C0FD9" w:rsidRPr="00CA25CF" w:rsidRDefault="002C0FD9" w:rsidP="00CA25CF">
            <w:pPr>
              <w:rPr>
                <w:rFonts w:cs="Arial"/>
                <w:color w:val="FF0000"/>
                <w:sz w:val="21"/>
                <w:szCs w:val="21"/>
              </w:rPr>
            </w:pPr>
          </w:p>
        </w:tc>
        <w:tc>
          <w:tcPr>
            <w:tcW w:w="217" w:type="dxa"/>
          </w:tcPr>
          <w:p w14:paraId="7A658649" w14:textId="77777777" w:rsidR="002C0FD9" w:rsidRPr="00CA25CF" w:rsidRDefault="002C0FD9" w:rsidP="00CA25CF">
            <w:pPr>
              <w:rPr>
                <w:rFonts w:cs="Arial"/>
                <w:color w:val="FF0000"/>
                <w:sz w:val="21"/>
                <w:szCs w:val="21"/>
              </w:rPr>
            </w:pPr>
          </w:p>
        </w:tc>
        <w:tc>
          <w:tcPr>
            <w:tcW w:w="217" w:type="dxa"/>
          </w:tcPr>
          <w:p w14:paraId="4DFFCED3" w14:textId="7007E83E" w:rsidR="002C0FD9" w:rsidRPr="00CA25CF" w:rsidRDefault="002C0FD9" w:rsidP="00CA25CF">
            <w:pPr>
              <w:rPr>
                <w:rFonts w:cs="Arial"/>
                <w:color w:val="FF0000"/>
                <w:sz w:val="21"/>
                <w:szCs w:val="21"/>
              </w:rPr>
            </w:pPr>
          </w:p>
        </w:tc>
        <w:tc>
          <w:tcPr>
            <w:tcW w:w="217" w:type="dxa"/>
          </w:tcPr>
          <w:p w14:paraId="69AE4619" w14:textId="77777777" w:rsidR="002C0FD9" w:rsidRPr="00CA25CF" w:rsidRDefault="002C0FD9" w:rsidP="00CA25CF">
            <w:pPr>
              <w:rPr>
                <w:rFonts w:cs="Arial"/>
                <w:color w:val="FF0000"/>
                <w:sz w:val="21"/>
                <w:szCs w:val="21"/>
              </w:rPr>
            </w:pPr>
          </w:p>
        </w:tc>
        <w:tc>
          <w:tcPr>
            <w:tcW w:w="217" w:type="dxa"/>
          </w:tcPr>
          <w:p w14:paraId="5DC417EE" w14:textId="77777777" w:rsidR="002C0FD9" w:rsidRPr="00CA25CF" w:rsidRDefault="002C0FD9" w:rsidP="00CA25CF">
            <w:pPr>
              <w:rPr>
                <w:rFonts w:cs="Arial"/>
                <w:color w:val="FF0000"/>
                <w:sz w:val="21"/>
                <w:szCs w:val="21"/>
              </w:rPr>
            </w:pPr>
          </w:p>
        </w:tc>
        <w:tc>
          <w:tcPr>
            <w:tcW w:w="217" w:type="dxa"/>
          </w:tcPr>
          <w:p w14:paraId="46D6E00D" w14:textId="77777777" w:rsidR="002C0FD9" w:rsidRPr="00CA25CF" w:rsidRDefault="002C0FD9" w:rsidP="00CA25CF">
            <w:pPr>
              <w:rPr>
                <w:rFonts w:cs="Arial"/>
                <w:color w:val="FF0000"/>
                <w:sz w:val="21"/>
                <w:szCs w:val="21"/>
              </w:rPr>
            </w:pPr>
          </w:p>
        </w:tc>
        <w:tc>
          <w:tcPr>
            <w:tcW w:w="217" w:type="dxa"/>
          </w:tcPr>
          <w:p w14:paraId="3C5E1D5A" w14:textId="77777777" w:rsidR="002C0FD9" w:rsidRPr="00CA25CF" w:rsidRDefault="002C0FD9" w:rsidP="00CA25CF">
            <w:pPr>
              <w:rPr>
                <w:rFonts w:cs="Arial"/>
                <w:color w:val="FF0000"/>
                <w:sz w:val="21"/>
                <w:szCs w:val="21"/>
              </w:rPr>
            </w:pPr>
          </w:p>
        </w:tc>
        <w:tc>
          <w:tcPr>
            <w:tcW w:w="217" w:type="dxa"/>
          </w:tcPr>
          <w:p w14:paraId="0198DC3E" w14:textId="77777777" w:rsidR="002C0FD9" w:rsidRPr="00CA25CF" w:rsidRDefault="002C0FD9" w:rsidP="00CA25CF">
            <w:pPr>
              <w:rPr>
                <w:rFonts w:cs="Arial"/>
                <w:color w:val="FF0000"/>
                <w:sz w:val="21"/>
                <w:szCs w:val="21"/>
              </w:rPr>
            </w:pPr>
          </w:p>
        </w:tc>
        <w:tc>
          <w:tcPr>
            <w:tcW w:w="217" w:type="dxa"/>
          </w:tcPr>
          <w:p w14:paraId="6045E221" w14:textId="77777777" w:rsidR="002C0FD9" w:rsidRPr="00CA25CF" w:rsidRDefault="002C0FD9" w:rsidP="00CA25CF">
            <w:pPr>
              <w:rPr>
                <w:rFonts w:cs="Arial"/>
                <w:color w:val="FF0000"/>
                <w:sz w:val="21"/>
                <w:szCs w:val="21"/>
              </w:rPr>
            </w:pPr>
          </w:p>
        </w:tc>
        <w:tc>
          <w:tcPr>
            <w:tcW w:w="217" w:type="dxa"/>
          </w:tcPr>
          <w:p w14:paraId="74010140" w14:textId="77777777" w:rsidR="002C0FD9" w:rsidRPr="00CA25CF" w:rsidRDefault="002C0FD9" w:rsidP="00CA25CF">
            <w:pPr>
              <w:rPr>
                <w:rFonts w:cs="Arial"/>
                <w:color w:val="FF0000"/>
                <w:sz w:val="21"/>
                <w:szCs w:val="21"/>
              </w:rPr>
            </w:pPr>
          </w:p>
        </w:tc>
        <w:tc>
          <w:tcPr>
            <w:tcW w:w="217" w:type="dxa"/>
          </w:tcPr>
          <w:p w14:paraId="6599E3D1" w14:textId="77777777" w:rsidR="002C0FD9" w:rsidRPr="00CA25CF" w:rsidRDefault="002C0FD9" w:rsidP="00CA25CF">
            <w:pPr>
              <w:rPr>
                <w:rFonts w:cs="Arial"/>
                <w:color w:val="FF0000"/>
                <w:sz w:val="21"/>
                <w:szCs w:val="21"/>
              </w:rPr>
            </w:pPr>
          </w:p>
        </w:tc>
        <w:tc>
          <w:tcPr>
            <w:tcW w:w="217" w:type="dxa"/>
          </w:tcPr>
          <w:p w14:paraId="5BC5B499" w14:textId="77777777" w:rsidR="002C0FD9" w:rsidRPr="00CA25CF" w:rsidRDefault="002C0FD9" w:rsidP="00CA25CF">
            <w:pPr>
              <w:rPr>
                <w:rFonts w:cs="Arial"/>
                <w:color w:val="FF0000"/>
                <w:sz w:val="21"/>
                <w:szCs w:val="21"/>
              </w:rPr>
            </w:pPr>
          </w:p>
        </w:tc>
        <w:tc>
          <w:tcPr>
            <w:tcW w:w="217" w:type="dxa"/>
          </w:tcPr>
          <w:p w14:paraId="4AAE2C18" w14:textId="77777777" w:rsidR="002C0FD9" w:rsidRPr="00CA25CF" w:rsidRDefault="002C0FD9" w:rsidP="00CA25CF">
            <w:pPr>
              <w:rPr>
                <w:rFonts w:cs="Arial"/>
                <w:color w:val="FF0000"/>
                <w:sz w:val="21"/>
                <w:szCs w:val="21"/>
              </w:rPr>
            </w:pPr>
          </w:p>
        </w:tc>
        <w:tc>
          <w:tcPr>
            <w:tcW w:w="217" w:type="dxa"/>
          </w:tcPr>
          <w:p w14:paraId="16DE7EBF" w14:textId="77777777" w:rsidR="002C0FD9" w:rsidRPr="00CA25CF" w:rsidRDefault="002C0FD9" w:rsidP="00CA25CF">
            <w:pPr>
              <w:rPr>
                <w:rFonts w:cs="Arial"/>
                <w:color w:val="FF0000"/>
                <w:sz w:val="21"/>
                <w:szCs w:val="21"/>
              </w:rPr>
            </w:pPr>
          </w:p>
        </w:tc>
        <w:tc>
          <w:tcPr>
            <w:tcW w:w="217" w:type="dxa"/>
          </w:tcPr>
          <w:p w14:paraId="70B119AF" w14:textId="77777777" w:rsidR="002C0FD9" w:rsidRPr="00CA25CF" w:rsidRDefault="002C0FD9" w:rsidP="00CA25CF">
            <w:pPr>
              <w:rPr>
                <w:rFonts w:cs="Arial"/>
                <w:color w:val="FF0000"/>
                <w:sz w:val="21"/>
                <w:szCs w:val="21"/>
              </w:rPr>
            </w:pPr>
          </w:p>
        </w:tc>
        <w:tc>
          <w:tcPr>
            <w:tcW w:w="217" w:type="dxa"/>
          </w:tcPr>
          <w:p w14:paraId="55334689" w14:textId="77777777" w:rsidR="002C0FD9" w:rsidRPr="00CA25CF" w:rsidRDefault="002C0FD9" w:rsidP="00CA25CF">
            <w:pPr>
              <w:rPr>
                <w:rFonts w:cs="Arial"/>
                <w:color w:val="FF0000"/>
                <w:sz w:val="21"/>
                <w:szCs w:val="21"/>
              </w:rPr>
            </w:pPr>
          </w:p>
        </w:tc>
        <w:tc>
          <w:tcPr>
            <w:tcW w:w="217" w:type="dxa"/>
          </w:tcPr>
          <w:p w14:paraId="2B25C844" w14:textId="77777777" w:rsidR="002C0FD9" w:rsidRPr="00CA25CF" w:rsidRDefault="002C0FD9" w:rsidP="00CA25CF">
            <w:pPr>
              <w:rPr>
                <w:rFonts w:cs="Arial"/>
                <w:color w:val="FF0000"/>
                <w:sz w:val="21"/>
                <w:szCs w:val="21"/>
              </w:rPr>
            </w:pPr>
          </w:p>
        </w:tc>
        <w:tc>
          <w:tcPr>
            <w:tcW w:w="217" w:type="dxa"/>
          </w:tcPr>
          <w:p w14:paraId="6380B204" w14:textId="77777777" w:rsidR="002C0FD9" w:rsidRPr="00CA25CF" w:rsidRDefault="002C0FD9" w:rsidP="00CA25CF">
            <w:pPr>
              <w:rPr>
                <w:rFonts w:cs="Arial"/>
                <w:color w:val="FF0000"/>
                <w:sz w:val="21"/>
                <w:szCs w:val="21"/>
              </w:rPr>
            </w:pPr>
          </w:p>
        </w:tc>
        <w:tc>
          <w:tcPr>
            <w:tcW w:w="217" w:type="dxa"/>
          </w:tcPr>
          <w:p w14:paraId="5B3A3112" w14:textId="77777777" w:rsidR="002C0FD9" w:rsidRPr="00CA25CF" w:rsidRDefault="002C0FD9" w:rsidP="00CA25CF">
            <w:pPr>
              <w:rPr>
                <w:rFonts w:cs="Arial"/>
                <w:color w:val="FF0000"/>
                <w:sz w:val="21"/>
                <w:szCs w:val="21"/>
              </w:rPr>
            </w:pPr>
          </w:p>
        </w:tc>
        <w:tc>
          <w:tcPr>
            <w:tcW w:w="217" w:type="dxa"/>
          </w:tcPr>
          <w:p w14:paraId="627975C6" w14:textId="77777777" w:rsidR="002C0FD9" w:rsidRPr="00CA25CF" w:rsidRDefault="002C0FD9" w:rsidP="00CA25CF">
            <w:pPr>
              <w:rPr>
                <w:rFonts w:cs="Arial"/>
                <w:color w:val="FF0000"/>
                <w:sz w:val="21"/>
                <w:szCs w:val="21"/>
              </w:rPr>
            </w:pPr>
          </w:p>
        </w:tc>
        <w:tc>
          <w:tcPr>
            <w:tcW w:w="217" w:type="dxa"/>
          </w:tcPr>
          <w:p w14:paraId="68A81EE5" w14:textId="77777777" w:rsidR="002C0FD9" w:rsidRPr="00CA25CF" w:rsidRDefault="002C0FD9" w:rsidP="00CA25CF">
            <w:pPr>
              <w:rPr>
                <w:rFonts w:cs="Arial"/>
                <w:color w:val="FF0000"/>
                <w:sz w:val="21"/>
                <w:szCs w:val="21"/>
              </w:rPr>
            </w:pPr>
          </w:p>
        </w:tc>
        <w:tc>
          <w:tcPr>
            <w:tcW w:w="217" w:type="dxa"/>
          </w:tcPr>
          <w:p w14:paraId="14B61B99" w14:textId="77777777" w:rsidR="002C0FD9" w:rsidRPr="00CA25CF" w:rsidRDefault="002C0FD9" w:rsidP="00CA25CF">
            <w:pPr>
              <w:rPr>
                <w:rFonts w:cs="Arial"/>
                <w:color w:val="FF0000"/>
                <w:sz w:val="21"/>
                <w:szCs w:val="21"/>
              </w:rPr>
            </w:pPr>
          </w:p>
        </w:tc>
        <w:tc>
          <w:tcPr>
            <w:tcW w:w="217" w:type="dxa"/>
          </w:tcPr>
          <w:p w14:paraId="13CA3E33" w14:textId="77777777" w:rsidR="002C0FD9" w:rsidRPr="00CA25CF" w:rsidRDefault="002C0FD9" w:rsidP="00CA25CF">
            <w:pPr>
              <w:rPr>
                <w:rFonts w:cs="Arial"/>
                <w:color w:val="FF0000"/>
                <w:sz w:val="21"/>
                <w:szCs w:val="21"/>
              </w:rPr>
            </w:pPr>
          </w:p>
        </w:tc>
        <w:tc>
          <w:tcPr>
            <w:tcW w:w="217" w:type="dxa"/>
          </w:tcPr>
          <w:p w14:paraId="50C0DE3A" w14:textId="77777777" w:rsidR="002C0FD9" w:rsidRPr="00CA25CF" w:rsidRDefault="002C0FD9" w:rsidP="00CA25CF">
            <w:pPr>
              <w:rPr>
                <w:rFonts w:cs="Arial"/>
                <w:color w:val="FF0000"/>
                <w:sz w:val="21"/>
                <w:szCs w:val="21"/>
              </w:rPr>
            </w:pPr>
          </w:p>
        </w:tc>
        <w:tc>
          <w:tcPr>
            <w:tcW w:w="217" w:type="dxa"/>
          </w:tcPr>
          <w:p w14:paraId="121A3DA6" w14:textId="77777777" w:rsidR="002C0FD9" w:rsidRPr="00CA25CF" w:rsidRDefault="002C0FD9" w:rsidP="00CA25CF">
            <w:pPr>
              <w:rPr>
                <w:rFonts w:cs="Arial"/>
                <w:color w:val="FF0000"/>
                <w:sz w:val="21"/>
                <w:szCs w:val="21"/>
              </w:rPr>
            </w:pPr>
          </w:p>
        </w:tc>
        <w:tc>
          <w:tcPr>
            <w:tcW w:w="217" w:type="dxa"/>
          </w:tcPr>
          <w:p w14:paraId="13BBD656" w14:textId="77777777" w:rsidR="002C0FD9" w:rsidRPr="00CA25CF" w:rsidRDefault="002C0FD9" w:rsidP="00CA25CF">
            <w:pPr>
              <w:rPr>
                <w:rFonts w:cs="Arial"/>
                <w:color w:val="FF0000"/>
                <w:sz w:val="21"/>
                <w:szCs w:val="21"/>
              </w:rPr>
            </w:pPr>
          </w:p>
        </w:tc>
        <w:tc>
          <w:tcPr>
            <w:tcW w:w="217" w:type="dxa"/>
          </w:tcPr>
          <w:p w14:paraId="281A4A3B" w14:textId="77777777" w:rsidR="002C0FD9" w:rsidRPr="00CA25CF" w:rsidRDefault="002C0FD9" w:rsidP="00CA25CF">
            <w:pPr>
              <w:rPr>
                <w:rFonts w:cs="Arial"/>
                <w:color w:val="FF0000"/>
                <w:sz w:val="21"/>
                <w:szCs w:val="21"/>
              </w:rPr>
            </w:pPr>
          </w:p>
        </w:tc>
        <w:tc>
          <w:tcPr>
            <w:tcW w:w="217" w:type="dxa"/>
          </w:tcPr>
          <w:p w14:paraId="139E7AA0" w14:textId="77777777" w:rsidR="002C0FD9" w:rsidRPr="00CA25CF" w:rsidRDefault="002C0FD9" w:rsidP="00CA25CF">
            <w:pPr>
              <w:rPr>
                <w:rFonts w:cs="Arial"/>
                <w:color w:val="FF0000"/>
                <w:sz w:val="21"/>
                <w:szCs w:val="21"/>
              </w:rPr>
            </w:pPr>
          </w:p>
        </w:tc>
        <w:tc>
          <w:tcPr>
            <w:tcW w:w="217" w:type="dxa"/>
          </w:tcPr>
          <w:p w14:paraId="41D300A6" w14:textId="77777777" w:rsidR="002C0FD9" w:rsidRPr="00CA25CF" w:rsidRDefault="002C0FD9" w:rsidP="00CA25CF">
            <w:pPr>
              <w:rPr>
                <w:rFonts w:cs="Arial"/>
                <w:color w:val="FF0000"/>
                <w:sz w:val="21"/>
                <w:szCs w:val="21"/>
              </w:rPr>
            </w:pPr>
          </w:p>
        </w:tc>
        <w:tc>
          <w:tcPr>
            <w:tcW w:w="217" w:type="dxa"/>
          </w:tcPr>
          <w:p w14:paraId="56CCC6CE" w14:textId="77777777" w:rsidR="002C0FD9" w:rsidRPr="00CA25CF" w:rsidRDefault="002C0FD9" w:rsidP="00CA25CF">
            <w:pPr>
              <w:rPr>
                <w:rFonts w:cs="Arial"/>
                <w:color w:val="FF0000"/>
                <w:sz w:val="21"/>
                <w:szCs w:val="21"/>
              </w:rPr>
            </w:pPr>
          </w:p>
        </w:tc>
        <w:tc>
          <w:tcPr>
            <w:tcW w:w="217" w:type="dxa"/>
          </w:tcPr>
          <w:p w14:paraId="08F3B943" w14:textId="77777777" w:rsidR="002C0FD9" w:rsidRPr="00CA25CF" w:rsidRDefault="002C0FD9" w:rsidP="00CA25CF">
            <w:pPr>
              <w:rPr>
                <w:rFonts w:cs="Arial"/>
                <w:color w:val="FF0000"/>
                <w:sz w:val="21"/>
                <w:szCs w:val="21"/>
              </w:rPr>
            </w:pPr>
          </w:p>
        </w:tc>
        <w:tc>
          <w:tcPr>
            <w:tcW w:w="217" w:type="dxa"/>
          </w:tcPr>
          <w:p w14:paraId="0916EC73" w14:textId="77777777" w:rsidR="002C0FD9" w:rsidRPr="00CA25CF" w:rsidRDefault="002C0FD9" w:rsidP="00CA25CF">
            <w:pPr>
              <w:rPr>
                <w:rFonts w:cs="Arial"/>
                <w:color w:val="FF0000"/>
                <w:sz w:val="21"/>
                <w:szCs w:val="21"/>
              </w:rPr>
            </w:pPr>
          </w:p>
        </w:tc>
        <w:tc>
          <w:tcPr>
            <w:tcW w:w="217" w:type="dxa"/>
          </w:tcPr>
          <w:p w14:paraId="4F79B897" w14:textId="77777777" w:rsidR="002C0FD9" w:rsidRPr="00CA25CF" w:rsidRDefault="002C0FD9" w:rsidP="00CA25CF">
            <w:pPr>
              <w:rPr>
                <w:rFonts w:cs="Arial"/>
                <w:color w:val="FF0000"/>
                <w:sz w:val="21"/>
                <w:szCs w:val="21"/>
              </w:rPr>
            </w:pPr>
          </w:p>
        </w:tc>
        <w:tc>
          <w:tcPr>
            <w:tcW w:w="217" w:type="dxa"/>
          </w:tcPr>
          <w:p w14:paraId="0BAB5745" w14:textId="77777777" w:rsidR="002C0FD9" w:rsidRPr="00CA25CF" w:rsidRDefault="002C0FD9" w:rsidP="00CA25CF">
            <w:pPr>
              <w:rPr>
                <w:rFonts w:cs="Arial"/>
                <w:color w:val="FF0000"/>
                <w:sz w:val="21"/>
                <w:szCs w:val="21"/>
              </w:rPr>
            </w:pPr>
          </w:p>
        </w:tc>
        <w:tc>
          <w:tcPr>
            <w:tcW w:w="217" w:type="dxa"/>
          </w:tcPr>
          <w:p w14:paraId="473FA072" w14:textId="77777777" w:rsidR="002C0FD9" w:rsidRPr="00CA25CF" w:rsidRDefault="002C0FD9" w:rsidP="00CA25CF">
            <w:pPr>
              <w:rPr>
                <w:rFonts w:cs="Arial"/>
                <w:color w:val="FF0000"/>
                <w:sz w:val="21"/>
                <w:szCs w:val="21"/>
              </w:rPr>
            </w:pPr>
          </w:p>
        </w:tc>
        <w:tc>
          <w:tcPr>
            <w:tcW w:w="217" w:type="dxa"/>
          </w:tcPr>
          <w:p w14:paraId="6EFB1FF6" w14:textId="77777777" w:rsidR="002C0FD9" w:rsidRPr="00CA25CF" w:rsidRDefault="002C0FD9" w:rsidP="00CA25CF">
            <w:pPr>
              <w:rPr>
                <w:rFonts w:cs="Arial"/>
                <w:color w:val="FF0000"/>
                <w:sz w:val="21"/>
                <w:szCs w:val="21"/>
              </w:rPr>
            </w:pPr>
          </w:p>
        </w:tc>
        <w:tc>
          <w:tcPr>
            <w:tcW w:w="217" w:type="dxa"/>
          </w:tcPr>
          <w:p w14:paraId="33060572" w14:textId="77777777" w:rsidR="002C0FD9" w:rsidRPr="00CA25CF" w:rsidRDefault="002C0FD9" w:rsidP="00CA25CF">
            <w:pPr>
              <w:rPr>
                <w:rFonts w:cs="Arial"/>
                <w:color w:val="FF0000"/>
                <w:sz w:val="21"/>
                <w:szCs w:val="21"/>
              </w:rPr>
            </w:pPr>
          </w:p>
        </w:tc>
        <w:tc>
          <w:tcPr>
            <w:tcW w:w="217" w:type="dxa"/>
          </w:tcPr>
          <w:p w14:paraId="090BC19B" w14:textId="77777777" w:rsidR="002C0FD9" w:rsidRPr="00CA25CF" w:rsidRDefault="002C0FD9" w:rsidP="00CA25CF">
            <w:pPr>
              <w:rPr>
                <w:rFonts w:cs="Arial"/>
                <w:color w:val="FF0000"/>
                <w:sz w:val="21"/>
                <w:szCs w:val="21"/>
              </w:rPr>
            </w:pPr>
          </w:p>
        </w:tc>
        <w:tc>
          <w:tcPr>
            <w:tcW w:w="217" w:type="dxa"/>
          </w:tcPr>
          <w:p w14:paraId="230F0CF6" w14:textId="77777777" w:rsidR="002C0FD9" w:rsidRPr="00CA25CF" w:rsidRDefault="002C0FD9" w:rsidP="00CA25CF">
            <w:pPr>
              <w:rPr>
                <w:rFonts w:cs="Arial"/>
                <w:color w:val="FF0000"/>
                <w:sz w:val="21"/>
                <w:szCs w:val="21"/>
              </w:rPr>
            </w:pPr>
          </w:p>
        </w:tc>
        <w:tc>
          <w:tcPr>
            <w:tcW w:w="217" w:type="dxa"/>
          </w:tcPr>
          <w:p w14:paraId="1370EEF2" w14:textId="77777777" w:rsidR="002C0FD9" w:rsidRPr="00CA25CF" w:rsidRDefault="002C0FD9" w:rsidP="00CA25CF">
            <w:pPr>
              <w:rPr>
                <w:rFonts w:cs="Arial"/>
                <w:color w:val="FF0000"/>
                <w:sz w:val="21"/>
                <w:szCs w:val="21"/>
              </w:rPr>
            </w:pPr>
          </w:p>
        </w:tc>
        <w:tc>
          <w:tcPr>
            <w:tcW w:w="217" w:type="dxa"/>
          </w:tcPr>
          <w:p w14:paraId="6E8B6884" w14:textId="77777777" w:rsidR="002C0FD9" w:rsidRPr="00CA25CF" w:rsidRDefault="002C0FD9" w:rsidP="00CA25CF">
            <w:pPr>
              <w:rPr>
                <w:rFonts w:cs="Arial"/>
                <w:color w:val="FF0000"/>
                <w:sz w:val="21"/>
                <w:szCs w:val="21"/>
              </w:rPr>
            </w:pPr>
          </w:p>
        </w:tc>
        <w:tc>
          <w:tcPr>
            <w:tcW w:w="217" w:type="dxa"/>
          </w:tcPr>
          <w:p w14:paraId="75358F67" w14:textId="77777777" w:rsidR="002C0FD9" w:rsidRPr="00CA25CF" w:rsidRDefault="002C0FD9" w:rsidP="00CA25CF">
            <w:pPr>
              <w:rPr>
                <w:rFonts w:cs="Arial"/>
                <w:color w:val="FF0000"/>
                <w:sz w:val="21"/>
                <w:szCs w:val="21"/>
              </w:rPr>
            </w:pPr>
          </w:p>
        </w:tc>
        <w:tc>
          <w:tcPr>
            <w:tcW w:w="217" w:type="dxa"/>
          </w:tcPr>
          <w:p w14:paraId="22CB6193" w14:textId="77777777" w:rsidR="002C0FD9" w:rsidRPr="00CA25CF" w:rsidRDefault="002C0FD9" w:rsidP="00CA25CF">
            <w:pPr>
              <w:rPr>
                <w:rFonts w:cs="Arial"/>
                <w:color w:val="FF0000"/>
                <w:sz w:val="21"/>
                <w:szCs w:val="21"/>
              </w:rPr>
            </w:pPr>
          </w:p>
        </w:tc>
      </w:tr>
      <w:tr w:rsidR="002C0FD9" w:rsidRPr="00A16219" w14:paraId="1F1D7153" w14:textId="665967C1" w:rsidTr="002C0FD9">
        <w:trPr>
          <w:trHeight w:val="635"/>
        </w:trPr>
        <w:tc>
          <w:tcPr>
            <w:tcW w:w="515" w:type="dxa"/>
          </w:tcPr>
          <w:p w14:paraId="1D1B26BE" w14:textId="77777777" w:rsidR="002C0FD9" w:rsidRPr="00CA25CF" w:rsidRDefault="002C0FD9" w:rsidP="00CA25CF">
            <w:pPr>
              <w:rPr>
                <w:rFonts w:cs="Arial"/>
                <w:color w:val="FF0000"/>
                <w:sz w:val="21"/>
                <w:szCs w:val="21"/>
              </w:rPr>
            </w:pPr>
          </w:p>
        </w:tc>
        <w:tc>
          <w:tcPr>
            <w:tcW w:w="217" w:type="dxa"/>
          </w:tcPr>
          <w:p w14:paraId="34D10164" w14:textId="77777777" w:rsidR="002C0FD9" w:rsidRPr="00CA25CF" w:rsidRDefault="002C0FD9" w:rsidP="00CA25CF">
            <w:pPr>
              <w:rPr>
                <w:rFonts w:cs="Arial"/>
                <w:color w:val="FF0000"/>
                <w:sz w:val="21"/>
                <w:szCs w:val="21"/>
              </w:rPr>
            </w:pPr>
          </w:p>
        </w:tc>
        <w:tc>
          <w:tcPr>
            <w:tcW w:w="217" w:type="dxa"/>
          </w:tcPr>
          <w:p w14:paraId="35A9FD59" w14:textId="06E5B157" w:rsidR="002C0FD9" w:rsidRPr="00CA25CF" w:rsidRDefault="002C0FD9" w:rsidP="00CA25CF">
            <w:pPr>
              <w:rPr>
                <w:rFonts w:cs="Arial"/>
                <w:color w:val="FF0000"/>
                <w:sz w:val="21"/>
                <w:szCs w:val="21"/>
              </w:rPr>
            </w:pPr>
          </w:p>
        </w:tc>
        <w:tc>
          <w:tcPr>
            <w:tcW w:w="217" w:type="dxa"/>
          </w:tcPr>
          <w:p w14:paraId="55690D42" w14:textId="77777777" w:rsidR="002C0FD9" w:rsidRPr="00CA25CF" w:rsidRDefault="002C0FD9" w:rsidP="00CA25CF">
            <w:pPr>
              <w:rPr>
                <w:rFonts w:cs="Arial"/>
                <w:color w:val="FF0000"/>
                <w:sz w:val="21"/>
                <w:szCs w:val="21"/>
              </w:rPr>
            </w:pPr>
          </w:p>
        </w:tc>
        <w:tc>
          <w:tcPr>
            <w:tcW w:w="217" w:type="dxa"/>
          </w:tcPr>
          <w:p w14:paraId="3A2E7338" w14:textId="77777777" w:rsidR="002C0FD9" w:rsidRPr="00CA25CF" w:rsidRDefault="002C0FD9" w:rsidP="00CA25CF">
            <w:pPr>
              <w:rPr>
                <w:rFonts w:cs="Arial"/>
                <w:color w:val="FF0000"/>
                <w:sz w:val="21"/>
                <w:szCs w:val="21"/>
              </w:rPr>
            </w:pPr>
          </w:p>
        </w:tc>
        <w:tc>
          <w:tcPr>
            <w:tcW w:w="217" w:type="dxa"/>
          </w:tcPr>
          <w:p w14:paraId="230707CF" w14:textId="77777777" w:rsidR="002C0FD9" w:rsidRPr="00CA25CF" w:rsidRDefault="002C0FD9" w:rsidP="00CA25CF">
            <w:pPr>
              <w:rPr>
                <w:rFonts w:cs="Arial"/>
                <w:color w:val="FF0000"/>
                <w:sz w:val="21"/>
                <w:szCs w:val="21"/>
              </w:rPr>
            </w:pPr>
          </w:p>
        </w:tc>
        <w:tc>
          <w:tcPr>
            <w:tcW w:w="217" w:type="dxa"/>
          </w:tcPr>
          <w:p w14:paraId="5FC34938" w14:textId="77777777" w:rsidR="002C0FD9" w:rsidRPr="00CA25CF" w:rsidRDefault="002C0FD9" w:rsidP="00CA25CF">
            <w:pPr>
              <w:rPr>
                <w:rFonts w:cs="Arial"/>
                <w:color w:val="FF0000"/>
                <w:sz w:val="21"/>
                <w:szCs w:val="21"/>
              </w:rPr>
            </w:pPr>
          </w:p>
        </w:tc>
        <w:tc>
          <w:tcPr>
            <w:tcW w:w="217" w:type="dxa"/>
          </w:tcPr>
          <w:p w14:paraId="61DCCBF3" w14:textId="77777777" w:rsidR="002C0FD9" w:rsidRPr="00CA25CF" w:rsidRDefault="002C0FD9" w:rsidP="00CA25CF">
            <w:pPr>
              <w:rPr>
                <w:rFonts w:cs="Arial"/>
                <w:color w:val="FF0000"/>
                <w:sz w:val="21"/>
                <w:szCs w:val="21"/>
              </w:rPr>
            </w:pPr>
          </w:p>
        </w:tc>
        <w:tc>
          <w:tcPr>
            <w:tcW w:w="217" w:type="dxa"/>
          </w:tcPr>
          <w:p w14:paraId="6E89049D" w14:textId="77777777" w:rsidR="002C0FD9" w:rsidRPr="00CA25CF" w:rsidRDefault="002C0FD9" w:rsidP="00CA25CF">
            <w:pPr>
              <w:rPr>
                <w:rFonts w:cs="Arial"/>
                <w:color w:val="FF0000"/>
                <w:sz w:val="21"/>
                <w:szCs w:val="21"/>
              </w:rPr>
            </w:pPr>
          </w:p>
        </w:tc>
        <w:tc>
          <w:tcPr>
            <w:tcW w:w="217" w:type="dxa"/>
          </w:tcPr>
          <w:p w14:paraId="1982E4FD" w14:textId="77777777" w:rsidR="002C0FD9" w:rsidRPr="00CA25CF" w:rsidRDefault="002C0FD9" w:rsidP="00CA25CF">
            <w:pPr>
              <w:rPr>
                <w:rFonts w:cs="Arial"/>
                <w:color w:val="FF0000"/>
                <w:sz w:val="21"/>
                <w:szCs w:val="21"/>
              </w:rPr>
            </w:pPr>
          </w:p>
        </w:tc>
        <w:tc>
          <w:tcPr>
            <w:tcW w:w="217" w:type="dxa"/>
          </w:tcPr>
          <w:p w14:paraId="4D976B3E" w14:textId="77777777" w:rsidR="002C0FD9" w:rsidRPr="00CA25CF" w:rsidRDefault="002C0FD9" w:rsidP="00CA25CF">
            <w:pPr>
              <w:rPr>
                <w:rFonts w:cs="Arial"/>
                <w:color w:val="FF0000"/>
                <w:sz w:val="21"/>
                <w:szCs w:val="21"/>
              </w:rPr>
            </w:pPr>
          </w:p>
        </w:tc>
        <w:tc>
          <w:tcPr>
            <w:tcW w:w="217" w:type="dxa"/>
          </w:tcPr>
          <w:p w14:paraId="44F9FF3E" w14:textId="77777777" w:rsidR="002C0FD9" w:rsidRPr="00CA25CF" w:rsidRDefault="002C0FD9" w:rsidP="00CA25CF">
            <w:pPr>
              <w:rPr>
                <w:rFonts w:cs="Arial"/>
                <w:color w:val="FF0000"/>
                <w:sz w:val="21"/>
                <w:szCs w:val="21"/>
              </w:rPr>
            </w:pPr>
          </w:p>
        </w:tc>
        <w:tc>
          <w:tcPr>
            <w:tcW w:w="217" w:type="dxa"/>
          </w:tcPr>
          <w:p w14:paraId="45C1BF92" w14:textId="77777777" w:rsidR="002C0FD9" w:rsidRPr="00CA25CF" w:rsidRDefault="002C0FD9" w:rsidP="00CA25CF">
            <w:pPr>
              <w:rPr>
                <w:rFonts w:cs="Arial"/>
                <w:color w:val="FF0000"/>
                <w:sz w:val="21"/>
                <w:szCs w:val="21"/>
              </w:rPr>
            </w:pPr>
          </w:p>
        </w:tc>
        <w:tc>
          <w:tcPr>
            <w:tcW w:w="217" w:type="dxa"/>
          </w:tcPr>
          <w:p w14:paraId="34DF19E8" w14:textId="77777777" w:rsidR="002C0FD9" w:rsidRPr="00CA25CF" w:rsidRDefault="002C0FD9" w:rsidP="00CA25CF">
            <w:pPr>
              <w:rPr>
                <w:rFonts w:cs="Arial"/>
                <w:color w:val="FF0000"/>
                <w:sz w:val="21"/>
                <w:szCs w:val="21"/>
              </w:rPr>
            </w:pPr>
          </w:p>
        </w:tc>
        <w:tc>
          <w:tcPr>
            <w:tcW w:w="217" w:type="dxa"/>
          </w:tcPr>
          <w:p w14:paraId="6DF1B943" w14:textId="77777777" w:rsidR="002C0FD9" w:rsidRPr="00CA25CF" w:rsidRDefault="002C0FD9" w:rsidP="00CA25CF">
            <w:pPr>
              <w:rPr>
                <w:rFonts w:cs="Arial"/>
                <w:color w:val="FF0000"/>
                <w:sz w:val="21"/>
                <w:szCs w:val="21"/>
              </w:rPr>
            </w:pPr>
          </w:p>
        </w:tc>
        <w:tc>
          <w:tcPr>
            <w:tcW w:w="217" w:type="dxa"/>
          </w:tcPr>
          <w:p w14:paraId="6D5D3354" w14:textId="77777777" w:rsidR="002C0FD9" w:rsidRPr="00CA25CF" w:rsidRDefault="002C0FD9" w:rsidP="00CA25CF">
            <w:pPr>
              <w:rPr>
                <w:rFonts w:cs="Arial"/>
                <w:color w:val="FF0000"/>
                <w:sz w:val="21"/>
                <w:szCs w:val="21"/>
              </w:rPr>
            </w:pPr>
          </w:p>
        </w:tc>
        <w:tc>
          <w:tcPr>
            <w:tcW w:w="217" w:type="dxa"/>
          </w:tcPr>
          <w:p w14:paraId="2B86FE40" w14:textId="77777777" w:rsidR="002C0FD9" w:rsidRPr="00CA25CF" w:rsidRDefault="002C0FD9" w:rsidP="00CA25CF">
            <w:pPr>
              <w:rPr>
                <w:rFonts w:cs="Arial"/>
                <w:color w:val="FF0000"/>
                <w:sz w:val="21"/>
                <w:szCs w:val="21"/>
              </w:rPr>
            </w:pPr>
          </w:p>
        </w:tc>
        <w:tc>
          <w:tcPr>
            <w:tcW w:w="217" w:type="dxa"/>
          </w:tcPr>
          <w:p w14:paraId="74D4A3E8" w14:textId="77777777" w:rsidR="002C0FD9" w:rsidRPr="00CA25CF" w:rsidRDefault="002C0FD9" w:rsidP="00CA25CF">
            <w:pPr>
              <w:rPr>
                <w:rFonts w:cs="Arial"/>
                <w:color w:val="FF0000"/>
                <w:sz w:val="21"/>
                <w:szCs w:val="21"/>
              </w:rPr>
            </w:pPr>
          </w:p>
        </w:tc>
        <w:tc>
          <w:tcPr>
            <w:tcW w:w="217" w:type="dxa"/>
          </w:tcPr>
          <w:p w14:paraId="1CA0E023" w14:textId="77777777" w:rsidR="002C0FD9" w:rsidRPr="00CA25CF" w:rsidRDefault="002C0FD9" w:rsidP="00CA25CF">
            <w:pPr>
              <w:rPr>
                <w:rFonts w:cs="Arial"/>
                <w:color w:val="FF0000"/>
                <w:sz w:val="21"/>
                <w:szCs w:val="21"/>
              </w:rPr>
            </w:pPr>
          </w:p>
        </w:tc>
        <w:tc>
          <w:tcPr>
            <w:tcW w:w="217" w:type="dxa"/>
          </w:tcPr>
          <w:p w14:paraId="62C364EC" w14:textId="77777777" w:rsidR="002C0FD9" w:rsidRPr="00CA25CF" w:rsidRDefault="002C0FD9" w:rsidP="00CA25CF">
            <w:pPr>
              <w:rPr>
                <w:rFonts w:cs="Arial"/>
                <w:color w:val="FF0000"/>
                <w:sz w:val="21"/>
                <w:szCs w:val="21"/>
              </w:rPr>
            </w:pPr>
          </w:p>
        </w:tc>
        <w:tc>
          <w:tcPr>
            <w:tcW w:w="217" w:type="dxa"/>
          </w:tcPr>
          <w:p w14:paraId="7D039323" w14:textId="77777777" w:rsidR="002C0FD9" w:rsidRPr="00CA25CF" w:rsidRDefault="002C0FD9" w:rsidP="00CA25CF">
            <w:pPr>
              <w:rPr>
                <w:rFonts w:cs="Arial"/>
                <w:color w:val="FF0000"/>
                <w:sz w:val="21"/>
                <w:szCs w:val="21"/>
              </w:rPr>
            </w:pPr>
          </w:p>
        </w:tc>
        <w:tc>
          <w:tcPr>
            <w:tcW w:w="217" w:type="dxa"/>
          </w:tcPr>
          <w:p w14:paraId="0D30AB04" w14:textId="77777777" w:rsidR="002C0FD9" w:rsidRPr="00CA25CF" w:rsidRDefault="002C0FD9" w:rsidP="00CA25CF">
            <w:pPr>
              <w:rPr>
                <w:rFonts w:cs="Arial"/>
                <w:color w:val="FF0000"/>
                <w:sz w:val="21"/>
                <w:szCs w:val="21"/>
              </w:rPr>
            </w:pPr>
          </w:p>
        </w:tc>
        <w:tc>
          <w:tcPr>
            <w:tcW w:w="217" w:type="dxa"/>
          </w:tcPr>
          <w:p w14:paraId="0EEE549F" w14:textId="77777777" w:rsidR="002C0FD9" w:rsidRPr="00CA25CF" w:rsidRDefault="002C0FD9" w:rsidP="00CA25CF">
            <w:pPr>
              <w:rPr>
                <w:rFonts w:cs="Arial"/>
                <w:color w:val="FF0000"/>
                <w:sz w:val="21"/>
                <w:szCs w:val="21"/>
              </w:rPr>
            </w:pPr>
          </w:p>
        </w:tc>
        <w:tc>
          <w:tcPr>
            <w:tcW w:w="217" w:type="dxa"/>
          </w:tcPr>
          <w:p w14:paraId="683114C0" w14:textId="77777777" w:rsidR="002C0FD9" w:rsidRPr="00CA25CF" w:rsidRDefault="002C0FD9" w:rsidP="00CA25CF">
            <w:pPr>
              <w:rPr>
                <w:rFonts w:cs="Arial"/>
                <w:color w:val="FF0000"/>
                <w:sz w:val="21"/>
                <w:szCs w:val="21"/>
              </w:rPr>
            </w:pPr>
          </w:p>
        </w:tc>
        <w:tc>
          <w:tcPr>
            <w:tcW w:w="217" w:type="dxa"/>
          </w:tcPr>
          <w:p w14:paraId="3DF60468" w14:textId="77777777" w:rsidR="002C0FD9" w:rsidRPr="00CA25CF" w:rsidRDefault="002C0FD9" w:rsidP="00CA25CF">
            <w:pPr>
              <w:rPr>
                <w:rFonts w:cs="Arial"/>
                <w:color w:val="FF0000"/>
                <w:sz w:val="21"/>
                <w:szCs w:val="21"/>
              </w:rPr>
            </w:pPr>
          </w:p>
        </w:tc>
        <w:tc>
          <w:tcPr>
            <w:tcW w:w="217" w:type="dxa"/>
          </w:tcPr>
          <w:p w14:paraId="2213F0E2" w14:textId="77777777" w:rsidR="002C0FD9" w:rsidRPr="00CA25CF" w:rsidRDefault="002C0FD9" w:rsidP="00CA25CF">
            <w:pPr>
              <w:rPr>
                <w:rFonts w:cs="Arial"/>
                <w:color w:val="FF0000"/>
                <w:sz w:val="21"/>
                <w:szCs w:val="21"/>
              </w:rPr>
            </w:pPr>
          </w:p>
        </w:tc>
        <w:tc>
          <w:tcPr>
            <w:tcW w:w="217" w:type="dxa"/>
          </w:tcPr>
          <w:p w14:paraId="720CE58A" w14:textId="77777777" w:rsidR="002C0FD9" w:rsidRPr="00CA25CF" w:rsidRDefault="002C0FD9" w:rsidP="00CA25CF">
            <w:pPr>
              <w:rPr>
                <w:rFonts w:cs="Arial"/>
                <w:color w:val="FF0000"/>
                <w:sz w:val="21"/>
                <w:szCs w:val="21"/>
              </w:rPr>
            </w:pPr>
          </w:p>
        </w:tc>
        <w:tc>
          <w:tcPr>
            <w:tcW w:w="217" w:type="dxa"/>
          </w:tcPr>
          <w:p w14:paraId="73CEDE5C" w14:textId="77777777" w:rsidR="002C0FD9" w:rsidRPr="00CA25CF" w:rsidRDefault="002C0FD9" w:rsidP="00CA25CF">
            <w:pPr>
              <w:rPr>
                <w:rFonts w:cs="Arial"/>
                <w:color w:val="FF0000"/>
                <w:sz w:val="21"/>
                <w:szCs w:val="21"/>
              </w:rPr>
            </w:pPr>
          </w:p>
        </w:tc>
        <w:tc>
          <w:tcPr>
            <w:tcW w:w="217" w:type="dxa"/>
          </w:tcPr>
          <w:p w14:paraId="62355998" w14:textId="77777777" w:rsidR="002C0FD9" w:rsidRPr="00CA25CF" w:rsidRDefault="002C0FD9" w:rsidP="00CA25CF">
            <w:pPr>
              <w:rPr>
                <w:rFonts w:cs="Arial"/>
                <w:color w:val="FF0000"/>
                <w:sz w:val="21"/>
                <w:szCs w:val="21"/>
              </w:rPr>
            </w:pPr>
          </w:p>
        </w:tc>
        <w:tc>
          <w:tcPr>
            <w:tcW w:w="217" w:type="dxa"/>
          </w:tcPr>
          <w:p w14:paraId="33BB04E5" w14:textId="77777777" w:rsidR="002C0FD9" w:rsidRPr="00CA25CF" w:rsidRDefault="002C0FD9" w:rsidP="00CA25CF">
            <w:pPr>
              <w:rPr>
                <w:rFonts w:cs="Arial"/>
                <w:color w:val="FF0000"/>
                <w:sz w:val="21"/>
                <w:szCs w:val="21"/>
              </w:rPr>
            </w:pPr>
          </w:p>
        </w:tc>
        <w:tc>
          <w:tcPr>
            <w:tcW w:w="217" w:type="dxa"/>
          </w:tcPr>
          <w:p w14:paraId="28B79584" w14:textId="77777777" w:rsidR="002C0FD9" w:rsidRPr="00CA25CF" w:rsidRDefault="002C0FD9" w:rsidP="00CA25CF">
            <w:pPr>
              <w:rPr>
                <w:rFonts w:cs="Arial"/>
                <w:color w:val="FF0000"/>
                <w:sz w:val="21"/>
                <w:szCs w:val="21"/>
              </w:rPr>
            </w:pPr>
          </w:p>
        </w:tc>
        <w:tc>
          <w:tcPr>
            <w:tcW w:w="217" w:type="dxa"/>
          </w:tcPr>
          <w:p w14:paraId="25EFB801" w14:textId="77777777" w:rsidR="002C0FD9" w:rsidRPr="00CA25CF" w:rsidRDefault="002C0FD9" w:rsidP="00CA25CF">
            <w:pPr>
              <w:rPr>
                <w:rFonts w:cs="Arial"/>
                <w:color w:val="FF0000"/>
                <w:sz w:val="21"/>
                <w:szCs w:val="21"/>
              </w:rPr>
            </w:pPr>
          </w:p>
        </w:tc>
        <w:tc>
          <w:tcPr>
            <w:tcW w:w="217" w:type="dxa"/>
          </w:tcPr>
          <w:p w14:paraId="7872CA0A" w14:textId="77777777" w:rsidR="002C0FD9" w:rsidRPr="00CA25CF" w:rsidRDefault="002C0FD9" w:rsidP="00CA25CF">
            <w:pPr>
              <w:rPr>
                <w:rFonts w:cs="Arial"/>
                <w:color w:val="FF0000"/>
                <w:sz w:val="21"/>
                <w:szCs w:val="21"/>
              </w:rPr>
            </w:pPr>
          </w:p>
        </w:tc>
        <w:tc>
          <w:tcPr>
            <w:tcW w:w="217" w:type="dxa"/>
          </w:tcPr>
          <w:p w14:paraId="66BDCD01" w14:textId="77777777" w:rsidR="002C0FD9" w:rsidRPr="00CA25CF" w:rsidRDefault="002C0FD9" w:rsidP="00CA25CF">
            <w:pPr>
              <w:rPr>
                <w:rFonts w:cs="Arial"/>
                <w:color w:val="FF0000"/>
                <w:sz w:val="21"/>
                <w:szCs w:val="21"/>
              </w:rPr>
            </w:pPr>
          </w:p>
        </w:tc>
        <w:tc>
          <w:tcPr>
            <w:tcW w:w="217" w:type="dxa"/>
          </w:tcPr>
          <w:p w14:paraId="1A6E8472" w14:textId="77777777" w:rsidR="002C0FD9" w:rsidRPr="00CA25CF" w:rsidRDefault="002C0FD9" w:rsidP="00CA25CF">
            <w:pPr>
              <w:rPr>
                <w:rFonts w:cs="Arial"/>
                <w:color w:val="FF0000"/>
                <w:sz w:val="21"/>
                <w:szCs w:val="21"/>
              </w:rPr>
            </w:pPr>
          </w:p>
        </w:tc>
        <w:tc>
          <w:tcPr>
            <w:tcW w:w="217" w:type="dxa"/>
          </w:tcPr>
          <w:p w14:paraId="1CDBBE2B" w14:textId="77777777" w:rsidR="002C0FD9" w:rsidRPr="00CA25CF" w:rsidRDefault="002C0FD9" w:rsidP="00CA25CF">
            <w:pPr>
              <w:rPr>
                <w:rFonts w:cs="Arial"/>
                <w:color w:val="FF0000"/>
                <w:sz w:val="21"/>
                <w:szCs w:val="21"/>
              </w:rPr>
            </w:pPr>
          </w:p>
        </w:tc>
        <w:tc>
          <w:tcPr>
            <w:tcW w:w="217" w:type="dxa"/>
          </w:tcPr>
          <w:p w14:paraId="351B264D" w14:textId="77777777" w:rsidR="002C0FD9" w:rsidRPr="00CA25CF" w:rsidRDefault="002C0FD9" w:rsidP="00CA25CF">
            <w:pPr>
              <w:rPr>
                <w:rFonts w:cs="Arial"/>
                <w:color w:val="FF0000"/>
                <w:sz w:val="21"/>
                <w:szCs w:val="21"/>
              </w:rPr>
            </w:pPr>
          </w:p>
        </w:tc>
        <w:tc>
          <w:tcPr>
            <w:tcW w:w="217" w:type="dxa"/>
          </w:tcPr>
          <w:p w14:paraId="6D993807" w14:textId="77777777" w:rsidR="002C0FD9" w:rsidRPr="00CA25CF" w:rsidRDefault="002C0FD9" w:rsidP="00CA25CF">
            <w:pPr>
              <w:rPr>
                <w:rFonts w:cs="Arial"/>
                <w:color w:val="FF0000"/>
                <w:sz w:val="21"/>
                <w:szCs w:val="21"/>
              </w:rPr>
            </w:pPr>
          </w:p>
        </w:tc>
        <w:tc>
          <w:tcPr>
            <w:tcW w:w="217" w:type="dxa"/>
          </w:tcPr>
          <w:p w14:paraId="2A075F81" w14:textId="77777777" w:rsidR="002C0FD9" w:rsidRPr="00CA25CF" w:rsidRDefault="002C0FD9" w:rsidP="00CA25CF">
            <w:pPr>
              <w:rPr>
                <w:rFonts w:cs="Arial"/>
                <w:color w:val="FF0000"/>
                <w:sz w:val="21"/>
                <w:szCs w:val="21"/>
              </w:rPr>
            </w:pPr>
          </w:p>
        </w:tc>
        <w:tc>
          <w:tcPr>
            <w:tcW w:w="217" w:type="dxa"/>
          </w:tcPr>
          <w:p w14:paraId="77E78E2F" w14:textId="77777777" w:rsidR="002C0FD9" w:rsidRPr="00CA25CF" w:rsidRDefault="002C0FD9" w:rsidP="00CA25CF">
            <w:pPr>
              <w:rPr>
                <w:rFonts w:cs="Arial"/>
                <w:color w:val="FF0000"/>
                <w:sz w:val="21"/>
                <w:szCs w:val="21"/>
              </w:rPr>
            </w:pPr>
          </w:p>
        </w:tc>
        <w:tc>
          <w:tcPr>
            <w:tcW w:w="217" w:type="dxa"/>
          </w:tcPr>
          <w:p w14:paraId="0946955E" w14:textId="77777777" w:rsidR="002C0FD9" w:rsidRPr="00CA25CF" w:rsidRDefault="002C0FD9" w:rsidP="00CA25CF">
            <w:pPr>
              <w:rPr>
                <w:rFonts w:cs="Arial"/>
                <w:color w:val="FF0000"/>
                <w:sz w:val="21"/>
                <w:szCs w:val="21"/>
              </w:rPr>
            </w:pPr>
          </w:p>
        </w:tc>
        <w:tc>
          <w:tcPr>
            <w:tcW w:w="217" w:type="dxa"/>
          </w:tcPr>
          <w:p w14:paraId="73DCE706" w14:textId="77777777" w:rsidR="002C0FD9" w:rsidRPr="00CA25CF" w:rsidRDefault="002C0FD9" w:rsidP="00CA25CF">
            <w:pPr>
              <w:rPr>
                <w:rFonts w:cs="Arial"/>
                <w:color w:val="FF0000"/>
                <w:sz w:val="21"/>
                <w:szCs w:val="21"/>
              </w:rPr>
            </w:pPr>
          </w:p>
        </w:tc>
        <w:tc>
          <w:tcPr>
            <w:tcW w:w="217" w:type="dxa"/>
          </w:tcPr>
          <w:p w14:paraId="7C97D400" w14:textId="77777777" w:rsidR="002C0FD9" w:rsidRPr="00CA25CF" w:rsidRDefault="002C0FD9" w:rsidP="00CA25CF">
            <w:pPr>
              <w:rPr>
                <w:rFonts w:cs="Arial"/>
                <w:color w:val="FF0000"/>
                <w:sz w:val="21"/>
                <w:szCs w:val="21"/>
              </w:rPr>
            </w:pPr>
          </w:p>
        </w:tc>
      </w:tr>
      <w:tr w:rsidR="002C0FD9" w:rsidRPr="00A16219" w14:paraId="79547F9D" w14:textId="3263A016" w:rsidTr="002C0FD9">
        <w:trPr>
          <w:trHeight w:val="635"/>
        </w:trPr>
        <w:tc>
          <w:tcPr>
            <w:tcW w:w="515" w:type="dxa"/>
          </w:tcPr>
          <w:p w14:paraId="479151D2" w14:textId="77777777" w:rsidR="002C0FD9" w:rsidRPr="00CA25CF" w:rsidRDefault="002C0FD9" w:rsidP="00CA25CF">
            <w:pPr>
              <w:rPr>
                <w:rFonts w:cs="Arial"/>
                <w:color w:val="FF0000"/>
                <w:sz w:val="21"/>
                <w:szCs w:val="21"/>
              </w:rPr>
            </w:pPr>
          </w:p>
        </w:tc>
        <w:tc>
          <w:tcPr>
            <w:tcW w:w="217" w:type="dxa"/>
          </w:tcPr>
          <w:p w14:paraId="1E4A660B" w14:textId="77777777" w:rsidR="002C0FD9" w:rsidRPr="00CA25CF" w:rsidRDefault="002C0FD9" w:rsidP="00CA25CF">
            <w:pPr>
              <w:rPr>
                <w:rFonts w:cs="Arial"/>
                <w:color w:val="FF0000"/>
                <w:sz w:val="21"/>
                <w:szCs w:val="21"/>
              </w:rPr>
            </w:pPr>
          </w:p>
        </w:tc>
        <w:tc>
          <w:tcPr>
            <w:tcW w:w="217" w:type="dxa"/>
          </w:tcPr>
          <w:p w14:paraId="2CFCC8DF" w14:textId="7ADD7E7C" w:rsidR="002C0FD9" w:rsidRPr="00CA25CF" w:rsidRDefault="002C0FD9" w:rsidP="00CA25CF">
            <w:pPr>
              <w:rPr>
                <w:rFonts w:cs="Arial"/>
                <w:color w:val="FF0000"/>
                <w:sz w:val="21"/>
                <w:szCs w:val="21"/>
              </w:rPr>
            </w:pPr>
          </w:p>
        </w:tc>
        <w:tc>
          <w:tcPr>
            <w:tcW w:w="217" w:type="dxa"/>
          </w:tcPr>
          <w:p w14:paraId="78B2D5D8" w14:textId="77777777" w:rsidR="002C0FD9" w:rsidRPr="00CA25CF" w:rsidRDefault="002C0FD9" w:rsidP="00CA25CF">
            <w:pPr>
              <w:rPr>
                <w:rFonts w:cs="Arial"/>
                <w:color w:val="FF0000"/>
                <w:sz w:val="21"/>
                <w:szCs w:val="21"/>
              </w:rPr>
            </w:pPr>
          </w:p>
        </w:tc>
        <w:tc>
          <w:tcPr>
            <w:tcW w:w="217" w:type="dxa"/>
          </w:tcPr>
          <w:p w14:paraId="7FC2C091" w14:textId="77777777" w:rsidR="002C0FD9" w:rsidRPr="00CA25CF" w:rsidRDefault="002C0FD9" w:rsidP="00CA25CF">
            <w:pPr>
              <w:rPr>
                <w:rFonts w:cs="Arial"/>
                <w:color w:val="FF0000"/>
                <w:sz w:val="21"/>
                <w:szCs w:val="21"/>
              </w:rPr>
            </w:pPr>
          </w:p>
        </w:tc>
        <w:tc>
          <w:tcPr>
            <w:tcW w:w="217" w:type="dxa"/>
          </w:tcPr>
          <w:p w14:paraId="6D6279AD" w14:textId="77777777" w:rsidR="002C0FD9" w:rsidRPr="00CA25CF" w:rsidRDefault="002C0FD9" w:rsidP="00CA25CF">
            <w:pPr>
              <w:rPr>
                <w:rFonts w:cs="Arial"/>
                <w:color w:val="FF0000"/>
                <w:sz w:val="21"/>
                <w:szCs w:val="21"/>
              </w:rPr>
            </w:pPr>
          </w:p>
        </w:tc>
        <w:tc>
          <w:tcPr>
            <w:tcW w:w="217" w:type="dxa"/>
          </w:tcPr>
          <w:p w14:paraId="75E2DD8D" w14:textId="77777777" w:rsidR="002C0FD9" w:rsidRPr="00CA25CF" w:rsidRDefault="002C0FD9" w:rsidP="00CA25CF">
            <w:pPr>
              <w:rPr>
                <w:rFonts w:cs="Arial"/>
                <w:color w:val="FF0000"/>
                <w:sz w:val="21"/>
                <w:szCs w:val="21"/>
              </w:rPr>
            </w:pPr>
          </w:p>
        </w:tc>
        <w:tc>
          <w:tcPr>
            <w:tcW w:w="217" w:type="dxa"/>
          </w:tcPr>
          <w:p w14:paraId="1B5A663B" w14:textId="77777777" w:rsidR="002C0FD9" w:rsidRPr="00CA25CF" w:rsidRDefault="002C0FD9" w:rsidP="00CA25CF">
            <w:pPr>
              <w:rPr>
                <w:rFonts w:cs="Arial"/>
                <w:color w:val="FF0000"/>
                <w:sz w:val="21"/>
                <w:szCs w:val="21"/>
              </w:rPr>
            </w:pPr>
          </w:p>
        </w:tc>
        <w:tc>
          <w:tcPr>
            <w:tcW w:w="217" w:type="dxa"/>
          </w:tcPr>
          <w:p w14:paraId="7610B095" w14:textId="77777777" w:rsidR="002C0FD9" w:rsidRPr="00CA25CF" w:rsidRDefault="002C0FD9" w:rsidP="00CA25CF">
            <w:pPr>
              <w:rPr>
                <w:rFonts w:cs="Arial"/>
                <w:color w:val="FF0000"/>
                <w:sz w:val="21"/>
                <w:szCs w:val="21"/>
              </w:rPr>
            </w:pPr>
          </w:p>
        </w:tc>
        <w:tc>
          <w:tcPr>
            <w:tcW w:w="217" w:type="dxa"/>
          </w:tcPr>
          <w:p w14:paraId="79534B72" w14:textId="77777777" w:rsidR="002C0FD9" w:rsidRPr="00CA25CF" w:rsidRDefault="002C0FD9" w:rsidP="00CA25CF">
            <w:pPr>
              <w:rPr>
                <w:rFonts w:cs="Arial"/>
                <w:color w:val="FF0000"/>
                <w:sz w:val="21"/>
                <w:szCs w:val="21"/>
              </w:rPr>
            </w:pPr>
          </w:p>
        </w:tc>
        <w:tc>
          <w:tcPr>
            <w:tcW w:w="217" w:type="dxa"/>
          </w:tcPr>
          <w:p w14:paraId="0B825645" w14:textId="77777777" w:rsidR="002C0FD9" w:rsidRPr="00CA25CF" w:rsidRDefault="002C0FD9" w:rsidP="00CA25CF">
            <w:pPr>
              <w:rPr>
                <w:rFonts w:cs="Arial"/>
                <w:color w:val="FF0000"/>
                <w:sz w:val="21"/>
                <w:szCs w:val="21"/>
              </w:rPr>
            </w:pPr>
          </w:p>
        </w:tc>
        <w:tc>
          <w:tcPr>
            <w:tcW w:w="217" w:type="dxa"/>
          </w:tcPr>
          <w:p w14:paraId="2234404D" w14:textId="77777777" w:rsidR="002C0FD9" w:rsidRPr="00CA25CF" w:rsidRDefault="002C0FD9" w:rsidP="00CA25CF">
            <w:pPr>
              <w:rPr>
                <w:rFonts w:cs="Arial"/>
                <w:color w:val="FF0000"/>
                <w:sz w:val="21"/>
                <w:szCs w:val="21"/>
              </w:rPr>
            </w:pPr>
          </w:p>
        </w:tc>
        <w:tc>
          <w:tcPr>
            <w:tcW w:w="217" w:type="dxa"/>
          </w:tcPr>
          <w:p w14:paraId="49939C65" w14:textId="77777777" w:rsidR="002C0FD9" w:rsidRPr="00CA25CF" w:rsidRDefault="002C0FD9" w:rsidP="00CA25CF">
            <w:pPr>
              <w:rPr>
                <w:rFonts w:cs="Arial"/>
                <w:color w:val="FF0000"/>
                <w:sz w:val="21"/>
                <w:szCs w:val="21"/>
              </w:rPr>
            </w:pPr>
          </w:p>
        </w:tc>
        <w:tc>
          <w:tcPr>
            <w:tcW w:w="217" w:type="dxa"/>
          </w:tcPr>
          <w:p w14:paraId="3EE3A10A" w14:textId="77777777" w:rsidR="002C0FD9" w:rsidRPr="00CA25CF" w:rsidRDefault="002C0FD9" w:rsidP="00CA25CF">
            <w:pPr>
              <w:rPr>
                <w:rFonts w:cs="Arial"/>
                <w:color w:val="FF0000"/>
                <w:sz w:val="21"/>
                <w:szCs w:val="21"/>
              </w:rPr>
            </w:pPr>
          </w:p>
        </w:tc>
        <w:tc>
          <w:tcPr>
            <w:tcW w:w="217" w:type="dxa"/>
          </w:tcPr>
          <w:p w14:paraId="3DA5C803" w14:textId="77777777" w:rsidR="002C0FD9" w:rsidRPr="00CA25CF" w:rsidRDefault="002C0FD9" w:rsidP="00CA25CF">
            <w:pPr>
              <w:rPr>
                <w:rFonts w:cs="Arial"/>
                <w:color w:val="FF0000"/>
                <w:sz w:val="21"/>
                <w:szCs w:val="21"/>
              </w:rPr>
            </w:pPr>
          </w:p>
        </w:tc>
        <w:tc>
          <w:tcPr>
            <w:tcW w:w="217" w:type="dxa"/>
          </w:tcPr>
          <w:p w14:paraId="1BF6EA97" w14:textId="77777777" w:rsidR="002C0FD9" w:rsidRPr="00CA25CF" w:rsidRDefault="002C0FD9" w:rsidP="00CA25CF">
            <w:pPr>
              <w:rPr>
                <w:rFonts w:cs="Arial"/>
                <w:color w:val="FF0000"/>
                <w:sz w:val="21"/>
                <w:szCs w:val="21"/>
              </w:rPr>
            </w:pPr>
          </w:p>
        </w:tc>
        <w:tc>
          <w:tcPr>
            <w:tcW w:w="217" w:type="dxa"/>
          </w:tcPr>
          <w:p w14:paraId="6A9271FA" w14:textId="77777777" w:rsidR="002C0FD9" w:rsidRPr="00CA25CF" w:rsidRDefault="002C0FD9" w:rsidP="00CA25CF">
            <w:pPr>
              <w:rPr>
                <w:rFonts w:cs="Arial"/>
                <w:color w:val="FF0000"/>
                <w:sz w:val="21"/>
                <w:szCs w:val="21"/>
              </w:rPr>
            </w:pPr>
          </w:p>
        </w:tc>
        <w:tc>
          <w:tcPr>
            <w:tcW w:w="217" w:type="dxa"/>
          </w:tcPr>
          <w:p w14:paraId="0F2B7CD5" w14:textId="77777777" w:rsidR="002C0FD9" w:rsidRPr="00CA25CF" w:rsidRDefault="002C0FD9" w:rsidP="00CA25CF">
            <w:pPr>
              <w:rPr>
                <w:rFonts w:cs="Arial"/>
                <w:color w:val="FF0000"/>
                <w:sz w:val="21"/>
                <w:szCs w:val="21"/>
              </w:rPr>
            </w:pPr>
          </w:p>
        </w:tc>
        <w:tc>
          <w:tcPr>
            <w:tcW w:w="217" w:type="dxa"/>
          </w:tcPr>
          <w:p w14:paraId="1260B845" w14:textId="77777777" w:rsidR="002C0FD9" w:rsidRPr="00CA25CF" w:rsidRDefault="002C0FD9" w:rsidP="00CA25CF">
            <w:pPr>
              <w:rPr>
                <w:rFonts w:cs="Arial"/>
                <w:color w:val="FF0000"/>
                <w:sz w:val="21"/>
                <w:szCs w:val="21"/>
              </w:rPr>
            </w:pPr>
          </w:p>
        </w:tc>
        <w:tc>
          <w:tcPr>
            <w:tcW w:w="217" w:type="dxa"/>
          </w:tcPr>
          <w:p w14:paraId="2389EE15" w14:textId="77777777" w:rsidR="002C0FD9" w:rsidRPr="00CA25CF" w:rsidRDefault="002C0FD9" w:rsidP="00CA25CF">
            <w:pPr>
              <w:rPr>
                <w:rFonts w:cs="Arial"/>
                <w:color w:val="FF0000"/>
                <w:sz w:val="21"/>
                <w:szCs w:val="21"/>
              </w:rPr>
            </w:pPr>
          </w:p>
        </w:tc>
        <w:tc>
          <w:tcPr>
            <w:tcW w:w="217" w:type="dxa"/>
          </w:tcPr>
          <w:p w14:paraId="7D7F6C40" w14:textId="77777777" w:rsidR="002C0FD9" w:rsidRPr="00CA25CF" w:rsidRDefault="002C0FD9" w:rsidP="00CA25CF">
            <w:pPr>
              <w:rPr>
                <w:rFonts w:cs="Arial"/>
                <w:color w:val="FF0000"/>
                <w:sz w:val="21"/>
                <w:szCs w:val="21"/>
              </w:rPr>
            </w:pPr>
          </w:p>
        </w:tc>
        <w:tc>
          <w:tcPr>
            <w:tcW w:w="217" w:type="dxa"/>
          </w:tcPr>
          <w:p w14:paraId="1C68BE2D" w14:textId="77777777" w:rsidR="002C0FD9" w:rsidRPr="00CA25CF" w:rsidRDefault="002C0FD9" w:rsidP="00CA25CF">
            <w:pPr>
              <w:rPr>
                <w:rFonts w:cs="Arial"/>
                <w:color w:val="FF0000"/>
                <w:sz w:val="21"/>
                <w:szCs w:val="21"/>
              </w:rPr>
            </w:pPr>
          </w:p>
        </w:tc>
        <w:tc>
          <w:tcPr>
            <w:tcW w:w="217" w:type="dxa"/>
          </w:tcPr>
          <w:p w14:paraId="330129BC" w14:textId="77777777" w:rsidR="002C0FD9" w:rsidRPr="00CA25CF" w:rsidRDefault="002C0FD9" w:rsidP="00CA25CF">
            <w:pPr>
              <w:rPr>
                <w:rFonts w:cs="Arial"/>
                <w:color w:val="FF0000"/>
                <w:sz w:val="21"/>
                <w:szCs w:val="21"/>
              </w:rPr>
            </w:pPr>
          </w:p>
        </w:tc>
        <w:tc>
          <w:tcPr>
            <w:tcW w:w="217" w:type="dxa"/>
          </w:tcPr>
          <w:p w14:paraId="4EAADE8C" w14:textId="77777777" w:rsidR="002C0FD9" w:rsidRPr="00CA25CF" w:rsidRDefault="002C0FD9" w:rsidP="00CA25CF">
            <w:pPr>
              <w:rPr>
                <w:rFonts w:cs="Arial"/>
                <w:color w:val="FF0000"/>
                <w:sz w:val="21"/>
                <w:szCs w:val="21"/>
              </w:rPr>
            </w:pPr>
          </w:p>
        </w:tc>
        <w:tc>
          <w:tcPr>
            <w:tcW w:w="217" w:type="dxa"/>
          </w:tcPr>
          <w:p w14:paraId="0C28851E" w14:textId="77777777" w:rsidR="002C0FD9" w:rsidRPr="00CA25CF" w:rsidRDefault="002C0FD9" w:rsidP="00CA25CF">
            <w:pPr>
              <w:rPr>
                <w:rFonts w:cs="Arial"/>
                <w:color w:val="FF0000"/>
                <w:sz w:val="21"/>
                <w:szCs w:val="21"/>
              </w:rPr>
            </w:pPr>
          </w:p>
        </w:tc>
        <w:tc>
          <w:tcPr>
            <w:tcW w:w="217" w:type="dxa"/>
          </w:tcPr>
          <w:p w14:paraId="098784BA" w14:textId="77777777" w:rsidR="002C0FD9" w:rsidRPr="00CA25CF" w:rsidRDefault="002C0FD9" w:rsidP="00CA25CF">
            <w:pPr>
              <w:rPr>
                <w:rFonts w:cs="Arial"/>
                <w:color w:val="FF0000"/>
                <w:sz w:val="21"/>
                <w:szCs w:val="21"/>
              </w:rPr>
            </w:pPr>
          </w:p>
        </w:tc>
        <w:tc>
          <w:tcPr>
            <w:tcW w:w="217" w:type="dxa"/>
          </w:tcPr>
          <w:p w14:paraId="2EFB8938" w14:textId="77777777" w:rsidR="002C0FD9" w:rsidRPr="00CA25CF" w:rsidRDefault="002C0FD9" w:rsidP="00CA25CF">
            <w:pPr>
              <w:rPr>
                <w:rFonts w:cs="Arial"/>
                <w:color w:val="FF0000"/>
                <w:sz w:val="21"/>
                <w:szCs w:val="21"/>
              </w:rPr>
            </w:pPr>
          </w:p>
        </w:tc>
        <w:tc>
          <w:tcPr>
            <w:tcW w:w="217" w:type="dxa"/>
          </w:tcPr>
          <w:p w14:paraId="02CC0549" w14:textId="77777777" w:rsidR="002C0FD9" w:rsidRPr="00CA25CF" w:rsidRDefault="002C0FD9" w:rsidP="00CA25CF">
            <w:pPr>
              <w:rPr>
                <w:rFonts w:cs="Arial"/>
                <w:color w:val="FF0000"/>
                <w:sz w:val="21"/>
                <w:szCs w:val="21"/>
              </w:rPr>
            </w:pPr>
          </w:p>
        </w:tc>
        <w:tc>
          <w:tcPr>
            <w:tcW w:w="217" w:type="dxa"/>
          </w:tcPr>
          <w:p w14:paraId="67F3701F" w14:textId="77777777" w:rsidR="002C0FD9" w:rsidRPr="00CA25CF" w:rsidRDefault="002C0FD9" w:rsidP="00CA25CF">
            <w:pPr>
              <w:rPr>
                <w:rFonts w:cs="Arial"/>
                <w:color w:val="FF0000"/>
                <w:sz w:val="21"/>
                <w:szCs w:val="21"/>
              </w:rPr>
            </w:pPr>
          </w:p>
        </w:tc>
        <w:tc>
          <w:tcPr>
            <w:tcW w:w="217" w:type="dxa"/>
          </w:tcPr>
          <w:p w14:paraId="012154B9" w14:textId="77777777" w:rsidR="002C0FD9" w:rsidRPr="00CA25CF" w:rsidRDefault="002C0FD9" w:rsidP="00CA25CF">
            <w:pPr>
              <w:rPr>
                <w:rFonts w:cs="Arial"/>
                <w:color w:val="FF0000"/>
                <w:sz w:val="21"/>
                <w:szCs w:val="21"/>
              </w:rPr>
            </w:pPr>
          </w:p>
        </w:tc>
        <w:tc>
          <w:tcPr>
            <w:tcW w:w="217" w:type="dxa"/>
          </w:tcPr>
          <w:p w14:paraId="76BBE032" w14:textId="77777777" w:rsidR="002C0FD9" w:rsidRPr="00CA25CF" w:rsidRDefault="002C0FD9" w:rsidP="00CA25CF">
            <w:pPr>
              <w:rPr>
                <w:rFonts w:cs="Arial"/>
                <w:color w:val="FF0000"/>
                <w:sz w:val="21"/>
                <w:szCs w:val="21"/>
              </w:rPr>
            </w:pPr>
          </w:p>
        </w:tc>
        <w:tc>
          <w:tcPr>
            <w:tcW w:w="217" w:type="dxa"/>
          </w:tcPr>
          <w:p w14:paraId="2094D7B3" w14:textId="77777777" w:rsidR="002C0FD9" w:rsidRPr="00CA25CF" w:rsidRDefault="002C0FD9" w:rsidP="00CA25CF">
            <w:pPr>
              <w:rPr>
                <w:rFonts w:cs="Arial"/>
                <w:color w:val="FF0000"/>
                <w:sz w:val="21"/>
                <w:szCs w:val="21"/>
              </w:rPr>
            </w:pPr>
          </w:p>
        </w:tc>
        <w:tc>
          <w:tcPr>
            <w:tcW w:w="217" w:type="dxa"/>
          </w:tcPr>
          <w:p w14:paraId="0923C4DF" w14:textId="77777777" w:rsidR="002C0FD9" w:rsidRPr="00CA25CF" w:rsidRDefault="002C0FD9" w:rsidP="00CA25CF">
            <w:pPr>
              <w:rPr>
                <w:rFonts w:cs="Arial"/>
                <w:color w:val="FF0000"/>
                <w:sz w:val="21"/>
                <w:szCs w:val="21"/>
              </w:rPr>
            </w:pPr>
          </w:p>
        </w:tc>
        <w:tc>
          <w:tcPr>
            <w:tcW w:w="217" w:type="dxa"/>
          </w:tcPr>
          <w:p w14:paraId="3C44667E" w14:textId="77777777" w:rsidR="002C0FD9" w:rsidRPr="00CA25CF" w:rsidRDefault="002C0FD9" w:rsidP="00CA25CF">
            <w:pPr>
              <w:rPr>
                <w:rFonts w:cs="Arial"/>
                <w:color w:val="FF0000"/>
                <w:sz w:val="21"/>
                <w:szCs w:val="21"/>
              </w:rPr>
            </w:pPr>
          </w:p>
        </w:tc>
        <w:tc>
          <w:tcPr>
            <w:tcW w:w="217" w:type="dxa"/>
          </w:tcPr>
          <w:p w14:paraId="271CD48E" w14:textId="77777777" w:rsidR="002C0FD9" w:rsidRPr="00CA25CF" w:rsidRDefault="002C0FD9" w:rsidP="00CA25CF">
            <w:pPr>
              <w:rPr>
                <w:rFonts w:cs="Arial"/>
                <w:color w:val="FF0000"/>
                <w:sz w:val="21"/>
                <w:szCs w:val="21"/>
              </w:rPr>
            </w:pPr>
          </w:p>
        </w:tc>
        <w:tc>
          <w:tcPr>
            <w:tcW w:w="217" w:type="dxa"/>
          </w:tcPr>
          <w:p w14:paraId="18130AD4" w14:textId="77777777" w:rsidR="002C0FD9" w:rsidRPr="00CA25CF" w:rsidRDefault="002C0FD9" w:rsidP="00CA25CF">
            <w:pPr>
              <w:rPr>
                <w:rFonts w:cs="Arial"/>
                <w:color w:val="FF0000"/>
                <w:sz w:val="21"/>
                <w:szCs w:val="21"/>
              </w:rPr>
            </w:pPr>
          </w:p>
        </w:tc>
        <w:tc>
          <w:tcPr>
            <w:tcW w:w="217" w:type="dxa"/>
          </w:tcPr>
          <w:p w14:paraId="2D93262E" w14:textId="77777777" w:rsidR="002C0FD9" w:rsidRPr="00CA25CF" w:rsidRDefault="002C0FD9" w:rsidP="00CA25CF">
            <w:pPr>
              <w:rPr>
                <w:rFonts w:cs="Arial"/>
                <w:color w:val="FF0000"/>
                <w:sz w:val="21"/>
                <w:szCs w:val="21"/>
              </w:rPr>
            </w:pPr>
          </w:p>
        </w:tc>
        <w:tc>
          <w:tcPr>
            <w:tcW w:w="217" w:type="dxa"/>
          </w:tcPr>
          <w:p w14:paraId="012C9146" w14:textId="77777777" w:rsidR="002C0FD9" w:rsidRPr="00CA25CF" w:rsidRDefault="002C0FD9" w:rsidP="00CA25CF">
            <w:pPr>
              <w:rPr>
                <w:rFonts w:cs="Arial"/>
                <w:color w:val="FF0000"/>
                <w:sz w:val="21"/>
                <w:szCs w:val="21"/>
              </w:rPr>
            </w:pPr>
          </w:p>
        </w:tc>
        <w:tc>
          <w:tcPr>
            <w:tcW w:w="217" w:type="dxa"/>
          </w:tcPr>
          <w:p w14:paraId="25CDE6C0" w14:textId="77777777" w:rsidR="002C0FD9" w:rsidRPr="00CA25CF" w:rsidRDefault="002C0FD9" w:rsidP="00CA25CF">
            <w:pPr>
              <w:rPr>
                <w:rFonts w:cs="Arial"/>
                <w:color w:val="FF0000"/>
                <w:sz w:val="21"/>
                <w:szCs w:val="21"/>
              </w:rPr>
            </w:pPr>
          </w:p>
        </w:tc>
        <w:tc>
          <w:tcPr>
            <w:tcW w:w="217" w:type="dxa"/>
          </w:tcPr>
          <w:p w14:paraId="671A0FB1" w14:textId="77777777" w:rsidR="002C0FD9" w:rsidRPr="00CA25CF" w:rsidRDefault="002C0FD9" w:rsidP="00CA25CF">
            <w:pPr>
              <w:rPr>
                <w:rFonts w:cs="Arial"/>
                <w:color w:val="FF0000"/>
                <w:sz w:val="21"/>
                <w:szCs w:val="21"/>
              </w:rPr>
            </w:pPr>
          </w:p>
        </w:tc>
        <w:tc>
          <w:tcPr>
            <w:tcW w:w="217" w:type="dxa"/>
          </w:tcPr>
          <w:p w14:paraId="6DD8EAA1" w14:textId="77777777" w:rsidR="002C0FD9" w:rsidRPr="00CA25CF" w:rsidRDefault="002C0FD9" w:rsidP="00CA25CF">
            <w:pPr>
              <w:rPr>
                <w:rFonts w:cs="Arial"/>
                <w:color w:val="FF0000"/>
                <w:sz w:val="21"/>
                <w:szCs w:val="21"/>
              </w:rPr>
            </w:pPr>
          </w:p>
        </w:tc>
        <w:tc>
          <w:tcPr>
            <w:tcW w:w="217" w:type="dxa"/>
          </w:tcPr>
          <w:p w14:paraId="35AE053F" w14:textId="77777777" w:rsidR="002C0FD9" w:rsidRPr="00CA25CF" w:rsidRDefault="002C0FD9" w:rsidP="00CA25CF">
            <w:pPr>
              <w:rPr>
                <w:rFonts w:cs="Arial"/>
                <w:color w:val="FF0000"/>
                <w:sz w:val="21"/>
                <w:szCs w:val="21"/>
              </w:rPr>
            </w:pPr>
          </w:p>
        </w:tc>
        <w:tc>
          <w:tcPr>
            <w:tcW w:w="217" w:type="dxa"/>
          </w:tcPr>
          <w:p w14:paraId="700C04CC" w14:textId="77777777" w:rsidR="002C0FD9" w:rsidRPr="00CA25CF" w:rsidRDefault="002C0FD9" w:rsidP="00CA25CF">
            <w:pPr>
              <w:rPr>
                <w:rFonts w:cs="Arial"/>
                <w:color w:val="FF0000"/>
                <w:sz w:val="21"/>
                <w:szCs w:val="21"/>
              </w:rPr>
            </w:pPr>
          </w:p>
        </w:tc>
      </w:tr>
      <w:tr w:rsidR="002C0FD9" w:rsidRPr="00A16219" w14:paraId="4C929140" w14:textId="1D293830" w:rsidTr="002C0FD9">
        <w:trPr>
          <w:trHeight w:val="635"/>
        </w:trPr>
        <w:tc>
          <w:tcPr>
            <w:tcW w:w="515" w:type="dxa"/>
          </w:tcPr>
          <w:p w14:paraId="39B09DE0" w14:textId="77777777" w:rsidR="002C0FD9" w:rsidRPr="00CA25CF" w:rsidRDefault="002C0FD9" w:rsidP="00CA25CF">
            <w:pPr>
              <w:rPr>
                <w:rFonts w:cs="Arial"/>
                <w:color w:val="FF0000"/>
                <w:sz w:val="21"/>
                <w:szCs w:val="21"/>
              </w:rPr>
            </w:pPr>
          </w:p>
        </w:tc>
        <w:tc>
          <w:tcPr>
            <w:tcW w:w="217" w:type="dxa"/>
          </w:tcPr>
          <w:p w14:paraId="0B85034A" w14:textId="77777777" w:rsidR="002C0FD9" w:rsidRPr="00CA25CF" w:rsidRDefault="002C0FD9" w:rsidP="00CA25CF">
            <w:pPr>
              <w:rPr>
                <w:rFonts w:cs="Arial"/>
                <w:color w:val="FF0000"/>
                <w:sz w:val="21"/>
                <w:szCs w:val="21"/>
              </w:rPr>
            </w:pPr>
          </w:p>
        </w:tc>
        <w:tc>
          <w:tcPr>
            <w:tcW w:w="217" w:type="dxa"/>
          </w:tcPr>
          <w:p w14:paraId="47A56D2C" w14:textId="03DE8AF1" w:rsidR="002C0FD9" w:rsidRPr="00CA25CF" w:rsidRDefault="002C0FD9" w:rsidP="00CA25CF">
            <w:pPr>
              <w:rPr>
                <w:rFonts w:cs="Arial"/>
                <w:color w:val="FF0000"/>
                <w:sz w:val="21"/>
                <w:szCs w:val="21"/>
              </w:rPr>
            </w:pPr>
          </w:p>
        </w:tc>
        <w:tc>
          <w:tcPr>
            <w:tcW w:w="217" w:type="dxa"/>
          </w:tcPr>
          <w:p w14:paraId="3059FFCF" w14:textId="77777777" w:rsidR="002C0FD9" w:rsidRPr="00CA25CF" w:rsidRDefault="002C0FD9" w:rsidP="00CA25CF">
            <w:pPr>
              <w:rPr>
                <w:rFonts w:cs="Arial"/>
                <w:color w:val="FF0000"/>
                <w:sz w:val="21"/>
                <w:szCs w:val="21"/>
              </w:rPr>
            </w:pPr>
          </w:p>
        </w:tc>
        <w:tc>
          <w:tcPr>
            <w:tcW w:w="217" w:type="dxa"/>
          </w:tcPr>
          <w:p w14:paraId="07B78557" w14:textId="77777777" w:rsidR="002C0FD9" w:rsidRPr="00CA25CF" w:rsidRDefault="002C0FD9" w:rsidP="00CA25CF">
            <w:pPr>
              <w:rPr>
                <w:rFonts w:cs="Arial"/>
                <w:color w:val="FF0000"/>
                <w:sz w:val="21"/>
                <w:szCs w:val="21"/>
              </w:rPr>
            </w:pPr>
          </w:p>
        </w:tc>
        <w:tc>
          <w:tcPr>
            <w:tcW w:w="217" w:type="dxa"/>
          </w:tcPr>
          <w:p w14:paraId="2683059E" w14:textId="77777777" w:rsidR="002C0FD9" w:rsidRPr="00CA25CF" w:rsidRDefault="002C0FD9" w:rsidP="00CA25CF">
            <w:pPr>
              <w:rPr>
                <w:rFonts w:cs="Arial"/>
                <w:color w:val="FF0000"/>
                <w:sz w:val="21"/>
                <w:szCs w:val="21"/>
              </w:rPr>
            </w:pPr>
          </w:p>
        </w:tc>
        <w:tc>
          <w:tcPr>
            <w:tcW w:w="217" w:type="dxa"/>
          </w:tcPr>
          <w:p w14:paraId="0B7B3BEB" w14:textId="77777777" w:rsidR="002C0FD9" w:rsidRPr="00CA25CF" w:rsidRDefault="002C0FD9" w:rsidP="00CA25CF">
            <w:pPr>
              <w:rPr>
                <w:rFonts w:cs="Arial"/>
                <w:color w:val="FF0000"/>
                <w:sz w:val="21"/>
                <w:szCs w:val="21"/>
              </w:rPr>
            </w:pPr>
          </w:p>
        </w:tc>
        <w:tc>
          <w:tcPr>
            <w:tcW w:w="217" w:type="dxa"/>
          </w:tcPr>
          <w:p w14:paraId="11B65EB8" w14:textId="77777777" w:rsidR="002C0FD9" w:rsidRPr="00CA25CF" w:rsidRDefault="002C0FD9" w:rsidP="00CA25CF">
            <w:pPr>
              <w:rPr>
                <w:rFonts w:cs="Arial"/>
                <w:color w:val="FF0000"/>
                <w:sz w:val="21"/>
                <w:szCs w:val="21"/>
              </w:rPr>
            </w:pPr>
          </w:p>
        </w:tc>
        <w:tc>
          <w:tcPr>
            <w:tcW w:w="217" w:type="dxa"/>
          </w:tcPr>
          <w:p w14:paraId="1C5C831A" w14:textId="77777777" w:rsidR="002C0FD9" w:rsidRPr="00CA25CF" w:rsidRDefault="002C0FD9" w:rsidP="00CA25CF">
            <w:pPr>
              <w:rPr>
                <w:rFonts w:cs="Arial"/>
                <w:color w:val="FF0000"/>
                <w:sz w:val="21"/>
                <w:szCs w:val="21"/>
              </w:rPr>
            </w:pPr>
          </w:p>
        </w:tc>
        <w:tc>
          <w:tcPr>
            <w:tcW w:w="217" w:type="dxa"/>
          </w:tcPr>
          <w:p w14:paraId="241E3026" w14:textId="77777777" w:rsidR="002C0FD9" w:rsidRPr="00CA25CF" w:rsidRDefault="002C0FD9" w:rsidP="00CA25CF">
            <w:pPr>
              <w:rPr>
                <w:rFonts w:cs="Arial"/>
                <w:color w:val="FF0000"/>
                <w:sz w:val="21"/>
                <w:szCs w:val="21"/>
              </w:rPr>
            </w:pPr>
          </w:p>
        </w:tc>
        <w:tc>
          <w:tcPr>
            <w:tcW w:w="217" w:type="dxa"/>
          </w:tcPr>
          <w:p w14:paraId="3529E205" w14:textId="77777777" w:rsidR="002C0FD9" w:rsidRPr="00CA25CF" w:rsidRDefault="002C0FD9" w:rsidP="00CA25CF">
            <w:pPr>
              <w:rPr>
                <w:rFonts w:cs="Arial"/>
                <w:color w:val="FF0000"/>
                <w:sz w:val="21"/>
                <w:szCs w:val="21"/>
              </w:rPr>
            </w:pPr>
          </w:p>
        </w:tc>
        <w:tc>
          <w:tcPr>
            <w:tcW w:w="217" w:type="dxa"/>
          </w:tcPr>
          <w:p w14:paraId="22D0A6D8" w14:textId="77777777" w:rsidR="002C0FD9" w:rsidRPr="00CA25CF" w:rsidRDefault="002C0FD9" w:rsidP="00CA25CF">
            <w:pPr>
              <w:rPr>
                <w:rFonts w:cs="Arial"/>
                <w:color w:val="FF0000"/>
                <w:sz w:val="21"/>
                <w:szCs w:val="21"/>
              </w:rPr>
            </w:pPr>
          </w:p>
        </w:tc>
        <w:tc>
          <w:tcPr>
            <w:tcW w:w="217" w:type="dxa"/>
          </w:tcPr>
          <w:p w14:paraId="399D7BD2" w14:textId="77777777" w:rsidR="002C0FD9" w:rsidRPr="00CA25CF" w:rsidRDefault="002C0FD9" w:rsidP="00CA25CF">
            <w:pPr>
              <w:rPr>
                <w:rFonts w:cs="Arial"/>
                <w:color w:val="FF0000"/>
                <w:sz w:val="21"/>
                <w:szCs w:val="21"/>
              </w:rPr>
            </w:pPr>
          </w:p>
        </w:tc>
        <w:tc>
          <w:tcPr>
            <w:tcW w:w="217" w:type="dxa"/>
          </w:tcPr>
          <w:p w14:paraId="69A3E879" w14:textId="77777777" w:rsidR="002C0FD9" w:rsidRPr="00CA25CF" w:rsidRDefault="002C0FD9" w:rsidP="00CA25CF">
            <w:pPr>
              <w:rPr>
                <w:rFonts w:cs="Arial"/>
                <w:color w:val="FF0000"/>
                <w:sz w:val="21"/>
                <w:szCs w:val="21"/>
              </w:rPr>
            </w:pPr>
          </w:p>
        </w:tc>
        <w:tc>
          <w:tcPr>
            <w:tcW w:w="217" w:type="dxa"/>
          </w:tcPr>
          <w:p w14:paraId="501A6B35" w14:textId="77777777" w:rsidR="002C0FD9" w:rsidRPr="00CA25CF" w:rsidRDefault="002C0FD9" w:rsidP="00CA25CF">
            <w:pPr>
              <w:rPr>
                <w:rFonts w:cs="Arial"/>
                <w:color w:val="FF0000"/>
                <w:sz w:val="21"/>
                <w:szCs w:val="21"/>
              </w:rPr>
            </w:pPr>
          </w:p>
        </w:tc>
        <w:tc>
          <w:tcPr>
            <w:tcW w:w="217" w:type="dxa"/>
          </w:tcPr>
          <w:p w14:paraId="208FB6C2" w14:textId="77777777" w:rsidR="002C0FD9" w:rsidRPr="00CA25CF" w:rsidRDefault="002C0FD9" w:rsidP="00CA25CF">
            <w:pPr>
              <w:rPr>
                <w:rFonts w:cs="Arial"/>
                <w:color w:val="FF0000"/>
                <w:sz w:val="21"/>
                <w:szCs w:val="21"/>
              </w:rPr>
            </w:pPr>
          </w:p>
        </w:tc>
        <w:tc>
          <w:tcPr>
            <w:tcW w:w="217" w:type="dxa"/>
          </w:tcPr>
          <w:p w14:paraId="4462F689" w14:textId="77777777" w:rsidR="002C0FD9" w:rsidRPr="00CA25CF" w:rsidRDefault="002C0FD9" w:rsidP="00CA25CF">
            <w:pPr>
              <w:rPr>
                <w:rFonts w:cs="Arial"/>
                <w:color w:val="FF0000"/>
                <w:sz w:val="21"/>
                <w:szCs w:val="21"/>
              </w:rPr>
            </w:pPr>
          </w:p>
        </w:tc>
        <w:tc>
          <w:tcPr>
            <w:tcW w:w="217" w:type="dxa"/>
          </w:tcPr>
          <w:p w14:paraId="2398B93E" w14:textId="77777777" w:rsidR="002C0FD9" w:rsidRPr="00CA25CF" w:rsidRDefault="002C0FD9" w:rsidP="00CA25CF">
            <w:pPr>
              <w:rPr>
                <w:rFonts w:cs="Arial"/>
                <w:color w:val="FF0000"/>
                <w:sz w:val="21"/>
                <w:szCs w:val="21"/>
              </w:rPr>
            </w:pPr>
          </w:p>
        </w:tc>
        <w:tc>
          <w:tcPr>
            <w:tcW w:w="217" w:type="dxa"/>
          </w:tcPr>
          <w:p w14:paraId="35074056" w14:textId="77777777" w:rsidR="002C0FD9" w:rsidRPr="00CA25CF" w:rsidRDefault="002C0FD9" w:rsidP="00CA25CF">
            <w:pPr>
              <w:rPr>
                <w:rFonts w:cs="Arial"/>
                <w:color w:val="FF0000"/>
                <w:sz w:val="21"/>
                <w:szCs w:val="21"/>
              </w:rPr>
            </w:pPr>
          </w:p>
        </w:tc>
        <w:tc>
          <w:tcPr>
            <w:tcW w:w="217" w:type="dxa"/>
          </w:tcPr>
          <w:p w14:paraId="723C01A6" w14:textId="77777777" w:rsidR="002C0FD9" w:rsidRPr="00CA25CF" w:rsidRDefault="002C0FD9" w:rsidP="00CA25CF">
            <w:pPr>
              <w:rPr>
                <w:rFonts w:cs="Arial"/>
                <w:color w:val="FF0000"/>
                <w:sz w:val="21"/>
                <w:szCs w:val="21"/>
              </w:rPr>
            </w:pPr>
          </w:p>
        </w:tc>
        <w:tc>
          <w:tcPr>
            <w:tcW w:w="217" w:type="dxa"/>
          </w:tcPr>
          <w:p w14:paraId="0318386A" w14:textId="77777777" w:rsidR="002C0FD9" w:rsidRPr="00CA25CF" w:rsidRDefault="002C0FD9" w:rsidP="00CA25CF">
            <w:pPr>
              <w:rPr>
                <w:rFonts w:cs="Arial"/>
                <w:color w:val="FF0000"/>
                <w:sz w:val="21"/>
                <w:szCs w:val="21"/>
              </w:rPr>
            </w:pPr>
          </w:p>
        </w:tc>
        <w:tc>
          <w:tcPr>
            <w:tcW w:w="217" w:type="dxa"/>
          </w:tcPr>
          <w:p w14:paraId="5338FEC4" w14:textId="77777777" w:rsidR="002C0FD9" w:rsidRPr="00CA25CF" w:rsidRDefault="002C0FD9" w:rsidP="00CA25CF">
            <w:pPr>
              <w:rPr>
                <w:rFonts w:cs="Arial"/>
                <w:color w:val="FF0000"/>
                <w:sz w:val="21"/>
                <w:szCs w:val="21"/>
              </w:rPr>
            </w:pPr>
          </w:p>
        </w:tc>
        <w:tc>
          <w:tcPr>
            <w:tcW w:w="217" w:type="dxa"/>
          </w:tcPr>
          <w:p w14:paraId="515D58A3" w14:textId="77777777" w:rsidR="002C0FD9" w:rsidRPr="00CA25CF" w:rsidRDefault="002C0FD9" w:rsidP="00CA25CF">
            <w:pPr>
              <w:rPr>
                <w:rFonts w:cs="Arial"/>
                <w:color w:val="FF0000"/>
                <w:sz w:val="21"/>
                <w:szCs w:val="21"/>
              </w:rPr>
            </w:pPr>
          </w:p>
        </w:tc>
        <w:tc>
          <w:tcPr>
            <w:tcW w:w="217" w:type="dxa"/>
          </w:tcPr>
          <w:p w14:paraId="051E3ED5" w14:textId="77777777" w:rsidR="002C0FD9" w:rsidRPr="00CA25CF" w:rsidRDefault="002C0FD9" w:rsidP="00CA25CF">
            <w:pPr>
              <w:rPr>
                <w:rFonts w:cs="Arial"/>
                <w:color w:val="FF0000"/>
                <w:sz w:val="21"/>
                <w:szCs w:val="21"/>
              </w:rPr>
            </w:pPr>
          </w:p>
        </w:tc>
        <w:tc>
          <w:tcPr>
            <w:tcW w:w="217" w:type="dxa"/>
          </w:tcPr>
          <w:p w14:paraId="745D2E25" w14:textId="77777777" w:rsidR="002C0FD9" w:rsidRPr="00CA25CF" w:rsidRDefault="002C0FD9" w:rsidP="00CA25CF">
            <w:pPr>
              <w:rPr>
                <w:rFonts w:cs="Arial"/>
                <w:color w:val="FF0000"/>
                <w:sz w:val="21"/>
                <w:szCs w:val="21"/>
              </w:rPr>
            </w:pPr>
          </w:p>
        </w:tc>
        <w:tc>
          <w:tcPr>
            <w:tcW w:w="217" w:type="dxa"/>
          </w:tcPr>
          <w:p w14:paraId="35C02732" w14:textId="77777777" w:rsidR="002C0FD9" w:rsidRPr="00CA25CF" w:rsidRDefault="002C0FD9" w:rsidP="00CA25CF">
            <w:pPr>
              <w:rPr>
                <w:rFonts w:cs="Arial"/>
                <w:color w:val="FF0000"/>
                <w:sz w:val="21"/>
                <w:szCs w:val="21"/>
              </w:rPr>
            </w:pPr>
          </w:p>
        </w:tc>
        <w:tc>
          <w:tcPr>
            <w:tcW w:w="217" w:type="dxa"/>
          </w:tcPr>
          <w:p w14:paraId="27AC7644" w14:textId="77777777" w:rsidR="002C0FD9" w:rsidRPr="00CA25CF" w:rsidRDefault="002C0FD9" w:rsidP="00CA25CF">
            <w:pPr>
              <w:rPr>
                <w:rFonts w:cs="Arial"/>
                <w:color w:val="FF0000"/>
                <w:sz w:val="21"/>
                <w:szCs w:val="21"/>
              </w:rPr>
            </w:pPr>
          </w:p>
        </w:tc>
        <w:tc>
          <w:tcPr>
            <w:tcW w:w="217" w:type="dxa"/>
          </w:tcPr>
          <w:p w14:paraId="1E41E506" w14:textId="77777777" w:rsidR="002C0FD9" w:rsidRPr="00CA25CF" w:rsidRDefault="002C0FD9" w:rsidP="00CA25CF">
            <w:pPr>
              <w:rPr>
                <w:rFonts w:cs="Arial"/>
                <w:color w:val="FF0000"/>
                <w:sz w:val="21"/>
                <w:szCs w:val="21"/>
              </w:rPr>
            </w:pPr>
          </w:p>
        </w:tc>
        <w:tc>
          <w:tcPr>
            <w:tcW w:w="217" w:type="dxa"/>
          </w:tcPr>
          <w:p w14:paraId="60FBD43F" w14:textId="77777777" w:rsidR="002C0FD9" w:rsidRPr="00CA25CF" w:rsidRDefault="002C0FD9" w:rsidP="00CA25CF">
            <w:pPr>
              <w:rPr>
                <w:rFonts w:cs="Arial"/>
                <w:color w:val="FF0000"/>
                <w:sz w:val="21"/>
                <w:szCs w:val="21"/>
              </w:rPr>
            </w:pPr>
          </w:p>
        </w:tc>
        <w:tc>
          <w:tcPr>
            <w:tcW w:w="217" w:type="dxa"/>
          </w:tcPr>
          <w:p w14:paraId="380A5026" w14:textId="77777777" w:rsidR="002C0FD9" w:rsidRPr="00CA25CF" w:rsidRDefault="002C0FD9" w:rsidP="00CA25CF">
            <w:pPr>
              <w:rPr>
                <w:rFonts w:cs="Arial"/>
                <w:color w:val="FF0000"/>
                <w:sz w:val="21"/>
                <w:szCs w:val="21"/>
              </w:rPr>
            </w:pPr>
          </w:p>
        </w:tc>
        <w:tc>
          <w:tcPr>
            <w:tcW w:w="217" w:type="dxa"/>
          </w:tcPr>
          <w:p w14:paraId="7EB1A4C8" w14:textId="77777777" w:rsidR="002C0FD9" w:rsidRPr="00CA25CF" w:rsidRDefault="002C0FD9" w:rsidP="00CA25CF">
            <w:pPr>
              <w:rPr>
                <w:rFonts w:cs="Arial"/>
                <w:color w:val="FF0000"/>
                <w:sz w:val="21"/>
                <w:szCs w:val="21"/>
              </w:rPr>
            </w:pPr>
          </w:p>
        </w:tc>
        <w:tc>
          <w:tcPr>
            <w:tcW w:w="217" w:type="dxa"/>
          </w:tcPr>
          <w:p w14:paraId="000B8AD7" w14:textId="77777777" w:rsidR="002C0FD9" w:rsidRPr="00CA25CF" w:rsidRDefault="002C0FD9" w:rsidP="00CA25CF">
            <w:pPr>
              <w:rPr>
                <w:rFonts w:cs="Arial"/>
                <w:color w:val="FF0000"/>
                <w:sz w:val="21"/>
                <w:szCs w:val="21"/>
              </w:rPr>
            </w:pPr>
          </w:p>
        </w:tc>
        <w:tc>
          <w:tcPr>
            <w:tcW w:w="217" w:type="dxa"/>
          </w:tcPr>
          <w:p w14:paraId="55DA0916" w14:textId="77777777" w:rsidR="002C0FD9" w:rsidRPr="00CA25CF" w:rsidRDefault="002C0FD9" w:rsidP="00CA25CF">
            <w:pPr>
              <w:rPr>
                <w:rFonts w:cs="Arial"/>
                <w:color w:val="FF0000"/>
                <w:sz w:val="21"/>
                <w:szCs w:val="21"/>
              </w:rPr>
            </w:pPr>
          </w:p>
        </w:tc>
        <w:tc>
          <w:tcPr>
            <w:tcW w:w="217" w:type="dxa"/>
          </w:tcPr>
          <w:p w14:paraId="289B6690" w14:textId="77777777" w:rsidR="002C0FD9" w:rsidRPr="00CA25CF" w:rsidRDefault="002C0FD9" w:rsidP="00CA25CF">
            <w:pPr>
              <w:rPr>
                <w:rFonts w:cs="Arial"/>
                <w:color w:val="FF0000"/>
                <w:sz w:val="21"/>
                <w:szCs w:val="21"/>
              </w:rPr>
            </w:pPr>
          </w:p>
        </w:tc>
        <w:tc>
          <w:tcPr>
            <w:tcW w:w="217" w:type="dxa"/>
          </w:tcPr>
          <w:p w14:paraId="6CBA740F" w14:textId="77777777" w:rsidR="002C0FD9" w:rsidRPr="00CA25CF" w:rsidRDefault="002C0FD9" w:rsidP="00CA25CF">
            <w:pPr>
              <w:rPr>
                <w:rFonts w:cs="Arial"/>
                <w:color w:val="FF0000"/>
                <w:sz w:val="21"/>
                <w:szCs w:val="21"/>
              </w:rPr>
            </w:pPr>
          </w:p>
        </w:tc>
        <w:tc>
          <w:tcPr>
            <w:tcW w:w="217" w:type="dxa"/>
          </w:tcPr>
          <w:p w14:paraId="480343CF" w14:textId="77777777" w:rsidR="002C0FD9" w:rsidRPr="00CA25CF" w:rsidRDefault="002C0FD9" w:rsidP="00CA25CF">
            <w:pPr>
              <w:rPr>
                <w:rFonts w:cs="Arial"/>
                <w:color w:val="FF0000"/>
                <w:sz w:val="21"/>
                <w:szCs w:val="21"/>
              </w:rPr>
            </w:pPr>
          </w:p>
        </w:tc>
        <w:tc>
          <w:tcPr>
            <w:tcW w:w="217" w:type="dxa"/>
          </w:tcPr>
          <w:p w14:paraId="404D264E" w14:textId="77777777" w:rsidR="002C0FD9" w:rsidRPr="00CA25CF" w:rsidRDefault="002C0FD9" w:rsidP="00CA25CF">
            <w:pPr>
              <w:rPr>
                <w:rFonts w:cs="Arial"/>
                <w:color w:val="FF0000"/>
                <w:sz w:val="21"/>
                <w:szCs w:val="21"/>
              </w:rPr>
            </w:pPr>
          </w:p>
        </w:tc>
        <w:tc>
          <w:tcPr>
            <w:tcW w:w="217" w:type="dxa"/>
          </w:tcPr>
          <w:p w14:paraId="6AC34A76" w14:textId="77777777" w:rsidR="002C0FD9" w:rsidRPr="00CA25CF" w:rsidRDefault="002C0FD9" w:rsidP="00CA25CF">
            <w:pPr>
              <w:rPr>
                <w:rFonts w:cs="Arial"/>
                <w:color w:val="FF0000"/>
                <w:sz w:val="21"/>
                <w:szCs w:val="21"/>
              </w:rPr>
            </w:pPr>
          </w:p>
        </w:tc>
        <w:tc>
          <w:tcPr>
            <w:tcW w:w="217" w:type="dxa"/>
          </w:tcPr>
          <w:p w14:paraId="610C7FAF" w14:textId="77777777" w:rsidR="002C0FD9" w:rsidRPr="00CA25CF" w:rsidRDefault="002C0FD9" w:rsidP="00CA25CF">
            <w:pPr>
              <w:rPr>
                <w:rFonts w:cs="Arial"/>
                <w:color w:val="FF0000"/>
                <w:sz w:val="21"/>
                <w:szCs w:val="21"/>
              </w:rPr>
            </w:pPr>
          </w:p>
        </w:tc>
        <w:tc>
          <w:tcPr>
            <w:tcW w:w="217" w:type="dxa"/>
          </w:tcPr>
          <w:p w14:paraId="378B4F37" w14:textId="77777777" w:rsidR="002C0FD9" w:rsidRPr="00CA25CF" w:rsidRDefault="002C0FD9" w:rsidP="00CA25CF">
            <w:pPr>
              <w:rPr>
                <w:rFonts w:cs="Arial"/>
                <w:color w:val="FF0000"/>
                <w:sz w:val="21"/>
                <w:szCs w:val="21"/>
              </w:rPr>
            </w:pPr>
          </w:p>
        </w:tc>
        <w:tc>
          <w:tcPr>
            <w:tcW w:w="217" w:type="dxa"/>
          </w:tcPr>
          <w:p w14:paraId="766AC75F" w14:textId="77777777" w:rsidR="002C0FD9" w:rsidRPr="00CA25CF" w:rsidRDefault="002C0FD9" w:rsidP="00CA25CF">
            <w:pPr>
              <w:rPr>
                <w:rFonts w:cs="Arial"/>
                <w:color w:val="FF0000"/>
                <w:sz w:val="21"/>
                <w:szCs w:val="21"/>
              </w:rPr>
            </w:pPr>
          </w:p>
        </w:tc>
        <w:tc>
          <w:tcPr>
            <w:tcW w:w="217" w:type="dxa"/>
          </w:tcPr>
          <w:p w14:paraId="796F71E8" w14:textId="77777777" w:rsidR="002C0FD9" w:rsidRPr="00CA25CF" w:rsidRDefault="002C0FD9" w:rsidP="00CA25CF">
            <w:pPr>
              <w:rPr>
                <w:rFonts w:cs="Arial"/>
                <w:color w:val="FF0000"/>
                <w:sz w:val="21"/>
                <w:szCs w:val="21"/>
              </w:rPr>
            </w:pPr>
          </w:p>
        </w:tc>
        <w:tc>
          <w:tcPr>
            <w:tcW w:w="217" w:type="dxa"/>
          </w:tcPr>
          <w:p w14:paraId="4371CEC9" w14:textId="77777777" w:rsidR="002C0FD9" w:rsidRPr="00CA25CF" w:rsidRDefault="002C0FD9" w:rsidP="00CA25CF">
            <w:pPr>
              <w:rPr>
                <w:rFonts w:cs="Arial"/>
                <w:color w:val="FF0000"/>
                <w:sz w:val="21"/>
                <w:szCs w:val="21"/>
              </w:rPr>
            </w:pPr>
          </w:p>
        </w:tc>
      </w:tr>
      <w:tr w:rsidR="002C0FD9" w:rsidRPr="00A16219" w14:paraId="3FE1E579" w14:textId="03CE559E" w:rsidTr="002C0FD9">
        <w:trPr>
          <w:trHeight w:val="635"/>
        </w:trPr>
        <w:tc>
          <w:tcPr>
            <w:tcW w:w="515" w:type="dxa"/>
          </w:tcPr>
          <w:p w14:paraId="2DDB323F" w14:textId="77777777" w:rsidR="002C0FD9" w:rsidRPr="00CA25CF" w:rsidRDefault="002C0FD9" w:rsidP="00CA25CF">
            <w:pPr>
              <w:rPr>
                <w:rFonts w:cs="Arial"/>
                <w:color w:val="FF0000"/>
                <w:sz w:val="21"/>
                <w:szCs w:val="21"/>
              </w:rPr>
            </w:pPr>
          </w:p>
        </w:tc>
        <w:tc>
          <w:tcPr>
            <w:tcW w:w="217" w:type="dxa"/>
          </w:tcPr>
          <w:p w14:paraId="305D1790" w14:textId="77777777" w:rsidR="002C0FD9" w:rsidRPr="00CA25CF" w:rsidRDefault="002C0FD9" w:rsidP="00CA25CF">
            <w:pPr>
              <w:rPr>
                <w:rFonts w:cs="Arial"/>
                <w:color w:val="FF0000"/>
                <w:sz w:val="21"/>
                <w:szCs w:val="21"/>
              </w:rPr>
            </w:pPr>
          </w:p>
        </w:tc>
        <w:tc>
          <w:tcPr>
            <w:tcW w:w="217" w:type="dxa"/>
          </w:tcPr>
          <w:p w14:paraId="4D23673D" w14:textId="5C186EBC" w:rsidR="002C0FD9" w:rsidRPr="00CA25CF" w:rsidRDefault="002C0FD9" w:rsidP="00CA25CF">
            <w:pPr>
              <w:rPr>
                <w:rFonts w:cs="Arial"/>
                <w:color w:val="FF0000"/>
                <w:sz w:val="21"/>
                <w:szCs w:val="21"/>
              </w:rPr>
            </w:pPr>
          </w:p>
        </w:tc>
        <w:tc>
          <w:tcPr>
            <w:tcW w:w="217" w:type="dxa"/>
          </w:tcPr>
          <w:p w14:paraId="623C6C85" w14:textId="77777777" w:rsidR="002C0FD9" w:rsidRPr="00CA25CF" w:rsidRDefault="002C0FD9" w:rsidP="00CA25CF">
            <w:pPr>
              <w:rPr>
                <w:rFonts w:cs="Arial"/>
                <w:color w:val="FF0000"/>
                <w:sz w:val="21"/>
                <w:szCs w:val="21"/>
              </w:rPr>
            </w:pPr>
          </w:p>
        </w:tc>
        <w:tc>
          <w:tcPr>
            <w:tcW w:w="217" w:type="dxa"/>
          </w:tcPr>
          <w:p w14:paraId="431C1098" w14:textId="77777777" w:rsidR="002C0FD9" w:rsidRPr="00CA25CF" w:rsidRDefault="002C0FD9" w:rsidP="00CA25CF">
            <w:pPr>
              <w:rPr>
                <w:rFonts w:cs="Arial"/>
                <w:color w:val="FF0000"/>
                <w:sz w:val="21"/>
                <w:szCs w:val="21"/>
              </w:rPr>
            </w:pPr>
          </w:p>
        </w:tc>
        <w:tc>
          <w:tcPr>
            <w:tcW w:w="217" w:type="dxa"/>
          </w:tcPr>
          <w:p w14:paraId="26B56EBD" w14:textId="77777777" w:rsidR="002C0FD9" w:rsidRPr="00CA25CF" w:rsidRDefault="002C0FD9" w:rsidP="00CA25CF">
            <w:pPr>
              <w:rPr>
                <w:rFonts w:cs="Arial"/>
                <w:color w:val="FF0000"/>
                <w:sz w:val="21"/>
                <w:szCs w:val="21"/>
              </w:rPr>
            </w:pPr>
          </w:p>
        </w:tc>
        <w:tc>
          <w:tcPr>
            <w:tcW w:w="217" w:type="dxa"/>
          </w:tcPr>
          <w:p w14:paraId="19660222" w14:textId="77777777" w:rsidR="002C0FD9" w:rsidRPr="00CA25CF" w:rsidRDefault="002C0FD9" w:rsidP="00CA25CF">
            <w:pPr>
              <w:rPr>
                <w:rFonts w:cs="Arial"/>
                <w:color w:val="FF0000"/>
                <w:sz w:val="21"/>
                <w:szCs w:val="21"/>
              </w:rPr>
            </w:pPr>
          </w:p>
        </w:tc>
        <w:tc>
          <w:tcPr>
            <w:tcW w:w="217" w:type="dxa"/>
          </w:tcPr>
          <w:p w14:paraId="796C920A" w14:textId="77777777" w:rsidR="002C0FD9" w:rsidRPr="00CA25CF" w:rsidRDefault="002C0FD9" w:rsidP="00CA25CF">
            <w:pPr>
              <w:rPr>
                <w:rFonts w:cs="Arial"/>
                <w:color w:val="FF0000"/>
                <w:sz w:val="21"/>
                <w:szCs w:val="21"/>
              </w:rPr>
            </w:pPr>
          </w:p>
        </w:tc>
        <w:tc>
          <w:tcPr>
            <w:tcW w:w="217" w:type="dxa"/>
          </w:tcPr>
          <w:p w14:paraId="552B729B" w14:textId="77777777" w:rsidR="002C0FD9" w:rsidRPr="00CA25CF" w:rsidRDefault="002C0FD9" w:rsidP="00CA25CF">
            <w:pPr>
              <w:rPr>
                <w:rFonts w:cs="Arial"/>
                <w:color w:val="FF0000"/>
                <w:sz w:val="21"/>
                <w:szCs w:val="21"/>
              </w:rPr>
            </w:pPr>
          </w:p>
        </w:tc>
        <w:tc>
          <w:tcPr>
            <w:tcW w:w="217" w:type="dxa"/>
          </w:tcPr>
          <w:p w14:paraId="7ED89094" w14:textId="77777777" w:rsidR="002C0FD9" w:rsidRPr="00CA25CF" w:rsidRDefault="002C0FD9" w:rsidP="00CA25CF">
            <w:pPr>
              <w:rPr>
                <w:rFonts w:cs="Arial"/>
                <w:color w:val="FF0000"/>
                <w:sz w:val="21"/>
                <w:szCs w:val="21"/>
              </w:rPr>
            </w:pPr>
          </w:p>
        </w:tc>
        <w:tc>
          <w:tcPr>
            <w:tcW w:w="217" w:type="dxa"/>
          </w:tcPr>
          <w:p w14:paraId="552F69A9" w14:textId="77777777" w:rsidR="002C0FD9" w:rsidRPr="00CA25CF" w:rsidRDefault="002C0FD9" w:rsidP="00CA25CF">
            <w:pPr>
              <w:rPr>
                <w:rFonts w:cs="Arial"/>
                <w:color w:val="FF0000"/>
                <w:sz w:val="21"/>
                <w:szCs w:val="21"/>
              </w:rPr>
            </w:pPr>
          </w:p>
        </w:tc>
        <w:tc>
          <w:tcPr>
            <w:tcW w:w="217" w:type="dxa"/>
          </w:tcPr>
          <w:p w14:paraId="16F567D1" w14:textId="77777777" w:rsidR="002C0FD9" w:rsidRPr="00CA25CF" w:rsidRDefault="002C0FD9" w:rsidP="00CA25CF">
            <w:pPr>
              <w:rPr>
                <w:rFonts w:cs="Arial"/>
                <w:color w:val="FF0000"/>
                <w:sz w:val="21"/>
                <w:szCs w:val="21"/>
              </w:rPr>
            </w:pPr>
          </w:p>
        </w:tc>
        <w:tc>
          <w:tcPr>
            <w:tcW w:w="217" w:type="dxa"/>
          </w:tcPr>
          <w:p w14:paraId="5F9C7439" w14:textId="77777777" w:rsidR="002C0FD9" w:rsidRPr="00CA25CF" w:rsidRDefault="002C0FD9" w:rsidP="00CA25CF">
            <w:pPr>
              <w:rPr>
                <w:rFonts w:cs="Arial"/>
                <w:color w:val="FF0000"/>
                <w:sz w:val="21"/>
                <w:szCs w:val="21"/>
              </w:rPr>
            </w:pPr>
          </w:p>
        </w:tc>
        <w:tc>
          <w:tcPr>
            <w:tcW w:w="217" w:type="dxa"/>
          </w:tcPr>
          <w:p w14:paraId="10238A7F" w14:textId="77777777" w:rsidR="002C0FD9" w:rsidRPr="00CA25CF" w:rsidRDefault="002C0FD9" w:rsidP="00CA25CF">
            <w:pPr>
              <w:rPr>
                <w:rFonts w:cs="Arial"/>
                <w:color w:val="FF0000"/>
                <w:sz w:val="21"/>
                <w:szCs w:val="21"/>
              </w:rPr>
            </w:pPr>
          </w:p>
        </w:tc>
        <w:tc>
          <w:tcPr>
            <w:tcW w:w="217" w:type="dxa"/>
          </w:tcPr>
          <w:p w14:paraId="3E84F12B" w14:textId="77777777" w:rsidR="002C0FD9" w:rsidRPr="00CA25CF" w:rsidRDefault="002C0FD9" w:rsidP="00CA25CF">
            <w:pPr>
              <w:rPr>
                <w:rFonts w:cs="Arial"/>
                <w:color w:val="FF0000"/>
                <w:sz w:val="21"/>
                <w:szCs w:val="21"/>
              </w:rPr>
            </w:pPr>
          </w:p>
        </w:tc>
        <w:tc>
          <w:tcPr>
            <w:tcW w:w="217" w:type="dxa"/>
          </w:tcPr>
          <w:p w14:paraId="0D24DFF5" w14:textId="77777777" w:rsidR="002C0FD9" w:rsidRPr="00CA25CF" w:rsidRDefault="002C0FD9" w:rsidP="00CA25CF">
            <w:pPr>
              <w:rPr>
                <w:rFonts w:cs="Arial"/>
                <w:color w:val="FF0000"/>
                <w:sz w:val="21"/>
                <w:szCs w:val="21"/>
              </w:rPr>
            </w:pPr>
          </w:p>
        </w:tc>
        <w:tc>
          <w:tcPr>
            <w:tcW w:w="217" w:type="dxa"/>
          </w:tcPr>
          <w:p w14:paraId="5AB06B9B" w14:textId="77777777" w:rsidR="002C0FD9" w:rsidRPr="00CA25CF" w:rsidRDefault="002C0FD9" w:rsidP="00CA25CF">
            <w:pPr>
              <w:rPr>
                <w:rFonts w:cs="Arial"/>
                <w:color w:val="FF0000"/>
                <w:sz w:val="21"/>
                <w:szCs w:val="21"/>
              </w:rPr>
            </w:pPr>
          </w:p>
        </w:tc>
        <w:tc>
          <w:tcPr>
            <w:tcW w:w="217" w:type="dxa"/>
          </w:tcPr>
          <w:p w14:paraId="3D1CFC97" w14:textId="77777777" w:rsidR="002C0FD9" w:rsidRPr="00CA25CF" w:rsidRDefault="002C0FD9" w:rsidP="00CA25CF">
            <w:pPr>
              <w:rPr>
                <w:rFonts w:cs="Arial"/>
                <w:color w:val="FF0000"/>
                <w:sz w:val="21"/>
                <w:szCs w:val="21"/>
              </w:rPr>
            </w:pPr>
          </w:p>
        </w:tc>
        <w:tc>
          <w:tcPr>
            <w:tcW w:w="217" w:type="dxa"/>
          </w:tcPr>
          <w:p w14:paraId="1C12FA2F" w14:textId="77777777" w:rsidR="002C0FD9" w:rsidRPr="00CA25CF" w:rsidRDefault="002C0FD9" w:rsidP="00CA25CF">
            <w:pPr>
              <w:rPr>
                <w:rFonts w:cs="Arial"/>
                <w:color w:val="FF0000"/>
                <w:sz w:val="21"/>
                <w:szCs w:val="21"/>
              </w:rPr>
            </w:pPr>
          </w:p>
        </w:tc>
        <w:tc>
          <w:tcPr>
            <w:tcW w:w="217" w:type="dxa"/>
          </w:tcPr>
          <w:p w14:paraId="1F14A1F0" w14:textId="77777777" w:rsidR="002C0FD9" w:rsidRPr="00CA25CF" w:rsidRDefault="002C0FD9" w:rsidP="00CA25CF">
            <w:pPr>
              <w:rPr>
                <w:rFonts w:cs="Arial"/>
                <w:color w:val="FF0000"/>
                <w:sz w:val="21"/>
                <w:szCs w:val="21"/>
              </w:rPr>
            </w:pPr>
          </w:p>
        </w:tc>
        <w:tc>
          <w:tcPr>
            <w:tcW w:w="217" w:type="dxa"/>
          </w:tcPr>
          <w:p w14:paraId="759524E3" w14:textId="77777777" w:rsidR="002C0FD9" w:rsidRPr="00CA25CF" w:rsidRDefault="002C0FD9" w:rsidP="00CA25CF">
            <w:pPr>
              <w:rPr>
                <w:rFonts w:cs="Arial"/>
                <w:color w:val="FF0000"/>
                <w:sz w:val="21"/>
                <w:szCs w:val="21"/>
              </w:rPr>
            </w:pPr>
          </w:p>
        </w:tc>
        <w:tc>
          <w:tcPr>
            <w:tcW w:w="217" w:type="dxa"/>
          </w:tcPr>
          <w:p w14:paraId="75B51B36" w14:textId="77777777" w:rsidR="002C0FD9" w:rsidRPr="00CA25CF" w:rsidRDefault="002C0FD9" w:rsidP="00CA25CF">
            <w:pPr>
              <w:rPr>
                <w:rFonts w:cs="Arial"/>
                <w:color w:val="FF0000"/>
                <w:sz w:val="21"/>
                <w:szCs w:val="21"/>
              </w:rPr>
            </w:pPr>
          </w:p>
        </w:tc>
        <w:tc>
          <w:tcPr>
            <w:tcW w:w="217" w:type="dxa"/>
          </w:tcPr>
          <w:p w14:paraId="1DB74D82" w14:textId="77777777" w:rsidR="002C0FD9" w:rsidRPr="00CA25CF" w:rsidRDefault="002C0FD9" w:rsidP="00CA25CF">
            <w:pPr>
              <w:rPr>
                <w:rFonts w:cs="Arial"/>
                <w:color w:val="FF0000"/>
                <w:sz w:val="21"/>
                <w:szCs w:val="21"/>
              </w:rPr>
            </w:pPr>
          </w:p>
        </w:tc>
        <w:tc>
          <w:tcPr>
            <w:tcW w:w="217" w:type="dxa"/>
          </w:tcPr>
          <w:p w14:paraId="1C2543F9" w14:textId="77777777" w:rsidR="002C0FD9" w:rsidRPr="00CA25CF" w:rsidRDefault="002C0FD9" w:rsidP="00CA25CF">
            <w:pPr>
              <w:rPr>
                <w:rFonts w:cs="Arial"/>
                <w:color w:val="FF0000"/>
                <w:sz w:val="21"/>
                <w:szCs w:val="21"/>
              </w:rPr>
            </w:pPr>
          </w:p>
        </w:tc>
        <w:tc>
          <w:tcPr>
            <w:tcW w:w="217" w:type="dxa"/>
          </w:tcPr>
          <w:p w14:paraId="5CAD5D4B" w14:textId="77777777" w:rsidR="002C0FD9" w:rsidRPr="00CA25CF" w:rsidRDefault="002C0FD9" w:rsidP="00CA25CF">
            <w:pPr>
              <w:rPr>
                <w:rFonts w:cs="Arial"/>
                <w:color w:val="FF0000"/>
                <w:sz w:val="21"/>
                <w:szCs w:val="21"/>
              </w:rPr>
            </w:pPr>
          </w:p>
        </w:tc>
        <w:tc>
          <w:tcPr>
            <w:tcW w:w="217" w:type="dxa"/>
          </w:tcPr>
          <w:p w14:paraId="01E0E06D" w14:textId="77777777" w:rsidR="002C0FD9" w:rsidRPr="00CA25CF" w:rsidRDefault="002C0FD9" w:rsidP="00CA25CF">
            <w:pPr>
              <w:rPr>
                <w:rFonts w:cs="Arial"/>
                <w:color w:val="FF0000"/>
                <w:sz w:val="21"/>
                <w:szCs w:val="21"/>
              </w:rPr>
            </w:pPr>
          </w:p>
        </w:tc>
        <w:tc>
          <w:tcPr>
            <w:tcW w:w="217" w:type="dxa"/>
          </w:tcPr>
          <w:p w14:paraId="2B0E6D1F" w14:textId="77777777" w:rsidR="002C0FD9" w:rsidRPr="00CA25CF" w:rsidRDefault="002C0FD9" w:rsidP="00CA25CF">
            <w:pPr>
              <w:rPr>
                <w:rFonts w:cs="Arial"/>
                <w:color w:val="FF0000"/>
                <w:sz w:val="21"/>
                <w:szCs w:val="21"/>
              </w:rPr>
            </w:pPr>
          </w:p>
        </w:tc>
        <w:tc>
          <w:tcPr>
            <w:tcW w:w="217" w:type="dxa"/>
          </w:tcPr>
          <w:p w14:paraId="637D0897" w14:textId="77777777" w:rsidR="002C0FD9" w:rsidRPr="00CA25CF" w:rsidRDefault="002C0FD9" w:rsidP="00CA25CF">
            <w:pPr>
              <w:rPr>
                <w:rFonts w:cs="Arial"/>
                <w:color w:val="FF0000"/>
                <w:sz w:val="21"/>
                <w:szCs w:val="21"/>
              </w:rPr>
            </w:pPr>
          </w:p>
        </w:tc>
        <w:tc>
          <w:tcPr>
            <w:tcW w:w="217" w:type="dxa"/>
          </w:tcPr>
          <w:p w14:paraId="4EBF80E4" w14:textId="77777777" w:rsidR="002C0FD9" w:rsidRPr="00CA25CF" w:rsidRDefault="002C0FD9" w:rsidP="00CA25CF">
            <w:pPr>
              <w:rPr>
                <w:rFonts w:cs="Arial"/>
                <w:color w:val="FF0000"/>
                <w:sz w:val="21"/>
                <w:szCs w:val="21"/>
              </w:rPr>
            </w:pPr>
          </w:p>
        </w:tc>
        <w:tc>
          <w:tcPr>
            <w:tcW w:w="217" w:type="dxa"/>
          </w:tcPr>
          <w:p w14:paraId="23C08438" w14:textId="77777777" w:rsidR="002C0FD9" w:rsidRPr="00CA25CF" w:rsidRDefault="002C0FD9" w:rsidP="00CA25CF">
            <w:pPr>
              <w:rPr>
                <w:rFonts w:cs="Arial"/>
                <w:color w:val="FF0000"/>
                <w:sz w:val="21"/>
                <w:szCs w:val="21"/>
              </w:rPr>
            </w:pPr>
          </w:p>
        </w:tc>
        <w:tc>
          <w:tcPr>
            <w:tcW w:w="217" w:type="dxa"/>
          </w:tcPr>
          <w:p w14:paraId="2B9D2692" w14:textId="77777777" w:rsidR="002C0FD9" w:rsidRPr="00CA25CF" w:rsidRDefault="002C0FD9" w:rsidP="00CA25CF">
            <w:pPr>
              <w:rPr>
                <w:rFonts w:cs="Arial"/>
                <w:color w:val="FF0000"/>
                <w:sz w:val="21"/>
                <w:szCs w:val="21"/>
              </w:rPr>
            </w:pPr>
          </w:p>
        </w:tc>
        <w:tc>
          <w:tcPr>
            <w:tcW w:w="217" w:type="dxa"/>
          </w:tcPr>
          <w:p w14:paraId="46DD7ACB" w14:textId="77777777" w:rsidR="002C0FD9" w:rsidRPr="00CA25CF" w:rsidRDefault="002C0FD9" w:rsidP="00CA25CF">
            <w:pPr>
              <w:rPr>
                <w:rFonts w:cs="Arial"/>
                <w:color w:val="FF0000"/>
                <w:sz w:val="21"/>
                <w:szCs w:val="21"/>
              </w:rPr>
            </w:pPr>
          </w:p>
        </w:tc>
        <w:tc>
          <w:tcPr>
            <w:tcW w:w="217" w:type="dxa"/>
          </w:tcPr>
          <w:p w14:paraId="39BC89B9" w14:textId="77777777" w:rsidR="002C0FD9" w:rsidRPr="00CA25CF" w:rsidRDefault="002C0FD9" w:rsidP="00CA25CF">
            <w:pPr>
              <w:rPr>
                <w:rFonts w:cs="Arial"/>
                <w:color w:val="FF0000"/>
                <w:sz w:val="21"/>
                <w:szCs w:val="21"/>
              </w:rPr>
            </w:pPr>
          </w:p>
        </w:tc>
        <w:tc>
          <w:tcPr>
            <w:tcW w:w="217" w:type="dxa"/>
          </w:tcPr>
          <w:p w14:paraId="10FC5F18" w14:textId="77777777" w:rsidR="002C0FD9" w:rsidRPr="00CA25CF" w:rsidRDefault="002C0FD9" w:rsidP="00CA25CF">
            <w:pPr>
              <w:rPr>
                <w:rFonts w:cs="Arial"/>
                <w:color w:val="FF0000"/>
                <w:sz w:val="21"/>
                <w:szCs w:val="21"/>
              </w:rPr>
            </w:pPr>
          </w:p>
        </w:tc>
        <w:tc>
          <w:tcPr>
            <w:tcW w:w="217" w:type="dxa"/>
          </w:tcPr>
          <w:p w14:paraId="3CD8C9E0" w14:textId="77777777" w:rsidR="002C0FD9" w:rsidRPr="00CA25CF" w:rsidRDefault="002C0FD9" w:rsidP="00CA25CF">
            <w:pPr>
              <w:rPr>
                <w:rFonts w:cs="Arial"/>
                <w:color w:val="FF0000"/>
                <w:sz w:val="21"/>
                <w:szCs w:val="21"/>
              </w:rPr>
            </w:pPr>
          </w:p>
        </w:tc>
        <w:tc>
          <w:tcPr>
            <w:tcW w:w="217" w:type="dxa"/>
          </w:tcPr>
          <w:p w14:paraId="63C56C04" w14:textId="77777777" w:rsidR="002C0FD9" w:rsidRPr="00CA25CF" w:rsidRDefault="002C0FD9" w:rsidP="00CA25CF">
            <w:pPr>
              <w:rPr>
                <w:rFonts w:cs="Arial"/>
                <w:color w:val="FF0000"/>
                <w:sz w:val="21"/>
                <w:szCs w:val="21"/>
              </w:rPr>
            </w:pPr>
          </w:p>
        </w:tc>
        <w:tc>
          <w:tcPr>
            <w:tcW w:w="217" w:type="dxa"/>
          </w:tcPr>
          <w:p w14:paraId="27CDC6E5" w14:textId="77777777" w:rsidR="002C0FD9" w:rsidRPr="00CA25CF" w:rsidRDefault="002C0FD9" w:rsidP="00CA25CF">
            <w:pPr>
              <w:rPr>
                <w:rFonts w:cs="Arial"/>
                <w:color w:val="FF0000"/>
                <w:sz w:val="21"/>
                <w:szCs w:val="21"/>
              </w:rPr>
            </w:pPr>
          </w:p>
        </w:tc>
        <w:tc>
          <w:tcPr>
            <w:tcW w:w="217" w:type="dxa"/>
          </w:tcPr>
          <w:p w14:paraId="1C54192F" w14:textId="77777777" w:rsidR="002C0FD9" w:rsidRPr="00CA25CF" w:rsidRDefault="002C0FD9" w:rsidP="00CA25CF">
            <w:pPr>
              <w:rPr>
                <w:rFonts w:cs="Arial"/>
                <w:color w:val="FF0000"/>
                <w:sz w:val="21"/>
                <w:szCs w:val="21"/>
              </w:rPr>
            </w:pPr>
          </w:p>
        </w:tc>
        <w:tc>
          <w:tcPr>
            <w:tcW w:w="217" w:type="dxa"/>
          </w:tcPr>
          <w:p w14:paraId="6156D951" w14:textId="77777777" w:rsidR="002C0FD9" w:rsidRPr="00CA25CF" w:rsidRDefault="002C0FD9" w:rsidP="00CA25CF">
            <w:pPr>
              <w:rPr>
                <w:rFonts w:cs="Arial"/>
                <w:color w:val="FF0000"/>
                <w:sz w:val="21"/>
                <w:szCs w:val="21"/>
              </w:rPr>
            </w:pPr>
          </w:p>
        </w:tc>
        <w:tc>
          <w:tcPr>
            <w:tcW w:w="217" w:type="dxa"/>
          </w:tcPr>
          <w:p w14:paraId="5BDBEFEF" w14:textId="77777777" w:rsidR="002C0FD9" w:rsidRPr="00CA25CF" w:rsidRDefault="002C0FD9" w:rsidP="00CA25CF">
            <w:pPr>
              <w:rPr>
                <w:rFonts w:cs="Arial"/>
                <w:color w:val="FF0000"/>
                <w:sz w:val="21"/>
                <w:szCs w:val="21"/>
              </w:rPr>
            </w:pPr>
          </w:p>
        </w:tc>
        <w:tc>
          <w:tcPr>
            <w:tcW w:w="217" w:type="dxa"/>
          </w:tcPr>
          <w:p w14:paraId="1F90992A" w14:textId="77777777" w:rsidR="002C0FD9" w:rsidRPr="00CA25CF" w:rsidRDefault="002C0FD9" w:rsidP="00CA25CF">
            <w:pPr>
              <w:rPr>
                <w:rFonts w:cs="Arial"/>
                <w:color w:val="FF0000"/>
                <w:sz w:val="21"/>
                <w:szCs w:val="21"/>
              </w:rPr>
            </w:pPr>
          </w:p>
        </w:tc>
        <w:tc>
          <w:tcPr>
            <w:tcW w:w="217" w:type="dxa"/>
          </w:tcPr>
          <w:p w14:paraId="0950A4F9" w14:textId="77777777" w:rsidR="002C0FD9" w:rsidRPr="00CA25CF" w:rsidRDefault="002C0FD9" w:rsidP="00CA25CF">
            <w:pPr>
              <w:rPr>
                <w:rFonts w:cs="Arial"/>
                <w:color w:val="FF0000"/>
                <w:sz w:val="21"/>
                <w:szCs w:val="21"/>
              </w:rPr>
            </w:pPr>
          </w:p>
        </w:tc>
        <w:tc>
          <w:tcPr>
            <w:tcW w:w="217" w:type="dxa"/>
          </w:tcPr>
          <w:p w14:paraId="75D58739" w14:textId="77777777" w:rsidR="002C0FD9" w:rsidRPr="00CA25CF" w:rsidRDefault="002C0FD9" w:rsidP="00CA25CF">
            <w:pPr>
              <w:rPr>
                <w:rFonts w:cs="Arial"/>
                <w:color w:val="FF0000"/>
                <w:sz w:val="21"/>
                <w:szCs w:val="21"/>
              </w:rPr>
            </w:pPr>
          </w:p>
        </w:tc>
      </w:tr>
      <w:tr w:rsidR="002C0FD9" w:rsidRPr="00A16219" w14:paraId="14CEB9F2" w14:textId="1091EDED" w:rsidTr="002C0FD9">
        <w:trPr>
          <w:trHeight w:val="635"/>
        </w:trPr>
        <w:tc>
          <w:tcPr>
            <w:tcW w:w="515" w:type="dxa"/>
          </w:tcPr>
          <w:p w14:paraId="582D1A5D" w14:textId="77777777" w:rsidR="002C0FD9" w:rsidRPr="00CA25CF" w:rsidRDefault="002C0FD9" w:rsidP="00CA25CF">
            <w:pPr>
              <w:rPr>
                <w:rFonts w:cs="Arial"/>
                <w:color w:val="FF0000"/>
                <w:sz w:val="21"/>
                <w:szCs w:val="21"/>
              </w:rPr>
            </w:pPr>
          </w:p>
        </w:tc>
        <w:tc>
          <w:tcPr>
            <w:tcW w:w="217" w:type="dxa"/>
          </w:tcPr>
          <w:p w14:paraId="5D870545" w14:textId="77777777" w:rsidR="002C0FD9" w:rsidRPr="00CA25CF" w:rsidRDefault="002C0FD9" w:rsidP="00CA25CF">
            <w:pPr>
              <w:rPr>
                <w:rFonts w:cs="Arial"/>
                <w:color w:val="FF0000"/>
                <w:sz w:val="21"/>
                <w:szCs w:val="21"/>
              </w:rPr>
            </w:pPr>
          </w:p>
        </w:tc>
        <w:tc>
          <w:tcPr>
            <w:tcW w:w="217" w:type="dxa"/>
          </w:tcPr>
          <w:p w14:paraId="55593F98" w14:textId="18ED2A93" w:rsidR="002C0FD9" w:rsidRPr="00CA25CF" w:rsidRDefault="002C0FD9" w:rsidP="00CA25CF">
            <w:pPr>
              <w:rPr>
                <w:rFonts w:cs="Arial"/>
                <w:color w:val="FF0000"/>
                <w:sz w:val="21"/>
                <w:szCs w:val="21"/>
              </w:rPr>
            </w:pPr>
          </w:p>
        </w:tc>
        <w:tc>
          <w:tcPr>
            <w:tcW w:w="217" w:type="dxa"/>
          </w:tcPr>
          <w:p w14:paraId="5BE993F1" w14:textId="77777777" w:rsidR="002C0FD9" w:rsidRPr="00CA25CF" w:rsidRDefault="002C0FD9" w:rsidP="00CA25CF">
            <w:pPr>
              <w:rPr>
                <w:rFonts w:cs="Arial"/>
                <w:color w:val="FF0000"/>
                <w:sz w:val="21"/>
                <w:szCs w:val="21"/>
              </w:rPr>
            </w:pPr>
          </w:p>
        </w:tc>
        <w:tc>
          <w:tcPr>
            <w:tcW w:w="217" w:type="dxa"/>
          </w:tcPr>
          <w:p w14:paraId="2ADD69B5" w14:textId="77777777" w:rsidR="002C0FD9" w:rsidRPr="00CA25CF" w:rsidRDefault="002C0FD9" w:rsidP="00CA25CF">
            <w:pPr>
              <w:rPr>
                <w:rFonts w:cs="Arial"/>
                <w:color w:val="FF0000"/>
                <w:sz w:val="21"/>
                <w:szCs w:val="21"/>
              </w:rPr>
            </w:pPr>
          </w:p>
        </w:tc>
        <w:tc>
          <w:tcPr>
            <w:tcW w:w="217" w:type="dxa"/>
          </w:tcPr>
          <w:p w14:paraId="0B2D007A" w14:textId="77777777" w:rsidR="002C0FD9" w:rsidRPr="00CA25CF" w:rsidRDefault="002C0FD9" w:rsidP="00CA25CF">
            <w:pPr>
              <w:rPr>
                <w:rFonts w:cs="Arial"/>
                <w:color w:val="FF0000"/>
                <w:sz w:val="21"/>
                <w:szCs w:val="21"/>
              </w:rPr>
            </w:pPr>
          </w:p>
        </w:tc>
        <w:tc>
          <w:tcPr>
            <w:tcW w:w="217" w:type="dxa"/>
          </w:tcPr>
          <w:p w14:paraId="5877F2E1" w14:textId="77777777" w:rsidR="002C0FD9" w:rsidRPr="00CA25CF" w:rsidRDefault="002C0FD9" w:rsidP="00CA25CF">
            <w:pPr>
              <w:rPr>
                <w:rFonts w:cs="Arial"/>
                <w:color w:val="FF0000"/>
                <w:sz w:val="21"/>
                <w:szCs w:val="21"/>
              </w:rPr>
            </w:pPr>
          </w:p>
        </w:tc>
        <w:tc>
          <w:tcPr>
            <w:tcW w:w="217" w:type="dxa"/>
          </w:tcPr>
          <w:p w14:paraId="0CAD822D" w14:textId="77777777" w:rsidR="002C0FD9" w:rsidRPr="00CA25CF" w:rsidRDefault="002C0FD9" w:rsidP="00CA25CF">
            <w:pPr>
              <w:rPr>
                <w:rFonts w:cs="Arial"/>
                <w:color w:val="FF0000"/>
                <w:sz w:val="21"/>
                <w:szCs w:val="21"/>
              </w:rPr>
            </w:pPr>
          </w:p>
        </w:tc>
        <w:tc>
          <w:tcPr>
            <w:tcW w:w="217" w:type="dxa"/>
          </w:tcPr>
          <w:p w14:paraId="7767A30E" w14:textId="77777777" w:rsidR="002C0FD9" w:rsidRPr="00CA25CF" w:rsidRDefault="002C0FD9" w:rsidP="00CA25CF">
            <w:pPr>
              <w:rPr>
                <w:rFonts w:cs="Arial"/>
                <w:color w:val="FF0000"/>
                <w:sz w:val="21"/>
                <w:szCs w:val="21"/>
              </w:rPr>
            </w:pPr>
          </w:p>
        </w:tc>
        <w:tc>
          <w:tcPr>
            <w:tcW w:w="217" w:type="dxa"/>
          </w:tcPr>
          <w:p w14:paraId="5DE73E74" w14:textId="77777777" w:rsidR="002C0FD9" w:rsidRPr="00CA25CF" w:rsidRDefault="002C0FD9" w:rsidP="00CA25CF">
            <w:pPr>
              <w:rPr>
                <w:rFonts w:cs="Arial"/>
                <w:color w:val="FF0000"/>
                <w:sz w:val="21"/>
                <w:szCs w:val="21"/>
              </w:rPr>
            </w:pPr>
          </w:p>
        </w:tc>
        <w:tc>
          <w:tcPr>
            <w:tcW w:w="217" w:type="dxa"/>
          </w:tcPr>
          <w:p w14:paraId="0B53D76A" w14:textId="77777777" w:rsidR="002C0FD9" w:rsidRPr="00CA25CF" w:rsidRDefault="002C0FD9" w:rsidP="00CA25CF">
            <w:pPr>
              <w:rPr>
                <w:rFonts w:cs="Arial"/>
                <w:color w:val="FF0000"/>
                <w:sz w:val="21"/>
                <w:szCs w:val="21"/>
              </w:rPr>
            </w:pPr>
          </w:p>
        </w:tc>
        <w:tc>
          <w:tcPr>
            <w:tcW w:w="217" w:type="dxa"/>
          </w:tcPr>
          <w:p w14:paraId="2A7BA6DF" w14:textId="77777777" w:rsidR="002C0FD9" w:rsidRPr="00CA25CF" w:rsidRDefault="002C0FD9" w:rsidP="00CA25CF">
            <w:pPr>
              <w:rPr>
                <w:rFonts w:cs="Arial"/>
                <w:color w:val="FF0000"/>
                <w:sz w:val="21"/>
                <w:szCs w:val="21"/>
              </w:rPr>
            </w:pPr>
          </w:p>
        </w:tc>
        <w:tc>
          <w:tcPr>
            <w:tcW w:w="217" w:type="dxa"/>
          </w:tcPr>
          <w:p w14:paraId="64BD76AD" w14:textId="77777777" w:rsidR="002C0FD9" w:rsidRPr="00CA25CF" w:rsidRDefault="002C0FD9" w:rsidP="00CA25CF">
            <w:pPr>
              <w:rPr>
                <w:rFonts w:cs="Arial"/>
                <w:color w:val="FF0000"/>
                <w:sz w:val="21"/>
                <w:szCs w:val="21"/>
              </w:rPr>
            </w:pPr>
          </w:p>
        </w:tc>
        <w:tc>
          <w:tcPr>
            <w:tcW w:w="217" w:type="dxa"/>
          </w:tcPr>
          <w:p w14:paraId="537EB77E" w14:textId="77777777" w:rsidR="002C0FD9" w:rsidRPr="00CA25CF" w:rsidRDefault="002C0FD9" w:rsidP="00CA25CF">
            <w:pPr>
              <w:rPr>
                <w:rFonts w:cs="Arial"/>
                <w:color w:val="FF0000"/>
                <w:sz w:val="21"/>
                <w:szCs w:val="21"/>
              </w:rPr>
            </w:pPr>
          </w:p>
        </w:tc>
        <w:tc>
          <w:tcPr>
            <w:tcW w:w="217" w:type="dxa"/>
          </w:tcPr>
          <w:p w14:paraId="3F524526" w14:textId="77777777" w:rsidR="002C0FD9" w:rsidRPr="00CA25CF" w:rsidRDefault="002C0FD9" w:rsidP="00CA25CF">
            <w:pPr>
              <w:rPr>
                <w:rFonts w:cs="Arial"/>
                <w:color w:val="FF0000"/>
                <w:sz w:val="21"/>
                <w:szCs w:val="21"/>
              </w:rPr>
            </w:pPr>
          </w:p>
        </w:tc>
        <w:tc>
          <w:tcPr>
            <w:tcW w:w="217" w:type="dxa"/>
          </w:tcPr>
          <w:p w14:paraId="52339D9E" w14:textId="77777777" w:rsidR="002C0FD9" w:rsidRPr="00CA25CF" w:rsidRDefault="002C0FD9" w:rsidP="00CA25CF">
            <w:pPr>
              <w:rPr>
                <w:rFonts w:cs="Arial"/>
                <w:color w:val="FF0000"/>
                <w:sz w:val="21"/>
                <w:szCs w:val="21"/>
              </w:rPr>
            </w:pPr>
          </w:p>
        </w:tc>
        <w:tc>
          <w:tcPr>
            <w:tcW w:w="217" w:type="dxa"/>
          </w:tcPr>
          <w:p w14:paraId="213295EF" w14:textId="77777777" w:rsidR="002C0FD9" w:rsidRPr="00CA25CF" w:rsidRDefault="002C0FD9" w:rsidP="00CA25CF">
            <w:pPr>
              <w:rPr>
                <w:rFonts w:cs="Arial"/>
                <w:color w:val="FF0000"/>
                <w:sz w:val="21"/>
                <w:szCs w:val="21"/>
              </w:rPr>
            </w:pPr>
          </w:p>
        </w:tc>
        <w:tc>
          <w:tcPr>
            <w:tcW w:w="217" w:type="dxa"/>
          </w:tcPr>
          <w:p w14:paraId="2CAEBC01" w14:textId="77777777" w:rsidR="002C0FD9" w:rsidRPr="00CA25CF" w:rsidRDefault="002C0FD9" w:rsidP="00CA25CF">
            <w:pPr>
              <w:rPr>
                <w:rFonts w:cs="Arial"/>
                <w:color w:val="FF0000"/>
                <w:sz w:val="21"/>
                <w:szCs w:val="21"/>
              </w:rPr>
            </w:pPr>
          </w:p>
        </w:tc>
        <w:tc>
          <w:tcPr>
            <w:tcW w:w="217" w:type="dxa"/>
          </w:tcPr>
          <w:p w14:paraId="466F4575" w14:textId="77777777" w:rsidR="002C0FD9" w:rsidRPr="00CA25CF" w:rsidRDefault="002C0FD9" w:rsidP="00CA25CF">
            <w:pPr>
              <w:rPr>
                <w:rFonts w:cs="Arial"/>
                <w:color w:val="FF0000"/>
                <w:sz w:val="21"/>
                <w:szCs w:val="21"/>
              </w:rPr>
            </w:pPr>
          </w:p>
        </w:tc>
        <w:tc>
          <w:tcPr>
            <w:tcW w:w="217" w:type="dxa"/>
          </w:tcPr>
          <w:p w14:paraId="35C88434" w14:textId="77777777" w:rsidR="002C0FD9" w:rsidRPr="00CA25CF" w:rsidRDefault="002C0FD9" w:rsidP="00CA25CF">
            <w:pPr>
              <w:rPr>
                <w:rFonts w:cs="Arial"/>
                <w:color w:val="FF0000"/>
                <w:sz w:val="21"/>
                <w:szCs w:val="21"/>
              </w:rPr>
            </w:pPr>
          </w:p>
        </w:tc>
        <w:tc>
          <w:tcPr>
            <w:tcW w:w="217" w:type="dxa"/>
          </w:tcPr>
          <w:p w14:paraId="68848B8A" w14:textId="77777777" w:rsidR="002C0FD9" w:rsidRPr="00CA25CF" w:rsidRDefault="002C0FD9" w:rsidP="00CA25CF">
            <w:pPr>
              <w:rPr>
                <w:rFonts w:cs="Arial"/>
                <w:color w:val="FF0000"/>
                <w:sz w:val="21"/>
                <w:szCs w:val="21"/>
              </w:rPr>
            </w:pPr>
          </w:p>
        </w:tc>
        <w:tc>
          <w:tcPr>
            <w:tcW w:w="217" w:type="dxa"/>
          </w:tcPr>
          <w:p w14:paraId="3FEA265E" w14:textId="77777777" w:rsidR="002C0FD9" w:rsidRPr="00CA25CF" w:rsidRDefault="002C0FD9" w:rsidP="00CA25CF">
            <w:pPr>
              <w:rPr>
                <w:rFonts w:cs="Arial"/>
                <w:color w:val="FF0000"/>
                <w:sz w:val="21"/>
                <w:szCs w:val="21"/>
              </w:rPr>
            </w:pPr>
          </w:p>
        </w:tc>
        <w:tc>
          <w:tcPr>
            <w:tcW w:w="217" w:type="dxa"/>
          </w:tcPr>
          <w:p w14:paraId="4961506D" w14:textId="77777777" w:rsidR="002C0FD9" w:rsidRPr="00CA25CF" w:rsidRDefault="002C0FD9" w:rsidP="00CA25CF">
            <w:pPr>
              <w:rPr>
                <w:rFonts w:cs="Arial"/>
                <w:color w:val="FF0000"/>
                <w:sz w:val="21"/>
                <w:szCs w:val="21"/>
              </w:rPr>
            </w:pPr>
          </w:p>
        </w:tc>
        <w:tc>
          <w:tcPr>
            <w:tcW w:w="217" w:type="dxa"/>
          </w:tcPr>
          <w:p w14:paraId="35574056" w14:textId="77777777" w:rsidR="002C0FD9" w:rsidRPr="00CA25CF" w:rsidRDefault="002C0FD9" w:rsidP="00CA25CF">
            <w:pPr>
              <w:rPr>
                <w:rFonts w:cs="Arial"/>
                <w:color w:val="FF0000"/>
                <w:sz w:val="21"/>
                <w:szCs w:val="21"/>
              </w:rPr>
            </w:pPr>
          </w:p>
        </w:tc>
        <w:tc>
          <w:tcPr>
            <w:tcW w:w="217" w:type="dxa"/>
          </w:tcPr>
          <w:p w14:paraId="6F4BFBCE" w14:textId="77777777" w:rsidR="002C0FD9" w:rsidRPr="00CA25CF" w:rsidRDefault="002C0FD9" w:rsidP="00CA25CF">
            <w:pPr>
              <w:rPr>
                <w:rFonts w:cs="Arial"/>
                <w:color w:val="FF0000"/>
                <w:sz w:val="21"/>
                <w:szCs w:val="21"/>
              </w:rPr>
            </w:pPr>
          </w:p>
        </w:tc>
        <w:tc>
          <w:tcPr>
            <w:tcW w:w="217" w:type="dxa"/>
          </w:tcPr>
          <w:p w14:paraId="51080280" w14:textId="77777777" w:rsidR="002C0FD9" w:rsidRPr="00CA25CF" w:rsidRDefault="002C0FD9" w:rsidP="00CA25CF">
            <w:pPr>
              <w:rPr>
                <w:rFonts w:cs="Arial"/>
                <w:color w:val="FF0000"/>
                <w:sz w:val="21"/>
                <w:szCs w:val="21"/>
              </w:rPr>
            </w:pPr>
          </w:p>
        </w:tc>
        <w:tc>
          <w:tcPr>
            <w:tcW w:w="217" w:type="dxa"/>
          </w:tcPr>
          <w:p w14:paraId="3B54BB4C" w14:textId="77777777" w:rsidR="002C0FD9" w:rsidRPr="00CA25CF" w:rsidRDefault="002C0FD9" w:rsidP="00CA25CF">
            <w:pPr>
              <w:rPr>
                <w:rFonts w:cs="Arial"/>
                <w:color w:val="FF0000"/>
                <w:sz w:val="21"/>
                <w:szCs w:val="21"/>
              </w:rPr>
            </w:pPr>
          </w:p>
        </w:tc>
        <w:tc>
          <w:tcPr>
            <w:tcW w:w="217" w:type="dxa"/>
          </w:tcPr>
          <w:p w14:paraId="3CA2216F" w14:textId="77777777" w:rsidR="002C0FD9" w:rsidRPr="00CA25CF" w:rsidRDefault="002C0FD9" w:rsidP="00CA25CF">
            <w:pPr>
              <w:rPr>
                <w:rFonts w:cs="Arial"/>
                <w:color w:val="FF0000"/>
                <w:sz w:val="21"/>
                <w:szCs w:val="21"/>
              </w:rPr>
            </w:pPr>
          </w:p>
        </w:tc>
        <w:tc>
          <w:tcPr>
            <w:tcW w:w="217" w:type="dxa"/>
          </w:tcPr>
          <w:p w14:paraId="32E97C76" w14:textId="77777777" w:rsidR="002C0FD9" w:rsidRPr="00CA25CF" w:rsidRDefault="002C0FD9" w:rsidP="00CA25CF">
            <w:pPr>
              <w:rPr>
                <w:rFonts w:cs="Arial"/>
                <w:color w:val="FF0000"/>
                <w:sz w:val="21"/>
                <w:szCs w:val="21"/>
              </w:rPr>
            </w:pPr>
          </w:p>
        </w:tc>
        <w:tc>
          <w:tcPr>
            <w:tcW w:w="217" w:type="dxa"/>
          </w:tcPr>
          <w:p w14:paraId="42588C3D" w14:textId="77777777" w:rsidR="002C0FD9" w:rsidRPr="00CA25CF" w:rsidRDefault="002C0FD9" w:rsidP="00CA25CF">
            <w:pPr>
              <w:rPr>
                <w:rFonts w:cs="Arial"/>
                <w:color w:val="FF0000"/>
                <w:sz w:val="21"/>
                <w:szCs w:val="21"/>
              </w:rPr>
            </w:pPr>
          </w:p>
        </w:tc>
        <w:tc>
          <w:tcPr>
            <w:tcW w:w="217" w:type="dxa"/>
          </w:tcPr>
          <w:p w14:paraId="5A08E40A" w14:textId="77777777" w:rsidR="002C0FD9" w:rsidRPr="00CA25CF" w:rsidRDefault="002C0FD9" w:rsidP="00CA25CF">
            <w:pPr>
              <w:rPr>
                <w:rFonts w:cs="Arial"/>
                <w:color w:val="FF0000"/>
                <w:sz w:val="21"/>
                <w:szCs w:val="21"/>
              </w:rPr>
            </w:pPr>
          </w:p>
        </w:tc>
        <w:tc>
          <w:tcPr>
            <w:tcW w:w="217" w:type="dxa"/>
          </w:tcPr>
          <w:p w14:paraId="22213258" w14:textId="77777777" w:rsidR="002C0FD9" w:rsidRPr="00CA25CF" w:rsidRDefault="002C0FD9" w:rsidP="00CA25CF">
            <w:pPr>
              <w:rPr>
                <w:rFonts w:cs="Arial"/>
                <w:color w:val="FF0000"/>
                <w:sz w:val="21"/>
                <w:szCs w:val="21"/>
              </w:rPr>
            </w:pPr>
          </w:p>
        </w:tc>
        <w:tc>
          <w:tcPr>
            <w:tcW w:w="217" w:type="dxa"/>
          </w:tcPr>
          <w:p w14:paraId="6E952438" w14:textId="77777777" w:rsidR="002C0FD9" w:rsidRPr="00CA25CF" w:rsidRDefault="002C0FD9" w:rsidP="00CA25CF">
            <w:pPr>
              <w:rPr>
                <w:rFonts w:cs="Arial"/>
                <w:color w:val="FF0000"/>
                <w:sz w:val="21"/>
                <w:szCs w:val="21"/>
              </w:rPr>
            </w:pPr>
          </w:p>
        </w:tc>
        <w:tc>
          <w:tcPr>
            <w:tcW w:w="217" w:type="dxa"/>
          </w:tcPr>
          <w:p w14:paraId="6A9B78C5" w14:textId="77777777" w:rsidR="002C0FD9" w:rsidRPr="00CA25CF" w:rsidRDefault="002C0FD9" w:rsidP="00CA25CF">
            <w:pPr>
              <w:rPr>
                <w:rFonts w:cs="Arial"/>
                <w:color w:val="FF0000"/>
                <w:sz w:val="21"/>
                <w:szCs w:val="21"/>
              </w:rPr>
            </w:pPr>
          </w:p>
        </w:tc>
        <w:tc>
          <w:tcPr>
            <w:tcW w:w="217" w:type="dxa"/>
          </w:tcPr>
          <w:p w14:paraId="69750424" w14:textId="77777777" w:rsidR="002C0FD9" w:rsidRPr="00CA25CF" w:rsidRDefault="002C0FD9" w:rsidP="00CA25CF">
            <w:pPr>
              <w:rPr>
                <w:rFonts w:cs="Arial"/>
                <w:color w:val="FF0000"/>
                <w:sz w:val="21"/>
                <w:szCs w:val="21"/>
              </w:rPr>
            </w:pPr>
          </w:p>
        </w:tc>
        <w:tc>
          <w:tcPr>
            <w:tcW w:w="217" w:type="dxa"/>
          </w:tcPr>
          <w:p w14:paraId="492CCC78" w14:textId="77777777" w:rsidR="002C0FD9" w:rsidRPr="00CA25CF" w:rsidRDefault="002C0FD9" w:rsidP="00CA25CF">
            <w:pPr>
              <w:rPr>
                <w:rFonts w:cs="Arial"/>
                <w:color w:val="FF0000"/>
                <w:sz w:val="21"/>
                <w:szCs w:val="21"/>
              </w:rPr>
            </w:pPr>
          </w:p>
        </w:tc>
        <w:tc>
          <w:tcPr>
            <w:tcW w:w="217" w:type="dxa"/>
          </w:tcPr>
          <w:p w14:paraId="56ACE6F1" w14:textId="77777777" w:rsidR="002C0FD9" w:rsidRPr="00CA25CF" w:rsidRDefault="002C0FD9" w:rsidP="00CA25CF">
            <w:pPr>
              <w:rPr>
                <w:rFonts w:cs="Arial"/>
                <w:color w:val="FF0000"/>
                <w:sz w:val="21"/>
                <w:szCs w:val="21"/>
              </w:rPr>
            </w:pPr>
          </w:p>
        </w:tc>
        <w:tc>
          <w:tcPr>
            <w:tcW w:w="217" w:type="dxa"/>
          </w:tcPr>
          <w:p w14:paraId="4224931A" w14:textId="77777777" w:rsidR="002C0FD9" w:rsidRPr="00CA25CF" w:rsidRDefault="002C0FD9" w:rsidP="00CA25CF">
            <w:pPr>
              <w:rPr>
                <w:rFonts w:cs="Arial"/>
                <w:color w:val="FF0000"/>
                <w:sz w:val="21"/>
                <w:szCs w:val="21"/>
              </w:rPr>
            </w:pPr>
          </w:p>
        </w:tc>
        <w:tc>
          <w:tcPr>
            <w:tcW w:w="217" w:type="dxa"/>
          </w:tcPr>
          <w:p w14:paraId="102C2756" w14:textId="77777777" w:rsidR="002C0FD9" w:rsidRPr="00CA25CF" w:rsidRDefault="002C0FD9" w:rsidP="00CA25CF">
            <w:pPr>
              <w:rPr>
                <w:rFonts w:cs="Arial"/>
                <w:color w:val="FF0000"/>
                <w:sz w:val="21"/>
                <w:szCs w:val="21"/>
              </w:rPr>
            </w:pPr>
          </w:p>
        </w:tc>
        <w:tc>
          <w:tcPr>
            <w:tcW w:w="217" w:type="dxa"/>
          </w:tcPr>
          <w:p w14:paraId="08EDCE62" w14:textId="77777777" w:rsidR="002C0FD9" w:rsidRPr="00CA25CF" w:rsidRDefault="002C0FD9" w:rsidP="00CA25CF">
            <w:pPr>
              <w:rPr>
                <w:rFonts w:cs="Arial"/>
                <w:color w:val="FF0000"/>
                <w:sz w:val="21"/>
                <w:szCs w:val="21"/>
              </w:rPr>
            </w:pPr>
          </w:p>
        </w:tc>
        <w:tc>
          <w:tcPr>
            <w:tcW w:w="217" w:type="dxa"/>
          </w:tcPr>
          <w:p w14:paraId="26134BA9" w14:textId="77777777" w:rsidR="002C0FD9" w:rsidRPr="00CA25CF" w:rsidRDefault="002C0FD9" w:rsidP="00CA25CF">
            <w:pPr>
              <w:rPr>
                <w:rFonts w:cs="Arial"/>
                <w:color w:val="FF0000"/>
                <w:sz w:val="21"/>
                <w:szCs w:val="21"/>
              </w:rPr>
            </w:pPr>
          </w:p>
        </w:tc>
        <w:tc>
          <w:tcPr>
            <w:tcW w:w="217" w:type="dxa"/>
          </w:tcPr>
          <w:p w14:paraId="4D4A65DD" w14:textId="77777777" w:rsidR="002C0FD9" w:rsidRPr="00CA25CF" w:rsidRDefault="002C0FD9" w:rsidP="00CA25CF">
            <w:pPr>
              <w:rPr>
                <w:rFonts w:cs="Arial"/>
                <w:color w:val="FF0000"/>
                <w:sz w:val="21"/>
                <w:szCs w:val="21"/>
              </w:rPr>
            </w:pPr>
          </w:p>
        </w:tc>
        <w:tc>
          <w:tcPr>
            <w:tcW w:w="217" w:type="dxa"/>
          </w:tcPr>
          <w:p w14:paraId="3A32B676" w14:textId="77777777" w:rsidR="002C0FD9" w:rsidRPr="00CA25CF" w:rsidRDefault="002C0FD9" w:rsidP="00CA25CF">
            <w:pPr>
              <w:rPr>
                <w:rFonts w:cs="Arial"/>
                <w:color w:val="FF0000"/>
                <w:sz w:val="21"/>
                <w:szCs w:val="21"/>
              </w:rPr>
            </w:pPr>
          </w:p>
        </w:tc>
      </w:tr>
      <w:tr w:rsidR="002C0FD9" w:rsidRPr="00A16219" w14:paraId="4E6652B9" w14:textId="3DBB4D51" w:rsidTr="002C0FD9">
        <w:trPr>
          <w:trHeight w:val="635"/>
        </w:trPr>
        <w:tc>
          <w:tcPr>
            <w:tcW w:w="515" w:type="dxa"/>
          </w:tcPr>
          <w:p w14:paraId="59C02B90" w14:textId="77777777" w:rsidR="002C0FD9" w:rsidRPr="00CA25CF" w:rsidRDefault="002C0FD9" w:rsidP="00CA25CF">
            <w:pPr>
              <w:rPr>
                <w:rFonts w:cs="Arial"/>
                <w:color w:val="FF0000"/>
                <w:sz w:val="21"/>
                <w:szCs w:val="21"/>
              </w:rPr>
            </w:pPr>
          </w:p>
        </w:tc>
        <w:tc>
          <w:tcPr>
            <w:tcW w:w="217" w:type="dxa"/>
          </w:tcPr>
          <w:p w14:paraId="564582B7" w14:textId="77777777" w:rsidR="002C0FD9" w:rsidRPr="00CA25CF" w:rsidRDefault="002C0FD9" w:rsidP="00CA25CF">
            <w:pPr>
              <w:rPr>
                <w:rFonts w:cs="Arial"/>
                <w:color w:val="FF0000"/>
                <w:sz w:val="21"/>
                <w:szCs w:val="21"/>
              </w:rPr>
            </w:pPr>
          </w:p>
        </w:tc>
        <w:tc>
          <w:tcPr>
            <w:tcW w:w="217" w:type="dxa"/>
          </w:tcPr>
          <w:p w14:paraId="3C542B6C" w14:textId="0A360AB5" w:rsidR="002C0FD9" w:rsidRPr="00CA25CF" w:rsidRDefault="002C0FD9" w:rsidP="00CA25CF">
            <w:pPr>
              <w:rPr>
                <w:rFonts w:cs="Arial"/>
                <w:color w:val="FF0000"/>
                <w:sz w:val="21"/>
                <w:szCs w:val="21"/>
              </w:rPr>
            </w:pPr>
          </w:p>
        </w:tc>
        <w:tc>
          <w:tcPr>
            <w:tcW w:w="217" w:type="dxa"/>
          </w:tcPr>
          <w:p w14:paraId="0412AE99" w14:textId="77777777" w:rsidR="002C0FD9" w:rsidRPr="00CA25CF" w:rsidRDefault="002C0FD9" w:rsidP="00CA25CF">
            <w:pPr>
              <w:rPr>
                <w:rFonts w:cs="Arial"/>
                <w:color w:val="FF0000"/>
                <w:sz w:val="21"/>
                <w:szCs w:val="21"/>
              </w:rPr>
            </w:pPr>
          </w:p>
        </w:tc>
        <w:tc>
          <w:tcPr>
            <w:tcW w:w="217" w:type="dxa"/>
          </w:tcPr>
          <w:p w14:paraId="5BC0C752" w14:textId="77777777" w:rsidR="002C0FD9" w:rsidRPr="00CA25CF" w:rsidRDefault="002C0FD9" w:rsidP="00CA25CF">
            <w:pPr>
              <w:rPr>
                <w:rFonts w:cs="Arial"/>
                <w:color w:val="FF0000"/>
                <w:sz w:val="21"/>
                <w:szCs w:val="21"/>
              </w:rPr>
            </w:pPr>
          </w:p>
        </w:tc>
        <w:tc>
          <w:tcPr>
            <w:tcW w:w="217" w:type="dxa"/>
          </w:tcPr>
          <w:p w14:paraId="0DAB8748" w14:textId="77777777" w:rsidR="002C0FD9" w:rsidRPr="00CA25CF" w:rsidRDefault="002C0FD9" w:rsidP="00CA25CF">
            <w:pPr>
              <w:rPr>
                <w:rFonts w:cs="Arial"/>
                <w:color w:val="FF0000"/>
                <w:sz w:val="21"/>
                <w:szCs w:val="21"/>
              </w:rPr>
            </w:pPr>
          </w:p>
        </w:tc>
        <w:tc>
          <w:tcPr>
            <w:tcW w:w="217" w:type="dxa"/>
          </w:tcPr>
          <w:p w14:paraId="08719D9E" w14:textId="77777777" w:rsidR="002C0FD9" w:rsidRPr="00CA25CF" w:rsidRDefault="002C0FD9" w:rsidP="00CA25CF">
            <w:pPr>
              <w:rPr>
                <w:rFonts w:cs="Arial"/>
                <w:color w:val="FF0000"/>
                <w:sz w:val="21"/>
                <w:szCs w:val="21"/>
              </w:rPr>
            </w:pPr>
          </w:p>
        </w:tc>
        <w:tc>
          <w:tcPr>
            <w:tcW w:w="217" w:type="dxa"/>
          </w:tcPr>
          <w:p w14:paraId="09B85C51" w14:textId="77777777" w:rsidR="002C0FD9" w:rsidRPr="00CA25CF" w:rsidRDefault="002C0FD9" w:rsidP="00CA25CF">
            <w:pPr>
              <w:rPr>
                <w:rFonts w:cs="Arial"/>
                <w:color w:val="FF0000"/>
                <w:sz w:val="21"/>
                <w:szCs w:val="21"/>
              </w:rPr>
            </w:pPr>
          </w:p>
        </w:tc>
        <w:tc>
          <w:tcPr>
            <w:tcW w:w="217" w:type="dxa"/>
          </w:tcPr>
          <w:p w14:paraId="00BA3F76" w14:textId="77777777" w:rsidR="002C0FD9" w:rsidRPr="00CA25CF" w:rsidRDefault="002C0FD9" w:rsidP="00CA25CF">
            <w:pPr>
              <w:rPr>
                <w:rFonts w:cs="Arial"/>
                <w:color w:val="FF0000"/>
                <w:sz w:val="21"/>
                <w:szCs w:val="21"/>
              </w:rPr>
            </w:pPr>
          </w:p>
        </w:tc>
        <w:tc>
          <w:tcPr>
            <w:tcW w:w="217" w:type="dxa"/>
          </w:tcPr>
          <w:p w14:paraId="04212F8B" w14:textId="77777777" w:rsidR="002C0FD9" w:rsidRPr="00CA25CF" w:rsidRDefault="002C0FD9" w:rsidP="00CA25CF">
            <w:pPr>
              <w:rPr>
                <w:rFonts w:cs="Arial"/>
                <w:color w:val="FF0000"/>
                <w:sz w:val="21"/>
                <w:szCs w:val="21"/>
              </w:rPr>
            </w:pPr>
          </w:p>
        </w:tc>
        <w:tc>
          <w:tcPr>
            <w:tcW w:w="217" w:type="dxa"/>
          </w:tcPr>
          <w:p w14:paraId="08299848" w14:textId="77777777" w:rsidR="002C0FD9" w:rsidRPr="00CA25CF" w:rsidRDefault="002C0FD9" w:rsidP="00CA25CF">
            <w:pPr>
              <w:rPr>
                <w:rFonts w:cs="Arial"/>
                <w:color w:val="FF0000"/>
                <w:sz w:val="21"/>
                <w:szCs w:val="21"/>
              </w:rPr>
            </w:pPr>
          </w:p>
        </w:tc>
        <w:tc>
          <w:tcPr>
            <w:tcW w:w="217" w:type="dxa"/>
          </w:tcPr>
          <w:p w14:paraId="3EC3A449" w14:textId="77777777" w:rsidR="002C0FD9" w:rsidRPr="00CA25CF" w:rsidRDefault="002C0FD9" w:rsidP="00CA25CF">
            <w:pPr>
              <w:rPr>
                <w:rFonts w:cs="Arial"/>
                <w:color w:val="FF0000"/>
                <w:sz w:val="21"/>
                <w:szCs w:val="21"/>
              </w:rPr>
            </w:pPr>
          </w:p>
        </w:tc>
        <w:tc>
          <w:tcPr>
            <w:tcW w:w="217" w:type="dxa"/>
          </w:tcPr>
          <w:p w14:paraId="72826776" w14:textId="77777777" w:rsidR="002C0FD9" w:rsidRPr="00CA25CF" w:rsidRDefault="002C0FD9" w:rsidP="00CA25CF">
            <w:pPr>
              <w:rPr>
                <w:rFonts w:cs="Arial"/>
                <w:color w:val="FF0000"/>
                <w:sz w:val="21"/>
                <w:szCs w:val="21"/>
              </w:rPr>
            </w:pPr>
          </w:p>
        </w:tc>
        <w:tc>
          <w:tcPr>
            <w:tcW w:w="217" w:type="dxa"/>
          </w:tcPr>
          <w:p w14:paraId="0FC8016C" w14:textId="77777777" w:rsidR="002C0FD9" w:rsidRPr="00CA25CF" w:rsidRDefault="002C0FD9" w:rsidP="00CA25CF">
            <w:pPr>
              <w:rPr>
                <w:rFonts w:cs="Arial"/>
                <w:color w:val="FF0000"/>
                <w:sz w:val="21"/>
                <w:szCs w:val="21"/>
              </w:rPr>
            </w:pPr>
          </w:p>
        </w:tc>
        <w:tc>
          <w:tcPr>
            <w:tcW w:w="217" w:type="dxa"/>
          </w:tcPr>
          <w:p w14:paraId="06EB40C3" w14:textId="77777777" w:rsidR="002C0FD9" w:rsidRPr="00CA25CF" w:rsidRDefault="002C0FD9" w:rsidP="00CA25CF">
            <w:pPr>
              <w:rPr>
                <w:rFonts w:cs="Arial"/>
                <w:color w:val="FF0000"/>
                <w:sz w:val="21"/>
                <w:szCs w:val="21"/>
              </w:rPr>
            </w:pPr>
          </w:p>
        </w:tc>
        <w:tc>
          <w:tcPr>
            <w:tcW w:w="217" w:type="dxa"/>
          </w:tcPr>
          <w:p w14:paraId="0A2038FB" w14:textId="77777777" w:rsidR="002C0FD9" w:rsidRPr="00CA25CF" w:rsidRDefault="002C0FD9" w:rsidP="00CA25CF">
            <w:pPr>
              <w:rPr>
                <w:rFonts w:cs="Arial"/>
                <w:color w:val="FF0000"/>
                <w:sz w:val="21"/>
                <w:szCs w:val="21"/>
              </w:rPr>
            </w:pPr>
          </w:p>
        </w:tc>
        <w:tc>
          <w:tcPr>
            <w:tcW w:w="217" w:type="dxa"/>
          </w:tcPr>
          <w:p w14:paraId="1136BB3F" w14:textId="77777777" w:rsidR="002C0FD9" w:rsidRPr="00CA25CF" w:rsidRDefault="002C0FD9" w:rsidP="00CA25CF">
            <w:pPr>
              <w:rPr>
                <w:rFonts w:cs="Arial"/>
                <w:color w:val="FF0000"/>
                <w:sz w:val="21"/>
                <w:szCs w:val="21"/>
              </w:rPr>
            </w:pPr>
          </w:p>
        </w:tc>
        <w:tc>
          <w:tcPr>
            <w:tcW w:w="217" w:type="dxa"/>
          </w:tcPr>
          <w:p w14:paraId="7BBA0CFE" w14:textId="77777777" w:rsidR="002C0FD9" w:rsidRPr="00CA25CF" w:rsidRDefault="002C0FD9" w:rsidP="00CA25CF">
            <w:pPr>
              <w:rPr>
                <w:rFonts w:cs="Arial"/>
                <w:color w:val="FF0000"/>
                <w:sz w:val="21"/>
                <w:szCs w:val="21"/>
              </w:rPr>
            </w:pPr>
          </w:p>
        </w:tc>
        <w:tc>
          <w:tcPr>
            <w:tcW w:w="217" w:type="dxa"/>
          </w:tcPr>
          <w:p w14:paraId="2B915374" w14:textId="77777777" w:rsidR="002C0FD9" w:rsidRPr="00CA25CF" w:rsidRDefault="002C0FD9" w:rsidP="00CA25CF">
            <w:pPr>
              <w:rPr>
                <w:rFonts w:cs="Arial"/>
                <w:color w:val="FF0000"/>
                <w:sz w:val="21"/>
                <w:szCs w:val="21"/>
              </w:rPr>
            </w:pPr>
          </w:p>
        </w:tc>
        <w:tc>
          <w:tcPr>
            <w:tcW w:w="217" w:type="dxa"/>
          </w:tcPr>
          <w:p w14:paraId="013B4144" w14:textId="77777777" w:rsidR="002C0FD9" w:rsidRPr="00CA25CF" w:rsidRDefault="002C0FD9" w:rsidP="00CA25CF">
            <w:pPr>
              <w:rPr>
                <w:rFonts w:cs="Arial"/>
                <w:color w:val="FF0000"/>
                <w:sz w:val="21"/>
                <w:szCs w:val="21"/>
              </w:rPr>
            </w:pPr>
          </w:p>
        </w:tc>
        <w:tc>
          <w:tcPr>
            <w:tcW w:w="217" w:type="dxa"/>
          </w:tcPr>
          <w:p w14:paraId="5943830D" w14:textId="77777777" w:rsidR="002C0FD9" w:rsidRPr="00CA25CF" w:rsidRDefault="002C0FD9" w:rsidP="00CA25CF">
            <w:pPr>
              <w:rPr>
                <w:rFonts w:cs="Arial"/>
                <w:color w:val="FF0000"/>
                <w:sz w:val="21"/>
                <w:szCs w:val="21"/>
              </w:rPr>
            </w:pPr>
          </w:p>
        </w:tc>
        <w:tc>
          <w:tcPr>
            <w:tcW w:w="217" w:type="dxa"/>
          </w:tcPr>
          <w:p w14:paraId="0E077027" w14:textId="77777777" w:rsidR="002C0FD9" w:rsidRPr="00CA25CF" w:rsidRDefault="002C0FD9" w:rsidP="00CA25CF">
            <w:pPr>
              <w:rPr>
                <w:rFonts w:cs="Arial"/>
                <w:color w:val="FF0000"/>
                <w:sz w:val="21"/>
                <w:szCs w:val="21"/>
              </w:rPr>
            </w:pPr>
          </w:p>
        </w:tc>
        <w:tc>
          <w:tcPr>
            <w:tcW w:w="217" w:type="dxa"/>
          </w:tcPr>
          <w:p w14:paraId="55920181" w14:textId="77777777" w:rsidR="002C0FD9" w:rsidRPr="00CA25CF" w:rsidRDefault="002C0FD9" w:rsidP="00CA25CF">
            <w:pPr>
              <w:rPr>
                <w:rFonts w:cs="Arial"/>
                <w:color w:val="FF0000"/>
                <w:sz w:val="21"/>
                <w:szCs w:val="21"/>
              </w:rPr>
            </w:pPr>
          </w:p>
        </w:tc>
        <w:tc>
          <w:tcPr>
            <w:tcW w:w="217" w:type="dxa"/>
          </w:tcPr>
          <w:p w14:paraId="5D508CFA" w14:textId="77777777" w:rsidR="002C0FD9" w:rsidRPr="00CA25CF" w:rsidRDefault="002C0FD9" w:rsidP="00CA25CF">
            <w:pPr>
              <w:rPr>
                <w:rFonts w:cs="Arial"/>
                <w:color w:val="FF0000"/>
                <w:sz w:val="21"/>
                <w:szCs w:val="21"/>
              </w:rPr>
            </w:pPr>
          </w:p>
        </w:tc>
        <w:tc>
          <w:tcPr>
            <w:tcW w:w="217" w:type="dxa"/>
          </w:tcPr>
          <w:p w14:paraId="763D27DC" w14:textId="77777777" w:rsidR="002C0FD9" w:rsidRPr="00CA25CF" w:rsidRDefault="002C0FD9" w:rsidP="00CA25CF">
            <w:pPr>
              <w:rPr>
                <w:rFonts w:cs="Arial"/>
                <w:color w:val="FF0000"/>
                <w:sz w:val="21"/>
                <w:szCs w:val="21"/>
              </w:rPr>
            </w:pPr>
          </w:p>
        </w:tc>
        <w:tc>
          <w:tcPr>
            <w:tcW w:w="217" w:type="dxa"/>
          </w:tcPr>
          <w:p w14:paraId="232F2958" w14:textId="77777777" w:rsidR="002C0FD9" w:rsidRPr="00CA25CF" w:rsidRDefault="002C0FD9" w:rsidP="00CA25CF">
            <w:pPr>
              <w:rPr>
                <w:rFonts w:cs="Arial"/>
                <w:color w:val="FF0000"/>
                <w:sz w:val="21"/>
                <w:szCs w:val="21"/>
              </w:rPr>
            </w:pPr>
          </w:p>
        </w:tc>
        <w:tc>
          <w:tcPr>
            <w:tcW w:w="217" w:type="dxa"/>
          </w:tcPr>
          <w:p w14:paraId="6351E990" w14:textId="77777777" w:rsidR="002C0FD9" w:rsidRPr="00CA25CF" w:rsidRDefault="002C0FD9" w:rsidP="00CA25CF">
            <w:pPr>
              <w:rPr>
                <w:rFonts w:cs="Arial"/>
                <w:color w:val="FF0000"/>
                <w:sz w:val="21"/>
                <w:szCs w:val="21"/>
              </w:rPr>
            </w:pPr>
          </w:p>
        </w:tc>
        <w:tc>
          <w:tcPr>
            <w:tcW w:w="217" w:type="dxa"/>
          </w:tcPr>
          <w:p w14:paraId="587A15EC" w14:textId="77777777" w:rsidR="002C0FD9" w:rsidRPr="00CA25CF" w:rsidRDefault="002C0FD9" w:rsidP="00CA25CF">
            <w:pPr>
              <w:rPr>
                <w:rFonts w:cs="Arial"/>
                <w:color w:val="FF0000"/>
                <w:sz w:val="21"/>
                <w:szCs w:val="21"/>
              </w:rPr>
            </w:pPr>
          </w:p>
        </w:tc>
        <w:tc>
          <w:tcPr>
            <w:tcW w:w="217" w:type="dxa"/>
          </w:tcPr>
          <w:p w14:paraId="5EA7EC0E" w14:textId="77777777" w:rsidR="002C0FD9" w:rsidRPr="00CA25CF" w:rsidRDefault="002C0FD9" w:rsidP="00CA25CF">
            <w:pPr>
              <w:rPr>
                <w:rFonts w:cs="Arial"/>
                <w:color w:val="FF0000"/>
                <w:sz w:val="21"/>
                <w:szCs w:val="21"/>
              </w:rPr>
            </w:pPr>
          </w:p>
        </w:tc>
        <w:tc>
          <w:tcPr>
            <w:tcW w:w="217" w:type="dxa"/>
          </w:tcPr>
          <w:p w14:paraId="6B17AF72" w14:textId="77777777" w:rsidR="002C0FD9" w:rsidRPr="00CA25CF" w:rsidRDefault="002C0FD9" w:rsidP="00CA25CF">
            <w:pPr>
              <w:rPr>
                <w:rFonts w:cs="Arial"/>
                <w:color w:val="FF0000"/>
                <w:sz w:val="21"/>
                <w:szCs w:val="21"/>
              </w:rPr>
            </w:pPr>
          </w:p>
        </w:tc>
        <w:tc>
          <w:tcPr>
            <w:tcW w:w="217" w:type="dxa"/>
          </w:tcPr>
          <w:p w14:paraId="06B2AADE" w14:textId="77777777" w:rsidR="002C0FD9" w:rsidRPr="00CA25CF" w:rsidRDefault="002C0FD9" w:rsidP="00CA25CF">
            <w:pPr>
              <w:rPr>
                <w:rFonts w:cs="Arial"/>
                <w:color w:val="FF0000"/>
                <w:sz w:val="21"/>
                <w:szCs w:val="21"/>
              </w:rPr>
            </w:pPr>
          </w:p>
        </w:tc>
        <w:tc>
          <w:tcPr>
            <w:tcW w:w="217" w:type="dxa"/>
          </w:tcPr>
          <w:p w14:paraId="0F51C345" w14:textId="77777777" w:rsidR="002C0FD9" w:rsidRPr="00CA25CF" w:rsidRDefault="002C0FD9" w:rsidP="00CA25CF">
            <w:pPr>
              <w:rPr>
                <w:rFonts w:cs="Arial"/>
                <w:color w:val="FF0000"/>
                <w:sz w:val="21"/>
                <w:szCs w:val="21"/>
              </w:rPr>
            </w:pPr>
          </w:p>
        </w:tc>
        <w:tc>
          <w:tcPr>
            <w:tcW w:w="217" w:type="dxa"/>
          </w:tcPr>
          <w:p w14:paraId="4EBCDF85" w14:textId="77777777" w:rsidR="002C0FD9" w:rsidRPr="00CA25CF" w:rsidRDefault="002C0FD9" w:rsidP="00CA25CF">
            <w:pPr>
              <w:rPr>
                <w:rFonts w:cs="Arial"/>
                <w:color w:val="FF0000"/>
                <w:sz w:val="21"/>
                <w:szCs w:val="21"/>
              </w:rPr>
            </w:pPr>
          </w:p>
        </w:tc>
        <w:tc>
          <w:tcPr>
            <w:tcW w:w="217" w:type="dxa"/>
          </w:tcPr>
          <w:p w14:paraId="3ED7C6A9" w14:textId="77777777" w:rsidR="002C0FD9" w:rsidRPr="00CA25CF" w:rsidRDefault="002C0FD9" w:rsidP="00CA25CF">
            <w:pPr>
              <w:rPr>
                <w:rFonts w:cs="Arial"/>
                <w:color w:val="FF0000"/>
                <w:sz w:val="21"/>
                <w:szCs w:val="21"/>
              </w:rPr>
            </w:pPr>
          </w:p>
        </w:tc>
        <w:tc>
          <w:tcPr>
            <w:tcW w:w="217" w:type="dxa"/>
          </w:tcPr>
          <w:p w14:paraId="76ED16F6" w14:textId="77777777" w:rsidR="002C0FD9" w:rsidRPr="00CA25CF" w:rsidRDefault="002C0FD9" w:rsidP="00CA25CF">
            <w:pPr>
              <w:rPr>
                <w:rFonts w:cs="Arial"/>
                <w:color w:val="FF0000"/>
                <w:sz w:val="21"/>
                <w:szCs w:val="21"/>
              </w:rPr>
            </w:pPr>
          </w:p>
        </w:tc>
        <w:tc>
          <w:tcPr>
            <w:tcW w:w="217" w:type="dxa"/>
          </w:tcPr>
          <w:p w14:paraId="0096C5D8" w14:textId="77777777" w:rsidR="002C0FD9" w:rsidRPr="00CA25CF" w:rsidRDefault="002C0FD9" w:rsidP="00CA25CF">
            <w:pPr>
              <w:rPr>
                <w:rFonts w:cs="Arial"/>
                <w:color w:val="FF0000"/>
                <w:sz w:val="21"/>
                <w:szCs w:val="21"/>
              </w:rPr>
            </w:pPr>
          </w:p>
        </w:tc>
        <w:tc>
          <w:tcPr>
            <w:tcW w:w="217" w:type="dxa"/>
          </w:tcPr>
          <w:p w14:paraId="3330A74B" w14:textId="77777777" w:rsidR="002C0FD9" w:rsidRPr="00CA25CF" w:rsidRDefault="002C0FD9" w:rsidP="00CA25CF">
            <w:pPr>
              <w:rPr>
                <w:rFonts w:cs="Arial"/>
                <w:color w:val="FF0000"/>
                <w:sz w:val="21"/>
                <w:szCs w:val="21"/>
              </w:rPr>
            </w:pPr>
          </w:p>
        </w:tc>
        <w:tc>
          <w:tcPr>
            <w:tcW w:w="217" w:type="dxa"/>
          </w:tcPr>
          <w:p w14:paraId="6C8EA815" w14:textId="77777777" w:rsidR="002C0FD9" w:rsidRPr="00CA25CF" w:rsidRDefault="002C0FD9" w:rsidP="00CA25CF">
            <w:pPr>
              <w:rPr>
                <w:rFonts w:cs="Arial"/>
                <w:color w:val="FF0000"/>
                <w:sz w:val="21"/>
                <w:szCs w:val="21"/>
              </w:rPr>
            </w:pPr>
          </w:p>
        </w:tc>
        <w:tc>
          <w:tcPr>
            <w:tcW w:w="217" w:type="dxa"/>
          </w:tcPr>
          <w:p w14:paraId="37D3300B" w14:textId="77777777" w:rsidR="002C0FD9" w:rsidRPr="00CA25CF" w:rsidRDefault="002C0FD9" w:rsidP="00CA25CF">
            <w:pPr>
              <w:rPr>
                <w:rFonts w:cs="Arial"/>
                <w:color w:val="FF0000"/>
                <w:sz w:val="21"/>
                <w:szCs w:val="21"/>
              </w:rPr>
            </w:pPr>
          </w:p>
        </w:tc>
        <w:tc>
          <w:tcPr>
            <w:tcW w:w="217" w:type="dxa"/>
          </w:tcPr>
          <w:p w14:paraId="3BE6E233" w14:textId="77777777" w:rsidR="002C0FD9" w:rsidRPr="00CA25CF" w:rsidRDefault="002C0FD9" w:rsidP="00CA25CF">
            <w:pPr>
              <w:rPr>
                <w:rFonts w:cs="Arial"/>
                <w:color w:val="FF0000"/>
                <w:sz w:val="21"/>
                <w:szCs w:val="21"/>
              </w:rPr>
            </w:pPr>
          </w:p>
        </w:tc>
        <w:tc>
          <w:tcPr>
            <w:tcW w:w="217" w:type="dxa"/>
          </w:tcPr>
          <w:p w14:paraId="23808DF4" w14:textId="77777777" w:rsidR="002C0FD9" w:rsidRPr="00CA25CF" w:rsidRDefault="002C0FD9" w:rsidP="00CA25CF">
            <w:pPr>
              <w:rPr>
                <w:rFonts w:cs="Arial"/>
                <w:color w:val="FF0000"/>
                <w:sz w:val="21"/>
                <w:szCs w:val="21"/>
              </w:rPr>
            </w:pPr>
          </w:p>
        </w:tc>
        <w:tc>
          <w:tcPr>
            <w:tcW w:w="217" w:type="dxa"/>
          </w:tcPr>
          <w:p w14:paraId="15D291CD" w14:textId="77777777" w:rsidR="002C0FD9" w:rsidRPr="00CA25CF" w:rsidRDefault="002C0FD9" w:rsidP="00CA25CF">
            <w:pPr>
              <w:rPr>
                <w:rFonts w:cs="Arial"/>
                <w:color w:val="FF0000"/>
                <w:sz w:val="21"/>
                <w:szCs w:val="21"/>
              </w:rPr>
            </w:pPr>
          </w:p>
        </w:tc>
        <w:tc>
          <w:tcPr>
            <w:tcW w:w="217" w:type="dxa"/>
          </w:tcPr>
          <w:p w14:paraId="4A3015E0" w14:textId="77777777" w:rsidR="002C0FD9" w:rsidRPr="00CA25CF" w:rsidRDefault="002C0FD9" w:rsidP="00CA25CF">
            <w:pPr>
              <w:rPr>
                <w:rFonts w:cs="Arial"/>
                <w:color w:val="FF0000"/>
                <w:sz w:val="21"/>
                <w:szCs w:val="21"/>
              </w:rPr>
            </w:pPr>
          </w:p>
        </w:tc>
      </w:tr>
      <w:tr w:rsidR="002C0FD9" w:rsidRPr="00A16219" w14:paraId="146B4866" w14:textId="49ABB808" w:rsidTr="002C0FD9">
        <w:trPr>
          <w:trHeight w:val="635"/>
        </w:trPr>
        <w:tc>
          <w:tcPr>
            <w:tcW w:w="515" w:type="dxa"/>
          </w:tcPr>
          <w:p w14:paraId="468052C8" w14:textId="77777777" w:rsidR="002C0FD9" w:rsidRPr="00CA25CF" w:rsidRDefault="002C0FD9" w:rsidP="00CA25CF">
            <w:pPr>
              <w:rPr>
                <w:rFonts w:cs="Arial"/>
                <w:color w:val="FF0000"/>
                <w:sz w:val="21"/>
                <w:szCs w:val="21"/>
              </w:rPr>
            </w:pPr>
          </w:p>
        </w:tc>
        <w:tc>
          <w:tcPr>
            <w:tcW w:w="217" w:type="dxa"/>
          </w:tcPr>
          <w:p w14:paraId="772B2F48" w14:textId="77777777" w:rsidR="002C0FD9" w:rsidRPr="00CA25CF" w:rsidRDefault="002C0FD9" w:rsidP="00CA25CF">
            <w:pPr>
              <w:rPr>
                <w:rFonts w:cs="Arial"/>
                <w:color w:val="FF0000"/>
                <w:sz w:val="21"/>
                <w:szCs w:val="21"/>
              </w:rPr>
            </w:pPr>
          </w:p>
        </w:tc>
        <w:tc>
          <w:tcPr>
            <w:tcW w:w="217" w:type="dxa"/>
          </w:tcPr>
          <w:p w14:paraId="43F498C0" w14:textId="7E68023F" w:rsidR="002C0FD9" w:rsidRPr="00CA25CF" w:rsidRDefault="002C0FD9" w:rsidP="00CA25CF">
            <w:pPr>
              <w:rPr>
                <w:rFonts w:cs="Arial"/>
                <w:color w:val="FF0000"/>
                <w:sz w:val="21"/>
                <w:szCs w:val="21"/>
              </w:rPr>
            </w:pPr>
          </w:p>
        </w:tc>
        <w:tc>
          <w:tcPr>
            <w:tcW w:w="217" w:type="dxa"/>
          </w:tcPr>
          <w:p w14:paraId="1994CC47" w14:textId="77777777" w:rsidR="002C0FD9" w:rsidRPr="00CA25CF" w:rsidRDefault="002C0FD9" w:rsidP="00CA25CF">
            <w:pPr>
              <w:rPr>
                <w:rFonts w:cs="Arial"/>
                <w:color w:val="FF0000"/>
                <w:sz w:val="21"/>
                <w:szCs w:val="21"/>
              </w:rPr>
            </w:pPr>
          </w:p>
        </w:tc>
        <w:tc>
          <w:tcPr>
            <w:tcW w:w="217" w:type="dxa"/>
          </w:tcPr>
          <w:p w14:paraId="7C6D810D" w14:textId="77777777" w:rsidR="002C0FD9" w:rsidRPr="00CA25CF" w:rsidRDefault="002C0FD9" w:rsidP="00CA25CF">
            <w:pPr>
              <w:rPr>
                <w:rFonts w:cs="Arial"/>
                <w:color w:val="FF0000"/>
                <w:sz w:val="21"/>
                <w:szCs w:val="21"/>
              </w:rPr>
            </w:pPr>
          </w:p>
        </w:tc>
        <w:tc>
          <w:tcPr>
            <w:tcW w:w="217" w:type="dxa"/>
          </w:tcPr>
          <w:p w14:paraId="0FFCD7F2" w14:textId="77777777" w:rsidR="002C0FD9" w:rsidRPr="00CA25CF" w:rsidRDefault="002C0FD9" w:rsidP="00CA25CF">
            <w:pPr>
              <w:rPr>
                <w:rFonts w:cs="Arial"/>
                <w:color w:val="FF0000"/>
                <w:sz w:val="21"/>
                <w:szCs w:val="21"/>
              </w:rPr>
            </w:pPr>
          </w:p>
        </w:tc>
        <w:tc>
          <w:tcPr>
            <w:tcW w:w="217" w:type="dxa"/>
          </w:tcPr>
          <w:p w14:paraId="71F51AEE" w14:textId="77777777" w:rsidR="002C0FD9" w:rsidRPr="00CA25CF" w:rsidRDefault="002C0FD9" w:rsidP="00CA25CF">
            <w:pPr>
              <w:rPr>
                <w:rFonts w:cs="Arial"/>
                <w:color w:val="FF0000"/>
                <w:sz w:val="21"/>
                <w:szCs w:val="21"/>
              </w:rPr>
            </w:pPr>
          </w:p>
        </w:tc>
        <w:tc>
          <w:tcPr>
            <w:tcW w:w="217" w:type="dxa"/>
          </w:tcPr>
          <w:p w14:paraId="63170941" w14:textId="77777777" w:rsidR="002C0FD9" w:rsidRPr="00CA25CF" w:rsidRDefault="002C0FD9" w:rsidP="00CA25CF">
            <w:pPr>
              <w:rPr>
                <w:rFonts w:cs="Arial"/>
                <w:color w:val="FF0000"/>
                <w:sz w:val="21"/>
                <w:szCs w:val="21"/>
              </w:rPr>
            </w:pPr>
          </w:p>
        </w:tc>
        <w:tc>
          <w:tcPr>
            <w:tcW w:w="217" w:type="dxa"/>
          </w:tcPr>
          <w:p w14:paraId="05CAF8EE" w14:textId="77777777" w:rsidR="002C0FD9" w:rsidRPr="00CA25CF" w:rsidRDefault="002C0FD9" w:rsidP="00CA25CF">
            <w:pPr>
              <w:rPr>
                <w:rFonts w:cs="Arial"/>
                <w:color w:val="FF0000"/>
                <w:sz w:val="21"/>
                <w:szCs w:val="21"/>
              </w:rPr>
            </w:pPr>
          </w:p>
        </w:tc>
        <w:tc>
          <w:tcPr>
            <w:tcW w:w="217" w:type="dxa"/>
          </w:tcPr>
          <w:p w14:paraId="56BC6EAB" w14:textId="77777777" w:rsidR="002C0FD9" w:rsidRPr="00CA25CF" w:rsidRDefault="002C0FD9" w:rsidP="00CA25CF">
            <w:pPr>
              <w:rPr>
                <w:rFonts w:cs="Arial"/>
                <w:color w:val="FF0000"/>
                <w:sz w:val="21"/>
                <w:szCs w:val="21"/>
              </w:rPr>
            </w:pPr>
          </w:p>
        </w:tc>
        <w:tc>
          <w:tcPr>
            <w:tcW w:w="217" w:type="dxa"/>
          </w:tcPr>
          <w:p w14:paraId="15EE7668" w14:textId="77777777" w:rsidR="002C0FD9" w:rsidRPr="00CA25CF" w:rsidRDefault="002C0FD9" w:rsidP="00CA25CF">
            <w:pPr>
              <w:rPr>
                <w:rFonts w:cs="Arial"/>
                <w:color w:val="FF0000"/>
                <w:sz w:val="21"/>
                <w:szCs w:val="21"/>
              </w:rPr>
            </w:pPr>
          </w:p>
        </w:tc>
        <w:tc>
          <w:tcPr>
            <w:tcW w:w="217" w:type="dxa"/>
          </w:tcPr>
          <w:p w14:paraId="784136EA" w14:textId="77777777" w:rsidR="002C0FD9" w:rsidRPr="00CA25CF" w:rsidRDefault="002C0FD9" w:rsidP="00CA25CF">
            <w:pPr>
              <w:rPr>
                <w:rFonts w:cs="Arial"/>
                <w:color w:val="FF0000"/>
                <w:sz w:val="21"/>
                <w:szCs w:val="21"/>
              </w:rPr>
            </w:pPr>
          </w:p>
        </w:tc>
        <w:tc>
          <w:tcPr>
            <w:tcW w:w="217" w:type="dxa"/>
          </w:tcPr>
          <w:p w14:paraId="78E4A59E" w14:textId="77777777" w:rsidR="002C0FD9" w:rsidRPr="00CA25CF" w:rsidRDefault="002C0FD9" w:rsidP="00CA25CF">
            <w:pPr>
              <w:rPr>
                <w:rFonts w:cs="Arial"/>
                <w:color w:val="FF0000"/>
                <w:sz w:val="21"/>
                <w:szCs w:val="21"/>
              </w:rPr>
            </w:pPr>
          </w:p>
        </w:tc>
        <w:tc>
          <w:tcPr>
            <w:tcW w:w="217" w:type="dxa"/>
          </w:tcPr>
          <w:p w14:paraId="76B28CEA" w14:textId="77777777" w:rsidR="002C0FD9" w:rsidRPr="00CA25CF" w:rsidRDefault="002C0FD9" w:rsidP="00CA25CF">
            <w:pPr>
              <w:rPr>
                <w:rFonts w:cs="Arial"/>
                <w:color w:val="FF0000"/>
                <w:sz w:val="21"/>
                <w:szCs w:val="21"/>
              </w:rPr>
            </w:pPr>
          </w:p>
        </w:tc>
        <w:tc>
          <w:tcPr>
            <w:tcW w:w="217" w:type="dxa"/>
          </w:tcPr>
          <w:p w14:paraId="3AD4EA37" w14:textId="77777777" w:rsidR="002C0FD9" w:rsidRPr="00CA25CF" w:rsidRDefault="002C0FD9" w:rsidP="00CA25CF">
            <w:pPr>
              <w:rPr>
                <w:rFonts w:cs="Arial"/>
                <w:color w:val="FF0000"/>
                <w:sz w:val="21"/>
                <w:szCs w:val="21"/>
              </w:rPr>
            </w:pPr>
          </w:p>
        </w:tc>
        <w:tc>
          <w:tcPr>
            <w:tcW w:w="217" w:type="dxa"/>
          </w:tcPr>
          <w:p w14:paraId="152A078A" w14:textId="77777777" w:rsidR="002C0FD9" w:rsidRPr="00CA25CF" w:rsidRDefault="002C0FD9" w:rsidP="00CA25CF">
            <w:pPr>
              <w:rPr>
                <w:rFonts w:cs="Arial"/>
                <w:color w:val="FF0000"/>
                <w:sz w:val="21"/>
                <w:szCs w:val="21"/>
              </w:rPr>
            </w:pPr>
          </w:p>
        </w:tc>
        <w:tc>
          <w:tcPr>
            <w:tcW w:w="217" w:type="dxa"/>
          </w:tcPr>
          <w:p w14:paraId="086FFE85" w14:textId="77777777" w:rsidR="002C0FD9" w:rsidRPr="00CA25CF" w:rsidRDefault="002C0FD9" w:rsidP="00CA25CF">
            <w:pPr>
              <w:rPr>
                <w:rFonts w:cs="Arial"/>
                <w:color w:val="FF0000"/>
                <w:sz w:val="21"/>
                <w:szCs w:val="21"/>
              </w:rPr>
            </w:pPr>
          </w:p>
        </w:tc>
        <w:tc>
          <w:tcPr>
            <w:tcW w:w="217" w:type="dxa"/>
          </w:tcPr>
          <w:p w14:paraId="4B83EF6F" w14:textId="77777777" w:rsidR="002C0FD9" w:rsidRPr="00CA25CF" w:rsidRDefault="002C0FD9" w:rsidP="00CA25CF">
            <w:pPr>
              <w:rPr>
                <w:rFonts w:cs="Arial"/>
                <w:color w:val="FF0000"/>
                <w:sz w:val="21"/>
                <w:szCs w:val="21"/>
              </w:rPr>
            </w:pPr>
          </w:p>
        </w:tc>
        <w:tc>
          <w:tcPr>
            <w:tcW w:w="217" w:type="dxa"/>
          </w:tcPr>
          <w:p w14:paraId="1F855B3B" w14:textId="77777777" w:rsidR="002C0FD9" w:rsidRPr="00CA25CF" w:rsidRDefault="002C0FD9" w:rsidP="00CA25CF">
            <w:pPr>
              <w:rPr>
                <w:rFonts w:cs="Arial"/>
                <w:color w:val="FF0000"/>
                <w:sz w:val="21"/>
                <w:szCs w:val="21"/>
              </w:rPr>
            </w:pPr>
          </w:p>
        </w:tc>
        <w:tc>
          <w:tcPr>
            <w:tcW w:w="217" w:type="dxa"/>
          </w:tcPr>
          <w:p w14:paraId="5A099B1B" w14:textId="77777777" w:rsidR="002C0FD9" w:rsidRPr="00CA25CF" w:rsidRDefault="002C0FD9" w:rsidP="00CA25CF">
            <w:pPr>
              <w:rPr>
                <w:rFonts w:cs="Arial"/>
                <w:color w:val="FF0000"/>
                <w:sz w:val="21"/>
                <w:szCs w:val="21"/>
              </w:rPr>
            </w:pPr>
          </w:p>
        </w:tc>
        <w:tc>
          <w:tcPr>
            <w:tcW w:w="217" w:type="dxa"/>
          </w:tcPr>
          <w:p w14:paraId="3D904F3F" w14:textId="77777777" w:rsidR="002C0FD9" w:rsidRPr="00CA25CF" w:rsidRDefault="002C0FD9" w:rsidP="00CA25CF">
            <w:pPr>
              <w:rPr>
                <w:rFonts w:cs="Arial"/>
                <w:color w:val="FF0000"/>
                <w:sz w:val="21"/>
                <w:szCs w:val="21"/>
              </w:rPr>
            </w:pPr>
          </w:p>
        </w:tc>
        <w:tc>
          <w:tcPr>
            <w:tcW w:w="217" w:type="dxa"/>
          </w:tcPr>
          <w:p w14:paraId="643D0810" w14:textId="77777777" w:rsidR="002C0FD9" w:rsidRPr="00CA25CF" w:rsidRDefault="002C0FD9" w:rsidP="00CA25CF">
            <w:pPr>
              <w:rPr>
                <w:rFonts w:cs="Arial"/>
                <w:color w:val="FF0000"/>
                <w:sz w:val="21"/>
                <w:szCs w:val="21"/>
              </w:rPr>
            </w:pPr>
          </w:p>
        </w:tc>
        <w:tc>
          <w:tcPr>
            <w:tcW w:w="217" w:type="dxa"/>
          </w:tcPr>
          <w:p w14:paraId="5BBFF3F4" w14:textId="77777777" w:rsidR="002C0FD9" w:rsidRPr="00CA25CF" w:rsidRDefault="002C0FD9" w:rsidP="00CA25CF">
            <w:pPr>
              <w:rPr>
                <w:rFonts w:cs="Arial"/>
                <w:color w:val="FF0000"/>
                <w:sz w:val="21"/>
                <w:szCs w:val="21"/>
              </w:rPr>
            </w:pPr>
          </w:p>
        </w:tc>
        <w:tc>
          <w:tcPr>
            <w:tcW w:w="217" w:type="dxa"/>
          </w:tcPr>
          <w:p w14:paraId="6DFECACE" w14:textId="77777777" w:rsidR="002C0FD9" w:rsidRPr="00CA25CF" w:rsidRDefault="002C0FD9" w:rsidP="00CA25CF">
            <w:pPr>
              <w:rPr>
                <w:rFonts w:cs="Arial"/>
                <w:color w:val="FF0000"/>
                <w:sz w:val="21"/>
                <w:szCs w:val="21"/>
              </w:rPr>
            </w:pPr>
          </w:p>
        </w:tc>
        <w:tc>
          <w:tcPr>
            <w:tcW w:w="217" w:type="dxa"/>
          </w:tcPr>
          <w:p w14:paraId="62B721A4" w14:textId="77777777" w:rsidR="002C0FD9" w:rsidRPr="00CA25CF" w:rsidRDefault="002C0FD9" w:rsidP="00CA25CF">
            <w:pPr>
              <w:rPr>
                <w:rFonts w:cs="Arial"/>
                <w:color w:val="FF0000"/>
                <w:sz w:val="21"/>
                <w:szCs w:val="21"/>
              </w:rPr>
            </w:pPr>
          </w:p>
        </w:tc>
        <w:tc>
          <w:tcPr>
            <w:tcW w:w="217" w:type="dxa"/>
          </w:tcPr>
          <w:p w14:paraId="2692847E" w14:textId="77777777" w:rsidR="002C0FD9" w:rsidRPr="00CA25CF" w:rsidRDefault="002C0FD9" w:rsidP="00CA25CF">
            <w:pPr>
              <w:rPr>
                <w:rFonts w:cs="Arial"/>
                <w:color w:val="FF0000"/>
                <w:sz w:val="21"/>
                <w:szCs w:val="21"/>
              </w:rPr>
            </w:pPr>
          </w:p>
        </w:tc>
        <w:tc>
          <w:tcPr>
            <w:tcW w:w="217" w:type="dxa"/>
          </w:tcPr>
          <w:p w14:paraId="5DF1AF89" w14:textId="77777777" w:rsidR="002C0FD9" w:rsidRPr="00CA25CF" w:rsidRDefault="002C0FD9" w:rsidP="00CA25CF">
            <w:pPr>
              <w:rPr>
                <w:rFonts w:cs="Arial"/>
                <w:color w:val="FF0000"/>
                <w:sz w:val="21"/>
                <w:szCs w:val="21"/>
              </w:rPr>
            </w:pPr>
          </w:p>
        </w:tc>
        <w:tc>
          <w:tcPr>
            <w:tcW w:w="217" w:type="dxa"/>
          </w:tcPr>
          <w:p w14:paraId="1BE80BD7" w14:textId="77777777" w:rsidR="002C0FD9" w:rsidRPr="00CA25CF" w:rsidRDefault="002C0FD9" w:rsidP="00CA25CF">
            <w:pPr>
              <w:rPr>
                <w:rFonts w:cs="Arial"/>
                <w:color w:val="FF0000"/>
                <w:sz w:val="21"/>
                <w:szCs w:val="21"/>
              </w:rPr>
            </w:pPr>
          </w:p>
        </w:tc>
        <w:tc>
          <w:tcPr>
            <w:tcW w:w="217" w:type="dxa"/>
          </w:tcPr>
          <w:p w14:paraId="301AEE41" w14:textId="77777777" w:rsidR="002C0FD9" w:rsidRPr="00CA25CF" w:rsidRDefault="002C0FD9" w:rsidP="00CA25CF">
            <w:pPr>
              <w:rPr>
                <w:rFonts w:cs="Arial"/>
                <w:color w:val="FF0000"/>
                <w:sz w:val="21"/>
                <w:szCs w:val="21"/>
              </w:rPr>
            </w:pPr>
          </w:p>
        </w:tc>
        <w:tc>
          <w:tcPr>
            <w:tcW w:w="217" w:type="dxa"/>
          </w:tcPr>
          <w:p w14:paraId="14330177" w14:textId="77777777" w:rsidR="002C0FD9" w:rsidRPr="00CA25CF" w:rsidRDefault="002C0FD9" w:rsidP="00CA25CF">
            <w:pPr>
              <w:rPr>
                <w:rFonts w:cs="Arial"/>
                <w:color w:val="FF0000"/>
                <w:sz w:val="21"/>
                <w:szCs w:val="21"/>
              </w:rPr>
            </w:pPr>
          </w:p>
        </w:tc>
        <w:tc>
          <w:tcPr>
            <w:tcW w:w="217" w:type="dxa"/>
          </w:tcPr>
          <w:p w14:paraId="03CC0182" w14:textId="77777777" w:rsidR="002C0FD9" w:rsidRPr="00CA25CF" w:rsidRDefault="002C0FD9" w:rsidP="00CA25CF">
            <w:pPr>
              <w:rPr>
                <w:rFonts w:cs="Arial"/>
                <w:color w:val="FF0000"/>
                <w:sz w:val="21"/>
                <w:szCs w:val="21"/>
              </w:rPr>
            </w:pPr>
          </w:p>
        </w:tc>
        <w:tc>
          <w:tcPr>
            <w:tcW w:w="217" w:type="dxa"/>
          </w:tcPr>
          <w:p w14:paraId="44629272" w14:textId="77777777" w:rsidR="002C0FD9" w:rsidRPr="00CA25CF" w:rsidRDefault="002C0FD9" w:rsidP="00CA25CF">
            <w:pPr>
              <w:rPr>
                <w:rFonts w:cs="Arial"/>
                <w:color w:val="FF0000"/>
                <w:sz w:val="21"/>
                <w:szCs w:val="21"/>
              </w:rPr>
            </w:pPr>
          </w:p>
        </w:tc>
        <w:tc>
          <w:tcPr>
            <w:tcW w:w="217" w:type="dxa"/>
          </w:tcPr>
          <w:p w14:paraId="1498FE6D" w14:textId="77777777" w:rsidR="002C0FD9" w:rsidRPr="00CA25CF" w:rsidRDefault="002C0FD9" w:rsidP="00CA25CF">
            <w:pPr>
              <w:rPr>
                <w:rFonts w:cs="Arial"/>
                <w:color w:val="FF0000"/>
                <w:sz w:val="21"/>
                <w:szCs w:val="21"/>
              </w:rPr>
            </w:pPr>
          </w:p>
        </w:tc>
        <w:tc>
          <w:tcPr>
            <w:tcW w:w="217" w:type="dxa"/>
          </w:tcPr>
          <w:p w14:paraId="4C655B5C" w14:textId="77777777" w:rsidR="002C0FD9" w:rsidRPr="00CA25CF" w:rsidRDefault="002C0FD9" w:rsidP="00CA25CF">
            <w:pPr>
              <w:rPr>
                <w:rFonts w:cs="Arial"/>
                <w:color w:val="FF0000"/>
                <w:sz w:val="21"/>
                <w:szCs w:val="21"/>
              </w:rPr>
            </w:pPr>
          </w:p>
        </w:tc>
        <w:tc>
          <w:tcPr>
            <w:tcW w:w="217" w:type="dxa"/>
          </w:tcPr>
          <w:p w14:paraId="676EC85D" w14:textId="77777777" w:rsidR="002C0FD9" w:rsidRPr="00CA25CF" w:rsidRDefault="002C0FD9" w:rsidP="00CA25CF">
            <w:pPr>
              <w:rPr>
                <w:rFonts w:cs="Arial"/>
                <w:color w:val="FF0000"/>
                <w:sz w:val="21"/>
                <w:szCs w:val="21"/>
              </w:rPr>
            </w:pPr>
          </w:p>
        </w:tc>
        <w:tc>
          <w:tcPr>
            <w:tcW w:w="217" w:type="dxa"/>
          </w:tcPr>
          <w:p w14:paraId="20097FDD" w14:textId="77777777" w:rsidR="002C0FD9" w:rsidRPr="00CA25CF" w:rsidRDefault="002C0FD9" w:rsidP="00CA25CF">
            <w:pPr>
              <w:rPr>
                <w:rFonts w:cs="Arial"/>
                <w:color w:val="FF0000"/>
                <w:sz w:val="21"/>
                <w:szCs w:val="21"/>
              </w:rPr>
            </w:pPr>
          </w:p>
        </w:tc>
        <w:tc>
          <w:tcPr>
            <w:tcW w:w="217" w:type="dxa"/>
          </w:tcPr>
          <w:p w14:paraId="277B003A" w14:textId="77777777" w:rsidR="002C0FD9" w:rsidRPr="00CA25CF" w:rsidRDefault="002C0FD9" w:rsidP="00CA25CF">
            <w:pPr>
              <w:rPr>
                <w:rFonts w:cs="Arial"/>
                <w:color w:val="FF0000"/>
                <w:sz w:val="21"/>
                <w:szCs w:val="21"/>
              </w:rPr>
            </w:pPr>
          </w:p>
        </w:tc>
        <w:tc>
          <w:tcPr>
            <w:tcW w:w="217" w:type="dxa"/>
          </w:tcPr>
          <w:p w14:paraId="34C47ABA" w14:textId="77777777" w:rsidR="002C0FD9" w:rsidRPr="00CA25CF" w:rsidRDefault="002C0FD9" w:rsidP="00CA25CF">
            <w:pPr>
              <w:rPr>
                <w:rFonts w:cs="Arial"/>
                <w:color w:val="FF0000"/>
                <w:sz w:val="21"/>
                <w:szCs w:val="21"/>
              </w:rPr>
            </w:pPr>
          </w:p>
        </w:tc>
        <w:tc>
          <w:tcPr>
            <w:tcW w:w="217" w:type="dxa"/>
          </w:tcPr>
          <w:p w14:paraId="70A4FA40" w14:textId="77777777" w:rsidR="002C0FD9" w:rsidRPr="00CA25CF" w:rsidRDefault="002C0FD9" w:rsidP="00CA25CF">
            <w:pPr>
              <w:rPr>
                <w:rFonts w:cs="Arial"/>
                <w:color w:val="FF0000"/>
                <w:sz w:val="21"/>
                <w:szCs w:val="21"/>
              </w:rPr>
            </w:pPr>
          </w:p>
        </w:tc>
        <w:tc>
          <w:tcPr>
            <w:tcW w:w="217" w:type="dxa"/>
          </w:tcPr>
          <w:p w14:paraId="04214A70" w14:textId="77777777" w:rsidR="002C0FD9" w:rsidRPr="00CA25CF" w:rsidRDefault="002C0FD9" w:rsidP="00CA25CF">
            <w:pPr>
              <w:rPr>
                <w:rFonts w:cs="Arial"/>
                <w:color w:val="FF0000"/>
                <w:sz w:val="21"/>
                <w:szCs w:val="21"/>
              </w:rPr>
            </w:pPr>
          </w:p>
        </w:tc>
        <w:tc>
          <w:tcPr>
            <w:tcW w:w="217" w:type="dxa"/>
          </w:tcPr>
          <w:p w14:paraId="0C314E6F" w14:textId="77777777" w:rsidR="002C0FD9" w:rsidRPr="00CA25CF" w:rsidRDefault="002C0FD9" w:rsidP="00CA25CF">
            <w:pPr>
              <w:rPr>
                <w:rFonts w:cs="Arial"/>
                <w:color w:val="FF0000"/>
                <w:sz w:val="21"/>
                <w:szCs w:val="21"/>
              </w:rPr>
            </w:pPr>
          </w:p>
        </w:tc>
        <w:tc>
          <w:tcPr>
            <w:tcW w:w="217" w:type="dxa"/>
          </w:tcPr>
          <w:p w14:paraId="5A9A9E16" w14:textId="77777777" w:rsidR="002C0FD9" w:rsidRPr="00CA25CF" w:rsidRDefault="002C0FD9" w:rsidP="00CA25CF">
            <w:pPr>
              <w:rPr>
                <w:rFonts w:cs="Arial"/>
                <w:color w:val="FF0000"/>
                <w:sz w:val="21"/>
                <w:szCs w:val="21"/>
              </w:rPr>
            </w:pPr>
          </w:p>
        </w:tc>
        <w:tc>
          <w:tcPr>
            <w:tcW w:w="217" w:type="dxa"/>
          </w:tcPr>
          <w:p w14:paraId="78AFA0CF" w14:textId="77777777" w:rsidR="002C0FD9" w:rsidRPr="00CA25CF" w:rsidRDefault="002C0FD9" w:rsidP="00CA25CF">
            <w:pPr>
              <w:rPr>
                <w:rFonts w:cs="Arial"/>
                <w:color w:val="FF0000"/>
                <w:sz w:val="21"/>
                <w:szCs w:val="21"/>
              </w:rPr>
            </w:pPr>
          </w:p>
        </w:tc>
      </w:tr>
      <w:tr w:rsidR="002C0FD9" w:rsidRPr="00A16219" w14:paraId="24321CAB" w14:textId="2EE01789" w:rsidTr="002C0FD9">
        <w:trPr>
          <w:trHeight w:val="635"/>
        </w:trPr>
        <w:tc>
          <w:tcPr>
            <w:tcW w:w="515" w:type="dxa"/>
          </w:tcPr>
          <w:p w14:paraId="72C52AD2" w14:textId="77777777" w:rsidR="002C0FD9" w:rsidRPr="00CA25CF" w:rsidRDefault="002C0FD9" w:rsidP="00CA25CF">
            <w:pPr>
              <w:rPr>
                <w:rFonts w:cs="Arial"/>
                <w:color w:val="FF0000"/>
                <w:sz w:val="21"/>
                <w:szCs w:val="21"/>
              </w:rPr>
            </w:pPr>
          </w:p>
        </w:tc>
        <w:tc>
          <w:tcPr>
            <w:tcW w:w="217" w:type="dxa"/>
          </w:tcPr>
          <w:p w14:paraId="395A330E" w14:textId="77777777" w:rsidR="002C0FD9" w:rsidRPr="00CA25CF" w:rsidRDefault="002C0FD9" w:rsidP="00CA25CF">
            <w:pPr>
              <w:rPr>
                <w:rFonts w:cs="Arial"/>
                <w:color w:val="FF0000"/>
                <w:sz w:val="21"/>
                <w:szCs w:val="21"/>
              </w:rPr>
            </w:pPr>
          </w:p>
        </w:tc>
        <w:tc>
          <w:tcPr>
            <w:tcW w:w="217" w:type="dxa"/>
          </w:tcPr>
          <w:p w14:paraId="1108BC38" w14:textId="1C6DBF8D" w:rsidR="002C0FD9" w:rsidRPr="00CA25CF" w:rsidRDefault="002C0FD9" w:rsidP="00CA25CF">
            <w:pPr>
              <w:rPr>
                <w:rFonts w:cs="Arial"/>
                <w:color w:val="FF0000"/>
                <w:sz w:val="21"/>
                <w:szCs w:val="21"/>
              </w:rPr>
            </w:pPr>
          </w:p>
        </w:tc>
        <w:tc>
          <w:tcPr>
            <w:tcW w:w="217" w:type="dxa"/>
          </w:tcPr>
          <w:p w14:paraId="17296279" w14:textId="77777777" w:rsidR="002C0FD9" w:rsidRPr="00CA25CF" w:rsidRDefault="002C0FD9" w:rsidP="00CA25CF">
            <w:pPr>
              <w:rPr>
                <w:rFonts w:cs="Arial"/>
                <w:color w:val="FF0000"/>
                <w:sz w:val="21"/>
                <w:szCs w:val="21"/>
              </w:rPr>
            </w:pPr>
          </w:p>
        </w:tc>
        <w:tc>
          <w:tcPr>
            <w:tcW w:w="217" w:type="dxa"/>
          </w:tcPr>
          <w:p w14:paraId="29B3834A" w14:textId="77777777" w:rsidR="002C0FD9" w:rsidRPr="00CA25CF" w:rsidRDefault="002C0FD9" w:rsidP="00CA25CF">
            <w:pPr>
              <w:rPr>
                <w:rFonts w:cs="Arial"/>
                <w:color w:val="FF0000"/>
                <w:sz w:val="21"/>
                <w:szCs w:val="21"/>
              </w:rPr>
            </w:pPr>
          </w:p>
        </w:tc>
        <w:tc>
          <w:tcPr>
            <w:tcW w:w="217" w:type="dxa"/>
          </w:tcPr>
          <w:p w14:paraId="66C084B9" w14:textId="77777777" w:rsidR="002C0FD9" w:rsidRPr="00CA25CF" w:rsidRDefault="002C0FD9" w:rsidP="00CA25CF">
            <w:pPr>
              <w:rPr>
                <w:rFonts w:cs="Arial"/>
                <w:color w:val="FF0000"/>
                <w:sz w:val="21"/>
                <w:szCs w:val="21"/>
              </w:rPr>
            </w:pPr>
          </w:p>
        </w:tc>
        <w:tc>
          <w:tcPr>
            <w:tcW w:w="217" w:type="dxa"/>
          </w:tcPr>
          <w:p w14:paraId="02B09B0E" w14:textId="77777777" w:rsidR="002C0FD9" w:rsidRPr="00CA25CF" w:rsidRDefault="002C0FD9" w:rsidP="00CA25CF">
            <w:pPr>
              <w:rPr>
                <w:rFonts w:cs="Arial"/>
                <w:color w:val="FF0000"/>
                <w:sz w:val="21"/>
                <w:szCs w:val="21"/>
              </w:rPr>
            </w:pPr>
          </w:p>
        </w:tc>
        <w:tc>
          <w:tcPr>
            <w:tcW w:w="217" w:type="dxa"/>
          </w:tcPr>
          <w:p w14:paraId="4C392680" w14:textId="77777777" w:rsidR="002C0FD9" w:rsidRPr="00CA25CF" w:rsidRDefault="002C0FD9" w:rsidP="00CA25CF">
            <w:pPr>
              <w:rPr>
                <w:rFonts w:cs="Arial"/>
                <w:color w:val="FF0000"/>
                <w:sz w:val="21"/>
                <w:szCs w:val="21"/>
              </w:rPr>
            </w:pPr>
          </w:p>
        </w:tc>
        <w:tc>
          <w:tcPr>
            <w:tcW w:w="217" w:type="dxa"/>
          </w:tcPr>
          <w:p w14:paraId="4786E21B" w14:textId="77777777" w:rsidR="002C0FD9" w:rsidRPr="00CA25CF" w:rsidRDefault="002C0FD9" w:rsidP="00CA25CF">
            <w:pPr>
              <w:rPr>
                <w:rFonts w:cs="Arial"/>
                <w:color w:val="FF0000"/>
                <w:sz w:val="21"/>
                <w:szCs w:val="21"/>
              </w:rPr>
            </w:pPr>
          </w:p>
        </w:tc>
        <w:tc>
          <w:tcPr>
            <w:tcW w:w="217" w:type="dxa"/>
          </w:tcPr>
          <w:p w14:paraId="1C9CFBFB" w14:textId="77777777" w:rsidR="002C0FD9" w:rsidRPr="00CA25CF" w:rsidRDefault="002C0FD9" w:rsidP="00CA25CF">
            <w:pPr>
              <w:rPr>
                <w:rFonts w:cs="Arial"/>
                <w:color w:val="FF0000"/>
                <w:sz w:val="21"/>
                <w:szCs w:val="21"/>
              </w:rPr>
            </w:pPr>
          </w:p>
        </w:tc>
        <w:tc>
          <w:tcPr>
            <w:tcW w:w="217" w:type="dxa"/>
          </w:tcPr>
          <w:p w14:paraId="4D7B7B50" w14:textId="77777777" w:rsidR="002C0FD9" w:rsidRPr="00CA25CF" w:rsidRDefault="002C0FD9" w:rsidP="00CA25CF">
            <w:pPr>
              <w:rPr>
                <w:rFonts w:cs="Arial"/>
                <w:color w:val="FF0000"/>
                <w:sz w:val="21"/>
                <w:szCs w:val="21"/>
              </w:rPr>
            </w:pPr>
          </w:p>
        </w:tc>
        <w:tc>
          <w:tcPr>
            <w:tcW w:w="217" w:type="dxa"/>
          </w:tcPr>
          <w:p w14:paraId="15368F92" w14:textId="77777777" w:rsidR="002C0FD9" w:rsidRPr="00CA25CF" w:rsidRDefault="002C0FD9" w:rsidP="00CA25CF">
            <w:pPr>
              <w:rPr>
                <w:rFonts w:cs="Arial"/>
                <w:color w:val="FF0000"/>
                <w:sz w:val="21"/>
                <w:szCs w:val="21"/>
              </w:rPr>
            </w:pPr>
          </w:p>
        </w:tc>
        <w:tc>
          <w:tcPr>
            <w:tcW w:w="217" w:type="dxa"/>
          </w:tcPr>
          <w:p w14:paraId="692E8FE8" w14:textId="77777777" w:rsidR="002C0FD9" w:rsidRPr="00CA25CF" w:rsidRDefault="002C0FD9" w:rsidP="00CA25CF">
            <w:pPr>
              <w:rPr>
                <w:rFonts w:cs="Arial"/>
                <w:color w:val="FF0000"/>
                <w:sz w:val="21"/>
                <w:szCs w:val="21"/>
              </w:rPr>
            </w:pPr>
          </w:p>
        </w:tc>
        <w:tc>
          <w:tcPr>
            <w:tcW w:w="217" w:type="dxa"/>
          </w:tcPr>
          <w:p w14:paraId="3A539624" w14:textId="77777777" w:rsidR="002C0FD9" w:rsidRPr="00CA25CF" w:rsidRDefault="002C0FD9" w:rsidP="00CA25CF">
            <w:pPr>
              <w:rPr>
                <w:rFonts w:cs="Arial"/>
                <w:color w:val="FF0000"/>
                <w:sz w:val="21"/>
                <w:szCs w:val="21"/>
              </w:rPr>
            </w:pPr>
          </w:p>
        </w:tc>
        <w:tc>
          <w:tcPr>
            <w:tcW w:w="217" w:type="dxa"/>
          </w:tcPr>
          <w:p w14:paraId="33B3BB45" w14:textId="77777777" w:rsidR="002C0FD9" w:rsidRPr="00CA25CF" w:rsidRDefault="002C0FD9" w:rsidP="00CA25CF">
            <w:pPr>
              <w:rPr>
                <w:rFonts w:cs="Arial"/>
                <w:color w:val="FF0000"/>
                <w:sz w:val="21"/>
                <w:szCs w:val="21"/>
              </w:rPr>
            </w:pPr>
          </w:p>
        </w:tc>
        <w:tc>
          <w:tcPr>
            <w:tcW w:w="217" w:type="dxa"/>
          </w:tcPr>
          <w:p w14:paraId="112417E4" w14:textId="77777777" w:rsidR="002C0FD9" w:rsidRPr="00CA25CF" w:rsidRDefault="002C0FD9" w:rsidP="00CA25CF">
            <w:pPr>
              <w:rPr>
                <w:rFonts w:cs="Arial"/>
                <w:color w:val="FF0000"/>
                <w:sz w:val="21"/>
                <w:szCs w:val="21"/>
              </w:rPr>
            </w:pPr>
          </w:p>
        </w:tc>
        <w:tc>
          <w:tcPr>
            <w:tcW w:w="217" w:type="dxa"/>
          </w:tcPr>
          <w:p w14:paraId="30B546CB" w14:textId="77777777" w:rsidR="002C0FD9" w:rsidRPr="00CA25CF" w:rsidRDefault="002C0FD9" w:rsidP="00CA25CF">
            <w:pPr>
              <w:rPr>
                <w:rFonts w:cs="Arial"/>
                <w:color w:val="FF0000"/>
                <w:sz w:val="21"/>
                <w:szCs w:val="21"/>
              </w:rPr>
            </w:pPr>
          </w:p>
        </w:tc>
        <w:tc>
          <w:tcPr>
            <w:tcW w:w="217" w:type="dxa"/>
          </w:tcPr>
          <w:p w14:paraId="35699FBB" w14:textId="77777777" w:rsidR="002C0FD9" w:rsidRPr="00CA25CF" w:rsidRDefault="002C0FD9" w:rsidP="00CA25CF">
            <w:pPr>
              <w:rPr>
                <w:rFonts w:cs="Arial"/>
                <w:color w:val="FF0000"/>
                <w:sz w:val="21"/>
                <w:szCs w:val="21"/>
              </w:rPr>
            </w:pPr>
          </w:p>
        </w:tc>
        <w:tc>
          <w:tcPr>
            <w:tcW w:w="217" w:type="dxa"/>
          </w:tcPr>
          <w:p w14:paraId="30219570" w14:textId="77777777" w:rsidR="002C0FD9" w:rsidRPr="00CA25CF" w:rsidRDefault="002C0FD9" w:rsidP="00CA25CF">
            <w:pPr>
              <w:rPr>
                <w:rFonts w:cs="Arial"/>
                <w:color w:val="FF0000"/>
                <w:sz w:val="21"/>
                <w:szCs w:val="21"/>
              </w:rPr>
            </w:pPr>
          </w:p>
        </w:tc>
        <w:tc>
          <w:tcPr>
            <w:tcW w:w="217" w:type="dxa"/>
          </w:tcPr>
          <w:p w14:paraId="136EAEA0" w14:textId="77777777" w:rsidR="002C0FD9" w:rsidRPr="00CA25CF" w:rsidRDefault="002C0FD9" w:rsidP="00CA25CF">
            <w:pPr>
              <w:rPr>
                <w:rFonts w:cs="Arial"/>
                <w:color w:val="FF0000"/>
                <w:sz w:val="21"/>
                <w:szCs w:val="21"/>
              </w:rPr>
            </w:pPr>
          </w:p>
        </w:tc>
        <w:tc>
          <w:tcPr>
            <w:tcW w:w="217" w:type="dxa"/>
          </w:tcPr>
          <w:p w14:paraId="182DE7CD" w14:textId="77777777" w:rsidR="002C0FD9" w:rsidRPr="00CA25CF" w:rsidRDefault="002C0FD9" w:rsidP="00CA25CF">
            <w:pPr>
              <w:rPr>
                <w:rFonts w:cs="Arial"/>
                <w:color w:val="FF0000"/>
                <w:sz w:val="21"/>
                <w:szCs w:val="21"/>
              </w:rPr>
            </w:pPr>
          </w:p>
        </w:tc>
        <w:tc>
          <w:tcPr>
            <w:tcW w:w="217" w:type="dxa"/>
          </w:tcPr>
          <w:p w14:paraId="34225560" w14:textId="77777777" w:rsidR="002C0FD9" w:rsidRPr="00CA25CF" w:rsidRDefault="002C0FD9" w:rsidP="00CA25CF">
            <w:pPr>
              <w:rPr>
                <w:rFonts w:cs="Arial"/>
                <w:color w:val="FF0000"/>
                <w:sz w:val="21"/>
                <w:szCs w:val="21"/>
              </w:rPr>
            </w:pPr>
          </w:p>
        </w:tc>
        <w:tc>
          <w:tcPr>
            <w:tcW w:w="217" w:type="dxa"/>
          </w:tcPr>
          <w:p w14:paraId="65F3B9E9" w14:textId="77777777" w:rsidR="002C0FD9" w:rsidRPr="00CA25CF" w:rsidRDefault="002C0FD9" w:rsidP="00CA25CF">
            <w:pPr>
              <w:rPr>
                <w:rFonts w:cs="Arial"/>
                <w:color w:val="FF0000"/>
                <w:sz w:val="21"/>
                <w:szCs w:val="21"/>
              </w:rPr>
            </w:pPr>
          </w:p>
        </w:tc>
        <w:tc>
          <w:tcPr>
            <w:tcW w:w="217" w:type="dxa"/>
          </w:tcPr>
          <w:p w14:paraId="52300300" w14:textId="77777777" w:rsidR="002C0FD9" w:rsidRPr="00CA25CF" w:rsidRDefault="002C0FD9" w:rsidP="00CA25CF">
            <w:pPr>
              <w:rPr>
                <w:rFonts w:cs="Arial"/>
                <w:color w:val="FF0000"/>
                <w:sz w:val="21"/>
                <w:szCs w:val="21"/>
              </w:rPr>
            </w:pPr>
          </w:p>
        </w:tc>
        <w:tc>
          <w:tcPr>
            <w:tcW w:w="217" w:type="dxa"/>
          </w:tcPr>
          <w:p w14:paraId="16EFEB4C" w14:textId="77777777" w:rsidR="002C0FD9" w:rsidRPr="00CA25CF" w:rsidRDefault="002C0FD9" w:rsidP="00CA25CF">
            <w:pPr>
              <w:rPr>
                <w:rFonts w:cs="Arial"/>
                <w:color w:val="FF0000"/>
                <w:sz w:val="21"/>
                <w:szCs w:val="21"/>
              </w:rPr>
            </w:pPr>
          </w:p>
        </w:tc>
        <w:tc>
          <w:tcPr>
            <w:tcW w:w="217" w:type="dxa"/>
          </w:tcPr>
          <w:p w14:paraId="0D22835A" w14:textId="77777777" w:rsidR="002C0FD9" w:rsidRPr="00CA25CF" w:rsidRDefault="002C0FD9" w:rsidP="00CA25CF">
            <w:pPr>
              <w:rPr>
                <w:rFonts w:cs="Arial"/>
                <w:color w:val="FF0000"/>
                <w:sz w:val="21"/>
                <w:szCs w:val="21"/>
              </w:rPr>
            </w:pPr>
          </w:p>
        </w:tc>
        <w:tc>
          <w:tcPr>
            <w:tcW w:w="217" w:type="dxa"/>
          </w:tcPr>
          <w:p w14:paraId="0015C4C7" w14:textId="77777777" w:rsidR="002C0FD9" w:rsidRPr="00CA25CF" w:rsidRDefault="002C0FD9" w:rsidP="00CA25CF">
            <w:pPr>
              <w:rPr>
                <w:rFonts w:cs="Arial"/>
                <w:color w:val="FF0000"/>
                <w:sz w:val="21"/>
                <w:szCs w:val="21"/>
              </w:rPr>
            </w:pPr>
          </w:p>
        </w:tc>
        <w:tc>
          <w:tcPr>
            <w:tcW w:w="217" w:type="dxa"/>
          </w:tcPr>
          <w:p w14:paraId="5E2AB8CB" w14:textId="77777777" w:rsidR="002C0FD9" w:rsidRPr="00CA25CF" w:rsidRDefault="002C0FD9" w:rsidP="00CA25CF">
            <w:pPr>
              <w:rPr>
                <w:rFonts w:cs="Arial"/>
                <w:color w:val="FF0000"/>
                <w:sz w:val="21"/>
                <w:szCs w:val="21"/>
              </w:rPr>
            </w:pPr>
          </w:p>
        </w:tc>
        <w:tc>
          <w:tcPr>
            <w:tcW w:w="217" w:type="dxa"/>
          </w:tcPr>
          <w:p w14:paraId="28002DEC" w14:textId="77777777" w:rsidR="002C0FD9" w:rsidRPr="00CA25CF" w:rsidRDefault="002C0FD9" w:rsidP="00CA25CF">
            <w:pPr>
              <w:rPr>
                <w:rFonts w:cs="Arial"/>
                <w:color w:val="FF0000"/>
                <w:sz w:val="21"/>
                <w:szCs w:val="21"/>
              </w:rPr>
            </w:pPr>
          </w:p>
        </w:tc>
        <w:tc>
          <w:tcPr>
            <w:tcW w:w="217" w:type="dxa"/>
          </w:tcPr>
          <w:p w14:paraId="29EE869C" w14:textId="77777777" w:rsidR="002C0FD9" w:rsidRPr="00CA25CF" w:rsidRDefault="002C0FD9" w:rsidP="00CA25CF">
            <w:pPr>
              <w:rPr>
                <w:rFonts w:cs="Arial"/>
                <w:color w:val="FF0000"/>
                <w:sz w:val="21"/>
                <w:szCs w:val="21"/>
              </w:rPr>
            </w:pPr>
          </w:p>
        </w:tc>
        <w:tc>
          <w:tcPr>
            <w:tcW w:w="217" w:type="dxa"/>
          </w:tcPr>
          <w:p w14:paraId="3EAEDA46" w14:textId="77777777" w:rsidR="002C0FD9" w:rsidRPr="00CA25CF" w:rsidRDefault="002C0FD9" w:rsidP="00CA25CF">
            <w:pPr>
              <w:rPr>
                <w:rFonts w:cs="Arial"/>
                <w:color w:val="FF0000"/>
                <w:sz w:val="21"/>
                <w:szCs w:val="21"/>
              </w:rPr>
            </w:pPr>
          </w:p>
        </w:tc>
        <w:tc>
          <w:tcPr>
            <w:tcW w:w="217" w:type="dxa"/>
          </w:tcPr>
          <w:p w14:paraId="54F893D5" w14:textId="77777777" w:rsidR="002C0FD9" w:rsidRPr="00CA25CF" w:rsidRDefault="002C0FD9" w:rsidP="00CA25CF">
            <w:pPr>
              <w:rPr>
                <w:rFonts w:cs="Arial"/>
                <w:color w:val="FF0000"/>
                <w:sz w:val="21"/>
                <w:szCs w:val="21"/>
              </w:rPr>
            </w:pPr>
          </w:p>
        </w:tc>
        <w:tc>
          <w:tcPr>
            <w:tcW w:w="217" w:type="dxa"/>
          </w:tcPr>
          <w:p w14:paraId="5F4C3B80" w14:textId="77777777" w:rsidR="002C0FD9" w:rsidRPr="00CA25CF" w:rsidRDefault="002C0FD9" w:rsidP="00CA25CF">
            <w:pPr>
              <w:rPr>
                <w:rFonts w:cs="Arial"/>
                <w:color w:val="FF0000"/>
                <w:sz w:val="21"/>
                <w:szCs w:val="21"/>
              </w:rPr>
            </w:pPr>
          </w:p>
        </w:tc>
        <w:tc>
          <w:tcPr>
            <w:tcW w:w="217" w:type="dxa"/>
          </w:tcPr>
          <w:p w14:paraId="0A9397A3" w14:textId="77777777" w:rsidR="002C0FD9" w:rsidRPr="00CA25CF" w:rsidRDefault="002C0FD9" w:rsidP="00CA25CF">
            <w:pPr>
              <w:rPr>
                <w:rFonts w:cs="Arial"/>
                <w:color w:val="FF0000"/>
                <w:sz w:val="21"/>
                <w:szCs w:val="21"/>
              </w:rPr>
            </w:pPr>
          </w:p>
        </w:tc>
        <w:tc>
          <w:tcPr>
            <w:tcW w:w="217" w:type="dxa"/>
          </w:tcPr>
          <w:p w14:paraId="5B2CFE89" w14:textId="77777777" w:rsidR="002C0FD9" w:rsidRPr="00CA25CF" w:rsidRDefault="002C0FD9" w:rsidP="00CA25CF">
            <w:pPr>
              <w:rPr>
                <w:rFonts w:cs="Arial"/>
                <w:color w:val="FF0000"/>
                <w:sz w:val="21"/>
                <w:szCs w:val="21"/>
              </w:rPr>
            </w:pPr>
          </w:p>
        </w:tc>
        <w:tc>
          <w:tcPr>
            <w:tcW w:w="217" w:type="dxa"/>
          </w:tcPr>
          <w:p w14:paraId="682DC20E" w14:textId="77777777" w:rsidR="002C0FD9" w:rsidRPr="00CA25CF" w:rsidRDefault="002C0FD9" w:rsidP="00CA25CF">
            <w:pPr>
              <w:rPr>
                <w:rFonts w:cs="Arial"/>
                <w:color w:val="FF0000"/>
                <w:sz w:val="21"/>
                <w:szCs w:val="21"/>
              </w:rPr>
            </w:pPr>
          </w:p>
        </w:tc>
        <w:tc>
          <w:tcPr>
            <w:tcW w:w="217" w:type="dxa"/>
          </w:tcPr>
          <w:p w14:paraId="3E7A8FB1" w14:textId="77777777" w:rsidR="002C0FD9" w:rsidRPr="00CA25CF" w:rsidRDefault="002C0FD9" w:rsidP="00CA25CF">
            <w:pPr>
              <w:rPr>
                <w:rFonts w:cs="Arial"/>
                <w:color w:val="FF0000"/>
                <w:sz w:val="21"/>
                <w:szCs w:val="21"/>
              </w:rPr>
            </w:pPr>
          </w:p>
        </w:tc>
        <w:tc>
          <w:tcPr>
            <w:tcW w:w="217" w:type="dxa"/>
          </w:tcPr>
          <w:p w14:paraId="7EE755C2" w14:textId="77777777" w:rsidR="002C0FD9" w:rsidRPr="00CA25CF" w:rsidRDefault="002C0FD9" w:rsidP="00CA25CF">
            <w:pPr>
              <w:rPr>
                <w:rFonts w:cs="Arial"/>
                <w:color w:val="FF0000"/>
                <w:sz w:val="21"/>
                <w:szCs w:val="21"/>
              </w:rPr>
            </w:pPr>
          </w:p>
        </w:tc>
        <w:tc>
          <w:tcPr>
            <w:tcW w:w="217" w:type="dxa"/>
          </w:tcPr>
          <w:p w14:paraId="0BD1F93A" w14:textId="77777777" w:rsidR="002C0FD9" w:rsidRPr="00CA25CF" w:rsidRDefault="002C0FD9" w:rsidP="00CA25CF">
            <w:pPr>
              <w:rPr>
                <w:rFonts w:cs="Arial"/>
                <w:color w:val="FF0000"/>
                <w:sz w:val="21"/>
                <w:szCs w:val="21"/>
              </w:rPr>
            </w:pPr>
          </w:p>
        </w:tc>
        <w:tc>
          <w:tcPr>
            <w:tcW w:w="217" w:type="dxa"/>
          </w:tcPr>
          <w:p w14:paraId="1152E264" w14:textId="77777777" w:rsidR="002C0FD9" w:rsidRPr="00CA25CF" w:rsidRDefault="002C0FD9" w:rsidP="00CA25CF">
            <w:pPr>
              <w:rPr>
                <w:rFonts w:cs="Arial"/>
                <w:color w:val="FF0000"/>
                <w:sz w:val="21"/>
                <w:szCs w:val="21"/>
              </w:rPr>
            </w:pPr>
          </w:p>
        </w:tc>
        <w:tc>
          <w:tcPr>
            <w:tcW w:w="217" w:type="dxa"/>
          </w:tcPr>
          <w:p w14:paraId="33C3D246" w14:textId="77777777" w:rsidR="002C0FD9" w:rsidRPr="00CA25CF" w:rsidRDefault="002C0FD9" w:rsidP="00CA25CF">
            <w:pPr>
              <w:rPr>
                <w:rFonts w:cs="Arial"/>
                <w:color w:val="FF0000"/>
                <w:sz w:val="21"/>
                <w:szCs w:val="21"/>
              </w:rPr>
            </w:pPr>
          </w:p>
        </w:tc>
        <w:tc>
          <w:tcPr>
            <w:tcW w:w="217" w:type="dxa"/>
          </w:tcPr>
          <w:p w14:paraId="7A6686E4" w14:textId="77777777" w:rsidR="002C0FD9" w:rsidRPr="00CA25CF" w:rsidRDefault="002C0FD9" w:rsidP="00CA25CF">
            <w:pPr>
              <w:rPr>
                <w:rFonts w:cs="Arial"/>
                <w:color w:val="FF0000"/>
                <w:sz w:val="21"/>
                <w:szCs w:val="21"/>
              </w:rPr>
            </w:pPr>
          </w:p>
        </w:tc>
        <w:tc>
          <w:tcPr>
            <w:tcW w:w="217" w:type="dxa"/>
          </w:tcPr>
          <w:p w14:paraId="4A51D343" w14:textId="77777777" w:rsidR="002C0FD9" w:rsidRPr="00CA25CF" w:rsidRDefault="002C0FD9" w:rsidP="00CA25CF">
            <w:pPr>
              <w:rPr>
                <w:rFonts w:cs="Arial"/>
                <w:color w:val="FF0000"/>
                <w:sz w:val="21"/>
                <w:szCs w:val="21"/>
              </w:rPr>
            </w:pPr>
          </w:p>
        </w:tc>
      </w:tr>
      <w:tr w:rsidR="002C0FD9" w:rsidRPr="00A16219" w14:paraId="26E8CDA4" w14:textId="7EF89924" w:rsidTr="002C0FD9">
        <w:trPr>
          <w:trHeight w:val="635"/>
        </w:trPr>
        <w:tc>
          <w:tcPr>
            <w:tcW w:w="515" w:type="dxa"/>
          </w:tcPr>
          <w:p w14:paraId="318288F7" w14:textId="77777777" w:rsidR="002C0FD9" w:rsidRPr="00CA25CF" w:rsidRDefault="002C0FD9" w:rsidP="00CA25CF">
            <w:pPr>
              <w:rPr>
                <w:rFonts w:cs="Arial"/>
                <w:color w:val="FF0000"/>
                <w:sz w:val="21"/>
                <w:szCs w:val="21"/>
              </w:rPr>
            </w:pPr>
          </w:p>
        </w:tc>
        <w:tc>
          <w:tcPr>
            <w:tcW w:w="217" w:type="dxa"/>
          </w:tcPr>
          <w:p w14:paraId="3C50A3F5" w14:textId="77777777" w:rsidR="002C0FD9" w:rsidRPr="00CA25CF" w:rsidRDefault="002C0FD9" w:rsidP="00CA25CF">
            <w:pPr>
              <w:rPr>
                <w:rFonts w:cs="Arial"/>
                <w:color w:val="FF0000"/>
                <w:sz w:val="21"/>
                <w:szCs w:val="21"/>
              </w:rPr>
            </w:pPr>
          </w:p>
        </w:tc>
        <w:tc>
          <w:tcPr>
            <w:tcW w:w="217" w:type="dxa"/>
          </w:tcPr>
          <w:p w14:paraId="77CD3216" w14:textId="7081BD86" w:rsidR="002C0FD9" w:rsidRPr="00CA25CF" w:rsidRDefault="002C0FD9" w:rsidP="00CA25CF">
            <w:pPr>
              <w:rPr>
                <w:rFonts w:cs="Arial"/>
                <w:color w:val="FF0000"/>
                <w:sz w:val="21"/>
                <w:szCs w:val="21"/>
              </w:rPr>
            </w:pPr>
          </w:p>
        </w:tc>
        <w:tc>
          <w:tcPr>
            <w:tcW w:w="217" w:type="dxa"/>
          </w:tcPr>
          <w:p w14:paraId="16076557" w14:textId="77777777" w:rsidR="002C0FD9" w:rsidRPr="00CA25CF" w:rsidRDefault="002C0FD9" w:rsidP="00CA25CF">
            <w:pPr>
              <w:rPr>
                <w:rFonts w:cs="Arial"/>
                <w:color w:val="FF0000"/>
                <w:sz w:val="21"/>
                <w:szCs w:val="21"/>
              </w:rPr>
            </w:pPr>
          </w:p>
        </w:tc>
        <w:tc>
          <w:tcPr>
            <w:tcW w:w="217" w:type="dxa"/>
          </w:tcPr>
          <w:p w14:paraId="34C76AEF" w14:textId="77777777" w:rsidR="002C0FD9" w:rsidRPr="00CA25CF" w:rsidRDefault="002C0FD9" w:rsidP="00CA25CF">
            <w:pPr>
              <w:rPr>
                <w:rFonts w:cs="Arial"/>
                <w:color w:val="FF0000"/>
                <w:sz w:val="21"/>
                <w:szCs w:val="21"/>
              </w:rPr>
            </w:pPr>
          </w:p>
        </w:tc>
        <w:tc>
          <w:tcPr>
            <w:tcW w:w="217" w:type="dxa"/>
          </w:tcPr>
          <w:p w14:paraId="615E32BB" w14:textId="77777777" w:rsidR="002C0FD9" w:rsidRPr="00CA25CF" w:rsidRDefault="002C0FD9" w:rsidP="00CA25CF">
            <w:pPr>
              <w:rPr>
                <w:rFonts w:cs="Arial"/>
                <w:color w:val="FF0000"/>
                <w:sz w:val="21"/>
                <w:szCs w:val="21"/>
              </w:rPr>
            </w:pPr>
          </w:p>
        </w:tc>
        <w:tc>
          <w:tcPr>
            <w:tcW w:w="217" w:type="dxa"/>
          </w:tcPr>
          <w:p w14:paraId="75CD1CF4" w14:textId="77777777" w:rsidR="002C0FD9" w:rsidRPr="00CA25CF" w:rsidRDefault="002C0FD9" w:rsidP="00CA25CF">
            <w:pPr>
              <w:rPr>
                <w:rFonts w:cs="Arial"/>
                <w:color w:val="FF0000"/>
                <w:sz w:val="21"/>
                <w:szCs w:val="21"/>
              </w:rPr>
            </w:pPr>
          </w:p>
        </w:tc>
        <w:tc>
          <w:tcPr>
            <w:tcW w:w="217" w:type="dxa"/>
          </w:tcPr>
          <w:p w14:paraId="58DCA17E" w14:textId="77777777" w:rsidR="002C0FD9" w:rsidRPr="00CA25CF" w:rsidRDefault="002C0FD9" w:rsidP="00CA25CF">
            <w:pPr>
              <w:rPr>
                <w:rFonts w:cs="Arial"/>
                <w:color w:val="FF0000"/>
                <w:sz w:val="21"/>
                <w:szCs w:val="21"/>
              </w:rPr>
            </w:pPr>
          </w:p>
        </w:tc>
        <w:tc>
          <w:tcPr>
            <w:tcW w:w="217" w:type="dxa"/>
          </w:tcPr>
          <w:p w14:paraId="232C4B59" w14:textId="77777777" w:rsidR="002C0FD9" w:rsidRPr="00CA25CF" w:rsidRDefault="002C0FD9" w:rsidP="00CA25CF">
            <w:pPr>
              <w:rPr>
                <w:rFonts w:cs="Arial"/>
                <w:color w:val="FF0000"/>
                <w:sz w:val="21"/>
                <w:szCs w:val="21"/>
              </w:rPr>
            </w:pPr>
          </w:p>
        </w:tc>
        <w:tc>
          <w:tcPr>
            <w:tcW w:w="217" w:type="dxa"/>
          </w:tcPr>
          <w:p w14:paraId="7553505F" w14:textId="77777777" w:rsidR="002C0FD9" w:rsidRPr="00CA25CF" w:rsidRDefault="002C0FD9" w:rsidP="00CA25CF">
            <w:pPr>
              <w:rPr>
                <w:rFonts w:cs="Arial"/>
                <w:color w:val="FF0000"/>
                <w:sz w:val="21"/>
                <w:szCs w:val="21"/>
              </w:rPr>
            </w:pPr>
          </w:p>
        </w:tc>
        <w:tc>
          <w:tcPr>
            <w:tcW w:w="217" w:type="dxa"/>
          </w:tcPr>
          <w:p w14:paraId="183F51D0" w14:textId="77777777" w:rsidR="002C0FD9" w:rsidRPr="00CA25CF" w:rsidRDefault="002C0FD9" w:rsidP="00CA25CF">
            <w:pPr>
              <w:rPr>
                <w:rFonts w:cs="Arial"/>
                <w:color w:val="FF0000"/>
                <w:sz w:val="21"/>
                <w:szCs w:val="21"/>
              </w:rPr>
            </w:pPr>
          </w:p>
        </w:tc>
        <w:tc>
          <w:tcPr>
            <w:tcW w:w="217" w:type="dxa"/>
          </w:tcPr>
          <w:p w14:paraId="5032516F" w14:textId="77777777" w:rsidR="002C0FD9" w:rsidRPr="00CA25CF" w:rsidRDefault="002C0FD9" w:rsidP="00CA25CF">
            <w:pPr>
              <w:rPr>
                <w:rFonts w:cs="Arial"/>
                <w:color w:val="FF0000"/>
                <w:sz w:val="21"/>
                <w:szCs w:val="21"/>
              </w:rPr>
            </w:pPr>
          </w:p>
        </w:tc>
        <w:tc>
          <w:tcPr>
            <w:tcW w:w="217" w:type="dxa"/>
          </w:tcPr>
          <w:p w14:paraId="356AE3FF" w14:textId="77777777" w:rsidR="002C0FD9" w:rsidRPr="00CA25CF" w:rsidRDefault="002C0FD9" w:rsidP="00CA25CF">
            <w:pPr>
              <w:rPr>
                <w:rFonts w:cs="Arial"/>
                <w:color w:val="FF0000"/>
                <w:sz w:val="21"/>
                <w:szCs w:val="21"/>
              </w:rPr>
            </w:pPr>
          </w:p>
        </w:tc>
        <w:tc>
          <w:tcPr>
            <w:tcW w:w="217" w:type="dxa"/>
          </w:tcPr>
          <w:p w14:paraId="60B96ADA" w14:textId="77777777" w:rsidR="002C0FD9" w:rsidRPr="00CA25CF" w:rsidRDefault="002C0FD9" w:rsidP="00CA25CF">
            <w:pPr>
              <w:rPr>
                <w:rFonts w:cs="Arial"/>
                <w:color w:val="FF0000"/>
                <w:sz w:val="21"/>
                <w:szCs w:val="21"/>
              </w:rPr>
            </w:pPr>
          </w:p>
        </w:tc>
        <w:tc>
          <w:tcPr>
            <w:tcW w:w="217" w:type="dxa"/>
          </w:tcPr>
          <w:p w14:paraId="44451665" w14:textId="77777777" w:rsidR="002C0FD9" w:rsidRPr="00CA25CF" w:rsidRDefault="002C0FD9" w:rsidP="00CA25CF">
            <w:pPr>
              <w:rPr>
                <w:rFonts w:cs="Arial"/>
                <w:color w:val="FF0000"/>
                <w:sz w:val="21"/>
                <w:szCs w:val="21"/>
              </w:rPr>
            </w:pPr>
          </w:p>
        </w:tc>
        <w:tc>
          <w:tcPr>
            <w:tcW w:w="217" w:type="dxa"/>
          </w:tcPr>
          <w:p w14:paraId="2978FB6E" w14:textId="77777777" w:rsidR="002C0FD9" w:rsidRPr="00CA25CF" w:rsidRDefault="002C0FD9" w:rsidP="00CA25CF">
            <w:pPr>
              <w:rPr>
                <w:rFonts w:cs="Arial"/>
                <w:color w:val="FF0000"/>
                <w:sz w:val="21"/>
                <w:szCs w:val="21"/>
              </w:rPr>
            </w:pPr>
          </w:p>
        </w:tc>
        <w:tc>
          <w:tcPr>
            <w:tcW w:w="217" w:type="dxa"/>
          </w:tcPr>
          <w:p w14:paraId="21528387" w14:textId="77777777" w:rsidR="002C0FD9" w:rsidRPr="00CA25CF" w:rsidRDefault="002C0FD9" w:rsidP="00CA25CF">
            <w:pPr>
              <w:rPr>
                <w:rFonts w:cs="Arial"/>
                <w:color w:val="FF0000"/>
                <w:sz w:val="21"/>
                <w:szCs w:val="21"/>
              </w:rPr>
            </w:pPr>
          </w:p>
        </w:tc>
        <w:tc>
          <w:tcPr>
            <w:tcW w:w="217" w:type="dxa"/>
          </w:tcPr>
          <w:p w14:paraId="758CA057" w14:textId="77777777" w:rsidR="002C0FD9" w:rsidRPr="00CA25CF" w:rsidRDefault="002C0FD9" w:rsidP="00CA25CF">
            <w:pPr>
              <w:rPr>
                <w:rFonts w:cs="Arial"/>
                <w:color w:val="FF0000"/>
                <w:sz w:val="21"/>
                <w:szCs w:val="21"/>
              </w:rPr>
            </w:pPr>
          </w:p>
        </w:tc>
        <w:tc>
          <w:tcPr>
            <w:tcW w:w="217" w:type="dxa"/>
          </w:tcPr>
          <w:p w14:paraId="2EF022B1" w14:textId="77777777" w:rsidR="002C0FD9" w:rsidRPr="00CA25CF" w:rsidRDefault="002C0FD9" w:rsidP="00CA25CF">
            <w:pPr>
              <w:rPr>
                <w:rFonts w:cs="Arial"/>
                <w:color w:val="FF0000"/>
                <w:sz w:val="21"/>
                <w:szCs w:val="21"/>
              </w:rPr>
            </w:pPr>
          </w:p>
        </w:tc>
        <w:tc>
          <w:tcPr>
            <w:tcW w:w="217" w:type="dxa"/>
          </w:tcPr>
          <w:p w14:paraId="4D6FA828" w14:textId="77777777" w:rsidR="002C0FD9" w:rsidRPr="00CA25CF" w:rsidRDefault="002C0FD9" w:rsidP="00CA25CF">
            <w:pPr>
              <w:rPr>
                <w:rFonts w:cs="Arial"/>
                <w:color w:val="FF0000"/>
                <w:sz w:val="21"/>
                <w:szCs w:val="21"/>
              </w:rPr>
            </w:pPr>
          </w:p>
        </w:tc>
        <w:tc>
          <w:tcPr>
            <w:tcW w:w="217" w:type="dxa"/>
          </w:tcPr>
          <w:p w14:paraId="4F92E7CA" w14:textId="77777777" w:rsidR="002C0FD9" w:rsidRPr="00CA25CF" w:rsidRDefault="002C0FD9" w:rsidP="00CA25CF">
            <w:pPr>
              <w:rPr>
                <w:rFonts w:cs="Arial"/>
                <w:color w:val="FF0000"/>
                <w:sz w:val="21"/>
                <w:szCs w:val="21"/>
              </w:rPr>
            </w:pPr>
          </w:p>
        </w:tc>
        <w:tc>
          <w:tcPr>
            <w:tcW w:w="217" w:type="dxa"/>
          </w:tcPr>
          <w:p w14:paraId="51D30161" w14:textId="77777777" w:rsidR="002C0FD9" w:rsidRPr="00CA25CF" w:rsidRDefault="002C0FD9" w:rsidP="00CA25CF">
            <w:pPr>
              <w:rPr>
                <w:rFonts w:cs="Arial"/>
                <w:color w:val="FF0000"/>
                <w:sz w:val="21"/>
                <w:szCs w:val="21"/>
              </w:rPr>
            </w:pPr>
          </w:p>
        </w:tc>
        <w:tc>
          <w:tcPr>
            <w:tcW w:w="217" w:type="dxa"/>
          </w:tcPr>
          <w:p w14:paraId="2217EED2" w14:textId="77777777" w:rsidR="002C0FD9" w:rsidRPr="00CA25CF" w:rsidRDefault="002C0FD9" w:rsidP="00CA25CF">
            <w:pPr>
              <w:rPr>
                <w:rFonts w:cs="Arial"/>
                <w:color w:val="FF0000"/>
                <w:sz w:val="21"/>
                <w:szCs w:val="21"/>
              </w:rPr>
            </w:pPr>
          </w:p>
        </w:tc>
        <w:tc>
          <w:tcPr>
            <w:tcW w:w="217" w:type="dxa"/>
          </w:tcPr>
          <w:p w14:paraId="0B31A19E" w14:textId="77777777" w:rsidR="002C0FD9" w:rsidRPr="00CA25CF" w:rsidRDefault="002C0FD9" w:rsidP="00CA25CF">
            <w:pPr>
              <w:rPr>
                <w:rFonts w:cs="Arial"/>
                <w:color w:val="FF0000"/>
                <w:sz w:val="21"/>
                <w:szCs w:val="21"/>
              </w:rPr>
            </w:pPr>
          </w:p>
        </w:tc>
        <w:tc>
          <w:tcPr>
            <w:tcW w:w="217" w:type="dxa"/>
          </w:tcPr>
          <w:p w14:paraId="0A11EE23" w14:textId="77777777" w:rsidR="002C0FD9" w:rsidRPr="00CA25CF" w:rsidRDefault="002C0FD9" w:rsidP="00CA25CF">
            <w:pPr>
              <w:rPr>
                <w:rFonts w:cs="Arial"/>
                <w:color w:val="FF0000"/>
                <w:sz w:val="21"/>
                <w:szCs w:val="21"/>
              </w:rPr>
            </w:pPr>
          </w:p>
        </w:tc>
        <w:tc>
          <w:tcPr>
            <w:tcW w:w="217" w:type="dxa"/>
          </w:tcPr>
          <w:p w14:paraId="6CE96FFB" w14:textId="77777777" w:rsidR="002C0FD9" w:rsidRPr="00CA25CF" w:rsidRDefault="002C0FD9" w:rsidP="00CA25CF">
            <w:pPr>
              <w:rPr>
                <w:rFonts w:cs="Arial"/>
                <w:color w:val="FF0000"/>
                <w:sz w:val="21"/>
                <w:szCs w:val="21"/>
              </w:rPr>
            </w:pPr>
          </w:p>
        </w:tc>
        <w:tc>
          <w:tcPr>
            <w:tcW w:w="217" w:type="dxa"/>
          </w:tcPr>
          <w:p w14:paraId="5279E406" w14:textId="77777777" w:rsidR="002C0FD9" w:rsidRPr="00CA25CF" w:rsidRDefault="002C0FD9" w:rsidP="00CA25CF">
            <w:pPr>
              <w:rPr>
                <w:rFonts w:cs="Arial"/>
                <w:color w:val="FF0000"/>
                <w:sz w:val="21"/>
                <w:szCs w:val="21"/>
              </w:rPr>
            </w:pPr>
          </w:p>
        </w:tc>
        <w:tc>
          <w:tcPr>
            <w:tcW w:w="217" w:type="dxa"/>
          </w:tcPr>
          <w:p w14:paraId="292D8CFA" w14:textId="77777777" w:rsidR="002C0FD9" w:rsidRPr="00CA25CF" w:rsidRDefault="002C0FD9" w:rsidP="00CA25CF">
            <w:pPr>
              <w:rPr>
                <w:rFonts w:cs="Arial"/>
                <w:color w:val="FF0000"/>
                <w:sz w:val="21"/>
                <w:szCs w:val="21"/>
              </w:rPr>
            </w:pPr>
          </w:p>
        </w:tc>
        <w:tc>
          <w:tcPr>
            <w:tcW w:w="217" w:type="dxa"/>
          </w:tcPr>
          <w:p w14:paraId="538621A5" w14:textId="77777777" w:rsidR="002C0FD9" w:rsidRPr="00CA25CF" w:rsidRDefault="002C0FD9" w:rsidP="00CA25CF">
            <w:pPr>
              <w:rPr>
                <w:rFonts w:cs="Arial"/>
                <w:color w:val="FF0000"/>
                <w:sz w:val="21"/>
                <w:szCs w:val="21"/>
              </w:rPr>
            </w:pPr>
          </w:p>
        </w:tc>
        <w:tc>
          <w:tcPr>
            <w:tcW w:w="217" w:type="dxa"/>
          </w:tcPr>
          <w:p w14:paraId="5BC59413" w14:textId="77777777" w:rsidR="002C0FD9" w:rsidRPr="00CA25CF" w:rsidRDefault="002C0FD9" w:rsidP="00CA25CF">
            <w:pPr>
              <w:rPr>
                <w:rFonts w:cs="Arial"/>
                <w:color w:val="FF0000"/>
                <w:sz w:val="21"/>
                <w:szCs w:val="21"/>
              </w:rPr>
            </w:pPr>
          </w:p>
        </w:tc>
        <w:tc>
          <w:tcPr>
            <w:tcW w:w="217" w:type="dxa"/>
          </w:tcPr>
          <w:p w14:paraId="45CE94A3" w14:textId="77777777" w:rsidR="002C0FD9" w:rsidRPr="00CA25CF" w:rsidRDefault="002C0FD9" w:rsidP="00CA25CF">
            <w:pPr>
              <w:rPr>
                <w:rFonts w:cs="Arial"/>
                <w:color w:val="FF0000"/>
                <w:sz w:val="21"/>
                <w:szCs w:val="21"/>
              </w:rPr>
            </w:pPr>
          </w:p>
        </w:tc>
        <w:tc>
          <w:tcPr>
            <w:tcW w:w="217" w:type="dxa"/>
          </w:tcPr>
          <w:p w14:paraId="21291519" w14:textId="77777777" w:rsidR="002C0FD9" w:rsidRPr="00CA25CF" w:rsidRDefault="002C0FD9" w:rsidP="00CA25CF">
            <w:pPr>
              <w:rPr>
                <w:rFonts w:cs="Arial"/>
                <w:color w:val="FF0000"/>
                <w:sz w:val="21"/>
                <w:szCs w:val="21"/>
              </w:rPr>
            </w:pPr>
          </w:p>
        </w:tc>
        <w:tc>
          <w:tcPr>
            <w:tcW w:w="217" w:type="dxa"/>
          </w:tcPr>
          <w:p w14:paraId="401B186E" w14:textId="77777777" w:rsidR="002C0FD9" w:rsidRPr="00CA25CF" w:rsidRDefault="002C0FD9" w:rsidP="00CA25CF">
            <w:pPr>
              <w:rPr>
                <w:rFonts w:cs="Arial"/>
                <w:color w:val="FF0000"/>
                <w:sz w:val="21"/>
                <w:szCs w:val="21"/>
              </w:rPr>
            </w:pPr>
          </w:p>
        </w:tc>
        <w:tc>
          <w:tcPr>
            <w:tcW w:w="217" w:type="dxa"/>
          </w:tcPr>
          <w:p w14:paraId="6A84FE36" w14:textId="77777777" w:rsidR="002C0FD9" w:rsidRPr="00CA25CF" w:rsidRDefault="002C0FD9" w:rsidP="00CA25CF">
            <w:pPr>
              <w:rPr>
                <w:rFonts w:cs="Arial"/>
                <w:color w:val="FF0000"/>
                <w:sz w:val="21"/>
                <w:szCs w:val="21"/>
              </w:rPr>
            </w:pPr>
          </w:p>
        </w:tc>
        <w:tc>
          <w:tcPr>
            <w:tcW w:w="217" w:type="dxa"/>
          </w:tcPr>
          <w:p w14:paraId="0B195E0C" w14:textId="77777777" w:rsidR="002C0FD9" w:rsidRPr="00CA25CF" w:rsidRDefault="002C0FD9" w:rsidP="00CA25CF">
            <w:pPr>
              <w:rPr>
                <w:rFonts w:cs="Arial"/>
                <w:color w:val="FF0000"/>
                <w:sz w:val="21"/>
                <w:szCs w:val="21"/>
              </w:rPr>
            </w:pPr>
          </w:p>
        </w:tc>
        <w:tc>
          <w:tcPr>
            <w:tcW w:w="217" w:type="dxa"/>
          </w:tcPr>
          <w:p w14:paraId="6739B292" w14:textId="77777777" w:rsidR="002C0FD9" w:rsidRPr="00CA25CF" w:rsidRDefault="002C0FD9" w:rsidP="00CA25CF">
            <w:pPr>
              <w:rPr>
                <w:rFonts w:cs="Arial"/>
                <w:color w:val="FF0000"/>
                <w:sz w:val="21"/>
                <w:szCs w:val="21"/>
              </w:rPr>
            </w:pPr>
          </w:p>
        </w:tc>
        <w:tc>
          <w:tcPr>
            <w:tcW w:w="217" w:type="dxa"/>
          </w:tcPr>
          <w:p w14:paraId="2B847E6E" w14:textId="77777777" w:rsidR="002C0FD9" w:rsidRPr="00CA25CF" w:rsidRDefault="002C0FD9" w:rsidP="00CA25CF">
            <w:pPr>
              <w:rPr>
                <w:rFonts w:cs="Arial"/>
                <w:color w:val="FF0000"/>
                <w:sz w:val="21"/>
                <w:szCs w:val="21"/>
              </w:rPr>
            </w:pPr>
          </w:p>
        </w:tc>
        <w:tc>
          <w:tcPr>
            <w:tcW w:w="217" w:type="dxa"/>
          </w:tcPr>
          <w:p w14:paraId="14F31150" w14:textId="77777777" w:rsidR="002C0FD9" w:rsidRPr="00CA25CF" w:rsidRDefault="002C0FD9" w:rsidP="00CA25CF">
            <w:pPr>
              <w:rPr>
                <w:rFonts w:cs="Arial"/>
                <w:color w:val="FF0000"/>
                <w:sz w:val="21"/>
                <w:szCs w:val="21"/>
              </w:rPr>
            </w:pPr>
          </w:p>
        </w:tc>
        <w:tc>
          <w:tcPr>
            <w:tcW w:w="217" w:type="dxa"/>
          </w:tcPr>
          <w:p w14:paraId="4BEBEB40" w14:textId="77777777" w:rsidR="002C0FD9" w:rsidRPr="00CA25CF" w:rsidRDefault="002C0FD9" w:rsidP="00CA25CF">
            <w:pPr>
              <w:rPr>
                <w:rFonts w:cs="Arial"/>
                <w:color w:val="FF0000"/>
                <w:sz w:val="21"/>
                <w:szCs w:val="21"/>
              </w:rPr>
            </w:pPr>
          </w:p>
        </w:tc>
        <w:tc>
          <w:tcPr>
            <w:tcW w:w="217" w:type="dxa"/>
          </w:tcPr>
          <w:p w14:paraId="34ACD124" w14:textId="77777777" w:rsidR="002C0FD9" w:rsidRPr="00CA25CF" w:rsidRDefault="002C0FD9" w:rsidP="00CA25CF">
            <w:pPr>
              <w:rPr>
                <w:rFonts w:cs="Arial"/>
                <w:color w:val="FF0000"/>
                <w:sz w:val="21"/>
                <w:szCs w:val="21"/>
              </w:rPr>
            </w:pPr>
          </w:p>
        </w:tc>
        <w:tc>
          <w:tcPr>
            <w:tcW w:w="217" w:type="dxa"/>
          </w:tcPr>
          <w:p w14:paraId="64E01237" w14:textId="77777777" w:rsidR="002C0FD9" w:rsidRPr="00CA25CF" w:rsidRDefault="002C0FD9" w:rsidP="00CA25CF">
            <w:pPr>
              <w:rPr>
                <w:rFonts w:cs="Arial"/>
                <w:color w:val="FF0000"/>
                <w:sz w:val="21"/>
                <w:szCs w:val="21"/>
              </w:rPr>
            </w:pPr>
          </w:p>
        </w:tc>
        <w:tc>
          <w:tcPr>
            <w:tcW w:w="217" w:type="dxa"/>
          </w:tcPr>
          <w:p w14:paraId="0327B468" w14:textId="77777777" w:rsidR="002C0FD9" w:rsidRPr="00CA25CF" w:rsidRDefault="002C0FD9" w:rsidP="00CA25CF">
            <w:pPr>
              <w:rPr>
                <w:rFonts w:cs="Arial"/>
                <w:color w:val="FF0000"/>
                <w:sz w:val="21"/>
                <w:szCs w:val="21"/>
              </w:rPr>
            </w:pPr>
          </w:p>
        </w:tc>
        <w:tc>
          <w:tcPr>
            <w:tcW w:w="217" w:type="dxa"/>
          </w:tcPr>
          <w:p w14:paraId="2540A6E4" w14:textId="77777777" w:rsidR="002C0FD9" w:rsidRPr="00CA25CF" w:rsidRDefault="002C0FD9" w:rsidP="00CA25CF">
            <w:pPr>
              <w:rPr>
                <w:rFonts w:cs="Arial"/>
                <w:color w:val="FF0000"/>
                <w:sz w:val="21"/>
                <w:szCs w:val="21"/>
              </w:rPr>
            </w:pPr>
          </w:p>
        </w:tc>
      </w:tr>
      <w:tr w:rsidR="002C0FD9" w:rsidRPr="00A16219" w14:paraId="6FD0AB02" w14:textId="684E04F3" w:rsidTr="002C0FD9">
        <w:trPr>
          <w:trHeight w:val="635"/>
        </w:trPr>
        <w:tc>
          <w:tcPr>
            <w:tcW w:w="515" w:type="dxa"/>
          </w:tcPr>
          <w:p w14:paraId="4C25D987" w14:textId="77777777" w:rsidR="002C0FD9" w:rsidRPr="00CA25CF" w:rsidRDefault="002C0FD9" w:rsidP="00CA25CF">
            <w:pPr>
              <w:rPr>
                <w:rFonts w:cs="Arial"/>
                <w:color w:val="FF0000"/>
                <w:sz w:val="21"/>
                <w:szCs w:val="21"/>
              </w:rPr>
            </w:pPr>
          </w:p>
        </w:tc>
        <w:tc>
          <w:tcPr>
            <w:tcW w:w="217" w:type="dxa"/>
          </w:tcPr>
          <w:p w14:paraId="45CE7CBC" w14:textId="77777777" w:rsidR="002C0FD9" w:rsidRPr="00CA25CF" w:rsidRDefault="002C0FD9" w:rsidP="00CA25CF">
            <w:pPr>
              <w:rPr>
                <w:rFonts w:cs="Arial"/>
                <w:color w:val="FF0000"/>
                <w:sz w:val="21"/>
                <w:szCs w:val="21"/>
              </w:rPr>
            </w:pPr>
          </w:p>
        </w:tc>
        <w:tc>
          <w:tcPr>
            <w:tcW w:w="217" w:type="dxa"/>
          </w:tcPr>
          <w:p w14:paraId="6316FEC9" w14:textId="2A8184C0" w:rsidR="002C0FD9" w:rsidRPr="00CA25CF" w:rsidRDefault="002C0FD9" w:rsidP="00CA25CF">
            <w:pPr>
              <w:rPr>
                <w:rFonts w:cs="Arial"/>
                <w:color w:val="FF0000"/>
                <w:sz w:val="21"/>
                <w:szCs w:val="21"/>
              </w:rPr>
            </w:pPr>
          </w:p>
        </w:tc>
        <w:tc>
          <w:tcPr>
            <w:tcW w:w="217" w:type="dxa"/>
          </w:tcPr>
          <w:p w14:paraId="043950B2" w14:textId="77777777" w:rsidR="002C0FD9" w:rsidRPr="00CA25CF" w:rsidRDefault="002C0FD9" w:rsidP="00CA25CF">
            <w:pPr>
              <w:rPr>
                <w:rFonts w:cs="Arial"/>
                <w:color w:val="FF0000"/>
                <w:sz w:val="21"/>
                <w:szCs w:val="21"/>
              </w:rPr>
            </w:pPr>
          </w:p>
        </w:tc>
        <w:tc>
          <w:tcPr>
            <w:tcW w:w="217" w:type="dxa"/>
          </w:tcPr>
          <w:p w14:paraId="25D970D1" w14:textId="77777777" w:rsidR="002C0FD9" w:rsidRPr="00CA25CF" w:rsidRDefault="002C0FD9" w:rsidP="00CA25CF">
            <w:pPr>
              <w:rPr>
                <w:rFonts w:cs="Arial"/>
                <w:color w:val="FF0000"/>
                <w:sz w:val="21"/>
                <w:szCs w:val="21"/>
              </w:rPr>
            </w:pPr>
          </w:p>
        </w:tc>
        <w:tc>
          <w:tcPr>
            <w:tcW w:w="217" w:type="dxa"/>
          </w:tcPr>
          <w:p w14:paraId="21C9C597" w14:textId="77777777" w:rsidR="002C0FD9" w:rsidRPr="00CA25CF" w:rsidRDefault="002C0FD9" w:rsidP="00CA25CF">
            <w:pPr>
              <w:rPr>
                <w:rFonts w:cs="Arial"/>
                <w:color w:val="FF0000"/>
                <w:sz w:val="21"/>
                <w:szCs w:val="21"/>
              </w:rPr>
            </w:pPr>
          </w:p>
        </w:tc>
        <w:tc>
          <w:tcPr>
            <w:tcW w:w="217" w:type="dxa"/>
          </w:tcPr>
          <w:p w14:paraId="54ADE628" w14:textId="77777777" w:rsidR="002C0FD9" w:rsidRPr="00CA25CF" w:rsidRDefault="002C0FD9" w:rsidP="00CA25CF">
            <w:pPr>
              <w:rPr>
                <w:rFonts w:cs="Arial"/>
                <w:color w:val="FF0000"/>
                <w:sz w:val="21"/>
                <w:szCs w:val="21"/>
              </w:rPr>
            </w:pPr>
          </w:p>
        </w:tc>
        <w:tc>
          <w:tcPr>
            <w:tcW w:w="217" w:type="dxa"/>
          </w:tcPr>
          <w:p w14:paraId="2E635E21" w14:textId="77777777" w:rsidR="002C0FD9" w:rsidRPr="00CA25CF" w:rsidRDefault="002C0FD9" w:rsidP="00CA25CF">
            <w:pPr>
              <w:rPr>
                <w:rFonts w:cs="Arial"/>
                <w:color w:val="FF0000"/>
                <w:sz w:val="21"/>
                <w:szCs w:val="21"/>
              </w:rPr>
            </w:pPr>
          </w:p>
        </w:tc>
        <w:tc>
          <w:tcPr>
            <w:tcW w:w="217" w:type="dxa"/>
          </w:tcPr>
          <w:p w14:paraId="351EEA69" w14:textId="77777777" w:rsidR="002C0FD9" w:rsidRPr="00CA25CF" w:rsidRDefault="002C0FD9" w:rsidP="00CA25CF">
            <w:pPr>
              <w:rPr>
                <w:rFonts w:cs="Arial"/>
                <w:color w:val="FF0000"/>
                <w:sz w:val="21"/>
                <w:szCs w:val="21"/>
              </w:rPr>
            </w:pPr>
          </w:p>
        </w:tc>
        <w:tc>
          <w:tcPr>
            <w:tcW w:w="217" w:type="dxa"/>
          </w:tcPr>
          <w:p w14:paraId="7E13907D" w14:textId="77777777" w:rsidR="002C0FD9" w:rsidRPr="00CA25CF" w:rsidRDefault="002C0FD9" w:rsidP="00CA25CF">
            <w:pPr>
              <w:rPr>
                <w:rFonts w:cs="Arial"/>
                <w:color w:val="FF0000"/>
                <w:sz w:val="21"/>
                <w:szCs w:val="21"/>
              </w:rPr>
            </w:pPr>
          </w:p>
        </w:tc>
        <w:tc>
          <w:tcPr>
            <w:tcW w:w="217" w:type="dxa"/>
          </w:tcPr>
          <w:p w14:paraId="4F9AFD27" w14:textId="77777777" w:rsidR="002C0FD9" w:rsidRPr="00CA25CF" w:rsidRDefault="002C0FD9" w:rsidP="00CA25CF">
            <w:pPr>
              <w:rPr>
                <w:rFonts w:cs="Arial"/>
                <w:color w:val="FF0000"/>
                <w:sz w:val="21"/>
                <w:szCs w:val="21"/>
              </w:rPr>
            </w:pPr>
          </w:p>
        </w:tc>
        <w:tc>
          <w:tcPr>
            <w:tcW w:w="217" w:type="dxa"/>
          </w:tcPr>
          <w:p w14:paraId="07EE90AC" w14:textId="77777777" w:rsidR="002C0FD9" w:rsidRPr="00CA25CF" w:rsidRDefault="002C0FD9" w:rsidP="00CA25CF">
            <w:pPr>
              <w:rPr>
                <w:rFonts w:cs="Arial"/>
                <w:color w:val="FF0000"/>
                <w:sz w:val="21"/>
                <w:szCs w:val="21"/>
              </w:rPr>
            </w:pPr>
          </w:p>
        </w:tc>
        <w:tc>
          <w:tcPr>
            <w:tcW w:w="217" w:type="dxa"/>
          </w:tcPr>
          <w:p w14:paraId="6630BF3E" w14:textId="77777777" w:rsidR="002C0FD9" w:rsidRPr="00CA25CF" w:rsidRDefault="002C0FD9" w:rsidP="00CA25CF">
            <w:pPr>
              <w:rPr>
                <w:rFonts w:cs="Arial"/>
                <w:color w:val="FF0000"/>
                <w:sz w:val="21"/>
                <w:szCs w:val="21"/>
              </w:rPr>
            </w:pPr>
          </w:p>
        </w:tc>
        <w:tc>
          <w:tcPr>
            <w:tcW w:w="217" w:type="dxa"/>
          </w:tcPr>
          <w:p w14:paraId="7725A688" w14:textId="77777777" w:rsidR="002C0FD9" w:rsidRPr="00CA25CF" w:rsidRDefault="002C0FD9" w:rsidP="00CA25CF">
            <w:pPr>
              <w:rPr>
                <w:rFonts w:cs="Arial"/>
                <w:color w:val="FF0000"/>
                <w:sz w:val="21"/>
                <w:szCs w:val="21"/>
              </w:rPr>
            </w:pPr>
          </w:p>
        </w:tc>
        <w:tc>
          <w:tcPr>
            <w:tcW w:w="217" w:type="dxa"/>
          </w:tcPr>
          <w:p w14:paraId="7A7296A7" w14:textId="77777777" w:rsidR="002C0FD9" w:rsidRPr="00CA25CF" w:rsidRDefault="002C0FD9" w:rsidP="00CA25CF">
            <w:pPr>
              <w:rPr>
                <w:rFonts w:cs="Arial"/>
                <w:color w:val="FF0000"/>
                <w:sz w:val="21"/>
                <w:szCs w:val="21"/>
              </w:rPr>
            </w:pPr>
          </w:p>
        </w:tc>
        <w:tc>
          <w:tcPr>
            <w:tcW w:w="217" w:type="dxa"/>
          </w:tcPr>
          <w:p w14:paraId="190A9069" w14:textId="77777777" w:rsidR="002C0FD9" w:rsidRPr="00CA25CF" w:rsidRDefault="002C0FD9" w:rsidP="00CA25CF">
            <w:pPr>
              <w:rPr>
                <w:rFonts w:cs="Arial"/>
                <w:color w:val="FF0000"/>
                <w:sz w:val="21"/>
                <w:szCs w:val="21"/>
              </w:rPr>
            </w:pPr>
          </w:p>
        </w:tc>
        <w:tc>
          <w:tcPr>
            <w:tcW w:w="217" w:type="dxa"/>
          </w:tcPr>
          <w:p w14:paraId="4552DCD8" w14:textId="77777777" w:rsidR="002C0FD9" w:rsidRPr="00CA25CF" w:rsidRDefault="002C0FD9" w:rsidP="00CA25CF">
            <w:pPr>
              <w:rPr>
                <w:rFonts w:cs="Arial"/>
                <w:color w:val="FF0000"/>
                <w:sz w:val="21"/>
                <w:szCs w:val="21"/>
              </w:rPr>
            </w:pPr>
          </w:p>
        </w:tc>
        <w:tc>
          <w:tcPr>
            <w:tcW w:w="217" w:type="dxa"/>
          </w:tcPr>
          <w:p w14:paraId="16EF1600" w14:textId="77777777" w:rsidR="002C0FD9" w:rsidRPr="00CA25CF" w:rsidRDefault="002C0FD9" w:rsidP="00CA25CF">
            <w:pPr>
              <w:rPr>
                <w:rFonts w:cs="Arial"/>
                <w:color w:val="FF0000"/>
                <w:sz w:val="21"/>
                <w:szCs w:val="21"/>
              </w:rPr>
            </w:pPr>
          </w:p>
        </w:tc>
        <w:tc>
          <w:tcPr>
            <w:tcW w:w="217" w:type="dxa"/>
          </w:tcPr>
          <w:p w14:paraId="6D2BB512" w14:textId="77777777" w:rsidR="002C0FD9" w:rsidRPr="00CA25CF" w:rsidRDefault="002C0FD9" w:rsidP="00CA25CF">
            <w:pPr>
              <w:rPr>
                <w:rFonts w:cs="Arial"/>
                <w:color w:val="FF0000"/>
                <w:sz w:val="21"/>
                <w:szCs w:val="21"/>
              </w:rPr>
            </w:pPr>
          </w:p>
        </w:tc>
        <w:tc>
          <w:tcPr>
            <w:tcW w:w="217" w:type="dxa"/>
          </w:tcPr>
          <w:p w14:paraId="40CE60C9" w14:textId="77777777" w:rsidR="002C0FD9" w:rsidRPr="00CA25CF" w:rsidRDefault="002C0FD9" w:rsidP="00CA25CF">
            <w:pPr>
              <w:rPr>
                <w:rFonts w:cs="Arial"/>
                <w:color w:val="FF0000"/>
                <w:sz w:val="21"/>
                <w:szCs w:val="21"/>
              </w:rPr>
            </w:pPr>
          </w:p>
        </w:tc>
        <w:tc>
          <w:tcPr>
            <w:tcW w:w="217" w:type="dxa"/>
          </w:tcPr>
          <w:p w14:paraId="4863D26A" w14:textId="77777777" w:rsidR="002C0FD9" w:rsidRPr="00CA25CF" w:rsidRDefault="002C0FD9" w:rsidP="00CA25CF">
            <w:pPr>
              <w:rPr>
                <w:rFonts w:cs="Arial"/>
                <w:color w:val="FF0000"/>
                <w:sz w:val="21"/>
                <w:szCs w:val="21"/>
              </w:rPr>
            </w:pPr>
          </w:p>
        </w:tc>
        <w:tc>
          <w:tcPr>
            <w:tcW w:w="217" w:type="dxa"/>
          </w:tcPr>
          <w:p w14:paraId="388C0CB7" w14:textId="77777777" w:rsidR="002C0FD9" w:rsidRPr="00CA25CF" w:rsidRDefault="002C0FD9" w:rsidP="00CA25CF">
            <w:pPr>
              <w:rPr>
                <w:rFonts w:cs="Arial"/>
                <w:color w:val="FF0000"/>
                <w:sz w:val="21"/>
                <w:szCs w:val="21"/>
              </w:rPr>
            </w:pPr>
          </w:p>
        </w:tc>
        <w:tc>
          <w:tcPr>
            <w:tcW w:w="217" w:type="dxa"/>
          </w:tcPr>
          <w:p w14:paraId="1420C9A7" w14:textId="77777777" w:rsidR="002C0FD9" w:rsidRPr="00CA25CF" w:rsidRDefault="002C0FD9" w:rsidP="00CA25CF">
            <w:pPr>
              <w:rPr>
                <w:rFonts w:cs="Arial"/>
                <w:color w:val="FF0000"/>
                <w:sz w:val="21"/>
                <w:szCs w:val="21"/>
              </w:rPr>
            </w:pPr>
          </w:p>
        </w:tc>
        <w:tc>
          <w:tcPr>
            <w:tcW w:w="217" w:type="dxa"/>
          </w:tcPr>
          <w:p w14:paraId="48E4CA4F" w14:textId="77777777" w:rsidR="002C0FD9" w:rsidRPr="00CA25CF" w:rsidRDefault="002C0FD9" w:rsidP="00CA25CF">
            <w:pPr>
              <w:rPr>
                <w:rFonts w:cs="Arial"/>
                <w:color w:val="FF0000"/>
                <w:sz w:val="21"/>
                <w:szCs w:val="21"/>
              </w:rPr>
            </w:pPr>
          </w:p>
        </w:tc>
        <w:tc>
          <w:tcPr>
            <w:tcW w:w="217" w:type="dxa"/>
          </w:tcPr>
          <w:p w14:paraId="0C320CD9" w14:textId="77777777" w:rsidR="002C0FD9" w:rsidRPr="00CA25CF" w:rsidRDefault="002C0FD9" w:rsidP="00CA25CF">
            <w:pPr>
              <w:rPr>
                <w:rFonts w:cs="Arial"/>
                <w:color w:val="FF0000"/>
                <w:sz w:val="21"/>
                <w:szCs w:val="21"/>
              </w:rPr>
            </w:pPr>
          </w:p>
        </w:tc>
        <w:tc>
          <w:tcPr>
            <w:tcW w:w="217" w:type="dxa"/>
          </w:tcPr>
          <w:p w14:paraId="772393A1" w14:textId="77777777" w:rsidR="002C0FD9" w:rsidRPr="00CA25CF" w:rsidRDefault="002C0FD9" w:rsidP="00CA25CF">
            <w:pPr>
              <w:rPr>
                <w:rFonts w:cs="Arial"/>
                <w:color w:val="FF0000"/>
                <w:sz w:val="21"/>
                <w:szCs w:val="21"/>
              </w:rPr>
            </w:pPr>
          </w:p>
        </w:tc>
        <w:tc>
          <w:tcPr>
            <w:tcW w:w="217" w:type="dxa"/>
          </w:tcPr>
          <w:p w14:paraId="2AE38D89" w14:textId="77777777" w:rsidR="002C0FD9" w:rsidRPr="00CA25CF" w:rsidRDefault="002C0FD9" w:rsidP="00CA25CF">
            <w:pPr>
              <w:rPr>
                <w:rFonts w:cs="Arial"/>
                <w:color w:val="FF0000"/>
                <w:sz w:val="21"/>
                <w:szCs w:val="21"/>
              </w:rPr>
            </w:pPr>
          </w:p>
        </w:tc>
        <w:tc>
          <w:tcPr>
            <w:tcW w:w="217" w:type="dxa"/>
          </w:tcPr>
          <w:p w14:paraId="76B998F5" w14:textId="77777777" w:rsidR="002C0FD9" w:rsidRPr="00CA25CF" w:rsidRDefault="002C0FD9" w:rsidP="00CA25CF">
            <w:pPr>
              <w:rPr>
                <w:rFonts w:cs="Arial"/>
                <w:color w:val="FF0000"/>
                <w:sz w:val="21"/>
                <w:szCs w:val="21"/>
              </w:rPr>
            </w:pPr>
          </w:p>
        </w:tc>
        <w:tc>
          <w:tcPr>
            <w:tcW w:w="217" w:type="dxa"/>
          </w:tcPr>
          <w:p w14:paraId="492DE730" w14:textId="77777777" w:rsidR="002C0FD9" w:rsidRPr="00CA25CF" w:rsidRDefault="002C0FD9" w:rsidP="00CA25CF">
            <w:pPr>
              <w:rPr>
                <w:rFonts w:cs="Arial"/>
                <w:color w:val="FF0000"/>
                <w:sz w:val="21"/>
                <w:szCs w:val="21"/>
              </w:rPr>
            </w:pPr>
          </w:p>
        </w:tc>
        <w:tc>
          <w:tcPr>
            <w:tcW w:w="217" w:type="dxa"/>
          </w:tcPr>
          <w:p w14:paraId="010B03C5" w14:textId="77777777" w:rsidR="002C0FD9" w:rsidRPr="00CA25CF" w:rsidRDefault="002C0FD9" w:rsidP="00CA25CF">
            <w:pPr>
              <w:rPr>
                <w:rFonts w:cs="Arial"/>
                <w:color w:val="FF0000"/>
                <w:sz w:val="21"/>
                <w:szCs w:val="21"/>
              </w:rPr>
            </w:pPr>
          </w:p>
        </w:tc>
        <w:tc>
          <w:tcPr>
            <w:tcW w:w="217" w:type="dxa"/>
          </w:tcPr>
          <w:p w14:paraId="1E9C3C30" w14:textId="77777777" w:rsidR="002C0FD9" w:rsidRPr="00CA25CF" w:rsidRDefault="002C0FD9" w:rsidP="00CA25CF">
            <w:pPr>
              <w:rPr>
                <w:rFonts w:cs="Arial"/>
                <w:color w:val="FF0000"/>
                <w:sz w:val="21"/>
                <w:szCs w:val="21"/>
              </w:rPr>
            </w:pPr>
          </w:p>
        </w:tc>
        <w:tc>
          <w:tcPr>
            <w:tcW w:w="217" w:type="dxa"/>
          </w:tcPr>
          <w:p w14:paraId="6ABDC9F0" w14:textId="77777777" w:rsidR="002C0FD9" w:rsidRPr="00CA25CF" w:rsidRDefault="002C0FD9" w:rsidP="00CA25CF">
            <w:pPr>
              <w:rPr>
                <w:rFonts w:cs="Arial"/>
                <w:color w:val="FF0000"/>
                <w:sz w:val="21"/>
                <w:szCs w:val="21"/>
              </w:rPr>
            </w:pPr>
          </w:p>
        </w:tc>
        <w:tc>
          <w:tcPr>
            <w:tcW w:w="217" w:type="dxa"/>
          </w:tcPr>
          <w:p w14:paraId="0DF8F2FD" w14:textId="77777777" w:rsidR="002C0FD9" w:rsidRPr="00CA25CF" w:rsidRDefault="002C0FD9" w:rsidP="00CA25CF">
            <w:pPr>
              <w:rPr>
                <w:rFonts w:cs="Arial"/>
                <w:color w:val="FF0000"/>
                <w:sz w:val="21"/>
                <w:szCs w:val="21"/>
              </w:rPr>
            </w:pPr>
          </w:p>
        </w:tc>
        <w:tc>
          <w:tcPr>
            <w:tcW w:w="217" w:type="dxa"/>
          </w:tcPr>
          <w:p w14:paraId="228E9A45" w14:textId="77777777" w:rsidR="002C0FD9" w:rsidRPr="00CA25CF" w:rsidRDefault="002C0FD9" w:rsidP="00CA25CF">
            <w:pPr>
              <w:rPr>
                <w:rFonts w:cs="Arial"/>
                <w:color w:val="FF0000"/>
                <w:sz w:val="21"/>
                <w:szCs w:val="21"/>
              </w:rPr>
            </w:pPr>
          </w:p>
        </w:tc>
        <w:tc>
          <w:tcPr>
            <w:tcW w:w="217" w:type="dxa"/>
          </w:tcPr>
          <w:p w14:paraId="53C1120C" w14:textId="77777777" w:rsidR="002C0FD9" w:rsidRPr="00CA25CF" w:rsidRDefault="002C0FD9" w:rsidP="00CA25CF">
            <w:pPr>
              <w:rPr>
                <w:rFonts w:cs="Arial"/>
                <w:color w:val="FF0000"/>
                <w:sz w:val="21"/>
                <w:szCs w:val="21"/>
              </w:rPr>
            </w:pPr>
          </w:p>
        </w:tc>
        <w:tc>
          <w:tcPr>
            <w:tcW w:w="217" w:type="dxa"/>
          </w:tcPr>
          <w:p w14:paraId="30DE2D0D" w14:textId="77777777" w:rsidR="002C0FD9" w:rsidRPr="00CA25CF" w:rsidRDefault="002C0FD9" w:rsidP="00CA25CF">
            <w:pPr>
              <w:rPr>
                <w:rFonts w:cs="Arial"/>
                <w:color w:val="FF0000"/>
                <w:sz w:val="21"/>
                <w:szCs w:val="21"/>
              </w:rPr>
            </w:pPr>
          </w:p>
        </w:tc>
        <w:tc>
          <w:tcPr>
            <w:tcW w:w="217" w:type="dxa"/>
          </w:tcPr>
          <w:p w14:paraId="56732BA1" w14:textId="77777777" w:rsidR="002C0FD9" w:rsidRPr="00CA25CF" w:rsidRDefault="002C0FD9" w:rsidP="00CA25CF">
            <w:pPr>
              <w:rPr>
                <w:rFonts w:cs="Arial"/>
                <w:color w:val="FF0000"/>
                <w:sz w:val="21"/>
                <w:szCs w:val="21"/>
              </w:rPr>
            </w:pPr>
          </w:p>
        </w:tc>
        <w:tc>
          <w:tcPr>
            <w:tcW w:w="217" w:type="dxa"/>
          </w:tcPr>
          <w:p w14:paraId="1B5DAC83" w14:textId="77777777" w:rsidR="002C0FD9" w:rsidRPr="00CA25CF" w:rsidRDefault="002C0FD9" w:rsidP="00CA25CF">
            <w:pPr>
              <w:rPr>
                <w:rFonts w:cs="Arial"/>
                <w:color w:val="FF0000"/>
                <w:sz w:val="21"/>
                <w:szCs w:val="21"/>
              </w:rPr>
            </w:pPr>
          </w:p>
        </w:tc>
        <w:tc>
          <w:tcPr>
            <w:tcW w:w="217" w:type="dxa"/>
          </w:tcPr>
          <w:p w14:paraId="73AFDC14" w14:textId="77777777" w:rsidR="002C0FD9" w:rsidRPr="00CA25CF" w:rsidRDefault="002C0FD9" w:rsidP="00CA25CF">
            <w:pPr>
              <w:rPr>
                <w:rFonts w:cs="Arial"/>
                <w:color w:val="FF0000"/>
                <w:sz w:val="21"/>
                <w:szCs w:val="21"/>
              </w:rPr>
            </w:pPr>
          </w:p>
        </w:tc>
        <w:tc>
          <w:tcPr>
            <w:tcW w:w="217" w:type="dxa"/>
          </w:tcPr>
          <w:p w14:paraId="3C9AD7D6" w14:textId="77777777" w:rsidR="002C0FD9" w:rsidRPr="00CA25CF" w:rsidRDefault="002C0FD9" w:rsidP="00CA25CF">
            <w:pPr>
              <w:rPr>
                <w:rFonts w:cs="Arial"/>
                <w:color w:val="FF0000"/>
                <w:sz w:val="21"/>
                <w:szCs w:val="21"/>
              </w:rPr>
            </w:pPr>
          </w:p>
        </w:tc>
        <w:tc>
          <w:tcPr>
            <w:tcW w:w="217" w:type="dxa"/>
          </w:tcPr>
          <w:p w14:paraId="1B570E3A" w14:textId="77777777" w:rsidR="002C0FD9" w:rsidRPr="00CA25CF" w:rsidRDefault="002C0FD9" w:rsidP="00CA25CF">
            <w:pPr>
              <w:rPr>
                <w:rFonts w:cs="Arial"/>
                <w:color w:val="FF0000"/>
                <w:sz w:val="21"/>
                <w:szCs w:val="21"/>
              </w:rPr>
            </w:pPr>
          </w:p>
        </w:tc>
        <w:tc>
          <w:tcPr>
            <w:tcW w:w="217" w:type="dxa"/>
          </w:tcPr>
          <w:p w14:paraId="75C9869B" w14:textId="77777777" w:rsidR="002C0FD9" w:rsidRPr="00CA25CF" w:rsidRDefault="002C0FD9" w:rsidP="00CA25CF">
            <w:pPr>
              <w:rPr>
                <w:rFonts w:cs="Arial"/>
                <w:color w:val="FF0000"/>
                <w:sz w:val="21"/>
                <w:szCs w:val="21"/>
              </w:rPr>
            </w:pPr>
          </w:p>
        </w:tc>
        <w:tc>
          <w:tcPr>
            <w:tcW w:w="217" w:type="dxa"/>
          </w:tcPr>
          <w:p w14:paraId="4F3DE9B6" w14:textId="77777777" w:rsidR="002C0FD9" w:rsidRPr="00CA25CF" w:rsidRDefault="002C0FD9" w:rsidP="00CA25CF">
            <w:pPr>
              <w:rPr>
                <w:rFonts w:cs="Arial"/>
                <w:color w:val="FF0000"/>
                <w:sz w:val="21"/>
                <w:szCs w:val="21"/>
              </w:rPr>
            </w:pPr>
          </w:p>
        </w:tc>
      </w:tr>
      <w:tr w:rsidR="002C0FD9" w:rsidRPr="00A16219" w14:paraId="1CF9D538" w14:textId="2B0D8B4C" w:rsidTr="002C0FD9">
        <w:trPr>
          <w:trHeight w:val="635"/>
        </w:trPr>
        <w:tc>
          <w:tcPr>
            <w:tcW w:w="515" w:type="dxa"/>
          </w:tcPr>
          <w:p w14:paraId="333D6676" w14:textId="77777777" w:rsidR="002C0FD9" w:rsidRPr="00CA25CF" w:rsidRDefault="002C0FD9" w:rsidP="00CA25CF">
            <w:pPr>
              <w:rPr>
                <w:rFonts w:cs="Arial"/>
                <w:color w:val="FF0000"/>
                <w:sz w:val="21"/>
                <w:szCs w:val="21"/>
              </w:rPr>
            </w:pPr>
          </w:p>
        </w:tc>
        <w:tc>
          <w:tcPr>
            <w:tcW w:w="217" w:type="dxa"/>
          </w:tcPr>
          <w:p w14:paraId="3C1BF66F" w14:textId="77777777" w:rsidR="002C0FD9" w:rsidRPr="00CA25CF" w:rsidRDefault="002C0FD9" w:rsidP="00CA25CF">
            <w:pPr>
              <w:rPr>
                <w:rFonts w:cs="Arial"/>
                <w:color w:val="FF0000"/>
                <w:sz w:val="21"/>
                <w:szCs w:val="21"/>
              </w:rPr>
            </w:pPr>
          </w:p>
        </w:tc>
        <w:tc>
          <w:tcPr>
            <w:tcW w:w="217" w:type="dxa"/>
          </w:tcPr>
          <w:p w14:paraId="55908493" w14:textId="620D87B4" w:rsidR="002C0FD9" w:rsidRPr="00CA25CF" w:rsidRDefault="002C0FD9" w:rsidP="00CA25CF">
            <w:pPr>
              <w:rPr>
                <w:rFonts w:cs="Arial"/>
                <w:color w:val="FF0000"/>
                <w:sz w:val="21"/>
                <w:szCs w:val="21"/>
              </w:rPr>
            </w:pPr>
          </w:p>
        </w:tc>
        <w:tc>
          <w:tcPr>
            <w:tcW w:w="217" w:type="dxa"/>
          </w:tcPr>
          <w:p w14:paraId="243ACEBA" w14:textId="77777777" w:rsidR="002C0FD9" w:rsidRPr="00CA25CF" w:rsidRDefault="002C0FD9" w:rsidP="00CA25CF">
            <w:pPr>
              <w:rPr>
                <w:rFonts w:cs="Arial"/>
                <w:color w:val="FF0000"/>
                <w:sz w:val="21"/>
                <w:szCs w:val="21"/>
              </w:rPr>
            </w:pPr>
          </w:p>
        </w:tc>
        <w:tc>
          <w:tcPr>
            <w:tcW w:w="217" w:type="dxa"/>
          </w:tcPr>
          <w:p w14:paraId="7F196871" w14:textId="77777777" w:rsidR="002C0FD9" w:rsidRPr="00CA25CF" w:rsidRDefault="002C0FD9" w:rsidP="00CA25CF">
            <w:pPr>
              <w:rPr>
                <w:rFonts w:cs="Arial"/>
                <w:color w:val="FF0000"/>
                <w:sz w:val="21"/>
                <w:szCs w:val="21"/>
              </w:rPr>
            </w:pPr>
          </w:p>
        </w:tc>
        <w:tc>
          <w:tcPr>
            <w:tcW w:w="217" w:type="dxa"/>
          </w:tcPr>
          <w:p w14:paraId="0CC8C412" w14:textId="77777777" w:rsidR="002C0FD9" w:rsidRPr="00CA25CF" w:rsidRDefault="002C0FD9" w:rsidP="00CA25CF">
            <w:pPr>
              <w:rPr>
                <w:rFonts w:cs="Arial"/>
                <w:color w:val="FF0000"/>
                <w:sz w:val="21"/>
                <w:szCs w:val="21"/>
              </w:rPr>
            </w:pPr>
          </w:p>
        </w:tc>
        <w:tc>
          <w:tcPr>
            <w:tcW w:w="217" w:type="dxa"/>
          </w:tcPr>
          <w:p w14:paraId="0D16942D" w14:textId="77777777" w:rsidR="002C0FD9" w:rsidRPr="00CA25CF" w:rsidRDefault="002C0FD9" w:rsidP="00CA25CF">
            <w:pPr>
              <w:rPr>
                <w:rFonts w:cs="Arial"/>
                <w:color w:val="FF0000"/>
                <w:sz w:val="21"/>
                <w:szCs w:val="21"/>
              </w:rPr>
            </w:pPr>
          </w:p>
        </w:tc>
        <w:tc>
          <w:tcPr>
            <w:tcW w:w="217" w:type="dxa"/>
          </w:tcPr>
          <w:p w14:paraId="363F2737" w14:textId="77777777" w:rsidR="002C0FD9" w:rsidRPr="00CA25CF" w:rsidRDefault="002C0FD9" w:rsidP="00CA25CF">
            <w:pPr>
              <w:rPr>
                <w:rFonts w:cs="Arial"/>
                <w:color w:val="FF0000"/>
                <w:sz w:val="21"/>
                <w:szCs w:val="21"/>
              </w:rPr>
            </w:pPr>
          </w:p>
        </w:tc>
        <w:tc>
          <w:tcPr>
            <w:tcW w:w="217" w:type="dxa"/>
          </w:tcPr>
          <w:p w14:paraId="2FD02A8B" w14:textId="77777777" w:rsidR="002C0FD9" w:rsidRPr="00CA25CF" w:rsidRDefault="002C0FD9" w:rsidP="00CA25CF">
            <w:pPr>
              <w:rPr>
                <w:rFonts w:cs="Arial"/>
                <w:color w:val="FF0000"/>
                <w:sz w:val="21"/>
                <w:szCs w:val="21"/>
              </w:rPr>
            </w:pPr>
          </w:p>
        </w:tc>
        <w:tc>
          <w:tcPr>
            <w:tcW w:w="217" w:type="dxa"/>
          </w:tcPr>
          <w:p w14:paraId="5FFCEDDC" w14:textId="77777777" w:rsidR="002C0FD9" w:rsidRPr="00CA25CF" w:rsidRDefault="002C0FD9" w:rsidP="00CA25CF">
            <w:pPr>
              <w:rPr>
                <w:rFonts w:cs="Arial"/>
                <w:color w:val="FF0000"/>
                <w:sz w:val="21"/>
                <w:szCs w:val="21"/>
              </w:rPr>
            </w:pPr>
          </w:p>
        </w:tc>
        <w:tc>
          <w:tcPr>
            <w:tcW w:w="217" w:type="dxa"/>
          </w:tcPr>
          <w:p w14:paraId="053E0930" w14:textId="77777777" w:rsidR="002C0FD9" w:rsidRPr="00CA25CF" w:rsidRDefault="002C0FD9" w:rsidP="00CA25CF">
            <w:pPr>
              <w:rPr>
                <w:rFonts w:cs="Arial"/>
                <w:color w:val="FF0000"/>
                <w:sz w:val="21"/>
                <w:szCs w:val="21"/>
              </w:rPr>
            </w:pPr>
          </w:p>
        </w:tc>
        <w:tc>
          <w:tcPr>
            <w:tcW w:w="217" w:type="dxa"/>
          </w:tcPr>
          <w:p w14:paraId="37F31802" w14:textId="77777777" w:rsidR="002C0FD9" w:rsidRPr="00CA25CF" w:rsidRDefault="002C0FD9" w:rsidP="00CA25CF">
            <w:pPr>
              <w:rPr>
                <w:rFonts w:cs="Arial"/>
                <w:color w:val="FF0000"/>
                <w:sz w:val="21"/>
                <w:szCs w:val="21"/>
              </w:rPr>
            </w:pPr>
          </w:p>
        </w:tc>
        <w:tc>
          <w:tcPr>
            <w:tcW w:w="217" w:type="dxa"/>
          </w:tcPr>
          <w:p w14:paraId="03ECC698" w14:textId="77777777" w:rsidR="002C0FD9" w:rsidRPr="00CA25CF" w:rsidRDefault="002C0FD9" w:rsidP="00CA25CF">
            <w:pPr>
              <w:rPr>
                <w:rFonts w:cs="Arial"/>
                <w:color w:val="FF0000"/>
                <w:sz w:val="21"/>
                <w:szCs w:val="21"/>
              </w:rPr>
            </w:pPr>
          </w:p>
        </w:tc>
        <w:tc>
          <w:tcPr>
            <w:tcW w:w="217" w:type="dxa"/>
          </w:tcPr>
          <w:p w14:paraId="2D8B5BBC" w14:textId="77777777" w:rsidR="002C0FD9" w:rsidRPr="00CA25CF" w:rsidRDefault="002C0FD9" w:rsidP="00CA25CF">
            <w:pPr>
              <w:rPr>
                <w:rFonts w:cs="Arial"/>
                <w:color w:val="FF0000"/>
                <w:sz w:val="21"/>
                <w:szCs w:val="21"/>
              </w:rPr>
            </w:pPr>
          </w:p>
        </w:tc>
        <w:tc>
          <w:tcPr>
            <w:tcW w:w="217" w:type="dxa"/>
          </w:tcPr>
          <w:p w14:paraId="564AFCB5" w14:textId="77777777" w:rsidR="002C0FD9" w:rsidRPr="00CA25CF" w:rsidRDefault="002C0FD9" w:rsidP="00CA25CF">
            <w:pPr>
              <w:rPr>
                <w:rFonts w:cs="Arial"/>
                <w:color w:val="FF0000"/>
                <w:sz w:val="21"/>
                <w:szCs w:val="21"/>
              </w:rPr>
            </w:pPr>
          </w:p>
        </w:tc>
        <w:tc>
          <w:tcPr>
            <w:tcW w:w="217" w:type="dxa"/>
          </w:tcPr>
          <w:p w14:paraId="15CD9B8D" w14:textId="77777777" w:rsidR="002C0FD9" w:rsidRPr="00CA25CF" w:rsidRDefault="002C0FD9" w:rsidP="00CA25CF">
            <w:pPr>
              <w:rPr>
                <w:rFonts w:cs="Arial"/>
                <w:color w:val="FF0000"/>
                <w:sz w:val="21"/>
                <w:szCs w:val="21"/>
              </w:rPr>
            </w:pPr>
          </w:p>
        </w:tc>
        <w:tc>
          <w:tcPr>
            <w:tcW w:w="217" w:type="dxa"/>
          </w:tcPr>
          <w:p w14:paraId="0BD52400" w14:textId="77777777" w:rsidR="002C0FD9" w:rsidRPr="00CA25CF" w:rsidRDefault="002C0FD9" w:rsidP="00CA25CF">
            <w:pPr>
              <w:rPr>
                <w:rFonts w:cs="Arial"/>
                <w:color w:val="FF0000"/>
                <w:sz w:val="21"/>
                <w:szCs w:val="21"/>
              </w:rPr>
            </w:pPr>
          </w:p>
        </w:tc>
        <w:tc>
          <w:tcPr>
            <w:tcW w:w="217" w:type="dxa"/>
          </w:tcPr>
          <w:p w14:paraId="0AD2DB2F" w14:textId="77777777" w:rsidR="002C0FD9" w:rsidRPr="00CA25CF" w:rsidRDefault="002C0FD9" w:rsidP="00CA25CF">
            <w:pPr>
              <w:rPr>
                <w:rFonts w:cs="Arial"/>
                <w:color w:val="FF0000"/>
                <w:sz w:val="21"/>
                <w:szCs w:val="21"/>
              </w:rPr>
            </w:pPr>
          </w:p>
        </w:tc>
        <w:tc>
          <w:tcPr>
            <w:tcW w:w="217" w:type="dxa"/>
          </w:tcPr>
          <w:p w14:paraId="562F62FA" w14:textId="77777777" w:rsidR="002C0FD9" w:rsidRPr="00CA25CF" w:rsidRDefault="002C0FD9" w:rsidP="00CA25CF">
            <w:pPr>
              <w:rPr>
                <w:rFonts w:cs="Arial"/>
                <w:color w:val="FF0000"/>
                <w:sz w:val="21"/>
                <w:szCs w:val="21"/>
              </w:rPr>
            </w:pPr>
          </w:p>
        </w:tc>
        <w:tc>
          <w:tcPr>
            <w:tcW w:w="217" w:type="dxa"/>
          </w:tcPr>
          <w:p w14:paraId="72F506E8" w14:textId="77777777" w:rsidR="002C0FD9" w:rsidRPr="00CA25CF" w:rsidRDefault="002C0FD9" w:rsidP="00CA25CF">
            <w:pPr>
              <w:rPr>
                <w:rFonts w:cs="Arial"/>
                <w:color w:val="FF0000"/>
                <w:sz w:val="21"/>
                <w:szCs w:val="21"/>
              </w:rPr>
            </w:pPr>
          </w:p>
        </w:tc>
        <w:tc>
          <w:tcPr>
            <w:tcW w:w="217" w:type="dxa"/>
          </w:tcPr>
          <w:p w14:paraId="3D16D650" w14:textId="77777777" w:rsidR="002C0FD9" w:rsidRPr="00CA25CF" w:rsidRDefault="002C0FD9" w:rsidP="00CA25CF">
            <w:pPr>
              <w:rPr>
                <w:rFonts w:cs="Arial"/>
                <w:color w:val="FF0000"/>
                <w:sz w:val="21"/>
                <w:szCs w:val="21"/>
              </w:rPr>
            </w:pPr>
          </w:p>
        </w:tc>
        <w:tc>
          <w:tcPr>
            <w:tcW w:w="217" w:type="dxa"/>
          </w:tcPr>
          <w:p w14:paraId="3028816C" w14:textId="77777777" w:rsidR="002C0FD9" w:rsidRPr="00CA25CF" w:rsidRDefault="002C0FD9" w:rsidP="00CA25CF">
            <w:pPr>
              <w:rPr>
                <w:rFonts w:cs="Arial"/>
                <w:color w:val="FF0000"/>
                <w:sz w:val="21"/>
                <w:szCs w:val="21"/>
              </w:rPr>
            </w:pPr>
          </w:p>
        </w:tc>
        <w:tc>
          <w:tcPr>
            <w:tcW w:w="217" w:type="dxa"/>
          </w:tcPr>
          <w:p w14:paraId="41A59CC1" w14:textId="77777777" w:rsidR="002C0FD9" w:rsidRPr="00CA25CF" w:rsidRDefault="002C0FD9" w:rsidP="00CA25CF">
            <w:pPr>
              <w:rPr>
                <w:rFonts w:cs="Arial"/>
                <w:color w:val="FF0000"/>
                <w:sz w:val="21"/>
                <w:szCs w:val="21"/>
              </w:rPr>
            </w:pPr>
          </w:p>
        </w:tc>
        <w:tc>
          <w:tcPr>
            <w:tcW w:w="217" w:type="dxa"/>
          </w:tcPr>
          <w:p w14:paraId="097B7028" w14:textId="77777777" w:rsidR="002C0FD9" w:rsidRPr="00CA25CF" w:rsidRDefault="002C0FD9" w:rsidP="00CA25CF">
            <w:pPr>
              <w:rPr>
                <w:rFonts w:cs="Arial"/>
                <w:color w:val="FF0000"/>
                <w:sz w:val="21"/>
                <w:szCs w:val="21"/>
              </w:rPr>
            </w:pPr>
          </w:p>
        </w:tc>
        <w:tc>
          <w:tcPr>
            <w:tcW w:w="217" w:type="dxa"/>
          </w:tcPr>
          <w:p w14:paraId="5F8A726A" w14:textId="77777777" w:rsidR="002C0FD9" w:rsidRPr="00CA25CF" w:rsidRDefault="002C0FD9" w:rsidP="00CA25CF">
            <w:pPr>
              <w:rPr>
                <w:rFonts w:cs="Arial"/>
                <w:color w:val="FF0000"/>
                <w:sz w:val="21"/>
                <w:szCs w:val="21"/>
              </w:rPr>
            </w:pPr>
          </w:p>
        </w:tc>
        <w:tc>
          <w:tcPr>
            <w:tcW w:w="217" w:type="dxa"/>
          </w:tcPr>
          <w:p w14:paraId="5D543C13" w14:textId="77777777" w:rsidR="002C0FD9" w:rsidRPr="00CA25CF" w:rsidRDefault="002C0FD9" w:rsidP="00CA25CF">
            <w:pPr>
              <w:rPr>
                <w:rFonts w:cs="Arial"/>
                <w:color w:val="FF0000"/>
                <w:sz w:val="21"/>
                <w:szCs w:val="21"/>
              </w:rPr>
            </w:pPr>
          </w:p>
        </w:tc>
        <w:tc>
          <w:tcPr>
            <w:tcW w:w="217" w:type="dxa"/>
          </w:tcPr>
          <w:p w14:paraId="03919081" w14:textId="77777777" w:rsidR="002C0FD9" w:rsidRPr="00CA25CF" w:rsidRDefault="002C0FD9" w:rsidP="00CA25CF">
            <w:pPr>
              <w:rPr>
                <w:rFonts w:cs="Arial"/>
                <w:color w:val="FF0000"/>
                <w:sz w:val="21"/>
                <w:szCs w:val="21"/>
              </w:rPr>
            </w:pPr>
          </w:p>
        </w:tc>
        <w:tc>
          <w:tcPr>
            <w:tcW w:w="217" w:type="dxa"/>
          </w:tcPr>
          <w:p w14:paraId="0261520D" w14:textId="77777777" w:rsidR="002C0FD9" w:rsidRPr="00CA25CF" w:rsidRDefault="002C0FD9" w:rsidP="00CA25CF">
            <w:pPr>
              <w:rPr>
                <w:rFonts w:cs="Arial"/>
                <w:color w:val="FF0000"/>
                <w:sz w:val="21"/>
                <w:szCs w:val="21"/>
              </w:rPr>
            </w:pPr>
          </w:p>
        </w:tc>
        <w:tc>
          <w:tcPr>
            <w:tcW w:w="217" w:type="dxa"/>
          </w:tcPr>
          <w:p w14:paraId="6A955E23" w14:textId="77777777" w:rsidR="002C0FD9" w:rsidRPr="00CA25CF" w:rsidRDefault="002C0FD9" w:rsidP="00CA25CF">
            <w:pPr>
              <w:rPr>
                <w:rFonts w:cs="Arial"/>
                <w:color w:val="FF0000"/>
                <w:sz w:val="21"/>
                <w:szCs w:val="21"/>
              </w:rPr>
            </w:pPr>
          </w:p>
        </w:tc>
        <w:tc>
          <w:tcPr>
            <w:tcW w:w="217" w:type="dxa"/>
          </w:tcPr>
          <w:p w14:paraId="7F49655E" w14:textId="77777777" w:rsidR="002C0FD9" w:rsidRPr="00CA25CF" w:rsidRDefault="002C0FD9" w:rsidP="00CA25CF">
            <w:pPr>
              <w:rPr>
                <w:rFonts w:cs="Arial"/>
                <w:color w:val="FF0000"/>
                <w:sz w:val="21"/>
                <w:szCs w:val="21"/>
              </w:rPr>
            </w:pPr>
          </w:p>
        </w:tc>
        <w:tc>
          <w:tcPr>
            <w:tcW w:w="217" w:type="dxa"/>
          </w:tcPr>
          <w:p w14:paraId="3DC2B345" w14:textId="77777777" w:rsidR="002C0FD9" w:rsidRPr="00CA25CF" w:rsidRDefault="002C0FD9" w:rsidP="00CA25CF">
            <w:pPr>
              <w:rPr>
                <w:rFonts w:cs="Arial"/>
                <w:color w:val="FF0000"/>
                <w:sz w:val="21"/>
                <w:szCs w:val="21"/>
              </w:rPr>
            </w:pPr>
          </w:p>
        </w:tc>
        <w:tc>
          <w:tcPr>
            <w:tcW w:w="217" w:type="dxa"/>
          </w:tcPr>
          <w:p w14:paraId="71643C19" w14:textId="77777777" w:rsidR="002C0FD9" w:rsidRPr="00CA25CF" w:rsidRDefault="002C0FD9" w:rsidP="00CA25CF">
            <w:pPr>
              <w:rPr>
                <w:rFonts w:cs="Arial"/>
                <w:color w:val="FF0000"/>
                <w:sz w:val="21"/>
                <w:szCs w:val="21"/>
              </w:rPr>
            </w:pPr>
          </w:p>
        </w:tc>
        <w:tc>
          <w:tcPr>
            <w:tcW w:w="217" w:type="dxa"/>
          </w:tcPr>
          <w:p w14:paraId="2D6289B6" w14:textId="77777777" w:rsidR="002C0FD9" w:rsidRPr="00CA25CF" w:rsidRDefault="002C0FD9" w:rsidP="00CA25CF">
            <w:pPr>
              <w:rPr>
                <w:rFonts w:cs="Arial"/>
                <w:color w:val="FF0000"/>
                <w:sz w:val="21"/>
                <w:szCs w:val="21"/>
              </w:rPr>
            </w:pPr>
          </w:p>
        </w:tc>
        <w:tc>
          <w:tcPr>
            <w:tcW w:w="217" w:type="dxa"/>
          </w:tcPr>
          <w:p w14:paraId="3849E3E8" w14:textId="77777777" w:rsidR="002C0FD9" w:rsidRPr="00CA25CF" w:rsidRDefault="002C0FD9" w:rsidP="00CA25CF">
            <w:pPr>
              <w:rPr>
                <w:rFonts w:cs="Arial"/>
                <w:color w:val="FF0000"/>
                <w:sz w:val="21"/>
                <w:szCs w:val="21"/>
              </w:rPr>
            </w:pPr>
          </w:p>
        </w:tc>
        <w:tc>
          <w:tcPr>
            <w:tcW w:w="217" w:type="dxa"/>
          </w:tcPr>
          <w:p w14:paraId="05B91E7D" w14:textId="77777777" w:rsidR="002C0FD9" w:rsidRPr="00CA25CF" w:rsidRDefault="002C0FD9" w:rsidP="00CA25CF">
            <w:pPr>
              <w:rPr>
                <w:rFonts w:cs="Arial"/>
                <w:color w:val="FF0000"/>
                <w:sz w:val="21"/>
                <w:szCs w:val="21"/>
              </w:rPr>
            </w:pPr>
          </w:p>
        </w:tc>
        <w:tc>
          <w:tcPr>
            <w:tcW w:w="217" w:type="dxa"/>
          </w:tcPr>
          <w:p w14:paraId="29D367C5" w14:textId="77777777" w:rsidR="002C0FD9" w:rsidRPr="00CA25CF" w:rsidRDefault="002C0FD9" w:rsidP="00CA25CF">
            <w:pPr>
              <w:rPr>
                <w:rFonts w:cs="Arial"/>
                <w:color w:val="FF0000"/>
                <w:sz w:val="21"/>
                <w:szCs w:val="21"/>
              </w:rPr>
            </w:pPr>
          </w:p>
        </w:tc>
        <w:tc>
          <w:tcPr>
            <w:tcW w:w="217" w:type="dxa"/>
          </w:tcPr>
          <w:p w14:paraId="2E40B98C" w14:textId="77777777" w:rsidR="002C0FD9" w:rsidRPr="00CA25CF" w:rsidRDefault="002C0FD9" w:rsidP="00CA25CF">
            <w:pPr>
              <w:rPr>
                <w:rFonts w:cs="Arial"/>
                <w:color w:val="FF0000"/>
                <w:sz w:val="21"/>
                <w:szCs w:val="21"/>
              </w:rPr>
            </w:pPr>
          </w:p>
        </w:tc>
        <w:tc>
          <w:tcPr>
            <w:tcW w:w="217" w:type="dxa"/>
          </w:tcPr>
          <w:p w14:paraId="041B068E" w14:textId="77777777" w:rsidR="002C0FD9" w:rsidRPr="00CA25CF" w:rsidRDefault="002C0FD9" w:rsidP="00CA25CF">
            <w:pPr>
              <w:rPr>
                <w:rFonts w:cs="Arial"/>
                <w:color w:val="FF0000"/>
                <w:sz w:val="21"/>
                <w:szCs w:val="21"/>
              </w:rPr>
            </w:pPr>
          </w:p>
        </w:tc>
        <w:tc>
          <w:tcPr>
            <w:tcW w:w="217" w:type="dxa"/>
          </w:tcPr>
          <w:p w14:paraId="1BD72F22" w14:textId="77777777" w:rsidR="002C0FD9" w:rsidRPr="00CA25CF" w:rsidRDefault="002C0FD9" w:rsidP="00CA25CF">
            <w:pPr>
              <w:rPr>
                <w:rFonts w:cs="Arial"/>
                <w:color w:val="FF0000"/>
                <w:sz w:val="21"/>
                <w:szCs w:val="21"/>
              </w:rPr>
            </w:pPr>
          </w:p>
        </w:tc>
        <w:tc>
          <w:tcPr>
            <w:tcW w:w="217" w:type="dxa"/>
          </w:tcPr>
          <w:p w14:paraId="2937F203" w14:textId="77777777" w:rsidR="002C0FD9" w:rsidRPr="00CA25CF" w:rsidRDefault="002C0FD9" w:rsidP="00CA25CF">
            <w:pPr>
              <w:rPr>
                <w:rFonts w:cs="Arial"/>
                <w:color w:val="FF0000"/>
                <w:sz w:val="21"/>
                <w:szCs w:val="21"/>
              </w:rPr>
            </w:pPr>
          </w:p>
        </w:tc>
        <w:tc>
          <w:tcPr>
            <w:tcW w:w="217" w:type="dxa"/>
          </w:tcPr>
          <w:p w14:paraId="624C1B94" w14:textId="77777777" w:rsidR="002C0FD9" w:rsidRPr="00CA25CF" w:rsidRDefault="002C0FD9" w:rsidP="00CA25CF">
            <w:pPr>
              <w:rPr>
                <w:rFonts w:cs="Arial"/>
                <w:color w:val="FF0000"/>
                <w:sz w:val="21"/>
                <w:szCs w:val="21"/>
              </w:rPr>
            </w:pPr>
          </w:p>
        </w:tc>
        <w:tc>
          <w:tcPr>
            <w:tcW w:w="217" w:type="dxa"/>
          </w:tcPr>
          <w:p w14:paraId="1CCAE957" w14:textId="77777777" w:rsidR="002C0FD9" w:rsidRPr="00CA25CF" w:rsidRDefault="002C0FD9" w:rsidP="00CA25CF">
            <w:pPr>
              <w:rPr>
                <w:rFonts w:cs="Arial"/>
                <w:color w:val="FF0000"/>
                <w:sz w:val="21"/>
                <w:szCs w:val="21"/>
              </w:rPr>
            </w:pPr>
          </w:p>
        </w:tc>
        <w:tc>
          <w:tcPr>
            <w:tcW w:w="217" w:type="dxa"/>
          </w:tcPr>
          <w:p w14:paraId="2F6669A6" w14:textId="77777777" w:rsidR="002C0FD9" w:rsidRPr="00CA25CF" w:rsidRDefault="002C0FD9" w:rsidP="00CA25CF">
            <w:pPr>
              <w:rPr>
                <w:rFonts w:cs="Arial"/>
                <w:color w:val="FF0000"/>
                <w:sz w:val="21"/>
                <w:szCs w:val="21"/>
              </w:rPr>
            </w:pPr>
          </w:p>
        </w:tc>
      </w:tr>
      <w:tr w:rsidR="002C0FD9" w:rsidRPr="00A16219" w14:paraId="5AE0DCB0" w14:textId="6038327D" w:rsidTr="002C0FD9">
        <w:trPr>
          <w:trHeight w:val="635"/>
        </w:trPr>
        <w:tc>
          <w:tcPr>
            <w:tcW w:w="515" w:type="dxa"/>
          </w:tcPr>
          <w:p w14:paraId="377575AC" w14:textId="77777777" w:rsidR="002C0FD9" w:rsidRPr="00CA25CF" w:rsidRDefault="002C0FD9" w:rsidP="00CA25CF">
            <w:pPr>
              <w:rPr>
                <w:rFonts w:cs="Arial"/>
                <w:color w:val="FF0000"/>
                <w:sz w:val="21"/>
                <w:szCs w:val="21"/>
              </w:rPr>
            </w:pPr>
          </w:p>
        </w:tc>
        <w:tc>
          <w:tcPr>
            <w:tcW w:w="217" w:type="dxa"/>
          </w:tcPr>
          <w:p w14:paraId="334E360D" w14:textId="77777777" w:rsidR="002C0FD9" w:rsidRPr="00CA25CF" w:rsidRDefault="002C0FD9" w:rsidP="00CA25CF">
            <w:pPr>
              <w:rPr>
                <w:rFonts w:cs="Arial"/>
                <w:color w:val="FF0000"/>
                <w:sz w:val="21"/>
                <w:szCs w:val="21"/>
              </w:rPr>
            </w:pPr>
          </w:p>
        </w:tc>
        <w:tc>
          <w:tcPr>
            <w:tcW w:w="217" w:type="dxa"/>
          </w:tcPr>
          <w:p w14:paraId="30302765" w14:textId="6040DC3F" w:rsidR="002C0FD9" w:rsidRPr="00CA25CF" w:rsidRDefault="002C0FD9" w:rsidP="00CA25CF">
            <w:pPr>
              <w:rPr>
                <w:rFonts w:cs="Arial"/>
                <w:color w:val="FF0000"/>
                <w:sz w:val="21"/>
                <w:szCs w:val="21"/>
              </w:rPr>
            </w:pPr>
          </w:p>
        </w:tc>
        <w:tc>
          <w:tcPr>
            <w:tcW w:w="217" w:type="dxa"/>
          </w:tcPr>
          <w:p w14:paraId="42641459" w14:textId="77777777" w:rsidR="002C0FD9" w:rsidRPr="00CA25CF" w:rsidRDefault="002C0FD9" w:rsidP="00CA25CF">
            <w:pPr>
              <w:rPr>
                <w:rFonts w:cs="Arial"/>
                <w:color w:val="FF0000"/>
                <w:sz w:val="21"/>
                <w:szCs w:val="21"/>
              </w:rPr>
            </w:pPr>
          </w:p>
        </w:tc>
        <w:tc>
          <w:tcPr>
            <w:tcW w:w="217" w:type="dxa"/>
          </w:tcPr>
          <w:p w14:paraId="146D7F30" w14:textId="77777777" w:rsidR="002C0FD9" w:rsidRPr="00CA25CF" w:rsidRDefault="002C0FD9" w:rsidP="00CA25CF">
            <w:pPr>
              <w:rPr>
                <w:rFonts w:cs="Arial"/>
                <w:color w:val="FF0000"/>
                <w:sz w:val="21"/>
                <w:szCs w:val="21"/>
              </w:rPr>
            </w:pPr>
          </w:p>
        </w:tc>
        <w:tc>
          <w:tcPr>
            <w:tcW w:w="217" w:type="dxa"/>
          </w:tcPr>
          <w:p w14:paraId="47B51AA5" w14:textId="77777777" w:rsidR="002C0FD9" w:rsidRPr="00CA25CF" w:rsidRDefault="002C0FD9" w:rsidP="00CA25CF">
            <w:pPr>
              <w:rPr>
                <w:rFonts w:cs="Arial"/>
                <w:color w:val="FF0000"/>
                <w:sz w:val="21"/>
                <w:szCs w:val="21"/>
              </w:rPr>
            </w:pPr>
          </w:p>
        </w:tc>
        <w:tc>
          <w:tcPr>
            <w:tcW w:w="217" w:type="dxa"/>
          </w:tcPr>
          <w:p w14:paraId="09CC0D5A" w14:textId="77777777" w:rsidR="002C0FD9" w:rsidRPr="00CA25CF" w:rsidRDefault="002C0FD9" w:rsidP="00CA25CF">
            <w:pPr>
              <w:rPr>
                <w:rFonts w:cs="Arial"/>
                <w:color w:val="FF0000"/>
                <w:sz w:val="21"/>
                <w:szCs w:val="21"/>
              </w:rPr>
            </w:pPr>
          </w:p>
        </w:tc>
        <w:tc>
          <w:tcPr>
            <w:tcW w:w="217" w:type="dxa"/>
          </w:tcPr>
          <w:p w14:paraId="7428EE43" w14:textId="77777777" w:rsidR="002C0FD9" w:rsidRPr="00CA25CF" w:rsidRDefault="002C0FD9" w:rsidP="00CA25CF">
            <w:pPr>
              <w:rPr>
                <w:rFonts w:cs="Arial"/>
                <w:color w:val="FF0000"/>
                <w:sz w:val="21"/>
                <w:szCs w:val="21"/>
              </w:rPr>
            </w:pPr>
          </w:p>
        </w:tc>
        <w:tc>
          <w:tcPr>
            <w:tcW w:w="217" w:type="dxa"/>
          </w:tcPr>
          <w:p w14:paraId="614985DC" w14:textId="77777777" w:rsidR="002C0FD9" w:rsidRPr="00CA25CF" w:rsidRDefault="002C0FD9" w:rsidP="00CA25CF">
            <w:pPr>
              <w:rPr>
                <w:rFonts w:cs="Arial"/>
                <w:color w:val="FF0000"/>
                <w:sz w:val="21"/>
                <w:szCs w:val="21"/>
              </w:rPr>
            </w:pPr>
          </w:p>
        </w:tc>
        <w:tc>
          <w:tcPr>
            <w:tcW w:w="217" w:type="dxa"/>
          </w:tcPr>
          <w:p w14:paraId="5CA13CFC" w14:textId="77777777" w:rsidR="002C0FD9" w:rsidRPr="00CA25CF" w:rsidRDefault="002C0FD9" w:rsidP="00CA25CF">
            <w:pPr>
              <w:rPr>
                <w:rFonts w:cs="Arial"/>
                <w:color w:val="FF0000"/>
                <w:sz w:val="21"/>
                <w:szCs w:val="21"/>
              </w:rPr>
            </w:pPr>
          </w:p>
        </w:tc>
        <w:tc>
          <w:tcPr>
            <w:tcW w:w="217" w:type="dxa"/>
          </w:tcPr>
          <w:p w14:paraId="30AD7740" w14:textId="77777777" w:rsidR="002C0FD9" w:rsidRPr="00CA25CF" w:rsidRDefault="002C0FD9" w:rsidP="00CA25CF">
            <w:pPr>
              <w:rPr>
                <w:rFonts w:cs="Arial"/>
                <w:color w:val="FF0000"/>
                <w:sz w:val="21"/>
                <w:szCs w:val="21"/>
              </w:rPr>
            </w:pPr>
          </w:p>
        </w:tc>
        <w:tc>
          <w:tcPr>
            <w:tcW w:w="217" w:type="dxa"/>
          </w:tcPr>
          <w:p w14:paraId="09C494B7" w14:textId="77777777" w:rsidR="002C0FD9" w:rsidRPr="00CA25CF" w:rsidRDefault="002C0FD9" w:rsidP="00CA25CF">
            <w:pPr>
              <w:rPr>
                <w:rFonts w:cs="Arial"/>
                <w:color w:val="FF0000"/>
                <w:sz w:val="21"/>
                <w:szCs w:val="21"/>
              </w:rPr>
            </w:pPr>
          </w:p>
        </w:tc>
        <w:tc>
          <w:tcPr>
            <w:tcW w:w="217" w:type="dxa"/>
          </w:tcPr>
          <w:p w14:paraId="5589E860" w14:textId="77777777" w:rsidR="002C0FD9" w:rsidRPr="00CA25CF" w:rsidRDefault="002C0FD9" w:rsidP="00CA25CF">
            <w:pPr>
              <w:rPr>
                <w:rFonts w:cs="Arial"/>
                <w:color w:val="FF0000"/>
                <w:sz w:val="21"/>
                <w:szCs w:val="21"/>
              </w:rPr>
            </w:pPr>
          </w:p>
        </w:tc>
        <w:tc>
          <w:tcPr>
            <w:tcW w:w="217" w:type="dxa"/>
          </w:tcPr>
          <w:p w14:paraId="26A4980C" w14:textId="77777777" w:rsidR="002C0FD9" w:rsidRPr="00CA25CF" w:rsidRDefault="002C0FD9" w:rsidP="00CA25CF">
            <w:pPr>
              <w:rPr>
                <w:rFonts w:cs="Arial"/>
                <w:color w:val="FF0000"/>
                <w:sz w:val="21"/>
                <w:szCs w:val="21"/>
              </w:rPr>
            </w:pPr>
          </w:p>
        </w:tc>
        <w:tc>
          <w:tcPr>
            <w:tcW w:w="217" w:type="dxa"/>
          </w:tcPr>
          <w:p w14:paraId="1369D0CA" w14:textId="77777777" w:rsidR="002C0FD9" w:rsidRPr="00CA25CF" w:rsidRDefault="002C0FD9" w:rsidP="00CA25CF">
            <w:pPr>
              <w:rPr>
                <w:rFonts w:cs="Arial"/>
                <w:color w:val="FF0000"/>
                <w:sz w:val="21"/>
                <w:szCs w:val="21"/>
              </w:rPr>
            </w:pPr>
          </w:p>
        </w:tc>
        <w:tc>
          <w:tcPr>
            <w:tcW w:w="217" w:type="dxa"/>
          </w:tcPr>
          <w:p w14:paraId="5D7B9359" w14:textId="77777777" w:rsidR="002C0FD9" w:rsidRPr="00CA25CF" w:rsidRDefault="002C0FD9" w:rsidP="00CA25CF">
            <w:pPr>
              <w:rPr>
                <w:rFonts w:cs="Arial"/>
                <w:color w:val="FF0000"/>
                <w:sz w:val="21"/>
                <w:szCs w:val="21"/>
              </w:rPr>
            </w:pPr>
          </w:p>
        </w:tc>
        <w:tc>
          <w:tcPr>
            <w:tcW w:w="217" w:type="dxa"/>
          </w:tcPr>
          <w:p w14:paraId="68D09F7C" w14:textId="77777777" w:rsidR="002C0FD9" w:rsidRPr="00CA25CF" w:rsidRDefault="002C0FD9" w:rsidP="00CA25CF">
            <w:pPr>
              <w:rPr>
                <w:rFonts w:cs="Arial"/>
                <w:color w:val="FF0000"/>
                <w:sz w:val="21"/>
                <w:szCs w:val="21"/>
              </w:rPr>
            </w:pPr>
          </w:p>
        </w:tc>
        <w:tc>
          <w:tcPr>
            <w:tcW w:w="217" w:type="dxa"/>
          </w:tcPr>
          <w:p w14:paraId="2683564E" w14:textId="77777777" w:rsidR="002C0FD9" w:rsidRPr="00CA25CF" w:rsidRDefault="002C0FD9" w:rsidP="00CA25CF">
            <w:pPr>
              <w:rPr>
                <w:rFonts w:cs="Arial"/>
                <w:color w:val="FF0000"/>
                <w:sz w:val="21"/>
                <w:szCs w:val="21"/>
              </w:rPr>
            </w:pPr>
          </w:p>
        </w:tc>
        <w:tc>
          <w:tcPr>
            <w:tcW w:w="217" w:type="dxa"/>
          </w:tcPr>
          <w:p w14:paraId="1792A449" w14:textId="77777777" w:rsidR="002C0FD9" w:rsidRPr="00CA25CF" w:rsidRDefault="002C0FD9" w:rsidP="00CA25CF">
            <w:pPr>
              <w:rPr>
                <w:rFonts w:cs="Arial"/>
                <w:color w:val="FF0000"/>
                <w:sz w:val="21"/>
                <w:szCs w:val="21"/>
              </w:rPr>
            </w:pPr>
          </w:p>
        </w:tc>
        <w:tc>
          <w:tcPr>
            <w:tcW w:w="217" w:type="dxa"/>
          </w:tcPr>
          <w:p w14:paraId="6FB555F7" w14:textId="77777777" w:rsidR="002C0FD9" w:rsidRPr="00CA25CF" w:rsidRDefault="002C0FD9" w:rsidP="00CA25CF">
            <w:pPr>
              <w:rPr>
                <w:rFonts w:cs="Arial"/>
                <w:color w:val="FF0000"/>
                <w:sz w:val="21"/>
                <w:szCs w:val="21"/>
              </w:rPr>
            </w:pPr>
          </w:p>
        </w:tc>
        <w:tc>
          <w:tcPr>
            <w:tcW w:w="217" w:type="dxa"/>
          </w:tcPr>
          <w:p w14:paraId="1AAFCF95" w14:textId="77777777" w:rsidR="002C0FD9" w:rsidRPr="00CA25CF" w:rsidRDefault="002C0FD9" w:rsidP="00CA25CF">
            <w:pPr>
              <w:rPr>
                <w:rFonts w:cs="Arial"/>
                <w:color w:val="FF0000"/>
                <w:sz w:val="21"/>
                <w:szCs w:val="21"/>
              </w:rPr>
            </w:pPr>
          </w:p>
        </w:tc>
        <w:tc>
          <w:tcPr>
            <w:tcW w:w="217" w:type="dxa"/>
          </w:tcPr>
          <w:p w14:paraId="65BB3B5A" w14:textId="77777777" w:rsidR="002C0FD9" w:rsidRPr="00CA25CF" w:rsidRDefault="002C0FD9" w:rsidP="00CA25CF">
            <w:pPr>
              <w:rPr>
                <w:rFonts w:cs="Arial"/>
                <w:color w:val="FF0000"/>
                <w:sz w:val="21"/>
                <w:szCs w:val="21"/>
              </w:rPr>
            </w:pPr>
          </w:p>
        </w:tc>
        <w:tc>
          <w:tcPr>
            <w:tcW w:w="217" w:type="dxa"/>
          </w:tcPr>
          <w:p w14:paraId="66F5CD1C" w14:textId="77777777" w:rsidR="002C0FD9" w:rsidRPr="00CA25CF" w:rsidRDefault="002C0FD9" w:rsidP="00CA25CF">
            <w:pPr>
              <w:rPr>
                <w:rFonts w:cs="Arial"/>
                <w:color w:val="FF0000"/>
                <w:sz w:val="21"/>
                <w:szCs w:val="21"/>
              </w:rPr>
            </w:pPr>
          </w:p>
        </w:tc>
        <w:tc>
          <w:tcPr>
            <w:tcW w:w="217" w:type="dxa"/>
          </w:tcPr>
          <w:p w14:paraId="7ECA93FE" w14:textId="77777777" w:rsidR="002C0FD9" w:rsidRPr="00CA25CF" w:rsidRDefault="002C0FD9" w:rsidP="00CA25CF">
            <w:pPr>
              <w:rPr>
                <w:rFonts w:cs="Arial"/>
                <w:color w:val="FF0000"/>
                <w:sz w:val="21"/>
                <w:szCs w:val="21"/>
              </w:rPr>
            </w:pPr>
          </w:p>
        </w:tc>
        <w:tc>
          <w:tcPr>
            <w:tcW w:w="217" w:type="dxa"/>
          </w:tcPr>
          <w:p w14:paraId="3C9C7BE6" w14:textId="77777777" w:rsidR="002C0FD9" w:rsidRPr="00CA25CF" w:rsidRDefault="002C0FD9" w:rsidP="00CA25CF">
            <w:pPr>
              <w:rPr>
                <w:rFonts w:cs="Arial"/>
                <w:color w:val="FF0000"/>
                <w:sz w:val="21"/>
                <w:szCs w:val="21"/>
              </w:rPr>
            </w:pPr>
          </w:p>
        </w:tc>
        <w:tc>
          <w:tcPr>
            <w:tcW w:w="217" w:type="dxa"/>
          </w:tcPr>
          <w:p w14:paraId="5A49ED5C" w14:textId="77777777" w:rsidR="002C0FD9" w:rsidRPr="00CA25CF" w:rsidRDefault="002C0FD9" w:rsidP="00CA25CF">
            <w:pPr>
              <w:rPr>
                <w:rFonts w:cs="Arial"/>
                <w:color w:val="FF0000"/>
                <w:sz w:val="21"/>
                <w:szCs w:val="21"/>
              </w:rPr>
            </w:pPr>
          </w:p>
        </w:tc>
        <w:tc>
          <w:tcPr>
            <w:tcW w:w="217" w:type="dxa"/>
          </w:tcPr>
          <w:p w14:paraId="6123D536" w14:textId="77777777" w:rsidR="002C0FD9" w:rsidRPr="00CA25CF" w:rsidRDefault="002C0FD9" w:rsidP="00CA25CF">
            <w:pPr>
              <w:rPr>
                <w:rFonts w:cs="Arial"/>
                <w:color w:val="FF0000"/>
                <w:sz w:val="21"/>
                <w:szCs w:val="21"/>
              </w:rPr>
            </w:pPr>
          </w:p>
        </w:tc>
        <w:tc>
          <w:tcPr>
            <w:tcW w:w="217" w:type="dxa"/>
          </w:tcPr>
          <w:p w14:paraId="36B75CF2" w14:textId="77777777" w:rsidR="002C0FD9" w:rsidRPr="00CA25CF" w:rsidRDefault="002C0FD9" w:rsidP="00CA25CF">
            <w:pPr>
              <w:rPr>
                <w:rFonts w:cs="Arial"/>
                <w:color w:val="FF0000"/>
                <w:sz w:val="21"/>
                <w:szCs w:val="21"/>
              </w:rPr>
            </w:pPr>
          </w:p>
        </w:tc>
        <w:tc>
          <w:tcPr>
            <w:tcW w:w="217" w:type="dxa"/>
          </w:tcPr>
          <w:p w14:paraId="33759212" w14:textId="77777777" w:rsidR="002C0FD9" w:rsidRPr="00CA25CF" w:rsidRDefault="002C0FD9" w:rsidP="00CA25CF">
            <w:pPr>
              <w:rPr>
                <w:rFonts w:cs="Arial"/>
                <w:color w:val="FF0000"/>
                <w:sz w:val="21"/>
                <w:szCs w:val="21"/>
              </w:rPr>
            </w:pPr>
          </w:p>
        </w:tc>
        <w:tc>
          <w:tcPr>
            <w:tcW w:w="217" w:type="dxa"/>
          </w:tcPr>
          <w:p w14:paraId="4071946E" w14:textId="77777777" w:rsidR="002C0FD9" w:rsidRPr="00CA25CF" w:rsidRDefault="002C0FD9" w:rsidP="00CA25CF">
            <w:pPr>
              <w:rPr>
                <w:rFonts w:cs="Arial"/>
                <w:color w:val="FF0000"/>
                <w:sz w:val="21"/>
                <w:szCs w:val="21"/>
              </w:rPr>
            </w:pPr>
          </w:p>
        </w:tc>
        <w:tc>
          <w:tcPr>
            <w:tcW w:w="217" w:type="dxa"/>
          </w:tcPr>
          <w:p w14:paraId="60581C45" w14:textId="77777777" w:rsidR="002C0FD9" w:rsidRPr="00CA25CF" w:rsidRDefault="002C0FD9" w:rsidP="00CA25CF">
            <w:pPr>
              <w:rPr>
                <w:rFonts w:cs="Arial"/>
                <w:color w:val="FF0000"/>
                <w:sz w:val="21"/>
                <w:szCs w:val="21"/>
              </w:rPr>
            </w:pPr>
          </w:p>
        </w:tc>
        <w:tc>
          <w:tcPr>
            <w:tcW w:w="217" w:type="dxa"/>
          </w:tcPr>
          <w:p w14:paraId="2F417AE1" w14:textId="77777777" w:rsidR="002C0FD9" w:rsidRPr="00CA25CF" w:rsidRDefault="002C0FD9" w:rsidP="00CA25CF">
            <w:pPr>
              <w:rPr>
                <w:rFonts w:cs="Arial"/>
                <w:color w:val="FF0000"/>
                <w:sz w:val="21"/>
                <w:szCs w:val="21"/>
              </w:rPr>
            </w:pPr>
          </w:p>
        </w:tc>
        <w:tc>
          <w:tcPr>
            <w:tcW w:w="217" w:type="dxa"/>
          </w:tcPr>
          <w:p w14:paraId="7E13CE38" w14:textId="77777777" w:rsidR="002C0FD9" w:rsidRPr="00CA25CF" w:rsidRDefault="002C0FD9" w:rsidP="00CA25CF">
            <w:pPr>
              <w:rPr>
                <w:rFonts w:cs="Arial"/>
                <w:color w:val="FF0000"/>
                <w:sz w:val="21"/>
                <w:szCs w:val="21"/>
              </w:rPr>
            </w:pPr>
          </w:p>
        </w:tc>
        <w:tc>
          <w:tcPr>
            <w:tcW w:w="217" w:type="dxa"/>
          </w:tcPr>
          <w:p w14:paraId="58DB3B4B" w14:textId="77777777" w:rsidR="002C0FD9" w:rsidRPr="00CA25CF" w:rsidRDefault="002C0FD9" w:rsidP="00CA25CF">
            <w:pPr>
              <w:rPr>
                <w:rFonts w:cs="Arial"/>
                <w:color w:val="FF0000"/>
                <w:sz w:val="21"/>
                <w:szCs w:val="21"/>
              </w:rPr>
            </w:pPr>
          </w:p>
        </w:tc>
        <w:tc>
          <w:tcPr>
            <w:tcW w:w="217" w:type="dxa"/>
          </w:tcPr>
          <w:p w14:paraId="6D7E9D4F" w14:textId="77777777" w:rsidR="002C0FD9" w:rsidRPr="00CA25CF" w:rsidRDefault="002C0FD9" w:rsidP="00CA25CF">
            <w:pPr>
              <w:rPr>
                <w:rFonts w:cs="Arial"/>
                <w:color w:val="FF0000"/>
                <w:sz w:val="21"/>
                <w:szCs w:val="21"/>
              </w:rPr>
            </w:pPr>
          </w:p>
        </w:tc>
        <w:tc>
          <w:tcPr>
            <w:tcW w:w="217" w:type="dxa"/>
          </w:tcPr>
          <w:p w14:paraId="2D65E393" w14:textId="77777777" w:rsidR="002C0FD9" w:rsidRPr="00CA25CF" w:rsidRDefault="002C0FD9" w:rsidP="00CA25CF">
            <w:pPr>
              <w:rPr>
                <w:rFonts w:cs="Arial"/>
                <w:color w:val="FF0000"/>
                <w:sz w:val="21"/>
                <w:szCs w:val="21"/>
              </w:rPr>
            </w:pPr>
          </w:p>
        </w:tc>
        <w:tc>
          <w:tcPr>
            <w:tcW w:w="217" w:type="dxa"/>
          </w:tcPr>
          <w:p w14:paraId="38D84C41" w14:textId="77777777" w:rsidR="002C0FD9" w:rsidRPr="00CA25CF" w:rsidRDefault="002C0FD9" w:rsidP="00CA25CF">
            <w:pPr>
              <w:rPr>
                <w:rFonts w:cs="Arial"/>
                <w:color w:val="FF0000"/>
                <w:sz w:val="21"/>
                <w:szCs w:val="21"/>
              </w:rPr>
            </w:pPr>
          </w:p>
        </w:tc>
        <w:tc>
          <w:tcPr>
            <w:tcW w:w="217" w:type="dxa"/>
          </w:tcPr>
          <w:p w14:paraId="5CF228E3" w14:textId="77777777" w:rsidR="002C0FD9" w:rsidRPr="00CA25CF" w:rsidRDefault="002C0FD9" w:rsidP="00CA25CF">
            <w:pPr>
              <w:rPr>
                <w:rFonts w:cs="Arial"/>
                <w:color w:val="FF0000"/>
                <w:sz w:val="21"/>
                <w:szCs w:val="21"/>
              </w:rPr>
            </w:pPr>
          </w:p>
        </w:tc>
        <w:tc>
          <w:tcPr>
            <w:tcW w:w="217" w:type="dxa"/>
          </w:tcPr>
          <w:p w14:paraId="51176D0C" w14:textId="77777777" w:rsidR="002C0FD9" w:rsidRPr="00CA25CF" w:rsidRDefault="002C0FD9" w:rsidP="00CA25CF">
            <w:pPr>
              <w:rPr>
                <w:rFonts w:cs="Arial"/>
                <w:color w:val="FF0000"/>
                <w:sz w:val="21"/>
                <w:szCs w:val="21"/>
              </w:rPr>
            </w:pPr>
          </w:p>
        </w:tc>
        <w:tc>
          <w:tcPr>
            <w:tcW w:w="217" w:type="dxa"/>
          </w:tcPr>
          <w:p w14:paraId="0ABF445F" w14:textId="77777777" w:rsidR="002C0FD9" w:rsidRPr="00CA25CF" w:rsidRDefault="002C0FD9" w:rsidP="00CA25CF">
            <w:pPr>
              <w:rPr>
                <w:rFonts w:cs="Arial"/>
                <w:color w:val="FF0000"/>
                <w:sz w:val="21"/>
                <w:szCs w:val="21"/>
              </w:rPr>
            </w:pPr>
          </w:p>
        </w:tc>
        <w:tc>
          <w:tcPr>
            <w:tcW w:w="217" w:type="dxa"/>
          </w:tcPr>
          <w:p w14:paraId="66AEB046" w14:textId="77777777" w:rsidR="002C0FD9" w:rsidRPr="00CA25CF" w:rsidRDefault="002C0FD9" w:rsidP="00CA25CF">
            <w:pPr>
              <w:rPr>
                <w:rFonts w:cs="Arial"/>
                <w:color w:val="FF0000"/>
                <w:sz w:val="21"/>
                <w:szCs w:val="21"/>
              </w:rPr>
            </w:pPr>
          </w:p>
        </w:tc>
        <w:tc>
          <w:tcPr>
            <w:tcW w:w="217" w:type="dxa"/>
          </w:tcPr>
          <w:p w14:paraId="56AD5D5F" w14:textId="77777777" w:rsidR="002C0FD9" w:rsidRPr="00CA25CF" w:rsidRDefault="002C0FD9" w:rsidP="00CA25CF">
            <w:pPr>
              <w:rPr>
                <w:rFonts w:cs="Arial"/>
                <w:color w:val="FF0000"/>
                <w:sz w:val="21"/>
                <w:szCs w:val="21"/>
              </w:rPr>
            </w:pPr>
          </w:p>
        </w:tc>
        <w:tc>
          <w:tcPr>
            <w:tcW w:w="217" w:type="dxa"/>
          </w:tcPr>
          <w:p w14:paraId="53E3ED96" w14:textId="77777777" w:rsidR="002C0FD9" w:rsidRPr="00CA25CF" w:rsidRDefault="002C0FD9" w:rsidP="00CA25CF">
            <w:pPr>
              <w:rPr>
                <w:rFonts w:cs="Arial"/>
                <w:color w:val="FF0000"/>
                <w:sz w:val="21"/>
                <w:szCs w:val="21"/>
              </w:rPr>
            </w:pPr>
          </w:p>
        </w:tc>
      </w:tr>
      <w:tr w:rsidR="002C0FD9" w:rsidRPr="00A16219" w14:paraId="750B53CE" w14:textId="41F06EE2" w:rsidTr="002C0FD9">
        <w:trPr>
          <w:trHeight w:val="635"/>
        </w:trPr>
        <w:tc>
          <w:tcPr>
            <w:tcW w:w="515" w:type="dxa"/>
          </w:tcPr>
          <w:p w14:paraId="7F7F227A" w14:textId="77777777" w:rsidR="002C0FD9" w:rsidRPr="00CA25CF" w:rsidRDefault="002C0FD9" w:rsidP="00CA25CF">
            <w:pPr>
              <w:rPr>
                <w:rFonts w:cs="Arial"/>
                <w:color w:val="FF0000"/>
                <w:sz w:val="21"/>
                <w:szCs w:val="21"/>
              </w:rPr>
            </w:pPr>
          </w:p>
        </w:tc>
        <w:tc>
          <w:tcPr>
            <w:tcW w:w="217" w:type="dxa"/>
          </w:tcPr>
          <w:p w14:paraId="63CC404D" w14:textId="77777777" w:rsidR="002C0FD9" w:rsidRPr="00CA25CF" w:rsidRDefault="002C0FD9" w:rsidP="00CA25CF">
            <w:pPr>
              <w:rPr>
                <w:rFonts w:cs="Arial"/>
                <w:color w:val="FF0000"/>
                <w:sz w:val="21"/>
                <w:szCs w:val="21"/>
              </w:rPr>
            </w:pPr>
          </w:p>
        </w:tc>
        <w:tc>
          <w:tcPr>
            <w:tcW w:w="217" w:type="dxa"/>
          </w:tcPr>
          <w:p w14:paraId="4B5A9AA8" w14:textId="2714CB69" w:rsidR="002C0FD9" w:rsidRPr="00CA25CF" w:rsidRDefault="002C0FD9" w:rsidP="00CA25CF">
            <w:pPr>
              <w:rPr>
                <w:rFonts w:cs="Arial"/>
                <w:color w:val="FF0000"/>
                <w:sz w:val="21"/>
                <w:szCs w:val="21"/>
              </w:rPr>
            </w:pPr>
          </w:p>
        </w:tc>
        <w:tc>
          <w:tcPr>
            <w:tcW w:w="217" w:type="dxa"/>
          </w:tcPr>
          <w:p w14:paraId="6DEBEDEE" w14:textId="77777777" w:rsidR="002C0FD9" w:rsidRPr="00CA25CF" w:rsidRDefault="002C0FD9" w:rsidP="00CA25CF">
            <w:pPr>
              <w:rPr>
                <w:rFonts w:cs="Arial"/>
                <w:color w:val="FF0000"/>
                <w:sz w:val="21"/>
                <w:szCs w:val="21"/>
              </w:rPr>
            </w:pPr>
          </w:p>
        </w:tc>
        <w:tc>
          <w:tcPr>
            <w:tcW w:w="217" w:type="dxa"/>
          </w:tcPr>
          <w:p w14:paraId="0F13A792" w14:textId="77777777" w:rsidR="002C0FD9" w:rsidRPr="00CA25CF" w:rsidRDefault="002C0FD9" w:rsidP="00CA25CF">
            <w:pPr>
              <w:rPr>
                <w:rFonts w:cs="Arial"/>
                <w:color w:val="FF0000"/>
                <w:sz w:val="21"/>
                <w:szCs w:val="21"/>
              </w:rPr>
            </w:pPr>
          </w:p>
        </w:tc>
        <w:tc>
          <w:tcPr>
            <w:tcW w:w="217" w:type="dxa"/>
          </w:tcPr>
          <w:p w14:paraId="001032EE" w14:textId="77777777" w:rsidR="002C0FD9" w:rsidRPr="00CA25CF" w:rsidRDefault="002C0FD9" w:rsidP="00CA25CF">
            <w:pPr>
              <w:rPr>
                <w:rFonts w:cs="Arial"/>
                <w:color w:val="FF0000"/>
                <w:sz w:val="21"/>
                <w:szCs w:val="21"/>
              </w:rPr>
            </w:pPr>
          </w:p>
        </w:tc>
        <w:tc>
          <w:tcPr>
            <w:tcW w:w="217" w:type="dxa"/>
          </w:tcPr>
          <w:p w14:paraId="087E925B" w14:textId="77777777" w:rsidR="002C0FD9" w:rsidRPr="00CA25CF" w:rsidRDefault="002C0FD9" w:rsidP="00CA25CF">
            <w:pPr>
              <w:rPr>
                <w:rFonts w:cs="Arial"/>
                <w:color w:val="FF0000"/>
                <w:sz w:val="21"/>
                <w:szCs w:val="21"/>
              </w:rPr>
            </w:pPr>
          </w:p>
        </w:tc>
        <w:tc>
          <w:tcPr>
            <w:tcW w:w="217" w:type="dxa"/>
          </w:tcPr>
          <w:p w14:paraId="7AC161E2" w14:textId="77777777" w:rsidR="002C0FD9" w:rsidRPr="00CA25CF" w:rsidRDefault="002C0FD9" w:rsidP="00CA25CF">
            <w:pPr>
              <w:rPr>
                <w:rFonts w:cs="Arial"/>
                <w:color w:val="FF0000"/>
                <w:sz w:val="21"/>
                <w:szCs w:val="21"/>
              </w:rPr>
            </w:pPr>
          </w:p>
        </w:tc>
        <w:tc>
          <w:tcPr>
            <w:tcW w:w="217" w:type="dxa"/>
          </w:tcPr>
          <w:p w14:paraId="67D504C4" w14:textId="77777777" w:rsidR="002C0FD9" w:rsidRPr="00CA25CF" w:rsidRDefault="002C0FD9" w:rsidP="00CA25CF">
            <w:pPr>
              <w:rPr>
                <w:rFonts w:cs="Arial"/>
                <w:color w:val="FF0000"/>
                <w:sz w:val="21"/>
                <w:szCs w:val="21"/>
              </w:rPr>
            </w:pPr>
          </w:p>
        </w:tc>
        <w:tc>
          <w:tcPr>
            <w:tcW w:w="217" w:type="dxa"/>
          </w:tcPr>
          <w:p w14:paraId="7224CFF5" w14:textId="77777777" w:rsidR="002C0FD9" w:rsidRPr="00CA25CF" w:rsidRDefault="002C0FD9" w:rsidP="00CA25CF">
            <w:pPr>
              <w:rPr>
                <w:rFonts w:cs="Arial"/>
                <w:color w:val="FF0000"/>
                <w:sz w:val="21"/>
                <w:szCs w:val="21"/>
              </w:rPr>
            </w:pPr>
          </w:p>
        </w:tc>
        <w:tc>
          <w:tcPr>
            <w:tcW w:w="217" w:type="dxa"/>
          </w:tcPr>
          <w:p w14:paraId="094AD468" w14:textId="77777777" w:rsidR="002C0FD9" w:rsidRPr="00CA25CF" w:rsidRDefault="002C0FD9" w:rsidP="00CA25CF">
            <w:pPr>
              <w:rPr>
                <w:rFonts w:cs="Arial"/>
                <w:color w:val="FF0000"/>
                <w:sz w:val="21"/>
                <w:szCs w:val="21"/>
              </w:rPr>
            </w:pPr>
          </w:p>
        </w:tc>
        <w:tc>
          <w:tcPr>
            <w:tcW w:w="217" w:type="dxa"/>
          </w:tcPr>
          <w:p w14:paraId="16C34A90" w14:textId="77777777" w:rsidR="002C0FD9" w:rsidRPr="00CA25CF" w:rsidRDefault="002C0FD9" w:rsidP="00CA25CF">
            <w:pPr>
              <w:rPr>
                <w:rFonts w:cs="Arial"/>
                <w:color w:val="FF0000"/>
                <w:sz w:val="21"/>
                <w:szCs w:val="21"/>
              </w:rPr>
            </w:pPr>
          </w:p>
        </w:tc>
        <w:tc>
          <w:tcPr>
            <w:tcW w:w="217" w:type="dxa"/>
          </w:tcPr>
          <w:p w14:paraId="5D10334D" w14:textId="77777777" w:rsidR="002C0FD9" w:rsidRPr="00CA25CF" w:rsidRDefault="002C0FD9" w:rsidP="00CA25CF">
            <w:pPr>
              <w:rPr>
                <w:rFonts w:cs="Arial"/>
                <w:color w:val="FF0000"/>
                <w:sz w:val="21"/>
                <w:szCs w:val="21"/>
              </w:rPr>
            </w:pPr>
          </w:p>
        </w:tc>
        <w:tc>
          <w:tcPr>
            <w:tcW w:w="217" w:type="dxa"/>
          </w:tcPr>
          <w:p w14:paraId="518D0BA1" w14:textId="77777777" w:rsidR="002C0FD9" w:rsidRPr="00CA25CF" w:rsidRDefault="002C0FD9" w:rsidP="00CA25CF">
            <w:pPr>
              <w:rPr>
                <w:rFonts w:cs="Arial"/>
                <w:color w:val="FF0000"/>
                <w:sz w:val="21"/>
                <w:szCs w:val="21"/>
              </w:rPr>
            </w:pPr>
          </w:p>
        </w:tc>
        <w:tc>
          <w:tcPr>
            <w:tcW w:w="217" w:type="dxa"/>
          </w:tcPr>
          <w:p w14:paraId="2B040697" w14:textId="77777777" w:rsidR="002C0FD9" w:rsidRPr="00CA25CF" w:rsidRDefault="002C0FD9" w:rsidP="00CA25CF">
            <w:pPr>
              <w:rPr>
                <w:rFonts w:cs="Arial"/>
                <w:color w:val="FF0000"/>
                <w:sz w:val="21"/>
                <w:szCs w:val="21"/>
              </w:rPr>
            </w:pPr>
          </w:p>
        </w:tc>
        <w:tc>
          <w:tcPr>
            <w:tcW w:w="217" w:type="dxa"/>
          </w:tcPr>
          <w:p w14:paraId="547DA64C" w14:textId="77777777" w:rsidR="002C0FD9" w:rsidRPr="00CA25CF" w:rsidRDefault="002C0FD9" w:rsidP="00CA25CF">
            <w:pPr>
              <w:rPr>
                <w:rFonts w:cs="Arial"/>
                <w:color w:val="FF0000"/>
                <w:sz w:val="21"/>
                <w:szCs w:val="21"/>
              </w:rPr>
            </w:pPr>
          </w:p>
        </w:tc>
        <w:tc>
          <w:tcPr>
            <w:tcW w:w="217" w:type="dxa"/>
          </w:tcPr>
          <w:p w14:paraId="73618A79" w14:textId="77777777" w:rsidR="002C0FD9" w:rsidRPr="00CA25CF" w:rsidRDefault="002C0FD9" w:rsidP="00CA25CF">
            <w:pPr>
              <w:rPr>
                <w:rFonts w:cs="Arial"/>
                <w:color w:val="FF0000"/>
                <w:sz w:val="21"/>
                <w:szCs w:val="21"/>
              </w:rPr>
            </w:pPr>
          </w:p>
        </w:tc>
        <w:tc>
          <w:tcPr>
            <w:tcW w:w="217" w:type="dxa"/>
          </w:tcPr>
          <w:p w14:paraId="000A2E22" w14:textId="77777777" w:rsidR="002C0FD9" w:rsidRPr="00CA25CF" w:rsidRDefault="002C0FD9" w:rsidP="00CA25CF">
            <w:pPr>
              <w:rPr>
                <w:rFonts w:cs="Arial"/>
                <w:color w:val="FF0000"/>
                <w:sz w:val="21"/>
                <w:szCs w:val="21"/>
              </w:rPr>
            </w:pPr>
          </w:p>
        </w:tc>
        <w:tc>
          <w:tcPr>
            <w:tcW w:w="217" w:type="dxa"/>
          </w:tcPr>
          <w:p w14:paraId="219890AA" w14:textId="77777777" w:rsidR="002C0FD9" w:rsidRPr="00CA25CF" w:rsidRDefault="002C0FD9" w:rsidP="00CA25CF">
            <w:pPr>
              <w:rPr>
                <w:rFonts w:cs="Arial"/>
                <w:color w:val="FF0000"/>
                <w:sz w:val="21"/>
                <w:szCs w:val="21"/>
              </w:rPr>
            </w:pPr>
          </w:p>
        </w:tc>
        <w:tc>
          <w:tcPr>
            <w:tcW w:w="217" w:type="dxa"/>
          </w:tcPr>
          <w:p w14:paraId="74F29A14" w14:textId="77777777" w:rsidR="002C0FD9" w:rsidRPr="00CA25CF" w:rsidRDefault="002C0FD9" w:rsidP="00CA25CF">
            <w:pPr>
              <w:rPr>
                <w:rFonts w:cs="Arial"/>
                <w:color w:val="FF0000"/>
                <w:sz w:val="21"/>
                <w:szCs w:val="21"/>
              </w:rPr>
            </w:pPr>
          </w:p>
        </w:tc>
        <w:tc>
          <w:tcPr>
            <w:tcW w:w="217" w:type="dxa"/>
          </w:tcPr>
          <w:p w14:paraId="1A0DF451" w14:textId="77777777" w:rsidR="002C0FD9" w:rsidRPr="00CA25CF" w:rsidRDefault="002C0FD9" w:rsidP="00CA25CF">
            <w:pPr>
              <w:rPr>
                <w:rFonts w:cs="Arial"/>
                <w:color w:val="FF0000"/>
                <w:sz w:val="21"/>
                <w:szCs w:val="21"/>
              </w:rPr>
            </w:pPr>
          </w:p>
        </w:tc>
        <w:tc>
          <w:tcPr>
            <w:tcW w:w="217" w:type="dxa"/>
          </w:tcPr>
          <w:p w14:paraId="2462956E" w14:textId="77777777" w:rsidR="002C0FD9" w:rsidRPr="00CA25CF" w:rsidRDefault="002C0FD9" w:rsidP="00CA25CF">
            <w:pPr>
              <w:rPr>
                <w:rFonts w:cs="Arial"/>
                <w:color w:val="FF0000"/>
                <w:sz w:val="21"/>
                <w:szCs w:val="21"/>
              </w:rPr>
            </w:pPr>
          </w:p>
        </w:tc>
        <w:tc>
          <w:tcPr>
            <w:tcW w:w="217" w:type="dxa"/>
          </w:tcPr>
          <w:p w14:paraId="3FDAB549" w14:textId="77777777" w:rsidR="002C0FD9" w:rsidRPr="00CA25CF" w:rsidRDefault="002C0FD9" w:rsidP="00CA25CF">
            <w:pPr>
              <w:rPr>
                <w:rFonts w:cs="Arial"/>
                <w:color w:val="FF0000"/>
                <w:sz w:val="21"/>
                <w:szCs w:val="21"/>
              </w:rPr>
            </w:pPr>
          </w:p>
        </w:tc>
        <w:tc>
          <w:tcPr>
            <w:tcW w:w="217" w:type="dxa"/>
          </w:tcPr>
          <w:p w14:paraId="44697B8C" w14:textId="77777777" w:rsidR="002C0FD9" w:rsidRPr="00CA25CF" w:rsidRDefault="002C0FD9" w:rsidP="00CA25CF">
            <w:pPr>
              <w:rPr>
                <w:rFonts w:cs="Arial"/>
                <w:color w:val="FF0000"/>
                <w:sz w:val="21"/>
                <w:szCs w:val="21"/>
              </w:rPr>
            </w:pPr>
          </w:p>
        </w:tc>
        <w:tc>
          <w:tcPr>
            <w:tcW w:w="217" w:type="dxa"/>
          </w:tcPr>
          <w:p w14:paraId="1DB59562" w14:textId="77777777" w:rsidR="002C0FD9" w:rsidRPr="00CA25CF" w:rsidRDefault="002C0FD9" w:rsidP="00CA25CF">
            <w:pPr>
              <w:rPr>
                <w:rFonts w:cs="Arial"/>
                <w:color w:val="FF0000"/>
                <w:sz w:val="21"/>
                <w:szCs w:val="21"/>
              </w:rPr>
            </w:pPr>
          </w:p>
        </w:tc>
        <w:tc>
          <w:tcPr>
            <w:tcW w:w="217" w:type="dxa"/>
          </w:tcPr>
          <w:p w14:paraId="5A309D2D" w14:textId="77777777" w:rsidR="002C0FD9" w:rsidRPr="00CA25CF" w:rsidRDefault="002C0FD9" w:rsidP="00CA25CF">
            <w:pPr>
              <w:rPr>
                <w:rFonts w:cs="Arial"/>
                <w:color w:val="FF0000"/>
                <w:sz w:val="21"/>
                <w:szCs w:val="21"/>
              </w:rPr>
            </w:pPr>
          </w:p>
        </w:tc>
        <w:tc>
          <w:tcPr>
            <w:tcW w:w="217" w:type="dxa"/>
          </w:tcPr>
          <w:p w14:paraId="160AB99E" w14:textId="77777777" w:rsidR="002C0FD9" w:rsidRPr="00CA25CF" w:rsidRDefault="002C0FD9" w:rsidP="00CA25CF">
            <w:pPr>
              <w:rPr>
                <w:rFonts w:cs="Arial"/>
                <w:color w:val="FF0000"/>
                <w:sz w:val="21"/>
                <w:szCs w:val="21"/>
              </w:rPr>
            </w:pPr>
          </w:p>
        </w:tc>
        <w:tc>
          <w:tcPr>
            <w:tcW w:w="217" w:type="dxa"/>
          </w:tcPr>
          <w:p w14:paraId="347F95F3" w14:textId="77777777" w:rsidR="002C0FD9" w:rsidRPr="00CA25CF" w:rsidRDefault="002C0FD9" w:rsidP="00CA25CF">
            <w:pPr>
              <w:rPr>
                <w:rFonts w:cs="Arial"/>
                <w:color w:val="FF0000"/>
                <w:sz w:val="21"/>
                <w:szCs w:val="21"/>
              </w:rPr>
            </w:pPr>
          </w:p>
        </w:tc>
        <w:tc>
          <w:tcPr>
            <w:tcW w:w="217" w:type="dxa"/>
          </w:tcPr>
          <w:p w14:paraId="1DA863EC" w14:textId="77777777" w:rsidR="002C0FD9" w:rsidRPr="00CA25CF" w:rsidRDefault="002C0FD9" w:rsidP="00CA25CF">
            <w:pPr>
              <w:rPr>
                <w:rFonts w:cs="Arial"/>
                <w:color w:val="FF0000"/>
                <w:sz w:val="21"/>
                <w:szCs w:val="21"/>
              </w:rPr>
            </w:pPr>
          </w:p>
        </w:tc>
        <w:tc>
          <w:tcPr>
            <w:tcW w:w="217" w:type="dxa"/>
          </w:tcPr>
          <w:p w14:paraId="600E03A3" w14:textId="77777777" w:rsidR="002C0FD9" w:rsidRPr="00CA25CF" w:rsidRDefault="002C0FD9" w:rsidP="00CA25CF">
            <w:pPr>
              <w:rPr>
                <w:rFonts w:cs="Arial"/>
                <w:color w:val="FF0000"/>
                <w:sz w:val="21"/>
                <w:szCs w:val="21"/>
              </w:rPr>
            </w:pPr>
          </w:p>
        </w:tc>
        <w:tc>
          <w:tcPr>
            <w:tcW w:w="217" w:type="dxa"/>
          </w:tcPr>
          <w:p w14:paraId="14AE792E" w14:textId="77777777" w:rsidR="002C0FD9" w:rsidRPr="00CA25CF" w:rsidRDefault="002C0FD9" w:rsidP="00CA25CF">
            <w:pPr>
              <w:rPr>
                <w:rFonts w:cs="Arial"/>
                <w:color w:val="FF0000"/>
                <w:sz w:val="21"/>
                <w:szCs w:val="21"/>
              </w:rPr>
            </w:pPr>
          </w:p>
        </w:tc>
        <w:tc>
          <w:tcPr>
            <w:tcW w:w="217" w:type="dxa"/>
          </w:tcPr>
          <w:p w14:paraId="046BA1F2" w14:textId="77777777" w:rsidR="002C0FD9" w:rsidRPr="00CA25CF" w:rsidRDefault="002C0FD9" w:rsidP="00CA25CF">
            <w:pPr>
              <w:rPr>
                <w:rFonts w:cs="Arial"/>
                <w:color w:val="FF0000"/>
                <w:sz w:val="21"/>
                <w:szCs w:val="21"/>
              </w:rPr>
            </w:pPr>
          </w:p>
        </w:tc>
        <w:tc>
          <w:tcPr>
            <w:tcW w:w="217" w:type="dxa"/>
          </w:tcPr>
          <w:p w14:paraId="3030784A" w14:textId="77777777" w:rsidR="002C0FD9" w:rsidRPr="00CA25CF" w:rsidRDefault="002C0FD9" w:rsidP="00CA25CF">
            <w:pPr>
              <w:rPr>
                <w:rFonts w:cs="Arial"/>
                <w:color w:val="FF0000"/>
                <w:sz w:val="21"/>
                <w:szCs w:val="21"/>
              </w:rPr>
            </w:pPr>
          </w:p>
        </w:tc>
        <w:tc>
          <w:tcPr>
            <w:tcW w:w="217" w:type="dxa"/>
          </w:tcPr>
          <w:p w14:paraId="4E836B46" w14:textId="77777777" w:rsidR="002C0FD9" w:rsidRPr="00CA25CF" w:rsidRDefault="002C0FD9" w:rsidP="00CA25CF">
            <w:pPr>
              <w:rPr>
                <w:rFonts w:cs="Arial"/>
                <w:color w:val="FF0000"/>
                <w:sz w:val="21"/>
                <w:szCs w:val="21"/>
              </w:rPr>
            </w:pPr>
          </w:p>
        </w:tc>
        <w:tc>
          <w:tcPr>
            <w:tcW w:w="217" w:type="dxa"/>
          </w:tcPr>
          <w:p w14:paraId="22B745B5" w14:textId="77777777" w:rsidR="002C0FD9" w:rsidRPr="00CA25CF" w:rsidRDefault="002C0FD9" w:rsidP="00CA25CF">
            <w:pPr>
              <w:rPr>
                <w:rFonts w:cs="Arial"/>
                <w:color w:val="FF0000"/>
                <w:sz w:val="21"/>
                <w:szCs w:val="21"/>
              </w:rPr>
            </w:pPr>
          </w:p>
        </w:tc>
        <w:tc>
          <w:tcPr>
            <w:tcW w:w="217" w:type="dxa"/>
          </w:tcPr>
          <w:p w14:paraId="6BF9EC18" w14:textId="77777777" w:rsidR="002C0FD9" w:rsidRPr="00CA25CF" w:rsidRDefault="002C0FD9" w:rsidP="00CA25CF">
            <w:pPr>
              <w:rPr>
                <w:rFonts w:cs="Arial"/>
                <w:color w:val="FF0000"/>
                <w:sz w:val="21"/>
                <w:szCs w:val="21"/>
              </w:rPr>
            </w:pPr>
          </w:p>
        </w:tc>
        <w:tc>
          <w:tcPr>
            <w:tcW w:w="217" w:type="dxa"/>
          </w:tcPr>
          <w:p w14:paraId="6DE34F86" w14:textId="77777777" w:rsidR="002C0FD9" w:rsidRPr="00CA25CF" w:rsidRDefault="002C0FD9" w:rsidP="00CA25CF">
            <w:pPr>
              <w:rPr>
                <w:rFonts w:cs="Arial"/>
                <w:color w:val="FF0000"/>
                <w:sz w:val="21"/>
                <w:szCs w:val="21"/>
              </w:rPr>
            </w:pPr>
          </w:p>
        </w:tc>
        <w:tc>
          <w:tcPr>
            <w:tcW w:w="217" w:type="dxa"/>
          </w:tcPr>
          <w:p w14:paraId="446EBCCB" w14:textId="77777777" w:rsidR="002C0FD9" w:rsidRPr="00CA25CF" w:rsidRDefault="002C0FD9" w:rsidP="00CA25CF">
            <w:pPr>
              <w:rPr>
                <w:rFonts w:cs="Arial"/>
                <w:color w:val="FF0000"/>
                <w:sz w:val="21"/>
                <w:szCs w:val="21"/>
              </w:rPr>
            </w:pPr>
          </w:p>
        </w:tc>
        <w:tc>
          <w:tcPr>
            <w:tcW w:w="217" w:type="dxa"/>
          </w:tcPr>
          <w:p w14:paraId="674D8DFD" w14:textId="77777777" w:rsidR="002C0FD9" w:rsidRPr="00CA25CF" w:rsidRDefault="002C0FD9" w:rsidP="00CA25CF">
            <w:pPr>
              <w:rPr>
                <w:rFonts w:cs="Arial"/>
                <w:color w:val="FF0000"/>
                <w:sz w:val="21"/>
                <w:szCs w:val="21"/>
              </w:rPr>
            </w:pPr>
          </w:p>
        </w:tc>
        <w:tc>
          <w:tcPr>
            <w:tcW w:w="217" w:type="dxa"/>
          </w:tcPr>
          <w:p w14:paraId="254CFF60" w14:textId="77777777" w:rsidR="002C0FD9" w:rsidRPr="00CA25CF" w:rsidRDefault="002C0FD9" w:rsidP="00CA25CF">
            <w:pPr>
              <w:rPr>
                <w:rFonts w:cs="Arial"/>
                <w:color w:val="FF0000"/>
                <w:sz w:val="21"/>
                <w:szCs w:val="21"/>
              </w:rPr>
            </w:pPr>
          </w:p>
        </w:tc>
        <w:tc>
          <w:tcPr>
            <w:tcW w:w="217" w:type="dxa"/>
          </w:tcPr>
          <w:p w14:paraId="15EDBEE6" w14:textId="77777777" w:rsidR="002C0FD9" w:rsidRPr="00CA25CF" w:rsidRDefault="002C0FD9" w:rsidP="00CA25CF">
            <w:pPr>
              <w:rPr>
                <w:rFonts w:cs="Arial"/>
                <w:color w:val="FF0000"/>
                <w:sz w:val="21"/>
                <w:szCs w:val="21"/>
              </w:rPr>
            </w:pPr>
          </w:p>
        </w:tc>
        <w:tc>
          <w:tcPr>
            <w:tcW w:w="217" w:type="dxa"/>
          </w:tcPr>
          <w:p w14:paraId="5CC139CC" w14:textId="77777777" w:rsidR="002C0FD9" w:rsidRPr="00CA25CF" w:rsidRDefault="002C0FD9" w:rsidP="00CA25CF">
            <w:pPr>
              <w:rPr>
                <w:rFonts w:cs="Arial"/>
                <w:color w:val="FF0000"/>
                <w:sz w:val="21"/>
                <w:szCs w:val="21"/>
              </w:rPr>
            </w:pPr>
          </w:p>
        </w:tc>
        <w:tc>
          <w:tcPr>
            <w:tcW w:w="217" w:type="dxa"/>
          </w:tcPr>
          <w:p w14:paraId="7BD32272" w14:textId="77777777" w:rsidR="002C0FD9" w:rsidRPr="00CA25CF" w:rsidRDefault="002C0FD9" w:rsidP="00CA25CF">
            <w:pPr>
              <w:rPr>
                <w:rFonts w:cs="Arial"/>
                <w:color w:val="FF0000"/>
                <w:sz w:val="21"/>
                <w:szCs w:val="21"/>
              </w:rPr>
            </w:pPr>
          </w:p>
        </w:tc>
      </w:tr>
      <w:tr w:rsidR="002C0FD9" w:rsidRPr="00A16219" w14:paraId="274118AD" w14:textId="0149FC7B" w:rsidTr="002C0FD9">
        <w:trPr>
          <w:trHeight w:val="635"/>
        </w:trPr>
        <w:tc>
          <w:tcPr>
            <w:tcW w:w="515" w:type="dxa"/>
          </w:tcPr>
          <w:p w14:paraId="4E9B048A" w14:textId="77777777" w:rsidR="002C0FD9" w:rsidRPr="00CA25CF" w:rsidRDefault="002C0FD9" w:rsidP="00CA25CF">
            <w:pPr>
              <w:rPr>
                <w:rFonts w:cs="Arial"/>
                <w:color w:val="FF0000"/>
                <w:sz w:val="21"/>
                <w:szCs w:val="21"/>
              </w:rPr>
            </w:pPr>
          </w:p>
        </w:tc>
        <w:tc>
          <w:tcPr>
            <w:tcW w:w="217" w:type="dxa"/>
          </w:tcPr>
          <w:p w14:paraId="686EE296" w14:textId="77777777" w:rsidR="002C0FD9" w:rsidRPr="00CA25CF" w:rsidRDefault="002C0FD9" w:rsidP="00CA25CF">
            <w:pPr>
              <w:rPr>
                <w:rFonts w:cs="Arial"/>
                <w:color w:val="FF0000"/>
                <w:sz w:val="21"/>
                <w:szCs w:val="21"/>
              </w:rPr>
            </w:pPr>
          </w:p>
        </w:tc>
        <w:tc>
          <w:tcPr>
            <w:tcW w:w="217" w:type="dxa"/>
          </w:tcPr>
          <w:p w14:paraId="2C0A01F8" w14:textId="38FD4C8F" w:rsidR="002C0FD9" w:rsidRPr="00CA25CF" w:rsidRDefault="002C0FD9" w:rsidP="00CA25CF">
            <w:pPr>
              <w:rPr>
                <w:rFonts w:cs="Arial"/>
                <w:color w:val="FF0000"/>
                <w:sz w:val="21"/>
                <w:szCs w:val="21"/>
              </w:rPr>
            </w:pPr>
          </w:p>
        </w:tc>
        <w:tc>
          <w:tcPr>
            <w:tcW w:w="217" w:type="dxa"/>
          </w:tcPr>
          <w:p w14:paraId="16FA46C9" w14:textId="77777777" w:rsidR="002C0FD9" w:rsidRPr="00CA25CF" w:rsidRDefault="002C0FD9" w:rsidP="00CA25CF">
            <w:pPr>
              <w:rPr>
                <w:rFonts w:cs="Arial"/>
                <w:color w:val="FF0000"/>
                <w:sz w:val="21"/>
                <w:szCs w:val="21"/>
              </w:rPr>
            </w:pPr>
          </w:p>
        </w:tc>
        <w:tc>
          <w:tcPr>
            <w:tcW w:w="217" w:type="dxa"/>
          </w:tcPr>
          <w:p w14:paraId="1A7A4FA2" w14:textId="77777777" w:rsidR="002C0FD9" w:rsidRPr="00CA25CF" w:rsidRDefault="002C0FD9" w:rsidP="00CA25CF">
            <w:pPr>
              <w:rPr>
                <w:rFonts w:cs="Arial"/>
                <w:color w:val="FF0000"/>
                <w:sz w:val="21"/>
                <w:szCs w:val="21"/>
              </w:rPr>
            </w:pPr>
          </w:p>
        </w:tc>
        <w:tc>
          <w:tcPr>
            <w:tcW w:w="217" w:type="dxa"/>
          </w:tcPr>
          <w:p w14:paraId="614DBFAF" w14:textId="77777777" w:rsidR="002C0FD9" w:rsidRPr="00CA25CF" w:rsidRDefault="002C0FD9" w:rsidP="00CA25CF">
            <w:pPr>
              <w:rPr>
                <w:rFonts w:cs="Arial"/>
                <w:color w:val="FF0000"/>
                <w:sz w:val="21"/>
                <w:szCs w:val="21"/>
              </w:rPr>
            </w:pPr>
          </w:p>
        </w:tc>
        <w:tc>
          <w:tcPr>
            <w:tcW w:w="217" w:type="dxa"/>
          </w:tcPr>
          <w:p w14:paraId="7EBF8180" w14:textId="77777777" w:rsidR="002C0FD9" w:rsidRPr="00CA25CF" w:rsidRDefault="002C0FD9" w:rsidP="00CA25CF">
            <w:pPr>
              <w:rPr>
                <w:rFonts w:cs="Arial"/>
                <w:color w:val="FF0000"/>
                <w:sz w:val="21"/>
                <w:szCs w:val="21"/>
              </w:rPr>
            </w:pPr>
          </w:p>
        </w:tc>
        <w:tc>
          <w:tcPr>
            <w:tcW w:w="217" w:type="dxa"/>
          </w:tcPr>
          <w:p w14:paraId="13D7FF0B" w14:textId="77777777" w:rsidR="002C0FD9" w:rsidRPr="00CA25CF" w:rsidRDefault="002C0FD9" w:rsidP="00CA25CF">
            <w:pPr>
              <w:rPr>
                <w:rFonts w:cs="Arial"/>
                <w:color w:val="FF0000"/>
                <w:sz w:val="21"/>
                <w:szCs w:val="21"/>
              </w:rPr>
            </w:pPr>
          </w:p>
        </w:tc>
        <w:tc>
          <w:tcPr>
            <w:tcW w:w="217" w:type="dxa"/>
          </w:tcPr>
          <w:p w14:paraId="605FFFEB" w14:textId="77777777" w:rsidR="002C0FD9" w:rsidRPr="00CA25CF" w:rsidRDefault="002C0FD9" w:rsidP="00CA25CF">
            <w:pPr>
              <w:rPr>
                <w:rFonts w:cs="Arial"/>
                <w:color w:val="FF0000"/>
                <w:sz w:val="21"/>
                <w:szCs w:val="21"/>
              </w:rPr>
            </w:pPr>
          </w:p>
        </w:tc>
        <w:tc>
          <w:tcPr>
            <w:tcW w:w="217" w:type="dxa"/>
          </w:tcPr>
          <w:p w14:paraId="5DE9B9AE" w14:textId="77777777" w:rsidR="002C0FD9" w:rsidRPr="00CA25CF" w:rsidRDefault="002C0FD9" w:rsidP="00CA25CF">
            <w:pPr>
              <w:rPr>
                <w:rFonts w:cs="Arial"/>
                <w:color w:val="FF0000"/>
                <w:sz w:val="21"/>
                <w:szCs w:val="21"/>
              </w:rPr>
            </w:pPr>
          </w:p>
        </w:tc>
        <w:tc>
          <w:tcPr>
            <w:tcW w:w="217" w:type="dxa"/>
          </w:tcPr>
          <w:p w14:paraId="6A8523D9" w14:textId="77777777" w:rsidR="002C0FD9" w:rsidRPr="00CA25CF" w:rsidRDefault="002C0FD9" w:rsidP="00CA25CF">
            <w:pPr>
              <w:rPr>
                <w:rFonts w:cs="Arial"/>
                <w:color w:val="FF0000"/>
                <w:sz w:val="21"/>
                <w:szCs w:val="21"/>
              </w:rPr>
            </w:pPr>
          </w:p>
        </w:tc>
        <w:tc>
          <w:tcPr>
            <w:tcW w:w="217" w:type="dxa"/>
          </w:tcPr>
          <w:p w14:paraId="10BD1B4B" w14:textId="77777777" w:rsidR="002C0FD9" w:rsidRPr="00CA25CF" w:rsidRDefault="002C0FD9" w:rsidP="00CA25CF">
            <w:pPr>
              <w:rPr>
                <w:rFonts w:cs="Arial"/>
                <w:color w:val="FF0000"/>
                <w:sz w:val="21"/>
                <w:szCs w:val="21"/>
              </w:rPr>
            </w:pPr>
          </w:p>
        </w:tc>
        <w:tc>
          <w:tcPr>
            <w:tcW w:w="217" w:type="dxa"/>
          </w:tcPr>
          <w:p w14:paraId="41CCCF75" w14:textId="77777777" w:rsidR="002C0FD9" w:rsidRPr="00CA25CF" w:rsidRDefault="002C0FD9" w:rsidP="00CA25CF">
            <w:pPr>
              <w:rPr>
                <w:rFonts w:cs="Arial"/>
                <w:color w:val="FF0000"/>
                <w:sz w:val="21"/>
                <w:szCs w:val="21"/>
              </w:rPr>
            </w:pPr>
          </w:p>
        </w:tc>
        <w:tc>
          <w:tcPr>
            <w:tcW w:w="217" w:type="dxa"/>
          </w:tcPr>
          <w:p w14:paraId="693F92B8" w14:textId="77777777" w:rsidR="002C0FD9" w:rsidRPr="00CA25CF" w:rsidRDefault="002C0FD9" w:rsidP="00CA25CF">
            <w:pPr>
              <w:rPr>
                <w:rFonts w:cs="Arial"/>
                <w:color w:val="FF0000"/>
                <w:sz w:val="21"/>
                <w:szCs w:val="21"/>
              </w:rPr>
            </w:pPr>
          </w:p>
        </w:tc>
        <w:tc>
          <w:tcPr>
            <w:tcW w:w="217" w:type="dxa"/>
          </w:tcPr>
          <w:p w14:paraId="46EC872B" w14:textId="77777777" w:rsidR="002C0FD9" w:rsidRPr="00CA25CF" w:rsidRDefault="002C0FD9" w:rsidP="00CA25CF">
            <w:pPr>
              <w:rPr>
                <w:rFonts w:cs="Arial"/>
                <w:color w:val="FF0000"/>
                <w:sz w:val="21"/>
                <w:szCs w:val="21"/>
              </w:rPr>
            </w:pPr>
          </w:p>
        </w:tc>
        <w:tc>
          <w:tcPr>
            <w:tcW w:w="217" w:type="dxa"/>
          </w:tcPr>
          <w:p w14:paraId="7B0A4CCB" w14:textId="77777777" w:rsidR="002C0FD9" w:rsidRPr="00CA25CF" w:rsidRDefault="002C0FD9" w:rsidP="00CA25CF">
            <w:pPr>
              <w:rPr>
                <w:rFonts w:cs="Arial"/>
                <w:color w:val="FF0000"/>
                <w:sz w:val="21"/>
                <w:szCs w:val="21"/>
              </w:rPr>
            </w:pPr>
          </w:p>
        </w:tc>
        <w:tc>
          <w:tcPr>
            <w:tcW w:w="217" w:type="dxa"/>
          </w:tcPr>
          <w:p w14:paraId="5530EF39" w14:textId="77777777" w:rsidR="002C0FD9" w:rsidRPr="00CA25CF" w:rsidRDefault="002C0FD9" w:rsidP="00CA25CF">
            <w:pPr>
              <w:rPr>
                <w:rFonts w:cs="Arial"/>
                <w:color w:val="FF0000"/>
                <w:sz w:val="21"/>
                <w:szCs w:val="21"/>
              </w:rPr>
            </w:pPr>
          </w:p>
        </w:tc>
        <w:tc>
          <w:tcPr>
            <w:tcW w:w="217" w:type="dxa"/>
          </w:tcPr>
          <w:p w14:paraId="515631B3" w14:textId="77777777" w:rsidR="002C0FD9" w:rsidRPr="00CA25CF" w:rsidRDefault="002C0FD9" w:rsidP="00CA25CF">
            <w:pPr>
              <w:rPr>
                <w:rFonts w:cs="Arial"/>
                <w:color w:val="FF0000"/>
                <w:sz w:val="21"/>
                <w:szCs w:val="21"/>
              </w:rPr>
            </w:pPr>
          </w:p>
        </w:tc>
        <w:tc>
          <w:tcPr>
            <w:tcW w:w="217" w:type="dxa"/>
          </w:tcPr>
          <w:p w14:paraId="72BD919E" w14:textId="77777777" w:rsidR="002C0FD9" w:rsidRPr="00CA25CF" w:rsidRDefault="002C0FD9" w:rsidP="00CA25CF">
            <w:pPr>
              <w:rPr>
                <w:rFonts w:cs="Arial"/>
                <w:color w:val="FF0000"/>
                <w:sz w:val="21"/>
                <w:szCs w:val="21"/>
              </w:rPr>
            </w:pPr>
          </w:p>
        </w:tc>
        <w:tc>
          <w:tcPr>
            <w:tcW w:w="217" w:type="dxa"/>
          </w:tcPr>
          <w:p w14:paraId="6D884252" w14:textId="77777777" w:rsidR="002C0FD9" w:rsidRPr="00CA25CF" w:rsidRDefault="002C0FD9" w:rsidP="00CA25CF">
            <w:pPr>
              <w:rPr>
                <w:rFonts w:cs="Arial"/>
                <w:color w:val="FF0000"/>
                <w:sz w:val="21"/>
                <w:szCs w:val="21"/>
              </w:rPr>
            </w:pPr>
          </w:p>
        </w:tc>
        <w:tc>
          <w:tcPr>
            <w:tcW w:w="217" w:type="dxa"/>
          </w:tcPr>
          <w:p w14:paraId="1F654199" w14:textId="77777777" w:rsidR="002C0FD9" w:rsidRPr="00CA25CF" w:rsidRDefault="002C0FD9" w:rsidP="00CA25CF">
            <w:pPr>
              <w:rPr>
                <w:rFonts w:cs="Arial"/>
                <w:color w:val="FF0000"/>
                <w:sz w:val="21"/>
                <w:szCs w:val="21"/>
              </w:rPr>
            </w:pPr>
          </w:p>
        </w:tc>
        <w:tc>
          <w:tcPr>
            <w:tcW w:w="217" w:type="dxa"/>
          </w:tcPr>
          <w:p w14:paraId="0A923D2A" w14:textId="77777777" w:rsidR="002C0FD9" w:rsidRPr="00CA25CF" w:rsidRDefault="002C0FD9" w:rsidP="00CA25CF">
            <w:pPr>
              <w:rPr>
                <w:rFonts w:cs="Arial"/>
                <w:color w:val="FF0000"/>
                <w:sz w:val="21"/>
                <w:szCs w:val="21"/>
              </w:rPr>
            </w:pPr>
          </w:p>
        </w:tc>
        <w:tc>
          <w:tcPr>
            <w:tcW w:w="217" w:type="dxa"/>
          </w:tcPr>
          <w:p w14:paraId="0E67AD57" w14:textId="77777777" w:rsidR="002C0FD9" w:rsidRPr="00CA25CF" w:rsidRDefault="002C0FD9" w:rsidP="00CA25CF">
            <w:pPr>
              <w:rPr>
                <w:rFonts w:cs="Arial"/>
                <w:color w:val="FF0000"/>
                <w:sz w:val="21"/>
                <w:szCs w:val="21"/>
              </w:rPr>
            </w:pPr>
          </w:p>
        </w:tc>
        <w:tc>
          <w:tcPr>
            <w:tcW w:w="217" w:type="dxa"/>
          </w:tcPr>
          <w:p w14:paraId="3A718DFE" w14:textId="77777777" w:rsidR="002C0FD9" w:rsidRPr="00CA25CF" w:rsidRDefault="002C0FD9" w:rsidP="00CA25CF">
            <w:pPr>
              <w:rPr>
                <w:rFonts w:cs="Arial"/>
                <w:color w:val="FF0000"/>
                <w:sz w:val="21"/>
                <w:szCs w:val="21"/>
              </w:rPr>
            </w:pPr>
          </w:p>
        </w:tc>
        <w:tc>
          <w:tcPr>
            <w:tcW w:w="217" w:type="dxa"/>
          </w:tcPr>
          <w:p w14:paraId="31610EC5" w14:textId="77777777" w:rsidR="002C0FD9" w:rsidRPr="00CA25CF" w:rsidRDefault="002C0FD9" w:rsidP="00CA25CF">
            <w:pPr>
              <w:rPr>
                <w:rFonts w:cs="Arial"/>
                <w:color w:val="FF0000"/>
                <w:sz w:val="21"/>
                <w:szCs w:val="21"/>
              </w:rPr>
            </w:pPr>
          </w:p>
        </w:tc>
        <w:tc>
          <w:tcPr>
            <w:tcW w:w="217" w:type="dxa"/>
          </w:tcPr>
          <w:p w14:paraId="7380745B" w14:textId="77777777" w:rsidR="002C0FD9" w:rsidRPr="00CA25CF" w:rsidRDefault="002C0FD9" w:rsidP="00CA25CF">
            <w:pPr>
              <w:rPr>
                <w:rFonts w:cs="Arial"/>
                <w:color w:val="FF0000"/>
                <w:sz w:val="21"/>
                <w:szCs w:val="21"/>
              </w:rPr>
            </w:pPr>
          </w:p>
        </w:tc>
        <w:tc>
          <w:tcPr>
            <w:tcW w:w="217" w:type="dxa"/>
          </w:tcPr>
          <w:p w14:paraId="21FCAA44" w14:textId="77777777" w:rsidR="002C0FD9" w:rsidRPr="00CA25CF" w:rsidRDefault="002C0FD9" w:rsidP="00CA25CF">
            <w:pPr>
              <w:rPr>
                <w:rFonts w:cs="Arial"/>
                <w:color w:val="FF0000"/>
                <w:sz w:val="21"/>
                <w:szCs w:val="21"/>
              </w:rPr>
            </w:pPr>
          </w:p>
        </w:tc>
        <w:tc>
          <w:tcPr>
            <w:tcW w:w="217" w:type="dxa"/>
          </w:tcPr>
          <w:p w14:paraId="751CB90F" w14:textId="77777777" w:rsidR="002C0FD9" w:rsidRPr="00CA25CF" w:rsidRDefault="002C0FD9" w:rsidP="00CA25CF">
            <w:pPr>
              <w:rPr>
                <w:rFonts w:cs="Arial"/>
                <w:color w:val="FF0000"/>
                <w:sz w:val="21"/>
                <w:szCs w:val="21"/>
              </w:rPr>
            </w:pPr>
          </w:p>
        </w:tc>
        <w:tc>
          <w:tcPr>
            <w:tcW w:w="217" w:type="dxa"/>
          </w:tcPr>
          <w:p w14:paraId="69F463CA" w14:textId="77777777" w:rsidR="002C0FD9" w:rsidRPr="00CA25CF" w:rsidRDefault="002C0FD9" w:rsidP="00CA25CF">
            <w:pPr>
              <w:rPr>
                <w:rFonts w:cs="Arial"/>
                <w:color w:val="FF0000"/>
                <w:sz w:val="21"/>
                <w:szCs w:val="21"/>
              </w:rPr>
            </w:pPr>
          </w:p>
        </w:tc>
        <w:tc>
          <w:tcPr>
            <w:tcW w:w="217" w:type="dxa"/>
          </w:tcPr>
          <w:p w14:paraId="5FA53970" w14:textId="77777777" w:rsidR="002C0FD9" w:rsidRPr="00CA25CF" w:rsidRDefault="002C0FD9" w:rsidP="00CA25CF">
            <w:pPr>
              <w:rPr>
                <w:rFonts w:cs="Arial"/>
                <w:color w:val="FF0000"/>
                <w:sz w:val="21"/>
                <w:szCs w:val="21"/>
              </w:rPr>
            </w:pPr>
          </w:p>
        </w:tc>
        <w:tc>
          <w:tcPr>
            <w:tcW w:w="217" w:type="dxa"/>
          </w:tcPr>
          <w:p w14:paraId="60995D98" w14:textId="77777777" w:rsidR="002C0FD9" w:rsidRPr="00CA25CF" w:rsidRDefault="002C0FD9" w:rsidP="00CA25CF">
            <w:pPr>
              <w:rPr>
                <w:rFonts w:cs="Arial"/>
                <w:color w:val="FF0000"/>
                <w:sz w:val="21"/>
                <w:szCs w:val="21"/>
              </w:rPr>
            </w:pPr>
          </w:p>
        </w:tc>
        <w:tc>
          <w:tcPr>
            <w:tcW w:w="217" w:type="dxa"/>
          </w:tcPr>
          <w:p w14:paraId="76A87D3D" w14:textId="77777777" w:rsidR="002C0FD9" w:rsidRPr="00CA25CF" w:rsidRDefault="002C0FD9" w:rsidP="00CA25CF">
            <w:pPr>
              <w:rPr>
                <w:rFonts w:cs="Arial"/>
                <w:color w:val="FF0000"/>
                <w:sz w:val="21"/>
                <w:szCs w:val="21"/>
              </w:rPr>
            </w:pPr>
          </w:p>
        </w:tc>
        <w:tc>
          <w:tcPr>
            <w:tcW w:w="217" w:type="dxa"/>
          </w:tcPr>
          <w:p w14:paraId="38D97204" w14:textId="77777777" w:rsidR="002C0FD9" w:rsidRPr="00CA25CF" w:rsidRDefault="002C0FD9" w:rsidP="00CA25CF">
            <w:pPr>
              <w:rPr>
                <w:rFonts w:cs="Arial"/>
                <w:color w:val="FF0000"/>
                <w:sz w:val="21"/>
                <w:szCs w:val="21"/>
              </w:rPr>
            </w:pPr>
          </w:p>
        </w:tc>
        <w:tc>
          <w:tcPr>
            <w:tcW w:w="217" w:type="dxa"/>
          </w:tcPr>
          <w:p w14:paraId="08F7C9AA" w14:textId="77777777" w:rsidR="002C0FD9" w:rsidRPr="00CA25CF" w:rsidRDefault="002C0FD9" w:rsidP="00CA25CF">
            <w:pPr>
              <w:rPr>
                <w:rFonts w:cs="Arial"/>
                <w:color w:val="FF0000"/>
                <w:sz w:val="21"/>
                <w:szCs w:val="21"/>
              </w:rPr>
            </w:pPr>
          </w:p>
        </w:tc>
        <w:tc>
          <w:tcPr>
            <w:tcW w:w="217" w:type="dxa"/>
          </w:tcPr>
          <w:p w14:paraId="250039CE" w14:textId="77777777" w:rsidR="002C0FD9" w:rsidRPr="00CA25CF" w:rsidRDefault="002C0FD9" w:rsidP="00CA25CF">
            <w:pPr>
              <w:rPr>
                <w:rFonts w:cs="Arial"/>
                <w:color w:val="FF0000"/>
                <w:sz w:val="21"/>
                <w:szCs w:val="21"/>
              </w:rPr>
            </w:pPr>
          </w:p>
        </w:tc>
        <w:tc>
          <w:tcPr>
            <w:tcW w:w="217" w:type="dxa"/>
          </w:tcPr>
          <w:p w14:paraId="14B64C69" w14:textId="77777777" w:rsidR="002C0FD9" w:rsidRPr="00CA25CF" w:rsidRDefault="002C0FD9" w:rsidP="00CA25CF">
            <w:pPr>
              <w:rPr>
                <w:rFonts w:cs="Arial"/>
                <w:color w:val="FF0000"/>
                <w:sz w:val="21"/>
                <w:szCs w:val="21"/>
              </w:rPr>
            </w:pPr>
          </w:p>
        </w:tc>
        <w:tc>
          <w:tcPr>
            <w:tcW w:w="217" w:type="dxa"/>
          </w:tcPr>
          <w:p w14:paraId="309E10F1" w14:textId="77777777" w:rsidR="002C0FD9" w:rsidRPr="00CA25CF" w:rsidRDefault="002C0FD9" w:rsidP="00CA25CF">
            <w:pPr>
              <w:rPr>
                <w:rFonts w:cs="Arial"/>
                <w:color w:val="FF0000"/>
                <w:sz w:val="21"/>
                <w:szCs w:val="21"/>
              </w:rPr>
            </w:pPr>
          </w:p>
        </w:tc>
        <w:tc>
          <w:tcPr>
            <w:tcW w:w="217" w:type="dxa"/>
          </w:tcPr>
          <w:p w14:paraId="3AFCBB41" w14:textId="77777777" w:rsidR="002C0FD9" w:rsidRPr="00CA25CF" w:rsidRDefault="002C0FD9" w:rsidP="00CA25CF">
            <w:pPr>
              <w:rPr>
                <w:rFonts w:cs="Arial"/>
                <w:color w:val="FF0000"/>
                <w:sz w:val="21"/>
                <w:szCs w:val="21"/>
              </w:rPr>
            </w:pPr>
          </w:p>
        </w:tc>
        <w:tc>
          <w:tcPr>
            <w:tcW w:w="217" w:type="dxa"/>
          </w:tcPr>
          <w:p w14:paraId="0CA86DF4" w14:textId="77777777" w:rsidR="002C0FD9" w:rsidRPr="00CA25CF" w:rsidRDefault="002C0FD9" w:rsidP="00CA25CF">
            <w:pPr>
              <w:rPr>
                <w:rFonts w:cs="Arial"/>
                <w:color w:val="FF0000"/>
                <w:sz w:val="21"/>
                <w:szCs w:val="21"/>
              </w:rPr>
            </w:pPr>
          </w:p>
        </w:tc>
        <w:tc>
          <w:tcPr>
            <w:tcW w:w="217" w:type="dxa"/>
          </w:tcPr>
          <w:p w14:paraId="348EEC1A" w14:textId="77777777" w:rsidR="002C0FD9" w:rsidRPr="00CA25CF" w:rsidRDefault="002C0FD9" w:rsidP="00CA25CF">
            <w:pPr>
              <w:rPr>
                <w:rFonts w:cs="Arial"/>
                <w:color w:val="FF0000"/>
                <w:sz w:val="21"/>
                <w:szCs w:val="21"/>
              </w:rPr>
            </w:pPr>
          </w:p>
        </w:tc>
        <w:tc>
          <w:tcPr>
            <w:tcW w:w="217" w:type="dxa"/>
          </w:tcPr>
          <w:p w14:paraId="6A047FB4" w14:textId="77777777" w:rsidR="002C0FD9" w:rsidRPr="00CA25CF" w:rsidRDefault="002C0FD9" w:rsidP="00CA25CF">
            <w:pPr>
              <w:rPr>
                <w:rFonts w:cs="Arial"/>
                <w:color w:val="FF0000"/>
                <w:sz w:val="21"/>
                <w:szCs w:val="21"/>
              </w:rPr>
            </w:pPr>
          </w:p>
        </w:tc>
        <w:tc>
          <w:tcPr>
            <w:tcW w:w="217" w:type="dxa"/>
          </w:tcPr>
          <w:p w14:paraId="49A40990" w14:textId="77777777" w:rsidR="002C0FD9" w:rsidRPr="00CA25CF" w:rsidRDefault="002C0FD9" w:rsidP="00CA25CF">
            <w:pPr>
              <w:rPr>
                <w:rFonts w:cs="Arial"/>
                <w:color w:val="FF0000"/>
                <w:sz w:val="21"/>
                <w:szCs w:val="21"/>
              </w:rPr>
            </w:pPr>
          </w:p>
        </w:tc>
        <w:tc>
          <w:tcPr>
            <w:tcW w:w="217" w:type="dxa"/>
          </w:tcPr>
          <w:p w14:paraId="350FA5BE" w14:textId="77777777" w:rsidR="002C0FD9" w:rsidRPr="00CA25CF" w:rsidRDefault="002C0FD9" w:rsidP="00CA25CF">
            <w:pPr>
              <w:rPr>
                <w:rFonts w:cs="Arial"/>
                <w:color w:val="FF0000"/>
                <w:sz w:val="21"/>
                <w:szCs w:val="21"/>
              </w:rPr>
            </w:pPr>
          </w:p>
        </w:tc>
      </w:tr>
      <w:tr w:rsidR="002C0FD9" w:rsidRPr="00A16219" w14:paraId="0C159281" w14:textId="523B1F11" w:rsidTr="002C0FD9">
        <w:trPr>
          <w:trHeight w:val="635"/>
        </w:trPr>
        <w:tc>
          <w:tcPr>
            <w:tcW w:w="515" w:type="dxa"/>
          </w:tcPr>
          <w:p w14:paraId="075C62F8" w14:textId="77777777" w:rsidR="002C0FD9" w:rsidRPr="00CA25CF" w:rsidRDefault="002C0FD9" w:rsidP="00CA25CF">
            <w:pPr>
              <w:rPr>
                <w:rFonts w:cs="Arial"/>
                <w:color w:val="FF0000"/>
                <w:sz w:val="21"/>
                <w:szCs w:val="21"/>
              </w:rPr>
            </w:pPr>
          </w:p>
        </w:tc>
        <w:tc>
          <w:tcPr>
            <w:tcW w:w="217" w:type="dxa"/>
          </w:tcPr>
          <w:p w14:paraId="64B52235" w14:textId="77777777" w:rsidR="002C0FD9" w:rsidRPr="00CA25CF" w:rsidRDefault="002C0FD9" w:rsidP="00CA25CF">
            <w:pPr>
              <w:rPr>
                <w:rFonts w:cs="Arial"/>
                <w:color w:val="FF0000"/>
                <w:sz w:val="21"/>
                <w:szCs w:val="21"/>
              </w:rPr>
            </w:pPr>
          </w:p>
        </w:tc>
        <w:tc>
          <w:tcPr>
            <w:tcW w:w="217" w:type="dxa"/>
          </w:tcPr>
          <w:p w14:paraId="7E4D6775" w14:textId="05067B4E" w:rsidR="002C0FD9" w:rsidRPr="00CA25CF" w:rsidRDefault="002C0FD9" w:rsidP="00CA25CF">
            <w:pPr>
              <w:rPr>
                <w:rFonts w:cs="Arial"/>
                <w:color w:val="FF0000"/>
                <w:sz w:val="21"/>
                <w:szCs w:val="21"/>
              </w:rPr>
            </w:pPr>
          </w:p>
        </w:tc>
        <w:tc>
          <w:tcPr>
            <w:tcW w:w="217" w:type="dxa"/>
          </w:tcPr>
          <w:p w14:paraId="7A86E983" w14:textId="77777777" w:rsidR="002C0FD9" w:rsidRPr="00CA25CF" w:rsidRDefault="002C0FD9" w:rsidP="00CA25CF">
            <w:pPr>
              <w:rPr>
                <w:rFonts w:cs="Arial"/>
                <w:color w:val="FF0000"/>
                <w:sz w:val="21"/>
                <w:szCs w:val="21"/>
              </w:rPr>
            </w:pPr>
          </w:p>
        </w:tc>
        <w:tc>
          <w:tcPr>
            <w:tcW w:w="217" w:type="dxa"/>
          </w:tcPr>
          <w:p w14:paraId="24B94A17" w14:textId="77777777" w:rsidR="002C0FD9" w:rsidRPr="00CA25CF" w:rsidRDefault="002C0FD9" w:rsidP="00CA25CF">
            <w:pPr>
              <w:rPr>
                <w:rFonts w:cs="Arial"/>
                <w:color w:val="FF0000"/>
                <w:sz w:val="21"/>
                <w:szCs w:val="21"/>
              </w:rPr>
            </w:pPr>
          </w:p>
        </w:tc>
        <w:tc>
          <w:tcPr>
            <w:tcW w:w="217" w:type="dxa"/>
          </w:tcPr>
          <w:p w14:paraId="735C25CD" w14:textId="77777777" w:rsidR="002C0FD9" w:rsidRPr="00CA25CF" w:rsidRDefault="002C0FD9" w:rsidP="00CA25CF">
            <w:pPr>
              <w:rPr>
                <w:rFonts w:cs="Arial"/>
                <w:color w:val="FF0000"/>
                <w:sz w:val="21"/>
                <w:szCs w:val="21"/>
              </w:rPr>
            </w:pPr>
          </w:p>
        </w:tc>
        <w:tc>
          <w:tcPr>
            <w:tcW w:w="217" w:type="dxa"/>
          </w:tcPr>
          <w:p w14:paraId="31231452" w14:textId="77777777" w:rsidR="002C0FD9" w:rsidRPr="00CA25CF" w:rsidRDefault="002C0FD9" w:rsidP="00CA25CF">
            <w:pPr>
              <w:rPr>
                <w:rFonts w:cs="Arial"/>
                <w:color w:val="FF0000"/>
                <w:sz w:val="21"/>
                <w:szCs w:val="21"/>
              </w:rPr>
            </w:pPr>
          </w:p>
        </w:tc>
        <w:tc>
          <w:tcPr>
            <w:tcW w:w="217" w:type="dxa"/>
          </w:tcPr>
          <w:p w14:paraId="29CF6861" w14:textId="77777777" w:rsidR="002C0FD9" w:rsidRPr="00CA25CF" w:rsidRDefault="002C0FD9" w:rsidP="00CA25CF">
            <w:pPr>
              <w:rPr>
                <w:rFonts w:cs="Arial"/>
                <w:color w:val="FF0000"/>
                <w:sz w:val="21"/>
                <w:szCs w:val="21"/>
              </w:rPr>
            </w:pPr>
          </w:p>
        </w:tc>
        <w:tc>
          <w:tcPr>
            <w:tcW w:w="217" w:type="dxa"/>
          </w:tcPr>
          <w:p w14:paraId="14E41BDF" w14:textId="77777777" w:rsidR="002C0FD9" w:rsidRPr="00CA25CF" w:rsidRDefault="002C0FD9" w:rsidP="00CA25CF">
            <w:pPr>
              <w:rPr>
                <w:rFonts w:cs="Arial"/>
                <w:color w:val="FF0000"/>
                <w:sz w:val="21"/>
                <w:szCs w:val="21"/>
              </w:rPr>
            </w:pPr>
          </w:p>
        </w:tc>
        <w:tc>
          <w:tcPr>
            <w:tcW w:w="217" w:type="dxa"/>
          </w:tcPr>
          <w:p w14:paraId="0E0DEA32" w14:textId="77777777" w:rsidR="002C0FD9" w:rsidRPr="00CA25CF" w:rsidRDefault="002C0FD9" w:rsidP="00CA25CF">
            <w:pPr>
              <w:rPr>
                <w:rFonts w:cs="Arial"/>
                <w:color w:val="FF0000"/>
                <w:sz w:val="21"/>
                <w:szCs w:val="21"/>
              </w:rPr>
            </w:pPr>
          </w:p>
        </w:tc>
        <w:tc>
          <w:tcPr>
            <w:tcW w:w="217" w:type="dxa"/>
          </w:tcPr>
          <w:p w14:paraId="46DE2BC6" w14:textId="77777777" w:rsidR="002C0FD9" w:rsidRPr="00CA25CF" w:rsidRDefault="002C0FD9" w:rsidP="00CA25CF">
            <w:pPr>
              <w:rPr>
                <w:rFonts w:cs="Arial"/>
                <w:color w:val="FF0000"/>
                <w:sz w:val="21"/>
                <w:szCs w:val="21"/>
              </w:rPr>
            </w:pPr>
          </w:p>
        </w:tc>
        <w:tc>
          <w:tcPr>
            <w:tcW w:w="217" w:type="dxa"/>
          </w:tcPr>
          <w:p w14:paraId="544219D4" w14:textId="77777777" w:rsidR="002C0FD9" w:rsidRPr="00CA25CF" w:rsidRDefault="002C0FD9" w:rsidP="00CA25CF">
            <w:pPr>
              <w:rPr>
                <w:rFonts w:cs="Arial"/>
                <w:color w:val="FF0000"/>
                <w:sz w:val="21"/>
                <w:szCs w:val="21"/>
              </w:rPr>
            </w:pPr>
          </w:p>
        </w:tc>
        <w:tc>
          <w:tcPr>
            <w:tcW w:w="217" w:type="dxa"/>
          </w:tcPr>
          <w:p w14:paraId="06E5BE20" w14:textId="77777777" w:rsidR="002C0FD9" w:rsidRPr="00CA25CF" w:rsidRDefault="002C0FD9" w:rsidP="00CA25CF">
            <w:pPr>
              <w:rPr>
                <w:rFonts w:cs="Arial"/>
                <w:color w:val="FF0000"/>
                <w:sz w:val="21"/>
                <w:szCs w:val="21"/>
              </w:rPr>
            </w:pPr>
          </w:p>
        </w:tc>
        <w:tc>
          <w:tcPr>
            <w:tcW w:w="217" w:type="dxa"/>
          </w:tcPr>
          <w:p w14:paraId="36BB7884" w14:textId="77777777" w:rsidR="002C0FD9" w:rsidRPr="00CA25CF" w:rsidRDefault="002C0FD9" w:rsidP="00CA25CF">
            <w:pPr>
              <w:rPr>
                <w:rFonts w:cs="Arial"/>
                <w:color w:val="FF0000"/>
                <w:sz w:val="21"/>
                <w:szCs w:val="21"/>
              </w:rPr>
            </w:pPr>
          </w:p>
        </w:tc>
        <w:tc>
          <w:tcPr>
            <w:tcW w:w="217" w:type="dxa"/>
          </w:tcPr>
          <w:p w14:paraId="510B1DD8" w14:textId="77777777" w:rsidR="002C0FD9" w:rsidRPr="00CA25CF" w:rsidRDefault="002C0FD9" w:rsidP="00CA25CF">
            <w:pPr>
              <w:rPr>
                <w:rFonts w:cs="Arial"/>
                <w:color w:val="FF0000"/>
                <w:sz w:val="21"/>
                <w:szCs w:val="21"/>
              </w:rPr>
            </w:pPr>
          </w:p>
        </w:tc>
        <w:tc>
          <w:tcPr>
            <w:tcW w:w="217" w:type="dxa"/>
          </w:tcPr>
          <w:p w14:paraId="3284C2A8" w14:textId="77777777" w:rsidR="002C0FD9" w:rsidRPr="00CA25CF" w:rsidRDefault="002C0FD9" w:rsidP="00CA25CF">
            <w:pPr>
              <w:rPr>
                <w:rFonts w:cs="Arial"/>
                <w:color w:val="FF0000"/>
                <w:sz w:val="21"/>
                <w:szCs w:val="21"/>
              </w:rPr>
            </w:pPr>
          </w:p>
        </w:tc>
        <w:tc>
          <w:tcPr>
            <w:tcW w:w="217" w:type="dxa"/>
          </w:tcPr>
          <w:p w14:paraId="2A2C830B" w14:textId="77777777" w:rsidR="002C0FD9" w:rsidRPr="00CA25CF" w:rsidRDefault="002C0FD9" w:rsidP="00CA25CF">
            <w:pPr>
              <w:rPr>
                <w:rFonts w:cs="Arial"/>
                <w:color w:val="FF0000"/>
                <w:sz w:val="21"/>
                <w:szCs w:val="21"/>
              </w:rPr>
            </w:pPr>
          </w:p>
        </w:tc>
        <w:tc>
          <w:tcPr>
            <w:tcW w:w="217" w:type="dxa"/>
          </w:tcPr>
          <w:p w14:paraId="08AC18F0" w14:textId="77777777" w:rsidR="002C0FD9" w:rsidRPr="00CA25CF" w:rsidRDefault="002C0FD9" w:rsidP="00CA25CF">
            <w:pPr>
              <w:rPr>
                <w:rFonts w:cs="Arial"/>
                <w:color w:val="FF0000"/>
                <w:sz w:val="21"/>
                <w:szCs w:val="21"/>
              </w:rPr>
            </w:pPr>
          </w:p>
        </w:tc>
        <w:tc>
          <w:tcPr>
            <w:tcW w:w="217" w:type="dxa"/>
          </w:tcPr>
          <w:p w14:paraId="4D455DCB" w14:textId="77777777" w:rsidR="002C0FD9" w:rsidRPr="00CA25CF" w:rsidRDefault="002C0FD9" w:rsidP="00CA25CF">
            <w:pPr>
              <w:rPr>
                <w:rFonts w:cs="Arial"/>
                <w:color w:val="FF0000"/>
                <w:sz w:val="21"/>
                <w:szCs w:val="21"/>
              </w:rPr>
            </w:pPr>
          </w:p>
        </w:tc>
        <w:tc>
          <w:tcPr>
            <w:tcW w:w="217" w:type="dxa"/>
          </w:tcPr>
          <w:p w14:paraId="792C0DD5" w14:textId="77777777" w:rsidR="002C0FD9" w:rsidRPr="00CA25CF" w:rsidRDefault="002C0FD9" w:rsidP="00CA25CF">
            <w:pPr>
              <w:rPr>
                <w:rFonts w:cs="Arial"/>
                <w:color w:val="FF0000"/>
                <w:sz w:val="21"/>
                <w:szCs w:val="21"/>
              </w:rPr>
            </w:pPr>
          </w:p>
        </w:tc>
        <w:tc>
          <w:tcPr>
            <w:tcW w:w="217" w:type="dxa"/>
          </w:tcPr>
          <w:p w14:paraId="2A1BA375" w14:textId="77777777" w:rsidR="002C0FD9" w:rsidRPr="00CA25CF" w:rsidRDefault="002C0FD9" w:rsidP="00CA25CF">
            <w:pPr>
              <w:rPr>
                <w:rFonts w:cs="Arial"/>
                <w:color w:val="FF0000"/>
                <w:sz w:val="21"/>
                <w:szCs w:val="21"/>
              </w:rPr>
            </w:pPr>
          </w:p>
        </w:tc>
        <w:tc>
          <w:tcPr>
            <w:tcW w:w="217" w:type="dxa"/>
          </w:tcPr>
          <w:p w14:paraId="015A9BBF" w14:textId="77777777" w:rsidR="002C0FD9" w:rsidRPr="00CA25CF" w:rsidRDefault="002C0FD9" w:rsidP="00CA25CF">
            <w:pPr>
              <w:rPr>
                <w:rFonts w:cs="Arial"/>
                <w:color w:val="FF0000"/>
                <w:sz w:val="21"/>
                <w:szCs w:val="21"/>
              </w:rPr>
            </w:pPr>
          </w:p>
        </w:tc>
        <w:tc>
          <w:tcPr>
            <w:tcW w:w="217" w:type="dxa"/>
          </w:tcPr>
          <w:p w14:paraId="4123AB7D" w14:textId="77777777" w:rsidR="002C0FD9" w:rsidRPr="00CA25CF" w:rsidRDefault="002C0FD9" w:rsidP="00CA25CF">
            <w:pPr>
              <w:rPr>
                <w:rFonts w:cs="Arial"/>
                <w:color w:val="FF0000"/>
                <w:sz w:val="21"/>
                <w:szCs w:val="21"/>
              </w:rPr>
            </w:pPr>
          </w:p>
        </w:tc>
        <w:tc>
          <w:tcPr>
            <w:tcW w:w="217" w:type="dxa"/>
          </w:tcPr>
          <w:p w14:paraId="1076ABDC" w14:textId="77777777" w:rsidR="002C0FD9" w:rsidRPr="00CA25CF" w:rsidRDefault="002C0FD9" w:rsidP="00CA25CF">
            <w:pPr>
              <w:rPr>
                <w:rFonts w:cs="Arial"/>
                <w:color w:val="FF0000"/>
                <w:sz w:val="21"/>
                <w:szCs w:val="21"/>
              </w:rPr>
            </w:pPr>
          </w:p>
        </w:tc>
        <w:tc>
          <w:tcPr>
            <w:tcW w:w="217" w:type="dxa"/>
          </w:tcPr>
          <w:p w14:paraId="33ABDB68" w14:textId="77777777" w:rsidR="002C0FD9" w:rsidRPr="00CA25CF" w:rsidRDefault="002C0FD9" w:rsidP="00CA25CF">
            <w:pPr>
              <w:rPr>
                <w:rFonts w:cs="Arial"/>
                <w:color w:val="FF0000"/>
                <w:sz w:val="21"/>
                <w:szCs w:val="21"/>
              </w:rPr>
            </w:pPr>
          </w:p>
        </w:tc>
        <w:tc>
          <w:tcPr>
            <w:tcW w:w="217" w:type="dxa"/>
          </w:tcPr>
          <w:p w14:paraId="630CFF5E" w14:textId="77777777" w:rsidR="002C0FD9" w:rsidRPr="00CA25CF" w:rsidRDefault="002C0FD9" w:rsidP="00CA25CF">
            <w:pPr>
              <w:rPr>
                <w:rFonts w:cs="Arial"/>
                <w:color w:val="FF0000"/>
                <w:sz w:val="21"/>
                <w:szCs w:val="21"/>
              </w:rPr>
            </w:pPr>
          </w:p>
        </w:tc>
        <w:tc>
          <w:tcPr>
            <w:tcW w:w="217" w:type="dxa"/>
          </w:tcPr>
          <w:p w14:paraId="04ADAA25" w14:textId="77777777" w:rsidR="002C0FD9" w:rsidRPr="00CA25CF" w:rsidRDefault="002C0FD9" w:rsidP="00CA25CF">
            <w:pPr>
              <w:rPr>
                <w:rFonts w:cs="Arial"/>
                <w:color w:val="FF0000"/>
                <w:sz w:val="21"/>
                <w:szCs w:val="21"/>
              </w:rPr>
            </w:pPr>
          </w:p>
        </w:tc>
        <w:tc>
          <w:tcPr>
            <w:tcW w:w="217" w:type="dxa"/>
          </w:tcPr>
          <w:p w14:paraId="1564FDA0" w14:textId="77777777" w:rsidR="002C0FD9" w:rsidRPr="00CA25CF" w:rsidRDefault="002C0FD9" w:rsidP="00CA25CF">
            <w:pPr>
              <w:rPr>
                <w:rFonts w:cs="Arial"/>
                <w:color w:val="FF0000"/>
                <w:sz w:val="21"/>
                <w:szCs w:val="21"/>
              </w:rPr>
            </w:pPr>
          </w:p>
        </w:tc>
        <w:tc>
          <w:tcPr>
            <w:tcW w:w="217" w:type="dxa"/>
          </w:tcPr>
          <w:p w14:paraId="5E628EBB" w14:textId="77777777" w:rsidR="002C0FD9" w:rsidRPr="00CA25CF" w:rsidRDefault="002C0FD9" w:rsidP="00CA25CF">
            <w:pPr>
              <w:rPr>
                <w:rFonts w:cs="Arial"/>
                <w:color w:val="FF0000"/>
                <w:sz w:val="21"/>
                <w:szCs w:val="21"/>
              </w:rPr>
            </w:pPr>
          </w:p>
        </w:tc>
        <w:tc>
          <w:tcPr>
            <w:tcW w:w="217" w:type="dxa"/>
          </w:tcPr>
          <w:p w14:paraId="060A9133" w14:textId="77777777" w:rsidR="002C0FD9" w:rsidRPr="00CA25CF" w:rsidRDefault="002C0FD9" w:rsidP="00CA25CF">
            <w:pPr>
              <w:rPr>
                <w:rFonts w:cs="Arial"/>
                <w:color w:val="FF0000"/>
                <w:sz w:val="21"/>
                <w:szCs w:val="21"/>
              </w:rPr>
            </w:pPr>
          </w:p>
        </w:tc>
        <w:tc>
          <w:tcPr>
            <w:tcW w:w="217" w:type="dxa"/>
          </w:tcPr>
          <w:p w14:paraId="5E710F44" w14:textId="77777777" w:rsidR="002C0FD9" w:rsidRPr="00CA25CF" w:rsidRDefault="002C0FD9" w:rsidP="00CA25CF">
            <w:pPr>
              <w:rPr>
                <w:rFonts w:cs="Arial"/>
                <w:color w:val="FF0000"/>
                <w:sz w:val="21"/>
                <w:szCs w:val="21"/>
              </w:rPr>
            </w:pPr>
          </w:p>
        </w:tc>
        <w:tc>
          <w:tcPr>
            <w:tcW w:w="217" w:type="dxa"/>
          </w:tcPr>
          <w:p w14:paraId="32639752" w14:textId="77777777" w:rsidR="002C0FD9" w:rsidRPr="00CA25CF" w:rsidRDefault="002C0FD9" w:rsidP="00CA25CF">
            <w:pPr>
              <w:rPr>
                <w:rFonts w:cs="Arial"/>
                <w:color w:val="FF0000"/>
                <w:sz w:val="21"/>
                <w:szCs w:val="21"/>
              </w:rPr>
            </w:pPr>
          </w:p>
        </w:tc>
        <w:tc>
          <w:tcPr>
            <w:tcW w:w="217" w:type="dxa"/>
          </w:tcPr>
          <w:p w14:paraId="31B0E2AE" w14:textId="77777777" w:rsidR="002C0FD9" w:rsidRPr="00CA25CF" w:rsidRDefault="002C0FD9" w:rsidP="00CA25CF">
            <w:pPr>
              <w:rPr>
                <w:rFonts w:cs="Arial"/>
                <w:color w:val="FF0000"/>
                <w:sz w:val="21"/>
                <w:szCs w:val="21"/>
              </w:rPr>
            </w:pPr>
          </w:p>
        </w:tc>
        <w:tc>
          <w:tcPr>
            <w:tcW w:w="217" w:type="dxa"/>
          </w:tcPr>
          <w:p w14:paraId="69F50865" w14:textId="77777777" w:rsidR="002C0FD9" w:rsidRPr="00CA25CF" w:rsidRDefault="002C0FD9" w:rsidP="00CA25CF">
            <w:pPr>
              <w:rPr>
                <w:rFonts w:cs="Arial"/>
                <w:color w:val="FF0000"/>
                <w:sz w:val="21"/>
                <w:szCs w:val="21"/>
              </w:rPr>
            </w:pPr>
          </w:p>
        </w:tc>
        <w:tc>
          <w:tcPr>
            <w:tcW w:w="217" w:type="dxa"/>
          </w:tcPr>
          <w:p w14:paraId="78500D10" w14:textId="77777777" w:rsidR="002C0FD9" w:rsidRPr="00CA25CF" w:rsidRDefault="002C0FD9" w:rsidP="00CA25CF">
            <w:pPr>
              <w:rPr>
                <w:rFonts w:cs="Arial"/>
                <w:color w:val="FF0000"/>
                <w:sz w:val="21"/>
                <w:szCs w:val="21"/>
              </w:rPr>
            </w:pPr>
          </w:p>
        </w:tc>
        <w:tc>
          <w:tcPr>
            <w:tcW w:w="217" w:type="dxa"/>
          </w:tcPr>
          <w:p w14:paraId="3212211D" w14:textId="77777777" w:rsidR="002C0FD9" w:rsidRPr="00CA25CF" w:rsidRDefault="002C0FD9" w:rsidP="00CA25CF">
            <w:pPr>
              <w:rPr>
                <w:rFonts w:cs="Arial"/>
                <w:color w:val="FF0000"/>
                <w:sz w:val="21"/>
                <w:szCs w:val="21"/>
              </w:rPr>
            </w:pPr>
          </w:p>
        </w:tc>
        <w:tc>
          <w:tcPr>
            <w:tcW w:w="217" w:type="dxa"/>
          </w:tcPr>
          <w:p w14:paraId="7C8D2A93" w14:textId="77777777" w:rsidR="002C0FD9" w:rsidRPr="00CA25CF" w:rsidRDefault="002C0FD9" w:rsidP="00CA25CF">
            <w:pPr>
              <w:rPr>
                <w:rFonts w:cs="Arial"/>
                <w:color w:val="FF0000"/>
                <w:sz w:val="21"/>
                <w:szCs w:val="21"/>
              </w:rPr>
            </w:pPr>
          </w:p>
        </w:tc>
        <w:tc>
          <w:tcPr>
            <w:tcW w:w="217" w:type="dxa"/>
          </w:tcPr>
          <w:p w14:paraId="4EA74FD3" w14:textId="77777777" w:rsidR="002C0FD9" w:rsidRPr="00CA25CF" w:rsidRDefault="002C0FD9" w:rsidP="00CA25CF">
            <w:pPr>
              <w:rPr>
                <w:rFonts w:cs="Arial"/>
                <w:color w:val="FF0000"/>
                <w:sz w:val="21"/>
                <w:szCs w:val="21"/>
              </w:rPr>
            </w:pPr>
          </w:p>
        </w:tc>
        <w:tc>
          <w:tcPr>
            <w:tcW w:w="217" w:type="dxa"/>
          </w:tcPr>
          <w:p w14:paraId="03AE2640" w14:textId="77777777" w:rsidR="002C0FD9" w:rsidRPr="00CA25CF" w:rsidRDefault="002C0FD9" w:rsidP="00CA25CF">
            <w:pPr>
              <w:rPr>
                <w:rFonts w:cs="Arial"/>
                <w:color w:val="FF0000"/>
                <w:sz w:val="21"/>
                <w:szCs w:val="21"/>
              </w:rPr>
            </w:pPr>
          </w:p>
        </w:tc>
        <w:tc>
          <w:tcPr>
            <w:tcW w:w="217" w:type="dxa"/>
          </w:tcPr>
          <w:p w14:paraId="4AFE1B7F" w14:textId="77777777" w:rsidR="002C0FD9" w:rsidRPr="00CA25CF" w:rsidRDefault="002C0FD9" w:rsidP="00CA25CF">
            <w:pPr>
              <w:rPr>
                <w:rFonts w:cs="Arial"/>
                <w:color w:val="FF0000"/>
                <w:sz w:val="21"/>
                <w:szCs w:val="21"/>
              </w:rPr>
            </w:pPr>
          </w:p>
        </w:tc>
        <w:tc>
          <w:tcPr>
            <w:tcW w:w="217" w:type="dxa"/>
          </w:tcPr>
          <w:p w14:paraId="1171C476" w14:textId="77777777" w:rsidR="002C0FD9" w:rsidRPr="00CA25CF" w:rsidRDefault="002C0FD9" w:rsidP="00CA25CF">
            <w:pPr>
              <w:rPr>
                <w:rFonts w:cs="Arial"/>
                <w:color w:val="FF0000"/>
                <w:sz w:val="21"/>
                <w:szCs w:val="21"/>
              </w:rPr>
            </w:pPr>
          </w:p>
        </w:tc>
        <w:tc>
          <w:tcPr>
            <w:tcW w:w="217" w:type="dxa"/>
          </w:tcPr>
          <w:p w14:paraId="548A96DE" w14:textId="77777777" w:rsidR="002C0FD9" w:rsidRPr="00CA25CF" w:rsidRDefault="002C0FD9" w:rsidP="00CA25CF">
            <w:pPr>
              <w:rPr>
                <w:rFonts w:cs="Arial"/>
                <w:color w:val="FF0000"/>
                <w:sz w:val="21"/>
                <w:szCs w:val="21"/>
              </w:rPr>
            </w:pPr>
          </w:p>
        </w:tc>
        <w:tc>
          <w:tcPr>
            <w:tcW w:w="217" w:type="dxa"/>
          </w:tcPr>
          <w:p w14:paraId="63CA9EBC" w14:textId="77777777" w:rsidR="002C0FD9" w:rsidRPr="00CA25CF" w:rsidRDefault="002C0FD9" w:rsidP="00CA25CF">
            <w:pPr>
              <w:rPr>
                <w:rFonts w:cs="Arial"/>
                <w:color w:val="FF0000"/>
                <w:sz w:val="21"/>
                <w:szCs w:val="21"/>
              </w:rPr>
            </w:pPr>
          </w:p>
        </w:tc>
      </w:tr>
      <w:tr w:rsidR="002C0FD9" w:rsidRPr="00A16219" w14:paraId="57124722" w14:textId="4D5C5833" w:rsidTr="002C0FD9">
        <w:trPr>
          <w:trHeight w:val="635"/>
        </w:trPr>
        <w:tc>
          <w:tcPr>
            <w:tcW w:w="515" w:type="dxa"/>
          </w:tcPr>
          <w:p w14:paraId="32A22779" w14:textId="77777777" w:rsidR="002C0FD9" w:rsidRPr="00CA25CF" w:rsidRDefault="002C0FD9" w:rsidP="00CA25CF">
            <w:pPr>
              <w:rPr>
                <w:rFonts w:cs="Arial"/>
                <w:color w:val="FF0000"/>
                <w:sz w:val="21"/>
                <w:szCs w:val="21"/>
              </w:rPr>
            </w:pPr>
          </w:p>
        </w:tc>
        <w:tc>
          <w:tcPr>
            <w:tcW w:w="217" w:type="dxa"/>
          </w:tcPr>
          <w:p w14:paraId="7DFA71C8" w14:textId="77777777" w:rsidR="002C0FD9" w:rsidRPr="00CA25CF" w:rsidRDefault="002C0FD9" w:rsidP="00CA25CF">
            <w:pPr>
              <w:rPr>
                <w:rFonts w:cs="Arial"/>
                <w:color w:val="FF0000"/>
                <w:sz w:val="21"/>
                <w:szCs w:val="21"/>
              </w:rPr>
            </w:pPr>
          </w:p>
        </w:tc>
        <w:tc>
          <w:tcPr>
            <w:tcW w:w="217" w:type="dxa"/>
          </w:tcPr>
          <w:p w14:paraId="11D10C50" w14:textId="6B9CEB44" w:rsidR="002C0FD9" w:rsidRPr="00CA25CF" w:rsidRDefault="002C0FD9" w:rsidP="00CA25CF">
            <w:pPr>
              <w:rPr>
                <w:rFonts w:cs="Arial"/>
                <w:color w:val="FF0000"/>
                <w:sz w:val="21"/>
                <w:szCs w:val="21"/>
              </w:rPr>
            </w:pPr>
          </w:p>
        </w:tc>
        <w:tc>
          <w:tcPr>
            <w:tcW w:w="217" w:type="dxa"/>
          </w:tcPr>
          <w:p w14:paraId="1BD20F80" w14:textId="77777777" w:rsidR="002C0FD9" w:rsidRPr="00CA25CF" w:rsidRDefault="002C0FD9" w:rsidP="00CA25CF">
            <w:pPr>
              <w:rPr>
                <w:rFonts w:cs="Arial"/>
                <w:color w:val="FF0000"/>
                <w:sz w:val="21"/>
                <w:szCs w:val="21"/>
              </w:rPr>
            </w:pPr>
          </w:p>
        </w:tc>
        <w:tc>
          <w:tcPr>
            <w:tcW w:w="217" w:type="dxa"/>
          </w:tcPr>
          <w:p w14:paraId="64A966B2" w14:textId="77777777" w:rsidR="002C0FD9" w:rsidRPr="00CA25CF" w:rsidRDefault="002C0FD9" w:rsidP="00CA25CF">
            <w:pPr>
              <w:rPr>
                <w:rFonts w:cs="Arial"/>
                <w:color w:val="FF0000"/>
                <w:sz w:val="21"/>
                <w:szCs w:val="21"/>
              </w:rPr>
            </w:pPr>
          </w:p>
        </w:tc>
        <w:tc>
          <w:tcPr>
            <w:tcW w:w="217" w:type="dxa"/>
          </w:tcPr>
          <w:p w14:paraId="51D59DE8" w14:textId="77777777" w:rsidR="002C0FD9" w:rsidRPr="00CA25CF" w:rsidRDefault="002C0FD9" w:rsidP="00CA25CF">
            <w:pPr>
              <w:rPr>
                <w:rFonts w:cs="Arial"/>
                <w:color w:val="FF0000"/>
                <w:sz w:val="21"/>
                <w:szCs w:val="21"/>
              </w:rPr>
            </w:pPr>
          </w:p>
        </w:tc>
        <w:tc>
          <w:tcPr>
            <w:tcW w:w="217" w:type="dxa"/>
          </w:tcPr>
          <w:p w14:paraId="0B17AA59" w14:textId="77777777" w:rsidR="002C0FD9" w:rsidRPr="00CA25CF" w:rsidRDefault="002C0FD9" w:rsidP="00CA25CF">
            <w:pPr>
              <w:rPr>
                <w:rFonts w:cs="Arial"/>
                <w:color w:val="FF0000"/>
                <w:sz w:val="21"/>
                <w:szCs w:val="21"/>
              </w:rPr>
            </w:pPr>
          </w:p>
        </w:tc>
        <w:tc>
          <w:tcPr>
            <w:tcW w:w="217" w:type="dxa"/>
          </w:tcPr>
          <w:p w14:paraId="25EEBC60" w14:textId="77777777" w:rsidR="002C0FD9" w:rsidRPr="00CA25CF" w:rsidRDefault="002C0FD9" w:rsidP="00CA25CF">
            <w:pPr>
              <w:rPr>
                <w:rFonts w:cs="Arial"/>
                <w:color w:val="FF0000"/>
                <w:sz w:val="21"/>
                <w:szCs w:val="21"/>
              </w:rPr>
            </w:pPr>
          </w:p>
        </w:tc>
        <w:tc>
          <w:tcPr>
            <w:tcW w:w="217" w:type="dxa"/>
          </w:tcPr>
          <w:p w14:paraId="52BD7083" w14:textId="77777777" w:rsidR="002C0FD9" w:rsidRPr="00CA25CF" w:rsidRDefault="002C0FD9" w:rsidP="00CA25CF">
            <w:pPr>
              <w:rPr>
                <w:rFonts w:cs="Arial"/>
                <w:color w:val="FF0000"/>
                <w:sz w:val="21"/>
                <w:szCs w:val="21"/>
              </w:rPr>
            </w:pPr>
          </w:p>
        </w:tc>
        <w:tc>
          <w:tcPr>
            <w:tcW w:w="217" w:type="dxa"/>
          </w:tcPr>
          <w:p w14:paraId="48922FED" w14:textId="77777777" w:rsidR="002C0FD9" w:rsidRPr="00CA25CF" w:rsidRDefault="002C0FD9" w:rsidP="00CA25CF">
            <w:pPr>
              <w:rPr>
                <w:rFonts w:cs="Arial"/>
                <w:color w:val="FF0000"/>
                <w:sz w:val="21"/>
                <w:szCs w:val="21"/>
              </w:rPr>
            </w:pPr>
          </w:p>
        </w:tc>
        <w:tc>
          <w:tcPr>
            <w:tcW w:w="217" w:type="dxa"/>
          </w:tcPr>
          <w:p w14:paraId="2B4564E0" w14:textId="77777777" w:rsidR="002C0FD9" w:rsidRPr="00CA25CF" w:rsidRDefault="002C0FD9" w:rsidP="00CA25CF">
            <w:pPr>
              <w:rPr>
                <w:rFonts w:cs="Arial"/>
                <w:color w:val="FF0000"/>
                <w:sz w:val="21"/>
                <w:szCs w:val="21"/>
              </w:rPr>
            </w:pPr>
          </w:p>
        </w:tc>
        <w:tc>
          <w:tcPr>
            <w:tcW w:w="217" w:type="dxa"/>
          </w:tcPr>
          <w:p w14:paraId="203BADAF" w14:textId="77777777" w:rsidR="002C0FD9" w:rsidRPr="00CA25CF" w:rsidRDefault="002C0FD9" w:rsidP="00CA25CF">
            <w:pPr>
              <w:rPr>
                <w:rFonts w:cs="Arial"/>
                <w:color w:val="FF0000"/>
                <w:sz w:val="21"/>
                <w:szCs w:val="21"/>
              </w:rPr>
            </w:pPr>
          </w:p>
        </w:tc>
        <w:tc>
          <w:tcPr>
            <w:tcW w:w="217" w:type="dxa"/>
          </w:tcPr>
          <w:p w14:paraId="2C82D0EB" w14:textId="77777777" w:rsidR="002C0FD9" w:rsidRPr="00CA25CF" w:rsidRDefault="002C0FD9" w:rsidP="00CA25CF">
            <w:pPr>
              <w:rPr>
                <w:rFonts w:cs="Arial"/>
                <w:color w:val="FF0000"/>
                <w:sz w:val="21"/>
                <w:szCs w:val="21"/>
              </w:rPr>
            </w:pPr>
          </w:p>
        </w:tc>
        <w:tc>
          <w:tcPr>
            <w:tcW w:w="217" w:type="dxa"/>
          </w:tcPr>
          <w:p w14:paraId="31957FA5" w14:textId="77777777" w:rsidR="002C0FD9" w:rsidRPr="00CA25CF" w:rsidRDefault="002C0FD9" w:rsidP="00CA25CF">
            <w:pPr>
              <w:rPr>
                <w:rFonts w:cs="Arial"/>
                <w:color w:val="FF0000"/>
                <w:sz w:val="21"/>
                <w:szCs w:val="21"/>
              </w:rPr>
            </w:pPr>
          </w:p>
        </w:tc>
        <w:tc>
          <w:tcPr>
            <w:tcW w:w="217" w:type="dxa"/>
          </w:tcPr>
          <w:p w14:paraId="4F4EA03A" w14:textId="77777777" w:rsidR="002C0FD9" w:rsidRPr="00CA25CF" w:rsidRDefault="002C0FD9" w:rsidP="00CA25CF">
            <w:pPr>
              <w:rPr>
                <w:rFonts w:cs="Arial"/>
                <w:color w:val="FF0000"/>
                <w:sz w:val="21"/>
                <w:szCs w:val="21"/>
              </w:rPr>
            </w:pPr>
          </w:p>
        </w:tc>
        <w:tc>
          <w:tcPr>
            <w:tcW w:w="217" w:type="dxa"/>
          </w:tcPr>
          <w:p w14:paraId="1665AF42" w14:textId="77777777" w:rsidR="002C0FD9" w:rsidRPr="00CA25CF" w:rsidRDefault="002C0FD9" w:rsidP="00CA25CF">
            <w:pPr>
              <w:rPr>
                <w:rFonts w:cs="Arial"/>
                <w:color w:val="FF0000"/>
                <w:sz w:val="21"/>
                <w:szCs w:val="21"/>
              </w:rPr>
            </w:pPr>
          </w:p>
        </w:tc>
        <w:tc>
          <w:tcPr>
            <w:tcW w:w="217" w:type="dxa"/>
          </w:tcPr>
          <w:p w14:paraId="560136D0" w14:textId="77777777" w:rsidR="002C0FD9" w:rsidRPr="00CA25CF" w:rsidRDefault="002C0FD9" w:rsidP="00CA25CF">
            <w:pPr>
              <w:rPr>
                <w:rFonts w:cs="Arial"/>
                <w:color w:val="FF0000"/>
                <w:sz w:val="21"/>
                <w:szCs w:val="21"/>
              </w:rPr>
            </w:pPr>
          </w:p>
        </w:tc>
        <w:tc>
          <w:tcPr>
            <w:tcW w:w="217" w:type="dxa"/>
          </w:tcPr>
          <w:p w14:paraId="07A0C07A" w14:textId="77777777" w:rsidR="002C0FD9" w:rsidRPr="00CA25CF" w:rsidRDefault="002C0FD9" w:rsidP="00CA25CF">
            <w:pPr>
              <w:rPr>
                <w:rFonts w:cs="Arial"/>
                <w:color w:val="FF0000"/>
                <w:sz w:val="21"/>
                <w:szCs w:val="21"/>
              </w:rPr>
            </w:pPr>
          </w:p>
        </w:tc>
        <w:tc>
          <w:tcPr>
            <w:tcW w:w="217" w:type="dxa"/>
          </w:tcPr>
          <w:p w14:paraId="3D04C5E9" w14:textId="77777777" w:rsidR="002C0FD9" w:rsidRPr="00CA25CF" w:rsidRDefault="002C0FD9" w:rsidP="00CA25CF">
            <w:pPr>
              <w:rPr>
                <w:rFonts w:cs="Arial"/>
                <w:color w:val="FF0000"/>
                <w:sz w:val="21"/>
                <w:szCs w:val="21"/>
              </w:rPr>
            </w:pPr>
          </w:p>
        </w:tc>
        <w:tc>
          <w:tcPr>
            <w:tcW w:w="217" w:type="dxa"/>
          </w:tcPr>
          <w:p w14:paraId="7B296152" w14:textId="77777777" w:rsidR="002C0FD9" w:rsidRPr="00CA25CF" w:rsidRDefault="002C0FD9" w:rsidP="00CA25CF">
            <w:pPr>
              <w:rPr>
                <w:rFonts w:cs="Arial"/>
                <w:color w:val="FF0000"/>
                <w:sz w:val="21"/>
                <w:szCs w:val="21"/>
              </w:rPr>
            </w:pPr>
          </w:p>
        </w:tc>
        <w:tc>
          <w:tcPr>
            <w:tcW w:w="217" w:type="dxa"/>
          </w:tcPr>
          <w:p w14:paraId="7D877348" w14:textId="77777777" w:rsidR="002C0FD9" w:rsidRPr="00CA25CF" w:rsidRDefault="002C0FD9" w:rsidP="00CA25CF">
            <w:pPr>
              <w:rPr>
                <w:rFonts w:cs="Arial"/>
                <w:color w:val="FF0000"/>
                <w:sz w:val="21"/>
                <w:szCs w:val="21"/>
              </w:rPr>
            </w:pPr>
          </w:p>
        </w:tc>
        <w:tc>
          <w:tcPr>
            <w:tcW w:w="217" w:type="dxa"/>
          </w:tcPr>
          <w:p w14:paraId="505E91F5" w14:textId="77777777" w:rsidR="002C0FD9" w:rsidRPr="00CA25CF" w:rsidRDefault="002C0FD9" w:rsidP="00CA25CF">
            <w:pPr>
              <w:rPr>
                <w:rFonts w:cs="Arial"/>
                <w:color w:val="FF0000"/>
                <w:sz w:val="21"/>
                <w:szCs w:val="21"/>
              </w:rPr>
            </w:pPr>
          </w:p>
        </w:tc>
        <w:tc>
          <w:tcPr>
            <w:tcW w:w="217" w:type="dxa"/>
          </w:tcPr>
          <w:p w14:paraId="6AB078B0" w14:textId="77777777" w:rsidR="002C0FD9" w:rsidRPr="00CA25CF" w:rsidRDefault="002C0FD9" w:rsidP="00CA25CF">
            <w:pPr>
              <w:rPr>
                <w:rFonts w:cs="Arial"/>
                <w:color w:val="FF0000"/>
                <w:sz w:val="21"/>
                <w:szCs w:val="21"/>
              </w:rPr>
            </w:pPr>
          </w:p>
        </w:tc>
        <w:tc>
          <w:tcPr>
            <w:tcW w:w="217" w:type="dxa"/>
          </w:tcPr>
          <w:p w14:paraId="0F12E1D1" w14:textId="77777777" w:rsidR="002C0FD9" w:rsidRPr="00CA25CF" w:rsidRDefault="002C0FD9" w:rsidP="00CA25CF">
            <w:pPr>
              <w:rPr>
                <w:rFonts w:cs="Arial"/>
                <w:color w:val="FF0000"/>
                <w:sz w:val="21"/>
                <w:szCs w:val="21"/>
              </w:rPr>
            </w:pPr>
          </w:p>
        </w:tc>
        <w:tc>
          <w:tcPr>
            <w:tcW w:w="217" w:type="dxa"/>
          </w:tcPr>
          <w:p w14:paraId="626DB54A" w14:textId="77777777" w:rsidR="002C0FD9" w:rsidRPr="00CA25CF" w:rsidRDefault="002C0FD9" w:rsidP="00CA25CF">
            <w:pPr>
              <w:rPr>
                <w:rFonts w:cs="Arial"/>
                <w:color w:val="FF0000"/>
                <w:sz w:val="21"/>
                <w:szCs w:val="21"/>
              </w:rPr>
            </w:pPr>
          </w:p>
        </w:tc>
        <w:tc>
          <w:tcPr>
            <w:tcW w:w="217" w:type="dxa"/>
          </w:tcPr>
          <w:p w14:paraId="25D0B1B9" w14:textId="77777777" w:rsidR="002C0FD9" w:rsidRPr="00CA25CF" w:rsidRDefault="002C0FD9" w:rsidP="00CA25CF">
            <w:pPr>
              <w:rPr>
                <w:rFonts w:cs="Arial"/>
                <w:color w:val="FF0000"/>
                <w:sz w:val="21"/>
                <w:szCs w:val="21"/>
              </w:rPr>
            </w:pPr>
          </w:p>
        </w:tc>
        <w:tc>
          <w:tcPr>
            <w:tcW w:w="217" w:type="dxa"/>
          </w:tcPr>
          <w:p w14:paraId="523ED7E1" w14:textId="77777777" w:rsidR="002C0FD9" w:rsidRPr="00CA25CF" w:rsidRDefault="002C0FD9" w:rsidP="00CA25CF">
            <w:pPr>
              <w:rPr>
                <w:rFonts w:cs="Arial"/>
                <w:color w:val="FF0000"/>
                <w:sz w:val="21"/>
                <w:szCs w:val="21"/>
              </w:rPr>
            </w:pPr>
          </w:p>
        </w:tc>
        <w:tc>
          <w:tcPr>
            <w:tcW w:w="217" w:type="dxa"/>
          </w:tcPr>
          <w:p w14:paraId="4FECAC21" w14:textId="77777777" w:rsidR="002C0FD9" w:rsidRPr="00CA25CF" w:rsidRDefault="002C0FD9" w:rsidP="00CA25CF">
            <w:pPr>
              <w:rPr>
                <w:rFonts w:cs="Arial"/>
                <w:color w:val="FF0000"/>
                <w:sz w:val="21"/>
                <w:szCs w:val="21"/>
              </w:rPr>
            </w:pPr>
          </w:p>
        </w:tc>
        <w:tc>
          <w:tcPr>
            <w:tcW w:w="217" w:type="dxa"/>
          </w:tcPr>
          <w:p w14:paraId="45943C37" w14:textId="77777777" w:rsidR="002C0FD9" w:rsidRPr="00CA25CF" w:rsidRDefault="002C0FD9" w:rsidP="00CA25CF">
            <w:pPr>
              <w:rPr>
                <w:rFonts w:cs="Arial"/>
                <w:color w:val="FF0000"/>
                <w:sz w:val="21"/>
                <w:szCs w:val="21"/>
              </w:rPr>
            </w:pPr>
          </w:p>
        </w:tc>
        <w:tc>
          <w:tcPr>
            <w:tcW w:w="217" w:type="dxa"/>
          </w:tcPr>
          <w:p w14:paraId="62D6D5BB" w14:textId="77777777" w:rsidR="002C0FD9" w:rsidRPr="00CA25CF" w:rsidRDefault="002C0FD9" w:rsidP="00CA25CF">
            <w:pPr>
              <w:rPr>
                <w:rFonts w:cs="Arial"/>
                <w:color w:val="FF0000"/>
                <w:sz w:val="21"/>
                <w:szCs w:val="21"/>
              </w:rPr>
            </w:pPr>
          </w:p>
        </w:tc>
        <w:tc>
          <w:tcPr>
            <w:tcW w:w="217" w:type="dxa"/>
          </w:tcPr>
          <w:p w14:paraId="66D25946" w14:textId="77777777" w:rsidR="002C0FD9" w:rsidRPr="00CA25CF" w:rsidRDefault="002C0FD9" w:rsidP="00CA25CF">
            <w:pPr>
              <w:rPr>
                <w:rFonts w:cs="Arial"/>
                <w:color w:val="FF0000"/>
                <w:sz w:val="21"/>
                <w:szCs w:val="21"/>
              </w:rPr>
            </w:pPr>
          </w:p>
        </w:tc>
        <w:tc>
          <w:tcPr>
            <w:tcW w:w="217" w:type="dxa"/>
          </w:tcPr>
          <w:p w14:paraId="2EB7B350" w14:textId="77777777" w:rsidR="002C0FD9" w:rsidRPr="00CA25CF" w:rsidRDefault="002C0FD9" w:rsidP="00CA25CF">
            <w:pPr>
              <w:rPr>
                <w:rFonts w:cs="Arial"/>
                <w:color w:val="FF0000"/>
                <w:sz w:val="21"/>
                <w:szCs w:val="21"/>
              </w:rPr>
            </w:pPr>
          </w:p>
        </w:tc>
        <w:tc>
          <w:tcPr>
            <w:tcW w:w="217" w:type="dxa"/>
          </w:tcPr>
          <w:p w14:paraId="5866D895" w14:textId="77777777" w:rsidR="002C0FD9" w:rsidRPr="00CA25CF" w:rsidRDefault="002C0FD9" w:rsidP="00CA25CF">
            <w:pPr>
              <w:rPr>
                <w:rFonts w:cs="Arial"/>
                <w:color w:val="FF0000"/>
                <w:sz w:val="21"/>
                <w:szCs w:val="21"/>
              </w:rPr>
            </w:pPr>
          </w:p>
        </w:tc>
        <w:tc>
          <w:tcPr>
            <w:tcW w:w="217" w:type="dxa"/>
          </w:tcPr>
          <w:p w14:paraId="7C8FA1C5" w14:textId="77777777" w:rsidR="002C0FD9" w:rsidRPr="00CA25CF" w:rsidRDefault="002C0FD9" w:rsidP="00CA25CF">
            <w:pPr>
              <w:rPr>
                <w:rFonts w:cs="Arial"/>
                <w:color w:val="FF0000"/>
                <w:sz w:val="21"/>
                <w:szCs w:val="21"/>
              </w:rPr>
            </w:pPr>
          </w:p>
        </w:tc>
        <w:tc>
          <w:tcPr>
            <w:tcW w:w="217" w:type="dxa"/>
          </w:tcPr>
          <w:p w14:paraId="2D3DF402" w14:textId="77777777" w:rsidR="002C0FD9" w:rsidRPr="00CA25CF" w:rsidRDefault="002C0FD9" w:rsidP="00CA25CF">
            <w:pPr>
              <w:rPr>
                <w:rFonts w:cs="Arial"/>
                <w:color w:val="FF0000"/>
                <w:sz w:val="21"/>
                <w:szCs w:val="21"/>
              </w:rPr>
            </w:pPr>
          </w:p>
        </w:tc>
        <w:tc>
          <w:tcPr>
            <w:tcW w:w="217" w:type="dxa"/>
          </w:tcPr>
          <w:p w14:paraId="3CC6CAB7" w14:textId="77777777" w:rsidR="002C0FD9" w:rsidRPr="00CA25CF" w:rsidRDefault="002C0FD9" w:rsidP="00CA25CF">
            <w:pPr>
              <w:rPr>
                <w:rFonts w:cs="Arial"/>
                <w:color w:val="FF0000"/>
                <w:sz w:val="21"/>
                <w:szCs w:val="21"/>
              </w:rPr>
            </w:pPr>
          </w:p>
        </w:tc>
        <w:tc>
          <w:tcPr>
            <w:tcW w:w="217" w:type="dxa"/>
          </w:tcPr>
          <w:p w14:paraId="315BAE17" w14:textId="77777777" w:rsidR="002C0FD9" w:rsidRPr="00CA25CF" w:rsidRDefault="002C0FD9" w:rsidP="00CA25CF">
            <w:pPr>
              <w:rPr>
                <w:rFonts w:cs="Arial"/>
                <w:color w:val="FF0000"/>
                <w:sz w:val="21"/>
                <w:szCs w:val="21"/>
              </w:rPr>
            </w:pPr>
          </w:p>
        </w:tc>
        <w:tc>
          <w:tcPr>
            <w:tcW w:w="217" w:type="dxa"/>
          </w:tcPr>
          <w:p w14:paraId="25327981" w14:textId="77777777" w:rsidR="002C0FD9" w:rsidRPr="00CA25CF" w:rsidRDefault="002C0FD9" w:rsidP="00CA25CF">
            <w:pPr>
              <w:rPr>
                <w:rFonts w:cs="Arial"/>
                <w:color w:val="FF0000"/>
                <w:sz w:val="21"/>
                <w:szCs w:val="21"/>
              </w:rPr>
            </w:pPr>
          </w:p>
        </w:tc>
        <w:tc>
          <w:tcPr>
            <w:tcW w:w="217" w:type="dxa"/>
          </w:tcPr>
          <w:p w14:paraId="1C6C18D7" w14:textId="77777777" w:rsidR="002C0FD9" w:rsidRPr="00CA25CF" w:rsidRDefault="002C0FD9" w:rsidP="00CA25CF">
            <w:pPr>
              <w:rPr>
                <w:rFonts w:cs="Arial"/>
                <w:color w:val="FF0000"/>
                <w:sz w:val="21"/>
                <w:szCs w:val="21"/>
              </w:rPr>
            </w:pPr>
          </w:p>
        </w:tc>
        <w:tc>
          <w:tcPr>
            <w:tcW w:w="217" w:type="dxa"/>
          </w:tcPr>
          <w:p w14:paraId="7A01B4D0" w14:textId="77777777" w:rsidR="002C0FD9" w:rsidRPr="00CA25CF" w:rsidRDefault="002C0FD9" w:rsidP="00CA25CF">
            <w:pPr>
              <w:rPr>
                <w:rFonts w:cs="Arial"/>
                <w:color w:val="FF0000"/>
                <w:sz w:val="21"/>
                <w:szCs w:val="21"/>
              </w:rPr>
            </w:pPr>
          </w:p>
        </w:tc>
        <w:tc>
          <w:tcPr>
            <w:tcW w:w="217" w:type="dxa"/>
          </w:tcPr>
          <w:p w14:paraId="2E827F0F" w14:textId="77777777" w:rsidR="002C0FD9" w:rsidRPr="00CA25CF" w:rsidRDefault="002C0FD9" w:rsidP="00CA25CF">
            <w:pPr>
              <w:rPr>
                <w:rFonts w:cs="Arial"/>
                <w:color w:val="FF0000"/>
                <w:sz w:val="21"/>
                <w:szCs w:val="21"/>
              </w:rPr>
            </w:pPr>
          </w:p>
        </w:tc>
        <w:tc>
          <w:tcPr>
            <w:tcW w:w="217" w:type="dxa"/>
          </w:tcPr>
          <w:p w14:paraId="5F5120B7" w14:textId="77777777" w:rsidR="002C0FD9" w:rsidRPr="00CA25CF" w:rsidRDefault="002C0FD9" w:rsidP="00CA25CF">
            <w:pPr>
              <w:rPr>
                <w:rFonts w:cs="Arial"/>
                <w:color w:val="FF0000"/>
                <w:sz w:val="21"/>
                <w:szCs w:val="21"/>
              </w:rPr>
            </w:pPr>
          </w:p>
        </w:tc>
        <w:tc>
          <w:tcPr>
            <w:tcW w:w="217" w:type="dxa"/>
          </w:tcPr>
          <w:p w14:paraId="4660E426" w14:textId="77777777" w:rsidR="002C0FD9" w:rsidRPr="00CA25CF" w:rsidRDefault="002C0FD9" w:rsidP="00CA25CF">
            <w:pPr>
              <w:rPr>
                <w:rFonts w:cs="Arial"/>
                <w:color w:val="FF0000"/>
                <w:sz w:val="21"/>
                <w:szCs w:val="21"/>
              </w:rPr>
            </w:pPr>
          </w:p>
        </w:tc>
      </w:tr>
      <w:tr w:rsidR="002C0FD9" w:rsidRPr="00A16219" w14:paraId="21B883B8" w14:textId="37F2B553" w:rsidTr="002C0FD9">
        <w:trPr>
          <w:trHeight w:val="635"/>
        </w:trPr>
        <w:tc>
          <w:tcPr>
            <w:tcW w:w="515" w:type="dxa"/>
          </w:tcPr>
          <w:p w14:paraId="733FC91A" w14:textId="77777777" w:rsidR="002C0FD9" w:rsidRPr="00CA25CF" w:rsidRDefault="002C0FD9" w:rsidP="00CA25CF">
            <w:pPr>
              <w:rPr>
                <w:rFonts w:cs="Arial"/>
                <w:color w:val="FF0000"/>
                <w:sz w:val="21"/>
                <w:szCs w:val="21"/>
              </w:rPr>
            </w:pPr>
          </w:p>
        </w:tc>
        <w:tc>
          <w:tcPr>
            <w:tcW w:w="217" w:type="dxa"/>
          </w:tcPr>
          <w:p w14:paraId="03CAAADE" w14:textId="77777777" w:rsidR="002C0FD9" w:rsidRPr="00CA25CF" w:rsidRDefault="002C0FD9" w:rsidP="00CA25CF">
            <w:pPr>
              <w:rPr>
                <w:rFonts w:cs="Arial"/>
                <w:color w:val="FF0000"/>
                <w:sz w:val="21"/>
                <w:szCs w:val="21"/>
              </w:rPr>
            </w:pPr>
          </w:p>
        </w:tc>
        <w:tc>
          <w:tcPr>
            <w:tcW w:w="217" w:type="dxa"/>
          </w:tcPr>
          <w:p w14:paraId="7112DDE8" w14:textId="492AA361" w:rsidR="002C0FD9" w:rsidRPr="00CA25CF" w:rsidRDefault="002C0FD9" w:rsidP="00CA25CF">
            <w:pPr>
              <w:rPr>
                <w:rFonts w:cs="Arial"/>
                <w:color w:val="FF0000"/>
                <w:sz w:val="21"/>
                <w:szCs w:val="21"/>
              </w:rPr>
            </w:pPr>
          </w:p>
        </w:tc>
        <w:tc>
          <w:tcPr>
            <w:tcW w:w="217" w:type="dxa"/>
          </w:tcPr>
          <w:p w14:paraId="7BD80A09" w14:textId="77777777" w:rsidR="002C0FD9" w:rsidRPr="00CA25CF" w:rsidRDefault="002C0FD9" w:rsidP="00CA25CF">
            <w:pPr>
              <w:rPr>
                <w:rFonts w:cs="Arial"/>
                <w:color w:val="FF0000"/>
                <w:sz w:val="21"/>
                <w:szCs w:val="21"/>
              </w:rPr>
            </w:pPr>
          </w:p>
        </w:tc>
        <w:tc>
          <w:tcPr>
            <w:tcW w:w="217" w:type="dxa"/>
          </w:tcPr>
          <w:p w14:paraId="2A05E5BF" w14:textId="77777777" w:rsidR="002C0FD9" w:rsidRPr="00CA25CF" w:rsidRDefault="002C0FD9" w:rsidP="00CA25CF">
            <w:pPr>
              <w:rPr>
                <w:rFonts w:cs="Arial"/>
                <w:color w:val="FF0000"/>
                <w:sz w:val="21"/>
                <w:szCs w:val="21"/>
              </w:rPr>
            </w:pPr>
          </w:p>
        </w:tc>
        <w:tc>
          <w:tcPr>
            <w:tcW w:w="217" w:type="dxa"/>
          </w:tcPr>
          <w:p w14:paraId="3F4B8835" w14:textId="77777777" w:rsidR="002C0FD9" w:rsidRPr="00CA25CF" w:rsidRDefault="002C0FD9" w:rsidP="00CA25CF">
            <w:pPr>
              <w:rPr>
                <w:rFonts w:cs="Arial"/>
                <w:color w:val="FF0000"/>
                <w:sz w:val="21"/>
                <w:szCs w:val="21"/>
              </w:rPr>
            </w:pPr>
          </w:p>
        </w:tc>
        <w:tc>
          <w:tcPr>
            <w:tcW w:w="217" w:type="dxa"/>
          </w:tcPr>
          <w:p w14:paraId="4FB53F75" w14:textId="77777777" w:rsidR="002C0FD9" w:rsidRPr="00CA25CF" w:rsidRDefault="002C0FD9" w:rsidP="00CA25CF">
            <w:pPr>
              <w:rPr>
                <w:rFonts w:cs="Arial"/>
                <w:color w:val="FF0000"/>
                <w:sz w:val="21"/>
                <w:szCs w:val="21"/>
              </w:rPr>
            </w:pPr>
          </w:p>
        </w:tc>
        <w:tc>
          <w:tcPr>
            <w:tcW w:w="217" w:type="dxa"/>
          </w:tcPr>
          <w:p w14:paraId="77503C0C" w14:textId="77777777" w:rsidR="002C0FD9" w:rsidRPr="00CA25CF" w:rsidRDefault="002C0FD9" w:rsidP="00CA25CF">
            <w:pPr>
              <w:rPr>
                <w:rFonts w:cs="Arial"/>
                <w:color w:val="FF0000"/>
                <w:sz w:val="21"/>
                <w:szCs w:val="21"/>
              </w:rPr>
            </w:pPr>
          </w:p>
        </w:tc>
        <w:tc>
          <w:tcPr>
            <w:tcW w:w="217" w:type="dxa"/>
          </w:tcPr>
          <w:p w14:paraId="5C1CA2AD" w14:textId="77777777" w:rsidR="002C0FD9" w:rsidRPr="00CA25CF" w:rsidRDefault="002C0FD9" w:rsidP="00CA25CF">
            <w:pPr>
              <w:rPr>
                <w:rFonts w:cs="Arial"/>
                <w:color w:val="FF0000"/>
                <w:sz w:val="21"/>
                <w:szCs w:val="21"/>
              </w:rPr>
            </w:pPr>
          </w:p>
        </w:tc>
        <w:tc>
          <w:tcPr>
            <w:tcW w:w="217" w:type="dxa"/>
          </w:tcPr>
          <w:p w14:paraId="5199AC86" w14:textId="77777777" w:rsidR="002C0FD9" w:rsidRPr="00CA25CF" w:rsidRDefault="002C0FD9" w:rsidP="00CA25CF">
            <w:pPr>
              <w:rPr>
                <w:rFonts w:cs="Arial"/>
                <w:color w:val="FF0000"/>
                <w:sz w:val="21"/>
                <w:szCs w:val="21"/>
              </w:rPr>
            </w:pPr>
          </w:p>
        </w:tc>
        <w:tc>
          <w:tcPr>
            <w:tcW w:w="217" w:type="dxa"/>
          </w:tcPr>
          <w:p w14:paraId="0F7C7D2E" w14:textId="77777777" w:rsidR="002C0FD9" w:rsidRPr="00CA25CF" w:rsidRDefault="002C0FD9" w:rsidP="00CA25CF">
            <w:pPr>
              <w:rPr>
                <w:rFonts w:cs="Arial"/>
                <w:color w:val="FF0000"/>
                <w:sz w:val="21"/>
                <w:szCs w:val="21"/>
              </w:rPr>
            </w:pPr>
          </w:p>
        </w:tc>
        <w:tc>
          <w:tcPr>
            <w:tcW w:w="217" w:type="dxa"/>
          </w:tcPr>
          <w:p w14:paraId="35DB01C9" w14:textId="77777777" w:rsidR="002C0FD9" w:rsidRPr="00CA25CF" w:rsidRDefault="002C0FD9" w:rsidP="00CA25CF">
            <w:pPr>
              <w:rPr>
                <w:rFonts w:cs="Arial"/>
                <w:color w:val="FF0000"/>
                <w:sz w:val="21"/>
                <w:szCs w:val="21"/>
              </w:rPr>
            </w:pPr>
          </w:p>
        </w:tc>
        <w:tc>
          <w:tcPr>
            <w:tcW w:w="217" w:type="dxa"/>
          </w:tcPr>
          <w:p w14:paraId="2DE05F13" w14:textId="77777777" w:rsidR="002C0FD9" w:rsidRPr="00CA25CF" w:rsidRDefault="002C0FD9" w:rsidP="00CA25CF">
            <w:pPr>
              <w:rPr>
                <w:rFonts w:cs="Arial"/>
                <w:color w:val="FF0000"/>
                <w:sz w:val="21"/>
                <w:szCs w:val="21"/>
              </w:rPr>
            </w:pPr>
          </w:p>
        </w:tc>
        <w:tc>
          <w:tcPr>
            <w:tcW w:w="217" w:type="dxa"/>
          </w:tcPr>
          <w:p w14:paraId="13AC3AB1" w14:textId="77777777" w:rsidR="002C0FD9" w:rsidRPr="00CA25CF" w:rsidRDefault="002C0FD9" w:rsidP="00CA25CF">
            <w:pPr>
              <w:rPr>
                <w:rFonts w:cs="Arial"/>
                <w:color w:val="FF0000"/>
                <w:sz w:val="21"/>
                <w:szCs w:val="21"/>
              </w:rPr>
            </w:pPr>
          </w:p>
        </w:tc>
        <w:tc>
          <w:tcPr>
            <w:tcW w:w="217" w:type="dxa"/>
          </w:tcPr>
          <w:p w14:paraId="51544329" w14:textId="77777777" w:rsidR="002C0FD9" w:rsidRPr="00CA25CF" w:rsidRDefault="002C0FD9" w:rsidP="00CA25CF">
            <w:pPr>
              <w:rPr>
                <w:rFonts w:cs="Arial"/>
                <w:color w:val="FF0000"/>
                <w:sz w:val="21"/>
                <w:szCs w:val="21"/>
              </w:rPr>
            </w:pPr>
          </w:p>
        </w:tc>
        <w:tc>
          <w:tcPr>
            <w:tcW w:w="217" w:type="dxa"/>
          </w:tcPr>
          <w:p w14:paraId="28A151D7" w14:textId="77777777" w:rsidR="002C0FD9" w:rsidRPr="00CA25CF" w:rsidRDefault="002C0FD9" w:rsidP="00CA25CF">
            <w:pPr>
              <w:rPr>
                <w:rFonts w:cs="Arial"/>
                <w:color w:val="FF0000"/>
                <w:sz w:val="21"/>
                <w:szCs w:val="21"/>
              </w:rPr>
            </w:pPr>
          </w:p>
        </w:tc>
        <w:tc>
          <w:tcPr>
            <w:tcW w:w="217" w:type="dxa"/>
          </w:tcPr>
          <w:p w14:paraId="4FCD65B1" w14:textId="77777777" w:rsidR="002C0FD9" w:rsidRPr="00CA25CF" w:rsidRDefault="002C0FD9" w:rsidP="00CA25CF">
            <w:pPr>
              <w:rPr>
                <w:rFonts w:cs="Arial"/>
                <w:color w:val="FF0000"/>
                <w:sz w:val="21"/>
                <w:szCs w:val="21"/>
              </w:rPr>
            </w:pPr>
          </w:p>
        </w:tc>
        <w:tc>
          <w:tcPr>
            <w:tcW w:w="217" w:type="dxa"/>
          </w:tcPr>
          <w:p w14:paraId="15C3272C" w14:textId="77777777" w:rsidR="002C0FD9" w:rsidRPr="00CA25CF" w:rsidRDefault="002C0FD9" w:rsidP="00CA25CF">
            <w:pPr>
              <w:rPr>
                <w:rFonts w:cs="Arial"/>
                <w:color w:val="FF0000"/>
                <w:sz w:val="21"/>
                <w:szCs w:val="21"/>
              </w:rPr>
            </w:pPr>
          </w:p>
        </w:tc>
        <w:tc>
          <w:tcPr>
            <w:tcW w:w="217" w:type="dxa"/>
          </w:tcPr>
          <w:p w14:paraId="7AC27DBA" w14:textId="77777777" w:rsidR="002C0FD9" w:rsidRPr="00CA25CF" w:rsidRDefault="002C0FD9" w:rsidP="00CA25CF">
            <w:pPr>
              <w:rPr>
                <w:rFonts w:cs="Arial"/>
                <w:color w:val="FF0000"/>
                <w:sz w:val="21"/>
                <w:szCs w:val="21"/>
              </w:rPr>
            </w:pPr>
          </w:p>
        </w:tc>
        <w:tc>
          <w:tcPr>
            <w:tcW w:w="217" w:type="dxa"/>
          </w:tcPr>
          <w:p w14:paraId="125E31FF" w14:textId="77777777" w:rsidR="002C0FD9" w:rsidRPr="00CA25CF" w:rsidRDefault="002C0FD9" w:rsidP="00CA25CF">
            <w:pPr>
              <w:rPr>
                <w:rFonts w:cs="Arial"/>
                <w:color w:val="FF0000"/>
                <w:sz w:val="21"/>
                <w:szCs w:val="21"/>
              </w:rPr>
            </w:pPr>
          </w:p>
        </w:tc>
        <w:tc>
          <w:tcPr>
            <w:tcW w:w="217" w:type="dxa"/>
          </w:tcPr>
          <w:p w14:paraId="42B0CCFE" w14:textId="77777777" w:rsidR="002C0FD9" w:rsidRPr="00CA25CF" w:rsidRDefault="002C0FD9" w:rsidP="00CA25CF">
            <w:pPr>
              <w:rPr>
                <w:rFonts w:cs="Arial"/>
                <w:color w:val="FF0000"/>
                <w:sz w:val="21"/>
                <w:szCs w:val="21"/>
              </w:rPr>
            </w:pPr>
          </w:p>
        </w:tc>
        <w:tc>
          <w:tcPr>
            <w:tcW w:w="217" w:type="dxa"/>
          </w:tcPr>
          <w:p w14:paraId="13B4FF72" w14:textId="77777777" w:rsidR="002C0FD9" w:rsidRPr="00CA25CF" w:rsidRDefault="002C0FD9" w:rsidP="00CA25CF">
            <w:pPr>
              <w:rPr>
                <w:rFonts w:cs="Arial"/>
                <w:color w:val="FF0000"/>
                <w:sz w:val="21"/>
                <w:szCs w:val="21"/>
              </w:rPr>
            </w:pPr>
          </w:p>
        </w:tc>
        <w:tc>
          <w:tcPr>
            <w:tcW w:w="217" w:type="dxa"/>
          </w:tcPr>
          <w:p w14:paraId="7522EFF0" w14:textId="77777777" w:rsidR="002C0FD9" w:rsidRPr="00CA25CF" w:rsidRDefault="002C0FD9" w:rsidP="00CA25CF">
            <w:pPr>
              <w:rPr>
                <w:rFonts w:cs="Arial"/>
                <w:color w:val="FF0000"/>
                <w:sz w:val="21"/>
                <w:szCs w:val="21"/>
              </w:rPr>
            </w:pPr>
          </w:p>
        </w:tc>
        <w:tc>
          <w:tcPr>
            <w:tcW w:w="217" w:type="dxa"/>
          </w:tcPr>
          <w:p w14:paraId="585BD2A1" w14:textId="77777777" w:rsidR="002C0FD9" w:rsidRPr="00CA25CF" w:rsidRDefault="002C0FD9" w:rsidP="00CA25CF">
            <w:pPr>
              <w:rPr>
                <w:rFonts w:cs="Arial"/>
                <w:color w:val="FF0000"/>
                <w:sz w:val="21"/>
                <w:szCs w:val="21"/>
              </w:rPr>
            </w:pPr>
          </w:p>
        </w:tc>
        <w:tc>
          <w:tcPr>
            <w:tcW w:w="217" w:type="dxa"/>
          </w:tcPr>
          <w:p w14:paraId="55AC61D9" w14:textId="77777777" w:rsidR="002C0FD9" w:rsidRPr="00CA25CF" w:rsidRDefault="002C0FD9" w:rsidP="00CA25CF">
            <w:pPr>
              <w:rPr>
                <w:rFonts w:cs="Arial"/>
                <w:color w:val="FF0000"/>
                <w:sz w:val="21"/>
                <w:szCs w:val="21"/>
              </w:rPr>
            </w:pPr>
          </w:p>
        </w:tc>
        <w:tc>
          <w:tcPr>
            <w:tcW w:w="217" w:type="dxa"/>
          </w:tcPr>
          <w:p w14:paraId="5132A93B" w14:textId="77777777" w:rsidR="002C0FD9" w:rsidRPr="00CA25CF" w:rsidRDefault="002C0FD9" w:rsidP="00CA25CF">
            <w:pPr>
              <w:rPr>
                <w:rFonts w:cs="Arial"/>
                <w:color w:val="FF0000"/>
                <w:sz w:val="21"/>
                <w:szCs w:val="21"/>
              </w:rPr>
            </w:pPr>
          </w:p>
        </w:tc>
        <w:tc>
          <w:tcPr>
            <w:tcW w:w="217" w:type="dxa"/>
          </w:tcPr>
          <w:p w14:paraId="1F932FC0" w14:textId="77777777" w:rsidR="002C0FD9" w:rsidRPr="00CA25CF" w:rsidRDefault="002C0FD9" w:rsidP="00CA25CF">
            <w:pPr>
              <w:rPr>
                <w:rFonts w:cs="Arial"/>
                <w:color w:val="FF0000"/>
                <w:sz w:val="21"/>
                <w:szCs w:val="21"/>
              </w:rPr>
            </w:pPr>
          </w:p>
        </w:tc>
        <w:tc>
          <w:tcPr>
            <w:tcW w:w="217" w:type="dxa"/>
          </w:tcPr>
          <w:p w14:paraId="6C9BA121" w14:textId="77777777" w:rsidR="002C0FD9" w:rsidRPr="00CA25CF" w:rsidRDefault="002C0FD9" w:rsidP="00CA25CF">
            <w:pPr>
              <w:rPr>
                <w:rFonts w:cs="Arial"/>
                <w:color w:val="FF0000"/>
                <w:sz w:val="21"/>
                <w:szCs w:val="21"/>
              </w:rPr>
            </w:pPr>
          </w:p>
        </w:tc>
        <w:tc>
          <w:tcPr>
            <w:tcW w:w="217" w:type="dxa"/>
          </w:tcPr>
          <w:p w14:paraId="29815AA9" w14:textId="77777777" w:rsidR="002C0FD9" w:rsidRPr="00CA25CF" w:rsidRDefault="002C0FD9" w:rsidP="00CA25CF">
            <w:pPr>
              <w:rPr>
                <w:rFonts w:cs="Arial"/>
                <w:color w:val="FF0000"/>
                <w:sz w:val="21"/>
                <w:szCs w:val="21"/>
              </w:rPr>
            </w:pPr>
          </w:p>
        </w:tc>
        <w:tc>
          <w:tcPr>
            <w:tcW w:w="217" w:type="dxa"/>
          </w:tcPr>
          <w:p w14:paraId="627FDFFB" w14:textId="77777777" w:rsidR="002C0FD9" w:rsidRPr="00CA25CF" w:rsidRDefault="002C0FD9" w:rsidP="00CA25CF">
            <w:pPr>
              <w:rPr>
                <w:rFonts w:cs="Arial"/>
                <w:color w:val="FF0000"/>
                <w:sz w:val="21"/>
                <w:szCs w:val="21"/>
              </w:rPr>
            </w:pPr>
          </w:p>
        </w:tc>
        <w:tc>
          <w:tcPr>
            <w:tcW w:w="217" w:type="dxa"/>
          </w:tcPr>
          <w:p w14:paraId="5EC0912D" w14:textId="77777777" w:rsidR="002C0FD9" w:rsidRPr="00CA25CF" w:rsidRDefault="002C0FD9" w:rsidP="00CA25CF">
            <w:pPr>
              <w:rPr>
                <w:rFonts w:cs="Arial"/>
                <w:color w:val="FF0000"/>
                <w:sz w:val="21"/>
                <w:szCs w:val="21"/>
              </w:rPr>
            </w:pPr>
          </w:p>
        </w:tc>
        <w:tc>
          <w:tcPr>
            <w:tcW w:w="217" w:type="dxa"/>
          </w:tcPr>
          <w:p w14:paraId="1C8E41E4" w14:textId="77777777" w:rsidR="002C0FD9" w:rsidRPr="00CA25CF" w:rsidRDefault="002C0FD9" w:rsidP="00CA25CF">
            <w:pPr>
              <w:rPr>
                <w:rFonts w:cs="Arial"/>
                <w:color w:val="FF0000"/>
                <w:sz w:val="21"/>
                <w:szCs w:val="21"/>
              </w:rPr>
            </w:pPr>
          </w:p>
        </w:tc>
        <w:tc>
          <w:tcPr>
            <w:tcW w:w="217" w:type="dxa"/>
          </w:tcPr>
          <w:p w14:paraId="188299CD" w14:textId="77777777" w:rsidR="002C0FD9" w:rsidRPr="00CA25CF" w:rsidRDefault="002C0FD9" w:rsidP="00CA25CF">
            <w:pPr>
              <w:rPr>
                <w:rFonts w:cs="Arial"/>
                <w:color w:val="FF0000"/>
                <w:sz w:val="21"/>
                <w:szCs w:val="21"/>
              </w:rPr>
            </w:pPr>
          </w:p>
        </w:tc>
        <w:tc>
          <w:tcPr>
            <w:tcW w:w="217" w:type="dxa"/>
          </w:tcPr>
          <w:p w14:paraId="65531C5F" w14:textId="77777777" w:rsidR="002C0FD9" w:rsidRPr="00CA25CF" w:rsidRDefault="002C0FD9" w:rsidP="00CA25CF">
            <w:pPr>
              <w:rPr>
                <w:rFonts w:cs="Arial"/>
                <w:color w:val="FF0000"/>
                <w:sz w:val="21"/>
                <w:szCs w:val="21"/>
              </w:rPr>
            </w:pPr>
          </w:p>
        </w:tc>
        <w:tc>
          <w:tcPr>
            <w:tcW w:w="217" w:type="dxa"/>
          </w:tcPr>
          <w:p w14:paraId="40744C9E" w14:textId="77777777" w:rsidR="002C0FD9" w:rsidRPr="00CA25CF" w:rsidRDefault="002C0FD9" w:rsidP="00CA25CF">
            <w:pPr>
              <w:rPr>
                <w:rFonts w:cs="Arial"/>
                <w:color w:val="FF0000"/>
                <w:sz w:val="21"/>
                <w:szCs w:val="21"/>
              </w:rPr>
            </w:pPr>
          </w:p>
        </w:tc>
        <w:tc>
          <w:tcPr>
            <w:tcW w:w="217" w:type="dxa"/>
          </w:tcPr>
          <w:p w14:paraId="48AC16A6" w14:textId="77777777" w:rsidR="002C0FD9" w:rsidRPr="00CA25CF" w:rsidRDefault="002C0FD9" w:rsidP="00CA25CF">
            <w:pPr>
              <w:rPr>
                <w:rFonts w:cs="Arial"/>
                <w:color w:val="FF0000"/>
                <w:sz w:val="21"/>
                <w:szCs w:val="21"/>
              </w:rPr>
            </w:pPr>
          </w:p>
        </w:tc>
        <w:tc>
          <w:tcPr>
            <w:tcW w:w="217" w:type="dxa"/>
          </w:tcPr>
          <w:p w14:paraId="0CEDC290" w14:textId="77777777" w:rsidR="002C0FD9" w:rsidRPr="00CA25CF" w:rsidRDefault="002C0FD9" w:rsidP="00CA25CF">
            <w:pPr>
              <w:rPr>
                <w:rFonts w:cs="Arial"/>
                <w:color w:val="FF0000"/>
                <w:sz w:val="21"/>
                <w:szCs w:val="21"/>
              </w:rPr>
            </w:pPr>
          </w:p>
        </w:tc>
        <w:tc>
          <w:tcPr>
            <w:tcW w:w="217" w:type="dxa"/>
          </w:tcPr>
          <w:p w14:paraId="184DC324" w14:textId="77777777" w:rsidR="002C0FD9" w:rsidRPr="00CA25CF" w:rsidRDefault="002C0FD9" w:rsidP="00CA25CF">
            <w:pPr>
              <w:rPr>
                <w:rFonts w:cs="Arial"/>
                <w:color w:val="FF0000"/>
                <w:sz w:val="21"/>
                <w:szCs w:val="21"/>
              </w:rPr>
            </w:pPr>
          </w:p>
        </w:tc>
        <w:tc>
          <w:tcPr>
            <w:tcW w:w="217" w:type="dxa"/>
          </w:tcPr>
          <w:p w14:paraId="7A43F1B9" w14:textId="77777777" w:rsidR="002C0FD9" w:rsidRPr="00CA25CF" w:rsidRDefault="002C0FD9" w:rsidP="00CA25CF">
            <w:pPr>
              <w:rPr>
                <w:rFonts w:cs="Arial"/>
                <w:color w:val="FF0000"/>
                <w:sz w:val="21"/>
                <w:szCs w:val="21"/>
              </w:rPr>
            </w:pPr>
          </w:p>
        </w:tc>
        <w:tc>
          <w:tcPr>
            <w:tcW w:w="217" w:type="dxa"/>
          </w:tcPr>
          <w:p w14:paraId="1B9D4883" w14:textId="77777777" w:rsidR="002C0FD9" w:rsidRPr="00CA25CF" w:rsidRDefault="002C0FD9" w:rsidP="00CA25CF">
            <w:pPr>
              <w:rPr>
                <w:rFonts w:cs="Arial"/>
                <w:color w:val="FF0000"/>
                <w:sz w:val="21"/>
                <w:szCs w:val="21"/>
              </w:rPr>
            </w:pPr>
          </w:p>
        </w:tc>
        <w:tc>
          <w:tcPr>
            <w:tcW w:w="217" w:type="dxa"/>
          </w:tcPr>
          <w:p w14:paraId="7BF37844" w14:textId="77777777" w:rsidR="002C0FD9" w:rsidRPr="00CA25CF" w:rsidRDefault="002C0FD9" w:rsidP="00CA25CF">
            <w:pPr>
              <w:rPr>
                <w:rFonts w:cs="Arial"/>
                <w:color w:val="FF0000"/>
                <w:sz w:val="21"/>
                <w:szCs w:val="21"/>
              </w:rPr>
            </w:pPr>
          </w:p>
        </w:tc>
        <w:tc>
          <w:tcPr>
            <w:tcW w:w="217" w:type="dxa"/>
          </w:tcPr>
          <w:p w14:paraId="4659CF20" w14:textId="77777777" w:rsidR="002C0FD9" w:rsidRPr="00CA25CF" w:rsidRDefault="002C0FD9" w:rsidP="00CA25CF">
            <w:pPr>
              <w:rPr>
                <w:rFonts w:cs="Arial"/>
                <w:color w:val="FF0000"/>
                <w:sz w:val="21"/>
                <w:szCs w:val="21"/>
              </w:rPr>
            </w:pPr>
          </w:p>
        </w:tc>
        <w:tc>
          <w:tcPr>
            <w:tcW w:w="217" w:type="dxa"/>
          </w:tcPr>
          <w:p w14:paraId="7E6BD337" w14:textId="77777777" w:rsidR="002C0FD9" w:rsidRPr="00CA25CF" w:rsidRDefault="002C0FD9" w:rsidP="00CA25CF">
            <w:pPr>
              <w:rPr>
                <w:rFonts w:cs="Arial"/>
                <w:color w:val="FF0000"/>
                <w:sz w:val="21"/>
                <w:szCs w:val="21"/>
              </w:rPr>
            </w:pPr>
          </w:p>
        </w:tc>
      </w:tr>
      <w:tr w:rsidR="002C0FD9" w:rsidRPr="00A16219" w14:paraId="582598F9" w14:textId="269C7FBC" w:rsidTr="002C0FD9">
        <w:trPr>
          <w:trHeight w:val="635"/>
        </w:trPr>
        <w:tc>
          <w:tcPr>
            <w:tcW w:w="515" w:type="dxa"/>
          </w:tcPr>
          <w:p w14:paraId="3EA1F260" w14:textId="77777777" w:rsidR="002C0FD9" w:rsidRPr="00CA25CF" w:rsidRDefault="002C0FD9" w:rsidP="00CA25CF">
            <w:pPr>
              <w:rPr>
                <w:rFonts w:cs="Arial"/>
                <w:color w:val="FF0000"/>
                <w:sz w:val="21"/>
                <w:szCs w:val="21"/>
              </w:rPr>
            </w:pPr>
          </w:p>
        </w:tc>
        <w:tc>
          <w:tcPr>
            <w:tcW w:w="217" w:type="dxa"/>
          </w:tcPr>
          <w:p w14:paraId="35F697AF" w14:textId="77777777" w:rsidR="002C0FD9" w:rsidRPr="00CA25CF" w:rsidRDefault="002C0FD9" w:rsidP="00CA25CF">
            <w:pPr>
              <w:rPr>
                <w:rFonts w:cs="Arial"/>
                <w:color w:val="FF0000"/>
                <w:sz w:val="21"/>
                <w:szCs w:val="21"/>
              </w:rPr>
            </w:pPr>
          </w:p>
        </w:tc>
        <w:tc>
          <w:tcPr>
            <w:tcW w:w="217" w:type="dxa"/>
          </w:tcPr>
          <w:p w14:paraId="65DC201E" w14:textId="02C40B6A" w:rsidR="002C0FD9" w:rsidRPr="00CA25CF" w:rsidRDefault="002C0FD9" w:rsidP="00CA25CF">
            <w:pPr>
              <w:rPr>
                <w:rFonts w:cs="Arial"/>
                <w:color w:val="FF0000"/>
                <w:sz w:val="21"/>
                <w:szCs w:val="21"/>
              </w:rPr>
            </w:pPr>
          </w:p>
        </w:tc>
        <w:tc>
          <w:tcPr>
            <w:tcW w:w="217" w:type="dxa"/>
          </w:tcPr>
          <w:p w14:paraId="48C91788" w14:textId="77777777" w:rsidR="002C0FD9" w:rsidRPr="00CA25CF" w:rsidRDefault="002C0FD9" w:rsidP="00CA25CF">
            <w:pPr>
              <w:rPr>
                <w:rFonts w:cs="Arial"/>
                <w:color w:val="FF0000"/>
                <w:sz w:val="21"/>
                <w:szCs w:val="21"/>
              </w:rPr>
            </w:pPr>
          </w:p>
        </w:tc>
        <w:tc>
          <w:tcPr>
            <w:tcW w:w="217" w:type="dxa"/>
          </w:tcPr>
          <w:p w14:paraId="6598A72D" w14:textId="77777777" w:rsidR="002C0FD9" w:rsidRPr="00CA25CF" w:rsidRDefault="002C0FD9" w:rsidP="00CA25CF">
            <w:pPr>
              <w:rPr>
                <w:rFonts w:cs="Arial"/>
                <w:color w:val="FF0000"/>
                <w:sz w:val="21"/>
                <w:szCs w:val="21"/>
              </w:rPr>
            </w:pPr>
          </w:p>
        </w:tc>
        <w:tc>
          <w:tcPr>
            <w:tcW w:w="217" w:type="dxa"/>
          </w:tcPr>
          <w:p w14:paraId="2C526355" w14:textId="77777777" w:rsidR="002C0FD9" w:rsidRPr="00CA25CF" w:rsidRDefault="002C0FD9" w:rsidP="00CA25CF">
            <w:pPr>
              <w:rPr>
                <w:rFonts w:cs="Arial"/>
                <w:color w:val="FF0000"/>
                <w:sz w:val="21"/>
                <w:szCs w:val="21"/>
              </w:rPr>
            </w:pPr>
          </w:p>
        </w:tc>
        <w:tc>
          <w:tcPr>
            <w:tcW w:w="217" w:type="dxa"/>
          </w:tcPr>
          <w:p w14:paraId="6FB982A0" w14:textId="77777777" w:rsidR="002C0FD9" w:rsidRPr="00CA25CF" w:rsidRDefault="002C0FD9" w:rsidP="00CA25CF">
            <w:pPr>
              <w:rPr>
                <w:rFonts w:cs="Arial"/>
                <w:color w:val="FF0000"/>
                <w:sz w:val="21"/>
                <w:szCs w:val="21"/>
              </w:rPr>
            </w:pPr>
          </w:p>
        </w:tc>
        <w:tc>
          <w:tcPr>
            <w:tcW w:w="217" w:type="dxa"/>
          </w:tcPr>
          <w:p w14:paraId="3AD530A8" w14:textId="77777777" w:rsidR="002C0FD9" w:rsidRPr="00CA25CF" w:rsidRDefault="002C0FD9" w:rsidP="00CA25CF">
            <w:pPr>
              <w:rPr>
                <w:rFonts w:cs="Arial"/>
                <w:color w:val="FF0000"/>
                <w:sz w:val="21"/>
                <w:szCs w:val="21"/>
              </w:rPr>
            </w:pPr>
          </w:p>
        </w:tc>
        <w:tc>
          <w:tcPr>
            <w:tcW w:w="217" w:type="dxa"/>
          </w:tcPr>
          <w:p w14:paraId="1FB87287" w14:textId="77777777" w:rsidR="002C0FD9" w:rsidRPr="00CA25CF" w:rsidRDefault="002C0FD9" w:rsidP="00CA25CF">
            <w:pPr>
              <w:rPr>
                <w:rFonts w:cs="Arial"/>
                <w:color w:val="FF0000"/>
                <w:sz w:val="21"/>
                <w:szCs w:val="21"/>
              </w:rPr>
            </w:pPr>
          </w:p>
        </w:tc>
        <w:tc>
          <w:tcPr>
            <w:tcW w:w="217" w:type="dxa"/>
          </w:tcPr>
          <w:p w14:paraId="020E6230" w14:textId="77777777" w:rsidR="002C0FD9" w:rsidRPr="00CA25CF" w:rsidRDefault="002C0FD9" w:rsidP="00CA25CF">
            <w:pPr>
              <w:rPr>
                <w:rFonts w:cs="Arial"/>
                <w:color w:val="FF0000"/>
                <w:sz w:val="21"/>
                <w:szCs w:val="21"/>
              </w:rPr>
            </w:pPr>
          </w:p>
        </w:tc>
        <w:tc>
          <w:tcPr>
            <w:tcW w:w="217" w:type="dxa"/>
          </w:tcPr>
          <w:p w14:paraId="7CD9874D" w14:textId="77777777" w:rsidR="002C0FD9" w:rsidRPr="00CA25CF" w:rsidRDefault="002C0FD9" w:rsidP="00CA25CF">
            <w:pPr>
              <w:rPr>
                <w:rFonts w:cs="Arial"/>
                <w:color w:val="FF0000"/>
                <w:sz w:val="21"/>
                <w:szCs w:val="21"/>
              </w:rPr>
            </w:pPr>
          </w:p>
        </w:tc>
        <w:tc>
          <w:tcPr>
            <w:tcW w:w="217" w:type="dxa"/>
          </w:tcPr>
          <w:p w14:paraId="40289A33" w14:textId="77777777" w:rsidR="002C0FD9" w:rsidRPr="00CA25CF" w:rsidRDefault="002C0FD9" w:rsidP="00CA25CF">
            <w:pPr>
              <w:rPr>
                <w:rFonts w:cs="Arial"/>
                <w:color w:val="FF0000"/>
                <w:sz w:val="21"/>
                <w:szCs w:val="21"/>
              </w:rPr>
            </w:pPr>
          </w:p>
        </w:tc>
        <w:tc>
          <w:tcPr>
            <w:tcW w:w="217" w:type="dxa"/>
          </w:tcPr>
          <w:p w14:paraId="70B05F48" w14:textId="77777777" w:rsidR="002C0FD9" w:rsidRPr="00CA25CF" w:rsidRDefault="002C0FD9" w:rsidP="00CA25CF">
            <w:pPr>
              <w:rPr>
                <w:rFonts w:cs="Arial"/>
                <w:color w:val="FF0000"/>
                <w:sz w:val="21"/>
                <w:szCs w:val="21"/>
              </w:rPr>
            </w:pPr>
          </w:p>
        </w:tc>
        <w:tc>
          <w:tcPr>
            <w:tcW w:w="217" w:type="dxa"/>
          </w:tcPr>
          <w:p w14:paraId="3944354F" w14:textId="77777777" w:rsidR="002C0FD9" w:rsidRPr="00CA25CF" w:rsidRDefault="002C0FD9" w:rsidP="00CA25CF">
            <w:pPr>
              <w:rPr>
                <w:rFonts w:cs="Arial"/>
                <w:color w:val="FF0000"/>
                <w:sz w:val="21"/>
                <w:szCs w:val="21"/>
              </w:rPr>
            </w:pPr>
          </w:p>
        </w:tc>
        <w:tc>
          <w:tcPr>
            <w:tcW w:w="217" w:type="dxa"/>
          </w:tcPr>
          <w:p w14:paraId="08BDDD9C" w14:textId="77777777" w:rsidR="002C0FD9" w:rsidRPr="00CA25CF" w:rsidRDefault="002C0FD9" w:rsidP="00CA25CF">
            <w:pPr>
              <w:rPr>
                <w:rFonts w:cs="Arial"/>
                <w:color w:val="FF0000"/>
                <w:sz w:val="21"/>
                <w:szCs w:val="21"/>
              </w:rPr>
            </w:pPr>
          </w:p>
        </w:tc>
        <w:tc>
          <w:tcPr>
            <w:tcW w:w="217" w:type="dxa"/>
          </w:tcPr>
          <w:p w14:paraId="76EB6F34" w14:textId="77777777" w:rsidR="002C0FD9" w:rsidRPr="00CA25CF" w:rsidRDefault="002C0FD9" w:rsidP="00CA25CF">
            <w:pPr>
              <w:rPr>
                <w:rFonts w:cs="Arial"/>
                <w:color w:val="FF0000"/>
                <w:sz w:val="21"/>
                <w:szCs w:val="21"/>
              </w:rPr>
            </w:pPr>
          </w:p>
        </w:tc>
        <w:tc>
          <w:tcPr>
            <w:tcW w:w="217" w:type="dxa"/>
          </w:tcPr>
          <w:p w14:paraId="41160D4F" w14:textId="77777777" w:rsidR="002C0FD9" w:rsidRPr="00CA25CF" w:rsidRDefault="002C0FD9" w:rsidP="00CA25CF">
            <w:pPr>
              <w:rPr>
                <w:rFonts w:cs="Arial"/>
                <w:color w:val="FF0000"/>
                <w:sz w:val="21"/>
                <w:szCs w:val="21"/>
              </w:rPr>
            </w:pPr>
          </w:p>
        </w:tc>
        <w:tc>
          <w:tcPr>
            <w:tcW w:w="217" w:type="dxa"/>
          </w:tcPr>
          <w:p w14:paraId="06096D70" w14:textId="77777777" w:rsidR="002C0FD9" w:rsidRPr="00CA25CF" w:rsidRDefault="002C0FD9" w:rsidP="00CA25CF">
            <w:pPr>
              <w:rPr>
                <w:rFonts w:cs="Arial"/>
                <w:color w:val="FF0000"/>
                <w:sz w:val="21"/>
                <w:szCs w:val="21"/>
              </w:rPr>
            </w:pPr>
          </w:p>
        </w:tc>
        <w:tc>
          <w:tcPr>
            <w:tcW w:w="217" w:type="dxa"/>
          </w:tcPr>
          <w:p w14:paraId="32B81E15" w14:textId="77777777" w:rsidR="002C0FD9" w:rsidRPr="00CA25CF" w:rsidRDefault="002C0FD9" w:rsidP="00CA25CF">
            <w:pPr>
              <w:rPr>
                <w:rFonts w:cs="Arial"/>
                <w:color w:val="FF0000"/>
                <w:sz w:val="21"/>
                <w:szCs w:val="21"/>
              </w:rPr>
            </w:pPr>
          </w:p>
        </w:tc>
        <w:tc>
          <w:tcPr>
            <w:tcW w:w="217" w:type="dxa"/>
          </w:tcPr>
          <w:p w14:paraId="5C66CE8A" w14:textId="77777777" w:rsidR="002C0FD9" w:rsidRPr="00CA25CF" w:rsidRDefault="002C0FD9" w:rsidP="00CA25CF">
            <w:pPr>
              <w:rPr>
                <w:rFonts w:cs="Arial"/>
                <w:color w:val="FF0000"/>
                <w:sz w:val="21"/>
                <w:szCs w:val="21"/>
              </w:rPr>
            </w:pPr>
          </w:p>
        </w:tc>
        <w:tc>
          <w:tcPr>
            <w:tcW w:w="217" w:type="dxa"/>
          </w:tcPr>
          <w:p w14:paraId="6F0E65D6" w14:textId="77777777" w:rsidR="002C0FD9" w:rsidRPr="00CA25CF" w:rsidRDefault="002C0FD9" w:rsidP="00CA25CF">
            <w:pPr>
              <w:rPr>
                <w:rFonts w:cs="Arial"/>
                <w:color w:val="FF0000"/>
                <w:sz w:val="21"/>
                <w:szCs w:val="21"/>
              </w:rPr>
            </w:pPr>
          </w:p>
        </w:tc>
        <w:tc>
          <w:tcPr>
            <w:tcW w:w="217" w:type="dxa"/>
          </w:tcPr>
          <w:p w14:paraId="1665BD8D" w14:textId="77777777" w:rsidR="002C0FD9" w:rsidRPr="00CA25CF" w:rsidRDefault="002C0FD9" w:rsidP="00CA25CF">
            <w:pPr>
              <w:rPr>
                <w:rFonts w:cs="Arial"/>
                <w:color w:val="FF0000"/>
                <w:sz w:val="21"/>
                <w:szCs w:val="21"/>
              </w:rPr>
            </w:pPr>
          </w:p>
        </w:tc>
        <w:tc>
          <w:tcPr>
            <w:tcW w:w="217" w:type="dxa"/>
          </w:tcPr>
          <w:p w14:paraId="5CDD0505" w14:textId="77777777" w:rsidR="002C0FD9" w:rsidRPr="00CA25CF" w:rsidRDefault="002C0FD9" w:rsidP="00CA25CF">
            <w:pPr>
              <w:rPr>
                <w:rFonts w:cs="Arial"/>
                <w:color w:val="FF0000"/>
                <w:sz w:val="21"/>
                <w:szCs w:val="21"/>
              </w:rPr>
            </w:pPr>
          </w:p>
        </w:tc>
        <w:tc>
          <w:tcPr>
            <w:tcW w:w="217" w:type="dxa"/>
          </w:tcPr>
          <w:p w14:paraId="261673B9" w14:textId="77777777" w:rsidR="002C0FD9" w:rsidRPr="00CA25CF" w:rsidRDefault="002C0FD9" w:rsidP="00CA25CF">
            <w:pPr>
              <w:rPr>
                <w:rFonts w:cs="Arial"/>
                <w:color w:val="FF0000"/>
                <w:sz w:val="21"/>
                <w:szCs w:val="21"/>
              </w:rPr>
            </w:pPr>
          </w:p>
        </w:tc>
        <w:tc>
          <w:tcPr>
            <w:tcW w:w="217" w:type="dxa"/>
          </w:tcPr>
          <w:p w14:paraId="4662510E" w14:textId="77777777" w:rsidR="002C0FD9" w:rsidRPr="00CA25CF" w:rsidRDefault="002C0FD9" w:rsidP="00CA25CF">
            <w:pPr>
              <w:rPr>
                <w:rFonts w:cs="Arial"/>
                <w:color w:val="FF0000"/>
                <w:sz w:val="21"/>
                <w:szCs w:val="21"/>
              </w:rPr>
            </w:pPr>
          </w:p>
        </w:tc>
        <w:tc>
          <w:tcPr>
            <w:tcW w:w="217" w:type="dxa"/>
          </w:tcPr>
          <w:p w14:paraId="44CC5F8D" w14:textId="77777777" w:rsidR="002C0FD9" w:rsidRPr="00CA25CF" w:rsidRDefault="002C0FD9" w:rsidP="00CA25CF">
            <w:pPr>
              <w:rPr>
                <w:rFonts w:cs="Arial"/>
                <w:color w:val="FF0000"/>
                <w:sz w:val="21"/>
                <w:szCs w:val="21"/>
              </w:rPr>
            </w:pPr>
          </w:p>
        </w:tc>
        <w:tc>
          <w:tcPr>
            <w:tcW w:w="217" w:type="dxa"/>
          </w:tcPr>
          <w:p w14:paraId="6F7A796A" w14:textId="77777777" w:rsidR="002C0FD9" w:rsidRPr="00CA25CF" w:rsidRDefault="002C0FD9" w:rsidP="00CA25CF">
            <w:pPr>
              <w:rPr>
                <w:rFonts w:cs="Arial"/>
                <w:color w:val="FF0000"/>
                <w:sz w:val="21"/>
                <w:szCs w:val="21"/>
              </w:rPr>
            </w:pPr>
          </w:p>
        </w:tc>
        <w:tc>
          <w:tcPr>
            <w:tcW w:w="217" w:type="dxa"/>
          </w:tcPr>
          <w:p w14:paraId="4890C581" w14:textId="77777777" w:rsidR="002C0FD9" w:rsidRPr="00CA25CF" w:rsidRDefault="002C0FD9" w:rsidP="00CA25CF">
            <w:pPr>
              <w:rPr>
                <w:rFonts w:cs="Arial"/>
                <w:color w:val="FF0000"/>
                <w:sz w:val="21"/>
                <w:szCs w:val="21"/>
              </w:rPr>
            </w:pPr>
          </w:p>
        </w:tc>
        <w:tc>
          <w:tcPr>
            <w:tcW w:w="217" w:type="dxa"/>
          </w:tcPr>
          <w:p w14:paraId="74F5B236" w14:textId="77777777" w:rsidR="002C0FD9" w:rsidRPr="00CA25CF" w:rsidRDefault="002C0FD9" w:rsidP="00CA25CF">
            <w:pPr>
              <w:rPr>
                <w:rFonts w:cs="Arial"/>
                <w:color w:val="FF0000"/>
                <w:sz w:val="21"/>
                <w:szCs w:val="21"/>
              </w:rPr>
            </w:pPr>
          </w:p>
        </w:tc>
        <w:tc>
          <w:tcPr>
            <w:tcW w:w="217" w:type="dxa"/>
          </w:tcPr>
          <w:p w14:paraId="10C2C558" w14:textId="77777777" w:rsidR="002C0FD9" w:rsidRPr="00CA25CF" w:rsidRDefault="002C0FD9" w:rsidP="00CA25CF">
            <w:pPr>
              <w:rPr>
                <w:rFonts w:cs="Arial"/>
                <w:color w:val="FF0000"/>
                <w:sz w:val="21"/>
                <w:szCs w:val="21"/>
              </w:rPr>
            </w:pPr>
          </w:p>
        </w:tc>
        <w:tc>
          <w:tcPr>
            <w:tcW w:w="217" w:type="dxa"/>
          </w:tcPr>
          <w:p w14:paraId="1B1980E3" w14:textId="77777777" w:rsidR="002C0FD9" w:rsidRPr="00CA25CF" w:rsidRDefault="002C0FD9" w:rsidP="00CA25CF">
            <w:pPr>
              <w:rPr>
                <w:rFonts w:cs="Arial"/>
                <w:color w:val="FF0000"/>
                <w:sz w:val="21"/>
                <w:szCs w:val="21"/>
              </w:rPr>
            </w:pPr>
          </w:p>
        </w:tc>
        <w:tc>
          <w:tcPr>
            <w:tcW w:w="217" w:type="dxa"/>
          </w:tcPr>
          <w:p w14:paraId="3C72359E" w14:textId="77777777" w:rsidR="002C0FD9" w:rsidRPr="00CA25CF" w:rsidRDefault="002C0FD9" w:rsidP="00CA25CF">
            <w:pPr>
              <w:rPr>
                <w:rFonts w:cs="Arial"/>
                <w:color w:val="FF0000"/>
                <w:sz w:val="21"/>
                <w:szCs w:val="21"/>
              </w:rPr>
            </w:pPr>
          </w:p>
        </w:tc>
        <w:tc>
          <w:tcPr>
            <w:tcW w:w="217" w:type="dxa"/>
          </w:tcPr>
          <w:p w14:paraId="047FCE3C" w14:textId="77777777" w:rsidR="002C0FD9" w:rsidRPr="00CA25CF" w:rsidRDefault="002C0FD9" w:rsidP="00CA25CF">
            <w:pPr>
              <w:rPr>
                <w:rFonts w:cs="Arial"/>
                <w:color w:val="FF0000"/>
                <w:sz w:val="21"/>
                <w:szCs w:val="21"/>
              </w:rPr>
            </w:pPr>
          </w:p>
        </w:tc>
        <w:tc>
          <w:tcPr>
            <w:tcW w:w="217" w:type="dxa"/>
          </w:tcPr>
          <w:p w14:paraId="3617937D" w14:textId="77777777" w:rsidR="002C0FD9" w:rsidRPr="00CA25CF" w:rsidRDefault="002C0FD9" w:rsidP="00CA25CF">
            <w:pPr>
              <w:rPr>
                <w:rFonts w:cs="Arial"/>
                <w:color w:val="FF0000"/>
                <w:sz w:val="21"/>
                <w:szCs w:val="21"/>
              </w:rPr>
            </w:pPr>
          </w:p>
        </w:tc>
        <w:tc>
          <w:tcPr>
            <w:tcW w:w="217" w:type="dxa"/>
          </w:tcPr>
          <w:p w14:paraId="4181E506" w14:textId="77777777" w:rsidR="002C0FD9" w:rsidRPr="00CA25CF" w:rsidRDefault="002C0FD9" w:rsidP="00CA25CF">
            <w:pPr>
              <w:rPr>
                <w:rFonts w:cs="Arial"/>
                <w:color w:val="FF0000"/>
                <w:sz w:val="21"/>
                <w:szCs w:val="21"/>
              </w:rPr>
            </w:pPr>
          </w:p>
        </w:tc>
        <w:tc>
          <w:tcPr>
            <w:tcW w:w="217" w:type="dxa"/>
          </w:tcPr>
          <w:p w14:paraId="2F3BDD04" w14:textId="77777777" w:rsidR="002C0FD9" w:rsidRPr="00CA25CF" w:rsidRDefault="002C0FD9" w:rsidP="00CA25CF">
            <w:pPr>
              <w:rPr>
                <w:rFonts w:cs="Arial"/>
                <w:color w:val="FF0000"/>
                <w:sz w:val="21"/>
                <w:szCs w:val="21"/>
              </w:rPr>
            </w:pPr>
          </w:p>
        </w:tc>
        <w:tc>
          <w:tcPr>
            <w:tcW w:w="217" w:type="dxa"/>
          </w:tcPr>
          <w:p w14:paraId="269AA105" w14:textId="77777777" w:rsidR="002C0FD9" w:rsidRPr="00CA25CF" w:rsidRDefault="002C0FD9" w:rsidP="00CA25CF">
            <w:pPr>
              <w:rPr>
                <w:rFonts w:cs="Arial"/>
                <w:color w:val="FF0000"/>
                <w:sz w:val="21"/>
                <w:szCs w:val="21"/>
              </w:rPr>
            </w:pPr>
          </w:p>
        </w:tc>
        <w:tc>
          <w:tcPr>
            <w:tcW w:w="217" w:type="dxa"/>
          </w:tcPr>
          <w:p w14:paraId="152009FF" w14:textId="77777777" w:rsidR="002C0FD9" w:rsidRPr="00CA25CF" w:rsidRDefault="002C0FD9" w:rsidP="00CA25CF">
            <w:pPr>
              <w:rPr>
                <w:rFonts w:cs="Arial"/>
                <w:color w:val="FF0000"/>
                <w:sz w:val="21"/>
                <w:szCs w:val="21"/>
              </w:rPr>
            </w:pPr>
          </w:p>
        </w:tc>
        <w:tc>
          <w:tcPr>
            <w:tcW w:w="217" w:type="dxa"/>
          </w:tcPr>
          <w:p w14:paraId="092C3290" w14:textId="77777777" w:rsidR="002C0FD9" w:rsidRPr="00CA25CF" w:rsidRDefault="002C0FD9" w:rsidP="00CA25CF">
            <w:pPr>
              <w:rPr>
                <w:rFonts w:cs="Arial"/>
                <w:color w:val="FF0000"/>
                <w:sz w:val="21"/>
                <w:szCs w:val="21"/>
              </w:rPr>
            </w:pPr>
          </w:p>
        </w:tc>
        <w:tc>
          <w:tcPr>
            <w:tcW w:w="217" w:type="dxa"/>
          </w:tcPr>
          <w:p w14:paraId="7F9C7741" w14:textId="77777777" w:rsidR="002C0FD9" w:rsidRPr="00CA25CF" w:rsidRDefault="002C0FD9" w:rsidP="00CA25CF">
            <w:pPr>
              <w:rPr>
                <w:rFonts w:cs="Arial"/>
                <w:color w:val="FF0000"/>
                <w:sz w:val="21"/>
                <w:szCs w:val="21"/>
              </w:rPr>
            </w:pPr>
          </w:p>
        </w:tc>
        <w:tc>
          <w:tcPr>
            <w:tcW w:w="217" w:type="dxa"/>
          </w:tcPr>
          <w:p w14:paraId="3097FA9D" w14:textId="77777777" w:rsidR="002C0FD9" w:rsidRPr="00CA25CF" w:rsidRDefault="002C0FD9" w:rsidP="00CA25CF">
            <w:pPr>
              <w:rPr>
                <w:rFonts w:cs="Arial"/>
                <w:color w:val="FF0000"/>
                <w:sz w:val="21"/>
                <w:szCs w:val="21"/>
              </w:rPr>
            </w:pPr>
          </w:p>
        </w:tc>
        <w:tc>
          <w:tcPr>
            <w:tcW w:w="217" w:type="dxa"/>
          </w:tcPr>
          <w:p w14:paraId="51763891" w14:textId="77777777" w:rsidR="002C0FD9" w:rsidRPr="00CA25CF" w:rsidRDefault="002C0FD9" w:rsidP="00CA25CF">
            <w:pPr>
              <w:rPr>
                <w:rFonts w:cs="Arial"/>
                <w:color w:val="FF0000"/>
                <w:sz w:val="21"/>
                <w:szCs w:val="21"/>
              </w:rPr>
            </w:pPr>
          </w:p>
        </w:tc>
        <w:tc>
          <w:tcPr>
            <w:tcW w:w="217" w:type="dxa"/>
          </w:tcPr>
          <w:p w14:paraId="3F650338" w14:textId="77777777" w:rsidR="002C0FD9" w:rsidRPr="00CA25CF" w:rsidRDefault="002C0FD9" w:rsidP="00CA25CF">
            <w:pPr>
              <w:rPr>
                <w:rFonts w:cs="Arial"/>
                <w:color w:val="FF0000"/>
                <w:sz w:val="21"/>
                <w:szCs w:val="21"/>
              </w:rPr>
            </w:pPr>
          </w:p>
        </w:tc>
      </w:tr>
      <w:tr w:rsidR="002C0FD9" w:rsidRPr="00A16219" w14:paraId="02D36F54" w14:textId="740BE79D" w:rsidTr="002C0FD9">
        <w:trPr>
          <w:trHeight w:val="635"/>
        </w:trPr>
        <w:tc>
          <w:tcPr>
            <w:tcW w:w="515" w:type="dxa"/>
          </w:tcPr>
          <w:p w14:paraId="356A5EA0" w14:textId="77777777" w:rsidR="002C0FD9" w:rsidRPr="00CA25CF" w:rsidRDefault="002C0FD9" w:rsidP="00CA25CF">
            <w:pPr>
              <w:rPr>
                <w:rFonts w:cs="Arial"/>
                <w:color w:val="FF0000"/>
                <w:sz w:val="21"/>
                <w:szCs w:val="21"/>
              </w:rPr>
            </w:pPr>
          </w:p>
        </w:tc>
        <w:tc>
          <w:tcPr>
            <w:tcW w:w="217" w:type="dxa"/>
          </w:tcPr>
          <w:p w14:paraId="4F249A26" w14:textId="77777777" w:rsidR="002C0FD9" w:rsidRPr="00CA25CF" w:rsidRDefault="002C0FD9" w:rsidP="00CA25CF">
            <w:pPr>
              <w:rPr>
                <w:rFonts w:cs="Arial"/>
                <w:color w:val="FF0000"/>
                <w:sz w:val="21"/>
                <w:szCs w:val="21"/>
              </w:rPr>
            </w:pPr>
          </w:p>
        </w:tc>
        <w:tc>
          <w:tcPr>
            <w:tcW w:w="217" w:type="dxa"/>
          </w:tcPr>
          <w:p w14:paraId="4CBCF59E" w14:textId="1E44C41F" w:rsidR="002C0FD9" w:rsidRPr="00CA25CF" w:rsidRDefault="002C0FD9" w:rsidP="00CA25CF">
            <w:pPr>
              <w:rPr>
                <w:rFonts w:cs="Arial"/>
                <w:color w:val="FF0000"/>
                <w:sz w:val="21"/>
                <w:szCs w:val="21"/>
              </w:rPr>
            </w:pPr>
          </w:p>
        </w:tc>
        <w:tc>
          <w:tcPr>
            <w:tcW w:w="217" w:type="dxa"/>
          </w:tcPr>
          <w:p w14:paraId="082791E8" w14:textId="77777777" w:rsidR="002C0FD9" w:rsidRPr="00CA25CF" w:rsidRDefault="002C0FD9" w:rsidP="00CA25CF">
            <w:pPr>
              <w:rPr>
                <w:rFonts w:cs="Arial"/>
                <w:color w:val="FF0000"/>
                <w:sz w:val="21"/>
                <w:szCs w:val="21"/>
              </w:rPr>
            </w:pPr>
          </w:p>
        </w:tc>
        <w:tc>
          <w:tcPr>
            <w:tcW w:w="217" w:type="dxa"/>
          </w:tcPr>
          <w:p w14:paraId="71152D25" w14:textId="77777777" w:rsidR="002C0FD9" w:rsidRPr="00CA25CF" w:rsidRDefault="002C0FD9" w:rsidP="00CA25CF">
            <w:pPr>
              <w:rPr>
                <w:rFonts w:cs="Arial"/>
                <w:color w:val="FF0000"/>
                <w:sz w:val="21"/>
                <w:szCs w:val="21"/>
              </w:rPr>
            </w:pPr>
          </w:p>
        </w:tc>
        <w:tc>
          <w:tcPr>
            <w:tcW w:w="217" w:type="dxa"/>
          </w:tcPr>
          <w:p w14:paraId="5471E9AA" w14:textId="77777777" w:rsidR="002C0FD9" w:rsidRPr="00CA25CF" w:rsidRDefault="002C0FD9" w:rsidP="00CA25CF">
            <w:pPr>
              <w:rPr>
                <w:rFonts w:cs="Arial"/>
                <w:color w:val="FF0000"/>
                <w:sz w:val="21"/>
                <w:szCs w:val="21"/>
              </w:rPr>
            </w:pPr>
          </w:p>
        </w:tc>
        <w:tc>
          <w:tcPr>
            <w:tcW w:w="217" w:type="dxa"/>
          </w:tcPr>
          <w:p w14:paraId="311DF6F3" w14:textId="77777777" w:rsidR="002C0FD9" w:rsidRPr="00CA25CF" w:rsidRDefault="002C0FD9" w:rsidP="00CA25CF">
            <w:pPr>
              <w:rPr>
                <w:rFonts w:cs="Arial"/>
                <w:color w:val="FF0000"/>
                <w:sz w:val="21"/>
                <w:szCs w:val="21"/>
              </w:rPr>
            </w:pPr>
          </w:p>
        </w:tc>
        <w:tc>
          <w:tcPr>
            <w:tcW w:w="217" w:type="dxa"/>
          </w:tcPr>
          <w:p w14:paraId="65979A19" w14:textId="77777777" w:rsidR="002C0FD9" w:rsidRPr="00CA25CF" w:rsidRDefault="002C0FD9" w:rsidP="00CA25CF">
            <w:pPr>
              <w:rPr>
                <w:rFonts w:cs="Arial"/>
                <w:color w:val="FF0000"/>
                <w:sz w:val="21"/>
                <w:szCs w:val="21"/>
              </w:rPr>
            </w:pPr>
          </w:p>
        </w:tc>
        <w:tc>
          <w:tcPr>
            <w:tcW w:w="217" w:type="dxa"/>
          </w:tcPr>
          <w:p w14:paraId="03FF986A" w14:textId="77777777" w:rsidR="002C0FD9" w:rsidRPr="00CA25CF" w:rsidRDefault="002C0FD9" w:rsidP="00CA25CF">
            <w:pPr>
              <w:rPr>
                <w:rFonts w:cs="Arial"/>
                <w:color w:val="FF0000"/>
                <w:sz w:val="21"/>
                <w:szCs w:val="21"/>
              </w:rPr>
            </w:pPr>
          </w:p>
        </w:tc>
        <w:tc>
          <w:tcPr>
            <w:tcW w:w="217" w:type="dxa"/>
          </w:tcPr>
          <w:p w14:paraId="7F86BA20" w14:textId="77777777" w:rsidR="002C0FD9" w:rsidRPr="00CA25CF" w:rsidRDefault="002C0FD9" w:rsidP="00CA25CF">
            <w:pPr>
              <w:rPr>
                <w:rFonts w:cs="Arial"/>
                <w:color w:val="FF0000"/>
                <w:sz w:val="21"/>
                <w:szCs w:val="21"/>
              </w:rPr>
            </w:pPr>
          </w:p>
        </w:tc>
        <w:tc>
          <w:tcPr>
            <w:tcW w:w="217" w:type="dxa"/>
          </w:tcPr>
          <w:p w14:paraId="6E9F507D" w14:textId="77777777" w:rsidR="002C0FD9" w:rsidRPr="00CA25CF" w:rsidRDefault="002C0FD9" w:rsidP="00CA25CF">
            <w:pPr>
              <w:rPr>
                <w:rFonts w:cs="Arial"/>
                <w:color w:val="FF0000"/>
                <w:sz w:val="21"/>
                <w:szCs w:val="21"/>
              </w:rPr>
            </w:pPr>
          </w:p>
        </w:tc>
        <w:tc>
          <w:tcPr>
            <w:tcW w:w="217" w:type="dxa"/>
          </w:tcPr>
          <w:p w14:paraId="70DFB6C8" w14:textId="77777777" w:rsidR="002C0FD9" w:rsidRPr="00CA25CF" w:rsidRDefault="002C0FD9" w:rsidP="00CA25CF">
            <w:pPr>
              <w:rPr>
                <w:rFonts w:cs="Arial"/>
                <w:color w:val="FF0000"/>
                <w:sz w:val="21"/>
                <w:szCs w:val="21"/>
              </w:rPr>
            </w:pPr>
          </w:p>
        </w:tc>
        <w:tc>
          <w:tcPr>
            <w:tcW w:w="217" w:type="dxa"/>
          </w:tcPr>
          <w:p w14:paraId="5173FBBC" w14:textId="77777777" w:rsidR="002C0FD9" w:rsidRPr="00CA25CF" w:rsidRDefault="002C0FD9" w:rsidP="00CA25CF">
            <w:pPr>
              <w:rPr>
                <w:rFonts w:cs="Arial"/>
                <w:color w:val="FF0000"/>
                <w:sz w:val="21"/>
                <w:szCs w:val="21"/>
              </w:rPr>
            </w:pPr>
          </w:p>
        </w:tc>
        <w:tc>
          <w:tcPr>
            <w:tcW w:w="217" w:type="dxa"/>
          </w:tcPr>
          <w:p w14:paraId="698D367B" w14:textId="77777777" w:rsidR="002C0FD9" w:rsidRPr="00CA25CF" w:rsidRDefault="002C0FD9" w:rsidP="00CA25CF">
            <w:pPr>
              <w:rPr>
                <w:rFonts w:cs="Arial"/>
                <w:color w:val="FF0000"/>
                <w:sz w:val="21"/>
                <w:szCs w:val="21"/>
              </w:rPr>
            </w:pPr>
          </w:p>
        </w:tc>
        <w:tc>
          <w:tcPr>
            <w:tcW w:w="217" w:type="dxa"/>
          </w:tcPr>
          <w:p w14:paraId="69700F0E" w14:textId="77777777" w:rsidR="002C0FD9" w:rsidRPr="00CA25CF" w:rsidRDefault="002C0FD9" w:rsidP="00CA25CF">
            <w:pPr>
              <w:rPr>
                <w:rFonts w:cs="Arial"/>
                <w:color w:val="FF0000"/>
                <w:sz w:val="21"/>
                <w:szCs w:val="21"/>
              </w:rPr>
            </w:pPr>
          </w:p>
        </w:tc>
        <w:tc>
          <w:tcPr>
            <w:tcW w:w="217" w:type="dxa"/>
          </w:tcPr>
          <w:p w14:paraId="0AFE8E64" w14:textId="77777777" w:rsidR="002C0FD9" w:rsidRPr="00CA25CF" w:rsidRDefault="002C0FD9" w:rsidP="00CA25CF">
            <w:pPr>
              <w:rPr>
                <w:rFonts w:cs="Arial"/>
                <w:color w:val="FF0000"/>
                <w:sz w:val="21"/>
                <w:szCs w:val="21"/>
              </w:rPr>
            </w:pPr>
          </w:p>
        </w:tc>
        <w:tc>
          <w:tcPr>
            <w:tcW w:w="217" w:type="dxa"/>
          </w:tcPr>
          <w:p w14:paraId="62A940EF" w14:textId="77777777" w:rsidR="002C0FD9" w:rsidRPr="00CA25CF" w:rsidRDefault="002C0FD9" w:rsidP="00CA25CF">
            <w:pPr>
              <w:rPr>
                <w:rFonts w:cs="Arial"/>
                <w:color w:val="FF0000"/>
                <w:sz w:val="21"/>
                <w:szCs w:val="21"/>
              </w:rPr>
            </w:pPr>
          </w:p>
        </w:tc>
        <w:tc>
          <w:tcPr>
            <w:tcW w:w="217" w:type="dxa"/>
          </w:tcPr>
          <w:p w14:paraId="122CE9EB" w14:textId="77777777" w:rsidR="002C0FD9" w:rsidRPr="00CA25CF" w:rsidRDefault="002C0FD9" w:rsidP="00CA25CF">
            <w:pPr>
              <w:rPr>
                <w:rFonts w:cs="Arial"/>
                <w:color w:val="FF0000"/>
                <w:sz w:val="21"/>
                <w:szCs w:val="21"/>
              </w:rPr>
            </w:pPr>
          </w:p>
        </w:tc>
        <w:tc>
          <w:tcPr>
            <w:tcW w:w="217" w:type="dxa"/>
          </w:tcPr>
          <w:p w14:paraId="60168EB9" w14:textId="77777777" w:rsidR="002C0FD9" w:rsidRPr="00CA25CF" w:rsidRDefault="002C0FD9" w:rsidP="00CA25CF">
            <w:pPr>
              <w:rPr>
                <w:rFonts w:cs="Arial"/>
                <w:color w:val="FF0000"/>
                <w:sz w:val="21"/>
                <w:szCs w:val="21"/>
              </w:rPr>
            </w:pPr>
          </w:p>
        </w:tc>
        <w:tc>
          <w:tcPr>
            <w:tcW w:w="217" w:type="dxa"/>
          </w:tcPr>
          <w:p w14:paraId="5C6E2B71" w14:textId="77777777" w:rsidR="002C0FD9" w:rsidRPr="00CA25CF" w:rsidRDefault="002C0FD9" w:rsidP="00CA25CF">
            <w:pPr>
              <w:rPr>
                <w:rFonts w:cs="Arial"/>
                <w:color w:val="FF0000"/>
                <w:sz w:val="21"/>
                <w:szCs w:val="21"/>
              </w:rPr>
            </w:pPr>
          </w:p>
        </w:tc>
        <w:tc>
          <w:tcPr>
            <w:tcW w:w="217" w:type="dxa"/>
          </w:tcPr>
          <w:p w14:paraId="09857EE5" w14:textId="77777777" w:rsidR="002C0FD9" w:rsidRPr="00CA25CF" w:rsidRDefault="002C0FD9" w:rsidP="00CA25CF">
            <w:pPr>
              <w:rPr>
                <w:rFonts w:cs="Arial"/>
                <w:color w:val="FF0000"/>
                <w:sz w:val="21"/>
                <w:szCs w:val="21"/>
              </w:rPr>
            </w:pPr>
          </w:p>
        </w:tc>
        <w:tc>
          <w:tcPr>
            <w:tcW w:w="217" w:type="dxa"/>
          </w:tcPr>
          <w:p w14:paraId="6161DFCC" w14:textId="77777777" w:rsidR="002C0FD9" w:rsidRPr="00CA25CF" w:rsidRDefault="002C0FD9" w:rsidP="00CA25CF">
            <w:pPr>
              <w:rPr>
                <w:rFonts w:cs="Arial"/>
                <w:color w:val="FF0000"/>
                <w:sz w:val="21"/>
                <w:szCs w:val="21"/>
              </w:rPr>
            </w:pPr>
          </w:p>
        </w:tc>
        <w:tc>
          <w:tcPr>
            <w:tcW w:w="217" w:type="dxa"/>
          </w:tcPr>
          <w:p w14:paraId="07C16B46" w14:textId="77777777" w:rsidR="002C0FD9" w:rsidRPr="00CA25CF" w:rsidRDefault="002C0FD9" w:rsidP="00CA25CF">
            <w:pPr>
              <w:rPr>
                <w:rFonts w:cs="Arial"/>
                <w:color w:val="FF0000"/>
                <w:sz w:val="21"/>
                <w:szCs w:val="21"/>
              </w:rPr>
            </w:pPr>
          </w:p>
        </w:tc>
        <w:tc>
          <w:tcPr>
            <w:tcW w:w="217" w:type="dxa"/>
          </w:tcPr>
          <w:p w14:paraId="223D0BDD" w14:textId="77777777" w:rsidR="002C0FD9" w:rsidRPr="00CA25CF" w:rsidRDefault="002C0FD9" w:rsidP="00CA25CF">
            <w:pPr>
              <w:rPr>
                <w:rFonts w:cs="Arial"/>
                <w:color w:val="FF0000"/>
                <w:sz w:val="21"/>
                <w:szCs w:val="21"/>
              </w:rPr>
            </w:pPr>
          </w:p>
        </w:tc>
        <w:tc>
          <w:tcPr>
            <w:tcW w:w="217" w:type="dxa"/>
          </w:tcPr>
          <w:p w14:paraId="1AFCCFF0" w14:textId="77777777" w:rsidR="002C0FD9" w:rsidRPr="00CA25CF" w:rsidRDefault="002C0FD9" w:rsidP="00CA25CF">
            <w:pPr>
              <w:rPr>
                <w:rFonts w:cs="Arial"/>
                <w:color w:val="FF0000"/>
                <w:sz w:val="21"/>
                <w:szCs w:val="21"/>
              </w:rPr>
            </w:pPr>
          </w:p>
        </w:tc>
        <w:tc>
          <w:tcPr>
            <w:tcW w:w="217" w:type="dxa"/>
          </w:tcPr>
          <w:p w14:paraId="6FC1FBEF" w14:textId="77777777" w:rsidR="002C0FD9" w:rsidRPr="00CA25CF" w:rsidRDefault="002C0FD9" w:rsidP="00CA25CF">
            <w:pPr>
              <w:rPr>
                <w:rFonts w:cs="Arial"/>
                <w:color w:val="FF0000"/>
                <w:sz w:val="21"/>
                <w:szCs w:val="21"/>
              </w:rPr>
            </w:pPr>
          </w:p>
        </w:tc>
        <w:tc>
          <w:tcPr>
            <w:tcW w:w="217" w:type="dxa"/>
          </w:tcPr>
          <w:p w14:paraId="7FEAE02E" w14:textId="77777777" w:rsidR="002C0FD9" w:rsidRPr="00CA25CF" w:rsidRDefault="002C0FD9" w:rsidP="00CA25CF">
            <w:pPr>
              <w:rPr>
                <w:rFonts w:cs="Arial"/>
                <w:color w:val="FF0000"/>
                <w:sz w:val="21"/>
                <w:szCs w:val="21"/>
              </w:rPr>
            </w:pPr>
          </w:p>
        </w:tc>
        <w:tc>
          <w:tcPr>
            <w:tcW w:w="217" w:type="dxa"/>
          </w:tcPr>
          <w:p w14:paraId="70A7352D" w14:textId="77777777" w:rsidR="002C0FD9" w:rsidRPr="00CA25CF" w:rsidRDefault="002C0FD9" w:rsidP="00CA25CF">
            <w:pPr>
              <w:rPr>
                <w:rFonts w:cs="Arial"/>
                <w:color w:val="FF0000"/>
                <w:sz w:val="21"/>
                <w:szCs w:val="21"/>
              </w:rPr>
            </w:pPr>
          </w:p>
        </w:tc>
        <w:tc>
          <w:tcPr>
            <w:tcW w:w="217" w:type="dxa"/>
          </w:tcPr>
          <w:p w14:paraId="59AFF1E9" w14:textId="77777777" w:rsidR="002C0FD9" w:rsidRPr="00CA25CF" w:rsidRDefault="002C0FD9" w:rsidP="00CA25CF">
            <w:pPr>
              <w:rPr>
                <w:rFonts w:cs="Arial"/>
                <w:color w:val="FF0000"/>
                <w:sz w:val="21"/>
                <w:szCs w:val="21"/>
              </w:rPr>
            </w:pPr>
          </w:p>
        </w:tc>
        <w:tc>
          <w:tcPr>
            <w:tcW w:w="217" w:type="dxa"/>
          </w:tcPr>
          <w:p w14:paraId="4DE06D82" w14:textId="77777777" w:rsidR="002C0FD9" w:rsidRPr="00CA25CF" w:rsidRDefault="002C0FD9" w:rsidP="00CA25CF">
            <w:pPr>
              <w:rPr>
                <w:rFonts w:cs="Arial"/>
                <w:color w:val="FF0000"/>
                <w:sz w:val="21"/>
                <w:szCs w:val="21"/>
              </w:rPr>
            </w:pPr>
          </w:p>
        </w:tc>
        <w:tc>
          <w:tcPr>
            <w:tcW w:w="217" w:type="dxa"/>
          </w:tcPr>
          <w:p w14:paraId="35D5E35A" w14:textId="77777777" w:rsidR="002C0FD9" w:rsidRPr="00CA25CF" w:rsidRDefault="002C0FD9" w:rsidP="00CA25CF">
            <w:pPr>
              <w:rPr>
                <w:rFonts w:cs="Arial"/>
                <w:color w:val="FF0000"/>
                <w:sz w:val="21"/>
                <w:szCs w:val="21"/>
              </w:rPr>
            </w:pPr>
          </w:p>
        </w:tc>
        <w:tc>
          <w:tcPr>
            <w:tcW w:w="217" w:type="dxa"/>
          </w:tcPr>
          <w:p w14:paraId="697FC657" w14:textId="77777777" w:rsidR="002C0FD9" w:rsidRPr="00CA25CF" w:rsidRDefault="002C0FD9" w:rsidP="00CA25CF">
            <w:pPr>
              <w:rPr>
                <w:rFonts w:cs="Arial"/>
                <w:color w:val="FF0000"/>
                <w:sz w:val="21"/>
                <w:szCs w:val="21"/>
              </w:rPr>
            </w:pPr>
          </w:p>
        </w:tc>
        <w:tc>
          <w:tcPr>
            <w:tcW w:w="217" w:type="dxa"/>
          </w:tcPr>
          <w:p w14:paraId="65E8DEDB" w14:textId="77777777" w:rsidR="002C0FD9" w:rsidRPr="00CA25CF" w:rsidRDefault="002C0FD9" w:rsidP="00CA25CF">
            <w:pPr>
              <w:rPr>
                <w:rFonts w:cs="Arial"/>
                <w:color w:val="FF0000"/>
                <w:sz w:val="21"/>
                <w:szCs w:val="21"/>
              </w:rPr>
            </w:pPr>
          </w:p>
        </w:tc>
        <w:tc>
          <w:tcPr>
            <w:tcW w:w="217" w:type="dxa"/>
          </w:tcPr>
          <w:p w14:paraId="31BA5CF0" w14:textId="77777777" w:rsidR="002C0FD9" w:rsidRPr="00CA25CF" w:rsidRDefault="002C0FD9" w:rsidP="00CA25CF">
            <w:pPr>
              <w:rPr>
                <w:rFonts w:cs="Arial"/>
                <w:color w:val="FF0000"/>
                <w:sz w:val="21"/>
                <w:szCs w:val="21"/>
              </w:rPr>
            </w:pPr>
          </w:p>
        </w:tc>
        <w:tc>
          <w:tcPr>
            <w:tcW w:w="217" w:type="dxa"/>
          </w:tcPr>
          <w:p w14:paraId="558C33CF" w14:textId="77777777" w:rsidR="002C0FD9" w:rsidRPr="00CA25CF" w:rsidRDefault="002C0FD9" w:rsidP="00CA25CF">
            <w:pPr>
              <w:rPr>
                <w:rFonts w:cs="Arial"/>
                <w:color w:val="FF0000"/>
                <w:sz w:val="21"/>
                <w:szCs w:val="21"/>
              </w:rPr>
            </w:pPr>
          </w:p>
        </w:tc>
        <w:tc>
          <w:tcPr>
            <w:tcW w:w="217" w:type="dxa"/>
          </w:tcPr>
          <w:p w14:paraId="7EAC771E" w14:textId="77777777" w:rsidR="002C0FD9" w:rsidRPr="00CA25CF" w:rsidRDefault="002C0FD9" w:rsidP="00CA25CF">
            <w:pPr>
              <w:rPr>
                <w:rFonts w:cs="Arial"/>
                <w:color w:val="FF0000"/>
                <w:sz w:val="21"/>
                <w:szCs w:val="21"/>
              </w:rPr>
            </w:pPr>
          </w:p>
        </w:tc>
        <w:tc>
          <w:tcPr>
            <w:tcW w:w="217" w:type="dxa"/>
          </w:tcPr>
          <w:p w14:paraId="3962C1D2" w14:textId="77777777" w:rsidR="002C0FD9" w:rsidRPr="00CA25CF" w:rsidRDefault="002C0FD9" w:rsidP="00CA25CF">
            <w:pPr>
              <w:rPr>
                <w:rFonts w:cs="Arial"/>
                <w:color w:val="FF0000"/>
                <w:sz w:val="21"/>
                <w:szCs w:val="21"/>
              </w:rPr>
            </w:pPr>
          </w:p>
        </w:tc>
        <w:tc>
          <w:tcPr>
            <w:tcW w:w="217" w:type="dxa"/>
          </w:tcPr>
          <w:p w14:paraId="1CB25BCD" w14:textId="77777777" w:rsidR="002C0FD9" w:rsidRPr="00CA25CF" w:rsidRDefault="002C0FD9" w:rsidP="00CA25CF">
            <w:pPr>
              <w:rPr>
                <w:rFonts w:cs="Arial"/>
                <w:color w:val="FF0000"/>
                <w:sz w:val="21"/>
                <w:szCs w:val="21"/>
              </w:rPr>
            </w:pPr>
          </w:p>
        </w:tc>
        <w:tc>
          <w:tcPr>
            <w:tcW w:w="217" w:type="dxa"/>
          </w:tcPr>
          <w:p w14:paraId="01787808" w14:textId="77777777" w:rsidR="002C0FD9" w:rsidRPr="00CA25CF" w:rsidRDefault="002C0FD9" w:rsidP="00CA25CF">
            <w:pPr>
              <w:rPr>
                <w:rFonts w:cs="Arial"/>
                <w:color w:val="FF0000"/>
                <w:sz w:val="21"/>
                <w:szCs w:val="21"/>
              </w:rPr>
            </w:pPr>
          </w:p>
        </w:tc>
        <w:tc>
          <w:tcPr>
            <w:tcW w:w="217" w:type="dxa"/>
          </w:tcPr>
          <w:p w14:paraId="05A172FF" w14:textId="77777777" w:rsidR="002C0FD9" w:rsidRPr="00CA25CF" w:rsidRDefault="002C0FD9" w:rsidP="00CA25CF">
            <w:pPr>
              <w:rPr>
                <w:rFonts w:cs="Arial"/>
                <w:color w:val="FF0000"/>
                <w:sz w:val="21"/>
                <w:szCs w:val="21"/>
              </w:rPr>
            </w:pPr>
          </w:p>
        </w:tc>
        <w:tc>
          <w:tcPr>
            <w:tcW w:w="217" w:type="dxa"/>
          </w:tcPr>
          <w:p w14:paraId="1DC55AEF" w14:textId="77777777" w:rsidR="002C0FD9" w:rsidRPr="00CA25CF" w:rsidRDefault="002C0FD9" w:rsidP="00CA25CF">
            <w:pPr>
              <w:rPr>
                <w:rFonts w:cs="Arial"/>
                <w:color w:val="FF0000"/>
                <w:sz w:val="21"/>
                <w:szCs w:val="21"/>
              </w:rPr>
            </w:pPr>
          </w:p>
        </w:tc>
        <w:tc>
          <w:tcPr>
            <w:tcW w:w="217" w:type="dxa"/>
          </w:tcPr>
          <w:p w14:paraId="373E4DF1" w14:textId="77777777" w:rsidR="002C0FD9" w:rsidRPr="00CA25CF" w:rsidRDefault="002C0FD9" w:rsidP="00CA25CF">
            <w:pPr>
              <w:rPr>
                <w:rFonts w:cs="Arial"/>
                <w:color w:val="FF0000"/>
                <w:sz w:val="21"/>
                <w:szCs w:val="21"/>
              </w:rPr>
            </w:pPr>
          </w:p>
        </w:tc>
        <w:tc>
          <w:tcPr>
            <w:tcW w:w="217" w:type="dxa"/>
          </w:tcPr>
          <w:p w14:paraId="6C40E0D7" w14:textId="77777777" w:rsidR="002C0FD9" w:rsidRPr="00CA25CF" w:rsidRDefault="002C0FD9" w:rsidP="00CA25CF">
            <w:pPr>
              <w:rPr>
                <w:rFonts w:cs="Arial"/>
                <w:color w:val="FF0000"/>
                <w:sz w:val="21"/>
                <w:szCs w:val="21"/>
              </w:rPr>
            </w:pPr>
          </w:p>
        </w:tc>
      </w:tr>
      <w:tr w:rsidR="002C0FD9" w:rsidRPr="00A16219" w14:paraId="5082B1F7" w14:textId="4C77204B" w:rsidTr="002C0FD9">
        <w:trPr>
          <w:trHeight w:val="635"/>
        </w:trPr>
        <w:tc>
          <w:tcPr>
            <w:tcW w:w="515" w:type="dxa"/>
          </w:tcPr>
          <w:p w14:paraId="0462914E" w14:textId="77777777" w:rsidR="002C0FD9" w:rsidRPr="00CA25CF" w:rsidRDefault="002C0FD9" w:rsidP="00CA25CF">
            <w:pPr>
              <w:rPr>
                <w:rFonts w:cs="Arial"/>
                <w:color w:val="FF0000"/>
                <w:sz w:val="21"/>
                <w:szCs w:val="21"/>
              </w:rPr>
            </w:pPr>
          </w:p>
        </w:tc>
        <w:tc>
          <w:tcPr>
            <w:tcW w:w="217" w:type="dxa"/>
          </w:tcPr>
          <w:p w14:paraId="4261D70D" w14:textId="77777777" w:rsidR="002C0FD9" w:rsidRPr="00CA25CF" w:rsidRDefault="002C0FD9" w:rsidP="00CA25CF">
            <w:pPr>
              <w:rPr>
                <w:rFonts w:cs="Arial"/>
                <w:color w:val="FF0000"/>
                <w:sz w:val="21"/>
                <w:szCs w:val="21"/>
              </w:rPr>
            </w:pPr>
          </w:p>
        </w:tc>
        <w:tc>
          <w:tcPr>
            <w:tcW w:w="217" w:type="dxa"/>
          </w:tcPr>
          <w:p w14:paraId="546D221F" w14:textId="19FAB797" w:rsidR="002C0FD9" w:rsidRPr="00CA25CF" w:rsidRDefault="002C0FD9" w:rsidP="00CA25CF">
            <w:pPr>
              <w:rPr>
                <w:rFonts w:cs="Arial"/>
                <w:color w:val="FF0000"/>
                <w:sz w:val="21"/>
                <w:szCs w:val="21"/>
              </w:rPr>
            </w:pPr>
          </w:p>
        </w:tc>
        <w:tc>
          <w:tcPr>
            <w:tcW w:w="217" w:type="dxa"/>
          </w:tcPr>
          <w:p w14:paraId="79C2E65B" w14:textId="77777777" w:rsidR="002C0FD9" w:rsidRPr="00CA25CF" w:rsidRDefault="002C0FD9" w:rsidP="00CA25CF">
            <w:pPr>
              <w:rPr>
                <w:rFonts w:cs="Arial"/>
                <w:color w:val="FF0000"/>
                <w:sz w:val="21"/>
                <w:szCs w:val="21"/>
              </w:rPr>
            </w:pPr>
          </w:p>
        </w:tc>
        <w:tc>
          <w:tcPr>
            <w:tcW w:w="217" w:type="dxa"/>
          </w:tcPr>
          <w:p w14:paraId="450C2738" w14:textId="77777777" w:rsidR="002C0FD9" w:rsidRPr="00CA25CF" w:rsidRDefault="002C0FD9" w:rsidP="00CA25CF">
            <w:pPr>
              <w:rPr>
                <w:rFonts w:cs="Arial"/>
                <w:color w:val="FF0000"/>
                <w:sz w:val="21"/>
                <w:szCs w:val="21"/>
              </w:rPr>
            </w:pPr>
          </w:p>
        </w:tc>
        <w:tc>
          <w:tcPr>
            <w:tcW w:w="217" w:type="dxa"/>
          </w:tcPr>
          <w:p w14:paraId="7E497A6A" w14:textId="77777777" w:rsidR="002C0FD9" w:rsidRPr="00CA25CF" w:rsidRDefault="002C0FD9" w:rsidP="00CA25CF">
            <w:pPr>
              <w:rPr>
                <w:rFonts w:cs="Arial"/>
                <w:color w:val="FF0000"/>
                <w:sz w:val="21"/>
                <w:szCs w:val="21"/>
              </w:rPr>
            </w:pPr>
          </w:p>
        </w:tc>
        <w:tc>
          <w:tcPr>
            <w:tcW w:w="217" w:type="dxa"/>
          </w:tcPr>
          <w:p w14:paraId="63EA2400" w14:textId="77777777" w:rsidR="002C0FD9" w:rsidRPr="00CA25CF" w:rsidRDefault="002C0FD9" w:rsidP="00CA25CF">
            <w:pPr>
              <w:rPr>
                <w:rFonts w:cs="Arial"/>
                <w:color w:val="FF0000"/>
                <w:sz w:val="21"/>
                <w:szCs w:val="21"/>
              </w:rPr>
            </w:pPr>
          </w:p>
        </w:tc>
        <w:tc>
          <w:tcPr>
            <w:tcW w:w="217" w:type="dxa"/>
          </w:tcPr>
          <w:p w14:paraId="2873F8A1" w14:textId="77777777" w:rsidR="002C0FD9" w:rsidRPr="00CA25CF" w:rsidRDefault="002C0FD9" w:rsidP="00CA25CF">
            <w:pPr>
              <w:rPr>
                <w:rFonts w:cs="Arial"/>
                <w:color w:val="FF0000"/>
                <w:sz w:val="21"/>
                <w:szCs w:val="21"/>
              </w:rPr>
            </w:pPr>
          </w:p>
        </w:tc>
        <w:tc>
          <w:tcPr>
            <w:tcW w:w="217" w:type="dxa"/>
          </w:tcPr>
          <w:p w14:paraId="04161029" w14:textId="77777777" w:rsidR="002C0FD9" w:rsidRPr="00CA25CF" w:rsidRDefault="002C0FD9" w:rsidP="00CA25CF">
            <w:pPr>
              <w:rPr>
                <w:rFonts w:cs="Arial"/>
                <w:color w:val="FF0000"/>
                <w:sz w:val="21"/>
                <w:szCs w:val="21"/>
              </w:rPr>
            </w:pPr>
          </w:p>
        </w:tc>
        <w:tc>
          <w:tcPr>
            <w:tcW w:w="217" w:type="dxa"/>
          </w:tcPr>
          <w:p w14:paraId="5D7695F0" w14:textId="77777777" w:rsidR="002C0FD9" w:rsidRPr="00CA25CF" w:rsidRDefault="002C0FD9" w:rsidP="00CA25CF">
            <w:pPr>
              <w:rPr>
                <w:rFonts w:cs="Arial"/>
                <w:color w:val="FF0000"/>
                <w:sz w:val="21"/>
                <w:szCs w:val="21"/>
              </w:rPr>
            </w:pPr>
          </w:p>
        </w:tc>
        <w:tc>
          <w:tcPr>
            <w:tcW w:w="217" w:type="dxa"/>
          </w:tcPr>
          <w:p w14:paraId="2962F600" w14:textId="77777777" w:rsidR="002C0FD9" w:rsidRPr="00CA25CF" w:rsidRDefault="002C0FD9" w:rsidP="00CA25CF">
            <w:pPr>
              <w:rPr>
                <w:rFonts w:cs="Arial"/>
                <w:color w:val="FF0000"/>
                <w:sz w:val="21"/>
                <w:szCs w:val="21"/>
              </w:rPr>
            </w:pPr>
          </w:p>
        </w:tc>
        <w:tc>
          <w:tcPr>
            <w:tcW w:w="217" w:type="dxa"/>
          </w:tcPr>
          <w:p w14:paraId="5484215C" w14:textId="77777777" w:rsidR="002C0FD9" w:rsidRPr="00CA25CF" w:rsidRDefault="002C0FD9" w:rsidP="00CA25CF">
            <w:pPr>
              <w:rPr>
                <w:rFonts w:cs="Arial"/>
                <w:color w:val="FF0000"/>
                <w:sz w:val="21"/>
                <w:szCs w:val="21"/>
              </w:rPr>
            </w:pPr>
          </w:p>
        </w:tc>
        <w:tc>
          <w:tcPr>
            <w:tcW w:w="217" w:type="dxa"/>
          </w:tcPr>
          <w:p w14:paraId="6C00AB93" w14:textId="77777777" w:rsidR="002C0FD9" w:rsidRPr="00CA25CF" w:rsidRDefault="002C0FD9" w:rsidP="00CA25CF">
            <w:pPr>
              <w:rPr>
                <w:rFonts w:cs="Arial"/>
                <w:color w:val="FF0000"/>
                <w:sz w:val="21"/>
                <w:szCs w:val="21"/>
              </w:rPr>
            </w:pPr>
          </w:p>
        </w:tc>
        <w:tc>
          <w:tcPr>
            <w:tcW w:w="217" w:type="dxa"/>
          </w:tcPr>
          <w:p w14:paraId="70C3087B" w14:textId="77777777" w:rsidR="002C0FD9" w:rsidRPr="00CA25CF" w:rsidRDefault="002C0FD9" w:rsidP="00CA25CF">
            <w:pPr>
              <w:rPr>
                <w:rFonts w:cs="Arial"/>
                <w:color w:val="FF0000"/>
                <w:sz w:val="21"/>
                <w:szCs w:val="21"/>
              </w:rPr>
            </w:pPr>
          </w:p>
        </w:tc>
        <w:tc>
          <w:tcPr>
            <w:tcW w:w="217" w:type="dxa"/>
          </w:tcPr>
          <w:p w14:paraId="05294E0C" w14:textId="77777777" w:rsidR="002C0FD9" w:rsidRPr="00CA25CF" w:rsidRDefault="002C0FD9" w:rsidP="00CA25CF">
            <w:pPr>
              <w:rPr>
                <w:rFonts w:cs="Arial"/>
                <w:color w:val="FF0000"/>
                <w:sz w:val="21"/>
                <w:szCs w:val="21"/>
              </w:rPr>
            </w:pPr>
          </w:p>
        </w:tc>
        <w:tc>
          <w:tcPr>
            <w:tcW w:w="217" w:type="dxa"/>
          </w:tcPr>
          <w:p w14:paraId="1CA3E379" w14:textId="77777777" w:rsidR="002C0FD9" w:rsidRPr="00CA25CF" w:rsidRDefault="002C0FD9" w:rsidP="00CA25CF">
            <w:pPr>
              <w:rPr>
                <w:rFonts w:cs="Arial"/>
                <w:color w:val="FF0000"/>
                <w:sz w:val="21"/>
                <w:szCs w:val="21"/>
              </w:rPr>
            </w:pPr>
          </w:p>
        </w:tc>
        <w:tc>
          <w:tcPr>
            <w:tcW w:w="217" w:type="dxa"/>
          </w:tcPr>
          <w:p w14:paraId="565A6CE0" w14:textId="77777777" w:rsidR="002C0FD9" w:rsidRPr="00CA25CF" w:rsidRDefault="002C0FD9" w:rsidP="00CA25CF">
            <w:pPr>
              <w:rPr>
                <w:rFonts w:cs="Arial"/>
                <w:color w:val="FF0000"/>
                <w:sz w:val="21"/>
                <w:szCs w:val="21"/>
              </w:rPr>
            </w:pPr>
          </w:p>
        </w:tc>
        <w:tc>
          <w:tcPr>
            <w:tcW w:w="217" w:type="dxa"/>
          </w:tcPr>
          <w:p w14:paraId="660FB7FF" w14:textId="77777777" w:rsidR="002C0FD9" w:rsidRPr="00CA25CF" w:rsidRDefault="002C0FD9" w:rsidP="00CA25CF">
            <w:pPr>
              <w:rPr>
                <w:rFonts w:cs="Arial"/>
                <w:color w:val="FF0000"/>
                <w:sz w:val="21"/>
                <w:szCs w:val="21"/>
              </w:rPr>
            </w:pPr>
          </w:p>
        </w:tc>
        <w:tc>
          <w:tcPr>
            <w:tcW w:w="217" w:type="dxa"/>
          </w:tcPr>
          <w:p w14:paraId="04129DB0" w14:textId="77777777" w:rsidR="002C0FD9" w:rsidRPr="00CA25CF" w:rsidRDefault="002C0FD9" w:rsidP="00CA25CF">
            <w:pPr>
              <w:rPr>
                <w:rFonts w:cs="Arial"/>
                <w:color w:val="FF0000"/>
                <w:sz w:val="21"/>
                <w:szCs w:val="21"/>
              </w:rPr>
            </w:pPr>
          </w:p>
        </w:tc>
        <w:tc>
          <w:tcPr>
            <w:tcW w:w="217" w:type="dxa"/>
          </w:tcPr>
          <w:p w14:paraId="59381991" w14:textId="77777777" w:rsidR="002C0FD9" w:rsidRPr="00CA25CF" w:rsidRDefault="002C0FD9" w:rsidP="00CA25CF">
            <w:pPr>
              <w:rPr>
                <w:rFonts w:cs="Arial"/>
                <w:color w:val="FF0000"/>
                <w:sz w:val="21"/>
                <w:szCs w:val="21"/>
              </w:rPr>
            </w:pPr>
          </w:p>
        </w:tc>
        <w:tc>
          <w:tcPr>
            <w:tcW w:w="217" w:type="dxa"/>
          </w:tcPr>
          <w:p w14:paraId="5839A518" w14:textId="77777777" w:rsidR="002C0FD9" w:rsidRPr="00CA25CF" w:rsidRDefault="002C0FD9" w:rsidP="00CA25CF">
            <w:pPr>
              <w:rPr>
                <w:rFonts w:cs="Arial"/>
                <w:color w:val="FF0000"/>
                <w:sz w:val="21"/>
                <w:szCs w:val="21"/>
              </w:rPr>
            </w:pPr>
          </w:p>
        </w:tc>
        <w:tc>
          <w:tcPr>
            <w:tcW w:w="217" w:type="dxa"/>
          </w:tcPr>
          <w:p w14:paraId="367F6642" w14:textId="77777777" w:rsidR="002C0FD9" w:rsidRPr="00CA25CF" w:rsidRDefault="002C0FD9" w:rsidP="00CA25CF">
            <w:pPr>
              <w:rPr>
                <w:rFonts w:cs="Arial"/>
                <w:color w:val="FF0000"/>
                <w:sz w:val="21"/>
                <w:szCs w:val="21"/>
              </w:rPr>
            </w:pPr>
          </w:p>
        </w:tc>
        <w:tc>
          <w:tcPr>
            <w:tcW w:w="217" w:type="dxa"/>
          </w:tcPr>
          <w:p w14:paraId="111ECD44" w14:textId="77777777" w:rsidR="002C0FD9" w:rsidRPr="00CA25CF" w:rsidRDefault="002C0FD9" w:rsidP="00CA25CF">
            <w:pPr>
              <w:rPr>
                <w:rFonts w:cs="Arial"/>
                <w:color w:val="FF0000"/>
                <w:sz w:val="21"/>
                <w:szCs w:val="21"/>
              </w:rPr>
            </w:pPr>
          </w:p>
        </w:tc>
        <w:tc>
          <w:tcPr>
            <w:tcW w:w="217" w:type="dxa"/>
          </w:tcPr>
          <w:p w14:paraId="65B57262" w14:textId="77777777" w:rsidR="002C0FD9" w:rsidRPr="00CA25CF" w:rsidRDefault="002C0FD9" w:rsidP="00CA25CF">
            <w:pPr>
              <w:rPr>
                <w:rFonts w:cs="Arial"/>
                <w:color w:val="FF0000"/>
                <w:sz w:val="21"/>
                <w:szCs w:val="21"/>
              </w:rPr>
            </w:pPr>
          </w:p>
        </w:tc>
        <w:tc>
          <w:tcPr>
            <w:tcW w:w="217" w:type="dxa"/>
          </w:tcPr>
          <w:p w14:paraId="7CF1FAC8" w14:textId="77777777" w:rsidR="002C0FD9" w:rsidRPr="00CA25CF" w:rsidRDefault="002C0FD9" w:rsidP="00CA25CF">
            <w:pPr>
              <w:rPr>
                <w:rFonts w:cs="Arial"/>
                <w:color w:val="FF0000"/>
                <w:sz w:val="21"/>
                <w:szCs w:val="21"/>
              </w:rPr>
            </w:pPr>
          </w:p>
        </w:tc>
        <w:tc>
          <w:tcPr>
            <w:tcW w:w="217" w:type="dxa"/>
          </w:tcPr>
          <w:p w14:paraId="6A2EBB0C" w14:textId="77777777" w:rsidR="002C0FD9" w:rsidRPr="00CA25CF" w:rsidRDefault="002C0FD9" w:rsidP="00CA25CF">
            <w:pPr>
              <w:rPr>
                <w:rFonts w:cs="Arial"/>
                <w:color w:val="FF0000"/>
                <w:sz w:val="21"/>
                <w:szCs w:val="21"/>
              </w:rPr>
            </w:pPr>
          </w:p>
        </w:tc>
        <w:tc>
          <w:tcPr>
            <w:tcW w:w="217" w:type="dxa"/>
          </w:tcPr>
          <w:p w14:paraId="1DCAA6E2" w14:textId="77777777" w:rsidR="002C0FD9" w:rsidRPr="00CA25CF" w:rsidRDefault="002C0FD9" w:rsidP="00CA25CF">
            <w:pPr>
              <w:rPr>
                <w:rFonts w:cs="Arial"/>
                <w:color w:val="FF0000"/>
                <w:sz w:val="21"/>
                <w:szCs w:val="21"/>
              </w:rPr>
            </w:pPr>
          </w:p>
        </w:tc>
        <w:tc>
          <w:tcPr>
            <w:tcW w:w="217" w:type="dxa"/>
          </w:tcPr>
          <w:p w14:paraId="0270F8AF" w14:textId="77777777" w:rsidR="002C0FD9" w:rsidRPr="00CA25CF" w:rsidRDefault="002C0FD9" w:rsidP="00CA25CF">
            <w:pPr>
              <w:rPr>
                <w:rFonts w:cs="Arial"/>
                <w:color w:val="FF0000"/>
                <w:sz w:val="21"/>
                <w:szCs w:val="21"/>
              </w:rPr>
            </w:pPr>
          </w:p>
        </w:tc>
        <w:tc>
          <w:tcPr>
            <w:tcW w:w="217" w:type="dxa"/>
          </w:tcPr>
          <w:p w14:paraId="4300F71D" w14:textId="77777777" w:rsidR="002C0FD9" w:rsidRPr="00CA25CF" w:rsidRDefault="002C0FD9" w:rsidP="00CA25CF">
            <w:pPr>
              <w:rPr>
                <w:rFonts w:cs="Arial"/>
                <w:color w:val="FF0000"/>
                <w:sz w:val="21"/>
                <w:szCs w:val="21"/>
              </w:rPr>
            </w:pPr>
          </w:p>
        </w:tc>
        <w:tc>
          <w:tcPr>
            <w:tcW w:w="217" w:type="dxa"/>
          </w:tcPr>
          <w:p w14:paraId="1714ED74" w14:textId="77777777" w:rsidR="002C0FD9" w:rsidRPr="00CA25CF" w:rsidRDefault="002C0FD9" w:rsidP="00CA25CF">
            <w:pPr>
              <w:rPr>
                <w:rFonts w:cs="Arial"/>
                <w:color w:val="FF0000"/>
                <w:sz w:val="21"/>
                <w:szCs w:val="21"/>
              </w:rPr>
            </w:pPr>
          </w:p>
        </w:tc>
        <w:tc>
          <w:tcPr>
            <w:tcW w:w="217" w:type="dxa"/>
          </w:tcPr>
          <w:p w14:paraId="18E6446C" w14:textId="77777777" w:rsidR="002C0FD9" w:rsidRPr="00CA25CF" w:rsidRDefault="002C0FD9" w:rsidP="00CA25CF">
            <w:pPr>
              <w:rPr>
                <w:rFonts w:cs="Arial"/>
                <w:color w:val="FF0000"/>
                <w:sz w:val="21"/>
                <w:szCs w:val="21"/>
              </w:rPr>
            </w:pPr>
          </w:p>
        </w:tc>
        <w:tc>
          <w:tcPr>
            <w:tcW w:w="217" w:type="dxa"/>
          </w:tcPr>
          <w:p w14:paraId="54DBAF6F" w14:textId="77777777" w:rsidR="002C0FD9" w:rsidRPr="00CA25CF" w:rsidRDefault="002C0FD9" w:rsidP="00CA25CF">
            <w:pPr>
              <w:rPr>
                <w:rFonts w:cs="Arial"/>
                <w:color w:val="FF0000"/>
                <w:sz w:val="21"/>
                <w:szCs w:val="21"/>
              </w:rPr>
            </w:pPr>
          </w:p>
        </w:tc>
        <w:tc>
          <w:tcPr>
            <w:tcW w:w="217" w:type="dxa"/>
          </w:tcPr>
          <w:p w14:paraId="0AE62B1D" w14:textId="77777777" w:rsidR="002C0FD9" w:rsidRPr="00CA25CF" w:rsidRDefault="002C0FD9" w:rsidP="00CA25CF">
            <w:pPr>
              <w:rPr>
                <w:rFonts w:cs="Arial"/>
                <w:color w:val="FF0000"/>
                <w:sz w:val="21"/>
                <w:szCs w:val="21"/>
              </w:rPr>
            </w:pPr>
          </w:p>
        </w:tc>
        <w:tc>
          <w:tcPr>
            <w:tcW w:w="217" w:type="dxa"/>
          </w:tcPr>
          <w:p w14:paraId="3B10BFB1" w14:textId="77777777" w:rsidR="002C0FD9" w:rsidRPr="00CA25CF" w:rsidRDefault="002C0FD9" w:rsidP="00CA25CF">
            <w:pPr>
              <w:rPr>
                <w:rFonts w:cs="Arial"/>
                <w:color w:val="FF0000"/>
                <w:sz w:val="21"/>
                <w:szCs w:val="21"/>
              </w:rPr>
            </w:pPr>
          </w:p>
        </w:tc>
        <w:tc>
          <w:tcPr>
            <w:tcW w:w="217" w:type="dxa"/>
          </w:tcPr>
          <w:p w14:paraId="0C96C012" w14:textId="77777777" w:rsidR="002C0FD9" w:rsidRPr="00CA25CF" w:rsidRDefault="002C0FD9" w:rsidP="00CA25CF">
            <w:pPr>
              <w:rPr>
                <w:rFonts w:cs="Arial"/>
                <w:color w:val="FF0000"/>
                <w:sz w:val="21"/>
                <w:szCs w:val="21"/>
              </w:rPr>
            </w:pPr>
          </w:p>
        </w:tc>
        <w:tc>
          <w:tcPr>
            <w:tcW w:w="217" w:type="dxa"/>
          </w:tcPr>
          <w:p w14:paraId="0E53330E" w14:textId="77777777" w:rsidR="002C0FD9" w:rsidRPr="00CA25CF" w:rsidRDefault="002C0FD9" w:rsidP="00CA25CF">
            <w:pPr>
              <w:rPr>
                <w:rFonts w:cs="Arial"/>
                <w:color w:val="FF0000"/>
                <w:sz w:val="21"/>
                <w:szCs w:val="21"/>
              </w:rPr>
            </w:pPr>
          </w:p>
        </w:tc>
        <w:tc>
          <w:tcPr>
            <w:tcW w:w="217" w:type="dxa"/>
          </w:tcPr>
          <w:p w14:paraId="28DA62A0" w14:textId="77777777" w:rsidR="002C0FD9" w:rsidRPr="00CA25CF" w:rsidRDefault="002C0FD9" w:rsidP="00CA25CF">
            <w:pPr>
              <w:rPr>
                <w:rFonts w:cs="Arial"/>
                <w:color w:val="FF0000"/>
                <w:sz w:val="21"/>
                <w:szCs w:val="21"/>
              </w:rPr>
            </w:pPr>
          </w:p>
        </w:tc>
        <w:tc>
          <w:tcPr>
            <w:tcW w:w="217" w:type="dxa"/>
          </w:tcPr>
          <w:p w14:paraId="5D0652FD" w14:textId="77777777" w:rsidR="002C0FD9" w:rsidRPr="00CA25CF" w:rsidRDefault="002C0FD9" w:rsidP="00CA25CF">
            <w:pPr>
              <w:rPr>
                <w:rFonts w:cs="Arial"/>
                <w:color w:val="FF0000"/>
                <w:sz w:val="21"/>
                <w:szCs w:val="21"/>
              </w:rPr>
            </w:pPr>
          </w:p>
        </w:tc>
        <w:tc>
          <w:tcPr>
            <w:tcW w:w="217" w:type="dxa"/>
          </w:tcPr>
          <w:p w14:paraId="56AA9CF5" w14:textId="77777777" w:rsidR="002C0FD9" w:rsidRPr="00CA25CF" w:rsidRDefault="002C0FD9" w:rsidP="00CA25CF">
            <w:pPr>
              <w:rPr>
                <w:rFonts w:cs="Arial"/>
                <w:color w:val="FF0000"/>
                <w:sz w:val="21"/>
                <w:szCs w:val="21"/>
              </w:rPr>
            </w:pPr>
          </w:p>
        </w:tc>
        <w:tc>
          <w:tcPr>
            <w:tcW w:w="217" w:type="dxa"/>
          </w:tcPr>
          <w:p w14:paraId="6A54562B" w14:textId="77777777" w:rsidR="002C0FD9" w:rsidRPr="00CA25CF" w:rsidRDefault="002C0FD9" w:rsidP="00CA25CF">
            <w:pPr>
              <w:rPr>
                <w:rFonts w:cs="Arial"/>
                <w:color w:val="FF0000"/>
                <w:sz w:val="21"/>
                <w:szCs w:val="21"/>
              </w:rPr>
            </w:pPr>
          </w:p>
        </w:tc>
        <w:tc>
          <w:tcPr>
            <w:tcW w:w="217" w:type="dxa"/>
          </w:tcPr>
          <w:p w14:paraId="407A906E" w14:textId="77777777" w:rsidR="002C0FD9" w:rsidRPr="00CA25CF" w:rsidRDefault="002C0FD9" w:rsidP="00CA25CF">
            <w:pPr>
              <w:rPr>
                <w:rFonts w:cs="Arial"/>
                <w:color w:val="FF0000"/>
                <w:sz w:val="21"/>
                <w:szCs w:val="21"/>
              </w:rPr>
            </w:pPr>
          </w:p>
        </w:tc>
        <w:tc>
          <w:tcPr>
            <w:tcW w:w="217" w:type="dxa"/>
          </w:tcPr>
          <w:p w14:paraId="39039983" w14:textId="77777777" w:rsidR="002C0FD9" w:rsidRPr="00CA25CF" w:rsidRDefault="002C0FD9" w:rsidP="00CA25CF">
            <w:pPr>
              <w:rPr>
                <w:rFonts w:cs="Arial"/>
                <w:color w:val="FF0000"/>
                <w:sz w:val="21"/>
                <w:szCs w:val="21"/>
              </w:rPr>
            </w:pPr>
          </w:p>
        </w:tc>
        <w:tc>
          <w:tcPr>
            <w:tcW w:w="217" w:type="dxa"/>
          </w:tcPr>
          <w:p w14:paraId="5A25105A" w14:textId="77777777" w:rsidR="002C0FD9" w:rsidRPr="00CA25CF" w:rsidRDefault="002C0FD9" w:rsidP="00CA25CF">
            <w:pPr>
              <w:rPr>
                <w:rFonts w:cs="Arial"/>
                <w:color w:val="FF0000"/>
                <w:sz w:val="21"/>
                <w:szCs w:val="21"/>
              </w:rPr>
            </w:pPr>
          </w:p>
        </w:tc>
      </w:tr>
      <w:tr w:rsidR="002C0FD9" w:rsidRPr="00A16219" w14:paraId="2BCDAF51" w14:textId="3D1A2D8C" w:rsidTr="002C0FD9">
        <w:trPr>
          <w:trHeight w:val="635"/>
        </w:trPr>
        <w:tc>
          <w:tcPr>
            <w:tcW w:w="515" w:type="dxa"/>
          </w:tcPr>
          <w:p w14:paraId="40F22F37" w14:textId="77777777" w:rsidR="002C0FD9" w:rsidRPr="00CA25CF" w:rsidRDefault="002C0FD9" w:rsidP="00CA25CF">
            <w:pPr>
              <w:rPr>
                <w:rFonts w:cs="Arial"/>
                <w:color w:val="FF0000"/>
                <w:sz w:val="21"/>
                <w:szCs w:val="21"/>
              </w:rPr>
            </w:pPr>
          </w:p>
        </w:tc>
        <w:tc>
          <w:tcPr>
            <w:tcW w:w="217" w:type="dxa"/>
          </w:tcPr>
          <w:p w14:paraId="64706D19" w14:textId="77777777" w:rsidR="002C0FD9" w:rsidRPr="00CA25CF" w:rsidRDefault="002C0FD9" w:rsidP="00CA25CF">
            <w:pPr>
              <w:rPr>
                <w:rFonts w:cs="Arial"/>
                <w:color w:val="FF0000"/>
                <w:sz w:val="21"/>
                <w:szCs w:val="21"/>
              </w:rPr>
            </w:pPr>
          </w:p>
        </w:tc>
        <w:tc>
          <w:tcPr>
            <w:tcW w:w="217" w:type="dxa"/>
          </w:tcPr>
          <w:p w14:paraId="260A2CB2" w14:textId="3ED3F525" w:rsidR="002C0FD9" w:rsidRPr="00CA25CF" w:rsidRDefault="002C0FD9" w:rsidP="00CA25CF">
            <w:pPr>
              <w:rPr>
                <w:rFonts w:cs="Arial"/>
                <w:color w:val="FF0000"/>
                <w:sz w:val="21"/>
                <w:szCs w:val="21"/>
              </w:rPr>
            </w:pPr>
          </w:p>
        </w:tc>
        <w:tc>
          <w:tcPr>
            <w:tcW w:w="217" w:type="dxa"/>
          </w:tcPr>
          <w:p w14:paraId="6F6168BA" w14:textId="77777777" w:rsidR="002C0FD9" w:rsidRPr="00CA25CF" w:rsidRDefault="002C0FD9" w:rsidP="00CA25CF">
            <w:pPr>
              <w:rPr>
                <w:rFonts w:cs="Arial"/>
                <w:color w:val="FF0000"/>
                <w:sz w:val="21"/>
                <w:szCs w:val="21"/>
              </w:rPr>
            </w:pPr>
          </w:p>
        </w:tc>
        <w:tc>
          <w:tcPr>
            <w:tcW w:w="217" w:type="dxa"/>
          </w:tcPr>
          <w:p w14:paraId="06FB8D07" w14:textId="77777777" w:rsidR="002C0FD9" w:rsidRPr="00CA25CF" w:rsidRDefault="002C0FD9" w:rsidP="00CA25CF">
            <w:pPr>
              <w:rPr>
                <w:rFonts w:cs="Arial"/>
                <w:color w:val="FF0000"/>
                <w:sz w:val="21"/>
                <w:szCs w:val="21"/>
              </w:rPr>
            </w:pPr>
          </w:p>
        </w:tc>
        <w:tc>
          <w:tcPr>
            <w:tcW w:w="217" w:type="dxa"/>
          </w:tcPr>
          <w:p w14:paraId="7B5DF6C4" w14:textId="77777777" w:rsidR="002C0FD9" w:rsidRPr="00CA25CF" w:rsidRDefault="002C0FD9" w:rsidP="00CA25CF">
            <w:pPr>
              <w:rPr>
                <w:rFonts w:cs="Arial"/>
                <w:color w:val="FF0000"/>
                <w:sz w:val="21"/>
                <w:szCs w:val="21"/>
              </w:rPr>
            </w:pPr>
          </w:p>
        </w:tc>
        <w:tc>
          <w:tcPr>
            <w:tcW w:w="217" w:type="dxa"/>
          </w:tcPr>
          <w:p w14:paraId="5ED0CA5E" w14:textId="77777777" w:rsidR="002C0FD9" w:rsidRPr="00CA25CF" w:rsidRDefault="002C0FD9" w:rsidP="00CA25CF">
            <w:pPr>
              <w:rPr>
                <w:rFonts w:cs="Arial"/>
                <w:color w:val="FF0000"/>
                <w:sz w:val="21"/>
                <w:szCs w:val="21"/>
              </w:rPr>
            </w:pPr>
          </w:p>
        </w:tc>
        <w:tc>
          <w:tcPr>
            <w:tcW w:w="217" w:type="dxa"/>
          </w:tcPr>
          <w:p w14:paraId="0AF05A15" w14:textId="77777777" w:rsidR="002C0FD9" w:rsidRPr="00CA25CF" w:rsidRDefault="002C0FD9" w:rsidP="00CA25CF">
            <w:pPr>
              <w:rPr>
                <w:rFonts w:cs="Arial"/>
                <w:color w:val="FF0000"/>
                <w:sz w:val="21"/>
                <w:szCs w:val="21"/>
              </w:rPr>
            </w:pPr>
          </w:p>
        </w:tc>
        <w:tc>
          <w:tcPr>
            <w:tcW w:w="217" w:type="dxa"/>
          </w:tcPr>
          <w:p w14:paraId="41BC9A9D" w14:textId="77777777" w:rsidR="002C0FD9" w:rsidRPr="00CA25CF" w:rsidRDefault="002C0FD9" w:rsidP="00CA25CF">
            <w:pPr>
              <w:rPr>
                <w:rFonts w:cs="Arial"/>
                <w:color w:val="FF0000"/>
                <w:sz w:val="21"/>
                <w:szCs w:val="21"/>
              </w:rPr>
            </w:pPr>
          </w:p>
        </w:tc>
        <w:tc>
          <w:tcPr>
            <w:tcW w:w="217" w:type="dxa"/>
          </w:tcPr>
          <w:p w14:paraId="7B8461B5" w14:textId="77777777" w:rsidR="002C0FD9" w:rsidRPr="00CA25CF" w:rsidRDefault="002C0FD9" w:rsidP="00CA25CF">
            <w:pPr>
              <w:rPr>
                <w:rFonts w:cs="Arial"/>
                <w:color w:val="FF0000"/>
                <w:sz w:val="21"/>
                <w:szCs w:val="21"/>
              </w:rPr>
            </w:pPr>
          </w:p>
        </w:tc>
        <w:tc>
          <w:tcPr>
            <w:tcW w:w="217" w:type="dxa"/>
          </w:tcPr>
          <w:p w14:paraId="20A55371" w14:textId="77777777" w:rsidR="002C0FD9" w:rsidRPr="00CA25CF" w:rsidRDefault="002C0FD9" w:rsidP="00CA25CF">
            <w:pPr>
              <w:rPr>
                <w:rFonts w:cs="Arial"/>
                <w:color w:val="FF0000"/>
                <w:sz w:val="21"/>
                <w:szCs w:val="21"/>
              </w:rPr>
            </w:pPr>
          </w:p>
        </w:tc>
        <w:tc>
          <w:tcPr>
            <w:tcW w:w="217" w:type="dxa"/>
          </w:tcPr>
          <w:p w14:paraId="017EE51B" w14:textId="77777777" w:rsidR="002C0FD9" w:rsidRPr="00CA25CF" w:rsidRDefault="002C0FD9" w:rsidP="00CA25CF">
            <w:pPr>
              <w:rPr>
                <w:rFonts w:cs="Arial"/>
                <w:color w:val="FF0000"/>
                <w:sz w:val="21"/>
                <w:szCs w:val="21"/>
              </w:rPr>
            </w:pPr>
          </w:p>
        </w:tc>
        <w:tc>
          <w:tcPr>
            <w:tcW w:w="217" w:type="dxa"/>
          </w:tcPr>
          <w:p w14:paraId="7C27E21F" w14:textId="77777777" w:rsidR="002C0FD9" w:rsidRPr="00CA25CF" w:rsidRDefault="002C0FD9" w:rsidP="00CA25CF">
            <w:pPr>
              <w:rPr>
                <w:rFonts w:cs="Arial"/>
                <w:color w:val="FF0000"/>
                <w:sz w:val="21"/>
                <w:szCs w:val="21"/>
              </w:rPr>
            </w:pPr>
          </w:p>
        </w:tc>
        <w:tc>
          <w:tcPr>
            <w:tcW w:w="217" w:type="dxa"/>
          </w:tcPr>
          <w:p w14:paraId="211AAAA3" w14:textId="77777777" w:rsidR="002C0FD9" w:rsidRPr="00CA25CF" w:rsidRDefault="002C0FD9" w:rsidP="00CA25CF">
            <w:pPr>
              <w:rPr>
                <w:rFonts w:cs="Arial"/>
                <w:color w:val="FF0000"/>
                <w:sz w:val="21"/>
                <w:szCs w:val="21"/>
              </w:rPr>
            </w:pPr>
          </w:p>
        </w:tc>
        <w:tc>
          <w:tcPr>
            <w:tcW w:w="217" w:type="dxa"/>
          </w:tcPr>
          <w:p w14:paraId="1710F952" w14:textId="77777777" w:rsidR="002C0FD9" w:rsidRPr="00CA25CF" w:rsidRDefault="002C0FD9" w:rsidP="00CA25CF">
            <w:pPr>
              <w:rPr>
                <w:rFonts w:cs="Arial"/>
                <w:color w:val="FF0000"/>
                <w:sz w:val="21"/>
                <w:szCs w:val="21"/>
              </w:rPr>
            </w:pPr>
          </w:p>
        </w:tc>
        <w:tc>
          <w:tcPr>
            <w:tcW w:w="217" w:type="dxa"/>
          </w:tcPr>
          <w:p w14:paraId="01398AEC" w14:textId="77777777" w:rsidR="002C0FD9" w:rsidRPr="00CA25CF" w:rsidRDefault="002C0FD9" w:rsidP="00CA25CF">
            <w:pPr>
              <w:rPr>
                <w:rFonts w:cs="Arial"/>
                <w:color w:val="FF0000"/>
                <w:sz w:val="21"/>
                <w:szCs w:val="21"/>
              </w:rPr>
            </w:pPr>
          </w:p>
        </w:tc>
        <w:tc>
          <w:tcPr>
            <w:tcW w:w="217" w:type="dxa"/>
          </w:tcPr>
          <w:p w14:paraId="179321D4" w14:textId="77777777" w:rsidR="002C0FD9" w:rsidRPr="00CA25CF" w:rsidRDefault="002C0FD9" w:rsidP="00CA25CF">
            <w:pPr>
              <w:rPr>
                <w:rFonts w:cs="Arial"/>
                <w:color w:val="FF0000"/>
                <w:sz w:val="21"/>
                <w:szCs w:val="21"/>
              </w:rPr>
            </w:pPr>
          </w:p>
        </w:tc>
        <w:tc>
          <w:tcPr>
            <w:tcW w:w="217" w:type="dxa"/>
          </w:tcPr>
          <w:p w14:paraId="02858E4C" w14:textId="77777777" w:rsidR="002C0FD9" w:rsidRPr="00CA25CF" w:rsidRDefault="002C0FD9" w:rsidP="00CA25CF">
            <w:pPr>
              <w:rPr>
                <w:rFonts w:cs="Arial"/>
                <w:color w:val="FF0000"/>
                <w:sz w:val="21"/>
                <w:szCs w:val="21"/>
              </w:rPr>
            </w:pPr>
          </w:p>
        </w:tc>
        <w:tc>
          <w:tcPr>
            <w:tcW w:w="217" w:type="dxa"/>
          </w:tcPr>
          <w:p w14:paraId="58B0B524" w14:textId="77777777" w:rsidR="002C0FD9" w:rsidRPr="00CA25CF" w:rsidRDefault="002C0FD9" w:rsidP="00CA25CF">
            <w:pPr>
              <w:rPr>
                <w:rFonts w:cs="Arial"/>
                <w:color w:val="FF0000"/>
                <w:sz w:val="21"/>
                <w:szCs w:val="21"/>
              </w:rPr>
            </w:pPr>
          </w:p>
        </w:tc>
        <w:tc>
          <w:tcPr>
            <w:tcW w:w="217" w:type="dxa"/>
          </w:tcPr>
          <w:p w14:paraId="0E21F8C4" w14:textId="77777777" w:rsidR="002C0FD9" w:rsidRPr="00CA25CF" w:rsidRDefault="002C0FD9" w:rsidP="00CA25CF">
            <w:pPr>
              <w:rPr>
                <w:rFonts w:cs="Arial"/>
                <w:color w:val="FF0000"/>
                <w:sz w:val="21"/>
                <w:szCs w:val="21"/>
              </w:rPr>
            </w:pPr>
          </w:p>
        </w:tc>
        <w:tc>
          <w:tcPr>
            <w:tcW w:w="217" w:type="dxa"/>
          </w:tcPr>
          <w:p w14:paraId="48513F5C" w14:textId="77777777" w:rsidR="002C0FD9" w:rsidRPr="00CA25CF" w:rsidRDefault="002C0FD9" w:rsidP="00CA25CF">
            <w:pPr>
              <w:rPr>
                <w:rFonts w:cs="Arial"/>
                <w:color w:val="FF0000"/>
                <w:sz w:val="21"/>
                <w:szCs w:val="21"/>
              </w:rPr>
            </w:pPr>
          </w:p>
        </w:tc>
        <w:tc>
          <w:tcPr>
            <w:tcW w:w="217" w:type="dxa"/>
          </w:tcPr>
          <w:p w14:paraId="6FF88330" w14:textId="77777777" w:rsidR="002C0FD9" w:rsidRPr="00CA25CF" w:rsidRDefault="002C0FD9" w:rsidP="00CA25CF">
            <w:pPr>
              <w:rPr>
                <w:rFonts w:cs="Arial"/>
                <w:color w:val="FF0000"/>
                <w:sz w:val="21"/>
                <w:szCs w:val="21"/>
              </w:rPr>
            </w:pPr>
          </w:p>
        </w:tc>
        <w:tc>
          <w:tcPr>
            <w:tcW w:w="217" w:type="dxa"/>
          </w:tcPr>
          <w:p w14:paraId="30522336" w14:textId="77777777" w:rsidR="002C0FD9" w:rsidRPr="00CA25CF" w:rsidRDefault="002C0FD9" w:rsidP="00CA25CF">
            <w:pPr>
              <w:rPr>
                <w:rFonts w:cs="Arial"/>
                <w:color w:val="FF0000"/>
                <w:sz w:val="21"/>
                <w:szCs w:val="21"/>
              </w:rPr>
            </w:pPr>
          </w:p>
        </w:tc>
        <w:tc>
          <w:tcPr>
            <w:tcW w:w="217" w:type="dxa"/>
          </w:tcPr>
          <w:p w14:paraId="5A1D8FCE" w14:textId="77777777" w:rsidR="002C0FD9" w:rsidRPr="00CA25CF" w:rsidRDefault="002C0FD9" w:rsidP="00CA25CF">
            <w:pPr>
              <w:rPr>
                <w:rFonts w:cs="Arial"/>
                <w:color w:val="FF0000"/>
                <w:sz w:val="21"/>
                <w:szCs w:val="21"/>
              </w:rPr>
            </w:pPr>
          </w:p>
        </w:tc>
        <w:tc>
          <w:tcPr>
            <w:tcW w:w="217" w:type="dxa"/>
          </w:tcPr>
          <w:p w14:paraId="3B22ACB9" w14:textId="77777777" w:rsidR="002C0FD9" w:rsidRPr="00CA25CF" w:rsidRDefault="002C0FD9" w:rsidP="00CA25CF">
            <w:pPr>
              <w:rPr>
                <w:rFonts w:cs="Arial"/>
                <w:color w:val="FF0000"/>
                <w:sz w:val="21"/>
                <w:szCs w:val="21"/>
              </w:rPr>
            </w:pPr>
          </w:p>
        </w:tc>
        <w:tc>
          <w:tcPr>
            <w:tcW w:w="217" w:type="dxa"/>
          </w:tcPr>
          <w:p w14:paraId="3C491BB6" w14:textId="77777777" w:rsidR="002C0FD9" w:rsidRPr="00CA25CF" w:rsidRDefault="002C0FD9" w:rsidP="00CA25CF">
            <w:pPr>
              <w:rPr>
                <w:rFonts w:cs="Arial"/>
                <w:color w:val="FF0000"/>
                <w:sz w:val="21"/>
                <w:szCs w:val="21"/>
              </w:rPr>
            </w:pPr>
          </w:p>
        </w:tc>
        <w:tc>
          <w:tcPr>
            <w:tcW w:w="217" w:type="dxa"/>
          </w:tcPr>
          <w:p w14:paraId="5BB8DB2C" w14:textId="77777777" w:rsidR="002C0FD9" w:rsidRPr="00CA25CF" w:rsidRDefault="002C0FD9" w:rsidP="00CA25CF">
            <w:pPr>
              <w:rPr>
                <w:rFonts w:cs="Arial"/>
                <w:color w:val="FF0000"/>
                <w:sz w:val="21"/>
                <w:szCs w:val="21"/>
              </w:rPr>
            </w:pPr>
          </w:p>
        </w:tc>
        <w:tc>
          <w:tcPr>
            <w:tcW w:w="217" w:type="dxa"/>
          </w:tcPr>
          <w:p w14:paraId="5DBD20D1" w14:textId="77777777" w:rsidR="002C0FD9" w:rsidRPr="00CA25CF" w:rsidRDefault="002C0FD9" w:rsidP="00CA25CF">
            <w:pPr>
              <w:rPr>
                <w:rFonts w:cs="Arial"/>
                <w:color w:val="FF0000"/>
                <w:sz w:val="21"/>
                <w:szCs w:val="21"/>
              </w:rPr>
            </w:pPr>
          </w:p>
        </w:tc>
        <w:tc>
          <w:tcPr>
            <w:tcW w:w="217" w:type="dxa"/>
          </w:tcPr>
          <w:p w14:paraId="3BA0D91A" w14:textId="77777777" w:rsidR="002C0FD9" w:rsidRPr="00CA25CF" w:rsidRDefault="002C0FD9" w:rsidP="00CA25CF">
            <w:pPr>
              <w:rPr>
                <w:rFonts w:cs="Arial"/>
                <w:color w:val="FF0000"/>
                <w:sz w:val="21"/>
                <w:szCs w:val="21"/>
              </w:rPr>
            </w:pPr>
          </w:p>
        </w:tc>
        <w:tc>
          <w:tcPr>
            <w:tcW w:w="217" w:type="dxa"/>
          </w:tcPr>
          <w:p w14:paraId="24B598DB" w14:textId="77777777" w:rsidR="002C0FD9" w:rsidRPr="00CA25CF" w:rsidRDefault="002C0FD9" w:rsidP="00CA25CF">
            <w:pPr>
              <w:rPr>
                <w:rFonts w:cs="Arial"/>
                <w:color w:val="FF0000"/>
                <w:sz w:val="21"/>
                <w:szCs w:val="21"/>
              </w:rPr>
            </w:pPr>
          </w:p>
        </w:tc>
        <w:tc>
          <w:tcPr>
            <w:tcW w:w="217" w:type="dxa"/>
          </w:tcPr>
          <w:p w14:paraId="65B5DE4D" w14:textId="77777777" w:rsidR="002C0FD9" w:rsidRPr="00CA25CF" w:rsidRDefault="002C0FD9" w:rsidP="00CA25CF">
            <w:pPr>
              <w:rPr>
                <w:rFonts w:cs="Arial"/>
                <w:color w:val="FF0000"/>
                <w:sz w:val="21"/>
                <w:szCs w:val="21"/>
              </w:rPr>
            </w:pPr>
          </w:p>
        </w:tc>
        <w:tc>
          <w:tcPr>
            <w:tcW w:w="217" w:type="dxa"/>
          </w:tcPr>
          <w:p w14:paraId="0D1E1A86" w14:textId="77777777" w:rsidR="002C0FD9" w:rsidRPr="00CA25CF" w:rsidRDefault="002C0FD9" w:rsidP="00CA25CF">
            <w:pPr>
              <w:rPr>
                <w:rFonts w:cs="Arial"/>
                <w:color w:val="FF0000"/>
                <w:sz w:val="21"/>
                <w:szCs w:val="21"/>
              </w:rPr>
            </w:pPr>
          </w:p>
        </w:tc>
        <w:tc>
          <w:tcPr>
            <w:tcW w:w="217" w:type="dxa"/>
          </w:tcPr>
          <w:p w14:paraId="56EC4565" w14:textId="77777777" w:rsidR="002C0FD9" w:rsidRPr="00CA25CF" w:rsidRDefault="002C0FD9" w:rsidP="00CA25CF">
            <w:pPr>
              <w:rPr>
                <w:rFonts w:cs="Arial"/>
                <w:color w:val="FF0000"/>
                <w:sz w:val="21"/>
                <w:szCs w:val="21"/>
              </w:rPr>
            </w:pPr>
          </w:p>
        </w:tc>
        <w:tc>
          <w:tcPr>
            <w:tcW w:w="217" w:type="dxa"/>
          </w:tcPr>
          <w:p w14:paraId="412F0ECE" w14:textId="77777777" w:rsidR="002C0FD9" w:rsidRPr="00CA25CF" w:rsidRDefault="002C0FD9" w:rsidP="00CA25CF">
            <w:pPr>
              <w:rPr>
                <w:rFonts w:cs="Arial"/>
                <w:color w:val="FF0000"/>
                <w:sz w:val="21"/>
                <w:szCs w:val="21"/>
              </w:rPr>
            </w:pPr>
          </w:p>
        </w:tc>
        <w:tc>
          <w:tcPr>
            <w:tcW w:w="217" w:type="dxa"/>
          </w:tcPr>
          <w:p w14:paraId="4557C9E1" w14:textId="77777777" w:rsidR="002C0FD9" w:rsidRPr="00CA25CF" w:rsidRDefault="002C0FD9" w:rsidP="00CA25CF">
            <w:pPr>
              <w:rPr>
                <w:rFonts w:cs="Arial"/>
                <w:color w:val="FF0000"/>
                <w:sz w:val="21"/>
                <w:szCs w:val="21"/>
              </w:rPr>
            </w:pPr>
          </w:p>
        </w:tc>
        <w:tc>
          <w:tcPr>
            <w:tcW w:w="217" w:type="dxa"/>
          </w:tcPr>
          <w:p w14:paraId="53E89CCC" w14:textId="77777777" w:rsidR="002C0FD9" w:rsidRPr="00CA25CF" w:rsidRDefault="002C0FD9" w:rsidP="00CA25CF">
            <w:pPr>
              <w:rPr>
                <w:rFonts w:cs="Arial"/>
                <w:color w:val="FF0000"/>
                <w:sz w:val="21"/>
                <w:szCs w:val="21"/>
              </w:rPr>
            </w:pPr>
          </w:p>
        </w:tc>
        <w:tc>
          <w:tcPr>
            <w:tcW w:w="217" w:type="dxa"/>
          </w:tcPr>
          <w:p w14:paraId="1DD412B5" w14:textId="77777777" w:rsidR="002C0FD9" w:rsidRPr="00CA25CF" w:rsidRDefault="002C0FD9" w:rsidP="00CA25CF">
            <w:pPr>
              <w:rPr>
                <w:rFonts w:cs="Arial"/>
                <w:color w:val="FF0000"/>
                <w:sz w:val="21"/>
                <w:szCs w:val="21"/>
              </w:rPr>
            </w:pPr>
          </w:p>
        </w:tc>
        <w:tc>
          <w:tcPr>
            <w:tcW w:w="217" w:type="dxa"/>
          </w:tcPr>
          <w:p w14:paraId="6BDE6000" w14:textId="77777777" w:rsidR="002C0FD9" w:rsidRPr="00CA25CF" w:rsidRDefault="002C0FD9" w:rsidP="00CA25CF">
            <w:pPr>
              <w:rPr>
                <w:rFonts w:cs="Arial"/>
                <w:color w:val="FF0000"/>
                <w:sz w:val="21"/>
                <w:szCs w:val="21"/>
              </w:rPr>
            </w:pPr>
          </w:p>
        </w:tc>
        <w:tc>
          <w:tcPr>
            <w:tcW w:w="217" w:type="dxa"/>
          </w:tcPr>
          <w:p w14:paraId="4D15CD52" w14:textId="77777777" w:rsidR="002C0FD9" w:rsidRPr="00CA25CF" w:rsidRDefault="002C0FD9" w:rsidP="00CA25CF">
            <w:pPr>
              <w:rPr>
                <w:rFonts w:cs="Arial"/>
                <w:color w:val="FF0000"/>
                <w:sz w:val="21"/>
                <w:szCs w:val="21"/>
              </w:rPr>
            </w:pPr>
          </w:p>
        </w:tc>
        <w:tc>
          <w:tcPr>
            <w:tcW w:w="217" w:type="dxa"/>
          </w:tcPr>
          <w:p w14:paraId="58729D3A" w14:textId="77777777" w:rsidR="002C0FD9" w:rsidRPr="00CA25CF" w:rsidRDefault="002C0FD9" w:rsidP="00CA25CF">
            <w:pPr>
              <w:rPr>
                <w:rFonts w:cs="Arial"/>
                <w:color w:val="FF0000"/>
                <w:sz w:val="21"/>
                <w:szCs w:val="21"/>
              </w:rPr>
            </w:pPr>
          </w:p>
        </w:tc>
        <w:tc>
          <w:tcPr>
            <w:tcW w:w="217" w:type="dxa"/>
          </w:tcPr>
          <w:p w14:paraId="40069D20" w14:textId="77777777" w:rsidR="002C0FD9" w:rsidRPr="00CA25CF" w:rsidRDefault="002C0FD9" w:rsidP="00CA25CF">
            <w:pPr>
              <w:rPr>
                <w:rFonts w:cs="Arial"/>
                <w:color w:val="FF0000"/>
                <w:sz w:val="21"/>
                <w:szCs w:val="21"/>
              </w:rPr>
            </w:pPr>
          </w:p>
        </w:tc>
        <w:tc>
          <w:tcPr>
            <w:tcW w:w="217" w:type="dxa"/>
          </w:tcPr>
          <w:p w14:paraId="58C6B368" w14:textId="77777777" w:rsidR="002C0FD9" w:rsidRPr="00CA25CF" w:rsidRDefault="002C0FD9" w:rsidP="00CA25CF">
            <w:pPr>
              <w:rPr>
                <w:rFonts w:cs="Arial"/>
                <w:color w:val="FF0000"/>
                <w:sz w:val="21"/>
                <w:szCs w:val="21"/>
              </w:rPr>
            </w:pPr>
          </w:p>
        </w:tc>
        <w:tc>
          <w:tcPr>
            <w:tcW w:w="217" w:type="dxa"/>
          </w:tcPr>
          <w:p w14:paraId="59DD945E" w14:textId="77777777" w:rsidR="002C0FD9" w:rsidRPr="00CA25CF" w:rsidRDefault="002C0FD9" w:rsidP="00CA25CF">
            <w:pPr>
              <w:rPr>
                <w:rFonts w:cs="Arial"/>
                <w:color w:val="FF0000"/>
                <w:sz w:val="21"/>
                <w:szCs w:val="21"/>
              </w:rPr>
            </w:pPr>
          </w:p>
        </w:tc>
      </w:tr>
      <w:tr w:rsidR="002C0FD9" w:rsidRPr="00A16219" w14:paraId="78B40D3B" w14:textId="72922533" w:rsidTr="002C0FD9">
        <w:trPr>
          <w:trHeight w:val="635"/>
        </w:trPr>
        <w:tc>
          <w:tcPr>
            <w:tcW w:w="515" w:type="dxa"/>
          </w:tcPr>
          <w:p w14:paraId="0CCB790A" w14:textId="77777777" w:rsidR="002C0FD9" w:rsidRPr="00CA25CF" w:rsidRDefault="002C0FD9" w:rsidP="00CA25CF">
            <w:pPr>
              <w:rPr>
                <w:rFonts w:cs="Arial"/>
                <w:color w:val="FF0000"/>
                <w:sz w:val="21"/>
                <w:szCs w:val="21"/>
              </w:rPr>
            </w:pPr>
          </w:p>
        </w:tc>
        <w:tc>
          <w:tcPr>
            <w:tcW w:w="217" w:type="dxa"/>
          </w:tcPr>
          <w:p w14:paraId="616B560E" w14:textId="77777777" w:rsidR="002C0FD9" w:rsidRPr="00CA25CF" w:rsidRDefault="002C0FD9" w:rsidP="00CA25CF">
            <w:pPr>
              <w:rPr>
                <w:rFonts w:cs="Arial"/>
                <w:color w:val="FF0000"/>
                <w:sz w:val="21"/>
                <w:szCs w:val="21"/>
              </w:rPr>
            </w:pPr>
          </w:p>
        </w:tc>
        <w:tc>
          <w:tcPr>
            <w:tcW w:w="217" w:type="dxa"/>
          </w:tcPr>
          <w:p w14:paraId="74EF3A77" w14:textId="75BFFD75" w:rsidR="002C0FD9" w:rsidRPr="00CA25CF" w:rsidRDefault="002C0FD9" w:rsidP="00CA25CF">
            <w:pPr>
              <w:rPr>
                <w:rFonts w:cs="Arial"/>
                <w:color w:val="FF0000"/>
                <w:sz w:val="21"/>
                <w:szCs w:val="21"/>
              </w:rPr>
            </w:pPr>
          </w:p>
        </w:tc>
        <w:tc>
          <w:tcPr>
            <w:tcW w:w="217" w:type="dxa"/>
          </w:tcPr>
          <w:p w14:paraId="18A2CC29" w14:textId="77777777" w:rsidR="002C0FD9" w:rsidRPr="00CA25CF" w:rsidRDefault="002C0FD9" w:rsidP="00CA25CF">
            <w:pPr>
              <w:rPr>
                <w:rFonts w:cs="Arial"/>
                <w:color w:val="FF0000"/>
                <w:sz w:val="21"/>
                <w:szCs w:val="21"/>
              </w:rPr>
            </w:pPr>
          </w:p>
        </w:tc>
        <w:tc>
          <w:tcPr>
            <w:tcW w:w="217" w:type="dxa"/>
          </w:tcPr>
          <w:p w14:paraId="387F0E25" w14:textId="77777777" w:rsidR="002C0FD9" w:rsidRPr="00CA25CF" w:rsidRDefault="002C0FD9" w:rsidP="00CA25CF">
            <w:pPr>
              <w:rPr>
                <w:rFonts w:cs="Arial"/>
                <w:color w:val="FF0000"/>
                <w:sz w:val="21"/>
                <w:szCs w:val="21"/>
              </w:rPr>
            </w:pPr>
          </w:p>
        </w:tc>
        <w:tc>
          <w:tcPr>
            <w:tcW w:w="217" w:type="dxa"/>
          </w:tcPr>
          <w:p w14:paraId="7D4E85B1" w14:textId="77777777" w:rsidR="002C0FD9" w:rsidRPr="00CA25CF" w:rsidRDefault="002C0FD9" w:rsidP="00CA25CF">
            <w:pPr>
              <w:rPr>
                <w:rFonts w:cs="Arial"/>
                <w:color w:val="FF0000"/>
                <w:sz w:val="21"/>
                <w:szCs w:val="21"/>
              </w:rPr>
            </w:pPr>
          </w:p>
        </w:tc>
        <w:tc>
          <w:tcPr>
            <w:tcW w:w="217" w:type="dxa"/>
          </w:tcPr>
          <w:p w14:paraId="486BD8DA" w14:textId="77777777" w:rsidR="002C0FD9" w:rsidRPr="00CA25CF" w:rsidRDefault="002C0FD9" w:rsidP="00CA25CF">
            <w:pPr>
              <w:rPr>
                <w:rFonts w:cs="Arial"/>
                <w:color w:val="FF0000"/>
                <w:sz w:val="21"/>
                <w:szCs w:val="21"/>
              </w:rPr>
            </w:pPr>
          </w:p>
        </w:tc>
        <w:tc>
          <w:tcPr>
            <w:tcW w:w="217" w:type="dxa"/>
          </w:tcPr>
          <w:p w14:paraId="6C6AFF48" w14:textId="77777777" w:rsidR="002C0FD9" w:rsidRPr="00CA25CF" w:rsidRDefault="002C0FD9" w:rsidP="00CA25CF">
            <w:pPr>
              <w:rPr>
                <w:rFonts w:cs="Arial"/>
                <w:color w:val="FF0000"/>
                <w:sz w:val="21"/>
                <w:szCs w:val="21"/>
              </w:rPr>
            </w:pPr>
          </w:p>
        </w:tc>
        <w:tc>
          <w:tcPr>
            <w:tcW w:w="217" w:type="dxa"/>
          </w:tcPr>
          <w:p w14:paraId="5FD0500F" w14:textId="77777777" w:rsidR="002C0FD9" w:rsidRPr="00CA25CF" w:rsidRDefault="002C0FD9" w:rsidP="00CA25CF">
            <w:pPr>
              <w:rPr>
                <w:rFonts w:cs="Arial"/>
                <w:color w:val="FF0000"/>
                <w:sz w:val="21"/>
                <w:szCs w:val="21"/>
              </w:rPr>
            </w:pPr>
          </w:p>
        </w:tc>
        <w:tc>
          <w:tcPr>
            <w:tcW w:w="217" w:type="dxa"/>
          </w:tcPr>
          <w:p w14:paraId="559C46A9" w14:textId="77777777" w:rsidR="002C0FD9" w:rsidRPr="00CA25CF" w:rsidRDefault="002C0FD9" w:rsidP="00CA25CF">
            <w:pPr>
              <w:rPr>
                <w:rFonts w:cs="Arial"/>
                <w:color w:val="FF0000"/>
                <w:sz w:val="21"/>
                <w:szCs w:val="21"/>
              </w:rPr>
            </w:pPr>
          </w:p>
        </w:tc>
        <w:tc>
          <w:tcPr>
            <w:tcW w:w="217" w:type="dxa"/>
          </w:tcPr>
          <w:p w14:paraId="674F9ADB" w14:textId="77777777" w:rsidR="002C0FD9" w:rsidRPr="00CA25CF" w:rsidRDefault="002C0FD9" w:rsidP="00CA25CF">
            <w:pPr>
              <w:rPr>
                <w:rFonts w:cs="Arial"/>
                <w:color w:val="FF0000"/>
                <w:sz w:val="21"/>
                <w:szCs w:val="21"/>
              </w:rPr>
            </w:pPr>
          </w:p>
        </w:tc>
        <w:tc>
          <w:tcPr>
            <w:tcW w:w="217" w:type="dxa"/>
          </w:tcPr>
          <w:p w14:paraId="73F4BF1D" w14:textId="77777777" w:rsidR="002C0FD9" w:rsidRPr="00CA25CF" w:rsidRDefault="002C0FD9" w:rsidP="00CA25CF">
            <w:pPr>
              <w:rPr>
                <w:rFonts w:cs="Arial"/>
                <w:color w:val="FF0000"/>
                <w:sz w:val="21"/>
                <w:szCs w:val="21"/>
              </w:rPr>
            </w:pPr>
          </w:p>
        </w:tc>
        <w:tc>
          <w:tcPr>
            <w:tcW w:w="217" w:type="dxa"/>
          </w:tcPr>
          <w:p w14:paraId="0F54A988" w14:textId="77777777" w:rsidR="002C0FD9" w:rsidRPr="00CA25CF" w:rsidRDefault="002C0FD9" w:rsidP="00CA25CF">
            <w:pPr>
              <w:rPr>
                <w:rFonts w:cs="Arial"/>
                <w:color w:val="FF0000"/>
                <w:sz w:val="21"/>
                <w:szCs w:val="21"/>
              </w:rPr>
            </w:pPr>
          </w:p>
        </w:tc>
        <w:tc>
          <w:tcPr>
            <w:tcW w:w="217" w:type="dxa"/>
          </w:tcPr>
          <w:p w14:paraId="3DF892C2" w14:textId="77777777" w:rsidR="002C0FD9" w:rsidRPr="00CA25CF" w:rsidRDefault="002C0FD9" w:rsidP="00CA25CF">
            <w:pPr>
              <w:rPr>
                <w:rFonts w:cs="Arial"/>
                <w:color w:val="FF0000"/>
                <w:sz w:val="21"/>
                <w:szCs w:val="21"/>
              </w:rPr>
            </w:pPr>
          </w:p>
        </w:tc>
        <w:tc>
          <w:tcPr>
            <w:tcW w:w="217" w:type="dxa"/>
          </w:tcPr>
          <w:p w14:paraId="0422F9D7" w14:textId="77777777" w:rsidR="002C0FD9" w:rsidRPr="00CA25CF" w:rsidRDefault="002C0FD9" w:rsidP="00CA25CF">
            <w:pPr>
              <w:rPr>
                <w:rFonts w:cs="Arial"/>
                <w:color w:val="FF0000"/>
                <w:sz w:val="21"/>
                <w:szCs w:val="21"/>
              </w:rPr>
            </w:pPr>
          </w:p>
        </w:tc>
        <w:tc>
          <w:tcPr>
            <w:tcW w:w="217" w:type="dxa"/>
          </w:tcPr>
          <w:p w14:paraId="4CD76D05" w14:textId="77777777" w:rsidR="002C0FD9" w:rsidRPr="00CA25CF" w:rsidRDefault="002C0FD9" w:rsidP="00CA25CF">
            <w:pPr>
              <w:rPr>
                <w:rFonts w:cs="Arial"/>
                <w:color w:val="FF0000"/>
                <w:sz w:val="21"/>
                <w:szCs w:val="21"/>
              </w:rPr>
            </w:pPr>
          </w:p>
        </w:tc>
        <w:tc>
          <w:tcPr>
            <w:tcW w:w="217" w:type="dxa"/>
          </w:tcPr>
          <w:p w14:paraId="7F7E3054" w14:textId="77777777" w:rsidR="002C0FD9" w:rsidRPr="00CA25CF" w:rsidRDefault="002C0FD9" w:rsidP="00CA25CF">
            <w:pPr>
              <w:rPr>
                <w:rFonts w:cs="Arial"/>
                <w:color w:val="FF0000"/>
                <w:sz w:val="21"/>
                <w:szCs w:val="21"/>
              </w:rPr>
            </w:pPr>
          </w:p>
        </w:tc>
        <w:tc>
          <w:tcPr>
            <w:tcW w:w="217" w:type="dxa"/>
          </w:tcPr>
          <w:p w14:paraId="27110CB7" w14:textId="77777777" w:rsidR="002C0FD9" w:rsidRPr="00CA25CF" w:rsidRDefault="002C0FD9" w:rsidP="00CA25CF">
            <w:pPr>
              <w:rPr>
                <w:rFonts w:cs="Arial"/>
                <w:color w:val="FF0000"/>
                <w:sz w:val="21"/>
                <w:szCs w:val="21"/>
              </w:rPr>
            </w:pPr>
          </w:p>
        </w:tc>
        <w:tc>
          <w:tcPr>
            <w:tcW w:w="217" w:type="dxa"/>
          </w:tcPr>
          <w:p w14:paraId="5421883E" w14:textId="77777777" w:rsidR="002C0FD9" w:rsidRPr="00CA25CF" w:rsidRDefault="002C0FD9" w:rsidP="00CA25CF">
            <w:pPr>
              <w:rPr>
                <w:rFonts w:cs="Arial"/>
                <w:color w:val="FF0000"/>
                <w:sz w:val="21"/>
                <w:szCs w:val="21"/>
              </w:rPr>
            </w:pPr>
          </w:p>
        </w:tc>
        <w:tc>
          <w:tcPr>
            <w:tcW w:w="217" w:type="dxa"/>
          </w:tcPr>
          <w:p w14:paraId="2574A278" w14:textId="77777777" w:rsidR="002C0FD9" w:rsidRPr="00CA25CF" w:rsidRDefault="002C0FD9" w:rsidP="00CA25CF">
            <w:pPr>
              <w:rPr>
                <w:rFonts w:cs="Arial"/>
                <w:color w:val="FF0000"/>
                <w:sz w:val="21"/>
                <w:szCs w:val="21"/>
              </w:rPr>
            </w:pPr>
          </w:p>
        </w:tc>
        <w:tc>
          <w:tcPr>
            <w:tcW w:w="217" w:type="dxa"/>
          </w:tcPr>
          <w:p w14:paraId="0689974F" w14:textId="77777777" w:rsidR="002C0FD9" w:rsidRPr="00CA25CF" w:rsidRDefault="002C0FD9" w:rsidP="00CA25CF">
            <w:pPr>
              <w:rPr>
                <w:rFonts w:cs="Arial"/>
                <w:color w:val="FF0000"/>
                <w:sz w:val="21"/>
                <w:szCs w:val="21"/>
              </w:rPr>
            </w:pPr>
          </w:p>
        </w:tc>
        <w:tc>
          <w:tcPr>
            <w:tcW w:w="217" w:type="dxa"/>
          </w:tcPr>
          <w:p w14:paraId="677E70A3" w14:textId="77777777" w:rsidR="002C0FD9" w:rsidRPr="00CA25CF" w:rsidRDefault="002C0FD9" w:rsidP="00CA25CF">
            <w:pPr>
              <w:rPr>
                <w:rFonts w:cs="Arial"/>
                <w:color w:val="FF0000"/>
                <w:sz w:val="21"/>
                <w:szCs w:val="21"/>
              </w:rPr>
            </w:pPr>
          </w:p>
        </w:tc>
        <w:tc>
          <w:tcPr>
            <w:tcW w:w="217" w:type="dxa"/>
          </w:tcPr>
          <w:p w14:paraId="6BAA1CFF" w14:textId="77777777" w:rsidR="002C0FD9" w:rsidRPr="00CA25CF" w:rsidRDefault="002C0FD9" w:rsidP="00CA25CF">
            <w:pPr>
              <w:rPr>
                <w:rFonts w:cs="Arial"/>
                <w:color w:val="FF0000"/>
                <w:sz w:val="21"/>
                <w:szCs w:val="21"/>
              </w:rPr>
            </w:pPr>
          </w:p>
        </w:tc>
        <w:tc>
          <w:tcPr>
            <w:tcW w:w="217" w:type="dxa"/>
          </w:tcPr>
          <w:p w14:paraId="78274C0F" w14:textId="77777777" w:rsidR="002C0FD9" w:rsidRPr="00CA25CF" w:rsidRDefault="002C0FD9" w:rsidP="00CA25CF">
            <w:pPr>
              <w:rPr>
                <w:rFonts w:cs="Arial"/>
                <w:color w:val="FF0000"/>
                <w:sz w:val="21"/>
                <w:szCs w:val="21"/>
              </w:rPr>
            </w:pPr>
          </w:p>
        </w:tc>
        <w:tc>
          <w:tcPr>
            <w:tcW w:w="217" w:type="dxa"/>
          </w:tcPr>
          <w:p w14:paraId="169DCB2C" w14:textId="77777777" w:rsidR="002C0FD9" w:rsidRPr="00CA25CF" w:rsidRDefault="002C0FD9" w:rsidP="00CA25CF">
            <w:pPr>
              <w:rPr>
                <w:rFonts w:cs="Arial"/>
                <w:color w:val="FF0000"/>
                <w:sz w:val="21"/>
                <w:szCs w:val="21"/>
              </w:rPr>
            </w:pPr>
          </w:p>
        </w:tc>
        <w:tc>
          <w:tcPr>
            <w:tcW w:w="217" w:type="dxa"/>
          </w:tcPr>
          <w:p w14:paraId="3E8803DE" w14:textId="77777777" w:rsidR="002C0FD9" w:rsidRPr="00CA25CF" w:rsidRDefault="002C0FD9" w:rsidP="00CA25CF">
            <w:pPr>
              <w:rPr>
                <w:rFonts w:cs="Arial"/>
                <w:color w:val="FF0000"/>
                <w:sz w:val="21"/>
                <w:szCs w:val="21"/>
              </w:rPr>
            </w:pPr>
          </w:p>
        </w:tc>
        <w:tc>
          <w:tcPr>
            <w:tcW w:w="217" w:type="dxa"/>
          </w:tcPr>
          <w:p w14:paraId="03092DEC" w14:textId="77777777" w:rsidR="002C0FD9" w:rsidRPr="00CA25CF" w:rsidRDefault="002C0FD9" w:rsidP="00CA25CF">
            <w:pPr>
              <w:rPr>
                <w:rFonts w:cs="Arial"/>
                <w:color w:val="FF0000"/>
                <w:sz w:val="21"/>
                <w:szCs w:val="21"/>
              </w:rPr>
            </w:pPr>
          </w:p>
        </w:tc>
        <w:tc>
          <w:tcPr>
            <w:tcW w:w="217" w:type="dxa"/>
          </w:tcPr>
          <w:p w14:paraId="12337B26" w14:textId="77777777" w:rsidR="002C0FD9" w:rsidRPr="00CA25CF" w:rsidRDefault="002C0FD9" w:rsidP="00CA25CF">
            <w:pPr>
              <w:rPr>
                <w:rFonts w:cs="Arial"/>
                <w:color w:val="FF0000"/>
                <w:sz w:val="21"/>
                <w:szCs w:val="21"/>
              </w:rPr>
            </w:pPr>
          </w:p>
        </w:tc>
        <w:tc>
          <w:tcPr>
            <w:tcW w:w="217" w:type="dxa"/>
          </w:tcPr>
          <w:p w14:paraId="5C080E10" w14:textId="77777777" w:rsidR="002C0FD9" w:rsidRPr="00CA25CF" w:rsidRDefault="002C0FD9" w:rsidP="00CA25CF">
            <w:pPr>
              <w:rPr>
                <w:rFonts w:cs="Arial"/>
                <w:color w:val="FF0000"/>
                <w:sz w:val="21"/>
                <w:szCs w:val="21"/>
              </w:rPr>
            </w:pPr>
          </w:p>
        </w:tc>
        <w:tc>
          <w:tcPr>
            <w:tcW w:w="217" w:type="dxa"/>
          </w:tcPr>
          <w:p w14:paraId="3C106191" w14:textId="77777777" w:rsidR="002C0FD9" w:rsidRPr="00CA25CF" w:rsidRDefault="002C0FD9" w:rsidP="00CA25CF">
            <w:pPr>
              <w:rPr>
                <w:rFonts w:cs="Arial"/>
                <w:color w:val="FF0000"/>
                <w:sz w:val="21"/>
                <w:szCs w:val="21"/>
              </w:rPr>
            </w:pPr>
          </w:p>
        </w:tc>
        <w:tc>
          <w:tcPr>
            <w:tcW w:w="217" w:type="dxa"/>
          </w:tcPr>
          <w:p w14:paraId="5B7BC4C7" w14:textId="77777777" w:rsidR="002C0FD9" w:rsidRPr="00CA25CF" w:rsidRDefault="002C0FD9" w:rsidP="00CA25CF">
            <w:pPr>
              <w:rPr>
                <w:rFonts w:cs="Arial"/>
                <w:color w:val="FF0000"/>
                <w:sz w:val="21"/>
                <w:szCs w:val="21"/>
              </w:rPr>
            </w:pPr>
          </w:p>
        </w:tc>
        <w:tc>
          <w:tcPr>
            <w:tcW w:w="217" w:type="dxa"/>
          </w:tcPr>
          <w:p w14:paraId="3638DC9C" w14:textId="77777777" w:rsidR="002C0FD9" w:rsidRPr="00CA25CF" w:rsidRDefault="002C0FD9" w:rsidP="00CA25CF">
            <w:pPr>
              <w:rPr>
                <w:rFonts w:cs="Arial"/>
                <w:color w:val="FF0000"/>
                <w:sz w:val="21"/>
                <w:szCs w:val="21"/>
              </w:rPr>
            </w:pPr>
          </w:p>
        </w:tc>
        <w:tc>
          <w:tcPr>
            <w:tcW w:w="217" w:type="dxa"/>
          </w:tcPr>
          <w:p w14:paraId="3E74301A" w14:textId="77777777" w:rsidR="002C0FD9" w:rsidRPr="00CA25CF" w:rsidRDefault="002C0FD9" w:rsidP="00CA25CF">
            <w:pPr>
              <w:rPr>
                <w:rFonts w:cs="Arial"/>
                <w:color w:val="FF0000"/>
                <w:sz w:val="21"/>
                <w:szCs w:val="21"/>
              </w:rPr>
            </w:pPr>
          </w:p>
        </w:tc>
        <w:tc>
          <w:tcPr>
            <w:tcW w:w="217" w:type="dxa"/>
          </w:tcPr>
          <w:p w14:paraId="0A6630B6" w14:textId="77777777" w:rsidR="002C0FD9" w:rsidRPr="00CA25CF" w:rsidRDefault="002C0FD9" w:rsidP="00CA25CF">
            <w:pPr>
              <w:rPr>
                <w:rFonts w:cs="Arial"/>
                <w:color w:val="FF0000"/>
                <w:sz w:val="21"/>
                <w:szCs w:val="21"/>
              </w:rPr>
            </w:pPr>
          </w:p>
        </w:tc>
        <w:tc>
          <w:tcPr>
            <w:tcW w:w="217" w:type="dxa"/>
          </w:tcPr>
          <w:p w14:paraId="0D6772BD" w14:textId="77777777" w:rsidR="002C0FD9" w:rsidRPr="00CA25CF" w:rsidRDefault="002C0FD9" w:rsidP="00CA25CF">
            <w:pPr>
              <w:rPr>
                <w:rFonts w:cs="Arial"/>
                <w:color w:val="FF0000"/>
                <w:sz w:val="21"/>
                <w:szCs w:val="21"/>
              </w:rPr>
            </w:pPr>
          </w:p>
        </w:tc>
        <w:tc>
          <w:tcPr>
            <w:tcW w:w="217" w:type="dxa"/>
          </w:tcPr>
          <w:p w14:paraId="54A96E1D" w14:textId="77777777" w:rsidR="002C0FD9" w:rsidRPr="00CA25CF" w:rsidRDefault="002C0FD9" w:rsidP="00CA25CF">
            <w:pPr>
              <w:rPr>
                <w:rFonts w:cs="Arial"/>
                <w:color w:val="FF0000"/>
                <w:sz w:val="21"/>
                <w:szCs w:val="21"/>
              </w:rPr>
            </w:pPr>
          </w:p>
        </w:tc>
        <w:tc>
          <w:tcPr>
            <w:tcW w:w="217" w:type="dxa"/>
          </w:tcPr>
          <w:p w14:paraId="02F223E2" w14:textId="77777777" w:rsidR="002C0FD9" w:rsidRPr="00CA25CF" w:rsidRDefault="002C0FD9" w:rsidP="00CA25CF">
            <w:pPr>
              <w:rPr>
                <w:rFonts w:cs="Arial"/>
                <w:color w:val="FF0000"/>
                <w:sz w:val="21"/>
                <w:szCs w:val="21"/>
              </w:rPr>
            </w:pPr>
          </w:p>
        </w:tc>
        <w:tc>
          <w:tcPr>
            <w:tcW w:w="217" w:type="dxa"/>
          </w:tcPr>
          <w:p w14:paraId="1E57444F" w14:textId="77777777" w:rsidR="002C0FD9" w:rsidRPr="00CA25CF" w:rsidRDefault="002C0FD9" w:rsidP="00CA25CF">
            <w:pPr>
              <w:rPr>
                <w:rFonts w:cs="Arial"/>
                <w:color w:val="FF0000"/>
                <w:sz w:val="21"/>
                <w:szCs w:val="21"/>
              </w:rPr>
            </w:pPr>
          </w:p>
        </w:tc>
        <w:tc>
          <w:tcPr>
            <w:tcW w:w="217" w:type="dxa"/>
          </w:tcPr>
          <w:p w14:paraId="14E44ED0" w14:textId="77777777" w:rsidR="002C0FD9" w:rsidRPr="00CA25CF" w:rsidRDefault="002C0FD9" w:rsidP="00CA25CF">
            <w:pPr>
              <w:rPr>
                <w:rFonts w:cs="Arial"/>
                <w:color w:val="FF0000"/>
                <w:sz w:val="21"/>
                <w:szCs w:val="21"/>
              </w:rPr>
            </w:pPr>
          </w:p>
        </w:tc>
        <w:tc>
          <w:tcPr>
            <w:tcW w:w="217" w:type="dxa"/>
          </w:tcPr>
          <w:p w14:paraId="15B05051" w14:textId="77777777" w:rsidR="002C0FD9" w:rsidRPr="00CA25CF" w:rsidRDefault="002C0FD9" w:rsidP="00CA25CF">
            <w:pPr>
              <w:rPr>
                <w:rFonts w:cs="Arial"/>
                <w:color w:val="FF0000"/>
                <w:sz w:val="21"/>
                <w:szCs w:val="21"/>
              </w:rPr>
            </w:pPr>
          </w:p>
        </w:tc>
        <w:tc>
          <w:tcPr>
            <w:tcW w:w="217" w:type="dxa"/>
          </w:tcPr>
          <w:p w14:paraId="2805E33B" w14:textId="77777777" w:rsidR="002C0FD9" w:rsidRPr="00CA25CF" w:rsidRDefault="002C0FD9" w:rsidP="00CA25CF">
            <w:pPr>
              <w:rPr>
                <w:rFonts w:cs="Arial"/>
                <w:color w:val="FF0000"/>
                <w:sz w:val="21"/>
                <w:szCs w:val="21"/>
              </w:rPr>
            </w:pPr>
          </w:p>
        </w:tc>
        <w:tc>
          <w:tcPr>
            <w:tcW w:w="217" w:type="dxa"/>
          </w:tcPr>
          <w:p w14:paraId="04EB23EE" w14:textId="77777777" w:rsidR="002C0FD9" w:rsidRPr="00CA25CF" w:rsidRDefault="002C0FD9" w:rsidP="00CA25CF">
            <w:pPr>
              <w:rPr>
                <w:rFonts w:cs="Arial"/>
                <w:color w:val="FF0000"/>
                <w:sz w:val="21"/>
                <w:szCs w:val="21"/>
              </w:rPr>
            </w:pPr>
          </w:p>
        </w:tc>
        <w:tc>
          <w:tcPr>
            <w:tcW w:w="217" w:type="dxa"/>
          </w:tcPr>
          <w:p w14:paraId="4BCE1E9A" w14:textId="77777777" w:rsidR="002C0FD9" w:rsidRPr="00CA25CF" w:rsidRDefault="002C0FD9" w:rsidP="00CA25CF">
            <w:pPr>
              <w:rPr>
                <w:rFonts w:cs="Arial"/>
                <w:color w:val="FF0000"/>
                <w:sz w:val="21"/>
                <w:szCs w:val="21"/>
              </w:rPr>
            </w:pPr>
          </w:p>
        </w:tc>
      </w:tr>
      <w:tr w:rsidR="002C0FD9" w:rsidRPr="00A16219" w14:paraId="22E86C33" w14:textId="7CD38E71" w:rsidTr="002C0FD9">
        <w:trPr>
          <w:trHeight w:val="635"/>
        </w:trPr>
        <w:tc>
          <w:tcPr>
            <w:tcW w:w="515" w:type="dxa"/>
          </w:tcPr>
          <w:p w14:paraId="2E6C7F7B" w14:textId="77777777" w:rsidR="002C0FD9" w:rsidRPr="00CA25CF" w:rsidRDefault="002C0FD9" w:rsidP="00CA25CF">
            <w:pPr>
              <w:rPr>
                <w:rFonts w:cs="Arial"/>
                <w:color w:val="FF0000"/>
                <w:sz w:val="21"/>
                <w:szCs w:val="21"/>
              </w:rPr>
            </w:pPr>
          </w:p>
        </w:tc>
        <w:tc>
          <w:tcPr>
            <w:tcW w:w="217" w:type="dxa"/>
          </w:tcPr>
          <w:p w14:paraId="5F15874E" w14:textId="77777777" w:rsidR="002C0FD9" w:rsidRPr="00CA25CF" w:rsidRDefault="002C0FD9" w:rsidP="00CA25CF">
            <w:pPr>
              <w:rPr>
                <w:rFonts w:cs="Arial"/>
                <w:color w:val="FF0000"/>
                <w:sz w:val="21"/>
                <w:szCs w:val="21"/>
              </w:rPr>
            </w:pPr>
          </w:p>
        </w:tc>
        <w:tc>
          <w:tcPr>
            <w:tcW w:w="217" w:type="dxa"/>
          </w:tcPr>
          <w:p w14:paraId="13634C81" w14:textId="214B4151" w:rsidR="002C0FD9" w:rsidRPr="00CA25CF" w:rsidRDefault="002C0FD9" w:rsidP="00CA25CF">
            <w:pPr>
              <w:rPr>
                <w:rFonts w:cs="Arial"/>
                <w:color w:val="FF0000"/>
                <w:sz w:val="21"/>
                <w:szCs w:val="21"/>
              </w:rPr>
            </w:pPr>
          </w:p>
        </w:tc>
        <w:tc>
          <w:tcPr>
            <w:tcW w:w="217" w:type="dxa"/>
          </w:tcPr>
          <w:p w14:paraId="637ABAE4" w14:textId="77777777" w:rsidR="002C0FD9" w:rsidRPr="00CA25CF" w:rsidRDefault="002C0FD9" w:rsidP="00CA25CF">
            <w:pPr>
              <w:rPr>
                <w:rFonts w:cs="Arial"/>
                <w:color w:val="FF0000"/>
                <w:sz w:val="21"/>
                <w:szCs w:val="21"/>
              </w:rPr>
            </w:pPr>
          </w:p>
        </w:tc>
        <w:tc>
          <w:tcPr>
            <w:tcW w:w="217" w:type="dxa"/>
          </w:tcPr>
          <w:p w14:paraId="7660A859" w14:textId="77777777" w:rsidR="002C0FD9" w:rsidRPr="00CA25CF" w:rsidRDefault="002C0FD9" w:rsidP="00CA25CF">
            <w:pPr>
              <w:rPr>
                <w:rFonts w:cs="Arial"/>
                <w:color w:val="FF0000"/>
                <w:sz w:val="21"/>
                <w:szCs w:val="21"/>
              </w:rPr>
            </w:pPr>
          </w:p>
        </w:tc>
        <w:tc>
          <w:tcPr>
            <w:tcW w:w="217" w:type="dxa"/>
          </w:tcPr>
          <w:p w14:paraId="75275145" w14:textId="77777777" w:rsidR="002C0FD9" w:rsidRPr="00CA25CF" w:rsidRDefault="002C0FD9" w:rsidP="00CA25CF">
            <w:pPr>
              <w:rPr>
                <w:rFonts w:cs="Arial"/>
                <w:color w:val="FF0000"/>
                <w:sz w:val="21"/>
                <w:szCs w:val="21"/>
              </w:rPr>
            </w:pPr>
          </w:p>
        </w:tc>
        <w:tc>
          <w:tcPr>
            <w:tcW w:w="217" w:type="dxa"/>
          </w:tcPr>
          <w:p w14:paraId="0065B656" w14:textId="77777777" w:rsidR="002C0FD9" w:rsidRPr="00CA25CF" w:rsidRDefault="002C0FD9" w:rsidP="00CA25CF">
            <w:pPr>
              <w:rPr>
                <w:rFonts w:cs="Arial"/>
                <w:color w:val="FF0000"/>
                <w:sz w:val="21"/>
                <w:szCs w:val="21"/>
              </w:rPr>
            </w:pPr>
          </w:p>
        </w:tc>
        <w:tc>
          <w:tcPr>
            <w:tcW w:w="217" w:type="dxa"/>
          </w:tcPr>
          <w:p w14:paraId="5910B4DE" w14:textId="77777777" w:rsidR="002C0FD9" w:rsidRPr="00CA25CF" w:rsidRDefault="002C0FD9" w:rsidP="00CA25CF">
            <w:pPr>
              <w:rPr>
                <w:rFonts w:cs="Arial"/>
                <w:color w:val="FF0000"/>
                <w:sz w:val="21"/>
                <w:szCs w:val="21"/>
              </w:rPr>
            </w:pPr>
          </w:p>
        </w:tc>
        <w:tc>
          <w:tcPr>
            <w:tcW w:w="217" w:type="dxa"/>
          </w:tcPr>
          <w:p w14:paraId="70F78841" w14:textId="77777777" w:rsidR="002C0FD9" w:rsidRPr="00CA25CF" w:rsidRDefault="002C0FD9" w:rsidP="00CA25CF">
            <w:pPr>
              <w:rPr>
                <w:rFonts w:cs="Arial"/>
                <w:color w:val="FF0000"/>
                <w:sz w:val="21"/>
                <w:szCs w:val="21"/>
              </w:rPr>
            </w:pPr>
          </w:p>
        </w:tc>
        <w:tc>
          <w:tcPr>
            <w:tcW w:w="217" w:type="dxa"/>
          </w:tcPr>
          <w:p w14:paraId="63332B82" w14:textId="77777777" w:rsidR="002C0FD9" w:rsidRPr="00CA25CF" w:rsidRDefault="002C0FD9" w:rsidP="00CA25CF">
            <w:pPr>
              <w:rPr>
                <w:rFonts w:cs="Arial"/>
                <w:color w:val="FF0000"/>
                <w:sz w:val="21"/>
                <w:szCs w:val="21"/>
              </w:rPr>
            </w:pPr>
          </w:p>
        </w:tc>
        <w:tc>
          <w:tcPr>
            <w:tcW w:w="217" w:type="dxa"/>
          </w:tcPr>
          <w:p w14:paraId="3D190AD8" w14:textId="77777777" w:rsidR="002C0FD9" w:rsidRPr="00CA25CF" w:rsidRDefault="002C0FD9" w:rsidP="00CA25CF">
            <w:pPr>
              <w:rPr>
                <w:rFonts w:cs="Arial"/>
                <w:color w:val="FF0000"/>
                <w:sz w:val="21"/>
                <w:szCs w:val="21"/>
              </w:rPr>
            </w:pPr>
          </w:p>
        </w:tc>
        <w:tc>
          <w:tcPr>
            <w:tcW w:w="217" w:type="dxa"/>
          </w:tcPr>
          <w:p w14:paraId="04C1DA89" w14:textId="77777777" w:rsidR="002C0FD9" w:rsidRPr="00CA25CF" w:rsidRDefault="002C0FD9" w:rsidP="00CA25CF">
            <w:pPr>
              <w:rPr>
                <w:rFonts w:cs="Arial"/>
                <w:color w:val="FF0000"/>
                <w:sz w:val="21"/>
                <w:szCs w:val="21"/>
              </w:rPr>
            </w:pPr>
          </w:p>
        </w:tc>
        <w:tc>
          <w:tcPr>
            <w:tcW w:w="217" w:type="dxa"/>
          </w:tcPr>
          <w:p w14:paraId="1BE979FC" w14:textId="77777777" w:rsidR="002C0FD9" w:rsidRPr="00CA25CF" w:rsidRDefault="002C0FD9" w:rsidP="00CA25CF">
            <w:pPr>
              <w:rPr>
                <w:rFonts w:cs="Arial"/>
                <w:color w:val="FF0000"/>
                <w:sz w:val="21"/>
                <w:szCs w:val="21"/>
              </w:rPr>
            </w:pPr>
          </w:p>
        </w:tc>
        <w:tc>
          <w:tcPr>
            <w:tcW w:w="217" w:type="dxa"/>
          </w:tcPr>
          <w:p w14:paraId="66F98592" w14:textId="77777777" w:rsidR="002C0FD9" w:rsidRPr="00CA25CF" w:rsidRDefault="002C0FD9" w:rsidP="00CA25CF">
            <w:pPr>
              <w:rPr>
                <w:rFonts w:cs="Arial"/>
                <w:color w:val="FF0000"/>
                <w:sz w:val="21"/>
                <w:szCs w:val="21"/>
              </w:rPr>
            </w:pPr>
          </w:p>
        </w:tc>
        <w:tc>
          <w:tcPr>
            <w:tcW w:w="217" w:type="dxa"/>
          </w:tcPr>
          <w:p w14:paraId="0D8627C1" w14:textId="77777777" w:rsidR="002C0FD9" w:rsidRPr="00CA25CF" w:rsidRDefault="002C0FD9" w:rsidP="00CA25CF">
            <w:pPr>
              <w:rPr>
                <w:rFonts w:cs="Arial"/>
                <w:color w:val="FF0000"/>
                <w:sz w:val="21"/>
                <w:szCs w:val="21"/>
              </w:rPr>
            </w:pPr>
          </w:p>
        </w:tc>
        <w:tc>
          <w:tcPr>
            <w:tcW w:w="217" w:type="dxa"/>
          </w:tcPr>
          <w:p w14:paraId="6EAFD84C" w14:textId="77777777" w:rsidR="002C0FD9" w:rsidRPr="00CA25CF" w:rsidRDefault="002C0FD9" w:rsidP="00CA25CF">
            <w:pPr>
              <w:rPr>
                <w:rFonts w:cs="Arial"/>
                <w:color w:val="FF0000"/>
                <w:sz w:val="21"/>
                <w:szCs w:val="21"/>
              </w:rPr>
            </w:pPr>
          </w:p>
        </w:tc>
        <w:tc>
          <w:tcPr>
            <w:tcW w:w="217" w:type="dxa"/>
          </w:tcPr>
          <w:p w14:paraId="6B09DCDC" w14:textId="77777777" w:rsidR="002C0FD9" w:rsidRPr="00CA25CF" w:rsidRDefault="002C0FD9" w:rsidP="00CA25CF">
            <w:pPr>
              <w:rPr>
                <w:rFonts w:cs="Arial"/>
                <w:color w:val="FF0000"/>
                <w:sz w:val="21"/>
                <w:szCs w:val="21"/>
              </w:rPr>
            </w:pPr>
          </w:p>
        </w:tc>
        <w:tc>
          <w:tcPr>
            <w:tcW w:w="217" w:type="dxa"/>
          </w:tcPr>
          <w:p w14:paraId="746ACA7F" w14:textId="77777777" w:rsidR="002C0FD9" w:rsidRPr="00CA25CF" w:rsidRDefault="002C0FD9" w:rsidP="00CA25CF">
            <w:pPr>
              <w:rPr>
                <w:rFonts w:cs="Arial"/>
                <w:color w:val="FF0000"/>
                <w:sz w:val="21"/>
                <w:szCs w:val="21"/>
              </w:rPr>
            </w:pPr>
          </w:p>
        </w:tc>
        <w:tc>
          <w:tcPr>
            <w:tcW w:w="217" w:type="dxa"/>
          </w:tcPr>
          <w:p w14:paraId="3FE75D9A" w14:textId="77777777" w:rsidR="002C0FD9" w:rsidRPr="00CA25CF" w:rsidRDefault="002C0FD9" w:rsidP="00CA25CF">
            <w:pPr>
              <w:rPr>
                <w:rFonts w:cs="Arial"/>
                <w:color w:val="FF0000"/>
                <w:sz w:val="21"/>
                <w:szCs w:val="21"/>
              </w:rPr>
            </w:pPr>
          </w:p>
        </w:tc>
        <w:tc>
          <w:tcPr>
            <w:tcW w:w="217" w:type="dxa"/>
          </w:tcPr>
          <w:p w14:paraId="29FEB357" w14:textId="77777777" w:rsidR="002C0FD9" w:rsidRPr="00CA25CF" w:rsidRDefault="002C0FD9" w:rsidP="00CA25CF">
            <w:pPr>
              <w:rPr>
                <w:rFonts w:cs="Arial"/>
                <w:color w:val="FF0000"/>
                <w:sz w:val="21"/>
                <w:szCs w:val="21"/>
              </w:rPr>
            </w:pPr>
          </w:p>
        </w:tc>
        <w:tc>
          <w:tcPr>
            <w:tcW w:w="217" w:type="dxa"/>
          </w:tcPr>
          <w:p w14:paraId="2B32D4A4" w14:textId="77777777" w:rsidR="002C0FD9" w:rsidRPr="00CA25CF" w:rsidRDefault="002C0FD9" w:rsidP="00CA25CF">
            <w:pPr>
              <w:rPr>
                <w:rFonts w:cs="Arial"/>
                <w:color w:val="FF0000"/>
                <w:sz w:val="21"/>
                <w:szCs w:val="21"/>
              </w:rPr>
            </w:pPr>
          </w:p>
        </w:tc>
        <w:tc>
          <w:tcPr>
            <w:tcW w:w="217" w:type="dxa"/>
          </w:tcPr>
          <w:p w14:paraId="58146EB8" w14:textId="77777777" w:rsidR="002C0FD9" w:rsidRPr="00CA25CF" w:rsidRDefault="002C0FD9" w:rsidP="00CA25CF">
            <w:pPr>
              <w:rPr>
                <w:rFonts w:cs="Arial"/>
                <w:color w:val="FF0000"/>
                <w:sz w:val="21"/>
                <w:szCs w:val="21"/>
              </w:rPr>
            </w:pPr>
          </w:p>
        </w:tc>
        <w:tc>
          <w:tcPr>
            <w:tcW w:w="217" w:type="dxa"/>
          </w:tcPr>
          <w:p w14:paraId="5B0C7D3C" w14:textId="77777777" w:rsidR="002C0FD9" w:rsidRPr="00CA25CF" w:rsidRDefault="002C0FD9" w:rsidP="00CA25CF">
            <w:pPr>
              <w:rPr>
                <w:rFonts w:cs="Arial"/>
                <w:color w:val="FF0000"/>
                <w:sz w:val="21"/>
                <w:szCs w:val="21"/>
              </w:rPr>
            </w:pPr>
          </w:p>
        </w:tc>
        <w:tc>
          <w:tcPr>
            <w:tcW w:w="217" w:type="dxa"/>
          </w:tcPr>
          <w:p w14:paraId="092D4E20" w14:textId="77777777" w:rsidR="002C0FD9" w:rsidRPr="00CA25CF" w:rsidRDefault="002C0FD9" w:rsidP="00CA25CF">
            <w:pPr>
              <w:rPr>
                <w:rFonts w:cs="Arial"/>
                <w:color w:val="FF0000"/>
                <w:sz w:val="21"/>
                <w:szCs w:val="21"/>
              </w:rPr>
            </w:pPr>
          </w:p>
        </w:tc>
        <w:tc>
          <w:tcPr>
            <w:tcW w:w="217" w:type="dxa"/>
          </w:tcPr>
          <w:p w14:paraId="2A1AE79C" w14:textId="77777777" w:rsidR="002C0FD9" w:rsidRPr="00CA25CF" w:rsidRDefault="002C0FD9" w:rsidP="00CA25CF">
            <w:pPr>
              <w:rPr>
                <w:rFonts w:cs="Arial"/>
                <w:color w:val="FF0000"/>
                <w:sz w:val="21"/>
                <w:szCs w:val="21"/>
              </w:rPr>
            </w:pPr>
          </w:p>
        </w:tc>
        <w:tc>
          <w:tcPr>
            <w:tcW w:w="217" w:type="dxa"/>
          </w:tcPr>
          <w:p w14:paraId="6534182C" w14:textId="77777777" w:rsidR="002C0FD9" w:rsidRPr="00CA25CF" w:rsidRDefault="002C0FD9" w:rsidP="00CA25CF">
            <w:pPr>
              <w:rPr>
                <w:rFonts w:cs="Arial"/>
                <w:color w:val="FF0000"/>
                <w:sz w:val="21"/>
                <w:szCs w:val="21"/>
              </w:rPr>
            </w:pPr>
          </w:p>
        </w:tc>
        <w:tc>
          <w:tcPr>
            <w:tcW w:w="217" w:type="dxa"/>
          </w:tcPr>
          <w:p w14:paraId="1A903B49" w14:textId="77777777" w:rsidR="002C0FD9" w:rsidRPr="00CA25CF" w:rsidRDefault="002C0FD9" w:rsidP="00CA25CF">
            <w:pPr>
              <w:rPr>
                <w:rFonts w:cs="Arial"/>
                <w:color w:val="FF0000"/>
                <w:sz w:val="21"/>
                <w:szCs w:val="21"/>
              </w:rPr>
            </w:pPr>
          </w:p>
        </w:tc>
        <w:tc>
          <w:tcPr>
            <w:tcW w:w="217" w:type="dxa"/>
          </w:tcPr>
          <w:p w14:paraId="2A3F1731" w14:textId="77777777" w:rsidR="002C0FD9" w:rsidRPr="00CA25CF" w:rsidRDefault="002C0FD9" w:rsidP="00CA25CF">
            <w:pPr>
              <w:rPr>
                <w:rFonts w:cs="Arial"/>
                <w:color w:val="FF0000"/>
                <w:sz w:val="21"/>
                <w:szCs w:val="21"/>
              </w:rPr>
            </w:pPr>
          </w:p>
        </w:tc>
        <w:tc>
          <w:tcPr>
            <w:tcW w:w="217" w:type="dxa"/>
          </w:tcPr>
          <w:p w14:paraId="51698B11" w14:textId="77777777" w:rsidR="002C0FD9" w:rsidRPr="00CA25CF" w:rsidRDefault="002C0FD9" w:rsidP="00CA25CF">
            <w:pPr>
              <w:rPr>
                <w:rFonts w:cs="Arial"/>
                <w:color w:val="FF0000"/>
                <w:sz w:val="21"/>
                <w:szCs w:val="21"/>
              </w:rPr>
            </w:pPr>
          </w:p>
        </w:tc>
        <w:tc>
          <w:tcPr>
            <w:tcW w:w="217" w:type="dxa"/>
          </w:tcPr>
          <w:p w14:paraId="5908E3F7" w14:textId="77777777" w:rsidR="002C0FD9" w:rsidRPr="00CA25CF" w:rsidRDefault="002C0FD9" w:rsidP="00CA25CF">
            <w:pPr>
              <w:rPr>
                <w:rFonts w:cs="Arial"/>
                <w:color w:val="FF0000"/>
                <w:sz w:val="21"/>
                <w:szCs w:val="21"/>
              </w:rPr>
            </w:pPr>
          </w:p>
        </w:tc>
        <w:tc>
          <w:tcPr>
            <w:tcW w:w="217" w:type="dxa"/>
          </w:tcPr>
          <w:p w14:paraId="451E5DEF" w14:textId="77777777" w:rsidR="002C0FD9" w:rsidRPr="00CA25CF" w:rsidRDefault="002C0FD9" w:rsidP="00CA25CF">
            <w:pPr>
              <w:rPr>
                <w:rFonts w:cs="Arial"/>
                <w:color w:val="FF0000"/>
                <w:sz w:val="21"/>
                <w:szCs w:val="21"/>
              </w:rPr>
            </w:pPr>
          </w:p>
        </w:tc>
        <w:tc>
          <w:tcPr>
            <w:tcW w:w="217" w:type="dxa"/>
          </w:tcPr>
          <w:p w14:paraId="3906868C" w14:textId="77777777" w:rsidR="002C0FD9" w:rsidRPr="00CA25CF" w:rsidRDefault="002C0FD9" w:rsidP="00CA25CF">
            <w:pPr>
              <w:rPr>
                <w:rFonts w:cs="Arial"/>
                <w:color w:val="FF0000"/>
                <w:sz w:val="21"/>
                <w:szCs w:val="21"/>
              </w:rPr>
            </w:pPr>
          </w:p>
        </w:tc>
        <w:tc>
          <w:tcPr>
            <w:tcW w:w="217" w:type="dxa"/>
          </w:tcPr>
          <w:p w14:paraId="4A6471D7" w14:textId="77777777" w:rsidR="002C0FD9" w:rsidRPr="00CA25CF" w:rsidRDefault="002C0FD9" w:rsidP="00CA25CF">
            <w:pPr>
              <w:rPr>
                <w:rFonts w:cs="Arial"/>
                <w:color w:val="FF0000"/>
                <w:sz w:val="21"/>
                <w:szCs w:val="21"/>
              </w:rPr>
            </w:pPr>
          </w:p>
        </w:tc>
        <w:tc>
          <w:tcPr>
            <w:tcW w:w="217" w:type="dxa"/>
          </w:tcPr>
          <w:p w14:paraId="0A701BCD" w14:textId="77777777" w:rsidR="002C0FD9" w:rsidRPr="00CA25CF" w:rsidRDefault="002C0FD9" w:rsidP="00CA25CF">
            <w:pPr>
              <w:rPr>
                <w:rFonts w:cs="Arial"/>
                <w:color w:val="FF0000"/>
                <w:sz w:val="21"/>
                <w:szCs w:val="21"/>
              </w:rPr>
            </w:pPr>
          </w:p>
        </w:tc>
        <w:tc>
          <w:tcPr>
            <w:tcW w:w="217" w:type="dxa"/>
          </w:tcPr>
          <w:p w14:paraId="09E74105" w14:textId="77777777" w:rsidR="002C0FD9" w:rsidRPr="00CA25CF" w:rsidRDefault="002C0FD9" w:rsidP="00CA25CF">
            <w:pPr>
              <w:rPr>
                <w:rFonts w:cs="Arial"/>
                <w:color w:val="FF0000"/>
                <w:sz w:val="21"/>
                <w:szCs w:val="21"/>
              </w:rPr>
            </w:pPr>
          </w:p>
        </w:tc>
        <w:tc>
          <w:tcPr>
            <w:tcW w:w="217" w:type="dxa"/>
          </w:tcPr>
          <w:p w14:paraId="07B6237A" w14:textId="77777777" w:rsidR="002C0FD9" w:rsidRPr="00CA25CF" w:rsidRDefault="002C0FD9" w:rsidP="00CA25CF">
            <w:pPr>
              <w:rPr>
                <w:rFonts w:cs="Arial"/>
                <w:color w:val="FF0000"/>
                <w:sz w:val="21"/>
                <w:szCs w:val="21"/>
              </w:rPr>
            </w:pPr>
          </w:p>
        </w:tc>
        <w:tc>
          <w:tcPr>
            <w:tcW w:w="217" w:type="dxa"/>
          </w:tcPr>
          <w:p w14:paraId="717BBDCF" w14:textId="77777777" w:rsidR="002C0FD9" w:rsidRPr="00CA25CF" w:rsidRDefault="002C0FD9" w:rsidP="00CA25CF">
            <w:pPr>
              <w:rPr>
                <w:rFonts w:cs="Arial"/>
                <w:color w:val="FF0000"/>
                <w:sz w:val="21"/>
                <w:szCs w:val="21"/>
              </w:rPr>
            </w:pPr>
          </w:p>
        </w:tc>
        <w:tc>
          <w:tcPr>
            <w:tcW w:w="217" w:type="dxa"/>
          </w:tcPr>
          <w:p w14:paraId="332D9AC5" w14:textId="77777777" w:rsidR="002C0FD9" w:rsidRPr="00CA25CF" w:rsidRDefault="002C0FD9" w:rsidP="00CA25CF">
            <w:pPr>
              <w:rPr>
                <w:rFonts w:cs="Arial"/>
                <w:color w:val="FF0000"/>
                <w:sz w:val="21"/>
                <w:szCs w:val="21"/>
              </w:rPr>
            </w:pPr>
          </w:p>
        </w:tc>
        <w:tc>
          <w:tcPr>
            <w:tcW w:w="217" w:type="dxa"/>
          </w:tcPr>
          <w:p w14:paraId="7797590C" w14:textId="77777777" w:rsidR="002C0FD9" w:rsidRPr="00CA25CF" w:rsidRDefault="002C0FD9" w:rsidP="00CA25CF">
            <w:pPr>
              <w:rPr>
                <w:rFonts w:cs="Arial"/>
                <w:color w:val="FF0000"/>
                <w:sz w:val="21"/>
                <w:szCs w:val="21"/>
              </w:rPr>
            </w:pPr>
          </w:p>
        </w:tc>
        <w:tc>
          <w:tcPr>
            <w:tcW w:w="217" w:type="dxa"/>
          </w:tcPr>
          <w:p w14:paraId="04400744" w14:textId="77777777" w:rsidR="002C0FD9" w:rsidRPr="00CA25CF" w:rsidRDefault="002C0FD9" w:rsidP="00CA25CF">
            <w:pPr>
              <w:rPr>
                <w:rFonts w:cs="Arial"/>
                <w:color w:val="FF0000"/>
                <w:sz w:val="21"/>
                <w:szCs w:val="21"/>
              </w:rPr>
            </w:pPr>
          </w:p>
        </w:tc>
        <w:tc>
          <w:tcPr>
            <w:tcW w:w="217" w:type="dxa"/>
          </w:tcPr>
          <w:p w14:paraId="27637061" w14:textId="77777777" w:rsidR="002C0FD9" w:rsidRPr="00CA25CF" w:rsidRDefault="002C0FD9" w:rsidP="00CA25CF">
            <w:pPr>
              <w:rPr>
                <w:rFonts w:cs="Arial"/>
                <w:color w:val="FF0000"/>
                <w:sz w:val="21"/>
                <w:szCs w:val="21"/>
              </w:rPr>
            </w:pPr>
          </w:p>
        </w:tc>
        <w:tc>
          <w:tcPr>
            <w:tcW w:w="217" w:type="dxa"/>
          </w:tcPr>
          <w:p w14:paraId="2CDB0751" w14:textId="77777777" w:rsidR="002C0FD9" w:rsidRPr="00CA25CF" w:rsidRDefault="002C0FD9" w:rsidP="00CA25CF">
            <w:pPr>
              <w:rPr>
                <w:rFonts w:cs="Arial"/>
                <w:color w:val="FF0000"/>
                <w:sz w:val="21"/>
                <w:szCs w:val="21"/>
              </w:rPr>
            </w:pPr>
          </w:p>
        </w:tc>
        <w:tc>
          <w:tcPr>
            <w:tcW w:w="217" w:type="dxa"/>
          </w:tcPr>
          <w:p w14:paraId="69B46C3D" w14:textId="77777777" w:rsidR="002C0FD9" w:rsidRPr="00CA25CF" w:rsidRDefault="002C0FD9" w:rsidP="00CA25CF">
            <w:pPr>
              <w:rPr>
                <w:rFonts w:cs="Arial"/>
                <w:color w:val="FF0000"/>
                <w:sz w:val="21"/>
                <w:szCs w:val="21"/>
              </w:rPr>
            </w:pPr>
          </w:p>
        </w:tc>
      </w:tr>
      <w:tr w:rsidR="002C0FD9" w:rsidRPr="00A16219" w14:paraId="6E228B9D" w14:textId="1FB7D919" w:rsidTr="002C0FD9">
        <w:trPr>
          <w:trHeight w:val="635"/>
        </w:trPr>
        <w:tc>
          <w:tcPr>
            <w:tcW w:w="515" w:type="dxa"/>
          </w:tcPr>
          <w:p w14:paraId="498BB4D2" w14:textId="77777777" w:rsidR="002C0FD9" w:rsidRPr="00CA25CF" w:rsidRDefault="002C0FD9" w:rsidP="00CA25CF">
            <w:pPr>
              <w:rPr>
                <w:rFonts w:cs="Arial"/>
                <w:color w:val="FF0000"/>
                <w:sz w:val="21"/>
                <w:szCs w:val="21"/>
              </w:rPr>
            </w:pPr>
          </w:p>
        </w:tc>
        <w:tc>
          <w:tcPr>
            <w:tcW w:w="217" w:type="dxa"/>
          </w:tcPr>
          <w:p w14:paraId="2F93C3DC" w14:textId="77777777" w:rsidR="002C0FD9" w:rsidRPr="00CA25CF" w:rsidRDefault="002C0FD9" w:rsidP="00CA25CF">
            <w:pPr>
              <w:rPr>
                <w:rFonts w:cs="Arial"/>
                <w:color w:val="FF0000"/>
                <w:sz w:val="21"/>
                <w:szCs w:val="21"/>
              </w:rPr>
            </w:pPr>
          </w:p>
        </w:tc>
        <w:tc>
          <w:tcPr>
            <w:tcW w:w="217" w:type="dxa"/>
          </w:tcPr>
          <w:p w14:paraId="0FA4C365" w14:textId="25BF1BA1" w:rsidR="002C0FD9" w:rsidRPr="00CA25CF" w:rsidRDefault="002C0FD9" w:rsidP="00CA25CF">
            <w:pPr>
              <w:rPr>
                <w:rFonts w:cs="Arial"/>
                <w:color w:val="FF0000"/>
                <w:sz w:val="21"/>
                <w:szCs w:val="21"/>
              </w:rPr>
            </w:pPr>
          </w:p>
        </w:tc>
        <w:tc>
          <w:tcPr>
            <w:tcW w:w="217" w:type="dxa"/>
          </w:tcPr>
          <w:p w14:paraId="3EE8AAC5" w14:textId="77777777" w:rsidR="002C0FD9" w:rsidRPr="00CA25CF" w:rsidRDefault="002C0FD9" w:rsidP="00CA25CF">
            <w:pPr>
              <w:rPr>
                <w:rFonts w:cs="Arial"/>
                <w:color w:val="FF0000"/>
                <w:sz w:val="21"/>
                <w:szCs w:val="21"/>
              </w:rPr>
            </w:pPr>
          </w:p>
        </w:tc>
        <w:tc>
          <w:tcPr>
            <w:tcW w:w="217" w:type="dxa"/>
          </w:tcPr>
          <w:p w14:paraId="7EEC206E" w14:textId="77777777" w:rsidR="002C0FD9" w:rsidRPr="00CA25CF" w:rsidRDefault="002C0FD9" w:rsidP="00CA25CF">
            <w:pPr>
              <w:rPr>
                <w:rFonts w:cs="Arial"/>
                <w:color w:val="FF0000"/>
                <w:sz w:val="21"/>
                <w:szCs w:val="21"/>
              </w:rPr>
            </w:pPr>
          </w:p>
        </w:tc>
        <w:tc>
          <w:tcPr>
            <w:tcW w:w="217" w:type="dxa"/>
          </w:tcPr>
          <w:p w14:paraId="43A50622" w14:textId="77777777" w:rsidR="002C0FD9" w:rsidRPr="00CA25CF" w:rsidRDefault="002C0FD9" w:rsidP="00CA25CF">
            <w:pPr>
              <w:rPr>
                <w:rFonts w:cs="Arial"/>
                <w:color w:val="FF0000"/>
                <w:sz w:val="21"/>
                <w:szCs w:val="21"/>
              </w:rPr>
            </w:pPr>
          </w:p>
        </w:tc>
        <w:tc>
          <w:tcPr>
            <w:tcW w:w="217" w:type="dxa"/>
          </w:tcPr>
          <w:p w14:paraId="2CE92F07" w14:textId="77777777" w:rsidR="002C0FD9" w:rsidRPr="00CA25CF" w:rsidRDefault="002C0FD9" w:rsidP="00CA25CF">
            <w:pPr>
              <w:rPr>
                <w:rFonts w:cs="Arial"/>
                <w:color w:val="FF0000"/>
                <w:sz w:val="21"/>
                <w:szCs w:val="21"/>
              </w:rPr>
            </w:pPr>
          </w:p>
        </w:tc>
        <w:tc>
          <w:tcPr>
            <w:tcW w:w="217" w:type="dxa"/>
          </w:tcPr>
          <w:p w14:paraId="08BDEFDF" w14:textId="77777777" w:rsidR="002C0FD9" w:rsidRPr="00CA25CF" w:rsidRDefault="002C0FD9" w:rsidP="00CA25CF">
            <w:pPr>
              <w:rPr>
                <w:rFonts w:cs="Arial"/>
                <w:color w:val="FF0000"/>
                <w:sz w:val="21"/>
                <w:szCs w:val="21"/>
              </w:rPr>
            </w:pPr>
          </w:p>
        </w:tc>
        <w:tc>
          <w:tcPr>
            <w:tcW w:w="217" w:type="dxa"/>
          </w:tcPr>
          <w:p w14:paraId="79A7E6B2" w14:textId="77777777" w:rsidR="002C0FD9" w:rsidRPr="00CA25CF" w:rsidRDefault="002C0FD9" w:rsidP="00CA25CF">
            <w:pPr>
              <w:rPr>
                <w:rFonts w:cs="Arial"/>
                <w:color w:val="FF0000"/>
                <w:sz w:val="21"/>
                <w:szCs w:val="21"/>
              </w:rPr>
            </w:pPr>
          </w:p>
        </w:tc>
        <w:tc>
          <w:tcPr>
            <w:tcW w:w="217" w:type="dxa"/>
          </w:tcPr>
          <w:p w14:paraId="394A2CB5" w14:textId="77777777" w:rsidR="002C0FD9" w:rsidRPr="00CA25CF" w:rsidRDefault="002C0FD9" w:rsidP="00CA25CF">
            <w:pPr>
              <w:rPr>
                <w:rFonts w:cs="Arial"/>
                <w:color w:val="FF0000"/>
                <w:sz w:val="21"/>
                <w:szCs w:val="21"/>
              </w:rPr>
            </w:pPr>
          </w:p>
        </w:tc>
        <w:tc>
          <w:tcPr>
            <w:tcW w:w="217" w:type="dxa"/>
          </w:tcPr>
          <w:p w14:paraId="6DA1E0C3" w14:textId="77777777" w:rsidR="002C0FD9" w:rsidRPr="00CA25CF" w:rsidRDefault="002C0FD9" w:rsidP="00CA25CF">
            <w:pPr>
              <w:rPr>
                <w:rFonts w:cs="Arial"/>
                <w:color w:val="FF0000"/>
                <w:sz w:val="21"/>
                <w:szCs w:val="21"/>
              </w:rPr>
            </w:pPr>
          </w:p>
        </w:tc>
        <w:tc>
          <w:tcPr>
            <w:tcW w:w="217" w:type="dxa"/>
          </w:tcPr>
          <w:p w14:paraId="76387DD7" w14:textId="77777777" w:rsidR="002C0FD9" w:rsidRPr="00CA25CF" w:rsidRDefault="002C0FD9" w:rsidP="00CA25CF">
            <w:pPr>
              <w:rPr>
                <w:rFonts w:cs="Arial"/>
                <w:color w:val="FF0000"/>
                <w:sz w:val="21"/>
                <w:szCs w:val="21"/>
              </w:rPr>
            </w:pPr>
          </w:p>
        </w:tc>
        <w:tc>
          <w:tcPr>
            <w:tcW w:w="217" w:type="dxa"/>
          </w:tcPr>
          <w:p w14:paraId="70409B9C" w14:textId="77777777" w:rsidR="002C0FD9" w:rsidRPr="00CA25CF" w:rsidRDefault="002C0FD9" w:rsidP="00CA25CF">
            <w:pPr>
              <w:rPr>
                <w:rFonts w:cs="Arial"/>
                <w:color w:val="FF0000"/>
                <w:sz w:val="21"/>
                <w:szCs w:val="21"/>
              </w:rPr>
            </w:pPr>
          </w:p>
        </w:tc>
        <w:tc>
          <w:tcPr>
            <w:tcW w:w="217" w:type="dxa"/>
          </w:tcPr>
          <w:p w14:paraId="799EAF46" w14:textId="77777777" w:rsidR="002C0FD9" w:rsidRPr="00CA25CF" w:rsidRDefault="002C0FD9" w:rsidP="00CA25CF">
            <w:pPr>
              <w:rPr>
                <w:rFonts w:cs="Arial"/>
                <w:color w:val="FF0000"/>
                <w:sz w:val="21"/>
                <w:szCs w:val="21"/>
              </w:rPr>
            </w:pPr>
          </w:p>
        </w:tc>
        <w:tc>
          <w:tcPr>
            <w:tcW w:w="217" w:type="dxa"/>
          </w:tcPr>
          <w:p w14:paraId="57B6F728" w14:textId="77777777" w:rsidR="002C0FD9" w:rsidRPr="00CA25CF" w:rsidRDefault="002C0FD9" w:rsidP="00CA25CF">
            <w:pPr>
              <w:rPr>
                <w:rFonts w:cs="Arial"/>
                <w:color w:val="FF0000"/>
                <w:sz w:val="21"/>
                <w:szCs w:val="21"/>
              </w:rPr>
            </w:pPr>
          </w:p>
        </w:tc>
        <w:tc>
          <w:tcPr>
            <w:tcW w:w="217" w:type="dxa"/>
          </w:tcPr>
          <w:p w14:paraId="21349492" w14:textId="77777777" w:rsidR="002C0FD9" w:rsidRPr="00CA25CF" w:rsidRDefault="002C0FD9" w:rsidP="00CA25CF">
            <w:pPr>
              <w:rPr>
                <w:rFonts w:cs="Arial"/>
                <w:color w:val="FF0000"/>
                <w:sz w:val="21"/>
                <w:szCs w:val="21"/>
              </w:rPr>
            </w:pPr>
          </w:p>
        </w:tc>
        <w:tc>
          <w:tcPr>
            <w:tcW w:w="217" w:type="dxa"/>
          </w:tcPr>
          <w:p w14:paraId="7934731C" w14:textId="77777777" w:rsidR="002C0FD9" w:rsidRPr="00CA25CF" w:rsidRDefault="002C0FD9" w:rsidP="00CA25CF">
            <w:pPr>
              <w:rPr>
                <w:rFonts w:cs="Arial"/>
                <w:color w:val="FF0000"/>
                <w:sz w:val="21"/>
                <w:szCs w:val="21"/>
              </w:rPr>
            </w:pPr>
          </w:p>
        </w:tc>
        <w:tc>
          <w:tcPr>
            <w:tcW w:w="217" w:type="dxa"/>
          </w:tcPr>
          <w:p w14:paraId="6C3103B6" w14:textId="77777777" w:rsidR="002C0FD9" w:rsidRPr="00CA25CF" w:rsidRDefault="002C0FD9" w:rsidP="00CA25CF">
            <w:pPr>
              <w:rPr>
                <w:rFonts w:cs="Arial"/>
                <w:color w:val="FF0000"/>
                <w:sz w:val="21"/>
                <w:szCs w:val="21"/>
              </w:rPr>
            </w:pPr>
          </w:p>
        </w:tc>
        <w:tc>
          <w:tcPr>
            <w:tcW w:w="217" w:type="dxa"/>
          </w:tcPr>
          <w:p w14:paraId="2F6857C7" w14:textId="77777777" w:rsidR="002C0FD9" w:rsidRPr="00CA25CF" w:rsidRDefault="002C0FD9" w:rsidP="00CA25CF">
            <w:pPr>
              <w:rPr>
                <w:rFonts w:cs="Arial"/>
                <w:color w:val="FF0000"/>
                <w:sz w:val="21"/>
                <w:szCs w:val="21"/>
              </w:rPr>
            </w:pPr>
          </w:p>
        </w:tc>
        <w:tc>
          <w:tcPr>
            <w:tcW w:w="217" w:type="dxa"/>
          </w:tcPr>
          <w:p w14:paraId="50FC2E1B" w14:textId="77777777" w:rsidR="002C0FD9" w:rsidRPr="00CA25CF" w:rsidRDefault="002C0FD9" w:rsidP="00CA25CF">
            <w:pPr>
              <w:rPr>
                <w:rFonts w:cs="Arial"/>
                <w:color w:val="FF0000"/>
                <w:sz w:val="21"/>
                <w:szCs w:val="21"/>
              </w:rPr>
            </w:pPr>
          </w:p>
        </w:tc>
        <w:tc>
          <w:tcPr>
            <w:tcW w:w="217" w:type="dxa"/>
          </w:tcPr>
          <w:p w14:paraId="7581A037" w14:textId="77777777" w:rsidR="002C0FD9" w:rsidRPr="00CA25CF" w:rsidRDefault="002C0FD9" w:rsidP="00CA25CF">
            <w:pPr>
              <w:rPr>
                <w:rFonts w:cs="Arial"/>
                <w:color w:val="FF0000"/>
                <w:sz w:val="21"/>
                <w:szCs w:val="21"/>
              </w:rPr>
            </w:pPr>
          </w:p>
        </w:tc>
        <w:tc>
          <w:tcPr>
            <w:tcW w:w="217" w:type="dxa"/>
          </w:tcPr>
          <w:p w14:paraId="08EC5917" w14:textId="77777777" w:rsidR="002C0FD9" w:rsidRPr="00CA25CF" w:rsidRDefault="002C0FD9" w:rsidP="00CA25CF">
            <w:pPr>
              <w:rPr>
                <w:rFonts w:cs="Arial"/>
                <w:color w:val="FF0000"/>
                <w:sz w:val="21"/>
                <w:szCs w:val="21"/>
              </w:rPr>
            </w:pPr>
          </w:p>
        </w:tc>
        <w:tc>
          <w:tcPr>
            <w:tcW w:w="217" w:type="dxa"/>
          </w:tcPr>
          <w:p w14:paraId="6B104635" w14:textId="77777777" w:rsidR="002C0FD9" w:rsidRPr="00CA25CF" w:rsidRDefault="002C0FD9" w:rsidP="00CA25CF">
            <w:pPr>
              <w:rPr>
                <w:rFonts w:cs="Arial"/>
                <w:color w:val="FF0000"/>
                <w:sz w:val="21"/>
                <w:szCs w:val="21"/>
              </w:rPr>
            </w:pPr>
          </w:p>
        </w:tc>
        <w:tc>
          <w:tcPr>
            <w:tcW w:w="217" w:type="dxa"/>
          </w:tcPr>
          <w:p w14:paraId="6A625873" w14:textId="77777777" w:rsidR="002C0FD9" w:rsidRPr="00CA25CF" w:rsidRDefault="002C0FD9" w:rsidP="00CA25CF">
            <w:pPr>
              <w:rPr>
                <w:rFonts w:cs="Arial"/>
                <w:color w:val="FF0000"/>
                <w:sz w:val="21"/>
                <w:szCs w:val="21"/>
              </w:rPr>
            </w:pPr>
          </w:p>
        </w:tc>
        <w:tc>
          <w:tcPr>
            <w:tcW w:w="217" w:type="dxa"/>
          </w:tcPr>
          <w:p w14:paraId="59E8194E" w14:textId="77777777" w:rsidR="002C0FD9" w:rsidRPr="00CA25CF" w:rsidRDefault="002C0FD9" w:rsidP="00CA25CF">
            <w:pPr>
              <w:rPr>
                <w:rFonts w:cs="Arial"/>
                <w:color w:val="FF0000"/>
                <w:sz w:val="21"/>
                <w:szCs w:val="21"/>
              </w:rPr>
            </w:pPr>
          </w:p>
        </w:tc>
        <w:tc>
          <w:tcPr>
            <w:tcW w:w="217" w:type="dxa"/>
          </w:tcPr>
          <w:p w14:paraId="381FA3E5" w14:textId="77777777" w:rsidR="002C0FD9" w:rsidRPr="00CA25CF" w:rsidRDefault="002C0FD9" w:rsidP="00CA25CF">
            <w:pPr>
              <w:rPr>
                <w:rFonts w:cs="Arial"/>
                <w:color w:val="FF0000"/>
                <w:sz w:val="21"/>
                <w:szCs w:val="21"/>
              </w:rPr>
            </w:pPr>
          </w:p>
        </w:tc>
        <w:tc>
          <w:tcPr>
            <w:tcW w:w="217" w:type="dxa"/>
          </w:tcPr>
          <w:p w14:paraId="30DF6AE0" w14:textId="77777777" w:rsidR="002C0FD9" w:rsidRPr="00CA25CF" w:rsidRDefault="002C0FD9" w:rsidP="00CA25CF">
            <w:pPr>
              <w:rPr>
                <w:rFonts w:cs="Arial"/>
                <w:color w:val="FF0000"/>
                <w:sz w:val="21"/>
                <w:szCs w:val="21"/>
              </w:rPr>
            </w:pPr>
          </w:p>
        </w:tc>
        <w:tc>
          <w:tcPr>
            <w:tcW w:w="217" w:type="dxa"/>
          </w:tcPr>
          <w:p w14:paraId="0613CF52" w14:textId="77777777" w:rsidR="002C0FD9" w:rsidRPr="00CA25CF" w:rsidRDefault="002C0FD9" w:rsidP="00CA25CF">
            <w:pPr>
              <w:rPr>
                <w:rFonts w:cs="Arial"/>
                <w:color w:val="FF0000"/>
                <w:sz w:val="21"/>
                <w:szCs w:val="21"/>
              </w:rPr>
            </w:pPr>
          </w:p>
        </w:tc>
        <w:tc>
          <w:tcPr>
            <w:tcW w:w="217" w:type="dxa"/>
          </w:tcPr>
          <w:p w14:paraId="41053C41" w14:textId="77777777" w:rsidR="002C0FD9" w:rsidRPr="00CA25CF" w:rsidRDefault="002C0FD9" w:rsidP="00CA25CF">
            <w:pPr>
              <w:rPr>
                <w:rFonts w:cs="Arial"/>
                <w:color w:val="FF0000"/>
                <w:sz w:val="21"/>
                <w:szCs w:val="21"/>
              </w:rPr>
            </w:pPr>
          </w:p>
        </w:tc>
        <w:tc>
          <w:tcPr>
            <w:tcW w:w="217" w:type="dxa"/>
          </w:tcPr>
          <w:p w14:paraId="00E55DB0" w14:textId="77777777" w:rsidR="002C0FD9" w:rsidRPr="00CA25CF" w:rsidRDefault="002C0FD9" w:rsidP="00CA25CF">
            <w:pPr>
              <w:rPr>
                <w:rFonts w:cs="Arial"/>
                <w:color w:val="FF0000"/>
                <w:sz w:val="21"/>
                <w:szCs w:val="21"/>
              </w:rPr>
            </w:pPr>
          </w:p>
        </w:tc>
        <w:tc>
          <w:tcPr>
            <w:tcW w:w="217" w:type="dxa"/>
          </w:tcPr>
          <w:p w14:paraId="7A47D4C4" w14:textId="77777777" w:rsidR="002C0FD9" w:rsidRPr="00CA25CF" w:rsidRDefault="002C0FD9" w:rsidP="00CA25CF">
            <w:pPr>
              <w:rPr>
                <w:rFonts w:cs="Arial"/>
                <w:color w:val="FF0000"/>
                <w:sz w:val="21"/>
                <w:szCs w:val="21"/>
              </w:rPr>
            </w:pPr>
          </w:p>
        </w:tc>
        <w:tc>
          <w:tcPr>
            <w:tcW w:w="217" w:type="dxa"/>
          </w:tcPr>
          <w:p w14:paraId="30BA6D60" w14:textId="77777777" w:rsidR="002C0FD9" w:rsidRPr="00CA25CF" w:rsidRDefault="002C0FD9" w:rsidP="00CA25CF">
            <w:pPr>
              <w:rPr>
                <w:rFonts w:cs="Arial"/>
                <w:color w:val="FF0000"/>
                <w:sz w:val="21"/>
                <w:szCs w:val="21"/>
              </w:rPr>
            </w:pPr>
          </w:p>
        </w:tc>
        <w:tc>
          <w:tcPr>
            <w:tcW w:w="217" w:type="dxa"/>
          </w:tcPr>
          <w:p w14:paraId="7B02B8CA" w14:textId="77777777" w:rsidR="002C0FD9" w:rsidRPr="00CA25CF" w:rsidRDefault="002C0FD9" w:rsidP="00CA25CF">
            <w:pPr>
              <w:rPr>
                <w:rFonts w:cs="Arial"/>
                <w:color w:val="FF0000"/>
                <w:sz w:val="21"/>
                <w:szCs w:val="21"/>
              </w:rPr>
            </w:pPr>
          </w:p>
        </w:tc>
        <w:tc>
          <w:tcPr>
            <w:tcW w:w="217" w:type="dxa"/>
          </w:tcPr>
          <w:p w14:paraId="32781113" w14:textId="77777777" w:rsidR="002C0FD9" w:rsidRPr="00CA25CF" w:rsidRDefault="002C0FD9" w:rsidP="00CA25CF">
            <w:pPr>
              <w:rPr>
                <w:rFonts w:cs="Arial"/>
                <w:color w:val="FF0000"/>
                <w:sz w:val="21"/>
                <w:szCs w:val="21"/>
              </w:rPr>
            </w:pPr>
          </w:p>
        </w:tc>
        <w:tc>
          <w:tcPr>
            <w:tcW w:w="217" w:type="dxa"/>
          </w:tcPr>
          <w:p w14:paraId="4333CAC3" w14:textId="77777777" w:rsidR="002C0FD9" w:rsidRPr="00CA25CF" w:rsidRDefault="002C0FD9" w:rsidP="00CA25CF">
            <w:pPr>
              <w:rPr>
                <w:rFonts w:cs="Arial"/>
                <w:color w:val="FF0000"/>
                <w:sz w:val="21"/>
                <w:szCs w:val="21"/>
              </w:rPr>
            </w:pPr>
          </w:p>
        </w:tc>
        <w:tc>
          <w:tcPr>
            <w:tcW w:w="217" w:type="dxa"/>
          </w:tcPr>
          <w:p w14:paraId="34F671E8" w14:textId="77777777" w:rsidR="002C0FD9" w:rsidRPr="00CA25CF" w:rsidRDefault="002C0FD9" w:rsidP="00CA25CF">
            <w:pPr>
              <w:rPr>
                <w:rFonts w:cs="Arial"/>
                <w:color w:val="FF0000"/>
                <w:sz w:val="21"/>
                <w:szCs w:val="21"/>
              </w:rPr>
            </w:pPr>
          </w:p>
        </w:tc>
        <w:tc>
          <w:tcPr>
            <w:tcW w:w="217" w:type="dxa"/>
          </w:tcPr>
          <w:p w14:paraId="6D7CADAA" w14:textId="77777777" w:rsidR="002C0FD9" w:rsidRPr="00CA25CF" w:rsidRDefault="002C0FD9" w:rsidP="00CA25CF">
            <w:pPr>
              <w:rPr>
                <w:rFonts w:cs="Arial"/>
                <w:color w:val="FF0000"/>
                <w:sz w:val="21"/>
                <w:szCs w:val="21"/>
              </w:rPr>
            </w:pPr>
          </w:p>
        </w:tc>
        <w:tc>
          <w:tcPr>
            <w:tcW w:w="217" w:type="dxa"/>
          </w:tcPr>
          <w:p w14:paraId="631F5189" w14:textId="77777777" w:rsidR="002C0FD9" w:rsidRPr="00CA25CF" w:rsidRDefault="002C0FD9" w:rsidP="00CA25CF">
            <w:pPr>
              <w:rPr>
                <w:rFonts w:cs="Arial"/>
                <w:color w:val="FF0000"/>
                <w:sz w:val="21"/>
                <w:szCs w:val="21"/>
              </w:rPr>
            </w:pPr>
          </w:p>
        </w:tc>
        <w:tc>
          <w:tcPr>
            <w:tcW w:w="217" w:type="dxa"/>
          </w:tcPr>
          <w:p w14:paraId="4387DB7F" w14:textId="77777777" w:rsidR="002C0FD9" w:rsidRPr="00CA25CF" w:rsidRDefault="002C0FD9" w:rsidP="00CA25CF">
            <w:pPr>
              <w:rPr>
                <w:rFonts w:cs="Arial"/>
                <w:color w:val="FF0000"/>
                <w:sz w:val="21"/>
                <w:szCs w:val="21"/>
              </w:rPr>
            </w:pPr>
          </w:p>
        </w:tc>
        <w:tc>
          <w:tcPr>
            <w:tcW w:w="217" w:type="dxa"/>
          </w:tcPr>
          <w:p w14:paraId="4DFC7219" w14:textId="77777777" w:rsidR="002C0FD9" w:rsidRPr="00CA25CF" w:rsidRDefault="002C0FD9" w:rsidP="00CA25CF">
            <w:pPr>
              <w:rPr>
                <w:rFonts w:cs="Arial"/>
                <w:color w:val="FF0000"/>
                <w:sz w:val="21"/>
                <w:szCs w:val="21"/>
              </w:rPr>
            </w:pPr>
          </w:p>
        </w:tc>
        <w:tc>
          <w:tcPr>
            <w:tcW w:w="217" w:type="dxa"/>
          </w:tcPr>
          <w:p w14:paraId="68B2168D" w14:textId="77777777" w:rsidR="002C0FD9" w:rsidRPr="00CA25CF" w:rsidRDefault="002C0FD9" w:rsidP="00CA25CF">
            <w:pPr>
              <w:rPr>
                <w:rFonts w:cs="Arial"/>
                <w:color w:val="FF0000"/>
                <w:sz w:val="21"/>
                <w:szCs w:val="21"/>
              </w:rPr>
            </w:pPr>
          </w:p>
        </w:tc>
        <w:tc>
          <w:tcPr>
            <w:tcW w:w="217" w:type="dxa"/>
          </w:tcPr>
          <w:p w14:paraId="13180787" w14:textId="77777777" w:rsidR="002C0FD9" w:rsidRPr="00CA25CF" w:rsidRDefault="002C0FD9" w:rsidP="00CA25CF">
            <w:pPr>
              <w:rPr>
                <w:rFonts w:cs="Arial"/>
                <w:color w:val="FF0000"/>
                <w:sz w:val="21"/>
                <w:szCs w:val="21"/>
              </w:rPr>
            </w:pPr>
          </w:p>
        </w:tc>
        <w:tc>
          <w:tcPr>
            <w:tcW w:w="217" w:type="dxa"/>
          </w:tcPr>
          <w:p w14:paraId="1BE57387" w14:textId="77777777" w:rsidR="002C0FD9" w:rsidRPr="00CA25CF" w:rsidRDefault="002C0FD9" w:rsidP="00CA25CF">
            <w:pPr>
              <w:rPr>
                <w:rFonts w:cs="Arial"/>
                <w:color w:val="FF0000"/>
                <w:sz w:val="21"/>
                <w:szCs w:val="21"/>
              </w:rPr>
            </w:pPr>
          </w:p>
        </w:tc>
      </w:tr>
      <w:tr w:rsidR="002C0FD9" w:rsidRPr="00A16219" w14:paraId="08404B34" w14:textId="055E72FB" w:rsidTr="002C0FD9">
        <w:trPr>
          <w:trHeight w:val="635"/>
        </w:trPr>
        <w:tc>
          <w:tcPr>
            <w:tcW w:w="515" w:type="dxa"/>
          </w:tcPr>
          <w:p w14:paraId="3E52F215" w14:textId="77777777" w:rsidR="002C0FD9" w:rsidRPr="00CA25CF" w:rsidRDefault="002C0FD9" w:rsidP="00CA25CF">
            <w:pPr>
              <w:rPr>
                <w:rFonts w:cs="Arial"/>
                <w:color w:val="FF0000"/>
                <w:sz w:val="21"/>
                <w:szCs w:val="21"/>
              </w:rPr>
            </w:pPr>
          </w:p>
        </w:tc>
        <w:tc>
          <w:tcPr>
            <w:tcW w:w="217" w:type="dxa"/>
          </w:tcPr>
          <w:p w14:paraId="3E9F0E57" w14:textId="77777777" w:rsidR="002C0FD9" w:rsidRPr="00CA25CF" w:rsidRDefault="002C0FD9" w:rsidP="00CA25CF">
            <w:pPr>
              <w:rPr>
                <w:rFonts w:cs="Arial"/>
                <w:color w:val="FF0000"/>
                <w:sz w:val="21"/>
                <w:szCs w:val="21"/>
              </w:rPr>
            </w:pPr>
          </w:p>
        </w:tc>
        <w:tc>
          <w:tcPr>
            <w:tcW w:w="217" w:type="dxa"/>
          </w:tcPr>
          <w:p w14:paraId="0F1DE6A0" w14:textId="28D2EB71" w:rsidR="002C0FD9" w:rsidRPr="00CA25CF" w:rsidRDefault="002C0FD9" w:rsidP="00CA25CF">
            <w:pPr>
              <w:rPr>
                <w:rFonts w:cs="Arial"/>
                <w:color w:val="FF0000"/>
                <w:sz w:val="21"/>
                <w:szCs w:val="21"/>
              </w:rPr>
            </w:pPr>
          </w:p>
        </w:tc>
        <w:tc>
          <w:tcPr>
            <w:tcW w:w="217" w:type="dxa"/>
          </w:tcPr>
          <w:p w14:paraId="0925372F" w14:textId="77777777" w:rsidR="002C0FD9" w:rsidRPr="00CA25CF" w:rsidRDefault="002C0FD9" w:rsidP="00CA25CF">
            <w:pPr>
              <w:rPr>
                <w:rFonts w:cs="Arial"/>
                <w:color w:val="FF0000"/>
                <w:sz w:val="21"/>
                <w:szCs w:val="21"/>
              </w:rPr>
            </w:pPr>
          </w:p>
        </w:tc>
        <w:tc>
          <w:tcPr>
            <w:tcW w:w="217" w:type="dxa"/>
          </w:tcPr>
          <w:p w14:paraId="73C2BC3F" w14:textId="77777777" w:rsidR="002C0FD9" w:rsidRPr="00CA25CF" w:rsidRDefault="002C0FD9" w:rsidP="00CA25CF">
            <w:pPr>
              <w:rPr>
                <w:rFonts w:cs="Arial"/>
                <w:color w:val="FF0000"/>
                <w:sz w:val="21"/>
                <w:szCs w:val="21"/>
              </w:rPr>
            </w:pPr>
          </w:p>
        </w:tc>
        <w:tc>
          <w:tcPr>
            <w:tcW w:w="217" w:type="dxa"/>
          </w:tcPr>
          <w:p w14:paraId="10BCA33E" w14:textId="77777777" w:rsidR="002C0FD9" w:rsidRPr="00CA25CF" w:rsidRDefault="002C0FD9" w:rsidP="00CA25CF">
            <w:pPr>
              <w:rPr>
                <w:rFonts w:cs="Arial"/>
                <w:color w:val="FF0000"/>
                <w:sz w:val="21"/>
                <w:szCs w:val="21"/>
              </w:rPr>
            </w:pPr>
          </w:p>
        </w:tc>
        <w:tc>
          <w:tcPr>
            <w:tcW w:w="217" w:type="dxa"/>
          </w:tcPr>
          <w:p w14:paraId="2FCF39A5" w14:textId="77777777" w:rsidR="002C0FD9" w:rsidRPr="00CA25CF" w:rsidRDefault="002C0FD9" w:rsidP="00CA25CF">
            <w:pPr>
              <w:rPr>
                <w:rFonts w:cs="Arial"/>
                <w:color w:val="FF0000"/>
                <w:sz w:val="21"/>
                <w:szCs w:val="21"/>
              </w:rPr>
            </w:pPr>
          </w:p>
        </w:tc>
        <w:tc>
          <w:tcPr>
            <w:tcW w:w="217" w:type="dxa"/>
          </w:tcPr>
          <w:p w14:paraId="3BE34AA7" w14:textId="77777777" w:rsidR="002C0FD9" w:rsidRPr="00CA25CF" w:rsidRDefault="002C0FD9" w:rsidP="00CA25CF">
            <w:pPr>
              <w:rPr>
                <w:rFonts w:cs="Arial"/>
                <w:color w:val="FF0000"/>
                <w:sz w:val="21"/>
                <w:szCs w:val="21"/>
              </w:rPr>
            </w:pPr>
          </w:p>
        </w:tc>
        <w:tc>
          <w:tcPr>
            <w:tcW w:w="217" w:type="dxa"/>
          </w:tcPr>
          <w:p w14:paraId="19B3CF19" w14:textId="77777777" w:rsidR="002C0FD9" w:rsidRPr="00CA25CF" w:rsidRDefault="002C0FD9" w:rsidP="00CA25CF">
            <w:pPr>
              <w:rPr>
                <w:rFonts w:cs="Arial"/>
                <w:color w:val="FF0000"/>
                <w:sz w:val="21"/>
                <w:szCs w:val="21"/>
              </w:rPr>
            </w:pPr>
          </w:p>
        </w:tc>
        <w:tc>
          <w:tcPr>
            <w:tcW w:w="217" w:type="dxa"/>
          </w:tcPr>
          <w:p w14:paraId="221CB12C" w14:textId="77777777" w:rsidR="002C0FD9" w:rsidRPr="00CA25CF" w:rsidRDefault="002C0FD9" w:rsidP="00CA25CF">
            <w:pPr>
              <w:rPr>
                <w:rFonts w:cs="Arial"/>
                <w:color w:val="FF0000"/>
                <w:sz w:val="21"/>
                <w:szCs w:val="21"/>
              </w:rPr>
            </w:pPr>
          </w:p>
        </w:tc>
        <w:tc>
          <w:tcPr>
            <w:tcW w:w="217" w:type="dxa"/>
          </w:tcPr>
          <w:p w14:paraId="41C5BC93" w14:textId="77777777" w:rsidR="002C0FD9" w:rsidRPr="00CA25CF" w:rsidRDefault="002C0FD9" w:rsidP="00CA25CF">
            <w:pPr>
              <w:rPr>
                <w:rFonts w:cs="Arial"/>
                <w:color w:val="FF0000"/>
                <w:sz w:val="21"/>
                <w:szCs w:val="21"/>
              </w:rPr>
            </w:pPr>
          </w:p>
        </w:tc>
        <w:tc>
          <w:tcPr>
            <w:tcW w:w="217" w:type="dxa"/>
          </w:tcPr>
          <w:p w14:paraId="59E03A34" w14:textId="77777777" w:rsidR="002C0FD9" w:rsidRPr="00CA25CF" w:rsidRDefault="002C0FD9" w:rsidP="00CA25CF">
            <w:pPr>
              <w:rPr>
                <w:rFonts w:cs="Arial"/>
                <w:color w:val="FF0000"/>
                <w:sz w:val="21"/>
                <w:szCs w:val="21"/>
              </w:rPr>
            </w:pPr>
          </w:p>
        </w:tc>
        <w:tc>
          <w:tcPr>
            <w:tcW w:w="217" w:type="dxa"/>
          </w:tcPr>
          <w:p w14:paraId="0A25BED3" w14:textId="77777777" w:rsidR="002C0FD9" w:rsidRPr="00CA25CF" w:rsidRDefault="002C0FD9" w:rsidP="00CA25CF">
            <w:pPr>
              <w:rPr>
                <w:rFonts w:cs="Arial"/>
                <w:color w:val="FF0000"/>
                <w:sz w:val="21"/>
                <w:szCs w:val="21"/>
              </w:rPr>
            </w:pPr>
          </w:p>
        </w:tc>
        <w:tc>
          <w:tcPr>
            <w:tcW w:w="217" w:type="dxa"/>
          </w:tcPr>
          <w:p w14:paraId="651667A3" w14:textId="77777777" w:rsidR="002C0FD9" w:rsidRPr="00CA25CF" w:rsidRDefault="002C0FD9" w:rsidP="00CA25CF">
            <w:pPr>
              <w:rPr>
                <w:rFonts w:cs="Arial"/>
                <w:color w:val="FF0000"/>
                <w:sz w:val="21"/>
                <w:szCs w:val="21"/>
              </w:rPr>
            </w:pPr>
          </w:p>
        </w:tc>
        <w:tc>
          <w:tcPr>
            <w:tcW w:w="217" w:type="dxa"/>
          </w:tcPr>
          <w:p w14:paraId="2792C0E4" w14:textId="77777777" w:rsidR="002C0FD9" w:rsidRPr="00CA25CF" w:rsidRDefault="002C0FD9" w:rsidP="00CA25CF">
            <w:pPr>
              <w:rPr>
                <w:rFonts w:cs="Arial"/>
                <w:color w:val="FF0000"/>
                <w:sz w:val="21"/>
                <w:szCs w:val="21"/>
              </w:rPr>
            </w:pPr>
          </w:p>
        </w:tc>
        <w:tc>
          <w:tcPr>
            <w:tcW w:w="217" w:type="dxa"/>
          </w:tcPr>
          <w:p w14:paraId="43FEBB27" w14:textId="77777777" w:rsidR="002C0FD9" w:rsidRPr="00CA25CF" w:rsidRDefault="002C0FD9" w:rsidP="00CA25CF">
            <w:pPr>
              <w:rPr>
                <w:rFonts w:cs="Arial"/>
                <w:color w:val="FF0000"/>
                <w:sz w:val="21"/>
                <w:szCs w:val="21"/>
              </w:rPr>
            </w:pPr>
          </w:p>
        </w:tc>
        <w:tc>
          <w:tcPr>
            <w:tcW w:w="217" w:type="dxa"/>
          </w:tcPr>
          <w:p w14:paraId="1E5E9638" w14:textId="77777777" w:rsidR="002C0FD9" w:rsidRPr="00CA25CF" w:rsidRDefault="002C0FD9" w:rsidP="00CA25CF">
            <w:pPr>
              <w:rPr>
                <w:rFonts w:cs="Arial"/>
                <w:color w:val="FF0000"/>
                <w:sz w:val="21"/>
                <w:szCs w:val="21"/>
              </w:rPr>
            </w:pPr>
          </w:p>
        </w:tc>
        <w:tc>
          <w:tcPr>
            <w:tcW w:w="217" w:type="dxa"/>
          </w:tcPr>
          <w:p w14:paraId="2DB5AE06" w14:textId="77777777" w:rsidR="002C0FD9" w:rsidRPr="00CA25CF" w:rsidRDefault="002C0FD9" w:rsidP="00CA25CF">
            <w:pPr>
              <w:rPr>
                <w:rFonts w:cs="Arial"/>
                <w:color w:val="FF0000"/>
                <w:sz w:val="21"/>
                <w:szCs w:val="21"/>
              </w:rPr>
            </w:pPr>
          </w:p>
        </w:tc>
        <w:tc>
          <w:tcPr>
            <w:tcW w:w="217" w:type="dxa"/>
          </w:tcPr>
          <w:p w14:paraId="2DE1E131" w14:textId="77777777" w:rsidR="002C0FD9" w:rsidRPr="00CA25CF" w:rsidRDefault="002C0FD9" w:rsidP="00CA25CF">
            <w:pPr>
              <w:rPr>
                <w:rFonts w:cs="Arial"/>
                <w:color w:val="FF0000"/>
                <w:sz w:val="21"/>
                <w:szCs w:val="21"/>
              </w:rPr>
            </w:pPr>
          </w:p>
        </w:tc>
        <w:tc>
          <w:tcPr>
            <w:tcW w:w="217" w:type="dxa"/>
          </w:tcPr>
          <w:p w14:paraId="4D88D371" w14:textId="77777777" w:rsidR="002C0FD9" w:rsidRPr="00CA25CF" w:rsidRDefault="002C0FD9" w:rsidP="00CA25CF">
            <w:pPr>
              <w:rPr>
                <w:rFonts w:cs="Arial"/>
                <w:color w:val="FF0000"/>
                <w:sz w:val="21"/>
                <w:szCs w:val="21"/>
              </w:rPr>
            </w:pPr>
          </w:p>
        </w:tc>
        <w:tc>
          <w:tcPr>
            <w:tcW w:w="217" w:type="dxa"/>
          </w:tcPr>
          <w:p w14:paraId="15246A33" w14:textId="77777777" w:rsidR="002C0FD9" w:rsidRPr="00CA25CF" w:rsidRDefault="002C0FD9" w:rsidP="00CA25CF">
            <w:pPr>
              <w:rPr>
                <w:rFonts w:cs="Arial"/>
                <w:color w:val="FF0000"/>
                <w:sz w:val="21"/>
                <w:szCs w:val="21"/>
              </w:rPr>
            </w:pPr>
          </w:p>
        </w:tc>
        <w:tc>
          <w:tcPr>
            <w:tcW w:w="217" w:type="dxa"/>
          </w:tcPr>
          <w:p w14:paraId="310AD954" w14:textId="77777777" w:rsidR="002C0FD9" w:rsidRPr="00CA25CF" w:rsidRDefault="002C0FD9" w:rsidP="00CA25CF">
            <w:pPr>
              <w:rPr>
                <w:rFonts w:cs="Arial"/>
                <w:color w:val="FF0000"/>
                <w:sz w:val="21"/>
                <w:szCs w:val="21"/>
              </w:rPr>
            </w:pPr>
          </w:p>
        </w:tc>
        <w:tc>
          <w:tcPr>
            <w:tcW w:w="217" w:type="dxa"/>
          </w:tcPr>
          <w:p w14:paraId="136DB9C3" w14:textId="77777777" w:rsidR="002C0FD9" w:rsidRPr="00CA25CF" w:rsidRDefault="002C0FD9" w:rsidP="00CA25CF">
            <w:pPr>
              <w:rPr>
                <w:rFonts w:cs="Arial"/>
                <w:color w:val="FF0000"/>
                <w:sz w:val="21"/>
                <w:szCs w:val="21"/>
              </w:rPr>
            </w:pPr>
          </w:p>
        </w:tc>
        <w:tc>
          <w:tcPr>
            <w:tcW w:w="217" w:type="dxa"/>
          </w:tcPr>
          <w:p w14:paraId="737C389E" w14:textId="77777777" w:rsidR="002C0FD9" w:rsidRPr="00CA25CF" w:rsidRDefault="002C0FD9" w:rsidP="00CA25CF">
            <w:pPr>
              <w:rPr>
                <w:rFonts w:cs="Arial"/>
                <w:color w:val="FF0000"/>
                <w:sz w:val="21"/>
                <w:szCs w:val="21"/>
              </w:rPr>
            </w:pPr>
          </w:p>
        </w:tc>
        <w:tc>
          <w:tcPr>
            <w:tcW w:w="217" w:type="dxa"/>
          </w:tcPr>
          <w:p w14:paraId="7F94E9E0" w14:textId="77777777" w:rsidR="002C0FD9" w:rsidRPr="00CA25CF" w:rsidRDefault="002C0FD9" w:rsidP="00CA25CF">
            <w:pPr>
              <w:rPr>
                <w:rFonts w:cs="Arial"/>
                <w:color w:val="FF0000"/>
                <w:sz w:val="21"/>
                <w:szCs w:val="21"/>
              </w:rPr>
            </w:pPr>
          </w:p>
        </w:tc>
        <w:tc>
          <w:tcPr>
            <w:tcW w:w="217" w:type="dxa"/>
          </w:tcPr>
          <w:p w14:paraId="0EDD268C" w14:textId="77777777" w:rsidR="002C0FD9" w:rsidRPr="00CA25CF" w:rsidRDefault="002C0FD9" w:rsidP="00CA25CF">
            <w:pPr>
              <w:rPr>
                <w:rFonts w:cs="Arial"/>
                <w:color w:val="FF0000"/>
                <w:sz w:val="21"/>
                <w:szCs w:val="21"/>
              </w:rPr>
            </w:pPr>
          </w:p>
        </w:tc>
        <w:tc>
          <w:tcPr>
            <w:tcW w:w="217" w:type="dxa"/>
          </w:tcPr>
          <w:p w14:paraId="551C7930" w14:textId="77777777" w:rsidR="002C0FD9" w:rsidRPr="00CA25CF" w:rsidRDefault="002C0FD9" w:rsidP="00CA25CF">
            <w:pPr>
              <w:rPr>
                <w:rFonts w:cs="Arial"/>
                <w:color w:val="FF0000"/>
                <w:sz w:val="21"/>
                <w:szCs w:val="21"/>
              </w:rPr>
            </w:pPr>
          </w:p>
        </w:tc>
        <w:tc>
          <w:tcPr>
            <w:tcW w:w="217" w:type="dxa"/>
          </w:tcPr>
          <w:p w14:paraId="40620659" w14:textId="77777777" w:rsidR="002C0FD9" w:rsidRPr="00CA25CF" w:rsidRDefault="002C0FD9" w:rsidP="00CA25CF">
            <w:pPr>
              <w:rPr>
                <w:rFonts w:cs="Arial"/>
                <w:color w:val="FF0000"/>
                <w:sz w:val="21"/>
                <w:szCs w:val="21"/>
              </w:rPr>
            </w:pPr>
          </w:p>
        </w:tc>
        <w:tc>
          <w:tcPr>
            <w:tcW w:w="217" w:type="dxa"/>
          </w:tcPr>
          <w:p w14:paraId="0B9A4AFE" w14:textId="77777777" w:rsidR="002C0FD9" w:rsidRPr="00CA25CF" w:rsidRDefault="002C0FD9" w:rsidP="00CA25CF">
            <w:pPr>
              <w:rPr>
                <w:rFonts w:cs="Arial"/>
                <w:color w:val="FF0000"/>
                <w:sz w:val="21"/>
                <w:szCs w:val="21"/>
              </w:rPr>
            </w:pPr>
          </w:p>
        </w:tc>
        <w:tc>
          <w:tcPr>
            <w:tcW w:w="217" w:type="dxa"/>
          </w:tcPr>
          <w:p w14:paraId="393BB0C4" w14:textId="77777777" w:rsidR="002C0FD9" w:rsidRPr="00CA25CF" w:rsidRDefault="002C0FD9" w:rsidP="00CA25CF">
            <w:pPr>
              <w:rPr>
                <w:rFonts w:cs="Arial"/>
                <w:color w:val="FF0000"/>
                <w:sz w:val="21"/>
                <w:szCs w:val="21"/>
              </w:rPr>
            </w:pPr>
          </w:p>
        </w:tc>
        <w:tc>
          <w:tcPr>
            <w:tcW w:w="217" w:type="dxa"/>
          </w:tcPr>
          <w:p w14:paraId="41F91569" w14:textId="77777777" w:rsidR="002C0FD9" w:rsidRPr="00CA25CF" w:rsidRDefault="002C0FD9" w:rsidP="00CA25CF">
            <w:pPr>
              <w:rPr>
                <w:rFonts w:cs="Arial"/>
                <w:color w:val="FF0000"/>
                <w:sz w:val="21"/>
                <w:szCs w:val="21"/>
              </w:rPr>
            </w:pPr>
          </w:p>
        </w:tc>
        <w:tc>
          <w:tcPr>
            <w:tcW w:w="217" w:type="dxa"/>
          </w:tcPr>
          <w:p w14:paraId="0BB73E8E" w14:textId="77777777" w:rsidR="002C0FD9" w:rsidRPr="00CA25CF" w:rsidRDefault="002C0FD9" w:rsidP="00CA25CF">
            <w:pPr>
              <w:rPr>
                <w:rFonts w:cs="Arial"/>
                <w:color w:val="FF0000"/>
                <w:sz w:val="21"/>
                <w:szCs w:val="21"/>
              </w:rPr>
            </w:pPr>
          </w:p>
        </w:tc>
        <w:tc>
          <w:tcPr>
            <w:tcW w:w="217" w:type="dxa"/>
          </w:tcPr>
          <w:p w14:paraId="0FE78629" w14:textId="77777777" w:rsidR="002C0FD9" w:rsidRPr="00CA25CF" w:rsidRDefault="002C0FD9" w:rsidP="00CA25CF">
            <w:pPr>
              <w:rPr>
                <w:rFonts w:cs="Arial"/>
                <w:color w:val="FF0000"/>
                <w:sz w:val="21"/>
                <w:szCs w:val="21"/>
              </w:rPr>
            </w:pPr>
          </w:p>
        </w:tc>
        <w:tc>
          <w:tcPr>
            <w:tcW w:w="217" w:type="dxa"/>
          </w:tcPr>
          <w:p w14:paraId="40128BB1" w14:textId="77777777" w:rsidR="002C0FD9" w:rsidRPr="00CA25CF" w:rsidRDefault="002C0FD9" w:rsidP="00CA25CF">
            <w:pPr>
              <w:rPr>
                <w:rFonts w:cs="Arial"/>
                <w:color w:val="FF0000"/>
                <w:sz w:val="21"/>
                <w:szCs w:val="21"/>
              </w:rPr>
            </w:pPr>
          </w:p>
        </w:tc>
        <w:tc>
          <w:tcPr>
            <w:tcW w:w="217" w:type="dxa"/>
          </w:tcPr>
          <w:p w14:paraId="2285D301" w14:textId="77777777" w:rsidR="002C0FD9" w:rsidRPr="00CA25CF" w:rsidRDefault="002C0FD9" w:rsidP="00CA25CF">
            <w:pPr>
              <w:rPr>
                <w:rFonts w:cs="Arial"/>
                <w:color w:val="FF0000"/>
                <w:sz w:val="21"/>
                <w:szCs w:val="21"/>
              </w:rPr>
            </w:pPr>
          </w:p>
        </w:tc>
        <w:tc>
          <w:tcPr>
            <w:tcW w:w="217" w:type="dxa"/>
          </w:tcPr>
          <w:p w14:paraId="02FC8EB4" w14:textId="77777777" w:rsidR="002C0FD9" w:rsidRPr="00CA25CF" w:rsidRDefault="002C0FD9" w:rsidP="00CA25CF">
            <w:pPr>
              <w:rPr>
                <w:rFonts w:cs="Arial"/>
                <w:color w:val="FF0000"/>
                <w:sz w:val="21"/>
                <w:szCs w:val="21"/>
              </w:rPr>
            </w:pPr>
          </w:p>
        </w:tc>
        <w:tc>
          <w:tcPr>
            <w:tcW w:w="217" w:type="dxa"/>
          </w:tcPr>
          <w:p w14:paraId="2DFB51DA" w14:textId="77777777" w:rsidR="002C0FD9" w:rsidRPr="00CA25CF" w:rsidRDefault="002C0FD9" w:rsidP="00CA25CF">
            <w:pPr>
              <w:rPr>
                <w:rFonts w:cs="Arial"/>
                <w:color w:val="FF0000"/>
                <w:sz w:val="21"/>
                <w:szCs w:val="21"/>
              </w:rPr>
            </w:pPr>
          </w:p>
        </w:tc>
        <w:tc>
          <w:tcPr>
            <w:tcW w:w="217" w:type="dxa"/>
          </w:tcPr>
          <w:p w14:paraId="1D7FF676" w14:textId="77777777" w:rsidR="002C0FD9" w:rsidRPr="00CA25CF" w:rsidRDefault="002C0FD9" w:rsidP="00CA25CF">
            <w:pPr>
              <w:rPr>
                <w:rFonts w:cs="Arial"/>
                <w:color w:val="FF0000"/>
                <w:sz w:val="21"/>
                <w:szCs w:val="21"/>
              </w:rPr>
            </w:pPr>
          </w:p>
        </w:tc>
        <w:tc>
          <w:tcPr>
            <w:tcW w:w="217" w:type="dxa"/>
          </w:tcPr>
          <w:p w14:paraId="511EC450" w14:textId="77777777" w:rsidR="002C0FD9" w:rsidRPr="00CA25CF" w:rsidRDefault="002C0FD9" w:rsidP="00CA25CF">
            <w:pPr>
              <w:rPr>
                <w:rFonts w:cs="Arial"/>
                <w:color w:val="FF0000"/>
                <w:sz w:val="21"/>
                <w:szCs w:val="21"/>
              </w:rPr>
            </w:pPr>
          </w:p>
        </w:tc>
        <w:tc>
          <w:tcPr>
            <w:tcW w:w="217" w:type="dxa"/>
          </w:tcPr>
          <w:p w14:paraId="245E1ACA" w14:textId="77777777" w:rsidR="002C0FD9" w:rsidRPr="00CA25CF" w:rsidRDefault="002C0FD9" w:rsidP="00CA25CF">
            <w:pPr>
              <w:rPr>
                <w:rFonts w:cs="Arial"/>
                <w:color w:val="FF0000"/>
                <w:sz w:val="21"/>
                <w:szCs w:val="21"/>
              </w:rPr>
            </w:pPr>
          </w:p>
        </w:tc>
        <w:tc>
          <w:tcPr>
            <w:tcW w:w="217" w:type="dxa"/>
          </w:tcPr>
          <w:p w14:paraId="4936762C" w14:textId="77777777" w:rsidR="002C0FD9" w:rsidRPr="00CA25CF" w:rsidRDefault="002C0FD9" w:rsidP="00CA25CF">
            <w:pPr>
              <w:rPr>
                <w:rFonts w:cs="Arial"/>
                <w:color w:val="FF0000"/>
                <w:sz w:val="21"/>
                <w:szCs w:val="21"/>
              </w:rPr>
            </w:pPr>
          </w:p>
        </w:tc>
        <w:tc>
          <w:tcPr>
            <w:tcW w:w="217" w:type="dxa"/>
          </w:tcPr>
          <w:p w14:paraId="49605811" w14:textId="77777777" w:rsidR="002C0FD9" w:rsidRPr="00CA25CF" w:rsidRDefault="002C0FD9" w:rsidP="00CA25CF">
            <w:pPr>
              <w:rPr>
                <w:rFonts w:cs="Arial"/>
                <w:color w:val="FF0000"/>
                <w:sz w:val="21"/>
                <w:szCs w:val="21"/>
              </w:rPr>
            </w:pPr>
          </w:p>
        </w:tc>
        <w:tc>
          <w:tcPr>
            <w:tcW w:w="217" w:type="dxa"/>
          </w:tcPr>
          <w:p w14:paraId="101F551A" w14:textId="77777777" w:rsidR="002C0FD9" w:rsidRPr="00CA25CF" w:rsidRDefault="002C0FD9" w:rsidP="00CA25CF">
            <w:pPr>
              <w:rPr>
                <w:rFonts w:cs="Arial"/>
                <w:color w:val="FF0000"/>
                <w:sz w:val="21"/>
                <w:szCs w:val="21"/>
              </w:rPr>
            </w:pPr>
          </w:p>
        </w:tc>
      </w:tr>
      <w:tr w:rsidR="002C0FD9" w:rsidRPr="00A16219" w14:paraId="0F2D9AEA" w14:textId="4D0FE98C" w:rsidTr="002C0FD9">
        <w:trPr>
          <w:trHeight w:val="635"/>
        </w:trPr>
        <w:tc>
          <w:tcPr>
            <w:tcW w:w="515" w:type="dxa"/>
          </w:tcPr>
          <w:p w14:paraId="2591BBA5" w14:textId="77777777" w:rsidR="002C0FD9" w:rsidRPr="00CA25CF" w:rsidRDefault="002C0FD9" w:rsidP="00CA25CF">
            <w:pPr>
              <w:rPr>
                <w:rFonts w:cs="Arial"/>
                <w:color w:val="FF0000"/>
                <w:sz w:val="21"/>
                <w:szCs w:val="21"/>
              </w:rPr>
            </w:pPr>
          </w:p>
        </w:tc>
        <w:tc>
          <w:tcPr>
            <w:tcW w:w="217" w:type="dxa"/>
          </w:tcPr>
          <w:p w14:paraId="4391BB03" w14:textId="77777777" w:rsidR="002C0FD9" w:rsidRPr="00CA25CF" w:rsidRDefault="002C0FD9" w:rsidP="00CA25CF">
            <w:pPr>
              <w:rPr>
                <w:rFonts w:cs="Arial"/>
                <w:color w:val="FF0000"/>
                <w:sz w:val="21"/>
                <w:szCs w:val="21"/>
              </w:rPr>
            </w:pPr>
          </w:p>
        </w:tc>
        <w:tc>
          <w:tcPr>
            <w:tcW w:w="217" w:type="dxa"/>
          </w:tcPr>
          <w:p w14:paraId="62D873CB" w14:textId="12B84DEA" w:rsidR="002C0FD9" w:rsidRPr="00CA25CF" w:rsidRDefault="002C0FD9" w:rsidP="00CA25CF">
            <w:pPr>
              <w:rPr>
                <w:rFonts w:cs="Arial"/>
                <w:color w:val="FF0000"/>
                <w:sz w:val="21"/>
                <w:szCs w:val="21"/>
              </w:rPr>
            </w:pPr>
          </w:p>
        </w:tc>
        <w:tc>
          <w:tcPr>
            <w:tcW w:w="217" w:type="dxa"/>
          </w:tcPr>
          <w:p w14:paraId="24DF1E32" w14:textId="77777777" w:rsidR="002C0FD9" w:rsidRPr="00CA25CF" w:rsidRDefault="002C0FD9" w:rsidP="00CA25CF">
            <w:pPr>
              <w:rPr>
                <w:rFonts w:cs="Arial"/>
                <w:color w:val="FF0000"/>
                <w:sz w:val="21"/>
                <w:szCs w:val="21"/>
              </w:rPr>
            </w:pPr>
          </w:p>
        </w:tc>
        <w:tc>
          <w:tcPr>
            <w:tcW w:w="217" w:type="dxa"/>
          </w:tcPr>
          <w:p w14:paraId="1E9629C6" w14:textId="77777777" w:rsidR="002C0FD9" w:rsidRPr="00CA25CF" w:rsidRDefault="002C0FD9" w:rsidP="00CA25CF">
            <w:pPr>
              <w:rPr>
                <w:rFonts w:cs="Arial"/>
                <w:color w:val="FF0000"/>
                <w:sz w:val="21"/>
                <w:szCs w:val="21"/>
              </w:rPr>
            </w:pPr>
          </w:p>
        </w:tc>
        <w:tc>
          <w:tcPr>
            <w:tcW w:w="217" w:type="dxa"/>
          </w:tcPr>
          <w:p w14:paraId="01CD60F5" w14:textId="77777777" w:rsidR="002C0FD9" w:rsidRPr="00CA25CF" w:rsidRDefault="002C0FD9" w:rsidP="00CA25CF">
            <w:pPr>
              <w:rPr>
                <w:rFonts w:cs="Arial"/>
                <w:color w:val="FF0000"/>
                <w:sz w:val="21"/>
                <w:szCs w:val="21"/>
              </w:rPr>
            </w:pPr>
          </w:p>
        </w:tc>
        <w:tc>
          <w:tcPr>
            <w:tcW w:w="217" w:type="dxa"/>
          </w:tcPr>
          <w:p w14:paraId="3F0D4A2E" w14:textId="77777777" w:rsidR="002C0FD9" w:rsidRPr="00CA25CF" w:rsidRDefault="002C0FD9" w:rsidP="00CA25CF">
            <w:pPr>
              <w:rPr>
                <w:rFonts w:cs="Arial"/>
                <w:color w:val="FF0000"/>
                <w:sz w:val="21"/>
                <w:szCs w:val="21"/>
              </w:rPr>
            </w:pPr>
          </w:p>
        </w:tc>
        <w:tc>
          <w:tcPr>
            <w:tcW w:w="217" w:type="dxa"/>
          </w:tcPr>
          <w:p w14:paraId="7BE3A2DF" w14:textId="77777777" w:rsidR="002C0FD9" w:rsidRPr="00CA25CF" w:rsidRDefault="002C0FD9" w:rsidP="00CA25CF">
            <w:pPr>
              <w:rPr>
                <w:rFonts w:cs="Arial"/>
                <w:color w:val="FF0000"/>
                <w:sz w:val="21"/>
                <w:szCs w:val="21"/>
              </w:rPr>
            </w:pPr>
          </w:p>
        </w:tc>
        <w:tc>
          <w:tcPr>
            <w:tcW w:w="217" w:type="dxa"/>
          </w:tcPr>
          <w:p w14:paraId="66EC45E3" w14:textId="77777777" w:rsidR="002C0FD9" w:rsidRPr="00CA25CF" w:rsidRDefault="002C0FD9" w:rsidP="00CA25CF">
            <w:pPr>
              <w:rPr>
                <w:rFonts w:cs="Arial"/>
                <w:color w:val="FF0000"/>
                <w:sz w:val="21"/>
                <w:szCs w:val="21"/>
              </w:rPr>
            </w:pPr>
          </w:p>
        </w:tc>
        <w:tc>
          <w:tcPr>
            <w:tcW w:w="217" w:type="dxa"/>
          </w:tcPr>
          <w:p w14:paraId="1141FF7E" w14:textId="77777777" w:rsidR="002C0FD9" w:rsidRPr="00CA25CF" w:rsidRDefault="002C0FD9" w:rsidP="00CA25CF">
            <w:pPr>
              <w:rPr>
                <w:rFonts w:cs="Arial"/>
                <w:color w:val="FF0000"/>
                <w:sz w:val="21"/>
                <w:szCs w:val="21"/>
              </w:rPr>
            </w:pPr>
          </w:p>
        </w:tc>
        <w:tc>
          <w:tcPr>
            <w:tcW w:w="217" w:type="dxa"/>
          </w:tcPr>
          <w:p w14:paraId="2BF33913" w14:textId="77777777" w:rsidR="002C0FD9" w:rsidRPr="00CA25CF" w:rsidRDefault="002C0FD9" w:rsidP="00CA25CF">
            <w:pPr>
              <w:rPr>
                <w:rFonts w:cs="Arial"/>
                <w:color w:val="FF0000"/>
                <w:sz w:val="21"/>
                <w:szCs w:val="21"/>
              </w:rPr>
            </w:pPr>
          </w:p>
        </w:tc>
        <w:tc>
          <w:tcPr>
            <w:tcW w:w="217" w:type="dxa"/>
          </w:tcPr>
          <w:p w14:paraId="2CE15F80" w14:textId="77777777" w:rsidR="002C0FD9" w:rsidRPr="00CA25CF" w:rsidRDefault="002C0FD9" w:rsidP="00CA25CF">
            <w:pPr>
              <w:rPr>
                <w:rFonts w:cs="Arial"/>
                <w:color w:val="FF0000"/>
                <w:sz w:val="21"/>
                <w:szCs w:val="21"/>
              </w:rPr>
            </w:pPr>
          </w:p>
        </w:tc>
        <w:tc>
          <w:tcPr>
            <w:tcW w:w="217" w:type="dxa"/>
          </w:tcPr>
          <w:p w14:paraId="5D1983EB" w14:textId="77777777" w:rsidR="002C0FD9" w:rsidRPr="00CA25CF" w:rsidRDefault="002C0FD9" w:rsidP="00CA25CF">
            <w:pPr>
              <w:rPr>
                <w:rFonts w:cs="Arial"/>
                <w:color w:val="FF0000"/>
                <w:sz w:val="21"/>
                <w:szCs w:val="21"/>
              </w:rPr>
            </w:pPr>
          </w:p>
        </w:tc>
        <w:tc>
          <w:tcPr>
            <w:tcW w:w="217" w:type="dxa"/>
          </w:tcPr>
          <w:p w14:paraId="36E6C715" w14:textId="77777777" w:rsidR="002C0FD9" w:rsidRPr="00CA25CF" w:rsidRDefault="002C0FD9" w:rsidP="00CA25CF">
            <w:pPr>
              <w:rPr>
                <w:rFonts w:cs="Arial"/>
                <w:color w:val="FF0000"/>
                <w:sz w:val="21"/>
                <w:szCs w:val="21"/>
              </w:rPr>
            </w:pPr>
          </w:p>
        </w:tc>
        <w:tc>
          <w:tcPr>
            <w:tcW w:w="217" w:type="dxa"/>
          </w:tcPr>
          <w:p w14:paraId="4E703C02" w14:textId="77777777" w:rsidR="002C0FD9" w:rsidRPr="00CA25CF" w:rsidRDefault="002C0FD9" w:rsidP="00CA25CF">
            <w:pPr>
              <w:rPr>
                <w:rFonts w:cs="Arial"/>
                <w:color w:val="FF0000"/>
                <w:sz w:val="21"/>
                <w:szCs w:val="21"/>
              </w:rPr>
            </w:pPr>
          </w:p>
        </w:tc>
        <w:tc>
          <w:tcPr>
            <w:tcW w:w="217" w:type="dxa"/>
          </w:tcPr>
          <w:p w14:paraId="42BAE83A" w14:textId="77777777" w:rsidR="002C0FD9" w:rsidRPr="00CA25CF" w:rsidRDefault="002C0FD9" w:rsidP="00CA25CF">
            <w:pPr>
              <w:rPr>
                <w:rFonts w:cs="Arial"/>
                <w:color w:val="FF0000"/>
                <w:sz w:val="21"/>
                <w:szCs w:val="21"/>
              </w:rPr>
            </w:pPr>
          </w:p>
        </w:tc>
        <w:tc>
          <w:tcPr>
            <w:tcW w:w="217" w:type="dxa"/>
          </w:tcPr>
          <w:p w14:paraId="176BC833" w14:textId="77777777" w:rsidR="002C0FD9" w:rsidRPr="00CA25CF" w:rsidRDefault="002C0FD9" w:rsidP="00CA25CF">
            <w:pPr>
              <w:rPr>
                <w:rFonts w:cs="Arial"/>
                <w:color w:val="FF0000"/>
                <w:sz w:val="21"/>
                <w:szCs w:val="21"/>
              </w:rPr>
            </w:pPr>
          </w:p>
        </w:tc>
        <w:tc>
          <w:tcPr>
            <w:tcW w:w="217" w:type="dxa"/>
          </w:tcPr>
          <w:p w14:paraId="1CEBF8D0" w14:textId="77777777" w:rsidR="002C0FD9" w:rsidRPr="00CA25CF" w:rsidRDefault="002C0FD9" w:rsidP="00CA25CF">
            <w:pPr>
              <w:rPr>
                <w:rFonts w:cs="Arial"/>
                <w:color w:val="FF0000"/>
                <w:sz w:val="21"/>
                <w:szCs w:val="21"/>
              </w:rPr>
            </w:pPr>
          </w:p>
        </w:tc>
        <w:tc>
          <w:tcPr>
            <w:tcW w:w="217" w:type="dxa"/>
          </w:tcPr>
          <w:p w14:paraId="23B50474" w14:textId="77777777" w:rsidR="002C0FD9" w:rsidRPr="00CA25CF" w:rsidRDefault="002C0FD9" w:rsidP="00CA25CF">
            <w:pPr>
              <w:rPr>
                <w:rFonts w:cs="Arial"/>
                <w:color w:val="FF0000"/>
                <w:sz w:val="21"/>
                <w:szCs w:val="21"/>
              </w:rPr>
            </w:pPr>
          </w:p>
        </w:tc>
        <w:tc>
          <w:tcPr>
            <w:tcW w:w="217" w:type="dxa"/>
          </w:tcPr>
          <w:p w14:paraId="72789527" w14:textId="77777777" w:rsidR="002C0FD9" w:rsidRPr="00CA25CF" w:rsidRDefault="002C0FD9" w:rsidP="00CA25CF">
            <w:pPr>
              <w:rPr>
                <w:rFonts w:cs="Arial"/>
                <w:color w:val="FF0000"/>
                <w:sz w:val="21"/>
                <w:szCs w:val="21"/>
              </w:rPr>
            </w:pPr>
          </w:p>
        </w:tc>
        <w:tc>
          <w:tcPr>
            <w:tcW w:w="217" w:type="dxa"/>
          </w:tcPr>
          <w:p w14:paraId="16FEF028" w14:textId="77777777" w:rsidR="002C0FD9" w:rsidRPr="00CA25CF" w:rsidRDefault="002C0FD9" w:rsidP="00CA25CF">
            <w:pPr>
              <w:rPr>
                <w:rFonts w:cs="Arial"/>
                <w:color w:val="FF0000"/>
                <w:sz w:val="21"/>
                <w:szCs w:val="21"/>
              </w:rPr>
            </w:pPr>
          </w:p>
        </w:tc>
        <w:tc>
          <w:tcPr>
            <w:tcW w:w="217" w:type="dxa"/>
          </w:tcPr>
          <w:p w14:paraId="4D4FF317" w14:textId="77777777" w:rsidR="002C0FD9" w:rsidRPr="00CA25CF" w:rsidRDefault="002C0FD9" w:rsidP="00CA25CF">
            <w:pPr>
              <w:rPr>
                <w:rFonts w:cs="Arial"/>
                <w:color w:val="FF0000"/>
                <w:sz w:val="21"/>
                <w:szCs w:val="21"/>
              </w:rPr>
            </w:pPr>
          </w:p>
        </w:tc>
        <w:tc>
          <w:tcPr>
            <w:tcW w:w="217" w:type="dxa"/>
          </w:tcPr>
          <w:p w14:paraId="767F8F0D" w14:textId="77777777" w:rsidR="002C0FD9" w:rsidRPr="00CA25CF" w:rsidRDefault="002C0FD9" w:rsidP="00CA25CF">
            <w:pPr>
              <w:rPr>
                <w:rFonts w:cs="Arial"/>
                <w:color w:val="FF0000"/>
                <w:sz w:val="21"/>
                <w:szCs w:val="21"/>
              </w:rPr>
            </w:pPr>
          </w:p>
        </w:tc>
        <w:tc>
          <w:tcPr>
            <w:tcW w:w="217" w:type="dxa"/>
          </w:tcPr>
          <w:p w14:paraId="169FD4D8" w14:textId="77777777" w:rsidR="002C0FD9" w:rsidRPr="00CA25CF" w:rsidRDefault="002C0FD9" w:rsidP="00CA25CF">
            <w:pPr>
              <w:rPr>
                <w:rFonts w:cs="Arial"/>
                <w:color w:val="FF0000"/>
                <w:sz w:val="21"/>
                <w:szCs w:val="21"/>
              </w:rPr>
            </w:pPr>
          </w:p>
        </w:tc>
        <w:tc>
          <w:tcPr>
            <w:tcW w:w="217" w:type="dxa"/>
          </w:tcPr>
          <w:p w14:paraId="0CB52456" w14:textId="77777777" w:rsidR="002C0FD9" w:rsidRPr="00CA25CF" w:rsidRDefault="002C0FD9" w:rsidP="00CA25CF">
            <w:pPr>
              <w:rPr>
                <w:rFonts w:cs="Arial"/>
                <w:color w:val="FF0000"/>
                <w:sz w:val="21"/>
                <w:szCs w:val="21"/>
              </w:rPr>
            </w:pPr>
          </w:p>
        </w:tc>
        <w:tc>
          <w:tcPr>
            <w:tcW w:w="217" w:type="dxa"/>
          </w:tcPr>
          <w:p w14:paraId="1C3F9DC2" w14:textId="77777777" w:rsidR="002C0FD9" w:rsidRPr="00CA25CF" w:rsidRDefault="002C0FD9" w:rsidP="00CA25CF">
            <w:pPr>
              <w:rPr>
                <w:rFonts w:cs="Arial"/>
                <w:color w:val="FF0000"/>
                <w:sz w:val="21"/>
                <w:szCs w:val="21"/>
              </w:rPr>
            </w:pPr>
          </w:p>
        </w:tc>
        <w:tc>
          <w:tcPr>
            <w:tcW w:w="217" w:type="dxa"/>
          </w:tcPr>
          <w:p w14:paraId="4F93DCE3" w14:textId="77777777" w:rsidR="002C0FD9" w:rsidRPr="00CA25CF" w:rsidRDefault="002C0FD9" w:rsidP="00CA25CF">
            <w:pPr>
              <w:rPr>
                <w:rFonts w:cs="Arial"/>
                <w:color w:val="FF0000"/>
                <w:sz w:val="21"/>
                <w:szCs w:val="21"/>
              </w:rPr>
            </w:pPr>
          </w:p>
        </w:tc>
        <w:tc>
          <w:tcPr>
            <w:tcW w:w="217" w:type="dxa"/>
          </w:tcPr>
          <w:p w14:paraId="768DE041" w14:textId="77777777" w:rsidR="002C0FD9" w:rsidRPr="00CA25CF" w:rsidRDefault="002C0FD9" w:rsidP="00CA25CF">
            <w:pPr>
              <w:rPr>
                <w:rFonts w:cs="Arial"/>
                <w:color w:val="FF0000"/>
                <w:sz w:val="21"/>
                <w:szCs w:val="21"/>
              </w:rPr>
            </w:pPr>
          </w:p>
        </w:tc>
        <w:tc>
          <w:tcPr>
            <w:tcW w:w="217" w:type="dxa"/>
          </w:tcPr>
          <w:p w14:paraId="3BE11E1E" w14:textId="77777777" w:rsidR="002C0FD9" w:rsidRPr="00CA25CF" w:rsidRDefault="002C0FD9" w:rsidP="00CA25CF">
            <w:pPr>
              <w:rPr>
                <w:rFonts w:cs="Arial"/>
                <w:color w:val="FF0000"/>
                <w:sz w:val="21"/>
                <w:szCs w:val="21"/>
              </w:rPr>
            </w:pPr>
          </w:p>
        </w:tc>
        <w:tc>
          <w:tcPr>
            <w:tcW w:w="217" w:type="dxa"/>
          </w:tcPr>
          <w:p w14:paraId="464D2C28" w14:textId="77777777" w:rsidR="002C0FD9" w:rsidRPr="00CA25CF" w:rsidRDefault="002C0FD9" w:rsidP="00CA25CF">
            <w:pPr>
              <w:rPr>
                <w:rFonts w:cs="Arial"/>
                <w:color w:val="FF0000"/>
                <w:sz w:val="21"/>
                <w:szCs w:val="21"/>
              </w:rPr>
            </w:pPr>
          </w:p>
        </w:tc>
        <w:tc>
          <w:tcPr>
            <w:tcW w:w="217" w:type="dxa"/>
          </w:tcPr>
          <w:p w14:paraId="19A3CA68" w14:textId="77777777" w:rsidR="002C0FD9" w:rsidRPr="00CA25CF" w:rsidRDefault="002C0FD9" w:rsidP="00CA25CF">
            <w:pPr>
              <w:rPr>
                <w:rFonts w:cs="Arial"/>
                <w:color w:val="FF0000"/>
                <w:sz w:val="21"/>
                <w:szCs w:val="21"/>
              </w:rPr>
            </w:pPr>
          </w:p>
        </w:tc>
        <w:tc>
          <w:tcPr>
            <w:tcW w:w="217" w:type="dxa"/>
          </w:tcPr>
          <w:p w14:paraId="3B98C362" w14:textId="77777777" w:rsidR="002C0FD9" w:rsidRPr="00CA25CF" w:rsidRDefault="002C0FD9" w:rsidP="00CA25CF">
            <w:pPr>
              <w:rPr>
                <w:rFonts w:cs="Arial"/>
                <w:color w:val="FF0000"/>
                <w:sz w:val="21"/>
                <w:szCs w:val="21"/>
              </w:rPr>
            </w:pPr>
          </w:p>
        </w:tc>
        <w:tc>
          <w:tcPr>
            <w:tcW w:w="217" w:type="dxa"/>
          </w:tcPr>
          <w:p w14:paraId="6E8C6B01" w14:textId="77777777" w:rsidR="002C0FD9" w:rsidRPr="00CA25CF" w:rsidRDefault="002C0FD9" w:rsidP="00CA25CF">
            <w:pPr>
              <w:rPr>
                <w:rFonts w:cs="Arial"/>
                <w:color w:val="FF0000"/>
                <w:sz w:val="21"/>
                <w:szCs w:val="21"/>
              </w:rPr>
            </w:pPr>
          </w:p>
        </w:tc>
        <w:tc>
          <w:tcPr>
            <w:tcW w:w="217" w:type="dxa"/>
          </w:tcPr>
          <w:p w14:paraId="1BF1EE7D" w14:textId="77777777" w:rsidR="002C0FD9" w:rsidRPr="00CA25CF" w:rsidRDefault="002C0FD9" w:rsidP="00CA25CF">
            <w:pPr>
              <w:rPr>
                <w:rFonts w:cs="Arial"/>
                <w:color w:val="FF0000"/>
                <w:sz w:val="21"/>
                <w:szCs w:val="21"/>
              </w:rPr>
            </w:pPr>
          </w:p>
        </w:tc>
        <w:tc>
          <w:tcPr>
            <w:tcW w:w="217" w:type="dxa"/>
          </w:tcPr>
          <w:p w14:paraId="2B570542" w14:textId="77777777" w:rsidR="002C0FD9" w:rsidRPr="00CA25CF" w:rsidRDefault="002C0FD9" w:rsidP="00CA25CF">
            <w:pPr>
              <w:rPr>
                <w:rFonts w:cs="Arial"/>
                <w:color w:val="FF0000"/>
                <w:sz w:val="21"/>
                <w:szCs w:val="21"/>
              </w:rPr>
            </w:pPr>
          </w:p>
        </w:tc>
        <w:tc>
          <w:tcPr>
            <w:tcW w:w="217" w:type="dxa"/>
          </w:tcPr>
          <w:p w14:paraId="44717245" w14:textId="77777777" w:rsidR="002C0FD9" w:rsidRPr="00CA25CF" w:rsidRDefault="002C0FD9" w:rsidP="00CA25CF">
            <w:pPr>
              <w:rPr>
                <w:rFonts w:cs="Arial"/>
                <w:color w:val="FF0000"/>
                <w:sz w:val="21"/>
                <w:szCs w:val="21"/>
              </w:rPr>
            </w:pPr>
          </w:p>
        </w:tc>
        <w:tc>
          <w:tcPr>
            <w:tcW w:w="217" w:type="dxa"/>
          </w:tcPr>
          <w:p w14:paraId="4F398ADF" w14:textId="77777777" w:rsidR="002C0FD9" w:rsidRPr="00CA25CF" w:rsidRDefault="002C0FD9" w:rsidP="00CA25CF">
            <w:pPr>
              <w:rPr>
                <w:rFonts w:cs="Arial"/>
                <w:color w:val="FF0000"/>
                <w:sz w:val="21"/>
                <w:szCs w:val="21"/>
              </w:rPr>
            </w:pPr>
          </w:p>
        </w:tc>
        <w:tc>
          <w:tcPr>
            <w:tcW w:w="217" w:type="dxa"/>
          </w:tcPr>
          <w:p w14:paraId="6D9163A0" w14:textId="77777777" w:rsidR="002C0FD9" w:rsidRPr="00CA25CF" w:rsidRDefault="002C0FD9" w:rsidP="00CA25CF">
            <w:pPr>
              <w:rPr>
                <w:rFonts w:cs="Arial"/>
                <w:color w:val="FF0000"/>
                <w:sz w:val="21"/>
                <w:szCs w:val="21"/>
              </w:rPr>
            </w:pPr>
          </w:p>
        </w:tc>
        <w:tc>
          <w:tcPr>
            <w:tcW w:w="217" w:type="dxa"/>
          </w:tcPr>
          <w:p w14:paraId="7DA7F06D" w14:textId="77777777" w:rsidR="002C0FD9" w:rsidRPr="00CA25CF" w:rsidRDefault="002C0FD9" w:rsidP="00CA25CF">
            <w:pPr>
              <w:rPr>
                <w:rFonts w:cs="Arial"/>
                <w:color w:val="FF0000"/>
                <w:sz w:val="21"/>
                <w:szCs w:val="21"/>
              </w:rPr>
            </w:pPr>
          </w:p>
        </w:tc>
        <w:tc>
          <w:tcPr>
            <w:tcW w:w="217" w:type="dxa"/>
          </w:tcPr>
          <w:p w14:paraId="2EBF76D1" w14:textId="77777777" w:rsidR="002C0FD9" w:rsidRPr="00CA25CF" w:rsidRDefault="002C0FD9" w:rsidP="00CA25CF">
            <w:pPr>
              <w:rPr>
                <w:rFonts w:cs="Arial"/>
                <w:color w:val="FF0000"/>
                <w:sz w:val="21"/>
                <w:szCs w:val="21"/>
              </w:rPr>
            </w:pPr>
          </w:p>
        </w:tc>
        <w:tc>
          <w:tcPr>
            <w:tcW w:w="217" w:type="dxa"/>
          </w:tcPr>
          <w:p w14:paraId="023DF517" w14:textId="77777777" w:rsidR="002C0FD9" w:rsidRPr="00CA25CF" w:rsidRDefault="002C0FD9" w:rsidP="00CA25CF">
            <w:pPr>
              <w:rPr>
                <w:rFonts w:cs="Arial"/>
                <w:color w:val="FF0000"/>
                <w:sz w:val="21"/>
                <w:szCs w:val="21"/>
              </w:rPr>
            </w:pPr>
          </w:p>
        </w:tc>
        <w:tc>
          <w:tcPr>
            <w:tcW w:w="217" w:type="dxa"/>
          </w:tcPr>
          <w:p w14:paraId="1DF01992" w14:textId="77777777" w:rsidR="002C0FD9" w:rsidRPr="00CA25CF" w:rsidRDefault="002C0FD9" w:rsidP="00CA25CF">
            <w:pPr>
              <w:rPr>
                <w:rFonts w:cs="Arial"/>
                <w:color w:val="FF0000"/>
                <w:sz w:val="21"/>
                <w:szCs w:val="21"/>
              </w:rPr>
            </w:pPr>
          </w:p>
        </w:tc>
        <w:tc>
          <w:tcPr>
            <w:tcW w:w="217" w:type="dxa"/>
          </w:tcPr>
          <w:p w14:paraId="1F11C1F2" w14:textId="77777777" w:rsidR="002C0FD9" w:rsidRPr="00CA25CF" w:rsidRDefault="002C0FD9" w:rsidP="00CA25CF">
            <w:pPr>
              <w:rPr>
                <w:rFonts w:cs="Arial"/>
                <w:color w:val="FF0000"/>
                <w:sz w:val="21"/>
                <w:szCs w:val="21"/>
              </w:rPr>
            </w:pPr>
          </w:p>
        </w:tc>
      </w:tr>
      <w:tr w:rsidR="002C0FD9" w:rsidRPr="00A16219" w14:paraId="64E99F37" w14:textId="175FC9B7" w:rsidTr="002C0FD9">
        <w:trPr>
          <w:trHeight w:val="635"/>
        </w:trPr>
        <w:tc>
          <w:tcPr>
            <w:tcW w:w="515" w:type="dxa"/>
          </w:tcPr>
          <w:p w14:paraId="639CC983" w14:textId="77777777" w:rsidR="002C0FD9" w:rsidRPr="00CA25CF" w:rsidRDefault="002C0FD9" w:rsidP="00CA25CF">
            <w:pPr>
              <w:rPr>
                <w:rFonts w:cs="Arial"/>
                <w:color w:val="FF0000"/>
                <w:sz w:val="21"/>
                <w:szCs w:val="21"/>
              </w:rPr>
            </w:pPr>
          </w:p>
        </w:tc>
        <w:tc>
          <w:tcPr>
            <w:tcW w:w="217" w:type="dxa"/>
          </w:tcPr>
          <w:p w14:paraId="205121C2" w14:textId="77777777" w:rsidR="002C0FD9" w:rsidRPr="00CA25CF" w:rsidRDefault="002C0FD9" w:rsidP="00CA25CF">
            <w:pPr>
              <w:rPr>
                <w:rFonts w:cs="Arial"/>
                <w:color w:val="FF0000"/>
                <w:sz w:val="21"/>
                <w:szCs w:val="21"/>
              </w:rPr>
            </w:pPr>
          </w:p>
        </w:tc>
        <w:tc>
          <w:tcPr>
            <w:tcW w:w="217" w:type="dxa"/>
          </w:tcPr>
          <w:p w14:paraId="10EBA3E0" w14:textId="146C7855" w:rsidR="002C0FD9" w:rsidRPr="00CA25CF" w:rsidRDefault="002C0FD9" w:rsidP="00CA25CF">
            <w:pPr>
              <w:rPr>
                <w:rFonts w:cs="Arial"/>
                <w:color w:val="FF0000"/>
                <w:sz w:val="21"/>
                <w:szCs w:val="21"/>
              </w:rPr>
            </w:pPr>
          </w:p>
        </w:tc>
        <w:tc>
          <w:tcPr>
            <w:tcW w:w="217" w:type="dxa"/>
          </w:tcPr>
          <w:p w14:paraId="3AFA7076" w14:textId="77777777" w:rsidR="002C0FD9" w:rsidRPr="00CA25CF" w:rsidRDefault="002C0FD9" w:rsidP="00CA25CF">
            <w:pPr>
              <w:rPr>
                <w:rFonts w:cs="Arial"/>
                <w:color w:val="FF0000"/>
                <w:sz w:val="21"/>
                <w:szCs w:val="21"/>
              </w:rPr>
            </w:pPr>
          </w:p>
        </w:tc>
        <w:tc>
          <w:tcPr>
            <w:tcW w:w="217" w:type="dxa"/>
          </w:tcPr>
          <w:p w14:paraId="34B93F87" w14:textId="77777777" w:rsidR="002C0FD9" w:rsidRPr="00CA25CF" w:rsidRDefault="002C0FD9" w:rsidP="00CA25CF">
            <w:pPr>
              <w:rPr>
                <w:rFonts w:cs="Arial"/>
                <w:color w:val="FF0000"/>
                <w:sz w:val="21"/>
                <w:szCs w:val="21"/>
              </w:rPr>
            </w:pPr>
          </w:p>
        </w:tc>
        <w:tc>
          <w:tcPr>
            <w:tcW w:w="217" w:type="dxa"/>
          </w:tcPr>
          <w:p w14:paraId="41C6DDA8" w14:textId="77777777" w:rsidR="002C0FD9" w:rsidRPr="00CA25CF" w:rsidRDefault="002C0FD9" w:rsidP="00CA25CF">
            <w:pPr>
              <w:rPr>
                <w:rFonts w:cs="Arial"/>
                <w:color w:val="FF0000"/>
                <w:sz w:val="21"/>
                <w:szCs w:val="21"/>
              </w:rPr>
            </w:pPr>
          </w:p>
        </w:tc>
        <w:tc>
          <w:tcPr>
            <w:tcW w:w="217" w:type="dxa"/>
          </w:tcPr>
          <w:p w14:paraId="0532580B" w14:textId="77777777" w:rsidR="002C0FD9" w:rsidRPr="00CA25CF" w:rsidRDefault="002C0FD9" w:rsidP="00CA25CF">
            <w:pPr>
              <w:rPr>
                <w:rFonts w:cs="Arial"/>
                <w:color w:val="FF0000"/>
                <w:sz w:val="21"/>
                <w:szCs w:val="21"/>
              </w:rPr>
            </w:pPr>
          </w:p>
        </w:tc>
        <w:tc>
          <w:tcPr>
            <w:tcW w:w="217" w:type="dxa"/>
          </w:tcPr>
          <w:p w14:paraId="77684195" w14:textId="77777777" w:rsidR="002C0FD9" w:rsidRPr="00CA25CF" w:rsidRDefault="002C0FD9" w:rsidP="00CA25CF">
            <w:pPr>
              <w:rPr>
                <w:rFonts w:cs="Arial"/>
                <w:color w:val="FF0000"/>
                <w:sz w:val="21"/>
                <w:szCs w:val="21"/>
              </w:rPr>
            </w:pPr>
          </w:p>
        </w:tc>
        <w:tc>
          <w:tcPr>
            <w:tcW w:w="217" w:type="dxa"/>
          </w:tcPr>
          <w:p w14:paraId="75A8FC0B" w14:textId="77777777" w:rsidR="002C0FD9" w:rsidRPr="00CA25CF" w:rsidRDefault="002C0FD9" w:rsidP="00CA25CF">
            <w:pPr>
              <w:rPr>
                <w:rFonts w:cs="Arial"/>
                <w:color w:val="FF0000"/>
                <w:sz w:val="21"/>
                <w:szCs w:val="21"/>
              </w:rPr>
            </w:pPr>
          </w:p>
        </w:tc>
        <w:tc>
          <w:tcPr>
            <w:tcW w:w="217" w:type="dxa"/>
          </w:tcPr>
          <w:p w14:paraId="6EDA290E" w14:textId="77777777" w:rsidR="002C0FD9" w:rsidRPr="00CA25CF" w:rsidRDefault="002C0FD9" w:rsidP="00CA25CF">
            <w:pPr>
              <w:rPr>
                <w:rFonts w:cs="Arial"/>
                <w:color w:val="FF0000"/>
                <w:sz w:val="21"/>
                <w:szCs w:val="21"/>
              </w:rPr>
            </w:pPr>
          </w:p>
        </w:tc>
        <w:tc>
          <w:tcPr>
            <w:tcW w:w="217" w:type="dxa"/>
          </w:tcPr>
          <w:p w14:paraId="4265F00D" w14:textId="77777777" w:rsidR="002C0FD9" w:rsidRPr="00CA25CF" w:rsidRDefault="002C0FD9" w:rsidP="00CA25CF">
            <w:pPr>
              <w:rPr>
                <w:rFonts w:cs="Arial"/>
                <w:color w:val="FF0000"/>
                <w:sz w:val="21"/>
                <w:szCs w:val="21"/>
              </w:rPr>
            </w:pPr>
          </w:p>
        </w:tc>
        <w:tc>
          <w:tcPr>
            <w:tcW w:w="217" w:type="dxa"/>
          </w:tcPr>
          <w:p w14:paraId="5BB70733" w14:textId="77777777" w:rsidR="002C0FD9" w:rsidRPr="00CA25CF" w:rsidRDefault="002C0FD9" w:rsidP="00CA25CF">
            <w:pPr>
              <w:rPr>
                <w:rFonts w:cs="Arial"/>
                <w:color w:val="FF0000"/>
                <w:sz w:val="21"/>
                <w:szCs w:val="21"/>
              </w:rPr>
            </w:pPr>
          </w:p>
        </w:tc>
        <w:tc>
          <w:tcPr>
            <w:tcW w:w="217" w:type="dxa"/>
          </w:tcPr>
          <w:p w14:paraId="179C1F9F" w14:textId="77777777" w:rsidR="002C0FD9" w:rsidRPr="00CA25CF" w:rsidRDefault="002C0FD9" w:rsidP="00CA25CF">
            <w:pPr>
              <w:rPr>
                <w:rFonts w:cs="Arial"/>
                <w:color w:val="FF0000"/>
                <w:sz w:val="21"/>
                <w:szCs w:val="21"/>
              </w:rPr>
            </w:pPr>
          </w:p>
        </w:tc>
        <w:tc>
          <w:tcPr>
            <w:tcW w:w="217" w:type="dxa"/>
          </w:tcPr>
          <w:p w14:paraId="5B75E669" w14:textId="77777777" w:rsidR="002C0FD9" w:rsidRPr="00CA25CF" w:rsidRDefault="002C0FD9" w:rsidP="00CA25CF">
            <w:pPr>
              <w:rPr>
                <w:rFonts w:cs="Arial"/>
                <w:color w:val="FF0000"/>
                <w:sz w:val="21"/>
                <w:szCs w:val="21"/>
              </w:rPr>
            </w:pPr>
          </w:p>
        </w:tc>
        <w:tc>
          <w:tcPr>
            <w:tcW w:w="217" w:type="dxa"/>
          </w:tcPr>
          <w:p w14:paraId="55152734" w14:textId="77777777" w:rsidR="002C0FD9" w:rsidRPr="00CA25CF" w:rsidRDefault="002C0FD9" w:rsidP="00CA25CF">
            <w:pPr>
              <w:rPr>
                <w:rFonts w:cs="Arial"/>
                <w:color w:val="FF0000"/>
                <w:sz w:val="21"/>
                <w:szCs w:val="21"/>
              </w:rPr>
            </w:pPr>
          </w:p>
        </w:tc>
        <w:tc>
          <w:tcPr>
            <w:tcW w:w="217" w:type="dxa"/>
          </w:tcPr>
          <w:p w14:paraId="278DE6A9" w14:textId="77777777" w:rsidR="002C0FD9" w:rsidRPr="00CA25CF" w:rsidRDefault="002C0FD9" w:rsidP="00CA25CF">
            <w:pPr>
              <w:rPr>
                <w:rFonts w:cs="Arial"/>
                <w:color w:val="FF0000"/>
                <w:sz w:val="21"/>
                <w:szCs w:val="21"/>
              </w:rPr>
            </w:pPr>
          </w:p>
        </w:tc>
        <w:tc>
          <w:tcPr>
            <w:tcW w:w="217" w:type="dxa"/>
          </w:tcPr>
          <w:p w14:paraId="09D6A309" w14:textId="77777777" w:rsidR="002C0FD9" w:rsidRPr="00CA25CF" w:rsidRDefault="002C0FD9" w:rsidP="00CA25CF">
            <w:pPr>
              <w:rPr>
                <w:rFonts w:cs="Arial"/>
                <w:color w:val="FF0000"/>
                <w:sz w:val="21"/>
                <w:szCs w:val="21"/>
              </w:rPr>
            </w:pPr>
          </w:p>
        </w:tc>
        <w:tc>
          <w:tcPr>
            <w:tcW w:w="217" w:type="dxa"/>
          </w:tcPr>
          <w:p w14:paraId="0A39483F" w14:textId="77777777" w:rsidR="002C0FD9" w:rsidRPr="00CA25CF" w:rsidRDefault="002C0FD9" w:rsidP="00CA25CF">
            <w:pPr>
              <w:rPr>
                <w:rFonts w:cs="Arial"/>
                <w:color w:val="FF0000"/>
                <w:sz w:val="21"/>
                <w:szCs w:val="21"/>
              </w:rPr>
            </w:pPr>
          </w:p>
        </w:tc>
        <w:tc>
          <w:tcPr>
            <w:tcW w:w="217" w:type="dxa"/>
          </w:tcPr>
          <w:p w14:paraId="5295404C" w14:textId="77777777" w:rsidR="002C0FD9" w:rsidRPr="00CA25CF" w:rsidRDefault="002C0FD9" w:rsidP="00CA25CF">
            <w:pPr>
              <w:rPr>
                <w:rFonts w:cs="Arial"/>
                <w:color w:val="FF0000"/>
                <w:sz w:val="21"/>
                <w:szCs w:val="21"/>
              </w:rPr>
            </w:pPr>
          </w:p>
        </w:tc>
        <w:tc>
          <w:tcPr>
            <w:tcW w:w="217" w:type="dxa"/>
          </w:tcPr>
          <w:p w14:paraId="42D09247" w14:textId="77777777" w:rsidR="002C0FD9" w:rsidRPr="00CA25CF" w:rsidRDefault="002C0FD9" w:rsidP="00CA25CF">
            <w:pPr>
              <w:rPr>
                <w:rFonts w:cs="Arial"/>
                <w:color w:val="FF0000"/>
                <w:sz w:val="21"/>
                <w:szCs w:val="21"/>
              </w:rPr>
            </w:pPr>
          </w:p>
        </w:tc>
        <w:tc>
          <w:tcPr>
            <w:tcW w:w="217" w:type="dxa"/>
          </w:tcPr>
          <w:p w14:paraId="5688927F" w14:textId="77777777" w:rsidR="002C0FD9" w:rsidRPr="00CA25CF" w:rsidRDefault="002C0FD9" w:rsidP="00CA25CF">
            <w:pPr>
              <w:rPr>
                <w:rFonts w:cs="Arial"/>
                <w:color w:val="FF0000"/>
                <w:sz w:val="21"/>
                <w:szCs w:val="21"/>
              </w:rPr>
            </w:pPr>
          </w:p>
        </w:tc>
        <w:tc>
          <w:tcPr>
            <w:tcW w:w="217" w:type="dxa"/>
          </w:tcPr>
          <w:p w14:paraId="5068F0C5" w14:textId="77777777" w:rsidR="002C0FD9" w:rsidRPr="00CA25CF" w:rsidRDefault="002C0FD9" w:rsidP="00CA25CF">
            <w:pPr>
              <w:rPr>
                <w:rFonts w:cs="Arial"/>
                <w:color w:val="FF0000"/>
                <w:sz w:val="21"/>
                <w:szCs w:val="21"/>
              </w:rPr>
            </w:pPr>
          </w:p>
        </w:tc>
        <w:tc>
          <w:tcPr>
            <w:tcW w:w="217" w:type="dxa"/>
          </w:tcPr>
          <w:p w14:paraId="50CA4001" w14:textId="77777777" w:rsidR="002C0FD9" w:rsidRPr="00CA25CF" w:rsidRDefault="002C0FD9" w:rsidP="00CA25CF">
            <w:pPr>
              <w:rPr>
                <w:rFonts w:cs="Arial"/>
                <w:color w:val="FF0000"/>
                <w:sz w:val="21"/>
                <w:szCs w:val="21"/>
              </w:rPr>
            </w:pPr>
          </w:p>
        </w:tc>
        <w:tc>
          <w:tcPr>
            <w:tcW w:w="217" w:type="dxa"/>
          </w:tcPr>
          <w:p w14:paraId="7A064DFC" w14:textId="77777777" w:rsidR="002C0FD9" w:rsidRPr="00CA25CF" w:rsidRDefault="002C0FD9" w:rsidP="00CA25CF">
            <w:pPr>
              <w:rPr>
                <w:rFonts w:cs="Arial"/>
                <w:color w:val="FF0000"/>
                <w:sz w:val="21"/>
                <w:szCs w:val="21"/>
              </w:rPr>
            </w:pPr>
          </w:p>
        </w:tc>
        <w:tc>
          <w:tcPr>
            <w:tcW w:w="217" w:type="dxa"/>
          </w:tcPr>
          <w:p w14:paraId="5EEAC4C4" w14:textId="77777777" w:rsidR="002C0FD9" w:rsidRPr="00CA25CF" w:rsidRDefault="002C0FD9" w:rsidP="00CA25CF">
            <w:pPr>
              <w:rPr>
                <w:rFonts w:cs="Arial"/>
                <w:color w:val="FF0000"/>
                <w:sz w:val="21"/>
                <w:szCs w:val="21"/>
              </w:rPr>
            </w:pPr>
          </w:p>
        </w:tc>
        <w:tc>
          <w:tcPr>
            <w:tcW w:w="217" w:type="dxa"/>
          </w:tcPr>
          <w:p w14:paraId="6F8B7595" w14:textId="77777777" w:rsidR="002C0FD9" w:rsidRPr="00CA25CF" w:rsidRDefault="002C0FD9" w:rsidP="00CA25CF">
            <w:pPr>
              <w:rPr>
                <w:rFonts w:cs="Arial"/>
                <w:color w:val="FF0000"/>
                <w:sz w:val="21"/>
                <w:szCs w:val="21"/>
              </w:rPr>
            </w:pPr>
          </w:p>
        </w:tc>
        <w:tc>
          <w:tcPr>
            <w:tcW w:w="217" w:type="dxa"/>
          </w:tcPr>
          <w:p w14:paraId="542AC1ED" w14:textId="77777777" w:rsidR="002C0FD9" w:rsidRPr="00CA25CF" w:rsidRDefault="002C0FD9" w:rsidP="00CA25CF">
            <w:pPr>
              <w:rPr>
                <w:rFonts w:cs="Arial"/>
                <w:color w:val="FF0000"/>
                <w:sz w:val="21"/>
                <w:szCs w:val="21"/>
              </w:rPr>
            </w:pPr>
          </w:p>
        </w:tc>
        <w:tc>
          <w:tcPr>
            <w:tcW w:w="217" w:type="dxa"/>
          </w:tcPr>
          <w:p w14:paraId="075E710D" w14:textId="77777777" w:rsidR="002C0FD9" w:rsidRPr="00CA25CF" w:rsidRDefault="002C0FD9" w:rsidP="00CA25CF">
            <w:pPr>
              <w:rPr>
                <w:rFonts w:cs="Arial"/>
                <w:color w:val="FF0000"/>
                <w:sz w:val="21"/>
                <w:szCs w:val="21"/>
              </w:rPr>
            </w:pPr>
          </w:p>
        </w:tc>
        <w:tc>
          <w:tcPr>
            <w:tcW w:w="217" w:type="dxa"/>
          </w:tcPr>
          <w:p w14:paraId="4D23ABEE" w14:textId="77777777" w:rsidR="002C0FD9" w:rsidRPr="00CA25CF" w:rsidRDefault="002C0FD9" w:rsidP="00CA25CF">
            <w:pPr>
              <w:rPr>
                <w:rFonts w:cs="Arial"/>
                <w:color w:val="FF0000"/>
                <w:sz w:val="21"/>
                <w:szCs w:val="21"/>
              </w:rPr>
            </w:pPr>
          </w:p>
        </w:tc>
        <w:tc>
          <w:tcPr>
            <w:tcW w:w="217" w:type="dxa"/>
          </w:tcPr>
          <w:p w14:paraId="6C87A9BE" w14:textId="77777777" w:rsidR="002C0FD9" w:rsidRPr="00CA25CF" w:rsidRDefault="002C0FD9" w:rsidP="00CA25CF">
            <w:pPr>
              <w:rPr>
                <w:rFonts w:cs="Arial"/>
                <w:color w:val="FF0000"/>
                <w:sz w:val="21"/>
                <w:szCs w:val="21"/>
              </w:rPr>
            </w:pPr>
          </w:p>
        </w:tc>
        <w:tc>
          <w:tcPr>
            <w:tcW w:w="217" w:type="dxa"/>
          </w:tcPr>
          <w:p w14:paraId="2B87C786" w14:textId="77777777" w:rsidR="002C0FD9" w:rsidRPr="00CA25CF" w:rsidRDefault="002C0FD9" w:rsidP="00CA25CF">
            <w:pPr>
              <w:rPr>
                <w:rFonts w:cs="Arial"/>
                <w:color w:val="FF0000"/>
                <w:sz w:val="21"/>
                <w:szCs w:val="21"/>
              </w:rPr>
            </w:pPr>
          </w:p>
        </w:tc>
        <w:tc>
          <w:tcPr>
            <w:tcW w:w="217" w:type="dxa"/>
          </w:tcPr>
          <w:p w14:paraId="12FE2FEE" w14:textId="77777777" w:rsidR="002C0FD9" w:rsidRPr="00CA25CF" w:rsidRDefault="002C0FD9" w:rsidP="00CA25CF">
            <w:pPr>
              <w:rPr>
                <w:rFonts w:cs="Arial"/>
                <w:color w:val="FF0000"/>
                <w:sz w:val="21"/>
                <w:szCs w:val="21"/>
              </w:rPr>
            </w:pPr>
          </w:p>
        </w:tc>
        <w:tc>
          <w:tcPr>
            <w:tcW w:w="217" w:type="dxa"/>
          </w:tcPr>
          <w:p w14:paraId="3C81858B" w14:textId="77777777" w:rsidR="002C0FD9" w:rsidRPr="00CA25CF" w:rsidRDefault="002C0FD9" w:rsidP="00CA25CF">
            <w:pPr>
              <w:rPr>
                <w:rFonts w:cs="Arial"/>
                <w:color w:val="FF0000"/>
                <w:sz w:val="21"/>
                <w:szCs w:val="21"/>
              </w:rPr>
            </w:pPr>
          </w:p>
        </w:tc>
        <w:tc>
          <w:tcPr>
            <w:tcW w:w="217" w:type="dxa"/>
          </w:tcPr>
          <w:p w14:paraId="4FECF54B" w14:textId="77777777" w:rsidR="002C0FD9" w:rsidRPr="00CA25CF" w:rsidRDefault="002C0FD9" w:rsidP="00CA25CF">
            <w:pPr>
              <w:rPr>
                <w:rFonts w:cs="Arial"/>
                <w:color w:val="FF0000"/>
                <w:sz w:val="21"/>
                <w:szCs w:val="21"/>
              </w:rPr>
            </w:pPr>
          </w:p>
        </w:tc>
        <w:tc>
          <w:tcPr>
            <w:tcW w:w="217" w:type="dxa"/>
          </w:tcPr>
          <w:p w14:paraId="508B293E" w14:textId="77777777" w:rsidR="002C0FD9" w:rsidRPr="00CA25CF" w:rsidRDefault="002C0FD9" w:rsidP="00CA25CF">
            <w:pPr>
              <w:rPr>
                <w:rFonts w:cs="Arial"/>
                <w:color w:val="FF0000"/>
                <w:sz w:val="21"/>
                <w:szCs w:val="21"/>
              </w:rPr>
            </w:pPr>
          </w:p>
        </w:tc>
        <w:tc>
          <w:tcPr>
            <w:tcW w:w="217" w:type="dxa"/>
          </w:tcPr>
          <w:p w14:paraId="05BA180D" w14:textId="77777777" w:rsidR="002C0FD9" w:rsidRPr="00CA25CF" w:rsidRDefault="002C0FD9" w:rsidP="00CA25CF">
            <w:pPr>
              <w:rPr>
                <w:rFonts w:cs="Arial"/>
                <w:color w:val="FF0000"/>
                <w:sz w:val="21"/>
                <w:szCs w:val="21"/>
              </w:rPr>
            </w:pPr>
          </w:p>
        </w:tc>
        <w:tc>
          <w:tcPr>
            <w:tcW w:w="217" w:type="dxa"/>
          </w:tcPr>
          <w:p w14:paraId="4F396D1C" w14:textId="77777777" w:rsidR="002C0FD9" w:rsidRPr="00CA25CF" w:rsidRDefault="002C0FD9" w:rsidP="00CA25CF">
            <w:pPr>
              <w:rPr>
                <w:rFonts w:cs="Arial"/>
                <w:color w:val="FF0000"/>
                <w:sz w:val="21"/>
                <w:szCs w:val="21"/>
              </w:rPr>
            </w:pPr>
          </w:p>
        </w:tc>
        <w:tc>
          <w:tcPr>
            <w:tcW w:w="217" w:type="dxa"/>
          </w:tcPr>
          <w:p w14:paraId="691BA276" w14:textId="77777777" w:rsidR="002C0FD9" w:rsidRPr="00CA25CF" w:rsidRDefault="002C0FD9" w:rsidP="00CA25CF">
            <w:pPr>
              <w:rPr>
                <w:rFonts w:cs="Arial"/>
                <w:color w:val="FF0000"/>
                <w:sz w:val="21"/>
                <w:szCs w:val="21"/>
              </w:rPr>
            </w:pPr>
          </w:p>
        </w:tc>
        <w:tc>
          <w:tcPr>
            <w:tcW w:w="217" w:type="dxa"/>
          </w:tcPr>
          <w:p w14:paraId="64347A28" w14:textId="77777777" w:rsidR="002C0FD9" w:rsidRPr="00CA25CF" w:rsidRDefault="002C0FD9" w:rsidP="00CA25CF">
            <w:pPr>
              <w:rPr>
                <w:rFonts w:cs="Arial"/>
                <w:color w:val="FF0000"/>
                <w:sz w:val="21"/>
                <w:szCs w:val="21"/>
              </w:rPr>
            </w:pPr>
          </w:p>
        </w:tc>
        <w:tc>
          <w:tcPr>
            <w:tcW w:w="217" w:type="dxa"/>
          </w:tcPr>
          <w:p w14:paraId="4C3F42F2" w14:textId="77777777" w:rsidR="002C0FD9" w:rsidRPr="00CA25CF" w:rsidRDefault="002C0FD9" w:rsidP="00CA25CF">
            <w:pPr>
              <w:rPr>
                <w:rFonts w:cs="Arial"/>
                <w:color w:val="FF0000"/>
                <w:sz w:val="21"/>
                <w:szCs w:val="21"/>
              </w:rPr>
            </w:pPr>
          </w:p>
        </w:tc>
        <w:tc>
          <w:tcPr>
            <w:tcW w:w="217" w:type="dxa"/>
          </w:tcPr>
          <w:p w14:paraId="31F825C4" w14:textId="77777777" w:rsidR="002C0FD9" w:rsidRPr="00CA25CF" w:rsidRDefault="002C0FD9" w:rsidP="00CA25CF">
            <w:pPr>
              <w:rPr>
                <w:rFonts w:cs="Arial"/>
                <w:color w:val="FF0000"/>
                <w:sz w:val="21"/>
                <w:szCs w:val="21"/>
              </w:rPr>
            </w:pPr>
          </w:p>
        </w:tc>
        <w:tc>
          <w:tcPr>
            <w:tcW w:w="217" w:type="dxa"/>
          </w:tcPr>
          <w:p w14:paraId="17CDA09B" w14:textId="77777777" w:rsidR="002C0FD9" w:rsidRPr="00CA25CF" w:rsidRDefault="002C0FD9" w:rsidP="00CA25CF">
            <w:pPr>
              <w:rPr>
                <w:rFonts w:cs="Arial"/>
                <w:color w:val="FF0000"/>
                <w:sz w:val="21"/>
                <w:szCs w:val="21"/>
              </w:rPr>
            </w:pPr>
          </w:p>
        </w:tc>
        <w:tc>
          <w:tcPr>
            <w:tcW w:w="217" w:type="dxa"/>
          </w:tcPr>
          <w:p w14:paraId="469709F7" w14:textId="77777777" w:rsidR="002C0FD9" w:rsidRPr="00CA25CF" w:rsidRDefault="002C0FD9" w:rsidP="00CA25CF">
            <w:pPr>
              <w:rPr>
                <w:rFonts w:cs="Arial"/>
                <w:color w:val="FF0000"/>
                <w:sz w:val="21"/>
                <w:szCs w:val="21"/>
              </w:rPr>
            </w:pPr>
          </w:p>
        </w:tc>
      </w:tr>
      <w:tr w:rsidR="002C0FD9" w:rsidRPr="00A16219" w14:paraId="36C6F112" w14:textId="5A5C8E2F" w:rsidTr="002C0FD9">
        <w:trPr>
          <w:trHeight w:val="635"/>
        </w:trPr>
        <w:tc>
          <w:tcPr>
            <w:tcW w:w="515" w:type="dxa"/>
          </w:tcPr>
          <w:p w14:paraId="718DDF2A" w14:textId="77777777" w:rsidR="002C0FD9" w:rsidRPr="00CA25CF" w:rsidRDefault="002C0FD9" w:rsidP="00CA25CF">
            <w:pPr>
              <w:rPr>
                <w:rFonts w:cs="Arial"/>
                <w:color w:val="FF0000"/>
                <w:sz w:val="21"/>
                <w:szCs w:val="21"/>
              </w:rPr>
            </w:pPr>
          </w:p>
        </w:tc>
        <w:tc>
          <w:tcPr>
            <w:tcW w:w="217" w:type="dxa"/>
          </w:tcPr>
          <w:p w14:paraId="24B5F015" w14:textId="77777777" w:rsidR="002C0FD9" w:rsidRPr="00CA25CF" w:rsidRDefault="002C0FD9" w:rsidP="00CA25CF">
            <w:pPr>
              <w:rPr>
                <w:rFonts w:cs="Arial"/>
                <w:color w:val="FF0000"/>
                <w:sz w:val="21"/>
                <w:szCs w:val="21"/>
              </w:rPr>
            </w:pPr>
          </w:p>
        </w:tc>
        <w:tc>
          <w:tcPr>
            <w:tcW w:w="217" w:type="dxa"/>
          </w:tcPr>
          <w:p w14:paraId="6AB73475" w14:textId="4B58B21D" w:rsidR="002C0FD9" w:rsidRPr="00CA25CF" w:rsidRDefault="002C0FD9" w:rsidP="00CA25CF">
            <w:pPr>
              <w:rPr>
                <w:rFonts w:cs="Arial"/>
                <w:color w:val="FF0000"/>
                <w:sz w:val="21"/>
                <w:szCs w:val="21"/>
              </w:rPr>
            </w:pPr>
          </w:p>
        </w:tc>
        <w:tc>
          <w:tcPr>
            <w:tcW w:w="217" w:type="dxa"/>
          </w:tcPr>
          <w:p w14:paraId="1164636B" w14:textId="77777777" w:rsidR="002C0FD9" w:rsidRPr="00CA25CF" w:rsidRDefault="002C0FD9" w:rsidP="00CA25CF">
            <w:pPr>
              <w:rPr>
                <w:rFonts w:cs="Arial"/>
                <w:color w:val="FF0000"/>
                <w:sz w:val="21"/>
                <w:szCs w:val="21"/>
              </w:rPr>
            </w:pPr>
          </w:p>
        </w:tc>
        <w:tc>
          <w:tcPr>
            <w:tcW w:w="217" w:type="dxa"/>
          </w:tcPr>
          <w:p w14:paraId="5346BD76" w14:textId="77777777" w:rsidR="002C0FD9" w:rsidRPr="00CA25CF" w:rsidRDefault="002C0FD9" w:rsidP="00CA25CF">
            <w:pPr>
              <w:rPr>
                <w:rFonts w:cs="Arial"/>
                <w:color w:val="FF0000"/>
                <w:sz w:val="21"/>
                <w:szCs w:val="21"/>
              </w:rPr>
            </w:pPr>
          </w:p>
        </w:tc>
        <w:tc>
          <w:tcPr>
            <w:tcW w:w="217" w:type="dxa"/>
          </w:tcPr>
          <w:p w14:paraId="5BDF3D8B" w14:textId="77777777" w:rsidR="002C0FD9" w:rsidRPr="00CA25CF" w:rsidRDefault="002C0FD9" w:rsidP="00CA25CF">
            <w:pPr>
              <w:rPr>
                <w:rFonts w:cs="Arial"/>
                <w:color w:val="FF0000"/>
                <w:sz w:val="21"/>
                <w:szCs w:val="21"/>
              </w:rPr>
            </w:pPr>
          </w:p>
        </w:tc>
        <w:tc>
          <w:tcPr>
            <w:tcW w:w="217" w:type="dxa"/>
          </w:tcPr>
          <w:p w14:paraId="1E48E9FF" w14:textId="77777777" w:rsidR="002C0FD9" w:rsidRPr="00CA25CF" w:rsidRDefault="002C0FD9" w:rsidP="00CA25CF">
            <w:pPr>
              <w:rPr>
                <w:rFonts w:cs="Arial"/>
                <w:color w:val="FF0000"/>
                <w:sz w:val="21"/>
                <w:szCs w:val="21"/>
              </w:rPr>
            </w:pPr>
          </w:p>
        </w:tc>
        <w:tc>
          <w:tcPr>
            <w:tcW w:w="217" w:type="dxa"/>
          </w:tcPr>
          <w:p w14:paraId="6E458FB6" w14:textId="77777777" w:rsidR="002C0FD9" w:rsidRPr="00CA25CF" w:rsidRDefault="002C0FD9" w:rsidP="00CA25CF">
            <w:pPr>
              <w:rPr>
                <w:rFonts w:cs="Arial"/>
                <w:color w:val="FF0000"/>
                <w:sz w:val="21"/>
                <w:szCs w:val="21"/>
              </w:rPr>
            </w:pPr>
          </w:p>
        </w:tc>
        <w:tc>
          <w:tcPr>
            <w:tcW w:w="217" w:type="dxa"/>
          </w:tcPr>
          <w:p w14:paraId="7DA71C2B" w14:textId="77777777" w:rsidR="002C0FD9" w:rsidRPr="00CA25CF" w:rsidRDefault="002C0FD9" w:rsidP="00CA25CF">
            <w:pPr>
              <w:rPr>
                <w:rFonts w:cs="Arial"/>
                <w:color w:val="FF0000"/>
                <w:sz w:val="21"/>
                <w:szCs w:val="21"/>
              </w:rPr>
            </w:pPr>
          </w:p>
        </w:tc>
        <w:tc>
          <w:tcPr>
            <w:tcW w:w="217" w:type="dxa"/>
          </w:tcPr>
          <w:p w14:paraId="0EF0A2C6" w14:textId="77777777" w:rsidR="002C0FD9" w:rsidRPr="00CA25CF" w:rsidRDefault="002C0FD9" w:rsidP="00CA25CF">
            <w:pPr>
              <w:rPr>
                <w:rFonts w:cs="Arial"/>
                <w:color w:val="FF0000"/>
                <w:sz w:val="21"/>
                <w:szCs w:val="21"/>
              </w:rPr>
            </w:pPr>
          </w:p>
        </w:tc>
        <w:tc>
          <w:tcPr>
            <w:tcW w:w="217" w:type="dxa"/>
          </w:tcPr>
          <w:p w14:paraId="40A130DD" w14:textId="77777777" w:rsidR="002C0FD9" w:rsidRPr="00CA25CF" w:rsidRDefault="002C0FD9" w:rsidP="00CA25CF">
            <w:pPr>
              <w:rPr>
                <w:rFonts w:cs="Arial"/>
                <w:color w:val="FF0000"/>
                <w:sz w:val="21"/>
                <w:szCs w:val="21"/>
              </w:rPr>
            </w:pPr>
          </w:p>
        </w:tc>
        <w:tc>
          <w:tcPr>
            <w:tcW w:w="217" w:type="dxa"/>
          </w:tcPr>
          <w:p w14:paraId="02DC6B33" w14:textId="77777777" w:rsidR="002C0FD9" w:rsidRPr="00CA25CF" w:rsidRDefault="002C0FD9" w:rsidP="00CA25CF">
            <w:pPr>
              <w:rPr>
                <w:rFonts w:cs="Arial"/>
                <w:color w:val="FF0000"/>
                <w:sz w:val="21"/>
                <w:szCs w:val="21"/>
              </w:rPr>
            </w:pPr>
          </w:p>
        </w:tc>
        <w:tc>
          <w:tcPr>
            <w:tcW w:w="217" w:type="dxa"/>
          </w:tcPr>
          <w:p w14:paraId="5D093FFE" w14:textId="77777777" w:rsidR="002C0FD9" w:rsidRPr="00CA25CF" w:rsidRDefault="002C0FD9" w:rsidP="00CA25CF">
            <w:pPr>
              <w:rPr>
                <w:rFonts w:cs="Arial"/>
                <w:color w:val="FF0000"/>
                <w:sz w:val="21"/>
                <w:szCs w:val="21"/>
              </w:rPr>
            </w:pPr>
          </w:p>
        </w:tc>
        <w:tc>
          <w:tcPr>
            <w:tcW w:w="217" w:type="dxa"/>
          </w:tcPr>
          <w:p w14:paraId="46E8E385" w14:textId="77777777" w:rsidR="002C0FD9" w:rsidRPr="00CA25CF" w:rsidRDefault="002C0FD9" w:rsidP="00CA25CF">
            <w:pPr>
              <w:rPr>
                <w:rFonts w:cs="Arial"/>
                <w:color w:val="FF0000"/>
                <w:sz w:val="21"/>
                <w:szCs w:val="21"/>
              </w:rPr>
            </w:pPr>
          </w:p>
        </w:tc>
        <w:tc>
          <w:tcPr>
            <w:tcW w:w="217" w:type="dxa"/>
          </w:tcPr>
          <w:p w14:paraId="6F6D338A" w14:textId="77777777" w:rsidR="002C0FD9" w:rsidRPr="00CA25CF" w:rsidRDefault="002C0FD9" w:rsidP="00CA25CF">
            <w:pPr>
              <w:rPr>
                <w:rFonts w:cs="Arial"/>
                <w:color w:val="FF0000"/>
                <w:sz w:val="21"/>
                <w:szCs w:val="21"/>
              </w:rPr>
            </w:pPr>
          </w:p>
        </w:tc>
        <w:tc>
          <w:tcPr>
            <w:tcW w:w="217" w:type="dxa"/>
          </w:tcPr>
          <w:p w14:paraId="4B5F2740" w14:textId="77777777" w:rsidR="002C0FD9" w:rsidRPr="00CA25CF" w:rsidRDefault="002C0FD9" w:rsidP="00CA25CF">
            <w:pPr>
              <w:rPr>
                <w:rFonts w:cs="Arial"/>
                <w:color w:val="FF0000"/>
                <w:sz w:val="21"/>
                <w:szCs w:val="21"/>
              </w:rPr>
            </w:pPr>
          </w:p>
        </w:tc>
        <w:tc>
          <w:tcPr>
            <w:tcW w:w="217" w:type="dxa"/>
          </w:tcPr>
          <w:p w14:paraId="1C718E4E" w14:textId="77777777" w:rsidR="002C0FD9" w:rsidRPr="00CA25CF" w:rsidRDefault="002C0FD9" w:rsidP="00CA25CF">
            <w:pPr>
              <w:rPr>
                <w:rFonts w:cs="Arial"/>
                <w:color w:val="FF0000"/>
                <w:sz w:val="21"/>
                <w:szCs w:val="21"/>
              </w:rPr>
            </w:pPr>
          </w:p>
        </w:tc>
        <w:tc>
          <w:tcPr>
            <w:tcW w:w="217" w:type="dxa"/>
          </w:tcPr>
          <w:p w14:paraId="4B6D07D3" w14:textId="77777777" w:rsidR="002C0FD9" w:rsidRPr="00CA25CF" w:rsidRDefault="002C0FD9" w:rsidP="00CA25CF">
            <w:pPr>
              <w:rPr>
                <w:rFonts w:cs="Arial"/>
                <w:color w:val="FF0000"/>
                <w:sz w:val="21"/>
                <w:szCs w:val="21"/>
              </w:rPr>
            </w:pPr>
          </w:p>
        </w:tc>
        <w:tc>
          <w:tcPr>
            <w:tcW w:w="217" w:type="dxa"/>
          </w:tcPr>
          <w:p w14:paraId="30D1FA0D" w14:textId="77777777" w:rsidR="002C0FD9" w:rsidRPr="00CA25CF" w:rsidRDefault="002C0FD9" w:rsidP="00CA25CF">
            <w:pPr>
              <w:rPr>
                <w:rFonts w:cs="Arial"/>
                <w:color w:val="FF0000"/>
                <w:sz w:val="21"/>
                <w:szCs w:val="21"/>
              </w:rPr>
            </w:pPr>
          </w:p>
        </w:tc>
        <w:tc>
          <w:tcPr>
            <w:tcW w:w="217" w:type="dxa"/>
          </w:tcPr>
          <w:p w14:paraId="02729ABF" w14:textId="77777777" w:rsidR="002C0FD9" w:rsidRPr="00CA25CF" w:rsidRDefault="002C0FD9" w:rsidP="00CA25CF">
            <w:pPr>
              <w:rPr>
                <w:rFonts w:cs="Arial"/>
                <w:color w:val="FF0000"/>
                <w:sz w:val="21"/>
                <w:szCs w:val="21"/>
              </w:rPr>
            </w:pPr>
          </w:p>
        </w:tc>
        <w:tc>
          <w:tcPr>
            <w:tcW w:w="217" w:type="dxa"/>
          </w:tcPr>
          <w:p w14:paraId="01A73296" w14:textId="77777777" w:rsidR="002C0FD9" w:rsidRPr="00CA25CF" w:rsidRDefault="002C0FD9" w:rsidP="00CA25CF">
            <w:pPr>
              <w:rPr>
                <w:rFonts w:cs="Arial"/>
                <w:color w:val="FF0000"/>
                <w:sz w:val="21"/>
                <w:szCs w:val="21"/>
              </w:rPr>
            </w:pPr>
          </w:p>
        </w:tc>
        <w:tc>
          <w:tcPr>
            <w:tcW w:w="217" w:type="dxa"/>
          </w:tcPr>
          <w:p w14:paraId="064C4385" w14:textId="77777777" w:rsidR="002C0FD9" w:rsidRPr="00CA25CF" w:rsidRDefault="002C0FD9" w:rsidP="00CA25CF">
            <w:pPr>
              <w:rPr>
                <w:rFonts w:cs="Arial"/>
                <w:color w:val="FF0000"/>
                <w:sz w:val="21"/>
                <w:szCs w:val="21"/>
              </w:rPr>
            </w:pPr>
          </w:p>
        </w:tc>
        <w:tc>
          <w:tcPr>
            <w:tcW w:w="217" w:type="dxa"/>
          </w:tcPr>
          <w:p w14:paraId="2BC786FA" w14:textId="77777777" w:rsidR="002C0FD9" w:rsidRPr="00CA25CF" w:rsidRDefault="002C0FD9" w:rsidP="00CA25CF">
            <w:pPr>
              <w:rPr>
                <w:rFonts w:cs="Arial"/>
                <w:color w:val="FF0000"/>
                <w:sz w:val="21"/>
                <w:szCs w:val="21"/>
              </w:rPr>
            </w:pPr>
          </w:p>
        </w:tc>
        <w:tc>
          <w:tcPr>
            <w:tcW w:w="217" w:type="dxa"/>
          </w:tcPr>
          <w:p w14:paraId="2091FFDC" w14:textId="77777777" w:rsidR="002C0FD9" w:rsidRPr="00CA25CF" w:rsidRDefault="002C0FD9" w:rsidP="00CA25CF">
            <w:pPr>
              <w:rPr>
                <w:rFonts w:cs="Arial"/>
                <w:color w:val="FF0000"/>
                <w:sz w:val="21"/>
                <w:szCs w:val="21"/>
              </w:rPr>
            </w:pPr>
          </w:p>
        </w:tc>
        <w:tc>
          <w:tcPr>
            <w:tcW w:w="217" w:type="dxa"/>
          </w:tcPr>
          <w:p w14:paraId="1C116900" w14:textId="77777777" w:rsidR="002C0FD9" w:rsidRPr="00CA25CF" w:rsidRDefault="002C0FD9" w:rsidP="00CA25CF">
            <w:pPr>
              <w:rPr>
                <w:rFonts w:cs="Arial"/>
                <w:color w:val="FF0000"/>
                <w:sz w:val="21"/>
                <w:szCs w:val="21"/>
              </w:rPr>
            </w:pPr>
          </w:p>
        </w:tc>
        <w:tc>
          <w:tcPr>
            <w:tcW w:w="217" w:type="dxa"/>
          </w:tcPr>
          <w:p w14:paraId="62F5E2D0" w14:textId="77777777" w:rsidR="002C0FD9" w:rsidRPr="00CA25CF" w:rsidRDefault="002C0FD9" w:rsidP="00CA25CF">
            <w:pPr>
              <w:rPr>
                <w:rFonts w:cs="Arial"/>
                <w:color w:val="FF0000"/>
                <w:sz w:val="21"/>
                <w:szCs w:val="21"/>
              </w:rPr>
            </w:pPr>
          </w:p>
        </w:tc>
        <w:tc>
          <w:tcPr>
            <w:tcW w:w="217" w:type="dxa"/>
          </w:tcPr>
          <w:p w14:paraId="0E0B4026" w14:textId="77777777" w:rsidR="002C0FD9" w:rsidRPr="00CA25CF" w:rsidRDefault="002C0FD9" w:rsidP="00CA25CF">
            <w:pPr>
              <w:rPr>
                <w:rFonts w:cs="Arial"/>
                <w:color w:val="FF0000"/>
                <w:sz w:val="21"/>
                <w:szCs w:val="21"/>
              </w:rPr>
            </w:pPr>
          </w:p>
        </w:tc>
        <w:tc>
          <w:tcPr>
            <w:tcW w:w="217" w:type="dxa"/>
          </w:tcPr>
          <w:p w14:paraId="60A8AB93" w14:textId="77777777" w:rsidR="002C0FD9" w:rsidRPr="00CA25CF" w:rsidRDefault="002C0FD9" w:rsidP="00CA25CF">
            <w:pPr>
              <w:rPr>
                <w:rFonts w:cs="Arial"/>
                <w:color w:val="FF0000"/>
                <w:sz w:val="21"/>
                <w:szCs w:val="21"/>
              </w:rPr>
            </w:pPr>
          </w:p>
        </w:tc>
        <w:tc>
          <w:tcPr>
            <w:tcW w:w="217" w:type="dxa"/>
          </w:tcPr>
          <w:p w14:paraId="41CB01F7" w14:textId="77777777" w:rsidR="002C0FD9" w:rsidRPr="00CA25CF" w:rsidRDefault="002C0FD9" w:rsidP="00CA25CF">
            <w:pPr>
              <w:rPr>
                <w:rFonts w:cs="Arial"/>
                <w:color w:val="FF0000"/>
                <w:sz w:val="21"/>
                <w:szCs w:val="21"/>
              </w:rPr>
            </w:pPr>
          </w:p>
        </w:tc>
        <w:tc>
          <w:tcPr>
            <w:tcW w:w="217" w:type="dxa"/>
          </w:tcPr>
          <w:p w14:paraId="24173939" w14:textId="77777777" w:rsidR="002C0FD9" w:rsidRPr="00CA25CF" w:rsidRDefault="002C0FD9" w:rsidP="00CA25CF">
            <w:pPr>
              <w:rPr>
                <w:rFonts w:cs="Arial"/>
                <w:color w:val="FF0000"/>
                <w:sz w:val="21"/>
                <w:szCs w:val="21"/>
              </w:rPr>
            </w:pPr>
          </w:p>
        </w:tc>
        <w:tc>
          <w:tcPr>
            <w:tcW w:w="217" w:type="dxa"/>
          </w:tcPr>
          <w:p w14:paraId="29FB070A" w14:textId="77777777" w:rsidR="002C0FD9" w:rsidRPr="00CA25CF" w:rsidRDefault="002C0FD9" w:rsidP="00CA25CF">
            <w:pPr>
              <w:rPr>
                <w:rFonts w:cs="Arial"/>
                <w:color w:val="FF0000"/>
                <w:sz w:val="21"/>
                <w:szCs w:val="21"/>
              </w:rPr>
            </w:pPr>
          </w:p>
        </w:tc>
        <w:tc>
          <w:tcPr>
            <w:tcW w:w="217" w:type="dxa"/>
          </w:tcPr>
          <w:p w14:paraId="1E49E17A" w14:textId="77777777" w:rsidR="002C0FD9" w:rsidRPr="00CA25CF" w:rsidRDefault="002C0FD9" w:rsidP="00CA25CF">
            <w:pPr>
              <w:rPr>
                <w:rFonts w:cs="Arial"/>
                <w:color w:val="FF0000"/>
                <w:sz w:val="21"/>
                <w:szCs w:val="21"/>
              </w:rPr>
            </w:pPr>
          </w:p>
        </w:tc>
        <w:tc>
          <w:tcPr>
            <w:tcW w:w="217" w:type="dxa"/>
          </w:tcPr>
          <w:p w14:paraId="135BCCCE" w14:textId="77777777" w:rsidR="002C0FD9" w:rsidRPr="00CA25CF" w:rsidRDefault="002C0FD9" w:rsidP="00CA25CF">
            <w:pPr>
              <w:rPr>
                <w:rFonts w:cs="Arial"/>
                <w:color w:val="FF0000"/>
                <w:sz w:val="21"/>
                <w:szCs w:val="21"/>
              </w:rPr>
            </w:pPr>
          </w:p>
        </w:tc>
        <w:tc>
          <w:tcPr>
            <w:tcW w:w="217" w:type="dxa"/>
          </w:tcPr>
          <w:p w14:paraId="43CCB940" w14:textId="77777777" w:rsidR="002C0FD9" w:rsidRPr="00CA25CF" w:rsidRDefault="002C0FD9" w:rsidP="00CA25CF">
            <w:pPr>
              <w:rPr>
                <w:rFonts w:cs="Arial"/>
                <w:color w:val="FF0000"/>
                <w:sz w:val="21"/>
                <w:szCs w:val="21"/>
              </w:rPr>
            </w:pPr>
          </w:p>
        </w:tc>
        <w:tc>
          <w:tcPr>
            <w:tcW w:w="217" w:type="dxa"/>
          </w:tcPr>
          <w:p w14:paraId="1FEBB1DB" w14:textId="77777777" w:rsidR="002C0FD9" w:rsidRPr="00CA25CF" w:rsidRDefault="002C0FD9" w:rsidP="00CA25CF">
            <w:pPr>
              <w:rPr>
                <w:rFonts w:cs="Arial"/>
                <w:color w:val="FF0000"/>
                <w:sz w:val="21"/>
                <w:szCs w:val="21"/>
              </w:rPr>
            </w:pPr>
          </w:p>
        </w:tc>
        <w:tc>
          <w:tcPr>
            <w:tcW w:w="217" w:type="dxa"/>
          </w:tcPr>
          <w:p w14:paraId="3012DDB9" w14:textId="77777777" w:rsidR="002C0FD9" w:rsidRPr="00CA25CF" w:rsidRDefault="002C0FD9" w:rsidP="00CA25CF">
            <w:pPr>
              <w:rPr>
                <w:rFonts w:cs="Arial"/>
                <w:color w:val="FF0000"/>
                <w:sz w:val="21"/>
                <w:szCs w:val="21"/>
              </w:rPr>
            </w:pPr>
          </w:p>
        </w:tc>
        <w:tc>
          <w:tcPr>
            <w:tcW w:w="217" w:type="dxa"/>
          </w:tcPr>
          <w:p w14:paraId="5ED0E0C4" w14:textId="77777777" w:rsidR="002C0FD9" w:rsidRPr="00CA25CF" w:rsidRDefault="002C0FD9" w:rsidP="00CA25CF">
            <w:pPr>
              <w:rPr>
                <w:rFonts w:cs="Arial"/>
                <w:color w:val="FF0000"/>
                <w:sz w:val="21"/>
                <w:szCs w:val="21"/>
              </w:rPr>
            </w:pPr>
          </w:p>
        </w:tc>
        <w:tc>
          <w:tcPr>
            <w:tcW w:w="217" w:type="dxa"/>
          </w:tcPr>
          <w:p w14:paraId="0E4BA1E3" w14:textId="77777777" w:rsidR="002C0FD9" w:rsidRPr="00CA25CF" w:rsidRDefault="002C0FD9" w:rsidP="00CA25CF">
            <w:pPr>
              <w:rPr>
                <w:rFonts w:cs="Arial"/>
                <w:color w:val="FF0000"/>
                <w:sz w:val="21"/>
                <w:szCs w:val="21"/>
              </w:rPr>
            </w:pPr>
          </w:p>
        </w:tc>
        <w:tc>
          <w:tcPr>
            <w:tcW w:w="217" w:type="dxa"/>
          </w:tcPr>
          <w:p w14:paraId="068E3D69" w14:textId="77777777" w:rsidR="002C0FD9" w:rsidRPr="00CA25CF" w:rsidRDefault="002C0FD9" w:rsidP="00CA25CF">
            <w:pPr>
              <w:rPr>
                <w:rFonts w:cs="Arial"/>
                <w:color w:val="FF0000"/>
                <w:sz w:val="21"/>
                <w:szCs w:val="21"/>
              </w:rPr>
            </w:pPr>
          </w:p>
        </w:tc>
        <w:tc>
          <w:tcPr>
            <w:tcW w:w="217" w:type="dxa"/>
          </w:tcPr>
          <w:p w14:paraId="19D6A49D" w14:textId="77777777" w:rsidR="002C0FD9" w:rsidRPr="00CA25CF" w:rsidRDefault="002C0FD9" w:rsidP="00CA25CF">
            <w:pPr>
              <w:rPr>
                <w:rFonts w:cs="Arial"/>
                <w:color w:val="FF0000"/>
                <w:sz w:val="21"/>
                <w:szCs w:val="21"/>
              </w:rPr>
            </w:pPr>
          </w:p>
        </w:tc>
        <w:tc>
          <w:tcPr>
            <w:tcW w:w="217" w:type="dxa"/>
          </w:tcPr>
          <w:p w14:paraId="5A75C8BD" w14:textId="77777777" w:rsidR="002C0FD9" w:rsidRPr="00CA25CF" w:rsidRDefault="002C0FD9" w:rsidP="00CA25CF">
            <w:pPr>
              <w:rPr>
                <w:rFonts w:cs="Arial"/>
                <w:color w:val="FF0000"/>
                <w:sz w:val="21"/>
                <w:szCs w:val="21"/>
              </w:rPr>
            </w:pPr>
          </w:p>
        </w:tc>
        <w:tc>
          <w:tcPr>
            <w:tcW w:w="217" w:type="dxa"/>
          </w:tcPr>
          <w:p w14:paraId="73A2F338" w14:textId="77777777" w:rsidR="002C0FD9" w:rsidRPr="00CA25CF" w:rsidRDefault="002C0FD9" w:rsidP="00CA25CF">
            <w:pPr>
              <w:rPr>
                <w:rFonts w:cs="Arial"/>
                <w:color w:val="FF0000"/>
                <w:sz w:val="21"/>
                <w:szCs w:val="21"/>
              </w:rPr>
            </w:pPr>
          </w:p>
        </w:tc>
        <w:tc>
          <w:tcPr>
            <w:tcW w:w="217" w:type="dxa"/>
          </w:tcPr>
          <w:p w14:paraId="4D598F26" w14:textId="77777777" w:rsidR="002C0FD9" w:rsidRPr="00CA25CF" w:rsidRDefault="002C0FD9" w:rsidP="00CA25CF">
            <w:pPr>
              <w:rPr>
                <w:rFonts w:cs="Arial"/>
                <w:color w:val="FF0000"/>
                <w:sz w:val="21"/>
                <w:szCs w:val="21"/>
              </w:rPr>
            </w:pPr>
          </w:p>
        </w:tc>
      </w:tr>
      <w:tr w:rsidR="002C0FD9" w:rsidRPr="00A16219" w14:paraId="77071ECA" w14:textId="795C387C" w:rsidTr="002C0FD9">
        <w:trPr>
          <w:trHeight w:val="635"/>
        </w:trPr>
        <w:tc>
          <w:tcPr>
            <w:tcW w:w="515" w:type="dxa"/>
          </w:tcPr>
          <w:p w14:paraId="091B0941" w14:textId="77777777" w:rsidR="002C0FD9" w:rsidRPr="00CA25CF" w:rsidRDefault="002C0FD9" w:rsidP="00CA25CF">
            <w:pPr>
              <w:rPr>
                <w:rFonts w:cs="Arial"/>
                <w:color w:val="FF0000"/>
                <w:sz w:val="21"/>
                <w:szCs w:val="21"/>
              </w:rPr>
            </w:pPr>
          </w:p>
        </w:tc>
        <w:tc>
          <w:tcPr>
            <w:tcW w:w="217" w:type="dxa"/>
          </w:tcPr>
          <w:p w14:paraId="4FB51B1F" w14:textId="77777777" w:rsidR="002C0FD9" w:rsidRPr="00CA25CF" w:rsidRDefault="002C0FD9" w:rsidP="00CA25CF">
            <w:pPr>
              <w:rPr>
                <w:rFonts w:cs="Arial"/>
                <w:color w:val="FF0000"/>
                <w:sz w:val="21"/>
                <w:szCs w:val="21"/>
              </w:rPr>
            </w:pPr>
          </w:p>
        </w:tc>
        <w:tc>
          <w:tcPr>
            <w:tcW w:w="217" w:type="dxa"/>
          </w:tcPr>
          <w:p w14:paraId="6D3EB3C4" w14:textId="286BEECE" w:rsidR="002C0FD9" w:rsidRPr="00CA25CF" w:rsidRDefault="002C0FD9" w:rsidP="00CA25CF">
            <w:pPr>
              <w:rPr>
                <w:rFonts w:cs="Arial"/>
                <w:color w:val="FF0000"/>
                <w:sz w:val="21"/>
                <w:szCs w:val="21"/>
              </w:rPr>
            </w:pPr>
          </w:p>
        </w:tc>
        <w:tc>
          <w:tcPr>
            <w:tcW w:w="217" w:type="dxa"/>
          </w:tcPr>
          <w:p w14:paraId="1983460A" w14:textId="77777777" w:rsidR="002C0FD9" w:rsidRPr="00CA25CF" w:rsidRDefault="002C0FD9" w:rsidP="00CA25CF">
            <w:pPr>
              <w:rPr>
                <w:rFonts w:cs="Arial"/>
                <w:color w:val="FF0000"/>
                <w:sz w:val="21"/>
                <w:szCs w:val="21"/>
              </w:rPr>
            </w:pPr>
          </w:p>
        </w:tc>
        <w:tc>
          <w:tcPr>
            <w:tcW w:w="217" w:type="dxa"/>
          </w:tcPr>
          <w:p w14:paraId="5C22AD65" w14:textId="77777777" w:rsidR="002C0FD9" w:rsidRPr="00CA25CF" w:rsidRDefault="002C0FD9" w:rsidP="00CA25CF">
            <w:pPr>
              <w:rPr>
                <w:rFonts w:cs="Arial"/>
                <w:color w:val="FF0000"/>
                <w:sz w:val="21"/>
                <w:szCs w:val="21"/>
              </w:rPr>
            </w:pPr>
          </w:p>
        </w:tc>
        <w:tc>
          <w:tcPr>
            <w:tcW w:w="217" w:type="dxa"/>
          </w:tcPr>
          <w:p w14:paraId="3962EBA3" w14:textId="77777777" w:rsidR="002C0FD9" w:rsidRPr="00CA25CF" w:rsidRDefault="002C0FD9" w:rsidP="00CA25CF">
            <w:pPr>
              <w:rPr>
                <w:rFonts w:cs="Arial"/>
                <w:color w:val="FF0000"/>
                <w:sz w:val="21"/>
                <w:szCs w:val="21"/>
              </w:rPr>
            </w:pPr>
          </w:p>
        </w:tc>
        <w:tc>
          <w:tcPr>
            <w:tcW w:w="217" w:type="dxa"/>
          </w:tcPr>
          <w:p w14:paraId="22F68DEE" w14:textId="77777777" w:rsidR="002C0FD9" w:rsidRPr="00CA25CF" w:rsidRDefault="002C0FD9" w:rsidP="00CA25CF">
            <w:pPr>
              <w:rPr>
                <w:rFonts w:cs="Arial"/>
                <w:color w:val="FF0000"/>
                <w:sz w:val="21"/>
                <w:szCs w:val="21"/>
              </w:rPr>
            </w:pPr>
          </w:p>
        </w:tc>
        <w:tc>
          <w:tcPr>
            <w:tcW w:w="217" w:type="dxa"/>
          </w:tcPr>
          <w:p w14:paraId="67AFA266" w14:textId="77777777" w:rsidR="002C0FD9" w:rsidRPr="00CA25CF" w:rsidRDefault="002C0FD9" w:rsidP="00CA25CF">
            <w:pPr>
              <w:rPr>
                <w:rFonts w:cs="Arial"/>
                <w:color w:val="FF0000"/>
                <w:sz w:val="21"/>
                <w:szCs w:val="21"/>
              </w:rPr>
            </w:pPr>
          </w:p>
        </w:tc>
        <w:tc>
          <w:tcPr>
            <w:tcW w:w="217" w:type="dxa"/>
          </w:tcPr>
          <w:p w14:paraId="57F61312" w14:textId="77777777" w:rsidR="002C0FD9" w:rsidRPr="00CA25CF" w:rsidRDefault="002C0FD9" w:rsidP="00CA25CF">
            <w:pPr>
              <w:rPr>
                <w:rFonts w:cs="Arial"/>
                <w:color w:val="FF0000"/>
                <w:sz w:val="21"/>
                <w:szCs w:val="21"/>
              </w:rPr>
            </w:pPr>
          </w:p>
        </w:tc>
        <w:tc>
          <w:tcPr>
            <w:tcW w:w="217" w:type="dxa"/>
          </w:tcPr>
          <w:p w14:paraId="16468896" w14:textId="77777777" w:rsidR="002C0FD9" w:rsidRPr="00CA25CF" w:rsidRDefault="002C0FD9" w:rsidP="00CA25CF">
            <w:pPr>
              <w:rPr>
                <w:rFonts w:cs="Arial"/>
                <w:color w:val="FF0000"/>
                <w:sz w:val="21"/>
                <w:szCs w:val="21"/>
              </w:rPr>
            </w:pPr>
          </w:p>
        </w:tc>
        <w:tc>
          <w:tcPr>
            <w:tcW w:w="217" w:type="dxa"/>
          </w:tcPr>
          <w:p w14:paraId="2AF29D50" w14:textId="77777777" w:rsidR="002C0FD9" w:rsidRPr="00CA25CF" w:rsidRDefault="002C0FD9" w:rsidP="00CA25CF">
            <w:pPr>
              <w:rPr>
                <w:rFonts w:cs="Arial"/>
                <w:color w:val="FF0000"/>
                <w:sz w:val="21"/>
                <w:szCs w:val="21"/>
              </w:rPr>
            </w:pPr>
          </w:p>
        </w:tc>
        <w:tc>
          <w:tcPr>
            <w:tcW w:w="217" w:type="dxa"/>
          </w:tcPr>
          <w:p w14:paraId="3889D018" w14:textId="77777777" w:rsidR="002C0FD9" w:rsidRPr="00CA25CF" w:rsidRDefault="002C0FD9" w:rsidP="00CA25CF">
            <w:pPr>
              <w:rPr>
                <w:rFonts w:cs="Arial"/>
                <w:color w:val="FF0000"/>
                <w:sz w:val="21"/>
                <w:szCs w:val="21"/>
              </w:rPr>
            </w:pPr>
          </w:p>
        </w:tc>
        <w:tc>
          <w:tcPr>
            <w:tcW w:w="217" w:type="dxa"/>
          </w:tcPr>
          <w:p w14:paraId="1A00EDE1" w14:textId="77777777" w:rsidR="002C0FD9" w:rsidRPr="00CA25CF" w:rsidRDefault="002C0FD9" w:rsidP="00CA25CF">
            <w:pPr>
              <w:rPr>
                <w:rFonts w:cs="Arial"/>
                <w:color w:val="FF0000"/>
                <w:sz w:val="21"/>
                <w:szCs w:val="21"/>
              </w:rPr>
            </w:pPr>
          </w:p>
        </w:tc>
        <w:tc>
          <w:tcPr>
            <w:tcW w:w="217" w:type="dxa"/>
          </w:tcPr>
          <w:p w14:paraId="30B29D51" w14:textId="77777777" w:rsidR="002C0FD9" w:rsidRPr="00CA25CF" w:rsidRDefault="002C0FD9" w:rsidP="00CA25CF">
            <w:pPr>
              <w:rPr>
                <w:rFonts w:cs="Arial"/>
                <w:color w:val="FF0000"/>
                <w:sz w:val="21"/>
                <w:szCs w:val="21"/>
              </w:rPr>
            </w:pPr>
          </w:p>
        </w:tc>
        <w:tc>
          <w:tcPr>
            <w:tcW w:w="217" w:type="dxa"/>
          </w:tcPr>
          <w:p w14:paraId="4F49F854" w14:textId="77777777" w:rsidR="002C0FD9" w:rsidRPr="00CA25CF" w:rsidRDefault="002C0FD9" w:rsidP="00CA25CF">
            <w:pPr>
              <w:rPr>
                <w:rFonts w:cs="Arial"/>
                <w:color w:val="FF0000"/>
                <w:sz w:val="21"/>
                <w:szCs w:val="21"/>
              </w:rPr>
            </w:pPr>
          </w:p>
        </w:tc>
        <w:tc>
          <w:tcPr>
            <w:tcW w:w="217" w:type="dxa"/>
          </w:tcPr>
          <w:p w14:paraId="63C8886D" w14:textId="77777777" w:rsidR="002C0FD9" w:rsidRPr="00CA25CF" w:rsidRDefault="002C0FD9" w:rsidP="00CA25CF">
            <w:pPr>
              <w:rPr>
                <w:rFonts w:cs="Arial"/>
                <w:color w:val="FF0000"/>
                <w:sz w:val="21"/>
                <w:szCs w:val="21"/>
              </w:rPr>
            </w:pPr>
          </w:p>
        </w:tc>
        <w:tc>
          <w:tcPr>
            <w:tcW w:w="217" w:type="dxa"/>
          </w:tcPr>
          <w:p w14:paraId="1F26BC9A" w14:textId="77777777" w:rsidR="002C0FD9" w:rsidRPr="00CA25CF" w:rsidRDefault="002C0FD9" w:rsidP="00CA25CF">
            <w:pPr>
              <w:rPr>
                <w:rFonts w:cs="Arial"/>
                <w:color w:val="FF0000"/>
                <w:sz w:val="21"/>
                <w:szCs w:val="21"/>
              </w:rPr>
            </w:pPr>
          </w:p>
        </w:tc>
        <w:tc>
          <w:tcPr>
            <w:tcW w:w="217" w:type="dxa"/>
          </w:tcPr>
          <w:p w14:paraId="2C1E3537" w14:textId="77777777" w:rsidR="002C0FD9" w:rsidRPr="00CA25CF" w:rsidRDefault="002C0FD9" w:rsidP="00CA25CF">
            <w:pPr>
              <w:rPr>
                <w:rFonts w:cs="Arial"/>
                <w:color w:val="FF0000"/>
                <w:sz w:val="21"/>
                <w:szCs w:val="21"/>
              </w:rPr>
            </w:pPr>
          </w:p>
        </w:tc>
        <w:tc>
          <w:tcPr>
            <w:tcW w:w="217" w:type="dxa"/>
          </w:tcPr>
          <w:p w14:paraId="1DEC4D95" w14:textId="77777777" w:rsidR="002C0FD9" w:rsidRPr="00CA25CF" w:rsidRDefault="002C0FD9" w:rsidP="00CA25CF">
            <w:pPr>
              <w:rPr>
                <w:rFonts w:cs="Arial"/>
                <w:color w:val="FF0000"/>
                <w:sz w:val="21"/>
                <w:szCs w:val="21"/>
              </w:rPr>
            </w:pPr>
          </w:p>
        </w:tc>
        <w:tc>
          <w:tcPr>
            <w:tcW w:w="217" w:type="dxa"/>
          </w:tcPr>
          <w:p w14:paraId="0D69155D" w14:textId="77777777" w:rsidR="002C0FD9" w:rsidRPr="00CA25CF" w:rsidRDefault="002C0FD9" w:rsidP="00CA25CF">
            <w:pPr>
              <w:rPr>
                <w:rFonts w:cs="Arial"/>
                <w:color w:val="FF0000"/>
                <w:sz w:val="21"/>
                <w:szCs w:val="21"/>
              </w:rPr>
            </w:pPr>
          </w:p>
        </w:tc>
        <w:tc>
          <w:tcPr>
            <w:tcW w:w="217" w:type="dxa"/>
          </w:tcPr>
          <w:p w14:paraId="13654829" w14:textId="77777777" w:rsidR="002C0FD9" w:rsidRPr="00CA25CF" w:rsidRDefault="002C0FD9" w:rsidP="00CA25CF">
            <w:pPr>
              <w:rPr>
                <w:rFonts w:cs="Arial"/>
                <w:color w:val="FF0000"/>
                <w:sz w:val="21"/>
                <w:szCs w:val="21"/>
              </w:rPr>
            </w:pPr>
          </w:p>
        </w:tc>
        <w:tc>
          <w:tcPr>
            <w:tcW w:w="217" w:type="dxa"/>
          </w:tcPr>
          <w:p w14:paraId="2F8E094A" w14:textId="77777777" w:rsidR="002C0FD9" w:rsidRPr="00CA25CF" w:rsidRDefault="002C0FD9" w:rsidP="00CA25CF">
            <w:pPr>
              <w:rPr>
                <w:rFonts w:cs="Arial"/>
                <w:color w:val="FF0000"/>
                <w:sz w:val="21"/>
                <w:szCs w:val="21"/>
              </w:rPr>
            </w:pPr>
          </w:p>
        </w:tc>
        <w:tc>
          <w:tcPr>
            <w:tcW w:w="217" w:type="dxa"/>
          </w:tcPr>
          <w:p w14:paraId="61EFD725" w14:textId="77777777" w:rsidR="002C0FD9" w:rsidRPr="00CA25CF" w:rsidRDefault="002C0FD9" w:rsidP="00CA25CF">
            <w:pPr>
              <w:rPr>
                <w:rFonts w:cs="Arial"/>
                <w:color w:val="FF0000"/>
                <w:sz w:val="21"/>
                <w:szCs w:val="21"/>
              </w:rPr>
            </w:pPr>
          </w:p>
        </w:tc>
        <w:tc>
          <w:tcPr>
            <w:tcW w:w="217" w:type="dxa"/>
          </w:tcPr>
          <w:p w14:paraId="491D8813" w14:textId="77777777" w:rsidR="002C0FD9" w:rsidRPr="00CA25CF" w:rsidRDefault="002C0FD9" w:rsidP="00CA25CF">
            <w:pPr>
              <w:rPr>
                <w:rFonts w:cs="Arial"/>
                <w:color w:val="FF0000"/>
                <w:sz w:val="21"/>
                <w:szCs w:val="21"/>
              </w:rPr>
            </w:pPr>
          </w:p>
        </w:tc>
        <w:tc>
          <w:tcPr>
            <w:tcW w:w="217" w:type="dxa"/>
          </w:tcPr>
          <w:p w14:paraId="0CFA0E62" w14:textId="77777777" w:rsidR="002C0FD9" w:rsidRPr="00CA25CF" w:rsidRDefault="002C0FD9" w:rsidP="00CA25CF">
            <w:pPr>
              <w:rPr>
                <w:rFonts w:cs="Arial"/>
                <w:color w:val="FF0000"/>
                <w:sz w:val="21"/>
                <w:szCs w:val="21"/>
              </w:rPr>
            </w:pPr>
          </w:p>
        </w:tc>
        <w:tc>
          <w:tcPr>
            <w:tcW w:w="217" w:type="dxa"/>
          </w:tcPr>
          <w:p w14:paraId="70067208" w14:textId="77777777" w:rsidR="002C0FD9" w:rsidRPr="00CA25CF" w:rsidRDefault="002C0FD9" w:rsidP="00CA25CF">
            <w:pPr>
              <w:rPr>
                <w:rFonts w:cs="Arial"/>
                <w:color w:val="FF0000"/>
                <w:sz w:val="21"/>
                <w:szCs w:val="21"/>
              </w:rPr>
            </w:pPr>
          </w:p>
        </w:tc>
        <w:tc>
          <w:tcPr>
            <w:tcW w:w="217" w:type="dxa"/>
          </w:tcPr>
          <w:p w14:paraId="42519218" w14:textId="77777777" w:rsidR="002C0FD9" w:rsidRPr="00CA25CF" w:rsidRDefault="002C0FD9" w:rsidP="00CA25CF">
            <w:pPr>
              <w:rPr>
                <w:rFonts w:cs="Arial"/>
                <w:color w:val="FF0000"/>
                <w:sz w:val="21"/>
                <w:szCs w:val="21"/>
              </w:rPr>
            </w:pPr>
          </w:p>
        </w:tc>
        <w:tc>
          <w:tcPr>
            <w:tcW w:w="217" w:type="dxa"/>
          </w:tcPr>
          <w:p w14:paraId="4E5E7FDB" w14:textId="77777777" w:rsidR="002C0FD9" w:rsidRPr="00CA25CF" w:rsidRDefault="002C0FD9" w:rsidP="00CA25CF">
            <w:pPr>
              <w:rPr>
                <w:rFonts w:cs="Arial"/>
                <w:color w:val="FF0000"/>
                <w:sz w:val="21"/>
                <w:szCs w:val="21"/>
              </w:rPr>
            </w:pPr>
          </w:p>
        </w:tc>
        <w:tc>
          <w:tcPr>
            <w:tcW w:w="217" w:type="dxa"/>
          </w:tcPr>
          <w:p w14:paraId="1A5BC5EF" w14:textId="77777777" w:rsidR="002C0FD9" w:rsidRPr="00CA25CF" w:rsidRDefault="002C0FD9" w:rsidP="00CA25CF">
            <w:pPr>
              <w:rPr>
                <w:rFonts w:cs="Arial"/>
                <w:color w:val="FF0000"/>
                <w:sz w:val="21"/>
                <w:szCs w:val="21"/>
              </w:rPr>
            </w:pPr>
          </w:p>
        </w:tc>
        <w:tc>
          <w:tcPr>
            <w:tcW w:w="217" w:type="dxa"/>
          </w:tcPr>
          <w:p w14:paraId="4DC51F57" w14:textId="77777777" w:rsidR="002C0FD9" w:rsidRPr="00CA25CF" w:rsidRDefault="002C0FD9" w:rsidP="00CA25CF">
            <w:pPr>
              <w:rPr>
                <w:rFonts w:cs="Arial"/>
                <w:color w:val="FF0000"/>
                <w:sz w:val="21"/>
                <w:szCs w:val="21"/>
              </w:rPr>
            </w:pPr>
          </w:p>
        </w:tc>
        <w:tc>
          <w:tcPr>
            <w:tcW w:w="217" w:type="dxa"/>
          </w:tcPr>
          <w:p w14:paraId="1E502B51" w14:textId="77777777" w:rsidR="002C0FD9" w:rsidRPr="00CA25CF" w:rsidRDefault="002C0FD9" w:rsidP="00CA25CF">
            <w:pPr>
              <w:rPr>
                <w:rFonts w:cs="Arial"/>
                <w:color w:val="FF0000"/>
                <w:sz w:val="21"/>
                <w:szCs w:val="21"/>
              </w:rPr>
            </w:pPr>
          </w:p>
        </w:tc>
        <w:tc>
          <w:tcPr>
            <w:tcW w:w="217" w:type="dxa"/>
          </w:tcPr>
          <w:p w14:paraId="049A8CAF" w14:textId="77777777" w:rsidR="002C0FD9" w:rsidRPr="00CA25CF" w:rsidRDefault="002C0FD9" w:rsidP="00CA25CF">
            <w:pPr>
              <w:rPr>
                <w:rFonts w:cs="Arial"/>
                <w:color w:val="FF0000"/>
                <w:sz w:val="21"/>
                <w:szCs w:val="21"/>
              </w:rPr>
            </w:pPr>
          </w:p>
        </w:tc>
        <w:tc>
          <w:tcPr>
            <w:tcW w:w="217" w:type="dxa"/>
          </w:tcPr>
          <w:p w14:paraId="3813C947" w14:textId="77777777" w:rsidR="002C0FD9" w:rsidRPr="00CA25CF" w:rsidRDefault="002C0FD9" w:rsidP="00CA25CF">
            <w:pPr>
              <w:rPr>
                <w:rFonts w:cs="Arial"/>
                <w:color w:val="FF0000"/>
                <w:sz w:val="21"/>
                <w:szCs w:val="21"/>
              </w:rPr>
            </w:pPr>
          </w:p>
        </w:tc>
        <w:tc>
          <w:tcPr>
            <w:tcW w:w="217" w:type="dxa"/>
          </w:tcPr>
          <w:p w14:paraId="6A1D6901" w14:textId="77777777" w:rsidR="002C0FD9" w:rsidRPr="00CA25CF" w:rsidRDefault="002C0FD9" w:rsidP="00CA25CF">
            <w:pPr>
              <w:rPr>
                <w:rFonts w:cs="Arial"/>
                <w:color w:val="FF0000"/>
                <w:sz w:val="21"/>
                <w:szCs w:val="21"/>
              </w:rPr>
            </w:pPr>
          </w:p>
        </w:tc>
        <w:tc>
          <w:tcPr>
            <w:tcW w:w="217" w:type="dxa"/>
          </w:tcPr>
          <w:p w14:paraId="05523EC2" w14:textId="77777777" w:rsidR="002C0FD9" w:rsidRPr="00CA25CF" w:rsidRDefault="002C0FD9" w:rsidP="00CA25CF">
            <w:pPr>
              <w:rPr>
                <w:rFonts w:cs="Arial"/>
                <w:color w:val="FF0000"/>
                <w:sz w:val="21"/>
                <w:szCs w:val="21"/>
              </w:rPr>
            </w:pPr>
          </w:p>
        </w:tc>
        <w:tc>
          <w:tcPr>
            <w:tcW w:w="217" w:type="dxa"/>
          </w:tcPr>
          <w:p w14:paraId="3F3E4176" w14:textId="77777777" w:rsidR="002C0FD9" w:rsidRPr="00CA25CF" w:rsidRDefault="002C0FD9" w:rsidP="00CA25CF">
            <w:pPr>
              <w:rPr>
                <w:rFonts w:cs="Arial"/>
                <w:color w:val="FF0000"/>
                <w:sz w:val="21"/>
                <w:szCs w:val="21"/>
              </w:rPr>
            </w:pPr>
          </w:p>
        </w:tc>
        <w:tc>
          <w:tcPr>
            <w:tcW w:w="217" w:type="dxa"/>
          </w:tcPr>
          <w:p w14:paraId="5262336B" w14:textId="77777777" w:rsidR="002C0FD9" w:rsidRPr="00CA25CF" w:rsidRDefault="002C0FD9" w:rsidP="00CA25CF">
            <w:pPr>
              <w:rPr>
                <w:rFonts w:cs="Arial"/>
                <w:color w:val="FF0000"/>
                <w:sz w:val="21"/>
                <w:szCs w:val="21"/>
              </w:rPr>
            </w:pPr>
          </w:p>
        </w:tc>
        <w:tc>
          <w:tcPr>
            <w:tcW w:w="217" w:type="dxa"/>
          </w:tcPr>
          <w:p w14:paraId="1C5B6AC3" w14:textId="77777777" w:rsidR="002C0FD9" w:rsidRPr="00CA25CF" w:rsidRDefault="002C0FD9" w:rsidP="00CA25CF">
            <w:pPr>
              <w:rPr>
                <w:rFonts w:cs="Arial"/>
                <w:color w:val="FF0000"/>
                <w:sz w:val="21"/>
                <w:szCs w:val="21"/>
              </w:rPr>
            </w:pPr>
          </w:p>
        </w:tc>
        <w:tc>
          <w:tcPr>
            <w:tcW w:w="217" w:type="dxa"/>
          </w:tcPr>
          <w:p w14:paraId="7A1B7AFA" w14:textId="77777777" w:rsidR="002C0FD9" w:rsidRPr="00CA25CF" w:rsidRDefault="002C0FD9" w:rsidP="00CA25CF">
            <w:pPr>
              <w:rPr>
                <w:rFonts w:cs="Arial"/>
                <w:color w:val="FF0000"/>
                <w:sz w:val="21"/>
                <w:szCs w:val="21"/>
              </w:rPr>
            </w:pPr>
          </w:p>
        </w:tc>
        <w:tc>
          <w:tcPr>
            <w:tcW w:w="217" w:type="dxa"/>
          </w:tcPr>
          <w:p w14:paraId="0B49B53F" w14:textId="77777777" w:rsidR="002C0FD9" w:rsidRPr="00CA25CF" w:rsidRDefault="002C0FD9" w:rsidP="00CA25CF">
            <w:pPr>
              <w:rPr>
                <w:rFonts w:cs="Arial"/>
                <w:color w:val="FF0000"/>
                <w:sz w:val="21"/>
                <w:szCs w:val="21"/>
              </w:rPr>
            </w:pPr>
          </w:p>
        </w:tc>
        <w:tc>
          <w:tcPr>
            <w:tcW w:w="217" w:type="dxa"/>
          </w:tcPr>
          <w:p w14:paraId="25BADF12" w14:textId="77777777" w:rsidR="002C0FD9" w:rsidRPr="00CA25CF" w:rsidRDefault="002C0FD9" w:rsidP="00CA25CF">
            <w:pPr>
              <w:rPr>
                <w:rFonts w:cs="Arial"/>
                <w:color w:val="FF0000"/>
                <w:sz w:val="21"/>
                <w:szCs w:val="21"/>
              </w:rPr>
            </w:pPr>
          </w:p>
        </w:tc>
        <w:tc>
          <w:tcPr>
            <w:tcW w:w="217" w:type="dxa"/>
          </w:tcPr>
          <w:p w14:paraId="0D0C7D53" w14:textId="77777777" w:rsidR="002C0FD9" w:rsidRPr="00CA25CF" w:rsidRDefault="002C0FD9" w:rsidP="00CA25CF">
            <w:pPr>
              <w:rPr>
                <w:rFonts w:cs="Arial"/>
                <w:color w:val="FF0000"/>
                <w:sz w:val="21"/>
                <w:szCs w:val="21"/>
              </w:rPr>
            </w:pPr>
          </w:p>
        </w:tc>
        <w:tc>
          <w:tcPr>
            <w:tcW w:w="217" w:type="dxa"/>
          </w:tcPr>
          <w:p w14:paraId="33308D14" w14:textId="77777777" w:rsidR="002C0FD9" w:rsidRPr="00CA25CF" w:rsidRDefault="002C0FD9" w:rsidP="00CA25CF">
            <w:pPr>
              <w:rPr>
                <w:rFonts w:cs="Arial"/>
                <w:color w:val="FF0000"/>
                <w:sz w:val="21"/>
                <w:szCs w:val="21"/>
              </w:rPr>
            </w:pPr>
          </w:p>
        </w:tc>
      </w:tr>
      <w:tr w:rsidR="002C0FD9" w:rsidRPr="00A16219" w14:paraId="641A0ECC" w14:textId="4C7AA3F6" w:rsidTr="002C0FD9">
        <w:trPr>
          <w:trHeight w:val="635"/>
        </w:trPr>
        <w:tc>
          <w:tcPr>
            <w:tcW w:w="515" w:type="dxa"/>
          </w:tcPr>
          <w:p w14:paraId="67353373" w14:textId="77777777" w:rsidR="002C0FD9" w:rsidRPr="00CA25CF" w:rsidRDefault="002C0FD9" w:rsidP="00CA25CF">
            <w:pPr>
              <w:rPr>
                <w:rFonts w:cs="Arial"/>
                <w:color w:val="FF0000"/>
                <w:sz w:val="21"/>
                <w:szCs w:val="21"/>
              </w:rPr>
            </w:pPr>
          </w:p>
        </w:tc>
        <w:tc>
          <w:tcPr>
            <w:tcW w:w="217" w:type="dxa"/>
          </w:tcPr>
          <w:p w14:paraId="2FB27FD3" w14:textId="77777777" w:rsidR="002C0FD9" w:rsidRPr="00CA25CF" w:rsidRDefault="002C0FD9" w:rsidP="00CA25CF">
            <w:pPr>
              <w:rPr>
                <w:rFonts w:cs="Arial"/>
                <w:color w:val="FF0000"/>
                <w:sz w:val="21"/>
                <w:szCs w:val="21"/>
              </w:rPr>
            </w:pPr>
          </w:p>
        </w:tc>
        <w:tc>
          <w:tcPr>
            <w:tcW w:w="217" w:type="dxa"/>
          </w:tcPr>
          <w:p w14:paraId="7F03BD95" w14:textId="67688490" w:rsidR="002C0FD9" w:rsidRPr="00CA25CF" w:rsidRDefault="002C0FD9" w:rsidP="00CA25CF">
            <w:pPr>
              <w:rPr>
                <w:rFonts w:cs="Arial"/>
                <w:color w:val="FF0000"/>
                <w:sz w:val="21"/>
                <w:szCs w:val="21"/>
              </w:rPr>
            </w:pPr>
          </w:p>
        </w:tc>
        <w:tc>
          <w:tcPr>
            <w:tcW w:w="217" w:type="dxa"/>
          </w:tcPr>
          <w:p w14:paraId="4D8CF22B" w14:textId="77777777" w:rsidR="002C0FD9" w:rsidRPr="00CA25CF" w:rsidRDefault="002C0FD9" w:rsidP="00CA25CF">
            <w:pPr>
              <w:rPr>
                <w:rFonts w:cs="Arial"/>
                <w:color w:val="FF0000"/>
                <w:sz w:val="21"/>
                <w:szCs w:val="21"/>
              </w:rPr>
            </w:pPr>
          </w:p>
        </w:tc>
        <w:tc>
          <w:tcPr>
            <w:tcW w:w="217" w:type="dxa"/>
          </w:tcPr>
          <w:p w14:paraId="33332AD2" w14:textId="77777777" w:rsidR="002C0FD9" w:rsidRPr="00CA25CF" w:rsidRDefault="002C0FD9" w:rsidP="00CA25CF">
            <w:pPr>
              <w:rPr>
                <w:rFonts w:cs="Arial"/>
                <w:color w:val="FF0000"/>
                <w:sz w:val="21"/>
                <w:szCs w:val="21"/>
              </w:rPr>
            </w:pPr>
          </w:p>
        </w:tc>
        <w:tc>
          <w:tcPr>
            <w:tcW w:w="217" w:type="dxa"/>
          </w:tcPr>
          <w:p w14:paraId="4CFE93E7" w14:textId="77777777" w:rsidR="002C0FD9" w:rsidRPr="00CA25CF" w:rsidRDefault="002C0FD9" w:rsidP="00CA25CF">
            <w:pPr>
              <w:rPr>
                <w:rFonts w:cs="Arial"/>
                <w:color w:val="FF0000"/>
                <w:sz w:val="21"/>
                <w:szCs w:val="21"/>
              </w:rPr>
            </w:pPr>
          </w:p>
        </w:tc>
        <w:tc>
          <w:tcPr>
            <w:tcW w:w="217" w:type="dxa"/>
          </w:tcPr>
          <w:p w14:paraId="5D7CE80C" w14:textId="77777777" w:rsidR="002C0FD9" w:rsidRPr="00CA25CF" w:rsidRDefault="002C0FD9" w:rsidP="00CA25CF">
            <w:pPr>
              <w:rPr>
                <w:rFonts w:cs="Arial"/>
                <w:color w:val="FF0000"/>
                <w:sz w:val="21"/>
                <w:szCs w:val="21"/>
              </w:rPr>
            </w:pPr>
          </w:p>
        </w:tc>
        <w:tc>
          <w:tcPr>
            <w:tcW w:w="217" w:type="dxa"/>
          </w:tcPr>
          <w:p w14:paraId="1BDEFA1D" w14:textId="77777777" w:rsidR="002C0FD9" w:rsidRPr="00CA25CF" w:rsidRDefault="002C0FD9" w:rsidP="00CA25CF">
            <w:pPr>
              <w:rPr>
                <w:rFonts w:cs="Arial"/>
                <w:color w:val="FF0000"/>
                <w:sz w:val="21"/>
                <w:szCs w:val="21"/>
              </w:rPr>
            </w:pPr>
          </w:p>
        </w:tc>
        <w:tc>
          <w:tcPr>
            <w:tcW w:w="217" w:type="dxa"/>
          </w:tcPr>
          <w:p w14:paraId="542DF7A3" w14:textId="77777777" w:rsidR="002C0FD9" w:rsidRPr="00CA25CF" w:rsidRDefault="002C0FD9" w:rsidP="00CA25CF">
            <w:pPr>
              <w:rPr>
                <w:rFonts w:cs="Arial"/>
                <w:color w:val="FF0000"/>
                <w:sz w:val="21"/>
                <w:szCs w:val="21"/>
              </w:rPr>
            </w:pPr>
          </w:p>
        </w:tc>
        <w:tc>
          <w:tcPr>
            <w:tcW w:w="217" w:type="dxa"/>
          </w:tcPr>
          <w:p w14:paraId="0281FE89" w14:textId="77777777" w:rsidR="002C0FD9" w:rsidRPr="00CA25CF" w:rsidRDefault="002C0FD9" w:rsidP="00CA25CF">
            <w:pPr>
              <w:rPr>
                <w:rFonts w:cs="Arial"/>
                <w:color w:val="FF0000"/>
                <w:sz w:val="21"/>
                <w:szCs w:val="21"/>
              </w:rPr>
            </w:pPr>
          </w:p>
        </w:tc>
        <w:tc>
          <w:tcPr>
            <w:tcW w:w="217" w:type="dxa"/>
          </w:tcPr>
          <w:p w14:paraId="500E8AD6" w14:textId="77777777" w:rsidR="002C0FD9" w:rsidRPr="00CA25CF" w:rsidRDefault="002C0FD9" w:rsidP="00CA25CF">
            <w:pPr>
              <w:rPr>
                <w:rFonts w:cs="Arial"/>
                <w:color w:val="FF0000"/>
                <w:sz w:val="21"/>
                <w:szCs w:val="21"/>
              </w:rPr>
            </w:pPr>
          </w:p>
        </w:tc>
        <w:tc>
          <w:tcPr>
            <w:tcW w:w="217" w:type="dxa"/>
          </w:tcPr>
          <w:p w14:paraId="58F10F02" w14:textId="77777777" w:rsidR="002C0FD9" w:rsidRPr="00CA25CF" w:rsidRDefault="002C0FD9" w:rsidP="00CA25CF">
            <w:pPr>
              <w:rPr>
                <w:rFonts w:cs="Arial"/>
                <w:color w:val="FF0000"/>
                <w:sz w:val="21"/>
                <w:szCs w:val="21"/>
              </w:rPr>
            </w:pPr>
          </w:p>
        </w:tc>
        <w:tc>
          <w:tcPr>
            <w:tcW w:w="217" w:type="dxa"/>
          </w:tcPr>
          <w:p w14:paraId="32D99359" w14:textId="77777777" w:rsidR="002C0FD9" w:rsidRPr="00CA25CF" w:rsidRDefault="002C0FD9" w:rsidP="00CA25CF">
            <w:pPr>
              <w:rPr>
                <w:rFonts w:cs="Arial"/>
                <w:color w:val="FF0000"/>
                <w:sz w:val="21"/>
                <w:szCs w:val="21"/>
              </w:rPr>
            </w:pPr>
          </w:p>
        </w:tc>
        <w:tc>
          <w:tcPr>
            <w:tcW w:w="217" w:type="dxa"/>
          </w:tcPr>
          <w:p w14:paraId="5FF68C14" w14:textId="77777777" w:rsidR="002C0FD9" w:rsidRPr="00CA25CF" w:rsidRDefault="002C0FD9" w:rsidP="00CA25CF">
            <w:pPr>
              <w:rPr>
                <w:rFonts w:cs="Arial"/>
                <w:color w:val="FF0000"/>
                <w:sz w:val="21"/>
                <w:szCs w:val="21"/>
              </w:rPr>
            </w:pPr>
          </w:p>
        </w:tc>
        <w:tc>
          <w:tcPr>
            <w:tcW w:w="217" w:type="dxa"/>
          </w:tcPr>
          <w:p w14:paraId="1068D7CD" w14:textId="77777777" w:rsidR="002C0FD9" w:rsidRPr="00CA25CF" w:rsidRDefault="002C0FD9" w:rsidP="00CA25CF">
            <w:pPr>
              <w:rPr>
                <w:rFonts w:cs="Arial"/>
                <w:color w:val="FF0000"/>
                <w:sz w:val="21"/>
                <w:szCs w:val="21"/>
              </w:rPr>
            </w:pPr>
          </w:p>
        </w:tc>
        <w:tc>
          <w:tcPr>
            <w:tcW w:w="217" w:type="dxa"/>
          </w:tcPr>
          <w:p w14:paraId="212B829B" w14:textId="77777777" w:rsidR="002C0FD9" w:rsidRPr="00CA25CF" w:rsidRDefault="002C0FD9" w:rsidP="00CA25CF">
            <w:pPr>
              <w:rPr>
                <w:rFonts w:cs="Arial"/>
                <w:color w:val="FF0000"/>
                <w:sz w:val="21"/>
                <w:szCs w:val="21"/>
              </w:rPr>
            </w:pPr>
          </w:p>
        </w:tc>
        <w:tc>
          <w:tcPr>
            <w:tcW w:w="217" w:type="dxa"/>
          </w:tcPr>
          <w:p w14:paraId="1D3E3174" w14:textId="77777777" w:rsidR="002C0FD9" w:rsidRPr="00CA25CF" w:rsidRDefault="002C0FD9" w:rsidP="00CA25CF">
            <w:pPr>
              <w:rPr>
                <w:rFonts w:cs="Arial"/>
                <w:color w:val="FF0000"/>
                <w:sz w:val="21"/>
                <w:szCs w:val="21"/>
              </w:rPr>
            </w:pPr>
          </w:p>
        </w:tc>
        <w:tc>
          <w:tcPr>
            <w:tcW w:w="217" w:type="dxa"/>
          </w:tcPr>
          <w:p w14:paraId="75FBEB01" w14:textId="77777777" w:rsidR="002C0FD9" w:rsidRPr="00CA25CF" w:rsidRDefault="002C0FD9" w:rsidP="00CA25CF">
            <w:pPr>
              <w:rPr>
                <w:rFonts w:cs="Arial"/>
                <w:color w:val="FF0000"/>
                <w:sz w:val="21"/>
                <w:szCs w:val="21"/>
              </w:rPr>
            </w:pPr>
          </w:p>
        </w:tc>
        <w:tc>
          <w:tcPr>
            <w:tcW w:w="217" w:type="dxa"/>
          </w:tcPr>
          <w:p w14:paraId="5C738A96" w14:textId="77777777" w:rsidR="002C0FD9" w:rsidRPr="00CA25CF" w:rsidRDefault="002C0FD9" w:rsidP="00CA25CF">
            <w:pPr>
              <w:rPr>
                <w:rFonts w:cs="Arial"/>
                <w:color w:val="FF0000"/>
                <w:sz w:val="21"/>
                <w:szCs w:val="21"/>
              </w:rPr>
            </w:pPr>
          </w:p>
        </w:tc>
        <w:tc>
          <w:tcPr>
            <w:tcW w:w="217" w:type="dxa"/>
          </w:tcPr>
          <w:p w14:paraId="579874AF" w14:textId="77777777" w:rsidR="002C0FD9" w:rsidRPr="00CA25CF" w:rsidRDefault="002C0FD9" w:rsidP="00CA25CF">
            <w:pPr>
              <w:rPr>
                <w:rFonts w:cs="Arial"/>
                <w:color w:val="FF0000"/>
                <w:sz w:val="21"/>
                <w:szCs w:val="21"/>
              </w:rPr>
            </w:pPr>
          </w:p>
        </w:tc>
        <w:tc>
          <w:tcPr>
            <w:tcW w:w="217" w:type="dxa"/>
          </w:tcPr>
          <w:p w14:paraId="0EC12F66" w14:textId="77777777" w:rsidR="002C0FD9" w:rsidRPr="00CA25CF" w:rsidRDefault="002C0FD9" w:rsidP="00CA25CF">
            <w:pPr>
              <w:rPr>
                <w:rFonts w:cs="Arial"/>
                <w:color w:val="FF0000"/>
                <w:sz w:val="21"/>
                <w:szCs w:val="21"/>
              </w:rPr>
            </w:pPr>
          </w:p>
        </w:tc>
        <w:tc>
          <w:tcPr>
            <w:tcW w:w="217" w:type="dxa"/>
          </w:tcPr>
          <w:p w14:paraId="24441D05" w14:textId="77777777" w:rsidR="002C0FD9" w:rsidRPr="00CA25CF" w:rsidRDefault="002C0FD9" w:rsidP="00CA25CF">
            <w:pPr>
              <w:rPr>
                <w:rFonts w:cs="Arial"/>
                <w:color w:val="FF0000"/>
                <w:sz w:val="21"/>
                <w:szCs w:val="21"/>
              </w:rPr>
            </w:pPr>
          </w:p>
        </w:tc>
        <w:tc>
          <w:tcPr>
            <w:tcW w:w="217" w:type="dxa"/>
          </w:tcPr>
          <w:p w14:paraId="17F0F15B" w14:textId="77777777" w:rsidR="002C0FD9" w:rsidRPr="00CA25CF" w:rsidRDefault="002C0FD9" w:rsidP="00CA25CF">
            <w:pPr>
              <w:rPr>
                <w:rFonts w:cs="Arial"/>
                <w:color w:val="FF0000"/>
                <w:sz w:val="21"/>
                <w:szCs w:val="21"/>
              </w:rPr>
            </w:pPr>
          </w:p>
        </w:tc>
        <w:tc>
          <w:tcPr>
            <w:tcW w:w="217" w:type="dxa"/>
          </w:tcPr>
          <w:p w14:paraId="1167F37F" w14:textId="77777777" w:rsidR="002C0FD9" w:rsidRPr="00CA25CF" w:rsidRDefault="002C0FD9" w:rsidP="00CA25CF">
            <w:pPr>
              <w:rPr>
                <w:rFonts w:cs="Arial"/>
                <w:color w:val="FF0000"/>
                <w:sz w:val="21"/>
                <w:szCs w:val="21"/>
              </w:rPr>
            </w:pPr>
          </w:p>
        </w:tc>
        <w:tc>
          <w:tcPr>
            <w:tcW w:w="217" w:type="dxa"/>
          </w:tcPr>
          <w:p w14:paraId="5BF514E5" w14:textId="77777777" w:rsidR="002C0FD9" w:rsidRPr="00CA25CF" w:rsidRDefault="002C0FD9" w:rsidP="00CA25CF">
            <w:pPr>
              <w:rPr>
                <w:rFonts w:cs="Arial"/>
                <w:color w:val="FF0000"/>
                <w:sz w:val="21"/>
                <w:szCs w:val="21"/>
              </w:rPr>
            </w:pPr>
          </w:p>
        </w:tc>
        <w:tc>
          <w:tcPr>
            <w:tcW w:w="217" w:type="dxa"/>
          </w:tcPr>
          <w:p w14:paraId="642F7326" w14:textId="77777777" w:rsidR="002C0FD9" w:rsidRPr="00CA25CF" w:rsidRDefault="002C0FD9" w:rsidP="00CA25CF">
            <w:pPr>
              <w:rPr>
                <w:rFonts w:cs="Arial"/>
                <w:color w:val="FF0000"/>
                <w:sz w:val="21"/>
                <w:szCs w:val="21"/>
              </w:rPr>
            </w:pPr>
          </w:p>
        </w:tc>
        <w:tc>
          <w:tcPr>
            <w:tcW w:w="217" w:type="dxa"/>
          </w:tcPr>
          <w:p w14:paraId="0B617078" w14:textId="77777777" w:rsidR="002C0FD9" w:rsidRPr="00CA25CF" w:rsidRDefault="002C0FD9" w:rsidP="00CA25CF">
            <w:pPr>
              <w:rPr>
                <w:rFonts w:cs="Arial"/>
                <w:color w:val="FF0000"/>
                <w:sz w:val="21"/>
                <w:szCs w:val="21"/>
              </w:rPr>
            </w:pPr>
          </w:p>
        </w:tc>
        <w:tc>
          <w:tcPr>
            <w:tcW w:w="217" w:type="dxa"/>
          </w:tcPr>
          <w:p w14:paraId="34246225" w14:textId="77777777" w:rsidR="002C0FD9" w:rsidRPr="00CA25CF" w:rsidRDefault="002C0FD9" w:rsidP="00CA25CF">
            <w:pPr>
              <w:rPr>
                <w:rFonts w:cs="Arial"/>
                <w:color w:val="FF0000"/>
                <w:sz w:val="21"/>
                <w:szCs w:val="21"/>
              </w:rPr>
            </w:pPr>
          </w:p>
        </w:tc>
        <w:tc>
          <w:tcPr>
            <w:tcW w:w="217" w:type="dxa"/>
          </w:tcPr>
          <w:p w14:paraId="72D5E1E8" w14:textId="77777777" w:rsidR="002C0FD9" w:rsidRPr="00CA25CF" w:rsidRDefault="002C0FD9" w:rsidP="00CA25CF">
            <w:pPr>
              <w:rPr>
                <w:rFonts w:cs="Arial"/>
                <w:color w:val="FF0000"/>
                <w:sz w:val="21"/>
                <w:szCs w:val="21"/>
              </w:rPr>
            </w:pPr>
          </w:p>
        </w:tc>
        <w:tc>
          <w:tcPr>
            <w:tcW w:w="217" w:type="dxa"/>
          </w:tcPr>
          <w:p w14:paraId="12487187" w14:textId="77777777" w:rsidR="002C0FD9" w:rsidRPr="00CA25CF" w:rsidRDefault="002C0FD9" w:rsidP="00CA25CF">
            <w:pPr>
              <w:rPr>
                <w:rFonts w:cs="Arial"/>
                <w:color w:val="FF0000"/>
                <w:sz w:val="21"/>
                <w:szCs w:val="21"/>
              </w:rPr>
            </w:pPr>
          </w:p>
        </w:tc>
        <w:tc>
          <w:tcPr>
            <w:tcW w:w="217" w:type="dxa"/>
          </w:tcPr>
          <w:p w14:paraId="0037FF45" w14:textId="77777777" w:rsidR="002C0FD9" w:rsidRPr="00CA25CF" w:rsidRDefault="002C0FD9" w:rsidP="00CA25CF">
            <w:pPr>
              <w:rPr>
                <w:rFonts w:cs="Arial"/>
                <w:color w:val="FF0000"/>
                <w:sz w:val="21"/>
                <w:szCs w:val="21"/>
              </w:rPr>
            </w:pPr>
          </w:p>
        </w:tc>
        <w:tc>
          <w:tcPr>
            <w:tcW w:w="217" w:type="dxa"/>
          </w:tcPr>
          <w:p w14:paraId="7F48A885" w14:textId="77777777" w:rsidR="002C0FD9" w:rsidRPr="00CA25CF" w:rsidRDefault="002C0FD9" w:rsidP="00CA25CF">
            <w:pPr>
              <w:rPr>
                <w:rFonts w:cs="Arial"/>
                <w:color w:val="FF0000"/>
                <w:sz w:val="21"/>
                <w:szCs w:val="21"/>
              </w:rPr>
            </w:pPr>
          </w:p>
        </w:tc>
        <w:tc>
          <w:tcPr>
            <w:tcW w:w="217" w:type="dxa"/>
          </w:tcPr>
          <w:p w14:paraId="2175E7D6" w14:textId="77777777" w:rsidR="002C0FD9" w:rsidRPr="00CA25CF" w:rsidRDefault="002C0FD9" w:rsidP="00CA25CF">
            <w:pPr>
              <w:rPr>
                <w:rFonts w:cs="Arial"/>
                <w:color w:val="FF0000"/>
                <w:sz w:val="21"/>
                <w:szCs w:val="21"/>
              </w:rPr>
            </w:pPr>
          </w:p>
        </w:tc>
        <w:tc>
          <w:tcPr>
            <w:tcW w:w="217" w:type="dxa"/>
          </w:tcPr>
          <w:p w14:paraId="434BC5A6" w14:textId="77777777" w:rsidR="002C0FD9" w:rsidRPr="00CA25CF" w:rsidRDefault="002C0FD9" w:rsidP="00CA25CF">
            <w:pPr>
              <w:rPr>
                <w:rFonts w:cs="Arial"/>
                <w:color w:val="FF0000"/>
                <w:sz w:val="21"/>
                <w:szCs w:val="21"/>
              </w:rPr>
            </w:pPr>
          </w:p>
        </w:tc>
        <w:tc>
          <w:tcPr>
            <w:tcW w:w="217" w:type="dxa"/>
          </w:tcPr>
          <w:p w14:paraId="4CEA4107" w14:textId="77777777" w:rsidR="002C0FD9" w:rsidRPr="00CA25CF" w:rsidRDefault="002C0FD9" w:rsidP="00CA25CF">
            <w:pPr>
              <w:rPr>
                <w:rFonts w:cs="Arial"/>
                <w:color w:val="FF0000"/>
                <w:sz w:val="21"/>
                <w:szCs w:val="21"/>
              </w:rPr>
            </w:pPr>
          </w:p>
        </w:tc>
        <w:tc>
          <w:tcPr>
            <w:tcW w:w="217" w:type="dxa"/>
          </w:tcPr>
          <w:p w14:paraId="51CD8D92" w14:textId="77777777" w:rsidR="002C0FD9" w:rsidRPr="00CA25CF" w:rsidRDefault="002C0FD9" w:rsidP="00CA25CF">
            <w:pPr>
              <w:rPr>
                <w:rFonts w:cs="Arial"/>
                <w:color w:val="FF0000"/>
                <w:sz w:val="21"/>
                <w:szCs w:val="21"/>
              </w:rPr>
            </w:pPr>
          </w:p>
        </w:tc>
        <w:tc>
          <w:tcPr>
            <w:tcW w:w="217" w:type="dxa"/>
          </w:tcPr>
          <w:p w14:paraId="55BD06AF" w14:textId="77777777" w:rsidR="002C0FD9" w:rsidRPr="00CA25CF" w:rsidRDefault="002C0FD9" w:rsidP="00CA25CF">
            <w:pPr>
              <w:rPr>
                <w:rFonts w:cs="Arial"/>
                <w:color w:val="FF0000"/>
                <w:sz w:val="21"/>
                <w:szCs w:val="21"/>
              </w:rPr>
            </w:pPr>
          </w:p>
        </w:tc>
        <w:tc>
          <w:tcPr>
            <w:tcW w:w="217" w:type="dxa"/>
          </w:tcPr>
          <w:p w14:paraId="4FB64FF3" w14:textId="77777777" w:rsidR="002C0FD9" w:rsidRPr="00CA25CF" w:rsidRDefault="002C0FD9" w:rsidP="00CA25CF">
            <w:pPr>
              <w:rPr>
                <w:rFonts w:cs="Arial"/>
                <w:color w:val="FF0000"/>
                <w:sz w:val="21"/>
                <w:szCs w:val="21"/>
              </w:rPr>
            </w:pPr>
          </w:p>
        </w:tc>
        <w:tc>
          <w:tcPr>
            <w:tcW w:w="217" w:type="dxa"/>
          </w:tcPr>
          <w:p w14:paraId="2025F818" w14:textId="77777777" w:rsidR="002C0FD9" w:rsidRPr="00CA25CF" w:rsidRDefault="002C0FD9" w:rsidP="00CA25CF">
            <w:pPr>
              <w:rPr>
                <w:rFonts w:cs="Arial"/>
                <w:color w:val="FF0000"/>
                <w:sz w:val="21"/>
                <w:szCs w:val="21"/>
              </w:rPr>
            </w:pPr>
          </w:p>
        </w:tc>
        <w:tc>
          <w:tcPr>
            <w:tcW w:w="217" w:type="dxa"/>
          </w:tcPr>
          <w:p w14:paraId="6BAB69E3" w14:textId="77777777" w:rsidR="002C0FD9" w:rsidRPr="00CA25CF" w:rsidRDefault="002C0FD9" w:rsidP="00CA25CF">
            <w:pPr>
              <w:rPr>
                <w:rFonts w:cs="Arial"/>
                <w:color w:val="FF0000"/>
                <w:sz w:val="21"/>
                <w:szCs w:val="21"/>
              </w:rPr>
            </w:pPr>
          </w:p>
        </w:tc>
        <w:tc>
          <w:tcPr>
            <w:tcW w:w="217" w:type="dxa"/>
          </w:tcPr>
          <w:p w14:paraId="2A0A1A02" w14:textId="77777777" w:rsidR="002C0FD9" w:rsidRPr="00CA25CF" w:rsidRDefault="002C0FD9" w:rsidP="00CA25CF">
            <w:pPr>
              <w:rPr>
                <w:rFonts w:cs="Arial"/>
                <w:color w:val="FF0000"/>
                <w:sz w:val="21"/>
                <w:szCs w:val="21"/>
              </w:rPr>
            </w:pPr>
          </w:p>
        </w:tc>
        <w:tc>
          <w:tcPr>
            <w:tcW w:w="217" w:type="dxa"/>
          </w:tcPr>
          <w:p w14:paraId="609491D2" w14:textId="77777777" w:rsidR="002C0FD9" w:rsidRPr="00CA25CF" w:rsidRDefault="002C0FD9" w:rsidP="00CA25CF">
            <w:pPr>
              <w:rPr>
                <w:rFonts w:cs="Arial"/>
                <w:color w:val="FF0000"/>
                <w:sz w:val="21"/>
                <w:szCs w:val="21"/>
              </w:rPr>
            </w:pPr>
          </w:p>
        </w:tc>
        <w:tc>
          <w:tcPr>
            <w:tcW w:w="217" w:type="dxa"/>
          </w:tcPr>
          <w:p w14:paraId="3EAB0FFD" w14:textId="77777777" w:rsidR="002C0FD9" w:rsidRPr="00CA25CF" w:rsidRDefault="002C0FD9" w:rsidP="00CA25CF">
            <w:pPr>
              <w:rPr>
                <w:rFonts w:cs="Arial"/>
                <w:color w:val="FF0000"/>
                <w:sz w:val="21"/>
                <w:szCs w:val="21"/>
              </w:rPr>
            </w:pPr>
          </w:p>
        </w:tc>
      </w:tr>
      <w:tr w:rsidR="002C0FD9" w:rsidRPr="00A16219" w14:paraId="2FA393CE" w14:textId="611B7CDE" w:rsidTr="002C0FD9">
        <w:trPr>
          <w:trHeight w:val="635"/>
        </w:trPr>
        <w:tc>
          <w:tcPr>
            <w:tcW w:w="515" w:type="dxa"/>
          </w:tcPr>
          <w:p w14:paraId="56B69AF9" w14:textId="77777777" w:rsidR="002C0FD9" w:rsidRPr="00CA25CF" w:rsidRDefault="002C0FD9" w:rsidP="00CA25CF">
            <w:pPr>
              <w:rPr>
                <w:rFonts w:cs="Arial"/>
                <w:color w:val="FF0000"/>
                <w:sz w:val="21"/>
                <w:szCs w:val="21"/>
              </w:rPr>
            </w:pPr>
          </w:p>
        </w:tc>
        <w:tc>
          <w:tcPr>
            <w:tcW w:w="217" w:type="dxa"/>
          </w:tcPr>
          <w:p w14:paraId="17A42789" w14:textId="77777777" w:rsidR="002C0FD9" w:rsidRPr="00CA25CF" w:rsidRDefault="002C0FD9" w:rsidP="00CA25CF">
            <w:pPr>
              <w:rPr>
                <w:rFonts w:cs="Arial"/>
                <w:color w:val="FF0000"/>
                <w:sz w:val="21"/>
                <w:szCs w:val="21"/>
              </w:rPr>
            </w:pPr>
          </w:p>
        </w:tc>
        <w:tc>
          <w:tcPr>
            <w:tcW w:w="217" w:type="dxa"/>
          </w:tcPr>
          <w:p w14:paraId="36642DC1" w14:textId="7588AEBB" w:rsidR="002C0FD9" w:rsidRPr="00CA25CF" w:rsidRDefault="002C0FD9" w:rsidP="00CA25CF">
            <w:pPr>
              <w:rPr>
                <w:rFonts w:cs="Arial"/>
                <w:color w:val="FF0000"/>
                <w:sz w:val="21"/>
                <w:szCs w:val="21"/>
              </w:rPr>
            </w:pPr>
          </w:p>
        </w:tc>
        <w:tc>
          <w:tcPr>
            <w:tcW w:w="217" w:type="dxa"/>
          </w:tcPr>
          <w:p w14:paraId="3C3C2326" w14:textId="77777777" w:rsidR="002C0FD9" w:rsidRPr="00CA25CF" w:rsidRDefault="002C0FD9" w:rsidP="00CA25CF">
            <w:pPr>
              <w:rPr>
                <w:rFonts w:cs="Arial"/>
                <w:color w:val="FF0000"/>
                <w:sz w:val="21"/>
                <w:szCs w:val="21"/>
              </w:rPr>
            </w:pPr>
          </w:p>
        </w:tc>
        <w:tc>
          <w:tcPr>
            <w:tcW w:w="217" w:type="dxa"/>
          </w:tcPr>
          <w:p w14:paraId="6A1D4111" w14:textId="77777777" w:rsidR="002C0FD9" w:rsidRPr="00CA25CF" w:rsidRDefault="002C0FD9" w:rsidP="00CA25CF">
            <w:pPr>
              <w:rPr>
                <w:rFonts w:cs="Arial"/>
                <w:color w:val="FF0000"/>
                <w:sz w:val="21"/>
                <w:szCs w:val="21"/>
              </w:rPr>
            </w:pPr>
          </w:p>
        </w:tc>
        <w:tc>
          <w:tcPr>
            <w:tcW w:w="217" w:type="dxa"/>
          </w:tcPr>
          <w:p w14:paraId="7F562853" w14:textId="77777777" w:rsidR="002C0FD9" w:rsidRPr="00CA25CF" w:rsidRDefault="002C0FD9" w:rsidP="00CA25CF">
            <w:pPr>
              <w:rPr>
                <w:rFonts w:cs="Arial"/>
                <w:color w:val="FF0000"/>
                <w:sz w:val="21"/>
                <w:szCs w:val="21"/>
              </w:rPr>
            </w:pPr>
          </w:p>
        </w:tc>
        <w:tc>
          <w:tcPr>
            <w:tcW w:w="217" w:type="dxa"/>
          </w:tcPr>
          <w:p w14:paraId="275601B9" w14:textId="77777777" w:rsidR="002C0FD9" w:rsidRPr="00CA25CF" w:rsidRDefault="002C0FD9" w:rsidP="00CA25CF">
            <w:pPr>
              <w:rPr>
                <w:rFonts w:cs="Arial"/>
                <w:color w:val="FF0000"/>
                <w:sz w:val="21"/>
                <w:szCs w:val="21"/>
              </w:rPr>
            </w:pPr>
          </w:p>
        </w:tc>
        <w:tc>
          <w:tcPr>
            <w:tcW w:w="217" w:type="dxa"/>
          </w:tcPr>
          <w:p w14:paraId="298CDC91" w14:textId="77777777" w:rsidR="002C0FD9" w:rsidRPr="00CA25CF" w:rsidRDefault="002C0FD9" w:rsidP="00CA25CF">
            <w:pPr>
              <w:rPr>
                <w:rFonts w:cs="Arial"/>
                <w:color w:val="FF0000"/>
                <w:sz w:val="21"/>
                <w:szCs w:val="21"/>
              </w:rPr>
            </w:pPr>
          </w:p>
        </w:tc>
        <w:tc>
          <w:tcPr>
            <w:tcW w:w="217" w:type="dxa"/>
          </w:tcPr>
          <w:p w14:paraId="1BF66FA9" w14:textId="77777777" w:rsidR="002C0FD9" w:rsidRPr="00CA25CF" w:rsidRDefault="002C0FD9" w:rsidP="00CA25CF">
            <w:pPr>
              <w:rPr>
                <w:rFonts w:cs="Arial"/>
                <w:color w:val="FF0000"/>
                <w:sz w:val="21"/>
                <w:szCs w:val="21"/>
              </w:rPr>
            </w:pPr>
          </w:p>
        </w:tc>
        <w:tc>
          <w:tcPr>
            <w:tcW w:w="217" w:type="dxa"/>
          </w:tcPr>
          <w:p w14:paraId="582656B9" w14:textId="77777777" w:rsidR="002C0FD9" w:rsidRPr="00CA25CF" w:rsidRDefault="002C0FD9" w:rsidP="00CA25CF">
            <w:pPr>
              <w:rPr>
                <w:rFonts w:cs="Arial"/>
                <w:color w:val="FF0000"/>
                <w:sz w:val="21"/>
                <w:szCs w:val="21"/>
              </w:rPr>
            </w:pPr>
          </w:p>
        </w:tc>
        <w:tc>
          <w:tcPr>
            <w:tcW w:w="217" w:type="dxa"/>
          </w:tcPr>
          <w:p w14:paraId="51D9D71D" w14:textId="77777777" w:rsidR="002C0FD9" w:rsidRPr="00CA25CF" w:rsidRDefault="002C0FD9" w:rsidP="00CA25CF">
            <w:pPr>
              <w:rPr>
                <w:rFonts w:cs="Arial"/>
                <w:color w:val="FF0000"/>
                <w:sz w:val="21"/>
                <w:szCs w:val="21"/>
              </w:rPr>
            </w:pPr>
          </w:p>
        </w:tc>
        <w:tc>
          <w:tcPr>
            <w:tcW w:w="217" w:type="dxa"/>
          </w:tcPr>
          <w:p w14:paraId="2D1E608F" w14:textId="77777777" w:rsidR="002C0FD9" w:rsidRPr="00CA25CF" w:rsidRDefault="002C0FD9" w:rsidP="00CA25CF">
            <w:pPr>
              <w:rPr>
                <w:rFonts w:cs="Arial"/>
                <w:color w:val="FF0000"/>
                <w:sz w:val="21"/>
                <w:szCs w:val="21"/>
              </w:rPr>
            </w:pPr>
          </w:p>
        </w:tc>
        <w:tc>
          <w:tcPr>
            <w:tcW w:w="217" w:type="dxa"/>
          </w:tcPr>
          <w:p w14:paraId="016B0C72" w14:textId="77777777" w:rsidR="002C0FD9" w:rsidRPr="00CA25CF" w:rsidRDefault="002C0FD9" w:rsidP="00CA25CF">
            <w:pPr>
              <w:rPr>
                <w:rFonts w:cs="Arial"/>
                <w:color w:val="FF0000"/>
                <w:sz w:val="21"/>
                <w:szCs w:val="21"/>
              </w:rPr>
            </w:pPr>
          </w:p>
        </w:tc>
        <w:tc>
          <w:tcPr>
            <w:tcW w:w="217" w:type="dxa"/>
          </w:tcPr>
          <w:p w14:paraId="02C91143" w14:textId="77777777" w:rsidR="002C0FD9" w:rsidRPr="00CA25CF" w:rsidRDefault="002C0FD9" w:rsidP="00CA25CF">
            <w:pPr>
              <w:rPr>
                <w:rFonts w:cs="Arial"/>
                <w:color w:val="FF0000"/>
                <w:sz w:val="21"/>
                <w:szCs w:val="21"/>
              </w:rPr>
            </w:pPr>
          </w:p>
        </w:tc>
        <w:tc>
          <w:tcPr>
            <w:tcW w:w="217" w:type="dxa"/>
          </w:tcPr>
          <w:p w14:paraId="76A7F262" w14:textId="77777777" w:rsidR="002C0FD9" w:rsidRPr="00CA25CF" w:rsidRDefault="002C0FD9" w:rsidP="00CA25CF">
            <w:pPr>
              <w:rPr>
                <w:rFonts w:cs="Arial"/>
                <w:color w:val="FF0000"/>
                <w:sz w:val="21"/>
                <w:szCs w:val="21"/>
              </w:rPr>
            </w:pPr>
          </w:p>
        </w:tc>
        <w:tc>
          <w:tcPr>
            <w:tcW w:w="217" w:type="dxa"/>
          </w:tcPr>
          <w:p w14:paraId="240A8409" w14:textId="77777777" w:rsidR="002C0FD9" w:rsidRPr="00CA25CF" w:rsidRDefault="002C0FD9" w:rsidP="00CA25CF">
            <w:pPr>
              <w:rPr>
                <w:rFonts w:cs="Arial"/>
                <w:color w:val="FF0000"/>
                <w:sz w:val="21"/>
                <w:szCs w:val="21"/>
              </w:rPr>
            </w:pPr>
          </w:p>
        </w:tc>
        <w:tc>
          <w:tcPr>
            <w:tcW w:w="217" w:type="dxa"/>
          </w:tcPr>
          <w:p w14:paraId="4278241D" w14:textId="77777777" w:rsidR="002C0FD9" w:rsidRPr="00CA25CF" w:rsidRDefault="002C0FD9" w:rsidP="00CA25CF">
            <w:pPr>
              <w:rPr>
                <w:rFonts w:cs="Arial"/>
                <w:color w:val="FF0000"/>
                <w:sz w:val="21"/>
                <w:szCs w:val="21"/>
              </w:rPr>
            </w:pPr>
          </w:p>
        </w:tc>
        <w:tc>
          <w:tcPr>
            <w:tcW w:w="217" w:type="dxa"/>
          </w:tcPr>
          <w:p w14:paraId="160E3405" w14:textId="77777777" w:rsidR="002C0FD9" w:rsidRPr="00CA25CF" w:rsidRDefault="002C0FD9" w:rsidP="00CA25CF">
            <w:pPr>
              <w:rPr>
                <w:rFonts w:cs="Arial"/>
                <w:color w:val="FF0000"/>
                <w:sz w:val="21"/>
                <w:szCs w:val="21"/>
              </w:rPr>
            </w:pPr>
          </w:p>
        </w:tc>
        <w:tc>
          <w:tcPr>
            <w:tcW w:w="217" w:type="dxa"/>
          </w:tcPr>
          <w:p w14:paraId="39EE623B" w14:textId="77777777" w:rsidR="002C0FD9" w:rsidRPr="00CA25CF" w:rsidRDefault="002C0FD9" w:rsidP="00CA25CF">
            <w:pPr>
              <w:rPr>
                <w:rFonts w:cs="Arial"/>
                <w:color w:val="FF0000"/>
                <w:sz w:val="21"/>
                <w:szCs w:val="21"/>
              </w:rPr>
            </w:pPr>
          </w:p>
        </w:tc>
        <w:tc>
          <w:tcPr>
            <w:tcW w:w="217" w:type="dxa"/>
          </w:tcPr>
          <w:p w14:paraId="093B570A" w14:textId="77777777" w:rsidR="002C0FD9" w:rsidRPr="00CA25CF" w:rsidRDefault="002C0FD9" w:rsidP="00CA25CF">
            <w:pPr>
              <w:rPr>
                <w:rFonts w:cs="Arial"/>
                <w:color w:val="FF0000"/>
                <w:sz w:val="21"/>
                <w:szCs w:val="21"/>
              </w:rPr>
            </w:pPr>
          </w:p>
        </w:tc>
        <w:tc>
          <w:tcPr>
            <w:tcW w:w="217" w:type="dxa"/>
          </w:tcPr>
          <w:p w14:paraId="4486D9CC" w14:textId="77777777" w:rsidR="002C0FD9" w:rsidRPr="00CA25CF" w:rsidRDefault="002C0FD9" w:rsidP="00CA25CF">
            <w:pPr>
              <w:rPr>
                <w:rFonts w:cs="Arial"/>
                <w:color w:val="FF0000"/>
                <w:sz w:val="21"/>
                <w:szCs w:val="21"/>
              </w:rPr>
            </w:pPr>
          </w:p>
        </w:tc>
        <w:tc>
          <w:tcPr>
            <w:tcW w:w="217" w:type="dxa"/>
          </w:tcPr>
          <w:p w14:paraId="045E45AC" w14:textId="77777777" w:rsidR="002C0FD9" w:rsidRPr="00CA25CF" w:rsidRDefault="002C0FD9" w:rsidP="00CA25CF">
            <w:pPr>
              <w:rPr>
                <w:rFonts w:cs="Arial"/>
                <w:color w:val="FF0000"/>
                <w:sz w:val="21"/>
                <w:szCs w:val="21"/>
              </w:rPr>
            </w:pPr>
          </w:p>
        </w:tc>
        <w:tc>
          <w:tcPr>
            <w:tcW w:w="217" w:type="dxa"/>
          </w:tcPr>
          <w:p w14:paraId="769229A9" w14:textId="77777777" w:rsidR="002C0FD9" w:rsidRPr="00CA25CF" w:rsidRDefault="002C0FD9" w:rsidP="00CA25CF">
            <w:pPr>
              <w:rPr>
                <w:rFonts w:cs="Arial"/>
                <w:color w:val="FF0000"/>
                <w:sz w:val="21"/>
                <w:szCs w:val="21"/>
              </w:rPr>
            </w:pPr>
          </w:p>
        </w:tc>
        <w:tc>
          <w:tcPr>
            <w:tcW w:w="217" w:type="dxa"/>
          </w:tcPr>
          <w:p w14:paraId="60553081" w14:textId="77777777" w:rsidR="002C0FD9" w:rsidRPr="00CA25CF" w:rsidRDefault="002C0FD9" w:rsidP="00CA25CF">
            <w:pPr>
              <w:rPr>
                <w:rFonts w:cs="Arial"/>
                <w:color w:val="FF0000"/>
                <w:sz w:val="21"/>
                <w:szCs w:val="21"/>
              </w:rPr>
            </w:pPr>
          </w:p>
        </w:tc>
        <w:tc>
          <w:tcPr>
            <w:tcW w:w="217" w:type="dxa"/>
          </w:tcPr>
          <w:p w14:paraId="3F32A54C" w14:textId="77777777" w:rsidR="002C0FD9" w:rsidRPr="00CA25CF" w:rsidRDefault="002C0FD9" w:rsidP="00CA25CF">
            <w:pPr>
              <w:rPr>
                <w:rFonts w:cs="Arial"/>
                <w:color w:val="FF0000"/>
                <w:sz w:val="21"/>
                <w:szCs w:val="21"/>
              </w:rPr>
            </w:pPr>
          </w:p>
        </w:tc>
        <w:tc>
          <w:tcPr>
            <w:tcW w:w="217" w:type="dxa"/>
          </w:tcPr>
          <w:p w14:paraId="14FC25AF" w14:textId="77777777" w:rsidR="002C0FD9" w:rsidRPr="00CA25CF" w:rsidRDefault="002C0FD9" w:rsidP="00CA25CF">
            <w:pPr>
              <w:rPr>
                <w:rFonts w:cs="Arial"/>
                <w:color w:val="FF0000"/>
                <w:sz w:val="21"/>
                <w:szCs w:val="21"/>
              </w:rPr>
            </w:pPr>
          </w:p>
        </w:tc>
        <w:tc>
          <w:tcPr>
            <w:tcW w:w="217" w:type="dxa"/>
          </w:tcPr>
          <w:p w14:paraId="283E7295" w14:textId="77777777" w:rsidR="002C0FD9" w:rsidRPr="00CA25CF" w:rsidRDefault="002C0FD9" w:rsidP="00CA25CF">
            <w:pPr>
              <w:rPr>
                <w:rFonts w:cs="Arial"/>
                <w:color w:val="FF0000"/>
                <w:sz w:val="21"/>
                <w:szCs w:val="21"/>
              </w:rPr>
            </w:pPr>
          </w:p>
        </w:tc>
        <w:tc>
          <w:tcPr>
            <w:tcW w:w="217" w:type="dxa"/>
          </w:tcPr>
          <w:p w14:paraId="7EBE86F5" w14:textId="77777777" w:rsidR="002C0FD9" w:rsidRPr="00CA25CF" w:rsidRDefault="002C0FD9" w:rsidP="00CA25CF">
            <w:pPr>
              <w:rPr>
                <w:rFonts w:cs="Arial"/>
                <w:color w:val="FF0000"/>
                <w:sz w:val="21"/>
                <w:szCs w:val="21"/>
              </w:rPr>
            </w:pPr>
          </w:p>
        </w:tc>
        <w:tc>
          <w:tcPr>
            <w:tcW w:w="217" w:type="dxa"/>
          </w:tcPr>
          <w:p w14:paraId="6E4C541F" w14:textId="77777777" w:rsidR="002C0FD9" w:rsidRPr="00CA25CF" w:rsidRDefault="002C0FD9" w:rsidP="00CA25CF">
            <w:pPr>
              <w:rPr>
                <w:rFonts w:cs="Arial"/>
                <w:color w:val="FF0000"/>
                <w:sz w:val="21"/>
                <w:szCs w:val="21"/>
              </w:rPr>
            </w:pPr>
          </w:p>
        </w:tc>
        <w:tc>
          <w:tcPr>
            <w:tcW w:w="217" w:type="dxa"/>
          </w:tcPr>
          <w:p w14:paraId="0144117E" w14:textId="77777777" w:rsidR="002C0FD9" w:rsidRPr="00CA25CF" w:rsidRDefault="002C0FD9" w:rsidP="00CA25CF">
            <w:pPr>
              <w:rPr>
                <w:rFonts w:cs="Arial"/>
                <w:color w:val="FF0000"/>
                <w:sz w:val="21"/>
                <w:szCs w:val="21"/>
              </w:rPr>
            </w:pPr>
          </w:p>
        </w:tc>
        <w:tc>
          <w:tcPr>
            <w:tcW w:w="217" w:type="dxa"/>
          </w:tcPr>
          <w:p w14:paraId="2B5FB55D" w14:textId="77777777" w:rsidR="002C0FD9" w:rsidRPr="00CA25CF" w:rsidRDefault="002C0FD9" w:rsidP="00CA25CF">
            <w:pPr>
              <w:rPr>
                <w:rFonts w:cs="Arial"/>
                <w:color w:val="FF0000"/>
                <w:sz w:val="21"/>
                <w:szCs w:val="21"/>
              </w:rPr>
            </w:pPr>
          </w:p>
        </w:tc>
        <w:tc>
          <w:tcPr>
            <w:tcW w:w="217" w:type="dxa"/>
          </w:tcPr>
          <w:p w14:paraId="11BD792C" w14:textId="77777777" w:rsidR="002C0FD9" w:rsidRPr="00CA25CF" w:rsidRDefault="002C0FD9" w:rsidP="00CA25CF">
            <w:pPr>
              <w:rPr>
                <w:rFonts w:cs="Arial"/>
                <w:color w:val="FF0000"/>
                <w:sz w:val="21"/>
                <w:szCs w:val="21"/>
              </w:rPr>
            </w:pPr>
          </w:p>
        </w:tc>
        <w:tc>
          <w:tcPr>
            <w:tcW w:w="217" w:type="dxa"/>
          </w:tcPr>
          <w:p w14:paraId="2CDE376F" w14:textId="77777777" w:rsidR="002C0FD9" w:rsidRPr="00CA25CF" w:rsidRDefault="002C0FD9" w:rsidP="00CA25CF">
            <w:pPr>
              <w:rPr>
                <w:rFonts w:cs="Arial"/>
                <w:color w:val="FF0000"/>
                <w:sz w:val="21"/>
                <w:szCs w:val="21"/>
              </w:rPr>
            </w:pPr>
          </w:p>
        </w:tc>
        <w:tc>
          <w:tcPr>
            <w:tcW w:w="217" w:type="dxa"/>
          </w:tcPr>
          <w:p w14:paraId="6401601F" w14:textId="77777777" w:rsidR="002C0FD9" w:rsidRPr="00CA25CF" w:rsidRDefault="002C0FD9" w:rsidP="00CA25CF">
            <w:pPr>
              <w:rPr>
                <w:rFonts w:cs="Arial"/>
                <w:color w:val="FF0000"/>
                <w:sz w:val="21"/>
                <w:szCs w:val="21"/>
              </w:rPr>
            </w:pPr>
          </w:p>
        </w:tc>
        <w:tc>
          <w:tcPr>
            <w:tcW w:w="217" w:type="dxa"/>
          </w:tcPr>
          <w:p w14:paraId="23D16FB3" w14:textId="77777777" w:rsidR="002C0FD9" w:rsidRPr="00CA25CF" w:rsidRDefault="002C0FD9" w:rsidP="00CA25CF">
            <w:pPr>
              <w:rPr>
                <w:rFonts w:cs="Arial"/>
                <w:color w:val="FF0000"/>
                <w:sz w:val="21"/>
                <w:szCs w:val="21"/>
              </w:rPr>
            </w:pPr>
          </w:p>
        </w:tc>
        <w:tc>
          <w:tcPr>
            <w:tcW w:w="217" w:type="dxa"/>
          </w:tcPr>
          <w:p w14:paraId="34B6ED83" w14:textId="77777777" w:rsidR="002C0FD9" w:rsidRPr="00CA25CF" w:rsidRDefault="002C0FD9" w:rsidP="00CA25CF">
            <w:pPr>
              <w:rPr>
                <w:rFonts w:cs="Arial"/>
                <w:color w:val="FF0000"/>
                <w:sz w:val="21"/>
                <w:szCs w:val="21"/>
              </w:rPr>
            </w:pPr>
          </w:p>
        </w:tc>
        <w:tc>
          <w:tcPr>
            <w:tcW w:w="217" w:type="dxa"/>
          </w:tcPr>
          <w:p w14:paraId="68C27901" w14:textId="77777777" w:rsidR="002C0FD9" w:rsidRPr="00CA25CF" w:rsidRDefault="002C0FD9" w:rsidP="00CA25CF">
            <w:pPr>
              <w:rPr>
                <w:rFonts w:cs="Arial"/>
                <w:color w:val="FF0000"/>
                <w:sz w:val="21"/>
                <w:szCs w:val="21"/>
              </w:rPr>
            </w:pPr>
          </w:p>
        </w:tc>
        <w:tc>
          <w:tcPr>
            <w:tcW w:w="217" w:type="dxa"/>
          </w:tcPr>
          <w:p w14:paraId="07A900F8" w14:textId="77777777" w:rsidR="002C0FD9" w:rsidRPr="00CA25CF" w:rsidRDefault="002C0FD9" w:rsidP="00CA25CF">
            <w:pPr>
              <w:rPr>
                <w:rFonts w:cs="Arial"/>
                <w:color w:val="FF0000"/>
                <w:sz w:val="21"/>
                <w:szCs w:val="21"/>
              </w:rPr>
            </w:pPr>
          </w:p>
        </w:tc>
        <w:tc>
          <w:tcPr>
            <w:tcW w:w="217" w:type="dxa"/>
          </w:tcPr>
          <w:p w14:paraId="7996E941" w14:textId="77777777" w:rsidR="002C0FD9" w:rsidRPr="00CA25CF" w:rsidRDefault="002C0FD9" w:rsidP="00CA25CF">
            <w:pPr>
              <w:rPr>
                <w:rFonts w:cs="Arial"/>
                <w:color w:val="FF0000"/>
                <w:sz w:val="21"/>
                <w:szCs w:val="21"/>
              </w:rPr>
            </w:pPr>
          </w:p>
        </w:tc>
        <w:tc>
          <w:tcPr>
            <w:tcW w:w="217" w:type="dxa"/>
          </w:tcPr>
          <w:p w14:paraId="2D7F678A" w14:textId="77777777" w:rsidR="002C0FD9" w:rsidRPr="00CA25CF" w:rsidRDefault="002C0FD9" w:rsidP="00CA25CF">
            <w:pPr>
              <w:rPr>
                <w:rFonts w:cs="Arial"/>
                <w:color w:val="FF0000"/>
                <w:sz w:val="21"/>
                <w:szCs w:val="21"/>
              </w:rPr>
            </w:pPr>
          </w:p>
        </w:tc>
        <w:tc>
          <w:tcPr>
            <w:tcW w:w="217" w:type="dxa"/>
          </w:tcPr>
          <w:p w14:paraId="0BB3D574" w14:textId="77777777" w:rsidR="002C0FD9" w:rsidRPr="00CA25CF" w:rsidRDefault="002C0FD9" w:rsidP="00CA25CF">
            <w:pPr>
              <w:rPr>
                <w:rFonts w:cs="Arial"/>
                <w:color w:val="FF0000"/>
                <w:sz w:val="21"/>
                <w:szCs w:val="21"/>
              </w:rPr>
            </w:pPr>
          </w:p>
        </w:tc>
        <w:tc>
          <w:tcPr>
            <w:tcW w:w="217" w:type="dxa"/>
          </w:tcPr>
          <w:p w14:paraId="0D107F16" w14:textId="77777777" w:rsidR="002C0FD9" w:rsidRPr="00CA25CF" w:rsidRDefault="002C0FD9" w:rsidP="00CA25CF">
            <w:pPr>
              <w:rPr>
                <w:rFonts w:cs="Arial"/>
                <w:color w:val="FF0000"/>
                <w:sz w:val="21"/>
                <w:szCs w:val="21"/>
              </w:rPr>
            </w:pPr>
          </w:p>
        </w:tc>
        <w:tc>
          <w:tcPr>
            <w:tcW w:w="217" w:type="dxa"/>
          </w:tcPr>
          <w:p w14:paraId="4CE82E75" w14:textId="77777777" w:rsidR="002C0FD9" w:rsidRPr="00CA25CF" w:rsidRDefault="002C0FD9" w:rsidP="00CA25CF">
            <w:pPr>
              <w:rPr>
                <w:rFonts w:cs="Arial"/>
                <w:color w:val="FF0000"/>
                <w:sz w:val="21"/>
                <w:szCs w:val="21"/>
              </w:rPr>
            </w:pPr>
          </w:p>
        </w:tc>
      </w:tr>
      <w:tr w:rsidR="002C0FD9" w:rsidRPr="00A16219" w14:paraId="437A0011" w14:textId="4A3DC863" w:rsidTr="002C0FD9">
        <w:trPr>
          <w:trHeight w:val="635"/>
        </w:trPr>
        <w:tc>
          <w:tcPr>
            <w:tcW w:w="515" w:type="dxa"/>
          </w:tcPr>
          <w:p w14:paraId="316A01C8" w14:textId="77777777" w:rsidR="002C0FD9" w:rsidRPr="00CA25CF" w:rsidRDefault="002C0FD9" w:rsidP="00CA25CF">
            <w:pPr>
              <w:rPr>
                <w:rFonts w:cs="Arial"/>
                <w:color w:val="FF0000"/>
                <w:sz w:val="21"/>
                <w:szCs w:val="21"/>
              </w:rPr>
            </w:pPr>
          </w:p>
        </w:tc>
        <w:tc>
          <w:tcPr>
            <w:tcW w:w="217" w:type="dxa"/>
          </w:tcPr>
          <w:p w14:paraId="40B421CC" w14:textId="77777777" w:rsidR="002C0FD9" w:rsidRPr="00CA25CF" w:rsidRDefault="002C0FD9" w:rsidP="00CA25CF">
            <w:pPr>
              <w:rPr>
                <w:rFonts w:cs="Arial"/>
                <w:color w:val="FF0000"/>
                <w:sz w:val="21"/>
                <w:szCs w:val="21"/>
              </w:rPr>
            </w:pPr>
          </w:p>
        </w:tc>
        <w:tc>
          <w:tcPr>
            <w:tcW w:w="217" w:type="dxa"/>
          </w:tcPr>
          <w:p w14:paraId="4AD3151F" w14:textId="453C9886" w:rsidR="002C0FD9" w:rsidRPr="00CA25CF" w:rsidRDefault="002C0FD9" w:rsidP="00CA25CF">
            <w:pPr>
              <w:rPr>
                <w:rFonts w:cs="Arial"/>
                <w:color w:val="FF0000"/>
                <w:sz w:val="21"/>
                <w:szCs w:val="21"/>
              </w:rPr>
            </w:pPr>
          </w:p>
        </w:tc>
        <w:tc>
          <w:tcPr>
            <w:tcW w:w="217" w:type="dxa"/>
          </w:tcPr>
          <w:p w14:paraId="1EDE1A55" w14:textId="77777777" w:rsidR="002C0FD9" w:rsidRPr="00CA25CF" w:rsidRDefault="002C0FD9" w:rsidP="00CA25CF">
            <w:pPr>
              <w:rPr>
                <w:rFonts w:cs="Arial"/>
                <w:color w:val="FF0000"/>
                <w:sz w:val="21"/>
                <w:szCs w:val="21"/>
              </w:rPr>
            </w:pPr>
          </w:p>
        </w:tc>
        <w:tc>
          <w:tcPr>
            <w:tcW w:w="217" w:type="dxa"/>
          </w:tcPr>
          <w:p w14:paraId="49A50113" w14:textId="77777777" w:rsidR="002C0FD9" w:rsidRPr="00CA25CF" w:rsidRDefault="002C0FD9" w:rsidP="00CA25CF">
            <w:pPr>
              <w:rPr>
                <w:rFonts w:cs="Arial"/>
                <w:color w:val="FF0000"/>
                <w:sz w:val="21"/>
                <w:szCs w:val="21"/>
              </w:rPr>
            </w:pPr>
          </w:p>
        </w:tc>
        <w:tc>
          <w:tcPr>
            <w:tcW w:w="217" w:type="dxa"/>
          </w:tcPr>
          <w:p w14:paraId="5A2719B5" w14:textId="77777777" w:rsidR="002C0FD9" w:rsidRPr="00CA25CF" w:rsidRDefault="002C0FD9" w:rsidP="00CA25CF">
            <w:pPr>
              <w:rPr>
                <w:rFonts w:cs="Arial"/>
                <w:color w:val="FF0000"/>
                <w:sz w:val="21"/>
                <w:szCs w:val="21"/>
              </w:rPr>
            </w:pPr>
          </w:p>
        </w:tc>
        <w:tc>
          <w:tcPr>
            <w:tcW w:w="217" w:type="dxa"/>
          </w:tcPr>
          <w:p w14:paraId="29120C7F" w14:textId="77777777" w:rsidR="002C0FD9" w:rsidRPr="00CA25CF" w:rsidRDefault="002C0FD9" w:rsidP="00CA25CF">
            <w:pPr>
              <w:rPr>
                <w:rFonts w:cs="Arial"/>
                <w:color w:val="FF0000"/>
                <w:sz w:val="21"/>
                <w:szCs w:val="21"/>
              </w:rPr>
            </w:pPr>
          </w:p>
        </w:tc>
        <w:tc>
          <w:tcPr>
            <w:tcW w:w="217" w:type="dxa"/>
          </w:tcPr>
          <w:p w14:paraId="34763283" w14:textId="77777777" w:rsidR="002C0FD9" w:rsidRPr="00CA25CF" w:rsidRDefault="002C0FD9" w:rsidP="00CA25CF">
            <w:pPr>
              <w:rPr>
                <w:rFonts w:cs="Arial"/>
                <w:color w:val="FF0000"/>
                <w:sz w:val="21"/>
                <w:szCs w:val="21"/>
              </w:rPr>
            </w:pPr>
          </w:p>
        </w:tc>
        <w:tc>
          <w:tcPr>
            <w:tcW w:w="217" w:type="dxa"/>
          </w:tcPr>
          <w:p w14:paraId="357CA548" w14:textId="77777777" w:rsidR="002C0FD9" w:rsidRPr="00CA25CF" w:rsidRDefault="002C0FD9" w:rsidP="00CA25CF">
            <w:pPr>
              <w:rPr>
                <w:rFonts w:cs="Arial"/>
                <w:color w:val="FF0000"/>
                <w:sz w:val="21"/>
                <w:szCs w:val="21"/>
              </w:rPr>
            </w:pPr>
          </w:p>
        </w:tc>
        <w:tc>
          <w:tcPr>
            <w:tcW w:w="217" w:type="dxa"/>
          </w:tcPr>
          <w:p w14:paraId="09DD7EE5" w14:textId="77777777" w:rsidR="002C0FD9" w:rsidRPr="00CA25CF" w:rsidRDefault="002C0FD9" w:rsidP="00CA25CF">
            <w:pPr>
              <w:rPr>
                <w:rFonts w:cs="Arial"/>
                <w:color w:val="FF0000"/>
                <w:sz w:val="21"/>
                <w:szCs w:val="21"/>
              </w:rPr>
            </w:pPr>
          </w:p>
        </w:tc>
        <w:tc>
          <w:tcPr>
            <w:tcW w:w="217" w:type="dxa"/>
          </w:tcPr>
          <w:p w14:paraId="1159D276" w14:textId="77777777" w:rsidR="002C0FD9" w:rsidRPr="00CA25CF" w:rsidRDefault="002C0FD9" w:rsidP="00CA25CF">
            <w:pPr>
              <w:rPr>
                <w:rFonts w:cs="Arial"/>
                <w:color w:val="FF0000"/>
                <w:sz w:val="21"/>
                <w:szCs w:val="21"/>
              </w:rPr>
            </w:pPr>
          </w:p>
        </w:tc>
        <w:tc>
          <w:tcPr>
            <w:tcW w:w="217" w:type="dxa"/>
          </w:tcPr>
          <w:p w14:paraId="3DEBC658" w14:textId="77777777" w:rsidR="002C0FD9" w:rsidRPr="00CA25CF" w:rsidRDefault="002C0FD9" w:rsidP="00CA25CF">
            <w:pPr>
              <w:rPr>
                <w:rFonts w:cs="Arial"/>
                <w:color w:val="FF0000"/>
                <w:sz w:val="21"/>
                <w:szCs w:val="21"/>
              </w:rPr>
            </w:pPr>
          </w:p>
        </w:tc>
        <w:tc>
          <w:tcPr>
            <w:tcW w:w="217" w:type="dxa"/>
          </w:tcPr>
          <w:p w14:paraId="1924F0C4" w14:textId="77777777" w:rsidR="002C0FD9" w:rsidRPr="00CA25CF" w:rsidRDefault="002C0FD9" w:rsidP="00CA25CF">
            <w:pPr>
              <w:rPr>
                <w:rFonts w:cs="Arial"/>
                <w:color w:val="FF0000"/>
                <w:sz w:val="21"/>
                <w:szCs w:val="21"/>
              </w:rPr>
            </w:pPr>
          </w:p>
        </w:tc>
        <w:tc>
          <w:tcPr>
            <w:tcW w:w="217" w:type="dxa"/>
          </w:tcPr>
          <w:p w14:paraId="39355E07" w14:textId="77777777" w:rsidR="002C0FD9" w:rsidRPr="00CA25CF" w:rsidRDefault="002C0FD9" w:rsidP="00CA25CF">
            <w:pPr>
              <w:rPr>
                <w:rFonts w:cs="Arial"/>
                <w:color w:val="FF0000"/>
                <w:sz w:val="21"/>
                <w:szCs w:val="21"/>
              </w:rPr>
            </w:pPr>
          </w:p>
        </w:tc>
        <w:tc>
          <w:tcPr>
            <w:tcW w:w="217" w:type="dxa"/>
          </w:tcPr>
          <w:p w14:paraId="4F650FAE" w14:textId="77777777" w:rsidR="002C0FD9" w:rsidRPr="00CA25CF" w:rsidRDefault="002C0FD9" w:rsidP="00CA25CF">
            <w:pPr>
              <w:rPr>
                <w:rFonts w:cs="Arial"/>
                <w:color w:val="FF0000"/>
                <w:sz w:val="21"/>
                <w:szCs w:val="21"/>
              </w:rPr>
            </w:pPr>
          </w:p>
        </w:tc>
        <w:tc>
          <w:tcPr>
            <w:tcW w:w="217" w:type="dxa"/>
          </w:tcPr>
          <w:p w14:paraId="73175795" w14:textId="77777777" w:rsidR="002C0FD9" w:rsidRPr="00CA25CF" w:rsidRDefault="002C0FD9" w:rsidP="00CA25CF">
            <w:pPr>
              <w:rPr>
                <w:rFonts w:cs="Arial"/>
                <w:color w:val="FF0000"/>
                <w:sz w:val="21"/>
                <w:szCs w:val="21"/>
              </w:rPr>
            </w:pPr>
          </w:p>
        </w:tc>
        <w:tc>
          <w:tcPr>
            <w:tcW w:w="217" w:type="dxa"/>
          </w:tcPr>
          <w:p w14:paraId="6187D302" w14:textId="77777777" w:rsidR="002C0FD9" w:rsidRPr="00CA25CF" w:rsidRDefault="002C0FD9" w:rsidP="00CA25CF">
            <w:pPr>
              <w:rPr>
                <w:rFonts w:cs="Arial"/>
                <w:color w:val="FF0000"/>
                <w:sz w:val="21"/>
                <w:szCs w:val="21"/>
              </w:rPr>
            </w:pPr>
          </w:p>
        </w:tc>
        <w:tc>
          <w:tcPr>
            <w:tcW w:w="217" w:type="dxa"/>
          </w:tcPr>
          <w:p w14:paraId="32B6D283" w14:textId="77777777" w:rsidR="002C0FD9" w:rsidRPr="00CA25CF" w:rsidRDefault="002C0FD9" w:rsidP="00CA25CF">
            <w:pPr>
              <w:rPr>
                <w:rFonts w:cs="Arial"/>
                <w:color w:val="FF0000"/>
                <w:sz w:val="21"/>
                <w:szCs w:val="21"/>
              </w:rPr>
            </w:pPr>
          </w:p>
        </w:tc>
        <w:tc>
          <w:tcPr>
            <w:tcW w:w="217" w:type="dxa"/>
          </w:tcPr>
          <w:p w14:paraId="2AB6BCD0" w14:textId="77777777" w:rsidR="002C0FD9" w:rsidRPr="00CA25CF" w:rsidRDefault="002C0FD9" w:rsidP="00CA25CF">
            <w:pPr>
              <w:rPr>
                <w:rFonts w:cs="Arial"/>
                <w:color w:val="FF0000"/>
                <w:sz w:val="21"/>
                <w:szCs w:val="21"/>
              </w:rPr>
            </w:pPr>
          </w:p>
        </w:tc>
        <w:tc>
          <w:tcPr>
            <w:tcW w:w="217" w:type="dxa"/>
          </w:tcPr>
          <w:p w14:paraId="3F764D81" w14:textId="77777777" w:rsidR="002C0FD9" w:rsidRPr="00CA25CF" w:rsidRDefault="002C0FD9" w:rsidP="00CA25CF">
            <w:pPr>
              <w:rPr>
                <w:rFonts w:cs="Arial"/>
                <w:color w:val="FF0000"/>
                <w:sz w:val="21"/>
                <w:szCs w:val="21"/>
              </w:rPr>
            </w:pPr>
          </w:p>
        </w:tc>
        <w:tc>
          <w:tcPr>
            <w:tcW w:w="217" w:type="dxa"/>
          </w:tcPr>
          <w:p w14:paraId="388834D1" w14:textId="77777777" w:rsidR="002C0FD9" w:rsidRPr="00CA25CF" w:rsidRDefault="002C0FD9" w:rsidP="00CA25CF">
            <w:pPr>
              <w:rPr>
                <w:rFonts w:cs="Arial"/>
                <w:color w:val="FF0000"/>
                <w:sz w:val="21"/>
                <w:szCs w:val="21"/>
              </w:rPr>
            </w:pPr>
          </w:p>
        </w:tc>
        <w:tc>
          <w:tcPr>
            <w:tcW w:w="217" w:type="dxa"/>
          </w:tcPr>
          <w:p w14:paraId="5C5EFF6E" w14:textId="77777777" w:rsidR="002C0FD9" w:rsidRPr="00CA25CF" w:rsidRDefault="002C0FD9" w:rsidP="00CA25CF">
            <w:pPr>
              <w:rPr>
                <w:rFonts w:cs="Arial"/>
                <w:color w:val="FF0000"/>
                <w:sz w:val="21"/>
                <w:szCs w:val="21"/>
              </w:rPr>
            </w:pPr>
          </w:p>
        </w:tc>
        <w:tc>
          <w:tcPr>
            <w:tcW w:w="217" w:type="dxa"/>
          </w:tcPr>
          <w:p w14:paraId="3F3D6CB6" w14:textId="77777777" w:rsidR="002C0FD9" w:rsidRPr="00CA25CF" w:rsidRDefault="002C0FD9" w:rsidP="00CA25CF">
            <w:pPr>
              <w:rPr>
                <w:rFonts w:cs="Arial"/>
                <w:color w:val="FF0000"/>
                <w:sz w:val="21"/>
                <w:szCs w:val="21"/>
              </w:rPr>
            </w:pPr>
          </w:p>
        </w:tc>
        <w:tc>
          <w:tcPr>
            <w:tcW w:w="217" w:type="dxa"/>
          </w:tcPr>
          <w:p w14:paraId="3280476D" w14:textId="77777777" w:rsidR="002C0FD9" w:rsidRPr="00CA25CF" w:rsidRDefault="002C0FD9" w:rsidP="00CA25CF">
            <w:pPr>
              <w:rPr>
                <w:rFonts w:cs="Arial"/>
                <w:color w:val="FF0000"/>
                <w:sz w:val="21"/>
                <w:szCs w:val="21"/>
              </w:rPr>
            </w:pPr>
          </w:p>
        </w:tc>
        <w:tc>
          <w:tcPr>
            <w:tcW w:w="217" w:type="dxa"/>
          </w:tcPr>
          <w:p w14:paraId="7E40FB1C" w14:textId="77777777" w:rsidR="002C0FD9" w:rsidRPr="00CA25CF" w:rsidRDefault="002C0FD9" w:rsidP="00CA25CF">
            <w:pPr>
              <w:rPr>
                <w:rFonts w:cs="Arial"/>
                <w:color w:val="FF0000"/>
                <w:sz w:val="21"/>
                <w:szCs w:val="21"/>
              </w:rPr>
            </w:pPr>
          </w:p>
        </w:tc>
        <w:tc>
          <w:tcPr>
            <w:tcW w:w="217" w:type="dxa"/>
          </w:tcPr>
          <w:p w14:paraId="1DEE4B33" w14:textId="77777777" w:rsidR="002C0FD9" w:rsidRPr="00CA25CF" w:rsidRDefault="002C0FD9" w:rsidP="00CA25CF">
            <w:pPr>
              <w:rPr>
                <w:rFonts w:cs="Arial"/>
                <w:color w:val="FF0000"/>
                <w:sz w:val="21"/>
                <w:szCs w:val="21"/>
              </w:rPr>
            </w:pPr>
          </w:p>
        </w:tc>
        <w:tc>
          <w:tcPr>
            <w:tcW w:w="217" w:type="dxa"/>
          </w:tcPr>
          <w:p w14:paraId="59C797E7" w14:textId="77777777" w:rsidR="002C0FD9" w:rsidRPr="00CA25CF" w:rsidRDefault="002C0FD9" w:rsidP="00CA25CF">
            <w:pPr>
              <w:rPr>
                <w:rFonts w:cs="Arial"/>
                <w:color w:val="FF0000"/>
                <w:sz w:val="21"/>
                <w:szCs w:val="21"/>
              </w:rPr>
            </w:pPr>
          </w:p>
        </w:tc>
        <w:tc>
          <w:tcPr>
            <w:tcW w:w="217" w:type="dxa"/>
          </w:tcPr>
          <w:p w14:paraId="591B517B" w14:textId="77777777" w:rsidR="002C0FD9" w:rsidRPr="00CA25CF" w:rsidRDefault="002C0FD9" w:rsidP="00CA25CF">
            <w:pPr>
              <w:rPr>
                <w:rFonts w:cs="Arial"/>
                <w:color w:val="FF0000"/>
                <w:sz w:val="21"/>
                <w:szCs w:val="21"/>
              </w:rPr>
            </w:pPr>
          </w:p>
        </w:tc>
        <w:tc>
          <w:tcPr>
            <w:tcW w:w="217" w:type="dxa"/>
          </w:tcPr>
          <w:p w14:paraId="0811D05A" w14:textId="77777777" w:rsidR="002C0FD9" w:rsidRPr="00CA25CF" w:rsidRDefault="002C0FD9" w:rsidP="00CA25CF">
            <w:pPr>
              <w:rPr>
                <w:rFonts w:cs="Arial"/>
                <w:color w:val="FF0000"/>
                <w:sz w:val="21"/>
                <w:szCs w:val="21"/>
              </w:rPr>
            </w:pPr>
          </w:p>
        </w:tc>
        <w:tc>
          <w:tcPr>
            <w:tcW w:w="217" w:type="dxa"/>
          </w:tcPr>
          <w:p w14:paraId="2E72B90E" w14:textId="77777777" w:rsidR="002C0FD9" w:rsidRPr="00CA25CF" w:rsidRDefault="002C0FD9" w:rsidP="00CA25CF">
            <w:pPr>
              <w:rPr>
                <w:rFonts w:cs="Arial"/>
                <w:color w:val="FF0000"/>
                <w:sz w:val="21"/>
                <w:szCs w:val="21"/>
              </w:rPr>
            </w:pPr>
          </w:p>
        </w:tc>
        <w:tc>
          <w:tcPr>
            <w:tcW w:w="217" w:type="dxa"/>
          </w:tcPr>
          <w:p w14:paraId="023215F2" w14:textId="77777777" w:rsidR="002C0FD9" w:rsidRPr="00CA25CF" w:rsidRDefault="002C0FD9" w:rsidP="00CA25CF">
            <w:pPr>
              <w:rPr>
                <w:rFonts w:cs="Arial"/>
                <w:color w:val="FF0000"/>
                <w:sz w:val="21"/>
                <w:szCs w:val="21"/>
              </w:rPr>
            </w:pPr>
          </w:p>
        </w:tc>
        <w:tc>
          <w:tcPr>
            <w:tcW w:w="217" w:type="dxa"/>
          </w:tcPr>
          <w:p w14:paraId="56809FCF" w14:textId="77777777" w:rsidR="002C0FD9" w:rsidRPr="00CA25CF" w:rsidRDefault="002C0FD9" w:rsidP="00CA25CF">
            <w:pPr>
              <w:rPr>
                <w:rFonts w:cs="Arial"/>
                <w:color w:val="FF0000"/>
                <w:sz w:val="21"/>
                <w:szCs w:val="21"/>
              </w:rPr>
            </w:pPr>
          </w:p>
        </w:tc>
        <w:tc>
          <w:tcPr>
            <w:tcW w:w="217" w:type="dxa"/>
          </w:tcPr>
          <w:p w14:paraId="1F7F9934" w14:textId="77777777" w:rsidR="002C0FD9" w:rsidRPr="00CA25CF" w:rsidRDefault="002C0FD9" w:rsidP="00CA25CF">
            <w:pPr>
              <w:rPr>
                <w:rFonts w:cs="Arial"/>
                <w:color w:val="FF0000"/>
                <w:sz w:val="21"/>
                <w:szCs w:val="21"/>
              </w:rPr>
            </w:pPr>
          </w:p>
        </w:tc>
        <w:tc>
          <w:tcPr>
            <w:tcW w:w="217" w:type="dxa"/>
          </w:tcPr>
          <w:p w14:paraId="7D251191" w14:textId="77777777" w:rsidR="002C0FD9" w:rsidRPr="00CA25CF" w:rsidRDefault="002C0FD9" w:rsidP="00CA25CF">
            <w:pPr>
              <w:rPr>
                <w:rFonts w:cs="Arial"/>
                <w:color w:val="FF0000"/>
                <w:sz w:val="21"/>
                <w:szCs w:val="21"/>
              </w:rPr>
            </w:pPr>
          </w:p>
        </w:tc>
        <w:tc>
          <w:tcPr>
            <w:tcW w:w="217" w:type="dxa"/>
          </w:tcPr>
          <w:p w14:paraId="121FD1ED" w14:textId="77777777" w:rsidR="002C0FD9" w:rsidRPr="00CA25CF" w:rsidRDefault="002C0FD9" w:rsidP="00CA25CF">
            <w:pPr>
              <w:rPr>
                <w:rFonts w:cs="Arial"/>
                <w:color w:val="FF0000"/>
                <w:sz w:val="21"/>
                <w:szCs w:val="21"/>
              </w:rPr>
            </w:pPr>
          </w:p>
        </w:tc>
        <w:tc>
          <w:tcPr>
            <w:tcW w:w="217" w:type="dxa"/>
          </w:tcPr>
          <w:p w14:paraId="69C53A4D" w14:textId="77777777" w:rsidR="002C0FD9" w:rsidRPr="00CA25CF" w:rsidRDefault="002C0FD9" w:rsidP="00CA25CF">
            <w:pPr>
              <w:rPr>
                <w:rFonts w:cs="Arial"/>
                <w:color w:val="FF0000"/>
                <w:sz w:val="21"/>
                <w:szCs w:val="21"/>
              </w:rPr>
            </w:pPr>
          </w:p>
        </w:tc>
        <w:tc>
          <w:tcPr>
            <w:tcW w:w="217" w:type="dxa"/>
          </w:tcPr>
          <w:p w14:paraId="4E5A8792" w14:textId="77777777" w:rsidR="002C0FD9" w:rsidRPr="00CA25CF" w:rsidRDefault="002C0FD9" w:rsidP="00CA25CF">
            <w:pPr>
              <w:rPr>
                <w:rFonts w:cs="Arial"/>
                <w:color w:val="FF0000"/>
                <w:sz w:val="21"/>
                <w:szCs w:val="21"/>
              </w:rPr>
            </w:pPr>
          </w:p>
        </w:tc>
        <w:tc>
          <w:tcPr>
            <w:tcW w:w="217" w:type="dxa"/>
          </w:tcPr>
          <w:p w14:paraId="020FBF97" w14:textId="77777777" w:rsidR="002C0FD9" w:rsidRPr="00CA25CF" w:rsidRDefault="002C0FD9" w:rsidP="00CA25CF">
            <w:pPr>
              <w:rPr>
                <w:rFonts w:cs="Arial"/>
                <w:color w:val="FF0000"/>
                <w:sz w:val="21"/>
                <w:szCs w:val="21"/>
              </w:rPr>
            </w:pPr>
          </w:p>
        </w:tc>
        <w:tc>
          <w:tcPr>
            <w:tcW w:w="217" w:type="dxa"/>
          </w:tcPr>
          <w:p w14:paraId="3135A546" w14:textId="77777777" w:rsidR="002C0FD9" w:rsidRPr="00CA25CF" w:rsidRDefault="002C0FD9" w:rsidP="00CA25CF">
            <w:pPr>
              <w:rPr>
                <w:rFonts w:cs="Arial"/>
                <w:color w:val="FF0000"/>
                <w:sz w:val="21"/>
                <w:szCs w:val="21"/>
              </w:rPr>
            </w:pPr>
          </w:p>
        </w:tc>
        <w:tc>
          <w:tcPr>
            <w:tcW w:w="217" w:type="dxa"/>
          </w:tcPr>
          <w:p w14:paraId="721248B8" w14:textId="77777777" w:rsidR="002C0FD9" w:rsidRPr="00CA25CF" w:rsidRDefault="002C0FD9" w:rsidP="00CA25CF">
            <w:pPr>
              <w:rPr>
                <w:rFonts w:cs="Arial"/>
                <w:color w:val="FF0000"/>
                <w:sz w:val="21"/>
                <w:szCs w:val="21"/>
              </w:rPr>
            </w:pPr>
          </w:p>
        </w:tc>
        <w:tc>
          <w:tcPr>
            <w:tcW w:w="217" w:type="dxa"/>
          </w:tcPr>
          <w:p w14:paraId="427CA6F7" w14:textId="77777777" w:rsidR="002C0FD9" w:rsidRPr="00CA25CF" w:rsidRDefault="002C0FD9" w:rsidP="00CA25CF">
            <w:pPr>
              <w:rPr>
                <w:rFonts w:cs="Arial"/>
                <w:color w:val="FF0000"/>
                <w:sz w:val="21"/>
                <w:szCs w:val="21"/>
              </w:rPr>
            </w:pPr>
          </w:p>
        </w:tc>
        <w:tc>
          <w:tcPr>
            <w:tcW w:w="217" w:type="dxa"/>
          </w:tcPr>
          <w:p w14:paraId="431E2FC4" w14:textId="77777777" w:rsidR="002C0FD9" w:rsidRPr="00CA25CF" w:rsidRDefault="002C0FD9" w:rsidP="00CA25CF">
            <w:pPr>
              <w:rPr>
                <w:rFonts w:cs="Arial"/>
                <w:color w:val="FF0000"/>
                <w:sz w:val="21"/>
                <w:szCs w:val="21"/>
              </w:rPr>
            </w:pPr>
          </w:p>
        </w:tc>
        <w:tc>
          <w:tcPr>
            <w:tcW w:w="217" w:type="dxa"/>
          </w:tcPr>
          <w:p w14:paraId="781B4A77" w14:textId="77777777" w:rsidR="002C0FD9" w:rsidRPr="00CA25CF" w:rsidRDefault="002C0FD9" w:rsidP="00CA25CF">
            <w:pPr>
              <w:rPr>
                <w:rFonts w:cs="Arial"/>
                <w:color w:val="FF0000"/>
                <w:sz w:val="21"/>
                <w:szCs w:val="21"/>
              </w:rPr>
            </w:pPr>
          </w:p>
        </w:tc>
      </w:tr>
      <w:tr w:rsidR="002C0FD9" w:rsidRPr="00A16219" w14:paraId="29A72466" w14:textId="6DEF9B6D" w:rsidTr="002C0FD9">
        <w:trPr>
          <w:trHeight w:val="635"/>
        </w:trPr>
        <w:tc>
          <w:tcPr>
            <w:tcW w:w="515" w:type="dxa"/>
          </w:tcPr>
          <w:p w14:paraId="3A61759A" w14:textId="77777777" w:rsidR="002C0FD9" w:rsidRPr="00CA25CF" w:rsidRDefault="002C0FD9" w:rsidP="00CA25CF">
            <w:pPr>
              <w:rPr>
                <w:rFonts w:cs="Arial"/>
                <w:color w:val="FF0000"/>
                <w:sz w:val="21"/>
                <w:szCs w:val="21"/>
              </w:rPr>
            </w:pPr>
          </w:p>
        </w:tc>
        <w:tc>
          <w:tcPr>
            <w:tcW w:w="217" w:type="dxa"/>
          </w:tcPr>
          <w:p w14:paraId="58724408" w14:textId="77777777" w:rsidR="002C0FD9" w:rsidRPr="00CA25CF" w:rsidRDefault="002C0FD9" w:rsidP="00CA25CF">
            <w:pPr>
              <w:rPr>
                <w:rFonts w:cs="Arial"/>
                <w:color w:val="FF0000"/>
                <w:sz w:val="21"/>
                <w:szCs w:val="21"/>
              </w:rPr>
            </w:pPr>
          </w:p>
        </w:tc>
        <w:tc>
          <w:tcPr>
            <w:tcW w:w="217" w:type="dxa"/>
          </w:tcPr>
          <w:p w14:paraId="47E95E3A" w14:textId="03A1276D" w:rsidR="002C0FD9" w:rsidRPr="00CA25CF" w:rsidRDefault="002C0FD9" w:rsidP="00CA25CF">
            <w:pPr>
              <w:rPr>
                <w:rFonts w:cs="Arial"/>
                <w:color w:val="FF0000"/>
                <w:sz w:val="21"/>
                <w:szCs w:val="21"/>
              </w:rPr>
            </w:pPr>
          </w:p>
        </w:tc>
        <w:tc>
          <w:tcPr>
            <w:tcW w:w="217" w:type="dxa"/>
          </w:tcPr>
          <w:p w14:paraId="5ED0A345" w14:textId="77777777" w:rsidR="002C0FD9" w:rsidRPr="00CA25CF" w:rsidRDefault="002C0FD9" w:rsidP="00CA25CF">
            <w:pPr>
              <w:rPr>
                <w:rFonts w:cs="Arial"/>
                <w:color w:val="FF0000"/>
                <w:sz w:val="21"/>
                <w:szCs w:val="21"/>
              </w:rPr>
            </w:pPr>
          </w:p>
        </w:tc>
        <w:tc>
          <w:tcPr>
            <w:tcW w:w="217" w:type="dxa"/>
          </w:tcPr>
          <w:p w14:paraId="051483DC" w14:textId="77777777" w:rsidR="002C0FD9" w:rsidRPr="00CA25CF" w:rsidRDefault="002C0FD9" w:rsidP="00CA25CF">
            <w:pPr>
              <w:rPr>
                <w:rFonts w:cs="Arial"/>
                <w:color w:val="FF0000"/>
                <w:sz w:val="21"/>
                <w:szCs w:val="21"/>
              </w:rPr>
            </w:pPr>
          </w:p>
        </w:tc>
        <w:tc>
          <w:tcPr>
            <w:tcW w:w="217" w:type="dxa"/>
          </w:tcPr>
          <w:p w14:paraId="7F1330B6" w14:textId="77777777" w:rsidR="002C0FD9" w:rsidRPr="00CA25CF" w:rsidRDefault="002C0FD9" w:rsidP="00CA25CF">
            <w:pPr>
              <w:rPr>
                <w:rFonts w:cs="Arial"/>
                <w:color w:val="FF0000"/>
                <w:sz w:val="21"/>
                <w:szCs w:val="21"/>
              </w:rPr>
            </w:pPr>
          </w:p>
        </w:tc>
        <w:tc>
          <w:tcPr>
            <w:tcW w:w="217" w:type="dxa"/>
          </w:tcPr>
          <w:p w14:paraId="1E40B340" w14:textId="77777777" w:rsidR="002C0FD9" w:rsidRPr="00CA25CF" w:rsidRDefault="002C0FD9" w:rsidP="00CA25CF">
            <w:pPr>
              <w:rPr>
                <w:rFonts w:cs="Arial"/>
                <w:color w:val="FF0000"/>
                <w:sz w:val="21"/>
                <w:szCs w:val="21"/>
              </w:rPr>
            </w:pPr>
          </w:p>
        </w:tc>
        <w:tc>
          <w:tcPr>
            <w:tcW w:w="217" w:type="dxa"/>
          </w:tcPr>
          <w:p w14:paraId="33295EC4" w14:textId="77777777" w:rsidR="002C0FD9" w:rsidRPr="00CA25CF" w:rsidRDefault="002C0FD9" w:rsidP="00CA25CF">
            <w:pPr>
              <w:rPr>
                <w:rFonts w:cs="Arial"/>
                <w:color w:val="FF0000"/>
                <w:sz w:val="21"/>
                <w:szCs w:val="21"/>
              </w:rPr>
            </w:pPr>
          </w:p>
        </w:tc>
        <w:tc>
          <w:tcPr>
            <w:tcW w:w="217" w:type="dxa"/>
          </w:tcPr>
          <w:p w14:paraId="552547BD" w14:textId="77777777" w:rsidR="002C0FD9" w:rsidRPr="00CA25CF" w:rsidRDefault="002C0FD9" w:rsidP="00CA25CF">
            <w:pPr>
              <w:rPr>
                <w:rFonts w:cs="Arial"/>
                <w:color w:val="FF0000"/>
                <w:sz w:val="21"/>
                <w:szCs w:val="21"/>
              </w:rPr>
            </w:pPr>
          </w:p>
        </w:tc>
        <w:tc>
          <w:tcPr>
            <w:tcW w:w="217" w:type="dxa"/>
          </w:tcPr>
          <w:p w14:paraId="123E02E4" w14:textId="77777777" w:rsidR="002C0FD9" w:rsidRPr="00CA25CF" w:rsidRDefault="002C0FD9" w:rsidP="00CA25CF">
            <w:pPr>
              <w:rPr>
                <w:rFonts w:cs="Arial"/>
                <w:color w:val="FF0000"/>
                <w:sz w:val="21"/>
                <w:szCs w:val="21"/>
              </w:rPr>
            </w:pPr>
          </w:p>
        </w:tc>
        <w:tc>
          <w:tcPr>
            <w:tcW w:w="217" w:type="dxa"/>
          </w:tcPr>
          <w:p w14:paraId="7001A783" w14:textId="77777777" w:rsidR="002C0FD9" w:rsidRPr="00CA25CF" w:rsidRDefault="002C0FD9" w:rsidP="00CA25CF">
            <w:pPr>
              <w:rPr>
                <w:rFonts w:cs="Arial"/>
                <w:color w:val="FF0000"/>
                <w:sz w:val="21"/>
                <w:szCs w:val="21"/>
              </w:rPr>
            </w:pPr>
          </w:p>
        </w:tc>
        <w:tc>
          <w:tcPr>
            <w:tcW w:w="217" w:type="dxa"/>
          </w:tcPr>
          <w:p w14:paraId="0A843FC2" w14:textId="77777777" w:rsidR="002C0FD9" w:rsidRPr="00CA25CF" w:rsidRDefault="002C0FD9" w:rsidP="00CA25CF">
            <w:pPr>
              <w:rPr>
                <w:rFonts w:cs="Arial"/>
                <w:color w:val="FF0000"/>
                <w:sz w:val="21"/>
                <w:szCs w:val="21"/>
              </w:rPr>
            </w:pPr>
          </w:p>
        </w:tc>
        <w:tc>
          <w:tcPr>
            <w:tcW w:w="217" w:type="dxa"/>
          </w:tcPr>
          <w:p w14:paraId="0E8EB000" w14:textId="77777777" w:rsidR="002C0FD9" w:rsidRPr="00CA25CF" w:rsidRDefault="002C0FD9" w:rsidP="00CA25CF">
            <w:pPr>
              <w:rPr>
                <w:rFonts w:cs="Arial"/>
                <w:color w:val="FF0000"/>
                <w:sz w:val="21"/>
                <w:szCs w:val="21"/>
              </w:rPr>
            </w:pPr>
          </w:p>
        </w:tc>
        <w:tc>
          <w:tcPr>
            <w:tcW w:w="217" w:type="dxa"/>
          </w:tcPr>
          <w:p w14:paraId="13029E29" w14:textId="77777777" w:rsidR="002C0FD9" w:rsidRPr="00CA25CF" w:rsidRDefault="002C0FD9" w:rsidP="00CA25CF">
            <w:pPr>
              <w:rPr>
                <w:rFonts w:cs="Arial"/>
                <w:color w:val="FF0000"/>
                <w:sz w:val="21"/>
                <w:szCs w:val="21"/>
              </w:rPr>
            </w:pPr>
          </w:p>
        </w:tc>
        <w:tc>
          <w:tcPr>
            <w:tcW w:w="217" w:type="dxa"/>
          </w:tcPr>
          <w:p w14:paraId="667A3A2C" w14:textId="77777777" w:rsidR="002C0FD9" w:rsidRPr="00CA25CF" w:rsidRDefault="002C0FD9" w:rsidP="00CA25CF">
            <w:pPr>
              <w:rPr>
                <w:rFonts w:cs="Arial"/>
                <w:color w:val="FF0000"/>
                <w:sz w:val="21"/>
                <w:szCs w:val="21"/>
              </w:rPr>
            </w:pPr>
          </w:p>
        </w:tc>
        <w:tc>
          <w:tcPr>
            <w:tcW w:w="217" w:type="dxa"/>
          </w:tcPr>
          <w:p w14:paraId="7A169B6C" w14:textId="77777777" w:rsidR="002C0FD9" w:rsidRPr="00CA25CF" w:rsidRDefault="002C0FD9" w:rsidP="00CA25CF">
            <w:pPr>
              <w:rPr>
                <w:rFonts w:cs="Arial"/>
                <w:color w:val="FF0000"/>
                <w:sz w:val="21"/>
                <w:szCs w:val="21"/>
              </w:rPr>
            </w:pPr>
          </w:p>
        </w:tc>
        <w:tc>
          <w:tcPr>
            <w:tcW w:w="217" w:type="dxa"/>
          </w:tcPr>
          <w:p w14:paraId="50557E96" w14:textId="77777777" w:rsidR="002C0FD9" w:rsidRPr="00CA25CF" w:rsidRDefault="002C0FD9" w:rsidP="00CA25CF">
            <w:pPr>
              <w:rPr>
                <w:rFonts w:cs="Arial"/>
                <w:color w:val="FF0000"/>
                <w:sz w:val="21"/>
                <w:szCs w:val="21"/>
              </w:rPr>
            </w:pPr>
          </w:p>
        </w:tc>
        <w:tc>
          <w:tcPr>
            <w:tcW w:w="217" w:type="dxa"/>
          </w:tcPr>
          <w:p w14:paraId="7AE6202C" w14:textId="77777777" w:rsidR="002C0FD9" w:rsidRPr="00CA25CF" w:rsidRDefault="002C0FD9" w:rsidP="00CA25CF">
            <w:pPr>
              <w:rPr>
                <w:rFonts w:cs="Arial"/>
                <w:color w:val="FF0000"/>
                <w:sz w:val="21"/>
                <w:szCs w:val="21"/>
              </w:rPr>
            </w:pPr>
          </w:p>
        </w:tc>
        <w:tc>
          <w:tcPr>
            <w:tcW w:w="217" w:type="dxa"/>
          </w:tcPr>
          <w:p w14:paraId="696D3676" w14:textId="77777777" w:rsidR="002C0FD9" w:rsidRPr="00CA25CF" w:rsidRDefault="002C0FD9" w:rsidP="00CA25CF">
            <w:pPr>
              <w:rPr>
                <w:rFonts w:cs="Arial"/>
                <w:color w:val="FF0000"/>
                <w:sz w:val="21"/>
                <w:szCs w:val="21"/>
              </w:rPr>
            </w:pPr>
          </w:p>
        </w:tc>
        <w:tc>
          <w:tcPr>
            <w:tcW w:w="217" w:type="dxa"/>
          </w:tcPr>
          <w:p w14:paraId="1DCF3E16" w14:textId="77777777" w:rsidR="002C0FD9" w:rsidRPr="00CA25CF" w:rsidRDefault="002C0FD9" w:rsidP="00CA25CF">
            <w:pPr>
              <w:rPr>
                <w:rFonts w:cs="Arial"/>
                <w:color w:val="FF0000"/>
                <w:sz w:val="21"/>
                <w:szCs w:val="21"/>
              </w:rPr>
            </w:pPr>
          </w:p>
        </w:tc>
        <w:tc>
          <w:tcPr>
            <w:tcW w:w="217" w:type="dxa"/>
          </w:tcPr>
          <w:p w14:paraId="328D9714" w14:textId="77777777" w:rsidR="002C0FD9" w:rsidRPr="00CA25CF" w:rsidRDefault="002C0FD9" w:rsidP="00CA25CF">
            <w:pPr>
              <w:rPr>
                <w:rFonts w:cs="Arial"/>
                <w:color w:val="FF0000"/>
                <w:sz w:val="21"/>
                <w:szCs w:val="21"/>
              </w:rPr>
            </w:pPr>
          </w:p>
        </w:tc>
        <w:tc>
          <w:tcPr>
            <w:tcW w:w="217" w:type="dxa"/>
          </w:tcPr>
          <w:p w14:paraId="7CE99FDF" w14:textId="77777777" w:rsidR="002C0FD9" w:rsidRPr="00CA25CF" w:rsidRDefault="002C0FD9" w:rsidP="00CA25CF">
            <w:pPr>
              <w:rPr>
                <w:rFonts w:cs="Arial"/>
                <w:color w:val="FF0000"/>
                <w:sz w:val="21"/>
                <w:szCs w:val="21"/>
              </w:rPr>
            </w:pPr>
          </w:p>
        </w:tc>
        <w:tc>
          <w:tcPr>
            <w:tcW w:w="217" w:type="dxa"/>
          </w:tcPr>
          <w:p w14:paraId="1C2A8FD3" w14:textId="77777777" w:rsidR="002C0FD9" w:rsidRPr="00CA25CF" w:rsidRDefault="002C0FD9" w:rsidP="00CA25CF">
            <w:pPr>
              <w:rPr>
                <w:rFonts w:cs="Arial"/>
                <w:color w:val="FF0000"/>
                <w:sz w:val="21"/>
                <w:szCs w:val="21"/>
              </w:rPr>
            </w:pPr>
          </w:p>
        </w:tc>
        <w:tc>
          <w:tcPr>
            <w:tcW w:w="217" w:type="dxa"/>
          </w:tcPr>
          <w:p w14:paraId="27DC426F" w14:textId="77777777" w:rsidR="002C0FD9" w:rsidRPr="00CA25CF" w:rsidRDefault="002C0FD9" w:rsidP="00CA25CF">
            <w:pPr>
              <w:rPr>
                <w:rFonts w:cs="Arial"/>
                <w:color w:val="FF0000"/>
                <w:sz w:val="21"/>
                <w:szCs w:val="21"/>
              </w:rPr>
            </w:pPr>
          </w:p>
        </w:tc>
        <w:tc>
          <w:tcPr>
            <w:tcW w:w="217" w:type="dxa"/>
          </w:tcPr>
          <w:p w14:paraId="47ED5951" w14:textId="77777777" w:rsidR="002C0FD9" w:rsidRPr="00CA25CF" w:rsidRDefault="002C0FD9" w:rsidP="00CA25CF">
            <w:pPr>
              <w:rPr>
                <w:rFonts w:cs="Arial"/>
                <w:color w:val="FF0000"/>
                <w:sz w:val="21"/>
                <w:szCs w:val="21"/>
              </w:rPr>
            </w:pPr>
          </w:p>
        </w:tc>
        <w:tc>
          <w:tcPr>
            <w:tcW w:w="217" w:type="dxa"/>
          </w:tcPr>
          <w:p w14:paraId="77884CB8" w14:textId="77777777" w:rsidR="002C0FD9" w:rsidRPr="00CA25CF" w:rsidRDefault="002C0FD9" w:rsidP="00CA25CF">
            <w:pPr>
              <w:rPr>
                <w:rFonts w:cs="Arial"/>
                <w:color w:val="FF0000"/>
                <w:sz w:val="21"/>
                <w:szCs w:val="21"/>
              </w:rPr>
            </w:pPr>
          </w:p>
        </w:tc>
        <w:tc>
          <w:tcPr>
            <w:tcW w:w="217" w:type="dxa"/>
          </w:tcPr>
          <w:p w14:paraId="42F415F2" w14:textId="77777777" w:rsidR="002C0FD9" w:rsidRPr="00CA25CF" w:rsidRDefault="002C0FD9" w:rsidP="00CA25CF">
            <w:pPr>
              <w:rPr>
                <w:rFonts w:cs="Arial"/>
                <w:color w:val="FF0000"/>
                <w:sz w:val="21"/>
                <w:szCs w:val="21"/>
              </w:rPr>
            </w:pPr>
          </w:p>
        </w:tc>
        <w:tc>
          <w:tcPr>
            <w:tcW w:w="217" w:type="dxa"/>
          </w:tcPr>
          <w:p w14:paraId="28FABC5B" w14:textId="77777777" w:rsidR="002C0FD9" w:rsidRPr="00CA25CF" w:rsidRDefault="002C0FD9" w:rsidP="00CA25CF">
            <w:pPr>
              <w:rPr>
                <w:rFonts w:cs="Arial"/>
                <w:color w:val="FF0000"/>
                <w:sz w:val="21"/>
                <w:szCs w:val="21"/>
              </w:rPr>
            </w:pPr>
          </w:p>
        </w:tc>
        <w:tc>
          <w:tcPr>
            <w:tcW w:w="217" w:type="dxa"/>
          </w:tcPr>
          <w:p w14:paraId="3618C7ED" w14:textId="77777777" w:rsidR="002C0FD9" w:rsidRPr="00CA25CF" w:rsidRDefault="002C0FD9" w:rsidP="00CA25CF">
            <w:pPr>
              <w:rPr>
                <w:rFonts w:cs="Arial"/>
                <w:color w:val="FF0000"/>
                <w:sz w:val="21"/>
                <w:szCs w:val="21"/>
              </w:rPr>
            </w:pPr>
          </w:p>
        </w:tc>
        <w:tc>
          <w:tcPr>
            <w:tcW w:w="217" w:type="dxa"/>
          </w:tcPr>
          <w:p w14:paraId="6FBA92E8" w14:textId="77777777" w:rsidR="002C0FD9" w:rsidRPr="00CA25CF" w:rsidRDefault="002C0FD9" w:rsidP="00CA25CF">
            <w:pPr>
              <w:rPr>
                <w:rFonts w:cs="Arial"/>
                <w:color w:val="FF0000"/>
                <w:sz w:val="21"/>
                <w:szCs w:val="21"/>
              </w:rPr>
            </w:pPr>
          </w:p>
        </w:tc>
        <w:tc>
          <w:tcPr>
            <w:tcW w:w="217" w:type="dxa"/>
          </w:tcPr>
          <w:p w14:paraId="63A2B6E1" w14:textId="77777777" w:rsidR="002C0FD9" w:rsidRPr="00CA25CF" w:rsidRDefault="002C0FD9" w:rsidP="00CA25CF">
            <w:pPr>
              <w:rPr>
                <w:rFonts w:cs="Arial"/>
                <w:color w:val="FF0000"/>
                <w:sz w:val="21"/>
                <w:szCs w:val="21"/>
              </w:rPr>
            </w:pPr>
          </w:p>
        </w:tc>
        <w:tc>
          <w:tcPr>
            <w:tcW w:w="217" w:type="dxa"/>
          </w:tcPr>
          <w:p w14:paraId="744EC574" w14:textId="77777777" w:rsidR="002C0FD9" w:rsidRPr="00CA25CF" w:rsidRDefault="002C0FD9" w:rsidP="00CA25CF">
            <w:pPr>
              <w:rPr>
                <w:rFonts w:cs="Arial"/>
                <w:color w:val="FF0000"/>
                <w:sz w:val="21"/>
                <w:szCs w:val="21"/>
              </w:rPr>
            </w:pPr>
          </w:p>
        </w:tc>
        <w:tc>
          <w:tcPr>
            <w:tcW w:w="217" w:type="dxa"/>
          </w:tcPr>
          <w:p w14:paraId="0CF9ECAE" w14:textId="77777777" w:rsidR="002C0FD9" w:rsidRPr="00CA25CF" w:rsidRDefault="002C0FD9" w:rsidP="00CA25CF">
            <w:pPr>
              <w:rPr>
                <w:rFonts w:cs="Arial"/>
                <w:color w:val="FF0000"/>
                <w:sz w:val="21"/>
                <w:szCs w:val="21"/>
              </w:rPr>
            </w:pPr>
          </w:p>
        </w:tc>
        <w:tc>
          <w:tcPr>
            <w:tcW w:w="217" w:type="dxa"/>
          </w:tcPr>
          <w:p w14:paraId="6AF97426" w14:textId="77777777" w:rsidR="002C0FD9" w:rsidRPr="00CA25CF" w:rsidRDefault="002C0FD9" w:rsidP="00CA25CF">
            <w:pPr>
              <w:rPr>
                <w:rFonts w:cs="Arial"/>
                <w:color w:val="FF0000"/>
                <w:sz w:val="21"/>
                <w:szCs w:val="21"/>
              </w:rPr>
            </w:pPr>
          </w:p>
        </w:tc>
        <w:tc>
          <w:tcPr>
            <w:tcW w:w="217" w:type="dxa"/>
          </w:tcPr>
          <w:p w14:paraId="7EE9C4B2" w14:textId="77777777" w:rsidR="002C0FD9" w:rsidRPr="00CA25CF" w:rsidRDefault="002C0FD9" w:rsidP="00CA25CF">
            <w:pPr>
              <w:rPr>
                <w:rFonts w:cs="Arial"/>
                <w:color w:val="FF0000"/>
                <w:sz w:val="21"/>
                <w:szCs w:val="21"/>
              </w:rPr>
            </w:pPr>
          </w:p>
        </w:tc>
        <w:tc>
          <w:tcPr>
            <w:tcW w:w="217" w:type="dxa"/>
          </w:tcPr>
          <w:p w14:paraId="692BDA45" w14:textId="77777777" w:rsidR="002C0FD9" w:rsidRPr="00CA25CF" w:rsidRDefault="002C0FD9" w:rsidP="00CA25CF">
            <w:pPr>
              <w:rPr>
                <w:rFonts w:cs="Arial"/>
                <w:color w:val="FF0000"/>
                <w:sz w:val="21"/>
                <w:szCs w:val="21"/>
              </w:rPr>
            </w:pPr>
          </w:p>
        </w:tc>
        <w:tc>
          <w:tcPr>
            <w:tcW w:w="217" w:type="dxa"/>
          </w:tcPr>
          <w:p w14:paraId="526181C6" w14:textId="77777777" w:rsidR="002C0FD9" w:rsidRPr="00CA25CF" w:rsidRDefault="002C0FD9" w:rsidP="00CA25CF">
            <w:pPr>
              <w:rPr>
                <w:rFonts w:cs="Arial"/>
                <w:color w:val="FF0000"/>
                <w:sz w:val="21"/>
                <w:szCs w:val="21"/>
              </w:rPr>
            </w:pPr>
          </w:p>
        </w:tc>
        <w:tc>
          <w:tcPr>
            <w:tcW w:w="217" w:type="dxa"/>
          </w:tcPr>
          <w:p w14:paraId="01BC7AAD" w14:textId="77777777" w:rsidR="002C0FD9" w:rsidRPr="00CA25CF" w:rsidRDefault="002C0FD9" w:rsidP="00CA25CF">
            <w:pPr>
              <w:rPr>
                <w:rFonts w:cs="Arial"/>
                <w:color w:val="FF0000"/>
                <w:sz w:val="21"/>
                <w:szCs w:val="21"/>
              </w:rPr>
            </w:pPr>
          </w:p>
        </w:tc>
        <w:tc>
          <w:tcPr>
            <w:tcW w:w="217" w:type="dxa"/>
          </w:tcPr>
          <w:p w14:paraId="36BAE7FC" w14:textId="77777777" w:rsidR="002C0FD9" w:rsidRPr="00CA25CF" w:rsidRDefault="002C0FD9" w:rsidP="00CA25CF">
            <w:pPr>
              <w:rPr>
                <w:rFonts w:cs="Arial"/>
                <w:color w:val="FF0000"/>
                <w:sz w:val="21"/>
                <w:szCs w:val="21"/>
              </w:rPr>
            </w:pPr>
          </w:p>
        </w:tc>
        <w:tc>
          <w:tcPr>
            <w:tcW w:w="217" w:type="dxa"/>
          </w:tcPr>
          <w:p w14:paraId="3B627DAD" w14:textId="77777777" w:rsidR="002C0FD9" w:rsidRPr="00CA25CF" w:rsidRDefault="002C0FD9" w:rsidP="00CA25CF">
            <w:pPr>
              <w:rPr>
                <w:rFonts w:cs="Arial"/>
                <w:color w:val="FF0000"/>
                <w:sz w:val="21"/>
                <w:szCs w:val="21"/>
              </w:rPr>
            </w:pPr>
          </w:p>
        </w:tc>
        <w:tc>
          <w:tcPr>
            <w:tcW w:w="217" w:type="dxa"/>
          </w:tcPr>
          <w:p w14:paraId="4C7C1922" w14:textId="77777777" w:rsidR="002C0FD9" w:rsidRPr="00CA25CF" w:rsidRDefault="002C0FD9" w:rsidP="00CA25CF">
            <w:pPr>
              <w:rPr>
                <w:rFonts w:cs="Arial"/>
                <w:color w:val="FF0000"/>
                <w:sz w:val="21"/>
                <w:szCs w:val="21"/>
              </w:rPr>
            </w:pPr>
          </w:p>
        </w:tc>
        <w:tc>
          <w:tcPr>
            <w:tcW w:w="217" w:type="dxa"/>
          </w:tcPr>
          <w:p w14:paraId="4FDD0B89" w14:textId="77777777" w:rsidR="002C0FD9" w:rsidRPr="00CA25CF" w:rsidRDefault="002C0FD9" w:rsidP="00CA25CF">
            <w:pPr>
              <w:rPr>
                <w:rFonts w:cs="Arial"/>
                <w:color w:val="FF0000"/>
                <w:sz w:val="21"/>
                <w:szCs w:val="21"/>
              </w:rPr>
            </w:pPr>
          </w:p>
        </w:tc>
        <w:tc>
          <w:tcPr>
            <w:tcW w:w="217" w:type="dxa"/>
          </w:tcPr>
          <w:p w14:paraId="6E106CF8" w14:textId="77777777" w:rsidR="002C0FD9" w:rsidRPr="00CA25CF" w:rsidRDefault="002C0FD9" w:rsidP="00CA25CF">
            <w:pPr>
              <w:rPr>
                <w:rFonts w:cs="Arial"/>
                <w:color w:val="FF0000"/>
                <w:sz w:val="21"/>
                <w:szCs w:val="21"/>
              </w:rPr>
            </w:pPr>
          </w:p>
        </w:tc>
      </w:tr>
      <w:tr w:rsidR="002C0FD9" w:rsidRPr="00A16219" w14:paraId="57484520" w14:textId="58BF8FF9" w:rsidTr="002C0FD9">
        <w:trPr>
          <w:trHeight w:val="635"/>
        </w:trPr>
        <w:tc>
          <w:tcPr>
            <w:tcW w:w="515" w:type="dxa"/>
          </w:tcPr>
          <w:p w14:paraId="0C2C3699" w14:textId="77777777" w:rsidR="002C0FD9" w:rsidRPr="00CA25CF" w:rsidRDefault="002C0FD9" w:rsidP="00CA25CF">
            <w:pPr>
              <w:rPr>
                <w:rFonts w:cs="Arial"/>
                <w:color w:val="FF0000"/>
                <w:sz w:val="21"/>
                <w:szCs w:val="21"/>
              </w:rPr>
            </w:pPr>
          </w:p>
        </w:tc>
        <w:tc>
          <w:tcPr>
            <w:tcW w:w="217" w:type="dxa"/>
          </w:tcPr>
          <w:p w14:paraId="2037A8CF" w14:textId="77777777" w:rsidR="002C0FD9" w:rsidRPr="00CA25CF" w:rsidRDefault="002C0FD9" w:rsidP="00CA25CF">
            <w:pPr>
              <w:rPr>
                <w:rFonts w:cs="Arial"/>
                <w:color w:val="FF0000"/>
                <w:sz w:val="21"/>
                <w:szCs w:val="21"/>
              </w:rPr>
            </w:pPr>
          </w:p>
        </w:tc>
        <w:tc>
          <w:tcPr>
            <w:tcW w:w="217" w:type="dxa"/>
          </w:tcPr>
          <w:p w14:paraId="17374162" w14:textId="573ED329" w:rsidR="002C0FD9" w:rsidRPr="00CA25CF" w:rsidRDefault="002C0FD9" w:rsidP="00CA25CF">
            <w:pPr>
              <w:rPr>
                <w:rFonts w:cs="Arial"/>
                <w:color w:val="FF0000"/>
                <w:sz w:val="21"/>
                <w:szCs w:val="21"/>
              </w:rPr>
            </w:pPr>
          </w:p>
        </w:tc>
        <w:tc>
          <w:tcPr>
            <w:tcW w:w="217" w:type="dxa"/>
          </w:tcPr>
          <w:p w14:paraId="3DD4101D" w14:textId="77777777" w:rsidR="002C0FD9" w:rsidRPr="00CA25CF" w:rsidRDefault="002C0FD9" w:rsidP="00CA25CF">
            <w:pPr>
              <w:rPr>
                <w:rFonts w:cs="Arial"/>
                <w:color w:val="FF0000"/>
                <w:sz w:val="21"/>
                <w:szCs w:val="21"/>
              </w:rPr>
            </w:pPr>
          </w:p>
        </w:tc>
        <w:tc>
          <w:tcPr>
            <w:tcW w:w="217" w:type="dxa"/>
          </w:tcPr>
          <w:p w14:paraId="0B7AF544" w14:textId="77777777" w:rsidR="002C0FD9" w:rsidRPr="00CA25CF" w:rsidRDefault="002C0FD9" w:rsidP="00CA25CF">
            <w:pPr>
              <w:rPr>
                <w:rFonts w:cs="Arial"/>
                <w:color w:val="FF0000"/>
                <w:sz w:val="21"/>
                <w:szCs w:val="21"/>
              </w:rPr>
            </w:pPr>
          </w:p>
        </w:tc>
        <w:tc>
          <w:tcPr>
            <w:tcW w:w="217" w:type="dxa"/>
          </w:tcPr>
          <w:p w14:paraId="071FE52F" w14:textId="77777777" w:rsidR="002C0FD9" w:rsidRPr="00CA25CF" w:rsidRDefault="002C0FD9" w:rsidP="00CA25CF">
            <w:pPr>
              <w:rPr>
                <w:rFonts w:cs="Arial"/>
                <w:color w:val="FF0000"/>
                <w:sz w:val="21"/>
                <w:szCs w:val="21"/>
              </w:rPr>
            </w:pPr>
          </w:p>
        </w:tc>
        <w:tc>
          <w:tcPr>
            <w:tcW w:w="217" w:type="dxa"/>
          </w:tcPr>
          <w:p w14:paraId="6DA7E761" w14:textId="77777777" w:rsidR="002C0FD9" w:rsidRPr="00CA25CF" w:rsidRDefault="002C0FD9" w:rsidP="00CA25CF">
            <w:pPr>
              <w:rPr>
                <w:rFonts w:cs="Arial"/>
                <w:color w:val="FF0000"/>
                <w:sz w:val="21"/>
                <w:szCs w:val="21"/>
              </w:rPr>
            </w:pPr>
          </w:p>
        </w:tc>
        <w:tc>
          <w:tcPr>
            <w:tcW w:w="217" w:type="dxa"/>
          </w:tcPr>
          <w:p w14:paraId="5D6473FD" w14:textId="77777777" w:rsidR="002C0FD9" w:rsidRPr="00CA25CF" w:rsidRDefault="002C0FD9" w:rsidP="00CA25CF">
            <w:pPr>
              <w:rPr>
                <w:rFonts w:cs="Arial"/>
                <w:color w:val="FF0000"/>
                <w:sz w:val="21"/>
                <w:szCs w:val="21"/>
              </w:rPr>
            </w:pPr>
          </w:p>
        </w:tc>
        <w:tc>
          <w:tcPr>
            <w:tcW w:w="217" w:type="dxa"/>
          </w:tcPr>
          <w:p w14:paraId="71C2A592" w14:textId="77777777" w:rsidR="002C0FD9" w:rsidRPr="00CA25CF" w:rsidRDefault="002C0FD9" w:rsidP="00CA25CF">
            <w:pPr>
              <w:rPr>
                <w:rFonts w:cs="Arial"/>
                <w:color w:val="FF0000"/>
                <w:sz w:val="21"/>
                <w:szCs w:val="21"/>
              </w:rPr>
            </w:pPr>
          </w:p>
        </w:tc>
        <w:tc>
          <w:tcPr>
            <w:tcW w:w="217" w:type="dxa"/>
          </w:tcPr>
          <w:p w14:paraId="5356CB1F" w14:textId="77777777" w:rsidR="002C0FD9" w:rsidRPr="00CA25CF" w:rsidRDefault="002C0FD9" w:rsidP="00CA25CF">
            <w:pPr>
              <w:rPr>
                <w:rFonts w:cs="Arial"/>
                <w:color w:val="FF0000"/>
                <w:sz w:val="21"/>
                <w:szCs w:val="21"/>
              </w:rPr>
            </w:pPr>
          </w:p>
        </w:tc>
        <w:tc>
          <w:tcPr>
            <w:tcW w:w="217" w:type="dxa"/>
          </w:tcPr>
          <w:p w14:paraId="43BB527B" w14:textId="77777777" w:rsidR="002C0FD9" w:rsidRPr="00CA25CF" w:rsidRDefault="002C0FD9" w:rsidP="00CA25CF">
            <w:pPr>
              <w:rPr>
                <w:rFonts w:cs="Arial"/>
                <w:color w:val="FF0000"/>
                <w:sz w:val="21"/>
                <w:szCs w:val="21"/>
              </w:rPr>
            </w:pPr>
          </w:p>
        </w:tc>
        <w:tc>
          <w:tcPr>
            <w:tcW w:w="217" w:type="dxa"/>
          </w:tcPr>
          <w:p w14:paraId="045819F2" w14:textId="77777777" w:rsidR="002C0FD9" w:rsidRPr="00CA25CF" w:rsidRDefault="002C0FD9" w:rsidP="00CA25CF">
            <w:pPr>
              <w:rPr>
                <w:rFonts w:cs="Arial"/>
                <w:color w:val="FF0000"/>
                <w:sz w:val="21"/>
                <w:szCs w:val="21"/>
              </w:rPr>
            </w:pPr>
          </w:p>
        </w:tc>
        <w:tc>
          <w:tcPr>
            <w:tcW w:w="217" w:type="dxa"/>
          </w:tcPr>
          <w:p w14:paraId="42E8038C" w14:textId="77777777" w:rsidR="002C0FD9" w:rsidRPr="00CA25CF" w:rsidRDefault="002C0FD9" w:rsidP="00CA25CF">
            <w:pPr>
              <w:rPr>
                <w:rFonts w:cs="Arial"/>
                <w:color w:val="FF0000"/>
                <w:sz w:val="21"/>
                <w:szCs w:val="21"/>
              </w:rPr>
            </w:pPr>
          </w:p>
        </w:tc>
        <w:tc>
          <w:tcPr>
            <w:tcW w:w="217" w:type="dxa"/>
          </w:tcPr>
          <w:p w14:paraId="59DCF942" w14:textId="77777777" w:rsidR="002C0FD9" w:rsidRPr="00CA25CF" w:rsidRDefault="002C0FD9" w:rsidP="00CA25CF">
            <w:pPr>
              <w:rPr>
                <w:rFonts w:cs="Arial"/>
                <w:color w:val="FF0000"/>
                <w:sz w:val="21"/>
                <w:szCs w:val="21"/>
              </w:rPr>
            </w:pPr>
          </w:p>
        </w:tc>
        <w:tc>
          <w:tcPr>
            <w:tcW w:w="217" w:type="dxa"/>
          </w:tcPr>
          <w:p w14:paraId="0D534C4B" w14:textId="77777777" w:rsidR="002C0FD9" w:rsidRPr="00CA25CF" w:rsidRDefault="002C0FD9" w:rsidP="00CA25CF">
            <w:pPr>
              <w:rPr>
                <w:rFonts w:cs="Arial"/>
                <w:color w:val="FF0000"/>
                <w:sz w:val="21"/>
                <w:szCs w:val="21"/>
              </w:rPr>
            </w:pPr>
          </w:p>
        </w:tc>
        <w:tc>
          <w:tcPr>
            <w:tcW w:w="217" w:type="dxa"/>
          </w:tcPr>
          <w:p w14:paraId="4FA2A1A0" w14:textId="77777777" w:rsidR="002C0FD9" w:rsidRPr="00CA25CF" w:rsidRDefault="002C0FD9" w:rsidP="00CA25CF">
            <w:pPr>
              <w:rPr>
                <w:rFonts w:cs="Arial"/>
                <w:color w:val="FF0000"/>
                <w:sz w:val="21"/>
                <w:szCs w:val="21"/>
              </w:rPr>
            </w:pPr>
          </w:p>
        </w:tc>
        <w:tc>
          <w:tcPr>
            <w:tcW w:w="217" w:type="dxa"/>
          </w:tcPr>
          <w:p w14:paraId="2D1F62CC" w14:textId="77777777" w:rsidR="002C0FD9" w:rsidRPr="00CA25CF" w:rsidRDefault="002C0FD9" w:rsidP="00CA25CF">
            <w:pPr>
              <w:rPr>
                <w:rFonts w:cs="Arial"/>
                <w:color w:val="FF0000"/>
                <w:sz w:val="21"/>
                <w:szCs w:val="21"/>
              </w:rPr>
            </w:pPr>
          </w:p>
        </w:tc>
        <w:tc>
          <w:tcPr>
            <w:tcW w:w="217" w:type="dxa"/>
          </w:tcPr>
          <w:p w14:paraId="281E06A0" w14:textId="77777777" w:rsidR="002C0FD9" w:rsidRPr="00CA25CF" w:rsidRDefault="002C0FD9" w:rsidP="00CA25CF">
            <w:pPr>
              <w:rPr>
                <w:rFonts w:cs="Arial"/>
                <w:color w:val="FF0000"/>
                <w:sz w:val="21"/>
                <w:szCs w:val="21"/>
              </w:rPr>
            </w:pPr>
          </w:p>
        </w:tc>
        <w:tc>
          <w:tcPr>
            <w:tcW w:w="217" w:type="dxa"/>
          </w:tcPr>
          <w:p w14:paraId="22F0EBCA" w14:textId="77777777" w:rsidR="002C0FD9" w:rsidRPr="00CA25CF" w:rsidRDefault="002C0FD9" w:rsidP="00CA25CF">
            <w:pPr>
              <w:rPr>
                <w:rFonts w:cs="Arial"/>
                <w:color w:val="FF0000"/>
                <w:sz w:val="21"/>
                <w:szCs w:val="21"/>
              </w:rPr>
            </w:pPr>
          </w:p>
        </w:tc>
        <w:tc>
          <w:tcPr>
            <w:tcW w:w="217" w:type="dxa"/>
          </w:tcPr>
          <w:p w14:paraId="0F9258B0" w14:textId="77777777" w:rsidR="002C0FD9" w:rsidRPr="00CA25CF" w:rsidRDefault="002C0FD9" w:rsidP="00CA25CF">
            <w:pPr>
              <w:rPr>
                <w:rFonts w:cs="Arial"/>
                <w:color w:val="FF0000"/>
                <w:sz w:val="21"/>
                <w:szCs w:val="21"/>
              </w:rPr>
            </w:pPr>
          </w:p>
        </w:tc>
        <w:tc>
          <w:tcPr>
            <w:tcW w:w="217" w:type="dxa"/>
          </w:tcPr>
          <w:p w14:paraId="7C61032B" w14:textId="77777777" w:rsidR="002C0FD9" w:rsidRPr="00CA25CF" w:rsidRDefault="002C0FD9" w:rsidP="00CA25CF">
            <w:pPr>
              <w:rPr>
                <w:rFonts w:cs="Arial"/>
                <w:color w:val="FF0000"/>
                <w:sz w:val="21"/>
                <w:szCs w:val="21"/>
              </w:rPr>
            </w:pPr>
          </w:p>
        </w:tc>
        <w:tc>
          <w:tcPr>
            <w:tcW w:w="217" w:type="dxa"/>
          </w:tcPr>
          <w:p w14:paraId="30C38168" w14:textId="77777777" w:rsidR="002C0FD9" w:rsidRPr="00CA25CF" w:rsidRDefault="002C0FD9" w:rsidP="00CA25CF">
            <w:pPr>
              <w:rPr>
                <w:rFonts w:cs="Arial"/>
                <w:color w:val="FF0000"/>
                <w:sz w:val="21"/>
                <w:szCs w:val="21"/>
              </w:rPr>
            </w:pPr>
          </w:p>
        </w:tc>
        <w:tc>
          <w:tcPr>
            <w:tcW w:w="217" w:type="dxa"/>
          </w:tcPr>
          <w:p w14:paraId="48032BD5" w14:textId="77777777" w:rsidR="002C0FD9" w:rsidRPr="00CA25CF" w:rsidRDefault="002C0FD9" w:rsidP="00CA25CF">
            <w:pPr>
              <w:rPr>
                <w:rFonts w:cs="Arial"/>
                <w:color w:val="FF0000"/>
                <w:sz w:val="21"/>
                <w:szCs w:val="21"/>
              </w:rPr>
            </w:pPr>
          </w:p>
        </w:tc>
        <w:tc>
          <w:tcPr>
            <w:tcW w:w="217" w:type="dxa"/>
          </w:tcPr>
          <w:p w14:paraId="3CB56531" w14:textId="77777777" w:rsidR="002C0FD9" w:rsidRPr="00CA25CF" w:rsidRDefault="002C0FD9" w:rsidP="00CA25CF">
            <w:pPr>
              <w:rPr>
                <w:rFonts w:cs="Arial"/>
                <w:color w:val="FF0000"/>
                <w:sz w:val="21"/>
                <w:szCs w:val="21"/>
              </w:rPr>
            </w:pPr>
          </w:p>
        </w:tc>
        <w:tc>
          <w:tcPr>
            <w:tcW w:w="217" w:type="dxa"/>
          </w:tcPr>
          <w:p w14:paraId="15F7E856" w14:textId="77777777" w:rsidR="002C0FD9" w:rsidRPr="00CA25CF" w:rsidRDefault="002C0FD9" w:rsidP="00CA25CF">
            <w:pPr>
              <w:rPr>
                <w:rFonts w:cs="Arial"/>
                <w:color w:val="FF0000"/>
                <w:sz w:val="21"/>
                <w:szCs w:val="21"/>
              </w:rPr>
            </w:pPr>
          </w:p>
        </w:tc>
        <w:tc>
          <w:tcPr>
            <w:tcW w:w="217" w:type="dxa"/>
          </w:tcPr>
          <w:p w14:paraId="6298F56B" w14:textId="77777777" w:rsidR="002C0FD9" w:rsidRPr="00CA25CF" w:rsidRDefault="002C0FD9" w:rsidP="00CA25CF">
            <w:pPr>
              <w:rPr>
                <w:rFonts w:cs="Arial"/>
                <w:color w:val="FF0000"/>
                <w:sz w:val="21"/>
                <w:szCs w:val="21"/>
              </w:rPr>
            </w:pPr>
          </w:p>
        </w:tc>
        <w:tc>
          <w:tcPr>
            <w:tcW w:w="217" w:type="dxa"/>
          </w:tcPr>
          <w:p w14:paraId="210C0355" w14:textId="77777777" w:rsidR="002C0FD9" w:rsidRPr="00CA25CF" w:rsidRDefault="002C0FD9" w:rsidP="00CA25CF">
            <w:pPr>
              <w:rPr>
                <w:rFonts w:cs="Arial"/>
                <w:color w:val="FF0000"/>
                <w:sz w:val="21"/>
                <w:szCs w:val="21"/>
              </w:rPr>
            </w:pPr>
          </w:p>
        </w:tc>
        <w:tc>
          <w:tcPr>
            <w:tcW w:w="217" w:type="dxa"/>
          </w:tcPr>
          <w:p w14:paraId="64E89836" w14:textId="77777777" w:rsidR="002C0FD9" w:rsidRPr="00CA25CF" w:rsidRDefault="002C0FD9" w:rsidP="00CA25CF">
            <w:pPr>
              <w:rPr>
                <w:rFonts w:cs="Arial"/>
                <w:color w:val="FF0000"/>
                <w:sz w:val="21"/>
                <w:szCs w:val="21"/>
              </w:rPr>
            </w:pPr>
          </w:p>
        </w:tc>
        <w:tc>
          <w:tcPr>
            <w:tcW w:w="217" w:type="dxa"/>
          </w:tcPr>
          <w:p w14:paraId="4A2442A2" w14:textId="77777777" w:rsidR="002C0FD9" w:rsidRPr="00CA25CF" w:rsidRDefault="002C0FD9" w:rsidP="00CA25CF">
            <w:pPr>
              <w:rPr>
                <w:rFonts w:cs="Arial"/>
                <w:color w:val="FF0000"/>
                <w:sz w:val="21"/>
                <w:szCs w:val="21"/>
              </w:rPr>
            </w:pPr>
          </w:p>
        </w:tc>
        <w:tc>
          <w:tcPr>
            <w:tcW w:w="217" w:type="dxa"/>
          </w:tcPr>
          <w:p w14:paraId="6C1D13B8" w14:textId="77777777" w:rsidR="002C0FD9" w:rsidRPr="00CA25CF" w:rsidRDefault="002C0FD9" w:rsidP="00CA25CF">
            <w:pPr>
              <w:rPr>
                <w:rFonts w:cs="Arial"/>
                <w:color w:val="FF0000"/>
                <w:sz w:val="21"/>
                <w:szCs w:val="21"/>
              </w:rPr>
            </w:pPr>
          </w:p>
        </w:tc>
        <w:tc>
          <w:tcPr>
            <w:tcW w:w="217" w:type="dxa"/>
          </w:tcPr>
          <w:p w14:paraId="328A7600" w14:textId="77777777" w:rsidR="002C0FD9" w:rsidRPr="00CA25CF" w:rsidRDefault="002C0FD9" w:rsidP="00CA25CF">
            <w:pPr>
              <w:rPr>
                <w:rFonts w:cs="Arial"/>
                <w:color w:val="FF0000"/>
                <w:sz w:val="21"/>
                <w:szCs w:val="21"/>
              </w:rPr>
            </w:pPr>
          </w:p>
        </w:tc>
        <w:tc>
          <w:tcPr>
            <w:tcW w:w="217" w:type="dxa"/>
          </w:tcPr>
          <w:p w14:paraId="04DDB718" w14:textId="77777777" w:rsidR="002C0FD9" w:rsidRPr="00CA25CF" w:rsidRDefault="002C0FD9" w:rsidP="00CA25CF">
            <w:pPr>
              <w:rPr>
                <w:rFonts w:cs="Arial"/>
                <w:color w:val="FF0000"/>
                <w:sz w:val="21"/>
                <w:szCs w:val="21"/>
              </w:rPr>
            </w:pPr>
          </w:p>
        </w:tc>
        <w:tc>
          <w:tcPr>
            <w:tcW w:w="217" w:type="dxa"/>
          </w:tcPr>
          <w:p w14:paraId="48C5C612" w14:textId="77777777" w:rsidR="002C0FD9" w:rsidRPr="00CA25CF" w:rsidRDefault="002C0FD9" w:rsidP="00CA25CF">
            <w:pPr>
              <w:rPr>
                <w:rFonts w:cs="Arial"/>
                <w:color w:val="FF0000"/>
                <w:sz w:val="21"/>
                <w:szCs w:val="21"/>
              </w:rPr>
            </w:pPr>
          </w:p>
        </w:tc>
        <w:tc>
          <w:tcPr>
            <w:tcW w:w="217" w:type="dxa"/>
          </w:tcPr>
          <w:p w14:paraId="664C7CC6" w14:textId="77777777" w:rsidR="002C0FD9" w:rsidRPr="00CA25CF" w:rsidRDefault="002C0FD9" w:rsidP="00CA25CF">
            <w:pPr>
              <w:rPr>
                <w:rFonts w:cs="Arial"/>
                <w:color w:val="FF0000"/>
                <w:sz w:val="21"/>
                <w:szCs w:val="21"/>
              </w:rPr>
            </w:pPr>
          </w:p>
        </w:tc>
        <w:tc>
          <w:tcPr>
            <w:tcW w:w="217" w:type="dxa"/>
          </w:tcPr>
          <w:p w14:paraId="1F5BA8C6" w14:textId="77777777" w:rsidR="002C0FD9" w:rsidRPr="00CA25CF" w:rsidRDefault="002C0FD9" w:rsidP="00CA25CF">
            <w:pPr>
              <w:rPr>
                <w:rFonts w:cs="Arial"/>
                <w:color w:val="FF0000"/>
                <w:sz w:val="21"/>
                <w:szCs w:val="21"/>
              </w:rPr>
            </w:pPr>
          </w:p>
        </w:tc>
        <w:tc>
          <w:tcPr>
            <w:tcW w:w="217" w:type="dxa"/>
          </w:tcPr>
          <w:p w14:paraId="1A667C8A" w14:textId="77777777" w:rsidR="002C0FD9" w:rsidRPr="00CA25CF" w:rsidRDefault="002C0FD9" w:rsidP="00CA25CF">
            <w:pPr>
              <w:rPr>
                <w:rFonts w:cs="Arial"/>
                <w:color w:val="FF0000"/>
                <w:sz w:val="21"/>
                <w:szCs w:val="21"/>
              </w:rPr>
            </w:pPr>
          </w:p>
        </w:tc>
        <w:tc>
          <w:tcPr>
            <w:tcW w:w="217" w:type="dxa"/>
          </w:tcPr>
          <w:p w14:paraId="68C46DFB" w14:textId="77777777" w:rsidR="002C0FD9" w:rsidRPr="00CA25CF" w:rsidRDefault="002C0FD9" w:rsidP="00CA25CF">
            <w:pPr>
              <w:rPr>
                <w:rFonts w:cs="Arial"/>
                <w:color w:val="FF0000"/>
                <w:sz w:val="21"/>
                <w:szCs w:val="21"/>
              </w:rPr>
            </w:pPr>
          </w:p>
        </w:tc>
        <w:tc>
          <w:tcPr>
            <w:tcW w:w="217" w:type="dxa"/>
          </w:tcPr>
          <w:p w14:paraId="52BC2AB2" w14:textId="77777777" w:rsidR="002C0FD9" w:rsidRPr="00CA25CF" w:rsidRDefault="002C0FD9" w:rsidP="00CA25CF">
            <w:pPr>
              <w:rPr>
                <w:rFonts w:cs="Arial"/>
                <w:color w:val="FF0000"/>
                <w:sz w:val="21"/>
                <w:szCs w:val="21"/>
              </w:rPr>
            </w:pPr>
          </w:p>
        </w:tc>
        <w:tc>
          <w:tcPr>
            <w:tcW w:w="217" w:type="dxa"/>
          </w:tcPr>
          <w:p w14:paraId="17BED9D0" w14:textId="77777777" w:rsidR="002C0FD9" w:rsidRPr="00CA25CF" w:rsidRDefault="002C0FD9" w:rsidP="00CA25CF">
            <w:pPr>
              <w:rPr>
                <w:rFonts w:cs="Arial"/>
                <w:color w:val="FF0000"/>
                <w:sz w:val="21"/>
                <w:szCs w:val="21"/>
              </w:rPr>
            </w:pPr>
          </w:p>
        </w:tc>
        <w:tc>
          <w:tcPr>
            <w:tcW w:w="217" w:type="dxa"/>
          </w:tcPr>
          <w:p w14:paraId="0FB6D0AA" w14:textId="77777777" w:rsidR="002C0FD9" w:rsidRPr="00CA25CF" w:rsidRDefault="002C0FD9" w:rsidP="00CA25CF">
            <w:pPr>
              <w:rPr>
                <w:rFonts w:cs="Arial"/>
                <w:color w:val="FF0000"/>
                <w:sz w:val="21"/>
                <w:szCs w:val="21"/>
              </w:rPr>
            </w:pPr>
          </w:p>
        </w:tc>
        <w:tc>
          <w:tcPr>
            <w:tcW w:w="217" w:type="dxa"/>
          </w:tcPr>
          <w:p w14:paraId="736FC3E6" w14:textId="77777777" w:rsidR="002C0FD9" w:rsidRPr="00CA25CF" w:rsidRDefault="002C0FD9" w:rsidP="00CA25CF">
            <w:pPr>
              <w:rPr>
                <w:rFonts w:cs="Arial"/>
                <w:color w:val="FF0000"/>
                <w:sz w:val="21"/>
                <w:szCs w:val="21"/>
              </w:rPr>
            </w:pPr>
          </w:p>
        </w:tc>
        <w:tc>
          <w:tcPr>
            <w:tcW w:w="217" w:type="dxa"/>
          </w:tcPr>
          <w:p w14:paraId="21BB4CF6" w14:textId="77777777" w:rsidR="002C0FD9" w:rsidRPr="00CA25CF" w:rsidRDefault="002C0FD9" w:rsidP="00CA25CF">
            <w:pPr>
              <w:rPr>
                <w:rFonts w:cs="Arial"/>
                <w:color w:val="FF0000"/>
                <w:sz w:val="21"/>
                <w:szCs w:val="21"/>
              </w:rPr>
            </w:pPr>
          </w:p>
        </w:tc>
        <w:tc>
          <w:tcPr>
            <w:tcW w:w="217" w:type="dxa"/>
          </w:tcPr>
          <w:p w14:paraId="29843D54" w14:textId="77777777" w:rsidR="002C0FD9" w:rsidRPr="00CA25CF" w:rsidRDefault="002C0FD9" w:rsidP="00CA25CF">
            <w:pPr>
              <w:rPr>
                <w:rFonts w:cs="Arial"/>
                <w:color w:val="FF0000"/>
                <w:sz w:val="21"/>
                <w:szCs w:val="21"/>
              </w:rPr>
            </w:pPr>
          </w:p>
        </w:tc>
      </w:tr>
      <w:tr w:rsidR="002C0FD9" w:rsidRPr="00A16219" w14:paraId="4F723247" w14:textId="5467C86D" w:rsidTr="002C0FD9">
        <w:trPr>
          <w:trHeight w:val="635"/>
        </w:trPr>
        <w:tc>
          <w:tcPr>
            <w:tcW w:w="515" w:type="dxa"/>
          </w:tcPr>
          <w:p w14:paraId="0A90CE5F" w14:textId="77777777" w:rsidR="002C0FD9" w:rsidRPr="00CA25CF" w:rsidRDefault="002C0FD9" w:rsidP="00CA25CF">
            <w:pPr>
              <w:rPr>
                <w:rFonts w:cs="Arial"/>
                <w:color w:val="FF0000"/>
                <w:sz w:val="21"/>
                <w:szCs w:val="21"/>
              </w:rPr>
            </w:pPr>
          </w:p>
        </w:tc>
        <w:tc>
          <w:tcPr>
            <w:tcW w:w="217" w:type="dxa"/>
          </w:tcPr>
          <w:p w14:paraId="16B3BF50" w14:textId="77777777" w:rsidR="002C0FD9" w:rsidRPr="00CA25CF" w:rsidRDefault="002C0FD9" w:rsidP="00CA25CF">
            <w:pPr>
              <w:rPr>
                <w:rFonts w:cs="Arial"/>
                <w:color w:val="FF0000"/>
                <w:sz w:val="21"/>
                <w:szCs w:val="21"/>
              </w:rPr>
            </w:pPr>
          </w:p>
        </w:tc>
        <w:tc>
          <w:tcPr>
            <w:tcW w:w="217" w:type="dxa"/>
          </w:tcPr>
          <w:p w14:paraId="7049BBA5" w14:textId="61EB3095" w:rsidR="002C0FD9" w:rsidRPr="00CA25CF" w:rsidRDefault="002C0FD9" w:rsidP="00CA25CF">
            <w:pPr>
              <w:rPr>
                <w:rFonts w:cs="Arial"/>
                <w:color w:val="FF0000"/>
                <w:sz w:val="21"/>
                <w:szCs w:val="21"/>
              </w:rPr>
            </w:pPr>
          </w:p>
        </w:tc>
        <w:tc>
          <w:tcPr>
            <w:tcW w:w="217" w:type="dxa"/>
          </w:tcPr>
          <w:p w14:paraId="57B09E6E" w14:textId="77777777" w:rsidR="002C0FD9" w:rsidRPr="00CA25CF" w:rsidRDefault="002C0FD9" w:rsidP="00CA25CF">
            <w:pPr>
              <w:rPr>
                <w:rFonts w:cs="Arial"/>
                <w:color w:val="FF0000"/>
                <w:sz w:val="21"/>
                <w:szCs w:val="21"/>
              </w:rPr>
            </w:pPr>
          </w:p>
        </w:tc>
        <w:tc>
          <w:tcPr>
            <w:tcW w:w="217" w:type="dxa"/>
          </w:tcPr>
          <w:p w14:paraId="2DBAB49C" w14:textId="77777777" w:rsidR="002C0FD9" w:rsidRPr="00CA25CF" w:rsidRDefault="002C0FD9" w:rsidP="00CA25CF">
            <w:pPr>
              <w:rPr>
                <w:rFonts w:cs="Arial"/>
                <w:color w:val="FF0000"/>
                <w:sz w:val="21"/>
                <w:szCs w:val="21"/>
              </w:rPr>
            </w:pPr>
          </w:p>
        </w:tc>
        <w:tc>
          <w:tcPr>
            <w:tcW w:w="217" w:type="dxa"/>
          </w:tcPr>
          <w:p w14:paraId="6EAF858F" w14:textId="77777777" w:rsidR="002C0FD9" w:rsidRPr="00CA25CF" w:rsidRDefault="002C0FD9" w:rsidP="00CA25CF">
            <w:pPr>
              <w:rPr>
                <w:rFonts w:cs="Arial"/>
                <w:color w:val="FF0000"/>
                <w:sz w:val="21"/>
                <w:szCs w:val="21"/>
              </w:rPr>
            </w:pPr>
          </w:p>
        </w:tc>
        <w:tc>
          <w:tcPr>
            <w:tcW w:w="217" w:type="dxa"/>
          </w:tcPr>
          <w:p w14:paraId="5EA3A453" w14:textId="77777777" w:rsidR="002C0FD9" w:rsidRPr="00CA25CF" w:rsidRDefault="002C0FD9" w:rsidP="00CA25CF">
            <w:pPr>
              <w:rPr>
                <w:rFonts w:cs="Arial"/>
                <w:color w:val="FF0000"/>
                <w:sz w:val="21"/>
                <w:szCs w:val="21"/>
              </w:rPr>
            </w:pPr>
          </w:p>
        </w:tc>
        <w:tc>
          <w:tcPr>
            <w:tcW w:w="217" w:type="dxa"/>
          </w:tcPr>
          <w:p w14:paraId="46E3FB37" w14:textId="77777777" w:rsidR="002C0FD9" w:rsidRPr="00CA25CF" w:rsidRDefault="002C0FD9" w:rsidP="00CA25CF">
            <w:pPr>
              <w:rPr>
                <w:rFonts w:cs="Arial"/>
                <w:color w:val="FF0000"/>
                <w:sz w:val="21"/>
                <w:szCs w:val="21"/>
              </w:rPr>
            </w:pPr>
          </w:p>
        </w:tc>
        <w:tc>
          <w:tcPr>
            <w:tcW w:w="217" w:type="dxa"/>
          </w:tcPr>
          <w:p w14:paraId="33293882" w14:textId="77777777" w:rsidR="002C0FD9" w:rsidRPr="00CA25CF" w:rsidRDefault="002C0FD9" w:rsidP="00CA25CF">
            <w:pPr>
              <w:rPr>
                <w:rFonts w:cs="Arial"/>
                <w:color w:val="FF0000"/>
                <w:sz w:val="21"/>
                <w:szCs w:val="21"/>
              </w:rPr>
            </w:pPr>
          </w:p>
        </w:tc>
        <w:tc>
          <w:tcPr>
            <w:tcW w:w="217" w:type="dxa"/>
          </w:tcPr>
          <w:p w14:paraId="4F69B0A9" w14:textId="77777777" w:rsidR="002C0FD9" w:rsidRPr="00CA25CF" w:rsidRDefault="002C0FD9" w:rsidP="00CA25CF">
            <w:pPr>
              <w:rPr>
                <w:rFonts w:cs="Arial"/>
                <w:color w:val="FF0000"/>
                <w:sz w:val="21"/>
                <w:szCs w:val="21"/>
              </w:rPr>
            </w:pPr>
          </w:p>
        </w:tc>
        <w:tc>
          <w:tcPr>
            <w:tcW w:w="217" w:type="dxa"/>
          </w:tcPr>
          <w:p w14:paraId="24AB30A4" w14:textId="77777777" w:rsidR="002C0FD9" w:rsidRPr="00CA25CF" w:rsidRDefault="002C0FD9" w:rsidP="00CA25CF">
            <w:pPr>
              <w:rPr>
                <w:rFonts w:cs="Arial"/>
                <w:color w:val="FF0000"/>
                <w:sz w:val="21"/>
                <w:szCs w:val="21"/>
              </w:rPr>
            </w:pPr>
          </w:p>
        </w:tc>
        <w:tc>
          <w:tcPr>
            <w:tcW w:w="217" w:type="dxa"/>
          </w:tcPr>
          <w:p w14:paraId="5675D6F9" w14:textId="77777777" w:rsidR="002C0FD9" w:rsidRPr="00CA25CF" w:rsidRDefault="002C0FD9" w:rsidP="00CA25CF">
            <w:pPr>
              <w:rPr>
                <w:rFonts w:cs="Arial"/>
                <w:color w:val="FF0000"/>
                <w:sz w:val="21"/>
                <w:szCs w:val="21"/>
              </w:rPr>
            </w:pPr>
          </w:p>
        </w:tc>
        <w:tc>
          <w:tcPr>
            <w:tcW w:w="217" w:type="dxa"/>
          </w:tcPr>
          <w:p w14:paraId="01C4EEAB" w14:textId="77777777" w:rsidR="002C0FD9" w:rsidRPr="00CA25CF" w:rsidRDefault="002C0FD9" w:rsidP="00CA25CF">
            <w:pPr>
              <w:rPr>
                <w:rFonts w:cs="Arial"/>
                <w:color w:val="FF0000"/>
                <w:sz w:val="21"/>
                <w:szCs w:val="21"/>
              </w:rPr>
            </w:pPr>
          </w:p>
        </w:tc>
        <w:tc>
          <w:tcPr>
            <w:tcW w:w="217" w:type="dxa"/>
          </w:tcPr>
          <w:p w14:paraId="7B04D249" w14:textId="77777777" w:rsidR="002C0FD9" w:rsidRPr="00CA25CF" w:rsidRDefault="002C0FD9" w:rsidP="00CA25CF">
            <w:pPr>
              <w:rPr>
                <w:rFonts w:cs="Arial"/>
                <w:color w:val="FF0000"/>
                <w:sz w:val="21"/>
                <w:szCs w:val="21"/>
              </w:rPr>
            </w:pPr>
          </w:p>
        </w:tc>
        <w:tc>
          <w:tcPr>
            <w:tcW w:w="217" w:type="dxa"/>
          </w:tcPr>
          <w:p w14:paraId="03043542" w14:textId="77777777" w:rsidR="002C0FD9" w:rsidRPr="00CA25CF" w:rsidRDefault="002C0FD9" w:rsidP="00CA25CF">
            <w:pPr>
              <w:rPr>
                <w:rFonts w:cs="Arial"/>
                <w:color w:val="FF0000"/>
                <w:sz w:val="21"/>
                <w:szCs w:val="21"/>
              </w:rPr>
            </w:pPr>
          </w:p>
        </w:tc>
        <w:tc>
          <w:tcPr>
            <w:tcW w:w="217" w:type="dxa"/>
          </w:tcPr>
          <w:p w14:paraId="537BDD3F" w14:textId="77777777" w:rsidR="002C0FD9" w:rsidRPr="00CA25CF" w:rsidRDefault="002C0FD9" w:rsidP="00CA25CF">
            <w:pPr>
              <w:rPr>
                <w:rFonts w:cs="Arial"/>
                <w:color w:val="FF0000"/>
                <w:sz w:val="21"/>
                <w:szCs w:val="21"/>
              </w:rPr>
            </w:pPr>
          </w:p>
        </w:tc>
        <w:tc>
          <w:tcPr>
            <w:tcW w:w="217" w:type="dxa"/>
          </w:tcPr>
          <w:p w14:paraId="51E3A38A" w14:textId="77777777" w:rsidR="002C0FD9" w:rsidRPr="00CA25CF" w:rsidRDefault="002C0FD9" w:rsidP="00CA25CF">
            <w:pPr>
              <w:rPr>
                <w:rFonts w:cs="Arial"/>
                <w:color w:val="FF0000"/>
                <w:sz w:val="21"/>
                <w:szCs w:val="21"/>
              </w:rPr>
            </w:pPr>
          </w:p>
        </w:tc>
        <w:tc>
          <w:tcPr>
            <w:tcW w:w="217" w:type="dxa"/>
          </w:tcPr>
          <w:p w14:paraId="2505B3F6" w14:textId="77777777" w:rsidR="002C0FD9" w:rsidRPr="00CA25CF" w:rsidRDefault="002C0FD9" w:rsidP="00CA25CF">
            <w:pPr>
              <w:rPr>
                <w:rFonts w:cs="Arial"/>
                <w:color w:val="FF0000"/>
                <w:sz w:val="21"/>
                <w:szCs w:val="21"/>
              </w:rPr>
            </w:pPr>
          </w:p>
        </w:tc>
        <w:tc>
          <w:tcPr>
            <w:tcW w:w="217" w:type="dxa"/>
          </w:tcPr>
          <w:p w14:paraId="66D59B23" w14:textId="77777777" w:rsidR="002C0FD9" w:rsidRPr="00CA25CF" w:rsidRDefault="002C0FD9" w:rsidP="00CA25CF">
            <w:pPr>
              <w:rPr>
                <w:rFonts w:cs="Arial"/>
                <w:color w:val="FF0000"/>
                <w:sz w:val="21"/>
                <w:szCs w:val="21"/>
              </w:rPr>
            </w:pPr>
          </w:p>
        </w:tc>
        <w:tc>
          <w:tcPr>
            <w:tcW w:w="217" w:type="dxa"/>
          </w:tcPr>
          <w:p w14:paraId="2BAD8574" w14:textId="77777777" w:rsidR="002C0FD9" w:rsidRPr="00CA25CF" w:rsidRDefault="002C0FD9" w:rsidP="00CA25CF">
            <w:pPr>
              <w:rPr>
                <w:rFonts w:cs="Arial"/>
                <w:color w:val="FF0000"/>
                <w:sz w:val="21"/>
                <w:szCs w:val="21"/>
              </w:rPr>
            </w:pPr>
          </w:p>
        </w:tc>
        <w:tc>
          <w:tcPr>
            <w:tcW w:w="217" w:type="dxa"/>
          </w:tcPr>
          <w:p w14:paraId="3AE570A8" w14:textId="77777777" w:rsidR="002C0FD9" w:rsidRPr="00CA25CF" w:rsidRDefault="002C0FD9" w:rsidP="00CA25CF">
            <w:pPr>
              <w:rPr>
                <w:rFonts w:cs="Arial"/>
                <w:color w:val="FF0000"/>
                <w:sz w:val="21"/>
                <w:szCs w:val="21"/>
              </w:rPr>
            </w:pPr>
          </w:p>
        </w:tc>
        <w:tc>
          <w:tcPr>
            <w:tcW w:w="217" w:type="dxa"/>
          </w:tcPr>
          <w:p w14:paraId="0F1FBBBE" w14:textId="77777777" w:rsidR="002C0FD9" w:rsidRPr="00CA25CF" w:rsidRDefault="002C0FD9" w:rsidP="00CA25CF">
            <w:pPr>
              <w:rPr>
                <w:rFonts w:cs="Arial"/>
                <w:color w:val="FF0000"/>
                <w:sz w:val="21"/>
                <w:szCs w:val="21"/>
              </w:rPr>
            </w:pPr>
          </w:p>
        </w:tc>
        <w:tc>
          <w:tcPr>
            <w:tcW w:w="217" w:type="dxa"/>
          </w:tcPr>
          <w:p w14:paraId="2C80E839" w14:textId="77777777" w:rsidR="002C0FD9" w:rsidRPr="00CA25CF" w:rsidRDefault="002C0FD9" w:rsidP="00CA25CF">
            <w:pPr>
              <w:rPr>
                <w:rFonts w:cs="Arial"/>
                <w:color w:val="FF0000"/>
                <w:sz w:val="21"/>
                <w:szCs w:val="21"/>
              </w:rPr>
            </w:pPr>
          </w:p>
        </w:tc>
        <w:tc>
          <w:tcPr>
            <w:tcW w:w="217" w:type="dxa"/>
          </w:tcPr>
          <w:p w14:paraId="68599863" w14:textId="77777777" w:rsidR="002C0FD9" w:rsidRPr="00CA25CF" w:rsidRDefault="002C0FD9" w:rsidP="00CA25CF">
            <w:pPr>
              <w:rPr>
                <w:rFonts w:cs="Arial"/>
                <w:color w:val="FF0000"/>
                <w:sz w:val="21"/>
                <w:szCs w:val="21"/>
              </w:rPr>
            </w:pPr>
          </w:p>
        </w:tc>
        <w:tc>
          <w:tcPr>
            <w:tcW w:w="217" w:type="dxa"/>
          </w:tcPr>
          <w:p w14:paraId="50380B52" w14:textId="77777777" w:rsidR="002C0FD9" w:rsidRPr="00CA25CF" w:rsidRDefault="002C0FD9" w:rsidP="00CA25CF">
            <w:pPr>
              <w:rPr>
                <w:rFonts w:cs="Arial"/>
                <w:color w:val="FF0000"/>
                <w:sz w:val="21"/>
                <w:szCs w:val="21"/>
              </w:rPr>
            </w:pPr>
          </w:p>
        </w:tc>
        <w:tc>
          <w:tcPr>
            <w:tcW w:w="217" w:type="dxa"/>
          </w:tcPr>
          <w:p w14:paraId="11171E36" w14:textId="77777777" w:rsidR="002C0FD9" w:rsidRPr="00CA25CF" w:rsidRDefault="002C0FD9" w:rsidP="00CA25CF">
            <w:pPr>
              <w:rPr>
                <w:rFonts w:cs="Arial"/>
                <w:color w:val="FF0000"/>
                <w:sz w:val="21"/>
                <w:szCs w:val="21"/>
              </w:rPr>
            </w:pPr>
          </w:p>
        </w:tc>
        <w:tc>
          <w:tcPr>
            <w:tcW w:w="217" w:type="dxa"/>
          </w:tcPr>
          <w:p w14:paraId="3EEEB3CA" w14:textId="77777777" w:rsidR="002C0FD9" w:rsidRPr="00CA25CF" w:rsidRDefault="002C0FD9" w:rsidP="00CA25CF">
            <w:pPr>
              <w:rPr>
                <w:rFonts w:cs="Arial"/>
                <w:color w:val="FF0000"/>
                <w:sz w:val="21"/>
                <w:szCs w:val="21"/>
              </w:rPr>
            </w:pPr>
          </w:p>
        </w:tc>
        <w:tc>
          <w:tcPr>
            <w:tcW w:w="217" w:type="dxa"/>
          </w:tcPr>
          <w:p w14:paraId="667432BC" w14:textId="77777777" w:rsidR="002C0FD9" w:rsidRPr="00CA25CF" w:rsidRDefault="002C0FD9" w:rsidP="00CA25CF">
            <w:pPr>
              <w:rPr>
                <w:rFonts w:cs="Arial"/>
                <w:color w:val="FF0000"/>
                <w:sz w:val="21"/>
                <w:szCs w:val="21"/>
              </w:rPr>
            </w:pPr>
          </w:p>
        </w:tc>
        <w:tc>
          <w:tcPr>
            <w:tcW w:w="217" w:type="dxa"/>
          </w:tcPr>
          <w:p w14:paraId="12CB34C9" w14:textId="77777777" w:rsidR="002C0FD9" w:rsidRPr="00CA25CF" w:rsidRDefault="002C0FD9" w:rsidP="00CA25CF">
            <w:pPr>
              <w:rPr>
                <w:rFonts w:cs="Arial"/>
                <w:color w:val="FF0000"/>
                <w:sz w:val="21"/>
                <w:szCs w:val="21"/>
              </w:rPr>
            </w:pPr>
          </w:p>
        </w:tc>
        <w:tc>
          <w:tcPr>
            <w:tcW w:w="217" w:type="dxa"/>
          </w:tcPr>
          <w:p w14:paraId="18B4B85F" w14:textId="77777777" w:rsidR="002C0FD9" w:rsidRPr="00CA25CF" w:rsidRDefault="002C0FD9" w:rsidP="00CA25CF">
            <w:pPr>
              <w:rPr>
                <w:rFonts w:cs="Arial"/>
                <w:color w:val="FF0000"/>
                <w:sz w:val="21"/>
                <w:szCs w:val="21"/>
              </w:rPr>
            </w:pPr>
          </w:p>
        </w:tc>
        <w:tc>
          <w:tcPr>
            <w:tcW w:w="217" w:type="dxa"/>
          </w:tcPr>
          <w:p w14:paraId="6811D493" w14:textId="77777777" w:rsidR="002C0FD9" w:rsidRPr="00CA25CF" w:rsidRDefault="002C0FD9" w:rsidP="00CA25CF">
            <w:pPr>
              <w:rPr>
                <w:rFonts w:cs="Arial"/>
                <w:color w:val="FF0000"/>
                <w:sz w:val="21"/>
                <w:szCs w:val="21"/>
              </w:rPr>
            </w:pPr>
          </w:p>
        </w:tc>
        <w:tc>
          <w:tcPr>
            <w:tcW w:w="217" w:type="dxa"/>
          </w:tcPr>
          <w:p w14:paraId="0F14F0DC" w14:textId="77777777" w:rsidR="002C0FD9" w:rsidRPr="00CA25CF" w:rsidRDefault="002C0FD9" w:rsidP="00CA25CF">
            <w:pPr>
              <w:rPr>
                <w:rFonts w:cs="Arial"/>
                <w:color w:val="FF0000"/>
                <w:sz w:val="21"/>
                <w:szCs w:val="21"/>
              </w:rPr>
            </w:pPr>
          </w:p>
        </w:tc>
        <w:tc>
          <w:tcPr>
            <w:tcW w:w="217" w:type="dxa"/>
          </w:tcPr>
          <w:p w14:paraId="3168D927" w14:textId="77777777" w:rsidR="002C0FD9" w:rsidRPr="00CA25CF" w:rsidRDefault="002C0FD9" w:rsidP="00CA25CF">
            <w:pPr>
              <w:rPr>
                <w:rFonts w:cs="Arial"/>
                <w:color w:val="FF0000"/>
                <w:sz w:val="21"/>
                <w:szCs w:val="21"/>
              </w:rPr>
            </w:pPr>
          </w:p>
        </w:tc>
        <w:tc>
          <w:tcPr>
            <w:tcW w:w="217" w:type="dxa"/>
          </w:tcPr>
          <w:p w14:paraId="1E5F6D9C" w14:textId="77777777" w:rsidR="002C0FD9" w:rsidRPr="00CA25CF" w:rsidRDefault="002C0FD9" w:rsidP="00CA25CF">
            <w:pPr>
              <w:rPr>
                <w:rFonts w:cs="Arial"/>
                <w:color w:val="FF0000"/>
                <w:sz w:val="21"/>
                <w:szCs w:val="21"/>
              </w:rPr>
            </w:pPr>
          </w:p>
        </w:tc>
        <w:tc>
          <w:tcPr>
            <w:tcW w:w="217" w:type="dxa"/>
          </w:tcPr>
          <w:p w14:paraId="4DFCB53D" w14:textId="77777777" w:rsidR="002C0FD9" w:rsidRPr="00CA25CF" w:rsidRDefault="002C0FD9" w:rsidP="00CA25CF">
            <w:pPr>
              <w:rPr>
                <w:rFonts w:cs="Arial"/>
                <w:color w:val="FF0000"/>
                <w:sz w:val="21"/>
                <w:szCs w:val="21"/>
              </w:rPr>
            </w:pPr>
          </w:p>
        </w:tc>
        <w:tc>
          <w:tcPr>
            <w:tcW w:w="217" w:type="dxa"/>
          </w:tcPr>
          <w:p w14:paraId="72C1CE82" w14:textId="77777777" w:rsidR="002C0FD9" w:rsidRPr="00CA25CF" w:rsidRDefault="002C0FD9" w:rsidP="00CA25CF">
            <w:pPr>
              <w:rPr>
                <w:rFonts w:cs="Arial"/>
                <w:color w:val="FF0000"/>
                <w:sz w:val="21"/>
                <w:szCs w:val="21"/>
              </w:rPr>
            </w:pPr>
          </w:p>
        </w:tc>
        <w:tc>
          <w:tcPr>
            <w:tcW w:w="217" w:type="dxa"/>
          </w:tcPr>
          <w:p w14:paraId="101C39E8" w14:textId="77777777" w:rsidR="002C0FD9" w:rsidRPr="00CA25CF" w:rsidRDefault="002C0FD9" w:rsidP="00CA25CF">
            <w:pPr>
              <w:rPr>
                <w:rFonts w:cs="Arial"/>
                <w:color w:val="FF0000"/>
                <w:sz w:val="21"/>
                <w:szCs w:val="21"/>
              </w:rPr>
            </w:pPr>
          </w:p>
        </w:tc>
        <w:tc>
          <w:tcPr>
            <w:tcW w:w="217" w:type="dxa"/>
          </w:tcPr>
          <w:p w14:paraId="25E62351" w14:textId="77777777" w:rsidR="002C0FD9" w:rsidRPr="00CA25CF" w:rsidRDefault="002C0FD9" w:rsidP="00CA25CF">
            <w:pPr>
              <w:rPr>
                <w:rFonts w:cs="Arial"/>
                <w:color w:val="FF0000"/>
                <w:sz w:val="21"/>
                <w:szCs w:val="21"/>
              </w:rPr>
            </w:pPr>
          </w:p>
        </w:tc>
        <w:tc>
          <w:tcPr>
            <w:tcW w:w="217" w:type="dxa"/>
          </w:tcPr>
          <w:p w14:paraId="08E5B072" w14:textId="77777777" w:rsidR="002C0FD9" w:rsidRPr="00CA25CF" w:rsidRDefault="002C0FD9" w:rsidP="00CA25CF">
            <w:pPr>
              <w:rPr>
                <w:rFonts w:cs="Arial"/>
                <w:color w:val="FF0000"/>
                <w:sz w:val="21"/>
                <w:szCs w:val="21"/>
              </w:rPr>
            </w:pPr>
          </w:p>
        </w:tc>
        <w:tc>
          <w:tcPr>
            <w:tcW w:w="217" w:type="dxa"/>
          </w:tcPr>
          <w:p w14:paraId="6EAECCF8" w14:textId="77777777" w:rsidR="002C0FD9" w:rsidRPr="00CA25CF" w:rsidRDefault="002C0FD9" w:rsidP="00CA25CF">
            <w:pPr>
              <w:rPr>
                <w:rFonts w:cs="Arial"/>
                <w:color w:val="FF0000"/>
                <w:sz w:val="21"/>
                <w:szCs w:val="21"/>
              </w:rPr>
            </w:pPr>
          </w:p>
        </w:tc>
        <w:tc>
          <w:tcPr>
            <w:tcW w:w="217" w:type="dxa"/>
          </w:tcPr>
          <w:p w14:paraId="42FA31D7" w14:textId="77777777" w:rsidR="002C0FD9" w:rsidRPr="00CA25CF" w:rsidRDefault="002C0FD9" w:rsidP="00CA25CF">
            <w:pPr>
              <w:rPr>
                <w:rFonts w:cs="Arial"/>
                <w:color w:val="FF0000"/>
                <w:sz w:val="21"/>
                <w:szCs w:val="21"/>
              </w:rPr>
            </w:pPr>
          </w:p>
        </w:tc>
        <w:tc>
          <w:tcPr>
            <w:tcW w:w="217" w:type="dxa"/>
          </w:tcPr>
          <w:p w14:paraId="1356E697" w14:textId="77777777" w:rsidR="002C0FD9" w:rsidRPr="00CA25CF" w:rsidRDefault="002C0FD9" w:rsidP="00CA25CF">
            <w:pPr>
              <w:rPr>
                <w:rFonts w:cs="Arial"/>
                <w:color w:val="FF0000"/>
                <w:sz w:val="21"/>
                <w:szCs w:val="21"/>
              </w:rPr>
            </w:pPr>
          </w:p>
        </w:tc>
        <w:tc>
          <w:tcPr>
            <w:tcW w:w="217" w:type="dxa"/>
          </w:tcPr>
          <w:p w14:paraId="07D8EE66" w14:textId="77777777" w:rsidR="002C0FD9" w:rsidRPr="00CA25CF" w:rsidRDefault="002C0FD9" w:rsidP="00CA25CF">
            <w:pPr>
              <w:rPr>
                <w:rFonts w:cs="Arial"/>
                <w:color w:val="FF0000"/>
                <w:sz w:val="21"/>
                <w:szCs w:val="21"/>
              </w:rPr>
            </w:pPr>
          </w:p>
        </w:tc>
      </w:tr>
      <w:tr w:rsidR="002C0FD9" w:rsidRPr="00A16219" w14:paraId="1B183D8E" w14:textId="09497FE9" w:rsidTr="002C0FD9">
        <w:trPr>
          <w:trHeight w:val="635"/>
        </w:trPr>
        <w:tc>
          <w:tcPr>
            <w:tcW w:w="515" w:type="dxa"/>
          </w:tcPr>
          <w:p w14:paraId="6AFFA7DB" w14:textId="77777777" w:rsidR="002C0FD9" w:rsidRPr="00CA25CF" w:rsidRDefault="002C0FD9" w:rsidP="00CA25CF">
            <w:pPr>
              <w:rPr>
                <w:rFonts w:cs="Arial"/>
                <w:color w:val="FF0000"/>
                <w:sz w:val="21"/>
                <w:szCs w:val="21"/>
              </w:rPr>
            </w:pPr>
          </w:p>
        </w:tc>
        <w:tc>
          <w:tcPr>
            <w:tcW w:w="217" w:type="dxa"/>
          </w:tcPr>
          <w:p w14:paraId="6E1D6D5E" w14:textId="77777777" w:rsidR="002C0FD9" w:rsidRPr="00CA25CF" w:rsidRDefault="002C0FD9" w:rsidP="00CA25CF">
            <w:pPr>
              <w:rPr>
                <w:rFonts w:cs="Arial"/>
                <w:color w:val="FF0000"/>
                <w:sz w:val="21"/>
                <w:szCs w:val="21"/>
              </w:rPr>
            </w:pPr>
          </w:p>
        </w:tc>
        <w:tc>
          <w:tcPr>
            <w:tcW w:w="217" w:type="dxa"/>
          </w:tcPr>
          <w:p w14:paraId="6CD76322" w14:textId="2A287BAD" w:rsidR="002C0FD9" w:rsidRPr="00CA25CF" w:rsidRDefault="002C0FD9" w:rsidP="00CA25CF">
            <w:pPr>
              <w:rPr>
                <w:rFonts w:cs="Arial"/>
                <w:color w:val="FF0000"/>
                <w:sz w:val="21"/>
                <w:szCs w:val="21"/>
              </w:rPr>
            </w:pPr>
          </w:p>
        </w:tc>
        <w:tc>
          <w:tcPr>
            <w:tcW w:w="217" w:type="dxa"/>
          </w:tcPr>
          <w:p w14:paraId="1E0302D2" w14:textId="77777777" w:rsidR="002C0FD9" w:rsidRPr="00CA25CF" w:rsidRDefault="002C0FD9" w:rsidP="00CA25CF">
            <w:pPr>
              <w:rPr>
                <w:rFonts w:cs="Arial"/>
                <w:color w:val="FF0000"/>
                <w:sz w:val="21"/>
                <w:szCs w:val="21"/>
              </w:rPr>
            </w:pPr>
          </w:p>
        </w:tc>
        <w:tc>
          <w:tcPr>
            <w:tcW w:w="217" w:type="dxa"/>
          </w:tcPr>
          <w:p w14:paraId="748FE251" w14:textId="77777777" w:rsidR="002C0FD9" w:rsidRPr="00CA25CF" w:rsidRDefault="002C0FD9" w:rsidP="00CA25CF">
            <w:pPr>
              <w:rPr>
                <w:rFonts w:cs="Arial"/>
                <w:color w:val="FF0000"/>
                <w:sz w:val="21"/>
                <w:szCs w:val="21"/>
              </w:rPr>
            </w:pPr>
          </w:p>
        </w:tc>
        <w:tc>
          <w:tcPr>
            <w:tcW w:w="217" w:type="dxa"/>
          </w:tcPr>
          <w:p w14:paraId="4EEA27D3" w14:textId="77777777" w:rsidR="002C0FD9" w:rsidRPr="00CA25CF" w:rsidRDefault="002C0FD9" w:rsidP="00CA25CF">
            <w:pPr>
              <w:rPr>
                <w:rFonts w:cs="Arial"/>
                <w:color w:val="FF0000"/>
                <w:sz w:val="21"/>
                <w:szCs w:val="21"/>
              </w:rPr>
            </w:pPr>
          </w:p>
        </w:tc>
        <w:tc>
          <w:tcPr>
            <w:tcW w:w="217" w:type="dxa"/>
          </w:tcPr>
          <w:p w14:paraId="0806A0CC" w14:textId="77777777" w:rsidR="002C0FD9" w:rsidRPr="00CA25CF" w:rsidRDefault="002C0FD9" w:rsidP="00CA25CF">
            <w:pPr>
              <w:rPr>
                <w:rFonts w:cs="Arial"/>
                <w:color w:val="FF0000"/>
                <w:sz w:val="21"/>
                <w:szCs w:val="21"/>
              </w:rPr>
            </w:pPr>
          </w:p>
        </w:tc>
        <w:tc>
          <w:tcPr>
            <w:tcW w:w="217" w:type="dxa"/>
          </w:tcPr>
          <w:p w14:paraId="01536F1B" w14:textId="77777777" w:rsidR="002C0FD9" w:rsidRPr="00CA25CF" w:rsidRDefault="002C0FD9" w:rsidP="00CA25CF">
            <w:pPr>
              <w:rPr>
                <w:rFonts w:cs="Arial"/>
                <w:color w:val="FF0000"/>
                <w:sz w:val="21"/>
                <w:szCs w:val="21"/>
              </w:rPr>
            </w:pPr>
          </w:p>
        </w:tc>
        <w:tc>
          <w:tcPr>
            <w:tcW w:w="217" w:type="dxa"/>
          </w:tcPr>
          <w:p w14:paraId="78DA0CBD" w14:textId="77777777" w:rsidR="002C0FD9" w:rsidRPr="00CA25CF" w:rsidRDefault="002C0FD9" w:rsidP="00CA25CF">
            <w:pPr>
              <w:rPr>
                <w:rFonts w:cs="Arial"/>
                <w:color w:val="FF0000"/>
                <w:sz w:val="21"/>
                <w:szCs w:val="21"/>
              </w:rPr>
            </w:pPr>
          </w:p>
        </w:tc>
        <w:tc>
          <w:tcPr>
            <w:tcW w:w="217" w:type="dxa"/>
          </w:tcPr>
          <w:p w14:paraId="602795C3" w14:textId="77777777" w:rsidR="002C0FD9" w:rsidRPr="00CA25CF" w:rsidRDefault="002C0FD9" w:rsidP="00CA25CF">
            <w:pPr>
              <w:rPr>
                <w:rFonts w:cs="Arial"/>
                <w:color w:val="FF0000"/>
                <w:sz w:val="21"/>
                <w:szCs w:val="21"/>
              </w:rPr>
            </w:pPr>
          </w:p>
        </w:tc>
        <w:tc>
          <w:tcPr>
            <w:tcW w:w="217" w:type="dxa"/>
          </w:tcPr>
          <w:p w14:paraId="69A93CD1" w14:textId="77777777" w:rsidR="002C0FD9" w:rsidRPr="00CA25CF" w:rsidRDefault="002C0FD9" w:rsidP="00CA25CF">
            <w:pPr>
              <w:rPr>
                <w:rFonts w:cs="Arial"/>
                <w:color w:val="FF0000"/>
                <w:sz w:val="21"/>
                <w:szCs w:val="21"/>
              </w:rPr>
            </w:pPr>
          </w:p>
        </w:tc>
        <w:tc>
          <w:tcPr>
            <w:tcW w:w="217" w:type="dxa"/>
          </w:tcPr>
          <w:p w14:paraId="1C8F1C1C" w14:textId="77777777" w:rsidR="002C0FD9" w:rsidRPr="00CA25CF" w:rsidRDefault="002C0FD9" w:rsidP="00CA25CF">
            <w:pPr>
              <w:rPr>
                <w:rFonts w:cs="Arial"/>
                <w:color w:val="FF0000"/>
                <w:sz w:val="21"/>
                <w:szCs w:val="21"/>
              </w:rPr>
            </w:pPr>
          </w:p>
        </w:tc>
        <w:tc>
          <w:tcPr>
            <w:tcW w:w="217" w:type="dxa"/>
          </w:tcPr>
          <w:p w14:paraId="39360D27" w14:textId="77777777" w:rsidR="002C0FD9" w:rsidRPr="00CA25CF" w:rsidRDefault="002C0FD9" w:rsidP="00CA25CF">
            <w:pPr>
              <w:rPr>
                <w:rFonts w:cs="Arial"/>
                <w:color w:val="FF0000"/>
                <w:sz w:val="21"/>
                <w:szCs w:val="21"/>
              </w:rPr>
            </w:pPr>
          </w:p>
        </w:tc>
        <w:tc>
          <w:tcPr>
            <w:tcW w:w="217" w:type="dxa"/>
          </w:tcPr>
          <w:p w14:paraId="69A366BC" w14:textId="77777777" w:rsidR="002C0FD9" w:rsidRPr="00CA25CF" w:rsidRDefault="002C0FD9" w:rsidP="00CA25CF">
            <w:pPr>
              <w:rPr>
                <w:rFonts w:cs="Arial"/>
                <w:color w:val="FF0000"/>
                <w:sz w:val="21"/>
                <w:szCs w:val="21"/>
              </w:rPr>
            </w:pPr>
          </w:p>
        </w:tc>
        <w:tc>
          <w:tcPr>
            <w:tcW w:w="217" w:type="dxa"/>
          </w:tcPr>
          <w:p w14:paraId="3CA924C5" w14:textId="77777777" w:rsidR="002C0FD9" w:rsidRPr="00CA25CF" w:rsidRDefault="002C0FD9" w:rsidP="00CA25CF">
            <w:pPr>
              <w:rPr>
                <w:rFonts w:cs="Arial"/>
                <w:color w:val="FF0000"/>
                <w:sz w:val="21"/>
                <w:szCs w:val="21"/>
              </w:rPr>
            </w:pPr>
          </w:p>
        </w:tc>
        <w:tc>
          <w:tcPr>
            <w:tcW w:w="217" w:type="dxa"/>
          </w:tcPr>
          <w:p w14:paraId="3FF477AD" w14:textId="77777777" w:rsidR="002C0FD9" w:rsidRPr="00CA25CF" w:rsidRDefault="002C0FD9" w:rsidP="00CA25CF">
            <w:pPr>
              <w:rPr>
                <w:rFonts w:cs="Arial"/>
                <w:color w:val="FF0000"/>
                <w:sz w:val="21"/>
                <w:szCs w:val="21"/>
              </w:rPr>
            </w:pPr>
          </w:p>
        </w:tc>
        <w:tc>
          <w:tcPr>
            <w:tcW w:w="217" w:type="dxa"/>
          </w:tcPr>
          <w:p w14:paraId="20A00715" w14:textId="77777777" w:rsidR="002C0FD9" w:rsidRPr="00CA25CF" w:rsidRDefault="002C0FD9" w:rsidP="00CA25CF">
            <w:pPr>
              <w:rPr>
                <w:rFonts w:cs="Arial"/>
                <w:color w:val="FF0000"/>
                <w:sz w:val="21"/>
                <w:szCs w:val="21"/>
              </w:rPr>
            </w:pPr>
          </w:p>
        </w:tc>
        <w:tc>
          <w:tcPr>
            <w:tcW w:w="217" w:type="dxa"/>
          </w:tcPr>
          <w:p w14:paraId="363C854C" w14:textId="77777777" w:rsidR="002C0FD9" w:rsidRPr="00CA25CF" w:rsidRDefault="002C0FD9" w:rsidP="00CA25CF">
            <w:pPr>
              <w:rPr>
                <w:rFonts w:cs="Arial"/>
                <w:color w:val="FF0000"/>
                <w:sz w:val="21"/>
                <w:szCs w:val="21"/>
              </w:rPr>
            </w:pPr>
          </w:p>
        </w:tc>
        <w:tc>
          <w:tcPr>
            <w:tcW w:w="217" w:type="dxa"/>
          </w:tcPr>
          <w:p w14:paraId="4AD29830" w14:textId="77777777" w:rsidR="002C0FD9" w:rsidRPr="00CA25CF" w:rsidRDefault="002C0FD9" w:rsidP="00CA25CF">
            <w:pPr>
              <w:rPr>
                <w:rFonts w:cs="Arial"/>
                <w:color w:val="FF0000"/>
                <w:sz w:val="21"/>
                <w:szCs w:val="21"/>
              </w:rPr>
            </w:pPr>
          </w:p>
        </w:tc>
        <w:tc>
          <w:tcPr>
            <w:tcW w:w="217" w:type="dxa"/>
          </w:tcPr>
          <w:p w14:paraId="0C2552A4" w14:textId="77777777" w:rsidR="002C0FD9" w:rsidRPr="00CA25CF" w:rsidRDefault="002C0FD9" w:rsidP="00CA25CF">
            <w:pPr>
              <w:rPr>
                <w:rFonts w:cs="Arial"/>
                <w:color w:val="FF0000"/>
                <w:sz w:val="21"/>
                <w:szCs w:val="21"/>
              </w:rPr>
            </w:pPr>
          </w:p>
        </w:tc>
        <w:tc>
          <w:tcPr>
            <w:tcW w:w="217" w:type="dxa"/>
          </w:tcPr>
          <w:p w14:paraId="0EE011F5" w14:textId="77777777" w:rsidR="002C0FD9" w:rsidRPr="00CA25CF" w:rsidRDefault="002C0FD9" w:rsidP="00CA25CF">
            <w:pPr>
              <w:rPr>
                <w:rFonts w:cs="Arial"/>
                <w:color w:val="FF0000"/>
                <w:sz w:val="21"/>
                <w:szCs w:val="21"/>
              </w:rPr>
            </w:pPr>
          </w:p>
        </w:tc>
        <w:tc>
          <w:tcPr>
            <w:tcW w:w="217" w:type="dxa"/>
          </w:tcPr>
          <w:p w14:paraId="451D9635" w14:textId="77777777" w:rsidR="002C0FD9" w:rsidRPr="00CA25CF" w:rsidRDefault="002C0FD9" w:rsidP="00CA25CF">
            <w:pPr>
              <w:rPr>
                <w:rFonts w:cs="Arial"/>
                <w:color w:val="FF0000"/>
                <w:sz w:val="21"/>
                <w:szCs w:val="21"/>
              </w:rPr>
            </w:pPr>
          </w:p>
        </w:tc>
        <w:tc>
          <w:tcPr>
            <w:tcW w:w="217" w:type="dxa"/>
          </w:tcPr>
          <w:p w14:paraId="63BCBB93" w14:textId="77777777" w:rsidR="002C0FD9" w:rsidRPr="00CA25CF" w:rsidRDefault="002C0FD9" w:rsidP="00CA25CF">
            <w:pPr>
              <w:rPr>
                <w:rFonts w:cs="Arial"/>
                <w:color w:val="FF0000"/>
                <w:sz w:val="21"/>
                <w:szCs w:val="21"/>
              </w:rPr>
            </w:pPr>
          </w:p>
        </w:tc>
        <w:tc>
          <w:tcPr>
            <w:tcW w:w="217" w:type="dxa"/>
          </w:tcPr>
          <w:p w14:paraId="5A74DD81" w14:textId="77777777" w:rsidR="002C0FD9" w:rsidRPr="00CA25CF" w:rsidRDefault="002C0FD9" w:rsidP="00CA25CF">
            <w:pPr>
              <w:rPr>
                <w:rFonts w:cs="Arial"/>
                <w:color w:val="FF0000"/>
                <w:sz w:val="21"/>
                <w:szCs w:val="21"/>
              </w:rPr>
            </w:pPr>
          </w:p>
        </w:tc>
        <w:tc>
          <w:tcPr>
            <w:tcW w:w="217" w:type="dxa"/>
          </w:tcPr>
          <w:p w14:paraId="5062754E" w14:textId="77777777" w:rsidR="002C0FD9" w:rsidRPr="00CA25CF" w:rsidRDefault="002C0FD9" w:rsidP="00CA25CF">
            <w:pPr>
              <w:rPr>
                <w:rFonts w:cs="Arial"/>
                <w:color w:val="FF0000"/>
                <w:sz w:val="21"/>
                <w:szCs w:val="21"/>
              </w:rPr>
            </w:pPr>
          </w:p>
        </w:tc>
        <w:tc>
          <w:tcPr>
            <w:tcW w:w="217" w:type="dxa"/>
          </w:tcPr>
          <w:p w14:paraId="6C3B0A33" w14:textId="77777777" w:rsidR="002C0FD9" w:rsidRPr="00CA25CF" w:rsidRDefault="002C0FD9" w:rsidP="00CA25CF">
            <w:pPr>
              <w:rPr>
                <w:rFonts w:cs="Arial"/>
                <w:color w:val="FF0000"/>
                <w:sz w:val="21"/>
                <w:szCs w:val="21"/>
              </w:rPr>
            </w:pPr>
          </w:p>
        </w:tc>
        <w:tc>
          <w:tcPr>
            <w:tcW w:w="217" w:type="dxa"/>
          </w:tcPr>
          <w:p w14:paraId="300330B4" w14:textId="77777777" w:rsidR="002C0FD9" w:rsidRPr="00CA25CF" w:rsidRDefault="002C0FD9" w:rsidP="00CA25CF">
            <w:pPr>
              <w:rPr>
                <w:rFonts w:cs="Arial"/>
                <w:color w:val="FF0000"/>
                <w:sz w:val="21"/>
                <w:szCs w:val="21"/>
              </w:rPr>
            </w:pPr>
          </w:p>
        </w:tc>
        <w:tc>
          <w:tcPr>
            <w:tcW w:w="217" w:type="dxa"/>
          </w:tcPr>
          <w:p w14:paraId="05702BB5" w14:textId="77777777" w:rsidR="002C0FD9" w:rsidRPr="00CA25CF" w:rsidRDefault="002C0FD9" w:rsidP="00CA25CF">
            <w:pPr>
              <w:rPr>
                <w:rFonts w:cs="Arial"/>
                <w:color w:val="FF0000"/>
                <w:sz w:val="21"/>
                <w:szCs w:val="21"/>
              </w:rPr>
            </w:pPr>
          </w:p>
        </w:tc>
        <w:tc>
          <w:tcPr>
            <w:tcW w:w="217" w:type="dxa"/>
          </w:tcPr>
          <w:p w14:paraId="3B4968B7" w14:textId="77777777" w:rsidR="002C0FD9" w:rsidRPr="00CA25CF" w:rsidRDefault="002C0FD9" w:rsidP="00CA25CF">
            <w:pPr>
              <w:rPr>
                <w:rFonts w:cs="Arial"/>
                <w:color w:val="FF0000"/>
                <w:sz w:val="21"/>
                <w:szCs w:val="21"/>
              </w:rPr>
            </w:pPr>
          </w:p>
        </w:tc>
        <w:tc>
          <w:tcPr>
            <w:tcW w:w="217" w:type="dxa"/>
          </w:tcPr>
          <w:p w14:paraId="0A430389" w14:textId="77777777" w:rsidR="002C0FD9" w:rsidRPr="00CA25CF" w:rsidRDefault="002C0FD9" w:rsidP="00CA25CF">
            <w:pPr>
              <w:rPr>
                <w:rFonts w:cs="Arial"/>
                <w:color w:val="FF0000"/>
                <w:sz w:val="21"/>
                <w:szCs w:val="21"/>
              </w:rPr>
            </w:pPr>
          </w:p>
        </w:tc>
        <w:tc>
          <w:tcPr>
            <w:tcW w:w="217" w:type="dxa"/>
          </w:tcPr>
          <w:p w14:paraId="47EB4415" w14:textId="77777777" w:rsidR="002C0FD9" w:rsidRPr="00CA25CF" w:rsidRDefault="002C0FD9" w:rsidP="00CA25CF">
            <w:pPr>
              <w:rPr>
                <w:rFonts w:cs="Arial"/>
                <w:color w:val="FF0000"/>
                <w:sz w:val="21"/>
                <w:szCs w:val="21"/>
              </w:rPr>
            </w:pPr>
          </w:p>
        </w:tc>
        <w:tc>
          <w:tcPr>
            <w:tcW w:w="217" w:type="dxa"/>
          </w:tcPr>
          <w:p w14:paraId="279FC501" w14:textId="77777777" w:rsidR="002C0FD9" w:rsidRPr="00CA25CF" w:rsidRDefault="002C0FD9" w:rsidP="00CA25CF">
            <w:pPr>
              <w:rPr>
                <w:rFonts w:cs="Arial"/>
                <w:color w:val="FF0000"/>
                <w:sz w:val="21"/>
                <w:szCs w:val="21"/>
              </w:rPr>
            </w:pPr>
          </w:p>
        </w:tc>
        <w:tc>
          <w:tcPr>
            <w:tcW w:w="217" w:type="dxa"/>
          </w:tcPr>
          <w:p w14:paraId="37557601" w14:textId="77777777" w:rsidR="002C0FD9" w:rsidRPr="00CA25CF" w:rsidRDefault="002C0FD9" w:rsidP="00CA25CF">
            <w:pPr>
              <w:rPr>
                <w:rFonts w:cs="Arial"/>
                <w:color w:val="FF0000"/>
                <w:sz w:val="21"/>
                <w:szCs w:val="21"/>
              </w:rPr>
            </w:pPr>
          </w:p>
        </w:tc>
        <w:tc>
          <w:tcPr>
            <w:tcW w:w="217" w:type="dxa"/>
          </w:tcPr>
          <w:p w14:paraId="649CD881" w14:textId="77777777" w:rsidR="002C0FD9" w:rsidRPr="00CA25CF" w:rsidRDefault="002C0FD9" w:rsidP="00CA25CF">
            <w:pPr>
              <w:rPr>
                <w:rFonts w:cs="Arial"/>
                <w:color w:val="FF0000"/>
                <w:sz w:val="21"/>
                <w:szCs w:val="21"/>
              </w:rPr>
            </w:pPr>
          </w:p>
        </w:tc>
        <w:tc>
          <w:tcPr>
            <w:tcW w:w="217" w:type="dxa"/>
          </w:tcPr>
          <w:p w14:paraId="702ACC63" w14:textId="77777777" w:rsidR="002C0FD9" w:rsidRPr="00CA25CF" w:rsidRDefault="002C0FD9" w:rsidP="00CA25CF">
            <w:pPr>
              <w:rPr>
                <w:rFonts w:cs="Arial"/>
                <w:color w:val="FF0000"/>
                <w:sz w:val="21"/>
                <w:szCs w:val="21"/>
              </w:rPr>
            </w:pPr>
          </w:p>
        </w:tc>
        <w:tc>
          <w:tcPr>
            <w:tcW w:w="217" w:type="dxa"/>
          </w:tcPr>
          <w:p w14:paraId="34EFF803" w14:textId="77777777" w:rsidR="002C0FD9" w:rsidRPr="00CA25CF" w:rsidRDefault="002C0FD9" w:rsidP="00CA25CF">
            <w:pPr>
              <w:rPr>
                <w:rFonts w:cs="Arial"/>
                <w:color w:val="FF0000"/>
                <w:sz w:val="21"/>
                <w:szCs w:val="21"/>
              </w:rPr>
            </w:pPr>
          </w:p>
        </w:tc>
        <w:tc>
          <w:tcPr>
            <w:tcW w:w="217" w:type="dxa"/>
          </w:tcPr>
          <w:p w14:paraId="750A6347" w14:textId="77777777" w:rsidR="002C0FD9" w:rsidRPr="00CA25CF" w:rsidRDefault="002C0FD9" w:rsidP="00CA25CF">
            <w:pPr>
              <w:rPr>
                <w:rFonts w:cs="Arial"/>
                <w:color w:val="FF0000"/>
                <w:sz w:val="21"/>
                <w:szCs w:val="21"/>
              </w:rPr>
            </w:pPr>
          </w:p>
        </w:tc>
        <w:tc>
          <w:tcPr>
            <w:tcW w:w="217" w:type="dxa"/>
          </w:tcPr>
          <w:p w14:paraId="2A8F92FB" w14:textId="77777777" w:rsidR="002C0FD9" w:rsidRPr="00CA25CF" w:rsidRDefault="002C0FD9" w:rsidP="00CA25CF">
            <w:pPr>
              <w:rPr>
                <w:rFonts w:cs="Arial"/>
                <w:color w:val="FF0000"/>
                <w:sz w:val="21"/>
                <w:szCs w:val="21"/>
              </w:rPr>
            </w:pPr>
          </w:p>
        </w:tc>
        <w:tc>
          <w:tcPr>
            <w:tcW w:w="217" w:type="dxa"/>
          </w:tcPr>
          <w:p w14:paraId="61066825" w14:textId="77777777" w:rsidR="002C0FD9" w:rsidRPr="00CA25CF" w:rsidRDefault="002C0FD9" w:rsidP="00CA25CF">
            <w:pPr>
              <w:rPr>
                <w:rFonts w:cs="Arial"/>
                <w:color w:val="FF0000"/>
                <w:sz w:val="21"/>
                <w:szCs w:val="21"/>
              </w:rPr>
            </w:pPr>
          </w:p>
        </w:tc>
        <w:tc>
          <w:tcPr>
            <w:tcW w:w="217" w:type="dxa"/>
          </w:tcPr>
          <w:p w14:paraId="4DD63FCA" w14:textId="77777777" w:rsidR="002C0FD9" w:rsidRPr="00CA25CF" w:rsidRDefault="002C0FD9" w:rsidP="00CA25CF">
            <w:pPr>
              <w:rPr>
                <w:rFonts w:cs="Arial"/>
                <w:color w:val="FF0000"/>
                <w:sz w:val="21"/>
                <w:szCs w:val="21"/>
              </w:rPr>
            </w:pPr>
          </w:p>
        </w:tc>
        <w:tc>
          <w:tcPr>
            <w:tcW w:w="217" w:type="dxa"/>
          </w:tcPr>
          <w:p w14:paraId="2F59F4E3" w14:textId="77777777" w:rsidR="002C0FD9" w:rsidRPr="00CA25CF" w:rsidRDefault="002C0FD9" w:rsidP="00CA25CF">
            <w:pPr>
              <w:rPr>
                <w:rFonts w:cs="Arial"/>
                <w:color w:val="FF0000"/>
                <w:sz w:val="21"/>
                <w:szCs w:val="21"/>
              </w:rPr>
            </w:pPr>
          </w:p>
        </w:tc>
        <w:tc>
          <w:tcPr>
            <w:tcW w:w="217" w:type="dxa"/>
          </w:tcPr>
          <w:p w14:paraId="29146D67" w14:textId="77777777" w:rsidR="002C0FD9" w:rsidRPr="00CA25CF" w:rsidRDefault="002C0FD9" w:rsidP="00CA25CF">
            <w:pPr>
              <w:rPr>
                <w:rFonts w:cs="Arial"/>
                <w:color w:val="FF0000"/>
                <w:sz w:val="21"/>
                <w:szCs w:val="21"/>
              </w:rPr>
            </w:pPr>
          </w:p>
        </w:tc>
        <w:tc>
          <w:tcPr>
            <w:tcW w:w="217" w:type="dxa"/>
          </w:tcPr>
          <w:p w14:paraId="0FB5C018" w14:textId="77777777" w:rsidR="002C0FD9" w:rsidRPr="00CA25CF" w:rsidRDefault="002C0FD9" w:rsidP="00CA25CF">
            <w:pPr>
              <w:rPr>
                <w:rFonts w:cs="Arial"/>
                <w:color w:val="FF0000"/>
                <w:sz w:val="21"/>
                <w:szCs w:val="21"/>
              </w:rPr>
            </w:pPr>
          </w:p>
        </w:tc>
      </w:tr>
      <w:tr w:rsidR="002C0FD9" w:rsidRPr="00A16219" w14:paraId="4D73A83B" w14:textId="71F55A6D" w:rsidTr="002C0FD9">
        <w:trPr>
          <w:trHeight w:val="635"/>
        </w:trPr>
        <w:tc>
          <w:tcPr>
            <w:tcW w:w="515" w:type="dxa"/>
          </w:tcPr>
          <w:p w14:paraId="0BFE434F" w14:textId="77777777" w:rsidR="002C0FD9" w:rsidRPr="00CA25CF" w:rsidRDefault="002C0FD9" w:rsidP="00CA25CF">
            <w:pPr>
              <w:rPr>
                <w:rFonts w:cs="Arial"/>
                <w:color w:val="FF0000"/>
                <w:sz w:val="21"/>
                <w:szCs w:val="21"/>
              </w:rPr>
            </w:pPr>
          </w:p>
        </w:tc>
        <w:tc>
          <w:tcPr>
            <w:tcW w:w="217" w:type="dxa"/>
          </w:tcPr>
          <w:p w14:paraId="7D471B42" w14:textId="77777777" w:rsidR="002C0FD9" w:rsidRPr="00CA25CF" w:rsidRDefault="002C0FD9" w:rsidP="00CA25CF">
            <w:pPr>
              <w:rPr>
                <w:rFonts w:cs="Arial"/>
                <w:color w:val="FF0000"/>
                <w:sz w:val="21"/>
                <w:szCs w:val="21"/>
              </w:rPr>
            </w:pPr>
          </w:p>
        </w:tc>
        <w:tc>
          <w:tcPr>
            <w:tcW w:w="217" w:type="dxa"/>
          </w:tcPr>
          <w:p w14:paraId="3468F58E" w14:textId="52AE217A" w:rsidR="002C0FD9" w:rsidRPr="00CA25CF" w:rsidRDefault="002C0FD9" w:rsidP="00CA25CF">
            <w:pPr>
              <w:rPr>
                <w:rFonts w:cs="Arial"/>
                <w:color w:val="FF0000"/>
                <w:sz w:val="21"/>
                <w:szCs w:val="21"/>
              </w:rPr>
            </w:pPr>
          </w:p>
        </w:tc>
        <w:tc>
          <w:tcPr>
            <w:tcW w:w="217" w:type="dxa"/>
          </w:tcPr>
          <w:p w14:paraId="39A129D8" w14:textId="77777777" w:rsidR="002C0FD9" w:rsidRPr="00CA25CF" w:rsidRDefault="002C0FD9" w:rsidP="00CA25CF">
            <w:pPr>
              <w:rPr>
                <w:rFonts w:cs="Arial"/>
                <w:color w:val="FF0000"/>
                <w:sz w:val="21"/>
                <w:szCs w:val="21"/>
              </w:rPr>
            </w:pPr>
          </w:p>
        </w:tc>
        <w:tc>
          <w:tcPr>
            <w:tcW w:w="217" w:type="dxa"/>
          </w:tcPr>
          <w:p w14:paraId="76CF1477" w14:textId="77777777" w:rsidR="002C0FD9" w:rsidRPr="00CA25CF" w:rsidRDefault="002C0FD9" w:rsidP="00CA25CF">
            <w:pPr>
              <w:rPr>
                <w:rFonts w:cs="Arial"/>
                <w:color w:val="FF0000"/>
                <w:sz w:val="21"/>
                <w:szCs w:val="21"/>
              </w:rPr>
            </w:pPr>
          </w:p>
        </w:tc>
        <w:tc>
          <w:tcPr>
            <w:tcW w:w="217" w:type="dxa"/>
          </w:tcPr>
          <w:p w14:paraId="015100A3" w14:textId="77777777" w:rsidR="002C0FD9" w:rsidRPr="00CA25CF" w:rsidRDefault="002C0FD9" w:rsidP="00CA25CF">
            <w:pPr>
              <w:rPr>
                <w:rFonts w:cs="Arial"/>
                <w:color w:val="FF0000"/>
                <w:sz w:val="21"/>
                <w:szCs w:val="21"/>
              </w:rPr>
            </w:pPr>
          </w:p>
        </w:tc>
        <w:tc>
          <w:tcPr>
            <w:tcW w:w="217" w:type="dxa"/>
          </w:tcPr>
          <w:p w14:paraId="1B9213CE" w14:textId="77777777" w:rsidR="002C0FD9" w:rsidRPr="00CA25CF" w:rsidRDefault="002C0FD9" w:rsidP="00CA25CF">
            <w:pPr>
              <w:rPr>
                <w:rFonts w:cs="Arial"/>
                <w:color w:val="FF0000"/>
                <w:sz w:val="21"/>
                <w:szCs w:val="21"/>
              </w:rPr>
            </w:pPr>
          </w:p>
        </w:tc>
        <w:tc>
          <w:tcPr>
            <w:tcW w:w="217" w:type="dxa"/>
          </w:tcPr>
          <w:p w14:paraId="4E0E8E38" w14:textId="77777777" w:rsidR="002C0FD9" w:rsidRPr="00CA25CF" w:rsidRDefault="002C0FD9" w:rsidP="00CA25CF">
            <w:pPr>
              <w:rPr>
                <w:rFonts w:cs="Arial"/>
                <w:color w:val="FF0000"/>
                <w:sz w:val="21"/>
                <w:szCs w:val="21"/>
              </w:rPr>
            </w:pPr>
          </w:p>
        </w:tc>
        <w:tc>
          <w:tcPr>
            <w:tcW w:w="217" w:type="dxa"/>
          </w:tcPr>
          <w:p w14:paraId="1F72CB28" w14:textId="77777777" w:rsidR="002C0FD9" w:rsidRPr="00CA25CF" w:rsidRDefault="002C0FD9" w:rsidP="00CA25CF">
            <w:pPr>
              <w:rPr>
                <w:rFonts w:cs="Arial"/>
                <w:color w:val="FF0000"/>
                <w:sz w:val="21"/>
                <w:szCs w:val="21"/>
              </w:rPr>
            </w:pPr>
          </w:p>
        </w:tc>
        <w:tc>
          <w:tcPr>
            <w:tcW w:w="217" w:type="dxa"/>
          </w:tcPr>
          <w:p w14:paraId="11E8805F" w14:textId="77777777" w:rsidR="002C0FD9" w:rsidRPr="00CA25CF" w:rsidRDefault="002C0FD9" w:rsidP="00CA25CF">
            <w:pPr>
              <w:rPr>
                <w:rFonts w:cs="Arial"/>
                <w:color w:val="FF0000"/>
                <w:sz w:val="21"/>
                <w:szCs w:val="21"/>
              </w:rPr>
            </w:pPr>
          </w:p>
        </w:tc>
        <w:tc>
          <w:tcPr>
            <w:tcW w:w="217" w:type="dxa"/>
          </w:tcPr>
          <w:p w14:paraId="1F9170E4" w14:textId="77777777" w:rsidR="002C0FD9" w:rsidRPr="00CA25CF" w:rsidRDefault="002C0FD9" w:rsidP="00CA25CF">
            <w:pPr>
              <w:rPr>
                <w:rFonts w:cs="Arial"/>
                <w:color w:val="FF0000"/>
                <w:sz w:val="21"/>
                <w:szCs w:val="21"/>
              </w:rPr>
            </w:pPr>
          </w:p>
        </w:tc>
        <w:tc>
          <w:tcPr>
            <w:tcW w:w="217" w:type="dxa"/>
          </w:tcPr>
          <w:p w14:paraId="29A48D08" w14:textId="77777777" w:rsidR="002C0FD9" w:rsidRPr="00CA25CF" w:rsidRDefault="002C0FD9" w:rsidP="00CA25CF">
            <w:pPr>
              <w:rPr>
                <w:rFonts w:cs="Arial"/>
                <w:color w:val="FF0000"/>
                <w:sz w:val="21"/>
                <w:szCs w:val="21"/>
              </w:rPr>
            </w:pPr>
          </w:p>
        </w:tc>
        <w:tc>
          <w:tcPr>
            <w:tcW w:w="217" w:type="dxa"/>
          </w:tcPr>
          <w:p w14:paraId="28C33A35" w14:textId="77777777" w:rsidR="002C0FD9" w:rsidRPr="00CA25CF" w:rsidRDefault="002C0FD9" w:rsidP="00CA25CF">
            <w:pPr>
              <w:rPr>
                <w:rFonts w:cs="Arial"/>
                <w:color w:val="FF0000"/>
                <w:sz w:val="21"/>
                <w:szCs w:val="21"/>
              </w:rPr>
            </w:pPr>
          </w:p>
        </w:tc>
        <w:tc>
          <w:tcPr>
            <w:tcW w:w="217" w:type="dxa"/>
          </w:tcPr>
          <w:p w14:paraId="649CD5F9" w14:textId="77777777" w:rsidR="002C0FD9" w:rsidRPr="00CA25CF" w:rsidRDefault="002C0FD9" w:rsidP="00CA25CF">
            <w:pPr>
              <w:rPr>
                <w:rFonts w:cs="Arial"/>
                <w:color w:val="FF0000"/>
                <w:sz w:val="21"/>
                <w:szCs w:val="21"/>
              </w:rPr>
            </w:pPr>
          </w:p>
        </w:tc>
        <w:tc>
          <w:tcPr>
            <w:tcW w:w="217" w:type="dxa"/>
          </w:tcPr>
          <w:p w14:paraId="6FC99FAD" w14:textId="77777777" w:rsidR="002C0FD9" w:rsidRPr="00CA25CF" w:rsidRDefault="002C0FD9" w:rsidP="00CA25CF">
            <w:pPr>
              <w:rPr>
                <w:rFonts w:cs="Arial"/>
                <w:color w:val="FF0000"/>
                <w:sz w:val="21"/>
                <w:szCs w:val="21"/>
              </w:rPr>
            </w:pPr>
          </w:p>
        </w:tc>
        <w:tc>
          <w:tcPr>
            <w:tcW w:w="217" w:type="dxa"/>
          </w:tcPr>
          <w:p w14:paraId="24FF911B" w14:textId="77777777" w:rsidR="002C0FD9" w:rsidRPr="00CA25CF" w:rsidRDefault="002C0FD9" w:rsidP="00CA25CF">
            <w:pPr>
              <w:rPr>
                <w:rFonts w:cs="Arial"/>
                <w:color w:val="FF0000"/>
                <w:sz w:val="21"/>
                <w:szCs w:val="21"/>
              </w:rPr>
            </w:pPr>
          </w:p>
        </w:tc>
        <w:tc>
          <w:tcPr>
            <w:tcW w:w="217" w:type="dxa"/>
          </w:tcPr>
          <w:p w14:paraId="7B6E89CE" w14:textId="77777777" w:rsidR="002C0FD9" w:rsidRPr="00CA25CF" w:rsidRDefault="002C0FD9" w:rsidP="00CA25CF">
            <w:pPr>
              <w:rPr>
                <w:rFonts w:cs="Arial"/>
                <w:color w:val="FF0000"/>
                <w:sz w:val="21"/>
                <w:szCs w:val="21"/>
              </w:rPr>
            </w:pPr>
          </w:p>
        </w:tc>
        <w:tc>
          <w:tcPr>
            <w:tcW w:w="217" w:type="dxa"/>
          </w:tcPr>
          <w:p w14:paraId="5AA98B3C" w14:textId="77777777" w:rsidR="002C0FD9" w:rsidRPr="00CA25CF" w:rsidRDefault="002C0FD9" w:rsidP="00CA25CF">
            <w:pPr>
              <w:rPr>
                <w:rFonts w:cs="Arial"/>
                <w:color w:val="FF0000"/>
                <w:sz w:val="21"/>
                <w:szCs w:val="21"/>
              </w:rPr>
            </w:pPr>
          </w:p>
        </w:tc>
        <w:tc>
          <w:tcPr>
            <w:tcW w:w="217" w:type="dxa"/>
          </w:tcPr>
          <w:p w14:paraId="354F701D" w14:textId="77777777" w:rsidR="002C0FD9" w:rsidRPr="00CA25CF" w:rsidRDefault="002C0FD9" w:rsidP="00CA25CF">
            <w:pPr>
              <w:rPr>
                <w:rFonts w:cs="Arial"/>
                <w:color w:val="FF0000"/>
                <w:sz w:val="21"/>
                <w:szCs w:val="21"/>
              </w:rPr>
            </w:pPr>
          </w:p>
        </w:tc>
        <w:tc>
          <w:tcPr>
            <w:tcW w:w="217" w:type="dxa"/>
          </w:tcPr>
          <w:p w14:paraId="438CD0EA" w14:textId="77777777" w:rsidR="002C0FD9" w:rsidRPr="00CA25CF" w:rsidRDefault="002C0FD9" w:rsidP="00CA25CF">
            <w:pPr>
              <w:rPr>
                <w:rFonts w:cs="Arial"/>
                <w:color w:val="FF0000"/>
                <w:sz w:val="21"/>
                <w:szCs w:val="21"/>
              </w:rPr>
            </w:pPr>
          </w:p>
        </w:tc>
        <w:tc>
          <w:tcPr>
            <w:tcW w:w="217" w:type="dxa"/>
          </w:tcPr>
          <w:p w14:paraId="0C378CAF" w14:textId="77777777" w:rsidR="002C0FD9" w:rsidRPr="00CA25CF" w:rsidRDefault="002C0FD9" w:rsidP="00CA25CF">
            <w:pPr>
              <w:rPr>
                <w:rFonts w:cs="Arial"/>
                <w:color w:val="FF0000"/>
                <w:sz w:val="21"/>
                <w:szCs w:val="21"/>
              </w:rPr>
            </w:pPr>
          </w:p>
        </w:tc>
        <w:tc>
          <w:tcPr>
            <w:tcW w:w="217" w:type="dxa"/>
          </w:tcPr>
          <w:p w14:paraId="4A1CC9B9" w14:textId="77777777" w:rsidR="002C0FD9" w:rsidRPr="00CA25CF" w:rsidRDefault="002C0FD9" w:rsidP="00CA25CF">
            <w:pPr>
              <w:rPr>
                <w:rFonts w:cs="Arial"/>
                <w:color w:val="FF0000"/>
                <w:sz w:val="21"/>
                <w:szCs w:val="21"/>
              </w:rPr>
            </w:pPr>
          </w:p>
        </w:tc>
        <w:tc>
          <w:tcPr>
            <w:tcW w:w="217" w:type="dxa"/>
          </w:tcPr>
          <w:p w14:paraId="6C9AF451" w14:textId="77777777" w:rsidR="002C0FD9" w:rsidRPr="00CA25CF" w:rsidRDefault="002C0FD9" w:rsidP="00CA25CF">
            <w:pPr>
              <w:rPr>
                <w:rFonts w:cs="Arial"/>
                <w:color w:val="FF0000"/>
                <w:sz w:val="21"/>
                <w:szCs w:val="21"/>
              </w:rPr>
            </w:pPr>
          </w:p>
        </w:tc>
        <w:tc>
          <w:tcPr>
            <w:tcW w:w="217" w:type="dxa"/>
          </w:tcPr>
          <w:p w14:paraId="0F9BB6D9" w14:textId="77777777" w:rsidR="002C0FD9" w:rsidRPr="00CA25CF" w:rsidRDefault="002C0FD9" w:rsidP="00CA25CF">
            <w:pPr>
              <w:rPr>
                <w:rFonts w:cs="Arial"/>
                <w:color w:val="FF0000"/>
                <w:sz w:val="21"/>
                <w:szCs w:val="21"/>
              </w:rPr>
            </w:pPr>
          </w:p>
        </w:tc>
        <w:tc>
          <w:tcPr>
            <w:tcW w:w="217" w:type="dxa"/>
          </w:tcPr>
          <w:p w14:paraId="63C25A34" w14:textId="77777777" w:rsidR="002C0FD9" w:rsidRPr="00CA25CF" w:rsidRDefault="002C0FD9" w:rsidP="00CA25CF">
            <w:pPr>
              <w:rPr>
                <w:rFonts w:cs="Arial"/>
                <w:color w:val="FF0000"/>
                <w:sz w:val="21"/>
                <w:szCs w:val="21"/>
              </w:rPr>
            </w:pPr>
          </w:p>
        </w:tc>
        <w:tc>
          <w:tcPr>
            <w:tcW w:w="217" w:type="dxa"/>
          </w:tcPr>
          <w:p w14:paraId="320B5FA6" w14:textId="77777777" w:rsidR="002C0FD9" w:rsidRPr="00CA25CF" w:rsidRDefault="002C0FD9" w:rsidP="00CA25CF">
            <w:pPr>
              <w:rPr>
                <w:rFonts w:cs="Arial"/>
                <w:color w:val="FF0000"/>
                <w:sz w:val="21"/>
                <w:szCs w:val="21"/>
              </w:rPr>
            </w:pPr>
          </w:p>
        </w:tc>
        <w:tc>
          <w:tcPr>
            <w:tcW w:w="217" w:type="dxa"/>
          </w:tcPr>
          <w:p w14:paraId="79612636" w14:textId="77777777" w:rsidR="002C0FD9" w:rsidRPr="00CA25CF" w:rsidRDefault="002C0FD9" w:rsidP="00CA25CF">
            <w:pPr>
              <w:rPr>
                <w:rFonts w:cs="Arial"/>
                <w:color w:val="FF0000"/>
                <w:sz w:val="21"/>
                <w:szCs w:val="21"/>
              </w:rPr>
            </w:pPr>
          </w:p>
        </w:tc>
        <w:tc>
          <w:tcPr>
            <w:tcW w:w="217" w:type="dxa"/>
          </w:tcPr>
          <w:p w14:paraId="1F03EDB0" w14:textId="77777777" w:rsidR="002C0FD9" w:rsidRPr="00CA25CF" w:rsidRDefault="002C0FD9" w:rsidP="00CA25CF">
            <w:pPr>
              <w:rPr>
                <w:rFonts w:cs="Arial"/>
                <w:color w:val="FF0000"/>
                <w:sz w:val="21"/>
                <w:szCs w:val="21"/>
              </w:rPr>
            </w:pPr>
          </w:p>
        </w:tc>
        <w:tc>
          <w:tcPr>
            <w:tcW w:w="217" w:type="dxa"/>
          </w:tcPr>
          <w:p w14:paraId="74C24D61" w14:textId="77777777" w:rsidR="002C0FD9" w:rsidRPr="00CA25CF" w:rsidRDefault="002C0FD9" w:rsidP="00CA25CF">
            <w:pPr>
              <w:rPr>
                <w:rFonts w:cs="Arial"/>
                <w:color w:val="FF0000"/>
                <w:sz w:val="21"/>
                <w:szCs w:val="21"/>
              </w:rPr>
            </w:pPr>
          </w:p>
        </w:tc>
        <w:tc>
          <w:tcPr>
            <w:tcW w:w="217" w:type="dxa"/>
          </w:tcPr>
          <w:p w14:paraId="5D1F7746" w14:textId="77777777" w:rsidR="002C0FD9" w:rsidRPr="00CA25CF" w:rsidRDefault="002C0FD9" w:rsidP="00CA25CF">
            <w:pPr>
              <w:rPr>
                <w:rFonts w:cs="Arial"/>
                <w:color w:val="FF0000"/>
                <w:sz w:val="21"/>
                <w:szCs w:val="21"/>
              </w:rPr>
            </w:pPr>
          </w:p>
        </w:tc>
        <w:tc>
          <w:tcPr>
            <w:tcW w:w="217" w:type="dxa"/>
          </w:tcPr>
          <w:p w14:paraId="1B2FADFF" w14:textId="77777777" w:rsidR="002C0FD9" w:rsidRPr="00CA25CF" w:rsidRDefault="002C0FD9" w:rsidP="00CA25CF">
            <w:pPr>
              <w:rPr>
                <w:rFonts w:cs="Arial"/>
                <w:color w:val="FF0000"/>
                <w:sz w:val="21"/>
                <w:szCs w:val="21"/>
              </w:rPr>
            </w:pPr>
          </w:p>
        </w:tc>
        <w:tc>
          <w:tcPr>
            <w:tcW w:w="217" w:type="dxa"/>
          </w:tcPr>
          <w:p w14:paraId="0F32C2E4" w14:textId="77777777" w:rsidR="002C0FD9" w:rsidRPr="00CA25CF" w:rsidRDefault="002C0FD9" w:rsidP="00CA25CF">
            <w:pPr>
              <w:rPr>
                <w:rFonts w:cs="Arial"/>
                <w:color w:val="FF0000"/>
                <w:sz w:val="21"/>
                <w:szCs w:val="21"/>
              </w:rPr>
            </w:pPr>
          </w:p>
        </w:tc>
        <w:tc>
          <w:tcPr>
            <w:tcW w:w="217" w:type="dxa"/>
          </w:tcPr>
          <w:p w14:paraId="296B6199" w14:textId="77777777" w:rsidR="002C0FD9" w:rsidRPr="00CA25CF" w:rsidRDefault="002C0FD9" w:rsidP="00CA25CF">
            <w:pPr>
              <w:rPr>
                <w:rFonts w:cs="Arial"/>
                <w:color w:val="FF0000"/>
                <w:sz w:val="21"/>
                <w:szCs w:val="21"/>
              </w:rPr>
            </w:pPr>
          </w:p>
        </w:tc>
        <w:tc>
          <w:tcPr>
            <w:tcW w:w="217" w:type="dxa"/>
          </w:tcPr>
          <w:p w14:paraId="178BE9F9" w14:textId="77777777" w:rsidR="002C0FD9" w:rsidRPr="00CA25CF" w:rsidRDefault="002C0FD9" w:rsidP="00CA25CF">
            <w:pPr>
              <w:rPr>
                <w:rFonts w:cs="Arial"/>
                <w:color w:val="FF0000"/>
                <w:sz w:val="21"/>
                <w:szCs w:val="21"/>
              </w:rPr>
            </w:pPr>
          </w:p>
        </w:tc>
        <w:tc>
          <w:tcPr>
            <w:tcW w:w="217" w:type="dxa"/>
          </w:tcPr>
          <w:p w14:paraId="6D9BC28E" w14:textId="77777777" w:rsidR="002C0FD9" w:rsidRPr="00CA25CF" w:rsidRDefault="002C0FD9" w:rsidP="00CA25CF">
            <w:pPr>
              <w:rPr>
                <w:rFonts w:cs="Arial"/>
                <w:color w:val="FF0000"/>
                <w:sz w:val="21"/>
                <w:szCs w:val="21"/>
              </w:rPr>
            </w:pPr>
          </w:p>
        </w:tc>
        <w:tc>
          <w:tcPr>
            <w:tcW w:w="217" w:type="dxa"/>
          </w:tcPr>
          <w:p w14:paraId="0B83BE45" w14:textId="77777777" w:rsidR="002C0FD9" w:rsidRPr="00CA25CF" w:rsidRDefault="002C0FD9" w:rsidP="00CA25CF">
            <w:pPr>
              <w:rPr>
                <w:rFonts w:cs="Arial"/>
                <w:color w:val="FF0000"/>
                <w:sz w:val="21"/>
                <w:szCs w:val="21"/>
              </w:rPr>
            </w:pPr>
          </w:p>
        </w:tc>
        <w:tc>
          <w:tcPr>
            <w:tcW w:w="217" w:type="dxa"/>
          </w:tcPr>
          <w:p w14:paraId="58271A22" w14:textId="77777777" w:rsidR="002C0FD9" w:rsidRPr="00CA25CF" w:rsidRDefault="002C0FD9" w:rsidP="00CA25CF">
            <w:pPr>
              <w:rPr>
                <w:rFonts w:cs="Arial"/>
                <w:color w:val="FF0000"/>
                <w:sz w:val="21"/>
                <w:szCs w:val="21"/>
              </w:rPr>
            </w:pPr>
          </w:p>
        </w:tc>
        <w:tc>
          <w:tcPr>
            <w:tcW w:w="217" w:type="dxa"/>
          </w:tcPr>
          <w:p w14:paraId="6F22659D" w14:textId="77777777" w:rsidR="002C0FD9" w:rsidRPr="00CA25CF" w:rsidRDefault="002C0FD9" w:rsidP="00CA25CF">
            <w:pPr>
              <w:rPr>
                <w:rFonts w:cs="Arial"/>
                <w:color w:val="FF0000"/>
                <w:sz w:val="21"/>
                <w:szCs w:val="21"/>
              </w:rPr>
            </w:pPr>
          </w:p>
        </w:tc>
        <w:tc>
          <w:tcPr>
            <w:tcW w:w="217" w:type="dxa"/>
          </w:tcPr>
          <w:p w14:paraId="15A11B05" w14:textId="77777777" w:rsidR="002C0FD9" w:rsidRPr="00CA25CF" w:rsidRDefault="002C0FD9" w:rsidP="00CA25CF">
            <w:pPr>
              <w:rPr>
                <w:rFonts w:cs="Arial"/>
                <w:color w:val="FF0000"/>
                <w:sz w:val="21"/>
                <w:szCs w:val="21"/>
              </w:rPr>
            </w:pPr>
          </w:p>
        </w:tc>
        <w:tc>
          <w:tcPr>
            <w:tcW w:w="217" w:type="dxa"/>
          </w:tcPr>
          <w:p w14:paraId="60964058" w14:textId="77777777" w:rsidR="002C0FD9" w:rsidRPr="00CA25CF" w:rsidRDefault="002C0FD9" w:rsidP="00CA25CF">
            <w:pPr>
              <w:rPr>
                <w:rFonts w:cs="Arial"/>
                <w:color w:val="FF0000"/>
                <w:sz w:val="21"/>
                <w:szCs w:val="21"/>
              </w:rPr>
            </w:pPr>
          </w:p>
        </w:tc>
        <w:tc>
          <w:tcPr>
            <w:tcW w:w="217" w:type="dxa"/>
          </w:tcPr>
          <w:p w14:paraId="7F2F4C47" w14:textId="77777777" w:rsidR="002C0FD9" w:rsidRPr="00CA25CF" w:rsidRDefault="002C0FD9" w:rsidP="00CA25CF">
            <w:pPr>
              <w:rPr>
                <w:rFonts w:cs="Arial"/>
                <w:color w:val="FF0000"/>
                <w:sz w:val="21"/>
                <w:szCs w:val="21"/>
              </w:rPr>
            </w:pPr>
          </w:p>
        </w:tc>
        <w:tc>
          <w:tcPr>
            <w:tcW w:w="217" w:type="dxa"/>
          </w:tcPr>
          <w:p w14:paraId="548E379A" w14:textId="77777777" w:rsidR="002C0FD9" w:rsidRPr="00CA25CF" w:rsidRDefault="002C0FD9" w:rsidP="00CA25CF">
            <w:pPr>
              <w:rPr>
                <w:rFonts w:cs="Arial"/>
                <w:color w:val="FF0000"/>
                <w:sz w:val="21"/>
                <w:szCs w:val="21"/>
              </w:rPr>
            </w:pPr>
          </w:p>
        </w:tc>
        <w:tc>
          <w:tcPr>
            <w:tcW w:w="217" w:type="dxa"/>
          </w:tcPr>
          <w:p w14:paraId="6EF7F9DE" w14:textId="77777777" w:rsidR="002C0FD9" w:rsidRPr="00CA25CF" w:rsidRDefault="002C0FD9" w:rsidP="00CA25CF">
            <w:pPr>
              <w:rPr>
                <w:rFonts w:cs="Arial"/>
                <w:color w:val="FF0000"/>
                <w:sz w:val="21"/>
                <w:szCs w:val="21"/>
              </w:rPr>
            </w:pPr>
          </w:p>
        </w:tc>
      </w:tr>
      <w:tr w:rsidR="002C0FD9" w:rsidRPr="00A16219" w14:paraId="292EEE3B" w14:textId="68843DC1" w:rsidTr="002C0FD9">
        <w:trPr>
          <w:trHeight w:val="635"/>
        </w:trPr>
        <w:tc>
          <w:tcPr>
            <w:tcW w:w="515" w:type="dxa"/>
          </w:tcPr>
          <w:p w14:paraId="6909BA18" w14:textId="77777777" w:rsidR="002C0FD9" w:rsidRPr="00CA25CF" w:rsidRDefault="002C0FD9" w:rsidP="00CA25CF">
            <w:pPr>
              <w:rPr>
                <w:rFonts w:cs="Arial"/>
                <w:color w:val="FF0000"/>
                <w:sz w:val="21"/>
                <w:szCs w:val="21"/>
              </w:rPr>
            </w:pPr>
          </w:p>
        </w:tc>
        <w:tc>
          <w:tcPr>
            <w:tcW w:w="217" w:type="dxa"/>
          </w:tcPr>
          <w:p w14:paraId="7DE27EFB" w14:textId="77777777" w:rsidR="002C0FD9" w:rsidRPr="00CA25CF" w:rsidRDefault="002C0FD9" w:rsidP="00CA25CF">
            <w:pPr>
              <w:rPr>
                <w:rFonts w:cs="Arial"/>
                <w:color w:val="FF0000"/>
                <w:sz w:val="21"/>
                <w:szCs w:val="21"/>
              </w:rPr>
            </w:pPr>
          </w:p>
        </w:tc>
        <w:tc>
          <w:tcPr>
            <w:tcW w:w="217" w:type="dxa"/>
          </w:tcPr>
          <w:p w14:paraId="353522AE" w14:textId="483394DB" w:rsidR="002C0FD9" w:rsidRPr="00CA25CF" w:rsidRDefault="002C0FD9" w:rsidP="00CA25CF">
            <w:pPr>
              <w:rPr>
                <w:rFonts w:cs="Arial"/>
                <w:color w:val="FF0000"/>
                <w:sz w:val="21"/>
                <w:szCs w:val="21"/>
              </w:rPr>
            </w:pPr>
          </w:p>
        </w:tc>
        <w:tc>
          <w:tcPr>
            <w:tcW w:w="217" w:type="dxa"/>
          </w:tcPr>
          <w:p w14:paraId="52803FA2" w14:textId="77777777" w:rsidR="002C0FD9" w:rsidRPr="00CA25CF" w:rsidRDefault="002C0FD9" w:rsidP="00CA25CF">
            <w:pPr>
              <w:rPr>
                <w:rFonts w:cs="Arial"/>
                <w:color w:val="FF0000"/>
                <w:sz w:val="21"/>
                <w:szCs w:val="21"/>
              </w:rPr>
            </w:pPr>
          </w:p>
        </w:tc>
        <w:tc>
          <w:tcPr>
            <w:tcW w:w="217" w:type="dxa"/>
          </w:tcPr>
          <w:p w14:paraId="1D15FC33" w14:textId="77777777" w:rsidR="002C0FD9" w:rsidRPr="00CA25CF" w:rsidRDefault="002C0FD9" w:rsidP="00CA25CF">
            <w:pPr>
              <w:rPr>
                <w:rFonts w:cs="Arial"/>
                <w:color w:val="FF0000"/>
                <w:sz w:val="21"/>
                <w:szCs w:val="21"/>
              </w:rPr>
            </w:pPr>
          </w:p>
        </w:tc>
        <w:tc>
          <w:tcPr>
            <w:tcW w:w="217" w:type="dxa"/>
          </w:tcPr>
          <w:p w14:paraId="6F78FBE7" w14:textId="77777777" w:rsidR="002C0FD9" w:rsidRPr="00CA25CF" w:rsidRDefault="002C0FD9" w:rsidP="00CA25CF">
            <w:pPr>
              <w:rPr>
                <w:rFonts w:cs="Arial"/>
                <w:color w:val="FF0000"/>
                <w:sz w:val="21"/>
                <w:szCs w:val="21"/>
              </w:rPr>
            </w:pPr>
          </w:p>
        </w:tc>
        <w:tc>
          <w:tcPr>
            <w:tcW w:w="217" w:type="dxa"/>
          </w:tcPr>
          <w:p w14:paraId="0F64C2C9" w14:textId="77777777" w:rsidR="002C0FD9" w:rsidRPr="00CA25CF" w:rsidRDefault="002C0FD9" w:rsidP="00CA25CF">
            <w:pPr>
              <w:rPr>
                <w:rFonts w:cs="Arial"/>
                <w:color w:val="FF0000"/>
                <w:sz w:val="21"/>
                <w:szCs w:val="21"/>
              </w:rPr>
            </w:pPr>
          </w:p>
        </w:tc>
        <w:tc>
          <w:tcPr>
            <w:tcW w:w="217" w:type="dxa"/>
          </w:tcPr>
          <w:p w14:paraId="279141DB" w14:textId="77777777" w:rsidR="002C0FD9" w:rsidRPr="00CA25CF" w:rsidRDefault="002C0FD9" w:rsidP="00CA25CF">
            <w:pPr>
              <w:rPr>
                <w:rFonts w:cs="Arial"/>
                <w:color w:val="FF0000"/>
                <w:sz w:val="21"/>
                <w:szCs w:val="21"/>
              </w:rPr>
            </w:pPr>
          </w:p>
        </w:tc>
        <w:tc>
          <w:tcPr>
            <w:tcW w:w="217" w:type="dxa"/>
          </w:tcPr>
          <w:p w14:paraId="0A98482D" w14:textId="77777777" w:rsidR="002C0FD9" w:rsidRPr="00CA25CF" w:rsidRDefault="002C0FD9" w:rsidP="00CA25CF">
            <w:pPr>
              <w:rPr>
                <w:rFonts w:cs="Arial"/>
                <w:color w:val="FF0000"/>
                <w:sz w:val="21"/>
                <w:szCs w:val="21"/>
              </w:rPr>
            </w:pPr>
          </w:p>
        </w:tc>
        <w:tc>
          <w:tcPr>
            <w:tcW w:w="217" w:type="dxa"/>
          </w:tcPr>
          <w:p w14:paraId="0F15A31E" w14:textId="77777777" w:rsidR="002C0FD9" w:rsidRPr="00CA25CF" w:rsidRDefault="002C0FD9" w:rsidP="00CA25CF">
            <w:pPr>
              <w:rPr>
                <w:rFonts w:cs="Arial"/>
                <w:color w:val="FF0000"/>
                <w:sz w:val="21"/>
                <w:szCs w:val="21"/>
              </w:rPr>
            </w:pPr>
          </w:p>
        </w:tc>
        <w:tc>
          <w:tcPr>
            <w:tcW w:w="217" w:type="dxa"/>
          </w:tcPr>
          <w:p w14:paraId="4C1F754A" w14:textId="77777777" w:rsidR="002C0FD9" w:rsidRPr="00CA25CF" w:rsidRDefault="002C0FD9" w:rsidP="00CA25CF">
            <w:pPr>
              <w:rPr>
                <w:rFonts w:cs="Arial"/>
                <w:color w:val="FF0000"/>
                <w:sz w:val="21"/>
                <w:szCs w:val="21"/>
              </w:rPr>
            </w:pPr>
          </w:p>
        </w:tc>
        <w:tc>
          <w:tcPr>
            <w:tcW w:w="217" w:type="dxa"/>
          </w:tcPr>
          <w:p w14:paraId="6DE364FB" w14:textId="77777777" w:rsidR="002C0FD9" w:rsidRPr="00CA25CF" w:rsidRDefault="002C0FD9" w:rsidP="00CA25CF">
            <w:pPr>
              <w:rPr>
                <w:rFonts w:cs="Arial"/>
                <w:color w:val="FF0000"/>
                <w:sz w:val="21"/>
                <w:szCs w:val="21"/>
              </w:rPr>
            </w:pPr>
          </w:p>
        </w:tc>
        <w:tc>
          <w:tcPr>
            <w:tcW w:w="217" w:type="dxa"/>
          </w:tcPr>
          <w:p w14:paraId="47A5EDDD" w14:textId="77777777" w:rsidR="002C0FD9" w:rsidRPr="00CA25CF" w:rsidRDefault="002C0FD9" w:rsidP="00CA25CF">
            <w:pPr>
              <w:rPr>
                <w:rFonts w:cs="Arial"/>
                <w:color w:val="FF0000"/>
                <w:sz w:val="21"/>
                <w:szCs w:val="21"/>
              </w:rPr>
            </w:pPr>
          </w:p>
        </w:tc>
        <w:tc>
          <w:tcPr>
            <w:tcW w:w="217" w:type="dxa"/>
          </w:tcPr>
          <w:p w14:paraId="43A31AB7" w14:textId="77777777" w:rsidR="002C0FD9" w:rsidRPr="00CA25CF" w:rsidRDefault="002C0FD9" w:rsidP="00CA25CF">
            <w:pPr>
              <w:rPr>
                <w:rFonts w:cs="Arial"/>
                <w:color w:val="FF0000"/>
                <w:sz w:val="21"/>
                <w:szCs w:val="21"/>
              </w:rPr>
            </w:pPr>
          </w:p>
        </w:tc>
        <w:tc>
          <w:tcPr>
            <w:tcW w:w="217" w:type="dxa"/>
          </w:tcPr>
          <w:p w14:paraId="6344B9BE" w14:textId="77777777" w:rsidR="002C0FD9" w:rsidRPr="00CA25CF" w:rsidRDefault="002C0FD9" w:rsidP="00CA25CF">
            <w:pPr>
              <w:rPr>
                <w:rFonts w:cs="Arial"/>
                <w:color w:val="FF0000"/>
                <w:sz w:val="21"/>
                <w:szCs w:val="21"/>
              </w:rPr>
            </w:pPr>
          </w:p>
        </w:tc>
        <w:tc>
          <w:tcPr>
            <w:tcW w:w="217" w:type="dxa"/>
          </w:tcPr>
          <w:p w14:paraId="5E969101" w14:textId="77777777" w:rsidR="002C0FD9" w:rsidRPr="00CA25CF" w:rsidRDefault="002C0FD9" w:rsidP="00CA25CF">
            <w:pPr>
              <w:rPr>
                <w:rFonts w:cs="Arial"/>
                <w:color w:val="FF0000"/>
                <w:sz w:val="21"/>
                <w:szCs w:val="21"/>
              </w:rPr>
            </w:pPr>
          </w:p>
        </w:tc>
        <w:tc>
          <w:tcPr>
            <w:tcW w:w="217" w:type="dxa"/>
          </w:tcPr>
          <w:p w14:paraId="5145AB2E" w14:textId="77777777" w:rsidR="002C0FD9" w:rsidRPr="00CA25CF" w:rsidRDefault="002C0FD9" w:rsidP="00CA25CF">
            <w:pPr>
              <w:rPr>
                <w:rFonts w:cs="Arial"/>
                <w:color w:val="FF0000"/>
                <w:sz w:val="21"/>
                <w:szCs w:val="21"/>
              </w:rPr>
            </w:pPr>
          </w:p>
        </w:tc>
        <w:tc>
          <w:tcPr>
            <w:tcW w:w="217" w:type="dxa"/>
          </w:tcPr>
          <w:p w14:paraId="78C4D90D" w14:textId="77777777" w:rsidR="002C0FD9" w:rsidRPr="00CA25CF" w:rsidRDefault="002C0FD9" w:rsidP="00CA25CF">
            <w:pPr>
              <w:rPr>
                <w:rFonts w:cs="Arial"/>
                <w:color w:val="FF0000"/>
                <w:sz w:val="21"/>
                <w:szCs w:val="21"/>
              </w:rPr>
            </w:pPr>
          </w:p>
        </w:tc>
        <w:tc>
          <w:tcPr>
            <w:tcW w:w="217" w:type="dxa"/>
          </w:tcPr>
          <w:p w14:paraId="32C7C3A8" w14:textId="77777777" w:rsidR="002C0FD9" w:rsidRPr="00CA25CF" w:rsidRDefault="002C0FD9" w:rsidP="00CA25CF">
            <w:pPr>
              <w:rPr>
                <w:rFonts w:cs="Arial"/>
                <w:color w:val="FF0000"/>
                <w:sz w:val="21"/>
                <w:szCs w:val="21"/>
              </w:rPr>
            </w:pPr>
          </w:p>
        </w:tc>
        <w:tc>
          <w:tcPr>
            <w:tcW w:w="217" w:type="dxa"/>
          </w:tcPr>
          <w:p w14:paraId="34A9C824" w14:textId="77777777" w:rsidR="002C0FD9" w:rsidRPr="00CA25CF" w:rsidRDefault="002C0FD9" w:rsidP="00CA25CF">
            <w:pPr>
              <w:rPr>
                <w:rFonts w:cs="Arial"/>
                <w:color w:val="FF0000"/>
                <w:sz w:val="21"/>
                <w:szCs w:val="21"/>
              </w:rPr>
            </w:pPr>
          </w:p>
        </w:tc>
        <w:tc>
          <w:tcPr>
            <w:tcW w:w="217" w:type="dxa"/>
          </w:tcPr>
          <w:p w14:paraId="706FEB2F" w14:textId="77777777" w:rsidR="002C0FD9" w:rsidRPr="00CA25CF" w:rsidRDefault="002C0FD9" w:rsidP="00CA25CF">
            <w:pPr>
              <w:rPr>
                <w:rFonts w:cs="Arial"/>
                <w:color w:val="FF0000"/>
                <w:sz w:val="21"/>
                <w:szCs w:val="21"/>
              </w:rPr>
            </w:pPr>
          </w:p>
        </w:tc>
        <w:tc>
          <w:tcPr>
            <w:tcW w:w="217" w:type="dxa"/>
          </w:tcPr>
          <w:p w14:paraId="109E6FAD" w14:textId="77777777" w:rsidR="002C0FD9" w:rsidRPr="00CA25CF" w:rsidRDefault="002C0FD9" w:rsidP="00CA25CF">
            <w:pPr>
              <w:rPr>
                <w:rFonts w:cs="Arial"/>
                <w:color w:val="FF0000"/>
                <w:sz w:val="21"/>
                <w:szCs w:val="21"/>
              </w:rPr>
            </w:pPr>
          </w:p>
        </w:tc>
        <w:tc>
          <w:tcPr>
            <w:tcW w:w="217" w:type="dxa"/>
          </w:tcPr>
          <w:p w14:paraId="344209ED" w14:textId="77777777" w:rsidR="002C0FD9" w:rsidRPr="00CA25CF" w:rsidRDefault="002C0FD9" w:rsidP="00CA25CF">
            <w:pPr>
              <w:rPr>
                <w:rFonts w:cs="Arial"/>
                <w:color w:val="FF0000"/>
                <w:sz w:val="21"/>
                <w:szCs w:val="21"/>
              </w:rPr>
            </w:pPr>
          </w:p>
        </w:tc>
        <w:tc>
          <w:tcPr>
            <w:tcW w:w="217" w:type="dxa"/>
          </w:tcPr>
          <w:p w14:paraId="6483A9C1" w14:textId="77777777" w:rsidR="002C0FD9" w:rsidRPr="00CA25CF" w:rsidRDefault="002C0FD9" w:rsidP="00CA25CF">
            <w:pPr>
              <w:rPr>
                <w:rFonts w:cs="Arial"/>
                <w:color w:val="FF0000"/>
                <w:sz w:val="21"/>
                <w:szCs w:val="21"/>
              </w:rPr>
            </w:pPr>
          </w:p>
        </w:tc>
        <w:tc>
          <w:tcPr>
            <w:tcW w:w="217" w:type="dxa"/>
          </w:tcPr>
          <w:p w14:paraId="2A143718" w14:textId="77777777" w:rsidR="002C0FD9" w:rsidRPr="00CA25CF" w:rsidRDefault="002C0FD9" w:rsidP="00CA25CF">
            <w:pPr>
              <w:rPr>
                <w:rFonts w:cs="Arial"/>
                <w:color w:val="FF0000"/>
                <w:sz w:val="21"/>
                <w:szCs w:val="21"/>
              </w:rPr>
            </w:pPr>
          </w:p>
        </w:tc>
        <w:tc>
          <w:tcPr>
            <w:tcW w:w="217" w:type="dxa"/>
          </w:tcPr>
          <w:p w14:paraId="64924F5C" w14:textId="77777777" w:rsidR="002C0FD9" w:rsidRPr="00CA25CF" w:rsidRDefault="002C0FD9" w:rsidP="00CA25CF">
            <w:pPr>
              <w:rPr>
                <w:rFonts w:cs="Arial"/>
                <w:color w:val="FF0000"/>
                <w:sz w:val="21"/>
                <w:szCs w:val="21"/>
              </w:rPr>
            </w:pPr>
          </w:p>
        </w:tc>
        <w:tc>
          <w:tcPr>
            <w:tcW w:w="217" w:type="dxa"/>
          </w:tcPr>
          <w:p w14:paraId="5BFB6CBD" w14:textId="77777777" w:rsidR="002C0FD9" w:rsidRPr="00CA25CF" w:rsidRDefault="002C0FD9" w:rsidP="00CA25CF">
            <w:pPr>
              <w:rPr>
                <w:rFonts w:cs="Arial"/>
                <w:color w:val="FF0000"/>
                <w:sz w:val="21"/>
                <w:szCs w:val="21"/>
              </w:rPr>
            </w:pPr>
          </w:p>
        </w:tc>
        <w:tc>
          <w:tcPr>
            <w:tcW w:w="217" w:type="dxa"/>
          </w:tcPr>
          <w:p w14:paraId="57877336" w14:textId="77777777" w:rsidR="002C0FD9" w:rsidRPr="00CA25CF" w:rsidRDefault="002C0FD9" w:rsidP="00CA25CF">
            <w:pPr>
              <w:rPr>
                <w:rFonts w:cs="Arial"/>
                <w:color w:val="FF0000"/>
                <w:sz w:val="21"/>
                <w:szCs w:val="21"/>
              </w:rPr>
            </w:pPr>
          </w:p>
        </w:tc>
        <w:tc>
          <w:tcPr>
            <w:tcW w:w="217" w:type="dxa"/>
          </w:tcPr>
          <w:p w14:paraId="025BD5AF" w14:textId="77777777" w:rsidR="002C0FD9" w:rsidRPr="00CA25CF" w:rsidRDefault="002C0FD9" w:rsidP="00CA25CF">
            <w:pPr>
              <w:rPr>
                <w:rFonts w:cs="Arial"/>
                <w:color w:val="FF0000"/>
                <w:sz w:val="21"/>
                <w:szCs w:val="21"/>
              </w:rPr>
            </w:pPr>
          </w:p>
        </w:tc>
        <w:tc>
          <w:tcPr>
            <w:tcW w:w="217" w:type="dxa"/>
          </w:tcPr>
          <w:p w14:paraId="18213FBE" w14:textId="77777777" w:rsidR="002C0FD9" w:rsidRPr="00CA25CF" w:rsidRDefault="002C0FD9" w:rsidP="00CA25CF">
            <w:pPr>
              <w:rPr>
                <w:rFonts w:cs="Arial"/>
                <w:color w:val="FF0000"/>
                <w:sz w:val="21"/>
                <w:szCs w:val="21"/>
              </w:rPr>
            </w:pPr>
          </w:p>
        </w:tc>
        <w:tc>
          <w:tcPr>
            <w:tcW w:w="217" w:type="dxa"/>
          </w:tcPr>
          <w:p w14:paraId="4E971319" w14:textId="77777777" w:rsidR="002C0FD9" w:rsidRPr="00CA25CF" w:rsidRDefault="002C0FD9" w:rsidP="00CA25CF">
            <w:pPr>
              <w:rPr>
                <w:rFonts w:cs="Arial"/>
                <w:color w:val="FF0000"/>
                <w:sz w:val="21"/>
                <w:szCs w:val="21"/>
              </w:rPr>
            </w:pPr>
          </w:p>
        </w:tc>
        <w:tc>
          <w:tcPr>
            <w:tcW w:w="217" w:type="dxa"/>
          </w:tcPr>
          <w:p w14:paraId="14C483F8" w14:textId="77777777" w:rsidR="002C0FD9" w:rsidRPr="00CA25CF" w:rsidRDefault="002C0FD9" w:rsidP="00CA25CF">
            <w:pPr>
              <w:rPr>
                <w:rFonts w:cs="Arial"/>
                <w:color w:val="FF0000"/>
                <w:sz w:val="21"/>
                <w:szCs w:val="21"/>
              </w:rPr>
            </w:pPr>
          </w:p>
        </w:tc>
        <w:tc>
          <w:tcPr>
            <w:tcW w:w="217" w:type="dxa"/>
          </w:tcPr>
          <w:p w14:paraId="52078B6C" w14:textId="77777777" w:rsidR="002C0FD9" w:rsidRPr="00CA25CF" w:rsidRDefault="002C0FD9" w:rsidP="00CA25CF">
            <w:pPr>
              <w:rPr>
                <w:rFonts w:cs="Arial"/>
                <w:color w:val="FF0000"/>
                <w:sz w:val="21"/>
                <w:szCs w:val="21"/>
              </w:rPr>
            </w:pPr>
          </w:p>
        </w:tc>
        <w:tc>
          <w:tcPr>
            <w:tcW w:w="217" w:type="dxa"/>
          </w:tcPr>
          <w:p w14:paraId="067C8F45" w14:textId="77777777" w:rsidR="002C0FD9" w:rsidRPr="00CA25CF" w:rsidRDefault="002C0FD9" w:rsidP="00CA25CF">
            <w:pPr>
              <w:rPr>
                <w:rFonts w:cs="Arial"/>
                <w:color w:val="FF0000"/>
                <w:sz w:val="21"/>
                <w:szCs w:val="21"/>
              </w:rPr>
            </w:pPr>
          </w:p>
        </w:tc>
        <w:tc>
          <w:tcPr>
            <w:tcW w:w="217" w:type="dxa"/>
          </w:tcPr>
          <w:p w14:paraId="73910628" w14:textId="77777777" w:rsidR="002C0FD9" w:rsidRPr="00CA25CF" w:rsidRDefault="002C0FD9" w:rsidP="00CA25CF">
            <w:pPr>
              <w:rPr>
                <w:rFonts w:cs="Arial"/>
                <w:color w:val="FF0000"/>
                <w:sz w:val="21"/>
                <w:szCs w:val="21"/>
              </w:rPr>
            </w:pPr>
          </w:p>
        </w:tc>
        <w:tc>
          <w:tcPr>
            <w:tcW w:w="217" w:type="dxa"/>
          </w:tcPr>
          <w:p w14:paraId="1DA6204C" w14:textId="77777777" w:rsidR="002C0FD9" w:rsidRPr="00CA25CF" w:rsidRDefault="002C0FD9" w:rsidP="00CA25CF">
            <w:pPr>
              <w:rPr>
                <w:rFonts w:cs="Arial"/>
                <w:color w:val="FF0000"/>
                <w:sz w:val="21"/>
                <w:szCs w:val="21"/>
              </w:rPr>
            </w:pPr>
          </w:p>
        </w:tc>
        <w:tc>
          <w:tcPr>
            <w:tcW w:w="217" w:type="dxa"/>
          </w:tcPr>
          <w:p w14:paraId="0931CF84" w14:textId="77777777" w:rsidR="002C0FD9" w:rsidRPr="00CA25CF" w:rsidRDefault="002C0FD9" w:rsidP="00CA25CF">
            <w:pPr>
              <w:rPr>
                <w:rFonts w:cs="Arial"/>
                <w:color w:val="FF0000"/>
                <w:sz w:val="21"/>
                <w:szCs w:val="21"/>
              </w:rPr>
            </w:pPr>
          </w:p>
        </w:tc>
        <w:tc>
          <w:tcPr>
            <w:tcW w:w="217" w:type="dxa"/>
          </w:tcPr>
          <w:p w14:paraId="56F2AE81" w14:textId="77777777" w:rsidR="002C0FD9" w:rsidRPr="00CA25CF" w:rsidRDefault="002C0FD9" w:rsidP="00CA25CF">
            <w:pPr>
              <w:rPr>
                <w:rFonts w:cs="Arial"/>
                <w:color w:val="FF0000"/>
                <w:sz w:val="21"/>
                <w:szCs w:val="21"/>
              </w:rPr>
            </w:pPr>
          </w:p>
        </w:tc>
        <w:tc>
          <w:tcPr>
            <w:tcW w:w="217" w:type="dxa"/>
          </w:tcPr>
          <w:p w14:paraId="371D6381" w14:textId="77777777" w:rsidR="002C0FD9" w:rsidRPr="00CA25CF" w:rsidRDefault="002C0FD9" w:rsidP="00CA25CF">
            <w:pPr>
              <w:rPr>
                <w:rFonts w:cs="Arial"/>
                <w:color w:val="FF0000"/>
                <w:sz w:val="21"/>
                <w:szCs w:val="21"/>
              </w:rPr>
            </w:pPr>
          </w:p>
        </w:tc>
        <w:tc>
          <w:tcPr>
            <w:tcW w:w="217" w:type="dxa"/>
          </w:tcPr>
          <w:p w14:paraId="7D7F2121" w14:textId="77777777" w:rsidR="002C0FD9" w:rsidRPr="00CA25CF" w:rsidRDefault="002C0FD9" w:rsidP="00CA25CF">
            <w:pPr>
              <w:rPr>
                <w:rFonts w:cs="Arial"/>
                <w:color w:val="FF0000"/>
                <w:sz w:val="21"/>
                <w:szCs w:val="21"/>
              </w:rPr>
            </w:pPr>
          </w:p>
        </w:tc>
        <w:tc>
          <w:tcPr>
            <w:tcW w:w="217" w:type="dxa"/>
          </w:tcPr>
          <w:p w14:paraId="1126E3F4" w14:textId="77777777" w:rsidR="002C0FD9" w:rsidRPr="00CA25CF" w:rsidRDefault="002C0FD9" w:rsidP="00CA25CF">
            <w:pPr>
              <w:rPr>
                <w:rFonts w:cs="Arial"/>
                <w:color w:val="FF0000"/>
                <w:sz w:val="21"/>
                <w:szCs w:val="21"/>
              </w:rPr>
            </w:pPr>
          </w:p>
        </w:tc>
        <w:tc>
          <w:tcPr>
            <w:tcW w:w="217" w:type="dxa"/>
          </w:tcPr>
          <w:p w14:paraId="1C03CFF3" w14:textId="77777777" w:rsidR="002C0FD9" w:rsidRPr="00CA25CF" w:rsidRDefault="002C0FD9" w:rsidP="00CA25CF">
            <w:pPr>
              <w:rPr>
                <w:rFonts w:cs="Arial"/>
                <w:color w:val="FF0000"/>
                <w:sz w:val="21"/>
                <w:szCs w:val="21"/>
              </w:rPr>
            </w:pPr>
          </w:p>
        </w:tc>
        <w:tc>
          <w:tcPr>
            <w:tcW w:w="217" w:type="dxa"/>
          </w:tcPr>
          <w:p w14:paraId="594D5B9E" w14:textId="77777777" w:rsidR="002C0FD9" w:rsidRPr="00CA25CF" w:rsidRDefault="002C0FD9" w:rsidP="00CA25CF">
            <w:pPr>
              <w:rPr>
                <w:rFonts w:cs="Arial"/>
                <w:color w:val="FF0000"/>
                <w:sz w:val="21"/>
                <w:szCs w:val="21"/>
              </w:rPr>
            </w:pPr>
          </w:p>
        </w:tc>
      </w:tr>
      <w:tr w:rsidR="002C0FD9" w:rsidRPr="00A16219" w14:paraId="2615DFE7" w14:textId="751304C5" w:rsidTr="002C0FD9">
        <w:trPr>
          <w:trHeight w:val="635"/>
        </w:trPr>
        <w:tc>
          <w:tcPr>
            <w:tcW w:w="515" w:type="dxa"/>
          </w:tcPr>
          <w:p w14:paraId="0876119F" w14:textId="77777777" w:rsidR="002C0FD9" w:rsidRPr="00CA25CF" w:rsidRDefault="002C0FD9" w:rsidP="00CA25CF">
            <w:pPr>
              <w:rPr>
                <w:rFonts w:cs="Arial"/>
                <w:color w:val="FF0000"/>
                <w:sz w:val="21"/>
                <w:szCs w:val="21"/>
              </w:rPr>
            </w:pPr>
          </w:p>
        </w:tc>
        <w:tc>
          <w:tcPr>
            <w:tcW w:w="217" w:type="dxa"/>
          </w:tcPr>
          <w:p w14:paraId="13752799" w14:textId="77777777" w:rsidR="002C0FD9" w:rsidRPr="00CA25CF" w:rsidRDefault="002C0FD9" w:rsidP="00CA25CF">
            <w:pPr>
              <w:rPr>
                <w:rFonts w:cs="Arial"/>
                <w:color w:val="FF0000"/>
                <w:sz w:val="21"/>
                <w:szCs w:val="21"/>
              </w:rPr>
            </w:pPr>
          </w:p>
        </w:tc>
        <w:tc>
          <w:tcPr>
            <w:tcW w:w="217" w:type="dxa"/>
          </w:tcPr>
          <w:p w14:paraId="348EBF7A" w14:textId="79B442D7" w:rsidR="002C0FD9" w:rsidRPr="00CA25CF" w:rsidRDefault="002C0FD9" w:rsidP="00CA25CF">
            <w:pPr>
              <w:rPr>
                <w:rFonts w:cs="Arial"/>
                <w:color w:val="FF0000"/>
                <w:sz w:val="21"/>
                <w:szCs w:val="21"/>
              </w:rPr>
            </w:pPr>
          </w:p>
        </w:tc>
        <w:tc>
          <w:tcPr>
            <w:tcW w:w="217" w:type="dxa"/>
          </w:tcPr>
          <w:p w14:paraId="6354866E" w14:textId="77777777" w:rsidR="002C0FD9" w:rsidRPr="00CA25CF" w:rsidRDefault="002C0FD9" w:rsidP="00CA25CF">
            <w:pPr>
              <w:rPr>
                <w:rFonts w:cs="Arial"/>
                <w:color w:val="FF0000"/>
                <w:sz w:val="21"/>
                <w:szCs w:val="21"/>
              </w:rPr>
            </w:pPr>
          </w:p>
        </w:tc>
        <w:tc>
          <w:tcPr>
            <w:tcW w:w="217" w:type="dxa"/>
          </w:tcPr>
          <w:p w14:paraId="3CB6255E" w14:textId="77777777" w:rsidR="002C0FD9" w:rsidRPr="00CA25CF" w:rsidRDefault="002C0FD9" w:rsidP="00CA25CF">
            <w:pPr>
              <w:rPr>
                <w:rFonts w:cs="Arial"/>
                <w:color w:val="FF0000"/>
                <w:sz w:val="21"/>
                <w:szCs w:val="21"/>
              </w:rPr>
            </w:pPr>
          </w:p>
        </w:tc>
        <w:tc>
          <w:tcPr>
            <w:tcW w:w="217" w:type="dxa"/>
          </w:tcPr>
          <w:p w14:paraId="32C46735" w14:textId="77777777" w:rsidR="002C0FD9" w:rsidRPr="00CA25CF" w:rsidRDefault="002C0FD9" w:rsidP="00CA25CF">
            <w:pPr>
              <w:rPr>
                <w:rFonts w:cs="Arial"/>
                <w:color w:val="FF0000"/>
                <w:sz w:val="21"/>
                <w:szCs w:val="21"/>
              </w:rPr>
            </w:pPr>
          </w:p>
        </w:tc>
        <w:tc>
          <w:tcPr>
            <w:tcW w:w="217" w:type="dxa"/>
          </w:tcPr>
          <w:p w14:paraId="33B830D9" w14:textId="77777777" w:rsidR="002C0FD9" w:rsidRPr="00CA25CF" w:rsidRDefault="002C0FD9" w:rsidP="00CA25CF">
            <w:pPr>
              <w:rPr>
                <w:rFonts w:cs="Arial"/>
                <w:color w:val="FF0000"/>
                <w:sz w:val="21"/>
                <w:szCs w:val="21"/>
              </w:rPr>
            </w:pPr>
          </w:p>
        </w:tc>
        <w:tc>
          <w:tcPr>
            <w:tcW w:w="217" w:type="dxa"/>
          </w:tcPr>
          <w:p w14:paraId="3C36D172" w14:textId="77777777" w:rsidR="002C0FD9" w:rsidRPr="00CA25CF" w:rsidRDefault="002C0FD9" w:rsidP="00CA25CF">
            <w:pPr>
              <w:rPr>
                <w:rFonts w:cs="Arial"/>
                <w:color w:val="FF0000"/>
                <w:sz w:val="21"/>
                <w:szCs w:val="21"/>
              </w:rPr>
            </w:pPr>
          </w:p>
        </w:tc>
        <w:tc>
          <w:tcPr>
            <w:tcW w:w="217" w:type="dxa"/>
          </w:tcPr>
          <w:p w14:paraId="1E0DC960" w14:textId="77777777" w:rsidR="002C0FD9" w:rsidRPr="00CA25CF" w:rsidRDefault="002C0FD9" w:rsidP="00CA25CF">
            <w:pPr>
              <w:rPr>
                <w:rFonts w:cs="Arial"/>
                <w:color w:val="FF0000"/>
                <w:sz w:val="21"/>
                <w:szCs w:val="21"/>
              </w:rPr>
            </w:pPr>
          </w:p>
        </w:tc>
        <w:tc>
          <w:tcPr>
            <w:tcW w:w="217" w:type="dxa"/>
          </w:tcPr>
          <w:p w14:paraId="11F31BE1" w14:textId="77777777" w:rsidR="002C0FD9" w:rsidRPr="00CA25CF" w:rsidRDefault="002C0FD9" w:rsidP="00CA25CF">
            <w:pPr>
              <w:rPr>
                <w:rFonts w:cs="Arial"/>
                <w:color w:val="FF0000"/>
                <w:sz w:val="21"/>
                <w:szCs w:val="21"/>
              </w:rPr>
            </w:pPr>
          </w:p>
        </w:tc>
        <w:tc>
          <w:tcPr>
            <w:tcW w:w="217" w:type="dxa"/>
          </w:tcPr>
          <w:p w14:paraId="36813C76" w14:textId="77777777" w:rsidR="002C0FD9" w:rsidRPr="00CA25CF" w:rsidRDefault="002C0FD9" w:rsidP="00CA25CF">
            <w:pPr>
              <w:rPr>
                <w:rFonts w:cs="Arial"/>
                <w:color w:val="FF0000"/>
                <w:sz w:val="21"/>
                <w:szCs w:val="21"/>
              </w:rPr>
            </w:pPr>
          </w:p>
        </w:tc>
        <w:tc>
          <w:tcPr>
            <w:tcW w:w="217" w:type="dxa"/>
          </w:tcPr>
          <w:p w14:paraId="16F95DC6" w14:textId="77777777" w:rsidR="002C0FD9" w:rsidRPr="00CA25CF" w:rsidRDefault="002C0FD9" w:rsidP="00CA25CF">
            <w:pPr>
              <w:rPr>
                <w:rFonts w:cs="Arial"/>
                <w:color w:val="FF0000"/>
                <w:sz w:val="21"/>
                <w:szCs w:val="21"/>
              </w:rPr>
            </w:pPr>
          </w:p>
        </w:tc>
        <w:tc>
          <w:tcPr>
            <w:tcW w:w="217" w:type="dxa"/>
          </w:tcPr>
          <w:p w14:paraId="778F45C6" w14:textId="77777777" w:rsidR="002C0FD9" w:rsidRPr="00CA25CF" w:rsidRDefault="002C0FD9" w:rsidP="00CA25CF">
            <w:pPr>
              <w:rPr>
                <w:rFonts w:cs="Arial"/>
                <w:color w:val="FF0000"/>
                <w:sz w:val="21"/>
                <w:szCs w:val="21"/>
              </w:rPr>
            </w:pPr>
          </w:p>
        </w:tc>
        <w:tc>
          <w:tcPr>
            <w:tcW w:w="217" w:type="dxa"/>
          </w:tcPr>
          <w:p w14:paraId="4E74BCC2" w14:textId="77777777" w:rsidR="002C0FD9" w:rsidRPr="00CA25CF" w:rsidRDefault="002C0FD9" w:rsidP="00CA25CF">
            <w:pPr>
              <w:rPr>
                <w:rFonts w:cs="Arial"/>
                <w:color w:val="FF0000"/>
                <w:sz w:val="21"/>
                <w:szCs w:val="21"/>
              </w:rPr>
            </w:pPr>
          </w:p>
        </w:tc>
        <w:tc>
          <w:tcPr>
            <w:tcW w:w="217" w:type="dxa"/>
          </w:tcPr>
          <w:p w14:paraId="6F7A33AB" w14:textId="77777777" w:rsidR="002C0FD9" w:rsidRPr="00CA25CF" w:rsidRDefault="002C0FD9" w:rsidP="00CA25CF">
            <w:pPr>
              <w:rPr>
                <w:rFonts w:cs="Arial"/>
                <w:color w:val="FF0000"/>
                <w:sz w:val="21"/>
                <w:szCs w:val="21"/>
              </w:rPr>
            </w:pPr>
          </w:p>
        </w:tc>
        <w:tc>
          <w:tcPr>
            <w:tcW w:w="217" w:type="dxa"/>
          </w:tcPr>
          <w:p w14:paraId="3E1D151E" w14:textId="77777777" w:rsidR="002C0FD9" w:rsidRPr="00CA25CF" w:rsidRDefault="002C0FD9" w:rsidP="00CA25CF">
            <w:pPr>
              <w:rPr>
                <w:rFonts w:cs="Arial"/>
                <w:color w:val="FF0000"/>
                <w:sz w:val="21"/>
                <w:szCs w:val="21"/>
              </w:rPr>
            </w:pPr>
          </w:p>
        </w:tc>
        <w:tc>
          <w:tcPr>
            <w:tcW w:w="217" w:type="dxa"/>
          </w:tcPr>
          <w:p w14:paraId="7CBFEC3F" w14:textId="77777777" w:rsidR="002C0FD9" w:rsidRPr="00CA25CF" w:rsidRDefault="002C0FD9" w:rsidP="00CA25CF">
            <w:pPr>
              <w:rPr>
                <w:rFonts w:cs="Arial"/>
                <w:color w:val="FF0000"/>
                <w:sz w:val="21"/>
                <w:szCs w:val="21"/>
              </w:rPr>
            </w:pPr>
          </w:p>
        </w:tc>
        <w:tc>
          <w:tcPr>
            <w:tcW w:w="217" w:type="dxa"/>
          </w:tcPr>
          <w:p w14:paraId="69D7309C" w14:textId="77777777" w:rsidR="002C0FD9" w:rsidRPr="00CA25CF" w:rsidRDefault="002C0FD9" w:rsidP="00CA25CF">
            <w:pPr>
              <w:rPr>
                <w:rFonts w:cs="Arial"/>
                <w:color w:val="FF0000"/>
                <w:sz w:val="21"/>
                <w:szCs w:val="21"/>
              </w:rPr>
            </w:pPr>
          </w:p>
        </w:tc>
        <w:tc>
          <w:tcPr>
            <w:tcW w:w="217" w:type="dxa"/>
          </w:tcPr>
          <w:p w14:paraId="7F70B6F2" w14:textId="77777777" w:rsidR="002C0FD9" w:rsidRPr="00CA25CF" w:rsidRDefault="002C0FD9" w:rsidP="00CA25CF">
            <w:pPr>
              <w:rPr>
                <w:rFonts w:cs="Arial"/>
                <w:color w:val="FF0000"/>
                <w:sz w:val="21"/>
                <w:szCs w:val="21"/>
              </w:rPr>
            </w:pPr>
          </w:p>
        </w:tc>
        <w:tc>
          <w:tcPr>
            <w:tcW w:w="217" w:type="dxa"/>
          </w:tcPr>
          <w:p w14:paraId="22275FCC" w14:textId="77777777" w:rsidR="002C0FD9" w:rsidRPr="00CA25CF" w:rsidRDefault="002C0FD9" w:rsidP="00CA25CF">
            <w:pPr>
              <w:rPr>
                <w:rFonts w:cs="Arial"/>
                <w:color w:val="FF0000"/>
                <w:sz w:val="21"/>
                <w:szCs w:val="21"/>
              </w:rPr>
            </w:pPr>
          </w:p>
        </w:tc>
        <w:tc>
          <w:tcPr>
            <w:tcW w:w="217" w:type="dxa"/>
          </w:tcPr>
          <w:p w14:paraId="5B92CE94" w14:textId="77777777" w:rsidR="002C0FD9" w:rsidRPr="00CA25CF" w:rsidRDefault="002C0FD9" w:rsidP="00CA25CF">
            <w:pPr>
              <w:rPr>
                <w:rFonts w:cs="Arial"/>
                <w:color w:val="FF0000"/>
                <w:sz w:val="21"/>
                <w:szCs w:val="21"/>
              </w:rPr>
            </w:pPr>
          </w:p>
        </w:tc>
        <w:tc>
          <w:tcPr>
            <w:tcW w:w="217" w:type="dxa"/>
          </w:tcPr>
          <w:p w14:paraId="2A0BE9D2" w14:textId="77777777" w:rsidR="002C0FD9" w:rsidRPr="00CA25CF" w:rsidRDefault="002C0FD9" w:rsidP="00CA25CF">
            <w:pPr>
              <w:rPr>
                <w:rFonts w:cs="Arial"/>
                <w:color w:val="FF0000"/>
                <w:sz w:val="21"/>
                <w:szCs w:val="21"/>
              </w:rPr>
            </w:pPr>
          </w:p>
        </w:tc>
        <w:tc>
          <w:tcPr>
            <w:tcW w:w="217" w:type="dxa"/>
          </w:tcPr>
          <w:p w14:paraId="75AADFC5" w14:textId="77777777" w:rsidR="002C0FD9" w:rsidRPr="00CA25CF" w:rsidRDefault="002C0FD9" w:rsidP="00CA25CF">
            <w:pPr>
              <w:rPr>
                <w:rFonts w:cs="Arial"/>
                <w:color w:val="FF0000"/>
                <w:sz w:val="21"/>
                <w:szCs w:val="21"/>
              </w:rPr>
            </w:pPr>
          </w:p>
        </w:tc>
        <w:tc>
          <w:tcPr>
            <w:tcW w:w="217" w:type="dxa"/>
          </w:tcPr>
          <w:p w14:paraId="3757700B" w14:textId="77777777" w:rsidR="002C0FD9" w:rsidRPr="00CA25CF" w:rsidRDefault="002C0FD9" w:rsidP="00CA25CF">
            <w:pPr>
              <w:rPr>
                <w:rFonts w:cs="Arial"/>
                <w:color w:val="FF0000"/>
                <w:sz w:val="21"/>
                <w:szCs w:val="21"/>
              </w:rPr>
            </w:pPr>
          </w:p>
        </w:tc>
        <w:tc>
          <w:tcPr>
            <w:tcW w:w="217" w:type="dxa"/>
          </w:tcPr>
          <w:p w14:paraId="307229FE" w14:textId="77777777" w:rsidR="002C0FD9" w:rsidRPr="00CA25CF" w:rsidRDefault="002C0FD9" w:rsidP="00CA25CF">
            <w:pPr>
              <w:rPr>
                <w:rFonts w:cs="Arial"/>
                <w:color w:val="FF0000"/>
                <w:sz w:val="21"/>
                <w:szCs w:val="21"/>
              </w:rPr>
            </w:pPr>
          </w:p>
        </w:tc>
        <w:tc>
          <w:tcPr>
            <w:tcW w:w="217" w:type="dxa"/>
          </w:tcPr>
          <w:p w14:paraId="26C1C081" w14:textId="77777777" w:rsidR="002C0FD9" w:rsidRPr="00CA25CF" w:rsidRDefault="002C0FD9" w:rsidP="00CA25CF">
            <w:pPr>
              <w:rPr>
                <w:rFonts w:cs="Arial"/>
                <w:color w:val="FF0000"/>
                <w:sz w:val="21"/>
                <w:szCs w:val="21"/>
              </w:rPr>
            </w:pPr>
          </w:p>
        </w:tc>
        <w:tc>
          <w:tcPr>
            <w:tcW w:w="217" w:type="dxa"/>
          </w:tcPr>
          <w:p w14:paraId="7202D66C" w14:textId="77777777" w:rsidR="002C0FD9" w:rsidRPr="00CA25CF" w:rsidRDefault="002C0FD9" w:rsidP="00CA25CF">
            <w:pPr>
              <w:rPr>
                <w:rFonts w:cs="Arial"/>
                <w:color w:val="FF0000"/>
                <w:sz w:val="21"/>
                <w:szCs w:val="21"/>
              </w:rPr>
            </w:pPr>
          </w:p>
        </w:tc>
        <w:tc>
          <w:tcPr>
            <w:tcW w:w="217" w:type="dxa"/>
          </w:tcPr>
          <w:p w14:paraId="71E8EAF6" w14:textId="77777777" w:rsidR="002C0FD9" w:rsidRPr="00CA25CF" w:rsidRDefault="002C0FD9" w:rsidP="00CA25CF">
            <w:pPr>
              <w:rPr>
                <w:rFonts w:cs="Arial"/>
                <w:color w:val="FF0000"/>
                <w:sz w:val="21"/>
                <w:szCs w:val="21"/>
              </w:rPr>
            </w:pPr>
          </w:p>
        </w:tc>
        <w:tc>
          <w:tcPr>
            <w:tcW w:w="217" w:type="dxa"/>
          </w:tcPr>
          <w:p w14:paraId="0F8AD7A1" w14:textId="77777777" w:rsidR="002C0FD9" w:rsidRPr="00CA25CF" w:rsidRDefault="002C0FD9" w:rsidP="00CA25CF">
            <w:pPr>
              <w:rPr>
                <w:rFonts w:cs="Arial"/>
                <w:color w:val="FF0000"/>
                <w:sz w:val="21"/>
                <w:szCs w:val="21"/>
              </w:rPr>
            </w:pPr>
          </w:p>
        </w:tc>
        <w:tc>
          <w:tcPr>
            <w:tcW w:w="217" w:type="dxa"/>
          </w:tcPr>
          <w:p w14:paraId="5C7F037E" w14:textId="77777777" w:rsidR="002C0FD9" w:rsidRPr="00CA25CF" w:rsidRDefault="002C0FD9" w:rsidP="00CA25CF">
            <w:pPr>
              <w:rPr>
                <w:rFonts w:cs="Arial"/>
                <w:color w:val="FF0000"/>
                <w:sz w:val="21"/>
                <w:szCs w:val="21"/>
              </w:rPr>
            </w:pPr>
          </w:p>
        </w:tc>
        <w:tc>
          <w:tcPr>
            <w:tcW w:w="217" w:type="dxa"/>
          </w:tcPr>
          <w:p w14:paraId="0FB5E7F8" w14:textId="77777777" w:rsidR="002C0FD9" w:rsidRPr="00CA25CF" w:rsidRDefault="002C0FD9" w:rsidP="00CA25CF">
            <w:pPr>
              <w:rPr>
                <w:rFonts w:cs="Arial"/>
                <w:color w:val="FF0000"/>
                <w:sz w:val="21"/>
                <w:szCs w:val="21"/>
              </w:rPr>
            </w:pPr>
          </w:p>
        </w:tc>
        <w:tc>
          <w:tcPr>
            <w:tcW w:w="217" w:type="dxa"/>
          </w:tcPr>
          <w:p w14:paraId="5090DDD9" w14:textId="77777777" w:rsidR="002C0FD9" w:rsidRPr="00CA25CF" w:rsidRDefault="002C0FD9" w:rsidP="00CA25CF">
            <w:pPr>
              <w:rPr>
                <w:rFonts w:cs="Arial"/>
                <w:color w:val="FF0000"/>
                <w:sz w:val="21"/>
                <w:szCs w:val="21"/>
              </w:rPr>
            </w:pPr>
          </w:p>
        </w:tc>
        <w:tc>
          <w:tcPr>
            <w:tcW w:w="217" w:type="dxa"/>
          </w:tcPr>
          <w:p w14:paraId="609BB5FB" w14:textId="77777777" w:rsidR="002C0FD9" w:rsidRPr="00CA25CF" w:rsidRDefault="002C0FD9" w:rsidP="00CA25CF">
            <w:pPr>
              <w:rPr>
                <w:rFonts w:cs="Arial"/>
                <w:color w:val="FF0000"/>
                <w:sz w:val="21"/>
                <w:szCs w:val="21"/>
              </w:rPr>
            </w:pPr>
          </w:p>
        </w:tc>
        <w:tc>
          <w:tcPr>
            <w:tcW w:w="217" w:type="dxa"/>
          </w:tcPr>
          <w:p w14:paraId="50A14A74" w14:textId="77777777" w:rsidR="002C0FD9" w:rsidRPr="00CA25CF" w:rsidRDefault="002C0FD9" w:rsidP="00CA25CF">
            <w:pPr>
              <w:rPr>
                <w:rFonts w:cs="Arial"/>
                <w:color w:val="FF0000"/>
                <w:sz w:val="21"/>
                <w:szCs w:val="21"/>
              </w:rPr>
            </w:pPr>
          </w:p>
        </w:tc>
        <w:tc>
          <w:tcPr>
            <w:tcW w:w="217" w:type="dxa"/>
          </w:tcPr>
          <w:p w14:paraId="56B23009" w14:textId="77777777" w:rsidR="002C0FD9" w:rsidRPr="00CA25CF" w:rsidRDefault="002C0FD9" w:rsidP="00CA25CF">
            <w:pPr>
              <w:rPr>
                <w:rFonts w:cs="Arial"/>
                <w:color w:val="FF0000"/>
                <w:sz w:val="21"/>
                <w:szCs w:val="21"/>
              </w:rPr>
            </w:pPr>
          </w:p>
        </w:tc>
        <w:tc>
          <w:tcPr>
            <w:tcW w:w="217" w:type="dxa"/>
          </w:tcPr>
          <w:p w14:paraId="0CE9B8B1" w14:textId="77777777" w:rsidR="002C0FD9" w:rsidRPr="00CA25CF" w:rsidRDefault="002C0FD9" w:rsidP="00CA25CF">
            <w:pPr>
              <w:rPr>
                <w:rFonts w:cs="Arial"/>
                <w:color w:val="FF0000"/>
                <w:sz w:val="21"/>
                <w:szCs w:val="21"/>
              </w:rPr>
            </w:pPr>
          </w:p>
        </w:tc>
        <w:tc>
          <w:tcPr>
            <w:tcW w:w="217" w:type="dxa"/>
          </w:tcPr>
          <w:p w14:paraId="7D5F1598" w14:textId="77777777" w:rsidR="002C0FD9" w:rsidRPr="00CA25CF" w:rsidRDefault="002C0FD9" w:rsidP="00CA25CF">
            <w:pPr>
              <w:rPr>
                <w:rFonts w:cs="Arial"/>
                <w:color w:val="FF0000"/>
                <w:sz w:val="21"/>
                <w:szCs w:val="21"/>
              </w:rPr>
            </w:pPr>
          </w:p>
        </w:tc>
        <w:tc>
          <w:tcPr>
            <w:tcW w:w="217" w:type="dxa"/>
          </w:tcPr>
          <w:p w14:paraId="43CC6A5F" w14:textId="77777777" w:rsidR="002C0FD9" w:rsidRPr="00CA25CF" w:rsidRDefault="002C0FD9" w:rsidP="00CA25CF">
            <w:pPr>
              <w:rPr>
                <w:rFonts w:cs="Arial"/>
                <w:color w:val="FF0000"/>
                <w:sz w:val="21"/>
                <w:szCs w:val="21"/>
              </w:rPr>
            </w:pPr>
          </w:p>
        </w:tc>
        <w:tc>
          <w:tcPr>
            <w:tcW w:w="217" w:type="dxa"/>
          </w:tcPr>
          <w:p w14:paraId="1419859F" w14:textId="77777777" w:rsidR="002C0FD9" w:rsidRPr="00CA25CF" w:rsidRDefault="002C0FD9" w:rsidP="00CA25CF">
            <w:pPr>
              <w:rPr>
                <w:rFonts w:cs="Arial"/>
                <w:color w:val="FF0000"/>
                <w:sz w:val="21"/>
                <w:szCs w:val="21"/>
              </w:rPr>
            </w:pPr>
          </w:p>
        </w:tc>
        <w:tc>
          <w:tcPr>
            <w:tcW w:w="217" w:type="dxa"/>
          </w:tcPr>
          <w:p w14:paraId="3227E6B3" w14:textId="77777777" w:rsidR="002C0FD9" w:rsidRPr="00CA25CF" w:rsidRDefault="002C0FD9" w:rsidP="00CA25CF">
            <w:pPr>
              <w:rPr>
                <w:rFonts w:cs="Arial"/>
                <w:color w:val="FF0000"/>
                <w:sz w:val="21"/>
                <w:szCs w:val="21"/>
              </w:rPr>
            </w:pPr>
          </w:p>
        </w:tc>
        <w:tc>
          <w:tcPr>
            <w:tcW w:w="217" w:type="dxa"/>
          </w:tcPr>
          <w:p w14:paraId="3FCA34DF" w14:textId="77777777" w:rsidR="002C0FD9" w:rsidRPr="00CA25CF" w:rsidRDefault="002C0FD9" w:rsidP="00CA25CF">
            <w:pPr>
              <w:rPr>
                <w:rFonts w:cs="Arial"/>
                <w:color w:val="FF0000"/>
                <w:sz w:val="21"/>
                <w:szCs w:val="21"/>
              </w:rPr>
            </w:pPr>
          </w:p>
        </w:tc>
        <w:tc>
          <w:tcPr>
            <w:tcW w:w="217" w:type="dxa"/>
          </w:tcPr>
          <w:p w14:paraId="4B5B32AA" w14:textId="77777777" w:rsidR="002C0FD9" w:rsidRPr="00CA25CF" w:rsidRDefault="002C0FD9" w:rsidP="00CA25CF">
            <w:pPr>
              <w:rPr>
                <w:rFonts w:cs="Arial"/>
                <w:color w:val="FF0000"/>
                <w:sz w:val="21"/>
                <w:szCs w:val="21"/>
              </w:rPr>
            </w:pPr>
          </w:p>
        </w:tc>
        <w:tc>
          <w:tcPr>
            <w:tcW w:w="217" w:type="dxa"/>
          </w:tcPr>
          <w:p w14:paraId="04B393EE" w14:textId="77777777" w:rsidR="002C0FD9" w:rsidRPr="00CA25CF" w:rsidRDefault="002C0FD9" w:rsidP="00CA25CF">
            <w:pPr>
              <w:rPr>
                <w:rFonts w:cs="Arial"/>
                <w:color w:val="FF0000"/>
                <w:sz w:val="21"/>
                <w:szCs w:val="21"/>
              </w:rPr>
            </w:pPr>
          </w:p>
        </w:tc>
      </w:tr>
      <w:tr w:rsidR="002C0FD9" w:rsidRPr="00A16219" w14:paraId="379CF6B8" w14:textId="2FBE9417" w:rsidTr="002C0FD9">
        <w:trPr>
          <w:trHeight w:val="635"/>
        </w:trPr>
        <w:tc>
          <w:tcPr>
            <w:tcW w:w="515" w:type="dxa"/>
          </w:tcPr>
          <w:p w14:paraId="303B66C1" w14:textId="77777777" w:rsidR="002C0FD9" w:rsidRPr="00CA25CF" w:rsidRDefault="002C0FD9" w:rsidP="00CA25CF">
            <w:pPr>
              <w:rPr>
                <w:rFonts w:cs="Arial"/>
                <w:color w:val="FF0000"/>
                <w:sz w:val="21"/>
                <w:szCs w:val="21"/>
              </w:rPr>
            </w:pPr>
          </w:p>
        </w:tc>
        <w:tc>
          <w:tcPr>
            <w:tcW w:w="217" w:type="dxa"/>
          </w:tcPr>
          <w:p w14:paraId="4FC7DC6D" w14:textId="77777777" w:rsidR="002C0FD9" w:rsidRPr="00CA25CF" w:rsidRDefault="002C0FD9" w:rsidP="00CA25CF">
            <w:pPr>
              <w:rPr>
                <w:rFonts w:cs="Arial"/>
                <w:color w:val="FF0000"/>
                <w:sz w:val="21"/>
                <w:szCs w:val="21"/>
              </w:rPr>
            </w:pPr>
          </w:p>
        </w:tc>
        <w:tc>
          <w:tcPr>
            <w:tcW w:w="217" w:type="dxa"/>
          </w:tcPr>
          <w:p w14:paraId="71E1B8AD" w14:textId="1A412226" w:rsidR="002C0FD9" w:rsidRPr="00CA25CF" w:rsidRDefault="002C0FD9" w:rsidP="00CA25CF">
            <w:pPr>
              <w:rPr>
                <w:rFonts w:cs="Arial"/>
                <w:color w:val="FF0000"/>
                <w:sz w:val="21"/>
                <w:szCs w:val="21"/>
              </w:rPr>
            </w:pPr>
          </w:p>
        </w:tc>
        <w:tc>
          <w:tcPr>
            <w:tcW w:w="217" w:type="dxa"/>
          </w:tcPr>
          <w:p w14:paraId="7B76B862" w14:textId="77777777" w:rsidR="002C0FD9" w:rsidRPr="00CA25CF" w:rsidRDefault="002C0FD9" w:rsidP="00CA25CF">
            <w:pPr>
              <w:rPr>
                <w:rFonts w:cs="Arial"/>
                <w:color w:val="FF0000"/>
                <w:sz w:val="21"/>
                <w:szCs w:val="21"/>
              </w:rPr>
            </w:pPr>
          </w:p>
        </w:tc>
        <w:tc>
          <w:tcPr>
            <w:tcW w:w="217" w:type="dxa"/>
          </w:tcPr>
          <w:p w14:paraId="148C8B41" w14:textId="77777777" w:rsidR="002C0FD9" w:rsidRPr="00CA25CF" w:rsidRDefault="002C0FD9" w:rsidP="00CA25CF">
            <w:pPr>
              <w:rPr>
                <w:rFonts w:cs="Arial"/>
                <w:color w:val="FF0000"/>
                <w:sz w:val="21"/>
                <w:szCs w:val="21"/>
              </w:rPr>
            </w:pPr>
          </w:p>
        </w:tc>
        <w:tc>
          <w:tcPr>
            <w:tcW w:w="217" w:type="dxa"/>
          </w:tcPr>
          <w:p w14:paraId="6EC6F5A2" w14:textId="77777777" w:rsidR="002C0FD9" w:rsidRPr="00CA25CF" w:rsidRDefault="002C0FD9" w:rsidP="00CA25CF">
            <w:pPr>
              <w:rPr>
                <w:rFonts w:cs="Arial"/>
                <w:color w:val="FF0000"/>
                <w:sz w:val="21"/>
                <w:szCs w:val="21"/>
              </w:rPr>
            </w:pPr>
          </w:p>
        </w:tc>
        <w:tc>
          <w:tcPr>
            <w:tcW w:w="217" w:type="dxa"/>
          </w:tcPr>
          <w:p w14:paraId="61CA2A75" w14:textId="77777777" w:rsidR="002C0FD9" w:rsidRPr="00CA25CF" w:rsidRDefault="002C0FD9" w:rsidP="00CA25CF">
            <w:pPr>
              <w:rPr>
                <w:rFonts w:cs="Arial"/>
                <w:color w:val="FF0000"/>
                <w:sz w:val="21"/>
                <w:szCs w:val="21"/>
              </w:rPr>
            </w:pPr>
          </w:p>
        </w:tc>
        <w:tc>
          <w:tcPr>
            <w:tcW w:w="217" w:type="dxa"/>
          </w:tcPr>
          <w:p w14:paraId="23CBA5D8" w14:textId="77777777" w:rsidR="002C0FD9" w:rsidRPr="00CA25CF" w:rsidRDefault="002C0FD9" w:rsidP="00CA25CF">
            <w:pPr>
              <w:rPr>
                <w:rFonts w:cs="Arial"/>
                <w:color w:val="FF0000"/>
                <w:sz w:val="21"/>
                <w:szCs w:val="21"/>
              </w:rPr>
            </w:pPr>
          </w:p>
        </w:tc>
        <w:tc>
          <w:tcPr>
            <w:tcW w:w="217" w:type="dxa"/>
          </w:tcPr>
          <w:p w14:paraId="56A6130E" w14:textId="77777777" w:rsidR="002C0FD9" w:rsidRPr="00CA25CF" w:rsidRDefault="002C0FD9" w:rsidP="00CA25CF">
            <w:pPr>
              <w:rPr>
                <w:rFonts w:cs="Arial"/>
                <w:color w:val="FF0000"/>
                <w:sz w:val="21"/>
                <w:szCs w:val="21"/>
              </w:rPr>
            </w:pPr>
          </w:p>
        </w:tc>
        <w:tc>
          <w:tcPr>
            <w:tcW w:w="217" w:type="dxa"/>
          </w:tcPr>
          <w:p w14:paraId="3C35D3C8" w14:textId="77777777" w:rsidR="002C0FD9" w:rsidRPr="00CA25CF" w:rsidRDefault="002C0FD9" w:rsidP="00CA25CF">
            <w:pPr>
              <w:rPr>
                <w:rFonts w:cs="Arial"/>
                <w:color w:val="FF0000"/>
                <w:sz w:val="21"/>
                <w:szCs w:val="21"/>
              </w:rPr>
            </w:pPr>
          </w:p>
        </w:tc>
        <w:tc>
          <w:tcPr>
            <w:tcW w:w="217" w:type="dxa"/>
          </w:tcPr>
          <w:p w14:paraId="780A755F" w14:textId="77777777" w:rsidR="002C0FD9" w:rsidRPr="00CA25CF" w:rsidRDefault="002C0FD9" w:rsidP="00CA25CF">
            <w:pPr>
              <w:rPr>
                <w:rFonts w:cs="Arial"/>
                <w:color w:val="FF0000"/>
                <w:sz w:val="21"/>
                <w:szCs w:val="21"/>
              </w:rPr>
            </w:pPr>
          </w:p>
        </w:tc>
        <w:tc>
          <w:tcPr>
            <w:tcW w:w="217" w:type="dxa"/>
          </w:tcPr>
          <w:p w14:paraId="4445B5EC" w14:textId="77777777" w:rsidR="002C0FD9" w:rsidRPr="00CA25CF" w:rsidRDefault="002C0FD9" w:rsidP="00CA25CF">
            <w:pPr>
              <w:rPr>
                <w:rFonts w:cs="Arial"/>
                <w:color w:val="FF0000"/>
                <w:sz w:val="21"/>
                <w:szCs w:val="21"/>
              </w:rPr>
            </w:pPr>
          </w:p>
        </w:tc>
        <w:tc>
          <w:tcPr>
            <w:tcW w:w="217" w:type="dxa"/>
          </w:tcPr>
          <w:p w14:paraId="4160F4AD" w14:textId="77777777" w:rsidR="002C0FD9" w:rsidRPr="00CA25CF" w:rsidRDefault="002C0FD9" w:rsidP="00CA25CF">
            <w:pPr>
              <w:rPr>
                <w:rFonts w:cs="Arial"/>
                <w:color w:val="FF0000"/>
                <w:sz w:val="21"/>
                <w:szCs w:val="21"/>
              </w:rPr>
            </w:pPr>
          </w:p>
        </w:tc>
        <w:tc>
          <w:tcPr>
            <w:tcW w:w="217" w:type="dxa"/>
          </w:tcPr>
          <w:p w14:paraId="3F9777CD" w14:textId="77777777" w:rsidR="002C0FD9" w:rsidRPr="00CA25CF" w:rsidRDefault="002C0FD9" w:rsidP="00CA25CF">
            <w:pPr>
              <w:rPr>
                <w:rFonts w:cs="Arial"/>
                <w:color w:val="FF0000"/>
                <w:sz w:val="21"/>
                <w:szCs w:val="21"/>
              </w:rPr>
            </w:pPr>
          </w:p>
        </w:tc>
        <w:tc>
          <w:tcPr>
            <w:tcW w:w="217" w:type="dxa"/>
          </w:tcPr>
          <w:p w14:paraId="30DBBCFB" w14:textId="77777777" w:rsidR="002C0FD9" w:rsidRPr="00CA25CF" w:rsidRDefault="002C0FD9" w:rsidP="00CA25CF">
            <w:pPr>
              <w:rPr>
                <w:rFonts w:cs="Arial"/>
                <w:color w:val="FF0000"/>
                <w:sz w:val="21"/>
                <w:szCs w:val="21"/>
              </w:rPr>
            </w:pPr>
          </w:p>
        </w:tc>
        <w:tc>
          <w:tcPr>
            <w:tcW w:w="217" w:type="dxa"/>
          </w:tcPr>
          <w:p w14:paraId="78EDA3ED" w14:textId="77777777" w:rsidR="002C0FD9" w:rsidRPr="00CA25CF" w:rsidRDefault="002C0FD9" w:rsidP="00CA25CF">
            <w:pPr>
              <w:rPr>
                <w:rFonts w:cs="Arial"/>
                <w:color w:val="FF0000"/>
                <w:sz w:val="21"/>
                <w:szCs w:val="21"/>
              </w:rPr>
            </w:pPr>
          </w:p>
        </w:tc>
        <w:tc>
          <w:tcPr>
            <w:tcW w:w="217" w:type="dxa"/>
          </w:tcPr>
          <w:p w14:paraId="4FB6A485" w14:textId="77777777" w:rsidR="002C0FD9" w:rsidRPr="00CA25CF" w:rsidRDefault="002C0FD9" w:rsidP="00CA25CF">
            <w:pPr>
              <w:rPr>
                <w:rFonts w:cs="Arial"/>
                <w:color w:val="FF0000"/>
                <w:sz w:val="21"/>
                <w:szCs w:val="21"/>
              </w:rPr>
            </w:pPr>
          </w:p>
        </w:tc>
        <w:tc>
          <w:tcPr>
            <w:tcW w:w="217" w:type="dxa"/>
          </w:tcPr>
          <w:p w14:paraId="2CD27209" w14:textId="77777777" w:rsidR="002C0FD9" w:rsidRPr="00CA25CF" w:rsidRDefault="002C0FD9" w:rsidP="00CA25CF">
            <w:pPr>
              <w:rPr>
                <w:rFonts w:cs="Arial"/>
                <w:color w:val="FF0000"/>
                <w:sz w:val="21"/>
                <w:szCs w:val="21"/>
              </w:rPr>
            </w:pPr>
          </w:p>
        </w:tc>
        <w:tc>
          <w:tcPr>
            <w:tcW w:w="217" w:type="dxa"/>
          </w:tcPr>
          <w:p w14:paraId="206D9671" w14:textId="77777777" w:rsidR="002C0FD9" w:rsidRPr="00CA25CF" w:rsidRDefault="002C0FD9" w:rsidP="00CA25CF">
            <w:pPr>
              <w:rPr>
                <w:rFonts w:cs="Arial"/>
                <w:color w:val="FF0000"/>
                <w:sz w:val="21"/>
                <w:szCs w:val="21"/>
              </w:rPr>
            </w:pPr>
          </w:p>
        </w:tc>
        <w:tc>
          <w:tcPr>
            <w:tcW w:w="217" w:type="dxa"/>
          </w:tcPr>
          <w:p w14:paraId="2731385B" w14:textId="77777777" w:rsidR="002C0FD9" w:rsidRPr="00CA25CF" w:rsidRDefault="002C0FD9" w:rsidP="00CA25CF">
            <w:pPr>
              <w:rPr>
                <w:rFonts w:cs="Arial"/>
                <w:color w:val="FF0000"/>
                <w:sz w:val="21"/>
                <w:szCs w:val="21"/>
              </w:rPr>
            </w:pPr>
          </w:p>
        </w:tc>
        <w:tc>
          <w:tcPr>
            <w:tcW w:w="217" w:type="dxa"/>
          </w:tcPr>
          <w:p w14:paraId="264BC397" w14:textId="77777777" w:rsidR="002C0FD9" w:rsidRPr="00CA25CF" w:rsidRDefault="002C0FD9" w:rsidP="00CA25CF">
            <w:pPr>
              <w:rPr>
                <w:rFonts w:cs="Arial"/>
                <w:color w:val="FF0000"/>
                <w:sz w:val="21"/>
                <w:szCs w:val="21"/>
              </w:rPr>
            </w:pPr>
          </w:p>
        </w:tc>
        <w:tc>
          <w:tcPr>
            <w:tcW w:w="217" w:type="dxa"/>
          </w:tcPr>
          <w:p w14:paraId="439B4B1A" w14:textId="77777777" w:rsidR="002C0FD9" w:rsidRPr="00CA25CF" w:rsidRDefault="002C0FD9" w:rsidP="00CA25CF">
            <w:pPr>
              <w:rPr>
                <w:rFonts w:cs="Arial"/>
                <w:color w:val="FF0000"/>
                <w:sz w:val="21"/>
                <w:szCs w:val="21"/>
              </w:rPr>
            </w:pPr>
          </w:p>
        </w:tc>
        <w:tc>
          <w:tcPr>
            <w:tcW w:w="217" w:type="dxa"/>
          </w:tcPr>
          <w:p w14:paraId="3D43FB71" w14:textId="77777777" w:rsidR="002C0FD9" w:rsidRPr="00CA25CF" w:rsidRDefault="002C0FD9" w:rsidP="00CA25CF">
            <w:pPr>
              <w:rPr>
                <w:rFonts w:cs="Arial"/>
                <w:color w:val="FF0000"/>
                <w:sz w:val="21"/>
                <w:szCs w:val="21"/>
              </w:rPr>
            </w:pPr>
          </w:p>
        </w:tc>
        <w:tc>
          <w:tcPr>
            <w:tcW w:w="217" w:type="dxa"/>
          </w:tcPr>
          <w:p w14:paraId="7411E3A8" w14:textId="77777777" w:rsidR="002C0FD9" w:rsidRPr="00CA25CF" w:rsidRDefault="002C0FD9" w:rsidP="00CA25CF">
            <w:pPr>
              <w:rPr>
                <w:rFonts w:cs="Arial"/>
                <w:color w:val="FF0000"/>
                <w:sz w:val="21"/>
                <w:szCs w:val="21"/>
              </w:rPr>
            </w:pPr>
          </w:p>
        </w:tc>
        <w:tc>
          <w:tcPr>
            <w:tcW w:w="217" w:type="dxa"/>
          </w:tcPr>
          <w:p w14:paraId="6D579A6A" w14:textId="77777777" w:rsidR="002C0FD9" w:rsidRPr="00CA25CF" w:rsidRDefault="002C0FD9" w:rsidP="00CA25CF">
            <w:pPr>
              <w:rPr>
                <w:rFonts w:cs="Arial"/>
                <w:color w:val="FF0000"/>
                <w:sz w:val="21"/>
                <w:szCs w:val="21"/>
              </w:rPr>
            </w:pPr>
          </w:p>
        </w:tc>
        <w:tc>
          <w:tcPr>
            <w:tcW w:w="217" w:type="dxa"/>
          </w:tcPr>
          <w:p w14:paraId="54CBD469" w14:textId="77777777" w:rsidR="002C0FD9" w:rsidRPr="00CA25CF" w:rsidRDefault="002C0FD9" w:rsidP="00CA25CF">
            <w:pPr>
              <w:rPr>
                <w:rFonts w:cs="Arial"/>
                <w:color w:val="FF0000"/>
                <w:sz w:val="21"/>
                <w:szCs w:val="21"/>
              </w:rPr>
            </w:pPr>
          </w:p>
        </w:tc>
        <w:tc>
          <w:tcPr>
            <w:tcW w:w="217" w:type="dxa"/>
          </w:tcPr>
          <w:p w14:paraId="2AA09C62" w14:textId="77777777" w:rsidR="002C0FD9" w:rsidRPr="00CA25CF" w:rsidRDefault="002C0FD9" w:rsidP="00CA25CF">
            <w:pPr>
              <w:rPr>
                <w:rFonts w:cs="Arial"/>
                <w:color w:val="FF0000"/>
                <w:sz w:val="21"/>
                <w:szCs w:val="21"/>
              </w:rPr>
            </w:pPr>
          </w:p>
        </w:tc>
        <w:tc>
          <w:tcPr>
            <w:tcW w:w="217" w:type="dxa"/>
          </w:tcPr>
          <w:p w14:paraId="6E9C2614" w14:textId="77777777" w:rsidR="002C0FD9" w:rsidRPr="00CA25CF" w:rsidRDefault="002C0FD9" w:rsidP="00CA25CF">
            <w:pPr>
              <w:rPr>
                <w:rFonts w:cs="Arial"/>
                <w:color w:val="FF0000"/>
                <w:sz w:val="21"/>
                <w:szCs w:val="21"/>
              </w:rPr>
            </w:pPr>
          </w:p>
        </w:tc>
        <w:tc>
          <w:tcPr>
            <w:tcW w:w="217" w:type="dxa"/>
          </w:tcPr>
          <w:p w14:paraId="776DBC3B" w14:textId="77777777" w:rsidR="002C0FD9" w:rsidRPr="00CA25CF" w:rsidRDefault="002C0FD9" w:rsidP="00CA25CF">
            <w:pPr>
              <w:rPr>
                <w:rFonts w:cs="Arial"/>
                <w:color w:val="FF0000"/>
                <w:sz w:val="21"/>
                <w:szCs w:val="21"/>
              </w:rPr>
            </w:pPr>
          </w:p>
        </w:tc>
        <w:tc>
          <w:tcPr>
            <w:tcW w:w="217" w:type="dxa"/>
          </w:tcPr>
          <w:p w14:paraId="47DB2416" w14:textId="77777777" w:rsidR="002C0FD9" w:rsidRPr="00CA25CF" w:rsidRDefault="002C0FD9" w:rsidP="00CA25CF">
            <w:pPr>
              <w:rPr>
                <w:rFonts w:cs="Arial"/>
                <w:color w:val="FF0000"/>
                <w:sz w:val="21"/>
                <w:szCs w:val="21"/>
              </w:rPr>
            </w:pPr>
          </w:p>
        </w:tc>
        <w:tc>
          <w:tcPr>
            <w:tcW w:w="217" w:type="dxa"/>
          </w:tcPr>
          <w:p w14:paraId="3D043530" w14:textId="77777777" w:rsidR="002C0FD9" w:rsidRPr="00CA25CF" w:rsidRDefault="002C0FD9" w:rsidP="00CA25CF">
            <w:pPr>
              <w:rPr>
                <w:rFonts w:cs="Arial"/>
                <w:color w:val="FF0000"/>
                <w:sz w:val="21"/>
                <w:szCs w:val="21"/>
              </w:rPr>
            </w:pPr>
          </w:p>
        </w:tc>
        <w:tc>
          <w:tcPr>
            <w:tcW w:w="217" w:type="dxa"/>
          </w:tcPr>
          <w:p w14:paraId="65793A11" w14:textId="77777777" w:rsidR="002C0FD9" w:rsidRPr="00CA25CF" w:rsidRDefault="002C0FD9" w:rsidP="00CA25CF">
            <w:pPr>
              <w:rPr>
                <w:rFonts w:cs="Arial"/>
                <w:color w:val="FF0000"/>
                <w:sz w:val="21"/>
                <w:szCs w:val="21"/>
              </w:rPr>
            </w:pPr>
          </w:p>
        </w:tc>
        <w:tc>
          <w:tcPr>
            <w:tcW w:w="217" w:type="dxa"/>
          </w:tcPr>
          <w:p w14:paraId="76B590E3" w14:textId="77777777" w:rsidR="002C0FD9" w:rsidRPr="00CA25CF" w:rsidRDefault="002C0FD9" w:rsidP="00CA25CF">
            <w:pPr>
              <w:rPr>
                <w:rFonts w:cs="Arial"/>
                <w:color w:val="FF0000"/>
                <w:sz w:val="21"/>
                <w:szCs w:val="21"/>
              </w:rPr>
            </w:pPr>
          </w:p>
        </w:tc>
        <w:tc>
          <w:tcPr>
            <w:tcW w:w="217" w:type="dxa"/>
          </w:tcPr>
          <w:p w14:paraId="2E845831" w14:textId="77777777" w:rsidR="002C0FD9" w:rsidRPr="00CA25CF" w:rsidRDefault="002C0FD9" w:rsidP="00CA25CF">
            <w:pPr>
              <w:rPr>
                <w:rFonts w:cs="Arial"/>
                <w:color w:val="FF0000"/>
                <w:sz w:val="21"/>
                <w:szCs w:val="21"/>
              </w:rPr>
            </w:pPr>
          </w:p>
        </w:tc>
        <w:tc>
          <w:tcPr>
            <w:tcW w:w="217" w:type="dxa"/>
          </w:tcPr>
          <w:p w14:paraId="26380FB7" w14:textId="77777777" w:rsidR="002C0FD9" w:rsidRPr="00CA25CF" w:rsidRDefault="002C0FD9" w:rsidP="00CA25CF">
            <w:pPr>
              <w:rPr>
                <w:rFonts w:cs="Arial"/>
                <w:color w:val="FF0000"/>
                <w:sz w:val="21"/>
                <w:szCs w:val="21"/>
              </w:rPr>
            </w:pPr>
          </w:p>
        </w:tc>
        <w:tc>
          <w:tcPr>
            <w:tcW w:w="217" w:type="dxa"/>
          </w:tcPr>
          <w:p w14:paraId="4FBFB6FF" w14:textId="77777777" w:rsidR="002C0FD9" w:rsidRPr="00CA25CF" w:rsidRDefault="002C0FD9" w:rsidP="00CA25CF">
            <w:pPr>
              <w:rPr>
                <w:rFonts w:cs="Arial"/>
                <w:color w:val="FF0000"/>
                <w:sz w:val="21"/>
                <w:szCs w:val="21"/>
              </w:rPr>
            </w:pPr>
          </w:p>
        </w:tc>
        <w:tc>
          <w:tcPr>
            <w:tcW w:w="217" w:type="dxa"/>
          </w:tcPr>
          <w:p w14:paraId="08DC3479" w14:textId="77777777" w:rsidR="002C0FD9" w:rsidRPr="00CA25CF" w:rsidRDefault="002C0FD9" w:rsidP="00CA25CF">
            <w:pPr>
              <w:rPr>
                <w:rFonts w:cs="Arial"/>
                <w:color w:val="FF0000"/>
                <w:sz w:val="21"/>
                <w:szCs w:val="21"/>
              </w:rPr>
            </w:pPr>
          </w:p>
        </w:tc>
        <w:tc>
          <w:tcPr>
            <w:tcW w:w="217" w:type="dxa"/>
          </w:tcPr>
          <w:p w14:paraId="02D5C5A6" w14:textId="77777777" w:rsidR="002C0FD9" w:rsidRPr="00CA25CF" w:rsidRDefault="002C0FD9" w:rsidP="00CA25CF">
            <w:pPr>
              <w:rPr>
                <w:rFonts w:cs="Arial"/>
                <w:color w:val="FF0000"/>
                <w:sz w:val="21"/>
                <w:szCs w:val="21"/>
              </w:rPr>
            </w:pPr>
          </w:p>
        </w:tc>
        <w:tc>
          <w:tcPr>
            <w:tcW w:w="217" w:type="dxa"/>
          </w:tcPr>
          <w:p w14:paraId="5E0C33EA" w14:textId="77777777" w:rsidR="002C0FD9" w:rsidRPr="00CA25CF" w:rsidRDefault="002C0FD9" w:rsidP="00CA25CF">
            <w:pPr>
              <w:rPr>
                <w:rFonts w:cs="Arial"/>
                <w:color w:val="FF0000"/>
                <w:sz w:val="21"/>
                <w:szCs w:val="21"/>
              </w:rPr>
            </w:pPr>
          </w:p>
        </w:tc>
        <w:tc>
          <w:tcPr>
            <w:tcW w:w="217" w:type="dxa"/>
          </w:tcPr>
          <w:p w14:paraId="15308436" w14:textId="77777777" w:rsidR="002C0FD9" w:rsidRPr="00CA25CF" w:rsidRDefault="002C0FD9" w:rsidP="00CA25CF">
            <w:pPr>
              <w:rPr>
                <w:rFonts w:cs="Arial"/>
                <w:color w:val="FF0000"/>
                <w:sz w:val="21"/>
                <w:szCs w:val="21"/>
              </w:rPr>
            </w:pPr>
          </w:p>
        </w:tc>
        <w:tc>
          <w:tcPr>
            <w:tcW w:w="217" w:type="dxa"/>
          </w:tcPr>
          <w:p w14:paraId="014CBAD3" w14:textId="77777777" w:rsidR="002C0FD9" w:rsidRPr="00CA25CF" w:rsidRDefault="002C0FD9" w:rsidP="00CA25CF">
            <w:pPr>
              <w:rPr>
                <w:rFonts w:cs="Arial"/>
                <w:color w:val="FF0000"/>
                <w:sz w:val="21"/>
                <w:szCs w:val="21"/>
              </w:rPr>
            </w:pPr>
          </w:p>
        </w:tc>
        <w:tc>
          <w:tcPr>
            <w:tcW w:w="217" w:type="dxa"/>
          </w:tcPr>
          <w:p w14:paraId="77A7F4C2" w14:textId="77777777" w:rsidR="002C0FD9" w:rsidRPr="00CA25CF" w:rsidRDefault="002C0FD9" w:rsidP="00CA25CF">
            <w:pPr>
              <w:rPr>
                <w:rFonts w:cs="Arial"/>
                <w:color w:val="FF0000"/>
                <w:sz w:val="21"/>
                <w:szCs w:val="21"/>
              </w:rPr>
            </w:pPr>
          </w:p>
        </w:tc>
        <w:tc>
          <w:tcPr>
            <w:tcW w:w="217" w:type="dxa"/>
          </w:tcPr>
          <w:p w14:paraId="0165BAF5" w14:textId="77777777" w:rsidR="002C0FD9" w:rsidRPr="00CA25CF" w:rsidRDefault="002C0FD9" w:rsidP="00CA25CF">
            <w:pPr>
              <w:rPr>
                <w:rFonts w:cs="Arial"/>
                <w:color w:val="FF0000"/>
                <w:sz w:val="21"/>
                <w:szCs w:val="21"/>
              </w:rPr>
            </w:pPr>
          </w:p>
        </w:tc>
      </w:tr>
      <w:tr w:rsidR="002C0FD9" w:rsidRPr="00A16219" w14:paraId="2E921CBB" w14:textId="1FA5572F" w:rsidTr="002C0FD9">
        <w:trPr>
          <w:trHeight w:val="635"/>
        </w:trPr>
        <w:tc>
          <w:tcPr>
            <w:tcW w:w="515" w:type="dxa"/>
          </w:tcPr>
          <w:p w14:paraId="1BB1B541" w14:textId="77777777" w:rsidR="002C0FD9" w:rsidRPr="00CA25CF" w:rsidRDefault="002C0FD9" w:rsidP="00CA25CF">
            <w:pPr>
              <w:rPr>
                <w:rFonts w:cs="Arial"/>
                <w:color w:val="FF0000"/>
                <w:sz w:val="21"/>
                <w:szCs w:val="21"/>
              </w:rPr>
            </w:pPr>
          </w:p>
        </w:tc>
        <w:tc>
          <w:tcPr>
            <w:tcW w:w="217" w:type="dxa"/>
          </w:tcPr>
          <w:p w14:paraId="7FC4B304" w14:textId="77777777" w:rsidR="002C0FD9" w:rsidRPr="00CA25CF" w:rsidRDefault="002C0FD9" w:rsidP="00CA25CF">
            <w:pPr>
              <w:rPr>
                <w:rFonts w:cs="Arial"/>
                <w:color w:val="FF0000"/>
                <w:sz w:val="21"/>
                <w:szCs w:val="21"/>
              </w:rPr>
            </w:pPr>
          </w:p>
        </w:tc>
        <w:tc>
          <w:tcPr>
            <w:tcW w:w="217" w:type="dxa"/>
          </w:tcPr>
          <w:p w14:paraId="0B83523D" w14:textId="7DD216E1" w:rsidR="002C0FD9" w:rsidRPr="00CA25CF" w:rsidRDefault="002C0FD9" w:rsidP="00CA25CF">
            <w:pPr>
              <w:rPr>
                <w:rFonts w:cs="Arial"/>
                <w:color w:val="FF0000"/>
                <w:sz w:val="21"/>
                <w:szCs w:val="21"/>
              </w:rPr>
            </w:pPr>
          </w:p>
        </w:tc>
        <w:tc>
          <w:tcPr>
            <w:tcW w:w="217" w:type="dxa"/>
          </w:tcPr>
          <w:p w14:paraId="47F6968C" w14:textId="77777777" w:rsidR="002C0FD9" w:rsidRPr="00CA25CF" w:rsidRDefault="002C0FD9" w:rsidP="00CA25CF">
            <w:pPr>
              <w:rPr>
                <w:rFonts w:cs="Arial"/>
                <w:color w:val="FF0000"/>
                <w:sz w:val="21"/>
                <w:szCs w:val="21"/>
              </w:rPr>
            </w:pPr>
          </w:p>
        </w:tc>
        <w:tc>
          <w:tcPr>
            <w:tcW w:w="217" w:type="dxa"/>
          </w:tcPr>
          <w:p w14:paraId="59FA4F07" w14:textId="77777777" w:rsidR="002C0FD9" w:rsidRPr="00CA25CF" w:rsidRDefault="002C0FD9" w:rsidP="00CA25CF">
            <w:pPr>
              <w:rPr>
                <w:rFonts w:cs="Arial"/>
                <w:color w:val="FF0000"/>
                <w:sz w:val="21"/>
                <w:szCs w:val="21"/>
              </w:rPr>
            </w:pPr>
          </w:p>
        </w:tc>
        <w:tc>
          <w:tcPr>
            <w:tcW w:w="217" w:type="dxa"/>
          </w:tcPr>
          <w:p w14:paraId="72B69509" w14:textId="77777777" w:rsidR="002C0FD9" w:rsidRPr="00CA25CF" w:rsidRDefault="002C0FD9" w:rsidP="00CA25CF">
            <w:pPr>
              <w:rPr>
                <w:rFonts w:cs="Arial"/>
                <w:color w:val="FF0000"/>
                <w:sz w:val="21"/>
                <w:szCs w:val="21"/>
              </w:rPr>
            </w:pPr>
          </w:p>
        </w:tc>
        <w:tc>
          <w:tcPr>
            <w:tcW w:w="217" w:type="dxa"/>
          </w:tcPr>
          <w:p w14:paraId="61805DC6" w14:textId="77777777" w:rsidR="002C0FD9" w:rsidRPr="00CA25CF" w:rsidRDefault="002C0FD9" w:rsidP="00CA25CF">
            <w:pPr>
              <w:rPr>
                <w:rFonts w:cs="Arial"/>
                <w:color w:val="FF0000"/>
                <w:sz w:val="21"/>
                <w:szCs w:val="21"/>
              </w:rPr>
            </w:pPr>
          </w:p>
        </w:tc>
        <w:tc>
          <w:tcPr>
            <w:tcW w:w="217" w:type="dxa"/>
          </w:tcPr>
          <w:p w14:paraId="149A572A" w14:textId="77777777" w:rsidR="002C0FD9" w:rsidRPr="00CA25CF" w:rsidRDefault="002C0FD9" w:rsidP="00CA25CF">
            <w:pPr>
              <w:rPr>
                <w:rFonts w:cs="Arial"/>
                <w:color w:val="FF0000"/>
                <w:sz w:val="21"/>
                <w:szCs w:val="21"/>
              </w:rPr>
            </w:pPr>
          </w:p>
        </w:tc>
        <w:tc>
          <w:tcPr>
            <w:tcW w:w="217" w:type="dxa"/>
          </w:tcPr>
          <w:p w14:paraId="000E9EC2" w14:textId="77777777" w:rsidR="002C0FD9" w:rsidRPr="00CA25CF" w:rsidRDefault="002C0FD9" w:rsidP="00CA25CF">
            <w:pPr>
              <w:rPr>
                <w:rFonts w:cs="Arial"/>
                <w:color w:val="FF0000"/>
                <w:sz w:val="21"/>
                <w:szCs w:val="21"/>
              </w:rPr>
            </w:pPr>
          </w:p>
        </w:tc>
        <w:tc>
          <w:tcPr>
            <w:tcW w:w="217" w:type="dxa"/>
          </w:tcPr>
          <w:p w14:paraId="4BED2A4E" w14:textId="77777777" w:rsidR="002C0FD9" w:rsidRPr="00CA25CF" w:rsidRDefault="002C0FD9" w:rsidP="00CA25CF">
            <w:pPr>
              <w:rPr>
                <w:rFonts w:cs="Arial"/>
                <w:color w:val="FF0000"/>
                <w:sz w:val="21"/>
                <w:szCs w:val="21"/>
              </w:rPr>
            </w:pPr>
          </w:p>
        </w:tc>
        <w:tc>
          <w:tcPr>
            <w:tcW w:w="217" w:type="dxa"/>
          </w:tcPr>
          <w:p w14:paraId="647CC428" w14:textId="77777777" w:rsidR="002C0FD9" w:rsidRPr="00CA25CF" w:rsidRDefault="002C0FD9" w:rsidP="00CA25CF">
            <w:pPr>
              <w:rPr>
                <w:rFonts w:cs="Arial"/>
                <w:color w:val="FF0000"/>
                <w:sz w:val="21"/>
                <w:szCs w:val="21"/>
              </w:rPr>
            </w:pPr>
          </w:p>
        </w:tc>
        <w:tc>
          <w:tcPr>
            <w:tcW w:w="217" w:type="dxa"/>
          </w:tcPr>
          <w:p w14:paraId="217E277F" w14:textId="77777777" w:rsidR="002C0FD9" w:rsidRPr="00CA25CF" w:rsidRDefault="002C0FD9" w:rsidP="00CA25CF">
            <w:pPr>
              <w:rPr>
                <w:rFonts w:cs="Arial"/>
                <w:color w:val="FF0000"/>
                <w:sz w:val="21"/>
                <w:szCs w:val="21"/>
              </w:rPr>
            </w:pPr>
          </w:p>
        </w:tc>
        <w:tc>
          <w:tcPr>
            <w:tcW w:w="217" w:type="dxa"/>
          </w:tcPr>
          <w:p w14:paraId="7FBDFB5D" w14:textId="77777777" w:rsidR="002C0FD9" w:rsidRPr="00CA25CF" w:rsidRDefault="002C0FD9" w:rsidP="00CA25CF">
            <w:pPr>
              <w:rPr>
                <w:rFonts w:cs="Arial"/>
                <w:color w:val="FF0000"/>
                <w:sz w:val="21"/>
                <w:szCs w:val="21"/>
              </w:rPr>
            </w:pPr>
          </w:p>
        </w:tc>
        <w:tc>
          <w:tcPr>
            <w:tcW w:w="217" w:type="dxa"/>
          </w:tcPr>
          <w:p w14:paraId="366122E2" w14:textId="77777777" w:rsidR="002C0FD9" w:rsidRPr="00CA25CF" w:rsidRDefault="002C0FD9" w:rsidP="00CA25CF">
            <w:pPr>
              <w:rPr>
                <w:rFonts w:cs="Arial"/>
                <w:color w:val="FF0000"/>
                <w:sz w:val="21"/>
                <w:szCs w:val="21"/>
              </w:rPr>
            </w:pPr>
          </w:p>
        </w:tc>
        <w:tc>
          <w:tcPr>
            <w:tcW w:w="217" w:type="dxa"/>
          </w:tcPr>
          <w:p w14:paraId="47841AEF" w14:textId="77777777" w:rsidR="002C0FD9" w:rsidRPr="00CA25CF" w:rsidRDefault="002C0FD9" w:rsidP="00CA25CF">
            <w:pPr>
              <w:rPr>
                <w:rFonts w:cs="Arial"/>
                <w:color w:val="FF0000"/>
                <w:sz w:val="21"/>
                <w:szCs w:val="21"/>
              </w:rPr>
            </w:pPr>
          </w:p>
        </w:tc>
        <w:tc>
          <w:tcPr>
            <w:tcW w:w="217" w:type="dxa"/>
          </w:tcPr>
          <w:p w14:paraId="320A0CB4" w14:textId="77777777" w:rsidR="002C0FD9" w:rsidRPr="00CA25CF" w:rsidRDefault="002C0FD9" w:rsidP="00CA25CF">
            <w:pPr>
              <w:rPr>
                <w:rFonts w:cs="Arial"/>
                <w:color w:val="FF0000"/>
                <w:sz w:val="21"/>
                <w:szCs w:val="21"/>
              </w:rPr>
            </w:pPr>
          </w:p>
        </w:tc>
        <w:tc>
          <w:tcPr>
            <w:tcW w:w="217" w:type="dxa"/>
          </w:tcPr>
          <w:p w14:paraId="469632FA" w14:textId="77777777" w:rsidR="002C0FD9" w:rsidRPr="00CA25CF" w:rsidRDefault="002C0FD9" w:rsidP="00CA25CF">
            <w:pPr>
              <w:rPr>
                <w:rFonts w:cs="Arial"/>
                <w:color w:val="FF0000"/>
                <w:sz w:val="21"/>
                <w:szCs w:val="21"/>
              </w:rPr>
            </w:pPr>
          </w:p>
        </w:tc>
        <w:tc>
          <w:tcPr>
            <w:tcW w:w="217" w:type="dxa"/>
          </w:tcPr>
          <w:p w14:paraId="0B2E75A5" w14:textId="77777777" w:rsidR="002C0FD9" w:rsidRPr="00CA25CF" w:rsidRDefault="002C0FD9" w:rsidP="00CA25CF">
            <w:pPr>
              <w:rPr>
                <w:rFonts w:cs="Arial"/>
                <w:color w:val="FF0000"/>
                <w:sz w:val="21"/>
                <w:szCs w:val="21"/>
              </w:rPr>
            </w:pPr>
          </w:p>
        </w:tc>
        <w:tc>
          <w:tcPr>
            <w:tcW w:w="217" w:type="dxa"/>
          </w:tcPr>
          <w:p w14:paraId="1063DFBC" w14:textId="77777777" w:rsidR="002C0FD9" w:rsidRPr="00CA25CF" w:rsidRDefault="002C0FD9" w:rsidP="00CA25CF">
            <w:pPr>
              <w:rPr>
                <w:rFonts w:cs="Arial"/>
                <w:color w:val="FF0000"/>
                <w:sz w:val="21"/>
                <w:szCs w:val="21"/>
              </w:rPr>
            </w:pPr>
          </w:p>
        </w:tc>
        <w:tc>
          <w:tcPr>
            <w:tcW w:w="217" w:type="dxa"/>
          </w:tcPr>
          <w:p w14:paraId="628AE9E4" w14:textId="77777777" w:rsidR="002C0FD9" w:rsidRPr="00CA25CF" w:rsidRDefault="002C0FD9" w:rsidP="00CA25CF">
            <w:pPr>
              <w:rPr>
                <w:rFonts w:cs="Arial"/>
                <w:color w:val="FF0000"/>
                <w:sz w:val="21"/>
                <w:szCs w:val="21"/>
              </w:rPr>
            </w:pPr>
          </w:p>
        </w:tc>
        <w:tc>
          <w:tcPr>
            <w:tcW w:w="217" w:type="dxa"/>
          </w:tcPr>
          <w:p w14:paraId="063BAB52" w14:textId="77777777" w:rsidR="002C0FD9" w:rsidRPr="00CA25CF" w:rsidRDefault="002C0FD9" w:rsidP="00CA25CF">
            <w:pPr>
              <w:rPr>
                <w:rFonts w:cs="Arial"/>
                <w:color w:val="FF0000"/>
                <w:sz w:val="21"/>
                <w:szCs w:val="21"/>
              </w:rPr>
            </w:pPr>
          </w:p>
        </w:tc>
        <w:tc>
          <w:tcPr>
            <w:tcW w:w="217" w:type="dxa"/>
          </w:tcPr>
          <w:p w14:paraId="3A2813F3" w14:textId="77777777" w:rsidR="002C0FD9" w:rsidRPr="00CA25CF" w:rsidRDefault="002C0FD9" w:rsidP="00CA25CF">
            <w:pPr>
              <w:rPr>
                <w:rFonts w:cs="Arial"/>
                <w:color w:val="FF0000"/>
                <w:sz w:val="21"/>
                <w:szCs w:val="21"/>
              </w:rPr>
            </w:pPr>
          </w:p>
        </w:tc>
        <w:tc>
          <w:tcPr>
            <w:tcW w:w="217" w:type="dxa"/>
          </w:tcPr>
          <w:p w14:paraId="250E743A" w14:textId="77777777" w:rsidR="002C0FD9" w:rsidRPr="00CA25CF" w:rsidRDefault="002C0FD9" w:rsidP="00CA25CF">
            <w:pPr>
              <w:rPr>
                <w:rFonts w:cs="Arial"/>
                <w:color w:val="FF0000"/>
                <w:sz w:val="21"/>
                <w:szCs w:val="21"/>
              </w:rPr>
            </w:pPr>
          </w:p>
        </w:tc>
        <w:tc>
          <w:tcPr>
            <w:tcW w:w="217" w:type="dxa"/>
          </w:tcPr>
          <w:p w14:paraId="368D99DB" w14:textId="77777777" w:rsidR="002C0FD9" w:rsidRPr="00CA25CF" w:rsidRDefault="002C0FD9" w:rsidP="00CA25CF">
            <w:pPr>
              <w:rPr>
                <w:rFonts w:cs="Arial"/>
                <w:color w:val="FF0000"/>
                <w:sz w:val="21"/>
                <w:szCs w:val="21"/>
              </w:rPr>
            </w:pPr>
          </w:p>
        </w:tc>
        <w:tc>
          <w:tcPr>
            <w:tcW w:w="217" w:type="dxa"/>
          </w:tcPr>
          <w:p w14:paraId="715436A7" w14:textId="77777777" w:rsidR="002C0FD9" w:rsidRPr="00CA25CF" w:rsidRDefault="002C0FD9" w:rsidP="00CA25CF">
            <w:pPr>
              <w:rPr>
                <w:rFonts w:cs="Arial"/>
                <w:color w:val="FF0000"/>
                <w:sz w:val="21"/>
                <w:szCs w:val="21"/>
              </w:rPr>
            </w:pPr>
          </w:p>
        </w:tc>
        <w:tc>
          <w:tcPr>
            <w:tcW w:w="217" w:type="dxa"/>
          </w:tcPr>
          <w:p w14:paraId="46C1AB8A" w14:textId="77777777" w:rsidR="002C0FD9" w:rsidRPr="00CA25CF" w:rsidRDefault="002C0FD9" w:rsidP="00CA25CF">
            <w:pPr>
              <w:rPr>
                <w:rFonts w:cs="Arial"/>
                <w:color w:val="FF0000"/>
                <w:sz w:val="21"/>
                <w:szCs w:val="21"/>
              </w:rPr>
            </w:pPr>
          </w:p>
        </w:tc>
        <w:tc>
          <w:tcPr>
            <w:tcW w:w="217" w:type="dxa"/>
          </w:tcPr>
          <w:p w14:paraId="0EDEA52D" w14:textId="77777777" w:rsidR="002C0FD9" w:rsidRPr="00CA25CF" w:rsidRDefault="002C0FD9" w:rsidP="00CA25CF">
            <w:pPr>
              <w:rPr>
                <w:rFonts w:cs="Arial"/>
                <w:color w:val="FF0000"/>
                <w:sz w:val="21"/>
                <w:szCs w:val="21"/>
              </w:rPr>
            </w:pPr>
          </w:p>
        </w:tc>
        <w:tc>
          <w:tcPr>
            <w:tcW w:w="217" w:type="dxa"/>
          </w:tcPr>
          <w:p w14:paraId="0E73733C" w14:textId="77777777" w:rsidR="002C0FD9" w:rsidRPr="00CA25CF" w:rsidRDefault="002C0FD9" w:rsidP="00CA25CF">
            <w:pPr>
              <w:rPr>
                <w:rFonts w:cs="Arial"/>
                <w:color w:val="FF0000"/>
                <w:sz w:val="21"/>
                <w:szCs w:val="21"/>
              </w:rPr>
            </w:pPr>
          </w:p>
        </w:tc>
        <w:tc>
          <w:tcPr>
            <w:tcW w:w="217" w:type="dxa"/>
          </w:tcPr>
          <w:p w14:paraId="7E188E00" w14:textId="77777777" w:rsidR="002C0FD9" w:rsidRPr="00CA25CF" w:rsidRDefault="002C0FD9" w:rsidP="00CA25CF">
            <w:pPr>
              <w:rPr>
                <w:rFonts w:cs="Arial"/>
                <w:color w:val="FF0000"/>
                <w:sz w:val="21"/>
                <w:szCs w:val="21"/>
              </w:rPr>
            </w:pPr>
          </w:p>
        </w:tc>
        <w:tc>
          <w:tcPr>
            <w:tcW w:w="217" w:type="dxa"/>
          </w:tcPr>
          <w:p w14:paraId="0F0C819A" w14:textId="77777777" w:rsidR="002C0FD9" w:rsidRPr="00CA25CF" w:rsidRDefault="002C0FD9" w:rsidP="00CA25CF">
            <w:pPr>
              <w:rPr>
                <w:rFonts w:cs="Arial"/>
                <w:color w:val="FF0000"/>
                <w:sz w:val="21"/>
                <w:szCs w:val="21"/>
              </w:rPr>
            </w:pPr>
          </w:p>
        </w:tc>
        <w:tc>
          <w:tcPr>
            <w:tcW w:w="217" w:type="dxa"/>
          </w:tcPr>
          <w:p w14:paraId="6DD49E20" w14:textId="77777777" w:rsidR="002C0FD9" w:rsidRPr="00CA25CF" w:rsidRDefault="002C0FD9" w:rsidP="00CA25CF">
            <w:pPr>
              <w:rPr>
                <w:rFonts w:cs="Arial"/>
                <w:color w:val="FF0000"/>
                <w:sz w:val="21"/>
                <w:szCs w:val="21"/>
              </w:rPr>
            </w:pPr>
          </w:p>
        </w:tc>
        <w:tc>
          <w:tcPr>
            <w:tcW w:w="217" w:type="dxa"/>
          </w:tcPr>
          <w:p w14:paraId="10C31FC6" w14:textId="77777777" w:rsidR="002C0FD9" w:rsidRPr="00CA25CF" w:rsidRDefault="002C0FD9" w:rsidP="00CA25CF">
            <w:pPr>
              <w:rPr>
                <w:rFonts w:cs="Arial"/>
                <w:color w:val="FF0000"/>
                <w:sz w:val="21"/>
                <w:szCs w:val="21"/>
              </w:rPr>
            </w:pPr>
          </w:p>
        </w:tc>
        <w:tc>
          <w:tcPr>
            <w:tcW w:w="217" w:type="dxa"/>
          </w:tcPr>
          <w:p w14:paraId="28A6A2DB" w14:textId="77777777" w:rsidR="002C0FD9" w:rsidRPr="00CA25CF" w:rsidRDefault="002C0FD9" w:rsidP="00CA25CF">
            <w:pPr>
              <w:rPr>
                <w:rFonts w:cs="Arial"/>
                <w:color w:val="FF0000"/>
                <w:sz w:val="21"/>
                <w:szCs w:val="21"/>
              </w:rPr>
            </w:pPr>
          </w:p>
        </w:tc>
        <w:tc>
          <w:tcPr>
            <w:tcW w:w="217" w:type="dxa"/>
          </w:tcPr>
          <w:p w14:paraId="1BC280AE" w14:textId="77777777" w:rsidR="002C0FD9" w:rsidRPr="00CA25CF" w:rsidRDefault="002C0FD9" w:rsidP="00CA25CF">
            <w:pPr>
              <w:rPr>
                <w:rFonts w:cs="Arial"/>
                <w:color w:val="FF0000"/>
                <w:sz w:val="21"/>
                <w:szCs w:val="21"/>
              </w:rPr>
            </w:pPr>
          </w:p>
        </w:tc>
        <w:tc>
          <w:tcPr>
            <w:tcW w:w="217" w:type="dxa"/>
          </w:tcPr>
          <w:p w14:paraId="0FCF53E1" w14:textId="77777777" w:rsidR="002C0FD9" w:rsidRPr="00CA25CF" w:rsidRDefault="002C0FD9" w:rsidP="00CA25CF">
            <w:pPr>
              <w:rPr>
                <w:rFonts w:cs="Arial"/>
                <w:color w:val="FF0000"/>
                <w:sz w:val="21"/>
                <w:szCs w:val="21"/>
              </w:rPr>
            </w:pPr>
          </w:p>
        </w:tc>
        <w:tc>
          <w:tcPr>
            <w:tcW w:w="217" w:type="dxa"/>
          </w:tcPr>
          <w:p w14:paraId="1FD188DA" w14:textId="77777777" w:rsidR="002C0FD9" w:rsidRPr="00CA25CF" w:rsidRDefault="002C0FD9" w:rsidP="00CA25CF">
            <w:pPr>
              <w:rPr>
                <w:rFonts w:cs="Arial"/>
                <w:color w:val="FF0000"/>
                <w:sz w:val="21"/>
                <w:szCs w:val="21"/>
              </w:rPr>
            </w:pPr>
          </w:p>
        </w:tc>
        <w:tc>
          <w:tcPr>
            <w:tcW w:w="217" w:type="dxa"/>
          </w:tcPr>
          <w:p w14:paraId="447BC9D1" w14:textId="77777777" w:rsidR="002C0FD9" w:rsidRPr="00CA25CF" w:rsidRDefault="002C0FD9" w:rsidP="00CA25CF">
            <w:pPr>
              <w:rPr>
                <w:rFonts w:cs="Arial"/>
                <w:color w:val="FF0000"/>
                <w:sz w:val="21"/>
                <w:szCs w:val="21"/>
              </w:rPr>
            </w:pPr>
          </w:p>
        </w:tc>
        <w:tc>
          <w:tcPr>
            <w:tcW w:w="217" w:type="dxa"/>
          </w:tcPr>
          <w:p w14:paraId="5BFA40B9" w14:textId="77777777" w:rsidR="002C0FD9" w:rsidRPr="00CA25CF" w:rsidRDefault="002C0FD9" w:rsidP="00CA25CF">
            <w:pPr>
              <w:rPr>
                <w:rFonts w:cs="Arial"/>
                <w:color w:val="FF0000"/>
                <w:sz w:val="21"/>
                <w:szCs w:val="21"/>
              </w:rPr>
            </w:pPr>
          </w:p>
        </w:tc>
        <w:tc>
          <w:tcPr>
            <w:tcW w:w="217" w:type="dxa"/>
          </w:tcPr>
          <w:p w14:paraId="2A91E555" w14:textId="77777777" w:rsidR="002C0FD9" w:rsidRPr="00CA25CF" w:rsidRDefault="002C0FD9" w:rsidP="00CA25CF">
            <w:pPr>
              <w:rPr>
                <w:rFonts w:cs="Arial"/>
                <w:color w:val="FF0000"/>
                <w:sz w:val="21"/>
                <w:szCs w:val="21"/>
              </w:rPr>
            </w:pPr>
          </w:p>
        </w:tc>
        <w:tc>
          <w:tcPr>
            <w:tcW w:w="217" w:type="dxa"/>
          </w:tcPr>
          <w:p w14:paraId="3A17A57A" w14:textId="77777777" w:rsidR="002C0FD9" w:rsidRPr="00CA25CF" w:rsidRDefault="002C0FD9" w:rsidP="00CA25CF">
            <w:pPr>
              <w:rPr>
                <w:rFonts w:cs="Arial"/>
                <w:color w:val="FF0000"/>
                <w:sz w:val="21"/>
                <w:szCs w:val="21"/>
              </w:rPr>
            </w:pPr>
          </w:p>
        </w:tc>
        <w:tc>
          <w:tcPr>
            <w:tcW w:w="217" w:type="dxa"/>
          </w:tcPr>
          <w:p w14:paraId="38340A9E" w14:textId="77777777" w:rsidR="002C0FD9" w:rsidRPr="00CA25CF" w:rsidRDefault="002C0FD9" w:rsidP="00CA25CF">
            <w:pPr>
              <w:rPr>
                <w:rFonts w:cs="Arial"/>
                <w:color w:val="FF0000"/>
                <w:sz w:val="21"/>
                <w:szCs w:val="21"/>
              </w:rPr>
            </w:pPr>
          </w:p>
        </w:tc>
        <w:tc>
          <w:tcPr>
            <w:tcW w:w="217" w:type="dxa"/>
          </w:tcPr>
          <w:p w14:paraId="3F882C4F" w14:textId="77777777" w:rsidR="002C0FD9" w:rsidRPr="00CA25CF" w:rsidRDefault="002C0FD9" w:rsidP="00CA25CF">
            <w:pPr>
              <w:rPr>
                <w:rFonts w:cs="Arial"/>
                <w:color w:val="FF0000"/>
                <w:sz w:val="21"/>
                <w:szCs w:val="21"/>
              </w:rPr>
            </w:pPr>
          </w:p>
        </w:tc>
        <w:tc>
          <w:tcPr>
            <w:tcW w:w="217" w:type="dxa"/>
          </w:tcPr>
          <w:p w14:paraId="6618B587" w14:textId="77777777" w:rsidR="002C0FD9" w:rsidRPr="00CA25CF" w:rsidRDefault="002C0FD9" w:rsidP="00CA25CF">
            <w:pPr>
              <w:rPr>
                <w:rFonts w:cs="Arial"/>
                <w:color w:val="FF0000"/>
                <w:sz w:val="21"/>
                <w:szCs w:val="21"/>
              </w:rPr>
            </w:pPr>
          </w:p>
        </w:tc>
      </w:tr>
      <w:tr w:rsidR="002C0FD9" w:rsidRPr="00A16219" w14:paraId="6053B2F0" w14:textId="54F802A0" w:rsidTr="002C0FD9">
        <w:trPr>
          <w:trHeight w:val="635"/>
        </w:trPr>
        <w:tc>
          <w:tcPr>
            <w:tcW w:w="515" w:type="dxa"/>
          </w:tcPr>
          <w:p w14:paraId="36650867" w14:textId="77777777" w:rsidR="002C0FD9" w:rsidRPr="00CA25CF" w:rsidRDefault="002C0FD9" w:rsidP="00CA25CF">
            <w:pPr>
              <w:rPr>
                <w:rFonts w:cs="Arial"/>
                <w:color w:val="FF0000"/>
                <w:sz w:val="21"/>
                <w:szCs w:val="21"/>
              </w:rPr>
            </w:pPr>
          </w:p>
        </w:tc>
        <w:tc>
          <w:tcPr>
            <w:tcW w:w="217" w:type="dxa"/>
          </w:tcPr>
          <w:p w14:paraId="4F8669F3" w14:textId="77777777" w:rsidR="002C0FD9" w:rsidRPr="00CA25CF" w:rsidRDefault="002C0FD9" w:rsidP="00CA25CF">
            <w:pPr>
              <w:rPr>
                <w:rFonts w:cs="Arial"/>
                <w:color w:val="FF0000"/>
                <w:sz w:val="21"/>
                <w:szCs w:val="21"/>
              </w:rPr>
            </w:pPr>
          </w:p>
        </w:tc>
        <w:tc>
          <w:tcPr>
            <w:tcW w:w="217" w:type="dxa"/>
          </w:tcPr>
          <w:p w14:paraId="5D00226B" w14:textId="442EB945" w:rsidR="002C0FD9" w:rsidRPr="00CA25CF" w:rsidRDefault="002C0FD9" w:rsidP="00CA25CF">
            <w:pPr>
              <w:rPr>
                <w:rFonts w:cs="Arial"/>
                <w:color w:val="FF0000"/>
                <w:sz w:val="21"/>
                <w:szCs w:val="21"/>
              </w:rPr>
            </w:pPr>
          </w:p>
        </w:tc>
        <w:tc>
          <w:tcPr>
            <w:tcW w:w="217" w:type="dxa"/>
          </w:tcPr>
          <w:p w14:paraId="69355C41" w14:textId="77777777" w:rsidR="002C0FD9" w:rsidRPr="00CA25CF" w:rsidRDefault="002C0FD9" w:rsidP="00CA25CF">
            <w:pPr>
              <w:rPr>
                <w:rFonts w:cs="Arial"/>
                <w:color w:val="FF0000"/>
                <w:sz w:val="21"/>
                <w:szCs w:val="21"/>
              </w:rPr>
            </w:pPr>
          </w:p>
        </w:tc>
        <w:tc>
          <w:tcPr>
            <w:tcW w:w="217" w:type="dxa"/>
          </w:tcPr>
          <w:p w14:paraId="3F210D58" w14:textId="77777777" w:rsidR="002C0FD9" w:rsidRPr="00CA25CF" w:rsidRDefault="002C0FD9" w:rsidP="00CA25CF">
            <w:pPr>
              <w:rPr>
                <w:rFonts w:cs="Arial"/>
                <w:color w:val="FF0000"/>
                <w:sz w:val="21"/>
                <w:szCs w:val="21"/>
              </w:rPr>
            </w:pPr>
          </w:p>
        </w:tc>
        <w:tc>
          <w:tcPr>
            <w:tcW w:w="217" w:type="dxa"/>
          </w:tcPr>
          <w:p w14:paraId="7209B9BD" w14:textId="77777777" w:rsidR="002C0FD9" w:rsidRPr="00CA25CF" w:rsidRDefault="002C0FD9" w:rsidP="00CA25CF">
            <w:pPr>
              <w:rPr>
                <w:rFonts w:cs="Arial"/>
                <w:color w:val="FF0000"/>
                <w:sz w:val="21"/>
                <w:szCs w:val="21"/>
              </w:rPr>
            </w:pPr>
          </w:p>
        </w:tc>
        <w:tc>
          <w:tcPr>
            <w:tcW w:w="217" w:type="dxa"/>
          </w:tcPr>
          <w:p w14:paraId="7A278084" w14:textId="77777777" w:rsidR="002C0FD9" w:rsidRPr="00CA25CF" w:rsidRDefault="002C0FD9" w:rsidP="00CA25CF">
            <w:pPr>
              <w:rPr>
                <w:rFonts w:cs="Arial"/>
                <w:color w:val="FF0000"/>
                <w:sz w:val="21"/>
                <w:szCs w:val="21"/>
              </w:rPr>
            </w:pPr>
          </w:p>
        </w:tc>
        <w:tc>
          <w:tcPr>
            <w:tcW w:w="217" w:type="dxa"/>
          </w:tcPr>
          <w:p w14:paraId="587A47B4" w14:textId="77777777" w:rsidR="002C0FD9" w:rsidRPr="00CA25CF" w:rsidRDefault="002C0FD9" w:rsidP="00CA25CF">
            <w:pPr>
              <w:rPr>
                <w:rFonts w:cs="Arial"/>
                <w:color w:val="FF0000"/>
                <w:sz w:val="21"/>
                <w:szCs w:val="21"/>
              </w:rPr>
            </w:pPr>
          </w:p>
        </w:tc>
        <w:tc>
          <w:tcPr>
            <w:tcW w:w="217" w:type="dxa"/>
          </w:tcPr>
          <w:p w14:paraId="661DB90D" w14:textId="77777777" w:rsidR="002C0FD9" w:rsidRPr="00CA25CF" w:rsidRDefault="002C0FD9" w:rsidP="00CA25CF">
            <w:pPr>
              <w:rPr>
                <w:rFonts w:cs="Arial"/>
                <w:color w:val="FF0000"/>
                <w:sz w:val="21"/>
                <w:szCs w:val="21"/>
              </w:rPr>
            </w:pPr>
          </w:p>
        </w:tc>
        <w:tc>
          <w:tcPr>
            <w:tcW w:w="217" w:type="dxa"/>
          </w:tcPr>
          <w:p w14:paraId="1D5120CF" w14:textId="77777777" w:rsidR="002C0FD9" w:rsidRPr="00CA25CF" w:rsidRDefault="002C0FD9" w:rsidP="00CA25CF">
            <w:pPr>
              <w:rPr>
                <w:rFonts w:cs="Arial"/>
                <w:color w:val="FF0000"/>
                <w:sz w:val="21"/>
                <w:szCs w:val="21"/>
              </w:rPr>
            </w:pPr>
          </w:p>
        </w:tc>
        <w:tc>
          <w:tcPr>
            <w:tcW w:w="217" w:type="dxa"/>
          </w:tcPr>
          <w:p w14:paraId="4C646D0E" w14:textId="77777777" w:rsidR="002C0FD9" w:rsidRPr="00CA25CF" w:rsidRDefault="002C0FD9" w:rsidP="00CA25CF">
            <w:pPr>
              <w:rPr>
                <w:rFonts w:cs="Arial"/>
                <w:color w:val="FF0000"/>
                <w:sz w:val="21"/>
                <w:szCs w:val="21"/>
              </w:rPr>
            </w:pPr>
          </w:p>
        </w:tc>
        <w:tc>
          <w:tcPr>
            <w:tcW w:w="217" w:type="dxa"/>
          </w:tcPr>
          <w:p w14:paraId="43B89358" w14:textId="77777777" w:rsidR="002C0FD9" w:rsidRPr="00CA25CF" w:rsidRDefault="002C0FD9" w:rsidP="00CA25CF">
            <w:pPr>
              <w:rPr>
                <w:rFonts w:cs="Arial"/>
                <w:color w:val="FF0000"/>
                <w:sz w:val="21"/>
                <w:szCs w:val="21"/>
              </w:rPr>
            </w:pPr>
          </w:p>
        </w:tc>
        <w:tc>
          <w:tcPr>
            <w:tcW w:w="217" w:type="dxa"/>
          </w:tcPr>
          <w:p w14:paraId="1AF967F8" w14:textId="77777777" w:rsidR="002C0FD9" w:rsidRPr="00CA25CF" w:rsidRDefault="002C0FD9" w:rsidP="00CA25CF">
            <w:pPr>
              <w:rPr>
                <w:rFonts w:cs="Arial"/>
                <w:color w:val="FF0000"/>
                <w:sz w:val="21"/>
                <w:szCs w:val="21"/>
              </w:rPr>
            </w:pPr>
          </w:p>
        </w:tc>
        <w:tc>
          <w:tcPr>
            <w:tcW w:w="217" w:type="dxa"/>
          </w:tcPr>
          <w:p w14:paraId="6D165621" w14:textId="77777777" w:rsidR="002C0FD9" w:rsidRPr="00CA25CF" w:rsidRDefault="002C0FD9" w:rsidP="00CA25CF">
            <w:pPr>
              <w:rPr>
                <w:rFonts w:cs="Arial"/>
                <w:color w:val="FF0000"/>
                <w:sz w:val="21"/>
                <w:szCs w:val="21"/>
              </w:rPr>
            </w:pPr>
          </w:p>
        </w:tc>
        <w:tc>
          <w:tcPr>
            <w:tcW w:w="217" w:type="dxa"/>
          </w:tcPr>
          <w:p w14:paraId="0CF3234E" w14:textId="77777777" w:rsidR="002C0FD9" w:rsidRPr="00CA25CF" w:rsidRDefault="002C0FD9" w:rsidP="00CA25CF">
            <w:pPr>
              <w:rPr>
                <w:rFonts w:cs="Arial"/>
                <w:color w:val="FF0000"/>
                <w:sz w:val="21"/>
                <w:szCs w:val="21"/>
              </w:rPr>
            </w:pPr>
          </w:p>
        </w:tc>
        <w:tc>
          <w:tcPr>
            <w:tcW w:w="217" w:type="dxa"/>
          </w:tcPr>
          <w:p w14:paraId="669E2FCA" w14:textId="77777777" w:rsidR="002C0FD9" w:rsidRPr="00CA25CF" w:rsidRDefault="002C0FD9" w:rsidP="00CA25CF">
            <w:pPr>
              <w:rPr>
                <w:rFonts w:cs="Arial"/>
                <w:color w:val="FF0000"/>
                <w:sz w:val="21"/>
                <w:szCs w:val="21"/>
              </w:rPr>
            </w:pPr>
          </w:p>
        </w:tc>
        <w:tc>
          <w:tcPr>
            <w:tcW w:w="217" w:type="dxa"/>
          </w:tcPr>
          <w:p w14:paraId="5D9C4B06" w14:textId="77777777" w:rsidR="002C0FD9" w:rsidRPr="00CA25CF" w:rsidRDefault="002C0FD9" w:rsidP="00CA25CF">
            <w:pPr>
              <w:rPr>
                <w:rFonts w:cs="Arial"/>
                <w:color w:val="FF0000"/>
                <w:sz w:val="21"/>
                <w:szCs w:val="21"/>
              </w:rPr>
            </w:pPr>
          </w:p>
        </w:tc>
        <w:tc>
          <w:tcPr>
            <w:tcW w:w="217" w:type="dxa"/>
          </w:tcPr>
          <w:p w14:paraId="4FF6FB92" w14:textId="77777777" w:rsidR="002C0FD9" w:rsidRPr="00CA25CF" w:rsidRDefault="002C0FD9" w:rsidP="00CA25CF">
            <w:pPr>
              <w:rPr>
                <w:rFonts w:cs="Arial"/>
                <w:color w:val="FF0000"/>
                <w:sz w:val="21"/>
                <w:szCs w:val="21"/>
              </w:rPr>
            </w:pPr>
          </w:p>
        </w:tc>
        <w:tc>
          <w:tcPr>
            <w:tcW w:w="217" w:type="dxa"/>
          </w:tcPr>
          <w:p w14:paraId="511DFA70" w14:textId="77777777" w:rsidR="002C0FD9" w:rsidRPr="00CA25CF" w:rsidRDefault="002C0FD9" w:rsidP="00CA25CF">
            <w:pPr>
              <w:rPr>
                <w:rFonts w:cs="Arial"/>
                <w:color w:val="FF0000"/>
                <w:sz w:val="21"/>
                <w:szCs w:val="21"/>
              </w:rPr>
            </w:pPr>
          </w:p>
        </w:tc>
        <w:tc>
          <w:tcPr>
            <w:tcW w:w="217" w:type="dxa"/>
          </w:tcPr>
          <w:p w14:paraId="061D71D5" w14:textId="77777777" w:rsidR="002C0FD9" w:rsidRPr="00CA25CF" w:rsidRDefault="002C0FD9" w:rsidP="00CA25CF">
            <w:pPr>
              <w:rPr>
                <w:rFonts w:cs="Arial"/>
                <w:color w:val="FF0000"/>
                <w:sz w:val="21"/>
                <w:szCs w:val="21"/>
              </w:rPr>
            </w:pPr>
          </w:p>
        </w:tc>
        <w:tc>
          <w:tcPr>
            <w:tcW w:w="217" w:type="dxa"/>
          </w:tcPr>
          <w:p w14:paraId="32A4B55F" w14:textId="77777777" w:rsidR="002C0FD9" w:rsidRPr="00CA25CF" w:rsidRDefault="002C0FD9" w:rsidP="00CA25CF">
            <w:pPr>
              <w:rPr>
                <w:rFonts w:cs="Arial"/>
                <w:color w:val="FF0000"/>
                <w:sz w:val="21"/>
                <w:szCs w:val="21"/>
              </w:rPr>
            </w:pPr>
          </w:p>
        </w:tc>
        <w:tc>
          <w:tcPr>
            <w:tcW w:w="217" w:type="dxa"/>
          </w:tcPr>
          <w:p w14:paraId="73CED1CE" w14:textId="77777777" w:rsidR="002C0FD9" w:rsidRPr="00CA25CF" w:rsidRDefault="002C0FD9" w:rsidP="00CA25CF">
            <w:pPr>
              <w:rPr>
                <w:rFonts w:cs="Arial"/>
                <w:color w:val="FF0000"/>
                <w:sz w:val="21"/>
                <w:szCs w:val="21"/>
              </w:rPr>
            </w:pPr>
          </w:p>
        </w:tc>
        <w:tc>
          <w:tcPr>
            <w:tcW w:w="217" w:type="dxa"/>
          </w:tcPr>
          <w:p w14:paraId="4989A5A4" w14:textId="77777777" w:rsidR="002C0FD9" w:rsidRPr="00CA25CF" w:rsidRDefault="002C0FD9" w:rsidP="00CA25CF">
            <w:pPr>
              <w:rPr>
                <w:rFonts w:cs="Arial"/>
                <w:color w:val="FF0000"/>
                <w:sz w:val="21"/>
                <w:szCs w:val="21"/>
              </w:rPr>
            </w:pPr>
          </w:p>
        </w:tc>
        <w:tc>
          <w:tcPr>
            <w:tcW w:w="217" w:type="dxa"/>
          </w:tcPr>
          <w:p w14:paraId="40A46589" w14:textId="77777777" w:rsidR="002C0FD9" w:rsidRPr="00CA25CF" w:rsidRDefault="002C0FD9" w:rsidP="00CA25CF">
            <w:pPr>
              <w:rPr>
                <w:rFonts w:cs="Arial"/>
                <w:color w:val="FF0000"/>
                <w:sz w:val="21"/>
                <w:szCs w:val="21"/>
              </w:rPr>
            </w:pPr>
          </w:p>
        </w:tc>
        <w:tc>
          <w:tcPr>
            <w:tcW w:w="217" w:type="dxa"/>
          </w:tcPr>
          <w:p w14:paraId="7DD81441" w14:textId="77777777" w:rsidR="002C0FD9" w:rsidRPr="00CA25CF" w:rsidRDefault="002C0FD9" w:rsidP="00CA25CF">
            <w:pPr>
              <w:rPr>
                <w:rFonts w:cs="Arial"/>
                <w:color w:val="FF0000"/>
                <w:sz w:val="21"/>
                <w:szCs w:val="21"/>
              </w:rPr>
            </w:pPr>
          </w:p>
        </w:tc>
        <w:tc>
          <w:tcPr>
            <w:tcW w:w="217" w:type="dxa"/>
          </w:tcPr>
          <w:p w14:paraId="658DF97F" w14:textId="77777777" w:rsidR="002C0FD9" w:rsidRPr="00CA25CF" w:rsidRDefault="002C0FD9" w:rsidP="00CA25CF">
            <w:pPr>
              <w:rPr>
                <w:rFonts w:cs="Arial"/>
                <w:color w:val="FF0000"/>
                <w:sz w:val="21"/>
                <w:szCs w:val="21"/>
              </w:rPr>
            </w:pPr>
          </w:p>
        </w:tc>
        <w:tc>
          <w:tcPr>
            <w:tcW w:w="217" w:type="dxa"/>
          </w:tcPr>
          <w:p w14:paraId="12A96EF5" w14:textId="77777777" w:rsidR="002C0FD9" w:rsidRPr="00CA25CF" w:rsidRDefault="002C0FD9" w:rsidP="00CA25CF">
            <w:pPr>
              <w:rPr>
                <w:rFonts w:cs="Arial"/>
                <w:color w:val="FF0000"/>
                <w:sz w:val="21"/>
                <w:szCs w:val="21"/>
              </w:rPr>
            </w:pPr>
          </w:p>
        </w:tc>
        <w:tc>
          <w:tcPr>
            <w:tcW w:w="217" w:type="dxa"/>
          </w:tcPr>
          <w:p w14:paraId="09125D1D" w14:textId="77777777" w:rsidR="002C0FD9" w:rsidRPr="00CA25CF" w:rsidRDefault="002C0FD9" w:rsidP="00CA25CF">
            <w:pPr>
              <w:rPr>
                <w:rFonts w:cs="Arial"/>
                <w:color w:val="FF0000"/>
                <w:sz w:val="21"/>
                <w:szCs w:val="21"/>
              </w:rPr>
            </w:pPr>
          </w:p>
        </w:tc>
        <w:tc>
          <w:tcPr>
            <w:tcW w:w="217" w:type="dxa"/>
          </w:tcPr>
          <w:p w14:paraId="208AC62D" w14:textId="77777777" w:rsidR="002C0FD9" w:rsidRPr="00CA25CF" w:rsidRDefault="002C0FD9" w:rsidP="00CA25CF">
            <w:pPr>
              <w:rPr>
                <w:rFonts w:cs="Arial"/>
                <w:color w:val="FF0000"/>
                <w:sz w:val="21"/>
                <w:szCs w:val="21"/>
              </w:rPr>
            </w:pPr>
          </w:p>
        </w:tc>
        <w:tc>
          <w:tcPr>
            <w:tcW w:w="217" w:type="dxa"/>
          </w:tcPr>
          <w:p w14:paraId="06E17F5F" w14:textId="77777777" w:rsidR="002C0FD9" w:rsidRPr="00CA25CF" w:rsidRDefault="002C0FD9" w:rsidP="00CA25CF">
            <w:pPr>
              <w:rPr>
                <w:rFonts w:cs="Arial"/>
                <w:color w:val="FF0000"/>
                <w:sz w:val="21"/>
                <w:szCs w:val="21"/>
              </w:rPr>
            </w:pPr>
          </w:p>
        </w:tc>
        <w:tc>
          <w:tcPr>
            <w:tcW w:w="217" w:type="dxa"/>
          </w:tcPr>
          <w:p w14:paraId="13E01CE2" w14:textId="77777777" w:rsidR="002C0FD9" w:rsidRPr="00CA25CF" w:rsidRDefault="002C0FD9" w:rsidP="00CA25CF">
            <w:pPr>
              <w:rPr>
                <w:rFonts w:cs="Arial"/>
                <w:color w:val="FF0000"/>
                <w:sz w:val="21"/>
                <w:szCs w:val="21"/>
              </w:rPr>
            </w:pPr>
          </w:p>
        </w:tc>
        <w:tc>
          <w:tcPr>
            <w:tcW w:w="217" w:type="dxa"/>
          </w:tcPr>
          <w:p w14:paraId="17C0B484" w14:textId="77777777" w:rsidR="002C0FD9" w:rsidRPr="00CA25CF" w:rsidRDefault="002C0FD9" w:rsidP="00CA25CF">
            <w:pPr>
              <w:rPr>
                <w:rFonts w:cs="Arial"/>
                <w:color w:val="FF0000"/>
                <w:sz w:val="21"/>
                <w:szCs w:val="21"/>
              </w:rPr>
            </w:pPr>
          </w:p>
        </w:tc>
        <w:tc>
          <w:tcPr>
            <w:tcW w:w="217" w:type="dxa"/>
          </w:tcPr>
          <w:p w14:paraId="56D9D816" w14:textId="77777777" w:rsidR="002C0FD9" w:rsidRPr="00CA25CF" w:rsidRDefault="002C0FD9" w:rsidP="00CA25CF">
            <w:pPr>
              <w:rPr>
                <w:rFonts w:cs="Arial"/>
                <w:color w:val="FF0000"/>
                <w:sz w:val="21"/>
                <w:szCs w:val="21"/>
              </w:rPr>
            </w:pPr>
          </w:p>
        </w:tc>
        <w:tc>
          <w:tcPr>
            <w:tcW w:w="217" w:type="dxa"/>
          </w:tcPr>
          <w:p w14:paraId="7E439D4E" w14:textId="77777777" w:rsidR="002C0FD9" w:rsidRPr="00CA25CF" w:rsidRDefault="002C0FD9" w:rsidP="00CA25CF">
            <w:pPr>
              <w:rPr>
                <w:rFonts w:cs="Arial"/>
                <w:color w:val="FF0000"/>
                <w:sz w:val="21"/>
                <w:szCs w:val="21"/>
              </w:rPr>
            </w:pPr>
          </w:p>
        </w:tc>
        <w:tc>
          <w:tcPr>
            <w:tcW w:w="217" w:type="dxa"/>
          </w:tcPr>
          <w:p w14:paraId="02F6A6F6" w14:textId="77777777" w:rsidR="002C0FD9" w:rsidRPr="00CA25CF" w:rsidRDefault="002C0FD9" w:rsidP="00CA25CF">
            <w:pPr>
              <w:rPr>
                <w:rFonts w:cs="Arial"/>
                <w:color w:val="FF0000"/>
                <w:sz w:val="21"/>
                <w:szCs w:val="21"/>
              </w:rPr>
            </w:pPr>
          </w:p>
        </w:tc>
        <w:tc>
          <w:tcPr>
            <w:tcW w:w="217" w:type="dxa"/>
          </w:tcPr>
          <w:p w14:paraId="4B6FD4F4" w14:textId="77777777" w:rsidR="002C0FD9" w:rsidRPr="00CA25CF" w:rsidRDefault="002C0FD9" w:rsidP="00CA25CF">
            <w:pPr>
              <w:rPr>
                <w:rFonts w:cs="Arial"/>
                <w:color w:val="FF0000"/>
                <w:sz w:val="21"/>
                <w:szCs w:val="21"/>
              </w:rPr>
            </w:pPr>
          </w:p>
        </w:tc>
        <w:tc>
          <w:tcPr>
            <w:tcW w:w="217" w:type="dxa"/>
          </w:tcPr>
          <w:p w14:paraId="1C496737" w14:textId="77777777" w:rsidR="002C0FD9" w:rsidRPr="00CA25CF" w:rsidRDefault="002C0FD9" w:rsidP="00CA25CF">
            <w:pPr>
              <w:rPr>
                <w:rFonts w:cs="Arial"/>
                <w:color w:val="FF0000"/>
                <w:sz w:val="21"/>
                <w:szCs w:val="21"/>
              </w:rPr>
            </w:pPr>
          </w:p>
        </w:tc>
        <w:tc>
          <w:tcPr>
            <w:tcW w:w="217" w:type="dxa"/>
          </w:tcPr>
          <w:p w14:paraId="470979E7" w14:textId="77777777" w:rsidR="002C0FD9" w:rsidRPr="00CA25CF" w:rsidRDefault="002C0FD9" w:rsidP="00CA25CF">
            <w:pPr>
              <w:rPr>
                <w:rFonts w:cs="Arial"/>
                <w:color w:val="FF0000"/>
                <w:sz w:val="21"/>
                <w:szCs w:val="21"/>
              </w:rPr>
            </w:pPr>
          </w:p>
        </w:tc>
        <w:tc>
          <w:tcPr>
            <w:tcW w:w="217" w:type="dxa"/>
          </w:tcPr>
          <w:p w14:paraId="5196735A" w14:textId="77777777" w:rsidR="002C0FD9" w:rsidRPr="00CA25CF" w:rsidRDefault="002C0FD9" w:rsidP="00CA25CF">
            <w:pPr>
              <w:rPr>
                <w:rFonts w:cs="Arial"/>
                <w:color w:val="FF0000"/>
                <w:sz w:val="21"/>
                <w:szCs w:val="21"/>
              </w:rPr>
            </w:pPr>
          </w:p>
        </w:tc>
        <w:tc>
          <w:tcPr>
            <w:tcW w:w="217" w:type="dxa"/>
          </w:tcPr>
          <w:p w14:paraId="13D414C5" w14:textId="77777777" w:rsidR="002C0FD9" w:rsidRPr="00CA25CF" w:rsidRDefault="002C0FD9" w:rsidP="00CA25CF">
            <w:pPr>
              <w:rPr>
                <w:rFonts w:cs="Arial"/>
                <w:color w:val="FF0000"/>
                <w:sz w:val="21"/>
                <w:szCs w:val="21"/>
              </w:rPr>
            </w:pPr>
          </w:p>
        </w:tc>
        <w:tc>
          <w:tcPr>
            <w:tcW w:w="217" w:type="dxa"/>
          </w:tcPr>
          <w:p w14:paraId="4A2D9192" w14:textId="77777777" w:rsidR="002C0FD9" w:rsidRPr="00CA25CF" w:rsidRDefault="002C0FD9" w:rsidP="00CA25CF">
            <w:pPr>
              <w:rPr>
                <w:rFonts w:cs="Arial"/>
                <w:color w:val="FF0000"/>
                <w:sz w:val="21"/>
                <w:szCs w:val="21"/>
              </w:rPr>
            </w:pPr>
          </w:p>
        </w:tc>
        <w:tc>
          <w:tcPr>
            <w:tcW w:w="217" w:type="dxa"/>
          </w:tcPr>
          <w:p w14:paraId="51367D3B" w14:textId="77777777" w:rsidR="002C0FD9" w:rsidRPr="00CA25CF" w:rsidRDefault="002C0FD9" w:rsidP="00CA25CF">
            <w:pPr>
              <w:rPr>
                <w:rFonts w:cs="Arial"/>
                <w:color w:val="FF0000"/>
                <w:sz w:val="21"/>
                <w:szCs w:val="21"/>
              </w:rPr>
            </w:pPr>
          </w:p>
        </w:tc>
        <w:tc>
          <w:tcPr>
            <w:tcW w:w="217" w:type="dxa"/>
          </w:tcPr>
          <w:p w14:paraId="326F2F8E" w14:textId="77777777" w:rsidR="002C0FD9" w:rsidRPr="00CA25CF" w:rsidRDefault="002C0FD9" w:rsidP="00CA25CF">
            <w:pPr>
              <w:rPr>
                <w:rFonts w:cs="Arial"/>
                <w:color w:val="FF0000"/>
                <w:sz w:val="21"/>
                <w:szCs w:val="21"/>
              </w:rPr>
            </w:pPr>
          </w:p>
        </w:tc>
      </w:tr>
      <w:tr w:rsidR="002C0FD9" w:rsidRPr="00A16219" w14:paraId="72D8D87A" w14:textId="373A68A1" w:rsidTr="002C0FD9">
        <w:trPr>
          <w:trHeight w:val="635"/>
        </w:trPr>
        <w:tc>
          <w:tcPr>
            <w:tcW w:w="515" w:type="dxa"/>
          </w:tcPr>
          <w:p w14:paraId="060478A2" w14:textId="77777777" w:rsidR="002C0FD9" w:rsidRPr="00CA25CF" w:rsidRDefault="002C0FD9" w:rsidP="00CA25CF">
            <w:pPr>
              <w:rPr>
                <w:rFonts w:cs="Arial"/>
                <w:color w:val="FF0000"/>
                <w:sz w:val="21"/>
                <w:szCs w:val="21"/>
              </w:rPr>
            </w:pPr>
          </w:p>
        </w:tc>
        <w:tc>
          <w:tcPr>
            <w:tcW w:w="217" w:type="dxa"/>
          </w:tcPr>
          <w:p w14:paraId="76FE26E6" w14:textId="77777777" w:rsidR="002C0FD9" w:rsidRPr="00CA25CF" w:rsidRDefault="002C0FD9" w:rsidP="00CA25CF">
            <w:pPr>
              <w:rPr>
                <w:rFonts w:cs="Arial"/>
                <w:color w:val="FF0000"/>
                <w:sz w:val="21"/>
                <w:szCs w:val="21"/>
              </w:rPr>
            </w:pPr>
          </w:p>
        </w:tc>
        <w:tc>
          <w:tcPr>
            <w:tcW w:w="217" w:type="dxa"/>
          </w:tcPr>
          <w:p w14:paraId="7494915A" w14:textId="73BB6427" w:rsidR="002C0FD9" w:rsidRPr="00CA25CF" w:rsidRDefault="002C0FD9" w:rsidP="00CA25CF">
            <w:pPr>
              <w:rPr>
                <w:rFonts w:cs="Arial"/>
                <w:color w:val="FF0000"/>
                <w:sz w:val="21"/>
                <w:szCs w:val="21"/>
              </w:rPr>
            </w:pPr>
          </w:p>
        </w:tc>
        <w:tc>
          <w:tcPr>
            <w:tcW w:w="217" w:type="dxa"/>
          </w:tcPr>
          <w:p w14:paraId="029913DF" w14:textId="77777777" w:rsidR="002C0FD9" w:rsidRPr="00CA25CF" w:rsidRDefault="002C0FD9" w:rsidP="00CA25CF">
            <w:pPr>
              <w:rPr>
                <w:rFonts w:cs="Arial"/>
                <w:color w:val="FF0000"/>
                <w:sz w:val="21"/>
                <w:szCs w:val="21"/>
              </w:rPr>
            </w:pPr>
          </w:p>
        </w:tc>
        <w:tc>
          <w:tcPr>
            <w:tcW w:w="217" w:type="dxa"/>
          </w:tcPr>
          <w:p w14:paraId="459C1453" w14:textId="77777777" w:rsidR="002C0FD9" w:rsidRPr="00CA25CF" w:rsidRDefault="002C0FD9" w:rsidP="00CA25CF">
            <w:pPr>
              <w:rPr>
                <w:rFonts w:cs="Arial"/>
                <w:color w:val="FF0000"/>
                <w:sz w:val="21"/>
                <w:szCs w:val="21"/>
              </w:rPr>
            </w:pPr>
          </w:p>
        </w:tc>
        <w:tc>
          <w:tcPr>
            <w:tcW w:w="217" w:type="dxa"/>
          </w:tcPr>
          <w:p w14:paraId="0FC4847B" w14:textId="77777777" w:rsidR="002C0FD9" w:rsidRPr="00CA25CF" w:rsidRDefault="002C0FD9" w:rsidP="00CA25CF">
            <w:pPr>
              <w:rPr>
                <w:rFonts w:cs="Arial"/>
                <w:color w:val="FF0000"/>
                <w:sz w:val="21"/>
                <w:szCs w:val="21"/>
              </w:rPr>
            </w:pPr>
          </w:p>
        </w:tc>
        <w:tc>
          <w:tcPr>
            <w:tcW w:w="217" w:type="dxa"/>
          </w:tcPr>
          <w:p w14:paraId="011B2260" w14:textId="77777777" w:rsidR="002C0FD9" w:rsidRPr="00CA25CF" w:rsidRDefault="002C0FD9" w:rsidP="00CA25CF">
            <w:pPr>
              <w:rPr>
                <w:rFonts w:cs="Arial"/>
                <w:color w:val="FF0000"/>
                <w:sz w:val="21"/>
                <w:szCs w:val="21"/>
              </w:rPr>
            </w:pPr>
          </w:p>
        </w:tc>
        <w:tc>
          <w:tcPr>
            <w:tcW w:w="217" w:type="dxa"/>
          </w:tcPr>
          <w:p w14:paraId="09027F7D" w14:textId="77777777" w:rsidR="002C0FD9" w:rsidRPr="00CA25CF" w:rsidRDefault="002C0FD9" w:rsidP="00CA25CF">
            <w:pPr>
              <w:rPr>
                <w:rFonts w:cs="Arial"/>
                <w:color w:val="FF0000"/>
                <w:sz w:val="21"/>
                <w:szCs w:val="21"/>
              </w:rPr>
            </w:pPr>
          </w:p>
        </w:tc>
        <w:tc>
          <w:tcPr>
            <w:tcW w:w="217" w:type="dxa"/>
          </w:tcPr>
          <w:p w14:paraId="3FE1A43F" w14:textId="77777777" w:rsidR="002C0FD9" w:rsidRPr="00CA25CF" w:rsidRDefault="002C0FD9" w:rsidP="00CA25CF">
            <w:pPr>
              <w:rPr>
                <w:rFonts w:cs="Arial"/>
                <w:color w:val="FF0000"/>
                <w:sz w:val="21"/>
                <w:szCs w:val="21"/>
              </w:rPr>
            </w:pPr>
          </w:p>
        </w:tc>
        <w:tc>
          <w:tcPr>
            <w:tcW w:w="217" w:type="dxa"/>
          </w:tcPr>
          <w:p w14:paraId="4E66CEF4" w14:textId="77777777" w:rsidR="002C0FD9" w:rsidRPr="00CA25CF" w:rsidRDefault="002C0FD9" w:rsidP="00CA25CF">
            <w:pPr>
              <w:rPr>
                <w:rFonts w:cs="Arial"/>
                <w:color w:val="FF0000"/>
                <w:sz w:val="21"/>
                <w:szCs w:val="21"/>
              </w:rPr>
            </w:pPr>
          </w:p>
        </w:tc>
        <w:tc>
          <w:tcPr>
            <w:tcW w:w="217" w:type="dxa"/>
          </w:tcPr>
          <w:p w14:paraId="591E4280" w14:textId="77777777" w:rsidR="002C0FD9" w:rsidRPr="00CA25CF" w:rsidRDefault="002C0FD9" w:rsidP="00CA25CF">
            <w:pPr>
              <w:rPr>
                <w:rFonts w:cs="Arial"/>
                <w:color w:val="FF0000"/>
                <w:sz w:val="21"/>
                <w:szCs w:val="21"/>
              </w:rPr>
            </w:pPr>
          </w:p>
        </w:tc>
        <w:tc>
          <w:tcPr>
            <w:tcW w:w="217" w:type="dxa"/>
          </w:tcPr>
          <w:p w14:paraId="78EA1CDC" w14:textId="77777777" w:rsidR="002C0FD9" w:rsidRPr="00CA25CF" w:rsidRDefault="002C0FD9" w:rsidP="00CA25CF">
            <w:pPr>
              <w:rPr>
                <w:rFonts w:cs="Arial"/>
                <w:color w:val="FF0000"/>
                <w:sz w:val="21"/>
                <w:szCs w:val="21"/>
              </w:rPr>
            </w:pPr>
          </w:p>
        </w:tc>
        <w:tc>
          <w:tcPr>
            <w:tcW w:w="217" w:type="dxa"/>
          </w:tcPr>
          <w:p w14:paraId="4862277F" w14:textId="77777777" w:rsidR="002C0FD9" w:rsidRPr="00CA25CF" w:rsidRDefault="002C0FD9" w:rsidP="00CA25CF">
            <w:pPr>
              <w:rPr>
                <w:rFonts w:cs="Arial"/>
                <w:color w:val="FF0000"/>
                <w:sz w:val="21"/>
                <w:szCs w:val="21"/>
              </w:rPr>
            </w:pPr>
          </w:p>
        </w:tc>
        <w:tc>
          <w:tcPr>
            <w:tcW w:w="217" w:type="dxa"/>
          </w:tcPr>
          <w:p w14:paraId="78920B79" w14:textId="77777777" w:rsidR="002C0FD9" w:rsidRPr="00CA25CF" w:rsidRDefault="002C0FD9" w:rsidP="00CA25CF">
            <w:pPr>
              <w:rPr>
                <w:rFonts w:cs="Arial"/>
                <w:color w:val="FF0000"/>
                <w:sz w:val="21"/>
                <w:szCs w:val="21"/>
              </w:rPr>
            </w:pPr>
          </w:p>
        </w:tc>
        <w:tc>
          <w:tcPr>
            <w:tcW w:w="217" w:type="dxa"/>
          </w:tcPr>
          <w:p w14:paraId="15CF2715" w14:textId="77777777" w:rsidR="002C0FD9" w:rsidRPr="00CA25CF" w:rsidRDefault="002C0FD9" w:rsidP="00CA25CF">
            <w:pPr>
              <w:rPr>
                <w:rFonts w:cs="Arial"/>
                <w:color w:val="FF0000"/>
                <w:sz w:val="21"/>
                <w:szCs w:val="21"/>
              </w:rPr>
            </w:pPr>
          </w:p>
        </w:tc>
        <w:tc>
          <w:tcPr>
            <w:tcW w:w="217" w:type="dxa"/>
          </w:tcPr>
          <w:p w14:paraId="471B0959" w14:textId="77777777" w:rsidR="002C0FD9" w:rsidRPr="00CA25CF" w:rsidRDefault="002C0FD9" w:rsidP="00CA25CF">
            <w:pPr>
              <w:rPr>
                <w:rFonts w:cs="Arial"/>
                <w:color w:val="FF0000"/>
                <w:sz w:val="21"/>
                <w:szCs w:val="21"/>
              </w:rPr>
            </w:pPr>
          </w:p>
        </w:tc>
        <w:tc>
          <w:tcPr>
            <w:tcW w:w="217" w:type="dxa"/>
          </w:tcPr>
          <w:p w14:paraId="7342886D" w14:textId="77777777" w:rsidR="002C0FD9" w:rsidRPr="00CA25CF" w:rsidRDefault="002C0FD9" w:rsidP="00CA25CF">
            <w:pPr>
              <w:rPr>
                <w:rFonts w:cs="Arial"/>
                <w:color w:val="FF0000"/>
                <w:sz w:val="21"/>
                <w:szCs w:val="21"/>
              </w:rPr>
            </w:pPr>
          </w:p>
        </w:tc>
        <w:tc>
          <w:tcPr>
            <w:tcW w:w="217" w:type="dxa"/>
          </w:tcPr>
          <w:p w14:paraId="5A78A96B" w14:textId="77777777" w:rsidR="002C0FD9" w:rsidRPr="00CA25CF" w:rsidRDefault="002C0FD9" w:rsidP="00CA25CF">
            <w:pPr>
              <w:rPr>
                <w:rFonts w:cs="Arial"/>
                <w:color w:val="FF0000"/>
                <w:sz w:val="21"/>
                <w:szCs w:val="21"/>
              </w:rPr>
            </w:pPr>
          </w:p>
        </w:tc>
        <w:tc>
          <w:tcPr>
            <w:tcW w:w="217" w:type="dxa"/>
          </w:tcPr>
          <w:p w14:paraId="62085665" w14:textId="77777777" w:rsidR="002C0FD9" w:rsidRPr="00CA25CF" w:rsidRDefault="002C0FD9" w:rsidP="00CA25CF">
            <w:pPr>
              <w:rPr>
                <w:rFonts w:cs="Arial"/>
                <w:color w:val="FF0000"/>
                <w:sz w:val="21"/>
                <w:szCs w:val="21"/>
              </w:rPr>
            </w:pPr>
          </w:p>
        </w:tc>
        <w:tc>
          <w:tcPr>
            <w:tcW w:w="217" w:type="dxa"/>
          </w:tcPr>
          <w:p w14:paraId="74E74970" w14:textId="77777777" w:rsidR="002C0FD9" w:rsidRPr="00CA25CF" w:rsidRDefault="002C0FD9" w:rsidP="00CA25CF">
            <w:pPr>
              <w:rPr>
                <w:rFonts w:cs="Arial"/>
                <w:color w:val="FF0000"/>
                <w:sz w:val="21"/>
                <w:szCs w:val="21"/>
              </w:rPr>
            </w:pPr>
          </w:p>
        </w:tc>
        <w:tc>
          <w:tcPr>
            <w:tcW w:w="217" w:type="dxa"/>
          </w:tcPr>
          <w:p w14:paraId="67F94B57" w14:textId="77777777" w:rsidR="002C0FD9" w:rsidRPr="00CA25CF" w:rsidRDefault="002C0FD9" w:rsidP="00CA25CF">
            <w:pPr>
              <w:rPr>
                <w:rFonts w:cs="Arial"/>
                <w:color w:val="FF0000"/>
                <w:sz w:val="21"/>
                <w:szCs w:val="21"/>
              </w:rPr>
            </w:pPr>
          </w:p>
        </w:tc>
        <w:tc>
          <w:tcPr>
            <w:tcW w:w="217" w:type="dxa"/>
          </w:tcPr>
          <w:p w14:paraId="61CC39F8" w14:textId="77777777" w:rsidR="002C0FD9" w:rsidRPr="00CA25CF" w:rsidRDefault="002C0FD9" w:rsidP="00CA25CF">
            <w:pPr>
              <w:rPr>
                <w:rFonts w:cs="Arial"/>
                <w:color w:val="FF0000"/>
                <w:sz w:val="21"/>
                <w:szCs w:val="21"/>
              </w:rPr>
            </w:pPr>
          </w:p>
        </w:tc>
        <w:tc>
          <w:tcPr>
            <w:tcW w:w="217" w:type="dxa"/>
          </w:tcPr>
          <w:p w14:paraId="56CCB883" w14:textId="77777777" w:rsidR="002C0FD9" w:rsidRPr="00CA25CF" w:rsidRDefault="002C0FD9" w:rsidP="00CA25CF">
            <w:pPr>
              <w:rPr>
                <w:rFonts w:cs="Arial"/>
                <w:color w:val="FF0000"/>
                <w:sz w:val="21"/>
                <w:szCs w:val="21"/>
              </w:rPr>
            </w:pPr>
          </w:p>
        </w:tc>
        <w:tc>
          <w:tcPr>
            <w:tcW w:w="217" w:type="dxa"/>
          </w:tcPr>
          <w:p w14:paraId="06CF5322" w14:textId="77777777" w:rsidR="002C0FD9" w:rsidRPr="00CA25CF" w:rsidRDefault="002C0FD9" w:rsidP="00CA25CF">
            <w:pPr>
              <w:rPr>
                <w:rFonts w:cs="Arial"/>
                <w:color w:val="FF0000"/>
                <w:sz w:val="21"/>
                <w:szCs w:val="21"/>
              </w:rPr>
            </w:pPr>
          </w:p>
        </w:tc>
        <w:tc>
          <w:tcPr>
            <w:tcW w:w="217" w:type="dxa"/>
          </w:tcPr>
          <w:p w14:paraId="5AB4F526" w14:textId="77777777" w:rsidR="002C0FD9" w:rsidRPr="00CA25CF" w:rsidRDefault="002C0FD9" w:rsidP="00CA25CF">
            <w:pPr>
              <w:rPr>
                <w:rFonts w:cs="Arial"/>
                <w:color w:val="FF0000"/>
                <w:sz w:val="21"/>
                <w:szCs w:val="21"/>
              </w:rPr>
            </w:pPr>
          </w:p>
        </w:tc>
        <w:tc>
          <w:tcPr>
            <w:tcW w:w="217" w:type="dxa"/>
          </w:tcPr>
          <w:p w14:paraId="6B2D9CAD" w14:textId="77777777" w:rsidR="002C0FD9" w:rsidRPr="00CA25CF" w:rsidRDefault="002C0FD9" w:rsidP="00CA25CF">
            <w:pPr>
              <w:rPr>
                <w:rFonts w:cs="Arial"/>
                <w:color w:val="FF0000"/>
                <w:sz w:val="21"/>
                <w:szCs w:val="21"/>
              </w:rPr>
            </w:pPr>
          </w:p>
        </w:tc>
        <w:tc>
          <w:tcPr>
            <w:tcW w:w="217" w:type="dxa"/>
          </w:tcPr>
          <w:p w14:paraId="4FE08BF0" w14:textId="77777777" w:rsidR="002C0FD9" w:rsidRPr="00CA25CF" w:rsidRDefault="002C0FD9" w:rsidP="00CA25CF">
            <w:pPr>
              <w:rPr>
                <w:rFonts w:cs="Arial"/>
                <w:color w:val="FF0000"/>
                <w:sz w:val="21"/>
                <w:szCs w:val="21"/>
              </w:rPr>
            </w:pPr>
          </w:p>
        </w:tc>
        <w:tc>
          <w:tcPr>
            <w:tcW w:w="217" w:type="dxa"/>
          </w:tcPr>
          <w:p w14:paraId="74655006" w14:textId="77777777" w:rsidR="002C0FD9" w:rsidRPr="00CA25CF" w:rsidRDefault="002C0FD9" w:rsidP="00CA25CF">
            <w:pPr>
              <w:rPr>
                <w:rFonts w:cs="Arial"/>
                <w:color w:val="FF0000"/>
                <w:sz w:val="21"/>
                <w:szCs w:val="21"/>
              </w:rPr>
            </w:pPr>
          </w:p>
        </w:tc>
        <w:tc>
          <w:tcPr>
            <w:tcW w:w="217" w:type="dxa"/>
          </w:tcPr>
          <w:p w14:paraId="6DBBEE36" w14:textId="77777777" w:rsidR="002C0FD9" w:rsidRPr="00CA25CF" w:rsidRDefault="002C0FD9" w:rsidP="00CA25CF">
            <w:pPr>
              <w:rPr>
                <w:rFonts w:cs="Arial"/>
                <w:color w:val="FF0000"/>
                <w:sz w:val="21"/>
                <w:szCs w:val="21"/>
              </w:rPr>
            </w:pPr>
          </w:p>
        </w:tc>
        <w:tc>
          <w:tcPr>
            <w:tcW w:w="217" w:type="dxa"/>
          </w:tcPr>
          <w:p w14:paraId="5DAE8D5E" w14:textId="77777777" w:rsidR="002C0FD9" w:rsidRPr="00CA25CF" w:rsidRDefault="002C0FD9" w:rsidP="00CA25CF">
            <w:pPr>
              <w:rPr>
                <w:rFonts w:cs="Arial"/>
                <w:color w:val="FF0000"/>
                <w:sz w:val="21"/>
                <w:szCs w:val="21"/>
              </w:rPr>
            </w:pPr>
          </w:p>
        </w:tc>
        <w:tc>
          <w:tcPr>
            <w:tcW w:w="217" w:type="dxa"/>
          </w:tcPr>
          <w:p w14:paraId="0C7243D1" w14:textId="77777777" w:rsidR="002C0FD9" w:rsidRPr="00CA25CF" w:rsidRDefault="002C0FD9" w:rsidP="00CA25CF">
            <w:pPr>
              <w:rPr>
                <w:rFonts w:cs="Arial"/>
                <w:color w:val="FF0000"/>
                <w:sz w:val="21"/>
                <w:szCs w:val="21"/>
              </w:rPr>
            </w:pPr>
          </w:p>
        </w:tc>
        <w:tc>
          <w:tcPr>
            <w:tcW w:w="217" w:type="dxa"/>
          </w:tcPr>
          <w:p w14:paraId="16A05549" w14:textId="77777777" w:rsidR="002C0FD9" w:rsidRPr="00CA25CF" w:rsidRDefault="002C0FD9" w:rsidP="00CA25CF">
            <w:pPr>
              <w:rPr>
                <w:rFonts w:cs="Arial"/>
                <w:color w:val="FF0000"/>
                <w:sz w:val="21"/>
                <w:szCs w:val="21"/>
              </w:rPr>
            </w:pPr>
          </w:p>
        </w:tc>
        <w:tc>
          <w:tcPr>
            <w:tcW w:w="217" w:type="dxa"/>
          </w:tcPr>
          <w:p w14:paraId="1FF49961" w14:textId="77777777" w:rsidR="002C0FD9" w:rsidRPr="00CA25CF" w:rsidRDefault="002C0FD9" w:rsidP="00CA25CF">
            <w:pPr>
              <w:rPr>
                <w:rFonts w:cs="Arial"/>
                <w:color w:val="FF0000"/>
                <w:sz w:val="21"/>
                <w:szCs w:val="21"/>
              </w:rPr>
            </w:pPr>
          </w:p>
        </w:tc>
        <w:tc>
          <w:tcPr>
            <w:tcW w:w="217" w:type="dxa"/>
          </w:tcPr>
          <w:p w14:paraId="05ACD923" w14:textId="77777777" w:rsidR="002C0FD9" w:rsidRPr="00CA25CF" w:rsidRDefault="002C0FD9" w:rsidP="00CA25CF">
            <w:pPr>
              <w:rPr>
                <w:rFonts w:cs="Arial"/>
                <w:color w:val="FF0000"/>
                <w:sz w:val="21"/>
                <w:szCs w:val="21"/>
              </w:rPr>
            </w:pPr>
          </w:p>
        </w:tc>
        <w:tc>
          <w:tcPr>
            <w:tcW w:w="217" w:type="dxa"/>
          </w:tcPr>
          <w:p w14:paraId="5312BE59" w14:textId="77777777" w:rsidR="002C0FD9" w:rsidRPr="00CA25CF" w:rsidRDefault="002C0FD9" w:rsidP="00CA25CF">
            <w:pPr>
              <w:rPr>
                <w:rFonts w:cs="Arial"/>
                <w:color w:val="FF0000"/>
                <w:sz w:val="21"/>
                <w:szCs w:val="21"/>
              </w:rPr>
            </w:pPr>
          </w:p>
        </w:tc>
        <w:tc>
          <w:tcPr>
            <w:tcW w:w="217" w:type="dxa"/>
          </w:tcPr>
          <w:p w14:paraId="111D43BC" w14:textId="77777777" w:rsidR="002C0FD9" w:rsidRPr="00CA25CF" w:rsidRDefault="002C0FD9" w:rsidP="00CA25CF">
            <w:pPr>
              <w:rPr>
                <w:rFonts w:cs="Arial"/>
                <w:color w:val="FF0000"/>
                <w:sz w:val="21"/>
                <w:szCs w:val="21"/>
              </w:rPr>
            </w:pPr>
          </w:p>
        </w:tc>
        <w:tc>
          <w:tcPr>
            <w:tcW w:w="217" w:type="dxa"/>
          </w:tcPr>
          <w:p w14:paraId="2ABC5040" w14:textId="77777777" w:rsidR="002C0FD9" w:rsidRPr="00CA25CF" w:rsidRDefault="002C0FD9" w:rsidP="00CA25CF">
            <w:pPr>
              <w:rPr>
                <w:rFonts w:cs="Arial"/>
                <w:color w:val="FF0000"/>
                <w:sz w:val="21"/>
                <w:szCs w:val="21"/>
              </w:rPr>
            </w:pPr>
          </w:p>
        </w:tc>
        <w:tc>
          <w:tcPr>
            <w:tcW w:w="217" w:type="dxa"/>
          </w:tcPr>
          <w:p w14:paraId="155F6FA2" w14:textId="77777777" w:rsidR="002C0FD9" w:rsidRPr="00CA25CF" w:rsidRDefault="002C0FD9" w:rsidP="00CA25CF">
            <w:pPr>
              <w:rPr>
                <w:rFonts w:cs="Arial"/>
                <w:color w:val="FF0000"/>
                <w:sz w:val="21"/>
                <w:szCs w:val="21"/>
              </w:rPr>
            </w:pPr>
          </w:p>
        </w:tc>
        <w:tc>
          <w:tcPr>
            <w:tcW w:w="217" w:type="dxa"/>
          </w:tcPr>
          <w:p w14:paraId="094A5F2A" w14:textId="77777777" w:rsidR="002C0FD9" w:rsidRPr="00CA25CF" w:rsidRDefault="002C0FD9" w:rsidP="00CA25CF">
            <w:pPr>
              <w:rPr>
                <w:rFonts w:cs="Arial"/>
                <w:color w:val="FF0000"/>
                <w:sz w:val="21"/>
                <w:szCs w:val="21"/>
              </w:rPr>
            </w:pPr>
          </w:p>
        </w:tc>
        <w:tc>
          <w:tcPr>
            <w:tcW w:w="217" w:type="dxa"/>
          </w:tcPr>
          <w:p w14:paraId="05318269" w14:textId="77777777" w:rsidR="002C0FD9" w:rsidRPr="00CA25CF" w:rsidRDefault="002C0FD9" w:rsidP="00CA25CF">
            <w:pPr>
              <w:rPr>
                <w:rFonts w:cs="Arial"/>
                <w:color w:val="FF0000"/>
                <w:sz w:val="21"/>
                <w:szCs w:val="21"/>
              </w:rPr>
            </w:pPr>
          </w:p>
        </w:tc>
        <w:tc>
          <w:tcPr>
            <w:tcW w:w="217" w:type="dxa"/>
          </w:tcPr>
          <w:p w14:paraId="5764B9CE" w14:textId="77777777" w:rsidR="002C0FD9" w:rsidRPr="00CA25CF" w:rsidRDefault="002C0FD9" w:rsidP="00CA25CF">
            <w:pPr>
              <w:rPr>
                <w:rFonts w:cs="Arial"/>
                <w:color w:val="FF0000"/>
                <w:sz w:val="21"/>
                <w:szCs w:val="21"/>
              </w:rPr>
            </w:pPr>
          </w:p>
        </w:tc>
        <w:tc>
          <w:tcPr>
            <w:tcW w:w="217" w:type="dxa"/>
          </w:tcPr>
          <w:p w14:paraId="4E38EE80" w14:textId="77777777" w:rsidR="002C0FD9" w:rsidRPr="00CA25CF" w:rsidRDefault="002C0FD9" w:rsidP="00CA25CF">
            <w:pPr>
              <w:rPr>
                <w:rFonts w:cs="Arial"/>
                <w:color w:val="FF0000"/>
                <w:sz w:val="21"/>
                <w:szCs w:val="21"/>
              </w:rPr>
            </w:pPr>
          </w:p>
        </w:tc>
        <w:tc>
          <w:tcPr>
            <w:tcW w:w="217" w:type="dxa"/>
          </w:tcPr>
          <w:p w14:paraId="79227618" w14:textId="77777777" w:rsidR="002C0FD9" w:rsidRPr="00CA25CF" w:rsidRDefault="002C0FD9" w:rsidP="00CA25CF">
            <w:pPr>
              <w:rPr>
                <w:rFonts w:cs="Arial"/>
                <w:color w:val="FF0000"/>
                <w:sz w:val="21"/>
                <w:szCs w:val="21"/>
              </w:rPr>
            </w:pPr>
          </w:p>
        </w:tc>
      </w:tr>
      <w:tr w:rsidR="002C0FD9" w:rsidRPr="00A16219" w14:paraId="380A49CF" w14:textId="717834FE" w:rsidTr="002C0FD9">
        <w:trPr>
          <w:trHeight w:val="635"/>
        </w:trPr>
        <w:tc>
          <w:tcPr>
            <w:tcW w:w="515" w:type="dxa"/>
          </w:tcPr>
          <w:p w14:paraId="03F5A40E" w14:textId="77777777" w:rsidR="002C0FD9" w:rsidRPr="00CA25CF" w:rsidRDefault="002C0FD9" w:rsidP="00CA25CF">
            <w:pPr>
              <w:rPr>
                <w:rFonts w:cs="Arial"/>
                <w:color w:val="FF0000"/>
                <w:sz w:val="21"/>
                <w:szCs w:val="21"/>
              </w:rPr>
            </w:pPr>
          </w:p>
        </w:tc>
        <w:tc>
          <w:tcPr>
            <w:tcW w:w="217" w:type="dxa"/>
          </w:tcPr>
          <w:p w14:paraId="3779C136" w14:textId="77777777" w:rsidR="002C0FD9" w:rsidRPr="00CA25CF" w:rsidRDefault="002C0FD9" w:rsidP="00CA25CF">
            <w:pPr>
              <w:rPr>
                <w:rFonts w:cs="Arial"/>
                <w:color w:val="FF0000"/>
                <w:sz w:val="21"/>
                <w:szCs w:val="21"/>
              </w:rPr>
            </w:pPr>
          </w:p>
        </w:tc>
        <w:tc>
          <w:tcPr>
            <w:tcW w:w="217" w:type="dxa"/>
          </w:tcPr>
          <w:p w14:paraId="01A35793" w14:textId="515B5286" w:rsidR="002C0FD9" w:rsidRPr="00CA25CF" w:rsidRDefault="002C0FD9" w:rsidP="00CA25CF">
            <w:pPr>
              <w:rPr>
                <w:rFonts w:cs="Arial"/>
                <w:color w:val="FF0000"/>
                <w:sz w:val="21"/>
                <w:szCs w:val="21"/>
              </w:rPr>
            </w:pPr>
          </w:p>
        </w:tc>
        <w:tc>
          <w:tcPr>
            <w:tcW w:w="217" w:type="dxa"/>
          </w:tcPr>
          <w:p w14:paraId="72635580" w14:textId="77777777" w:rsidR="002C0FD9" w:rsidRPr="00CA25CF" w:rsidRDefault="002C0FD9" w:rsidP="00CA25CF">
            <w:pPr>
              <w:rPr>
                <w:rFonts w:cs="Arial"/>
                <w:color w:val="FF0000"/>
                <w:sz w:val="21"/>
                <w:szCs w:val="21"/>
              </w:rPr>
            </w:pPr>
          </w:p>
        </w:tc>
        <w:tc>
          <w:tcPr>
            <w:tcW w:w="217" w:type="dxa"/>
          </w:tcPr>
          <w:p w14:paraId="67D40B0E" w14:textId="77777777" w:rsidR="002C0FD9" w:rsidRPr="00CA25CF" w:rsidRDefault="002C0FD9" w:rsidP="00CA25CF">
            <w:pPr>
              <w:rPr>
                <w:rFonts w:cs="Arial"/>
                <w:color w:val="FF0000"/>
                <w:sz w:val="21"/>
                <w:szCs w:val="21"/>
              </w:rPr>
            </w:pPr>
          </w:p>
        </w:tc>
        <w:tc>
          <w:tcPr>
            <w:tcW w:w="217" w:type="dxa"/>
          </w:tcPr>
          <w:p w14:paraId="4CB9118B" w14:textId="77777777" w:rsidR="002C0FD9" w:rsidRPr="00CA25CF" w:rsidRDefault="002C0FD9" w:rsidP="00CA25CF">
            <w:pPr>
              <w:rPr>
                <w:rFonts w:cs="Arial"/>
                <w:color w:val="FF0000"/>
                <w:sz w:val="21"/>
                <w:szCs w:val="21"/>
              </w:rPr>
            </w:pPr>
          </w:p>
        </w:tc>
        <w:tc>
          <w:tcPr>
            <w:tcW w:w="217" w:type="dxa"/>
          </w:tcPr>
          <w:p w14:paraId="72E2EC31" w14:textId="77777777" w:rsidR="002C0FD9" w:rsidRPr="00CA25CF" w:rsidRDefault="002C0FD9" w:rsidP="00CA25CF">
            <w:pPr>
              <w:rPr>
                <w:rFonts w:cs="Arial"/>
                <w:color w:val="FF0000"/>
                <w:sz w:val="21"/>
                <w:szCs w:val="21"/>
              </w:rPr>
            </w:pPr>
          </w:p>
        </w:tc>
        <w:tc>
          <w:tcPr>
            <w:tcW w:w="217" w:type="dxa"/>
          </w:tcPr>
          <w:p w14:paraId="068C06D2" w14:textId="77777777" w:rsidR="002C0FD9" w:rsidRPr="00CA25CF" w:rsidRDefault="002C0FD9" w:rsidP="00CA25CF">
            <w:pPr>
              <w:rPr>
                <w:rFonts w:cs="Arial"/>
                <w:color w:val="FF0000"/>
                <w:sz w:val="21"/>
                <w:szCs w:val="21"/>
              </w:rPr>
            </w:pPr>
          </w:p>
        </w:tc>
        <w:tc>
          <w:tcPr>
            <w:tcW w:w="217" w:type="dxa"/>
          </w:tcPr>
          <w:p w14:paraId="44EE52DF" w14:textId="77777777" w:rsidR="002C0FD9" w:rsidRPr="00CA25CF" w:rsidRDefault="002C0FD9" w:rsidP="00CA25CF">
            <w:pPr>
              <w:rPr>
                <w:rFonts w:cs="Arial"/>
                <w:color w:val="FF0000"/>
                <w:sz w:val="21"/>
                <w:szCs w:val="21"/>
              </w:rPr>
            </w:pPr>
          </w:p>
        </w:tc>
        <w:tc>
          <w:tcPr>
            <w:tcW w:w="217" w:type="dxa"/>
          </w:tcPr>
          <w:p w14:paraId="05EE11C7" w14:textId="77777777" w:rsidR="002C0FD9" w:rsidRPr="00CA25CF" w:rsidRDefault="002C0FD9" w:rsidP="00CA25CF">
            <w:pPr>
              <w:rPr>
                <w:rFonts w:cs="Arial"/>
                <w:color w:val="FF0000"/>
                <w:sz w:val="21"/>
                <w:szCs w:val="21"/>
              </w:rPr>
            </w:pPr>
          </w:p>
        </w:tc>
        <w:tc>
          <w:tcPr>
            <w:tcW w:w="217" w:type="dxa"/>
          </w:tcPr>
          <w:p w14:paraId="192CADD3" w14:textId="77777777" w:rsidR="002C0FD9" w:rsidRPr="00CA25CF" w:rsidRDefault="002C0FD9" w:rsidP="00CA25CF">
            <w:pPr>
              <w:rPr>
                <w:rFonts w:cs="Arial"/>
                <w:color w:val="FF0000"/>
                <w:sz w:val="21"/>
                <w:szCs w:val="21"/>
              </w:rPr>
            </w:pPr>
          </w:p>
        </w:tc>
        <w:tc>
          <w:tcPr>
            <w:tcW w:w="217" w:type="dxa"/>
          </w:tcPr>
          <w:p w14:paraId="621549C6" w14:textId="77777777" w:rsidR="002C0FD9" w:rsidRPr="00CA25CF" w:rsidRDefault="002C0FD9" w:rsidP="00CA25CF">
            <w:pPr>
              <w:rPr>
                <w:rFonts w:cs="Arial"/>
                <w:color w:val="FF0000"/>
                <w:sz w:val="21"/>
                <w:szCs w:val="21"/>
              </w:rPr>
            </w:pPr>
          </w:p>
        </w:tc>
        <w:tc>
          <w:tcPr>
            <w:tcW w:w="217" w:type="dxa"/>
          </w:tcPr>
          <w:p w14:paraId="65BC0DC4" w14:textId="77777777" w:rsidR="002C0FD9" w:rsidRPr="00CA25CF" w:rsidRDefault="002C0FD9" w:rsidP="00CA25CF">
            <w:pPr>
              <w:rPr>
                <w:rFonts w:cs="Arial"/>
                <w:color w:val="FF0000"/>
                <w:sz w:val="21"/>
                <w:szCs w:val="21"/>
              </w:rPr>
            </w:pPr>
          </w:p>
        </w:tc>
        <w:tc>
          <w:tcPr>
            <w:tcW w:w="217" w:type="dxa"/>
          </w:tcPr>
          <w:p w14:paraId="7A68F410" w14:textId="77777777" w:rsidR="002C0FD9" w:rsidRPr="00CA25CF" w:rsidRDefault="002C0FD9" w:rsidP="00CA25CF">
            <w:pPr>
              <w:rPr>
                <w:rFonts w:cs="Arial"/>
                <w:color w:val="FF0000"/>
                <w:sz w:val="21"/>
                <w:szCs w:val="21"/>
              </w:rPr>
            </w:pPr>
          </w:p>
        </w:tc>
        <w:tc>
          <w:tcPr>
            <w:tcW w:w="217" w:type="dxa"/>
          </w:tcPr>
          <w:p w14:paraId="2767FE2E" w14:textId="77777777" w:rsidR="002C0FD9" w:rsidRPr="00CA25CF" w:rsidRDefault="002C0FD9" w:rsidP="00CA25CF">
            <w:pPr>
              <w:rPr>
                <w:rFonts w:cs="Arial"/>
                <w:color w:val="FF0000"/>
                <w:sz w:val="21"/>
                <w:szCs w:val="21"/>
              </w:rPr>
            </w:pPr>
          </w:p>
        </w:tc>
        <w:tc>
          <w:tcPr>
            <w:tcW w:w="217" w:type="dxa"/>
          </w:tcPr>
          <w:p w14:paraId="5B8EE1A2" w14:textId="77777777" w:rsidR="002C0FD9" w:rsidRPr="00CA25CF" w:rsidRDefault="002C0FD9" w:rsidP="00CA25CF">
            <w:pPr>
              <w:rPr>
                <w:rFonts w:cs="Arial"/>
                <w:color w:val="FF0000"/>
                <w:sz w:val="21"/>
                <w:szCs w:val="21"/>
              </w:rPr>
            </w:pPr>
          </w:p>
        </w:tc>
        <w:tc>
          <w:tcPr>
            <w:tcW w:w="217" w:type="dxa"/>
          </w:tcPr>
          <w:p w14:paraId="1372E32A" w14:textId="77777777" w:rsidR="002C0FD9" w:rsidRPr="00CA25CF" w:rsidRDefault="002C0FD9" w:rsidP="00CA25CF">
            <w:pPr>
              <w:rPr>
                <w:rFonts w:cs="Arial"/>
                <w:color w:val="FF0000"/>
                <w:sz w:val="21"/>
                <w:szCs w:val="21"/>
              </w:rPr>
            </w:pPr>
          </w:p>
        </w:tc>
        <w:tc>
          <w:tcPr>
            <w:tcW w:w="217" w:type="dxa"/>
          </w:tcPr>
          <w:p w14:paraId="39817788" w14:textId="77777777" w:rsidR="002C0FD9" w:rsidRPr="00CA25CF" w:rsidRDefault="002C0FD9" w:rsidP="00CA25CF">
            <w:pPr>
              <w:rPr>
                <w:rFonts w:cs="Arial"/>
                <w:color w:val="FF0000"/>
                <w:sz w:val="21"/>
                <w:szCs w:val="21"/>
              </w:rPr>
            </w:pPr>
          </w:p>
        </w:tc>
        <w:tc>
          <w:tcPr>
            <w:tcW w:w="217" w:type="dxa"/>
          </w:tcPr>
          <w:p w14:paraId="36D37BDE" w14:textId="77777777" w:rsidR="002C0FD9" w:rsidRPr="00CA25CF" w:rsidRDefault="002C0FD9" w:rsidP="00CA25CF">
            <w:pPr>
              <w:rPr>
                <w:rFonts w:cs="Arial"/>
                <w:color w:val="FF0000"/>
                <w:sz w:val="21"/>
                <w:szCs w:val="21"/>
              </w:rPr>
            </w:pPr>
          </w:p>
        </w:tc>
        <w:tc>
          <w:tcPr>
            <w:tcW w:w="217" w:type="dxa"/>
          </w:tcPr>
          <w:p w14:paraId="6A43B6DB" w14:textId="77777777" w:rsidR="002C0FD9" w:rsidRPr="00CA25CF" w:rsidRDefault="002C0FD9" w:rsidP="00CA25CF">
            <w:pPr>
              <w:rPr>
                <w:rFonts w:cs="Arial"/>
                <w:color w:val="FF0000"/>
                <w:sz w:val="21"/>
                <w:szCs w:val="21"/>
              </w:rPr>
            </w:pPr>
          </w:p>
        </w:tc>
        <w:tc>
          <w:tcPr>
            <w:tcW w:w="217" w:type="dxa"/>
          </w:tcPr>
          <w:p w14:paraId="42CAED23" w14:textId="77777777" w:rsidR="002C0FD9" w:rsidRPr="00CA25CF" w:rsidRDefault="002C0FD9" w:rsidP="00CA25CF">
            <w:pPr>
              <w:rPr>
                <w:rFonts w:cs="Arial"/>
                <w:color w:val="FF0000"/>
                <w:sz w:val="21"/>
                <w:szCs w:val="21"/>
              </w:rPr>
            </w:pPr>
          </w:p>
        </w:tc>
        <w:tc>
          <w:tcPr>
            <w:tcW w:w="217" w:type="dxa"/>
          </w:tcPr>
          <w:p w14:paraId="7DF84209" w14:textId="77777777" w:rsidR="002C0FD9" w:rsidRPr="00CA25CF" w:rsidRDefault="002C0FD9" w:rsidP="00CA25CF">
            <w:pPr>
              <w:rPr>
                <w:rFonts w:cs="Arial"/>
                <w:color w:val="FF0000"/>
                <w:sz w:val="21"/>
                <w:szCs w:val="21"/>
              </w:rPr>
            </w:pPr>
          </w:p>
        </w:tc>
        <w:tc>
          <w:tcPr>
            <w:tcW w:w="217" w:type="dxa"/>
          </w:tcPr>
          <w:p w14:paraId="2B95EA23" w14:textId="77777777" w:rsidR="002C0FD9" w:rsidRPr="00CA25CF" w:rsidRDefault="002C0FD9" w:rsidP="00CA25CF">
            <w:pPr>
              <w:rPr>
                <w:rFonts w:cs="Arial"/>
                <w:color w:val="FF0000"/>
                <w:sz w:val="21"/>
                <w:szCs w:val="21"/>
              </w:rPr>
            </w:pPr>
          </w:p>
        </w:tc>
        <w:tc>
          <w:tcPr>
            <w:tcW w:w="217" w:type="dxa"/>
          </w:tcPr>
          <w:p w14:paraId="31440FEA" w14:textId="77777777" w:rsidR="002C0FD9" w:rsidRPr="00CA25CF" w:rsidRDefault="002C0FD9" w:rsidP="00CA25CF">
            <w:pPr>
              <w:rPr>
                <w:rFonts w:cs="Arial"/>
                <w:color w:val="FF0000"/>
                <w:sz w:val="21"/>
                <w:szCs w:val="21"/>
              </w:rPr>
            </w:pPr>
          </w:p>
        </w:tc>
        <w:tc>
          <w:tcPr>
            <w:tcW w:w="217" w:type="dxa"/>
          </w:tcPr>
          <w:p w14:paraId="1B235DA0" w14:textId="77777777" w:rsidR="002C0FD9" w:rsidRPr="00CA25CF" w:rsidRDefault="002C0FD9" w:rsidP="00CA25CF">
            <w:pPr>
              <w:rPr>
                <w:rFonts w:cs="Arial"/>
                <w:color w:val="FF0000"/>
                <w:sz w:val="21"/>
                <w:szCs w:val="21"/>
              </w:rPr>
            </w:pPr>
          </w:p>
        </w:tc>
        <w:tc>
          <w:tcPr>
            <w:tcW w:w="217" w:type="dxa"/>
          </w:tcPr>
          <w:p w14:paraId="36CB7FE5" w14:textId="77777777" w:rsidR="002C0FD9" w:rsidRPr="00CA25CF" w:rsidRDefault="002C0FD9" w:rsidP="00CA25CF">
            <w:pPr>
              <w:rPr>
                <w:rFonts w:cs="Arial"/>
                <w:color w:val="FF0000"/>
                <w:sz w:val="21"/>
                <w:szCs w:val="21"/>
              </w:rPr>
            </w:pPr>
          </w:p>
        </w:tc>
        <w:tc>
          <w:tcPr>
            <w:tcW w:w="217" w:type="dxa"/>
          </w:tcPr>
          <w:p w14:paraId="37F63395" w14:textId="77777777" w:rsidR="002C0FD9" w:rsidRPr="00CA25CF" w:rsidRDefault="002C0FD9" w:rsidP="00CA25CF">
            <w:pPr>
              <w:rPr>
                <w:rFonts w:cs="Arial"/>
                <w:color w:val="FF0000"/>
                <w:sz w:val="21"/>
                <w:szCs w:val="21"/>
              </w:rPr>
            </w:pPr>
          </w:p>
        </w:tc>
        <w:tc>
          <w:tcPr>
            <w:tcW w:w="217" w:type="dxa"/>
          </w:tcPr>
          <w:p w14:paraId="7B25A83A" w14:textId="77777777" w:rsidR="002C0FD9" w:rsidRPr="00CA25CF" w:rsidRDefault="002C0FD9" w:rsidP="00CA25CF">
            <w:pPr>
              <w:rPr>
                <w:rFonts w:cs="Arial"/>
                <w:color w:val="FF0000"/>
                <w:sz w:val="21"/>
                <w:szCs w:val="21"/>
              </w:rPr>
            </w:pPr>
          </w:p>
        </w:tc>
        <w:tc>
          <w:tcPr>
            <w:tcW w:w="217" w:type="dxa"/>
          </w:tcPr>
          <w:p w14:paraId="6EB3B5C0" w14:textId="77777777" w:rsidR="002C0FD9" w:rsidRPr="00CA25CF" w:rsidRDefault="002C0FD9" w:rsidP="00CA25CF">
            <w:pPr>
              <w:rPr>
                <w:rFonts w:cs="Arial"/>
                <w:color w:val="FF0000"/>
                <w:sz w:val="21"/>
                <w:szCs w:val="21"/>
              </w:rPr>
            </w:pPr>
          </w:p>
        </w:tc>
        <w:tc>
          <w:tcPr>
            <w:tcW w:w="217" w:type="dxa"/>
          </w:tcPr>
          <w:p w14:paraId="7F506A2D" w14:textId="77777777" w:rsidR="002C0FD9" w:rsidRPr="00CA25CF" w:rsidRDefault="002C0FD9" w:rsidP="00CA25CF">
            <w:pPr>
              <w:rPr>
                <w:rFonts w:cs="Arial"/>
                <w:color w:val="FF0000"/>
                <w:sz w:val="21"/>
                <w:szCs w:val="21"/>
              </w:rPr>
            </w:pPr>
          </w:p>
        </w:tc>
        <w:tc>
          <w:tcPr>
            <w:tcW w:w="217" w:type="dxa"/>
          </w:tcPr>
          <w:p w14:paraId="4B06420C" w14:textId="77777777" w:rsidR="002C0FD9" w:rsidRPr="00CA25CF" w:rsidRDefault="002C0FD9" w:rsidP="00CA25CF">
            <w:pPr>
              <w:rPr>
                <w:rFonts w:cs="Arial"/>
                <w:color w:val="FF0000"/>
                <w:sz w:val="21"/>
                <w:szCs w:val="21"/>
              </w:rPr>
            </w:pPr>
          </w:p>
        </w:tc>
        <w:tc>
          <w:tcPr>
            <w:tcW w:w="217" w:type="dxa"/>
          </w:tcPr>
          <w:p w14:paraId="4A20B062" w14:textId="77777777" w:rsidR="002C0FD9" w:rsidRPr="00CA25CF" w:rsidRDefault="002C0FD9" w:rsidP="00CA25CF">
            <w:pPr>
              <w:rPr>
                <w:rFonts w:cs="Arial"/>
                <w:color w:val="FF0000"/>
                <w:sz w:val="21"/>
                <w:szCs w:val="21"/>
              </w:rPr>
            </w:pPr>
          </w:p>
        </w:tc>
        <w:tc>
          <w:tcPr>
            <w:tcW w:w="217" w:type="dxa"/>
          </w:tcPr>
          <w:p w14:paraId="631B7A43" w14:textId="77777777" w:rsidR="002C0FD9" w:rsidRPr="00CA25CF" w:rsidRDefault="002C0FD9" w:rsidP="00CA25CF">
            <w:pPr>
              <w:rPr>
                <w:rFonts w:cs="Arial"/>
                <w:color w:val="FF0000"/>
                <w:sz w:val="21"/>
                <w:szCs w:val="21"/>
              </w:rPr>
            </w:pPr>
          </w:p>
        </w:tc>
        <w:tc>
          <w:tcPr>
            <w:tcW w:w="217" w:type="dxa"/>
          </w:tcPr>
          <w:p w14:paraId="302E544D" w14:textId="77777777" w:rsidR="002C0FD9" w:rsidRPr="00CA25CF" w:rsidRDefault="002C0FD9" w:rsidP="00CA25CF">
            <w:pPr>
              <w:rPr>
                <w:rFonts w:cs="Arial"/>
                <w:color w:val="FF0000"/>
                <w:sz w:val="21"/>
                <w:szCs w:val="21"/>
              </w:rPr>
            </w:pPr>
          </w:p>
        </w:tc>
        <w:tc>
          <w:tcPr>
            <w:tcW w:w="217" w:type="dxa"/>
          </w:tcPr>
          <w:p w14:paraId="7C64E064" w14:textId="77777777" w:rsidR="002C0FD9" w:rsidRPr="00CA25CF" w:rsidRDefault="002C0FD9" w:rsidP="00CA25CF">
            <w:pPr>
              <w:rPr>
                <w:rFonts w:cs="Arial"/>
                <w:color w:val="FF0000"/>
                <w:sz w:val="21"/>
                <w:szCs w:val="21"/>
              </w:rPr>
            </w:pPr>
          </w:p>
        </w:tc>
        <w:tc>
          <w:tcPr>
            <w:tcW w:w="217" w:type="dxa"/>
          </w:tcPr>
          <w:p w14:paraId="4501550A" w14:textId="77777777" w:rsidR="002C0FD9" w:rsidRPr="00CA25CF" w:rsidRDefault="002C0FD9" w:rsidP="00CA25CF">
            <w:pPr>
              <w:rPr>
                <w:rFonts w:cs="Arial"/>
                <w:color w:val="FF0000"/>
                <w:sz w:val="21"/>
                <w:szCs w:val="21"/>
              </w:rPr>
            </w:pPr>
          </w:p>
        </w:tc>
        <w:tc>
          <w:tcPr>
            <w:tcW w:w="217" w:type="dxa"/>
          </w:tcPr>
          <w:p w14:paraId="5F282C16" w14:textId="77777777" w:rsidR="002C0FD9" w:rsidRPr="00CA25CF" w:rsidRDefault="002C0FD9" w:rsidP="00CA25CF">
            <w:pPr>
              <w:rPr>
                <w:rFonts w:cs="Arial"/>
                <w:color w:val="FF0000"/>
                <w:sz w:val="21"/>
                <w:szCs w:val="21"/>
              </w:rPr>
            </w:pPr>
          </w:p>
        </w:tc>
        <w:tc>
          <w:tcPr>
            <w:tcW w:w="217" w:type="dxa"/>
          </w:tcPr>
          <w:p w14:paraId="23301E76" w14:textId="77777777" w:rsidR="002C0FD9" w:rsidRPr="00CA25CF" w:rsidRDefault="002C0FD9" w:rsidP="00CA25CF">
            <w:pPr>
              <w:rPr>
                <w:rFonts w:cs="Arial"/>
                <w:color w:val="FF0000"/>
                <w:sz w:val="21"/>
                <w:szCs w:val="21"/>
              </w:rPr>
            </w:pPr>
          </w:p>
        </w:tc>
        <w:tc>
          <w:tcPr>
            <w:tcW w:w="217" w:type="dxa"/>
          </w:tcPr>
          <w:p w14:paraId="080D5FE0" w14:textId="77777777" w:rsidR="002C0FD9" w:rsidRPr="00CA25CF" w:rsidRDefault="002C0FD9" w:rsidP="00CA25CF">
            <w:pPr>
              <w:rPr>
                <w:rFonts w:cs="Arial"/>
                <w:color w:val="FF0000"/>
                <w:sz w:val="21"/>
                <w:szCs w:val="21"/>
              </w:rPr>
            </w:pPr>
          </w:p>
        </w:tc>
        <w:tc>
          <w:tcPr>
            <w:tcW w:w="217" w:type="dxa"/>
          </w:tcPr>
          <w:p w14:paraId="0423C109" w14:textId="77777777" w:rsidR="002C0FD9" w:rsidRPr="00CA25CF" w:rsidRDefault="002C0FD9" w:rsidP="00CA25CF">
            <w:pPr>
              <w:rPr>
                <w:rFonts w:cs="Arial"/>
                <w:color w:val="FF0000"/>
                <w:sz w:val="21"/>
                <w:szCs w:val="21"/>
              </w:rPr>
            </w:pPr>
          </w:p>
        </w:tc>
        <w:tc>
          <w:tcPr>
            <w:tcW w:w="217" w:type="dxa"/>
          </w:tcPr>
          <w:p w14:paraId="6AB133A2" w14:textId="77777777" w:rsidR="002C0FD9" w:rsidRPr="00CA25CF" w:rsidRDefault="002C0FD9" w:rsidP="00CA25CF">
            <w:pPr>
              <w:rPr>
                <w:rFonts w:cs="Arial"/>
                <w:color w:val="FF0000"/>
                <w:sz w:val="21"/>
                <w:szCs w:val="21"/>
              </w:rPr>
            </w:pPr>
          </w:p>
        </w:tc>
        <w:tc>
          <w:tcPr>
            <w:tcW w:w="217" w:type="dxa"/>
          </w:tcPr>
          <w:p w14:paraId="2B16C4FD" w14:textId="77777777" w:rsidR="002C0FD9" w:rsidRPr="00CA25CF" w:rsidRDefault="002C0FD9" w:rsidP="00CA25CF">
            <w:pPr>
              <w:rPr>
                <w:rFonts w:cs="Arial"/>
                <w:color w:val="FF0000"/>
                <w:sz w:val="21"/>
                <w:szCs w:val="21"/>
              </w:rPr>
            </w:pPr>
          </w:p>
        </w:tc>
        <w:tc>
          <w:tcPr>
            <w:tcW w:w="217" w:type="dxa"/>
          </w:tcPr>
          <w:p w14:paraId="238FF069" w14:textId="77777777" w:rsidR="002C0FD9" w:rsidRPr="00CA25CF" w:rsidRDefault="002C0FD9" w:rsidP="00CA25CF">
            <w:pPr>
              <w:rPr>
                <w:rFonts w:cs="Arial"/>
                <w:color w:val="FF0000"/>
                <w:sz w:val="21"/>
                <w:szCs w:val="21"/>
              </w:rPr>
            </w:pPr>
          </w:p>
        </w:tc>
      </w:tr>
      <w:tr w:rsidR="002C0FD9" w:rsidRPr="00A16219" w14:paraId="639D6373" w14:textId="71945E7A" w:rsidTr="002C0FD9">
        <w:trPr>
          <w:trHeight w:val="635"/>
        </w:trPr>
        <w:tc>
          <w:tcPr>
            <w:tcW w:w="515" w:type="dxa"/>
          </w:tcPr>
          <w:p w14:paraId="7DBE4B4F" w14:textId="77777777" w:rsidR="002C0FD9" w:rsidRPr="00CA25CF" w:rsidRDefault="002C0FD9" w:rsidP="00CA25CF">
            <w:pPr>
              <w:rPr>
                <w:rFonts w:cs="Arial"/>
                <w:color w:val="FF0000"/>
                <w:sz w:val="21"/>
                <w:szCs w:val="21"/>
              </w:rPr>
            </w:pPr>
          </w:p>
        </w:tc>
        <w:tc>
          <w:tcPr>
            <w:tcW w:w="217" w:type="dxa"/>
          </w:tcPr>
          <w:p w14:paraId="2FF30D16" w14:textId="77777777" w:rsidR="002C0FD9" w:rsidRPr="00CA25CF" w:rsidRDefault="002C0FD9" w:rsidP="00CA25CF">
            <w:pPr>
              <w:rPr>
                <w:rFonts w:cs="Arial"/>
                <w:color w:val="FF0000"/>
                <w:sz w:val="21"/>
                <w:szCs w:val="21"/>
              </w:rPr>
            </w:pPr>
          </w:p>
        </w:tc>
        <w:tc>
          <w:tcPr>
            <w:tcW w:w="217" w:type="dxa"/>
          </w:tcPr>
          <w:p w14:paraId="085C0FFC" w14:textId="53E915B8" w:rsidR="002C0FD9" w:rsidRPr="00CA25CF" w:rsidRDefault="002C0FD9" w:rsidP="00CA25CF">
            <w:pPr>
              <w:rPr>
                <w:rFonts w:cs="Arial"/>
                <w:color w:val="FF0000"/>
                <w:sz w:val="21"/>
                <w:szCs w:val="21"/>
              </w:rPr>
            </w:pPr>
          </w:p>
        </w:tc>
        <w:tc>
          <w:tcPr>
            <w:tcW w:w="217" w:type="dxa"/>
          </w:tcPr>
          <w:p w14:paraId="4EDDFACE" w14:textId="77777777" w:rsidR="002C0FD9" w:rsidRPr="00CA25CF" w:rsidRDefault="002C0FD9" w:rsidP="00CA25CF">
            <w:pPr>
              <w:rPr>
                <w:rFonts w:cs="Arial"/>
                <w:color w:val="FF0000"/>
                <w:sz w:val="21"/>
                <w:szCs w:val="21"/>
              </w:rPr>
            </w:pPr>
          </w:p>
        </w:tc>
        <w:tc>
          <w:tcPr>
            <w:tcW w:w="217" w:type="dxa"/>
          </w:tcPr>
          <w:p w14:paraId="34EB9CE2" w14:textId="77777777" w:rsidR="002C0FD9" w:rsidRPr="00CA25CF" w:rsidRDefault="002C0FD9" w:rsidP="00CA25CF">
            <w:pPr>
              <w:rPr>
                <w:rFonts w:cs="Arial"/>
                <w:color w:val="FF0000"/>
                <w:sz w:val="21"/>
                <w:szCs w:val="21"/>
              </w:rPr>
            </w:pPr>
          </w:p>
        </w:tc>
        <w:tc>
          <w:tcPr>
            <w:tcW w:w="217" w:type="dxa"/>
          </w:tcPr>
          <w:p w14:paraId="4DEE6118" w14:textId="77777777" w:rsidR="002C0FD9" w:rsidRPr="00CA25CF" w:rsidRDefault="002C0FD9" w:rsidP="00CA25CF">
            <w:pPr>
              <w:rPr>
                <w:rFonts w:cs="Arial"/>
                <w:color w:val="FF0000"/>
                <w:sz w:val="21"/>
                <w:szCs w:val="21"/>
              </w:rPr>
            </w:pPr>
          </w:p>
        </w:tc>
        <w:tc>
          <w:tcPr>
            <w:tcW w:w="217" w:type="dxa"/>
          </w:tcPr>
          <w:p w14:paraId="4D0FAB23" w14:textId="77777777" w:rsidR="002C0FD9" w:rsidRPr="00CA25CF" w:rsidRDefault="002C0FD9" w:rsidP="00CA25CF">
            <w:pPr>
              <w:rPr>
                <w:rFonts w:cs="Arial"/>
                <w:color w:val="FF0000"/>
                <w:sz w:val="21"/>
                <w:szCs w:val="21"/>
              </w:rPr>
            </w:pPr>
          </w:p>
        </w:tc>
        <w:tc>
          <w:tcPr>
            <w:tcW w:w="217" w:type="dxa"/>
          </w:tcPr>
          <w:p w14:paraId="6D253A40" w14:textId="77777777" w:rsidR="002C0FD9" w:rsidRPr="00CA25CF" w:rsidRDefault="002C0FD9" w:rsidP="00CA25CF">
            <w:pPr>
              <w:rPr>
                <w:rFonts w:cs="Arial"/>
                <w:color w:val="FF0000"/>
                <w:sz w:val="21"/>
                <w:szCs w:val="21"/>
              </w:rPr>
            </w:pPr>
          </w:p>
        </w:tc>
        <w:tc>
          <w:tcPr>
            <w:tcW w:w="217" w:type="dxa"/>
          </w:tcPr>
          <w:p w14:paraId="48388F9A" w14:textId="77777777" w:rsidR="002C0FD9" w:rsidRPr="00CA25CF" w:rsidRDefault="002C0FD9" w:rsidP="00CA25CF">
            <w:pPr>
              <w:rPr>
                <w:rFonts w:cs="Arial"/>
                <w:color w:val="FF0000"/>
                <w:sz w:val="21"/>
                <w:szCs w:val="21"/>
              </w:rPr>
            </w:pPr>
          </w:p>
        </w:tc>
        <w:tc>
          <w:tcPr>
            <w:tcW w:w="217" w:type="dxa"/>
          </w:tcPr>
          <w:p w14:paraId="3CE9E56E" w14:textId="77777777" w:rsidR="002C0FD9" w:rsidRPr="00CA25CF" w:rsidRDefault="002C0FD9" w:rsidP="00CA25CF">
            <w:pPr>
              <w:rPr>
                <w:rFonts w:cs="Arial"/>
                <w:color w:val="FF0000"/>
                <w:sz w:val="21"/>
                <w:szCs w:val="21"/>
              </w:rPr>
            </w:pPr>
          </w:p>
        </w:tc>
        <w:tc>
          <w:tcPr>
            <w:tcW w:w="217" w:type="dxa"/>
          </w:tcPr>
          <w:p w14:paraId="741388AC" w14:textId="77777777" w:rsidR="002C0FD9" w:rsidRPr="00CA25CF" w:rsidRDefault="002C0FD9" w:rsidP="00CA25CF">
            <w:pPr>
              <w:rPr>
                <w:rFonts w:cs="Arial"/>
                <w:color w:val="FF0000"/>
                <w:sz w:val="21"/>
                <w:szCs w:val="21"/>
              </w:rPr>
            </w:pPr>
          </w:p>
        </w:tc>
        <w:tc>
          <w:tcPr>
            <w:tcW w:w="217" w:type="dxa"/>
          </w:tcPr>
          <w:p w14:paraId="2C6F14EA" w14:textId="77777777" w:rsidR="002C0FD9" w:rsidRPr="00CA25CF" w:rsidRDefault="002C0FD9" w:rsidP="00CA25CF">
            <w:pPr>
              <w:rPr>
                <w:rFonts w:cs="Arial"/>
                <w:color w:val="FF0000"/>
                <w:sz w:val="21"/>
                <w:szCs w:val="21"/>
              </w:rPr>
            </w:pPr>
          </w:p>
        </w:tc>
        <w:tc>
          <w:tcPr>
            <w:tcW w:w="217" w:type="dxa"/>
          </w:tcPr>
          <w:p w14:paraId="3C82142C" w14:textId="77777777" w:rsidR="002C0FD9" w:rsidRPr="00CA25CF" w:rsidRDefault="002C0FD9" w:rsidP="00CA25CF">
            <w:pPr>
              <w:rPr>
                <w:rFonts w:cs="Arial"/>
                <w:color w:val="FF0000"/>
                <w:sz w:val="21"/>
                <w:szCs w:val="21"/>
              </w:rPr>
            </w:pPr>
          </w:p>
        </w:tc>
        <w:tc>
          <w:tcPr>
            <w:tcW w:w="217" w:type="dxa"/>
          </w:tcPr>
          <w:p w14:paraId="654CBA8B" w14:textId="77777777" w:rsidR="002C0FD9" w:rsidRPr="00CA25CF" w:rsidRDefault="002C0FD9" w:rsidP="00CA25CF">
            <w:pPr>
              <w:rPr>
                <w:rFonts w:cs="Arial"/>
                <w:color w:val="FF0000"/>
                <w:sz w:val="21"/>
                <w:szCs w:val="21"/>
              </w:rPr>
            </w:pPr>
          </w:p>
        </w:tc>
        <w:tc>
          <w:tcPr>
            <w:tcW w:w="217" w:type="dxa"/>
          </w:tcPr>
          <w:p w14:paraId="4B9D492D" w14:textId="77777777" w:rsidR="002C0FD9" w:rsidRPr="00CA25CF" w:rsidRDefault="002C0FD9" w:rsidP="00CA25CF">
            <w:pPr>
              <w:rPr>
                <w:rFonts w:cs="Arial"/>
                <w:color w:val="FF0000"/>
                <w:sz w:val="21"/>
                <w:szCs w:val="21"/>
              </w:rPr>
            </w:pPr>
          </w:p>
        </w:tc>
        <w:tc>
          <w:tcPr>
            <w:tcW w:w="217" w:type="dxa"/>
          </w:tcPr>
          <w:p w14:paraId="6C0D25A7" w14:textId="77777777" w:rsidR="002C0FD9" w:rsidRPr="00CA25CF" w:rsidRDefault="002C0FD9" w:rsidP="00CA25CF">
            <w:pPr>
              <w:rPr>
                <w:rFonts w:cs="Arial"/>
                <w:color w:val="FF0000"/>
                <w:sz w:val="21"/>
                <w:szCs w:val="21"/>
              </w:rPr>
            </w:pPr>
          </w:p>
        </w:tc>
        <w:tc>
          <w:tcPr>
            <w:tcW w:w="217" w:type="dxa"/>
          </w:tcPr>
          <w:p w14:paraId="4F6A5D7F" w14:textId="77777777" w:rsidR="002C0FD9" w:rsidRPr="00CA25CF" w:rsidRDefault="002C0FD9" w:rsidP="00CA25CF">
            <w:pPr>
              <w:rPr>
                <w:rFonts w:cs="Arial"/>
                <w:color w:val="FF0000"/>
                <w:sz w:val="21"/>
                <w:szCs w:val="21"/>
              </w:rPr>
            </w:pPr>
          </w:p>
        </w:tc>
        <w:tc>
          <w:tcPr>
            <w:tcW w:w="217" w:type="dxa"/>
          </w:tcPr>
          <w:p w14:paraId="3E91A548" w14:textId="77777777" w:rsidR="002C0FD9" w:rsidRPr="00CA25CF" w:rsidRDefault="002C0FD9" w:rsidP="00CA25CF">
            <w:pPr>
              <w:rPr>
                <w:rFonts w:cs="Arial"/>
                <w:color w:val="FF0000"/>
                <w:sz w:val="21"/>
                <w:szCs w:val="21"/>
              </w:rPr>
            </w:pPr>
          </w:p>
        </w:tc>
        <w:tc>
          <w:tcPr>
            <w:tcW w:w="217" w:type="dxa"/>
          </w:tcPr>
          <w:p w14:paraId="747E9451" w14:textId="77777777" w:rsidR="002C0FD9" w:rsidRPr="00CA25CF" w:rsidRDefault="002C0FD9" w:rsidP="00CA25CF">
            <w:pPr>
              <w:rPr>
                <w:rFonts w:cs="Arial"/>
                <w:color w:val="FF0000"/>
                <w:sz w:val="21"/>
                <w:szCs w:val="21"/>
              </w:rPr>
            </w:pPr>
          </w:p>
        </w:tc>
        <w:tc>
          <w:tcPr>
            <w:tcW w:w="217" w:type="dxa"/>
          </w:tcPr>
          <w:p w14:paraId="370CED79" w14:textId="77777777" w:rsidR="002C0FD9" w:rsidRPr="00CA25CF" w:rsidRDefault="002C0FD9" w:rsidP="00CA25CF">
            <w:pPr>
              <w:rPr>
                <w:rFonts w:cs="Arial"/>
                <w:color w:val="FF0000"/>
                <w:sz w:val="21"/>
                <w:szCs w:val="21"/>
              </w:rPr>
            </w:pPr>
          </w:p>
        </w:tc>
        <w:tc>
          <w:tcPr>
            <w:tcW w:w="217" w:type="dxa"/>
          </w:tcPr>
          <w:p w14:paraId="05FF1327" w14:textId="77777777" w:rsidR="002C0FD9" w:rsidRPr="00CA25CF" w:rsidRDefault="002C0FD9" w:rsidP="00CA25CF">
            <w:pPr>
              <w:rPr>
                <w:rFonts w:cs="Arial"/>
                <w:color w:val="FF0000"/>
                <w:sz w:val="21"/>
                <w:szCs w:val="21"/>
              </w:rPr>
            </w:pPr>
          </w:p>
        </w:tc>
        <w:tc>
          <w:tcPr>
            <w:tcW w:w="217" w:type="dxa"/>
          </w:tcPr>
          <w:p w14:paraId="258E6AA1" w14:textId="77777777" w:rsidR="002C0FD9" w:rsidRPr="00CA25CF" w:rsidRDefault="002C0FD9" w:rsidP="00CA25CF">
            <w:pPr>
              <w:rPr>
                <w:rFonts w:cs="Arial"/>
                <w:color w:val="FF0000"/>
                <w:sz w:val="21"/>
                <w:szCs w:val="21"/>
              </w:rPr>
            </w:pPr>
          </w:p>
        </w:tc>
        <w:tc>
          <w:tcPr>
            <w:tcW w:w="217" w:type="dxa"/>
          </w:tcPr>
          <w:p w14:paraId="63F96049" w14:textId="77777777" w:rsidR="002C0FD9" w:rsidRPr="00CA25CF" w:rsidRDefault="002C0FD9" w:rsidP="00CA25CF">
            <w:pPr>
              <w:rPr>
                <w:rFonts w:cs="Arial"/>
                <w:color w:val="FF0000"/>
                <w:sz w:val="21"/>
                <w:szCs w:val="21"/>
              </w:rPr>
            </w:pPr>
          </w:p>
        </w:tc>
        <w:tc>
          <w:tcPr>
            <w:tcW w:w="217" w:type="dxa"/>
          </w:tcPr>
          <w:p w14:paraId="70EFB4FF" w14:textId="77777777" w:rsidR="002C0FD9" w:rsidRPr="00CA25CF" w:rsidRDefault="002C0FD9" w:rsidP="00CA25CF">
            <w:pPr>
              <w:rPr>
                <w:rFonts w:cs="Arial"/>
                <w:color w:val="FF0000"/>
                <w:sz w:val="21"/>
                <w:szCs w:val="21"/>
              </w:rPr>
            </w:pPr>
          </w:p>
        </w:tc>
        <w:tc>
          <w:tcPr>
            <w:tcW w:w="217" w:type="dxa"/>
          </w:tcPr>
          <w:p w14:paraId="36FF8ABB" w14:textId="77777777" w:rsidR="002C0FD9" w:rsidRPr="00CA25CF" w:rsidRDefault="002C0FD9" w:rsidP="00CA25CF">
            <w:pPr>
              <w:rPr>
                <w:rFonts w:cs="Arial"/>
                <w:color w:val="FF0000"/>
                <w:sz w:val="21"/>
                <w:szCs w:val="21"/>
              </w:rPr>
            </w:pPr>
          </w:p>
        </w:tc>
        <w:tc>
          <w:tcPr>
            <w:tcW w:w="217" w:type="dxa"/>
          </w:tcPr>
          <w:p w14:paraId="0479F796" w14:textId="77777777" w:rsidR="002C0FD9" w:rsidRPr="00CA25CF" w:rsidRDefault="002C0FD9" w:rsidP="00CA25CF">
            <w:pPr>
              <w:rPr>
                <w:rFonts w:cs="Arial"/>
                <w:color w:val="FF0000"/>
                <w:sz w:val="21"/>
                <w:szCs w:val="21"/>
              </w:rPr>
            </w:pPr>
          </w:p>
        </w:tc>
        <w:tc>
          <w:tcPr>
            <w:tcW w:w="217" w:type="dxa"/>
          </w:tcPr>
          <w:p w14:paraId="561BEC30" w14:textId="77777777" w:rsidR="002C0FD9" w:rsidRPr="00CA25CF" w:rsidRDefault="002C0FD9" w:rsidP="00CA25CF">
            <w:pPr>
              <w:rPr>
                <w:rFonts w:cs="Arial"/>
                <w:color w:val="FF0000"/>
                <w:sz w:val="21"/>
                <w:szCs w:val="21"/>
              </w:rPr>
            </w:pPr>
          </w:p>
        </w:tc>
        <w:tc>
          <w:tcPr>
            <w:tcW w:w="217" w:type="dxa"/>
          </w:tcPr>
          <w:p w14:paraId="0840DE35" w14:textId="77777777" w:rsidR="002C0FD9" w:rsidRPr="00CA25CF" w:rsidRDefault="002C0FD9" w:rsidP="00CA25CF">
            <w:pPr>
              <w:rPr>
                <w:rFonts w:cs="Arial"/>
                <w:color w:val="FF0000"/>
                <w:sz w:val="21"/>
                <w:szCs w:val="21"/>
              </w:rPr>
            </w:pPr>
          </w:p>
        </w:tc>
        <w:tc>
          <w:tcPr>
            <w:tcW w:w="217" w:type="dxa"/>
          </w:tcPr>
          <w:p w14:paraId="3B9958E4" w14:textId="77777777" w:rsidR="002C0FD9" w:rsidRPr="00CA25CF" w:rsidRDefault="002C0FD9" w:rsidP="00CA25CF">
            <w:pPr>
              <w:rPr>
                <w:rFonts w:cs="Arial"/>
                <w:color w:val="FF0000"/>
                <w:sz w:val="21"/>
                <w:szCs w:val="21"/>
              </w:rPr>
            </w:pPr>
          </w:p>
        </w:tc>
        <w:tc>
          <w:tcPr>
            <w:tcW w:w="217" w:type="dxa"/>
          </w:tcPr>
          <w:p w14:paraId="04F4012B" w14:textId="77777777" w:rsidR="002C0FD9" w:rsidRPr="00CA25CF" w:rsidRDefault="002C0FD9" w:rsidP="00CA25CF">
            <w:pPr>
              <w:rPr>
                <w:rFonts w:cs="Arial"/>
                <w:color w:val="FF0000"/>
                <w:sz w:val="21"/>
                <w:szCs w:val="21"/>
              </w:rPr>
            </w:pPr>
          </w:p>
        </w:tc>
        <w:tc>
          <w:tcPr>
            <w:tcW w:w="217" w:type="dxa"/>
          </w:tcPr>
          <w:p w14:paraId="1FDD7609" w14:textId="77777777" w:rsidR="002C0FD9" w:rsidRPr="00CA25CF" w:rsidRDefault="002C0FD9" w:rsidP="00CA25CF">
            <w:pPr>
              <w:rPr>
                <w:rFonts w:cs="Arial"/>
                <w:color w:val="FF0000"/>
                <w:sz w:val="21"/>
                <w:szCs w:val="21"/>
              </w:rPr>
            </w:pPr>
          </w:p>
        </w:tc>
        <w:tc>
          <w:tcPr>
            <w:tcW w:w="217" w:type="dxa"/>
          </w:tcPr>
          <w:p w14:paraId="0E05FF94" w14:textId="77777777" w:rsidR="002C0FD9" w:rsidRPr="00CA25CF" w:rsidRDefault="002C0FD9" w:rsidP="00CA25CF">
            <w:pPr>
              <w:rPr>
                <w:rFonts w:cs="Arial"/>
                <w:color w:val="FF0000"/>
                <w:sz w:val="21"/>
                <w:szCs w:val="21"/>
              </w:rPr>
            </w:pPr>
          </w:p>
        </w:tc>
        <w:tc>
          <w:tcPr>
            <w:tcW w:w="217" w:type="dxa"/>
          </w:tcPr>
          <w:p w14:paraId="172A8F1C" w14:textId="77777777" w:rsidR="002C0FD9" w:rsidRPr="00CA25CF" w:rsidRDefault="002C0FD9" w:rsidP="00CA25CF">
            <w:pPr>
              <w:rPr>
                <w:rFonts w:cs="Arial"/>
                <w:color w:val="FF0000"/>
                <w:sz w:val="21"/>
                <w:szCs w:val="21"/>
              </w:rPr>
            </w:pPr>
          </w:p>
        </w:tc>
        <w:tc>
          <w:tcPr>
            <w:tcW w:w="217" w:type="dxa"/>
          </w:tcPr>
          <w:p w14:paraId="56C0DD71" w14:textId="77777777" w:rsidR="002C0FD9" w:rsidRPr="00CA25CF" w:rsidRDefault="002C0FD9" w:rsidP="00CA25CF">
            <w:pPr>
              <w:rPr>
                <w:rFonts w:cs="Arial"/>
                <w:color w:val="FF0000"/>
                <w:sz w:val="21"/>
                <w:szCs w:val="21"/>
              </w:rPr>
            </w:pPr>
          </w:p>
        </w:tc>
        <w:tc>
          <w:tcPr>
            <w:tcW w:w="217" w:type="dxa"/>
          </w:tcPr>
          <w:p w14:paraId="3FFC21B3" w14:textId="77777777" w:rsidR="002C0FD9" w:rsidRPr="00CA25CF" w:rsidRDefault="002C0FD9" w:rsidP="00CA25CF">
            <w:pPr>
              <w:rPr>
                <w:rFonts w:cs="Arial"/>
                <w:color w:val="FF0000"/>
                <w:sz w:val="21"/>
                <w:szCs w:val="21"/>
              </w:rPr>
            </w:pPr>
          </w:p>
        </w:tc>
        <w:tc>
          <w:tcPr>
            <w:tcW w:w="217" w:type="dxa"/>
          </w:tcPr>
          <w:p w14:paraId="46A5AE36" w14:textId="77777777" w:rsidR="002C0FD9" w:rsidRPr="00CA25CF" w:rsidRDefault="002C0FD9" w:rsidP="00CA25CF">
            <w:pPr>
              <w:rPr>
                <w:rFonts w:cs="Arial"/>
                <w:color w:val="FF0000"/>
                <w:sz w:val="21"/>
                <w:szCs w:val="21"/>
              </w:rPr>
            </w:pPr>
          </w:p>
        </w:tc>
        <w:tc>
          <w:tcPr>
            <w:tcW w:w="217" w:type="dxa"/>
          </w:tcPr>
          <w:p w14:paraId="5D1933D1" w14:textId="77777777" w:rsidR="002C0FD9" w:rsidRPr="00CA25CF" w:rsidRDefault="002C0FD9" w:rsidP="00CA25CF">
            <w:pPr>
              <w:rPr>
                <w:rFonts w:cs="Arial"/>
                <w:color w:val="FF0000"/>
                <w:sz w:val="21"/>
                <w:szCs w:val="21"/>
              </w:rPr>
            </w:pPr>
          </w:p>
        </w:tc>
        <w:tc>
          <w:tcPr>
            <w:tcW w:w="217" w:type="dxa"/>
          </w:tcPr>
          <w:p w14:paraId="2AE5CFD7" w14:textId="77777777" w:rsidR="002C0FD9" w:rsidRPr="00CA25CF" w:rsidRDefault="002C0FD9" w:rsidP="00CA25CF">
            <w:pPr>
              <w:rPr>
                <w:rFonts w:cs="Arial"/>
                <w:color w:val="FF0000"/>
                <w:sz w:val="21"/>
                <w:szCs w:val="21"/>
              </w:rPr>
            </w:pPr>
          </w:p>
        </w:tc>
        <w:tc>
          <w:tcPr>
            <w:tcW w:w="217" w:type="dxa"/>
          </w:tcPr>
          <w:p w14:paraId="4D6328B2" w14:textId="77777777" w:rsidR="002C0FD9" w:rsidRPr="00CA25CF" w:rsidRDefault="002C0FD9" w:rsidP="00CA25CF">
            <w:pPr>
              <w:rPr>
                <w:rFonts w:cs="Arial"/>
                <w:color w:val="FF0000"/>
                <w:sz w:val="21"/>
                <w:szCs w:val="21"/>
              </w:rPr>
            </w:pPr>
          </w:p>
        </w:tc>
        <w:tc>
          <w:tcPr>
            <w:tcW w:w="217" w:type="dxa"/>
          </w:tcPr>
          <w:p w14:paraId="701D1A57" w14:textId="77777777" w:rsidR="002C0FD9" w:rsidRPr="00CA25CF" w:rsidRDefault="002C0FD9" w:rsidP="00CA25CF">
            <w:pPr>
              <w:rPr>
                <w:rFonts w:cs="Arial"/>
                <w:color w:val="FF0000"/>
                <w:sz w:val="21"/>
                <w:szCs w:val="21"/>
              </w:rPr>
            </w:pPr>
          </w:p>
        </w:tc>
        <w:tc>
          <w:tcPr>
            <w:tcW w:w="217" w:type="dxa"/>
          </w:tcPr>
          <w:p w14:paraId="2788681A" w14:textId="77777777" w:rsidR="002C0FD9" w:rsidRPr="00CA25CF" w:rsidRDefault="002C0FD9" w:rsidP="00CA25CF">
            <w:pPr>
              <w:rPr>
                <w:rFonts w:cs="Arial"/>
                <w:color w:val="FF0000"/>
                <w:sz w:val="21"/>
                <w:szCs w:val="21"/>
              </w:rPr>
            </w:pPr>
          </w:p>
        </w:tc>
        <w:tc>
          <w:tcPr>
            <w:tcW w:w="217" w:type="dxa"/>
          </w:tcPr>
          <w:p w14:paraId="370E87E2" w14:textId="77777777" w:rsidR="002C0FD9" w:rsidRPr="00CA25CF" w:rsidRDefault="002C0FD9" w:rsidP="00CA25CF">
            <w:pPr>
              <w:rPr>
                <w:rFonts w:cs="Arial"/>
                <w:color w:val="FF0000"/>
                <w:sz w:val="21"/>
                <w:szCs w:val="21"/>
              </w:rPr>
            </w:pPr>
          </w:p>
        </w:tc>
        <w:tc>
          <w:tcPr>
            <w:tcW w:w="217" w:type="dxa"/>
          </w:tcPr>
          <w:p w14:paraId="437FCC28" w14:textId="77777777" w:rsidR="002C0FD9" w:rsidRPr="00CA25CF" w:rsidRDefault="002C0FD9" w:rsidP="00CA25CF">
            <w:pPr>
              <w:rPr>
                <w:rFonts w:cs="Arial"/>
                <w:color w:val="FF0000"/>
                <w:sz w:val="21"/>
                <w:szCs w:val="21"/>
              </w:rPr>
            </w:pPr>
          </w:p>
        </w:tc>
      </w:tr>
      <w:tr w:rsidR="002C0FD9" w:rsidRPr="00A16219" w14:paraId="5D46059F" w14:textId="0645DB40" w:rsidTr="002C0FD9">
        <w:trPr>
          <w:trHeight w:val="635"/>
        </w:trPr>
        <w:tc>
          <w:tcPr>
            <w:tcW w:w="515" w:type="dxa"/>
          </w:tcPr>
          <w:p w14:paraId="27FD1F20" w14:textId="77777777" w:rsidR="002C0FD9" w:rsidRPr="00CA25CF" w:rsidRDefault="002C0FD9" w:rsidP="00CA25CF">
            <w:pPr>
              <w:rPr>
                <w:rFonts w:cs="Arial"/>
                <w:color w:val="FF0000"/>
                <w:sz w:val="21"/>
                <w:szCs w:val="21"/>
              </w:rPr>
            </w:pPr>
          </w:p>
        </w:tc>
        <w:tc>
          <w:tcPr>
            <w:tcW w:w="217" w:type="dxa"/>
          </w:tcPr>
          <w:p w14:paraId="509D289E" w14:textId="77777777" w:rsidR="002C0FD9" w:rsidRPr="00CA25CF" w:rsidRDefault="002C0FD9" w:rsidP="00CA25CF">
            <w:pPr>
              <w:rPr>
                <w:rFonts w:cs="Arial"/>
                <w:color w:val="FF0000"/>
                <w:sz w:val="21"/>
                <w:szCs w:val="21"/>
              </w:rPr>
            </w:pPr>
          </w:p>
        </w:tc>
        <w:tc>
          <w:tcPr>
            <w:tcW w:w="217" w:type="dxa"/>
          </w:tcPr>
          <w:p w14:paraId="349FDB21" w14:textId="0977B666" w:rsidR="002C0FD9" w:rsidRPr="00CA25CF" w:rsidRDefault="002C0FD9" w:rsidP="00CA25CF">
            <w:pPr>
              <w:rPr>
                <w:rFonts w:cs="Arial"/>
                <w:color w:val="FF0000"/>
                <w:sz w:val="21"/>
                <w:szCs w:val="21"/>
              </w:rPr>
            </w:pPr>
          </w:p>
        </w:tc>
        <w:tc>
          <w:tcPr>
            <w:tcW w:w="217" w:type="dxa"/>
          </w:tcPr>
          <w:p w14:paraId="73A645EB" w14:textId="77777777" w:rsidR="002C0FD9" w:rsidRPr="00CA25CF" w:rsidRDefault="002C0FD9" w:rsidP="00CA25CF">
            <w:pPr>
              <w:rPr>
                <w:rFonts w:cs="Arial"/>
                <w:color w:val="FF0000"/>
                <w:sz w:val="21"/>
                <w:szCs w:val="21"/>
              </w:rPr>
            </w:pPr>
          </w:p>
        </w:tc>
        <w:tc>
          <w:tcPr>
            <w:tcW w:w="217" w:type="dxa"/>
          </w:tcPr>
          <w:p w14:paraId="4CD54CC5" w14:textId="77777777" w:rsidR="002C0FD9" w:rsidRPr="00CA25CF" w:rsidRDefault="002C0FD9" w:rsidP="00CA25CF">
            <w:pPr>
              <w:rPr>
                <w:rFonts w:cs="Arial"/>
                <w:color w:val="FF0000"/>
                <w:sz w:val="21"/>
                <w:szCs w:val="21"/>
              </w:rPr>
            </w:pPr>
          </w:p>
        </w:tc>
        <w:tc>
          <w:tcPr>
            <w:tcW w:w="217" w:type="dxa"/>
          </w:tcPr>
          <w:p w14:paraId="2DEEF9E9" w14:textId="77777777" w:rsidR="002C0FD9" w:rsidRPr="00CA25CF" w:rsidRDefault="002C0FD9" w:rsidP="00CA25CF">
            <w:pPr>
              <w:rPr>
                <w:rFonts w:cs="Arial"/>
                <w:color w:val="FF0000"/>
                <w:sz w:val="21"/>
                <w:szCs w:val="21"/>
              </w:rPr>
            </w:pPr>
          </w:p>
        </w:tc>
        <w:tc>
          <w:tcPr>
            <w:tcW w:w="217" w:type="dxa"/>
          </w:tcPr>
          <w:p w14:paraId="43F6190A" w14:textId="77777777" w:rsidR="002C0FD9" w:rsidRPr="00CA25CF" w:rsidRDefault="002C0FD9" w:rsidP="00CA25CF">
            <w:pPr>
              <w:rPr>
                <w:rFonts w:cs="Arial"/>
                <w:color w:val="FF0000"/>
                <w:sz w:val="21"/>
                <w:szCs w:val="21"/>
              </w:rPr>
            </w:pPr>
          </w:p>
        </w:tc>
        <w:tc>
          <w:tcPr>
            <w:tcW w:w="217" w:type="dxa"/>
          </w:tcPr>
          <w:p w14:paraId="532B73B7" w14:textId="77777777" w:rsidR="002C0FD9" w:rsidRPr="00CA25CF" w:rsidRDefault="002C0FD9" w:rsidP="00CA25CF">
            <w:pPr>
              <w:rPr>
                <w:rFonts w:cs="Arial"/>
                <w:color w:val="FF0000"/>
                <w:sz w:val="21"/>
                <w:szCs w:val="21"/>
              </w:rPr>
            </w:pPr>
          </w:p>
        </w:tc>
        <w:tc>
          <w:tcPr>
            <w:tcW w:w="217" w:type="dxa"/>
          </w:tcPr>
          <w:p w14:paraId="45032093" w14:textId="77777777" w:rsidR="002C0FD9" w:rsidRPr="00CA25CF" w:rsidRDefault="002C0FD9" w:rsidP="00CA25CF">
            <w:pPr>
              <w:rPr>
                <w:rFonts w:cs="Arial"/>
                <w:color w:val="FF0000"/>
                <w:sz w:val="21"/>
                <w:szCs w:val="21"/>
              </w:rPr>
            </w:pPr>
          </w:p>
        </w:tc>
        <w:tc>
          <w:tcPr>
            <w:tcW w:w="217" w:type="dxa"/>
          </w:tcPr>
          <w:p w14:paraId="2405933A" w14:textId="77777777" w:rsidR="002C0FD9" w:rsidRPr="00CA25CF" w:rsidRDefault="002C0FD9" w:rsidP="00CA25CF">
            <w:pPr>
              <w:rPr>
                <w:rFonts w:cs="Arial"/>
                <w:color w:val="FF0000"/>
                <w:sz w:val="21"/>
                <w:szCs w:val="21"/>
              </w:rPr>
            </w:pPr>
          </w:p>
        </w:tc>
        <w:tc>
          <w:tcPr>
            <w:tcW w:w="217" w:type="dxa"/>
          </w:tcPr>
          <w:p w14:paraId="04EDDA29" w14:textId="77777777" w:rsidR="002C0FD9" w:rsidRPr="00CA25CF" w:rsidRDefault="002C0FD9" w:rsidP="00CA25CF">
            <w:pPr>
              <w:rPr>
                <w:rFonts w:cs="Arial"/>
                <w:color w:val="FF0000"/>
                <w:sz w:val="21"/>
                <w:szCs w:val="21"/>
              </w:rPr>
            </w:pPr>
          </w:p>
        </w:tc>
        <w:tc>
          <w:tcPr>
            <w:tcW w:w="217" w:type="dxa"/>
          </w:tcPr>
          <w:p w14:paraId="33D71250" w14:textId="77777777" w:rsidR="002C0FD9" w:rsidRPr="00CA25CF" w:rsidRDefault="002C0FD9" w:rsidP="00CA25CF">
            <w:pPr>
              <w:rPr>
                <w:rFonts w:cs="Arial"/>
                <w:color w:val="FF0000"/>
                <w:sz w:val="21"/>
                <w:szCs w:val="21"/>
              </w:rPr>
            </w:pPr>
          </w:p>
        </w:tc>
        <w:tc>
          <w:tcPr>
            <w:tcW w:w="217" w:type="dxa"/>
          </w:tcPr>
          <w:p w14:paraId="5CE66279" w14:textId="77777777" w:rsidR="002C0FD9" w:rsidRPr="00CA25CF" w:rsidRDefault="002C0FD9" w:rsidP="00CA25CF">
            <w:pPr>
              <w:rPr>
                <w:rFonts w:cs="Arial"/>
                <w:color w:val="FF0000"/>
                <w:sz w:val="21"/>
                <w:szCs w:val="21"/>
              </w:rPr>
            </w:pPr>
          </w:p>
        </w:tc>
        <w:tc>
          <w:tcPr>
            <w:tcW w:w="217" w:type="dxa"/>
          </w:tcPr>
          <w:p w14:paraId="0D5CACE1" w14:textId="77777777" w:rsidR="002C0FD9" w:rsidRPr="00CA25CF" w:rsidRDefault="002C0FD9" w:rsidP="00CA25CF">
            <w:pPr>
              <w:rPr>
                <w:rFonts w:cs="Arial"/>
                <w:color w:val="FF0000"/>
                <w:sz w:val="21"/>
                <w:szCs w:val="21"/>
              </w:rPr>
            </w:pPr>
          </w:p>
        </w:tc>
        <w:tc>
          <w:tcPr>
            <w:tcW w:w="217" w:type="dxa"/>
          </w:tcPr>
          <w:p w14:paraId="3760DCF3" w14:textId="77777777" w:rsidR="002C0FD9" w:rsidRPr="00CA25CF" w:rsidRDefault="002C0FD9" w:rsidP="00CA25CF">
            <w:pPr>
              <w:rPr>
                <w:rFonts w:cs="Arial"/>
                <w:color w:val="FF0000"/>
                <w:sz w:val="21"/>
                <w:szCs w:val="21"/>
              </w:rPr>
            </w:pPr>
          </w:p>
        </w:tc>
        <w:tc>
          <w:tcPr>
            <w:tcW w:w="217" w:type="dxa"/>
          </w:tcPr>
          <w:p w14:paraId="1A092C5F" w14:textId="77777777" w:rsidR="002C0FD9" w:rsidRPr="00CA25CF" w:rsidRDefault="002C0FD9" w:rsidP="00CA25CF">
            <w:pPr>
              <w:rPr>
                <w:rFonts w:cs="Arial"/>
                <w:color w:val="FF0000"/>
                <w:sz w:val="21"/>
                <w:szCs w:val="21"/>
              </w:rPr>
            </w:pPr>
          </w:p>
        </w:tc>
        <w:tc>
          <w:tcPr>
            <w:tcW w:w="217" w:type="dxa"/>
          </w:tcPr>
          <w:p w14:paraId="6CF80709" w14:textId="77777777" w:rsidR="002C0FD9" w:rsidRPr="00CA25CF" w:rsidRDefault="002C0FD9" w:rsidP="00CA25CF">
            <w:pPr>
              <w:rPr>
                <w:rFonts w:cs="Arial"/>
                <w:color w:val="FF0000"/>
                <w:sz w:val="21"/>
                <w:szCs w:val="21"/>
              </w:rPr>
            </w:pPr>
          </w:p>
        </w:tc>
        <w:tc>
          <w:tcPr>
            <w:tcW w:w="217" w:type="dxa"/>
          </w:tcPr>
          <w:p w14:paraId="0232CBE6" w14:textId="77777777" w:rsidR="002C0FD9" w:rsidRPr="00CA25CF" w:rsidRDefault="002C0FD9" w:rsidP="00CA25CF">
            <w:pPr>
              <w:rPr>
                <w:rFonts w:cs="Arial"/>
                <w:color w:val="FF0000"/>
                <w:sz w:val="21"/>
                <w:szCs w:val="21"/>
              </w:rPr>
            </w:pPr>
          </w:p>
        </w:tc>
        <w:tc>
          <w:tcPr>
            <w:tcW w:w="217" w:type="dxa"/>
          </w:tcPr>
          <w:p w14:paraId="71C4F21F" w14:textId="77777777" w:rsidR="002C0FD9" w:rsidRPr="00CA25CF" w:rsidRDefault="002C0FD9" w:rsidP="00CA25CF">
            <w:pPr>
              <w:rPr>
                <w:rFonts w:cs="Arial"/>
                <w:color w:val="FF0000"/>
                <w:sz w:val="21"/>
                <w:szCs w:val="21"/>
              </w:rPr>
            </w:pPr>
          </w:p>
        </w:tc>
        <w:tc>
          <w:tcPr>
            <w:tcW w:w="217" w:type="dxa"/>
          </w:tcPr>
          <w:p w14:paraId="2B89789D" w14:textId="77777777" w:rsidR="002C0FD9" w:rsidRPr="00CA25CF" w:rsidRDefault="002C0FD9" w:rsidP="00CA25CF">
            <w:pPr>
              <w:rPr>
                <w:rFonts w:cs="Arial"/>
                <w:color w:val="FF0000"/>
                <w:sz w:val="21"/>
                <w:szCs w:val="21"/>
              </w:rPr>
            </w:pPr>
          </w:p>
        </w:tc>
        <w:tc>
          <w:tcPr>
            <w:tcW w:w="217" w:type="dxa"/>
          </w:tcPr>
          <w:p w14:paraId="53E4F846" w14:textId="77777777" w:rsidR="002C0FD9" w:rsidRPr="00CA25CF" w:rsidRDefault="002C0FD9" w:rsidP="00CA25CF">
            <w:pPr>
              <w:rPr>
                <w:rFonts w:cs="Arial"/>
                <w:color w:val="FF0000"/>
                <w:sz w:val="21"/>
                <w:szCs w:val="21"/>
              </w:rPr>
            </w:pPr>
          </w:p>
        </w:tc>
        <w:tc>
          <w:tcPr>
            <w:tcW w:w="217" w:type="dxa"/>
          </w:tcPr>
          <w:p w14:paraId="12157C16" w14:textId="77777777" w:rsidR="002C0FD9" w:rsidRPr="00CA25CF" w:rsidRDefault="002C0FD9" w:rsidP="00CA25CF">
            <w:pPr>
              <w:rPr>
                <w:rFonts w:cs="Arial"/>
                <w:color w:val="FF0000"/>
                <w:sz w:val="21"/>
                <w:szCs w:val="21"/>
              </w:rPr>
            </w:pPr>
          </w:p>
        </w:tc>
        <w:tc>
          <w:tcPr>
            <w:tcW w:w="217" w:type="dxa"/>
          </w:tcPr>
          <w:p w14:paraId="40F8E6D7" w14:textId="77777777" w:rsidR="002C0FD9" w:rsidRPr="00CA25CF" w:rsidRDefault="002C0FD9" w:rsidP="00CA25CF">
            <w:pPr>
              <w:rPr>
                <w:rFonts w:cs="Arial"/>
                <w:color w:val="FF0000"/>
                <w:sz w:val="21"/>
                <w:szCs w:val="21"/>
              </w:rPr>
            </w:pPr>
          </w:p>
        </w:tc>
        <w:tc>
          <w:tcPr>
            <w:tcW w:w="217" w:type="dxa"/>
          </w:tcPr>
          <w:p w14:paraId="27BC8F9D" w14:textId="77777777" w:rsidR="002C0FD9" w:rsidRPr="00CA25CF" w:rsidRDefault="002C0FD9" w:rsidP="00CA25CF">
            <w:pPr>
              <w:rPr>
                <w:rFonts w:cs="Arial"/>
                <w:color w:val="FF0000"/>
                <w:sz w:val="21"/>
                <w:szCs w:val="21"/>
              </w:rPr>
            </w:pPr>
          </w:p>
        </w:tc>
        <w:tc>
          <w:tcPr>
            <w:tcW w:w="217" w:type="dxa"/>
          </w:tcPr>
          <w:p w14:paraId="07DE34C8" w14:textId="77777777" w:rsidR="002C0FD9" w:rsidRPr="00CA25CF" w:rsidRDefault="002C0FD9" w:rsidP="00CA25CF">
            <w:pPr>
              <w:rPr>
                <w:rFonts w:cs="Arial"/>
                <w:color w:val="FF0000"/>
                <w:sz w:val="21"/>
                <w:szCs w:val="21"/>
              </w:rPr>
            </w:pPr>
          </w:p>
        </w:tc>
        <w:tc>
          <w:tcPr>
            <w:tcW w:w="217" w:type="dxa"/>
          </w:tcPr>
          <w:p w14:paraId="729B9FB7" w14:textId="77777777" w:rsidR="002C0FD9" w:rsidRPr="00CA25CF" w:rsidRDefault="002C0FD9" w:rsidP="00CA25CF">
            <w:pPr>
              <w:rPr>
                <w:rFonts w:cs="Arial"/>
                <w:color w:val="FF0000"/>
                <w:sz w:val="21"/>
                <w:szCs w:val="21"/>
              </w:rPr>
            </w:pPr>
          </w:p>
        </w:tc>
        <w:tc>
          <w:tcPr>
            <w:tcW w:w="217" w:type="dxa"/>
          </w:tcPr>
          <w:p w14:paraId="574B1F1F" w14:textId="77777777" w:rsidR="002C0FD9" w:rsidRPr="00CA25CF" w:rsidRDefault="002C0FD9" w:rsidP="00CA25CF">
            <w:pPr>
              <w:rPr>
                <w:rFonts w:cs="Arial"/>
                <w:color w:val="FF0000"/>
                <w:sz w:val="21"/>
                <w:szCs w:val="21"/>
              </w:rPr>
            </w:pPr>
          </w:p>
        </w:tc>
        <w:tc>
          <w:tcPr>
            <w:tcW w:w="217" w:type="dxa"/>
          </w:tcPr>
          <w:p w14:paraId="77F5DAD3" w14:textId="77777777" w:rsidR="002C0FD9" w:rsidRPr="00CA25CF" w:rsidRDefault="002C0FD9" w:rsidP="00CA25CF">
            <w:pPr>
              <w:rPr>
                <w:rFonts w:cs="Arial"/>
                <w:color w:val="FF0000"/>
                <w:sz w:val="21"/>
                <w:szCs w:val="21"/>
              </w:rPr>
            </w:pPr>
          </w:p>
        </w:tc>
        <w:tc>
          <w:tcPr>
            <w:tcW w:w="217" w:type="dxa"/>
          </w:tcPr>
          <w:p w14:paraId="2DD8C671" w14:textId="77777777" w:rsidR="002C0FD9" w:rsidRPr="00CA25CF" w:rsidRDefault="002C0FD9" w:rsidP="00CA25CF">
            <w:pPr>
              <w:rPr>
                <w:rFonts w:cs="Arial"/>
                <w:color w:val="FF0000"/>
                <w:sz w:val="21"/>
                <w:szCs w:val="21"/>
              </w:rPr>
            </w:pPr>
          </w:p>
        </w:tc>
        <w:tc>
          <w:tcPr>
            <w:tcW w:w="217" w:type="dxa"/>
          </w:tcPr>
          <w:p w14:paraId="7041A534" w14:textId="77777777" w:rsidR="002C0FD9" w:rsidRPr="00CA25CF" w:rsidRDefault="002C0FD9" w:rsidP="00CA25CF">
            <w:pPr>
              <w:rPr>
                <w:rFonts w:cs="Arial"/>
                <w:color w:val="FF0000"/>
                <w:sz w:val="21"/>
                <w:szCs w:val="21"/>
              </w:rPr>
            </w:pPr>
          </w:p>
        </w:tc>
        <w:tc>
          <w:tcPr>
            <w:tcW w:w="217" w:type="dxa"/>
          </w:tcPr>
          <w:p w14:paraId="216BB906" w14:textId="77777777" w:rsidR="002C0FD9" w:rsidRPr="00CA25CF" w:rsidRDefault="002C0FD9" w:rsidP="00CA25CF">
            <w:pPr>
              <w:rPr>
                <w:rFonts w:cs="Arial"/>
                <w:color w:val="FF0000"/>
                <w:sz w:val="21"/>
                <w:szCs w:val="21"/>
              </w:rPr>
            </w:pPr>
          </w:p>
        </w:tc>
        <w:tc>
          <w:tcPr>
            <w:tcW w:w="217" w:type="dxa"/>
          </w:tcPr>
          <w:p w14:paraId="3CA5DBB2" w14:textId="77777777" w:rsidR="002C0FD9" w:rsidRPr="00CA25CF" w:rsidRDefault="002C0FD9" w:rsidP="00CA25CF">
            <w:pPr>
              <w:rPr>
                <w:rFonts w:cs="Arial"/>
                <w:color w:val="FF0000"/>
                <w:sz w:val="21"/>
                <w:szCs w:val="21"/>
              </w:rPr>
            </w:pPr>
          </w:p>
        </w:tc>
        <w:tc>
          <w:tcPr>
            <w:tcW w:w="217" w:type="dxa"/>
          </w:tcPr>
          <w:p w14:paraId="41E9FE33" w14:textId="77777777" w:rsidR="002C0FD9" w:rsidRPr="00CA25CF" w:rsidRDefault="002C0FD9" w:rsidP="00CA25CF">
            <w:pPr>
              <w:rPr>
                <w:rFonts w:cs="Arial"/>
                <w:color w:val="FF0000"/>
                <w:sz w:val="21"/>
                <w:szCs w:val="21"/>
              </w:rPr>
            </w:pPr>
          </w:p>
        </w:tc>
        <w:tc>
          <w:tcPr>
            <w:tcW w:w="217" w:type="dxa"/>
          </w:tcPr>
          <w:p w14:paraId="48C9CFC1" w14:textId="77777777" w:rsidR="002C0FD9" w:rsidRPr="00CA25CF" w:rsidRDefault="002C0FD9" w:rsidP="00CA25CF">
            <w:pPr>
              <w:rPr>
                <w:rFonts w:cs="Arial"/>
                <w:color w:val="FF0000"/>
                <w:sz w:val="21"/>
                <w:szCs w:val="21"/>
              </w:rPr>
            </w:pPr>
          </w:p>
        </w:tc>
        <w:tc>
          <w:tcPr>
            <w:tcW w:w="217" w:type="dxa"/>
          </w:tcPr>
          <w:p w14:paraId="0134082B" w14:textId="77777777" w:rsidR="002C0FD9" w:rsidRPr="00CA25CF" w:rsidRDefault="002C0FD9" w:rsidP="00CA25CF">
            <w:pPr>
              <w:rPr>
                <w:rFonts w:cs="Arial"/>
                <w:color w:val="FF0000"/>
                <w:sz w:val="21"/>
                <w:szCs w:val="21"/>
              </w:rPr>
            </w:pPr>
          </w:p>
        </w:tc>
        <w:tc>
          <w:tcPr>
            <w:tcW w:w="217" w:type="dxa"/>
          </w:tcPr>
          <w:p w14:paraId="442A000F" w14:textId="77777777" w:rsidR="002C0FD9" w:rsidRPr="00CA25CF" w:rsidRDefault="002C0FD9" w:rsidP="00CA25CF">
            <w:pPr>
              <w:rPr>
                <w:rFonts w:cs="Arial"/>
                <w:color w:val="FF0000"/>
                <w:sz w:val="21"/>
                <w:szCs w:val="21"/>
              </w:rPr>
            </w:pPr>
          </w:p>
        </w:tc>
        <w:tc>
          <w:tcPr>
            <w:tcW w:w="217" w:type="dxa"/>
          </w:tcPr>
          <w:p w14:paraId="1A512043" w14:textId="77777777" w:rsidR="002C0FD9" w:rsidRPr="00CA25CF" w:rsidRDefault="002C0FD9" w:rsidP="00CA25CF">
            <w:pPr>
              <w:rPr>
                <w:rFonts w:cs="Arial"/>
                <w:color w:val="FF0000"/>
                <w:sz w:val="21"/>
                <w:szCs w:val="21"/>
              </w:rPr>
            </w:pPr>
          </w:p>
        </w:tc>
        <w:tc>
          <w:tcPr>
            <w:tcW w:w="217" w:type="dxa"/>
          </w:tcPr>
          <w:p w14:paraId="354F5CFE" w14:textId="77777777" w:rsidR="002C0FD9" w:rsidRPr="00CA25CF" w:rsidRDefault="002C0FD9" w:rsidP="00CA25CF">
            <w:pPr>
              <w:rPr>
                <w:rFonts w:cs="Arial"/>
                <w:color w:val="FF0000"/>
                <w:sz w:val="21"/>
                <w:szCs w:val="21"/>
              </w:rPr>
            </w:pPr>
          </w:p>
        </w:tc>
        <w:tc>
          <w:tcPr>
            <w:tcW w:w="217" w:type="dxa"/>
          </w:tcPr>
          <w:p w14:paraId="40AF4E05" w14:textId="77777777" w:rsidR="002C0FD9" w:rsidRPr="00CA25CF" w:rsidRDefault="002C0FD9" w:rsidP="00CA25CF">
            <w:pPr>
              <w:rPr>
                <w:rFonts w:cs="Arial"/>
                <w:color w:val="FF0000"/>
                <w:sz w:val="21"/>
                <w:szCs w:val="21"/>
              </w:rPr>
            </w:pPr>
          </w:p>
        </w:tc>
        <w:tc>
          <w:tcPr>
            <w:tcW w:w="217" w:type="dxa"/>
          </w:tcPr>
          <w:p w14:paraId="2050F62D" w14:textId="77777777" w:rsidR="002C0FD9" w:rsidRPr="00CA25CF" w:rsidRDefault="002C0FD9" w:rsidP="00CA25CF">
            <w:pPr>
              <w:rPr>
                <w:rFonts w:cs="Arial"/>
                <w:color w:val="FF0000"/>
                <w:sz w:val="21"/>
                <w:szCs w:val="21"/>
              </w:rPr>
            </w:pPr>
          </w:p>
        </w:tc>
        <w:tc>
          <w:tcPr>
            <w:tcW w:w="217" w:type="dxa"/>
          </w:tcPr>
          <w:p w14:paraId="5D00E673" w14:textId="77777777" w:rsidR="002C0FD9" w:rsidRPr="00CA25CF" w:rsidRDefault="002C0FD9" w:rsidP="00CA25CF">
            <w:pPr>
              <w:rPr>
                <w:rFonts w:cs="Arial"/>
                <w:color w:val="FF0000"/>
                <w:sz w:val="21"/>
                <w:szCs w:val="21"/>
              </w:rPr>
            </w:pPr>
          </w:p>
        </w:tc>
        <w:tc>
          <w:tcPr>
            <w:tcW w:w="217" w:type="dxa"/>
          </w:tcPr>
          <w:p w14:paraId="0695BC46" w14:textId="77777777" w:rsidR="002C0FD9" w:rsidRPr="00CA25CF" w:rsidRDefault="002C0FD9" w:rsidP="00CA25CF">
            <w:pPr>
              <w:rPr>
                <w:rFonts w:cs="Arial"/>
                <w:color w:val="FF0000"/>
                <w:sz w:val="21"/>
                <w:szCs w:val="21"/>
              </w:rPr>
            </w:pPr>
          </w:p>
        </w:tc>
        <w:tc>
          <w:tcPr>
            <w:tcW w:w="217" w:type="dxa"/>
          </w:tcPr>
          <w:p w14:paraId="39646B86" w14:textId="77777777" w:rsidR="002C0FD9" w:rsidRPr="00CA25CF" w:rsidRDefault="002C0FD9" w:rsidP="00CA25CF">
            <w:pPr>
              <w:rPr>
                <w:rFonts w:cs="Arial"/>
                <w:color w:val="FF0000"/>
                <w:sz w:val="21"/>
                <w:szCs w:val="21"/>
              </w:rPr>
            </w:pPr>
          </w:p>
        </w:tc>
      </w:tr>
      <w:tr w:rsidR="002C0FD9" w:rsidRPr="00A16219" w14:paraId="71070E75" w14:textId="4CC83D17" w:rsidTr="002C0FD9">
        <w:trPr>
          <w:trHeight w:val="635"/>
        </w:trPr>
        <w:tc>
          <w:tcPr>
            <w:tcW w:w="515" w:type="dxa"/>
          </w:tcPr>
          <w:p w14:paraId="6252965A" w14:textId="77777777" w:rsidR="002C0FD9" w:rsidRPr="00CA25CF" w:rsidRDefault="002C0FD9" w:rsidP="00CA25CF">
            <w:pPr>
              <w:rPr>
                <w:rFonts w:cs="Arial"/>
                <w:color w:val="FF0000"/>
                <w:sz w:val="21"/>
                <w:szCs w:val="21"/>
              </w:rPr>
            </w:pPr>
          </w:p>
        </w:tc>
        <w:tc>
          <w:tcPr>
            <w:tcW w:w="217" w:type="dxa"/>
          </w:tcPr>
          <w:p w14:paraId="5961D919" w14:textId="77777777" w:rsidR="002C0FD9" w:rsidRPr="00CA25CF" w:rsidRDefault="002C0FD9" w:rsidP="00CA25CF">
            <w:pPr>
              <w:rPr>
                <w:rFonts w:cs="Arial"/>
                <w:color w:val="FF0000"/>
                <w:sz w:val="21"/>
                <w:szCs w:val="21"/>
              </w:rPr>
            </w:pPr>
          </w:p>
        </w:tc>
        <w:tc>
          <w:tcPr>
            <w:tcW w:w="217" w:type="dxa"/>
          </w:tcPr>
          <w:p w14:paraId="155EE2A0" w14:textId="501BE660" w:rsidR="002C0FD9" w:rsidRPr="00CA25CF" w:rsidRDefault="002C0FD9" w:rsidP="00CA25CF">
            <w:pPr>
              <w:rPr>
                <w:rFonts w:cs="Arial"/>
                <w:color w:val="FF0000"/>
                <w:sz w:val="21"/>
                <w:szCs w:val="21"/>
              </w:rPr>
            </w:pPr>
          </w:p>
        </w:tc>
        <w:tc>
          <w:tcPr>
            <w:tcW w:w="217" w:type="dxa"/>
          </w:tcPr>
          <w:p w14:paraId="7428C520" w14:textId="77777777" w:rsidR="002C0FD9" w:rsidRPr="00CA25CF" w:rsidRDefault="002C0FD9" w:rsidP="00CA25CF">
            <w:pPr>
              <w:rPr>
                <w:rFonts w:cs="Arial"/>
                <w:color w:val="FF0000"/>
                <w:sz w:val="21"/>
                <w:szCs w:val="21"/>
              </w:rPr>
            </w:pPr>
          </w:p>
        </w:tc>
        <w:tc>
          <w:tcPr>
            <w:tcW w:w="217" w:type="dxa"/>
          </w:tcPr>
          <w:p w14:paraId="5B1F54E2" w14:textId="77777777" w:rsidR="002C0FD9" w:rsidRPr="00CA25CF" w:rsidRDefault="002C0FD9" w:rsidP="00CA25CF">
            <w:pPr>
              <w:rPr>
                <w:rFonts w:cs="Arial"/>
                <w:color w:val="FF0000"/>
                <w:sz w:val="21"/>
                <w:szCs w:val="21"/>
              </w:rPr>
            </w:pPr>
          </w:p>
        </w:tc>
        <w:tc>
          <w:tcPr>
            <w:tcW w:w="217" w:type="dxa"/>
          </w:tcPr>
          <w:p w14:paraId="5C085078" w14:textId="77777777" w:rsidR="002C0FD9" w:rsidRPr="00CA25CF" w:rsidRDefault="002C0FD9" w:rsidP="00CA25CF">
            <w:pPr>
              <w:rPr>
                <w:rFonts w:cs="Arial"/>
                <w:color w:val="FF0000"/>
                <w:sz w:val="21"/>
                <w:szCs w:val="21"/>
              </w:rPr>
            </w:pPr>
          </w:p>
        </w:tc>
        <w:tc>
          <w:tcPr>
            <w:tcW w:w="217" w:type="dxa"/>
          </w:tcPr>
          <w:p w14:paraId="4603FACA" w14:textId="77777777" w:rsidR="002C0FD9" w:rsidRPr="00CA25CF" w:rsidRDefault="002C0FD9" w:rsidP="00CA25CF">
            <w:pPr>
              <w:rPr>
                <w:rFonts w:cs="Arial"/>
                <w:color w:val="FF0000"/>
                <w:sz w:val="21"/>
                <w:szCs w:val="21"/>
              </w:rPr>
            </w:pPr>
          </w:p>
        </w:tc>
        <w:tc>
          <w:tcPr>
            <w:tcW w:w="217" w:type="dxa"/>
          </w:tcPr>
          <w:p w14:paraId="21B8E024" w14:textId="77777777" w:rsidR="002C0FD9" w:rsidRPr="00CA25CF" w:rsidRDefault="002C0FD9" w:rsidP="00CA25CF">
            <w:pPr>
              <w:rPr>
                <w:rFonts w:cs="Arial"/>
                <w:color w:val="FF0000"/>
                <w:sz w:val="21"/>
                <w:szCs w:val="21"/>
              </w:rPr>
            </w:pPr>
          </w:p>
        </w:tc>
        <w:tc>
          <w:tcPr>
            <w:tcW w:w="217" w:type="dxa"/>
          </w:tcPr>
          <w:p w14:paraId="4C7B86DD" w14:textId="77777777" w:rsidR="002C0FD9" w:rsidRPr="00CA25CF" w:rsidRDefault="002C0FD9" w:rsidP="00CA25CF">
            <w:pPr>
              <w:rPr>
                <w:rFonts w:cs="Arial"/>
                <w:color w:val="FF0000"/>
                <w:sz w:val="21"/>
                <w:szCs w:val="21"/>
              </w:rPr>
            </w:pPr>
          </w:p>
        </w:tc>
        <w:tc>
          <w:tcPr>
            <w:tcW w:w="217" w:type="dxa"/>
          </w:tcPr>
          <w:p w14:paraId="39F1B88F" w14:textId="77777777" w:rsidR="002C0FD9" w:rsidRPr="00CA25CF" w:rsidRDefault="002C0FD9" w:rsidP="00CA25CF">
            <w:pPr>
              <w:rPr>
                <w:rFonts w:cs="Arial"/>
                <w:color w:val="FF0000"/>
                <w:sz w:val="21"/>
                <w:szCs w:val="21"/>
              </w:rPr>
            </w:pPr>
          </w:p>
        </w:tc>
        <w:tc>
          <w:tcPr>
            <w:tcW w:w="217" w:type="dxa"/>
          </w:tcPr>
          <w:p w14:paraId="09420B7D" w14:textId="77777777" w:rsidR="002C0FD9" w:rsidRPr="00CA25CF" w:rsidRDefault="002C0FD9" w:rsidP="00CA25CF">
            <w:pPr>
              <w:rPr>
                <w:rFonts w:cs="Arial"/>
                <w:color w:val="FF0000"/>
                <w:sz w:val="21"/>
                <w:szCs w:val="21"/>
              </w:rPr>
            </w:pPr>
          </w:p>
        </w:tc>
        <w:tc>
          <w:tcPr>
            <w:tcW w:w="217" w:type="dxa"/>
          </w:tcPr>
          <w:p w14:paraId="45BF5D1A" w14:textId="77777777" w:rsidR="002C0FD9" w:rsidRPr="00CA25CF" w:rsidRDefault="002C0FD9" w:rsidP="00CA25CF">
            <w:pPr>
              <w:rPr>
                <w:rFonts w:cs="Arial"/>
                <w:color w:val="FF0000"/>
                <w:sz w:val="21"/>
                <w:szCs w:val="21"/>
              </w:rPr>
            </w:pPr>
          </w:p>
        </w:tc>
        <w:tc>
          <w:tcPr>
            <w:tcW w:w="217" w:type="dxa"/>
          </w:tcPr>
          <w:p w14:paraId="59638C1B" w14:textId="77777777" w:rsidR="002C0FD9" w:rsidRPr="00CA25CF" w:rsidRDefault="002C0FD9" w:rsidP="00CA25CF">
            <w:pPr>
              <w:rPr>
                <w:rFonts w:cs="Arial"/>
                <w:color w:val="FF0000"/>
                <w:sz w:val="21"/>
                <w:szCs w:val="21"/>
              </w:rPr>
            </w:pPr>
          </w:p>
        </w:tc>
        <w:tc>
          <w:tcPr>
            <w:tcW w:w="217" w:type="dxa"/>
          </w:tcPr>
          <w:p w14:paraId="5B02C398" w14:textId="77777777" w:rsidR="002C0FD9" w:rsidRPr="00CA25CF" w:rsidRDefault="002C0FD9" w:rsidP="00CA25CF">
            <w:pPr>
              <w:rPr>
                <w:rFonts w:cs="Arial"/>
                <w:color w:val="FF0000"/>
                <w:sz w:val="21"/>
                <w:szCs w:val="21"/>
              </w:rPr>
            </w:pPr>
          </w:p>
        </w:tc>
        <w:tc>
          <w:tcPr>
            <w:tcW w:w="217" w:type="dxa"/>
          </w:tcPr>
          <w:p w14:paraId="14168B9E" w14:textId="77777777" w:rsidR="002C0FD9" w:rsidRPr="00CA25CF" w:rsidRDefault="002C0FD9" w:rsidP="00CA25CF">
            <w:pPr>
              <w:rPr>
                <w:rFonts w:cs="Arial"/>
                <w:color w:val="FF0000"/>
                <w:sz w:val="21"/>
                <w:szCs w:val="21"/>
              </w:rPr>
            </w:pPr>
          </w:p>
        </w:tc>
        <w:tc>
          <w:tcPr>
            <w:tcW w:w="217" w:type="dxa"/>
          </w:tcPr>
          <w:p w14:paraId="3FF6E75E" w14:textId="77777777" w:rsidR="002C0FD9" w:rsidRPr="00CA25CF" w:rsidRDefault="002C0FD9" w:rsidP="00CA25CF">
            <w:pPr>
              <w:rPr>
                <w:rFonts w:cs="Arial"/>
                <w:color w:val="FF0000"/>
                <w:sz w:val="21"/>
                <w:szCs w:val="21"/>
              </w:rPr>
            </w:pPr>
          </w:p>
        </w:tc>
        <w:tc>
          <w:tcPr>
            <w:tcW w:w="217" w:type="dxa"/>
          </w:tcPr>
          <w:p w14:paraId="7E16D91C" w14:textId="77777777" w:rsidR="002C0FD9" w:rsidRPr="00CA25CF" w:rsidRDefault="002C0FD9" w:rsidP="00CA25CF">
            <w:pPr>
              <w:rPr>
                <w:rFonts w:cs="Arial"/>
                <w:color w:val="FF0000"/>
                <w:sz w:val="21"/>
                <w:szCs w:val="21"/>
              </w:rPr>
            </w:pPr>
          </w:p>
        </w:tc>
        <w:tc>
          <w:tcPr>
            <w:tcW w:w="217" w:type="dxa"/>
          </w:tcPr>
          <w:p w14:paraId="4D9410D1" w14:textId="77777777" w:rsidR="002C0FD9" w:rsidRPr="00CA25CF" w:rsidRDefault="002C0FD9" w:rsidP="00CA25CF">
            <w:pPr>
              <w:rPr>
                <w:rFonts w:cs="Arial"/>
                <w:color w:val="FF0000"/>
                <w:sz w:val="21"/>
                <w:szCs w:val="21"/>
              </w:rPr>
            </w:pPr>
          </w:p>
        </w:tc>
        <w:tc>
          <w:tcPr>
            <w:tcW w:w="217" w:type="dxa"/>
          </w:tcPr>
          <w:p w14:paraId="4455EF54" w14:textId="77777777" w:rsidR="002C0FD9" w:rsidRPr="00CA25CF" w:rsidRDefault="002C0FD9" w:rsidP="00CA25CF">
            <w:pPr>
              <w:rPr>
                <w:rFonts w:cs="Arial"/>
                <w:color w:val="FF0000"/>
                <w:sz w:val="21"/>
                <w:szCs w:val="21"/>
              </w:rPr>
            </w:pPr>
          </w:p>
        </w:tc>
        <w:tc>
          <w:tcPr>
            <w:tcW w:w="217" w:type="dxa"/>
          </w:tcPr>
          <w:p w14:paraId="2FCB3558" w14:textId="77777777" w:rsidR="002C0FD9" w:rsidRPr="00CA25CF" w:rsidRDefault="002C0FD9" w:rsidP="00CA25CF">
            <w:pPr>
              <w:rPr>
                <w:rFonts w:cs="Arial"/>
                <w:color w:val="FF0000"/>
                <w:sz w:val="21"/>
                <w:szCs w:val="21"/>
              </w:rPr>
            </w:pPr>
          </w:p>
        </w:tc>
        <w:tc>
          <w:tcPr>
            <w:tcW w:w="217" w:type="dxa"/>
          </w:tcPr>
          <w:p w14:paraId="21CA43EB" w14:textId="77777777" w:rsidR="002C0FD9" w:rsidRPr="00CA25CF" w:rsidRDefault="002C0FD9" w:rsidP="00CA25CF">
            <w:pPr>
              <w:rPr>
                <w:rFonts w:cs="Arial"/>
                <w:color w:val="FF0000"/>
                <w:sz w:val="21"/>
                <w:szCs w:val="21"/>
              </w:rPr>
            </w:pPr>
          </w:p>
        </w:tc>
        <w:tc>
          <w:tcPr>
            <w:tcW w:w="217" w:type="dxa"/>
          </w:tcPr>
          <w:p w14:paraId="679C44C4" w14:textId="77777777" w:rsidR="002C0FD9" w:rsidRPr="00CA25CF" w:rsidRDefault="002C0FD9" w:rsidP="00CA25CF">
            <w:pPr>
              <w:rPr>
                <w:rFonts w:cs="Arial"/>
                <w:color w:val="FF0000"/>
                <w:sz w:val="21"/>
                <w:szCs w:val="21"/>
              </w:rPr>
            </w:pPr>
          </w:p>
        </w:tc>
        <w:tc>
          <w:tcPr>
            <w:tcW w:w="217" w:type="dxa"/>
          </w:tcPr>
          <w:p w14:paraId="38DC727F" w14:textId="77777777" w:rsidR="002C0FD9" w:rsidRPr="00CA25CF" w:rsidRDefault="002C0FD9" w:rsidP="00CA25CF">
            <w:pPr>
              <w:rPr>
                <w:rFonts w:cs="Arial"/>
                <w:color w:val="FF0000"/>
                <w:sz w:val="21"/>
                <w:szCs w:val="21"/>
              </w:rPr>
            </w:pPr>
          </w:p>
        </w:tc>
        <w:tc>
          <w:tcPr>
            <w:tcW w:w="217" w:type="dxa"/>
          </w:tcPr>
          <w:p w14:paraId="7C21557D" w14:textId="77777777" w:rsidR="002C0FD9" w:rsidRPr="00CA25CF" w:rsidRDefault="002C0FD9" w:rsidP="00CA25CF">
            <w:pPr>
              <w:rPr>
                <w:rFonts w:cs="Arial"/>
                <w:color w:val="FF0000"/>
                <w:sz w:val="21"/>
                <w:szCs w:val="21"/>
              </w:rPr>
            </w:pPr>
          </w:p>
        </w:tc>
        <w:tc>
          <w:tcPr>
            <w:tcW w:w="217" w:type="dxa"/>
          </w:tcPr>
          <w:p w14:paraId="25D99712" w14:textId="77777777" w:rsidR="002C0FD9" w:rsidRPr="00CA25CF" w:rsidRDefault="002C0FD9" w:rsidP="00CA25CF">
            <w:pPr>
              <w:rPr>
                <w:rFonts w:cs="Arial"/>
                <w:color w:val="FF0000"/>
                <w:sz w:val="21"/>
                <w:szCs w:val="21"/>
              </w:rPr>
            </w:pPr>
          </w:p>
        </w:tc>
        <w:tc>
          <w:tcPr>
            <w:tcW w:w="217" w:type="dxa"/>
          </w:tcPr>
          <w:p w14:paraId="27854E5B" w14:textId="77777777" w:rsidR="002C0FD9" w:rsidRPr="00CA25CF" w:rsidRDefault="002C0FD9" w:rsidP="00CA25CF">
            <w:pPr>
              <w:rPr>
                <w:rFonts w:cs="Arial"/>
                <w:color w:val="FF0000"/>
                <w:sz w:val="21"/>
                <w:szCs w:val="21"/>
              </w:rPr>
            </w:pPr>
          </w:p>
        </w:tc>
        <w:tc>
          <w:tcPr>
            <w:tcW w:w="217" w:type="dxa"/>
          </w:tcPr>
          <w:p w14:paraId="401BB11B" w14:textId="77777777" w:rsidR="002C0FD9" w:rsidRPr="00CA25CF" w:rsidRDefault="002C0FD9" w:rsidP="00CA25CF">
            <w:pPr>
              <w:rPr>
                <w:rFonts w:cs="Arial"/>
                <w:color w:val="FF0000"/>
                <w:sz w:val="21"/>
                <w:szCs w:val="21"/>
              </w:rPr>
            </w:pPr>
          </w:p>
        </w:tc>
        <w:tc>
          <w:tcPr>
            <w:tcW w:w="217" w:type="dxa"/>
          </w:tcPr>
          <w:p w14:paraId="01662D8E" w14:textId="77777777" w:rsidR="002C0FD9" w:rsidRPr="00CA25CF" w:rsidRDefault="002C0FD9" w:rsidP="00CA25CF">
            <w:pPr>
              <w:rPr>
                <w:rFonts w:cs="Arial"/>
                <w:color w:val="FF0000"/>
                <w:sz w:val="21"/>
                <w:szCs w:val="21"/>
              </w:rPr>
            </w:pPr>
          </w:p>
        </w:tc>
        <w:tc>
          <w:tcPr>
            <w:tcW w:w="217" w:type="dxa"/>
          </w:tcPr>
          <w:p w14:paraId="47EE64C5" w14:textId="77777777" w:rsidR="002C0FD9" w:rsidRPr="00CA25CF" w:rsidRDefault="002C0FD9" w:rsidP="00CA25CF">
            <w:pPr>
              <w:rPr>
                <w:rFonts w:cs="Arial"/>
                <w:color w:val="FF0000"/>
                <w:sz w:val="21"/>
                <w:szCs w:val="21"/>
              </w:rPr>
            </w:pPr>
          </w:p>
        </w:tc>
        <w:tc>
          <w:tcPr>
            <w:tcW w:w="217" w:type="dxa"/>
          </w:tcPr>
          <w:p w14:paraId="1F9CBEA6" w14:textId="77777777" w:rsidR="002C0FD9" w:rsidRPr="00CA25CF" w:rsidRDefault="002C0FD9" w:rsidP="00CA25CF">
            <w:pPr>
              <w:rPr>
                <w:rFonts w:cs="Arial"/>
                <w:color w:val="FF0000"/>
                <w:sz w:val="21"/>
                <w:szCs w:val="21"/>
              </w:rPr>
            </w:pPr>
          </w:p>
        </w:tc>
        <w:tc>
          <w:tcPr>
            <w:tcW w:w="217" w:type="dxa"/>
          </w:tcPr>
          <w:p w14:paraId="5B4AA684" w14:textId="77777777" w:rsidR="002C0FD9" w:rsidRPr="00CA25CF" w:rsidRDefault="002C0FD9" w:rsidP="00CA25CF">
            <w:pPr>
              <w:rPr>
                <w:rFonts w:cs="Arial"/>
                <w:color w:val="FF0000"/>
                <w:sz w:val="21"/>
                <w:szCs w:val="21"/>
              </w:rPr>
            </w:pPr>
          </w:p>
        </w:tc>
        <w:tc>
          <w:tcPr>
            <w:tcW w:w="217" w:type="dxa"/>
          </w:tcPr>
          <w:p w14:paraId="59E30957" w14:textId="77777777" w:rsidR="002C0FD9" w:rsidRPr="00CA25CF" w:rsidRDefault="002C0FD9" w:rsidP="00CA25CF">
            <w:pPr>
              <w:rPr>
                <w:rFonts w:cs="Arial"/>
                <w:color w:val="FF0000"/>
                <w:sz w:val="21"/>
                <w:szCs w:val="21"/>
              </w:rPr>
            </w:pPr>
          </w:p>
        </w:tc>
        <w:tc>
          <w:tcPr>
            <w:tcW w:w="217" w:type="dxa"/>
          </w:tcPr>
          <w:p w14:paraId="75EA4451" w14:textId="77777777" w:rsidR="002C0FD9" w:rsidRPr="00CA25CF" w:rsidRDefault="002C0FD9" w:rsidP="00CA25CF">
            <w:pPr>
              <w:rPr>
                <w:rFonts w:cs="Arial"/>
                <w:color w:val="FF0000"/>
                <w:sz w:val="21"/>
                <w:szCs w:val="21"/>
              </w:rPr>
            </w:pPr>
          </w:p>
        </w:tc>
        <w:tc>
          <w:tcPr>
            <w:tcW w:w="217" w:type="dxa"/>
          </w:tcPr>
          <w:p w14:paraId="374BBEFA" w14:textId="77777777" w:rsidR="002C0FD9" w:rsidRPr="00CA25CF" w:rsidRDefault="002C0FD9" w:rsidP="00CA25CF">
            <w:pPr>
              <w:rPr>
                <w:rFonts w:cs="Arial"/>
                <w:color w:val="FF0000"/>
                <w:sz w:val="21"/>
                <w:szCs w:val="21"/>
              </w:rPr>
            </w:pPr>
          </w:p>
        </w:tc>
        <w:tc>
          <w:tcPr>
            <w:tcW w:w="217" w:type="dxa"/>
          </w:tcPr>
          <w:p w14:paraId="6FEA57B5" w14:textId="77777777" w:rsidR="002C0FD9" w:rsidRPr="00CA25CF" w:rsidRDefault="002C0FD9" w:rsidP="00CA25CF">
            <w:pPr>
              <w:rPr>
                <w:rFonts w:cs="Arial"/>
                <w:color w:val="FF0000"/>
                <w:sz w:val="21"/>
                <w:szCs w:val="21"/>
              </w:rPr>
            </w:pPr>
          </w:p>
        </w:tc>
        <w:tc>
          <w:tcPr>
            <w:tcW w:w="217" w:type="dxa"/>
          </w:tcPr>
          <w:p w14:paraId="0C33A142" w14:textId="77777777" w:rsidR="002C0FD9" w:rsidRPr="00CA25CF" w:rsidRDefault="002C0FD9" w:rsidP="00CA25CF">
            <w:pPr>
              <w:rPr>
                <w:rFonts w:cs="Arial"/>
                <w:color w:val="FF0000"/>
                <w:sz w:val="21"/>
                <w:szCs w:val="21"/>
              </w:rPr>
            </w:pPr>
          </w:p>
        </w:tc>
        <w:tc>
          <w:tcPr>
            <w:tcW w:w="217" w:type="dxa"/>
          </w:tcPr>
          <w:p w14:paraId="33BE2709" w14:textId="77777777" w:rsidR="002C0FD9" w:rsidRPr="00CA25CF" w:rsidRDefault="002C0FD9" w:rsidP="00CA25CF">
            <w:pPr>
              <w:rPr>
                <w:rFonts w:cs="Arial"/>
                <w:color w:val="FF0000"/>
                <w:sz w:val="21"/>
                <w:szCs w:val="21"/>
              </w:rPr>
            </w:pPr>
          </w:p>
        </w:tc>
        <w:tc>
          <w:tcPr>
            <w:tcW w:w="217" w:type="dxa"/>
          </w:tcPr>
          <w:p w14:paraId="20EC57BE" w14:textId="77777777" w:rsidR="002C0FD9" w:rsidRPr="00CA25CF" w:rsidRDefault="002C0FD9" w:rsidP="00CA25CF">
            <w:pPr>
              <w:rPr>
                <w:rFonts w:cs="Arial"/>
                <w:color w:val="FF0000"/>
                <w:sz w:val="21"/>
                <w:szCs w:val="21"/>
              </w:rPr>
            </w:pPr>
          </w:p>
        </w:tc>
        <w:tc>
          <w:tcPr>
            <w:tcW w:w="217" w:type="dxa"/>
          </w:tcPr>
          <w:p w14:paraId="25EED4D7" w14:textId="77777777" w:rsidR="002C0FD9" w:rsidRPr="00CA25CF" w:rsidRDefault="002C0FD9" w:rsidP="00CA25CF">
            <w:pPr>
              <w:rPr>
                <w:rFonts w:cs="Arial"/>
                <w:color w:val="FF0000"/>
                <w:sz w:val="21"/>
                <w:szCs w:val="21"/>
              </w:rPr>
            </w:pPr>
          </w:p>
        </w:tc>
        <w:tc>
          <w:tcPr>
            <w:tcW w:w="217" w:type="dxa"/>
          </w:tcPr>
          <w:p w14:paraId="5667F427" w14:textId="77777777" w:rsidR="002C0FD9" w:rsidRPr="00CA25CF" w:rsidRDefault="002C0FD9" w:rsidP="00CA25CF">
            <w:pPr>
              <w:rPr>
                <w:rFonts w:cs="Arial"/>
                <w:color w:val="FF0000"/>
                <w:sz w:val="21"/>
                <w:szCs w:val="21"/>
              </w:rPr>
            </w:pPr>
          </w:p>
        </w:tc>
        <w:tc>
          <w:tcPr>
            <w:tcW w:w="217" w:type="dxa"/>
          </w:tcPr>
          <w:p w14:paraId="6D0E50E9" w14:textId="77777777" w:rsidR="002C0FD9" w:rsidRPr="00CA25CF" w:rsidRDefault="002C0FD9" w:rsidP="00CA25CF">
            <w:pPr>
              <w:rPr>
                <w:rFonts w:cs="Arial"/>
                <w:color w:val="FF0000"/>
                <w:sz w:val="21"/>
                <w:szCs w:val="21"/>
              </w:rPr>
            </w:pPr>
          </w:p>
        </w:tc>
        <w:tc>
          <w:tcPr>
            <w:tcW w:w="217" w:type="dxa"/>
          </w:tcPr>
          <w:p w14:paraId="5942E531" w14:textId="77777777" w:rsidR="002C0FD9" w:rsidRPr="00CA25CF" w:rsidRDefault="002C0FD9" w:rsidP="00CA25CF">
            <w:pPr>
              <w:rPr>
                <w:rFonts w:cs="Arial"/>
                <w:color w:val="FF0000"/>
                <w:sz w:val="21"/>
                <w:szCs w:val="21"/>
              </w:rPr>
            </w:pPr>
          </w:p>
        </w:tc>
        <w:tc>
          <w:tcPr>
            <w:tcW w:w="217" w:type="dxa"/>
          </w:tcPr>
          <w:p w14:paraId="765F6DE0" w14:textId="77777777" w:rsidR="002C0FD9" w:rsidRPr="00CA25CF" w:rsidRDefault="002C0FD9" w:rsidP="00CA25CF">
            <w:pPr>
              <w:rPr>
                <w:rFonts w:cs="Arial"/>
                <w:color w:val="FF0000"/>
                <w:sz w:val="21"/>
                <w:szCs w:val="21"/>
              </w:rPr>
            </w:pPr>
          </w:p>
        </w:tc>
      </w:tr>
      <w:tr w:rsidR="002C0FD9" w:rsidRPr="00A16219" w14:paraId="2B592101" w14:textId="16FD4739" w:rsidTr="002C0FD9">
        <w:trPr>
          <w:trHeight w:val="635"/>
        </w:trPr>
        <w:tc>
          <w:tcPr>
            <w:tcW w:w="515" w:type="dxa"/>
          </w:tcPr>
          <w:p w14:paraId="36C296FD" w14:textId="77777777" w:rsidR="002C0FD9" w:rsidRPr="00CA25CF" w:rsidRDefault="002C0FD9" w:rsidP="00CA25CF">
            <w:pPr>
              <w:rPr>
                <w:rFonts w:cs="Arial"/>
                <w:color w:val="FF0000"/>
                <w:sz w:val="21"/>
                <w:szCs w:val="21"/>
              </w:rPr>
            </w:pPr>
          </w:p>
        </w:tc>
        <w:tc>
          <w:tcPr>
            <w:tcW w:w="217" w:type="dxa"/>
          </w:tcPr>
          <w:p w14:paraId="44BBF5F3" w14:textId="77777777" w:rsidR="002C0FD9" w:rsidRPr="00CA25CF" w:rsidRDefault="002C0FD9" w:rsidP="00CA25CF">
            <w:pPr>
              <w:rPr>
                <w:rFonts w:cs="Arial"/>
                <w:color w:val="FF0000"/>
                <w:sz w:val="21"/>
                <w:szCs w:val="21"/>
              </w:rPr>
            </w:pPr>
          </w:p>
        </w:tc>
        <w:tc>
          <w:tcPr>
            <w:tcW w:w="217" w:type="dxa"/>
          </w:tcPr>
          <w:p w14:paraId="622744BF" w14:textId="1D86501C" w:rsidR="002C0FD9" w:rsidRPr="00CA25CF" w:rsidRDefault="002C0FD9" w:rsidP="00CA25CF">
            <w:pPr>
              <w:rPr>
                <w:rFonts w:cs="Arial"/>
                <w:color w:val="FF0000"/>
                <w:sz w:val="21"/>
                <w:szCs w:val="21"/>
              </w:rPr>
            </w:pPr>
          </w:p>
        </w:tc>
        <w:tc>
          <w:tcPr>
            <w:tcW w:w="217" w:type="dxa"/>
          </w:tcPr>
          <w:p w14:paraId="17852F40" w14:textId="77777777" w:rsidR="002C0FD9" w:rsidRPr="00CA25CF" w:rsidRDefault="002C0FD9" w:rsidP="00CA25CF">
            <w:pPr>
              <w:rPr>
                <w:rFonts w:cs="Arial"/>
                <w:color w:val="FF0000"/>
                <w:sz w:val="21"/>
                <w:szCs w:val="21"/>
              </w:rPr>
            </w:pPr>
          </w:p>
        </w:tc>
        <w:tc>
          <w:tcPr>
            <w:tcW w:w="217" w:type="dxa"/>
          </w:tcPr>
          <w:p w14:paraId="6B72783F" w14:textId="77777777" w:rsidR="002C0FD9" w:rsidRPr="00CA25CF" w:rsidRDefault="002C0FD9" w:rsidP="00CA25CF">
            <w:pPr>
              <w:rPr>
                <w:rFonts w:cs="Arial"/>
                <w:color w:val="FF0000"/>
                <w:sz w:val="21"/>
                <w:szCs w:val="21"/>
              </w:rPr>
            </w:pPr>
          </w:p>
        </w:tc>
        <w:tc>
          <w:tcPr>
            <w:tcW w:w="217" w:type="dxa"/>
          </w:tcPr>
          <w:p w14:paraId="217C0C77" w14:textId="77777777" w:rsidR="002C0FD9" w:rsidRPr="00CA25CF" w:rsidRDefault="002C0FD9" w:rsidP="00CA25CF">
            <w:pPr>
              <w:rPr>
                <w:rFonts w:cs="Arial"/>
                <w:color w:val="FF0000"/>
                <w:sz w:val="21"/>
                <w:szCs w:val="21"/>
              </w:rPr>
            </w:pPr>
          </w:p>
        </w:tc>
        <w:tc>
          <w:tcPr>
            <w:tcW w:w="217" w:type="dxa"/>
          </w:tcPr>
          <w:p w14:paraId="2EF6E336" w14:textId="77777777" w:rsidR="002C0FD9" w:rsidRPr="00CA25CF" w:rsidRDefault="002C0FD9" w:rsidP="00CA25CF">
            <w:pPr>
              <w:rPr>
                <w:rFonts w:cs="Arial"/>
                <w:color w:val="FF0000"/>
                <w:sz w:val="21"/>
                <w:szCs w:val="21"/>
              </w:rPr>
            </w:pPr>
          </w:p>
        </w:tc>
        <w:tc>
          <w:tcPr>
            <w:tcW w:w="217" w:type="dxa"/>
          </w:tcPr>
          <w:p w14:paraId="50774803" w14:textId="77777777" w:rsidR="002C0FD9" w:rsidRPr="00CA25CF" w:rsidRDefault="002C0FD9" w:rsidP="00CA25CF">
            <w:pPr>
              <w:rPr>
                <w:rFonts w:cs="Arial"/>
                <w:color w:val="FF0000"/>
                <w:sz w:val="21"/>
                <w:szCs w:val="21"/>
              </w:rPr>
            </w:pPr>
          </w:p>
        </w:tc>
        <w:tc>
          <w:tcPr>
            <w:tcW w:w="217" w:type="dxa"/>
          </w:tcPr>
          <w:p w14:paraId="0B127A2D" w14:textId="77777777" w:rsidR="002C0FD9" w:rsidRPr="00CA25CF" w:rsidRDefault="002C0FD9" w:rsidP="00CA25CF">
            <w:pPr>
              <w:rPr>
                <w:rFonts w:cs="Arial"/>
                <w:color w:val="FF0000"/>
                <w:sz w:val="21"/>
                <w:szCs w:val="21"/>
              </w:rPr>
            </w:pPr>
          </w:p>
        </w:tc>
        <w:tc>
          <w:tcPr>
            <w:tcW w:w="217" w:type="dxa"/>
          </w:tcPr>
          <w:p w14:paraId="5EE5D714" w14:textId="77777777" w:rsidR="002C0FD9" w:rsidRPr="00CA25CF" w:rsidRDefault="002C0FD9" w:rsidP="00CA25CF">
            <w:pPr>
              <w:rPr>
                <w:rFonts w:cs="Arial"/>
                <w:color w:val="FF0000"/>
                <w:sz w:val="21"/>
                <w:szCs w:val="21"/>
              </w:rPr>
            </w:pPr>
          </w:p>
        </w:tc>
        <w:tc>
          <w:tcPr>
            <w:tcW w:w="217" w:type="dxa"/>
          </w:tcPr>
          <w:p w14:paraId="32790617" w14:textId="77777777" w:rsidR="002C0FD9" w:rsidRPr="00CA25CF" w:rsidRDefault="002C0FD9" w:rsidP="00CA25CF">
            <w:pPr>
              <w:rPr>
                <w:rFonts w:cs="Arial"/>
                <w:color w:val="FF0000"/>
                <w:sz w:val="21"/>
                <w:szCs w:val="21"/>
              </w:rPr>
            </w:pPr>
          </w:p>
        </w:tc>
        <w:tc>
          <w:tcPr>
            <w:tcW w:w="217" w:type="dxa"/>
          </w:tcPr>
          <w:p w14:paraId="67EB6271" w14:textId="77777777" w:rsidR="002C0FD9" w:rsidRPr="00CA25CF" w:rsidRDefault="002C0FD9" w:rsidP="00CA25CF">
            <w:pPr>
              <w:rPr>
                <w:rFonts w:cs="Arial"/>
                <w:color w:val="FF0000"/>
                <w:sz w:val="21"/>
                <w:szCs w:val="21"/>
              </w:rPr>
            </w:pPr>
          </w:p>
        </w:tc>
        <w:tc>
          <w:tcPr>
            <w:tcW w:w="217" w:type="dxa"/>
          </w:tcPr>
          <w:p w14:paraId="4C2C6AD5" w14:textId="77777777" w:rsidR="002C0FD9" w:rsidRPr="00CA25CF" w:rsidRDefault="002C0FD9" w:rsidP="00CA25CF">
            <w:pPr>
              <w:rPr>
                <w:rFonts w:cs="Arial"/>
                <w:color w:val="FF0000"/>
                <w:sz w:val="21"/>
                <w:szCs w:val="21"/>
              </w:rPr>
            </w:pPr>
          </w:p>
        </w:tc>
        <w:tc>
          <w:tcPr>
            <w:tcW w:w="217" w:type="dxa"/>
          </w:tcPr>
          <w:p w14:paraId="5F0B48CA" w14:textId="77777777" w:rsidR="002C0FD9" w:rsidRPr="00CA25CF" w:rsidRDefault="002C0FD9" w:rsidP="00CA25CF">
            <w:pPr>
              <w:rPr>
                <w:rFonts w:cs="Arial"/>
                <w:color w:val="FF0000"/>
                <w:sz w:val="21"/>
                <w:szCs w:val="21"/>
              </w:rPr>
            </w:pPr>
          </w:p>
        </w:tc>
        <w:tc>
          <w:tcPr>
            <w:tcW w:w="217" w:type="dxa"/>
          </w:tcPr>
          <w:p w14:paraId="4EF45E4D" w14:textId="77777777" w:rsidR="002C0FD9" w:rsidRPr="00CA25CF" w:rsidRDefault="002C0FD9" w:rsidP="00CA25CF">
            <w:pPr>
              <w:rPr>
                <w:rFonts w:cs="Arial"/>
                <w:color w:val="FF0000"/>
                <w:sz w:val="21"/>
                <w:szCs w:val="21"/>
              </w:rPr>
            </w:pPr>
          </w:p>
        </w:tc>
        <w:tc>
          <w:tcPr>
            <w:tcW w:w="217" w:type="dxa"/>
          </w:tcPr>
          <w:p w14:paraId="0FD27F8D" w14:textId="77777777" w:rsidR="002C0FD9" w:rsidRPr="00CA25CF" w:rsidRDefault="002C0FD9" w:rsidP="00CA25CF">
            <w:pPr>
              <w:rPr>
                <w:rFonts w:cs="Arial"/>
                <w:color w:val="FF0000"/>
                <w:sz w:val="21"/>
                <w:szCs w:val="21"/>
              </w:rPr>
            </w:pPr>
          </w:p>
        </w:tc>
        <w:tc>
          <w:tcPr>
            <w:tcW w:w="217" w:type="dxa"/>
          </w:tcPr>
          <w:p w14:paraId="1973F3F4" w14:textId="77777777" w:rsidR="002C0FD9" w:rsidRPr="00CA25CF" w:rsidRDefault="002C0FD9" w:rsidP="00CA25CF">
            <w:pPr>
              <w:rPr>
                <w:rFonts w:cs="Arial"/>
                <w:color w:val="FF0000"/>
                <w:sz w:val="21"/>
                <w:szCs w:val="21"/>
              </w:rPr>
            </w:pPr>
          </w:p>
        </w:tc>
        <w:tc>
          <w:tcPr>
            <w:tcW w:w="217" w:type="dxa"/>
          </w:tcPr>
          <w:p w14:paraId="1062A62B" w14:textId="77777777" w:rsidR="002C0FD9" w:rsidRPr="00CA25CF" w:rsidRDefault="002C0FD9" w:rsidP="00CA25CF">
            <w:pPr>
              <w:rPr>
                <w:rFonts w:cs="Arial"/>
                <w:color w:val="FF0000"/>
                <w:sz w:val="21"/>
                <w:szCs w:val="21"/>
              </w:rPr>
            </w:pPr>
          </w:p>
        </w:tc>
        <w:tc>
          <w:tcPr>
            <w:tcW w:w="217" w:type="dxa"/>
          </w:tcPr>
          <w:p w14:paraId="338D80E2" w14:textId="77777777" w:rsidR="002C0FD9" w:rsidRPr="00CA25CF" w:rsidRDefault="002C0FD9" w:rsidP="00CA25CF">
            <w:pPr>
              <w:rPr>
                <w:rFonts w:cs="Arial"/>
                <w:color w:val="FF0000"/>
                <w:sz w:val="21"/>
                <w:szCs w:val="21"/>
              </w:rPr>
            </w:pPr>
          </w:p>
        </w:tc>
        <w:tc>
          <w:tcPr>
            <w:tcW w:w="217" w:type="dxa"/>
          </w:tcPr>
          <w:p w14:paraId="56963FF5" w14:textId="77777777" w:rsidR="002C0FD9" w:rsidRPr="00CA25CF" w:rsidRDefault="002C0FD9" w:rsidP="00CA25CF">
            <w:pPr>
              <w:rPr>
                <w:rFonts w:cs="Arial"/>
                <w:color w:val="FF0000"/>
                <w:sz w:val="21"/>
                <w:szCs w:val="21"/>
              </w:rPr>
            </w:pPr>
          </w:p>
        </w:tc>
        <w:tc>
          <w:tcPr>
            <w:tcW w:w="217" w:type="dxa"/>
          </w:tcPr>
          <w:p w14:paraId="5D207C62" w14:textId="77777777" w:rsidR="002C0FD9" w:rsidRPr="00CA25CF" w:rsidRDefault="002C0FD9" w:rsidP="00CA25CF">
            <w:pPr>
              <w:rPr>
                <w:rFonts w:cs="Arial"/>
                <w:color w:val="FF0000"/>
                <w:sz w:val="21"/>
                <w:szCs w:val="21"/>
              </w:rPr>
            </w:pPr>
          </w:p>
        </w:tc>
        <w:tc>
          <w:tcPr>
            <w:tcW w:w="217" w:type="dxa"/>
          </w:tcPr>
          <w:p w14:paraId="4250A866" w14:textId="77777777" w:rsidR="002C0FD9" w:rsidRPr="00CA25CF" w:rsidRDefault="002C0FD9" w:rsidP="00CA25CF">
            <w:pPr>
              <w:rPr>
                <w:rFonts w:cs="Arial"/>
                <w:color w:val="FF0000"/>
                <w:sz w:val="21"/>
                <w:szCs w:val="21"/>
              </w:rPr>
            </w:pPr>
          </w:p>
        </w:tc>
        <w:tc>
          <w:tcPr>
            <w:tcW w:w="217" w:type="dxa"/>
          </w:tcPr>
          <w:p w14:paraId="0DA203F1" w14:textId="77777777" w:rsidR="002C0FD9" w:rsidRPr="00CA25CF" w:rsidRDefault="002C0FD9" w:rsidP="00CA25CF">
            <w:pPr>
              <w:rPr>
                <w:rFonts w:cs="Arial"/>
                <w:color w:val="FF0000"/>
                <w:sz w:val="21"/>
                <w:szCs w:val="21"/>
              </w:rPr>
            </w:pPr>
          </w:p>
        </w:tc>
        <w:tc>
          <w:tcPr>
            <w:tcW w:w="217" w:type="dxa"/>
          </w:tcPr>
          <w:p w14:paraId="1B7DEACD" w14:textId="77777777" w:rsidR="002C0FD9" w:rsidRPr="00CA25CF" w:rsidRDefault="002C0FD9" w:rsidP="00CA25CF">
            <w:pPr>
              <w:rPr>
                <w:rFonts w:cs="Arial"/>
                <w:color w:val="FF0000"/>
                <w:sz w:val="21"/>
                <w:szCs w:val="21"/>
              </w:rPr>
            </w:pPr>
          </w:p>
        </w:tc>
        <w:tc>
          <w:tcPr>
            <w:tcW w:w="217" w:type="dxa"/>
          </w:tcPr>
          <w:p w14:paraId="48A5816E" w14:textId="77777777" w:rsidR="002C0FD9" w:rsidRPr="00CA25CF" w:rsidRDefault="002C0FD9" w:rsidP="00CA25CF">
            <w:pPr>
              <w:rPr>
                <w:rFonts w:cs="Arial"/>
                <w:color w:val="FF0000"/>
                <w:sz w:val="21"/>
                <w:szCs w:val="21"/>
              </w:rPr>
            </w:pPr>
          </w:p>
        </w:tc>
        <w:tc>
          <w:tcPr>
            <w:tcW w:w="217" w:type="dxa"/>
          </w:tcPr>
          <w:p w14:paraId="10633354" w14:textId="77777777" w:rsidR="002C0FD9" w:rsidRPr="00CA25CF" w:rsidRDefault="002C0FD9" w:rsidP="00CA25CF">
            <w:pPr>
              <w:rPr>
                <w:rFonts w:cs="Arial"/>
                <w:color w:val="FF0000"/>
                <w:sz w:val="21"/>
                <w:szCs w:val="21"/>
              </w:rPr>
            </w:pPr>
          </w:p>
        </w:tc>
        <w:tc>
          <w:tcPr>
            <w:tcW w:w="217" w:type="dxa"/>
          </w:tcPr>
          <w:p w14:paraId="48B4D33D" w14:textId="77777777" w:rsidR="002C0FD9" w:rsidRPr="00CA25CF" w:rsidRDefault="002C0FD9" w:rsidP="00CA25CF">
            <w:pPr>
              <w:rPr>
                <w:rFonts w:cs="Arial"/>
                <w:color w:val="FF0000"/>
                <w:sz w:val="21"/>
                <w:szCs w:val="21"/>
              </w:rPr>
            </w:pPr>
          </w:p>
        </w:tc>
        <w:tc>
          <w:tcPr>
            <w:tcW w:w="217" w:type="dxa"/>
          </w:tcPr>
          <w:p w14:paraId="5C18AE10" w14:textId="77777777" w:rsidR="002C0FD9" w:rsidRPr="00CA25CF" w:rsidRDefault="002C0FD9" w:rsidP="00CA25CF">
            <w:pPr>
              <w:rPr>
                <w:rFonts w:cs="Arial"/>
                <w:color w:val="FF0000"/>
                <w:sz w:val="21"/>
                <w:szCs w:val="21"/>
              </w:rPr>
            </w:pPr>
          </w:p>
        </w:tc>
        <w:tc>
          <w:tcPr>
            <w:tcW w:w="217" w:type="dxa"/>
          </w:tcPr>
          <w:p w14:paraId="39DA9306" w14:textId="77777777" w:rsidR="002C0FD9" w:rsidRPr="00CA25CF" w:rsidRDefault="002C0FD9" w:rsidP="00CA25CF">
            <w:pPr>
              <w:rPr>
                <w:rFonts w:cs="Arial"/>
                <w:color w:val="FF0000"/>
                <w:sz w:val="21"/>
                <w:szCs w:val="21"/>
              </w:rPr>
            </w:pPr>
          </w:p>
        </w:tc>
        <w:tc>
          <w:tcPr>
            <w:tcW w:w="217" w:type="dxa"/>
          </w:tcPr>
          <w:p w14:paraId="114726A6" w14:textId="77777777" w:rsidR="002C0FD9" w:rsidRPr="00CA25CF" w:rsidRDefault="002C0FD9" w:rsidP="00CA25CF">
            <w:pPr>
              <w:rPr>
                <w:rFonts w:cs="Arial"/>
                <w:color w:val="FF0000"/>
                <w:sz w:val="21"/>
                <w:szCs w:val="21"/>
              </w:rPr>
            </w:pPr>
          </w:p>
        </w:tc>
        <w:tc>
          <w:tcPr>
            <w:tcW w:w="217" w:type="dxa"/>
          </w:tcPr>
          <w:p w14:paraId="71A25D22" w14:textId="77777777" w:rsidR="002C0FD9" w:rsidRPr="00CA25CF" w:rsidRDefault="002C0FD9" w:rsidP="00CA25CF">
            <w:pPr>
              <w:rPr>
                <w:rFonts w:cs="Arial"/>
                <w:color w:val="FF0000"/>
                <w:sz w:val="21"/>
                <w:szCs w:val="21"/>
              </w:rPr>
            </w:pPr>
          </w:p>
        </w:tc>
        <w:tc>
          <w:tcPr>
            <w:tcW w:w="217" w:type="dxa"/>
          </w:tcPr>
          <w:p w14:paraId="7CDBCF58" w14:textId="77777777" w:rsidR="002C0FD9" w:rsidRPr="00CA25CF" w:rsidRDefault="002C0FD9" w:rsidP="00CA25CF">
            <w:pPr>
              <w:rPr>
                <w:rFonts w:cs="Arial"/>
                <w:color w:val="FF0000"/>
                <w:sz w:val="21"/>
                <w:szCs w:val="21"/>
              </w:rPr>
            </w:pPr>
          </w:p>
        </w:tc>
        <w:tc>
          <w:tcPr>
            <w:tcW w:w="217" w:type="dxa"/>
          </w:tcPr>
          <w:p w14:paraId="17AE55B0" w14:textId="77777777" w:rsidR="002C0FD9" w:rsidRPr="00CA25CF" w:rsidRDefault="002C0FD9" w:rsidP="00CA25CF">
            <w:pPr>
              <w:rPr>
                <w:rFonts w:cs="Arial"/>
                <w:color w:val="FF0000"/>
                <w:sz w:val="21"/>
                <w:szCs w:val="21"/>
              </w:rPr>
            </w:pPr>
          </w:p>
        </w:tc>
        <w:tc>
          <w:tcPr>
            <w:tcW w:w="217" w:type="dxa"/>
          </w:tcPr>
          <w:p w14:paraId="1619F803" w14:textId="77777777" w:rsidR="002C0FD9" w:rsidRPr="00CA25CF" w:rsidRDefault="002C0FD9" w:rsidP="00CA25CF">
            <w:pPr>
              <w:rPr>
                <w:rFonts w:cs="Arial"/>
                <w:color w:val="FF0000"/>
                <w:sz w:val="21"/>
                <w:szCs w:val="21"/>
              </w:rPr>
            </w:pPr>
          </w:p>
        </w:tc>
        <w:tc>
          <w:tcPr>
            <w:tcW w:w="217" w:type="dxa"/>
          </w:tcPr>
          <w:p w14:paraId="7D4C51F8" w14:textId="77777777" w:rsidR="002C0FD9" w:rsidRPr="00CA25CF" w:rsidRDefault="002C0FD9" w:rsidP="00CA25CF">
            <w:pPr>
              <w:rPr>
                <w:rFonts w:cs="Arial"/>
                <w:color w:val="FF0000"/>
                <w:sz w:val="21"/>
                <w:szCs w:val="21"/>
              </w:rPr>
            </w:pPr>
          </w:p>
        </w:tc>
        <w:tc>
          <w:tcPr>
            <w:tcW w:w="217" w:type="dxa"/>
          </w:tcPr>
          <w:p w14:paraId="73F190D9" w14:textId="77777777" w:rsidR="002C0FD9" w:rsidRPr="00CA25CF" w:rsidRDefault="002C0FD9" w:rsidP="00CA25CF">
            <w:pPr>
              <w:rPr>
                <w:rFonts w:cs="Arial"/>
                <w:color w:val="FF0000"/>
                <w:sz w:val="21"/>
                <w:szCs w:val="21"/>
              </w:rPr>
            </w:pPr>
          </w:p>
        </w:tc>
        <w:tc>
          <w:tcPr>
            <w:tcW w:w="217" w:type="dxa"/>
          </w:tcPr>
          <w:p w14:paraId="154EDB7B" w14:textId="77777777" w:rsidR="002C0FD9" w:rsidRPr="00CA25CF" w:rsidRDefault="002C0FD9" w:rsidP="00CA25CF">
            <w:pPr>
              <w:rPr>
                <w:rFonts w:cs="Arial"/>
                <w:color w:val="FF0000"/>
                <w:sz w:val="21"/>
                <w:szCs w:val="21"/>
              </w:rPr>
            </w:pPr>
          </w:p>
        </w:tc>
        <w:tc>
          <w:tcPr>
            <w:tcW w:w="217" w:type="dxa"/>
          </w:tcPr>
          <w:p w14:paraId="0D46C0E6" w14:textId="77777777" w:rsidR="002C0FD9" w:rsidRPr="00CA25CF" w:rsidRDefault="002C0FD9" w:rsidP="00CA25CF">
            <w:pPr>
              <w:rPr>
                <w:rFonts w:cs="Arial"/>
                <w:color w:val="FF0000"/>
                <w:sz w:val="21"/>
                <w:szCs w:val="21"/>
              </w:rPr>
            </w:pPr>
          </w:p>
        </w:tc>
        <w:tc>
          <w:tcPr>
            <w:tcW w:w="217" w:type="dxa"/>
          </w:tcPr>
          <w:p w14:paraId="6E62E868" w14:textId="77777777" w:rsidR="002C0FD9" w:rsidRPr="00CA25CF" w:rsidRDefault="002C0FD9" w:rsidP="00CA25CF">
            <w:pPr>
              <w:rPr>
                <w:rFonts w:cs="Arial"/>
                <w:color w:val="FF0000"/>
                <w:sz w:val="21"/>
                <w:szCs w:val="21"/>
              </w:rPr>
            </w:pPr>
          </w:p>
        </w:tc>
        <w:tc>
          <w:tcPr>
            <w:tcW w:w="217" w:type="dxa"/>
          </w:tcPr>
          <w:p w14:paraId="637AC81A" w14:textId="77777777" w:rsidR="002C0FD9" w:rsidRPr="00CA25CF" w:rsidRDefault="002C0FD9" w:rsidP="00CA25CF">
            <w:pPr>
              <w:rPr>
                <w:rFonts w:cs="Arial"/>
                <w:color w:val="FF0000"/>
                <w:sz w:val="21"/>
                <w:szCs w:val="21"/>
              </w:rPr>
            </w:pPr>
          </w:p>
        </w:tc>
        <w:tc>
          <w:tcPr>
            <w:tcW w:w="217" w:type="dxa"/>
          </w:tcPr>
          <w:p w14:paraId="785B840E" w14:textId="77777777" w:rsidR="002C0FD9" w:rsidRPr="00CA25CF" w:rsidRDefault="002C0FD9" w:rsidP="00CA25CF">
            <w:pPr>
              <w:rPr>
                <w:rFonts w:cs="Arial"/>
                <w:color w:val="FF0000"/>
                <w:sz w:val="21"/>
                <w:szCs w:val="21"/>
              </w:rPr>
            </w:pPr>
          </w:p>
        </w:tc>
        <w:tc>
          <w:tcPr>
            <w:tcW w:w="217" w:type="dxa"/>
          </w:tcPr>
          <w:p w14:paraId="69E5FB87" w14:textId="77777777" w:rsidR="002C0FD9" w:rsidRPr="00CA25CF" w:rsidRDefault="002C0FD9" w:rsidP="00CA25CF">
            <w:pPr>
              <w:rPr>
                <w:rFonts w:cs="Arial"/>
                <w:color w:val="FF0000"/>
                <w:sz w:val="21"/>
                <w:szCs w:val="21"/>
              </w:rPr>
            </w:pPr>
          </w:p>
        </w:tc>
        <w:tc>
          <w:tcPr>
            <w:tcW w:w="217" w:type="dxa"/>
          </w:tcPr>
          <w:p w14:paraId="36EF6035" w14:textId="77777777" w:rsidR="002C0FD9" w:rsidRPr="00CA25CF" w:rsidRDefault="002C0FD9" w:rsidP="00CA25CF">
            <w:pPr>
              <w:rPr>
                <w:rFonts w:cs="Arial"/>
                <w:color w:val="FF0000"/>
                <w:sz w:val="21"/>
                <w:szCs w:val="21"/>
              </w:rPr>
            </w:pPr>
          </w:p>
        </w:tc>
      </w:tr>
      <w:tr w:rsidR="002C0FD9" w:rsidRPr="00A16219" w14:paraId="2C8A7658" w14:textId="3FD68BA9" w:rsidTr="002C0FD9">
        <w:trPr>
          <w:trHeight w:val="635"/>
        </w:trPr>
        <w:tc>
          <w:tcPr>
            <w:tcW w:w="515" w:type="dxa"/>
          </w:tcPr>
          <w:p w14:paraId="1553F5F0" w14:textId="77777777" w:rsidR="002C0FD9" w:rsidRPr="00CA25CF" w:rsidRDefault="002C0FD9" w:rsidP="00CA25CF">
            <w:pPr>
              <w:rPr>
                <w:rFonts w:cs="Arial"/>
                <w:color w:val="FF0000"/>
                <w:sz w:val="21"/>
                <w:szCs w:val="21"/>
              </w:rPr>
            </w:pPr>
          </w:p>
        </w:tc>
        <w:tc>
          <w:tcPr>
            <w:tcW w:w="217" w:type="dxa"/>
          </w:tcPr>
          <w:p w14:paraId="0FE3E292" w14:textId="77777777" w:rsidR="002C0FD9" w:rsidRPr="00CA25CF" w:rsidRDefault="002C0FD9" w:rsidP="00CA25CF">
            <w:pPr>
              <w:rPr>
                <w:rFonts w:cs="Arial"/>
                <w:color w:val="FF0000"/>
                <w:sz w:val="21"/>
                <w:szCs w:val="21"/>
              </w:rPr>
            </w:pPr>
          </w:p>
        </w:tc>
        <w:tc>
          <w:tcPr>
            <w:tcW w:w="217" w:type="dxa"/>
          </w:tcPr>
          <w:p w14:paraId="510EB21B" w14:textId="52C5F8BA" w:rsidR="002C0FD9" w:rsidRPr="00CA25CF" w:rsidRDefault="002C0FD9" w:rsidP="00CA25CF">
            <w:pPr>
              <w:rPr>
                <w:rFonts w:cs="Arial"/>
                <w:color w:val="FF0000"/>
                <w:sz w:val="21"/>
                <w:szCs w:val="21"/>
              </w:rPr>
            </w:pPr>
          </w:p>
        </w:tc>
        <w:tc>
          <w:tcPr>
            <w:tcW w:w="217" w:type="dxa"/>
          </w:tcPr>
          <w:p w14:paraId="3BD39F4F" w14:textId="77777777" w:rsidR="002C0FD9" w:rsidRPr="00CA25CF" w:rsidRDefault="002C0FD9" w:rsidP="00CA25CF">
            <w:pPr>
              <w:rPr>
                <w:rFonts w:cs="Arial"/>
                <w:color w:val="FF0000"/>
                <w:sz w:val="21"/>
                <w:szCs w:val="21"/>
              </w:rPr>
            </w:pPr>
          </w:p>
        </w:tc>
        <w:tc>
          <w:tcPr>
            <w:tcW w:w="217" w:type="dxa"/>
          </w:tcPr>
          <w:p w14:paraId="409369F3" w14:textId="77777777" w:rsidR="002C0FD9" w:rsidRPr="00CA25CF" w:rsidRDefault="002C0FD9" w:rsidP="00CA25CF">
            <w:pPr>
              <w:rPr>
                <w:rFonts w:cs="Arial"/>
                <w:color w:val="FF0000"/>
                <w:sz w:val="21"/>
                <w:szCs w:val="21"/>
              </w:rPr>
            </w:pPr>
          </w:p>
        </w:tc>
        <w:tc>
          <w:tcPr>
            <w:tcW w:w="217" w:type="dxa"/>
          </w:tcPr>
          <w:p w14:paraId="7254575B" w14:textId="77777777" w:rsidR="002C0FD9" w:rsidRPr="00CA25CF" w:rsidRDefault="002C0FD9" w:rsidP="00CA25CF">
            <w:pPr>
              <w:rPr>
                <w:rFonts w:cs="Arial"/>
                <w:color w:val="FF0000"/>
                <w:sz w:val="21"/>
                <w:szCs w:val="21"/>
              </w:rPr>
            </w:pPr>
          </w:p>
        </w:tc>
        <w:tc>
          <w:tcPr>
            <w:tcW w:w="217" w:type="dxa"/>
          </w:tcPr>
          <w:p w14:paraId="28A83439" w14:textId="77777777" w:rsidR="002C0FD9" w:rsidRPr="00CA25CF" w:rsidRDefault="002C0FD9" w:rsidP="00CA25CF">
            <w:pPr>
              <w:rPr>
                <w:rFonts w:cs="Arial"/>
                <w:color w:val="FF0000"/>
                <w:sz w:val="21"/>
                <w:szCs w:val="21"/>
              </w:rPr>
            </w:pPr>
          </w:p>
        </w:tc>
        <w:tc>
          <w:tcPr>
            <w:tcW w:w="217" w:type="dxa"/>
          </w:tcPr>
          <w:p w14:paraId="57E8336A" w14:textId="77777777" w:rsidR="002C0FD9" w:rsidRPr="00CA25CF" w:rsidRDefault="002C0FD9" w:rsidP="00CA25CF">
            <w:pPr>
              <w:rPr>
                <w:rFonts w:cs="Arial"/>
                <w:color w:val="FF0000"/>
                <w:sz w:val="21"/>
                <w:szCs w:val="21"/>
              </w:rPr>
            </w:pPr>
          </w:p>
        </w:tc>
        <w:tc>
          <w:tcPr>
            <w:tcW w:w="217" w:type="dxa"/>
          </w:tcPr>
          <w:p w14:paraId="02095901" w14:textId="77777777" w:rsidR="002C0FD9" w:rsidRPr="00CA25CF" w:rsidRDefault="002C0FD9" w:rsidP="00CA25CF">
            <w:pPr>
              <w:rPr>
                <w:rFonts w:cs="Arial"/>
                <w:color w:val="FF0000"/>
                <w:sz w:val="21"/>
                <w:szCs w:val="21"/>
              </w:rPr>
            </w:pPr>
          </w:p>
        </w:tc>
        <w:tc>
          <w:tcPr>
            <w:tcW w:w="217" w:type="dxa"/>
          </w:tcPr>
          <w:p w14:paraId="3BA839A1" w14:textId="77777777" w:rsidR="002C0FD9" w:rsidRPr="00CA25CF" w:rsidRDefault="002C0FD9" w:rsidP="00CA25CF">
            <w:pPr>
              <w:rPr>
                <w:rFonts w:cs="Arial"/>
                <w:color w:val="FF0000"/>
                <w:sz w:val="21"/>
                <w:szCs w:val="21"/>
              </w:rPr>
            </w:pPr>
          </w:p>
        </w:tc>
        <w:tc>
          <w:tcPr>
            <w:tcW w:w="217" w:type="dxa"/>
          </w:tcPr>
          <w:p w14:paraId="3FB7AD28" w14:textId="77777777" w:rsidR="002C0FD9" w:rsidRPr="00CA25CF" w:rsidRDefault="002C0FD9" w:rsidP="00CA25CF">
            <w:pPr>
              <w:rPr>
                <w:rFonts w:cs="Arial"/>
                <w:color w:val="FF0000"/>
                <w:sz w:val="21"/>
                <w:szCs w:val="21"/>
              </w:rPr>
            </w:pPr>
          </w:p>
        </w:tc>
        <w:tc>
          <w:tcPr>
            <w:tcW w:w="217" w:type="dxa"/>
          </w:tcPr>
          <w:p w14:paraId="047AB5F2" w14:textId="77777777" w:rsidR="002C0FD9" w:rsidRPr="00CA25CF" w:rsidRDefault="002C0FD9" w:rsidP="00CA25CF">
            <w:pPr>
              <w:rPr>
                <w:rFonts w:cs="Arial"/>
                <w:color w:val="FF0000"/>
                <w:sz w:val="21"/>
                <w:szCs w:val="21"/>
              </w:rPr>
            </w:pPr>
          </w:p>
        </w:tc>
        <w:tc>
          <w:tcPr>
            <w:tcW w:w="217" w:type="dxa"/>
          </w:tcPr>
          <w:p w14:paraId="72A2B34B" w14:textId="77777777" w:rsidR="002C0FD9" w:rsidRPr="00CA25CF" w:rsidRDefault="002C0FD9" w:rsidP="00CA25CF">
            <w:pPr>
              <w:rPr>
                <w:rFonts w:cs="Arial"/>
                <w:color w:val="FF0000"/>
                <w:sz w:val="21"/>
                <w:szCs w:val="21"/>
              </w:rPr>
            </w:pPr>
          </w:p>
        </w:tc>
        <w:tc>
          <w:tcPr>
            <w:tcW w:w="217" w:type="dxa"/>
          </w:tcPr>
          <w:p w14:paraId="66C52ECB" w14:textId="77777777" w:rsidR="002C0FD9" w:rsidRPr="00CA25CF" w:rsidRDefault="002C0FD9" w:rsidP="00CA25CF">
            <w:pPr>
              <w:rPr>
                <w:rFonts w:cs="Arial"/>
                <w:color w:val="FF0000"/>
                <w:sz w:val="21"/>
                <w:szCs w:val="21"/>
              </w:rPr>
            </w:pPr>
          </w:p>
        </w:tc>
        <w:tc>
          <w:tcPr>
            <w:tcW w:w="217" w:type="dxa"/>
          </w:tcPr>
          <w:p w14:paraId="35A106D3" w14:textId="77777777" w:rsidR="002C0FD9" w:rsidRPr="00CA25CF" w:rsidRDefault="002C0FD9" w:rsidP="00CA25CF">
            <w:pPr>
              <w:rPr>
                <w:rFonts w:cs="Arial"/>
                <w:color w:val="FF0000"/>
                <w:sz w:val="21"/>
                <w:szCs w:val="21"/>
              </w:rPr>
            </w:pPr>
          </w:p>
        </w:tc>
        <w:tc>
          <w:tcPr>
            <w:tcW w:w="217" w:type="dxa"/>
          </w:tcPr>
          <w:p w14:paraId="7D8FA7C3" w14:textId="77777777" w:rsidR="002C0FD9" w:rsidRPr="00CA25CF" w:rsidRDefault="002C0FD9" w:rsidP="00CA25CF">
            <w:pPr>
              <w:rPr>
                <w:rFonts w:cs="Arial"/>
                <w:color w:val="FF0000"/>
                <w:sz w:val="21"/>
                <w:szCs w:val="21"/>
              </w:rPr>
            </w:pPr>
          </w:p>
        </w:tc>
        <w:tc>
          <w:tcPr>
            <w:tcW w:w="217" w:type="dxa"/>
          </w:tcPr>
          <w:p w14:paraId="0B23DF40" w14:textId="77777777" w:rsidR="002C0FD9" w:rsidRPr="00CA25CF" w:rsidRDefault="002C0FD9" w:rsidP="00CA25CF">
            <w:pPr>
              <w:rPr>
                <w:rFonts w:cs="Arial"/>
                <w:color w:val="FF0000"/>
                <w:sz w:val="21"/>
                <w:szCs w:val="21"/>
              </w:rPr>
            </w:pPr>
          </w:p>
        </w:tc>
        <w:tc>
          <w:tcPr>
            <w:tcW w:w="217" w:type="dxa"/>
          </w:tcPr>
          <w:p w14:paraId="7A385404" w14:textId="77777777" w:rsidR="002C0FD9" w:rsidRPr="00CA25CF" w:rsidRDefault="002C0FD9" w:rsidP="00CA25CF">
            <w:pPr>
              <w:rPr>
                <w:rFonts w:cs="Arial"/>
                <w:color w:val="FF0000"/>
                <w:sz w:val="21"/>
                <w:szCs w:val="21"/>
              </w:rPr>
            </w:pPr>
          </w:p>
        </w:tc>
        <w:tc>
          <w:tcPr>
            <w:tcW w:w="217" w:type="dxa"/>
          </w:tcPr>
          <w:p w14:paraId="5DFC1F61" w14:textId="77777777" w:rsidR="002C0FD9" w:rsidRPr="00CA25CF" w:rsidRDefault="002C0FD9" w:rsidP="00CA25CF">
            <w:pPr>
              <w:rPr>
                <w:rFonts w:cs="Arial"/>
                <w:color w:val="FF0000"/>
                <w:sz w:val="21"/>
                <w:szCs w:val="21"/>
              </w:rPr>
            </w:pPr>
          </w:p>
        </w:tc>
        <w:tc>
          <w:tcPr>
            <w:tcW w:w="217" w:type="dxa"/>
          </w:tcPr>
          <w:p w14:paraId="2C4CA4BB" w14:textId="77777777" w:rsidR="002C0FD9" w:rsidRPr="00CA25CF" w:rsidRDefault="002C0FD9" w:rsidP="00CA25CF">
            <w:pPr>
              <w:rPr>
                <w:rFonts w:cs="Arial"/>
                <w:color w:val="FF0000"/>
                <w:sz w:val="21"/>
                <w:szCs w:val="21"/>
              </w:rPr>
            </w:pPr>
          </w:p>
        </w:tc>
        <w:tc>
          <w:tcPr>
            <w:tcW w:w="217" w:type="dxa"/>
          </w:tcPr>
          <w:p w14:paraId="13586145" w14:textId="77777777" w:rsidR="002C0FD9" w:rsidRPr="00CA25CF" w:rsidRDefault="002C0FD9" w:rsidP="00CA25CF">
            <w:pPr>
              <w:rPr>
                <w:rFonts w:cs="Arial"/>
                <w:color w:val="FF0000"/>
                <w:sz w:val="21"/>
                <w:szCs w:val="21"/>
              </w:rPr>
            </w:pPr>
          </w:p>
        </w:tc>
        <w:tc>
          <w:tcPr>
            <w:tcW w:w="217" w:type="dxa"/>
          </w:tcPr>
          <w:p w14:paraId="4098448C" w14:textId="77777777" w:rsidR="002C0FD9" w:rsidRPr="00CA25CF" w:rsidRDefault="002C0FD9" w:rsidP="00CA25CF">
            <w:pPr>
              <w:rPr>
                <w:rFonts w:cs="Arial"/>
                <w:color w:val="FF0000"/>
                <w:sz w:val="21"/>
                <w:szCs w:val="21"/>
              </w:rPr>
            </w:pPr>
          </w:p>
        </w:tc>
        <w:tc>
          <w:tcPr>
            <w:tcW w:w="217" w:type="dxa"/>
          </w:tcPr>
          <w:p w14:paraId="24B8A9B0" w14:textId="77777777" w:rsidR="002C0FD9" w:rsidRPr="00CA25CF" w:rsidRDefault="002C0FD9" w:rsidP="00CA25CF">
            <w:pPr>
              <w:rPr>
                <w:rFonts w:cs="Arial"/>
                <w:color w:val="FF0000"/>
                <w:sz w:val="21"/>
                <w:szCs w:val="21"/>
              </w:rPr>
            </w:pPr>
          </w:p>
        </w:tc>
        <w:tc>
          <w:tcPr>
            <w:tcW w:w="217" w:type="dxa"/>
          </w:tcPr>
          <w:p w14:paraId="5B529E40" w14:textId="77777777" w:rsidR="002C0FD9" w:rsidRPr="00CA25CF" w:rsidRDefault="002C0FD9" w:rsidP="00CA25CF">
            <w:pPr>
              <w:rPr>
                <w:rFonts w:cs="Arial"/>
                <w:color w:val="FF0000"/>
                <w:sz w:val="21"/>
                <w:szCs w:val="21"/>
              </w:rPr>
            </w:pPr>
          </w:p>
        </w:tc>
        <w:tc>
          <w:tcPr>
            <w:tcW w:w="217" w:type="dxa"/>
          </w:tcPr>
          <w:p w14:paraId="0B8DEAE0" w14:textId="77777777" w:rsidR="002C0FD9" w:rsidRPr="00CA25CF" w:rsidRDefault="002C0FD9" w:rsidP="00CA25CF">
            <w:pPr>
              <w:rPr>
                <w:rFonts w:cs="Arial"/>
                <w:color w:val="FF0000"/>
                <w:sz w:val="21"/>
                <w:szCs w:val="21"/>
              </w:rPr>
            </w:pPr>
          </w:p>
        </w:tc>
        <w:tc>
          <w:tcPr>
            <w:tcW w:w="217" w:type="dxa"/>
          </w:tcPr>
          <w:p w14:paraId="5E783CE2" w14:textId="77777777" w:rsidR="002C0FD9" w:rsidRPr="00CA25CF" w:rsidRDefault="002C0FD9" w:rsidP="00CA25CF">
            <w:pPr>
              <w:rPr>
                <w:rFonts w:cs="Arial"/>
                <w:color w:val="FF0000"/>
                <w:sz w:val="21"/>
                <w:szCs w:val="21"/>
              </w:rPr>
            </w:pPr>
          </w:p>
        </w:tc>
        <w:tc>
          <w:tcPr>
            <w:tcW w:w="217" w:type="dxa"/>
          </w:tcPr>
          <w:p w14:paraId="45C49C11" w14:textId="77777777" w:rsidR="002C0FD9" w:rsidRPr="00CA25CF" w:rsidRDefault="002C0FD9" w:rsidP="00CA25CF">
            <w:pPr>
              <w:rPr>
                <w:rFonts w:cs="Arial"/>
                <w:color w:val="FF0000"/>
                <w:sz w:val="21"/>
                <w:szCs w:val="21"/>
              </w:rPr>
            </w:pPr>
          </w:p>
        </w:tc>
        <w:tc>
          <w:tcPr>
            <w:tcW w:w="217" w:type="dxa"/>
          </w:tcPr>
          <w:p w14:paraId="22A41C95" w14:textId="77777777" w:rsidR="002C0FD9" w:rsidRPr="00CA25CF" w:rsidRDefault="002C0FD9" w:rsidP="00CA25CF">
            <w:pPr>
              <w:rPr>
                <w:rFonts w:cs="Arial"/>
                <w:color w:val="FF0000"/>
                <w:sz w:val="21"/>
                <w:szCs w:val="21"/>
              </w:rPr>
            </w:pPr>
          </w:p>
        </w:tc>
        <w:tc>
          <w:tcPr>
            <w:tcW w:w="217" w:type="dxa"/>
          </w:tcPr>
          <w:p w14:paraId="0CE942E5" w14:textId="77777777" w:rsidR="002C0FD9" w:rsidRPr="00CA25CF" w:rsidRDefault="002C0FD9" w:rsidP="00CA25CF">
            <w:pPr>
              <w:rPr>
                <w:rFonts w:cs="Arial"/>
                <w:color w:val="FF0000"/>
                <w:sz w:val="21"/>
                <w:szCs w:val="21"/>
              </w:rPr>
            </w:pPr>
          </w:p>
        </w:tc>
        <w:tc>
          <w:tcPr>
            <w:tcW w:w="217" w:type="dxa"/>
          </w:tcPr>
          <w:p w14:paraId="6BB7F898" w14:textId="77777777" w:rsidR="002C0FD9" w:rsidRPr="00CA25CF" w:rsidRDefault="002C0FD9" w:rsidP="00CA25CF">
            <w:pPr>
              <w:rPr>
                <w:rFonts w:cs="Arial"/>
                <w:color w:val="FF0000"/>
                <w:sz w:val="21"/>
                <w:szCs w:val="21"/>
              </w:rPr>
            </w:pPr>
          </w:p>
        </w:tc>
        <w:tc>
          <w:tcPr>
            <w:tcW w:w="217" w:type="dxa"/>
          </w:tcPr>
          <w:p w14:paraId="0BC8E246" w14:textId="77777777" w:rsidR="002C0FD9" w:rsidRPr="00CA25CF" w:rsidRDefault="002C0FD9" w:rsidP="00CA25CF">
            <w:pPr>
              <w:rPr>
                <w:rFonts w:cs="Arial"/>
                <w:color w:val="FF0000"/>
                <w:sz w:val="21"/>
                <w:szCs w:val="21"/>
              </w:rPr>
            </w:pPr>
          </w:p>
        </w:tc>
        <w:tc>
          <w:tcPr>
            <w:tcW w:w="217" w:type="dxa"/>
          </w:tcPr>
          <w:p w14:paraId="349D3F11" w14:textId="77777777" w:rsidR="002C0FD9" w:rsidRPr="00CA25CF" w:rsidRDefault="002C0FD9" w:rsidP="00CA25CF">
            <w:pPr>
              <w:rPr>
                <w:rFonts w:cs="Arial"/>
                <w:color w:val="FF0000"/>
                <w:sz w:val="21"/>
                <w:szCs w:val="21"/>
              </w:rPr>
            </w:pPr>
          </w:p>
        </w:tc>
        <w:tc>
          <w:tcPr>
            <w:tcW w:w="217" w:type="dxa"/>
          </w:tcPr>
          <w:p w14:paraId="0F894C64" w14:textId="77777777" w:rsidR="002C0FD9" w:rsidRPr="00CA25CF" w:rsidRDefault="002C0FD9" w:rsidP="00CA25CF">
            <w:pPr>
              <w:rPr>
                <w:rFonts w:cs="Arial"/>
                <w:color w:val="FF0000"/>
                <w:sz w:val="21"/>
                <w:szCs w:val="21"/>
              </w:rPr>
            </w:pPr>
          </w:p>
        </w:tc>
        <w:tc>
          <w:tcPr>
            <w:tcW w:w="217" w:type="dxa"/>
          </w:tcPr>
          <w:p w14:paraId="21444A4F" w14:textId="77777777" w:rsidR="002C0FD9" w:rsidRPr="00CA25CF" w:rsidRDefault="002C0FD9" w:rsidP="00CA25CF">
            <w:pPr>
              <w:rPr>
                <w:rFonts w:cs="Arial"/>
                <w:color w:val="FF0000"/>
                <w:sz w:val="21"/>
                <w:szCs w:val="21"/>
              </w:rPr>
            </w:pPr>
          </w:p>
        </w:tc>
        <w:tc>
          <w:tcPr>
            <w:tcW w:w="217" w:type="dxa"/>
          </w:tcPr>
          <w:p w14:paraId="53E37218" w14:textId="77777777" w:rsidR="002C0FD9" w:rsidRPr="00CA25CF" w:rsidRDefault="002C0FD9" w:rsidP="00CA25CF">
            <w:pPr>
              <w:rPr>
                <w:rFonts w:cs="Arial"/>
                <w:color w:val="FF0000"/>
                <w:sz w:val="21"/>
                <w:szCs w:val="21"/>
              </w:rPr>
            </w:pPr>
          </w:p>
        </w:tc>
        <w:tc>
          <w:tcPr>
            <w:tcW w:w="217" w:type="dxa"/>
          </w:tcPr>
          <w:p w14:paraId="579CE1CD" w14:textId="77777777" w:rsidR="002C0FD9" w:rsidRPr="00CA25CF" w:rsidRDefault="002C0FD9" w:rsidP="00CA25CF">
            <w:pPr>
              <w:rPr>
                <w:rFonts w:cs="Arial"/>
                <w:color w:val="FF0000"/>
                <w:sz w:val="21"/>
                <w:szCs w:val="21"/>
              </w:rPr>
            </w:pPr>
          </w:p>
        </w:tc>
        <w:tc>
          <w:tcPr>
            <w:tcW w:w="217" w:type="dxa"/>
          </w:tcPr>
          <w:p w14:paraId="388F6292" w14:textId="77777777" w:rsidR="002C0FD9" w:rsidRPr="00CA25CF" w:rsidRDefault="002C0FD9" w:rsidP="00CA25CF">
            <w:pPr>
              <w:rPr>
                <w:rFonts w:cs="Arial"/>
                <w:color w:val="FF0000"/>
                <w:sz w:val="21"/>
                <w:szCs w:val="21"/>
              </w:rPr>
            </w:pPr>
          </w:p>
        </w:tc>
        <w:tc>
          <w:tcPr>
            <w:tcW w:w="217" w:type="dxa"/>
          </w:tcPr>
          <w:p w14:paraId="6FC5407F" w14:textId="77777777" w:rsidR="002C0FD9" w:rsidRPr="00CA25CF" w:rsidRDefault="002C0FD9" w:rsidP="00CA25CF">
            <w:pPr>
              <w:rPr>
                <w:rFonts w:cs="Arial"/>
                <w:color w:val="FF0000"/>
                <w:sz w:val="21"/>
                <w:szCs w:val="21"/>
              </w:rPr>
            </w:pPr>
          </w:p>
        </w:tc>
        <w:tc>
          <w:tcPr>
            <w:tcW w:w="217" w:type="dxa"/>
          </w:tcPr>
          <w:p w14:paraId="7D483095" w14:textId="77777777" w:rsidR="002C0FD9" w:rsidRPr="00CA25CF" w:rsidRDefault="002C0FD9" w:rsidP="00CA25CF">
            <w:pPr>
              <w:rPr>
                <w:rFonts w:cs="Arial"/>
                <w:color w:val="FF0000"/>
                <w:sz w:val="21"/>
                <w:szCs w:val="21"/>
              </w:rPr>
            </w:pPr>
          </w:p>
        </w:tc>
        <w:tc>
          <w:tcPr>
            <w:tcW w:w="217" w:type="dxa"/>
          </w:tcPr>
          <w:p w14:paraId="557CCC46" w14:textId="77777777" w:rsidR="002C0FD9" w:rsidRPr="00CA25CF" w:rsidRDefault="002C0FD9" w:rsidP="00CA25CF">
            <w:pPr>
              <w:rPr>
                <w:rFonts w:cs="Arial"/>
                <w:color w:val="FF0000"/>
                <w:sz w:val="21"/>
                <w:szCs w:val="21"/>
              </w:rPr>
            </w:pPr>
          </w:p>
        </w:tc>
        <w:tc>
          <w:tcPr>
            <w:tcW w:w="217" w:type="dxa"/>
          </w:tcPr>
          <w:p w14:paraId="2FB574EB" w14:textId="77777777" w:rsidR="002C0FD9" w:rsidRPr="00CA25CF" w:rsidRDefault="002C0FD9" w:rsidP="00CA25CF">
            <w:pPr>
              <w:rPr>
                <w:rFonts w:cs="Arial"/>
                <w:color w:val="FF0000"/>
                <w:sz w:val="21"/>
                <w:szCs w:val="21"/>
              </w:rPr>
            </w:pPr>
          </w:p>
        </w:tc>
        <w:tc>
          <w:tcPr>
            <w:tcW w:w="217" w:type="dxa"/>
          </w:tcPr>
          <w:p w14:paraId="5F532CE4" w14:textId="77777777" w:rsidR="002C0FD9" w:rsidRPr="00CA25CF" w:rsidRDefault="002C0FD9" w:rsidP="00CA25CF">
            <w:pPr>
              <w:rPr>
                <w:rFonts w:cs="Arial"/>
                <w:color w:val="FF0000"/>
                <w:sz w:val="21"/>
                <w:szCs w:val="21"/>
              </w:rPr>
            </w:pPr>
          </w:p>
        </w:tc>
        <w:tc>
          <w:tcPr>
            <w:tcW w:w="217" w:type="dxa"/>
          </w:tcPr>
          <w:p w14:paraId="14EE18A6" w14:textId="77777777" w:rsidR="002C0FD9" w:rsidRPr="00CA25CF" w:rsidRDefault="002C0FD9" w:rsidP="00CA25CF">
            <w:pPr>
              <w:rPr>
                <w:rFonts w:cs="Arial"/>
                <w:color w:val="FF0000"/>
                <w:sz w:val="21"/>
                <w:szCs w:val="21"/>
              </w:rPr>
            </w:pPr>
          </w:p>
        </w:tc>
      </w:tr>
      <w:tr w:rsidR="002C0FD9" w:rsidRPr="00A16219" w14:paraId="2D2D7765" w14:textId="5FAE17D3" w:rsidTr="002C0FD9">
        <w:trPr>
          <w:trHeight w:val="635"/>
        </w:trPr>
        <w:tc>
          <w:tcPr>
            <w:tcW w:w="515" w:type="dxa"/>
          </w:tcPr>
          <w:p w14:paraId="56EACC62" w14:textId="77777777" w:rsidR="002C0FD9" w:rsidRPr="00CA25CF" w:rsidRDefault="002C0FD9" w:rsidP="00CA25CF">
            <w:pPr>
              <w:rPr>
                <w:rFonts w:cs="Arial"/>
                <w:color w:val="FF0000"/>
                <w:sz w:val="21"/>
                <w:szCs w:val="21"/>
              </w:rPr>
            </w:pPr>
          </w:p>
        </w:tc>
        <w:tc>
          <w:tcPr>
            <w:tcW w:w="217" w:type="dxa"/>
          </w:tcPr>
          <w:p w14:paraId="6A142BFE" w14:textId="77777777" w:rsidR="002C0FD9" w:rsidRPr="00CA25CF" w:rsidRDefault="002C0FD9" w:rsidP="00CA25CF">
            <w:pPr>
              <w:rPr>
                <w:rFonts w:cs="Arial"/>
                <w:color w:val="FF0000"/>
                <w:sz w:val="21"/>
                <w:szCs w:val="21"/>
              </w:rPr>
            </w:pPr>
          </w:p>
        </w:tc>
        <w:tc>
          <w:tcPr>
            <w:tcW w:w="217" w:type="dxa"/>
          </w:tcPr>
          <w:p w14:paraId="08AFB135" w14:textId="1A091916" w:rsidR="002C0FD9" w:rsidRPr="00CA25CF" w:rsidRDefault="002C0FD9" w:rsidP="00CA25CF">
            <w:pPr>
              <w:rPr>
                <w:rFonts w:cs="Arial"/>
                <w:color w:val="FF0000"/>
                <w:sz w:val="21"/>
                <w:szCs w:val="21"/>
              </w:rPr>
            </w:pPr>
          </w:p>
        </w:tc>
        <w:tc>
          <w:tcPr>
            <w:tcW w:w="217" w:type="dxa"/>
          </w:tcPr>
          <w:p w14:paraId="572DFD6B" w14:textId="77777777" w:rsidR="002C0FD9" w:rsidRPr="00CA25CF" w:rsidRDefault="002C0FD9" w:rsidP="00CA25CF">
            <w:pPr>
              <w:rPr>
                <w:rFonts w:cs="Arial"/>
                <w:color w:val="FF0000"/>
                <w:sz w:val="21"/>
                <w:szCs w:val="21"/>
              </w:rPr>
            </w:pPr>
          </w:p>
        </w:tc>
        <w:tc>
          <w:tcPr>
            <w:tcW w:w="217" w:type="dxa"/>
          </w:tcPr>
          <w:p w14:paraId="1A5FD06F" w14:textId="77777777" w:rsidR="002C0FD9" w:rsidRPr="00CA25CF" w:rsidRDefault="002C0FD9" w:rsidP="00CA25CF">
            <w:pPr>
              <w:rPr>
                <w:rFonts w:cs="Arial"/>
                <w:color w:val="FF0000"/>
                <w:sz w:val="21"/>
                <w:szCs w:val="21"/>
              </w:rPr>
            </w:pPr>
          </w:p>
        </w:tc>
        <w:tc>
          <w:tcPr>
            <w:tcW w:w="217" w:type="dxa"/>
          </w:tcPr>
          <w:p w14:paraId="68CBEEA4" w14:textId="77777777" w:rsidR="002C0FD9" w:rsidRPr="00CA25CF" w:rsidRDefault="002C0FD9" w:rsidP="00CA25CF">
            <w:pPr>
              <w:rPr>
                <w:rFonts w:cs="Arial"/>
                <w:color w:val="FF0000"/>
                <w:sz w:val="21"/>
                <w:szCs w:val="21"/>
              </w:rPr>
            </w:pPr>
          </w:p>
        </w:tc>
        <w:tc>
          <w:tcPr>
            <w:tcW w:w="217" w:type="dxa"/>
          </w:tcPr>
          <w:p w14:paraId="728EEBE2" w14:textId="77777777" w:rsidR="002C0FD9" w:rsidRPr="00CA25CF" w:rsidRDefault="002C0FD9" w:rsidP="00CA25CF">
            <w:pPr>
              <w:rPr>
                <w:rFonts w:cs="Arial"/>
                <w:color w:val="FF0000"/>
                <w:sz w:val="21"/>
                <w:szCs w:val="21"/>
              </w:rPr>
            </w:pPr>
          </w:p>
        </w:tc>
        <w:tc>
          <w:tcPr>
            <w:tcW w:w="217" w:type="dxa"/>
          </w:tcPr>
          <w:p w14:paraId="6FFC22ED" w14:textId="77777777" w:rsidR="002C0FD9" w:rsidRPr="00CA25CF" w:rsidRDefault="002C0FD9" w:rsidP="00CA25CF">
            <w:pPr>
              <w:rPr>
                <w:rFonts w:cs="Arial"/>
                <w:color w:val="FF0000"/>
                <w:sz w:val="21"/>
                <w:szCs w:val="21"/>
              </w:rPr>
            </w:pPr>
          </w:p>
        </w:tc>
        <w:tc>
          <w:tcPr>
            <w:tcW w:w="217" w:type="dxa"/>
          </w:tcPr>
          <w:p w14:paraId="36D4D89B" w14:textId="77777777" w:rsidR="002C0FD9" w:rsidRPr="00CA25CF" w:rsidRDefault="002C0FD9" w:rsidP="00CA25CF">
            <w:pPr>
              <w:rPr>
                <w:rFonts w:cs="Arial"/>
                <w:color w:val="FF0000"/>
                <w:sz w:val="21"/>
                <w:szCs w:val="21"/>
              </w:rPr>
            </w:pPr>
          </w:p>
        </w:tc>
        <w:tc>
          <w:tcPr>
            <w:tcW w:w="217" w:type="dxa"/>
          </w:tcPr>
          <w:p w14:paraId="1E868B8D" w14:textId="77777777" w:rsidR="002C0FD9" w:rsidRPr="00CA25CF" w:rsidRDefault="002C0FD9" w:rsidP="00CA25CF">
            <w:pPr>
              <w:rPr>
                <w:rFonts w:cs="Arial"/>
                <w:color w:val="FF0000"/>
                <w:sz w:val="21"/>
                <w:szCs w:val="21"/>
              </w:rPr>
            </w:pPr>
          </w:p>
        </w:tc>
        <w:tc>
          <w:tcPr>
            <w:tcW w:w="217" w:type="dxa"/>
          </w:tcPr>
          <w:p w14:paraId="2AA46083" w14:textId="77777777" w:rsidR="002C0FD9" w:rsidRPr="00CA25CF" w:rsidRDefault="002C0FD9" w:rsidP="00CA25CF">
            <w:pPr>
              <w:rPr>
                <w:rFonts w:cs="Arial"/>
                <w:color w:val="FF0000"/>
                <w:sz w:val="21"/>
                <w:szCs w:val="21"/>
              </w:rPr>
            </w:pPr>
          </w:p>
        </w:tc>
        <w:tc>
          <w:tcPr>
            <w:tcW w:w="217" w:type="dxa"/>
          </w:tcPr>
          <w:p w14:paraId="7F175595" w14:textId="77777777" w:rsidR="002C0FD9" w:rsidRPr="00CA25CF" w:rsidRDefault="002C0FD9" w:rsidP="00CA25CF">
            <w:pPr>
              <w:rPr>
                <w:rFonts w:cs="Arial"/>
                <w:color w:val="FF0000"/>
                <w:sz w:val="21"/>
                <w:szCs w:val="21"/>
              </w:rPr>
            </w:pPr>
          </w:p>
        </w:tc>
        <w:tc>
          <w:tcPr>
            <w:tcW w:w="217" w:type="dxa"/>
          </w:tcPr>
          <w:p w14:paraId="3D3B26B8" w14:textId="77777777" w:rsidR="002C0FD9" w:rsidRPr="00CA25CF" w:rsidRDefault="002C0FD9" w:rsidP="00CA25CF">
            <w:pPr>
              <w:rPr>
                <w:rFonts w:cs="Arial"/>
                <w:color w:val="FF0000"/>
                <w:sz w:val="21"/>
                <w:szCs w:val="21"/>
              </w:rPr>
            </w:pPr>
          </w:p>
        </w:tc>
        <w:tc>
          <w:tcPr>
            <w:tcW w:w="217" w:type="dxa"/>
          </w:tcPr>
          <w:p w14:paraId="214948C6" w14:textId="77777777" w:rsidR="002C0FD9" w:rsidRPr="00CA25CF" w:rsidRDefault="002C0FD9" w:rsidP="00CA25CF">
            <w:pPr>
              <w:rPr>
                <w:rFonts w:cs="Arial"/>
                <w:color w:val="FF0000"/>
                <w:sz w:val="21"/>
                <w:szCs w:val="21"/>
              </w:rPr>
            </w:pPr>
          </w:p>
        </w:tc>
        <w:tc>
          <w:tcPr>
            <w:tcW w:w="217" w:type="dxa"/>
          </w:tcPr>
          <w:p w14:paraId="137984F0" w14:textId="77777777" w:rsidR="002C0FD9" w:rsidRPr="00CA25CF" w:rsidRDefault="002C0FD9" w:rsidP="00CA25CF">
            <w:pPr>
              <w:rPr>
                <w:rFonts w:cs="Arial"/>
                <w:color w:val="FF0000"/>
                <w:sz w:val="21"/>
                <w:szCs w:val="21"/>
              </w:rPr>
            </w:pPr>
          </w:p>
        </w:tc>
        <w:tc>
          <w:tcPr>
            <w:tcW w:w="217" w:type="dxa"/>
          </w:tcPr>
          <w:p w14:paraId="37ED96B9" w14:textId="77777777" w:rsidR="002C0FD9" w:rsidRPr="00CA25CF" w:rsidRDefault="002C0FD9" w:rsidP="00CA25CF">
            <w:pPr>
              <w:rPr>
                <w:rFonts w:cs="Arial"/>
                <w:color w:val="FF0000"/>
                <w:sz w:val="21"/>
                <w:szCs w:val="21"/>
              </w:rPr>
            </w:pPr>
          </w:p>
        </w:tc>
        <w:tc>
          <w:tcPr>
            <w:tcW w:w="217" w:type="dxa"/>
          </w:tcPr>
          <w:p w14:paraId="30BBFF24" w14:textId="77777777" w:rsidR="002C0FD9" w:rsidRPr="00CA25CF" w:rsidRDefault="002C0FD9" w:rsidP="00CA25CF">
            <w:pPr>
              <w:rPr>
                <w:rFonts w:cs="Arial"/>
                <w:color w:val="FF0000"/>
                <w:sz w:val="21"/>
                <w:szCs w:val="21"/>
              </w:rPr>
            </w:pPr>
          </w:p>
        </w:tc>
        <w:tc>
          <w:tcPr>
            <w:tcW w:w="217" w:type="dxa"/>
          </w:tcPr>
          <w:p w14:paraId="3737C9F1" w14:textId="77777777" w:rsidR="002C0FD9" w:rsidRPr="00CA25CF" w:rsidRDefault="002C0FD9" w:rsidP="00CA25CF">
            <w:pPr>
              <w:rPr>
                <w:rFonts w:cs="Arial"/>
                <w:color w:val="FF0000"/>
                <w:sz w:val="21"/>
                <w:szCs w:val="21"/>
              </w:rPr>
            </w:pPr>
          </w:p>
        </w:tc>
        <w:tc>
          <w:tcPr>
            <w:tcW w:w="217" w:type="dxa"/>
          </w:tcPr>
          <w:p w14:paraId="724AEF6D" w14:textId="77777777" w:rsidR="002C0FD9" w:rsidRPr="00CA25CF" w:rsidRDefault="002C0FD9" w:rsidP="00CA25CF">
            <w:pPr>
              <w:rPr>
                <w:rFonts w:cs="Arial"/>
                <w:color w:val="FF0000"/>
                <w:sz w:val="21"/>
                <w:szCs w:val="21"/>
              </w:rPr>
            </w:pPr>
          </w:p>
        </w:tc>
        <w:tc>
          <w:tcPr>
            <w:tcW w:w="217" w:type="dxa"/>
          </w:tcPr>
          <w:p w14:paraId="3FD01060" w14:textId="77777777" w:rsidR="002C0FD9" w:rsidRPr="00CA25CF" w:rsidRDefault="002C0FD9" w:rsidP="00CA25CF">
            <w:pPr>
              <w:rPr>
                <w:rFonts w:cs="Arial"/>
                <w:color w:val="FF0000"/>
                <w:sz w:val="21"/>
                <w:szCs w:val="21"/>
              </w:rPr>
            </w:pPr>
          </w:p>
        </w:tc>
        <w:tc>
          <w:tcPr>
            <w:tcW w:w="217" w:type="dxa"/>
          </w:tcPr>
          <w:p w14:paraId="2C10FC62" w14:textId="77777777" w:rsidR="002C0FD9" w:rsidRPr="00CA25CF" w:rsidRDefault="002C0FD9" w:rsidP="00CA25CF">
            <w:pPr>
              <w:rPr>
                <w:rFonts w:cs="Arial"/>
                <w:color w:val="FF0000"/>
                <w:sz w:val="21"/>
                <w:szCs w:val="21"/>
              </w:rPr>
            </w:pPr>
          </w:p>
        </w:tc>
        <w:tc>
          <w:tcPr>
            <w:tcW w:w="217" w:type="dxa"/>
          </w:tcPr>
          <w:p w14:paraId="22AEF659" w14:textId="77777777" w:rsidR="002C0FD9" w:rsidRPr="00CA25CF" w:rsidRDefault="002C0FD9" w:rsidP="00CA25CF">
            <w:pPr>
              <w:rPr>
                <w:rFonts w:cs="Arial"/>
                <w:color w:val="FF0000"/>
                <w:sz w:val="21"/>
                <w:szCs w:val="21"/>
              </w:rPr>
            </w:pPr>
          </w:p>
        </w:tc>
        <w:tc>
          <w:tcPr>
            <w:tcW w:w="217" w:type="dxa"/>
          </w:tcPr>
          <w:p w14:paraId="34D4DD62" w14:textId="77777777" w:rsidR="002C0FD9" w:rsidRPr="00CA25CF" w:rsidRDefault="002C0FD9" w:rsidP="00CA25CF">
            <w:pPr>
              <w:rPr>
                <w:rFonts w:cs="Arial"/>
                <w:color w:val="FF0000"/>
                <w:sz w:val="21"/>
                <w:szCs w:val="21"/>
              </w:rPr>
            </w:pPr>
          </w:p>
        </w:tc>
        <w:tc>
          <w:tcPr>
            <w:tcW w:w="217" w:type="dxa"/>
          </w:tcPr>
          <w:p w14:paraId="653DC95F" w14:textId="77777777" w:rsidR="002C0FD9" w:rsidRPr="00CA25CF" w:rsidRDefault="002C0FD9" w:rsidP="00CA25CF">
            <w:pPr>
              <w:rPr>
                <w:rFonts w:cs="Arial"/>
                <w:color w:val="FF0000"/>
                <w:sz w:val="21"/>
                <w:szCs w:val="21"/>
              </w:rPr>
            </w:pPr>
          </w:p>
        </w:tc>
        <w:tc>
          <w:tcPr>
            <w:tcW w:w="217" w:type="dxa"/>
          </w:tcPr>
          <w:p w14:paraId="0E633A60" w14:textId="77777777" w:rsidR="002C0FD9" w:rsidRPr="00CA25CF" w:rsidRDefault="002C0FD9" w:rsidP="00CA25CF">
            <w:pPr>
              <w:rPr>
                <w:rFonts w:cs="Arial"/>
                <w:color w:val="FF0000"/>
                <w:sz w:val="21"/>
                <w:szCs w:val="21"/>
              </w:rPr>
            </w:pPr>
          </w:p>
        </w:tc>
        <w:tc>
          <w:tcPr>
            <w:tcW w:w="217" w:type="dxa"/>
          </w:tcPr>
          <w:p w14:paraId="0FC327D4" w14:textId="77777777" w:rsidR="002C0FD9" w:rsidRPr="00CA25CF" w:rsidRDefault="002C0FD9" w:rsidP="00CA25CF">
            <w:pPr>
              <w:rPr>
                <w:rFonts w:cs="Arial"/>
                <w:color w:val="FF0000"/>
                <w:sz w:val="21"/>
                <w:szCs w:val="21"/>
              </w:rPr>
            </w:pPr>
          </w:p>
        </w:tc>
        <w:tc>
          <w:tcPr>
            <w:tcW w:w="217" w:type="dxa"/>
          </w:tcPr>
          <w:p w14:paraId="4CDBB746" w14:textId="77777777" w:rsidR="002C0FD9" w:rsidRPr="00CA25CF" w:rsidRDefault="002C0FD9" w:rsidP="00CA25CF">
            <w:pPr>
              <w:rPr>
                <w:rFonts w:cs="Arial"/>
                <w:color w:val="FF0000"/>
                <w:sz w:val="21"/>
                <w:szCs w:val="21"/>
              </w:rPr>
            </w:pPr>
          </w:p>
        </w:tc>
        <w:tc>
          <w:tcPr>
            <w:tcW w:w="217" w:type="dxa"/>
          </w:tcPr>
          <w:p w14:paraId="2412C84E" w14:textId="77777777" w:rsidR="002C0FD9" w:rsidRPr="00CA25CF" w:rsidRDefault="002C0FD9" w:rsidP="00CA25CF">
            <w:pPr>
              <w:rPr>
                <w:rFonts w:cs="Arial"/>
                <w:color w:val="FF0000"/>
                <w:sz w:val="21"/>
                <w:szCs w:val="21"/>
              </w:rPr>
            </w:pPr>
          </w:p>
        </w:tc>
        <w:tc>
          <w:tcPr>
            <w:tcW w:w="217" w:type="dxa"/>
          </w:tcPr>
          <w:p w14:paraId="7F9B23EF" w14:textId="77777777" w:rsidR="002C0FD9" w:rsidRPr="00CA25CF" w:rsidRDefault="002C0FD9" w:rsidP="00CA25CF">
            <w:pPr>
              <w:rPr>
                <w:rFonts w:cs="Arial"/>
                <w:color w:val="FF0000"/>
                <w:sz w:val="21"/>
                <w:szCs w:val="21"/>
              </w:rPr>
            </w:pPr>
          </w:p>
        </w:tc>
        <w:tc>
          <w:tcPr>
            <w:tcW w:w="217" w:type="dxa"/>
          </w:tcPr>
          <w:p w14:paraId="7DBE9297" w14:textId="77777777" w:rsidR="002C0FD9" w:rsidRPr="00CA25CF" w:rsidRDefault="002C0FD9" w:rsidP="00CA25CF">
            <w:pPr>
              <w:rPr>
                <w:rFonts w:cs="Arial"/>
                <w:color w:val="FF0000"/>
                <w:sz w:val="21"/>
                <w:szCs w:val="21"/>
              </w:rPr>
            </w:pPr>
          </w:p>
        </w:tc>
        <w:tc>
          <w:tcPr>
            <w:tcW w:w="217" w:type="dxa"/>
          </w:tcPr>
          <w:p w14:paraId="130A93FC" w14:textId="77777777" w:rsidR="002C0FD9" w:rsidRPr="00CA25CF" w:rsidRDefault="002C0FD9" w:rsidP="00CA25CF">
            <w:pPr>
              <w:rPr>
                <w:rFonts w:cs="Arial"/>
                <w:color w:val="FF0000"/>
                <w:sz w:val="21"/>
                <w:szCs w:val="21"/>
              </w:rPr>
            </w:pPr>
          </w:p>
        </w:tc>
        <w:tc>
          <w:tcPr>
            <w:tcW w:w="217" w:type="dxa"/>
          </w:tcPr>
          <w:p w14:paraId="17DBD808" w14:textId="77777777" w:rsidR="002C0FD9" w:rsidRPr="00CA25CF" w:rsidRDefault="002C0FD9" w:rsidP="00CA25CF">
            <w:pPr>
              <w:rPr>
                <w:rFonts w:cs="Arial"/>
                <w:color w:val="FF0000"/>
                <w:sz w:val="21"/>
                <w:szCs w:val="21"/>
              </w:rPr>
            </w:pPr>
          </w:p>
        </w:tc>
        <w:tc>
          <w:tcPr>
            <w:tcW w:w="217" w:type="dxa"/>
          </w:tcPr>
          <w:p w14:paraId="67FB6832" w14:textId="77777777" w:rsidR="002C0FD9" w:rsidRPr="00CA25CF" w:rsidRDefault="002C0FD9" w:rsidP="00CA25CF">
            <w:pPr>
              <w:rPr>
                <w:rFonts w:cs="Arial"/>
                <w:color w:val="FF0000"/>
                <w:sz w:val="21"/>
                <w:szCs w:val="21"/>
              </w:rPr>
            </w:pPr>
          </w:p>
        </w:tc>
        <w:tc>
          <w:tcPr>
            <w:tcW w:w="217" w:type="dxa"/>
          </w:tcPr>
          <w:p w14:paraId="32D93655" w14:textId="77777777" w:rsidR="002C0FD9" w:rsidRPr="00CA25CF" w:rsidRDefault="002C0FD9" w:rsidP="00CA25CF">
            <w:pPr>
              <w:rPr>
                <w:rFonts w:cs="Arial"/>
                <w:color w:val="FF0000"/>
                <w:sz w:val="21"/>
                <w:szCs w:val="21"/>
              </w:rPr>
            </w:pPr>
          </w:p>
        </w:tc>
        <w:tc>
          <w:tcPr>
            <w:tcW w:w="217" w:type="dxa"/>
          </w:tcPr>
          <w:p w14:paraId="5206317F" w14:textId="77777777" w:rsidR="002C0FD9" w:rsidRPr="00CA25CF" w:rsidRDefault="002C0FD9" w:rsidP="00CA25CF">
            <w:pPr>
              <w:rPr>
                <w:rFonts w:cs="Arial"/>
                <w:color w:val="FF0000"/>
                <w:sz w:val="21"/>
                <w:szCs w:val="21"/>
              </w:rPr>
            </w:pPr>
          </w:p>
        </w:tc>
        <w:tc>
          <w:tcPr>
            <w:tcW w:w="217" w:type="dxa"/>
          </w:tcPr>
          <w:p w14:paraId="52A5AE13" w14:textId="77777777" w:rsidR="002C0FD9" w:rsidRPr="00CA25CF" w:rsidRDefault="002C0FD9" w:rsidP="00CA25CF">
            <w:pPr>
              <w:rPr>
                <w:rFonts w:cs="Arial"/>
                <w:color w:val="FF0000"/>
                <w:sz w:val="21"/>
                <w:szCs w:val="21"/>
              </w:rPr>
            </w:pPr>
          </w:p>
        </w:tc>
        <w:tc>
          <w:tcPr>
            <w:tcW w:w="217" w:type="dxa"/>
          </w:tcPr>
          <w:p w14:paraId="3914000B" w14:textId="77777777" w:rsidR="002C0FD9" w:rsidRPr="00CA25CF" w:rsidRDefault="002C0FD9" w:rsidP="00CA25CF">
            <w:pPr>
              <w:rPr>
                <w:rFonts w:cs="Arial"/>
                <w:color w:val="FF0000"/>
                <w:sz w:val="21"/>
                <w:szCs w:val="21"/>
              </w:rPr>
            </w:pPr>
          </w:p>
        </w:tc>
        <w:tc>
          <w:tcPr>
            <w:tcW w:w="217" w:type="dxa"/>
          </w:tcPr>
          <w:p w14:paraId="4F528A79" w14:textId="77777777" w:rsidR="002C0FD9" w:rsidRPr="00CA25CF" w:rsidRDefault="002C0FD9" w:rsidP="00CA25CF">
            <w:pPr>
              <w:rPr>
                <w:rFonts w:cs="Arial"/>
                <w:color w:val="FF0000"/>
                <w:sz w:val="21"/>
                <w:szCs w:val="21"/>
              </w:rPr>
            </w:pPr>
          </w:p>
        </w:tc>
        <w:tc>
          <w:tcPr>
            <w:tcW w:w="217" w:type="dxa"/>
          </w:tcPr>
          <w:p w14:paraId="2C97340D" w14:textId="77777777" w:rsidR="002C0FD9" w:rsidRPr="00CA25CF" w:rsidRDefault="002C0FD9" w:rsidP="00CA25CF">
            <w:pPr>
              <w:rPr>
                <w:rFonts w:cs="Arial"/>
                <w:color w:val="FF0000"/>
                <w:sz w:val="21"/>
                <w:szCs w:val="21"/>
              </w:rPr>
            </w:pPr>
          </w:p>
        </w:tc>
        <w:tc>
          <w:tcPr>
            <w:tcW w:w="217" w:type="dxa"/>
          </w:tcPr>
          <w:p w14:paraId="3FB4A65F" w14:textId="77777777" w:rsidR="002C0FD9" w:rsidRPr="00CA25CF" w:rsidRDefault="002C0FD9" w:rsidP="00CA25CF">
            <w:pPr>
              <w:rPr>
                <w:rFonts w:cs="Arial"/>
                <w:color w:val="FF0000"/>
                <w:sz w:val="21"/>
                <w:szCs w:val="21"/>
              </w:rPr>
            </w:pPr>
          </w:p>
        </w:tc>
        <w:tc>
          <w:tcPr>
            <w:tcW w:w="217" w:type="dxa"/>
          </w:tcPr>
          <w:p w14:paraId="105F6793" w14:textId="77777777" w:rsidR="002C0FD9" w:rsidRPr="00CA25CF" w:rsidRDefault="002C0FD9" w:rsidP="00CA25CF">
            <w:pPr>
              <w:rPr>
                <w:rFonts w:cs="Arial"/>
                <w:color w:val="FF0000"/>
                <w:sz w:val="21"/>
                <w:szCs w:val="21"/>
              </w:rPr>
            </w:pPr>
          </w:p>
        </w:tc>
        <w:tc>
          <w:tcPr>
            <w:tcW w:w="217" w:type="dxa"/>
          </w:tcPr>
          <w:p w14:paraId="37153CCF" w14:textId="77777777" w:rsidR="002C0FD9" w:rsidRPr="00CA25CF" w:rsidRDefault="002C0FD9" w:rsidP="00CA25CF">
            <w:pPr>
              <w:rPr>
                <w:rFonts w:cs="Arial"/>
                <w:color w:val="FF0000"/>
                <w:sz w:val="21"/>
                <w:szCs w:val="21"/>
              </w:rPr>
            </w:pPr>
          </w:p>
        </w:tc>
        <w:tc>
          <w:tcPr>
            <w:tcW w:w="217" w:type="dxa"/>
          </w:tcPr>
          <w:p w14:paraId="44CA92D6" w14:textId="77777777" w:rsidR="002C0FD9" w:rsidRPr="00CA25CF" w:rsidRDefault="002C0FD9" w:rsidP="00CA25CF">
            <w:pPr>
              <w:rPr>
                <w:rFonts w:cs="Arial"/>
                <w:color w:val="FF0000"/>
                <w:sz w:val="21"/>
                <w:szCs w:val="21"/>
              </w:rPr>
            </w:pPr>
          </w:p>
        </w:tc>
      </w:tr>
      <w:tr w:rsidR="002C0FD9" w:rsidRPr="00A16219" w14:paraId="3F672C8B" w14:textId="4BB7314D" w:rsidTr="002C0FD9">
        <w:trPr>
          <w:trHeight w:val="635"/>
        </w:trPr>
        <w:tc>
          <w:tcPr>
            <w:tcW w:w="515" w:type="dxa"/>
          </w:tcPr>
          <w:p w14:paraId="444A26F9" w14:textId="77777777" w:rsidR="002C0FD9" w:rsidRPr="00CA25CF" w:rsidRDefault="002C0FD9" w:rsidP="00CA25CF">
            <w:pPr>
              <w:rPr>
                <w:rFonts w:cs="Arial"/>
                <w:color w:val="FF0000"/>
                <w:sz w:val="21"/>
                <w:szCs w:val="21"/>
              </w:rPr>
            </w:pPr>
          </w:p>
        </w:tc>
        <w:tc>
          <w:tcPr>
            <w:tcW w:w="217" w:type="dxa"/>
          </w:tcPr>
          <w:p w14:paraId="7B3D7687" w14:textId="77777777" w:rsidR="002C0FD9" w:rsidRPr="00CA25CF" w:rsidRDefault="002C0FD9" w:rsidP="00CA25CF">
            <w:pPr>
              <w:rPr>
                <w:rFonts w:cs="Arial"/>
                <w:color w:val="FF0000"/>
                <w:sz w:val="21"/>
                <w:szCs w:val="21"/>
              </w:rPr>
            </w:pPr>
          </w:p>
        </w:tc>
        <w:tc>
          <w:tcPr>
            <w:tcW w:w="217" w:type="dxa"/>
          </w:tcPr>
          <w:p w14:paraId="6BC5EAA8" w14:textId="2311C19D" w:rsidR="002C0FD9" w:rsidRPr="00CA25CF" w:rsidRDefault="002C0FD9" w:rsidP="00CA25CF">
            <w:pPr>
              <w:rPr>
                <w:rFonts w:cs="Arial"/>
                <w:color w:val="FF0000"/>
                <w:sz w:val="21"/>
                <w:szCs w:val="21"/>
              </w:rPr>
            </w:pPr>
          </w:p>
        </w:tc>
        <w:tc>
          <w:tcPr>
            <w:tcW w:w="217" w:type="dxa"/>
          </w:tcPr>
          <w:p w14:paraId="22C824D2" w14:textId="77777777" w:rsidR="002C0FD9" w:rsidRPr="00CA25CF" w:rsidRDefault="002C0FD9" w:rsidP="00CA25CF">
            <w:pPr>
              <w:rPr>
                <w:rFonts w:cs="Arial"/>
                <w:color w:val="FF0000"/>
                <w:sz w:val="21"/>
                <w:szCs w:val="21"/>
              </w:rPr>
            </w:pPr>
          </w:p>
        </w:tc>
        <w:tc>
          <w:tcPr>
            <w:tcW w:w="217" w:type="dxa"/>
          </w:tcPr>
          <w:p w14:paraId="73395471" w14:textId="77777777" w:rsidR="002C0FD9" w:rsidRPr="00CA25CF" w:rsidRDefault="002C0FD9" w:rsidP="00CA25CF">
            <w:pPr>
              <w:rPr>
                <w:rFonts w:cs="Arial"/>
                <w:color w:val="FF0000"/>
                <w:sz w:val="21"/>
                <w:szCs w:val="21"/>
              </w:rPr>
            </w:pPr>
          </w:p>
        </w:tc>
        <w:tc>
          <w:tcPr>
            <w:tcW w:w="217" w:type="dxa"/>
          </w:tcPr>
          <w:p w14:paraId="7969702E" w14:textId="77777777" w:rsidR="002C0FD9" w:rsidRPr="00CA25CF" w:rsidRDefault="002C0FD9" w:rsidP="00CA25CF">
            <w:pPr>
              <w:rPr>
                <w:rFonts w:cs="Arial"/>
                <w:color w:val="FF0000"/>
                <w:sz w:val="21"/>
                <w:szCs w:val="21"/>
              </w:rPr>
            </w:pPr>
          </w:p>
        </w:tc>
        <w:tc>
          <w:tcPr>
            <w:tcW w:w="217" w:type="dxa"/>
          </w:tcPr>
          <w:p w14:paraId="5D017B96" w14:textId="77777777" w:rsidR="002C0FD9" w:rsidRPr="00CA25CF" w:rsidRDefault="002C0FD9" w:rsidP="00CA25CF">
            <w:pPr>
              <w:rPr>
                <w:rFonts w:cs="Arial"/>
                <w:color w:val="FF0000"/>
                <w:sz w:val="21"/>
                <w:szCs w:val="21"/>
              </w:rPr>
            </w:pPr>
          </w:p>
        </w:tc>
        <w:tc>
          <w:tcPr>
            <w:tcW w:w="217" w:type="dxa"/>
          </w:tcPr>
          <w:p w14:paraId="1CEF1278" w14:textId="77777777" w:rsidR="002C0FD9" w:rsidRPr="00CA25CF" w:rsidRDefault="002C0FD9" w:rsidP="00CA25CF">
            <w:pPr>
              <w:rPr>
                <w:rFonts w:cs="Arial"/>
                <w:color w:val="FF0000"/>
                <w:sz w:val="21"/>
                <w:szCs w:val="21"/>
              </w:rPr>
            </w:pPr>
          </w:p>
        </w:tc>
        <w:tc>
          <w:tcPr>
            <w:tcW w:w="217" w:type="dxa"/>
          </w:tcPr>
          <w:p w14:paraId="1AA44B6E" w14:textId="77777777" w:rsidR="002C0FD9" w:rsidRPr="00CA25CF" w:rsidRDefault="002C0FD9" w:rsidP="00CA25CF">
            <w:pPr>
              <w:rPr>
                <w:rFonts w:cs="Arial"/>
                <w:color w:val="FF0000"/>
                <w:sz w:val="21"/>
                <w:szCs w:val="21"/>
              </w:rPr>
            </w:pPr>
          </w:p>
        </w:tc>
        <w:tc>
          <w:tcPr>
            <w:tcW w:w="217" w:type="dxa"/>
          </w:tcPr>
          <w:p w14:paraId="2BEE7987" w14:textId="77777777" w:rsidR="002C0FD9" w:rsidRPr="00CA25CF" w:rsidRDefault="002C0FD9" w:rsidP="00CA25CF">
            <w:pPr>
              <w:rPr>
                <w:rFonts w:cs="Arial"/>
                <w:color w:val="FF0000"/>
                <w:sz w:val="21"/>
                <w:szCs w:val="21"/>
              </w:rPr>
            </w:pPr>
          </w:p>
        </w:tc>
        <w:tc>
          <w:tcPr>
            <w:tcW w:w="217" w:type="dxa"/>
          </w:tcPr>
          <w:p w14:paraId="76B8FD37" w14:textId="77777777" w:rsidR="002C0FD9" w:rsidRPr="00CA25CF" w:rsidRDefault="002C0FD9" w:rsidP="00CA25CF">
            <w:pPr>
              <w:rPr>
                <w:rFonts w:cs="Arial"/>
                <w:color w:val="FF0000"/>
                <w:sz w:val="21"/>
                <w:szCs w:val="21"/>
              </w:rPr>
            </w:pPr>
          </w:p>
        </w:tc>
        <w:tc>
          <w:tcPr>
            <w:tcW w:w="217" w:type="dxa"/>
          </w:tcPr>
          <w:p w14:paraId="31D72AA1" w14:textId="77777777" w:rsidR="002C0FD9" w:rsidRPr="00CA25CF" w:rsidRDefault="002C0FD9" w:rsidP="00CA25CF">
            <w:pPr>
              <w:rPr>
                <w:rFonts w:cs="Arial"/>
                <w:color w:val="FF0000"/>
                <w:sz w:val="21"/>
                <w:szCs w:val="21"/>
              </w:rPr>
            </w:pPr>
          </w:p>
        </w:tc>
        <w:tc>
          <w:tcPr>
            <w:tcW w:w="217" w:type="dxa"/>
          </w:tcPr>
          <w:p w14:paraId="268B41E0" w14:textId="77777777" w:rsidR="002C0FD9" w:rsidRPr="00CA25CF" w:rsidRDefault="002C0FD9" w:rsidP="00CA25CF">
            <w:pPr>
              <w:rPr>
                <w:rFonts w:cs="Arial"/>
                <w:color w:val="FF0000"/>
                <w:sz w:val="21"/>
                <w:szCs w:val="21"/>
              </w:rPr>
            </w:pPr>
          </w:p>
        </w:tc>
        <w:tc>
          <w:tcPr>
            <w:tcW w:w="217" w:type="dxa"/>
          </w:tcPr>
          <w:p w14:paraId="476AEA9E" w14:textId="77777777" w:rsidR="002C0FD9" w:rsidRPr="00CA25CF" w:rsidRDefault="002C0FD9" w:rsidP="00CA25CF">
            <w:pPr>
              <w:rPr>
                <w:rFonts w:cs="Arial"/>
                <w:color w:val="FF0000"/>
                <w:sz w:val="21"/>
                <w:szCs w:val="21"/>
              </w:rPr>
            </w:pPr>
          </w:p>
        </w:tc>
        <w:tc>
          <w:tcPr>
            <w:tcW w:w="217" w:type="dxa"/>
          </w:tcPr>
          <w:p w14:paraId="6BB78ABC" w14:textId="77777777" w:rsidR="002C0FD9" w:rsidRPr="00CA25CF" w:rsidRDefault="002C0FD9" w:rsidP="00CA25CF">
            <w:pPr>
              <w:rPr>
                <w:rFonts w:cs="Arial"/>
                <w:color w:val="FF0000"/>
                <w:sz w:val="21"/>
                <w:szCs w:val="21"/>
              </w:rPr>
            </w:pPr>
          </w:p>
        </w:tc>
        <w:tc>
          <w:tcPr>
            <w:tcW w:w="217" w:type="dxa"/>
          </w:tcPr>
          <w:p w14:paraId="7B52383E" w14:textId="77777777" w:rsidR="002C0FD9" w:rsidRPr="00CA25CF" w:rsidRDefault="002C0FD9" w:rsidP="00CA25CF">
            <w:pPr>
              <w:rPr>
                <w:rFonts w:cs="Arial"/>
                <w:color w:val="FF0000"/>
                <w:sz w:val="21"/>
                <w:szCs w:val="21"/>
              </w:rPr>
            </w:pPr>
          </w:p>
        </w:tc>
        <w:tc>
          <w:tcPr>
            <w:tcW w:w="217" w:type="dxa"/>
          </w:tcPr>
          <w:p w14:paraId="1C449C96" w14:textId="77777777" w:rsidR="002C0FD9" w:rsidRPr="00CA25CF" w:rsidRDefault="002C0FD9" w:rsidP="00CA25CF">
            <w:pPr>
              <w:rPr>
                <w:rFonts w:cs="Arial"/>
                <w:color w:val="FF0000"/>
                <w:sz w:val="21"/>
                <w:szCs w:val="21"/>
              </w:rPr>
            </w:pPr>
          </w:p>
        </w:tc>
        <w:tc>
          <w:tcPr>
            <w:tcW w:w="217" w:type="dxa"/>
          </w:tcPr>
          <w:p w14:paraId="0F37D5ED" w14:textId="77777777" w:rsidR="002C0FD9" w:rsidRPr="00CA25CF" w:rsidRDefault="002C0FD9" w:rsidP="00CA25CF">
            <w:pPr>
              <w:rPr>
                <w:rFonts w:cs="Arial"/>
                <w:color w:val="FF0000"/>
                <w:sz w:val="21"/>
                <w:szCs w:val="21"/>
              </w:rPr>
            </w:pPr>
          </w:p>
        </w:tc>
        <w:tc>
          <w:tcPr>
            <w:tcW w:w="217" w:type="dxa"/>
          </w:tcPr>
          <w:p w14:paraId="6C1697BF" w14:textId="77777777" w:rsidR="002C0FD9" w:rsidRPr="00CA25CF" w:rsidRDefault="002C0FD9" w:rsidP="00CA25CF">
            <w:pPr>
              <w:rPr>
                <w:rFonts w:cs="Arial"/>
                <w:color w:val="FF0000"/>
                <w:sz w:val="21"/>
                <w:szCs w:val="21"/>
              </w:rPr>
            </w:pPr>
          </w:p>
        </w:tc>
        <w:tc>
          <w:tcPr>
            <w:tcW w:w="217" w:type="dxa"/>
          </w:tcPr>
          <w:p w14:paraId="39C8727F" w14:textId="77777777" w:rsidR="002C0FD9" w:rsidRPr="00CA25CF" w:rsidRDefault="002C0FD9" w:rsidP="00CA25CF">
            <w:pPr>
              <w:rPr>
                <w:rFonts w:cs="Arial"/>
                <w:color w:val="FF0000"/>
                <w:sz w:val="21"/>
                <w:szCs w:val="21"/>
              </w:rPr>
            </w:pPr>
          </w:p>
        </w:tc>
        <w:tc>
          <w:tcPr>
            <w:tcW w:w="217" w:type="dxa"/>
          </w:tcPr>
          <w:p w14:paraId="59DD5291" w14:textId="77777777" w:rsidR="002C0FD9" w:rsidRPr="00CA25CF" w:rsidRDefault="002C0FD9" w:rsidP="00CA25CF">
            <w:pPr>
              <w:rPr>
                <w:rFonts w:cs="Arial"/>
                <w:color w:val="FF0000"/>
                <w:sz w:val="21"/>
                <w:szCs w:val="21"/>
              </w:rPr>
            </w:pPr>
          </w:p>
        </w:tc>
        <w:tc>
          <w:tcPr>
            <w:tcW w:w="217" w:type="dxa"/>
          </w:tcPr>
          <w:p w14:paraId="1AB57C1D" w14:textId="77777777" w:rsidR="002C0FD9" w:rsidRPr="00CA25CF" w:rsidRDefault="002C0FD9" w:rsidP="00CA25CF">
            <w:pPr>
              <w:rPr>
                <w:rFonts w:cs="Arial"/>
                <w:color w:val="FF0000"/>
                <w:sz w:val="21"/>
                <w:szCs w:val="21"/>
              </w:rPr>
            </w:pPr>
          </w:p>
        </w:tc>
        <w:tc>
          <w:tcPr>
            <w:tcW w:w="217" w:type="dxa"/>
          </w:tcPr>
          <w:p w14:paraId="4DEB3BAD" w14:textId="77777777" w:rsidR="002C0FD9" w:rsidRPr="00CA25CF" w:rsidRDefault="002C0FD9" w:rsidP="00CA25CF">
            <w:pPr>
              <w:rPr>
                <w:rFonts w:cs="Arial"/>
                <w:color w:val="FF0000"/>
                <w:sz w:val="21"/>
                <w:szCs w:val="21"/>
              </w:rPr>
            </w:pPr>
          </w:p>
        </w:tc>
        <w:tc>
          <w:tcPr>
            <w:tcW w:w="217" w:type="dxa"/>
          </w:tcPr>
          <w:p w14:paraId="545D3A7B" w14:textId="77777777" w:rsidR="002C0FD9" w:rsidRPr="00CA25CF" w:rsidRDefault="002C0FD9" w:rsidP="00CA25CF">
            <w:pPr>
              <w:rPr>
                <w:rFonts w:cs="Arial"/>
                <w:color w:val="FF0000"/>
                <w:sz w:val="21"/>
                <w:szCs w:val="21"/>
              </w:rPr>
            </w:pPr>
          </w:p>
        </w:tc>
        <w:tc>
          <w:tcPr>
            <w:tcW w:w="217" w:type="dxa"/>
          </w:tcPr>
          <w:p w14:paraId="17996A56" w14:textId="77777777" w:rsidR="002C0FD9" w:rsidRPr="00CA25CF" w:rsidRDefault="002C0FD9" w:rsidP="00CA25CF">
            <w:pPr>
              <w:rPr>
                <w:rFonts w:cs="Arial"/>
                <w:color w:val="FF0000"/>
                <w:sz w:val="21"/>
                <w:szCs w:val="21"/>
              </w:rPr>
            </w:pPr>
          </w:p>
        </w:tc>
        <w:tc>
          <w:tcPr>
            <w:tcW w:w="217" w:type="dxa"/>
          </w:tcPr>
          <w:p w14:paraId="73911D10" w14:textId="77777777" w:rsidR="002C0FD9" w:rsidRPr="00CA25CF" w:rsidRDefault="002C0FD9" w:rsidP="00CA25CF">
            <w:pPr>
              <w:rPr>
                <w:rFonts w:cs="Arial"/>
                <w:color w:val="FF0000"/>
                <w:sz w:val="21"/>
                <w:szCs w:val="21"/>
              </w:rPr>
            </w:pPr>
          </w:p>
        </w:tc>
        <w:tc>
          <w:tcPr>
            <w:tcW w:w="217" w:type="dxa"/>
          </w:tcPr>
          <w:p w14:paraId="2114D504" w14:textId="77777777" w:rsidR="002C0FD9" w:rsidRPr="00CA25CF" w:rsidRDefault="002C0FD9" w:rsidP="00CA25CF">
            <w:pPr>
              <w:rPr>
                <w:rFonts w:cs="Arial"/>
                <w:color w:val="FF0000"/>
                <w:sz w:val="21"/>
                <w:szCs w:val="21"/>
              </w:rPr>
            </w:pPr>
          </w:p>
        </w:tc>
        <w:tc>
          <w:tcPr>
            <w:tcW w:w="217" w:type="dxa"/>
          </w:tcPr>
          <w:p w14:paraId="373CCB00" w14:textId="77777777" w:rsidR="002C0FD9" w:rsidRPr="00CA25CF" w:rsidRDefault="002C0FD9" w:rsidP="00CA25CF">
            <w:pPr>
              <w:rPr>
                <w:rFonts w:cs="Arial"/>
                <w:color w:val="FF0000"/>
                <w:sz w:val="21"/>
                <w:szCs w:val="21"/>
              </w:rPr>
            </w:pPr>
          </w:p>
        </w:tc>
        <w:tc>
          <w:tcPr>
            <w:tcW w:w="217" w:type="dxa"/>
          </w:tcPr>
          <w:p w14:paraId="3244A2F5" w14:textId="77777777" w:rsidR="002C0FD9" w:rsidRPr="00CA25CF" w:rsidRDefault="002C0FD9" w:rsidP="00CA25CF">
            <w:pPr>
              <w:rPr>
                <w:rFonts w:cs="Arial"/>
                <w:color w:val="FF0000"/>
                <w:sz w:val="21"/>
                <w:szCs w:val="21"/>
              </w:rPr>
            </w:pPr>
          </w:p>
        </w:tc>
        <w:tc>
          <w:tcPr>
            <w:tcW w:w="217" w:type="dxa"/>
          </w:tcPr>
          <w:p w14:paraId="0E2C5052" w14:textId="77777777" w:rsidR="002C0FD9" w:rsidRPr="00CA25CF" w:rsidRDefault="002C0FD9" w:rsidP="00CA25CF">
            <w:pPr>
              <w:rPr>
                <w:rFonts w:cs="Arial"/>
                <w:color w:val="FF0000"/>
                <w:sz w:val="21"/>
                <w:szCs w:val="21"/>
              </w:rPr>
            </w:pPr>
          </w:p>
        </w:tc>
        <w:tc>
          <w:tcPr>
            <w:tcW w:w="217" w:type="dxa"/>
          </w:tcPr>
          <w:p w14:paraId="55121FEC" w14:textId="77777777" w:rsidR="002C0FD9" w:rsidRPr="00CA25CF" w:rsidRDefault="002C0FD9" w:rsidP="00CA25CF">
            <w:pPr>
              <w:rPr>
                <w:rFonts w:cs="Arial"/>
                <w:color w:val="FF0000"/>
                <w:sz w:val="21"/>
                <w:szCs w:val="21"/>
              </w:rPr>
            </w:pPr>
          </w:p>
        </w:tc>
        <w:tc>
          <w:tcPr>
            <w:tcW w:w="217" w:type="dxa"/>
          </w:tcPr>
          <w:p w14:paraId="335F7B2D" w14:textId="77777777" w:rsidR="002C0FD9" w:rsidRPr="00CA25CF" w:rsidRDefault="002C0FD9" w:rsidP="00CA25CF">
            <w:pPr>
              <w:rPr>
                <w:rFonts w:cs="Arial"/>
                <w:color w:val="FF0000"/>
                <w:sz w:val="21"/>
                <w:szCs w:val="21"/>
              </w:rPr>
            </w:pPr>
          </w:p>
        </w:tc>
        <w:tc>
          <w:tcPr>
            <w:tcW w:w="217" w:type="dxa"/>
          </w:tcPr>
          <w:p w14:paraId="71052A09" w14:textId="77777777" w:rsidR="002C0FD9" w:rsidRPr="00CA25CF" w:rsidRDefault="002C0FD9" w:rsidP="00CA25CF">
            <w:pPr>
              <w:rPr>
                <w:rFonts w:cs="Arial"/>
                <w:color w:val="FF0000"/>
                <w:sz w:val="21"/>
                <w:szCs w:val="21"/>
              </w:rPr>
            </w:pPr>
          </w:p>
        </w:tc>
        <w:tc>
          <w:tcPr>
            <w:tcW w:w="217" w:type="dxa"/>
          </w:tcPr>
          <w:p w14:paraId="6E2AA06A" w14:textId="77777777" w:rsidR="002C0FD9" w:rsidRPr="00CA25CF" w:rsidRDefault="002C0FD9" w:rsidP="00CA25CF">
            <w:pPr>
              <w:rPr>
                <w:rFonts w:cs="Arial"/>
                <w:color w:val="FF0000"/>
                <w:sz w:val="21"/>
                <w:szCs w:val="21"/>
              </w:rPr>
            </w:pPr>
          </w:p>
        </w:tc>
        <w:tc>
          <w:tcPr>
            <w:tcW w:w="217" w:type="dxa"/>
          </w:tcPr>
          <w:p w14:paraId="7458FA2A" w14:textId="77777777" w:rsidR="002C0FD9" w:rsidRPr="00CA25CF" w:rsidRDefault="002C0FD9" w:rsidP="00CA25CF">
            <w:pPr>
              <w:rPr>
                <w:rFonts w:cs="Arial"/>
                <w:color w:val="FF0000"/>
                <w:sz w:val="21"/>
                <w:szCs w:val="21"/>
              </w:rPr>
            </w:pPr>
          </w:p>
        </w:tc>
        <w:tc>
          <w:tcPr>
            <w:tcW w:w="217" w:type="dxa"/>
          </w:tcPr>
          <w:p w14:paraId="1482209C" w14:textId="77777777" w:rsidR="002C0FD9" w:rsidRPr="00CA25CF" w:rsidRDefault="002C0FD9" w:rsidP="00CA25CF">
            <w:pPr>
              <w:rPr>
                <w:rFonts w:cs="Arial"/>
                <w:color w:val="FF0000"/>
                <w:sz w:val="21"/>
                <w:szCs w:val="21"/>
              </w:rPr>
            </w:pPr>
          </w:p>
        </w:tc>
        <w:tc>
          <w:tcPr>
            <w:tcW w:w="217" w:type="dxa"/>
          </w:tcPr>
          <w:p w14:paraId="5F29C42E" w14:textId="77777777" w:rsidR="002C0FD9" w:rsidRPr="00CA25CF" w:rsidRDefault="002C0FD9" w:rsidP="00CA25CF">
            <w:pPr>
              <w:rPr>
                <w:rFonts w:cs="Arial"/>
                <w:color w:val="FF0000"/>
                <w:sz w:val="21"/>
                <w:szCs w:val="21"/>
              </w:rPr>
            </w:pPr>
          </w:p>
        </w:tc>
        <w:tc>
          <w:tcPr>
            <w:tcW w:w="217" w:type="dxa"/>
          </w:tcPr>
          <w:p w14:paraId="60580BCD" w14:textId="77777777" w:rsidR="002C0FD9" w:rsidRPr="00CA25CF" w:rsidRDefault="002C0FD9" w:rsidP="00CA25CF">
            <w:pPr>
              <w:rPr>
                <w:rFonts w:cs="Arial"/>
                <w:color w:val="FF0000"/>
                <w:sz w:val="21"/>
                <w:szCs w:val="21"/>
              </w:rPr>
            </w:pPr>
          </w:p>
        </w:tc>
        <w:tc>
          <w:tcPr>
            <w:tcW w:w="217" w:type="dxa"/>
          </w:tcPr>
          <w:p w14:paraId="2CC99150" w14:textId="77777777" w:rsidR="002C0FD9" w:rsidRPr="00CA25CF" w:rsidRDefault="002C0FD9" w:rsidP="00CA25CF">
            <w:pPr>
              <w:rPr>
                <w:rFonts w:cs="Arial"/>
                <w:color w:val="FF0000"/>
                <w:sz w:val="21"/>
                <w:szCs w:val="21"/>
              </w:rPr>
            </w:pPr>
          </w:p>
        </w:tc>
        <w:tc>
          <w:tcPr>
            <w:tcW w:w="217" w:type="dxa"/>
          </w:tcPr>
          <w:p w14:paraId="4BD87BBC" w14:textId="77777777" w:rsidR="002C0FD9" w:rsidRPr="00CA25CF" w:rsidRDefault="002C0FD9" w:rsidP="00CA25CF">
            <w:pPr>
              <w:rPr>
                <w:rFonts w:cs="Arial"/>
                <w:color w:val="FF0000"/>
                <w:sz w:val="21"/>
                <w:szCs w:val="21"/>
              </w:rPr>
            </w:pPr>
          </w:p>
        </w:tc>
        <w:tc>
          <w:tcPr>
            <w:tcW w:w="217" w:type="dxa"/>
          </w:tcPr>
          <w:p w14:paraId="4B0FB4B0" w14:textId="77777777" w:rsidR="002C0FD9" w:rsidRPr="00CA25CF" w:rsidRDefault="002C0FD9" w:rsidP="00CA25CF">
            <w:pPr>
              <w:rPr>
                <w:rFonts w:cs="Arial"/>
                <w:color w:val="FF0000"/>
                <w:sz w:val="21"/>
                <w:szCs w:val="21"/>
              </w:rPr>
            </w:pPr>
          </w:p>
        </w:tc>
        <w:tc>
          <w:tcPr>
            <w:tcW w:w="217" w:type="dxa"/>
          </w:tcPr>
          <w:p w14:paraId="3493922A" w14:textId="77777777" w:rsidR="002C0FD9" w:rsidRPr="00CA25CF" w:rsidRDefault="002C0FD9" w:rsidP="00CA25CF">
            <w:pPr>
              <w:rPr>
                <w:rFonts w:cs="Arial"/>
                <w:color w:val="FF0000"/>
                <w:sz w:val="21"/>
                <w:szCs w:val="21"/>
              </w:rPr>
            </w:pPr>
          </w:p>
        </w:tc>
        <w:tc>
          <w:tcPr>
            <w:tcW w:w="217" w:type="dxa"/>
          </w:tcPr>
          <w:p w14:paraId="1C5B2103" w14:textId="77777777" w:rsidR="002C0FD9" w:rsidRPr="00CA25CF" w:rsidRDefault="002C0FD9" w:rsidP="00CA25CF">
            <w:pPr>
              <w:rPr>
                <w:rFonts w:cs="Arial"/>
                <w:color w:val="FF0000"/>
                <w:sz w:val="21"/>
                <w:szCs w:val="21"/>
              </w:rPr>
            </w:pPr>
          </w:p>
        </w:tc>
      </w:tr>
      <w:tr w:rsidR="002C0FD9" w:rsidRPr="00A16219" w14:paraId="5191C87F" w14:textId="3250C90B" w:rsidTr="002C0FD9">
        <w:trPr>
          <w:trHeight w:val="635"/>
        </w:trPr>
        <w:tc>
          <w:tcPr>
            <w:tcW w:w="515" w:type="dxa"/>
          </w:tcPr>
          <w:p w14:paraId="74249953" w14:textId="77777777" w:rsidR="002C0FD9" w:rsidRPr="00CA25CF" w:rsidRDefault="002C0FD9" w:rsidP="00CA25CF">
            <w:pPr>
              <w:rPr>
                <w:rFonts w:cs="Arial"/>
                <w:color w:val="FF0000"/>
                <w:sz w:val="21"/>
                <w:szCs w:val="21"/>
              </w:rPr>
            </w:pPr>
          </w:p>
        </w:tc>
        <w:tc>
          <w:tcPr>
            <w:tcW w:w="217" w:type="dxa"/>
          </w:tcPr>
          <w:p w14:paraId="1D9DA049" w14:textId="77777777" w:rsidR="002C0FD9" w:rsidRPr="00CA25CF" w:rsidRDefault="002C0FD9" w:rsidP="00CA25CF">
            <w:pPr>
              <w:rPr>
                <w:rFonts w:cs="Arial"/>
                <w:color w:val="FF0000"/>
                <w:sz w:val="21"/>
                <w:szCs w:val="21"/>
              </w:rPr>
            </w:pPr>
          </w:p>
        </w:tc>
        <w:tc>
          <w:tcPr>
            <w:tcW w:w="217" w:type="dxa"/>
          </w:tcPr>
          <w:p w14:paraId="3B1AF446" w14:textId="4520FD2E" w:rsidR="002C0FD9" w:rsidRPr="00CA25CF" w:rsidRDefault="002C0FD9" w:rsidP="00CA25CF">
            <w:pPr>
              <w:rPr>
                <w:rFonts w:cs="Arial"/>
                <w:color w:val="FF0000"/>
                <w:sz w:val="21"/>
                <w:szCs w:val="21"/>
              </w:rPr>
            </w:pPr>
          </w:p>
        </w:tc>
        <w:tc>
          <w:tcPr>
            <w:tcW w:w="217" w:type="dxa"/>
          </w:tcPr>
          <w:p w14:paraId="1419E34B" w14:textId="77777777" w:rsidR="002C0FD9" w:rsidRPr="00CA25CF" w:rsidRDefault="002C0FD9" w:rsidP="00CA25CF">
            <w:pPr>
              <w:rPr>
                <w:rFonts w:cs="Arial"/>
                <w:color w:val="FF0000"/>
                <w:sz w:val="21"/>
                <w:szCs w:val="21"/>
              </w:rPr>
            </w:pPr>
          </w:p>
        </w:tc>
        <w:tc>
          <w:tcPr>
            <w:tcW w:w="217" w:type="dxa"/>
          </w:tcPr>
          <w:p w14:paraId="4031811F" w14:textId="77777777" w:rsidR="002C0FD9" w:rsidRPr="00CA25CF" w:rsidRDefault="002C0FD9" w:rsidP="00CA25CF">
            <w:pPr>
              <w:rPr>
                <w:rFonts w:cs="Arial"/>
                <w:color w:val="FF0000"/>
                <w:sz w:val="21"/>
                <w:szCs w:val="21"/>
              </w:rPr>
            </w:pPr>
          </w:p>
        </w:tc>
        <w:tc>
          <w:tcPr>
            <w:tcW w:w="217" w:type="dxa"/>
          </w:tcPr>
          <w:p w14:paraId="46336A0A" w14:textId="77777777" w:rsidR="002C0FD9" w:rsidRPr="00CA25CF" w:rsidRDefault="002C0FD9" w:rsidP="00CA25CF">
            <w:pPr>
              <w:rPr>
                <w:rFonts w:cs="Arial"/>
                <w:color w:val="FF0000"/>
                <w:sz w:val="21"/>
                <w:szCs w:val="21"/>
              </w:rPr>
            </w:pPr>
          </w:p>
        </w:tc>
        <w:tc>
          <w:tcPr>
            <w:tcW w:w="217" w:type="dxa"/>
          </w:tcPr>
          <w:p w14:paraId="3D77CB10" w14:textId="77777777" w:rsidR="002C0FD9" w:rsidRPr="00CA25CF" w:rsidRDefault="002C0FD9" w:rsidP="00CA25CF">
            <w:pPr>
              <w:rPr>
                <w:rFonts w:cs="Arial"/>
                <w:color w:val="FF0000"/>
                <w:sz w:val="21"/>
                <w:szCs w:val="21"/>
              </w:rPr>
            </w:pPr>
          </w:p>
        </w:tc>
        <w:tc>
          <w:tcPr>
            <w:tcW w:w="217" w:type="dxa"/>
          </w:tcPr>
          <w:p w14:paraId="37B5FEF4" w14:textId="77777777" w:rsidR="002C0FD9" w:rsidRPr="00CA25CF" w:rsidRDefault="002C0FD9" w:rsidP="00CA25CF">
            <w:pPr>
              <w:rPr>
                <w:rFonts w:cs="Arial"/>
                <w:color w:val="FF0000"/>
                <w:sz w:val="21"/>
                <w:szCs w:val="21"/>
              </w:rPr>
            </w:pPr>
          </w:p>
        </w:tc>
        <w:tc>
          <w:tcPr>
            <w:tcW w:w="217" w:type="dxa"/>
          </w:tcPr>
          <w:p w14:paraId="5C029DD2" w14:textId="77777777" w:rsidR="002C0FD9" w:rsidRPr="00CA25CF" w:rsidRDefault="002C0FD9" w:rsidP="00CA25CF">
            <w:pPr>
              <w:rPr>
                <w:rFonts w:cs="Arial"/>
                <w:color w:val="FF0000"/>
                <w:sz w:val="21"/>
                <w:szCs w:val="21"/>
              </w:rPr>
            </w:pPr>
          </w:p>
        </w:tc>
        <w:tc>
          <w:tcPr>
            <w:tcW w:w="217" w:type="dxa"/>
          </w:tcPr>
          <w:p w14:paraId="6B6D708E" w14:textId="77777777" w:rsidR="002C0FD9" w:rsidRPr="00CA25CF" w:rsidRDefault="002C0FD9" w:rsidP="00CA25CF">
            <w:pPr>
              <w:rPr>
                <w:rFonts w:cs="Arial"/>
                <w:color w:val="FF0000"/>
                <w:sz w:val="21"/>
                <w:szCs w:val="21"/>
              </w:rPr>
            </w:pPr>
          </w:p>
        </w:tc>
        <w:tc>
          <w:tcPr>
            <w:tcW w:w="217" w:type="dxa"/>
          </w:tcPr>
          <w:p w14:paraId="6083EDAC" w14:textId="77777777" w:rsidR="002C0FD9" w:rsidRPr="00CA25CF" w:rsidRDefault="002C0FD9" w:rsidP="00CA25CF">
            <w:pPr>
              <w:rPr>
                <w:rFonts w:cs="Arial"/>
                <w:color w:val="FF0000"/>
                <w:sz w:val="21"/>
                <w:szCs w:val="21"/>
              </w:rPr>
            </w:pPr>
          </w:p>
        </w:tc>
        <w:tc>
          <w:tcPr>
            <w:tcW w:w="217" w:type="dxa"/>
          </w:tcPr>
          <w:p w14:paraId="4041C384" w14:textId="77777777" w:rsidR="002C0FD9" w:rsidRPr="00CA25CF" w:rsidRDefault="002C0FD9" w:rsidP="00CA25CF">
            <w:pPr>
              <w:rPr>
                <w:rFonts w:cs="Arial"/>
                <w:color w:val="FF0000"/>
                <w:sz w:val="21"/>
                <w:szCs w:val="21"/>
              </w:rPr>
            </w:pPr>
          </w:p>
        </w:tc>
        <w:tc>
          <w:tcPr>
            <w:tcW w:w="217" w:type="dxa"/>
          </w:tcPr>
          <w:p w14:paraId="35F6653D" w14:textId="77777777" w:rsidR="002C0FD9" w:rsidRPr="00CA25CF" w:rsidRDefault="002C0FD9" w:rsidP="00CA25CF">
            <w:pPr>
              <w:rPr>
                <w:rFonts w:cs="Arial"/>
                <w:color w:val="FF0000"/>
                <w:sz w:val="21"/>
                <w:szCs w:val="21"/>
              </w:rPr>
            </w:pPr>
          </w:p>
        </w:tc>
        <w:tc>
          <w:tcPr>
            <w:tcW w:w="217" w:type="dxa"/>
          </w:tcPr>
          <w:p w14:paraId="4896972C" w14:textId="77777777" w:rsidR="002C0FD9" w:rsidRPr="00CA25CF" w:rsidRDefault="002C0FD9" w:rsidP="00CA25CF">
            <w:pPr>
              <w:rPr>
                <w:rFonts w:cs="Arial"/>
                <w:color w:val="FF0000"/>
                <w:sz w:val="21"/>
                <w:szCs w:val="21"/>
              </w:rPr>
            </w:pPr>
          </w:p>
        </w:tc>
        <w:tc>
          <w:tcPr>
            <w:tcW w:w="217" w:type="dxa"/>
          </w:tcPr>
          <w:p w14:paraId="54324DCC" w14:textId="77777777" w:rsidR="002C0FD9" w:rsidRPr="00CA25CF" w:rsidRDefault="002C0FD9" w:rsidP="00CA25CF">
            <w:pPr>
              <w:rPr>
                <w:rFonts w:cs="Arial"/>
                <w:color w:val="FF0000"/>
                <w:sz w:val="21"/>
                <w:szCs w:val="21"/>
              </w:rPr>
            </w:pPr>
          </w:p>
        </w:tc>
        <w:tc>
          <w:tcPr>
            <w:tcW w:w="217" w:type="dxa"/>
          </w:tcPr>
          <w:p w14:paraId="28DF6AA5" w14:textId="77777777" w:rsidR="002C0FD9" w:rsidRPr="00CA25CF" w:rsidRDefault="002C0FD9" w:rsidP="00CA25CF">
            <w:pPr>
              <w:rPr>
                <w:rFonts w:cs="Arial"/>
                <w:color w:val="FF0000"/>
                <w:sz w:val="21"/>
                <w:szCs w:val="21"/>
              </w:rPr>
            </w:pPr>
          </w:p>
        </w:tc>
        <w:tc>
          <w:tcPr>
            <w:tcW w:w="217" w:type="dxa"/>
          </w:tcPr>
          <w:p w14:paraId="1E0B061F" w14:textId="77777777" w:rsidR="002C0FD9" w:rsidRPr="00CA25CF" w:rsidRDefault="002C0FD9" w:rsidP="00CA25CF">
            <w:pPr>
              <w:rPr>
                <w:rFonts w:cs="Arial"/>
                <w:color w:val="FF0000"/>
                <w:sz w:val="21"/>
                <w:szCs w:val="21"/>
              </w:rPr>
            </w:pPr>
          </w:p>
        </w:tc>
        <w:tc>
          <w:tcPr>
            <w:tcW w:w="217" w:type="dxa"/>
          </w:tcPr>
          <w:p w14:paraId="27F6A65C" w14:textId="77777777" w:rsidR="002C0FD9" w:rsidRPr="00CA25CF" w:rsidRDefault="002C0FD9" w:rsidP="00CA25CF">
            <w:pPr>
              <w:rPr>
                <w:rFonts w:cs="Arial"/>
                <w:color w:val="FF0000"/>
                <w:sz w:val="21"/>
                <w:szCs w:val="21"/>
              </w:rPr>
            </w:pPr>
          </w:p>
        </w:tc>
        <w:tc>
          <w:tcPr>
            <w:tcW w:w="217" w:type="dxa"/>
          </w:tcPr>
          <w:p w14:paraId="3C58DBC2" w14:textId="77777777" w:rsidR="002C0FD9" w:rsidRPr="00CA25CF" w:rsidRDefault="002C0FD9" w:rsidP="00CA25CF">
            <w:pPr>
              <w:rPr>
                <w:rFonts w:cs="Arial"/>
                <w:color w:val="FF0000"/>
                <w:sz w:val="21"/>
                <w:szCs w:val="21"/>
              </w:rPr>
            </w:pPr>
          </w:p>
        </w:tc>
        <w:tc>
          <w:tcPr>
            <w:tcW w:w="217" w:type="dxa"/>
          </w:tcPr>
          <w:p w14:paraId="37F36E21" w14:textId="77777777" w:rsidR="002C0FD9" w:rsidRPr="00CA25CF" w:rsidRDefault="002C0FD9" w:rsidP="00CA25CF">
            <w:pPr>
              <w:rPr>
                <w:rFonts w:cs="Arial"/>
                <w:color w:val="FF0000"/>
                <w:sz w:val="21"/>
                <w:szCs w:val="21"/>
              </w:rPr>
            </w:pPr>
          </w:p>
        </w:tc>
        <w:tc>
          <w:tcPr>
            <w:tcW w:w="217" w:type="dxa"/>
          </w:tcPr>
          <w:p w14:paraId="10D4BADD" w14:textId="77777777" w:rsidR="002C0FD9" w:rsidRPr="00CA25CF" w:rsidRDefault="002C0FD9" w:rsidP="00CA25CF">
            <w:pPr>
              <w:rPr>
                <w:rFonts w:cs="Arial"/>
                <w:color w:val="FF0000"/>
                <w:sz w:val="21"/>
                <w:szCs w:val="21"/>
              </w:rPr>
            </w:pPr>
          </w:p>
        </w:tc>
        <w:tc>
          <w:tcPr>
            <w:tcW w:w="217" w:type="dxa"/>
          </w:tcPr>
          <w:p w14:paraId="4C115FB7" w14:textId="77777777" w:rsidR="002C0FD9" w:rsidRPr="00CA25CF" w:rsidRDefault="002C0FD9" w:rsidP="00CA25CF">
            <w:pPr>
              <w:rPr>
                <w:rFonts w:cs="Arial"/>
                <w:color w:val="FF0000"/>
                <w:sz w:val="21"/>
                <w:szCs w:val="21"/>
              </w:rPr>
            </w:pPr>
          </w:p>
        </w:tc>
        <w:tc>
          <w:tcPr>
            <w:tcW w:w="217" w:type="dxa"/>
          </w:tcPr>
          <w:p w14:paraId="603D879B" w14:textId="77777777" w:rsidR="002C0FD9" w:rsidRPr="00CA25CF" w:rsidRDefault="002C0FD9" w:rsidP="00CA25CF">
            <w:pPr>
              <w:rPr>
                <w:rFonts w:cs="Arial"/>
                <w:color w:val="FF0000"/>
                <w:sz w:val="21"/>
                <w:szCs w:val="21"/>
              </w:rPr>
            </w:pPr>
          </w:p>
        </w:tc>
        <w:tc>
          <w:tcPr>
            <w:tcW w:w="217" w:type="dxa"/>
          </w:tcPr>
          <w:p w14:paraId="338832A1" w14:textId="77777777" w:rsidR="002C0FD9" w:rsidRPr="00CA25CF" w:rsidRDefault="002C0FD9" w:rsidP="00CA25CF">
            <w:pPr>
              <w:rPr>
                <w:rFonts w:cs="Arial"/>
                <w:color w:val="FF0000"/>
                <w:sz w:val="21"/>
                <w:szCs w:val="21"/>
              </w:rPr>
            </w:pPr>
          </w:p>
        </w:tc>
        <w:tc>
          <w:tcPr>
            <w:tcW w:w="217" w:type="dxa"/>
          </w:tcPr>
          <w:p w14:paraId="0B0B24DB" w14:textId="77777777" w:rsidR="002C0FD9" w:rsidRPr="00CA25CF" w:rsidRDefault="002C0FD9" w:rsidP="00CA25CF">
            <w:pPr>
              <w:rPr>
                <w:rFonts w:cs="Arial"/>
                <w:color w:val="FF0000"/>
                <w:sz w:val="21"/>
                <w:szCs w:val="21"/>
              </w:rPr>
            </w:pPr>
          </w:p>
        </w:tc>
        <w:tc>
          <w:tcPr>
            <w:tcW w:w="217" w:type="dxa"/>
          </w:tcPr>
          <w:p w14:paraId="45919B48" w14:textId="77777777" w:rsidR="002C0FD9" w:rsidRPr="00CA25CF" w:rsidRDefault="002C0FD9" w:rsidP="00CA25CF">
            <w:pPr>
              <w:rPr>
                <w:rFonts w:cs="Arial"/>
                <w:color w:val="FF0000"/>
                <w:sz w:val="21"/>
                <w:szCs w:val="21"/>
              </w:rPr>
            </w:pPr>
          </w:p>
        </w:tc>
        <w:tc>
          <w:tcPr>
            <w:tcW w:w="217" w:type="dxa"/>
          </w:tcPr>
          <w:p w14:paraId="7DFEFC0F" w14:textId="77777777" w:rsidR="002C0FD9" w:rsidRPr="00CA25CF" w:rsidRDefault="002C0FD9" w:rsidP="00CA25CF">
            <w:pPr>
              <w:rPr>
                <w:rFonts w:cs="Arial"/>
                <w:color w:val="FF0000"/>
                <w:sz w:val="21"/>
                <w:szCs w:val="21"/>
              </w:rPr>
            </w:pPr>
          </w:p>
        </w:tc>
        <w:tc>
          <w:tcPr>
            <w:tcW w:w="217" w:type="dxa"/>
          </w:tcPr>
          <w:p w14:paraId="3A18C2A9" w14:textId="77777777" w:rsidR="002C0FD9" w:rsidRPr="00CA25CF" w:rsidRDefault="002C0FD9" w:rsidP="00CA25CF">
            <w:pPr>
              <w:rPr>
                <w:rFonts w:cs="Arial"/>
                <w:color w:val="FF0000"/>
                <w:sz w:val="21"/>
                <w:szCs w:val="21"/>
              </w:rPr>
            </w:pPr>
          </w:p>
        </w:tc>
        <w:tc>
          <w:tcPr>
            <w:tcW w:w="217" w:type="dxa"/>
          </w:tcPr>
          <w:p w14:paraId="62F0A6EF" w14:textId="77777777" w:rsidR="002C0FD9" w:rsidRPr="00CA25CF" w:rsidRDefault="002C0FD9" w:rsidP="00CA25CF">
            <w:pPr>
              <w:rPr>
                <w:rFonts w:cs="Arial"/>
                <w:color w:val="FF0000"/>
                <w:sz w:val="21"/>
                <w:szCs w:val="21"/>
              </w:rPr>
            </w:pPr>
          </w:p>
        </w:tc>
        <w:tc>
          <w:tcPr>
            <w:tcW w:w="217" w:type="dxa"/>
          </w:tcPr>
          <w:p w14:paraId="4540FAFC" w14:textId="77777777" w:rsidR="002C0FD9" w:rsidRPr="00CA25CF" w:rsidRDefault="002C0FD9" w:rsidP="00CA25CF">
            <w:pPr>
              <w:rPr>
                <w:rFonts w:cs="Arial"/>
                <w:color w:val="FF0000"/>
                <w:sz w:val="21"/>
                <w:szCs w:val="21"/>
              </w:rPr>
            </w:pPr>
          </w:p>
        </w:tc>
        <w:tc>
          <w:tcPr>
            <w:tcW w:w="217" w:type="dxa"/>
          </w:tcPr>
          <w:p w14:paraId="68E97F6B" w14:textId="77777777" w:rsidR="002C0FD9" w:rsidRPr="00CA25CF" w:rsidRDefault="002C0FD9" w:rsidP="00CA25CF">
            <w:pPr>
              <w:rPr>
                <w:rFonts w:cs="Arial"/>
                <w:color w:val="FF0000"/>
                <w:sz w:val="21"/>
                <w:szCs w:val="21"/>
              </w:rPr>
            </w:pPr>
          </w:p>
        </w:tc>
        <w:tc>
          <w:tcPr>
            <w:tcW w:w="217" w:type="dxa"/>
          </w:tcPr>
          <w:p w14:paraId="60CA1EF6" w14:textId="77777777" w:rsidR="002C0FD9" w:rsidRPr="00CA25CF" w:rsidRDefault="002C0FD9" w:rsidP="00CA25CF">
            <w:pPr>
              <w:rPr>
                <w:rFonts w:cs="Arial"/>
                <w:color w:val="FF0000"/>
                <w:sz w:val="21"/>
                <w:szCs w:val="21"/>
              </w:rPr>
            </w:pPr>
          </w:p>
        </w:tc>
        <w:tc>
          <w:tcPr>
            <w:tcW w:w="217" w:type="dxa"/>
          </w:tcPr>
          <w:p w14:paraId="45129D35" w14:textId="77777777" w:rsidR="002C0FD9" w:rsidRPr="00CA25CF" w:rsidRDefault="002C0FD9" w:rsidP="00CA25CF">
            <w:pPr>
              <w:rPr>
                <w:rFonts w:cs="Arial"/>
                <w:color w:val="FF0000"/>
                <w:sz w:val="21"/>
                <w:szCs w:val="21"/>
              </w:rPr>
            </w:pPr>
          </w:p>
        </w:tc>
        <w:tc>
          <w:tcPr>
            <w:tcW w:w="217" w:type="dxa"/>
          </w:tcPr>
          <w:p w14:paraId="7625CBEC" w14:textId="77777777" w:rsidR="002C0FD9" w:rsidRPr="00CA25CF" w:rsidRDefault="002C0FD9" w:rsidP="00CA25CF">
            <w:pPr>
              <w:rPr>
                <w:rFonts w:cs="Arial"/>
                <w:color w:val="FF0000"/>
                <w:sz w:val="21"/>
                <w:szCs w:val="21"/>
              </w:rPr>
            </w:pPr>
          </w:p>
        </w:tc>
        <w:tc>
          <w:tcPr>
            <w:tcW w:w="217" w:type="dxa"/>
          </w:tcPr>
          <w:p w14:paraId="230D1C7D" w14:textId="77777777" w:rsidR="002C0FD9" w:rsidRPr="00CA25CF" w:rsidRDefault="002C0FD9" w:rsidP="00CA25CF">
            <w:pPr>
              <w:rPr>
                <w:rFonts w:cs="Arial"/>
                <w:color w:val="FF0000"/>
                <w:sz w:val="21"/>
                <w:szCs w:val="21"/>
              </w:rPr>
            </w:pPr>
          </w:p>
        </w:tc>
        <w:tc>
          <w:tcPr>
            <w:tcW w:w="217" w:type="dxa"/>
          </w:tcPr>
          <w:p w14:paraId="490AB5B6" w14:textId="77777777" w:rsidR="002C0FD9" w:rsidRPr="00CA25CF" w:rsidRDefault="002C0FD9" w:rsidP="00CA25CF">
            <w:pPr>
              <w:rPr>
                <w:rFonts w:cs="Arial"/>
                <w:color w:val="FF0000"/>
                <w:sz w:val="21"/>
                <w:szCs w:val="21"/>
              </w:rPr>
            </w:pPr>
          </w:p>
        </w:tc>
        <w:tc>
          <w:tcPr>
            <w:tcW w:w="217" w:type="dxa"/>
          </w:tcPr>
          <w:p w14:paraId="3AE9D9D7" w14:textId="77777777" w:rsidR="002C0FD9" w:rsidRPr="00CA25CF" w:rsidRDefault="002C0FD9" w:rsidP="00CA25CF">
            <w:pPr>
              <w:rPr>
                <w:rFonts w:cs="Arial"/>
                <w:color w:val="FF0000"/>
                <w:sz w:val="21"/>
                <w:szCs w:val="21"/>
              </w:rPr>
            </w:pPr>
          </w:p>
        </w:tc>
        <w:tc>
          <w:tcPr>
            <w:tcW w:w="217" w:type="dxa"/>
          </w:tcPr>
          <w:p w14:paraId="3856D4F6" w14:textId="77777777" w:rsidR="002C0FD9" w:rsidRPr="00CA25CF" w:rsidRDefault="002C0FD9" w:rsidP="00CA25CF">
            <w:pPr>
              <w:rPr>
                <w:rFonts w:cs="Arial"/>
                <w:color w:val="FF0000"/>
                <w:sz w:val="21"/>
                <w:szCs w:val="21"/>
              </w:rPr>
            </w:pPr>
          </w:p>
        </w:tc>
        <w:tc>
          <w:tcPr>
            <w:tcW w:w="217" w:type="dxa"/>
          </w:tcPr>
          <w:p w14:paraId="7634C29F" w14:textId="77777777" w:rsidR="002C0FD9" w:rsidRPr="00CA25CF" w:rsidRDefault="002C0FD9" w:rsidP="00CA25CF">
            <w:pPr>
              <w:rPr>
                <w:rFonts w:cs="Arial"/>
                <w:color w:val="FF0000"/>
                <w:sz w:val="21"/>
                <w:szCs w:val="21"/>
              </w:rPr>
            </w:pPr>
          </w:p>
        </w:tc>
        <w:tc>
          <w:tcPr>
            <w:tcW w:w="217" w:type="dxa"/>
          </w:tcPr>
          <w:p w14:paraId="611B451F" w14:textId="77777777" w:rsidR="002C0FD9" w:rsidRPr="00CA25CF" w:rsidRDefault="002C0FD9" w:rsidP="00CA25CF">
            <w:pPr>
              <w:rPr>
                <w:rFonts w:cs="Arial"/>
                <w:color w:val="FF0000"/>
                <w:sz w:val="21"/>
                <w:szCs w:val="21"/>
              </w:rPr>
            </w:pPr>
          </w:p>
        </w:tc>
        <w:tc>
          <w:tcPr>
            <w:tcW w:w="217" w:type="dxa"/>
          </w:tcPr>
          <w:p w14:paraId="6E379DBC" w14:textId="77777777" w:rsidR="002C0FD9" w:rsidRPr="00CA25CF" w:rsidRDefault="002C0FD9" w:rsidP="00CA25CF">
            <w:pPr>
              <w:rPr>
                <w:rFonts w:cs="Arial"/>
                <w:color w:val="FF0000"/>
                <w:sz w:val="21"/>
                <w:szCs w:val="21"/>
              </w:rPr>
            </w:pPr>
          </w:p>
        </w:tc>
        <w:tc>
          <w:tcPr>
            <w:tcW w:w="217" w:type="dxa"/>
          </w:tcPr>
          <w:p w14:paraId="66AB2F94" w14:textId="77777777" w:rsidR="002C0FD9" w:rsidRPr="00CA25CF" w:rsidRDefault="002C0FD9" w:rsidP="00CA25CF">
            <w:pPr>
              <w:rPr>
                <w:rFonts w:cs="Arial"/>
                <w:color w:val="FF0000"/>
                <w:sz w:val="21"/>
                <w:szCs w:val="21"/>
              </w:rPr>
            </w:pPr>
          </w:p>
        </w:tc>
        <w:tc>
          <w:tcPr>
            <w:tcW w:w="217" w:type="dxa"/>
          </w:tcPr>
          <w:p w14:paraId="504D2B63" w14:textId="77777777" w:rsidR="002C0FD9" w:rsidRPr="00CA25CF" w:rsidRDefault="002C0FD9" w:rsidP="00CA25CF">
            <w:pPr>
              <w:rPr>
                <w:rFonts w:cs="Arial"/>
                <w:color w:val="FF0000"/>
                <w:sz w:val="21"/>
                <w:szCs w:val="21"/>
              </w:rPr>
            </w:pPr>
          </w:p>
        </w:tc>
      </w:tr>
      <w:tr w:rsidR="002C0FD9" w:rsidRPr="00A16219" w14:paraId="314A0E6A" w14:textId="38FF060C" w:rsidTr="002C0FD9">
        <w:trPr>
          <w:trHeight w:val="635"/>
        </w:trPr>
        <w:tc>
          <w:tcPr>
            <w:tcW w:w="515" w:type="dxa"/>
          </w:tcPr>
          <w:p w14:paraId="60C581E2" w14:textId="77777777" w:rsidR="002C0FD9" w:rsidRPr="00CA25CF" w:rsidRDefault="002C0FD9" w:rsidP="00CA25CF">
            <w:pPr>
              <w:rPr>
                <w:rFonts w:cs="Arial"/>
                <w:color w:val="FF0000"/>
                <w:sz w:val="21"/>
                <w:szCs w:val="21"/>
              </w:rPr>
            </w:pPr>
          </w:p>
        </w:tc>
        <w:tc>
          <w:tcPr>
            <w:tcW w:w="217" w:type="dxa"/>
          </w:tcPr>
          <w:p w14:paraId="29A23918" w14:textId="77777777" w:rsidR="002C0FD9" w:rsidRPr="00CA25CF" w:rsidRDefault="002C0FD9" w:rsidP="00CA25CF">
            <w:pPr>
              <w:rPr>
                <w:rFonts w:cs="Arial"/>
                <w:color w:val="FF0000"/>
                <w:sz w:val="21"/>
                <w:szCs w:val="21"/>
              </w:rPr>
            </w:pPr>
          </w:p>
        </w:tc>
        <w:tc>
          <w:tcPr>
            <w:tcW w:w="217" w:type="dxa"/>
          </w:tcPr>
          <w:p w14:paraId="14149B76" w14:textId="0A7445B0" w:rsidR="002C0FD9" w:rsidRPr="00CA25CF" w:rsidRDefault="002C0FD9" w:rsidP="00CA25CF">
            <w:pPr>
              <w:rPr>
                <w:rFonts w:cs="Arial"/>
                <w:color w:val="FF0000"/>
                <w:sz w:val="21"/>
                <w:szCs w:val="21"/>
              </w:rPr>
            </w:pPr>
          </w:p>
        </w:tc>
        <w:tc>
          <w:tcPr>
            <w:tcW w:w="217" w:type="dxa"/>
          </w:tcPr>
          <w:p w14:paraId="759CC7F8" w14:textId="77777777" w:rsidR="002C0FD9" w:rsidRPr="00CA25CF" w:rsidRDefault="002C0FD9" w:rsidP="00CA25CF">
            <w:pPr>
              <w:rPr>
                <w:rFonts w:cs="Arial"/>
                <w:color w:val="FF0000"/>
                <w:sz w:val="21"/>
                <w:szCs w:val="21"/>
              </w:rPr>
            </w:pPr>
          </w:p>
        </w:tc>
        <w:tc>
          <w:tcPr>
            <w:tcW w:w="217" w:type="dxa"/>
          </w:tcPr>
          <w:p w14:paraId="1AB06796" w14:textId="77777777" w:rsidR="002C0FD9" w:rsidRPr="00CA25CF" w:rsidRDefault="002C0FD9" w:rsidP="00CA25CF">
            <w:pPr>
              <w:rPr>
                <w:rFonts w:cs="Arial"/>
                <w:color w:val="FF0000"/>
                <w:sz w:val="21"/>
                <w:szCs w:val="21"/>
              </w:rPr>
            </w:pPr>
          </w:p>
        </w:tc>
        <w:tc>
          <w:tcPr>
            <w:tcW w:w="217" w:type="dxa"/>
          </w:tcPr>
          <w:p w14:paraId="7C82ADF2" w14:textId="77777777" w:rsidR="002C0FD9" w:rsidRPr="00CA25CF" w:rsidRDefault="002C0FD9" w:rsidP="00CA25CF">
            <w:pPr>
              <w:rPr>
                <w:rFonts w:cs="Arial"/>
                <w:color w:val="FF0000"/>
                <w:sz w:val="21"/>
                <w:szCs w:val="21"/>
              </w:rPr>
            </w:pPr>
          </w:p>
        </w:tc>
        <w:tc>
          <w:tcPr>
            <w:tcW w:w="217" w:type="dxa"/>
          </w:tcPr>
          <w:p w14:paraId="3C580F8E" w14:textId="77777777" w:rsidR="002C0FD9" w:rsidRPr="00CA25CF" w:rsidRDefault="002C0FD9" w:rsidP="00CA25CF">
            <w:pPr>
              <w:rPr>
                <w:rFonts w:cs="Arial"/>
                <w:color w:val="FF0000"/>
                <w:sz w:val="21"/>
                <w:szCs w:val="21"/>
              </w:rPr>
            </w:pPr>
          </w:p>
        </w:tc>
        <w:tc>
          <w:tcPr>
            <w:tcW w:w="217" w:type="dxa"/>
          </w:tcPr>
          <w:p w14:paraId="195990FB" w14:textId="77777777" w:rsidR="002C0FD9" w:rsidRPr="00CA25CF" w:rsidRDefault="002C0FD9" w:rsidP="00CA25CF">
            <w:pPr>
              <w:rPr>
                <w:rFonts w:cs="Arial"/>
                <w:color w:val="FF0000"/>
                <w:sz w:val="21"/>
                <w:szCs w:val="21"/>
              </w:rPr>
            </w:pPr>
          </w:p>
        </w:tc>
        <w:tc>
          <w:tcPr>
            <w:tcW w:w="217" w:type="dxa"/>
          </w:tcPr>
          <w:p w14:paraId="1C1BB139" w14:textId="77777777" w:rsidR="002C0FD9" w:rsidRPr="00CA25CF" w:rsidRDefault="002C0FD9" w:rsidP="00CA25CF">
            <w:pPr>
              <w:rPr>
                <w:rFonts w:cs="Arial"/>
                <w:color w:val="FF0000"/>
                <w:sz w:val="21"/>
                <w:szCs w:val="21"/>
              </w:rPr>
            </w:pPr>
          </w:p>
        </w:tc>
        <w:tc>
          <w:tcPr>
            <w:tcW w:w="217" w:type="dxa"/>
          </w:tcPr>
          <w:p w14:paraId="6D6A887C" w14:textId="77777777" w:rsidR="002C0FD9" w:rsidRPr="00CA25CF" w:rsidRDefault="002C0FD9" w:rsidP="00CA25CF">
            <w:pPr>
              <w:rPr>
                <w:rFonts w:cs="Arial"/>
                <w:color w:val="FF0000"/>
                <w:sz w:val="21"/>
                <w:szCs w:val="21"/>
              </w:rPr>
            </w:pPr>
          </w:p>
        </w:tc>
        <w:tc>
          <w:tcPr>
            <w:tcW w:w="217" w:type="dxa"/>
          </w:tcPr>
          <w:p w14:paraId="2B02E067" w14:textId="77777777" w:rsidR="002C0FD9" w:rsidRPr="00CA25CF" w:rsidRDefault="002C0FD9" w:rsidP="00CA25CF">
            <w:pPr>
              <w:rPr>
                <w:rFonts w:cs="Arial"/>
                <w:color w:val="FF0000"/>
                <w:sz w:val="21"/>
                <w:szCs w:val="21"/>
              </w:rPr>
            </w:pPr>
          </w:p>
        </w:tc>
        <w:tc>
          <w:tcPr>
            <w:tcW w:w="217" w:type="dxa"/>
          </w:tcPr>
          <w:p w14:paraId="2867A3B7" w14:textId="77777777" w:rsidR="002C0FD9" w:rsidRPr="00CA25CF" w:rsidRDefault="002C0FD9" w:rsidP="00CA25CF">
            <w:pPr>
              <w:rPr>
                <w:rFonts w:cs="Arial"/>
                <w:color w:val="FF0000"/>
                <w:sz w:val="21"/>
                <w:szCs w:val="21"/>
              </w:rPr>
            </w:pPr>
          </w:p>
        </w:tc>
        <w:tc>
          <w:tcPr>
            <w:tcW w:w="217" w:type="dxa"/>
          </w:tcPr>
          <w:p w14:paraId="2B006438" w14:textId="77777777" w:rsidR="002C0FD9" w:rsidRPr="00CA25CF" w:rsidRDefault="002C0FD9" w:rsidP="00CA25CF">
            <w:pPr>
              <w:rPr>
                <w:rFonts w:cs="Arial"/>
                <w:color w:val="FF0000"/>
                <w:sz w:val="21"/>
                <w:szCs w:val="21"/>
              </w:rPr>
            </w:pPr>
          </w:p>
        </w:tc>
        <w:tc>
          <w:tcPr>
            <w:tcW w:w="217" w:type="dxa"/>
          </w:tcPr>
          <w:p w14:paraId="49118FC9" w14:textId="77777777" w:rsidR="002C0FD9" w:rsidRPr="00CA25CF" w:rsidRDefault="002C0FD9" w:rsidP="00CA25CF">
            <w:pPr>
              <w:rPr>
                <w:rFonts w:cs="Arial"/>
                <w:color w:val="FF0000"/>
                <w:sz w:val="21"/>
                <w:szCs w:val="21"/>
              </w:rPr>
            </w:pPr>
          </w:p>
        </w:tc>
        <w:tc>
          <w:tcPr>
            <w:tcW w:w="217" w:type="dxa"/>
          </w:tcPr>
          <w:p w14:paraId="41C5EAE2" w14:textId="77777777" w:rsidR="002C0FD9" w:rsidRPr="00CA25CF" w:rsidRDefault="002C0FD9" w:rsidP="00CA25CF">
            <w:pPr>
              <w:rPr>
                <w:rFonts w:cs="Arial"/>
                <w:color w:val="FF0000"/>
                <w:sz w:val="21"/>
                <w:szCs w:val="21"/>
              </w:rPr>
            </w:pPr>
          </w:p>
        </w:tc>
        <w:tc>
          <w:tcPr>
            <w:tcW w:w="217" w:type="dxa"/>
          </w:tcPr>
          <w:p w14:paraId="60D0CA46" w14:textId="77777777" w:rsidR="002C0FD9" w:rsidRPr="00CA25CF" w:rsidRDefault="002C0FD9" w:rsidP="00CA25CF">
            <w:pPr>
              <w:rPr>
                <w:rFonts w:cs="Arial"/>
                <w:color w:val="FF0000"/>
                <w:sz w:val="21"/>
                <w:szCs w:val="21"/>
              </w:rPr>
            </w:pPr>
          </w:p>
        </w:tc>
        <w:tc>
          <w:tcPr>
            <w:tcW w:w="217" w:type="dxa"/>
          </w:tcPr>
          <w:p w14:paraId="44ECC808" w14:textId="77777777" w:rsidR="002C0FD9" w:rsidRPr="00CA25CF" w:rsidRDefault="002C0FD9" w:rsidP="00CA25CF">
            <w:pPr>
              <w:rPr>
                <w:rFonts w:cs="Arial"/>
                <w:color w:val="FF0000"/>
                <w:sz w:val="21"/>
                <w:szCs w:val="21"/>
              </w:rPr>
            </w:pPr>
          </w:p>
        </w:tc>
        <w:tc>
          <w:tcPr>
            <w:tcW w:w="217" w:type="dxa"/>
          </w:tcPr>
          <w:p w14:paraId="4AC2A443" w14:textId="77777777" w:rsidR="002C0FD9" w:rsidRPr="00CA25CF" w:rsidRDefault="002C0FD9" w:rsidP="00CA25CF">
            <w:pPr>
              <w:rPr>
                <w:rFonts w:cs="Arial"/>
                <w:color w:val="FF0000"/>
                <w:sz w:val="21"/>
                <w:szCs w:val="21"/>
              </w:rPr>
            </w:pPr>
          </w:p>
        </w:tc>
        <w:tc>
          <w:tcPr>
            <w:tcW w:w="217" w:type="dxa"/>
          </w:tcPr>
          <w:p w14:paraId="28247183" w14:textId="77777777" w:rsidR="002C0FD9" w:rsidRPr="00CA25CF" w:rsidRDefault="002C0FD9" w:rsidP="00CA25CF">
            <w:pPr>
              <w:rPr>
                <w:rFonts w:cs="Arial"/>
                <w:color w:val="FF0000"/>
                <w:sz w:val="21"/>
                <w:szCs w:val="21"/>
              </w:rPr>
            </w:pPr>
          </w:p>
        </w:tc>
        <w:tc>
          <w:tcPr>
            <w:tcW w:w="217" w:type="dxa"/>
          </w:tcPr>
          <w:p w14:paraId="192379E5" w14:textId="77777777" w:rsidR="002C0FD9" w:rsidRPr="00CA25CF" w:rsidRDefault="002C0FD9" w:rsidP="00CA25CF">
            <w:pPr>
              <w:rPr>
                <w:rFonts w:cs="Arial"/>
                <w:color w:val="FF0000"/>
                <w:sz w:val="21"/>
                <w:szCs w:val="21"/>
              </w:rPr>
            </w:pPr>
          </w:p>
        </w:tc>
        <w:tc>
          <w:tcPr>
            <w:tcW w:w="217" w:type="dxa"/>
          </w:tcPr>
          <w:p w14:paraId="01080EBA" w14:textId="77777777" w:rsidR="002C0FD9" w:rsidRPr="00CA25CF" w:rsidRDefault="002C0FD9" w:rsidP="00CA25CF">
            <w:pPr>
              <w:rPr>
                <w:rFonts w:cs="Arial"/>
                <w:color w:val="FF0000"/>
                <w:sz w:val="21"/>
                <w:szCs w:val="21"/>
              </w:rPr>
            </w:pPr>
          </w:p>
        </w:tc>
        <w:tc>
          <w:tcPr>
            <w:tcW w:w="217" w:type="dxa"/>
          </w:tcPr>
          <w:p w14:paraId="2D29A274" w14:textId="77777777" w:rsidR="002C0FD9" w:rsidRPr="00CA25CF" w:rsidRDefault="002C0FD9" w:rsidP="00CA25CF">
            <w:pPr>
              <w:rPr>
                <w:rFonts w:cs="Arial"/>
                <w:color w:val="FF0000"/>
                <w:sz w:val="21"/>
                <w:szCs w:val="21"/>
              </w:rPr>
            </w:pPr>
          </w:p>
        </w:tc>
        <w:tc>
          <w:tcPr>
            <w:tcW w:w="217" w:type="dxa"/>
          </w:tcPr>
          <w:p w14:paraId="2A97D6E6" w14:textId="77777777" w:rsidR="002C0FD9" w:rsidRPr="00CA25CF" w:rsidRDefault="002C0FD9" w:rsidP="00CA25CF">
            <w:pPr>
              <w:rPr>
                <w:rFonts w:cs="Arial"/>
                <w:color w:val="FF0000"/>
                <w:sz w:val="21"/>
                <w:szCs w:val="21"/>
              </w:rPr>
            </w:pPr>
          </w:p>
        </w:tc>
        <w:tc>
          <w:tcPr>
            <w:tcW w:w="217" w:type="dxa"/>
          </w:tcPr>
          <w:p w14:paraId="1E1BF58C" w14:textId="77777777" w:rsidR="002C0FD9" w:rsidRPr="00CA25CF" w:rsidRDefault="002C0FD9" w:rsidP="00CA25CF">
            <w:pPr>
              <w:rPr>
                <w:rFonts w:cs="Arial"/>
                <w:color w:val="FF0000"/>
                <w:sz w:val="21"/>
                <w:szCs w:val="21"/>
              </w:rPr>
            </w:pPr>
          </w:p>
        </w:tc>
        <w:tc>
          <w:tcPr>
            <w:tcW w:w="217" w:type="dxa"/>
          </w:tcPr>
          <w:p w14:paraId="31A7B3FB" w14:textId="77777777" w:rsidR="002C0FD9" w:rsidRPr="00CA25CF" w:rsidRDefault="002C0FD9" w:rsidP="00CA25CF">
            <w:pPr>
              <w:rPr>
                <w:rFonts w:cs="Arial"/>
                <w:color w:val="FF0000"/>
                <w:sz w:val="21"/>
                <w:szCs w:val="21"/>
              </w:rPr>
            </w:pPr>
          </w:p>
        </w:tc>
        <w:tc>
          <w:tcPr>
            <w:tcW w:w="217" w:type="dxa"/>
          </w:tcPr>
          <w:p w14:paraId="09B07FE6" w14:textId="77777777" w:rsidR="002C0FD9" w:rsidRPr="00CA25CF" w:rsidRDefault="002C0FD9" w:rsidP="00CA25CF">
            <w:pPr>
              <w:rPr>
                <w:rFonts w:cs="Arial"/>
                <w:color w:val="FF0000"/>
                <w:sz w:val="21"/>
                <w:szCs w:val="21"/>
              </w:rPr>
            </w:pPr>
          </w:p>
        </w:tc>
        <w:tc>
          <w:tcPr>
            <w:tcW w:w="217" w:type="dxa"/>
          </w:tcPr>
          <w:p w14:paraId="53275A9E" w14:textId="77777777" w:rsidR="002C0FD9" w:rsidRPr="00CA25CF" w:rsidRDefault="002C0FD9" w:rsidP="00CA25CF">
            <w:pPr>
              <w:rPr>
                <w:rFonts w:cs="Arial"/>
                <w:color w:val="FF0000"/>
                <w:sz w:val="21"/>
                <w:szCs w:val="21"/>
              </w:rPr>
            </w:pPr>
          </w:p>
        </w:tc>
        <w:tc>
          <w:tcPr>
            <w:tcW w:w="217" w:type="dxa"/>
          </w:tcPr>
          <w:p w14:paraId="27CC44DA" w14:textId="77777777" w:rsidR="002C0FD9" w:rsidRPr="00CA25CF" w:rsidRDefault="002C0FD9" w:rsidP="00CA25CF">
            <w:pPr>
              <w:rPr>
                <w:rFonts w:cs="Arial"/>
                <w:color w:val="FF0000"/>
                <w:sz w:val="21"/>
                <w:szCs w:val="21"/>
              </w:rPr>
            </w:pPr>
          </w:p>
        </w:tc>
        <w:tc>
          <w:tcPr>
            <w:tcW w:w="217" w:type="dxa"/>
          </w:tcPr>
          <w:p w14:paraId="627A36C9" w14:textId="77777777" w:rsidR="002C0FD9" w:rsidRPr="00CA25CF" w:rsidRDefault="002C0FD9" w:rsidP="00CA25CF">
            <w:pPr>
              <w:rPr>
                <w:rFonts w:cs="Arial"/>
                <w:color w:val="FF0000"/>
                <w:sz w:val="21"/>
                <w:szCs w:val="21"/>
              </w:rPr>
            </w:pPr>
          </w:p>
        </w:tc>
        <w:tc>
          <w:tcPr>
            <w:tcW w:w="217" w:type="dxa"/>
          </w:tcPr>
          <w:p w14:paraId="0594A3D3" w14:textId="77777777" w:rsidR="002C0FD9" w:rsidRPr="00CA25CF" w:rsidRDefault="002C0FD9" w:rsidP="00CA25CF">
            <w:pPr>
              <w:rPr>
                <w:rFonts w:cs="Arial"/>
                <w:color w:val="FF0000"/>
                <w:sz w:val="21"/>
                <w:szCs w:val="21"/>
              </w:rPr>
            </w:pPr>
          </w:p>
        </w:tc>
        <w:tc>
          <w:tcPr>
            <w:tcW w:w="217" w:type="dxa"/>
          </w:tcPr>
          <w:p w14:paraId="325D9139" w14:textId="77777777" w:rsidR="002C0FD9" w:rsidRPr="00CA25CF" w:rsidRDefault="002C0FD9" w:rsidP="00CA25CF">
            <w:pPr>
              <w:rPr>
                <w:rFonts w:cs="Arial"/>
                <w:color w:val="FF0000"/>
                <w:sz w:val="21"/>
                <w:szCs w:val="21"/>
              </w:rPr>
            </w:pPr>
          </w:p>
        </w:tc>
        <w:tc>
          <w:tcPr>
            <w:tcW w:w="217" w:type="dxa"/>
          </w:tcPr>
          <w:p w14:paraId="4A98FAB1" w14:textId="77777777" w:rsidR="002C0FD9" w:rsidRPr="00CA25CF" w:rsidRDefault="002C0FD9" w:rsidP="00CA25CF">
            <w:pPr>
              <w:rPr>
                <w:rFonts w:cs="Arial"/>
                <w:color w:val="FF0000"/>
                <w:sz w:val="21"/>
                <w:szCs w:val="21"/>
              </w:rPr>
            </w:pPr>
          </w:p>
        </w:tc>
        <w:tc>
          <w:tcPr>
            <w:tcW w:w="217" w:type="dxa"/>
          </w:tcPr>
          <w:p w14:paraId="69D640F9" w14:textId="77777777" w:rsidR="002C0FD9" w:rsidRPr="00CA25CF" w:rsidRDefault="002C0FD9" w:rsidP="00CA25CF">
            <w:pPr>
              <w:rPr>
                <w:rFonts w:cs="Arial"/>
                <w:color w:val="FF0000"/>
                <w:sz w:val="21"/>
                <w:szCs w:val="21"/>
              </w:rPr>
            </w:pPr>
          </w:p>
        </w:tc>
        <w:tc>
          <w:tcPr>
            <w:tcW w:w="217" w:type="dxa"/>
          </w:tcPr>
          <w:p w14:paraId="5B878724" w14:textId="77777777" w:rsidR="002C0FD9" w:rsidRPr="00CA25CF" w:rsidRDefault="002C0FD9" w:rsidP="00CA25CF">
            <w:pPr>
              <w:rPr>
                <w:rFonts w:cs="Arial"/>
                <w:color w:val="FF0000"/>
                <w:sz w:val="21"/>
                <w:szCs w:val="21"/>
              </w:rPr>
            </w:pPr>
          </w:p>
        </w:tc>
        <w:tc>
          <w:tcPr>
            <w:tcW w:w="217" w:type="dxa"/>
          </w:tcPr>
          <w:p w14:paraId="7958657D" w14:textId="77777777" w:rsidR="002C0FD9" w:rsidRPr="00CA25CF" w:rsidRDefault="002C0FD9" w:rsidP="00CA25CF">
            <w:pPr>
              <w:rPr>
                <w:rFonts w:cs="Arial"/>
                <w:color w:val="FF0000"/>
                <w:sz w:val="21"/>
                <w:szCs w:val="21"/>
              </w:rPr>
            </w:pPr>
          </w:p>
        </w:tc>
        <w:tc>
          <w:tcPr>
            <w:tcW w:w="217" w:type="dxa"/>
          </w:tcPr>
          <w:p w14:paraId="4F3A5E73" w14:textId="77777777" w:rsidR="002C0FD9" w:rsidRPr="00CA25CF" w:rsidRDefault="002C0FD9" w:rsidP="00CA25CF">
            <w:pPr>
              <w:rPr>
                <w:rFonts w:cs="Arial"/>
                <w:color w:val="FF0000"/>
                <w:sz w:val="21"/>
                <w:szCs w:val="21"/>
              </w:rPr>
            </w:pPr>
          </w:p>
        </w:tc>
        <w:tc>
          <w:tcPr>
            <w:tcW w:w="217" w:type="dxa"/>
          </w:tcPr>
          <w:p w14:paraId="0D464D27" w14:textId="77777777" w:rsidR="002C0FD9" w:rsidRPr="00CA25CF" w:rsidRDefault="002C0FD9" w:rsidP="00CA25CF">
            <w:pPr>
              <w:rPr>
                <w:rFonts w:cs="Arial"/>
                <w:color w:val="FF0000"/>
                <w:sz w:val="21"/>
                <w:szCs w:val="21"/>
              </w:rPr>
            </w:pPr>
          </w:p>
        </w:tc>
        <w:tc>
          <w:tcPr>
            <w:tcW w:w="217" w:type="dxa"/>
          </w:tcPr>
          <w:p w14:paraId="5D0A8FCE" w14:textId="77777777" w:rsidR="002C0FD9" w:rsidRPr="00CA25CF" w:rsidRDefault="002C0FD9" w:rsidP="00CA25CF">
            <w:pPr>
              <w:rPr>
                <w:rFonts w:cs="Arial"/>
                <w:color w:val="FF0000"/>
                <w:sz w:val="21"/>
                <w:szCs w:val="21"/>
              </w:rPr>
            </w:pPr>
          </w:p>
        </w:tc>
        <w:tc>
          <w:tcPr>
            <w:tcW w:w="217" w:type="dxa"/>
          </w:tcPr>
          <w:p w14:paraId="793BCC57" w14:textId="77777777" w:rsidR="002C0FD9" w:rsidRPr="00CA25CF" w:rsidRDefault="002C0FD9" w:rsidP="00CA25CF">
            <w:pPr>
              <w:rPr>
                <w:rFonts w:cs="Arial"/>
                <w:color w:val="FF0000"/>
                <w:sz w:val="21"/>
                <w:szCs w:val="21"/>
              </w:rPr>
            </w:pPr>
          </w:p>
        </w:tc>
        <w:tc>
          <w:tcPr>
            <w:tcW w:w="217" w:type="dxa"/>
          </w:tcPr>
          <w:p w14:paraId="061B2523" w14:textId="77777777" w:rsidR="002C0FD9" w:rsidRPr="00CA25CF" w:rsidRDefault="002C0FD9" w:rsidP="00CA25CF">
            <w:pPr>
              <w:rPr>
                <w:rFonts w:cs="Arial"/>
                <w:color w:val="FF0000"/>
                <w:sz w:val="21"/>
                <w:szCs w:val="21"/>
              </w:rPr>
            </w:pPr>
          </w:p>
        </w:tc>
        <w:tc>
          <w:tcPr>
            <w:tcW w:w="217" w:type="dxa"/>
          </w:tcPr>
          <w:p w14:paraId="5A6C6909" w14:textId="77777777" w:rsidR="002C0FD9" w:rsidRPr="00CA25CF" w:rsidRDefault="002C0FD9" w:rsidP="00CA25CF">
            <w:pPr>
              <w:rPr>
                <w:rFonts w:cs="Arial"/>
                <w:color w:val="FF0000"/>
                <w:sz w:val="21"/>
                <w:szCs w:val="21"/>
              </w:rPr>
            </w:pPr>
          </w:p>
        </w:tc>
        <w:tc>
          <w:tcPr>
            <w:tcW w:w="217" w:type="dxa"/>
          </w:tcPr>
          <w:p w14:paraId="0C065664" w14:textId="77777777" w:rsidR="002C0FD9" w:rsidRPr="00CA25CF" w:rsidRDefault="002C0FD9" w:rsidP="00CA25CF">
            <w:pPr>
              <w:rPr>
                <w:rFonts w:cs="Arial"/>
                <w:color w:val="FF0000"/>
                <w:sz w:val="21"/>
                <w:szCs w:val="21"/>
              </w:rPr>
            </w:pPr>
          </w:p>
        </w:tc>
        <w:tc>
          <w:tcPr>
            <w:tcW w:w="217" w:type="dxa"/>
          </w:tcPr>
          <w:p w14:paraId="6A2CDED1" w14:textId="77777777" w:rsidR="002C0FD9" w:rsidRPr="00CA25CF" w:rsidRDefault="002C0FD9" w:rsidP="00CA25CF">
            <w:pPr>
              <w:rPr>
                <w:rFonts w:cs="Arial"/>
                <w:color w:val="FF0000"/>
                <w:sz w:val="21"/>
                <w:szCs w:val="21"/>
              </w:rPr>
            </w:pPr>
          </w:p>
        </w:tc>
      </w:tr>
      <w:tr w:rsidR="002C0FD9" w:rsidRPr="00A16219" w14:paraId="535EDEF2" w14:textId="18022813" w:rsidTr="002C0FD9">
        <w:trPr>
          <w:trHeight w:val="635"/>
        </w:trPr>
        <w:tc>
          <w:tcPr>
            <w:tcW w:w="515" w:type="dxa"/>
          </w:tcPr>
          <w:p w14:paraId="0117C86C" w14:textId="77777777" w:rsidR="002C0FD9" w:rsidRPr="00CA25CF" w:rsidRDefault="002C0FD9" w:rsidP="00CA25CF">
            <w:pPr>
              <w:rPr>
                <w:rFonts w:cs="Arial"/>
                <w:color w:val="FF0000"/>
                <w:sz w:val="21"/>
                <w:szCs w:val="21"/>
              </w:rPr>
            </w:pPr>
          </w:p>
        </w:tc>
        <w:tc>
          <w:tcPr>
            <w:tcW w:w="217" w:type="dxa"/>
          </w:tcPr>
          <w:p w14:paraId="3202E115" w14:textId="77777777" w:rsidR="002C0FD9" w:rsidRPr="00CA25CF" w:rsidRDefault="002C0FD9" w:rsidP="00CA25CF">
            <w:pPr>
              <w:rPr>
                <w:rFonts w:cs="Arial"/>
                <w:color w:val="FF0000"/>
                <w:sz w:val="21"/>
                <w:szCs w:val="21"/>
              </w:rPr>
            </w:pPr>
          </w:p>
        </w:tc>
        <w:tc>
          <w:tcPr>
            <w:tcW w:w="217" w:type="dxa"/>
          </w:tcPr>
          <w:p w14:paraId="08709325" w14:textId="5C6F39A2" w:rsidR="002C0FD9" w:rsidRPr="00CA25CF" w:rsidRDefault="002C0FD9" w:rsidP="00CA25CF">
            <w:pPr>
              <w:rPr>
                <w:rFonts w:cs="Arial"/>
                <w:color w:val="FF0000"/>
                <w:sz w:val="21"/>
                <w:szCs w:val="21"/>
              </w:rPr>
            </w:pPr>
          </w:p>
        </w:tc>
        <w:tc>
          <w:tcPr>
            <w:tcW w:w="217" w:type="dxa"/>
          </w:tcPr>
          <w:p w14:paraId="61C99B3D" w14:textId="77777777" w:rsidR="002C0FD9" w:rsidRPr="00CA25CF" w:rsidRDefault="002C0FD9" w:rsidP="00CA25CF">
            <w:pPr>
              <w:rPr>
                <w:rFonts w:cs="Arial"/>
                <w:color w:val="FF0000"/>
                <w:sz w:val="21"/>
                <w:szCs w:val="21"/>
              </w:rPr>
            </w:pPr>
          </w:p>
        </w:tc>
        <w:tc>
          <w:tcPr>
            <w:tcW w:w="217" w:type="dxa"/>
          </w:tcPr>
          <w:p w14:paraId="0E5567FA" w14:textId="77777777" w:rsidR="002C0FD9" w:rsidRPr="00CA25CF" w:rsidRDefault="002C0FD9" w:rsidP="00CA25CF">
            <w:pPr>
              <w:rPr>
                <w:rFonts w:cs="Arial"/>
                <w:color w:val="FF0000"/>
                <w:sz w:val="21"/>
                <w:szCs w:val="21"/>
              </w:rPr>
            </w:pPr>
          </w:p>
        </w:tc>
        <w:tc>
          <w:tcPr>
            <w:tcW w:w="217" w:type="dxa"/>
          </w:tcPr>
          <w:p w14:paraId="7D829C1C" w14:textId="77777777" w:rsidR="002C0FD9" w:rsidRPr="00CA25CF" w:rsidRDefault="002C0FD9" w:rsidP="00CA25CF">
            <w:pPr>
              <w:rPr>
                <w:rFonts w:cs="Arial"/>
                <w:color w:val="FF0000"/>
                <w:sz w:val="21"/>
                <w:szCs w:val="21"/>
              </w:rPr>
            </w:pPr>
          </w:p>
        </w:tc>
        <w:tc>
          <w:tcPr>
            <w:tcW w:w="217" w:type="dxa"/>
          </w:tcPr>
          <w:p w14:paraId="16ABEA84" w14:textId="77777777" w:rsidR="002C0FD9" w:rsidRPr="00CA25CF" w:rsidRDefault="002C0FD9" w:rsidP="00CA25CF">
            <w:pPr>
              <w:rPr>
                <w:rFonts w:cs="Arial"/>
                <w:color w:val="FF0000"/>
                <w:sz w:val="21"/>
                <w:szCs w:val="21"/>
              </w:rPr>
            </w:pPr>
          </w:p>
        </w:tc>
        <w:tc>
          <w:tcPr>
            <w:tcW w:w="217" w:type="dxa"/>
          </w:tcPr>
          <w:p w14:paraId="5C5085AB" w14:textId="77777777" w:rsidR="002C0FD9" w:rsidRPr="00CA25CF" w:rsidRDefault="002C0FD9" w:rsidP="00CA25CF">
            <w:pPr>
              <w:rPr>
                <w:rFonts w:cs="Arial"/>
                <w:color w:val="FF0000"/>
                <w:sz w:val="21"/>
                <w:szCs w:val="21"/>
              </w:rPr>
            </w:pPr>
          </w:p>
        </w:tc>
        <w:tc>
          <w:tcPr>
            <w:tcW w:w="217" w:type="dxa"/>
          </w:tcPr>
          <w:p w14:paraId="1824E869" w14:textId="77777777" w:rsidR="002C0FD9" w:rsidRPr="00CA25CF" w:rsidRDefault="002C0FD9" w:rsidP="00CA25CF">
            <w:pPr>
              <w:rPr>
                <w:rFonts w:cs="Arial"/>
                <w:color w:val="FF0000"/>
                <w:sz w:val="21"/>
                <w:szCs w:val="21"/>
              </w:rPr>
            </w:pPr>
          </w:p>
        </w:tc>
        <w:tc>
          <w:tcPr>
            <w:tcW w:w="217" w:type="dxa"/>
          </w:tcPr>
          <w:p w14:paraId="5AF4BE36" w14:textId="77777777" w:rsidR="002C0FD9" w:rsidRPr="00CA25CF" w:rsidRDefault="002C0FD9" w:rsidP="00CA25CF">
            <w:pPr>
              <w:rPr>
                <w:rFonts w:cs="Arial"/>
                <w:color w:val="FF0000"/>
                <w:sz w:val="21"/>
                <w:szCs w:val="21"/>
              </w:rPr>
            </w:pPr>
          </w:p>
        </w:tc>
        <w:tc>
          <w:tcPr>
            <w:tcW w:w="217" w:type="dxa"/>
          </w:tcPr>
          <w:p w14:paraId="7A32150D" w14:textId="77777777" w:rsidR="002C0FD9" w:rsidRPr="00CA25CF" w:rsidRDefault="002C0FD9" w:rsidP="00CA25CF">
            <w:pPr>
              <w:rPr>
                <w:rFonts w:cs="Arial"/>
                <w:color w:val="FF0000"/>
                <w:sz w:val="21"/>
                <w:szCs w:val="21"/>
              </w:rPr>
            </w:pPr>
          </w:p>
        </w:tc>
        <w:tc>
          <w:tcPr>
            <w:tcW w:w="217" w:type="dxa"/>
          </w:tcPr>
          <w:p w14:paraId="6E5E8217" w14:textId="77777777" w:rsidR="002C0FD9" w:rsidRPr="00CA25CF" w:rsidRDefault="002C0FD9" w:rsidP="00CA25CF">
            <w:pPr>
              <w:rPr>
                <w:rFonts w:cs="Arial"/>
                <w:color w:val="FF0000"/>
                <w:sz w:val="21"/>
                <w:szCs w:val="21"/>
              </w:rPr>
            </w:pPr>
          </w:p>
        </w:tc>
        <w:tc>
          <w:tcPr>
            <w:tcW w:w="217" w:type="dxa"/>
          </w:tcPr>
          <w:p w14:paraId="3AB19BA0" w14:textId="77777777" w:rsidR="002C0FD9" w:rsidRPr="00CA25CF" w:rsidRDefault="002C0FD9" w:rsidP="00CA25CF">
            <w:pPr>
              <w:rPr>
                <w:rFonts w:cs="Arial"/>
                <w:color w:val="FF0000"/>
                <w:sz w:val="21"/>
                <w:szCs w:val="21"/>
              </w:rPr>
            </w:pPr>
          </w:p>
        </w:tc>
        <w:tc>
          <w:tcPr>
            <w:tcW w:w="217" w:type="dxa"/>
          </w:tcPr>
          <w:p w14:paraId="4AAC18EC" w14:textId="77777777" w:rsidR="002C0FD9" w:rsidRPr="00CA25CF" w:rsidRDefault="002C0FD9" w:rsidP="00CA25CF">
            <w:pPr>
              <w:rPr>
                <w:rFonts w:cs="Arial"/>
                <w:color w:val="FF0000"/>
                <w:sz w:val="21"/>
                <w:szCs w:val="21"/>
              </w:rPr>
            </w:pPr>
          </w:p>
        </w:tc>
        <w:tc>
          <w:tcPr>
            <w:tcW w:w="217" w:type="dxa"/>
          </w:tcPr>
          <w:p w14:paraId="474500BB" w14:textId="77777777" w:rsidR="002C0FD9" w:rsidRPr="00CA25CF" w:rsidRDefault="002C0FD9" w:rsidP="00CA25CF">
            <w:pPr>
              <w:rPr>
                <w:rFonts w:cs="Arial"/>
                <w:color w:val="FF0000"/>
                <w:sz w:val="21"/>
                <w:szCs w:val="21"/>
              </w:rPr>
            </w:pPr>
          </w:p>
        </w:tc>
        <w:tc>
          <w:tcPr>
            <w:tcW w:w="217" w:type="dxa"/>
          </w:tcPr>
          <w:p w14:paraId="3D39EE76" w14:textId="77777777" w:rsidR="002C0FD9" w:rsidRPr="00CA25CF" w:rsidRDefault="002C0FD9" w:rsidP="00CA25CF">
            <w:pPr>
              <w:rPr>
                <w:rFonts w:cs="Arial"/>
                <w:color w:val="FF0000"/>
                <w:sz w:val="21"/>
                <w:szCs w:val="21"/>
              </w:rPr>
            </w:pPr>
          </w:p>
        </w:tc>
        <w:tc>
          <w:tcPr>
            <w:tcW w:w="217" w:type="dxa"/>
          </w:tcPr>
          <w:p w14:paraId="727DE740" w14:textId="77777777" w:rsidR="002C0FD9" w:rsidRPr="00CA25CF" w:rsidRDefault="002C0FD9" w:rsidP="00CA25CF">
            <w:pPr>
              <w:rPr>
                <w:rFonts w:cs="Arial"/>
                <w:color w:val="FF0000"/>
                <w:sz w:val="21"/>
                <w:szCs w:val="21"/>
              </w:rPr>
            </w:pPr>
          </w:p>
        </w:tc>
        <w:tc>
          <w:tcPr>
            <w:tcW w:w="217" w:type="dxa"/>
          </w:tcPr>
          <w:p w14:paraId="631D7FE7" w14:textId="77777777" w:rsidR="002C0FD9" w:rsidRPr="00CA25CF" w:rsidRDefault="002C0FD9" w:rsidP="00CA25CF">
            <w:pPr>
              <w:rPr>
                <w:rFonts w:cs="Arial"/>
                <w:color w:val="FF0000"/>
                <w:sz w:val="21"/>
                <w:szCs w:val="21"/>
              </w:rPr>
            </w:pPr>
          </w:p>
        </w:tc>
        <w:tc>
          <w:tcPr>
            <w:tcW w:w="217" w:type="dxa"/>
          </w:tcPr>
          <w:p w14:paraId="7DC0B248" w14:textId="77777777" w:rsidR="002C0FD9" w:rsidRPr="00CA25CF" w:rsidRDefault="002C0FD9" w:rsidP="00CA25CF">
            <w:pPr>
              <w:rPr>
                <w:rFonts w:cs="Arial"/>
                <w:color w:val="FF0000"/>
                <w:sz w:val="21"/>
                <w:szCs w:val="21"/>
              </w:rPr>
            </w:pPr>
          </w:p>
        </w:tc>
        <w:tc>
          <w:tcPr>
            <w:tcW w:w="217" w:type="dxa"/>
          </w:tcPr>
          <w:p w14:paraId="64846D8A" w14:textId="77777777" w:rsidR="002C0FD9" w:rsidRPr="00CA25CF" w:rsidRDefault="002C0FD9" w:rsidP="00CA25CF">
            <w:pPr>
              <w:rPr>
                <w:rFonts w:cs="Arial"/>
                <w:color w:val="FF0000"/>
                <w:sz w:val="21"/>
                <w:szCs w:val="21"/>
              </w:rPr>
            </w:pPr>
          </w:p>
        </w:tc>
        <w:tc>
          <w:tcPr>
            <w:tcW w:w="217" w:type="dxa"/>
          </w:tcPr>
          <w:p w14:paraId="476B2ADD" w14:textId="77777777" w:rsidR="002C0FD9" w:rsidRPr="00CA25CF" w:rsidRDefault="002C0FD9" w:rsidP="00CA25CF">
            <w:pPr>
              <w:rPr>
                <w:rFonts w:cs="Arial"/>
                <w:color w:val="FF0000"/>
                <w:sz w:val="21"/>
                <w:szCs w:val="21"/>
              </w:rPr>
            </w:pPr>
          </w:p>
        </w:tc>
        <w:tc>
          <w:tcPr>
            <w:tcW w:w="217" w:type="dxa"/>
          </w:tcPr>
          <w:p w14:paraId="7558310E" w14:textId="77777777" w:rsidR="002C0FD9" w:rsidRPr="00CA25CF" w:rsidRDefault="002C0FD9" w:rsidP="00CA25CF">
            <w:pPr>
              <w:rPr>
                <w:rFonts w:cs="Arial"/>
                <w:color w:val="FF0000"/>
                <w:sz w:val="21"/>
                <w:szCs w:val="21"/>
              </w:rPr>
            </w:pPr>
          </w:p>
        </w:tc>
        <w:tc>
          <w:tcPr>
            <w:tcW w:w="217" w:type="dxa"/>
          </w:tcPr>
          <w:p w14:paraId="25C81415" w14:textId="77777777" w:rsidR="002C0FD9" w:rsidRPr="00CA25CF" w:rsidRDefault="002C0FD9" w:rsidP="00CA25CF">
            <w:pPr>
              <w:rPr>
                <w:rFonts w:cs="Arial"/>
                <w:color w:val="FF0000"/>
                <w:sz w:val="21"/>
                <w:szCs w:val="21"/>
              </w:rPr>
            </w:pPr>
          </w:p>
        </w:tc>
        <w:tc>
          <w:tcPr>
            <w:tcW w:w="217" w:type="dxa"/>
          </w:tcPr>
          <w:p w14:paraId="07B71F6E" w14:textId="77777777" w:rsidR="002C0FD9" w:rsidRPr="00CA25CF" w:rsidRDefault="002C0FD9" w:rsidP="00CA25CF">
            <w:pPr>
              <w:rPr>
                <w:rFonts w:cs="Arial"/>
                <w:color w:val="FF0000"/>
                <w:sz w:val="21"/>
                <w:szCs w:val="21"/>
              </w:rPr>
            </w:pPr>
          </w:p>
        </w:tc>
        <w:tc>
          <w:tcPr>
            <w:tcW w:w="217" w:type="dxa"/>
          </w:tcPr>
          <w:p w14:paraId="173D8279" w14:textId="77777777" w:rsidR="002C0FD9" w:rsidRPr="00CA25CF" w:rsidRDefault="002C0FD9" w:rsidP="00CA25CF">
            <w:pPr>
              <w:rPr>
                <w:rFonts w:cs="Arial"/>
                <w:color w:val="FF0000"/>
                <w:sz w:val="21"/>
                <w:szCs w:val="21"/>
              </w:rPr>
            </w:pPr>
          </w:p>
        </w:tc>
        <w:tc>
          <w:tcPr>
            <w:tcW w:w="217" w:type="dxa"/>
          </w:tcPr>
          <w:p w14:paraId="2DC328AF" w14:textId="77777777" w:rsidR="002C0FD9" w:rsidRPr="00CA25CF" w:rsidRDefault="002C0FD9" w:rsidP="00CA25CF">
            <w:pPr>
              <w:rPr>
                <w:rFonts w:cs="Arial"/>
                <w:color w:val="FF0000"/>
                <w:sz w:val="21"/>
                <w:szCs w:val="21"/>
              </w:rPr>
            </w:pPr>
          </w:p>
        </w:tc>
        <w:tc>
          <w:tcPr>
            <w:tcW w:w="217" w:type="dxa"/>
          </w:tcPr>
          <w:p w14:paraId="32FC9B6A" w14:textId="77777777" w:rsidR="002C0FD9" w:rsidRPr="00CA25CF" w:rsidRDefault="002C0FD9" w:rsidP="00CA25CF">
            <w:pPr>
              <w:rPr>
                <w:rFonts w:cs="Arial"/>
                <w:color w:val="FF0000"/>
                <w:sz w:val="21"/>
                <w:szCs w:val="21"/>
              </w:rPr>
            </w:pPr>
          </w:p>
        </w:tc>
        <w:tc>
          <w:tcPr>
            <w:tcW w:w="217" w:type="dxa"/>
          </w:tcPr>
          <w:p w14:paraId="1FE3032F" w14:textId="77777777" w:rsidR="002C0FD9" w:rsidRPr="00CA25CF" w:rsidRDefault="002C0FD9" w:rsidP="00CA25CF">
            <w:pPr>
              <w:rPr>
                <w:rFonts w:cs="Arial"/>
                <w:color w:val="FF0000"/>
                <w:sz w:val="21"/>
                <w:szCs w:val="21"/>
              </w:rPr>
            </w:pPr>
          </w:p>
        </w:tc>
        <w:tc>
          <w:tcPr>
            <w:tcW w:w="217" w:type="dxa"/>
          </w:tcPr>
          <w:p w14:paraId="62FDD519" w14:textId="77777777" w:rsidR="002C0FD9" w:rsidRPr="00CA25CF" w:rsidRDefault="002C0FD9" w:rsidP="00CA25CF">
            <w:pPr>
              <w:rPr>
                <w:rFonts w:cs="Arial"/>
                <w:color w:val="FF0000"/>
                <w:sz w:val="21"/>
                <w:szCs w:val="21"/>
              </w:rPr>
            </w:pPr>
          </w:p>
        </w:tc>
        <w:tc>
          <w:tcPr>
            <w:tcW w:w="217" w:type="dxa"/>
          </w:tcPr>
          <w:p w14:paraId="3EE514AC" w14:textId="77777777" w:rsidR="002C0FD9" w:rsidRPr="00CA25CF" w:rsidRDefault="002C0FD9" w:rsidP="00CA25CF">
            <w:pPr>
              <w:rPr>
                <w:rFonts w:cs="Arial"/>
                <w:color w:val="FF0000"/>
                <w:sz w:val="21"/>
                <w:szCs w:val="21"/>
              </w:rPr>
            </w:pPr>
          </w:p>
        </w:tc>
        <w:tc>
          <w:tcPr>
            <w:tcW w:w="217" w:type="dxa"/>
          </w:tcPr>
          <w:p w14:paraId="7556D63C" w14:textId="77777777" w:rsidR="002C0FD9" w:rsidRPr="00CA25CF" w:rsidRDefault="002C0FD9" w:rsidP="00CA25CF">
            <w:pPr>
              <w:rPr>
                <w:rFonts w:cs="Arial"/>
                <w:color w:val="FF0000"/>
                <w:sz w:val="21"/>
                <w:szCs w:val="21"/>
              </w:rPr>
            </w:pPr>
          </w:p>
        </w:tc>
        <w:tc>
          <w:tcPr>
            <w:tcW w:w="217" w:type="dxa"/>
          </w:tcPr>
          <w:p w14:paraId="1F65AE24" w14:textId="77777777" w:rsidR="002C0FD9" w:rsidRPr="00CA25CF" w:rsidRDefault="002C0FD9" w:rsidP="00CA25CF">
            <w:pPr>
              <w:rPr>
                <w:rFonts w:cs="Arial"/>
                <w:color w:val="FF0000"/>
                <w:sz w:val="21"/>
                <w:szCs w:val="21"/>
              </w:rPr>
            </w:pPr>
          </w:p>
        </w:tc>
        <w:tc>
          <w:tcPr>
            <w:tcW w:w="217" w:type="dxa"/>
          </w:tcPr>
          <w:p w14:paraId="1AD6559A" w14:textId="77777777" w:rsidR="002C0FD9" w:rsidRPr="00CA25CF" w:rsidRDefault="002C0FD9" w:rsidP="00CA25CF">
            <w:pPr>
              <w:rPr>
                <w:rFonts w:cs="Arial"/>
                <w:color w:val="FF0000"/>
                <w:sz w:val="21"/>
                <w:szCs w:val="21"/>
              </w:rPr>
            </w:pPr>
          </w:p>
        </w:tc>
        <w:tc>
          <w:tcPr>
            <w:tcW w:w="217" w:type="dxa"/>
          </w:tcPr>
          <w:p w14:paraId="2B9EA31A" w14:textId="77777777" w:rsidR="002C0FD9" w:rsidRPr="00CA25CF" w:rsidRDefault="002C0FD9" w:rsidP="00CA25CF">
            <w:pPr>
              <w:rPr>
                <w:rFonts w:cs="Arial"/>
                <w:color w:val="FF0000"/>
                <w:sz w:val="21"/>
                <w:szCs w:val="21"/>
              </w:rPr>
            </w:pPr>
          </w:p>
        </w:tc>
        <w:tc>
          <w:tcPr>
            <w:tcW w:w="217" w:type="dxa"/>
          </w:tcPr>
          <w:p w14:paraId="7FE3F216" w14:textId="77777777" w:rsidR="002C0FD9" w:rsidRPr="00CA25CF" w:rsidRDefault="002C0FD9" w:rsidP="00CA25CF">
            <w:pPr>
              <w:rPr>
                <w:rFonts w:cs="Arial"/>
                <w:color w:val="FF0000"/>
                <w:sz w:val="21"/>
                <w:szCs w:val="21"/>
              </w:rPr>
            </w:pPr>
          </w:p>
        </w:tc>
        <w:tc>
          <w:tcPr>
            <w:tcW w:w="217" w:type="dxa"/>
          </w:tcPr>
          <w:p w14:paraId="66CB276E" w14:textId="77777777" w:rsidR="002C0FD9" w:rsidRPr="00CA25CF" w:rsidRDefault="002C0FD9" w:rsidP="00CA25CF">
            <w:pPr>
              <w:rPr>
                <w:rFonts w:cs="Arial"/>
                <w:color w:val="FF0000"/>
                <w:sz w:val="21"/>
                <w:szCs w:val="21"/>
              </w:rPr>
            </w:pPr>
          </w:p>
        </w:tc>
        <w:tc>
          <w:tcPr>
            <w:tcW w:w="217" w:type="dxa"/>
          </w:tcPr>
          <w:p w14:paraId="1AB4A751" w14:textId="77777777" w:rsidR="002C0FD9" w:rsidRPr="00CA25CF" w:rsidRDefault="002C0FD9" w:rsidP="00CA25CF">
            <w:pPr>
              <w:rPr>
                <w:rFonts w:cs="Arial"/>
                <w:color w:val="FF0000"/>
                <w:sz w:val="21"/>
                <w:szCs w:val="21"/>
              </w:rPr>
            </w:pPr>
          </w:p>
        </w:tc>
        <w:tc>
          <w:tcPr>
            <w:tcW w:w="217" w:type="dxa"/>
          </w:tcPr>
          <w:p w14:paraId="1F8387AC" w14:textId="77777777" w:rsidR="002C0FD9" w:rsidRPr="00CA25CF" w:rsidRDefault="002C0FD9" w:rsidP="00CA25CF">
            <w:pPr>
              <w:rPr>
                <w:rFonts w:cs="Arial"/>
                <w:color w:val="FF0000"/>
                <w:sz w:val="21"/>
                <w:szCs w:val="21"/>
              </w:rPr>
            </w:pPr>
          </w:p>
        </w:tc>
        <w:tc>
          <w:tcPr>
            <w:tcW w:w="217" w:type="dxa"/>
          </w:tcPr>
          <w:p w14:paraId="13F8A2A2" w14:textId="77777777" w:rsidR="002C0FD9" w:rsidRPr="00CA25CF" w:rsidRDefault="002C0FD9" w:rsidP="00CA25CF">
            <w:pPr>
              <w:rPr>
                <w:rFonts w:cs="Arial"/>
                <w:color w:val="FF0000"/>
                <w:sz w:val="21"/>
                <w:szCs w:val="21"/>
              </w:rPr>
            </w:pPr>
          </w:p>
        </w:tc>
        <w:tc>
          <w:tcPr>
            <w:tcW w:w="217" w:type="dxa"/>
          </w:tcPr>
          <w:p w14:paraId="4483EFD3" w14:textId="77777777" w:rsidR="002C0FD9" w:rsidRPr="00CA25CF" w:rsidRDefault="002C0FD9" w:rsidP="00CA25CF">
            <w:pPr>
              <w:rPr>
                <w:rFonts w:cs="Arial"/>
                <w:color w:val="FF0000"/>
                <w:sz w:val="21"/>
                <w:szCs w:val="21"/>
              </w:rPr>
            </w:pPr>
          </w:p>
        </w:tc>
        <w:tc>
          <w:tcPr>
            <w:tcW w:w="217" w:type="dxa"/>
          </w:tcPr>
          <w:p w14:paraId="14945CBA" w14:textId="77777777" w:rsidR="002C0FD9" w:rsidRPr="00CA25CF" w:rsidRDefault="002C0FD9" w:rsidP="00CA25CF">
            <w:pPr>
              <w:rPr>
                <w:rFonts w:cs="Arial"/>
                <w:color w:val="FF0000"/>
                <w:sz w:val="21"/>
                <w:szCs w:val="21"/>
              </w:rPr>
            </w:pPr>
          </w:p>
        </w:tc>
        <w:tc>
          <w:tcPr>
            <w:tcW w:w="217" w:type="dxa"/>
          </w:tcPr>
          <w:p w14:paraId="1AB614B4" w14:textId="77777777" w:rsidR="002C0FD9" w:rsidRPr="00CA25CF" w:rsidRDefault="002C0FD9" w:rsidP="00CA25CF">
            <w:pPr>
              <w:rPr>
                <w:rFonts w:cs="Arial"/>
                <w:color w:val="FF0000"/>
                <w:sz w:val="21"/>
                <w:szCs w:val="21"/>
              </w:rPr>
            </w:pPr>
          </w:p>
        </w:tc>
        <w:tc>
          <w:tcPr>
            <w:tcW w:w="217" w:type="dxa"/>
          </w:tcPr>
          <w:p w14:paraId="5644FBA8" w14:textId="77777777" w:rsidR="002C0FD9" w:rsidRPr="00CA25CF" w:rsidRDefault="002C0FD9" w:rsidP="00CA25CF">
            <w:pPr>
              <w:rPr>
                <w:rFonts w:cs="Arial"/>
                <w:color w:val="FF0000"/>
                <w:sz w:val="21"/>
                <w:szCs w:val="21"/>
              </w:rPr>
            </w:pPr>
          </w:p>
        </w:tc>
      </w:tr>
      <w:tr w:rsidR="002C0FD9" w:rsidRPr="00A16219" w14:paraId="3E6FC294" w14:textId="2B9A7D23" w:rsidTr="002C0FD9">
        <w:trPr>
          <w:trHeight w:val="635"/>
        </w:trPr>
        <w:tc>
          <w:tcPr>
            <w:tcW w:w="515" w:type="dxa"/>
          </w:tcPr>
          <w:p w14:paraId="799BC34D" w14:textId="77777777" w:rsidR="002C0FD9" w:rsidRPr="00CA25CF" w:rsidRDefault="002C0FD9" w:rsidP="00CA25CF">
            <w:pPr>
              <w:rPr>
                <w:rFonts w:cs="Arial"/>
                <w:color w:val="FF0000"/>
                <w:sz w:val="21"/>
                <w:szCs w:val="21"/>
              </w:rPr>
            </w:pPr>
          </w:p>
        </w:tc>
        <w:tc>
          <w:tcPr>
            <w:tcW w:w="217" w:type="dxa"/>
          </w:tcPr>
          <w:p w14:paraId="2EBEDB4A" w14:textId="77777777" w:rsidR="002C0FD9" w:rsidRPr="00CA25CF" w:rsidRDefault="002C0FD9" w:rsidP="00CA25CF">
            <w:pPr>
              <w:rPr>
                <w:rFonts w:cs="Arial"/>
                <w:color w:val="FF0000"/>
                <w:sz w:val="21"/>
                <w:szCs w:val="21"/>
              </w:rPr>
            </w:pPr>
          </w:p>
        </w:tc>
        <w:tc>
          <w:tcPr>
            <w:tcW w:w="217" w:type="dxa"/>
          </w:tcPr>
          <w:p w14:paraId="67A0558F" w14:textId="69604EE0" w:rsidR="002C0FD9" w:rsidRPr="00CA25CF" w:rsidRDefault="002C0FD9" w:rsidP="00CA25CF">
            <w:pPr>
              <w:rPr>
                <w:rFonts w:cs="Arial"/>
                <w:color w:val="FF0000"/>
                <w:sz w:val="21"/>
                <w:szCs w:val="21"/>
              </w:rPr>
            </w:pPr>
          </w:p>
        </w:tc>
        <w:tc>
          <w:tcPr>
            <w:tcW w:w="217" w:type="dxa"/>
          </w:tcPr>
          <w:p w14:paraId="0CFF4112" w14:textId="77777777" w:rsidR="002C0FD9" w:rsidRPr="00CA25CF" w:rsidRDefault="002C0FD9" w:rsidP="00CA25CF">
            <w:pPr>
              <w:rPr>
                <w:rFonts w:cs="Arial"/>
                <w:color w:val="FF0000"/>
                <w:sz w:val="21"/>
                <w:szCs w:val="21"/>
              </w:rPr>
            </w:pPr>
          </w:p>
        </w:tc>
        <w:tc>
          <w:tcPr>
            <w:tcW w:w="217" w:type="dxa"/>
          </w:tcPr>
          <w:p w14:paraId="376FF527" w14:textId="77777777" w:rsidR="002C0FD9" w:rsidRPr="00CA25CF" w:rsidRDefault="002C0FD9" w:rsidP="00CA25CF">
            <w:pPr>
              <w:rPr>
                <w:rFonts w:cs="Arial"/>
                <w:color w:val="FF0000"/>
                <w:sz w:val="21"/>
                <w:szCs w:val="21"/>
              </w:rPr>
            </w:pPr>
          </w:p>
        </w:tc>
        <w:tc>
          <w:tcPr>
            <w:tcW w:w="217" w:type="dxa"/>
          </w:tcPr>
          <w:p w14:paraId="5D1CBA0C" w14:textId="77777777" w:rsidR="002C0FD9" w:rsidRPr="00CA25CF" w:rsidRDefault="002C0FD9" w:rsidP="00CA25CF">
            <w:pPr>
              <w:rPr>
                <w:rFonts w:cs="Arial"/>
                <w:color w:val="FF0000"/>
                <w:sz w:val="21"/>
                <w:szCs w:val="21"/>
              </w:rPr>
            </w:pPr>
          </w:p>
        </w:tc>
        <w:tc>
          <w:tcPr>
            <w:tcW w:w="217" w:type="dxa"/>
          </w:tcPr>
          <w:p w14:paraId="321A593E" w14:textId="77777777" w:rsidR="002C0FD9" w:rsidRPr="00CA25CF" w:rsidRDefault="002C0FD9" w:rsidP="00CA25CF">
            <w:pPr>
              <w:rPr>
                <w:rFonts w:cs="Arial"/>
                <w:color w:val="FF0000"/>
                <w:sz w:val="21"/>
                <w:szCs w:val="21"/>
              </w:rPr>
            </w:pPr>
          </w:p>
        </w:tc>
        <w:tc>
          <w:tcPr>
            <w:tcW w:w="217" w:type="dxa"/>
          </w:tcPr>
          <w:p w14:paraId="37DE752B" w14:textId="77777777" w:rsidR="002C0FD9" w:rsidRPr="00CA25CF" w:rsidRDefault="002C0FD9" w:rsidP="00CA25CF">
            <w:pPr>
              <w:rPr>
                <w:rFonts w:cs="Arial"/>
                <w:color w:val="FF0000"/>
                <w:sz w:val="21"/>
                <w:szCs w:val="21"/>
              </w:rPr>
            </w:pPr>
          </w:p>
        </w:tc>
        <w:tc>
          <w:tcPr>
            <w:tcW w:w="217" w:type="dxa"/>
          </w:tcPr>
          <w:p w14:paraId="6C41BDB2" w14:textId="77777777" w:rsidR="002C0FD9" w:rsidRPr="00CA25CF" w:rsidRDefault="002C0FD9" w:rsidP="00CA25CF">
            <w:pPr>
              <w:rPr>
                <w:rFonts w:cs="Arial"/>
                <w:color w:val="FF0000"/>
                <w:sz w:val="21"/>
                <w:szCs w:val="21"/>
              </w:rPr>
            </w:pPr>
          </w:p>
        </w:tc>
        <w:tc>
          <w:tcPr>
            <w:tcW w:w="217" w:type="dxa"/>
          </w:tcPr>
          <w:p w14:paraId="31175604" w14:textId="77777777" w:rsidR="002C0FD9" w:rsidRPr="00CA25CF" w:rsidRDefault="002C0FD9" w:rsidP="00CA25CF">
            <w:pPr>
              <w:rPr>
                <w:rFonts w:cs="Arial"/>
                <w:color w:val="FF0000"/>
                <w:sz w:val="21"/>
                <w:szCs w:val="21"/>
              </w:rPr>
            </w:pPr>
          </w:p>
        </w:tc>
        <w:tc>
          <w:tcPr>
            <w:tcW w:w="217" w:type="dxa"/>
          </w:tcPr>
          <w:p w14:paraId="674BB722" w14:textId="77777777" w:rsidR="002C0FD9" w:rsidRPr="00CA25CF" w:rsidRDefault="002C0FD9" w:rsidP="00CA25CF">
            <w:pPr>
              <w:rPr>
                <w:rFonts w:cs="Arial"/>
                <w:color w:val="FF0000"/>
                <w:sz w:val="21"/>
                <w:szCs w:val="21"/>
              </w:rPr>
            </w:pPr>
          </w:p>
        </w:tc>
        <w:tc>
          <w:tcPr>
            <w:tcW w:w="217" w:type="dxa"/>
          </w:tcPr>
          <w:p w14:paraId="5EBD91D4" w14:textId="77777777" w:rsidR="002C0FD9" w:rsidRPr="00CA25CF" w:rsidRDefault="002C0FD9" w:rsidP="00CA25CF">
            <w:pPr>
              <w:rPr>
                <w:rFonts w:cs="Arial"/>
                <w:color w:val="FF0000"/>
                <w:sz w:val="21"/>
                <w:szCs w:val="21"/>
              </w:rPr>
            </w:pPr>
          </w:p>
        </w:tc>
        <w:tc>
          <w:tcPr>
            <w:tcW w:w="217" w:type="dxa"/>
          </w:tcPr>
          <w:p w14:paraId="2990633C" w14:textId="77777777" w:rsidR="002C0FD9" w:rsidRPr="00CA25CF" w:rsidRDefault="002C0FD9" w:rsidP="00CA25CF">
            <w:pPr>
              <w:rPr>
                <w:rFonts w:cs="Arial"/>
                <w:color w:val="FF0000"/>
                <w:sz w:val="21"/>
                <w:szCs w:val="21"/>
              </w:rPr>
            </w:pPr>
          </w:p>
        </w:tc>
        <w:tc>
          <w:tcPr>
            <w:tcW w:w="217" w:type="dxa"/>
          </w:tcPr>
          <w:p w14:paraId="233BB9E2" w14:textId="77777777" w:rsidR="002C0FD9" w:rsidRPr="00CA25CF" w:rsidRDefault="002C0FD9" w:rsidP="00CA25CF">
            <w:pPr>
              <w:rPr>
                <w:rFonts w:cs="Arial"/>
                <w:color w:val="FF0000"/>
                <w:sz w:val="21"/>
                <w:szCs w:val="21"/>
              </w:rPr>
            </w:pPr>
          </w:p>
        </w:tc>
        <w:tc>
          <w:tcPr>
            <w:tcW w:w="217" w:type="dxa"/>
          </w:tcPr>
          <w:p w14:paraId="4556D8B6" w14:textId="77777777" w:rsidR="002C0FD9" w:rsidRPr="00CA25CF" w:rsidRDefault="002C0FD9" w:rsidP="00CA25CF">
            <w:pPr>
              <w:rPr>
                <w:rFonts w:cs="Arial"/>
                <w:color w:val="FF0000"/>
                <w:sz w:val="21"/>
                <w:szCs w:val="21"/>
              </w:rPr>
            </w:pPr>
          </w:p>
        </w:tc>
        <w:tc>
          <w:tcPr>
            <w:tcW w:w="217" w:type="dxa"/>
          </w:tcPr>
          <w:p w14:paraId="2FC48E24" w14:textId="77777777" w:rsidR="002C0FD9" w:rsidRPr="00CA25CF" w:rsidRDefault="002C0FD9" w:rsidP="00CA25CF">
            <w:pPr>
              <w:rPr>
                <w:rFonts w:cs="Arial"/>
                <w:color w:val="FF0000"/>
                <w:sz w:val="21"/>
                <w:szCs w:val="21"/>
              </w:rPr>
            </w:pPr>
          </w:p>
        </w:tc>
        <w:tc>
          <w:tcPr>
            <w:tcW w:w="217" w:type="dxa"/>
          </w:tcPr>
          <w:p w14:paraId="228DD49F" w14:textId="77777777" w:rsidR="002C0FD9" w:rsidRPr="00CA25CF" w:rsidRDefault="002C0FD9" w:rsidP="00CA25CF">
            <w:pPr>
              <w:rPr>
                <w:rFonts w:cs="Arial"/>
                <w:color w:val="FF0000"/>
                <w:sz w:val="21"/>
                <w:szCs w:val="21"/>
              </w:rPr>
            </w:pPr>
          </w:p>
        </w:tc>
        <w:tc>
          <w:tcPr>
            <w:tcW w:w="217" w:type="dxa"/>
          </w:tcPr>
          <w:p w14:paraId="36228D90" w14:textId="77777777" w:rsidR="002C0FD9" w:rsidRPr="00CA25CF" w:rsidRDefault="002C0FD9" w:rsidP="00CA25CF">
            <w:pPr>
              <w:rPr>
                <w:rFonts w:cs="Arial"/>
                <w:color w:val="FF0000"/>
                <w:sz w:val="21"/>
                <w:szCs w:val="21"/>
              </w:rPr>
            </w:pPr>
          </w:p>
        </w:tc>
        <w:tc>
          <w:tcPr>
            <w:tcW w:w="217" w:type="dxa"/>
          </w:tcPr>
          <w:p w14:paraId="669D90D2" w14:textId="77777777" w:rsidR="002C0FD9" w:rsidRPr="00CA25CF" w:rsidRDefault="002C0FD9" w:rsidP="00CA25CF">
            <w:pPr>
              <w:rPr>
                <w:rFonts w:cs="Arial"/>
                <w:color w:val="FF0000"/>
                <w:sz w:val="21"/>
                <w:szCs w:val="21"/>
              </w:rPr>
            </w:pPr>
          </w:p>
        </w:tc>
        <w:tc>
          <w:tcPr>
            <w:tcW w:w="217" w:type="dxa"/>
          </w:tcPr>
          <w:p w14:paraId="45C9BB61" w14:textId="77777777" w:rsidR="002C0FD9" w:rsidRPr="00CA25CF" w:rsidRDefault="002C0FD9" w:rsidP="00CA25CF">
            <w:pPr>
              <w:rPr>
                <w:rFonts w:cs="Arial"/>
                <w:color w:val="FF0000"/>
                <w:sz w:val="21"/>
                <w:szCs w:val="21"/>
              </w:rPr>
            </w:pPr>
          </w:p>
        </w:tc>
        <w:tc>
          <w:tcPr>
            <w:tcW w:w="217" w:type="dxa"/>
          </w:tcPr>
          <w:p w14:paraId="67265213" w14:textId="77777777" w:rsidR="002C0FD9" w:rsidRPr="00CA25CF" w:rsidRDefault="002C0FD9" w:rsidP="00CA25CF">
            <w:pPr>
              <w:rPr>
                <w:rFonts w:cs="Arial"/>
                <w:color w:val="FF0000"/>
                <w:sz w:val="21"/>
                <w:szCs w:val="21"/>
              </w:rPr>
            </w:pPr>
          </w:p>
        </w:tc>
        <w:tc>
          <w:tcPr>
            <w:tcW w:w="217" w:type="dxa"/>
          </w:tcPr>
          <w:p w14:paraId="44279AF0" w14:textId="77777777" w:rsidR="002C0FD9" w:rsidRPr="00CA25CF" w:rsidRDefault="002C0FD9" w:rsidP="00CA25CF">
            <w:pPr>
              <w:rPr>
                <w:rFonts w:cs="Arial"/>
                <w:color w:val="FF0000"/>
                <w:sz w:val="21"/>
                <w:szCs w:val="21"/>
              </w:rPr>
            </w:pPr>
          </w:p>
        </w:tc>
        <w:tc>
          <w:tcPr>
            <w:tcW w:w="217" w:type="dxa"/>
          </w:tcPr>
          <w:p w14:paraId="60BF6B13" w14:textId="77777777" w:rsidR="002C0FD9" w:rsidRPr="00CA25CF" w:rsidRDefault="002C0FD9" w:rsidP="00CA25CF">
            <w:pPr>
              <w:rPr>
                <w:rFonts w:cs="Arial"/>
                <w:color w:val="FF0000"/>
                <w:sz w:val="21"/>
                <w:szCs w:val="21"/>
              </w:rPr>
            </w:pPr>
          </w:p>
        </w:tc>
        <w:tc>
          <w:tcPr>
            <w:tcW w:w="217" w:type="dxa"/>
          </w:tcPr>
          <w:p w14:paraId="2A7B9D0F" w14:textId="77777777" w:rsidR="002C0FD9" w:rsidRPr="00CA25CF" w:rsidRDefault="002C0FD9" w:rsidP="00CA25CF">
            <w:pPr>
              <w:rPr>
                <w:rFonts w:cs="Arial"/>
                <w:color w:val="FF0000"/>
                <w:sz w:val="21"/>
                <w:szCs w:val="21"/>
              </w:rPr>
            </w:pPr>
          </w:p>
        </w:tc>
        <w:tc>
          <w:tcPr>
            <w:tcW w:w="217" w:type="dxa"/>
          </w:tcPr>
          <w:p w14:paraId="6345042A" w14:textId="77777777" w:rsidR="002C0FD9" w:rsidRPr="00CA25CF" w:rsidRDefault="002C0FD9" w:rsidP="00CA25CF">
            <w:pPr>
              <w:rPr>
                <w:rFonts w:cs="Arial"/>
                <w:color w:val="FF0000"/>
                <w:sz w:val="21"/>
                <w:szCs w:val="21"/>
              </w:rPr>
            </w:pPr>
          </w:p>
        </w:tc>
        <w:tc>
          <w:tcPr>
            <w:tcW w:w="217" w:type="dxa"/>
          </w:tcPr>
          <w:p w14:paraId="69BDB68B" w14:textId="77777777" w:rsidR="002C0FD9" w:rsidRPr="00CA25CF" w:rsidRDefault="002C0FD9" w:rsidP="00CA25CF">
            <w:pPr>
              <w:rPr>
                <w:rFonts w:cs="Arial"/>
                <w:color w:val="FF0000"/>
                <w:sz w:val="21"/>
                <w:szCs w:val="21"/>
              </w:rPr>
            </w:pPr>
          </w:p>
        </w:tc>
        <w:tc>
          <w:tcPr>
            <w:tcW w:w="217" w:type="dxa"/>
          </w:tcPr>
          <w:p w14:paraId="2E10D2EE" w14:textId="77777777" w:rsidR="002C0FD9" w:rsidRPr="00CA25CF" w:rsidRDefault="002C0FD9" w:rsidP="00CA25CF">
            <w:pPr>
              <w:rPr>
                <w:rFonts w:cs="Arial"/>
                <w:color w:val="FF0000"/>
                <w:sz w:val="21"/>
                <w:szCs w:val="21"/>
              </w:rPr>
            </w:pPr>
          </w:p>
        </w:tc>
        <w:tc>
          <w:tcPr>
            <w:tcW w:w="217" w:type="dxa"/>
          </w:tcPr>
          <w:p w14:paraId="5678C588" w14:textId="77777777" w:rsidR="002C0FD9" w:rsidRPr="00CA25CF" w:rsidRDefault="002C0FD9" w:rsidP="00CA25CF">
            <w:pPr>
              <w:rPr>
                <w:rFonts w:cs="Arial"/>
                <w:color w:val="FF0000"/>
                <w:sz w:val="21"/>
                <w:szCs w:val="21"/>
              </w:rPr>
            </w:pPr>
          </w:p>
        </w:tc>
        <w:tc>
          <w:tcPr>
            <w:tcW w:w="217" w:type="dxa"/>
          </w:tcPr>
          <w:p w14:paraId="723EE0C6" w14:textId="77777777" w:rsidR="002C0FD9" w:rsidRPr="00CA25CF" w:rsidRDefault="002C0FD9" w:rsidP="00CA25CF">
            <w:pPr>
              <w:rPr>
                <w:rFonts w:cs="Arial"/>
                <w:color w:val="FF0000"/>
                <w:sz w:val="21"/>
                <w:szCs w:val="21"/>
              </w:rPr>
            </w:pPr>
          </w:p>
        </w:tc>
        <w:tc>
          <w:tcPr>
            <w:tcW w:w="217" w:type="dxa"/>
          </w:tcPr>
          <w:p w14:paraId="7141FB1F" w14:textId="77777777" w:rsidR="002C0FD9" w:rsidRPr="00CA25CF" w:rsidRDefault="002C0FD9" w:rsidP="00CA25CF">
            <w:pPr>
              <w:rPr>
                <w:rFonts w:cs="Arial"/>
                <w:color w:val="FF0000"/>
                <w:sz w:val="21"/>
                <w:szCs w:val="21"/>
              </w:rPr>
            </w:pPr>
          </w:p>
        </w:tc>
        <w:tc>
          <w:tcPr>
            <w:tcW w:w="217" w:type="dxa"/>
          </w:tcPr>
          <w:p w14:paraId="0B4BC362" w14:textId="77777777" w:rsidR="002C0FD9" w:rsidRPr="00CA25CF" w:rsidRDefault="002C0FD9" w:rsidP="00CA25CF">
            <w:pPr>
              <w:rPr>
                <w:rFonts w:cs="Arial"/>
                <w:color w:val="FF0000"/>
                <w:sz w:val="21"/>
                <w:szCs w:val="21"/>
              </w:rPr>
            </w:pPr>
          </w:p>
        </w:tc>
        <w:tc>
          <w:tcPr>
            <w:tcW w:w="217" w:type="dxa"/>
          </w:tcPr>
          <w:p w14:paraId="74934876" w14:textId="77777777" w:rsidR="002C0FD9" w:rsidRPr="00CA25CF" w:rsidRDefault="002C0FD9" w:rsidP="00CA25CF">
            <w:pPr>
              <w:rPr>
                <w:rFonts w:cs="Arial"/>
                <w:color w:val="FF0000"/>
                <w:sz w:val="21"/>
                <w:szCs w:val="21"/>
              </w:rPr>
            </w:pPr>
          </w:p>
        </w:tc>
        <w:tc>
          <w:tcPr>
            <w:tcW w:w="217" w:type="dxa"/>
          </w:tcPr>
          <w:p w14:paraId="514FCA1B" w14:textId="77777777" w:rsidR="002C0FD9" w:rsidRPr="00CA25CF" w:rsidRDefault="002C0FD9" w:rsidP="00CA25CF">
            <w:pPr>
              <w:rPr>
                <w:rFonts w:cs="Arial"/>
                <w:color w:val="FF0000"/>
                <w:sz w:val="21"/>
                <w:szCs w:val="21"/>
              </w:rPr>
            </w:pPr>
          </w:p>
        </w:tc>
        <w:tc>
          <w:tcPr>
            <w:tcW w:w="217" w:type="dxa"/>
          </w:tcPr>
          <w:p w14:paraId="7D095595" w14:textId="77777777" w:rsidR="002C0FD9" w:rsidRPr="00CA25CF" w:rsidRDefault="002C0FD9" w:rsidP="00CA25CF">
            <w:pPr>
              <w:rPr>
                <w:rFonts w:cs="Arial"/>
                <w:color w:val="FF0000"/>
                <w:sz w:val="21"/>
                <w:szCs w:val="21"/>
              </w:rPr>
            </w:pPr>
          </w:p>
        </w:tc>
        <w:tc>
          <w:tcPr>
            <w:tcW w:w="217" w:type="dxa"/>
          </w:tcPr>
          <w:p w14:paraId="6A2524EB" w14:textId="77777777" w:rsidR="002C0FD9" w:rsidRPr="00CA25CF" w:rsidRDefault="002C0FD9" w:rsidP="00CA25CF">
            <w:pPr>
              <w:rPr>
                <w:rFonts w:cs="Arial"/>
                <w:color w:val="FF0000"/>
                <w:sz w:val="21"/>
                <w:szCs w:val="21"/>
              </w:rPr>
            </w:pPr>
          </w:p>
        </w:tc>
        <w:tc>
          <w:tcPr>
            <w:tcW w:w="217" w:type="dxa"/>
          </w:tcPr>
          <w:p w14:paraId="2E064BE0" w14:textId="77777777" w:rsidR="002C0FD9" w:rsidRPr="00CA25CF" w:rsidRDefault="002C0FD9" w:rsidP="00CA25CF">
            <w:pPr>
              <w:rPr>
                <w:rFonts w:cs="Arial"/>
                <w:color w:val="FF0000"/>
                <w:sz w:val="21"/>
                <w:szCs w:val="21"/>
              </w:rPr>
            </w:pPr>
          </w:p>
        </w:tc>
        <w:tc>
          <w:tcPr>
            <w:tcW w:w="217" w:type="dxa"/>
          </w:tcPr>
          <w:p w14:paraId="4299978F" w14:textId="77777777" w:rsidR="002C0FD9" w:rsidRPr="00CA25CF" w:rsidRDefault="002C0FD9" w:rsidP="00CA25CF">
            <w:pPr>
              <w:rPr>
                <w:rFonts w:cs="Arial"/>
                <w:color w:val="FF0000"/>
                <w:sz w:val="21"/>
                <w:szCs w:val="21"/>
              </w:rPr>
            </w:pPr>
          </w:p>
        </w:tc>
        <w:tc>
          <w:tcPr>
            <w:tcW w:w="217" w:type="dxa"/>
          </w:tcPr>
          <w:p w14:paraId="195811DB" w14:textId="77777777" w:rsidR="002C0FD9" w:rsidRPr="00CA25CF" w:rsidRDefault="002C0FD9" w:rsidP="00CA25CF">
            <w:pPr>
              <w:rPr>
                <w:rFonts w:cs="Arial"/>
                <w:color w:val="FF0000"/>
                <w:sz w:val="21"/>
                <w:szCs w:val="21"/>
              </w:rPr>
            </w:pPr>
          </w:p>
        </w:tc>
        <w:tc>
          <w:tcPr>
            <w:tcW w:w="217" w:type="dxa"/>
          </w:tcPr>
          <w:p w14:paraId="62B1CE48" w14:textId="77777777" w:rsidR="002C0FD9" w:rsidRPr="00CA25CF" w:rsidRDefault="002C0FD9" w:rsidP="00CA25CF">
            <w:pPr>
              <w:rPr>
                <w:rFonts w:cs="Arial"/>
                <w:color w:val="FF0000"/>
                <w:sz w:val="21"/>
                <w:szCs w:val="21"/>
              </w:rPr>
            </w:pPr>
          </w:p>
        </w:tc>
        <w:tc>
          <w:tcPr>
            <w:tcW w:w="217" w:type="dxa"/>
          </w:tcPr>
          <w:p w14:paraId="5A43842F" w14:textId="77777777" w:rsidR="002C0FD9" w:rsidRPr="00CA25CF" w:rsidRDefault="002C0FD9" w:rsidP="00CA25CF">
            <w:pPr>
              <w:rPr>
                <w:rFonts w:cs="Arial"/>
                <w:color w:val="FF0000"/>
                <w:sz w:val="21"/>
                <w:szCs w:val="21"/>
              </w:rPr>
            </w:pPr>
          </w:p>
        </w:tc>
        <w:tc>
          <w:tcPr>
            <w:tcW w:w="217" w:type="dxa"/>
          </w:tcPr>
          <w:p w14:paraId="6B32EBB8" w14:textId="77777777" w:rsidR="002C0FD9" w:rsidRPr="00CA25CF" w:rsidRDefault="002C0FD9" w:rsidP="00CA25CF">
            <w:pPr>
              <w:rPr>
                <w:rFonts w:cs="Arial"/>
                <w:color w:val="FF0000"/>
                <w:sz w:val="21"/>
                <w:szCs w:val="21"/>
              </w:rPr>
            </w:pPr>
          </w:p>
        </w:tc>
        <w:tc>
          <w:tcPr>
            <w:tcW w:w="217" w:type="dxa"/>
          </w:tcPr>
          <w:p w14:paraId="1B89DA39" w14:textId="77777777" w:rsidR="002C0FD9" w:rsidRPr="00CA25CF" w:rsidRDefault="002C0FD9" w:rsidP="00CA25CF">
            <w:pPr>
              <w:rPr>
                <w:rFonts w:cs="Arial"/>
                <w:color w:val="FF0000"/>
                <w:sz w:val="21"/>
                <w:szCs w:val="21"/>
              </w:rPr>
            </w:pPr>
          </w:p>
        </w:tc>
        <w:tc>
          <w:tcPr>
            <w:tcW w:w="217" w:type="dxa"/>
          </w:tcPr>
          <w:p w14:paraId="1285713C" w14:textId="77777777" w:rsidR="002C0FD9" w:rsidRPr="00CA25CF" w:rsidRDefault="002C0FD9" w:rsidP="00CA25CF">
            <w:pPr>
              <w:rPr>
                <w:rFonts w:cs="Arial"/>
                <w:color w:val="FF0000"/>
                <w:sz w:val="21"/>
                <w:szCs w:val="21"/>
              </w:rPr>
            </w:pPr>
          </w:p>
        </w:tc>
      </w:tr>
      <w:tr w:rsidR="002C0FD9" w:rsidRPr="00A16219" w14:paraId="541DE08B" w14:textId="4B56875B" w:rsidTr="002C0FD9">
        <w:trPr>
          <w:trHeight w:val="635"/>
        </w:trPr>
        <w:tc>
          <w:tcPr>
            <w:tcW w:w="515" w:type="dxa"/>
          </w:tcPr>
          <w:p w14:paraId="608875FD" w14:textId="77777777" w:rsidR="002C0FD9" w:rsidRPr="00CA25CF" w:rsidRDefault="002C0FD9" w:rsidP="00CA25CF">
            <w:pPr>
              <w:rPr>
                <w:rFonts w:cs="Arial"/>
                <w:color w:val="FF0000"/>
                <w:sz w:val="21"/>
                <w:szCs w:val="21"/>
              </w:rPr>
            </w:pPr>
          </w:p>
        </w:tc>
        <w:tc>
          <w:tcPr>
            <w:tcW w:w="217" w:type="dxa"/>
          </w:tcPr>
          <w:p w14:paraId="76D4D1E1" w14:textId="77777777" w:rsidR="002C0FD9" w:rsidRPr="00CA25CF" w:rsidRDefault="002C0FD9" w:rsidP="00CA25CF">
            <w:pPr>
              <w:rPr>
                <w:rFonts w:cs="Arial"/>
                <w:color w:val="FF0000"/>
                <w:sz w:val="21"/>
                <w:szCs w:val="21"/>
              </w:rPr>
            </w:pPr>
          </w:p>
        </w:tc>
        <w:tc>
          <w:tcPr>
            <w:tcW w:w="217" w:type="dxa"/>
          </w:tcPr>
          <w:p w14:paraId="6E235D06" w14:textId="16EC0051" w:rsidR="002C0FD9" w:rsidRPr="00CA25CF" w:rsidRDefault="002C0FD9" w:rsidP="00CA25CF">
            <w:pPr>
              <w:rPr>
                <w:rFonts w:cs="Arial"/>
                <w:color w:val="FF0000"/>
                <w:sz w:val="21"/>
                <w:szCs w:val="21"/>
              </w:rPr>
            </w:pPr>
          </w:p>
        </w:tc>
        <w:tc>
          <w:tcPr>
            <w:tcW w:w="217" w:type="dxa"/>
          </w:tcPr>
          <w:p w14:paraId="5DB4A185" w14:textId="77777777" w:rsidR="002C0FD9" w:rsidRPr="00CA25CF" w:rsidRDefault="002C0FD9" w:rsidP="00CA25CF">
            <w:pPr>
              <w:rPr>
                <w:rFonts w:cs="Arial"/>
                <w:color w:val="FF0000"/>
                <w:sz w:val="21"/>
                <w:szCs w:val="21"/>
              </w:rPr>
            </w:pPr>
          </w:p>
        </w:tc>
        <w:tc>
          <w:tcPr>
            <w:tcW w:w="217" w:type="dxa"/>
          </w:tcPr>
          <w:p w14:paraId="75A54C32" w14:textId="77777777" w:rsidR="002C0FD9" w:rsidRPr="00CA25CF" w:rsidRDefault="002C0FD9" w:rsidP="00CA25CF">
            <w:pPr>
              <w:rPr>
                <w:rFonts w:cs="Arial"/>
                <w:color w:val="FF0000"/>
                <w:sz w:val="21"/>
                <w:szCs w:val="21"/>
              </w:rPr>
            </w:pPr>
          </w:p>
        </w:tc>
        <w:tc>
          <w:tcPr>
            <w:tcW w:w="217" w:type="dxa"/>
          </w:tcPr>
          <w:p w14:paraId="6169150B" w14:textId="77777777" w:rsidR="002C0FD9" w:rsidRPr="00CA25CF" w:rsidRDefault="002C0FD9" w:rsidP="00CA25CF">
            <w:pPr>
              <w:rPr>
                <w:rFonts w:cs="Arial"/>
                <w:color w:val="FF0000"/>
                <w:sz w:val="21"/>
                <w:szCs w:val="21"/>
              </w:rPr>
            </w:pPr>
          </w:p>
        </w:tc>
        <w:tc>
          <w:tcPr>
            <w:tcW w:w="217" w:type="dxa"/>
          </w:tcPr>
          <w:p w14:paraId="17594301" w14:textId="77777777" w:rsidR="002C0FD9" w:rsidRPr="00CA25CF" w:rsidRDefault="002C0FD9" w:rsidP="00CA25CF">
            <w:pPr>
              <w:rPr>
                <w:rFonts w:cs="Arial"/>
                <w:color w:val="FF0000"/>
                <w:sz w:val="21"/>
                <w:szCs w:val="21"/>
              </w:rPr>
            </w:pPr>
          </w:p>
        </w:tc>
        <w:tc>
          <w:tcPr>
            <w:tcW w:w="217" w:type="dxa"/>
          </w:tcPr>
          <w:p w14:paraId="566C4871" w14:textId="77777777" w:rsidR="002C0FD9" w:rsidRPr="00CA25CF" w:rsidRDefault="002C0FD9" w:rsidP="00CA25CF">
            <w:pPr>
              <w:rPr>
                <w:rFonts w:cs="Arial"/>
                <w:color w:val="FF0000"/>
                <w:sz w:val="21"/>
                <w:szCs w:val="21"/>
              </w:rPr>
            </w:pPr>
          </w:p>
        </w:tc>
        <w:tc>
          <w:tcPr>
            <w:tcW w:w="217" w:type="dxa"/>
          </w:tcPr>
          <w:p w14:paraId="1323F10B" w14:textId="77777777" w:rsidR="002C0FD9" w:rsidRPr="00CA25CF" w:rsidRDefault="002C0FD9" w:rsidP="00CA25CF">
            <w:pPr>
              <w:rPr>
                <w:rFonts w:cs="Arial"/>
                <w:color w:val="FF0000"/>
                <w:sz w:val="21"/>
                <w:szCs w:val="21"/>
              </w:rPr>
            </w:pPr>
          </w:p>
        </w:tc>
        <w:tc>
          <w:tcPr>
            <w:tcW w:w="217" w:type="dxa"/>
          </w:tcPr>
          <w:p w14:paraId="64E2EC3D" w14:textId="77777777" w:rsidR="002C0FD9" w:rsidRPr="00CA25CF" w:rsidRDefault="002C0FD9" w:rsidP="00CA25CF">
            <w:pPr>
              <w:rPr>
                <w:rFonts w:cs="Arial"/>
                <w:color w:val="FF0000"/>
                <w:sz w:val="21"/>
                <w:szCs w:val="21"/>
              </w:rPr>
            </w:pPr>
          </w:p>
        </w:tc>
        <w:tc>
          <w:tcPr>
            <w:tcW w:w="217" w:type="dxa"/>
          </w:tcPr>
          <w:p w14:paraId="708DD7AB" w14:textId="77777777" w:rsidR="002C0FD9" w:rsidRPr="00CA25CF" w:rsidRDefault="002C0FD9" w:rsidP="00CA25CF">
            <w:pPr>
              <w:rPr>
                <w:rFonts w:cs="Arial"/>
                <w:color w:val="FF0000"/>
                <w:sz w:val="21"/>
                <w:szCs w:val="21"/>
              </w:rPr>
            </w:pPr>
          </w:p>
        </w:tc>
        <w:tc>
          <w:tcPr>
            <w:tcW w:w="217" w:type="dxa"/>
          </w:tcPr>
          <w:p w14:paraId="0C97B076" w14:textId="77777777" w:rsidR="002C0FD9" w:rsidRPr="00CA25CF" w:rsidRDefault="002C0FD9" w:rsidP="00CA25CF">
            <w:pPr>
              <w:rPr>
                <w:rFonts w:cs="Arial"/>
                <w:color w:val="FF0000"/>
                <w:sz w:val="21"/>
                <w:szCs w:val="21"/>
              </w:rPr>
            </w:pPr>
          </w:p>
        </w:tc>
        <w:tc>
          <w:tcPr>
            <w:tcW w:w="217" w:type="dxa"/>
          </w:tcPr>
          <w:p w14:paraId="32596394" w14:textId="77777777" w:rsidR="002C0FD9" w:rsidRPr="00CA25CF" w:rsidRDefault="002C0FD9" w:rsidP="00CA25CF">
            <w:pPr>
              <w:rPr>
                <w:rFonts w:cs="Arial"/>
                <w:color w:val="FF0000"/>
                <w:sz w:val="21"/>
                <w:szCs w:val="21"/>
              </w:rPr>
            </w:pPr>
          </w:p>
        </w:tc>
        <w:tc>
          <w:tcPr>
            <w:tcW w:w="217" w:type="dxa"/>
          </w:tcPr>
          <w:p w14:paraId="2A4DEDE6" w14:textId="77777777" w:rsidR="002C0FD9" w:rsidRPr="00CA25CF" w:rsidRDefault="002C0FD9" w:rsidP="00CA25CF">
            <w:pPr>
              <w:rPr>
                <w:rFonts w:cs="Arial"/>
                <w:color w:val="FF0000"/>
                <w:sz w:val="21"/>
                <w:szCs w:val="21"/>
              </w:rPr>
            </w:pPr>
          </w:p>
        </w:tc>
        <w:tc>
          <w:tcPr>
            <w:tcW w:w="217" w:type="dxa"/>
          </w:tcPr>
          <w:p w14:paraId="0AAC4ED3" w14:textId="77777777" w:rsidR="002C0FD9" w:rsidRPr="00CA25CF" w:rsidRDefault="002C0FD9" w:rsidP="00CA25CF">
            <w:pPr>
              <w:rPr>
                <w:rFonts w:cs="Arial"/>
                <w:color w:val="FF0000"/>
                <w:sz w:val="21"/>
                <w:szCs w:val="21"/>
              </w:rPr>
            </w:pPr>
          </w:p>
        </w:tc>
        <w:tc>
          <w:tcPr>
            <w:tcW w:w="217" w:type="dxa"/>
          </w:tcPr>
          <w:p w14:paraId="0F58A5F5" w14:textId="77777777" w:rsidR="002C0FD9" w:rsidRPr="00CA25CF" w:rsidRDefault="002C0FD9" w:rsidP="00CA25CF">
            <w:pPr>
              <w:rPr>
                <w:rFonts w:cs="Arial"/>
                <w:color w:val="FF0000"/>
                <w:sz w:val="21"/>
                <w:szCs w:val="21"/>
              </w:rPr>
            </w:pPr>
          </w:p>
        </w:tc>
        <w:tc>
          <w:tcPr>
            <w:tcW w:w="217" w:type="dxa"/>
          </w:tcPr>
          <w:p w14:paraId="56E36F69" w14:textId="77777777" w:rsidR="002C0FD9" w:rsidRPr="00CA25CF" w:rsidRDefault="002C0FD9" w:rsidP="00CA25CF">
            <w:pPr>
              <w:rPr>
                <w:rFonts w:cs="Arial"/>
                <w:color w:val="FF0000"/>
                <w:sz w:val="21"/>
                <w:szCs w:val="21"/>
              </w:rPr>
            </w:pPr>
          </w:p>
        </w:tc>
        <w:tc>
          <w:tcPr>
            <w:tcW w:w="217" w:type="dxa"/>
          </w:tcPr>
          <w:p w14:paraId="6E35ECF4" w14:textId="77777777" w:rsidR="002C0FD9" w:rsidRPr="00CA25CF" w:rsidRDefault="002C0FD9" w:rsidP="00CA25CF">
            <w:pPr>
              <w:rPr>
                <w:rFonts w:cs="Arial"/>
                <w:color w:val="FF0000"/>
                <w:sz w:val="21"/>
                <w:szCs w:val="21"/>
              </w:rPr>
            </w:pPr>
          </w:p>
        </w:tc>
        <w:tc>
          <w:tcPr>
            <w:tcW w:w="217" w:type="dxa"/>
          </w:tcPr>
          <w:p w14:paraId="25D0365E" w14:textId="77777777" w:rsidR="002C0FD9" w:rsidRPr="00CA25CF" w:rsidRDefault="002C0FD9" w:rsidP="00CA25CF">
            <w:pPr>
              <w:rPr>
                <w:rFonts w:cs="Arial"/>
                <w:color w:val="FF0000"/>
                <w:sz w:val="21"/>
                <w:szCs w:val="21"/>
              </w:rPr>
            </w:pPr>
          </w:p>
        </w:tc>
        <w:tc>
          <w:tcPr>
            <w:tcW w:w="217" w:type="dxa"/>
          </w:tcPr>
          <w:p w14:paraId="3FC27303" w14:textId="77777777" w:rsidR="002C0FD9" w:rsidRPr="00CA25CF" w:rsidRDefault="002C0FD9" w:rsidP="00CA25CF">
            <w:pPr>
              <w:rPr>
                <w:rFonts w:cs="Arial"/>
                <w:color w:val="FF0000"/>
                <w:sz w:val="21"/>
                <w:szCs w:val="21"/>
              </w:rPr>
            </w:pPr>
          </w:p>
        </w:tc>
        <w:tc>
          <w:tcPr>
            <w:tcW w:w="217" w:type="dxa"/>
          </w:tcPr>
          <w:p w14:paraId="21C32324" w14:textId="77777777" w:rsidR="002C0FD9" w:rsidRPr="00CA25CF" w:rsidRDefault="002C0FD9" w:rsidP="00CA25CF">
            <w:pPr>
              <w:rPr>
                <w:rFonts w:cs="Arial"/>
                <w:color w:val="FF0000"/>
                <w:sz w:val="21"/>
                <w:szCs w:val="21"/>
              </w:rPr>
            </w:pPr>
          </w:p>
        </w:tc>
        <w:tc>
          <w:tcPr>
            <w:tcW w:w="217" w:type="dxa"/>
          </w:tcPr>
          <w:p w14:paraId="5627E8E1" w14:textId="77777777" w:rsidR="002C0FD9" w:rsidRPr="00CA25CF" w:rsidRDefault="002C0FD9" w:rsidP="00CA25CF">
            <w:pPr>
              <w:rPr>
                <w:rFonts w:cs="Arial"/>
                <w:color w:val="FF0000"/>
                <w:sz w:val="21"/>
                <w:szCs w:val="21"/>
              </w:rPr>
            </w:pPr>
          </w:p>
        </w:tc>
        <w:tc>
          <w:tcPr>
            <w:tcW w:w="217" w:type="dxa"/>
          </w:tcPr>
          <w:p w14:paraId="5193953C" w14:textId="77777777" w:rsidR="002C0FD9" w:rsidRPr="00CA25CF" w:rsidRDefault="002C0FD9" w:rsidP="00CA25CF">
            <w:pPr>
              <w:rPr>
                <w:rFonts w:cs="Arial"/>
                <w:color w:val="FF0000"/>
                <w:sz w:val="21"/>
                <w:szCs w:val="21"/>
              </w:rPr>
            </w:pPr>
          </w:p>
        </w:tc>
        <w:tc>
          <w:tcPr>
            <w:tcW w:w="217" w:type="dxa"/>
          </w:tcPr>
          <w:p w14:paraId="25D0FD35" w14:textId="77777777" w:rsidR="002C0FD9" w:rsidRPr="00CA25CF" w:rsidRDefault="002C0FD9" w:rsidP="00CA25CF">
            <w:pPr>
              <w:rPr>
                <w:rFonts w:cs="Arial"/>
                <w:color w:val="FF0000"/>
                <w:sz w:val="21"/>
                <w:szCs w:val="21"/>
              </w:rPr>
            </w:pPr>
          </w:p>
        </w:tc>
        <w:tc>
          <w:tcPr>
            <w:tcW w:w="217" w:type="dxa"/>
          </w:tcPr>
          <w:p w14:paraId="5D8EAEFF" w14:textId="77777777" w:rsidR="002C0FD9" w:rsidRPr="00CA25CF" w:rsidRDefault="002C0FD9" w:rsidP="00CA25CF">
            <w:pPr>
              <w:rPr>
                <w:rFonts w:cs="Arial"/>
                <w:color w:val="FF0000"/>
                <w:sz w:val="21"/>
                <w:szCs w:val="21"/>
              </w:rPr>
            </w:pPr>
          </w:p>
        </w:tc>
        <w:tc>
          <w:tcPr>
            <w:tcW w:w="217" w:type="dxa"/>
          </w:tcPr>
          <w:p w14:paraId="45DC572F" w14:textId="77777777" w:rsidR="002C0FD9" w:rsidRPr="00CA25CF" w:rsidRDefault="002C0FD9" w:rsidP="00CA25CF">
            <w:pPr>
              <w:rPr>
                <w:rFonts w:cs="Arial"/>
                <w:color w:val="FF0000"/>
                <w:sz w:val="21"/>
                <w:szCs w:val="21"/>
              </w:rPr>
            </w:pPr>
          </w:p>
        </w:tc>
        <w:tc>
          <w:tcPr>
            <w:tcW w:w="217" w:type="dxa"/>
          </w:tcPr>
          <w:p w14:paraId="31098B27" w14:textId="77777777" w:rsidR="002C0FD9" w:rsidRPr="00CA25CF" w:rsidRDefault="002C0FD9" w:rsidP="00CA25CF">
            <w:pPr>
              <w:rPr>
                <w:rFonts w:cs="Arial"/>
                <w:color w:val="FF0000"/>
                <w:sz w:val="21"/>
                <w:szCs w:val="21"/>
              </w:rPr>
            </w:pPr>
          </w:p>
        </w:tc>
        <w:tc>
          <w:tcPr>
            <w:tcW w:w="217" w:type="dxa"/>
          </w:tcPr>
          <w:p w14:paraId="562C3248" w14:textId="77777777" w:rsidR="002C0FD9" w:rsidRPr="00CA25CF" w:rsidRDefault="002C0FD9" w:rsidP="00CA25CF">
            <w:pPr>
              <w:rPr>
                <w:rFonts w:cs="Arial"/>
                <w:color w:val="FF0000"/>
                <w:sz w:val="21"/>
                <w:szCs w:val="21"/>
              </w:rPr>
            </w:pPr>
          </w:p>
        </w:tc>
        <w:tc>
          <w:tcPr>
            <w:tcW w:w="217" w:type="dxa"/>
          </w:tcPr>
          <w:p w14:paraId="7891C932" w14:textId="77777777" w:rsidR="002C0FD9" w:rsidRPr="00CA25CF" w:rsidRDefault="002C0FD9" w:rsidP="00CA25CF">
            <w:pPr>
              <w:rPr>
                <w:rFonts w:cs="Arial"/>
                <w:color w:val="FF0000"/>
                <w:sz w:val="21"/>
                <w:szCs w:val="21"/>
              </w:rPr>
            </w:pPr>
          </w:p>
        </w:tc>
        <w:tc>
          <w:tcPr>
            <w:tcW w:w="217" w:type="dxa"/>
          </w:tcPr>
          <w:p w14:paraId="0BE08997" w14:textId="77777777" w:rsidR="002C0FD9" w:rsidRPr="00CA25CF" w:rsidRDefault="002C0FD9" w:rsidP="00CA25CF">
            <w:pPr>
              <w:rPr>
                <w:rFonts w:cs="Arial"/>
                <w:color w:val="FF0000"/>
                <w:sz w:val="21"/>
                <w:szCs w:val="21"/>
              </w:rPr>
            </w:pPr>
          </w:p>
        </w:tc>
        <w:tc>
          <w:tcPr>
            <w:tcW w:w="217" w:type="dxa"/>
          </w:tcPr>
          <w:p w14:paraId="400B1416" w14:textId="77777777" w:rsidR="002C0FD9" w:rsidRPr="00CA25CF" w:rsidRDefault="002C0FD9" w:rsidP="00CA25CF">
            <w:pPr>
              <w:rPr>
                <w:rFonts w:cs="Arial"/>
                <w:color w:val="FF0000"/>
                <w:sz w:val="21"/>
                <w:szCs w:val="21"/>
              </w:rPr>
            </w:pPr>
          </w:p>
        </w:tc>
        <w:tc>
          <w:tcPr>
            <w:tcW w:w="217" w:type="dxa"/>
          </w:tcPr>
          <w:p w14:paraId="040E6C9C" w14:textId="77777777" w:rsidR="002C0FD9" w:rsidRPr="00CA25CF" w:rsidRDefault="002C0FD9" w:rsidP="00CA25CF">
            <w:pPr>
              <w:rPr>
                <w:rFonts w:cs="Arial"/>
                <w:color w:val="FF0000"/>
                <w:sz w:val="21"/>
                <w:szCs w:val="21"/>
              </w:rPr>
            </w:pPr>
          </w:p>
        </w:tc>
        <w:tc>
          <w:tcPr>
            <w:tcW w:w="217" w:type="dxa"/>
          </w:tcPr>
          <w:p w14:paraId="38693D44" w14:textId="77777777" w:rsidR="002C0FD9" w:rsidRPr="00CA25CF" w:rsidRDefault="002C0FD9" w:rsidP="00CA25CF">
            <w:pPr>
              <w:rPr>
                <w:rFonts w:cs="Arial"/>
                <w:color w:val="FF0000"/>
                <w:sz w:val="21"/>
                <w:szCs w:val="21"/>
              </w:rPr>
            </w:pPr>
          </w:p>
        </w:tc>
        <w:tc>
          <w:tcPr>
            <w:tcW w:w="217" w:type="dxa"/>
          </w:tcPr>
          <w:p w14:paraId="38603411" w14:textId="77777777" w:rsidR="002C0FD9" w:rsidRPr="00CA25CF" w:rsidRDefault="002C0FD9" w:rsidP="00CA25CF">
            <w:pPr>
              <w:rPr>
                <w:rFonts w:cs="Arial"/>
                <w:color w:val="FF0000"/>
                <w:sz w:val="21"/>
                <w:szCs w:val="21"/>
              </w:rPr>
            </w:pPr>
          </w:p>
        </w:tc>
        <w:tc>
          <w:tcPr>
            <w:tcW w:w="217" w:type="dxa"/>
          </w:tcPr>
          <w:p w14:paraId="5DBA4C43" w14:textId="77777777" w:rsidR="002C0FD9" w:rsidRPr="00CA25CF" w:rsidRDefault="002C0FD9" w:rsidP="00CA25CF">
            <w:pPr>
              <w:rPr>
                <w:rFonts w:cs="Arial"/>
                <w:color w:val="FF0000"/>
                <w:sz w:val="21"/>
                <w:szCs w:val="21"/>
              </w:rPr>
            </w:pPr>
          </w:p>
        </w:tc>
        <w:tc>
          <w:tcPr>
            <w:tcW w:w="217" w:type="dxa"/>
          </w:tcPr>
          <w:p w14:paraId="4F0C893F" w14:textId="77777777" w:rsidR="002C0FD9" w:rsidRPr="00CA25CF" w:rsidRDefault="002C0FD9" w:rsidP="00CA25CF">
            <w:pPr>
              <w:rPr>
                <w:rFonts w:cs="Arial"/>
                <w:color w:val="FF0000"/>
                <w:sz w:val="21"/>
                <w:szCs w:val="21"/>
              </w:rPr>
            </w:pPr>
          </w:p>
        </w:tc>
        <w:tc>
          <w:tcPr>
            <w:tcW w:w="217" w:type="dxa"/>
          </w:tcPr>
          <w:p w14:paraId="2EFA06BC" w14:textId="77777777" w:rsidR="002C0FD9" w:rsidRPr="00CA25CF" w:rsidRDefault="002C0FD9" w:rsidP="00CA25CF">
            <w:pPr>
              <w:rPr>
                <w:rFonts w:cs="Arial"/>
                <w:color w:val="FF0000"/>
                <w:sz w:val="21"/>
                <w:szCs w:val="21"/>
              </w:rPr>
            </w:pPr>
          </w:p>
        </w:tc>
        <w:tc>
          <w:tcPr>
            <w:tcW w:w="217" w:type="dxa"/>
          </w:tcPr>
          <w:p w14:paraId="48E133C3" w14:textId="77777777" w:rsidR="002C0FD9" w:rsidRPr="00CA25CF" w:rsidRDefault="002C0FD9" w:rsidP="00CA25CF">
            <w:pPr>
              <w:rPr>
                <w:rFonts w:cs="Arial"/>
                <w:color w:val="FF0000"/>
                <w:sz w:val="21"/>
                <w:szCs w:val="21"/>
              </w:rPr>
            </w:pPr>
          </w:p>
        </w:tc>
        <w:tc>
          <w:tcPr>
            <w:tcW w:w="217" w:type="dxa"/>
          </w:tcPr>
          <w:p w14:paraId="028B950A" w14:textId="77777777" w:rsidR="002C0FD9" w:rsidRPr="00CA25CF" w:rsidRDefault="002C0FD9" w:rsidP="00CA25CF">
            <w:pPr>
              <w:rPr>
                <w:rFonts w:cs="Arial"/>
                <w:color w:val="FF0000"/>
                <w:sz w:val="21"/>
                <w:szCs w:val="21"/>
              </w:rPr>
            </w:pPr>
          </w:p>
        </w:tc>
        <w:tc>
          <w:tcPr>
            <w:tcW w:w="217" w:type="dxa"/>
          </w:tcPr>
          <w:p w14:paraId="3FE141E7" w14:textId="77777777" w:rsidR="002C0FD9" w:rsidRPr="00CA25CF" w:rsidRDefault="002C0FD9" w:rsidP="00CA25CF">
            <w:pPr>
              <w:rPr>
                <w:rFonts w:cs="Arial"/>
                <w:color w:val="FF0000"/>
                <w:sz w:val="21"/>
                <w:szCs w:val="21"/>
              </w:rPr>
            </w:pPr>
          </w:p>
        </w:tc>
        <w:tc>
          <w:tcPr>
            <w:tcW w:w="217" w:type="dxa"/>
          </w:tcPr>
          <w:p w14:paraId="3FAA0746" w14:textId="77777777" w:rsidR="002C0FD9" w:rsidRPr="00CA25CF" w:rsidRDefault="002C0FD9" w:rsidP="00CA25CF">
            <w:pPr>
              <w:rPr>
                <w:rFonts w:cs="Arial"/>
                <w:color w:val="FF0000"/>
                <w:sz w:val="21"/>
                <w:szCs w:val="21"/>
              </w:rPr>
            </w:pPr>
          </w:p>
        </w:tc>
        <w:tc>
          <w:tcPr>
            <w:tcW w:w="217" w:type="dxa"/>
          </w:tcPr>
          <w:p w14:paraId="78E5D66D" w14:textId="77777777" w:rsidR="002C0FD9" w:rsidRPr="00CA25CF" w:rsidRDefault="002C0FD9" w:rsidP="00CA25CF">
            <w:pPr>
              <w:rPr>
                <w:rFonts w:cs="Arial"/>
                <w:color w:val="FF0000"/>
                <w:sz w:val="21"/>
                <w:szCs w:val="21"/>
              </w:rPr>
            </w:pPr>
          </w:p>
        </w:tc>
        <w:tc>
          <w:tcPr>
            <w:tcW w:w="217" w:type="dxa"/>
          </w:tcPr>
          <w:p w14:paraId="2460172C" w14:textId="77777777" w:rsidR="002C0FD9" w:rsidRPr="00CA25CF" w:rsidRDefault="002C0FD9" w:rsidP="00CA25CF">
            <w:pPr>
              <w:rPr>
                <w:rFonts w:cs="Arial"/>
                <w:color w:val="FF0000"/>
                <w:sz w:val="21"/>
                <w:szCs w:val="21"/>
              </w:rPr>
            </w:pPr>
          </w:p>
        </w:tc>
      </w:tr>
      <w:tr w:rsidR="002C0FD9" w:rsidRPr="00A16219" w14:paraId="15469421" w14:textId="1DE6DFBB" w:rsidTr="002C0FD9">
        <w:trPr>
          <w:trHeight w:val="635"/>
        </w:trPr>
        <w:tc>
          <w:tcPr>
            <w:tcW w:w="515" w:type="dxa"/>
          </w:tcPr>
          <w:p w14:paraId="193C286A" w14:textId="77777777" w:rsidR="002C0FD9" w:rsidRPr="00CA25CF" w:rsidRDefault="002C0FD9" w:rsidP="00CA25CF">
            <w:pPr>
              <w:rPr>
                <w:rFonts w:cs="Arial"/>
                <w:color w:val="FF0000"/>
                <w:sz w:val="21"/>
                <w:szCs w:val="21"/>
              </w:rPr>
            </w:pPr>
          </w:p>
        </w:tc>
        <w:tc>
          <w:tcPr>
            <w:tcW w:w="217" w:type="dxa"/>
          </w:tcPr>
          <w:p w14:paraId="05F536C0" w14:textId="77777777" w:rsidR="002C0FD9" w:rsidRPr="00CA25CF" w:rsidRDefault="002C0FD9" w:rsidP="00CA25CF">
            <w:pPr>
              <w:rPr>
                <w:rFonts w:cs="Arial"/>
                <w:color w:val="FF0000"/>
                <w:sz w:val="21"/>
                <w:szCs w:val="21"/>
              </w:rPr>
            </w:pPr>
          </w:p>
        </w:tc>
        <w:tc>
          <w:tcPr>
            <w:tcW w:w="217" w:type="dxa"/>
          </w:tcPr>
          <w:p w14:paraId="33E71DE9" w14:textId="26DCF6CF" w:rsidR="002C0FD9" w:rsidRPr="00CA25CF" w:rsidRDefault="002C0FD9" w:rsidP="00CA25CF">
            <w:pPr>
              <w:rPr>
                <w:rFonts w:cs="Arial"/>
                <w:color w:val="FF0000"/>
                <w:sz w:val="21"/>
                <w:szCs w:val="21"/>
              </w:rPr>
            </w:pPr>
          </w:p>
        </w:tc>
        <w:tc>
          <w:tcPr>
            <w:tcW w:w="217" w:type="dxa"/>
          </w:tcPr>
          <w:p w14:paraId="44733E59" w14:textId="77777777" w:rsidR="002C0FD9" w:rsidRPr="00CA25CF" w:rsidRDefault="002C0FD9" w:rsidP="00CA25CF">
            <w:pPr>
              <w:rPr>
                <w:rFonts w:cs="Arial"/>
                <w:color w:val="FF0000"/>
                <w:sz w:val="21"/>
                <w:szCs w:val="21"/>
              </w:rPr>
            </w:pPr>
          </w:p>
        </w:tc>
        <w:tc>
          <w:tcPr>
            <w:tcW w:w="217" w:type="dxa"/>
          </w:tcPr>
          <w:p w14:paraId="142BB9D8" w14:textId="77777777" w:rsidR="002C0FD9" w:rsidRPr="00CA25CF" w:rsidRDefault="002C0FD9" w:rsidP="00CA25CF">
            <w:pPr>
              <w:rPr>
                <w:rFonts w:cs="Arial"/>
                <w:color w:val="FF0000"/>
                <w:sz w:val="21"/>
                <w:szCs w:val="21"/>
              </w:rPr>
            </w:pPr>
          </w:p>
        </w:tc>
        <w:tc>
          <w:tcPr>
            <w:tcW w:w="217" w:type="dxa"/>
          </w:tcPr>
          <w:p w14:paraId="6C856151" w14:textId="77777777" w:rsidR="002C0FD9" w:rsidRPr="00CA25CF" w:rsidRDefault="002C0FD9" w:rsidP="00CA25CF">
            <w:pPr>
              <w:rPr>
                <w:rFonts w:cs="Arial"/>
                <w:color w:val="FF0000"/>
                <w:sz w:val="21"/>
                <w:szCs w:val="21"/>
              </w:rPr>
            </w:pPr>
          </w:p>
        </w:tc>
        <w:tc>
          <w:tcPr>
            <w:tcW w:w="217" w:type="dxa"/>
          </w:tcPr>
          <w:p w14:paraId="53F35610" w14:textId="77777777" w:rsidR="002C0FD9" w:rsidRPr="00CA25CF" w:rsidRDefault="002C0FD9" w:rsidP="00CA25CF">
            <w:pPr>
              <w:rPr>
                <w:rFonts w:cs="Arial"/>
                <w:color w:val="FF0000"/>
                <w:sz w:val="21"/>
                <w:szCs w:val="21"/>
              </w:rPr>
            </w:pPr>
          </w:p>
        </w:tc>
        <w:tc>
          <w:tcPr>
            <w:tcW w:w="217" w:type="dxa"/>
          </w:tcPr>
          <w:p w14:paraId="39398465" w14:textId="77777777" w:rsidR="002C0FD9" w:rsidRPr="00CA25CF" w:rsidRDefault="002C0FD9" w:rsidP="00CA25CF">
            <w:pPr>
              <w:rPr>
                <w:rFonts w:cs="Arial"/>
                <w:color w:val="FF0000"/>
                <w:sz w:val="21"/>
                <w:szCs w:val="21"/>
              </w:rPr>
            </w:pPr>
          </w:p>
        </w:tc>
        <w:tc>
          <w:tcPr>
            <w:tcW w:w="217" w:type="dxa"/>
          </w:tcPr>
          <w:p w14:paraId="6E98F5B3" w14:textId="77777777" w:rsidR="002C0FD9" w:rsidRPr="00CA25CF" w:rsidRDefault="002C0FD9" w:rsidP="00CA25CF">
            <w:pPr>
              <w:rPr>
                <w:rFonts w:cs="Arial"/>
                <w:color w:val="FF0000"/>
                <w:sz w:val="21"/>
                <w:szCs w:val="21"/>
              </w:rPr>
            </w:pPr>
          </w:p>
        </w:tc>
        <w:tc>
          <w:tcPr>
            <w:tcW w:w="217" w:type="dxa"/>
          </w:tcPr>
          <w:p w14:paraId="7D16BA27" w14:textId="77777777" w:rsidR="002C0FD9" w:rsidRPr="00CA25CF" w:rsidRDefault="002C0FD9" w:rsidP="00CA25CF">
            <w:pPr>
              <w:rPr>
                <w:rFonts w:cs="Arial"/>
                <w:color w:val="FF0000"/>
                <w:sz w:val="21"/>
                <w:szCs w:val="21"/>
              </w:rPr>
            </w:pPr>
          </w:p>
        </w:tc>
        <w:tc>
          <w:tcPr>
            <w:tcW w:w="217" w:type="dxa"/>
          </w:tcPr>
          <w:p w14:paraId="6BF05A2F" w14:textId="77777777" w:rsidR="002C0FD9" w:rsidRPr="00CA25CF" w:rsidRDefault="002C0FD9" w:rsidP="00CA25CF">
            <w:pPr>
              <w:rPr>
                <w:rFonts w:cs="Arial"/>
                <w:color w:val="FF0000"/>
                <w:sz w:val="21"/>
                <w:szCs w:val="21"/>
              </w:rPr>
            </w:pPr>
          </w:p>
        </w:tc>
        <w:tc>
          <w:tcPr>
            <w:tcW w:w="217" w:type="dxa"/>
          </w:tcPr>
          <w:p w14:paraId="7EC0AC30" w14:textId="77777777" w:rsidR="002C0FD9" w:rsidRPr="00CA25CF" w:rsidRDefault="002C0FD9" w:rsidP="00CA25CF">
            <w:pPr>
              <w:rPr>
                <w:rFonts w:cs="Arial"/>
                <w:color w:val="FF0000"/>
                <w:sz w:val="21"/>
                <w:szCs w:val="21"/>
              </w:rPr>
            </w:pPr>
          </w:p>
        </w:tc>
        <w:tc>
          <w:tcPr>
            <w:tcW w:w="217" w:type="dxa"/>
          </w:tcPr>
          <w:p w14:paraId="409ABC07" w14:textId="77777777" w:rsidR="002C0FD9" w:rsidRPr="00CA25CF" w:rsidRDefault="002C0FD9" w:rsidP="00CA25CF">
            <w:pPr>
              <w:rPr>
                <w:rFonts w:cs="Arial"/>
                <w:color w:val="FF0000"/>
                <w:sz w:val="21"/>
                <w:szCs w:val="21"/>
              </w:rPr>
            </w:pPr>
          </w:p>
        </w:tc>
        <w:tc>
          <w:tcPr>
            <w:tcW w:w="217" w:type="dxa"/>
          </w:tcPr>
          <w:p w14:paraId="0B2C257F" w14:textId="77777777" w:rsidR="002C0FD9" w:rsidRPr="00CA25CF" w:rsidRDefault="002C0FD9" w:rsidP="00CA25CF">
            <w:pPr>
              <w:rPr>
                <w:rFonts w:cs="Arial"/>
                <w:color w:val="FF0000"/>
                <w:sz w:val="21"/>
                <w:szCs w:val="21"/>
              </w:rPr>
            </w:pPr>
          </w:p>
        </w:tc>
        <w:tc>
          <w:tcPr>
            <w:tcW w:w="217" w:type="dxa"/>
          </w:tcPr>
          <w:p w14:paraId="37A74185" w14:textId="77777777" w:rsidR="002C0FD9" w:rsidRPr="00CA25CF" w:rsidRDefault="002C0FD9" w:rsidP="00CA25CF">
            <w:pPr>
              <w:rPr>
                <w:rFonts w:cs="Arial"/>
                <w:color w:val="FF0000"/>
                <w:sz w:val="21"/>
                <w:szCs w:val="21"/>
              </w:rPr>
            </w:pPr>
          </w:p>
        </w:tc>
        <w:tc>
          <w:tcPr>
            <w:tcW w:w="217" w:type="dxa"/>
          </w:tcPr>
          <w:p w14:paraId="268950A1" w14:textId="77777777" w:rsidR="002C0FD9" w:rsidRPr="00CA25CF" w:rsidRDefault="002C0FD9" w:rsidP="00CA25CF">
            <w:pPr>
              <w:rPr>
                <w:rFonts w:cs="Arial"/>
                <w:color w:val="FF0000"/>
                <w:sz w:val="21"/>
                <w:szCs w:val="21"/>
              </w:rPr>
            </w:pPr>
          </w:p>
        </w:tc>
        <w:tc>
          <w:tcPr>
            <w:tcW w:w="217" w:type="dxa"/>
          </w:tcPr>
          <w:p w14:paraId="7CE6E4A3" w14:textId="77777777" w:rsidR="002C0FD9" w:rsidRPr="00CA25CF" w:rsidRDefault="002C0FD9" w:rsidP="00CA25CF">
            <w:pPr>
              <w:rPr>
                <w:rFonts w:cs="Arial"/>
                <w:color w:val="FF0000"/>
                <w:sz w:val="21"/>
                <w:szCs w:val="21"/>
              </w:rPr>
            </w:pPr>
          </w:p>
        </w:tc>
        <w:tc>
          <w:tcPr>
            <w:tcW w:w="217" w:type="dxa"/>
          </w:tcPr>
          <w:p w14:paraId="40DE2B3D" w14:textId="77777777" w:rsidR="002C0FD9" w:rsidRPr="00CA25CF" w:rsidRDefault="002C0FD9" w:rsidP="00CA25CF">
            <w:pPr>
              <w:rPr>
                <w:rFonts w:cs="Arial"/>
                <w:color w:val="FF0000"/>
                <w:sz w:val="21"/>
                <w:szCs w:val="21"/>
              </w:rPr>
            </w:pPr>
          </w:p>
        </w:tc>
        <w:tc>
          <w:tcPr>
            <w:tcW w:w="217" w:type="dxa"/>
          </w:tcPr>
          <w:p w14:paraId="262D9DE6" w14:textId="77777777" w:rsidR="002C0FD9" w:rsidRPr="00CA25CF" w:rsidRDefault="002C0FD9" w:rsidP="00CA25CF">
            <w:pPr>
              <w:rPr>
                <w:rFonts w:cs="Arial"/>
                <w:color w:val="FF0000"/>
                <w:sz w:val="21"/>
                <w:szCs w:val="21"/>
              </w:rPr>
            </w:pPr>
          </w:p>
        </w:tc>
        <w:tc>
          <w:tcPr>
            <w:tcW w:w="217" w:type="dxa"/>
          </w:tcPr>
          <w:p w14:paraId="3F0F591F" w14:textId="77777777" w:rsidR="002C0FD9" w:rsidRPr="00CA25CF" w:rsidRDefault="002C0FD9" w:rsidP="00CA25CF">
            <w:pPr>
              <w:rPr>
                <w:rFonts w:cs="Arial"/>
                <w:color w:val="FF0000"/>
                <w:sz w:val="21"/>
                <w:szCs w:val="21"/>
              </w:rPr>
            </w:pPr>
          </w:p>
        </w:tc>
        <w:tc>
          <w:tcPr>
            <w:tcW w:w="217" w:type="dxa"/>
          </w:tcPr>
          <w:p w14:paraId="4ADAC890" w14:textId="77777777" w:rsidR="002C0FD9" w:rsidRPr="00CA25CF" w:rsidRDefault="002C0FD9" w:rsidP="00CA25CF">
            <w:pPr>
              <w:rPr>
                <w:rFonts w:cs="Arial"/>
                <w:color w:val="FF0000"/>
                <w:sz w:val="21"/>
                <w:szCs w:val="21"/>
              </w:rPr>
            </w:pPr>
          </w:p>
        </w:tc>
        <w:tc>
          <w:tcPr>
            <w:tcW w:w="217" w:type="dxa"/>
          </w:tcPr>
          <w:p w14:paraId="464D0F09" w14:textId="77777777" w:rsidR="002C0FD9" w:rsidRPr="00CA25CF" w:rsidRDefault="002C0FD9" w:rsidP="00CA25CF">
            <w:pPr>
              <w:rPr>
                <w:rFonts w:cs="Arial"/>
                <w:color w:val="FF0000"/>
                <w:sz w:val="21"/>
                <w:szCs w:val="21"/>
              </w:rPr>
            </w:pPr>
          </w:p>
        </w:tc>
        <w:tc>
          <w:tcPr>
            <w:tcW w:w="217" w:type="dxa"/>
          </w:tcPr>
          <w:p w14:paraId="3D21CFBE" w14:textId="77777777" w:rsidR="002C0FD9" w:rsidRPr="00CA25CF" w:rsidRDefault="002C0FD9" w:rsidP="00CA25CF">
            <w:pPr>
              <w:rPr>
                <w:rFonts w:cs="Arial"/>
                <w:color w:val="FF0000"/>
                <w:sz w:val="21"/>
                <w:szCs w:val="21"/>
              </w:rPr>
            </w:pPr>
          </w:p>
        </w:tc>
        <w:tc>
          <w:tcPr>
            <w:tcW w:w="217" w:type="dxa"/>
          </w:tcPr>
          <w:p w14:paraId="552B7873" w14:textId="77777777" w:rsidR="002C0FD9" w:rsidRPr="00CA25CF" w:rsidRDefault="002C0FD9" w:rsidP="00CA25CF">
            <w:pPr>
              <w:rPr>
                <w:rFonts w:cs="Arial"/>
                <w:color w:val="FF0000"/>
                <w:sz w:val="21"/>
                <w:szCs w:val="21"/>
              </w:rPr>
            </w:pPr>
          </w:p>
        </w:tc>
        <w:tc>
          <w:tcPr>
            <w:tcW w:w="217" w:type="dxa"/>
          </w:tcPr>
          <w:p w14:paraId="7FB8B81A" w14:textId="77777777" w:rsidR="002C0FD9" w:rsidRPr="00CA25CF" w:rsidRDefault="002C0FD9" w:rsidP="00CA25CF">
            <w:pPr>
              <w:rPr>
                <w:rFonts w:cs="Arial"/>
                <w:color w:val="FF0000"/>
                <w:sz w:val="21"/>
                <w:szCs w:val="21"/>
              </w:rPr>
            </w:pPr>
          </w:p>
        </w:tc>
        <w:tc>
          <w:tcPr>
            <w:tcW w:w="217" w:type="dxa"/>
          </w:tcPr>
          <w:p w14:paraId="6C7BC5F6" w14:textId="77777777" w:rsidR="002C0FD9" w:rsidRPr="00CA25CF" w:rsidRDefault="002C0FD9" w:rsidP="00CA25CF">
            <w:pPr>
              <w:rPr>
                <w:rFonts w:cs="Arial"/>
                <w:color w:val="FF0000"/>
                <w:sz w:val="21"/>
                <w:szCs w:val="21"/>
              </w:rPr>
            </w:pPr>
          </w:p>
        </w:tc>
        <w:tc>
          <w:tcPr>
            <w:tcW w:w="217" w:type="dxa"/>
          </w:tcPr>
          <w:p w14:paraId="63666C9F" w14:textId="77777777" w:rsidR="002C0FD9" w:rsidRPr="00CA25CF" w:rsidRDefault="002C0FD9" w:rsidP="00CA25CF">
            <w:pPr>
              <w:rPr>
                <w:rFonts w:cs="Arial"/>
                <w:color w:val="FF0000"/>
                <w:sz w:val="21"/>
                <w:szCs w:val="21"/>
              </w:rPr>
            </w:pPr>
          </w:p>
        </w:tc>
        <w:tc>
          <w:tcPr>
            <w:tcW w:w="217" w:type="dxa"/>
          </w:tcPr>
          <w:p w14:paraId="6B61EC25" w14:textId="77777777" w:rsidR="002C0FD9" w:rsidRPr="00CA25CF" w:rsidRDefault="002C0FD9" w:rsidP="00CA25CF">
            <w:pPr>
              <w:rPr>
                <w:rFonts w:cs="Arial"/>
                <w:color w:val="FF0000"/>
                <w:sz w:val="21"/>
                <w:szCs w:val="21"/>
              </w:rPr>
            </w:pPr>
          </w:p>
        </w:tc>
        <w:tc>
          <w:tcPr>
            <w:tcW w:w="217" w:type="dxa"/>
          </w:tcPr>
          <w:p w14:paraId="26AD4639" w14:textId="77777777" w:rsidR="002C0FD9" w:rsidRPr="00CA25CF" w:rsidRDefault="002C0FD9" w:rsidP="00CA25CF">
            <w:pPr>
              <w:rPr>
                <w:rFonts w:cs="Arial"/>
                <w:color w:val="FF0000"/>
                <w:sz w:val="21"/>
                <w:szCs w:val="21"/>
              </w:rPr>
            </w:pPr>
          </w:p>
        </w:tc>
        <w:tc>
          <w:tcPr>
            <w:tcW w:w="217" w:type="dxa"/>
          </w:tcPr>
          <w:p w14:paraId="606BB912" w14:textId="77777777" w:rsidR="002C0FD9" w:rsidRPr="00CA25CF" w:rsidRDefault="002C0FD9" w:rsidP="00CA25CF">
            <w:pPr>
              <w:rPr>
                <w:rFonts w:cs="Arial"/>
                <w:color w:val="FF0000"/>
                <w:sz w:val="21"/>
                <w:szCs w:val="21"/>
              </w:rPr>
            </w:pPr>
          </w:p>
        </w:tc>
        <w:tc>
          <w:tcPr>
            <w:tcW w:w="217" w:type="dxa"/>
          </w:tcPr>
          <w:p w14:paraId="1FA7C281" w14:textId="77777777" w:rsidR="002C0FD9" w:rsidRPr="00CA25CF" w:rsidRDefault="002C0FD9" w:rsidP="00CA25CF">
            <w:pPr>
              <w:rPr>
                <w:rFonts w:cs="Arial"/>
                <w:color w:val="FF0000"/>
                <w:sz w:val="21"/>
                <w:szCs w:val="21"/>
              </w:rPr>
            </w:pPr>
          </w:p>
        </w:tc>
        <w:tc>
          <w:tcPr>
            <w:tcW w:w="217" w:type="dxa"/>
          </w:tcPr>
          <w:p w14:paraId="01DD95F9" w14:textId="77777777" w:rsidR="002C0FD9" w:rsidRPr="00CA25CF" w:rsidRDefault="002C0FD9" w:rsidP="00CA25CF">
            <w:pPr>
              <w:rPr>
                <w:rFonts w:cs="Arial"/>
                <w:color w:val="FF0000"/>
                <w:sz w:val="21"/>
                <w:szCs w:val="21"/>
              </w:rPr>
            </w:pPr>
          </w:p>
        </w:tc>
        <w:tc>
          <w:tcPr>
            <w:tcW w:w="217" w:type="dxa"/>
          </w:tcPr>
          <w:p w14:paraId="2CCF3365" w14:textId="77777777" w:rsidR="002C0FD9" w:rsidRPr="00CA25CF" w:rsidRDefault="002C0FD9" w:rsidP="00CA25CF">
            <w:pPr>
              <w:rPr>
                <w:rFonts w:cs="Arial"/>
                <w:color w:val="FF0000"/>
                <w:sz w:val="21"/>
                <w:szCs w:val="21"/>
              </w:rPr>
            </w:pPr>
          </w:p>
        </w:tc>
        <w:tc>
          <w:tcPr>
            <w:tcW w:w="217" w:type="dxa"/>
          </w:tcPr>
          <w:p w14:paraId="23F37D8A" w14:textId="77777777" w:rsidR="002C0FD9" w:rsidRPr="00CA25CF" w:rsidRDefault="002C0FD9" w:rsidP="00CA25CF">
            <w:pPr>
              <w:rPr>
                <w:rFonts w:cs="Arial"/>
                <w:color w:val="FF0000"/>
                <w:sz w:val="21"/>
                <w:szCs w:val="21"/>
              </w:rPr>
            </w:pPr>
          </w:p>
        </w:tc>
        <w:tc>
          <w:tcPr>
            <w:tcW w:w="217" w:type="dxa"/>
          </w:tcPr>
          <w:p w14:paraId="4F23EB6D" w14:textId="77777777" w:rsidR="002C0FD9" w:rsidRPr="00CA25CF" w:rsidRDefault="002C0FD9" w:rsidP="00CA25CF">
            <w:pPr>
              <w:rPr>
                <w:rFonts w:cs="Arial"/>
                <w:color w:val="FF0000"/>
                <w:sz w:val="21"/>
                <w:szCs w:val="21"/>
              </w:rPr>
            </w:pPr>
          </w:p>
        </w:tc>
        <w:tc>
          <w:tcPr>
            <w:tcW w:w="217" w:type="dxa"/>
          </w:tcPr>
          <w:p w14:paraId="300B9BB3" w14:textId="77777777" w:rsidR="002C0FD9" w:rsidRPr="00CA25CF" w:rsidRDefault="002C0FD9" w:rsidP="00CA25CF">
            <w:pPr>
              <w:rPr>
                <w:rFonts w:cs="Arial"/>
                <w:color w:val="FF0000"/>
                <w:sz w:val="21"/>
                <w:szCs w:val="21"/>
              </w:rPr>
            </w:pPr>
          </w:p>
        </w:tc>
        <w:tc>
          <w:tcPr>
            <w:tcW w:w="217" w:type="dxa"/>
          </w:tcPr>
          <w:p w14:paraId="4860F978" w14:textId="77777777" w:rsidR="002C0FD9" w:rsidRPr="00CA25CF" w:rsidRDefault="002C0FD9" w:rsidP="00CA25CF">
            <w:pPr>
              <w:rPr>
                <w:rFonts w:cs="Arial"/>
                <w:color w:val="FF0000"/>
                <w:sz w:val="21"/>
                <w:szCs w:val="21"/>
              </w:rPr>
            </w:pPr>
          </w:p>
        </w:tc>
        <w:tc>
          <w:tcPr>
            <w:tcW w:w="217" w:type="dxa"/>
          </w:tcPr>
          <w:p w14:paraId="4B4F4975" w14:textId="77777777" w:rsidR="002C0FD9" w:rsidRPr="00CA25CF" w:rsidRDefault="002C0FD9" w:rsidP="00CA25CF">
            <w:pPr>
              <w:rPr>
                <w:rFonts w:cs="Arial"/>
                <w:color w:val="FF0000"/>
                <w:sz w:val="21"/>
                <w:szCs w:val="21"/>
              </w:rPr>
            </w:pPr>
          </w:p>
        </w:tc>
        <w:tc>
          <w:tcPr>
            <w:tcW w:w="217" w:type="dxa"/>
          </w:tcPr>
          <w:p w14:paraId="3BC1F7AE" w14:textId="77777777" w:rsidR="002C0FD9" w:rsidRPr="00CA25CF" w:rsidRDefault="002C0FD9" w:rsidP="00CA25CF">
            <w:pPr>
              <w:rPr>
                <w:rFonts w:cs="Arial"/>
                <w:color w:val="FF0000"/>
                <w:sz w:val="21"/>
                <w:szCs w:val="21"/>
              </w:rPr>
            </w:pPr>
          </w:p>
        </w:tc>
        <w:tc>
          <w:tcPr>
            <w:tcW w:w="217" w:type="dxa"/>
          </w:tcPr>
          <w:p w14:paraId="1B479073" w14:textId="77777777" w:rsidR="002C0FD9" w:rsidRPr="00CA25CF" w:rsidRDefault="002C0FD9" w:rsidP="00CA25CF">
            <w:pPr>
              <w:rPr>
                <w:rFonts w:cs="Arial"/>
                <w:color w:val="FF0000"/>
                <w:sz w:val="21"/>
                <w:szCs w:val="21"/>
              </w:rPr>
            </w:pPr>
          </w:p>
        </w:tc>
        <w:tc>
          <w:tcPr>
            <w:tcW w:w="217" w:type="dxa"/>
          </w:tcPr>
          <w:p w14:paraId="237D5522" w14:textId="77777777" w:rsidR="002C0FD9" w:rsidRPr="00CA25CF" w:rsidRDefault="002C0FD9" w:rsidP="00CA25CF">
            <w:pPr>
              <w:rPr>
                <w:rFonts w:cs="Arial"/>
                <w:color w:val="FF0000"/>
                <w:sz w:val="21"/>
                <w:szCs w:val="21"/>
              </w:rPr>
            </w:pPr>
          </w:p>
        </w:tc>
        <w:tc>
          <w:tcPr>
            <w:tcW w:w="217" w:type="dxa"/>
          </w:tcPr>
          <w:p w14:paraId="1A37CC86" w14:textId="77777777" w:rsidR="002C0FD9" w:rsidRPr="00CA25CF" w:rsidRDefault="002C0FD9" w:rsidP="00CA25CF">
            <w:pPr>
              <w:rPr>
                <w:rFonts w:cs="Arial"/>
                <w:color w:val="FF0000"/>
                <w:sz w:val="21"/>
                <w:szCs w:val="21"/>
              </w:rPr>
            </w:pPr>
          </w:p>
        </w:tc>
        <w:tc>
          <w:tcPr>
            <w:tcW w:w="217" w:type="dxa"/>
          </w:tcPr>
          <w:p w14:paraId="69ADFBFB" w14:textId="77777777" w:rsidR="002C0FD9" w:rsidRPr="00CA25CF" w:rsidRDefault="002C0FD9" w:rsidP="00CA25CF">
            <w:pPr>
              <w:rPr>
                <w:rFonts w:cs="Arial"/>
                <w:color w:val="FF0000"/>
                <w:sz w:val="21"/>
                <w:szCs w:val="21"/>
              </w:rPr>
            </w:pPr>
          </w:p>
        </w:tc>
      </w:tr>
      <w:tr w:rsidR="002C0FD9" w:rsidRPr="00A16219" w14:paraId="4E6ACE46" w14:textId="469590DC" w:rsidTr="002C0FD9">
        <w:trPr>
          <w:trHeight w:val="635"/>
        </w:trPr>
        <w:tc>
          <w:tcPr>
            <w:tcW w:w="515" w:type="dxa"/>
          </w:tcPr>
          <w:p w14:paraId="4FAD70E2" w14:textId="77777777" w:rsidR="002C0FD9" w:rsidRPr="00CA25CF" w:rsidRDefault="002C0FD9" w:rsidP="00CA25CF">
            <w:pPr>
              <w:rPr>
                <w:rFonts w:cs="Arial"/>
                <w:color w:val="FF0000"/>
                <w:sz w:val="21"/>
                <w:szCs w:val="21"/>
              </w:rPr>
            </w:pPr>
          </w:p>
        </w:tc>
        <w:tc>
          <w:tcPr>
            <w:tcW w:w="217" w:type="dxa"/>
          </w:tcPr>
          <w:p w14:paraId="12937EDF" w14:textId="77777777" w:rsidR="002C0FD9" w:rsidRPr="00CA25CF" w:rsidRDefault="002C0FD9" w:rsidP="00CA25CF">
            <w:pPr>
              <w:rPr>
                <w:rFonts w:cs="Arial"/>
                <w:color w:val="FF0000"/>
                <w:sz w:val="21"/>
                <w:szCs w:val="21"/>
              </w:rPr>
            </w:pPr>
          </w:p>
        </w:tc>
        <w:tc>
          <w:tcPr>
            <w:tcW w:w="217" w:type="dxa"/>
          </w:tcPr>
          <w:p w14:paraId="4BD05F19" w14:textId="3DDAEBC3" w:rsidR="002C0FD9" w:rsidRPr="00CA25CF" w:rsidRDefault="002C0FD9" w:rsidP="00CA25CF">
            <w:pPr>
              <w:rPr>
                <w:rFonts w:cs="Arial"/>
                <w:color w:val="FF0000"/>
                <w:sz w:val="21"/>
                <w:szCs w:val="21"/>
              </w:rPr>
            </w:pPr>
          </w:p>
        </w:tc>
        <w:tc>
          <w:tcPr>
            <w:tcW w:w="217" w:type="dxa"/>
          </w:tcPr>
          <w:p w14:paraId="13DD297C" w14:textId="77777777" w:rsidR="002C0FD9" w:rsidRPr="00CA25CF" w:rsidRDefault="002C0FD9" w:rsidP="00CA25CF">
            <w:pPr>
              <w:rPr>
                <w:rFonts w:cs="Arial"/>
                <w:color w:val="FF0000"/>
                <w:sz w:val="21"/>
                <w:szCs w:val="21"/>
              </w:rPr>
            </w:pPr>
          </w:p>
        </w:tc>
        <w:tc>
          <w:tcPr>
            <w:tcW w:w="217" w:type="dxa"/>
          </w:tcPr>
          <w:p w14:paraId="268D4700" w14:textId="77777777" w:rsidR="002C0FD9" w:rsidRPr="00CA25CF" w:rsidRDefault="002C0FD9" w:rsidP="00CA25CF">
            <w:pPr>
              <w:rPr>
                <w:rFonts w:cs="Arial"/>
                <w:color w:val="FF0000"/>
                <w:sz w:val="21"/>
                <w:szCs w:val="21"/>
              </w:rPr>
            </w:pPr>
          </w:p>
        </w:tc>
        <w:tc>
          <w:tcPr>
            <w:tcW w:w="217" w:type="dxa"/>
          </w:tcPr>
          <w:p w14:paraId="14E99362" w14:textId="77777777" w:rsidR="002C0FD9" w:rsidRPr="00CA25CF" w:rsidRDefault="002C0FD9" w:rsidP="00CA25CF">
            <w:pPr>
              <w:rPr>
                <w:rFonts w:cs="Arial"/>
                <w:color w:val="FF0000"/>
                <w:sz w:val="21"/>
                <w:szCs w:val="21"/>
              </w:rPr>
            </w:pPr>
          </w:p>
        </w:tc>
        <w:tc>
          <w:tcPr>
            <w:tcW w:w="217" w:type="dxa"/>
          </w:tcPr>
          <w:p w14:paraId="5FC7DBE9" w14:textId="77777777" w:rsidR="002C0FD9" w:rsidRPr="00CA25CF" w:rsidRDefault="002C0FD9" w:rsidP="00CA25CF">
            <w:pPr>
              <w:rPr>
                <w:rFonts w:cs="Arial"/>
                <w:color w:val="FF0000"/>
                <w:sz w:val="21"/>
                <w:szCs w:val="21"/>
              </w:rPr>
            </w:pPr>
          </w:p>
        </w:tc>
        <w:tc>
          <w:tcPr>
            <w:tcW w:w="217" w:type="dxa"/>
          </w:tcPr>
          <w:p w14:paraId="114C5429" w14:textId="77777777" w:rsidR="002C0FD9" w:rsidRPr="00CA25CF" w:rsidRDefault="002C0FD9" w:rsidP="00CA25CF">
            <w:pPr>
              <w:rPr>
                <w:rFonts w:cs="Arial"/>
                <w:color w:val="FF0000"/>
                <w:sz w:val="21"/>
                <w:szCs w:val="21"/>
              </w:rPr>
            </w:pPr>
          </w:p>
        </w:tc>
        <w:tc>
          <w:tcPr>
            <w:tcW w:w="217" w:type="dxa"/>
          </w:tcPr>
          <w:p w14:paraId="38456C8E" w14:textId="77777777" w:rsidR="002C0FD9" w:rsidRPr="00CA25CF" w:rsidRDefault="002C0FD9" w:rsidP="00CA25CF">
            <w:pPr>
              <w:rPr>
                <w:rFonts w:cs="Arial"/>
                <w:color w:val="FF0000"/>
                <w:sz w:val="21"/>
                <w:szCs w:val="21"/>
              </w:rPr>
            </w:pPr>
          </w:p>
        </w:tc>
        <w:tc>
          <w:tcPr>
            <w:tcW w:w="217" w:type="dxa"/>
          </w:tcPr>
          <w:p w14:paraId="5A625E3F" w14:textId="77777777" w:rsidR="002C0FD9" w:rsidRPr="00CA25CF" w:rsidRDefault="002C0FD9" w:rsidP="00CA25CF">
            <w:pPr>
              <w:rPr>
                <w:rFonts w:cs="Arial"/>
                <w:color w:val="FF0000"/>
                <w:sz w:val="21"/>
                <w:szCs w:val="21"/>
              </w:rPr>
            </w:pPr>
          </w:p>
        </w:tc>
        <w:tc>
          <w:tcPr>
            <w:tcW w:w="217" w:type="dxa"/>
          </w:tcPr>
          <w:p w14:paraId="0AC68EDA" w14:textId="77777777" w:rsidR="002C0FD9" w:rsidRPr="00CA25CF" w:rsidRDefault="002C0FD9" w:rsidP="00CA25CF">
            <w:pPr>
              <w:rPr>
                <w:rFonts w:cs="Arial"/>
                <w:color w:val="FF0000"/>
                <w:sz w:val="21"/>
                <w:szCs w:val="21"/>
              </w:rPr>
            </w:pPr>
          </w:p>
        </w:tc>
        <w:tc>
          <w:tcPr>
            <w:tcW w:w="217" w:type="dxa"/>
          </w:tcPr>
          <w:p w14:paraId="7E62ED40" w14:textId="77777777" w:rsidR="002C0FD9" w:rsidRPr="00CA25CF" w:rsidRDefault="002C0FD9" w:rsidP="00CA25CF">
            <w:pPr>
              <w:rPr>
                <w:rFonts w:cs="Arial"/>
                <w:color w:val="FF0000"/>
                <w:sz w:val="21"/>
                <w:szCs w:val="21"/>
              </w:rPr>
            </w:pPr>
          </w:p>
        </w:tc>
        <w:tc>
          <w:tcPr>
            <w:tcW w:w="217" w:type="dxa"/>
          </w:tcPr>
          <w:p w14:paraId="3434A8F6" w14:textId="77777777" w:rsidR="002C0FD9" w:rsidRPr="00CA25CF" w:rsidRDefault="002C0FD9" w:rsidP="00CA25CF">
            <w:pPr>
              <w:rPr>
                <w:rFonts w:cs="Arial"/>
                <w:color w:val="FF0000"/>
                <w:sz w:val="21"/>
                <w:szCs w:val="21"/>
              </w:rPr>
            </w:pPr>
          </w:p>
        </w:tc>
        <w:tc>
          <w:tcPr>
            <w:tcW w:w="217" w:type="dxa"/>
          </w:tcPr>
          <w:p w14:paraId="6342B0D1" w14:textId="77777777" w:rsidR="002C0FD9" w:rsidRPr="00CA25CF" w:rsidRDefault="002C0FD9" w:rsidP="00CA25CF">
            <w:pPr>
              <w:rPr>
                <w:rFonts w:cs="Arial"/>
                <w:color w:val="FF0000"/>
                <w:sz w:val="21"/>
                <w:szCs w:val="21"/>
              </w:rPr>
            </w:pPr>
          </w:p>
        </w:tc>
        <w:tc>
          <w:tcPr>
            <w:tcW w:w="217" w:type="dxa"/>
          </w:tcPr>
          <w:p w14:paraId="10863EC2" w14:textId="77777777" w:rsidR="002C0FD9" w:rsidRPr="00CA25CF" w:rsidRDefault="002C0FD9" w:rsidP="00CA25CF">
            <w:pPr>
              <w:rPr>
                <w:rFonts w:cs="Arial"/>
                <w:color w:val="FF0000"/>
                <w:sz w:val="21"/>
                <w:szCs w:val="21"/>
              </w:rPr>
            </w:pPr>
          </w:p>
        </w:tc>
        <w:tc>
          <w:tcPr>
            <w:tcW w:w="217" w:type="dxa"/>
          </w:tcPr>
          <w:p w14:paraId="0922637C" w14:textId="77777777" w:rsidR="002C0FD9" w:rsidRPr="00CA25CF" w:rsidRDefault="002C0FD9" w:rsidP="00CA25CF">
            <w:pPr>
              <w:rPr>
                <w:rFonts w:cs="Arial"/>
                <w:color w:val="FF0000"/>
                <w:sz w:val="21"/>
                <w:szCs w:val="21"/>
              </w:rPr>
            </w:pPr>
          </w:p>
        </w:tc>
        <w:tc>
          <w:tcPr>
            <w:tcW w:w="217" w:type="dxa"/>
          </w:tcPr>
          <w:p w14:paraId="074F38B5" w14:textId="77777777" w:rsidR="002C0FD9" w:rsidRPr="00CA25CF" w:rsidRDefault="002C0FD9" w:rsidP="00CA25CF">
            <w:pPr>
              <w:rPr>
                <w:rFonts w:cs="Arial"/>
                <w:color w:val="FF0000"/>
                <w:sz w:val="21"/>
                <w:szCs w:val="21"/>
              </w:rPr>
            </w:pPr>
          </w:p>
        </w:tc>
        <w:tc>
          <w:tcPr>
            <w:tcW w:w="217" w:type="dxa"/>
          </w:tcPr>
          <w:p w14:paraId="053F3520" w14:textId="77777777" w:rsidR="002C0FD9" w:rsidRPr="00CA25CF" w:rsidRDefault="002C0FD9" w:rsidP="00CA25CF">
            <w:pPr>
              <w:rPr>
                <w:rFonts w:cs="Arial"/>
                <w:color w:val="FF0000"/>
                <w:sz w:val="21"/>
                <w:szCs w:val="21"/>
              </w:rPr>
            </w:pPr>
          </w:p>
        </w:tc>
        <w:tc>
          <w:tcPr>
            <w:tcW w:w="217" w:type="dxa"/>
          </w:tcPr>
          <w:p w14:paraId="64E5B708" w14:textId="77777777" w:rsidR="002C0FD9" w:rsidRPr="00CA25CF" w:rsidRDefault="002C0FD9" w:rsidP="00CA25CF">
            <w:pPr>
              <w:rPr>
                <w:rFonts w:cs="Arial"/>
                <w:color w:val="FF0000"/>
                <w:sz w:val="21"/>
                <w:szCs w:val="21"/>
              </w:rPr>
            </w:pPr>
          </w:p>
        </w:tc>
        <w:tc>
          <w:tcPr>
            <w:tcW w:w="217" w:type="dxa"/>
          </w:tcPr>
          <w:p w14:paraId="5BABA6C4" w14:textId="77777777" w:rsidR="002C0FD9" w:rsidRPr="00CA25CF" w:rsidRDefault="002C0FD9" w:rsidP="00CA25CF">
            <w:pPr>
              <w:rPr>
                <w:rFonts w:cs="Arial"/>
                <w:color w:val="FF0000"/>
                <w:sz w:val="21"/>
                <w:szCs w:val="21"/>
              </w:rPr>
            </w:pPr>
          </w:p>
        </w:tc>
        <w:tc>
          <w:tcPr>
            <w:tcW w:w="217" w:type="dxa"/>
          </w:tcPr>
          <w:p w14:paraId="63298684" w14:textId="77777777" w:rsidR="002C0FD9" w:rsidRPr="00CA25CF" w:rsidRDefault="002C0FD9" w:rsidP="00CA25CF">
            <w:pPr>
              <w:rPr>
                <w:rFonts w:cs="Arial"/>
                <w:color w:val="FF0000"/>
                <w:sz w:val="21"/>
                <w:szCs w:val="21"/>
              </w:rPr>
            </w:pPr>
          </w:p>
        </w:tc>
        <w:tc>
          <w:tcPr>
            <w:tcW w:w="217" w:type="dxa"/>
          </w:tcPr>
          <w:p w14:paraId="4B1A6393" w14:textId="77777777" w:rsidR="002C0FD9" w:rsidRPr="00CA25CF" w:rsidRDefault="002C0FD9" w:rsidP="00CA25CF">
            <w:pPr>
              <w:rPr>
                <w:rFonts w:cs="Arial"/>
                <w:color w:val="FF0000"/>
                <w:sz w:val="21"/>
                <w:szCs w:val="21"/>
              </w:rPr>
            </w:pPr>
          </w:p>
        </w:tc>
        <w:tc>
          <w:tcPr>
            <w:tcW w:w="217" w:type="dxa"/>
          </w:tcPr>
          <w:p w14:paraId="72E332B1" w14:textId="77777777" w:rsidR="002C0FD9" w:rsidRPr="00CA25CF" w:rsidRDefault="002C0FD9" w:rsidP="00CA25CF">
            <w:pPr>
              <w:rPr>
                <w:rFonts w:cs="Arial"/>
                <w:color w:val="FF0000"/>
                <w:sz w:val="21"/>
                <w:szCs w:val="21"/>
              </w:rPr>
            </w:pPr>
          </w:p>
        </w:tc>
        <w:tc>
          <w:tcPr>
            <w:tcW w:w="217" w:type="dxa"/>
          </w:tcPr>
          <w:p w14:paraId="111CAA4A" w14:textId="77777777" w:rsidR="002C0FD9" w:rsidRPr="00CA25CF" w:rsidRDefault="002C0FD9" w:rsidP="00CA25CF">
            <w:pPr>
              <w:rPr>
                <w:rFonts w:cs="Arial"/>
                <w:color w:val="FF0000"/>
                <w:sz w:val="21"/>
                <w:szCs w:val="21"/>
              </w:rPr>
            </w:pPr>
          </w:p>
        </w:tc>
        <w:tc>
          <w:tcPr>
            <w:tcW w:w="217" w:type="dxa"/>
          </w:tcPr>
          <w:p w14:paraId="13BD8146" w14:textId="77777777" w:rsidR="002C0FD9" w:rsidRPr="00CA25CF" w:rsidRDefault="002C0FD9" w:rsidP="00CA25CF">
            <w:pPr>
              <w:rPr>
                <w:rFonts w:cs="Arial"/>
                <w:color w:val="FF0000"/>
                <w:sz w:val="21"/>
                <w:szCs w:val="21"/>
              </w:rPr>
            </w:pPr>
          </w:p>
        </w:tc>
        <w:tc>
          <w:tcPr>
            <w:tcW w:w="217" w:type="dxa"/>
          </w:tcPr>
          <w:p w14:paraId="68150A3B" w14:textId="77777777" w:rsidR="002C0FD9" w:rsidRPr="00CA25CF" w:rsidRDefault="002C0FD9" w:rsidP="00CA25CF">
            <w:pPr>
              <w:rPr>
                <w:rFonts w:cs="Arial"/>
                <w:color w:val="FF0000"/>
                <w:sz w:val="21"/>
                <w:szCs w:val="21"/>
              </w:rPr>
            </w:pPr>
          </w:p>
        </w:tc>
        <w:tc>
          <w:tcPr>
            <w:tcW w:w="217" w:type="dxa"/>
          </w:tcPr>
          <w:p w14:paraId="0A36754B" w14:textId="77777777" w:rsidR="002C0FD9" w:rsidRPr="00CA25CF" w:rsidRDefault="002C0FD9" w:rsidP="00CA25CF">
            <w:pPr>
              <w:rPr>
                <w:rFonts w:cs="Arial"/>
                <w:color w:val="FF0000"/>
                <w:sz w:val="21"/>
                <w:szCs w:val="21"/>
              </w:rPr>
            </w:pPr>
          </w:p>
        </w:tc>
        <w:tc>
          <w:tcPr>
            <w:tcW w:w="217" w:type="dxa"/>
          </w:tcPr>
          <w:p w14:paraId="663E7B63" w14:textId="77777777" w:rsidR="002C0FD9" w:rsidRPr="00CA25CF" w:rsidRDefault="002C0FD9" w:rsidP="00CA25CF">
            <w:pPr>
              <w:rPr>
                <w:rFonts w:cs="Arial"/>
                <w:color w:val="FF0000"/>
                <w:sz w:val="21"/>
                <w:szCs w:val="21"/>
              </w:rPr>
            </w:pPr>
          </w:p>
        </w:tc>
        <w:tc>
          <w:tcPr>
            <w:tcW w:w="217" w:type="dxa"/>
          </w:tcPr>
          <w:p w14:paraId="06106733" w14:textId="77777777" w:rsidR="002C0FD9" w:rsidRPr="00CA25CF" w:rsidRDefault="002C0FD9" w:rsidP="00CA25CF">
            <w:pPr>
              <w:rPr>
                <w:rFonts w:cs="Arial"/>
                <w:color w:val="FF0000"/>
                <w:sz w:val="21"/>
                <w:szCs w:val="21"/>
              </w:rPr>
            </w:pPr>
          </w:p>
        </w:tc>
        <w:tc>
          <w:tcPr>
            <w:tcW w:w="217" w:type="dxa"/>
          </w:tcPr>
          <w:p w14:paraId="3E53C806" w14:textId="77777777" w:rsidR="002C0FD9" w:rsidRPr="00CA25CF" w:rsidRDefault="002C0FD9" w:rsidP="00CA25CF">
            <w:pPr>
              <w:rPr>
                <w:rFonts w:cs="Arial"/>
                <w:color w:val="FF0000"/>
                <w:sz w:val="21"/>
                <w:szCs w:val="21"/>
              </w:rPr>
            </w:pPr>
          </w:p>
        </w:tc>
        <w:tc>
          <w:tcPr>
            <w:tcW w:w="217" w:type="dxa"/>
          </w:tcPr>
          <w:p w14:paraId="2F2D665F" w14:textId="77777777" w:rsidR="002C0FD9" w:rsidRPr="00CA25CF" w:rsidRDefault="002C0FD9" w:rsidP="00CA25CF">
            <w:pPr>
              <w:rPr>
                <w:rFonts w:cs="Arial"/>
                <w:color w:val="FF0000"/>
                <w:sz w:val="21"/>
                <w:szCs w:val="21"/>
              </w:rPr>
            </w:pPr>
          </w:p>
        </w:tc>
        <w:tc>
          <w:tcPr>
            <w:tcW w:w="217" w:type="dxa"/>
          </w:tcPr>
          <w:p w14:paraId="7BBD1C55" w14:textId="77777777" w:rsidR="002C0FD9" w:rsidRPr="00CA25CF" w:rsidRDefault="002C0FD9" w:rsidP="00CA25CF">
            <w:pPr>
              <w:rPr>
                <w:rFonts w:cs="Arial"/>
                <w:color w:val="FF0000"/>
                <w:sz w:val="21"/>
                <w:szCs w:val="21"/>
              </w:rPr>
            </w:pPr>
          </w:p>
        </w:tc>
        <w:tc>
          <w:tcPr>
            <w:tcW w:w="217" w:type="dxa"/>
          </w:tcPr>
          <w:p w14:paraId="20F4D035" w14:textId="77777777" w:rsidR="002C0FD9" w:rsidRPr="00CA25CF" w:rsidRDefault="002C0FD9" w:rsidP="00CA25CF">
            <w:pPr>
              <w:rPr>
                <w:rFonts w:cs="Arial"/>
                <w:color w:val="FF0000"/>
                <w:sz w:val="21"/>
                <w:szCs w:val="21"/>
              </w:rPr>
            </w:pPr>
          </w:p>
        </w:tc>
        <w:tc>
          <w:tcPr>
            <w:tcW w:w="217" w:type="dxa"/>
          </w:tcPr>
          <w:p w14:paraId="6AE4474F" w14:textId="77777777" w:rsidR="002C0FD9" w:rsidRPr="00CA25CF" w:rsidRDefault="002C0FD9" w:rsidP="00CA25CF">
            <w:pPr>
              <w:rPr>
                <w:rFonts w:cs="Arial"/>
                <w:color w:val="FF0000"/>
                <w:sz w:val="21"/>
                <w:szCs w:val="21"/>
              </w:rPr>
            </w:pPr>
          </w:p>
        </w:tc>
        <w:tc>
          <w:tcPr>
            <w:tcW w:w="217" w:type="dxa"/>
          </w:tcPr>
          <w:p w14:paraId="52909B88" w14:textId="77777777" w:rsidR="002C0FD9" w:rsidRPr="00CA25CF" w:rsidRDefault="002C0FD9" w:rsidP="00CA25CF">
            <w:pPr>
              <w:rPr>
                <w:rFonts w:cs="Arial"/>
                <w:color w:val="FF0000"/>
                <w:sz w:val="21"/>
                <w:szCs w:val="21"/>
              </w:rPr>
            </w:pPr>
          </w:p>
        </w:tc>
        <w:tc>
          <w:tcPr>
            <w:tcW w:w="217" w:type="dxa"/>
          </w:tcPr>
          <w:p w14:paraId="10AB9796" w14:textId="77777777" w:rsidR="002C0FD9" w:rsidRPr="00CA25CF" w:rsidRDefault="002C0FD9" w:rsidP="00CA25CF">
            <w:pPr>
              <w:rPr>
                <w:rFonts w:cs="Arial"/>
                <w:color w:val="FF0000"/>
                <w:sz w:val="21"/>
                <w:szCs w:val="21"/>
              </w:rPr>
            </w:pPr>
          </w:p>
        </w:tc>
        <w:tc>
          <w:tcPr>
            <w:tcW w:w="217" w:type="dxa"/>
          </w:tcPr>
          <w:p w14:paraId="21E30D8A" w14:textId="77777777" w:rsidR="002C0FD9" w:rsidRPr="00CA25CF" w:rsidRDefault="002C0FD9" w:rsidP="00CA25CF">
            <w:pPr>
              <w:rPr>
                <w:rFonts w:cs="Arial"/>
                <w:color w:val="FF0000"/>
                <w:sz w:val="21"/>
                <w:szCs w:val="21"/>
              </w:rPr>
            </w:pPr>
          </w:p>
        </w:tc>
        <w:tc>
          <w:tcPr>
            <w:tcW w:w="217" w:type="dxa"/>
          </w:tcPr>
          <w:p w14:paraId="1E8B3BE1" w14:textId="77777777" w:rsidR="002C0FD9" w:rsidRPr="00CA25CF" w:rsidRDefault="002C0FD9" w:rsidP="00CA25CF">
            <w:pPr>
              <w:rPr>
                <w:rFonts w:cs="Arial"/>
                <w:color w:val="FF0000"/>
                <w:sz w:val="21"/>
                <w:szCs w:val="21"/>
              </w:rPr>
            </w:pPr>
          </w:p>
        </w:tc>
        <w:tc>
          <w:tcPr>
            <w:tcW w:w="217" w:type="dxa"/>
          </w:tcPr>
          <w:p w14:paraId="5E84EAEC" w14:textId="77777777" w:rsidR="002C0FD9" w:rsidRPr="00CA25CF" w:rsidRDefault="002C0FD9" w:rsidP="00CA25CF">
            <w:pPr>
              <w:rPr>
                <w:rFonts w:cs="Arial"/>
                <w:color w:val="FF0000"/>
                <w:sz w:val="21"/>
                <w:szCs w:val="21"/>
              </w:rPr>
            </w:pPr>
          </w:p>
        </w:tc>
        <w:tc>
          <w:tcPr>
            <w:tcW w:w="217" w:type="dxa"/>
          </w:tcPr>
          <w:p w14:paraId="2C3544D0" w14:textId="77777777" w:rsidR="002C0FD9" w:rsidRPr="00CA25CF" w:rsidRDefault="002C0FD9" w:rsidP="00CA25CF">
            <w:pPr>
              <w:rPr>
                <w:rFonts w:cs="Arial"/>
                <w:color w:val="FF0000"/>
                <w:sz w:val="21"/>
                <w:szCs w:val="21"/>
              </w:rPr>
            </w:pPr>
          </w:p>
        </w:tc>
        <w:tc>
          <w:tcPr>
            <w:tcW w:w="217" w:type="dxa"/>
          </w:tcPr>
          <w:p w14:paraId="129DBAAE" w14:textId="77777777" w:rsidR="002C0FD9" w:rsidRPr="00CA25CF" w:rsidRDefault="002C0FD9" w:rsidP="00CA25CF">
            <w:pPr>
              <w:rPr>
                <w:rFonts w:cs="Arial"/>
                <w:color w:val="FF0000"/>
                <w:sz w:val="21"/>
                <w:szCs w:val="21"/>
              </w:rPr>
            </w:pPr>
          </w:p>
        </w:tc>
        <w:tc>
          <w:tcPr>
            <w:tcW w:w="217" w:type="dxa"/>
          </w:tcPr>
          <w:p w14:paraId="480F53E4" w14:textId="77777777" w:rsidR="002C0FD9" w:rsidRPr="00CA25CF" w:rsidRDefault="002C0FD9" w:rsidP="00CA25CF">
            <w:pPr>
              <w:rPr>
                <w:rFonts w:cs="Arial"/>
                <w:color w:val="FF0000"/>
                <w:sz w:val="21"/>
                <w:szCs w:val="21"/>
              </w:rPr>
            </w:pPr>
          </w:p>
        </w:tc>
        <w:tc>
          <w:tcPr>
            <w:tcW w:w="217" w:type="dxa"/>
          </w:tcPr>
          <w:p w14:paraId="0F1231E4" w14:textId="77777777" w:rsidR="002C0FD9" w:rsidRPr="00CA25CF" w:rsidRDefault="002C0FD9" w:rsidP="00CA25CF">
            <w:pPr>
              <w:rPr>
                <w:rFonts w:cs="Arial"/>
                <w:color w:val="FF0000"/>
                <w:sz w:val="21"/>
                <w:szCs w:val="21"/>
              </w:rPr>
            </w:pPr>
          </w:p>
        </w:tc>
      </w:tr>
      <w:tr w:rsidR="002C0FD9" w:rsidRPr="00A16219" w14:paraId="5C111BC2" w14:textId="6754AEC4" w:rsidTr="002C0FD9">
        <w:trPr>
          <w:trHeight w:val="635"/>
        </w:trPr>
        <w:tc>
          <w:tcPr>
            <w:tcW w:w="515" w:type="dxa"/>
          </w:tcPr>
          <w:p w14:paraId="72784565" w14:textId="77777777" w:rsidR="002C0FD9" w:rsidRPr="00CA25CF" w:rsidRDefault="002C0FD9" w:rsidP="00CA25CF">
            <w:pPr>
              <w:rPr>
                <w:rFonts w:cs="Arial"/>
                <w:color w:val="FF0000"/>
                <w:sz w:val="21"/>
                <w:szCs w:val="21"/>
              </w:rPr>
            </w:pPr>
          </w:p>
        </w:tc>
        <w:tc>
          <w:tcPr>
            <w:tcW w:w="217" w:type="dxa"/>
          </w:tcPr>
          <w:p w14:paraId="08C530B3" w14:textId="77777777" w:rsidR="002C0FD9" w:rsidRPr="00CA25CF" w:rsidRDefault="002C0FD9" w:rsidP="00CA25CF">
            <w:pPr>
              <w:rPr>
                <w:rFonts w:cs="Arial"/>
                <w:color w:val="FF0000"/>
                <w:sz w:val="21"/>
                <w:szCs w:val="21"/>
              </w:rPr>
            </w:pPr>
          </w:p>
        </w:tc>
        <w:tc>
          <w:tcPr>
            <w:tcW w:w="217" w:type="dxa"/>
          </w:tcPr>
          <w:p w14:paraId="0B0B1819" w14:textId="02BF87B1" w:rsidR="002C0FD9" w:rsidRPr="00CA25CF" w:rsidRDefault="002C0FD9" w:rsidP="00CA25CF">
            <w:pPr>
              <w:rPr>
                <w:rFonts w:cs="Arial"/>
                <w:color w:val="FF0000"/>
                <w:sz w:val="21"/>
                <w:szCs w:val="21"/>
              </w:rPr>
            </w:pPr>
          </w:p>
        </w:tc>
        <w:tc>
          <w:tcPr>
            <w:tcW w:w="217" w:type="dxa"/>
          </w:tcPr>
          <w:p w14:paraId="43A839D8" w14:textId="77777777" w:rsidR="002C0FD9" w:rsidRPr="00CA25CF" w:rsidRDefault="002C0FD9" w:rsidP="00CA25CF">
            <w:pPr>
              <w:rPr>
                <w:rFonts w:cs="Arial"/>
                <w:color w:val="FF0000"/>
                <w:sz w:val="21"/>
                <w:szCs w:val="21"/>
              </w:rPr>
            </w:pPr>
          </w:p>
        </w:tc>
        <w:tc>
          <w:tcPr>
            <w:tcW w:w="217" w:type="dxa"/>
          </w:tcPr>
          <w:p w14:paraId="27BFE73E" w14:textId="77777777" w:rsidR="002C0FD9" w:rsidRPr="00CA25CF" w:rsidRDefault="002C0FD9" w:rsidP="00CA25CF">
            <w:pPr>
              <w:rPr>
                <w:rFonts w:cs="Arial"/>
                <w:color w:val="FF0000"/>
                <w:sz w:val="21"/>
                <w:szCs w:val="21"/>
              </w:rPr>
            </w:pPr>
          </w:p>
        </w:tc>
        <w:tc>
          <w:tcPr>
            <w:tcW w:w="217" w:type="dxa"/>
          </w:tcPr>
          <w:p w14:paraId="0816EBDA" w14:textId="77777777" w:rsidR="002C0FD9" w:rsidRPr="00CA25CF" w:rsidRDefault="002C0FD9" w:rsidP="00CA25CF">
            <w:pPr>
              <w:rPr>
                <w:rFonts w:cs="Arial"/>
                <w:color w:val="FF0000"/>
                <w:sz w:val="21"/>
                <w:szCs w:val="21"/>
              </w:rPr>
            </w:pPr>
          </w:p>
        </w:tc>
        <w:tc>
          <w:tcPr>
            <w:tcW w:w="217" w:type="dxa"/>
          </w:tcPr>
          <w:p w14:paraId="7262B1C1" w14:textId="77777777" w:rsidR="002C0FD9" w:rsidRPr="00CA25CF" w:rsidRDefault="002C0FD9" w:rsidP="00CA25CF">
            <w:pPr>
              <w:rPr>
                <w:rFonts w:cs="Arial"/>
                <w:color w:val="FF0000"/>
                <w:sz w:val="21"/>
                <w:szCs w:val="21"/>
              </w:rPr>
            </w:pPr>
          </w:p>
        </w:tc>
        <w:tc>
          <w:tcPr>
            <w:tcW w:w="217" w:type="dxa"/>
          </w:tcPr>
          <w:p w14:paraId="4F4A35B8" w14:textId="77777777" w:rsidR="002C0FD9" w:rsidRPr="00CA25CF" w:rsidRDefault="002C0FD9" w:rsidP="00CA25CF">
            <w:pPr>
              <w:rPr>
                <w:rFonts w:cs="Arial"/>
                <w:color w:val="FF0000"/>
                <w:sz w:val="21"/>
                <w:szCs w:val="21"/>
              </w:rPr>
            </w:pPr>
          </w:p>
        </w:tc>
        <w:tc>
          <w:tcPr>
            <w:tcW w:w="217" w:type="dxa"/>
          </w:tcPr>
          <w:p w14:paraId="6CFBB061" w14:textId="77777777" w:rsidR="002C0FD9" w:rsidRPr="00CA25CF" w:rsidRDefault="002C0FD9" w:rsidP="00CA25CF">
            <w:pPr>
              <w:rPr>
                <w:rFonts w:cs="Arial"/>
                <w:color w:val="FF0000"/>
                <w:sz w:val="21"/>
                <w:szCs w:val="21"/>
              </w:rPr>
            </w:pPr>
          </w:p>
        </w:tc>
        <w:tc>
          <w:tcPr>
            <w:tcW w:w="217" w:type="dxa"/>
          </w:tcPr>
          <w:p w14:paraId="0EAA5F98" w14:textId="77777777" w:rsidR="002C0FD9" w:rsidRPr="00CA25CF" w:rsidRDefault="002C0FD9" w:rsidP="00CA25CF">
            <w:pPr>
              <w:rPr>
                <w:rFonts w:cs="Arial"/>
                <w:color w:val="FF0000"/>
                <w:sz w:val="21"/>
                <w:szCs w:val="21"/>
              </w:rPr>
            </w:pPr>
          </w:p>
        </w:tc>
        <w:tc>
          <w:tcPr>
            <w:tcW w:w="217" w:type="dxa"/>
          </w:tcPr>
          <w:p w14:paraId="39220257" w14:textId="77777777" w:rsidR="002C0FD9" w:rsidRPr="00CA25CF" w:rsidRDefault="002C0FD9" w:rsidP="00CA25CF">
            <w:pPr>
              <w:rPr>
                <w:rFonts w:cs="Arial"/>
                <w:color w:val="FF0000"/>
                <w:sz w:val="21"/>
                <w:szCs w:val="21"/>
              </w:rPr>
            </w:pPr>
          </w:p>
        </w:tc>
        <w:tc>
          <w:tcPr>
            <w:tcW w:w="217" w:type="dxa"/>
          </w:tcPr>
          <w:p w14:paraId="68C09F51" w14:textId="77777777" w:rsidR="002C0FD9" w:rsidRPr="00CA25CF" w:rsidRDefault="002C0FD9" w:rsidP="00CA25CF">
            <w:pPr>
              <w:rPr>
                <w:rFonts w:cs="Arial"/>
                <w:color w:val="FF0000"/>
                <w:sz w:val="21"/>
                <w:szCs w:val="21"/>
              </w:rPr>
            </w:pPr>
          </w:p>
        </w:tc>
        <w:tc>
          <w:tcPr>
            <w:tcW w:w="217" w:type="dxa"/>
          </w:tcPr>
          <w:p w14:paraId="40ACCCDA" w14:textId="77777777" w:rsidR="002C0FD9" w:rsidRPr="00CA25CF" w:rsidRDefault="002C0FD9" w:rsidP="00CA25CF">
            <w:pPr>
              <w:rPr>
                <w:rFonts w:cs="Arial"/>
                <w:color w:val="FF0000"/>
                <w:sz w:val="21"/>
                <w:szCs w:val="21"/>
              </w:rPr>
            </w:pPr>
          </w:p>
        </w:tc>
        <w:tc>
          <w:tcPr>
            <w:tcW w:w="217" w:type="dxa"/>
          </w:tcPr>
          <w:p w14:paraId="403BACA6" w14:textId="77777777" w:rsidR="002C0FD9" w:rsidRPr="00CA25CF" w:rsidRDefault="002C0FD9" w:rsidP="00CA25CF">
            <w:pPr>
              <w:rPr>
                <w:rFonts w:cs="Arial"/>
                <w:color w:val="FF0000"/>
                <w:sz w:val="21"/>
                <w:szCs w:val="21"/>
              </w:rPr>
            </w:pPr>
          </w:p>
        </w:tc>
        <w:tc>
          <w:tcPr>
            <w:tcW w:w="217" w:type="dxa"/>
          </w:tcPr>
          <w:p w14:paraId="4C5B33E5" w14:textId="77777777" w:rsidR="002C0FD9" w:rsidRPr="00CA25CF" w:rsidRDefault="002C0FD9" w:rsidP="00CA25CF">
            <w:pPr>
              <w:rPr>
                <w:rFonts w:cs="Arial"/>
                <w:color w:val="FF0000"/>
                <w:sz w:val="21"/>
                <w:szCs w:val="21"/>
              </w:rPr>
            </w:pPr>
          </w:p>
        </w:tc>
        <w:tc>
          <w:tcPr>
            <w:tcW w:w="217" w:type="dxa"/>
          </w:tcPr>
          <w:p w14:paraId="61E2BEFE" w14:textId="77777777" w:rsidR="002C0FD9" w:rsidRPr="00CA25CF" w:rsidRDefault="002C0FD9" w:rsidP="00CA25CF">
            <w:pPr>
              <w:rPr>
                <w:rFonts w:cs="Arial"/>
                <w:color w:val="FF0000"/>
                <w:sz w:val="21"/>
                <w:szCs w:val="21"/>
              </w:rPr>
            </w:pPr>
          </w:p>
        </w:tc>
        <w:tc>
          <w:tcPr>
            <w:tcW w:w="217" w:type="dxa"/>
          </w:tcPr>
          <w:p w14:paraId="52C5F834" w14:textId="77777777" w:rsidR="002C0FD9" w:rsidRPr="00CA25CF" w:rsidRDefault="002C0FD9" w:rsidP="00CA25CF">
            <w:pPr>
              <w:rPr>
                <w:rFonts w:cs="Arial"/>
                <w:color w:val="FF0000"/>
                <w:sz w:val="21"/>
                <w:szCs w:val="21"/>
              </w:rPr>
            </w:pPr>
          </w:p>
        </w:tc>
        <w:tc>
          <w:tcPr>
            <w:tcW w:w="217" w:type="dxa"/>
          </w:tcPr>
          <w:p w14:paraId="0FCFCC3E" w14:textId="77777777" w:rsidR="002C0FD9" w:rsidRPr="00CA25CF" w:rsidRDefault="002C0FD9" w:rsidP="00CA25CF">
            <w:pPr>
              <w:rPr>
                <w:rFonts w:cs="Arial"/>
                <w:color w:val="FF0000"/>
                <w:sz w:val="21"/>
                <w:szCs w:val="21"/>
              </w:rPr>
            </w:pPr>
          </w:p>
        </w:tc>
        <w:tc>
          <w:tcPr>
            <w:tcW w:w="217" w:type="dxa"/>
          </w:tcPr>
          <w:p w14:paraId="31DB28D6" w14:textId="77777777" w:rsidR="002C0FD9" w:rsidRPr="00CA25CF" w:rsidRDefault="002C0FD9" w:rsidP="00CA25CF">
            <w:pPr>
              <w:rPr>
                <w:rFonts w:cs="Arial"/>
                <w:color w:val="FF0000"/>
                <w:sz w:val="21"/>
                <w:szCs w:val="21"/>
              </w:rPr>
            </w:pPr>
          </w:p>
        </w:tc>
        <w:tc>
          <w:tcPr>
            <w:tcW w:w="217" w:type="dxa"/>
          </w:tcPr>
          <w:p w14:paraId="3FBA6A11" w14:textId="77777777" w:rsidR="002C0FD9" w:rsidRPr="00CA25CF" w:rsidRDefault="002C0FD9" w:rsidP="00CA25CF">
            <w:pPr>
              <w:rPr>
                <w:rFonts w:cs="Arial"/>
                <w:color w:val="FF0000"/>
                <w:sz w:val="21"/>
                <w:szCs w:val="21"/>
              </w:rPr>
            </w:pPr>
          </w:p>
        </w:tc>
        <w:tc>
          <w:tcPr>
            <w:tcW w:w="217" w:type="dxa"/>
          </w:tcPr>
          <w:p w14:paraId="6D83DD39" w14:textId="77777777" w:rsidR="002C0FD9" w:rsidRPr="00CA25CF" w:rsidRDefault="002C0FD9" w:rsidP="00CA25CF">
            <w:pPr>
              <w:rPr>
                <w:rFonts w:cs="Arial"/>
                <w:color w:val="FF0000"/>
                <w:sz w:val="21"/>
                <w:szCs w:val="21"/>
              </w:rPr>
            </w:pPr>
          </w:p>
        </w:tc>
        <w:tc>
          <w:tcPr>
            <w:tcW w:w="217" w:type="dxa"/>
          </w:tcPr>
          <w:p w14:paraId="76CAC5BF" w14:textId="77777777" w:rsidR="002C0FD9" w:rsidRPr="00CA25CF" w:rsidRDefault="002C0FD9" w:rsidP="00CA25CF">
            <w:pPr>
              <w:rPr>
                <w:rFonts w:cs="Arial"/>
                <w:color w:val="FF0000"/>
                <w:sz w:val="21"/>
                <w:szCs w:val="21"/>
              </w:rPr>
            </w:pPr>
          </w:p>
        </w:tc>
        <w:tc>
          <w:tcPr>
            <w:tcW w:w="217" w:type="dxa"/>
          </w:tcPr>
          <w:p w14:paraId="36C195EE" w14:textId="77777777" w:rsidR="002C0FD9" w:rsidRPr="00CA25CF" w:rsidRDefault="002C0FD9" w:rsidP="00CA25CF">
            <w:pPr>
              <w:rPr>
                <w:rFonts w:cs="Arial"/>
                <w:color w:val="FF0000"/>
                <w:sz w:val="21"/>
                <w:szCs w:val="21"/>
              </w:rPr>
            </w:pPr>
          </w:p>
        </w:tc>
        <w:tc>
          <w:tcPr>
            <w:tcW w:w="217" w:type="dxa"/>
          </w:tcPr>
          <w:p w14:paraId="3BA1A78C" w14:textId="77777777" w:rsidR="002C0FD9" w:rsidRPr="00CA25CF" w:rsidRDefault="002C0FD9" w:rsidP="00CA25CF">
            <w:pPr>
              <w:rPr>
                <w:rFonts w:cs="Arial"/>
                <w:color w:val="FF0000"/>
                <w:sz w:val="21"/>
                <w:szCs w:val="21"/>
              </w:rPr>
            </w:pPr>
          </w:p>
        </w:tc>
        <w:tc>
          <w:tcPr>
            <w:tcW w:w="217" w:type="dxa"/>
          </w:tcPr>
          <w:p w14:paraId="43A588C4" w14:textId="77777777" w:rsidR="002C0FD9" w:rsidRPr="00CA25CF" w:rsidRDefault="002C0FD9" w:rsidP="00CA25CF">
            <w:pPr>
              <w:rPr>
                <w:rFonts w:cs="Arial"/>
                <w:color w:val="FF0000"/>
                <w:sz w:val="21"/>
                <w:szCs w:val="21"/>
              </w:rPr>
            </w:pPr>
          </w:p>
        </w:tc>
        <w:tc>
          <w:tcPr>
            <w:tcW w:w="217" w:type="dxa"/>
          </w:tcPr>
          <w:p w14:paraId="407C980D" w14:textId="77777777" w:rsidR="002C0FD9" w:rsidRPr="00CA25CF" w:rsidRDefault="002C0FD9" w:rsidP="00CA25CF">
            <w:pPr>
              <w:rPr>
                <w:rFonts w:cs="Arial"/>
                <w:color w:val="FF0000"/>
                <w:sz w:val="21"/>
                <w:szCs w:val="21"/>
              </w:rPr>
            </w:pPr>
          </w:p>
        </w:tc>
        <w:tc>
          <w:tcPr>
            <w:tcW w:w="217" w:type="dxa"/>
          </w:tcPr>
          <w:p w14:paraId="06E20431" w14:textId="77777777" w:rsidR="002C0FD9" w:rsidRPr="00CA25CF" w:rsidRDefault="002C0FD9" w:rsidP="00CA25CF">
            <w:pPr>
              <w:rPr>
                <w:rFonts w:cs="Arial"/>
                <w:color w:val="FF0000"/>
                <w:sz w:val="21"/>
                <w:szCs w:val="21"/>
              </w:rPr>
            </w:pPr>
          </w:p>
        </w:tc>
        <w:tc>
          <w:tcPr>
            <w:tcW w:w="217" w:type="dxa"/>
          </w:tcPr>
          <w:p w14:paraId="27C77AA2" w14:textId="77777777" w:rsidR="002C0FD9" w:rsidRPr="00CA25CF" w:rsidRDefault="002C0FD9" w:rsidP="00CA25CF">
            <w:pPr>
              <w:rPr>
                <w:rFonts w:cs="Arial"/>
                <w:color w:val="FF0000"/>
                <w:sz w:val="21"/>
                <w:szCs w:val="21"/>
              </w:rPr>
            </w:pPr>
          </w:p>
        </w:tc>
        <w:tc>
          <w:tcPr>
            <w:tcW w:w="217" w:type="dxa"/>
          </w:tcPr>
          <w:p w14:paraId="2AB8607C" w14:textId="77777777" w:rsidR="002C0FD9" w:rsidRPr="00CA25CF" w:rsidRDefault="002C0FD9" w:rsidP="00CA25CF">
            <w:pPr>
              <w:rPr>
                <w:rFonts w:cs="Arial"/>
                <w:color w:val="FF0000"/>
                <w:sz w:val="21"/>
                <w:szCs w:val="21"/>
              </w:rPr>
            </w:pPr>
          </w:p>
        </w:tc>
        <w:tc>
          <w:tcPr>
            <w:tcW w:w="217" w:type="dxa"/>
          </w:tcPr>
          <w:p w14:paraId="7E5A4165" w14:textId="77777777" w:rsidR="002C0FD9" w:rsidRPr="00CA25CF" w:rsidRDefault="002C0FD9" w:rsidP="00CA25CF">
            <w:pPr>
              <w:rPr>
                <w:rFonts w:cs="Arial"/>
                <w:color w:val="FF0000"/>
                <w:sz w:val="21"/>
                <w:szCs w:val="21"/>
              </w:rPr>
            </w:pPr>
          </w:p>
        </w:tc>
        <w:tc>
          <w:tcPr>
            <w:tcW w:w="217" w:type="dxa"/>
          </w:tcPr>
          <w:p w14:paraId="678BC36A" w14:textId="77777777" w:rsidR="002C0FD9" w:rsidRPr="00CA25CF" w:rsidRDefault="002C0FD9" w:rsidP="00CA25CF">
            <w:pPr>
              <w:rPr>
                <w:rFonts w:cs="Arial"/>
                <w:color w:val="FF0000"/>
                <w:sz w:val="21"/>
                <w:szCs w:val="21"/>
              </w:rPr>
            </w:pPr>
          </w:p>
        </w:tc>
        <w:tc>
          <w:tcPr>
            <w:tcW w:w="217" w:type="dxa"/>
          </w:tcPr>
          <w:p w14:paraId="77D49FC8" w14:textId="77777777" w:rsidR="002C0FD9" w:rsidRPr="00CA25CF" w:rsidRDefault="002C0FD9" w:rsidP="00CA25CF">
            <w:pPr>
              <w:rPr>
                <w:rFonts w:cs="Arial"/>
                <w:color w:val="FF0000"/>
                <w:sz w:val="21"/>
                <w:szCs w:val="21"/>
              </w:rPr>
            </w:pPr>
          </w:p>
        </w:tc>
        <w:tc>
          <w:tcPr>
            <w:tcW w:w="217" w:type="dxa"/>
          </w:tcPr>
          <w:p w14:paraId="3302B989" w14:textId="77777777" w:rsidR="002C0FD9" w:rsidRPr="00CA25CF" w:rsidRDefault="002C0FD9" w:rsidP="00CA25CF">
            <w:pPr>
              <w:rPr>
                <w:rFonts w:cs="Arial"/>
                <w:color w:val="FF0000"/>
                <w:sz w:val="21"/>
                <w:szCs w:val="21"/>
              </w:rPr>
            </w:pPr>
          </w:p>
        </w:tc>
        <w:tc>
          <w:tcPr>
            <w:tcW w:w="217" w:type="dxa"/>
          </w:tcPr>
          <w:p w14:paraId="0A949C9B" w14:textId="77777777" w:rsidR="002C0FD9" w:rsidRPr="00CA25CF" w:rsidRDefault="002C0FD9" w:rsidP="00CA25CF">
            <w:pPr>
              <w:rPr>
                <w:rFonts w:cs="Arial"/>
                <w:color w:val="FF0000"/>
                <w:sz w:val="21"/>
                <w:szCs w:val="21"/>
              </w:rPr>
            </w:pPr>
          </w:p>
        </w:tc>
        <w:tc>
          <w:tcPr>
            <w:tcW w:w="217" w:type="dxa"/>
          </w:tcPr>
          <w:p w14:paraId="0248A600" w14:textId="77777777" w:rsidR="002C0FD9" w:rsidRPr="00CA25CF" w:rsidRDefault="002C0FD9" w:rsidP="00CA25CF">
            <w:pPr>
              <w:rPr>
                <w:rFonts w:cs="Arial"/>
                <w:color w:val="FF0000"/>
                <w:sz w:val="21"/>
                <w:szCs w:val="21"/>
              </w:rPr>
            </w:pPr>
          </w:p>
        </w:tc>
        <w:tc>
          <w:tcPr>
            <w:tcW w:w="217" w:type="dxa"/>
          </w:tcPr>
          <w:p w14:paraId="3815109D" w14:textId="77777777" w:rsidR="002C0FD9" w:rsidRPr="00CA25CF" w:rsidRDefault="002C0FD9" w:rsidP="00CA25CF">
            <w:pPr>
              <w:rPr>
                <w:rFonts w:cs="Arial"/>
                <w:color w:val="FF0000"/>
                <w:sz w:val="21"/>
                <w:szCs w:val="21"/>
              </w:rPr>
            </w:pPr>
          </w:p>
        </w:tc>
        <w:tc>
          <w:tcPr>
            <w:tcW w:w="217" w:type="dxa"/>
          </w:tcPr>
          <w:p w14:paraId="1B2B1CE0" w14:textId="77777777" w:rsidR="002C0FD9" w:rsidRPr="00CA25CF" w:rsidRDefault="002C0FD9" w:rsidP="00CA25CF">
            <w:pPr>
              <w:rPr>
                <w:rFonts w:cs="Arial"/>
                <w:color w:val="FF0000"/>
                <w:sz w:val="21"/>
                <w:szCs w:val="21"/>
              </w:rPr>
            </w:pPr>
          </w:p>
        </w:tc>
        <w:tc>
          <w:tcPr>
            <w:tcW w:w="217" w:type="dxa"/>
          </w:tcPr>
          <w:p w14:paraId="5FFF6C94" w14:textId="77777777" w:rsidR="002C0FD9" w:rsidRPr="00CA25CF" w:rsidRDefault="002C0FD9" w:rsidP="00CA25CF">
            <w:pPr>
              <w:rPr>
                <w:rFonts w:cs="Arial"/>
                <w:color w:val="FF0000"/>
                <w:sz w:val="21"/>
                <w:szCs w:val="21"/>
              </w:rPr>
            </w:pPr>
          </w:p>
        </w:tc>
        <w:tc>
          <w:tcPr>
            <w:tcW w:w="217" w:type="dxa"/>
          </w:tcPr>
          <w:p w14:paraId="64F5543D" w14:textId="77777777" w:rsidR="002C0FD9" w:rsidRPr="00CA25CF" w:rsidRDefault="002C0FD9" w:rsidP="00CA25CF">
            <w:pPr>
              <w:rPr>
                <w:rFonts w:cs="Arial"/>
                <w:color w:val="FF0000"/>
                <w:sz w:val="21"/>
                <w:szCs w:val="21"/>
              </w:rPr>
            </w:pPr>
          </w:p>
        </w:tc>
        <w:tc>
          <w:tcPr>
            <w:tcW w:w="217" w:type="dxa"/>
          </w:tcPr>
          <w:p w14:paraId="32AD8645" w14:textId="77777777" w:rsidR="002C0FD9" w:rsidRPr="00CA25CF" w:rsidRDefault="002C0FD9" w:rsidP="00CA25CF">
            <w:pPr>
              <w:rPr>
                <w:rFonts w:cs="Arial"/>
                <w:color w:val="FF0000"/>
                <w:sz w:val="21"/>
                <w:szCs w:val="21"/>
              </w:rPr>
            </w:pPr>
          </w:p>
        </w:tc>
        <w:tc>
          <w:tcPr>
            <w:tcW w:w="217" w:type="dxa"/>
          </w:tcPr>
          <w:p w14:paraId="4604E44D" w14:textId="77777777" w:rsidR="002C0FD9" w:rsidRPr="00CA25CF" w:rsidRDefault="002C0FD9" w:rsidP="00CA25CF">
            <w:pPr>
              <w:rPr>
                <w:rFonts w:cs="Arial"/>
                <w:color w:val="FF0000"/>
                <w:sz w:val="21"/>
                <w:szCs w:val="21"/>
              </w:rPr>
            </w:pPr>
          </w:p>
        </w:tc>
        <w:tc>
          <w:tcPr>
            <w:tcW w:w="217" w:type="dxa"/>
          </w:tcPr>
          <w:p w14:paraId="44B732A4" w14:textId="77777777" w:rsidR="002C0FD9" w:rsidRPr="00CA25CF" w:rsidRDefault="002C0FD9" w:rsidP="00CA25CF">
            <w:pPr>
              <w:rPr>
                <w:rFonts w:cs="Arial"/>
                <w:color w:val="FF0000"/>
                <w:sz w:val="21"/>
                <w:szCs w:val="21"/>
              </w:rPr>
            </w:pPr>
          </w:p>
        </w:tc>
        <w:tc>
          <w:tcPr>
            <w:tcW w:w="217" w:type="dxa"/>
          </w:tcPr>
          <w:p w14:paraId="431EA128" w14:textId="77777777" w:rsidR="002C0FD9" w:rsidRPr="00CA25CF" w:rsidRDefault="002C0FD9" w:rsidP="00CA25CF">
            <w:pPr>
              <w:rPr>
                <w:rFonts w:cs="Arial"/>
                <w:color w:val="FF0000"/>
                <w:sz w:val="21"/>
                <w:szCs w:val="21"/>
              </w:rPr>
            </w:pPr>
          </w:p>
        </w:tc>
      </w:tr>
      <w:tr w:rsidR="002C0FD9" w:rsidRPr="00A16219" w14:paraId="165D1AC6" w14:textId="0A03830E" w:rsidTr="002C0FD9">
        <w:trPr>
          <w:trHeight w:val="635"/>
        </w:trPr>
        <w:tc>
          <w:tcPr>
            <w:tcW w:w="515" w:type="dxa"/>
          </w:tcPr>
          <w:p w14:paraId="1762C68F" w14:textId="77777777" w:rsidR="002C0FD9" w:rsidRPr="00CA25CF" w:rsidRDefault="002C0FD9" w:rsidP="00CA25CF">
            <w:pPr>
              <w:rPr>
                <w:rFonts w:cs="Arial"/>
                <w:color w:val="FF0000"/>
                <w:sz w:val="21"/>
                <w:szCs w:val="21"/>
              </w:rPr>
            </w:pPr>
          </w:p>
        </w:tc>
        <w:tc>
          <w:tcPr>
            <w:tcW w:w="217" w:type="dxa"/>
          </w:tcPr>
          <w:p w14:paraId="0CB49A75" w14:textId="77777777" w:rsidR="002C0FD9" w:rsidRPr="00CA25CF" w:rsidRDefault="002C0FD9" w:rsidP="00CA25CF">
            <w:pPr>
              <w:rPr>
                <w:rFonts w:cs="Arial"/>
                <w:color w:val="FF0000"/>
                <w:sz w:val="21"/>
                <w:szCs w:val="21"/>
              </w:rPr>
            </w:pPr>
          </w:p>
        </w:tc>
        <w:tc>
          <w:tcPr>
            <w:tcW w:w="217" w:type="dxa"/>
          </w:tcPr>
          <w:p w14:paraId="436810B3" w14:textId="33563178" w:rsidR="002C0FD9" w:rsidRPr="00CA25CF" w:rsidRDefault="002C0FD9" w:rsidP="00CA25CF">
            <w:pPr>
              <w:rPr>
                <w:rFonts w:cs="Arial"/>
                <w:color w:val="FF0000"/>
                <w:sz w:val="21"/>
                <w:szCs w:val="21"/>
              </w:rPr>
            </w:pPr>
          </w:p>
        </w:tc>
        <w:tc>
          <w:tcPr>
            <w:tcW w:w="217" w:type="dxa"/>
          </w:tcPr>
          <w:p w14:paraId="0A557813" w14:textId="77777777" w:rsidR="002C0FD9" w:rsidRPr="00CA25CF" w:rsidRDefault="002C0FD9" w:rsidP="00CA25CF">
            <w:pPr>
              <w:rPr>
                <w:rFonts w:cs="Arial"/>
                <w:color w:val="FF0000"/>
                <w:sz w:val="21"/>
                <w:szCs w:val="21"/>
              </w:rPr>
            </w:pPr>
          </w:p>
        </w:tc>
        <w:tc>
          <w:tcPr>
            <w:tcW w:w="217" w:type="dxa"/>
          </w:tcPr>
          <w:p w14:paraId="0BEC2A9A" w14:textId="77777777" w:rsidR="002C0FD9" w:rsidRPr="00CA25CF" w:rsidRDefault="002C0FD9" w:rsidP="00CA25CF">
            <w:pPr>
              <w:rPr>
                <w:rFonts w:cs="Arial"/>
                <w:color w:val="FF0000"/>
                <w:sz w:val="21"/>
                <w:szCs w:val="21"/>
              </w:rPr>
            </w:pPr>
          </w:p>
        </w:tc>
        <w:tc>
          <w:tcPr>
            <w:tcW w:w="217" w:type="dxa"/>
          </w:tcPr>
          <w:p w14:paraId="7E2B042C" w14:textId="77777777" w:rsidR="002C0FD9" w:rsidRPr="00CA25CF" w:rsidRDefault="002C0FD9" w:rsidP="00CA25CF">
            <w:pPr>
              <w:rPr>
                <w:rFonts w:cs="Arial"/>
                <w:color w:val="FF0000"/>
                <w:sz w:val="21"/>
                <w:szCs w:val="21"/>
              </w:rPr>
            </w:pPr>
          </w:p>
        </w:tc>
        <w:tc>
          <w:tcPr>
            <w:tcW w:w="217" w:type="dxa"/>
          </w:tcPr>
          <w:p w14:paraId="534C0EF5" w14:textId="77777777" w:rsidR="002C0FD9" w:rsidRPr="00CA25CF" w:rsidRDefault="002C0FD9" w:rsidP="00CA25CF">
            <w:pPr>
              <w:rPr>
                <w:rFonts w:cs="Arial"/>
                <w:color w:val="FF0000"/>
                <w:sz w:val="21"/>
                <w:szCs w:val="21"/>
              </w:rPr>
            </w:pPr>
          </w:p>
        </w:tc>
        <w:tc>
          <w:tcPr>
            <w:tcW w:w="217" w:type="dxa"/>
          </w:tcPr>
          <w:p w14:paraId="27E6BA53" w14:textId="77777777" w:rsidR="002C0FD9" w:rsidRPr="00CA25CF" w:rsidRDefault="002C0FD9" w:rsidP="00CA25CF">
            <w:pPr>
              <w:rPr>
                <w:rFonts w:cs="Arial"/>
                <w:color w:val="FF0000"/>
                <w:sz w:val="21"/>
                <w:szCs w:val="21"/>
              </w:rPr>
            </w:pPr>
          </w:p>
        </w:tc>
        <w:tc>
          <w:tcPr>
            <w:tcW w:w="217" w:type="dxa"/>
          </w:tcPr>
          <w:p w14:paraId="5986DC84" w14:textId="77777777" w:rsidR="002C0FD9" w:rsidRPr="00CA25CF" w:rsidRDefault="002C0FD9" w:rsidP="00CA25CF">
            <w:pPr>
              <w:rPr>
                <w:rFonts w:cs="Arial"/>
                <w:color w:val="FF0000"/>
                <w:sz w:val="21"/>
                <w:szCs w:val="21"/>
              </w:rPr>
            </w:pPr>
          </w:p>
        </w:tc>
        <w:tc>
          <w:tcPr>
            <w:tcW w:w="217" w:type="dxa"/>
          </w:tcPr>
          <w:p w14:paraId="25C6900B" w14:textId="77777777" w:rsidR="002C0FD9" w:rsidRPr="00CA25CF" w:rsidRDefault="002C0FD9" w:rsidP="00CA25CF">
            <w:pPr>
              <w:rPr>
                <w:rFonts w:cs="Arial"/>
                <w:color w:val="FF0000"/>
                <w:sz w:val="21"/>
                <w:szCs w:val="21"/>
              </w:rPr>
            </w:pPr>
          </w:p>
        </w:tc>
        <w:tc>
          <w:tcPr>
            <w:tcW w:w="217" w:type="dxa"/>
          </w:tcPr>
          <w:p w14:paraId="4D90B28A" w14:textId="77777777" w:rsidR="002C0FD9" w:rsidRPr="00CA25CF" w:rsidRDefault="002C0FD9" w:rsidP="00CA25CF">
            <w:pPr>
              <w:rPr>
                <w:rFonts w:cs="Arial"/>
                <w:color w:val="FF0000"/>
                <w:sz w:val="21"/>
                <w:szCs w:val="21"/>
              </w:rPr>
            </w:pPr>
          </w:p>
        </w:tc>
        <w:tc>
          <w:tcPr>
            <w:tcW w:w="217" w:type="dxa"/>
          </w:tcPr>
          <w:p w14:paraId="431E28FB" w14:textId="77777777" w:rsidR="002C0FD9" w:rsidRPr="00CA25CF" w:rsidRDefault="002C0FD9" w:rsidP="00CA25CF">
            <w:pPr>
              <w:rPr>
                <w:rFonts w:cs="Arial"/>
                <w:color w:val="FF0000"/>
                <w:sz w:val="21"/>
                <w:szCs w:val="21"/>
              </w:rPr>
            </w:pPr>
          </w:p>
        </w:tc>
        <w:tc>
          <w:tcPr>
            <w:tcW w:w="217" w:type="dxa"/>
          </w:tcPr>
          <w:p w14:paraId="7716FEA5" w14:textId="77777777" w:rsidR="002C0FD9" w:rsidRPr="00CA25CF" w:rsidRDefault="002C0FD9" w:rsidP="00CA25CF">
            <w:pPr>
              <w:rPr>
                <w:rFonts w:cs="Arial"/>
                <w:color w:val="FF0000"/>
                <w:sz w:val="21"/>
                <w:szCs w:val="21"/>
              </w:rPr>
            </w:pPr>
          </w:p>
        </w:tc>
        <w:tc>
          <w:tcPr>
            <w:tcW w:w="217" w:type="dxa"/>
          </w:tcPr>
          <w:p w14:paraId="4833FB7F" w14:textId="77777777" w:rsidR="002C0FD9" w:rsidRPr="00CA25CF" w:rsidRDefault="002C0FD9" w:rsidP="00CA25CF">
            <w:pPr>
              <w:rPr>
                <w:rFonts w:cs="Arial"/>
                <w:color w:val="FF0000"/>
                <w:sz w:val="21"/>
                <w:szCs w:val="21"/>
              </w:rPr>
            </w:pPr>
          </w:p>
        </w:tc>
        <w:tc>
          <w:tcPr>
            <w:tcW w:w="217" w:type="dxa"/>
          </w:tcPr>
          <w:p w14:paraId="0D442536" w14:textId="77777777" w:rsidR="002C0FD9" w:rsidRPr="00CA25CF" w:rsidRDefault="002C0FD9" w:rsidP="00CA25CF">
            <w:pPr>
              <w:rPr>
                <w:rFonts w:cs="Arial"/>
                <w:color w:val="FF0000"/>
                <w:sz w:val="21"/>
                <w:szCs w:val="21"/>
              </w:rPr>
            </w:pPr>
          </w:p>
        </w:tc>
        <w:tc>
          <w:tcPr>
            <w:tcW w:w="217" w:type="dxa"/>
          </w:tcPr>
          <w:p w14:paraId="0A543594" w14:textId="77777777" w:rsidR="002C0FD9" w:rsidRPr="00CA25CF" w:rsidRDefault="002C0FD9" w:rsidP="00CA25CF">
            <w:pPr>
              <w:rPr>
                <w:rFonts w:cs="Arial"/>
                <w:color w:val="FF0000"/>
                <w:sz w:val="21"/>
                <w:szCs w:val="21"/>
              </w:rPr>
            </w:pPr>
          </w:p>
        </w:tc>
        <w:tc>
          <w:tcPr>
            <w:tcW w:w="217" w:type="dxa"/>
          </w:tcPr>
          <w:p w14:paraId="5B9821A4" w14:textId="77777777" w:rsidR="002C0FD9" w:rsidRPr="00CA25CF" w:rsidRDefault="002C0FD9" w:rsidP="00CA25CF">
            <w:pPr>
              <w:rPr>
                <w:rFonts w:cs="Arial"/>
                <w:color w:val="FF0000"/>
                <w:sz w:val="21"/>
                <w:szCs w:val="21"/>
              </w:rPr>
            </w:pPr>
          </w:p>
        </w:tc>
        <w:tc>
          <w:tcPr>
            <w:tcW w:w="217" w:type="dxa"/>
          </w:tcPr>
          <w:p w14:paraId="764F773A" w14:textId="77777777" w:rsidR="002C0FD9" w:rsidRPr="00CA25CF" w:rsidRDefault="002C0FD9" w:rsidP="00CA25CF">
            <w:pPr>
              <w:rPr>
                <w:rFonts w:cs="Arial"/>
                <w:color w:val="FF0000"/>
                <w:sz w:val="21"/>
                <w:szCs w:val="21"/>
              </w:rPr>
            </w:pPr>
          </w:p>
        </w:tc>
        <w:tc>
          <w:tcPr>
            <w:tcW w:w="217" w:type="dxa"/>
          </w:tcPr>
          <w:p w14:paraId="619DE66D" w14:textId="77777777" w:rsidR="002C0FD9" w:rsidRPr="00CA25CF" w:rsidRDefault="002C0FD9" w:rsidP="00CA25CF">
            <w:pPr>
              <w:rPr>
                <w:rFonts w:cs="Arial"/>
                <w:color w:val="FF0000"/>
                <w:sz w:val="21"/>
                <w:szCs w:val="21"/>
              </w:rPr>
            </w:pPr>
          </w:p>
        </w:tc>
        <w:tc>
          <w:tcPr>
            <w:tcW w:w="217" w:type="dxa"/>
          </w:tcPr>
          <w:p w14:paraId="019DD545" w14:textId="77777777" w:rsidR="002C0FD9" w:rsidRPr="00CA25CF" w:rsidRDefault="002C0FD9" w:rsidP="00CA25CF">
            <w:pPr>
              <w:rPr>
                <w:rFonts w:cs="Arial"/>
                <w:color w:val="FF0000"/>
                <w:sz w:val="21"/>
                <w:szCs w:val="21"/>
              </w:rPr>
            </w:pPr>
          </w:p>
        </w:tc>
        <w:tc>
          <w:tcPr>
            <w:tcW w:w="217" w:type="dxa"/>
          </w:tcPr>
          <w:p w14:paraId="1F0B5A3C" w14:textId="77777777" w:rsidR="002C0FD9" w:rsidRPr="00CA25CF" w:rsidRDefault="002C0FD9" w:rsidP="00CA25CF">
            <w:pPr>
              <w:rPr>
                <w:rFonts w:cs="Arial"/>
                <w:color w:val="FF0000"/>
                <w:sz w:val="21"/>
                <w:szCs w:val="21"/>
              </w:rPr>
            </w:pPr>
          </w:p>
        </w:tc>
        <w:tc>
          <w:tcPr>
            <w:tcW w:w="217" w:type="dxa"/>
          </w:tcPr>
          <w:p w14:paraId="1191830C" w14:textId="77777777" w:rsidR="002C0FD9" w:rsidRPr="00CA25CF" w:rsidRDefault="002C0FD9" w:rsidP="00CA25CF">
            <w:pPr>
              <w:rPr>
                <w:rFonts w:cs="Arial"/>
                <w:color w:val="FF0000"/>
                <w:sz w:val="21"/>
                <w:szCs w:val="21"/>
              </w:rPr>
            </w:pPr>
          </w:p>
        </w:tc>
        <w:tc>
          <w:tcPr>
            <w:tcW w:w="217" w:type="dxa"/>
          </w:tcPr>
          <w:p w14:paraId="43C75806" w14:textId="77777777" w:rsidR="002C0FD9" w:rsidRPr="00CA25CF" w:rsidRDefault="002C0FD9" w:rsidP="00CA25CF">
            <w:pPr>
              <w:rPr>
                <w:rFonts w:cs="Arial"/>
                <w:color w:val="FF0000"/>
                <w:sz w:val="21"/>
                <w:szCs w:val="21"/>
              </w:rPr>
            </w:pPr>
          </w:p>
        </w:tc>
        <w:tc>
          <w:tcPr>
            <w:tcW w:w="217" w:type="dxa"/>
          </w:tcPr>
          <w:p w14:paraId="5188B0E6" w14:textId="77777777" w:rsidR="002C0FD9" w:rsidRPr="00CA25CF" w:rsidRDefault="002C0FD9" w:rsidP="00CA25CF">
            <w:pPr>
              <w:rPr>
                <w:rFonts w:cs="Arial"/>
                <w:color w:val="FF0000"/>
                <w:sz w:val="21"/>
                <w:szCs w:val="21"/>
              </w:rPr>
            </w:pPr>
          </w:p>
        </w:tc>
        <w:tc>
          <w:tcPr>
            <w:tcW w:w="217" w:type="dxa"/>
          </w:tcPr>
          <w:p w14:paraId="03F755C7" w14:textId="77777777" w:rsidR="002C0FD9" w:rsidRPr="00CA25CF" w:rsidRDefault="002C0FD9" w:rsidP="00CA25CF">
            <w:pPr>
              <w:rPr>
                <w:rFonts w:cs="Arial"/>
                <w:color w:val="FF0000"/>
                <w:sz w:val="21"/>
                <w:szCs w:val="21"/>
              </w:rPr>
            </w:pPr>
          </w:p>
        </w:tc>
        <w:tc>
          <w:tcPr>
            <w:tcW w:w="217" w:type="dxa"/>
          </w:tcPr>
          <w:p w14:paraId="42A26E30" w14:textId="77777777" w:rsidR="002C0FD9" w:rsidRPr="00CA25CF" w:rsidRDefault="002C0FD9" w:rsidP="00CA25CF">
            <w:pPr>
              <w:rPr>
                <w:rFonts w:cs="Arial"/>
                <w:color w:val="FF0000"/>
                <w:sz w:val="21"/>
                <w:szCs w:val="21"/>
              </w:rPr>
            </w:pPr>
          </w:p>
        </w:tc>
        <w:tc>
          <w:tcPr>
            <w:tcW w:w="217" w:type="dxa"/>
          </w:tcPr>
          <w:p w14:paraId="6C69F86F" w14:textId="77777777" w:rsidR="002C0FD9" w:rsidRPr="00CA25CF" w:rsidRDefault="002C0FD9" w:rsidP="00CA25CF">
            <w:pPr>
              <w:rPr>
                <w:rFonts w:cs="Arial"/>
                <w:color w:val="FF0000"/>
                <w:sz w:val="21"/>
                <w:szCs w:val="21"/>
              </w:rPr>
            </w:pPr>
          </w:p>
        </w:tc>
        <w:tc>
          <w:tcPr>
            <w:tcW w:w="217" w:type="dxa"/>
          </w:tcPr>
          <w:p w14:paraId="386CA1BA" w14:textId="77777777" w:rsidR="002C0FD9" w:rsidRPr="00CA25CF" w:rsidRDefault="002C0FD9" w:rsidP="00CA25CF">
            <w:pPr>
              <w:rPr>
                <w:rFonts w:cs="Arial"/>
                <w:color w:val="FF0000"/>
                <w:sz w:val="21"/>
                <w:szCs w:val="21"/>
              </w:rPr>
            </w:pPr>
          </w:p>
        </w:tc>
        <w:tc>
          <w:tcPr>
            <w:tcW w:w="217" w:type="dxa"/>
          </w:tcPr>
          <w:p w14:paraId="3A852986" w14:textId="77777777" w:rsidR="002C0FD9" w:rsidRPr="00CA25CF" w:rsidRDefault="002C0FD9" w:rsidP="00CA25CF">
            <w:pPr>
              <w:rPr>
                <w:rFonts w:cs="Arial"/>
                <w:color w:val="FF0000"/>
                <w:sz w:val="21"/>
                <w:szCs w:val="21"/>
              </w:rPr>
            </w:pPr>
          </w:p>
        </w:tc>
        <w:tc>
          <w:tcPr>
            <w:tcW w:w="217" w:type="dxa"/>
          </w:tcPr>
          <w:p w14:paraId="2196C210" w14:textId="77777777" w:rsidR="002C0FD9" w:rsidRPr="00CA25CF" w:rsidRDefault="002C0FD9" w:rsidP="00CA25CF">
            <w:pPr>
              <w:rPr>
                <w:rFonts w:cs="Arial"/>
                <w:color w:val="FF0000"/>
                <w:sz w:val="21"/>
                <w:szCs w:val="21"/>
              </w:rPr>
            </w:pPr>
          </w:p>
        </w:tc>
        <w:tc>
          <w:tcPr>
            <w:tcW w:w="217" w:type="dxa"/>
          </w:tcPr>
          <w:p w14:paraId="2F9FA51F" w14:textId="77777777" w:rsidR="002C0FD9" w:rsidRPr="00CA25CF" w:rsidRDefault="002C0FD9" w:rsidP="00CA25CF">
            <w:pPr>
              <w:rPr>
                <w:rFonts w:cs="Arial"/>
                <w:color w:val="FF0000"/>
                <w:sz w:val="21"/>
                <w:szCs w:val="21"/>
              </w:rPr>
            </w:pPr>
          </w:p>
        </w:tc>
        <w:tc>
          <w:tcPr>
            <w:tcW w:w="217" w:type="dxa"/>
          </w:tcPr>
          <w:p w14:paraId="1A8E70C7" w14:textId="77777777" w:rsidR="002C0FD9" w:rsidRPr="00CA25CF" w:rsidRDefault="002C0FD9" w:rsidP="00CA25CF">
            <w:pPr>
              <w:rPr>
                <w:rFonts w:cs="Arial"/>
                <w:color w:val="FF0000"/>
                <w:sz w:val="21"/>
                <w:szCs w:val="21"/>
              </w:rPr>
            </w:pPr>
          </w:p>
        </w:tc>
        <w:tc>
          <w:tcPr>
            <w:tcW w:w="217" w:type="dxa"/>
          </w:tcPr>
          <w:p w14:paraId="658945F4" w14:textId="77777777" w:rsidR="002C0FD9" w:rsidRPr="00CA25CF" w:rsidRDefault="002C0FD9" w:rsidP="00CA25CF">
            <w:pPr>
              <w:rPr>
                <w:rFonts w:cs="Arial"/>
                <w:color w:val="FF0000"/>
                <w:sz w:val="21"/>
                <w:szCs w:val="21"/>
              </w:rPr>
            </w:pPr>
          </w:p>
        </w:tc>
        <w:tc>
          <w:tcPr>
            <w:tcW w:w="217" w:type="dxa"/>
          </w:tcPr>
          <w:p w14:paraId="5E4D7C4D" w14:textId="77777777" w:rsidR="002C0FD9" w:rsidRPr="00CA25CF" w:rsidRDefault="002C0FD9" w:rsidP="00CA25CF">
            <w:pPr>
              <w:rPr>
                <w:rFonts w:cs="Arial"/>
                <w:color w:val="FF0000"/>
                <w:sz w:val="21"/>
                <w:szCs w:val="21"/>
              </w:rPr>
            </w:pPr>
          </w:p>
        </w:tc>
        <w:tc>
          <w:tcPr>
            <w:tcW w:w="217" w:type="dxa"/>
          </w:tcPr>
          <w:p w14:paraId="5DA68DEE" w14:textId="77777777" w:rsidR="002C0FD9" w:rsidRPr="00CA25CF" w:rsidRDefault="002C0FD9" w:rsidP="00CA25CF">
            <w:pPr>
              <w:rPr>
                <w:rFonts w:cs="Arial"/>
                <w:color w:val="FF0000"/>
                <w:sz w:val="21"/>
                <w:szCs w:val="21"/>
              </w:rPr>
            </w:pPr>
          </w:p>
        </w:tc>
        <w:tc>
          <w:tcPr>
            <w:tcW w:w="217" w:type="dxa"/>
          </w:tcPr>
          <w:p w14:paraId="599FDC3E" w14:textId="77777777" w:rsidR="002C0FD9" w:rsidRPr="00CA25CF" w:rsidRDefault="002C0FD9" w:rsidP="00CA25CF">
            <w:pPr>
              <w:rPr>
                <w:rFonts w:cs="Arial"/>
                <w:color w:val="FF0000"/>
                <w:sz w:val="21"/>
                <w:szCs w:val="21"/>
              </w:rPr>
            </w:pPr>
          </w:p>
        </w:tc>
        <w:tc>
          <w:tcPr>
            <w:tcW w:w="217" w:type="dxa"/>
          </w:tcPr>
          <w:p w14:paraId="64D12F3B" w14:textId="77777777" w:rsidR="002C0FD9" w:rsidRPr="00CA25CF" w:rsidRDefault="002C0FD9" w:rsidP="00CA25CF">
            <w:pPr>
              <w:rPr>
                <w:rFonts w:cs="Arial"/>
                <w:color w:val="FF0000"/>
                <w:sz w:val="21"/>
                <w:szCs w:val="21"/>
              </w:rPr>
            </w:pPr>
          </w:p>
        </w:tc>
        <w:tc>
          <w:tcPr>
            <w:tcW w:w="217" w:type="dxa"/>
          </w:tcPr>
          <w:p w14:paraId="480DDC2D" w14:textId="77777777" w:rsidR="002C0FD9" w:rsidRPr="00CA25CF" w:rsidRDefault="002C0FD9" w:rsidP="00CA25CF">
            <w:pPr>
              <w:rPr>
                <w:rFonts w:cs="Arial"/>
                <w:color w:val="FF0000"/>
                <w:sz w:val="21"/>
                <w:szCs w:val="21"/>
              </w:rPr>
            </w:pPr>
          </w:p>
        </w:tc>
        <w:tc>
          <w:tcPr>
            <w:tcW w:w="217" w:type="dxa"/>
          </w:tcPr>
          <w:p w14:paraId="56C479D8" w14:textId="77777777" w:rsidR="002C0FD9" w:rsidRPr="00CA25CF" w:rsidRDefault="002C0FD9" w:rsidP="00CA25CF">
            <w:pPr>
              <w:rPr>
                <w:rFonts w:cs="Arial"/>
                <w:color w:val="FF0000"/>
                <w:sz w:val="21"/>
                <w:szCs w:val="21"/>
              </w:rPr>
            </w:pPr>
          </w:p>
        </w:tc>
        <w:tc>
          <w:tcPr>
            <w:tcW w:w="217" w:type="dxa"/>
          </w:tcPr>
          <w:p w14:paraId="4A8348F5" w14:textId="77777777" w:rsidR="002C0FD9" w:rsidRPr="00CA25CF" w:rsidRDefault="002C0FD9" w:rsidP="00CA25CF">
            <w:pPr>
              <w:rPr>
                <w:rFonts w:cs="Arial"/>
                <w:color w:val="FF0000"/>
                <w:sz w:val="21"/>
                <w:szCs w:val="21"/>
              </w:rPr>
            </w:pPr>
          </w:p>
        </w:tc>
        <w:tc>
          <w:tcPr>
            <w:tcW w:w="217" w:type="dxa"/>
          </w:tcPr>
          <w:p w14:paraId="2992B1A7" w14:textId="77777777" w:rsidR="002C0FD9" w:rsidRPr="00CA25CF" w:rsidRDefault="002C0FD9" w:rsidP="00CA25CF">
            <w:pPr>
              <w:rPr>
                <w:rFonts w:cs="Arial"/>
                <w:color w:val="FF0000"/>
                <w:sz w:val="21"/>
                <w:szCs w:val="21"/>
              </w:rPr>
            </w:pPr>
          </w:p>
        </w:tc>
        <w:tc>
          <w:tcPr>
            <w:tcW w:w="217" w:type="dxa"/>
          </w:tcPr>
          <w:p w14:paraId="7BB6148D" w14:textId="77777777" w:rsidR="002C0FD9" w:rsidRPr="00CA25CF" w:rsidRDefault="002C0FD9" w:rsidP="00CA25CF">
            <w:pPr>
              <w:rPr>
                <w:rFonts w:cs="Arial"/>
                <w:color w:val="FF0000"/>
                <w:sz w:val="21"/>
                <w:szCs w:val="21"/>
              </w:rPr>
            </w:pPr>
          </w:p>
        </w:tc>
        <w:tc>
          <w:tcPr>
            <w:tcW w:w="217" w:type="dxa"/>
          </w:tcPr>
          <w:p w14:paraId="133F70F8" w14:textId="77777777" w:rsidR="002C0FD9" w:rsidRPr="00CA25CF" w:rsidRDefault="002C0FD9" w:rsidP="00CA25CF">
            <w:pPr>
              <w:rPr>
                <w:rFonts w:cs="Arial"/>
                <w:color w:val="FF0000"/>
                <w:sz w:val="21"/>
                <w:szCs w:val="21"/>
              </w:rPr>
            </w:pPr>
          </w:p>
        </w:tc>
      </w:tr>
      <w:tr w:rsidR="002C0FD9" w:rsidRPr="00A16219" w14:paraId="136648C7" w14:textId="5CAD07D8" w:rsidTr="002C0FD9">
        <w:trPr>
          <w:trHeight w:val="635"/>
        </w:trPr>
        <w:tc>
          <w:tcPr>
            <w:tcW w:w="515" w:type="dxa"/>
          </w:tcPr>
          <w:p w14:paraId="0CD8CAA1" w14:textId="77777777" w:rsidR="002C0FD9" w:rsidRPr="00CA25CF" w:rsidRDefault="002C0FD9" w:rsidP="00CA25CF">
            <w:pPr>
              <w:rPr>
                <w:rFonts w:cs="Arial"/>
                <w:color w:val="FF0000"/>
                <w:sz w:val="21"/>
                <w:szCs w:val="21"/>
              </w:rPr>
            </w:pPr>
          </w:p>
        </w:tc>
        <w:tc>
          <w:tcPr>
            <w:tcW w:w="217" w:type="dxa"/>
          </w:tcPr>
          <w:p w14:paraId="589DFB85" w14:textId="77777777" w:rsidR="002C0FD9" w:rsidRPr="00CA25CF" w:rsidRDefault="002C0FD9" w:rsidP="00CA25CF">
            <w:pPr>
              <w:rPr>
                <w:rFonts w:cs="Arial"/>
                <w:color w:val="FF0000"/>
                <w:sz w:val="21"/>
                <w:szCs w:val="21"/>
              </w:rPr>
            </w:pPr>
          </w:p>
        </w:tc>
        <w:tc>
          <w:tcPr>
            <w:tcW w:w="217" w:type="dxa"/>
          </w:tcPr>
          <w:p w14:paraId="73E23027" w14:textId="2AD8C22D" w:rsidR="002C0FD9" w:rsidRPr="00CA25CF" w:rsidRDefault="002C0FD9" w:rsidP="00CA25CF">
            <w:pPr>
              <w:rPr>
                <w:rFonts w:cs="Arial"/>
                <w:color w:val="FF0000"/>
                <w:sz w:val="21"/>
                <w:szCs w:val="21"/>
              </w:rPr>
            </w:pPr>
          </w:p>
        </w:tc>
        <w:tc>
          <w:tcPr>
            <w:tcW w:w="217" w:type="dxa"/>
          </w:tcPr>
          <w:p w14:paraId="475E506D" w14:textId="77777777" w:rsidR="002C0FD9" w:rsidRPr="00CA25CF" w:rsidRDefault="002C0FD9" w:rsidP="00CA25CF">
            <w:pPr>
              <w:rPr>
                <w:rFonts w:cs="Arial"/>
                <w:color w:val="FF0000"/>
                <w:sz w:val="21"/>
                <w:szCs w:val="21"/>
              </w:rPr>
            </w:pPr>
          </w:p>
        </w:tc>
        <w:tc>
          <w:tcPr>
            <w:tcW w:w="217" w:type="dxa"/>
          </w:tcPr>
          <w:p w14:paraId="0840383F" w14:textId="77777777" w:rsidR="002C0FD9" w:rsidRPr="00CA25CF" w:rsidRDefault="002C0FD9" w:rsidP="00CA25CF">
            <w:pPr>
              <w:rPr>
                <w:rFonts w:cs="Arial"/>
                <w:color w:val="FF0000"/>
                <w:sz w:val="21"/>
                <w:szCs w:val="21"/>
              </w:rPr>
            </w:pPr>
          </w:p>
        </w:tc>
        <w:tc>
          <w:tcPr>
            <w:tcW w:w="217" w:type="dxa"/>
          </w:tcPr>
          <w:p w14:paraId="22BA89C7" w14:textId="77777777" w:rsidR="002C0FD9" w:rsidRPr="00CA25CF" w:rsidRDefault="002C0FD9" w:rsidP="00CA25CF">
            <w:pPr>
              <w:rPr>
                <w:rFonts w:cs="Arial"/>
                <w:color w:val="FF0000"/>
                <w:sz w:val="21"/>
                <w:szCs w:val="21"/>
              </w:rPr>
            </w:pPr>
          </w:p>
        </w:tc>
        <w:tc>
          <w:tcPr>
            <w:tcW w:w="217" w:type="dxa"/>
          </w:tcPr>
          <w:p w14:paraId="6944564E" w14:textId="77777777" w:rsidR="002C0FD9" w:rsidRPr="00CA25CF" w:rsidRDefault="002C0FD9" w:rsidP="00CA25CF">
            <w:pPr>
              <w:rPr>
                <w:rFonts w:cs="Arial"/>
                <w:color w:val="FF0000"/>
                <w:sz w:val="21"/>
                <w:szCs w:val="21"/>
              </w:rPr>
            </w:pPr>
          </w:p>
        </w:tc>
        <w:tc>
          <w:tcPr>
            <w:tcW w:w="217" w:type="dxa"/>
          </w:tcPr>
          <w:p w14:paraId="7DAFE552" w14:textId="77777777" w:rsidR="002C0FD9" w:rsidRPr="00CA25CF" w:rsidRDefault="002C0FD9" w:rsidP="00CA25CF">
            <w:pPr>
              <w:rPr>
                <w:rFonts w:cs="Arial"/>
                <w:color w:val="FF0000"/>
                <w:sz w:val="21"/>
                <w:szCs w:val="21"/>
              </w:rPr>
            </w:pPr>
          </w:p>
        </w:tc>
        <w:tc>
          <w:tcPr>
            <w:tcW w:w="217" w:type="dxa"/>
          </w:tcPr>
          <w:p w14:paraId="5FFD65B6" w14:textId="77777777" w:rsidR="002C0FD9" w:rsidRPr="00CA25CF" w:rsidRDefault="002C0FD9" w:rsidP="00CA25CF">
            <w:pPr>
              <w:rPr>
                <w:rFonts w:cs="Arial"/>
                <w:color w:val="FF0000"/>
                <w:sz w:val="21"/>
                <w:szCs w:val="21"/>
              </w:rPr>
            </w:pPr>
          </w:p>
        </w:tc>
        <w:tc>
          <w:tcPr>
            <w:tcW w:w="217" w:type="dxa"/>
          </w:tcPr>
          <w:p w14:paraId="1733D8C0" w14:textId="77777777" w:rsidR="002C0FD9" w:rsidRPr="00CA25CF" w:rsidRDefault="002C0FD9" w:rsidP="00CA25CF">
            <w:pPr>
              <w:rPr>
                <w:rFonts w:cs="Arial"/>
                <w:color w:val="FF0000"/>
                <w:sz w:val="21"/>
                <w:szCs w:val="21"/>
              </w:rPr>
            </w:pPr>
          </w:p>
        </w:tc>
        <w:tc>
          <w:tcPr>
            <w:tcW w:w="217" w:type="dxa"/>
          </w:tcPr>
          <w:p w14:paraId="3B0F0B3A" w14:textId="77777777" w:rsidR="002C0FD9" w:rsidRPr="00CA25CF" w:rsidRDefault="002C0FD9" w:rsidP="00CA25CF">
            <w:pPr>
              <w:rPr>
                <w:rFonts w:cs="Arial"/>
                <w:color w:val="FF0000"/>
                <w:sz w:val="21"/>
                <w:szCs w:val="21"/>
              </w:rPr>
            </w:pPr>
          </w:p>
        </w:tc>
        <w:tc>
          <w:tcPr>
            <w:tcW w:w="217" w:type="dxa"/>
          </w:tcPr>
          <w:p w14:paraId="4B2E82DE" w14:textId="77777777" w:rsidR="002C0FD9" w:rsidRPr="00CA25CF" w:rsidRDefault="002C0FD9" w:rsidP="00CA25CF">
            <w:pPr>
              <w:rPr>
                <w:rFonts w:cs="Arial"/>
                <w:color w:val="FF0000"/>
                <w:sz w:val="21"/>
                <w:szCs w:val="21"/>
              </w:rPr>
            </w:pPr>
          </w:p>
        </w:tc>
        <w:tc>
          <w:tcPr>
            <w:tcW w:w="217" w:type="dxa"/>
          </w:tcPr>
          <w:p w14:paraId="525F4D79" w14:textId="77777777" w:rsidR="002C0FD9" w:rsidRPr="00CA25CF" w:rsidRDefault="002C0FD9" w:rsidP="00CA25CF">
            <w:pPr>
              <w:rPr>
                <w:rFonts w:cs="Arial"/>
                <w:color w:val="FF0000"/>
                <w:sz w:val="21"/>
                <w:szCs w:val="21"/>
              </w:rPr>
            </w:pPr>
          </w:p>
        </w:tc>
        <w:tc>
          <w:tcPr>
            <w:tcW w:w="217" w:type="dxa"/>
          </w:tcPr>
          <w:p w14:paraId="2D2BF818" w14:textId="77777777" w:rsidR="002C0FD9" w:rsidRPr="00CA25CF" w:rsidRDefault="002C0FD9" w:rsidP="00CA25CF">
            <w:pPr>
              <w:rPr>
                <w:rFonts w:cs="Arial"/>
                <w:color w:val="FF0000"/>
                <w:sz w:val="21"/>
                <w:szCs w:val="21"/>
              </w:rPr>
            </w:pPr>
          </w:p>
        </w:tc>
        <w:tc>
          <w:tcPr>
            <w:tcW w:w="217" w:type="dxa"/>
          </w:tcPr>
          <w:p w14:paraId="0AD98218" w14:textId="77777777" w:rsidR="002C0FD9" w:rsidRPr="00CA25CF" w:rsidRDefault="002C0FD9" w:rsidP="00CA25CF">
            <w:pPr>
              <w:rPr>
                <w:rFonts w:cs="Arial"/>
                <w:color w:val="FF0000"/>
                <w:sz w:val="21"/>
                <w:szCs w:val="21"/>
              </w:rPr>
            </w:pPr>
          </w:p>
        </w:tc>
        <w:tc>
          <w:tcPr>
            <w:tcW w:w="217" w:type="dxa"/>
          </w:tcPr>
          <w:p w14:paraId="5560903C" w14:textId="77777777" w:rsidR="002C0FD9" w:rsidRPr="00CA25CF" w:rsidRDefault="002C0FD9" w:rsidP="00CA25CF">
            <w:pPr>
              <w:rPr>
                <w:rFonts w:cs="Arial"/>
                <w:color w:val="FF0000"/>
                <w:sz w:val="21"/>
                <w:szCs w:val="21"/>
              </w:rPr>
            </w:pPr>
          </w:p>
        </w:tc>
        <w:tc>
          <w:tcPr>
            <w:tcW w:w="217" w:type="dxa"/>
          </w:tcPr>
          <w:p w14:paraId="748A2C81" w14:textId="77777777" w:rsidR="002C0FD9" w:rsidRPr="00CA25CF" w:rsidRDefault="002C0FD9" w:rsidP="00CA25CF">
            <w:pPr>
              <w:rPr>
                <w:rFonts w:cs="Arial"/>
                <w:color w:val="FF0000"/>
                <w:sz w:val="21"/>
                <w:szCs w:val="21"/>
              </w:rPr>
            </w:pPr>
          </w:p>
        </w:tc>
        <w:tc>
          <w:tcPr>
            <w:tcW w:w="217" w:type="dxa"/>
          </w:tcPr>
          <w:p w14:paraId="73DA417A" w14:textId="77777777" w:rsidR="002C0FD9" w:rsidRPr="00CA25CF" w:rsidRDefault="002C0FD9" w:rsidP="00CA25CF">
            <w:pPr>
              <w:rPr>
                <w:rFonts w:cs="Arial"/>
                <w:color w:val="FF0000"/>
                <w:sz w:val="21"/>
                <w:szCs w:val="21"/>
              </w:rPr>
            </w:pPr>
          </w:p>
        </w:tc>
        <w:tc>
          <w:tcPr>
            <w:tcW w:w="217" w:type="dxa"/>
          </w:tcPr>
          <w:p w14:paraId="170EE5D3" w14:textId="77777777" w:rsidR="002C0FD9" w:rsidRPr="00CA25CF" w:rsidRDefault="002C0FD9" w:rsidP="00CA25CF">
            <w:pPr>
              <w:rPr>
                <w:rFonts w:cs="Arial"/>
                <w:color w:val="FF0000"/>
                <w:sz w:val="21"/>
                <w:szCs w:val="21"/>
              </w:rPr>
            </w:pPr>
          </w:p>
        </w:tc>
        <w:tc>
          <w:tcPr>
            <w:tcW w:w="217" w:type="dxa"/>
          </w:tcPr>
          <w:p w14:paraId="319396E9" w14:textId="77777777" w:rsidR="002C0FD9" w:rsidRPr="00CA25CF" w:rsidRDefault="002C0FD9" w:rsidP="00CA25CF">
            <w:pPr>
              <w:rPr>
                <w:rFonts w:cs="Arial"/>
                <w:color w:val="FF0000"/>
                <w:sz w:val="21"/>
                <w:szCs w:val="21"/>
              </w:rPr>
            </w:pPr>
          </w:p>
        </w:tc>
        <w:tc>
          <w:tcPr>
            <w:tcW w:w="217" w:type="dxa"/>
          </w:tcPr>
          <w:p w14:paraId="06113886" w14:textId="77777777" w:rsidR="002C0FD9" w:rsidRPr="00CA25CF" w:rsidRDefault="002C0FD9" w:rsidP="00CA25CF">
            <w:pPr>
              <w:rPr>
                <w:rFonts w:cs="Arial"/>
                <w:color w:val="FF0000"/>
                <w:sz w:val="21"/>
                <w:szCs w:val="21"/>
              </w:rPr>
            </w:pPr>
          </w:p>
        </w:tc>
        <w:tc>
          <w:tcPr>
            <w:tcW w:w="217" w:type="dxa"/>
          </w:tcPr>
          <w:p w14:paraId="5DB211EB" w14:textId="77777777" w:rsidR="002C0FD9" w:rsidRPr="00CA25CF" w:rsidRDefault="002C0FD9" w:rsidP="00CA25CF">
            <w:pPr>
              <w:rPr>
                <w:rFonts w:cs="Arial"/>
                <w:color w:val="FF0000"/>
                <w:sz w:val="21"/>
                <w:szCs w:val="21"/>
              </w:rPr>
            </w:pPr>
          </w:p>
        </w:tc>
        <w:tc>
          <w:tcPr>
            <w:tcW w:w="217" w:type="dxa"/>
          </w:tcPr>
          <w:p w14:paraId="7512D6B6" w14:textId="77777777" w:rsidR="002C0FD9" w:rsidRPr="00CA25CF" w:rsidRDefault="002C0FD9" w:rsidP="00CA25CF">
            <w:pPr>
              <w:rPr>
                <w:rFonts w:cs="Arial"/>
                <w:color w:val="FF0000"/>
                <w:sz w:val="21"/>
                <w:szCs w:val="21"/>
              </w:rPr>
            </w:pPr>
          </w:p>
        </w:tc>
        <w:tc>
          <w:tcPr>
            <w:tcW w:w="217" w:type="dxa"/>
          </w:tcPr>
          <w:p w14:paraId="6EC3FDE0" w14:textId="77777777" w:rsidR="002C0FD9" w:rsidRPr="00CA25CF" w:rsidRDefault="002C0FD9" w:rsidP="00CA25CF">
            <w:pPr>
              <w:rPr>
                <w:rFonts w:cs="Arial"/>
                <w:color w:val="FF0000"/>
                <w:sz w:val="21"/>
                <w:szCs w:val="21"/>
              </w:rPr>
            </w:pPr>
          </w:p>
        </w:tc>
        <w:tc>
          <w:tcPr>
            <w:tcW w:w="217" w:type="dxa"/>
          </w:tcPr>
          <w:p w14:paraId="6FEF5AA8" w14:textId="77777777" w:rsidR="002C0FD9" w:rsidRPr="00CA25CF" w:rsidRDefault="002C0FD9" w:rsidP="00CA25CF">
            <w:pPr>
              <w:rPr>
                <w:rFonts w:cs="Arial"/>
                <w:color w:val="FF0000"/>
                <w:sz w:val="21"/>
                <w:szCs w:val="21"/>
              </w:rPr>
            </w:pPr>
          </w:p>
        </w:tc>
        <w:tc>
          <w:tcPr>
            <w:tcW w:w="217" w:type="dxa"/>
          </w:tcPr>
          <w:p w14:paraId="4C75C89B" w14:textId="77777777" w:rsidR="002C0FD9" w:rsidRPr="00CA25CF" w:rsidRDefault="002C0FD9" w:rsidP="00CA25CF">
            <w:pPr>
              <w:rPr>
                <w:rFonts w:cs="Arial"/>
                <w:color w:val="FF0000"/>
                <w:sz w:val="21"/>
                <w:szCs w:val="21"/>
              </w:rPr>
            </w:pPr>
          </w:p>
        </w:tc>
        <w:tc>
          <w:tcPr>
            <w:tcW w:w="217" w:type="dxa"/>
          </w:tcPr>
          <w:p w14:paraId="5D9DB999" w14:textId="77777777" w:rsidR="002C0FD9" w:rsidRPr="00CA25CF" w:rsidRDefault="002C0FD9" w:rsidP="00CA25CF">
            <w:pPr>
              <w:rPr>
                <w:rFonts w:cs="Arial"/>
                <w:color w:val="FF0000"/>
                <w:sz w:val="21"/>
                <w:szCs w:val="21"/>
              </w:rPr>
            </w:pPr>
          </w:p>
        </w:tc>
        <w:tc>
          <w:tcPr>
            <w:tcW w:w="217" w:type="dxa"/>
          </w:tcPr>
          <w:p w14:paraId="06E613E1" w14:textId="77777777" w:rsidR="002C0FD9" w:rsidRPr="00CA25CF" w:rsidRDefault="002C0FD9" w:rsidP="00CA25CF">
            <w:pPr>
              <w:rPr>
                <w:rFonts w:cs="Arial"/>
                <w:color w:val="FF0000"/>
                <w:sz w:val="21"/>
                <w:szCs w:val="21"/>
              </w:rPr>
            </w:pPr>
          </w:p>
        </w:tc>
        <w:tc>
          <w:tcPr>
            <w:tcW w:w="217" w:type="dxa"/>
          </w:tcPr>
          <w:p w14:paraId="4395446D" w14:textId="77777777" w:rsidR="002C0FD9" w:rsidRPr="00CA25CF" w:rsidRDefault="002C0FD9" w:rsidP="00CA25CF">
            <w:pPr>
              <w:rPr>
                <w:rFonts w:cs="Arial"/>
                <w:color w:val="FF0000"/>
                <w:sz w:val="21"/>
                <w:szCs w:val="21"/>
              </w:rPr>
            </w:pPr>
          </w:p>
        </w:tc>
        <w:tc>
          <w:tcPr>
            <w:tcW w:w="217" w:type="dxa"/>
          </w:tcPr>
          <w:p w14:paraId="506EF173" w14:textId="77777777" w:rsidR="002C0FD9" w:rsidRPr="00CA25CF" w:rsidRDefault="002C0FD9" w:rsidP="00CA25CF">
            <w:pPr>
              <w:rPr>
                <w:rFonts w:cs="Arial"/>
                <w:color w:val="FF0000"/>
                <w:sz w:val="21"/>
                <w:szCs w:val="21"/>
              </w:rPr>
            </w:pPr>
          </w:p>
        </w:tc>
        <w:tc>
          <w:tcPr>
            <w:tcW w:w="217" w:type="dxa"/>
          </w:tcPr>
          <w:p w14:paraId="4B31992D" w14:textId="77777777" w:rsidR="002C0FD9" w:rsidRPr="00CA25CF" w:rsidRDefault="002C0FD9" w:rsidP="00CA25CF">
            <w:pPr>
              <w:rPr>
                <w:rFonts w:cs="Arial"/>
                <w:color w:val="FF0000"/>
                <w:sz w:val="21"/>
                <w:szCs w:val="21"/>
              </w:rPr>
            </w:pPr>
          </w:p>
        </w:tc>
        <w:tc>
          <w:tcPr>
            <w:tcW w:w="217" w:type="dxa"/>
          </w:tcPr>
          <w:p w14:paraId="48CE295D" w14:textId="77777777" w:rsidR="002C0FD9" w:rsidRPr="00CA25CF" w:rsidRDefault="002C0FD9" w:rsidP="00CA25CF">
            <w:pPr>
              <w:rPr>
                <w:rFonts w:cs="Arial"/>
                <w:color w:val="FF0000"/>
                <w:sz w:val="21"/>
                <w:szCs w:val="21"/>
              </w:rPr>
            </w:pPr>
          </w:p>
        </w:tc>
        <w:tc>
          <w:tcPr>
            <w:tcW w:w="217" w:type="dxa"/>
          </w:tcPr>
          <w:p w14:paraId="2815C2B5" w14:textId="77777777" w:rsidR="002C0FD9" w:rsidRPr="00CA25CF" w:rsidRDefault="002C0FD9" w:rsidP="00CA25CF">
            <w:pPr>
              <w:rPr>
                <w:rFonts w:cs="Arial"/>
                <w:color w:val="FF0000"/>
                <w:sz w:val="21"/>
                <w:szCs w:val="21"/>
              </w:rPr>
            </w:pPr>
          </w:p>
        </w:tc>
        <w:tc>
          <w:tcPr>
            <w:tcW w:w="217" w:type="dxa"/>
          </w:tcPr>
          <w:p w14:paraId="65DB5F23" w14:textId="77777777" w:rsidR="002C0FD9" w:rsidRPr="00CA25CF" w:rsidRDefault="002C0FD9" w:rsidP="00CA25CF">
            <w:pPr>
              <w:rPr>
                <w:rFonts w:cs="Arial"/>
                <w:color w:val="FF0000"/>
                <w:sz w:val="21"/>
                <w:szCs w:val="21"/>
              </w:rPr>
            </w:pPr>
          </w:p>
        </w:tc>
        <w:tc>
          <w:tcPr>
            <w:tcW w:w="217" w:type="dxa"/>
          </w:tcPr>
          <w:p w14:paraId="2BDDA333" w14:textId="77777777" w:rsidR="002C0FD9" w:rsidRPr="00CA25CF" w:rsidRDefault="002C0FD9" w:rsidP="00CA25CF">
            <w:pPr>
              <w:rPr>
                <w:rFonts w:cs="Arial"/>
                <w:color w:val="FF0000"/>
                <w:sz w:val="21"/>
                <w:szCs w:val="21"/>
              </w:rPr>
            </w:pPr>
          </w:p>
        </w:tc>
        <w:tc>
          <w:tcPr>
            <w:tcW w:w="217" w:type="dxa"/>
          </w:tcPr>
          <w:p w14:paraId="70CA9B10" w14:textId="77777777" w:rsidR="002C0FD9" w:rsidRPr="00CA25CF" w:rsidRDefault="002C0FD9" w:rsidP="00CA25CF">
            <w:pPr>
              <w:rPr>
                <w:rFonts w:cs="Arial"/>
                <w:color w:val="FF0000"/>
                <w:sz w:val="21"/>
                <w:szCs w:val="21"/>
              </w:rPr>
            </w:pPr>
          </w:p>
        </w:tc>
        <w:tc>
          <w:tcPr>
            <w:tcW w:w="217" w:type="dxa"/>
          </w:tcPr>
          <w:p w14:paraId="27ABB637" w14:textId="77777777" w:rsidR="002C0FD9" w:rsidRPr="00CA25CF" w:rsidRDefault="002C0FD9" w:rsidP="00CA25CF">
            <w:pPr>
              <w:rPr>
                <w:rFonts w:cs="Arial"/>
                <w:color w:val="FF0000"/>
                <w:sz w:val="21"/>
                <w:szCs w:val="21"/>
              </w:rPr>
            </w:pPr>
          </w:p>
        </w:tc>
        <w:tc>
          <w:tcPr>
            <w:tcW w:w="217" w:type="dxa"/>
          </w:tcPr>
          <w:p w14:paraId="017A2A23" w14:textId="77777777" w:rsidR="002C0FD9" w:rsidRPr="00CA25CF" w:rsidRDefault="002C0FD9" w:rsidP="00CA25CF">
            <w:pPr>
              <w:rPr>
                <w:rFonts w:cs="Arial"/>
                <w:color w:val="FF0000"/>
                <w:sz w:val="21"/>
                <w:szCs w:val="21"/>
              </w:rPr>
            </w:pPr>
          </w:p>
        </w:tc>
        <w:tc>
          <w:tcPr>
            <w:tcW w:w="217" w:type="dxa"/>
          </w:tcPr>
          <w:p w14:paraId="46AF1F23" w14:textId="77777777" w:rsidR="002C0FD9" w:rsidRPr="00CA25CF" w:rsidRDefault="002C0FD9" w:rsidP="00CA25CF">
            <w:pPr>
              <w:rPr>
                <w:rFonts w:cs="Arial"/>
                <w:color w:val="FF0000"/>
                <w:sz w:val="21"/>
                <w:szCs w:val="21"/>
              </w:rPr>
            </w:pPr>
          </w:p>
        </w:tc>
        <w:tc>
          <w:tcPr>
            <w:tcW w:w="217" w:type="dxa"/>
          </w:tcPr>
          <w:p w14:paraId="474A51D0" w14:textId="77777777" w:rsidR="002C0FD9" w:rsidRPr="00CA25CF" w:rsidRDefault="002C0FD9" w:rsidP="00CA25CF">
            <w:pPr>
              <w:rPr>
                <w:rFonts w:cs="Arial"/>
                <w:color w:val="FF0000"/>
                <w:sz w:val="21"/>
                <w:szCs w:val="21"/>
              </w:rPr>
            </w:pPr>
          </w:p>
        </w:tc>
        <w:tc>
          <w:tcPr>
            <w:tcW w:w="217" w:type="dxa"/>
          </w:tcPr>
          <w:p w14:paraId="0931848A" w14:textId="77777777" w:rsidR="002C0FD9" w:rsidRPr="00CA25CF" w:rsidRDefault="002C0FD9" w:rsidP="00CA25CF">
            <w:pPr>
              <w:rPr>
                <w:rFonts w:cs="Arial"/>
                <w:color w:val="FF0000"/>
                <w:sz w:val="21"/>
                <w:szCs w:val="21"/>
              </w:rPr>
            </w:pPr>
          </w:p>
        </w:tc>
        <w:tc>
          <w:tcPr>
            <w:tcW w:w="217" w:type="dxa"/>
          </w:tcPr>
          <w:p w14:paraId="4BB64BCB" w14:textId="77777777" w:rsidR="002C0FD9" w:rsidRPr="00CA25CF" w:rsidRDefault="002C0FD9" w:rsidP="00CA25CF">
            <w:pPr>
              <w:rPr>
                <w:rFonts w:cs="Arial"/>
                <w:color w:val="FF0000"/>
                <w:sz w:val="21"/>
                <w:szCs w:val="21"/>
              </w:rPr>
            </w:pPr>
          </w:p>
        </w:tc>
        <w:tc>
          <w:tcPr>
            <w:tcW w:w="217" w:type="dxa"/>
          </w:tcPr>
          <w:p w14:paraId="2B868449" w14:textId="77777777" w:rsidR="002C0FD9" w:rsidRPr="00CA25CF" w:rsidRDefault="002C0FD9" w:rsidP="00CA25CF">
            <w:pPr>
              <w:rPr>
                <w:rFonts w:cs="Arial"/>
                <w:color w:val="FF0000"/>
                <w:sz w:val="21"/>
                <w:szCs w:val="21"/>
              </w:rPr>
            </w:pPr>
          </w:p>
        </w:tc>
      </w:tr>
      <w:tr w:rsidR="002C0FD9" w:rsidRPr="00A16219" w14:paraId="7666A27A" w14:textId="09D3C1B9" w:rsidTr="002C0FD9">
        <w:trPr>
          <w:trHeight w:val="635"/>
        </w:trPr>
        <w:tc>
          <w:tcPr>
            <w:tcW w:w="515" w:type="dxa"/>
          </w:tcPr>
          <w:p w14:paraId="5602BD0E" w14:textId="77777777" w:rsidR="002C0FD9" w:rsidRPr="00CA25CF" w:rsidRDefault="002C0FD9" w:rsidP="00CA25CF">
            <w:pPr>
              <w:rPr>
                <w:rFonts w:cs="Arial"/>
                <w:color w:val="FF0000"/>
                <w:sz w:val="21"/>
                <w:szCs w:val="21"/>
              </w:rPr>
            </w:pPr>
          </w:p>
        </w:tc>
        <w:tc>
          <w:tcPr>
            <w:tcW w:w="217" w:type="dxa"/>
          </w:tcPr>
          <w:p w14:paraId="52C72FB5" w14:textId="77777777" w:rsidR="002C0FD9" w:rsidRPr="00CA25CF" w:rsidRDefault="002C0FD9" w:rsidP="00CA25CF">
            <w:pPr>
              <w:rPr>
                <w:rFonts w:cs="Arial"/>
                <w:color w:val="FF0000"/>
                <w:sz w:val="21"/>
                <w:szCs w:val="21"/>
              </w:rPr>
            </w:pPr>
          </w:p>
        </w:tc>
        <w:tc>
          <w:tcPr>
            <w:tcW w:w="217" w:type="dxa"/>
          </w:tcPr>
          <w:p w14:paraId="421B95DB" w14:textId="275DC123" w:rsidR="002C0FD9" w:rsidRPr="00CA25CF" w:rsidRDefault="002C0FD9" w:rsidP="00CA25CF">
            <w:pPr>
              <w:rPr>
                <w:rFonts w:cs="Arial"/>
                <w:color w:val="FF0000"/>
                <w:sz w:val="21"/>
                <w:szCs w:val="21"/>
              </w:rPr>
            </w:pPr>
          </w:p>
        </w:tc>
        <w:tc>
          <w:tcPr>
            <w:tcW w:w="217" w:type="dxa"/>
          </w:tcPr>
          <w:p w14:paraId="3750CF3F" w14:textId="77777777" w:rsidR="002C0FD9" w:rsidRPr="00CA25CF" w:rsidRDefault="002C0FD9" w:rsidP="00CA25CF">
            <w:pPr>
              <w:rPr>
                <w:rFonts w:cs="Arial"/>
                <w:color w:val="FF0000"/>
                <w:sz w:val="21"/>
                <w:szCs w:val="21"/>
              </w:rPr>
            </w:pPr>
          </w:p>
        </w:tc>
        <w:tc>
          <w:tcPr>
            <w:tcW w:w="217" w:type="dxa"/>
          </w:tcPr>
          <w:p w14:paraId="322B71D0" w14:textId="77777777" w:rsidR="002C0FD9" w:rsidRPr="00CA25CF" w:rsidRDefault="002C0FD9" w:rsidP="00CA25CF">
            <w:pPr>
              <w:rPr>
                <w:rFonts w:cs="Arial"/>
                <w:color w:val="FF0000"/>
                <w:sz w:val="21"/>
                <w:szCs w:val="21"/>
              </w:rPr>
            </w:pPr>
          </w:p>
        </w:tc>
        <w:tc>
          <w:tcPr>
            <w:tcW w:w="217" w:type="dxa"/>
          </w:tcPr>
          <w:p w14:paraId="47BA0ECE" w14:textId="77777777" w:rsidR="002C0FD9" w:rsidRPr="00CA25CF" w:rsidRDefault="002C0FD9" w:rsidP="00CA25CF">
            <w:pPr>
              <w:rPr>
                <w:rFonts w:cs="Arial"/>
                <w:color w:val="FF0000"/>
                <w:sz w:val="21"/>
                <w:szCs w:val="21"/>
              </w:rPr>
            </w:pPr>
          </w:p>
        </w:tc>
        <w:tc>
          <w:tcPr>
            <w:tcW w:w="217" w:type="dxa"/>
          </w:tcPr>
          <w:p w14:paraId="47D6D14C" w14:textId="77777777" w:rsidR="002C0FD9" w:rsidRPr="00CA25CF" w:rsidRDefault="002C0FD9" w:rsidP="00CA25CF">
            <w:pPr>
              <w:rPr>
                <w:rFonts w:cs="Arial"/>
                <w:color w:val="FF0000"/>
                <w:sz w:val="21"/>
                <w:szCs w:val="21"/>
              </w:rPr>
            </w:pPr>
          </w:p>
        </w:tc>
        <w:tc>
          <w:tcPr>
            <w:tcW w:w="217" w:type="dxa"/>
          </w:tcPr>
          <w:p w14:paraId="17282FFF" w14:textId="77777777" w:rsidR="002C0FD9" w:rsidRPr="00CA25CF" w:rsidRDefault="002C0FD9" w:rsidP="00CA25CF">
            <w:pPr>
              <w:rPr>
                <w:rFonts w:cs="Arial"/>
                <w:color w:val="FF0000"/>
                <w:sz w:val="21"/>
                <w:szCs w:val="21"/>
              </w:rPr>
            </w:pPr>
          </w:p>
        </w:tc>
        <w:tc>
          <w:tcPr>
            <w:tcW w:w="217" w:type="dxa"/>
          </w:tcPr>
          <w:p w14:paraId="7BC605E0" w14:textId="77777777" w:rsidR="002C0FD9" w:rsidRPr="00CA25CF" w:rsidRDefault="002C0FD9" w:rsidP="00CA25CF">
            <w:pPr>
              <w:rPr>
                <w:rFonts w:cs="Arial"/>
                <w:color w:val="FF0000"/>
                <w:sz w:val="21"/>
                <w:szCs w:val="21"/>
              </w:rPr>
            </w:pPr>
          </w:p>
        </w:tc>
        <w:tc>
          <w:tcPr>
            <w:tcW w:w="217" w:type="dxa"/>
          </w:tcPr>
          <w:p w14:paraId="76DC6413" w14:textId="77777777" w:rsidR="002C0FD9" w:rsidRPr="00CA25CF" w:rsidRDefault="002C0FD9" w:rsidP="00CA25CF">
            <w:pPr>
              <w:rPr>
                <w:rFonts w:cs="Arial"/>
                <w:color w:val="FF0000"/>
                <w:sz w:val="21"/>
                <w:szCs w:val="21"/>
              </w:rPr>
            </w:pPr>
          </w:p>
        </w:tc>
        <w:tc>
          <w:tcPr>
            <w:tcW w:w="217" w:type="dxa"/>
          </w:tcPr>
          <w:p w14:paraId="7FF816EC" w14:textId="77777777" w:rsidR="002C0FD9" w:rsidRPr="00CA25CF" w:rsidRDefault="002C0FD9" w:rsidP="00CA25CF">
            <w:pPr>
              <w:rPr>
                <w:rFonts w:cs="Arial"/>
                <w:color w:val="FF0000"/>
                <w:sz w:val="21"/>
                <w:szCs w:val="21"/>
              </w:rPr>
            </w:pPr>
          </w:p>
        </w:tc>
        <w:tc>
          <w:tcPr>
            <w:tcW w:w="217" w:type="dxa"/>
          </w:tcPr>
          <w:p w14:paraId="6B945CD5" w14:textId="77777777" w:rsidR="002C0FD9" w:rsidRPr="00CA25CF" w:rsidRDefault="002C0FD9" w:rsidP="00CA25CF">
            <w:pPr>
              <w:rPr>
                <w:rFonts w:cs="Arial"/>
                <w:color w:val="FF0000"/>
                <w:sz w:val="21"/>
                <w:szCs w:val="21"/>
              </w:rPr>
            </w:pPr>
          </w:p>
        </w:tc>
        <w:tc>
          <w:tcPr>
            <w:tcW w:w="217" w:type="dxa"/>
          </w:tcPr>
          <w:p w14:paraId="35BA5662" w14:textId="77777777" w:rsidR="002C0FD9" w:rsidRPr="00CA25CF" w:rsidRDefault="002C0FD9" w:rsidP="00CA25CF">
            <w:pPr>
              <w:rPr>
                <w:rFonts w:cs="Arial"/>
                <w:color w:val="FF0000"/>
                <w:sz w:val="21"/>
                <w:szCs w:val="21"/>
              </w:rPr>
            </w:pPr>
          </w:p>
        </w:tc>
        <w:tc>
          <w:tcPr>
            <w:tcW w:w="217" w:type="dxa"/>
          </w:tcPr>
          <w:p w14:paraId="4890C2F2" w14:textId="77777777" w:rsidR="002C0FD9" w:rsidRPr="00CA25CF" w:rsidRDefault="002C0FD9" w:rsidP="00CA25CF">
            <w:pPr>
              <w:rPr>
                <w:rFonts w:cs="Arial"/>
                <w:color w:val="FF0000"/>
                <w:sz w:val="21"/>
                <w:szCs w:val="21"/>
              </w:rPr>
            </w:pPr>
          </w:p>
        </w:tc>
        <w:tc>
          <w:tcPr>
            <w:tcW w:w="217" w:type="dxa"/>
          </w:tcPr>
          <w:p w14:paraId="7493937B" w14:textId="77777777" w:rsidR="002C0FD9" w:rsidRPr="00CA25CF" w:rsidRDefault="002C0FD9" w:rsidP="00CA25CF">
            <w:pPr>
              <w:rPr>
                <w:rFonts w:cs="Arial"/>
                <w:color w:val="FF0000"/>
                <w:sz w:val="21"/>
                <w:szCs w:val="21"/>
              </w:rPr>
            </w:pPr>
          </w:p>
        </w:tc>
        <w:tc>
          <w:tcPr>
            <w:tcW w:w="217" w:type="dxa"/>
          </w:tcPr>
          <w:p w14:paraId="5C8DC028" w14:textId="77777777" w:rsidR="002C0FD9" w:rsidRPr="00CA25CF" w:rsidRDefault="002C0FD9" w:rsidP="00CA25CF">
            <w:pPr>
              <w:rPr>
                <w:rFonts w:cs="Arial"/>
                <w:color w:val="FF0000"/>
                <w:sz w:val="21"/>
                <w:szCs w:val="21"/>
              </w:rPr>
            </w:pPr>
          </w:p>
        </w:tc>
        <w:tc>
          <w:tcPr>
            <w:tcW w:w="217" w:type="dxa"/>
          </w:tcPr>
          <w:p w14:paraId="45119CB7" w14:textId="77777777" w:rsidR="002C0FD9" w:rsidRPr="00CA25CF" w:rsidRDefault="002C0FD9" w:rsidP="00CA25CF">
            <w:pPr>
              <w:rPr>
                <w:rFonts w:cs="Arial"/>
                <w:color w:val="FF0000"/>
                <w:sz w:val="21"/>
                <w:szCs w:val="21"/>
              </w:rPr>
            </w:pPr>
          </w:p>
        </w:tc>
        <w:tc>
          <w:tcPr>
            <w:tcW w:w="217" w:type="dxa"/>
          </w:tcPr>
          <w:p w14:paraId="4FB5FEAF" w14:textId="77777777" w:rsidR="002C0FD9" w:rsidRPr="00CA25CF" w:rsidRDefault="002C0FD9" w:rsidP="00CA25CF">
            <w:pPr>
              <w:rPr>
                <w:rFonts w:cs="Arial"/>
                <w:color w:val="FF0000"/>
                <w:sz w:val="21"/>
                <w:szCs w:val="21"/>
              </w:rPr>
            </w:pPr>
          </w:p>
        </w:tc>
        <w:tc>
          <w:tcPr>
            <w:tcW w:w="217" w:type="dxa"/>
          </w:tcPr>
          <w:p w14:paraId="13F85020" w14:textId="77777777" w:rsidR="002C0FD9" w:rsidRPr="00CA25CF" w:rsidRDefault="002C0FD9" w:rsidP="00CA25CF">
            <w:pPr>
              <w:rPr>
                <w:rFonts w:cs="Arial"/>
                <w:color w:val="FF0000"/>
                <w:sz w:val="21"/>
                <w:szCs w:val="21"/>
              </w:rPr>
            </w:pPr>
          </w:p>
        </w:tc>
        <w:tc>
          <w:tcPr>
            <w:tcW w:w="217" w:type="dxa"/>
          </w:tcPr>
          <w:p w14:paraId="38269938" w14:textId="77777777" w:rsidR="002C0FD9" w:rsidRPr="00CA25CF" w:rsidRDefault="002C0FD9" w:rsidP="00CA25CF">
            <w:pPr>
              <w:rPr>
                <w:rFonts w:cs="Arial"/>
                <w:color w:val="FF0000"/>
                <w:sz w:val="21"/>
                <w:szCs w:val="21"/>
              </w:rPr>
            </w:pPr>
          </w:p>
        </w:tc>
        <w:tc>
          <w:tcPr>
            <w:tcW w:w="217" w:type="dxa"/>
          </w:tcPr>
          <w:p w14:paraId="3BD0B8A9" w14:textId="77777777" w:rsidR="002C0FD9" w:rsidRPr="00CA25CF" w:rsidRDefault="002C0FD9" w:rsidP="00CA25CF">
            <w:pPr>
              <w:rPr>
                <w:rFonts w:cs="Arial"/>
                <w:color w:val="FF0000"/>
                <w:sz w:val="21"/>
                <w:szCs w:val="21"/>
              </w:rPr>
            </w:pPr>
          </w:p>
        </w:tc>
        <w:tc>
          <w:tcPr>
            <w:tcW w:w="217" w:type="dxa"/>
          </w:tcPr>
          <w:p w14:paraId="5148F187" w14:textId="77777777" w:rsidR="002C0FD9" w:rsidRPr="00CA25CF" w:rsidRDefault="002C0FD9" w:rsidP="00CA25CF">
            <w:pPr>
              <w:rPr>
                <w:rFonts w:cs="Arial"/>
                <w:color w:val="FF0000"/>
                <w:sz w:val="21"/>
                <w:szCs w:val="21"/>
              </w:rPr>
            </w:pPr>
          </w:p>
        </w:tc>
        <w:tc>
          <w:tcPr>
            <w:tcW w:w="217" w:type="dxa"/>
          </w:tcPr>
          <w:p w14:paraId="1BBB89AF" w14:textId="77777777" w:rsidR="002C0FD9" w:rsidRPr="00CA25CF" w:rsidRDefault="002C0FD9" w:rsidP="00CA25CF">
            <w:pPr>
              <w:rPr>
                <w:rFonts w:cs="Arial"/>
                <w:color w:val="FF0000"/>
                <w:sz w:val="21"/>
                <w:szCs w:val="21"/>
              </w:rPr>
            </w:pPr>
          </w:p>
        </w:tc>
        <w:tc>
          <w:tcPr>
            <w:tcW w:w="217" w:type="dxa"/>
          </w:tcPr>
          <w:p w14:paraId="049DD040" w14:textId="77777777" w:rsidR="002C0FD9" w:rsidRPr="00CA25CF" w:rsidRDefault="002C0FD9" w:rsidP="00CA25CF">
            <w:pPr>
              <w:rPr>
                <w:rFonts w:cs="Arial"/>
                <w:color w:val="FF0000"/>
                <w:sz w:val="21"/>
                <w:szCs w:val="21"/>
              </w:rPr>
            </w:pPr>
          </w:p>
        </w:tc>
        <w:tc>
          <w:tcPr>
            <w:tcW w:w="217" w:type="dxa"/>
          </w:tcPr>
          <w:p w14:paraId="354ADA47" w14:textId="77777777" w:rsidR="002C0FD9" w:rsidRPr="00CA25CF" w:rsidRDefault="002C0FD9" w:rsidP="00CA25CF">
            <w:pPr>
              <w:rPr>
                <w:rFonts w:cs="Arial"/>
                <w:color w:val="FF0000"/>
                <w:sz w:val="21"/>
                <w:szCs w:val="21"/>
              </w:rPr>
            </w:pPr>
          </w:p>
        </w:tc>
        <w:tc>
          <w:tcPr>
            <w:tcW w:w="217" w:type="dxa"/>
          </w:tcPr>
          <w:p w14:paraId="13A4A405" w14:textId="77777777" w:rsidR="002C0FD9" w:rsidRPr="00CA25CF" w:rsidRDefault="002C0FD9" w:rsidP="00CA25CF">
            <w:pPr>
              <w:rPr>
                <w:rFonts w:cs="Arial"/>
                <w:color w:val="FF0000"/>
                <w:sz w:val="21"/>
                <w:szCs w:val="21"/>
              </w:rPr>
            </w:pPr>
          </w:p>
        </w:tc>
        <w:tc>
          <w:tcPr>
            <w:tcW w:w="217" w:type="dxa"/>
          </w:tcPr>
          <w:p w14:paraId="2E351F92" w14:textId="77777777" w:rsidR="002C0FD9" w:rsidRPr="00CA25CF" w:rsidRDefault="002C0FD9" w:rsidP="00CA25CF">
            <w:pPr>
              <w:rPr>
                <w:rFonts w:cs="Arial"/>
                <w:color w:val="FF0000"/>
                <w:sz w:val="21"/>
                <w:szCs w:val="21"/>
              </w:rPr>
            </w:pPr>
          </w:p>
        </w:tc>
        <w:tc>
          <w:tcPr>
            <w:tcW w:w="217" w:type="dxa"/>
          </w:tcPr>
          <w:p w14:paraId="4708F004" w14:textId="77777777" w:rsidR="002C0FD9" w:rsidRPr="00CA25CF" w:rsidRDefault="002C0FD9" w:rsidP="00CA25CF">
            <w:pPr>
              <w:rPr>
                <w:rFonts w:cs="Arial"/>
                <w:color w:val="FF0000"/>
                <w:sz w:val="21"/>
                <w:szCs w:val="21"/>
              </w:rPr>
            </w:pPr>
          </w:p>
        </w:tc>
        <w:tc>
          <w:tcPr>
            <w:tcW w:w="217" w:type="dxa"/>
          </w:tcPr>
          <w:p w14:paraId="3CECAA56" w14:textId="77777777" w:rsidR="002C0FD9" w:rsidRPr="00CA25CF" w:rsidRDefault="002C0FD9" w:rsidP="00CA25CF">
            <w:pPr>
              <w:rPr>
                <w:rFonts w:cs="Arial"/>
                <w:color w:val="FF0000"/>
                <w:sz w:val="21"/>
                <w:szCs w:val="21"/>
              </w:rPr>
            </w:pPr>
          </w:p>
        </w:tc>
        <w:tc>
          <w:tcPr>
            <w:tcW w:w="217" w:type="dxa"/>
          </w:tcPr>
          <w:p w14:paraId="5E4F79C3" w14:textId="77777777" w:rsidR="002C0FD9" w:rsidRPr="00CA25CF" w:rsidRDefault="002C0FD9" w:rsidP="00CA25CF">
            <w:pPr>
              <w:rPr>
                <w:rFonts w:cs="Arial"/>
                <w:color w:val="FF0000"/>
                <w:sz w:val="21"/>
                <w:szCs w:val="21"/>
              </w:rPr>
            </w:pPr>
          </w:p>
        </w:tc>
        <w:tc>
          <w:tcPr>
            <w:tcW w:w="217" w:type="dxa"/>
          </w:tcPr>
          <w:p w14:paraId="29FF037C" w14:textId="77777777" w:rsidR="002C0FD9" w:rsidRPr="00CA25CF" w:rsidRDefault="002C0FD9" w:rsidP="00CA25CF">
            <w:pPr>
              <w:rPr>
                <w:rFonts w:cs="Arial"/>
                <w:color w:val="FF0000"/>
                <w:sz w:val="21"/>
                <w:szCs w:val="21"/>
              </w:rPr>
            </w:pPr>
          </w:p>
        </w:tc>
        <w:tc>
          <w:tcPr>
            <w:tcW w:w="217" w:type="dxa"/>
          </w:tcPr>
          <w:p w14:paraId="37357720" w14:textId="77777777" w:rsidR="002C0FD9" w:rsidRPr="00CA25CF" w:rsidRDefault="002C0FD9" w:rsidP="00CA25CF">
            <w:pPr>
              <w:rPr>
                <w:rFonts w:cs="Arial"/>
                <w:color w:val="FF0000"/>
                <w:sz w:val="21"/>
                <w:szCs w:val="21"/>
              </w:rPr>
            </w:pPr>
          </w:p>
        </w:tc>
        <w:tc>
          <w:tcPr>
            <w:tcW w:w="217" w:type="dxa"/>
          </w:tcPr>
          <w:p w14:paraId="1927E09E" w14:textId="77777777" w:rsidR="002C0FD9" w:rsidRPr="00CA25CF" w:rsidRDefault="002C0FD9" w:rsidP="00CA25CF">
            <w:pPr>
              <w:rPr>
                <w:rFonts w:cs="Arial"/>
                <w:color w:val="FF0000"/>
                <w:sz w:val="21"/>
                <w:szCs w:val="21"/>
              </w:rPr>
            </w:pPr>
          </w:p>
        </w:tc>
        <w:tc>
          <w:tcPr>
            <w:tcW w:w="217" w:type="dxa"/>
          </w:tcPr>
          <w:p w14:paraId="29E0C6A5" w14:textId="77777777" w:rsidR="002C0FD9" w:rsidRPr="00CA25CF" w:rsidRDefault="002C0FD9" w:rsidP="00CA25CF">
            <w:pPr>
              <w:rPr>
                <w:rFonts w:cs="Arial"/>
                <w:color w:val="FF0000"/>
                <w:sz w:val="21"/>
                <w:szCs w:val="21"/>
              </w:rPr>
            </w:pPr>
          </w:p>
        </w:tc>
        <w:tc>
          <w:tcPr>
            <w:tcW w:w="217" w:type="dxa"/>
          </w:tcPr>
          <w:p w14:paraId="2F317917" w14:textId="77777777" w:rsidR="002C0FD9" w:rsidRPr="00CA25CF" w:rsidRDefault="002C0FD9" w:rsidP="00CA25CF">
            <w:pPr>
              <w:rPr>
                <w:rFonts w:cs="Arial"/>
                <w:color w:val="FF0000"/>
                <w:sz w:val="21"/>
                <w:szCs w:val="21"/>
              </w:rPr>
            </w:pPr>
          </w:p>
        </w:tc>
        <w:tc>
          <w:tcPr>
            <w:tcW w:w="217" w:type="dxa"/>
          </w:tcPr>
          <w:p w14:paraId="17FF3655" w14:textId="77777777" w:rsidR="002C0FD9" w:rsidRPr="00CA25CF" w:rsidRDefault="002C0FD9" w:rsidP="00CA25CF">
            <w:pPr>
              <w:rPr>
                <w:rFonts w:cs="Arial"/>
                <w:color w:val="FF0000"/>
                <w:sz w:val="21"/>
                <w:szCs w:val="21"/>
              </w:rPr>
            </w:pPr>
          </w:p>
        </w:tc>
        <w:tc>
          <w:tcPr>
            <w:tcW w:w="217" w:type="dxa"/>
          </w:tcPr>
          <w:p w14:paraId="34D41F97" w14:textId="77777777" w:rsidR="002C0FD9" w:rsidRPr="00CA25CF" w:rsidRDefault="002C0FD9" w:rsidP="00CA25CF">
            <w:pPr>
              <w:rPr>
                <w:rFonts w:cs="Arial"/>
                <w:color w:val="FF0000"/>
                <w:sz w:val="21"/>
                <w:szCs w:val="21"/>
              </w:rPr>
            </w:pPr>
          </w:p>
        </w:tc>
        <w:tc>
          <w:tcPr>
            <w:tcW w:w="217" w:type="dxa"/>
          </w:tcPr>
          <w:p w14:paraId="48CCACFC" w14:textId="77777777" w:rsidR="002C0FD9" w:rsidRPr="00CA25CF" w:rsidRDefault="002C0FD9" w:rsidP="00CA25CF">
            <w:pPr>
              <w:rPr>
                <w:rFonts w:cs="Arial"/>
                <w:color w:val="FF0000"/>
                <w:sz w:val="21"/>
                <w:szCs w:val="21"/>
              </w:rPr>
            </w:pPr>
          </w:p>
        </w:tc>
        <w:tc>
          <w:tcPr>
            <w:tcW w:w="217" w:type="dxa"/>
          </w:tcPr>
          <w:p w14:paraId="6F15242C" w14:textId="77777777" w:rsidR="002C0FD9" w:rsidRPr="00CA25CF" w:rsidRDefault="002C0FD9" w:rsidP="00CA25CF">
            <w:pPr>
              <w:rPr>
                <w:rFonts w:cs="Arial"/>
                <w:color w:val="FF0000"/>
                <w:sz w:val="21"/>
                <w:szCs w:val="21"/>
              </w:rPr>
            </w:pPr>
          </w:p>
        </w:tc>
        <w:tc>
          <w:tcPr>
            <w:tcW w:w="217" w:type="dxa"/>
          </w:tcPr>
          <w:p w14:paraId="1919AA04" w14:textId="77777777" w:rsidR="002C0FD9" w:rsidRPr="00CA25CF" w:rsidRDefault="002C0FD9" w:rsidP="00CA25CF">
            <w:pPr>
              <w:rPr>
                <w:rFonts w:cs="Arial"/>
                <w:color w:val="FF0000"/>
                <w:sz w:val="21"/>
                <w:szCs w:val="21"/>
              </w:rPr>
            </w:pPr>
          </w:p>
        </w:tc>
        <w:tc>
          <w:tcPr>
            <w:tcW w:w="217" w:type="dxa"/>
          </w:tcPr>
          <w:p w14:paraId="089C22DD" w14:textId="77777777" w:rsidR="002C0FD9" w:rsidRPr="00CA25CF" w:rsidRDefault="002C0FD9" w:rsidP="00CA25CF">
            <w:pPr>
              <w:rPr>
                <w:rFonts w:cs="Arial"/>
                <w:color w:val="FF0000"/>
                <w:sz w:val="21"/>
                <w:szCs w:val="21"/>
              </w:rPr>
            </w:pPr>
          </w:p>
        </w:tc>
        <w:tc>
          <w:tcPr>
            <w:tcW w:w="217" w:type="dxa"/>
          </w:tcPr>
          <w:p w14:paraId="68F22FBB" w14:textId="77777777" w:rsidR="002C0FD9" w:rsidRPr="00CA25CF" w:rsidRDefault="002C0FD9" w:rsidP="00CA25CF">
            <w:pPr>
              <w:rPr>
                <w:rFonts w:cs="Arial"/>
                <w:color w:val="FF0000"/>
                <w:sz w:val="21"/>
                <w:szCs w:val="21"/>
              </w:rPr>
            </w:pPr>
          </w:p>
        </w:tc>
        <w:tc>
          <w:tcPr>
            <w:tcW w:w="217" w:type="dxa"/>
          </w:tcPr>
          <w:p w14:paraId="2E1E02A9" w14:textId="77777777" w:rsidR="002C0FD9" w:rsidRPr="00CA25CF" w:rsidRDefault="002C0FD9" w:rsidP="00CA25CF">
            <w:pPr>
              <w:rPr>
                <w:rFonts w:cs="Arial"/>
                <w:color w:val="FF0000"/>
                <w:sz w:val="21"/>
                <w:szCs w:val="21"/>
              </w:rPr>
            </w:pPr>
          </w:p>
        </w:tc>
      </w:tr>
      <w:tr w:rsidR="002C0FD9" w:rsidRPr="00A16219" w14:paraId="5515206E" w14:textId="3ED21474" w:rsidTr="002C0FD9">
        <w:trPr>
          <w:trHeight w:val="635"/>
        </w:trPr>
        <w:tc>
          <w:tcPr>
            <w:tcW w:w="515" w:type="dxa"/>
          </w:tcPr>
          <w:p w14:paraId="5A742BBD" w14:textId="77777777" w:rsidR="002C0FD9" w:rsidRPr="00CA25CF" w:rsidRDefault="002C0FD9" w:rsidP="00CA25CF">
            <w:pPr>
              <w:rPr>
                <w:rFonts w:cs="Arial"/>
                <w:color w:val="FF0000"/>
                <w:sz w:val="21"/>
                <w:szCs w:val="21"/>
              </w:rPr>
            </w:pPr>
          </w:p>
        </w:tc>
        <w:tc>
          <w:tcPr>
            <w:tcW w:w="217" w:type="dxa"/>
          </w:tcPr>
          <w:p w14:paraId="1F418AD9" w14:textId="77777777" w:rsidR="002C0FD9" w:rsidRPr="00CA25CF" w:rsidRDefault="002C0FD9" w:rsidP="00CA25CF">
            <w:pPr>
              <w:rPr>
                <w:rFonts w:cs="Arial"/>
                <w:color w:val="FF0000"/>
                <w:sz w:val="21"/>
                <w:szCs w:val="21"/>
              </w:rPr>
            </w:pPr>
          </w:p>
        </w:tc>
        <w:tc>
          <w:tcPr>
            <w:tcW w:w="217" w:type="dxa"/>
          </w:tcPr>
          <w:p w14:paraId="35BED072" w14:textId="60B1C78E" w:rsidR="002C0FD9" w:rsidRPr="00CA25CF" w:rsidRDefault="002C0FD9" w:rsidP="00CA25CF">
            <w:pPr>
              <w:rPr>
                <w:rFonts w:cs="Arial"/>
                <w:color w:val="FF0000"/>
                <w:sz w:val="21"/>
                <w:szCs w:val="21"/>
              </w:rPr>
            </w:pPr>
          </w:p>
        </w:tc>
        <w:tc>
          <w:tcPr>
            <w:tcW w:w="217" w:type="dxa"/>
          </w:tcPr>
          <w:p w14:paraId="744F76A2" w14:textId="77777777" w:rsidR="002C0FD9" w:rsidRPr="00CA25CF" w:rsidRDefault="002C0FD9" w:rsidP="00CA25CF">
            <w:pPr>
              <w:rPr>
                <w:rFonts w:cs="Arial"/>
                <w:color w:val="FF0000"/>
                <w:sz w:val="21"/>
                <w:szCs w:val="21"/>
              </w:rPr>
            </w:pPr>
          </w:p>
        </w:tc>
        <w:tc>
          <w:tcPr>
            <w:tcW w:w="217" w:type="dxa"/>
          </w:tcPr>
          <w:p w14:paraId="27872129" w14:textId="77777777" w:rsidR="002C0FD9" w:rsidRPr="00CA25CF" w:rsidRDefault="002C0FD9" w:rsidP="00CA25CF">
            <w:pPr>
              <w:rPr>
                <w:rFonts w:cs="Arial"/>
                <w:color w:val="FF0000"/>
                <w:sz w:val="21"/>
                <w:szCs w:val="21"/>
              </w:rPr>
            </w:pPr>
          </w:p>
        </w:tc>
        <w:tc>
          <w:tcPr>
            <w:tcW w:w="217" w:type="dxa"/>
          </w:tcPr>
          <w:p w14:paraId="060FE290" w14:textId="77777777" w:rsidR="002C0FD9" w:rsidRPr="00CA25CF" w:rsidRDefault="002C0FD9" w:rsidP="00CA25CF">
            <w:pPr>
              <w:rPr>
                <w:rFonts w:cs="Arial"/>
                <w:color w:val="FF0000"/>
                <w:sz w:val="21"/>
                <w:szCs w:val="21"/>
              </w:rPr>
            </w:pPr>
          </w:p>
        </w:tc>
        <w:tc>
          <w:tcPr>
            <w:tcW w:w="217" w:type="dxa"/>
          </w:tcPr>
          <w:p w14:paraId="2A73586D" w14:textId="77777777" w:rsidR="002C0FD9" w:rsidRPr="00CA25CF" w:rsidRDefault="002C0FD9" w:rsidP="00CA25CF">
            <w:pPr>
              <w:rPr>
                <w:rFonts w:cs="Arial"/>
                <w:color w:val="FF0000"/>
                <w:sz w:val="21"/>
                <w:szCs w:val="21"/>
              </w:rPr>
            </w:pPr>
          </w:p>
        </w:tc>
        <w:tc>
          <w:tcPr>
            <w:tcW w:w="217" w:type="dxa"/>
          </w:tcPr>
          <w:p w14:paraId="26140439" w14:textId="77777777" w:rsidR="002C0FD9" w:rsidRPr="00CA25CF" w:rsidRDefault="002C0FD9" w:rsidP="00CA25CF">
            <w:pPr>
              <w:rPr>
                <w:rFonts w:cs="Arial"/>
                <w:color w:val="FF0000"/>
                <w:sz w:val="21"/>
                <w:szCs w:val="21"/>
              </w:rPr>
            </w:pPr>
          </w:p>
        </w:tc>
        <w:tc>
          <w:tcPr>
            <w:tcW w:w="217" w:type="dxa"/>
          </w:tcPr>
          <w:p w14:paraId="68F2C224" w14:textId="77777777" w:rsidR="002C0FD9" w:rsidRPr="00CA25CF" w:rsidRDefault="002C0FD9" w:rsidP="00CA25CF">
            <w:pPr>
              <w:rPr>
                <w:rFonts w:cs="Arial"/>
                <w:color w:val="FF0000"/>
                <w:sz w:val="21"/>
                <w:szCs w:val="21"/>
              </w:rPr>
            </w:pPr>
          </w:p>
        </w:tc>
        <w:tc>
          <w:tcPr>
            <w:tcW w:w="217" w:type="dxa"/>
          </w:tcPr>
          <w:p w14:paraId="440ECB33" w14:textId="77777777" w:rsidR="002C0FD9" w:rsidRPr="00CA25CF" w:rsidRDefault="002C0FD9" w:rsidP="00CA25CF">
            <w:pPr>
              <w:rPr>
                <w:rFonts w:cs="Arial"/>
                <w:color w:val="FF0000"/>
                <w:sz w:val="21"/>
                <w:szCs w:val="21"/>
              </w:rPr>
            </w:pPr>
          </w:p>
        </w:tc>
        <w:tc>
          <w:tcPr>
            <w:tcW w:w="217" w:type="dxa"/>
          </w:tcPr>
          <w:p w14:paraId="0696417E" w14:textId="77777777" w:rsidR="002C0FD9" w:rsidRPr="00CA25CF" w:rsidRDefault="002C0FD9" w:rsidP="00CA25CF">
            <w:pPr>
              <w:rPr>
                <w:rFonts w:cs="Arial"/>
                <w:color w:val="FF0000"/>
                <w:sz w:val="21"/>
                <w:szCs w:val="21"/>
              </w:rPr>
            </w:pPr>
          </w:p>
        </w:tc>
        <w:tc>
          <w:tcPr>
            <w:tcW w:w="217" w:type="dxa"/>
          </w:tcPr>
          <w:p w14:paraId="4D5B29B5" w14:textId="77777777" w:rsidR="002C0FD9" w:rsidRPr="00CA25CF" w:rsidRDefault="002C0FD9" w:rsidP="00CA25CF">
            <w:pPr>
              <w:rPr>
                <w:rFonts w:cs="Arial"/>
                <w:color w:val="FF0000"/>
                <w:sz w:val="21"/>
                <w:szCs w:val="21"/>
              </w:rPr>
            </w:pPr>
          </w:p>
        </w:tc>
        <w:tc>
          <w:tcPr>
            <w:tcW w:w="217" w:type="dxa"/>
          </w:tcPr>
          <w:p w14:paraId="3D5BE1AA" w14:textId="77777777" w:rsidR="002C0FD9" w:rsidRPr="00CA25CF" w:rsidRDefault="002C0FD9" w:rsidP="00CA25CF">
            <w:pPr>
              <w:rPr>
                <w:rFonts w:cs="Arial"/>
                <w:color w:val="FF0000"/>
                <w:sz w:val="21"/>
                <w:szCs w:val="21"/>
              </w:rPr>
            </w:pPr>
          </w:p>
        </w:tc>
        <w:tc>
          <w:tcPr>
            <w:tcW w:w="217" w:type="dxa"/>
          </w:tcPr>
          <w:p w14:paraId="08ED1998" w14:textId="77777777" w:rsidR="002C0FD9" w:rsidRPr="00CA25CF" w:rsidRDefault="002C0FD9" w:rsidP="00CA25CF">
            <w:pPr>
              <w:rPr>
                <w:rFonts w:cs="Arial"/>
                <w:color w:val="FF0000"/>
                <w:sz w:val="21"/>
                <w:szCs w:val="21"/>
              </w:rPr>
            </w:pPr>
          </w:p>
        </w:tc>
        <w:tc>
          <w:tcPr>
            <w:tcW w:w="217" w:type="dxa"/>
          </w:tcPr>
          <w:p w14:paraId="0AFB7FBD" w14:textId="77777777" w:rsidR="002C0FD9" w:rsidRPr="00CA25CF" w:rsidRDefault="002C0FD9" w:rsidP="00CA25CF">
            <w:pPr>
              <w:rPr>
                <w:rFonts w:cs="Arial"/>
                <w:color w:val="FF0000"/>
                <w:sz w:val="21"/>
                <w:szCs w:val="21"/>
              </w:rPr>
            </w:pPr>
          </w:p>
        </w:tc>
        <w:tc>
          <w:tcPr>
            <w:tcW w:w="217" w:type="dxa"/>
          </w:tcPr>
          <w:p w14:paraId="6D602CE1" w14:textId="77777777" w:rsidR="002C0FD9" w:rsidRPr="00CA25CF" w:rsidRDefault="002C0FD9" w:rsidP="00CA25CF">
            <w:pPr>
              <w:rPr>
                <w:rFonts w:cs="Arial"/>
                <w:color w:val="FF0000"/>
                <w:sz w:val="21"/>
                <w:szCs w:val="21"/>
              </w:rPr>
            </w:pPr>
          </w:p>
        </w:tc>
        <w:tc>
          <w:tcPr>
            <w:tcW w:w="217" w:type="dxa"/>
          </w:tcPr>
          <w:p w14:paraId="1DA6AEEC" w14:textId="77777777" w:rsidR="002C0FD9" w:rsidRPr="00CA25CF" w:rsidRDefault="002C0FD9" w:rsidP="00CA25CF">
            <w:pPr>
              <w:rPr>
                <w:rFonts w:cs="Arial"/>
                <w:color w:val="FF0000"/>
                <w:sz w:val="21"/>
                <w:szCs w:val="21"/>
              </w:rPr>
            </w:pPr>
          </w:p>
        </w:tc>
        <w:tc>
          <w:tcPr>
            <w:tcW w:w="217" w:type="dxa"/>
          </w:tcPr>
          <w:p w14:paraId="1E915EE4" w14:textId="77777777" w:rsidR="002C0FD9" w:rsidRPr="00CA25CF" w:rsidRDefault="002C0FD9" w:rsidP="00CA25CF">
            <w:pPr>
              <w:rPr>
                <w:rFonts w:cs="Arial"/>
                <w:color w:val="FF0000"/>
                <w:sz w:val="21"/>
                <w:szCs w:val="21"/>
              </w:rPr>
            </w:pPr>
          </w:p>
        </w:tc>
        <w:tc>
          <w:tcPr>
            <w:tcW w:w="217" w:type="dxa"/>
          </w:tcPr>
          <w:p w14:paraId="49F20B6C" w14:textId="77777777" w:rsidR="002C0FD9" w:rsidRPr="00CA25CF" w:rsidRDefault="002C0FD9" w:rsidP="00CA25CF">
            <w:pPr>
              <w:rPr>
                <w:rFonts w:cs="Arial"/>
                <w:color w:val="FF0000"/>
                <w:sz w:val="21"/>
                <w:szCs w:val="21"/>
              </w:rPr>
            </w:pPr>
          </w:p>
        </w:tc>
        <w:tc>
          <w:tcPr>
            <w:tcW w:w="217" w:type="dxa"/>
          </w:tcPr>
          <w:p w14:paraId="65AD09B8" w14:textId="77777777" w:rsidR="002C0FD9" w:rsidRPr="00CA25CF" w:rsidRDefault="002C0FD9" w:rsidP="00CA25CF">
            <w:pPr>
              <w:rPr>
                <w:rFonts w:cs="Arial"/>
                <w:color w:val="FF0000"/>
                <w:sz w:val="21"/>
                <w:szCs w:val="21"/>
              </w:rPr>
            </w:pPr>
          </w:p>
        </w:tc>
        <w:tc>
          <w:tcPr>
            <w:tcW w:w="217" w:type="dxa"/>
          </w:tcPr>
          <w:p w14:paraId="3A5ACFBB" w14:textId="77777777" w:rsidR="002C0FD9" w:rsidRPr="00CA25CF" w:rsidRDefault="002C0FD9" w:rsidP="00CA25CF">
            <w:pPr>
              <w:rPr>
                <w:rFonts w:cs="Arial"/>
                <w:color w:val="FF0000"/>
                <w:sz w:val="21"/>
                <w:szCs w:val="21"/>
              </w:rPr>
            </w:pPr>
          </w:p>
        </w:tc>
        <w:tc>
          <w:tcPr>
            <w:tcW w:w="217" w:type="dxa"/>
          </w:tcPr>
          <w:p w14:paraId="48E00463" w14:textId="77777777" w:rsidR="002C0FD9" w:rsidRPr="00CA25CF" w:rsidRDefault="002C0FD9" w:rsidP="00CA25CF">
            <w:pPr>
              <w:rPr>
                <w:rFonts w:cs="Arial"/>
                <w:color w:val="FF0000"/>
                <w:sz w:val="21"/>
                <w:szCs w:val="21"/>
              </w:rPr>
            </w:pPr>
          </w:p>
        </w:tc>
        <w:tc>
          <w:tcPr>
            <w:tcW w:w="217" w:type="dxa"/>
          </w:tcPr>
          <w:p w14:paraId="1C678693" w14:textId="77777777" w:rsidR="002C0FD9" w:rsidRPr="00CA25CF" w:rsidRDefault="002C0FD9" w:rsidP="00CA25CF">
            <w:pPr>
              <w:rPr>
                <w:rFonts w:cs="Arial"/>
                <w:color w:val="FF0000"/>
                <w:sz w:val="21"/>
                <w:szCs w:val="21"/>
              </w:rPr>
            </w:pPr>
          </w:p>
        </w:tc>
        <w:tc>
          <w:tcPr>
            <w:tcW w:w="217" w:type="dxa"/>
          </w:tcPr>
          <w:p w14:paraId="4AA28679" w14:textId="77777777" w:rsidR="002C0FD9" w:rsidRPr="00CA25CF" w:rsidRDefault="002C0FD9" w:rsidP="00CA25CF">
            <w:pPr>
              <w:rPr>
                <w:rFonts w:cs="Arial"/>
                <w:color w:val="FF0000"/>
                <w:sz w:val="21"/>
                <w:szCs w:val="21"/>
              </w:rPr>
            </w:pPr>
          </w:p>
        </w:tc>
        <w:tc>
          <w:tcPr>
            <w:tcW w:w="217" w:type="dxa"/>
          </w:tcPr>
          <w:p w14:paraId="580DBE53" w14:textId="77777777" w:rsidR="002C0FD9" w:rsidRPr="00CA25CF" w:rsidRDefault="002C0FD9" w:rsidP="00CA25CF">
            <w:pPr>
              <w:rPr>
                <w:rFonts w:cs="Arial"/>
                <w:color w:val="FF0000"/>
                <w:sz w:val="21"/>
                <w:szCs w:val="21"/>
              </w:rPr>
            </w:pPr>
          </w:p>
        </w:tc>
        <w:tc>
          <w:tcPr>
            <w:tcW w:w="217" w:type="dxa"/>
          </w:tcPr>
          <w:p w14:paraId="224B6559" w14:textId="77777777" w:rsidR="002C0FD9" w:rsidRPr="00CA25CF" w:rsidRDefault="002C0FD9" w:rsidP="00CA25CF">
            <w:pPr>
              <w:rPr>
                <w:rFonts w:cs="Arial"/>
                <w:color w:val="FF0000"/>
                <w:sz w:val="21"/>
                <w:szCs w:val="21"/>
              </w:rPr>
            </w:pPr>
          </w:p>
        </w:tc>
        <w:tc>
          <w:tcPr>
            <w:tcW w:w="217" w:type="dxa"/>
          </w:tcPr>
          <w:p w14:paraId="417BD016" w14:textId="77777777" w:rsidR="002C0FD9" w:rsidRPr="00CA25CF" w:rsidRDefault="002C0FD9" w:rsidP="00CA25CF">
            <w:pPr>
              <w:rPr>
                <w:rFonts w:cs="Arial"/>
                <w:color w:val="FF0000"/>
                <w:sz w:val="21"/>
                <w:szCs w:val="21"/>
              </w:rPr>
            </w:pPr>
          </w:p>
        </w:tc>
        <w:tc>
          <w:tcPr>
            <w:tcW w:w="217" w:type="dxa"/>
          </w:tcPr>
          <w:p w14:paraId="45EAC424" w14:textId="77777777" w:rsidR="002C0FD9" w:rsidRPr="00CA25CF" w:rsidRDefault="002C0FD9" w:rsidP="00CA25CF">
            <w:pPr>
              <w:rPr>
                <w:rFonts w:cs="Arial"/>
                <w:color w:val="FF0000"/>
                <w:sz w:val="21"/>
                <w:szCs w:val="21"/>
              </w:rPr>
            </w:pPr>
          </w:p>
        </w:tc>
        <w:tc>
          <w:tcPr>
            <w:tcW w:w="217" w:type="dxa"/>
          </w:tcPr>
          <w:p w14:paraId="5A738559" w14:textId="77777777" w:rsidR="002C0FD9" w:rsidRPr="00CA25CF" w:rsidRDefault="002C0FD9" w:rsidP="00CA25CF">
            <w:pPr>
              <w:rPr>
                <w:rFonts w:cs="Arial"/>
                <w:color w:val="FF0000"/>
                <w:sz w:val="21"/>
                <w:szCs w:val="21"/>
              </w:rPr>
            </w:pPr>
          </w:p>
        </w:tc>
        <w:tc>
          <w:tcPr>
            <w:tcW w:w="217" w:type="dxa"/>
          </w:tcPr>
          <w:p w14:paraId="1CCF933B" w14:textId="77777777" w:rsidR="002C0FD9" w:rsidRPr="00CA25CF" w:rsidRDefault="002C0FD9" w:rsidP="00CA25CF">
            <w:pPr>
              <w:rPr>
                <w:rFonts w:cs="Arial"/>
                <w:color w:val="FF0000"/>
                <w:sz w:val="21"/>
                <w:szCs w:val="21"/>
              </w:rPr>
            </w:pPr>
          </w:p>
        </w:tc>
        <w:tc>
          <w:tcPr>
            <w:tcW w:w="217" w:type="dxa"/>
          </w:tcPr>
          <w:p w14:paraId="6250077D" w14:textId="77777777" w:rsidR="002C0FD9" w:rsidRPr="00CA25CF" w:rsidRDefault="002C0FD9" w:rsidP="00CA25CF">
            <w:pPr>
              <w:rPr>
                <w:rFonts w:cs="Arial"/>
                <w:color w:val="FF0000"/>
                <w:sz w:val="21"/>
                <w:szCs w:val="21"/>
              </w:rPr>
            </w:pPr>
          </w:p>
        </w:tc>
        <w:tc>
          <w:tcPr>
            <w:tcW w:w="217" w:type="dxa"/>
          </w:tcPr>
          <w:p w14:paraId="333C2412" w14:textId="77777777" w:rsidR="002C0FD9" w:rsidRPr="00CA25CF" w:rsidRDefault="002C0FD9" w:rsidP="00CA25CF">
            <w:pPr>
              <w:rPr>
                <w:rFonts w:cs="Arial"/>
                <w:color w:val="FF0000"/>
                <w:sz w:val="21"/>
                <w:szCs w:val="21"/>
              </w:rPr>
            </w:pPr>
          </w:p>
        </w:tc>
        <w:tc>
          <w:tcPr>
            <w:tcW w:w="217" w:type="dxa"/>
          </w:tcPr>
          <w:p w14:paraId="2540A254" w14:textId="77777777" w:rsidR="002C0FD9" w:rsidRPr="00CA25CF" w:rsidRDefault="002C0FD9" w:rsidP="00CA25CF">
            <w:pPr>
              <w:rPr>
                <w:rFonts w:cs="Arial"/>
                <w:color w:val="FF0000"/>
                <w:sz w:val="21"/>
                <w:szCs w:val="21"/>
              </w:rPr>
            </w:pPr>
          </w:p>
        </w:tc>
        <w:tc>
          <w:tcPr>
            <w:tcW w:w="217" w:type="dxa"/>
          </w:tcPr>
          <w:p w14:paraId="3BA0378C" w14:textId="77777777" w:rsidR="002C0FD9" w:rsidRPr="00CA25CF" w:rsidRDefault="002C0FD9" w:rsidP="00CA25CF">
            <w:pPr>
              <w:rPr>
                <w:rFonts w:cs="Arial"/>
                <w:color w:val="FF0000"/>
                <w:sz w:val="21"/>
                <w:szCs w:val="21"/>
              </w:rPr>
            </w:pPr>
          </w:p>
        </w:tc>
        <w:tc>
          <w:tcPr>
            <w:tcW w:w="217" w:type="dxa"/>
          </w:tcPr>
          <w:p w14:paraId="0C7FD732" w14:textId="77777777" w:rsidR="002C0FD9" w:rsidRPr="00CA25CF" w:rsidRDefault="002C0FD9" w:rsidP="00CA25CF">
            <w:pPr>
              <w:rPr>
                <w:rFonts w:cs="Arial"/>
                <w:color w:val="FF0000"/>
                <w:sz w:val="21"/>
                <w:szCs w:val="21"/>
              </w:rPr>
            </w:pPr>
          </w:p>
        </w:tc>
        <w:tc>
          <w:tcPr>
            <w:tcW w:w="217" w:type="dxa"/>
          </w:tcPr>
          <w:p w14:paraId="1F6F4AC5" w14:textId="77777777" w:rsidR="002C0FD9" w:rsidRPr="00CA25CF" w:rsidRDefault="002C0FD9" w:rsidP="00CA25CF">
            <w:pPr>
              <w:rPr>
                <w:rFonts w:cs="Arial"/>
                <w:color w:val="FF0000"/>
                <w:sz w:val="21"/>
                <w:szCs w:val="21"/>
              </w:rPr>
            </w:pPr>
          </w:p>
        </w:tc>
        <w:tc>
          <w:tcPr>
            <w:tcW w:w="217" w:type="dxa"/>
          </w:tcPr>
          <w:p w14:paraId="0B94247D" w14:textId="77777777" w:rsidR="002C0FD9" w:rsidRPr="00CA25CF" w:rsidRDefault="002C0FD9" w:rsidP="00CA25CF">
            <w:pPr>
              <w:rPr>
                <w:rFonts w:cs="Arial"/>
                <w:color w:val="FF0000"/>
                <w:sz w:val="21"/>
                <w:szCs w:val="21"/>
              </w:rPr>
            </w:pPr>
          </w:p>
        </w:tc>
        <w:tc>
          <w:tcPr>
            <w:tcW w:w="217" w:type="dxa"/>
          </w:tcPr>
          <w:p w14:paraId="4D48765F" w14:textId="77777777" w:rsidR="002C0FD9" w:rsidRPr="00CA25CF" w:rsidRDefault="002C0FD9" w:rsidP="00CA25CF">
            <w:pPr>
              <w:rPr>
                <w:rFonts w:cs="Arial"/>
                <w:color w:val="FF0000"/>
                <w:sz w:val="21"/>
                <w:szCs w:val="21"/>
              </w:rPr>
            </w:pPr>
          </w:p>
        </w:tc>
        <w:tc>
          <w:tcPr>
            <w:tcW w:w="217" w:type="dxa"/>
          </w:tcPr>
          <w:p w14:paraId="6FF205BB" w14:textId="77777777" w:rsidR="002C0FD9" w:rsidRPr="00CA25CF" w:rsidRDefault="002C0FD9" w:rsidP="00CA25CF">
            <w:pPr>
              <w:rPr>
                <w:rFonts w:cs="Arial"/>
                <w:color w:val="FF0000"/>
                <w:sz w:val="21"/>
                <w:szCs w:val="21"/>
              </w:rPr>
            </w:pPr>
          </w:p>
        </w:tc>
        <w:tc>
          <w:tcPr>
            <w:tcW w:w="217" w:type="dxa"/>
          </w:tcPr>
          <w:p w14:paraId="32D2D45D" w14:textId="77777777" w:rsidR="002C0FD9" w:rsidRPr="00CA25CF" w:rsidRDefault="002C0FD9" w:rsidP="00CA25CF">
            <w:pPr>
              <w:rPr>
                <w:rFonts w:cs="Arial"/>
                <w:color w:val="FF0000"/>
                <w:sz w:val="21"/>
                <w:szCs w:val="21"/>
              </w:rPr>
            </w:pPr>
          </w:p>
        </w:tc>
        <w:tc>
          <w:tcPr>
            <w:tcW w:w="217" w:type="dxa"/>
          </w:tcPr>
          <w:p w14:paraId="5D29D02C" w14:textId="77777777" w:rsidR="002C0FD9" w:rsidRPr="00CA25CF" w:rsidRDefault="002C0FD9" w:rsidP="00CA25CF">
            <w:pPr>
              <w:rPr>
                <w:rFonts w:cs="Arial"/>
                <w:color w:val="FF0000"/>
                <w:sz w:val="21"/>
                <w:szCs w:val="21"/>
              </w:rPr>
            </w:pPr>
          </w:p>
        </w:tc>
        <w:tc>
          <w:tcPr>
            <w:tcW w:w="217" w:type="dxa"/>
          </w:tcPr>
          <w:p w14:paraId="28240067" w14:textId="77777777" w:rsidR="002C0FD9" w:rsidRPr="00CA25CF" w:rsidRDefault="002C0FD9" w:rsidP="00CA25CF">
            <w:pPr>
              <w:rPr>
                <w:rFonts w:cs="Arial"/>
                <w:color w:val="FF0000"/>
                <w:sz w:val="21"/>
                <w:szCs w:val="21"/>
              </w:rPr>
            </w:pPr>
          </w:p>
        </w:tc>
        <w:tc>
          <w:tcPr>
            <w:tcW w:w="217" w:type="dxa"/>
          </w:tcPr>
          <w:p w14:paraId="08302FC9" w14:textId="77777777" w:rsidR="002C0FD9" w:rsidRPr="00CA25CF" w:rsidRDefault="002C0FD9" w:rsidP="00CA25CF">
            <w:pPr>
              <w:rPr>
                <w:rFonts w:cs="Arial"/>
                <w:color w:val="FF0000"/>
                <w:sz w:val="21"/>
                <w:szCs w:val="21"/>
              </w:rPr>
            </w:pPr>
          </w:p>
        </w:tc>
      </w:tr>
      <w:tr w:rsidR="002C0FD9" w:rsidRPr="00A16219" w14:paraId="30BBA8E5" w14:textId="5065B4F3" w:rsidTr="002C0FD9">
        <w:trPr>
          <w:trHeight w:val="635"/>
        </w:trPr>
        <w:tc>
          <w:tcPr>
            <w:tcW w:w="515" w:type="dxa"/>
          </w:tcPr>
          <w:p w14:paraId="268A0D54" w14:textId="77777777" w:rsidR="002C0FD9" w:rsidRPr="00CA25CF" w:rsidRDefault="002C0FD9" w:rsidP="00CA25CF">
            <w:pPr>
              <w:rPr>
                <w:rFonts w:cs="Arial"/>
                <w:color w:val="FF0000"/>
                <w:sz w:val="21"/>
                <w:szCs w:val="21"/>
              </w:rPr>
            </w:pPr>
          </w:p>
        </w:tc>
        <w:tc>
          <w:tcPr>
            <w:tcW w:w="217" w:type="dxa"/>
          </w:tcPr>
          <w:p w14:paraId="76933E7F" w14:textId="77777777" w:rsidR="002C0FD9" w:rsidRPr="00CA25CF" w:rsidRDefault="002C0FD9" w:rsidP="00CA25CF">
            <w:pPr>
              <w:rPr>
                <w:rFonts w:cs="Arial"/>
                <w:color w:val="FF0000"/>
                <w:sz w:val="21"/>
                <w:szCs w:val="21"/>
              </w:rPr>
            </w:pPr>
          </w:p>
        </w:tc>
        <w:tc>
          <w:tcPr>
            <w:tcW w:w="217" w:type="dxa"/>
          </w:tcPr>
          <w:p w14:paraId="192E228A" w14:textId="4407B40D" w:rsidR="002C0FD9" w:rsidRPr="00CA25CF" w:rsidRDefault="002C0FD9" w:rsidP="00CA25CF">
            <w:pPr>
              <w:rPr>
                <w:rFonts w:cs="Arial"/>
                <w:color w:val="FF0000"/>
                <w:sz w:val="21"/>
                <w:szCs w:val="21"/>
              </w:rPr>
            </w:pPr>
          </w:p>
        </w:tc>
        <w:tc>
          <w:tcPr>
            <w:tcW w:w="217" w:type="dxa"/>
          </w:tcPr>
          <w:p w14:paraId="19EFC580" w14:textId="77777777" w:rsidR="002C0FD9" w:rsidRPr="00CA25CF" w:rsidRDefault="002C0FD9" w:rsidP="00CA25CF">
            <w:pPr>
              <w:rPr>
                <w:rFonts w:cs="Arial"/>
                <w:color w:val="FF0000"/>
                <w:sz w:val="21"/>
                <w:szCs w:val="21"/>
              </w:rPr>
            </w:pPr>
          </w:p>
        </w:tc>
        <w:tc>
          <w:tcPr>
            <w:tcW w:w="217" w:type="dxa"/>
          </w:tcPr>
          <w:p w14:paraId="1E789046" w14:textId="77777777" w:rsidR="002C0FD9" w:rsidRPr="00CA25CF" w:rsidRDefault="002C0FD9" w:rsidP="00CA25CF">
            <w:pPr>
              <w:rPr>
                <w:rFonts w:cs="Arial"/>
                <w:color w:val="FF0000"/>
                <w:sz w:val="21"/>
                <w:szCs w:val="21"/>
              </w:rPr>
            </w:pPr>
          </w:p>
        </w:tc>
        <w:tc>
          <w:tcPr>
            <w:tcW w:w="217" w:type="dxa"/>
          </w:tcPr>
          <w:p w14:paraId="12439FEE" w14:textId="77777777" w:rsidR="002C0FD9" w:rsidRPr="00CA25CF" w:rsidRDefault="002C0FD9" w:rsidP="00CA25CF">
            <w:pPr>
              <w:rPr>
                <w:rFonts w:cs="Arial"/>
                <w:color w:val="FF0000"/>
                <w:sz w:val="21"/>
                <w:szCs w:val="21"/>
              </w:rPr>
            </w:pPr>
          </w:p>
        </w:tc>
        <w:tc>
          <w:tcPr>
            <w:tcW w:w="217" w:type="dxa"/>
          </w:tcPr>
          <w:p w14:paraId="475B2069" w14:textId="77777777" w:rsidR="002C0FD9" w:rsidRPr="00CA25CF" w:rsidRDefault="002C0FD9" w:rsidP="00CA25CF">
            <w:pPr>
              <w:rPr>
                <w:rFonts w:cs="Arial"/>
                <w:color w:val="FF0000"/>
                <w:sz w:val="21"/>
                <w:szCs w:val="21"/>
              </w:rPr>
            </w:pPr>
          </w:p>
        </w:tc>
        <w:tc>
          <w:tcPr>
            <w:tcW w:w="217" w:type="dxa"/>
          </w:tcPr>
          <w:p w14:paraId="0DF749C5" w14:textId="77777777" w:rsidR="002C0FD9" w:rsidRPr="00CA25CF" w:rsidRDefault="002C0FD9" w:rsidP="00CA25CF">
            <w:pPr>
              <w:rPr>
                <w:rFonts w:cs="Arial"/>
                <w:color w:val="FF0000"/>
                <w:sz w:val="21"/>
                <w:szCs w:val="21"/>
              </w:rPr>
            </w:pPr>
          </w:p>
        </w:tc>
        <w:tc>
          <w:tcPr>
            <w:tcW w:w="217" w:type="dxa"/>
          </w:tcPr>
          <w:p w14:paraId="62D5B413" w14:textId="77777777" w:rsidR="002C0FD9" w:rsidRPr="00CA25CF" w:rsidRDefault="002C0FD9" w:rsidP="00CA25CF">
            <w:pPr>
              <w:rPr>
                <w:rFonts w:cs="Arial"/>
                <w:color w:val="FF0000"/>
                <w:sz w:val="21"/>
                <w:szCs w:val="21"/>
              </w:rPr>
            </w:pPr>
          </w:p>
        </w:tc>
        <w:tc>
          <w:tcPr>
            <w:tcW w:w="217" w:type="dxa"/>
          </w:tcPr>
          <w:p w14:paraId="3B6A2EDE" w14:textId="77777777" w:rsidR="002C0FD9" w:rsidRPr="00CA25CF" w:rsidRDefault="002C0FD9" w:rsidP="00CA25CF">
            <w:pPr>
              <w:rPr>
                <w:rFonts w:cs="Arial"/>
                <w:color w:val="FF0000"/>
                <w:sz w:val="21"/>
                <w:szCs w:val="21"/>
              </w:rPr>
            </w:pPr>
          </w:p>
        </w:tc>
        <w:tc>
          <w:tcPr>
            <w:tcW w:w="217" w:type="dxa"/>
          </w:tcPr>
          <w:p w14:paraId="7394DF0D" w14:textId="77777777" w:rsidR="002C0FD9" w:rsidRPr="00CA25CF" w:rsidRDefault="002C0FD9" w:rsidP="00CA25CF">
            <w:pPr>
              <w:rPr>
                <w:rFonts w:cs="Arial"/>
                <w:color w:val="FF0000"/>
                <w:sz w:val="21"/>
                <w:szCs w:val="21"/>
              </w:rPr>
            </w:pPr>
          </w:p>
        </w:tc>
        <w:tc>
          <w:tcPr>
            <w:tcW w:w="217" w:type="dxa"/>
          </w:tcPr>
          <w:p w14:paraId="313DDED9" w14:textId="77777777" w:rsidR="002C0FD9" w:rsidRPr="00CA25CF" w:rsidRDefault="002C0FD9" w:rsidP="00CA25CF">
            <w:pPr>
              <w:rPr>
                <w:rFonts w:cs="Arial"/>
                <w:color w:val="FF0000"/>
                <w:sz w:val="21"/>
                <w:szCs w:val="21"/>
              </w:rPr>
            </w:pPr>
          </w:p>
        </w:tc>
        <w:tc>
          <w:tcPr>
            <w:tcW w:w="217" w:type="dxa"/>
          </w:tcPr>
          <w:p w14:paraId="2D9AFEAE" w14:textId="77777777" w:rsidR="002C0FD9" w:rsidRPr="00CA25CF" w:rsidRDefault="002C0FD9" w:rsidP="00CA25CF">
            <w:pPr>
              <w:rPr>
                <w:rFonts w:cs="Arial"/>
                <w:color w:val="FF0000"/>
                <w:sz w:val="21"/>
                <w:szCs w:val="21"/>
              </w:rPr>
            </w:pPr>
          </w:p>
        </w:tc>
        <w:tc>
          <w:tcPr>
            <w:tcW w:w="217" w:type="dxa"/>
          </w:tcPr>
          <w:p w14:paraId="2E291681" w14:textId="77777777" w:rsidR="002C0FD9" w:rsidRPr="00CA25CF" w:rsidRDefault="002C0FD9" w:rsidP="00CA25CF">
            <w:pPr>
              <w:rPr>
                <w:rFonts w:cs="Arial"/>
                <w:color w:val="FF0000"/>
                <w:sz w:val="21"/>
                <w:szCs w:val="21"/>
              </w:rPr>
            </w:pPr>
          </w:p>
        </w:tc>
        <w:tc>
          <w:tcPr>
            <w:tcW w:w="217" w:type="dxa"/>
          </w:tcPr>
          <w:p w14:paraId="79511CAA" w14:textId="77777777" w:rsidR="002C0FD9" w:rsidRPr="00CA25CF" w:rsidRDefault="002C0FD9" w:rsidP="00CA25CF">
            <w:pPr>
              <w:rPr>
                <w:rFonts w:cs="Arial"/>
                <w:color w:val="FF0000"/>
                <w:sz w:val="21"/>
                <w:szCs w:val="21"/>
              </w:rPr>
            </w:pPr>
          </w:p>
        </w:tc>
        <w:tc>
          <w:tcPr>
            <w:tcW w:w="217" w:type="dxa"/>
          </w:tcPr>
          <w:p w14:paraId="37C5A2BD" w14:textId="77777777" w:rsidR="002C0FD9" w:rsidRPr="00CA25CF" w:rsidRDefault="002C0FD9" w:rsidP="00CA25CF">
            <w:pPr>
              <w:rPr>
                <w:rFonts w:cs="Arial"/>
                <w:color w:val="FF0000"/>
                <w:sz w:val="21"/>
                <w:szCs w:val="21"/>
              </w:rPr>
            </w:pPr>
          </w:p>
        </w:tc>
        <w:tc>
          <w:tcPr>
            <w:tcW w:w="217" w:type="dxa"/>
          </w:tcPr>
          <w:p w14:paraId="3401059A" w14:textId="77777777" w:rsidR="002C0FD9" w:rsidRPr="00CA25CF" w:rsidRDefault="002C0FD9" w:rsidP="00CA25CF">
            <w:pPr>
              <w:rPr>
                <w:rFonts w:cs="Arial"/>
                <w:color w:val="FF0000"/>
                <w:sz w:val="21"/>
                <w:szCs w:val="21"/>
              </w:rPr>
            </w:pPr>
          </w:p>
        </w:tc>
        <w:tc>
          <w:tcPr>
            <w:tcW w:w="217" w:type="dxa"/>
          </w:tcPr>
          <w:p w14:paraId="2640AFBA" w14:textId="77777777" w:rsidR="002C0FD9" w:rsidRPr="00CA25CF" w:rsidRDefault="002C0FD9" w:rsidP="00CA25CF">
            <w:pPr>
              <w:rPr>
                <w:rFonts w:cs="Arial"/>
                <w:color w:val="FF0000"/>
                <w:sz w:val="21"/>
                <w:szCs w:val="21"/>
              </w:rPr>
            </w:pPr>
          </w:p>
        </w:tc>
        <w:tc>
          <w:tcPr>
            <w:tcW w:w="217" w:type="dxa"/>
          </w:tcPr>
          <w:p w14:paraId="1AA230B0" w14:textId="77777777" w:rsidR="002C0FD9" w:rsidRPr="00CA25CF" w:rsidRDefault="002C0FD9" w:rsidP="00CA25CF">
            <w:pPr>
              <w:rPr>
                <w:rFonts w:cs="Arial"/>
                <w:color w:val="FF0000"/>
                <w:sz w:val="21"/>
                <w:szCs w:val="21"/>
              </w:rPr>
            </w:pPr>
          </w:p>
        </w:tc>
        <w:tc>
          <w:tcPr>
            <w:tcW w:w="217" w:type="dxa"/>
          </w:tcPr>
          <w:p w14:paraId="5B3299AA" w14:textId="77777777" w:rsidR="002C0FD9" w:rsidRPr="00CA25CF" w:rsidRDefault="002C0FD9" w:rsidP="00CA25CF">
            <w:pPr>
              <w:rPr>
                <w:rFonts w:cs="Arial"/>
                <w:color w:val="FF0000"/>
                <w:sz w:val="21"/>
                <w:szCs w:val="21"/>
              </w:rPr>
            </w:pPr>
          </w:p>
        </w:tc>
        <w:tc>
          <w:tcPr>
            <w:tcW w:w="217" w:type="dxa"/>
          </w:tcPr>
          <w:p w14:paraId="3F3E04C5" w14:textId="77777777" w:rsidR="002C0FD9" w:rsidRPr="00CA25CF" w:rsidRDefault="002C0FD9" w:rsidP="00CA25CF">
            <w:pPr>
              <w:rPr>
                <w:rFonts w:cs="Arial"/>
                <w:color w:val="FF0000"/>
                <w:sz w:val="21"/>
                <w:szCs w:val="21"/>
              </w:rPr>
            </w:pPr>
          </w:p>
        </w:tc>
        <w:tc>
          <w:tcPr>
            <w:tcW w:w="217" w:type="dxa"/>
          </w:tcPr>
          <w:p w14:paraId="4949D6A1" w14:textId="77777777" w:rsidR="002C0FD9" w:rsidRPr="00CA25CF" w:rsidRDefault="002C0FD9" w:rsidP="00CA25CF">
            <w:pPr>
              <w:rPr>
                <w:rFonts w:cs="Arial"/>
                <w:color w:val="FF0000"/>
                <w:sz w:val="21"/>
                <w:szCs w:val="21"/>
              </w:rPr>
            </w:pPr>
          </w:p>
        </w:tc>
        <w:tc>
          <w:tcPr>
            <w:tcW w:w="217" w:type="dxa"/>
          </w:tcPr>
          <w:p w14:paraId="68DBA21F" w14:textId="77777777" w:rsidR="002C0FD9" w:rsidRPr="00CA25CF" w:rsidRDefault="002C0FD9" w:rsidP="00CA25CF">
            <w:pPr>
              <w:rPr>
                <w:rFonts w:cs="Arial"/>
                <w:color w:val="FF0000"/>
                <w:sz w:val="21"/>
                <w:szCs w:val="21"/>
              </w:rPr>
            </w:pPr>
          </w:p>
        </w:tc>
        <w:tc>
          <w:tcPr>
            <w:tcW w:w="217" w:type="dxa"/>
          </w:tcPr>
          <w:p w14:paraId="4CE762EA" w14:textId="77777777" w:rsidR="002C0FD9" w:rsidRPr="00CA25CF" w:rsidRDefault="002C0FD9" w:rsidP="00CA25CF">
            <w:pPr>
              <w:rPr>
                <w:rFonts w:cs="Arial"/>
                <w:color w:val="FF0000"/>
                <w:sz w:val="21"/>
                <w:szCs w:val="21"/>
              </w:rPr>
            </w:pPr>
          </w:p>
        </w:tc>
        <w:tc>
          <w:tcPr>
            <w:tcW w:w="217" w:type="dxa"/>
          </w:tcPr>
          <w:p w14:paraId="63CA9B2C" w14:textId="77777777" w:rsidR="002C0FD9" w:rsidRPr="00CA25CF" w:rsidRDefault="002C0FD9" w:rsidP="00CA25CF">
            <w:pPr>
              <w:rPr>
                <w:rFonts w:cs="Arial"/>
                <w:color w:val="FF0000"/>
                <w:sz w:val="21"/>
                <w:szCs w:val="21"/>
              </w:rPr>
            </w:pPr>
          </w:p>
        </w:tc>
        <w:tc>
          <w:tcPr>
            <w:tcW w:w="217" w:type="dxa"/>
          </w:tcPr>
          <w:p w14:paraId="6EAFE3F6" w14:textId="77777777" w:rsidR="002C0FD9" w:rsidRPr="00CA25CF" w:rsidRDefault="002C0FD9" w:rsidP="00CA25CF">
            <w:pPr>
              <w:rPr>
                <w:rFonts w:cs="Arial"/>
                <w:color w:val="FF0000"/>
                <w:sz w:val="21"/>
                <w:szCs w:val="21"/>
              </w:rPr>
            </w:pPr>
          </w:p>
        </w:tc>
        <w:tc>
          <w:tcPr>
            <w:tcW w:w="217" w:type="dxa"/>
          </w:tcPr>
          <w:p w14:paraId="6CC953AB" w14:textId="77777777" w:rsidR="002C0FD9" w:rsidRPr="00CA25CF" w:rsidRDefault="002C0FD9" w:rsidP="00CA25CF">
            <w:pPr>
              <w:rPr>
                <w:rFonts w:cs="Arial"/>
                <w:color w:val="FF0000"/>
                <w:sz w:val="21"/>
                <w:szCs w:val="21"/>
              </w:rPr>
            </w:pPr>
          </w:p>
        </w:tc>
        <w:tc>
          <w:tcPr>
            <w:tcW w:w="217" w:type="dxa"/>
          </w:tcPr>
          <w:p w14:paraId="029BB858" w14:textId="77777777" w:rsidR="002C0FD9" w:rsidRPr="00CA25CF" w:rsidRDefault="002C0FD9" w:rsidP="00CA25CF">
            <w:pPr>
              <w:rPr>
                <w:rFonts w:cs="Arial"/>
                <w:color w:val="FF0000"/>
                <w:sz w:val="21"/>
                <w:szCs w:val="21"/>
              </w:rPr>
            </w:pPr>
          </w:p>
        </w:tc>
        <w:tc>
          <w:tcPr>
            <w:tcW w:w="217" w:type="dxa"/>
          </w:tcPr>
          <w:p w14:paraId="2AFBA6C4" w14:textId="77777777" w:rsidR="002C0FD9" w:rsidRPr="00CA25CF" w:rsidRDefault="002C0FD9" w:rsidP="00CA25CF">
            <w:pPr>
              <w:rPr>
                <w:rFonts w:cs="Arial"/>
                <w:color w:val="FF0000"/>
                <w:sz w:val="21"/>
                <w:szCs w:val="21"/>
              </w:rPr>
            </w:pPr>
          </w:p>
        </w:tc>
        <w:tc>
          <w:tcPr>
            <w:tcW w:w="217" w:type="dxa"/>
          </w:tcPr>
          <w:p w14:paraId="133979C9" w14:textId="77777777" w:rsidR="002C0FD9" w:rsidRPr="00CA25CF" w:rsidRDefault="002C0FD9" w:rsidP="00CA25CF">
            <w:pPr>
              <w:rPr>
                <w:rFonts w:cs="Arial"/>
                <w:color w:val="FF0000"/>
                <w:sz w:val="21"/>
                <w:szCs w:val="21"/>
              </w:rPr>
            </w:pPr>
          </w:p>
        </w:tc>
        <w:tc>
          <w:tcPr>
            <w:tcW w:w="217" w:type="dxa"/>
          </w:tcPr>
          <w:p w14:paraId="1F01D090" w14:textId="77777777" w:rsidR="002C0FD9" w:rsidRPr="00CA25CF" w:rsidRDefault="002C0FD9" w:rsidP="00CA25CF">
            <w:pPr>
              <w:rPr>
                <w:rFonts w:cs="Arial"/>
                <w:color w:val="FF0000"/>
                <w:sz w:val="21"/>
                <w:szCs w:val="21"/>
              </w:rPr>
            </w:pPr>
          </w:p>
        </w:tc>
        <w:tc>
          <w:tcPr>
            <w:tcW w:w="217" w:type="dxa"/>
          </w:tcPr>
          <w:p w14:paraId="23AAF52A" w14:textId="77777777" w:rsidR="002C0FD9" w:rsidRPr="00CA25CF" w:rsidRDefault="002C0FD9" w:rsidP="00CA25CF">
            <w:pPr>
              <w:rPr>
                <w:rFonts w:cs="Arial"/>
                <w:color w:val="FF0000"/>
                <w:sz w:val="21"/>
                <w:szCs w:val="21"/>
              </w:rPr>
            </w:pPr>
          </w:p>
        </w:tc>
        <w:tc>
          <w:tcPr>
            <w:tcW w:w="217" w:type="dxa"/>
          </w:tcPr>
          <w:p w14:paraId="708BFF5B" w14:textId="77777777" w:rsidR="002C0FD9" w:rsidRPr="00CA25CF" w:rsidRDefault="002C0FD9" w:rsidP="00CA25CF">
            <w:pPr>
              <w:rPr>
                <w:rFonts w:cs="Arial"/>
                <w:color w:val="FF0000"/>
                <w:sz w:val="21"/>
                <w:szCs w:val="21"/>
              </w:rPr>
            </w:pPr>
          </w:p>
        </w:tc>
        <w:tc>
          <w:tcPr>
            <w:tcW w:w="217" w:type="dxa"/>
          </w:tcPr>
          <w:p w14:paraId="45D0419E" w14:textId="77777777" w:rsidR="002C0FD9" w:rsidRPr="00CA25CF" w:rsidRDefault="002C0FD9" w:rsidP="00CA25CF">
            <w:pPr>
              <w:rPr>
                <w:rFonts w:cs="Arial"/>
                <w:color w:val="FF0000"/>
                <w:sz w:val="21"/>
                <w:szCs w:val="21"/>
              </w:rPr>
            </w:pPr>
          </w:p>
        </w:tc>
        <w:tc>
          <w:tcPr>
            <w:tcW w:w="217" w:type="dxa"/>
          </w:tcPr>
          <w:p w14:paraId="6172121A" w14:textId="77777777" w:rsidR="002C0FD9" w:rsidRPr="00CA25CF" w:rsidRDefault="002C0FD9" w:rsidP="00CA25CF">
            <w:pPr>
              <w:rPr>
                <w:rFonts w:cs="Arial"/>
                <w:color w:val="FF0000"/>
                <w:sz w:val="21"/>
                <w:szCs w:val="21"/>
              </w:rPr>
            </w:pPr>
          </w:p>
        </w:tc>
        <w:tc>
          <w:tcPr>
            <w:tcW w:w="217" w:type="dxa"/>
          </w:tcPr>
          <w:p w14:paraId="702D6920" w14:textId="77777777" w:rsidR="002C0FD9" w:rsidRPr="00CA25CF" w:rsidRDefault="002C0FD9" w:rsidP="00CA25CF">
            <w:pPr>
              <w:rPr>
                <w:rFonts w:cs="Arial"/>
                <w:color w:val="FF0000"/>
                <w:sz w:val="21"/>
                <w:szCs w:val="21"/>
              </w:rPr>
            </w:pPr>
          </w:p>
        </w:tc>
        <w:tc>
          <w:tcPr>
            <w:tcW w:w="217" w:type="dxa"/>
          </w:tcPr>
          <w:p w14:paraId="1926F03B" w14:textId="77777777" w:rsidR="002C0FD9" w:rsidRPr="00CA25CF" w:rsidRDefault="002C0FD9" w:rsidP="00CA25CF">
            <w:pPr>
              <w:rPr>
                <w:rFonts w:cs="Arial"/>
                <w:color w:val="FF0000"/>
                <w:sz w:val="21"/>
                <w:szCs w:val="21"/>
              </w:rPr>
            </w:pPr>
          </w:p>
        </w:tc>
        <w:tc>
          <w:tcPr>
            <w:tcW w:w="217" w:type="dxa"/>
          </w:tcPr>
          <w:p w14:paraId="05DAC7CD" w14:textId="77777777" w:rsidR="002C0FD9" w:rsidRPr="00CA25CF" w:rsidRDefault="002C0FD9" w:rsidP="00CA25CF">
            <w:pPr>
              <w:rPr>
                <w:rFonts w:cs="Arial"/>
                <w:color w:val="FF0000"/>
                <w:sz w:val="21"/>
                <w:szCs w:val="21"/>
              </w:rPr>
            </w:pPr>
          </w:p>
        </w:tc>
        <w:tc>
          <w:tcPr>
            <w:tcW w:w="217" w:type="dxa"/>
          </w:tcPr>
          <w:p w14:paraId="352FB813" w14:textId="77777777" w:rsidR="002C0FD9" w:rsidRPr="00CA25CF" w:rsidRDefault="002C0FD9" w:rsidP="00CA25CF">
            <w:pPr>
              <w:rPr>
                <w:rFonts w:cs="Arial"/>
                <w:color w:val="FF0000"/>
                <w:sz w:val="21"/>
                <w:szCs w:val="21"/>
              </w:rPr>
            </w:pPr>
          </w:p>
        </w:tc>
        <w:tc>
          <w:tcPr>
            <w:tcW w:w="217" w:type="dxa"/>
          </w:tcPr>
          <w:p w14:paraId="02B57803" w14:textId="77777777" w:rsidR="002C0FD9" w:rsidRPr="00CA25CF" w:rsidRDefault="002C0FD9" w:rsidP="00CA25CF">
            <w:pPr>
              <w:rPr>
                <w:rFonts w:cs="Arial"/>
                <w:color w:val="FF0000"/>
                <w:sz w:val="21"/>
                <w:szCs w:val="21"/>
              </w:rPr>
            </w:pPr>
          </w:p>
        </w:tc>
        <w:tc>
          <w:tcPr>
            <w:tcW w:w="217" w:type="dxa"/>
          </w:tcPr>
          <w:p w14:paraId="06C9CD08" w14:textId="77777777" w:rsidR="002C0FD9" w:rsidRPr="00CA25CF" w:rsidRDefault="002C0FD9" w:rsidP="00CA25CF">
            <w:pPr>
              <w:rPr>
                <w:rFonts w:cs="Arial"/>
                <w:color w:val="FF0000"/>
                <w:sz w:val="21"/>
                <w:szCs w:val="21"/>
              </w:rPr>
            </w:pPr>
          </w:p>
        </w:tc>
        <w:tc>
          <w:tcPr>
            <w:tcW w:w="217" w:type="dxa"/>
          </w:tcPr>
          <w:p w14:paraId="06CB5965" w14:textId="77777777" w:rsidR="002C0FD9" w:rsidRPr="00CA25CF" w:rsidRDefault="002C0FD9" w:rsidP="00CA25CF">
            <w:pPr>
              <w:rPr>
                <w:rFonts w:cs="Arial"/>
                <w:color w:val="FF0000"/>
                <w:sz w:val="21"/>
                <w:szCs w:val="21"/>
              </w:rPr>
            </w:pPr>
          </w:p>
        </w:tc>
        <w:tc>
          <w:tcPr>
            <w:tcW w:w="217" w:type="dxa"/>
          </w:tcPr>
          <w:p w14:paraId="4231259D" w14:textId="77777777" w:rsidR="002C0FD9" w:rsidRPr="00CA25CF" w:rsidRDefault="002C0FD9" w:rsidP="00CA25CF">
            <w:pPr>
              <w:rPr>
                <w:rFonts w:cs="Arial"/>
                <w:color w:val="FF0000"/>
                <w:sz w:val="21"/>
                <w:szCs w:val="21"/>
              </w:rPr>
            </w:pPr>
          </w:p>
        </w:tc>
      </w:tr>
      <w:tr w:rsidR="002C0FD9" w:rsidRPr="00A16219" w14:paraId="158DC6AC" w14:textId="5ED54E64" w:rsidTr="002C0FD9">
        <w:trPr>
          <w:trHeight w:val="635"/>
        </w:trPr>
        <w:tc>
          <w:tcPr>
            <w:tcW w:w="515" w:type="dxa"/>
          </w:tcPr>
          <w:p w14:paraId="2A4B1AD5" w14:textId="77777777" w:rsidR="002C0FD9" w:rsidRPr="00CA25CF" w:rsidRDefault="002C0FD9" w:rsidP="00CA25CF">
            <w:pPr>
              <w:rPr>
                <w:rFonts w:cs="Arial"/>
                <w:color w:val="FF0000"/>
                <w:sz w:val="21"/>
                <w:szCs w:val="21"/>
              </w:rPr>
            </w:pPr>
          </w:p>
        </w:tc>
        <w:tc>
          <w:tcPr>
            <w:tcW w:w="217" w:type="dxa"/>
          </w:tcPr>
          <w:p w14:paraId="51E55EE5" w14:textId="77777777" w:rsidR="002C0FD9" w:rsidRPr="00CA25CF" w:rsidRDefault="002C0FD9" w:rsidP="00CA25CF">
            <w:pPr>
              <w:rPr>
                <w:rFonts w:cs="Arial"/>
                <w:color w:val="FF0000"/>
                <w:sz w:val="21"/>
                <w:szCs w:val="21"/>
              </w:rPr>
            </w:pPr>
          </w:p>
        </w:tc>
        <w:tc>
          <w:tcPr>
            <w:tcW w:w="217" w:type="dxa"/>
          </w:tcPr>
          <w:p w14:paraId="1E51155A" w14:textId="511FF420" w:rsidR="002C0FD9" w:rsidRPr="00CA25CF" w:rsidRDefault="002C0FD9" w:rsidP="00CA25CF">
            <w:pPr>
              <w:rPr>
                <w:rFonts w:cs="Arial"/>
                <w:color w:val="FF0000"/>
                <w:sz w:val="21"/>
                <w:szCs w:val="21"/>
              </w:rPr>
            </w:pPr>
          </w:p>
        </w:tc>
        <w:tc>
          <w:tcPr>
            <w:tcW w:w="217" w:type="dxa"/>
          </w:tcPr>
          <w:p w14:paraId="27ACEB79" w14:textId="77777777" w:rsidR="002C0FD9" w:rsidRPr="00CA25CF" w:rsidRDefault="002C0FD9" w:rsidP="00CA25CF">
            <w:pPr>
              <w:rPr>
                <w:rFonts w:cs="Arial"/>
                <w:color w:val="FF0000"/>
                <w:sz w:val="21"/>
                <w:szCs w:val="21"/>
              </w:rPr>
            </w:pPr>
          </w:p>
        </w:tc>
        <w:tc>
          <w:tcPr>
            <w:tcW w:w="217" w:type="dxa"/>
          </w:tcPr>
          <w:p w14:paraId="2FD24944" w14:textId="77777777" w:rsidR="002C0FD9" w:rsidRPr="00CA25CF" w:rsidRDefault="002C0FD9" w:rsidP="00CA25CF">
            <w:pPr>
              <w:rPr>
                <w:rFonts w:cs="Arial"/>
                <w:color w:val="FF0000"/>
                <w:sz w:val="21"/>
                <w:szCs w:val="21"/>
              </w:rPr>
            </w:pPr>
          </w:p>
        </w:tc>
        <w:tc>
          <w:tcPr>
            <w:tcW w:w="217" w:type="dxa"/>
          </w:tcPr>
          <w:p w14:paraId="3151740B" w14:textId="77777777" w:rsidR="002C0FD9" w:rsidRPr="00CA25CF" w:rsidRDefault="002C0FD9" w:rsidP="00CA25CF">
            <w:pPr>
              <w:rPr>
                <w:rFonts w:cs="Arial"/>
                <w:color w:val="FF0000"/>
                <w:sz w:val="21"/>
                <w:szCs w:val="21"/>
              </w:rPr>
            </w:pPr>
          </w:p>
        </w:tc>
        <w:tc>
          <w:tcPr>
            <w:tcW w:w="217" w:type="dxa"/>
          </w:tcPr>
          <w:p w14:paraId="1CDDA8A2" w14:textId="77777777" w:rsidR="002C0FD9" w:rsidRPr="00CA25CF" w:rsidRDefault="002C0FD9" w:rsidP="00CA25CF">
            <w:pPr>
              <w:rPr>
                <w:rFonts w:cs="Arial"/>
                <w:color w:val="FF0000"/>
                <w:sz w:val="21"/>
                <w:szCs w:val="21"/>
              </w:rPr>
            </w:pPr>
          </w:p>
        </w:tc>
        <w:tc>
          <w:tcPr>
            <w:tcW w:w="217" w:type="dxa"/>
          </w:tcPr>
          <w:p w14:paraId="7E9B1222" w14:textId="77777777" w:rsidR="002C0FD9" w:rsidRPr="00CA25CF" w:rsidRDefault="002C0FD9" w:rsidP="00CA25CF">
            <w:pPr>
              <w:rPr>
                <w:rFonts w:cs="Arial"/>
                <w:color w:val="FF0000"/>
                <w:sz w:val="21"/>
                <w:szCs w:val="21"/>
              </w:rPr>
            </w:pPr>
          </w:p>
        </w:tc>
        <w:tc>
          <w:tcPr>
            <w:tcW w:w="217" w:type="dxa"/>
          </w:tcPr>
          <w:p w14:paraId="1E13A6E7" w14:textId="77777777" w:rsidR="002C0FD9" w:rsidRPr="00CA25CF" w:rsidRDefault="002C0FD9" w:rsidP="00CA25CF">
            <w:pPr>
              <w:rPr>
                <w:rFonts w:cs="Arial"/>
                <w:color w:val="FF0000"/>
                <w:sz w:val="21"/>
                <w:szCs w:val="21"/>
              </w:rPr>
            </w:pPr>
          </w:p>
        </w:tc>
        <w:tc>
          <w:tcPr>
            <w:tcW w:w="217" w:type="dxa"/>
          </w:tcPr>
          <w:p w14:paraId="72F6ABD4" w14:textId="77777777" w:rsidR="002C0FD9" w:rsidRPr="00CA25CF" w:rsidRDefault="002C0FD9" w:rsidP="00CA25CF">
            <w:pPr>
              <w:rPr>
                <w:rFonts w:cs="Arial"/>
                <w:color w:val="FF0000"/>
                <w:sz w:val="21"/>
                <w:szCs w:val="21"/>
              </w:rPr>
            </w:pPr>
          </w:p>
        </w:tc>
        <w:tc>
          <w:tcPr>
            <w:tcW w:w="217" w:type="dxa"/>
          </w:tcPr>
          <w:p w14:paraId="7C2AE1E4" w14:textId="77777777" w:rsidR="002C0FD9" w:rsidRPr="00CA25CF" w:rsidRDefault="002C0FD9" w:rsidP="00CA25CF">
            <w:pPr>
              <w:rPr>
                <w:rFonts w:cs="Arial"/>
                <w:color w:val="FF0000"/>
                <w:sz w:val="21"/>
                <w:szCs w:val="21"/>
              </w:rPr>
            </w:pPr>
          </w:p>
        </w:tc>
        <w:tc>
          <w:tcPr>
            <w:tcW w:w="217" w:type="dxa"/>
          </w:tcPr>
          <w:p w14:paraId="1428EE07" w14:textId="77777777" w:rsidR="002C0FD9" w:rsidRPr="00CA25CF" w:rsidRDefault="002C0FD9" w:rsidP="00CA25CF">
            <w:pPr>
              <w:rPr>
                <w:rFonts w:cs="Arial"/>
                <w:color w:val="FF0000"/>
                <w:sz w:val="21"/>
                <w:szCs w:val="21"/>
              </w:rPr>
            </w:pPr>
          </w:p>
        </w:tc>
        <w:tc>
          <w:tcPr>
            <w:tcW w:w="217" w:type="dxa"/>
          </w:tcPr>
          <w:p w14:paraId="01404250" w14:textId="77777777" w:rsidR="002C0FD9" w:rsidRPr="00CA25CF" w:rsidRDefault="002C0FD9" w:rsidP="00CA25CF">
            <w:pPr>
              <w:rPr>
                <w:rFonts w:cs="Arial"/>
                <w:color w:val="FF0000"/>
                <w:sz w:val="21"/>
                <w:szCs w:val="21"/>
              </w:rPr>
            </w:pPr>
          </w:p>
        </w:tc>
        <w:tc>
          <w:tcPr>
            <w:tcW w:w="217" w:type="dxa"/>
          </w:tcPr>
          <w:p w14:paraId="193C9A48" w14:textId="77777777" w:rsidR="002C0FD9" w:rsidRPr="00CA25CF" w:rsidRDefault="002C0FD9" w:rsidP="00CA25CF">
            <w:pPr>
              <w:rPr>
                <w:rFonts w:cs="Arial"/>
                <w:color w:val="FF0000"/>
                <w:sz w:val="21"/>
                <w:szCs w:val="21"/>
              </w:rPr>
            </w:pPr>
          </w:p>
        </w:tc>
        <w:tc>
          <w:tcPr>
            <w:tcW w:w="217" w:type="dxa"/>
          </w:tcPr>
          <w:p w14:paraId="44F77DDF" w14:textId="77777777" w:rsidR="002C0FD9" w:rsidRPr="00CA25CF" w:rsidRDefault="002C0FD9" w:rsidP="00CA25CF">
            <w:pPr>
              <w:rPr>
                <w:rFonts w:cs="Arial"/>
                <w:color w:val="FF0000"/>
                <w:sz w:val="21"/>
                <w:szCs w:val="21"/>
              </w:rPr>
            </w:pPr>
          </w:p>
        </w:tc>
        <w:tc>
          <w:tcPr>
            <w:tcW w:w="217" w:type="dxa"/>
          </w:tcPr>
          <w:p w14:paraId="65A49E73" w14:textId="77777777" w:rsidR="002C0FD9" w:rsidRPr="00CA25CF" w:rsidRDefault="002C0FD9" w:rsidP="00CA25CF">
            <w:pPr>
              <w:rPr>
                <w:rFonts w:cs="Arial"/>
                <w:color w:val="FF0000"/>
                <w:sz w:val="21"/>
                <w:szCs w:val="21"/>
              </w:rPr>
            </w:pPr>
          </w:p>
        </w:tc>
        <w:tc>
          <w:tcPr>
            <w:tcW w:w="217" w:type="dxa"/>
          </w:tcPr>
          <w:p w14:paraId="775FA07A" w14:textId="77777777" w:rsidR="002C0FD9" w:rsidRPr="00CA25CF" w:rsidRDefault="002C0FD9" w:rsidP="00CA25CF">
            <w:pPr>
              <w:rPr>
                <w:rFonts w:cs="Arial"/>
                <w:color w:val="FF0000"/>
                <w:sz w:val="21"/>
                <w:szCs w:val="21"/>
              </w:rPr>
            </w:pPr>
          </w:p>
        </w:tc>
        <w:tc>
          <w:tcPr>
            <w:tcW w:w="217" w:type="dxa"/>
          </w:tcPr>
          <w:p w14:paraId="2A9C6E72" w14:textId="77777777" w:rsidR="002C0FD9" w:rsidRPr="00CA25CF" w:rsidRDefault="002C0FD9" w:rsidP="00CA25CF">
            <w:pPr>
              <w:rPr>
                <w:rFonts w:cs="Arial"/>
                <w:color w:val="FF0000"/>
                <w:sz w:val="21"/>
                <w:szCs w:val="21"/>
              </w:rPr>
            </w:pPr>
          </w:p>
        </w:tc>
        <w:tc>
          <w:tcPr>
            <w:tcW w:w="217" w:type="dxa"/>
          </w:tcPr>
          <w:p w14:paraId="4E45C422" w14:textId="77777777" w:rsidR="002C0FD9" w:rsidRPr="00CA25CF" w:rsidRDefault="002C0FD9" w:rsidP="00CA25CF">
            <w:pPr>
              <w:rPr>
                <w:rFonts w:cs="Arial"/>
                <w:color w:val="FF0000"/>
                <w:sz w:val="21"/>
                <w:szCs w:val="21"/>
              </w:rPr>
            </w:pPr>
          </w:p>
        </w:tc>
        <w:tc>
          <w:tcPr>
            <w:tcW w:w="217" w:type="dxa"/>
          </w:tcPr>
          <w:p w14:paraId="65823972" w14:textId="77777777" w:rsidR="002C0FD9" w:rsidRPr="00CA25CF" w:rsidRDefault="002C0FD9" w:rsidP="00CA25CF">
            <w:pPr>
              <w:rPr>
                <w:rFonts w:cs="Arial"/>
                <w:color w:val="FF0000"/>
                <w:sz w:val="21"/>
                <w:szCs w:val="21"/>
              </w:rPr>
            </w:pPr>
          </w:p>
        </w:tc>
        <w:tc>
          <w:tcPr>
            <w:tcW w:w="217" w:type="dxa"/>
          </w:tcPr>
          <w:p w14:paraId="4FE2B63C" w14:textId="77777777" w:rsidR="002C0FD9" w:rsidRPr="00CA25CF" w:rsidRDefault="002C0FD9" w:rsidP="00CA25CF">
            <w:pPr>
              <w:rPr>
                <w:rFonts w:cs="Arial"/>
                <w:color w:val="FF0000"/>
                <w:sz w:val="21"/>
                <w:szCs w:val="21"/>
              </w:rPr>
            </w:pPr>
          </w:p>
        </w:tc>
        <w:tc>
          <w:tcPr>
            <w:tcW w:w="217" w:type="dxa"/>
          </w:tcPr>
          <w:p w14:paraId="4776043F" w14:textId="77777777" w:rsidR="002C0FD9" w:rsidRPr="00CA25CF" w:rsidRDefault="002C0FD9" w:rsidP="00CA25CF">
            <w:pPr>
              <w:rPr>
                <w:rFonts w:cs="Arial"/>
                <w:color w:val="FF0000"/>
                <w:sz w:val="21"/>
                <w:szCs w:val="21"/>
              </w:rPr>
            </w:pPr>
          </w:p>
        </w:tc>
        <w:tc>
          <w:tcPr>
            <w:tcW w:w="217" w:type="dxa"/>
          </w:tcPr>
          <w:p w14:paraId="382D4AD0" w14:textId="77777777" w:rsidR="002C0FD9" w:rsidRPr="00CA25CF" w:rsidRDefault="002C0FD9" w:rsidP="00CA25CF">
            <w:pPr>
              <w:rPr>
                <w:rFonts w:cs="Arial"/>
                <w:color w:val="FF0000"/>
                <w:sz w:val="21"/>
                <w:szCs w:val="21"/>
              </w:rPr>
            </w:pPr>
          </w:p>
        </w:tc>
        <w:tc>
          <w:tcPr>
            <w:tcW w:w="217" w:type="dxa"/>
          </w:tcPr>
          <w:p w14:paraId="3C9BEA66" w14:textId="77777777" w:rsidR="002C0FD9" w:rsidRPr="00CA25CF" w:rsidRDefault="002C0FD9" w:rsidP="00CA25CF">
            <w:pPr>
              <w:rPr>
                <w:rFonts w:cs="Arial"/>
                <w:color w:val="FF0000"/>
                <w:sz w:val="21"/>
                <w:szCs w:val="21"/>
              </w:rPr>
            </w:pPr>
          </w:p>
        </w:tc>
        <w:tc>
          <w:tcPr>
            <w:tcW w:w="217" w:type="dxa"/>
          </w:tcPr>
          <w:p w14:paraId="447C26EB" w14:textId="77777777" w:rsidR="002C0FD9" w:rsidRPr="00CA25CF" w:rsidRDefault="002C0FD9" w:rsidP="00CA25CF">
            <w:pPr>
              <w:rPr>
                <w:rFonts w:cs="Arial"/>
                <w:color w:val="FF0000"/>
                <w:sz w:val="21"/>
                <w:szCs w:val="21"/>
              </w:rPr>
            </w:pPr>
          </w:p>
        </w:tc>
        <w:tc>
          <w:tcPr>
            <w:tcW w:w="217" w:type="dxa"/>
          </w:tcPr>
          <w:p w14:paraId="69EDD35F" w14:textId="77777777" w:rsidR="002C0FD9" w:rsidRPr="00CA25CF" w:rsidRDefault="002C0FD9" w:rsidP="00CA25CF">
            <w:pPr>
              <w:rPr>
                <w:rFonts w:cs="Arial"/>
                <w:color w:val="FF0000"/>
                <w:sz w:val="21"/>
                <w:szCs w:val="21"/>
              </w:rPr>
            </w:pPr>
          </w:p>
        </w:tc>
        <w:tc>
          <w:tcPr>
            <w:tcW w:w="217" w:type="dxa"/>
          </w:tcPr>
          <w:p w14:paraId="63D2C0B8" w14:textId="77777777" w:rsidR="002C0FD9" w:rsidRPr="00CA25CF" w:rsidRDefault="002C0FD9" w:rsidP="00CA25CF">
            <w:pPr>
              <w:rPr>
                <w:rFonts w:cs="Arial"/>
                <w:color w:val="FF0000"/>
                <w:sz w:val="21"/>
                <w:szCs w:val="21"/>
              </w:rPr>
            </w:pPr>
          </w:p>
        </w:tc>
        <w:tc>
          <w:tcPr>
            <w:tcW w:w="217" w:type="dxa"/>
          </w:tcPr>
          <w:p w14:paraId="2738518D" w14:textId="77777777" w:rsidR="002C0FD9" w:rsidRPr="00CA25CF" w:rsidRDefault="002C0FD9" w:rsidP="00CA25CF">
            <w:pPr>
              <w:rPr>
                <w:rFonts w:cs="Arial"/>
                <w:color w:val="FF0000"/>
                <w:sz w:val="21"/>
                <w:szCs w:val="21"/>
              </w:rPr>
            </w:pPr>
          </w:p>
        </w:tc>
        <w:tc>
          <w:tcPr>
            <w:tcW w:w="217" w:type="dxa"/>
          </w:tcPr>
          <w:p w14:paraId="369D479E" w14:textId="77777777" w:rsidR="002C0FD9" w:rsidRPr="00CA25CF" w:rsidRDefault="002C0FD9" w:rsidP="00CA25CF">
            <w:pPr>
              <w:rPr>
                <w:rFonts w:cs="Arial"/>
                <w:color w:val="FF0000"/>
                <w:sz w:val="21"/>
                <w:szCs w:val="21"/>
              </w:rPr>
            </w:pPr>
          </w:p>
        </w:tc>
        <w:tc>
          <w:tcPr>
            <w:tcW w:w="217" w:type="dxa"/>
          </w:tcPr>
          <w:p w14:paraId="4AD1577B" w14:textId="77777777" w:rsidR="002C0FD9" w:rsidRPr="00CA25CF" w:rsidRDefault="002C0FD9" w:rsidP="00CA25CF">
            <w:pPr>
              <w:rPr>
                <w:rFonts w:cs="Arial"/>
                <w:color w:val="FF0000"/>
                <w:sz w:val="21"/>
                <w:szCs w:val="21"/>
              </w:rPr>
            </w:pPr>
          </w:p>
        </w:tc>
        <w:tc>
          <w:tcPr>
            <w:tcW w:w="217" w:type="dxa"/>
          </w:tcPr>
          <w:p w14:paraId="5C15F6C7" w14:textId="77777777" w:rsidR="002C0FD9" w:rsidRPr="00CA25CF" w:rsidRDefault="002C0FD9" w:rsidP="00CA25CF">
            <w:pPr>
              <w:rPr>
                <w:rFonts w:cs="Arial"/>
                <w:color w:val="FF0000"/>
                <w:sz w:val="21"/>
                <w:szCs w:val="21"/>
              </w:rPr>
            </w:pPr>
          </w:p>
        </w:tc>
        <w:tc>
          <w:tcPr>
            <w:tcW w:w="217" w:type="dxa"/>
          </w:tcPr>
          <w:p w14:paraId="51A91C1D" w14:textId="77777777" w:rsidR="002C0FD9" w:rsidRPr="00CA25CF" w:rsidRDefault="002C0FD9" w:rsidP="00CA25CF">
            <w:pPr>
              <w:rPr>
                <w:rFonts w:cs="Arial"/>
                <w:color w:val="FF0000"/>
                <w:sz w:val="21"/>
                <w:szCs w:val="21"/>
              </w:rPr>
            </w:pPr>
          </w:p>
        </w:tc>
        <w:tc>
          <w:tcPr>
            <w:tcW w:w="217" w:type="dxa"/>
          </w:tcPr>
          <w:p w14:paraId="5FA86CFC" w14:textId="77777777" w:rsidR="002C0FD9" w:rsidRPr="00CA25CF" w:rsidRDefault="002C0FD9" w:rsidP="00CA25CF">
            <w:pPr>
              <w:rPr>
                <w:rFonts w:cs="Arial"/>
                <w:color w:val="FF0000"/>
                <w:sz w:val="21"/>
                <w:szCs w:val="21"/>
              </w:rPr>
            </w:pPr>
          </w:p>
        </w:tc>
        <w:tc>
          <w:tcPr>
            <w:tcW w:w="217" w:type="dxa"/>
          </w:tcPr>
          <w:p w14:paraId="5B69E154" w14:textId="77777777" w:rsidR="002C0FD9" w:rsidRPr="00CA25CF" w:rsidRDefault="002C0FD9" w:rsidP="00CA25CF">
            <w:pPr>
              <w:rPr>
                <w:rFonts w:cs="Arial"/>
                <w:color w:val="FF0000"/>
                <w:sz w:val="21"/>
                <w:szCs w:val="21"/>
              </w:rPr>
            </w:pPr>
          </w:p>
        </w:tc>
        <w:tc>
          <w:tcPr>
            <w:tcW w:w="217" w:type="dxa"/>
          </w:tcPr>
          <w:p w14:paraId="07F62EEF" w14:textId="77777777" w:rsidR="002C0FD9" w:rsidRPr="00CA25CF" w:rsidRDefault="002C0FD9" w:rsidP="00CA25CF">
            <w:pPr>
              <w:rPr>
                <w:rFonts w:cs="Arial"/>
                <w:color w:val="FF0000"/>
                <w:sz w:val="21"/>
                <w:szCs w:val="21"/>
              </w:rPr>
            </w:pPr>
          </w:p>
        </w:tc>
        <w:tc>
          <w:tcPr>
            <w:tcW w:w="217" w:type="dxa"/>
          </w:tcPr>
          <w:p w14:paraId="0A732B05" w14:textId="77777777" w:rsidR="002C0FD9" w:rsidRPr="00CA25CF" w:rsidRDefault="002C0FD9" w:rsidP="00CA25CF">
            <w:pPr>
              <w:rPr>
                <w:rFonts w:cs="Arial"/>
                <w:color w:val="FF0000"/>
                <w:sz w:val="21"/>
                <w:szCs w:val="21"/>
              </w:rPr>
            </w:pPr>
          </w:p>
        </w:tc>
        <w:tc>
          <w:tcPr>
            <w:tcW w:w="217" w:type="dxa"/>
          </w:tcPr>
          <w:p w14:paraId="7F460806" w14:textId="77777777" w:rsidR="002C0FD9" w:rsidRPr="00CA25CF" w:rsidRDefault="002C0FD9" w:rsidP="00CA25CF">
            <w:pPr>
              <w:rPr>
                <w:rFonts w:cs="Arial"/>
                <w:color w:val="FF0000"/>
                <w:sz w:val="21"/>
                <w:szCs w:val="21"/>
              </w:rPr>
            </w:pPr>
          </w:p>
        </w:tc>
        <w:tc>
          <w:tcPr>
            <w:tcW w:w="217" w:type="dxa"/>
          </w:tcPr>
          <w:p w14:paraId="3CAECAA3" w14:textId="77777777" w:rsidR="002C0FD9" w:rsidRPr="00CA25CF" w:rsidRDefault="002C0FD9" w:rsidP="00CA25CF">
            <w:pPr>
              <w:rPr>
                <w:rFonts w:cs="Arial"/>
                <w:color w:val="FF0000"/>
                <w:sz w:val="21"/>
                <w:szCs w:val="21"/>
              </w:rPr>
            </w:pPr>
          </w:p>
        </w:tc>
        <w:tc>
          <w:tcPr>
            <w:tcW w:w="217" w:type="dxa"/>
          </w:tcPr>
          <w:p w14:paraId="18A09DD1" w14:textId="77777777" w:rsidR="002C0FD9" w:rsidRPr="00CA25CF" w:rsidRDefault="002C0FD9" w:rsidP="00CA25CF">
            <w:pPr>
              <w:rPr>
                <w:rFonts w:cs="Arial"/>
                <w:color w:val="FF0000"/>
                <w:sz w:val="21"/>
                <w:szCs w:val="21"/>
              </w:rPr>
            </w:pPr>
          </w:p>
        </w:tc>
        <w:tc>
          <w:tcPr>
            <w:tcW w:w="217" w:type="dxa"/>
          </w:tcPr>
          <w:p w14:paraId="64D32328" w14:textId="77777777" w:rsidR="002C0FD9" w:rsidRPr="00CA25CF" w:rsidRDefault="002C0FD9" w:rsidP="00CA25CF">
            <w:pPr>
              <w:rPr>
                <w:rFonts w:cs="Arial"/>
                <w:color w:val="FF0000"/>
                <w:sz w:val="21"/>
                <w:szCs w:val="21"/>
              </w:rPr>
            </w:pPr>
          </w:p>
        </w:tc>
        <w:tc>
          <w:tcPr>
            <w:tcW w:w="217" w:type="dxa"/>
          </w:tcPr>
          <w:p w14:paraId="12F89345" w14:textId="77777777" w:rsidR="002C0FD9" w:rsidRPr="00CA25CF" w:rsidRDefault="002C0FD9" w:rsidP="00CA25CF">
            <w:pPr>
              <w:rPr>
                <w:rFonts w:cs="Arial"/>
                <w:color w:val="FF0000"/>
                <w:sz w:val="21"/>
                <w:szCs w:val="21"/>
              </w:rPr>
            </w:pPr>
          </w:p>
        </w:tc>
        <w:tc>
          <w:tcPr>
            <w:tcW w:w="217" w:type="dxa"/>
          </w:tcPr>
          <w:p w14:paraId="65367A75" w14:textId="77777777" w:rsidR="002C0FD9" w:rsidRPr="00CA25CF" w:rsidRDefault="002C0FD9" w:rsidP="00CA25CF">
            <w:pPr>
              <w:rPr>
                <w:rFonts w:cs="Arial"/>
                <w:color w:val="FF0000"/>
                <w:sz w:val="21"/>
                <w:szCs w:val="21"/>
              </w:rPr>
            </w:pPr>
          </w:p>
        </w:tc>
        <w:tc>
          <w:tcPr>
            <w:tcW w:w="217" w:type="dxa"/>
          </w:tcPr>
          <w:p w14:paraId="7604C3C6" w14:textId="77777777" w:rsidR="002C0FD9" w:rsidRPr="00CA25CF" w:rsidRDefault="002C0FD9" w:rsidP="00CA25CF">
            <w:pPr>
              <w:rPr>
                <w:rFonts w:cs="Arial"/>
                <w:color w:val="FF0000"/>
                <w:sz w:val="21"/>
                <w:szCs w:val="21"/>
              </w:rPr>
            </w:pPr>
          </w:p>
        </w:tc>
      </w:tr>
      <w:tr w:rsidR="002C0FD9" w:rsidRPr="00A16219" w14:paraId="2B4953B6" w14:textId="3D1A0B17" w:rsidTr="002C0FD9">
        <w:trPr>
          <w:trHeight w:val="635"/>
        </w:trPr>
        <w:tc>
          <w:tcPr>
            <w:tcW w:w="515" w:type="dxa"/>
          </w:tcPr>
          <w:p w14:paraId="7B0B6988" w14:textId="77777777" w:rsidR="002C0FD9" w:rsidRPr="00CA25CF" w:rsidRDefault="002C0FD9" w:rsidP="00CA25CF">
            <w:pPr>
              <w:rPr>
                <w:rFonts w:cs="Arial"/>
                <w:color w:val="FF0000"/>
                <w:sz w:val="21"/>
                <w:szCs w:val="21"/>
              </w:rPr>
            </w:pPr>
          </w:p>
        </w:tc>
        <w:tc>
          <w:tcPr>
            <w:tcW w:w="217" w:type="dxa"/>
          </w:tcPr>
          <w:p w14:paraId="3724C562" w14:textId="77777777" w:rsidR="002C0FD9" w:rsidRPr="00CA25CF" w:rsidRDefault="002C0FD9" w:rsidP="00CA25CF">
            <w:pPr>
              <w:rPr>
                <w:rFonts w:cs="Arial"/>
                <w:color w:val="FF0000"/>
                <w:sz w:val="21"/>
                <w:szCs w:val="21"/>
              </w:rPr>
            </w:pPr>
          </w:p>
        </w:tc>
        <w:tc>
          <w:tcPr>
            <w:tcW w:w="217" w:type="dxa"/>
          </w:tcPr>
          <w:p w14:paraId="7FDC7752" w14:textId="61633CEA" w:rsidR="002C0FD9" w:rsidRPr="00CA25CF" w:rsidRDefault="002C0FD9" w:rsidP="00CA25CF">
            <w:pPr>
              <w:rPr>
                <w:rFonts w:cs="Arial"/>
                <w:color w:val="FF0000"/>
                <w:sz w:val="21"/>
                <w:szCs w:val="21"/>
              </w:rPr>
            </w:pPr>
          </w:p>
        </w:tc>
        <w:tc>
          <w:tcPr>
            <w:tcW w:w="217" w:type="dxa"/>
          </w:tcPr>
          <w:p w14:paraId="47DA7ACD" w14:textId="77777777" w:rsidR="002C0FD9" w:rsidRPr="00CA25CF" w:rsidRDefault="002C0FD9" w:rsidP="00CA25CF">
            <w:pPr>
              <w:rPr>
                <w:rFonts w:cs="Arial"/>
                <w:color w:val="FF0000"/>
                <w:sz w:val="21"/>
                <w:szCs w:val="21"/>
              </w:rPr>
            </w:pPr>
          </w:p>
        </w:tc>
        <w:tc>
          <w:tcPr>
            <w:tcW w:w="217" w:type="dxa"/>
          </w:tcPr>
          <w:p w14:paraId="23A5E79C" w14:textId="77777777" w:rsidR="002C0FD9" w:rsidRPr="00CA25CF" w:rsidRDefault="002C0FD9" w:rsidP="00CA25CF">
            <w:pPr>
              <w:rPr>
                <w:rFonts w:cs="Arial"/>
                <w:color w:val="FF0000"/>
                <w:sz w:val="21"/>
                <w:szCs w:val="21"/>
              </w:rPr>
            </w:pPr>
          </w:p>
        </w:tc>
        <w:tc>
          <w:tcPr>
            <w:tcW w:w="217" w:type="dxa"/>
          </w:tcPr>
          <w:p w14:paraId="2EB31D0C" w14:textId="77777777" w:rsidR="002C0FD9" w:rsidRPr="00CA25CF" w:rsidRDefault="002C0FD9" w:rsidP="00CA25CF">
            <w:pPr>
              <w:rPr>
                <w:rFonts w:cs="Arial"/>
                <w:color w:val="FF0000"/>
                <w:sz w:val="21"/>
                <w:szCs w:val="21"/>
              </w:rPr>
            </w:pPr>
          </w:p>
        </w:tc>
        <w:tc>
          <w:tcPr>
            <w:tcW w:w="217" w:type="dxa"/>
          </w:tcPr>
          <w:p w14:paraId="286E12E1" w14:textId="77777777" w:rsidR="002C0FD9" w:rsidRPr="00CA25CF" w:rsidRDefault="002C0FD9" w:rsidP="00CA25CF">
            <w:pPr>
              <w:rPr>
                <w:rFonts w:cs="Arial"/>
                <w:color w:val="FF0000"/>
                <w:sz w:val="21"/>
                <w:szCs w:val="21"/>
              </w:rPr>
            </w:pPr>
          </w:p>
        </w:tc>
        <w:tc>
          <w:tcPr>
            <w:tcW w:w="217" w:type="dxa"/>
          </w:tcPr>
          <w:p w14:paraId="21D6FA16" w14:textId="77777777" w:rsidR="002C0FD9" w:rsidRPr="00CA25CF" w:rsidRDefault="002C0FD9" w:rsidP="00CA25CF">
            <w:pPr>
              <w:rPr>
                <w:rFonts w:cs="Arial"/>
                <w:color w:val="FF0000"/>
                <w:sz w:val="21"/>
                <w:szCs w:val="21"/>
              </w:rPr>
            </w:pPr>
          </w:p>
        </w:tc>
        <w:tc>
          <w:tcPr>
            <w:tcW w:w="217" w:type="dxa"/>
          </w:tcPr>
          <w:p w14:paraId="4F44E83F" w14:textId="77777777" w:rsidR="002C0FD9" w:rsidRPr="00CA25CF" w:rsidRDefault="002C0FD9" w:rsidP="00CA25CF">
            <w:pPr>
              <w:rPr>
                <w:rFonts w:cs="Arial"/>
                <w:color w:val="FF0000"/>
                <w:sz w:val="21"/>
                <w:szCs w:val="21"/>
              </w:rPr>
            </w:pPr>
          </w:p>
        </w:tc>
        <w:tc>
          <w:tcPr>
            <w:tcW w:w="217" w:type="dxa"/>
          </w:tcPr>
          <w:p w14:paraId="218E92F4" w14:textId="77777777" w:rsidR="002C0FD9" w:rsidRPr="00CA25CF" w:rsidRDefault="002C0FD9" w:rsidP="00CA25CF">
            <w:pPr>
              <w:rPr>
                <w:rFonts w:cs="Arial"/>
                <w:color w:val="FF0000"/>
                <w:sz w:val="21"/>
                <w:szCs w:val="21"/>
              </w:rPr>
            </w:pPr>
          </w:p>
        </w:tc>
        <w:tc>
          <w:tcPr>
            <w:tcW w:w="217" w:type="dxa"/>
          </w:tcPr>
          <w:p w14:paraId="75A85ADA" w14:textId="77777777" w:rsidR="002C0FD9" w:rsidRPr="00CA25CF" w:rsidRDefault="002C0FD9" w:rsidP="00CA25CF">
            <w:pPr>
              <w:rPr>
                <w:rFonts w:cs="Arial"/>
                <w:color w:val="FF0000"/>
                <w:sz w:val="21"/>
                <w:szCs w:val="21"/>
              </w:rPr>
            </w:pPr>
          </w:p>
        </w:tc>
        <w:tc>
          <w:tcPr>
            <w:tcW w:w="217" w:type="dxa"/>
          </w:tcPr>
          <w:p w14:paraId="56B25095" w14:textId="77777777" w:rsidR="002C0FD9" w:rsidRPr="00CA25CF" w:rsidRDefault="002C0FD9" w:rsidP="00CA25CF">
            <w:pPr>
              <w:rPr>
                <w:rFonts w:cs="Arial"/>
                <w:color w:val="FF0000"/>
                <w:sz w:val="21"/>
                <w:szCs w:val="21"/>
              </w:rPr>
            </w:pPr>
          </w:p>
        </w:tc>
        <w:tc>
          <w:tcPr>
            <w:tcW w:w="217" w:type="dxa"/>
          </w:tcPr>
          <w:p w14:paraId="11CA59D8" w14:textId="77777777" w:rsidR="002C0FD9" w:rsidRPr="00CA25CF" w:rsidRDefault="002C0FD9" w:rsidP="00CA25CF">
            <w:pPr>
              <w:rPr>
                <w:rFonts w:cs="Arial"/>
                <w:color w:val="FF0000"/>
                <w:sz w:val="21"/>
                <w:szCs w:val="21"/>
              </w:rPr>
            </w:pPr>
          </w:p>
        </w:tc>
        <w:tc>
          <w:tcPr>
            <w:tcW w:w="217" w:type="dxa"/>
          </w:tcPr>
          <w:p w14:paraId="1AE574A9" w14:textId="77777777" w:rsidR="002C0FD9" w:rsidRPr="00CA25CF" w:rsidRDefault="002C0FD9" w:rsidP="00CA25CF">
            <w:pPr>
              <w:rPr>
                <w:rFonts w:cs="Arial"/>
                <w:color w:val="FF0000"/>
                <w:sz w:val="21"/>
                <w:szCs w:val="21"/>
              </w:rPr>
            </w:pPr>
          </w:p>
        </w:tc>
        <w:tc>
          <w:tcPr>
            <w:tcW w:w="217" w:type="dxa"/>
          </w:tcPr>
          <w:p w14:paraId="6FB92BEB" w14:textId="77777777" w:rsidR="002C0FD9" w:rsidRPr="00CA25CF" w:rsidRDefault="002C0FD9" w:rsidP="00CA25CF">
            <w:pPr>
              <w:rPr>
                <w:rFonts w:cs="Arial"/>
                <w:color w:val="FF0000"/>
                <w:sz w:val="21"/>
                <w:szCs w:val="21"/>
              </w:rPr>
            </w:pPr>
          </w:p>
        </w:tc>
        <w:tc>
          <w:tcPr>
            <w:tcW w:w="217" w:type="dxa"/>
          </w:tcPr>
          <w:p w14:paraId="2DD6BCE0" w14:textId="77777777" w:rsidR="002C0FD9" w:rsidRPr="00CA25CF" w:rsidRDefault="002C0FD9" w:rsidP="00CA25CF">
            <w:pPr>
              <w:rPr>
                <w:rFonts w:cs="Arial"/>
                <w:color w:val="FF0000"/>
                <w:sz w:val="21"/>
                <w:szCs w:val="21"/>
              </w:rPr>
            </w:pPr>
          </w:p>
        </w:tc>
        <w:tc>
          <w:tcPr>
            <w:tcW w:w="217" w:type="dxa"/>
          </w:tcPr>
          <w:p w14:paraId="2218A36F" w14:textId="77777777" w:rsidR="002C0FD9" w:rsidRPr="00CA25CF" w:rsidRDefault="002C0FD9" w:rsidP="00CA25CF">
            <w:pPr>
              <w:rPr>
                <w:rFonts w:cs="Arial"/>
                <w:color w:val="FF0000"/>
                <w:sz w:val="21"/>
                <w:szCs w:val="21"/>
              </w:rPr>
            </w:pPr>
          </w:p>
        </w:tc>
        <w:tc>
          <w:tcPr>
            <w:tcW w:w="217" w:type="dxa"/>
          </w:tcPr>
          <w:p w14:paraId="2642ACCC" w14:textId="77777777" w:rsidR="002C0FD9" w:rsidRPr="00CA25CF" w:rsidRDefault="002C0FD9" w:rsidP="00CA25CF">
            <w:pPr>
              <w:rPr>
                <w:rFonts w:cs="Arial"/>
                <w:color w:val="FF0000"/>
                <w:sz w:val="21"/>
                <w:szCs w:val="21"/>
              </w:rPr>
            </w:pPr>
          </w:p>
        </w:tc>
        <w:tc>
          <w:tcPr>
            <w:tcW w:w="217" w:type="dxa"/>
          </w:tcPr>
          <w:p w14:paraId="66EBCEEC" w14:textId="77777777" w:rsidR="002C0FD9" w:rsidRPr="00CA25CF" w:rsidRDefault="002C0FD9" w:rsidP="00CA25CF">
            <w:pPr>
              <w:rPr>
                <w:rFonts w:cs="Arial"/>
                <w:color w:val="FF0000"/>
                <w:sz w:val="21"/>
                <w:szCs w:val="21"/>
              </w:rPr>
            </w:pPr>
          </w:p>
        </w:tc>
        <w:tc>
          <w:tcPr>
            <w:tcW w:w="217" w:type="dxa"/>
          </w:tcPr>
          <w:p w14:paraId="7F6E1224" w14:textId="77777777" w:rsidR="002C0FD9" w:rsidRPr="00CA25CF" w:rsidRDefault="002C0FD9" w:rsidP="00CA25CF">
            <w:pPr>
              <w:rPr>
                <w:rFonts w:cs="Arial"/>
                <w:color w:val="FF0000"/>
                <w:sz w:val="21"/>
                <w:szCs w:val="21"/>
              </w:rPr>
            </w:pPr>
          </w:p>
        </w:tc>
        <w:tc>
          <w:tcPr>
            <w:tcW w:w="217" w:type="dxa"/>
          </w:tcPr>
          <w:p w14:paraId="3CBAEA30" w14:textId="77777777" w:rsidR="002C0FD9" w:rsidRPr="00CA25CF" w:rsidRDefault="002C0FD9" w:rsidP="00CA25CF">
            <w:pPr>
              <w:rPr>
                <w:rFonts w:cs="Arial"/>
                <w:color w:val="FF0000"/>
                <w:sz w:val="21"/>
                <w:szCs w:val="21"/>
              </w:rPr>
            </w:pPr>
          </w:p>
        </w:tc>
        <w:tc>
          <w:tcPr>
            <w:tcW w:w="217" w:type="dxa"/>
          </w:tcPr>
          <w:p w14:paraId="69B6F7B2" w14:textId="77777777" w:rsidR="002C0FD9" w:rsidRPr="00CA25CF" w:rsidRDefault="002C0FD9" w:rsidP="00CA25CF">
            <w:pPr>
              <w:rPr>
                <w:rFonts w:cs="Arial"/>
                <w:color w:val="FF0000"/>
                <w:sz w:val="21"/>
                <w:szCs w:val="21"/>
              </w:rPr>
            </w:pPr>
          </w:p>
        </w:tc>
        <w:tc>
          <w:tcPr>
            <w:tcW w:w="217" w:type="dxa"/>
          </w:tcPr>
          <w:p w14:paraId="2B28408E" w14:textId="77777777" w:rsidR="002C0FD9" w:rsidRPr="00CA25CF" w:rsidRDefault="002C0FD9" w:rsidP="00CA25CF">
            <w:pPr>
              <w:rPr>
                <w:rFonts w:cs="Arial"/>
                <w:color w:val="FF0000"/>
                <w:sz w:val="21"/>
                <w:szCs w:val="21"/>
              </w:rPr>
            </w:pPr>
          </w:p>
        </w:tc>
        <w:tc>
          <w:tcPr>
            <w:tcW w:w="217" w:type="dxa"/>
          </w:tcPr>
          <w:p w14:paraId="42416133" w14:textId="77777777" w:rsidR="002C0FD9" w:rsidRPr="00CA25CF" w:rsidRDefault="002C0FD9" w:rsidP="00CA25CF">
            <w:pPr>
              <w:rPr>
                <w:rFonts w:cs="Arial"/>
                <w:color w:val="FF0000"/>
                <w:sz w:val="21"/>
                <w:szCs w:val="21"/>
              </w:rPr>
            </w:pPr>
          </w:p>
        </w:tc>
        <w:tc>
          <w:tcPr>
            <w:tcW w:w="217" w:type="dxa"/>
          </w:tcPr>
          <w:p w14:paraId="613AC4A8" w14:textId="77777777" w:rsidR="002C0FD9" w:rsidRPr="00CA25CF" w:rsidRDefault="002C0FD9" w:rsidP="00CA25CF">
            <w:pPr>
              <w:rPr>
                <w:rFonts w:cs="Arial"/>
                <w:color w:val="FF0000"/>
                <w:sz w:val="21"/>
                <w:szCs w:val="21"/>
              </w:rPr>
            </w:pPr>
          </w:p>
        </w:tc>
        <w:tc>
          <w:tcPr>
            <w:tcW w:w="217" w:type="dxa"/>
          </w:tcPr>
          <w:p w14:paraId="269746C9" w14:textId="77777777" w:rsidR="002C0FD9" w:rsidRPr="00CA25CF" w:rsidRDefault="002C0FD9" w:rsidP="00CA25CF">
            <w:pPr>
              <w:rPr>
                <w:rFonts w:cs="Arial"/>
                <w:color w:val="FF0000"/>
                <w:sz w:val="21"/>
                <w:szCs w:val="21"/>
              </w:rPr>
            </w:pPr>
          </w:p>
        </w:tc>
        <w:tc>
          <w:tcPr>
            <w:tcW w:w="217" w:type="dxa"/>
          </w:tcPr>
          <w:p w14:paraId="14835A20" w14:textId="77777777" w:rsidR="002C0FD9" w:rsidRPr="00CA25CF" w:rsidRDefault="002C0FD9" w:rsidP="00CA25CF">
            <w:pPr>
              <w:rPr>
                <w:rFonts w:cs="Arial"/>
                <w:color w:val="FF0000"/>
                <w:sz w:val="21"/>
                <w:szCs w:val="21"/>
              </w:rPr>
            </w:pPr>
          </w:p>
        </w:tc>
        <w:tc>
          <w:tcPr>
            <w:tcW w:w="217" w:type="dxa"/>
          </w:tcPr>
          <w:p w14:paraId="0E252D95" w14:textId="77777777" w:rsidR="002C0FD9" w:rsidRPr="00CA25CF" w:rsidRDefault="002C0FD9" w:rsidP="00CA25CF">
            <w:pPr>
              <w:rPr>
                <w:rFonts w:cs="Arial"/>
                <w:color w:val="FF0000"/>
                <w:sz w:val="21"/>
                <w:szCs w:val="21"/>
              </w:rPr>
            </w:pPr>
          </w:p>
        </w:tc>
        <w:tc>
          <w:tcPr>
            <w:tcW w:w="217" w:type="dxa"/>
          </w:tcPr>
          <w:p w14:paraId="43526A32" w14:textId="77777777" w:rsidR="002C0FD9" w:rsidRPr="00CA25CF" w:rsidRDefault="002C0FD9" w:rsidP="00CA25CF">
            <w:pPr>
              <w:rPr>
                <w:rFonts w:cs="Arial"/>
                <w:color w:val="FF0000"/>
                <w:sz w:val="21"/>
                <w:szCs w:val="21"/>
              </w:rPr>
            </w:pPr>
          </w:p>
        </w:tc>
        <w:tc>
          <w:tcPr>
            <w:tcW w:w="217" w:type="dxa"/>
          </w:tcPr>
          <w:p w14:paraId="4BC0DB6D" w14:textId="77777777" w:rsidR="002C0FD9" w:rsidRPr="00CA25CF" w:rsidRDefault="002C0FD9" w:rsidP="00CA25CF">
            <w:pPr>
              <w:rPr>
                <w:rFonts w:cs="Arial"/>
                <w:color w:val="FF0000"/>
                <w:sz w:val="21"/>
                <w:szCs w:val="21"/>
              </w:rPr>
            </w:pPr>
          </w:p>
        </w:tc>
        <w:tc>
          <w:tcPr>
            <w:tcW w:w="217" w:type="dxa"/>
          </w:tcPr>
          <w:p w14:paraId="40AEC794" w14:textId="77777777" w:rsidR="002C0FD9" w:rsidRPr="00CA25CF" w:rsidRDefault="002C0FD9" w:rsidP="00CA25CF">
            <w:pPr>
              <w:rPr>
                <w:rFonts w:cs="Arial"/>
                <w:color w:val="FF0000"/>
                <w:sz w:val="21"/>
                <w:szCs w:val="21"/>
              </w:rPr>
            </w:pPr>
          </w:p>
        </w:tc>
        <w:tc>
          <w:tcPr>
            <w:tcW w:w="217" w:type="dxa"/>
          </w:tcPr>
          <w:p w14:paraId="0C2B5096" w14:textId="77777777" w:rsidR="002C0FD9" w:rsidRPr="00CA25CF" w:rsidRDefault="002C0FD9" w:rsidP="00CA25CF">
            <w:pPr>
              <w:rPr>
                <w:rFonts w:cs="Arial"/>
                <w:color w:val="FF0000"/>
                <w:sz w:val="21"/>
                <w:szCs w:val="21"/>
              </w:rPr>
            </w:pPr>
          </w:p>
        </w:tc>
        <w:tc>
          <w:tcPr>
            <w:tcW w:w="217" w:type="dxa"/>
          </w:tcPr>
          <w:p w14:paraId="74BF3978" w14:textId="77777777" w:rsidR="002C0FD9" w:rsidRPr="00CA25CF" w:rsidRDefault="002C0FD9" w:rsidP="00CA25CF">
            <w:pPr>
              <w:rPr>
                <w:rFonts w:cs="Arial"/>
                <w:color w:val="FF0000"/>
                <w:sz w:val="21"/>
                <w:szCs w:val="21"/>
              </w:rPr>
            </w:pPr>
          </w:p>
        </w:tc>
        <w:tc>
          <w:tcPr>
            <w:tcW w:w="217" w:type="dxa"/>
          </w:tcPr>
          <w:p w14:paraId="670CAC86" w14:textId="77777777" w:rsidR="002C0FD9" w:rsidRPr="00CA25CF" w:rsidRDefault="002C0FD9" w:rsidP="00CA25CF">
            <w:pPr>
              <w:rPr>
                <w:rFonts w:cs="Arial"/>
                <w:color w:val="FF0000"/>
                <w:sz w:val="21"/>
                <w:szCs w:val="21"/>
              </w:rPr>
            </w:pPr>
          </w:p>
        </w:tc>
        <w:tc>
          <w:tcPr>
            <w:tcW w:w="217" w:type="dxa"/>
          </w:tcPr>
          <w:p w14:paraId="6C437B27" w14:textId="77777777" w:rsidR="002C0FD9" w:rsidRPr="00CA25CF" w:rsidRDefault="002C0FD9" w:rsidP="00CA25CF">
            <w:pPr>
              <w:rPr>
                <w:rFonts w:cs="Arial"/>
                <w:color w:val="FF0000"/>
                <w:sz w:val="21"/>
                <w:szCs w:val="21"/>
              </w:rPr>
            </w:pPr>
          </w:p>
        </w:tc>
        <w:tc>
          <w:tcPr>
            <w:tcW w:w="217" w:type="dxa"/>
          </w:tcPr>
          <w:p w14:paraId="73D86546" w14:textId="77777777" w:rsidR="002C0FD9" w:rsidRPr="00CA25CF" w:rsidRDefault="002C0FD9" w:rsidP="00CA25CF">
            <w:pPr>
              <w:rPr>
                <w:rFonts w:cs="Arial"/>
                <w:color w:val="FF0000"/>
                <w:sz w:val="21"/>
                <w:szCs w:val="21"/>
              </w:rPr>
            </w:pPr>
          </w:p>
        </w:tc>
        <w:tc>
          <w:tcPr>
            <w:tcW w:w="217" w:type="dxa"/>
          </w:tcPr>
          <w:p w14:paraId="4FB23407" w14:textId="77777777" w:rsidR="002C0FD9" w:rsidRPr="00CA25CF" w:rsidRDefault="002C0FD9" w:rsidP="00CA25CF">
            <w:pPr>
              <w:rPr>
                <w:rFonts w:cs="Arial"/>
                <w:color w:val="FF0000"/>
                <w:sz w:val="21"/>
                <w:szCs w:val="21"/>
              </w:rPr>
            </w:pPr>
          </w:p>
        </w:tc>
        <w:tc>
          <w:tcPr>
            <w:tcW w:w="217" w:type="dxa"/>
          </w:tcPr>
          <w:p w14:paraId="0282C54A" w14:textId="77777777" w:rsidR="002C0FD9" w:rsidRPr="00CA25CF" w:rsidRDefault="002C0FD9" w:rsidP="00CA25CF">
            <w:pPr>
              <w:rPr>
                <w:rFonts w:cs="Arial"/>
                <w:color w:val="FF0000"/>
                <w:sz w:val="21"/>
                <w:szCs w:val="21"/>
              </w:rPr>
            </w:pPr>
          </w:p>
        </w:tc>
        <w:tc>
          <w:tcPr>
            <w:tcW w:w="217" w:type="dxa"/>
          </w:tcPr>
          <w:p w14:paraId="6DD76C11" w14:textId="77777777" w:rsidR="002C0FD9" w:rsidRPr="00CA25CF" w:rsidRDefault="002C0FD9" w:rsidP="00CA25CF">
            <w:pPr>
              <w:rPr>
                <w:rFonts w:cs="Arial"/>
                <w:color w:val="FF0000"/>
                <w:sz w:val="21"/>
                <w:szCs w:val="21"/>
              </w:rPr>
            </w:pPr>
          </w:p>
        </w:tc>
        <w:tc>
          <w:tcPr>
            <w:tcW w:w="217" w:type="dxa"/>
          </w:tcPr>
          <w:p w14:paraId="7C59AD41" w14:textId="77777777" w:rsidR="002C0FD9" w:rsidRPr="00CA25CF" w:rsidRDefault="002C0FD9" w:rsidP="00CA25CF">
            <w:pPr>
              <w:rPr>
                <w:rFonts w:cs="Arial"/>
                <w:color w:val="FF0000"/>
                <w:sz w:val="21"/>
                <w:szCs w:val="21"/>
              </w:rPr>
            </w:pPr>
          </w:p>
        </w:tc>
        <w:tc>
          <w:tcPr>
            <w:tcW w:w="217" w:type="dxa"/>
          </w:tcPr>
          <w:p w14:paraId="175888BB" w14:textId="77777777" w:rsidR="002C0FD9" w:rsidRPr="00CA25CF" w:rsidRDefault="002C0FD9" w:rsidP="00CA25CF">
            <w:pPr>
              <w:rPr>
                <w:rFonts w:cs="Arial"/>
                <w:color w:val="FF0000"/>
                <w:sz w:val="21"/>
                <w:szCs w:val="21"/>
              </w:rPr>
            </w:pPr>
          </w:p>
        </w:tc>
        <w:tc>
          <w:tcPr>
            <w:tcW w:w="217" w:type="dxa"/>
          </w:tcPr>
          <w:p w14:paraId="3A8239FD" w14:textId="77777777" w:rsidR="002C0FD9" w:rsidRPr="00CA25CF" w:rsidRDefault="002C0FD9" w:rsidP="00CA25CF">
            <w:pPr>
              <w:rPr>
                <w:rFonts w:cs="Arial"/>
                <w:color w:val="FF0000"/>
                <w:sz w:val="21"/>
                <w:szCs w:val="21"/>
              </w:rPr>
            </w:pPr>
          </w:p>
        </w:tc>
        <w:tc>
          <w:tcPr>
            <w:tcW w:w="217" w:type="dxa"/>
          </w:tcPr>
          <w:p w14:paraId="30F76066" w14:textId="77777777" w:rsidR="002C0FD9" w:rsidRPr="00CA25CF" w:rsidRDefault="002C0FD9" w:rsidP="00CA25CF">
            <w:pPr>
              <w:rPr>
                <w:rFonts w:cs="Arial"/>
                <w:color w:val="FF0000"/>
                <w:sz w:val="21"/>
                <w:szCs w:val="21"/>
              </w:rPr>
            </w:pPr>
          </w:p>
        </w:tc>
      </w:tr>
      <w:tr w:rsidR="002C0FD9" w:rsidRPr="00A16219" w14:paraId="6FED166D" w14:textId="77B6C573" w:rsidTr="002C0FD9">
        <w:trPr>
          <w:trHeight w:val="635"/>
        </w:trPr>
        <w:tc>
          <w:tcPr>
            <w:tcW w:w="515" w:type="dxa"/>
          </w:tcPr>
          <w:p w14:paraId="371D441C" w14:textId="77777777" w:rsidR="002C0FD9" w:rsidRPr="00CA25CF" w:rsidRDefault="002C0FD9" w:rsidP="00CA25CF">
            <w:pPr>
              <w:rPr>
                <w:rFonts w:cs="Arial"/>
                <w:color w:val="FF0000"/>
                <w:sz w:val="21"/>
                <w:szCs w:val="21"/>
              </w:rPr>
            </w:pPr>
          </w:p>
        </w:tc>
        <w:tc>
          <w:tcPr>
            <w:tcW w:w="217" w:type="dxa"/>
          </w:tcPr>
          <w:p w14:paraId="10621A72" w14:textId="77777777" w:rsidR="002C0FD9" w:rsidRPr="00CA25CF" w:rsidRDefault="002C0FD9" w:rsidP="00CA25CF">
            <w:pPr>
              <w:rPr>
                <w:rFonts w:cs="Arial"/>
                <w:color w:val="FF0000"/>
                <w:sz w:val="21"/>
                <w:szCs w:val="21"/>
              </w:rPr>
            </w:pPr>
          </w:p>
        </w:tc>
        <w:tc>
          <w:tcPr>
            <w:tcW w:w="217" w:type="dxa"/>
          </w:tcPr>
          <w:p w14:paraId="78CABB96" w14:textId="796E1D2C" w:rsidR="002C0FD9" w:rsidRPr="00CA25CF" w:rsidRDefault="002C0FD9" w:rsidP="00CA25CF">
            <w:pPr>
              <w:rPr>
                <w:rFonts w:cs="Arial"/>
                <w:color w:val="FF0000"/>
                <w:sz w:val="21"/>
                <w:szCs w:val="21"/>
              </w:rPr>
            </w:pPr>
          </w:p>
        </w:tc>
        <w:tc>
          <w:tcPr>
            <w:tcW w:w="217" w:type="dxa"/>
          </w:tcPr>
          <w:p w14:paraId="148B6C65" w14:textId="77777777" w:rsidR="002C0FD9" w:rsidRPr="00CA25CF" w:rsidRDefault="002C0FD9" w:rsidP="00CA25CF">
            <w:pPr>
              <w:rPr>
                <w:rFonts w:cs="Arial"/>
                <w:color w:val="FF0000"/>
                <w:sz w:val="21"/>
                <w:szCs w:val="21"/>
              </w:rPr>
            </w:pPr>
          </w:p>
        </w:tc>
        <w:tc>
          <w:tcPr>
            <w:tcW w:w="217" w:type="dxa"/>
          </w:tcPr>
          <w:p w14:paraId="43CA1EC1" w14:textId="77777777" w:rsidR="002C0FD9" w:rsidRPr="00CA25CF" w:rsidRDefault="002C0FD9" w:rsidP="00CA25CF">
            <w:pPr>
              <w:rPr>
                <w:rFonts w:cs="Arial"/>
                <w:color w:val="FF0000"/>
                <w:sz w:val="21"/>
                <w:szCs w:val="21"/>
              </w:rPr>
            </w:pPr>
          </w:p>
        </w:tc>
        <w:tc>
          <w:tcPr>
            <w:tcW w:w="217" w:type="dxa"/>
          </w:tcPr>
          <w:p w14:paraId="3C0AB791" w14:textId="77777777" w:rsidR="002C0FD9" w:rsidRPr="00CA25CF" w:rsidRDefault="002C0FD9" w:rsidP="00CA25CF">
            <w:pPr>
              <w:rPr>
                <w:rFonts w:cs="Arial"/>
                <w:color w:val="FF0000"/>
                <w:sz w:val="21"/>
                <w:szCs w:val="21"/>
              </w:rPr>
            </w:pPr>
          </w:p>
        </w:tc>
        <w:tc>
          <w:tcPr>
            <w:tcW w:w="217" w:type="dxa"/>
          </w:tcPr>
          <w:p w14:paraId="02310D45" w14:textId="77777777" w:rsidR="002C0FD9" w:rsidRPr="00CA25CF" w:rsidRDefault="002C0FD9" w:rsidP="00CA25CF">
            <w:pPr>
              <w:rPr>
                <w:rFonts w:cs="Arial"/>
                <w:color w:val="FF0000"/>
                <w:sz w:val="21"/>
                <w:szCs w:val="21"/>
              </w:rPr>
            </w:pPr>
          </w:p>
        </w:tc>
        <w:tc>
          <w:tcPr>
            <w:tcW w:w="217" w:type="dxa"/>
          </w:tcPr>
          <w:p w14:paraId="2ED6D082" w14:textId="77777777" w:rsidR="002C0FD9" w:rsidRPr="00CA25CF" w:rsidRDefault="002C0FD9" w:rsidP="00CA25CF">
            <w:pPr>
              <w:rPr>
                <w:rFonts w:cs="Arial"/>
                <w:color w:val="FF0000"/>
                <w:sz w:val="21"/>
                <w:szCs w:val="21"/>
              </w:rPr>
            </w:pPr>
          </w:p>
        </w:tc>
        <w:tc>
          <w:tcPr>
            <w:tcW w:w="217" w:type="dxa"/>
          </w:tcPr>
          <w:p w14:paraId="0209C6CD" w14:textId="77777777" w:rsidR="002C0FD9" w:rsidRPr="00CA25CF" w:rsidRDefault="002C0FD9" w:rsidP="00CA25CF">
            <w:pPr>
              <w:rPr>
                <w:rFonts w:cs="Arial"/>
                <w:color w:val="FF0000"/>
                <w:sz w:val="21"/>
                <w:szCs w:val="21"/>
              </w:rPr>
            </w:pPr>
          </w:p>
        </w:tc>
        <w:tc>
          <w:tcPr>
            <w:tcW w:w="217" w:type="dxa"/>
          </w:tcPr>
          <w:p w14:paraId="4C1C5A19" w14:textId="77777777" w:rsidR="002C0FD9" w:rsidRPr="00CA25CF" w:rsidRDefault="002C0FD9" w:rsidP="00CA25CF">
            <w:pPr>
              <w:rPr>
                <w:rFonts w:cs="Arial"/>
                <w:color w:val="FF0000"/>
                <w:sz w:val="21"/>
                <w:szCs w:val="21"/>
              </w:rPr>
            </w:pPr>
          </w:p>
        </w:tc>
        <w:tc>
          <w:tcPr>
            <w:tcW w:w="217" w:type="dxa"/>
          </w:tcPr>
          <w:p w14:paraId="76B950B1" w14:textId="77777777" w:rsidR="002C0FD9" w:rsidRPr="00CA25CF" w:rsidRDefault="002C0FD9" w:rsidP="00CA25CF">
            <w:pPr>
              <w:rPr>
                <w:rFonts w:cs="Arial"/>
                <w:color w:val="FF0000"/>
                <w:sz w:val="21"/>
                <w:szCs w:val="21"/>
              </w:rPr>
            </w:pPr>
          </w:p>
        </w:tc>
        <w:tc>
          <w:tcPr>
            <w:tcW w:w="217" w:type="dxa"/>
          </w:tcPr>
          <w:p w14:paraId="3E597E74" w14:textId="77777777" w:rsidR="002C0FD9" w:rsidRPr="00CA25CF" w:rsidRDefault="002C0FD9" w:rsidP="00CA25CF">
            <w:pPr>
              <w:rPr>
                <w:rFonts w:cs="Arial"/>
                <w:color w:val="FF0000"/>
                <w:sz w:val="21"/>
                <w:szCs w:val="21"/>
              </w:rPr>
            </w:pPr>
          </w:p>
        </w:tc>
        <w:tc>
          <w:tcPr>
            <w:tcW w:w="217" w:type="dxa"/>
          </w:tcPr>
          <w:p w14:paraId="0A54EE0D" w14:textId="77777777" w:rsidR="002C0FD9" w:rsidRPr="00CA25CF" w:rsidRDefault="002C0FD9" w:rsidP="00CA25CF">
            <w:pPr>
              <w:rPr>
                <w:rFonts w:cs="Arial"/>
                <w:color w:val="FF0000"/>
                <w:sz w:val="21"/>
                <w:szCs w:val="21"/>
              </w:rPr>
            </w:pPr>
          </w:p>
        </w:tc>
        <w:tc>
          <w:tcPr>
            <w:tcW w:w="217" w:type="dxa"/>
          </w:tcPr>
          <w:p w14:paraId="773D2E41" w14:textId="77777777" w:rsidR="002C0FD9" w:rsidRPr="00CA25CF" w:rsidRDefault="002C0FD9" w:rsidP="00CA25CF">
            <w:pPr>
              <w:rPr>
                <w:rFonts w:cs="Arial"/>
                <w:color w:val="FF0000"/>
                <w:sz w:val="21"/>
                <w:szCs w:val="21"/>
              </w:rPr>
            </w:pPr>
          </w:p>
        </w:tc>
        <w:tc>
          <w:tcPr>
            <w:tcW w:w="217" w:type="dxa"/>
          </w:tcPr>
          <w:p w14:paraId="01246309" w14:textId="77777777" w:rsidR="002C0FD9" w:rsidRPr="00CA25CF" w:rsidRDefault="002C0FD9" w:rsidP="00CA25CF">
            <w:pPr>
              <w:rPr>
                <w:rFonts w:cs="Arial"/>
                <w:color w:val="FF0000"/>
                <w:sz w:val="21"/>
                <w:szCs w:val="21"/>
              </w:rPr>
            </w:pPr>
          </w:p>
        </w:tc>
        <w:tc>
          <w:tcPr>
            <w:tcW w:w="217" w:type="dxa"/>
          </w:tcPr>
          <w:p w14:paraId="6BF807A4" w14:textId="77777777" w:rsidR="002C0FD9" w:rsidRPr="00CA25CF" w:rsidRDefault="002C0FD9" w:rsidP="00CA25CF">
            <w:pPr>
              <w:rPr>
                <w:rFonts w:cs="Arial"/>
                <w:color w:val="FF0000"/>
                <w:sz w:val="21"/>
                <w:szCs w:val="21"/>
              </w:rPr>
            </w:pPr>
          </w:p>
        </w:tc>
        <w:tc>
          <w:tcPr>
            <w:tcW w:w="217" w:type="dxa"/>
          </w:tcPr>
          <w:p w14:paraId="254A0156" w14:textId="77777777" w:rsidR="002C0FD9" w:rsidRPr="00CA25CF" w:rsidRDefault="002C0FD9" w:rsidP="00CA25CF">
            <w:pPr>
              <w:rPr>
                <w:rFonts w:cs="Arial"/>
                <w:color w:val="FF0000"/>
                <w:sz w:val="21"/>
                <w:szCs w:val="21"/>
              </w:rPr>
            </w:pPr>
          </w:p>
        </w:tc>
        <w:tc>
          <w:tcPr>
            <w:tcW w:w="217" w:type="dxa"/>
          </w:tcPr>
          <w:p w14:paraId="23220EB2" w14:textId="77777777" w:rsidR="002C0FD9" w:rsidRPr="00CA25CF" w:rsidRDefault="002C0FD9" w:rsidP="00CA25CF">
            <w:pPr>
              <w:rPr>
                <w:rFonts w:cs="Arial"/>
                <w:color w:val="FF0000"/>
                <w:sz w:val="21"/>
                <w:szCs w:val="21"/>
              </w:rPr>
            </w:pPr>
          </w:p>
        </w:tc>
        <w:tc>
          <w:tcPr>
            <w:tcW w:w="217" w:type="dxa"/>
          </w:tcPr>
          <w:p w14:paraId="6C9A7CF5" w14:textId="77777777" w:rsidR="002C0FD9" w:rsidRPr="00CA25CF" w:rsidRDefault="002C0FD9" w:rsidP="00CA25CF">
            <w:pPr>
              <w:rPr>
                <w:rFonts w:cs="Arial"/>
                <w:color w:val="FF0000"/>
                <w:sz w:val="21"/>
                <w:szCs w:val="21"/>
              </w:rPr>
            </w:pPr>
          </w:p>
        </w:tc>
        <w:tc>
          <w:tcPr>
            <w:tcW w:w="217" w:type="dxa"/>
          </w:tcPr>
          <w:p w14:paraId="7DB8A8FA" w14:textId="77777777" w:rsidR="002C0FD9" w:rsidRPr="00CA25CF" w:rsidRDefault="002C0FD9" w:rsidP="00CA25CF">
            <w:pPr>
              <w:rPr>
                <w:rFonts w:cs="Arial"/>
                <w:color w:val="FF0000"/>
                <w:sz w:val="21"/>
                <w:szCs w:val="21"/>
              </w:rPr>
            </w:pPr>
          </w:p>
        </w:tc>
        <w:tc>
          <w:tcPr>
            <w:tcW w:w="217" w:type="dxa"/>
          </w:tcPr>
          <w:p w14:paraId="30378744" w14:textId="77777777" w:rsidR="002C0FD9" w:rsidRPr="00CA25CF" w:rsidRDefault="002C0FD9" w:rsidP="00CA25CF">
            <w:pPr>
              <w:rPr>
                <w:rFonts w:cs="Arial"/>
                <w:color w:val="FF0000"/>
                <w:sz w:val="21"/>
                <w:szCs w:val="21"/>
              </w:rPr>
            </w:pPr>
          </w:p>
        </w:tc>
        <w:tc>
          <w:tcPr>
            <w:tcW w:w="217" w:type="dxa"/>
          </w:tcPr>
          <w:p w14:paraId="5D4D0CB3" w14:textId="77777777" w:rsidR="002C0FD9" w:rsidRPr="00CA25CF" w:rsidRDefault="002C0FD9" w:rsidP="00CA25CF">
            <w:pPr>
              <w:rPr>
                <w:rFonts w:cs="Arial"/>
                <w:color w:val="FF0000"/>
                <w:sz w:val="21"/>
                <w:szCs w:val="21"/>
              </w:rPr>
            </w:pPr>
          </w:p>
        </w:tc>
        <w:tc>
          <w:tcPr>
            <w:tcW w:w="217" w:type="dxa"/>
          </w:tcPr>
          <w:p w14:paraId="39C1B886" w14:textId="77777777" w:rsidR="002C0FD9" w:rsidRPr="00CA25CF" w:rsidRDefault="002C0FD9" w:rsidP="00CA25CF">
            <w:pPr>
              <w:rPr>
                <w:rFonts w:cs="Arial"/>
                <w:color w:val="FF0000"/>
                <w:sz w:val="21"/>
                <w:szCs w:val="21"/>
              </w:rPr>
            </w:pPr>
          </w:p>
        </w:tc>
        <w:tc>
          <w:tcPr>
            <w:tcW w:w="217" w:type="dxa"/>
          </w:tcPr>
          <w:p w14:paraId="57D0CE29" w14:textId="77777777" w:rsidR="002C0FD9" w:rsidRPr="00CA25CF" w:rsidRDefault="002C0FD9" w:rsidP="00CA25CF">
            <w:pPr>
              <w:rPr>
                <w:rFonts w:cs="Arial"/>
                <w:color w:val="FF0000"/>
                <w:sz w:val="21"/>
                <w:szCs w:val="21"/>
              </w:rPr>
            </w:pPr>
          </w:p>
        </w:tc>
        <w:tc>
          <w:tcPr>
            <w:tcW w:w="217" w:type="dxa"/>
          </w:tcPr>
          <w:p w14:paraId="0081E0CD" w14:textId="77777777" w:rsidR="002C0FD9" w:rsidRPr="00CA25CF" w:rsidRDefault="002C0FD9" w:rsidP="00CA25CF">
            <w:pPr>
              <w:rPr>
                <w:rFonts w:cs="Arial"/>
                <w:color w:val="FF0000"/>
                <w:sz w:val="21"/>
                <w:szCs w:val="21"/>
              </w:rPr>
            </w:pPr>
          </w:p>
        </w:tc>
        <w:tc>
          <w:tcPr>
            <w:tcW w:w="217" w:type="dxa"/>
          </w:tcPr>
          <w:p w14:paraId="1199CD27" w14:textId="77777777" w:rsidR="002C0FD9" w:rsidRPr="00CA25CF" w:rsidRDefault="002C0FD9" w:rsidP="00CA25CF">
            <w:pPr>
              <w:rPr>
                <w:rFonts w:cs="Arial"/>
                <w:color w:val="FF0000"/>
                <w:sz w:val="21"/>
                <w:szCs w:val="21"/>
              </w:rPr>
            </w:pPr>
          </w:p>
        </w:tc>
        <w:tc>
          <w:tcPr>
            <w:tcW w:w="217" w:type="dxa"/>
          </w:tcPr>
          <w:p w14:paraId="545FF8E1" w14:textId="77777777" w:rsidR="002C0FD9" w:rsidRPr="00CA25CF" w:rsidRDefault="002C0FD9" w:rsidP="00CA25CF">
            <w:pPr>
              <w:rPr>
                <w:rFonts w:cs="Arial"/>
                <w:color w:val="FF0000"/>
                <w:sz w:val="21"/>
                <w:szCs w:val="21"/>
              </w:rPr>
            </w:pPr>
          </w:p>
        </w:tc>
        <w:tc>
          <w:tcPr>
            <w:tcW w:w="217" w:type="dxa"/>
          </w:tcPr>
          <w:p w14:paraId="00DBBF6C" w14:textId="77777777" w:rsidR="002C0FD9" w:rsidRPr="00CA25CF" w:rsidRDefault="002C0FD9" w:rsidP="00CA25CF">
            <w:pPr>
              <w:rPr>
                <w:rFonts w:cs="Arial"/>
                <w:color w:val="FF0000"/>
                <w:sz w:val="21"/>
                <w:szCs w:val="21"/>
              </w:rPr>
            </w:pPr>
          </w:p>
        </w:tc>
        <w:tc>
          <w:tcPr>
            <w:tcW w:w="217" w:type="dxa"/>
          </w:tcPr>
          <w:p w14:paraId="094B4EC8" w14:textId="77777777" w:rsidR="002C0FD9" w:rsidRPr="00CA25CF" w:rsidRDefault="002C0FD9" w:rsidP="00CA25CF">
            <w:pPr>
              <w:rPr>
                <w:rFonts w:cs="Arial"/>
                <w:color w:val="FF0000"/>
                <w:sz w:val="21"/>
                <w:szCs w:val="21"/>
              </w:rPr>
            </w:pPr>
          </w:p>
        </w:tc>
        <w:tc>
          <w:tcPr>
            <w:tcW w:w="217" w:type="dxa"/>
          </w:tcPr>
          <w:p w14:paraId="2919F925" w14:textId="77777777" w:rsidR="002C0FD9" w:rsidRPr="00CA25CF" w:rsidRDefault="002C0FD9" w:rsidP="00CA25CF">
            <w:pPr>
              <w:rPr>
                <w:rFonts w:cs="Arial"/>
                <w:color w:val="FF0000"/>
                <w:sz w:val="21"/>
                <w:szCs w:val="21"/>
              </w:rPr>
            </w:pPr>
          </w:p>
        </w:tc>
        <w:tc>
          <w:tcPr>
            <w:tcW w:w="217" w:type="dxa"/>
          </w:tcPr>
          <w:p w14:paraId="6477BF0B" w14:textId="77777777" w:rsidR="002C0FD9" w:rsidRPr="00CA25CF" w:rsidRDefault="002C0FD9" w:rsidP="00CA25CF">
            <w:pPr>
              <w:rPr>
                <w:rFonts w:cs="Arial"/>
                <w:color w:val="FF0000"/>
                <w:sz w:val="21"/>
                <w:szCs w:val="21"/>
              </w:rPr>
            </w:pPr>
          </w:p>
        </w:tc>
        <w:tc>
          <w:tcPr>
            <w:tcW w:w="217" w:type="dxa"/>
          </w:tcPr>
          <w:p w14:paraId="60E8ECD6" w14:textId="77777777" w:rsidR="002C0FD9" w:rsidRPr="00CA25CF" w:rsidRDefault="002C0FD9" w:rsidP="00CA25CF">
            <w:pPr>
              <w:rPr>
                <w:rFonts w:cs="Arial"/>
                <w:color w:val="FF0000"/>
                <w:sz w:val="21"/>
                <w:szCs w:val="21"/>
              </w:rPr>
            </w:pPr>
          </w:p>
        </w:tc>
        <w:tc>
          <w:tcPr>
            <w:tcW w:w="217" w:type="dxa"/>
          </w:tcPr>
          <w:p w14:paraId="62D2BC2F" w14:textId="77777777" w:rsidR="002C0FD9" w:rsidRPr="00CA25CF" w:rsidRDefault="002C0FD9" w:rsidP="00CA25CF">
            <w:pPr>
              <w:rPr>
                <w:rFonts w:cs="Arial"/>
                <w:color w:val="FF0000"/>
                <w:sz w:val="21"/>
                <w:szCs w:val="21"/>
              </w:rPr>
            </w:pPr>
          </w:p>
        </w:tc>
        <w:tc>
          <w:tcPr>
            <w:tcW w:w="217" w:type="dxa"/>
          </w:tcPr>
          <w:p w14:paraId="498A4D3C" w14:textId="77777777" w:rsidR="002C0FD9" w:rsidRPr="00CA25CF" w:rsidRDefault="002C0FD9" w:rsidP="00CA25CF">
            <w:pPr>
              <w:rPr>
                <w:rFonts w:cs="Arial"/>
                <w:color w:val="FF0000"/>
                <w:sz w:val="21"/>
                <w:szCs w:val="21"/>
              </w:rPr>
            </w:pPr>
          </w:p>
        </w:tc>
        <w:tc>
          <w:tcPr>
            <w:tcW w:w="217" w:type="dxa"/>
          </w:tcPr>
          <w:p w14:paraId="59C1E1CB" w14:textId="77777777" w:rsidR="002C0FD9" w:rsidRPr="00CA25CF" w:rsidRDefault="002C0FD9" w:rsidP="00CA25CF">
            <w:pPr>
              <w:rPr>
                <w:rFonts w:cs="Arial"/>
                <w:color w:val="FF0000"/>
                <w:sz w:val="21"/>
                <w:szCs w:val="21"/>
              </w:rPr>
            </w:pPr>
          </w:p>
        </w:tc>
        <w:tc>
          <w:tcPr>
            <w:tcW w:w="217" w:type="dxa"/>
          </w:tcPr>
          <w:p w14:paraId="7E001145" w14:textId="77777777" w:rsidR="002C0FD9" w:rsidRPr="00CA25CF" w:rsidRDefault="002C0FD9" w:rsidP="00CA25CF">
            <w:pPr>
              <w:rPr>
                <w:rFonts w:cs="Arial"/>
                <w:color w:val="FF0000"/>
                <w:sz w:val="21"/>
                <w:szCs w:val="21"/>
              </w:rPr>
            </w:pPr>
          </w:p>
        </w:tc>
        <w:tc>
          <w:tcPr>
            <w:tcW w:w="217" w:type="dxa"/>
          </w:tcPr>
          <w:p w14:paraId="63A36CD0" w14:textId="77777777" w:rsidR="002C0FD9" w:rsidRPr="00CA25CF" w:rsidRDefault="002C0FD9" w:rsidP="00CA25CF">
            <w:pPr>
              <w:rPr>
                <w:rFonts w:cs="Arial"/>
                <w:color w:val="FF0000"/>
                <w:sz w:val="21"/>
                <w:szCs w:val="21"/>
              </w:rPr>
            </w:pPr>
          </w:p>
        </w:tc>
        <w:tc>
          <w:tcPr>
            <w:tcW w:w="217" w:type="dxa"/>
          </w:tcPr>
          <w:p w14:paraId="0F926538" w14:textId="77777777" w:rsidR="002C0FD9" w:rsidRPr="00CA25CF" w:rsidRDefault="002C0FD9" w:rsidP="00CA25CF">
            <w:pPr>
              <w:rPr>
                <w:rFonts w:cs="Arial"/>
                <w:color w:val="FF0000"/>
                <w:sz w:val="21"/>
                <w:szCs w:val="21"/>
              </w:rPr>
            </w:pPr>
          </w:p>
        </w:tc>
        <w:tc>
          <w:tcPr>
            <w:tcW w:w="217" w:type="dxa"/>
          </w:tcPr>
          <w:p w14:paraId="7E41E045" w14:textId="77777777" w:rsidR="002C0FD9" w:rsidRPr="00CA25CF" w:rsidRDefault="002C0FD9" w:rsidP="00CA25CF">
            <w:pPr>
              <w:rPr>
                <w:rFonts w:cs="Arial"/>
                <w:color w:val="FF0000"/>
                <w:sz w:val="21"/>
                <w:szCs w:val="21"/>
              </w:rPr>
            </w:pPr>
          </w:p>
        </w:tc>
        <w:tc>
          <w:tcPr>
            <w:tcW w:w="217" w:type="dxa"/>
          </w:tcPr>
          <w:p w14:paraId="4045A97B" w14:textId="77777777" w:rsidR="002C0FD9" w:rsidRPr="00CA25CF" w:rsidRDefault="002C0FD9" w:rsidP="00CA25CF">
            <w:pPr>
              <w:rPr>
                <w:rFonts w:cs="Arial"/>
                <w:color w:val="FF0000"/>
                <w:sz w:val="21"/>
                <w:szCs w:val="21"/>
              </w:rPr>
            </w:pPr>
          </w:p>
        </w:tc>
        <w:tc>
          <w:tcPr>
            <w:tcW w:w="217" w:type="dxa"/>
          </w:tcPr>
          <w:p w14:paraId="4B83BB9C" w14:textId="77777777" w:rsidR="002C0FD9" w:rsidRPr="00CA25CF" w:rsidRDefault="002C0FD9" w:rsidP="00CA25CF">
            <w:pPr>
              <w:rPr>
                <w:rFonts w:cs="Arial"/>
                <w:color w:val="FF0000"/>
                <w:sz w:val="21"/>
                <w:szCs w:val="21"/>
              </w:rPr>
            </w:pPr>
          </w:p>
        </w:tc>
        <w:tc>
          <w:tcPr>
            <w:tcW w:w="217" w:type="dxa"/>
          </w:tcPr>
          <w:p w14:paraId="17C1270B" w14:textId="77777777" w:rsidR="002C0FD9" w:rsidRPr="00CA25CF" w:rsidRDefault="002C0FD9" w:rsidP="00CA25CF">
            <w:pPr>
              <w:rPr>
                <w:rFonts w:cs="Arial"/>
                <w:color w:val="FF0000"/>
                <w:sz w:val="21"/>
                <w:szCs w:val="21"/>
              </w:rPr>
            </w:pPr>
          </w:p>
        </w:tc>
        <w:tc>
          <w:tcPr>
            <w:tcW w:w="217" w:type="dxa"/>
          </w:tcPr>
          <w:p w14:paraId="68037C87" w14:textId="77777777" w:rsidR="002C0FD9" w:rsidRPr="00CA25CF" w:rsidRDefault="002C0FD9" w:rsidP="00CA25CF">
            <w:pPr>
              <w:rPr>
                <w:rFonts w:cs="Arial"/>
                <w:color w:val="FF0000"/>
                <w:sz w:val="21"/>
                <w:szCs w:val="21"/>
              </w:rPr>
            </w:pPr>
          </w:p>
        </w:tc>
      </w:tr>
      <w:tr w:rsidR="002C0FD9" w:rsidRPr="00A16219" w14:paraId="3823E30B" w14:textId="1BDF2479" w:rsidTr="002C0FD9">
        <w:trPr>
          <w:trHeight w:val="635"/>
        </w:trPr>
        <w:tc>
          <w:tcPr>
            <w:tcW w:w="515" w:type="dxa"/>
          </w:tcPr>
          <w:p w14:paraId="758246E9" w14:textId="77777777" w:rsidR="002C0FD9" w:rsidRPr="00CA25CF" w:rsidRDefault="002C0FD9" w:rsidP="00CA25CF">
            <w:pPr>
              <w:rPr>
                <w:rFonts w:cs="Arial"/>
                <w:color w:val="FF0000"/>
                <w:sz w:val="21"/>
                <w:szCs w:val="21"/>
              </w:rPr>
            </w:pPr>
          </w:p>
        </w:tc>
        <w:tc>
          <w:tcPr>
            <w:tcW w:w="217" w:type="dxa"/>
          </w:tcPr>
          <w:p w14:paraId="688C4FE0" w14:textId="77777777" w:rsidR="002C0FD9" w:rsidRPr="00CA25CF" w:rsidRDefault="002C0FD9" w:rsidP="00CA25CF">
            <w:pPr>
              <w:rPr>
                <w:rFonts w:cs="Arial"/>
                <w:color w:val="FF0000"/>
                <w:sz w:val="21"/>
                <w:szCs w:val="21"/>
              </w:rPr>
            </w:pPr>
          </w:p>
        </w:tc>
        <w:tc>
          <w:tcPr>
            <w:tcW w:w="217" w:type="dxa"/>
          </w:tcPr>
          <w:p w14:paraId="21E74777" w14:textId="3207992E" w:rsidR="002C0FD9" w:rsidRPr="00CA25CF" w:rsidRDefault="002C0FD9" w:rsidP="00CA25CF">
            <w:pPr>
              <w:rPr>
                <w:rFonts w:cs="Arial"/>
                <w:color w:val="FF0000"/>
                <w:sz w:val="21"/>
                <w:szCs w:val="21"/>
              </w:rPr>
            </w:pPr>
          </w:p>
        </w:tc>
        <w:tc>
          <w:tcPr>
            <w:tcW w:w="217" w:type="dxa"/>
          </w:tcPr>
          <w:p w14:paraId="40AD6C95" w14:textId="77777777" w:rsidR="002C0FD9" w:rsidRPr="00CA25CF" w:rsidRDefault="002C0FD9" w:rsidP="00CA25CF">
            <w:pPr>
              <w:rPr>
                <w:rFonts w:cs="Arial"/>
                <w:color w:val="FF0000"/>
                <w:sz w:val="21"/>
                <w:szCs w:val="21"/>
              </w:rPr>
            </w:pPr>
          </w:p>
        </w:tc>
        <w:tc>
          <w:tcPr>
            <w:tcW w:w="217" w:type="dxa"/>
          </w:tcPr>
          <w:p w14:paraId="582B6D7D" w14:textId="77777777" w:rsidR="002C0FD9" w:rsidRPr="00CA25CF" w:rsidRDefault="002C0FD9" w:rsidP="00CA25CF">
            <w:pPr>
              <w:rPr>
                <w:rFonts w:cs="Arial"/>
                <w:color w:val="FF0000"/>
                <w:sz w:val="21"/>
                <w:szCs w:val="21"/>
              </w:rPr>
            </w:pPr>
          </w:p>
        </w:tc>
        <w:tc>
          <w:tcPr>
            <w:tcW w:w="217" w:type="dxa"/>
          </w:tcPr>
          <w:p w14:paraId="15143AB1" w14:textId="77777777" w:rsidR="002C0FD9" w:rsidRPr="00CA25CF" w:rsidRDefault="002C0FD9" w:rsidP="00CA25CF">
            <w:pPr>
              <w:rPr>
                <w:rFonts w:cs="Arial"/>
                <w:color w:val="FF0000"/>
                <w:sz w:val="21"/>
                <w:szCs w:val="21"/>
              </w:rPr>
            </w:pPr>
          </w:p>
        </w:tc>
        <w:tc>
          <w:tcPr>
            <w:tcW w:w="217" w:type="dxa"/>
          </w:tcPr>
          <w:p w14:paraId="441C4974" w14:textId="77777777" w:rsidR="002C0FD9" w:rsidRPr="00CA25CF" w:rsidRDefault="002C0FD9" w:rsidP="00CA25CF">
            <w:pPr>
              <w:rPr>
                <w:rFonts w:cs="Arial"/>
                <w:color w:val="FF0000"/>
                <w:sz w:val="21"/>
                <w:szCs w:val="21"/>
              </w:rPr>
            </w:pPr>
          </w:p>
        </w:tc>
        <w:tc>
          <w:tcPr>
            <w:tcW w:w="217" w:type="dxa"/>
          </w:tcPr>
          <w:p w14:paraId="0C3AC6FA" w14:textId="77777777" w:rsidR="002C0FD9" w:rsidRPr="00CA25CF" w:rsidRDefault="002C0FD9" w:rsidP="00CA25CF">
            <w:pPr>
              <w:rPr>
                <w:rFonts w:cs="Arial"/>
                <w:color w:val="FF0000"/>
                <w:sz w:val="21"/>
                <w:szCs w:val="21"/>
              </w:rPr>
            </w:pPr>
          </w:p>
        </w:tc>
        <w:tc>
          <w:tcPr>
            <w:tcW w:w="217" w:type="dxa"/>
          </w:tcPr>
          <w:p w14:paraId="45F02482" w14:textId="77777777" w:rsidR="002C0FD9" w:rsidRPr="00CA25CF" w:rsidRDefault="002C0FD9" w:rsidP="00CA25CF">
            <w:pPr>
              <w:rPr>
                <w:rFonts w:cs="Arial"/>
                <w:color w:val="FF0000"/>
                <w:sz w:val="21"/>
                <w:szCs w:val="21"/>
              </w:rPr>
            </w:pPr>
          </w:p>
        </w:tc>
        <w:tc>
          <w:tcPr>
            <w:tcW w:w="217" w:type="dxa"/>
          </w:tcPr>
          <w:p w14:paraId="28B57834" w14:textId="77777777" w:rsidR="002C0FD9" w:rsidRPr="00CA25CF" w:rsidRDefault="002C0FD9" w:rsidP="00CA25CF">
            <w:pPr>
              <w:rPr>
                <w:rFonts w:cs="Arial"/>
                <w:color w:val="FF0000"/>
                <w:sz w:val="21"/>
                <w:szCs w:val="21"/>
              </w:rPr>
            </w:pPr>
          </w:p>
        </w:tc>
        <w:tc>
          <w:tcPr>
            <w:tcW w:w="217" w:type="dxa"/>
          </w:tcPr>
          <w:p w14:paraId="54D128B9" w14:textId="77777777" w:rsidR="002C0FD9" w:rsidRPr="00CA25CF" w:rsidRDefault="002C0FD9" w:rsidP="00CA25CF">
            <w:pPr>
              <w:rPr>
                <w:rFonts w:cs="Arial"/>
                <w:color w:val="FF0000"/>
                <w:sz w:val="21"/>
                <w:szCs w:val="21"/>
              </w:rPr>
            </w:pPr>
          </w:p>
        </w:tc>
        <w:tc>
          <w:tcPr>
            <w:tcW w:w="217" w:type="dxa"/>
          </w:tcPr>
          <w:p w14:paraId="77142622" w14:textId="77777777" w:rsidR="002C0FD9" w:rsidRPr="00CA25CF" w:rsidRDefault="002C0FD9" w:rsidP="00CA25CF">
            <w:pPr>
              <w:rPr>
                <w:rFonts w:cs="Arial"/>
                <w:color w:val="FF0000"/>
                <w:sz w:val="21"/>
                <w:szCs w:val="21"/>
              </w:rPr>
            </w:pPr>
          </w:p>
        </w:tc>
        <w:tc>
          <w:tcPr>
            <w:tcW w:w="217" w:type="dxa"/>
          </w:tcPr>
          <w:p w14:paraId="5B07D9E4" w14:textId="77777777" w:rsidR="002C0FD9" w:rsidRPr="00CA25CF" w:rsidRDefault="002C0FD9" w:rsidP="00CA25CF">
            <w:pPr>
              <w:rPr>
                <w:rFonts w:cs="Arial"/>
                <w:color w:val="FF0000"/>
                <w:sz w:val="21"/>
                <w:szCs w:val="21"/>
              </w:rPr>
            </w:pPr>
          </w:p>
        </w:tc>
        <w:tc>
          <w:tcPr>
            <w:tcW w:w="217" w:type="dxa"/>
          </w:tcPr>
          <w:p w14:paraId="573EDD1D" w14:textId="77777777" w:rsidR="002C0FD9" w:rsidRPr="00CA25CF" w:rsidRDefault="002C0FD9" w:rsidP="00CA25CF">
            <w:pPr>
              <w:rPr>
                <w:rFonts w:cs="Arial"/>
                <w:color w:val="FF0000"/>
                <w:sz w:val="21"/>
                <w:szCs w:val="21"/>
              </w:rPr>
            </w:pPr>
          </w:p>
        </w:tc>
        <w:tc>
          <w:tcPr>
            <w:tcW w:w="217" w:type="dxa"/>
          </w:tcPr>
          <w:p w14:paraId="21B580D9" w14:textId="77777777" w:rsidR="002C0FD9" w:rsidRPr="00CA25CF" w:rsidRDefault="002C0FD9" w:rsidP="00CA25CF">
            <w:pPr>
              <w:rPr>
                <w:rFonts w:cs="Arial"/>
                <w:color w:val="FF0000"/>
                <w:sz w:val="21"/>
                <w:szCs w:val="21"/>
              </w:rPr>
            </w:pPr>
          </w:p>
        </w:tc>
        <w:tc>
          <w:tcPr>
            <w:tcW w:w="217" w:type="dxa"/>
          </w:tcPr>
          <w:p w14:paraId="4B1CBA1B" w14:textId="77777777" w:rsidR="002C0FD9" w:rsidRPr="00CA25CF" w:rsidRDefault="002C0FD9" w:rsidP="00CA25CF">
            <w:pPr>
              <w:rPr>
                <w:rFonts w:cs="Arial"/>
                <w:color w:val="FF0000"/>
                <w:sz w:val="21"/>
                <w:szCs w:val="21"/>
              </w:rPr>
            </w:pPr>
          </w:p>
        </w:tc>
        <w:tc>
          <w:tcPr>
            <w:tcW w:w="217" w:type="dxa"/>
          </w:tcPr>
          <w:p w14:paraId="281C7D45" w14:textId="77777777" w:rsidR="002C0FD9" w:rsidRPr="00CA25CF" w:rsidRDefault="002C0FD9" w:rsidP="00CA25CF">
            <w:pPr>
              <w:rPr>
                <w:rFonts w:cs="Arial"/>
                <w:color w:val="FF0000"/>
                <w:sz w:val="21"/>
                <w:szCs w:val="21"/>
              </w:rPr>
            </w:pPr>
          </w:p>
        </w:tc>
        <w:tc>
          <w:tcPr>
            <w:tcW w:w="217" w:type="dxa"/>
          </w:tcPr>
          <w:p w14:paraId="67FE8346" w14:textId="77777777" w:rsidR="002C0FD9" w:rsidRPr="00CA25CF" w:rsidRDefault="002C0FD9" w:rsidP="00CA25CF">
            <w:pPr>
              <w:rPr>
                <w:rFonts w:cs="Arial"/>
                <w:color w:val="FF0000"/>
                <w:sz w:val="21"/>
                <w:szCs w:val="21"/>
              </w:rPr>
            </w:pPr>
          </w:p>
        </w:tc>
        <w:tc>
          <w:tcPr>
            <w:tcW w:w="217" w:type="dxa"/>
          </w:tcPr>
          <w:p w14:paraId="29FF1203" w14:textId="77777777" w:rsidR="002C0FD9" w:rsidRPr="00CA25CF" w:rsidRDefault="002C0FD9" w:rsidP="00CA25CF">
            <w:pPr>
              <w:rPr>
                <w:rFonts w:cs="Arial"/>
                <w:color w:val="FF0000"/>
                <w:sz w:val="21"/>
                <w:szCs w:val="21"/>
              </w:rPr>
            </w:pPr>
          </w:p>
        </w:tc>
        <w:tc>
          <w:tcPr>
            <w:tcW w:w="217" w:type="dxa"/>
          </w:tcPr>
          <w:p w14:paraId="3962C10D" w14:textId="77777777" w:rsidR="002C0FD9" w:rsidRPr="00CA25CF" w:rsidRDefault="002C0FD9" w:rsidP="00CA25CF">
            <w:pPr>
              <w:rPr>
                <w:rFonts w:cs="Arial"/>
                <w:color w:val="FF0000"/>
                <w:sz w:val="21"/>
                <w:szCs w:val="21"/>
              </w:rPr>
            </w:pPr>
          </w:p>
        </w:tc>
        <w:tc>
          <w:tcPr>
            <w:tcW w:w="217" w:type="dxa"/>
          </w:tcPr>
          <w:p w14:paraId="1C94DFE6" w14:textId="77777777" w:rsidR="002C0FD9" w:rsidRPr="00CA25CF" w:rsidRDefault="002C0FD9" w:rsidP="00CA25CF">
            <w:pPr>
              <w:rPr>
                <w:rFonts w:cs="Arial"/>
                <w:color w:val="FF0000"/>
                <w:sz w:val="21"/>
                <w:szCs w:val="21"/>
              </w:rPr>
            </w:pPr>
          </w:p>
        </w:tc>
        <w:tc>
          <w:tcPr>
            <w:tcW w:w="217" w:type="dxa"/>
          </w:tcPr>
          <w:p w14:paraId="165E3BAC" w14:textId="77777777" w:rsidR="002C0FD9" w:rsidRPr="00CA25CF" w:rsidRDefault="002C0FD9" w:rsidP="00CA25CF">
            <w:pPr>
              <w:rPr>
                <w:rFonts w:cs="Arial"/>
                <w:color w:val="FF0000"/>
                <w:sz w:val="21"/>
                <w:szCs w:val="21"/>
              </w:rPr>
            </w:pPr>
          </w:p>
        </w:tc>
        <w:tc>
          <w:tcPr>
            <w:tcW w:w="217" w:type="dxa"/>
          </w:tcPr>
          <w:p w14:paraId="5A86F75E" w14:textId="77777777" w:rsidR="002C0FD9" w:rsidRPr="00CA25CF" w:rsidRDefault="002C0FD9" w:rsidP="00CA25CF">
            <w:pPr>
              <w:rPr>
                <w:rFonts w:cs="Arial"/>
                <w:color w:val="FF0000"/>
                <w:sz w:val="21"/>
                <w:szCs w:val="21"/>
              </w:rPr>
            </w:pPr>
          </w:p>
        </w:tc>
        <w:tc>
          <w:tcPr>
            <w:tcW w:w="217" w:type="dxa"/>
          </w:tcPr>
          <w:p w14:paraId="06CCC0F2" w14:textId="77777777" w:rsidR="002C0FD9" w:rsidRPr="00CA25CF" w:rsidRDefault="002C0FD9" w:rsidP="00CA25CF">
            <w:pPr>
              <w:rPr>
                <w:rFonts w:cs="Arial"/>
                <w:color w:val="FF0000"/>
                <w:sz w:val="21"/>
                <w:szCs w:val="21"/>
              </w:rPr>
            </w:pPr>
          </w:p>
        </w:tc>
        <w:tc>
          <w:tcPr>
            <w:tcW w:w="217" w:type="dxa"/>
          </w:tcPr>
          <w:p w14:paraId="7812B7B0" w14:textId="77777777" w:rsidR="002C0FD9" w:rsidRPr="00CA25CF" w:rsidRDefault="002C0FD9" w:rsidP="00CA25CF">
            <w:pPr>
              <w:rPr>
                <w:rFonts w:cs="Arial"/>
                <w:color w:val="FF0000"/>
                <w:sz w:val="21"/>
                <w:szCs w:val="21"/>
              </w:rPr>
            </w:pPr>
          </w:p>
        </w:tc>
        <w:tc>
          <w:tcPr>
            <w:tcW w:w="217" w:type="dxa"/>
          </w:tcPr>
          <w:p w14:paraId="011DC87D" w14:textId="77777777" w:rsidR="002C0FD9" w:rsidRPr="00CA25CF" w:rsidRDefault="002C0FD9" w:rsidP="00CA25CF">
            <w:pPr>
              <w:rPr>
                <w:rFonts w:cs="Arial"/>
                <w:color w:val="FF0000"/>
                <w:sz w:val="21"/>
                <w:szCs w:val="21"/>
              </w:rPr>
            </w:pPr>
          </w:p>
        </w:tc>
        <w:tc>
          <w:tcPr>
            <w:tcW w:w="217" w:type="dxa"/>
          </w:tcPr>
          <w:p w14:paraId="6EA105F3" w14:textId="77777777" w:rsidR="002C0FD9" w:rsidRPr="00CA25CF" w:rsidRDefault="002C0FD9" w:rsidP="00CA25CF">
            <w:pPr>
              <w:rPr>
                <w:rFonts w:cs="Arial"/>
                <w:color w:val="FF0000"/>
                <w:sz w:val="21"/>
                <w:szCs w:val="21"/>
              </w:rPr>
            </w:pPr>
          </w:p>
        </w:tc>
        <w:tc>
          <w:tcPr>
            <w:tcW w:w="217" w:type="dxa"/>
          </w:tcPr>
          <w:p w14:paraId="326E315E" w14:textId="77777777" w:rsidR="002C0FD9" w:rsidRPr="00CA25CF" w:rsidRDefault="002C0FD9" w:rsidP="00CA25CF">
            <w:pPr>
              <w:rPr>
                <w:rFonts w:cs="Arial"/>
                <w:color w:val="FF0000"/>
                <w:sz w:val="21"/>
                <w:szCs w:val="21"/>
              </w:rPr>
            </w:pPr>
          </w:p>
        </w:tc>
        <w:tc>
          <w:tcPr>
            <w:tcW w:w="217" w:type="dxa"/>
          </w:tcPr>
          <w:p w14:paraId="4868AC5A" w14:textId="77777777" w:rsidR="002C0FD9" w:rsidRPr="00CA25CF" w:rsidRDefault="002C0FD9" w:rsidP="00CA25CF">
            <w:pPr>
              <w:rPr>
                <w:rFonts w:cs="Arial"/>
                <w:color w:val="FF0000"/>
                <w:sz w:val="21"/>
                <w:szCs w:val="21"/>
              </w:rPr>
            </w:pPr>
          </w:p>
        </w:tc>
        <w:tc>
          <w:tcPr>
            <w:tcW w:w="217" w:type="dxa"/>
          </w:tcPr>
          <w:p w14:paraId="72A8E44A" w14:textId="77777777" w:rsidR="002C0FD9" w:rsidRPr="00CA25CF" w:rsidRDefault="002C0FD9" w:rsidP="00CA25CF">
            <w:pPr>
              <w:rPr>
                <w:rFonts w:cs="Arial"/>
                <w:color w:val="FF0000"/>
                <w:sz w:val="21"/>
                <w:szCs w:val="21"/>
              </w:rPr>
            </w:pPr>
          </w:p>
        </w:tc>
        <w:tc>
          <w:tcPr>
            <w:tcW w:w="217" w:type="dxa"/>
          </w:tcPr>
          <w:p w14:paraId="544AE4CA" w14:textId="77777777" w:rsidR="002C0FD9" w:rsidRPr="00CA25CF" w:rsidRDefault="002C0FD9" w:rsidP="00CA25CF">
            <w:pPr>
              <w:rPr>
                <w:rFonts w:cs="Arial"/>
                <w:color w:val="FF0000"/>
                <w:sz w:val="21"/>
                <w:szCs w:val="21"/>
              </w:rPr>
            </w:pPr>
          </w:p>
        </w:tc>
        <w:tc>
          <w:tcPr>
            <w:tcW w:w="217" w:type="dxa"/>
          </w:tcPr>
          <w:p w14:paraId="5838079A" w14:textId="77777777" w:rsidR="002C0FD9" w:rsidRPr="00CA25CF" w:rsidRDefault="002C0FD9" w:rsidP="00CA25CF">
            <w:pPr>
              <w:rPr>
                <w:rFonts w:cs="Arial"/>
                <w:color w:val="FF0000"/>
                <w:sz w:val="21"/>
                <w:szCs w:val="21"/>
              </w:rPr>
            </w:pPr>
          </w:p>
        </w:tc>
        <w:tc>
          <w:tcPr>
            <w:tcW w:w="217" w:type="dxa"/>
          </w:tcPr>
          <w:p w14:paraId="78888033" w14:textId="77777777" w:rsidR="002C0FD9" w:rsidRPr="00CA25CF" w:rsidRDefault="002C0FD9" w:rsidP="00CA25CF">
            <w:pPr>
              <w:rPr>
                <w:rFonts w:cs="Arial"/>
                <w:color w:val="FF0000"/>
                <w:sz w:val="21"/>
                <w:szCs w:val="21"/>
              </w:rPr>
            </w:pPr>
          </w:p>
        </w:tc>
        <w:tc>
          <w:tcPr>
            <w:tcW w:w="217" w:type="dxa"/>
          </w:tcPr>
          <w:p w14:paraId="27AB1BE4" w14:textId="77777777" w:rsidR="002C0FD9" w:rsidRPr="00CA25CF" w:rsidRDefault="002C0FD9" w:rsidP="00CA25CF">
            <w:pPr>
              <w:rPr>
                <w:rFonts w:cs="Arial"/>
                <w:color w:val="FF0000"/>
                <w:sz w:val="21"/>
                <w:szCs w:val="21"/>
              </w:rPr>
            </w:pPr>
          </w:p>
        </w:tc>
        <w:tc>
          <w:tcPr>
            <w:tcW w:w="217" w:type="dxa"/>
          </w:tcPr>
          <w:p w14:paraId="6A59BAF0" w14:textId="77777777" w:rsidR="002C0FD9" w:rsidRPr="00CA25CF" w:rsidRDefault="002C0FD9" w:rsidP="00CA25CF">
            <w:pPr>
              <w:rPr>
                <w:rFonts w:cs="Arial"/>
                <w:color w:val="FF0000"/>
                <w:sz w:val="21"/>
                <w:szCs w:val="21"/>
              </w:rPr>
            </w:pPr>
          </w:p>
        </w:tc>
        <w:tc>
          <w:tcPr>
            <w:tcW w:w="217" w:type="dxa"/>
          </w:tcPr>
          <w:p w14:paraId="0F658379" w14:textId="77777777" w:rsidR="002C0FD9" w:rsidRPr="00CA25CF" w:rsidRDefault="002C0FD9" w:rsidP="00CA25CF">
            <w:pPr>
              <w:rPr>
                <w:rFonts w:cs="Arial"/>
                <w:color w:val="FF0000"/>
                <w:sz w:val="21"/>
                <w:szCs w:val="21"/>
              </w:rPr>
            </w:pPr>
          </w:p>
        </w:tc>
        <w:tc>
          <w:tcPr>
            <w:tcW w:w="217" w:type="dxa"/>
          </w:tcPr>
          <w:p w14:paraId="44717D37" w14:textId="77777777" w:rsidR="002C0FD9" w:rsidRPr="00CA25CF" w:rsidRDefault="002C0FD9" w:rsidP="00CA25CF">
            <w:pPr>
              <w:rPr>
                <w:rFonts w:cs="Arial"/>
                <w:color w:val="FF0000"/>
                <w:sz w:val="21"/>
                <w:szCs w:val="21"/>
              </w:rPr>
            </w:pPr>
          </w:p>
        </w:tc>
        <w:tc>
          <w:tcPr>
            <w:tcW w:w="217" w:type="dxa"/>
          </w:tcPr>
          <w:p w14:paraId="50DD9307" w14:textId="77777777" w:rsidR="002C0FD9" w:rsidRPr="00CA25CF" w:rsidRDefault="002C0FD9" w:rsidP="00CA25CF">
            <w:pPr>
              <w:rPr>
                <w:rFonts w:cs="Arial"/>
                <w:color w:val="FF0000"/>
                <w:sz w:val="21"/>
                <w:szCs w:val="21"/>
              </w:rPr>
            </w:pPr>
          </w:p>
        </w:tc>
        <w:tc>
          <w:tcPr>
            <w:tcW w:w="217" w:type="dxa"/>
          </w:tcPr>
          <w:p w14:paraId="5F5E4A88" w14:textId="77777777" w:rsidR="002C0FD9" w:rsidRPr="00CA25CF" w:rsidRDefault="002C0FD9" w:rsidP="00CA25CF">
            <w:pPr>
              <w:rPr>
                <w:rFonts w:cs="Arial"/>
                <w:color w:val="FF0000"/>
                <w:sz w:val="21"/>
                <w:szCs w:val="21"/>
              </w:rPr>
            </w:pPr>
          </w:p>
        </w:tc>
        <w:tc>
          <w:tcPr>
            <w:tcW w:w="217" w:type="dxa"/>
          </w:tcPr>
          <w:p w14:paraId="3F5E3F30" w14:textId="77777777" w:rsidR="002C0FD9" w:rsidRPr="00CA25CF" w:rsidRDefault="002C0FD9" w:rsidP="00CA25CF">
            <w:pPr>
              <w:rPr>
                <w:rFonts w:cs="Arial"/>
                <w:color w:val="FF0000"/>
                <w:sz w:val="21"/>
                <w:szCs w:val="21"/>
              </w:rPr>
            </w:pPr>
          </w:p>
        </w:tc>
        <w:tc>
          <w:tcPr>
            <w:tcW w:w="217" w:type="dxa"/>
          </w:tcPr>
          <w:p w14:paraId="1DAAF0FA" w14:textId="77777777" w:rsidR="002C0FD9" w:rsidRPr="00CA25CF" w:rsidRDefault="002C0FD9" w:rsidP="00CA25CF">
            <w:pPr>
              <w:rPr>
                <w:rFonts w:cs="Arial"/>
                <w:color w:val="FF0000"/>
                <w:sz w:val="21"/>
                <w:szCs w:val="21"/>
              </w:rPr>
            </w:pPr>
          </w:p>
        </w:tc>
        <w:tc>
          <w:tcPr>
            <w:tcW w:w="217" w:type="dxa"/>
          </w:tcPr>
          <w:p w14:paraId="41EB66CF" w14:textId="77777777" w:rsidR="002C0FD9" w:rsidRPr="00CA25CF" w:rsidRDefault="002C0FD9" w:rsidP="00CA25CF">
            <w:pPr>
              <w:rPr>
                <w:rFonts w:cs="Arial"/>
                <w:color w:val="FF0000"/>
                <w:sz w:val="21"/>
                <w:szCs w:val="21"/>
              </w:rPr>
            </w:pPr>
          </w:p>
        </w:tc>
        <w:tc>
          <w:tcPr>
            <w:tcW w:w="217" w:type="dxa"/>
          </w:tcPr>
          <w:p w14:paraId="7ED3F1AE" w14:textId="77777777" w:rsidR="002C0FD9" w:rsidRPr="00CA25CF" w:rsidRDefault="002C0FD9" w:rsidP="00CA25CF">
            <w:pPr>
              <w:rPr>
                <w:rFonts w:cs="Arial"/>
                <w:color w:val="FF0000"/>
                <w:sz w:val="21"/>
                <w:szCs w:val="21"/>
              </w:rPr>
            </w:pPr>
          </w:p>
        </w:tc>
      </w:tr>
      <w:tr w:rsidR="002C0FD9" w:rsidRPr="00A16219" w14:paraId="64D5D47D" w14:textId="053A195F" w:rsidTr="002C0FD9">
        <w:trPr>
          <w:trHeight w:val="635"/>
        </w:trPr>
        <w:tc>
          <w:tcPr>
            <w:tcW w:w="515" w:type="dxa"/>
          </w:tcPr>
          <w:p w14:paraId="53C9E141" w14:textId="77777777" w:rsidR="002C0FD9" w:rsidRPr="00CA25CF" w:rsidRDefault="002C0FD9" w:rsidP="00CA25CF">
            <w:pPr>
              <w:rPr>
                <w:rFonts w:cs="Arial"/>
                <w:color w:val="FF0000"/>
                <w:sz w:val="21"/>
                <w:szCs w:val="21"/>
              </w:rPr>
            </w:pPr>
          </w:p>
        </w:tc>
        <w:tc>
          <w:tcPr>
            <w:tcW w:w="217" w:type="dxa"/>
          </w:tcPr>
          <w:p w14:paraId="1BD906BC" w14:textId="77777777" w:rsidR="002C0FD9" w:rsidRPr="00CA25CF" w:rsidRDefault="002C0FD9" w:rsidP="00CA25CF">
            <w:pPr>
              <w:rPr>
                <w:rFonts w:cs="Arial"/>
                <w:color w:val="FF0000"/>
                <w:sz w:val="21"/>
                <w:szCs w:val="21"/>
              </w:rPr>
            </w:pPr>
          </w:p>
        </w:tc>
        <w:tc>
          <w:tcPr>
            <w:tcW w:w="217" w:type="dxa"/>
          </w:tcPr>
          <w:p w14:paraId="02D366AA" w14:textId="59CCAB6B" w:rsidR="002C0FD9" w:rsidRPr="00CA25CF" w:rsidRDefault="002C0FD9" w:rsidP="00CA25CF">
            <w:pPr>
              <w:rPr>
                <w:rFonts w:cs="Arial"/>
                <w:color w:val="FF0000"/>
                <w:sz w:val="21"/>
                <w:szCs w:val="21"/>
              </w:rPr>
            </w:pPr>
          </w:p>
        </w:tc>
        <w:tc>
          <w:tcPr>
            <w:tcW w:w="217" w:type="dxa"/>
          </w:tcPr>
          <w:p w14:paraId="03163864" w14:textId="77777777" w:rsidR="002C0FD9" w:rsidRPr="00CA25CF" w:rsidRDefault="002C0FD9" w:rsidP="00CA25CF">
            <w:pPr>
              <w:rPr>
                <w:rFonts w:cs="Arial"/>
                <w:color w:val="FF0000"/>
                <w:sz w:val="21"/>
                <w:szCs w:val="21"/>
              </w:rPr>
            </w:pPr>
          </w:p>
        </w:tc>
        <w:tc>
          <w:tcPr>
            <w:tcW w:w="217" w:type="dxa"/>
          </w:tcPr>
          <w:p w14:paraId="067E0364" w14:textId="77777777" w:rsidR="002C0FD9" w:rsidRPr="00CA25CF" w:rsidRDefault="002C0FD9" w:rsidP="00CA25CF">
            <w:pPr>
              <w:rPr>
                <w:rFonts w:cs="Arial"/>
                <w:color w:val="FF0000"/>
                <w:sz w:val="21"/>
                <w:szCs w:val="21"/>
              </w:rPr>
            </w:pPr>
          </w:p>
        </w:tc>
        <w:tc>
          <w:tcPr>
            <w:tcW w:w="217" w:type="dxa"/>
          </w:tcPr>
          <w:p w14:paraId="2B54BA23" w14:textId="77777777" w:rsidR="002C0FD9" w:rsidRPr="00CA25CF" w:rsidRDefault="002C0FD9" w:rsidP="00CA25CF">
            <w:pPr>
              <w:rPr>
                <w:rFonts w:cs="Arial"/>
                <w:color w:val="FF0000"/>
                <w:sz w:val="21"/>
                <w:szCs w:val="21"/>
              </w:rPr>
            </w:pPr>
          </w:p>
        </w:tc>
        <w:tc>
          <w:tcPr>
            <w:tcW w:w="217" w:type="dxa"/>
          </w:tcPr>
          <w:p w14:paraId="6C75A65F" w14:textId="77777777" w:rsidR="002C0FD9" w:rsidRPr="00CA25CF" w:rsidRDefault="002C0FD9" w:rsidP="00CA25CF">
            <w:pPr>
              <w:rPr>
                <w:rFonts w:cs="Arial"/>
                <w:color w:val="FF0000"/>
                <w:sz w:val="21"/>
                <w:szCs w:val="21"/>
              </w:rPr>
            </w:pPr>
          </w:p>
        </w:tc>
        <w:tc>
          <w:tcPr>
            <w:tcW w:w="217" w:type="dxa"/>
          </w:tcPr>
          <w:p w14:paraId="787C6C7A" w14:textId="77777777" w:rsidR="002C0FD9" w:rsidRPr="00CA25CF" w:rsidRDefault="002C0FD9" w:rsidP="00CA25CF">
            <w:pPr>
              <w:rPr>
                <w:rFonts w:cs="Arial"/>
                <w:color w:val="FF0000"/>
                <w:sz w:val="21"/>
                <w:szCs w:val="21"/>
              </w:rPr>
            </w:pPr>
          </w:p>
        </w:tc>
        <w:tc>
          <w:tcPr>
            <w:tcW w:w="217" w:type="dxa"/>
          </w:tcPr>
          <w:p w14:paraId="585A845F" w14:textId="77777777" w:rsidR="002C0FD9" w:rsidRPr="00CA25CF" w:rsidRDefault="002C0FD9" w:rsidP="00CA25CF">
            <w:pPr>
              <w:rPr>
                <w:rFonts w:cs="Arial"/>
                <w:color w:val="FF0000"/>
                <w:sz w:val="21"/>
                <w:szCs w:val="21"/>
              </w:rPr>
            </w:pPr>
          </w:p>
        </w:tc>
        <w:tc>
          <w:tcPr>
            <w:tcW w:w="217" w:type="dxa"/>
          </w:tcPr>
          <w:p w14:paraId="23951AB0" w14:textId="77777777" w:rsidR="002C0FD9" w:rsidRPr="00CA25CF" w:rsidRDefault="002C0FD9" w:rsidP="00CA25CF">
            <w:pPr>
              <w:rPr>
                <w:rFonts w:cs="Arial"/>
                <w:color w:val="FF0000"/>
                <w:sz w:val="21"/>
                <w:szCs w:val="21"/>
              </w:rPr>
            </w:pPr>
          </w:p>
        </w:tc>
        <w:tc>
          <w:tcPr>
            <w:tcW w:w="217" w:type="dxa"/>
          </w:tcPr>
          <w:p w14:paraId="2A2D942D" w14:textId="77777777" w:rsidR="002C0FD9" w:rsidRPr="00CA25CF" w:rsidRDefault="002C0FD9" w:rsidP="00CA25CF">
            <w:pPr>
              <w:rPr>
                <w:rFonts w:cs="Arial"/>
                <w:color w:val="FF0000"/>
                <w:sz w:val="21"/>
                <w:szCs w:val="21"/>
              </w:rPr>
            </w:pPr>
          </w:p>
        </w:tc>
        <w:tc>
          <w:tcPr>
            <w:tcW w:w="217" w:type="dxa"/>
          </w:tcPr>
          <w:p w14:paraId="319A4BB4" w14:textId="77777777" w:rsidR="002C0FD9" w:rsidRPr="00CA25CF" w:rsidRDefault="002C0FD9" w:rsidP="00CA25CF">
            <w:pPr>
              <w:rPr>
                <w:rFonts w:cs="Arial"/>
                <w:color w:val="FF0000"/>
                <w:sz w:val="21"/>
                <w:szCs w:val="21"/>
              </w:rPr>
            </w:pPr>
          </w:p>
        </w:tc>
        <w:tc>
          <w:tcPr>
            <w:tcW w:w="217" w:type="dxa"/>
          </w:tcPr>
          <w:p w14:paraId="07570B91" w14:textId="77777777" w:rsidR="002C0FD9" w:rsidRPr="00CA25CF" w:rsidRDefault="002C0FD9" w:rsidP="00CA25CF">
            <w:pPr>
              <w:rPr>
                <w:rFonts w:cs="Arial"/>
                <w:color w:val="FF0000"/>
                <w:sz w:val="21"/>
                <w:szCs w:val="21"/>
              </w:rPr>
            </w:pPr>
          </w:p>
        </w:tc>
        <w:tc>
          <w:tcPr>
            <w:tcW w:w="217" w:type="dxa"/>
          </w:tcPr>
          <w:p w14:paraId="31635E9E" w14:textId="77777777" w:rsidR="002C0FD9" w:rsidRPr="00CA25CF" w:rsidRDefault="002C0FD9" w:rsidP="00CA25CF">
            <w:pPr>
              <w:rPr>
                <w:rFonts w:cs="Arial"/>
                <w:color w:val="FF0000"/>
                <w:sz w:val="21"/>
                <w:szCs w:val="21"/>
              </w:rPr>
            </w:pPr>
          </w:p>
        </w:tc>
        <w:tc>
          <w:tcPr>
            <w:tcW w:w="217" w:type="dxa"/>
          </w:tcPr>
          <w:p w14:paraId="4C319BEE" w14:textId="77777777" w:rsidR="002C0FD9" w:rsidRPr="00CA25CF" w:rsidRDefault="002C0FD9" w:rsidP="00CA25CF">
            <w:pPr>
              <w:rPr>
                <w:rFonts w:cs="Arial"/>
                <w:color w:val="FF0000"/>
                <w:sz w:val="21"/>
                <w:szCs w:val="21"/>
              </w:rPr>
            </w:pPr>
          </w:p>
        </w:tc>
        <w:tc>
          <w:tcPr>
            <w:tcW w:w="217" w:type="dxa"/>
          </w:tcPr>
          <w:p w14:paraId="2637CCB5" w14:textId="77777777" w:rsidR="002C0FD9" w:rsidRPr="00CA25CF" w:rsidRDefault="002C0FD9" w:rsidP="00CA25CF">
            <w:pPr>
              <w:rPr>
                <w:rFonts w:cs="Arial"/>
                <w:color w:val="FF0000"/>
                <w:sz w:val="21"/>
                <w:szCs w:val="21"/>
              </w:rPr>
            </w:pPr>
          </w:p>
        </w:tc>
        <w:tc>
          <w:tcPr>
            <w:tcW w:w="217" w:type="dxa"/>
          </w:tcPr>
          <w:p w14:paraId="45B50E06" w14:textId="77777777" w:rsidR="002C0FD9" w:rsidRPr="00CA25CF" w:rsidRDefault="002C0FD9" w:rsidP="00CA25CF">
            <w:pPr>
              <w:rPr>
                <w:rFonts w:cs="Arial"/>
                <w:color w:val="FF0000"/>
                <w:sz w:val="21"/>
                <w:szCs w:val="21"/>
              </w:rPr>
            </w:pPr>
          </w:p>
        </w:tc>
        <w:tc>
          <w:tcPr>
            <w:tcW w:w="217" w:type="dxa"/>
          </w:tcPr>
          <w:p w14:paraId="4DE7E6F4" w14:textId="77777777" w:rsidR="002C0FD9" w:rsidRPr="00CA25CF" w:rsidRDefault="002C0FD9" w:rsidP="00CA25CF">
            <w:pPr>
              <w:rPr>
                <w:rFonts w:cs="Arial"/>
                <w:color w:val="FF0000"/>
                <w:sz w:val="21"/>
                <w:szCs w:val="21"/>
              </w:rPr>
            </w:pPr>
          </w:p>
        </w:tc>
        <w:tc>
          <w:tcPr>
            <w:tcW w:w="217" w:type="dxa"/>
          </w:tcPr>
          <w:p w14:paraId="5493F242" w14:textId="77777777" w:rsidR="002C0FD9" w:rsidRPr="00CA25CF" w:rsidRDefault="002C0FD9" w:rsidP="00CA25CF">
            <w:pPr>
              <w:rPr>
                <w:rFonts w:cs="Arial"/>
                <w:color w:val="FF0000"/>
                <w:sz w:val="21"/>
                <w:szCs w:val="21"/>
              </w:rPr>
            </w:pPr>
          </w:p>
        </w:tc>
        <w:tc>
          <w:tcPr>
            <w:tcW w:w="217" w:type="dxa"/>
          </w:tcPr>
          <w:p w14:paraId="4AC1C317" w14:textId="77777777" w:rsidR="002C0FD9" w:rsidRPr="00CA25CF" w:rsidRDefault="002C0FD9" w:rsidP="00CA25CF">
            <w:pPr>
              <w:rPr>
                <w:rFonts w:cs="Arial"/>
                <w:color w:val="FF0000"/>
                <w:sz w:val="21"/>
                <w:szCs w:val="21"/>
              </w:rPr>
            </w:pPr>
          </w:p>
        </w:tc>
        <w:tc>
          <w:tcPr>
            <w:tcW w:w="217" w:type="dxa"/>
          </w:tcPr>
          <w:p w14:paraId="06661F87" w14:textId="77777777" w:rsidR="002C0FD9" w:rsidRPr="00CA25CF" w:rsidRDefault="002C0FD9" w:rsidP="00CA25CF">
            <w:pPr>
              <w:rPr>
                <w:rFonts w:cs="Arial"/>
                <w:color w:val="FF0000"/>
                <w:sz w:val="21"/>
                <w:szCs w:val="21"/>
              </w:rPr>
            </w:pPr>
          </w:p>
        </w:tc>
        <w:tc>
          <w:tcPr>
            <w:tcW w:w="217" w:type="dxa"/>
          </w:tcPr>
          <w:p w14:paraId="16D42D2D" w14:textId="77777777" w:rsidR="002C0FD9" w:rsidRPr="00CA25CF" w:rsidRDefault="002C0FD9" w:rsidP="00CA25CF">
            <w:pPr>
              <w:rPr>
                <w:rFonts w:cs="Arial"/>
                <w:color w:val="FF0000"/>
                <w:sz w:val="21"/>
                <w:szCs w:val="21"/>
              </w:rPr>
            </w:pPr>
          </w:p>
        </w:tc>
        <w:tc>
          <w:tcPr>
            <w:tcW w:w="217" w:type="dxa"/>
          </w:tcPr>
          <w:p w14:paraId="20EC02BE" w14:textId="77777777" w:rsidR="002C0FD9" w:rsidRPr="00CA25CF" w:rsidRDefault="002C0FD9" w:rsidP="00CA25CF">
            <w:pPr>
              <w:rPr>
                <w:rFonts w:cs="Arial"/>
                <w:color w:val="FF0000"/>
                <w:sz w:val="21"/>
                <w:szCs w:val="21"/>
              </w:rPr>
            </w:pPr>
          </w:p>
        </w:tc>
        <w:tc>
          <w:tcPr>
            <w:tcW w:w="217" w:type="dxa"/>
          </w:tcPr>
          <w:p w14:paraId="1931F377" w14:textId="77777777" w:rsidR="002C0FD9" w:rsidRPr="00CA25CF" w:rsidRDefault="002C0FD9" w:rsidP="00CA25CF">
            <w:pPr>
              <w:rPr>
                <w:rFonts w:cs="Arial"/>
                <w:color w:val="FF0000"/>
                <w:sz w:val="21"/>
                <w:szCs w:val="21"/>
              </w:rPr>
            </w:pPr>
          </w:p>
        </w:tc>
        <w:tc>
          <w:tcPr>
            <w:tcW w:w="217" w:type="dxa"/>
          </w:tcPr>
          <w:p w14:paraId="2C55D7CD" w14:textId="77777777" w:rsidR="002C0FD9" w:rsidRPr="00CA25CF" w:rsidRDefault="002C0FD9" w:rsidP="00CA25CF">
            <w:pPr>
              <w:rPr>
                <w:rFonts w:cs="Arial"/>
                <w:color w:val="FF0000"/>
                <w:sz w:val="21"/>
                <w:szCs w:val="21"/>
              </w:rPr>
            </w:pPr>
          </w:p>
        </w:tc>
        <w:tc>
          <w:tcPr>
            <w:tcW w:w="217" w:type="dxa"/>
          </w:tcPr>
          <w:p w14:paraId="74449675" w14:textId="77777777" w:rsidR="002C0FD9" w:rsidRPr="00CA25CF" w:rsidRDefault="002C0FD9" w:rsidP="00CA25CF">
            <w:pPr>
              <w:rPr>
                <w:rFonts w:cs="Arial"/>
                <w:color w:val="FF0000"/>
                <w:sz w:val="21"/>
                <w:szCs w:val="21"/>
              </w:rPr>
            </w:pPr>
          </w:p>
        </w:tc>
        <w:tc>
          <w:tcPr>
            <w:tcW w:w="217" w:type="dxa"/>
          </w:tcPr>
          <w:p w14:paraId="064CEF2F" w14:textId="77777777" w:rsidR="002C0FD9" w:rsidRPr="00CA25CF" w:rsidRDefault="002C0FD9" w:rsidP="00CA25CF">
            <w:pPr>
              <w:rPr>
                <w:rFonts w:cs="Arial"/>
                <w:color w:val="FF0000"/>
                <w:sz w:val="21"/>
                <w:szCs w:val="21"/>
              </w:rPr>
            </w:pPr>
          </w:p>
        </w:tc>
        <w:tc>
          <w:tcPr>
            <w:tcW w:w="217" w:type="dxa"/>
          </w:tcPr>
          <w:p w14:paraId="5080881C" w14:textId="77777777" w:rsidR="002C0FD9" w:rsidRPr="00CA25CF" w:rsidRDefault="002C0FD9" w:rsidP="00CA25CF">
            <w:pPr>
              <w:rPr>
                <w:rFonts w:cs="Arial"/>
                <w:color w:val="FF0000"/>
                <w:sz w:val="21"/>
                <w:szCs w:val="21"/>
              </w:rPr>
            </w:pPr>
          </w:p>
        </w:tc>
        <w:tc>
          <w:tcPr>
            <w:tcW w:w="217" w:type="dxa"/>
          </w:tcPr>
          <w:p w14:paraId="6DF27030" w14:textId="77777777" w:rsidR="002C0FD9" w:rsidRPr="00CA25CF" w:rsidRDefault="002C0FD9" w:rsidP="00CA25CF">
            <w:pPr>
              <w:rPr>
                <w:rFonts w:cs="Arial"/>
                <w:color w:val="FF0000"/>
                <w:sz w:val="21"/>
                <w:szCs w:val="21"/>
              </w:rPr>
            </w:pPr>
          </w:p>
        </w:tc>
        <w:tc>
          <w:tcPr>
            <w:tcW w:w="217" w:type="dxa"/>
          </w:tcPr>
          <w:p w14:paraId="08C6CF5C" w14:textId="77777777" w:rsidR="002C0FD9" w:rsidRPr="00CA25CF" w:rsidRDefault="002C0FD9" w:rsidP="00CA25CF">
            <w:pPr>
              <w:rPr>
                <w:rFonts w:cs="Arial"/>
                <w:color w:val="FF0000"/>
                <w:sz w:val="21"/>
                <w:szCs w:val="21"/>
              </w:rPr>
            </w:pPr>
          </w:p>
        </w:tc>
        <w:tc>
          <w:tcPr>
            <w:tcW w:w="217" w:type="dxa"/>
          </w:tcPr>
          <w:p w14:paraId="4E0DC1E1" w14:textId="77777777" w:rsidR="002C0FD9" w:rsidRPr="00CA25CF" w:rsidRDefault="002C0FD9" w:rsidP="00CA25CF">
            <w:pPr>
              <w:rPr>
                <w:rFonts w:cs="Arial"/>
                <w:color w:val="FF0000"/>
                <w:sz w:val="21"/>
                <w:szCs w:val="21"/>
              </w:rPr>
            </w:pPr>
          </w:p>
        </w:tc>
        <w:tc>
          <w:tcPr>
            <w:tcW w:w="217" w:type="dxa"/>
          </w:tcPr>
          <w:p w14:paraId="00D3BD31" w14:textId="77777777" w:rsidR="002C0FD9" w:rsidRPr="00CA25CF" w:rsidRDefault="002C0FD9" w:rsidP="00CA25CF">
            <w:pPr>
              <w:rPr>
                <w:rFonts w:cs="Arial"/>
                <w:color w:val="FF0000"/>
                <w:sz w:val="21"/>
                <w:szCs w:val="21"/>
              </w:rPr>
            </w:pPr>
          </w:p>
        </w:tc>
        <w:tc>
          <w:tcPr>
            <w:tcW w:w="217" w:type="dxa"/>
          </w:tcPr>
          <w:p w14:paraId="560DBC38" w14:textId="77777777" w:rsidR="002C0FD9" w:rsidRPr="00CA25CF" w:rsidRDefault="002C0FD9" w:rsidP="00CA25CF">
            <w:pPr>
              <w:rPr>
                <w:rFonts w:cs="Arial"/>
                <w:color w:val="FF0000"/>
                <w:sz w:val="21"/>
                <w:szCs w:val="21"/>
              </w:rPr>
            </w:pPr>
          </w:p>
        </w:tc>
        <w:tc>
          <w:tcPr>
            <w:tcW w:w="217" w:type="dxa"/>
          </w:tcPr>
          <w:p w14:paraId="67FA8BC1" w14:textId="77777777" w:rsidR="002C0FD9" w:rsidRPr="00CA25CF" w:rsidRDefault="002C0FD9" w:rsidP="00CA25CF">
            <w:pPr>
              <w:rPr>
                <w:rFonts w:cs="Arial"/>
                <w:color w:val="FF0000"/>
                <w:sz w:val="21"/>
                <w:szCs w:val="21"/>
              </w:rPr>
            </w:pPr>
          </w:p>
        </w:tc>
        <w:tc>
          <w:tcPr>
            <w:tcW w:w="217" w:type="dxa"/>
          </w:tcPr>
          <w:p w14:paraId="11D0677F" w14:textId="77777777" w:rsidR="002C0FD9" w:rsidRPr="00CA25CF" w:rsidRDefault="002C0FD9" w:rsidP="00CA25CF">
            <w:pPr>
              <w:rPr>
                <w:rFonts w:cs="Arial"/>
                <w:color w:val="FF0000"/>
                <w:sz w:val="21"/>
                <w:szCs w:val="21"/>
              </w:rPr>
            </w:pPr>
          </w:p>
        </w:tc>
        <w:tc>
          <w:tcPr>
            <w:tcW w:w="217" w:type="dxa"/>
          </w:tcPr>
          <w:p w14:paraId="031F3AB3" w14:textId="77777777" w:rsidR="002C0FD9" w:rsidRPr="00CA25CF" w:rsidRDefault="002C0FD9" w:rsidP="00CA25CF">
            <w:pPr>
              <w:rPr>
                <w:rFonts w:cs="Arial"/>
                <w:color w:val="FF0000"/>
                <w:sz w:val="21"/>
                <w:szCs w:val="21"/>
              </w:rPr>
            </w:pPr>
          </w:p>
        </w:tc>
        <w:tc>
          <w:tcPr>
            <w:tcW w:w="217" w:type="dxa"/>
          </w:tcPr>
          <w:p w14:paraId="601B840C" w14:textId="77777777" w:rsidR="002C0FD9" w:rsidRPr="00CA25CF" w:rsidRDefault="002C0FD9" w:rsidP="00CA25CF">
            <w:pPr>
              <w:rPr>
                <w:rFonts w:cs="Arial"/>
                <w:color w:val="FF0000"/>
                <w:sz w:val="21"/>
                <w:szCs w:val="21"/>
              </w:rPr>
            </w:pPr>
          </w:p>
        </w:tc>
        <w:tc>
          <w:tcPr>
            <w:tcW w:w="217" w:type="dxa"/>
          </w:tcPr>
          <w:p w14:paraId="1AA5A1D9" w14:textId="77777777" w:rsidR="002C0FD9" w:rsidRPr="00CA25CF" w:rsidRDefault="002C0FD9" w:rsidP="00CA25CF">
            <w:pPr>
              <w:rPr>
                <w:rFonts w:cs="Arial"/>
                <w:color w:val="FF0000"/>
                <w:sz w:val="21"/>
                <w:szCs w:val="21"/>
              </w:rPr>
            </w:pPr>
          </w:p>
        </w:tc>
        <w:tc>
          <w:tcPr>
            <w:tcW w:w="217" w:type="dxa"/>
          </w:tcPr>
          <w:p w14:paraId="5F3EB202" w14:textId="77777777" w:rsidR="002C0FD9" w:rsidRPr="00CA25CF" w:rsidRDefault="002C0FD9" w:rsidP="00CA25CF">
            <w:pPr>
              <w:rPr>
                <w:rFonts w:cs="Arial"/>
                <w:color w:val="FF0000"/>
                <w:sz w:val="21"/>
                <w:szCs w:val="21"/>
              </w:rPr>
            </w:pPr>
          </w:p>
        </w:tc>
        <w:tc>
          <w:tcPr>
            <w:tcW w:w="217" w:type="dxa"/>
          </w:tcPr>
          <w:p w14:paraId="033FEF11" w14:textId="77777777" w:rsidR="002C0FD9" w:rsidRPr="00CA25CF" w:rsidRDefault="002C0FD9" w:rsidP="00CA25CF">
            <w:pPr>
              <w:rPr>
                <w:rFonts w:cs="Arial"/>
                <w:color w:val="FF0000"/>
                <w:sz w:val="21"/>
                <w:szCs w:val="21"/>
              </w:rPr>
            </w:pPr>
          </w:p>
        </w:tc>
        <w:tc>
          <w:tcPr>
            <w:tcW w:w="217" w:type="dxa"/>
          </w:tcPr>
          <w:p w14:paraId="46C307B6" w14:textId="77777777" w:rsidR="002C0FD9" w:rsidRPr="00CA25CF" w:rsidRDefault="002C0FD9" w:rsidP="00CA25CF">
            <w:pPr>
              <w:rPr>
                <w:rFonts w:cs="Arial"/>
                <w:color w:val="FF0000"/>
                <w:sz w:val="21"/>
                <w:szCs w:val="21"/>
              </w:rPr>
            </w:pPr>
          </w:p>
        </w:tc>
        <w:tc>
          <w:tcPr>
            <w:tcW w:w="217" w:type="dxa"/>
          </w:tcPr>
          <w:p w14:paraId="430BB539" w14:textId="77777777" w:rsidR="002C0FD9" w:rsidRPr="00CA25CF" w:rsidRDefault="002C0FD9" w:rsidP="00CA25CF">
            <w:pPr>
              <w:rPr>
                <w:rFonts w:cs="Arial"/>
                <w:color w:val="FF0000"/>
                <w:sz w:val="21"/>
                <w:szCs w:val="21"/>
              </w:rPr>
            </w:pPr>
          </w:p>
        </w:tc>
        <w:tc>
          <w:tcPr>
            <w:tcW w:w="217" w:type="dxa"/>
          </w:tcPr>
          <w:p w14:paraId="33342FF6" w14:textId="77777777" w:rsidR="002C0FD9" w:rsidRPr="00CA25CF" w:rsidRDefault="002C0FD9" w:rsidP="00CA25CF">
            <w:pPr>
              <w:rPr>
                <w:rFonts w:cs="Arial"/>
                <w:color w:val="FF0000"/>
                <w:sz w:val="21"/>
                <w:szCs w:val="21"/>
              </w:rPr>
            </w:pPr>
          </w:p>
        </w:tc>
      </w:tr>
      <w:tr w:rsidR="002C0FD9" w:rsidRPr="00A16219" w14:paraId="3A0B42DD" w14:textId="605AE384" w:rsidTr="002C0FD9">
        <w:trPr>
          <w:trHeight w:val="635"/>
        </w:trPr>
        <w:tc>
          <w:tcPr>
            <w:tcW w:w="515" w:type="dxa"/>
          </w:tcPr>
          <w:p w14:paraId="7A45A1A3" w14:textId="77777777" w:rsidR="002C0FD9" w:rsidRPr="00CA25CF" w:rsidRDefault="002C0FD9" w:rsidP="00CA25CF">
            <w:pPr>
              <w:rPr>
                <w:rFonts w:cs="Arial"/>
                <w:color w:val="FF0000"/>
                <w:sz w:val="21"/>
                <w:szCs w:val="21"/>
              </w:rPr>
            </w:pPr>
          </w:p>
        </w:tc>
        <w:tc>
          <w:tcPr>
            <w:tcW w:w="217" w:type="dxa"/>
          </w:tcPr>
          <w:p w14:paraId="3A77C4EC" w14:textId="77777777" w:rsidR="002C0FD9" w:rsidRPr="00CA25CF" w:rsidRDefault="002C0FD9" w:rsidP="00CA25CF">
            <w:pPr>
              <w:rPr>
                <w:rFonts w:cs="Arial"/>
                <w:color w:val="FF0000"/>
                <w:sz w:val="21"/>
                <w:szCs w:val="21"/>
              </w:rPr>
            </w:pPr>
          </w:p>
        </w:tc>
        <w:tc>
          <w:tcPr>
            <w:tcW w:w="217" w:type="dxa"/>
          </w:tcPr>
          <w:p w14:paraId="5C56EF70" w14:textId="59FF83FF" w:rsidR="002C0FD9" w:rsidRPr="00CA25CF" w:rsidRDefault="002C0FD9" w:rsidP="00CA25CF">
            <w:pPr>
              <w:rPr>
                <w:rFonts w:cs="Arial"/>
                <w:color w:val="FF0000"/>
                <w:sz w:val="21"/>
                <w:szCs w:val="21"/>
              </w:rPr>
            </w:pPr>
          </w:p>
        </w:tc>
        <w:tc>
          <w:tcPr>
            <w:tcW w:w="217" w:type="dxa"/>
          </w:tcPr>
          <w:p w14:paraId="0E2C73E2" w14:textId="77777777" w:rsidR="002C0FD9" w:rsidRPr="00CA25CF" w:rsidRDefault="002C0FD9" w:rsidP="00CA25CF">
            <w:pPr>
              <w:rPr>
                <w:rFonts w:cs="Arial"/>
                <w:color w:val="FF0000"/>
                <w:sz w:val="21"/>
                <w:szCs w:val="21"/>
              </w:rPr>
            </w:pPr>
          </w:p>
        </w:tc>
        <w:tc>
          <w:tcPr>
            <w:tcW w:w="217" w:type="dxa"/>
          </w:tcPr>
          <w:p w14:paraId="5A66508F" w14:textId="77777777" w:rsidR="002C0FD9" w:rsidRPr="00CA25CF" w:rsidRDefault="002C0FD9" w:rsidP="00CA25CF">
            <w:pPr>
              <w:rPr>
                <w:rFonts w:cs="Arial"/>
                <w:color w:val="FF0000"/>
                <w:sz w:val="21"/>
                <w:szCs w:val="21"/>
              </w:rPr>
            </w:pPr>
          </w:p>
        </w:tc>
        <w:tc>
          <w:tcPr>
            <w:tcW w:w="217" w:type="dxa"/>
          </w:tcPr>
          <w:p w14:paraId="222D6547" w14:textId="77777777" w:rsidR="002C0FD9" w:rsidRPr="00CA25CF" w:rsidRDefault="002C0FD9" w:rsidP="00CA25CF">
            <w:pPr>
              <w:rPr>
                <w:rFonts w:cs="Arial"/>
                <w:color w:val="FF0000"/>
                <w:sz w:val="21"/>
                <w:szCs w:val="21"/>
              </w:rPr>
            </w:pPr>
          </w:p>
        </w:tc>
        <w:tc>
          <w:tcPr>
            <w:tcW w:w="217" w:type="dxa"/>
          </w:tcPr>
          <w:p w14:paraId="42931AC7" w14:textId="77777777" w:rsidR="002C0FD9" w:rsidRPr="00CA25CF" w:rsidRDefault="002C0FD9" w:rsidP="00CA25CF">
            <w:pPr>
              <w:rPr>
                <w:rFonts w:cs="Arial"/>
                <w:color w:val="FF0000"/>
                <w:sz w:val="21"/>
                <w:szCs w:val="21"/>
              </w:rPr>
            </w:pPr>
          </w:p>
        </w:tc>
        <w:tc>
          <w:tcPr>
            <w:tcW w:w="217" w:type="dxa"/>
          </w:tcPr>
          <w:p w14:paraId="207710CC" w14:textId="77777777" w:rsidR="002C0FD9" w:rsidRPr="00CA25CF" w:rsidRDefault="002C0FD9" w:rsidP="00CA25CF">
            <w:pPr>
              <w:rPr>
                <w:rFonts w:cs="Arial"/>
                <w:color w:val="FF0000"/>
                <w:sz w:val="21"/>
                <w:szCs w:val="21"/>
              </w:rPr>
            </w:pPr>
          </w:p>
        </w:tc>
        <w:tc>
          <w:tcPr>
            <w:tcW w:w="217" w:type="dxa"/>
          </w:tcPr>
          <w:p w14:paraId="12CC270C" w14:textId="77777777" w:rsidR="002C0FD9" w:rsidRPr="00CA25CF" w:rsidRDefault="002C0FD9" w:rsidP="00CA25CF">
            <w:pPr>
              <w:rPr>
                <w:rFonts w:cs="Arial"/>
                <w:color w:val="FF0000"/>
                <w:sz w:val="21"/>
                <w:szCs w:val="21"/>
              </w:rPr>
            </w:pPr>
          </w:p>
        </w:tc>
        <w:tc>
          <w:tcPr>
            <w:tcW w:w="217" w:type="dxa"/>
          </w:tcPr>
          <w:p w14:paraId="3D02AF08" w14:textId="77777777" w:rsidR="002C0FD9" w:rsidRPr="00CA25CF" w:rsidRDefault="002C0FD9" w:rsidP="00CA25CF">
            <w:pPr>
              <w:rPr>
                <w:rFonts w:cs="Arial"/>
                <w:color w:val="FF0000"/>
                <w:sz w:val="21"/>
                <w:szCs w:val="21"/>
              </w:rPr>
            </w:pPr>
          </w:p>
        </w:tc>
        <w:tc>
          <w:tcPr>
            <w:tcW w:w="217" w:type="dxa"/>
          </w:tcPr>
          <w:p w14:paraId="2B019E2C" w14:textId="77777777" w:rsidR="002C0FD9" w:rsidRPr="00CA25CF" w:rsidRDefault="002C0FD9" w:rsidP="00CA25CF">
            <w:pPr>
              <w:rPr>
                <w:rFonts w:cs="Arial"/>
                <w:color w:val="FF0000"/>
                <w:sz w:val="21"/>
                <w:szCs w:val="21"/>
              </w:rPr>
            </w:pPr>
          </w:p>
        </w:tc>
        <w:tc>
          <w:tcPr>
            <w:tcW w:w="217" w:type="dxa"/>
          </w:tcPr>
          <w:p w14:paraId="781DD6C5" w14:textId="77777777" w:rsidR="002C0FD9" w:rsidRPr="00CA25CF" w:rsidRDefault="002C0FD9" w:rsidP="00CA25CF">
            <w:pPr>
              <w:rPr>
                <w:rFonts w:cs="Arial"/>
                <w:color w:val="FF0000"/>
                <w:sz w:val="21"/>
                <w:szCs w:val="21"/>
              </w:rPr>
            </w:pPr>
          </w:p>
        </w:tc>
        <w:tc>
          <w:tcPr>
            <w:tcW w:w="217" w:type="dxa"/>
          </w:tcPr>
          <w:p w14:paraId="2BC54D23" w14:textId="77777777" w:rsidR="002C0FD9" w:rsidRPr="00CA25CF" w:rsidRDefault="002C0FD9" w:rsidP="00CA25CF">
            <w:pPr>
              <w:rPr>
                <w:rFonts w:cs="Arial"/>
                <w:color w:val="FF0000"/>
                <w:sz w:val="21"/>
                <w:szCs w:val="21"/>
              </w:rPr>
            </w:pPr>
          </w:p>
        </w:tc>
        <w:tc>
          <w:tcPr>
            <w:tcW w:w="217" w:type="dxa"/>
          </w:tcPr>
          <w:p w14:paraId="4B2CFE12" w14:textId="77777777" w:rsidR="002C0FD9" w:rsidRPr="00CA25CF" w:rsidRDefault="002C0FD9" w:rsidP="00CA25CF">
            <w:pPr>
              <w:rPr>
                <w:rFonts w:cs="Arial"/>
                <w:color w:val="FF0000"/>
                <w:sz w:val="21"/>
                <w:szCs w:val="21"/>
              </w:rPr>
            </w:pPr>
          </w:p>
        </w:tc>
        <w:tc>
          <w:tcPr>
            <w:tcW w:w="217" w:type="dxa"/>
          </w:tcPr>
          <w:p w14:paraId="181BE7E3" w14:textId="77777777" w:rsidR="002C0FD9" w:rsidRPr="00CA25CF" w:rsidRDefault="002C0FD9" w:rsidP="00CA25CF">
            <w:pPr>
              <w:rPr>
                <w:rFonts w:cs="Arial"/>
                <w:color w:val="FF0000"/>
                <w:sz w:val="21"/>
                <w:szCs w:val="21"/>
              </w:rPr>
            </w:pPr>
          </w:p>
        </w:tc>
        <w:tc>
          <w:tcPr>
            <w:tcW w:w="217" w:type="dxa"/>
          </w:tcPr>
          <w:p w14:paraId="019B9FCC" w14:textId="77777777" w:rsidR="002C0FD9" w:rsidRPr="00CA25CF" w:rsidRDefault="002C0FD9" w:rsidP="00CA25CF">
            <w:pPr>
              <w:rPr>
                <w:rFonts w:cs="Arial"/>
                <w:color w:val="FF0000"/>
                <w:sz w:val="21"/>
                <w:szCs w:val="21"/>
              </w:rPr>
            </w:pPr>
          </w:p>
        </w:tc>
        <w:tc>
          <w:tcPr>
            <w:tcW w:w="217" w:type="dxa"/>
          </w:tcPr>
          <w:p w14:paraId="4A4E0EA7" w14:textId="77777777" w:rsidR="002C0FD9" w:rsidRPr="00CA25CF" w:rsidRDefault="002C0FD9" w:rsidP="00CA25CF">
            <w:pPr>
              <w:rPr>
                <w:rFonts w:cs="Arial"/>
                <w:color w:val="FF0000"/>
                <w:sz w:val="21"/>
                <w:szCs w:val="21"/>
              </w:rPr>
            </w:pPr>
          </w:p>
        </w:tc>
        <w:tc>
          <w:tcPr>
            <w:tcW w:w="217" w:type="dxa"/>
          </w:tcPr>
          <w:p w14:paraId="2F9509B1" w14:textId="77777777" w:rsidR="002C0FD9" w:rsidRPr="00CA25CF" w:rsidRDefault="002C0FD9" w:rsidP="00CA25CF">
            <w:pPr>
              <w:rPr>
                <w:rFonts w:cs="Arial"/>
                <w:color w:val="FF0000"/>
                <w:sz w:val="21"/>
                <w:szCs w:val="21"/>
              </w:rPr>
            </w:pPr>
          </w:p>
        </w:tc>
        <w:tc>
          <w:tcPr>
            <w:tcW w:w="217" w:type="dxa"/>
          </w:tcPr>
          <w:p w14:paraId="03A19542" w14:textId="77777777" w:rsidR="002C0FD9" w:rsidRPr="00CA25CF" w:rsidRDefault="002C0FD9" w:rsidP="00CA25CF">
            <w:pPr>
              <w:rPr>
                <w:rFonts w:cs="Arial"/>
                <w:color w:val="FF0000"/>
                <w:sz w:val="21"/>
                <w:szCs w:val="21"/>
              </w:rPr>
            </w:pPr>
          </w:p>
        </w:tc>
        <w:tc>
          <w:tcPr>
            <w:tcW w:w="217" w:type="dxa"/>
          </w:tcPr>
          <w:p w14:paraId="68E7C32A" w14:textId="77777777" w:rsidR="002C0FD9" w:rsidRPr="00CA25CF" w:rsidRDefault="002C0FD9" w:rsidP="00CA25CF">
            <w:pPr>
              <w:rPr>
                <w:rFonts w:cs="Arial"/>
                <w:color w:val="FF0000"/>
                <w:sz w:val="21"/>
                <w:szCs w:val="21"/>
              </w:rPr>
            </w:pPr>
          </w:p>
        </w:tc>
        <w:tc>
          <w:tcPr>
            <w:tcW w:w="217" w:type="dxa"/>
          </w:tcPr>
          <w:p w14:paraId="1E371952" w14:textId="77777777" w:rsidR="002C0FD9" w:rsidRPr="00CA25CF" w:rsidRDefault="002C0FD9" w:rsidP="00CA25CF">
            <w:pPr>
              <w:rPr>
                <w:rFonts w:cs="Arial"/>
                <w:color w:val="FF0000"/>
                <w:sz w:val="21"/>
                <w:szCs w:val="21"/>
              </w:rPr>
            </w:pPr>
          </w:p>
        </w:tc>
        <w:tc>
          <w:tcPr>
            <w:tcW w:w="217" w:type="dxa"/>
          </w:tcPr>
          <w:p w14:paraId="42D32A51" w14:textId="77777777" w:rsidR="002C0FD9" w:rsidRPr="00CA25CF" w:rsidRDefault="002C0FD9" w:rsidP="00CA25CF">
            <w:pPr>
              <w:rPr>
                <w:rFonts w:cs="Arial"/>
                <w:color w:val="FF0000"/>
                <w:sz w:val="21"/>
                <w:szCs w:val="21"/>
              </w:rPr>
            </w:pPr>
          </w:p>
        </w:tc>
        <w:tc>
          <w:tcPr>
            <w:tcW w:w="217" w:type="dxa"/>
          </w:tcPr>
          <w:p w14:paraId="19D73A4A" w14:textId="77777777" w:rsidR="002C0FD9" w:rsidRPr="00CA25CF" w:rsidRDefault="002C0FD9" w:rsidP="00CA25CF">
            <w:pPr>
              <w:rPr>
                <w:rFonts w:cs="Arial"/>
                <w:color w:val="FF0000"/>
                <w:sz w:val="21"/>
                <w:szCs w:val="21"/>
              </w:rPr>
            </w:pPr>
          </w:p>
        </w:tc>
        <w:tc>
          <w:tcPr>
            <w:tcW w:w="217" w:type="dxa"/>
          </w:tcPr>
          <w:p w14:paraId="70E3DB9B" w14:textId="77777777" w:rsidR="002C0FD9" w:rsidRPr="00CA25CF" w:rsidRDefault="002C0FD9" w:rsidP="00CA25CF">
            <w:pPr>
              <w:rPr>
                <w:rFonts w:cs="Arial"/>
                <w:color w:val="FF0000"/>
                <w:sz w:val="21"/>
                <w:szCs w:val="21"/>
              </w:rPr>
            </w:pPr>
          </w:p>
        </w:tc>
        <w:tc>
          <w:tcPr>
            <w:tcW w:w="217" w:type="dxa"/>
          </w:tcPr>
          <w:p w14:paraId="706CC862" w14:textId="77777777" w:rsidR="002C0FD9" w:rsidRPr="00CA25CF" w:rsidRDefault="002C0FD9" w:rsidP="00CA25CF">
            <w:pPr>
              <w:rPr>
                <w:rFonts w:cs="Arial"/>
                <w:color w:val="FF0000"/>
                <w:sz w:val="21"/>
                <w:szCs w:val="21"/>
              </w:rPr>
            </w:pPr>
          </w:p>
        </w:tc>
        <w:tc>
          <w:tcPr>
            <w:tcW w:w="217" w:type="dxa"/>
          </w:tcPr>
          <w:p w14:paraId="18505A34" w14:textId="77777777" w:rsidR="002C0FD9" w:rsidRPr="00CA25CF" w:rsidRDefault="002C0FD9" w:rsidP="00CA25CF">
            <w:pPr>
              <w:rPr>
                <w:rFonts w:cs="Arial"/>
                <w:color w:val="FF0000"/>
                <w:sz w:val="21"/>
                <w:szCs w:val="21"/>
              </w:rPr>
            </w:pPr>
          </w:p>
        </w:tc>
        <w:tc>
          <w:tcPr>
            <w:tcW w:w="217" w:type="dxa"/>
          </w:tcPr>
          <w:p w14:paraId="5DA14771" w14:textId="77777777" w:rsidR="002C0FD9" w:rsidRPr="00CA25CF" w:rsidRDefault="002C0FD9" w:rsidP="00CA25CF">
            <w:pPr>
              <w:rPr>
                <w:rFonts w:cs="Arial"/>
                <w:color w:val="FF0000"/>
                <w:sz w:val="21"/>
                <w:szCs w:val="21"/>
              </w:rPr>
            </w:pPr>
          </w:p>
        </w:tc>
        <w:tc>
          <w:tcPr>
            <w:tcW w:w="217" w:type="dxa"/>
          </w:tcPr>
          <w:p w14:paraId="0F3EAFFE" w14:textId="77777777" w:rsidR="002C0FD9" w:rsidRPr="00CA25CF" w:rsidRDefault="002C0FD9" w:rsidP="00CA25CF">
            <w:pPr>
              <w:rPr>
                <w:rFonts w:cs="Arial"/>
                <w:color w:val="FF0000"/>
                <w:sz w:val="21"/>
                <w:szCs w:val="21"/>
              </w:rPr>
            </w:pPr>
          </w:p>
        </w:tc>
        <w:tc>
          <w:tcPr>
            <w:tcW w:w="217" w:type="dxa"/>
          </w:tcPr>
          <w:p w14:paraId="72F25300" w14:textId="77777777" w:rsidR="002C0FD9" w:rsidRPr="00CA25CF" w:rsidRDefault="002C0FD9" w:rsidP="00CA25CF">
            <w:pPr>
              <w:rPr>
                <w:rFonts w:cs="Arial"/>
                <w:color w:val="FF0000"/>
                <w:sz w:val="21"/>
                <w:szCs w:val="21"/>
              </w:rPr>
            </w:pPr>
          </w:p>
        </w:tc>
        <w:tc>
          <w:tcPr>
            <w:tcW w:w="217" w:type="dxa"/>
          </w:tcPr>
          <w:p w14:paraId="55671BE3" w14:textId="77777777" w:rsidR="002C0FD9" w:rsidRPr="00CA25CF" w:rsidRDefault="002C0FD9" w:rsidP="00CA25CF">
            <w:pPr>
              <w:rPr>
                <w:rFonts w:cs="Arial"/>
                <w:color w:val="FF0000"/>
                <w:sz w:val="21"/>
                <w:szCs w:val="21"/>
              </w:rPr>
            </w:pPr>
          </w:p>
        </w:tc>
        <w:tc>
          <w:tcPr>
            <w:tcW w:w="217" w:type="dxa"/>
          </w:tcPr>
          <w:p w14:paraId="6FA5BB17" w14:textId="77777777" w:rsidR="002C0FD9" w:rsidRPr="00CA25CF" w:rsidRDefault="002C0FD9" w:rsidP="00CA25CF">
            <w:pPr>
              <w:rPr>
                <w:rFonts w:cs="Arial"/>
                <w:color w:val="FF0000"/>
                <w:sz w:val="21"/>
                <w:szCs w:val="21"/>
              </w:rPr>
            </w:pPr>
          </w:p>
        </w:tc>
        <w:tc>
          <w:tcPr>
            <w:tcW w:w="217" w:type="dxa"/>
          </w:tcPr>
          <w:p w14:paraId="44074336" w14:textId="77777777" w:rsidR="002C0FD9" w:rsidRPr="00CA25CF" w:rsidRDefault="002C0FD9" w:rsidP="00CA25CF">
            <w:pPr>
              <w:rPr>
                <w:rFonts w:cs="Arial"/>
                <w:color w:val="FF0000"/>
                <w:sz w:val="21"/>
                <w:szCs w:val="21"/>
              </w:rPr>
            </w:pPr>
          </w:p>
        </w:tc>
        <w:tc>
          <w:tcPr>
            <w:tcW w:w="217" w:type="dxa"/>
          </w:tcPr>
          <w:p w14:paraId="65AA50FF" w14:textId="77777777" w:rsidR="002C0FD9" w:rsidRPr="00CA25CF" w:rsidRDefault="002C0FD9" w:rsidP="00CA25CF">
            <w:pPr>
              <w:rPr>
                <w:rFonts w:cs="Arial"/>
                <w:color w:val="FF0000"/>
                <w:sz w:val="21"/>
                <w:szCs w:val="21"/>
              </w:rPr>
            </w:pPr>
          </w:p>
        </w:tc>
        <w:tc>
          <w:tcPr>
            <w:tcW w:w="217" w:type="dxa"/>
          </w:tcPr>
          <w:p w14:paraId="51F2336F" w14:textId="77777777" w:rsidR="002C0FD9" w:rsidRPr="00CA25CF" w:rsidRDefault="002C0FD9" w:rsidP="00CA25CF">
            <w:pPr>
              <w:rPr>
                <w:rFonts w:cs="Arial"/>
                <w:color w:val="FF0000"/>
                <w:sz w:val="21"/>
                <w:szCs w:val="21"/>
              </w:rPr>
            </w:pPr>
          </w:p>
        </w:tc>
        <w:tc>
          <w:tcPr>
            <w:tcW w:w="217" w:type="dxa"/>
          </w:tcPr>
          <w:p w14:paraId="53ABF946" w14:textId="77777777" w:rsidR="002C0FD9" w:rsidRPr="00CA25CF" w:rsidRDefault="002C0FD9" w:rsidP="00CA25CF">
            <w:pPr>
              <w:rPr>
                <w:rFonts w:cs="Arial"/>
                <w:color w:val="FF0000"/>
                <w:sz w:val="21"/>
                <w:szCs w:val="21"/>
              </w:rPr>
            </w:pPr>
          </w:p>
        </w:tc>
        <w:tc>
          <w:tcPr>
            <w:tcW w:w="217" w:type="dxa"/>
          </w:tcPr>
          <w:p w14:paraId="0786C501" w14:textId="77777777" w:rsidR="002C0FD9" w:rsidRPr="00CA25CF" w:rsidRDefault="002C0FD9" w:rsidP="00CA25CF">
            <w:pPr>
              <w:rPr>
                <w:rFonts w:cs="Arial"/>
                <w:color w:val="FF0000"/>
                <w:sz w:val="21"/>
                <w:szCs w:val="21"/>
              </w:rPr>
            </w:pPr>
          </w:p>
        </w:tc>
        <w:tc>
          <w:tcPr>
            <w:tcW w:w="217" w:type="dxa"/>
          </w:tcPr>
          <w:p w14:paraId="58407148" w14:textId="77777777" w:rsidR="002C0FD9" w:rsidRPr="00CA25CF" w:rsidRDefault="002C0FD9" w:rsidP="00CA25CF">
            <w:pPr>
              <w:rPr>
                <w:rFonts w:cs="Arial"/>
                <w:color w:val="FF0000"/>
                <w:sz w:val="21"/>
                <w:szCs w:val="21"/>
              </w:rPr>
            </w:pPr>
          </w:p>
        </w:tc>
        <w:tc>
          <w:tcPr>
            <w:tcW w:w="217" w:type="dxa"/>
          </w:tcPr>
          <w:p w14:paraId="3B46C0A8" w14:textId="77777777" w:rsidR="002C0FD9" w:rsidRPr="00CA25CF" w:rsidRDefault="002C0FD9" w:rsidP="00CA25CF">
            <w:pPr>
              <w:rPr>
                <w:rFonts w:cs="Arial"/>
                <w:color w:val="FF0000"/>
                <w:sz w:val="21"/>
                <w:szCs w:val="21"/>
              </w:rPr>
            </w:pPr>
          </w:p>
        </w:tc>
        <w:tc>
          <w:tcPr>
            <w:tcW w:w="217" w:type="dxa"/>
          </w:tcPr>
          <w:p w14:paraId="2459BD48" w14:textId="77777777" w:rsidR="002C0FD9" w:rsidRPr="00CA25CF" w:rsidRDefault="002C0FD9" w:rsidP="00CA25CF">
            <w:pPr>
              <w:rPr>
                <w:rFonts w:cs="Arial"/>
                <w:color w:val="FF0000"/>
                <w:sz w:val="21"/>
                <w:szCs w:val="21"/>
              </w:rPr>
            </w:pPr>
          </w:p>
        </w:tc>
        <w:tc>
          <w:tcPr>
            <w:tcW w:w="217" w:type="dxa"/>
          </w:tcPr>
          <w:p w14:paraId="21BF3B3D" w14:textId="77777777" w:rsidR="002C0FD9" w:rsidRPr="00CA25CF" w:rsidRDefault="002C0FD9" w:rsidP="00CA25CF">
            <w:pPr>
              <w:rPr>
                <w:rFonts w:cs="Arial"/>
                <w:color w:val="FF0000"/>
                <w:sz w:val="21"/>
                <w:szCs w:val="21"/>
              </w:rPr>
            </w:pPr>
          </w:p>
        </w:tc>
        <w:tc>
          <w:tcPr>
            <w:tcW w:w="217" w:type="dxa"/>
          </w:tcPr>
          <w:p w14:paraId="405062F6" w14:textId="77777777" w:rsidR="002C0FD9" w:rsidRPr="00CA25CF" w:rsidRDefault="002C0FD9" w:rsidP="00CA25CF">
            <w:pPr>
              <w:rPr>
                <w:rFonts w:cs="Arial"/>
                <w:color w:val="FF0000"/>
                <w:sz w:val="21"/>
                <w:szCs w:val="21"/>
              </w:rPr>
            </w:pPr>
          </w:p>
        </w:tc>
        <w:tc>
          <w:tcPr>
            <w:tcW w:w="217" w:type="dxa"/>
          </w:tcPr>
          <w:p w14:paraId="66F13C00" w14:textId="77777777" w:rsidR="002C0FD9" w:rsidRPr="00CA25CF" w:rsidRDefault="002C0FD9" w:rsidP="00CA25CF">
            <w:pPr>
              <w:rPr>
                <w:rFonts w:cs="Arial"/>
                <w:color w:val="FF0000"/>
                <w:sz w:val="21"/>
                <w:szCs w:val="21"/>
              </w:rPr>
            </w:pPr>
          </w:p>
        </w:tc>
        <w:tc>
          <w:tcPr>
            <w:tcW w:w="217" w:type="dxa"/>
          </w:tcPr>
          <w:p w14:paraId="4F97B486" w14:textId="77777777" w:rsidR="002C0FD9" w:rsidRPr="00CA25CF" w:rsidRDefault="002C0FD9" w:rsidP="00CA25CF">
            <w:pPr>
              <w:rPr>
                <w:rFonts w:cs="Arial"/>
                <w:color w:val="FF0000"/>
                <w:sz w:val="21"/>
                <w:szCs w:val="21"/>
              </w:rPr>
            </w:pPr>
          </w:p>
        </w:tc>
      </w:tr>
      <w:tr w:rsidR="002C0FD9" w:rsidRPr="00A16219" w14:paraId="57901C68" w14:textId="2855D88B" w:rsidTr="002C0FD9">
        <w:trPr>
          <w:trHeight w:val="635"/>
        </w:trPr>
        <w:tc>
          <w:tcPr>
            <w:tcW w:w="515" w:type="dxa"/>
          </w:tcPr>
          <w:p w14:paraId="5D10DF2A" w14:textId="77777777" w:rsidR="002C0FD9" w:rsidRPr="00CA25CF" w:rsidRDefault="002C0FD9" w:rsidP="00CA25CF">
            <w:pPr>
              <w:rPr>
                <w:rFonts w:cs="Arial"/>
                <w:color w:val="FF0000"/>
                <w:sz w:val="21"/>
                <w:szCs w:val="21"/>
              </w:rPr>
            </w:pPr>
          </w:p>
        </w:tc>
        <w:tc>
          <w:tcPr>
            <w:tcW w:w="217" w:type="dxa"/>
          </w:tcPr>
          <w:p w14:paraId="4990BF50" w14:textId="77777777" w:rsidR="002C0FD9" w:rsidRPr="00CA25CF" w:rsidRDefault="002C0FD9" w:rsidP="00CA25CF">
            <w:pPr>
              <w:rPr>
                <w:rFonts w:cs="Arial"/>
                <w:color w:val="FF0000"/>
                <w:sz w:val="21"/>
                <w:szCs w:val="21"/>
              </w:rPr>
            </w:pPr>
          </w:p>
        </w:tc>
        <w:tc>
          <w:tcPr>
            <w:tcW w:w="217" w:type="dxa"/>
          </w:tcPr>
          <w:p w14:paraId="6B4E4804" w14:textId="470FF0AC" w:rsidR="002C0FD9" w:rsidRPr="00CA25CF" w:rsidRDefault="002C0FD9" w:rsidP="00CA25CF">
            <w:pPr>
              <w:rPr>
                <w:rFonts w:cs="Arial"/>
                <w:color w:val="FF0000"/>
                <w:sz w:val="21"/>
                <w:szCs w:val="21"/>
              </w:rPr>
            </w:pPr>
          </w:p>
        </w:tc>
        <w:tc>
          <w:tcPr>
            <w:tcW w:w="217" w:type="dxa"/>
          </w:tcPr>
          <w:p w14:paraId="352DA1A9" w14:textId="77777777" w:rsidR="002C0FD9" w:rsidRPr="00CA25CF" w:rsidRDefault="002C0FD9" w:rsidP="00CA25CF">
            <w:pPr>
              <w:rPr>
                <w:rFonts w:cs="Arial"/>
                <w:color w:val="FF0000"/>
                <w:sz w:val="21"/>
                <w:szCs w:val="21"/>
              </w:rPr>
            </w:pPr>
          </w:p>
        </w:tc>
        <w:tc>
          <w:tcPr>
            <w:tcW w:w="217" w:type="dxa"/>
          </w:tcPr>
          <w:p w14:paraId="329FB2ED" w14:textId="77777777" w:rsidR="002C0FD9" w:rsidRPr="00CA25CF" w:rsidRDefault="002C0FD9" w:rsidP="00CA25CF">
            <w:pPr>
              <w:rPr>
                <w:rFonts w:cs="Arial"/>
                <w:color w:val="FF0000"/>
                <w:sz w:val="21"/>
                <w:szCs w:val="21"/>
              </w:rPr>
            </w:pPr>
          </w:p>
        </w:tc>
        <w:tc>
          <w:tcPr>
            <w:tcW w:w="217" w:type="dxa"/>
          </w:tcPr>
          <w:p w14:paraId="33A00278" w14:textId="77777777" w:rsidR="002C0FD9" w:rsidRPr="00CA25CF" w:rsidRDefault="002C0FD9" w:rsidP="00CA25CF">
            <w:pPr>
              <w:rPr>
                <w:rFonts w:cs="Arial"/>
                <w:color w:val="FF0000"/>
                <w:sz w:val="21"/>
                <w:szCs w:val="21"/>
              </w:rPr>
            </w:pPr>
          </w:p>
        </w:tc>
        <w:tc>
          <w:tcPr>
            <w:tcW w:w="217" w:type="dxa"/>
          </w:tcPr>
          <w:p w14:paraId="1C8B7D4D" w14:textId="77777777" w:rsidR="002C0FD9" w:rsidRPr="00CA25CF" w:rsidRDefault="002C0FD9" w:rsidP="00CA25CF">
            <w:pPr>
              <w:rPr>
                <w:rFonts w:cs="Arial"/>
                <w:color w:val="FF0000"/>
                <w:sz w:val="21"/>
                <w:szCs w:val="21"/>
              </w:rPr>
            </w:pPr>
          </w:p>
        </w:tc>
        <w:tc>
          <w:tcPr>
            <w:tcW w:w="217" w:type="dxa"/>
          </w:tcPr>
          <w:p w14:paraId="2E52C64B" w14:textId="77777777" w:rsidR="002C0FD9" w:rsidRPr="00CA25CF" w:rsidRDefault="002C0FD9" w:rsidP="00CA25CF">
            <w:pPr>
              <w:rPr>
                <w:rFonts w:cs="Arial"/>
                <w:color w:val="FF0000"/>
                <w:sz w:val="21"/>
                <w:szCs w:val="21"/>
              </w:rPr>
            </w:pPr>
          </w:p>
        </w:tc>
        <w:tc>
          <w:tcPr>
            <w:tcW w:w="217" w:type="dxa"/>
          </w:tcPr>
          <w:p w14:paraId="388E047D" w14:textId="77777777" w:rsidR="002C0FD9" w:rsidRPr="00CA25CF" w:rsidRDefault="002C0FD9" w:rsidP="00CA25CF">
            <w:pPr>
              <w:rPr>
                <w:rFonts w:cs="Arial"/>
                <w:color w:val="FF0000"/>
                <w:sz w:val="21"/>
                <w:szCs w:val="21"/>
              </w:rPr>
            </w:pPr>
          </w:p>
        </w:tc>
        <w:tc>
          <w:tcPr>
            <w:tcW w:w="217" w:type="dxa"/>
          </w:tcPr>
          <w:p w14:paraId="3B4EEFB3" w14:textId="77777777" w:rsidR="002C0FD9" w:rsidRPr="00CA25CF" w:rsidRDefault="002C0FD9" w:rsidP="00CA25CF">
            <w:pPr>
              <w:rPr>
                <w:rFonts w:cs="Arial"/>
                <w:color w:val="FF0000"/>
                <w:sz w:val="21"/>
                <w:szCs w:val="21"/>
              </w:rPr>
            </w:pPr>
          </w:p>
        </w:tc>
        <w:tc>
          <w:tcPr>
            <w:tcW w:w="217" w:type="dxa"/>
          </w:tcPr>
          <w:p w14:paraId="5E4E7A05" w14:textId="77777777" w:rsidR="002C0FD9" w:rsidRPr="00CA25CF" w:rsidRDefault="002C0FD9" w:rsidP="00CA25CF">
            <w:pPr>
              <w:rPr>
                <w:rFonts w:cs="Arial"/>
                <w:color w:val="FF0000"/>
                <w:sz w:val="21"/>
                <w:szCs w:val="21"/>
              </w:rPr>
            </w:pPr>
          </w:p>
        </w:tc>
        <w:tc>
          <w:tcPr>
            <w:tcW w:w="217" w:type="dxa"/>
          </w:tcPr>
          <w:p w14:paraId="03AC0369" w14:textId="77777777" w:rsidR="002C0FD9" w:rsidRPr="00CA25CF" w:rsidRDefault="002C0FD9" w:rsidP="00CA25CF">
            <w:pPr>
              <w:rPr>
                <w:rFonts w:cs="Arial"/>
                <w:color w:val="FF0000"/>
                <w:sz w:val="21"/>
                <w:szCs w:val="21"/>
              </w:rPr>
            </w:pPr>
          </w:p>
        </w:tc>
        <w:tc>
          <w:tcPr>
            <w:tcW w:w="217" w:type="dxa"/>
          </w:tcPr>
          <w:p w14:paraId="790B94B4" w14:textId="77777777" w:rsidR="002C0FD9" w:rsidRPr="00CA25CF" w:rsidRDefault="002C0FD9" w:rsidP="00CA25CF">
            <w:pPr>
              <w:rPr>
                <w:rFonts w:cs="Arial"/>
                <w:color w:val="FF0000"/>
                <w:sz w:val="21"/>
                <w:szCs w:val="21"/>
              </w:rPr>
            </w:pPr>
          </w:p>
        </w:tc>
        <w:tc>
          <w:tcPr>
            <w:tcW w:w="217" w:type="dxa"/>
          </w:tcPr>
          <w:p w14:paraId="4C54BB1F" w14:textId="77777777" w:rsidR="002C0FD9" w:rsidRPr="00CA25CF" w:rsidRDefault="002C0FD9" w:rsidP="00CA25CF">
            <w:pPr>
              <w:rPr>
                <w:rFonts w:cs="Arial"/>
                <w:color w:val="FF0000"/>
                <w:sz w:val="21"/>
                <w:szCs w:val="21"/>
              </w:rPr>
            </w:pPr>
          </w:p>
        </w:tc>
        <w:tc>
          <w:tcPr>
            <w:tcW w:w="217" w:type="dxa"/>
          </w:tcPr>
          <w:p w14:paraId="699B6628" w14:textId="77777777" w:rsidR="002C0FD9" w:rsidRPr="00CA25CF" w:rsidRDefault="002C0FD9" w:rsidP="00CA25CF">
            <w:pPr>
              <w:rPr>
                <w:rFonts w:cs="Arial"/>
                <w:color w:val="FF0000"/>
                <w:sz w:val="21"/>
                <w:szCs w:val="21"/>
              </w:rPr>
            </w:pPr>
          </w:p>
        </w:tc>
        <w:tc>
          <w:tcPr>
            <w:tcW w:w="217" w:type="dxa"/>
          </w:tcPr>
          <w:p w14:paraId="09AAFAD4" w14:textId="77777777" w:rsidR="002C0FD9" w:rsidRPr="00CA25CF" w:rsidRDefault="002C0FD9" w:rsidP="00CA25CF">
            <w:pPr>
              <w:rPr>
                <w:rFonts w:cs="Arial"/>
                <w:color w:val="FF0000"/>
                <w:sz w:val="21"/>
                <w:szCs w:val="21"/>
              </w:rPr>
            </w:pPr>
          </w:p>
        </w:tc>
        <w:tc>
          <w:tcPr>
            <w:tcW w:w="217" w:type="dxa"/>
          </w:tcPr>
          <w:p w14:paraId="7F6558E0" w14:textId="77777777" w:rsidR="002C0FD9" w:rsidRPr="00CA25CF" w:rsidRDefault="002C0FD9" w:rsidP="00CA25CF">
            <w:pPr>
              <w:rPr>
                <w:rFonts w:cs="Arial"/>
                <w:color w:val="FF0000"/>
                <w:sz w:val="21"/>
                <w:szCs w:val="21"/>
              </w:rPr>
            </w:pPr>
          </w:p>
        </w:tc>
        <w:tc>
          <w:tcPr>
            <w:tcW w:w="217" w:type="dxa"/>
          </w:tcPr>
          <w:p w14:paraId="6E0F7C9D" w14:textId="77777777" w:rsidR="002C0FD9" w:rsidRPr="00CA25CF" w:rsidRDefault="002C0FD9" w:rsidP="00CA25CF">
            <w:pPr>
              <w:rPr>
                <w:rFonts w:cs="Arial"/>
                <w:color w:val="FF0000"/>
                <w:sz w:val="21"/>
                <w:szCs w:val="21"/>
              </w:rPr>
            </w:pPr>
          </w:p>
        </w:tc>
        <w:tc>
          <w:tcPr>
            <w:tcW w:w="217" w:type="dxa"/>
          </w:tcPr>
          <w:p w14:paraId="632C7ACF" w14:textId="77777777" w:rsidR="002C0FD9" w:rsidRPr="00CA25CF" w:rsidRDefault="002C0FD9" w:rsidP="00CA25CF">
            <w:pPr>
              <w:rPr>
                <w:rFonts w:cs="Arial"/>
                <w:color w:val="FF0000"/>
                <w:sz w:val="21"/>
                <w:szCs w:val="21"/>
              </w:rPr>
            </w:pPr>
          </w:p>
        </w:tc>
        <w:tc>
          <w:tcPr>
            <w:tcW w:w="217" w:type="dxa"/>
          </w:tcPr>
          <w:p w14:paraId="3C704711" w14:textId="77777777" w:rsidR="002C0FD9" w:rsidRPr="00CA25CF" w:rsidRDefault="002C0FD9" w:rsidP="00CA25CF">
            <w:pPr>
              <w:rPr>
                <w:rFonts w:cs="Arial"/>
                <w:color w:val="FF0000"/>
                <w:sz w:val="21"/>
                <w:szCs w:val="21"/>
              </w:rPr>
            </w:pPr>
          </w:p>
        </w:tc>
        <w:tc>
          <w:tcPr>
            <w:tcW w:w="217" w:type="dxa"/>
          </w:tcPr>
          <w:p w14:paraId="3A633849" w14:textId="77777777" w:rsidR="002C0FD9" w:rsidRPr="00CA25CF" w:rsidRDefault="002C0FD9" w:rsidP="00CA25CF">
            <w:pPr>
              <w:rPr>
                <w:rFonts w:cs="Arial"/>
                <w:color w:val="FF0000"/>
                <w:sz w:val="21"/>
                <w:szCs w:val="21"/>
              </w:rPr>
            </w:pPr>
          </w:p>
        </w:tc>
        <w:tc>
          <w:tcPr>
            <w:tcW w:w="217" w:type="dxa"/>
          </w:tcPr>
          <w:p w14:paraId="0B730B95" w14:textId="77777777" w:rsidR="002C0FD9" w:rsidRPr="00CA25CF" w:rsidRDefault="002C0FD9" w:rsidP="00CA25CF">
            <w:pPr>
              <w:rPr>
                <w:rFonts w:cs="Arial"/>
                <w:color w:val="FF0000"/>
                <w:sz w:val="21"/>
                <w:szCs w:val="21"/>
              </w:rPr>
            </w:pPr>
          </w:p>
        </w:tc>
        <w:tc>
          <w:tcPr>
            <w:tcW w:w="217" w:type="dxa"/>
          </w:tcPr>
          <w:p w14:paraId="0061188D" w14:textId="77777777" w:rsidR="002C0FD9" w:rsidRPr="00CA25CF" w:rsidRDefault="002C0FD9" w:rsidP="00CA25CF">
            <w:pPr>
              <w:rPr>
                <w:rFonts w:cs="Arial"/>
                <w:color w:val="FF0000"/>
                <w:sz w:val="21"/>
                <w:szCs w:val="21"/>
              </w:rPr>
            </w:pPr>
          </w:p>
        </w:tc>
        <w:tc>
          <w:tcPr>
            <w:tcW w:w="217" w:type="dxa"/>
          </w:tcPr>
          <w:p w14:paraId="27F79AB6" w14:textId="77777777" w:rsidR="002C0FD9" w:rsidRPr="00CA25CF" w:rsidRDefault="002C0FD9" w:rsidP="00CA25CF">
            <w:pPr>
              <w:rPr>
                <w:rFonts w:cs="Arial"/>
                <w:color w:val="FF0000"/>
                <w:sz w:val="21"/>
                <w:szCs w:val="21"/>
              </w:rPr>
            </w:pPr>
          </w:p>
        </w:tc>
        <w:tc>
          <w:tcPr>
            <w:tcW w:w="217" w:type="dxa"/>
          </w:tcPr>
          <w:p w14:paraId="60F70884" w14:textId="77777777" w:rsidR="002C0FD9" w:rsidRPr="00CA25CF" w:rsidRDefault="002C0FD9" w:rsidP="00CA25CF">
            <w:pPr>
              <w:rPr>
                <w:rFonts w:cs="Arial"/>
                <w:color w:val="FF0000"/>
                <w:sz w:val="21"/>
                <w:szCs w:val="21"/>
              </w:rPr>
            </w:pPr>
          </w:p>
        </w:tc>
        <w:tc>
          <w:tcPr>
            <w:tcW w:w="217" w:type="dxa"/>
          </w:tcPr>
          <w:p w14:paraId="000E945C" w14:textId="77777777" w:rsidR="002C0FD9" w:rsidRPr="00CA25CF" w:rsidRDefault="002C0FD9" w:rsidP="00CA25CF">
            <w:pPr>
              <w:rPr>
                <w:rFonts w:cs="Arial"/>
                <w:color w:val="FF0000"/>
                <w:sz w:val="21"/>
                <w:szCs w:val="21"/>
              </w:rPr>
            </w:pPr>
          </w:p>
        </w:tc>
        <w:tc>
          <w:tcPr>
            <w:tcW w:w="217" w:type="dxa"/>
          </w:tcPr>
          <w:p w14:paraId="4A5E502F" w14:textId="77777777" w:rsidR="002C0FD9" w:rsidRPr="00CA25CF" w:rsidRDefault="002C0FD9" w:rsidP="00CA25CF">
            <w:pPr>
              <w:rPr>
                <w:rFonts w:cs="Arial"/>
                <w:color w:val="FF0000"/>
                <w:sz w:val="21"/>
                <w:szCs w:val="21"/>
              </w:rPr>
            </w:pPr>
          </w:p>
        </w:tc>
        <w:tc>
          <w:tcPr>
            <w:tcW w:w="217" w:type="dxa"/>
          </w:tcPr>
          <w:p w14:paraId="1F36EED9" w14:textId="77777777" w:rsidR="002C0FD9" w:rsidRPr="00CA25CF" w:rsidRDefault="002C0FD9" w:rsidP="00CA25CF">
            <w:pPr>
              <w:rPr>
                <w:rFonts w:cs="Arial"/>
                <w:color w:val="FF0000"/>
                <w:sz w:val="21"/>
                <w:szCs w:val="21"/>
              </w:rPr>
            </w:pPr>
          </w:p>
        </w:tc>
        <w:tc>
          <w:tcPr>
            <w:tcW w:w="217" w:type="dxa"/>
          </w:tcPr>
          <w:p w14:paraId="1975BECB" w14:textId="77777777" w:rsidR="002C0FD9" w:rsidRPr="00CA25CF" w:rsidRDefault="002C0FD9" w:rsidP="00CA25CF">
            <w:pPr>
              <w:rPr>
                <w:rFonts w:cs="Arial"/>
                <w:color w:val="FF0000"/>
                <w:sz w:val="21"/>
                <w:szCs w:val="21"/>
              </w:rPr>
            </w:pPr>
          </w:p>
        </w:tc>
        <w:tc>
          <w:tcPr>
            <w:tcW w:w="217" w:type="dxa"/>
          </w:tcPr>
          <w:p w14:paraId="552541EB" w14:textId="77777777" w:rsidR="002C0FD9" w:rsidRPr="00CA25CF" w:rsidRDefault="002C0FD9" w:rsidP="00CA25CF">
            <w:pPr>
              <w:rPr>
                <w:rFonts w:cs="Arial"/>
                <w:color w:val="FF0000"/>
                <w:sz w:val="21"/>
                <w:szCs w:val="21"/>
              </w:rPr>
            </w:pPr>
          </w:p>
        </w:tc>
        <w:tc>
          <w:tcPr>
            <w:tcW w:w="217" w:type="dxa"/>
          </w:tcPr>
          <w:p w14:paraId="115EBBDA" w14:textId="77777777" w:rsidR="002C0FD9" w:rsidRPr="00CA25CF" w:rsidRDefault="002C0FD9" w:rsidP="00CA25CF">
            <w:pPr>
              <w:rPr>
                <w:rFonts w:cs="Arial"/>
                <w:color w:val="FF0000"/>
                <w:sz w:val="21"/>
                <w:szCs w:val="21"/>
              </w:rPr>
            </w:pPr>
          </w:p>
        </w:tc>
        <w:tc>
          <w:tcPr>
            <w:tcW w:w="217" w:type="dxa"/>
          </w:tcPr>
          <w:p w14:paraId="7A5947C0" w14:textId="77777777" w:rsidR="002C0FD9" w:rsidRPr="00CA25CF" w:rsidRDefault="002C0FD9" w:rsidP="00CA25CF">
            <w:pPr>
              <w:rPr>
                <w:rFonts w:cs="Arial"/>
                <w:color w:val="FF0000"/>
                <w:sz w:val="21"/>
                <w:szCs w:val="21"/>
              </w:rPr>
            </w:pPr>
          </w:p>
        </w:tc>
        <w:tc>
          <w:tcPr>
            <w:tcW w:w="217" w:type="dxa"/>
          </w:tcPr>
          <w:p w14:paraId="4E227B5F" w14:textId="77777777" w:rsidR="002C0FD9" w:rsidRPr="00CA25CF" w:rsidRDefault="002C0FD9" w:rsidP="00CA25CF">
            <w:pPr>
              <w:rPr>
                <w:rFonts w:cs="Arial"/>
                <w:color w:val="FF0000"/>
                <w:sz w:val="21"/>
                <w:szCs w:val="21"/>
              </w:rPr>
            </w:pPr>
          </w:p>
        </w:tc>
        <w:tc>
          <w:tcPr>
            <w:tcW w:w="217" w:type="dxa"/>
          </w:tcPr>
          <w:p w14:paraId="1BE3D7A3" w14:textId="77777777" w:rsidR="002C0FD9" w:rsidRPr="00CA25CF" w:rsidRDefault="002C0FD9" w:rsidP="00CA25CF">
            <w:pPr>
              <w:rPr>
                <w:rFonts w:cs="Arial"/>
                <w:color w:val="FF0000"/>
                <w:sz w:val="21"/>
                <w:szCs w:val="21"/>
              </w:rPr>
            </w:pPr>
          </w:p>
        </w:tc>
        <w:tc>
          <w:tcPr>
            <w:tcW w:w="217" w:type="dxa"/>
          </w:tcPr>
          <w:p w14:paraId="0ED43FD1" w14:textId="77777777" w:rsidR="002C0FD9" w:rsidRPr="00CA25CF" w:rsidRDefault="002C0FD9" w:rsidP="00CA25CF">
            <w:pPr>
              <w:rPr>
                <w:rFonts w:cs="Arial"/>
                <w:color w:val="FF0000"/>
                <w:sz w:val="21"/>
                <w:szCs w:val="21"/>
              </w:rPr>
            </w:pPr>
          </w:p>
        </w:tc>
        <w:tc>
          <w:tcPr>
            <w:tcW w:w="217" w:type="dxa"/>
          </w:tcPr>
          <w:p w14:paraId="7FA0DFDB" w14:textId="77777777" w:rsidR="002C0FD9" w:rsidRPr="00CA25CF" w:rsidRDefault="002C0FD9" w:rsidP="00CA25CF">
            <w:pPr>
              <w:rPr>
                <w:rFonts w:cs="Arial"/>
                <w:color w:val="FF0000"/>
                <w:sz w:val="21"/>
                <w:szCs w:val="21"/>
              </w:rPr>
            </w:pPr>
          </w:p>
        </w:tc>
        <w:tc>
          <w:tcPr>
            <w:tcW w:w="217" w:type="dxa"/>
          </w:tcPr>
          <w:p w14:paraId="59B8D7D5" w14:textId="77777777" w:rsidR="002C0FD9" w:rsidRPr="00CA25CF" w:rsidRDefault="002C0FD9" w:rsidP="00CA25CF">
            <w:pPr>
              <w:rPr>
                <w:rFonts w:cs="Arial"/>
                <w:color w:val="FF0000"/>
                <w:sz w:val="21"/>
                <w:szCs w:val="21"/>
              </w:rPr>
            </w:pPr>
          </w:p>
        </w:tc>
        <w:tc>
          <w:tcPr>
            <w:tcW w:w="217" w:type="dxa"/>
          </w:tcPr>
          <w:p w14:paraId="233CE936" w14:textId="77777777" w:rsidR="002C0FD9" w:rsidRPr="00CA25CF" w:rsidRDefault="002C0FD9" w:rsidP="00CA25CF">
            <w:pPr>
              <w:rPr>
                <w:rFonts w:cs="Arial"/>
                <w:color w:val="FF0000"/>
                <w:sz w:val="21"/>
                <w:szCs w:val="21"/>
              </w:rPr>
            </w:pPr>
          </w:p>
        </w:tc>
        <w:tc>
          <w:tcPr>
            <w:tcW w:w="217" w:type="dxa"/>
          </w:tcPr>
          <w:p w14:paraId="72CB867E" w14:textId="77777777" w:rsidR="002C0FD9" w:rsidRPr="00CA25CF" w:rsidRDefault="002C0FD9" w:rsidP="00CA25CF">
            <w:pPr>
              <w:rPr>
                <w:rFonts w:cs="Arial"/>
                <w:color w:val="FF0000"/>
                <w:sz w:val="21"/>
                <w:szCs w:val="21"/>
              </w:rPr>
            </w:pPr>
          </w:p>
        </w:tc>
        <w:tc>
          <w:tcPr>
            <w:tcW w:w="217" w:type="dxa"/>
          </w:tcPr>
          <w:p w14:paraId="04F393BA" w14:textId="77777777" w:rsidR="002C0FD9" w:rsidRPr="00CA25CF" w:rsidRDefault="002C0FD9" w:rsidP="00CA25CF">
            <w:pPr>
              <w:rPr>
                <w:rFonts w:cs="Arial"/>
                <w:color w:val="FF0000"/>
                <w:sz w:val="21"/>
                <w:szCs w:val="21"/>
              </w:rPr>
            </w:pPr>
          </w:p>
        </w:tc>
        <w:tc>
          <w:tcPr>
            <w:tcW w:w="217" w:type="dxa"/>
          </w:tcPr>
          <w:p w14:paraId="0F76F51B" w14:textId="77777777" w:rsidR="002C0FD9" w:rsidRPr="00CA25CF" w:rsidRDefault="002C0FD9" w:rsidP="00CA25CF">
            <w:pPr>
              <w:rPr>
                <w:rFonts w:cs="Arial"/>
                <w:color w:val="FF0000"/>
                <w:sz w:val="21"/>
                <w:szCs w:val="21"/>
              </w:rPr>
            </w:pPr>
          </w:p>
        </w:tc>
        <w:tc>
          <w:tcPr>
            <w:tcW w:w="217" w:type="dxa"/>
          </w:tcPr>
          <w:p w14:paraId="61A5B891" w14:textId="77777777" w:rsidR="002C0FD9" w:rsidRPr="00CA25CF" w:rsidRDefault="002C0FD9" w:rsidP="00CA25CF">
            <w:pPr>
              <w:rPr>
                <w:rFonts w:cs="Arial"/>
                <w:color w:val="FF0000"/>
                <w:sz w:val="21"/>
                <w:szCs w:val="21"/>
              </w:rPr>
            </w:pPr>
          </w:p>
        </w:tc>
        <w:tc>
          <w:tcPr>
            <w:tcW w:w="217" w:type="dxa"/>
          </w:tcPr>
          <w:p w14:paraId="2DA66F83" w14:textId="77777777" w:rsidR="002C0FD9" w:rsidRPr="00CA25CF" w:rsidRDefault="002C0FD9" w:rsidP="00CA25CF">
            <w:pPr>
              <w:rPr>
                <w:rFonts w:cs="Arial"/>
                <w:color w:val="FF0000"/>
                <w:sz w:val="21"/>
                <w:szCs w:val="21"/>
              </w:rPr>
            </w:pPr>
          </w:p>
        </w:tc>
      </w:tr>
      <w:tr w:rsidR="002C0FD9" w:rsidRPr="00A16219" w14:paraId="22036CB4" w14:textId="63ED0249" w:rsidTr="002C0FD9">
        <w:trPr>
          <w:trHeight w:val="635"/>
        </w:trPr>
        <w:tc>
          <w:tcPr>
            <w:tcW w:w="515" w:type="dxa"/>
          </w:tcPr>
          <w:p w14:paraId="4E9EB459" w14:textId="77777777" w:rsidR="002C0FD9" w:rsidRPr="00CA25CF" w:rsidRDefault="002C0FD9" w:rsidP="00CA25CF">
            <w:pPr>
              <w:rPr>
                <w:rFonts w:cs="Arial"/>
                <w:color w:val="FF0000"/>
                <w:sz w:val="21"/>
                <w:szCs w:val="21"/>
              </w:rPr>
            </w:pPr>
          </w:p>
        </w:tc>
        <w:tc>
          <w:tcPr>
            <w:tcW w:w="217" w:type="dxa"/>
          </w:tcPr>
          <w:p w14:paraId="0EA0CEB3" w14:textId="77777777" w:rsidR="002C0FD9" w:rsidRPr="00CA25CF" w:rsidRDefault="002C0FD9" w:rsidP="00CA25CF">
            <w:pPr>
              <w:rPr>
                <w:rFonts w:cs="Arial"/>
                <w:color w:val="FF0000"/>
                <w:sz w:val="21"/>
                <w:szCs w:val="21"/>
              </w:rPr>
            </w:pPr>
          </w:p>
        </w:tc>
        <w:tc>
          <w:tcPr>
            <w:tcW w:w="217" w:type="dxa"/>
          </w:tcPr>
          <w:p w14:paraId="397989C2" w14:textId="14800732" w:rsidR="002C0FD9" w:rsidRPr="00CA25CF" w:rsidRDefault="002C0FD9" w:rsidP="00CA25CF">
            <w:pPr>
              <w:rPr>
                <w:rFonts w:cs="Arial"/>
                <w:color w:val="FF0000"/>
                <w:sz w:val="21"/>
                <w:szCs w:val="21"/>
              </w:rPr>
            </w:pPr>
          </w:p>
        </w:tc>
        <w:tc>
          <w:tcPr>
            <w:tcW w:w="217" w:type="dxa"/>
          </w:tcPr>
          <w:p w14:paraId="06A69FA3" w14:textId="77777777" w:rsidR="002C0FD9" w:rsidRPr="00CA25CF" w:rsidRDefault="002C0FD9" w:rsidP="00CA25CF">
            <w:pPr>
              <w:rPr>
                <w:rFonts w:cs="Arial"/>
                <w:color w:val="FF0000"/>
                <w:sz w:val="21"/>
                <w:szCs w:val="21"/>
              </w:rPr>
            </w:pPr>
          </w:p>
        </w:tc>
        <w:tc>
          <w:tcPr>
            <w:tcW w:w="217" w:type="dxa"/>
          </w:tcPr>
          <w:p w14:paraId="4146E09E" w14:textId="77777777" w:rsidR="002C0FD9" w:rsidRPr="00CA25CF" w:rsidRDefault="002C0FD9" w:rsidP="00CA25CF">
            <w:pPr>
              <w:rPr>
                <w:rFonts w:cs="Arial"/>
                <w:color w:val="FF0000"/>
                <w:sz w:val="21"/>
                <w:szCs w:val="21"/>
              </w:rPr>
            </w:pPr>
          </w:p>
        </w:tc>
        <w:tc>
          <w:tcPr>
            <w:tcW w:w="217" w:type="dxa"/>
          </w:tcPr>
          <w:p w14:paraId="5723F446" w14:textId="77777777" w:rsidR="002C0FD9" w:rsidRPr="00CA25CF" w:rsidRDefault="002C0FD9" w:rsidP="00CA25CF">
            <w:pPr>
              <w:rPr>
                <w:rFonts w:cs="Arial"/>
                <w:color w:val="FF0000"/>
                <w:sz w:val="21"/>
                <w:szCs w:val="21"/>
              </w:rPr>
            </w:pPr>
          </w:p>
        </w:tc>
        <w:tc>
          <w:tcPr>
            <w:tcW w:w="217" w:type="dxa"/>
          </w:tcPr>
          <w:p w14:paraId="195F0A55" w14:textId="77777777" w:rsidR="002C0FD9" w:rsidRPr="00CA25CF" w:rsidRDefault="002C0FD9" w:rsidP="00CA25CF">
            <w:pPr>
              <w:rPr>
                <w:rFonts w:cs="Arial"/>
                <w:color w:val="FF0000"/>
                <w:sz w:val="21"/>
                <w:szCs w:val="21"/>
              </w:rPr>
            </w:pPr>
          </w:p>
        </w:tc>
        <w:tc>
          <w:tcPr>
            <w:tcW w:w="217" w:type="dxa"/>
          </w:tcPr>
          <w:p w14:paraId="6E1C1DBE" w14:textId="77777777" w:rsidR="002C0FD9" w:rsidRPr="00CA25CF" w:rsidRDefault="002C0FD9" w:rsidP="00CA25CF">
            <w:pPr>
              <w:rPr>
                <w:rFonts w:cs="Arial"/>
                <w:color w:val="FF0000"/>
                <w:sz w:val="21"/>
                <w:szCs w:val="21"/>
              </w:rPr>
            </w:pPr>
          </w:p>
        </w:tc>
        <w:tc>
          <w:tcPr>
            <w:tcW w:w="217" w:type="dxa"/>
          </w:tcPr>
          <w:p w14:paraId="47ADEB13" w14:textId="77777777" w:rsidR="002C0FD9" w:rsidRPr="00CA25CF" w:rsidRDefault="002C0FD9" w:rsidP="00CA25CF">
            <w:pPr>
              <w:rPr>
                <w:rFonts w:cs="Arial"/>
                <w:color w:val="FF0000"/>
                <w:sz w:val="21"/>
                <w:szCs w:val="21"/>
              </w:rPr>
            </w:pPr>
          </w:p>
        </w:tc>
        <w:tc>
          <w:tcPr>
            <w:tcW w:w="217" w:type="dxa"/>
          </w:tcPr>
          <w:p w14:paraId="762004B3" w14:textId="77777777" w:rsidR="002C0FD9" w:rsidRPr="00CA25CF" w:rsidRDefault="002C0FD9" w:rsidP="00CA25CF">
            <w:pPr>
              <w:rPr>
                <w:rFonts w:cs="Arial"/>
                <w:color w:val="FF0000"/>
                <w:sz w:val="21"/>
                <w:szCs w:val="21"/>
              </w:rPr>
            </w:pPr>
          </w:p>
        </w:tc>
        <w:tc>
          <w:tcPr>
            <w:tcW w:w="217" w:type="dxa"/>
          </w:tcPr>
          <w:p w14:paraId="45614E33" w14:textId="77777777" w:rsidR="002C0FD9" w:rsidRPr="00CA25CF" w:rsidRDefault="002C0FD9" w:rsidP="00CA25CF">
            <w:pPr>
              <w:rPr>
                <w:rFonts w:cs="Arial"/>
                <w:color w:val="FF0000"/>
                <w:sz w:val="21"/>
                <w:szCs w:val="21"/>
              </w:rPr>
            </w:pPr>
          </w:p>
        </w:tc>
        <w:tc>
          <w:tcPr>
            <w:tcW w:w="217" w:type="dxa"/>
          </w:tcPr>
          <w:p w14:paraId="4101C814" w14:textId="77777777" w:rsidR="002C0FD9" w:rsidRPr="00CA25CF" w:rsidRDefault="002C0FD9" w:rsidP="00CA25CF">
            <w:pPr>
              <w:rPr>
                <w:rFonts w:cs="Arial"/>
                <w:color w:val="FF0000"/>
                <w:sz w:val="21"/>
                <w:szCs w:val="21"/>
              </w:rPr>
            </w:pPr>
          </w:p>
        </w:tc>
        <w:tc>
          <w:tcPr>
            <w:tcW w:w="217" w:type="dxa"/>
          </w:tcPr>
          <w:p w14:paraId="7C658107" w14:textId="77777777" w:rsidR="002C0FD9" w:rsidRPr="00CA25CF" w:rsidRDefault="002C0FD9" w:rsidP="00CA25CF">
            <w:pPr>
              <w:rPr>
                <w:rFonts w:cs="Arial"/>
                <w:color w:val="FF0000"/>
                <w:sz w:val="21"/>
                <w:szCs w:val="21"/>
              </w:rPr>
            </w:pPr>
          </w:p>
        </w:tc>
        <w:tc>
          <w:tcPr>
            <w:tcW w:w="217" w:type="dxa"/>
          </w:tcPr>
          <w:p w14:paraId="5D13DA9C" w14:textId="77777777" w:rsidR="002C0FD9" w:rsidRPr="00CA25CF" w:rsidRDefault="002C0FD9" w:rsidP="00CA25CF">
            <w:pPr>
              <w:rPr>
                <w:rFonts w:cs="Arial"/>
                <w:color w:val="FF0000"/>
                <w:sz w:val="21"/>
                <w:szCs w:val="21"/>
              </w:rPr>
            </w:pPr>
          </w:p>
        </w:tc>
        <w:tc>
          <w:tcPr>
            <w:tcW w:w="217" w:type="dxa"/>
          </w:tcPr>
          <w:p w14:paraId="5DB67041" w14:textId="77777777" w:rsidR="002C0FD9" w:rsidRPr="00CA25CF" w:rsidRDefault="002C0FD9" w:rsidP="00CA25CF">
            <w:pPr>
              <w:rPr>
                <w:rFonts w:cs="Arial"/>
                <w:color w:val="FF0000"/>
                <w:sz w:val="21"/>
                <w:szCs w:val="21"/>
              </w:rPr>
            </w:pPr>
          </w:p>
        </w:tc>
        <w:tc>
          <w:tcPr>
            <w:tcW w:w="217" w:type="dxa"/>
          </w:tcPr>
          <w:p w14:paraId="3AFD68CC" w14:textId="77777777" w:rsidR="002C0FD9" w:rsidRPr="00CA25CF" w:rsidRDefault="002C0FD9" w:rsidP="00CA25CF">
            <w:pPr>
              <w:rPr>
                <w:rFonts w:cs="Arial"/>
                <w:color w:val="FF0000"/>
                <w:sz w:val="21"/>
                <w:szCs w:val="21"/>
              </w:rPr>
            </w:pPr>
          </w:p>
        </w:tc>
        <w:tc>
          <w:tcPr>
            <w:tcW w:w="217" w:type="dxa"/>
          </w:tcPr>
          <w:p w14:paraId="26AA2544" w14:textId="77777777" w:rsidR="002C0FD9" w:rsidRPr="00CA25CF" w:rsidRDefault="002C0FD9" w:rsidP="00CA25CF">
            <w:pPr>
              <w:rPr>
                <w:rFonts w:cs="Arial"/>
                <w:color w:val="FF0000"/>
                <w:sz w:val="21"/>
                <w:szCs w:val="21"/>
              </w:rPr>
            </w:pPr>
          </w:p>
        </w:tc>
        <w:tc>
          <w:tcPr>
            <w:tcW w:w="217" w:type="dxa"/>
          </w:tcPr>
          <w:p w14:paraId="68645C4B" w14:textId="77777777" w:rsidR="002C0FD9" w:rsidRPr="00CA25CF" w:rsidRDefault="002C0FD9" w:rsidP="00CA25CF">
            <w:pPr>
              <w:rPr>
                <w:rFonts w:cs="Arial"/>
                <w:color w:val="FF0000"/>
                <w:sz w:val="21"/>
                <w:szCs w:val="21"/>
              </w:rPr>
            </w:pPr>
          </w:p>
        </w:tc>
        <w:tc>
          <w:tcPr>
            <w:tcW w:w="217" w:type="dxa"/>
          </w:tcPr>
          <w:p w14:paraId="6D35AB18" w14:textId="77777777" w:rsidR="002C0FD9" w:rsidRPr="00CA25CF" w:rsidRDefault="002C0FD9" w:rsidP="00CA25CF">
            <w:pPr>
              <w:rPr>
                <w:rFonts w:cs="Arial"/>
                <w:color w:val="FF0000"/>
                <w:sz w:val="21"/>
                <w:szCs w:val="21"/>
              </w:rPr>
            </w:pPr>
          </w:p>
        </w:tc>
        <w:tc>
          <w:tcPr>
            <w:tcW w:w="217" w:type="dxa"/>
          </w:tcPr>
          <w:p w14:paraId="3EF1AF9B" w14:textId="77777777" w:rsidR="002C0FD9" w:rsidRPr="00CA25CF" w:rsidRDefault="002C0FD9" w:rsidP="00CA25CF">
            <w:pPr>
              <w:rPr>
                <w:rFonts w:cs="Arial"/>
                <w:color w:val="FF0000"/>
                <w:sz w:val="21"/>
                <w:szCs w:val="21"/>
              </w:rPr>
            </w:pPr>
          </w:p>
        </w:tc>
        <w:tc>
          <w:tcPr>
            <w:tcW w:w="217" w:type="dxa"/>
          </w:tcPr>
          <w:p w14:paraId="58EA98C3" w14:textId="77777777" w:rsidR="002C0FD9" w:rsidRPr="00CA25CF" w:rsidRDefault="002C0FD9" w:rsidP="00CA25CF">
            <w:pPr>
              <w:rPr>
                <w:rFonts w:cs="Arial"/>
                <w:color w:val="FF0000"/>
                <w:sz w:val="21"/>
                <w:szCs w:val="21"/>
              </w:rPr>
            </w:pPr>
          </w:p>
        </w:tc>
        <w:tc>
          <w:tcPr>
            <w:tcW w:w="217" w:type="dxa"/>
          </w:tcPr>
          <w:p w14:paraId="3AF3474F" w14:textId="77777777" w:rsidR="002C0FD9" w:rsidRPr="00CA25CF" w:rsidRDefault="002C0FD9" w:rsidP="00CA25CF">
            <w:pPr>
              <w:rPr>
                <w:rFonts w:cs="Arial"/>
                <w:color w:val="FF0000"/>
                <w:sz w:val="21"/>
                <w:szCs w:val="21"/>
              </w:rPr>
            </w:pPr>
          </w:p>
        </w:tc>
        <w:tc>
          <w:tcPr>
            <w:tcW w:w="217" w:type="dxa"/>
          </w:tcPr>
          <w:p w14:paraId="167DA93A" w14:textId="77777777" w:rsidR="002C0FD9" w:rsidRPr="00CA25CF" w:rsidRDefault="002C0FD9" w:rsidP="00CA25CF">
            <w:pPr>
              <w:rPr>
                <w:rFonts w:cs="Arial"/>
                <w:color w:val="FF0000"/>
                <w:sz w:val="21"/>
                <w:szCs w:val="21"/>
              </w:rPr>
            </w:pPr>
          </w:p>
        </w:tc>
        <w:tc>
          <w:tcPr>
            <w:tcW w:w="217" w:type="dxa"/>
          </w:tcPr>
          <w:p w14:paraId="6DD1CF77" w14:textId="77777777" w:rsidR="002C0FD9" w:rsidRPr="00CA25CF" w:rsidRDefault="002C0FD9" w:rsidP="00CA25CF">
            <w:pPr>
              <w:rPr>
                <w:rFonts w:cs="Arial"/>
                <w:color w:val="FF0000"/>
                <w:sz w:val="21"/>
                <w:szCs w:val="21"/>
              </w:rPr>
            </w:pPr>
          </w:p>
        </w:tc>
        <w:tc>
          <w:tcPr>
            <w:tcW w:w="217" w:type="dxa"/>
          </w:tcPr>
          <w:p w14:paraId="2510E751" w14:textId="77777777" w:rsidR="002C0FD9" w:rsidRPr="00CA25CF" w:rsidRDefault="002C0FD9" w:rsidP="00CA25CF">
            <w:pPr>
              <w:rPr>
                <w:rFonts w:cs="Arial"/>
                <w:color w:val="FF0000"/>
                <w:sz w:val="21"/>
                <w:szCs w:val="21"/>
              </w:rPr>
            </w:pPr>
          </w:p>
        </w:tc>
        <w:tc>
          <w:tcPr>
            <w:tcW w:w="217" w:type="dxa"/>
          </w:tcPr>
          <w:p w14:paraId="1486D53C" w14:textId="77777777" w:rsidR="002C0FD9" w:rsidRPr="00CA25CF" w:rsidRDefault="002C0FD9" w:rsidP="00CA25CF">
            <w:pPr>
              <w:rPr>
                <w:rFonts w:cs="Arial"/>
                <w:color w:val="FF0000"/>
                <w:sz w:val="21"/>
                <w:szCs w:val="21"/>
              </w:rPr>
            </w:pPr>
          </w:p>
        </w:tc>
        <w:tc>
          <w:tcPr>
            <w:tcW w:w="217" w:type="dxa"/>
          </w:tcPr>
          <w:p w14:paraId="13AF2B3A" w14:textId="77777777" w:rsidR="002C0FD9" w:rsidRPr="00CA25CF" w:rsidRDefault="002C0FD9" w:rsidP="00CA25CF">
            <w:pPr>
              <w:rPr>
                <w:rFonts w:cs="Arial"/>
                <w:color w:val="FF0000"/>
                <w:sz w:val="21"/>
                <w:szCs w:val="21"/>
              </w:rPr>
            </w:pPr>
          </w:p>
        </w:tc>
        <w:tc>
          <w:tcPr>
            <w:tcW w:w="217" w:type="dxa"/>
          </w:tcPr>
          <w:p w14:paraId="421A0E09" w14:textId="77777777" w:rsidR="002C0FD9" w:rsidRPr="00CA25CF" w:rsidRDefault="002C0FD9" w:rsidP="00CA25CF">
            <w:pPr>
              <w:rPr>
                <w:rFonts w:cs="Arial"/>
                <w:color w:val="FF0000"/>
                <w:sz w:val="21"/>
                <w:szCs w:val="21"/>
              </w:rPr>
            </w:pPr>
          </w:p>
        </w:tc>
        <w:tc>
          <w:tcPr>
            <w:tcW w:w="217" w:type="dxa"/>
          </w:tcPr>
          <w:p w14:paraId="7C99516C" w14:textId="77777777" w:rsidR="002C0FD9" w:rsidRPr="00CA25CF" w:rsidRDefault="002C0FD9" w:rsidP="00CA25CF">
            <w:pPr>
              <w:rPr>
                <w:rFonts w:cs="Arial"/>
                <w:color w:val="FF0000"/>
                <w:sz w:val="21"/>
                <w:szCs w:val="21"/>
              </w:rPr>
            </w:pPr>
          </w:p>
        </w:tc>
        <w:tc>
          <w:tcPr>
            <w:tcW w:w="217" w:type="dxa"/>
          </w:tcPr>
          <w:p w14:paraId="20D59A7E" w14:textId="77777777" w:rsidR="002C0FD9" w:rsidRPr="00CA25CF" w:rsidRDefault="002C0FD9" w:rsidP="00CA25CF">
            <w:pPr>
              <w:rPr>
                <w:rFonts w:cs="Arial"/>
                <w:color w:val="FF0000"/>
                <w:sz w:val="21"/>
                <w:szCs w:val="21"/>
              </w:rPr>
            </w:pPr>
          </w:p>
        </w:tc>
        <w:tc>
          <w:tcPr>
            <w:tcW w:w="217" w:type="dxa"/>
          </w:tcPr>
          <w:p w14:paraId="3D9489CC" w14:textId="77777777" w:rsidR="002C0FD9" w:rsidRPr="00CA25CF" w:rsidRDefault="002C0FD9" w:rsidP="00CA25CF">
            <w:pPr>
              <w:rPr>
                <w:rFonts w:cs="Arial"/>
                <w:color w:val="FF0000"/>
                <w:sz w:val="21"/>
                <w:szCs w:val="21"/>
              </w:rPr>
            </w:pPr>
          </w:p>
        </w:tc>
        <w:tc>
          <w:tcPr>
            <w:tcW w:w="217" w:type="dxa"/>
          </w:tcPr>
          <w:p w14:paraId="06772F87" w14:textId="77777777" w:rsidR="002C0FD9" w:rsidRPr="00CA25CF" w:rsidRDefault="002C0FD9" w:rsidP="00CA25CF">
            <w:pPr>
              <w:rPr>
                <w:rFonts w:cs="Arial"/>
                <w:color w:val="FF0000"/>
                <w:sz w:val="21"/>
                <w:szCs w:val="21"/>
              </w:rPr>
            </w:pPr>
          </w:p>
        </w:tc>
        <w:tc>
          <w:tcPr>
            <w:tcW w:w="217" w:type="dxa"/>
          </w:tcPr>
          <w:p w14:paraId="25670E69" w14:textId="77777777" w:rsidR="002C0FD9" w:rsidRPr="00CA25CF" w:rsidRDefault="002C0FD9" w:rsidP="00CA25CF">
            <w:pPr>
              <w:rPr>
                <w:rFonts w:cs="Arial"/>
                <w:color w:val="FF0000"/>
                <w:sz w:val="21"/>
                <w:szCs w:val="21"/>
              </w:rPr>
            </w:pPr>
          </w:p>
        </w:tc>
        <w:tc>
          <w:tcPr>
            <w:tcW w:w="217" w:type="dxa"/>
          </w:tcPr>
          <w:p w14:paraId="7DA086BE" w14:textId="77777777" w:rsidR="002C0FD9" w:rsidRPr="00CA25CF" w:rsidRDefault="002C0FD9" w:rsidP="00CA25CF">
            <w:pPr>
              <w:rPr>
                <w:rFonts w:cs="Arial"/>
                <w:color w:val="FF0000"/>
                <w:sz w:val="21"/>
                <w:szCs w:val="21"/>
              </w:rPr>
            </w:pPr>
          </w:p>
        </w:tc>
        <w:tc>
          <w:tcPr>
            <w:tcW w:w="217" w:type="dxa"/>
          </w:tcPr>
          <w:p w14:paraId="125E147F" w14:textId="77777777" w:rsidR="002C0FD9" w:rsidRPr="00CA25CF" w:rsidRDefault="002C0FD9" w:rsidP="00CA25CF">
            <w:pPr>
              <w:rPr>
                <w:rFonts w:cs="Arial"/>
                <w:color w:val="FF0000"/>
                <w:sz w:val="21"/>
                <w:szCs w:val="21"/>
              </w:rPr>
            </w:pPr>
          </w:p>
        </w:tc>
        <w:tc>
          <w:tcPr>
            <w:tcW w:w="217" w:type="dxa"/>
          </w:tcPr>
          <w:p w14:paraId="3E450E26" w14:textId="77777777" w:rsidR="002C0FD9" w:rsidRPr="00CA25CF" w:rsidRDefault="002C0FD9" w:rsidP="00CA25CF">
            <w:pPr>
              <w:rPr>
                <w:rFonts w:cs="Arial"/>
                <w:color w:val="FF0000"/>
                <w:sz w:val="21"/>
                <w:szCs w:val="21"/>
              </w:rPr>
            </w:pPr>
          </w:p>
        </w:tc>
        <w:tc>
          <w:tcPr>
            <w:tcW w:w="217" w:type="dxa"/>
          </w:tcPr>
          <w:p w14:paraId="7A3CA29D" w14:textId="77777777" w:rsidR="002C0FD9" w:rsidRPr="00CA25CF" w:rsidRDefault="002C0FD9" w:rsidP="00CA25CF">
            <w:pPr>
              <w:rPr>
                <w:rFonts w:cs="Arial"/>
                <w:color w:val="FF0000"/>
                <w:sz w:val="21"/>
                <w:szCs w:val="21"/>
              </w:rPr>
            </w:pPr>
          </w:p>
        </w:tc>
        <w:tc>
          <w:tcPr>
            <w:tcW w:w="217" w:type="dxa"/>
          </w:tcPr>
          <w:p w14:paraId="033766F0" w14:textId="77777777" w:rsidR="002C0FD9" w:rsidRPr="00CA25CF" w:rsidRDefault="002C0FD9" w:rsidP="00CA25CF">
            <w:pPr>
              <w:rPr>
                <w:rFonts w:cs="Arial"/>
                <w:color w:val="FF0000"/>
                <w:sz w:val="21"/>
                <w:szCs w:val="21"/>
              </w:rPr>
            </w:pPr>
          </w:p>
        </w:tc>
        <w:tc>
          <w:tcPr>
            <w:tcW w:w="217" w:type="dxa"/>
          </w:tcPr>
          <w:p w14:paraId="7F74A913" w14:textId="77777777" w:rsidR="002C0FD9" w:rsidRPr="00CA25CF" w:rsidRDefault="002C0FD9" w:rsidP="00CA25CF">
            <w:pPr>
              <w:rPr>
                <w:rFonts w:cs="Arial"/>
                <w:color w:val="FF0000"/>
                <w:sz w:val="21"/>
                <w:szCs w:val="21"/>
              </w:rPr>
            </w:pPr>
          </w:p>
        </w:tc>
        <w:tc>
          <w:tcPr>
            <w:tcW w:w="217" w:type="dxa"/>
          </w:tcPr>
          <w:p w14:paraId="39873E55" w14:textId="77777777" w:rsidR="002C0FD9" w:rsidRPr="00CA25CF" w:rsidRDefault="002C0FD9" w:rsidP="00CA25CF">
            <w:pPr>
              <w:rPr>
                <w:rFonts w:cs="Arial"/>
                <w:color w:val="FF0000"/>
                <w:sz w:val="21"/>
                <w:szCs w:val="21"/>
              </w:rPr>
            </w:pPr>
          </w:p>
        </w:tc>
        <w:tc>
          <w:tcPr>
            <w:tcW w:w="217" w:type="dxa"/>
          </w:tcPr>
          <w:p w14:paraId="146F1A06" w14:textId="77777777" w:rsidR="002C0FD9" w:rsidRPr="00CA25CF" w:rsidRDefault="002C0FD9" w:rsidP="00CA25CF">
            <w:pPr>
              <w:rPr>
                <w:rFonts w:cs="Arial"/>
                <w:color w:val="FF0000"/>
                <w:sz w:val="21"/>
                <w:szCs w:val="21"/>
              </w:rPr>
            </w:pPr>
          </w:p>
        </w:tc>
        <w:tc>
          <w:tcPr>
            <w:tcW w:w="217" w:type="dxa"/>
          </w:tcPr>
          <w:p w14:paraId="0546152D" w14:textId="77777777" w:rsidR="002C0FD9" w:rsidRPr="00CA25CF" w:rsidRDefault="002C0FD9" w:rsidP="00CA25CF">
            <w:pPr>
              <w:rPr>
                <w:rFonts w:cs="Arial"/>
                <w:color w:val="FF0000"/>
                <w:sz w:val="21"/>
                <w:szCs w:val="21"/>
              </w:rPr>
            </w:pPr>
          </w:p>
        </w:tc>
        <w:tc>
          <w:tcPr>
            <w:tcW w:w="217" w:type="dxa"/>
          </w:tcPr>
          <w:p w14:paraId="6CA70D47" w14:textId="77777777" w:rsidR="002C0FD9" w:rsidRPr="00CA25CF" w:rsidRDefault="002C0FD9" w:rsidP="00CA25CF">
            <w:pPr>
              <w:rPr>
                <w:rFonts w:cs="Arial"/>
                <w:color w:val="FF0000"/>
                <w:sz w:val="21"/>
                <w:szCs w:val="21"/>
              </w:rPr>
            </w:pPr>
          </w:p>
        </w:tc>
      </w:tr>
      <w:tr w:rsidR="002C0FD9" w:rsidRPr="00A16219" w14:paraId="7477C7EF" w14:textId="6FFF42B7" w:rsidTr="002C0FD9">
        <w:trPr>
          <w:trHeight w:val="635"/>
        </w:trPr>
        <w:tc>
          <w:tcPr>
            <w:tcW w:w="515" w:type="dxa"/>
          </w:tcPr>
          <w:p w14:paraId="786E0868" w14:textId="77777777" w:rsidR="002C0FD9" w:rsidRPr="00CA25CF" w:rsidRDefault="002C0FD9" w:rsidP="00CA25CF">
            <w:pPr>
              <w:rPr>
                <w:rFonts w:cs="Arial"/>
                <w:color w:val="FF0000"/>
                <w:sz w:val="21"/>
                <w:szCs w:val="21"/>
              </w:rPr>
            </w:pPr>
          </w:p>
        </w:tc>
        <w:tc>
          <w:tcPr>
            <w:tcW w:w="217" w:type="dxa"/>
          </w:tcPr>
          <w:p w14:paraId="415F0C84" w14:textId="77777777" w:rsidR="002C0FD9" w:rsidRPr="00CA25CF" w:rsidRDefault="002C0FD9" w:rsidP="00CA25CF">
            <w:pPr>
              <w:rPr>
                <w:rFonts w:cs="Arial"/>
                <w:color w:val="FF0000"/>
                <w:sz w:val="21"/>
                <w:szCs w:val="21"/>
              </w:rPr>
            </w:pPr>
          </w:p>
        </w:tc>
        <w:tc>
          <w:tcPr>
            <w:tcW w:w="217" w:type="dxa"/>
          </w:tcPr>
          <w:p w14:paraId="304587E0" w14:textId="78B48BAB" w:rsidR="002C0FD9" w:rsidRPr="00CA25CF" w:rsidRDefault="002C0FD9" w:rsidP="00CA25CF">
            <w:pPr>
              <w:rPr>
                <w:rFonts w:cs="Arial"/>
                <w:color w:val="FF0000"/>
                <w:sz w:val="21"/>
                <w:szCs w:val="21"/>
              </w:rPr>
            </w:pPr>
          </w:p>
        </w:tc>
        <w:tc>
          <w:tcPr>
            <w:tcW w:w="217" w:type="dxa"/>
          </w:tcPr>
          <w:p w14:paraId="767A6D38" w14:textId="77777777" w:rsidR="002C0FD9" w:rsidRPr="00CA25CF" w:rsidRDefault="002C0FD9" w:rsidP="00CA25CF">
            <w:pPr>
              <w:rPr>
                <w:rFonts w:cs="Arial"/>
                <w:color w:val="FF0000"/>
                <w:sz w:val="21"/>
                <w:szCs w:val="21"/>
              </w:rPr>
            </w:pPr>
          </w:p>
        </w:tc>
        <w:tc>
          <w:tcPr>
            <w:tcW w:w="217" w:type="dxa"/>
          </w:tcPr>
          <w:p w14:paraId="51BCFD2C" w14:textId="77777777" w:rsidR="002C0FD9" w:rsidRPr="00CA25CF" w:rsidRDefault="002C0FD9" w:rsidP="00CA25CF">
            <w:pPr>
              <w:rPr>
                <w:rFonts w:cs="Arial"/>
                <w:color w:val="FF0000"/>
                <w:sz w:val="21"/>
                <w:szCs w:val="21"/>
              </w:rPr>
            </w:pPr>
          </w:p>
        </w:tc>
        <w:tc>
          <w:tcPr>
            <w:tcW w:w="217" w:type="dxa"/>
          </w:tcPr>
          <w:p w14:paraId="5A49562D" w14:textId="77777777" w:rsidR="002C0FD9" w:rsidRPr="00CA25CF" w:rsidRDefault="002C0FD9" w:rsidP="00CA25CF">
            <w:pPr>
              <w:rPr>
                <w:rFonts w:cs="Arial"/>
                <w:color w:val="FF0000"/>
                <w:sz w:val="21"/>
                <w:szCs w:val="21"/>
              </w:rPr>
            </w:pPr>
          </w:p>
        </w:tc>
        <w:tc>
          <w:tcPr>
            <w:tcW w:w="217" w:type="dxa"/>
          </w:tcPr>
          <w:p w14:paraId="4A7BEA58" w14:textId="77777777" w:rsidR="002C0FD9" w:rsidRPr="00CA25CF" w:rsidRDefault="002C0FD9" w:rsidP="00CA25CF">
            <w:pPr>
              <w:rPr>
                <w:rFonts w:cs="Arial"/>
                <w:color w:val="FF0000"/>
                <w:sz w:val="21"/>
                <w:szCs w:val="21"/>
              </w:rPr>
            </w:pPr>
          </w:p>
        </w:tc>
        <w:tc>
          <w:tcPr>
            <w:tcW w:w="217" w:type="dxa"/>
          </w:tcPr>
          <w:p w14:paraId="0ED9FE53" w14:textId="77777777" w:rsidR="002C0FD9" w:rsidRPr="00CA25CF" w:rsidRDefault="002C0FD9" w:rsidP="00CA25CF">
            <w:pPr>
              <w:rPr>
                <w:rFonts w:cs="Arial"/>
                <w:color w:val="FF0000"/>
                <w:sz w:val="21"/>
                <w:szCs w:val="21"/>
              </w:rPr>
            </w:pPr>
          </w:p>
        </w:tc>
        <w:tc>
          <w:tcPr>
            <w:tcW w:w="217" w:type="dxa"/>
          </w:tcPr>
          <w:p w14:paraId="5BFE6D26" w14:textId="77777777" w:rsidR="002C0FD9" w:rsidRPr="00CA25CF" w:rsidRDefault="002C0FD9" w:rsidP="00CA25CF">
            <w:pPr>
              <w:rPr>
                <w:rFonts w:cs="Arial"/>
                <w:color w:val="FF0000"/>
                <w:sz w:val="21"/>
                <w:szCs w:val="21"/>
              </w:rPr>
            </w:pPr>
          </w:p>
        </w:tc>
        <w:tc>
          <w:tcPr>
            <w:tcW w:w="217" w:type="dxa"/>
          </w:tcPr>
          <w:p w14:paraId="4AAE3115" w14:textId="77777777" w:rsidR="002C0FD9" w:rsidRPr="00CA25CF" w:rsidRDefault="002C0FD9" w:rsidP="00CA25CF">
            <w:pPr>
              <w:rPr>
                <w:rFonts w:cs="Arial"/>
                <w:color w:val="FF0000"/>
                <w:sz w:val="21"/>
                <w:szCs w:val="21"/>
              </w:rPr>
            </w:pPr>
          </w:p>
        </w:tc>
        <w:tc>
          <w:tcPr>
            <w:tcW w:w="217" w:type="dxa"/>
          </w:tcPr>
          <w:p w14:paraId="179DCA26" w14:textId="77777777" w:rsidR="002C0FD9" w:rsidRPr="00CA25CF" w:rsidRDefault="002C0FD9" w:rsidP="00CA25CF">
            <w:pPr>
              <w:rPr>
                <w:rFonts w:cs="Arial"/>
                <w:color w:val="FF0000"/>
                <w:sz w:val="21"/>
                <w:szCs w:val="21"/>
              </w:rPr>
            </w:pPr>
          </w:p>
        </w:tc>
        <w:tc>
          <w:tcPr>
            <w:tcW w:w="217" w:type="dxa"/>
          </w:tcPr>
          <w:p w14:paraId="1B60CD47" w14:textId="77777777" w:rsidR="002C0FD9" w:rsidRPr="00CA25CF" w:rsidRDefault="002C0FD9" w:rsidP="00CA25CF">
            <w:pPr>
              <w:rPr>
                <w:rFonts w:cs="Arial"/>
                <w:color w:val="FF0000"/>
                <w:sz w:val="21"/>
                <w:szCs w:val="21"/>
              </w:rPr>
            </w:pPr>
          </w:p>
        </w:tc>
        <w:tc>
          <w:tcPr>
            <w:tcW w:w="217" w:type="dxa"/>
          </w:tcPr>
          <w:p w14:paraId="6BAFDC7B" w14:textId="77777777" w:rsidR="002C0FD9" w:rsidRPr="00CA25CF" w:rsidRDefault="002C0FD9" w:rsidP="00CA25CF">
            <w:pPr>
              <w:rPr>
                <w:rFonts w:cs="Arial"/>
                <w:color w:val="FF0000"/>
                <w:sz w:val="21"/>
                <w:szCs w:val="21"/>
              </w:rPr>
            </w:pPr>
          </w:p>
        </w:tc>
        <w:tc>
          <w:tcPr>
            <w:tcW w:w="217" w:type="dxa"/>
          </w:tcPr>
          <w:p w14:paraId="54AA43A8" w14:textId="77777777" w:rsidR="002C0FD9" w:rsidRPr="00CA25CF" w:rsidRDefault="002C0FD9" w:rsidP="00CA25CF">
            <w:pPr>
              <w:rPr>
                <w:rFonts w:cs="Arial"/>
                <w:color w:val="FF0000"/>
                <w:sz w:val="21"/>
                <w:szCs w:val="21"/>
              </w:rPr>
            </w:pPr>
          </w:p>
        </w:tc>
        <w:tc>
          <w:tcPr>
            <w:tcW w:w="217" w:type="dxa"/>
          </w:tcPr>
          <w:p w14:paraId="22F2704E" w14:textId="77777777" w:rsidR="002C0FD9" w:rsidRPr="00CA25CF" w:rsidRDefault="002C0FD9" w:rsidP="00CA25CF">
            <w:pPr>
              <w:rPr>
                <w:rFonts w:cs="Arial"/>
                <w:color w:val="FF0000"/>
                <w:sz w:val="21"/>
                <w:szCs w:val="21"/>
              </w:rPr>
            </w:pPr>
          </w:p>
        </w:tc>
        <w:tc>
          <w:tcPr>
            <w:tcW w:w="217" w:type="dxa"/>
          </w:tcPr>
          <w:p w14:paraId="49CB25DE" w14:textId="77777777" w:rsidR="002C0FD9" w:rsidRPr="00CA25CF" w:rsidRDefault="002C0FD9" w:rsidP="00CA25CF">
            <w:pPr>
              <w:rPr>
                <w:rFonts w:cs="Arial"/>
                <w:color w:val="FF0000"/>
                <w:sz w:val="21"/>
                <w:szCs w:val="21"/>
              </w:rPr>
            </w:pPr>
          </w:p>
        </w:tc>
        <w:tc>
          <w:tcPr>
            <w:tcW w:w="217" w:type="dxa"/>
          </w:tcPr>
          <w:p w14:paraId="1178A512" w14:textId="77777777" w:rsidR="002C0FD9" w:rsidRPr="00CA25CF" w:rsidRDefault="002C0FD9" w:rsidP="00CA25CF">
            <w:pPr>
              <w:rPr>
                <w:rFonts w:cs="Arial"/>
                <w:color w:val="FF0000"/>
                <w:sz w:val="21"/>
                <w:szCs w:val="21"/>
              </w:rPr>
            </w:pPr>
          </w:p>
        </w:tc>
        <w:tc>
          <w:tcPr>
            <w:tcW w:w="217" w:type="dxa"/>
          </w:tcPr>
          <w:p w14:paraId="5C615AD6" w14:textId="77777777" w:rsidR="002C0FD9" w:rsidRPr="00CA25CF" w:rsidRDefault="002C0FD9" w:rsidP="00CA25CF">
            <w:pPr>
              <w:rPr>
                <w:rFonts w:cs="Arial"/>
                <w:color w:val="FF0000"/>
                <w:sz w:val="21"/>
                <w:szCs w:val="21"/>
              </w:rPr>
            </w:pPr>
          </w:p>
        </w:tc>
        <w:tc>
          <w:tcPr>
            <w:tcW w:w="217" w:type="dxa"/>
          </w:tcPr>
          <w:p w14:paraId="1DE69F88" w14:textId="77777777" w:rsidR="002C0FD9" w:rsidRPr="00CA25CF" w:rsidRDefault="002C0FD9" w:rsidP="00CA25CF">
            <w:pPr>
              <w:rPr>
                <w:rFonts w:cs="Arial"/>
                <w:color w:val="FF0000"/>
                <w:sz w:val="21"/>
                <w:szCs w:val="21"/>
              </w:rPr>
            </w:pPr>
          </w:p>
        </w:tc>
        <w:tc>
          <w:tcPr>
            <w:tcW w:w="217" w:type="dxa"/>
          </w:tcPr>
          <w:p w14:paraId="3382EB70" w14:textId="77777777" w:rsidR="002C0FD9" w:rsidRPr="00CA25CF" w:rsidRDefault="002C0FD9" w:rsidP="00CA25CF">
            <w:pPr>
              <w:rPr>
                <w:rFonts w:cs="Arial"/>
                <w:color w:val="FF0000"/>
                <w:sz w:val="21"/>
                <w:szCs w:val="21"/>
              </w:rPr>
            </w:pPr>
          </w:p>
        </w:tc>
        <w:tc>
          <w:tcPr>
            <w:tcW w:w="217" w:type="dxa"/>
          </w:tcPr>
          <w:p w14:paraId="408F0905" w14:textId="77777777" w:rsidR="002C0FD9" w:rsidRPr="00CA25CF" w:rsidRDefault="002C0FD9" w:rsidP="00CA25CF">
            <w:pPr>
              <w:rPr>
                <w:rFonts w:cs="Arial"/>
                <w:color w:val="FF0000"/>
                <w:sz w:val="21"/>
                <w:szCs w:val="21"/>
              </w:rPr>
            </w:pPr>
          </w:p>
        </w:tc>
        <w:tc>
          <w:tcPr>
            <w:tcW w:w="217" w:type="dxa"/>
          </w:tcPr>
          <w:p w14:paraId="4A59DCC8" w14:textId="77777777" w:rsidR="002C0FD9" w:rsidRPr="00CA25CF" w:rsidRDefault="002C0FD9" w:rsidP="00CA25CF">
            <w:pPr>
              <w:rPr>
                <w:rFonts w:cs="Arial"/>
                <w:color w:val="FF0000"/>
                <w:sz w:val="21"/>
                <w:szCs w:val="21"/>
              </w:rPr>
            </w:pPr>
          </w:p>
        </w:tc>
        <w:tc>
          <w:tcPr>
            <w:tcW w:w="217" w:type="dxa"/>
          </w:tcPr>
          <w:p w14:paraId="2EAF50A8" w14:textId="77777777" w:rsidR="002C0FD9" w:rsidRPr="00CA25CF" w:rsidRDefault="002C0FD9" w:rsidP="00CA25CF">
            <w:pPr>
              <w:rPr>
                <w:rFonts w:cs="Arial"/>
                <w:color w:val="FF0000"/>
                <w:sz w:val="21"/>
                <w:szCs w:val="21"/>
              </w:rPr>
            </w:pPr>
          </w:p>
        </w:tc>
        <w:tc>
          <w:tcPr>
            <w:tcW w:w="217" w:type="dxa"/>
          </w:tcPr>
          <w:p w14:paraId="16B5FF58" w14:textId="77777777" w:rsidR="002C0FD9" w:rsidRPr="00CA25CF" w:rsidRDefault="002C0FD9" w:rsidP="00CA25CF">
            <w:pPr>
              <w:rPr>
                <w:rFonts w:cs="Arial"/>
                <w:color w:val="FF0000"/>
                <w:sz w:val="21"/>
                <w:szCs w:val="21"/>
              </w:rPr>
            </w:pPr>
          </w:p>
        </w:tc>
        <w:tc>
          <w:tcPr>
            <w:tcW w:w="217" w:type="dxa"/>
          </w:tcPr>
          <w:p w14:paraId="5F11A34A" w14:textId="77777777" w:rsidR="002C0FD9" w:rsidRPr="00CA25CF" w:rsidRDefault="002C0FD9" w:rsidP="00CA25CF">
            <w:pPr>
              <w:rPr>
                <w:rFonts w:cs="Arial"/>
                <w:color w:val="FF0000"/>
                <w:sz w:val="21"/>
                <w:szCs w:val="21"/>
              </w:rPr>
            </w:pPr>
          </w:p>
        </w:tc>
        <w:tc>
          <w:tcPr>
            <w:tcW w:w="217" w:type="dxa"/>
          </w:tcPr>
          <w:p w14:paraId="42B2434C" w14:textId="77777777" w:rsidR="002C0FD9" w:rsidRPr="00CA25CF" w:rsidRDefault="002C0FD9" w:rsidP="00CA25CF">
            <w:pPr>
              <w:rPr>
                <w:rFonts w:cs="Arial"/>
                <w:color w:val="FF0000"/>
                <w:sz w:val="21"/>
                <w:szCs w:val="21"/>
              </w:rPr>
            </w:pPr>
          </w:p>
        </w:tc>
        <w:tc>
          <w:tcPr>
            <w:tcW w:w="217" w:type="dxa"/>
          </w:tcPr>
          <w:p w14:paraId="4BCC8649" w14:textId="77777777" w:rsidR="002C0FD9" w:rsidRPr="00CA25CF" w:rsidRDefault="002C0FD9" w:rsidP="00CA25CF">
            <w:pPr>
              <w:rPr>
                <w:rFonts w:cs="Arial"/>
                <w:color w:val="FF0000"/>
                <w:sz w:val="21"/>
                <w:szCs w:val="21"/>
              </w:rPr>
            </w:pPr>
          </w:p>
        </w:tc>
        <w:tc>
          <w:tcPr>
            <w:tcW w:w="217" w:type="dxa"/>
          </w:tcPr>
          <w:p w14:paraId="004889E5" w14:textId="77777777" w:rsidR="002C0FD9" w:rsidRPr="00CA25CF" w:rsidRDefault="002C0FD9" w:rsidP="00CA25CF">
            <w:pPr>
              <w:rPr>
                <w:rFonts w:cs="Arial"/>
                <w:color w:val="FF0000"/>
                <w:sz w:val="21"/>
                <w:szCs w:val="21"/>
              </w:rPr>
            </w:pPr>
          </w:p>
        </w:tc>
        <w:tc>
          <w:tcPr>
            <w:tcW w:w="217" w:type="dxa"/>
          </w:tcPr>
          <w:p w14:paraId="79DED4D4" w14:textId="77777777" w:rsidR="002C0FD9" w:rsidRPr="00CA25CF" w:rsidRDefault="002C0FD9" w:rsidP="00CA25CF">
            <w:pPr>
              <w:rPr>
                <w:rFonts w:cs="Arial"/>
                <w:color w:val="FF0000"/>
                <w:sz w:val="21"/>
                <w:szCs w:val="21"/>
              </w:rPr>
            </w:pPr>
          </w:p>
        </w:tc>
        <w:tc>
          <w:tcPr>
            <w:tcW w:w="217" w:type="dxa"/>
          </w:tcPr>
          <w:p w14:paraId="7497C386" w14:textId="77777777" w:rsidR="002C0FD9" w:rsidRPr="00CA25CF" w:rsidRDefault="002C0FD9" w:rsidP="00CA25CF">
            <w:pPr>
              <w:rPr>
                <w:rFonts w:cs="Arial"/>
                <w:color w:val="FF0000"/>
                <w:sz w:val="21"/>
                <w:szCs w:val="21"/>
              </w:rPr>
            </w:pPr>
          </w:p>
        </w:tc>
        <w:tc>
          <w:tcPr>
            <w:tcW w:w="217" w:type="dxa"/>
          </w:tcPr>
          <w:p w14:paraId="7D34D327" w14:textId="77777777" w:rsidR="002C0FD9" w:rsidRPr="00CA25CF" w:rsidRDefault="002C0FD9" w:rsidP="00CA25CF">
            <w:pPr>
              <w:rPr>
                <w:rFonts w:cs="Arial"/>
                <w:color w:val="FF0000"/>
                <w:sz w:val="21"/>
                <w:szCs w:val="21"/>
              </w:rPr>
            </w:pPr>
          </w:p>
        </w:tc>
        <w:tc>
          <w:tcPr>
            <w:tcW w:w="217" w:type="dxa"/>
          </w:tcPr>
          <w:p w14:paraId="6E957986" w14:textId="77777777" w:rsidR="002C0FD9" w:rsidRPr="00CA25CF" w:rsidRDefault="002C0FD9" w:rsidP="00CA25CF">
            <w:pPr>
              <w:rPr>
                <w:rFonts w:cs="Arial"/>
                <w:color w:val="FF0000"/>
                <w:sz w:val="21"/>
                <w:szCs w:val="21"/>
              </w:rPr>
            </w:pPr>
          </w:p>
        </w:tc>
        <w:tc>
          <w:tcPr>
            <w:tcW w:w="217" w:type="dxa"/>
          </w:tcPr>
          <w:p w14:paraId="7763FB58" w14:textId="77777777" w:rsidR="002C0FD9" w:rsidRPr="00CA25CF" w:rsidRDefault="002C0FD9" w:rsidP="00CA25CF">
            <w:pPr>
              <w:rPr>
                <w:rFonts w:cs="Arial"/>
                <w:color w:val="FF0000"/>
                <w:sz w:val="21"/>
                <w:szCs w:val="21"/>
              </w:rPr>
            </w:pPr>
          </w:p>
        </w:tc>
        <w:tc>
          <w:tcPr>
            <w:tcW w:w="217" w:type="dxa"/>
          </w:tcPr>
          <w:p w14:paraId="51AE4DF0" w14:textId="77777777" w:rsidR="002C0FD9" w:rsidRPr="00CA25CF" w:rsidRDefault="002C0FD9" w:rsidP="00CA25CF">
            <w:pPr>
              <w:rPr>
                <w:rFonts w:cs="Arial"/>
                <w:color w:val="FF0000"/>
                <w:sz w:val="21"/>
                <w:szCs w:val="21"/>
              </w:rPr>
            </w:pPr>
          </w:p>
        </w:tc>
        <w:tc>
          <w:tcPr>
            <w:tcW w:w="217" w:type="dxa"/>
          </w:tcPr>
          <w:p w14:paraId="26F0CA7A" w14:textId="77777777" w:rsidR="002C0FD9" w:rsidRPr="00CA25CF" w:rsidRDefault="002C0FD9" w:rsidP="00CA25CF">
            <w:pPr>
              <w:rPr>
                <w:rFonts w:cs="Arial"/>
                <w:color w:val="FF0000"/>
                <w:sz w:val="21"/>
                <w:szCs w:val="21"/>
              </w:rPr>
            </w:pPr>
          </w:p>
        </w:tc>
        <w:tc>
          <w:tcPr>
            <w:tcW w:w="217" w:type="dxa"/>
          </w:tcPr>
          <w:p w14:paraId="7E947F6F" w14:textId="77777777" w:rsidR="002C0FD9" w:rsidRPr="00CA25CF" w:rsidRDefault="002C0FD9" w:rsidP="00CA25CF">
            <w:pPr>
              <w:rPr>
                <w:rFonts w:cs="Arial"/>
                <w:color w:val="FF0000"/>
                <w:sz w:val="21"/>
                <w:szCs w:val="21"/>
              </w:rPr>
            </w:pPr>
          </w:p>
        </w:tc>
        <w:tc>
          <w:tcPr>
            <w:tcW w:w="217" w:type="dxa"/>
          </w:tcPr>
          <w:p w14:paraId="21E9D2B7" w14:textId="77777777" w:rsidR="002C0FD9" w:rsidRPr="00CA25CF" w:rsidRDefault="002C0FD9" w:rsidP="00CA25CF">
            <w:pPr>
              <w:rPr>
                <w:rFonts w:cs="Arial"/>
                <w:color w:val="FF0000"/>
                <w:sz w:val="21"/>
                <w:szCs w:val="21"/>
              </w:rPr>
            </w:pPr>
          </w:p>
        </w:tc>
        <w:tc>
          <w:tcPr>
            <w:tcW w:w="217" w:type="dxa"/>
          </w:tcPr>
          <w:p w14:paraId="22458708" w14:textId="77777777" w:rsidR="002C0FD9" w:rsidRPr="00CA25CF" w:rsidRDefault="002C0FD9" w:rsidP="00CA25CF">
            <w:pPr>
              <w:rPr>
                <w:rFonts w:cs="Arial"/>
                <w:color w:val="FF0000"/>
                <w:sz w:val="21"/>
                <w:szCs w:val="21"/>
              </w:rPr>
            </w:pPr>
          </w:p>
        </w:tc>
        <w:tc>
          <w:tcPr>
            <w:tcW w:w="217" w:type="dxa"/>
          </w:tcPr>
          <w:p w14:paraId="6059FB7F" w14:textId="77777777" w:rsidR="002C0FD9" w:rsidRPr="00CA25CF" w:rsidRDefault="002C0FD9" w:rsidP="00CA25CF">
            <w:pPr>
              <w:rPr>
                <w:rFonts w:cs="Arial"/>
                <w:color w:val="FF0000"/>
                <w:sz w:val="21"/>
                <w:szCs w:val="21"/>
              </w:rPr>
            </w:pPr>
          </w:p>
        </w:tc>
        <w:tc>
          <w:tcPr>
            <w:tcW w:w="217" w:type="dxa"/>
          </w:tcPr>
          <w:p w14:paraId="77121CD0" w14:textId="77777777" w:rsidR="002C0FD9" w:rsidRPr="00CA25CF" w:rsidRDefault="002C0FD9" w:rsidP="00CA25CF">
            <w:pPr>
              <w:rPr>
                <w:rFonts w:cs="Arial"/>
                <w:color w:val="FF0000"/>
                <w:sz w:val="21"/>
                <w:szCs w:val="21"/>
              </w:rPr>
            </w:pPr>
          </w:p>
        </w:tc>
        <w:tc>
          <w:tcPr>
            <w:tcW w:w="217" w:type="dxa"/>
          </w:tcPr>
          <w:p w14:paraId="0CE84410" w14:textId="77777777" w:rsidR="002C0FD9" w:rsidRPr="00CA25CF" w:rsidRDefault="002C0FD9" w:rsidP="00CA25CF">
            <w:pPr>
              <w:rPr>
                <w:rFonts w:cs="Arial"/>
                <w:color w:val="FF0000"/>
                <w:sz w:val="21"/>
                <w:szCs w:val="21"/>
              </w:rPr>
            </w:pPr>
          </w:p>
        </w:tc>
        <w:tc>
          <w:tcPr>
            <w:tcW w:w="217" w:type="dxa"/>
          </w:tcPr>
          <w:p w14:paraId="4587CDE3" w14:textId="77777777" w:rsidR="002C0FD9" w:rsidRPr="00CA25CF" w:rsidRDefault="002C0FD9" w:rsidP="00CA25CF">
            <w:pPr>
              <w:rPr>
                <w:rFonts w:cs="Arial"/>
                <w:color w:val="FF0000"/>
                <w:sz w:val="21"/>
                <w:szCs w:val="21"/>
              </w:rPr>
            </w:pPr>
          </w:p>
        </w:tc>
        <w:tc>
          <w:tcPr>
            <w:tcW w:w="217" w:type="dxa"/>
          </w:tcPr>
          <w:p w14:paraId="05F26086" w14:textId="77777777" w:rsidR="002C0FD9" w:rsidRPr="00CA25CF" w:rsidRDefault="002C0FD9" w:rsidP="00CA25CF">
            <w:pPr>
              <w:rPr>
                <w:rFonts w:cs="Arial"/>
                <w:color w:val="FF0000"/>
                <w:sz w:val="21"/>
                <w:szCs w:val="21"/>
              </w:rPr>
            </w:pPr>
          </w:p>
        </w:tc>
      </w:tr>
      <w:tr w:rsidR="002C0FD9" w:rsidRPr="00A16219" w14:paraId="0201080D" w14:textId="7B126910" w:rsidTr="002C0FD9">
        <w:trPr>
          <w:trHeight w:val="635"/>
        </w:trPr>
        <w:tc>
          <w:tcPr>
            <w:tcW w:w="515" w:type="dxa"/>
          </w:tcPr>
          <w:p w14:paraId="323E0F84" w14:textId="77777777" w:rsidR="002C0FD9" w:rsidRPr="00CA25CF" w:rsidRDefault="002C0FD9" w:rsidP="00CA25CF">
            <w:pPr>
              <w:rPr>
                <w:rFonts w:cs="Arial"/>
                <w:color w:val="FF0000"/>
                <w:sz w:val="21"/>
                <w:szCs w:val="21"/>
              </w:rPr>
            </w:pPr>
          </w:p>
        </w:tc>
        <w:tc>
          <w:tcPr>
            <w:tcW w:w="217" w:type="dxa"/>
          </w:tcPr>
          <w:p w14:paraId="20C41CD8" w14:textId="77777777" w:rsidR="002C0FD9" w:rsidRPr="00CA25CF" w:rsidRDefault="002C0FD9" w:rsidP="00CA25CF">
            <w:pPr>
              <w:rPr>
                <w:rFonts w:cs="Arial"/>
                <w:color w:val="FF0000"/>
                <w:sz w:val="21"/>
                <w:szCs w:val="21"/>
              </w:rPr>
            </w:pPr>
          </w:p>
        </w:tc>
        <w:tc>
          <w:tcPr>
            <w:tcW w:w="217" w:type="dxa"/>
          </w:tcPr>
          <w:p w14:paraId="11E5FFD1" w14:textId="67180D53" w:rsidR="002C0FD9" w:rsidRPr="00CA25CF" w:rsidRDefault="002C0FD9" w:rsidP="00CA25CF">
            <w:pPr>
              <w:rPr>
                <w:rFonts w:cs="Arial"/>
                <w:color w:val="FF0000"/>
                <w:sz w:val="21"/>
                <w:szCs w:val="21"/>
              </w:rPr>
            </w:pPr>
          </w:p>
        </w:tc>
        <w:tc>
          <w:tcPr>
            <w:tcW w:w="217" w:type="dxa"/>
          </w:tcPr>
          <w:p w14:paraId="3F93A5A1" w14:textId="77777777" w:rsidR="002C0FD9" w:rsidRPr="00CA25CF" w:rsidRDefault="002C0FD9" w:rsidP="00CA25CF">
            <w:pPr>
              <w:rPr>
                <w:rFonts w:cs="Arial"/>
                <w:color w:val="FF0000"/>
                <w:sz w:val="21"/>
                <w:szCs w:val="21"/>
              </w:rPr>
            </w:pPr>
          </w:p>
        </w:tc>
        <w:tc>
          <w:tcPr>
            <w:tcW w:w="217" w:type="dxa"/>
          </w:tcPr>
          <w:p w14:paraId="1E45EDE1" w14:textId="77777777" w:rsidR="002C0FD9" w:rsidRPr="00CA25CF" w:rsidRDefault="002C0FD9" w:rsidP="00CA25CF">
            <w:pPr>
              <w:rPr>
                <w:rFonts w:cs="Arial"/>
                <w:color w:val="FF0000"/>
                <w:sz w:val="21"/>
                <w:szCs w:val="21"/>
              </w:rPr>
            </w:pPr>
          </w:p>
        </w:tc>
        <w:tc>
          <w:tcPr>
            <w:tcW w:w="217" w:type="dxa"/>
          </w:tcPr>
          <w:p w14:paraId="7BC382C9" w14:textId="77777777" w:rsidR="002C0FD9" w:rsidRPr="00CA25CF" w:rsidRDefault="002C0FD9" w:rsidP="00CA25CF">
            <w:pPr>
              <w:rPr>
                <w:rFonts w:cs="Arial"/>
                <w:color w:val="FF0000"/>
                <w:sz w:val="21"/>
                <w:szCs w:val="21"/>
              </w:rPr>
            </w:pPr>
          </w:p>
        </w:tc>
        <w:tc>
          <w:tcPr>
            <w:tcW w:w="217" w:type="dxa"/>
          </w:tcPr>
          <w:p w14:paraId="167D661D" w14:textId="77777777" w:rsidR="002C0FD9" w:rsidRPr="00CA25CF" w:rsidRDefault="002C0FD9" w:rsidP="00CA25CF">
            <w:pPr>
              <w:rPr>
                <w:rFonts w:cs="Arial"/>
                <w:color w:val="FF0000"/>
                <w:sz w:val="21"/>
                <w:szCs w:val="21"/>
              </w:rPr>
            </w:pPr>
          </w:p>
        </w:tc>
        <w:tc>
          <w:tcPr>
            <w:tcW w:w="217" w:type="dxa"/>
          </w:tcPr>
          <w:p w14:paraId="63C31B35" w14:textId="77777777" w:rsidR="002C0FD9" w:rsidRPr="00CA25CF" w:rsidRDefault="002C0FD9" w:rsidP="00CA25CF">
            <w:pPr>
              <w:rPr>
                <w:rFonts w:cs="Arial"/>
                <w:color w:val="FF0000"/>
                <w:sz w:val="21"/>
                <w:szCs w:val="21"/>
              </w:rPr>
            </w:pPr>
          </w:p>
        </w:tc>
        <w:tc>
          <w:tcPr>
            <w:tcW w:w="217" w:type="dxa"/>
          </w:tcPr>
          <w:p w14:paraId="4EF7B4B1" w14:textId="77777777" w:rsidR="002C0FD9" w:rsidRPr="00CA25CF" w:rsidRDefault="002C0FD9" w:rsidP="00CA25CF">
            <w:pPr>
              <w:rPr>
                <w:rFonts w:cs="Arial"/>
                <w:color w:val="FF0000"/>
                <w:sz w:val="21"/>
                <w:szCs w:val="21"/>
              </w:rPr>
            </w:pPr>
          </w:p>
        </w:tc>
        <w:tc>
          <w:tcPr>
            <w:tcW w:w="217" w:type="dxa"/>
          </w:tcPr>
          <w:p w14:paraId="0FDBCE7C" w14:textId="77777777" w:rsidR="002C0FD9" w:rsidRPr="00CA25CF" w:rsidRDefault="002C0FD9" w:rsidP="00CA25CF">
            <w:pPr>
              <w:rPr>
                <w:rFonts w:cs="Arial"/>
                <w:color w:val="FF0000"/>
                <w:sz w:val="21"/>
                <w:szCs w:val="21"/>
              </w:rPr>
            </w:pPr>
          </w:p>
        </w:tc>
        <w:tc>
          <w:tcPr>
            <w:tcW w:w="217" w:type="dxa"/>
          </w:tcPr>
          <w:p w14:paraId="7E8D18E6" w14:textId="77777777" w:rsidR="002C0FD9" w:rsidRPr="00CA25CF" w:rsidRDefault="002C0FD9" w:rsidP="00CA25CF">
            <w:pPr>
              <w:rPr>
                <w:rFonts w:cs="Arial"/>
                <w:color w:val="FF0000"/>
                <w:sz w:val="21"/>
                <w:szCs w:val="21"/>
              </w:rPr>
            </w:pPr>
          </w:p>
        </w:tc>
        <w:tc>
          <w:tcPr>
            <w:tcW w:w="217" w:type="dxa"/>
          </w:tcPr>
          <w:p w14:paraId="0601360E" w14:textId="77777777" w:rsidR="002C0FD9" w:rsidRPr="00CA25CF" w:rsidRDefault="002C0FD9" w:rsidP="00CA25CF">
            <w:pPr>
              <w:rPr>
                <w:rFonts w:cs="Arial"/>
                <w:color w:val="FF0000"/>
                <w:sz w:val="21"/>
                <w:szCs w:val="21"/>
              </w:rPr>
            </w:pPr>
          </w:p>
        </w:tc>
        <w:tc>
          <w:tcPr>
            <w:tcW w:w="217" w:type="dxa"/>
          </w:tcPr>
          <w:p w14:paraId="77836C5B" w14:textId="77777777" w:rsidR="002C0FD9" w:rsidRPr="00CA25CF" w:rsidRDefault="002C0FD9" w:rsidP="00CA25CF">
            <w:pPr>
              <w:rPr>
                <w:rFonts w:cs="Arial"/>
                <w:color w:val="FF0000"/>
                <w:sz w:val="21"/>
                <w:szCs w:val="21"/>
              </w:rPr>
            </w:pPr>
          </w:p>
        </w:tc>
        <w:tc>
          <w:tcPr>
            <w:tcW w:w="217" w:type="dxa"/>
          </w:tcPr>
          <w:p w14:paraId="07E0E4E2" w14:textId="77777777" w:rsidR="002C0FD9" w:rsidRPr="00CA25CF" w:rsidRDefault="002C0FD9" w:rsidP="00CA25CF">
            <w:pPr>
              <w:rPr>
                <w:rFonts w:cs="Arial"/>
                <w:color w:val="FF0000"/>
                <w:sz w:val="21"/>
                <w:szCs w:val="21"/>
              </w:rPr>
            </w:pPr>
          </w:p>
        </w:tc>
        <w:tc>
          <w:tcPr>
            <w:tcW w:w="217" w:type="dxa"/>
          </w:tcPr>
          <w:p w14:paraId="59B97550" w14:textId="77777777" w:rsidR="002C0FD9" w:rsidRPr="00CA25CF" w:rsidRDefault="002C0FD9" w:rsidP="00CA25CF">
            <w:pPr>
              <w:rPr>
                <w:rFonts w:cs="Arial"/>
                <w:color w:val="FF0000"/>
                <w:sz w:val="21"/>
                <w:szCs w:val="21"/>
              </w:rPr>
            </w:pPr>
          </w:p>
        </w:tc>
        <w:tc>
          <w:tcPr>
            <w:tcW w:w="217" w:type="dxa"/>
          </w:tcPr>
          <w:p w14:paraId="3AD65548" w14:textId="77777777" w:rsidR="002C0FD9" w:rsidRPr="00CA25CF" w:rsidRDefault="002C0FD9" w:rsidP="00CA25CF">
            <w:pPr>
              <w:rPr>
                <w:rFonts w:cs="Arial"/>
                <w:color w:val="FF0000"/>
                <w:sz w:val="21"/>
                <w:szCs w:val="21"/>
              </w:rPr>
            </w:pPr>
          </w:p>
        </w:tc>
        <w:tc>
          <w:tcPr>
            <w:tcW w:w="217" w:type="dxa"/>
          </w:tcPr>
          <w:p w14:paraId="4B926F1E" w14:textId="77777777" w:rsidR="002C0FD9" w:rsidRPr="00CA25CF" w:rsidRDefault="002C0FD9" w:rsidP="00CA25CF">
            <w:pPr>
              <w:rPr>
                <w:rFonts w:cs="Arial"/>
                <w:color w:val="FF0000"/>
                <w:sz w:val="21"/>
                <w:szCs w:val="21"/>
              </w:rPr>
            </w:pPr>
          </w:p>
        </w:tc>
        <w:tc>
          <w:tcPr>
            <w:tcW w:w="217" w:type="dxa"/>
          </w:tcPr>
          <w:p w14:paraId="4BBDA212" w14:textId="77777777" w:rsidR="002C0FD9" w:rsidRPr="00CA25CF" w:rsidRDefault="002C0FD9" w:rsidP="00CA25CF">
            <w:pPr>
              <w:rPr>
                <w:rFonts w:cs="Arial"/>
                <w:color w:val="FF0000"/>
                <w:sz w:val="21"/>
                <w:szCs w:val="21"/>
              </w:rPr>
            </w:pPr>
          </w:p>
        </w:tc>
        <w:tc>
          <w:tcPr>
            <w:tcW w:w="217" w:type="dxa"/>
          </w:tcPr>
          <w:p w14:paraId="44FF7404" w14:textId="77777777" w:rsidR="002C0FD9" w:rsidRPr="00CA25CF" w:rsidRDefault="002C0FD9" w:rsidP="00CA25CF">
            <w:pPr>
              <w:rPr>
                <w:rFonts w:cs="Arial"/>
                <w:color w:val="FF0000"/>
                <w:sz w:val="21"/>
                <w:szCs w:val="21"/>
              </w:rPr>
            </w:pPr>
          </w:p>
        </w:tc>
        <w:tc>
          <w:tcPr>
            <w:tcW w:w="217" w:type="dxa"/>
          </w:tcPr>
          <w:p w14:paraId="17129160" w14:textId="77777777" w:rsidR="002C0FD9" w:rsidRPr="00CA25CF" w:rsidRDefault="002C0FD9" w:rsidP="00CA25CF">
            <w:pPr>
              <w:rPr>
                <w:rFonts w:cs="Arial"/>
                <w:color w:val="FF0000"/>
                <w:sz w:val="21"/>
                <w:szCs w:val="21"/>
              </w:rPr>
            </w:pPr>
          </w:p>
        </w:tc>
        <w:tc>
          <w:tcPr>
            <w:tcW w:w="217" w:type="dxa"/>
          </w:tcPr>
          <w:p w14:paraId="3E5FD423" w14:textId="77777777" w:rsidR="002C0FD9" w:rsidRPr="00CA25CF" w:rsidRDefault="002C0FD9" w:rsidP="00CA25CF">
            <w:pPr>
              <w:rPr>
                <w:rFonts w:cs="Arial"/>
                <w:color w:val="FF0000"/>
                <w:sz w:val="21"/>
                <w:szCs w:val="21"/>
              </w:rPr>
            </w:pPr>
          </w:p>
        </w:tc>
        <w:tc>
          <w:tcPr>
            <w:tcW w:w="217" w:type="dxa"/>
          </w:tcPr>
          <w:p w14:paraId="7D5A0865" w14:textId="77777777" w:rsidR="002C0FD9" w:rsidRPr="00CA25CF" w:rsidRDefault="002C0FD9" w:rsidP="00CA25CF">
            <w:pPr>
              <w:rPr>
                <w:rFonts w:cs="Arial"/>
                <w:color w:val="FF0000"/>
                <w:sz w:val="21"/>
                <w:szCs w:val="21"/>
              </w:rPr>
            </w:pPr>
          </w:p>
        </w:tc>
        <w:tc>
          <w:tcPr>
            <w:tcW w:w="217" w:type="dxa"/>
          </w:tcPr>
          <w:p w14:paraId="0C5571C4" w14:textId="77777777" w:rsidR="002C0FD9" w:rsidRPr="00CA25CF" w:rsidRDefault="002C0FD9" w:rsidP="00CA25CF">
            <w:pPr>
              <w:rPr>
                <w:rFonts w:cs="Arial"/>
                <w:color w:val="FF0000"/>
                <w:sz w:val="21"/>
                <w:szCs w:val="21"/>
              </w:rPr>
            </w:pPr>
          </w:p>
        </w:tc>
        <w:tc>
          <w:tcPr>
            <w:tcW w:w="217" w:type="dxa"/>
          </w:tcPr>
          <w:p w14:paraId="44FA35B5" w14:textId="77777777" w:rsidR="002C0FD9" w:rsidRPr="00CA25CF" w:rsidRDefault="002C0FD9" w:rsidP="00CA25CF">
            <w:pPr>
              <w:rPr>
                <w:rFonts w:cs="Arial"/>
                <w:color w:val="FF0000"/>
                <w:sz w:val="21"/>
                <w:szCs w:val="21"/>
              </w:rPr>
            </w:pPr>
          </w:p>
        </w:tc>
        <w:tc>
          <w:tcPr>
            <w:tcW w:w="217" w:type="dxa"/>
          </w:tcPr>
          <w:p w14:paraId="4DEB41DC" w14:textId="77777777" w:rsidR="002C0FD9" w:rsidRPr="00CA25CF" w:rsidRDefault="002C0FD9" w:rsidP="00CA25CF">
            <w:pPr>
              <w:rPr>
                <w:rFonts w:cs="Arial"/>
                <w:color w:val="FF0000"/>
                <w:sz w:val="21"/>
                <w:szCs w:val="21"/>
              </w:rPr>
            </w:pPr>
          </w:p>
        </w:tc>
        <w:tc>
          <w:tcPr>
            <w:tcW w:w="217" w:type="dxa"/>
          </w:tcPr>
          <w:p w14:paraId="554A7E58" w14:textId="77777777" w:rsidR="002C0FD9" w:rsidRPr="00CA25CF" w:rsidRDefault="002C0FD9" w:rsidP="00CA25CF">
            <w:pPr>
              <w:rPr>
                <w:rFonts w:cs="Arial"/>
                <w:color w:val="FF0000"/>
                <w:sz w:val="21"/>
                <w:szCs w:val="21"/>
              </w:rPr>
            </w:pPr>
          </w:p>
        </w:tc>
        <w:tc>
          <w:tcPr>
            <w:tcW w:w="217" w:type="dxa"/>
          </w:tcPr>
          <w:p w14:paraId="25DDE59D" w14:textId="77777777" w:rsidR="002C0FD9" w:rsidRPr="00CA25CF" w:rsidRDefault="002C0FD9" w:rsidP="00CA25CF">
            <w:pPr>
              <w:rPr>
                <w:rFonts w:cs="Arial"/>
                <w:color w:val="FF0000"/>
                <w:sz w:val="21"/>
                <w:szCs w:val="21"/>
              </w:rPr>
            </w:pPr>
          </w:p>
        </w:tc>
        <w:tc>
          <w:tcPr>
            <w:tcW w:w="217" w:type="dxa"/>
          </w:tcPr>
          <w:p w14:paraId="4CBE843D" w14:textId="77777777" w:rsidR="002C0FD9" w:rsidRPr="00CA25CF" w:rsidRDefault="002C0FD9" w:rsidP="00CA25CF">
            <w:pPr>
              <w:rPr>
                <w:rFonts w:cs="Arial"/>
                <w:color w:val="FF0000"/>
                <w:sz w:val="21"/>
                <w:szCs w:val="21"/>
              </w:rPr>
            </w:pPr>
          </w:p>
        </w:tc>
        <w:tc>
          <w:tcPr>
            <w:tcW w:w="217" w:type="dxa"/>
          </w:tcPr>
          <w:p w14:paraId="43E3E796" w14:textId="77777777" w:rsidR="002C0FD9" w:rsidRPr="00CA25CF" w:rsidRDefault="002C0FD9" w:rsidP="00CA25CF">
            <w:pPr>
              <w:rPr>
                <w:rFonts w:cs="Arial"/>
                <w:color w:val="FF0000"/>
                <w:sz w:val="21"/>
                <w:szCs w:val="21"/>
              </w:rPr>
            </w:pPr>
          </w:p>
        </w:tc>
        <w:tc>
          <w:tcPr>
            <w:tcW w:w="217" w:type="dxa"/>
          </w:tcPr>
          <w:p w14:paraId="19382DA7" w14:textId="77777777" w:rsidR="002C0FD9" w:rsidRPr="00CA25CF" w:rsidRDefault="002C0FD9" w:rsidP="00CA25CF">
            <w:pPr>
              <w:rPr>
                <w:rFonts w:cs="Arial"/>
                <w:color w:val="FF0000"/>
                <w:sz w:val="21"/>
                <w:szCs w:val="21"/>
              </w:rPr>
            </w:pPr>
          </w:p>
        </w:tc>
        <w:tc>
          <w:tcPr>
            <w:tcW w:w="217" w:type="dxa"/>
          </w:tcPr>
          <w:p w14:paraId="1B3C1013" w14:textId="77777777" w:rsidR="002C0FD9" w:rsidRPr="00CA25CF" w:rsidRDefault="002C0FD9" w:rsidP="00CA25CF">
            <w:pPr>
              <w:rPr>
                <w:rFonts w:cs="Arial"/>
                <w:color w:val="FF0000"/>
                <w:sz w:val="21"/>
                <w:szCs w:val="21"/>
              </w:rPr>
            </w:pPr>
          </w:p>
        </w:tc>
        <w:tc>
          <w:tcPr>
            <w:tcW w:w="217" w:type="dxa"/>
          </w:tcPr>
          <w:p w14:paraId="6A41696A" w14:textId="77777777" w:rsidR="002C0FD9" w:rsidRPr="00CA25CF" w:rsidRDefault="002C0FD9" w:rsidP="00CA25CF">
            <w:pPr>
              <w:rPr>
                <w:rFonts w:cs="Arial"/>
                <w:color w:val="FF0000"/>
                <w:sz w:val="21"/>
                <w:szCs w:val="21"/>
              </w:rPr>
            </w:pPr>
          </w:p>
        </w:tc>
        <w:tc>
          <w:tcPr>
            <w:tcW w:w="217" w:type="dxa"/>
          </w:tcPr>
          <w:p w14:paraId="6A75F068" w14:textId="77777777" w:rsidR="002C0FD9" w:rsidRPr="00CA25CF" w:rsidRDefault="002C0FD9" w:rsidP="00CA25CF">
            <w:pPr>
              <w:rPr>
                <w:rFonts w:cs="Arial"/>
                <w:color w:val="FF0000"/>
                <w:sz w:val="21"/>
                <w:szCs w:val="21"/>
              </w:rPr>
            </w:pPr>
          </w:p>
        </w:tc>
        <w:tc>
          <w:tcPr>
            <w:tcW w:w="217" w:type="dxa"/>
          </w:tcPr>
          <w:p w14:paraId="4994AB02" w14:textId="77777777" w:rsidR="002C0FD9" w:rsidRPr="00CA25CF" w:rsidRDefault="002C0FD9" w:rsidP="00CA25CF">
            <w:pPr>
              <w:rPr>
                <w:rFonts w:cs="Arial"/>
                <w:color w:val="FF0000"/>
                <w:sz w:val="21"/>
                <w:szCs w:val="21"/>
              </w:rPr>
            </w:pPr>
          </w:p>
        </w:tc>
        <w:tc>
          <w:tcPr>
            <w:tcW w:w="217" w:type="dxa"/>
          </w:tcPr>
          <w:p w14:paraId="677154C6" w14:textId="77777777" w:rsidR="002C0FD9" w:rsidRPr="00CA25CF" w:rsidRDefault="002C0FD9" w:rsidP="00CA25CF">
            <w:pPr>
              <w:rPr>
                <w:rFonts w:cs="Arial"/>
                <w:color w:val="FF0000"/>
                <w:sz w:val="21"/>
                <w:szCs w:val="21"/>
              </w:rPr>
            </w:pPr>
          </w:p>
        </w:tc>
        <w:tc>
          <w:tcPr>
            <w:tcW w:w="217" w:type="dxa"/>
          </w:tcPr>
          <w:p w14:paraId="01CE2319" w14:textId="77777777" w:rsidR="002C0FD9" w:rsidRPr="00CA25CF" w:rsidRDefault="002C0FD9" w:rsidP="00CA25CF">
            <w:pPr>
              <w:rPr>
                <w:rFonts w:cs="Arial"/>
                <w:color w:val="FF0000"/>
                <w:sz w:val="21"/>
                <w:szCs w:val="21"/>
              </w:rPr>
            </w:pPr>
          </w:p>
        </w:tc>
        <w:tc>
          <w:tcPr>
            <w:tcW w:w="217" w:type="dxa"/>
          </w:tcPr>
          <w:p w14:paraId="5C253086" w14:textId="77777777" w:rsidR="002C0FD9" w:rsidRPr="00CA25CF" w:rsidRDefault="002C0FD9" w:rsidP="00CA25CF">
            <w:pPr>
              <w:rPr>
                <w:rFonts w:cs="Arial"/>
                <w:color w:val="FF0000"/>
                <w:sz w:val="21"/>
                <w:szCs w:val="21"/>
              </w:rPr>
            </w:pPr>
          </w:p>
        </w:tc>
        <w:tc>
          <w:tcPr>
            <w:tcW w:w="217" w:type="dxa"/>
          </w:tcPr>
          <w:p w14:paraId="19C37899" w14:textId="77777777" w:rsidR="002C0FD9" w:rsidRPr="00CA25CF" w:rsidRDefault="002C0FD9" w:rsidP="00CA25CF">
            <w:pPr>
              <w:rPr>
                <w:rFonts w:cs="Arial"/>
                <w:color w:val="FF0000"/>
                <w:sz w:val="21"/>
                <w:szCs w:val="21"/>
              </w:rPr>
            </w:pPr>
          </w:p>
        </w:tc>
        <w:tc>
          <w:tcPr>
            <w:tcW w:w="217" w:type="dxa"/>
          </w:tcPr>
          <w:p w14:paraId="7AF64FFC" w14:textId="77777777" w:rsidR="002C0FD9" w:rsidRPr="00CA25CF" w:rsidRDefault="002C0FD9" w:rsidP="00CA25CF">
            <w:pPr>
              <w:rPr>
                <w:rFonts w:cs="Arial"/>
                <w:color w:val="FF0000"/>
                <w:sz w:val="21"/>
                <w:szCs w:val="21"/>
              </w:rPr>
            </w:pPr>
          </w:p>
        </w:tc>
        <w:tc>
          <w:tcPr>
            <w:tcW w:w="217" w:type="dxa"/>
          </w:tcPr>
          <w:p w14:paraId="56675E8C" w14:textId="77777777" w:rsidR="002C0FD9" w:rsidRPr="00CA25CF" w:rsidRDefault="002C0FD9" w:rsidP="00CA25CF">
            <w:pPr>
              <w:rPr>
                <w:rFonts w:cs="Arial"/>
                <w:color w:val="FF0000"/>
                <w:sz w:val="21"/>
                <w:szCs w:val="21"/>
              </w:rPr>
            </w:pPr>
          </w:p>
        </w:tc>
        <w:tc>
          <w:tcPr>
            <w:tcW w:w="217" w:type="dxa"/>
          </w:tcPr>
          <w:p w14:paraId="56A2FF31" w14:textId="77777777" w:rsidR="002C0FD9" w:rsidRPr="00CA25CF" w:rsidRDefault="002C0FD9" w:rsidP="00CA25CF">
            <w:pPr>
              <w:rPr>
                <w:rFonts w:cs="Arial"/>
                <w:color w:val="FF0000"/>
                <w:sz w:val="21"/>
                <w:szCs w:val="21"/>
              </w:rPr>
            </w:pPr>
          </w:p>
        </w:tc>
        <w:tc>
          <w:tcPr>
            <w:tcW w:w="217" w:type="dxa"/>
          </w:tcPr>
          <w:p w14:paraId="4624EEF1" w14:textId="77777777" w:rsidR="002C0FD9" w:rsidRPr="00CA25CF" w:rsidRDefault="002C0FD9" w:rsidP="00CA25CF">
            <w:pPr>
              <w:rPr>
                <w:rFonts w:cs="Arial"/>
                <w:color w:val="FF0000"/>
                <w:sz w:val="21"/>
                <w:szCs w:val="21"/>
              </w:rPr>
            </w:pPr>
          </w:p>
        </w:tc>
        <w:tc>
          <w:tcPr>
            <w:tcW w:w="217" w:type="dxa"/>
          </w:tcPr>
          <w:p w14:paraId="11EF5BDC" w14:textId="77777777" w:rsidR="002C0FD9" w:rsidRPr="00CA25CF" w:rsidRDefault="002C0FD9" w:rsidP="00CA25CF">
            <w:pPr>
              <w:rPr>
                <w:rFonts w:cs="Arial"/>
                <w:color w:val="FF0000"/>
                <w:sz w:val="21"/>
                <w:szCs w:val="21"/>
              </w:rPr>
            </w:pPr>
          </w:p>
        </w:tc>
      </w:tr>
      <w:tr w:rsidR="002C0FD9" w:rsidRPr="00A16219" w14:paraId="5397E3C1" w14:textId="12FB2F1C" w:rsidTr="002C0FD9">
        <w:trPr>
          <w:trHeight w:val="635"/>
        </w:trPr>
        <w:tc>
          <w:tcPr>
            <w:tcW w:w="515" w:type="dxa"/>
          </w:tcPr>
          <w:p w14:paraId="7C9E89D9" w14:textId="77777777" w:rsidR="002C0FD9" w:rsidRPr="00CA25CF" w:rsidRDefault="002C0FD9" w:rsidP="00CA25CF">
            <w:pPr>
              <w:rPr>
                <w:rFonts w:cs="Arial"/>
                <w:color w:val="FF0000"/>
                <w:sz w:val="21"/>
                <w:szCs w:val="21"/>
              </w:rPr>
            </w:pPr>
          </w:p>
        </w:tc>
        <w:tc>
          <w:tcPr>
            <w:tcW w:w="217" w:type="dxa"/>
          </w:tcPr>
          <w:p w14:paraId="5B11305E" w14:textId="77777777" w:rsidR="002C0FD9" w:rsidRPr="00CA25CF" w:rsidRDefault="002C0FD9" w:rsidP="00CA25CF">
            <w:pPr>
              <w:rPr>
                <w:rFonts w:cs="Arial"/>
                <w:color w:val="FF0000"/>
                <w:sz w:val="21"/>
                <w:szCs w:val="21"/>
              </w:rPr>
            </w:pPr>
          </w:p>
        </w:tc>
        <w:tc>
          <w:tcPr>
            <w:tcW w:w="217" w:type="dxa"/>
          </w:tcPr>
          <w:p w14:paraId="691B53B3" w14:textId="6D89D083" w:rsidR="002C0FD9" w:rsidRPr="00CA25CF" w:rsidRDefault="002C0FD9" w:rsidP="00CA25CF">
            <w:pPr>
              <w:rPr>
                <w:rFonts w:cs="Arial"/>
                <w:color w:val="FF0000"/>
                <w:sz w:val="21"/>
                <w:szCs w:val="21"/>
              </w:rPr>
            </w:pPr>
          </w:p>
        </w:tc>
        <w:tc>
          <w:tcPr>
            <w:tcW w:w="217" w:type="dxa"/>
          </w:tcPr>
          <w:p w14:paraId="5866F32F" w14:textId="77777777" w:rsidR="002C0FD9" w:rsidRPr="00CA25CF" w:rsidRDefault="002C0FD9" w:rsidP="00CA25CF">
            <w:pPr>
              <w:rPr>
                <w:rFonts w:cs="Arial"/>
                <w:color w:val="FF0000"/>
                <w:sz w:val="21"/>
                <w:szCs w:val="21"/>
              </w:rPr>
            </w:pPr>
          </w:p>
        </w:tc>
        <w:tc>
          <w:tcPr>
            <w:tcW w:w="217" w:type="dxa"/>
          </w:tcPr>
          <w:p w14:paraId="008C4744" w14:textId="77777777" w:rsidR="002C0FD9" w:rsidRPr="00CA25CF" w:rsidRDefault="002C0FD9" w:rsidP="00CA25CF">
            <w:pPr>
              <w:rPr>
                <w:rFonts w:cs="Arial"/>
                <w:color w:val="FF0000"/>
                <w:sz w:val="21"/>
                <w:szCs w:val="21"/>
              </w:rPr>
            </w:pPr>
          </w:p>
        </w:tc>
        <w:tc>
          <w:tcPr>
            <w:tcW w:w="217" w:type="dxa"/>
          </w:tcPr>
          <w:p w14:paraId="2096B27A" w14:textId="77777777" w:rsidR="002C0FD9" w:rsidRPr="00CA25CF" w:rsidRDefault="002C0FD9" w:rsidP="00CA25CF">
            <w:pPr>
              <w:rPr>
                <w:rFonts w:cs="Arial"/>
                <w:color w:val="FF0000"/>
                <w:sz w:val="21"/>
                <w:szCs w:val="21"/>
              </w:rPr>
            </w:pPr>
          </w:p>
        </w:tc>
        <w:tc>
          <w:tcPr>
            <w:tcW w:w="217" w:type="dxa"/>
          </w:tcPr>
          <w:p w14:paraId="5049C3B1" w14:textId="77777777" w:rsidR="002C0FD9" w:rsidRPr="00CA25CF" w:rsidRDefault="002C0FD9" w:rsidP="00CA25CF">
            <w:pPr>
              <w:rPr>
                <w:rFonts w:cs="Arial"/>
                <w:color w:val="FF0000"/>
                <w:sz w:val="21"/>
                <w:szCs w:val="21"/>
              </w:rPr>
            </w:pPr>
          </w:p>
        </w:tc>
        <w:tc>
          <w:tcPr>
            <w:tcW w:w="217" w:type="dxa"/>
          </w:tcPr>
          <w:p w14:paraId="38E54CAF" w14:textId="77777777" w:rsidR="002C0FD9" w:rsidRPr="00CA25CF" w:rsidRDefault="002C0FD9" w:rsidP="00CA25CF">
            <w:pPr>
              <w:rPr>
                <w:rFonts w:cs="Arial"/>
                <w:color w:val="FF0000"/>
                <w:sz w:val="21"/>
                <w:szCs w:val="21"/>
              </w:rPr>
            </w:pPr>
          </w:p>
        </w:tc>
        <w:tc>
          <w:tcPr>
            <w:tcW w:w="217" w:type="dxa"/>
          </w:tcPr>
          <w:p w14:paraId="4FBB9C9B" w14:textId="77777777" w:rsidR="002C0FD9" w:rsidRPr="00CA25CF" w:rsidRDefault="002C0FD9" w:rsidP="00CA25CF">
            <w:pPr>
              <w:rPr>
                <w:rFonts w:cs="Arial"/>
                <w:color w:val="FF0000"/>
                <w:sz w:val="21"/>
                <w:szCs w:val="21"/>
              </w:rPr>
            </w:pPr>
          </w:p>
        </w:tc>
        <w:tc>
          <w:tcPr>
            <w:tcW w:w="217" w:type="dxa"/>
          </w:tcPr>
          <w:p w14:paraId="6B73C7A3" w14:textId="77777777" w:rsidR="002C0FD9" w:rsidRPr="00CA25CF" w:rsidRDefault="002C0FD9" w:rsidP="00CA25CF">
            <w:pPr>
              <w:rPr>
                <w:rFonts w:cs="Arial"/>
                <w:color w:val="FF0000"/>
                <w:sz w:val="21"/>
                <w:szCs w:val="21"/>
              </w:rPr>
            </w:pPr>
          </w:p>
        </w:tc>
        <w:tc>
          <w:tcPr>
            <w:tcW w:w="217" w:type="dxa"/>
          </w:tcPr>
          <w:p w14:paraId="53BEB68B" w14:textId="77777777" w:rsidR="002C0FD9" w:rsidRPr="00CA25CF" w:rsidRDefault="002C0FD9" w:rsidP="00CA25CF">
            <w:pPr>
              <w:rPr>
                <w:rFonts w:cs="Arial"/>
                <w:color w:val="FF0000"/>
                <w:sz w:val="21"/>
                <w:szCs w:val="21"/>
              </w:rPr>
            </w:pPr>
          </w:p>
        </w:tc>
        <w:tc>
          <w:tcPr>
            <w:tcW w:w="217" w:type="dxa"/>
          </w:tcPr>
          <w:p w14:paraId="566DD5C6" w14:textId="77777777" w:rsidR="002C0FD9" w:rsidRPr="00CA25CF" w:rsidRDefault="002C0FD9" w:rsidP="00CA25CF">
            <w:pPr>
              <w:rPr>
                <w:rFonts w:cs="Arial"/>
                <w:color w:val="FF0000"/>
                <w:sz w:val="21"/>
                <w:szCs w:val="21"/>
              </w:rPr>
            </w:pPr>
          </w:p>
        </w:tc>
        <w:tc>
          <w:tcPr>
            <w:tcW w:w="217" w:type="dxa"/>
          </w:tcPr>
          <w:p w14:paraId="4EAF009E" w14:textId="77777777" w:rsidR="002C0FD9" w:rsidRPr="00CA25CF" w:rsidRDefault="002C0FD9" w:rsidP="00CA25CF">
            <w:pPr>
              <w:rPr>
                <w:rFonts w:cs="Arial"/>
                <w:color w:val="FF0000"/>
                <w:sz w:val="21"/>
                <w:szCs w:val="21"/>
              </w:rPr>
            </w:pPr>
          </w:p>
        </w:tc>
        <w:tc>
          <w:tcPr>
            <w:tcW w:w="217" w:type="dxa"/>
          </w:tcPr>
          <w:p w14:paraId="2AB7989F" w14:textId="77777777" w:rsidR="002C0FD9" w:rsidRPr="00CA25CF" w:rsidRDefault="002C0FD9" w:rsidP="00CA25CF">
            <w:pPr>
              <w:rPr>
                <w:rFonts w:cs="Arial"/>
                <w:color w:val="FF0000"/>
                <w:sz w:val="21"/>
                <w:szCs w:val="21"/>
              </w:rPr>
            </w:pPr>
          </w:p>
        </w:tc>
        <w:tc>
          <w:tcPr>
            <w:tcW w:w="217" w:type="dxa"/>
          </w:tcPr>
          <w:p w14:paraId="6066E2D4" w14:textId="77777777" w:rsidR="002C0FD9" w:rsidRPr="00CA25CF" w:rsidRDefault="002C0FD9" w:rsidP="00CA25CF">
            <w:pPr>
              <w:rPr>
                <w:rFonts w:cs="Arial"/>
                <w:color w:val="FF0000"/>
                <w:sz w:val="21"/>
                <w:szCs w:val="21"/>
              </w:rPr>
            </w:pPr>
          </w:p>
        </w:tc>
        <w:tc>
          <w:tcPr>
            <w:tcW w:w="217" w:type="dxa"/>
          </w:tcPr>
          <w:p w14:paraId="6618BB66" w14:textId="77777777" w:rsidR="002C0FD9" w:rsidRPr="00CA25CF" w:rsidRDefault="002C0FD9" w:rsidP="00CA25CF">
            <w:pPr>
              <w:rPr>
                <w:rFonts w:cs="Arial"/>
                <w:color w:val="FF0000"/>
                <w:sz w:val="21"/>
                <w:szCs w:val="21"/>
              </w:rPr>
            </w:pPr>
          </w:p>
        </w:tc>
        <w:tc>
          <w:tcPr>
            <w:tcW w:w="217" w:type="dxa"/>
          </w:tcPr>
          <w:p w14:paraId="5DDA36D5" w14:textId="77777777" w:rsidR="002C0FD9" w:rsidRPr="00CA25CF" w:rsidRDefault="002C0FD9" w:rsidP="00CA25CF">
            <w:pPr>
              <w:rPr>
                <w:rFonts w:cs="Arial"/>
                <w:color w:val="FF0000"/>
                <w:sz w:val="21"/>
                <w:szCs w:val="21"/>
              </w:rPr>
            </w:pPr>
          </w:p>
        </w:tc>
        <w:tc>
          <w:tcPr>
            <w:tcW w:w="217" w:type="dxa"/>
          </w:tcPr>
          <w:p w14:paraId="1776701C" w14:textId="77777777" w:rsidR="002C0FD9" w:rsidRPr="00CA25CF" w:rsidRDefault="002C0FD9" w:rsidP="00CA25CF">
            <w:pPr>
              <w:rPr>
                <w:rFonts w:cs="Arial"/>
                <w:color w:val="FF0000"/>
                <w:sz w:val="21"/>
                <w:szCs w:val="21"/>
              </w:rPr>
            </w:pPr>
          </w:p>
        </w:tc>
        <w:tc>
          <w:tcPr>
            <w:tcW w:w="217" w:type="dxa"/>
          </w:tcPr>
          <w:p w14:paraId="35B796C6" w14:textId="77777777" w:rsidR="002C0FD9" w:rsidRPr="00CA25CF" w:rsidRDefault="002C0FD9" w:rsidP="00CA25CF">
            <w:pPr>
              <w:rPr>
                <w:rFonts w:cs="Arial"/>
                <w:color w:val="FF0000"/>
                <w:sz w:val="21"/>
                <w:szCs w:val="21"/>
              </w:rPr>
            </w:pPr>
          </w:p>
        </w:tc>
        <w:tc>
          <w:tcPr>
            <w:tcW w:w="217" w:type="dxa"/>
          </w:tcPr>
          <w:p w14:paraId="5F1FF109" w14:textId="77777777" w:rsidR="002C0FD9" w:rsidRPr="00CA25CF" w:rsidRDefault="002C0FD9" w:rsidP="00CA25CF">
            <w:pPr>
              <w:rPr>
                <w:rFonts w:cs="Arial"/>
                <w:color w:val="FF0000"/>
                <w:sz w:val="21"/>
                <w:szCs w:val="21"/>
              </w:rPr>
            </w:pPr>
          </w:p>
        </w:tc>
        <w:tc>
          <w:tcPr>
            <w:tcW w:w="217" w:type="dxa"/>
          </w:tcPr>
          <w:p w14:paraId="676ECE91" w14:textId="77777777" w:rsidR="002C0FD9" w:rsidRPr="00CA25CF" w:rsidRDefault="002C0FD9" w:rsidP="00CA25CF">
            <w:pPr>
              <w:rPr>
                <w:rFonts w:cs="Arial"/>
                <w:color w:val="FF0000"/>
                <w:sz w:val="21"/>
                <w:szCs w:val="21"/>
              </w:rPr>
            </w:pPr>
          </w:p>
        </w:tc>
        <w:tc>
          <w:tcPr>
            <w:tcW w:w="217" w:type="dxa"/>
          </w:tcPr>
          <w:p w14:paraId="20F78AE3" w14:textId="77777777" w:rsidR="002C0FD9" w:rsidRPr="00CA25CF" w:rsidRDefault="002C0FD9" w:rsidP="00CA25CF">
            <w:pPr>
              <w:rPr>
                <w:rFonts w:cs="Arial"/>
                <w:color w:val="FF0000"/>
                <w:sz w:val="21"/>
                <w:szCs w:val="21"/>
              </w:rPr>
            </w:pPr>
          </w:p>
        </w:tc>
        <w:tc>
          <w:tcPr>
            <w:tcW w:w="217" w:type="dxa"/>
          </w:tcPr>
          <w:p w14:paraId="494AFCFE" w14:textId="77777777" w:rsidR="002C0FD9" w:rsidRPr="00CA25CF" w:rsidRDefault="002C0FD9" w:rsidP="00CA25CF">
            <w:pPr>
              <w:rPr>
                <w:rFonts w:cs="Arial"/>
                <w:color w:val="FF0000"/>
                <w:sz w:val="21"/>
                <w:szCs w:val="21"/>
              </w:rPr>
            </w:pPr>
          </w:p>
        </w:tc>
        <w:tc>
          <w:tcPr>
            <w:tcW w:w="217" w:type="dxa"/>
          </w:tcPr>
          <w:p w14:paraId="5CD88279" w14:textId="77777777" w:rsidR="002C0FD9" w:rsidRPr="00CA25CF" w:rsidRDefault="002C0FD9" w:rsidP="00CA25CF">
            <w:pPr>
              <w:rPr>
                <w:rFonts w:cs="Arial"/>
                <w:color w:val="FF0000"/>
                <w:sz w:val="21"/>
                <w:szCs w:val="21"/>
              </w:rPr>
            </w:pPr>
          </w:p>
        </w:tc>
        <w:tc>
          <w:tcPr>
            <w:tcW w:w="217" w:type="dxa"/>
          </w:tcPr>
          <w:p w14:paraId="791252DD" w14:textId="77777777" w:rsidR="002C0FD9" w:rsidRPr="00CA25CF" w:rsidRDefault="002C0FD9" w:rsidP="00CA25CF">
            <w:pPr>
              <w:rPr>
                <w:rFonts w:cs="Arial"/>
                <w:color w:val="FF0000"/>
                <w:sz w:val="21"/>
                <w:szCs w:val="21"/>
              </w:rPr>
            </w:pPr>
          </w:p>
        </w:tc>
        <w:tc>
          <w:tcPr>
            <w:tcW w:w="217" w:type="dxa"/>
          </w:tcPr>
          <w:p w14:paraId="4F01F29A" w14:textId="77777777" w:rsidR="002C0FD9" w:rsidRPr="00CA25CF" w:rsidRDefault="002C0FD9" w:rsidP="00CA25CF">
            <w:pPr>
              <w:rPr>
                <w:rFonts w:cs="Arial"/>
                <w:color w:val="FF0000"/>
                <w:sz w:val="21"/>
                <w:szCs w:val="21"/>
              </w:rPr>
            </w:pPr>
          </w:p>
        </w:tc>
        <w:tc>
          <w:tcPr>
            <w:tcW w:w="217" w:type="dxa"/>
          </w:tcPr>
          <w:p w14:paraId="18C4E3A0" w14:textId="77777777" w:rsidR="002C0FD9" w:rsidRPr="00CA25CF" w:rsidRDefault="002C0FD9" w:rsidP="00CA25CF">
            <w:pPr>
              <w:rPr>
                <w:rFonts w:cs="Arial"/>
                <w:color w:val="FF0000"/>
                <w:sz w:val="21"/>
                <w:szCs w:val="21"/>
              </w:rPr>
            </w:pPr>
          </w:p>
        </w:tc>
        <w:tc>
          <w:tcPr>
            <w:tcW w:w="217" w:type="dxa"/>
          </w:tcPr>
          <w:p w14:paraId="545D3742" w14:textId="77777777" w:rsidR="002C0FD9" w:rsidRPr="00CA25CF" w:rsidRDefault="002C0FD9" w:rsidP="00CA25CF">
            <w:pPr>
              <w:rPr>
                <w:rFonts w:cs="Arial"/>
                <w:color w:val="FF0000"/>
                <w:sz w:val="21"/>
                <w:szCs w:val="21"/>
              </w:rPr>
            </w:pPr>
          </w:p>
        </w:tc>
        <w:tc>
          <w:tcPr>
            <w:tcW w:w="217" w:type="dxa"/>
          </w:tcPr>
          <w:p w14:paraId="171DB96B" w14:textId="77777777" w:rsidR="002C0FD9" w:rsidRPr="00CA25CF" w:rsidRDefault="002C0FD9" w:rsidP="00CA25CF">
            <w:pPr>
              <w:rPr>
                <w:rFonts w:cs="Arial"/>
                <w:color w:val="FF0000"/>
                <w:sz w:val="21"/>
                <w:szCs w:val="21"/>
              </w:rPr>
            </w:pPr>
          </w:p>
        </w:tc>
        <w:tc>
          <w:tcPr>
            <w:tcW w:w="217" w:type="dxa"/>
          </w:tcPr>
          <w:p w14:paraId="6A5EFA90" w14:textId="77777777" w:rsidR="002C0FD9" w:rsidRPr="00CA25CF" w:rsidRDefault="002C0FD9" w:rsidP="00CA25CF">
            <w:pPr>
              <w:rPr>
                <w:rFonts w:cs="Arial"/>
                <w:color w:val="FF0000"/>
                <w:sz w:val="21"/>
                <w:szCs w:val="21"/>
              </w:rPr>
            </w:pPr>
          </w:p>
        </w:tc>
        <w:tc>
          <w:tcPr>
            <w:tcW w:w="217" w:type="dxa"/>
          </w:tcPr>
          <w:p w14:paraId="58BF4518" w14:textId="77777777" w:rsidR="002C0FD9" w:rsidRPr="00CA25CF" w:rsidRDefault="002C0FD9" w:rsidP="00CA25CF">
            <w:pPr>
              <w:rPr>
                <w:rFonts w:cs="Arial"/>
                <w:color w:val="FF0000"/>
                <w:sz w:val="21"/>
                <w:szCs w:val="21"/>
              </w:rPr>
            </w:pPr>
          </w:p>
        </w:tc>
        <w:tc>
          <w:tcPr>
            <w:tcW w:w="217" w:type="dxa"/>
          </w:tcPr>
          <w:p w14:paraId="3CCAA14E" w14:textId="77777777" w:rsidR="002C0FD9" w:rsidRPr="00CA25CF" w:rsidRDefault="002C0FD9" w:rsidP="00CA25CF">
            <w:pPr>
              <w:rPr>
                <w:rFonts w:cs="Arial"/>
                <w:color w:val="FF0000"/>
                <w:sz w:val="21"/>
                <w:szCs w:val="21"/>
              </w:rPr>
            </w:pPr>
          </w:p>
        </w:tc>
        <w:tc>
          <w:tcPr>
            <w:tcW w:w="217" w:type="dxa"/>
          </w:tcPr>
          <w:p w14:paraId="449B0347" w14:textId="77777777" w:rsidR="002C0FD9" w:rsidRPr="00CA25CF" w:rsidRDefault="002C0FD9" w:rsidP="00CA25CF">
            <w:pPr>
              <w:rPr>
                <w:rFonts w:cs="Arial"/>
                <w:color w:val="FF0000"/>
                <w:sz w:val="21"/>
                <w:szCs w:val="21"/>
              </w:rPr>
            </w:pPr>
          </w:p>
        </w:tc>
        <w:tc>
          <w:tcPr>
            <w:tcW w:w="217" w:type="dxa"/>
          </w:tcPr>
          <w:p w14:paraId="09D9A1C0" w14:textId="77777777" w:rsidR="002C0FD9" w:rsidRPr="00CA25CF" w:rsidRDefault="002C0FD9" w:rsidP="00CA25CF">
            <w:pPr>
              <w:rPr>
                <w:rFonts w:cs="Arial"/>
                <w:color w:val="FF0000"/>
                <w:sz w:val="21"/>
                <w:szCs w:val="21"/>
              </w:rPr>
            </w:pPr>
          </w:p>
        </w:tc>
        <w:tc>
          <w:tcPr>
            <w:tcW w:w="217" w:type="dxa"/>
          </w:tcPr>
          <w:p w14:paraId="7D1EE5E3" w14:textId="77777777" w:rsidR="002C0FD9" w:rsidRPr="00CA25CF" w:rsidRDefault="002C0FD9" w:rsidP="00CA25CF">
            <w:pPr>
              <w:rPr>
                <w:rFonts w:cs="Arial"/>
                <w:color w:val="FF0000"/>
                <w:sz w:val="21"/>
                <w:szCs w:val="21"/>
              </w:rPr>
            </w:pPr>
          </w:p>
        </w:tc>
        <w:tc>
          <w:tcPr>
            <w:tcW w:w="217" w:type="dxa"/>
          </w:tcPr>
          <w:p w14:paraId="25663CF0" w14:textId="77777777" w:rsidR="002C0FD9" w:rsidRPr="00CA25CF" w:rsidRDefault="002C0FD9" w:rsidP="00CA25CF">
            <w:pPr>
              <w:rPr>
                <w:rFonts w:cs="Arial"/>
                <w:color w:val="FF0000"/>
                <w:sz w:val="21"/>
                <w:szCs w:val="21"/>
              </w:rPr>
            </w:pPr>
          </w:p>
        </w:tc>
        <w:tc>
          <w:tcPr>
            <w:tcW w:w="217" w:type="dxa"/>
          </w:tcPr>
          <w:p w14:paraId="5E3C863F" w14:textId="77777777" w:rsidR="002C0FD9" w:rsidRPr="00CA25CF" w:rsidRDefault="002C0FD9" w:rsidP="00CA25CF">
            <w:pPr>
              <w:rPr>
                <w:rFonts w:cs="Arial"/>
                <w:color w:val="FF0000"/>
                <w:sz w:val="21"/>
                <w:szCs w:val="21"/>
              </w:rPr>
            </w:pPr>
          </w:p>
        </w:tc>
        <w:tc>
          <w:tcPr>
            <w:tcW w:w="217" w:type="dxa"/>
          </w:tcPr>
          <w:p w14:paraId="52F70E87" w14:textId="77777777" w:rsidR="002C0FD9" w:rsidRPr="00CA25CF" w:rsidRDefault="002C0FD9" w:rsidP="00CA25CF">
            <w:pPr>
              <w:rPr>
                <w:rFonts w:cs="Arial"/>
                <w:color w:val="FF0000"/>
                <w:sz w:val="21"/>
                <w:szCs w:val="21"/>
              </w:rPr>
            </w:pPr>
          </w:p>
        </w:tc>
        <w:tc>
          <w:tcPr>
            <w:tcW w:w="217" w:type="dxa"/>
          </w:tcPr>
          <w:p w14:paraId="6AF5439B" w14:textId="77777777" w:rsidR="002C0FD9" w:rsidRPr="00CA25CF" w:rsidRDefault="002C0FD9" w:rsidP="00CA25CF">
            <w:pPr>
              <w:rPr>
                <w:rFonts w:cs="Arial"/>
                <w:color w:val="FF0000"/>
                <w:sz w:val="21"/>
                <w:szCs w:val="21"/>
              </w:rPr>
            </w:pPr>
          </w:p>
        </w:tc>
        <w:tc>
          <w:tcPr>
            <w:tcW w:w="217" w:type="dxa"/>
          </w:tcPr>
          <w:p w14:paraId="5E2F8718" w14:textId="77777777" w:rsidR="002C0FD9" w:rsidRPr="00CA25CF" w:rsidRDefault="002C0FD9" w:rsidP="00CA25CF">
            <w:pPr>
              <w:rPr>
                <w:rFonts w:cs="Arial"/>
                <w:color w:val="FF0000"/>
                <w:sz w:val="21"/>
                <w:szCs w:val="21"/>
              </w:rPr>
            </w:pPr>
          </w:p>
        </w:tc>
        <w:tc>
          <w:tcPr>
            <w:tcW w:w="217" w:type="dxa"/>
          </w:tcPr>
          <w:p w14:paraId="605E923D" w14:textId="77777777" w:rsidR="002C0FD9" w:rsidRPr="00CA25CF" w:rsidRDefault="002C0FD9" w:rsidP="00CA25CF">
            <w:pPr>
              <w:rPr>
                <w:rFonts w:cs="Arial"/>
                <w:color w:val="FF0000"/>
                <w:sz w:val="21"/>
                <w:szCs w:val="21"/>
              </w:rPr>
            </w:pPr>
          </w:p>
        </w:tc>
        <w:tc>
          <w:tcPr>
            <w:tcW w:w="217" w:type="dxa"/>
          </w:tcPr>
          <w:p w14:paraId="271D04EE" w14:textId="77777777" w:rsidR="002C0FD9" w:rsidRPr="00CA25CF" w:rsidRDefault="002C0FD9" w:rsidP="00CA25CF">
            <w:pPr>
              <w:rPr>
                <w:rFonts w:cs="Arial"/>
                <w:color w:val="FF0000"/>
                <w:sz w:val="21"/>
                <w:szCs w:val="21"/>
              </w:rPr>
            </w:pPr>
          </w:p>
        </w:tc>
        <w:tc>
          <w:tcPr>
            <w:tcW w:w="217" w:type="dxa"/>
          </w:tcPr>
          <w:p w14:paraId="1F52DEFA" w14:textId="77777777" w:rsidR="002C0FD9" w:rsidRPr="00CA25CF" w:rsidRDefault="002C0FD9" w:rsidP="00CA25CF">
            <w:pPr>
              <w:rPr>
                <w:rFonts w:cs="Arial"/>
                <w:color w:val="FF0000"/>
                <w:sz w:val="21"/>
                <w:szCs w:val="21"/>
              </w:rPr>
            </w:pPr>
          </w:p>
        </w:tc>
      </w:tr>
      <w:tr w:rsidR="002C0FD9" w:rsidRPr="00A16219" w14:paraId="410E91A8" w14:textId="2D7D5892" w:rsidTr="002C0FD9">
        <w:trPr>
          <w:trHeight w:val="635"/>
        </w:trPr>
        <w:tc>
          <w:tcPr>
            <w:tcW w:w="515" w:type="dxa"/>
          </w:tcPr>
          <w:p w14:paraId="05095349" w14:textId="77777777" w:rsidR="002C0FD9" w:rsidRPr="00CA25CF" w:rsidRDefault="002C0FD9" w:rsidP="00CA25CF">
            <w:pPr>
              <w:rPr>
                <w:rFonts w:cs="Arial"/>
                <w:color w:val="FF0000"/>
                <w:sz w:val="21"/>
                <w:szCs w:val="21"/>
              </w:rPr>
            </w:pPr>
          </w:p>
        </w:tc>
        <w:tc>
          <w:tcPr>
            <w:tcW w:w="217" w:type="dxa"/>
          </w:tcPr>
          <w:p w14:paraId="0D56A67F" w14:textId="77777777" w:rsidR="002C0FD9" w:rsidRPr="00CA25CF" w:rsidRDefault="002C0FD9" w:rsidP="00CA25CF">
            <w:pPr>
              <w:rPr>
                <w:rFonts w:cs="Arial"/>
                <w:color w:val="FF0000"/>
                <w:sz w:val="21"/>
                <w:szCs w:val="21"/>
              </w:rPr>
            </w:pPr>
          </w:p>
        </w:tc>
        <w:tc>
          <w:tcPr>
            <w:tcW w:w="217" w:type="dxa"/>
          </w:tcPr>
          <w:p w14:paraId="51CCC7C6" w14:textId="5C10D8B6" w:rsidR="002C0FD9" w:rsidRPr="00CA25CF" w:rsidRDefault="002C0FD9" w:rsidP="00CA25CF">
            <w:pPr>
              <w:rPr>
                <w:rFonts w:cs="Arial"/>
                <w:color w:val="FF0000"/>
                <w:sz w:val="21"/>
                <w:szCs w:val="21"/>
              </w:rPr>
            </w:pPr>
          </w:p>
        </w:tc>
        <w:tc>
          <w:tcPr>
            <w:tcW w:w="217" w:type="dxa"/>
          </w:tcPr>
          <w:p w14:paraId="3818CFDF" w14:textId="77777777" w:rsidR="002C0FD9" w:rsidRPr="00CA25CF" w:rsidRDefault="002C0FD9" w:rsidP="00CA25CF">
            <w:pPr>
              <w:rPr>
                <w:rFonts w:cs="Arial"/>
                <w:color w:val="FF0000"/>
                <w:sz w:val="21"/>
                <w:szCs w:val="21"/>
              </w:rPr>
            </w:pPr>
          </w:p>
        </w:tc>
        <w:tc>
          <w:tcPr>
            <w:tcW w:w="217" w:type="dxa"/>
          </w:tcPr>
          <w:p w14:paraId="2AEB68CB" w14:textId="77777777" w:rsidR="002C0FD9" w:rsidRPr="00CA25CF" w:rsidRDefault="002C0FD9" w:rsidP="00CA25CF">
            <w:pPr>
              <w:rPr>
                <w:rFonts w:cs="Arial"/>
                <w:color w:val="FF0000"/>
                <w:sz w:val="21"/>
                <w:szCs w:val="21"/>
              </w:rPr>
            </w:pPr>
          </w:p>
        </w:tc>
        <w:tc>
          <w:tcPr>
            <w:tcW w:w="217" w:type="dxa"/>
          </w:tcPr>
          <w:p w14:paraId="241FF1DD" w14:textId="77777777" w:rsidR="002C0FD9" w:rsidRPr="00CA25CF" w:rsidRDefault="002C0FD9" w:rsidP="00CA25CF">
            <w:pPr>
              <w:rPr>
                <w:rFonts w:cs="Arial"/>
                <w:color w:val="FF0000"/>
                <w:sz w:val="21"/>
                <w:szCs w:val="21"/>
              </w:rPr>
            </w:pPr>
          </w:p>
        </w:tc>
        <w:tc>
          <w:tcPr>
            <w:tcW w:w="217" w:type="dxa"/>
          </w:tcPr>
          <w:p w14:paraId="788E7503" w14:textId="77777777" w:rsidR="002C0FD9" w:rsidRPr="00CA25CF" w:rsidRDefault="002C0FD9" w:rsidP="00CA25CF">
            <w:pPr>
              <w:rPr>
                <w:rFonts w:cs="Arial"/>
                <w:color w:val="FF0000"/>
                <w:sz w:val="21"/>
                <w:szCs w:val="21"/>
              </w:rPr>
            </w:pPr>
          </w:p>
        </w:tc>
        <w:tc>
          <w:tcPr>
            <w:tcW w:w="217" w:type="dxa"/>
          </w:tcPr>
          <w:p w14:paraId="0C2BEA1B" w14:textId="77777777" w:rsidR="002C0FD9" w:rsidRPr="00CA25CF" w:rsidRDefault="002C0FD9" w:rsidP="00CA25CF">
            <w:pPr>
              <w:rPr>
                <w:rFonts w:cs="Arial"/>
                <w:color w:val="FF0000"/>
                <w:sz w:val="21"/>
                <w:szCs w:val="21"/>
              </w:rPr>
            </w:pPr>
          </w:p>
        </w:tc>
        <w:tc>
          <w:tcPr>
            <w:tcW w:w="217" w:type="dxa"/>
          </w:tcPr>
          <w:p w14:paraId="0BC0C496" w14:textId="77777777" w:rsidR="002C0FD9" w:rsidRPr="00CA25CF" w:rsidRDefault="002C0FD9" w:rsidP="00CA25CF">
            <w:pPr>
              <w:rPr>
                <w:rFonts w:cs="Arial"/>
                <w:color w:val="FF0000"/>
                <w:sz w:val="21"/>
                <w:szCs w:val="21"/>
              </w:rPr>
            </w:pPr>
          </w:p>
        </w:tc>
        <w:tc>
          <w:tcPr>
            <w:tcW w:w="217" w:type="dxa"/>
          </w:tcPr>
          <w:p w14:paraId="7D42597F" w14:textId="77777777" w:rsidR="002C0FD9" w:rsidRPr="00CA25CF" w:rsidRDefault="002C0FD9" w:rsidP="00CA25CF">
            <w:pPr>
              <w:rPr>
                <w:rFonts w:cs="Arial"/>
                <w:color w:val="FF0000"/>
                <w:sz w:val="21"/>
                <w:szCs w:val="21"/>
              </w:rPr>
            </w:pPr>
          </w:p>
        </w:tc>
        <w:tc>
          <w:tcPr>
            <w:tcW w:w="217" w:type="dxa"/>
          </w:tcPr>
          <w:p w14:paraId="75706760" w14:textId="77777777" w:rsidR="002C0FD9" w:rsidRPr="00CA25CF" w:rsidRDefault="002C0FD9" w:rsidP="00CA25CF">
            <w:pPr>
              <w:rPr>
                <w:rFonts w:cs="Arial"/>
                <w:color w:val="FF0000"/>
                <w:sz w:val="21"/>
                <w:szCs w:val="21"/>
              </w:rPr>
            </w:pPr>
          </w:p>
        </w:tc>
        <w:tc>
          <w:tcPr>
            <w:tcW w:w="217" w:type="dxa"/>
          </w:tcPr>
          <w:p w14:paraId="743AD305" w14:textId="77777777" w:rsidR="002C0FD9" w:rsidRPr="00CA25CF" w:rsidRDefault="002C0FD9" w:rsidP="00CA25CF">
            <w:pPr>
              <w:rPr>
                <w:rFonts w:cs="Arial"/>
                <w:color w:val="FF0000"/>
                <w:sz w:val="21"/>
                <w:szCs w:val="21"/>
              </w:rPr>
            </w:pPr>
          </w:p>
        </w:tc>
        <w:tc>
          <w:tcPr>
            <w:tcW w:w="217" w:type="dxa"/>
          </w:tcPr>
          <w:p w14:paraId="0FBE5E7B" w14:textId="77777777" w:rsidR="002C0FD9" w:rsidRPr="00CA25CF" w:rsidRDefault="002C0FD9" w:rsidP="00CA25CF">
            <w:pPr>
              <w:rPr>
                <w:rFonts w:cs="Arial"/>
                <w:color w:val="FF0000"/>
                <w:sz w:val="21"/>
                <w:szCs w:val="21"/>
              </w:rPr>
            </w:pPr>
          </w:p>
        </w:tc>
        <w:tc>
          <w:tcPr>
            <w:tcW w:w="217" w:type="dxa"/>
          </w:tcPr>
          <w:p w14:paraId="153B4B4F" w14:textId="77777777" w:rsidR="002C0FD9" w:rsidRPr="00CA25CF" w:rsidRDefault="002C0FD9" w:rsidP="00CA25CF">
            <w:pPr>
              <w:rPr>
                <w:rFonts w:cs="Arial"/>
                <w:color w:val="FF0000"/>
                <w:sz w:val="21"/>
                <w:szCs w:val="21"/>
              </w:rPr>
            </w:pPr>
          </w:p>
        </w:tc>
        <w:tc>
          <w:tcPr>
            <w:tcW w:w="217" w:type="dxa"/>
          </w:tcPr>
          <w:p w14:paraId="1EC4D923" w14:textId="77777777" w:rsidR="002C0FD9" w:rsidRPr="00CA25CF" w:rsidRDefault="002C0FD9" w:rsidP="00CA25CF">
            <w:pPr>
              <w:rPr>
                <w:rFonts w:cs="Arial"/>
                <w:color w:val="FF0000"/>
                <w:sz w:val="21"/>
                <w:szCs w:val="21"/>
              </w:rPr>
            </w:pPr>
          </w:p>
        </w:tc>
        <w:tc>
          <w:tcPr>
            <w:tcW w:w="217" w:type="dxa"/>
          </w:tcPr>
          <w:p w14:paraId="00CAD97A" w14:textId="77777777" w:rsidR="002C0FD9" w:rsidRPr="00CA25CF" w:rsidRDefault="002C0FD9" w:rsidP="00CA25CF">
            <w:pPr>
              <w:rPr>
                <w:rFonts w:cs="Arial"/>
                <w:color w:val="FF0000"/>
                <w:sz w:val="21"/>
                <w:szCs w:val="21"/>
              </w:rPr>
            </w:pPr>
          </w:p>
        </w:tc>
        <w:tc>
          <w:tcPr>
            <w:tcW w:w="217" w:type="dxa"/>
          </w:tcPr>
          <w:p w14:paraId="0105D4EC" w14:textId="77777777" w:rsidR="002C0FD9" w:rsidRPr="00CA25CF" w:rsidRDefault="002C0FD9" w:rsidP="00CA25CF">
            <w:pPr>
              <w:rPr>
                <w:rFonts w:cs="Arial"/>
                <w:color w:val="FF0000"/>
                <w:sz w:val="21"/>
                <w:szCs w:val="21"/>
              </w:rPr>
            </w:pPr>
          </w:p>
        </w:tc>
        <w:tc>
          <w:tcPr>
            <w:tcW w:w="217" w:type="dxa"/>
          </w:tcPr>
          <w:p w14:paraId="57C60CAB" w14:textId="77777777" w:rsidR="002C0FD9" w:rsidRPr="00CA25CF" w:rsidRDefault="002C0FD9" w:rsidP="00CA25CF">
            <w:pPr>
              <w:rPr>
                <w:rFonts w:cs="Arial"/>
                <w:color w:val="FF0000"/>
                <w:sz w:val="21"/>
                <w:szCs w:val="21"/>
              </w:rPr>
            </w:pPr>
          </w:p>
        </w:tc>
        <w:tc>
          <w:tcPr>
            <w:tcW w:w="217" w:type="dxa"/>
          </w:tcPr>
          <w:p w14:paraId="63E0E488" w14:textId="77777777" w:rsidR="002C0FD9" w:rsidRPr="00CA25CF" w:rsidRDefault="002C0FD9" w:rsidP="00CA25CF">
            <w:pPr>
              <w:rPr>
                <w:rFonts w:cs="Arial"/>
                <w:color w:val="FF0000"/>
                <w:sz w:val="21"/>
                <w:szCs w:val="21"/>
              </w:rPr>
            </w:pPr>
          </w:p>
        </w:tc>
        <w:tc>
          <w:tcPr>
            <w:tcW w:w="217" w:type="dxa"/>
          </w:tcPr>
          <w:p w14:paraId="45AC0FEB" w14:textId="77777777" w:rsidR="002C0FD9" w:rsidRPr="00CA25CF" w:rsidRDefault="002C0FD9" w:rsidP="00CA25CF">
            <w:pPr>
              <w:rPr>
                <w:rFonts w:cs="Arial"/>
                <w:color w:val="FF0000"/>
                <w:sz w:val="21"/>
                <w:szCs w:val="21"/>
              </w:rPr>
            </w:pPr>
          </w:p>
        </w:tc>
        <w:tc>
          <w:tcPr>
            <w:tcW w:w="217" w:type="dxa"/>
          </w:tcPr>
          <w:p w14:paraId="74EB9464" w14:textId="77777777" w:rsidR="002C0FD9" w:rsidRPr="00CA25CF" w:rsidRDefault="002C0FD9" w:rsidP="00CA25CF">
            <w:pPr>
              <w:rPr>
                <w:rFonts w:cs="Arial"/>
                <w:color w:val="FF0000"/>
                <w:sz w:val="21"/>
                <w:szCs w:val="21"/>
              </w:rPr>
            </w:pPr>
          </w:p>
        </w:tc>
        <w:tc>
          <w:tcPr>
            <w:tcW w:w="217" w:type="dxa"/>
          </w:tcPr>
          <w:p w14:paraId="0CA8C15C" w14:textId="77777777" w:rsidR="002C0FD9" w:rsidRPr="00CA25CF" w:rsidRDefault="002C0FD9" w:rsidP="00CA25CF">
            <w:pPr>
              <w:rPr>
                <w:rFonts w:cs="Arial"/>
                <w:color w:val="FF0000"/>
                <w:sz w:val="21"/>
                <w:szCs w:val="21"/>
              </w:rPr>
            </w:pPr>
          </w:p>
        </w:tc>
        <w:tc>
          <w:tcPr>
            <w:tcW w:w="217" w:type="dxa"/>
          </w:tcPr>
          <w:p w14:paraId="3CBBA5D7" w14:textId="77777777" w:rsidR="002C0FD9" w:rsidRPr="00CA25CF" w:rsidRDefault="002C0FD9" w:rsidP="00CA25CF">
            <w:pPr>
              <w:rPr>
                <w:rFonts w:cs="Arial"/>
                <w:color w:val="FF0000"/>
                <w:sz w:val="21"/>
                <w:szCs w:val="21"/>
              </w:rPr>
            </w:pPr>
          </w:p>
        </w:tc>
        <w:tc>
          <w:tcPr>
            <w:tcW w:w="217" w:type="dxa"/>
          </w:tcPr>
          <w:p w14:paraId="05D609EB" w14:textId="77777777" w:rsidR="002C0FD9" w:rsidRPr="00CA25CF" w:rsidRDefault="002C0FD9" w:rsidP="00CA25CF">
            <w:pPr>
              <w:rPr>
                <w:rFonts w:cs="Arial"/>
                <w:color w:val="FF0000"/>
                <w:sz w:val="21"/>
                <w:szCs w:val="21"/>
              </w:rPr>
            </w:pPr>
          </w:p>
        </w:tc>
        <w:tc>
          <w:tcPr>
            <w:tcW w:w="217" w:type="dxa"/>
          </w:tcPr>
          <w:p w14:paraId="7F47238E" w14:textId="77777777" w:rsidR="002C0FD9" w:rsidRPr="00CA25CF" w:rsidRDefault="002C0FD9" w:rsidP="00CA25CF">
            <w:pPr>
              <w:rPr>
                <w:rFonts w:cs="Arial"/>
                <w:color w:val="FF0000"/>
                <w:sz w:val="21"/>
                <w:szCs w:val="21"/>
              </w:rPr>
            </w:pPr>
          </w:p>
        </w:tc>
        <w:tc>
          <w:tcPr>
            <w:tcW w:w="217" w:type="dxa"/>
          </w:tcPr>
          <w:p w14:paraId="672BFEB6" w14:textId="77777777" w:rsidR="002C0FD9" w:rsidRPr="00CA25CF" w:rsidRDefault="002C0FD9" w:rsidP="00CA25CF">
            <w:pPr>
              <w:rPr>
                <w:rFonts w:cs="Arial"/>
                <w:color w:val="FF0000"/>
                <w:sz w:val="21"/>
                <w:szCs w:val="21"/>
              </w:rPr>
            </w:pPr>
          </w:p>
        </w:tc>
        <w:tc>
          <w:tcPr>
            <w:tcW w:w="217" w:type="dxa"/>
          </w:tcPr>
          <w:p w14:paraId="1DD77D30" w14:textId="77777777" w:rsidR="002C0FD9" w:rsidRPr="00CA25CF" w:rsidRDefault="002C0FD9" w:rsidP="00CA25CF">
            <w:pPr>
              <w:rPr>
                <w:rFonts w:cs="Arial"/>
                <w:color w:val="FF0000"/>
                <w:sz w:val="21"/>
                <w:szCs w:val="21"/>
              </w:rPr>
            </w:pPr>
          </w:p>
        </w:tc>
        <w:tc>
          <w:tcPr>
            <w:tcW w:w="217" w:type="dxa"/>
          </w:tcPr>
          <w:p w14:paraId="6EEA5195" w14:textId="77777777" w:rsidR="002C0FD9" w:rsidRPr="00CA25CF" w:rsidRDefault="002C0FD9" w:rsidP="00CA25CF">
            <w:pPr>
              <w:rPr>
                <w:rFonts w:cs="Arial"/>
                <w:color w:val="FF0000"/>
                <w:sz w:val="21"/>
                <w:szCs w:val="21"/>
              </w:rPr>
            </w:pPr>
          </w:p>
        </w:tc>
        <w:tc>
          <w:tcPr>
            <w:tcW w:w="217" w:type="dxa"/>
          </w:tcPr>
          <w:p w14:paraId="2E48B558" w14:textId="77777777" w:rsidR="002C0FD9" w:rsidRPr="00CA25CF" w:rsidRDefault="002C0FD9" w:rsidP="00CA25CF">
            <w:pPr>
              <w:rPr>
                <w:rFonts w:cs="Arial"/>
                <w:color w:val="FF0000"/>
                <w:sz w:val="21"/>
                <w:szCs w:val="21"/>
              </w:rPr>
            </w:pPr>
          </w:p>
        </w:tc>
        <w:tc>
          <w:tcPr>
            <w:tcW w:w="217" w:type="dxa"/>
          </w:tcPr>
          <w:p w14:paraId="3661C052" w14:textId="77777777" w:rsidR="002C0FD9" w:rsidRPr="00CA25CF" w:rsidRDefault="002C0FD9" w:rsidP="00CA25CF">
            <w:pPr>
              <w:rPr>
                <w:rFonts w:cs="Arial"/>
                <w:color w:val="FF0000"/>
                <w:sz w:val="21"/>
                <w:szCs w:val="21"/>
              </w:rPr>
            </w:pPr>
          </w:p>
        </w:tc>
        <w:tc>
          <w:tcPr>
            <w:tcW w:w="217" w:type="dxa"/>
          </w:tcPr>
          <w:p w14:paraId="5F1BCAFA" w14:textId="77777777" w:rsidR="002C0FD9" w:rsidRPr="00CA25CF" w:rsidRDefault="002C0FD9" w:rsidP="00CA25CF">
            <w:pPr>
              <w:rPr>
                <w:rFonts w:cs="Arial"/>
                <w:color w:val="FF0000"/>
                <w:sz w:val="21"/>
                <w:szCs w:val="21"/>
              </w:rPr>
            </w:pPr>
          </w:p>
        </w:tc>
        <w:tc>
          <w:tcPr>
            <w:tcW w:w="217" w:type="dxa"/>
          </w:tcPr>
          <w:p w14:paraId="4846B3B5" w14:textId="77777777" w:rsidR="002C0FD9" w:rsidRPr="00CA25CF" w:rsidRDefault="002C0FD9" w:rsidP="00CA25CF">
            <w:pPr>
              <w:rPr>
                <w:rFonts w:cs="Arial"/>
                <w:color w:val="FF0000"/>
                <w:sz w:val="21"/>
                <w:szCs w:val="21"/>
              </w:rPr>
            </w:pPr>
          </w:p>
        </w:tc>
        <w:tc>
          <w:tcPr>
            <w:tcW w:w="217" w:type="dxa"/>
          </w:tcPr>
          <w:p w14:paraId="5B690D41" w14:textId="77777777" w:rsidR="002C0FD9" w:rsidRPr="00CA25CF" w:rsidRDefault="002C0FD9" w:rsidP="00CA25CF">
            <w:pPr>
              <w:rPr>
                <w:rFonts w:cs="Arial"/>
                <w:color w:val="FF0000"/>
                <w:sz w:val="21"/>
                <w:szCs w:val="21"/>
              </w:rPr>
            </w:pPr>
          </w:p>
        </w:tc>
        <w:tc>
          <w:tcPr>
            <w:tcW w:w="217" w:type="dxa"/>
          </w:tcPr>
          <w:p w14:paraId="682E6308" w14:textId="77777777" w:rsidR="002C0FD9" w:rsidRPr="00CA25CF" w:rsidRDefault="002C0FD9" w:rsidP="00CA25CF">
            <w:pPr>
              <w:rPr>
                <w:rFonts w:cs="Arial"/>
                <w:color w:val="FF0000"/>
                <w:sz w:val="21"/>
                <w:szCs w:val="21"/>
              </w:rPr>
            </w:pPr>
          </w:p>
        </w:tc>
        <w:tc>
          <w:tcPr>
            <w:tcW w:w="217" w:type="dxa"/>
          </w:tcPr>
          <w:p w14:paraId="569A23BD" w14:textId="77777777" w:rsidR="002C0FD9" w:rsidRPr="00CA25CF" w:rsidRDefault="002C0FD9" w:rsidP="00CA25CF">
            <w:pPr>
              <w:rPr>
                <w:rFonts w:cs="Arial"/>
                <w:color w:val="FF0000"/>
                <w:sz w:val="21"/>
                <w:szCs w:val="21"/>
              </w:rPr>
            </w:pPr>
          </w:p>
        </w:tc>
        <w:tc>
          <w:tcPr>
            <w:tcW w:w="217" w:type="dxa"/>
          </w:tcPr>
          <w:p w14:paraId="7259F0D5" w14:textId="77777777" w:rsidR="002C0FD9" w:rsidRPr="00CA25CF" w:rsidRDefault="002C0FD9" w:rsidP="00CA25CF">
            <w:pPr>
              <w:rPr>
                <w:rFonts w:cs="Arial"/>
                <w:color w:val="FF0000"/>
                <w:sz w:val="21"/>
                <w:szCs w:val="21"/>
              </w:rPr>
            </w:pPr>
          </w:p>
        </w:tc>
        <w:tc>
          <w:tcPr>
            <w:tcW w:w="217" w:type="dxa"/>
          </w:tcPr>
          <w:p w14:paraId="7F792026" w14:textId="77777777" w:rsidR="002C0FD9" w:rsidRPr="00CA25CF" w:rsidRDefault="002C0FD9" w:rsidP="00CA25CF">
            <w:pPr>
              <w:rPr>
                <w:rFonts w:cs="Arial"/>
                <w:color w:val="FF0000"/>
                <w:sz w:val="21"/>
                <w:szCs w:val="21"/>
              </w:rPr>
            </w:pPr>
          </w:p>
        </w:tc>
        <w:tc>
          <w:tcPr>
            <w:tcW w:w="217" w:type="dxa"/>
          </w:tcPr>
          <w:p w14:paraId="64D34CE9" w14:textId="77777777" w:rsidR="002C0FD9" w:rsidRPr="00CA25CF" w:rsidRDefault="002C0FD9" w:rsidP="00CA25CF">
            <w:pPr>
              <w:rPr>
                <w:rFonts w:cs="Arial"/>
                <w:color w:val="FF0000"/>
                <w:sz w:val="21"/>
                <w:szCs w:val="21"/>
              </w:rPr>
            </w:pPr>
          </w:p>
        </w:tc>
        <w:tc>
          <w:tcPr>
            <w:tcW w:w="217" w:type="dxa"/>
          </w:tcPr>
          <w:p w14:paraId="193A7145" w14:textId="77777777" w:rsidR="002C0FD9" w:rsidRPr="00CA25CF" w:rsidRDefault="002C0FD9" w:rsidP="00CA25CF">
            <w:pPr>
              <w:rPr>
                <w:rFonts w:cs="Arial"/>
                <w:color w:val="FF0000"/>
                <w:sz w:val="21"/>
                <w:szCs w:val="21"/>
              </w:rPr>
            </w:pPr>
          </w:p>
        </w:tc>
        <w:tc>
          <w:tcPr>
            <w:tcW w:w="217" w:type="dxa"/>
          </w:tcPr>
          <w:p w14:paraId="721829BF" w14:textId="77777777" w:rsidR="002C0FD9" w:rsidRPr="00CA25CF" w:rsidRDefault="002C0FD9" w:rsidP="00CA25CF">
            <w:pPr>
              <w:rPr>
                <w:rFonts w:cs="Arial"/>
                <w:color w:val="FF0000"/>
                <w:sz w:val="21"/>
                <w:szCs w:val="21"/>
              </w:rPr>
            </w:pPr>
          </w:p>
        </w:tc>
        <w:tc>
          <w:tcPr>
            <w:tcW w:w="217" w:type="dxa"/>
          </w:tcPr>
          <w:p w14:paraId="240681BE" w14:textId="77777777" w:rsidR="002C0FD9" w:rsidRPr="00CA25CF" w:rsidRDefault="002C0FD9" w:rsidP="00CA25CF">
            <w:pPr>
              <w:rPr>
                <w:rFonts w:cs="Arial"/>
                <w:color w:val="FF0000"/>
                <w:sz w:val="21"/>
                <w:szCs w:val="21"/>
              </w:rPr>
            </w:pPr>
          </w:p>
        </w:tc>
        <w:tc>
          <w:tcPr>
            <w:tcW w:w="217" w:type="dxa"/>
          </w:tcPr>
          <w:p w14:paraId="28AC2B85" w14:textId="77777777" w:rsidR="002C0FD9" w:rsidRPr="00CA25CF" w:rsidRDefault="002C0FD9" w:rsidP="00CA25CF">
            <w:pPr>
              <w:rPr>
                <w:rFonts w:cs="Arial"/>
                <w:color w:val="FF0000"/>
                <w:sz w:val="21"/>
                <w:szCs w:val="21"/>
              </w:rPr>
            </w:pPr>
          </w:p>
        </w:tc>
        <w:tc>
          <w:tcPr>
            <w:tcW w:w="217" w:type="dxa"/>
          </w:tcPr>
          <w:p w14:paraId="700E4A75" w14:textId="77777777" w:rsidR="002C0FD9" w:rsidRPr="00CA25CF" w:rsidRDefault="002C0FD9" w:rsidP="00CA25CF">
            <w:pPr>
              <w:rPr>
                <w:rFonts w:cs="Arial"/>
                <w:color w:val="FF0000"/>
                <w:sz w:val="21"/>
                <w:szCs w:val="21"/>
              </w:rPr>
            </w:pPr>
          </w:p>
        </w:tc>
      </w:tr>
      <w:tr w:rsidR="002C0FD9" w:rsidRPr="00A16219" w14:paraId="0549A07C" w14:textId="3DDB61AB" w:rsidTr="002C0FD9">
        <w:trPr>
          <w:trHeight w:val="635"/>
        </w:trPr>
        <w:tc>
          <w:tcPr>
            <w:tcW w:w="515" w:type="dxa"/>
          </w:tcPr>
          <w:p w14:paraId="66F6AC73" w14:textId="77777777" w:rsidR="002C0FD9" w:rsidRPr="00CA25CF" w:rsidRDefault="002C0FD9" w:rsidP="00CA25CF">
            <w:pPr>
              <w:rPr>
                <w:rFonts w:cs="Arial"/>
                <w:color w:val="FF0000"/>
                <w:sz w:val="21"/>
                <w:szCs w:val="21"/>
              </w:rPr>
            </w:pPr>
          </w:p>
        </w:tc>
        <w:tc>
          <w:tcPr>
            <w:tcW w:w="217" w:type="dxa"/>
          </w:tcPr>
          <w:p w14:paraId="522D264D" w14:textId="77777777" w:rsidR="002C0FD9" w:rsidRPr="00CA25CF" w:rsidRDefault="002C0FD9" w:rsidP="00CA25CF">
            <w:pPr>
              <w:rPr>
                <w:rFonts w:cs="Arial"/>
                <w:color w:val="FF0000"/>
                <w:sz w:val="21"/>
                <w:szCs w:val="21"/>
              </w:rPr>
            </w:pPr>
          </w:p>
        </w:tc>
        <w:tc>
          <w:tcPr>
            <w:tcW w:w="217" w:type="dxa"/>
          </w:tcPr>
          <w:p w14:paraId="2042B07D" w14:textId="7A5962B8" w:rsidR="002C0FD9" w:rsidRPr="00CA25CF" w:rsidRDefault="002C0FD9" w:rsidP="00CA25CF">
            <w:pPr>
              <w:rPr>
                <w:rFonts w:cs="Arial"/>
                <w:color w:val="FF0000"/>
                <w:sz w:val="21"/>
                <w:szCs w:val="21"/>
              </w:rPr>
            </w:pPr>
          </w:p>
        </w:tc>
        <w:tc>
          <w:tcPr>
            <w:tcW w:w="217" w:type="dxa"/>
          </w:tcPr>
          <w:p w14:paraId="397976CA" w14:textId="77777777" w:rsidR="002C0FD9" w:rsidRPr="00CA25CF" w:rsidRDefault="002C0FD9" w:rsidP="00CA25CF">
            <w:pPr>
              <w:rPr>
                <w:rFonts w:cs="Arial"/>
                <w:color w:val="FF0000"/>
                <w:sz w:val="21"/>
                <w:szCs w:val="21"/>
              </w:rPr>
            </w:pPr>
          </w:p>
        </w:tc>
        <w:tc>
          <w:tcPr>
            <w:tcW w:w="217" w:type="dxa"/>
          </w:tcPr>
          <w:p w14:paraId="03CEF2E3" w14:textId="77777777" w:rsidR="002C0FD9" w:rsidRPr="00CA25CF" w:rsidRDefault="002C0FD9" w:rsidP="00CA25CF">
            <w:pPr>
              <w:rPr>
                <w:rFonts w:cs="Arial"/>
                <w:color w:val="FF0000"/>
                <w:sz w:val="21"/>
                <w:szCs w:val="21"/>
              </w:rPr>
            </w:pPr>
          </w:p>
        </w:tc>
        <w:tc>
          <w:tcPr>
            <w:tcW w:w="217" w:type="dxa"/>
          </w:tcPr>
          <w:p w14:paraId="3548973A" w14:textId="77777777" w:rsidR="002C0FD9" w:rsidRPr="00CA25CF" w:rsidRDefault="002C0FD9" w:rsidP="00CA25CF">
            <w:pPr>
              <w:rPr>
                <w:rFonts w:cs="Arial"/>
                <w:color w:val="FF0000"/>
                <w:sz w:val="21"/>
                <w:szCs w:val="21"/>
              </w:rPr>
            </w:pPr>
          </w:p>
        </w:tc>
        <w:tc>
          <w:tcPr>
            <w:tcW w:w="217" w:type="dxa"/>
          </w:tcPr>
          <w:p w14:paraId="3CDE5EB7" w14:textId="77777777" w:rsidR="002C0FD9" w:rsidRPr="00CA25CF" w:rsidRDefault="002C0FD9" w:rsidP="00CA25CF">
            <w:pPr>
              <w:rPr>
                <w:rFonts w:cs="Arial"/>
                <w:color w:val="FF0000"/>
                <w:sz w:val="21"/>
                <w:szCs w:val="21"/>
              </w:rPr>
            </w:pPr>
          </w:p>
        </w:tc>
        <w:tc>
          <w:tcPr>
            <w:tcW w:w="217" w:type="dxa"/>
          </w:tcPr>
          <w:p w14:paraId="39E479BB" w14:textId="77777777" w:rsidR="002C0FD9" w:rsidRPr="00CA25CF" w:rsidRDefault="002C0FD9" w:rsidP="00CA25CF">
            <w:pPr>
              <w:rPr>
                <w:rFonts w:cs="Arial"/>
                <w:color w:val="FF0000"/>
                <w:sz w:val="21"/>
                <w:szCs w:val="21"/>
              </w:rPr>
            </w:pPr>
          </w:p>
        </w:tc>
        <w:tc>
          <w:tcPr>
            <w:tcW w:w="217" w:type="dxa"/>
          </w:tcPr>
          <w:p w14:paraId="0D1EE051" w14:textId="77777777" w:rsidR="002C0FD9" w:rsidRPr="00CA25CF" w:rsidRDefault="002C0FD9" w:rsidP="00CA25CF">
            <w:pPr>
              <w:rPr>
                <w:rFonts w:cs="Arial"/>
                <w:color w:val="FF0000"/>
                <w:sz w:val="21"/>
                <w:szCs w:val="21"/>
              </w:rPr>
            </w:pPr>
          </w:p>
        </w:tc>
        <w:tc>
          <w:tcPr>
            <w:tcW w:w="217" w:type="dxa"/>
          </w:tcPr>
          <w:p w14:paraId="74902DAF" w14:textId="77777777" w:rsidR="002C0FD9" w:rsidRPr="00CA25CF" w:rsidRDefault="002C0FD9" w:rsidP="00CA25CF">
            <w:pPr>
              <w:rPr>
                <w:rFonts w:cs="Arial"/>
                <w:color w:val="FF0000"/>
                <w:sz w:val="21"/>
                <w:szCs w:val="21"/>
              </w:rPr>
            </w:pPr>
          </w:p>
        </w:tc>
        <w:tc>
          <w:tcPr>
            <w:tcW w:w="217" w:type="dxa"/>
          </w:tcPr>
          <w:p w14:paraId="5A357D7F" w14:textId="77777777" w:rsidR="002C0FD9" w:rsidRPr="00CA25CF" w:rsidRDefault="002C0FD9" w:rsidP="00CA25CF">
            <w:pPr>
              <w:rPr>
                <w:rFonts w:cs="Arial"/>
                <w:color w:val="FF0000"/>
                <w:sz w:val="21"/>
                <w:szCs w:val="21"/>
              </w:rPr>
            </w:pPr>
          </w:p>
        </w:tc>
        <w:tc>
          <w:tcPr>
            <w:tcW w:w="217" w:type="dxa"/>
          </w:tcPr>
          <w:p w14:paraId="511C52C4" w14:textId="77777777" w:rsidR="002C0FD9" w:rsidRPr="00CA25CF" w:rsidRDefault="002C0FD9" w:rsidP="00CA25CF">
            <w:pPr>
              <w:rPr>
                <w:rFonts w:cs="Arial"/>
                <w:color w:val="FF0000"/>
                <w:sz w:val="21"/>
                <w:szCs w:val="21"/>
              </w:rPr>
            </w:pPr>
          </w:p>
        </w:tc>
        <w:tc>
          <w:tcPr>
            <w:tcW w:w="217" w:type="dxa"/>
          </w:tcPr>
          <w:p w14:paraId="46A01D0B" w14:textId="77777777" w:rsidR="002C0FD9" w:rsidRPr="00CA25CF" w:rsidRDefault="002C0FD9" w:rsidP="00CA25CF">
            <w:pPr>
              <w:rPr>
                <w:rFonts w:cs="Arial"/>
                <w:color w:val="FF0000"/>
                <w:sz w:val="21"/>
                <w:szCs w:val="21"/>
              </w:rPr>
            </w:pPr>
          </w:p>
        </w:tc>
        <w:tc>
          <w:tcPr>
            <w:tcW w:w="217" w:type="dxa"/>
          </w:tcPr>
          <w:p w14:paraId="078701CC" w14:textId="77777777" w:rsidR="002C0FD9" w:rsidRPr="00CA25CF" w:rsidRDefault="002C0FD9" w:rsidP="00CA25CF">
            <w:pPr>
              <w:rPr>
                <w:rFonts w:cs="Arial"/>
                <w:color w:val="FF0000"/>
                <w:sz w:val="21"/>
                <w:szCs w:val="21"/>
              </w:rPr>
            </w:pPr>
          </w:p>
        </w:tc>
        <w:tc>
          <w:tcPr>
            <w:tcW w:w="217" w:type="dxa"/>
          </w:tcPr>
          <w:p w14:paraId="615C9792" w14:textId="77777777" w:rsidR="002C0FD9" w:rsidRPr="00CA25CF" w:rsidRDefault="002C0FD9" w:rsidP="00CA25CF">
            <w:pPr>
              <w:rPr>
                <w:rFonts w:cs="Arial"/>
                <w:color w:val="FF0000"/>
                <w:sz w:val="21"/>
                <w:szCs w:val="21"/>
              </w:rPr>
            </w:pPr>
          </w:p>
        </w:tc>
        <w:tc>
          <w:tcPr>
            <w:tcW w:w="217" w:type="dxa"/>
          </w:tcPr>
          <w:p w14:paraId="382F992D" w14:textId="77777777" w:rsidR="002C0FD9" w:rsidRPr="00CA25CF" w:rsidRDefault="002C0FD9" w:rsidP="00CA25CF">
            <w:pPr>
              <w:rPr>
                <w:rFonts w:cs="Arial"/>
                <w:color w:val="FF0000"/>
                <w:sz w:val="21"/>
                <w:szCs w:val="21"/>
              </w:rPr>
            </w:pPr>
          </w:p>
        </w:tc>
        <w:tc>
          <w:tcPr>
            <w:tcW w:w="217" w:type="dxa"/>
          </w:tcPr>
          <w:p w14:paraId="151424B9" w14:textId="77777777" w:rsidR="002C0FD9" w:rsidRPr="00CA25CF" w:rsidRDefault="002C0FD9" w:rsidP="00CA25CF">
            <w:pPr>
              <w:rPr>
                <w:rFonts w:cs="Arial"/>
                <w:color w:val="FF0000"/>
                <w:sz w:val="21"/>
                <w:szCs w:val="21"/>
              </w:rPr>
            </w:pPr>
          </w:p>
        </w:tc>
        <w:tc>
          <w:tcPr>
            <w:tcW w:w="217" w:type="dxa"/>
          </w:tcPr>
          <w:p w14:paraId="40D18AB9" w14:textId="77777777" w:rsidR="002C0FD9" w:rsidRPr="00CA25CF" w:rsidRDefault="002C0FD9" w:rsidP="00CA25CF">
            <w:pPr>
              <w:rPr>
                <w:rFonts w:cs="Arial"/>
                <w:color w:val="FF0000"/>
                <w:sz w:val="21"/>
                <w:szCs w:val="21"/>
              </w:rPr>
            </w:pPr>
          </w:p>
        </w:tc>
        <w:tc>
          <w:tcPr>
            <w:tcW w:w="217" w:type="dxa"/>
          </w:tcPr>
          <w:p w14:paraId="41C3B9EB" w14:textId="77777777" w:rsidR="002C0FD9" w:rsidRPr="00CA25CF" w:rsidRDefault="002C0FD9" w:rsidP="00CA25CF">
            <w:pPr>
              <w:rPr>
                <w:rFonts w:cs="Arial"/>
                <w:color w:val="FF0000"/>
                <w:sz w:val="21"/>
                <w:szCs w:val="21"/>
              </w:rPr>
            </w:pPr>
          </w:p>
        </w:tc>
        <w:tc>
          <w:tcPr>
            <w:tcW w:w="217" w:type="dxa"/>
          </w:tcPr>
          <w:p w14:paraId="0CC036A1" w14:textId="77777777" w:rsidR="002C0FD9" w:rsidRPr="00CA25CF" w:rsidRDefault="002C0FD9" w:rsidP="00CA25CF">
            <w:pPr>
              <w:rPr>
                <w:rFonts w:cs="Arial"/>
                <w:color w:val="FF0000"/>
                <w:sz w:val="21"/>
                <w:szCs w:val="21"/>
              </w:rPr>
            </w:pPr>
          </w:p>
        </w:tc>
        <w:tc>
          <w:tcPr>
            <w:tcW w:w="217" w:type="dxa"/>
          </w:tcPr>
          <w:p w14:paraId="44FC7230" w14:textId="77777777" w:rsidR="002C0FD9" w:rsidRPr="00CA25CF" w:rsidRDefault="002C0FD9" w:rsidP="00CA25CF">
            <w:pPr>
              <w:rPr>
                <w:rFonts w:cs="Arial"/>
                <w:color w:val="FF0000"/>
                <w:sz w:val="21"/>
                <w:szCs w:val="21"/>
              </w:rPr>
            </w:pPr>
          </w:p>
        </w:tc>
        <w:tc>
          <w:tcPr>
            <w:tcW w:w="217" w:type="dxa"/>
          </w:tcPr>
          <w:p w14:paraId="23B58204" w14:textId="77777777" w:rsidR="002C0FD9" w:rsidRPr="00CA25CF" w:rsidRDefault="002C0FD9" w:rsidP="00CA25CF">
            <w:pPr>
              <w:rPr>
                <w:rFonts w:cs="Arial"/>
                <w:color w:val="FF0000"/>
                <w:sz w:val="21"/>
                <w:szCs w:val="21"/>
              </w:rPr>
            </w:pPr>
          </w:p>
        </w:tc>
        <w:tc>
          <w:tcPr>
            <w:tcW w:w="217" w:type="dxa"/>
          </w:tcPr>
          <w:p w14:paraId="243EB1CB" w14:textId="77777777" w:rsidR="002C0FD9" w:rsidRPr="00CA25CF" w:rsidRDefault="002C0FD9" w:rsidP="00CA25CF">
            <w:pPr>
              <w:rPr>
                <w:rFonts w:cs="Arial"/>
                <w:color w:val="FF0000"/>
                <w:sz w:val="21"/>
                <w:szCs w:val="21"/>
              </w:rPr>
            </w:pPr>
          </w:p>
        </w:tc>
        <w:tc>
          <w:tcPr>
            <w:tcW w:w="217" w:type="dxa"/>
          </w:tcPr>
          <w:p w14:paraId="143775F7" w14:textId="77777777" w:rsidR="002C0FD9" w:rsidRPr="00CA25CF" w:rsidRDefault="002C0FD9" w:rsidP="00CA25CF">
            <w:pPr>
              <w:rPr>
                <w:rFonts w:cs="Arial"/>
                <w:color w:val="FF0000"/>
                <w:sz w:val="21"/>
                <w:szCs w:val="21"/>
              </w:rPr>
            </w:pPr>
          </w:p>
        </w:tc>
        <w:tc>
          <w:tcPr>
            <w:tcW w:w="217" w:type="dxa"/>
          </w:tcPr>
          <w:p w14:paraId="2EB54791" w14:textId="77777777" w:rsidR="002C0FD9" w:rsidRPr="00CA25CF" w:rsidRDefault="002C0FD9" w:rsidP="00CA25CF">
            <w:pPr>
              <w:rPr>
                <w:rFonts w:cs="Arial"/>
                <w:color w:val="FF0000"/>
                <w:sz w:val="21"/>
                <w:szCs w:val="21"/>
              </w:rPr>
            </w:pPr>
          </w:p>
        </w:tc>
        <w:tc>
          <w:tcPr>
            <w:tcW w:w="217" w:type="dxa"/>
          </w:tcPr>
          <w:p w14:paraId="7B876069" w14:textId="77777777" w:rsidR="002C0FD9" w:rsidRPr="00CA25CF" w:rsidRDefault="002C0FD9" w:rsidP="00CA25CF">
            <w:pPr>
              <w:rPr>
                <w:rFonts w:cs="Arial"/>
                <w:color w:val="FF0000"/>
                <w:sz w:val="21"/>
                <w:szCs w:val="21"/>
              </w:rPr>
            </w:pPr>
          </w:p>
        </w:tc>
        <w:tc>
          <w:tcPr>
            <w:tcW w:w="217" w:type="dxa"/>
          </w:tcPr>
          <w:p w14:paraId="138A9B13" w14:textId="77777777" w:rsidR="002C0FD9" w:rsidRPr="00CA25CF" w:rsidRDefault="002C0FD9" w:rsidP="00CA25CF">
            <w:pPr>
              <w:rPr>
                <w:rFonts w:cs="Arial"/>
                <w:color w:val="FF0000"/>
                <w:sz w:val="21"/>
                <w:szCs w:val="21"/>
              </w:rPr>
            </w:pPr>
          </w:p>
        </w:tc>
        <w:tc>
          <w:tcPr>
            <w:tcW w:w="217" w:type="dxa"/>
          </w:tcPr>
          <w:p w14:paraId="476BF634" w14:textId="77777777" w:rsidR="002C0FD9" w:rsidRPr="00CA25CF" w:rsidRDefault="002C0FD9" w:rsidP="00CA25CF">
            <w:pPr>
              <w:rPr>
                <w:rFonts w:cs="Arial"/>
                <w:color w:val="FF0000"/>
                <w:sz w:val="21"/>
                <w:szCs w:val="21"/>
              </w:rPr>
            </w:pPr>
          </w:p>
        </w:tc>
        <w:tc>
          <w:tcPr>
            <w:tcW w:w="217" w:type="dxa"/>
          </w:tcPr>
          <w:p w14:paraId="13D0FB9D" w14:textId="77777777" w:rsidR="002C0FD9" w:rsidRPr="00CA25CF" w:rsidRDefault="002C0FD9" w:rsidP="00CA25CF">
            <w:pPr>
              <w:rPr>
                <w:rFonts w:cs="Arial"/>
                <w:color w:val="FF0000"/>
                <w:sz w:val="21"/>
                <w:szCs w:val="21"/>
              </w:rPr>
            </w:pPr>
          </w:p>
        </w:tc>
        <w:tc>
          <w:tcPr>
            <w:tcW w:w="217" w:type="dxa"/>
          </w:tcPr>
          <w:p w14:paraId="53517DE4" w14:textId="77777777" w:rsidR="002C0FD9" w:rsidRPr="00CA25CF" w:rsidRDefault="002C0FD9" w:rsidP="00CA25CF">
            <w:pPr>
              <w:rPr>
                <w:rFonts w:cs="Arial"/>
                <w:color w:val="FF0000"/>
                <w:sz w:val="21"/>
                <w:szCs w:val="21"/>
              </w:rPr>
            </w:pPr>
          </w:p>
        </w:tc>
        <w:tc>
          <w:tcPr>
            <w:tcW w:w="217" w:type="dxa"/>
          </w:tcPr>
          <w:p w14:paraId="78577515" w14:textId="77777777" w:rsidR="002C0FD9" w:rsidRPr="00CA25CF" w:rsidRDefault="002C0FD9" w:rsidP="00CA25CF">
            <w:pPr>
              <w:rPr>
                <w:rFonts w:cs="Arial"/>
                <w:color w:val="FF0000"/>
                <w:sz w:val="21"/>
                <w:szCs w:val="21"/>
              </w:rPr>
            </w:pPr>
          </w:p>
        </w:tc>
        <w:tc>
          <w:tcPr>
            <w:tcW w:w="217" w:type="dxa"/>
          </w:tcPr>
          <w:p w14:paraId="4E339DFD" w14:textId="77777777" w:rsidR="002C0FD9" w:rsidRPr="00CA25CF" w:rsidRDefault="002C0FD9" w:rsidP="00CA25CF">
            <w:pPr>
              <w:rPr>
                <w:rFonts w:cs="Arial"/>
                <w:color w:val="FF0000"/>
                <w:sz w:val="21"/>
                <w:szCs w:val="21"/>
              </w:rPr>
            </w:pPr>
          </w:p>
        </w:tc>
        <w:tc>
          <w:tcPr>
            <w:tcW w:w="217" w:type="dxa"/>
          </w:tcPr>
          <w:p w14:paraId="2D40DA63" w14:textId="77777777" w:rsidR="002C0FD9" w:rsidRPr="00CA25CF" w:rsidRDefault="002C0FD9" w:rsidP="00CA25CF">
            <w:pPr>
              <w:rPr>
                <w:rFonts w:cs="Arial"/>
                <w:color w:val="FF0000"/>
                <w:sz w:val="21"/>
                <w:szCs w:val="21"/>
              </w:rPr>
            </w:pPr>
          </w:p>
        </w:tc>
        <w:tc>
          <w:tcPr>
            <w:tcW w:w="217" w:type="dxa"/>
          </w:tcPr>
          <w:p w14:paraId="2C06DBE3" w14:textId="77777777" w:rsidR="002C0FD9" w:rsidRPr="00CA25CF" w:rsidRDefault="002C0FD9" w:rsidP="00CA25CF">
            <w:pPr>
              <w:rPr>
                <w:rFonts w:cs="Arial"/>
                <w:color w:val="FF0000"/>
                <w:sz w:val="21"/>
                <w:szCs w:val="21"/>
              </w:rPr>
            </w:pPr>
          </w:p>
        </w:tc>
        <w:tc>
          <w:tcPr>
            <w:tcW w:w="217" w:type="dxa"/>
          </w:tcPr>
          <w:p w14:paraId="1E2E57BA" w14:textId="77777777" w:rsidR="002C0FD9" w:rsidRPr="00CA25CF" w:rsidRDefault="002C0FD9" w:rsidP="00CA25CF">
            <w:pPr>
              <w:rPr>
                <w:rFonts w:cs="Arial"/>
                <w:color w:val="FF0000"/>
                <w:sz w:val="21"/>
                <w:szCs w:val="21"/>
              </w:rPr>
            </w:pPr>
          </w:p>
        </w:tc>
        <w:tc>
          <w:tcPr>
            <w:tcW w:w="217" w:type="dxa"/>
          </w:tcPr>
          <w:p w14:paraId="72E84040" w14:textId="77777777" w:rsidR="002C0FD9" w:rsidRPr="00CA25CF" w:rsidRDefault="002C0FD9" w:rsidP="00CA25CF">
            <w:pPr>
              <w:rPr>
                <w:rFonts w:cs="Arial"/>
                <w:color w:val="FF0000"/>
                <w:sz w:val="21"/>
                <w:szCs w:val="21"/>
              </w:rPr>
            </w:pPr>
          </w:p>
        </w:tc>
        <w:tc>
          <w:tcPr>
            <w:tcW w:w="217" w:type="dxa"/>
          </w:tcPr>
          <w:p w14:paraId="52F5D49B" w14:textId="77777777" w:rsidR="002C0FD9" w:rsidRPr="00CA25CF" w:rsidRDefault="002C0FD9" w:rsidP="00CA25CF">
            <w:pPr>
              <w:rPr>
                <w:rFonts w:cs="Arial"/>
                <w:color w:val="FF0000"/>
                <w:sz w:val="21"/>
                <w:szCs w:val="21"/>
              </w:rPr>
            </w:pPr>
          </w:p>
        </w:tc>
        <w:tc>
          <w:tcPr>
            <w:tcW w:w="217" w:type="dxa"/>
          </w:tcPr>
          <w:p w14:paraId="3BEA13CD" w14:textId="77777777" w:rsidR="002C0FD9" w:rsidRPr="00CA25CF" w:rsidRDefault="002C0FD9" w:rsidP="00CA25CF">
            <w:pPr>
              <w:rPr>
                <w:rFonts w:cs="Arial"/>
                <w:color w:val="FF0000"/>
                <w:sz w:val="21"/>
                <w:szCs w:val="21"/>
              </w:rPr>
            </w:pPr>
          </w:p>
        </w:tc>
        <w:tc>
          <w:tcPr>
            <w:tcW w:w="217" w:type="dxa"/>
          </w:tcPr>
          <w:p w14:paraId="1E0682FB" w14:textId="77777777" w:rsidR="002C0FD9" w:rsidRPr="00CA25CF" w:rsidRDefault="002C0FD9" w:rsidP="00CA25CF">
            <w:pPr>
              <w:rPr>
                <w:rFonts w:cs="Arial"/>
                <w:color w:val="FF0000"/>
                <w:sz w:val="21"/>
                <w:szCs w:val="21"/>
              </w:rPr>
            </w:pPr>
          </w:p>
        </w:tc>
        <w:tc>
          <w:tcPr>
            <w:tcW w:w="217" w:type="dxa"/>
          </w:tcPr>
          <w:p w14:paraId="7ADB930C" w14:textId="77777777" w:rsidR="002C0FD9" w:rsidRPr="00CA25CF" w:rsidRDefault="002C0FD9" w:rsidP="00CA25CF">
            <w:pPr>
              <w:rPr>
                <w:rFonts w:cs="Arial"/>
                <w:color w:val="FF0000"/>
                <w:sz w:val="21"/>
                <w:szCs w:val="21"/>
              </w:rPr>
            </w:pPr>
          </w:p>
        </w:tc>
        <w:tc>
          <w:tcPr>
            <w:tcW w:w="217" w:type="dxa"/>
          </w:tcPr>
          <w:p w14:paraId="54A53895" w14:textId="77777777" w:rsidR="002C0FD9" w:rsidRPr="00CA25CF" w:rsidRDefault="002C0FD9" w:rsidP="00CA25CF">
            <w:pPr>
              <w:rPr>
                <w:rFonts w:cs="Arial"/>
                <w:color w:val="FF0000"/>
                <w:sz w:val="21"/>
                <w:szCs w:val="21"/>
              </w:rPr>
            </w:pPr>
          </w:p>
        </w:tc>
        <w:tc>
          <w:tcPr>
            <w:tcW w:w="217" w:type="dxa"/>
          </w:tcPr>
          <w:p w14:paraId="61788451" w14:textId="77777777" w:rsidR="002C0FD9" w:rsidRPr="00CA25CF" w:rsidRDefault="002C0FD9" w:rsidP="00CA25CF">
            <w:pPr>
              <w:rPr>
                <w:rFonts w:cs="Arial"/>
                <w:color w:val="FF0000"/>
                <w:sz w:val="21"/>
                <w:szCs w:val="21"/>
              </w:rPr>
            </w:pPr>
          </w:p>
        </w:tc>
        <w:tc>
          <w:tcPr>
            <w:tcW w:w="217" w:type="dxa"/>
          </w:tcPr>
          <w:p w14:paraId="67790F9C" w14:textId="77777777" w:rsidR="002C0FD9" w:rsidRPr="00CA25CF" w:rsidRDefault="002C0FD9" w:rsidP="00CA25CF">
            <w:pPr>
              <w:rPr>
                <w:rFonts w:cs="Arial"/>
                <w:color w:val="FF0000"/>
                <w:sz w:val="21"/>
                <w:szCs w:val="21"/>
              </w:rPr>
            </w:pPr>
          </w:p>
        </w:tc>
      </w:tr>
      <w:tr w:rsidR="002C0FD9" w:rsidRPr="00A16219" w14:paraId="186AF2DE" w14:textId="1ACDF40D" w:rsidTr="002C0FD9">
        <w:trPr>
          <w:trHeight w:val="635"/>
        </w:trPr>
        <w:tc>
          <w:tcPr>
            <w:tcW w:w="515" w:type="dxa"/>
          </w:tcPr>
          <w:p w14:paraId="749E5E08" w14:textId="77777777" w:rsidR="002C0FD9" w:rsidRPr="00CA25CF" w:rsidRDefault="002C0FD9" w:rsidP="00CA25CF">
            <w:pPr>
              <w:rPr>
                <w:rFonts w:cs="Arial"/>
                <w:color w:val="FF0000"/>
                <w:sz w:val="21"/>
                <w:szCs w:val="21"/>
              </w:rPr>
            </w:pPr>
          </w:p>
        </w:tc>
        <w:tc>
          <w:tcPr>
            <w:tcW w:w="217" w:type="dxa"/>
          </w:tcPr>
          <w:p w14:paraId="5A96827D" w14:textId="77777777" w:rsidR="002C0FD9" w:rsidRPr="00CA25CF" w:rsidRDefault="002C0FD9" w:rsidP="00CA25CF">
            <w:pPr>
              <w:rPr>
                <w:rFonts w:cs="Arial"/>
                <w:color w:val="FF0000"/>
                <w:sz w:val="21"/>
                <w:szCs w:val="21"/>
              </w:rPr>
            </w:pPr>
          </w:p>
        </w:tc>
        <w:tc>
          <w:tcPr>
            <w:tcW w:w="217" w:type="dxa"/>
          </w:tcPr>
          <w:p w14:paraId="7A8A4074" w14:textId="3296B47A" w:rsidR="002C0FD9" w:rsidRPr="00CA25CF" w:rsidRDefault="002C0FD9" w:rsidP="00CA25CF">
            <w:pPr>
              <w:rPr>
                <w:rFonts w:cs="Arial"/>
                <w:color w:val="FF0000"/>
                <w:sz w:val="21"/>
                <w:szCs w:val="21"/>
              </w:rPr>
            </w:pPr>
          </w:p>
        </w:tc>
        <w:tc>
          <w:tcPr>
            <w:tcW w:w="217" w:type="dxa"/>
          </w:tcPr>
          <w:p w14:paraId="24D7A365" w14:textId="77777777" w:rsidR="002C0FD9" w:rsidRPr="00CA25CF" w:rsidRDefault="002C0FD9" w:rsidP="00CA25CF">
            <w:pPr>
              <w:rPr>
                <w:rFonts w:cs="Arial"/>
                <w:color w:val="FF0000"/>
                <w:sz w:val="21"/>
                <w:szCs w:val="21"/>
              </w:rPr>
            </w:pPr>
          </w:p>
        </w:tc>
        <w:tc>
          <w:tcPr>
            <w:tcW w:w="217" w:type="dxa"/>
          </w:tcPr>
          <w:p w14:paraId="7FA419E7" w14:textId="77777777" w:rsidR="002C0FD9" w:rsidRPr="00CA25CF" w:rsidRDefault="002C0FD9" w:rsidP="00CA25CF">
            <w:pPr>
              <w:rPr>
                <w:rFonts w:cs="Arial"/>
                <w:color w:val="FF0000"/>
                <w:sz w:val="21"/>
                <w:szCs w:val="21"/>
              </w:rPr>
            </w:pPr>
          </w:p>
        </w:tc>
        <w:tc>
          <w:tcPr>
            <w:tcW w:w="217" w:type="dxa"/>
          </w:tcPr>
          <w:p w14:paraId="5582A64E" w14:textId="77777777" w:rsidR="002C0FD9" w:rsidRPr="00CA25CF" w:rsidRDefault="002C0FD9" w:rsidP="00CA25CF">
            <w:pPr>
              <w:rPr>
                <w:rFonts w:cs="Arial"/>
                <w:color w:val="FF0000"/>
                <w:sz w:val="21"/>
                <w:szCs w:val="21"/>
              </w:rPr>
            </w:pPr>
          </w:p>
        </w:tc>
        <w:tc>
          <w:tcPr>
            <w:tcW w:w="217" w:type="dxa"/>
          </w:tcPr>
          <w:p w14:paraId="1032F40D" w14:textId="77777777" w:rsidR="002C0FD9" w:rsidRPr="00CA25CF" w:rsidRDefault="002C0FD9" w:rsidP="00CA25CF">
            <w:pPr>
              <w:rPr>
                <w:rFonts w:cs="Arial"/>
                <w:color w:val="FF0000"/>
                <w:sz w:val="21"/>
                <w:szCs w:val="21"/>
              </w:rPr>
            </w:pPr>
          </w:p>
        </w:tc>
        <w:tc>
          <w:tcPr>
            <w:tcW w:w="217" w:type="dxa"/>
          </w:tcPr>
          <w:p w14:paraId="0DC957EA" w14:textId="77777777" w:rsidR="002C0FD9" w:rsidRPr="00CA25CF" w:rsidRDefault="002C0FD9" w:rsidP="00CA25CF">
            <w:pPr>
              <w:rPr>
                <w:rFonts w:cs="Arial"/>
                <w:color w:val="FF0000"/>
                <w:sz w:val="21"/>
                <w:szCs w:val="21"/>
              </w:rPr>
            </w:pPr>
          </w:p>
        </w:tc>
        <w:tc>
          <w:tcPr>
            <w:tcW w:w="217" w:type="dxa"/>
          </w:tcPr>
          <w:p w14:paraId="003E6089" w14:textId="77777777" w:rsidR="002C0FD9" w:rsidRPr="00CA25CF" w:rsidRDefault="002C0FD9" w:rsidP="00CA25CF">
            <w:pPr>
              <w:rPr>
                <w:rFonts w:cs="Arial"/>
                <w:color w:val="FF0000"/>
                <w:sz w:val="21"/>
                <w:szCs w:val="21"/>
              </w:rPr>
            </w:pPr>
          </w:p>
        </w:tc>
        <w:tc>
          <w:tcPr>
            <w:tcW w:w="217" w:type="dxa"/>
          </w:tcPr>
          <w:p w14:paraId="740A27E8" w14:textId="77777777" w:rsidR="002C0FD9" w:rsidRPr="00CA25CF" w:rsidRDefault="002C0FD9" w:rsidP="00CA25CF">
            <w:pPr>
              <w:rPr>
                <w:rFonts w:cs="Arial"/>
                <w:color w:val="FF0000"/>
                <w:sz w:val="21"/>
                <w:szCs w:val="21"/>
              </w:rPr>
            </w:pPr>
          </w:p>
        </w:tc>
        <w:tc>
          <w:tcPr>
            <w:tcW w:w="217" w:type="dxa"/>
          </w:tcPr>
          <w:p w14:paraId="44A9DBB4" w14:textId="77777777" w:rsidR="002C0FD9" w:rsidRPr="00CA25CF" w:rsidRDefault="002C0FD9" w:rsidP="00CA25CF">
            <w:pPr>
              <w:rPr>
                <w:rFonts w:cs="Arial"/>
                <w:color w:val="FF0000"/>
                <w:sz w:val="21"/>
                <w:szCs w:val="21"/>
              </w:rPr>
            </w:pPr>
          </w:p>
        </w:tc>
        <w:tc>
          <w:tcPr>
            <w:tcW w:w="217" w:type="dxa"/>
          </w:tcPr>
          <w:p w14:paraId="435E6A2C" w14:textId="77777777" w:rsidR="002C0FD9" w:rsidRPr="00CA25CF" w:rsidRDefault="002C0FD9" w:rsidP="00CA25CF">
            <w:pPr>
              <w:rPr>
                <w:rFonts w:cs="Arial"/>
                <w:color w:val="FF0000"/>
                <w:sz w:val="21"/>
                <w:szCs w:val="21"/>
              </w:rPr>
            </w:pPr>
          </w:p>
        </w:tc>
        <w:tc>
          <w:tcPr>
            <w:tcW w:w="217" w:type="dxa"/>
          </w:tcPr>
          <w:p w14:paraId="181BF566" w14:textId="77777777" w:rsidR="002C0FD9" w:rsidRPr="00CA25CF" w:rsidRDefault="002C0FD9" w:rsidP="00CA25CF">
            <w:pPr>
              <w:rPr>
                <w:rFonts w:cs="Arial"/>
                <w:color w:val="FF0000"/>
                <w:sz w:val="21"/>
                <w:szCs w:val="21"/>
              </w:rPr>
            </w:pPr>
          </w:p>
        </w:tc>
        <w:tc>
          <w:tcPr>
            <w:tcW w:w="217" w:type="dxa"/>
          </w:tcPr>
          <w:p w14:paraId="03A2149D" w14:textId="77777777" w:rsidR="002C0FD9" w:rsidRPr="00CA25CF" w:rsidRDefault="002C0FD9" w:rsidP="00CA25CF">
            <w:pPr>
              <w:rPr>
                <w:rFonts w:cs="Arial"/>
                <w:color w:val="FF0000"/>
                <w:sz w:val="21"/>
                <w:szCs w:val="21"/>
              </w:rPr>
            </w:pPr>
          </w:p>
        </w:tc>
        <w:tc>
          <w:tcPr>
            <w:tcW w:w="217" w:type="dxa"/>
          </w:tcPr>
          <w:p w14:paraId="7BFD743E" w14:textId="77777777" w:rsidR="002C0FD9" w:rsidRPr="00CA25CF" w:rsidRDefault="002C0FD9" w:rsidP="00CA25CF">
            <w:pPr>
              <w:rPr>
                <w:rFonts w:cs="Arial"/>
                <w:color w:val="FF0000"/>
                <w:sz w:val="21"/>
                <w:szCs w:val="21"/>
              </w:rPr>
            </w:pPr>
          </w:p>
        </w:tc>
        <w:tc>
          <w:tcPr>
            <w:tcW w:w="217" w:type="dxa"/>
          </w:tcPr>
          <w:p w14:paraId="45616AFB" w14:textId="77777777" w:rsidR="002C0FD9" w:rsidRPr="00CA25CF" w:rsidRDefault="002C0FD9" w:rsidP="00CA25CF">
            <w:pPr>
              <w:rPr>
                <w:rFonts w:cs="Arial"/>
                <w:color w:val="FF0000"/>
                <w:sz w:val="21"/>
                <w:szCs w:val="21"/>
              </w:rPr>
            </w:pPr>
          </w:p>
        </w:tc>
        <w:tc>
          <w:tcPr>
            <w:tcW w:w="217" w:type="dxa"/>
          </w:tcPr>
          <w:p w14:paraId="4551EDC9" w14:textId="77777777" w:rsidR="002C0FD9" w:rsidRPr="00CA25CF" w:rsidRDefault="002C0FD9" w:rsidP="00CA25CF">
            <w:pPr>
              <w:rPr>
                <w:rFonts w:cs="Arial"/>
                <w:color w:val="FF0000"/>
                <w:sz w:val="21"/>
                <w:szCs w:val="21"/>
              </w:rPr>
            </w:pPr>
          </w:p>
        </w:tc>
        <w:tc>
          <w:tcPr>
            <w:tcW w:w="217" w:type="dxa"/>
          </w:tcPr>
          <w:p w14:paraId="731C003F" w14:textId="77777777" w:rsidR="002C0FD9" w:rsidRPr="00CA25CF" w:rsidRDefault="002C0FD9" w:rsidP="00CA25CF">
            <w:pPr>
              <w:rPr>
                <w:rFonts w:cs="Arial"/>
                <w:color w:val="FF0000"/>
                <w:sz w:val="21"/>
                <w:szCs w:val="21"/>
              </w:rPr>
            </w:pPr>
          </w:p>
        </w:tc>
        <w:tc>
          <w:tcPr>
            <w:tcW w:w="217" w:type="dxa"/>
          </w:tcPr>
          <w:p w14:paraId="144274FD" w14:textId="77777777" w:rsidR="002C0FD9" w:rsidRPr="00CA25CF" w:rsidRDefault="002C0FD9" w:rsidP="00CA25CF">
            <w:pPr>
              <w:rPr>
                <w:rFonts w:cs="Arial"/>
                <w:color w:val="FF0000"/>
                <w:sz w:val="21"/>
                <w:szCs w:val="21"/>
              </w:rPr>
            </w:pPr>
          </w:p>
        </w:tc>
        <w:tc>
          <w:tcPr>
            <w:tcW w:w="217" w:type="dxa"/>
          </w:tcPr>
          <w:p w14:paraId="548ECA60" w14:textId="77777777" w:rsidR="002C0FD9" w:rsidRPr="00CA25CF" w:rsidRDefault="002C0FD9" w:rsidP="00CA25CF">
            <w:pPr>
              <w:rPr>
                <w:rFonts w:cs="Arial"/>
                <w:color w:val="FF0000"/>
                <w:sz w:val="21"/>
                <w:szCs w:val="21"/>
              </w:rPr>
            </w:pPr>
          </w:p>
        </w:tc>
        <w:tc>
          <w:tcPr>
            <w:tcW w:w="217" w:type="dxa"/>
          </w:tcPr>
          <w:p w14:paraId="04F6B51F" w14:textId="77777777" w:rsidR="002C0FD9" w:rsidRPr="00CA25CF" w:rsidRDefault="002C0FD9" w:rsidP="00CA25CF">
            <w:pPr>
              <w:rPr>
                <w:rFonts w:cs="Arial"/>
                <w:color w:val="FF0000"/>
                <w:sz w:val="21"/>
                <w:szCs w:val="21"/>
              </w:rPr>
            </w:pPr>
          </w:p>
        </w:tc>
        <w:tc>
          <w:tcPr>
            <w:tcW w:w="217" w:type="dxa"/>
          </w:tcPr>
          <w:p w14:paraId="078F1D7D" w14:textId="77777777" w:rsidR="002C0FD9" w:rsidRPr="00CA25CF" w:rsidRDefault="002C0FD9" w:rsidP="00CA25CF">
            <w:pPr>
              <w:rPr>
                <w:rFonts w:cs="Arial"/>
                <w:color w:val="FF0000"/>
                <w:sz w:val="21"/>
                <w:szCs w:val="21"/>
              </w:rPr>
            </w:pPr>
          </w:p>
        </w:tc>
        <w:tc>
          <w:tcPr>
            <w:tcW w:w="217" w:type="dxa"/>
          </w:tcPr>
          <w:p w14:paraId="6A185BA8" w14:textId="77777777" w:rsidR="002C0FD9" w:rsidRPr="00CA25CF" w:rsidRDefault="002C0FD9" w:rsidP="00CA25CF">
            <w:pPr>
              <w:rPr>
                <w:rFonts w:cs="Arial"/>
                <w:color w:val="FF0000"/>
                <w:sz w:val="21"/>
                <w:szCs w:val="21"/>
              </w:rPr>
            </w:pPr>
          </w:p>
        </w:tc>
        <w:tc>
          <w:tcPr>
            <w:tcW w:w="217" w:type="dxa"/>
          </w:tcPr>
          <w:p w14:paraId="43811A11" w14:textId="77777777" w:rsidR="002C0FD9" w:rsidRPr="00CA25CF" w:rsidRDefault="002C0FD9" w:rsidP="00CA25CF">
            <w:pPr>
              <w:rPr>
                <w:rFonts w:cs="Arial"/>
                <w:color w:val="FF0000"/>
                <w:sz w:val="21"/>
                <w:szCs w:val="21"/>
              </w:rPr>
            </w:pPr>
          </w:p>
        </w:tc>
        <w:tc>
          <w:tcPr>
            <w:tcW w:w="217" w:type="dxa"/>
          </w:tcPr>
          <w:p w14:paraId="4AD1D671" w14:textId="77777777" w:rsidR="002C0FD9" w:rsidRPr="00CA25CF" w:rsidRDefault="002C0FD9" w:rsidP="00CA25CF">
            <w:pPr>
              <w:rPr>
                <w:rFonts w:cs="Arial"/>
                <w:color w:val="FF0000"/>
                <w:sz w:val="21"/>
                <w:szCs w:val="21"/>
              </w:rPr>
            </w:pPr>
          </w:p>
        </w:tc>
        <w:tc>
          <w:tcPr>
            <w:tcW w:w="217" w:type="dxa"/>
          </w:tcPr>
          <w:p w14:paraId="6F1C85D7" w14:textId="77777777" w:rsidR="002C0FD9" w:rsidRPr="00CA25CF" w:rsidRDefault="002C0FD9" w:rsidP="00CA25CF">
            <w:pPr>
              <w:rPr>
                <w:rFonts w:cs="Arial"/>
                <w:color w:val="FF0000"/>
                <w:sz w:val="21"/>
                <w:szCs w:val="21"/>
              </w:rPr>
            </w:pPr>
          </w:p>
        </w:tc>
        <w:tc>
          <w:tcPr>
            <w:tcW w:w="217" w:type="dxa"/>
          </w:tcPr>
          <w:p w14:paraId="34476C50" w14:textId="77777777" w:rsidR="002C0FD9" w:rsidRPr="00CA25CF" w:rsidRDefault="002C0FD9" w:rsidP="00CA25CF">
            <w:pPr>
              <w:rPr>
                <w:rFonts w:cs="Arial"/>
                <w:color w:val="FF0000"/>
                <w:sz w:val="21"/>
                <w:szCs w:val="21"/>
              </w:rPr>
            </w:pPr>
          </w:p>
        </w:tc>
        <w:tc>
          <w:tcPr>
            <w:tcW w:w="217" w:type="dxa"/>
          </w:tcPr>
          <w:p w14:paraId="3312FF6C" w14:textId="77777777" w:rsidR="002C0FD9" w:rsidRPr="00CA25CF" w:rsidRDefault="002C0FD9" w:rsidP="00CA25CF">
            <w:pPr>
              <w:rPr>
                <w:rFonts w:cs="Arial"/>
                <w:color w:val="FF0000"/>
                <w:sz w:val="21"/>
                <w:szCs w:val="21"/>
              </w:rPr>
            </w:pPr>
          </w:p>
        </w:tc>
        <w:tc>
          <w:tcPr>
            <w:tcW w:w="217" w:type="dxa"/>
          </w:tcPr>
          <w:p w14:paraId="7ADD9B36" w14:textId="77777777" w:rsidR="002C0FD9" w:rsidRPr="00CA25CF" w:rsidRDefault="002C0FD9" w:rsidP="00CA25CF">
            <w:pPr>
              <w:rPr>
                <w:rFonts w:cs="Arial"/>
                <w:color w:val="FF0000"/>
                <w:sz w:val="21"/>
                <w:szCs w:val="21"/>
              </w:rPr>
            </w:pPr>
          </w:p>
        </w:tc>
        <w:tc>
          <w:tcPr>
            <w:tcW w:w="217" w:type="dxa"/>
          </w:tcPr>
          <w:p w14:paraId="229863AD" w14:textId="77777777" w:rsidR="002C0FD9" w:rsidRPr="00CA25CF" w:rsidRDefault="002C0FD9" w:rsidP="00CA25CF">
            <w:pPr>
              <w:rPr>
                <w:rFonts w:cs="Arial"/>
                <w:color w:val="FF0000"/>
                <w:sz w:val="21"/>
                <w:szCs w:val="21"/>
              </w:rPr>
            </w:pPr>
          </w:p>
        </w:tc>
        <w:tc>
          <w:tcPr>
            <w:tcW w:w="217" w:type="dxa"/>
          </w:tcPr>
          <w:p w14:paraId="4B349D78" w14:textId="77777777" w:rsidR="002C0FD9" w:rsidRPr="00CA25CF" w:rsidRDefault="002C0FD9" w:rsidP="00CA25CF">
            <w:pPr>
              <w:rPr>
                <w:rFonts w:cs="Arial"/>
                <w:color w:val="FF0000"/>
                <w:sz w:val="21"/>
                <w:szCs w:val="21"/>
              </w:rPr>
            </w:pPr>
          </w:p>
        </w:tc>
        <w:tc>
          <w:tcPr>
            <w:tcW w:w="217" w:type="dxa"/>
          </w:tcPr>
          <w:p w14:paraId="3C89D238" w14:textId="77777777" w:rsidR="002C0FD9" w:rsidRPr="00CA25CF" w:rsidRDefault="002C0FD9" w:rsidP="00CA25CF">
            <w:pPr>
              <w:rPr>
                <w:rFonts w:cs="Arial"/>
                <w:color w:val="FF0000"/>
                <w:sz w:val="21"/>
                <w:szCs w:val="21"/>
              </w:rPr>
            </w:pPr>
          </w:p>
        </w:tc>
        <w:tc>
          <w:tcPr>
            <w:tcW w:w="217" w:type="dxa"/>
          </w:tcPr>
          <w:p w14:paraId="0E528F14" w14:textId="77777777" w:rsidR="002C0FD9" w:rsidRPr="00CA25CF" w:rsidRDefault="002C0FD9" w:rsidP="00CA25CF">
            <w:pPr>
              <w:rPr>
                <w:rFonts w:cs="Arial"/>
                <w:color w:val="FF0000"/>
                <w:sz w:val="21"/>
                <w:szCs w:val="21"/>
              </w:rPr>
            </w:pPr>
          </w:p>
        </w:tc>
        <w:tc>
          <w:tcPr>
            <w:tcW w:w="217" w:type="dxa"/>
          </w:tcPr>
          <w:p w14:paraId="1047B8DA" w14:textId="77777777" w:rsidR="002C0FD9" w:rsidRPr="00CA25CF" w:rsidRDefault="002C0FD9" w:rsidP="00CA25CF">
            <w:pPr>
              <w:rPr>
                <w:rFonts w:cs="Arial"/>
                <w:color w:val="FF0000"/>
                <w:sz w:val="21"/>
                <w:szCs w:val="21"/>
              </w:rPr>
            </w:pPr>
          </w:p>
        </w:tc>
        <w:tc>
          <w:tcPr>
            <w:tcW w:w="217" w:type="dxa"/>
          </w:tcPr>
          <w:p w14:paraId="2A8B3AB8" w14:textId="77777777" w:rsidR="002C0FD9" w:rsidRPr="00CA25CF" w:rsidRDefault="002C0FD9" w:rsidP="00CA25CF">
            <w:pPr>
              <w:rPr>
                <w:rFonts w:cs="Arial"/>
                <w:color w:val="FF0000"/>
                <w:sz w:val="21"/>
                <w:szCs w:val="21"/>
              </w:rPr>
            </w:pPr>
          </w:p>
        </w:tc>
        <w:tc>
          <w:tcPr>
            <w:tcW w:w="217" w:type="dxa"/>
          </w:tcPr>
          <w:p w14:paraId="3A586F2C" w14:textId="77777777" w:rsidR="002C0FD9" w:rsidRPr="00CA25CF" w:rsidRDefault="002C0FD9" w:rsidP="00CA25CF">
            <w:pPr>
              <w:rPr>
                <w:rFonts w:cs="Arial"/>
                <w:color w:val="FF0000"/>
                <w:sz w:val="21"/>
                <w:szCs w:val="21"/>
              </w:rPr>
            </w:pPr>
          </w:p>
        </w:tc>
        <w:tc>
          <w:tcPr>
            <w:tcW w:w="217" w:type="dxa"/>
          </w:tcPr>
          <w:p w14:paraId="6DADCC04" w14:textId="77777777" w:rsidR="002C0FD9" w:rsidRPr="00CA25CF" w:rsidRDefault="002C0FD9" w:rsidP="00CA25CF">
            <w:pPr>
              <w:rPr>
                <w:rFonts w:cs="Arial"/>
                <w:color w:val="FF0000"/>
                <w:sz w:val="21"/>
                <w:szCs w:val="21"/>
              </w:rPr>
            </w:pPr>
          </w:p>
        </w:tc>
        <w:tc>
          <w:tcPr>
            <w:tcW w:w="217" w:type="dxa"/>
          </w:tcPr>
          <w:p w14:paraId="3F7897E9" w14:textId="77777777" w:rsidR="002C0FD9" w:rsidRPr="00CA25CF" w:rsidRDefault="002C0FD9" w:rsidP="00CA25CF">
            <w:pPr>
              <w:rPr>
                <w:rFonts w:cs="Arial"/>
                <w:color w:val="FF0000"/>
                <w:sz w:val="21"/>
                <w:szCs w:val="21"/>
              </w:rPr>
            </w:pPr>
          </w:p>
        </w:tc>
        <w:tc>
          <w:tcPr>
            <w:tcW w:w="217" w:type="dxa"/>
          </w:tcPr>
          <w:p w14:paraId="1068930C" w14:textId="77777777" w:rsidR="002C0FD9" w:rsidRPr="00CA25CF" w:rsidRDefault="002C0FD9" w:rsidP="00CA25CF">
            <w:pPr>
              <w:rPr>
                <w:rFonts w:cs="Arial"/>
                <w:color w:val="FF0000"/>
                <w:sz w:val="21"/>
                <w:szCs w:val="21"/>
              </w:rPr>
            </w:pPr>
          </w:p>
        </w:tc>
        <w:tc>
          <w:tcPr>
            <w:tcW w:w="217" w:type="dxa"/>
          </w:tcPr>
          <w:p w14:paraId="16DDFF31" w14:textId="77777777" w:rsidR="002C0FD9" w:rsidRPr="00CA25CF" w:rsidRDefault="002C0FD9" w:rsidP="00CA25CF">
            <w:pPr>
              <w:rPr>
                <w:rFonts w:cs="Arial"/>
                <w:color w:val="FF0000"/>
                <w:sz w:val="21"/>
                <w:szCs w:val="21"/>
              </w:rPr>
            </w:pPr>
          </w:p>
        </w:tc>
        <w:tc>
          <w:tcPr>
            <w:tcW w:w="217" w:type="dxa"/>
          </w:tcPr>
          <w:p w14:paraId="5D93A762" w14:textId="77777777" w:rsidR="002C0FD9" w:rsidRPr="00CA25CF" w:rsidRDefault="002C0FD9" w:rsidP="00CA25CF">
            <w:pPr>
              <w:rPr>
                <w:rFonts w:cs="Arial"/>
                <w:color w:val="FF0000"/>
                <w:sz w:val="21"/>
                <w:szCs w:val="21"/>
              </w:rPr>
            </w:pPr>
          </w:p>
        </w:tc>
        <w:tc>
          <w:tcPr>
            <w:tcW w:w="217" w:type="dxa"/>
          </w:tcPr>
          <w:p w14:paraId="0489375E" w14:textId="77777777" w:rsidR="002C0FD9" w:rsidRPr="00CA25CF" w:rsidRDefault="002C0FD9" w:rsidP="00CA25CF">
            <w:pPr>
              <w:rPr>
                <w:rFonts w:cs="Arial"/>
                <w:color w:val="FF0000"/>
                <w:sz w:val="21"/>
                <w:szCs w:val="21"/>
              </w:rPr>
            </w:pPr>
          </w:p>
        </w:tc>
        <w:tc>
          <w:tcPr>
            <w:tcW w:w="217" w:type="dxa"/>
          </w:tcPr>
          <w:p w14:paraId="1F1DBFAE" w14:textId="77777777" w:rsidR="002C0FD9" w:rsidRPr="00CA25CF" w:rsidRDefault="002C0FD9" w:rsidP="00CA25CF">
            <w:pPr>
              <w:rPr>
                <w:rFonts w:cs="Arial"/>
                <w:color w:val="FF0000"/>
                <w:sz w:val="21"/>
                <w:szCs w:val="21"/>
              </w:rPr>
            </w:pPr>
          </w:p>
        </w:tc>
      </w:tr>
      <w:tr w:rsidR="002C0FD9" w:rsidRPr="00A16219" w14:paraId="22A0A8CD" w14:textId="69926557" w:rsidTr="002C0FD9">
        <w:trPr>
          <w:trHeight w:val="635"/>
        </w:trPr>
        <w:tc>
          <w:tcPr>
            <w:tcW w:w="515" w:type="dxa"/>
          </w:tcPr>
          <w:p w14:paraId="59F3F9CD" w14:textId="77777777" w:rsidR="002C0FD9" w:rsidRPr="00CA25CF" w:rsidRDefault="002C0FD9" w:rsidP="00CA25CF">
            <w:pPr>
              <w:rPr>
                <w:rFonts w:cs="Arial"/>
                <w:color w:val="FF0000"/>
                <w:sz w:val="21"/>
                <w:szCs w:val="21"/>
              </w:rPr>
            </w:pPr>
          </w:p>
        </w:tc>
        <w:tc>
          <w:tcPr>
            <w:tcW w:w="217" w:type="dxa"/>
          </w:tcPr>
          <w:p w14:paraId="12091C18" w14:textId="77777777" w:rsidR="002C0FD9" w:rsidRPr="00CA25CF" w:rsidRDefault="002C0FD9" w:rsidP="00CA25CF">
            <w:pPr>
              <w:rPr>
                <w:rFonts w:cs="Arial"/>
                <w:color w:val="FF0000"/>
                <w:sz w:val="21"/>
                <w:szCs w:val="21"/>
              </w:rPr>
            </w:pPr>
          </w:p>
        </w:tc>
        <w:tc>
          <w:tcPr>
            <w:tcW w:w="217" w:type="dxa"/>
          </w:tcPr>
          <w:p w14:paraId="7FC30E6D" w14:textId="121D8878" w:rsidR="002C0FD9" w:rsidRPr="00CA25CF" w:rsidRDefault="002C0FD9" w:rsidP="00CA25CF">
            <w:pPr>
              <w:rPr>
                <w:rFonts w:cs="Arial"/>
                <w:color w:val="FF0000"/>
                <w:sz w:val="21"/>
                <w:szCs w:val="21"/>
              </w:rPr>
            </w:pPr>
          </w:p>
        </w:tc>
        <w:tc>
          <w:tcPr>
            <w:tcW w:w="217" w:type="dxa"/>
          </w:tcPr>
          <w:p w14:paraId="790D6D72" w14:textId="77777777" w:rsidR="002C0FD9" w:rsidRPr="00CA25CF" w:rsidRDefault="002C0FD9" w:rsidP="00CA25CF">
            <w:pPr>
              <w:rPr>
                <w:rFonts w:cs="Arial"/>
                <w:color w:val="FF0000"/>
                <w:sz w:val="21"/>
                <w:szCs w:val="21"/>
              </w:rPr>
            </w:pPr>
          </w:p>
        </w:tc>
        <w:tc>
          <w:tcPr>
            <w:tcW w:w="217" w:type="dxa"/>
          </w:tcPr>
          <w:p w14:paraId="132CA661" w14:textId="77777777" w:rsidR="002C0FD9" w:rsidRPr="00CA25CF" w:rsidRDefault="002C0FD9" w:rsidP="00CA25CF">
            <w:pPr>
              <w:rPr>
                <w:rFonts w:cs="Arial"/>
                <w:color w:val="FF0000"/>
                <w:sz w:val="21"/>
                <w:szCs w:val="21"/>
              </w:rPr>
            </w:pPr>
          </w:p>
        </w:tc>
        <w:tc>
          <w:tcPr>
            <w:tcW w:w="217" w:type="dxa"/>
          </w:tcPr>
          <w:p w14:paraId="32F7835F" w14:textId="77777777" w:rsidR="002C0FD9" w:rsidRPr="00CA25CF" w:rsidRDefault="002C0FD9" w:rsidP="00CA25CF">
            <w:pPr>
              <w:rPr>
                <w:rFonts w:cs="Arial"/>
                <w:color w:val="FF0000"/>
                <w:sz w:val="21"/>
                <w:szCs w:val="21"/>
              </w:rPr>
            </w:pPr>
          </w:p>
        </w:tc>
        <w:tc>
          <w:tcPr>
            <w:tcW w:w="217" w:type="dxa"/>
          </w:tcPr>
          <w:p w14:paraId="5C77ACD3" w14:textId="77777777" w:rsidR="002C0FD9" w:rsidRPr="00CA25CF" w:rsidRDefault="002C0FD9" w:rsidP="00CA25CF">
            <w:pPr>
              <w:rPr>
                <w:rFonts w:cs="Arial"/>
                <w:color w:val="FF0000"/>
                <w:sz w:val="21"/>
                <w:szCs w:val="21"/>
              </w:rPr>
            </w:pPr>
          </w:p>
        </w:tc>
        <w:tc>
          <w:tcPr>
            <w:tcW w:w="217" w:type="dxa"/>
          </w:tcPr>
          <w:p w14:paraId="762E0845" w14:textId="77777777" w:rsidR="002C0FD9" w:rsidRPr="00CA25CF" w:rsidRDefault="002C0FD9" w:rsidP="00CA25CF">
            <w:pPr>
              <w:rPr>
                <w:rFonts w:cs="Arial"/>
                <w:color w:val="FF0000"/>
                <w:sz w:val="21"/>
                <w:szCs w:val="21"/>
              </w:rPr>
            </w:pPr>
          </w:p>
        </w:tc>
        <w:tc>
          <w:tcPr>
            <w:tcW w:w="217" w:type="dxa"/>
          </w:tcPr>
          <w:p w14:paraId="5F00354D" w14:textId="77777777" w:rsidR="002C0FD9" w:rsidRPr="00CA25CF" w:rsidRDefault="002C0FD9" w:rsidP="00CA25CF">
            <w:pPr>
              <w:rPr>
                <w:rFonts w:cs="Arial"/>
                <w:color w:val="FF0000"/>
                <w:sz w:val="21"/>
                <w:szCs w:val="21"/>
              </w:rPr>
            </w:pPr>
          </w:p>
        </w:tc>
        <w:tc>
          <w:tcPr>
            <w:tcW w:w="217" w:type="dxa"/>
          </w:tcPr>
          <w:p w14:paraId="2609BCF1" w14:textId="77777777" w:rsidR="002C0FD9" w:rsidRPr="00CA25CF" w:rsidRDefault="002C0FD9" w:rsidP="00CA25CF">
            <w:pPr>
              <w:rPr>
                <w:rFonts w:cs="Arial"/>
                <w:color w:val="FF0000"/>
                <w:sz w:val="21"/>
                <w:szCs w:val="21"/>
              </w:rPr>
            </w:pPr>
          </w:p>
        </w:tc>
        <w:tc>
          <w:tcPr>
            <w:tcW w:w="217" w:type="dxa"/>
          </w:tcPr>
          <w:p w14:paraId="5EA22797" w14:textId="77777777" w:rsidR="002C0FD9" w:rsidRPr="00CA25CF" w:rsidRDefault="002C0FD9" w:rsidP="00CA25CF">
            <w:pPr>
              <w:rPr>
                <w:rFonts w:cs="Arial"/>
                <w:color w:val="FF0000"/>
                <w:sz w:val="21"/>
                <w:szCs w:val="21"/>
              </w:rPr>
            </w:pPr>
          </w:p>
        </w:tc>
        <w:tc>
          <w:tcPr>
            <w:tcW w:w="217" w:type="dxa"/>
          </w:tcPr>
          <w:p w14:paraId="0DD5B4FC" w14:textId="77777777" w:rsidR="002C0FD9" w:rsidRPr="00CA25CF" w:rsidRDefault="002C0FD9" w:rsidP="00CA25CF">
            <w:pPr>
              <w:rPr>
                <w:rFonts w:cs="Arial"/>
                <w:color w:val="FF0000"/>
                <w:sz w:val="21"/>
                <w:szCs w:val="21"/>
              </w:rPr>
            </w:pPr>
          </w:p>
        </w:tc>
        <w:tc>
          <w:tcPr>
            <w:tcW w:w="217" w:type="dxa"/>
          </w:tcPr>
          <w:p w14:paraId="5A8CD4F4" w14:textId="77777777" w:rsidR="002C0FD9" w:rsidRPr="00CA25CF" w:rsidRDefault="002C0FD9" w:rsidP="00CA25CF">
            <w:pPr>
              <w:rPr>
                <w:rFonts w:cs="Arial"/>
                <w:color w:val="FF0000"/>
                <w:sz w:val="21"/>
                <w:szCs w:val="21"/>
              </w:rPr>
            </w:pPr>
          </w:p>
        </w:tc>
        <w:tc>
          <w:tcPr>
            <w:tcW w:w="217" w:type="dxa"/>
          </w:tcPr>
          <w:p w14:paraId="67D27153" w14:textId="77777777" w:rsidR="002C0FD9" w:rsidRPr="00CA25CF" w:rsidRDefault="002C0FD9" w:rsidP="00CA25CF">
            <w:pPr>
              <w:rPr>
                <w:rFonts w:cs="Arial"/>
                <w:color w:val="FF0000"/>
                <w:sz w:val="21"/>
                <w:szCs w:val="21"/>
              </w:rPr>
            </w:pPr>
          </w:p>
        </w:tc>
        <w:tc>
          <w:tcPr>
            <w:tcW w:w="217" w:type="dxa"/>
          </w:tcPr>
          <w:p w14:paraId="0F527172" w14:textId="77777777" w:rsidR="002C0FD9" w:rsidRPr="00CA25CF" w:rsidRDefault="002C0FD9" w:rsidP="00CA25CF">
            <w:pPr>
              <w:rPr>
                <w:rFonts w:cs="Arial"/>
                <w:color w:val="FF0000"/>
                <w:sz w:val="21"/>
                <w:szCs w:val="21"/>
              </w:rPr>
            </w:pPr>
          </w:p>
        </w:tc>
        <w:tc>
          <w:tcPr>
            <w:tcW w:w="217" w:type="dxa"/>
          </w:tcPr>
          <w:p w14:paraId="68D6D24B" w14:textId="77777777" w:rsidR="002C0FD9" w:rsidRPr="00CA25CF" w:rsidRDefault="002C0FD9" w:rsidP="00CA25CF">
            <w:pPr>
              <w:rPr>
                <w:rFonts w:cs="Arial"/>
                <w:color w:val="FF0000"/>
                <w:sz w:val="21"/>
                <w:szCs w:val="21"/>
              </w:rPr>
            </w:pPr>
          </w:p>
        </w:tc>
        <w:tc>
          <w:tcPr>
            <w:tcW w:w="217" w:type="dxa"/>
          </w:tcPr>
          <w:p w14:paraId="144E63B6" w14:textId="77777777" w:rsidR="002C0FD9" w:rsidRPr="00CA25CF" w:rsidRDefault="002C0FD9" w:rsidP="00CA25CF">
            <w:pPr>
              <w:rPr>
                <w:rFonts w:cs="Arial"/>
                <w:color w:val="FF0000"/>
                <w:sz w:val="21"/>
                <w:szCs w:val="21"/>
              </w:rPr>
            </w:pPr>
          </w:p>
        </w:tc>
        <w:tc>
          <w:tcPr>
            <w:tcW w:w="217" w:type="dxa"/>
          </w:tcPr>
          <w:p w14:paraId="1E53F624" w14:textId="77777777" w:rsidR="002C0FD9" w:rsidRPr="00CA25CF" w:rsidRDefault="002C0FD9" w:rsidP="00CA25CF">
            <w:pPr>
              <w:rPr>
                <w:rFonts w:cs="Arial"/>
                <w:color w:val="FF0000"/>
                <w:sz w:val="21"/>
                <w:szCs w:val="21"/>
              </w:rPr>
            </w:pPr>
          </w:p>
        </w:tc>
        <w:tc>
          <w:tcPr>
            <w:tcW w:w="217" w:type="dxa"/>
          </w:tcPr>
          <w:p w14:paraId="16167F53" w14:textId="77777777" w:rsidR="002C0FD9" w:rsidRPr="00CA25CF" w:rsidRDefault="002C0FD9" w:rsidP="00CA25CF">
            <w:pPr>
              <w:rPr>
                <w:rFonts w:cs="Arial"/>
                <w:color w:val="FF0000"/>
                <w:sz w:val="21"/>
                <w:szCs w:val="21"/>
              </w:rPr>
            </w:pPr>
          </w:p>
        </w:tc>
        <w:tc>
          <w:tcPr>
            <w:tcW w:w="217" w:type="dxa"/>
          </w:tcPr>
          <w:p w14:paraId="781F4820" w14:textId="77777777" w:rsidR="002C0FD9" w:rsidRPr="00CA25CF" w:rsidRDefault="002C0FD9" w:rsidP="00CA25CF">
            <w:pPr>
              <w:rPr>
                <w:rFonts w:cs="Arial"/>
                <w:color w:val="FF0000"/>
                <w:sz w:val="21"/>
                <w:szCs w:val="21"/>
              </w:rPr>
            </w:pPr>
          </w:p>
        </w:tc>
        <w:tc>
          <w:tcPr>
            <w:tcW w:w="217" w:type="dxa"/>
          </w:tcPr>
          <w:p w14:paraId="631EDD92" w14:textId="77777777" w:rsidR="002C0FD9" w:rsidRPr="00CA25CF" w:rsidRDefault="002C0FD9" w:rsidP="00CA25CF">
            <w:pPr>
              <w:rPr>
                <w:rFonts w:cs="Arial"/>
                <w:color w:val="FF0000"/>
                <w:sz w:val="21"/>
                <w:szCs w:val="21"/>
              </w:rPr>
            </w:pPr>
          </w:p>
        </w:tc>
        <w:tc>
          <w:tcPr>
            <w:tcW w:w="217" w:type="dxa"/>
          </w:tcPr>
          <w:p w14:paraId="32272419" w14:textId="77777777" w:rsidR="002C0FD9" w:rsidRPr="00CA25CF" w:rsidRDefault="002C0FD9" w:rsidP="00CA25CF">
            <w:pPr>
              <w:rPr>
                <w:rFonts w:cs="Arial"/>
                <w:color w:val="FF0000"/>
                <w:sz w:val="21"/>
                <w:szCs w:val="21"/>
              </w:rPr>
            </w:pPr>
          </w:p>
        </w:tc>
        <w:tc>
          <w:tcPr>
            <w:tcW w:w="217" w:type="dxa"/>
          </w:tcPr>
          <w:p w14:paraId="3046AEF8" w14:textId="77777777" w:rsidR="002C0FD9" w:rsidRPr="00CA25CF" w:rsidRDefault="002C0FD9" w:rsidP="00CA25CF">
            <w:pPr>
              <w:rPr>
                <w:rFonts w:cs="Arial"/>
                <w:color w:val="FF0000"/>
                <w:sz w:val="21"/>
                <w:szCs w:val="21"/>
              </w:rPr>
            </w:pPr>
          </w:p>
        </w:tc>
        <w:tc>
          <w:tcPr>
            <w:tcW w:w="217" w:type="dxa"/>
          </w:tcPr>
          <w:p w14:paraId="22B33D4F" w14:textId="77777777" w:rsidR="002C0FD9" w:rsidRPr="00CA25CF" w:rsidRDefault="002C0FD9" w:rsidP="00CA25CF">
            <w:pPr>
              <w:rPr>
                <w:rFonts w:cs="Arial"/>
                <w:color w:val="FF0000"/>
                <w:sz w:val="21"/>
                <w:szCs w:val="21"/>
              </w:rPr>
            </w:pPr>
          </w:p>
        </w:tc>
        <w:tc>
          <w:tcPr>
            <w:tcW w:w="217" w:type="dxa"/>
          </w:tcPr>
          <w:p w14:paraId="5143B1AD" w14:textId="77777777" w:rsidR="002C0FD9" w:rsidRPr="00CA25CF" w:rsidRDefault="002C0FD9" w:rsidP="00CA25CF">
            <w:pPr>
              <w:rPr>
                <w:rFonts w:cs="Arial"/>
                <w:color w:val="FF0000"/>
                <w:sz w:val="21"/>
                <w:szCs w:val="21"/>
              </w:rPr>
            </w:pPr>
          </w:p>
        </w:tc>
        <w:tc>
          <w:tcPr>
            <w:tcW w:w="217" w:type="dxa"/>
          </w:tcPr>
          <w:p w14:paraId="2D04199C" w14:textId="77777777" w:rsidR="002C0FD9" w:rsidRPr="00CA25CF" w:rsidRDefault="002C0FD9" w:rsidP="00CA25CF">
            <w:pPr>
              <w:rPr>
                <w:rFonts w:cs="Arial"/>
                <w:color w:val="FF0000"/>
                <w:sz w:val="21"/>
                <w:szCs w:val="21"/>
              </w:rPr>
            </w:pPr>
          </w:p>
        </w:tc>
        <w:tc>
          <w:tcPr>
            <w:tcW w:w="217" w:type="dxa"/>
          </w:tcPr>
          <w:p w14:paraId="11572E65" w14:textId="77777777" w:rsidR="002C0FD9" w:rsidRPr="00CA25CF" w:rsidRDefault="002C0FD9" w:rsidP="00CA25CF">
            <w:pPr>
              <w:rPr>
                <w:rFonts w:cs="Arial"/>
                <w:color w:val="FF0000"/>
                <w:sz w:val="21"/>
                <w:szCs w:val="21"/>
              </w:rPr>
            </w:pPr>
          </w:p>
        </w:tc>
        <w:tc>
          <w:tcPr>
            <w:tcW w:w="217" w:type="dxa"/>
          </w:tcPr>
          <w:p w14:paraId="589B9F6C" w14:textId="77777777" w:rsidR="002C0FD9" w:rsidRPr="00CA25CF" w:rsidRDefault="002C0FD9" w:rsidP="00CA25CF">
            <w:pPr>
              <w:rPr>
                <w:rFonts w:cs="Arial"/>
                <w:color w:val="FF0000"/>
                <w:sz w:val="21"/>
                <w:szCs w:val="21"/>
              </w:rPr>
            </w:pPr>
          </w:p>
        </w:tc>
        <w:tc>
          <w:tcPr>
            <w:tcW w:w="217" w:type="dxa"/>
          </w:tcPr>
          <w:p w14:paraId="653FDE0E" w14:textId="77777777" w:rsidR="002C0FD9" w:rsidRPr="00CA25CF" w:rsidRDefault="002C0FD9" w:rsidP="00CA25CF">
            <w:pPr>
              <w:rPr>
                <w:rFonts w:cs="Arial"/>
                <w:color w:val="FF0000"/>
                <w:sz w:val="21"/>
                <w:szCs w:val="21"/>
              </w:rPr>
            </w:pPr>
          </w:p>
        </w:tc>
        <w:tc>
          <w:tcPr>
            <w:tcW w:w="217" w:type="dxa"/>
          </w:tcPr>
          <w:p w14:paraId="5E36A789" w14:textId="77777777" w:rsidR="002C0FD9" w:rsidRPr="00CA25CF" w:rsidRDefault="002C0FD9" w:rsidP="00CA25CF">
            <w:pPr>
              <w:rPr>
                <w:rFonts w:cs="Arial"/>
                <w:color w:val="FF0000"/>
                <w:sz w:val="21"/>
                <w:szCs w:val="21"/>
              </w:rPr>
            </w:pPr>
          </w:p>
        </w:tc>
        <w:tc>
          <w:tcPr>
            <w:tcW w:w="217" w:type="dxa"/>
          </w:tcPr>
          <w:p w14:paraId="71C6148C" w14:textId="77777777" w:rsidR="002C0FD9" w:rsidRPr="00CA25CF" w:rsidRDefault="002C0FD9" w:rsidP="00CA25CF">
            <w:pPr>
              <w:rPr>
                <w:rFonts w:cs="Arial"/>
                <w:color w:val="FF0000"/>
                <w:sz w:val="21"/>
                <w:szCs w:val="21"/>
              </w:rPr>
            </w:pPr>
          </w:p>
        </w:tc>
        <w:tc>
          <w:tcPr>
            <w:tcW w:w="217" w:type="dxa"/>
          </w:tcPr>
          <w:p w14:paraId="570F40A2" w14:textId="77777777" w:rsidR="002C0FD9" w:rsidRPr="00CA25CF" w:rsidRDefault="002C0FD9" w:rsidP="00CA25CF">
            <w:pPr>
              <w:rPr>
                <w:rFonts w:cs="Arial"/>
                <w:color w:val="FF0000"/>
                <w:sz w:val="21"/>
                <w:szCs w:val="21"/>
              </w:rPr>
            </w:pPr>
          </w:p>
        </w:tc>
        <w:tc>
          <w:tcPr>
            <w:tcW w:w="217" w:type="dxa"/>
          </w:tcPr>
          <w:p w14:paraId="7F2F77C4" w14:textId="77777777" w:rsidR="002C0FD9" w:rsidRPr="00CA25CF" w:rsidRDefault="002C0FD9" w:rsidP="00CA25CF">
            <w:pPr>
              <w:rPr>
                <w:rFonts w:cs="Arial"/>
                <w:color w:val="FF0000"/>
                <w:sz w:val="21"/>
                <w:szCs w:val="21"/>
              </w:rPr>
            </w:pPr>
          </w:p>
        </w:tc>
        <w:tc>
          <w:tcPr>
            <w:tcW w:w="217" w:type="dxa"/>
          </w:tcPr>
          <w:p w14:paraId="5B129024" w14:textId="77777777" w:rsidR="002C0FD9" w:rsidRPr="00CA25CF" w:rsidRDefault="002C0FD9" w:rsidP="00CA25CF">
            <w:pPr>
              <w:rPr>
                <w:rFonts w:cs="Arial"/>
                <w:color w:val="FF0000"/>
                <w:sz w:val="21"/>
                <w:szCs w:val="21"/>
              </w:rPr>
            </w:pPr>
          </w:p>
        </w:tc>
        <w:tc>
          <w:tcPr>
            <w:tcW w:w="217" w:type="dxa"/>
          </w:tcPr>
          <w:p w14:paraId="72308B2B" w14:textId="77777777" w:rsidR="002C0FD9" w:rsidRPr="00CA25CF" w:rsidRDefault="002C0FD9" w:rsidP="00CA25CF">
            <w:pPr>
              <w:rPr>
                <w:rFonts w:cs="Arial"/>
                <w:color w:val="FF0000"/>
                <w:sz w:val="21"/>
                <w:szCs w:val="21"/>
              </w:rPr>
            </w:pPr>
          </w:p>
        </w:tc>
        <w:tc>
          <w:tcPr>
            <w:tcW w:w="217" w:type="dxa"/>
          </w:tcPr>
          <w:p w14:paraId="4B57E582" w14:textId="77777777" w:rsidR="002C0FD9" w:rsidRPr="00CA25CF" w:rsidRDefault="002C0FD9" w:rsidP="00CA25CF">
            <w:pPr>
              <w:rPr>
                <w:rFonts w:cs="Arial"/>
                <w:color w:val="FF0000"/>
                <w:sz w:val="21"/>
                <w:szCs w:val="21"/>
              </w:rPr>
            </w:pPr>
          </w:p>
        </w:tc>
        <w:tc>
          <w:tcPr>
            <w:tcW w:w="217" w:type="dxa"/>
          </w:tcPr>
          <w:p w14:paraId="060C93DB" w14:textId="77777777" w:rsidR="002C0FD9" w:rsidRPr="00CA25CF" w:rsidRDefault="002C0FD9" w:rsidP="00CA25CF">
            <w:pPr>
              <w:rPr>
                <w:rFonts w:cs="Arial"/>
                <w:color w:val="FF0000"/>
                <w:sz w:val="21"/>
                <w:szCs w:val="21"/>
              </w:rPr>
            </w:pPr>
          </w:p>
        </w:tc>
        <w:tc>
          <w:tcPr>
            <w:tcW w:w="217" w:type="dxa"/>
          </w:tcPr>
          <w:p w14:paraId="2B90F40E" w14:textId="77777777" w:rsidR="002C0FD9" w:rsidRPr="00CA25CF" w:rsidRDefault="002C0FD9" w:rsidP="00CA25CF">
            <w:pPr>
              <w:rPr>
                <w:rFonts w:cs="Arial"/>
                <w:color w:val="FF0000"/>
                <w:sz w:val="21"/>
                <w:szCs w:val="21"/>
              </w:rPr>
            </w:pPr>
          </w:p>
        </w:tc>
        <w:tc>
          <w:tcPr>
            <w:tcW w:w="217" w:type="dxa"/>
          </w:tcPr>
          <w:p w14:paraId="72EF791A" w14:textId="77777777" w:rsidR="002C0FD9" w:rsidRPr="00CA25CF" w:rsidRDefault="002C0FD9" w:rsidP="00CA25CF">
            <w:pPr>
              <w:rPr>
                <w:rFonts w:cs="Arial"/>
                <w:color w:val="FF0000"/>
                <w:sz w:val="21"/>
                <w:szCs w:val="21"/>
              </w:rPr>
            </w:pPr>
          </w:p>
        </w:tc>
        <w:tc>
          <w:tcPr>
            <w:tcW w:w="217" w:type="dxa"/>
          </w:tcPr>
          <w:p w14:paraId="6805C73D" w14:textId="77777777" w:rsidR="002C0FD9" w:rsidRPr="00CA25CF" w:rsidRDefault="002C0FD9" w:rsidP="00CA25CF">
            <w:pPr>
              <w:rPr>
                <w:rFonts w:cs="Arial"/>
                <w:color w:val="FF0000"/>
                <w:sz w:val="21"/>
                <w:szCs w:val="21"/>
              </w:rPr>
            </w:pPr>
          </w:p>
        </w:tc>
        <w:tc>
          <w:tcPr>
            <w:tcW w:w="217" w:type="dxa"/>
          </w:tcPr>
          <w:p w14:paraId="40B96579" w14:textId="77777777" w:rsidR="002C0FD9" w:rsidRPr="00CA25CF" w:rsidRDefault="002C0FD9" w:rsidP="00CA25CF">
            <w:pPr>
              <w:rPr>
                <w:rFonts w:cs="Arial"/>
                <w:color w:val="FF0000"/>
                <w:sz w:val="21"/>
                <w:szCs w:val="21"/>
              </w:rPr>
            </w:pPr>
          </w:p>
        </w:tc>
        <w:tc>
          <w:tcPr>
            <w:tcW w:w="217" w:type="dxa"/>
          </w:tcPr>
          <w:p w14:paraId="2376A588" w14:textId="77777777" w:rsidR="002C0FD9" w:rsidRPr="00CA25CF" w:rsidRDefault="002C0FD9" w:rsidP="00CA25CF">
            <w:pPr>
              <w:rPr>
                <w:rFonts w:cs="Arial"/>
                <w:color w:val="FF0000"/>
                <w:sz w:val="21"/>
                <w:szCs w:val="21"/>
              </w:rPr>
            </w:pPr>
          </w:p>
        </w:tc>
        <w:tc>
          <w:tcPr>
            <w:tcW w:w="217" w:type="dxa"/>
          </w:tcPr>
          <w:p w14:paraId="19B90C54" w14:textId="77777777" w:rsidR="002C0FD9" w:rsidRPr="00CA25CF" w:rsidRDefault="002C0FD9" w:rsidP="00CA25CF">
            <w:pPr>
              <w:rPr>
                <w:rFonts w:cs="Arial"/>
                <w:color w:val="FF0000"/>
                <w:sz w:val="21"/>
                <w:szCs w:val="21"/>
              </w:rPr>
            </w:pPr>
          </w:p>
        </w:tc>
      </w:tr>
      <w:tr w:rsidR="002C0FD9" w:rsidRPr="00A16219" w14:paraId="6A6E9932" w14:textId="704BDA86" w:rsidTr="002C0FD9">
        <w:trPr>
          <w:trHeight w:val="635"/>
        </w:trPr>
        <w:tc>
          <w:tcPr>
            <w:tcW w:w="515" w:type="dxa"/>
          </w:tcPr>
          <w:p w14:paraId="08789286" w14:textId="77777777" w:rsidR="002C0FD9" w:rsidRPr="00CA25CF" w:rsidRDefault="002C0FD9" w:rsidP="00CA25CF">
            <w:pPr>
              <w:rPr>
                <w:rFonts w:cs="Arial"/>
                <w:color w:val="FF0000"/>
                <w:sz w:val="21"/>
                <w:szCs w:val="21"/>
              </w:rPr>
            </w:pPr>
          </w:p>
        </w:tc>
        <w:tc>
          <w:tcPr>
            <w:tcW w:w="217" w:type="dxa"/>
          </w:tcPr>
          <w:p w14:paraId="5960D71E" w14:textId="77777777" w:rsidR="002C0FD9" w:rsidRPr="00CA25CF" w:rsidRDefault="002C0FD9" w:rsidP="00CA25CF">
            <w:pPr>
              <w:rPr>
                <w:rFonts w:cs="Arial"/>
                <w:color w:val="FF0000"/>
                <w:sz w:val="21"/>
                <w:szCs w:val="21"/>
              </w:rPr>
            </w:pPr>
          </w:p>
        </w:tc>
        <w:tc>
          <w:tcPr>
            <w:tcW w:w="217" w:type="dxa"/>
          </w:tcPr>
          <w:p w14:paraId="1499CE30" w14:textId="032FBC8B" w:rsidR="002C0FD9" w:rsidRPr="00CA25CF" w:rsidRDefault="002C0FD9" w:rsidP="00CA25CF">
            <w:pPr>
              <w:rPr>
                <w:rFonts w:cs="Arial"/>
                <w:color w:val="FF0000"/>
                <w:sz w:val="21"/>
                <w:szCs w:val="21"/>
              </w:rPr>
            </w:pPr>
          </w:p>
        </w:tc>
        <w:tc>
          <w:tcPr>
            <w:tcW w:w="217" w:type="dxa"/>
          </w:tcPr>
          <w:p w14:paraId="6B87C10E" w14:textId="77777777" w:rsidR="002C0FD9" w:rsidRPr="00CA25CF" w:rsidRDefault="002C0FD9" w:rsidP="00CA25CF">
            <w:pPr>
              <w:rPr>
                <w:rFonts w:cs="Arial"/>
                <w:color w:val="FF0000"/>
                <w:sz w:val="21"/>
                <w:szCs w:val="21"/>
              </w:rPr>
            </w:pPr>
          </w:p>
        </w:tc>
        <w:tc>
          <w:tcPr>
            <w:tcW w:w="217" w:type="dxa"/>
          </w:tcPr>
          <w:p w14:paraId="52062A13" w14:textId="77777777" w:rsidR="002C0FD9" w:rsidRPr="00CA25CF" w:rsidRDefault="002C0FD9" w:rsidP="00CA25CF">
            <w:pPr>
              <w:rPr>
                <w:rFonts w:cs="Arial"/>
                <w:color w:val="FF0000"/>
                <w:sz w:val="21"/>
                <w:szCs w:val="21"/>
              </w:rPr>
            </w:pPr>
          </w:p>
        </w:tc>
        <w:tc>
          <w:tcPr>
            <w:tcW w:w="217" w:type="dxa"/>
          </w:tcPr>
          <w:p w14:paraId="5188FBA2" w14:textId="77777777" w:rsidR="002C0FD9" w:rsidRPr="00CA25CF" w:rsidRDefault="002C0FD9" w:rsidP="00CA25CF">
            <w:pPr>
              <w:rPr>
                <w:rFonts w:cs="Arial"/>
                <w:color w:val="FF0000"/>
                <w:sz w:val="21"/>
                <w:szCs w:val="21"/>
              </w:rPr>
            </w:pPr>
          </w:p>
        </w:tc>
        <w:tc>
          <w:tcPr>
            <w:tcW w:w="217" w:type="dxa"/>
          </w:tcPr>
          <w:p w14:paraId="0F2A62CD" w14:textId="77777777" w:rsidR="002C0FD9" w:rsidRPr="00CA25CF" w:rsidRDefault="002C0FD9" w:rsidP="00CA25CF">
            <w:pPr>
              <w:rPr>
                <w:rFonts w:cs="Arial"/>
                <w:color w:val="FF0000"/>
                <w:sz w:val="21"/>
                <w:szCs w:val="21"/>
              </w:rPr>
            </w:pPr>
          </w:p>
        </w:tc>
        <w:tc>
          <w:tcPr>
            <w:tcW w:w="217" w:type="dxa"/>
          </w:tcPr>
          <w:p w14:paraId="681D09FE" w14:textId="77777777" w:rsidR="002C0FD9" w:rsidRPr="00CA25CF" w:rsidRDefault="002C0FD9" w:rsidP="00CA25CF">
            <w:pPr>
              <w:rPr>
                <w:rFonts w:cs="Arial"/>
                <w:color w:val="FF0000"/>
                <w:sz w:val="21"/>
                <w:szCs w:val="21"/>
              </w:rPr>
            </w:pPr>
          </w:p>
        </w:tc>
        <w:tc>
          <w:tcPr>
            <w:tcW w:w="217" w:type="dxa"/>
          </w:tcPr>
          <w:p w14:paraId="3D1545F7" w14:textId="77777777" w:rsidR="002C0FD9" w:rsidRPr="00CA25CF" w:rsidRDefault="002C0FD9" w:rsidP="00CA25CF">
            <w:pPr>
              <w:rPr>
                <w:rFonts w:cs="Arial"/>
                <w:color w:val="FF0000"/>
                <w:sz w:val="21"/>
                <w:szCs w:val="21"/>
              </w:rPr>
            </w:pPr>
          </w:p>
        </w:tc>
        <w:tc>
          <w:tcPr>
            <w:tcW w:w="217" w:type="dxa"/>
          </w:tcPr>
          <w:p w14:paraId="7429F5C2" w14:textId="77777777" w:rsidR="002C0FD9" w:rsidRPr="00CA25CF" w:rsidRDefault="002C0FD9" w:rsidP="00CA25CF">
            <w:pPr>
              <w:rPr>
                <w:rFonts w:cs="Arial"/>
                <w:color w:val="FF0000"/>
                <w:sz w:val="21"/>
                <w:szCs w:val="21"/>
              </w:rPr>
            </w:pPr>
          </w:p>
        </w:tc>
        <w:tc>
          <w:tcPr>
            <w:tcW w:w="217" w:type="dxa"/>
          </w:tcPr>
          <w:p w14:paraId="08C61C4D" w14:textId="77777777" w:rsidR="002C0FD9" w:rsidRPr="00CA25CF" w:rsidRDefault="002C0FD9" w:rsidP="00CA25CF">
            <w:pPr>
              <w:rPr>
                <w:rFonts w:cs="Arial"/>
                <w:color w:val="FF0000"/>
                <w:sz w:val="21"/>
                <w:szCs w:val="21"/>
              </w:rPr>
            </w:pPr>
          </w:p>
        </w:tc>
        <w:tc>
          <w:tcPr>
            <w:tcW w:w="217" w:type="dxa"/>
          </w:tcPr>
          <w:p w14:paraId="33385D03" w14:textId="77777777" w:rsidR="002C0FD9" w:rsidRPr="00CA25CF" w:rsidRDefault="002C0FD9" w:rsidP="00CA25CF">
            <w:pPr>
              <w:rPr>
                <w:rFonts w:cs="Arial"/>
                <w:color w:val="FF0000"/>
                <w:sz w:val="21"/>
                <w:szCs w:val="21"/>
              </w:rPr>
            </w:pPr>
          </w:p>
        </w:tc>
        <w:tc>
          <w:tcPr>
            <w:tcW w:w="217" w:type="dxa"/>
          </w:tcPr>
          <w:p w14:paraId="145507EC" w14:textId="77777777" w:rsidR="002C0FD9" w:rsidRPr="00CA25CF" w:rsidRDefault="002C0FD9" w:rsidP="00CA25CF">
            <w:pPr>
              <w:rPr>
                <w:rFonts w:cs="Arial"/>
                <w:color w:val="FF0000"/>
                <w:sz w:val="21"/>
                <w:szCs w:val="21"/>
              </w:rPr>
            </w:pPr>
          </w:p>
        </w:tc>
        <w:tc>
          <w:tcPr>
            <w:tcW w:w="217" w:type="dxa"/>
          </w:tcPr>
          <w:p w14:paraId="1D1D9552" w14:textId="77777777" w:rsidR="002C0FD9" w:rsidRPr="00CA25CF" w:rsidRDefault="002C0FD9" w:rsidP="00CA25CF">
            <w:pPr>
              <w:rPr>
                <w:rFonts w:cs="Arial"/>
                <w:color w:val="FF0000"/>
                <w:sz w:val="21"/>
                <w:szCs w:val="21"/>
              </w:rPr>
            </w:pPr>
          </w:p>
        </w:tc>
        <w:tc>
          <w:tcPr>
            <w:tcW w:w="217" w:type="dxa"/>
          </w:tcPr>
          <w:p w14:paraId="12F62131" w14:textId="77777777" w:rsidR="002C0FD9" w:rsidRPr="00CA25CF" w:rsidRDefault="002C0FD9" w:rsidP="00CA25CF">
            <w:pPr>
              <w:rPr>
                <w:rFonts w:cs="Arial"/>
                <w:color w:val="FF0000"/>
                <w:sz w:val="21"/>
                <w:szCs w:val="21"/>
              </w:rPr>
            </w:pPr>
          </w:p>
        </w:tc>
        <w:tc>
          <w:tcPr>
            <w:tcW w:w="217" w:type="dxa"/>
          </w:tcPr>
          <w:p w14:paraId="07640356" w14:textId="77777777" w:rsidR="002C0FD9" w:rsidRPr="00CA25CF" w:rsidRDefault="002C0FD9" w:rsidP="00CA25CF">
            <w:pPr>
              <w:rPr>
                <w:rFonts w:cs="Arial"/>
                <w:color w:val="FF0000"/>
                <w:sz w:val="21"/>
                <w:szCs w:val="21"/>
              </w:rPr>
            </w:pPr>
          </w:p>
        </w:tc>
        <w:tc>
          <w:tcPr>
            <w:tcW w:w="217" w:type="dxa"/>
          </w:tcPr>
          <w:p w14:paraId="22E0A601" w14:textId="77777777" w:rsidR="002C0FD9" w:rsidRPr="00CA25CF" w:rsidRDefault="002C0FD9" w:rsidP="00CA25CF">
            <w:pPr>
              <w:rPr>
                <w:rFonts w:cs="Arial"/>
                <w:color w:val="FF0000"/>
                <w:sz w:val="21"/>
                <w:szCs w:val="21"/>
              </w:rPr>
            </w:pPr>
          </w:p>
        </w:tc>
        <w:tc>
          <w:tcPr>
            <w:tcW w:w="217" w:type="dxa"/>
          </w:tcPr>
          <w:p w14:paraId="1F4D2AD7" w14:textId="77777777" w:rsidR="002C0FD9" w:rsidRPr="00CA25CF" w:rsidRDefault="002C0FD9" w:rsidP="00CA25CF">
            <w:pPr>
              <w:rPr>
                <w:rFonts w:cs="Arial"/>
                <w:color w:val="FF0000"/>
                <w:sz w:val="21"/>
                <w:szCs w:val="21"/>
              </w:rPr>
            </w:pPr>
          </w:p>
        </w:tc>
        <w:tc>
          <w:tcPr>
            <w:tcW w:w="217" w:type="dxa"/>
          </w:tcPr>
          <w:p w14:paraId="6E712F9A" w14:textId="77777777" w:rsidR="002C0FD9" w:rsidRPr="00CA25CF" w:rsidRDefault="002C0FD9" w:rsidP="00CA25CF">
            <w:pPr>
              <w:rPr>
                <w:rFonts w:cs="Arial"/>
                <w:color w:val="FF0000"/>
                <w:sz w:val="21"/>
                <w:szCs w:val="21"/>
              </w:rPr>
            </w:pPr>
          </w:p>
        </w:tc>
        <w:tc>
          <w:tcPr>
            <w:tcW w:w="217" w:type="dxa"/>
          </w:tcPr>
          <w:p w14:paraId="073C1B50" w14:textId="77777777" w:rsidR="002C0FD9" w:rsidRPr="00CA25CF" w:rsidRDefault="002C0FD9" w:rsidP="00CA25CF">
            <w:pPr>
              <w:rPr>
                <w:rFonts w:cs="Arial"/>
                <w:color w:val="FF0000"/>
                <w:sz w:val="21"/>
                <w:szCs w:val="21"/>
              </w:rPr>
            </w:pPr>
          </w:p>
        </w:tc>
        <w:tc>
          <w:tcPr>
            <w:tcW w:w="217" w:type="dxa"/>
          </w:tcPr>
          <w:p w14:paraId="27F082FD" w14:textId="77777777" w:rsidR="002C0FD9" w:rsidRPr="00CA25CF" w:rsidRDefault="002C0FD9" w:rsidP="00CA25CF">
            <w:pPr>
              <w:rPr>
                <w:rFonts w:cs="Arial"/>
                <w:color w:val="FF0000"/>
                <w:sz w:val="21"/>
                <w:szCs w:val="21"/>
              </w:rPr>
            </w:pPr>
          </w:p>
        </w:tc>
        <w:tc>
          <w:tcPr>
            <w:tcW w:w="217" w:type="dxa"/>
          </w:tcPr>
          <w:p w14:paraId="50DDDCDB" w14:textId="77777777" w:rsidR="002C0FD9" w:rsidRPr="00CA25CF" w:rsidRDefault="002C0FD9" w:rsidP="00CA25CF">
            <w:pPr>
              <w:rPr>
                <w:rFonts w:cs="Arial"/>
                <w:color w:val="FF0000"/>
                <w:sz w:val="21"/>
                <w:szCs w:val="21"/>
              </w:rPr>
            </w:pPr>
          </w:p>
        </w:tc>
        <w:tc>
          <w:tcPr>
            <w:tcW w:w="217" w:type="dxa"/>
          </w:tcPr>
          <w:p w14:paraId="290B43E3" w14:textId="77777777" w:rsidR="002C0FD9" w:rsidRPr="00CA25CF" w:rsidRDefault="002C0FD9" w:rsidP="00CA25CF">
            <w:pPr>
              <w:rPr>
                <w:rFonts w:cs="Arial"/>
                <w:color w:val="FF0000"/>
                <w:sz w:val="21"/>
                <w:szCs w:val="21"/>
              </w:rPr>
            </w:pPr>
          </w:p>
        </w:tc>
        <w:tc>
          <w:tcPr>
            <w:tcW w:w="217" w:type="dxa"/>
          </w:tcPr>
          <w:p w14:paraId="30382306" w14:textId="77777777" w:rsidR="002C0FD9" w:rsidRPr="00CA25CF" w:rsidRDefault="002C0FD9" w:rsidP="00CA25CF">
            <w:pPr>
              <w:rPr>
                <w:rFonts w:cs="Arial"/>
                <w:color w:val="FF0000"/>
                <w:sz w:val="21"/>
                <w:szCs w:val="21"/>
              </w:rPr>
            </w:pPr>
          </w:p>
        </w:tc>
        <w:tc>
          <w:tcPr>
            <w:tcW w:w="217" w:type="dxa"/>
          </w:tcPr>
          <w:p w14:paraId="74A4628F" w14:textId="77777777" w:rsidR="002C0FD9" w:rsidRPr="00CA25CF" w:rsidRDefault="002C0FD9" w:rsidP="00CA25CF">
            <w:pPr>
              <w:rPr>
                <w:rFonts w:cs="Arial"/>
                <w:color w:val="FF0000"/>
                <w:sz w:val="21"/>
                <w:szCs w:val="21"/>
              </w:rPr>
            </w:pPr>
          </w:p>
        </w:tc>
        <w:tc>
          <w:tcPr>
            <w:tcW w:w="217" w:type="dxa"/>
          </w:tcPr>
          <w:p w14:paraId="61660FCB" w14:textId="77777777" w:rsidR="002C0FD9" w:rsidRPr="00CA25CF" w:rsidRDefault="002C0FD9" w:rsidP="00CA25CF">
            <w:pPr>
              <w:rPr>
                <w:rFonts w:cs="Arial"/>
                <w:color w:val="FF0000"/>
                <w:sz w:val="21"/>
                <w:szCs w:val="21"/>
              </w:rPr>
            </w:pPr>
          </w:p>
        </w:tc>
        <w:tc>
          <w:tcPr>
            <w:tcW w:w="217" w:type="dxa"/>
          </w:tcPr>
          <w:p w14:paraId="2378C4BA" w14:textId="77777777" w:rsidR="002C0FD9" w:rsidRPr="00CA25CF" w:rsidRDefault="002C0FD9" w:rsidP="00CA25CF">
            <w:pPr>
              <w:rPr>
                <w:rFonts w:cs="Arial"/>
                <w:color w:val="FF0000"/>
                <w:sz w:val="21"/>
                <w:szCs w:val="21"/>
              </w:rPr>
            </w:pPr>
          </w:p>
        </w:tc>
        <w:tc>
          <w:tcPr>
            <w:tcW w:w="217" w:type="dxa"/>
          </w:tcPr>
          <w:p w14:paraId="6B1FCF36" w14:textId="77777777" w:rsidR="002C0FD9" w:rsidRPr="00CA25CF" w:rsidRDefault="002C0FD9" w:rsidP="00CA25CF">
            <w:pPr>
              <w:rPr>
                <w:rFonts w:cs="Arial"/>
                <w:color w:val="FF0000"/>
                <w:sz w:val="21"/>
                <w:szCs w:val="21"/>
              </w:rPr>
            </w:pPr>
          </w:p>
        </w:tc>
        <w:tc>
          <w:tcPr>
            <w:tcW w:w="217" w:type="dxa"/>
          </w:tcPr>
          <w:p w14:paraId="3E5D3AEF" w14:textId="77777777" w:rsidR="002C0FD9" w:rsidRPr="00CA25CF" w:rsidRDefault="002C0FD9" w:rsidP="00CA25CF">
            <w:pPr>
              <w:rPr>
                <w:rFonts w:cs="Arial"/>
                <w:color w:val="FF0000"/>
                <w:sz w:val="21"/>
                <w:szCs w:val="21"/>
              </w:rPr>
            </w:pPr>
          </w:p>
        </w:tc>
        <w:tc>
          <w:tcPr>
            <w:tcW w:w="217" w:type="dxa"/>
          </w:tcPr>
          <w:p w14:paraId="19AAC775" w14:textId="77777777" w:rsidR="002C0FD9" w:rsidRPr="00CA25CF" w:rsidRDefault="002C0FD9" w:rsidP="00CA25CF">
            <w:pPr>
              <w:rPr>
                <w:rFonts w:cs="Arial"/>
                <w:color w:val="FF0000"/>
                <w:sz w:val="21"/>
                <w:szCs w:val="21"/>
              </w:rPr>
            </w:pPr>
          </w:p>
        </w:tc>
        <w:tc>
          <w:tcPr>
            <w:tcW w:w="217" w:type="dxa"/>
          </w:tcPr>
          <w:p w14:paraId="47B284CE" w14:textId="77777777" w:rsidR="002C0FD9" w:rsidRPr="00CA25CF" w:rsidRDefault="002C0FD9" w:rsidP="00CA25CF">
            <w:pPr>
              <w:rPr>
                <w:rFonts w:cs="Arial"/>
                <w:color w:val="FF0000"/>
                <w:sz w:val="21"/>
                <w:szCs w:val="21"/>
              </w:rPr>
            </w:pPr>
          </w:p>
        </w:tc>
        <w:tc>
          <w:tcPr>
            <w:tcW w:w="217" w:type="dxa"/>
          </w:tcPr>
          <w:p w14:paraId="269DC09C" w14:textId="77777777" w:rsidR="002C0FD9" w:rsidRPr="00CA25CF" w:rsidRDefault="002C0FD9" w:rsidP="00CA25CF">
            <w:pPr>
              <w:rPr>
                <w:rFonts w:cs="Arial"/>
                <w:color w:val="FF0000"/>
                <w:sz w:val="21"/>
                <w:szCs w:val="21"/>
              </w:rPr>
            </w:pPr>
          </w:p>
        </w:tc>
        <w:tc>
          <w:tcPr>
            <w:tcW w:w="217" w:type="dxa"/>
          </w:tcPr>
          <w:p w14:paraId="0CF2D81F" w14:textId="77777777" w:rsidR="002C0FD9" w:rsidRPr="00CA25CF" w:rsidRDefault="002C0FD9" w:rsidP="00CA25CF">
            <w:pPr>
              <w:rPr>
                <w:rFonts w:cs="Arial"/>
                <w:color w:val="FF0000"/>
                <w:sz w:val="21"/>
                <w:szCs w:val="21"/>
              </w:rPr>
            </w:pPr>
          </w:p>
        </w:tc>
        <w:tc>
          <w:tcPr>
            <w:tcW w:w="217" w:type="dxa"/>
          </w:tcPr>
          <w:p w14:paraId="5B59E09F" w14:textId="77777777" w:rsidR="002C0FD9" w:rsidRPr="00CA25CF" w:rsidRDefault="002C0FD9" w:rsidP="00CA25CF">
            <w:pPr>
              <w:rPr>
                <w:rFonts w:cs="Arial"/>
                <w:color w:val="FF0000"/>
                <w:sz w:val="21"/>
                <w:szCs w:val="21"/>
              </w:rPr>
            </w:pPr>
          </w:p>
        </w:tc>
        <w:tc>
          <w:tcPr>
            <w:tcW w:w="217" w:type="dxa"/>
          </w:tcPr>
          <w:p w14:paraId="220B18EB" w14:textId="77777777" w:rsidR="002C0FD9" w:rsidRPr="00CA25CF" w:rsidRDefault="002C0FD9" w:rsidP="00CA25CF">
            <w:pPr>
              <w:rPr>
                <w:rFonts w:cs="Arial"/>
                <w:color w:val="FF0000"/>
                <w:sz w:val="21"/>
                <w:szCs w:val="21"/>
              </w:rPr>
            </w:pPr>
          </w:p>
        </w:tc>
        <w:tc>
          <w:tcPr>
            <w:tcW w:w="217" w:type="dxa"/>
          </w:tcPr>
          <w:p w14:paraId="1EC7AB17" w14:textId="77777777" w:rsidR="002C0FD9" w:rsidRPr="00CA25CF" w:rsidRDefault="002C0FD9" w:rsidP="00CA25CF">
            <w:pPr>
              <w:rPr>
                <w:rFonts w:cs="Arial"/>
                <w:color w:val="FF0000"/>
                <w:sz w:val="21"/>
                <w:szCs w:val="21"/>
              </w:rPr>
            </w:pPr>
          </w:p>
        </w:tc>
        <w:tc>
          <w:tcPr>
            <w:tcW w:w="217" w:type="dxa"/>
          </w:tcPr>
          <w:p w14:paraId="6CFB6247" w14:textId="77777777" w:rsidR="002C0FD9" w:rsidRPr="00CA25CF" w:rsidRDefault="002C0FD9" w:rsidP="00CA25CF">
            <w:pPr>
              <w:rPr>
                <w:rFonts w:cs="Arial"/>
                <w:color w:val="FF0000"/>
                <w:sz w:val="21"/>
                <w:szCs w:val="21"/>
              </w:rPr>
            </w:pPr>
          </w:p>
        </w:tc>
        <w:tc>
          <w:tcPr>
            <w:tcW w:w="217" w:type="dxa"/>
          </w:tcPr>
          <w:p w14:paraId="02F61E3B" w14:textId="77777777" w:rsidR="002C0FD9" w:rsidRPr="00CA25CF" w:rsidRDefault="002C0FD9" w:rsidP="00CA25CF">
            <w:pPr>
              <w:rPr>
                <w:rFonts w:cs="Arial"/>
                <w:color w:val="FF0000"/>
                <w:sz w:val="21"/>
                <w:szCs w:val="21"/>
              </w:rPr>
            </w:pPr>
          </w:p>
        </w:tc>
        <w:tc>
          <w:tcPr>
            <w:tcW w:w="217" w:type="dxa"/>
          </w:tcPr>
          <w:p w14:paraId="36F26838" w14:textId="77777777" w:rsidR="002C0FD9" w:rsidRPr="00CA25CF" w:rsidRDefault="002C0FD9" w:rsidP="00CA25CF">
            <w:pPr>
              <w:rPr>
                <w:rFonts w:cs="Arial"/>
                <w:color w:val="FF0000"/>
                <w:sz w:val="21"/>
                <w:szCs w:val="21"/>
              </w:rPr>
            </w:pPr>
          </w:p>
        </w:tc>
        <w:tc>
          <w:tcPr>
            <w:tcW w:w="217" w:type="dxa"/>
          </w:tcPr>
          <w:p w14:paraId="0C94FB53" w14:textId="77777777" w:rsidR="002C0FD9" w:rsidRPr="00CA25CF" w:rsidRDefault="002C0FD9" w:rsidP="00CA25CF">
            <w:pPr>
              <w:rPr>
                <w:rFonts w:cs="Arial"/>
                <w:color w:val="FF0000"/>
                <w:sz w:val="21"/>
                <w:szCs w:val="21"/>
              </w:rPr>
            </w:pPr>
          </w:p>
        </w:tc>
        <w:tc>
          <w:tcPr>
            <w:tcW w:w="217" w:type="dxa"/>
          </w:tcPr>
          <w:p w14:paraId="4A7A5480" w14:textId="77777777" w:rsidR="002C0FD9" w:rsidRPr="00CA25CF" w:rsidRDefault="002C0FD9" w:rsidP="00CA25CF">
            <w:pPr>
              <w:rPr>
                <w:rFonts w:cs="Arial"/>
                <w:color w:val="FF0000"/>
                <w:sz w:val="21"/>
                <w:szCs w:val="21"/>
              </w:rPr>
            </w:pPr>
          </w:p>
        </w:tc>
        <w:tc>
          <w:tcPr>
            <w:tcW w:w="217" w:type="dxa"/>
          </w:tcPr>
          <w:p w14:paraId="520898ED" w14:textId="77777777" w:rsidR="002C0FD9" w:rsidRPr="00CA25CF" w:rsidRDefault="002C0FD9" w:rsidP="00CA25CF">
            <w:pPr>
              <w:rPr>
                <w:rFonts w:cs="Arial"/>
                <w:color w:val="FF0000"/>
                <w:sz w:val="21"/>
                <w:szCs w:val="21"/>
              </w:rPr>
            </w:pPr>
          </w:p>
        </w:tc>
        <w:tc>
          <w:tcPr>
            <w:tcW w:w="217" w:type="dxa"/>
          </w:tcPr>
          <w:p w14:paraId="2EDFA18D" w14:textId="77777777" w:rsidR="002C0FD9" w:rsidRPr="00CA25CF" w:rsidRDefault="002C0FD9" w:rsidP="00CA25CF">
            <w:pPr>
              <w:rPr>
                <w:rFonts w:cs="Arial"/>
                <w:color w:val="FF0000"/>
                <w:sz w:val="21"/>
                <w:szCs w:val="21"/>
              </w:rPr>
            </w:pPr>
          </w:p>
        </w:tc>
      </w:tr>
      <w:tr w:rsidR="002C0FD9" w:rsidRPr="00A16219" w14:paraId="1F8B9E99" w14:textId="41B338B7" w:rsidTr="002C0FD9">
        <w:trPr>
          <w:trHeight w:val="635"/>
        </w:trPr>
        <w:tc>
          <w:tcPr>
            <w:tcW w:w="515" w:type="dxa"/>
          </w:tcPr>
          <w:p w14:paraId="2FF7F2A0" w14:textId="77777777" w:rsidR="002C0FD9" w:rsidRPr="00CA25CF" w:rsidRDefault="002C0FD9" w:rsidP="00CA25CF">
            <w:pPr>
              <w:rPr>
                <w:rFonts w:cs="Arial"/>
                <w:color w:val="FF0000"/>
                <w:sz w:val="21"/>
                <w:szCs w:val="21"/>
              </w:rPr>
            </w:pPr>
          </w:p>
        </w:tc>
        <w:tc>
          <w:tcPr>
            <w:tcW w:w="217" w:type="dxa"/>
          </w:tcPr>
          <w:p w14:paraId="361EDDEA" w14:textId="77777777" w:rsidR="002C0FD9" w:rsidRPr="00CA25CF" w:rsidRDefault="002C0FD9" w:rsidP="00CA25CF">
            <w:pPr>
              <w:rPr>
                <w:rFonts w:cs="Arial"/>
                <w:color w:val="FF0000"/>
                <w:sz w:val="21"/>
                <w:szCs w:val="21"/>
              </w:rPr>
            </w:pPr>
          </w:p>
        </w:tc>
        <w:tc>
          <w:tcPr>
            <w:tcW w:w="217" w:type="dxa"/>
          </w:tcPr>
          <w:p w14:paraId="5623A756" w14:textId="2ADE8847" w:rsidR="002C0FD9" w:rsidRPr="00CA25CF" w:rsidRDefault="002C0FD9" w:rsidP="00CA25CF">
            <w:pPr>
              <w:rPr>
                <w:rFonts w:cs="Arial"/>
                <w:color w:val="FF0000"/>
                <w:sz w:val="21"/>
                <w:szCs w:val="21"/>
              </w:rPr>
            </w:pPr>
          </w:p>
        </w:tc>
        <w:tc>
          <w:tcPr>
            <w:tcW w:w="217" w:type="dxa"/>
          </w:tcPr>
          <w:p w14:paraId="30D76576" w14:textId="77777777" w:rsidR="002C0FD9" w:rsidRPr="00CA25CF" w:rsidRDefault="002C0FD9" w:rsidP="00CA25CF">
            <w:pPr>
              <w:rPr>
                <w:rFonts w:cs="Arial"/>
                <w:color w:val="FF0000"/>
                <w:sz w:val="21"/>
                <w:szCs w:val="21"/>
              </w:rPr>
            </w:pPr>
          </w:p>
        </w:tc>
        <w:tc>
          <w:tcPr>
            <w:tcW w:w="217" w:type="dxa"/>
          </w:tcPr>
          <w:p w14:paraId="525C23D4" w14:textId="77777777" w:rsidR="002C0FD9" w:rsidRPr="00CA25CF" w:rsidRDefault="002C0FD9" w:rsidP="00CA25CF">
            <w:pPr>
              <w:rPr>
                <w:rFonts w:cs="Arial"/>
                <w:color w:val="FF0000"/>
                <w:sz w:val="21"/>
                <w:szCs w:val="21"/>
              </w:rPr>
            </w:pPr>
          </w:p>
        </w:tc>
        <w:tc>
          <w:tcPr>
            <w:tcW w:w="217" w:type="dxa"/>
          </w:tcPr>
          <w:p w14:paraId="33D74C31" w14:textId="77777777" w:rsidR="002C0FD9" w:rsidRPr="00CA25CF" w:rsidRDefault="002C0FD9" w:rsidP="00CA25CF">
            <w:pPr>
              <w:rPr>
                <w:rFonts w:cs="Arial"/>
                <w:color w:val="FF0000"/>
                <w:sz w:val="21"/>
                <w:szCs w:val="21"/>
              </w:rPr>
            </w:pPr>
          </w:p>
        </w:tc>
        <w:tc>
          <w:tcPr>
            <w:tcW w:w="217" w:type="dxa"/>
          </w:tcPr>
          <w:p w14:paraId="6592B4E9" w14:textId="77777777" w:rsidR="002C0FD9" w:rsidRPr="00CA25CF" w:rsidRDefault="002C0FD9" w:rsidP="00CA25CF">
            <w:pPr>
              <w:rPr>
                <w:rFonts w:cs="Arial"/>
                <w:color w:val="FF0000"/>
                <w:sz w:val="21"/>
                <w:szCs w:val="21"/>
              </w:rPr>
            </w:pPr>
          </w:p>
        </w:tc>
        <w:tc>
          <w:tcPr>
            <w:tcW w:w="217" w:type="dxa"/>
          </w:tcPr>
          <w:p w14:paraId="483348ED" w14:textId="77777777" w:rsidR="002C0FD9" w:rsidRPr="00CA25CF" w:rsidRDefault="002C0FD9" w:rsidP="00CA25CF">
            <w:pPr>
              <w:rPr>
                <w:rFonts w:cs="Arial"/>
                <w:color w:val="FF0000"/>
                <w:sz w:val="21"/>
                <w:szCs w:val="21"/>
              </w:rPr>
            </w:pPr>
          </w:p>
        </w:tc>
        <w:tc>
          <w:tcPr>
            <w:tcW w:w="217" w:type="dxa"/>
          </w:tcPr>
          <w:p w14:paraId="728196B8" w14:textId="77777777" w:rsidR="002C0FD9" w:rsidRPr="00CA25CF" w:rsidRDefault="002C0FD9" w:rsidP="00CA25CF">
            <w:pPr>
              <w:rPr>
                <w:rFonts w:cs="Arial"/>
                <w:color w:val="FF0000"/>
                <w:sz w:val="21"/>
                <w:szCs w:val="21"/>
              </w:rPr>
            </w:pPr>
          </w:p>
        </w:tc>
        <w:tc>
          <w:tcPr>
            <w:tcW w:w="217" w:type="dxa"/>
          </w:tcPr>
          <w:p w14:paraId="707FFCE3" w14:textId="77777777" w:rsidR="002C0FD9" w:rsidRPr="00CA25CF" w:rsidRDefault="002C0FD9" w:rsidP="00CA25CF">
            <w:pPr>
              <w:rPr>
                <w:rFonts w:cs="Arial"/>
                <w:color w:val="FF0000"/>
                <w:sz w:val="21"/>
                <w:szCs w:val="21"/>
              </w:rPr>
            </w:pPr>
          </w:p>
        </w:tc>
        <w:tc>
          <w:tcPr>
            <w:tcW w:w="217" w:type="dxa"/>
          </w:tcPr>
          <w:p w14:paraId="79158DD1" w14:textId="77777777" w:rsidR="002C0FD9" w:rsidRPr="00CA25CF" w:rsidRDefault="002C0FD9" w:rsidP="00CA25CF">
            <w:pPr>
              <w:rPr>
                <w:rFonts w:cs="Arial"/>
                <w:color w:val="FF0000"/>
                <w:sz w:val="21"/>
                <w:szCs w:val="21"/>
              </w:rPr>
            </w:pPr>
          </w:p>
        </w:tc>
        <w:tc>
          <w:tcPr>
            <w:tcW w:w="217" w:type="dxa"/>
          </w:tcPr>
          <w:p w14:paraId="4AEE86C8" w14:textId="77777777" w:rsidR="002C0FD9" w:rsidRPr="00CA25CF" w:rsidRDefault="002C0FD9" w:rsidP="00CA25CF">
            <w:pPr>
              <w:rPr>
                <w:rFonts w:cs="Arial"/>
                <w:color w:val="FF0000"/>
                <w:sz w:val="21"/>
                <w:szCs w:val="21"/>
              </w:rPr>
            </w:pPr>
          </w:p>
        </w:tc>
        <w:tc>
          <w:tcPr>
            <w:tcW w:w="217" w:type="dxa"/>
          </w:tcPr>
          <w:p w14:paraId="3BB58A3D" w14:textId="77777777" w:rsidR="002C0FD9" w:rsidRPr="00CA25CF" w:rsidRDefault="002C0FD9" w:rsidP="00CA25CF">
            <w:pPr>
              <w:rPr>
                <w:rFonts w:cs="Arial"/>
                <w:color w:val="FF0000"/>
                <w:sz w:val="21"/>
                <w:szCs w:val="21"/>
              </w:rPr>
            </w:pPr>
          </w:p>
        </w:tc>
        <w:tc>
          <w:tcPr>
            <w:tcW w:w="217" w:type="dxa"/>
          </w:tcPr>
          <w:p w14:paraId="3E8508FF" w14:textId="77777777" w:rsidR="002C0FD9" w:rsidRPr="00CA25CF" w:rsidRDefault="002C0FD9" w:rsidP="00CA25CF">
            <w:pPr>
              <w:rPr>
                <w:rFonts w:cs="Arial"/>
                <w:color w:val="FF0000"/>
                <w:sz w:val="21"/>
                <w:szCs w:val="21"/>
              </w:rPr>
            </w:pPr>
          </w:p>
        </w:tc>
        <w:tc>
          <w:tcPr>
            <w:tcW w:w="217" w:type="dxa"/>
          </w:tcPr>
          <w:p w14:paraId="10B6F961" w14:textId="77777777" w:rsidR="002C0FD9" w:rsidRPr="00CA25CF" w:rsidRDefault="002C0FD9" w:rsidP="00CA25CF">
            <w:pPr>
              <w:rPr>
                <w:rFonts w:cs="Arial"/>
                <w:color w:val="FF0000"/>
                <w:sz w:val="21"/>
                <w:szCs w:val="21"/>
              </w:rPr>
            </w:pPr>
          </w:p>
        </w:tc>
        <w:tc>
          <w:tcPr>
            <w:tcW w:w="217" w:type="dxa"/>
          </w:tcPr>
          <w:p w14:paraId="5689B070" w14:textId="77777777" w:rsidR="002C0FD9" w:rsidRPr="00CA25CF" w:rsidRDefault="002C0FD9" w:rsidP="00CA25CF">
            <w:pPr>
              <w:rPr>
                <w:rFonts w:cs="Arial"/>
                <w:color w:val="FF0000"/>
                <w:sz w:val="21"/>
                <w:szCs w:val="21"/>
              </w:rPr>
            </w:pPr>
          </w:p>
        </w:tc>
        <w:tc>
          <w:tcPr>
            <w:tcW w:w="217" w:type="dxa"/>
          </w:tcPr>
          <w:p w14:paraId="7B42AD59" w14:textId="77777777" w:rsidR="002C0FD9" w:rsidRPr="00CA25CF" w:rsidRDefault="002C0FD9" w:rsidP="00CA25CF">
            <w:pPr>
              <w:rPr>
                <w:rFonts w:cs="Arial"/>
                <w:color w:val="FF0000"/>
                <w:sz w:val="21"/>
                <w:szCs w:val="21"/>
              </w:rPr>
            </w:pPr>
          </w:p>
        </w:tc>
        <w:tc>
          <w:tcPr>
            <w:tcW w:w="217" w:type="dxa"/>
          </w:tcPr>
          <w:p w14:paraId="4801286A" w14:textId="77777777" w:rsidR="002C0FD9" w:rsidRPr="00CA25CF" w:rsidRDefault="002C0FD9" w:rsidP="00CA25CF">
            <w:pPr>
              <w:rPr>
                <w:rFonts w:cs="Arial"/>
                <w:color w:val="FF0000"/>
                <w:sz w:val="21"/>
                <w:szCs w:val="21"/>
              </w:rPr>
            </w:pPr>
          </w:p>
        </w:tc>
        <w:tc>
          <w:tcPr>
            <w:tcW w:w="217" w:type="dxa"/>
          </w:tcPr>
          <w:p w14:paraId="6F7858BA" w14:textId="77777777" w:rsidR="002C0FD9" w:rsidRPr="00CA25CF" w:rsidRDefault="002C0FD9" w:rsidP="00CA25CF">
            <w:pPr>
              <w:rPr>
                <w:rFonts w:cs="Arial"/>
                <w:color w:val="FF0000"/>
                <w:sz w:val="21"/>
                <w:szCs w:val="21"/>
              </w:rPr>
            </w:pPr>
          </w:p>
        </w:tc>
        <w:tc>
          <w:tcPr>
            <w:tcW w:w="217" w:type="dxa"/>
          </w:tcPr>
          <w:p w14:paraId="76F0B8D3" w14:textId="77777777" w:rsidR="002C0FD9" w:rsidRPr="00CA25CF" w:rsidRDefault="002C0FD9" w:rsidP="00CA25CF">
            <w:pPr>
              <w:rPr>
                <w:rFonts w:cs="Arial"/>
                <w:color w:val="FF0000"/>
                <w:sz w:val="21"/>
                <w:szCs w:val="21"/>
              </w:rPr>
            </w:pPr>
          </w:p>
        </w:tc>
        <w:tc>
          <w:tcPr>
            <w:tcW w:w="217" w:type="dxa"/>
          </w:tcPr>
          <w:p w14:paraId="0BEF6E04" w14:textId="77777777" w:rsidR="002C0FD9" w:rsidRPr="00CA25CF" w:rsidRDefault="002C0FD9" w:rsidP="00CA25CF">
            <w:pPr>
              <w:rPr>
                <w:rFonts w:cs="Arial"/>
                <w:color w:val="FF0000"/>
                <w:sz w:val="21"/>
                <w:szCs w:val="21"/>
              </w:rPr>
            </w:pPr>
          </w:p>
        </w:tc>
        <w:tc>
          <w:tcPr>
            <w:tcW w:w="217" w:type="dxa"/>
          </w:tcPr>
          <w:p w14:paraId="7B5C5090" w14:textId="77777777" w:rsidR="002C0FD9" w:rsidRPr="00CA25CF" w:rsidRDefault="002C0FD9" w:rsidP="00CA25CF">
            <w:pPr>
              <w:rPr>
                <w:rFonts w:cs="Arial"/>
                <w:color w:val="FF0000"/>
                <w:sz w:val="21"/>
                <w:szCs w:val="21"/>
              </w:rPr>
            </w:pPr>
          </w:p>
        </w:tc>
        <w:tc>
          <w:tcPr>
            <w:tcW w:w="217" w:type="dxa"/>
          </w:tcPr>
          <w:p w14:paraId="1393ADD5" w14:textId="77777777" w:rsidR="002C0FD9" w:rsidRPr="00CA25CF" w:rsidRDefault="002C0FD9" w:rsidP="00CA25CF">
            <w:pPr>
              <w:rPr>
                <w:rFonts w:cs="Arial"/>
                <w:color w:val="FF0000"/>
                <w:sz w:val="21"/>
                <w:szCs w:val="21"/>
              </w:rPr>
            </w:pPr>
          </w:p>
        </w:tc>
        <w:tc>
          <w:tcPr>
            <w:tcW w:w="217" w:type="dxa"/>
          </w:tcPr>
          <w:p w14:paraId="238086B1" w14:textId="77777777" w:rsidR="002C0FD9" w:rsidRPr="00CA25CF" w:rsidRDefault="002C0FD9" w:rsidP="00CA25CF">
            <w:pPr>
              <w:rPr>
                <w:rFonts w:cs="Arial"/>
                <w:color w:val="FF0000"/>
                <w:sz w:val="21"/>
                <w:szCs w:val="21"/>
              </w:rPr>
            </w:pPr>
          </w:p>
        </w:tc>
        <w:tc>
          <w:tcPr>
            <w:tcW w:w="217" w:type="dxa"/>
          </w:tcPr>
          <w:p w14:paraId="14BC04A0" w14:textId="77777777" w:rsidR="002C0FD9" w:rsidRPr="00CA25CF" w:rsidRDefault="002C0FD9" w:rsidP="00CA25CF">
            <w:pPr>
              <w:rPr>
                <w:rFonts w:cs="Arial"/>
                <w:color w:val="FF0000"/>
                <w:sz w:val="21"/>
                <w:szCs w:val="21"/>
              </w:rPr>
            </w:pPr>
          </w:p>
        </w:tc>
        <w:tc>
          <w:tcPr>
            <w:tcW w:w="217" w:type="dxa"/>
          </w:tcPr>
          <w:p w14:paraId="0C0A3D2E" w14:textId="77777777" w:rsidR="002C0FD9" w:rsidRPr="00CA25CF" w:rsidRDefault="002C0FD9" w:rsidP="00CA25CF">
            <w:pPr>
              <w:rPr>
                <w:rFonts w:cs="Arial"/>
                <w:color w:val="FF0000"/>
                <w:sz w:val="21"/>
                <w:szCs w:val="21"/>
              </w:rPr>
            </w:pPr>
          </w:p>
        </w:tc>
        <w:tc>
          <w:tcPr>
            <w:tcW w:w="217" w:type="dxa"/>
          </w:tcPr>
          <w:p w14:paraId="7FD9B306" w14:textId="77777777" w:rsidR="002C0FD9" w:rsidRPr="00CA25CF" w:rsidRDefault="002C0FD9" w:rsidP="00CA25CF">
            <w:pPr>
              <w:rPr>
                <w:rFonts w:cs="Arial"/>
                <w:color w:val="FF0000"/>
                <w:sz w:val="21"/>
                <w:szCs w:val="21"/>
              </w:rPr>
            </w:pPr>
          </w:p>
        </w:tc>
        <w:tc>
          <w:tcPr>
            <w:tcW w:w="217" w:type="dxa"/>
          </w:tcPr>
          <w:p w14:paraId="5DB5D88D" w14:textId="77777777" w:rsidR="002C0FD9" w:rsidRPr="00CA25CF" w:rsidRDefault="002C0FD9" w:rsidP="00CA25CF">
            <w:pPr>
              <w:rPr>
                <w:rFonts w:cs="Arial"/>
                <w:color w:val="FF0000"/>
                <w:sz w:val="21"/>
                <w:szCs w:val="21"/>
              </w:rPr>
            </w:pPr>
          </w:p>
        </w:tc>
        <w:tc>
          <w:tcPr>
            <w:tcW w:w="217" w:type="dxa"/>
          </w:tcPr>
          <w:p w14:paraId="24417E4E" w14:textId="77777777" w:rsidR="002C0FD9" w:rsidRPr="00CA25CF" w:rsidRDefault="002C0FD9" w:rsidP="00CA25CF">
            <w:pPr>
              <w:rPr>
                <w:rFonts w:cs="Arial"/>
                <w:color w:val="FF0000"/>
                <w:sz w:val="21"/>
                <w:szCs w:val="21"/>
              </w:rPr>
            </w:pPr>
          </w:p>
        </w:tc>
        <w:tc>
          <w:tcPr>
            <w:tcW w:w="217" w:type="dxa"/>
          </w:tcPr>
          <w:p w14:paraId="7F972B15" w14:textId="77777777" w:rsidR="002C0FD9" w:rsidRPr="00CA25CF" w:rsidRDefault="002C0FD9" w:rsidP="00CA25CF">
            <w:pPr>
              <w:rPr>
                <w:rFonts w:cs="Arial"/>
                <w:color w:val="FF0000"/>
                <w:sz w:val="21"/>
                <w:szCs w:val="21"/>
              </w:rPr>
            </w:pPr>
          </w:p>
        </w:tc>
        <w:tc>
          <w:tcPr>
            <w:tcW w:w="217" w:type="dxa"/>
          </w:tcPr>
          <w:p w14:paraId="655CC009" w14:textId="77777777" w:rsidR="002C0FD9" w:rsidRPr="00CA25CF" w:rsidRDefault="002C0FD9" w:rsidP="00CA25CF">
            <w:pPr>
              <w:rPr>
                <w:rFonts w:cs="Arial"/>
                <w:color w:val="FF0000"/>
                <w:sz w:val="21"/>
                <w:szCs w:val="21"/>
              </w:rPr>
            </w:pPr>
          </w:p>
        </w:tc>
        <w:tc>
          <w:tcPr>
            <w:tcW w:w="217" w:type="dxa"/>
          </w:tcPr>
          <w:p w14:paraId="323FF967" w14:textId="77777777" w:rsidR="002C0FD9" w:rsidRPr="00CA25CF" w:rsidRDefault="002C0FD9" w:rsidP="00CA25CF">
            <w:pPr>
              <w:rPr>
                <w:rFonts w:cs="Arial"/>
                <w:color w:val="FF0000"/>
                <w:sz w:val="21"/>
                <w:szCs w:val="21"/>
              </w:rPr>
            </w:pPr>
          </w:p>
        </w:tc>
        <w:tc>
          <w:tcPr>
            <w:tcW w:w="217" w:type="dxa"/>
          </w:tcPr>
          <w:p w14:paraId="5B4FBFFB" w14:textId="77777777" w:rsidR="002C0FD9" w:rsidRPr="00CA25CF" w:rsidRDefault="002C0FD9" w:rsidP="00CA25CF">
            <w:pPr>
              <w:rPr>
                <w:rFonts w:cs="Arial"/>
                <w:color w:val="FF0000"/>
                <w:sz w:val="21"/>
                <w:szCs w:val="21"/>
              </w:rPr>
            </w:pPr>
          </w:p>
        </w:tc>
        <w:tc>
          <w:tcPr>
            <w:tcW w:w="217" w:type="dxa"/>
          </w:tcPr>
          <w:p w14:paraId="1D84D8AD" w14:textId="77777777" w:rsidR="002C0FD9" w:rsidRPr="00CA25CF" w:rsidRDefault="002C0FD9" w:rsidP="00CA25CF">
            <w:pPr>
              <w:rPr>
                <w:rFonts w:cs="Arial"/>
                <w:color w:val="FF0000"/>
                <w:sz w:val="21"/>
                <w:szCs w:val="21"/>
              </w:rPr>
            </w:pPr>
          </w:p>
        </w:tc>
        <w:tc>
          <w:tcPr>
            <w:tcW w:w="217" w:type="dxa"/>
          </w:tcPr>
          <w:p w14:paraId="0C792C2F" w14:textId="77777777" w:rsidR="002C0FD9" w:rsidRPr="00CA25CF" w:rsidRDefault="002C0FD9" w:rsidP="00CA25CF">
            <w:pPr>
              <w:rPr>
                <w:rFonts w:cs="Arial"/>
                <w:color w:val="FF0000"/>
                <w:sz w:val="21"/>
                <w:szCs w:val="21"/>
              </w:rPr>
            </w:pPr>
          </w:p>
        </w:tc>
        <w:tc>
          <w:tcPr>
            <w:tcW w:w="217" w:type="dxa"/>
          </w:tcPr>
          <w:p w14:paraId="1FA0B78E" w14:textId="77777777" w:rsidR="002C0FD9" w:rsidRPr="00CA25CF" w:rsidRDefault="002C0FD9" w:rsidP="00CA25CF">
            <w:pPr>
              <w:rPr>
                <w:rFonts w:cs="Arial"/>
                <w:color w:val="FF0000"/>
                <w:sz w:val="21"/>
                <w:szCs w:val="21"/>
              </w:rPr>
            </w:pPr>
          </w:p>
        </w:tc>
        <w:tc>
          <w:tcPr>
            <w:tcW w:w="217" w:type="dxa"/>
          </w:tcPr>
          <w:p w14:paraId="73AE8A11" w14:textId="77777777" w:rsidR="002C0FD9" w:rsidRPr="00CA25CF" w:rsidRDefault="002C0FD9" w:rsidP="00CA25CF">
            <w:pPr>
              <w:rPr>
                <w:rFonts w:cs="Arial"/>
                <w:color w:val="FF0000"/>
                <w:sz w:val="21"/>
                <w:szCs w:val="21"/>
              </w:rPr>
            </w:pPr>
          </w:p>
        </w:tc>
        <w:tc>
          <w:tcPr>
            <w:tcW w:w="217" w:type="dxa"/>
          </w:tcPr>
          <w:p w14:paraId="09F392F5" w14:textId="77777777" w:rsidR="002C0FD9" w:rsidRPr="00CA25CF" w:rsidRDefault="002C0FD9" w:rsidP="00CA25CF">
            <w:pPr>
              <w:rPr>
                <w:rFonts w:cs="Arial"/>
                <w:color w:val="FF0000"/>
                <w:sz w:val="21"/>
                <w:szCs w:val="21"/>
              </w:rPr>
            </w:pPr>
          </w:p>
        </w:tc>
        <w:tc>
          <w:tcPr>
            <w:tcW w:w="217" w:type="dxa"/>
          </w:tcPr>
          <w:p w14:paraId="60598051" w14:textId="77777777" w:rsidR="002C0FD9" w:rsidRPr="00CA25CF" w:rsidRDefault="002C0FD9" w:rsidP="00CA25CF">
            <w:pPr>
              <w:rPr>
                <w:rFonts w:cs="Arial"/>
                <w:color w:val="FF0000"/>
                <w:sz w:val="21"/>
                <w:szCs w:val="21"/>
              </w:rPr>
            </w:pPr>
          </w:p>
        </w:tc>
        <w:tc>
          <w:tcPr>
            <w:tcW w:w="217" w:type="dxa"/>
          </w:tcPr>
          <w:p w14:paraId="649C8FEC" w14:textId="77777777" w:rsidR="002C0FD9" w:rsidRPr="00CA25CF" w:rsidRDefault="002C0FD9" w:rsidP="00CA25CF">
            <w:pPr>
              <w:rPr>
                <w:rFonts w:cs="Arial"/>
                <w:color w:val="FF0000"/>
                <w:sz w:val="21"/>
                <w:szCs w:val="21"/>
              </w:rPr>
            </w:pPr>
          </w:p>
        </w:tc>
        <w:tc>
          <w:tcPr>
            <w:tcW w:w="217" w:type="dxa"/>
          </w:tcPr>
          <w:p w14:paraId="654A2B2C" w14:textId="77777777" w:rsidR="002C0FD9" w:rsidRPr="00CA25CF" w:rsidRDefault="002C0FD9" w:rsidP="00CA25CF">
            <w:pPr>
              <w:rPr>
                <w:rFonts w:cs="Arial"/>
                <w:color w:val="FF0000"/>
                <w:sz w:val="21"/>
                <w:szCs w:val="21"/>
              </w:rPr>
            </w:pPr>
          </w:p>
        </w:tc>
        <w:tc>
          <w:tcPr>
            <w:tcW w:w="217" w:type="dxa"/>
          </w:tcPr>
          <w:p w14:paraId="69671A0A" w14:textId="77777777" w:rsidR="002C0FD9" w:rsidRPr="00CA25CF" w:rsidRDefault="002C0FD9" w:rsidP="00CA25CF">
            <w:pPr>
              <w:rPr>
                <w:rFonts w:cs="Arial"/>
                <w:color w:val="FF0000"/>
                <w:sz w:val="21"/>
                <w:szCs w:val="21"/>
              </w:rPr>
            </w:pPr>
          </w:p>
        </w:tc>
        <w:tc>
          <w:tcPr>
            <w:tcW w:w="217" w:type="dxa"/>
          </w:tcPr>
          <w:p w14:paraId="335ED06B" w14:textId="77777777" w:rsidR="002C0FD9" w:rsidRPr="00CA25CF" w:rsidRDefault="002C0FD9" w:rsidP="00CA25CF">
            <w:pPr>
              <w:rPr>
                <w:rFonts w:cs="Arial"/>
                <w:color w:val="FF0000"/>
                <w:sz w:val="21"/>
                <w:szCs w:val="21"/>
              </w:rPr>
            </w:pPr>
          </w:p>
        </w:tc>
      </w:tr>
      <w:tr w:rsidR="002C0FD9" w:rsidRPr="00A16219" w14:paraId="63341CA0" w14:textId="20656A59" w:rsidTr="002C0FD9">
        <w:trPr>
          <w:trHeight w:val="635"/>
        </w:trPr>
        <w:tc>
          <w:tcPr>
            <w:tcW w:w="515" w:type="dxa"/>
          </w:tcPr>
          <w:p w14:paraId="4A5017D7" w14:textId="77777777" w:rsidR="002C0FD9" w:rsidRPr="00CA25CF" w:rsidRDefault="002C0FD9" w:rsidP="00CA25CF">
            <w:pPr>
              <w:rPr>
                <w:rFonts w:cs="Arial"/>
                <w:color w:val="FF0000"/>
                <w:sz w:val="21"/>
                <w:szCs w:val="21"/>
              </w:rPr>
            </w:pPr>
          </w:p>
        </w:tc>
        <w:tc>
          <w:tcPr>
            <w:tcW w:w="217" w:type="dxa"/>
          </w:tcPr>
          <w:p w14:paraId="487B4EF3" w14:textId="77777777" w:rsidR="002C0FD9" w:rsidRPr="00CA25CF" w:rsidRDefault="002C0FD9" w:rsidP="00CA25CF">
            <w:pPr>
              <w:rPr>
                <w:rFonts w:cs="Arial"/>
                <w:color w:val="FF0000"/>
                <w:sz w:val="21"/>
                <w:szCs w:val="21"/>
              </w:rPr>
            </w:pPr>
          </w:p>
        </w:tc>
        <w:tc>
          <w:tcPr>
            <w:tcW w:w="217" w:type="dxa"/>
          </w:tcPr>
          <w:p w14:paraId="7DAF7F26" w14:textId="110002E2" w:rsidR="002C0FD9" w:rsidRPr="00CA25CF" w:rsidRDefault="002C0FD9" w:rsidP="00CA25CF">
            <w:pPr>
              <w:rPr>
                <w:rFonts w:cs="Arial"/>
                <w:color w:val="FF0000"/>
                <w:sz w:val="21"/>
                <w:szCs w:val="21"/>
              </w:rPr>
            </w:pPr>
          </w:p>
        </w:tc>
        <w:tc>
          <w:tcPr>
            <w:tcW w:w="217" w:type="dxa"/>
          </w:tcPr>
          <w:p w14:paraId="50ADD229" w14:textId="77777777" w:rsidR="002C0FD9" w:rsidRPr="00CA25CF" w:rsidRDefault="002C0FD9" w:rsidP="00CA25CF">
            <w:pPr>
              <w:rPr>
                <w:rFonts w:cs="Arial"/>
                <w:color w:val="FF0000"/>
                <w:sz w:val="21"/>
                <w:szCs w:val="21"/>
              </w:rPr>
            </w:pPr>
          </w:p>
        </w:tc>
        <w:tc>
          <w:tcPr>
            <w:tcW w:w="217" w:type="dxa"/>
          </w:tcPr>
          <w:p w14:paraId="37644463" w14:textId="77777777" w:rsidR="002C0FD9" w:rsidRPr="00CA25CF" w:rsidRDefault="002C0FD9" w:rsidP="00CA25CF">
            <w:pPr>
              <w:rPr>
                <w:rFonts w:cs="Arial"/>
                <w:color w:val="FF0000"/>
                <w:sz w:val="21"/>
                <w:szCs w:val="21"/>
              </w:rPr>
            </w:pPr>
          </w:p>
        </w:tc>
        <w:tc>
          <w:tcPr>
            <w:tcW w:w="217" w:type="dxa"/>
          </w:tcPr>
          <w:p w14:paraId="1CA06D79" w14:textId="77777777" w:rsidR="002C0FD9" w:rsidRPr="00CA25CF" w:rsidRDefault="002C0FD9" w:rsidP="00CA25CF">
            <w:pPr>
              <w:rPr>
                <w:rFonts w:cs="Arial"/>
                <w:color w:val="FF0000"/>
                <w:sz w:val="21"/>
                <w:szCs w:val="21"/>
              </w:rPr>
            </w:pPr>
          </w:p>
        </w:tc>
        <w:tc>
          <w:tcPr>
            <w:tcW w:w="217" w:type="dxa"/>
          </w:tcPr>
          <w:p w14:paraId="519476D3" w14:textId="77777777" w:rsidR="002C0FD9" w:rsidRPr="00CA25CF" w:rsidRDefault="002C0FD9" w:rsidP="00CA25CF">
            <w:pPr>
              <w:rPr>
                <w:rFonts w:cs="Arial"/>
                <w:color w:val="FF0000"/>
                <w:sz w:val="21"/>
                <w:szCs w:val="21"/>
              </w:rPr>
            </w:pPr>
          </w:p>
        </w:tc>
        <w:tc>
          <w:tcPr>
            <w:tcW w:w="217" w:type="dxa"/>
          </w:tcPr>
          <w:p w14:paraId="479F5B83" w14:textId="77777777" w:rsidR="002C0FD9" w:rsidRPr="00CA25CF" w:rsidRDefault="002C0FD9" w:rsidP="00CA25CF">
            <w:pPr>
              <w:rPr>
                <w:rFonts w:cs="Arial"/>
                <w:color w:val="FF0000"/>
                <w:sz w:val="21"/>
                <w:szCs w:val="21"/>
              </w:rPr>
            </w:pPr>
          </w:p>
        </w:tc>
        <w:tc>
          <w:tcPr>
            <w:tcW w:w="217" w:type="dxa"/>
          </w:tcPr>
          <w:p w14:paraId="478688C8" w14:textId="77777777" w:rsidR="002C0FD9" w:rsidRPr="00CA25CF" w:rsidRDefault="002C0FD9" w:rsidP="00CA25CF">
            <w:pPr>
              <w:rPr>
                <w:rFonts w:cs="Arial"/>
                <w:color w:val="FF0000"/>
                <w:sz w:val="21"/>
                <w:szCs w:val="21"/>
              </w:rPr>
            </w:pPr>
          </w:p>
        </w:tc>
        <w:tc>
          <w:tcPr>
            <w:tcW w:w="217" w:type="dxa"/>
          </w:tcPr>
          <w:p w14:paraId="0F3A327B" w14:textId="77777777" w:rsidR="002C0FD9" w:rsidRPr="00CA25CF" w:rsidRDefault="002C0FD9" w:rsidP="00CA25CF">
            <w:pPr>
              <w:rPr>
                <w:rFonts w:cs="Arial"/>
                <w:color w:val="FF0000"/>
                <w:sz w:val="21"/>
                <w:szCs w:val="21"/>
              </w:rPr>
            </w:pPr>
          </w:p>
        </w:tc>
        <w:tc>
          <w:tcPr>
            <w:tcW w:w="217" w:type="dxa"/>
          </w:tcPr>
          <w:p w14:paraId="46AF59A5" w14:textId="77777777" w:rsidR="002C0FD9" w:rsidRPr="00CA25CF" w:rsidRDefault="002C0FD9" w:rsidP="00CA25CF">
            <w:pPr>
              <w:rPr>
                <w:rFonts w:cs="Arial"/>
                <w:color w:val="FF0000"/>
                <w:sz w:val="21"/>
                <w:szCs w:val="21"/>
              </w:rPr>
            </w:pPr>
          </w:p>
        </w:tc>
        <w:tc>
          <w:tcPr>
            <w:tcW w:w="217" w:type="dxa"/>
          </w:tcPr>
          <w:p w14:paraId="500EFB49" w14:textId="77777777" w:rsidR="002C0FD9" w:rsidRPr="00CA25CF" w:rsidRDefault="002C0FD9" w:rsidP="00CA25CF">
            <w:pPr>
              <w:rPr>
                <w:rFonts w:cs="Arial"/>
                <w:color w:val="FF0000"/>
                <w:sz w:val="21"/>
                <w:szCs w:val="21"/>
              </w:rPr>
            </w:pPr>
          </w:p>
        </w:tc>
        <w:tc>
          <w:tcPr>
            <w:tcW w:w="217" w:type="dxa"/>
          </w:tcPr>
          <w:p w14:paraId="69CB1262" w14:textId="77777777" w:rsidR="002C0FD9" w:rsidRPr="00CA25CF" w:rsidRDefault="002C0FD9" w:rsidP="00CA25CF">
            <w:pPr>
              <w:rPr>
                <w:rFonts w:cs="Arial"/>
                <w:color w:val="FF0000"/>
                <w:sz w:val="21"/>
                <w:szCs w:val="21"/>
              </w:rPr>
            </w:pPr>
          </w:p>
        </w:tc>
        <w:tc>
          <w:tcPr>
            <w:tcW w:w="217" w:type="dxa"/>
          </w:tcPr>
          <w:p w14:paraId="2E8D24E6" w14:textId="77777777" w:rsidR="002C0FD9" w:rsidRPr="00CA25CF" w:rsidRDefault="002C0FD9" w:rsidP="00CA25CF">
            <w:pPr>
              <w:rPr>
                <w:rFonts w:cs="Arial"/>
                <w:color w:val="FF0000"/>
                <w:sz w:val="21"/>
                <w:szCs w:val="21"/>
              </w:rPr>
            </w:pPr>
          </w:p>
        </w:tc>
        <w:tc>
          <w:tcPr>
            <w:tcW w:w="217" w:type="dxa"/>
          </w:tcPr>
          <w:p w14:paraId="77CD6996" w14:textId="77777777" w:rsidR="002C0FD9" w:rsidRPr="00CA25CF" w:rsidRDefault="002C0FD9" w:rsidP="00CA25CF">
            <w:pPr>
              <w:rPr>
                <w:rFonts w:cs="Arial"/>
                <w:color w:val="FF0000"/>
                <w:sz w:val="21"/>
                <w:szCs w:val="21"/>
              </w:rPr>
            </w:pPr>
          </w:p>
        </w:tc>
        <w:tc>
          <w:tcPr>
            <w:tcW w:w="217" w:type="dxa"/>
          </w:tcPr>
          <w:p w14:paraId="1E589E20" w14:textId="77777777" w:rsidR="002C0FD9" w:rsidRPr="00CA25CF" w:rsidRDefault="002C0FD9" w:rsidP="00CA25CF">
            <w:pPr>
              <w:rPr>
                <w:rFonts w:cs="Arial"/>
                <w:color w:val="FF0000"/>
                <w:sz w:val="21"/>
                <w:szCs w:val="21"/>
              </w:rPr>
            </w:pPr>
          </w:p>
        </w:tc>
        <w:tc>
          <w:tcPr>
            <w:tcW w:w="217" w:type="dxa"/>
          </w:tcPr>
          <w:p w14:paraId="48B6E40D" w14:textId="77777777" w:rsidR="002C0FD9" w:rsidRPr="00CA25CF" w:rsidRDefault="002C0FD9" w:rsidP="00CA25CF">
            <w:pPr>
              <w:rPr>
                <w:rFonts w:cs="Arial"/>
                <w:color w:val="FF0000"/>
                <w:sz w:val="21"/>
                <w:szCs w:val="21"/>
              </w:rPr>
            </w:pPr>
          </w:p>
        </w:tc>
        <w:tc>
          <w:tcPr>
            <w:tcW w:w="217" w:type="dxa"/>
          </w:tcPr>
          <w:p w14:paraId="2B57A9EE" w14:textId="77777777" w:rsidR="002C0FD9" w:rsidRPr="00CA25CF" w:rsidRDefault="002C0FD9" w:rsidP="00CA25CF">
            <w:pPr>
              <w:rPr>
                <w:rFonts w:cs="Arial"/>
                <w:color w:val="FF0000"/>
                <w:sz w:val="21"/>
                <w:szCs w:val="21"/>
              </w:rPr>
            </w:pPr>
          </w:p>
        </w:tc>
        <w:tc>
          <w:tcPr>
            <w:tcW w:w="217" w:type="dxa"/>
          </w:tcPr>
          <w:p w14:paraId="5D1ED5D1" w14:textId="77777777" w:rsidR="002C0FD9" w:rsidRPr="00CA25CF" w:rsidRDefault="002C0FD9" w:rsidP="00CA25CF">
            <w:pPr>
              <w:rPr>
                <w:rFonts w:cs="Arial"/>
                <w:color w:val="FF0000"/>
                <w:sz w:val="21"/>
                <w:szCs w:val="21"/>
              </w:rPr>
            </w:pPr>
          </w:p>
        </w:tc>
        <w:tc>
          <w:tcPr>
            <w:tcW w:w="217" w:type="dxa"/>
          </w:tcPr>
          <w:p w14:paraId="02FDA246" w14:textId="77777777" w:rsidR="002C0FD9" w:rsidRPr="00CA25CF" w:rsidRDefault="002C0FD9" w:rsidP="00CA25CF">
            <w:pPr>
              <w:rPr>
                <w:rFonts w:cs="Arial"/>
                <w:color w:val="FF0000"/>
                <w:sz w:val="21"/>
                <w:szCs w:val="21"/>
              </w:rPr>
            </w:pPr>
          </w:p>
        </w:tc>
        <w:tc>
          <w:tcPr>
            <w:tcW w:w="217" w:type="dxa"/>
          </w:tcPr>
          <w:p w14:paraId="574707C2" w14:textId="77777777" w:rsidR="002C0FD9" w:rsidRPr="00CA25CF" w:rsidRDefault="002C0FD9" w:rsidP="00CA25CF">
            <w:pPr>
              <w:rPr>
                <w:rFonts w:cs="Arial"/>
                <w:color w:val="FF0000"/>
                <w:sz w:val="21"/>
                <w:szCs w:val="21"/>
              </w:rPr>
            </w:pPr>
          </w:p>
        </w:tc>
        <w:tc>
          <w:tcPr>
            <w:tcW w:w="217" w:type="dxa"/>
          </w:tcPr>
          <w:p w14:paraId="5B017D63" w14:textId="77777777" w:rsidR="002C0FD9" w:rsidRPr="00CA25CF" w:rsidRDefault="002C0FD9" w:rsidP="00CA25CF">
            <w:pPr>
              <w:rPr>
                <w:rFonts w:cs="Arial"/>
                <w:color w:val="FF0000"/>
                <w:sz w:val="21"/>
                <w:szCs w:val="21"/>
              </w:rPr>
            </w:pPr>
          </w:p>
        </w:tc>
        <w:tc>
          <w:tcPr>
            <w:tcW w:w="217" w:type="dxa"/>
          </w:tcPr>
          <w:p w14:paraId="6DADA1D6" w14:textId="77777777" w:rsidR="002C0FD9" w:rsidRPr="00CA25CF" w:rsidRDefault="002C0FD9" w:rsidP="00CA25CF">
            <w:pPr>
              <w:rPr>
                <w:rFonts w:cs="Arial"/>
                <w:color w:val="FF0000"/>
                <w:sz w:val="21"/>
                <w:szCs w:val="21"/>
              </w:rPr>
            </w:pPr>
          </w:p>
        </w:tc>
        <w:tc>
          <w:tcPr>
            <w:tcW w:w="217" w:type="dxa"/>
          </w:tcPr>
          <w:p w14:paraId="39266FDA" w14:textId="77777777" w:rsidR="002C0FD9" w:rsidRPr="00CA25CF" w:rsidRDefault="002C0FD9" w:rsidP="00CA25CF">
            <w:pPr>
              <w:rPr>
                <w:rFonts w:cs="Arial"/>
                <w:color w:val="FF0000"/>
                <w:sz w:val="21"/>
                <w:szCs w:val="21"/>
              </w:rPr>
            </w:pPr>
          </w:p>
        </w:tc>
        <w:tc>
          <w:tcPr>
            <w:tcW w:w="217" w:type="dxa"/>
          </w:tcPr>
          <w:p w14:paraId="129DC142" w14:textId="77777777" w:rsidR="002C0FD9" w:rsidRPr="00CA25CF" w:rsidRDefault="002C0FD9" w:rsidP="00CA25CF">
            <w:pPr>
              <w:rPr>
                <w:rFonts w:cs="Arial"/>
                <w:color w:val="FF0000"/>
                <w:sz w:val="21"/>
                <w:szCs w:val="21"/>
              </w:rPr>
            </w:pPr>
          </w:p>
        </w:tc>
        <w:tc>
          <w:tcPr>
            <w:tcW w:w="217" w:type="dxa"/>
          </w:tcPr>
          <w:p w14:paraId="490BCA42" w14:textId="77777777" w:rsidR="002C0FD9" w:rsidRPr="00CA25CF" w:rsidRDefault="002C0FD9" w:rsidP="00CA25CF">
            <w:pPr>
              <w:rPr>
                <w:rFonts w:cs="Arial"/>
                <w:color w:val="FF0000"/>
                <w:sz w:val="21"/>
                <w:szCs w:val="21"/>
              </w:rPr>
            </w:pPr>
          </w:p>
        </w:tc>
        <w:tc>
          <w:tcPr>
            <w:tcW w:w="217" w:type="dxa"/>
          </w:tcPr>
          <w:p w14:paraId="645B122D" w14:textId="77777777" w:rsidR="002C0FD9" w:rsidRPr="00CA25CF" w:rsidRDefault="002C0FD9" w:rsidP="00CA25CF">
            <w:pPr>
              <w:rPr>
                <w:rFonts w:cs="Arial"/>
                <w:color w:val="FF0000"/>
                <w:sz w:val="21"/>
                <w:szCs w:val="21"/>
              </w:rPr>
            </w:pPr>
          </w:p>
        </w:tc>
        <w:tc>
          <w:tcPr>
            <w:tcW w:w="217" w:type="dxa"/>
          </w:tcPr>
          <w:p w14:paraId="14D53E23" w14:textId="77777777" w:rsidR="002C0FD9" w:rsidRPr="00CA25CF" w:rsidRDefault="002C0FD9" w:rsidP="00CA25CF">
            <w:pPr>
              <w:rPr>
                <w:rFonts w:cs="Arial"/>
                <w:color w:val="FF0000"/>
                <w:sz w:val="21"/>
                <w:szCs w:val="21"/>
              </w:rPr>
            </w:pPr>
          </w:p>
        </w:tc>
        <w:tc>
          <w:tcPr>
            <w:tcW w:w="217" w:type="dxa"/>
          </w:tcPr>
          <w:p w14:paraId="53BD8CDF" w14:textId="77777777" w:rsidR="002C0FD9" w:rsidRPr="00CA25CF" w:rsidRDefault="002C0FD9" w:rsidP="00CA25CF">
            <w:pPr>
              <w:rPr>
                <w:rFonts w:cs="Arial"/>
                <w:color w:val="FF0000"/>
                <w:sz w:val="21"/>
                <w:szCs w:val="21"/>
              </w:rPr>
            </w:pPr>
          </w:p>
        </w:tc>
        <w:tc>
          <w:tcPr>
            <w:tcW w:w="217" w:type="dxa"/>
          </w:tcPr>
          <w:p w14:paraId="29D21DC8" w14:textId="77777777" w:rsidR="002C0FD9" w:rsidRPr="00CA25CF" w:rsidRDefault="002C0FD9" w:rsidP="00CA25CF">
            <w:pPr>
              <w:rPr>
                <w:rFonts w:cs="Arial"/>
                <w:color w:val="FF0000"/>
                <w:sz w:val="21"/>
                <w:szCs w:val="21"/>
              </w:rPr>
            </w:pPr>
          </w:p>
        </w:tc>
        <w:tc>
          <w:tcPr>
            <w:tcW w:w="217" w:type="dxa"/>
          </w:tcPr>
          <w:p w14:paraId="7CCD422B" w14:textId="77777777" w:rsidR="002C0FD9" w:rsidRPr="00CA25CF" w:rsidRDefault="002C0FD9" w:rsidP="00CA25CF">
            <w:pPr>
              <w:rPr>
                <w:rFonts w:cs="Arial"/>
                <w:color w:val="FF0000"/>
                <w:sz w:val="21"/>
                <w:szCs w:val="21"/>
              </w:rPr>
            </w:pPr>
          </w:p>
        </w:tc>
        <w:tc>
          <w:tcPr>
            <w:tcW w:w="217" w:type="dxa"/>
          </w:tcPr>
          <w:p w14:paraId="69705485" w14:textId="77777777" w:rsidR="002C0FD9" w:rsidRPr="00CA25CF" w:rsidRDefault="002C0FD9" w:rsidP="00CA25CF">
            <w:pPr>
              <w:rPr>
                <w:rFonts w:cs="Arial"/>
                <w:color w:val="FF0000"/>
                <w:sz w:val="21"/>
                <w:szCs w:val="21"/>
              </w:rPr>
            </w:pPr>
          </w:p>
        </w:tc>
        <w:tc>
          <w:tcPr>
            <w:tcW w:w="217" w:type="dxa"/>
          </w:tcPr>
          <w:p w14:paraId="1567578C" w14:textId="77777777" w:rsidR="002C0FD9" w:rsidRPr="00CA25CF" w:rsidRDefault="002C0FD9" w:rsidP="00CA25CF">
            <w:pPr>
              <w:rPr>
                <w:rFonts w:cs="Arial"/>
                <w:color w:val="FF0000"/>
                <w:sz w:val="21"/>
                <w:szCs w:val="21"/>
              </w:rPr>
            </w:pPr>
          </w:p>
        </w:tc>
        <w:tc>
          <w:tcPr>
            <w:tcW w:w="217" w:type="dxa"/>
          </w:tcPr>
          <w:p w14:paraId="3896588C" w14:textId="77777777" w:rsidR="002C0FD9" w:rsidRPr="00CA25CF" w:rsidRDefault="002C0FD9" w:rsidP="00CA25CF">
            <w:pPr>
              <w:rPr>
                <w:rFonts w:cs="Arial"/>
                <w:color w:val="FF0000"/>
                <w:sz w:val="21"/>
                <w:szCs w:val="21"/>
              </w:rPr>
            </w:pPr>
          </w:p>
        </w:tc>
        <w:tc>
          <w:tcPr>
            <w:tcW w:w="217" w:type="dxa"/>
          </w:tcPr>
          <w:p w14:paraId="7ACFBFA8" w14:textId="77777777" w:rsidR="002C0FD9" w:rsidRPr="00CA25CF" w:rsidRDefault="002C0FD9" w:rsidP="00CA25CF">
            <w:pPr>
              <w:rPr>
                <w:rFonts w:cs="Arial"/>
                <w:color w:val="FF0000"/>
                <w:sz w:val="21"/>
                <w:szCs w:val="21"/>
              </w:rPr>
            </w:pPr>
          </w:p>
        </w:tc>
        <w:tc>
          <w:tcPr>
            <w:tcW w:w="217" w:type="dxa"/>
          </w:tcPr>
          <w:p w14:paraId="0EF89735" w14:textId="77777777" w:rsidR="002C0FD9" w:rsidRPr="00CA25CF" w:rsidRDefault="002C0FD9" w:rsidP="00CA25CF">
            <w:pPr>
              <w:rPr>
                <w:rFonts w:cs="Arial"/>
                <w:color w:val="FF0000"/>
                <w:sz w:val="21"/>
                <w:szCs w:val="21"/>
              </w:rPr>
            </w:pPr>
          </w:p>
        </w:tc>
        <w:tc>
          <w:tcPr>
            <w:tcW w:w="217" w:type="dxa"/>
          </w:tcPr>
          <w:p w14:paraId="71CD7370" w14:textId="77777777" w:rsidR="002C0FD9" w:rsidRPr="00CA25CF" w:rsidRDefault="002C0FD9" w:rsidP="00CA25CF">
            <w:pPr>
              <w:rPr>
                <w:rFonts w:cs="Arial"/>
                <w:color w:val="FF0000"/>
                <w:sz w:val="21"/>
                <w:szCs w:val="21"/>
              </w:rPr>
            </w:pPr>
          </w:p>
        </w:tc>
        <w:tc>
          <w:tcPr>
            <w:tcW w:w="217" w:type="dxa"/>
          </w:tcPr>
          <w:p w14:paraId="71D28FD0" w14:textId="77777777" w:rsidR="002C0FD9" w:rsidRPr="00CA25CF" w:rsidRDefault="002C0FD9" w:rsidP="00CA25CF">
            <w:pPr>
              <w:rPr>
                <w:rFonts w:cs="Arial"/>
                <w:color w:val="FF0000"/>
                <w:sz w:val="21"/>
                <w:szCs w:val="21"/>
              </w:rPr>
            </w:pPr>
          </w:p>
        </w:tc>
        <w:tc>
          <w:tcPr>
            <w:tcW w:w="217" w:type="dxa"/>
          </w:tcPr>
          <w:p w14:paraId="35E40FA1" w14:textId="77777777" w:rsidR="002C0FD9" w:rsidRPr="00CA25CF" w:rsidRDefault="002C0FD9" w:rsidP="00CA25CF">
            <w:pPr>
              <w:rPr>
                <w:rFonts w:cs="Arial"/>
                <w:color w:val="FF0000"/>
                <w:sz w:val="21"/>
                <w:szCs w:val="21"/>
              </w:rPr>
            </w:pPr>
          </w:p>
        </w:tc>
        <w:tc>
          <w:tcPr>
            <w:tcW w:w="217" w:type="dxa"/>
          </w:tcPr>
          <w:p w14:paraId="09387114" w14:textId="77777777" w:rsidR="002C0FD9" w:rsidRPr="00CA25CF" w:rsidRDefault="002C0FD9" w:rsidP="00CA25CF">
            <w:pPr>
              <w:rPr>
                <w:rFonts w:cs="Arial"/>
                <w:color w:val="FF0000"/>
                <w:sz w:val="21"/>
                <w:szCs w:val="21"/>
              </w:rPr>
            </w:pPr>
          </w:p>
        </w:tc>
        <w:tc>
          <w:tcPr>
            <w:tcW w:w="217" w:type="dxa"/>
          </w:tcPr>
          <w:p w14:paraId="5556BAB8" w14:textId="77777777" w:rsidR="002C0FD9" w:rsidRPr="00CA25CF" w:rsidRDefault="002C0FD9" w:rsidP="00CA25CF">
            <w:pPr>
              <w:rPr>
                <w:rFonts w:cs="Arial"/>
                <w:color w:val="FF0000"/>
                <w:sz w:val="21"/>
                <w:szCs w:val="21"/>
              </w:rPr>
            </w:pPr>
          </w:p>
        </w:tc>
        <w:tc>
          <w:tcPr>
            <w:tcW w:w="217" w:type="dxa"/>
          </w:tcPr>
          <w:p w14:paraId="7B46165B" w14:textId="77777777" w:rsidR="002C0FD9" w:rsidRPr="00CA25CF" w:rsidRDefault="002C0FD9" w:rsidP="00CA25CF">
            <w:pPr>
              <w:rPr>
                <w:rFonts w:cs="Arial"/>
                <w:color w:val="FF0000"/>
                <w:sz w:val="21"/>
                <w:szCs w:val="21"/>
              </w:rPr>
            </w:pPr>
          </w:p>
        </w:tc>
        <w:tc>
          <w:tcPr>
            <w:tcW w:w="217" w:type="dxa"/>
          </w:tcPr>
          <w:p w14:paraId="4AD4A861" w14:textId="77777777" w:rsidR="002C0FD9" w:rsidRPr="00CA25CF" w:rsidRDefault="002C0FD9" w:rsidP="00CA25CF">
            <w:pPr>
              <w:rPr>
                <w:rFonts w:cs="Arial"/>
                <w:color w:val="FF0000"/>
                <w:sz w:val="21"/>
                <w:szCs w:val="21"/>
              </w:rPr>
            </w:pPr>
          </w:p>
        </w:tc>
      </w:tr>
      <w:tr w:rsidR="002C0FD9" w:rsidRPr="00A16219" w14:paraId="0AE18364" w14:textId="31DB7D2C" w:rsidTr="002C0FD9">
        <w:trPr>
          <w:trHeight w:val="635"/>
        </w:trPr>
        <w:tc>
          <w:tcPr>
            <w:tcW w:w="515" w:type="dxa"/>
          </w:tcPr>
          <w:p w14:paraId="613B01E9" w14:textId="77777777" w:rsidR="002C0FD9" w:rsidRPr="00CA25CF" w:rsidRDefault="002C0FD9" w:rsidP="00CA25CF">
            <w:pPr>
              <w:rPr>
                <w:rFonts w:cs="Arial"/>
                <w:color w:val="FF0000"/>
                <w:sz w:val="21"/>
                <w:szCs w:val="21"/>
              </w:rPr>
            </w:pPr>
          </w:p>
        </w:tc>
        <w:tc>
          <w:tcPr>
            <w:tcW w:w="217" w:type="dxa"/>
          </w:tcPr>
          <w:p w14:paraId="2F2B6A35" w14:textId="77777777" w:rsidR="002C0FD9" w:rsidRPr="00CA25CF" w:rsidRDefault="002C0FD9" w:rsidP="00CA25CF">
            <w:pPr>
              <w:rPr>
                <w:rFonts w:cs="Arial"/>
                <w:color w:val="FF0000"/>
                <w:sz w:val="21"/>
                <w:szCs w:val="21"/>
              </w:rPr>
            </w:pPr>
          </w:p>
        </w:tc>
        <w:tc>
          <w:tcPr>
            <w:tcW w:w="217" w:type="dxa"/>
          </w:tcPr>
          <w:p w14:paraId="2FC5350B" w14:textId="63076E9D" w:rsidR="002C0FD9" w:rsidRPr="00CA25CF" w:rsidRDefault="002C0FD9" w:rsidP="00CA25CF">
            <w:pPr>
              <w:rPr>
                <w:rFonts w:cs="Arial"/>
                <w:color w:val="FF0000"/>
                <w:sz w:val="21"/>
                <w:szCs w:val="21"/>
              </w:rPr>
            </w:pPr>
          </w:p>
        </w:tc>
        <w:tc>
          <w:tcPr>
            <w:tcW w:w="217" w:type="dxa"/>
          </w:tcPr>
          <w:p w14:paraId="3B90A1F7" w14:textId="77777777" w:rsidR="002C0FD9" w:rsidRPr="00CA25CF" w:rsidRDefault="002C0FD9" w:rsidP="00CA25CF">
            <w:pPr>
              <w:rPr>
                <w:rFonts w:cs="Arial"/>
                <w:color w:val="FF0000"/>
                <w:sz w:val="21"/>
                <w:szCs w:val="21"/>
              </w:rPr>
            </w:pPr>
          </w:p>
        </w:tc>
        <w:tc>
          <w:tcPr>
            <w:tcW w:w="217" w:type="dxa"/>
          </w:tcPr>
          <w:p w14:paraId="36A258B2" w14:textId="77777777" w:rsidR="002C0FD9" w:rsidRPr="00CA25CF" w:rsidRDefault="002C0FD9" w:rsidP="00CA25CF">
            <w:pPr>
              <w:rPr>
                <w:rFonts w:cs="Arial"/>
                <w:color w:val="FF0000"/>
                <w:sz w:val="21"/>
                <w:szCs w:val="21"/>
              </w:rPr>
            </w:pPr>
          </w:p>
        </w:tc>
        <w:tc>
          <w:tcPr>
            <w:tcW w:w="217" w:type="dxa"/>
          </w:tcPr>
          <w:p w14:paraId="0D3187F3" w14:textId="77777777" w:rsidR="002C0FD9" w:rsidRPr="00CA25CF" w:rsidRDefault="002C0FD9" w:rsidP="00CA25CF">
            <w:pPr>
              <w:rPr>
                <w:rFonts w:cs="Arial"/>
                <w:color w:val="FF0000"/>
                <w:sz w:val="21"/>
                <w:szCs w:val="21"/>
              </w:rPr>
            </w:pPr>
          </w:p>
        </w:tc>
        <w:tc>
          <w:tcPr>
            <w:tcW w:w="217" w:type="dxa"/>
          </w:tcPr>
          <w:p w14:paraId="40391C3E" w14:textId="77777777" w:rsidR="002C0FD9" w:rsidRPr="00CA25CF" w:rsidRDefault="002C0FD9" w:rsidP="00CA25CF">
            <w:pPr>
              <w:rPr>
                <w:rFonts w:cs="Arial"/>
                <w:color w:val="FF0000"/>
                <w:sz w:val="21"/>
                <w:szCs w:val="21"/>
              </w:rPr>
            </w:pPr>
          </w:p>
        </w:tc>
        <w:tc>
          <w:tcPr>
            <w:tcW w:w="217" w:type="dxa"/>
          </w:tcPr>
          <w:p w14:paraId="69FD3B61" w14:textId="77777777" w:rsidR="002C0FD9" w:rsidRPr="00CA25CF" w:rsidRDefault="002C0FD9" w:rsidP="00CA25CF">
            <w:pPr>
              <w:rPr>
                <w:rFonts w:cs="Arial"/>
                <w:color w:val="FF0000"/>
                <w:sz w:val="21"/>
                <w:szCs w:val="21"/>
              </w:rPr>
            </w:pPr>
          </w:p>
        </w:tc>
        <w:tc>
          <w:tcPr>
            <w:tcW w:w="217" w:type="dxa"/>
          </w:tcPr>
          <w:p w14:paraId="32DBF5AB" w14:textId="77777777" w:rsidR="002C0FD9" w:rsidRPr="00CA25CF" w:rsidRDefault="002C0FD9" w:rsidP="00CA25CF">
            <w:pPr>
              <w:rPr>
                <w:rFonts w:cs="Arial"/>
                <w:color w:val="FF0000"/>
                <w:sz w:val="21"/>
                <w:szCs w:val="21"/>
              </w:rPr>
            </w:pPr>
          </w:p>
        </w:tc>
        <w:tc>
          <w:tcPr>
            <w:tcW w:w="217" w:type="dxa"/>
          </w:tcPr>
          <w:p w14:paraId="3B6C7D82" w14:textId="77777777" w:rsidR="002C0FD9" w:rsidRPr="00CA25CF" w:rsidRDefault="002C0FD9" w:rsidP="00CA25CF">
            <w:pPr>
              <w:rPr>
                <w:rFonts w:cs="Arial"/>
                <w:color w:val="FF0000"/>
                <w:sz w:val="21"/>
                <w:szCs w:val="21"/>
              </w:rPr>
            </w:pPr>
          </w:p>
        </w:tc>
        <w:tc>
          <w:tcPr>
            <w:tcW w:w="217" w:type="dxa"/>
          </w:tcPr>
          <w:p w14:paraId="4C17BCA4" w14:textId="77777777" w:rsidR="002C0FD9" w:rsidRPr="00CA25CF" w:rsidRDefault="002C0FD9" w:rsidP="00CA25CF">
            <w:pPr>
              <w:rPr>
                <w:rFonts w:cs="Arial"/>
                <w:color w:val="FF0000"/>
                <w:sz w:val="21"/>
                <w:szCs w:val="21"/>
              </w:rPr>
            </w:pPr>
          </w:p>
        </w:tc>
        <w:tc>
          <w:tcPr>
            <w:tcW w:w="217" w:type="dxa"/>
          </w:tcPr>
          <w:p w14:paraId="45ACC64E" w14:textId="77777777" w:rsidR="002C0FD9" w:rsidRPr="00CA25CF" w:rsidRDefault="002C0FD9" w:rsidP="00CA25CF">
            <w:pPr>
              <w:rPr>
                <w:rFonts w:cs="Arial"/>
                <w:color w:val="FF0000"/>
                <w:sz w:val="21"/>
                <w:szCs w:val="21"/>
              </w:rPr>
            </w:pPr>
          </w:p>
        </w:tc>
        <w:tc>
          <w:tcPr>
            <w:tcW w:w="217" w:type="dxa"/>
          </w:tcPr>
          <w:p w14:paraId="1040794D" w14:textId="77777777" w:rsidR="002C0FD9" w:rsidRPr="00CA25CF" w:rsidRDefault="002C0FD9" w:rsidP="00CA25CF">
            <w:pPr>
              <w:rPr>
                <w:rFonts w:cs="Arial"/>
                <w:color w:val="FF0000"/>
                <w:sz w:val="21"/>
                <w:szCs w:val="21"/>
              </w:rPr>
            </w:pPr>
          </w:p>
        </w:tc>
        <w:tc>
          <w:tcPr>
            <w:tcW w:w="217" w:type="dxa"/>
          </w:tcPr>
          <w:p w14:paraId="147A4615" w14:textId="77777777" w:rsidR="002C0FD9" w:rsidRPr="00CA25CF" w:rsidRDefault="002C0FD9" w:rsidP="00CA25CF">
            <w:pPr>
              <w:rPr>
                <w:rFonts w:cs="Arial"/>
                <w:color w:val="FF0000"/>
                <w:sz w:val="21"/>
                <w:szCs w:val="21"/>
              </w:rPr>
            </w:pPr>
          </w:p>
        </w:tc>
        <w:tc>
          <w:tcPr>
            <w:tcW w:w="217" w:type="dxa"/>
          </w:tcPr>
          <w:p w14:paraId="31DF5591" w14:textId="77777777" w:rsidR="002C0FD9" w:rsidRPr="00CA25CF" w:rsidRDefault="002C0FD9" w:rsidP="00CA25CF">
            <w:pPr>
              <w:rPr>
                <w:rFonts w:cs="Arial"/>
                <w:color w:val="FF0000"/>
                <w:sz w:val="21"/>
                <w:szCs w:val="21"/>
              </w:rPr>
            </w:pPr>
          </w:p>
        </w:tc>
        <w:tc>
          <w:tcPr>
            <w:tcW w:w="217" w:type="dxa"/>
          </w:tcPr>
          <w:p w14:paraId="5FE26F85" w14:textId="77777777" w:rsidR="002C0FD9" w:rsidRPr="00CA25CF" w:rsidRDefault="002C0FD9" w:rsidP="00CA25CF">
            <w:pPr>
              <w:rPr>
                <w:rFonts w:cs="Arial"/>
                <w:color w:val="FF0000"/>
                <w:sz w:val="21"/>
                <w:szCs w:val="21"/>
              </w:rPr>
            </w:pPr>
          </w:p>
        </w:tc>
        <w:tc>
          <w:tcPr>
            <w:tcW w:w="217" w:type="dxa"/>
          </w:tcPr>
          <w:p w14:paraId="0CDD24F9" w14:textId="77777777" w:rsidR="002C0FD9" w:rsidRPr="00CA25CF" w:rsidRDefault="002C0FD9" w:rsidP="00CA25CF">
            <w:pPr>
              <w:rPr>
                <w:rFonts w:cs="Arial"/>
                <w:color w:val="FF0000"/>
                <w:sz w:val="21"/>
                <w:szCs w:val="21"/>
              </w:rPr>
            </w:pPr>
          </w:p>
        </w:tc>
        <w:tc>
          <w:tcPr>
            <w:tcW w:w="217" w:type="dxa"/>
          </w:tcPr>
          <w:p w14:paraId="1AE02E44" w14:textId="77777777" w:rsidR="002C0FD9" w:rsidRPr="00CA25CF" w:rsidRDefault="002C0FD9" w:rsidP="00CA25CF">
            <w:pPr>
              <w:rPr>
                <w:rFonts w:cs="Arial"/>
                <w:color w:val="FF0000"/>
                <w:sz w:val="21"/>
                <w:szCs w:val="21"/>
              </w:rPr>
            </w:pPr>
          </w:p>
        </w:tc>
        <w:tc>
          <w:tcPr>
            <w:tcW w:w="217" w:type="dxa"/>
          </w:tcPr>
          <w:p w14:paraId="255B96F5" w14:textId="77777777" w:rsidR="002C0FD9" w:rsidRPr="00CA25CF" w:rsidRDefault="002C0FD9" w:rsidP="00CA25CF">
            <w:pPr>
              <w:rPr>
                <w:rFonts w:cs="Arial"/>
                <w:color w:val="FF0000"/>
                <w:sz w:val="21"/>
                <w:szCs w:val="21"/>
              </w:rPr>
            </w:pPr>
          </w:p>
        </w:tc>
        <w:tc>
          <w:tcPr>
            <w:tcW w:w="217" w:type="dxa"/>
          </w:tcPr>
          <w:p w14:paraId="45BB0DF2" w14:textId="77777777" w:rsidR="002C0FD9" w:rsidRPr="00CA25CF" w:rsidRDefault="002C0FD9" w:rsidP="00CA25CF">
            <w:pPr>
              <w:rPr>
                <w:rFonts w:cs="Arial"/>
                <w:color w:val="FF0000"/>
                <w:sz w:val="21"/>
                <w:szCs w:val="21"/>
              </w:rPr>
            </w:pPr>
          </w:p>
        </w:tc>
        <w:tc>
          <w:tcPr>
            <w:tcW w:w="217" w:type="dxa"/>
          </w:tcPr>
          <w:p w14:paraId="3412C7B2" w14:textId="77777777" w:rsidR="002C0FD9" w:rsidRPr="00CA25CF" w:rsidRDefault="002C0FD9" w:rsidP="00CA25CF">
            <w:pPr>
              <w:rPr>
                <w:rFonts w:cs="Arial"/>
                <w:color w:val="FF0000"/>
                <w:sz w:val="21"/>
                <w:szCs w:val="21"/>
              </w:rPr>
            </w:pPr>
          </w:p>
        </w:tc>
        <w:tc>
          <w:tcPr>
            <w:tcW w:w="217" w:type="dxa"/>
          </w:tcPr>
          <w:p w14:paraId="4F83B5C7" w14:textId="77777777" w:rsidR="002C0FD9" w:rsidRPr="00CA25CF" w:rsidRDefault="002C0FD9" w:rsidP="00CA25CF">
            <w:pPr>
              <w:rPr>
                <w:rFonts w:cs="Arial"/>
                <w:color w:val="FF0000"/>
                <w:sz w:val="21"/>
                <w:szCs w:val="21"/>
              </w:rPr>
            </w:pPr>
          </w:p>
        </w:tc>
        <w:tc>
          <w:tcPr>
            <w:tcW w:w="217" w:type="dxa"/>
          </w:tcPr>
          <w:p w14:paraId="4C5DD774" w14:textId="77777777" w:rsidR="002C0FD9" w:rsidRPr="00CA25CF" w:rsidRDefault="002C0FD9" w:rsidP="00CA25CF">
            <w:pPr>
              <w:rPr>
                <w:rFonts w:cs="Arial"/>
                <w:color w:val="FF0000"/>
                <w:sz w:val="21"/>
                <w:szCs w:val="21"/>
              </w:rPr>
            </w:pPr>
          </w:p>
        </w:tc>
        <w:tc>
          <w:tcPr>
            <w:tcW w:w="217" w:type="dxa"/>
          </w:tcPr>
          <w:p w14:paraId="471F4825" w14:textId="77777777" w:rsidR="002C0FD9" w:rsidRPr="00CA25CF" w:rsidRDefault="002C0FD9" w:rsidP="00CA25CF">
            <w:pPr>
              <w:rPr>
                <w:rFonts w:cs="Arial"/>
                <w:color w:val="FF0000"/>
                <w:sz w:val="21"/>
                <w:szCs w:val="21"/>
              </w:rPr>
            </w:pPr>
          </w:p>
        </w:tc>
        <w:tc>
          <w:tcPr>
            <w:tcW w:w="217" w:type="dxa"/>
          </w:tcPr>
          <w:p w14:paraId="161F8677" w14:textId="77777777" w:rsidR="002C0FD9" w:rsidRPr="00CA25CF" w:rsidRDefault="002C0FD9" w:rsidP="00CA25CF">
            <w:pPr>
              <w:rPr>
                <w:rFonts w:cs="Arial"/>
                <w:color w:val="FF0000"/>
                <w:sz w:val="21"/>
                <w:szCs w:val="21"/>
              </w:rPr>
            </w:pPr>
          </w:p>
        </w:tc>
        <w:tc>
          <w:tcPr>
            <w:tcW w:w="217" w:type="dxa"/>
          </w:tcPr>
          <w:p w14:paraId="52764099" w14:textId="77777777" w:rsidR="002C0FD9" w:rsidRPr="00CA25CF" w:rsidRDefault="002C0FD9" w:rsidP="00CA25CF">
            <w:pPr>
              <w:rPr>
                <w:rFonts w:cs="Arial"/>
                <w:color w:val="FF0000"/>
                <w:sz w:val="21"/>
                <w:szCs w:val="21"/>
              </w:rPr>
            </w:pPr>
          </w:p>
        </w:tc>
        <w:tc>
          <w:tcPr>
            <w:tcW w:w="217" w:type="dxa"/>
          </w:tcPr>
          <w:p w14:paraId="1D98FE5B" w14:textId="77777777" w:rsidR="002C0FD9" w:rsidRPr="00CA25CF" w:rsidRDefault="002C0FD9" w:rsidP="00CA25CF">
            <w:pPr>
              <w:rPr>
                <w:rFonts w:cs="Arial"/>
                <w:color w:val="FF0000"/>
                <w:sz w:val="21"/>
                <w:szCs w:val="21"/>
              </w:rPr>
            </w:pPr>
          </w:p>
        </w:tc>
        <w:tc>
          <w:tcPr>
            <w:tcW w:w="217" w:type="dxa"/>
          </w:tcPr>
          <w:p w14:paraId="1162BB8F" w14:textId="77777777" w:rsidR="002C0FD9" w:rsidRPr="00CA25CF" w:rsidRDefault="002C0FD9" w:rsidP="00CA25CF">
            <w:pPr>
              <w:rPr>
                <w:rFonts w:cs="Arial"/>
                <w:color w:val="FF0000"/>
                <w:sz w:val="21"/>
                <w:szCs w:val="21"/>
              </w:rPr>
            </w:pPr>
          </w:p>
        </w:tc>
        <w:tc>
          <w:tcPr>
            <w:tcW w:w="217" w:type="dxa"/>
          </w:tcPr>
          <w:p w14:paraId="13C20FE7" w14:textId="77777777" w:rsidR="002C0FD9" w:rsidRPr="00CA25CF" w:rsidRDefault="002C0FD9" w:rsidP="00CA25CF">
            <w:pPr>
              <w:rPr>
                <w:rFonts w:cs="Arial"/>
                <w:color w:val="FF0000"/>
                <w:sz w:val="21"/>
                <w:szCs w:val="21"/>
              </w:rPr>
            </w:pPr>
          </w:p>
        </w:tc>
        <w:tc>
          <w:tcPr>
            <w:tcW w:w="217" w:type="dxa"/>
          </w:tcPr>
          <w:p w14:paraId="16E8D82D" w14:textId="77777777" w:rsidR="002C0FD9" w:rsidRPr="00CA25CF" w:rsidRDefault="002C0FD9" w:rsidP="00CA25CF">
            <w:pPr>
              <w:rPr>
                <w:rFonts w:cs="Arial"/>
                <w:color w:val="FF0000"/>
                <w:sz w:val="21"/>
                <w:szCs w:val="21"/>
              </w:rPr>
            </w:pPr>
          </w:p>
        </w:tc>
        <w:tc>
          <w:tcPr>
            <w:tcW w:w="217" w:type="dxa"/>
          </w:tcPr>
          <w:p w14:paraId="7DBA0638" w14:textId="77777777" w:rsidR="002C0FD9" w:rsidRPr="00CA25CF" w:rsidRDefault="002C0FD9" w:rsidP="00CA25CF">
            <w:pPr>
              <w:rPr>
                <w:rFonts w:cs="Arial"/>
                <w:color w:val="FF0000"/>
                <w:sz w:val="21"/>
                <w:szCs w:val="21"/>
              </w:rPr>
            </w:pPr>
          </w:p>
        </w:tc>
        <w:tc>
          <w:tcPr>
            <w:tcW w:w="217" w:type="dxa"/>
          </w:tcPr>
          <w:p w14:paraId="648D844F" w14:textId="77777777" w:rsidR="002C0FD9" w:rsidRPr="00CA25CF" w:rsidRDefault="002C0FD9" w:rsidP="00CA25CF">
            <w:pPr>
              <w:rPr>
                <w:rFonts w:cs="Arial"/>
                <w:color w:val="FF0000"/>
                <w:sz w:val="21"/>
                <w:szCs w:val="21"/>
              </w:rPr>
            </w:pPr>
          </w:p>
        </w:tc>
        <w:tc>
          <w:tcPr>
            <w:tcW w:w="217" w:type="dxa"/>
          </w:tcPr>
          <w:p w14:paraId="2419AF2E" w14:textId="77777777" w:rsidR="002C0FD9" w:rsidRPr="00CA25CF" w:rsidRDefault="002C0FD9" w:rsidP="00CA25CF">
            <w:pPr>
              <w:rPr>
                <w:rFonts w:cs="Arial"/>
                <w:color w:val="FF0000"/>
                <w:sz w:val="21"/>
                <w:szCs w:val="21"/>
              </w:rPr>
            </w:pPr>
          </w:p>
        </w:tc>
        <w:tc>
          <w:tcPr>
            <w:tcW w:w="217" w:type="dxa"/>
          </w:tcPr>
          <w:p w14:paraId="08624172" w14:textId="77777777" w:rsidR="002C0FD9" w:rsidRPr="00CA25CF" w:rsidRDefault="002C0FD9" w:rsidP="00CA25CF">
            <w:pPr>
              <w:rPr>
                <w:rFonts w:cs="Arial"/>
                <w:color w:val="FF0000"/>
                <w:sz w:val="21"/>
                <w:szCs w:val="21"/>
              </w:rPr>
            </w:pPr>
          </w:p>
        </w:tc>
        <w:tc>
          <w:tcPr>
            <w:tcW w:w="217" w:type="dxa"/>
          </w:tcPr>
          <w:p w14:paraId="3C755BB3" w14:textId="77777777" w:rsidR="002C0FD9" w:rsidRPr="00CA25CF" w:rsidRDefault="002C0FD9" w:rsidP="00CA25CF">
            <w:pPr>
              <w:rPr>
                <w:rFonts w:cs="Arial"/>
                <w:color w:val="FF0000"/>
                <w:sz w:val="21"/>
                <w:szCs w:val="21"/>
              </w:rPr>
            </w:pPr>
          </w:p>
        </w:tc>
        <w:tc>
          <w:tcPr>
            <w:tcW w:w="217" w:type="dxa"/>
          </w:tcPr>
          <w:p w14:paraId="7D4BBF16" w14:textId="77777777" w:rsidR="002C0FD9" w:rsidRPr="00CA25CF" w:rsidRDefault="002C0FD9" w:rsidP="00CA25CF">
            <w:pPr>
              <w:rPr>
                <w:rFonts w:cs="Arial"/>
                <w:color w:val="FF0000"/>
                <w:sz w:val="21"/>
                <w:szCs w:val="21"/>
              </w:rPr>
            </w:pPr>
          </w:p>
        </w:tc>
        <w:tc>
          <w:tcPr>
            <w:tcW w:w="217" w:type="dxa"/>
          </w:tcPr>
          <w:p w14:paraId="5DEE9FC2" w14:textId="77777777" w:rsidR="002C0FD9" w:rsidRPr="00CA25CF" w:rsidRDefault="002C0FD9" w:rsidP="00CA25CF">
            <w:pPr>
              <w:rPr>
                <w:rFonts w:cs="Arial"/>
                <w:color w:val="FF0000"/>
                <w:sz w:val="21"/>
                <w:szCs w:val="21"/>
              </w:rPr>
            </w:pPr>
          </w:p>
        </w:tc>
        <w:tc>
          <w:tcPr>
            <w:tcW w:w="217" w:type="dxa"/>
          </w:tcPr>
          <w:p w14:paraId="2673BD8E" w14:textId="77777777" w:rsidR="002C0FD9" w:rsidRPr="00CA25CF" w:rsidRDefault="002C0FD9" w:rsidP="00CA25CF">
            <w:pPr>
              <w:rPr>
                <w:rFonts w:cs="Arial"/>
                <w:color w:val="FF0000"/>
                <w:sz w:val="21"/>
                <w:szCs w:val="21"/>
              </w:rPr>
            </w:pPr>
          </w:p>
        </w:tc>
        <w:tc>
          <w:tcPr>
            <w:tcW w:w="217" w:type="dxa"/>
          </w:tcPr>
          <w:p w14:paraId="413BAF87" w14:textId="77777777" w:rsidR="002C0FD9" w:rsidRPr="00CA25CF" w:rsidRDefault="002C0FD9" w:rsidP="00CA25CF">
            <w:pPr>
              <w:rPr>
                <w:rFonts w:cs="Arial"/>
                <w:color w:val="FF0000"/>
                <w:sz w:val="21"/>
                <w:szCs w:val="21"/>
              </w:rPr>
            </w:pPr>
          </w:p>
        </w:tc>
        <w:tc>
          <w:tcPr>
            <w:tcW w:w="217" w:type="dxa"/>
          </w:tcPr>
          <w:p w14:paraId="29C997B3" w14:textId="77777777" w:rsidR="002C0FD9" w:rsidRPr="00CA25CF" w:rsidRDefault="002C0FD9" w:rsidP="00CA25CF">
            <w:pPr>
              <w:rPr>
                <w:rFonts w:cs="Arial"/>
                <w:color w:val="FF0000"/>
                <w:sz w:val="21"/>
                <w:szCs w:val="21"/>
              </w:rPr>
            </w:pPr>
          </w:p>
        </w:tc>
        <w:tc>
          <w:tcPr>
            <w:tcW w:w="217" w:type="dxa"/>
          </w:tcPr>
          <w:p w14:paraId="35CD76B5" w14:textId="77777777" w:rsidR="002C0FD9" w:rsidRPr="00CA25CF" w:rsidRDefault="002C0FD9" w:rsidP="00CA25CF">
            <w:pPr>
              <w:rPr>
                <w:rFonts w:cs="Arial"/>
                <w:color w:val="FF0000"/>
                <w:sz w:val="21"/>
                <w:szCs w:val="21"/>
              </w:rPr>
            </w:pPr>
          </w:p>
        </w:tc>
        <w:tc>
          <w:tcPr>
            <w:tcW w:w="217" w:type="dxa"/>
          </w:tcPr>
          <w:p w14:paraId="264FDEF0" w14:textId="77777777" w:rsidR="002C0FD9" w:rsidRPr="00CA25CF" w:rsidRDefault="002C0FD9" w:rsidP="00CA25CF">
            <w:pPr>
              <w:rPr>
                <w:rFonts w:cs="Arial"/>
                <w:color w:val="FF0000"/>
                <w:sz w:val="21"/>
                <w:szCs w:val="21"/>
              </w:rPr>
            </w:pPr>
          </w:p>
        </w:tc>
        <w:tc>
          <w:tcPr>
            <w:tcW w:w="217" w:type="dxa"/>
          </w:tcPr>
          <w:p w14:paraId="61286737" w14:textId="77777777" w:rsidR="002C0FD9" w:rsidRPr="00CA25CF" w:rsidRDefault="002C0FD9" w:rsidP="00CA25CF">
            <w:pPr>
              <w:rPr>
                <w:rFonts w:cs="Arial"/>
                <w:color w:val="FF0000"/>
                <w:sz w:val="21"/>
                <w:szCs w:val="21"/>
              </w:rPr>
            </w:pPr>
          </w:p>
        </w:tc>
      </w:tr>
      <w:tr w:rsidR="002C0FD9" w:rsidRPr="00A16219" w14:paraId="63C747BF" w14:textId="0FD3EBF5" w:rsidTr="002C0FD9">
        <w:trPr>
          <w:trHeight w:val="635"/>
        </w:trPr>
        <w:tc>
          <w:tcPr>
            <w:tcW w:w="515" w:type="dxa"/>
          </w:tcPr>
          <w:p w14:paraId="087A3C9E" w14:textId="77777777" w:rsidR="002C0FD9" w:rsidRPr="00CA25CF" w:rsidRDefault="002C0FD9" w:rsidP="00CA25CF">
            <w:pPr>
              <w:rPr>
                <w:rFonts w:cs="Arial"/>
                <w:color w:val="FF0000"/>
                <w:sz w:val="21"/>
                <w:szCs w:val="21"/>
              </w:rPr>
            </w:pPr>
          </w:p>
        </w:tc>
        <w:tc>
          <w:tcPr>
            <w:tcW w:w="217" w:type="dxa"/>
          </w:tcPr>
          <w:p w14:paraId="0CC368C7" w14:textId="77777777" w:rsidR="002C0FD9" w:rsidRPr="00CA25CF" w:rsidRDefault="002C0FD9" w:rsidP="00CA25CF">
            <w:pPr>
              <w:rPr>
                <w:rFonts w:cs="Arial"/>
                <w:color w:val="FF0000"/>
                <w:sz w:val="21"/>
                <w:szCs w:val="21"/>
              </w:rPr>
            </w:pPr>
          </w:p>
        </w:tc>
        <w:tc>
          <w:tcPr>
            <w:tcW w:w="217" w:type="dxa"/>
          </w:tcPr>
          <w:p w14:paraId="54743018" w14:textId="0B6DC24B" w:rsidR="002C0FD9" w:rsidRPr="00CA25CF" w:rsidRDefault="002C0FD9" w:rsidP="00CA25CF">
            <w:pPr>
              <w:rPr>
                <w:rFonts w:cs="Arial"/>
                <w:color w:val="FF0000"/>
                <w:sz w:val="21"/>
                <w:szCs w:val="21"/>
              </w:rPr>
            </w:pPr>
          </w:p>
        </w:tc>
        <w:tc>
          <w:tcPr>
            <w:tcW w:w="217" w:type="dxa"/>
          </w:tcPr>
          <w:p w14:paraId="0865F97D" w14:textId="77777777" w:rsidR="002C0FD9" w:rsidRPr="00CA25CF" w:rsidRDefault="002C0FD9" w:rsidP="00CA25CF">
            <w:pPr>
              <w:rPr>
                <w:rFonts w:cs="Arial"/>
                <w:color w:val="FF0000"/>
                <w:sz w:val="21"/>
                <w:szCs w:val="21"/>
              </w:rPr>
            </w:pPr>
          </w:p>
        </w:tc>
        <w:tc>
          <w:tcPr>
            <w:tcW w:w="217" w:type="dxa"/>
          </w:tcPr>
          <w:p w14:paraId="4B20F20C" w14:textId="77777777" w:rsidR="002C0FD9" w:rsidRPr="00CA25CF" w:rsidRDefault="002C0FD9" w:rsidP="00CA25CF">
            <w:pPr>
              <w:rPr>
                <w:rFonts w:cs="Arial"/>
                <w:color w:val="FF0000"/>
                <w:sz w:val="21"/>
                <w:szCs w:val="21"/>
              </w:rPr>
            </w:pPr>
          </w:p>
        </w:tc>
        <w:tc>
          <w:tcPr>
            <w:tcW w:w="217" w:type="dxa"/>
          </w:tcPr>
          <w:p w14:paraId="49F294B2" w14:textId="77777777" w:rsidR="002C0FD9" w:rsidRPr="00CA25CF" w:rsidRDefault="002C0FD9" w:rsidP="00CA25CF">
            <w:pPr>
              <w:rPr>
                <w:rFonts w:cs="Arial"/>
                <w:color w:val="FF0000"/>
                <w:sz w:val="21"/>
                <w:szCs w:val="21"/>
              </w:rPr>
            </w:pPr>
          </w:p>
        </w:tc>
        <w:tc>
          <w:tcPr>
            <w:tcW w:w="217" w:type="dxa"/>
          </w:tcPr>
          <w:p w14:paraId="7A3F3E70" w14:textId="77777777" w:rsidR="002C0FD9" w:rsidRPr="00CA25CF" w:rsidRDefault="002C0FD9" w:rsidP="00CA25CF">
            <w:pPr>
              <w:rPr>
                <w:rFonts w:cs="Arial"/>
                <w:color w:val="FF0000"/>
                <w:sz w:val="21"/>
                <w:szCs w:val="21"/>
              </w:rPr>
            </w:pPr>
          </w:p>
        </w:tc>
        <w:tc>
          <w:tcPr>
            <w:tcW w:w="217" w:type="dxa"/>
          </w:tcPr>
          <w:p w14:paraId="674B3D5B" w14:textId="77777777" w:rsidR="002C0FD9" w:rsidRPr="00CA25CF" w:rsidRDefault="002C0FD9" w:rsidP="00CA25CF">
            <w:pPr>
              <w:rPr>
                <w:rFonts w:cs="Arial"/>
                <w:color w:val="FF0000"/>
                <w:sz w:val="21"/>
                <w:szCs w:val="21"/>
              </w:rPr>
            </w:pPr>
          </w:p>
        </w:tc>
        <w:tc>
          <w:tcPr>
            <w:tcW w:w="217" w:type="dxa"/>
          </w:tcPr>
          <w:p w14:paraId="4C7DB0D6" w14:textId="77777777" w:rsidR="002C0FD9" w:rsidRPr="00CA25CF" w:rsidRDefault="002C0FD9" w:rsidP="00CA25CF">
            <w:pPr>
              <w:rPr>
                <w:rFonts w:cs="Arial"/>
                <w:color w:val="FF0000"/>
                <w:sz w:val="21"/>
                <w:szCs w:val="21"/>
              </w:rPr>
            </w:pPr>
          </w:p>
        </w:tc>
        <w:tc>
          <w:tcPr>
            <w:tcW w:w="217" w:type="dxa"/>
          </w:tcPr>
          <w:p w14:paraId="0CF5E759" w14:textId="77777777" w:rsidR="002C0FD9" w:rsidRPr="00CA25CF" w:rsidRDefault="002C0FD9" w:rsidP="00CA25CF">
            <w:pPr>
              <w:rPr>
                <w:rFonts w:cs="Arial"/>
                <w:color w:val="FF0000"/>
                <w:sz w:val="21"/>
                <w:szCs w:val="21"/>
              </w:rPr>
            </w:pPr>
          </w:p>
        </w:tc>
        <w:tc>
          <w:tcPr>
            <w:tcW w:w="217" w:type="dxa"/>
          </w:tcPr>
          <w:p w14:paraId="50B9007F" w14:textId="77777777" w:rsidR="002C0FD9" w:rsidRPr="00CA25CF" w:rsidRDefault="002C0FD9" w:rsidP="00CA25CF">
            <w:pPr>
              <w:rPr>
                <w:rFonts w:cs="Arial"/>
                <w:color w:val="FF0000"/>
                <w:sz w:val="21"/>
                <w:szCs w:val="21"/>
              </w:rPr>
            </w:pPr>
          </w:p>
        </w:tc>
        <w:tc>
          <w:tcPr>
            <w:tcW w:w="217" w:type="dxa"/>
          </w:tcPr>
          <w:p w14:paraId="6454E6B2" w14:textId="77777777" w:rsidR="002C0FD9" w:rsidRPr="00CA25CF" w:rsidRDefault="002C0FD9" w:rsidP="00CA25CF">
            <w:pPr>
              <w:rPr>
                <w:rFonts w:cs="Arial"/>
                <w:color w:val="FF0000"/>
                <w:sz w:val="21"/>
                <w:szCs w:val="21"/>
              </w:rPr>
            </w:pPr>
          </w:p>
        </w:tc>
        <w:tc>
          <w:tcPr>
            <w:tcW w:w="217" w:type="dxa"/>
          </w:tcPr>
          <w:p w14:paraId="28231D59" w14:textId="77777777" w:rsidR="002C0FD9" w:rsidRPr="00CA25CF" w:rsidRDefault="002C0FD9" w:rsidP="00CA25CF">
            <w:pPr>
              <w:rPr>
                <w:rFonts w:cs="Arial"/>
                <w:color w:val="FF0000"/>
                <w:sz w:val="21"/>
                <w:szCs w:val="21"/>
              </w:rPr>
            </w:pPr>
          </w:p>
        </w:tc>
        <w:tc>
          <w:tcPr>
            <w:tcW w:w="217" w:type="dxa"/>
          </w:tcPr>
          <w:p w14:paraId="66299B46" w14:textId="77777777" w:rsidR="002C0FD9" w:rsidRPr="00CA25CF" w:rsidRDefault="002C0FD9" w:rsidP="00CA25CF">
            <w:pPr>
              <w:rPr>
                <w:rFonts w:cs="Arial"/>
                <w:color w:val="FF0000"/>
                <w:sz w:val="21"/>
                <w:szCs w:val="21"/>
              </w:rPr>
            </w:pPr>
          </w:p>
        </w:tc>
        <w:tc>
          <w:tcPr>
            <w:tcW w:w="217" w:type="dxa"/>
          </w:tcPr>
          <w:p w14:paraId="6536B241" w14:textId="77777777" w:rsidR="002C0FD9" w:rsidRPr="00CA25CF" w:rsidRDefault="002C0FD9" w:rsidP="00CA25CF">
            <w:pPr>
              <w:rPr>
                <w:rFonts w:cs="Arial"/>
                <w:color w:val="FF0000"/>
                <w:sz w:val="21"/>
                <w:szCs w:val="21"/>
              </w:rPr>
            </w:pPr>
          </w:p>
        </w:tc>
        <w:tc>
          <w:tcPr>
            <w:tcW w:w="217" w:type="dxa"/>
          </w:tcPr>
          <w:p w14:paraId="7E61620B" w14:textId="77777777" w:rsidR="002C0FD9" w:rsidRPr="00CA25CF" w:rsidRDefault="002C0FD9" w:rsidP="00CA25CF">
            <w:pPr>
              <w:rPr>
                <w:rFonts w:cs="Arial"/>
                <w:color w:val="FF0000"/>
                <w:sz w:val="21"/>
                <w:szCs w:val="21"/>
              </w:rPr>
            </w:pPr>
          </w:p>
        </w:tc>
        <w:tc>
          <w:tcPr>
            <w:tcW w:w="217" w:type="dxa"/>
          </w:tcPr>
          <w:p w14:paraId="78FB388D" w14:textId="77777777" w:rsidR="002C0FD9" w:rsidRPr="00CA25CF" w:rsidRDefault="002C0FD9" w:rsidP="00CA25CF">
            <w:pPr>
              <w:rPr>
                <w:rFonts w:cs="Arial"/>
                <w:color w:val="FF0000"/>
                <w:sz w:val="21"/>
                <w:szCs w:val="21"/>
              </w:rPr>
            </w:pPr>
          </w:p>
        </w:tc>
        <w:tc>
          <w:tcPr>
            <w:tcW w:w="217" w:type="dxa"/>
          </w:tcPr>
          <w:p w14:paraId="58B58377" w14:textId="77777777" w:rsidR="002C0FD9" w:rsidRPr="00CA25CF" w:rsidRDefault="002C0FD9" w:rsidP="00CA25CF">
            <w:pPr>
              <w:rPr>
                <w:rFonts w:cs="Arial"/>
                <w:color w:val="FF0000"/>
                <w:sz w:val="21"/>
                <w:szCs w:val="21"/>
              </w:rPr>
            </w:pPr>
          </w:p>
        </w:tc>
        <w:tc>
          <w:tcPr>
            <w:tcW w:w="217" w:type="dxa"/>
          </w:tcPr>
          <w:p w14:paraId="46814B04" w14:textId="77777777" w:rsidR="002C0FD9" w:rsidRPr="00CA25CF" w:rsidRDefault="002C0FD9" w:rsidP="00CA25CF">
            <w:pPr>
              <w:rPr>
                <w:rFonts w:cs="Arial"/>
                <w:color w:val="FF0000"/>
                <w:sz w:val="21"/>
                <w:szCs w:val="21"/>
              </w:rPr>
            </w:pPr>
          </w:p>
        </w:tc>
        <w:tc>
          <w:tcPr>
            <w:tcW w:w="217" w:type="dxa"/>
          </w:tcPr>
          <w:p w14:paraId="6927A9AC" w14:textId="77777777" w:rsidR="002C0FD9" w:rsidRPr="00CA25CF" w:rsidRDefault="002C0FD9" w:rsidP="00CA25CF">
            <w:pPr>
              <w:rPr>
                <w:rFonts w:cs="Arial"/>
                <w:color w:val="FF0000"/>
                <w:sz w:val="21"/>
                <w:szCs w:val="21"/>
              </w:rPr>
            </w:pPr>
          </w:p>
        </w:tc>
        <w:tc>
          <w:tcPr>
            <w:tcW w:w="217" w:type="dxa"/>
          </w:tcPr>
          <w:p w14:paraId="31A527CB" w14:textId="77777777" w:rsidR="002C0FD9" w:rsidRPr="00CA25CF" w:rsidRDefault="002C0FD9" w:rsidP="00CA25CF">
            <w:pPr>
              <w:rPr>
                <w:rFonts w:cs="Arial"/>
                <w:color w:val="FF0000"/>
                <w:sz w:val="21"/>
                <w:szCs w:val="21"/>
              </w:rPr>
            </w:pPr>
          </w:p>
        </w:tc>
        <w:tc>
          <w:tcPr>
            <w:tcW w:w="217" w:type="dxa"/>
          </w:tcPr>
          <w:p w14:paraId="27F45756" w14:textId="77777777" w:rsidR="002C0FD9" w:rsidRPr="00CA25CF" w:rsidRDefault="002C0FD9" w:rsidP="00CA25CF">
            <w:pPr>
              <w:rPr>
                <w:rFonts w:cs="Arial"/>
                <w:color w:val="FF0000"/>
                <w:sz w:val="21"/>
                <w:szCs w:val="21"/>
              </w:rPr>
            </w:pPr>
          </w:p>
        </w:tc>
        <w:tc>
          <w:tcPr>
            <w:tcW w:w="217" w:type="dxa"/>
          </w:tcPr>
          <w:p w14:paraId="500FC98E" w14:textId="77777777" w:rsidR="002C0FD9" w:rsidRPr="00CA25CF" w:rsidRDefault="002C0FD9" w:rsidP="00CA25CF">
            <w:pPr>
              <w:rPr>
                <w:rFonts w:cs="Arial"/>
                <w:color w:val="FF0000"/>
                <w:sz w:val="21"/>
                <w:szCs w:val="21"/>
              </w:rPr>
            </w:pPr>
          </w:p>
        </w:tc>
        <w:tc>
          <w:tcPr>
            <w:tcW w:w="217" w:type="dxa"/>
          </w:tcPr>
          <w:p w14:paraId="08B4253B" w14:textId="77777777" w:rsidR="002C0FD9" w:rsidRPr="00CA25CF" w:rsidRDefault="002C0FD9" w:rsidP="00CA25CF">
            <w:pPr>
              <w:rPr>
                <w:rFonts w:cs="Arial"/>
                <w:color w:val="FF0000"/>
                <w:sz w:val="21"/>
                <w:szCs w:val="21"/>
              </w:rPr>
            </w:pPr>
          </w:p>
        </w:tc>
        <w:tc>
          <w:tcPr>
            <w:tcW w:w="217" w:type="dxa"/>
          </w:tcPr>
          <w:p w14:paraId="0204F758" w14:textId="77777777" w:rsidR="002C0FD9" w:rsidRPr="00CA25CF" w:rsidRDefault="002C0FD9" w:rsidP="00CA25CF">
            <w:pPr>
              <w:rPr>
                <w:rFonts w:cs="Arial"/>
                <w:color w:val="FF0000"/>
                <w:sz w:val="21"/>
                <w:szCs w:val="21"/>
              </w:rPr>
            </w:pPr>
          </w:p>
        </w:tc>
        <w:tc>
          <w:tcPr>
            <w:tcW w:w="217" w:type="dxa"/>
          </w:tcPr>
          <w:p w14:paraId="13919335" w14:textId="77777777" w:rsidR="002C0FD9" w:rsidRPr="00CA25CF" w:rsidRDefault="002C0FD9" w:rsidP="00CA25CF">
            <w:pPr>
              <w:rPr>
                <w:rFonts w:cs="Arial"/>
                <w:color w:val="FF0000"/>
                <w:sz w:val="21"/>
                <w:szCs w:val="21"/>
              </w:rPr>
            </w:pPr>
          </w:p>
        </w:tc>
        <w:tc>
          <w:tcPr>
            <w:tcW w:w="217" w:type="dxa"/>
          </w:tcPr>
          <w:p w14:paraId="52C9207C" w14:textId="77777777" w:rsidR="002C0FD9" w:rsidRPr="00CA25CF" w:rsidRDefault="002C0FD9" w:rsidP="00CA25CF">
            <w:pPr>
              <w:rPr>
                <w:rFonts w:cs="Arial"/>
                <w:color w:val="FF0000"/>
                <w:sz w:val="21"/>
                <w:szCs w:val="21"/>
              </w:rPr>
            </w:pPr>
          </w:p>
        </w:tc>
        <w:tc>
          <w:tcPr>
            <w:tcW w:w="217" w:type="dxa"/>
          </w:tcPr>
          <w:p w14:paraId="08F029CA" w14:textId="77777777" w:rsidR="002C0FD9" w:rsidRPr="00CA25CF" w:rsidRDefault="002C0FD9" w:rsidP="00CA25CF">
            <w:pPr>
              <w:rPr>
                <w:rFonts w:cs="Arial"/>
                <w:color w:val="FF0000"/>
                <w:sz w:val="21"/>
                <w:szCs w:val="21"/>
              </w:rPr>
            </w:pPr>
          </w:p>
        </w:tc>
        <w:tc>
          <w:tcPr>
            <w:tcW w:w="217" w:type="dxa"/>
          </w:tcPr>
          <w:p w14:paraId="007FDDB7" w14:textId="77777777" w:rsidR="002C0FD9" w:rsidRPr="00CA25CF" w:rsidRDefault="002C0FD9" w:rsidP="00CA25CF">
            <w:pPr>
              <w:rPr>
                <w:rFonts w:cs="Arial"/>
                <w:color w:val="FF0000"/>
                <w:sz w:val="21"/>
                <w:szCs w:val="21"/>
              </w:rPr>
            </w:pPr>
          </w:p>
        </w:tc>
        <w:tc>
          <w:tcPr>
            <w:tcW w:w="217" w:type="dxa"/>
          </w:tcPr>
          <w:p w14:paraId="446952DA" w14:textId="77777777" w:rsidR="002C0FD9" w:rsidRPr="00CA25CF" w:rsidRDefault="002C0FD9" w:rsidP="00CA25CF">
            <w:pPr>
              <w:rPr>
                <w:rFonts w:cs="Arial"/>
                <w:color w:val="FF0000"/>
                <w:sz w:val="21"/>
                <w:szCs w:val="21"/>
              </w:rPr>
            </w:pPr>
          </w:p>
        </w:tc>
        <w:tc>
          <w:tcPr>
            <w:tcW w:w="217" w:type="dxa"/>
          </w:tcPr>
          <w:p w14:paraId="179C56D5" w14:textId="77777777" w:rsidR="002C0FD9" w:rsidRPr="00CA25CF" w:rsidRDefault="002C0FD9" w:rsidP="00CA25CF">
            <w:pPr>
              <w:rPr>
                <w:rFonts w:cs="Arial"/>
                <w:color w:val="FF0000"/>
                <w:sz w:val="21"/>
                <w:szCs w:val="21"/>
              </w:rPr>
            </w:pPr>
          </w:p>
        </w:tc>
        <w:tc>
          <w:tcPr>
            <w:tcW w:w="217" w:type="dxa"/>
          </w:tcPr>
          <w:p w14:paraId="63BBDBF4" w14:textId="77777777" w:rsidR="002C0FD9" w:rsidRPr="00CA25CF" w:rsidRDefault="002C0FD9" w:rsidP="00CA25CF">
            <w:pPr>
              <w:rPr>
                <w:rFonts w:cs="Arial"/>
                <w:color w:val="FF0000"/>
                <w:sz w:val="21"/>
                <w:szCs w:val="21"/>
              </w:rPr>
            </w:pPr>
          </w:p>
        </w:tc>
        <w:tc>
          <w:tcPr>
            <w:tcW w:w="217" w:type="dxa"/>
          </w:tcPr>
          <w:p w14:paraId="38F210C8" w14:textId="77777777" w:rsidR="002C0FD9" w:rsidRPr="00CA25CF" w:rsidRDefault="002C0FD9" w:rsidP="00CA25CF">
            <w:pPr>
              <w:rPr>
                <w:rFonts w:cs="Arial"/>
                <w:color w:val="FF0000"/>
                <w:sz w:val="21"/>
                <w:szCs w:val="21"/>
              </w:rPr>
            </w:pPr>
          </w:p>
        </w:tc>
        <w:tc>
          <w:tcPr>
            <w:tcW w:w="217" w:type="dxa"/>
          </w:tcPr>
          <w:p w14:paraId="397AAD23" w14:textId="77777777" w:rsidR="002C0FD9" w:rsidRPr="00CA25CF" w:rsidRDefault="002C0FD9" w:rsidP="00CA25CF">
            <w:pPr>
              <w:rPr>
                <w:rFonts w:cs="Arial"/>
                <w:color w:val="FF0000"/>
                <w:sz w:val="21"/>
                <w:szCs w:val="21"/>
              </w:rPr>
            </w:pPr>
          </w:p>
        </w:tc>
        <w:tc>
          <w:tcPr>
            <w:tcW w:w="217" w:type="dxa"/>
          </w:tcPr>
          <w:p w14:paraId="3250E172" w14:textId="77777777" w:rsidR="002C0FD9" w:rsidRPr="00CA25CF" w:rsidRDefault="002C0FD9" w:rsidP="00CA25CF">
            <w:pPr>
              <w:rPr>
                <w:rFonts w:cs="Arial"/>
                <w:color w:val="FF0000"/>
                <w:sz w:val="21"/>
                <w:szCs w:val="21"/>
              </w:rPr>
            </w:pPr>
          </w:p>
        </w:tc>
        <w:tc>
          <w:tcPr>
            <w:tcW w:w="217" w:type="dxa"/>
          </w:tcPr>
          <w:p w14:paraId="63E5A210" w14:textId="77777777" w:rsidR="002C0FD9" w:rsidRPr="00CA25CF" w:rsidRDefault="002C0FD9" w:rsidP="00CA25CF">
            <w:pPr>
              <w:rPr>
                <w:rFonts w:cs="Arial"/>
                <w:color w:val="FF0000"/>
                <w:sz w:val="21"/>
                <w:szCs w:val="21"/>
              </w:rPr>
            </w:pPr>
          </w:p>
        </w:tc>
        <w:tc>
          <w:tcPr>
            <w:tcW w:w="217" w:type="dxa"/>
          </w:tcPr>
          <w:p w14:paraId="7B871CDF" w14:textId="77777777" w:rsidR="002C0FD9" w:rsidRPr="00CA25CF" w:rsidRDefault="002C0FD9" w:rsidP="00CA25CF">
            <w:pPr>
              <w:rPr>
                <w:rFonts w:cs="Arial"/>
                <w:color w:val="FF0000"/>
                <w:sz w:val="21"/>
                <w:szCs w:val="21"/>
              </w:rPr>
            </w:pPr>
          </w:p>
        </w:tc>
        <w:tc>
          <w:tcPr>
            <w:tcW w:w="217" w:type="dxa"/>
          </w:tcPr>
          <w:p w14:paraId="096B87C8" w14:textId="77777777" w:rsidR="002C0FD9" w:rsidRPr="00CA25CF" w:rsidRDefault="002C0FD9" w:rsidP="00CA25CF">
            <w:pPr>
              <w:rPr>
                <w:rFonts w:cs="Arial"/>
                <w:color w:val="FF0000"/>
                <w:sz w:val="21"/>
                <w:szCs w:val="21"/>
              </w:rPr>
            </w:pPr>
          </w:p>
        </w:tc>
        <w:tc>
          <w:tcPr>
            <w:tcW w:w="217" w:type="dxa"/>
          </w:tcPr>
          <w:p w14:paraId="7D44C55D" w14:textId="77777777" w:rsidR="002C0FD9" w:rsidRPr="00CA25CF" w:rsidRDefault="002C0FD9" w:rsidP="00CA25CF">
            <w:pPr>
              <w:rPr>
                <w:rFonts w:cs="Arial"/>
                <w:color w:val="FF0000"/>
                <w:sz w:val="21"/>
                <w:szCs w:val="21"/>
              </w:rPr>
            </w:pPr>
          </w:p>
        </w:tc>
        <w:tc>
          <w:tcPr>
            <w:tcW w:w="217" w:type="dxa"/>
          </w:tcPr>
          <w:p w14:paraId="52548C73" w14:textId="77777777" w:rsidR="002C0FD9" w:rsidRPr="00CA25CF" w:rsidRDefault="002C0FD9" w:rsidP="00CA25CF">
            <w:pPr>
              <w:rPr>
                <w:rFonts w:cs="Arial"/>
                <w:color w:val="FF0000"/>
                <w:sz w:val="21"/>
                <w:szCs w:val="21"/>
              </w:rPr>
            </w:pPr>
          </w:p>
        </w:tc>
        <w:tc>
          <w:tcPr>
            <w:tcW w:w="217" w:type="dxa"/>
          </w:tcPr>
          <w:p w14:paraId="109D07CC" w14:textId="77777777" w:rsidR="002C0FD9" w:rsidRPr="00CA25CF" w:rsidRDefault="002C0FD9" w:rsidP="00CA25CF">
            <w:pPr>
              <w:rPr>
                <w:rFonts w:cs="Arial"/>
                <w:color w:val="FF0000"/>
                <w:sz w:val="21"/>
                <w:szCs w:val="21"/>
              </w:rPr>
            </w:pPr>
          </w:p>
        </w:tc>
        <w:tc>
          <w:tcPr>
            <w:tcW w:w="217" w:type="dxa"/>
          </w:tcPr>
          <w:p w14:paraId="7340E5C9" w14:textId="77777777" w:rsidR="002C0FD9" w:rsidRPr="00CA25CF" w:rsidRDefault="002C0FD9" w:rsidP="00CA25CF">
            <w:pPr>
              <w:rPr>
                <w:rFonts w:cs="Arial"/>
                <w:color w:val="FF0000"/>
                <w:sz w:val="21"/>
                <w:szCs w:val="21"/>
              </w:rPr>
            </w:pPr>
          </w:p>
        </w:tc>
        <w:tc>
          <w:tcPr>
            <w:tcW w:w="217" w:type="dxa"/>
          </w:tcPr>
          <w:p w14:paraId="1BBC5791" w14:textId="77777777" w:rsidR="002C0FD9" w:rsidRPr="00CA25CF" w:rsidRDefault="002C0FD9" w:rsidP="00CA25CF">
            <w:pPr>
              <w:rPr>
                <w:rFonts w:cs="Arial"/>
                <w:color w:val="FF0000"/>
                <w:sz w:val="21"/>
                <w:szCs w:val="21"/>
              </w:rPr>
            </w:pPr>
          </w:p>
        </w:tc>
      </w:tr>
      <w:tr w:rsidR="002C0FD9" w:rsidRPr="00A16219" w14:paraId="4F07BAAE" w14:textId="7BFF7279" w:rsidTr="002C0FD9">
        <w:trPr>
          <w:trHeight w:val="635"/>
        </w:trPr>
        <w:tc>
          <w:tcPr>
            <w:tcW w:w="515" w:type="dxa"/>
          </w:tcPr>
          <w:p w14:paraId="6F184B7E" w14:textId="77777777" w:rsidR="002C0FD9" w:rsidRPr="00CA25CF" w:rsidRDefault="002C0FD9" w:rsidP="00CA25CF">
            <w:pPr>
              <w:rPr>
                <w:rFonts w:cs="Arial"/>
                <w:color w:val="FF0000"/>
                <w:sz w:val="21"/>
                <w:szCs w:val="21"/>
              </w:rPr>
            </w:pPr>
          </w:p>
        </w:tc>
        <w:tc>
          <w:tcPr>
            <w:tcW w:w="217" w:type="dxa"/>
          </w:tcPr>
          <w:p w14:paraId="0B18FF25" w14:textId="77777777" w:rsidR="002C0FD9" w:rsidRPr="00CA25CF" w:rsidRDefault="002C0FD9" w:rsidP="00CA25CF">
            <w:pPr>
              <w:rPr>
                <w:rFonts w:cs="Arial"/>
                <w:color w:val="FF0000"/>
                <w:sz w:val="21"/>
                <w:szCs w:val="21"/>
              </w:rPr>
            </w:pPr>
          </w:p>
        </w:tc>
        <w:tc>
          <w:tcPr>
            <w:tcW w:w="217" w:type="dxa"/>
          </w:tcPr>
          <w:p w14:paraId="12150A33" w14:textId="0E19B3F2" w:rsidR="002C0FD9" w:rsidRPr="00CA25CF" w:rsidRDefault="002C0FD9" w:rsidP="00CA25CF">
            <w:pPr>
              <w:rPr>
                <w:rFonts w:cs="Arial"/>
                <w:color w:val="FF0000"/>
                <w:sz w:val="21"/>
                <w:szCs w:val="21"/>
              </w:rPr>
            </w:pPr>
          </w:p>
        </w:tc>
        <w:tc>
          <w:tcPr>
            <w:tcW w:w="217" w:type="dxa"/>
          </w:tcPr>
          <w:p w14:paraId="4C350FE2" w14:textId="77777777" w:rsidR="002C0FD9" w:rsidRPr="00CA25CF" w:rsidRDefault="002C0FD9" w:rsidP="00CA25CF">
            <w:pPr>
              <w:rPr>
                <w:rFonts w:cs="Arial"/>
                <w:color w:val="FF0000"/>
                <w:sz w:val="21"/>
                <w:szCs w:val="21"/>
              </w:rPr>
            </w:pPr>
          </w:p>
        </w:tc>
        <w:tc>
          <w:tcPr>
            <w:tcW w:w="217" w:type="dxa"/>
          </w:tcPr>
          <w:p w14:paraId="2AAF2446" w14:textId="77777777" w:rsidR="002C0FD9" w:rsidRPr="00CA25CF" w:rsidRDefault="002C0FD9" w:rsidP="00CA25CF">
            <w:pPr>
              <w:rPr>
                <w:rFonts w:cs="Arial"/>
                <w:color w:val="FF0000"/>
                <w:sz w:val="21"/>
                <w:szCs w:val="21"/>
              </w:rPr>
            </w:pPr>
          </w:p>
        </w:tc>
        <w:tc>
          <w:tcPr>
            <w:tcW w:w="217" w:type="dxa"/>
          </w:tcPr>
          <w:p w14:paraId="1C0F5CBC" w14:textId="77777777" w:rsidR="002C0FD9" w:rsidRPr="00CA25CF" w:rsidRDefault="002C0FD9" w:rsidP="00CA25CF">
            <w:pPr>
              <w:rPr>
                <w:rFonts w:cs="Arial"/>
                <w:color w:val="FF0000"/>
                <w:sz w:val="21"/>
                <w:szCs w:val="21"/>
              </w:rPr>
            </w:pPr>
          </w:p>
        </w:tc>
        <w:tc>
          <w:tcPr>
            <w:tcW w:w="217" w:type="dxa"/>
          </w:tcPr>
          <w:p w14:paraId="146560D5" w14:textId="77777777" w:rsidR="002C0FD9" w:rsidRPr="00CA25CF" w:rsidRDefault="002C0FD9" w:rsidP="00CA25CF">
            <w:pPr>
              <w:rPr>
                <w:rFonts w:cs="Arial"/>
                <w:color w:val="FF0000"/>
                <w:sz w:val="21"/>
                <w:szCs w:val="21"/>
              </w:rPr>
            </w:pPr>
          </w:p>
        </w:tc>
        <w:tc>
          <w:tcPr>
            <w:tcW w:w="217" w:type="dxa"/>
          </w:tcPr>
          <w:p w14:paraId="10407844" w14:textId="77777777" w:rsidR="002C0FD9" w:rsidRPr="00CA25CF" w:rsidRDefault="002C0FD9" w:rsidP="00CA25CF">
            <w:pPr>
              <w:rPr>
                <w:rFonts w:cs="Arial"/>
                <w:color w:val="FF0000"/>
                <w:sz w:val="21"/>
                <w:szCs w:val="21"/>
              </w:rPr>
            </w:pPr>
          </w:p>
        </w:tc>
        <w:tc>
          <w:tcPr>
            <w:tcW w:w="217" w:type="dxa"/>
          </w:tcPr>
          <w:p w14:paraId="1452749D" w14:textId="77777777" w:rsidR="002C0FD9" w:rsidRPr="00CA25CF" w:rsidRDefault="002C0FD9" w:rsidP="00CA25CF">
            <w:pPr>
              <w:rPr>
                <w:rFonts w:cs="Arial"/>
                <w:color w:val="FF0000"/>
                <w:sz w:val="21"/>
                <w:szCs w:val="21"/>
              </w:rPr>
            </w:pPr>
          </w:p>
        </w:tc>
        <w:tc>
          <w:tcPr>
            <w:tcW w:w="217" w:type="dxa"/>
          </w:tcPr>
          <w:p w14:paraId="3A506F72" w14:textId="77777777" w:rsidR="002C0FD9" w:rsidRPr="00CA25CF" w:rsidRDefault="002C0FD9" w:rsidP="00CA25CF">
            <w:pPr>
              <w:rPr>
                <w:rFonts w:cs="Arial"/>
                <w:color w:val="FF0000"/>
                <w:sz w:val="21"/>
                <w:szCs w:val="21"/>
              </w:rPr>
            </w:pPr>
          </w:p>
        </w:tc>
        <w:tc>
          <w:tcPr>
            <w:tcW w:w="217" w:type="dxa"/>
          </w:tcPr>
          <w:p w14:paraId="3AD03C09" w14:textId="77777777" w:rsidR="002C0FD9" w:rsidRPr="00CA25CF" w:rsidRDefault="002C0FD9" w:rsidP="00CA25CF">
            <w:pPr>
              <w:rPr>
                <w:rFonts w:cs="Arial"/>
                <w:color w:val="FF0000"/>
                <w:sz w:val="21"/>
                <w:szCs w:val="21"/>
              </w:rPr>
            </w:pPr>
          </w:p>
        </w:tc>
        <w:tc>
          <w:tcPr>
            <w:tcW w:w="217" w:type="dxa"/>
          </w:tcPr>
          <w:p w14:paraId="619BF404" w14:textId="77777777" w:rsidR="002C0FD9" w:rsidRPr="00CA25CF" w:rsidRDefault="002C0FD9" w:rsidP="00CA25CF">
            <w:pPr>
              <w:rPr>
                <w:rFonts w:cs="Arial"/>
                <w:color w:val="FF0000"/>
                <w:sz w:val="21"/>
                <w:szCs w:val="21"/>
              </w:rPr>
            </w:pPr>
          </w:p>
        </w:tc>
        <w:tc>
          <w:tcPr>
            <w:tcW w:w="217" w:type="dxa"/>
          </w:tcPr>
          <w:p w14:paraId="36ED39FC" w14:textId="77777777" w:rsidR="002C0FD9" w:rsidRPr="00CA25CF" w:rsidRDefault="002C0FD9" w:rsidP="00CA25CF">
            <w:pPr>
              <w:rPr>
                <w:rFonts w:cs="Arial"/>
                <w:color w:val="FF0000"/>
                <w:sz w:val="21"/>
                <w:szCs w:val="21"/>
              </w:rPr>
            </w:pPr>
          </w:p>
        </w:tc>
        <w:tc>
          <w:tcPr>
            <w:tcW w:w="217" w:type="dxa"/>
          </w:tcPr>
          <w:p w14:paraId="45D64E0A" w14:textId="77777777" w:rsidR="002C0FD9" w:rsidRPr="00CA25CF" w:rsidRDefault="002C0FD9" w:rsidP="00CA25CF">
            <w:pPr>
              <w:rPr>
                <w:rFonts w:cs="Arial"/>
                <w:color w:val="FF0000"/>
                <w:sz w:val="21"/>
                <w:szCs w:val="21"/>
              </w:rPr>
            </w:pPr>
          </w:p>
        </w:tc>
        <w:tc>
          <w:tcPr>
            <w:tcW w:w="217" w:type="dxa"/>
          </w:tcPr>
          <w:p w14:paraId="497CB923" w14:textId="77777777" w:rsidR="002C0FD9" w:rsidRPr="00CA25CF" w:rsidRDefault="002C0FD9" w:rsidP="00CA25CF">
            <w:pPr>
              <w:rPr>
                <w:rFonts w:cs="Arial"/>
                <w:color w:val="FF0000"/>
                <w:sz w:val="21"/>
                <w:szCs w:val="21"/>
              </w:rPr>
            </w:pPr>
          </w:p>
        </w:tc>
        <w:tc>
          <w:tcPr>
            <w:tcW w:w="217" w:type="dxa"/>
          </w:tcPr>
          <w:p w14:paraId="50D755F2" w14:textId="77777777" w:rsidR="002C0FD9" w:rsidRPr="00CA25CF" w:rsidRDefault="002C0FD9" w:rsidP="00CA25CF">
            <w:pPr>
              <w:rPr>
                <w:rFonts w:cs="Arial"/>
                <w:color w:val="FF0000"/>
                <w:sz w:val="21"/>
                <w:szCs w:val="21"/>
              </w:rPr>
            </w:pPr>
          </w:p>
        </w:tc>
        <w:tc>
          <w:tcPr>
            <w:tcW w:w="217" w:type="dxa"/>
          </w:tcPr>
          <w:p w14:paraId="700903C5" w14:textId="77777777" w:rsidR="002C0FD9" w:rsidRPr="00CA25CF" w:rsidRDefault="002C0FD9" w:rsidP="00CA25CF">
            <w:pPr>
              <w:rPr>
                <w:rFonts w:cs="Arial"/>
                <w:color w:val="FF0000"/>
                <w:sz w:val="21"/>
                <w:szCs w:val="21"/>
              </w:rPr>
            </w:pPr>
          </w:p>
        </w:tc>
        <w:tc>
          <w:tcPr>
            <w:tcW w:w="217" w:type="dxa"/>
          </w:tcPr>
          <w:p w14:paraId="24E29B1F" w14:textId="77777777" w:rsidR="002C0FD9" w:rsidRPr="00CA25CF" w:rsidRDefault="002C0FD9" w:rsidP="00CA25CF">
            <w:pPr>
              <w:rPr>
                <w:rFonts w:cs="Arial"/>
                <w:color w:val="FF0000"/>
                <w:sz w:val="21"/>
                <w:szCs w:val="21"/>
              </w:rPr>
            </w:pPr>
          </w:p>
        </w:tc>
        <w:tc>
          <w:tcPr>
            <w:tcW w:w="217" w:type="dxa"/>
          </w:tcPr>
          <w:p w14:paraId="2465C629" w14:textId="77777777" w:rsidR="002C0FD9" w:rsidRPr="00CA25CF" w:rsidRDefault="002C0FD9" w:rsidP="00CA25CF">
            <w:pPr>
              <w:rPr>
                <w:rFonts w:cs="Arial"/>
                <w:color w:val="FF0000"/>
                <w:sz w:val="21"/>
                <w:szCs w:val="21"/>
              </w:rPr>
            </w:pPr>
          </w:p>
        </w:tc>
        <w:tc>
          <w:tcPr>
            <w:tcW w:w="217" w:type="dxa"/>
          </w:tcPr>
          <w:p w14:paraId="6F6FDAD3" w14:textId="77777777" w:rsidR="002C0FD9" w:rsidRPr="00CA25CF" w:rsidRDefault="002C0FD9" w:rsidP="00CA25CF">
            <w:pPr>
              <w:rPr>
                <w:rFonts w:cs="Arial"/>
                <w:color w:val="FF0000"/>
                <w:sz w:val="21"/>
                <w:szCs w:val="21"/>
              </w:rPr>
            </w:pPr>
          </w:p>
        </w:tc>
        <w:tc>
          <w:tcPr>
            <w:tcW w:w="217" w:type="dxa"/>
          </w:tcPr>
          <w:p w14:paraId="312AB8E1" w14:textId="77777777" w:rsidR="002C0FD9" w:rsidRPr="00CA25CF" w:rsidRDefault="002C0FD9" w:rsidP="00CA25CF">
            <w:pPr>
              <w:rPr>
                <w:rFonts w:cs="Arial"/>
                <w:color w:val="FF0000"/>
                <w:sz w:val="21"/>
                <w:szCs w:val="21"/>
              </w:rPr>
            </w:pPr>
          </w:p>
        </w:tc>
        <w:tc>
          <w:tcPr>
            <w:tcW w:w="217" w:type="dxa"/>
          </w:tcPr>
          <w:p w14:paraId="4F035CB0" w14:textId="77777777" w:rsidR="002C0FD9" w:rsidRPr="00CA25CF" w:rsidRDefault="002C0FD9" w:rsidP="00CA25CF">
            <w:pPr>
              <w:rPr>
                <w:rFonts w:cs="Arial"/>
                <w:color w:val="FF0000"/>
                <w:sz w:val="21"/>
                <w:szCs w:val="21"/>
              </w:rPr>
            </w:pPr>
          </w:p>
        </w:tc>
        <w:tc>
          <w:tcPr>
            <w:tcW w:w="217" w:type="dxa"/>
          </w:tcPr>
          <w:p w14:paraId="11D77E9A" w14:textId="77777777" w:rsidR="002C0FD9" w:rsidRPr="00CA25CF" w:rsidRDefault="002C0FD9" w:rsidP="00CA25CF">
            <w:pPr>
              <w:rPr>
                <w:rFonts w:cs="Arial"/>
                <w:color w:val="FF0000"/>
                <w:sz w:val="21"/>
                <w:szCs w:val="21"/>
              </w:rPr>
            </w:pPr>
          </w:p>
        </w:tc>
        <w:tc>
          <w:tcPr>
            <w:tcW w:w="217" w:type="dxa"/>
          </w:tcPr>
          <w:p w14:paraId="132089FA" w14:textId="77777777" w:rsidR="002C0FD9" w:rsidRPr="00CA25CF" w:rsidRDefault="002C0FD9" w:rsidP="00CA25CF">
            <w:pPr>
              <w:rPr>
                <w:rFonts w:cs="Arial"/>
                <w:color w:val="FF0000"/>
                <w:sz w:val="21"/>
                <w:szCs w:val="21"/>
              </w:rPr>
            </w:pPr>
          </w:p>
        </w:tc>
        <w:tc>
          <w:tcPr>
            <w:tcW w:w="217" w:type="dxa"/>
          </w:tcPr>
          <w:p w14:paraId="6259FFDA" w14:textId="77777777" w:rsidR="002C0FD9" w:rsidRPr="00CA25CF" w:rsidRDefault="002C0FD9" w:rsidP="00CA25CF">
            <w:pPr>
              <w:rPr>
                <w:rFonts w:cs="Arial"/>
                <w:color w:val="FF0000"/>
                <w:sz w:val="21"/>
                <w:szCs w:val="21"/>
              </w:rPr>
            </w:pPr>
          </w:p>
        </w:tc>
        <w:tc>
          <w:tcPr>
            <w:tcW w:w="217" w:type="dxa"/>
          </w:tcPr>
          <w:p w14:paraId="31B94BB4" w14:textId="77777777" w:rsidR="002C0FD9" w:rsidRPr="00CA25CF" w:rsidRDefault="002C0FD9" w:rsidP="00CA25CF">
            <w:pPr>
              <w:rPr>
                <w:rFonts w:cs="Arial"/>
                <w:color w:val="FF0000"/>
                <w:sz w:val="21"/>
                <w:szCs w:val="21"/>
              </w:rPr>
            </w:pPr>
          </w:p>
        </w:tc>
        <w:tc>
          <w:tcPr>
            <w:tcW w:w="217" w:type="dxa"/>
          </w:tcPr>
          <w:p w14:paraId="2C99F562" w14:textId="77777777" w:rsidR="002C0FD9" w:rsidRPr="00CA25CF" w:rsidRDefault="002C0FD9" w:rsidP="00CA25CF">
            <w:pPr>
              <w:rPr>
                <w:rFonts w:cs="Arial"/>
                <w:color w:val="FF0000"/>
                <w:sz w:val="21"/>
                <w:szCs w:val="21"/>
              </w:rPr>
            </w:pPr>
          </w:p>
        </w:tc>
        <w:tc>
          <w:tcPr>
            <w:tcW w:w="217" w:type="dxa"/>
          </w:tcPr>
          <w:p w14:paraId="296784E6" w14:textId="77777777" w:rsidR="002C0FD9" w:rsidRPr="00CA25CF" w:rsidRDefault="002C0FD9" w:rsidP="00CA25CF">
            <w:pPr>
              <w:rPr>
                <w:rFonts w:cs="Arial"/>
                <w:color w:val="FF0000"/>
                <w:sz w:val="21"/>
                <w:szCs w:val="21"/>
              </w:rPr>
            </w:pPr>
          </w:p>
        </w:tc>
        <w:tc>
          <w:tcPr>
            <w:tcW w:w="217" w:type="dxa"/>
          </w:tcPr>
          <w:p w14:paraId="03622C4C" w14:textId="77777777" w:rsidR="002C0FD9" w:rsidRPr="00CA25CF" w:rsidRDefault="002C0FD9" w:rsidP="00CA25CF">
            <w:pPr>
              <w:rPr>
                <w:rFonts w:cs="Arial"/>
                <w:color w:val="FF0000"/>
                <w:sz w:val="21"/>
                <w:szCs w:val="21"/>
              </w:rPr>
            </w:pPr>
          </w:p>
        </w:tc>
        <w:tc>
          <w:tcPr>
            <w:tcW w:w="217" w:type="dxa"/>
          </w:tcPr>
          <w:p w14:paraId="684A10AF" w14:textId="77777777" w:rsidR="002C0FD9" w:rsidRPr="00CA25CF" w:rsidRDefault="002C0FD9" w:rsidP="00CA25CF">
            <w:pPr>
              <w:rPr>
                <w:rFonts w:cs="Arial"/>
                <w:color w:val="FF0000"/>
                <w:sz w:val="21"/>
                <w:szCs w:val="21"/>
              </w:rPr>
            </w:pPr>
          </w:p>
        </w:tc>
        <w:tc>
          <w:tcPr>
            <w:tcW w:w="217" w:type="dxa"/>
          </w:tcPr>
          <w:p w14:paraId="7C6F08CD" w14:textId="77777777" w:rsidR="002C0FD9" w:rsidRPr="00CA25CF" w:rsidRDefault="002C0FD9" w:rsidP="00CA25CF">
            <w:pPr>
              <w:rPr>
                <w:rFonts w:cs="Arial"/>
                <w:color w:val="FF0000"/>
                <w:sz w:val="21"/>
                <w:szCs w:val="21"/>
              </w:rPr>
            </w:pPr>
          </w:p>
        </w:tc>
        <w:tc>
          <w:tcPr>
            <w:tcW w:w="217" w:type="dxa"/>
          </w:tcPr>
          <w:p w14:paraId="4AB18AA5" w14:textId="77777777" w:rsidR="002C0FD9" w:rsidRPr="00CA25CF" w:rsidRDefault="002C0FD9" w:rsidP="00CA25CF">
            <w:pPr>
              <w:rPr>
                <w:rFonts w:cs="Arial"/>
                <w:color w:val="FF0000"/>
                <w:sz w:val="21"/>
                <w:szCs w:val="21"/>
              </w:rPr>
            </w:pPr>
          </w:p>
        </w:tc>
        <w:tc>
          <w:tcPr>
            <w:tcW w:w="217" w:type="dxa"/>
          </w:tcPr>
          <w:p w14:paraId="1820C49E" w14:textId="77777777" w:rsidR="002C0FD9" w:rsidRPr="00CA25CF" w:rsidRDefault="002C0FD9" w:rsidP="00CA25CF">
            <w:pPr>
              <w:rPr>
                <w:rFonts w:cs="Arial"/>
                <w:color w:val="FF0000"/>
                <w:sz w:val="21"/>
                <w:szCs w:val="21"/>
              </w:rPr>
            </w:pPr>
          </w:p>
        </w:tc>
        <w:tc>
          <w:tcPr>
            <w:tcW w:w="217" w:type="dxa"/>
          </w:tcPr>
          <w:p w14:paraId="3C23B1B9" w14:textId="77777777" w:rsidR="002C0FD9" w:rsidRPr="00CA25CF" w:rsidRDefault="002C0FD9" w:rsidP="00CA25CF">
            <w:pPr>
              <w:rPr>
                <w:rFonts w:cs="Arial"/>
                <w:color w:val="FF0000"/>
                <w:sz w:val="21"/>
                <w:szCs w:val="21"/>
              </w:rPr>
            </w:pPr>
          </w:p>
        </w:tc>
        <w:tc>
          <w:tcPr>
            <w:tcW w:w="217" w:type="dxa"/>
          </w:tcPr>
          <w:p w14:paraId="4065D542" w14:textId="77777777" w:rsidR="002C0FD9" w:rsidRPr="00CA25CF" w:rsidRDefault="002C0FD9" w:rsidP="00CA25CF">
            <w:pPr>
              <w:rPr>
                <w:rFonts w:cs="Arial"/>
                <w:color w:val="FF0000"/>
                <w:sz w:val="21"/>
                <w:szCs w:val="21"/>
              </w:rPr>
            </w:pPr>
          </w:p>
        </w:tc>
        <w:tc>
          <w:tcPr>
            <w:tcW w:w="217" w:type="dxa"/>
          </w:tcPr>
          <w:p w14:paraId="1DB310A8" w14:textId="77777777" w:rsidR="002C0FD9" w:rsidRPr="00CA25CF" w:rsidRDefault="002C0FD9" w:rsidP="00CA25CF">
            <w:pPr>
              <w:rPr>
                <w:rFonts w:cs="Arial"/>
                <w:color w:val="FF0000"/>
                <w:sz w:val="21"/>
                <w:szCs w:val="21"/>
              </w:rPr>
            </w:pPr>
          </w:p>
        </w:tc>
        <w:tc>
          <w:tcPr>
            <w:tcW w:w="217" w:type="dxa"/>
          </w:tcPr>
          <w:p w14:paraId="7992C209" w14:textId="77777777" w:rsidR="002C0FD9" w:rsidRPr="00CA25CF" w:rsidRDefault="002C0FD9" w:rsidP="00CA25CF">
            <w:pPr>
              <w:rPr>
                <w:rFonts w:cs="Arial"/>
                <w:color w:val="FF0000"/>
                <w:sz w:val="21"/>
                <w:szCs w:val="21"/>
              </w:rPr>
            </w:pPr>
          </w:p>
        </w:tc>
        <w:tc>
          <w:tcPr>
            <w:tcW w:w="217" w:type="dxa"/>
          </w:tcPr>
          <w:p w14:paraId="0E2ADEA4" w14:textId="77777777" w:rsidR="002C0FD9" w:rsidRPr="00CA25CF" w:rsidRDefault="002C0FD9" w:rsidP="00CA25CF">
            <w:pPr>
              <w:rPr>
                <w:rFonts w:cs="Arial"/>
                <w:color w:val="FF0000"/>
                <w:sz w:val="21"/>
                <w:szCs w:val="21"/>
              </w:rPr>
            </w:pPr>
          </w:p>
        </w:tc>
        <w:tc>
          <w:tcPr>
            <w:tcW w:w="217" w:type="dxa"/>
          </w:tcPr>
          <w:p w14:paraId="1DABE75D" w14:textId="77777777" w:rsidR="002C0FD9" w:rsidRPr="00CA25CF" w:rsidRDefault="002C0FD9" w:rsidP="00CA25CF">
            <w:pPr>
              <w:rPr>
                <w:rFonts w:cs="Arial"/>
                <w:color w:val="FF0000"/>
                <w:sz w:val="21"/>
                <w:szCs w:val="21"/>
              </w:rPr>
            </w:pPr>
          </w:p>
        </w:tc>
        <w:tc>
          <w:tcPr>
            <w:tcW w:w="217" w:type="dxa"/>
          </w:tcPr>
          <w:p w14:paraId="66D78D96" w14:textId="77777777" w:rsidR="002C0FD9" w:rsidRPr="00CA25CF" w:rsidRDefault="002C0FD9" w:rsidP="00CA25CF">
            <w:pPr>
              <w:rPr>
                <w:rFonts w:cs="Arial"/>
                <w:color w:val="FF0000"/>
                <w:sz w:val="21"/>
                <w:szCs w:val="21"/>
              </w:rPr>
            </w:pPr>
          </w:p>
        </w:tc>
        <w:tc>
          <w:tcPr>
            <w:tcW w:w="217" w:type="dxa"/>
          </w:tcPr>
          <w:p w14:paraId="765F932C" w14:textId="77777777" w:rsidR="002C0FD9" w:rsidRPr="00CA25CF" w:rsidRDefault="002C0FD9" w:rsidP="00CA25CF">
            <w:pPr>
              <w:rPr>
                <w:rFonts w:cs="Arial"/>
                <w:color w:val="FF0000"/>
                <w:sz w:val="21"/>
                <w:szCs w:val="21"/>
              </w:rPr>
            </w:pPr>
          </w:p>
        </w:tc>
        <w:tc>
          <w:tcPr>
            <w:tcW w:w="217" w:type="dxa"/>
          </w:tcPr>
          <w:p w14:paraId="4B9DFD77" w14:textId="77777777" w:rsidR="002C0FD9" w:rsidRPr="00CA25CF" w:rsidRDefault="002C0FD9" w:rsidP="00CA25CF">
            <w:pPr>
              <w:rPr>
                <w:rFonts w:cs="Arial"/>
                <w:color w:val="FF0000"/>
                <w:sz w:val="21"/>
                <w:szCs w:val="21"/>
              </w:rPr>
            </w:pPr>
          </w:p>
        </w:tc>
        <w:tc>
          <w:tcPr>
            <w:tcW w:w="217" w:type="dxa"/>
          </w:tcPr>
          <w:p w14:paraId="07118916" w14:textId="77777777" w:rsidR="002C0FD9" w:rsidRPr="00CA25CF" w:rsidRDefault="002C0FD9" w:rsidP="00CA25CF">
            <w:pPr>
              <w:rPr>
                <w:rFonts w:cs="Arial"/>
                <w:color w:val="FF0000"/>
                <w:sz w:val="21"/>
                <w:szCs w:val="21"/>
              </w:rPr>
            </w:pPr>
          </w:p>
        </w:tc>
      </w:tr>
      <w:tr w:rsidR="002C0FD9" w:rsidRPr="00A16219" w14:paraId="0E08F909" w14:textId="538A9B66" w:rsidTr="002C0FD9">
        <w:trPr>
          <w:trHeight w:val="635"/>
        </w:trPr>
        <w:tc>
          <w:tcPr>
            <w:tcW w:w="515" w:type="dxa"/>
          </w:tcPr>
          <w:p w14:paraId="769190E1" w14:textId="77777777" w:rsidR="002C0FD9" w:rsidRPr="00CA25CF" w:rsidRDefault="002C0FD9" w:rsidP="00CA25CF">
            <w:pPr>
              <w:rPr>
                <w:rFonts w:cs="Arial"/>
                <w:color w:val="FF0000"/>
                <w:sz w:val="21"/>
                <w:szCs w:val="21"/>
              </w:rPr>
            </w:pPr>
          </w:p>
        </w:tc>
        <w:tc>
          <w:tcPr>
            <w:tcW w:w="217" w:type="dxa"/>
          </w:tcPr>
          <w:p w14:paraId="5EDEA407" w14:textId="77777777" w:rsidR="002C0FD9" w:rsidRPr="00CA25CF" w:rsidRDefault="002C0FD9" w:rsidP="00CA25CF">
            <w:pPr>
              <w:rPr>
                <w:rFonts w:cs="Arial"/>
                <w:color w:val="FF0000"/>
                <w:sz w:val="21"/>
                <w:szCs w:val="21"/>
              </w:rPr>
            </w:pPr>
          </w:p>
        </w:tc>
        <w:tc>
          <w:tcPr>
            <w:tcW w:w="217" w:type="dxa"/>
          </w:tcPr>
          <w:p w14:paraId="4970089D" w14:textId="11CF7596" w:rsidR="002C0FD9" w:rsidRPr="00CA25CF" w:rsidRDefault="002C0FD9" w:rsidP="00CA25CF">
            <w:pPr>
              <w:rPr>
                <w:rFonts w:cs="Arial"/>
                <w:color w:val="FF0000"/>
                <w:sz w:val="21"/>
                <w:szCs w:val="21"/>
              </w:rPr>
            </w:pPr>
          </w:p>
        </w:tc>
        <w:tc>
          <w:tcPr>
            <w:tcW w:w="217" w:type="dxa"/>
          </w:tcPr>
          <w:p w14:paraId="6A07590E" w14:textId="77777777" w:rsidR="002C0FD9" w:rsidRPr="00CA25CF" w:rsidRDefault="002C0FD9" w:rsidP="00CA25CF">
            <w:pPr>
              <w:rPr>
                <w:rFonts w:cs="Arial"/>
                <w:color w:val="FF0000"/>
                <w:sz w:val="21"/>
                <w:szCs w:val="21"/>
              </w:rPr>
            </w:pPr>
          </w:p>
        </w:tc>
        <w:tc>
          <w:tcPr>
            <w:tcW w:w="217" w:type="dxa"/>
          </w:tcPr>
          <w:p w14:paraId="36F06F1D" w14:textId="77777777" w:rsidR="002C0FD9" w:rsidRPr="00CA25CF" w:rsidRDefault="002C0FD9" w:rsidP="00CA25CF">
            <w:pPr>
              <w:rPr>
                <w:rFonts w:cs="Arial"/>
                <w:color w:val="FF0000"/>
                <w:sz w:val="21"/>
                <w:szCs w:val="21"/>
              </w:rPr>
            </w:pPr>
          </w:p>
        </w:tc>
        <w:tc>
          <w:tcPr>
            <w:tcW w:w="217" w:type="dxa"/>
          </w:tcPr>
          <w:p w14:paraId="40E37D22" w14:textId="77777777" w:rsidR="002C0FD9" w:rsidRPr="00CA25CF" w:rsidRDefault="002C0FD9" w:rsidP="00CA25CF">
            <w:pPr>
              <w:rPr>
                <w:rFonts w:cs="Arial"/>
                <w:color w:val="FF0000"/>
                <w:sz w:val="21"/>
                <w:szCs w:val="21"/>
              </w:rPr>
            </w:pPr>
          </w:p>
        </w:tc>
        <w:tc>
          <w:tcPr>
            <w:tcW w:w="217" w:type="dxa"/>
          </w:tcPr>
          <w:p w14:paraId="724453C5" w14:textId="77777777" w:rsidR="002C0FD9" w:rsidRPr="00CA25CF" w:rsidRDefault="002C0FD9" w:rsidP="00CA25CF">
            <w:pPr>
              <w:rPr>
                <w:rFonts w:cs="Arial"/>
                <w:color w:val="FF0000"/>
                <w:sz w:val="21"/>
                <w:szCs w:val="21"/>
              </w:rPr>
            </w:pPr>
          </w:p>
        </w:tc>
        <w:tc>
          <w:tcPr>
            <w:tcW w:w="217" w:type="dxa"/>
          </w:tcPr>
          <w:p w14:paraId="424EA547" w14:textId="77777777" w:rsidR="002C0FD9" w:rsidRPr="00CA25CF" w:rsidRDefault="002C0FD9" w:rsidP="00CA25CF">
            <w:pPr>
              <w:rPr>
                <w:rFonts w:cs="Arial"/>
                <w:color w:val="FF0000"/>
                <w:sz w:val="21"/>
                <w:szCs w:val="21"/>
              </w:rPr>
            </w:pPr>
          </w:p>
        </w:tc>
        <w:tc>
          <w:tcPr>
            <w:tcW w:w="217" w:type="dxa"/>
          </w:tcPr>
          <w:p w14:paraId="5E27603F" w14:textId="77777777" w:rsidR="002C0FD9" w:rsidRPr="00CA25CF" w:rsidRDefault="002C0FD9" w:rsidP="00CA25CF">
            <w:pPr>
              <w:rPr>
                <w:rFonts w:cs="Arial"/>
                <w:color w:val="FF0000"/>
                <w:sz w:val="21"/>
                <w:szCs w:val="21"/>
              </w:rPr>
            </w:pPr>
          </w:p>
        </w:tc>
        <w:tc>
          <w:tcPr>
            <w:tcW w:w="217" w:type="dxa"/>
          </w:tcPr>
          <w:p w14:paraId="27A4275B" w14:textId="77777777" w:rsidR="002C0FD9" w:rsidRPr="00CA25CF" w:rsidRDefault="002C0FD9" w:rsidP="00CA25CF">
            <w:pPr>
              <w:rPr>
                <w:rFonts w:cs="Arial"/>
                <w:color w:val="FF0000"/>
                <w:sz w:val="21"/>
                <w:szCs w:val="21"/>
              </w:rPr>
            </w:pPr>
          </w:p>
        </w:tc>
        <w:tc>
          <w:tcPr>
            <w:tcW w:w="217" w:type="dxa"/>
          </w:tcPr>
          <w:p w14:paraId="5F86990F" w14:textId="77777777" w:rsidR="002C0FD9" w:rsidRPr="00CA25CF" w:rsidRDefault="002C0FD9" w:rsidP="00CA25CF">
            <w:pPr>
              <w:rPr>
                <w:rFonts w:cs="Arial"/>
                <w:color w:val="FF0000"/>
                <w:sz w:val="21"/>
                <w:szCs w:val="21"/>
              </w:rPr>
            </w:pPr>
          </w:p>
        </w:tc>
        <w:tc>
          <w:tcPr>
            <w:tcW w:w="217" w:type="dxa"/>
          </w:tcPr>
          <w:p w14:paraId="49AACDD5" w14:textId="77777777" w:rsidR="002C0FD9" w:rsidRPr="00CA25CF" w:rsidRDefault="002C0FD9" w:rsidP="00CA25CF">
            <w:pPr>
              <w:rPr>
                <w:rFonts w:cs="Arial"/>
                <w:color w:val="FF0000"/>
                <w:sz w:val="21"/>
                <w:szCs w:val="21"/>
              </w:rPr>
            </w:pPr>
          </w:p>
        </w:tc>
        <w:tc>
          <w:tcPr>
            <w:tcW w:w="217" w:type="dxa"/>
          </w:tcPr>
          <w:p w14:paraId="38A7481C" w14:textId="77777777" w:rsidR="002C0FD9" w:rsidRPr="00CA25CF" w:rsidRDefault="002C0FD9" w:rsidP="00CA25CF">
            <w:pPr>
              <w:rPr>
                <w:rFonts w:cs="Arial"/>
                <w:color w:val="FF0000"/>
                <w:sz w:val="21"/>
                <w:szCs w:val="21"/>
              </w:rPr>
            </w:pPr>
          </w:p>
        </w:tc>
        <w:tc>
          <w:tcPr>
            <w:tcW w:w="217" w:type="dxa"/>
          </w:tcPr>
          <w:p w14:paraId="04862AF3" w14:textId="77777777" w:rsidR="002C0FD9" w:rsidRPr="00CA25CF" w:rsidRDefault="002C0FD9" w:rsidP="00CA25CF">
            <w:pPr>
              <w:rPr>
                <w:rFonts w:cs="Arial"/>
                <w:color w:val="FF0000"/>
                <w:sz w:val="21"/>
                <w:szCs w:val="21"/>
              </w:rPr>
            </w:pPr>
          </w:p>
        </w:tc>
        <w:tc>
          <w:tcPr>
            <w:tcW w:w="217" w:type="dxa"/>
          </w:tcPr>
          <w:p w14:paraId="2A2A5869" w14:textId="77777777" w:rsidR="002C0FD9" w:rsidRPr="00CA25CF" w:rsidRDefault="002C0FD9" w:rsidP="00CA25CF">
            <w:pPr>
              <w:rPr>
                <w:rFonts w:cs="Arial"/>
                <w:color w:val="FF0000"/>
                <w:sz w:val="21"/>
                <w:szCs w:val="21"/>
              </w:rPr>
            </w:pPr>
          </w:p>
        </w:tc>
        <w:tc>
          <w:tcPr>
            <w:tcW w:w="217" w:type="dxa"/>
          </w:tcPr>
          <w:p w14:paraId="358E8D76" w14:textId="77777777" w:rsidR="002C0FD9" w:rsidRPr="00CA25CF" w:rsidRDefault="002C0FD9" w:rsidP="00CA25CF">
            <w:pPr>
              <w:rPr>
                <w:rFonts w:cs="Arial"/>
                <w:color w:val="FF0000"/>
                <w:sz w:val="21"/>
                <w:szCs w:val="21"/>
              </w:rPr>
            </w:pPr>
          </w:p>
        </w:tc>
        <w:tc>
          <w:tcPr>
            <w:tcW w:w="217" w:type="dxa"/>
          </w:tcPr>
          <w:p w14:paraId="38D5AF20" w14:textId="77777777" w:rsidR="002C0FD9" w:rsidRPr="00CA25CF" w:rsidRDefault="002C0FD9" w:rsidP="00CA25CF">
            <w:pPr>
              <w:rPr>
                <w:rFonts w:cs="Arial"/>
                <w:color w:val="FF0000"/>
                <w:sz w:val="21"/>
                <w:szCs w:val="21"/>
              </w:rPr>
            </w:pPr>
          </w:p>
        </w:tc>
        <w:tc>
          <w:tcPr>
            <w:tcW w:w="217" w:type="dxa"/>
          </w:tcPr>
          <w:p w14:paraId="78AC2E7F" w14:textId="77777777" w:rsidR="002C0FD9" w:rsidRPr="00CA25CF" w:rsidRDefault="002C0FD9" w:rsidP="00CA25CF">
            <w:pPr>
              <w:rPr>
                <w:rFonts w:cs="Arial"/>
                <w:color w:val="FF0000"/>
                <w:sz w:val="21"/>
                <w:szCs w:val="21"/>
              </w:rPr>
            </w:pPr>
          </w:p>
        </w:tc>
        <w:tc>
          <w:tcPr>
            <w:tcW w:w="217" w:type="dxa"/>
          </w:tcPr>
          <w:p w14:paraId="0080B01B" w14:textId="77777777" w:rsidR="002C0FD9" w:rsidRPr="00CA25CF" w:rsidRDefault="002C0FD9" w:rsidP="00CA25CF">
            <w:pPr>
              <w:rPr>
                <w:rFonts w:cs="Arial"/>
                <w:color w:val="FF0000"/>
                <w:sz w:val="21"/>
                <w:szCs w:val="21"/>
              </w:rPr>
            </w:pPr>
          </w:p>
        </w:tc>
        <w:tc>
          <w:tcPr>
            <w:tcW w:w="217" w:type="dxa"/>
          </w:tcPr>
          <w:p w14:paraId="63F0B9EC" w14:textId="77777777" w:rsidR="002C0FD9" w:rsidRPr="00CA25CF" w:rsidRDefault="002C0FD9" w:rsidP="00CA25CF">
            <w:pPr>
              <w:rPr>
                <w:rFonts w:cs="Arial"/>
                <w:color w:val="FF0000"/>
                <w:sz w:val="21"/>
                <w:szCs w:val="21"/>
              </w:rPr>
            </w:pPr>
          </w:p>
        </w:tc>
        <w:tc>
          <w:tcPr>
            <w:tcW w:w="217" w:type="dxa"/>
          </w:tcPr>
          <w:p w14:paraId="251982D5" w14:textId="77777777" w:rsidR="002C0FD9" w:rsidRPr="00CA25CF" w:rsidRDefault="002C0FD9" w:rsidP="00CA25CF">
            <w:pPr>
              <w:rPr>
                <w:rFonts w:cs="Arial"/>
                <w:color w:val="FF0000"/>
                <w:sz w:val="21"/>
                <w:szCs w:val="21"/>
              </w:rPr>
            </w:pPr>
          </w:p>
        </w:tc>
        <w:tc>
          <w:tcPr>
            <w:tcW w:w="217" w:type="dxa"/>
          </w:tcPr>
          <w:p w14:paraId="5EBCDA20" w14:textId="77777777" w:rsidR="002C0FD9" w:rsidRPr="00CA25CF" w:rsidRDefault="002C0FD9" w:rsidP="00CA25CF">
            <w:pPr>
              <w:rPr>
                <w:rFonts w:cs="Arial"/>
                <w:color w:val="FF0000"/>
                <w:sz w:val="21"/>
                <w:szCs w:val="21"/>
              </w:rPr>
            </w:pPr>
          </w:p>
        </w:tc>
        <w:tc>
          <w:tcPr>
            <w:tcW w:w="217" w:type="dxa"/>
          </w:tcPr>
          <w:p w14:paraId="07787199" w14:textId="77777777" w:rsidR="002C0FD9" w:rsidRPr="00CA25CF" w:rsidRDefault="002C0FD9" w:rsidP="00CA25CF">
            <w:pPr>
              <w:rPr>
                <w:rFonts w:cs="Arial"/>
                <w:color w:val="FF0000"/>
                <w:sz w:val="21"/>
                <w:szCs w:val="21"/>
              </w:rPr>
            </w:pPr>
          </w:p>
        </w:tc>
        <w:tc>
          <w:tcPr>
            <w:tcW w:w="217" w:type="dxa"/>
          </w:tcPr>
          <w:p w14:paraId="32AAB062" w14:textId="77777777" w:rsidR="002C0FD9" w:rsidRPr="00CA25CF" w:rsidRDefault="002C0FD9" w:rsidP="00CA25CF">
            <w:pPr>
              <w:rPr>
                <w:rFonts w:cs="Arial"/>
                <w:color w:val="FF0000"/>
                <w:sz w:val="21"/>
                <w:szCs w:val="21"/>
              </w:rPr>
            </w:pPr>
          </w:p>
        </w:tc>
        <w:tc>
          <w:tcPr>
            <w:tcW w:w="217" w:type="dxa"/>
          </w:tcPr>
          <w:p w14:paraId="593D631C" w14:textId="77777777" w:rsidR="002C0FD9" w:rsidRPr="00CA25CF" w:rsidRDefault="002C0FD9" w:rsidP="00CA25CF">
            <w:pPr>
              <w:rPr>
                <w:rFonts w:cs="Arial"/>
                <w:color w:val="FF0000"/>
                <w:sz w:val="21"/>
                <w:szCs w:val="21"/>
              </w:rPr>
            </w:pPr>
          </w:p>
        </w:tc>
        <w:tc>
          <w:tcPr>
            <w:tcW w:w="217" w:type="dxa"/>
          </w:tcPr>
          <w:p w14:paraId="23101C44" w14:textId="77777777" w:rsidR="002C0FD9" w:rsidRPr="00CA25CF" w:rsidRDefault="002C0FD9" w:rsidP="00CA25CF">
            <w:pPr>
              <w:rPr>
                <w:rFonts w:cs="Arial"/>
                <w:color w:val="FF0000"/>
                <w:sz w:val="21"/>
                <w:szCs w:val="21"/>
              </w:rPr>
            </w:pPr>
          </w:p>
        </w:tc>
        <w:tc>
          <w:tcPr>
            <w:tcW w:w="217" w:type="dxa"/>
          </w:tcPr>
          <w:p w14:paraId="3C19102E" w14:textId="77777777" w:rsidR="002C0FD9" w:rsidRPr="00CA25CF" w:rsidRDefault="002C0FD9" w:rsidP="00CA25CF">
            <w:pPr>
              <w:rPr>
                <w:rFonts w:cs="Arial"/>
                <w:color w:val="FF0000"/>
                <w:sz w:val="21"/>
                <w:szCs w:val="21"/>
              </w:rPr>
            </w:pPr>
          </w:p>
        </w:tc>
        <w:tc>
          <w:tcPr>
            <w:tcW w:w="217" w:type="dxa"/>
          </w:tcPr>
          <w:p w14:paraId="288E8662" w14:textId="77777777" w:rsidR="002C0FD9" w:rsidRPr="00CA25CF" w:rsidRDefault="002C0FD9" w:rsidP="00CA25CF">
            <w:pPr>
              <w:rPr>
                <w:rFonts w:cs="Arial"/>
                <w:color w:val="FF0000"/>
                <w:sz w:val="21"/>
                <w:szCs w:val="21"/>
              </w:rPr>
            </w:pPr>
          </w:p>
        </w:tc>
        <w:tc>
          <w:tcPr>
            <w:tcW w:w="217" w:type="dxa"/>
          </w:tcPr>
          <w:p w14:paraId="7EC636FD" w14:textId="77777777" w:rsidR="002C0FD9" w:rsidRPr="00CA25CF" w:rsidRDefault="002C0FD9" w:rsidP="00CA25CF">
            <w:pPr>
              <w:rPr>
                <w:rFonts w:cs="Arial"/>
                <w:color w:val="FF0000"/>
                <w:sz w:val="21"/>
                <w:szCs w:val="21"/>
              </w:rPr>
            </w:pPr>
          </w:p>
        </w:tc>
        <w:tc>
          <w:tcPr>
            <w:tcW w:w="217" w:type="dxa"/>
          </w:tcPr>
          <w:p w14:paraId="15387C80" w14:textId="77777777" w:rsidR="002C0FD9" w:rsidRPr="00CA25CF" w:rsidRDefault="002C0FD9" w:rsidP="00CA25CF">
            <w:pPr>
              <w:rPr>
                <w:rFonts w:cs="Arial"/>
                <w:color w:val="FF0000"/>
                <w:sz w:val="21"/>
                <w:szCs w:val="21"/>
              </w:rPr>
            </w:pPr>
          </w:p>
        </w:tc>
        <w:tc>
          <w:tcPr>
            <w:tcW w:w="217" w:type="dxa"/>
          </w:tcPr>
          <w:p w14:paraId="330D0641" w14:textId="77777777" w:rsidR="002C0FD9" w:rsidRPr="00CA25CF" w:rsidRDefault="002C0FD9" w:rsidP="00CA25CF">
            <w:pPr>
              <w:rPr>
                <w:rFonts w:cs="Arial"/>
                <w:color w:val="FF0000"/>
                <w:sz w:val="21"/>
                <w:szCs w:val="21"/>
              </w:rPr>
            </w:pPr>
          </w:p>
        </w:tc>
        <w:tc>
          <w:tcPr>
            <w:tcW w:w="217" w:type="dxa"/>
          </w:tcPr>
          <w:p w14:paraId="15B5B798" w14:textId="77777777" w:rsidR="002C0FD9" w:rsidRPr="00CA25CF" w:rsidRDefault="002C0FD9" w:rsidP="00CA25CF">
            <w:pPr>
              <w:rPr>
                <w:rFonts w:cs="Arial"/>
                <w:color w:val="FF0000"/>
                <w:sz w:val="21"/>
                <w:szCs w:val="21"/>
              </w:rPr>
            </w:pPr>
          </w:p>
        </w:tc>
        <w:tc>
          <w:tcPr>
            <w:tcW w:w="217" w:type="dxa"/>
          </w:tcPr>
          <w:p w14:paraId="7750FCBC" w14:textId="77777777" w:rsidR="002C0FD9" w:rsidRPr="00CA25CF" w:rsidRDefault="002C0FD9" w:rsidP="00CA25CF">
            <w:pPr>
              <w:rPr>
                <w:rFonts w:cs="Arial"/>
                <w:color w:val="FF0000"/>
                <w:sz w:val="21"/>
                <w:szCs w:val="21"/>
              </w:rPr>
            </w:pPr>
          </w:p>
        </w:tc>
        <w:tc>
          <w:tcPr>
            <w:tcW w:w="217" w:type="dxa"/>
          </w:tcPr>
          <w:p w14:paraId="78FCB32D" w14:textId="77777777" w:rsidR="002C0FD9" w:rsidRPr="00CA25CF" w:rsidRDefault="002C0FD9" w:rsidP="00CA25CF">
            <w:pPr>
              <w:rPr>
                <w:rFonts w:cs="Arial"/>
                <w:color w:val="FF0000"/>
                <w:sz w:val="21"/>
                <w:szCs w:val="21"/>
              </w:rPr>
            </w:pPr>
          </w:p>
        </w:tc>
        <w:tc>
          <w:tcPr>
            <w:tcW w:w="217" w:type="dxa"/>
          </w:tcPr>
          <w:p w14:paraId="1172C15B" w14:textId="77777777" w:rsidR="002C0FD9" w:rsidRPr="00CA25CF" w:rsidRDefault="002C0FD9" w:rsidP="00CA25CF">
            <w:pPr>
              <w:rPr>
                <w:rFonts w:cs="Arial"/>
                <w:color w:val="FF0000"/>
                <w:sz w:val="21"/>
                <w:szCs w:val="21"/>
              </w:rPr>
            </w:pPr>
          </w:p>
        </w:tc>
        <w:tc>
          <w:tcPr>
            <w:tcW w:w="217" w:type="dxa"/>
          </w:tcPr>
          <w:p w14:paraId="7A708B35" w14:textId="77777777" w:rsidR="002C0FD9" w:rsidRPr="00CA25CF" w:rsidRDefault="002C0FD9" w:rsidP="00CA25CF">
            <w:pPr>
              <w:rPr>
                <w:rFonts w:cs="Arial"/>
                <w:color w:val="FF0000"/>
                <w:sz w:val="21"/>
                <w:szCs w:val="21"/>
              </w:rPr>
            </w:pPr>
          </w:p>
        </w:tc>
        <w:tc>
          <w:tcPr>
            <w:tcW w:w="217" w:type="dxa"/>
          </w:tcPr>
          <w:p w14:paraId="4A997793" w14:textId="77777777" w:rsidR="002C0FD9" w:rsidRPr="00CA25CF" w:rsidRDefault="002C0FD9" w:rsidP="00CA25CF">
            <w:pPr>
              <w:rPr>
                <w:rFonts w:cs="Arial"/>
                <w:color w:val="FF0000"/>
                <w:sz w:val="21"/>
                <w:szCs w:val="21"/>
              </w:rPr>
            </w:pPr>
          </w:p>
        </w:tc>
        <w:tc>
          <w:tcPr>
            <w:tcW w:w="217" w:type="dxa"/>
          </w:tcPr>
          <w:p w14:paraId="7C8D1DE3" w14:textId="77777777" w:rsidR="002C0FD9" w:rsidRPr="00CA25CF" w:rsidRDefault="002C0FD9" w:rsidP="00CA25CF">
            <w:pPr>
              <w:rPr>
                <w:rFonts w:cs="Arial"/>
                <w:color w:val="FF0000"/>
                <w:sz w:val="21"/>
                <w:szCs w:val="21"/>
              </w:rPr>
            </w:pPr>
          </w:p>
        </w:tc>
        <w:tc>
          <w:tcPr>
            <w:tcW w:w="217" w:type="dxa"/>
          </w:tcPr>
          <w:p w14:paraId="4CC0855A" w14:textId="77777777" w:rsidR="002C0FD9" w:rsidRPr="00CA25CF" w:rsidRDefault="002C0FD9" w:rsidP="00CA25CF">
            <w:pPr>
              <w:rPr>
                <w:rFonts w:cs="Arial"/>
                <w:color w:val="FF0000"/>
                <w:sz w:val="21"/>
                <w:szCs w:val="21"/>
              </w:rPr>
            </w:pPr>
          </w:p>
        </w:tc>
        <w:tc>
          <w:tcPr>
            <w:tcW w:w="217" w:type="dxa"/>
          </w:tcPr>
          <w:p w14:paraId="10C89927" w14:textId="77777777" w:rsidR="002C0FD9" w:rsidRPr="00CA25CF" w:rsidRDefault="002C0FD9" w:rsidP="00CA25CF">
            <w:pPr>
              <w:rPr>
                <w:rFonts w:cs="Arial"/>
                <w:color w:val="FF0000"/>
                <w:sz w:val="21"/>
                <w:szCs w:val="21"/>
              </w:rPr>
            </w:pPr>
          </w:p>
        </w:tc>
        <w:tc>
          <w:tcPr>
            <w:tcW w:w="217" w:type="dxa"/>
          </w:tcPr>
          <w:p w14:paraId="7AA81D45" w14:textId="77777777" w:rsidR="002C0FD9" w:rsidRPr="00CA25CF" w:rsidRDefault="002C0FD9" w:rsidP="00CA25CF">
            <w:pPr>
              <w:rPr>
                <w:rFonts w:cs="Arial"/>
                <w:color w:val="FF0000"/>
                <w:sz w:val="21"/>
                <w:szCs w:val="21"/>
              </w:rPr>
            </w:pPr>
          </w:p>
        </w:tc>
        <w:tc>
          <w:tcPr>
            <w:tcW w:w="217" w:type="dxa"/>
          </w:tcPr>
          <w:p w14:paraId="1E77D16F" w14:textId="77777777" w:rsidR="002C0FD9" w:rsidRPr="00CA25CF" w:rsidRDefault="002C0FD9" w:rsidP="00CA25CF">
            <w:pPr>
              <w:rPr>
                <w:rFonts w:cs="Arial"/>
                <w:color w:val="FF0000"/>
                <w:sz w:val="21"/>
                <w:szCs w:val="21"/>
              </w:rPr>
            </w:pPr>
          </w:p>
        </w:tc>
        <w:tc>
          <w:tcPr>
            <w:tcW w:w="217" w:type="dxa"/>
          </w:tcPr>
          <w:p w14:paraId="75AA626B" w14:textId="77777777" w:rsidR="002C0FD9" w:rsidRPr="00CA25CF" w:rsidRDefault="002C0FD9" w:rsidP="00CA25CF">
            <w:pPr>
              <w:rPr>
                <w:rFonts w:cs="Arial"/>
                <w:color w:val="FF0000"/>
                <w:sz w:val="21"/>
                <w:szCs w:val="21"/>
              </w:rPr>
            </w:pPr>
          </w:p>
        </w:tc>
      </w:tr>
      <w:tr w:rsidR="002C0FD9" w:rsidRPr="00A16219" w14:paraId="2BF768B1" w14:textId="4173E72C" w:rsidTr="002C0FD9">
        <w:trPr>
          <w:trHeight w:val="635"/>
        </w:trPr>
        <w:tc>
          <w:tcPr>
            <w:tcW w:w="515" w:type="dxa"/>
          </w:tcPr>
          <w:p w14:paraId="094687F8" w14:textId="77777777" w:rsidR="002C0FD9" w:rsidRPr="00CA25CF" w:rsidRDefault="002C0FD9" w:rsidP="00CA25CF">
            <w:pPr>
              <w:rPr>
                <w:rFonts w:cs="Arial"/>
                <w:color w:val="FF0000"/>
                <w:sz w:val="21"/>
                <w:szCs w:val="21"/>
              </w:rPr>
            </w:pPr>
          </w:p>
        </w:tc>
        <w:tc>
          <w:tcPr>
            <w:tcW w:w="217" w:type="dxa"/>
          </w:tcPr>
          <w:p w14:paraId="7FCC1B4A" w14:textId="77777777" w:rsidR="002C0FD9" w:rsidRPr="00CA25CF" w:rsidRDefault="002C0FD9" w:rsidP="00CA25CF">
            <w:pPr>
              <w:rPr>
                <w:rFonts w:cs="Arial"/>
                <w:color w:val="FF0000"/>
                <w:sz w:val="21"/>
                <w:szCs w:val="21"/>
              </w:rPr>
            </w:pPr>
          </w:p>
        </w:tc>
        <w:tc>
          <w:tcPr>
            <w:tcW w:w="217" w:type="dxa"/>
          </w:tcPr>
          <w:p w14:paraId="71DAE352" w14:textId="1E1AA8D8" w:rsidR="002C0FD9" w:rsidRPr="00CA25CF" w:rsidRDefault="002C0FD9" w:rsidP="00CA25CF">
            <w:pPr>
              <w:rPr>
                <w:rFonts w:cs="Arial"/>
                <w:color w:val="FF0000"/>
                <w:sz w:val="21"/>
                <w:szCs w:val="21"/>
              </w:rPr>
            </w:pPr>
          </w:p>
        </w:tc>
        <w:tc>
          <w:tcPr>
            <w:tcW w:w="217" w:type="dxa"/>
          </w:tcPr>
          <w:p w14:paraId="754FC3C3" w14:textId="77777777" w:rsidR="002C0FD9" w:rsidRPr="00CA25CF" w:rsidRDefault="002C0FD9" w:rsidP="00CA25CF">
            <w:pPr>
              <w:rPr>
                <w:rFonts w:cs="Arial"/>
                <w:color w:val="FF0000"/>
                <w:sz w:val="21"/>
                <w:szCs w:val="21"/>
              </w:rPr>
            </w:pPr>
          </w:p>
        </w:tc>
        <w:tc>
          <w:tcPr>
            <w:tcW w:w="217" w:type="dxa"/>
          </w:tcPr>
          <w:p w14:paraId="1015FD2A" w14:textId="77777777" w:rsidR="002C0FD9" w:rsidRPr="00CA25CF" w:rsidRDefault="002C0FD9" w:rsidP="00CA25CF">
            <w:pPr>
              <w:rPr>
                <w:rFonts w:cs="Arial"/>
                <w:color w:val="FF0000"/>
                <w:sz w:val="21"/>
                <w:szCs w:val="21"/>
              </w:rPr>
            </w:pPr>
          </w:p>
        </w:tc>
        <w:tc>
          <w:tcPr>
            <w:tcW w:w="217" w:type="dxa"/>
          </w:tcPr>
          <w:p w14:paraId="369DE855" w14:textId="77777777" w:rsidR="002C0FD9" w:rsidRPr="00CA25CF" w:rsidRDefault="002C0FD9" w:rsidP="00CA25CF">
            <w:pPr>
              <w:rPr>
                <w:rFonts w:cs="Arial"/>
                <w:color w:val="FF0000"/>
                <w:sz w:val="21"/>
                <w:szCs w:val="21"/>
              </w:rPr>
            </w:pPr>
          </w:p>
        </w:tc>
        <w:tc>
          <w:tcPr>
            <w:tcW w:w="217" w:type="dxa"/>
          </w:tcPr>
          <w:p w14:paraId="62E6E7EF" w14:textId="77777777" w:rsidR="002C0FD9" w:rsidRPr="00CA25CF" w:rsidRDefault="002C0FD9" w:rsidP="00CA25CF">
            <w:pPr>
              <w:rPr>
                <w:rFonts w:cs="Arial"/>
                <w:color w:val="FF0000"/>
                <w:sz w:val="21"/>
                <w:szCs w:val="21"/>
              </w:rPr>
            </w:pPr>
          </w:p>
        </w:tc>
        <w:tc>
          <w:tcPr>
            <w:tcW w:w="217" w:type="dxa"/>
          </w:tcPr>
          <w:p w14:paraId="4F5C9A9C" w14:textId="77777777" w:rsidR="002C0FD9" w:rsidRPr="00CA25CF" w:rsidRDefault="002C0FD9" w:rsidP="00CA25CF">
            <w:pPr>
              <w:rPr>
                <w:rFonts w:cs="Arial"/>
                <w:color w:val="FF0000"/>
                <w:sz w:val="21"/>
                <w:szCs w:val="21"/>
              </w:rPr>
            </w:pPr>
          </w:p>
        </w:tc>
        <w:tc>
          <w:tcPr>
            <w:tcW w:w="217" w:type="dxa"/>
          </w:tcPr>
          <w:p w14:paraId="2EA423E5" w14:textId="77777777" w:rsidR="002C0FD9" w:rsidRPr="00CA25CF" w:rsidRDefault="002C0FD9" w:rsidP="00CA25CF">
            <w:pPr>
              <w:rPr>
                <w:rFonts w:cs="Arial"/>
                <w:color w:val="FF0000"/>
                <w:sz w:val="21"/>
                <w:szCs w:val="21"/>
              </w:rPr>
            </w:pPr>
          </w:p>
        </w:tc>
        <w:tc>
          <w:tcPr>
            <w:tcW w:w="217" w:type="dxa"/>
          </w:tcPr>
          <w:p w14:paraId="6A01DE22" w14:textId="77777777" w:rsidR="002C0FD9" w:rsidRPr="00CA25CF" w:rsidRDefault="002C0FD9" w:rsidP="00CA25CF">
            <w:pPr>
              <w:rPr>
                <w:rFonts w:cs="Arial"/>
                <w:color w:val="FF0000"/>
                <w:sz w:val="21"/>
                <w:szCs w:val="21"/>
              </w:rPr>
            </w:pPr>
          </w:p>
        </w:tc>
        <w:tc>
          <w:tcPr>
            <w:tcW w:w="217" w:type="dxa"/>
          </w:tcPr>
          <w:p w14:paraId="64B3A54D" w14:textId="77777777" w:rsidR="002C0FD9" w:rsidRPr="00CA25CF" w:rsidRDefault="002C0FD9" w:rsidP="00CA25CF">
            <w:pPr>
              <w:rPr>
                <w:rFonts w:cs="Arial"/>
                <w:color w:val="FF0000"/>
                <w:sz w:val="21"/>
                <w:szCs w:val="21"/>
              </w:rPr>
            </w:pPr>
          </w:p>
        </w:tc>
        <w:tc>
          <w:tcPr>
            <w:tcW w:w="217" w:type="dxa"/>
          </w:tcPr>
          <w:p w14:paraId="5AD96AD7" w14:textId="77777777" w:rsidR="002C0FD9" w:rsidRPr="00CA25CF" w:rsidRDefault="002C0FD9" w:rsidP="00CA25CF">
            <w:pPr>
              <w:rPr>
                <w:rFonts w:cs="Arial"/>
                <w:color w:val="FF0000"/>
                <w:sz w:val="21"/>
                <w:szCs w:val="21"/>
              </w:rPr>
            </w:pPr>
          </w:p>
        </w:tc>
        <w:tc>
          <w:tcPr>
            <w:tcW w:w="217" w:type="dxa"/>
          </w:tcPr>
          <w:p w14:paraId="61E49B36" w14:textId="77777777" w:rsidR="002C0FD9" w:rsidRPr="00CA25CF" w:rsidRDefault="002C0FD9" w:rsidP="00CA25CF">
            <w:pPr>
              <w:rPr>
                <w:rFonts w:cs="Arial"/>
                <w:color w:val="FF0000"/>
                <w:sz w:val="21"/>
                <w:szCs w:val="21"/>
              </w:rPr>
            </w:pPr>
          </w:p>
        </w:tc>
        <w:tc>
          <w:tcPr>
            <w:tcW w:w="217" w:type="dxa"/>
          </w:tcPr>
          <w:p w14:paraId="1A23500B" w14:textId="77777777" w:rsidR="002C0FD9" w:rsidRPr="00CA25CF" w:rsidRDefault="002C0FD9" w:rsidP="00CA25CF">
            <w:pPr>
              <w:rPr>
                <w:rFonts w:cs="Arial"/>
                <w:color w:val="FF0000"/>
                <w:sz w:val="21"/>
                <w:szCs w:val="21"/>
              </w:rPr>
            </w:pPr>
          </w:p>
        </w:tc>
        <w:tc>
          <w:tcPr>
            <w:tcW w:w="217" w:type="dxa"/>
          </w:tcPr>
          <w:p w14:paraId="57C27F46" w14:textId="77777777" w:rsidR="002C0FD9" w:rsidRPr="00CA25CF" w:rsidRDefault="002C0FD9" w:rsidP="00CA25CF">
            <w:pPr>
              <w:rPr>
                <w:rFonts w:cs="Arial"/>
                <w:color w:val="FF0000"/>
                <w:sz w:val="21"/>
                <w:szCs w:val="21"/>
              </w:rPr>
            </w:pPr>
          </w:p>
        </w:tc>
        <w:tc>
          <w:tcPr>
            <w:tcW w:w="217" w:type="dxa"/>
          </w:tcPr>
          <w:p w14:paraId="5B9992FE" w14:textId="77777777" w:rsidR="002C0FD9" w:rsidRPr="00CA25CF" w:rsidRDefault="002C0FD9" w:rsidP="00CA25CF">
            <w:pPr>
              <w:rPr>
                <w:rFonts w:cs="Arial"/>
                <w:color w:val="FF0000"/>
                <w:sz w:val="21"/>
                <w:szCs w:val="21"/>
              </w:rPr>
            </w:pPr>
          </w:p>
        </w:tc>
        <w:tc>
          <w:tcPr>
            <w:tcW w:w="217" w:type="dxa"/>
          </w:tcPr>
          <w:p w14:paraId="2DA91010" w14:textId="77777777" w:rsidR="002C0FD9" w:rsidRPr="00CA25CF" w:rsidRDefault="002C0FD9" w:rsidP="00CA25CF">
            <w:pPr>
              <w:rPr>
                <w:rFonts w:cs="Arial"/>
                <w:color w:val="FF0000"/>
                <w:sz w:val="21"/>
                <w:szCs w:val="21"/>
              </w:rPr>
            </w:pPr>
          </w:p>
        </w:tc>
        <w:tc>
          <w:tcPr>
            <w:tcW w:w="217" w:type="dxa"/>
          </w:tcPr>
          <w:p w14:paraId="49D9FDF8" w14:textId="77777777" w:rsidR="002C0FD9" w:rsidRPr="00CA25CF" w:rsidRDefault="002C0FD9" w:rsidP="00CA25CF">
            <w:pPr>
              <w:rPr>
                <w:rFonts w:cs="Arial"/>
                <w:color w:val="FF0000"/>
                <w:sz w:val="21"/>
                <w:szCs w:val="21"/>
              </w:rPr>
            </w:pPr>
          </w:p>
        </w:tc>
        <w:tc>
          <w:tcPr>
            <w:tcW w:w="217" w:type="dxa"/>
          </w:tcPr>
          <w:p w14:paraId="4AF0E9DC" w14:textId="77777777" w:rsidR="002C0FD9" w:rsidRPr="00CA25CF" w:rsidRDefault="002C0FD9" w:rsidP="00CA25CF">
            <w:pPr>
              <w:rPr>
                <w:rFonts w:cs="Arial"/>
                <w:color w:val="FF0000"/>
                <w:sz w:val="21"/>
                <w:szCs w:val="21"/>
              </w:rPr>
            </w:pPr>
          </w:p>
        </w:tc>
        <w:tc>
          <w:tcPr>
            <w:tcW w:w="217" w:type="dxa"/>
          </w:tcPr>
          <w:p w14:paraId="174883CD" w14:textId="77777777" w:rsidR="002C0FD9" w:rsidRPr="00CA25CF" w:rsidRDefault="002C0FD9" w:rsidP="00CA25CF">
            <w:pPr>
              <w:rPr>
                <w:rFonts w:cs="Arial"/>
                <w:color w:val="FF0000"/>
                <w:sz w:val="21"/>
                <w:szCs w:val="21"/>
              </w:rPr>
            </w:pPr>
          </w:p>
        </w:tc>
        <w:tc>
          <w:tcPr>
            <w:tcW w:w="217" w:type="dxa"/>
          </w:tcPr>
          <w:p w14:paraId="53F51202" w14:textId="77777777" w:rsidR="002C0FD9" w:rsidRPr="00CA25CF" w:rsidRDefault="002C0FD9" w:rsidP="00CA25CF">
            <w:pPr>
              <w:rPr>
                <w:rFonts w:cs="Arial"/>
                <w:color w:val="FF0000"/>
                <w:sz w:val="21"/>
                <w:szCs w:val="21"/>
              </w:rPr>
            </w:pPr>
          </w:p>
        </w:tc>
        <w:tc>
          <w:tcPr>
            <w:tcW w:w="217" w:type="dxa"/>
          </w:tcPr>
          <w:p w14:paraId="7BC0BBF4" w14:textId="77777777" w:rsidR="002C0FD9" w:rsidRPr="00CA25CF" w:rsidRDefault="002C0FD9" w:rsidP="00CA25CF">
            <w:pPr>
              <w:rPr>
                <w:rFonts w:cs="Arial"/>
                <w:color w:val="FF0000"/>
                <w:sz w:val="21"/>
                <w:szCs w:val="21"/>
              </w:rPr>
            </w:pPr>
          </w:p>
        </w:tc>
        <w:tc>
          <w:tcPr>
            <w:tcW w:w="217" w:type="dxa"/>
          </w:tcPr>
          <w:p w14:paraId="167858C8" w14:textId="77777777" w:rsidR="002C0FD9" w:rsidRPr="00CA25CF" w:rsidRDefault="002C0FD9" w:rsidP="00CA25CF">
            <w:pPr>
              <w:rPr>
                <w:rFonts w:cs="Arial"/>
                <w:color w:val="FF0000"/>
                <w:sz w:val="21"/>
                <w:szCs w:val="21"/>
              </w:rPr>
            </w:pPr>
          </w:p>
        </w:tc>
        <w:tc>
          <w:tcPr>
            <w:tcW w:w="217" w:type="dxa"/>
          </w:tcPr>
          <w:p w14:paraId="21F2A34F" w14:textId="77777777" w:rsidR="002C0FD9" w:rsidRPr="00CA25CF" w:rsidRDefault="002C0FD9" w:rsidP="00CA25CF">
            <w:pPr>
              <w:rPr>
                <w:rFonts w:cs="Arial"/>
                <w:color w:val="FF0000"/>
                <w:sz w:val="21"/>
                <w:szCs w:val="21"/>
              </w:rPr>
            </w:pPr>
          </w:p>
        </w:tc>
        <w:tc>
          <w:tcPr>
            <w:tcW w:w="217" w:type="dxa"/>
          </w:tcPr>
          <w:p w14:paraId="746FDF71" w14:textId="77777777" w:rsidR="002C0FD9" w:rsidRPr="00CA25CF" w:rsidRDefault="002C0FD9" w:rsidP="00CA25CF">
            <w:pPr>
              <w:rPr>
                <w:rFonts w:cs="Arial"/>
                <w:color w:val="FF0000"/>
                <w:sz w:val="21"/>
                <w:szCs w:val="21"/>
              </w:rPr>
            </w:pPr>
          </w:p>
        </w:tc>
        <w:tc>
          <w:tcPr>
            <w:tcW w:w="217" w:type="dxa"/>
          </w:tcPr>
          <w:p w14:paraId="02DBF8C7" w14:textId="77777777" w:rsidR="002C0FD9" w:rsidRPr="00CA25CF" w:rsidRDefault="002C0FD9" w:rsidP="00CA25CF">
            <w:pPr>
              <w:rPr>
                <w:rFonts w:cs="Arial"/>
                <w:color w:val="FF0000"/>
                <w:sz w:val="21"/>
                <w:szCs w:val="21"/>
              </w:rPr>
            </w:pPr>
          </w:p>
        </w:tc>
        <w:tc>
          <w:tcPr>
            <w:tcW w:w="217" w:type="dxa"/>
          </w:tcPr>
          <w:p w14:paraId="4BE38E09" w14:textId="77777777" w:rsidR="002C0FD9" w:rsidRPr="00CA25CF" w:rsidRDefault="002C0FD9" w:rsidP="00CA25CF">
            <w:pPr>
              <w:rPr>
                <w:rFonts w:cs="Arial"/>
                <w:color w:val="FF0000"/>
                <w:sz w:val="21"/>
                <w:szCs w:val="21"/>
              </w:rPr>
            </w:pPr>
          </w:p>
        </w:tc>
        <w:tc>
          <w:tcPr>
            <w:tcW w:w="217" w:type="dxa"/>
          </w:tcPr>
          <w:p w14:paraId="73CCBB65" w14:textId="77777777" w:rsidR="002C0FD9" w:rsidRPr="00CA25CF" w:rsidRDefault="002C0FD9" w:rsidP="00CA25CF">
            <w:pPr>
              <w:rPr>
                <w:rFonts w:cs="Arial"/>
                <w:color w:val="FF0000"/>
                <w:sz w:val="21"/>
                <w:szCs w:val="21"/>
              </w:rPr>
            </w:pPr>
          </w:p>
        </w:tc>
        <w:tc>
          <w:tcPr>
            <w:tcW w:w="217" w:type="dxa"/>
          </w:tcPr>
          <w:p w14:paraId="103E1784" w14:textId="77777777" w:rsidR="002C0FD9" w:rsidRPr="00CA25CF" w:rsidRDefault="002C0FD9" w:rsidP="00CA25CF">
            <w:pPr>
              <w:rPr>
                <w:rFonts w:cs="Arial"/>
                <w:color w:val="FF0000"/>
                <w:sz w:val="21"/>
                <w:szCs w:val="21"/>
              </w:rPr>
            </w:pPr>
          </w:p>
        </w:tc>
        <w:tc>
          <w:tcPr>
            <w:tcW w:w="217" w:type="dxa"/>
          </w:tcPr>
          <w:p w14:paraId="3918E62A" w14:textId="77777777" w:rsidR="002C0FD9" w:rsidRPr="00CA25CF" w:rsidRDefault="002C0FD9" w:rsidP="00CA25CF">
            <w:pPr>
              <w:rPr>
                <w:rFonts w:cs="Arial"/>
                <w:color w:val="FF0000"/>
                <w:sz w:val="21"/>
                <w:szCs w:val="21"/>
              </w:rPr>
            </w:pPr>
          </w:p>
        </w:tc>
        <w:tc>
          <w:tcPr>
            <w:tcW w:w="217" w:type="dxa"/>
          </w:tcPr>
          <w:p w14:paraId="0B42B07A" w14:textId="77777777" w:rsidR="002C0FD9" w:rsidRPr="00CA25CF" w:rsidRDefault="002C0FD9" w:rsidP="00CA25CF">
            <w:pPr>
              <w:rPr>
                <w:rFonts w:cs="Arial"/>
                <w:color w:val="FF0000"/>
                <w:sz w:val="21"/>
                <w:szCs w:val="21"/>
              </w:rPr>
            </w:pPr>
          </w:p>
        </w:tc>
        <w:tc>
          <w:tcPr>
            <w:tcW w:w="217" w:type="dxa"/>
          </w:tcPr>
          <w:p w14:paraId="1878FC48" w14:textId="77777777" w:rsidR="002C0FD9" w:rsidRPr="00CA25CF" w:rsidRDefault="002C0FD9" w:rsidP="00CA25CF">
            <w:pPr>
              <w:rPr>
                <w:rFonts w:cs="Arial"/>
                <w:color w:val="FF0000"/>
                <w:sz w:val="21"/>
                <w:szCs w:val="21"/>
              </w:rPr>
            </w:pPr>
          </w:p>
        </w:tc>
        <w:tc>
          <w:tcPr>
            <w:tcW w:w="217" w:type="dxa"/>
          </w:tcPr>
          <w:p w14:paraId="74732654" w14:textId="77777777" w:rsidR="002C0FD9" w:rsidRPr="00CA25CF" w:rsidRDefault="002C0FD9" w:rsidP="00CA25CF">
            <w:pPr>
              <w:rPr>
                <w:rFonts w:cs="Arial"/>
                <w:color w:val="FF0000"/>
                <w:sz w:val="21"/>
                <w:szCs w:val="21"/>
              </w:rPr>
            </w:pPr>
          </w:p>
        </w:tc>
        <w:tc>
          <w:tcPr>
            <w:tcW w:w="217" w:type="dxa"/>
          </w:tcPr>
          <w:p w14:paraId="00924BFF" w14:textId="77777777" w:rsidR="002C0FD9" w:rsidRPr="00CA25CF" w:rsidRDefault="002C0FD9" w:rsidP="00CA25CF">
            <w:pPr>
              <w:rPr>
                <w:rFonts w:cs="Arial"/>
                <w:color w:val="FF0000"/>
                <w:sz w:val="21"/>
                <w:szCs w:val="21"/>
              </w:rPr>
            </w:pPr>
          </w:p>
        </w:tc>
        <w:tc>
          <w:tcPr>
            <w:tcW w:w="217" w:type="dxa"/>
          </w:tcPr>
          <w:p w14:paraId="077A2346" w14:textId="77777777" w:rsidR="002C0FD9" w:rsidRPr="00CA25CF" w:rsidRDefault="002C0FD9" w:rsidP="00CA25CF">
            <w:pPr>
              <w:rPr>
                <w:rFonts w:cs="Arial"/>
                <w:color w:val="FF0000"/>
                <w:sz w:val="21"/>
                <w:szCs w:val="21"/>
              </w:rPr>
            </w:pPr>
          </w:p>
        </w:tc>
        <w:tc>
          <w:tcPr>
            <w:tcW w:w="217" w:type="dxa"/>
          </w:tcPr>
          <w:p w14:paraId="73A7D94B" w14:textId="77777777" w:rsidR="002C0FD9" w:rsidRPr="00CA25CF" w:rsidRDefault="002C0FD9" w:rsidP="00CA25CF">
            <w:pPr>
              <w:rPr>
                <w:rFonts w:cs="Arial"/>
                <w:color w:val="FF0000"/>
                <w:sz w:val="21"/>
                <w:szCs w:val="21"/>
              </w:rPr>
            </w:pPr>
          </w:p>
        </w:tc>
        <w:tc>
          <w:tcPr>
            <w:tcW w:w="217" w:type="dxa"/>
          </w:tcPr>
          <w:p w14:paraId="094805AD" w14:textId="77777777" w:rsidR="002C0FD9" w:rsidRPr="00CA25CF" w:rsidRDefault="002C0FD9" w:rsidP="00CA25CF">
            <w:pPr>
              <w:rPr>
                <w:rFonts w:cs="Arial"/>
                <w:color w:val="FF0000"/>
                <w:sz w:val="21"/>
                <w:szCs w:val="21"/>
              </w:rPr>
            </w:pPr>
          </w:p>
        </w:tc>
        <w:tc>
          <w:tcPr>
            <w:tcW w:w="217" w:type="dxa"/>
          </w:tcPr>
          <w:p w14:paraId="2B0E7D77" w14:textId="77777777" w:rsidR="002C0FD9" w:rsidRPr="00CA25CF" w:rsidRDefault="002C0FD9" w:rsidP="00CA25CF">
            <w:pPr>
              <w:rPr>
                <w:rFonts w:cs="Arial"/>
                <w:color w:val="FF0000"/>
                <w:sz w:val="21"/>
                <w:szCs w:val="21"/>
              </w:rPr>
            </w:pPr>
          </w:p>
        </w:tc>
        <w:tc>
          <w:tcPr>
            <w:tcW w:w="217" w:type="dxa"/>
          </w:tcPr>
          <w:p w14:paraId="65EFF9DF" w14:textId="77777777" w:rsidR="002C0FD9" w:rsidRPr="00CA25CF" w:rsidRDefault="002C0FD9" w:rsidP="00CA25CF">
            <w:pPr>
              <w:rPr>
                <w:rFonts w:cs="Arial"/>
                <w:color w:val="FF0000"/>
                <w:sz w:val="21"/>
                <w:szCs w:val="21"/>
              </w:rPr>
            </w:pPr>
          </w:p>
        </w:tc>
        <w:tc>
          <w:tcPr>
            <w:tcW w:w="217" w:type="dxa"/>
          </w:tcPr>
          <w:p w14:paraId="4251D054" w14:textId="77777777" w:rsidR="002C0FD9" w:rsidRPr="00CA25CF" w:rsidRDefault="002C0FD9" w:rsidP="00CA25CF">
            <w:pPr>
              <w:rPr>
                <w:rFonts w:cs="Arial"/>
                <w:color w:val="FF0000"/>
                <w:sz w:val="21"/>
                <w:szCs w:val="21"/>
              </w:rPr>
            </w:pPr>
          </w:p>
        </w:tc>
        <w:tc>
          <w:tcPr>
            <w:tcW w:w="217" w:type="dxa"/>
          </w:tcPr>
          <w:p w14:paraId="57B20B11" w14:textId="77777777" w:rsidR="002C0FD9" w:rsidRPr="00CA25CF" w:rsidRDefault="002C0FD9" w:rsidP="00CA25CF">
            <w:pPr>
              <w:rPr>
                <w:rFonts w:cs="Arial"/>
                <w:color w:val="FF0000"/>
                <w:sz w:val="21"/>
                <w:szCs w:val="21"/>
              </w:rPr>
            </w:pPr>
          </w:p>
        </w:tc>
        <w:tc>
          <w:tcPr>
            <w:tcW w:w="217" w:type="dxa"/>
          </w:tcPr>
          <w:p w14:paraId="645F823C" w14:textId="77777777" w:rsidR="002C0FD9" w:rsidRPr="00CA25CF" w:rsidRDefault="002C0FD9" w:rsidP="00CA25CF">
            <w:pPr>
              <w:rPr>
                <w:rFonts w:cs="Arial"/>
                <w:color w:val="FF0000"/>
                <w:sz w:val="21"/>
                <w:szCs w:val="21"/>
              </w:rPr>
            </w:pPr>
          </w:p>
        </w:tc>
        <w:tc>
          <w:tcPr>
            <w:tcW w:w="217" w:type="dxa"/>
          </w:tcPr>
          <w:p w14:paraId="3F1429B0" w14:textId="77777777" w:rsidR="002C0FD9" w:rsidRPr="00CA25CF" w:rsidRDefault="002C0FD9" w:rsidP="00CA25CF">
            <w:pPr>
              <w:rPr>
                <w:rFonts w:cs="Arial"/>
                <w:color w:val="FF0000"/>
                <w:sz w:val="21"/>
                <w:szCs w:val="21"/>
              </w:rPr>
            </w:pPr>
          </w:p>
        </w:tc>
      </w:tr>
      <w:tr w:rsidR="002C0FD9" w:rsidRPr="00A16219" w14:paraId="23DE9BA5" w14:textId="0F627CE0" w:rsidTr="002C0FD9">
        <w:trPr>
          <w:trHeight w:val="635"/>
        </w:trPr>
        <w:tc>
          <w:tcPr>
            <w:tcW w:w="515" w:type="dxa"/>
          </w:tcPr>
          <w:p w14:paraId="4D781B1A" w14:textId="77777777" w:rsidR="002C0FD9" w:rsidRPr="00CA25CF" w:rsidRDefault="002C0FD9" w:rsidP="00CA25CF">
            <w:pPr>
              <w:rPr>
                <w:rFonts w:cs="Arial"/>
                <w:color w:val="FF0000"/>
                <w:sz w:val="21"/>
                <w:szCs w:val="21"/>
              </w:rPr>
            </w:pPr>
          </w:p>
        </w:tc>
        <w:tc>
          <w:tcPr>
            <w:tcW w:w="217" w:type="dxa"/>
          </w:tcPr>
          <w:p w14:paraId="72F4FFE8" w14:textId="77777777" w:rsidR="002C0FD9" w:rsidRPr="00CA25CF" w:rsidRDefault="002C0FD9" w:rsidP="00CA25CF">
            <w:pPr>
              <w:rPr>
                <w:rFonts w:cs="Arial"/>
                <w:color w:val="FF0000"/>
                <w:sz w:val="21"/>
                <w:szCs w:val="21"/>
              </w:rPr>
            </w:pPr>
          </w:p>
        </w:tc>
        <w:tc>
          <w:tcPr>
            <w:tcW w:w="217" w:type="dxa"/>
          </w:tcPr>
          <w:p w14:paraId="13B49541" w14:textId="3F4270FA" w:rsidR="002C0FD9" w:rsidRPr="00CA25CF" w:rsidRDefault="002C0FD9" w:rsidP="00CA25CF">
            <w:pPr>
              <w:rPr>
                <w:rFonts w:cs="Arial"/>
                <w:color w:val="FF0000"/>
                <w:sz w:val="21"/>
                <w:szCs w:val="21"/>
              </w:rPr>
            </w:pPr>
          </w:p>
        </w:tc>
        <w:tc>
          <w:tcPr>
            <w:tcW w:w="217" w:type="dxa"/>
          </w:tcPr>
          <w:p w14:paraId="11CEAC2B" w14:textId="77777777" w:rsidR="002C0FD9" w:rsidRPr="00CA25CF" w:rsidRDefault="002C0FD9" w:rsidP="00CA25CF">
            <w:pPr>
              <w:rPr>
                <w:rFonts w:cs="Arial"/>
                <w:color w:val="FF0000"/>
                <w:sz w:val="21"/>
                <w:szCs w:val="21"/>
              </w:rPr>
            </w:pPr>
          </w:p>
        </w:tc>
        <w:tc>
          <w:tcPr>
            <w:tcW w:w="217" w:type="dxa"/>
          </w:tcPr>
          <w:p w14:paraId="40AFA106" w14:textId="77777777" w:rsidR="002C0FD9" w:rsidRPr="00CA25CF" w:rsidRDefault="002C0FD9" w:rsidP="00CA25CF">
            <w:pPr>
              <w:rPr>
                <w:rFonts w:cs="Arial"/>
                <w:color w:val="FF0000"/>
                <w:sz w:val="21"/>
                <w:szCs w:val="21"/>
              </w:rPr>
            </w:pPr>
          </w:p>
        </w:tc>
        <w:tc>
          <w:tcPr>
            <w:tcW w:w="217" w:type="dxa"/>
          </w:tcPr>
          <w:p w14:paraId="2CC12DE2" w14:textId="77777777" w:rsidR="002C0FD9" w:rsidRPr="00CA25CF" w:rsidRDefault="002C0FD9" w:rsidP="00CA25CF">
            <w:pPr>
              <w:rPr>
                <w:rFonts w:cs="Arial"/>
                <w:color w:val="FF0000"/>
                <w:sz w:val="21"/>
                <w:szCs w:val="21"/>
              </w:rPr>
            </w:pPr>
          </w:p>
        </w:tc>
        <w:tc>
          <w:tcPr>
            <w:tcW w:w="217" w:type="dxa"/>
          </w:tcPr>
          <w:p w14:paraId="0A0A149E" w14:textId="77777777" w:rsidR="002C0FD9" w:rsidRPr="00CA25CF" w:rsidRDefault="002C0FD9" w:rsidP="00CA25CF">
            <w:pPr>
              <w:rPr>
                <w:rFonts w:cs="Arial"/>
                <w:color w:val="FF0000"/>
                <w:sz w:val="21"/>
                <w:szCs w:val="21"/>
              </w:rPr>
            </w:pPr>
          </w:p>
        </w:tc>
        <w:tc>
          <w:tcPr>
            <w:tcW w:w="217" w:type="dxa"/>
          </w:tcPr>
          <w:p w14:paraId="3FC598E3" w14:textId="77777777" w:rsidR="002C0FD9" w:rsidRPr="00CA25CF" w:rsidRDefault="002C0FD9" w:rsidP="00CA25CF">
            <w:pPr>
              <w:rPr>
                <w:rFonts w:cs="Arial"/>
                <w:color w:val="FF0000"/>
                <w:sz w:val="21"/>
                <w:szCs w:val="21"/>
              </w:rPr>
            </w:pPr>
          </w:p>
        </w:tc>
        <w:tc>
          <w:tcPr>
            <w:tcW w:w="217" w:type="dxa"/>
          </w:tcPr>
          <w:p w14:paraId="1A870BBE" w14:textId="77777777" w:rsidR="002C0FD9" w:rsidRPr="00CA25CF" w:rsidRDefault="002C0FD9" w:rsidP="00CA25CF">
            <w:pPr>
              <w:rPr>
                <w:rFonts w:cs="Arial"/>
                <w:color w:val="FF0000"/>
                <w:sz w:val="21"/>
                <w:szCs w:val="21"/>
              </w:rPr>
            </w:pPr>
          </w:p>
        </w:tc>
        <w:tc>
          <w:tcPr>
            <w:tcW w:w="217" w:type="dxa"/>
          </w:tcPr>
          <w:p w14:paraId="49DA323E" w14:textId="77777777" w:rsidR="002C0FD9" w:rsidRPr="00CA25CF" w:rsidRDefault="002C0FD9" w:rsidP="00CA25CF">
            <w:pPr>
              <w:rPr>
                <w:rFonts w:cs="Arial"/>
                <w:color w:val="FF0000"/>
                <w:sz w:val="21"/>
                <w:szCs w:val="21"/>
              </w:rPr>
            </w:pPr>
          </w:p>
        </w:tc>
        <w:tc>
          <w:tcPr>
            <w:tcW w:w="217" w:type="dxa"/>
          </w:tcPr>
          <w:p w14:paraId="52C65388" w14:textId="77777777" w:rsidR="002C0FD9" w:rsidRPr="00CA25CF" w:rsidRDefault="002C0FD9" w:rsidP="00CA25CF">
            <w:pPr>
              <w:rPr>
                <w:rFonts w:cs="Arial"/>
                <w:color w:val="FF0000"/>
                <w:sz w:val="21"/>
                <w:szCs w:val="21"/>
              </w:rPr>
            </w:pPr>
          </w:p>
        </w:tc>
        <w:tc>
          <w:tcPr>
            <w:tcW w:w="217" w:type="dxa"/>
          </w:tcPr>
          <w:p w14:paraId="1D7F6E89" w14:textId="77777777" w:rsidR="002C0FD9" w:rsidRPr="00CA25CF" w:rsidRDefault="002C0FD9" w:rsidP="00CA25CF">
            <w:pPr>
              <w:rPr>
                <w:rFonts w:cs="Arial"/>
                <w:color w:val="FF0000"/>
                <w:sz w:val="21"/>
                <w:szCs w:val="21"/>
              </w:rPr>
            </w:pPr>
          </w:p>
        </w:tc>
        <w:tc>
          <w:tcPr>
            <w:tcW w:w="217" w:type="dxa"/>
          </w:tcPr>
          <w:p w14:paraId="3CC0475A" w14:textId="77777777" w:rsidR="002C0FD9" w:rsidRPr="00CA25CF" w:rsidRDefault="002C0FD9" w:rsidP="00CA25CF">
            <w:pPr>
              <w:rPr>
                <w:rFonts w:cs="Arial"/>
                <w:color w:val="FF0000"/>
                <w:sz w:val="21"/>
                <w:szCs w:val="21"/>
              </w:rPr>
            </w:pPr>
          </w:p>
        </w:tc>
        <w:tc>
          <w:tcPr>
            <w:tcW w:w="217" w:type="dxa"/>
          </w:tcPr>
          <w:p w14:paraId="377E0969" w14:textId="77777777" w:rsidR="002C0FD9" w:rsidRPr="00CA25CF" w:rsidRDefault="002C0FD9" w:rsidP="00CA25CF">
            <w:pPr>
              <w:rPr>
                <w:rFonts w:cs="Arial"/>
                <w:color w:val="FF0000"/>
                <w:sz w:val="21"/>
                <w:szCs w:val="21"/>
              </w:rPr>
            </w:pPr>
          </w:p>
        </w:tc>
        <w:tc>
          <w:tcPr>
            <w:tcW w:w="217" w:type="dxa"/>
          </w:tcPr>
          <w:p w14:paraId="793BC015" w14:textId="77777777" w:rsidR="002C0FD9" w:rsidRPr="00CA25CF" w:rsidRDefault="002C0FD9" w:rsidP="00CA25CF">
            <w:pPr>
              <w:rPr>
                <w:rFonts w:cs="Arial"/>
                <w:color w:val="FF0000"/>
                <w:sz w:val="21"/>
                <w:szCs w:val="21"/>
              </w:rPr>
            </w:pPr>
          </w:p>
        </w:tc>
        <w:tc>
          <w:tcPr>
            <w:tcW w:w="217" w:type="dxa"/>
          </w:tcPr>
          <w:p w14:paraId="0444D5A7" w14:textId="77777777" w:rsidR="002C0FD9" w:rsidRPr="00CA25CF" w:rsidRDefault="002C0FD9" w:rsidP="00CA25CF">
            <w:pPr>
              <w:rPr>
                <w:rFonts w:cs="Arial"/>
                <w:color w:val="FF0000"/>
                <w:sz w:val="21"/>
                <w:szCs w:val="21"/>
              </w:rPr>
            </w:pPr>
          </w:p>
        </w:tc>
        <w:tc>
          <w:tcPr>
            <w:tcW w:w="217" w:type="dxa"/>
          </w:tcPr>
          <w:p w14:paraId="5FC50A0F" w14:textId="77777777" w:rsidR="002C0FD9" w:rsidRPr="00CA25CF" w:rsidRDefault="002C0FD9" w:rsidP="00CA25CF">
            <w:pPr>
              <w:rPr>
                <w:rFonts w:cs="Arial"/>
                <w:color w:val="FF0000"/>
                <w:sz w:val="21"/>
                <w:szCs w:val="21"/>
              </w:rPr>
            </w:pPr>
          </w:p>
        </w:tc>
        <w:tc>
          <w:tcPr>
            <w:tcW w:w="217" w:type="dxa"/>
          </w:tcPr>
          <w:p w14:paraId="251FC99A" w14:textId="77777777" w:rsidR="002C0FD9" w:rsidRPr="00CA25CF" w:rsidRDefault="002C0FD9" w:rsidP="00CA25CF">
            <w:pPr>
              <w:rPr>
                <w:rFonts w:cs="Arial"/>
                <w:color w:val="FF0000"/>
                <w:sz w:val="21"/>
                <w:szCs w:val="21"/>
              </w:rPr>
            </w:pPr>
          </w:p>
        </w:tc>
        <w:tc>
          <w:tcPr>
            <w:tcW w:w="217" w:type="dxa"/>
          </w:tcPr>
          <w:p w14:paraId="4F85DEDA" w14:textId="77777777" w:rsidR="002C0FD9" w:rsidRPr="00CA25CF" w:rsidRDefault="002C0FD9" w:rsidP="00CA25CF">
            <w:pPr>
              <w:rPr>
                <w:rFonts w:cs="Arial"/>
                <w:color w:val="FF0000"/>
                <w:sz w:val="21"/>
                <w:szCs w:val="21"/>
              </w:rPr>
            </w:pPr>
          </w:p>
        </w:tc>
        <w:tc>
          <w:tcPr>
            <w:tcW w:w="217" w:type="dxa"/>
          </w:tcPr>
          <w:p w14:paraId="5DC33D17" w14:textId="77777777" w:rsidR="002C0FD9" w:rsidRPr="00CA25CF" w:rsidRDefault="002C0FD9" w:rsidP="00CA25CF">
            <w:pPr>
              <w:rPr>
                <w:rFonts w:cs="Arial"/>
                <w:color w:val="FF0000"/>
                <w:sz w:val="21"/>
                <w:szCs w:val="21"/>
              </w:rPr>
            </w:pPr>
          </w:p>
        </w:tc>
        <w:tc>
          <w:tcPr>
            <w:tcW w:w="217" w:type="dxa"/>
          </w:tcPr>
          <w:p w14:paraId="260B8AC7" w14:textId="77777777" w:rsidR="002C0FD9" w:rsidRPr="00CA25CF" w:rsidRDefault="002C0FD9" w:rsidP="00CA25CF">
            <w:pPr>
              <w:rPr>
                <w:rFonts w:cs="Arial"/>
                <w:color w:val="FF0000"/>
                <w:sz w:val="21"/>
                <w:szCs w:val="21"/>
              </w:rPr>
            </w:pPr>
          </w:p>
        </w:tc>
        <w:tc>
          <w:tcPr>
            <w:tcW w:w="217" w:type="dxa"/>
          </w:tcPr>
          <w:p w14:paraId="23D7AB98" w14:textId="77777777" w:rsidR="002C0FD9" w:rsidRPr="00CA25CF" w:rsidRDefault="002C0FD9" w:rsidP="00CA25CF">
            <w:pPr>
              <w:rPr>
                <w:rFonts w:cs="Arial"/>
                <w:color w:val="FF0000"/>
                <w:sz w:val="21"/>
                <w:szCs w:val="21"/>
              </w:rPr>
            </w:pPr>
          </w:p>
        </w:tc>
        <w:tc>
          <w:tcPr>
            <w:tcW w:w="217" w:type="dxa"/>
          </w:tcPr>
          <w:p w14:paraId="505D5738" w14:textId="77777777" w:rsidR="002C0FD9" w:rsidRPr="00CA25CF" w:rsidRDefault="002C0FD9" w:rsidP="00CA25CF">
            <w:pPr>
              <w:rPr>
                <w:rFonts w:cs="Arial"/>
                <w:color w:val="FF0000"/>
                <w:sz w:val="21"/>
                <w:szCs w:val="21"/>
              </w:rPr>
            </w:pPr>
          </w:p>
        </w:tc>
        <w:tc>
          <w:tcPr>
            <w:tcW w:w="217" w:type="dxa"/>
          </w:tcPr>
          <w:p w14:paraId="27E7E1E0" w14:textId="77777777" w:rsidR="002C0FD9" w:rsidRPr="00CA25CF" w:rsidRDefault="002C0FD9" w:rsidP="00CA25CF">
            <w:pPr>
              <w:rPr>
                <w:rFonts w:cs="Arial"/>
                <w:color w:val="FF0000"/>
                <w:sz w:val="21"/>
                <w:szCs w:val="21"/>
              </w:rPr>
            </w:pPr>
          </w:p>
        </w:tc>
        <w:tc>
          <w:tcPr>
            <w:tcW w:w="217" w:type="dxa"/>
          </w:tcPr>
          <w:p w14:paraId="05D122C0" w14:textId="77777777" w:rsidR="002C0FD9" w:rsidRPr="00CA25CF" w:rsidRDefault="002C0FD9" w:rsidP="00CA25CF">
            <w:pPr>
              <w:rPr>
                <w:rFonts w:cs="Arial"/>
                <w:color w:val="FF0000"/>
                <w:sz w:val="21"/>
                <w:szCs w:val="21"/>
              </w:rPr>
            </w:pPr>
          </w:p>
        </w:tc>
        <w:tc>
          <w:tcPr>
            <w:tcW w:w="217" w:type="dxa"/>
          </w:tcPr>
          <w:p w14:paraId="432EC118" w14:textId="77777777" w:rsidR="002C0FD9" w:rsidRPr="00CA25CF" w:rsidRDefault="002C0FD9" w:rsidP="00CA25CF">
            <w:pPr>
              <w:rPr>
                <w:rFonts w:cs="Arial"/>
                <w:color w:val="FF0000"/>
                <w:sz w:val="21"/>
                <w:szCs w:val="21"/>
              </w:rPr>
            </w:pPr>
          </w:p>
        </w:tc>
        <w:tc>
          <w:tcPr>
            <w:tcW w:w="217" w:type="dxa"/>
          </w:tcPr>
          <w:p w14:paraId="73B28909" w14:textId="77777777" w:rsidR="002C0FD9" w:rsidRPr="00CA25CF" w:rsidRDefault="002C0FD9" w:rsidP="00CA25CF">
            <w:pPr>
              <w:rPr>
                <w:rFonts w:cs="Arial"/>
                <w:color w:val="FF0000"/>
                <w:sz w:val="21"/>
                <w:szCs w:val="21"/>
              </w:rPr>
            </w:pPr>
          </w:p>
        </w:tc>
        <w:tc>
          <w:tcPr>
            <w:tcW w:w="217" w:type="dxa"/>
          </w:tcPr>
          <w:p w14:paraId="23401DE0" w14:textId="77777777" w:rsidR="002C0FD9" w:rsidRPr="00CA25CF" w:rsidRDefault="002C0FD9" w:rsidP="00CA25CF">
            <w:pPr>
              <w:rPr>
                <w:rFonts w:cs="Arial"/>
                <w:color w:val="FF0000"/>
                <w:sz w:val="21"/>
                <w:szCs w:val="21"/>
              </w:rPr>
            </w:pPr>
          </w:p>
        </w:tc>
        <w:tc>
          <w:tcPr>
            <w:tcW w:w="217" w:type="dxa"/>
          </w:tcPr>
          <w:p w14:paraId="6DC6DABC" w14:textId="77777777" w:rsidR="002C0FD9" w:rsidRPr="00CA25CF" w:rsidRDefault="002C0FD9" w:rsidP="00CA25CF">
            <w:pPr>
              <w:rPr>
                <w:rFonts w:cs="Arial"/>
                <w:color w:val="FF0000"/>
                <w:sz w:val="21"/>
                <w:szCs w:val="21"/>
              </w:rPr>
            </w:pPr>
          </w:p>
        </w:tc>
        <w:tc>
          <w:tcPr>
            <w:tcW w:w="217" w:type="dxa"/>
          </w:tcPr>
          <w:p w14:paraId="00C25FA1" w14:textId="77777777" w:rsidR="002C0FD9" w:rsidRPr="00CA25CF" w:rsidRDefault="002C0FD9" w:rsidP="00CA25CF">
            <w:pPr>
              <w:rPr>
                <w:rFonts w:cs="Arial"/>
                <w:color w:val="FF0000"/>
                <w:sz w:val="21"/>
                <w:szCs w:val="21"/>
              </w:rPr>
            </w:pPr>
          </w:p>
        </w:tc>
        <w:tc>
          <w:tcPr>
            <w:tcW w:w="217" w:type="dxa"/>
          </w:tcPr>
          <w:p w14:paraId="3BDB443C" w14:textId="77777777" w:rsidR="002C0FD9" w:rsidRPr="00CA25CF" w:rsidRDefault="002C0FD9" w:rsidP="00CA25CF">
            <w:pPr>
              <w:rPr>
                <w:rFonts w:cs="Arial"/>
                <w:color w:val="FF0000"/>
                <w:sz w:val="21"/>
                <w:szCs w:val="21"/>
              </w:rPr>
            </w:pPr>
          </w:p>
        </w:tc>
        <w:tc>
          <w:tcPr>
            <w:tcW w:w="217" w:type="dxa"/>
          </w:tcPr>
          <w:p w14:paraId="65D573BC" w14:textId="77777777" w:rsidR="002C0FD9" w:rsidRPr="00CA25CF" w:rsidRDefault="002C0FD9" w:rsidP="00CA25CF">
            <w:pPr>
              <w:rPr>
                <w:rFonts w:cs="Arial"/>
                <w:color w:val="FF0000"/>
                <w:sz w:val="21"/>
                <w:szCs w:val="21"/>
              </w:rPr>
            </w:pPr>
          </w:p>
        </w:tc>
        <w:tc>
          <w:tcPr>
            <w:tcW w:w="217" w:type="dxa"/>
          </w:tcPr>
          <w:p w14:paraId="48C5D29B" w14:textId="77777777" w:rsidR="002C0FD9" w:rsidRPr="00CA25CF" w:rsidRDefault="002C0FD9" w:rsidP="00CA25CF">
            <w:pPr>
              <w:rPr>
                <w:rFonts w:cs="Arial"/>
                <w:color w:val="FF0000"/>
                <w:sz w:val="21"/>
                <w:szCs w:val="21"/>
              </w:rPr>
            </w:pPr>
          </w:p>
        </w:tc>
        <w:tc>
          <w:tcPr>
            <w:tcW w:w="217" w:type="dxa"/>
          </w:tcPr>
          <w:p w14:paraId="682D5FF2" w14:textId="77777777" w:rsidR="002C0FD9" w:rsidRPr="00CA25CF" w:rsidRDefault="002C0FD9" w:rsidP="00CA25CF">
            <w:pPr>
              <w:rPr>
                <w:rFonts w:cs="Arial"/>
                <w:color w:val="FF0000"/>
                <w:sz w:val="21"/>
                <w:szCs w:val="21"/>
              </w:rPr>
            </w:pPr>
          </w:p>
        </w:tc>
        <w:tc>
          <w:tcPr>
            <w:tcW w:w="217" w:type="dxa"/>
          </w:tcPr>
          <w:p w14:paraId="2FC6A660" w14:textId="77777777" w:rsidR="002C0FD9" w:rsidRPr="00CA25CF" w:rsidRDefault="002C0FD9" w:rsidP="00CA25CF">
            <w:pPr>
              <w:rPr>
                <w:rFonts w:cs="Arial"/>
                <w:color w:val="FF0000"/>
                <w:sz w:val="21"/>
                <w:szCs w:val="21"/>
              </w:rPr>
            </w:pPr>
          </w:p>
        </w:tc>
        <w:tc>
          <w:tcPr>
            <w:tcW w:w="217" w:type="dxa"/>
          </w:tcPr>
          <w:p w14:paraId="72E97415" w14:textId="77777777" w:rsidR="002C0FD9" w:rsidRPr="00CA25CF" w:rsidRDefault="002C0FD9" w:rsidP="00CA25CF">
            <w:pPr>
              <w:rPr>
                <w:rFonts w:cs="Arial"/>
                <w:color w:val="FF0000"/>
                <w:sz w:val="21"/>
                <w:szCs w:val="21"/>
              </w:rPr>
            </w:pPr>
          </w:p>
        </w:tc>
        <w:tc>
          <w:tcPr>
            <w:tcW w:w="217" w:type="dxa"/>
          </w:tcPr>
          <w:p w14:paraId="01174736" w14:textId="77777777" w:rsidR="002C0FD9" w:rsidRPr="00CA25CF" w:rsidRDefault="002C0FD9" w:rsidP="00CA25CF">
            <w:pPr>
              <w:rPr>
                <w:rFonts w:cs="Arial"/>
                <w:color w:val="FF0000"/>
                <w:sz w:val="21"/>
                <w:szCs w:val="21"/>
              </w:rPr>
            </w:pPr>
          </w:p>
        </w:tc>
        <w:tc>
          <w:tcPr>
            <w:tcW w:w="217" w:type="dxa"/>
          </w:tcPr>
          <w:p w14:paraId="7513A693" w14:textId="77777777" w:rsidR="002C0FD9" w:rsidRPr="00CA25CF" w:rsidRDefault="002C0FD9" w:rsidP="00CA25CF">
            <w:pPr>
              <w:rPr>
                <w:rFonts w:cs="Arial"/>
                <w:color w:val="FF0000"/>
                <w:sz w:val="21"/>
                <w:szCs w:val="21"/>
              </w:rPr>
            </w:pPr>
          </w:p>
        </w:tc>
        <w:tc>
          <w:tcPr>
            <w:tcW w:w="217" w:type="dxa"/>
          </w:tcPr>
          <w:p w14:paraId="0DEA4BF2" w14:textId="77777777" w:rsidR="002C0FD9" w:rsidRPr="00CA25CF" w:rsidRDefault="002C0FD9" w:rsidP="00CA25CF">
            <w:pPr>
              <w:rPr>
                <w:rFonts w:cs="Arial"/>
                <w:color w:val="FF0000"/>
                <w:sz w:val="21"/>
                <w:szCs w:val="21"/>
              </w:rPr>
            </w:pPr>
          </w:p>
        </w:tc>
        <w:tc>
          <w:tcPr>
            <w:tcW w:w="217" w:type="dxa"/>
          </w:tcPr>
          <w:p w14:paraId="70702933" w14:textId="77777777" w:rsidR="002C0FD9" w:rsidRPr="00CA25CF" w:rsidRDefault="002C0FD9" w:rsidP="00CA25CF">
            <w:pPr>
              <w:rPr>
                <w:rFonts w:cs="Arial"/>
                <w:color w:val="FF0000"/>
                <w:sz w:val="21"/>
                <w:szCs w:val="21"/>
              </w:rPr>
            </w:pPr>
          </w:p>
        </w:tc>
        <w:tc>
          <w:tcPr>
            <w:tcW w:w="217" w:type="dxa"/>
          </w:tcPr>
          <w:p w14:paraId="19E982C4" w14:textId="77777777" w:rsidR="002C0FD9" w:rsidRPr="00CA25CF" w:rsidRDefault="002C0FD9" w:rsidP="00CA25CF">
            <w:pPr>
              <w:rPr>
                <w:rFonts w:cs="Arial"/>
                <w:color w:val="FF0000"/>
                <w:sz w:val="21"/>
                <w:szCs w:val="21"/>
              </w:rPr>
            </w:pPr>
          </w:p>
        </w:tc>
        <w:tc>
          <w:tcPr>
            <w:tcW w:w="217" w:type="dxa"/>
          </w:tcPr>
          <w:p w14:paraId="2E4A48A2" w14:textId="77777777" w:rsidR="002C0FD9" w:rsidRPr="00CA25CF" w:rsidRDefault="002C0FD9" w:rsidP="00CA25CF">
            <w:pPr>
              <w:rPr>
                <w:rFonts w:cs="Arial"/>
                <w:color w:val="FF0000"/>
                <w:sz w:val="21"/>
                <w:szCs w:val="21"/>
              </w:rPr>
            </w:pPr>
          </w:p>
        </w:tc>
        <w:tc>
          <w:tcPr>
            <w:tcW w:w="217" w:type="dxa"/>
          </w:tcPr>
          <w:p w14:paraId="72D147DD" w14:textId="77777777" w:rsidR="002C0FD9" w:rsidRPr="00CA25CF" w:rsidRDefault="002C0FD9" w:rsidP="00CA25CF">
            <w:pPr>
              <w:rPr>
                <w:rFonts w:cs="Arial"/>
                <w:color w:val="FF0000"/>
                <w:sz w:val="21"/>
                <w:szCs w:val="21"/>
              </w:rPr>
            </w:pPr>
          </w:p>
        </w:tc>
      </w:tr>
      <w:tr w:rsidR="002C0FD9" w:rsidRPr="00A16219" w14:paraId="548F0DFA" w14:textId="26AC5CB3" w:rsidTr="002C0FD9">
        <w:trPr>
          <w:trHeight w:val="635"/>
        </w:trPr>
        <w:tc>
          <w:tcPr>
            <w:tcW w:w="515" w:type="dxa"/>
          </w:tcPr>
          <w:p w14:paraId="2E05CFFA" w14:textId="77777777" w:rsidR="002C0FD9" w:rsidRPr="00CA25CF" w:rsidRDefault="002C0FD9" w:rsidP="00CA25CF">
            <w:pPr>
              <w:rPr>
                <w:rFonts w:cs="Arial"/>
                <w:color w:val="FF0000"/>
                <w:sz w:val="21"/>
                <w:szCs w:val="21"/>
              </w:rPr>
            </w:pPr>
          </w:p>
        </w:tc>
        <w:tc>
          <w:tcPr>
            <w:tcW w:w="217" w:type="dxa"/>
          </w:tcPr>
          <w:p w14:paraId="0CF56DFC" w14:textId="77777777" w:rsidR="002C0FD9" w:rsidRPr="00CA25CF" w:rsidRDefault="002C0FD9" w:rsidP="00CA25CF">
            <w:pPr>
              <w:rPr>
                <w:rFonts w:cs="Arial"/>
                <w:color w:val="FF0000"/>
                <w:sz w:val="21"/>
                <w:szCs w:val="21"/>
              </w:rPr>
            </w:pPr>
          </w:p>
        </w:tc>
        <w:tc>
          <w:tcPr>
            <w:tcW w:w="217" w:type="dxa"/>
          </w:tcPr>
          <w:p w14:paraId="300864CA" w14:textId="53CA24DF" w:rsidR="002C0FD9" w:rsidRPr="00CA25CF" w:rsidRDefault="002C0FD9" w:rsidP="00CA25CF">
            <w:pPr>
              <w:rPr>
                <w:rFonts w:cs="Arial"/>
                <w:color w:val="FF0000"/>
                <w:sz w:val="21"/>
                <w:szCs w:val="21"/>
              </w:rPr>
            </w:pPr>
          </w:p>
        </w:tc>
        <w:tc>
          <w:tcPr>
            <w:tcW w:w="217" w:type="dxa"/>
          </w:tcPr>
          <w:p w14:paraId="4D0F7159" w14:textId="77777777" w:rsidR="002C0FD9" w:rsidRPr="00CA25CF" w:rsidRDefault="002C0FD9" w:rsidP="00CA25CF">
            <w:pPr>
              <w:rPr>
                <w:rFonts w:cs="Arial"/>
                <w:color w:val="FF0000"/>
                <w:sz w:val="21"/>
                <w:szCs w:val="21"/>
              </w:rPr>
            </w:pPr>
          </w:p>
        </w:tc>
        <w:tc>
          <w:tcPr>
            <w:tcW w:w="217" w:type="dxa"/>
          </w:tcPr>
          <w:p w14:paraId="647C469C" w14:textId="77777777" w:rsidR="002C0FD9" w:rsidRPr="00CA25CF" w:rsidRDefault="002C0FD9" w:rsidP="00CA25CF">
            <w:pPr>
              <w:rPr>
                <w:rFonts w:cs="Arial"/>
                <w:color w:val="FF0000"/>
                <w:sz w:val="21"/>
                <w:szCs w:val="21"/>
              </w:rPr>
            </w:pPr>
          </w:p>
        </w:tc>
        <w:tc>
          <w:tcPr>
            <w:tcW w:w="217" w:type="dxa"/>
          </w:tcPr>
          <w:p w14:paraId="0EADC25D" w14:textId="77777777" w:rsidR="002C0FD9" w:rsidRPr="00CA25CF" w:rsidRDefault="002C0FD9" w:rsidP="00CA25CF">
            <w:pPr>
              <w:rPr>
                <w:rFonts w:cs="Arial"/>
                <w:color w:val="FF0000"/>
                <w:sz w:val="21"/>
                <w:szCs w:val="21"/>
              </w:rPr>
            </w:pPr>
          </w:p>
        </w:tc>
        <w:tc>
          <w:tcPr>
            <w:tcW w:w="217" w:type="dxa"/>
          </w:tcPr>
          <w:p w14:paraId="3B062EA5" w14:textId="77777777" w:rsidR="002C0FD9" w:rsidRPr="00CA25CF" w:rsidRDefault="002C0FD9" w:rsidP="00CA25CF">
            <w:pPr>
              <w:rPr>
                <w:rFonts w:cs="Arial"/>
                <w:color w:val="FF0000"/>
                <w:sz w:val="21"/>
                <w:szCs w:val="21"/>
              </w:rPr>
            </w:pPr>
          </w:p>
        </w:tc>
        <w:tc>
          <w:tcPr>
            <w:tcW w:w="217" w:type="dxa"/>
          </w:tcPr>
          <w:p w14:paraId="77384701" w14:textId="77777777" w:rsidR="002C0FD9" w:rsidRPr="00CA25CF" w:rsidRDefault="002C0FD9" w:rsidP="00CA25CF">
            <w:pPr>
              <w:rPr>
                <w:rFonts w:cs="Arial"/>
                <w:color w:val="FF0000"/>
                <w:sz w:val="21"/>
                <w:szCs w:val="21"/>
              </w:rPr>
            </w:pPr>
          </w:p>
        </w:tc>
        <w:tc>
          <w:tcPr>
            <w:tcW w:w="217" w:type="dxa"/>
          </w:tcPr>
          <w:p w14:paraId="4508F41D" w14:textId="77777777" w:rsidR="002C0FD9" w:rsidRPr="00CA25CF" w:rsidRDefault="002C0FD9" w:rsidP="00CA25CF">
            <w:pPr>
              <w:rPr>
                <w:rFonts w:cs="Arial"/>
                <w:color w:val="FF0000"/>
                <w:sz w:val="21"/>
                <w:szCs w:val="21"/>
              </w:rPr>
            </w:pPr>
          </w:p>
        </w:tc>
        <w:tc>
          <w:tcPr>
            <w:tcW w:w="217" w:type="dxa"/>
          </w:tcPr>
          <w:p w14:paraId="0389D508" w14:textId="77777777" w:rsidR="002C0FD9" w:rsidRPr="00CA25CF" w:rsidRDefault="002C0FD9" w:rsidP="00CA25CF">
            <w:pPr>
              <w:rPr>
                <w:rFonts w:cs="Arial"/>
                <w:color w:val="FF0000"/>
                <w:sz w:val="21"/>
                <w:szCs w:val="21"/>
              </w:rPr>
            </w:pPr>
          </w:p>
        </w:tc>
        <w:tc>
          <w:tcPr>
            <w:tcW w:w="217" w:type="dxa"/>
          </w:tcPr>
          <w:p w14:paraId="59BE34E0" w14:textId="77777777" w:rsidR="002C0FD9" w:rsidRPr="00CA25CF" w:rsidRDefault="002C0FD9" w:rsidP="00CA25CF">
            <w:pPr>
              <w:rPr>
                <w:rFonts w:cs="Arial"/>
                <w:color w:val="FF0000"/>
                <w:sz w:val="21"/>
                <w:szCs w:val="21"/>
              </w:rPr>
            </w:pPr>
          </w:p>
        </w:tc>
        <w:tc>
          <w:tcPr>
            <w:tcW w:w="217" w:type="dxa"/>
          </w:tcPr>
          <w:p w14:paraId="70FF4C37" w14:textId="77777777" w:rsidR="002C0FD9" w:rsidRPr="00CA25CF" w:rsidRDefault="002C0FD9" w:rsidP="00CA25CF">
            <w:pPr>
              <w:rPr>
                <w:rFonts w:cs="Arial"/>
                <w:color w:val="FF0000"/>
                <w:sz w:val="21"/>
                <w:szCs w:val="21"/>
              </w:rPr>
            </w:pPr>
          </w:p>
        </w:tc>
        <w:tc>
          <w:tcPr>
            <w:tcW w:w="217" w:type="dxa"/>
          </w:tcPr>
          <w:p w14:paraId="0D1BC7D4" w14:textId="77777777" w:rsidR="002C0FD9" w:rsidRPr="00CA25CF" w:rsidRDefault="002C0FD9" w:rsidP="00CA25CF">
            <w:pPr>
              <w:rPr>
                <w:rFonts w:cs="Arial"/>
                <w:color w:val="FF0000"/>
                <w:sz w:val="21"/>
                <w:szCs w:val="21"/>
              </w:rPr>
            </w:pPr>
          </w:p>
        </w:tc>
        <w:tc>
          <w:tcPr>
            <w:tcW w:w="217" w:type="dxa"/>
          </w:tcPr>
          <w:p w14:paraId="7DCDCE6D" w14:textId="77777777" w:rsidR="002C0FD9" w:rsidRPr="00CA25CF" w:rsidRDefault="002C0FD9" w:rsidP="00CA25CF">
            <w:pPr>
              <w:rPr>
                <w:rFonts w:cs="Arial"/>
                <w:color w:val="FF0000"/>
                <w:sz w:val="21"/>
                <w:szCs w:val="21"/>
              </w:rPr>
            </w:pPr>
          </w:p>
        </w:tc>
        <w:tc>
          <w:tcPr>
            <w:tcW w:w="217" w:type="dxa"/>
          </w:tcPr>
          <w:p w14:paraId="5B753790" w14:textId="77777777" w:rsidR="002C0FD9" w:rsidRPr="00CA25CF" w:rsidRDefault="002C0FD9" w:rsidP="00CA25CF">
            <w:pPr>
              <w:rPr>
                <w:rFonts w:cs="Arial"/>
                <w:color w:val="FF0000"/>
                <w:sz w:val="21"/>
                <w:szCs w:val="21"/>
              </w:rPr>
            </w:pPr>
          </w:p>
        </w:tc>
        <w:tc>
          <w:tcPr>
            <w:tcW w:w="217" w:type="dxa"/>
          </w:tcPr>
          <w:p w14:paraId="3AE174D7" w14:textId="77777777" w:rsidR="002C0FD9" w:rsidRPr="00CA25CF" w:rsidRDefault="002C0FD9" w:rsidP="00CA25CF">
            <w:pPr>
              <w:rPr>
                <w:rFonts w:cs="Arial"/>
                <w:color w:val="FF0000"/>
                <w:sz w:val="21"/>
                <w:szCs w:val="21"/>
              </w:rPr>
            </w:pPr>
          </w:p>
        </w:tc>
        <w:tc>
          <w:tcPr>
            <w:tcW w:w="217" w:type="dxa"/>
          </w:tcPr>
          <w:p w14:paraId="764C3AA9" w14:textId="77777777" w:rsidR="002C0FD9" w:rsidRPr="00CA25CF" w:rsidRDefault="002C0FD9" w:rsidP="00CA25CF">
            <w:pPr>
              <w:rPr>
                <w:rFonts w:cs="Arial"/>
                <w:color w:val="FF0000"/>
                <w:sz w:val="21"/>
                <w:szCs w:val="21"/>
              </w:rPr>
            </w:pPr>
          </w:p>
        </w:tc>
        <w:tc>
          <w:tcPr>
            <w:tcW w:w="217" w:type="dxa"/>
          </w:tcPr>
          <w:p w14:paraId="65736E70" w14:textId="77777777" w:rsidR="002C0FD9" w:rsidRPr="00CA25CF" w:rsidRDefault="002C0FD9" w:rsidP="00CA25CF">
            <w:pPr>
              <w:rPr>
                <w:rFonts w:cs="Arial"/>
                <w:color w:val="FF0000"/>
                <w:sz w:val="21"/>
                <w:szCs w:val="21"/>
              </w:rPr>
            </w:pPr>
          </w:p>
        </w:tc>
        <w:tc>
          <w:tcPr>
            <w:tcW w:w="217" w:type="dxa"/>
          </w:tcPr>
          <w:p w14:paraId="1860A112" w14:textId="77777777" w:rsidR="002C0FD9" w:rsidRPr="00CA25CF" w:rsidRDefault="002C0FD9" w:rsidP="00CA25CF">
            <w:pPr>
              <w:rPr>
                <w:rFonts w:cs="Arial"/>
                <w:color w:val="FF0000"/>
                <w:sz w:val="21"/>
                <w:szCs w:val="21"/>
              </w:rPr>
            </w:pPr>
          </w:p>
        </w:tc>
        <w:tc>
          <w:tcPr>
            <w:tcW w:w="217" w:type="dxa"/>
          </w:tcPr>
          <w:p w14:paraId="4E0FF5F9" w14:textId="77777777" w:rsidR="002C0FD9" w:rsidRPr="00CA25CF" w:rsidRDefault="002C0FD9" w:rsidP="00CA25CF">
            <w:pPr>
              <w:rPr>
                <w:rFonts w:cs="Arial"/>
                <w:color w:val="FF0000"/>
                <w:sz w:val="21"/>
                <w:szCs w:val="21"/>
              </w:rPr>
            </w:pPr>
          </w:p>
        </w:tc>
        <w:tc>
          <w:tcPr>
            <w:tcW w:w="217" w:type="dxa"/>
          </w:tcPr>
          <w:p w14:paraId="555C2168" w14:textId="77777777" w:rsidR="002C0FD9" w:rsidRPr="00CA25CF" w:rsidRDefault="002C0FD9" w:rsidP="00CA25CF">
            <w:pPr>
              <w:rPr>
                <w:rFonts w:cs="Arial"/>
                <w:color w:val="FF0000"/>
                <w:sz w:val="21"/>
                <w:szCs w:val="21"/>
              </w:rPr>
            </w:pPr>
          </w:p>
        </w:tc>
        <w:tc>
          <w:tcPr>
            <w:tcW w:w="217" w:type="dxa"/>
          </w:tcPr>
          <w:p w14:paraId="4A7A655A" w14:textId="77777777" w:rsidR="002C0FD9" w:rsidRPr="00CA25CF" w:rsidRDefault="002C0FD9" w:rsidP="00CA25CF">
            <w:pPr>
              <w:rPr>
                <w:rFonts w:cs="Arial"/>
                <w:color w:val="FF0000"/>
                <w:sz w:val="21"/>
                <w:szCs w:val="21"/>
              </w:rPr>
            </w:pPr>
          </w:p>
        </w:tc>
        <w:tc>
          <w:tcPr>
            <w:tcW w:w="217" w:type="dxa"/>
          </w:tcPr>
          <w:p w14:paraId="3D6D0709" w14:textId="77777777" w:rsidR="002C0FD9" w:rsidRPr="00CA25CF" w:rsidRDefault="002C0FD9" w:rsidP="00CA25CF">
            <w:pPr>
              <w:rPr>
                <w:rFonts w:cs="Arial"/>
                <w:color w:val="FF0000"/>
                <w:sz w:val="21"/>
                <w:szCs w:val="21"/>
              </w:rPr>
            </w:pPr>
          </w:p>
        </w:tc>
        <w:tc>
          <w:tcPr>
            <w:tcW w:w="217" w:type="dxa"/>
          </w:tcPr>
          <w:p w14:paraId="1AB3AD1A" w14:textId="77777777" w:rsidR="002C0FD9" w:rsidRPr="00CA25CF" w:rsidRDefault="002C0FD9" w:rsidP="00CA25CF">
            <w:pPr>
              <w:rPr>
                <w:rFonts w:cs="Arial"/>
                <w:color w:val="FF0000"/>
                <w:sz w:val="21"/>
                <w:szCs w:val="21"/>
              </w:rPr>
            </w:pPr>
          </w:p>
        </w:tc>
        <w:tc>
          <w:tcPr>
            <w:tcW w:w="217" w:type="dxa"/>
          </w:tcPr>
          <w:p w14:paraId="7A048733" w14:textId="77777777" w:rsidR="002C0FD9" w:rsidRPr="00CA25CF" w:rsidRDefault="002C0FD9" w:rsidP="00CA25CF">
            <w:pPr>
              <w:rPr>
                <w:rFonts w:cs="Arial"/>
                <w:color w:val="FF0000"/>
                <w:sz w:val="21"/>
                <w:szCs w:val="21"/>
              </w:rPr>
            </w:pPr>
          </w:p>
        </w:tc>
        <w:tc>
          <w:tcPr>
            <w:tcW w:w="217" w:type="dxa"/>
          </w:tcPr>
          <w:p w14:paraId="1AC397AE" w14:textId="77777777" w:rsidR="002C0FD9" w:rsidRPr="00CA25CF" w:rsidRDefault="002C0FD9" w:rsidP="00CA25CF">
            <w:pPr>
              <w:rPr>
                <w:rFonts w:cs="Arial"/>
                <w:color w:val="FF0000"/>
                <w:sz w:val="21"/>
                <w:szCs w:val="21"/>
              </w:rPr>
            </w:pPr>
          </w:p>
        </w:tc>
        <w:tc>
          <w:tcPr>
            <w:tcW w:w="217" w:type="dxa"/>
          </w:tcPr>
          <w:p w14:paraId="5C9EB41E" w14:textId="77777777" w:rsidR="002C0FD9" w:rsidRPr="00CA25CF" w:rsidRDefault="002C0FD9" w:rsidP="00CA25CF">
            <w:pPr>
              <w:rPr>
                <w:rFonts w:cs="Arial"/>
                <w:color w:val="FF0000"/>
                <w:sz w:val="21"/>
                <w:szCs w:val="21"/>
              </w:rPr>
            </w:pPr>
          </w:p>
        </w:tc>
        <w:tc>
          <w:tcPr>
            <w:tcW w:w="217" w:type="dxa"/>
          </w:tcPr>
          <w:p w14:paraId="4F70CECB" w14:textId="77777777" w:rsidR="002C0FD9" w:rsidRPr="00CA25CF" w:rsidRDefault="002C0FD9" w:rsidP="00CA25CF">
            <w:pPr>
              <w:rPr>
                <w:rFonts w:cs="Arial"/>
                <w:color w:val="FF0000"/>
                <w:sz w:val="21"/>
                <w:szCs w:val="21"/>
              </w:rPr>
            </w:pPr>
          </w:p>
        </w:tc>
        <w:tc>
          <w:tcPr>
            <w:tcW w:w="217" w:type="dxa"/>
          </w:tcPr>
          <w:p w14:paraId="35BA312A" w14:textId="77777777" w:rsidR="002C0FD9" w:rsidRPr="00CA25CF" w:rsidRDefault="002C0FD9" w:rsidP="00CA25CF">
            <w:pPr>
              <w:rPr>
                <w:rFonts w:cs="Arial"/>
                <w:color w:val="FF0000"/>
                <w:sz w:val="21"/>
                <w:szCs w:val="21"/>
              </w:rPr>
            </w:pPr>
          </w:p>
        </w:tc>
        <w:tc>
          <w:tcPr>
            <w:tcW w:w="217" w:type="dxa"/>
          </w:tcPr>
          <w:p w14:paraId="42FCF5EB" w14:textId="77777777" w:rsidR="002C0FD9" w:rsidRPr="00CA25CF" w:rsidRDefault="002C0FD9" w:rsidP="00CA25CF">
            <w:pPr>
              <w:rPr>
                <w:rFonts w:cs="Arial"/>
                <w:color w:val="FF0000"/>
                <w:sz w:val="21"/>
                <w:szCs w:val="21"/>
              </w:rPr>
            </w:pPr>
          </w:p>
        </w:tc>
        <w:tc>
          <w:tcPr>
            <w:tcW w:w="217" w:type="dxa"/>
          </w:tcPr>
          <w:p w14:paraId="7D731428" w14:textId="77777777" w:rsidR="002C0FD9" w:rsidRPr="00CA25CF" w:rsidRDefault="002C0FD9" w:rsidP="00CA25CF">
            <w:pPr>
              <w:rPr>
                <w:rFonts w:cs="Arial"/>
                <w:color w:val="FF0000"/>
                <w:sz w:val="21"/>
                <w:szCs w:val="21"/>
              </w:rPr>
            </w:pPr>
          </w:p>
        </w:tc>
        <w:tc>
          <w:tcPr>
            <w:tcW w:w="217" w:type="dxa"/>
          </w:tcPr>
          <w:p w14:paraId="42D92FED" w14:textId="77777777" w:rsidR="002C0FD9" w:rsidRPr="00CA25CF" w:rsidRDefault="002C0FD9" w:rsidP="00CA25CF">
            <w:pPr>
              <w:rPr>
                <w:rFonts w:cs="Arial"/>
                <w:color w:val="FF0000"/>
                <w:sz w:val="21"/>
                <w:szCs w:val="21"/>
              </w:rPr>
            </w:pPr>
          </w:p>
        </w:tc>
        <w:tc>
          <w:tcPr>
            <w:tcW w:w="217" w:type="dxa"/>
          </w:tcPr>
          <w:p w14:paraId="2110786F" w14:textId="77777777" w:rsidR="002C0FD9" w:rsidRPr="00CA25CF" w:rsidRDefault="002C0FD9" w:rsidP="00CA25CF">
            <w:pPr>
              <w:rPr>
                <w:rFonts w:cs="Arial"/>
                <w:color w:val="FF0000"/>
                <w:sz w:val="21"/>
                <w:szCs w:val="21"/>
              </w:rPr>
            </w:pPr>
          </w:p>
        </w:tc>
        <w:tc>
          <w:tcPr>
            <w:tcW w:w="217" w:type="dxa"/>
          </w:tcPr>
          <w:p w14:paraId="0FE8EBEE" w14:textId="77777777" w:rsidR="002C0FD9" w:rsidRPr="00CA25CF" w:rsidRDefault="002C0FD9" w:rsidP="00CA25CF">
            <w:pPr>
              <w:rPr>
                <w:rFonts w:cs="Arial"/>
                <w:color w:val="FF0000"/>
                <w:sz w:val="21"/>
                <w:szCs w:val="21"/>
              </w:rPr>
            </w:pPr>
          </w:p>
        </w:tc>
        <w:tc>
          <w:tcPr>
            <w:tcW w:w="217" w:type="dxa"/>
          </w:tcPr>
          <w:p w14:paraId="75AFC660" w14:textId="77777777" w:rsidR="002C0FD9" w:rsidRPr="00CA25CF" w:rsidRDefault="002C0FD9" w:rsidP="00CA25CF">
            <w:pPr>
              <w:rPr>
                <w:rFonts w:cs="Arial"/>
                <w:color w:val="FF0000"/>
                <w:sz w:val="21"/>
                <w:szCs w:val="21"/>
              </w:rPr>
            </w:pPr>
          </w:p>
        </w:tc>
        <w:tc>
          <w:tcPr>
            <w:tcW w:w="217" w:type="dxa"/>
          </w:tcPr>
          <w:p w14:paraId="735A4490" w14:textId="77777777" w:rsidR="002C0FD9" w:rsidRPr="00CA25CF" w:rsidRDefault="002C0FD9" w:rsidP="00CA25CF">
            <w:pPr>
              <w:rPr>
                <w:rFonts w:cs="Arial"/>
                <w:color w:val="FF0000"/>
                <w:sz w:val="21"/>
                <w:szCs w:val="21"/>
              </w:rPr>
            </w:pPr>
          </w:p>
        </w:tc>
        <w:tc>
          <w:tcPr>
            <w:tcW w:w="217" w:type="dxa"/>
          </w:tcPr>
          <w:p w14:paraId="69053388" w14:textId="77777777" w:rsidR="002C0FD9" w:rsidRPr="00CA25CF" w:rsidRDefault="002C0FD9" w:rsidP="00CA25CF">
            <w:pPr>
              <w:rPr>
                <w:rFonts w:cs="Arial"/>
                <w:color w:val="FF0000"/>
                <w:sz w:val="21"/>
                <w:szCs w:val="21"/>
              </w:rPr>
            </w:pPr>
          </w:p>
        </w:tc>
        <w:tc>
          <w:tcPr>
            <w:tcW w:w="217" w:type="dxa"/>
          </w:tcPr>
          <w:p w14:paraId="0796E5EA" w14:textId="77777777" w:rsidR="002C0FD9" w:rsidRPr="00CA25CF" w:rsidRDefault="002C0FD9" w:rsidP="00CA25CF">
            <w:pPr>
              <w:rPr>
                <w:rFonts w:cs="Arial"/>
                <w:color w:val="FF0000"/>
                <w:sz w:val="21"/>
                <w:szCs w:val="21"/>
              </w:rPr>
            </w:pPr>
          </w:p>
        </w:tc>
        <w:tc>
          <w:tcPr>
            <w:tcW w:w="217" w:type="dxa"/>
          </w:tcPr>
          <w:p w14:paraId="42FEFF00" w14:textId="77777777" w:rsidR="002C0FD9" w:rsidRPr="00CA25CF" w:rsidRDefault="002C0FD9" w:rsidP="00CA25CF">
            <w:pPr>
              <w:rPr>
                <w:rFonts w:cs="Arial"/>
                <w:color w:val="FF0000"/>
                <w:sz w:val="21"/>
                <w:szCs w:val="21"/>
              </w:rPr>
            </w:pPr>
          </w:p>
        </w:tc>
        <w:tc>
          <w:tcPr>
            <w:tcW w:w="217" w:type="dxa"/>
          </w:tcPr>
          <w:p w14:paraId="4B89774B" w14:textId="77777777" w:rsidR="002C0FD9" w:rsidRPr="00CA25CF" w:rsidRDefault="002C0FD9" w:rsidP="00CA25CF">
            <w:pPr>
              <w:rPr>
                <w:rFonts w:cs="Arial"/>
                <w:color w:val="FF0000"/>
                <w:sz w:val="21"/>
                <w:szCs w:val="21"/>
              </w:rPr>
            </w:pPr>
          </w:p>
        </w:tc>
        <w:tc>
          <w:tcPr>
            <w:tcW w:w="217" w:type="dxa"/>
          </w:tcPr>
          <w:p w14:paraId="73B25F58" w14:textId="77777777" w:rsidR="002C0FD9" w:rsidRPr="00CA25CF" w:rsidRDefault="002C0FD9" w:rsidP="00CA25CF">
            <w:pPr>
              <w:rPr>
                <w:rFonts w:cs="Arial"/>
                <w:color w:val="FF0000"/>
                <w:sz w:val="21"/>
                <w:szCs w:val="21"/>
              </w:rPr>
            </w:pPr>
          </w:p>
        </w:tc>
        <w:tc>
          <w:tcPr>
            <w:tcW w:w="217" w:type="dxa"/>
          </w:tcPr>
          <w:p w14:paraId="1D00B0C7" w14:textId="77777777" w:rsidR="002C0FD9" w:rsidRPr="00CA25CF" w:rsidRDefault="002C0FD9" w:rsidP="00CA25CF">
            <w:pPr>
              <w:rPr>
                <w:rFonts w:cs="Arial"/>
                <w:color w:val="FF0000"/>
                <w:sz w:val="21"/>
                <w:szCs w:val="21"/>
              </w:rPr>
            </w:pPr>
          </w:p>
        </w:tc>
        <w:tc>
          <w:tcPr>
            <w:tcW w:w="217" w:type="dxa"/>
          </w:tcPr>
          <w:p w14:paraId="3E8A74DF" w14:textId="77777777" w:rsidR="002C0FD9" w:rsidRPr="00CA25CF" w:rsidRDefault="002C0FD9" w:rsidP="00CA25CF">
            <w:pPr>
              <w:rPr>
                <w:rFonts w:cs="Arial"/>
                <w:color w:val="FF0000"/>
                <w:sz w:val="21"/>
                <w:szCs w:val="21"/>
              </w:rPr>
            </w:pPr>
          </w:p>
        </w:tc>
      </w:tr>
      <w:tr w:rsidR="002C0FD9" w:rsidRPr="00A16219" w14:paraId="4CB7BF24" w14:textId="60AEAE03" w:rsidTr="002C0FD9">
        <w:trPr>
          <w:trHeight w:val="635"/>
        </w:trPr>
        <w:tc>
          <w:tcPr>
            <w:tcW w:w="515" w:type="dxa"/>
          </w:tcPr>
          <w:p w14:paraId="0F181953" w14:textId="77777777" w:rsidR="002C0FD9" w:rsidRPr="00CA25CF" w:rsidRDefault="002C0FD9" w:rsidP="00CA25CF">
            <w:pPr>
              <w:rPr>
                <w:rFonts w:cs="Arial"/>
                <w:color w:val="FF0000"/>
                <w:sz w:val="21"/>
                <w:szCs w:val="21"/>
              </w:rPr>
            </w:pPr>
          </w:p>
        </w:tc>
        <w:tc>
          <w:tcPr>
            <w:tcW w:w="217" w:type="dxa"/>
          </w:tcPr>
          <w:p w14:paraId="30CECCBB" w14:textId="77777777" w:rsidR="002C0FD9" w:rsidRPr="00CA25CF" w:rsidRDefault="002C0FD9" w:rsidP="00CA25CF">
            <w:pPr>
              <w:rPr>
                <w:rFonts w:cs="Arial"/>
                <w:color w:val="FF0000"/>
                <w:sz w:val="21"/>
                <w:szCs w:val="21"/>
              </w:rPr>
            </w:pPr>
          </w:p>
        </w:tc>
        <w:tc>
          <w:tcPr>
            <w:tcW w:w="217" w:type="dxa"/>
          </w:tcPr>
          <w:p w14:paraId="2A902F0A" w14:textId="5A20A109" w:rsidR="002C0FD9" w:rsidRPr="00CA25CF" w:rsidRDefault="002C0FD9" w:rsidP="00CA25CF">
            <w:pPr>
              <w:rPr>
                <w:rFonts w:cs="Arial"/>
                <w:color w:val="FF0000"/>
                <w:sz w:val="21"/>
                <w:szCs w:val="21"/>
              </w:rPr>
            </w:pPr>
          </w:p>
        </w:tc>
        <w:tc>
          <w:tcPr>
            <w:tcW w:w="217" w:type="dxa"/>
          </w:tcPr>
          <w:p w14:paraId="78695AB6" w14:textId="77777777" w:rsidR="002C0FD9" w:rsidRPr="00CA25CF" w:rsidRDefault="002C0FD9" w:rsidP="00CA25CF">
            <w:pPr>
              <w:rPr>
                <w:rFonts w:cs="Arial"/>
                <w:color w:val="FF0000"/>
                <w:sz w:val="21"/>
                <w:szCs w:val="21"/>
              </w:rPr>
            </w:pPr>
          </w:p>
        </w:tc>
        <w:tc>
          <w:tcPr>
            <w:tcW w:w="217" w:type="dxa"/>
          </w:tcPr>
          <w:p w14:paraId="7CC9EE47" w14:textId="77777777" w:rsidR="002C0FD9" w:rsidRPr="00CA25CF" w:rsidRDefault="002C0FD9" w:rsidP="00CA25CF">
            <w:pPr>
              <w:rPr>
                <w:rFonts w:cs="Arial"/>
                <w:color w:val="FF0000"/>
                <w:sz w:val="21"/>
                <w:szCs w:val="21"/>
              </w:rPr>
            </w:pPr>
          </w:p>
        </w:tc>
        <w:tc>
          <w:tcPr>
            <w:tcW w:w="217" w:type="dxa"/>
          </w:tcPr>
          <w:p w14:paraId="69C704DD" w14:textId="77777777" w:rsidR="002C0FD9" w:rsidRPr="00CA25CF" w:rsidRDefault="002C0FD9" w:rsidP="00CA25CF">
            <w:pPr>
              <w:rPr>
                <w:rFonts w:cs="Arial"/>
                <w:color w:val="FF0000"/>
                <w:sz w:val="21"/>
                <w:szCs w:val="21"/>
              </w:rPr>
            </w:pPr>
          </w:p>
        </w:tc>
        <w:tc>
          <w:tcPr>
            <w:tcW w:w="217" w:type="dxa"/>
          </w:tcPr>
          <w:p w14:paraId="131281DB" w14:textId="77777777" w:rsidR="002C0FD9" w:rsidRPr="00CA25CF" w:rsidRDefault="002C0FD9" w:rsidP="00CA25CF">
            <w:pPr>
              <w:rPr>
                <w:rFonts w:cs="Arial"/>
                <w:color w:val="FF0000"/>
                <w:sz w:val="21"/>
                <w:szCs w:val="21"/>
              </w:rPr>
            </w:pPr>
          </w:p>
        </w:tc>
        <w:tc>
          <w:tcPr>
            <w:tcW w:w="217" w:type="dxa"/>
          </w:tcPr>
          <w:p w14:paraId="480C73CB" w14:textId="77777777" w:rsidR="002C0FD9" w:rsidRPr="00CA25CF" w:rsidRDefault="002C0FD9" w:rsidP="00CA25CF">
            <w:pPr>
              <w:rPr>
                <w:rFonts w:cs="Arial"/>
                <w:color w:val="FF0000"/>
                <w:sz w:val="21"/>
                <w:szCs w:val="21"/>
              </w:rPr>
            </w:pPr>
          </w:p>
        </w:tc>
        <w:tc>
          <w:tcPr>
            <w:tcW w:w="217" w:type="dxa"/>
          </w:tcPr>
          <w:p w14:paraId="20C3064B" w14:textId="77777777" w:rsidR="002C0FD9" w:rsidRPr="00CA25CF" w:rsidRDefault="002C0FD9" w:rsidP="00CA25CF">
            <w:pPr>
              <w:rPr>
                <w:rFonts w:cs="Arial"/>
                <w:color w:val="FF0000"/>
                <w:sz w:val="21"/>
                <w:szCs w:val="21"/>
              </w:rPr>
            </w:pPr>
          </w:p>
        </w:tc>
        <w:tc>
          <w:tcPr>
            <w:tcW w:w="217" w:type="dxa"/>
          </w:tcPr>
          <w:p w14:paraId="74D53306" w14:textId="77777777" w:rsidR="002C0FD9" w:rsidRPr="00CA25CF" w:rsidRDefault="002C0FD9" w:rsidP="00CA25CF">
            <w:pPr>
              <w:rPr>
                <w:rFonts w:cs="Arial"/>
                <w:color w:val="FF0000"/>
                <w:sz w:val="21"/>
                <w:szCs w:val="21"/>
              </w:rPr>
            </w:pPr>
          </w:p>
        </w:tc>
        <w:tc>
          <w:tcPr>
            <w:tcW w:w="217" w:type="dxa"/>
          </w:tcPr>
          <w:p w14:paraId="32136DD5" w14:textId="77777777" w:rsidR="002C0FD9" w:rsidRPr="00CA25CF" w:rsidRDefault="002C0FD9" w:rsidP="00CA25CF">
            <w:pPr>
              <w:rPr>
                <w:rFonts w:cs="Arial"/>
                <w:color w:val="FF0000"/>
                <w:sz w:val="21"/>
                <w:szCs w:val="21"/>
              </w:rPr>
            </w:pPr>
          </w:p>
        </w:tc>
        <w:tc>
          <w:tcPr>
            <w:tcW w:w="217" w:type="dxa"/>
          </w:tcPr>
          <w:p w14:paraId="2E695993" w14:textId="77777777" w:rsidR="002C0FD9" w:rsidRPr="00CA25CF" w:rsidRDefault="002C0FD9" w:rsidP="00CA25CF">
            <w:pPr>
              <w:rPr>
                <w:rFonts w:cs="Arial"/>
                <w:color w:val="FF0000"/>
                <w:sz w:val="21"/>
                <w:szCs w:val="21"/>
              </w:rPr>
            </w:pPr>
          </w:p>
        </w:tc>
        <w:tc>
          <w:tcPr>
            <w:tcW w:w="217" w:type="dxa"/>
          </w:tcPr>
          <w:p w14:paraId="1A9E2409" w14:textId="77777777" w:rsidR="002C0FD9" w:rsidRPr="00CA25CF" w:rsidRDefault="002C0FD9" w:rsidP="00CA25CF">
            <w:pPr>
              <w:rPr>
                <w:rFonts w:cs="Arial"/>
                <w:color w:val="FF0000"/>
                <w:sz w:val="21"/>
                <w:szCs w:val="21"/>
              </w:rPr>
            </w:pPr>
          </w:p>
        </w:tc>
        <w:tc>
          <w:tcPr>
            <w:tcW w:w="217" w:type="dxa"/>
          </w:tcPr>
          <w:p w14:paraId="3FD9399F" w14:textId="77777777" w:rsidR="002C0FD9" w:rsidRPr="00CA25CF" w:rsidRDefault="002C0FD9" w:rsidP="00CA25CF">
            <w:pPr>
              <w:rPr>
                <w:rFonts w:cs="Arial"/>
                <w:color w:val="FF0000"/>
                <w:sz w:val="21"/>
                <w:szCs w:val="21"/>
              </w:rPr>
            </w:pPr>
          </w:p>
        </w:tc>
        <w:tc>
          <w:tcPr>
            <w:tcW w:w="217" w:type="dxa"/>
          </w:tcPr>
          <w:p w14:paraId="0B846620" w14:textId="77777777" w:rsidR="002C0FD9" w:rsidRPr="00CA25CF" w:rsidRDefault="002C0FD9" w:rsidP="00CA25CF">
            <w:pPr>
              <w:rPr>
                <w:rFonts w:cs="Arial"/>
                <w:color w:val="FF0000"/>
                <w:sz w:val="21"/>
                <w:szCs w:val="21"/>
              </w:rPr>
            </w:pPr>
          </w:p>
        </w:tc>
        <w:tc>
          <w:tcPr>
            <w:tcW w:w="217" w:type="dxa"/>
          </w:tcPr>
          <w:p w14:paraId="714E9989" w14:textId="77777777" w:rsidR="002C0FD9" w:rsidRPr="00CA25CF" w:rsidRDefault="002C0FD9" w:rsidP="00CA25CF">
            <w:pPr>
              <w:rPr>
                <w:rFonts w:cs="Arial"/>
                <w:color w:val="FF0000"/>
                <w:sz w:val="21"/>
                <w:szCs w:val="21"/>
              </w:rPr>
            </w:pPr>
          </w:p>
        </w:tc>
        <w:tc>
          <w:tcPr>
            <w:tcW w:w="217" w:type="dxa"/>
          </w:tcPr>
          <w:p w14:paraId="6F651AA6" w14:textId="77777777" w:rsidR="002C0FD9" w:rsidRPr="00CA25CF" w:rsidRDefault="002C0FD9" w:rsidP="00CA25CF">
            <w:pPr>
              <w:rPr>
                <w:rFonts w:cs="Arial"/>
                <w:color w:val="FF0000"/>
                <w:sz w:val="21"/>
                <w:szCs w:val="21"/>
              </w:rPr>
            </w:pPr>
          </w:p>
        </w:tc>
        <w:tc>
          <w:tcPr>
            <w:tcW w:w="217" w:type="dxa"/>
          </w:tcPr>
          <w:p w14:paraId="14BC3224" w14:textId="77777777" w:rsidR="002C0FD9" w:rsidRPr="00CA25CF" w:rsidRDefault="002C0FD9" w:rsidP="00CA25CF">
            <w:pPr>
              <w:rPr>
                <w:rFonts w:cs="Arial"/>
                <w:color w:val="FF0000"/>
                <w:sz w:val="21"/>
                <w:szCs w:val="21"/>
              </w:rPr>
            </w:pPr>
          </w:p>
        </w:tc>
        <w:tc>
          <w:tcPr>
            <w:tcW w:w="217" w:type="dxa"/>
          </w:tcPr>
          <w:p w14:paraId="12DC4ED8" w14:textId="77777777" w:rsidR="002C0FD9" w:rsidRPr="00CA25CF" w:rsidRDefault="002C0FD9" w:rsidP="00CA25CF">
            <w:pPr>
              <w:rPr>
                <w:rFonts w:cs="Arial"/>
                <w:color w:val="FF0000"/>
                <w:sz w:val="21"/>
                <w:szCs w:val="21"/>
              </w:rPr>
            </w:pPr>
          </w:p>
        </w:tc>
        <w:tc>
          <w:tcPr>
            <w:tcW w:w="217" w:type="dxa"/>
          </w:tcPr>
          <w:p w14:paraId="28C97E0D" w14:textId="77777777" w:rsidR="002C0FD9" w:rsidRPr="00CA25CF" w:rsidRDefault="002C0FD9" w:rsidP="00CA25CF">
            <w:pPr>
              <w:rPr>
                <w:rFonts w:cs="Arial"/>
                <w:color w:val="FF0000"/>
                <w:sz w:val="21"/>
                <w:szCs w:val="21"/>
              </w:rPr>
            </w:pPr>
          </w:p>
        </w:tc>
        <w:tc>
          <w:tcPr>
            <w:tcW w:w="217" w:type="dxa"/>
          </w:tcPr>
          <w:p w14:paraId="54F57A6F" w14:textId="77777777" w:rsidR="002C0FD9" w:rsidRPr="00CA25CF" w:rsidRDefault="002C0FD9" w:rsidP="00CA25CF">
            <w:pPr>
              <w:rPr>
                <w:rFonts w:cs="Arial"/>
                <w:color w:val="FF0000"/>
                <w:sz w:val="21"/>
                <w:szCs w:val="21"/>
              </w:rPr>
            </w:pPr>
          </w:p>
        </w:tc>
        <w:tc>
          <w:tcPr>
            <w:tcW w:w="217" w:type="dxa"/>
          </w:tcPr>
          <w:p w14:paraId="6866D9A0" w14:textId="77777777" w:rsidR="002C0FD9" w:rsidRPr="00CA25CF" w:rsidRDefault="002C0FD9" w:rsidP="00CA25CF">
            <w:pPr>
              <w:rPr>
                <w:rFonts w:cs="Arial"/>
                <w:color w:val="FF0000"/>
                <w:sz w:val="21"/>
                <w:szCs w:val="21"/>
              </w:rPr>
            </w:pPr>
          </w:p>
        </w:tc>
        <w:tc>
          <w:tcPr>
            <w:tcW w:w="217" w:type="dxa"/>
          </w:tcPr>
          <w:p w14:paraId="28569F1B" w14:textId="77777777" w:rsidR="002C0FD9" w:rsidRPr="00CA25CF" w:rsidRDefault="002C0FD9" w:rsidP="00CA25CF">
            <w:pPr>
              <w:rPr>
                <w:rFonts w:cs="Arial"/>
                <w:color w:val="FF0000"/>
                <w:sz w:val="21"/>
                <w:szCs w:val="21"/>
              </w:rPr>
            </w:pPr>
          </w:p>
        </w:tc>
        <w:tc>
          <w:tcPr>
            <w:tcW w:w="217" w:type="dxa"/>
          </w:tcPr>
          <w:p w14:paraId="1E228582" w14:textId="77777777" w:rsidR="002C0FD9" w:rsidRPr="00CA25CF" w:rsidRDefault="002C0FD9" w:rsidP="00CA25CF">
            <w:pPr>
              <w:rPr>
                <w:rFonts w:cs="Arial"/>
                <w:color w:val="FF0000"/>
                <w:sz w:val="21"/>
                <w:szCs w:val="21"/>
              </w:rPr>
            </w:pPr>
          </w:p>
        </w:tc>
        <w:tc>
          <w:tcPr>
            <w:tcW w:w="217" w:type="dxa"/>
          </w:tcPr>
          <w:p w14:paraId="2D6896A2" w14:textId="77777777" w:rsidR="002C0FD9" w:rsidRPr="00CA25CF" w:rsidRDefault="002C0FD9" w:rsidP="00CA25CF">
            <w:pPr>
              <w:rPr>
                <w:rFonts w:cs="Arial"/>
                <w:color w:val="FF0000"/>
                <w:sz w:val="21"/>
                <w:szCs w:val="21"/>
              </w:rPr>
            </w:pPr>
          </w:p>
        </w:tc>
        <w:tc>
          <w:tcPr>
            <w:tcW w:w="217" w:type="dxa"/>
          </w:tcPr>
          <w:p w14:paraId="2067867E" w14:textId="77777777" w:rsidR="002C0FD9" w:rsidRPr="00CA25CF" w:rsidRDefault="002C0FD9" w:rsidP="00CA25CF">
            <w:pPr>
              <w:rPr>
                <w:rFonts w:cs="Arial"/>
                <w:color w:val="FF0000"/>
                <w:sz w:val="21"/>
                <w:szCs w:val="21"/>
              </w:rPr>
            </w:pPr>
          </w:p>
        </w:tc>
        <w:tc>
          <w:tcPr>
            <w:tcW w:w="217" w:type="dxa"/>
          </w:tcPr>
          <w:p w14:paraId="3E9F47BF" w14:textId="77777777" w:rsidR="002C0FD9" w:rsidRPr="00CA25CF" w:rsidRDefault="002C0FD9" w:rsidP="00CA25CF">
            <w:pPr>
              <w:rPr>
                <w:rFonts w:cs="Arial"/>
                <w:color w:val="FF0000"/>
                <w:sz w:val="21"/>
                <w:szCs w:val="21"/>
              </w:rPr>
            </w:pPr>
          </w:p>
        </w:tc>
        <w:tc>
          <w:tcPr>
            <w:tcW w:w="217" w:type="dxa"/>
          </w:tcPr>
          <w:p w14:paraId="7F903829" w14:textId="77777777" w:rsidR="002C0FD9" w:rsidRPr="00CA25CF" w:rsidRDefault="002C0FD9" w:rsidP="00CA25CF">
            <w:pPr>
              <w:rPr>
                <w:rFonts w:cs="Arial"/>
                <w:color w:val="FF0000"/>
                <w:sz w:val="21"/>
                <w:szCs w:val="21"/>
              </w:rPr>
            </w:pPr>
          </w:p>
        </w:tc>
        <w:tc>
          <w:tcPr>
            <w:tcW w:w="217" w:type="dxa"/>
          </w:tcPr>
          <w:p w14:paraId="5AC76B90" w14:textId="77777777" w:rsidR="002C0FD9" w:rsidRPr="00CA25CF" w:rsidRDefault="002C0FD9" w:rsidP="00CA25CF">
            <w:pPr>
              <w:rPr>
                <w:rFonts w:cs="Arial"/>
                <w:color w:val="FF0000"/>
                <w:sz w:val="21"/>
                <w:szCs w:val="21"/>
              </w:rPr>
            </w:pPr>
          </w:p>
        </w:tc>
        <w:tc>
          <w:tcPr>
            <w:tcW w:w="217" w:type="dxa"/>
          </w:tcPr>
          <w:p w14:paraId="2F765818" w14:textId="77777777" w:rsidR="002C0FD9" w:rsidRPr="00CA25CF" w:rsidRDefault="002C0FD9" w:rsidP="00CA25CF">
            <w:pPr>
              <w:rPr>
                <w:rFonts w:cs="Arial"/>
                <w:color w:val="FF0000"/>
                <w:sz w:val="21"/>
                <w:szCs w:val="21"/>
              </w:rPr>
            </w:pPr>
          </w:p>
        </w:tc>
        <w:tc>
          <w:tcPr>
            <w:tcW w:w="217" w:type="dxa"/>
          </w:tcPr>
          <w:p w14:paraId="6A1E4FF5" w14:textId="77777777" w:rsidR="002C0FD9" w:rsidRPr="00CA25CF" w:rsidRDefault="002C0FD9" w:rsidP="00CA25CF">
            <w:pPr>
              <w:rPr>
                <w:rFonts w:cs="Arial"/>
                <w:color w:val="FF0000"/>
                <w:sz w:val="21"/>
                <w:szCs w:val="21"/>
              </w:rPr>
            </w:pPr>
          </w:p>
        </w:tc>
        <w:tc>
          <w:tcPr>
            <w:tcW w:w="217" w:type="dxa"/>
          </w:tcPr>
          <w:p w14:paraId="27EE4F89" w14:textId="77777777" w:rsidR="002C0FD9" w:rsidRPr="00CA25CF" w:rsidRDefault="002C0FD9" w:rsidP="00CA25CF">
            <w:pPr>
              <w:rPr>
                <w:rFonts w:cs="Arial"/>
                <w:color w:val="FF0000"/>
                <w:sz w:val="21"/>
                <w:szCs w:val="21"/>
              </w:rPr>
            </w:pPr>
          </w:p>
        </w:tc>
        <w:tc>
          <w:tcPr>
            <w:tcW w:w="217" w:type="dxa"/>
          </w:tcPr>
          <w:p w14:paraId="7C6DF2F6" w14:textId="77777777" w:rsidR="002C0FD9" w:rsidRPr="00CA25CF" w:rsidRDefault="002C0FD9" w:rsidP="00CA25CF">
            <w:pPr>
              <w:rPr>
                <w:rFonts w:cs="Arial"/>
                <w:color w:val="FF0000"/>
                <w:sz w:val="21"/>
                <w:szCs w:val="21"/>
              </w:rPr>
            </w:pPr>
          </w:p>
        </w:tc>
        <w:tc>
          <w:tcPr>
            <w:tcW w:w="217" w:type="dxa"/>
          </w:tcPr>
          <w:p w14:paraId="210ED06A" w14:textId="77777777" w:rsidR="002C0FD9" w:rsidRPr="00CA25CF" w:rsidRDefault="002C0FD9" w:rsidP="00CA25CF">
            <w:pPr>
              <w:rPr>
                <w:rFonts w:cs="Arial"/>
                <w:color w:val="FF0000"/>
                <w:sz w:val="21"/>
                <w:szCs w:val="21"/>
              </w:rPr>
            </w:pPr>
          </w:p>
        </w:tc>
        <w:tc>
          <w:tcPr>
            <w:tcW w:w="217" w:type="dxa"/>
          </w:tcPr>
          <w:p w14:paraId="505E2E86" w14:textId="77777777" w:rsidR="002C0FD9" w:rsidRPr="00CA25CF" w:rsidRDefault="002C0FD9" w:rsidP="00CA25CF">
            <w:pPr>
              <w:rPr>
                <w:rFonts w:cs="Arial"/>
                <w:color w:val="FF0000"/>
                <w:sz w:val="21"/>
                <w:szCs w:val="21"/>
              </w:rPr>
            </w:pPr>
          </w:p>
        </w:tc>
        <w:tc>
          <w:tcPr>
            <w:tcW w:w="217" w:type="dxa"/>
          </w:tcPr>
          <w:p w14:paraId="482BB77A" w14:textId="77777777" w:rsidR="002C0FD9" w:rsidRPr="00CA25CF" w:rsidRDefault="002C0FD9" w:rsidP="00CA25CF">
            <w:pPr>
              <w:rPr>
                <w:rFonts w:cs="Arial"/>
                <w:color w:val="FF0000"/>
                <w:sz w:val="21"/>
                <w:szCs w:val="21"/>
              </w:rPr>
            </w:pPr>
          </w:p>
        </w:tc>
        <w:tc>
          <w:tcPr>
            <w:tcW w:w="217" w:type="dxa"/>
          </w:tcPr>
          <w:p w14:paraId="502A9345" w14:textId="77777777" w:rsidR="002C0FD9" w:rsidRPr="00CA25CF" w:rsidRDefault="002C0FD9" w:rsidP="00CA25CF">
            <w:pPr>
              <w:rPr>
                <w:rFonts w:cs="Arial"/>
                <w:color w:val="FF0000"/>
                <w:sz w:val="21"/>
                <w:szCs w:val="21"/>
              </w:rPr>
            </w:pPr>
          </w:p>
        </w:tc>
        <w:tc>
          <w:tcPr>
            <w:tcW w:w="217" w:type="dxa"/>
          </w:tcPr>
          <w:p w14:paraId="0C6090A4" w14:textId="77777777" w:rsidR="002C0FD9" w:rsidRPr="00CA25CF" w:rsidRDefault="002C0FD9" w:rsidP="00CA25CF">
            <w:pPr>
              <w:rPr>
                <w:rFonts w:cs="Arial"/>
                <w:color w:val="FF0000"/>
                <w:sz w:val="21"/>
                <w:szCs w:val="21"/>
              </w:rPr>
            </w:pPr>
          </w:p>
        </w:tc>
        <w:tc>
          <w:tcPr>
            <w:tcW w:w="217" w:type="dxa"/>
          </w:tcPr>
          <w:p w14:paraId="6F999D7F" w14:textId="77777777" w:rsidR="002C0FD9" w:rsidRPr="00CA25CF" w:rsidRDefault="002C0FD9" w:rsidP="00CA25CF">
            <w:pPr>
              <w:rPr>
                <w:rFonts w:cs="Arial"/>
                <w:color w:val="FF0000"/>
                <w:sz w:val="21"/>
                <w:szCs w:val="21"/>
              </w:rPr>
            </w:pPr>
          </w:p>
        </w:tc>
        <w:tc>
          <w:tcPr>
            <w:tcW w:w="217" w:type="dxa"/>
          </w:tcPr>
          <w:p w14:paraId="733BFAA2" w14:textId="77777777" w:rsidR="002C0FD9" w:rsidRPr="00CA25CF" w:rsidRDefault="002C0FD9" w:rsidP="00CA25CF">
            <w:pPr>
              <w:rPr>
                <w:rFonts w:cs="Arial"/>
                <w:color w:val="FF0000"/>
                <w:sz w:val="21"/>
                <w:szCs w:val="21"/>
              </w:rPr>
            </w:pPr>
          </w:p>
        </w:tc>
        <w:tc>
          <w:tcPr>
            <w:tcW w:w="217" w:type="dxa"/>
          </w:tcPr>
          <w:p w14:paraId="5F0B0F76" w14:textId="77777777" w:rsidR="002C0FD9" w:rsidRPr="00CA25CF" w:rsidRDefault="002C0FD9" w:rsidP="00CA25CF">
            <w:pPr>
              <w:rPr>
                <w:rFonts w:cs="Arial"/>
                <w:color w:val="FF0000"/>
                <w:sz w:val="21"/>
                <w:szCs w:val="21"/>
              </w:rPr>
            </w:pPr>
          </w:p>
        </w:tc>
        <w:tc>
          <w:tcPr>
            <w:tcW w:w="217" w:type="dxa"/>
          </w:tcPr>
          <w:p w14:paraId="465D1063" w14:textId="77777777" w:rsidR="002C0FD9" w:rsidRPr="00CA25CF" w:rsidRDefault="002C0FD9" w:rsidP="00CA25CF">
            <w:pPr>
              <w:rPr>
                <w:rFonts w:cs="Arial"/>
                <w:color w:val="FF0000"/>
                <w:sz w:val="21"/>
                <w:szCs w:val="21"/>
              </w:rPr>
            </w:pPr>
          </w:p>
        </w:tc>
        <w:tc>
          <w:tcPr>
            <w:tcW w:w="217" w:type="dxa"/>
          </w:tcPr>
          <w:p w14:paraId="7B4A7CBA" w14:textId="77777777" w:rsidR="002C0FD9" w:rsidRPr="00CA25CF" w:rsidRDefault="002C0FD9" w:rsidP="00CA25CF">
            <w:pPr>
              <w:rPr>
                <w:rFonts w:cs="Arial"/>
                <w:color w:val="FF0000"/>
                <w:sz w:val="21"/>
                <w:szCs w:val="21"/>
              </w:rPr>
            </w:pPr>
          </w:p>
        </w:tc>
      </w:tr>
      <w:tr w:rsidR="002C0FD9" w:rsidRPr="00A16219" w14:paraId="6DB9EE99" w14:textId="6A0EB241" w:rsidTr="002C0FD9">
        <w:trPr>
          <w:trHeight w:val="635"/>
        </w:trPr>
        <w:tc>
          <w:tcPr>
            <w:tcW w:w="515" w:type="dxa"/>
          </w:tcPr>
          <w:p w14:paraId="402CB71F" w14:textId="77777777" w:rsidR="002C0FD9" w:rsidRPr="00CA25CF" w:rsidRDefault="002C0FD9" w:rsidP="00CA25CF">
            <w:pPr>
              <w:rPr>
                <w:rFonts w:cs="Arial"/>
                <w:color w:val="FF0000"/>
                <w:sz w:val="21"/>
                <w:szCs w:val="21"/>
              </w:rPr>
            </w:pPr>
          </w:p>
        </w:tc>
        <w:tc>
          <w:tcPr>
            <w:tcW w:w="217" w:type="dxa"/>
          </w:tcPr>
          <w:p w14:paraId="376EB884" w14:textId="77777777" w:rsidR="002C0FD9" w:rsidRPr="00CA25CF" w:rsidRDefault="002C0FD9" w:rsidP="00CA25CF">
            <w:pPr>
              <w:rPr>
                <w:rFonts w:cs="Arial"/>
                <w:color w:val="FF0000"/>
                <w:sz w:val="21"/>
                <w:szCs w:val="21"/>
              </w:rPr>
            </w:pPr>
          </w:p>
        </w:tc>
        <w:tc>
          <w:tcPr>
            <w:tcW w:w="217" w:type="dxa"/>
          </w:tcPr>
          <w:p w14:paraId="0E7A0172" w14:textId="26C0399B" w:rsidR="002C0FD9" w:rsidRPr="00CA25CF" w:rsidRDefault="002C0FD9" w:rsidP="00CA25CF">
            <w:pPr>
              <w:rPr>
                <w:rFonts w:cs="Arial"/>
                <w:color w:val="FF0000"/>
                <w:sz w:val="21"/>
                <w:szCs w:val="21"/>
              </w:rPr>
            </w:pPr>
          </w:p>
        </w:tc>
        <w:tc>
          <w:tcPr>
            <w:tcW w:w="217" w:type="dxa"/>
          </w:tcPr>
          <w:p w14:paraId="79963C71" w14:textId="77777777" w:rsidR="002C0FD9" w:rsidRPr="00CA25CF" w:rsidRDefault="002C0FD9" w:rsidP="00CA25CF">
            <w:pPr>
              <w:rPr>
                <w:rFonts w:cs="Arial"/>
                <w:color w:val="FF0000"/>
                <w:sz w:val="21"/>
                <w:szCs w:val="21"/>
              </w:rPr>
            </w:pPr>
          </w:p>
        </w:tc>
        <w:tc>
          <w:tcPr>
            <w:tcW w:w="217" w:type="dxa"/>
          </w:tcPr>
          <w:p w14:paraId="1399A693" w14:textId="77777777" w:rsidR="002C0FD9" w:rsidRPr="00CA25CF" w:rsidRDefault="002C0FD9" w:rsidP="00CA25CF">
            <w:pPr>
              <w:rPr>
                <w:rFonts w:cs="Arial"/>
                <w:color w:val="FF0000"/>
                <w:sz w:val="21"/>
                <w:szCs w:val="21"/>
              </w:rPr>
            </w:pPr>
          </w:p>
        </w:tc>
        <w:tc>
          <w:tcPr>
            <w:tcW w:w="217" w:type="dxa"/>
          </w:tcPr>
          <w:p w14:paraId="0898220F" w14:textId="77777777" w:rsidR="002C0FD9" w:rsidRPr="00CA25CF" w:rsidRDefault="002C0FD9" w:rsidP="00CA25CF">
            <w:pPr>
              <w:rPr>
                <w:rFonts w:cs="Arial"/>
                <w:color w:val="FF0000"/>
                <w:sz w:val="21"/>
                <w:szCs w:val="21"/>
              </w:rPr>
            </w:pPr>
          </w:p>
        </w:tc>
        <w:tc>
          <w:tcPr>
            <w:tcW w:w="217" w:type="dxa"/>
          </w:tcPr>
          <w:p w14:paraId="4F5F45F5" w14:textId="77777777" w:rsidR="002C0FD9" w:rsidRPr="00CA25CF" w:rsidRDefault="002C0FD9" w:rsidP="00CA25CF">
            <w:pPr>
              <w:rPr>
                <w:rFonts w:cs="Arial"/>
                <w:color w:val="FF0000"/>
                <w:sz w:val="21"/>
                <w:szCs w:val="21"/>
              </w:rPr>
            </w:pPr>
          </w:p>
        </w:tc>
        <w:tc>
          <w:tcPr>
            <w:tcW w:w="217" w:type="dxa"/>
          </w:tcPr>
          <w:p w14:paraId="150B9DCD" w14:textId="77777777" w:rsidR="002C0FD9" w:rsidRPr="00CA25CF" w:rsidRDefault="002C0FD9" w:rsidP="00CA25CF">
            <w:pPr>
              <w:rPr>
                <w:rFonts w:cs="Arial"/>
                <w:color w:val="FF0000"/>
                <w:sz w:val="21"/>
                <w:szCs w:val="21"/>
              </w:rPr>
            </w:pPr>
          </w:p>
        </w:tc>
        <w:tc>
          <w:tcPr>
            <w:tcW w:w="217" w:type="dxa"/>
          </w:tcPr>
          <w:p w14:paraId="79B1741F" w14:textId="77777777" w:rsidR="002C0FD9" w:rsidRPr="00CA25CF" w:rsidRDefault="002C0FD9" w:rsidP="00CA25CF">
            <w:pPr>
              <w:rPr>
                <w:rFonts w:cs="Arial"/>
                <w:color w:val="FF0000"/>
                <w:sz w:val="21"/>
                <w:szCs w:val="21"/>
              </w:rPr>
            </w:pPr>
          </w:p>
        </w:tc>
        <w:tc>
          <w:tcPr>
            <w:tcW w:w="217" w:type="dxa"/>
          </w:tcPr>
          <w:p w14:paraId="27C0C160" w14:textId="77777777" w:rsidR="002C0FD9" w:rsidRPr="00CA25CF" w:rsidRDefault="002C0FD9" w:rsidP="00CA25CF">
            <w:pPr>
              <w:rPr>
                <w:rFonts w:cs="Arial"/>
                <w:color w:val="FF0000"/>
                <w:sz w:val="21"/>
                <w:szCs w:val="21"/>
              </w:rPr>
            </w:pPr>
          </w:p>
        </w:tc>
        <w:tc>
          <w:tcPr>
            <w:tcW w:w="217" w:type="dxa"/>
          </w:tcPr>
          <w:p w14:paraId="28C739F2" w14:textId="77777777" w:rsidR="002C0FD9" w:rsidRPr="00CA25CF" w:rsidRDefault="002C0FD9" w:rsidP="00CA25CF">
            <w:pPr>
              <w:rPr>
                <w:rFonts w:cs="Arial"/>
                <w:color w:val="FF0000"/>
                <w:sz w:val="21"/>
                <w:szCs w:val="21"/>
              </w:rPr>
            </w:pPr>
          </w:p>
        </w:tc>
        <w:tc>
          <w:tcPr>
            <w:tcW w:w="217" w:type="dxa"/>
          </w:tcPr>
          <w:p w14:paraId="7E06C9FC" w14:textId="77777777" w:rsidR="002C0FD9" w:rsidRPr="00CA25CF" w:rsidRDefault="002C0FD9" w:rsidP="00CA25CF">
            <w:pPr>
              <w:rPr>
                <w:rFonts w:cs="Arial"/>
                <w:color w:val="FF0000"/>
                <w:sz w:val="21"/>
                <w:szCs w:val="21"/>
              </w:rPr>
            </w:pPr>
          </w:p>
        </w:tc>
        <w:tc>
          <w:tcPr>
            <w:tcW w:w="217" w:type="dxa"/>
          </w:tcPr>
          <w:p w14:paraId="657FB6EA" w14:textId="77777777" w:rsidR="002C0FD9" w:rsidRPr="00CA25CF" w:rsidRDefault="002C0FD9" w:rsidP="00CA25CF">
            <w:pPr>
              <w:rPr>
                <w:rFonts w:cs="Arial"/>
                <w:color w:val="FF0000"/>
                <w:sz w:val="21"/>
                <w:szCs w:val="21"/>
              </w:rPr>
            </w:pPr>
          </w:p>
        </w:tc>
        <w:tc>
          <w:tcPr>
            <w:tcW w:w="217" w:type="dxa"/>
          </w:tcPr>
          <w:p w14:paraId="6F991E46" w14:textId="77777777" w:rsidR="002C0FD9" w:rsidRPr="00CA25CF" w:rsidRDefault="002C0FD9" w:rsidP="00CA25CF">
            <w:pPr>
              <w:rPr>
                <w:rFonts w:cs="Arial"/>
                <w:color w:val="FF0000"/>
                <w:sz w:val="21"/>
                <w:szCs w:val="21"/>
              </w:rPr>
            </w:pPr>
          </w:p>
        </w:tc>
        <w:tc>
          <w:tcPr>
            <w:tcW w:w="217" w:type="dxa"/>
          </w:tcPr>
          <w:p w14:paraId="602B5984" w14:textId="77777777" w:rsidR="002C0FD9" w:rsidRPr="00CA25CF" w:rsidRDefault="002C0FD9" w:rsidP="00CA25CF">
            <w:pPr>
              <w:rPr>
                <w:rFonts w:cs="Arial"/>
                <w:color w:val="FF0000"/>
                <w:sz w:val="21"/>
                <w:szCs w:val="21"/>
              </w:rPr>
            </w:pPr>
          </w:p>
        </w:tc>
        <w:tc>
          <w:tcPr>
            <w:tcW w:w="217" w:type="dxa"/>
          </w:tcPr>
          <w:p w14:paraId="7A1600FB" w14:textId="77777777" w:rsidR="002C0FD9" w:rsidRPr="00CA25CF" w:rsidRDefault="002C0FD9" w:rsidP="00CA25CF">
            <w:pPr>
              <w:rPr>
                <w:rFonts w:cs="Arial"/>
                <w:color w:val="FF0000"/>
                <w:sz w:val="21"/>
                <w:szCs w:val="21"/>
              </w:rPr>
            </w:pPr>
          </w:p>
        </w:tc>
        <w:tc>
          <w:tcPr>
            <w:tcW w:w="217" w:type="dxa"/>
          </w:tcPr>
          <w:p w14:paraId="393089D5" w14:textId="77777777" w:rsidR="002C0FD9" w:rsidRPr="00CA25CF" w:rsidRDefault="002C0FD9" w:rsidP="00CA25CF">
            <w:pPr>
              <w:rPr>
                <w:rFonts w:cs="Arial"/>
                <w:color w:val="FF0000"/>
                <w:sz w:val="21"/>
                <w:szCs w:val="21"/>
              </w:rPr>
            </w:pPr>
          </w:p>
        </w:tc>
        <w:tc>
          <w:tcPr>
            <w:tcW w:w="217" w:type="dxa"/>
          </w:tcPr>
          <w:p w14:paraId="16247265" w14:textId="77777777" w:rsidR="002C0FD9" w:rsidRPr="00CA25CF" w:rsidRDefault="002C0FD9" w:rsidP="00CA25CF">
            <w:pPr>
              <w:rPr>
                <w:rFonts w:cs="Arial"/>
                <w:color w:val="FF0000"/>
                <w:sz w:val="21"/>
                <w:szCs w:val="21"/>
              </w:rPr>
            </w:pPr>
          </w:p>
        </w:tc>
        <w:tc>
          <w:tcPr>
            <w:tcW w:w="217" w:type="dxa"/>
          </w:tcPr>
          <w:p w14:paraId="0F454125" w14:textId="77777777" w:rsidR="002C0FD9" w:rsidRPr="00CA25CF" w:rsidRDefault="002C0FD9" w:rsidP="00CA25CF">
            <w:pPr>
              <w:rPr>
                <w:rFonts w:cs="Arial"/>
                <w:color w:val="FF0000"/>
                <w:sz w:val="21"/>
                <w:szCs w:val="21"/>
              </w:rPr>
            </w:pPr>
          </w:p>
        </w:tc>
        <w:tc>
          <w:tcPr>
            <w:tcW w:w="217" w:type="dxa"/>
          </w:tcPr>
          <w:p w14:paraId="6EE0E19C" w14:textId="77777777" w:rsidR="002C0FD9" w:rsidRPr="00CA25CF" w:rsidRDefault="002C0FD9" w:rsidP="00CA25CF">
            <w:pPr>
              <w:rPr>
                <w:rFonts w:cs="Arial"/>
                <w:color w:val="FF0000"/>
                <w:sz w:val="21"/>
                <w:szCs w:val="21"/>
              </w:rPr>
            </w:pPr>
          </w:p>
        </w:tc>
        <w:tc>
          <w:tcPr>
            <w:tcW w:w="217" w:type="dxa"/>
          </w:tcPr>
          <w:p w14:paraId="443C0E37" w14:textId="77777777" w:rsidR="002C0FD9" w:rsidRPr="00CA25CF" w:rsidRDefault="002C0FD9" w:rsidP="00CA25CF">
            <w:pPr>
              <w:rPr>
                <w:rFonts w:cs="Arial"/>
                <w:color w:val="FF0000"/>
                <w:sz w:val="21"/>
                <w:szCs w:val="21"/>
              </w:rPr>
            </w:pPr>
          </w:p>
        </w:tc>
        <w:tc>
          <w:tcPr>
            <w:tcW w:w="217" w:type="dxa"/>
          </w:tcPr>
          <w:p w14:paraId="4EFA2713" w14:textId="77777777" w:rsidR="002C0FD9" w:rsidRPr="00CA25CF" w:rsidRDefault="002C0FD9" w:rsidP="00CA25CF">
            <w:pPr>
              <w:rPr>
                <w:rFonts w:cs="Arial"/>
                <w:color w:val="FF0000"/>
                <w:sz w:val="21"/>
                <w:szCs w:val="21"/>
              </w:rPr>
            </w:pPr>
          </w:p>
        </w:tc>
        <w:tc>
          <w:tcPr>
            <w:tcW w:w="217" w:type="dxa"/>
          </w:tcPr>
          <w:p w14:paraId="50D95382" w14:textId="77777777" w:rsidR="002C0FD9" w:rsidRPr="00CA25CF" w:rsidRDefault="002C0FD9" w:rsidP="00CA25CF">
            <w:pPr>
              <w:rPr>
                <w:rFonts w:cs="Arial"/>
                <w:color w:val="FF0000"/>
                <w:sz w:val="21"/>
                <w:szCs w:val="21"/>
              </w:rPr>
            </w:pPr>
          </w:p>
        </w:tc>
        <w:tc>
          <w:tcPr>
            <w:tcW w:w="217" w:type="dxa"/>
          </w:tcPr>
          <w:p w14:paraId="3C6591A5" w14:textId="77777777" w:rsidR="002C0FD9" w:rsidRPr="00CA25CF" w:rsidRDefault="002C0FD9" w:rsidP="00CA25CF">
            <w:pPr>
              <w:rPr>
                <w:rFonts w:cs="Arial"/>
                <w:color w:val="FF0000"/>
                <w:sz w:val="21"/>
                <w:szCs w:val="21"/>
              </w:rPr>
            </w:pPr>
          </w:p>
        </w:tc>
        <w:tc>
          <w:tcPr>
            <w:tcW w:w="217" w:type="dxa"/>
          </w:tcPr>
          <w:p w14:paraId="1F91449B" w14:textId="77777777" w:rsidR="002C0FD9" w:rsidRPr="00CA25CF" w:rsidRDefault="002C0FD9" w:rsidP="00CA25CF">
            <w:pPr>
              <w:rPr>
                <w:rFonts w:cs="Arial"/>
                <w:color w:val="FF0000"/>
                <w:sz w:val="21"/>
                <w:szCs w:val="21"/>
              </w:rPr>
            </w:pPr>
          </w:p>
        </w:tc>
        <w:tc>
          <w:tcPr>
            <w:tcW w:w="217" w:type="dxa"/>
          </w:tcPr>
          <w:p w14:paraId="2301A3BC" w14:textId="77777777" w:rsidR="002C0FD9" w:rsidRPr="00CA25CF" w:rsidRDefault="002C0FD9" w:rsidP="00CA25CF">
            <w:pPr>
              <w:rPr>
                <w:rFonts w:cs="Arial"/>
                <w:color w:val="FF0000"/>
                <w:sz w:val="21"/>
                <w:szCs w:val="21"/>
              </w:rPr>
            </w:pPr>
          </w:p>
        </w:tc>
        <w:tc>
          <w:tcPr>
            <w:tcW w:w="217" w:type="dxa"/>
          </w:tcPr>
          <w:p w14:paraId="10F32A55" w14:textId="77777777" w:rsidR="002C0FD9" w:rsidRPr="00CA25CF" w:rsidRDefault="002C0FD9" w:rsidP="00CA25CF">
            <w:pPr>
              <w:rPr>
                <w:rFonts w:cs="Arial"/>
                <w:color w:val="FF0000"/>
                <w:sz w:val="21"/>
                <w:szCs w:val="21"/>
              </w:rPr>
            </w:pPr>
          </w:p>
        </w:tc>
        <w:tc>
          <w:tcPr>
            <w:tcW w:w="217" w:type="dxa"/>
          </w:tcPr>
          <w:p w14:paraId="5BABB9D9" w14:textId="77777777" w:rsidR="002C0FD9" w:rsidRPr="00CA25CF" w:rsidRDefault="002C0FD9" w:rsidP="00CA25CF">
            <w:pPr>
              <w:rPr>
                <w:rFonts w:cs="Arial"/>
                <w:color w:val="FF0000"/>
                <w:sz w:val="21"/>
                <w:szCs w:val="21"/>
              </w:rPr>
            </w:pPr>
          </w:p>
        </w:tc>
        <w:tc>
          <w:tcPr>
            <w:tcW w:w="217" w:type="dxa"/>
          </w:tcPr>
          <w:p w14:paraId="660591CC" w14:textId="77777777" w:rsidR="002C0FD9" w:rsidRPr="00CA25CF" w:rsidRDefault="002C0FD9" w:rsidP="00CA25CF">
            <w:pPr>
              <w:rPr>
                <w:rFonts w:cs="Arial"/>
                <w:color w:val="FF0000"/>
                <w:sz w:val="21"/>
                <w:szCs w:val="21"/>
              </w:rPr>
            </w:pPr>
          </w:p>
        </w:tc>
        <w:tc>
          <w:tcPr>
            <w:tcW w:w="217" w:type="dxa"/>
          </w:tcPr>
          <w:p w14:paraId="7EB72263" w14:textId="77777777" w:rsidR="002C0FD9" w:rsidRPr="00CA25CF" w:rsidRDefault="002C0FD9" w:rsidP="00CA25CF">
            <w:pPr>
              <w:rPr>
                <w:rFonts w:cs="Arial"/>
                <w:color w:val="FF0000"/>
                <w:sz w:val="21"/>
                <w:szCs w:val="21"/>
              </w:rPr>
            </w:pPr>
          </w:p>
        </w:tc>
        <w:tc>
          <w:tcPr>
            <w:tcW w:w="217" w:type="dxa"/>
          </w:tcPr>
          <w:p w14:paraId="52AF23A7" w14:textId="77777777" w:rsidR="002C0FD9" w:rsidRPr="00CA25CF" w:rsidRDefault="002C0FD9" w:rsidP="00CA25CF">
            <w:pPr>
              <w:rPr>
                <w:rFonts w:cs="Arial"/>
                <w:color w:val="FF0000"/>
                <w:sz w:val="21"/>
                <w:szCs w:val="21"/>
              </w:rPr>
            </w:pPr>
          </w:p>
        </w:tc>
        <w:tc>
          <w:tcPr>
            <w:tcW w:w="217" w:type="dxa"/>
          </w:tcPr>
          <w:p w14:paraId="23F7A8E4" w14:textId="77777777" w:rsidR="002C0FD9" w:rsidRPr="00CA25CF" w:rsidRDefault="002C0FD9" w:rsidP="00CA25CF">
            <w:pPr>
              <w:rPr>
                <w:rFonts w:cs="Arial"/>
                <w:color w:val="FF0000"/>
                <w:sz w:val="21"/>
                <w:szCs w:val="21"/>
              </w:rPr>
            </w:pPr>
          </w:p>
        </w:tc>
        <w:tc>
          <w:tcPr>
            <w:tcW w:w="217" w:type="dxa"/>
          </w:tcPr>
          <w:p w14:paraId="6F1709E4" w14:textId="77777777" w:rsidR="002C0FD9" w:rsidRPr="00CA25CF" w:rsidRDefault="002C0FD9" w:rsidP="00CA25CF">
            <w:pPr>
              <w:rPr>
                <w:rFonts w:cs="Arial"/>
                <w:color w:val="FF0000"/>
                <w:sz w:val="21"/>
                <w:szCs w:val="21"/>
              </w:rPr>
            </w:pPr>
          </w:p>
        </w:tc>
        <w:tc>
          <w:tcPr>
            <w:tcW w:w="217" w:type="dxa"/>
          </w:tcPr>
          <w:p w14:paraId="61E37294" w14:textId="77777777" w:rsidR="002C0FD9" w:rsidRPr="00CA25CF" w:rsidRDefault="002C0FD9" w:rsidP="00CA25CF">
            <w:pPr>
              <w:rPr>
                <w:rFonts w:cs="Arial"/>
                <w:color w:val="FF0000"/>
                <w:sz w:val="21"/>
                <w:szCs w:val="21"/>
              </w:rPr>
            </w:pPr>
          </w:p>
        </w:tc>
        <w:tc>
          <w:tcPr>
            <w:tcW w:w="217" w:type="dxa"/>
          </w:tcPr>
          <w:p w14:paraId="6DAF7041" w14:textId="77777777" w:rsidR="002C0FD9" w:rsidRPr="00CA25CF" w:rsidRDefault="002C0FD9" w:rsidP="00CA25CF">
            <w:pPr>
              <w:rPr>
                <w:rFonts w:cs="Arial"/>
                <w:color w:val="FF0000"/>
                <w:sz w:val="21"/>
                <w:szCs w:val="21"/>
              </w:rPr>
            </w:pPr>
          </w:p>
        </w:tc>
        <w:tc>
          <w:tcPr>
            <w:tcW w:w="217" w:type="dxa"/>
          </w:tcPr>
          <w:p w14:paraId="7E725B4E" w14:textId="77777777" w:rsidR="002C0FD9" w:rsidRPr="00CA25CF" w:rsidRDefault="002C0FD9" w:rsidP="00CA25CF">
            <w:pPr>
              <w:rPr>
                <w:rFonts w:cs="Arial"/>
                <w:color w:val="FF0000"/>
                <w:sz w:val="21"/>
                <w:szCs w:val="21"/>
              </w:rPr>
            </w:pPr>
          </w:p>
        </w:tc>
        <w:tc>
          <w:tcPr>
            <w:tcW w:w="217" w:type="dxa"/>
          </w:tcPr>
          <w:p w14:paraId="0425BC8C" w14:textId="77777777" w:rsidR="002C0FD9" w:rsidRPr="00CA25CF" w:rsidRDefault="002C0FD9" w:rsidP="00CA25CF">
            <w:pPr>
              <w:rPr>
                <w:rFonts w:cs="Arial"/>
                <w:color w:val="FF0000"/>
                <w:sz w:val="21"/>
                <w:szCs w:val="21"/>
              </w:rPr>
            </w:pPr>
          </w:p>
        </w:tc>
        <w:tc>
          <w:tcPr>
            <w:tcW w:w="217" w:type="dxa"/>
          </w:tcPr>
          <w:p w14:paraId="36BEE80E" w14:textId="77777777" w:rsidR="002C0FD9" w:rsidRPr="00CA25CF" w:rsidRDefault="002C0FD9" w:rsidP="00CA25CF">
            <w:pPr>
              <w:rPr>
                <w:rFonts w:cs="Arial"/>
                <w:color w:val="FF0000"/>
                <w:sz w:val="21"/>
                <w:szCs w:val="21"/>
              </w:rPr>
            </w:pPr>
          </w:p>
        </w:tc>
        <w:tc>
          <w:tcPr>
            <w:tcW w:w="217" w:type="dxa"/>
          </w:tcPr>
          <w:p w14:paraId="54D92678" w14:textId="77777777" w:rsidR="002C0FD9" w:rsidRPr="00CA25CF" w:rsidRDefault="002C0FD9" w:rsidP="00CA25CF">
            <w:pPr>
              <w:rPr>
                <w:rFonts w:cs="Arial"/>
                <w:color w:val="FF0000"/>
                <w:sz w:val="21"/>
                <w:szCs w:val="21"/>
              </w:rPr>
            </w:pPr>
          </w:p>
        </w:tc>
        <w:tc>
          <w:tcPr>
            <w:tcW w:w="217" w:type="dxa"/>
          </w:tcPr>
          <w:p w14:paraId="29A5AB14" w14:textId="77777777" w:rsidR="002C0FD9" w:rsidRPr="00CA25CF" w:rsidRDefault="002C0FD9" w:rsidP="00CA25CF">
            <w:pPr>
              <w:rPr>
                <w:rFonts w:cs="Arial"/>
                <w:color w:val="FF0000"/>
                <w:sz w:val="21"/>
                <w:szCs w:val="21"/>
              </w:rPr>
            </w:pPr>
          </w:p>
        </w:tc>
        <w:tc>
          <w:tcPr>
            <w:tcW w:w="217" w:type="dxa"/>
          </w:tcPr>
          <w:p w14:paraId="53A0DDCE" w14:textId="77777777" w:rsidR="002C0FD9" w:rsidRPr="00CA25CF" w:rsidRDefault="002C0FD9" w:rsidP="00CA25CF">
            <w:pPr>
              <w:rPr>
                <w:rFonts w:cs="Arial"/>
                <w:color w:val="FF0000"/>
                <w:sz w:val="21"/>
                <w:szCs w:val="21"/>
              </w:rPr>
            </w:pPr>
          </w:p>
        </w:tc>
        <w:tc>
          <w:tcPr>
            <w:tcW w:w="217" w:type="dxa"/>
          </w:tcPr>
          <w:p w14:paraId="5D6A02DF" w14:textId="77777777" w:rsidR="002C0FD9" w:rsidRPr="00CA25CF" w:rsidRDefault="002C0FD9" w:rsidP="00CA25CF">
            <w:pPr>
              <w:rPr>
                <w:rFonts w:cs="Arial"/>
                <w:color w:val="FF0000"/>
                <w:sz w:val="21"/>
                <w:szCs w:val="21"/>
              </w:rPr>
            </w:pPr>
          </w:p>
        </w:tc>
        <w:tc>
          <w:tcPr>
            <w:tcW w:w="217" w:type="dxa"/>
          </w:tcPr>
          <w:p w14:paraId="46FD1973" w14:textId="77777777" w:rsidR="002C0FD9" w:rsidRPr="00CA25CF" w:rsidRDefault="002C0FD9" w:rsidP="00CA25CF">
            <w:pPr>
              <w:rPr>
                <w:rFonts w:cs="Arial"/>
                <w:color w:val="FF0000"/>
                <w:sz w:val="21"/>
                <w:szCs w:val="21"/>
              </w:rPr>
            </w:pPr>
          </w:p>
        </w:tc>
      </w:tr>
      <w:tr w:rsidR="002C0FD9" w:rsidRPr="00A16219" w14:paraId="4DC6024F" w14:textId="38B9BDD7" w:rsidTr="002C0FD9">
        <w:trPr>
          <w:trHeight w:val="635"/>
        </w:trPr>
        <w:tc>
          <w:tcPr>
            <w:tcW w:w="515" w:type="dxa"/>
          </w:tcPr>
          <w:p w14:paraId="1103569A" w14:textId="77777777" w:rsidR="002C0FD9" w:rsidRPr="00CA25CF" w:rsidRDefault="002C0FD9" w:rsidP="00CA25CF">
            <w:pPr>
              <w:rPr>
                <w:rFonts w:cs="Arial"/>
                <w:color w:val="FF0000"/>
                <w:sz w:val="21"/>
                <w:szCs w:val="21"/>
              </w:rPr>
            </w:pPr>
          </w:p>
        </w:tc>
        <w:tc>
          <w:tcPr>
            <w:tcW w:w="217" w:type="dxa"/>
          </w:tcPr>
          <w:p w14:paraId="7CFA0CCD" w14:textId="77777777" w:rsidR="002C0FD9" w:rsidRPr="00CA25CF" w:rsidRDefault="002C0FD9" w:rsidP="00CA25CF">
            <w:pPr>
              <w:rPr>
                <w:rFonts w:cs="Arial"/>
                <w:color w:val="FF0000"/>
                <w:sz w:val="21"/>
                <w:szCs w:val="21"/>
              </w:rPr>
            </w:pPr>
          </w:p>
        </w:tc>
        <w:tc>
          <w:tcPr>
            <w:tcW w:w="217" w:type="dxa"/>
          </w:tcPr>
          <w:p w14:paraId="481DFE87" w14:textId="2EA14C54" w:rsidR="002C0FD9" w:rsidRPr="00CA25CF" w:rsidRDefault="002C0FD9" w:rsidP="00CA25CF">
            <w:pPr>
              <w:rPr>
                <w:rFonts w:cs="Arial"/>
                <w:color w:val="FF0000"/>
                <w:sz w:val="21"/>
                <w:szCs w:val="21"/>
              </w:rPr>
            </w:pPr>
          </w:p>
        </w:tc>
        <w:tc>
          <w:tcPr>
            <w:tcW w:w="217" w:type="dxa"/>
          </w:tcPr>
          <w:p w14:paraId="41BA5DCE" w14:textId="77777777" w:rsidR="002C0FD9" w:rsidRPr="00CA25CF" w:rsidRDefault="002C0FD9" w:rsidP="00CA25CF">
            <w:pPr>
              <w:rPr>
                <w:rFonts w:cs="Arial"/>
                <w:color w:val="FF0000"/>
                <w:sz w:val="21"/>
                <w:szCs w:val="21"/>
              </w:rPr>
            </w:pPr>
          </w:p>
        </w:tc>
        <w:tc>
          <w:tcPr>
            <w:tcW w:w="217" w:type="dxa"/>
          </w:tcPr>
          <w:p w14:paraId="25AD7CBB" w14:textId="77777777" w:rsidR="002C0FD9" w:rsidRPr="00CA25CF" w:rsidRDefault="002C0FD9" w:rsidP="00CA25CF">
            <w:pPr>
              <w:rPr>
                <w:rFonts w:cs="Arial"/>
                <w:color w:val="FF0000"/>
                <w:sz w:val="21"/>
                <w:szCs w:val="21"/>
              </w:rPr>
            </w:pPr>
          </w:p>
        </w:tc>
        <w:tc>
          <w:tcPr>
            <w:tcW w:w="217" w:type="dxa"/>
          </w:tcPr>
          <w:p w14:paraId="0B96E40F" w14:textId="77777777" w:rsidR="002C0FD9" w:rsidRPr="00CA25CF" w:rsidRDefault="002C0FD9" w:rsidP="00CA25CF">
            <w:pPr>
              <w:rPr>
                <w:rFonts w:cs="Arial"/>
                <w:color w:val="FF0000"/>
                <w:sz w:val="21"/>
                <w:szCs w:val="21"/>
              </w:rPr>
            </w:pPr>
          </w:p>
        </w:tc>
        <w:tc>
          <w:tcPr>
            <w:tcW w:w="217" w:type="dxa"/>
          </w:tcPr>
          <w:p w14:paraId="36B7C9EC" w14:textId="77777777" w:rsidR="002C0FD9" w:rsidRPr="00CA25CF" w:rsidRDefault="002C0FD9" w:rsidP="00CA25CF">
            <w:pPr>
              <w:rPr>
                <w:rFonts w:cs="Arial"/>
                <w:color w:val="FF0000"/>
                <w:sz w:val="21"/>
                <w:szCs w:val="21"/>
              </w:rPr>
            </w:pPr>
          </w:p>
        </w:tc>
        <w:tc>
          <w:tcPr>
            <w:tcW w:w="217" w:type="dxa"/>
          </w:tcPr>
          <w:p w14:paraId="43CA3E99" w14:textId="77777777" w:rsidR="002C0FD9" w:rsidRPr="00CA25CF" w:rsidRDefault="002C0FD9" w:rsidP="00CA25CF">
            <w:pPr>
              <w:rPr>
                <w:rFonts w:cs="Arial"/>
                <w:color w:val="FF0000"/>
                <w:sz w:val="21"/>
                <w:szCs w:val="21"/>
              </w:rPr>
            </w:pPr>
          </w:p>
        </w:tc>
        <w:tc>
          <w:tcPr>
            <w:tcW w:w="217" w:type="dxa"/>
          </w:tcPr>
          <w:p w14:paraId="40D04195" w14:textId="77777777" w:rsidR="002C0FD9" w:rsidRPr="00CA25CF" w:rsidRDefault="002C0FD9" w:rsidP="00CA25CF">
            <w:pPr>
              <w:rPr>
                <w:rFonts w:cs="Arial"/>
                <w:color w:val="FF0000"/>
                <w:sz w:val="21"/>
                <w:szCs w:val="21"/>
              </w:rPr>
            </w:pPr>
          </w:p>
        </w:tc>
        <w:tc>
          <w:tcPr>
            <w:tcW w:w="217" w:type="dxa"/>
          </w:tcPr>
          <w:p w14:paraId="1070CE58" w14:textId="77777777" w:rsidR="002C0FD9" w:rsidRPr="00CA25CF" w:rsidRDefault="002C0FD9" w:rsidP="00CA25CF">
            <w:pPr>
              <w:rPr>
                <w:rFonts w:cs="Arial"/>
                <w:color w:val="FF0000"/>
                <w:sz w:val="21"/>
                <w:szCs w:val="21"/>
              </w:rPr>
            </w:pPr>
          </w:p>
        </w:tc>
        <w:tc>
          <w:tcPr>
            <w:tcW w:w="217" w:type="dxa"/>
          </w:tcPr>
          <w:p w14:paraId="52A8B7F2" w14:textId="77777777" w:rsidR="002C0FD9" w:rsidRPr="00CA25CF" w:rsidRDefault="002C0FD9" w:rsidP="00CA25CF">
            <w:pPr>
              <w:rPr>
                <w:rFonts w:cs="Arial"/>
                <w:color w:val="FF0000"/>
                <w:sz w:val="21"/>
                <w:szCs w:val="21"/>
              </w:rPr>
            </w:pPr>
          </w:p>
        </w:tc>
        <w:tc>
          <w:tcPr>
            <w:tcW w:w="217" w:type="dxa"/>
          </w:tcPr>
          <w:p w14:paraId="2DA59EAD" w14:textId="77777777" w:rsidR="002C0FD9" w:rsidRPr="00CA25CF" w:rsidRDefault="002C0FD9" w:rsidP="00CA25CF">
            <w:pPr>
              <w:rPr>
                <w:rFonts w:cs="Arial"/>
                <w:color w:val="FF0000"/>
                <w:sz w:val="21"/>
                <w:szCs w:val="21"/>
              </w:rPr>
            </w:pPr>
          </w:p>
        </w:tc>
        <w:tc>
          <w:tcPr>
            <w:tcW w:w="217" w:type="dxa"/>
          </w:tcPr>
          <w:p w14:paraId="45C50B91" w14:textId="77777777" w:rsidR="002C0FD9" w:rsidRPr="00CA25CF" w:rsidRDefault="002C0FD9" w:rsidP="00CA25CF">
            <w:pPr>
              <w:rPr>
                <w:rFonts w:cs="Arial"/>
                <w:color w:val="FF0000"/>
                <w:sz w:val="21"/>
                <w:szCs w:val="21"/>
              </w:rPr>
            </w:pPr>
          </w:p>
        </w:tc>
        <w:tc>
          <w:tcPr>
            <w:tcW w:w="217" w:type="dxa"/>
          </w:tcPr>
          <w:p w14:paraId="3359A6C6" w14:textId="77777777" w:rsidR="002C0FD9" w:rsidRPr="00CA25CF" w:rsidRDefault="002C0FD9" w:rsidP="00CA25CF">
            <w:pPr>
              <w:rPr>
                <w:rFonts w:cs="Arial"/>
                <w:color w:val="FF0000"/>
                <w:sz w:val="21"/>
                <w:szCs w:val="21"/>
              </w:rPr>
            </w:pPr>
          </w:p>
        </w:tc>
        <w:tc>
          <w:tcPr>
            <w:tcW w:w="217" w:type="dxa"/>
          </w:tcPr>
          <w:p w14:paraId="115FBF64" w14:textId="77777777" w:rsidR="002C0FD9" w:rsidRPr="00CA25CF" w:rsidRDefault="002C0FD9" w:rsidP="00CA25CF">
            <w:pPr>
              <w:rPr>
                <w:rFonts w:cs="Arial"/>
                <w:color w:val="FF0000"/>
                <w:sz w:val="21"/>
                <w:szCs w:val="21"/>
              </w:rPr>
            </w:pPr>
          </w:p>
        </w:tc>
        <w:tc>
          <w:tcPr>
            <w:tcW w:w="217" w:type="dxa"/>
          </w:tcPr>
          <w:p w14:paraId="213E216B" w14:textId="77777777" w:rsidR="002C0FD9" w:rsidRPr="00CA25CF" w:rsidRDefault="002C0FD9" w:rsidP="00CA25CF">
            <w:pPr>
              <w:rPr>
                <w:rFonts w:cs="Arial"/>
                <w:color w:val="FF0000"/>
                <w:sz w:val="21"/>
                <w:szCs w:val="21"/>
              </w:rPr>
            </w:pPr>
          </w:p>
        </w:tc>
        <w:tc>
          <w:tcPr>
            <w:tcW w:w="217" w:type="dxa"/>
          </w:tcPr>
          <w:p w14:paraId="6794C14A" w14:textId="77777777" w:rsidR="002C0FD9" w:rsidRPr="00CA25CF" w:rsidRDefault="002C0FD9" w:rsidP="00CA25CF">
            <w:pPr>
              <w:rPr>
                <w:rFonts w:cs="Arial"/>
                <w:color w:val="FF0000"/>
                <w:sz w:val="21"/>
                <w:szCs w:val="21"/>
              </w:rPr>
            </w:pPr>
          </w:p>
        </w:tc>
        <w:tc>
          <w:tcPr>
            <w:tcW w:w="217" w:type="dxa"/>
          </w:tcPr>
          <w:p w14:paraId="50C80F4B" w14:textId="77777777" w:rsidR="002C0FD9" w:rsidRPr="00CA25CF" w:rsidRDefault="002C0FD9" w:rsidP="00CA25CF">
            <w:pPr>
              <w:rPr>
                <w:rFonts w:cs="Arial"/>
                <w:color w:val="FF0000"/>
                <w:sz w:val="21"/>
                <w:szCs w:val="21"/>
              </w:rPr>
            </w:pPr>
          </w:p>
        </w:tc>
        <w:tc>
          <w:tcPr>
            <w:tcW w:w="217" w:type="dxa"/>
          </w:tcPr>
          <w:p w14:paraId="25FFA12A" w14:textId="77777777" w:rsidR="002C0FD9" w:rsidRPr="00CA25CF" w:rsidRDefault="002C0FD9" w:rsidP="00CA25CF">
            <w:pPr>
              <w:rPr>
                <w:rFonts w:cs="Arial"/>
                <w:color w:val="FF0000"/>
                <w:sz w:val="21"/>
                <w:szCs w:val="21"/>
              </w:rPr>
            </w:pPr>
          </w:p>
        </w:tc>
        <w:tc>
          <w:tcPr>
            <w:tcW w:w="217" w:type="dxa"/>
          </w:tcPr>
          <w:p w14:paraId="5AD697D5" w14:textId="77777777" w:rsidR="002C0FD9" w:rsidRPr="00CA25CF" w:rsidRDefault="002C0FD9" w:rsidP="00CA25CF">
            <w:pPr>
              <w:rPr>
                <w:rFonts w:cs="Arial"/>
                <w:color w:val="FF0000"/>
                <w:sz w:val="21"/>
                <w:szCs w:val="21"/>
              </w:rPr>
            </w:pPr>
          </w:p>
        </w:tc>
        <w:tc>
          <w:tcPr>
            <w:tcW w:w="217" w:type="dxa"/>
          </w:tcPr>
          <w:p w14:paraId="758B9C78" w14:textId="77777777" w:rsidR="002C0FD9" w:rsidRPr="00CA25CF" w:rsidRDefault="002C0FD9" w:rsidP="00CA25CF">
            <w:pPr>
              <w:rPr>
                <w:rFonts w:cs="Arial"/>
                <w:color w:val="FF0000"/>
                <w:sz w:val="21"/>
                <w:szCs w:val="21"/>
              </w:rPr>
            </w:pPr>
          </w:p>
        </w:tc>
        <w:tc>
          <w:tcPr>
            <w:tcW w:w="217" w:type="dxa"/>
          </w:tcPr>
          <w:p w14:paraId="07FE9C7C" w14:textId="77777777" w:rsidR="002C0FD9" w:rsidRPr="00CA25CF" w:rsidRDefault="002C0FD9" w:rsidP="00CA25CF">
            <w:pPr>
              <w:rPr>
                <w:rFonts w:cs="Arial"/>
                <w:color w:val="FF0000"/>
                <w:sz w:val="21"/>
                <w:szCs w:val="21"/>
              </w:rPr>
            </w:pPr>
          </w:p>
        </w:tc>
        <w:tc>
          <w:tcPr>
            <w:tcW w:w="217" w:type="dxa"/>
          </w:tcPr>
          <w:p w14:paraId="48B4BCAB" w14:textId="77777777" w:rsidR="002C0FD9" w:rsidRPr="00CA25CF" w:rsidRDefault="002C0FD9" w:rsidP="00CA25CF">
            <w:pPr>
              <w:rPr>
                <w:rFonts w:cs="Arial"/>
                <w:color w:val="FF0000"/>
                <w:sz w:val="21"/>
                <w:szCs w:val="21"/>
              </w:rPr>
            </w:pPr>
          </w:p>
        </w:tc>
        <w:tc>
          <w:tcPr>
            <w:tcW w:w="217" w:type="dxa"/>
          </w:tcPr>
          <w:p w14:paraId="58B6C49C" w14:textId="77777777" w:rsidR="002C0FD9" w:rsidRPr="00CA25CF" w:rsidRDefault="002C0FD9" w:rsidP="00CA25CF">
            <w:pPr>
              <w:rPr>
                <w:rFonts w:cs="Arial"/>
                <w:color w:val="FF0000"/>
                <w:sz w:val="21"/>
                <w:szCs w:val="21"/>
              </w:rPr>
            </w:pPr>
          </w:p>
        </w:tc>
        <w:tc>
          <w:tcPr>
            <w:tcW w:w="217" w:type="dxa"/>
          </w:tcPr>
          <w:p w14:paraId="76A1825D" w14:textId="77777777" w:rsidR="002C0FD9" w:rsidRPr="00CA25CF" w:rsidRDefault="002C0FD9" w:rsidP="00CA25CF">
            <w:pPr>
              <w:rPr>
                <w:rFonts w:cs="Arial"/>
                <w:color w:val="FF0000"/>
                <w:sz w:val="21"/>
                <w:szCs w:val="21"/>
              </w:rPr>
            </w:pPr>
          </w:p>
        </w:tc>
        <w:tc>
          <w:tcPr>
            <w:tcW w:w="217" w:type="dxa"/>
          </w:tcPr>
          <w:p w14:paraId="2D1326FE" w14:textId="77777777" w:rsidR="002C0FD9" w:rsidRPr="00CA25CF" w:rsidRDefault="002C0FD9" w:rsidP="00CA25CF">
            <w:pPr>
              <w:rPr>
                <w:rFonts w:cs="Arial"/>
                <w:color w:val="FF0000"/>
                <w:sz w:val="21"/>
                <w:szCs w:val="21"/>
              </w:rPr>
            </w:pPr>
          </w:p>
        </w:tc>
        <w:tc>
          <w:tcPr>
            <w:tcW w:w="217" w:type="dxa"/>
          </w:tcPr>
          <w:p w14:paraId="52CBA5D4" w14:textId="77777777" w:rsidR="002C0FD9" w:rsidRPr="00CA25CF" w:rsidRDefault="002C0FD9" w:rsidP="00CA25CF">
            <w:pPr>
              <w:rPr>
                <w:rFonts w:cs="Arial"/>
                <w:color w:val="FF0000"/>
                <w:sz w:val="21"/>
                <w:szCs w:val="21"/>
              </w:rPr>
            </w:pPr>
          </w:p>
        </w:tc>
        <w:tc>
          <w:tcPr>
            <w:tcW w:w="217" w:type="dxa"/>
          </w:tcPr>
          <w:p w14:paraId="69A5A1C3" w14:textId="77777777" w:rsidR="002C0FD9" w:rsidRPr="00CA25CF" w:rsidRDefault="002C0FD9" w:rsidP="00CA25CF">
            <w:pPr>
              <w:rPr>
                <w:rFonts w:cs="Arial"/>
                <w:color w:val="FF0000"/>
                <w:sz w:val="21"/>
                <w:szCs w:val="21"/>
              </w:rPr>
            </w:pPr>
          </w:p>
        </w:tc>
        <w:tc>
          <w:tcPr>
            <w:tcW w:w="217" w:type="dxa"/>
          </w:tcPr>
          <w:p w14:paraId="123B9753" w14:textId="77777777" w:rsidR="002C0FD9" w:rsidRPr="00CA25CF" w:rsidRDefault="002C0FD9" w:rsidP="00CA25CF">
            <w:pPr>
              <w:rPr>
                <w:rFonts w:cs="Arial"/>
                <w:color w:val="FF0000"/>
                <w:sz w:val="21"/>
                <w:szCs w:val="21"/>
              </w:rPr>
            </w:pPr>
          </w:p>
        </w:tc>
        <w:tc>
          <w:tcPr>
            <w:tcW w:w="217" w:type="dxa"/>
          </w:tcPr>
          <w:p w14:paraId="13290AB2" w14:textId="77777777" w:rsidR="002C0FD9" w:rsidRPr="00CA25CF" w:rsidRDefault="002C0FD9" w:rsidP="00CA25CF">
            <w:pPr>
              <w:rPr>
                <w:rFonts w:cs="Arial"/>
                <w:color w:val="FF0000"/>
                <w:sz w:val="21"/>
                <w:szCs w:val="21"/>
              </w:rPr>
            </w:pPr>
          </w:p>
        </w:tc>
        <w:tc>
          <w:tcPr>
            <w:tcW w:w="217" w:type="dxa"/>
          </w:tcPr>
          <w:p w14:paraId="288C0357" w14:textId="77777777" w:rsidR="002C0FD9" w:rsidRPr="00CA25CF" w:rsidRDefault="002C0FD9" w:rsidP="00CA25CF">
            <w:pPr>
              <w:rPr>
                <w:rFonts w:cs="Arial"/>
                <w:color w:val="FF0000"/>
                <w:sz w:val="21"/>
                <w:szCs w:val="21"/>
              </w:rPr>
            </w:pPr>
          </w:p>
        </w:tc>
        <w:tc>
          <w:tcPr>
            <w:tcW w:w="217" w:type="dxa"/>
          </w:tcPr>
          <w:p w14:paraId="1E68EEAF" w14:textId="77777777" w:rsidR="002C0FD9" w:rsidRPr="00CA25CF" w:rsidRDefault="002C0FD9" w:rsidP="00CA25CF">
            <w:pPr>
              <w:rPr>
                <w:rFonts w:cs="Arial"/>
                <w:color w:val="FF0000"/>
                <w:sz w:val="21"/>
                <w:szCs w:val="21"/>
              </w:rPr>
            </w:pPr>
          </w:p>
        </w:tc>
        <w:tc>
          <w:tcPr>
            <w:tcW w:w="217" w:type="dxa"/>
          </w:tcPr>
          <w:p w14:paraId="3A996D64" w14:textId="77777777" w:rsidR="002C0FD9" w:rsidRPr="00CA25CF" w:rsidRDefault="002C0FD9" w:rsidP="00CA25CF">
            <w:pPr>
              <w:rPr>
                <w:rFonts w:cs="Arial"/>
                <w:color w:val="FF0000"/>
                <w:sz w:val="21"/>
                <w:szCs w:val="21"/>
              </w:rPr>
            </w:pPr>
          </w:p>
        </w:tc>
        <w:tc>
          <w:tcPr>
            <w:tcW w:w="217" w:type="dxa"/>
          </w:tcPr>
          <w:p w14:paraId="2B06698D" w14:textId="77777777" w:rsidR="002C0FD9" w:rsidRPr="00CA25CF" w:rsidRDefault="002C0FD9" w:rsidP="00CA25CF">
            <w:pPr>
              <w:rPr>
                <w:rFonts w:cs="Arial"/>
                <w:color w:val="FF0000"/>
                <w:sz w:val="21"/>
                <w:szCs w:val="21"/>
              </w:rPr>
            </w:pPr>
          </w:p>
        </w:tc>
        <w:tc>
          <w:tcPr>
            <w:tcW w:w="217" w:type="dxa"/>
          </w:tcPr>
          <w:p w14:paraId="300BFFFE" w14:textId="77777777" w:rsidR="002C0FD9" w:rsidRPr="00CA25CF" w:rsidRDefault="002C0FD9" w:rsidP="00CA25CF">
            <w:pPr>
              <w:rPr>
                <w:rFonts w:cs="Arial"/>
                <w:color w:val="FF0000"/>
                <w:sz w:val="21"/>
                <w:szCs w:val="21"/>
              </w:rPr>
            </w:pPr>
          </w:p>
        </w:tc>
        <w:tc>
          <w:tcPr>
            <w:tcW w:w="217" w:type="dxa"/>
          </w:tcPr>
          <w:p w14:paraId="57688ED6" w14:textId="77777777" w:rsidR="002C0FD9" w:rsidRPr="00CA25CF" w:rsidRDefault="002C0FD9" w:rsidP="00CA25CF">
            <w:pPr>
              <w:rPr>
                <w:rFonts w:cs="Arial"/>
                <w:color w:val="FF0000"/>
                <w:sz w:val="21"/>
                <w:szCs w:val="21"/>
              </w:rPr>
            </w:pPr>
          </w:p>
        </w:tc>
        <w:tc>
          <w:tcPr>
            <w:tcW w:w="217" w:type="dxa"/>
          </w:tcPr>
          <w:p w14:paraId="613C803B" w14:textId="77777777" w:rsidR="002C0FD9" w:rsidRPr="00CA25CF" w:rsidRDefault="002C0FD9" w:rsidP="00CA25CF">
            <w:pPr>
              <w:rPr>
                <w:rFonts w:cs="Arial"/>
                <w:color w:val="FF0000"/>
                <w:sz w:val="21"/>
                <w:szCs w:val="21"/>
              </w:rPr>
            </w:pPr>
          </w:p>
        </w:tc>
        <w:tc>
          <w:tcPr>
            <w:tcW w:w="217" w:type="dxa"/>
          </w:tcPr>
          <w:p w14:paraId="69104520" w14:textId="77777777" w:rsidR="002C0FD9" w:rsidRPr="00CA25CF" w:rsidRDefault="002C0FD9" w:rsidP="00CA25CF">
            <w:pPr>
              <w:rPr>
                <w:rFonts w:cs="Arial"/>
                <w:color w:val="FF0000"/>
                <w:sz w:val="21"/>
                <w:szCs w:val="21"/>
              </w:rPr>
            </w:pPr>
          </w:p>
        </w:tc>
        <w:tc>
          <w:tcPr>
            <w:tcW w:w="217" w:type="dxa"/>
          </w:tcPr>
          <w:p w14:paraId="3038D9D5" w14:textId="77777777" w:rsidR="002C0FD9" w:rsidRPr="00CA25CF" w:rsidRDefault="002C0FD9" w:rsidP="00CA25CF">
            <w:pPr>
              <w:rPr>
                <w:rFonts w:cs="Arial"/>
                <w:color w:val="FF0000"/>
                <w:sz w:val="21"/>
                <w:szCs w:val="21"/>
              </w:rPr>
            </w:pPr>
          </w:p>
        </w:tc>
        <w:tc>
          <w:tcPr>
            <w:tcW w:w="217" w:type="dxa"/>
          </w:tcPr>
          <w:p w14:paraId="100987DD" w14:textId="77777777" w:rsidR="002C0FD9" w:rsidRPr="00CA25CF" w:rsidRDefault="002C0FD9" w:rsidP="00CA25CF">
            <w:pPr>
              <w:rPr>
                <w:rFonts w:cs="Arial"/>
                <w:color w:val="FF0000"/>
                <w:sz w:val="21"/>
                <w:szCs w:val="21"/>
              </w:rPr>
            </w:pPr>
          </w:p>
        </w:tc>
        <w:tc>
          <w:tcPr>
            <w:tcW w:w="217" w:type="dxa"/>
          </w:tcPr>
          <w:p w14:paraId="58ADE7B3" w14:textId="77777777" w:rsidR="002C0FD9" w:rsidRPr="00CA25CF" w:rsidRDefault="002C0FD9" w:rsidP="00CA25CF">
            <w:pPr>
              <w:rPr>
                <w:rFonts w:cs="Arial"/>
                <w:color w:val="FF0000"/>
                <w:sz w:val="21"/>
                <w:szCs w:val="21"/>
              </w:rPr>
            </w:pPr>
          </w:p>
        </w:tc>
        <w:tc>
          <w:tcPr>
            <w:tcW w:w="217" w:type="dxa"/>
          </w:tcPr>
          <w:p w14:paraId="229EA3A2" w14:textId="77777777" w:rsidR="002C0FD9" w:rsidRPr="00CA25CF" w:rsidRDefault="002C0FD9" w:rsidP="00CA25CF">
            <w:pPr>
              <w:rPr>
                <w:rFonts w:cs="Arial"/>
                <w:color w:val="FF0000"/>
                <w:sz w:val="21"/>
                <w:szCs w:val="21"/>
              </w:rPr>
            </w:pPr>
          </w:p>
        </w:tc>
        <w:tc>
          <w:tcPr>
            <w:tcW w:w="217" w:type="dxa"/>
          </w:tcPr>
          <w:p w14:paraId="3AF83D04" w14:textId="77777777" w:rsidR="002C0FD9" w:rsidRPr="00CA25CF" w:rsidRDefault="002C0FD9" w:rsidP="00CA25CF">
            <w:pPr>
              <w:rPr>
                <w:rFonts w:cs="Arial"/>
                <w:color w:val="FF0000"/>
                <w:sz w:val="21"/>
                <w:szCs w:val="21"/>
              </w:rPr>
            </w:pPr>
          </w:p>
        </w:tc>
      </w:tr>
      <w:tr w:rsidR="002C0FD9" w:rsidRPr="00A16219" w14:paraId="14F87B89" w14:textId="7E4CB1DE" w:rsidTr="002C0FD9">
        <w:trPr>
          <w:trHeight w:val="635"/>
        </w:trPr>
        <w:tc>
          <w:tcPr>
            <w:tcW w:w="515" w:type="dxa"/>
          </w:tcPr>
          <w:p w14:paraId="4053728E" w14:textId="77777777" w:rsidR="002C0FD9" w:rsidRPr="00CA25CF" w:rsidRDefault="002C0FD9" w:rsidP="00CA25CF">
            <w:pPr>
              <w:rPr>
                <w:rFonts w:cs="Arial"/>
                <w:color w:val="FF0000"/>
                <w:sz w:val="21"/>
                <w:szCs w:val="21"/>
              </w:rPr>
            </w:pPr>
          </w:p>
        </w:tc>
        <w:tc>
          <w:tcPr>
            <w:tcW w:w="217" w:type="dxa"/>
          </w:tcPr>
          <w:p w14:paraId="2C160E35" w14:textId="77777777" w:rsidR="002C0FD9" w:rsidRPr="00CA25CF" w:rsidRDefault="002C0FD9" w:rsidP="00CA25CF">
            <w:pPr>
              <w:rPr>
                <w:rFonts w:cs="Arial"/>
                <w:color w:val="FF0000"/>
                <w:sz w:val="21"/>
                <w:szCs w:val="21"/>
              </w:rPr>
            </w:pPr>
          </w:p>
        </w:tc>
        <w:tc>
          <w:tcPr>
            <w:tcW w:w="217" w:type="dxa"/>
          </w:tcPr>
          <w:p w14:paraId="5C5E93F7" w14:textId="27817299" w:rsidR="002C0FD9" w:rsidRPr="00CA25CF" w:rsidRDefault="002C0FD9" w:rsidP="00CA25CF">
            <w:pPr>
              <w:rPr>
                <w:rFonts w:cs="Arial"/>
                <w:color w:val="FF0000"/>
                <w:sz w:val="21"/>
                <w:szCs w:val="21"/>
              </w:rPr>
            </w:pPr>
          </w:p>
        </w:tc>
        <w:tc>
          <w:tcPr>
            <w:tcW w:w="217" w:type="dxa"/>
          </w:tcPr>
          <w:p w14:paraId="335F5787" w14:textId="77777777" w:rsidR="002C0FD9" w:rsidRPr="00CA25CF" w:rsidRDefault="002C0FD9" w:rsidP="00CA25CF">
            <w:pPr>
              <w:rPr>
                <w:rFonts w:cs="Arial"/>
                <w:color w:val="FF0000"/>
                <w:sz w:val="21"/>
                <w:szCs w:val="21"/>
              </w:rPr>
            </w:pPr>
          </w:p>
        </w:tc>
        <w:tc>
          <w:tcPr>
            <w:tcW w:w="217" w:type="dxa"/>
          </w:tcPr>
          <w:p w14:paraId="6BADA5FD" w14:textId="77777777" w:rsidR="002C0FD9" w:rsidRPr="00CA25CF" w:rsidRDefault="002C0FD9" w:rsidP="00CA25CF">
            <w:pPr>
              <w:rPr>
                <w:rFonts w:cs="Arial"/>
                <w:color w:val="FF0000"/>
                <w:sz w:val="21"/>
                <w:szCs w:val="21"/>
              </w:rPr>
            </w:pPr>
          </w:p>
        </w:tc>
        <w:tc>
          <w:tcPr>
            <w:tcW w:w="217" w:type="dxa"/>
          </w:tcPr>
          <w:p w14:paraId="7FC5D3D7" w14:textId="77777777" w:rsidR="002C0FD9" w:rsidRPr="00CA25CF" w:rsidRDefault="002C0FD9" w:rsidP="00CA25CF">
            <w:pPr>
              <w:rPr>
                <w:rFonts w:cs="Arial"/>
                <w:color w:val="FF0000"/>
                <w:sz w:val="21"/>
                <w:szCs w:val="21"/>
              </w:rPr>
            </w:pPr>
          </w:p>
        </w:tc>
        <w:tc>
          <w:tcPr>
            <w:tcW w:w="217" w:type="dxa"/>
          </w:tcPr>
          <w:p w14:paraId="635CE5C0" w14:textId="77777777" w:rsidR="002C0FD9" w:rsidRPr="00CA25CF" w:rsidRDefault="002C0FD9" w:rsidP="00CA25CF">
            <w:pPr>
              <w:rPr>
                <w:rFonts w:cs="Arial"/>
                <w:color w:val="FF0000"/>
                <w:sz w:val="21"/>
                <w:szCs w:val="21"/>
              </w:rPr>
            </w:pPr>
          </w:p>
        </w:tc>
        <w:tc>
          <w:tcPr>
            <w:tcW w:w="217" w:type="dxa"/>
          </w:tcPr>
          <w:p w14:paraId="7DE6E052" w14:textId="77777777" w:rsidR="002C0FD9" w:rsidRPr="00CA25CF" w:rsidRDefault="002C0FD9" w:rsidP="00CA25CF">
            <w:pPr>
              <w:rPr>
                <w:rFonts w:cs="Arial"/>
                <w:color w:val="FF0000"/>
                <w:sz w:val="21"/>
                <w:szCs w:val="21"/>
              </w:rPr>
            </w:pPr>
          </w:p>
        </w:tc>
        <w:tc>
          <w:tcPr>
            <w:tcW w:w="217" w:type="dxa"/>
          </w:tcPr>
          <w:p w14:paraId="1D38A75F" w14:textId="77777777" w:rsidR="002C0FD9" w:rsidRPr="00CA25CF" w:rsidRDefault="002C0FD9" w:rsidP="00CA25CF">
            <w:pPr>
              <w:rPr>
                <w:rFonts w:cs="Arial"/>
                <w:color w:val="FF0000"/>
                <w:sz w:val="21"/>
                <w:szCs w:val="21"/>
              </w:rPr>
            </w:pPr>
          </w:p>
        </w:tc>
        <w:tc>
          <w:tcPr>
            <w:tcW w:w="217" w:type="dxa"/>
          </w:tcPr>
          <w:p w14:paraId="2179AB79" w14:textId="77777777" w:rsidR="002C0FD9" w:rsidRPr="00CA25CF" w:rsidRDefault="002C0FD9" w:rsidP="00CA25CF">
            <w:pPr>
              <w:rPr>
                <w:rFonts w:cs="Arial"/>
                <w:color w:val="FF0000"/>
                <w:sz w:val="21"/>
                <w:szCs w:val="21"/>
              </w:rPr>
            </w:pPr>
          </w:p>
        </w:tc>
        <w:tc>
          <w:tcPr>
            <w:tcW w:w="217" w:type="dxa"/>
          </w:tcPr>
          <w:p w14:paraId="53B41121" w14:textId="77777777" w:rsidR="002C0FD9" w:rsidRPr="00CA25CF" w:rsidRDefault="002C0FD9" w:rsidP="00CA25CF">
            <w:pPr>
              <w:rPr>
                <w:rFonts w:cs="Arial"/>
                <w:color w:val="FF0000"/>
                <w:sz w:val="21"/>
                <w:szCs w:val="21"/>
              </w:rPr>
            </w:pPr>
          </w:p>
        </w:tc>
        <w:tc>
          <w:tcPr>
            <w:tcW w:w="217" w:type="dxa"/>
          </w:tcPr>
          <w:p w14:paraId="3E020677" w14:textId="77777777" w:rsidR="002C0FD9" w:rsidRPr="00CA25CF" w:rsidRDefault="002C0FD9" w:rsidP="00CA25CF">
            <w:pPr>
              <w:rPr>
                <w:rFonts w:cs="Arial"/>
                <w:color w:val="FF0000"/>
                <w:sz w:val="21"/>
                <w:szCs w:val="21"/>
              </w:rPr>
            </w:pPr>
          </w:p>
        </w:tc>
        <w:tc>
          <w:tcPr>
            <w:tcW w:w="217" w:type="dxa"/>
          </w:tcPr>
          <w:p w14:paraId="6EBED726" w14:textId="77777777" w:rsidR="002C0FD9" w:rsidRPr="00CA25CF" w:rsidRDefault="002C0FD9" w:rsidP="00CA25CF">
            <w:pPr>
              <w:rPr>
                <w:rFonts w:cs="Arial"/>
                <w:color w:val="FF0000"/>
                <w:sz w:val="21"/>
                <w:szCs w:val="21"/>
              </w:rPr>
            </w:pPr>
          </w:p>
        </w:tc>
        <w:tc>
          <w:tcPr>
            <w:tcW w:w="217" w:type="dxa"/>
          </w:tcPr>
          <w:p w14:paraId="2A50B76E" w14:textId="77777777" w:rsidR="002C0FD9" w:rsidRPr="00CA25CF" w:rsidRDefault="002C0FD9" w:rsidP="00CA25CF">
            <w:pPr>
              <w:rPr>
                <w:rFonts w:cs="Arial"/>
                <w:color w:val="FF0000"/>
                <w:sz w:val="21"/>
                <w:szCs w:val="21"/>
              </w:rPr>
            </w:pPr>
          </w:p>
        </w:tc>
        <w:tc>
          <w:tcPr>
            <w:tcW w:w="217" w:type="dxa"/>
          </w:tcPr>
          <w:p w14:paraId="7599BCB7" w14:textId="77777777" w:rsidR="002C0FD9" w:rsidRPr="00CA25CF" w:rsidRDefault="002C0FD9" w:rsidP="00CA25CF">
            <w:pPr>
              <w:rPr>
                <w:rFonts w:cs="Arial"/>
                <w:color w:val="FF0000"/>
                <w:sz w:val="21"/>
                <w:szCs w:val="21"/>
              </w:rPr>
            </w:pPr>
          </w:p>
        </w:tc>
        <w:tc>
          <w:tcPr>
            <w:tcW w:w="217" w:type="dxa"/>
          </w:tcPr>
          <w:p w14:paraId="25E9BCCE" w14:textId="77777777" w:rsidR="002C0FD9" w:rsidRPr="00CA25CF" w:rsidRDefault="002C0FD9" w:rsidP="00CA25CF">
            <w:pPr>
              <w:rPr>
                <w:rFonts w:cs="Arial"/>
                <w:color w:val="FF0000"/>
                <w:sz w:val="21"/>
                <w:szCs w:val="21"/>
              </w:rPr>
            </w:pPr>
          </w:p>
        </w:tc>
        <w:tc>
          <w:tcPr>
            <w:tcW w:w="217" w:type="dxa"/>
          </w:tcPr>
          <w:p w14:paraId="12FCFC23" w14:textId="77777777" w:rsidR="002C0FD9" w:rsidRPr="00CA25CF" w:rsidRDefault="002C0FD9" w:rsidP="00CA25CF">
            <w:pPr>
              <w:rPr>
                <w:rFonts w:cs="Arial"/>
                <w:color w:val="FF0000"/>
                <w:sz w:val="21"/>
                <w:szCs w:val="21"/>
              </w:rPr>
            </w:pPr>
          </w:p>
        </w:tc>
        <w:tc>
          <w:tcPr>
            <w:tcW w:w="217" w:type="dxa"/>
          </w:tcPr>
          <w:p w14:paraId="0E618144" w14:textId="77777777" w:rsidR="002C0FD9" w:rsidRPr="00CA25CF" w:rsidRDefault="002C0FD9" w:rsidP="00CA25CF">
            <w:pPr>
              <w:rPr>
                <w:rFonts w:cs="Arial"/>
                <w:color w:val="FF0000"/>
                <w:sz w:val="21"/>
                <w:szCs w:val="21"/>
              </w:rPr>
            </w:pPr>
          </w:p>
        </w:tc>
        <w:tc>
          <w:tcPr>
            <w:tcW w:w="217" w:type="dxa"/>
          </w:tcPr>
          <w:p w14:paraId="4DA8CA2B" w14:textId="77777777" w:rsidR="002C0FD9" w:rsidRPr="00CA25CF" w:rsidRDefault="002C0FD9" w:rsidP="00CA25CF">
            <w:pPr>
              <w:rPr>
                <w:rFonts w:cs="Arial"/>
                <w:color w:val="FF0000"/>
                <w:sz w:val="21"/>
                <w:szCs w:val="21"/>
              </w:rPr>
            </w:pPr>
          </w:p>
        </w:tc>
        <w:tc>
          <w:tcPr>
            <w:tcW w:w="217" w:type="dxa"/>
          </w:tcPr>
          <w:p w14:paraId="5F60C3DD" w14:textId="77777777" w:rsidR="002C0FD9" w:rsidRPr="00CA25CF" w:rsidRDefault="002C0FD9" w:rsidP="00CA25CF">
            <w:pPr>
              <w:rPr>
                <w:rFonts w:cs="Arial"/>
                <w:color w:val="FF0000"/>
                <w:sz w:val="21"/>
                <w:szCs w:val="21"/>
              </w:rPr>
            </w:pPr>
          </w:p>
        </w:tc>
        <w:tc>
          <w:tcPr>
            <w:tcW w:w="217" w:type="dxa"/>
          </w:tcPr>
          <w:p w14:paraId="1E46D2DF" w14:textId="77777777" w:rsidR="002C0FD9" w:rsidRPr="00CA25CF" w:rsidRDefault="002C0FD9" w:rsidP="00CA25CF">
            <w:pPr>
              <w:rPr>
                <w:rFonts w:cs="Arial"/>
                <w:color w:val="FF0000"/>
                <w:sz w:val="21"/>
                <w:szCs w:val="21"/>
              </w:rPr>
            </w:pPr>
          </w:p>
        </w:tc>
        <w:tc>
          <w:tcPr>
            <w:tcW w:w="217" w:type="dxa"/>
          </w:tcPr>
          <w:p w14:paraId="1E1489D5" w14:textId="77777777" w:rsidR="002C0FD9" w:rsidRPr="00CA25CF" w:rsidRDefault="002C0FD9" w:rsidP="00CA25CF">
            <w:pPr>
              <w:rPr>
                <w:rFonts w:cs="Arial"/>
                <w:color w:val="FF0000"/>
                <w:sz w:val="21"/>
                <w:szCs w:val="21"/>
              </w:rPr>
            </w:pPr>
          </w:p>
        </w:tc>
        <w:tc>
          <w:tcPr>
            <w:tcW w:w="217" w:type="dxa"/>
          </w:tcPr>
          <w:p w14:paraId="5F509DD6" w14:textId="77777777" w:rsidR="002C0FD9" w:rsidRPr="00CA25CF" w:rsidRDefault="002C0FD9" w:rsidP="00CA25CF">
            <w:pPr>
              <w:rPr>
                <w:rFonts w:cs="Arial"/>
                <w:color w:val="FF0000"/>
                <w:sz w:val="21"/>
                <w:szCs w:val="21"/>
              </w:rPr>
            </w:pPr>
          </w:p>
        </w:tc>
        <w:tc>
          <w:tcPr>
            <w:tcW w:w="217" w:type="dxa"/>
          </w:tcPr>
          <w:p w14:paraId="32C41540" w14:textId="77777777" w:rsidR="002C0FD9" w:rsidRPr="00CA25CF" w:rsidRDefault="002C0FD9" w:rsidP="00CA25CF">
            <w:pPr>
              <w:rPr>
                <w:rFonts w:cs="Arial"/>
                <w:color w:val="FF0000"/>
                <w:sz w:val="21"/>
                <w:szCs w:val="21"/>
              </w:rPr>
            </w:pPr>
          </w:p>
        </w:tc>
        <w:tc>
          <w:tcPr>
            <w:tcW w:w="217" w:type="dxa"/>
          </w:tcPr>
          <w:p w14:paraId="2770116B" w14:textId="77777777" w:rsidR="002C0FD9" w:rsidRPr="00CA25CF" w:rsidRDefault="002C0FD9" w:rsidP="00CA25CF">
            <w:pPr>
              <w:rPr>
                <w:rFonts w:cs="Arial"/>
                <w:color w:val="FF0000"/>
                <w:sz w:val="21"/>
                <w:szCs w:val="21"/>
              </w:rPr>
            </w:pPr>
          </w:p>
        </w:tc>
        <w:tc>
          <w:tcPr>
            <w:tcW w:w="217" w:type="dxa"/>
          </w:tcPr>
          <w:p w14:paraId="1158EF32" w14:textId="77777777" w:rsidR="002C0FD9" w:rsidRPr="00CA25CF" w:rsidRDefault="002C0FD9" w:rsidP="00CA25CF">
            <w:pPr>
              <w:rPr>
                <w:rFonts w:cs="Arial"/>
                <w:color w:val="FF0000"/>
                <w:sz w:val="21"/>
                <w:szCs w:val="21"/>
              </w:rPr>
            </w:pPr>
          </w:p>
        </w:tc>
        <w:tc>
          <w:tcPr>
            <w:tcW w:w="217" w:type="dxa"/>
          </w:tcPr>
          <w:p w14:paraId="1BDD02EB" w14:textId="77777777" w:rsidR="002C0FD9" w:rsidRPr="00CA25CF" w:rsidRDefault="002C0FD9" w:rsidP="00CA25CF">
            <w:pPr>
              <w:rPr>
                <w:rFonts w:cs="Arial"/>
                <w:color w:val="FF0000"/>
                <w:sz w:val="21"/>
                <w:szCs w:val="21"/>
              </w:rPr>
            </w:pPr>
          </w:p>
        </w:tc>
        <w:tc>
          <w:tcPr>
            <w:tcW w:w="217" w:type="dxa"/>
          </w:tcPr>
          <w:p w14:paraId="08C5BC3A" w14:textId="77777777" w:rsidR="002C0FD9" w:rsidRPr="00CA25CF" w:rsidRDefault="002C0FD9" w:rsidP="00CA25CF">
            <w:pPr>
              <w:rPr>
                <w:rFonts w:cs="Arial"/>
                <w:color w:val="FF0000"/>
                <w:sz w:val="21"/>
                <w:szCs w:val="21"/>
              </w:rPr>
            </w:pPr>
          </w:p>
        </w:tc>
        <w:tc>
          <w:tcPr>
            <w:tcW w:w="217" w:type="dxa"/>
          </w:tcPr>
          <w:p w14:paraId="24D2C228" w14:textId="77777777" w:rsidR="002C0FD9" w:rsidRPr="00CA25CF" w:rsidRDefault="002C0FD9" w:rsidP="00CA25CF">
            <w:pPr>
              <w:rPr>
                <w:rFonts w:cs="Arial"/>
                <w:color w:val="FF0000"/>
                <w:sz w:val="21"/>
                <w:szCs w:val="21"/>
              </w:rPr>
            </w:pPr>
          </w:p>
        </w:tc>
        <w:tc>
          <w:tcPr>
            <w:tcW w:w="217" w:type="dxa"/>
          </w:tcPr>
          <w:p w14:paraId="446F3E24" w14:textId="77777777" w:rsidR="002C0FD9" w:rsidRPr="00CA25CF" w:rsidRDefault="002C0FD9" w:rsidP="00CA25CF">
            <w:pPr>
              <w:rPr>
                <w:rFonts w:cs="Arial"/>
                <w:color w:val="FF0000"/>
                <w:sz w:val="21"/>
                <w:szCs w:val="21"/>
              </w:rPr>
            </w:pPr>
          </w:p>
        </w:tc>
        <w:tc>
          <w:tcPr>
            <w:tcW w:w="217" w:type="dxa"/>
          </w:tcPr>
          <w:p w14:paraId="7AAFBB19" w14:textId="77777777" w:rsidR="002C0FD9" w:rsidRPr="00CA25CF" w:rsidRDefault="002C0FD9" w:rsidP="00CA25CF">
            <w:pPr>
              <w:rPr>
                <w:rFonts w:cs="Arial"/>
                <w:color w:val="FF0000"/>
                <w:sz w:val="21"/>
                <w:szCs w:val="21"/>
              </w:rPr>
            </w:pPr>
          </w:p>
        </w:tc>
        <w:tc>
          <w:tcPr>
            <w:tcW w:w="217" w:type="dxa"/>
          </w:tcPr>
          <w:p w14:paraId="42A9ADFC" w14:textId="77777777" w:rsidR="002C0FD9" w:rsidRPr="00CA25CF" w:rsidRDefault="002C0FD9" w:rsidP="00CA25CF">
            <w:pPr>
              <w:rPr>
                <w:rFonts w:cs="Arial"/>
                <w:color w:val="FF0000"/>
                <w:sz w:val="21"/>
                <w:szCs w:val="21"/>
              </w:rPr>
            </w:pPr>
          </w:p>
        </w:tc>
        <w:tc>
          <w:tcPr>
            <w:tcW w:w="217" w:type="dxa"/>
          </w:tcPr>
          <w:p w14:paraId="028478CA" w14:textId="77777777" w:rsidR="002C0FD9" w:rsidRPr="00CA25CF" w:rsidRDefault="002C0FD9" w:rsidP="00CA25CF">
            <w:pPr>
              <w:rPr>
                <w:rFonts w:cs="Arial"/>
                <w:color w:val="FF0000"/>
                <w:sz w:val="21"/>
                <w:szCs w:val="21"/>
              </w:rPr>
            </w:pPr>
          </w:p>
        </w:tc>
        <w:tc>
          <w:tcPr>
            <w:tcW w:w="217" w:type="dxa"/>
          </w:tcPr>
          <w:p w14:paraId="2F1A8180" w14:textId="77777777" w:rsidR="002C0FD9" w:rsidRPr="00CA25CF" w:rsidRDefault="002C0FD9" w:rsidP="00CA25CF">
            <w:pPr>
              <w:rPr>
                <w:rFonts w:cs="Arial"/>
                <w:color w:val="FF0000"/>
                <w:sz w:val="21"/>
                <w:szCs w:val="21"/>
              </w:rPr>
            </w:pPr>
          </w:p>
        </w:tc>
        <w:tc>
          <w:tcPr>
            <w:tcW w:w="217" w:type="dxa"/>
          </w:tcPr>
          <w:p w14:paraId="26E6D41C" w14:textId="77777777" w:rsidR="002C0FD9" w:rsidRPr="00CA25CF" w:rsidRDefault="002C0FD9" w:rsidP="00CA25CF">
            <w:pPr>
              <w:rPr>
                <w:rFonts w:cs="Arial"/>
                <w:color w:val="FF0000"/>
                <w:sz w:val="21"/>
                <w:szCs w:val="21"/>
              </w:rPr>
            </w:pPr>
          </w:p>
        </w:tc>
        <w:tc>
          <w:tcPr>
            <w:tcW w:w="217" w:type="dxa"/>
          </w:tcPr>
          <w:p w14:paraId="00640108" w14:textId="77777777" w:rsidR="002C0FD9" w:rsidRPr="00CA25CF" w:rsidRDefault="002C0FD9" w:rsidP="00CA25CF">
            <w:pPr>
              <w:rPr>
                <w:rFonts w:cs="Arial"/>
                <w:color w:val="FF0000"/>
                <w:sz w:val="21"/>
                <w:szCs w:val="21"/>
              </w:rPr>
            </w:pPr>
          </w:p>
        </w:tc>
        <w:tc>
          <w:tcPr>
            <w:tcW w:w="217" w:type="dxa"/>
          </w:tcPr>
          <w:p w14:paraId="17882EA1" w14:textId="77777777" w:rsidR="002C0FD9" w:rsidRPr="00CA25CF" w:rsidRDefault="002C0FD9" w:rsidP="00CA25CF">
            <w:pPr>
              <w:rPr>
                <w:rFonts w:cs="Arial"/>
                <w:color w:val="FF0000"/>
                <w:sz w:val="21"/>
                <w:szCs w:val="21"/>
              </w:rPr>
            </w:pPr>
          </w:p>
        </w:tc>
        <w:tc>
          <w:tcPr>
            <w:tcW w:w="217" w:type="dxa"/>
          </w:tcPr>
          <w:p w14:paraId="5E719C19" w14:textId="77777777" w:rsidR="002C0FD9" w:rsidRPr="00CA25CF" w:rsidRDefault="002C0FD9" w:rsidP="00CA25CF">
            <w:pPr>
              <w:rPr>
                <w:rFonts w:cs="Arial"/>
                <w:color w:val="FF0000"/>
                <w:sz w:val="21"/>
                <w:szCs w:val="21"/>
              </w:rPr>
            </w:pPr>
          </w:p>
        </w:tc>
        <w:tc>
          <w:tcPr>
            <w:tcW w:w="217" w:type="dxa"/>
          </w:tcPr>
          <w:p w14:paraId="477E4979" w14:textId="77777777" w:rsidR="002C0FD9" w:rsidRPr="00CA25CF" w:rsidRDefault="002C0FD9" w:rsidP="00CA25CF">
            <w:pPr>
              <w:rPr>
                <w:rFonts w:cs="Arial"/>
                <w:color w:val="FF0000"/>
                <w:sz w:val="21"/>
                <w:szCs w:val="21"/>
              </w:rPr>
            </w:pPr>
          </w:p>
        </w:tc>
        <w:tc>
          <w:tcPr>
            <w:tcW w:w="217" w:type="dxa"/>
          </w:tcPr>
          <w:p w14:paraId="52D58391" w14:textId="77777777" w:rsidR="002C0FD9" w:rsidRPr="00CA25CF" w:rsidRDefault="002C0FD9" w:rsidP="00CA25CF">
            <w:pPr>
              <w:rPr>
                <w:rFonts w:cs="Arial"/>
                <w:color w:val="FF0000"/>
                <w:sz w:val="21"/>
                <w:szCs w:val="21"/>
              </w:rPr>
            </w:pPr>
          </w:p>
        </w:tc>
        <w:tc>
          <w:tcPr>
            <w:tcW w:w="217" w:type="dxa"/>
          </w:tcPr>
          <w:p w14:paraId="64253EFF" w14:textId="77777777" w:rsidR="002C0FD9" w:rsidRPr="00CA25CF" w:rsidRDefault="002C0FD9" w:rsidP="00CA25CF">
            <w:pPr>
              <w:rPr>
                <w:rFonts w:cs="Arial"/>
                <w:color w:val="FF0000"/>
                <w:sz w:val="21"/>
                <w:szCs w:val="21"/>
              </w:rPr>
            </w:pPr>
          </w:p>
        </w:tc>
        <w:tc>
          <w:tcPr>
            <w:tcW w:w="217" w:type="dxa"/>
          </w:tcPr>
          <w:p w14:paraId="03EE9701" w14:textId="77777777" w:rsidR="002C0FD9" w:rsidRPr="00CA25CF" w:rsidRDefault="002C0FD9" w:rsidP="00CA25CF">
            <w:pPr>
              <w:rPr>
                <w:rFonts w:cs="Arial"/>
                <w:color w:val="FF0000"/>
                <w:sz w:val="21"/>
                <w:szCs w:val="21"/>
              </w:rPr>
            </w:pPr>
          </w:p>
        </w:tc>
        <w:tc>
          <w:tcPr>
            <w:tcW w:w="217" w:type="dxa"/>
          </w:tcPr>
          <w:p w14:paraId="7323B716" w14:textId="77777777" w:rsidR="002C0FD9" w:rsidRPr="00CA25CF" w:rsidRDefault="002C0FD9" w:rsidP="00CA25CF">
            <w:pPr>
              <w:rPr>
                <w:rFonts w:cs="Arial"/>
                <w:color w:val="FF0000"/>
                <w:sz w:val="21"/>
                <w:szCs w:val="21"/>
              </w:rPr>
            </w:pPr>
          </w:p>
        </w:tc>
      </w:tr>
      <w:tr w:rsidR="002C0FD9" w:rsidRPr="00A16219" w14:paraId="38B15DAC" w14:textId="7F4E21E1" w:rsidTr="002C0FD9">
        <w:trPr>
          <w:trHeight w:val="635"/>
        </w:trPr>
        <w:tc>
          <w:tcPr>
            <w:tcW w:w="515" w:type="dxa"/>
          </w:tcPr>
          <w:p w14:paraId="1BA7F15E" w14:textId="77777777" w:rsidR="002C0FD9" w:rsidRPr="00CA25CF" w:rsidRDefault="002C0FD9" w:rsidP="00CA25CF">
            <w:pPr>
              <w:rPr>
                <w:rFonts w:cs="Arial"/>
                <w:color w:val="FF0000"/>
                <w:sz w:val="21"/>
                <w:szCs w:val="21"/>
              </w:rPr>
            </w:pPr>
          </w:p>
        </w:tc>
        <w:tc>
          <w:tcPr>
            <w:tcW w:w="217" w:type="dxa"/>
          </w:tcPr>
          <w:p w14:paraId="6489B471" w14:textId="77777777" w:rsidR="002C0FD9" w:rsidRPr="00CA25CF" w:rsidRDefault="002C0FD9" w:rsidP="00CA25CF">
            <w:pPr>
              <w:rPr>
                <w:rFonts w:cs="Arial"/>
                <w:color w:val="FF0000"/>
                <w:sz w:val="21"/>
                <w:szCs w:val="21"/>
              </w:rPr>
            </w:pPr>
          </w:p>
        </w:tc>
        <w:tc>
          <w:tcPr>
            <w:tcW w:w="217" w:type="dxa"/>
          </w:tcPr>
          <w:p w14:paraId="14E35847" w14:textId="47215369" w:rsidR="002C0FD9" w:rsidRPr="00CA25CF" w:rsidRDefault="002C0FD9" w:rsidP="00CA25CF">
            <w:pPr>
              <w:rPr>
                <w:rFonts w:cs="Arial"/>
                <w:color w:val="FF0000"/>
                <w:sz w:val="21"/>
                <w:szCs w:val="21"/>
              </w:rPr>
            </w:pPr>
          </w:p>
        </w:tc>
        <w:tc>
          <w:tcPr>
            <w:tcW w:w="217" w:type="dxa"/>
          </w:tcPr>
          <w:p w14:paraId="70BE46F3" w14:textId="77777777" w:rsidR="002C0FD9" w:rsidRPr="00CA25CF" w:rsidRDefault="002C0FD9" w:rsidP="00CA25CF">
            <w:pPr>
              <w:rPr>
                <w:rFonts w:cs="Arial"/>
                <w:color w:val="FF0000"/>
                <w:sz w:val="21"/>
                <w:szCs w:val="21"/>
              </w:rPr>
            </w:pPr>
          </w:p>
        </w:tc>
        <w:tc>
          <w:tcPr>
            <w:tcW w:w="217" w:type="dxa"/>
          </w:tcPr>
          <w:p w14:paraId="4EB4CA18" w14:textId="77777777" w:rsidR="002C0FD9" w:rsidRPr="00CA25CF" w:rsidRDefault="002C0FD9" w:rsidP="00CA25CF">
            <w:pPr>
              <w:rPr>
                <w:rFonts w:cs="Arial"/>
                <w:color w:val="FF0000"/>
                <w:sz w:val="21"/>
                <w:szCs w:val="21"/>
              </w:rPr>
            </w:pPr>
          </w:p>
        </w:tc>
        <w:tc>
          <w:tcPr>
            <w:tcW w:w="217" w:type="dxa"/>
          </w:tcPr>
          <w:p w14:paraId="08B9D144" w14:textId="77777777" w:rsidR="002C0FD9" w:rsidRPr="00CA25CF" w:rsidRDefault="002C0FD9" w:rsidP="00CA25CF">
            <w:pPr>
              <w:rPr>
                <w:rFonts w:cs="Arial"/>
                <w:color w:val="FF0000"/>
                <w:sz w:val="21"/>
                <w:szCs w:val="21"/>
              </w:rPr>
            </w:pPr>
          </w:p>
        </w:tc>
        <w:tc>
          <w:tcPr>
            <w:tcW w:w="217" w:type="dxa"/>
          </w:tcPr>
          <w:p w14:paraId="5B9DC94F" w14:textId="77777777" w:rsidR="002C0FD9" w:rsidRPr="00CA25CF" w:rsidRDefault="002C0FD9" w:rsidP="00CA25CF">
            <w:pPr>
              <w:rPr>
                <w:rFonts w:cs="Arial"/>
                <w:color w:val="FF0000"/>
                <w:sz w:val="21"/>
                <w:szCs w:val="21"/>
              </w:rPr>
            </w:pPr>
          </w:p>
        </w:tc>
        <w:tc>
          <w:tcPr>
            <w:tcW w:w="217" w:type="dxa"/>
          </w:tcPr>
          <w:p w14:paraId="4F40D0F6" w14:textId="77777777" w:rsidR="002C0FD9" w:rsidRPr="00CA25CF" w:rsidRDefault="002C0FD9" w:rsidP="00CA25CF">
            <w:pPr>
              <w:rPr>
                <w:rFonts w:cs="Arial"/>
                <w:color w:val="FF0000"/>
                <w:sz w:val="21"/>
                <w:szCs w:val="21"/>
              </w:rPr>
            </w:pPr>
          </w:p>
        </w:tc>
        <w:tc>
          <w:tcPr>
            <w:tcW w:w="217" w:type="dxa"/>
          </w:tcPr>
          <w:p w14:paraId="049D517A" w14:textId="77777777" w:rsidR="002C0FD9" w:rsidRPr="00CA25CF" w:rsidRDefault="002C0FD9" w:rsidP="00CA25CF">
            <w:pPr>
              <w:rPr>
                <w:rFonts w:cs="Arial"/>
                <w:color w:val="FF0000"/>
                <w:sz w:val="21"/>
                <w:szCs w:val="21"/>
              </w:rPr>
            </w:pPr>
          </w:p>
        </w:tc>
        <w:tc>
          <w:tcPr>
            <w:tcW w:w="217" w:type="dxa"/>
          </w:tcPr>
          <w:p w14:paraId="224B5C36" w14:textId="77777777" w:rsidR="002C0FD9" w:rsidRPr="00CA25CF" w:rsidRDefault="002C0FD9" w:rsidP="00CA25CF">
            <w:pPr>
              <w:rPr>
                <w:rFonts w:cs="Arial"/>
                <w:color w:val="FF0000"/>
                <w:sz w:val="21"/>
                <w:szCs w:val="21"/>
              </w:rPr>
            </w:pPr>
          </w:p>
        </w:tc>
        <w:tc>
          <w:tcPr>
            <w:tcW w:w="217" w:type="dxa"/>
          </w:tcPr>
          <w:p w14:paraId="401D4182" w14:textId="77777777" w:rsidR="002C0FD9" w:rsidRPr="00CA25CF" w:rsidRDefault="002C0FD9" w:rsidP="00CA25CF">
            <w:pPr>
              <w:rPr>
                <w:rFonts w:cs="Arial"/>
                <w:color w:val="FF0000"/>
                <w:sz w:val="21"/>
                <w:szCs w:val="21"/>
              </w:rPr>
            </w:pPr>
          </w:p>
        </w:tc>
        <w:tc>
          <w:tcPr>
            <w:tcW w:w="217" w:type="dxa"/>
          </w:tcPr>
          <w:p w14:paraId="3D66F36A" w14:textId="77777777" w:rsidR="002C0FD9" w:rsidRPr="00CA25CF" w:rsidRDefault="002C0FD9" w:rsidP="00CA25CF">
            <w:pPr>
              <w:rPr>
                <w:rFonts w:cs="Arial"/>
                <w:color w:val="FF0000"/>
                <w:sz w:val="21"/>
                <w:szCs w:val="21"/>
              </w:rPr>
            </w:pPr>
          </w:p>
        </w:tc>
        <w:tc>
          <w:tcPr>
            <w:tcW w:w="217" w:type="dxa"/>
          </w:tcPr>
          <w:p w14:paraId="31950585" w14:textId="77777777" w:rsidR="002C0FD9" w:rsidRPr="00CA25CF" w:rsidRDefault="002C0FD9" w:rsidP="00CA25CF">
            <w:pPr>
              <w:rPr>
                <w:rFonts w:cs="Arial"/>
                <w:color w:val="FF0000"/>
                <w:sz w:val="21"/>
                <w:szCs w:val="21"/>
              </w:rPr>
            </w:pPr>
          </w:p>
        </w:tc>
        <w:tc>
          <w:tcPr>
            <w:tcW w:w="217" w:type="dxa"/>
          </w:tcPr>
          <w:p w14:paraId="3D019B41" w14:textId="77777777" w:rsidR="002C0FD9" w:rsidRPr="00CA25CF" w:rsidRDefault="002C0FD9" w:rsidP="00CA25CF">
            <w:pPr>
              <w:rPr>
                <w:rFonts w:cs="Arial"/>
                <w:color w:val="FF0000"/>
                <w:sz w:val="21"/>
                <w:szCs w:val="21"/>
              </w:rPr>
            </w:pPr>
          </w:p>
        </w:tc>
        <w:tc>
          <w:tcPr>
            <w:tcW w:w="217" w:type="dxa"/>
          </w:tcPr>
          <w:p w14:paraId="01ADE196" w14:textId="77777777" w:rsidR="002C0FD9" w:rsidRPr="00CA25CF" w:rsidRDefault="002C0FD9" w:rsidP="00CA25CF">
            <w:pPr>
              <w:rPr>
                <w:rFonts w:cs="Arial"/>
                <w:color w:val="FF0000"/>
                <w:sz w:val="21"/>
                <w:szCs w:val="21"/>
              </w:rPr>
            </w:pPr>
          </w:p>
        </w:tc>
        <w:tc>
          <w:tcPr>
            <w:tcW w:w="217" w:type="dxa"/>
          </w:tcPr>
          <w:p w14:paraId="06B3EA39" w14:textId="77777777" w:rsidR="002C0FD9" w:rsidRPr="00CA25CF" w:rsidRDefault="002C0FD9" w:rsidP="00CA25CF">
            <w:pPr>
              <w:rPr>
                <w:rFonts w:cs="Arial"/>
                <w:color w:val="FF0000"/>
                <w:sz w:val="21"/>
                <w:szCs w:val="21"/>
              </w:rPr>
            </w:pPr>
          </w:p>
        </w:tc>
        <w:tc>
          <w:tcPr>
            <w:tcW w:w="217" w:type="dxa"/>
          </w:tcPr>
          <w:p w14:paraId="3F2D3F10" w14:textId="77777777" w:rsidR="002C0FD9" w:rsidRPr="00CA25CF" w:rsidRDefault="002C0FD9" w:rsidP="00CA25CF">
            <w:pPr>
              <w:rPr>
                <w:rFonts w:cs="Arial"/>
                <w:color w:val="FF0000"/>
                <w:sz w:val="21"/>
                <w:szCs w:val="21"/>
              </w:rPr>
            </w:pPr>
          </w:p>
        </w:tc>
        <w:tc>
          <w:tcPr>
            <w:tcW w:w="217" w:type="dxa"/>
          </w:tcPr>
          <w:p w14:paraId="45D915AE" w14:textId="77777777" w:rsidR="002C0FD9" w:rsidRPr="00CA25CF" w:rsidRDefault="002C0FD9" w:rsidP="00CA25CF">
            <w:pPr>
              <w:rPr>
                <w:rFonts w:cs="Arial"/>
                <w:color w:val="FF0000"/>
                <w:sz w:val="21"/>
                <w:szCs w:val="21"/>
              </w:rPr>
            </w:pPr>
          </w:p>
        </w:tc>
        <w:tc>
          <w:tcPr>
            <w:tcW w:w="217" w:type="dxa"/>
          </w:tcPr>
          <w:p w14:paraId="34218CB4" w14:textId="77777777" w:rsidR="002C0FD9" w:rsidRPr="00CA25CF" w:rsidRDefault="002C0FD9" w:rsidP="00CA25CF">
            <w:pPr>
              <w:rPr>
                <w:rFonts w:cs="Arial"/>
                <w:color w:val="FF0000"/>
                <w:sz w:val="21"/>
                <w:szCs w:val="21"/>
              </w:rPr>
            </w:pPr>
          </w:p>
        </w:tc>
        <w:tc>
          <w:tcPr>
            <w:tcW w:w="217" w:type="dxa"/>
          </w:tcPr>
          <w:p w14:paraId="061F9CBA" w14:textId="77777777" w:rsidR="002C0FD9" w:rsidRPr="00CA25CF" w:rsidRDefault="002C0FD9" w:rsidP="00CA25CF">
            <w:pPr>
              <w:rPr>
                <w:rFonts w:cs="Arial"/>
                <w:color w:val="FF0000"/>
                <w:sz w:val="21"/>
                <w:szCs w:val="21"/>
              </w:rPr>
            </w:pPr>
          </w:p>
        </w:tc>
        <w:tc>
          <w:tcPr>
            <w:tcW w:w="217" w:type="dxa"/>
          </w:tcPr>
          <w:p w14:paraId="05CC3C0E" w14:textId="77777777" w:rsidR="002C0FD9" w:rsidRPr="00CA25CF" w:rsidRDefault="002C0FD9" w:rsidP="00CA25CF">
            <w:pPr>
              <w:rPr>
                <w:rFonts w:cs="Arial"/>
                <w:color w:val="FF0000"/>
                <w:sz w:val="21"/>
                <w:szCs w:val="21"/>
              </w:rPr>
            </w:pPr>
          </w:p>
        </w:tc>
        <w:tc>
          <w:tcPr>
            <w:tcW w:w="217" w:type="dxa"/>
          </w:tcPr>
          <w:p w14:paraId="07288635" w14:textId="77777777" w:rsidR="002C0FD9" w:rsidRPr="00CA25CF" w:rsidRDefault="002C0FD9" w:rsidP="00CA25CF">
            <w:pPr>
              <w:rPr>
                <w:rFonts w:cs="Arial"/>
                <w:color w:val="FF0000"/>
                <w:sz w:val="21"/>
                <w:szCs w:val="21"/>
              </w:rPr>
            </w:pPr>
          </w:p>
        </w:tc>
        <w:tc>
          <w:tcPr>
            <w:tcW w:w="217" w:type="dxa"/>
          </w:tcPr>
          <w:p w14:paraId="7376B04B" w14:textId="77777777" w:rsidR="002C0FD9" w:rsidRPr="00CA25CF" w:rsidRDefault="002C0FD9" w:rsidP="00CA25CF">
            <w:pPr>
              <w:rPr>
                <w:rFonts w:cs="Arial"/>
                <w:color w:val="FF0000"/>
                <w:sz w:val="21"/>
                <w:szCs w:val="21"/>
              </w:rPr>
            </w:pPr>
          </w:p>
        </w:tc>
        <w:tc>
          <w:tcPr>
            <w:tcW w:w="217" w:type="dxa"/>
          </w:tcPr>
          <w:p w14:paraId="2B561B51" w14:textId="77777777" w:rsidR="002C0FD9" w:rsidRPr="00CA25CF" w:rsidRDefault="002C0FD9" w:rsidP="00CA25CF">
            <w:pPr>
              <w:rPr>
                <w:rFonts w:cs="Arial"/>
                <w:color w:val="FF0000"/>
                <w:sz w:val="21"/>
                <w:szCs w:val="21"/>
              </w:rPr>
            </w:pPr>
          </w:p>
        </w:tc>
        <w:tc>
          <w:tcPr>
            <w:tcW w:w="217" w:type="dxa"/>
          </w:tcPr>
          <w:p w14:paraId="2162C5D3" w14:textId="77777777" w:rsidR="002C0FD9" w:rsidRPr="00CA25CF" w:rsidRDefault="002C0FD9" w:rsidP="00CA25CF">
            <w:pPr>
              <w:rPr>
                <w:rFonts w:cs="Arial"/>
                <w:color w:val="FF0000"/>
                <w:sz w:val="21"/>
                <w:szCs w:val="21"/>
              </w:rPr>
            </w:pPr>
          </w:p>
        </w:tc>
        <w:tc>
          <w:tcPr>
            <w:tcW w:w="217" w:type="dxa"/>
          </w:tcPr>
          <w:p w14:paraId="654BE97F" w14:textId="77777777" w:rsidR="002C0FD9" w:rsidRPr="00CA25CF" w:rsidRDefault="002C0FD9" w:rsidP="00CA25CF">
            <w:pPr>
              <w:rPr>
                <w:rFonts w:cs="Arial"/>
                <w:color w:val="FF0000"/>
                <w:sz w:val="21"/>
                <w:szCs w:val="21"/>
              </w:rPr>
            </w:pPr>
          </w:p>
        </w:tc>
        <w:tc>
          <w:tcPr>
            <w:tcW w:w="217" w:type="dxa"/>
          </w:tcPr>
          <w:p w14:paraId="2C498FAB" w14:textId="77777777" w:rsidR="002C0FD9" w:rsidRPr="00CA25CF" w:rsidRDefault="002C0FD9" w:rsidP="00CA25CF">
            <w:pPr>
              <w:rPr>
                <w:rFonts w:cs="Arial"/>
                <w:color w:val="FF0000"/>
                <w:sz w:val="21"/>
                <w:szCs w:val="21"/>
              </w:rPr>
            </w:pPr>
          </w:p>
        </w:tc>
        <w:tc>
          <w:tcPr>
            <w:tcW w:w="217" w:type="dxa"/>
          </w:tcPr>
          <w:p w14:paraId="1D19677E" w14:textId="77777777" w:rsidR="002C0FD9" w:rsidRPr="00CA25CF" w:rsidRDefault="002C0FD9" w:rsidP="00CA25CF">
            <w:pPr>
              <w:rPr>
                <w:rFonts w:cs="Arial"/>
                <w:color w:val="FF0000"/>
                <w:sz w:val="21"/>
                <w:szCs w:val="21"/>
              </w:rPr>
            </w:pPr>
          </w:p>
        </w:tc>
        <w:tc>
          <w:tcPr>
            <w:tcW w:w="217" w:type="dxa"/>
          </w:tcPr>
          <w:p w14:paraId="72A4147A" w14:textId="77777777" w:rsidR="002C0FD9" w:rsidRPr="00CA25CF" w:rsidRDefault="002C0FD9" w:rsidP="00CA25CF">
            <w:pPr>
              <w:rPr>
                <w:rFonts w:cs="Arial"/>
                <w:color w:val="FF0000"/>
                <w:sz w:val="21"/>
                <w:szCs w:val="21"/>
              </w:rPr>
            </w:pPr>
          </w:p>
        </w:tc>
        <w:tc>
          <w:tcPr>
            <w:tcW w:w="217" w:type="dxa"/>
          </w:tcPr>
          <w:p w14:paraId="1BB28602" w14:textId="77777777" w:rsidR="002C0FD9" w:rsidRPr="00CA25CF" w:rsidRDefault="002C0FD9" w:rsidP="00CA25CF">
            <w:pPr>
              <w:rPr>
                <w:rFonts w:cs="Arial"/>
                <w:color w:val="FF0000"/>
                <w:sz w:val="21"/>
                <w:szCs w:val="21"/>
              </w:rPr>
            </w:pPr>
          </w:p>
        </w:tc>
        <w:tc>
          <w:tcPr>
            <w:tcW w:w="217" w:type="dxa"/>
          </w:tcPr>
          <w:p w14:paraId="2ACBAD9B" w14:textId="77777777" w:rsidR="002C0FD9" w:rsidRPr="00CA25CF" w:rsidRDefault="002C0FD9" w:rsidP="00CA25CF">
            <w:pPr>
              <w:rPr>
                <w:rFonts w:cs="Arial"/>
                <w:color w:val="FF0000"/>
                <w:sz w:val="21"/>
                <w:szCs w:val="21"/>
              </w:rPr>
            </w:pPr>
          </w:p>
        </w:tc>
        <w:tc>
          <w:tcPr>
            <w:tcW w:w="217" w:type="dxa"/>
          </w:tcPr>
          <w:p w14:paraId="62CFD398" w14:textId="77777777" w:rsidR="002C0FD9" w:rsidRPr="00CA25CF" w:rsidRDefault="002C0FD9" w:rsidP="00CA25CF">
            <w:pPr>
              <w:rPr>
                <w:rFonts w:cs="Arial"/>
                <w:color w:val="FF0000"/>
                <w:sz w:val="21"/>
                <w:szCs w:val="21"/>
              </w:rPr>
            </w:pPr>
          </w:p>
        </w:tc>
        <w:tc>
          <w:tcPr>
            <w:tcW w:w="217" w:type="dxa"/>
          </w:tcPr>
          <w:p w14:paraId="59F56893" w14:textId="77777777" w:rsidR="002C0FD9" w:rsidRPr="00CA25CF" w:rsidRDefault="002C0FD9" w:rsidP="00CA25CF">
            <w:pPr>
              <w:rPr>
                <w:rFonts w:cs="Arial"/>
                <w:color w:val="FF0000"/>
                <w:sz w:val="21"/>
                <w:szCs w:val="21"/>
              </w:rPr>
            </w:pPr>
          </w:p>
        </w:tc>
        <w:tc>
          <w:tcPr>
            <w:tcW w:w="217" w:type="dxa"/>
          </w:tcPr>
          <w:p w14:paraId="36B9C0FF" w14:textId="77777777" w:rsidR="002C0FD9" w:rsidRPr="00CA25CF" w:rsidRDefault="002C0FD9" w:rsidP="00CA25CF">
            <w:pPr>
              <w:rPr>
                <w:rFonts w:cs="Arial"/>
                <w:color w:val="FF0000"/>
                <w:sz w:val="21"/>
                <w:szCs w:val="21"/>
              </w:rPr>
            </w:pPr>
          </w:p>
        </w:tc>
        <w:tc>
          <w:tcPr>
            <w:tcW w:w="217" w:type="dxa"/>
          </w:tcPr>
          <w:p w14:paraId="0F2DB834" w14:textId="77777777" w:rsidR="002C0FD9" w:rsidRPr="00CA25CF" w:rsidRDefault="002C0FD9" w:rsidP="00CA25CF">
            <w:pPr>
              <w:rPr>
                <w:rFonts w:cs="Arial"/>
                <w:color w:val="FF0000"/>
                <w:sz w:val="21"/>
                <w:szCs w:val="21"/>
              </w:rPr>
            </w:pPr>
          </w:p>
        </w:tc>
        <w:tc>
          <w:tcPr>
            <w:tcW w:w="217" w:type="dxa"/>
          </w:tcPr>
          <w:p w14:paraId="680053E4" w14:textId="77777777" w:rsidR="002C0FD9" w:rsidRPr="00CA25CF" w:rsidRDefault="002C0FD9" w:rsidP="00CA25CF">
            <w:pPr>
              <w:rPr>
                <w:rFonts w:cs="Arial"/>
                <w:color w:val="FF0000"/>
                <w:sz w:val="21"/>
                <w:szCs w:val="21"/>
              </w:rPr>
            </w:pPr>
          </w:p>
        </w:tc>
        <w:tc>
          <w:tcPr>
            <w:tcW w:w="217" w:type="dxa"/>
          </w:tcPr>
          <w:p w14:paraId="6F9F4A16" w14:textId="77777777" w:rsidR="002C0FD9" w:rsidRPr="00CA25CF" w:rsidRDefault="002C0FD9" w:rsidP="00CA25CF">
            <w:pPr>
              <w:rPr>
                <w:rFonts w:cs="Arial"/>
                <w:color w:val="FF0000"/>
                <w:sz w:val="21"/>
                <w:szCs w:val="21"/>
              </w:rPr>
            </w:pPr>
          </w:p>
        </w:tc>
        <w:tc>
          <w:tcPr>
            <w:tcW w:w="217" w:type="dxa"/>
          </w:tcPr>
          <w:p w14:paraId="4CEA1C49" w14:textId="77777777" w:rsidR="002C0FD9" w:rsidRPr="00CA25CF" w:rsidRDefault="002C0FD9" w:rsidP="00CA25CF">
            <w:pPr>
              <w:rPr>
                <w:rFonts w:cs="Arial"/>
                <w:color w:val="FF0000"/>
                <w:sz w:val="21"/>
                <w:szCs w:val="21"/>
              </w:rPr>
            </w:pPr>
          </w:p>
        </w:tc>
        <w:tc>
          <w:tcPr>
            <w:tcW w:w="217" w:type="dxa"/>
          </w:tcPr>
          <w:p w14:paraId="4C4C04BF" w14:textId="77777777" w:rsidR="002C0FD9" w:rsidRPr="00CA25CF" w:rsidRDefault="002C0FD9" w:rsidP="00CA25CF">
            <w:pPr>
              <w:rPr>
                <w:rFonts w:cs="Arial"/>
                <w:color w:val="FF0000"/>
                <w:sz w:val="21"/>
                <w:szCs w:val="21"/>
              </w:rPr>
            </w:pPr>
          </w:p>
        </w:tc>
        <w:tc>
          <w:tcPr>
            <w:tcW w:w="217" w:type="dxa"/>
          </w:tcPr>
          <w:p w14:paraId="1B5EE044" w14:textId="77777777" w:rsidR="002C0FD9" w:rsidRPr="00CA25CF" w:rsidRDefault="002C0FD9" w:rsidP="00CA25CF">
            <w:pPr>
              <w:rPr>
                <w:rFonts w:cs="Arial"/>
                <w:color w:val="FF0000"/>
                <w:sz w:val="21"/>
                <w:szCs w:val="21"/>
              </w:rPr>
            </w:pPr>
          </w:p>
        </w:tc>
        <w:tc>
          <w:tcPr>
            <w:tcW w:w="217" w:type="dxa"/>
          </w:tcPr>
          <w:p w14:paraId="21CE521E" w14:textId="77777777" w:rsidR="002C0FD9" w:rsidRPr="00CA25CF" w:rsidRDefault="002C0FD9" w:rsidP="00CA25CF">
            <w:pPr>
              <w:rPr>
                <w:rFonts w:cs="Arial"/>
                <w:color w:val="FF0000"/>
                <w:sz w:val="21"/>
                <w:szCs w:val="21"/>
              </w:rPr>
            </w:pPr>
          </w:p>
        </w:tc>
        <w:tc>
          <w:tcPr>
            <w:tcW w:w="217" w:type="dxa"/>
          </w:tcPr>
          <w:p w14:paraId="03311255" w14:textId="77777777" w:rsidR="002C0FD9" w:rsidRPr="00CA25CF" w:rsidRDefault="002C0FD9" w:rsidP="00CA25CF">
            <w:pPr>
              <w:rPr>
                <w:rFonts w:cs="Arial"/>
                <w:color w:val="FF0000"/>
                <w:sz w:val="21"/>
                <w:szCs w:val="21"/>
              </w:rPr>
            </w:pPr>
          </w:p>
        </w:tc>
        <w:tc>
          <w:tcPr>
            <w:tcW w:w="217" w:type="dxa"/>
          </w:tcPr>
          <w:p w14:paraId="0C98FAA8" w14:textId="77777777" w:rsidR="002C0FD9" w:rsidRPr="00CA25CF" w:rsidRDefault="002C0FD9" w:rsidP="00CA25CF">
            <w:pPr>
              <w:rPr>
                <w:rFonts w:cs="Arial"/>
                <w:color w:val="FF0000"/>
                <w:sz w:val="21"/>
                <w:szCs w:val="21"/>
              </w:rPr>
            </w:pPr>
          </w:p>
        </w:tc>
      </w:tr>
      <w:tr w:rsidR="002C0FD9" w:rsidRPr="00A16219" w14:paraId="5D4E93CB" w14:textId="46659479" w:rsidTr="002C0FD9">
        <w:trPr>
          <w:trHeight w:val="635"/>
        </w:trPr>
        <w:tc>
          <w:tcPr>
            <w:tcW w:w="515" w:type="dxa"/>
          </w:tcPr>
          <w:p w14:paraId="07634EBA" w14:textId="77777777" w:rsidR="002C0FD9" w:rsidRPr="00CA25CF" w:rsidRDefault="002C0FD9" w:rsidP="00CA25CF">
            <w:pPr>
              <w:rPr>
                <w:rFonts w:cs="Arial"/>
                <w:color w:val="FF0000"/>
                <w:sz w:val="21"/>
                <w:szCs w:val="21"/>
              </w:rPr>
            </w:pPr>
          </w:p>
        </w:tc>
        <w:tc>
          <w:tcPr>
            <w:tcW w:w="217" w:type="dxa"/>
          </w:tcPr>
          <w:p w14:paraId="69B1145D" w14:textId="77777777" w:rsidR="002C0FD9" w:rsidRPr="00CA25CF" w:rsidRDefault="002C0FD9" w:rsidP="00CA25CF">
            <w:pPr>
              <w:rPr>
                <w:rFonts w:cs="Arial"/>
                <w:color w:val="FF0000"/>
                <w:sz w:val="21"/>
                <w:szCs w:val="21"/>
              </w:rPr>
            </w:pPr>
          </w:p>
        </w:tc>
        <w:tc>
          <w:tcPr>
            <w:tcW w:w="217" w:type="dxa"/>
          </w:tcPr>
          <w:p w14:paraId="07CFF4BD" w14:textId="043B1569" w:rsidR="002C0FD9" w:rsidRPr="00CA25CF" w:rsidRDefault="002C0FD9" w:rsidP="00CA25CF">
            <w:pPr>
              <w:rPr>
                <w:rFonts w:cs="Arial"/>
                <w:color w:val="FF0000"/>
                <w:sz w:val="21"/>
                <w:szCs w:val="21"/>
              </w:rPr>
            </w:pPr>
          </w:p>
        </w:tc>
        <w:tc>
          <w:tcPr>
            <w:tcW w:w="217" w:type="dxa"/>
          </w:tcPr>
          <w:p w14:paraId="4FECAEDB" w14:textId="77777777" w:rsidR="002C0FD9" w:rsidRPr="00CA25CF" w:rsidRDefault="002C0FD9" w:rsidP="00CA25CF">
            <w:pPr>
              <w:rPr>
                <w:rFonts w:cs="Arial"/>
                <w:color w:val="FF0000"/>
                <w:sz w:val="21"/>
                <w:szCs w:val="21"/>
              </w:rPr>
            </w:pPr>
          </w:p>
        </w:tc>
        <w:tc>
          <w:tcPr>
            <w:tcW w:w="217" w:type="dxa"/>
          </w:tcPr>
          <w:p w14:paraId="45FCEA3D" w14:textId="77777777" w:rsidR="002C0FD9" w:rsidRPr="00CA25CF" w:rsidRDefault="002C0FD9" w:rsidP="00CA25CF">
            <w:pPr>
              <w:rPr>
                <w:rFonts w:cs="Arial"/>
                <w:color w:val="FF0000"/>
                <w:sz w:val="21"/>
                <w:szCs w:val="21"/>
              </w:rPr>
            </w:pPr>
          </w:p>
        </w:tc>
        <w:tc>
          <w:tcPr>
            <w:tcW w:w="217" w:type="dxa"/>
          </w:tcPr>
          <w:p w14:paraId="12B30878" w14:textId="77777777" w:rsidR="002C0FD9" w:rsidRPr="00CA25CF" w:rsidRDefault="002C0FD9" w:rsidP="00CA25CF">
            <w:pPr>
              <w:rPr>
                <w:rFonts w:cs="Arial"/>
                <w:color w:val="FF0000"/>
                <w:sz w:val="21"/>
                <w:szCs w:val="21"/>
              </w:rPr>
            </w:pPr>
          </w:p>
        </w:tc>
        <w:tc>
          <w:tcPr>
            <w:tcW w:w="217" w:type="dxa"/>
          </w:tcPr>
          <w:p w14:paraId="7958A30E" w14:textId="77777777" w:rsidR="002C0FD9" w:rsidRPr="00CA25CF" w:rsidRDefault="002C0FD9" w:rsidP="00CA25CF">
            <w:pPr>
              <w:rPr>
                <w:rFonts w:cs="Arial"/>
                <w:color w:val="FF0000"/>
                <w:sz w:val="21"/>
                <w:szCs w:val="21"/>
              </w:rPr>
            </w:pPr>
          </w:p>
        </w:tc>
        <w:tc>
          <w:tcPr>
            <w:tcW w:w="217" w:type="dxa"/>
          </w:tcPr>
          <w:p w14:paraId="58744A85" w14:textId="77777777" w:rsidR="002C0FD9" w:rsidRPr="00CA25CF" w:rsidRDefault="002C0FD9" w:rsidP="00CA25CF">
            <w:pPr>
              <w:rPr>
                <w:rFonts w:cs="Arial"/>
                <w:color w:val="FF0000"/>
                <w:sz w:val="21"/>
                <w:szCs w:val="21"/>
              </w:rPr>
            </w:pPr>
          </w:p>
        </w:tc>
        <w:tc>
          <w:tcPr>
            <w:tcW w:w="217" w:type="dxa"/>
          </w:tcPr>
          <w:p w14:paraId="005BA284" w14:textId="77777777" w:rsidR="002C0FD9" w:rsidRPr="00CA25CF" w:rsidRDefault="002C0FD9" w:rsidP="00CA25CF">
            <w:pPr>
              <w:rPr>
                <w:rFonts w:cs="Arial"/>
                <w:color w:val="FF0000"/>
                <w:sz w:val="21"/>
                <w:szCs w:val="21"/>
              </w:rPr>
            </w:pPr>
          </w:p>
        </w:tc>
        <w:tc>
          <w:tcPr>
            <w:tcW w:w="217" w:type="dxa"/>
          </w:tcPr>
          <w:p w14:paraId="56765F65" w14:textId="77777777" w:rsidR="002C0FD9" w:rsidRPr="00CA25CF" w:rsidRDefault="002C0FD9" w:rsidP="00CA25CF">
            <w:pPr>
              <w:rPr>
                <w:rFonts w:cs="Arial"/>
                <w:color w:val="FF0000"/>
                <w:sz w:val="21"/>
                <w:szCs w:val="21"/>
              </w:rPr>
            </w:pPr>
          </w:p>
        </w:tc>
        <w:tc>
          <w:tcPr>
            <w:tcW w:w="217" w:type="dxa"/>
          </w:tcPr>
          <w:p w14:paraId="16367D70" w14:textId="77777777" w:rsidR="002C0FD9" w:rsidRPr="00CA25CF" w:rsidRDefault="002C0FD9" w:rsidP="00CA25CF">
            <w:pPr>
              <w:rPr>
                <w:rFonts w:cs="Arial"/>
                <w:color w:val="FF0000"/>
                <w:sz w:val="21"/>
                <w:szCs w:val="21"/>
              </w:rPr>
            </w:pPr>
          </w:p>
        </w:tc>
        <w:tc>
          <w:tcPr>
            <w:tcW w:w="217" w:type="dxa"/>
          </w:tcPr>
          <w:p w14:paraId="4376E816" w14:textId="77777777" w:rsidR="002C0FD9" w:rsidRPr="00CA25CF" w:rsidRDefault="002C0FD9" w:rsidP="00CA25CF">
            <w:pPr>
              <w:rPr>
                <w:rFonts w:cs="Arial"/>
                <w:color w:val="FF0000"/>
                <w:sz w:val="21"/>
                <w:szCs w:val="21"/>
              </w:rPr>
            </w:pPr>
          </w:p>
        </w:tc>
        <w:tc>
          <w:tcPr>
            <w:tcW w:w="217" w:type="dxa"/>
          </w:tcPr>
          <w:p w14:paraId="43B268E3" w14:textId="77777777" w:rsidR="002C0FD9" w:rsidRPr="00CA25CF" w:rsidRDefault="002C0FD9" w:rsidP="00CA25CF">
            <w:pPr>
              <w:rPr>
                <w:rFonts w:cs="Arial"/>
                <w:color w:val="FF0000"/>
                <w:sz w:val="21"/>
                <w:szCs w:val="21"/>
              </w:rPr>
            </w:pPr>
          </w:p>
        </w:tc>
        <w:tc>
          <w:tcPr>
            <w:tcW w:w="217" w:type="dxa"/>
          </w:tcPr>
          <w:p w14:paraId="2E6E9E96" w14:textId="77777777" w:rsidR="002C0FD9" w:rsidRPr="00CA25CF" w:rsidRDefault="002C0FD9" w:rsidP="00CA25CF">
            <w:pPr>
              <w:rPr>
                <w:rFonts w:cs="Arial"/>
                <w:color w:val="FF0000"/>
                <w:sz w:val="21"/>
                <w:szCs w:val="21"/>
              </w:rPr>
            </w:pPr>
          </w:p>
        </w:tc>
        <w:tc>
          <w:tcPr>
            <w:tcW w:w="217" w:type="dxa"/>
          </w:tcPr>
          <w:p w14:paraId="64C6BD54" w14:textId="77777777" w:rsidR="002C0FD9" w:rsidRPr="00CA25CF" w:rsidRDefault="002C0FD9" w:rsidP="00CA25CF">
            <w:pPr>
              <w:rPr>
                <w:rFonts w:cs="Arial"/>
                <w:color w:val="FF0000"/>
                <w:sz w:val="21"/>
                <w:szCs w:val="21"/>
              </w:rPr>
            </w:pPr>
          </w:p>
        </w:tc>
        <w:tc>
          <w:tcPr>
            <w:tcW w:w="217" w:type="dxa"/>
          </w:tcPr>
          <w:p w14:paraId="375A1B61" w14:textId="77777777" w:rsidR="002C0FD9" w:rsidRPr="00CA25CF" w:rsidRDefault="002C0FD9" w:rsidP="00CA25CF">
            <w:pPr>
              <w:rPr>
                <w:rFonts w:cs="Arial"/>
                <w:color w:val="FF0000"/>
                <w:sz w:val="21"/>
                <w:szCs w:val="21"/>
              </w:rPr>
            </w:pPr>
          </w:p>
        </w:tc>
        <w:tc>
          <w:tcPr>
            <w:tcW w:w="217" w:type="dxa"/>
          </w:tcPr>
          <w:p w14:paraId="16D9263E" w14:textId="77777777" w:rsidR="002C0FD9" w:rsidRPr="00CA25CF" w:rsidRDefault="002C0FD9" w:rsidP="00CA25CF">
            <w:pPr>
              <w:rPr>
                <w:rFonts w:cs="Arial"/>
                <w:color w:val="FF0000"/>
                <w:sz w:val="21"/>
                <w:szCs w:val="21"/>
              </w:rPr>
            </w:pPr>
          </w:p>
        </w:tc>
        <w:tc>
          <w:tcPr>
            <w:tcW w:w="217" w:type="dxa"/>
          </w:tcPr>
          <w:p w14:paraId="239CCF5F" w14:textId="77777777" w:rsidR="002C0FD9" w:rsidRPr="00CA25CF" w:rsidRDefault="002C0FD9" w:rsidP="00CA25CF">
            <w:pPr>
              <w:rPr>
                <w:rFonts w:cs="Arial"/>
                <w:color w:val="FF0000"/>
                <w:sz w:val="21"/>
                <w:szCs w:val="21"/>
              </w:rPr>
            </w:pPr>
          </w:p>
        </w:tc>
        <w:tc>
          <w:tcPr>
            <w:tcW w:w="217" w:type="dxa"/>
          </w:tcPr>
          <w:p w14:paraId="51CC47DA" w14:textId="77777777" w:rsidR="002C0FD9" w:rsidRPr="00CA25CF" w:rsidRDefault="002C0FD9" w:rsidP="00CA25CF">
            <w:pPr>
              <w:rPr>
                <w:rFonts w:cs="Arial"/>
                <w:color w:val="FF0000"/>
                <w:sz w:val="21"/>
                <w:szCs w:val="21"/>
              </w:rPr>
            </w:pPr>
          </w:p>
        </w:tc>
        <w:tc>
          <w:tcPr>
            <w:tcW w:w="217" w:type="dxa"/>
          </w:tcPr>
          <w:p w14:paraId="24ED55F5" w14:textId="77777777" w:rsidR="002C0FD9" w:rsidRPr="00CA25CF" w:rsidRDefault="002C0FD9" w:rsidP="00CA25CF">
            <w:pPr>
              <w:rPr>
                <w:rFonts w:cs="Arial"/>
                <w:color w:val="FF0000"/>
                <w:sz w:val="21"/>
                <w:szCs w:val="21"/>
              </w:rPr>
            </w:pPr>
          </w:p>
        </w:tc>
        <w:tc>
          <w:tcPr>
            <w:tcW w:w="217" w:type="dxa"/>
          </w:tcPr>
          <w:p w14:paraId="400750BA" w14:textId="77777777" w:rsidR="002C0FD9" w:rsidRPr="00CA25CF" w:rsidRDefault="002C0FD9" w:rsidP="00CA25CF">
            <w:pPr>
              <w:rPr>
                <w:rFonts w:cs="Arial"/>
                <w:color w:val="FF0000"/>
                <w:sz w:val="21"/>
                <w:szCs w:val="21"/>
              </w:rPr>
            </w:pPr>
          </w:p>
        </w:tc>
        <w:tc>
          <w:tcPr>
            <w:tcW w:w="217" w:type="dxa"/>
          </w:tcPr>
          <w:p w14:paraId="73B0B64D" w14:textId="77777777" w:rsidR="002C0FD9" w:rsidRPr="00CA25CF" w:rsidRDefault="002C0FD9" w:rsidP="00CA25CF">
            <w:pPr>
              <w:rPr>
                <w:rFonts w:cs="Arial"/>
                <w:color w:val="FF0000"/>
                <w:sz w:val="21"/>
                <w:szCs w:val="21"/>
              </w:rPr>
            </w:pPr>
          </w:p>
        </w:tc>
        <w:tc>
          <w:tcPr>
            <w:tcW w:w="217" w:type="dxa"/>
          </w:tcPr>
          <w:p w14:paraId="41FDC8CA" w14:textId="77777777" w:rsidR="002C0FD9" w:rsidRPr="00CA25CF" w:rsidRDefault="002C0FD9" w:rsidP="00CA25CF">
            <w:pPr>
              <w:rPr>
                <w:rFonts w:cs="Arial"/>
                <w:color w:val="FF0000"/>
                <w:sz w:val="21"/>
                <w:szCs w:val="21"/>
              </w:rPr>
            </w:pPr>
          </w:p>
        </w:tc>
        <w:tc>
          <w:tcPr>
            <w:tcW w:w="217" w:type="dxa"/>
          </w:tcPr>
          <w:p w14:paraId="400CB743" w14:textId="77777777" w:rsidR="002C0FD9" w:rsidRPr="00CA25CF" w:rsidRDefault="002C0FD9" w:rsidP="00CA25CF">
            <w:pPr>
              <w:rPr>
                <w:rFonts w:cs="Arial"/>
                <w:color w:val="FF0000"/>
                <w:sz w:val="21"/>
                <w:szCs w:val="21"/>
              </w:rPr>
            </w:pPr>
          </w:p>
        </w:tc>
        <w:tc>
          <w:tcPr>
            <w:tcW w:w="217" w:type="dxa"/>
          </w:tcPr>
          <w:p w14:paraId="42DF62ED" w14:textId="77777777" w:rsidR="002C0FD9" w:rsidRPr="00CA25CF" w:rsidRDefault="002C0FD9" w:rsidP="00CA25CF">
            <w:pPr>
              <w:rPr>
                <w:rFonts w:cs="Arial"/>
                <w:color w:val="FF0000"/>
                <w:sz w:val="21"/>
                <w:szCs w:val="21"/>
              </w:rPr>
            </w:pPr>
          </w:p>
        </w:tc>
        <w:tc>
          <w:tcPr>
            <w:tcW w:w="217" w:type="dxa"/>
          </w:tcPr>
          <w:p w14:paraId="0EE2F2EB" w14:textId="77777777" w:rsidR="002C0FD9" w:rsidRPr="00CA25CF" w:rsidRDefault="002C0FD9" w:rsidP="00CA25CF">
            <w:pPr>
              <w:rPr>
                <w:rFonts w:cs="Arial"/>
                <w:color w:val="FF0000"/>
                <w:sz w:val="21"/>
                <w:szCs w:val="21"/>
              </w:rPr>
            </w:pPr>
          </w:p>
        </w:tc>
        <w:tc>
          <w:tcPr>
            <w:tcW w:w="217" w:type="dxa"/>
          </w:tcPr>
          <w:p w14:paraId="338DEC86" w14:textId="77777777" w:rsidR="002C0FD9" w:rsidRPr="00CA25CF" w:rsidRDefault="002C0FD9" w:rsidP="00CA25CF">
            <w:pPr>
              <w:rPr>
                <w:rFonts w:cs="Arial"/>
                <w:color w:val="FF0000"/>
                <w:sz w:val="21"/>
                <w:szCs w:val="21"/>
              </w:rPr>
            </w:pPr>
          </w:p>
        </w:tc>
        <w:tc>
          <w:tcPr>
            <w:tcW w:w="217" w:type="dxa"/>
          </w:tcPr>
          <w:p w14:paraId="66B7B1A3" w14:textId="77777777" w:rsidR="002C0FD9" w:rsidRPr="00CA25CF" w:rsidRDefault="002C0FD9" w:rsidP="00CA25CF">
            <w:pPr>
              <w:rPr>
                <w:rFonts w:cs="Arial"/>
                <w:color w:val="FF0000"/>
                <w:sz w:val="21"/>
                <w:szCs w:val="21"/>
              </w:rPr>
            </w:pPr>
          </w:p>
        </w:tc>
        <w:tc>
          <w:tcPr>
            <w:tcW w:w="217" w:type="dxa"/>
          </w:tcPr>
          <w:p w14:paraId="302695B4" w14:textId="77777777" w:rsidR="002C0FD9" w:rsidRPr="00CA25CF" w:rsidRDefault="002C0FD9" w:rsidP="00CA25CF">
            <w:pPr>
              <w:rPr>
                <w:rFonts w:cs="Arial"/>
                <w:color w:val="FF0000"/>
                <w:sz w:val="21"/>
                <w:szCs w:val="21"/>
              </w:rPr>
            </w:pPr>
          </w:p>
        </w:tc>
        <w:tc>
          <w:tcPr>
            <w:tcW w:w="217" w:type="dxa"/>
          </w:tcPr>
          <w:p w14:paraId="5349EBE9" w14:textId="77777777" w:rsidR="002C0FD9" w:rsidRPr="00CA25CF" w:rsidRDefault="002C0FD9" w:rsidP="00CA25CF">
            <w:pPr>
              <w:rPr>
                <w:rFonts w:cs="Arial"/>
                <w:color w:val="FF0000"/>
                <w:sz w:val="21"/>
                <w:szCs w:val="21"/>
              </w:rPr>
            </w:pPr>
          </w:p>
        </w:tc>
        <w:tc>
          <w:tcPr>
            <w:tcW w:w="217" w:type="dxa"/>
          </w:tcPr>
          <w:p w14:paraId="55EC3B76" w14:textId="77777777" w:rsidR="002C0FD9" w:rsidRPr="00CA25CF" w:rsidRDefault="002C0FD9" w:rsidP="00CA25CF">
            <w:pPr>
              <w:rPr>
                <w:rFonts w:cs="Arial"/>
                <w:color w:val="FF0000"/>
                <w:sz w:val="21"/>
                <w:szCs w:val="21"/>
              </w:rPr>
            </w:pPr>
          </w:p>
        </w:tc>
        <w:tc>
          <w:tcPr>
            <w:tcW w:w="217" w:type="dxa"/>
          </w:tcPr>
          <w:p w14:paraId="62B1F455" w14:textId="77777777" w:rsidR="002C0FD9" w:rsidRPr="00CA25CF" w:rsidRDefault="002C0FD9" w:rsidP="00CA25CF">
            <w:pPr>
              <w:rPr>
                <w:rFonts w:cs="Arial"/>
                <w:color w:val="FF0000"/>
                <w:sz w:val="21"/>
                <w:szCs w:val="21"/>
              </w:rPr>
            </w:pPr>
          </w:p>
        </w:tc>
        <w:tc>
          <w:tcPr>
            <w:tcW w:w="217" w:type="dxa"/>
          </w:tcPr>
          <w:p w14:paraId="5FF7523E" w14:textId="77777777" w:rsidR="002C0FD9" w:rsidRPr="00CA25CF" w:rsidRDefault="002C0FD9" w:rsidP="00CA25CF">
            <w:pPr>
              <w:rPr>
                <w:rFonts w:cs="Arial"/>
                <w:color w:val="FF0000"/>
                <w:sz w:val="21"/>
                <w:szCs w:val="21"/>
              </w:rPr>
            </w:pPr>
          </w:p>
        </w:tc>
        <w:tc>
          <w:tcPr>
            <w:tcW w:w="217" w:type="dxa"/>
          </w:tcPr>
          <w:p w14:paraId="2E1B0DE9" w14:textId="77777777" w:rsidR="002C0FD9" w:rsidRPr="00CA25CF" w:rsidRDefault="002C0FD9" w:rsidP="00CA25CF">
            <w:pPr>
              <w:rPr>
                <w:rFonts w:cs="Arial"/>
                <w:color w:val="FF0000"/>
                <w:sz w:val="21"/>
                <w:szCs w:val="21"/>
              </w:rPr>
            </w:pPr>
          </w:p>
        </w:tc>
        <w:tc>
          <w:tcPr>
            <w:tcW w:w="217" w:type="dxa"/>
          </w:tcPr>
          <w:p w14:paraId="5EF16102" w14:textId="77777777" w:rsidR="002C0FD9" w:rsidRPr="00CA25CF" w:rsidRDefault="002C0FD9" w:rsidP="00CA25CF">
            <w:pPr>
              <w:rPr>
                <w:rFonts w:cs="Arial"/>
                <w:color w:val="FF0000"/>
                <w:sz w:val="21"/>
                <w:szCs w:val="21"/>
              </w:rPr>
            </w:pPr>
          </w:p>
        </w:tc>
        <w:tc>
          <w:tcPr>
            <w:tcW w:w="217" w:type="dxa"/>
          </w:tcPr>
          <w:p w14:paraId="6D2380DC" w14:textId="77777777" w:rsidR="002C0FD9" w:rsidRPr="00CA25CF" w:rsidRDefault="002C0FD9" w:rsidP="00CA25CF">
            <w:pPr>
              <w:rPr>
                <w:rFonts w:cs="Arial"/>
                <w:color w:val="FF0000"/>
                <w:sz w:val="21"/>
                <w:szCs w:val="21"/>
              </w:rPr>
            </w:pPr>
          </w:p>
        </w:tc>
        <w:tc>
          <w:tcPr>
            <w:tcW w:w="217" w:type="dxa"/>
          </w:tcPr>
          <w:p w14:paraId="061370C9" w14:textId="77777777" w:rsidR="002C0FD9" w:rsidRPr="00CA25CF" w:rsidRDefault="002C0FD9" w:rsidP="00CA25CF">
            <w:pPr>
              <w:rPr>
                <w:rFonts w:cs="Arial"/>
                <w:color w:val="FF0000"/>
                <w:sz w:val="21"/>
                <w:szCs w:val="21"/>
              </w:rPr>
            </w:pPr>
          </w:p>
        </w:tc>
        <w:tc>
          <w:tcPr>
            <w:tcW w:w="217" w:type="dxa"/>
          </w:tcPr>
          <w:p w14:paraId="32DA820C" w14:textId="77777777" w:rsidR="002C0FD9" w:rsidRPr="00CA25CF" w:rsidRDefault="002C0FD9" w:rsidP="00CA25CF">
            <w:pPr>
              <w:rPr>
                <w:rFonts w:cs="Arial"/>
                <w:color w:val="FF0000"/>
                <w:sz w:val="21"/>
                <w:szCs w:val="21"/>
              </w:rPr>
            </w:pPr>
          </w:p>
        </w:tc>
        <w:tc>
          <w:tcPr>
            <w:tcW w:w="217" w:type="dxa"/>
          </w:tcPr>
          <w:p w14:paraId="03BBD497" w14:textId="77777777" w:rsidR="002C0FD9" w:rsidRPr="00CA25CF" w:rsidRDefault="002C0FD9" w:rsidP="00CA25CF">
            <w:pPr>
              <w:rPr>
                <w:rFonts w:cs="Arial"/>
                <w:color w:val="FF0000"/>
                <w:sz w:val="21"/>
                <w:szCs w:val="21"/>
              </w:rPr>
            </w:pPr>
          </w:p>
        </w:tc>
        <w:tc>
          <w:tcPr>
            <w:tcW w:w="217" w:type="dxa"/>
          </w:tcPr>
          <w:p w14:paraId="57D74A3E" w14:textId="77777777" w:rsidR="002C0FD9" w:rsidRPr="00CA25CF" w:rsidRDefault="002C0FD9" w:rsidP="00CA25CF">
            <w:pPr>
              <w:rPr>
                <w:rFonts w:cs="Arial"/>
                <w:color w:val="FF0000"/>
                <w:sz w:val="21"/>
                <w:szCs w:val="21"/>
              </w:rPr>
            </w:pPr>
          </w:p>
        </w:tc>
        <w:tc>
          <w:tcPr>
            <w:tcW w:w="217" w:type="dxa"/>
          </w:tcPr>
          <w:p w14:paraId="79481EDC" w14:textId="77777777" w:rsidR="002C0FD9" w:rsidRPr="00CA25CF" w:rsidRDefault="002C0FD9" w:rsidP="00CA25CF">
            <w:pPr>
              <w:rPr>
                <w:rFonts w:cs="Arial"/>
                <w:color w:val="FF0000"/>
                <w:sz w:val="21"/>
                <w:szCs w:val="21"/>
              </w:rPr>
            </w:pPr>
          </w:p>
        </w:tc>
        <w:tc>
          <w:tcPr>
            <w:tcW w:w="217" w:type="dxa"/>
          </w:tcPr>
          <w:p w14:paraId="5ED4E52A" w14:textId="77777777" w:rsidR="002C0FD9" w:rsidRPr="00CA25CF" w:rsidRDefault="002C0FD9" w:rsidP="00CA25CF">
            <w:pPr>
              <w:rPr>
                <w:rFonts w:cs="Arial"/>
                <w:color w:val="FF0000"/>
                <w:sz w:val="21"/>
                <w:szCs w:val="21"/>
              </w:rPr>
            </w:pPr>
          </w:p>
        </w:tc>
        <w:tc>
          <w:tcPr>
            <w:tcW w:w="217" w:type="dxa"/>
          </w:tcPr>
          <w:p w14:paraId="28687738" w14:textId="77777777" w:rsidR="002C0FD9" w:rsidRPr="00CA25CF" w:rsidRDefault="002C0FD9" w:rsidP="00CA25CF">
            <w:pPr>
              <w:rPr>
                <w:rFonts w:cs="Arial"/>
                <w:color w:val="FF0000"/>
                <w:sz w:val="21"/>
                <w:szCs w:val="21"/>
              </w:rPr>
            </w:pPr>
          </w:p>
        </w:tc>
      </w:tr>
      <w:tr w:rsidR="002C0FD9" w:rsidRPr="00A16219" w14:paraId="1952BB0D" w14:textId="77D7EBB5" w:rsidTr="002C0FD9">
        <w:trPr>
          <w:trHeight w:val="635"/>
        </w:trPr>
        <w:tc>
          <w:tcPr>
            <w:tcW w:w="515" w:type="dxa"/>
          </w:tcPr>
          <w:p w14:paraId="2A88BB46" w14:textId="77777777" w:rsidR="002C0FD9" w:rsidRPr="00CA25CF" w:rsidRDefault="002C0FD9" w:rsidP="00CA25CF">
            <w:pPr>
              <w:rPr>
                <w:rFonts w:cs="Arial"/>
                <w:color w:val="FF0000"/>
                <w:sz w:val="21"/>
                <w:szCs w:val="21"/>
              </w:rPr>
            </w:pPr>
          </w:p>
        </w:tc>
        <w:tc>
          <w:tcPr>
            <w:tcW w:w="217" w:type="dxa"/>
          </w:tcPr>
          <w:p w14:paraId="3E5CE9F5" w14:textId="77777777" w:rsidR="002C0FD9" w:rsidRPr="00CA25CF" w:rsidRDefault="002C0FD9" w:rsidP="00CA25CF">
            <w:pPr>
              <w:rPr>
                <w:rFonts w:cs="Arial"/>
                <w:color w:val="FF0000"/>
                <w:sz w:val="21"/>
                <w:szCs w:val="21"/>
              </w:rPr>
            </w:pPr>
          </w:p>
        </w:tc>
        <w:tc>
          <w:tcPr>
            <w:tcW w:w="217" w:type="dxa"/>
          </w:tcPr>
          <w:p w14:paraId="5A852ED1" w14:textId="079370D9" w:rsidR="002C0FD9" w:rsidRPr="00CA25CF" w:rsidRDefault="002C0FD9" w:rsidP="00CA25CF">
            <w:pPr>
              <w:rPr>
                <w:rFonts w:cs="Arial"/>
                <w:color w:val="FF0000"/>
                <w:sz w:val="21"/>
                <w:szCs w:val="21"/>
              </w:rPr>
            </w:pPr>
          </w:p>
        </w:tc>
        <w:tc>
          <w:tcPr>
            <w:tcW w:w="217" w:type="dxa"/>
          </w:tcPr>
          <w:p w14:paraId="4261DF38" w14:textId="77777777" w:rsidR="002C0FD9" w:rsidRPr="00CA25CF" w:rsidRDefault="002C0FD9" w:rsidP="00CA25CF">
            <w:pPr>
              <w:rPr>
                <w:rFonts w:cs="Arial"/>
                <w:color w:val="FF0000"/>
                <w:sz w:val="21"/>
                <w:szCs w:val="21"/>
              </w:rPr>
            </w:pPr>
          </w:p>
        </w:tc>
        <w:tc>
          <w:tcPr>
            <w:tcW w:w="217" w:type="dxa"/>
          </w:tcPr>
          <w:p w14:paraId="3FBD3246" w14:textId="77777777" w:rsidR="002C0FD9" w:rsidRPr="00CA25CF" w:rsidRDefault="002C0FD9" w:rsidP="00CA25CF">
            <w:pPr>
              <w:rPr>
                <w:rFonts w:cs="Arial"/>
                <w:color w:val="FF0000"/>
                <w:sz w:val="21"/>
                <w:szCs w:val="21"/>
              </w:rPr>
            </w:pPr>
          </w:p>
        </w:tc>
        <w:tc>
          <w:tcPr>
            <w:tcW w:w="217" w:type="dxa"/>
          </w:tcPr>
          <w:p w14:paraId="583E737B" w14:textId="77777777" w:rsidR="002C0FD9" w:rsidRPr="00CA25CF" w:rsidRDefault="002C0FD9" w:rsidP="00CA25CF">
            <w:pPr>
              <w:rPr>
                <w:rFonts w:cs="Arial"/>
                <w:color w:val="FF0000"/>
                <w:sz w:val="21"/>
                <w:szCs w:val="21"/>
              </w:rPr>
            </w:pPr>
          </w:p>
        </w:tc>
        <w:tc>
          <w:tcPr>
            <w:tcW w:w="217" w:type="dxa"/>
          </w:tcPr>
          <w:p w14:paraId="6EE11D88" w14:textId="77777777" w:rsidR="002C0FD9" w:rsidRPr="00CA25CF" w:rsidRDefault="002C0FD9" w:rsidP="00CA25CF">
            <w:pPr>
              <w:rPr>
                <w:rFonts w:cs="Arial"/>
                <w:color w:val="FF0000"/>
                <w:sz w:val="21"/>
                <w:szCs w:val="21"/>
              </w:rPr>
            </w:pPr>
          </w:p>
        </w:tc>
        <w:tc>
          <w:tcPr>
            <w:tcW w:w="217" w:type="dxa"/>
          </w:tcPr>
          <w:p w14:paraId="4D36E12B" w14:textId="77777777" w:rsidR="002C0FD9" w:rsidRPr="00CA25CF" w:rsidRDefault="002C0FD9" w:rsidP="00CA25CF">
            <w:pPr>
              <w:rPr>
                <w:rFonts w:cs="Arial"/>
                <w:color w:val="FF0000"/>
                <w:sz w:val="21"/>
                <w:szCs w:val="21"/>
              </w:rPr>
            </w:pPr>
          </w:p>
        </w:tc>
        <w:tc>
          <w:tcPr>
            <w:tcW w:w="217" w:type="dxa"/>
          </w:tcPr>
          <w:p w14:paraId="4D6904B7" w14:textId="77777777" w:rsidR="002C0FD9" w:rsidRPr="00CA25CF" w:rsidRDefault="002C0FD9" w:rsidP="00CA25CF">
            <w:pPr>
              <w:rPr>
                <w:rFonts w:cs="Arial"/>
                <w:color w:val="FF0000"/>
                <w:sz w:val="21"/>
                <w:szCs w:val="21"/>
              </w:rPr>
            </w:pPr>
          </w:p>
        </w:tc>
        <w:tc>
          <w:tcPr>
            <w:tcW w:w="217" w:type="dxa"/>
          </w:tcPr>
          <w:p w14:paraId="50E6AF01" w14:textId="77777777" w:rsidR="002C0FD9" w:rsidRPr="00CA25CF" w:rsidRDefault="002C0FD9" w:rsidP="00CA25CF">
            <w:pPr>
              <w:rPr>
                <w:rFonts w:cs="Arial"/>
                <w:color w:val="FF0000"/>
                <w:sz w:val="21"/>
                <w:szCs w:val="21"/>
              </w:rPr>
            </w:pPr>
          </w:p>
        </w:tc>
        <w:tc>
          <w:tcPr>
            <w:tcW w:w="217" w:type="dxa"/>
          </w:tcPr>
          <w:p w14:paraId="3CD4A0FD" w14:textId="77777777" w:rsidR="002C0FD9" w:rsidRPr="00CA25CF" w:rsidRDefault="002C0FD9" w:rsidP="00CA25CF">
            <w:pPr>
              <w:rPr>
                <w:rFonts w:cs="Arial"/>
                <w:color w:val="FF0000"/>
                <w:sz w:val="21"/>
                <w:szCs w:val="21"/>
              </w:rPr>
            </w:pPr>
          </w:p>
        </w:tc>
        <w:tc>
          <w:tcPr>
            <w:tcW w:w="217" w:type="dxa"/>
          </w:tcPr>
          <w:p w14:paraId="4430EBC4" w14:textId="77777777" w:rsidR="002C0FD9" w:rsidRPr="00CA25CF" w:rsidRDefault="002C0FD9" w:rsidP="00CA25CF">
            <w:pPr>
              <w:rPr>
                <w:rFonts w:cs="Arial"/>
                <w:color w:val="FF0000"/>
                <w:sz w:val="21"/>
                <w:szCs w:val="21"/>
              </w:rPr>
            </w:pPr>
          </w:p>
        </w:tc>
        <w:tc>
          <w:tcPr>
            <w:tcW w:w="217" w:type="dxa"/>
          </w:tcPr>
          <w:p w14:paraId="23D1A096" w14:textId="77777777" w:rsidR="002C0FD9" w:rsidRPr="00CA25CF" w:rsidRDefault="002C0FD9" w:rsidP="00CA25CF">
            <w:pPr>
              <w:rPr>
                <w:rFonts w:cs="Arial"/>
                <w:color w:val="FF0000"/>
                <w:sz w:val="21"/>
                <w:szCs w:val="21"/>
              </w:rPr>
            </w:pPr>
          </w:p>
        </w:tc>
        <w:tc>
          <w:tcPr>
            <w:tcW w:w="217" w:type="dxa"/>
          </w:tcPr>
          <w:p w14:paraId="3C0A60ED" w14:textId="77777777" w:rsidR="002C0FD9" w:rsidRPr="00CA25CF" w:rsidRDefault="002C0FD9" w:rsidP="00CA25CF">
            <w:pPr>
              <w:rPr>
                <w:rFonts w:cs="Arial"/>
                <w:color w:val="FF0000"/>
                <w:sz w:val="21"/>
                <w:szCs w:val="21"/>
              </w:rPr>
            </w:pPr>
          </w:p>
        </w:tc>
        <w:tc>
          <w:tcPr>
            <w:tcW w:w="217" w:type="dxa"/>
          </w:tcPr>
          <w:p w14:paraId="7535340B" w14:textId="77777777" w:rsidR="002C0FD9" w:rsidRPr="00CA25CF" w:rsidRDefault="002C0FD9" w:rsidP="00CA25CF">
            <w:pPr>
              <w:rPr>
                <w:rFonts w:cs="Arial"/>
                <w:color w:val="FF0000"/>
                <w:sz w:val="21"/>
                <w:szCs w:val="21"/>
              </w:rPr>
            </w:pPr>
          </w:p>
        </w:tc>
        <w:tc>
          <w:tcPr>
            <w:tcW w:w="217" w:type="dxa"/>
          </w:tcPr>
          <w:p w14:paraId="151A82EF" w14:textId="77777777" w:rsidR="002C0FD9" w:rsidRPr="00CA25CF" w:rsidRDefault="002C0FD9" w:rsidP="00CA25CF">
            <w:pPr>
              <w:rPr>
                <w:rFonts w:cs="Arial"/>
                <w:color w:val="FF0000"/>
                <w:sz w:val="21"/>
                <w:szCs w:val="21"/>
              </w:rPr>
            </w:pPr>
          </w:p>
        </w:tc>
        <w:tc>
          <w:tcPr>
            <w:tcW w:w="217" w:type="dxa"/>
          </w:tcPr>
          <w:p w14:paraId="351DC4BF" w14:textId="77777777" w:rsidR="002C0FD9" w:rsidRPr="00CA25CF" w:rsidRDefault="002C0FD9" w:rsidP="00CA25CF">
            <w:pPr>
              <w:rPr>
                <w:rFonts w:cs="Arial"/>
                <w:color w:val="FF0000"/>
                <w:sz w:val="21"/>
                <w:szCs w:val="21"/>
              </w:rPr>
            </w:pPr>
          </w:p>
        </w:tc>
        <w:tc>
          <w:tcPr>
            <w:tcW w:w="217" w:type="dxa"/>
          </w:tcPr>
          <w:p w14:paraId="52119686" w14:textId="77777777" w:rsidR="002C0FD9" w:rsidRPr="00CA25CF" w:rsidRDefault="002C0FD9" w:rsidP="00CA25CF">
            <w:pPr>
              <w:rPr>
                <w:rFonts w:cs="Arial"/>
                <w:color w:val="FF0000"/>
                <w:sz w:val="21"/>
                <w:szCs w:val="21"/>
              </w:rPr>
            </w:pPr>
          </w:p>
        </w:tc>
        <w:tc>
          <w:tcPr>
            <w:tcW w:w="217" w:type="dxa"/>
          </w:tcPr>
          <w:p w14:paraId="07C862EF" w14:textId="77777777" w:rsidR="002C0FD9" w:rsidRPr="00CA25CF" w:rsidRDefault="002C0FD9" w:rsidP="00CA25CF">
            <w:pPr>
              <w:rPr>
                <w:rFonts w:cs="Arial"/>
                <w:color w:val="FF0000"/>
                <w:sz w:val="21"/>
                <w:szCs w:val="21"/>
              </w:rPr>
            </w:pPr>
          </w:p>
        </w:tc>
        <w:tc>
          <w:tcPr>
            <w:tcW w:w="217" w:type="dxa"/>
          </w:tcPr>
          <w:p w14:paraId="2D880C8B" w14:textId="77777777" w:rsidR="002C0FD9" w:rsidRPr="00CA25CF" w:rsidRDefault="002C0FD9" w:rsidP="00CA25CF">
            <w:pPr>
              <w:rPr>
                <w:rFonts w:cs="Arial"/>
                <w:color w:val="FF0000"/>
                <w:sz w:val="21"/>
                <w:szCs w:val="21"/>
              </w:rPr>
            </w:pPr>
          </w:p>
        </w:tc>
        <w:tc>
          <w:tcPr>
            <w:tcW w:w="217" w:type="dxa"/>
          </w:tcPr>
          <w:p w14:paraId="5756004B" w14:textId="77777777" w:rsidR="002C0FD9" w:rsidRPr="00CA25CF" w:rsidRDefault="002C0FD9" w:rsidP="00CA25CF">
            <w:pPr>
              <w:rPr>
                <w:rFonts w:cs="Arial"/>
                <w:color w:val="FF0000"/>
                <w:sz w:val="21"/>
                <w:szCs w:val="21"/>
              </w:rPr>
            </w:pPr>
          </w:p>
        </w:tc>
        <w:tc>
          <w:tcPr>
            <w:tcW w:w="217" w:type="dxa"/>
          </w:tcPr>
          <w:p w14:paraId="1956283F" w14:textId="77777777" w:rsidR="002C0FD9" w:rsidRPr="00CA25CF" w:rsidRDefault="002C0FD9" w:rsidP="00CA25CF">
            <w:pPr>
              <w:rPr>
                <w:rFonts w:cs="Arial"/>
                <w:color w:val="FF0000"/>
                <w:sz w:val="21"/>
                <w:szCs w:val="21"/>
              </w:rPr>
            </w:pPr>
          </w:p>
        </w:tc>
        <w:tc>
          <w:tcPr>
            <w:tcW w:w="217" w:type="dxa"/>
          </w:tcPr>
          <w:p w14:paraId="317A8135" w14:textId="77777777" w:rsidR="002C0FD9" w:rsidRPr="00CA25CF" w:rsidRDefault="002C0FD9" w:rsidP="00CA25CF">
            <w:pPr>
              <w:rPr>
                <w:rFonts w:cs="Arial"/>
                <w:color w:val="FF0000"/>
                <w:sz w:val="21"/>
                <w:szCs w:val="21"/>
              </w:rPr>
            </w:pPr>
          </w:p>
        </w:tc>
        <w:tc>
          <w:tcPr>
            <w:tcW w:w="217" w:type="dxa"/>
          </w:tcPr>
          <w:p w14:paraId="43BB8ADF" w14:textId="77777777" w:rsidR="002C0FD9" w:rsidRPr="00CA25CF" w:rsidRDefault="002C0FD9" w:rsidP="00CA25CF">
            <w:pPr>
              <w:rPr>
                <w:rFonts w:cs="Arial"/>
                <w:color w:val="FF0000"/>
                <w:sz w:val="21"/>
                <w:szCs w:val="21"/>
              </w:rPr>
            </w:pPr>
          </w:p>
        </w:tc>
        <w:tc>
          <w:tcPr>
            <w:tcW w:w="217" w:type="dxa"/>
          </w:tcPr>
          <w:p w14:paraId="0CCB64D5" w14:textId="77777777" w:rsidR="002C0FD9" w:rsidRPr="00CA25CF" w:rsidRDefault="002C0FD9" w:rsidP="00CA25CF">
            <w:pPr>
              <w:rPr>
                <w:rFonts w:cs="Arial"/>
                <w:color w:val="FF0000"/>
                <w:sz w:val="21"/>
                <w:szCs w:val="21"/>
              </w:rPr>
            </w:pPr>
          </w:p>
        </w:tc>
        <w:tc>
          <w:tcPr>
            <w:tcW w:w="217" w:type="dxa"/>
          </w:tcPr>
          <w:p w14:paraId="71E7EE5B" w14:textId="77777777" w:rsidR="002C0FD9" w:rsidRPr="00CA25CF" w:rsidRDefault="002C0FD9" w:rsidP="00CA25CF">
            <w:pPr>
              <w:rPr>
                <w:rFonts w:cs="Arial"/>
                <w:color w:val="FF0000"/>
                <w:sz w:val="21"/>
                <w:szCs w:val="21"/>
              </w:rPr>
            </w:pPr>
          </w:p>
        </w:tc>
        <w:tc>
          <w:tcPr>
            <w:tcW w:w="217" w:type="dxa"/>
          </w:tcPr>
          <w:p w14:paraId="69B014FD" w14:textId="77777777" w:rsidR="002C0FD9" w:rsidRPr="00CA25CF" w:rsidRDefault="002C0FD9" w:rsidP="00CA25CF">
            <w:pPr>
              <w:rPr>
                <w:rFonts w:cs="Arial"/>
                <w:color w:val="FF0000"/>
                <w:sz w:val="21"/>
                <w:szCs w:val="21"/>
              </w:rPr>
            </w:pPr>
          </w:p>
        </w:tc>
        <w:tc>
          <w:tcPr>
            <w:tcW w:w="217" w:type="dxa"/>
          </w:tcPr>
          <w:p w14:paraId="23221863" w14:textId="77777777" w:rsidR="002C0FD9" w:rsidRPr="00CA25CF" w:rsidRDefault="002C0FD9" w:rsidP="00CA25CF">
            <w:pPr>
              <w:rPr>
                <w:rFonts w:cs="Arial"/>
                <w:color w:val="FF0000"/>
                <w:sz w:val="21"/>
                <w:szCs w:val="21"/>
              </w:rPr>
            </w:pPr>
          </w:p>
        </w:tc>
        <w:tc>
          <w:tcPr>
            <w:tcW w:w="217" w:type="dxa"/>
          </w:tcPr>
          <w:p w14:paraId="6E0E45B6" w14:textId="77777777" w:rsidR="002C0FD9" w:rsidRPr="00CA25CF" w:rsidRDefault="002C0FD9" w:rsidP="00CA25CF">
            <w:pPr>
              <w:rPr>
                <w:rFonts w:cs="Arial"/>
                <w:color w:val="FF0000"/>
                <w:sz w:val="21"/>
                <w:szCs w:val="21"/>
              </w:rPr>
            </w:pPr>
          </w:p>
        </w:tc>
        <w:tc>
          <w:tcPr>
            <w:tcW w:w="217" w:type="dxa"/>
          </w:tcPr>
          <w:p w14:paraId="3495365A" w14:textId="77777777" w:rsidR="002C0FD9" w:rsidRPr="00CA25CF" w:rsidRDefault="002C0FD9" w:rsidP="00CA25CF">
            <w:pPr>
              <w:rPr>
                <w:rFonts w:cs="Arial"/>
                <w:color w:val="FF0000"/>
                <w:sz w:val="21"/>
                <w:szCs w:val="21"/>
              </w:rPr>
            </w:pPr>
          </w:p>
        </w:tc>
        <w:tc>
          <w:tcPr>
            <w:tcW w:w="217" w:type="dxa"/>
          </w:tcPr>
          <w:p w14:paraId="5B52EF70" w14:textId="77777777" w:rsidR="002C0FD9" w:rsidRPr="00CA25CF" w:rsidRDefault="002C0FD9" w:rsidP="00CA25CF">
            <w:pPr>
              <w:rPr>
                <w:rFonts w:cs="Arial"/>
                <w:color w:val="FF0000"/>
                <w:sz w:val="21"/>
                <w:szCs w:val="21"/>
              </w:rPr>
            </w:pPr>
          </w:p>
        </w:tc>
        <w:tc>
          <w:tcPr>
            <w:tcW w:w="217" w:type="dxa"/>
          </w:tcPr>
          <w:p w14:paraId="17B8863D" w14:textId="77777777" w:rsidR="002C0FD9" w:rsidRPr="00CA25CF" w:rsidRDefault="002C0FD9" w:rsidP="00CA25CF">
            <w:pPr>
              <w:rPr>
                <w:rFonts w:cs="Arial"/>
                <w:color w:val="FF0000"/>
                <w:sz w:val="21"/>
                <w:szCs w:val="21"/>
              </w:rPr>
            </w:pPr>
          </w:p>
        </w:tc>
        <w:tc>
          <w:tcPr>
            <w:tcW w:w="217" w:type="dxa"/>
          </w:tcPr>
          <w:p w14:paraId="1D0290E1" w14:textId="77777777" w:rsidR="002C0FD9" w:rsidRPr="00CA25CF" w:rsidRDefault="002C0FD9" w:rsidP="00CA25CF">
            <w:pPr>
              <w:rPr>
                <w:rFonts w:cs="Arial"/>
                <w:color w:val="FF0000"/>
                <w:sz w:val="21"/>
                <w:szCs w:val="21"/>
              </w:rPr>
            </w:pPr>
          </w:p>
        </w:tc>
        <w:tc>
          <w:tcPr>
            <w:tcW w:w="217" w:type="dxa"/>
          </w:tcPr>
          <w:p w14:paraId="067CBC7E" w14:textId="77777777" w:rsidR="002C0FD9" w:rsidRPr="00CA25CF" w:rsidRDefault="002C0FD9" w:rsidP="00CA25CF">
            <w:pPr>
              <w:rPr>
                <w:rFonts w:cs="Arial"/>
                <w:color w:val="FF0000"/>
                <w:sz w:val="21"/>
                <w:szCs w:val="21"/>
              </w:rPr>
            </w:pPr>
          </w:p>
        </w:tc>
        <w:tc>
          <w:tcPr>
            <w:tcW w:w="217" w:type="dxa"/>
          </w:tcPr>
          <w:p w14:paraId="7A57DC73" w14:textId="77777777" w:rsidR="002C0FD9" w:rsidRPr="00CA25CF" w:rsidRDefault="002C0FD9" w:rsidP="00CA25CF">
            <w:pPr>
              <w:rPr>
                <w:rFonts w:cs="Arial"/>
                <w:color w:val="FF0000"/>
                <w:sz w:val="21"/>
                <w:szCs w:val="21"/>
              </w:rPr>
            </w:pPr>
          </w:p>
        </w:tc>
        <w:tc>
          <w:tcPr>
            <w:tcW w:w="217" w:type="dxa"/>
          </w:tcPr>
          <w:p w14:paraId="17B12E34" w14:textId="77777777" w:rsidR="002C0FD9" w:rsidRPr="00CA25CF" w:rsidRDefault="002C0FD9" w:rsidP="00CA25CF">
            <w:pPr>
              <w:rPr>
                <w:rFonts w:cs="Arial"/>
                <w:color w:val="FF0000"/>
                <w:sz w:val="21"/>
                <w:szCs w:val="21"/>
              </w:rPr>
            </w:pPr>
          </w:p>
        </w:tc>
        <w:tc>
          <w:tcPr>
            <w:tcW w:w="217" w:type="dxa"/>
          </w:tcPr>
          <w:p w14:paraId="03462F20" w14:textId="77777777" w:rsidR="002C0FD9" w:rsidRPr="00CA25CF" w:rsidRDefault="002C0FD9" w:rsidP="00CA25CF">
            <w:pPr>
              <w:rPr>
                <w:rFonts w:cs="Arial"/>
                <w:color w:val="FF0000"/>
                <w:sz w:val="21"/>
                <w:szCs w:val="21"/>
              </w:rPr>
            </w:pPr>
          </w:p>
        </w:tc>
        <w:tc>
          <w:tcPr>
            <w:tcW w:w="217" w:type="dxa"/>
          </w:tcPr>
          <w:p w14:paraId="368A94E0" w14:textId="77777777" w:rsidR="002C0FD9" w:rsidRPr="00CA25CF" w:rsidRDefault="002C0FD9" w:rsidP="00CA25CF">
            <w:pPr>
              <w:rPr>
                <w:rFonts w:cs="Arial"/>
                <w:color w:val="FF0000"/>
                <w:sz w:val="21"/>
                <w:szCs w:val="21"/>
              </w:rPr>
            </w:pPr>
          </w:p>
        </w:tc>
        <w:tc>
          <w:tcPr>
            <w:tcW w:w="217" w:type="dxa"/>
          </w:tcPr>
          <w:p w14:paraId="7D7E1C55" w14:textId="77777777" w:rsidR="002C0FD9" w:rsidRPr="00CA25CF" w:rsidRDefault="002C0FD9" w:rsidP="00CA25CF">
            <w:pPr>
              <w:rPr>
                <w:rFonts w:cs="Arial"/>
                <w:color w:val="FF0000"/>
                <w:sz w:val="21"/>
                <w:szCs w:val="21"/>
              </w:rPr>
            </w:pPr>
          </w:p>
        </w:tc>
        <w:tc>
          <w:tcPr>
            <w:tcW w:w="217" w:type="dxa"/>
          </w:tcPr>
          <w:p w14:paraId="6A11DA3E" w14:textId="77777777" w:rsidR="002C0FD9" w:rsidRPr="00CA25CF" w:rsidRDefault="002C0FD9" w:rsidP="00CA25CF">
            <w:pPr>
              <w:rPr>
                <w:rFonts w:cs="Arial"/>
                <w:color w:val="FF0000"/>
                <w:sz w:val="21"/>
                <w:szCs w:val="21"/>
              </w:rPr>
            </w:pPr>
          </w:p>
        </w:tc>
        <w:tc>
          <w:tcPr>
            <w:tcW w:w="217" w:type="dxa"/>
          </w:tcPr>
          <w:p w14:paraId="49EE75FB" w14:textId="77777777" w:rsidR="002C0FD9" w:rsidRPr="00CA25CF" w:rsidRDefault="002C0FD9" w:rsidP="00CA25CF">
            <w:pPr>
              <w:rPr>
                <w:rFonts w:cs="Arial"/>
                <w:color w:val="FF0000"/>
                <w:sz w:val="21"/>
                <w:szCs w:val="21"/>
              </w:rPr>
            </w:pPr>
          </w:p>
        </w:tc>
        <w:tc>
          <w:tcPr>
            <w:tcW w:w="217" w:type="dxa"/>
          </w:tcPr>
          <w:p w14:paraId="5C3108E1" w14:textId="77777777" w:rsidR="002C0FD9" w:rsidRPr="00CA25CF" w:rsidRDefault="002C0FD9" w:rsidP="00CA25CF">
            <w:pPr>
              <w:rPr>
                <w:rFonts w:cs="Arial"/>
                <w:color w:val="FF0000"/>
                <w:sz w:val="21"/>
                <w:szCs w:val="21"/>
              </w:rPr>
            </w:pPr>
          </w:p>
        </w:tc>
        <w:tc>
          <w:tcPr>
            <w:tcW w:w="217" w:type="dxa"/>
          </w:tcPr>
          <w:p w14:paraId="602E92C0" w14:textId="77777777" w:rsidR="002C0FD9" w:rsidRPr="00CA25CF" w:rsidRDefault="002C0FD9" w:rsidP="00CA25CF">
            <w:pPr>
              <w:rPr>
                <w:rFonts w:cs="Arial"/>
                <w:color w:val="FF0000"/>
                <w:sz w:val="21"/>
                <w:szCs w:val="21"/>
              </w:rPr>
            </w:pPr>
          </w:p>
        </w:tc>
      </w:tr>
      <w:tr w:rsidR="002C0FD9" w:rsidRPr="00A16219" w14:paraId="18A46B3F" w14:textId="7F367FB1" w:rsidTr="002C0FD9">
        <w:trPr>
          <w:trHeight w:val="635"/>
        </w:trPr>
        <w:tc>
          <w:tcPr>
            <w:tcW w:w="515" w:type="dxa"/>
          </w:tcPr>
          <w:p w14:paraId="15DEA41D" w14:textId="77777777" w:rsidR="002C0FD9" w:rsidRPr="00CA25CF" w:rsidRDefault="002C0FD9" w:rsidP="00CA25CF">
            <w:pPr>
              <w:rPr>
                <w:rFonts w:cs="Arial"/>
                <w:color w:val="FF0000"/>
                <w:sz w:val="21"/>
                <w:szCs w:val="21"/>
              </w:rPr>
            </w:pPr>
          </w:p>
        </w:tc>
        <w:tc>
          <w:tcPr>
            <w:tcW w:w="217" w:type="dxa"/>
          </w:tcPr>
          <w:p w14:paraId="16D84251" w14:textId="77777777" w:rsidR="002C0FD9" w:rsidRPr="00CA25CF" w:rsidRDefault="002C0FD9" w:rsidP="00CA25CF">
            <w:pPr>
              <w:rPr>
                <w:rFonts w:cs="Arial"/>
                <w:color w:val="FF0000"/>
                <w:sz w:val="21"/>
                <w:szCs w:val="21"/>
              </w:rPr>
            </w:pPr>
          </w:p>
        </w:tc>
        <w:tc>
          <w:tcPr>
            <w:tcW w:w="217" w:type="dxa"/>
          </w:tcPr>
          <w:p w14:paraId="194A9D77" w14:textId="1927619B" w:rsidR="002C0FD9" w:rsidRPr="00CA25CF" w:rsidRDefault="002C0FD9" w:rsidP="00CA25CF">
            <w:pPr>
              <w:rPr>
                <w:rFonts w:cs="Arial"/>
                <w:color w:val="FF0000"/>
                <w:sz w:val="21"/>
                <w:szCs w:val="21"/>
              </w:rPr>
            </w:pPr>
          </w:p>
        </w:tc>
        <w:tc>
          <w:tcPr>
            <w:tcW w:w="217" w:type="dxa"/>
          </w:tcPr>
          <w:p w14:paraId="5E87A928" w14:textId="77777777" w:rsidR="002C0FD9" w:rsidRPr="00CA25CF" w:rsidRDefault="002C0FD9" w:rsidP="00CA25CF">
            <w:pPr>
              <w:rPr>
                <w:rFonts w:cs="Arial"/>
                <w:color w:val="FF0000"/>
                <w:sz w:val="21"/>
                <w:szCs w:val="21"/>
              </w:rPr>
            </w:pPr>
          </w:p>
        </w:tc>
        <w:tc>
          <w:tcPr>
            <w:tcW w:w="217" w:type="dxa"/>
          </w:tcPr>
          <w:p w14:paraId="157155F3" w14:textId="77777777" w:rsidR="002C0FD9" w:rsidRPr="00CA25CF" w:rsidRDefault="002C0FD9" w:rsidP="00CA25CF">
            <w:pPr>
              <w:rPr>
                <w:rFonts w:cs="Arial"/>
                <w:color w:val="FF0000"/>
                <w:sz w:val="21"/>
                <w:szCs w:val="21"/>
              </w:rPr>
            </w:pPr>
          </w:p>
        </w:tc>
        <w:tc>
          <w:tcPr>
            <w:tcW w:w="217" w:type="dxa"/>
          </w:tcPr>
          <w:p w14:paraId="37FB0CC4" w14:textId="77777777" w:rsidR="002C0FD9" w:rsidRPr="00CA25CF" w:rsidRDefault="002C0FD9" w:rsidP="00CA25CF">
            <w:pPr>
              <w:rPr>
                <w:rFonts w:cs="Arial"/>
                <w:color w:val="FF0000"/>
                <w:sz w:val="21"/>
                <w:szCs w:val="21"/>
              </w:rPr>
            </w:pPr>
          </w:p>
        </w:tc>
        <w:tc>
          <w:tcPr>
            <w:tcW w:w="217" w:type="dxa"/>
          </w:tcPr>
          <w:p w14:paraId="35258B9A" w14:textId="77777777" w:rsidR="002C0FD9" w:rsidRPr="00CA25CF" w:rsidRDefault="002C0FD9" w:rsidP="00CA25CF">
            <w:pPr>
              <w:rPr>
                <w:rFonts w:cs="Arial"/>
                <w:color w:val="FF0000"/>
                <w:sz w:val="21"/>
                <w:szCs w:val="21"/>
              </w:rPr>
            </w:pPr>
          </w:p>
        </w:tc>
        <w:tc>
          <w:tcPr>
            <w:tcW w:w="217" w:type="dxa"/>
          </w:tcPr>
          <w:p w14:paraId="7C6968F6" w14:textId="77777777" w:rsidR="002C0FD9" w:rsidRPr="00CA25CF" w:rsidRDefault="002C0FD9" w:rsidP="00CA25CF">
            <w:pPr>
              <w:rPr>
                <w:rFonts w:cs="Arial"/>
                <w:color w:val="FF0000"/>
                <w:sz w:val="21"/>
                <w:szCs w:val="21"/>
              </w:rPr>
            </w:pPr>
          </w:p>
        </w:tc>
        <w:tc>
          <w:tcPr>
            <w:tcW w:w="217" w:type="dxa"/>
          </w:tcPr>
          <w:p w14:paraId="72EC9349" w14:textId="77777777" w:rsidR="002C0FD9" w:rsidRPr="00CA25CF" w:rsidRDefault="002C0FD9" w:rsidP="00CA25CF">
            <w:pPr>
              <w:rPr>
                <w:rFonts w:cs="Arial"/>
                <w:color w:val="FF0000"/>
                <w:sz w:val="21"/>
                <w:szCs w:val="21"/>
              </w:rPr>
            </w:pPr>
          </w:p>
        </w:tc>
        <w:tc>
          <w:tcPr>
            <w:tcW w:w="217" w:type="dxa"/>
          </w:tcPr>
          <w:p w14:paraId="78DB4357" w14:textId="77777777" w:rsidR="002C0FD9" w:rsidRPr="00CA25CF" w:rsidRDefault="002C0FD9" w:rsidP="00CA25CF">
            <w:pPr>
              <w:rPr>
                <w:rFonts w:cs="Arial"/>
                <w:color w:val="FF0000"/>
                <w:sz w:val="21"/>
                <w:szCs w:val="21"/>
              </w:rPr>
            </w:pPr>
          </w:p>
        </w:tc>
        <w:tc>
          <w:tcPr>
            <w:tcW w:w="217" w:type="dxa"/>
          </w:tcPr>
          <w:p w14:paraId="0EB34922" w14:textId="77777777" w:rsidR="002C0FD9" w:rsidRPr="00CA25CF" w:rsidRDefault="002C0FD9" w:rsidP="00CA25CF">
            <w:pPr>
              <w:rPr>
                <w:rFonts w:cs="Arial"/>
                <w:color w:val="FF0000"/>
                <w:sz w:val="21"/>
                <w:szCs w:val="21"/>
              </w:rPr>
            </w:pPr>
          </w:p>
        </w:tc>
        <w:tc>
          <w:tcPr>
            <w:tcW w:w="217" w:type="dxa"/>
          </w:tcPr>
          <w:p w14:paraId="0F095FD1" w14:textId="77777777" w:rsidR="002C0FD9" w:rsidRPr="00CA25CF" w:rsidRDefault="002C0FD9" w:rsidP="00CA25CF">
            <w:pPr>
              <w:rPr>
                <w:rFonts w:cs="Arial"/>
                <w:color w:val="FF0000"/>
                <w:sz w:val="21"/>
                <w:szCs w:val="21"/>
              </w:rPr>
            </w:pPr>
          </w:p>
        </w:tc>
        <w:tc>
          <w:tcPr>
            <w:tcW w:w="217" w:type="dxa"/>
          </w:tcPr>
          <w:p w14:paraId="75AD8CD2" w14:textId="77777777" w:rsidR="002C0FD9" w:rsidRPr="00CA25CF" w:rsidRDefault="002C0FD9" w:rsidP="00CA25CF">
            <w:pPr>
              <w:rPr>
                <w:rFonts w:cs="Arial"/>
                <w:color w:val="FF0000"/>
                <w:sz w:val="21"/>
                <w:szCs w:val="21"/>
              </w:rPr>
            </w:pPr>
          </w:p>
        </w:tc>
        <w:tc>
          <w:tcPr>
            <w:tcW w:w="217" w:type="dxa"/>
          </w:tcPr>
          <w:p w14:paraId="1E004176" w14:textId="77777777" w:rsidR="002C0FD9" w:rsidRPr="00CA25CF" w:rsidRDefault="002C0FD9" w:rsidP="00CA25CF">
            <w:pPr>
              <w:rPr>
                <w:rFonts w:cs="Arial"/>
                <w:color w:val="FF0000"/>
                <w:sz w:val="21"/>
                <w:szCs w:val="21"/>
              </w:rPr>
            </w:pPr>
          </w:p>
        </w:tc>
        <w:tc>
          <w:tcPr>
            <w:tcW w:w="217" w:type="dxa"/>
          </w:tcPr>
          <w:p w14:paraId="0ADC185F" w14:textId="77777777" w:rsidR="002C0FD9" w:rsidRPr="00CA25CF" w:rsidRDefault="002C0FD9" w:rsidP="00CA25CF">
            <w:pPr>
              <w:rPr>
                <w:rFonts w:cs="Arial"/>
                <w:color w:val="FF0000"/>
                <w:sz w:val="21"/>
                <w:szCs w:val="21"/>
              </w:rPr>
            </w:pPr>
          </w:p>
        </w:tc>
        <w:tc>
          <w:tcPr>
            <w:tcW w:w="217" w:type="dxa"/>
          </w:tcPr>
          <w:p w14:paraId="389FB972" w14:textId="77777777" w:rsidR="002C0FD9" w:rsidRPr="00CA25CF" w:rsidRDefault="002C0FD9" w:rsidP="00CA25CF">
            <w:pPr>
              <w:rPr>
                <w:rFonts w:cs="Arial"/>
                <w:color w:val="FF0000"/>
                <w:sz w:val="21"/>
                <w:szCs w:val="21"/>
              </w:rPr>
            </w:pPr>
          </w:p>
        </w:tc>
        <w:tc>
          <w:tcPr>
            <w:tcW w:w="217" w:type="dxa"/>
          </w:tcPr>
          <w:p w14:paraId="629A2873" w14:textId="77777777" w:rsidR="002C0FD9" w:rsidRPr="00CA25CF" w:rsidRDefault="002C0FD9" w:rsidP="00CA25CF">
            <w:pPr>
              <w:rPr>
                <w:rFonts w:cs="Arial"/>
                <w:color w:val="FF0000"/>
                <w:sz w:val="21"/>
                <w:szCs w:val="21"/>
              </w:rPr>
            </w:pPr>
          </w:p>
        </w:tc>
        <w:tc>
          <w:tcPr>
            <w:tcW w:w="217" w:type="dxa"/>
          </w:tcPr>
          <w:p w14:paraId="4F0E9C0B" w14:textId="77777777" w:rsidR="002C0FD9" w:rsidRPr="00CA25CF" w:rsidRDefault="002C0FD9" w:rsidP="00CA25CF">
            <w:pPr>
              <w:rPr>
                <w:rFonts w:cs="Arial"/>
                <w:color w:val="FF0000"/>
                <w:sz w:val="21"/>
                <w:szCs w:val="21"/>
              </w:rPr>
            </w:pPr>
          </w:p>
        </w:tc>
        <w:tc>
          <w:tcPr>
            <w:tcW w:w="217" w:type="dxa"/>
          </w:tcPr>
          <w:p w14:paraId="7E852AC8" w14:textId="77777777" w:rsidR="002C0FD9" w:rsidRPr="00CA25CF" w:rsidRDefault="002C0FD9" w:rsidP="00CA25CF">
            <w:pPr>
              <w:rPr>
                <w:rFonts w:cs="Arial"/>
                <w:color w:val="FF0000"/>
                <w:sz w:val="21"/>
                <w:szCs w:val="21"/>
              </w:rPr>
            </w:pPr>
          </w:p>
        </w:tc>
        <w:tc>
          <w:tcPr>
            <w:tcW w:w="217" w:type="dxa"/>
          </w:tcPr>
          <w:p w14:paraId="55C74439" w14:textId="77777777" w:rsidR="002C0FD9" w:rsidRPr="00CA25CF" w:rsidRDefault="002C0FD9" w:rsidP="00CA25CF">
            <w:pPr>
              <w:rPr>
                <w:rFonts w:cs="Arial"/>
                <w:color w:val="FF0000"/>
                <w:sz w:val="21"/>
                <w:szCs w:val="21"/>
              </w:rPr>
            </w:pPr>
          </w:p>
        </w:tc>
        <w:tc>
          <w:tcPr>
            <w:tcW w:w="217" w:type="dxa"/>
          </w:tcPr>
          <w:p w14:paraId="58912B6D" w14:textId="77777777" w:rsidR="002C0FD9" w:rsidRPr="00CA25CF" w:rsidRDefault="002C0FD9" w:rsidP="00CA25CF">
            <w:pPr>
              <w:rPr>
                <w:rFonts w:cs="Arial"/>
                <w:color w:val="FF0000"/>
                <w:sz w:val="21"/>
                <w:szCs w:val="21"/>
              </w:rPr>
            </w:pPr>
          </w:p>
        </w:tc>
        <w:tc>
          <w:tcPr>
            <w:tcW w:w="217" w:type="dxa"/>
          </w:tcPr>
          <w:p w14:paraId="543BE3F1" w14:textId="77777777" w:rsidR="002C0FD9" w:rsidRPr="00CA25CF" w:rsidRDefault="002C0FD9" w:rsidP="00CA25CF">
            <w:pPr>
              <w:rPr>
                <w:rFonts w:cs="Arial"/>
                <w:color w:val="FF0000"/>
                <w:sz w:val="21"/>
                <w:szCs w:val="21"/>
              </w:rPr>
            </w:pPr>
          </w:p>
        </w:tc>
        <w:tc>
          <w:tcPr>
            <w:tcW w:w="217" w:type="dxa"/>
          </w:tcPr>
          <w:p w14:paraId="68CDA874" w14:textId="77777777" w:rsidR="002C0FD9" w:rsidRPr="00CA25CF" w:rsidRDefault="002C0FD9" w:rsidP="00CA25CF">
            <w:pPr>
              <w:rPr>
                <w:rFonts w:cs="Arial"/>
                <w:color w:val="FF0000"/>
                <w:sz w:val="21"/>
                <w:szCs w:val="21"/>
              </w:rPr>
            </w:pPr>
          </w:p>
        </w:tc>
        <w:tc>
          <w:tcPr>
            <w:tcW w:w="217" w:type="dxa"/>
          </w:tcPr>
          <w:p w14:paraId="34C44D6C" w14:textId="77777777" w:rsidR="002C0FD9" w:rsidRPr="00CA25CF" w:rsidRDefault="002C0FD9" w:rsidP="00CA25CF">
            <w:pPr>
              <w:rPr>
                <w:rFonts w:cs="Arial"/>
                <w:color w:val="FF0000"/>
                <w:sz w:val="21"/>
                <w:szCs w:val="21"/>
              </w:rPr>
            </w:pPr>
          </w:p>
        </w:tc>
        <w:tc>
          <w:tcPr>
            <w:tcW w:w="217" w:type="dxa"/>
          </w:tcPr>
          <w:p w14:paraId="69DAF58F" w14:textId="77777777" w:rsidR="002C0FD9" w:rsidRPr="00CA25CF" w:rsidRDefault="002C0FD9" w:rsidP="00CA25CF">
            <w:pPr>
              <w:rPr>
                <w:rFonts w:cs="Arial"/>
                <w:color w:val="FF0000"/>
                <w:sz w:val="21"/>
                <w:szCs w:val="21"/>
              </w:rPr>
            </w:pPr>
          </w:p>
        </w:tc>
        <w:tc>
          <w:tcPr>
            <w:tcW w:w="217" w:type="dxa"/>
          </w:tcPr>
          <w:p w14:paraId="100B5A2D" w14:textId="77777777" w:rsidR="002C0FD9" w:rsidRPr="00CA25CF" w:rsidRDefault="002C0FD9" w:rsidP="00CA25CF">
            <w:pPr>
              <w:rPr>
                <w:rFonts w:cs="Arial"/>
                <w:color w:val="FF0000"/>
                <w:sz w:val="21"/>
                <w:szCs w:val="21"/>
              </w:rPr>
            </w:pPr>
          </w:p>
        </w:tc>
        <w:tc>
          <w:tcPr>
            <w:tcW w:w="217" w:type="dxa"/>
          </w:tcPr>
          <w:p w14:paraId="1E8F210E" w14:textId="77777777" w:rsidR="002C0FD9" w:rsidRPr="00CA25CF" w:rsidRDefault="002C0FD9" w:rsidP="00CA25CF">
            <w:pPr>
              <w:rPr>
                <w:rFonts w:cs="Arial"/>
                <w:color w:val="FF0000"/>
                <w:sz w:val="21"/>
                <w:szCs w:val="21"/>
              </w:rPr>
            </w:pPr>
          </w:p>
        </w:tc>
        <w:tc>
          <w:tcPr>
            <w:tcW w:w="217" w:type="dxa"/>
          </w:tcPr>
          <w:p w14:paraId="73F3CC1B" w14:textId="77777777" w:rsidR="002C0FD9" w:rsidRPr="00CA25CF" w:rsidRDefault="002C0FD9" w:rsidP="00CA25CF">
            <w:pPr>
              <w:rPr>
                <w:rFonts w:cs="Arial"/>
                <w:color w:val="FF0000"/>
                <w:sz w:val="21"/>
                <w:szCs w:val="21"/>
              </w:rPr>
            </w:pPr>
          </w:p>
        </w:tc>
        <w:tc>
          <w:tcPr>
            <w:tcW w:w="217" w:type="dxa"/>
          </w:tcPr>
          <w:p w14:paraId="6AEA2696" w14:textId="77777777" w:rsidR="002C0FD9" w:rsidRPr="00CA25CF" w:rsidRDefault="002C0FD9" w:rsidP="00CA25CF">
            <w:pPr>
              <w:rPr>
                <w:rFonts w:cs="Arial"/>
                <w:color w:val="FF0000"/>
                <w:sz w:val="21"/>
                <w:szCs w:val="21"/>
              </w:rPr>
            </w:pPr>
          </w:p>
        </w:tc>
        <w:tc>
          <w:tcPr>
            <w:tcW w:w="217" w:type="dxa"/>
          </w:tcPr>
          <w:p w14:paraId="33D72F38" w14:textId="77777777" w:rsidR="002C0FD9" w:rsidRPr="00CA25CF" w:rsidRDefault="002C0FD9" w:rsidP="00CA25CF">
            <w:pPr>
              <w:rPr>
                <w:rFonts w:cs="Arial"/>
                <w:color w:val="FF0000"/>
                <w:sz w:val="21"/>
                <w:szCs w:val="21"/>
              </w:rPr>
            </w:pPr>
          </w:p>
        </w:tc>
        <w:tc>
          <w:tcPr>
            <w:tcW w:w="217" w:type="dxa"/>
          </w:tcPr>
          <w:p w14:paraId="613B5261" w14:textId="77777777" w:rsidR="002C0FD9" w:rsidRPr="00CA25CF" w:rsidRDefault="002C0FD9" w:rsidP="00CA25CF">
            <w:pPr>
              <w:rPr>
                <w:rFonts w:cs="Arial"/>
                <w:color w:val="FF0000"/>
                <w:sz w:val="21"/>
                <w:szCs w:val="21"/>
              </w:rPr>
            </w:pPr>
          </w:p>
        </w:tc>
        <w:tc>
          <w:tcPr>
            <w:tcW w:w="217" w:type="dxa"/>
          </w:tcPr>
          <w:p w14:paraId="3BD447AD" w14:textId="77777777" w:rsidR="002C0FD9" w:rsidRPr="00CA25CF" w:rsidRDefault="002C0FD9" w:rsidP="00CA25CF">
            <w:pPr>
              <w:rPr>
                <w:rFonts w:cs="Arial"/>
                <w:color w:val="FF0000"/>
                <w:sz w:val="21"/>
                <w:szCs w:val="21"/>
              </w:rPr>
            </w:pPr>
          </w:p>
        </w:tc>
        <w:tc>
          <w:tcPr>
            <w:tcW w:w="217" w:type="dxa"/>
          </w:tcPr>
          <w:p w14:paraId="59CE9C07" w14:textId="77777777" w:rsidR="002C0FD9" w:rsidRPr="00CA25CF" w:rsidRDefault="002C0FD9" w:rsidP="00CA25CF">
            <w:pPr>
              <w:rPr>
                <w:rFonts w:cs="Arial"/>
                <w:color w:val="FF0000"/>
                <w:sz w:val="21"/>
                <w:szCs w:val="21"/>
              </w:rPr>
            </w:pPr>
          </w:p>
        </w:tc>
        <w:tc>
          <w:tcPr>
            <w:tcW w:w="217" w:type="dxa"/>
          </w:tcPr>
          <w:p w14:paraId="66448CC3" w14:textId="77777777" w:rsidR="002C0FD9" w:rsidRPr="00CA25CF" w:rsidRDefault="002C0FD9" w:rsidP="00CA25CF">
            <w:pPr>
              <w:rPr>
                <w:rFonts w:cs="Arial"/>
                <w:color w:val="FF0000"/>
                <w:sz w:val="21"/>
                <w:szCs w:val="21"/>
              </w:rPr>
            </w:pPr>
          </w:p>
        </w:tc>
        <w:tc>
          <w:tcPr>
            <w:tcW w:w="217" w:type="dxa"/>
          </w:tcPr>
          <w:p w14:paraId="6ED8F4F8" w14:textId="77777777" w:rsidR="002C0FD9" w:rsidRPr="00CA25CF" w:rsidRDefault="002C0FD9" w:rsidP="00CA25CF">
            <w:pPr>
              <w:rPr>
                <w:rFonts w:cs="Arial"/>
                <w:color w:val="FF0000"/>
                <w:sz w:val="21"/>
                <w:szCs w:val="21"/>
              </w:rPr>
            </w:pPr>
          </w:p>
        </w:tc>
        <w:tc>
          <w:tcPr>
            <w:tcW w:w="217" w:type="dxa"/>
          </w:tcPr>
          <w:p w14:paraId="143AD006" w14:textId="77777777" w:rsidR="002C0FD9" w:rsidRPr="00CA25CF" w:rsidRDefault="002C0FD9" w:rsidP="00CA25CF">
            <w:pPr>
              <w:rPr>
                <w:rFonts w:cs="Arial"/>
                <w:color w:val="FF0000"/>
                <w:sz w:val="21"/>
                <w:szCs w:val="21"/>
              </w:rPr>
            </w:pPr>
          </w:p>
        </w:tc>
        <w:tc>
          <w:tcPr>
            <w:tcW w:w="217" w:type="dxa"/>
          </w:tcPr>
          <w:p w14:paraId="2F4B284F" w14:textId="77777777" w:rsidR="002C0FD9" w:rsidRPr="00CA25CF" w:rsidRDefault="002C0FD9" w:rsidP="00CA25CF">
            <w:pPr>
              <w:rPr>
                <w:rFonts w:cs="Arial"/>
                <w:color w:val="FF0000"/>
                <w:sz w:val="21"/>
                <w:szCs w:val="21"/>
              </w:rPr>
            </w:pPr>
          </w:p>
        </w:tc>
        <w:tc>
          <w:tcPr>
            <w:tcW w:w="217" w:type="dxa"/>
          </w:tcPr>
          <w:p w14:paraId="71562607" w14:textId="77777777" w:rsidR="002C0FD9" w:rsidRPr="00CA25CF" w:rsidRDefault="002C0FD9" w:rsidP="00CA25CF">
            <w:pPr>
              <w:rPr>
                <w:rFonts w:cs="Arial"/>
                <w:color w:val="FF0000"/>
                <w:sz w:val="21"/>
                <w:szCs w:val="21"/>
              </w:rPr>
            </w:pPr>
          </w:p>
        </w:tc>
        <w:tc>
          <w:tcPr>
            <w:tcW w:w="217" w:type="dxa"/>
          </w:tcPr>
          <w:p w14:paraId="10FDD7C0" w14:textId="77777777" w:rsidR="002C0FD9" w:rsidRPr="00CA25CF" w:rsidRDefault="002C0FD9" w:rsidP="00CA25CF">
            <w:pPr>
              <w:rPr>
                <w:rFonts w:cs="Arial"/>
                <w:color w:val="FF0000"/>
                <w:sz w:val="21"/>
                <w:szCs w:val="21"/>
              </w:rPr>
            </w:pPr>
          </w:p>
        </w:tc>
        <w:tc>
          <w:tcPr>
            <w:tcW w:w="217" w:type="dxa"/>
          </w:tcPr>
          <w:p w14:paraId="754AA84E" w14:textId="77777777" w:rsidR="002C0FD9" w:rsidRPr="00CA25CF" w:rsidRDefault="002C0FD9" w:rsidP="00CA25CF">
            <w:pPr>
              <w:rPr>
                <w:rFonts w:cs="Arial"/>
                <w:color w:val="FF0000"/>
                <w:sz w:val="21"/>
                <w:szCs w:val="21"/>
              </w:rPr>
            </w:pPr>
          </w:p>
        </w:tc>
        <w:tc>
          <w:tcPr>
            <w:tcW w:w="217" w:type="dxa"/>
          </w:tcPr>
          <w:p w14:paraId="4C27A415" w14:textId="77777777" w:rsidR="002C0FD9" w:rsidRPr="00CA25CF" w:rsidRDefault="002C0FD9" w:rsidP="00CA25CF">
            <w:pPr>
              <w:rPr>
                <w:rFonts w:cs="Arial"/>
                <w:color w:val="FF0000"/>
                <w:sz w:val="21"/>
                <w:szCs w:val="21"/>
              </w:rPr>
            </w:pPr>
          </w:p>
        </w:tc>
        <w:tc>
          <w:tcPr>
            <w:tcW w:w="217" w:type="dxa"/>
          </w:tcPr>
          <w:p w14:paraId="27CE9B1D" w14:textId="77777777" w:rsidR="002C0FD9" w:rsidRPr="00CA25CF" w:rsidRDefault="002C0FD9" w:rsidP="00CA25CF">
            <w:pPr>
              <w:rPr>
                <w:rFonts w:cs="Arial"/>
                <w:color w:val="FF0000"/>
                <w:sz w:val="21"/>
                <w:szCs w:val="21"/>
              </w:rPr>
            </w:pPr>
          </w:p>
        </w:tc>
        <w:tc>
          <w:tcPr>
            <w:tcW w:w="217" w:type="dxa"/>
          </w:tcPr>
          <w:p w14:paraId="3C216713" w14:textId="77777777" w:rsidR="002C0FD9" w:rsidRPr="00CA25CF" w:rsidRDefault="002C0FD9" w:rsidP="00CA25CF">
            <w:pPr>
              <w:rPr>
                <w:rFonts w:cs="Arial"/>
                <w:color w:val="FF0000"/>
                <w:sz w:val="21"/>
                <w:szCs w:val="21"/>
              </w:rPr>
            </w:pPr>
          </w:p>
        </w:tc>
      </w:tr>
      <w:tr w:rsidR="002C0FD9" w:rsidRPr="00A16219" w14:paraId="5572853A" w14:textId="4C65CB4E" w:rsidTr="002C0FD9">
        <w:trPr>
          <w:trHeight w:val="635"/>
        </w:trPr>
        <w:tc>
          <w:tcPr>
            <w:tcW w:w="515" w:type="dxa"/>
          </w:tcPr>
          <w:p w14:paraId="76B3096E" w14:textId="77777777" w:rsidR="002C0FD9" w:rsidRPr="00CA25CF" w:rsidRDefault="002C0FD9" w:rsidP="00CA25CF">
            <w:pPr>
              <w:rPr>
                <w:rFonts w:cs="Arial"/>
                <w:color w:val="FF0000"/>
                <w:sz w:val="21"/>
                <w:szCs w:val="21"/>
              </w:rPr>
            </w:pPr>
          </w:p>
        </w:tc>
        <w:tc>
          <w:tcPr>
            <w:tcW w:w="217" w:type="dxa"/>
          </w:tcPr>
          <w:p w14:paraId="76EE5132" w14:textId="77777777" w:rsidR="002C0FD9" w:rsidRPr="00CA25CF" w:rsidRDefault="002C0FD9" w:rsidP="00CA25CF">
            <w:pPr>
              <w:rPr>
                <w:rFonts w:cs="Arial"/>
                <w:color w:val="FF0000"/>
                <w:sz w:val="21"/>
                <w:szCs w:val="21"/>
              </w:rPr>
            </w:pPr>
          </w:p>
        </w:tc>
        <w:tc>
          <w:tcPr>
            <w:tcW w:w="217" w:type="dxa"/>
          </w:tcPr>
          <w:p w14:paraId="4D7DADFB" w14:textId="65187932" w:rsidR="002C0FD9" w:rsidRPr="00CA25CF" w:rsidRDefault="002C0FD9" w:rsidP="00CA25CF">
            <w:pPr>
              <w:rPr>
                <w:rFonts w:cs="Arial"/>
                <w:color w:val="FF0000"/>
                <w:sz w:val="21"/>
                <w:szCs w:val="21"/>
              </w:rPr>
            </w:pPr>
          </w:p>
        </w:tc>
        <w:tc>
          <w:tcPr>
            <w:tcW w:w="217" w:type="dxa"/>
          </w:tcPr>
          <w:p w14:paraId="69885B1C" w14:textId="77777777" w:rsidR="002C0FD9" w:rsidRPr="00CA25CF" w:rsidRDefault="002C0FD9" w:rsidP="00CA25CF">
            <w:pPr>
              <w:rPr>
                <w:rFonts w:cs="Arial"/>
                <w:color w:val="FF0000"/>
                <w:sz w:val="21"/>
                <w:szCs w:val="21"/>
              </w:rPr>
            </w:pPr>
          </w:p>
        </w:tc>
        <w:tc>
          <w:tcPr>
            <w:tcW w:w="217" w:type="dxa"/>
          </w:tcPr>
          <w:p w14:paraId="2F1C34B6" w14:textId="77777777" w:rsidR="002C0FD9" w:rsidRPr="00CA25CF" w:rsidRDefault="002C0FD9" w:rsidP="00CA25CF">
            <w:pPr>
              <w:rPr>
                <w:rFonts w:cs="Arial"/>
                <w:color w:val="FF0000"/>
                <w:sz w:val="21"/>
                <w:szCs w:val="21"/>
              </w:rPr>
            </w:pPr>
          </w:p>
        </w:tc>
        <w:tc>
          <w:tcPr>
            <w:tcW w:w="217" w:type="dxa"/>
          </w:tcPr>
          <w:p w14:paraId="681F0767" w14:textId="77777777" w:rsidR="002C0FD9" w:rsidRPr="00CA25CF" w:rsidRDefault="002C0FD9" w:rsidP="00CA25CF">
            <w:pPr>
              <w:rPr>
                <w:rFonts w:cs="Arial"/>
                <w:color w:val="FF0000"/>
                <w:sz w:val="21"/>
                <w:szCs w:val="21"/>
              </w:rPr>
            </w:pPr>
          </w:p>
        </w:tc>
        <w:tc>
          <w:tcPr>
            <w:tcW w:w="217" w:type="dxa"/>
          </w:tcPr>
          <w:p w14:paraId="096BD9BB" w14:textId="77777777" w:rsidR="002C0FD9" w:rsidRPr="00CA25CF" w:rsidRDefault="002C0FD9" w:rsidP="00CA25CF">
            <w:pPr>
              <w:rPr>
                <w:rFonts w:cs="Arial"/>
                <w:color w:val="FF0000"/>
                <w:sz w:val="21"/>
                <w:szCs w:val="21"/>
              </w:rPr>
            </w:pPr>
          </w:p>
        </w:tc>
        <w:tc>
          <w:tcPr>
            <w:tcW w:w="217" w:type="dxa"/>
          </w:tcPr>
          <w:p w14:paraId="098C9036" w14:textId="77777777" w:rsidR="002C0FD9" w:rsidRPr="00CA25CF" w:rsidRDefault="002C0FD9" w:rsidP="00CA25CF">
            <w:pPr>
              <w:rPr>
                <w:rFonts w:cs="Arial"/>
                <w:color w:val="FF0000"/>
                <w:sz w:val="21"/>
                <w:szCs w:val="21"/>
              </w:rPr>
            </w:pPr>
          </w:p>
        </w:tc>
        <w:tc>
          <w:tcPr>
            <w:tcW w:w="217" w:type="dxa"/>
          </w:tcPr>
          <w:p w14:paraId="708520B6" w14:textId="77777777" w:rsidR="002C0FD9" w:rsidRPr="00CA25CF" w:rsidRDefault="002C0FD9" w:rsidP="00CA25CF">
            <w:pPr>
              <w:rPr>
                <w:rFonts w:cs="Arial"/>
                <w:color w:val="FF0000"/>
                <w:sz w:val="21"/>
                <w:szCs w:val="21"/>
              </w:rPr>
            </w:pPr>
          </w:p>
        </w:tc>
        <w:tc>
          <w:tcPr>
            <w:tcW w:w="217" w:type="dxa"/>
          </w:tcPr>
          <w:p w14:paraId="3E44CFB1" w14:textId="77777777" w:rsidR="002C0FD9" w:rsidRPr="00CA25CF" w:rsidRDefault="002C0FD9" w:rsidP="00CA25CF">
            <w:pPr>
              <w:rPr>
                <w:rFonts w:cs="Arial"/>
                <w:color w:val="FF0000"/>
                <w:sz w:val="21"/>
                <w:szCs w:val="21"/>
              </w:rPr>
            </w:pPr>
          </w:p>
        </w:tc>
        <w:tc>
          <w:tcPr>
            <w:tcW w:w="217" w:type="dxa"/>
          </w:tcPr>
          <w:p w14:paraId="70E09097" w14:textId="77777777" w:rsidR="002C0FD9" w:rsidRPr="00CA25CF" w:rsidRDefault="002C0FD9" w:rsidP="00CA25CF">
            <w:pPr>
              <w:rPr>
                <w:rFonts w:cs="Arial"/>
                <w:color w:val="FF0000"/>
                <w:sz w:val="21"/>
                <w:szCs w:val="21"/>
              </w:rPr>
            </w:pPr>
          </w:p>
        </w:tc>
        <w:tc>
          <w:tcPr>
            <w:tcW w:w="217" w:type="dxa"/>
          </w:tcPr>
          <w:p w14:paraId="7217E225" w14:textId="77777777" w:rsidR="002C0FD9" w:rsidRPr="00CA25CF" w:rsidRDefault="002C0FD9" w:rsidP="00CA25CF">
            <w:pPr>
              <w:rPr>
                <w:rFonts w:cs="Arial"/>
                <w:color w:val="FF0000"/>
                <w:sz w:val="21"/>
                <w:szCs w:val="21"/>
              </w:rPr>
            </w:pPr>
          </w:p>
        </w:tc>
        <w:tc>
          <w:tcPr>
            <w:tcW w:w="217" w:type="dxa"/>
          </w:tcPr>
          <w:p w14:paraId="194B97DC" w14:textId="77777777" w:rsidR="002C0FD9" w:rsidRPr="00CA25CF" w:rsidRDefault="002C0FD9" w:rsidP="00CA25CF">
            <w:pPr>
              <w:rPr>
                <w:rFonts w:cs="Arial"/>
                <w:color w:val="FF0000"/>
                <w:sz w:val="21"/>
                <w:szCs w:val="21"/>
              </w:rPr>
            </w:pPr>
          </w:p>
        </w:tc>
        <w:tc>
          <w:tcPr>
            <w:tcW w:w="217" w:type="dxa"/>
          </w:tcPr>
          <w:p w14:paraId="040D947D" w14:textId="77777777" w:rsidR="002C0FD9" w:rsidRPr="00CA25CF" w:rsidRDefault="002C0FD9" w:rsidP="00CA25CF">
            <w:pPr>
              <w:rPr>
                <w:rFonts w:cs="Arial"/>
                <w:color w:val="FF0000"/>
                <w:sz w:val="21"/>
                <w:szCs w:val="21"/>
              </w:rPr>
            </w:pPr>
          </w:p>
        </w:tc>
        <w:tc>
          <w:tcPr>
            <w:tcW w:w="217" w:type="dxa"/>
          </w:tcPr>
          <w:p w14:paraId="1806306B" w14:textId="77777777" w:rsidR="002C0FD9" w:rsidRPr="00CA25CF" w:rsidRDefault="002C0FD9" w:rsidP="00CA25CF">
            <w:pPr>
              <w:rPr>
                <w:rFonts w:cs="Arial"/>
                <w:color w:val="FF0000"/>
                <w:sz w:val="21"/>
                <w:szCs w:val="21"/>
              </w:rPr>
            </w:pPr>
          </w:p>
        </w:tc>
        <w:tc>
          <w:tcPr>
            <w:tcW w:w="217" w:type="dxa"/>
          </w:tcPr>
          <w:p w14:paraId="407C2468" w14:textId="77777777" w:rsidR="002C0FD9" w:rsidRPr="00CA25CF" w:rsidRDefault="002C0FD9" w:rsidP="00CA25CF">
            <w:pPr>
              <w:rPr>
                <w:rFonts w:cs="Arial"/>
                <w:color w:val="FF0000"/>
                <w:sz w:val="21"/>
                <w:szCs w:val="21"/>
              </w:rPr>
            </w:pPr>
          </w:p>
        </w:tc>
        <w:tc>
          <w:tcPr>
            <w:tcW w:w="217" w:type="dxa"/>
          </w:tcPr>
          <w:p w14:paraId="758D71B6" w14:textId="77777777" w:rsidR="002C0FD9" w:rsidRPr="00CA25CF" w:rsidRDefault="002C0FD9" w:rsidP="00CA25CF">
            <w:pPr>
              <w:rPr>
                <w:rFonts w:cs="Arial"/>
                <w:color w:val="FF0000"/>
                <w:sz w:val="21"/>
                <w:szCs w:val="21"/>
              </w:rPr>
            </w:pPr>
          </w:p>
        </w:tc>
        <w:tc>
          <w:tcPr>
            <w:tcW w:w="217" w:type="dxa"/>
          </w:tcPr>
          <w:p w14:paraId="4E503B58" w14:textId="77777777" w:rsidR="002C0FD9" w:rsidRPr="00CA25CF" w:rsidRDefault="002C0FD9" w:rsidP="00CA25CF">
            <w:pPr>
              <w:rPr>
                <w:rFonts w:cs="Arial"/>
                <w:color w:val="FF0000"/>
                <w:sz w:val="21"/>
                <w:szCs w:val="21"/>
              </w:rPr>
            </w:pPr>
          </w:p>
        </w:tc>
        <w:tc>
          <w:tcPr>
            <w:tcW w:w="217" w:type="dxa"/>
          </w:tcPr>
          <w:p w14:paraId="77016BEB" w14:textId="77777777" w:rsidR="002C0FD9" w:rsidRPr="00CA25CF" w:rsidRDefault="002C0FD9" w:rsidP="00CA25CF">
            <w:pPr>
              <w:rPr>
                <w:rFonts w:cs="Arial"/>
                <w:color w:val="FF0000"/>
                <w:sz w:val="21"/>
                <w:szCs w:val="21"/>
              </w:rPr>
            </w:pPr>
          </w:p>
        </w:tc>
        <w:tc>
          <w:tcPr>
            <w:tcW w:w="217" w:type="dxa"/>
          </w:tcPr>
          <w:p w14:paraId="0C96051E" w14:textId="77777777" w:rsidR="002C0FD9" w:rsidRPr="00CA25CF" w:rsidRDefault="002C0FD9" w:rsidP="00CA25CF">
            <w:pPr>
              <w:rPr>
                <w:rFonts w:cs="Arial"/>
                <w:color w:val="FF0000"/>
                <w:sz w:val="21"/>
                <w:szCs w:val="21"/>
              </w:rPr>
            </w:pPr>
          </w:p>
        </w:tc>
        <w:tc>
          <w:tcPr>
            <w:tcW w:w="217" w:type="dxa"/>
          </w:tcPr>
          <w:p w14:paraId="724F1534" w14:textId="77777777" w:rsidR="002C0FD9" w:rsidRPr="00CA25CF" w:rsidRDefault="002C0FD9" w:rsidP="00CA25CF">
            <w:pPr>
              <w:rPr>
                <w:rFonts w:cs="Arial"/>
                <w:color w:val="FF0000"/>
                <w:sz w:val="21"/>
                <w:szCs w:val="21"/>
              </w:rPr>
            </w:pPr>
          </w:p>
        </w:tc>
        <w:tc>
          <w:tcPr>
            <w:tcW w:w="217" w:type="dxa"/>
          </w:tcPr>
          <w:p w14:paraId="5EED6CC4" w14:textId="77777777" w:rsidR="002C0FD9" w:rsidRPr="00CA25CF" w:rsidRDefault="002C0FD9" w:rsidP="00CA25CF">
            <w:pPr>
              <w:rPr>
                <w:rFonts w:cs="Arial"/>
                <w:color w:val="FF0000"/>
                <w:sz w:val="21"/>
                <w:szCs w:val="21"/>
              </w:rPr>
            </w:pPr>
          </w:p>
        </w:tc>
        <w:tc>
          <w:tcPr>
            <w:tcW w:w="217" w:type="dxa"/>
          </w:tcPr>
          <w:p w14:paraId="783543A1" w14:textId="77777777" w:rsidR="002C0FD9" w:rsidRPr="00CA25CF" w:rsidRDefault="002C0FD9" w:rsidP="00CA25CF">
            <w:pPr>
              <w:rPr>
                <w:rFonts w:cs="Arial"/>
                <w:color w:val="FF0000"/>
                <w:sz w:val="21"/>
                <w:szCs w:val="21"/>
              </w:rPr>
            </w:pPr>
          </w:p>
        </w:tc>
        <w:tc>
          <w:tcPr>
            <w:tcW w:w="217" w:type="dxa"/>
          </w:tcPr>
          <w:p w14:paraId="2E705E97" w14:textId="77777777" w:rsidR="002C0FD9" w:rsidRPr="00CA25CF" w:rsidRDefault="002C0FD9" w:rsidP="00CA25CF">
            <w:pPr>
              <w:rPr>
                <w:rFonts w:cs="Arial"/>
                <w:color w:val="FF0000"/>
                <w:sz w:val="21"/>
                <w:szCs w:val="21"/>
              </w:rPr>
            </w:pPr>
          </w:p>
        </w:tc>
        <w:tc>
          <w:tcPr>
            <w:tcW w:w="217" w:type="dxa"/>
          </w:tcPr>
          <w:p w14:paraId="27E99E4C" w14:textId="77777777" w:rsidR="002C0FD9" w:rsidRPr="00CA25CF" w:rsidRDefault="002C0FD9" w:rsidP="00CA25CF">
            <w:pPr>
              <w:rPr>
                <w:rFonts w:cs="Arial"/>
                <w:color w:val="FF0000"/>
                <w:sz w:val="21"/>
                <w:szCs w:val="21"/>
              </w:rPr>
            </w:pPr>
          </w:p>
        </w:tc>
        <w:tc>
          <w:tcPr>
            <w:tcW w:w="217" w:type="dxa"/>
          </w:tcPr>
          <w:p w14:paraId="486AA279" w14:textId="77777777" w:rsidR="002C0FD9" w:rsidRPr="00CA25CF" w:rsidRDefault="002C0FD9" w:rsidP="00CA25CF">
            <w:pPr>
              <w:rPr>
                <w:rFonts w:cs="Arial"/>
                <w:color w:val="FF0000"/>
                <w:sz w:val="21"/>
                <w:szCs w:val="21"/>
              </w:rPr>
            </w:pPr>
          </w:p>
        </w:tc>
        <w:tc>
          <w:tcPr>
            <w:tcW w:w="217" w:type="dxa"/>
          </w:tcPr>
          <w:p w14:paraId="3DE7E622" w14:textId="77777777" w:rsidR="002C0FD9" w:rsidRPr="00CA25CF" w:rsidRDefault="002C0FD9" w:rsidP="00CA25CF">
            <w:pPr>
              <w:rPr>
                <w:rFonts w:cs="Arial"/>
                <w:color w:val="FF0000"/>
                <w:sz w:val="21"/>
                <w:szCs w:val="21"/>
              </w:rPr>
            </w:pPr>
          </w:p>
        </w:tc>
        <w:tc>
          <w:tcPr>
            <w:tcW w:w="217" w:type="dxa"/>
          </w:tcPr>
          <w:p w14:paraId="04746898" w14:textId="77777777" w:rsidR="002C0FD9" w:rsidRPr="00CA25CF" w:rsidRDefault="002C0FD9" w:rsidP="00CA25CF">
            <w:pPr>
              <w:rPr>
                <w:rFonts w:cs="Arial"/>
                <w:color w:val="FF0000"/>
                <w:sz w:val="21"/>
                <w:szCs w:val="21"/>
              </w:rPr>
            </w:pPr>
          </w:p>
        </w:tc>
        <w:tc>
          <w:tcPr>
            <w:tcW w:w="217" w:type="dxa"/>
          </w:tcPr>
          <w:p w14:paraId="00DD3237" w14:textId="77777777" w:rsidR="002C0FD9" w:rsidRPr="00CA25CF" w:rsidRDefault="002C0FD9" w:rsidP="00CA25CF">
            <w:pPr>
              <w:rPr>
                <w:rFonts w:cs="Arial"/>
                <w:color w:val="FF0000"/>
                <w:sz w:val="21"/>
                <w:szCs w:val="21"/>
              </w:rPr>
            </w:pPr>
          </w:p>
        </w:tc>
        <w:tc>
          <w:tcPr>
            <w:tcW w:w="217" w:type="dxa"/>
          </w:tcPr>
          <w:p w14:paraId="40DC14CA" w14:textId="77777777" w:rsidR="002C0FD9" w:rsidRPr="00CA25CF" w:rsidRDefault="002C0FD9" w:rsidP="00CA25CF">
            <w:pPr>
              <w:rPr>
                <w:rFonts w:cs="Arial"/>
                <w:color w:val="FF0000"/>
                <w:sz w:val="21"/>
                <w:szCs w:val="21"/>
              </w:rPr>
            </w:pPr>
          </w:p>
        </w:tc>
        <w:tc>
          <w:tcPr>
            <w:tcW w:w="217" w:type="dxa"/>
          </w:tcPr>
          <w:p w14:paraId="561654B0" w14:textId="77777777" w:rsidR="002C0FD9" w:rsidRPr="00CA25CF" w:rsidRDefault="002C0FD9" w:rsidP="00CA25CF">
            <w:pPr>
              <w:rPr>
                <w:rFonts w:cs="Arial"/>
                <w:color w:val="FF0000"/>
                <w:sz w:val="21"/>
                <w:szCs w:val="21"/>
              </w:rPr>
            </w:pPr>
          </w:p>
        </w:tc>
        <w:tc>
          <w:tcPr>
            <w:tcW w:w="217" w:type="dxa"/>
          </w:tcPr>
          <w:p w14:paraId="31BBB7EF" w14:textId="77777777" w:rsidR="002C0FD9" w:rsidRPr="00CA25CF" w:rsidRDefault="002C0FD9" w:rsidP="00CA25CF">
            <w:pPr>
              <w:rPr>
                <w:rFonts w:cs="Arial"/>
                <w:color w:val="FF0000"/>
                <w:sz w:val="21"/>
                <w:szCs w:val="21"/>
              </w:rPr>
            </w:pPr>
          </w:p>
        </w:tc>
        <w:tc>
          <w:tcPr>
            <w:tcW w:w="217" w:type="dxa"/>
          </w:tcPr>
          <w:p w14:paraId="098C170E" w14:textId="77777777" w:rsidR="002C0FD9" w:rsidRPr="00CA25CF" w:rsidRDefault="002C0FD9" w:rsidP="00CA25CF">
            <w:pPr>
              <w:rPr>
                <w:rFonts w:cs="Arial"/>
                <w:color w:val="FF0000"/>
                <w:sz w:val="21"/>
                <w:szCs w:val="21"/>
              </w:rPr>
            </w:pPr>
          </w:p>
        </w:tc>
        <w:tc>
          <w:tcPr>
            <w:tcW w:w="217" w:type="dxa"/>
          </w:tcPr>
          <w:p w14:paraId="5E5D35A6" w14:textId="77777777" w:rsidR="002C0FD9" w:rsidRPr="00CA25CF" w:rsidRDefault="002C0FD9" w:rsidP="00CA25CF">
            <w:pPr>
              <w:rPr>
                <w:rFonts w:cs="Arial"/>
                <w:color w:val="FF0000"/>
                <w:sz w:val="21"/>
                <w:szCs w:val="21"/>
              </w:rPr>
            </w:pPr>
          </w:p>
        </w:tc>
        <w:tc>
          <w:tcPr>
            <w:tcW w:w="217" w:type="dxa"/>
          </w:tcPr>
          <w:p w14:paraId="38DFF8AC" w14:textId="77777777" w:rsidR="002C0FD9" w:rsidRPr="00CA25CF" w:rsidRDefault="002C0FD9" w:rsidP="00CA25CF">
            <w:pPr>
              <w:rPr>
                <w:rFonts w:cs="Arial"/>
                <w:color w:val="FF0000"/>
                <w:sz w:val="21"/>
                <w:szCs w:val="21"/>
              </w:rPr>
            </w:pPr>
          </w:p>
        </w:tc>
        <w:tc>
          <w:tcPr>
            <w:tcW w:w="217" w:type="dxa"/>
          </w:tcPr>
          <w:p w14:paraId="0353B063" w14:textId="77777777" w:rsidR="002C0FD9" w:rsidRPr="00CA25CF" w:rsidRDefault="002C0FD9" w:rsidP="00CA25CF">
            <w:pPr>
              <w:rPr>
                <w:rFonts w:cs="Arial"/>
                <w:color w:val="FF0000"/>
                <w:sz w:val="21"/>
                <w:szCs w:val="21"/>
              </w:rPr>
            </w:pPr>
          </w:p>
        </w:tc>
        <w:tc>
          <w:tcPr>
            <w:tcW w:w="217" w:type="dxa"/>
          </w:tcPr>
          <w:p w14:paraId="3CA26789" w14:textId="77777777" w:rsidR="002C0FD9" w:rsidRPr="00CA25CF" w:rsidRDefault="002C0FD9" w:rsidP="00CA25CF">
            <w:pPr>
              <w:rPr>
                <w:rFonts w:cs="Arial"/>
                <w:color w:val="FF0000"/>
                <w:sz w:val="21"/>
                <w:szCs w:val="21"/>
              </w:rPr>
            </w:pPr>
          </w:p>
        </w:tc>
        <w:tc>
          <w:tcPr>
            <w:tcW w:w="217" w:type="dxa"/>
          </w:tcPr>
          <w:p w14:paraId="3D6AB4A2" w14:textId="77777777" w:rsidR="002C0FD9" w:rsidRPr="00CA25CF" w:rsidRDefault="002C0FD9" w:rsidP="00CA25CF">
            <w:pPr>
              <w:rPr>
                <w:rFonts w:cs="Arial"/>
                <w:color w:val="FF0000"/>
                <w:sz w:val="21"/>
                <w:szCs w:val="21"/>
              </w:rPr>
            </w:pPr>
          </w:p>
        </w:tc>
        <w:tc>
          <w:tcPr>
            <w:tcW w:w="217" w:type="dxa"/>
          </w:tcPr>
          <w:p w14:paraId="41A08EBB" w14:textId="77777777" w:rsidR="002C0FD9" w:rsidRPr="00CA25CF" w:rsidRDefault="002C0FD9" w:rsidP="00CA25CF">
            <w:pPr>
              <w:rPr>
                <w:rFonts w:cs="Arial"/>
                <w:color w:val="FF0000"/>
                <w:sz w:val="21"/>
                <w:szCs w:val="21"/>
              </w:rPr>
            </w:pPr>
          </w:p>
        </w:tc>
        <w:tc>
          <w:tcPr>
            <w:tcW w:w="217" w:type="dxa"/>
          </w:tcPr>
          <w:p w14:paraId="47907AA5" w14:textId="77777777" w:rsidR="002C0FD9" w:rsidRPr="00CA25CF" w:rsidRDefault="002C0FD9" w:rsidP="00CA25CF">
            <w:pPr>
              <w:rPr>
                <w:rFonts w:cs="Arial"/>
                <w:color w:val="FF0000"/>
                <w:sz w:val="21"/>
                <w:szCs w:val="21"/>
              </w:rPr>
            </w:pPr>
          </w:p>
        </w:tc>
        <w:tc>
          <w:tcPr>
            <w:tcW w:w="217" w:type="dxa"/>
          </w:tcPr>
          <w:p w14:paraId="0CBDD633" w14:textId="77777777" w:rsidR="002C0FD9" w:rsidRPr="00CA25CF" w:rsidRDefault="002C0FD9" w:rsidP="00CA25CF">
            <w:pPr>
              <w:rPr>
                <w:rFonts w:cs="Arial"/>
                <w:color w:val="FF0000"/>
                <w:sz w:val="21"/>
                <w:szCs w:val="21"/>
              </w:rPr>
            </w:pPr>
          </w:p>
        </w:tc>
        <w:tc>
          <w:tcPr>
            <w:tcW w:w="217" w:type="dxa"/>
          </w:tcPr>
          <w:p w14:paraId="69CF163A" w14:textId="77777777" w:rsidR="002C0FD9" w:rsidRPr="00CA25CF" w:rsidRDefault="002C0FD9" w:rsidP="00CA25CF">
            <w:pPr>
              <w:rPr>
                <w:rFonts w:cs="Arial"/>
                <w:color w:val="FF0000"/>
                <w:sz w:val="21"/>
                <w:szCs w:val="21"/>
              </w:rPr>
            </w:pPr>
          </w:p>
        </w:tc>
        <w:tc>
          <w:tcPr>
            <w:tcW w:w="217" w:type="dxa"/>
          </w:tcPr>
          <w:p w14:paraId="489495A6" w14:textId="77777777" w:rsidR="002C0FD9" w:rsidRPr="00CA25CF" w:rsidRDefault="002C0FD9" w:rsidP="00CA25CF">
            <w:pPr>
              <w:rPr>
                <w:rFonts w:cs="Arial"/>
                <w:color w:val="FF0000"/>
                <w:sz w:val="21"/>
                <w:szCs w:val="21"/>
              </w:rPr>
            </w:pPr>
          </w:p>
        </w:tc>
      </w:tr>
      <w:tr w:rsidR="002C0FD9" w:rsidRPr="00A16219" w14:paraId="06D03D4D" w14:textId="40C2329F" w:rsidTr="002C0FD9">
        <w:trPr>
          <w:trHeight w:val="635"/>
        </w:trPr>
        <w:tc>
          <w:tcPr>
            <w:tcW w:w="515" w:type="dxa"/>
          </w:tcPr>
          <w:p w14:paraId="256DDCBC" w14:textId="77777777" w:rsidR="002C0FD9" w:rsidRPr="00CA25CF" w:rsidRDefault="002C0FD9" w:rsidP="00CA25CF">
            <w:pPr>
              <w:rPr>
                <w:rFonts w:cs="Arial"/>
                <w:color w:val="FF0000"/>
                <w:sz w:val="21"/>
                <w:szCs w:val="21"/>
              </w:rPr>
            </w:pPr>
          </w:p>
        </w:tc>
        <w:tc>
          <w:tcPr>
            <w:tcW w:w="217" w:type="dxa"/>
          </w:tcPr>
          <w:p w14:paraId="45ABB02E" w14:textId="77777777" w:rsidR="002C0FD9" w:rsidRPr="00CA25CF" w:rsidRDefault="002C0FD9" w:rsidP="00CA25CF">
            <w:pPr>
              <w:rPr>
                <w:rFonts w:cs="Arial"/>
                <w:color w:val="FF0000"/>
                <w:sz w:val="21"/>
                <w:szCs w:val="21"/>
              </w:rPr>
            </w:pPr>
          </w:p>
        </w:tc>
        <w:tc>
          <w:tcPr>
            <w:tcW w:w="217" w:type="dxa"/>
          </w:tcPr>
          <w:p w14:paraId="02B9E9E6" w14:textId="11820FFA" w:rsidR="002C0FD9" w:rsidRPr="00CA25CF" w:rsidRDefault="002C0FD9" w:rsidP="00CA25CF">
            <w:pPr>
              <w:rPr>
                <w:rFonts w:cs="Arial"/>
                <w:color w:val="FF0000"/>
                <w:sz w:val="21"/>
                <w:szCs w:val="21"/>
              </w:rPr>
            </w:pPr>
          </w:p>
        </w:tc>
        <w:tc>
          <w:tcPr>
            <w:tcW w:w="217" w:type="dxa"/>
          </w:tcPr>
          <w:p w14:paraId="314EC89D" w14:textId="77777777" w:rsidR="002C0FD9" w:rsidRPr="00CA25CF" w:rsidRDefault="002C0FD9" w:rsidP="00CA25CF">
            <w:pPr>
              <w:rPr>
                <w:rFonts w:cs="Arial"/>
                <w:color w:val="FF0000"/>
                <w:sz w:val="21"/>
                <w:szCs w:val="21"/>
              </w:rPr>
            </w:pPr>
          </w:p>
        </w:tc>
        <w:tc>
          <w:tcPr>
            <w:tcW w:w="217" w:type="dxa"/>
          </w:tcPr>
          <w:p w14:paraId="36730162" w14:textId="77777777" w:rsidR="002C0FD9" w:rsidRPr="00CA25CF" w:rsidRDefault="002C0FD9" w:rsidP="00CA25CF">
            <w:pPr>
              <w:rPr>
                <w:rFonts w:cs="Arial"/>
                <w:color w:val="FF0000"/>
                <w:sz w:val="21"/>
                <w:szCs w:val="21"/>
              </w:rPr>
            </w:pPr>
          </w:p>
        </w:tc>
        <w:tc>
          <w:tcPr>
            <w:tcW w:w="217" w:type="dxa"/>
          </w:tcPr>
          <w:p w14:paraId="7508EEFB" w14:textId="77777777" w:rsidR="002C0FD9" w:rsidRPr="00CA25CF" w:rsidRDefault="002C0FD9" w:rsidP="00CA25CF">
            <w:pPr>
              <w:rPr>
                <w:rFonts w:cs="Arial"/>
                <w:color w:val="FF0000"/>
                <w:sz w:val="21"/>
                <w:szCs w:val="21"/>
              </w:rPr>
            </w:pPr>
          </w:p>
        </w:tc>
        <w:tc>
          <w:tcPr>
            <w:tcW w:w="217" w:type="dxa"/>
          </w:tcPr>
          <w:p w14:paraId="72C4FFFA" w14:textId="77777777" w:rsidR="002C0FD9" w:rsidRPr="00CA25CF" w:rsidRDefault="002C0FD9" w:rsidP="00CA25CF">
            <w:pPr>
              <w:rPr>
                <w:rFonts w:cs="Arial"/>
                <w:color w:val="FF0000"/>
                <w:sz w:val="21"/>
                <w:szCs w:val="21"/>
              </w:rPr>
            </w:pPr>
          </w:p>
        </w:tc>
        <w:tc>
          <w:tcPr>
            <w:tcW w:w="217" w:type="dxa"/>
          </w:tcPr>
          <w:p w14:paraId="0A9D1023" w14:textId="77777777" w:rsidR="002C0FD9" w:rsidRPr="00CA25CF" w:rsidRDefault="002C0FD9" w:rsidP="00CA25CF">
            <w:pPr>
              <w:rPr>
                <w:rFonts w:cs="Arial"/>
                <w:color w:val="FF0000"/>
                <w:sz w:val="21"/>
                <w:szCs w:val="21"/>
              </w:rPr>
            </w:pPr>
          </w:p>
        </w:tc>
        <w:tc>
          <w:tcPr>
            <w:tcW w:w="217" w:type="dxa"/>
          </w:tcPr>
          <w:p w14:paraId="4680BAFF" w14:textId="77777777" w:rsidR="002C0FD9" w:rsidRPr="00CA25CF" w:rsidRDefault="002C0FD9" w:rsidP="00CA25CF">
            <w:pPr>
              <w:rPr>
                <w:rFonts w:cs="Arial"/>
                <w:color w:val="FF0000"/>
                <w:sz w:val="21"/>
                <w:szCs w:val="21"/>
              </w:rPr>
            </w:pPr>
          </w:p>
        </w:tc>
        <w:tc>
          <w:tcPr>
            <w:tcW w:w="217" w:type="dxa"/>
          </w:tcPr>
          <w:p w14:paraId="5392AFE3" w14:textId="77777777" w:rsidR="002C0FD9" w:rsidRPr="00CA25CF" w:rsidRDefault="002C0FD9" w:rsidP="00CA25CF">
            <w:pPr>
              <w:rPr>
                <w:rFonts w:cs="Arial"/>
                <w:color w:val="FF0000"/>
                <w:sz w:val="21"/>
                <w:szCs w:val="21"/>
              </w:rPr>
            </w:pPr>
          </w:p>
        </w:tc>
        <w:tc>
          <w:tcPr>
            <w:tcW w:w="217" w:type="dxa"/>
          </w:tcPr>
          <w:p w14:paraId="3D727CD8" w14:textId="77777777" w:rsidR="002C0FD9" w:rsidRPr="00CA25CF" w:rsidRDefault="002C0FD9" w:rsidP="00CA25CF">
            <w:pPr>
              <w:rPr>
                <w:rFonts w:cs="Arial"/>
                <w:color w:val="FF0000"/>
                <w:sz w:val="21"/>
                <w:szCs w:val="21"/>
              </w:rPr>
            </w:pPr>
          </w:p>
        </w:tc>
        <w:tc>
          <w:tcPr>
            <w:tcW w:w="217" w:type="dxa"/>
          </w:tcPr>
          <w:p w14:paraId="6C2C3B17" w14:textId="77777777" w:rsidR="002C0FD9" w:rsidRPr="00CA25CF" w:rsidRDefault="002C0FD9" w:rsidP="00CA25CF">
            <w:pPr>
              <w:rPr>
                <w:rFonts w:cs="Arial"/>
                <w:color w:val="FF0000"/>
                <w:sz w:val="21"/>
                <w:szCs w:val="21"/>
              </w:rPr>
            </w:pPr>
          </w:p>
        </w:tc>
        <w:tc>
          <w:tcPr>
            <w:tcW w:w="217" w:type="dxa"/>
          </w:tcPr>
          <w:p w14:paraId="77E3CC46" w14:textId="77777777" w:rsidR="002C0FD9" w:rsidRPr="00CA25CF" w:rsidRDefault="002C0FD9" w:rsidP="00CA25CF">
            <w:pPr>
              <w:rPr>
                <w:rFonts w:cs="Arial"/>
                <w:color w:val="FF0000"/>
                <w:sz w:val="21"/>
                <w:szCs w:val="21"/>
              </w:rPr>
            </w:pPr>
          </w:p>
        </w:tc>
        <w:tc>
          <w:tcPr>
            <w:tcW w:w="217" w:type="dxa"/>
          </w:tcPr>
          <w:p w14:paraId="7920A16C" w14:textId="77777777" w:rsidR="002C0FD9" w:rsidRPr="00CA25CF" w:rsidRDefault="002C0FD9" w:rsidP="00CA25CF">
            <w:pPr>
              <w:rPr>
                <w:rFonts w:cs="Arial"/>
                <w:color w:val="FF0000"/>
                <w:sz w:val="21"/>
                <w:szCs w:val="21"/>
              </w:rPr>
            </w:pPr>
          </w:p>
        </w:tc>
        <w:tc>
          <w:tcPr>
            <w:tcW w:w="217" w:type="dxa"/>
          </w:tcPr>
          <w:p w14:paraId="73DDA025" w14:textId="77777777" w:rsidR="002C0FD9" w:rsidRPr="00CA25CF" w:rsidRDefault="002C0FD9" w:rsidP="00CA25CF">
            <w:pPr>
              <w:rPr>
                <w:rFonts w:cs="Arial"/>
                <w:color w:val="FF0000"/>
                <w:sz w:val="21"/>
                <w:szCs w:val="21"/>
              </w:rPr>
            </w:pPr>
          </w:p>
        </w:tc>
        <w:tc>
          <w:tcPr>
            <w:tcW w:w="217" w:type="dxa"/>
          </w:tcPr>
          <w:p w14:paraId="1855ABA5" w14:textId="77777777" w:rsidR="002C0FD9" w:rsidRPr="00CA25CF" w:rsidRDefault="002C0FD9" w:rsidP="00CA25CF">
            <w:pPr>
              <w:rPr>
                <w:rFonts w:cs="Arial"/>
                <w:color w:val="FF0000"/>
                <w:sz w:val="21"/>
                <w:szCs w:val="21"/>
              </w:rPr>
            </w:pPr>
          </w:p>
        </w:tc>
        <w:tc>
          <w:tcPr>
            <w:tcW w:w="217" w:type="dxa"/>
          </w:tcPr>
          <w:p w14:paraId="29A6AAB1" w14:textId="77777777" w:rsidR="002C0FD9" w:rsidRPr="00CA25CF" w:rsidRDefault="002C0FD9" w:rsidP="00CA25CF">
            <w:pPr>
              <w:rPr>
                <w:rFonts w:cs="Arial"/>
                <w:color w:val="FF0000"/>
                <w:sz w:val="21"/>
                <w:szCs w:val="21"/>
              </w:rPr>
            </w:pPr>
          </w:p>
        </w:tc>
        <w:tc>
          <w:tcPr>
            <w:tcW w:w="217" w:type="dxa"/>
          </w:tcPr>
          <w:p w14:paraId="79EF024B" w14:textId="77777777" w:rsidR="002C0FD9" w:rsidRPr="00CA25CF" w:rsidRDefault="002C0FD9" w:rsidP="00CA25CF">
            <w:pPr>
              <w:rPr>
                <w:rFonts w:cs="Arial"/>
                <w:color w:val="FF0000"/>
                <w:sz w:val="21"/>
                <w:szCs w:val="21"/>
              </w:rPr>
            </w:pPr>
          </w:p>
        </w:tc>
        <w:tc>
          <w:tcPr>
            <w:tcW w:w="217" w:type="dxa"/>
          </w:tcPr>
          <w:p w14:paraId="6137E7B6" w14:textId="77777777" w:rsidR="002C0FD9" w:rsidRPr="00CA25CF" w:rsidRDefault="002C0FD9" w:rsidP="00CA25CF">
            <w:pPr>
              <w:rPr>
                <w:rFonts w:cs="Arial"/>
                <w:color w:val="FF0000"/>
                <w:sz w:val="21"/>
                <w:szCs w:val="21"/>
              </w:rPr>
            </w:pPr>
          </w:p>
        </w:tc>
        <w:tc>
          <w:tcPr>
            <w:tcW w:w="217" w:type="dxa"/>
          </w:tcPr>
          <w:p w14:paraId="38C123AF" w14:textId="77777777" w:rsidR="002C0FD9" w:rsidRPr="00CA25CF" w:rsidRDefault="002C0FD9" w:rsidP="00CA25CF">
            <w:pPr>
              <w:rPr>
                <w:rFonts w:cs="Arial"/>
                <w:color w:val="FF0000"/>
                <w:sz w:val="21"/>
                <w:szCs w:val="21"/>
              </w:rPr>
            </w:pPr>
          </w:p>
        </w:tc>
        <w:tc>
          <w:tcPr>
            <w:tcW w:w="217" w:type="dxa"/>
          </w:tcPr>
          <w:p w14:paraId="6482BFFF" w14:textId="77777777" w:rsidR="002C0FD9" w:rsidRPr="00CA25CF" w:rsidRDefault="002C0FD9" w:rsidP="00CA25CF">
            <w:pPr>
              <w:rPr>
                <w:rFonts w:cs="Arial"/>
                <w:color w:val="FF0000"/>
                <w:sz w:val="21"/>
                <w:szCs w:val="21"/>
              </w:rPr>
            </w:pPr>
          </w:p>
        </w:tc>
        <w:tc>
          <w:tcPr>
            <w:tcW w:w="217" w:type="dxa"/>
          </w:tcPr>
          <w:p w14:paraId="070C8829" w14:textId="77777777" w:rsidR="002C0FD9" w:rsidRPr="00CA25CF" w:rsidRDefault="002C0FD9" w:rsidP="00CA25CF">
            <w:pPr>
              <w:rPr>
                <w:rFonts w:cs="Arial"/>
                <w:color w:val="FF0000"/>
                <w:sz w:val="21"/>
                <w:szCs w:val="21"/>
              </w:rPr>
            </w:pPr>
          </w:p>
        </w:tc>
        <w:tc>
          <w:tcPr>
            <w:tcW w:w="217" w:type="dxa"/>
          </w:tcPr>
          <w:p w14:paraId="751CD8A6" w14:textId="77777777" w:rsidR="002C0FD9" w:rsidRPr="00CA25CF" w:rsidRDefault="002C0FD9" w:rsidP="00CA25CF">
            <w:pPr>
              <w:rPr>
                <w:rFonts w:cs="Arial"/>
                <w:color w:val="FF0000"/>
                <w:sz w:val="21"/>
                <w:szCs w:val="21"/>
              </w:rPr>
            </w:pPr>
          </w:p>
        </w:tc>
        <w:tc>
          <w:tcPr>
            <w:tcW w:w="217" w:type="dxa"/>
          </w:tcPr>
          <w:p w14:paraId="6EB03ECE" w14:textId="77777777" w:rsidR="002C0FD9" w:rsidRPr="00CA25CF" w:rsidRDefault="002C0FD9" w:rsidP="00CA25CF">
            <w:pPr>
              <w:rPr>
                <w:rFonts w:cs="Arial"/>
                <w:color w:val="FF0000"/>
                <w:sz w:val="21"/>
                <w:szCs w:val="21"/>
              </w:rPr>
            </w:pPr>
          </w:p>
        </w:tc>
        <w:tc>
          <w:tcPr>
            <w:tcW w:w="217" w:type="dxa"/>
          </w:tcPr>
          <w:p w14:paraId="7A665141" w14:textId="77777777" w:rsidR="002C0FD9" w:rsidRPr="00CA25CF" w:rsidRDefault="002C0FD9" w:rsidP="00CA25CF">
            <w:pPr>
              <w:rPr>
                <w:rFonts w:cs="Arial"/>
                <w:color w:val="FF0000"/>
                <w:sz w:val="21"/>
                <w:szCs w:val="21"/>
              </w:rPr>
            </w:pPr>
          </w:p>
        </w:tc>
        <w:tc>
          <w:tcPr>
            <w:tcW w:w="217" w:type="dxa"/>
          </w:tcPr>
          <w:p w14:paraId="42482486" w14:textId="77777777" w:rsidR="002C0FD9" w:rsidRPr="00CA25CF" w:rsidRDefault="002C0FD9" w:rsidP="00CA25CF">
            <w:pPr>
              <w:rPr>
                <w:rFonts w:cs="Arial"/>
                <w:color w:val="FF0000"/>
                <w:sz w:val="21"/>
                <w:szCs w:val="21"/>
              </w:rPr>
            </w:pPr>
          </w:p>
        </w:tc>
        <w:tc>
          <w:tcPr>
            <w:tcW w:w="217" w:type="dxa"/>
          </w:tcPr>
          <w:p w14:paraId="64ADF089" w14:textId="77777777" w:rsidR="002C0FD9" w:rsidRPr="00CA25CF" w:rsidRDefault="002C0FD9" w:rsidP="00CA25CF">
            <w:pPr>
              <w:rPr>
                <w:rFonts w:cs="Arial"/>
                <w:color w:val="FF0000"/>
                <w:sz w:val="21"/>
                <w:szCs w:val="21"/>
              </w:rPr>
            </w:pPr>
          </w:p>
        </w:tc>
        <w:tc>
          <w:tcPr>
            <w:tcW w:w="217" w:type="dxa"/>
          </w:tcPr>
          <w:p w14:paraId="7FF19906" w14:textId="77777777" w:rsidR="002C0FD9" w:rsidRPr="00CA25CF" w:rsidRDefault="002C0FD9" w:rsidP="00CA25CF">
            <w:pPr>
              <w:rPr>
                <w:rFonts w:cs="Arial"/>
                <w:color w:val="FF0000"/>
                <w:sz w:val="21"/>
                <w:szCs w:val="21"/>
              </w:rPr>
            </w:pPr>
          </w:p>
        </w:tc>
        <w:tc>
          <w:tcPr>
            <w:tcW w:w="217" w:type="dxa"/>
          </w:tcPr>
          <w:p w14:paraId="7288728A" w14:textId="77777777" w:rsidR="002C0FD9" w:rsidRPr="00CA25CF" w:rsidRDefault="002C0FD9" w:rsidP="00CA25CF">
            <w:pPr>
              <w:rPr>
                <w:rFonts w:cs="Arial"/>
                <w:color w:val="FF0000"/>
                <w:sz w:val="21"/>
                <w:szCs w:val="21"/>
              </w:rPr>
            </w:pPr>
          </w:p>
        </w:tc>
        <w:tc>
          <w:tcPr>
            <w:tcW w:w="217" w:type="dxa"/>
          </w:tcPr>
          <w:p w14:paraId="779EFF9B" w14:textId="77777777" w:rsidR="002C0FD9" w:rsidRPr="00CA25CF" w:rsidRDefault="002C0FD9" w:rsidP="00CA25CF">
            <w:pPr>
              <w:rPr>
                <w:rFonts w:cs="Arial"/>
                <w:color w:val="FF0000"/>
                <w:sz w:val="21"/>
                <w:szCs w:val="21"/>
              </w:rPr>
            </w:pPr>
          </w:p>
        </w:tc>
        <w:tc>
          <w:tcPr>
            <w:tcW w:w="217" w:type="dxa"/>
          </w:tcPr>
          <w:p w14:paraId="29C0D7AB" w14:textId="77777777" w:rsidR="002C0FD9" w:rsidRPr="00CA25CF" w:rsidRDefault="002C0FD9" w:rsidP="00CA25CF">
            <w:pPr>
              <w:rPr>
                <w:rFonts w:cs="Arial"/>
                <w:color w:val="FF0000"/>
                <w:sz w:val="21"/>
                <w:szCs w:val="21"/>
              </w:rPr>
            </w:pPr>
          </w:p>
        </w:tc>
        <w:tc>
          <w:tcPr>
            <w:tcW w:w="217" w:type="dxa"/>
          </w:tcPr>
          <w:p w14:paraId="661E866C" w14:textId="77777777" w:rsidR="002C0FD9" w:rsidRPr="00CA25CF" w:rsidRDefault="002C0FD9" w:rsidP="00CA25CF">
            <w:pPr>
              <w:rPr>
                <w:rFonts w:cs="Arial"/>
                <w:color w:val="FF0000"/>
                <w:sz w:val="21"/>
                <w:szCs w:val="21"/>
              </w:rPr>
            </w:pPr>
          </w:p>
        </w:tc>
        <w:tc>
          <w:tcPr>
            <w:tcW w:w="217" w:type="dxa"/>
          </w:tcPr>
          <w:p w14:paraId="3C17CC21" w14:textId="77777777" w:rsidR="002C0FD9" w:rsidRPr="00CA25CF" w:rsidRDefault="002C0FD9" w:rsidP="00CA25CF">
            <w:pPr>
              <w:rPr>
                <w:rFonts w:cs="Arial"/>
                <w:color w:val="FF0000"/>
                <w:sz w:val="21"/>
                <w:szCs w:val="21"/>
              </w:rPr>
            </w:pPr>
          </w:p>
        </w:tc>
        <w:tc>
          <w:tcPr>
            <w:tcW w:w="217" w:type="dxa"/>
          </w:tcPr>
          <w:p w14:paraId="77FEE13B" w14:textId="77777777" w:rsidR="002C0FD9" w:rsidRPr="00CA25CF" w:rsidRDefault="002C0FD9" w:rsidP="00CA25CF">
            <w:pPr>
              <w:rPr>
                <w:rFonts w:cs="Arial"/>
                <w:color w:val="FF0000"/>
                <w:sz w:val="21"/>
                <w:szCs w:val="21"/>
              </w:rPr>
            </w:pPr>
          </w:p>
        </w:tc>
        <w:tc>
          <w:tcPr>
            <w:tcW w:w="217" w:type="dxa"/>
          </w:tcPr>
          <w:p w14:paraId="08138D12" w14:textId="77777777" w:rsidR="002C0FD9" w:rsidRPr="00CA25CF" w:rsidRDefault="002C0FD9" w:rsidP="00CA25CF">
            <w:pPr>
              <w:rPr>
                <w:rFonts w:cs="Arial"/>
                <w:color w:val="FF0000"/>
                <w:sz w:val="21"/>
                <w:szCs w:val="21"/>
              </w:rPr>
            </w:pPr>
          </w:p>
        </w:tc>
        <w:tc>
          <w:tcPr>
            <w:tcW w:w="217" w:type="dxa"/>
          </w:tcPr>
          <w:p w14:paraId="7117AFF2" w14:textId="77777777" w:rsidR="002C0FD9" w:rsidRPr="00CA25CF" w:rsidRDefault="002C0FD9" w:rsidP="00CA25CF">
            <w:pPr>
              <w:rPr>
                <w:rFonts w:cs="Arial"/>
                <w:color w:val="FF0000"/>
                <w:sz w:val="21"/>
                <w:szCs w:val="21"/>
              </w:rPr>
            </w:pPr>
          </w:p>
        </w:tc>
        <w:tc>
          <w:tcPr>
            <w:tcW w:w="217" w:type="dxa"/>
          </w:tcPr>
          <w:p w14:paraId="34C5D0E6" w14:textId="77777777" w:rsidR="002C0FD9" w:rsidRPr="00CA25CF" w:rsidRDefault="002C0FD9" w:rsidP="00CA25CF">
            <w:pPr>
              <w:rPr>
                <w:rFonts w:cs="Arial"/>
                <w:color w:val="FF0000"/>
                <w:sz w:val="21"/>
                <w:szCs w:val="21"/>
              </w:rPr>
            </w:pPr>
          </w:p>
        </w:tc>
        <w:tc>
          <w:tcPr>
            <w:tcW w:w="217" w:type="dxa"/>
          </w:tcPr>
          <w:p w14:paraId="23EBD64E" w14:textId="77777777" w:rsidR="002C0FD9" w:rsidRPr="00CA25CF" w:rsidRDefault="002C0FD9" w:rsidP="00CA25CF">
            <w:pPr>
              <w:rPr>
                <w:rFonts w:cs="Arial"/>
                <w:color w:val="FF0000"/>
                <w:sz w:val="21"/>
                <w:szCs w:val="21"/>
              </w:rPr>
            </w:pPr>
          </w:p>
        </w:tc>
        <w:tc>
          <w:tcPr>
            <w:tcW w:w="217" w:type="dxa"/>
          </w:tcPr>
          <w:p w14:paraId="29894481" w14:textId="77777777" w:rsidR="002C0FD9" w:rsidRPr="00CA25CF" w:rsidRDefault="002C0FD9" w:rsidP="00CA25CF">
            <w:pPr>
              <w:rPr>
                <w:rFonts w:cs="Arial"/>
                <w:color w:val="FF0000"/>
                <w:sz w:val="21"/>
                <w:szCs w:val="21"/>
              </w:rPr>
            </w:pPr>
          </w:p>
        </w:tc>
        <w:tc>
          <w:tcPr>
            <w:tcW w:w="217" w:type="dxa"/>
          </w:tcPr>
          <w:p w14:paraId="1215DE5C" w14:textId="77777777" w:rsidR="002C0FD9" w:rsidRPr="00CA25CF" w:rsidRDefault="002C0FD9" w:rsidP="00CA25CF">
            <w:pPr>
              <w:rPr>
                <w:rFonts w:cs="Arial"/>
                <w:color w:val="FF0000"/>
                <w:sz w:val="21"/>
                <w:szCs w:val="21"/>
              </w:rPr>
            </w:pPr>
          </w:p>
        </w:tc>
        <w:tc>
          <w:tcPr>
            <w:tcW w:w="217" w:type="dxa"/>
          </w:tcPr>
          <w:p w14:paraId="6C002C90" w14:textId="77777777" w:rsidR="002C0FD9" w:rsidRPr="00CA25CF" w:rsidRDefault="002C0FD9" w:rsidP="00CA25CF">
            <w:pPr>
              <w:rPr>
                <w:rFonts w:cs="Arial"/>
                <w:color w:val="FF0000"/>
                <w:sz w:val="21"/>
                <w:szCs w:val="21"/>
              </w:rPr>
            </w:pPr>
          </w:p>
        </w:tc>
        <w:tc>
          <w:tcPr>
            <w:tcW w:w="217" w:type="dxa"/>
          </w:tcPr>
          <w:p w14:paraId="5DBA728B" w14:textId="77777777" w:rsidR="002C0FD9" w:rsidRPr="00CA25CF" w:rsidRDefault="002C0FD9" w:rsidP="00CA25CF">
            <w:pPr>
              <w:rPr>
                <w:rFonts w:cs="Arial"/>
                <w:color w:val="FF0000"/>
                <w:sz w:val="21"/>
                <w:szCs w:val="21"/>
              </w:rPr>
            </w:pPr>
          </w:p>
        </w:tc>
        <w:tc>
          <w:tcPr>
            <w:tcW w:w="217" w:type="dxa"/>
          </w:tcPr>
          <w:p w14:paraId="54C91D6E" w14:textId="77777777" w:rsidR="002C0FD9" w:rsidRPr="00CA25CF" w:rsidRDefault="002C0FD9" w:rsidP="00CA25CF">
            <w:pPr>
              <w:rPr>
                <w:rFonts w:cs="Arial"/>
                <w:color w:val="FF0000"/>
                <w:sz w:val="21"/>
                <w:szCs w:val="21"/>
              </w:rPr>
            </w:pPr>
          </w:p>
        </w:tc>
      </w:tr>
      <w:tr w:rsidR="002C0FD9" w:rsidRPr="00A16219" w14:paraId="728EF354" w14:textId="10453312" w:rsidTr="002C0FD9">
        <w:trPr>
          <w:trHeight w:val="635"/>
        </w:trPr>
        <w:tc>
          <w:tcPr>
            <w:tcW w:w="515" w:type="dxa"/>
          </w:tcPr>
          <w:p w14:paraId="7DCC737C" w14:textId="77777777" w:rsidR="002C0FD9" w:rsidRPr="00CA25CF" w:rsidRDefault="002C0FD9" w:rsidP="00CA25CF">
            <w:pPr>
              <w:rPr>
                <w:rFonts w:cs="Arial"/>
                <w:color w:val="FF0000"/>
                <w:sz w:val="21"/>
                <w:szCs w:val="21"/>
              </w:rPr>
            </w:pPr>
          </w:p>
        </w:tc>
        <w:tc>
          <w:tcPr>
            <w:tcW w:w="217" w:type="dxa"/>
          </w:tcPr>
          <w:p w14:paraId="038D4EBC" w14:textId="77777777" w:rsidR="002C0FD9" w:rsidRPr="00CA25CF" w:rsidRDefault="002C0FD9" w:rsidP="00CA25CF">
            <w:pPr>
              <w:rPr>
                <w:rFonts w:cs="Arial"/>
                <w:color w:val="FF0000"/>
                <w:sz w:val="21"/>
                <w:szCs w:val="21"/>
              </w:rPr>
            </w:pPr>
          </w:p>
        </w:tc>
        <w:tc>
          <w:tcPr>
            <w:tcW w:w="217" w:type="dxa"/>
          </w:tcPr>
          <w:p w14:paraId="277744F3" w14:textId="3A2DA12F" w:rsidR="002C0FD9" w:rsidRPr="00CA25CF" w:rsidRDefault="002C0FD9" w:rsidP="00CA25CF">
            <w:pPr>
              <w:rPr>
                <w:rFonts w:cs="Arial"/>
                <w:color w:val="FF0000"/>
                <w:sz w:val="21"/>
                <w:szCs w:val="21"/>
              </w:rPr>
            </w:pPr>
          </w:p>
        </w:tc>
        <w:tc>
          <w:tcPr>
            <w:tcW w:w="217" w:type="dxa"/>
          </w:tcPr>
          <w:p w14:paraId="259CDD25" w14:textId="77777777" w:rsidR="002C0FD9" w:rsidRPr="00CA25CF" w:rsidRDefault="002C0FD9" w:rsidP="00CA25CF">
            <w:pPr>
              <w:rPr>
                <w:rFonts w:cs="Arial"/>
                <w:color w:val="FF0000"/>
                <w:sz w:val="21"/>
                <w:szCs w:val="21"/>
              </w:rPr>
            </w:pPr>
          </w:p>
        </w:tc>
        <w:tc>
          <w:tcPr>
            <w:tcW w:w="217" w:type="dxa"/>
          </w:tcPr>
          <w:p w14:paraId="0DDC9722" w14:textId="77777777" w:rsidR="002C0FD9" w:rsidRPr="00CA25CF" w:rsidRDefault="002C0FD9" w:rsidP="00CA25CF">
            <w:pPr>
              <w:rPr>
                <w:rFonts w:cs="Arial"/>
                <w:color w:val="FF0000"/>
                <w:sz w:val="21"/>
                <w:szCs w:val="21"/>
              </w:rPr>
            </w:pPr>
          </w:p>
        </w:tc>
        <w:tc>
          <w:tcPr>
            <w:tcW w:w="217" w:type="dxa"/>
          </w:tcPr>
          <w:p w14:paraId="629E99CA" w14:textId="77777777" w:rsidR="002C0FD9" w:rsidRPr="00CA25CF" w:rsidRDefault="002C0FD9" w:rsidP="00CA25CF">
            <w:pPr>
              <w:rPr>
                <w:rFonts w:cs="Arial"/>
                <w:color w:val="FF0000"/>
                <w:sz w:val="21"/>
                <w:szCs w:val="21"/>
              </w:rPr>
            </w:pPr>
          </w:p>
        </w:tc>
        <w:tc>
          <w:tcPr>
            <w:tcW w:w="217" w:type="dxa"/>
          </w:tcPr>
          <w:p w14:paraId="797EBB30" w14:textId="77777777" w:rsidR="002C0FD9" w:rsidRPr="00CA25CF" w:rsidRDefault="002C0FD9" w:rsidP="00CA25CF">
            <w:pPr>
              <w:rPr>
                <w:rFonts w:cs="Arial"/>
                <w:color w:val="FF0000"/>
                <w:sz w:val="21"/>
                <w:szCs w:val="21"/>
              </w:rPr>
            </w:pPr>
          </w:p>
        </w:tc>
        <w:tc>
          <w:tcPr>
            <w:tcW w:w="217" w:type="dxa"/>
          </w:tcPr>
          <w:p w14:paraId="0DE0145B" w14:textId="77777777" w:rsidR="002C0FD9" w:rsidRPr="00CA25CF" w:rsidRDefault="002C0FD9" w:rsidP="00CA25CF">
            <w:pPr>
              <w:rPr>
                <w:rFonts w:cs="Arial"/>
                <w:color w:val="FF0000"/>
                <w:sz w:val="21"/>
                <w:szCs w:val="21"/>
              </w:rPr>
            </w:pPr>
          </w:p>
        </w:tc>
        <w:tc>
          <w:tcPr>
            <w:tcW w:w="217" w:type="dxa"/>
          </w:tcPr>
          <w:p w14:paraId="68799A88" w14:textId="77777777" w:rsidR="002C0FD9" w:rsidRPr="00CA25CF" w:rsidRDefault="002C0FD9" w:rsidP="00CA25CF">
            <w:pPr>
              <w:rPr>
                <w:rFonts w:cs="Arial"/>
                <w:color w:val="FF0000"/>
                <w:sz w:val="21"/>
                <w:szCs w:val="21"/>
              </w:rPr>
            </w:pPr>
          </w:p>
        </w:tc>
        <w:tc>
          <w:tcPr>
            <w:tcW w:w="217" w:type="dxa"/>
          </w:tcPr>
          <w:p w14:paraId="1C2A4B72" w14:textId="77777777" w:rsidR="002C0FD9" w:rsidRPr="00CA25CF" w:rsidRDefault="002C0FD9" w:rsidP="00CA25CF">
            <w:pPr>
              <w:rPr>
                <w:rFonts w:cs="Arial"/>
                <w:color w:val="FF0000"/>
                <w:sz w:val="21"/>
                <w:szCs w:val="21"/>
              </w:rPr>
            </w:pPr>
          </w:p>
        </w:tc>
        <w:tc>
          <w:tcPr>
            <w:tcW w:w="217" w:type="dxa"/>
          </w:tcPr>
          <w:p w14:paraId="1D9D0771" w14:textId="77777777" w:rsidR="002C0FD9" w:rsidRPr="00CA25CF" w:rsidRDefault="002C0FD9" w:rsidP="00CA25CF">
            <w:pPr>
              <w:rPr>
                <w:rFonts w:cs="Arial"/>
                <w:color w:val="FF0000"/>
                <w:sz w:val="21"/>
                <w:szCs w:val="21"/>
              </w:rPr>
            </w:pPr>
          </w:p>
        </w:tc>
        <w:tc>
          <w:tcPr>
            <w:tcW w:w="217" w:type="dxa"/>
          </w:tcPr>
          <w:p w14:paraId="2C334847" w14:textId="77777777" w:rsidR="002C0FD9" w:rsidRPr="00CA25CF" w:rsidRDefault="002C0FD9" w:rsidP="00CA25CF">
            <w:pPr>
              <w:rPr>
                <w:rFonts w:cs="Arial"/>
                <w:color w:val="FF0000"/>
                <w:sz w:val="21"/>
                <w:szCs w:val="21"/>
              </w:rPr>
            </w:pPr>
          </w:p>
        </w:tc>
        <w:tc>
          <w:tcPr>
            <w:tcW w:w="217" w:type="dxa"/>
          </w:tcPr>
          <w:p w14:paraId="4668978C" w14:textId="77777777" w:rsidR="002C0FD9" w:rsidRPr="00CA25CF" w:rsidRDefault="002C0FD9" w:rsidP="00CA25CF">
            <w:pPr>
              <w:rPr>
                <w:rFonts w:cs="Arial"/>
                <w:color w:val="FF0000"/>
                <w:sz w:val="21"/>
                <w:szCs w:val="21"/>
              </w:rPr>
            </w:pPr>
          </w:p>
        </w:tc>
        <w:tc>
          <w:tcPr>
            <w:tcW w:w="217" w:type="dxa"/>
          </w:tcPr>
          <w:p w14:paraId="358AA1D6" w14:textId="77777777" w:rsidR="002C0FD9" w:rsidRPr="00CA25CF" w:rsidRDefault="002C0FD9" w:rsidP="00CA25CF">
            <w:pPr>
              <w:rPr>
                <w:rFonts w:cs="Arial"/>
                <w:color w:val="FF0000"/>
                <w:sz w:val="21"/>
                <w:szCs w:val="21"/>
              </w:rPr>
            </w:pPr>
          </w:p>
        </w:tc>
        <w:tc>
          <w:tcPr>
            <w:tcW w:w="217" w:type="dxa"/>
          </w:tcPr>
          <w:p w14:paraId="226F6FA0" w14:textId="77777777" w:rsidR="002C0FD9" w:rsidRPr="00CA25CF" w:rsidRDefault="002C0FD9" w:rsidP="00CA25CF">
            <w:pPr>
              <w:rPr>
                <w:rFonts w:cs="Arial"/>
                <w:color w:val="FF0000"/>
                <w:sz w:val="21"/>
                <w:szCs w:val="21"/>
              </w:rPr>
            </w:pPr>
          </w:p>
        </w:tc>
        <w:tc>
          <w:tcPr>
            <w:tcW w:w="217" w:type="dxa"/>
          </w:tcPr>
          <w:p w14:paraId="281A21A5" w14:textId="77777777" w:rsidR="002C0FD9" w:rsidRPr="00CA25CF" w:rsidRDefault="002C0FD9" w:rsidP="00CA25CF">
            <w:pPr>
              <w:rPr>
                <w:rFonts w:cs="Arial"/>
                <w:color w:val="FF0000"/>
                <w:sz w:val="21"/>
                <w:szCs w:val="21"/>
              </w:rPr>
            </w:pPr>
          </w:p>
        </w:tc>
        <w:tc>
          <w:tcPr>
            <w:tcW w:w="217" w:type="dxa"/>
          </w:tcPr>
          <w:p w14:paraId="0D898C96" w14:textId="77777777" w:rsidR="002C0FD9" w:rsidRPr="00CA25CF" w:rsidRDefault="002C0FD9" w:rsidP="00CA25CF">
            <w:pPr>
              <w:rPr>
                <w:rFonts w:cs="Arial"/>
                <w:color w:val="FF0000"/>
                <w:sz w:val="21"/>
                <w:szCs w:val="21"/>
              </w:rPr>
            </w:pPr>
          </w:p>
        </w:tc>
        <w:tc>
          <w:tcPr>
            <w:tcW w:w="217" w:type="dxa"/>
          </w:tcPr>
          <w:p w14:paraId="70E32191" w14:textId="77777777" w:rsidR="002C0FD9" w:rsidRPr="00CA25CF" w:rsidRDefault="002C0FD9" w:rsidP="00CA25CF">
            <w:pPr>
              <w:rPr>
                <w:rFonts w:cs="Arial"/>
                <w:color w:val="FF0000"/>
                <w:sz w:val="21"/>
                <w:szCs w:val="21"/>
              </w:rPr>
            </w:pPr>
          </w:p>
        </w:tc>
        <w:tc>
          <w:tcPr>
            <w:tcW w:w="217" w:type="dxa"/>
          </w:tcPr>
          <w:p w14:paraId="548BB807" w14:textId="77777777" w:rsidR="002C0FD9" w:rsidRPr="00CA25CF" w:rsidRDefault="002C0FD9" w:rsidP="00CA25CF">
            <w:pPr>
              <w:rPr>
                <w:rFonts w:cs="Arial"/>
                <w:color w:val="FF0000"/>
                <w:sz w:val="21"/>
                <w:szCs w:val="21"/>
              </w:rPr>
            </w:pPr>
          </w:p>
        </w:tc>
        <w:tc>
          <w:tcPr>
            <w:tcW w:w="217" w:type="dxa"/>
          </w:tcPr>
          <w:p w14:paraId="0F1FC43B" w14:textId="77777777" w:rsidR="002C0FD9" w:rsidRPr="00CA25CF" w:rsidRDefault="002C0FD9" w:rsidP="00CA25CF">
            <w:pPr>
              <w:rPr>
                <w:rFonts w:cs="Arial"/>
                <w:color w:val="FF0000"/>
                <w:sz w:val="21"/>
                <w:szCs w:val="21"/>
              </w:rPr>
            </w:pPr>
          </w:p>
        </w:tc>
        <w:tc>
          <w:tcPr>
            <w:tcW w:w="217" w:type="dxa"/>
          </w:tcPr>
          <w:p w14:paraId="50B7BD2F" w14:textId="77777777" w:rsidR="002C0FD9" w:rsidRPr="00CA25CF" w:rsidRDefault="002C0FD9" w:rsidP="00CA25CF">
            <w:pPr>
              <w:rPr>
                <w:rFonts w:cs="Arial"/>
                <w:color w:val="FF0000"/>
                <w:sz w:val="21"/>
                <w:szCs w:val="21"/>
              </w:rPr>
            </w:pPr>
          </w:p>
        </w:tc>
        <w:tc>
          <w:tcPr>
            <w:tcW w:w="217" w:type="dxa"/>
          </w:tcPr>
          <w:p w14:paraId="33E1A54B" w14:textId="77777777" w:rsidR="002C0FD9" w:rsidRPr="00CA25CF" w:rsidRDefault="002C0FD9" w:rsidP="00CA25CF">
            <w:pPr>
              <w:rPr>
                <w:rFonts w:cs="Arial"/>
                <w:color w:val="FF0000"/>
                <w:sz w:val="21"/>
                <w:szCs w:val="21"/>
              </w:rPr>
            </w:pPr>
          </w:p>
        </w:tc>
        <w:tc>
          <w:tcPr>
            <w:tcW w:w="217" w:type="dxa"/>
          </w:tcPr>
          <w:p w14:paraId="49C4FC00" w14:textId="77777777" w:rsidR="002C0FD9" w:rsidRPr="00CA25CF" w:rsidRDefault="002C0FD9" w:rsidP="00CA25CF">
            <w:pPr>
              <w:rPr>
                <w:rFonts w:cs="Arial"/>
                <w:color w:val="FF0000"/>
                <w:sz w:val="21"/>
                <w:szCs w:val="21"/>
              </w:rPr>
            </w:pPr>
          </w:p>
        </w:tc>
        <w:tc>
          <w:tcPr>
            <w:tcW w:w="217" w:type="dxa"/>
          </w:tcPr>
          <w:p w14:paraId="25046A43" w14:textId="77777777" w:rsidR="002C0FD9" w:rsidRPr="00CA25CF" w:rsidRDefault="002C0FD9" w:rsidP="00CA25CF">
            <w:pPr>
              <w:rPr>
                <w:rFonts w:cs="Arial"/>
                <w:color w:val="FF0000"/>
                <w:sz w:val="21"/>
                <w:szCs w:val="21"/>
              </w:rPr>
            </w:pPr>
          </w:p>
        </w:tc>
        <w:tc>
          <w:tcPr>
            <w:tcW w:w="217" w:type="dxa"/>
          </w:tcPr>
          <w:p w14:paraId="356D5326" w14:textId="77777777" w:rsidR="002C0FD9" w:rsidRPr="00CA25CF" w:rsidRDefault="002C0FD9" w:rsidP="00CA25CF">
            <w:pPr>
              <w:rPr>
                <w:rFonts w:cs="Arial"/>
                <w:color w:val="FF0000"/>
                <w:sz w:val="21"/>
                <w:szCs w:val="21"/>
              </w:rPr>
            </w:pPr>
          </w:p>
        </w:tc>
        <w:tc>
          <w:tcPr>
            <w:tcW w:w="217" w:type="dxa"/>
          </w:tcPr>
          <w:p w14:paraId="3E1BA53B" w14:textId="77777777" w:rsidR="002C0FD9" w:rsidRPr="00CA25CF" w:rsidRDefault="002C0FD9" w:rsidP="00CA25CF">
            <w:pPr>
              <w:rPr>
                <w:rFonts w:cs="Arial"/>
                <w:color w:val="FF0000"/>
                <w:sz w:val="21"/>
                <w:szCs w:val="21"/>
              </w:rPr>
            </w:pPr>
          </w:p>
        </w:tc>
        <w:tc>
          <w:tcPr>
            <w:tcW w:w="217" w:type="dxa"/>
          </w:tcPr>
          <w:p w14:paraId="459EACC3" w14:textId="77777777" w:rsidR="002C0FD9" w:rsidRPr="00CA25CF" w:rsidRDefault="002C0FD9" w:rsidP="00CA25CF">
            <w:pPr>
              <w:rPr>
                <w:rFonts w:cs="Arial"/>
                <w:color w:val="FF0000"/>
                <w:sz w:val="21"/>
                <w:szCs w:val="21"/>
              </w:rPr>
            </w:pPr>
          </w:p>
        </w:tc>
        <w:tc>
          <w:tcPr>
            <w:tcW w:w="217" w:type="dxa"/>
          </w:tcPr>
          <w:p w14:paraId="735696FE" w14:textId="77777777" w:rsidR="002C0FD9" w:rsidRPr="00CA25CF" w:rsidRDefault="002C0FD9" w:rsidP="00CA25CF">
            <w:pPr>
              <w:rPr>
                <w:rFonts w:cs="Arial"/>
                <w:color w:val="FF0000"/>
                <w:sz w:val="21"/>
                <w:szCs w:val="21"/>
              </w:rPr>
            </w:pPr>
          </w:p>
        </w:tc>
        <w:tc>
          <w:tcPr>
            <w:tcW w:w="217" w:type="dxa"/>
          </w:tcPr>
          <w:p w14:paraId="5BEB8C87" w14:textId="77777777" w:rsidR="002C0FD9" w:rsidRPr="00CA25CF" w:rsidRDefault="002C0FD9" w:rsidP="00CA25CF">
            <w:pPr>
              <w:rPr>
                <w:rFonts w:cs="Arial"/>
                <w:color w:val="FF0000"/>
                <w:sz w:val="21"/>
                <w:szCs w:val="21"/>
              </w:rPr>
            </w:pPr>
          </w:p>
        </w:tc>
        <w:tc>
          <w:tcPr>
            <w:tcW w:w="217" w:type="dxa"/>
          </w:tcPr>
          <w:p w14:paraId="767AF36D" w14:textId="77777777" w:rsidR="002C0FD9" w:rsidRPr="00CA25CF" w:rsidRDefault="002C0FD9" w:rsidP="00CA25CF">
            <w:pPr>
              <w:rPr>
                <w:rFonts w:cs="Arial"/>
                <w:color w:val="FF0000"/>
                <w:sz w:val="21"/>
                <w:szCs w:val="21"/>
              </w:rPr>
            </w:pPr>
          </w:p>
        </w:tc>
        <w:tc>
          <w:tcPr>
            <w:tcW w:w="217" w:type="dxa"/>
          </w:tcPr>
          <w:p w14:paraId="65D99B60" w14:textId="77777777" w:rsidR="002C0FD9" w:rsidRPr="00CA25CF" w:rsidRDefault="002C0FD9" w:rsidP="00CA25CF">
            <w:pPr>
              <w:rPr>
                <w:rFonts w:cs="Arial"/>
                <w:color w:val="FF0000"/>
                <w:sz w:val="21"/>
                <w:szCs w:val="21"/>
              </w:rPr>
            </w:pPr>
          </w:p>
        </w:tc>
        <w:tc>
          <w:tcPr>
            <w:tcW w:w="217" w:type="dxa"/>
          </w:tcPr>
          <w:p w14:paraId="682A9899" w14:textId="77777777" w:rsidR="002C0FD9" w:rsidRPr="00CA25CF" w:rsidRDefault="002C0FD9" w:rsidP="00CA25CF">
            <w:pPr>
              <w:rPr>
                <w:rFonts w:cs="Arial"/>
                <w:color w:val="FF0000"/>
                <w:sz w:val="21"/>
                <w:szCs w:val="21"/>
              </w:rPr>
            </w:pPr>
          </w:p>
        </w:tc>
        <w:tc>
          <w:tcPr>
            <w:tcW w:w="217" w:type="dxa"/>
          </w:tcPr>
          <w:p w14:paraId="452D26E9" w14:textId="77777777" w:rsidR="002C0FD9" w:rsidRPr="00CA25CF" w:rsidRDefault="002C0FD9" w:rsidP="00CA25CF">
            <w:pPr>
              <w:rPr>
                <w:rFonts w:cs="Arial"/>
                <w:color w:val="FF0000"/>
                <w:sz w:val="21"/>
                <w:szCs w:val="21"/>
              </w:rPr>
            </w:pPr>
          </w:p>
        </w:tc>
        <w:tc>
          <w:tcPr>
            <w:tcW w:w="217" w:type="dxa"/>
          </w:tcPr>
          <w:p w14:paraId="703A7FC0" w14:textId="77777777" w:rsidR="002C0FD9" w:rsidRPr="00CA25CF" w:rsidRDefault="002C0FD9" w:rsidP="00CA25CF">
            <w:pPr>
              <w:rPr>
                <w:rFonts w:cs="Arial"/>
                <w:color w:val="FF0000"/>
                <w:sz w:val="21"/>
                <w:szCs w:val="21"/>
              </w:rPr>
            </w:pPr>
          </w:p>
        </w:tc>
        <w:tc>
          <w:tcPr>
            <w:tcW w:w="217" w:type="dxa"/>
          </w:tcPr>
          <w:p w14:paraId="0F43D10E" w14:textId="77777777" w:rsidR="002C0FD9" w:rsidRPr="00CA25CF" w:rsidRDefault="002C0FD9" w:rsidP="00CA25CF">
            <w:pPr>
              <w:rPr>
                <w:rFonts w:cs="Arial"/>
                <w:color w:val="FF0000"/>
                <w:sz w:val="21"/>
                <w:szCs w:val="21"/>
              </w:rPr>
            </w:pPr>
          </w:p>
        </w:tc>
        <w:tc>
          <w:tcPr>
            <w:tcW w:w="217" w:type="dxa"/>
          </w:tcPr>
          <w:p w14:paraId="37B7B391" w14:textId="77777777" w:rsidR="002C0FD9" w:rsidRPr="00CA25CF" w:rsidRDefault="002C0FD9" w:rsidP="00CA25CF">
            <w:pPr>
              <w:rPr>
                <w:rFonts w:cs="Arial"/>
                <w:color w:val="FF0000"/>
                <w:sz w:val="21"/>
                <w:szCs w:val="21"/>
              </w:rPr>
            </w:pPr>
          </w:p>
        </w:tc>
        <w:tc>
          <w:tcPr>
            <w:tcW w:w="217" w:type="dxa"/>
          </w:tcPr>
          <w:p w14:paraId="1D70A555" w14:textId="77777777" w:rsidR="002C0FD9" w:rsidRPr="00CA25CF" w:rsidRDefault="002C0FD9" w:rsidP="00CA25CF">
            <w:pPr>
              <w:rPr>
                <w:rFonts w:cs="Arial"/>
                <w:color w:val="FF0000"/>
                <w:sz w:val="21"/>
                <w:szCs w:val="21"/>
              </w:rPr>
            </w:pPr>
          </w:p>
        </w:tc>
        <w:tc>
          <w:tcPr>
            <w:tcW w:w="217" w:type="dxa"/>
          </w:tcPr>
          <w:p w14:paraId="058377B0" w14:textId="77777777" w:rsidR="002C0FD9" w:rsidRPr="00CA25CF" w:rsidRDefault="002C0FD9" w:rsidP="00CA25CF">
            <w:pPr>
              <w:rPr>
                <w:rFonts w:cs="Arial"/>
                <w:color w:val="FF0000"/>
                <w:sz w:val="21"/>
                <w:szCs w:val="21"/>
              </w:rPr>
            </w:pPr>
          </w:p>
        </w:tc>
        <w:tc>
          <w:tcPr>
            <w:tcW w:w="217" w:type="dxa"/>
          </w:tcPr>
          <w:p w14:paraId="1F934B32" w14:textId="77777777" w:rsidR="002C0FD9" w:rsidRPr="00CA25CF" w:rsidRDefault="002C0FD9" w:rsidP="00CA25CF">
            <w:pPr>
              <w:rPr>
                <w:rFonts w:cs="Arial"/>
                <w:color w:val="FF0000"/>
                <w:sz w:val="21"/>
                <w:szCs w:val="21"/>
              </w:rPr>
            </w:pPr>
          </w:p>
        </w:tc>
        <w:tc>
          <w:tcPr>
            <w:tcW w:w="217" w:type="dxa"/>
          </w:tcPr>
          <w:p w14:paraId="70B86FBD" w14:textId="77777777" w:rsidR="002C0FD9" w:rsidRPr="00CA25CF" w:rsidRDefault="002C0FD9" w:rsidP="00CA25CF">
            <w:pPr>
              <w:rPr>
                <w:rFonts w:cs="Arial"/>
                <w:color w:val="FF0000"/>
                <w:sz w:val="21"/>
                <w:szCs w:val="21"/>
              </w:rPr>
            </w:pPr>
          </w:p>
        </w:tc>
        <w:tc>
          <w:tcPr>
            <w:tcW w:w="217" w:type="dxa"/>
          </w:tcPr>
          <w:p w14:paraId="6EA396CD" w14:textId="77777777" w:rsidR="002C0FD9" w:rsidRPr="00CA25CF" w:rsidRDefault="002C0FD9" w:rsidP="00CA25CF">
            <w:pPr>
              <w:rPr>
                <w:rFonts w:cs="Arial"/>
                <w:color w:val="FF0000"/>
                <w:sz w:val="21"/>
                <w:szCs w:val="21"/>
              </w:rPr>
            </w:pPr>
          </w:p>
        </w:tc>
        <w:tc>
          <w:tcPr>
            <w:tcW w:w="217" w:type="dxa"/>
          </w:tcPr>
          <w:p w14:paraId="14DD1AF4" w14:textId="77777777" w:rsidR="002C0FD9" w:rsidRPr="00CA25CF" w:rsidRDefault="002C0FD9" w:rsidP="00CA25CF">
            <w:pPr>
              <w:rPr>
                <w:rFonts w:cs="Arial"/>
                <w:color w:val="FF0000"/>
                <w:sz w:val="21"/>
                <w:szCs w:val="21"/>
              </w:rPr>
            </w:pPr>
          </w:p>
        </w:tc>
        <w:tc>
          <w:tcPr>
            <w:tcW w:w="217" w:type="dxa"/>
          </w:tcPr>
          <w:p w14:paraId="015FCC73" w14:textId="77777777" w:rsidR="002C0FD9" w:rsidRPr="00CA25CF" w:rsidRDefault="002C0FD9" w:rsidP="00CA25CF">
            <w:pPr>
              <w:rPr>
                <w:rFonts w:cs="Arial"/>
                <w:color w:val="FF0000"/>
                <w:sz w:val="21"/>
                <w:szCs w:val="21"/>
              </w:rPr>
            </w:pPr>
          </w:p>
        </w:tc>
      </w:tr>
      <w:tr w:rsidR="002C0FD9" w:rsidRPr="00A16219" w14:paraId="0A6144D7" w14:textId="7CE2A212" w:rsidTr="002C0FD9">
        <w:trPr>
          <w:trHeight w:val="635"/>
        </w:trPr>
        <w:tc>
          <w:tcPr>
            <w:tcW w:w="515" w:type="dxa"/>
          </w:tcPr>
          <w:p w14:paraId="7119C97C" w14:textId="77777777" w:rsidR="002C0FD9" w:rsidRPr="00CA25CF" w:rsidRDefault="002C0FD9" w:rsidP="00CA25CF">
            <w:pPr>
              <w:rPr>
                <w:rFonts w:cs="Arial"/>
                <w:color w:val="FF0000"/>
                <w:sz w:val="21"/>
                <w:szCs w:val="21"/>
              </w:rPr>
            </w:pPr>
          </w:p>
        </w:tc>
        <w:tc>
          <w:tcPr>
            <w:tcW w:w="217" w:type="dxa"/>
          </w:tcPr>
          <w:p w14:paraId="6A8F0646" w14:textId="77777777" w:rsidR="002C0FD9" w:rsidRPr="00CA25CF" w:rsidRDefault="002C0FD9" w:rsidP="00CA25CF">
            <w:pPr>
              <w:rPr>
                <w:rFonts w:cs="Arial"/>
                <w:color w:val="FF0000"/>
                <w:sz w:val="21"/>
                <w:szCs w:val="21"/>
              </w:rPr>
            </w:pPr>
          </w:p>
        </w:tc>
        <w:tc>
          <w:tcPr>
            <w:tcW w:w="217" w:type="dxa"/>
          </w:tcPr>
          <w:p w14:paraId="05539083" w14:textId="3BFCC143" w:rsidR="002C0FD9" w:rsidRPr="00CA25CF" w:rsidRDefault="002C0FD9" w:rsidP="00CA25CF">
            <w:pPr>
              <w:rPr>
                <w:rFonts w:cs="Arial"/>
                <w:color w:val="FF0000"/>
                <w:sz w:val="21"/>
                <w:szCs w:val="21"/>
              </w:rPr>
            </w:pPr>
          </w:p>
        </w:tc>
        <w:tc>
          <w:tcPr>
            <w:tcW w:w="217" w:type="dxa"/>
          </w:tcPr>
          <w:p w14:paraId="71DBABCE" w14:textId="77777777" w:rsidR="002C0FD9" w:rsidRPr="00CA25CF" w:rsidRDefault="002C0FD9" w:rsidP="00CA25CF">
            <w:pPr>
              <w:rPr>
                <w:rFonts w:cs="Arial"/>
                <w:color w:val="FF0000"/>
                <w:sz w:val="21"/>
                <w:szCs w:val="21"/>
              </w:rPr>
            </w:pPr>
          </w:p>
        </w:tc>
        <w:tc>
          <w:tcPr>
            <w:tcW w:w="217" w:type="dxa"/>
          </w:tcPr>
          <w:p w14:paraId="135B0336" w14:textId="77777777" w:rsidR="002C0FD9" w:rsidRPr="00CA25CF" w:rsidRDefault="002C0FD9" w:rsidP="00CA25CF">
            <w:pPr>
              <w:rPr>
                <w:rFonts w:cs="Arial"/>
                <w:color w:val="FF0000"/>
                <w:sz w:val="21"/>
                <w:szCs w:val="21"/>
              </w:rPr>
            </w:pPr>
          </w:p>
        </w:tc>
        <w:tc>
          <w:tcPr>
            <w:tcW w:w="217" w:type="dxa"/>
          </w:tcPr>
          <w:p w14:paraId="2596EE62" w14:textId="77777777" w:rsidR="002C0FD9" w:rsidRPr="00CA25CF" w:rsidRDefault="002C0FD9" w:rsidP="00CA25CF">
            <w:pPr>
              <w:rPr>
                <w:rFonts w:cs="Arial"/>
                <w:color w:val="FF0000"/>
                <w:sz w:val="21"/>
                <w:szCs w:val="21"/>
              </w:rPr>
            </w:pPr>
          </w:p>
        </w:tc>
        <w:tc>
          <w:tcPr>
            <w:tcW w:w="217" w:type="dxa"/>
          </w:tcPr>
          <w:p w14:paraId="2A43EF2F" w14:textId="77777777" w:rsidR="002C0FD9" w:rsidRPr="00CA25CF" w:rsidRDefault="002C0FD9" w:rsidP="00CA25CF">
            <w:pPr>
              <w:rPr>
                <w:rFonts w:cs="Arial"/>
                <w:color w:val="FF0000"/>
                <w:sz w:val="21"/>
                <w:szCs w:val="21"/>
              </w:rPr>
            </w:pPr>
          </w:p>
        </w:tc>
        <w:tc>
          <w:tcPr>
            <w:tcW w:w="217" w:type="dxa"/>
          </w:tcPr>
          <w:p w14:paraId="0B3B9FCA" w14:textId="77777777" w:rsidR="002C0FD9" w:rsidRPr="00CA25CF" w:rsidRDefault="002C0FD9" w:rsidP="00CA25CF">
            <w:pPr>
              <w:rPr>
                <w:rFonts w:cs="Arial"/>
                <w:color w:val="FF0000"/>
                <w:sz w:val="21"/>
                <w:szCs w:val="21"/>
              </w:rPr>
            </w:pPr>
          </w:p>
        </w:tc>
        <w:tc>
          <w:tcPr>
            <w:tcW w:w="217" w:type="dxa"/>
          </w:tcPr>
          <w:p w14:paraId="096DC754" w14:textId="77777777" w:rsidR="002C0FD9" w:rsidRPr="00CA25CF" w:rsidRDefault="002C0FD9" w:rsidP="00CA25CF">
            <w:pPr>
              <w:rPr>
                <w:rFonts w:cs="Arial"/>
                <w:color w:val="FF0000"/>
                <w:sz w:val="21"/>
                <w:szCs w:val="21"/>
              </w:rPr>
            </w:pPr>
          </w:p>
        </w:tc>
        <w:tc>
          <w:tcPr>
            <w:tcW w:w="217" w:type="dxa"/>
          </w:tcPr>
          <w:p w14:paraId="538484CE" w14:textId="77777777" w:rsidR="002C0FD9" w:rsidRPr="00CA25CF" w:rsidRDefault="002C0FD9" w:rsidP="00CA25CF">
            <w:pPr>
              <w:rPr>
                <w:rFonts w:cs="Arial"/>
                <w:color w:val="FF0000"/>
                <w:sz w:val="21"/>
                <w:szCs w:val="21"/>
              </w:rPr>
            </w:pPr>
          </w:p>
        </w:tc>
        <w:tc>
          <w:tcPr>
            <w:tcW w:w="217" w:type="dxa"/>
          </w:tcPr>
          <w:p w14:paraId="1DE7C1E2" w14:textId="77777777" w:rsidR="002C0FD9" w:rsidRPr="00CA25CF" w:rsidRDefault="002C0FD9" w:rsidP="00CA25CF">
            <w:pPr>
              <w:rPr>
                <w:rFonts w:cs="Arial"/>
                <w:color w:val="FF0000"/>
                <w:sz w:val="21"/>
                <w:szCs w:val="21"/>
              </w:rPr>
            </w:pPr>
          </w:p>
        </w:tc>
        <w:tc>
          <w:tcPr>
            <w:tcW w:w="217" w:type="dxa"/>
          </w:tcPr>
          <w:p w14:paraId="5F05B5EB" w14:textId="77777777" w:rsidR="002C0FD9" w:rsidRPr="00CA25CF" w:rsidRDefault="002C0FD9" w:rsidP="00CA25CF">
            <w:pPr>
              <w:rPr>
                <w:rFonts w:cs="Arial"/>
                <w:color w:val="FF0000"/>
                <w:sz w:val="21"/>
                <w:szCs w:val="21"/>
              </w:rPr>
            </w:pPr>
          </w:p>
        </w:tc>
        <w:tc>
          <w:tcPr>
            <w:tcW w:w="217" w:type="dxa"/>
          </w:tcPr>
          <w:p w14:paraId="7920E8C3" w14:textId="77777777" w:rsidR="002C0FD9" w:rsidRPr="00CA25CF" w:rsidRDefault="002C0FD9" w:rsidP="00CA25CF">
            <w:pPr>
              <w:rPr>
                <w:rFonts w:cs="Arial"/>
                <w:color w:val="FF0000"/>
                <w:sz w:val="21"/>
                <w:szCs w:val="21"/>
              </w:rPr>
            </w:pPr>
          </w:p>
        </w:tc>
        <w:tc>
          <w:tcPr>
            <w:tcW w:w="217" w:type="dxa"/>
          </w:tcPr>
          <w:p w14:paraId="7E8E6C5C" w14:textId="77777777" w:rsidR="002C0FD9" w:rsidRPr="00CA25CF" w:rsidRDefault="002C0FD9" w:rsidP="00CA25CF">
            <w:pPr>
              <w:rPr>
                <w:rFonts w:cs="Arial"/>
                <w:color w:val="FF0000"/>
                <w:sz w:val="21"/>
                <w:szCs w:val="21"/>
              </w:rPr>
            </w:pPr>
          </w:p>
        </w:tc>
        <w:tc>
          <w:tcPr>
            <w:tcW w:w="217" w:type="dxa"/>
          </w:tcPr>
          <w:p w14:paraId="38DFF870" w14:textId="77777777" w:rsidR="002C0FD9" w:rsidRPr="00CA25CF" w:rsidRDefault="002C0FD9" w:rsidP="00CA25CF">
            <w:pPr>
              <w:rPr>
                <w:rFonts w:cs="Arial"/>
                <w:color w:val="FF0000"/>
                <w:sz w:val="21"/>
                <w:szCs w:val="21"/>
              </w:rPr>
            </w:pPr>
          </w:p>
        </w:tc>
        <w:tc>
          <w:tcPr>
            <w:tcW w:w="217" w:type="dxa"/>
          </w:tcPr>
          <w:p w14:paraId="034AB3A3" w14:textId="77777777" w:rsidR="002C0FD9" w:rsidRPr="00CA25CF" w:rsidRDefault="002C0FD9" w:rsidP="00CA25CF">
            <w:pPr>
              <w:rPr>
                <w:rFonts w:cs="Arial"/>
                <w:color w:val="FF0000"/>
                <w:sz w:val="21"/>
                <w:szCs w:val="21"/>
              </w:rPr>
            </w:pPr>
          </w:p>
        </w:tc>
        <w:tc>
          <w:tcPr>
            <w:tcW w:w="217" w:type="dxa"/>
          </w:tcPr>
          <w:p w14:paraId="63DA2A9C" w14:textId="77777777" w:rsidR="002C0FD9" w:rsidRPr="00CA25CF" w:rsidRDefault="002C0FD9" w:rsidP="00CA25CF">
            <w:pPr>
              <w:rPr>
                <w:rFonts w:cs="Arial"/>
                <w:color w:val="FF0000"/>
                <w:sz w:val="21"/>
                <w:szCs w:val="21"/>
              </w:rPr>
            </w:pPr>
          </w:p>
        </w:tc>
        <w:tc>
          <w:tcPr>
            <w:tcW w:w="217" w:type="dxa"/>
          </w:tcPr>
          <w:p w14:paraId="43A19DEE" w14:textId="77777777" w:rsidR="002C0FD9" w:rsidRPr="00CA25CF" w:rsidRDefault="002C0FD9" w:rsidP="00CA25CF">
            <w:pPr>
              <w:rPr>
                <w:rFonts w:cs="Arial"/>
                <w:color w:val="FF0000"/>
                <w:sz w:val="21"/>
                <w:szCs w:val="21"/>
              </w:rPr>
            </w:pPr>
          </w:p>
        </w:tc>
        <w:tc>
          <w:tcPr>
            <w:tcW w:w="217" w:type="dxa"/>
          </w:tcPr>
          <w:p w14:paraId="2A349C96" w14:textId="77777777" w:rsidR="002C0FD9" w:rsidRPr="00CA25CF" w:rsidRDefault="002C0FD9" w:rsidP="00CA25CF">
            <w:pPr>
              <w:rPr>
                <w:rFonts w:cs="Arial"/>
                <w:color w:val="FF0000"/>
                <w:sz w:val="21"/>
                <w:szCs w:val="21"/>
              </w:rPr>
            </w:pPr>
          </w:p>
        </w:tc>
        <w:tc>
          <w:tcPr>
            <w:tcW w:w="217" w:type="dxa"/>
          </w:tcPr>
          <w:p w14:paraId="3F67FA43" w14:textId="77777777" w:rsidR="002C0FD9" w:rsidRPr="00CA25CF" w:rsidRDefault="002C0FD9" w:rsidP="00CA25CF">
            <w:pPr>
              <w:rPr>
                <w:rFonts w:cs="Arial"/>
                <w:color w:val="FF0000"/>
                <w:sz w:val="21"/>
                <w:szCs w:val="21"/>
              </w:rPr>
            </w:pPr>
          </w:p>
        </w:tc>
        <w:tc>
          <w:tcPr>
            <w:tcW w:w="217" w:type="dxa"/>
          </w:tcPr>
          <w:p w14:paraId="12F8B907" w14:textId="77777777" w:rsidR="002C0FD9" w:rsidRPr="00CA25CF" w:rsidRDefault="002C0FD9" w:rsidP="00CA25CF">
            <w:pPr>
              <w:rPr>
                <w:rFonts w:cs="Arial"/>
                <w:color w:val="FF0000"/>
                <w:sz w:val="21"/>
                <w:szCs w:val="21"/>
              </w:rPr>
            </w:pPr>
          </w:p>
        </w:tc>
        <w:tc>
          <w:tcPr>
            <w:tcW w:w="217" w:type="dxa"/>
          </w:tcPr>
          <w:p w14:paraId="6ADF0F77" w14:textId="77777777" w:rsidR="002C0FD9" w:rsidRPr="00CA25CF" w:rsidRDefault="002C0FD9" w:rsidP="00CA25CF">
            <w:pPr>
              <w:rPr>
                <w:rFonts w:cs="Arial"/>
                <w:color w:val="FF0000"/>
                <w:sz w:val="21"/>
                <w:szCs w:val="21"/>
              </w:rPr>
            </w:pPr>
          </w:p>
        </w:tc>
        <w:tc>
          <w:tcPr>
            <w:tcW w:w="217" w:type="dxa"/>
          </w:tcPr>
          <w:p w14:paraId="1D708F5E" w14:textId="77777777" w:rsidR="002C0FD9" w:rsidRPr="00CA25CF" w:rsidRDefault="002C0FD9" w:rsidP="00CA25CF">
            <w:pPr>
              <w:rPr>
                <w:rFonts w:cs="Arial"/>
                <w:color w:val="FF0000"/>
                <w:sz w:val="21"/>
                <w:szCs w:val="21"/>
              </w:rPr>
            </w:pPr>
          </w:p>
        </w:tc>
        <w:tc>
          <w:tcPr>
            <w:tcW w:w="217" w:type="dxa"/>
          </w:tcPr>
          <w:p w14:paraId="0238C22C" w14:textId="77777777" w:rsidR="002C0FD9" w:rsidRPr="00CA25CF" w:rsidRDefault="002C0FD9" w:rsidP="00CA25CF">
            <w:pPr>
              <w:rPr>
                <w:rFonts w:cs="Arial"/>
                <w:color w:val="FF0000"/>
                <w:sz w:val="21"/>
                <w:szCs w:val="21"/>
              </w:rPr>
            </w:pPr>
          </w:p>
        </w:tc>
        <w:tc>
          <w:tcPr>
            <w:tcW w:w="217" w:type="dxa"/>
          </w:tcPr>
          <w:p w14:paraId="567DCE3A" w14:textId="77777777" w:rsidR="002C0FD9" w:rsidRPr="00CA25CF" w:rsidRDefault="002C0FD9" w:rsidP="00CA25CF">
            <w:pPr>
              <w:rPr>
                <w:rFonts w:cs="Arial"/>
                <w:color w:val="FF0000"/>
                <w:sz w:val="21"/>
                <w:szCs w:val="21"/>
              </w:rPr>
            </w:pPr>
          </w:p>
        </w:tc>
        <w:tc>
          <w:tcPr>
            <w:tcW w:w="217" w:type="dxa"/>
          </w:tcPr>
          <w:p w14:paraId="335D6269" w14:textId="77777777" w:rsidR="002C0FD9" w:rsidRPr="00CA25CF" w:rsidRDefault="002C0FD9" w:rsidP="00CA25CF">
            <w:pPr>
              <w:rPr>
                <w:rFonts w:cs="Arial"/>
                <w:color w:val="FF0000"/>
                <w:sz w:val="21"/>
                <w:szCs w:val="21"/>
              </w:rPr>
            </w:pPr>
          </w:p>
        </w:tc>
        <w:tc>
          <w:tcPr>
            <w:tcW w:w="217" w:type="dxa"/>
          </w:tcPr>
          <w:p w14:paraId="209530BC" w14:textId="77777777" w:rsidR="002C0FD9" w:rsidRPr="00CA25CF" w:rsidRDefault="002C0FD9" w:rsidP="00CA25CF">
            <w:pPr>
              <w:rPr>
                <w:rFonts w:cs="Arial"/>
                <w:color w:val="FF0000"/>
                <w:sz w:val="21"/>
                <w:szCs w:val="21"/>
              </w:rPr>
            </w:pPr>
          </w:p>
        </w:tc>
        <w:tc>
          <w:tcPr>
            <w:tcW w:w="217" w:type="dxa"/>
          </w:tcPr>
          <w:p w14:paraId="167B66EE" w14:textId="77777777" w:rsidR="002C0FD9" w:rsidRPr="00CA25CF" w:rsidRDefault="002C0FD9" w:rsidP="00CA25CF">
            <w:pPr>
              <w:rPr>
                <w:rFonts w:cs="Arial"/>
                <w:color w:val="FF0000"/>
                <w:sz w:val="21"/>
                <w:szCs w:val="21"/>
              </w:rPr>
            </w:pPr>
          </w:p>
        </w:tc>
        <w:tc>
          <w:tcPr>
            <w:tcW w:w="217" w:type="dxa"/>
          </w:tcPr>
          <w:p w14:paraId="172868A5" w14:textId="77777777" w:rsidR="002C0FD9" w:rsidRPr="00CA25CF" w:rsidRDefault="002C0FD9" w:rsidP="00CA25CF">
            <w:pPr>
              <w:rPr>
                <w:rFonts w:cs="Arial"/>
                <w:color w:val="FF0000"/>
                <w:sz w:val="21"/>
                <w:szCs w:val="21"/>
              </w:rPr>
            </w:pPr>
          </w:p>
        </w:tc>
        <w:tc>
          <w:tcPr>
            <w:tcW w:w="217" w:type="dxa"/>
          </w:tcPr>
          <w:p w14:paraId="04432D8E" w14:textId="77777777" w:rsidR="002C0FD9" w:rsidRPr="00CA25CF" w:rsidRDefault="002C0FD9" w:rsidP="00CA25CF">
            <w:pPr>
              <w:rPr>
                <w:rFonts w:cs="Arial"/>
                <w:color w:val="FF0000"/>
                <w:sz w:val="21"/>
                <w:szCs w:val="21"/>
              </w:rPr>
            </w:pPr>
          </w:p>
        </w:tc>
        <w:tc>
          <w:tcPr>
            <w:tcW w:w="217" w:type="dxa"/>
          </w:tcPr>
          <w:p w14:paraId="20374920" w14:textId="77777777" w:rsidR="002C0FD9" w:rsidRPr="00CA25CF" w:rsidRDefault="002C0FD9" w:rsidP="00CA25CF">
            <w:pPr>
              <w:rPr>
                <w:rFonts w:cs="Arial"/>
                <w:color w:val="FF0000"/>
                <w:sz w:val="21"/>
                <w:szCs w:val="21"/>
              </w:rPr>
            </w:pPr>
          </w:p>
        </w:tc>
        <w:tc>
          <w:tcPr>
            <w:tcW w:w="217" w:type="dxa"/>
          </w:tcPr>
          <w:p w14:paraId="03FD0E5F" w14:textId="77777777" w:rsidR="002C0FD9" w:rsidRPr="00CA25CF" w:rsidRDefault="002C0FD9" w:rsidP="00CA25CF">
            <w:pPr>
              <w:rPr>
                <w:rFonts w:cs="Arial"/>
                <w:color w:val="FF0000"/>
                <w:sz w:val="21"/>
                <w:szCs w:val="21"/>
              </w:rPr>
            </w:pPr>
          </w:p>
        </w:tc>
        <w:tc>
          <w:tcPr>
            <w:tcW w:w="217" w:type="dxa"/>
          </w:tcPr>
          <w:p w14:paraId="1E1CF967" w14:textId="77777777" w:rsidR="002C0FD9" w:rsidRPr="00CA25CF" w:rsidRDefault="002C0FD9" w:rsidP="00CA25CF">
            <w:pPr>
              <w:rPr>
                <w:rFonts w:cs="Arial"/>
                <w:color w:val="FF0000"/>
                <w:sz w:val="21"/>
                <w:szCs w:val="21"/>
              </w:rPr>
            </w:pPr>
          </w:p>
        </w:tc>
        <w:tc>
          <w:tcPr>
            <w:tcW w:w="217" w:type="dxa"/>
          </w:tcPr>
          <w:p w14:paraId="5898A24F" w14:textId="77777777" w:rsidR="002C0FD9" w:rsidRPr="00CA25CF" w:rsidRDefault="002C0FD9" w:rsidP="00CA25CF">
            <w:pPr>
              <w:rPr>
                <w:rFonts w:cs="Arial"/>
                <w:color w:val="FF0000"/>
                <w:sz w:val="21"/>
                <w:szCs w:val="21"/>
              </w:rPr>
            </w:pPr>
          </w:p>
        </w:tc>
        <w:tc>
          <w:tcPr>
            <w:tcW w:w="217" w:type="dxa"/>
          </w:tcPr>
          <w:p w14:paraId="72978BE2" w14:textId="77777777" w:rsidR="002C0FD9" w:rsidRPr="00CA25CF" w:rsidRDefault="002C0FD9" w:rsidP="00CA25CF">
            <w:pPr>
              <w:rPr>
                <w:rFonts w:cs="Arial"/>
                <w:color w:val="FF0000"/>
                <w:sz w:val="21"/>
                <w:szCs w:val="21"/>
              </w:rPr>
            </w:pPr>
          </w:p>
        </w:tc>
        <w:tc>
          <w:tcPr>
            <w:tcW w:w="217" w:type="dxa"/>
          </w:tcPr>
          <w:p w14:paraId="3ADE5F7A" w14:textId="77777777" w:rsidR="002C0FD9" w:rsidRPr="00CA25CF" w:rsidRDefault="002C0FD9" w:rsidP="00CA25CF">
            <w:pPr>
              <w:rPr>
                <w:rFonts w:cs="Arial"/>
                <w:color w:val="FF0000"/>
                <w:sz w:val="21"/>
                <w:szCs w:val="21"/>
              </w:rPr>
            </w:pPr>
          </w:p>
        </w:tc>
        <w:tc>
          <w:tcPr>
            <w:tcW w:w="217" w:type="dxa"/>
          </w:tcPr>
          <w:p w14:paraId="0001A743" w14:textId="77777777" w:rsidR="002C0FD9" w:rsidRPr="00CA25CF" w:rsidRDefault="002C0FD9" w:rsidP="00CA25CF">
            <w:pPr>
              <w:rPr>
                <w:rFonts w:cs="Arial"/>
                <w:color w:val="FF0000"/>
                <w:sz w:val="21"/>
                <w:szCs w:val="21"/>
              </w:rPr>
            </w:pPr>
          </w:p>
        </w:tc>
        <w:tc>
          <w:tcPr>
            <w:tcW w:w="217" w:type="dxa"/>
          </w:tcPr>
          <w:p w14:paraId="5A7A63F2" w14:textId="77777777" w:rsidR="002C0FD9" w:rsidRPr="00CA25CF" w:rsidRDefault="002C0FD9" w:rsidP="00CA25CF">
            <w:pPr>
              <w:rPr>
                <w:rFonts w:cs="Arial"/>
                <w:color w:val="FF0000"/>
                <w:sz w:val="21"/>
                <w:szCs w:val="21"/>
              </w:rPr>
            </w:pPr>
          </w:p>
        </w:tc>
        <w:tc>
          <w:tcPr>
            <w:tcW w:w="217" w:type="dxa"/>
          </w:tcPr>
          <w:p w14:paraId="24591402" w14:textId="77777777" w:rsidR="002C0FD9" w:rsidRPr="00CA25CF" w:rsidRDefault="002C0FD9" w:rsidP="00CA25CF">
            <w:pPr>
              <w:rPr>
                <w:rFonts w:cs="Arial"/>
                <w:color w:val="FF0000"/>
                <w:sz w:val="21"/>
                <w:szCs w:val="21"/>
              </w:rPr>
            </w:pPr>
          </w:p>
        </w:tc>
        <w:tc>
          <w:tcPr>
            <w:tcW w:w="217" w:type="dxa"/>
          </w:tcPr>
          <w:p w14:paraId="086150F2" w14:textId="77777777" w:rsidR="002C0FD9" w:rsidRPr="00CA25CF" w:rsidRDefault="002C0FD9" w:rsidP="00CA25CF">
            <w:pPr>
              <w:rPr>
                <w:rFonts w:cs="Arial"/>
                <w:color w:val="FF0000"/>
                <w:sz w:val="21"/>
                <w:szCs w:val="21"/>
              </w:rPr>
            </w:pPr>
          </w:p>
        </w:tc>
        <w:tc>
          <w:tcPr>
            <w:tcW w:w="217" w:type="dxa"/>
          </w:tcPr>
          <w:p w14:paraId="186AFA94" w14:textId="77777777" w:rsidR="002C0FD9" w:rsidRPr="00CA25CF" w:rsidRDefault="002C0FD9" w:rsidP="00CA25CF">
            <w:pPr>
              <w:rPr>
                <w:rFonts w:cs="Arial"/>
                <w:color w:val="FF0000"/>
                <w:sz w:val="21"/>
                <w:szCs w:val="21"/>
              </w:rPr>
            </w:pPr>
          </w:p>
        </w:tc>
        <w:tc>
          <w:tcPr>
            <w:tcW w:w="217" w:type="dxa"/>
          </w:tcPr>
          <w:p w14:paraId="5B1BCF1D" w14:textId="77777777" w:rsidR="002C0FD9" w:rsidRPr="00CA25CF" w:rsidRDefault="002C0FD9" w:rsidP="00CA25CF">
            <w:pPr>
              <w:rPr>
                <w:rFonts w:cs="Arial"/>
                <w:color w:val="FF0000"/>
                <w:sz w:val="21"/>
                <w:szCs w:val="21"/>
              </w:rPr>
            </w:pPr>
          </w:p>
        </w:tc>
        <w:tc>
          <w:tcPr>
            <w:tcW w:w="217" w:type="dxa"/>
          </w:tcPr>
          <w:p w14:paraId="54E57316" w14:textId="77777777" w:rsidR="002C0FD9" w:rsidRPr="00CA25CF" w:rsidRDefault="002C0FD9" w:rsidP="00CA25CF">
            <w:pPr>
              <w:rPr>
                <w:rFonts w:cs="Arial"/>
                <w:color w:val="FF0000"/>
                <w:sz w:val="21"/>
                <w:szCs w:val="21"/>
              </w:rPr>
            </w:pPr>
          </w:p>
        </w:tc>
      </w:tr>
      <w:tr w:rsidR="002C0FD9" w:rsidRPr="00A16219" w14:paraId="30F895C1" w14:textId="444235C0" w:rsidTr="002C0FD9">
        <w:trPr>
          <w:trHeight w:val="635"/>
        </w:trPr>
        <w:tc>
          <w:tcPr>
            <w:tcW w:w="515" w:type="dxa"/>
          </w:tcPr>
          <w:p w14:paraId="509AA247" w14:textId="77777777" w:rsidR="002C0FD9" w:rsidRPr="00CA25CF" w:rsidRDefault="002C0FD9" w:rsidP="00CA25CF">
            <w:pPr>
              <w:rPr>
                <w:rFonts w:cs="Arial"/>
                <w:color w:val="FF0000"/>
                <w:sz w:val="21"/>
                <w:szCs w:val="21"/>
              </w:rPr>
            </w:pPr>
          </w:p>
        </w:tc>
        <w:tc>
          <w:tcPr>
            <w:tcW w:w="217" w:type="dxa"/>
          </w:tcPr>
          <w:p w14:paraId="7806FC57" w14:textId="77777777" w:rsidR="002C0FD9" w:rsidRPr="00CA25CF" w:rsidRDefault="002C0FD9" w:rsidP="00CA25CF">
            <w:pPr>
              <w:rPr>
                <w:rFonts w:cs="Arial"/>
                <w:color w:val="FF0000"/>
                <w:sz w:val="21"/>
                <w:szCs w:val="21"/>
              </w:rPr>
            </w:pPr>
          </w:p>
        </w:tc>
        <w:tc>
          <w:tcPr>
            <w:tcW w:w="217" w:type="dxa"/>
          </w:tcPr>
          <w:p w14:paraId="57506425" w14:textId="25137F4A" w:rsidR="002C0FD9" w:rsidRPr="00CA25CF" w:rsidRDefault="002C0FD9" w:rsidP="00CA25CF">
            <w:pPr>
              <w:rPr>
                <w:rFonts w:cs="Arial"/>
                <w:color w:val="FF0000"/>
                <w:sz w:val="21"/>
                <w:szCs w:val="21"/>
              </w:rPr>
            </w:pPr>
          </w:p>
        </w:tc>
        <w:tc>
          <w:tcPr>
            <w:tcW w:w="217" w:type="dxa"/>
          </w:tcPr>
          <w:p w14:paraId="421EBDED" w14:textId="77777777" w:rsidR="002C0FD9" w:rsidRPr="00CA25CF" w:rsidRDefault="002C0FD9" w:rsidP="00CA25CF">
            <w:pPr>
              <w:rPr>
                <w:rFonts w:cs="Arial"/>
                <w:color w:val="FF0000"/>
                <w:sz w:val="21"/>
                <w:szCs w:val="21"/>
              </w:rPr>
            </w:pPr>
          </w:p>
        </w:tc>
        <w:tc>
          <w:tcPr>
            <w:tcW w:w="217" w:type="dxa"/>
          </w:tcPr>
          <w:p w14:paraId="306908D0" w14:textId="77777777" w:rsidR="002C0FD9" w:rsidRPr="00CA25CF" w:rsidRDefault="002C0FD9" w:rsidP="00CA25CF">
            <w:pPr>
              <w:rPr>
                <w:rFonts w:cs="Arial"/>
                <w:color w:val="FF0000"/>
                <w:sz w:val="21"/>
                <w:szCs w:val="21"/>
              </w:rPr>
            </w:pPr>
          </w:p>
        </w:tc>
        <w:tc>
          <w:tcPr>
            <w:tcW w:w="217" w:type="dxa"/>
          </w:tcPr>
          <w:p w14:paraId="4883D3A0" w14:textId="77777777" w:rsidR="002C0FD9" w:rsidRPr="00CA25CF" w:rsidRDefault="002C0FD9" w:rsidP="00CA25CF">
            <w:pPr>
              <w:rPr>
                <w:rFonts w:cs="Arial"/>
                <w:color w:val="FF0000"/>
                <w:sz w:val="21"/>
                <w:szCs w:val="21"/>
              </w:rPr>
            </w:pPr>
          </w:p>
        </w:tc>
        <w:tc>
          <w:tcPr>
            <w:tcW w:w="217" w:type="dxa"/>
          </w:tcPr>
          <w:p w14:paraId="045A8695" w14:textId="77777777" w:rsidR="002C0FD9" w:rsidRPr="00CA25CF" w:rsidRDefault="002C0FD9" w:rsidP="00CA25CF">
            <w:pPr>
              <w:rPr>
                <w:rFonts w:cs="Arial"/>
                <w:color w:val="FF0000"/>
                <w:sz w:val="21"/>
                <w:szCs w:val="21"/>
              </w:rPr>
            </w:pPr>
          </w:p>
        </w:tc>
        <w:tc>
          <w:tcPr>
            <w:tcW w:w="217" w:type="dxa"/>
          </w:tcPr>
          <w:p w14:paraId="1FE9B35C" w14:textId="77777777" w:rsidR="002C0FD9" w:rsidRPr="00CA25CF" w:rsidRDefault="002C0FD9" w:rsidP="00CA25CF">
            <w:pPr>
              <w:rPr>
                <w:rFonts w:cs="Arial"/>
                <w:color w:val="FF0000"/>
                <w:sz w:val="21"/>
                <w:szCs w:val="21"/>
              </w:rPr>
            </w:pPr>
          </w:p>
        </w:tc>
        <w:tc>
          <w:tcPr>
            <w:tcW w:w="217" w:type="dxa"/>
          </w:tcPr>
          <w:p w14:paraId="639290DC" w14:textId="77777777" w:rsidR="002C0FD9" w:rsidRPr="00CA25CF" w:rsidRDefault="002C0FD9" w:rsidP="00CA25CF">
            <w:pPr>
              <w:rPr>
                <w:rFonts w:cs="Arial"/>
                <w:color w:val="FF0000"/>
                <w:sz w:val="21"/>
                <w:szCs w:val="21"/>
              </w:rPr>
            </w:pPr>
          </w:p>
        </w:tc>
        <w:tc>
          <w:tcPr>
            <w:tcW w:w="217" w:type="dxa"/>
          </w:tcPr>
          <w:p w14:paraId="08CC29DB" w14:textId="77777777" w:rsidR="002C0FD9" w:rsidRPr="00CA25CF" w:rsidRDefault="002C0FD9" w:rsidP="00CA25CF">
            <w:pPr>
              <w:rPr>
                <w:rFonts w:cs="Arial"/>
                <w:color w:val="FF0000"/>
                <w:sz w:val="21"/>
                <w:szCs w:val="21"/>
              </w:rPr>
            </w:pPr>
          </w:p>
        </w:tc>
        <w:tc>
          <w:tcPr>
            <w:tcW w:w="217" w:type="dxa"/>
          </w:tcPr>
          <w:p w14:paraId="1B6E798C" w14:textId="77777777" w:rsidR="002C0FD9" w:rsidRPr="00CA25CF" w:rsidRDefault="002C0FD9" w:rsidP="00CA25CF">
            <w:pPr>
              <w:rPr>
                <w:rFonts w:cs="Arial"/>
                <w:color w:val="FF0000"/>
                <w:sz w:val="21"/>
                <w:szCs w:val="21"/>
              </w:rPr>
            </w:pPr>
          </w:p>
        </w:tc>
        <w:tc>
          <w:tcPr>
            <w:tcW w:w="217" w:type="dxa"/>
          </w:tcPr>
          <w:p w14:paraId="7839B22B" w14:textId="77777777" w:rsidR="002C0FD9" w:rsidRPr="00CA25CF" w:rsidRDefault="002C0FD9" w:rsidP="00CA25CF">
            <w:pPr>
              <w:rPr>
                <w:rFonts w:cs="Arial"/>
                <w:color w:val="FF0000"/>
                <w:sz w:val="21"/>
                <w:szCs w:val="21"/>
              </w:rPr>
            </w:pPr>
          </w:p>
        </w:tc>
        <w:tc>
          <w:tcPr>
            <w:tcW w:w="217" w:type="dxa"/>
          </w:tcPr>
          <w:p w14:paraId="5875124E" w14:textId="77777777" w:rsidR="002C0FD9" w:rsidRPr="00CA25CF" w:rsidRDefault="002C0FD9" w:rsidP="00CA25CF">
            <w:pPr>
              <w:rPr>
                <w:rFonts w:cs="Arial"/>
                <w:color w:val="FF0000"/>
                <w:sz w:val="21"/>
                <w:szCs w:val="21"/>
              </w:rPr>
            </w:pPr>
          </w:p>
        </w:tc>
        <w:tc>
          <w:tcPr>
            <w:tcW w:w="217" w:type="dxa"/>
          </w:tcPr>
          <w:p w14:paraId="1E4C2FC0" w14:textId="77777777" w:rsidR="002C0FD9" w:rsidRPr="00CA25CF" w:rsidRDefault="002C0FD9" w:rsidP="00CA25CF">
            <w:pPr>
              <w:rPr>
                <w:rFonts w:cs="Arial"/>
                <w:color w:val="FF0000"/>
                <w:sz w:val="21"/>
                <w:szCs w:val="21"/>
              </w:rPr>
            </w:pPr>
          </w:p>
        </w:tc>
        <w:tc>
          <w:tcPr>
            <w:tcW w:w="217" w:type="dxa"/>
          </w:tcPr>
          <w:p w14:paraId="6BD0A46D" w14:textId="77777777" w:rsidR="002C0FD9" w:rsidRPr="00CA25CF" w:rsidRDefault="002C0FD9" w:rsidP="00CA25CF">
            <w:pPr>
              <w:rPr>
                <w:rFonts w:cs="Arial"/>
                <w:color w:val="FF0000"/>
                <w:sz w:val="21"/>
                <w:szCs w:val="21"/>
              </w:rPr>
            </w:pPr>
          </w:p>
        </w:tc>
        <w:tc>
          <w:tcPr>
            <w:tcW w:w="217" w:type="dxa"/>
          </w:tcPr>
          <w:p w14:paraId="3E40D4F8" w14:textId="77777777" w:rsidR="002C0FD9" w:rsidRPr="00CA25CF" w:rsidRDefault="002C0FD9" w:rsidP="00CA25CF">
            <w:pPr>
              <w:rPr>
                <w:rFonts w:cs="Arial"/>
                <w:color w:val="FF0000"/>
                <w:sz w:val="21"/>
                <w:szCs w:val="21"/>
              </w:rPr>
            </w:pPr>
          </w:p>
        </w:tc>
        <w:tc>
          <w:tcPr>
            <w:tcW w:w="217" w:type="dxa"/>
          </w:tcPr>
          <w:p w14:paraId="5837132C" w14:textId="77777777" w:rsidR="002C0FD9" w:rsidRPr="00CA25CF" w:rsidRDefault="002C0FD9" w:rsidP="00CA25CF">
            <w:pPr>
              <w:rPr>
                <w:rFonts w:cs="Arial"/>
                <w:color w:val="FF0000"/>
                <w:sz w:val="21"/>
                <w:szCs w:val="21"/>
              </w:rPr>
            </w:pPr>
          </w:p>
        </w:tc>
        <w:tc>
          <w:tcPr>
            <w:tcW w:w="217" w:type="dxa"/>
          </w:tcPr>
          <w:p w14:paraId="53E75A19" w14:textId="77777777" w:rsidR="002C0FD9" w:rsidRPr="00CA25CF" w:rsidRDefault="002C0FD9" w:rsidP="00CA25CF">
            <w:pPr>
              <w:rPr>
                <w:rFonts w:cs="Arial"/>
                <w:color w:val="FF0000"/>
                <w:sz w:val="21"/>
                <w:szCs w:val="21"/>
              </w:rPr>
            </w:pPr>
          </w:p>
        </w:tc>
        <w:tc>
          <w:tcPr>
            <w:tcW w:w="217" w:type="dxa"/>
          </w:tcPr>
          <w:p w14:paraId="6D784620" w14:textId="77777777" w:rsidR="002C0FD9" w:rsidRPr="00CA25CF" w:rsidRDefault="002C0FD9" w:rsidP="00CA25CF">
            <w:pPr>
              <w:rPr>
                <w:rFonts w:cs="Arial"/>
                <w:color w:val="FF0000"/>
                <w:sz w:val="21"/>
                <w:szCs w:val="21"/>
              </w:rPr>
            </w:pPr>
          </w:p>
        </w:tc>
        <w:tc>
          <w:tcPr>
            <w:tcW w:w="217" w:type="dxa"/>
          </w:tcPr>
          <w:p w14:paraId="3A2719AF" w14:textId="77777777" w:rsidR="002C0FD9" w:rsidRPr="00CA25CF" w:rsidRDefault="002C0FD9" w:rsidP="00CA25CF">
            <w:pPr>
              <w:rPr>
                <w:rFonts w:cs="Arial"/>
                <w:color w:val="FF0000"/>
                <w:sz w:val="21"/>
                <w:szCs w:val="21"/>
              </w:rPr>
            </w:pPr>
          </w:p>
        </w:tc>
        <w:tc>
          <w:tcPr>
            <w:tcW w:w="217" w:type="dxa"/>
          </w:tcPr>
          <w:p w14:paraId="0911232C" w14:textId="77777777" w:rsidR="002C0FD9" w:rsidRPr="00CA25CF" w:rsidRDefault="002C0FD9" w:rsidP="00CA25CF">
            <w:pPr>
              <w:rPr>
                <w:rFonts w:cs="Arial"/>
                <w:color w:val="FF0000"/>
                <w:sz w:val="21"/>
                <w:szCs w:val="21"/>
              </w:rPr>
            </w:pPr>
          </w:p>
        </w:tc>
        <w:tc>
          <w:tcPr>
            <w:tcW w:w="217" w:type="dxa"/>
          </w:tcPr>
          <w:p w14:paraId="717F053B" w14:textId="77777777" w:rsidR="002C0FD9" w:rsidRPr="00CA25CF" w:rsidRDefault="002C0FD9" w:rsidP="00CA25CF">
            <w:pPr>
              <w:rPr>
                <w:rFonts w:cs="Arial"/>
                <w:color w:val="FF0000"/>
                <w:sz w:val="21"/>
                <w:szCs w:val="21"/>
              </w:rPr>
            </w:pPr>
          </w:p>
        </w:tc>
        <w:tc>
          <w:tcPr>
            <w:tcW w:w="217" w:type="dxa"/>
          </w:tcPr>
          <w:p w14:paraId="3B14EADB" w14:textId="77777777" w:rsidR="002C0FD9" w:rsidRPr="00CA25CF" w:rsidRDefault="002C0FD9" w:rsidP="00CA25CF">
            <w:pPr>
              <w:rPr>
                <w:rFonts w:cs="Arial"/>
                <w:color w:val="FF0000"/>
                <w:sz w:val="21"/>
                <w:szCs w:val="21"/>
              </w:rPr>
            </w:pPr>
          </w:p>
        </w:tc>
        <w:tc>
          <w:tcPr>
            <w:tcW w:w="217" w:type="dxa"/>
          </w:tcPr>
          <w:p w14:paraId="2C82A0D0" w14:textId="77777777" w:rsidR="002C0FD9" w:rsidRPr="00CA25CF" w:rsidRDefault="002C0FD9" w:rsidP="00CA25CF">
            <w:pPr>
              <w:rPr>
                <w:rFonts w:cs="Arial"/>
                <w:color w:val="FF0000"/>
                <w:sz w:val="21"/>
                <w:szCs w:val="21"/>
              </w:rPr>
            </w:pPr>
          </w:p>
        </w:tc>
        <w:tc>
          <w:tcPr>
            <w:tcW w:w="217" w:type="dxa"/>
          </w:tcPr>
          <w:p w14:paraId="2A600974" w14:textId="77777777" w:rsidR="002C0FD9" w:rsidRPr="00CA25CF" w:rsidRDefault="002C0FD9" w:rsidP="00CA25CF">
            <w:pPr>
              <w:rPr>
                <w:rFonts w:cs="Arial"/>
                <w:color w:val="FF0000"/>
                <w:sz w:val="21"/>
                <w:szCs w:val="21"/>
              </w:rPr>
            </w:pPr>
          </w:p>
        </w:tc>
        <w:tc>
          <w:tcPr>
            <w:tcW w:w="217" w:type="dxa"/>
          </w:tcPr>
          <w:p w14:paraId="41578254" w14:textId="77777777" w:rsidR="002C0FD9" w:rsidRPr="00CA25CF" w:rsidRDefault="002C0FD9" w:rsidP="00CA25CF">
            <w:pPr>
              <w:rPr>
                <w:rFonts w:cs="Arial"/>
                <w:color w:val="FF0000"/>
                <w:sz w:val="21"/>
                <w:szCs w:val="21"/>
              </w:rPr>
            </w:pPr>
          </w:p>
        </w:tc>
        <w:tc>
          <w:tcPr>
            <w:tcW w:w="217" w:type="dxa"/>
          </w:tcPr>
          <w:p w14:paraId="552FAC87" w14:textId="77777777" w:rsidR="002C0FD9" w:rsidRPr="00CA25CF" w:rsidRDefault="002C0FD9" w:rsidP="00CA25CF">
            <w:pPr>
              <w:rPr>
                <w:rFonts w:cs="Arial"/>
                <w:color w:val="FF0000"/>
                <w:sz w:val="21"/>
                <w:szCs w:val="21"/>
              </w:rPr>
            </w:pPr>
          </w:p>
        </w:tc>
        <w:tc>
          <w:tcPr>
            <w:tcW w:w="217" w:type="dxa"/>
          </w:tcPr>
          <w:p w14:paraId="20FA92FB" w14:textId="77777777" w:rsidR="002C0FD9" w:rsidRPr="00CA25CF" w:rsidRDefault="002C0FD9" w:rsidP="00CA25CF">
            <w:pPr>
              <w:rPr>
                <w:rFonts w:cs="Arial"/>
                <w:color w:val="FF0000"/>
                <w:sz w:val="21"/>
                <w:szCs w:val="21"/>
              </w:rPr>
            </w:pPr>
          </w:p>
        </w:tc>
        <w:tc>
          <w:tcPr>
            <w:tcW w:w="217" w:type="dxa"/>
          </w:tcPr>
          <w:p w14:paraId="47E57C27" w14:textId="77777777" w:rsidR="002C0FD9" w:rsidRPr="00CA25CF" w:rsidRDefault="002C0FD9" w:rsidP="00CA25CF">
            <w:pPr>
              <w:rPr>
                <w:rFonts w:cs="Arial"/>
                <w:color w:val="FF0000"/>
                <w:sz w:val="21"/>
                <w:szCs w:val="21"/>
              </w:rPr>
            </w:pPr>
          </w:p>
        </w:tc>
        <w:tc>
          <w:tcPr>
            <w:tcW w:w="217" w:type="dxa"/>
          </w:tcPr>
          <w:p w14:paraId="49D8BD42" w14:textId="77777777" w:rsidR="002C0FD9" w:rsidRPr="00CA25CF" w:rsidRDefault="002C0FD9" w:rsidP="00CA25CF">
            <w:pPr>
              <w:rPr>
                <w:rFonts w:cs="Arial"/>
                <w:color w:val="FF0000"/>
                <w:sz w:val="21"/>
                <w:szCs w:val="21"/>
              </w:rPr>
            </w:pPr>
          </w:p>
        </w:tc>
        <w:tc>
          <w:tcPr>
            <w:tcW w:w="217" w:type="dxa"/>
          </w:tcPr>
          <w:p w14:paraId="1AE165B2" w14:textId="77777777" w:rsidR="002C0FD9" w:rsidRPr="00CA25CF" w:rsidRDefault="002C0FD9" w:rsidP="00CA25CF">
            <w:pPr>
              <w:rPr>
                <w:rFonts w:cs="Arial"/>
                <w:color w:val="FF0000"/>
                <w:sz w:val="21"/>
                <w:szCs w:val="21"/>
              </w:rPr>
            </w:pPr>
          </w:p>
        </w:tc>
        <w:tc>
          <w:tcPr>
            <w:tcW w:w="217" w:type="dxa"/>
          </w:tcPr>
          <w:p w14:paraId="54071389" w14:textId="77777777" w:rsidR="002C0FD9" w:rsidRPr="00CA25CF" w:rsidRDefault="002C0FD9" w:rsidP="00CA25CF">
            <w:pPr>
              <w:rPr>
                <w:rFonts w:cs="Arial"/>
                <w:color w:val="FF0000"/>
                <w:sz w:val="21"/>
                <w:szCs w:val="21"/>
              </w:rPr>
            </w:pPr>
          </w:p>
        </w:tc>
        <w:tc>
          <w:tcPr>
            <w:tcW w:w="217" w:type="dxa"/>
          </w:tcPr>
          <w:p w14:paraId="2E855F9D" w14:textId="77777777" w:rsidR="002C0FD9" w:rsidRPr="00CA25CF" w:rsidRDefault="002C0FD9" w:rsidP="00CA25CF">
            <w:pPr>
              <w:rPr>
                <w:rFonts w:cs="Arial"/>
                <w:color w:val="FF0000"/>
                <w:sz w:val="21"/>
                <w:szCs w:val="21"/>
              </w:rPr>
            </w:pPr>
          </w:p>
        </w:tc>
        <w:tc>
          <w:tcPr>
            <w:tcW w:w="217" w:type="dxa"/>
          </w:tcPr>
          <w:p w14:paraId="4DB1D2A4" w14:textId="77777777" w:rsidR="002C0FD9" w:rsidRPr="00CA25CF" w:rsidRDefault="002C0FD9" w:rsidP="00CA25CF">
            <w:pPr>
              <w:rPr>
                <w:rFonts w:cs="Arial"/>
                <w:color w:val="FF0000"/>
                <w:sz w:val="21"/>
                <w:szCs w:val="21"/>
              </w:rPr>
            </w:pPr>
          </w:p>
        </w:tc>
        <w:tc>
          <w:tcPr>
            <w:tcW w:w="217" w:type="dxa"/>
          </w:tcPr>
          <w:p w14:paraId="39EAB7CB" w14:textId="77777777" w:rsidR="002C0FD9" w:rsidRPr="00CA25CF" w:rsidRDefault="002C0FD9" w:rsidP="00CA25CF">
            <w:pPr>
              <w:rPr>
                <w:rFonts w:cs="Arial"/>
                <w:color w:val="FF0000"/>
                <w:sz w:val="21"/>
                <w:szCs w:val="21"/>
              </w:rPr>
            </w:pPr>
          </w:p>
        </w:tc>
        <w:tc>
          <w:tcPr>
            <w:tcW w:w="217" w:type="dxa"/>
          </w:tcPr>
          <w:p w14:paraId="7C99B4E5" w14:textId="77777777" w:rsidR="002C0FD9" w:rsidRPr="00CA25CF" w:rsidRDefault="002C0FD9" w:rsidP="00CA25CF">
            <w:pPr>
              <w:rPr>
                <w:rFonts w:cs="Arial"/>
                <w:color w:val="FF0000"/>
                <w:sz w:val="21"/>
                <w:szCs w:val="21"/>
              </w:rPr>
            </w:pPr>
          </w:p>
        </w:tc>
        <w:tc>
          <w:tcPr>
            <w:tcW w:w="217" w:type="dxa"/>
          </w:tcPr>
          <w:p w14:paraId="2FBDA057" w14:textId="77777777" w:rsidR="002C0FD9" w:rsidRPr="00CA25CF" w:rsidRDefault="002C0FD9" w:rsidP="00CA25CF">
            <w:pPr>
              <w:rPr>
                <w:rFonts w:cs="Arial"/>
                <w:color w:val="FF0000"/>
                <w:sz w:val="21"/>
                <w:szCs w:val="21"/>
              </w:rPr>
            </w:pPr>
          </w:p>
        </w:tc>
        <w:tc>
          <w:tcPr>
            <w:tcW w:w="217" w:type="dxa"/>
          </w:tcPr>
          <w:p w14:paraId="18BCF9B5" w14:textId="77777777" w:rsidR="002C0FD9" w:rsidRPr="00CA25CF" w:rsidRDefault="002C0FD9" w:rsidP="00CA25CF">
            <w:pPr>
              <w:rPr>
                <w:rFonts w:cs="Arial"/>
                <w:color w:val="FF0000"/>
                <w:sz w:val="21"/>
                <w:szCs w:val="21"/>
              </w:rPr>
            </w:pPr>
          </w:p>
        </w:tc>
        <w:tc>
          <w:tcPr>
            <w:tcW w:w="217" w:type="dxa"/>
          </w:tcPr>
          <w:p w14:paraId="24C44EE6" w14:textId="77777777" w:rsidR="002C0FD9" w:rsidRPr="00CA25CF" w:rsidRDefault="002C0FD9" w:rsidP="00CA25CF">
            <w:pPr>
              <w:rPr>
                <w:rFonts w:cs="Arial"/>
                <w:color w:val="FF0000"/>
                <w:sz w:val="21"/>
                <w:szCs w:val="21"/>
              </w:rPr>
            </w:pPr>
          </w:p>
        </w:tc>
        <w:tc>
          <w:tcPr>
            <w:tcW w:w="217" w:type="dxa"/>
          </w:tcPr>
          <w:p w14:paraId="1A13A599" w14:textId="77777777" w:rsidR="002C0FD9" w:rsidRPr="00CA25CF" w:rsidRDefault="002C0FD9" w:rsidP="00CA25CF">
            <w:pPr>
              <w:rPr>
                <w:rFonts w:cs="Arial"/>
                <w:color w:val="FF0000"/>
                <w:sz w:val="21"/>
                <w:szCs w:val="21"/>
              </w:rPr>
            </w:pPr>
          </w:p>
        </w:tc>
        <w:tc>
          <w:tcPr>
            <w:tcW w:w="217" w:type="dxa"/>
          </w:tcPr>
          <w:p w14:paraId="7EC4A277" w14:textId="77777777" w:rsidR="002C0FD9" w:rsidRPr="00CA25CF" w:rsidRDefault="002C0FD9" w:rsidP="00CA25CF">
            <w:pPr>
              <w:rPr>
                <w:rFonts w:cs="Arial"/>
                <w:color w:val="FF0000"/>
                <w:sz w:val="21"/>
                <w:szCs w:val="21"/>
              </w:rPr>
            </w:pPr>
          </w:p>
        </w:tc>
        <w:tc>
          <w:tcPr>
            <w:tcW w:w="217" w:type="dxa"/>
          </w:tcPr>
          <w:p w14:paraId="58999ECC" w14:textId="77777777" w:rsidR="002C0FD9" w:rsidRPr="00CA25CF" w:rsidRDefault="002C0FD9" w:rsidP="00CA25CF">
            <w:pPr>
              <w:rPr>
                <w:rFonts w:cs="Arial"/>
                <w:color w:val="FF0000"/>
                <w:sz w:val="21"/>
                <w:szCs w:val="21"/>
              </w:rPr>
            </w:pPr>
          </w:p>
        </w:tc>
        <w:tc>
          <w:tcPr>
            <w:tcW w:w="217" w:type="dxa"/>
          </w:tcPr>
          <w:p w14:paraId="186DE3C9" w14:textId="77777777" w:rsidR="002C0FD9" w:rsidRPr="00CA25CF" w:rsidRDefault="002C0FD9" w:rsidP="00CA25CF">
            <w:pPr>
              <w:rPr>
                <w:rFonts w:cs="Arial"/>
                <w:color w:val="FF0000"/>
                <w:sz w:val="21"/>
                <w:szCs w:val="21"/>
              </w:rPr>
            </w:pPr>
          </w:p>
        </w:tc>
      </w:tr>
      <w:tr w:rsidR="002C0FD9" w:rsidRPr="00A16219" w14:paraId="26FD75DE" w14:textId="1C93BD9B" w:rsidTr="002C0FD9">
        <w:trPr>
          <w:trHeight w:val="635"/>
        </w:trPr>
        <w:tc>
          <w:tcPr>
            <w:tcW w:w="515" w:type="dxa"/>
          </w:tcPr>
          <w:p w14:paraId="4B95E78D" w14:textId="77777777" w:rsidR="002C0FD9" w:rsidRPr="00CA25CF" w:rsidRDefault="002C0FD9" w:rsidP="00CA25CF">
            <w:pPr>
              <w:rPr>
                <w:rFonts w:cs="Arial"/>
                <w:color w:val="FF0000"/>
                <w:sz w:val="21"/>
                <w:szCs w:val="21"/>
              </w:rPr>
            </w:pPr>
          </w:p>
        </w:tc>
        <w:tc>
          <w:tcPr>
            <w:tcW w:w="217" w:type="dxa"/>
          </w:tcPr>
          <w:p w14:paraId="0EA45C9C" w14:textId="77777777" w:rsidR="002C0FD9" w:rsidRPr="00CA25CF" w:rsidRDefault="002C0FD9" w:rsidP="00CA25CF">
            <w:pPr>
              <w:rPr>
                <w:rFonts w:cs="Arial"/>
                <w:color w:val="FF0000"/>
                <w:sz w:val="21"/>
                <w:szCs w:val="21"/>
              </w:rPr>
            </w:pPr>
          </w:p>
        </w:tc>
        <w:tc>
          <w:tcPr>
            <w:tcW w:w="217" w:type="dxa"/>
          </w:tcPr>
          <w:p w14:paraId="50E0EF47" w14:textId="1E3266F4" w:rsidR="002C0FD9" w:rsidRPr="00CA25CF" w:rsidRDefault="002C0FD9" w:rsidP="00CA25CF">
            <w:pPr>
              <w:rPr>
                <w:rFonts w:cs="Arial"/>
                <w:color w:val="FF0000"/>
                <w:sz w:val="21"/>
                <w:szCs w:val="21"/>
              </w:rPr>
            </w:pPr>
          </w:p>
        </w:tc>
        <w:tc>
          <w:tcPr>
            <w:tcW w:w="217" w:type="dxa"/>
          </w:tcPr>
          <w:p w14:paraId="60485593" w14:textId="77777777" w:rsidR="002C0FD9" w:rsidRPr="00CA25CF" w:rsidRDefault="002C0FD9" w:rsidP="00CA25CF">
            <w:pPr>
              <w:rPr>
                <w:rFonts w:cs="Arial"/>
                <w:color w:val="FF0000"/>
                <w:sz w:val="21"/>
                <w:szCs w:val="21"/>
              </w:rPr>
            </w:pPr>
          </w:p>
        </w:tc>
        <w:tc>
          <w:tcPr>
            <w:tcW w:w="217" w:type="dxa"/>
          </w:tcPr>
          <w:p w14:paraId="5207DFFD" w14:textId="77777777" w:rsidR="002C0FD9" w:rsidRPr="00CA25CF" w:rsidRDefault="002C0FD9" w:rsidP="00CA25CF">
            <w:pPr>
              <w:rPr>
                <w:rFonts w:cs="Arial"/>
                <w:color w:val="FF0000"/>
                <w:sz w:val="21"/>
                <w:szCs w:val="21"/>
              </w:rPr>
            </w:pPr>
          </w:p>
        </w:tc>
        <w:tc>
          <w:tcPr>
            <w:tcW w:w="217" w:type="dxa"/>
          </w:tcPr>
          <w:p w14:paraId="1328C2DB" w14:textId="77777777" w:rsidR="002C0FD9" w:rsidRPr="00CA25CF" w:rsidRDefault="002C0FD9" w:rsidP="00CA25CF">
            <w:pPr>
              <w:rPr>
                <w:rFonts w:cs="Arial"/>
                <w:color w:val="FF0000"/>
                <w:sz w:val="21"/>
                <w:szCs w:val="21"/>
              </w:rPr>
            </w:pPr>
          </w:p>
        </w:tc>
        <w:tc>
          <w:tcPr>
            <w:tcW w:w="217" w:type="dxa"/>
          </w:tcPr>
          <w:p w14:paraId="1DC80C26" w14:textId="77777777" w:rsidR="002C0FD9" w:rsidRPr="00CA25CF" w:rsidRDefault="002C0FD9" w:rsidP="00CA25CF">
            <w:pPr>
              <w:rPr>
                <w:rFonts w:cs="Arial"/>
                <w:color w:val="FF0000"/>
                <w:sz w:val="21"/>
                <w:szCs w:val="21"/>
              </w:rPr>
            </w:pPr>
          </w:p>
        </w:tc>
        <w:tc>
          <w:tcPr>
            <w:tcW w:w="217" w:type="dxa"/>
          </w:tcPr>
          <w:p w14:paraId="1E86D750" w14:textId="77777777" w:rsidR="002C0FD9" w:rsidRPr="00CA25CF" w:rsidRDefault="002C0FD9" w:rsidP="00CA25CF">
            <w:pPr>
              <w:rPr>
                <w:rFonts w:cs="Arial"/>
                <w:color w:val="FF0000"/>
                <w:sz w:val="21"/>
                <w:szCs w:val="21"/>
              </w:rPr>
            </w:pPr>
          </w:p>
        </w:tc>
        <w:tc>
          <w:tcPr>
            <w:tcW w:w="217" w:type="dxa"/>
          </w:tcPr>
          <w:p w14:paraId="35FED2CF" w14:textId="77777777" w:rsidR="002C0FD9" w:rsidRPr="00CA25CF" w:rsidRDefault="002C0FD9" w:rsidP="00CA25CF">
            <w:pPr>
              <w:rPr>
                <w:rFonts w:cs="Arial"/>
                <w:color w:val="FF0000"/>
                <w:sz w:val="21"/>
                <w:szCs w:val="21"/>
              </w:rPr>
            </w:pPr>
          </w:p>
        </w:tc>
        <w:tc>
          <w:tcPr>
            <w:tcW w:w="217" w:type="dxa"/>
          </w:tcPr>
          <w:p w14:paraId="0BEA1243" w14:textId="77777777" w:rsidR="002C0FD9" w:rsidRPr="00CA25CF" w:rsidRDefault="002C0FD9" w:rsidP="00CA25CF">
            <w:pPr>
              <w:rPr>
                <w:rFonts w:cs="Arial"/>
                <w:color w:val="FF0000"/>
                <w:sz w:val="21"/>
                <w:szCs w:val="21"/>
              </w:rPr>
            </w:pPr>
          </w:p>
        </w:tc>
        <w:tc>
          <w:tcPr>
            <w:tcW w:w="217" w:type="dxa"/>
          </w:tcPr>
          <w:p w14:paraId="2DCB5D9F" w14:textId="77777777" w:rsidR="002C0FD9" w:rsidRPr="00CA25CF" w:rsidRDefault="002C0FD9" w:rsidP="00CA25CF">
            <w:pPr>
              <w:rPr>
                <w:rFonts w:cs="Arial"/>
                <w:color w:val="FF0000"/>
                <w:sz w:val="21"/>
                <w:szCs w:val="21"/>
              </w:rPr>
            </w:pPr>
          </w:p>
        </w:tc>
        <w:tc>
          <w:tcPr>
            <w:tcW w:w="217" w:type="dxa"/>
          </w:tcPr>
          <w:p w14:paraId="6DD368F6" w14:textId="77777777" w:rsidR="002C0FD9" w:rsidRPr="00CA25CF" w:rsidRDefault="002C0FD9" w:rsidP="00CA25CF">
            <w:pPr>
              <w:rPr>
                <w:rFonts w:cs="Arial"/>
                <w:color w:val="FF0000"/>
                <w:sz w:val="21"/>
                <w:szCs w:val="21"/>
              </w:rPr>
            </w:pPr>
          </w:p>
        </w:tc>
        <w:tc>
          <w:tcPr>
            <w:tcW w:w="217" w:type="dxa"/>
          </w:tcPr>
          <w:p w14:paraId="626E9B27" w14:textId="77777777" w:rsidR="002C0FD9" w:rsidRPr="00CA25CF" w:rsidRDefault="002C0FD9" w:rsidP="00CA25CF">
            <w:pPr>
              <w:rPr>
                <w:rFonts w:cs="Arial"/>
                <w:color w:val="FF0000"/>
                <w:sz w:val="21"/>
                <w:szCs w:val="21"/>
              </w:rPr>
            </w:pPr>
          </w:p>
        </w:tc>
        <w:tc>
          <w:tcPr>
            <w:tcW w:w="217" w:type="dxa"/>
          </w:tcPr>
          <w:p w14:paraId="484315B0" w14:textId="77777777" w:rsidR="002C0FD9" w:rsidRPr="00CA25CF" w:rsidRDefault="002C0FD9" w:rsidP="00CA25CF">
            <w:pPr>
              <w:rPr>
                <w:rFonts w:cs="Arial"/>
                <w:color w:val="FF0000"/>
                <w:sz w:val="21"/>
                <w:szCs w:val="21"/>
              </w:rPr>
            </w:pPr>
          </w:p>
        </w:tc>
        <w:tc>
          <w:tcPr>
            <w:tcW w:w="217" w:type="dxa"/>
          </w:tcPr>
          <w:p w14:paraId="50A3D7B4" w14:textId="77777777" w:rsidR="002C0FD9" w:rsidRPr="00CA25CF" w:rsidRDefault="002C0FD9" w:rsidP="00CA25CF">
            <w:pPr>
              <w:rPr>
                <w:rFonts w:cs="Arial"/>
                <w:color w:val="FF0000"/>
                <w:sz w:val="21"/>
                <w:szCs w:val="21"/>
              </w:rPr>
            </w:pPr>
          </w:p>
        </w:tc>
        <w:tc>
          <w:tcPr>
            <w:tcW w:w="217" w:type="dxa"/>
          </w:tcPr>
          <w:p w14:paraId="3896FB45" w14:textId="77777777" w:rsidR="002C0FD9" w:rsidRPr="00CA25CF" w:rsidRDefault="002C0FD9" w:rsidP="00CA25CF">
            <w:pPr>
              <w:rPr>
                <w:rFonts w:cs="Arial"/>
                <w:color w:val="FF0000"/>
                <w:sz w:val="21"/>
                <w:szCs w:val="21"/>
              </w:rPr>
            </w:pPr>
          </w:p>
        </w:tc>
        <w:tc>
          <w:tcPr>
            <w:tcW w:w="217" w:type="dxa"/>
          </w:tcPr>
          <w:p w14:paraId="1332489B" w14:textId="77777777" w:rsidR="002C0FD9" w:rsidRPr="00CA25CF" w:rsidRDefault="002C0FD9" w:rsidP="00CA25CF">
            <w:pPr>
              <w:rPr>
                <w:rFonts w:cs="Arial"/>
                <w:color w:val="FF0000"/>
                <w:sz w:val="21"/>
                <w:szCs w:val="21"/>
              </w:rPr>
            </w:pPr>
          </w:p>
        </w:tc>
        <w:tc>
          <w:tcPr>
            <w:tcW w:w="217" w:type="dxa"/>
          </w:tcPr>
          <w:p w14:paraId="0B18212D" w14:textId="77777777" w:rsidR="002C0FD9" w:rsidRPr="00CA25CF" w:rsidRDefault="002C0FD9" w:rsidP="00CA25CF">
            <w:pPr>
              <w:rPr>
                <w:rFonts w:cs="Arial"/>
                <w:color w:val="FF0000"/>
                <w:sz w:val="21"/>
                <w:szCs w:val="21"/>
              </w:rPr>
            </w:pPr>
          </w:p>
        </w:tc>
        <w:tc>
          <w:tcPr>
            <w:tcW w:w="217" w:type="dxa"/>
          </w:tcPr>
          <w:p w14:paraId="37BD7E09" w14:textId="77777777" w:rsidR="002C0FD9" w:rsidRPr="00CA25CF" w:rsidRDefault="002C0FD9" w:rsidP="00CA25CF">
            <w:pPr>
              <w:rPr>
                <w:rFonts w:cs="Arial"/>
                <w:color w:val="FF0000"/>
                <w:sz w:val="21"/>
                <w:szCs w:val="21"/>
              </w:rPr>
            </w:pPr>
          </w:p>
        </w:tc>
        <w:tc>
          <w:tcPr>
            <w:tcW w:w="217" w:type="dxa"/>
          </w:tcPr>
          <w:p w14:paraId="7B98EC11" w14:textId="77777777" w:rsidR="002C0FD9" w:rsidRPr="00CA25CF" w:rsidRDefault="002C0FD9" w:rsidP="00CA25CF">
            <w:pPr>
              <w:rPr>
                <w:rFonts w:cs="Arial"/>
                <w:color w:val="FF0000"/>
                <w:sz w:val="21"/>
                <w:szCs w:val="21"/>
              </w:rPr>
            </w:pPr>
          </w:p>
        </w:tc>
        <w:tc>
          <w:tcPr>
            <w:tcW w:w="217" w:type="dxa"/>
          </w:tcPr>
          <w:p w14:paraId="34A54F59" w14:textId="77777777" w:rsidR="002C0FD9" w:rsidRPr="00CA25CF" w:rsidRDefault="002C0FD9" w:rsidP="00CA25CF">
            <w:pPr>
              <w:rPr>
                <w:rFonts w:cs="Arial"/>
                <w:color w:val="FF0000"/>
                <w:sz w:val="21"/>
                <w:szCs w:val="21"/>
              </w:rPr>
            </w:pPr>
          </w:p>
        </w:tc>
        <w:tc>
          <w:tcPr>
            <w:tcW w:w="217" w:type="dxa"/>
          </w:tcPr>
          <w:p w14:paraId="44E1D6E2" w14:textId="77777777" w:rsidR="002C0FD9" w:rsidRPr="00CA25CF" w:rsidRDefault="002C0FD9" w:rsidP="00CA25CF">
            <w:pPr>
              <w:rPr>
                <w:rFonts w:cs="Arial"/>
                <w:color w:val="FF0000"/>
                <w:sz w:val="21"/>
                <w:szCs w:val="21"/>
              </w:rPr>
            </w:pPr>
          </w:p>
        </w:tc>
        <w:tc>
          <w:tcPr>
            <w:tcW w:w="217" w:type="dxa"/>
          </w:tcPr>
          <w:p w14:paraId="6ADDB4E8" w14:textId="77777777" w:rsidR="002C0FD9" w:rsidRPr="00CA25CF" w:rsidRDefault="002C0FD9" w:rsidP="00CA25CF">
            <w:pPr>
              <w:rPr>
                <w:rFonts w:cs="Arial"/>
                <w:color w:val="FF0000"/>
                <w:sz w:val="21"/>
                <w:szCs w:val="21"/>
              </w:rPr>
            </w:pPr>
          </w:p>
        </w:tc>
        <w:tc>
          <w:tcPr>
            <w:tcW w:w="217" w:type="dxa"/>
          </w:tcPr>
          <w:p w14:paraId="56720634" w14:textId="77777777" w:rsidR="002C0FD9" w:rsidRPr="00CA25CF" w:rsidRDefault="002C0FD9" w:rsidP="00CA25CF">
            <w:pPr>
              <w:rPr>
                <w:rFonts w:cs="Arial"/>
                <w:color w:val="FF0000"/>
                <w:sz w:val="21"/>
                <w:szCs w:val="21"/>
              </w:rPr>
            </w:pPr>
          </w:p>
        </w:tc>
        <w:tc>
          <w:tcPr>
            <w:tcW w:w="217" w:type="dxa"/>
          </w:tcPr>
          <w:p w14:paraId="6F64D9EC" w14:textId="77777777" w:rsidR="002C0FD9" w:rsidRPr="00CA25CF" w:rsidRDefault="002C0FD9" w:rsidP="00CA25CF">
            <w:pPr>
              <w:rPr>
                <w:rFonts w:cs="Arial"/>
                <w:color w:val="FF0000"/>
                <w:sz w:val="21"/>
                <w:szCs w:val="21"/>
              </w:rPr>
            </w:pPr>
          </w:p>
        </w:tc>
        <w:tc>
          <w:tcPr>
            <w:tcW w:w="217" w:type="dxa"/>
          </w:tcPr>
          <w:p w14:paraId="0B091532" w14:textId="77777777" w:rsidR="002C0FD9" w:rsidRPr="00CA25CF" w:rsidRDefault="002C0FD9" w:rsidP="00CA25CF">
            <w:pPr>
              <w:rPr>
                <w:rFonts w:cs="Arial"/>
                <w:color w:val="FF0000"/>
                <w:sz w:val="21"/>
                <w:szCs w:val="21"/>
              </w:rPr>
            </w:pPr>
          </w:p>
        </w:tc>
        <w:tc>
          <w:tcPr>
            <w:tcW w:w="217" w:type="dxa"/>
          </w:tcPr>
          <w:p w14:paraId="767EC633" w14:textId="77777777" w:rsidR="002C0FD9" w:rsidRPr="00CA25CF" w:rsidRDefault="002C0FD9" w:rsidP="00CA25CF">
            <w:pPr>
              <w:rPr>
                <w:rFonts w:cs="Arial"/>
                <w:color w:val="FF0000"/>
                <w:sz w:val="21"/>
                <w:szCs w:val="21"/>
              </w:rPr>
            </w:pPr>
          </w:p>
        </w:tc>
        <w:tc>
          <w:tcPr>
            <w:tcW w:w="217" w:type="dxa"/>
          </w:tcPr>
          <w:p w14:paraId="788684B7" w14:textId="77777777" w:rsidR="002C0FD9" w:rsidRPr="00CA25CF" w:rsidRDefault="002C0FD9" w:rsidP="00CA25CF">
            <w:pPr>
              <w:rPr>
                <w:rFonts w:cs="Arial"/>
                <w:color w:val="FF0000"/>
                <w:sz w:val="21"/>
                <w:szCs w:val="21"/>
              </w:rPr>
            </w:pPr>
          </w:p>
        </w:tc>
        <w:tc>
          <w:tcPr>
            <w:tcW w:w="217" w:type="dxa"/>
          </w:tcPr>
          <w:p w14:paraId="5B9E59CA" w14:textId="77777777" w:rsidR="002C0FD9" w:rsidRPr="00CA25CF" w:rsidRDefault="002C0FD9" w:rsidP="00CA25CF">
            <w:pPr>
              <w:rPr>
                <w:rFonts w:cs="Arial"/>
                <w:color w:val="FF0000"/>
                <w:sz w:val="21"/>
                <w:szCs w:val="21"/>
              </w:rPr>
            </w:pPr>
          </w:p>
        </w:tc>
        <w:tc>
          <w:tcPr>
            <w:tcW w:w="217" w:type="dxa"/>
          </w:tcPr>
          <w:p w14:paraId="64E77738" w14:textId="77777777" w:rsidR="002C0FD9" w:rsidRPr="00CA25CF" w:rsidRDefault="002C0FD9" w:rsidP="00CA25CF">
            <w:pPr>
              <w:rPr>
                <w:rFonts w:cs="Arial"/>
                <w:color w:val="FF0000"/>
                <w:sz w:val="21"/>
                <w:szCs w:val="21"/>
              </w:rPr>
            </w:pPr>
          </w:p>
        </w:tc>
        <w:tc>
          <w:tcPr>
            <w:tcW w:w="217" w:type="dxa"/>
          </w:tcPr>
          <w:p w14:paraId="1ED57B35" w14:textId="77777777" w:rsidR="002C0FD9" w:rsidRPr="00CA25CF" w:rsidRDefault="002C0FD9" w:rsidP="00CA25CF">
            <w:pPr>
              <w:rPr>
                <w:rFonts w:cs="Arial"/>
                <w:color w:val="FF0000"/>
                <w:sz w:val="21"/>
                <w:szCs w:val="21"/>
              </w:rPr>
            </w:pPr>
          </w:p>
        </w:tc>
        <w:tc>
          <w:tcPr>
            <w:tcW w:w="217" w:type="dxa"/>
          </w:tcPr>
          <w:p w14:paraId="7EE46E40" w14:textId="77777777" w:rsidR="002C0FD9" w:rsidRPr="00CA25CF" w:rsidRDefault="002C0FD9" w:rsidP="00CA25CF">
            <w:pPr>
              <w:rPr>
                <w:rFonts w:cs="Arial"/>
                <w:color w:val="FF0000"/>
                <w:sz w:val="21"/>
                <w:szCs w:val="21"/>
              </w:rPr>
            </w:pPr>
          </w:p>
        </w:tc>
        <w:tc>
          <w:tcPr>
            <w:tcW w:w="217" w:type="dxa"/>
          </w:tcPr>
          <w:p w14:paraId="1C6690D4" w14:textId="77777777" w:rsidR="002C0FD9" w:rsidRPr="00CA25CF" w:rsidRDefault="002C0FD9" w:rsidP="00CA25CF">
            <w:pPr>
              <w:rPr>
                <w:rFonts w:cs="Arial"/>
                <w:color w:val="FF0000"/>
                <w:sz w:val="21"/>
                <w:szCs w:val="21"/>
              </w:rPr>
            </w:pPr>
          </w:p>
        </w:tc>
        <w:tc>
          <w:tcPr>
            <w:tcW w:w="217" w:type="dxa"/>
          </w:tcPr>
          <w:p w14:paraId="25CEC6FF" w14:textId="77777777" w:rsidR="002C0FD9" w:rsidRPr="00CA25CF" w:rsidRDefault="002C0FD9" w:rsidP="00CA25CF">
            <w:pPr>
              <w:rPr>
                <w:rFonts w:cs="Arial"/>
                <w:color w:val="FF0000"/>
                <w:sz w:val="21"/>
                <w:szCs w:val="21"/>
              </w:rPr>
            </w:pPr>
          </w:p>
        </w:tc>
        <w:tc>
          <w:tcPr>
            <w:tcW w:w="217" w:type="dxa"/>
          </w:tcPr>
          <w:p w14:paraId="08B4DE09" w14:textId="77777777" w:rsidR="002C0FD9" w:rsidRPr="00CA25CF" w:rsidRDefault="002C0FD9" w:rsidP="00CA25CF">
            <w:pPr>
              <w:rPr>
                <w:rFonts w:cs="Arial"/>
                <w:color w:val="FF0000"/>
                <w:sz w:val="21"/>
                <w:szCs w:val="21"/>
              </w:rPr>
            </w:pPr>
          </w:p>
        </w:tc>
        <w:tc>
          <w:tcPr>
            <w:tcW w:w="217" w:type="dxa"/>
          </w:tcPr>
          <w:p w14:paraId="1DB6B7FE" w14:textId="77777777" w:rsidR="002C0FD9" w:rsidRPr="00CA25CF" w:rsidRDefault="002C0FD9" w:rsidP="00CA25CF">
            <w:pPr>
              <w:rPr>
                <w:rFonts w:cs="Arial"/>
                <w:color w:val="FF0000"/>
                <w:sz w:val="21"/>
                <w:szCs w:val="21"/>
              </w:rPr>
            </w:pPr>
          </w:p>
        </w:tc>
        <w:tc>
          <w:tcPr>
            <w:tcW w:w="217" w:type="dxa"/>
          </w:tcPr>
          <w:p w14:paraId="05BD5202" w14:textId="77777777" w:rsidR="002C0FD9" w:rsidRPr="00CA25CF" w:rsidRDefault="002C0FD9" w:rsidP="00CA25CF">
            <w:pPr>
              <w:rPr>
                <w:rFonts w:cs="Arial"/>
                <w:color w:val="FF0000"/>
                <w:sz w:val="21"/>
                <w:szCs w:val="21"/>
              </w:rPr>
            </w:pPr>
          </w:p>
        </w:tc>
        <w:tc>
          <w:tcPr>
            <w:tcW w:w="217" w:type="dxa"/>
          </w:tcPr>
          <w:p w14:paraId="4AFFDC2F" w14:textId="77777777" w:rsidR="002C0FD9" w:rsidRPr="00CA25CF" w:rsidRDefault="002C0FD9" w:rsidP="00CA25CF">
            <w:pPr>
              <w:rPr>
                <w:rFonts w:cs="Arial"/>
                <w:color w:val="FF0000"/>
                <w:sz w:val="21"/>
                <w:szCs w:val="21"/>
              </w:rPr>
            </w:pPr>
          </w:p>
        </w:tc>
        <w:tc>
          <w:tcPr>
            <w:tcW w:w="217" w:type="dxa"/>
          </w:tcPr>
          <w:p w14:paraId="54AEDF86" w14:textId="77777777" w:rsidR="002C0FD9" w:rsidRPr="00CA25CF" w:rsidRDefault="002C0FD9" w:rsidP="00CA25CF">
            <w:pPr>
              <w:rPr>
                <w:rFonts w:cs="Arial"/>
                <w:color w:val="FF0000"/>
                <w:sz w:val="21"/>
                <w:szCs w:val="21"/>
              </w:rPr>
            </w:pPr>
          </w:p>
        </w:tc>
        <w:tc>
          <w:tcPr>
            <w:tcW w:w="217" w:type="dxa"/>
          </w:tcPr>
          <w:p w14:paraId="53C1F976" w14:textId="77777777" w:rsidR="002C0FD9" w:rsidRPr="00CA25CF" w:rsidRDefault="002C0FD9" w:rsidP="00CA25CF">
            <w:pPr>
              <w:rPr>
                <w:rFonts w:cs="Arial"/>
                <w:color w:val="FF0000"/>
                <w:sz w:val="21"/>
                <w:szCs w:val="21"/>
              </w:rPr>
            </w:pPr>
          </w:p>
        </w:tc>
        <w:tc>
          <w:tcPr>
            <w:tcW w:w="217" w:type="dxa"/>
          </w:tcPr>
          <w:p w14:paraId="538BFF47" w14:textId="77777777" w:rsidR="002C0FD9" w:rsidRPr="00CA25CF" w:rsidRDefault="002C0FD9" w:rsidP="00CA25CF">
            <w:pPr>
              <w:rPr>
                <w:rFonts w:cs="Arial"/>
                <w:color w:val="FF0000"/>
                <w:sz w:val="21"/>
                <w:szCs w:val="21"/>
              </w:rPr>
            </w:pPr>
          </w:p>
        </w:tc>
        <w:tc>
          <w:tcPr>
            <w:tcW w:w="217" w:type="dxa"/>
          </w:tcPr>
          <w:p w14:paraId="3CCD37B6" w14:textId="77777777" w:rsidR="002C0FD9" w:rsidRPr="00CA25CF" w:rsidRDefault="002C0FD9" w:rsidP="00CA25CF">
            <w:pPr>
              <w:rPr>
                <w:rFonts w:cs="Arial"/>
                <w:color w:val="FF0000"/>
                <w:sz w:val="21"/>
                <w:szCs w:val="21"/>
              </w:rPr>
            </w:pPr>
          </w:p>
        </w:tc>
        <w:tc>
          <w:tcPr>
            <w:tcW w:w="217" w:type="dxa"/>
          </w:tcPr>
          <w:p w14:paraId="27DF10B1" w14:textId="77777777" w:rsidR="002C0FD9" w:rsidRPr="00CA25CF" w:rsidRDefault="002C0FD9" w:rsidP="00CA25CF">
            <w:pPr>
              <w:rPr>
                <w:rFonts w:cs="Arial"/>
                <w:color w:val="FF0000"/>
                <w:sz w:val="21"/>
                <w:szCs w:val="21"/>
              </w:rPr>
            </w:pPr>
          </w:p>
        </w:tc>
      </w:tr>
      <w:tr w:rsidR="002C0FD9" w:rsidRPr="00A16219" w14:paraId="399A3DD4" w14:textId="5AB03E9B" w:rsidTr="002C0FD9">
        <w:trPr>
          <w:trHeight w:val="635"/>
        </w:trPr>
        <w:tc>
          <w:tcPr>
            <w:tcW w:w="515" w:type="dxa"/>
          </w:tcPr>
          <w:p w14:paraId="649F905A" w14:textId="77777777" w:rsidR="002C0FD9" w:rsidRPr="00CA25CF" w:rsidRDefault="002C0FD9" w:rsidP="00CA25CF">
            <w:pPr>
              <w:rPr>
                <w:rFonts w:cs="Arial"/>
                <w:color w:val="FF0000"/>
                <w:sz w:val="21"/>
                <w:szCs w:val="21"/>
              </w:rPr>
            </w:pPr>
          </w:p>
        </w:tc>
        <w:tc>
          <w:tcPr>
            <w:tcW w:w="217" w:type="dxa"/>
          </w:tcPr>
          <w:p w14:paraId="743B32D9" w14:textId="77777777" w:rsidR="002C0FD9" w:rsidRPr="00CA25CF" w:rsidRDefault="002C0FD9" w:rsidP="00CA25CF">
            <w:pPr>
              <w:rPr>
                <w:rFonts w:cs="Arial"/>
                <w:color w:val="FF0000"/>
                <w:sz w:val="21"/>
                <w:szCs w:val="21"/>
              </w:rPr>
            </w:pPr>
          </w:p>
        </w:tc>
        <w:tc>
          <w:tcPr>
            <w:tcW w:w="217" w:type="dxa"/>
          </w:tcPr>
          <w:p w14:paraId="5871AA34" w14:textId="64002292" w:rsidR="002C0FD9" w:rsidRPr="00CA25CF" w:rsidRDefault="002C0FD9" w:rsidP="00CA25CF">
            <w:pPr>
              <w:rPr>
                <w:rFonts w:cs="Arial"/>
                <w:color w:val="FF0000"/>
                <w:sz w:val="21"/>
                <w:szCs w:val="21"/>
              </w:rPr>
            </w:pPr>
          </w:p>
        </w:tc>
        <w:tc>
          <w:tcPr>
            <w:tcW w:w="217" w:type="dxa"/>
          </w:tcPr>
          <w:p w14:paraId="1B9B811B" w14:textId="77777777" w:rsidR="002C0FD9" w:rsidRPr="00CA25CF" w:rsidRDefault="002C0FD9" w:rsidP="00CA25CF">
            <w:pPr>
              <w:rPr>
                <w:rFonts w:cs="Arial"/>
                <w:color w:val="FF0000"/>
                <w:sz w:val="21"/>
                <w:szCs w:val="21"/>
              </w:rPr>
            </w:pPr>
          </w:p>
        </w:tc>
        <w:tc>
          <w:tcPr>
            <w:tcW w:w="217" w:type="dxa"/>
          </w:tcPr>
          <w:p w14:paraId="37B4B815" w14:textId="77777777" w:rsidR="002C0FD9" w:rsidRPr="00CA25CF" w:rsidRDefault="002C0FD9" w:rsidP="00CA25CF">
            <w:pPr>
              <w:rPr>
                <w:rFonts w:cs="Arial"/>
                <w:color w:val="FF0000"/>
                <w:sz w:val="21"/>
                <w:szCs w:val="21"/>
              </w:rPr>
            </w:pPr>
          </w:p>
        </w:tc>
        <w:tc>
          <w:tcPr>
            <w:tcW w:w="217" w:type="dxa"/>
          </w:tcPr>
          <w:p w14:paraId="2B06DE37" w14:textId="77777777" w:rsidR="002C0FD9" w:rsidRPr="00CA25CF" w:rsidRDefault="002C0FD9" w:rsidP="00CA25CF">
            <w:pPr>
              <w:rPr>
                <w:rFonts w:cs="Arial"/>
                <w:color w:val="FF0000"/>
                <w:sz w:val="21"/>
                <w:szCs w:val="21"/>
              </w:rPr>
            </w:pPr>
          </w:p>
        </w:tc>
        <w:tc>
          <w:tcPr>
            <w:tcW w:w="217" w:type="dxa"/>
          </w:tcPr>
          <w:p w14:paraId="41879CA0" w14:textId="77777777" w:rsidR="002C0FD9" w:rsidRPr="00CA25CF" w:rsidRDefault="002C0FD9" w:rsidP="00CA25CF">
            <w:pPr>
              <w:rPr>
                <w:rFonts w:cs="Arial"/>
                <w:color w:val="FF0000"/>
                <w:sz w:val="21"/>
                <w:szCs w:val="21"/>
              </w:rPr>
            </w:pPr>
          </w:p>
        </w:tc>
        <w:tc>
          <w:tcPr>
            <w:tcW w:w="217" w:type="dxa"/>
          </w:tcPr>
          <w:p w14:paraId="0A908C41" w14:textId="77777777" w:rsidR="002C0FD9" w:rsidRPr="00CA25CF" w:rsidRDefault="002C0FD9" w:rsidP="00CA25CF">
            <w:pPr>
              <w:rPr>
                <w:rFonts w:cs="Arial"/>
                <w:color w:val="FF0000"/>
                <w:sz w:val="21"/>
                <w:szCs w:val="21"/>
              </w:rPr>
            </w:pPr>
          </w:p>
        </w:tc>
        <w:tc>
          <w:tcPr>
            <w:tcW w:w="217" w:type="dxa"/>
          </w:tcPr>
          <w:p w14:paraId="66616331" w14:textId="77777777" w:rsidR="002C0FD9" w:rsidRPr="00CA25CF" w:rsidRDefault="002C0FD9" w:rsidP="00CA25CF">
            <w:pPr>
              <w:rPr>
                <w:rFonts w:cs="Arial"/>
                <w:color w:val="FF0000"/>
                <w:sz w:val="21"/>
                <w:szCs w:val="21"/>
              </w:rPr>
            </w:pPr>
          </w:p>
        </w:tc>
        <w:tc>
          <w:tcPr>
            <w:tcW w:w="217" w:type="dxa"/>
          </w:tcPr>
          <w:p w14:paraId="412736E0" w14:textId="77777777" w:rsidR="002C0FD9" w:rsidRPr="00CA25CF" w:rsidRDefault="002C0FD9" w:rsidP="00CA25CF">
            <w:pPr>
              <w:rPr>
                <w:rFonts w:cs="Arial"/>
                <w:color w:val="FF0000"/>
                <w:sz w:val="21"/>
                <w:szCs w:val="21"/>
              </w:rPr>
            </w:pPr>
          </w:p>
        </w:tc>
        <w:tc>
          <w:tcPr>
            <w:tcW w:w="217" w:type="dxa"/>
          </w:tcPr>
          <w:p w14:paraId="187114AE" w14:textId="77777777" w:rsidR="002C0FD9" w:rsidRPr="00CA25CF" w:rsidRDefault="002C0FD9" w:rsidP="00CA25CF">
            <w:pPr>
              <w:rPr>
                <w:rFonts w:cs="Arial"/>
                <w:color w:val="FF0000"/>
                <w:sz w:val="21"/>
                <w:szCs w:val="21"/>
              </w:rPr>
            </w:pPr>
          </w:p>
        </w:tc>
        <w:tc>
          <w:tcPr>
            <w:tcW w:w="217" w:type="dxa"/>
          </w:tcPr>
          <w:p w14:paraId="453320DE" w14:textId="77777777" w:rsidR="002C0FD9" w:rsidRPr="00CA25CF" w:rsidRDefault="002C0FD9" w:rsidP="00CA25CF">
            <w:pPr>
              <w:rPr>
                <w:rFonts w:cs="Arial"/>
                <w:color w:val="FF0000"/>
                <w:sz w:val="21"/>
                <w:szCs w:val="21"/>
              </w:rPr>
            </w:pPr>
          </w:p>
        </w:tc>
        <w:tc>
          <w:tcPr>
            <w:tcW w:w="217" w:type="dxa"/>
          </w:tcPr>
          <w:p w14:paraId="5580AD54" w14:textId="77777777" w:rsidR="002C0FD9" w:rsidRPr="00CA25CF" w:rsidRDefault="002C0FD9" w:rsidP="00CA25CF">
            <w:pPr>
              <w:rPr>
                <w:rFonts w:cs="Arial"/>
                <w:color w:val="FF0000"/>
                <w:sz w:val="21"/>
                <w:szCs w:val="21"/>
              </w:rPr>
            </w:pPr>
          </w:p>
        </w:tc>
        <w:tc>
          <w:tcPr>
            <w:tcW w:w="217" w:type="dxa"/>
          </w:tcPr>
          <w:p w14:paraId="448650B3" w14:textId="77777777" w:rsidR="002C0FD9" w:rsidRPr="00CA25CF" w:rsidRDefault="002C0FD9" w:rsidP="00CA25CF">
            <w:pPr>
              <w:rPr>
                <w:rFonts w:cs="Arial"/>
                <w:color w:val="FF0000"/>
                <w:sz w:val="21"/>
                <w:szCs w:val="21"/>
              </w:rPr>
            </w:pPr>
          </w:p>
        </w:tc>
        <w:tc>
          <w:tcPr>
            <w:tcW w:w="217" w:type="dxa"/>
          </w:tcPr>
          <w:p w14:paraId="6FD2AD0E" w14:textId="77777777" w:rsidR="002C0FD9" w:rsidRPr="00CA25CF" w:rsidRDefault="002C0FD9" w:rsidP="00CA25CF">
            <w:pPr>
              <w:rPr>
                <w:rFonts w:cs="Arial"/>
                <w:color w:val="FF0000"/>
                <w:sz w:val="21"/>
                <w:szCs w:val="21"/>
              </w:rPr>
            </w:pPr>
          </w:p>
        </w:tc>
        <w:tc>
          <w:tcPr>
            <w:tcW w:w="217" w:type="dxa"/>
          </w:tcPr>
          <w:p w14:paraId="0045DD9D" w14:textId="77777777" w:rsidR="002C0FD9" w:rsidRPr="00CA25CF" w:rsidRDefault="002C0FD9" w:rsidP="00CA25CF">
            <w:pPr>
              <w:rPr>
                <w:rFonts w:cs="Arial"/>
                <w:color w:val="FF0000"/>
                <w:sz w:val="21"/>
                <w:szCs w:val="21"/>
              </w:rPr>
            </w:pPr>
          </w:p>
        </w:tc>
        <w:tc>
          <w:tcPr>
            <w:tcW w:w="217" w:type="dxa"/>
          </w:tcPr>
          <w:p w14:paraId="13537654" w14:textId="77777777" w:rsidR="002C0FD9" w:rsidRPr="00CA25CF" w:rsidRDefault="002C0FD9" w:rsidP="00CA25CF">
            <w:pPr>
              <w:rPr>
                <w:rFonts w:cs="Arial"/>
                <w:color w:val="FF0000"/>
                <w:sz w:val="21"/>
                <w:szCs w:val="21"/>
              </w:rPr>
            </w:pPr>
          </w:p>
        </w:tc>
        <w:tc>
          <w:tcPr>
            <w:tcW w:w="217" w:type="dxa"/>
          </w:tcPr>
          <w:p w14:paraId="03EF2107" w14:textId="77777777" w:rsidR="002C0FD9" w:rsidRPr="00CA25CF" w:rsidRDefault="002C0FD9" w:rsidP="00CA25CF">
            <w:pPr>
              <w:rPr>
                <w:rFonts w:cs="Arial"/>
                <w:color w:val="FF0000"/>
                <w:sz w:val="21"/>
                <w:szCs w:val="21"/>
              </w:rPr>
            </w:pPr>
          </w:p>
        </w:tc>
        <w:tc>
          <w:tcPr>
            <w:tcW w:w="217" w:type="dxa"/>
          </w:tcPr>
          <w:p w14:paraId="07D2C758" w14:textId="77777777" w:rsidR="002C0FD9" w:rsidRPr="00CA25CF" w:rsidRDefault="002C0FD9" w:rsidP="00CA25CF">
            <w:pPr>
              <w:rPr>
                <w:rFonts w:cs="Arial"/>
                <w:color w:val="FF0000"/>
                <w:sz w:val="21"/>
                <w:szCs w:val="21"/>
              </w:rPr>
            </w:pPr>
          </w:p>
        </w:tc>
        <w:tc>
          <w:tcPr>
            <w:tcW w:w="217" w:type="dxa"/>
          </w:tcPr>
          <w:p w14:paraId="3C3630AD" w14:textId="77777777" w:rsidR="002C0FD9" w:rsidRPr="00CA25CF" w:rsidRDefault="002C0FD9" w:rsidP="00CA25CF">
            <w:pPr>
              <w:rPr>
                <w:rFonts w:cs="Arial"/>
                <w:color w:val="FF0000"/>
                <w:sz w:val="21"/>
                <w:szCs w:val="21"/>
              </w:rPr>
            </w:pPr>
          </w:p>
        </w:tc>
        <w:tc>
          <w:tcPr>
            <w:tcW w:w="217" w:type="dxa"/>
          </w:tcPr>
          <w:p w14:paraId="05F6213E" w14:textId="77777777" w:rsidR="002C0FD9" w:rsidRPr="00CA25CF" w:rsidRDefault="002C0FD9" w:rsidP="00CA25CF">
            <w:pPr>
              <w:rPr>
                <w:rFonts w:cs="Arial"/>
                <w:color w:val="FF0000"/>
                <w:sz w:val="21"/>
                <w:szCs w:val="21"/>
              </w:rPr>
            </w:pPr>
          </w:p>
        </w:tc>
        <w:tc>
          <w:tcPr>
            <w:tcW w:w="217" w:type="dxa"/>
          </w:tcPr>
          <w:p w14:paraId="4E65FCA6" w14:textId="77777777" w:rsidR="002C0FD9" w:rsidRPr="00CA25CF" w:rsidRDefault="002C0FD9" w:rsidP="00CA25CF">
            <w:pPr>
              <w:rPr>
                <w:rFonts w:cs="Arial"/>
                <w:color w:val="FF0000"/>
                <w:sz w:val="21"/>
                <w:szCs w:val="21"/>
              </w:rPr>
            </w:pPr>
          </w:p>
        </w:tc>
        <w:tc>
          <w:tcPr>
            <w:tcW w:w="217" w:type="dxa"/>
          </w:tcPr>
          <w:p w14:paraId="365EA22A" w14:textId="77777777" w:rsidR="002C0FD9" w:rsidRPr="00CA25CF" w:rsidRDefault="002C0FD9" w:rsidP="00CA25CF">
            <w:pPr>
              <w:rPr>
                <w:rFonts w:cs="Arial"/>
                <w:color w:val="FF0000"/>
                <w:sz w:val="21"/>
                <w:szCs w:val="21"/>
              </w:rPr>
            </w:pPr>
          </w:p>
        </w:tc>
        <w:tc>
          <w:tcPr>
            <w:tcW w:w="217" w:type="dxa"/>
          </w:tcPr>
          <w:p w14:paraId="678007A3" w14:textId="77777777" w:rsidR="002C0FD9" w:rsidRPr="00CA25CF" w:rsidRDefault="002C0FD9" w:rsidP="00CA25CF">
            <w:pPr>
              <w:rPr>
                <w:rFonts w:cs="Arial"/>
                <w:color w:val="FF0000"/>
                <w:sz w:val="21"/>
                <w:szCs w:val="21"/>
              </w:rPr>
            </w:pPr>
          </w:p>
        </w:tc>
        <w:tc>
          <w:tcPr>
            <w:tcW w:w="217" w:type="dxa"/>
          </w:tcPr>
          <w:p w14:paraId="35B1E503" w14:textId="77777777" w:rsidR="002C0FD9" w:rsidRPr="00CA25CF" w:rsidRDefault="002C0FD9" w:rsidP="00CA25CF">
            <w:pPr>
              <w:rPr>
                <w:rFonts w:cs="Arial"/>
                <w:color w:val="FF0000"/>
                <w:sz w:val="21"/>
                <w:szCs w:val="21"/>
              </w:rPr>
            </w:pPr>
          </w:p>
        </w:tc>
        <w:tc>
          <w:tcPr>
            <w:tcW w:w="217" w:type="dxa"/>
          </w:tcPr>
          <w:p w14:paraId="04AB740B" w14:textId="77777777" w:rsidR="002C0FD9" w:rsidRPr="00CA25CF" w:rsidRDefault="002C0FD9" w:rsidP="00CA25CF">
            <w:pPr>
              <w:rPr>
                <w:rFonts w:cs="Arial"/>
                <w:color w:val="FF0000"/>
                <w:sz w:val="21"/>
                <w:szCs w:val="21"/>
              </w:rPr>
            </w:pPr>
          </w:p>
        </w:tc>
        <w:tc>
          <w:tcPr>
            <w:tcW w:w="217" w:type="dxa"/>
          </w:tcPr>
          <w:p w14:paraId="408F7634" w14:textId="77777777" w:rsidR="002C0FD9" w:rsidRPr="00CA25CF" w:rsidRDefault="002C0FD9" w:rsidP="00CA25CF">
            <w:pPr>
              <w:rPr>
                <w:rFonts w:cs="Arial"/>
                <w:color w:val="FF0000"/>
                <w:sz w:val="21"/>
                <w:szCs w:val="21"/>
              </w:rPr>
            </w:pPr>
          </w:p>
        </w:tc>
        <w:tc>
          <w:tcPr>
            <w:tcW w:w="217" w:type="dxa"/>
          </w:tcPr>
          <w:p w14:paraId="5AB6892C" w14:textId="77777777" w:rsidR="002C0FD9" w:rsidRPr="00CA25CF" w:rsidRDefault="002C0FD9" w:rsidP="00CA25CF">
            <w:pPr>
              <w:rPr>
                <w:rFonts w:cs="Arial"/>
                <w:color w:val="FF0000"/>
                <w:sz w:val="21"/>
                <w:szCs w:val="21"/>
              </w:rPr>
            </w:pPr>
          </w:p>
        </w:tc>
        <w:tc>
          <w:tcPr>
            <w:tcW w:w="217" w:type="dxa"/>
          </w:tcPr>
          <w:p w14:paraId="27B9467C" w14:textId="77777777" w:rsidR="002C0FD9" w:rsidRPr="00CA25CF" w:rsidRDefault="002C0FD9" w:rsidP="00CA25CF">
            <w:pPr>
              <w:rPr>
                <w:rFonts w:cs="Arial"/>
                <w:color w:val="FF0000"/>
                <w:sz w:val="21"/>
                <w:szCs w:val="21"/>
              </w:rPr>
            </w:pPr>
          </w:p>
        </w:tc>
        <w:tc>
          <w:tcPr>
            <w:tcW w:w="217" w:type="dxa"/>
          </w:tcPr>
          <w:p w14:paraId="09D1D34C" w14:textId="77777777" w:rsidR="002C0FD9" w:rsidRPr="00CA25CF" w:rsidRDefault="002C0FD9" w:rsidP="00CA25CF">
            <w:pPr>
              <w:rPr>
                <w:rFonts w:cs="Arial"/>
                <w:color w:val="FF0000"/>
                <w:sz w:val="21"/>
                <w:szCs w:val="21"/>
              </w:rPr>
            </w:pPr>
          </w:p>
        </w:tc>
        <w:tc>
          <w:tcPr>
            <w:tcW w:w="217" w:type="dxa"/>
          </w:tcPr>
          <w:p w14:paraId="51A3D2B1" w14:textId="77777777" w:rsidR="002C0FD9" w:rsidRPr="00CA25CF" w:rsidRDefault="002C0FD9" w:rsidP="00CA25CF">
            <w:pPr>
              <w:rPr>
                <w:rFonts w:cs="Arial"/>
                <w:color w:val="FF0000"/>
                <w:sz w:val="21"/>
                <w:szCs w:val="21"/>
              </w:rPr>
            </w:pPr>
          </w:p>
        </w:tc>
        <w:tc>
          <w:tcPr>
            <w:tcW w:w="217" w:type="dxa"/>
          </w:tcPr>
          <w:p w14:paraId="14D6A01A" w14:textId="77777777" w:rsidR="002C0FD9" w:rsidRPr="00CA25CF" w:rsidRDefault="002C0FD9" w:rsidP="00CA25CF">
            <w:pPr>
              <w:rPr>
                <w:rFonts w:cs="Arial"/>
                <w:color w:val="FF0000"/>
                <w:sz w:val="21"/>
                <w:szCs w:val="21"/>
              </w:rPr>
            </w:pPr>
          </w:p>
        </w:tc>
        <w:tc>
          <w:tcPr>
            <w:tcW w:w="217" w:type="dxa"/>
          </w:tcPr>
          <w:p w14:paraId="08C8CA15" w14:textId="77777777" w:rsidR="002C0FD9" w:rsidRPr="00CA25CF" w:rsidRDefault="002C0FD9" w:rsidP="00CA25CF">
            <w:pPr>
              <w:rPr>
                <w:rFonts w:cs="Arial"/>
                <w:color w:val="FF0000"/>
                <w:sz w:val="21"/>
                <w:szCs w:val="21"/>
              </w:rPr>
            </w:pPr>
          </w:p>
        </w:tc>
        <w:tc>
          <w:tcPr>
            <w:tcW w:w="217" w:type="dxa"/>
          </w:tcPr>
          <w:p w14:paraId="19FD49CB" w14:textId="77777777" w:rsidR="002C0FD9" w:rsidRPr="00CA25CF" w:rsidRDefault="002C0FD9" w:rsidP="00CA25CF">
            <w:pPr>
              <w:rPr>
                <w:rFonts w:cs="Arial"/>
                <w:color w:val="FF0000"/>
                <w:sz w:val="21"/>
                <w:szCs w:val="21"/>
              </w:rPr>
            </w:pPr>
          </w:p>
        </w:tc>
        <w:tc>
          <w:tcPr>
            <w:tcW w:w="217" w:type="dxa"/>
          </w:tcPr>
          <w:p w14:paraId="2504B322" w14:textId="77777777" w:rsidR="002C0FD9" w:rsidRPr="00CA25CF" w:rsidRDefault="002C0FD9" w:rsidP="00CA25CF">
            <w:pPr>
              <w:rPr>
                <w:rFonts w:cs="Arial"/>
                <w:color w:val="FF0000"/>
                <w:sz w:val="21"/>
                <w:szCs w:val="21"/>
              </w:rPr>
            </w:pPr>
          </w:p>
        </w:tc>
        <w:tc>
          <w:tcPr>
            <w:tcW w:w="217" w:type="dxa"/>
          </w:tcPr>
          <w:p w14:paraId="4058F6A5" w14:textId="77777777" w:rsidR="002C0FD9" w:rsidRPr="00CA25CF" w:rsidRDefault="002C0FD9" w:rsidP="00CA25CF">
            <w:pPr>
              <w:rPr>
                <w:rFonts w:cs="Arial"/>
                <w:color w:val="FF0000"/>
                <w:sz w:val="21"/>
                <w:szCs w:val="21"/>
              </w:rPr>
            </w:pPr>
          </w:p>
        </w:tc>
        <w:tc>
          <w:tcPr>
            <w:tcW w:w="217" w:type="dxa"/>
          </w:tcPr>
          <w:p w14:paraId="2FFAE2DF" w14:textId="77777777" w:rsidR="002C0FD9" w:rsidRPr="00CA25CF" w:rsidRDefault="002C0FD9" w:rsidP="00CA25CF">
            <w:pPr>
              <w:rPr>
                <w:rFonts w:cs="Arial"/>
                <w:color w:val="FF0000"/>
                <w:sz w:val="21"/>
                <w:szCs w:val="21"/>
              </w:rPr>
            </w:pPr>
          </w:p>
        </w:tc>
        <w:tc>
          <w:tcPr>
            <w:tcW w:w="217" w:type="dxa"/>
          </w:tcPr>
          <w:p w14:paraId="46DE5110" w14:textId="77777777" w:rsidR="002C0FD9" w:rsidRPr="00CA25CF" w:rsidRDefault="002C0FD9" w:rsidP="00CA25CF">
            <w:pPr>
              <w:rPr>
                <w:rFonts w:cs="Arial"/>
                <w:color w:val="FF0000"/>
                <w:sz w:val="21"/>
                <w:szCs w:val="21"/>
              </w:rPr>
            </w:pPr>
          </w:p>
        </w:tc>
        <w:tc>
          <w:tcPr>
            <w:tcW w:w="217" w:type="dxa"/>
          </w:tcPr>
          <w:p w14:paraId="59D8BAA9" w14:textId="77777777" w:rsidR="002C0FD9" w:rsidRPr="00CA25CF" w:rsidRDefault="002C0FD9" w:rsidP="00CA25CF">
            <w:pPr>
              <w:rPr>
                <w:rFonts w:cs="Arial"/>
                <w:color w:val="FF0000"/>
                <w:sz w:val="21"/>
                <w:szCs w:val="21"/>
              </w:rPr>
            </w:pPr>
          </w:p>
        </w:tc>
        <w:tc>
          <w:tcPr>
            <w:tcW w:w="217" w:type="dxa"/>
          </w:tcPr>
          <w:p w14:paraId="6A7DDC27" w14:textId="77777777" w:rsidR="002C0FD9" w:rsidRPr="00CA25CF" w:rsidRDefault="002C0FD9" w:rsidP="00CA25CF">
            <w:pPr>
              <w:rPr>
                <w:rFonts w:cs="Arial"/>
                <w:color w:val="FF0000"/>
                <w:sz w:val="21"/>
                <w:szCs w:val="21"/>
              </w:rPr>
            </w:pPr>
          </w:p>
        </w:tc>
        <w:tc>
          <w:tcPr>
            <w:tcW w:w="217" w:type="dxa"/>
          </w:tcPr>
          <w:p w14:paraId="7973C08C" w14:textId="77777777" w:rsidR="002C0FD9" w:rsidRPr="00CA25CF" w:rsidRDefault="002C0FD9" w:rsidP="00CA25CF">
            <w:pPr>
              <w:rPr>
                <w:rFonts w:cs="Arial"/>
                <w:color w:val="FF0000"/>
                <w:sz w:val="21"/>
                <w:szCs w:val="21"/>
              </w:rPr>
            </w:pPr>
          </w:p>
        </w:tc>
        <w:tc>
          <w:tcPr>
            <w:tcW w:w="217" w:type="dxa"/>
          </w:tcPr>
          <w:p w14:paraId="68AEA8C7" w14:textId="77777777" w:rsidR="002C0FD9" w:rsidRPr="00CA25CF" w:rsidRDefault="002C0FD9" w:rsidP="00CA25CF">
            <w:pPr>
              <w:rPr>
                <w:rFonts w:cs="Arial"/>
                <w:color w:val="FF0000"/>
                <w:sz w:val="21"/>
                <w:szCs w:val="21"/>
              </w:rPr>
            </w:pPr>
          </w:p>
        </w:tc>
        <w:tc>
          <w:tcPr>
            <w:tcW w:w="217" w:type="dxa"/>
          </w:tcPr>
          <w:p w14:paraId="0F8DC61E" w14:textId="77777777" w:rsidR="002C0FD9" w:rsidRPr="00CA25CF" w:rsidRDefault="002C0FD9" w:rsidP="00CA25CF">
            <w:pPr>
              <w:rPr>
                <w:rFonts w:cs="Arial"/>
                <w:color w:val="FF0000"/>
                <w:sz w:val="21"/>
                <w:szCs w:val="21"/>
              </w:rPr>
            </w:pPr>
          </w:p>
        </w:tc>
      </w:tr>
      <w:tr w:rsidR="002C0FD9" w:rsidRPr="00A16219" w14:paraId="47C390AA" w14:textId="003D80EF" w:rsidTr="002C0FD9">
        <w:trPr>
          <w:trHeight w:val="635"/>
        </w:trPr>
        <w:tc>
          <w:tcPr>
            <w:tcW w:w="515" w:type="dxa"/>
          </w:tcPr>
          <w:p w14:paraId="6D42B977" w14:textId="77777777" w:rsidR="002C0FD9" w:rsidRPr="00CA25CF" w:rsidRDefault="002C0FD9" w:rsidP="00CA25CF">
            <w:pPr>
              <w:rPr>
                <w:rFonts w:cs="Arial"/>
                <w:color w:val="FF0000"/>
                <w:sz w:val="21"/>
                <w:szCs w:val="21"/>
              </w:rPr>
            </w:pPr>
          </w:p>
        </w:tc>
        <w:tc>
          <w:tcPr>
            <w:tcW w:w="217" w:type="dxa"/>
          </w:tcPr>
          <w:p w14:paraId="49E764FD" w14:textId="77777777" w:rsidR="002C0FD9" w:rsidRPr="00CA25CF" w:rsidRDefault="002C0FD9" w:rsidP="00CA25CF">
            <w:pPr>
              <w:rPr>
                <w:rFonts w:cs="Arial"/>
                <w:color w:val="FF0000"/>
                <w:sz w:val="21"/>
                <w:szCs w:val="21"/>
              </w:rPr>
            </w:pPr>
          </w:p>
        </w:tc>
        <w:tc>
          <w:tcPr>
            <w:tcW w:w="217" w:type="dxa"/>
          </w:tcPr>
          <w:p w14:paraId="33D20710" w14:textId="2C54BD1A" w:rsidR="002C0FD9" w:rsidRPr="00CA25CF" w:rsidRDefault="002C0FD9" w:rsidP="00CA25CF">
            <w:pPr>
              <w:rPr>
                <w:rFonts w:cs="Arial"/>
                <w:color w:val="FF0000"/>
                <w:sz w:val="21"/>
                <w:szCs w:val="21"/>
              </w:rPr>
            </w:pPr>
          </w:p>
        </w:tc>
        <w:tc>
          <w:tcPr>
            <w:tcW w:w="217" w:type="dxa"/>
          </w:tcPr>
          <w:p w14:paraId="1B65BBD1" w14:textId="77777777" w:rsidR="002C0FD9" w:rsidRPr="00CA25CF" w:rsidRDefault="002C0FD9" w:rsidP="00CA25CF">
            <w:pPr>
              <w:rPr>
                <w:rFonts w:cs="Arial"/>
                <w:color w:val="FF0000"/>
                <w:sz w:val="21"/>
                <w:szCs w:val="21"/>
              </w:rPr>
            </w:pPr>
          </w:p>
        </w:tc>
        <w:tc>
          <w:tcPr>
            <w:tcW w:w="217" w:type="dxa"/>
          </w:tcPr>
          <w:p w14:paraId="28E313F3" w14:textId="77777777" w:rsidR="002C0FD9" w:rsidRPr="00CA25CF" w:rsidRDefault="002C0FD9" w:rsidP="00CA25CF">
            <w:pPr>
              <w:rPr>
                <w:rFonts w:cs="Arial"/>
                <w:color w:val="FF0000"/>
                <w:sz w:val="21"/>
                <w:szCs w:val="21"/>
              </w:rPr>
            </w:pPr>
          </w:p>
        </w:tc>
        <w:tc>
          <w:tcPr>
            <w:tcW w:w="217" w:type="dxa"/>
          </w:tcPr>
          <w:p w14:paraId="2A810EA5" w14:textId="77777777" w:rsidR="002C0FD9" w:rsidRPr="00CA25CF" w:rsidRDefault="002C0FD9" w:rsidP="00CA25CF">
            <w:pPr>
              <w:rPr>
                <w:rFonts w:cs="Arial"/>
                <w:color w:val="FF0000"/>
                <w:sz w:val="21"/>
                <w:szCs w:val="21"/>
              </w:rPr>
            </w:pPr>
          </w:p>
        </w:tc>
        <w:tc>
          <w:tcPr>
            <w:tcW w:w="217" w:type="dxa"/>
          </w:tcPr>
          <w:p w14:paraId="341BA0B7" w14:textId="77777777" w:rsidR="002C0FD9" w:rsidRPr="00CA25CF" w:rsidRDefault="002C0FD9" w:rsidP="00CA25CF">
            <w:pPr>
              <w:rPr>
                <w:rFonts w:cs="Arial"/>
                <w:color w:val="FF0000"/>
                <w:sz w:val="21"/>
                <w:szCs w:val="21"/>
              </w:rPr>
            </w:pPr>
          </w:p>
        </w:tc>
        <w:tc>
          <w:tcPr>
            <w:tcW w:w="217" w:type="dxa"/>
          </w:tcPr>
          <w:p w14:paraId="22F15EFB" w14:textId="77777777" w:rsidR="002C0FD9" w:rsidRPr="00CA25CF" w:rsidRDefault="002C0FD9" w:rsidP="00CA25CF">
            <w:pPr>
              <w:rPr>
                <w:rFonts w:cs="Arial"/>
                <w:color w:val="FF0000"/>
                <w:sz w:val="21"/>
                <w:szCs w:val="21"/>
              </w:rPr>
            </w:pPr>
          </w:p>
        </w:tc>
        <w:tc>
          <w:tcPr>
            <w:tcW w:w="217" w:type="dxa"/>
          </w:tcPr>
          <w:p w14:paraId="20D57623" w14:textId="77777777" w:rsidR="002C0FD9" w:rsidRPr="00CA25CF" w:rsidRDefault="002C0FD9" w:rsidP="00CA25CF">
            <w:pPr>
              <w:rPr>
                <w:rFonts w:cs="Arial"/>
                <w:color w:val="FF0000"/>
                <w:sz w:val="21"/>
                <w:szCs w:val="21"/>
              </w:rPr>
            </w:pPr>
          </w:p>
        </w:tc>
        <w:tc>
          <w:tcPr>
            <w:tcW w:w="217" w:type="dxa"/>
          </w:tcPr>
          <w:p w14:paraId="3821E3F9" w14:textId="77777777" w:rsidR="002C0FD9" w:rsidRPr="00CA25CF" w:rsidRDefault="002C0FD9" w:rsidP="00CA25CF">
            <w:pPr>
              <w:rPr>
                <w:rFonts w:cs="Arial"/>
                <w:color w:val="FF0000"/>
                <w:sz w:val="21"/>
                <w:szCs w:val="21"/>
              </w:rPr>
            </w:pPr>
          </w:p>
        </w:tc>
        <w:tc>
          <w:tcPr>
            <w:tcW w:w="217" w:type="dxa"/>
          </w:tcPr>
          <w:p w14:paraId="07339756" w14:textId="77777777" w:rsidR="002C0FD9" w:rsidRPr="00CA25CF" w:rsidRDefault="002C0FD9" w:rsidP="00CA25CF">
            <w:pPr>
              <w:rPr>
                <w:rFonts w:cs="Arial"/>
                <w:color w:val="FF0000"/>
                <w:sz w:val="21"/>
                <w:szCs w:val="21"/>
              </w:rPr>
            </w:pPr>
          </w:p>
        </w:tc>
        <w:tc>
          <w:tcPr>
            <w:tcW w:w="217" w:type="dxa"/>
          </w:tcPr>
          <w:p w14:paraId="6141637B" w14:textId="77777777" w:rsidR="002C0FD9" w:rsidRPr="00CA25CF" w:rsidRDefault="002C0FD9" w:rsidP="00CA25CF">
            <w:pPr>
              <w:rPr>
                <w:rFonts w:cs="Arial"/>
                <w:color w:val="FF0000"/>
                <w:sz w:val="21"/>
                <w:szCs w:val="21"/>
              </w:rPr>
            </w:pPr>
          </w:p>
        </w:tc>
        <w:tc>
          <w:tcPr>
            <w:tcW w:w="217" w:type="dxa"/>
          </w:tcPr>
          <w:p w14:paraId="24924A17" w14:textId="77777777" w:rsidR="002C0FD9" w:rsidRPr="00CA25CF" w:rsidRDefault="002C0FD9" w:rsidP="00CA25CF">
            <w:pPr>
              <w:rPr>
                <w:rFonts w:cs="Arial"/>
                <w:color w:val="FF0000"/>
                <w:sz w:val="21"/>
                <w:szCs w:val="21"/>
              </w:rPr>
            </w:pPr>
          </w:p>
        </w:tc>
        <w:tc>
          <w:tcPr>
            <w:tcW w:w="217" w:type="dxa"/>
          </w:tcPr>
          <w:p w14:paraId="1B31171F" w14:textId="77777777" w:rsidR="002C0FD9" w:rsidRPr="00CA25CF" w:rsidRDefault="002C0FD9" w:rsidP="00CA25CF">
            <w:pPr>
              <w:rPr>
                <w:rFonts w:cs="Arial"/>
                <w:color w:val="FF0000"/>
                <w:sz w:val="21"/>
                <w:szCs w:val="21"/>
              </w:rPr>
            </w:pPr>
          </w:p>
        </w:tc>
        <w:tc>
          <w:tcPr>
            <w:tcW w:w="217" w:type="dxa"/>
          </w:tcPr>
          <w:p w14:paraId="4550ADAB" w14:textId="77777777" w:rsidR="002C0FD9" w:rsidRPr="00CA25CF" w:rsidRDefault="002C0FD9" w:rsidP="00CA25CF">
            <w:pPr>
              <w:rPr>
                <w:rFonts w:cs="Arial"/>
                <w:color w:val="FF0000"/>
                <w:sz w:val="21"/>
                <w:szCs w:val="21"/>
              </w:rPr>
            </w:pPr>
          </w:p>
        </w:tc>
        <w:tc>
          <w:tcPr>
            <w:tcW w:w="217" w:type="dxa"/>
          </w:tcPr>
          <w:p w14:paraId="432355CF" w14:textId="77777777" w:rsidR="002C0FD9" w:rsidRPr="00CA25CF" w:rsidRDefault="002C0FD9" w:rsidP="00CA25CF">
            <w:pPr>
              <w:rPr>
                <w:rFonts w:cs="Arial"/>
                <w:color w:val="FF0000"/>
                <w:sz w:val="21"/>
                <w:szCs w:val="21"/>
              </w:rPr>
            </w:pPr>
          </w:p>
        </w:tc>
        <w:tc>
          <w:tcPr>
            <w:tcW w:w="217" w:type="dxa"/>
          </w:tcPr>
          <w:p w14:paraId="3D9FB420" w14:textId="77777777" w:rsidR="002C0FD9" w:rsidRPr="00CA25CF" w:rsidRDefault="002C0FD9" w:rsidP="00CA25CF">
            <w:pPr>
              <w:rPr>
                <w:rFonts w:cs="Arial"/>
                <w:color w:val="FF0000"/>
                <w:sz w:val="21"/>
                <w:szCs w:val="21"/>
              </w:rPr>
            </w:pPr>
          </w:p>
        </w:tc>
        <w:tc>
          <w:tcPr>
            <w:tcW w:w="217" w:type="dxa"/>
          </w:tcPr>
          <w:p w14:paraId="32CE05DE" w14:textId="77777777" w:rsidR="002C0FD9" w:rsidRPr="00CA25CF" w:rsidRDefault="002C0FD9" w:rsidP="00CA25CF">
            <w:pPr>
              <w:rPr>
                <w:rFonts w:cs="Arial"/>
                <w:color w:val="FF0000"/>
                <w:sz w:val="21"/>
                <w:szCs w:val="21"/>
              </w:rPr>
            </w:pPr>
          </w:p>
        </w:tc>
        <w:tc>
          <w:tcPr>
            <w:tcW w:w="217" w:type="dxa"/>
          </w:tcPr>
          <w:p w14:paraId="24C3F21D" w14:textId="77777777" w:rsidR="002C0FD9" w:rsidRPr="00CA25CF" w:rsidRDefault="002C0FD9" w:rsidP="00CA25CF">
            <w:pPr>
              <w:rPr>
                <w:rFonts w:cs="Arial"/>
                <w:color w:val="FF0000"/>
                <w:sz w:val="21"/>
                <w:szCs w:val="21"/>
              </w:rPr>
            </w:pPr>
          </w:p>
        </w:tc>
        <w:tc>
          <w:tcPr>
            <w:tcW w:w="217" w:type="dxa"/>
          </w:tcPr>
          <w:p w14:paraId="0C2BFB8F" w14:textId="77777777" w:rsidR="002C0FD9" w:rsidRPr="00CA25CF" w:rsidRDefault="002C0FD9" w:rsidP="00CA25CF">
            <w:pPr>
              <w:rPr>
                <w:rFonts w:cs="Arial"/>
                <w:color w:val="FF0000"/>
                <w:sz w:val="21"/>
                <w:szCs w:val="21"/>
              </w:rPr>
            </w:pPr>
          </w:p>
        </w:tc>
        <w:tc>
          <w:tcPr>
            <w:tcW w:w="217" w:type="dxa"/>
          </w:tcPr>
          <w:p w14:paraId="0E5E5932" w14:textId="77777777" w:rsidR="002C0FD9" w:rsidRPr="00CA25CF" w:rsidRDefault="002C0FD9" w:rsidP="00CA25CF">
            <w:pPr>
              <w:rPr>
                <w:rFonts w:cs="Arial"/>
                <w:color w:val="FF0000"/>
                <w:sz w:val="21"/>
                <w:szCs w:val="21"/>
              </w:rPr>
            </w:pPr>
          </w:p>
        </w:tc>
        <w:tc>
          <w:tcPr>
            <w:tcW w:w="217" w:type="dxa"/>
          </w:tcPr>
          <w:p w14:paraId="54908823" w14:textId="77777777" w:rsidR="002C0FD9" w:rsidRPr="00CA25CF" w:rsidRDefault="002C0FD9" w:rsidP="00CA25CF">
            <w:pPr>
              <w:rPr>
                <w:rFonts w:cs="Arial"/>
                <w:color w:val="FF0000"/>
                <w:sz w:val="21"/>
                <w:szCs w:val="21"/>
              </w:rPr>
            </w:pPr>
          </w:p>
        </w:tc>
        <w:tc>
          <w:tcPr>
            <w:tcW w:w="217" w:type="dxa"/>
          </w:tcPr>
          <w:p w14:paraId="5287F504" w14:textId="77777777" w:rsidR="002C0FD9" w:rsidRPr="00CA25CF" w:rsidRDefault="002C0FD9" w:rsidP="00CA25CF">
            <w:pPr>
              <w:rPr>
                <w:rFonts w:cs="Arial"/>
                <w:color w:val="FF0000"/>
                <w:sz w:val="21"/>
                <w:szCs w:val="21"/>
              </w:rPr>
            </w:pPr>
          </w:p>
        </w:tc>
        <w:tc>
          <w:tcPr>
            <w:tcW w:w="217" w:type="dxa"/>
          </w:tcPr>
          <w:p w14:paraId="44CF6A07" w14:textId="77777777" w:rsidR="002C0FD9" w:rsidRPr="00CA25CF" w:rsidRDefault="002C0FD9" w:rsidP="00CA25CF">
            <w:pPr>
              <w:rPr>
                <w:rFonts w:cs="Arial"/>
                <w:color w:val="FF0000"/>
                <w:sz w:val="21"/>
                <w:szCs w:val="21"/>
              </w:rPr>
            </w:pPr>
          </w:p>
        </w:tc>
        <w:tc>
          <w:tcPr>
            <w:tcW w:w="217" w:type="dxa"/>
          </w:tcPr>
          <w:p w14:paraId="64237305" w14:textId="77777777" w:rsidR="002C0FD9" w:rsidRPr="00CA25CF" w:rsidRDefault="002C0FD9" w:rsidP="00CA25CF">
            <w:pPr>
              <w:rPr>
                <w:rFonts w:cs="Arial"/>
                <w:color w:val="FF0000"/>
                <w:sz w:val="21"/>
                <w:szCs w:val="21"/>
              </w:rPr>
            </w:pPr>
          </w:p>
        </w:tc>
        <w:tc>
          <w:tcPr>
            <w:tcW w:w="217" w:type="dxa"/>
          </w:tcPr>
          <w:p w14:paraId="3F0076E9" w14:textId="77777777" w:rsidR="002C0FD9" w:rsidRPr="00CA25CF" w:rsidRDefault="002C0FD9" w:rsidP="00CA25CF">
            <w:pPr>
              <w:rPr>
                <w:rFonts w:cs="Arial"/>
                <w:color w:val="FF0000"/>
                <w:sz w:val="21"/>
                <w:szCs w:val="21"/>
              </w:rPr>
            </w:pPr>
          </w:p>
        </w:tc>
        <w:tc>
          <w:tcPr>
            <w:tcW w:w="217" w:type="dxa"/>
          </w:tcPr>
          <w:p w14:paraId="0FDE984C" w14:textId="77777777" w:rsidR="002C0FD9" w:rsidRPr="00CA25CF" w:rsidRDefault="002C0FD9" w:rsidP="00CA25CF">
            <w:pPr>
              <w:rPr>
                <w:rFonts w:cs="Arial"/>
                <w:color w:val="FF0000"/>
                <w:sz w:val="21"/>
                <w:szCs w:val="21"/>
              </w:rPr>
            </w:pPr>
          </w:p>
        </w:tc>
        <w:tc>
          <w:tcPr>
            <w:tcW w:w="217" w:type="dxa"/>
          </w:tcPr>
          <w:p w14:paraId="6985524E" w14:textId="77777777" w:rsidR="002C0FD9" w:rsidRPr="00CA25CF" w:rsidRDefault="002C0FD9" w:rsidP="00CA25CF">
            <w:pPr>
              <w:rPr>
                <w:rFonts w:cs="Arial"/>
                <w:color w:val="FF0000"/>
                <w:sz w:val="21"/>
                <w:szCs w:val="21"/>
              </w:rPr>
            </w:pPr>
          </w:p>
        </w:tc>
        <w:tc>
          <w:tcPr>
            <w:tcW w:w="217" w:type="dxa"/>
          </w:tcPr>
          <w:p w14:paraId="3AB36B1B" w14:textId="77777777" w:rsidR="002C0FD9" w:rsidRPr="00CA25CF" w:rsidRDefault="002C0FD9" w:rsidP="00CA25CF">
            <w:pPr>
              <w:rPr>
                <w:rFonts w:cs="Arial"/>
                <w:color w:val="FF0000"/>
                <w:sz w:val="21"/>
                <w:szCs w:val="21"/>
              </w:rPr>
            </w:pPr>
          </w:p>
        </w:tc>
        <w:tc>
          <w:tcPr>
            <w:tcW w:w="217" w:type="dxa"/>
          </w:tcPr>
          <w:p w14:paraId="1020AC73" w14:textId="77777777" w:rsidR="002C0FD9" w:rsidRPr="00CA25CF" w:rsidRDefault="002C0FD9" w:rsidP="00CA25CF">
            <w:pPr>
              <w:rPr>
                <w:rFonts w:cs="Arial"/>
                <w:color w:val="FF0000"/>
                <w:sz w:val="21"/>
                <w:szCs w:val="21"/>
              </w:rPr>
            </w:pPr>
          </w:p>
        </w:tc>
        <w:tc>
          <w:tcPr>
            <w:tcW w:w="217" w:type="dxa"/>
          </w:tcPr>
          <w:p w14:paraId="50846FC0" w14:textId="77777777" w:rsidR="002C0FD9" w:rsidRPr="00CA25CF" w:rsidRDefault="002C0FD9" w:rsidP="00CA25CF">
            <w:pPr>
              <w:rPr>
                <w:rFonts w:cs="Arial"/>
                <w:color w:val="FF0000"/>
                <w:sz w:val="21"/>
                <w:szCs w:val="21"/>
              </w:rPr>
            </w:pPr>
          </w:p>
        </w:tc>
        <w:tc>
          <w:tcPr>
            <w:tcW w:w="217" w:type="dxa"/>
          </w:tcPr>
          <w:p w14:paraId="03BFE688" w14:textId="77777777" w:rsidR="002C0FD9" w:rsidRPr="00CA25CF" w:rsidRDefault="002C0FD9" w:rsidP="00CA25CF">
            <w:pPr>
              <w:rPr>
                <w:rFonts w:cs="Arial"/>
                <w:color w:val="FF0000"/>
                <w:sz w:val="21"/>
                <w:szCs w:val="21"/>
              </w:rPr>
            </w:pPr>
          </w:p>
        </w:tc>
        <w:tc>
          <w:tcPr>
            <w:tcW w:w="217" w:type="dxa"/>
          </w:tcPr>
          <w:p w14:paraId="73FB9159" w14:textId="77777777" w:rsidR="002C0FD9" w:rsidRPr="00CA25CF" w:rsidRDefault="002C0FD9" w:rsidP="00CA25CF">
            <w:pPr>
              <w:rPr>
                <w:rFonts w:cs="Arial"/>
                <w:color w:val="FF0000"/>
                <w:sz w:val="21"/>
                <w:szCs w:val="21"/>
              </w:rPr>
            </w:pPr>
          </w:p>
        </w:tc>
        <w:tc>
          <w:tcPr>
            <w:tcW w:w="217" w:type="dxa"/>
          </w:tcPr>
          <w:p w14:paraId="1503E80A" w14:textId="77777777" w:rsidR="002C0FD9" w:rsidRPr="00CA25CF" w:rsidRDefault="002C0FD9" w:rsidP="00CA25CF">
            <w:pPr>
              <w:rPr>
                <w:rFonts w:cs="Arial"/>
                <w:color w:val="FF0000"/>
                <w:sz w:val="21"/>
                <w:szCs w:val="21"/>
              </w:rPr>
            </w:pPr>
          </w:p>
        </w:tc>
        <w:tc>
          <w:tcPr>
            <w:tcW w:w="217" w:type="dxa"/>
          </w:tcPr>
          <w:p w14:paraId="51E97FE7" w14:textId="77777777" w:rsidR="002C0FD9" w:rsidRPr="00CA25CF" w:rsidRDefault="002C0FD9" w:rsidP="00CA25CF">
            <w:pPr>
              <w:rPr>
                <w:rFonts w:cs="Arial"/>
                <w:color w:val="FF0000"/>
                <w:sz w:val="21"/>
                <w:szCs w:val="21"/>
              </w:rPr>
            </w:pPr>
          </w:p>
        </w:tc>
        <w:tc>
          <w:tcPr>
            <w:tcW w:w="217" w:type="dxa"/>
          </w:tcPr>
          <w:p w14:paraId="05DCAA92" w14:textId="77777777" w:rsidR="002C0FD9" w:rsidRPr="00CA25CF" w:rsidRDefault="002C0FD9" w:rsidP="00CA25CF">
            <w:pPr>
              <w:rPr>
                <w:rFonts w:cs="Arial"/>
                <w:color w:val="FF0000"/>
                <w:sz w:val="21"/>
                <w:szCs w:val="21"/>
              </w:rPr>
            </w:pPr>
          </w:p>
        </w:tc>
        <w:tc>
          <w:tcPr>
            <w:tcW w:w="217" w:type="dxa"/>
          </w:tcPr>
          <w:p w14:paraId="7D885ADB" w14:textId="77777777" w:rsidR="002C0FD9" w:rsidRPr="00CA25CF" w:rsidRDefault="002C0FD9" w:rsidP="00CA25CF">
            <w:pPr>
              <w:rPr>
                <w:rFonts w:cs="Arial"/>
                <w:color w:val="FF0000"/>
                <w:sz w:val="21"/>
                <w:szCs w:val="21"/>
              </w:rPr>
            </w:pPr>
          </w:p>
        </w:tc>
        <w:tc>
          <w:tcPr>
            <w:tcW w:w="217" w:type="dxa"/>
          </w:tcPr>
          <w:p w14:paraId="7312901F" w14:textId="77777777" w:rsidR="002C0FD9" w:rsidRPr="00CA25CF" w:rsidRDefault="002C0FD9" w:rsidP="00CA25CF">
            <w:pPr>
              <w:rPr>
                <w:rFonts w:cs="Arial"/>
                <w:color w:val="FF0000"/>
                <w:sz w:val="21"/>
                <w:szCs w:val="21"/>
              </w:rPr>
            </w:pPr>
          </w:p>
        </w:tc>
        <w:tc>
          <w:tcPr>
            <w:tcW w:w="217" w:type="dxa"/>
          </w:tcPr>
          <w:p w14:paraId="2A2FEC2D" w14:textId="77777777" w:rsidR="002C0FD9" w:rsidRPr="00CA25CF" w:rsidRDefault="002C0FD9" w:rsidP="00CA25CF">
            <w:pPr>
              <w:rPr>
                <w:rFonts w:cs="Arial"/>
                <w:color w:val="FF0000"/>
                <w:sz w:val="21"/>
                <w:szCs w:val="21"/>
              </w:rPr>
            </w:pPr>
          </w:p>
        </w:tc>
        <w:tc>
          <w:tcPr>
            <w:tcW w:w="217" w:type="dxa"/>
          </w:tcPr>
          <w:p w14:paraId="0B843804" w14:textId="77777777" w:rsidR="002C0FD9" w:rsidRPr="00CA25CF" w:rsidRDefault="002C0FD9" w:rsidP="00CA25CF">
            <w:pPr>
              <w:rPr>
                <w:rFonts w:cs="Arial"/>
                <w:color w:val="FF0000"/>
                <w:sz w:val="21"/>
                <w:szCs w:val="21"/>
              </w:rPr>
            </w:pPr>
          </w:p>
        </w:tc>
        <w:tc>
          <w:tcPr>
            <w:tcW w:w="217" w:type="dxa"/>
          </w:tcPr>
          <w:p w14:paraId="6A65B7BC" w14:textId="77777777" w:rsidR="002C0FD9" w:rsidRPr="00CA25CF" w:rsidRDefault="002C0FD9" w:rsidP="00CA25CF">
            <w:pPr>
              <w:rPr>
                <w:rFonts w:cs="Arial"/>
                <w:color w:val="FF0000"/>
                <w:sz w:val="21"/>
                <w:szCs w:val="21"/>
              </w:rPr>
            </w:pPr>
          </w:p>
        </w:tc>
        <w:tc>
          <w:tcPr>
            <w:tcW w:w="217" w:type="dxa"/>
          </w:tcPr>
          <w:p w14:paraId="5B468FAC" w14:textId="77777777" w:rsidR="002C0FD9" w:rsidRPr="00CA25CF" w:rsidRDefault="002C0FD9" w:rsidP="00CA25CF">
            <w:pPr>
              <w:rPr>
                <w:rFonts w:cs="Arial"/>
                <w:color w:val="FF0000"/>
                <w:sz w:val="21"/>
                <w:szCs w:val="21"/>
              </w:rPr>
            </w:pPr>
          </w:p>
        </w:tc>
        <w:tc>
          <w:tcPr>
            <w:tcW w:w="217" w:type="dxa"/>
          </w:tcPr>
          <w:p w14:paraId="3D02944C" w14:textId="77777777" w:rsidR="002C0FD9" w:rsidRPr="00CA25CF" w:rsidRDefault="002C0FD9" w:rsidP="00CA25CF">
            <w:pPr>
              <w:rPr>
                <w:rFonts w:cs="Arial"/>
                <w:color w:val="FF0000"/>
                <w:sz w:val="21"/>
                <w:szCs w:val="21"/>
              </w:rPr>
            </w:pPr>
          </w:p>
        </w:tc>
      </w:tr>
      <w:tr w:rsidR="002C0FD9" w:rsidRPr="00A16219" w14:paraId="55DC0246" w14:textId="069C06DC" w:rsidTr="002C0FD9">
        <w:trPr>
          <w:trHeight w:val="635"/>
        </w:trPr>
        <w:tc>
          <w:tcPr>
            <w:tcW w:w="515" w:type="dxa"/>
          </w:tcPr>
          <w:p w14:paraId="34919D74" w14:textId="77777777" w:rsidR="002C0FD9" w:rsidRPr="00CA25CF" w:rsidRDefault="002C0FD9" w:rsidP="00CA25CF">
            <w:pPr>
              <w:rPr>
                <w:rFonts w:cs="Arial"/>
                <w:color w:val="FF0000"/>
                <w:sz w:val="21"/>
                <w:szCs w:val="21"/>
              </w:rPr>
            </w:pPr>
          </w:p>
        </w:tc>
        <w:tc>
          <w:tcPr>
            <w:tcW w:w="217" w:type="dxa"/>
          </w:tcPr>
          <w:p w14:paraId="7330CD0F" w14:textId="77777777" w:rsidR="002C0FD9" w:rsidRPr="00CA25CF" w:rsidRDefault="002C0FD9" w:rsidP="00CA25CF">
            <w:pPr>
              <w:rPr>
                <w:rFonts w:cs="Arial"/>
                <w:color w:val="FF0000"/>
                <w:sz w:val="21"/>
                <w:szCs w:val="21"/>
              </w:rPr>
            </w:pPr>
          </w:p>
        </w:tc>
        <w:tc>
          <w:tcPr>
            <w:tcW w:w="217" w:type="dxa"/>
          </w:tcPr>
          <w:p w14:paraId="515240DC" w14:textId="6038841A" w:rsidR="002C0FD9" w:rsidRPr="00CA25CF" w:rsidRDefault="002C0FD9" w:rsidP="00CA25CF">
            <w:pPr>
              <w:rPr>
                <w:rFonts w:cs="Arial"/>
                <w:color w:val="FF0000"/>
                <w:sz w:val="21"/>
                <w:szCs w:val="21"/>
              </w:rPr>
            </w:pPr>
          </w:p>
        </w:tc>
        <w:tc>
          <w:tcPr>
            <w:tcW w:w="217" w:type="dxa"/>
          </w:tcPr>
          <w:p w14:paraId="5B8F09F8" w14:textId="77777777" w:rsidR="002C0FD9" w:rsidRPr="00CA25CF" w:rsidRDefault="002C0FD9" w:rsidP="00CA25CF">
            <w:pPr>
              <w:rPr>
                <w:rFonts w:cs="Arial"/>
                <w:color w:val="FF0000"/>
                <w:sz w:val="21"/>
                <w:szCs w:val="21"/>
              </w:rPr>
            </w:pPr>
          </w:p>
        </w:tc>
        <w:tc>
          <w:tcPr>
            <w:tcW w:w="217" w:type="dxa"/>
          </w:tcPr>
          <w:p w14:paraId="197E44F7" w14:textId="77777777" w:rsidR="002C0FD9" w:rsidRPr="00CA25CF" w:rsidRDefault="002C0FD9" w:rsidP="00CA25CF">
            <w:pPr>
              <w:rPr>
                <w:rFonts w:cs="Arial"/>
                <w:color w:val="FF0000"/>
                <w:sz w:val="21"/>
                <w:szCs w:val="21"/>
              </w:rPr>
            </w:pPr>
          </w:p>
        </w:tc>
        <w:tc>
          <w:tcPr>
            <w:tcW w:w="217" w:type="dxa"/>
          </w:tcPr>
          <w:p w14:paraId="1C28715A" w14:textId="77777777" w:rsidR="002C0FD9" w:rsidRPr="00CA25CF" w:rsidRDefault="002C0FD9" w:rsidP="00CA25CF">
            <w:pPr>
              <w:rPr>
                <w:rFonts w:cs="Arial"/>
                <w:color w:val="FF0000"/>
                <w:sz w:val="21"/>
                <w:szCs w:val="21"/>
              </w:rPr>
            </w:pPr>
          </w:p>
        </w:tc>
        <w:tc>
          <w:tcPr>
            <w:tcW w:w="217" w:type="dxa"/>
          </w:tcPr>
          <w:p w14:paraId="56915752" w14:textId="77777777" w:rsidR="002C0FD9" w:rsidRPr="00CA25CF" w:rsidRDefault="002C0FD9" w:rsidP="00CA25CF">
            <w:pPr>
              <w:rPr>
                <w:rFonts w:cs="Arial"/>
                <w:color w:val="FF0000"/>
                <w:sz w:val="21"/>
                <w:szCs w:val="21"/>
              </w:rPr>
            </w:pPr>
          </w:p>
        </w:tc>
        <w:tc>
          <w:tcPr>
            <w:tcW w:w="217" w:type="dxa"/>
          </w:tcPr>
          <w:p w14:paraId="20CFC586" w14:textId="77777777" w:rsidR="002C0FD9" w:rsidRPr="00CA25CF" w:rsidRDefault="002C0FD9" w:rsidP="00CA25CF">
            <w:pPr>
              <w:rPr>
                <w:rFonts w:cs="Arial"/>
                <w:color w:val="FF0000"/>
                <w:sz w:val="21"/>
                <w:szCs w:val="21"/>
              </w:rPr>
            </w:pPr>
          </w:p>
        </w:tc>
        <w:tc>
          <w:tcPr>
            <w:tcW w:w="217" w:type="dxa"/>
          </w:tcPr>
          <w:p w14:paraId="5DD96C43" w14:textId="77777777" w:rsidR="002C0FD9" w:rsidRPr="00CA25CF" w:rsidRDefault="002C0FD9" w:rsidP="00CA25CF">
            <w:pPr>
              <w:rPr>
                <w:rFonts w:cs="Arial"/>
                <w:color w:val="FF0000"/>
                <w:sz w:val="21"/>
                <w:szCs w:val="21"/>
              </w:rPr>
            </w:pPr>
          </w:p>
        </w:tc>
        <w:tc>
          <w:tcPr>
            <w:tcW w:w="217" w:type="dxa"/>
          </w:tcPr>
          <w:p w14:paraId="791B2439" w14:textId="77777777" w:rsidR="002C0FD9" w:rsidRPr="00CA25CF" w:rsidRDefault="002C0FD9" w:rsidP="00CA25CF">
            <w:pPr>
              <w:rPr>
                <w:rFonts w:cs="Arial"/>
                <w:color w:val="FF0000"/>
                <w:sz w:val="21"/>
                <w:szCs w:val="21"/>
              </w:rPr>
            </w:pPr>
          </w:p>
        </w:tc>
        <w:tc>
          <w:tcPr>
            <w:tcW w:w="217" w:type="dxa"/>
          </w:tcPr>
          <w:p w14:paraId="21498F67" w14:textId="77777777" w:rsidR="002C0FD9" w:rsidRPr="00CA25CF" w:rsidRDefault="002C0FD9" w:rsidP="00CA25CF">
            <w:pPr>
              <w:rPr>
                <w:rFonts w:cs="Arial"/>
                <w:color w:val="FF0000"/>
                <w:sz w:val="21"/>
                <w:szCs w:val="21"/>
              </w:rPr>
            </w:pPr>
          </w:p>
        </w:tc>
        <w:tc>
          <w:tcPr>
            <w:tcW w:w="217" w:type="dxa"/>
          </w:tcPr>
          <w:p w14:paraId="1E0F1D17" w14:textId="77777777" w:rsidR="002C0FD9" w:rsidRPr="00CA25CF" w:rsidRDefault="002C0FD9" w:rsidP="00CA25CF">
            <w:pPr>
              <w:rPr>
                <w:rFonts w:cs="Arial"/>
                <w:color w:val="FF0000"/>
                <w:sz w:val="21"/>
                <w:szCs w:val="21"/>
              </w:rPr>
            </w:pPr>
          </w:p>
        </w:tc>
        <w:tc>
          <w:tcPr>
            <w:tcW w:w="217" w:type="dxa"/>
          </w:tcPr>
          <w:p w14:paraId="44DBB773" w14:textId="77777777" w:rsidR="002C0FD9" w:rsidRPr="00CA25CF" w:rsidRDefault="002C0FD9" w:rsidP="00CA25CF">
            <w:pPr>
              <w:rPr>
                <w:rFonts w:cs="Arial"/>
                <w:color w:val="FF0000"/>
                <w:sz w:val="21"/>
                <w:szCs w:val="21"/>
              </w:rPr>
            </w:pPr>
          </w:p>
        </w:tc>
        <w:tc>
          <w:tcPr>
            <w:tcW w:w="217" w:type="dxa"/>
          </w:tcPr>
          <w:p w14:paraId="3C19842E" w14:textId="77777777" w:rsidR="002C0FD9" w:rsidRPr="00CA25CF" w:rsidRDefault="002C0FD9" w:rsidP="00CA25CF">
            <w:pPr>
              <w:rPr>
                <w:rFonts w:cs="Arial"/>
                <w:color w:val="FF0000"/>
                <w:sz w:val="21"/>
                <w:szCs w:val="21"/>
              </w:rPr>
            </w:pPr>
          </w:p>
        </w:tc>
        <w:tc>
          <w:tcPr>
            <w:tcW w:w="217" w:type="dxa"/>
          </w:tcPr>
          <w:p w14:paraId="39F0A48A" w14:textId="77777777" w:rsidR="002C0FD9" w:rsidRPr="00CA25CF" w:rsidRDefault="002C0FD9" w:rsidP="00CA25CF">
            <w:pPr>
              <w:rPr>
                <w:rFonts w:cs="Arial"/>
                <w:color w:val="FF0000"/>
                <w:sz w:val="21"/>
                <w:szCs w:val="21"/>
              </w:rPr>
            </w:pPr>
          </w:p>
        </w:tc>
        <w:tc>
          <w:tcPr>
            <w:tcW w:w="217" w:type="dxa"/>
          </w:tcPr>
          <w:p w14:paraId="5FE51514" w14:textId="77777777" w:rsidR="002C0FD9" w:rsidRPr="00CA25CF" w:rsidRDefault="002C0FD9" w:rsidP="00CA25CF">
            <w:pPr>
              <w:rPr>
                <w:rFonts w:cs="Arial"/>
                <w:color w:val="FF0000"/>
                <w:sz w:val="21"/>
                <w:szCs w:val="21"/>
              </w:rPr>
            </w:pPr>
          </w:p>
        </w:tc>
        <w:tc>
          <w:tcPr>
            <w:tcW w:w="217" w:type="dxa"/>
          </w:tcPr>
          <w:p w14:paraId="72667D06" w14:textId="77777777" w:rsidR="002C0FD9" w:rsidRPr="00CA25CF" w:rsidRDefault="002C0FD9" w:rsidP="00CA25CF">
            <w:pPr>
              <w:rPr>
                <w:rFonts w:cs="Arial"/>
                <w:color w:val="FF0000"/>
                <w:sz w:val="21"/>
                <w:szCs w:val="21"/>
              </w:rPr>
            </w:pPr>
          </w:p>
        </w:tc>
        <w:tc>
          <w:tcPr>
            <w:tcW w:w="217" w:type="dxa"/>
          </w:tcPr>
          <w:p w14:paraId="60D74A6F" w14:textId="77777777" w:rsidR="002C0FD9" w:rsidRPr="00CA25CF" w:rsidRDefault="002C0FD9" w:rsidP="00CA25CF">
            <w:pPr>
              <w:rPr>
                <w:rFonts w:cs="Arial"/>
                <w:color w:val="FF0000"/>
                <w:sz w:val="21"/>
                <w:szCs w:val="21"/>
              </w:rPr>
            </w:pPr>
          </w:p>
        </w:tc>
        <w:tc>
          <w:tcPr>
            <w:tcW w:w="217" w:type="dxa"/>
          </w:tcPr>
          <w:p w14:paraId="3E4F7CE2" w14:textId="77777777" w:rsidR="002C0FD9" w:rsidRPr="00CA25CF" w:rsidRDefault="002C0FD9" w:rsidP="00CA25CF">
            <w:pPr>
              <w:rPr>
                <w:rFonts w:cs="Arial"/>
                <w:color w:val="FF0000"/>
                <w:sz w:val="21"/>
                <w:szCs w:val="21"/>
              </w:rPr>
            </w:pPr>
          </w:p>
        </w:tc>
        <w:tc>
          <w:tcPr>
            <w:tcW w:w="217" w:type="dxa"/>
          </w:tcPr>
          <w:p w14:paraId="0A76CDE9" w14:textId="77777777" w:rsidR="002C0FD9" w:rsidRPr="00CA25CF" w:rsidRDefault="002C0FD9" w:rsidP="00CA25CF">
            <w:pPr>
              <w:rPr>
                <w:rFonts w:cs="Arial"/>
                <w:color w:val="FF0000"/>
                <w:sz w:val="21"/>
                <w:szCs w:val="21"/>
              </w:rPr>
            </w:pPr>
          </w:p>
        </w:tc>
        <w:tc>
          <w:tcPr>
            <w:tcW w:w="217" w:type="dxa"/>
          </w:tcPr>
          <w:p w14:paraId="0AC61507" w14:textId="77777777" w:rsidR="002C0FD9" w:rsidRPr="00CA25CF" w:rsidRDefault="002C0FD9" w:rsidP="00CA25CF">
            <w:pPr>
              <w:rPr>
                <w:rFonts w:cs="Arial"/>
                <w:color w:val="FF0000"/>
                <w:sz w:val="21"/>
                <w:szCs w:val="21"/>
              </w:rPr>
            </w:pPr>
          </w:p>
        </w:tc>
        <w:tc>
          <w:tcPr>
            <w:tcW w:w="217" w:type="dxa"/>
          </w:tcPr>
          <w:p w14:paraId="6C21558D" w14:textId="77777777" w:rsidR="002C0FD9" w:rsidRPr="00CA25CF" w:rsidRDefault="002C0FD9" w:rsidP="00CA25CF">
            <w:pPr>
              <w:rPr>
                <w:rFonts w:cs="Arial"/>
                <w:color w:val="FF0000"/>
                <w:sz w:val="21"/>
                <w:szCs w:val="21"/>
              </w:rPr>
            </w:pPr>
          </w:p>
        </w:tc>
        <w:tc>
          <w:tcPr>
            <w:tcW w:w="217" w:type="dxa"/>
          </w:tcPr>
          <w:p w14:paraId="2ABFEA42" w14:textId="77777777" w:rsidR="002C0FD9" w:rsidRPr="00CA25CF" w:rsidRDefault="002C0FD9" w:rsidP="00CA25CF">
            <w:pPr>
              <w:rPr>
                <w:rFonts w:cs="Arial"/>
                <w:color w:val="FF0000"/>
                <w:sz w:val="21"/>
                <w:szCs w:val="21"/>
              </w:rPr>
            </w:pPr>
          </w:p>
        </w:tc>
        <w:tc>
          <w:tcPr>
            <w:tcW w:w="217" w:type="dxa"/>
          </w:tcPr>
          <w:p w14:paraId="1F8AB2A1" w14:textId="77777777" w:rsidR="002C0FD9" w:rsidRPr="00CA25CF" w:rsidRDefault="002C0FD9" w:rsidP="00CA25CF">
            <w:pPr>
              <w:rPr>
                <w:rFonts w:cs="Arial"/>
                <w:color w:val="FF0000"/>
                <w:sz w:val="21"/>
                <w:szCs w:val="21"/>
              </w:rPr>
            </w:pPr>
          </w:p>
        </w:tc>
        <w:tc>
          <w:tcPr>
            <w:tcW w:w="217" w:type="dxa"/>
          </w:tcPr>
          <w:p w14:paraId="26F39D5C" w14:textId="77777777" w:rsidR="002C0FD9" w:rsidRPr="00CA25CF" w:rsidRDefault="002C0FD9" w:rsidP="00CA25CF">
            <w:pPr>
              <w:rPr>
                <w:rFonts w:cs="Arial"/>
                <w:color w:val="FF0000"/>
                <w:sz w:val="21"/>
                <w:szCs w:val="21"/>
              </w:rPr>
            </w:pPr>
          </w:p>
        </w:tc>
        <w:tc>
          <w:tcPr>
            <w:tcW w:w="217" w:type="dxa"/>
          </w:tcPr>
          <w:p w14:paraId="6AE8A836" w14:textId="77777777" w:rsidR="002C0FD9" w:rsidRPr="00CA25CF" w:rsidRDefault="002C0FD9" w:rsidP="00CA25CF">
            <w:pPr>
              <w:rPr>
                <w:rFonts w:cs="Arial"/>
                <w:color w:val="FF0000"/>
                <w:sz w:val="21"/>
                <w:szCs w:val="21"/>
              </w:rPr>
            </w:pPr>
          </w:p>
        </w:tc>
        <w:tc>
          <w:tcPr>
            <w:tcW w:w="217" w:type="dxa"/>
          </w:tcPr>
          <w:p w14:paraId="7A8A1EFE" w14:textId="77777777" w:rsidR="002C0FD9" w:rsidRPr="00CA25CF" w:rsidRDefault="002C0FD9" w:rsidP="00CA25CF">
            <w:pPr>
              <w:rPr>
                <w:rFonts w:cs="Arial"/>
                <w:color w:val="FF0000"/>
                <w:sz w:val="21"/>
                <w:szCs w:val="21"/>
              </w:rPr>
            </w:pPr>
          </w:p>
        </w:tc>
        <w:tc>
          <w:tcPr>
            <w:tcW w:w="217" w:type="dxa"/>
          </w:tcPr>
          <w:p w14:paraId="1FD3EE63" w14:textId="77777777" w:rsidR="002C0FD9" w:rsidRPr="00CA25CF" w:rsidRDefault="002C0FD9" w:rsidP="00CA25CF">
            <w:pPr>
              <w:rPr>
                <w:rFonts w:cs="Arial"/>
                <w:color w:val="FF0000"/>
                <w:sz w:val="21"/>
                <w:szCs w:val="21"/>
              </w:rPr>
            </w:pPr>
          </w:p>
        </w:tc>
        <w:tc>
          <w:tcPr>
            <w:tcW w:w="217" w:type="dxa"/>
          </w:tcPr>
          <w:p w14:paraId="206D0609" w14:textId="77777777" w:rsidR="002C0FD9" w:rsidRPr="00CA25CF" w:rsidRDefault="002C0FD9" w:rsidP="00CA25CF">
            <w:pPr>
              <w:rPr>
                <w:rFonts w:cs="Arial"/>
                <w:color w:val="FF0000"/>
                <w:sz w:val="21"/>
                <w:szCs w:val="21"/>
              </w:rPr>
            </w:pPr>
          </w:p>
        </w:tc>
        <w:tc>
          <w:tcPr>
            <w:tcW w:w="217" w:type="dxa"/>
          </w:tcPr>
          <w:p w14:paraId="118D5858" w14:textId="77777777" w:rsidR="002C0FD9" w:rsidRPr="00CA25CF" w:rsidRDefault="002C0FD9" w:rsidP="00CA25CF">
            <w:pPr>
              <w:rPr>
                <w:rFonts w:cs="Arial"/>
                <w:color w:val="FF0000"/>
                <w:sz w:val="21"/>
                <w:szCs w:val="21"/>
              </w:rPr>
            </w:pPr>
          </w:p>
        </w:tc>
        <w:tc>
          <w:tcPr>
            <w:tcW w:w="217" w:type="dxa"/>
          </w:tcPr>
          <w:p w14:paraId="7682EFF9" w14:textId="77777777" w:rsidR="002C0FD9" w:rsidRPr="00CA25CF" w:rsidRDefault="002C0FD9" w:rsidP="00CA25CF">
            <w:pPr>
              <w:rPr>
                <w:rFonts w:cs="Arial"/>
                <w:color w:val="FF0000"/>
                <w:sz w:val="21"/>
                <w:szCs w:val="21"/>
              </w:rPr>
            </w:pPr>
          </w:p>
        </w:tc>
        <w:tc>
          <w:tcPr>
            <w:tcW w:w="217" w:type="dxa"/>
          </w:tcPr>
          <w:p w14:paraId="183D12A7" w14:textId="77777777" w:rsidR="002C0FD9" w:rsidRPr="00CA25CF" w:rsidRDefault="002C0FD9" w:rsidP="00CA25CF">
            <w:pPr>
              <w:rPr>
                <w:rFonts w:cs="Arial"/>
                <w:color w:val="FF0000"/>
                <w:sz w:val="21"/>
                <w:szCs w:val="21"/>
              </w:rPr>
            </w:pPr>
          </w:p>
        </w:tc>
        <w:tc>
          <w:tcPr>
            <w:tcW w:w="217" w:type="dxa"/>
          </w:tcPr>
          <w:p w14:paraId="7A01596C" w14:textId="77777777" w:rsidR="002C0FD9" w:rsidRPr="00CA25CF" w:rsidRDefault="002C0FD9" w:rsidP="00CA25CF">
            <w:pPr>
              <w:rPr>
                <w:rFonts w:cs="Arial"/>
                <w:color w:val="FF0000"/>
                <w:sz w:val="21"/>
                <w:szCs w:val="21"/>
              </w:rPr>
            </w:pPr>
          </w:p>
        </w:tc>
        <w:tc>
          <w:tcPr>
            <w:tcW w:w="217" w:type="dxa"/>
          </w:tcPr>
          <w:p w14:paraId="20D06C63" w14:textId="77777777" w:rsidR="002C0FD9" w:rsidRPr="00CA25CF" w:rsidRDefault="002C0FD9" w:rsidP="00CA25CF">
            <w:pPr>
              <w:rPr>
                <w:rFonts w:cs="Arial"/>
                <w:color w:val="FF0000"/>
                <w:sz w:val="21"/>
                <w:szCs w:val="21"/>
              </w:rPr>
            </w:pPr>
          </w:p>
        </w:tc>
        <w:tc>
          <w:tcPr>
            <w:tcW w:w="217" w:type="dxa"/>
          </w:tcPr>
          <w:p w14:paraId="76DAD7DF" w14:textId="77777777" w:rsidR="002C0FD9" w:rsidRPr="00CA25CF" w:rsidRDefault="002C0FD9" w:rsidP="00CA25CF">
            <w:pPr>
              <w:rPr>
                <w:rFonts w:cs="Arial"/>
                <w:color w:val="FF0000"/>
                <w:sz w:val="21"/>
                <w:szCs w:val="21"/>
              </w:rPr>
            </w:pPr>
          </w:p>
        </w:tc>
        <w:tc>
          <w:tcPr>
            <w:tcW w:w="217" w:type="dxa"/>
          </w:tcPr>
          <w:p w14:paraId="449871E9" w14:textId="77777777" w:rsidR="002C0FD9" w:rsidRPr="00CA25CF" w:rsidRDefault="002C0FD9" w:rsidP="00CA25CF">
            <w:pPr>
              <w:rPr>
                <w:rFonts w:cs="Arial"/>
                <w:color w:val="FF0000"/>
                <w:sz w:val="21"/>
                <w:szCs w:val="21"/>
              </w:rPr>
            </w:pPr>
          </w:p>
        </w:tc>
        <w:tc>
          <w:tcPr>
            <w:tcW w:w="217" w:type="dxa"/>
          </w:tcPr>
          <w:p w14:paraId="2756C0B4" w14:textId="77777777" w:rsidR="002C0FD9" w:rsidRPr="00CA25CF" w:rsidRDefault="002C0FD9" w:rsidP="00CA25CF">
            <w:pPr>
              <w:rPr>
                <w:rFonts w:cs="Arial"/>
                <w:color w:val="FF0000"/>
                <w:sz w:val="21"/>
                <w:szCs w:val="21"/>
              </w:rPr>
            </w:pPr>
          </w:p>
        </w:tc>
        <w:tc>
          <w:tcPr>
            <w:tcW w:w="217" w:type="dxa"/>
          </w:tcPr>
          <w:p w14:paraId="462B70B0" w14:textId="77777777" w:rsidR="002C0FD9" w:rsidRPr="00CA25CF" w:rsidRDefault="002C0FD9" w:rsidP="00CA25CF">
            <w:pPr>
              <w:rPr>
                <w:rFonts w:cs="Arial"/>
                <w:color w:val="FF0000"/>
                <w:sz w:val="21"/>
                <w:szCs w:val="21"/>
              </w:rPr>
            </w:pPr>
          </w:p>
        </w:tc>
        <w:tc>
          <w:tcPr>
            <w:tcW w:w="217" w:type="dxa"/>
          </w:tcPr>
          <w:p w14:paraId="0B8EEBBA" w14:textId="77777777" w:rsidR="002C0FD9" w:rsidRPr="00CA25CF" w:rsidRDefault="002C0FD9" w:rsidP="00CA25CF">
            <w:pPr>
              <w:rPr>
                <w:rFonts w:cs="Arial"/>
                <w:color w:val="FF0000"/>
                <w:sz w:val="21"/>
                <w:szCs w:val="21"/>
              </w:rPr>
            </w:pPr>
          </w:p>
        </w:tc>
        <w:tc>
          <w:tcPr>
            <w:tcW w:w="217" w:type="dxa"/>
          </w:tcPr>
          <w:p w14:paraId="04F6059B" w14:textId="77777777" w:rsidR="002C0FD9" w:rsidRPr="00CA25CF" w:rsidRDefault="002C0FD9" w:rsidP="00CA25CF">
            <w:pPr>
              <w:rPr>
                <w:rFonts w:cs="Arial"/>
                <w:color w:val="FF0000"/>
                <w:sz w:val="21"/>
                <w:szCs w:val="21"/>
              </w:rPr>
            </w:pPr>
          </w:p>
        </w:tc>
        <w:tc>
          <w:tcPr>
            <w:tcW w:w="217" w:type="dxa"/>
          </w:tcPr>
          <w:p w14:paraId="6D41C646" w14:textId="77777777" w:rsidR="002C0FD9" w:rsidRPr="00CA25CF" w:rsidRDefault="002C0FD9" w:rsidP="00CA25CF">
            <w:pPr>
              <w:rPr>
                <w:rFonts w:cs="Arial"/>
                <w:color w:val="FF0000"/>
                <w:sz w:val="21"/>
                <w:szCs w:val="21"/>
              </w:rPr>
            </w:pPr>
          </w:p>
        </w:tc>
        <w:tc>
          <w:tcPr>
            <w:tcW w:w="217" w:type="dxa"/>
          </w:tcPr>
          <w:p w14:paraId="0F6069C3" w14:textId="77777777" w:rsidR="002C0FD9" w:rsidRPr="00CA25CF" w:rsidRDefault="002C0FD9" w:rsidP="00CA25CF">
            <w:pPr>
              <w:rPr>
                <w:rFonts w:cs="Arial"/>
                <w:color w:val="FF0000"/>
                <w:sz w:val="21"/>
                <w:szCs w:val="21"/>
              </w:rPr>
            </w:pPr>
          </w:p>
        </w:tc>
        <w:tc>
          <w:tcPr>
            <w:tcW w:w="217" w:type="dxa"/>
          </w:tcPr>
          <w:p w14:paraId="00C61AC3" w14:textId="77777777" w:rsidR="002C0FD9" w:rsidRPr="00CA25CF" w:rsidRDefault="002C0FD9" w:rsidP="00CA25CF">
            <w:pPr>
              <w:rPr>
                <w:rFonts w:cs="Arial"/>
                <w:color w:val="FF0000"/>
                <w:sz w:val="21"/>
                <w:szCs w:val="21"/>
              </w:rPr>
            </w:pPr>
          </w:p>
        </w:tc>
      </w:tr>
      <w:tr w:rsidR="002C0FD9" w:rsidRPr="00A16219" w14:paraId="5C3382F5" w14:textId="48E55F32" w:rsidTr="002C0FD9">
        <w:trPr>
          <w:trHeight w:val="635"/>
        </w:trPr>
        <w:tc>
          <w:tcPr>
            <w:tcW w:w="515" w:type="dxa"/>
          </w:tcPr>
          <w:p w14:paraId="7450219A" w14:textId="77777777" w:rsidR="002C0FD9" w:rsidRPr="00CA25CF" w:rsidRDefault="002C0FD9" w:rsidP="00CA25CF">
            <w:pPr>
              <w:rPr>
                <w:rFonts w:cs="Arial"/>
                <w:color w:val="FF0000"/>
                <w:sz w:val="21"/>
                <w:szCs w:val="21"/>
              </w:rPr>
            </w:pPr>
          </w:p>
        </w:tc>
        <w:tc>
          <w:tcPr>
            <w:tcW w:w="217" w:type="dxa"/>
          </w:tcPr>
          <w:p w14:paraId="10FA733C" w14:textId="77777777" w:rsidR="002C0FD9" w:rsidRPr="00CA25CF" w:rsidRDefault="002C0FD9" w:rsidP="00CA25CF">
            <w:pPr>
              <w:rPr>
                <w:rFonts w:cs="Arial"/>
                <w:color w:val="FF0000"/>
                <w:sz w:val="21"/>
                <w:szCs w:val="21"/>
              </w:rPr>
            </w:pPr>
          </w:p>
        </w:tc>
        <w:tc>
          <w:tcPr>
            <w:tcW w:w="217" w:type="dxa"/>
          </w:tcPr>
          <w:p w14:paraId="4125F98C" w14:textId="41E889C7" w:rsidR="002C0FD9" w:rsidRPr="00CA25CF" w:rsidRDefault="002C0FD9" w:rsidP="00CA25CF">
            <w:pPr>
              <w:rPr>
                <w:rFonts w:cs="Arial"/>
                <w:color w:val="FF0000"/>
                <w:sz w:val="21"/>
                <w:szCs w:val="21"/>
              </w:rPr>
            </w:pPr>
          </w:p>
        </w:tc>
        <w:tc>
          <w:tcPr>
            <w:tcW w:w="217" w:type="dxa"/>
          </w:tcPr>
          <w:p w14:paraId="68E33936" w14:textId="77777777" w:rsidR="002C0FD9" w:rsidRPr="00CA25CF" w:rsidRDefault="002C0FD9" w:rsidP="00CA25CF">
            <w:pPr>
              <w:rPr>
                <w:rFonts w:cs="Arial"/>
                <w:color w:val="FF0000"/>
                <w:sz w:val="21"/>
                <w:szCs w:val="21"/>
              </w:rPr>
            </w:pPr>
          </w:p>
        </w:tc>
        <w:tc>
          <w:tcPr>
            <w:tcW w:w="217" w:type="dxa"/>
          </w:tcPr>
          <w:p w14:paraId="7016C626" w14:textId="77777777" w:rsidR="002C0FD9" w:rsidRPr="00CA25CF" w:rsidRDefault="002C0FD9" w:rsidP="00CA25CF">
            <w:pPr>
              <w:rPr>
                <w:rFonts w:cs="Arial"/>
                <w:color w:val="FF0000"/>
                <w:sz w:val="21"/>
                <w:szCs w:val="21"/>
              </w:rPr>
            </w:pPr>
          </w:p>
        </w:tc>
        <w:tc>
          <w:tcPr>
            <w:tcW w:w="217" w:type="dxa"/>
          </w:tcPr>
          <w:p w14:paraId="34BC9179" w14:textId="77777777" w:rsidR="002C0FD9" w:rsidRPr="00CA25CF" w:rsidRDefault="002C0FD9" w:rsidP="00CA25CF">
            <w:pPr>
              <w:rPr>
                <w:rFonts w:cs="Arial"/>
                <w:color w:val="FF0000"/>
                <w:sz w:val="21"/>
                <w:szCs w:val="21"/>
              </w:rPr>
            </w:pPr>
          </w:p>
        </w:tc>
        <w:tc>
          <w:tcPr>
            <w:tcW w:w="217" w:type="dxa"/>
          </w:tcPr>
          <w:p w14:paraId="41259790" w14:textId="77777777" w:rsidR="002C0FD9" w:rsidRPr="00CA25CF" w:rsidRDefault="002C0FD9" w:rsidP="00CA25CF">
            <w:pPr>
              <w:rPr>
                <w:rFonts w:cs="Arial"/>
                <w:color w:val="FF0000"/>
                <w:sz w:val="21"/>
                <w:szCs w:val="21"/>
              </w:rPr>
            </w:pPr>
          </w:p>
        </w:tc>
        <w:tc>
          <w:tcPr>
            <w:tcW w:w="217" w:type="dxa"/>
          </w:tcPr>
          <w:p w14:paraId="5A344986" w14:textId="77777777" w:rsidR="002C0FD9" w:rsidRPr="00CA25CF" w:rsidRDefault="002C0FD9" w:rsidP="00CA25CF">
            <w:pPr>
              <w:rPr>
                <w:rFonts w:cs="Arial"/>
                <w:color w:val="FF0000"/>
                <w:sz w:val="21"/>
                <w:szCs w:val="21"/>
              </w:rPr>
            </w:pPr>
          </w:p>
        </w:tc>
        <w:tc>
          <w:tcPr>
            <w:tcW w:w="217" w:type="dxa"/>
          </w:tcPr>
          <w:p w14:paraId="22F58E32" w14:textId="77777777" w:rsidR="002C0FD9" w:rsidRPr="00CA25CF" w:rsidRDefault="002C0FD9" w:rsidP="00CA25CF">
            <w:pPr>
              <w:rPr>
                <w:rFonts w:cs="Arial"/>
                <w:color w:val="FF0000"/>
                <w:sz w:val="21"/>
                <w:szCs w:val="21"/>
              </w:rPr>
            </w:pPr>
          </w:p>
        </w:tc>
        <w:tc>
          <w:tcPr>
            <w:tcW w:w="217" w:type="dxa"/>
          </w:tcPr>
          <w:p w14:paraId="415CD8F3" w14:textId="77777777" w:rsidR="002C0FD9" w:rsidRPr="00CA25CF" w:rsidRDefault="002C0FD9" w:rsidP="00CA25CF">
            <w:pPr>
              <w:rPr>
                <w:rFonts w:cs="Arial"/>
                <w:color w:val="FF0000"/>
                <w:sz w:val="21"/>
                <w:szCs w:val="21"/>
              </w:rPr>
            </w:pPr>
          </w:p>
        </w:tc>
        <w:tc>
          <w:tcPr>
            <w:tcW w:w="217" w:type="dxa"/>
          </w:tcPr>
          <w:p w14:paraId="21FBB261" w14:textId="77777777" w:rsidR="002C0FD9" w:rsidRPr="00CA25CF" w:rsidRDefault="002C0FD9" w:rsidP="00CA25CF">
            <w:pPr>
              <w:rPr>
                <w:rFonts w:cs="Arial"/>
                <w:color w:val="FF0000"/>
                <w:sz w:val="21"/>
                <w:szCs w:val="21"/>
              </w:rPr>
            </w:pPr>
          </w:p>
        </w:tc>
        <w:tc>
          <w:tcPr>
            <w:tcW w:w="217" w:type="dxa"/>
          </w:tcPr>
          <w:p w14:paraId="4FF6ED62" w14:textId="77777777" w:rsidR="002C0FD9" w:rsidRPr="00CA25CF" w:rsidRDefault="002C0FD9" w:rsidP="00CA25CF">
            <w:pPr>
              <w:rPr>
                <w:rFonts w:cs="Arial"/>
                <w:color w:val="FF0000"/>
                <w:sz w:val="21"/>
                <w:szCs w:val="21"/>
              </w:rPr>
            </w:pPr>
          </w:p>
        </w:tc>
        <w:tc>
          <w:tcPr>
            <w:tcW w:w="217" w:type="dxa"/>
          </w:tcPr>
          <w:p w14:paraId="4EFDA0A4" w14:textId="77777777" w:rsidR="002C0FD9" w:rsidRPr="00CA25CF" w:rsidRDefault="002C0FD9" w:rsidP="00CA25CF">
            <w:pPr>
              <w:rPr>
                <w:rFonts w:cs="Arial"/>
                <w:color w:val="FF0000"/>
                <w:sz w:val="21"/>
                <w:szCs w:val="21"/>
              </w:rPr>
            </w:pPr>
          </w:p>
        </w:tc>
        <w:tc>
          <w:tcPr>
            <w:tcW w:w="217" w:type="dxa"/>
          </w:tcPr>
          <w:p w14:paraId="73089DD3" w14:textId="77777777" w:rsidR="002C0FD9" w:rsidRPr="00CA25CF" w:rsidRDefault="002C0FD9" w:rsidP="00CA25CF">
            <w:pPr>
              <w:rPr>
                <w:rFonts w:cs="Arial"/>
                <w:color w:val="FF0000"/>
                <w:sz w:val="21"/>
                <w:szCs w:val="21"/>
              </w:rPr>
            </w:pPr>
          </w:p>
        </w:tc>
        <w:tc>
          <w:tcPr>
            <w:tcW w:w="217" w:type="dxa"/>
          </w:tcPr>
          <w:p w14:paraId="2C9B9739" w14:textId="77777777" w:rsidR="002C0FD9" w:rsidRPr="00CA25CF" w:rsidRDefault="002C0FD9" w:rsidP="00CA25CF">
            <w:pPr>
              <w:rPr>
                <w:rFonts w:cs="Arial"/>
                <w:color w:val="FF0000"/>
                <w:sz w:val="21"/>
                <w:szCs w:val="21"/>
              </w:rPr>
            </w:pPr>
          </w:p>
        </w:tc>
        <w:tc>
          <w:tcPr>
            <w:tcW w:w="217" w:type="dxa"/>
          </w:tcPr>
          <w:p w14:paraId="68052B03" w14:textId="77777777" w:rsidR="002C0FD9" w:rsidRPr="00CA25CF" w:rsidRDefault="002C0FD9" w:rsidP="00CA25CF">
            <w:pPr>
              <w:rPr>
                <w:rFonts w:cs="Arial"/>
                <w:color w:val="FF0000"/>
                <w:sz w:val="21"/>
                <w:szCs w:val="21"/>
              </w:rPr>
            </w:pPr>
          </w:p>
        </w:tc>
        <w:tc>
          <w:tcPr>
            <w:tcW w:w="217" w:type="dxa"/>
          </w:tcPr>
          <w:p w14:paraId="295012F8" w14:textId="77777777" w:rsidR="002C0FD9" w:rsidRPr="00CA25CF" w:rsidRDefault="002C0FD9" w:rsidP="00CA25CF">
            <w:pPr>
              <w:rPr>
                <w:rFonts w:cs="Arial"/>
                <w:color w:val="FF0000"/>
                <w:sz w:val="21"/>
                <w:szCs w:val="21"/>
              </w:rPr>
            </w:pPr>
          </w:p>
        </w:tc>
        <w:tc>
          <w:tcPr>
            <w:tcW w:w="217" w:type="dxa"/>
          </w:tcPr>
          <w:p w14:paraId="7FF477C0" w14:textId="77777777" w:rsidR="002C0FD9" w:rsidRPr="00CA25CF" w:rsidRDefault="002C0FD9" w:rsidP="00CA25CF">
            <w:pPr>
              <w:rPr>
                <w:rFonts w:cs="Arial"/>
                <w:color w:val="FF0000"/>
                <w:sz w:val="21"/>
                <w:szCs w:val="21"/>
              </w:rPr>
            </w:pPr>
          </w:p>
        </w:tc>
        <w:tc>
          <w:tcPr>
            <w:tcW w:w="217" w:type="dxa"/>
          </w:tcPr>
          <w:p w14:paraId="60A301C6" w14:textId="77777777" w:rsidR="002C0FD9" w:rsidRPr="00CA25CF" w:rsidRDefault="002C0FD9" w:rsidP="00CA25CF">
            <w:pPr>
              <w:rPr>
                <w:rFonts w:cs="Arial"/>
                <w:color w:val="FF0000"/>
                <w:sz w:val="21"/>
                <w:szCs w:val="21"/>
              </w:rPr>
            </w:pPr>
          </w:p>
        </w:tc>
        <w:tc>
          <w:tcPr>
            <w:tcW w:w="217" w:type="dxa"/>
          </w:tcPr>
          <w:p w14:paraId="688800E3" w14:textId="77777777" w:rsidR="002C0FD9" w:rsidRPr="00CA25CF" w:rsidRDefault="002C0FD9" w:rsidP="00CA25CF">
            <w:pPr>
              <w:rPr>
                <w:rFonts w:cs="Arial"/>
                <w:color w:val="FF0000"/>
                <w:sz w:val="21"/>
                <w:szCs w:val="21"/>
              </w:rPr>
            </w:pPr>
          </w:p>
        </w:tc>
        <w:tc>
          <w:tcPr>
            <w:tcW w:w="217" w:type="dxa"/>
          </w:tcPr>
          <w:p w14:paraId="4496FD40" w14:textId="77777777" w:rsidR="002C0FD9" w:rsidRPr="00CA25CF" w:rsidRDefault="002C0FD9" w:rsidP="00CA25CF">
            <w:pPr>
              <w:rPr>
                <w:rFonts w:cs="Arial"/>
                <w:color w:val="FF0000"/>
                <w:sz w:val="21"/>
                <w:szCs w:val="21"/>
              </w:rPr>
            </w:pPr>
          </w:p>
        </w:tc>
        <w:tc>
          <w:tcPr>
            <w:tcW w:w="217" w:type="dxa"/>
          </w:tcPr>
          <w:p w14:paraId="6F7E5298" w14:textId="77777777" w:rsidR="002C0FD9" w:rsidRPr="00CA25CF" w:rsidRDefault="002C0FD9" w:rsidP="00CA25CF">
            <w:pPr>
              <w:rPr>
                <w:rFonts w:cs="Arial"/>
                <w:color w:val="FF0000"/>
                <w:sz w:val="21"/>
                <w:szCs w:val="21"/>
              </w:rPr>
            </w:pPr>
          </w:p>
        </w:tc>
        <w:tc>
          <w:tcPr>
            <w:tcW w:w="217" w:type="dxa"/>
          </w:tcPr>
          <w:p w14:paraId="2281D59C" w14:textId="77777777" w:rsidR="002C0FD9" w:rsidRPr="00CA25CF" w:rsidRDefault="002C0FD9" w:rsidP="00CA25CF">
            <w:pPr>
              <w:rPr>
                <w:rFonts w:cs="Arial"/>
                <w:color w:val="FF0000"/>
                <w:sz w:val="21"/>
                <w:szCs w:val="21"/>
              </w:rPr>
            </w:pPr>
          </w:p>
        </w:tc>
        <w:tc>
          <w:tcPr>
            <w:tcW w:w="217" w:type="dxa"/>
          </w:tcPr>
          <w:p w14:paraId="69EC9058" w14:textId="77777777" w:rsidR="002C0FD9" w:rsidRPr="00CA25CF" w:rsidRDefault="002C0FD9" w:rsidP="00CA25CF">
            <w:pPr>
              <w:rPr>
                <w:rFonts w:cs="Arial"/>
                <w:color w:val="FF0000"/>
                <w:sz w:val="21"/>
                <w:szCs w:val="21"/>
              </w:rPr>
            </w:pPr>
          </w:p>
        </w:tc>
        <w:tc>
          <w:tcPr>
            <w:tcW w:w="217" w:type="dxa"/>
          </w:tcPr>
          <w:p w14:paraId="336A7588" w14:textId="77777777" w:rsidR="002C0FD9" w:rsidRPr="00CA25CF" w:rsidRDefault="002C0FD9" w:rsidP="00CA25CF">
            <w:pPr>
              <w:rPr>
                <w:rFonts w:cs="Arial"/>
                <w:color w:val="FF0000"/>
                <w:sz w:val="21"/>
                <w:szCs w:val="21"/>
              </w:rPr>
            </w:pPr>
          </w:p>
        </w:tc>
        <w:tc>
          <w:tcPr>
            <w:tcW w:w="217" w:type="dxa"/>
          </w:tcPr>
          <w:p w14:paraId="162BBC06" w14:textId="77777777" w:rsidR="002C0FD9" w:rsidRPr="00CA25CF" w:rsidRDefault="002C0FD9" w:rsidP="00CA25CF">
            <w:pPr>
              <w:rPr>
                <w:rFonts w:cs="Arial"/>
                <w:color w:val="FF0000"/>
                <w:sz w:val="21"/>
                <w:szCs w:val="21"/>
              </w:rPr>
            </w:pPr>
          </w:p>
        </w:tc>
        <w:tc>
          <w:tcPr>
            <w:tcW w:w="217" w:type="dxa"/>
          </w:tcPr>
          <w:p w14:paraId="26D8EEF3" w14:textId="77777777" w:rsidR="002C0FD9" w:rsidRPr="00CA25CF" w:rsidRDefault="002C0FD9" w:rsidP="00CA25CF">
            <w:pPr>
              <w:rPr>
                <w:rFonts w:cs="Arial"/>
                <w:color w:val="FF0000"/>
                <w:sz w:val="21"/>
                <w:szCs w:val="21"/>
              </w:rPr>
            </w:pPr>
          </w:p>
        </w:tc>
        <w:tc>
          <w:tcPr>
            <w:tcW w:w="217" w:type="dxa"/>
          </w:tcPr>
          <w:p w14:paraId="6B539FAA" w14:textId="77777777" w:rsidR="002C0FD9" w:rsidRPr="00CA25CF" w:rsidRDefault="002C0FD9" w:rsidP="00CA25CF">
            <w:pPr>
              <w:rPr>
                <w:rFonts w:cs="Arial"/>
                <w:color w:val="FF0000"/>
                <w:sz w:val="21"/>
                <w:szCs w:val="21"/>
              </w:rPr>
            </w:pPr>
          </w:p>
        </w:tc>
        <w:tc>
          <w:tcPr>
            <w:tcW w:w="217" w:type="dxa"/>
          </w:tcPr>
          <w:p w14:paraId="0221303A" w14:textId="77777777" w:rsidR="002C0FD9" w:rsidRPr="00CA25CF" w:rsidRDefault="002C0FD9" w:rsidP="00CA25CF">
            <w:pPr>
              <w:rPr>
                <w:rFonts w:cs="Arial"/>
                <w:color w:val="FF0000"/>
                <w:sz w:val="21"/>
                <w:szCs w:val="21"/>
              </w:rPr>
            </w:pPr>
          </w:p>
        </w:tc>
        <w:tc>
          <w:tcPr>
            <w:tcW w:w="217" w:type="dxa"/>
          </w:tcPr>
          <w:p w14:paraId="4E43D119" w14:textId="77777777" w:rsidR="002C0FD9" w:rsidRPr="00CA25CF" w:rsidRDefault="002C0FD9" w:rsidP="00CA25CF">
            <w:pPr>
              <w:rPr>
                <w:rFonts w:cs="Arial"/>
                <w:color w:val="FF0000"/>
                <w:sz w:val="21"/>
                <w:szCs w:val="21"/>
              </w:rPr>
            </w:pPr>
          </w:p>
        </w:tc>
        <w:tc>
          <w:tcPr>
            <w:tcW w:w="217" w:type="dxa"/>
          </w:tcPr>
          <w:p w14:paraId="1AB9967C" w14:textId="77777777" w:rsidR="002C0FD9" w:rsidRPr="00CA25CF" w:rsidRDefault="002C0FD9" w:rsidP="00CA25CF">
            <w:pPr>
              <w:rPr>
                <w:rFonts w:cs="Arial"/>
                <w:color w:val="FF0000"/>
                <w:sz w:val="21"/>
                <w:szCs w:val="21"/>
              </w:rPr>
            </w:pPr>
          </w:p>
        </w:tc>
        <w:tc>
          <w:tcPr>
            <w:tcW w:w="217" w:type="dxa"/>
          </w:tcPr>
          <w:p w14:paraId="5CCEDAD4" w14:textId="77777777" w:rsidR="002C0FD9" w:rsidRPr="00CA25CF" w:rsidRDefault="002C0FD9" w:rsidP="00CA25CF">
            <w:pPr>
              <w:rPr>
                <w:rFonts w:cs="Arial"/>
                <w:color w:val="FF0000"/>
                <w:sz w:val="21"/>
                <w:szCs w:val="21"/>
              </w:rPr>
            </w:pPr>
          </w:p>
        </w:tc>
        <w:tc>
          <w:tcPr>
            <w:tcW w:w="217" w:type="dxa"/>
          </w:tcPr>
          <w:p w14:paraId="06ADD14F" w14:textId="77777777" w:rsidR="002C0FD9" w:rsidRPr="00CA25CF" w:rsidRDefault="002C0FD9" w:rsidP="00CA25CF">
            <w:pPr>
              <w:rPr>
                <w:rFonts w:cs="Arial"/>
                <w:color w:val="FF0000"/>
                <w:sz w:val="21"/>
                <w:szCs w:val="21"/>
              </w:rPr>
            </w:pPr>
          </w:p>
        </w:tc>
        <w:tc>
          <w:tcPr>
            <w:tcW w:w="217" w:type="dxa"/>
          </w:tcPr>
          <w:p w14:paraId="55437274" w14:textId="77777777" w:rsidR="002C0FD9" w:rsidRPr="00CA25CF" w:rsidRDefault="002C0FD9" w:rsidP="00CA25CF">
            <w:pPr>
              <w:rPr>
                <w:rFonts w:cs="Arial"/>
                <w:color w:val="FF0000"/>
                <w:sz w:val="21"/>
                <w:szCs w:val="21"/>
              </w:rPr>
            </w:pPr>
          </w:p>
        </w:tc>
        <w:tc>
          <w:tcPr>
            <w:tcW w:w="217" w:type="dxa"/>
          </w:tcPr>
          <w:p w14:paraId="178AB32B" w14:textId="77777777" w:rsidR="002C0FD9" w:rsidRPr="00CA25CF" w:rsidRDefault="002C0FD9" w:rsidP="00CA25CF">
            <w:pPr>
              <w:rPr>
                <w:rFonts w:cs="Arial"/>
                <w:color w:val="FF0000"/>
                <w:sz w:val="21"/>
                <w:szCs w:val="21"/>
              </w:rPr>
            </w:pPr>
          </w:p>
        </w:tc>
        <w:tc>
          <w:tcPr>
            <w:tcW w:w="217" w:type="dxa"/>
          </w:tcPr>
          <w:p w14:paraId="3F084918" w14:textId="77777777" w:rsidR="002C0FD9" w:rsidRPr="00CA25CF" w:rsidRDefault="002C0FD9" w:rsidP="00CA25CF">
            <w:pPr>
              <w:rPr>
                <w:rFonts w:cs="Arial"/>
                <w:color w:val="FF0000"/>
                <w:sz w:val="21"/>
                <w:szCs w:val="21"/>
              </w:rPr>
            </w:pPr>
          </w:p>
        </w:tc>
        <w:tc>
          <w:tcPr>
            <w:tcW w:w="217" w:type="dxa"/>
          </w:tcPr>
          <w:p w14:paraId="3BE8FAB5" w14:textId="77777777" w:rsidR="002C0FD9" w:rsidRPr="00CA25CF" w:rsidRDefault="002C0FD9" w:rsidP="00CA25CF">
            <w:pPr>
              <w:rPr>
                <w:rFonts w:cs="Arial"/>
                <w:color w:val="FF0000"/>
                <w:sz w:val="21"/>
                <w:szCs w:val="21"/>
              </w:rPr>
            </w:pPr>
          </w:p>
        </w:tc>
        <w:tc>
          <w:tcPr>
            <w:tcW w:w="217" w:type="dxa"/>
          </w:tcPr>
          <w:p w14:paraId="73E6B530" w14:textId="77777777" w:rsidR="002C0FD9" w:rsidRPr="00CA25CF" w:rsidRDefault="002C0FD9" w:rsidP="00CA25CF">
            <w:pPr>
              <w:rPr>
                <w:rFonts w:cs="Arial"/>
                <w:color w:val="FF0000"/>
                <w:sz w:val="21"/>
                <w:szCs w:val="21"/>
              </w:rPr>
            </w:pPr>
          </w:p>
        </w:tc>
        <w:tc>
          <w:tcPr>
            <w:tcW w:w="217" w:type="dxa"/>
          </w:tcPr>
          <w:p w14:paraId="74C1DE8E" w14:textId="77777777" w:rsidR="002C0FD9" w:rsidRPr="00CA25CF" w:rsidRDefault="002C0FD9" w:rsidP="00CA25CF">
            <w:pPr>
              <w:rPr>
                <w:rFonts w:cs="Arial"/>
                <w:color w:val="FF0000"/>
                <w:sz w:val="21"/>
                <w:szCs w:val="21"/>
              </w:rPr>
            </w:pPr>
          </w:p>
        </w:tc>
        <w:tc>
          <w:tcPr>
            <w:tcW w:w="217" w:type="dxa"/>
          </w:tcPr>
          <w:p w14:paraId="4C83F1FC" w14:textId="77777777" w:rsidR="002C0FD9" w:rsidRPr="00CA25CF" w:rsidRDefault="002C0FD9" w:rsidP="00CA25CF">
            <w:pPr>
              <w:rPr>
                <w:rFonts w:cs="Arial"/>
                <w:color w:val="FF0000"/>
                <w:sz w:val="21"/>
                <w:szCs w:val="21"/>
              </w:rPr>
            </w:pPr>
          </w:p>
        </w:tc>
        <w:tc>
          <w:tcPr>
            <w:tcW w:w="217" w:type="dxa"/>
          </w:tcPr>
          <w:p w14:paraId="7CE728E2" w14:textId="77777777" w:rsidR="002C0FD9" w:rsidRPr="00CA25CF" w:rsidRDefault="002C0FD9" w:rsidP="00CA25CF">
            <w:pPr>
              <w:rPr>
                <w:rFonts w:cs="Arial"/>
                <w:color w:val="FF0000"/>
                <w:sz w:val="21"/>
                <w:szCs w:val="21"/>
              </w:rPr>
            </w:pPr>
          </w:p>
        </w:tc>
        <w:tc>
          <w:tcPr>
            <w:tcW w:w="217" w:type="dxa"/>
          </w:tcPr>
          <w:p w14:paraId="4B186C39" w14:textId="77777777" w:rsidR="002C0FD9" w:rsidRPr="00CA25CF" w:rsidRDefault="002C0FD9" w:rsidP="00CA25CF">
            <w:pPr>
              <w:rPr>
                <w:rFonts w:cs="Arial"/>
                <w:color w:val="FF0000"/>
                <w:sz w:val="21"/>
                <w:szCs w:val="21"/>
              </w:rPr>
            </w:pPr>
          </w:p>
        </w:tc>
        <w:tc>
          <w:tcPr>
            <w:tcW w:w="217" w:type="dxa"/>
          </w:tcPr>
          <w:p w14:paraId="02FCA5CC" w14:textId="77777777" w:rsidR="002C0FD9" w:rsidRPr="00CA25CF" w:rsidRDefault="002C0FD9" w:rsidP="00CA25CF">
            <w:pPr>
              <w:rPr>
                <w:rFonts w:cs="Arial"/>
                <w:color w:val="FF0000"/>
                <w:sz w:val="21"/>
                <w:szCs w:val="21"/>
              </w:rPr>
            </w:pPr>
          </w:p>
        </w:tc>
      </w:tr>
      <w:tr w:rsidR="002C0FD9" w:rsidRPr="00A16219" w14:paraId="20E665DB" w14:textId="0CCBC389" w:rsidTr="002C0FD9">
        <w:trPr>
          <w:trHeight w:val="635"/>
        </w:trPr>
        <w:tc>
          <w:tcPr>
            <w:tcW w:w="515" w:type="dxa"/>
          </w:tcPr>
          <w:p w14:paraId="3F33E6DE" w14:textId="77777777" w:rsidR="002C0FD9" w:rsidRPr="00CA25CF" w:rsidRDefault="002C0FD9" w:rsidP="00CA25CF">
            <w:pPr>
              <w:rPr>
                <w:rFonts w:cs="Arial"/>
                <w:color w:val="FF0000"/>
                <w:sz w:val="21"/>
                <w:szCs w:val="21"/>
              </w:rPr>
            </w:pPr>
          </w:p>
        </w:tc>
        <w:tc>
          <w:tcPr>
            <w:tcW w:w="217" w:type="dxa"/>
          </w:tcPr>
          <w:p w14:paraId="5F29C7A8" w14:textId="77777777" w:rsidR="002C0FD9" w:rsidRPr="00CA25CF" w:rsidRDefault="002C0FD9" w:rsidP="00CA25CF">
            <w:pPr>
              <w:rPr>
                <w:rFonts w:cs="Arial"/>
                <w:color w:val="FF0000"/>
                <w:sz w:val="21"/>
                <w:szCs w:val="21"/>
              </w:rPr>
            </w:pPr>
          </w:p>
        </w:tc>
        <w:tc>
          <w:tcPr>
            <w:tcW w:w="217" w:type="dxa"/>
          </w:tcPr>
          <w:p w14:paraId="452CA1C6" w14:textId="06D2C705" w:rsidR="002C0FD9" w:rsidRPr="00CA25CF" w:rsidRDefault="002C0FD9" w:rsidP="00CA25CF">
            <w:pPr>
              <w:rPr>
                <w:rFonts w:cs="Arial"/>
                <w:color w:val="FF0000"/>
                <w:sz w:val="21"/>
                <w:szCs w:val="21"/>
              </w:rPr>
            </w:pPr>
          </w:p>
        </w:tc>
        <w:tc>
          <w:tcPr>
            <w:tcW w:w="217" w:type="dxa"/>
          </w:tcPr>
          <w:p w14:paraId="5C46FB93" w14:textId="77777777" w:rsidR="002C0FD9" w:rsidRPr="00CA25CF" w:rsidRDefault="002C0FD9" w:rsidP="00CA25CF">
            <w:pPr>
              <w:rPr>
                <w:rFonts w:cs="Arial"/>
                <w:color w:val="FF0000"/>
                <w:sz w:val="21"/>
                <w:szCs w:val="21"/>
              </w:rPr>
            </w:pPr>
          </w:p>
        </w:tc>
        <w:tc>
          <w:tcPr>
            <w:tcW w:w="217" w:type="dxa"/>
          </w:tcPr>
          <w:p w14:paraId="2A2E1DA8" w14:textId="77777777" w:rsidR="002C0FD9" w:rsidRPr="00CA25CF" w:rsidRDefault="002C0FD9" w:rsidP="00CA25CF">
            <w:pPr>
              <w:rPr>
                <w:rFonts w:cs="Arial"/>
                <w:color w:val="FF0000"/>
                <w:sz w:val="21"/>
                <w:szCs w:val="21"/>
              </w:rPr>
            </w:pPr>
          </w:p>
        </w:tc>
        <w:tc>
          <w:tcPr>
            <w:tcW w:w="217" w:type="dxa"/>
          </w:tcPr>
          <w:p w14:paraId="4634750C" w14:textId="77777777" w:rsidR="002C0FD9" w:rsidRPr="00CA25CF" w:rsidRDefault="002C0FD9" w:rsidP="00CA25CF">
            <w:pPr>
              <w:rPr>
                <w:rFonts w:cs="Arial"/>
                <w:color w:val="FF0000"/>
                <w:sz w:val="21"/>
                <w:szCs w:val="21"/>
              </w:rPr>
            </w:pPr>
          </w:p>
        </w:tc>
        <w:tc>
          <w:tcPr>
            <w:tcW w:w="217" w:type="dxa"/>
          </w:tcPr>
          <w:p w14:paraId="657B1DFB" w14:textId="77777777" w:rsidR="002C0FD9" w:rsidRPr="00CA25CF" w:rsidRDefault="002C0FD9" w:rsidP="00CA25CF">
            <w:pPr>
              <w:rPr>
                <w:rFonts w:cs="Arial"/>
                <w:color w:val="FF0000"/>
                <w:sz w:val="21"/>
                <w:szCs w:val="21"/>
              </w:rPr>
            </w:pPr>
          </w:p>
        </w:tc>
        <w:tc>
          <w:tcPr>
            <w:tcW w:w="217" w:type="dxa"/>
          </w:tcPr>
          <w:p w14:paraId="3F3A111B" w14:textId="77777777" w:rsidR="002C0FD9" w:rsidRPr="00CA25CF" w:rsidRDefault="002C0FD9" w:rsidP="00CA25CF">
            <w:pPr>
              <w:rPr>
                <w:rFonts w:cs="Arial"/>
                <w:color w:val="FF0000"/>
                <w:sz w:val="21"/>
                <w:szCs w:val="21"/>
              </w:rPr>
            </w:pPr>
          </w:p>
        </w:tc>
        <w:tc>
          <w:tcPr>
            <w:tcW w:w="217" w:type="dxa"/>
          </w:tcPr>
          <w:p w14:paraId="31AF1A5E" w14:textId="77777777" w:rsidR="002C0FD9" w:rsidRPr="00CA25CF" w:rsidRDefault="002C0FD9" w:rsidP="00CA25CF">
            <w:pPr>
              <w:rPr>
                <w:rFonts w:cs="Arial"/>
                <w:color w:val="FF0000"/>
                <w:sz w:val="21"/>
                <w:szCs w:val="21"/>
              </w:rPr>
            </w:pPr>
          </w:p>
        </w:tc>
        <w:tc>
          <w:tcPr>
            <w:tcW w:w="217" w:type="dxa"/>
          </w:tcPr>
          <w:p w14:paraId="25934EA8" w14:textId="77777777" w:rsidR="002C0FD9" w:rsidRPr="00CA25CF" w:rsidRDefault="002C0FD9" w:rsidP="00CA25CF">
            <w:pPr>
              <w:rPr>
                <w:rFonts w:cs="Arial"/>
                <w:color w:val="FF0000"/>
                <w:sz w:val="21"/>
                <w:szCs w:val="21"/>
              </w:rPr>
            </w:pPr>
          </w:p>
        </w:tc>
        <w:tc>
          <w:tcPr>
            <w:tcW w:w="217" w:type="dxa"/>
          </w:tcPr>
          <w:p w14:paraId="1F3D59F3" w14:textId="77777777" w:rsidR="002C0FD9" w:rsidRPr="00CA25CF" w:rsidRDefault="002C0FD9" w:rsidP="00CA25CF">
            <w:pPr>
              <w:rPr>
                <w:rFonts w:cs="Arial"/>
                <w:color w:val="FF0000"/>
                <w:sz w:val="21"/>
                <w:szCs w:val="21"/>
              </w:rPr>
            </w:pPr>
          </w:p>
        </w:tc>
        <w:tc>
          <w:tcPr>
            <w:tcW w:w="217" w:type="dxa"/>
          </w:tcPr>
          <w:p w14:paraId="0FB08DBB" w14:textId="77777777" w:rsidR="002C0FD9" w:rsidRPr="00CA25CF" w:rsidRDefault="002C0FD9" w:rsidP="00CA25CF">
            <w:pPr>
              <w:rPr>
                <w:rFonts w:cs="Arial"/>
                <w:color w:val="FF0000"/>
                <w:sz w:val="21"/>
                <w:szCs w:val="21"/>
              </w:rPr>
            </w:pPr>
          </w:p>
        </w:tc>
        <w:tc>
          <w:tcPr>
            <w:tcW w:w="217" w:type="dxa"/>
          </w:tcPr>
          <w:p w14:paraId="0339F93B" w14:textId="77777777" w:rsidR="002C0FD9" w:rsidRPr="00CA25CF" w:rsidRDefault="002C0FD9" w:rsidP="00CA25CF">
            <w:pPr>
              <w:rPr>
                <w:rFonts w:cs="Arial"/>
                <w:color w:val="FF0000"/>
                <w:sz w:val="21"/>
                <w:szCs w:val="21"/>
              </w:rPr>
            </w:pPr>
          </w:p>
        </w:tc>
        <w:tc>
          <w:tcPr>
            <w:tcW w:w="217" w:type="dxa"/>
          </w:tcPr>
          <w:p w14:paraId="621B0C0C" w14:textId="77777777" w:rsidR="002C0FD9" w:rsidRPr="00CA25CF" w:rsidRDefault="002C0FD9" w:rsidP="00CA25CF">
            <w:pPr>
              <w:rPr>
                <w:rFonts w:cs="Arial"/>
                <w:color w:val="FF0000"/>
                <w:sz w:val="21"/>
                <w:szCs w:val="21"/>
              </w:rPr>
            </w:pPr>
          </w:p>
        </w:tc>
        <w:tc>
          <w:tcPr>
            <w:tcW w:w="217" w:type="dxa"/>
          </w:tcPr>
          <w:p w14:paraId="42AA0A5E" w14:textId="77777777" w:rsidR="002C0FD9" w:rsidRPr="00CA25CF" w:rsidRDefault="002C0FD9" w:rsidP="00CA25CF">
            <w:pPr>
              <w:rPr>
                <w:rFonts w:cs="Arial"/>
                <w:color w:val="FF0000"/>
                <w:sz w:val="21"/>
                <w:szCs w:val="21"/>
              </w:rPr>
            </w:pPr>
          </w:p>
        </w:tc>
        <w:tc>
          <w:tcPr>
            <w:tcW w:w="217" w:type="dxa"/>
          </w:tcPr>
          <w:p w14:paraId="105C991C" w14:textId="77777777" w:rsidR="002C0FD9" w:rsidRPr="00CA25CF" w:rsidRDefault="002C0FD9" w:rsidP="00CA25CF">
            <w:pPr>
              <w:rPr>
                <w:rFonts w:cs="Arial"/>
                <w:color w:val="FF0000"/>
                <w:sz w:val="21"/>
                <w:szCs w:val="21"/>
              </w:rPr>
            </w:pPr>
          </w:p>
        </w:tc>
        <w:tc>
          <w:tcPr>
            <w:tcW w:w="217" w:type="dxa"/>
          </w:tcPr>
          <w:p w14:paraId="4B6A7C4C" w14:textId="77777777" w:rsidR="002C0FD9" w:rsidRPr="00CA25CF" w:rsidRDefault="002C0FD9" w:rsidP="00CA25CF">
            <w:pPr>
              <w:rPr>
                <w:rFonts w:cs="Arial"/>
                <w:color w:val="FF0000"/>
                <w:sz w:val="21"/>
                <w:szCs w:val="21"/>
              </w:rPr>
            </w:pPr>
          </w:p>
        </w:tc>
        <w:tc>
          <w:tcPr>
            <w:tcW w:w="217" w:type="dxa"/>
          </w:tcPr>
          <w:p w14:paraId="4F2F4121" w14:textId="77777777" w:rsidR="002C0FD9" w:rsidRPr="00CA25CF" w:rsidRDefault="002C0FD9" w:rsidP="00CA25CF">
            <w:pPr>
              <w:rPr>
                <w:rFonts w:cs="Arial"/>
                <w:color w:val="FF0000"/>
                <w:sz w:val="21"/>
                <w:szCs w:val="21"/>
              </w:rPr>
            </w:pPr>
          </w:p>
        </w:tc>
        <w:tc>
          <w:tcPr>
            <w:tcW w:w="217" w:type="dxa"/>
          </w:tcPr>
          <w:p w14:paraId="62E280CD" w14:textId="77777777" w:rsidR="002C0FD9" w:rsidRPr="00CA25CF" w:rsidRDefault="002C0FD9" w:rsidP="00CA25CF">
            <w:pPr>
              <w:rPr>
                <w:rFonts w:cs="Arial"/>
                <w:color w:val="FF0000"/>
                <w:sz w:val="21"/>
                <w:szCs w:val="21"/>
              </w:rPr>
            </w:pPr>
          </w:p>
        </w:tc>
        <w:tc>
          <w:tcPr>
            <w:tcW w:w="217" w:type="dxa"/>
          </w:tcPr>
          <w:p w14:paraId="2674354E" w14:textId="77777777" w:rsidR="002C0FD9" w:rsidRPr="00CA25CF" w:rsidRDefault="002C0FD9" w:rsidP="00CA25CF">
            <w:pPr>
              <w:rPr>
                <w:rFonts w:cs="Arial"/>
                <w:color w:val="FF0000"/>
                <w:sz w:val="21"/>
                <w:szCs w:val="21"/>
              </w:rPr>
            </w:pPr>
          </w:p>
        </w:tc>
        <w:tc>
          <w:tcPr>
            <w:tcW w:w="217" w:type="dxa"/>
          </w:tcPr>
          <w:p w14:paraId="532DBC57" w14:textId="77777777" w:rsidR="002C0FD9" w:rsidRPr="00CA25CF" w:rsidRDefault="002C0FD9" w:rsidP="00CA25CF">
            <w:pPr>
              <w:rPr>
                <w:rFonts w:cs="Arial"/>
                <w:color w:val="FF0000"/>
                <w:sz w:val="21"/>
                <w:szCs w:val="21"/>
              </w:rPr>
            </w:pPr>
          </w:p>
        </w:tc>
        <w:tc>
          <w:tcPr>
            <w:tcW w:w="217" w:type="dxa"/>
          </w:tcPr>
          <w:p w14:paraId="1C9F28A1" w14:textId="77777777" w:rsidR="002C0FD9" w:rsidRPr="00CA25CF" w:rsidRDefault="002C0FD9" w:rsidP="00CA25CF">
            <w:pPr>
              <w:rPr>
                <w:rFonts w:cs="Arial"/>
                <w:color w:val="FF0000"/>
                <w:sz w:val="21"/>
                <w:szCs w:val="21"/>
              </w:rPr>
            </w:pPr>
          </w:p>
        </w:tc>
        <w:tc>
          <w:tcPr>
            <w:tcW w:w="217" w:type="dxa"/>
          </w:tcPr>
          <w:p w14:paraId="00191120" w14:textId="77777777" w:rsidR="002C0FD9" w:rsidRPr="00CA25CF" w:rsidRDefault="002C0FD9" w:rsidP="00CA25CF">
            <w:pPr>
              <w:rPr>
                <w:rFonts w:cs="Arial"/>
                <w:color w:val="FF0000"/>
                <w:sz w:val="21"/>
                <w:szCs w:val="21"/>
              </w:rPr>
            </w:pPr>
          </w:p>
        </w:tc>
        <w:tc>
          <w:tcPr>
            <w:tcW w:w="217" w:type="dxa"/>
          </w:tcPr>
          <w:p w14:paraId="5CB2AE7F" w14:textId="77777777" w:rsidR="002C0FD9" w:rsidRPr="00CA25CF" w:rsidRDefault="002C0FD9" w:rsidP="00CA25CF">
            <w:pPr>
              <w:rPr>
                <w:rFonts w:cs="Arial"/>
                <w:color w:val="FF0000"/>
                <w:sz w:val="21"/>
                <w:szCs w:val="21"/>
              </w:rPr>
            </w:pPr>
          </w:p>
        </w:tc>
        <w:tc>
          <w:tcPr>
            <w:tcW w:w="217" w:type="dxa"/>
          </w:tcPr>
          <w:p w14:paraId="4DDD2EFB" w14:textId="77777777" w:rsidR="002C0FD9" w:rsidRPr="00CA25CF" w:rsidRDefault="002C0FD9" w:rsidP="00CA25CF">
            <w:pPr>
              <w:rPr>
                <w:rFonts w:cs="Arial"/>
                <w:color w:val="FF0000"/>
                <w:sz w:val="21"/>
                <w:szCs w:val="21"/>
              </w:rPr>
            </w:pPr>
          </w:p>
        </w:tc>
        <w:tc>
          <w:tcPr>
            <w:tcW w:w="217" w:type="dxa"/>
          </w:tcPr>
          <w:p w14:paraId="3960296D" w14:textId="77777777" w:rsidR="002C0FD9" w:rsidRPr="00CA25CF" w:rsidRDefault="002C0FD9" w:rsidP="00CA25CF">
            <w:pPr>
              <w:rPr>
                <w:rFonts w:cs="Arial"/>
                <w:color w:val="FF0000"/>
                <w:sz w:val="21"/>
                <w:szCs w:val="21"/>
              </w:rPr>
            </w:pPr>
          </w:p>
        </w:tc>
        <w:tc>
          <w:tcPr>
            <w:tcW w:w="217" w:type="dxa"/>
          </w:tcPr>
          <w:p w14:paraId="3922170F" w14:textId="77777777" w:rsidR="002C0FD9" w:rsidRPr="00CA25CF" w:rsidRDefault="002C0FD9" w:rsidP="00CA25CF">
            <w:pPr>
              <w:rPr>
                <w:rFonts w:cs="Arial"/>
                <w:color w:val="FF0000"/>
                <w:sz w:val="21"/>
                <w:szCs w:val="21"/>
              </w:rPr>
            </w:pPr>
          </w:p>
        </w:tc>
        <w:tc>
          <w:tcPr>
            <w:tcW w:w="217" w:type="dxa"/>
          </w:tcPr>
          <w:p w14:paraId="6BDB79D5" w14:textId="77777777" w:rsidR="002C0FD9" w:rsidRPr="00CA25CF" w:rsidRDefault="002C0FD9" w:rsidP="00CA25CF">
            <w:pPr>
              <w:rPr>
                <w:rFonts w:cs="Arial"/>
                <w:color w:val="FF0000"/>
                <w:sz w:val="21"/>
                <w:szCs w:val="21"/>
              </w:rPr>
            </w:pPr>
          </w:p>
        </w:tc>
        <w:tc>
          <w:tcPr>
            <w:tcW w:w="217" w:type="dxa"/>
          </w:tcPr>
          <w:p w14:paraId="5DDDC2FC" w14:textId="77777777" w:rsidR="002C0FD9" w:rsidRPr="00CA25CF" w:rsidRDefault="002C0FD9" w:rsidP="00CA25CF">
            <w:pPr>
              <w:rPr>
                <w:rFonts w:cs="Arial"/>
                <w:color w:val="FF0000"/>
                <w:sz w:val="21"/>
                <w:szCs w:val="21"/>
              </w:rPr>
            </w:pPr>
          </w:p>
        </w:tc>
        <w:tc>
          <w:tcPr>
            <w:tcW w:w="217" w:type="dxa"/>
          </w:tcPr>
          <w:p w14:paraId="1F8E18E3" w14:textId="77777777" w:rsidR="002C0FD9" w:rsidRPr="00CA25CF" w:rsidRDefault="002C0FD9" w:rsidP="00CA25CF">
            <w:pPr>
              <w:rPr>
                <w:rFonts w:cs="Arial"/>
                <w:color w:val="FF0000"/>
                <w:sz w:val="21"/>
                <w:szCs w:val="21"/>
              </w:rPr>
            </w:pPr>
          </w:p>
        </w:tc>
        <w:tc>
          <w:tcPr>
            <w:tcW w:w="217" w:type="dxa"/>
          </w:tcPr>
          <w:p w14:paraId="295D800D" w14:textId="77777777" w:rsidR="002C0FD9" w:rsidRPr="00CA25CF" w:rsidRDefault="002C0FD9" w:rsidP="00CA25CF">
            <w:pPr>
              <w:rPr>
                <w:rFonts w:cs="Arial"/>
                <w:color w:val="FF0000"/>
                <w:sz w:val="21"/>
                <w:szCs w:val="21"/>
              </w:rPr>
            </w:pPr>
          </w:p>
        </w:tc>
        <w:tc>
          <w:tcPr>
            <w:tcW w:w="217" w:type="dxa"/>
          </w:tcPr>
          <w:p w14:paraId="0306466C" w14:textId="77777777" w:rsidR="002C0FD9" w:rsidRPr="00CA25CF" w:rsidRDefault="002C0FD9" w:rsidP="00CA25CF">
            <w:pPr>
              <w:rPr>
                <w:rFonts w:cs="Arial"/>
                <w:color w:val="FF0000"/>
                <w:sz w:val="21"/>
                <w:szCs w:val="21"/>
              </w:rPr>
            </w:pPr>
          </w:p>
        </w:tc>
        <w:tc>
          <w:tcPr>
            <w:tcW w:w="217" w:type="dxa"/>
          </w:tcPr>
          <w:p w14:paraId="22C84C97" w14:textId="77777777" w:rsidR="002C0FD9" w:rsidRPr="00CA25CF" w:rsidRDefault="002C0FD9" w:rsidP="00CA25CF">
            <w:pPr>
              <w:rPr>
                <w:rFonts w:cs="Arial"/>
                <w:color w:val="FF0000"/>
                <w:sz w:val="21"/>
                <w:szCs w:val="21"/>
              </w:rPr>
            </w:pPr>
          </w:p>
        </w:tc>
        <w:tc>
          <w:tcPr>
            <w:tcW w:w="217" w:type="dxa"/>
          </w:tcPr>
          <w:p w14:paraId="792F0EE7" w14:textId="77777777" w:rsidR="002C0FD9" w:rsidRPr="00CA25CF" w:rsidRDefault="002C0FD9" w:rsidP="00CA25CF">
            <w:pPr>
              <w:rPr>
                <w:rFonts w:cs="Arial"/>
                <w:color w:val="FF0000"/>
                <w:sz w:val="21"/>
                <w:szCs w:val="21"/>
              </w:rPr>
            </w:pPr>
          </w:p>
        </w:tc>
        <w:tc>
          <w:tcPr>
            <w:tcW w:w="217" w:type="dxa"/>
          </w:tcPr>
          <w:p w14:paraId="1D5BA0CB" w14:textId="77777777" w:rsidR="002C0FD9" w:rsidRPr="00CA25CF" w:rsidRDefault="002C0FD9" w:rsidP="00CA25CF">
            <w:pPr>
              <w:rPr>
                <w:rFonts w:cs="Arial"/>
                <w:color w:val="FF0000"/>
                <w:sz w:val="21"/>
                <w:szCs w:val="21"/>
              </w:rPr>
            </w:pPr>
          </w:p>
        </w:tc>
        <w:tc>
          <w:tcPr>
            <w:tcW w:w="217" w:type="dxa"/>
          </w:tcPr>
          <w:p w14:paraId="5F343C5F" w14:textId="77777777" w:rsidR="002C0FD9" w:rsidRPr="00CA25CF" w:rsidRDefault="002C0FD9" w:rsidP="00CA25CF">
            <w:pPr>
              <w:rPr>
                <w:rFonts w:cs="Arial"/>
                <w:color w:val="FF0000"/>
                <w:sz w:val="21"/>
                <w:szCs w:val="21"/>
              </w:rPr>
            </w:pPr>
          </w:p>
        </w:tc>
        <w:tc>
          <w:tcPr>
            <w:tcW w:w="217" w:type="dxa"/>
          </w:tcPr>
          <w:p w14:paraId="71FD044A" w14:textId="77777777" w:rsidR="002C0FD9" w:rsidRPr="00CA25CF" w:rsidRDefault="002C0FD9" w:rsidP="00CA25CF">
            <w:pPr>
              <w:rPr>
                <w:rFonts w:cs="Arial"/>
                <w:color w:val="FF0000"/>
                <w:sz w:val="21"/>
                <w:szCs w:val="21"/>
              </w:rPr>
            </w:pPr>
          </w:p>
        </w:tc>
        <w:tc>
          <w:tcPr>
            <w:tcW w:w="217" w:type="dxa"/>
          </w:tcPr>
          <w:p w14:paraId="129A8DC9" w14:textId="77777777" w:rsidR="002C0FD9" w:rsidRPr="00CA25CF" w:rsidRDefault="002C0FD9" w:rsidP="00CA25CF">
            <w:pPr>
              <w:rPr>
                <w:rFonts w:cs="Arial"/>
                <w:color w:val="FF0000"/>
                <w:sz w:val="21"/>
                <w:szCs w:val="21"/>
              </w:rPr>
            </w:pPr>
          </w:p>
        </w:tc>
        <w:tc>
          <w:tcPr>
            <w:tcW w:w="217" w:type="dxa"/>
          </w:tcPr>
          <w:p w14:paraId="4E3E1815" w14:textId="77777777" w:rsidR="002C0FD9" w:rsidRPr="00CA25CF" w:rsidRDefault="002C0FD9" w:rsidP="00CA25CF">
            <w:pPr>
              <w:rPr>
                <w:rFonts w:cs="Arial"/>
                <w:color w:val="FF0000"/>
                <w:sz w:val="21"/>
                <w:szCs w:val="21"/>
              </w:rPr>
            </w:pPr>
          </w:p>
        </w:tc>
        <w:tc>
          <w:tcPr>
            <w:tcW w:w="217" w:type="dxa"/>
          </w:tcPr>
          <w:p w14:paraId="3F2EC315" w14:textId="77777777" w:rsidR="002C0FD9" w:rsidRPr="00CA25CF" w:rsidRDefault="002C0FD9" w:rsidP="00CA25CF">
            <w:pPr>
              <w:rPr>
                <w:rFonts w:cs="Arial"/>
                <w:color w:val="FF0000"/>
                <w:sz w:val="21"/>
                <w:szCs w:val="21"/>
              </w:rPr>
            </w:pPr>
          </w:p>
        </w:tc>
        <w:tc>
          <w:tcPr>
            <w:tcW w:w="217" w:type="dxa"/>
          </w:tcPr>
          <w:p w14:paraId="7FFED437" w14:textId="77777777" w:rsidR="002C0FD9" w:rsidRPr="00CA25CF" w:rsidRDefault="002C0FD9" w:rsidP="00CA25CF">
            <w:pPr>
              <w:rPr>
                <w:rFonts w:cs="Arial"/>
                <w:color w:val="FF0000"/>
                <w:sz w:val="21"/>
                <w:szCs w:val="21"/>
              </w:rPr>
            </w:pPr>
          </w:p>
        </w:tc>
        <w:tc>
          <w:tcPr>
            <w:tcW w:w="217" w:type="dxa"/>
          </w:tcPr>
          <w:p w14:paraId="6E204F25" w14:textId="77777777" w:rsidR="002C0FD9" w:rsidRPr="00CA25CF" w:rsidRDefault="002C0FD9" w:rsidP="00CA25CF">
            <w:pPr>
              <w:rPr>
                <w:rFonts w:cs="Arial"/>
                <w:color w:val="FF0000"/>
                <w:sz w:val="21"/>
                <w:szCs w:val="21"/>
              </w:rPr>
            </w:pPr>
          </w:p>
        </w:tc>
        <w:tc>
          <w:tcPr>
            <w:tcW w:w="217" w:type="dxa"/>
          </w:tcPr>
          <w:p w14:paraId="6889205F" w14:textId="77777777" w:rsidR="002C0FD9" w:rsidRPr="00CA25CF" w:rsidRDefault="002C0FD9" w:rsidP="00CA25CF">
            <w:pPr>
              <w:rPr>
                <w:rFonts w:cs="Arial"/>
                <w:color w:val="FF0000"/>
                <w:sz w:val="21"/>
                <w:szCs w:val="21"/>
              </w:rPr>
            </w:pPr>
          </w:p>
        </w:tc>
      </w:tr>
      <w:tr w:rsidR="002C0FD9" w:rsidRPr="00A16219" w14:paraId="2CDC272E" w14:textId="31A334CC" w:rsidTr="002C0FD9">
        <w:trPr>
          <w:trHeight w:val="635"/>
        </w:trPr>
        <w:tc>
          <w:tcPr>
            <w:tcW w:w="515" w:type="dxa"/>
          </w:tcPr>
          <w:p w14:paraId="41DE5355" w14:textId="77777777" w:rsidR="002C0FD9" w:rsidRPr="00CA25CF" w:rsidRDefault="002C0FD9" w:rsidP="00CA25CF">
            <w:pPr>
              <w:rPr>
                <w:rFonts w:cs="Arial"/>
                <w:color w:val="FF0000"/>
                <w:sz w:val="21"/>
                <w:szCs w:val="21"/>
              </w:rPr>
            </w:pPr>
          </w:p>
        </w:tc>
        <w:tc>
          <w:tcPr>
            <w:tcW w:w="217" w:type="dxa"/>
          </w:tcPr>
          <w:p w14:paraId="5062000D" w14:textId="77777777" w:rsidR="002C0FD9" w:rsidRPr="00CA25CF" w:rsidRDefault="002C0FD9" w:rsidP="00CA25CF">
            <w:pPr>
              <w:rPr>
                <w:rFonts w:cs="Arial"/>
                <w:color w:val="FF0000"/>
                <w:sz w:val="21"/>
                <w:szCs w:val="21"/>
              </w:rPr>
            </w:pPr>
          </w:p>
        </w:tc>
        <w:tc>
          <w:tcPr>
            <w:tcW w:w="217" w:type="dxa"/>
          </w:tcPr>
          <w:p w14:paraId="092FB661" w14:textId="46BCB469" w:rsidR="002C0FD9" w:rsidRPr="00CA25CF" w:rsidRDefault="002C0FD9" w:rsidP="00CA25CF">
            <w:pPr>
              <w:rPr>
                <w:rFonts w:cs="Arial"/>
                <w:color w:val="FF0000"/>
                <w:sz w:val="21"/>
                <w:szCs w:val="21"/>
              </w:rPr>
            </w:pPr>
          </w:p>
        </w:tc>
        <w:tc>
          <w:tcPr>
            <w:tcW w:w="217" w:type="dxa"/>
          </w:tcPr>
          <w:p w14:paraId="06745A32" w14:textId="77777777" w:rsidR="002C0FD9" w:rsidRPr="00CA25CF" w:rsidRDefault="002C0FD9" w:rsidP="00CA25CF">
            <w:pPr>
              <w:rPr>
                <w:rFonts w:cs="Arial"/>
                <w:color w:val="FF0000"/>
                <w:sz w:val="21"/>
                <w:szCs w:val="21"/>
              </w:rPr>
            </w:pPr>
          </w:p>
        </w:tc>
        <w:tc>
          <w:tcPr>
            <w:tcW w:w="217" w:type="dxa"/>
          </w:tcPr>
          <w:p w14:paraId="38B4D10F" w14:textId="77777777" w:rsidR="002C0FD9" w:rsidRPr="00CA25CF" w:rsidRDefault="002C0FD9" w:rsidP="00CA25CF">
            <w:pPr>
              <w:rPr>
                <w:rFonts w:cs="Arial"/>
                <w:color w:val="FF0000"/>
                <w:sz w:val="21"/>
                <w:szCs w:val="21"/>
              </w:rPr>
            </w:pPr>
          </w:p>
        </w:tc>
        <w:tc>
          <w:tcPr>
            <w:tcW w:w="217" w:type="dxa"/>
          </w:tcPr>
          <w:p w14:paraId="0BC4FC54" w14:textId="77777777" w:rsidR="002C0FD9" w:rsidRPr="00CA25CF" w:rsidRDefault="002C0FD9" w:rsidP="00CA25CF">
            <w:pPr>
              <w:rPr>
                <w:rFonts w:cs="Arial"/>
                <w:color w:val="FF0000"/>
                <w:sz w:val="21"/>
                <w:szCs w:val="21"/>
              </w:rPr>
            </w:pPr>
          </w:p>
        </w:tc>
        <w:tc>
          <w:tcPr>
            <w:tcW w:w="217" w:type="dxa"/>
          </w:tcPr>
          <w:p w14:paraId="1F10C7C2" w14:textId="77777777" w:rsidR="002C0FD9" w:rsidRPr="00CA25CF" w:rsidRDefault="002C0FD9" w:rsidP="00CA25CF">
            <w:pPr>
              <w:rPr>
                <w:rFonts w:cs="Arial"/>
                <w:color w:val="FF0000"/>
                <w:sz w:val="21"/>
                <w:szCs w:val="21"/>
              </w:rPr>
            </w:pPr>
          </w:p>
        </w:tc>
        <w:tc>
          <w:tcPr>
            <w:tcW w:w="217" w:type="dxa"/>
          </w:tcPr>
          <w:p w14:paraId="61CC1B84" w14:textId="77777777" w:rsidR="002C0FD9" w:rsidRPr="00CA25CF" w:rsidRDefault="002C0FD9" w:rsidP="00CA25CF">
            <w:pPr>
              <w:rPr>
                <w:rFonts w:cs="Arial"/>
                <w:color w:val="FF0000"/>
                <w:sz w:val="21"/>
                <w:szCs w:val="21"/>
              </w:rPr>
            </w:pPr>
          </w:p>
        </w:tc>
        <w:tc>
          <w:tcPr>
            <w:tcW w:w="217" w:type="dxa"/>
          </w:tcPr>
          <w:p w14:paraId="6E488013" w14:textId="77777777" w:rsidR="002C0FD9" w:rsidRPr="00CA25CF" w:rsidRDefault="002C0FD9" w:rsidP="00CA25CF">
            <w:pPr>
              <w:rPr>
                <w:rFonts w:cs="Arial"/>
                <w:color w:val="FF0000"/>
                <w:sz w:val="21"/>
                <w:szCs w:val="21"/>
              </w:rPr>
            </w:pPr>
          </w:p>
        </w:tc>
        <w:tc>
          <w:tcPr>
            <w:tcW w:w="217" w:type="dxa"/>
          </w:tcPr>
          <w:p w14:paraId="6E665308" w14:textId="77777777" w:rsidR="002C0FD9" w:rsidRPr="00CA25CF" w:rsidRDefault="002C0FD9" w:rsidP="00CA25CF">
            <w:pPr>
              <w:rPr>
                <w:rFonts w:cs="Arial"/>
                <w:color w:val="FF0000"/>
                <w:sz w:val="21"/>
                <w:szCs w:val="21"/>
              </w:rPr>
            </w:pPr>
          </w:p>
        </w:tc>
        <w:tc>
          <w:tcPr>
            <w:tcW w:w="217" w:type="dxa"/>
          </w:tcPr>
          <w:p w14:paraId="668C5CF4" w14:textId="77777777" w:rsidR="002C0FD9" w:rsidRPr="00CA25CF" w:rsidRDefault="002C0FD9" w:rsidP="00CA25CF">
            <w:pPr>
              <w:rPr>
                <w:rFonts w:cs="Arial"/>
                <w:color w:val="FF0000"/>
                <w:sz w:val="21"/>
                <w:szCs w:val="21"/>
              </w:rPr>
            </w:pPr>
          </w:p>
        </w:tc>
        <w:tc>
          <w:tcPr>
            <w:tcW w:w="217" w:type="dxa"/>
          </w:tcPr>
          <w:p w14:paraId="31D6F101" w14:textId="77777777" w:rsidR="002C0FD9" w:rsidRPr="00CA25CF" w:rsidRDefault="002C0FD9" w:rsidP="00CA25CF">
            <w:pPr>
              <w:rPr>
                <w:rFonts w:cs="Arial"/>
                <w:color w:val="FF0000"/>
                <w:sz w:val="21"/>
                <w:szCs w:val="21"/>
              </w:rPr>
            </w:pPr>
          </w:p>
        </w:tc>
        <w:tc>
          <w:tcPr>
            <w:tcW w:w="217" w:type="dxa"/>
          </w:tcPr>
          <w:p w14:paraId="1DE89094" w14:textId="77777777" w:rsidR="002C0FD9" w:rsidRPr="00CA25CF" w:rsidRDefault="002C0FD9" w:rsidP="00CA25CF">
            <w:pPr>
              <w:rPr>
                <w:rFonts w:cs="Arial"/>
                <w:color w:val="FF0000"/>
                <w:sz w:val="21"/>
                <w:szCs w:val="21"/>
              </w:rPr>
            </w:pPr>
          </w:p>
        </w:tc>
        <w:tc>
          <w:tcPr>
            <w:tcW w:w="217" w:type="dxa"/>
          </w:tcPr>
          <w:p w14:paraId="7DFF2FBD" w14:textId="77777777" w:rsidR="002C0FD9" w:rsidRPr="00CA25CF" w:rsidRDefault="002C0FD9" w:rsidP="00CA25CF">
            <w:pPr>
              <w:rPr>
                <w:rFonts w:cs="Arial"/>
                <w:color w:val="FF0000"/>
                <w:sz w:val="21"/>
                <w:szCs w:val="21"/>
              </w:rPr>
            </w:pPr>
          </w:p>
        </w:tc>
        <w:tc>
          <w:tcPr>
            <w:tcW w:w="217" w:type="dxa"/>
          </w:tcPr>
          <w:p w14:paraId="41D76BC8" w14:textId="77777777" w:rsidR="002C0FD9" w:rsidRPr="00CA25CF" w:rsidRDefault="002C0FD9" w:rsidP="00CA25CF">
            <w:pPr>
              <w:rPr>
                <w:rFonts w:cs="Arial"/>
                <w:color w:val="FF0000"/>
                <w:sz w:val="21"/>
                <w:szCs w:val="21"/>
              </w:rPr>
            </w:pPr>
          </w:p>
        </w:tc>
        <w:tc>
          <w:tcPr>
            <w:tcW w:w="217" w:type="dxa"/>
          </w:tcPr>
          <w:p w14:paraId="004EB6BF" w14:textId="77777777" w:rsidR="002C0FD9" w:rsidRPr="00CA25CF" w:rsidRDefault="002C0FD9" w:rsidP="00CA25CF">
            <w:pPr>
              <w:rPr>
                <w:rFonts w:cs="Arial"/>
                <w:color w:val="FF0000"/>
                <w:sz w:val="21"/>
                <w:szCs w:val="21"/>
              </w:rPr>
            </w:pPr>
          </w:p>
        </w:tc>
        <w:tc>
          <w:tcPr>
            <w:tcW w:w="217" w:type="dxa"/>
          </w:tcPr>
          <w:p w14:paraId="66C55DC1" w14:textId="77777777" w:rsidR="002C0FD9" w:rsidRPr="00CA25CF" w:rsidRDefault="002C0FD9" w:rsidP="00CA25CF">
            <w:pPr>
              <w:rPr>
                <w:rFonts w:cs="Arial"/>
                <w:color w:val="FF0000"/>
                <w:sz w:val="21"/>
                <w:szCs w:val="21"/>
              </w:rPr>
            </w:pPr>
          </w:p>
        </w:tc>
        <w:tc>
          <w:tcPr>
            <w:tcW w:w="217" w:type="dxa"/>
          </w:tcPr>
          <w:p w14:paraId="3CAAA0F0" w14:textId="77777777" w:rsidR="002C0FD9" w:rsidRPr="00CA25CF" w:rsidRDefault="002C0FD9" w:rsidP="00CA25CF">
            <w:pPr>
              <w:rPr>
                <w:rFonts w:cs="Arial"/>
                <w:color w:val="FF0000"/>
                <w:sz w:val="21"/>
                <w:szCs w:val="21"/>
              </w:rPr>
            </w:pPr>
          </w:p>
        </w:tc>
        <w:tc>
          <w:tcPr>
            <w:tcW w:w="217" w:type="dxa"/>
          </w:tcPr>
          <w:p w14:paraId="78ECE7A8" w14:textId="77777777" w:rsidR="002C0FD9" w:rsidRPr="00CA25CF" w:rsidRDefault="002C0FD9" w:rsidP="00CA25CF">
            <w:pPr>
              <w:rPr>
                <w:rFonts w:cs="Arial"/>
                <w:color w:val="FF0000"/>
                <w:sz w:val="21"/>
                <w:szCs w:val="21"/>
              </w:rPr>
            </w:pPr>
          </w:p>
        </w:tc>
        <w:tc>
          <w:tcPr>
            <w:tcW w:w="217" w:type="dxa"/>
          </w:tcPr>
          <w:p w14:paraId="33801B62" w14:textId="77777777" w:rsidR="002C0FD9" w:rsidRPr="00CA25CF" w:rsidRDefault="002C0FD9" w:rsidP="00CA25CF">
            <w:pPr>
              <w:rPr>
                <w:rFonts w:cs="Arial"/>
                <w:color w:val="FF0000"/>
                <w:sz w:val="21"/>
                <w:szCs w:val="21"/>
              </w:rPr>
            </w:pPr>
          </w:p>
        </w:tc>
        <w:tc>
          <w:tcPr>
            <w:tcW w:w="217" w:type="dxa"/>
          </w:tcPr>
          <w:p w14:paraId="54A7421C" w14:textId="77777777" w:rsidR="002C0FD9" w:rsidRPr="00CA25CF" w:rsidRDefault="002C0FD9" w:rsidP="00CA25CF">
            <w:pPr>
              <w:rPr>
                <w:rFonts w:cs="Arial"/>
                <w:color w:val="FF0000"/>
                <w:sz w:val="21"/>
                <w:szCs w:val="21"/>
              </w:rPr>
            </w:pPr>
          </w:p>
        </w:tc>
        <w:tc>
          <w:tcPr>
            <w:tcW w:w="217" w:type="dxa"/>
          </w:tcPr>
          <w:p w14:paraId="2FA01F43" w14:textId="77777777" w:rsidR="002C0FD9" w:rsidRPr="00CA25CF" w:rsidRDefault="002C0FD9" w:rsidP="00CA25CF">
            <w:pPr>
              <w:rPr>
                <w:rFonts w:cs="Arial"/>
                <w:color w:val="FF0000"/>
                <w:sz w:val="21"/>
                <w:szCs w:val="21"/>
              </w:rPr>
            </w:pPr>
          </w:p>
        </w:tc>
        <w:tc>
          <w:tcPr>
            <w:tcW w:w="217" w:type="dxa"/>
          </w:tcPr>
          <w:p w14:paraId="5D2D4588" w14:textId="77777777" w:rsidR="002C0FD9" w:rsidRPr="00CA25CF" w:rsidRDefault="002C0FD9" w:rsidP="00CA25CF">
            <w:pPr>
              <w:rPr>
                <w:rFonts w:cs="Arial"/>
                <w:color w:val="FF0000"/>
                <w:sz w:val="21"/>
                <w:szCs w:val="21"/>
              </w:rPr>
            </w:pPr>
          </w:p>
        </w:tc>
        <w:tc>
          <w:tcPr>
            <w:tcW w:w="217" w:type="dxa"/>
          </w:tcPr>
          <w:p w14:paraId="2CD160ED" w14:textId="77777777" w:rsidR="002C0FD9" w:rsidRPr="00CA25CF" w:rsidRDefault="002C0FD9" w:rsidP="00CA25CF">
            <w:pPr>
              <w:rPr>
                <w:rFonts w:cs="Arial"/>
                <w:color w:val="FF0000"/>
                <w:sz w:val="21"/>
                <w:szCs w:val="21"/>
              </w:rPr>
            </w:pPr>
          </w:p>
        </w:tc>
        <w:tc>
          <w:tcPr>
            <w:tcW w:w="217" w:type="dxa"/>
          </w:tcPr>
          <w:p w14:paraId="77803ADD" w14:textId="77777777" w:rsidR="002C0FD9" w:rsidRPr="00CA25CF" w:rsidRDefault="002C0FD9" w:rsidP="00CA25CF">
            <w:pPr>
              <w:rPr>
                <w:rFonts w:cs="Arial"/>
                <w:color w:val="FF0000"/>
                <w:sz w:val="21"/>
                <w:szCs w:val="21"/>
              </w:rPr>
            </w:pPr>
          </w:p>
        </w:tc>
        <w:tc>
          <w:tcPr>
            <w:tcW w:w="217" w:type="dxa"/>
          </w:tcPr>
          <w:p w14:paraId="0D5F172A" w14:textId="77777777" w:rsidR="002C0FD9" w:rsidRPr="00CA25CF" w:rsidRDefault="002C0FD9" w:rsidP="00CA25CF">
            <w:pPr>
              <w:rPr>
                <w:rFonts w:cs="Arial"/>
                <w:color w:val="FF0000"/>
                <w:sz w:val="21"/>
                <w:szCs w:val="21"/>
              </w:rPr>
            </w:pPr>
          </w:p>
        </w:tc>
        <w:tc>
          <w:tcPr>
            <w:tcW w:w="217" w:type="dxa"/>
          </w:tcPr>
          <w:p w14:paraId="140868DF" w14:textId="77777777" w:rsidR="002C0FD9" w:rsidRPr="00CA25CF" w:rsidRDefault="002C0FD9" w:rsidP="00CA25CF">
            <w:pPr>
              <w:rPr>
                <w:rFonts w:cs="Arial"/>
                <w:color w:val="FF0000"/>
                <w:sz w:val="21"/>
                <w:szCs w:val="21"/>
              </w:rPr>
            </w:pPr>
          </w:p>
        </w:tc>
        <w:tc>
          <w:tcPr>
            <w:tcW w:w="217" w:type="dxa"/>
          </w:tcPr>
          <w:p w14:paraId="21ABF8D9" w14:textId="77777777" w:rsidR="002C0FD9" w:rsidRPr="00CA25CF" w:rsidRDefault="002C0FD9" w:rsidP="00CA25CF">
            <w:pPr>
              <w:rPr>
                <w:rFonts w:cs="Arial"/>
                <w:color w:val="FF0000"/>
                <w:sz w:val="21"/>
                <w:szCs w:val="21"/>
              </w:rPr>
            </w:pPr>
          </w:p>
        </w:tc>
        <w:tc>
          <w:tcPr>
            <w:tcW w:w="217" w:type="dxa"/>
          </w:tcPr>
          <w:p w14:paraId="5D765B65" w14:textId="77777777" w:rsidR="002C0FD9" w:rsidRPr="00CA25CF" w:rsidRDefault="002C0FD9" w:rsidP="00CA25CF">
            <w:pPr>
              <w:rPr>
                <w:rFonts w:cs="Arial"/>
                <w:color w:val="FF0000"/>
                <w:sz w:val="21"/>
                <w:szCs w:val="21"/>
              </w:rPr>
            </w:pPr>
          </w:p>
        </w:tc>
        <w:tc>
          <w:tcPr>
            <w:tcW w:w="217" w:type="dxa"/>
          </w:tcPr>
          <w:p w14:paraId="209D253C" w14:textId="77777777" w:rsidR="002C0FD9" w:rsidRPr="00CA25CF" w:rsidRDefault="002C0FD9" w:rsidP="00CA25CF">
            <w:pPr>
              <w:rPr>
                <w:rFonts w:cs="Arial"/>
                <w:color w:val="FF0000"/>
                <w:sz w:val="21"/>
                <w:szCs w:val="21"/>
              </w:rPr>
            </w:pPr>
          </w:p>
        </w:tc>
        <w:tc>
          <w:tcPr>
            <w:tcW w:w="217" w:type="dxa"/>
          </w:tcPr>
          <w:p w14:paraId="47AA25B8" w14:textId="77777777" w:rsidR="002C0FD9" w:rsidRPr="00CA25CF" w:rsidRDefault="002C0FD9" w:rsidP="00CA25CF">
            <w:pPr>
              <w:rPr>
                <w:rFonts w:cs="Arial"/>
                <w:color w:val="FF0000"/>
                <w:sz w:val="21"/>
                <w:szCs w:val="21"/>
              </w:rPr>
            </w:pPr>
          </w:p>
        </w:tc>
        <w:tc>
          <w:tcPr>
            <w:tcW w:w="217" w:type="dxa"/>
          </w:tcPr>
          <w:p w14:paraId="6575E327" w14:textId="77777777" w:rsidR="002C0FD9" w:rsidRPr="00CA25CF" w:rsidRDefault="002C0FD9" w:rsidP="00CA25CF">
            <w:pPr>
              <w:rPr>
                <w:rFonts w:cs="Arial"/>
                <w:color w:val="FF0000"/>
                <w:sz w:val="21"/>
                <w:szCs w:val="21"/>
              </w:rPr>
            </w:pPr>
          </w:p>
        </w:tc>
        <w:tc>
          <w:tcPr>
            <w:tcW w:w="217" w:type="dxa"/>
          </w:tcPr>
          <w:p w14:paraId="76982ACD" w14:textId="77777777" w:rsidR="002C0FD9" w:rsidRPr="00CA25CF" w:rsidRDefault="002C0FD9" w:rsidP="00CA25CF">
            <w:pPr>
              <w:rPr>
                <w:rFonts w:cs="Arial"/>
                <w:color w:val="FF0000"/>
                <w:sz w:val="21"/>
                <w:szCs w:val="21"/>
              </w:rPr>
            </w:pPr>
          </w:p>
        </w:tc>
        <w:tc>
          <w:tcPr>
            <w:tcW w:w="217" w:type="dxa"/>
          </w:tcPr>
          <w:p w14:paraId="46AF004B" w14:textId="77777777" w:rsidR="002C0FD9" w:rsidRPr="00CA25CF" w:rsidRDefault="002C0FD9" w:rsidP="00CA25CF">
            <w:pPr>
              <w:rPr>
                <w:rFonts w:cs="Arial"/>
                <w:color w:val="FF0000"/>
                <w:sz w:val="21"/>
                <w:szCs w:val="21"/>
              </w:rPr>
            </w:pPr>
          </w:p>
        </w:tc>
        <w:tc>
          <w:tcPr>
            <w:tcW w:w="217" w:type="dxa"/>
          </w:tcPr>
          <w:p w14:paraId="42AB26D2" w14:textId="77777777" w:rsidR="002C0FD9" w:rsidRPr="00CA25CF" w:rsidRDefault="002C0FD9" w:rsidP="00CA25CF">
            <w:pPr>
              <w:rPr>
                <w:rFonts w:cs="Arial"/>
                <w:color w:val="FF0000"/>
                <w:sz w:val="21"/>
                <w:szCs w:val="21"/>
              </w:rPr>
            </w:pPr>
          </w:p>
        </w:tc>
        <w:tc>
          <w:tcPr>
            <w:tcW w:w="217" w:type="dxa"/>
          </w:tcPr>
          <w:p w14:paraId="3AFD1D82" w14:textId="77777777" w:rsidR="002C0FD9" w:rsidRPr="00CA25CF" w:rsidRDefault="002C0FD9" w:rsidP="00CA25CF">
            <w:pPr>
              <w:rPr>
                <w:rFonts w:cs="Arial"/>
                <w:color w:val="FF0000"/>
                <w:sz w:val="21"/>
                <w:szCs w:val="21"/>
              </w:rPr>
            </w:pPr>
          </w:p>
        </w:tc>
        <w:tc>
          <w:tcPr>
            <w:tcW w:w="217" w:type="dxa"/>
          </w:tcPr>
          <w:p w14:paraId="1B61C830" w14:textId="77777777" w:rsidR="002C0FD9" w:rsidRPr="00CA25CF" w:rsidRDefault="002C0FD9" w:rsidP="00CA25CF">
            <w:pPr>
              <w:rPr>
                <w:rFonts w:cs="Arial"/>
                <w:color w:val="FF0000"/>
                <w:sz w:val="21"/>
                <w:szCs w:val="21"/>
              </w:rPr>
            </w:pPr>
          </w:p>
        </w:tc>
        <w:tc>
          <w:tcPr>
            <w:tcW w:w="217" w:type="dxa"/>
          </w:tcPr>
          <w:p w14:paraId="1149A99D" w14:textId="77777777" w:rsidR="002C0FD9" w:rsidRPr="00CA25CF" w:rsidRDefault="002C0FD9" w:rsidP="00CA25CF">
            <w:pPr>
              <w:rPr>
                <w:rFonts w:cs="Arial"/>
                <w:color w:val="FF0000"/>
                <w:sz w:val="21"/>
                <w:szCs w:val="21"/>
              </w:rPr>
            </w:pPr>
          </w:p>
        </w:tc>
        <w:tc>
          <w:tcPr>
            <w:tcW w:w="217" w:type="dxa"/>
          </w:tcPr>
          <w:p w14:paraId="51FCAD26" w14:textId="77777777" w:rsidR="002C0FD9" w:rsidRPr="00CA25CF" w:rsidRDefault="002C0FD9" w:rsidP="00CA25CF">
            <w:pPr>
              <w:rPr>
                <w:rFonts w:cs="Arial"/>
                <w:color w:val="FF0000"/>
                <w:sz w:val="21"/>
                <w:szCs w:val="21"/>
              </w:rPr>
            </w:pPr>
          </w:p>
        </w:tc>
        <w:tc>
          <w:tcPr>
            <w:tcW w:w="217" w:type="dxa"/>
          </w:tcPr>
          <w:p w14:paraId="658B5EB9" w14:textId="77777777" w:rsidR="002C0FD9" w:rsidRPr="00CA25CF" w:rsidRDefault="002C0FD9" w:rsidP="00CA25CF">
            <w:pPr>
              <w:rPr>
                <w:rFonts w:cs="Arial"/>
                <w:color w:val="FF0000"/>
                <w:sz w:val="21"/>
                <w:szCs w:val="21"/>
              </w:rPr>
            </w:pPr>
          </w:p>
        </w:tc>
        <w:tc>
          <w:tcPr>
            <w:tcW w:w="217" w:type="dxa"/>
          </w:tcPr>
          <w:p w14:paraId="2EBDC9D5" w14:textId="77777777" w:rsidR="002C0FD9" w:rsidRPr="00CA25CF" w:rsidRDefault="002C0FD9" w:rsidP="00CA25CF">
            <w:pPr>
              <w:rPr>
                <w:rFonts w:cs="Arial"/>
                <w:color w:val="FF0000"/>
                <w:sz w:val="21"/>
                <w:szCs w:val="21"/>
              </w:rPr>
            </w:pPr>
          </w:p>
        </w:tc>
        <w:tc>
          <w:tcPr>
            <w:tcW w:w="217" w:type="dxa"/>
          </w:tcPr>
          <w:p w14:paraId="41F4B610" w14:textId="77777777" w:rsidR="002C0FD9" w:rsidRPr="00CA25CF" w:rsidRDefault="002C0FD9" w:rsidP="00CA25CF">
            <w:pPr>
              <w:rPr>
                <w:rFonts w:cs="Arial"/>
                <w:color w:val="FF0000"/>
                <w:sz w:val="21"/>
                <w:szCs w:val="21"/>
              </w:rPr>
            </w:pPr>
          </w:p>
        </w:tc>
        <w:tc>
          <w:tcPr>
            <w:tcW w:w="217" w:type="dxa"/>
          </w:tcPr>
          <w:p w14:paraId="63F95ACD" w14:textId="77777777" w:rsidR="002C0FD9" w:rsidRPr="00CA25CF" w:rsidRDefault="002C0FD9" w:rsidP="00CA25CF">
            <w:pPr>
              <w:rPr>
                <w:rFonts w:cs="Arial"/>
                <w:color w:val="FF0000"/>
                <w:sz w:val="21"/>
                <w:szCs w:val="21"/>
              </w:rPr>
            </w:pPr>
          </w:p>
        </w:tc>
      </w:tr>
      <w:tr w:rsidR="002C0FD9" w:rsidRPr="00A16219" w14:paraId="60A7DE72" w14:textId="2287A03C" w:rsidTr="002C0FD9">
        <w:trPr>
          <w:trHeight w:val="635"/>
        </w:trPr>
        <w:tc>
          <w:tcPr>
            <w:tcW w:w="515" w:type="dxa"/>
          </w:tcPr>
          <w:p w14:paraId="14D7E163" w14:textId="77777777" w:rsidR="002C0FD9" w:rsidRPr="00CA25CF" w:rsidRDefault="002C0FD9" w:rsidP="00CA25CF">
            <w:pPr>
              <w:rPr>
                <w:rFonts w:cs="Arial"/>
                <w:color w:val="FF0000"/>
                <w:sz w:val="21"/>
                <w:szCs w:val="21"/>
              </w:rPr>
            </w:pPr>
          </w:p>
        </w:tc>
        <w:tc>
          <w:tcPr>
            <w:tcW w:w="217" w:type="dxa"/>
          </w:tcPr>
          <w:p w14:paraId="2249EE53" w14:textId="77777777" w:rsidR="002C0FD9" w:rsidRPr="00CA25CF" w:rsidRDefault="002C0FD9" w:rsidP="00CA25CF">
            <w:pPr>
              <w:rPr>
                <w:rFonts w:cs="Arial"/>
                <w:color w:val="FF0000"/>
                <w:sz w:val="21"/>
                <w:szCs w:val="21"/>
              </w:rPr>
            </w:pPr>
          </w:p>
        </w:tc>
        <w:tc>
          <w:tcPr>
            <w:tcW w:w="217" w:type="dxa"/>
          </w:tcPr>
          <w:p w14:paraId="38EE45FE" w14:textId="593D5DF2" w:rsidR="002C0FD9" w:rsidRPr="00CA25CF" w:rsidRDefault="002C0FD9" w:rsidP="00CA25CF">
            <w:pPr>
              <w:rPr>
                <w:rFonts w:cs="Arial"/>
                <w:color w:val="FF0000"/>
                <w:sz w:val="21"/>
                <w:szCs w:val="21"/>
              </w:rPr>
            </w:pPr>
          </w:p>
        </w:tc>
        <w:tc>
          <w:tcPr>
            <w:tcW w:w="217" w:type="dxa"/>
          </w:tcPr>
          <w:p w14:paraId="27FFEF80" w14:textId="77777777" w:rsidR="002C0FD9" w:rsidRPr="00CA25CF" w:rsidRDefault="002C0FD9" w:rsidP="00CA25CF">
            <w:pPr>
              <w:rPr>
                <w:rFonts w:cs="Arial"/>
                <w:color w:val="FF0000"/>
                <w:sz w:val="21"/>
                <w:szCs w:val="21"/>
              </w:rPr>
            </w:pPr>
          </w:p>
        </w:tc>
        <w:tc>
          <w:tcPr>
            <w:tcW w:w="217" w:type="dxa"/>
          </w:tcPr>
          <w:p w14:paraId="2093CD41" w14:textId="77777777" w:rsidR="002C0FD9" w:rsidRPr="00CA25CF" w:rsidRDefault="002C0FD9" w:rsidP="00CA25CF">
            <w:pPr>
              <w:rPr>
                <w:rFonts w:cs="Arial"/>
                <w:color w:val="FF0000"/>
                <w:sz w:val="21"/>
                <w:szCs w:val="21"/>
              </w:rPr>
            </w:pPr>
          </w:p>
        </w:tc>
        <w:tc>
          <w:tcPr>
            <w:tcW w:w="217" w:type="dxa"/>
          </w:tcPr>
          <w:p w14:paraId="61360297" w14:textId="77777777" w:rsidR="002C0FD9" w:rsidRPr="00CA25CF" w:rsidRDefault="002C0FD9" w:rsidP="00CA25CF">
            <w:pPr>
              <w:rPr>
                <w:rFonts w:cs="Arial"/>
                <w:color w:val="FF0000"/>
                <w:sz w:val="21"/>
                <w:szCs w:val="21"/>
              </w:rPr>
            </w:pPr>
          </w:p>
        </w:tc>
        <w:tc>
          <w:tcPr>
            <w:tcW w:w="217" w:type="dxa"/>
          </w:tcPr>
          <w:p w14:paraId="700E3BBC" w14:textId="77777777" w:rsidR="002C0FD9" w:rsidRPr="00CA25CF" w:rsidRDefault="002C0FD9" w:rsidP="00CA25CF">
            <w:pPr>
              <w:rPr>
                <w:rFonts w:cs="Arial"/>
                <w:color w:val="FF0000"/>
                <w:sz w:val="21"/>
                <w:szCs w:val="21"/>
              </w:rPr>
            </w:pPr>
          </w:p>
        </w:tc>
        <w:tc>
          <w:tcPr>
            <w:tcW w:w="217" w:type="dxa"/>
          </w:tcPr>
          <w:p w14:paraId="6D16962D" w14:textId="77777777" w:rsidR="002C0FD9" w:rsidRPr="00CA25CF" w:rsidRDefault="002C0FD9" w:rsidP="00CA25CF">
            <w:pPr>
              <w:rPr>
                <w:rFonts w:cs="Arial"/>
                <w:color w:val="FF0000"/>
                <w:sz w:val="21"/>
                <w:szCs w:val="21"/>
              </w:rPr>
            </w:pPr>
          </w:p>
        </w:tc>
        <w:tc>
          <w:tcPr>
            <w:tcW w:w="217" w:type="dxa"/>
          </w:tcPr>
          <w:p w14:paraId="168C385B" w14:textId="77777777" w:rsidR="002C0FD9" w:rsidRPr="00CA25CF" w:rsidRDefault="002C0FD9" w:rsidP="00CA25CF">
            <w:pPr>
              <w:rPr>
                <w:rFonts w:cs="Arial"/>
                <w:color w:val="FF0000"/>
                <w:sz w:val="21"/>
                <w:szCs w:val="21"/>
              </w:rPr>
            </w:pPr>
          </w:p>
        </w:tc>
        <w:tc>
          <w:tcPr>
            <w:tcW w:w="217" w:type="dxa"/>
          </w:tcPr>
          <w:p w14:paraId="1C5AC637" w14:textId="77777777" w:rsidR="002C0FD9" w:rsidRPr="00CA25CF" w:rsidRDefault="002C0FD9" w:rsidP="00CA25CF">
            <w:pPr>
              <w:rPr>
                <w:rFonts w:cs="Arial"/>
                <w:color w:val="FF0000"/>
                <w:sz w:val="21"/>
                <w:szCs w:val="21"/>
              </w:rPr>
            </w:pPr>
          </w:p>
        </w:tc>
        <w:tc>
          <w:tcPr>
            <w:tcW w:w="217" w:type="dxa"/>
          </w:tcPr>
          <w:p w14:paraId="6172E693" w14:textId="77777777" w:rsidR="002C0FD9" w:rsidRPr="00CA25CF" w:rsidRDefault="002C0FD9" w:rsidP="00CA25CF">
            <w:pPr>
              <w:rPr>
                <w:rFonts w:cs="Arial"/>
                <w:color w:val="FF0000"/>
                <w:sz w:val="21"/>
                <w:szCs w:val="21"/>
              </w:rPr>
            </w:pPr>
          </w:p>
        </w:tc>
        <w:tc>
          <w:tcPr>
            <w:tcW w:w="217" w:type="dxa"/>
          </w:tcPr>
          <w:p w14:paraId="100470E5" w14:textId="77777777" w:rsidR="002C0FD9" w:rsidRPr="00CA25CF" w:rsidRDefault="002C0FD9" w:rsidP="00CA25CF">
            <w:pPr>
              <w:rPr>
                <w:rFonts w:cs="Arial"/>
                <w:color w:val="FF0000"/>
                <w:sz w:val="21"/>
                <w:szCs w:val="21"/>
              </w:rPr>
            </w:pPr>
          </w:p>
        </w:tc>
        <w:tc>
          <w:tcPr>
            <w:tcW w:w="217" w:type="dxa"/>
          </w:tcPr>
          <w:p w14:paraId="156BAC5A" w14:textId="77777777" w:rsidR="002C0FD9" w:rsidRPr="00CA25CF" w:rsidRDefault="002C0FD9" w:rsidP="00CA25CF">
            <w:pPr>
              <w:rPr>
                <w:rFonts w:cs="Arial"/>
                <w:color w:val="FF0000"/>
                <w:sz w:val="21"/>
                <w:szCs w:val="21"/>
              </w:rPr>
            </w:pPr>
          </w:p>
        </w:tc>
        <w:tc>
          <w:tcPr>
            <w:tcW w:w="217" w:type="dxa"/>
          </w:tcPr>
          <w:p w14:paraId="5EBFC426" w14:textId="77777777" w:rsidR="002C0FD9" w:rsidRPr="00CA25CF" w:rsidRDefault="002C0FD9" w:rsidP="00CA25CF">
            <w:pPr>
              <w:rPr>
                <w:rFonts w:cs="Arial"/>
                <w:color w:val="FF0000"/>
                <w:sz w:val="21"/>
                <w:szCs w:val="21"/>
              </w:rPr>
            </w:pPr>
          </w:p>
        </w:tc>
        <w:tc>
          <w:tcPr>
            <w:tcW w:w="217" w:type="dxa"/>
          </w:tcPr>
          <w:p w14:paraId="7DD4BC45" w14:textId="77777777" w:rsidR="002C0FD9" w:rsidRPr="00CA25CF" w:rsidRDefault="002C0FD9" w:rsidP="00CA25CF">
            <w:pPr>
              <w:rPr>
                <w:rFonts w:cs="Arial"/>
                <w:color w:val="FF0000"/>
                <w:sz w:val="21"/>
                <w:szCs w:val="21"/>
              </w:rPr>
            </w:pPr>
          </w:p>
        </w:tc>
        <w:tc>
          <w:tcPr>
            <w:tcW w:w="217" w:type="dxa"/>
          </w:tcPr>
          <w:p w14:paraId="6547946E" w14:textId="77777777" w:rsidR="002C0FD9" w:rsidRPr="00CA25CF" w:rsidRDefault="002C0FD9" w:rsidP="00CA25CF">
            <w:pPr>
              <w:rPr>
                <w:rFonts w:cs="Arial"/>
                <w:color w:val="FF0000"/>
                <w:sz w:val="21"/>
                <w:szCs w:val="21"/>
              </w:rPr>
            </w:pPr>
          </w:p>
        </w:tc>
        <w:tc>
          <w:tcPr>
            <w:tcW w:w="217" w:type="dxa"/>
          </w:tcPr>
          <w:p w14:paraId="0616396C" w14:textId="77777777" w:rsidR="002C0FD9" w:rsidRPr="00CA25CF" w:rsidRDefault="002C0FD9" w:rsidP="00CA25CF">
            <w:pPr>
              <w:rPr>
                <w:rFonts w:cs="Arial"/>
                <w:color w:val="FF0000"/>
                <w:sz w:val="21"/>
                <w:szCs w:val="21"/>
              </w:rPr>
            </w:pPr>
          </w:p>
        </w:tc>
        <w:tc>
          <w:tcPr>
            <w:tcW w:w="217" w:type="dxa"/>
          </w:tcPr>
          <w:p w14:paraId="1DA5A892" w14:textId="77777777" w:rsidR="002C0FD9" w:rsidRPr="00CA25CF" w:rsidRDefault="002C0FD9" w:rsidP="00CA25CF">
            <w:pPr>
              <w:rPr>
                <w:rFonts w:cs="Arial"/>
                <w:color w:val="FF0000"/>
                <w:sz w:val="21"/>
                <w:szCs w:val="21"/>
              </w:rPr>
            </w:pPr>
          </w:p>
        </w:tc>
        <w:tc>
          <w:tcPr>
            <w:tcW w:w="217" w:type="dxa"/>
          </w:tcPr>
          <w:p w14:paraId="7740B5B0" w14:textId="77777777" w:rsidR="002C0FD9" w:rsidRPr="00CA25CF" w:rsidRDefault="002C0FD9" w:rsidP="00CA25CF">
            <w:pPr>
              <w:rPr>
                <w:rFonts w:cs="Arial"/>
                <w:color w:val="FF0000"/>
                <w:sz w:val="21"/>
                <w:szCs w:val="21"/>
              </w:rPr>
            </w:pPr>
          </w:p>
        </w:tc>
        <w:tc>
          <w:tcPr>
            <w:tcW w:w="217" w:type="dxa"/>
          </w:tcPr>
          <w:p w14:paraId="08871A2D" w14:textId="77777777" w:rsidR="002C0FD9" w:rsidRPr="00CA25CF" w:rsidRDefault="002C0FD9" w:rsidP="00CA25CF">
            <w:pPr>
              <w:rPr>
                <w:rFonts w:cs="Arial"/>
                <w:color w:val="FF0000"/>
                <w:sz w:val="21"/>
                <w:szCs w:val="21"/>
              </w:rPr>
            </w:pPr>
          </w:p>
        </w:tc>
        <w:tc>
          <w:tcPr>
            <w:tcW w:w="217" w:type="dxa"/>
          </w:tcPr>
          <w:p w14:paraId="4203DFC7" w14:textId="77777777" w:rsidR="002C0FD9" w:rsidRPr="00CA25CF" w:rsidRDefault="002C0FD9" w:rsidP="00CA25CF">
            <w:pPr>
              <w:rPr>
                <w:rFonts w:cs="Arial"/>
                <w:color w:val="FF0000"/>
                <w:sz w:val="21"/>
                <w:szCs w:val="21"/>
              </w:rPr>
            </w:pPr>
          </w:p>
        </w:tc>
        <w:tc>
          <w:tcPr>
            <w:tcW w:w="217" w:type="dxa"/>
          </w:tcPr>
          <w:p w14:paraId="29ACAE4F" w14:textId="77777777" w:rsidR="002C0FD9" w:rsidRPr="00CA25CF" w:rsidRDefault="002C0FD9" w:rsidP="00CA25CF">
            <w:pPr>
              <w:rPr>
                <w:rFonts w:cs="Arial"/>
                <w:color w:val="FF0000"/>
                <w:sz w:val="21"/>
                <w:szCs w:val="21"/>
              </w:rPr>
            </w:pPr>
          </w:p>
        </w:tc>
        <w:tc>
          <w:tcPr>
            <w:tcW w:w="217" w:type="dxa"/>
          </w:tcPr>
          <w:p w14:paraId="481ADCE3" w14:textId="77777777" w:rsidR="002C0FD9" w:rsidRPr="00CA25CF" w:rsidRDefault="002C0FD9" w:rsidP="00CA25CF">
            <w:pPr>
              <w:rPr>
                <w:rFonts w:cs="Arial"/>
                <w:color w:val="FF0000"/>
                <w:sz w:val="21"/>
                <w:szCs w:val="21"/>
              </w:rPr>
            </w:pPr>
          </w:p>
        </w:tc>
        <w:tc>
          <w:tcPr>
            <w:tcW w:w="217" w:type="dxa"/>
          </w:tcPr>
          <w:p w14:paraId="4998C80E" w14:textId="77777777" w:rsidR="002C0FD9" w:rsidRPr="00CA25CF" w:rsidRDefault="002C0FD9" w:rsidP="00CA25CF">
            <w:pPr>
              <w:rPr>
                <w:rFonts w:cs="Arial"/>
                <w:color w:val="FF0000"/>
                <w:sz w:val="21"/>
                <w:szCs w:val="21"/>
              </w:rPr>
            </w:pPr>
          </w:p>
        </w:tc>
        <w:tc>
          <w:tcPr>
            <w:tcW w:w="217" w:type="dxa"/>
          </w:tcPr>
          <w:p w14:paraId="053FA7E4" w14:textId="77777777" w:rsidR="002C0FD9" w:rsidRPr="00CA25CF" w:rsidRDefault="002C0FD9" w:rsidP="00CA25CF">
            <w:pPr>
              <w:rPr>
                <w:rFonts w:cs="Arial"/>
                <w:color w:val="FF0000"/>
                <w:sz w:val="21"/>
                <w:szCs w:val="21"/>
              </w:rPr>
            </w:pPr>
          </w:p>
        </w:tc>
        <w:tc>
          <w:tcPr>
            <w:tcW w:w="217" w:type="dxa"/>
          </w:tcPr>
          <w:p w14:paraId="76189165" w14:textId="77777777" w:rsidR="002C0FD9" w:rsidRPr="00CA25CF" w:rsidRDefault="002C0FD9" w:rsidP="00CA25CF">
            <w:pPr>
              <w:rPr>
                <w:rFonts w:cs="Arial"/>
                <w:color w:val="FF0000"/>
                <w:sz w:val="21"/>
                <w:szCs w:val="21"/>
              </w:rPr>
            </w:pPr>
          </w:p>
        </w:tc>
        <w:tc>
          <w:tcPr>
            <w:tcW w:w="217" w:type="dxa"/>
          </w:tcPr>
          <w:p w14:paraId="278EB90B" w14:textId="77777777" w:rsidR="002C0FD9" w:rsidRPr="00CA25CF" w:rsidRDefault="002C0FD9" w:rsidP="00CA25CF">
            <w:pPr>
              <w:rPr>
                <w:rFonts w:cs="Arial"/>
                <w:color w:val="FF0000"/>
                <w:sz w:val="21"/>
                <w:szCs w:val="21"/>
              </w:rPr>
            </w:pPr>
          </w:p>
        </w:tc>
        <w:tc>
          <w:tcPr>
            <w:tcW w:w="217" w:type="dxa"/>
          </w:tcPr>
          <w:p w14:paraId="295D9D4F" w14:textId="77777777" w:rsidR="002C0FD9" w:rsidRPr="00CA25CF" w:rsidRDefault="002C0FD9" w:rsidP="00CA25CF">
            <w:pPr>
              <w:rPr>
                <w:rFonts w:cs="Arial"/>
                <w:color w:val="FF0000"/>
                <w:sz w:val="21"/>
                <w:szCs w:val="21"/>
              </w:rPr>
            </w:pPr>
          </w:p>
        </w:tc>
        <w:tc>
          <w:tcPr>
            <w:tcW w:w="217" w:type="dxa"/>
          </w:tcPr>
          <w:p w14:paraId="0768B007" w14:textId="77777777" w:rsidR="002C0FD9" w:rsidRPr="00CA25CF" w:rsidRDefault="002C0FD9" w:rsidP="00CA25CF">
            <w:pPr>
              <w:rPr>
                <w:rFonts w:cs="Arial"/>
                <w:color w:val="FF0000"/>
                <w:sz w:val="21"/>
                <w:szCs w:val="21"/>
              </w:rPr>
            </w:pPr>
          </w:p>
        </w:tc>
        <w:tc>
          <w:tcPr>
            <w:tcW w:w="217" w:type="dxa"/>
          </w:tcPr>
          <w:p w14:paraId="5635A53A" w14:textId="77777777" w:rsidR="002C0FD9" w:rsidRPr="00CA25CF" w:rsidRDefault="002C0FD9" w:rsidP="00CA25CF">
            <w:pPr>
              <w:rPr>
                <w:rFonts w:cs="Arial"/>
                <w:color w:val="FF0000"/>
                <w:sz w:val="21"/>
                <w:szCs w:val="21"/>
              </w:rPr>
            </w:pPr>
          </w:p>
        </w:tc>
        <w:tc>
          <w:tcPr>
            <w:tcW w:w="217" w:type="dxa"/>
          </w:tcPr>
          <w:p w14:paraId="6310941C" w14:textId="77777777" w:rsidR="002C0FD9" w:rsidRPr="00CA25CF" w:rsidRDefault="002C0FD9" w:rsidP="00CA25CF">
            <w:pPr>
              <w:rPr>
                <w:rFonts w:cs="Arial"/>
                <w:color w:val="FF0000"/>
                <w:sz w:val="21"/>
                <w:szCs w:val="21"/>
              </w:rPr>
            </w:pPr>
          </w:p>
        </w:tc>
        <w:tc>
          <w:tcPr>
            <w:tcW w:w="217" w:type="dxa"/>
          </w:tcPr>
          <w:p w14:paraId="0E0EE18C" w14:textId="77777777" w:rsidR="002C0FD9" w:rsidRPr="00CA25CF" w:rsidRDefault="002C0FD9" w:rsidP="00CA25CF">
            <w:pPr>
              <w:rPr>
                <w:rFonts w:cs="Arial"/>
                <w:color w:val="FF0000"/>
                <w:sz w:val="21"/>
                <w:szCs w:val="21"/>
              </w:rPr>
            </w:pPr>
          </w:p>
        </w:tc>
        <w:tc>
          <w:tcPr>
            <w:tcW w:w="217" w:type="dxa"/>
          </w:tcPr>
          <w:p w14:paraId="6BEF767F" w14:textId="77777777" w:rsidR="002C0FD9" w:rsidRPr="00CA25CF" w:rsidRDefault="002C0FD9" w:rsidP="00CA25CF">
            <w:pPr>
              <w:rPr>
                <w:rFonts w:cs="Arial"/>
                <w:color w:val="FF0000"/>
                <w:sz w:val="21"/>
                <w:szCs w:val="21"/>
              </w:rPr>
            </w:pPr>
          </w:p>
        </w:tc>
        <w:tc>
          <w:tcPr>
            <w:tcW w:w="217" w:type="dxa"/>
          </w:tcPr>
          <w:p w14:paraId="5CA1E0A5" w14:textId="77777777" w:rsidR="002C0FD9" w:rsidRPr="00CA25CF" w:rsidRDefault="002C0FD9" w:rsidP="00CA25CF">
            <w:pPr>
              <w:rPr>
                <w:rFonts w:cs="Arial"/>
                <w:color w:val="FF0000"/>
                <w:sz w:val="21"/>
                <w:szCs w:val="21"/>
              </w:rPr>
            </w:pPr>
          </w:p>
        </w:tc>
        <w:tc>
          <w:tcPr>
            <w:tcW w:w="217" w:type="dxa"/>
          </w:tcPr>
          <w:p w14:paraId="4933F32E" w14:textId="77777777" w:rsidR="002C0FD9" w:rsidRPr="00CA25CF" w:rsidRDefault="002C0FD9" w:rsidP="00CA25CF">
            <w:pPr>
              <w:rPr>
                <w:rFonts w:cs="Arial"/>
                <w:color w:val="FF0000"/>
                <w:sz w:val="21"/>
                <w:szCs w:val="21"/>
              </w:rPr>
            </w:pPr>
          </w:p>
        </w:tc>
        <w:tc>
          <w:tcPr>
            <w:tcW w:w="217" w:type="dxa"/>
          </w:tcPr>
          <w:p w14:paraId="6905125C" w14:textId="77777777" w:rsidR="002C0FD9" w:rsidRPr="00CA25CF" w:rsidRDefault="002C0FD9" w:rsidP="00CA25CF">
            <w:pPr>
              <w:rPr>
                <w:rFonts w:cs="Arial"/>
                <w:color w:val="FF0000"/>
                <w:sz w:val="21"/>
                <w:szCs w:val="21"/>
              </w:rPr>
            </w:pPr>
          </w:p>
        </w:tc>
        <w:tc>
          <w:tcPr>
            <w:tcW w:w="217" w:type="dxa"/>
          </w:tcPr>
          <w:p w14:paraId="029E4DC9" w14:textId="77777777" w:rsidR="002C0FD9" w:rsidRPr="00CA25CF" w:rsidRDefault="002C0FD9" w:rsidP="00CA25CF">
            <w:pPr>
              <w:rPr>
                <w:rFonts w:cs="Arial"/>
                <w:color w:val="FF0000"/>
                <w:sz w:val="21"/>
                <w:szCs w:val="21"/>
              </w:rPr>
            </w:pPr>
          </w:p>
        </w:tc>
        <w:tc>
          <w:tcPr>
            <w:tcW w:w="217" w:type="dxa"/>
          </w:tcPr>
          <w:p w14:paraId="0E1ABCE3" w14:textId="77777777" w:rsidR="002C0FD9" w:rsidRPr="00CA25CF" w:rsidRDefault="002C0FD9" w:rsidP="00CA25CF">
            <w:pPr>
              <w:rPr>
                <w:rFonts w:cs="Arial"/>
                <w:color w:val="FF0000"/>
                <w:sz w:val="21"/>
                <w:szCs w:val="21"/>
              </w:rPr>
            </w:pPr>
          </w:p>
        </w:tc>
        <w:tc>
          <w:tcPr>
            <w:tcW w:w="217" w:type="dxa"/>
          </w:tcPr>
          <w:p w14:paraId="32CD1208" w14:textId="77777777" w:rsidR="002C0FD9" w:rsidRPr="00CA25CF" w:rsidRDefault="002C0FD9" w:rsidP="00CA25CF">
            <w:pPr>
              <w:rPr>
                <w:rFonts w:cs="Arial"/>
                <w:color w:val="FF0000"/>
                <w:sz w:val="21"/>
                <w:szCs w:val="21"/>
              </w:rPr>
            </w:pPr>
          </w:p>
        </w:tc>
        <w:tc>
          <w:tcPr>
            <w:tcW w:w="217" w:type="dxa"/>
          </w:tcPr>
          <w:p w14:paraId="003984EB" w14:textId="77777777" w:rsidR="002C0FD9" w:rsidRPr="00CA25CF" w:rsidRDefault="002C0FD9" w:rsidP="00CA25CF">
            <w:pPr>
              <w:rPr>
                <w:rFonts w:cs="Arial"/>
                <w:color w:val="FF0000"/>
                <w:sz w:val="21"/>
                <w:szCs w:val="21"/>
              </w:rPr>
            </w:pPr>
          </w:p>
        </w:tc>
        <w:tc>
          <w:tcPr>
            <w:tcW w:w="217" w:type="dxa"/>
          </w:tcPr>
          <w:p w14:paraId="39ACCDD7" w14:textId="77777777" w:rsidR="002C0FD9" w:rsidRPr="00CA25CF" w:rsidRDefault="002C0FD9" w:rsidP="00CA25CF">
            <w:pPr>
              <w:rPr>
                <w:rFonts w:cs="Arial"/>
                <w:color w:val="FF0000"/>
                <w:sz w:val="21"/>
                <w:szCs w:val="21"/>
              </w:rPr>
            </w:pPr>
          </w:p>
        </w:tc>
        <w:tc>
          <w:tcPr>
            <w:tcW w:w="217" w:type="dxa"/>
          </w:tcPr>
          <w:p w14:paraId="356179DD" w14:textId="77777777" w:rsidR="002C0FD9" w:rsidRPr="00CA25CF" w:rsidRDefault="002C0FD9" w:rsidP="00CA25CF">
            <w:pPr>
              <w:rPr>
                <w:rFonts w:cs="Arial"/>
                <w:color w:val="FF0000"/>
                <w:sz w:val="21"/>
                <w:szCs w:val="21"/>
              </w:rPr>
            </w:pPr>
          </w:p>
        </w:tc>
        <w:tc>
          <w:tcPr>
            <w:tcW w:w="217" w:type="dxa"/>
          </w:tcPr>
          <w:p w14:paraId="778CE375" w14:textId="77777777" w:rsidR="002C0FD9" w:rsidRPr="00CA25CF" w:rsidRDefault="002C0FD9" w:rsidP="00CA25CF">
            <w:pPr>
              <w:rPr>
                <w:rFonts w:cs="Arial"/>
                <w:color w:val="FF0000"/>
                <w:sz w:val="21"/>
                <w:szCs w:val="21"/>
              </w:rPr>
            </w:pPr>
          </w:p>
        </w:tc>
      </w:tr>
      <w:tr w:rsidR="002C0FD9" w:rsidRPr="00A16219" w14:paraId="2FADBE64" w14:textId="0D1D5304" w:rsidTr="002C0FD9">
        <w:trPr>
          <w:trHeight w:val="635"/>
        </w:trPr>
        <w:tc>
          <w:tcPr>
            <w:tcW w:w="515" w:type="dxa"/>
          </w:tcPr>
          <w:p w14:paraId="230D9BC6" w14:textId="77777777" w:rsidR="002C0FD9" w:rsidRPr="00CA25CF" w:rsidRDefault="002C0FD9" w:rsidP="00CA25CF">
            <w:pPr>
              <w:rPr>
                <w:rFonts w:cs="Arial"/>
                <w:color w:val="FF0000"/>
                <w:sz w:val="21"/>
                <w:szCs w:val="21"/>
              </w:rPr>
            </w:pPr>
          </w:p>
        </w:tc>
        <w:tc>
          <w:tcPr>
            <w:tcW w:w="217" w:type="dxa"/>
          </w:tcPr>
          <w:p w14:paraId="48965188" w14:textId="77777777" w:rsidR="002C0FD9" w:rsidRPr="00CA25CF" w:rsidRDefault="002C0FD9" w:rsidP="00CA25CF">
            <w:pPr>
              <w:rPr>
                <w:rFonts w:cs="Arial"/>
                <w:color w:val="FF0000"/>
                <w:sz w:val="21"/>
                <w:szCs w:val="21"/>
              </w:rPr>
            </w:pPr>
          </w:p>
        </w:tc>
        <w:tc>
          <w:tcPr>
            <w:tcW w:w="217" w:type="dxa"/>
          </w:tcPr>
          <w:p w14:paraId="5C1DC508" w14:textId="481429D9" w:rsidR="002C0FD9" w:rsidRPr="00CA25CF" w:rsidRDefault="002C0FD9" w:rsidP="00CA25CF">
            <w:pPr>
              <w:rPr>
                <w:rFonts w:cs="Arial"/>
                <w:color w:val="FF0000"/>
                <w:sz w:val="21"/>
                <w:szCs w:val="21"/>
              </w:rPr>
            </w:pPr>
          </w:p>
        </w:tc>
        <w:tc>
          <w:tcPr>
            <w:tcW w:w="217" w:type="dxa"/>
          </w:tcPr>
          <w:p w14:paraId="7D1CB665" w14:textId="77777777" w:rsidR="002C0FD9" w:rsidRPr="00CA25CF" w:rsidRDefault="002C0FD9" w:rsidP="00CA25CF">
            <w:pPr>
              <w:rPr>
                <w:rFonts w:cs="Arial"/>
                <w:color w:val="FF0000"/>
                <w:sz w:val="21"/>
                <w:szCs w:val="21"/>
              </w:rPr>
            </w:pPr>
          </w:p>
        </w:tc>
        <w:tc>
          <w:tcPr>
            <w:tcW w:w="217" w:type="dxa"/>
          </w:tcPr>
          <w:p w14:paraId="518E2F82" w14:textId="77777777" w:rsidR="002C0FD9" w:rsidRPr="00CA25CF" w:rsidRDefault="002C0FD9" w:rsidP="00CA25CF">
            <w:pPr>
              <w:rPr>
                <w:rFonts w:cs="Arial"/>
                <w:color w:val="FF0000"/>
                <w:sz w:val="21"/>
                <w:szCs w:val="21"/>
              </w:rPr>
            </w:pPr>
          </w:p>
        </w:tc>
        <w:tc>
          <w:tcPr>
            <w:tcW w:w="217" w:type="dxa"/>
          </w:tcPr>
          <w:p w14:paraId="56C180F1" w14:textId="77777777" w:rsidR="002C0FD9" w:rsidRPr="00CA25CF" w:rsidRDefault="002C0FD9" w:rsidP="00CA25CF">
            <w:pPr>
              <w:rPr>
                <w:rFonts w:cs="Arial"/>
                <w:color w:val="FF0000"/>
                <w:sz w:val="21"/>
                <w:szCs w:val="21"/>
              </w:rPr>
            </w:pPr>
          </w:p>
        </w:tc>
        <w:tc>
          <w:tcPr>
            <w:tcW w:w="217" w:type="dxa"/>
          </w:tcPr>
          <w:p w14:paraId="587C7AE9" w14:textId="77777777" w:rsidR="002C0FD9" w:rsidRPr="00CA25CF" w:rsidRDefault="002C0FD9" w:rsidP="00CA25CF">
            <w:pPr>
              <w:rPr>
                <w:rFonts w:cs="Arial"/>
                <w:color w:val="FF0000"/>
                <w:sz w:val="21"/>
                <w:szCs w:val="21"/>
              </w:rPr>
            </w:pPr>
          </w:p>
        </w:tc>
        <w:tc>
          <w:tcPr>
            <w:tcW w:w="217" w:type="dxa"/>
          </w:tcPr>
          <w:p w14:paraId="3A8422EC" w14:textId="77777777" w:rsidR="002C0FD9" w:rsidRPr="00CA25CF" w:rsidRDefault="002C0FD9" w:rsidP="00CA25CF">
            <w:pPr>
              <w:rPr>
                <w:rFonts w:cs="Arial"/>
                <w:color w:val="FF0000"/>
                <w:sz w:val="21"/>
                <w:szCs w:val="21"/>
              </w:rPr>
            </w:pPr>
          </w:p>
        </w:tc>
        <w:tc>
          <w:tcPr>
            <w:tcW w:w="217" w:type="dxa"/>
          </w:tcPr>
          <w:p w14:paraId="7A3C8F3F" w14:textId="77777777" w:rsidR="002C0FD9" w:rsidRPr="00CA25CF" w:rsidRDefault="002C0FD9" w:rsidP="00CA25CF">
            <w:pPr>
              <w:rPr>
                <w:rFonts w:cs="Arial"/>
                <w:color w:val="FF0000"/>
                <w:sz w:val="21"/>
                <w:szCs w:val="21"/>
              </w:rPr>
            </w:pPr>
          </w:p>
        </w:tc>
        <w:tc>
          <w:tcPr>
            <w:tcW w:w="217" w:type="dxa"/>
          </w:tcPr>
          <w:p w14:paraId="00506A16" w14:textId="77777777" w:rsidR="002C0FD9" w:rsidRPr="00CA25CF" w:rsidRDefault="002C0FD9" w:rsidP="00CA25CF">
            <w:pPr>
              <w:rPr>
                <w:rFonts w:cs="Arial"/>
                <w:color w:val="FF0000"/>
                <w:sz w:val="21"/>
                <w:szCs w:val="21"/>
              </w:rPr>
            </w:pPr>
          </w:p>
        </w:tc>
        <w:tc>
          <w:tcPr>
            <w:tcW w:w="217" w:type="dxa"/>
          </w:tcPr>
          <w:p w14:paraId="28028DC2" w14:textId="77777777" w:rsidR="002C0FD9" w:rsidRPr="00CA25CF" w:rsidRDefault="002C0FD9" w:rsidP="00CA25CF">
            <w:pPr>
              <w:rPr>
                <w:rFonts w:cs="Arial"/>
                <w:color w:val="FF0000"/>
                <w:sz w:val="21"/>
                <w:szCs w:val="21"/>
              </w:rPr>
            </w:pPr>
          </w:p>
        </w:tc>
        <w:tc>
          <w:tcPr>
            <w:tcW w:w="217" w:type="dxa"/>
          </w:tcPr>
          <w:p w14:paraId="05051510" w14:textId="77777777" w:rsidR="002C0FD9" w:rsidRPr="00CA25CF" w:rsidRDefault="002C0FD9" w:rsidP="00CA25CF">
            <w:pPr>
              <w:rPr>
                <w:rFonts w:cs="Arial"/>
                <w:color w:val="FF0000"/>
                <w:sz w:val="21"/>
                <w:szCs w:val="21"/>
              </w:rPr>
            </w:pPr>
          </w:p>
        </w:tc>
        <w:tc>
          <w:tcPr>
            <w:tcW w:w="217" w:type="dxa"/>
          </w:tcPr>
          <w:p w14:paraId="2F05B08D" w14:textId="77777777" w:rsidR="002C0FD9" w:rsidRPr="00CA25CF" w:rsidRDefault="002C0FD9" w:rsidP="00CA25CF">
            <w:pPr>
              <w:rPr>
                <w:rFonts w:cs="Arial"/>
                <w:color w:val="FF0000"/>
                <w:sz w:val="21"/>
                <w:szCs w:val="21"/>
              </w:rPr>
            </w:pPr>
          </w:p>
        </w:tc>
        <w:tc>
          <w:tcPr>
            <w:tcW w:w="217" w:type="dxa"/>
          </w:tcPr>
          <w:p w14:paraId="0852CB5F" w14:textId="77777777" w:rsidR="002C0FD9" w:rsidRPr="00CA25CF" w:rsidRDefault="002C0FD9" w:rsidP="00CA25CF">
            <w:pPr>
              <w:rPr>
                <w:rFonts w:cs="Arial"/>
                <w:color w:val="FF0000"/>
                <w:sz w:val="21"/>
                <w:szCs w:val="21"/>
              </w:rPr>
            </w:pPr>
          </w:p>
        </w:tc>
        <w:tc>
          <w:tcPr>
            <w:tcW w:w="217" w:type="dxa"/>
          </w:tcPr>
          <w:p w14:paraId="6B50AD30" w14:textId="77777777" w:rsidR="002C0FD9" w:rsidRPr="00CA25CF" w:rsidRDefault="002C0FD9" w:rsidP="00CA25CF">
            <w:pPr>
              <w:rPr>
                <w:rFonts w:cs="Arial"/>
                <w:color w:val="FF0000"/>
                <w:sz w:val="21"/>
                <w:szCs w:val="21"/>
              </w:rPr>
            </w:pPr>
          </w:p>
        </w:tc>
        <w:tc>
          <w:tcPr>
            <w:tcW w:w="217" w:type="dxa"/>
          </w:tcPr>
          <w:p w14:paraId="1110F4B0" w14:textId="77777777" w:rsidR="002C0FD9" w:rsidRPr="00CA25CF" w:rsidRDefault="002C0FD9" w:rsidP="00CA25CF">
            <w:pPr>
              <w:rPr>
                <w:rFonts w:cs="Arial"/>
                <w:color w:val="FF0000"/>
                <w:sz w:val="21"/>
                <w:szCs w:val="21"/>
              </w:rPr>
            </w:pPr>
          </w:p>
        </w:tc>
        <w:tc>
          <w:tcPr>
            <w:tcW w:w="217" w:type="dxa"/>
          </w:tcPr>
          <w:p w14:paraId="5287CD24" w14:textId="77777777" w:rsidR="002C0FD9" w:rsidRPr="00CA25CF" w:rsidRDefault="002C0FD9" w:rsidP="00CA25CF">
            <w:pPr>
              <w:rPr>
                <w:rFonts w:cs="Arial"/>
                <w:color w:val="FF0000"/>
                <w:sz w:val="21"/>
                <w:szCs w:val="21"/>
              </w:rPr>
            </w:pPr>
          </w:p>
        </w:tc>
        <w:tc>
          <w:tcPr>
            <w:tcW w:w="217" w:type="dxa"/>
          </w:tcPr>
          <w:p w14:paraId="3ED5C9AD" w14:textId="77777777" w:rsidR="002C0FD9" w:rsidRPr="00CA25CF" w:rsidRDefault="002C0FD9" w:rsidP="00CA25CF">
            <w:pPr>
              <w:rPr>
                <w:rFonts w:cs="Arial"/>
                <w:color w:val="FF0000"/>
                <w:sz w:val="21"/>
                <w:szCs w:val="21"/>
              </w:rPr>
            </w:pPr>
          </w:p>
        </w:tc>
        <w:tc>
          <w:tcPr>
            <w:tcW w:w="217" w:type="dxa"/>
          </w:tcPr>
          <w:p w14:paraId="2AA6C565" w14:textId="77777777" w:rsidR="002C0FD9" w:rsidRPr="00CA25CF" w:rsidRDefault="002C0FD9" w:rsidP="00CA25CF">
            <w:pPr>
              <w:rPr>
                <w:rFonts w:cs="Arial"/>
                <w:color w:val="FF0000"/>
                <w:sz w:val="21"/>
                <w:szCs w:val="21"/>
              </w:rPr>
            </w:pPr>
          </w:p>
        </w:tc>
        <w:tc>
          <w:tcPr>
            <w:tcW w:w="217" w:type="dxa"/>
          </w:tcPr>
          <w:p w14:paraId="5AEF7B79" w14:textId="77777777" w:rsidR="002C0FD9" w:rsidRPr="00CA25CF" w:rsidRDefault="002C0FD9" w:rsidP="00CA25CF">
            <w:pPr>
              <w:rPr>
                <w:rFonts w:cs="Arial"/>
                <w:color w:val="FF0000"/>
                <w:sz w:val="21"/>
                <w:szCs w:val="21"/>
              </w:rPr>
            </w:pPr>
          </w:p>
        </w:tc>
        <w:tc>
          <w:tcPr>
            <w:tcW w:w="217" w:type="dxa"/>
          </w:tcPr>
          <w:p w14:paraId="3060AB3F" w14:textId="77777777" w:rsidR="002C0FD9" w:rsidRPr="00CA25CF" w:rsidRDefault="002C0FD9" w:rsidP="00CA25CF">
            <w:pPr>
              <w:rPr>
                <w:rFonts w:cs="Arial"/>
                <w:color w:val="FF0000"/>
                <w:sz w:val="21"/>
                <w:szCs w:val="21"/>
              </w:rPr>
            </w:pPr>
          </w:p>
        </w:tc>
        <w:tc>
          <w:tcPr>
            <w:tcW w:w="217" w:type="dxa"/>
          </w:tcPr>
          <w:p w14:paraId="07966502" w14:textId="77777777" w:rsidR="002C0FD9" w:rsidRPr="00CA25CF" w:rsidRDefault="002C0FD9" w:rsidP="00CA25CF">
            <w:pPr>
              <w:rPr>
                <w:rFonts w:cs="Arial"/>
                <w:color w:val="FF0000"/>
                <w:sz w:val="21"/>
                <w:szCs w:val="21"/>
              </w:rPr>
            </w:pPr>
          </w:p>
        </w:tc>
        <w:tc>
          <w:tcPr>
            <w:tcW w:w="217" w:type="dxa"/>
          </w:tcPr>
          <w:p w14:paraId="390688FC" w14:textId="77777777" w:rsidR="002C0FD9" w:rsidRPr="00CA25CF" w:rsidRDefault="002C0FD9" w:rsidP="00CA25CF">
            <w:pPr>
              <w:rPr>
                <w:rFonts w:cs="Arial"/>
                <w:color w:val="FF0000"/>
                <w:sz w:val="21"/>
                <w:szCs w:val="21"/>
              </w:rPr>
            </w:pPr>
          </w:p>
        </w:tc>
        <w:tc>
          <w:tcPr>
            <w:tcW w:w="217" w:type="dxa"/>
          </w:tcPr>
          <w:p w14:paraId="4AC1FECB" w14:textId="77777777" w:rsidR="002C0FD9" w:rsidRPr="00CA25CF" w:rsidRDefault="002C0FD9" w:rsidP="00CA25CF">
            <w:pPr>
              <w:rPr>
                <w:rFonts w:cs="Arial"/>
                <w:color w:val="FF0000"/>
                <w:sz w:val="21"/>
                <w:szCs w:val="21"/>
              </w:rPr>
            </w:pPr>
          </w:p>
        </w:tc>
        <w:tc>
          <w:tcPr>
            <w:tcW w:w="217" w:type="dxa"/>
          </w:tcPr>
          <w:p w14:paraId="0F588405" w14:textId="77777777" w:rsidR="002C0FD9" w:rsidRPr="00CA25CF" w:rsidRDefault="002C0FD9" w:rsidP="00CA25CF">
            <w:pPr>
              <w:rPr>
                <w:rFonts w:cs="Arial"/>
                <w:color w:val="FF0000"/>
                <w:sz w:val="21"/>
                <w:szCs w:val="21"/>
              </w:rPr>
            </w:pPr>
          </w:p>
        </w:tc>
        <w:tc>
          <w:tcPr>
            <w:tcW w:w="217" w:type="dxa"/>
          </w:tcPr>
          <w:p w14:paraId="51CD783A" w14:textId="77777777" w:rsidR="002C0FD9" w:rsidRPr="00CA25CF" w:rsidRDefault="002C0FD9" w:rsidP="00CA25CF">
            <w:pPr>
              <w:rPr>
                <w:rFonts w:cs="Arial"/>
                <w:color w:val="FF0000"/>
                <w:sz w:val="21"/>
                <w:szCs w:val="21"/>
              </w:rPr>
            </w:pPr>
          </w:p>
        </w:tc>
        <w:tc>
          <w:tcPr>
            <w:tcW w:w="217" w:type="dxa"/>
          </w:tcPr>
          <w:p w14:paraId="528A1CB1" w14:textId="77777777" w:rsidR="002C0FD9" w:rsidRPr="00CA25CF" w:rsidRDefault="002C0FD9" w:rsidP="00CA25CF">
            <w:pPr>
              <w:rPr>
                <w:rFonts w:cs="Arial"/>
                <w:color w:val="FF0000"/>
                <w:sz w:val="21"/>
                <w:szCs w:val="21"/>
              </w:rPr>
            </w:pPr>
          </w:p>
        </w:tc>
        <w:tc>
          <w:tcPr>
            <w:tcW w:w="217" w:type="dxa"/>
          </w:tcPr>
          <w:p w14:paraId="177B810E" w14:textId="77777777" w:rsidR="002C0FD9" w:rsidRPr="00CA25CF" w:rsidRDefault="002C0FD9" w:rsidP="00CA25CF">
            <w:pPr>
              <w:rPr>
                <w:rFonts w:cs="Arial"/>
                <w:color w:val="FF0000"/>
                <w:sz w:val="21"/>
                <w:szCs w:val="21"/>
              </w:rPr>
            </w:pPr>
          </w:p>
        </w:tc>
        <w:tc>
          <w:tcPr>
            <w:tcW w:w="217" w:type="dxa"/>
          </w:tcPr>
          <w:p w14:paraId="7812A5E3" w14:textId="77777777" w:rsidR="002C0FD9" w:rsidRPr="00CA25CF" w:rsidRDefault="002C0FD9" w:rsidP="00CA25CF">
            <w:pPr>
              <w:rPr>
                <w:rFonts w:cs="Arial"/>
                <w:color w:val="FF0000"/>
                <w:sz w:val="21"/>
                <w:szCs w:val="21"/>
              </w:rPr>
            </w:pPr>
          </w:p>
        </w:tc>
        <w:tc>
          <w:tcPr>
            <w:tcW w:w="217" w:type="dxa"/>
          </w:tcPr>
          <w:p w14:paraId="7E72F151" w14:textId="77777777" w:rsidR="002C0FD9" w:rsidRPr="00CA25CF" w:rsidRDefault="002C0FD9" w:rsidP="00CA25CF">
            <w:pPr>
              <w:rPr>
                <w:rFonts w:cs="Arial"/>
                <w:color w:val="FF0000"/>
                <w:sz w:val="21"/>
                <w:szCs w:val="21"/>
              </w:rPr>
            </w:pPr>
          </w:p>
        </w:tc>
        <w:tc>
          <w:tcPr>
            <w:tcW w:w="217" w:type="dxa"/>
          </w:tcPr>
          <w:p w14:paraId="1AA0BA5F" w14:textId="77777777" w:rsidR="002C0FD9" w:rsidRPr="00CA25CF" w:rsidRDefault="002C0FD9" w:rsidP="00CA25CF">
            <w:pPr>
              <w:rPr>
                <w:rFonts w:cs="Arial"/>
                <w:color w:val="FF0000"/>
                <w:sz w:val="21"/>
                <w:szCs w:val="21"/>
              </w:rPr>
            </w:pPr>
          </w:p>
        </w:tc>
        <w:tc>
          <w:tcPr>
            <w:tcW w:w="217" w:type="dxa"/>
          </w:tcPr>
          <w:p w14:paraId="231A916D" w14:textId="77777777" w:rsidR="002C0FD9" w:rsidRPr="00CA25CF" w:rsidRDefault="002C0FD9" w:rsidP="00CA25CF">
            <w:pPr>
              <w:rPr>
                <w:rFonts w:cs="Arial"/>
                <w:color w:val="FF0000"/>
                <w:sz w:val="21"/>
                <w:szCs w:val="21"/>
              </w:rPr>
            </w:pPr>
          </w:p>
        </w:tc>
        <w:tc>
          <w:tcPr>
            <w:tcW w:w="217" w:type="dxa"/>
          </w:tcPr>
          <w:p w14:paraId="4D49BDF1" w14:textId="77777777" w:rsidR="002C0FD9" w:rsidRPr="00CA25CF" w:rsidRDefault="002C0FD9" w:rsidP="00CA25CF">
            <w:pPr>
              <w:rPr>
                <w:rFonts w:cs="Arial"/>
                <w:color w:val="FF0000"/>
                <w:sz w:val="21"/>
                <w:szCs w:val="21"/>
              </w:rPr>
            </w:pPr>
          </w:p>
        </w:tc>
        <w:tc>
          <w:tcPr>
            <w:tcW w:w="217" w:type="dxa"/>
          </w:tcPr>
          <w:p w14:paraId="21089AFF" w14:textId="77777777" w:rsidR="002C0FD9" w:rsidRPr="00CA25CF" w:rsidRDefault="002C0FD9" w:rsidP="00CA25CF">
            <w:pPr>
              <w:rPr>
                <w:rFonts w:cs="Arial"/>
                <w:color w:val="FF0000"/>
                <w:sz w:val="21"/>
                <w:szCs w:val="21"/>
              </w:rPr>
            </w:pPr>
          </w:p>
        </w:tc>
        <w:tc>
          <w:tcPr>
            <w:tcW w:w="217" w:type="dxa"/>
          </w:tcPr>
          <w:p w14:paraId="622EF74F" w14:textId="77777777" w:rsidR="002C0FD9" w:rsidRPr="00CA25CF" w:rsidRDefault="002C0FD9" w:rsidP="00CA25CF">
            <w:pPr>
              <w:rPr>
                <w:rFonts w:cs="Arial"/>
                <w:color w:val="FF0000"/>
                <w:sz w:val="21"/>
                <w:szCs w:val="21"/>
              </w:rPr>
            </w:pPr>
          </w:p>
        </w:tc>
        <w:tc>
          <w:tcPr>
            <w:tcW w:w="217" w:type="dxa"/>
          </w:tcPr>
          <w:p w14:paraId="3ED28743" w14:textId="77777777" w:rsidR="002C0FD9" w:rsidRPr="00CA25CF" w:rsidRDefault="002C0FD9" w:rsidP="00CA25CF">
            <w:pPr>
              <w:rPr>
                <w:rFonts w:cs="Arial"/>
                <w:color w:val="FF0000"/>
                <w:sz w:val="21"/>
                <w:szCs w:val="21"/>
              </w:rPr>
            </w:pPr>
          </w:p>
        </w:tc>
        <w:tc>
          <w:tcPr>
            <w:tcW w:w="217" w:type="dxa"/>
          </w:tcPr>
          <w:p w14:paraId="2D9BEEF5" w14:textId="77777777" w:rsidR="002C0FD9" w:rsidRPr="00CA25CF" w:rsidRDefault="002C0FD9" w:rsidP="00CA25CF">
            <w:pPr>
              <w:rPr>
                <w:rFonts w:cs="Arial"/>
                <w:color w:val="FF0000"/>
                <w:sz w:val="21"/>
                <w:szCs w:val="21"/>
              </w:rPr>
            </w:pPr>
          </w:p>
        </w:tc>
        <w:tc>
          <w:tcPr>
            <w:tcW w:w="217" w:type="dxa"/>
          </w:tcPr>
          <w:p w14:paraId="522AE9C5" w14:textId="77777777" w:rsidR="002C0FD9" w:rsidRPr="00CA25CF" w:rsidRDefault="002C0FD9" w:rsidP="00CA25CF">
            <w:pPr>
              <w:rPr>
                <w:rFonts w:cs="Arial"/>
                <w:color w:val="FF0000"/>
                <w:sz w:val="21"/>
                <w:szCs w:val="21"/>
              </w:rPr>
            </w:pPr>
          </w:p>
        </w:tc>
        <w:tc>
          <w:tcPr>
            <w:tcW w:w="217" w:type="dxa"/>
          </w:tcPr>
          <w:p w14:paraId="53571051" w14:textId="77777777" w:rsidR="002C0FD9" w:rsidRPr="00CA25CF" w:rsidRDefault="002C0FD9" w:rsidP="00CA25CF">
            <w:pPr>
              <w:rPr>
                <w:rFonts w:cs="Arial"/>
                <w:color w:val="FF0000"/>
                <w:sz w:val="21"/>
                <w:szCs w:val="21"/>
              </w:rPr>
            </w:pPr>
          </w:p>
        </w:tc>
        <w:tc>
          <w:tcPr>
            <w:tcW w:w="217" w:type="dxa"/>
          </w:tcPr>
          <w:p w14:paraId="4E19E6E4" w14:textId="77777777" w:rsidR="002C0FD9" w:rsidRPr="00CA25CF" w:rsidRDefault="002C0FD9" w:rsidP="00CA25CF">
            <w:pPr>
              <w:rPr>
                <w:rFonts w:cs="Arial"/>
                <w:color w:val="FF0000"/>
                <w:sz w:val="21"/>
                <w:szCs w:val="21"/>
              </w:rPr>
            </w:pPr>
          </w:p>
        </w:tc>
        <w:tc>
          <w:tcPr>
            <w:tcW w:w="217" w:type="dxa"/>
          </w:tcPr>
          <w:p w14:paraId="52BB8F25" w14:textId="77777777" w:rsidR="002C0FD9" w:rsidRPr="00CA25CF" w:rsidRDefault="002C0FD9" w:rsidP="00CA25CF">
            <w:pPr>
              <w:rPr>
                <w:rFonts w:cs="Arial"/>
                <w:color w:val="FF0000"/>
                <w:sz w:val="21"/>
                <w:szCs w:val="21"/>
              </w:rPr>
            </w:pPr>
          </w:p>
        </w:tc>
        <w:tc>
          <w:tcPr>
            <w:tcW w:w="217" w:type="dxa"/>
          </w:tcPr>
          <w:p w14:paraId="006F61E0" w14:textId="77777777" w:rsidR="002C0FD9" w:rsidRPr="00CA25CF" w:rsidRDefault="002C0FD9" w:rsidP="00CA25CF">
            <w:pPr>
              <w:rPr>
                <w:rFonts w:cs="Arial"/>
                <w:color w:val="FF0000"/>
                <w:sz w:val="21"/>
                <w:szCs w:val="21"/>
              </w:rPr>
            </w:pPr>
          </w:p>
        </w:tc>
        <w:tc>
          <w:tcPr>
            <w:tcW w:w="217" w:type="dxa"/>
          </w:tcPr>
          <w:p w14:paraId="4C0A8346" w14:textId="77777777" w:rsidR="002C0FD9" w:rsidRPr="00CA25CF" w:rsidRDefault="002C0FD9" w:rsidP="00CA25CF">
            <w:pPr>
              <w:rPr>
                <w:rFonts w:cs="Arial"/>
                <w:color w:val="FF0000"/>
                <w:sz w:val="21"/>
                <w:szCs w:val="21"/>
              </w:rPr>
            </w:pPr>
          </w:p>
        </w:tc>
      </w:tr>
      <w:tr w:rsidR="002C0FD9" w:rsidRPr="00A16219" w14:paraId="72FDB918" w14:textId="06E3D4ED" w:rsidTr="002C0FD9">
        <w:trPr>
          <w:trHeight w:val="635"/>
        </w:trPr>
        <w:tc>
          <w:tcPr>
            <w:tcW w:w="515" w:type="dxa"/>
          </w:tcPr>
          <w:p w14:paraId="376DD2CD" w14:textId="77777777" w:rsidR="002C0FD9" w:rsidRPr="00CA25CF" w:rsidRDefault="002C0FD9" w:rsidP="00CA25CF">
            <w:pPr>
              <w:rPr>
                <w:rFonts w:cs="Arial"/>
                <w:color w:val="FF0000"/>
                <w:sz w:val="21"/>
                <w:szCs w:val="21"/>
              </w:rPr>
            </w:pPr>
          </w:p>
        </w:tc>
        <w:tc>
          <w:tcPr>
            <w:tcW w:w="217" w:type="dxa"/>
          </w:tcPr>
          <w:p w14:paraId="0DF76563" w14:textId="77777777" w:rsidR="002C0FD9" w:rsidRPr="00CA25CF" w:rsidRDefault="002C0FD9" w:rsidP="00CA25CF">
            <w:pPr>
              <w:rPr>
                <w:rFonts w:cs="Arial"/>
                <w:color w:val="FF0000"/>
                <w:sz w:val="21"/>
                <w:szCs w:val="21"/>
              </w:rPr>
            </w:pPr>
          </w:p>
        </w:tc>
        <w:tc>
          <w:tcPr>
            <w:tcW w:w="217" w:type="dxa"/>
          </w:tcPr>
          <w:p w14:paraId="0B3CDF76" w14:textId="5EE4E378" w:rsidR="002C0FD9" w:rsidRPr="00CA25CF" w:rsidRDefault="002C0FD9" w:rsidP="00CA25CF">
            <w:pPr>
              <w:rPr>
                <w:rFonts w:cs="Arial"/>
                <w:color w:val="FF0000"/>
                <w:sz w:val="21"/>
                <w:szCs w:val="21"/>
              </w:rPr>
            </w:pPr>
          </w:p>
        </w:tc>
        <w:tc>
          <w:tcPr>
            <w:tcW w:w="217" w:type="dxa"/>
          </w:tcPr>
          <w:p w14:paraId="3955754E" w14:textId="77777777" w:rsidR="002C0FD9" w:rsidRPr="00CA25CF" w:rsidRDefault="002C0FD9" w:rsidP="00CA25CF">
            <w:pPr>
              <w:rPr>
                <w:rFonts w:cs="Arial"/>
                <w:color w:val="FF0000"/>
                <w:sz w:val="21"/>
                <w:szCs w:val="21"/>
              </w:rPr>
            </w:pPr>
          </w:p>
        </w:tc>
        <w:tc>
          <w:tcPr>
            <w:tcW w:w="217" w:type="dxa"/>
          </w:tcPr>
          <w:p w14:paraId="1E81F719" w14:textId="77777777" w:rsidR="002C0FD9" w:rsidRPr="00CA25CF" w:rsidRDefault="002C0FD9" w:rsidP="00CA25CF">
            <w:pPr>
              <w:rPr>
                <w:rFonts w:cs="Arial"/>
                <w:color w:val="FF0000"/>
                <w:sz w:val="21"/>
                <w:szCs w:val="21"/>
              </w:rPr>
            </w:pPr>
          </w:p>
        </w:tc>
        <w:tc>
          <w:tcPr>
            <w:tcW w:w="217" w:type="dxa"/>
          </w:tcPr>
          <w:p w14:paraId="7AF131AD" w14:textId="77777777" w:rsidR="002C0FD9" w:rsidRPr="00CA25CF" w:rsidRDefault="002C0FD9" w:rsidP="00CA25CF">
            <w:pPr>
              <w:rPr>
                <w:rFonts w:cs="Arial"/>
                <w:color w:val="FF0000"/>
                <w:sz w:val="21"/>
                <w:szCs w:val="21"/>
              </w:rPr>
            </w:pPr>
          </w:p>
        </w:tc>
        <w:tc>
          <w:tcPr>
            <w:tcW w:w="217" w:type="dxa"/>
          </w:tcPr>
          <w:p w14:paraId="120BB183" w14:textId="77777777" w:rsidR="002C0FD9" w:rsidRPr="00CA25CF" w:rsidRDefault="002C0FD9" w:rsidP="00CA25CF">
            <w:pPr>
              <w:rPr>
                <w:rFonts w:cs="Arial"/>
                <w:color w:val="FF0000"/>
                <w:sz w:val="21"/>
                <w:szCs w:val="21"/>
              </w:rPr>
            </w:pPr>
          </w:p>
        </w:tc>
        <w:tc>
          <w:tcPr>
            <w:tcW w:w="217" w:type="dxa"/>
          </w:tcPr>
          <w:p w14:paraId="65A5A536" w14:textId="77777777" w:rsidR="002C0FD9" w:rsidRPr="00CA25CF" w:rsidRDefault="002C0FD9" w:rsidP="00CA25CF">
            <w:pPr>
              <w:rPr>
                <w:rFonts w:cs="Arial"/>
                <w:color w:val="FF0000"/>
                <w:sz w:val="21"/>
                <w:szCs w:val="21"/>
              </w:rPr>
            </w:pPr>
          </w:p>
        </w:tc>
        <w:tc>
          <w:tcPr>
            <w:tcW w:w="217" w:type="dxa"/>
          </w:tcPr>
          <w:p w14:paraId="1EBFF26B" w14:textId="77777777" w:rsidR="002C0FD9" w:rsidRPr="00CA25CF" w:rsidRDefault="002C0FD9" w:rsidP="00CA25CF">
            <w:pPr>
              <w:rPr>
                <w:rFonts w:cs="Arial"/>
                <w:color w:val="FF0000"/>
                <w:sz w:val="21"/>
                <w:szCs w:val="21"/>
              </w:rPr>
            </w:pPr>
          </w:p>
        </w:tc>
        <w:tc>
          <w:tcPr>
            <w:tcW w:w="217" w:type="dxa"/>
          </w:tcPr>
          <w:p w14:paraId="44C3B8A1" w14:textId="77777777" w:rsidR="002C0FD9" w:rsidRPr="00CA25CF" w:rsidRDefault="002C0FD9" w:rsidP="00CA25CF">
            <w:pPr>
              <w:rPr>
                <w:rFonts w:cs="Arial"/>
                <w:color w:val="FF0000"/>
                <w:sz w:val="21"/>
                <w:szCs w:val="21"/>
              </w:rPr>
            </w:pPr>
          </w:p>
        </w:tc>
        <w:tc>
          <w:tcPr>
            <w:tcW w:w="217" w:type="dxa"/>
          </w:tcPr>
          <w:p w14:paraId="238ED673" w14:textId="77777777" w:rsidR="002C0FD9" w:rsidRPr="00CA25CF" w:rsidRDefault="002C0FD9" w:rsidP="00CA25CF">
            <w:pPr>
              <w:rPr>
                <w:rFonts w:cs="Arial"/>
                <w:color w:val="FF0000"/>
                <w:sz w:val="21"/>
                <w:szCs w:val="21"/>
              </w:rPr>
            </w:pPr>
          </w:p>
        </w:tc>
        <w:tc>
          <w:tcPr>
            <w:tcW w:w="217" w:type="dxa"/>
          </w:tcPr>
          <w:p w14:paraId="39C5CB13" w14:textId="77777777" w:rsidR="002C0FD9" w:rsidRPr="00CA25CF" w:rsidRDefault="002C0FD9" w:rsidP="00CA25CF">
            <w:pPr>
              <w:rPr>
                <w:rFonts w:cs="Arial"/>
                <w:color w:val="FF0000"/>
                <w:sz w:val="21"/>
                <w:szCs w:val="21"/>
              </w:rPr>
            </w:pPr>
          </w:p>
        </w:tc>
        <w:tc>
          <w:tcPr>
            <w:tcW w:w="217" w:type="dxa"/>
          </w:tcPr>
          <w:p w14:paraId="740C74D0" w14:textId="77777777" w:rsidR="002C0FD9" w:rsidRPr="00CA25CF" w:rsidRDefault="002C0FD9" w:rsidP="00CA25CF">
            <w:pPr>
              <w:rPr>
                <w:rFonts w:cs="Arial"/>
                <w:color w:val="FF0000"/>
                <w:sz w:val="21"/>
                <w:szCs w:val="21"/>
              </w:rPr>
            </w:pPr>
          </w:p>
        </w:tc>
        <w:tc>
          <w:tcPr>
            <w:tcW w:w="217" w:type="dxa"/>
          </w:tcPr>
          <w:p w14:paraId="1CEA3265" w14:textId="77777777" w:rsidR="002C0FD9" w:rsidRPr="00CA25CF" w:rsidRDefault="002C0FD9" w:rsidP="00CA25CF">
            <w:pPr>
              <w:rPr>
                <w:rFonts w:cs="Arial"/>
                <w:color w:val="FF0000"/>
                <w:sz w:val="21"/>
                <w:szCs w:val="21"/>
              </w:rPr>
            </w:pPr>
          </w:p>
        </w:tc>
        <w:tc>
          <w:tcPr>
            <w:tcW w:w="217" w:type="dxa"/>
          </w:tcPr>
          <w:p w14:paraId="5F9C16A5" w14:textId="77777777" w:rsidR="002C0FD9" w:rsidRPr="00CA25CF" w:rsidRDefault="002C0FD9" w:rsidP="00CA25CF">
            <w:pPr>
              <w:rPr>
                <w:rFonts w:cs="Arial"/>
                <w:color w:val="FF0000"/>
                <w:sz w:val="21"/>
                <w:szCs w:val="21"/>
              </w:rPr>
            </w:pPr>
          </w:p>
        </w:tc>
        <w:tc>
          <w:tcPr>
            <w:tcW w:w="217" w:type="dxa"/>
          </w:tcPr>
          <w:p w14:paraId="021D9C80" w14:textId="77777777" w:rsidR="002C0FD9" w:rsidRPr="00CA25CF" w:rsidRDefault="002C0FD9" w:rsidP="00CA25CF">
            <w:pPr>
              <w:rPr>
                <w:rFonts w:cs="Arial"/>
                <w:color w:val="FF0000"/>
                <w:sz w:val="21"/>
                <w:szCs w:val="21"/>
              </w:rPr>
            </w:pPr>
          </w:p>
        </w:tc>
        <w:tc>
          <w:tcPr>
            <w:tcW w:w="217" w:type="dxa"/>
          </w:tcPr>
          <w:p w14:paraId="450984D6" w14:textId="77777777" w:rsidR="002C0FD9" w:rsidRPr="00CA25CF" w:rsidRDefault="002C0FD9" w:rsidP="00CA25CF">
            <w:pPr>
              <w:rPr>
                <w:rFonts w:cs="Arial"/>
                <w:color w:val="FF0000"/>
                <w:sz w:val="21"/>
                <w:szCs w:val="21"/>
              </w:rPr>
            </w:pPr>
          </w:p>
        </w:tc>
        <w:tc>
          <w:tcPr>
            <w:tcW w:w="217" w:type="dxa"/>
          </w:tcPr>
          <w:p w14:paraId="1939D146" w14:textId="77777777" w:rsidR="002C0FD9" w:rsidRPr="00CA25CF" w:rsidRDefault="002C0FD9" w:rsidP="00CA25CF">
            <w:pPr>
              <w:rPr>
                <w:rFonts w:cs="Arial"/>
                <w:color w:val="FF0000"/>
                <w:sz w:val="21"/>
                <w:szCs w:val="21"/>
              </w:rPr>
            </w:pPr>
          </w:p>
        </w:tc>
        <w:tc>
          <w:tcPr>
            <w:tcW w:w="217" w:type="dxa"/>
          </w:tcPr>
          <w:p w14:paraId="5A1E3881" w14:textId="77777777" w:rsidR="002C0FD9" w:rsidRPr="00CA25CF" w:rsidRDefault="002C0FD9" w:rsidP="00CA25CF">
            <w:pPr>
              <w:rPr>
                <w:rFonts w:cs="Arial"/>
                <w:color w:val="FF0000"/>
                <w:sz w:val="21"/>
                <w:szCs w:val="21"/>
              </w:rPr>
            </w:pPr>
          </w:p>
        </w:tc>
        <w:tc>
          <w:tcPr>
            <w:tcW w:w="217" w:type="dxa"/>
          </w:tcPr>
          <w:p w14:paraId="546A910B" w14:textId="77777777" w:rsidR="002C0FD9" w:rsidRPr="00CA25CF" w:rsidRDefault="002C0FD9" w:rsidP="00CA25CF">
            <w:pPr>
              <w:rPr>
                <w:rFonts w:cs="Arial"/>
                <w:color w:val="FF0000"/>
                <w:sz w:val="21"/>
                <w:szCs w:val="21"/>
              </w:rPr>
            </w:pPr>
          </w:p>
        </w:tc>
        <w:tc>
          <w:tcPr>
            <w:tcW w:w="217" w:type="dxa"/>
          </w:tcPr>
          <w:p w14:paraId="174B2738" w14:textId="77777777" w:rsidR="002C0FD9" w:rsidRPr="00CA25CF" w:rsidRDefault="002C0FD9" w:rsidP="00CA25CF">
            <w:pPr>
              <w:rPr>
                <w:rFonts w:cs="Arial"/>
                <w:color w:val="FF0000"/>
                <w:sz w:val="21"/>
                <w:szCs w:val="21"/>
              </w:rPr>
            </w:pPr>
          </w:p>
        </w:tc>
        <w:tc>
          <w:tcPr>
            <w:tcW w:w="217" w:type="dxa"/>
          </w:tcPr>
          <w:p w14:paraId="392C491D" w14:textId="77777777" w:rsidR="002C0FD9" w:rsidRPr="00CA25CF" w:rsidRDefault="002C0FD9" w:rsidP="00CA25CF">
            <w:pPr>
              <w:rPr>
                <w:rFonts w:cs="Arial"/>
                <w:color w:val="FF0000"/>
                <w:sz w:val="21"/>
                <w:szCs w:val="21"/>
              </w:rPr>
            </w:pPr>
          </w:p>
        </w:tc>
        <w:tc>
          <w:tcPr>
            <w:tcW w:w="217" w:type="dxa"/>
          </w:tcPr>
          <w:p w14:paraId="6D6C4CF4" w14:textId="77777777" w:rsidR="002C0FD9" w:rsidRPr="00CA25CF" w:rsidRDefault="002C0FD9" w:rsidP="00CA25CF">
            <w:pPr>
              <w:rPr>
                <w:rFonts w:cs="Arial"/>
                <w:color w:val="FF0000"/>
                <w:sz w:val="21"/>
                <w:szCs w:val="21"/>
              </w:rPr>
            </w:pPr>
          </w:p>
        </w:tc>
        <w:tc>
          <w:tcPr>
            <w:tcW w:w="217" w:type="dxa"/>
          </w:tcPr>
          <w:p w14:paraId="6ED12A11" w14:textId="77777777" w:rsidR="002C0FD9" w:rsidRPr="00CA25CF" w:rsidRDefault="002C0FD9" w:rsidP="00CA25CF">
            <w:pPr>
              <w:rPr>
                <w:rFonts w:cs="Arial"/>
                <w:color w:val="FF0000"/>
                <w:sz w:val="21"/>
                <w:szCs w:val="21"/>
              </w:rPr>
            </w:pPr>
          </w:p>
        </w:tc>
        <w:tc>
          <w:tcPr>
            <w:tcW w:w="217" w:type="dxa"/>
          </w:tcPr>
          <w:p w14:paraId="6947D0EC" w14:textId="77777777" w:rsidR="002C0FD9" w:rsidRPr="00CA25CF" w:rsidRDefault="002C0FD9" w:rsidP="00CA25CF">
            <w:pPr>
              <w:rPr>
                <w:rFonts w:cs="Arial"/>
                <w:color w:val="FF0000"/>
                <w:sz w:val="21"/>
                <w:szCs w:val="21"/>
              </w:rPr>
            </w:pPr>
          </w:p>
        </w:tc>
        <w:tc>
          <w:tcPr>
            <w:tcW w:w="217" w:type="dxa"/>
          </w:tcPr>
          <w:p w14:paraId="0326EC98" w14:textId="77777777" w:rsidR="002C0FD9" w:rsidRPr="00CA25CF" w:rsidRDefault="002C0FD9" w:rsidP="00CA25CF">
            <w:pPr>
              <w:rPr>
                <w:rFonts w:cs="Arial"/>
                <w:color w:val="FF0000"/>
                <w:sz w:val="21"/>
                <w:szCs w:val="21"/>
              </w:rPr>
            </w:pPr>
          </w:p>
        </w:tc>
        <w:tc>
          <w:tcPr>
            <w:tcW w:w="217" w:type="dxa"/>
          </w:tcPr>
          <w:p w14:paraId="074F2431" w14:textId="77777777" w:rsidR="002C0FD9" w:rsidRPr="00CA25CF" w:rsidRDefault="002C0FD9" w:rsidP="00CA25CF">
            <w:pPr>
              <w:rPr>
                <w:rFonts w:cs="Arial"/>
                <w:color w:val="FF0000"/>
                <w:sz w:val="21"/>
                <w:szCs w:val="21"/>
              </w:rPr>
            </w:pPr>
          </w:p>
        </w:tc>
        <w:tc>
          <w:tcPr>
            <w:tcW w:w="217" w:type="dxa"/>
          </w:tcPr>
          <w:p w14:paraId="022C1C49" w14:textId="77777777" w:rsidR="002C0FD9" w:rsidRPr="00CA25CF" w:rsidRDefault="002C0FD9" w:rsidP="00CA25CF">
            <w:pPr>
              <w:rPr>
                <w:rFonts w:cs="Arial"/>
                <w:color w:val="FF0000"/>
                <w:sz w:val="21"/>
                <w:szCs w:val="21"/>
              </w:rPr>
            </w:pPr>
          </w:p>
        </w:tc>
        <w:tc>
          <w:tcPr>
            <w:tcW w:w="217" w:type="dxa"/>
          </w:tcPr>
          <w:p w14:paraId="7145D4A1" w14:textId="77777777" w:rsidR="002C0FD9" w:rsidRPr="00CA25CF" w:rsidRDefault="002C0FD9" w:rsidP="00CA25CF">
            <w:pPr>
              <w:rPr>
                <w:rFonts w:cs="Arial"/>
                <w:color w:val="FF0000"/>
                <w:sz w:val="21"/>
                <w:szCs w:val="21"/>
              </w:rPr>
            </w:pPr>
          </w:p>
        </w:tc>
        <w:tc>
          <w:tcPr>
            <w:tcW w:w="217" w:type="dxa"/>
          </w:tcPr>
          <w:p w14:paraId="1EFB1750" w14:textId="77777777" w:rsidR="002C0FD9" w:rsidRPr="00CA25CF" w:rsidRDefault="002C0FD9" w:rsidP="00CA25CF">
            <w:pPr>
              <w:rPr>
                <w:rFonts w:cs="Arial"/>
                <w:color w:val="FF0000"/>
                <w:sz w:val="21"/>
                <w:szCs w:val="21"/>
              </w:rPr>
            </w:pPr>
          </w:p>
        </w:tc>
        <w:tc>
          <w:tcPr>
            <w:tcW w:w="217" w:type="dxa"/>
          </w:tcPr>
          <w:p w14:paraId="21BA0E17" w14:textId="77777777" w:rsidR="002C0FD9" w:rsidRPr="00CA25CF" w:rsidRDefault="002C0FD9" w:rsidP="00CA25CF">
            <w:pPr>
              <w:rPr>
                <w:rFonts w:cs="Arial"/>
                <w:color w:val="FF0000"/>
                <w:sz w:val="21"/>
                <w:szCs w:val="21"/>
              </w:rPr>
            </w:pPr>
          </w:p>
        </w:tc>
        <w:tc>
          <w:tcPr>
            <w:tcW w:w="217" w:type="dxa"/>
          </w:tcPr>
          <w:p w14:paraId="79BB3A68" w14:textId="77777777" w:rsidR="002C0FD9" w:rsidRPr="00CA25CF" w:rsidRDefault="002C0FD9" w:rsidP="00CA25CF">
            <w:pPr>
              <w:rPr>
                <w:rFonts w:cs="Arial"/>
                <w:color w:val="FF0000"/>
                <w:sz w:val="21"/>
                <w:szCs w:val="21"/>
              </w:rPr>
            </w:pPr>
          </w:p>
        </w:tc>
        <w:tc>
          <w:tcPr>
            <w:tcW w:w="217" w:type="dxa"/>
          </w:tcPr>
          <w:p w14:paraId="1EBC8E83" w14:textId="77777777" w:rsidR="002C0FD9" w:rsidRPr="00CA25CF" w:rsidRDefault="002C0FD9" w:rsidP="00CA25CF">
            <w:pPr>
              <w:rPr>
                <w:rFonts w:cs="Arial"/>
                <w:color w:val="FF0000"/>
                <w:sz w:val="21"/>
                <w:szCs w:val="21"/>
              </w:rPr>
            </w:pPr>
          </w:p>
        </w:tc>
        <w:tc>
          <w:tcPr>
            <w:tcW w:w="217" w:type="dxa"/>
          </w:tcPr>
          <w:p w14:paraId="42B3EC44" w14:textId="77777777" w:rsidR="002C0FD9" w:rsidRPr="00CA25CF" w:rsidRDefault="002C0FD9" w:rsidP="00CA25CF">
            <w:pPr>
              <w:rPr>
                <w:rFonts w:cs="Arial"/>
                <w:color w:val="FF0000"/>
                <w:sz w:val="21"/>
                <w:szCs w:val="21"/>
              </w:rPr>
            </w:pPr>
          </w:p>
        </w:tc>
        <w:tc>
          <w:tcPr>
            <w:tcW w:w="217" w:type="dxa"/>
          </w:tcPr>
          <w:p w14:paraId="0B7BBAC8" w14:textId="77777777" w:rsidR="002C0FD9" w:rsidRPr="00CA25CF" w:rsidRDefault="002C0FD9" w:rsidP="00CA25CF">
            <w:pPr>
              <w:rPr>
                <w:rFonts w:cs="Arial"/>
                <w:color w:val="FF0000"/>
                <w:sz w:val="21"/>
                <w:szCs w:val="21"/>
              </w:rPr>
            </w:pPr>
          </w:p>
        </w:tc>
        <w:tc>
          <w:tcPr>
            <w:tcW w:w="217" w:type="dxa"/>
          </w:tcPr>
          <w:p w14:paraId="24B94879" w14:textId="77777777" w:rsidR="002C0FD9" w:rsidRPr="00CA25CF" w:rsidRDefault="002C0FD9" w:rsidP="00CA25CF">
            <w:pPr>
              <w:rPr>
                <w:rFonts w:cs="Arial"/>
                <w:color w:val="FF0000"/>
                <w:sz w:val="21"/>
                <w:szCs w:val="21"/>
              </w:rPr>
            </w:pPr>
          </w:p>
        </w:tc>
        <w:tc>
          <w:tcPr>
            <w:tcW w:w="217" w:type="dxa"/>
          </w:tcPr>
          <w:p w14:paraId="731E1E2C" w14:textId="77777777" w:rsidR="002C0FD9" w:rsidRPr="00CA25CF" w:rsidRDefault="002C0FD9" w:rsidP="00CA25CF">
            <w:pPr>
              <w:rPr>
                <w:rFonts w:cs="Arial"/>
                <w:color w:val="FF0000"/>
                <w:sz w:val="21"/>
                <w:szCs w:val="21"/>
              </w:rPr>
            </w:pPr>
          </w:p>
        </w:tc>
        <w:tc>
          <w:tcPr>
            <w:tcW w:w="217" w:type="dxa"/>
          </w:tcPr>
          <w:p w14:paraId="6578847B" w14:textId="77777777" w:rsidR="002C0FD9" w:rsidRPr="00CA25CF" w:rsidRDefault="002C0FD9" w:rsidP="00CA25CF">
            <w:pPr>
              <w:rPr>
                <w:rFonts w:cs="Arial"/>
                <w:color w:val="FF0000"/>
                <w:sz w:val="21"/>
                <w:szCs w:val="21"/>
              </w:rPr>
            </w:pPr>
          </w:p>
        </w:tc>
        <w:tc>
          <w:tcPr>
            <w:tcW w:w="217" w:type="dxa"/>
          </w:tcPr>
          <w:p w14:paraId="5B7F3E52" w14:textId="77777777" w:rsidR="002C0FD9" w:rsidRPr="00CA25CF" w:rsidRDefault="002C0FD9" w:rsidP="00CA25CF">
            <w:pPr>
              <w:rPr>
                <w:rFonts w:cs="Arial"/>
                <w:color w:val="FF0000"/>
                <w:sz w:val="21"/>
                <w:szCs w:val="21"/>
              </w:rPr>
            </w:pPr>
          </w:p>
        </w:tc>
        <w:tc>
          <w:tcPr>
            <w:tcW w:w="217" w:type="dxa"/>
          </w:tcPr>
          <w:p w14:paraId="3B86AF40" w14:textId="77777777" w:rsidR="002C0FD9" w:rsidRPr="00CA25CF" w:rsidRDefault="002C0FD9" w:rsidP="00CA25CF">
            <w:pPr>
              <w:rPr>
                <w:rFonts w:cs="Arial"/>
                <w:color w:val="FF0000"/>
                <w:sz w:val="21"/>
                <w:szCs w:val="21"/>
              </w:rPr>
            </w:pPr>
          </w:p>
        </w:tc>
        <w:tc>
          <w:tcPr>
            <w:tcW w:w="217" w:type="dxa"/>
          </w:tcPr>
          <w:p w14:paraId="38FDED76" w14:textId="77777777" w:rsidR="002C0FD9" w:rsidRPr="00CA25CF" w:rsidRDefault="002C0FD9" w:rsidP="00CA25CF">
            <w:pPr>
              <w:rPr>
                <w:rFonts w:cs="Arial"/>
                <w:color w:val="FF0000"/>
                <w:sz w:val="21"/>
                <w:szCs w:val="21"/>
              </w:rPr>
            </w:pPr>
          </w:p>
        </w:tc>
        <w:tc>
          <w:tcPr>
            <w:tcW w:w="217" w:type="dxa"/>
          </w:tcPr>
          <w:p w14:paraId="008B9F17" w14:textId="77777777" w:rsidR="002C0FD9" w:rsidRPr="00CA25CF" w:rsidRDefault="002C0FD9" w:rsidP="00CA25CF">
            <w:pPr>
              <w:rPr>
                <w:rFonts w:cs="Arial"/>
                <w:color w:val="FF0000"/>
                <w:sz w:val="21"/>
                <w:szCs w:val="21"/>
              </w:rPr>
            </w:pPr>
          </w:p>
        </w:tc>
        <w:tc>
          <w:tcPr>
            <w:tcW w:w="217" w:type="dxa"/>
          </w:tcPr>
          <w:p w14:paraId="0762D2F5" w14:textId="77777777" w:rsidR="002C0FD9" w:rsidRPr="00CA25CF" w:rsidRDefault="002C0FD9" w:rsidP="00CA25CF">
            <w:pPr>
              <w:rPr>
                <w:rFonts w:cs="Arial"/>
                <w:color w:val="FF0000"/>
                <w:sz w:val="21"/>
                <w:szCs w:val="21"/>
              </w:rPr>
            </w:pPr>
          </w:p>
        </w:tc>
      </w:tr>
      <w:tr w:rsidR="002C0FD9" w:rsidRPr="00A16219" w14:paraId="45F12ED3" w14:textId="633EF0A9" w:rsidTr="002C0FD9">
        <w:trPr>
          <w:trHeight w:val="635"/>
        </w:trPr>
        <w:tc>
          <w:tcPr>
            <w:tcW w:w="515" w:type="dxa"/>
          </w:tcPr>
          <w:p w14:paraId="0AB2CC93" w14:textId="77777777" w:rsidR="002C0FD9" w:rsidRPr="00CA25CF" w:rsidRDefault="002C0FD9" w:rsidP="00CA25CF">
            <w:pPr>
              <w:rPr>
                <w:rFonts w:cs="Arial"/>
                <w:color w:val="FF0000"/>
                <w:sz w:val="21"/>
                <w:szCs w:val="21"/>
              </w:rPr>
            </w:pPr>
          </w:p>
        </w:tc>
        <w:tc>
          <w:tcPr>
            <w:tcW w:w="217" w:type="dxa"/>
          </w:tcPr>
          <w:p w14:paraId="53928432" w14:textId="77777777" w:rsidR="002C0FD9" w:rsidRPr="00CA25CF" w:rsidRDefault="002C0FD9" w:rsidP="00CA25CF">
            <w:pPr>
              <w:rPr>
                <w:rFonts w:cs="Arial"/>
                <w:color w:val="FF0000"/>
                <w:sz w:val="21"/>
                <w:szCs w:val="21"/>
              </w:rPr>
            </w:pPr>
          </w:p>
        </w:tc>
        <w:tc>
          <w:tcPr>
            <w:tcW w:w="217" w:type="dxa"/>
          </w:tcPr>
          <w:p w14:paraId="085EEAD0" w14:textId="4D79C54A" w:rsidR="002C0FD9" w:rsidRPr="00CA25CF" w:rsidRDefault="002C0FD9" w:rsidP="00CA25CF">
            <w:pPr>
              <w:rPr>
                <w:rFonts w:cs="Arial"/>
                <w:color w:val="FF0000"/>
                <w:sz w:val="21"/>
                <w:szCs w:val="21"/>
              </w:rPr>
            </w:pPr>
          </w:p>
        </w:tc>
        <w:tc>
          <w:tcPr>
            <w:tcW w:w="217" w:type="dxa"/>
          </w:tcPr>
          <w:p w14:paraId="3C62E503" w14:textId="77777777" w:rsidR="002C0FD9" w:rsidRPr="00CA25CF" w:rsidRDefault="002C0FD9" w:rsidP="00CA25CF">
            <w:pPr>
              <w:rPr>
                <w:rFonts w:cs="Arial"/>
                <w:color w:val="FF0000"/>
                <w:sz w:val="21"/>
                <w:szCs w:val="21"/>
              </w:rPr>
            </w:pPr>
          </w:p>
        </w:tc>
        <w:tc>
          <w:tcPr>
            <w:tcW w:w="217" w:type="dxa"/>
          </w:tcPr>
          <w:p w14:paraId="38F86773" w14:textId="77777777" w:rsidR="002C0FD9" w:rsidRPr="00CA25CF" w:rsidRDefault="002C0FD9" w:rsidP="00CA25CF">
            <w:pPr>
              <w:rPr>
                <w:rFonts w:cs="Arial"/>
                <w:color w:val="FF0000"/>
                <w:sz w:val="21"/>
                <w:szCs w:val="21"/>
              </w:rPr>
            </w:pPr>
          </w:p>
        </w:tc>
        <w:tc>
          <w:tcPr>
            <w:tcW w:w="217" w:type="dxa"/>
          </w:tcPr>
          <w:p w14:paraId="2CA58BEF" w14:textId="77777777" w:rsidR="002C0FD9" w:rsidRPr="00CA25CF" w:rsidRDefault="002C0FD9" w:rsidP="00CA25CF">
            <w:pPr>
              <w:rPr>
                <w:rFonts w:cs="Arial"/>
                <w:color w:val="FF0000"/>
                <w:sz w:val="21"/>
                <w:szCs w:val="21"/>
              </w:rPr>
            </w:pPr>
          </w:p>
        </w:tc>
        <w:tc>
          <w:tcPr>
            <w:tcW w:w="217" w:type="dxa"/>
          </w:tcPr>
          <w:p w14:paraId="65F60B8A" w14:textId="77777777" w:rsidR="002C0FD9" w:rsidRPr="00CA25CF" w:rsidRDefault="002C0FD9" w:rsidP="00CA25CF">
            <w:pPr>
              <w:rPr>
                <w:rFonts w:cs="Arial"/>
                <w:color w:val="FF0000"/>
                <w:sz w:val="21"/>
                <w:szCs w:val="21"/>
              </w:rPr>
            </w:pPr>
          </w:p>
        </w:tc>
        <w:tc>
          <w:tcPr>
            <w:tcW w:w="217" w:type="dxa"/>
          </w:tcPr>
          <w:p w14:paraId="2B25A46C" w14:textId="77777777" w:rsidR="002C0FD9" w:rsidRPr="00CA25CF" w:rsidRDefault="002C0FD9" w:rsidP="00CA25CF">
            <w:pPr>
              <w:rPr>
                <w:rFonts w:cs="Arial"/>
                <w:color w:val="FF0000"/>
                <w:sz w:val="21"/>
                <w:szCs w:val="21"/>
              </w:rPr>
            </w:pPr>
          </w:p>
        </w:tc>
        <w:tc>
          <w:tcPr>
            <w:tcW w:w="217" w:type="dxa"/>
          </w:tcPr>
          <w:p w14:paraId="5E217D4D" w14:textId="77777777" w:rsidR="002C0FD9" w:rsidRPr="00CA25CF" w:rsidRDefault="002C0FD9" w:rsidP="00CA25CF">
            <w:pPr>
              <w:rPr>
                <w:rFonts w:cs="Arial"/>
                <w:color w:val="FF0000"/>
                <w:sz w:val="21"/>
                <w:szCs w:val="21"/>
              </w:rPr>
            </w:pPr>
          </w:p>
        </w:tc>
        <w:tc>
          <w:tcPr>
            <w:tcW w:w="217" w:type="dxa"/>
          </w:tcPr>
          <w:p w14:paraId="45D0EA69" w14:textId="77777777" w:rsidR="002C0FD9" w:rsidRPr="00CA25CF" w:rsidRDefault="002C0FD9" w:rsidP="00CA25CF">
            <w:pPr>
              <w:rPr>
                <w:rFonts w:cs="Arial"/>
                <w:color w:val="FF0000"/>
                <w:sz w:val="21"/>
                <w:szCs w:val="21"/>
              </w:rPr>
            </w:pPr>
          </w:p>
        </w:tc>
        <w:tc>
          <w:tcPr>
            <w:tcW w:w="217" w:type="dxa"/>
          </w:tcPr>
          <w:p w14:paraId="7ABD8626" w14:textId="77777777" w:rsidR="002C0FD9" w:rsidRPr="00CA25CF" w:rsidRDefault="002C0FD9" w:rsidP="00CA25CF">
            <w:pPr>
              <w:rPr>
                <w:rFonts w:cs="Arial"/>
                <w:color w:val="FF0000"/>
                <w:sz w:val="21"/>
                <w:szCs w:val="21"/>
              </w:rPr>
            </w:pPr>
          </w:p>
        </w:tc>
        <w:tc>
          <w:tcPr>
            <w:tcW w:w="217" w:type="dxa"/>
          </w:tcPr>
          <w:p w14:paraId="53D04EFF" w14:textId="77777777" w:rsidR="002C0FD9" w:rsidRPr="00CA25CF" w:rsidRDefault="002C0FD9" w:rsidP="00CA25CF">
            <w:pPr>
              <w:rPr>
                <w:rFonts w:cs="Arial"/>
                <w:color w:val="FF0000"/>
                <w:sz w:val="21"/>
                <w:szCs w:val="21"/>
              </w:rPr>
            </w:pPr>
          </w:p>
        </w:tc>
        <w:tc>
          <w:tcPr>
            <w:tcW w:w="217" w:type="dxa"/>
          </w:tcPr>
          <w:p w14:paraId="79737BC1" w14:textId="77777777" w:rsidR="002C0FD9" w:rsidRPr="00CA25CF" w:rsidRDefault="002C0FD9" w:rsidP="00CA25CF">
            <w:pPr>
              <w:rPr>
                <w:rFonts w:cs="Arial"/>
                <w:color w:val="FF0000"/>
                <w:sz w:val="21"/>
                <w:szCs w:val="21"/>
              </w:rPr>
            </w:pPr>
          </w:p>
        </w:tc>
        <w:tc>
          <w:tcPr>
            <w:tcW w:w="217" w:type="dxa"/>
          </w:tcPr>
          <w:p w14:paraId="5E5F8343" w14:textId="77777777" w:rsidR="002C0FD9" w:rsidRPr="00CA25CF" w:rsidRDefault="002C0FD9" w:rsidP="00CA25CF">
            <w:pPr>
              <w:rPr>
                <w:rFonts w:cs="Arial"/>
                <w:color w:val="FF0000"/>
                <w:sz w:val="21"/>
                <w:szCs w:val="21"/>
              </w:rPr>
            </w:pPr>
          </w:p>
        </w:tc>
        <w:tc>
          <w:tcPr>
            <w:tcW w:w="217" w:type="dxa"/>
          </w:tcPr>
          <w:p w14:paraId="113B8D9D" w14:textId="77777777" w:rsidR="002C0FD9" w:rsidRPr="00CA25CF" w:rsidRDefault="002C0FD9" w:rsidP="00CA25CF">
            <w:pPr>
              <w:rPr>
                <w:rFonts w:cs="Arial"/>
                <w:color w:val="FF0000"/>
                <w:sz w:val="21"/>
                <w:szCs w:val="21"/>
              </w:rPr>
            </w:pPr>
          </w:p>
        </w:tc>
        <w:tc>
          <w:tcPr>
            <w:tcW w:w="217" w:type="dxa"/>
          </w:tcPr>
          <w:p w14:paraId="34B48592" w14:textId="77777777" w:rsidR="002C0FD9" w:rsidRPr="00CA25CF" w:rsidRDefault="002C0FD9" w:rsidP="00CA25CF">
            <w:pPr>
              <w:rPr>
                <w:rFonts w:cs="Arial"/>
                <w:color w:val="FF0000"/>
                <w:sz w:val="21"/>
                <w:szCs w:val="21"/>
              </w:rPr>
            </w:pPr>
          </w:p>
        </w:tc>
        <w:tc>
          <w:tcPr>
            <w:tcW w:w="217" w:type="dxa"/>
          </w:tcPr>
          <w:p w14:paraId="0C74FB19" w14:textId="77777777" w:rsidR="002C0FD9" w:rsidRPr="00CA25CF" w:rsidRDefault="002C0FD9" w:rsidP="00CA25CF">
            <w:pPr>
              <w:rPr>
                <w:rFonts w:cs="Arial"/>
                <w:color w:val="FF0000"/>
                <w:sz w:val="21"/>
                <w:szCs w:val="21"/>
              </w:rPr>
            </w:pPr>
          </w:p>
        </w:tc>
        <w:tc>
          <w:tcPr>
            <w:tcW w:w="217" w:type="dxa"/>
          </w:tcPr>
          <w:p w14:paraId="7ED1A560" w14:textId="77777777" w:rsidR="002C0FD9" w:rsidRPr="00CA25CF" w:rsidRDefault="002C0FD9" w:rsidP="00CA25CF">
            <w:pPr>
              <w:rPr>
                <w:rFonts w:cs="Arial"/>
                <w:color w:val="FF0000"/>
                <w:sz w:val="21"/>
                <w:szCs w:val="21"/>
              </w:rPr>
            </w:pPr>
          </w:p>
        </w:tc>
        <w:tc>
          <w:tcPr>
            <w:tcW w:w="217" w:type="dxa"/>
          </w:tcPr>
          <w:p w14:paraId="4BC25606" w14:textId="77777777" w:rsidR="002C0FD9" w:rsidRPr="00CA25CF" w:rsidRDefault="002C0FD9" w:rsidP="00CA25CF">
            <w:pPr>
              <w:rPr>
                <w:rFonts w:cs="Arial"/>
                <w:color w:val="FF0000"/>
                <w:sz w:val="21"/>
                <w:szCs w:val="21"/>
              </w:rPr>
            </w:pPr>
          </w:p>
        </w:tc>
        <w:tc>
          <w:tcPr>
            <w:tcW w:w="217" w:type="dxa"/>
          </w:tcPr>
          <w:p w14:paraId="796B11A6" w14:textId="77777777" w:rsidR="002C0FD9" w:rsidRPr="00CA25CF" w:rsidRDefault="002C0FD9" w:rsidP="00CA25CF">
            <w:pPr>
              <w:rPr>
                <w:rFonts w:cs="Arial"/>
                <w:color w:val="FF0000"/>
                <w:sz w:val="21"/>
                <w:szCs w:val="21"/>
              </w:rPr>
            </w:pPr>
          </w:p>
        </w:tc>
        <w:tc>
          <w:tcPr>
            <w:tcW w:w="217" w:type="dxa"/>
          </w:tcPr>
          <w:p w14:paraId="1B90F59B" w14:textId="77777777" w:rsidR="002C0FD9" w:rsidRPr="00CA25CF" w:rsidRDefault="002C0FD9" w:rsidP="00CA25CF">
            <w:pPr>
              <w:rPr>
                <w:rFonts w:cs="Arial"/>
                <w:color w:val="FF0000"/>
                <w:sz w:val="21"/>
                <w:szCs w:val="21"/>
              </w:rPr>
            </w:pPr>
          </w:p>
        </w:tc>
        <w:tc>
          <w:tcPr>
            <w:tcW w:w="217" w:type="dxa"/>
          </w:tcPr>
          <w:p w14:paraId="232B0F28" w14:textId="77777777" w:rsidR="002C0FD9" w:rsidRPr="00CA25CF" w:rsidRDefault="002C0FD9" w:rsidP="00CA25CF">
            <w:pPr>
              <w:rPr>
                <w:rFonts w:cs="Arial"/>
                <w:color w:val="FF0000"/>
                <w:sz w:val="21"/>
                <w:szCs w:val="21"/>
              </w:rPr>
            </w:pPr>
          </w:p>
        </w:tc>
        <w:tc>
          <w:tcPr>
            <w:tcW w:w="217" w:type="dxa"/>
          </w:tcPr>
          <w:p w14:paraId="00A37E22" w14:textId="77777777" w:rsidR="002C0FD9" w:rsidRPr="00CA25CF" w:rsidRDefault="002C0FD9" w:rsidP="00CA25CF">
            <w:pPr>
              <w:rPr>
                <w:rFonts w:cs="Arial"/>
                <w:color w:val="FF0000"/>
                <w:sz w:val="21"/>
                <w:szCs w:val="21"/>
              </w:rPr>
            </w:pPr>
          </w:p>
        </w:tc>
        <w:tc>
          <w:tcPr>
            <w:tcW w:w="217" w:type="dxa"/>
          </w:tcPr>
          <w:p w14:paraId="1B2A7FB2" w14:textId="77777777" w:rsidR="002C0FD9" w:rsidRPr="00CA25CF" w:rsidRDefault="002C0FD9" w:rsidP="00CA25CF">
            <w:pPr>
              <w:rPr>
                <w:rFonts w:cs="Arial"/>
                <w:color w:val="FF0000"/>
                <w:sz w:val="21"/>
                <w:szCs w:val="21"/>
              </w:rPr>
            </w:pPr>
          </w:p>
        </w:tc>
        <w:tc>
          <w:tcPr>
            <w:tcW w:w="217" w:type="dxa"/>
          </w:tcPr>
          <w:p w14:paraId="4871A2FC" w14:textId="77777777" w:rsidR="002C0FD9" w:rsidRPr="00CA25CF" w:rsidRDefault="002C0FD9" w:rsidP="00CA25CF">
            <w:pPr>
              <w:rPr>
                <w:rFonts w:cs="Arial"/>
                <w:color w:val="FF0000"/>
                <w:sz w:val="21"/>
                <w:szCs w:val="21"/>
              </w:rPr>
            </w:pPr>
          </w:p>
        </w:tc>
        <w:tc>
          <w:tcPr>
            <w:tcW w:w="217" w:type="dxa"/>
          </w:tcPr>
          <w:p w14:paraId="4A86824A" w14:textId="77777777" w:rsidR="002C0FD9" w:rsidRPr="00CA25CF" w:rsidRDefault="002C0FD9" w:rsidP="00CA25CF">
            <w:pPr>
              <w:rPr>
                <w:rFonts w:cs="Arial"/>
                <w:color w:val="FF0000"/>
                <w:sz w:val="21"/>
                <w:szCs w:val="21"/>
              </w:rPr>
            </w:pPr>
          </w:p>
        </w:tc>
        <w:tc>
          <w:tcPr>
            <w:tcW w:w="217" w:type="dxa"/>
          </w:tcPr>
          <w:p w14:paraId="25411FDC" w14:textId="77777777" w:rsidR="002C0FD9" w:rsidRPr="00CA25CF" w:rsidRDefault="002C0FD9" w:rsidP="00CA25CF">
            <w:pPr>
              <w:rPr>
                <w:rFonts w:cs="Arial"/>
                <w:color w:val="FF0000"/>
                <w:sz w:val="21"/>
                <w:szCs w:val="21"/>
              </w:rPr>
            </w:pPr>
          </w:p>
        </w:tc>
        <w:tc>
          <w:tcPr>
            <w:tcW w:w="217" w:type="dxa"/>
          </w:tcPr>
          <w:p w14:paraId="4E6FFFA1" w14:textId="77777777" w:rsidR="002C0FD9" w:rsidRPr="00CA25CF" w:rsidRDefault="002C0FD9" w:rsidP="00CA25CF">
            <w:pPr>
              <w:rPr>
                <w:rFonts w:cs="Arial"/>
                <w:color w:val="FF0000"/>
                <w:sz w:val="21"/>
                <w:szCs w:val="21"/>
              </w:rPr>
            </w:pPr>
          </w:p>
        </w:tc>
        <w:tc>
          <w:tcPr>
            <w:tcW w:w="217" w:type="dxa"/>
          </w:tcPr>
          <w:p w14:paraId="39AEB2FB" w14:textId="77777777" w:rsidR="002C0FD9" w:rsidRPr="00CA25CF" w:rsidRDefault="002C0FD9" w:rsidP="00CA25CF">
            <w:pPr>
              <w:rPr>
                <w:rFonts w:cs="Arial"/>
                <w:color w:val="FF0000"/>
                <w:sz w:val="21"/>
                <w:szCs w:val="21"/>
              </w:rPr>
            </w:pPr>
          </w:p>
        </w:tc>
        <w:tc>
          <w:tcPr>
            <w:tcW w:w="217" w:type="dxa"/>
          </w:tcPr>
          <w:p w14:paraId="7E152BCF" w14:textId="77777777" w:rsidR="002C0FD9" w:rsidRPr="00CA25CF" w:rsidRDefault="002C0FD9" w:rsidP="00CA25CF">
            <w:pPr>
              <w:rPr>
                <w:rFonts w:cs="Arial"/>
                <w:color w:val="FF0000"/>
                <w:sz w:val="21"/>
                <w:szCs w:val="21"/>
              </w:rPr>
            </w:pPr>
          </w:p>
        </w:tc>
        <w:tc>
          <w:tcPr>
            <w:tcW w:w="217" w:type="dxa"/>
          </w:tcPr>
          <w:p w14:paraId="0D3EA23B" w14:textId="77777777" w:rsidR="002C0FD9" w:rsidRPr="00CA25CF" w:rsidRDefault="002C0FD9" w:rsidP="00CA25CF">
            <w:pPr>
              <w:rPr>
                <w:rFonts w:cs="Arial"/>
                <w:color w:val="FF0000"/>
                <w:sz w:val="21"/>
                <w:szCs w:val="21"/>
              </w:rPr>
            </w:pPr>
          </w:p>
        </w:tc>
        <w:tc>
          <w:tcPr>
            <w:tcW w:w="217" w:type="dxa"/>
          </w:tcPr>
          <w:p w14:paraId="36E278D7" w14:textId="77777777" w:rsidR="002C0FD9" w:rsidRPr="00CA25CF" w:rsidRDefault="002C0FD9" w:rsidP="00CA25CF">
            <w:pPr>
              <w:rPr>
                <w:rFonts w:cs="Arial"/>
                <w:color w:val="FF0000"/>
                <w:sz w:val="21"/>
                <w:szCs w:val="21"/>
              </w:rPr>
            </w:pPr>
          </w:p>
        </w:tc>
        <w:tc>
          <w:tcPr>
            <w:tcW w:w="217" w:type="dxa"/>
          </w:tcPr>
          <w:p w14:paraId="2942ADEB" w14:textId="77777777" w:rsidR="002C0FD9" w:rsidRPr="00CA25CF" w:rsidRDefault="002C0FD9" w:rsidP="00CA25CF">
            <w:pPr>
              <w:rPr>
                <w:rFonts w:cs="Arial"/>
                <w:color w:val="FF0000"/>
                <w:sz w:val="21"/>
                <w:szCs w:val="21"/>
              </w:rPr>
            </w:pPr>
          </w:p>
        </w:tc>
        <w:tc>
          <w:tcPr>
            <w:tcW w:w="217" w:type="dxa"/>
          </w:tcPr>
          <w:p w14:paraId="7E16D3BA" w14:textId="77777777" w:rsidR="002C0FD9" w:rsidRPr="00CA25CF" w:rsidRDefault="002C0FD9" w:rsidP="00CA25CF">
            <w:pPr>
              <w:rPr>
                <w:rFonts w:cs="Arial"/>
                <w:color w:val="FF0000"/>
                <w:sz w:val="21"/>
                <w:szCs w:val="21"/>
              </w:rPr>
            </w:pPr>
          </w:p>
        </w:tc>
        <w:tc>
          <w:tcPr>
            <w:tcW w:w="217" w:type="dxa"/>
          </w:tcPr>
          <w:p w14:paraId="4CC59216" w14:textId="77777777" w:rsidR="002C0FD9" w:rsidRPr="00CA25CF" w:rsidRDefault="002C0FD9" w:rsidP="00CA25CF">
            <w:pPr>
              <w:rPr>
                <w:rFonts w:cs="Arial"/>
                <w:color w:val="FF0000"/>
                <w:sz w:val="21"/>
                <w:szCs w:val="21"/>
              </w:rPr>
            </w:pPr>
          </w:p>
        </w:tc>
        <w:tc>
          <w:tcPr>
            <w:tcW w:w="217" w:type="dxa"/>
          </w:tcPr>
          <w:p w14:paraId="52823813" w14:textId="77777777" w:rsidR="002C0FD9" w:rsidRPr="00CA25CF" w:rsidRDefault="002C0FD9" w:rsidP="00CA25CF">
            <w:pPr>
              <w:rPr>
                <w:rFonts w:cs="Arial"/>
                <w:color w:val="FF0000"/>
                <w:sz w:val="21"/>
                <w:szCs w:val="21"/>
              </w:rPr>
            </w:pPr>
          </w:p>
        </w:tc>
        <w:tc>
          <w:tcPr>
            <w:tcW w:w="217" w:type="dxa"/>
          </w:tcPr>
          <w:p w14:paraId="68AE01D3" w14:textId="77777777" w:rsidR="002C0FD9" w:rsidRPr="00CA25CF" w:rsidRDefault="002C0FD9" w:rsidP="00CA25CF">
            <w:pPr>
              <w:rPr>
                <w:rFonts w:cs="Arial"/>
                <w:color w:val="FF0000"/>
                <w:sz w:val="21"/>
                <w:szCs w:val="21"/>
              </w:rPr>
            </w:pPr>
          </w:p>
        </w:tc>
        <w:tc>
          <w:tcPr>
            <w:tcW w:w="217" w:type="dxa"/>
          </w:tcPr>
          <w:p w14:paraId="7688DC15" w14:textId="77777777" w:rsidR="002C0FD9" w:rsidRPr="00CA25CF" w:rsidRDefault="002C0FD9" w:rsidP="00CA25CF">
            <w:pPr>
              <w:rPr>
                <w:rFonts w:cs="Arial"/>
                <w:color w:val="FF0000"/>
                <w:sz w:val="21"/>
                <w:szCs w:val="21"/>
              </w:rPr>
            </w:pPr>
          </w:p>
        </w:tc>
        <w:tc>
          <w:tcPr>
            <w:tcW w:w="217" w:type="dxa"/>
          </w:tcPr>
          <w:p w14:paraId="7B700910" w14:textId="77777777" w:rsidR="002C0FD9" w:rsidRPr="00CA25CF" w:rsidRDefault="002C0FD9" w:rsidP="00CA25CF">
            <w:pPr>
              <w:rPr>
                <w:rFonts w:cs="Arial"/>
                <w:color w:val="FF0000"/>
                <w:sz w:val="21"/>
                <w:szCs w:val="21"/>
              </w:rPr>
            </w:pPr>
          </w:p>
        </w:tc>
        <w:tc>
          <w:tcPr>
            <w:tcW w:w="217" w:type="dxa"/>
          </w:tcPr>
          <w:p w14:paraId="1418992F" w14:textId="77777777" w:rsidR="002C0FD9" w:rsidRPr="00CA25CF" w:rsidRDefault="002C0FD9" w:rsidP="00CA25CF">
            <w:pPr>
              <w:rPr>
                <w:rFonts w:cs="Arial"/>
                <w:color w:val="FF0000"/>
                <w:sz w:val="21"/>
                <w:szCs w:val="21"/>
              </w:rPr>
            </w:pPr>
          </w:p>
        </w:tc>
        <w:tc>
          <w:tcPr>
            <w:tcW w:w="217" w:type="dxa"/>
          </w:tcPr>
          <w:p w14:paraId="0EB968FC" w14:textId="77777777" w:rsidR="002C0FD9" w:rsidRPr="00CA25CF" w:rsidRDefault="002C0FD9" w:rsidP="00CA25CF">
            <w:pPr>
              <w:rPr>
                <w:rFonts w:cs="Arial"/>
                <w:color w:val="FF0000"/>
                <w:sz w:val="21"/>
                <w:szCs w:val="21"/>
              </w:rPr>
            </w:pPr>
          </w:p>
        </w:tc>
        <w:tc>
          <w:tcPr>
            <w:tcW w:w="217" w:type="dxa"/>
          </w:tcPr>
          <w:p w14:paraId="79FD34E7" w14:textId="77777777" w:rsidR="002C0FD9" w:rsidRPr="00CA25CF" w:rsidRDefault="002C0FD9" w:rsidP="00CA25CF">
            <w:pPr>
              <w:rPr>
                <w:rFonts w:cs="Arial"/>
                <w:color w:val="FF0000"/>
                <w:sz w:val="21"/>
                <w:szCs w:val="21"/>
              </w:rPr>
            </w:pPr>
          </w:p>
        </w:tc>
        <w:tc>
          <w:tcPr>
            <w:tcW w:w="217" w:type="dxa"/>
          </w:tcPr>
          <w:p w14:paraId="01E38C51" w14:textId="77777777" w:rsidR="002C0FD9" w:rsidRPr="00CA25CF" w:rsidRDefault="002C0FD9" w:rsidP="00CA25CF">
            <w:pPr>
              <w:rPr>
                <w:rFonts w:cs="Arial"/>
                <w:color w:val="FF0000"/>
                <w:sz w:val="21"/>
                <w:szCs w:val="21"/>
              </w:rPr>
            </w:pPr>
          </w:p>
        </w:tc>
      </w:tr>
      <w:tr w:rsidR="002C0FD9" w:rsidRPr="00A16219" w14:paraId="2F3ADC54" w14:textId="7FA51AAC" w:rsidTr="002C0FD9">
        <w:trPr>
          <w:trHeight w:val="635"/>
        </w:trPr>
        <w:tc>
          <w:tcPr>
            <w:tcW w:w="515" w:type="dxa"/>
          </w:tcPr>
          <w:p w14:paraId="509E1E75" w14:textId="77777777" w:rsidR="002C0FD9" w:rsidRPr="00CA25CF" w:rsidRDefault="002C0FD9" w:rsidP="00CA25CF">
            <w:pPr>
              <w:rPr>
                <w:rFonts w:cs="Arial"/>
                <w:color w:val="FF0000"/>
                <w:sz w:val="21"/>
                <w:szCs w:val="21"/>
              </w:rPr>
            </w:pPr>
          </w:p>
        </w:tc>
        <w:tc>
          <w:tcPr>
            <w:tcW w:w="217" w:type="dxa"/>
          </w:tcPr>
          <w:p w14:paraId="137D68EA" w14:textId="77777777" w:rsidR="002C0FD9" w:rsidRPr="00CA25CF" w:rsidRDefault="002C0FD9" w:rsidP="00CA25CF">
            <w:pPr>
              <w:rPr>
                <w:rFonts w:cs="Arial"/>
                <w:color w:val="FF0000"/>
                <w:sz w:val="21"/>
                <w:szCs w:val="21"/>
              </w:rPr>
            </w:pPr>
          </w:p>
        </w:tc>
        <w:tc>
          <w:tcPr>
            <w:tcW w:w="217" w:type="dxa"/>
          </w:tcPr>
          <w:p w14:paraId="5D03451F" w14:textId="71B3A2E7" w:rsidR="002C0FD9" w:rsidRPr="00CA25CF" w:rsidRDefault="002C0FD9" w:rsidP="00CA25CF">
            <w:pPr>
              <w:rPr>
                <w:rFonts w:cs="Arial"/>
                <w:color w:val="FF0000"/>
                <w:sz w:val="21"/>
                <w:szCs w:val="21"/>
              </w:rPr>
            </w:pPr>
          </w:p>
        </w:tc>
        <w:tc>
          <w:tcPr>
            <w:tcW w:w="217" w:type="dxa"/>
          </w:tcPr>
          <w:p w14:paraId="617F8F33" w14:textId="77777777" w:rsidR="002C0FD9" w:rsidRPr="00CA25CF" w:rsidRDefault="002C0FD9" w:rsidP="00CA25CF">
            <w:pPr>
              <w:rPr>
                <w:rFonts w:cs="Arial"/>
                <w:color w:val="FF0000"/>
                <w:sz w:val="21"/>
                <w:szCs w:val="21"/>
              </w:rPr>
            </w:pPr>
          </w:p>
        </w:tc>
        <w:tc>
          <w:tcPr>
            <w:tcW w:w="217" w:type="dxa"/>
          </w:tcPr>
          <w:p w14:paraId="75A588AB" w14:textId="77777777" w:rsidR="002C0FD9" w:rsidRPr="00CA25CF" w:rsidRDefault="002C0FD9" w:rsidP="00CA25CF">
            <w:pPr>
              <w:rPr>
                <w:rFonts w:cs="Arial"/>
                <w:color w:val="FF0000"/>
                <w:sz w:val="21"/>
                <w:szCs w:val="21"/>
              </w:rPr>
            </w:pPr>
          </w:p>
        </w:tc>
        <w:tc>
          <w:tcPr>
            <w:tcW w:w="217" w:type="dxa"/>
          </w:tcPr>
          <w:p w14:paraId="6A78EC99" w14:textId="77777777" w:rsidR="002C0FD9" w:rsidRPr="00CA25CF" w:rsidRDefault="002C0FD9" w:rsidP="00CA25CF">
            <w:pPr>
              <w:rPr>
                <w:rFonts w:cs="Arial"/>
                <w:color w:val="FF0000"/>
                <w:sz w:val="21"/>
                <w:szCs w:val="21"/>
              </w:rPr>
            </w:pPr>
          </w:p>
        </w:tc>
        <w:tc>
          <w:tcPr>
            <w:tcW w:w="217" w:type="dxa"/>
          </w:tcPr>
          <w:p w14:paraId="3C1999C0" w14:textId="77777777" w:rsidR="002C0FD9" w:rsidRPr="00CA25CF" w:rsidRDefault="002C0FD9" w:rsidP="00CA25CF">
            <w:pPr>
              <w:rPr>
                <w:rFonts w:cs="Arial"/>
                <w:color w:val="FF0000"/>
                <w:sz w:val="21"/>
                <w:szCs w:val="21"/>
              </w:rPr>
            </w:pPr>
          </w:p>
        </w:tc>
        <w:tc>
          <w:tcPr>
            <w:tcW w:w="217" w:type="dxa"/>
          </w:tcPr>
          <w:p w14:paraId="3D2C315E" w14:textId="77777777" w:rsidR="002C0FD9" w:rsidRPr="00CA25CF" w:rsidRDefault="002C0FD9" w:rsidP="00CA25CF">
            <w:pPr>
              <w:rPr>
                <w:rFonts w:cs="Arial"/>
                <w:color w:val="FF0000"/>
                <w:sz w:val="21"/>
                <w:szCs w:val="21"/>
              </w:rPr>
            </w:pPr>
          </w:p>
        </w:tc>
        <w:tc>
          <w:tcPr>
            <w:tcW w:w="217" w:type="dxa"/>
          </w:tcPr>
          <w:p w14:paraId="636EBC16" w14:textId="77777777" w:rsidR="002C0FD9" w:rsidRPr="00CA25CF" w:rsidRDefault="002C0FD9" w:rsidP="00CA25CF">
            <w:pPr>
              <w:rPr>
                <w:rFonts w:cs="Arial"/>
                <w:color w:val="FF0000"/>
                <w:sz w:val="21"/>
                <w:szCs w:val="21"/>
              </w:rPr>
            </w:pPr>
          </w:p>
        </w:tc>
        <w:tc>
          <w:tcPr>
            <w:tcW w:w="217" w:type="dxa"/>
          </w:tcPr>
          <w:p w14:paraId="2A328923" w14:textId="77777777" w:rsidR="002C0FD9" w:rsidRPr="00CA25CF" w:rsidRDefault="002C0FD9" w:rsidP="00CA25CF">
            <w:pPr>
              <w:rPr>
                <w:rFonts w:cs="Arial"/>
                <w:color w:val="FF0000"/>
                <w:sz w:val="21"/>
                <w:szCs w:val="21"/>
              </w:rPr>
            </w:pPr>
          </w:p>
        </w:tc>
        <w:tc>
          <w:tcPr>
            <w:tcW w:w="217" w:type="dxa"/>
          </w:tcPr>
          <w:p w14:paraId="6FC3C1D4" w14:textId="77777777" w:rsidR="002C0FD9" w:rsidRPr="00CA25CF" w:rsidRDefault="002C0FD9" w:rsidP="00CA25CF">
            <w:pPr>
              <w:rPr>
                <w:rFonts w:cs="Arial"/>
                <w:color w:val="FF0000"/>
                <w:sz w:val="21"/>
                <w:szCs w:val="21"/>
              </w:rPr>
            </w:pPr>
          </w:p>
        </w:tc>
        <w:tc>
          <w:tcPr>
            <w:tcW w:w="217" w:type="dxa"/>
          </w:tcPr>
          <w:p w14:paraId="43EFD21C" w14:textId="77777777" w:rsidR="002C0FD9" w:rsidRPr="00CA25CF" w:rsidRDefault="002C0FD9" w:rsidP="00CA25CF">
            <w:pPr>
              <w:rPr>
                <w:rFonts w:cs="Arial"/>
                <w:color w:val="FF0000"/>
                <w:sz w:val="21"/>
                <w:szCs w:val="21"/>
              </w:rPr>
            </w:pPr>
          </w:p>
        </w:tc>
        <w:tc>
          <w:tcPr>
            <w:tcW w:w="217" w:type="dxa"/>
          </w:tcPr>
          <w:p w14:paraId="625C4BD2" w14:textId="77777777" w:rsidR="002C0FD9" w:rsidRPr="00CA25CF" w:rsidRDefault="002C0FD9" w:rsidP="00CA25CF">
            <w:pPr>
              <w:rPr>
                <w:rFonts w:cs="Arial"/>
                <w:color w:val="FF0000"/>
                <w:sz w:val="21"/>
                <w:szCs w:val="21"/>
              </w:rPr>
            </w:pPr>
          </w:p>
        </w:tc>
        <w:tc>
          <w:tcPr>
            <w:tcW w:w="217" w:type="dxa"/>
          </w:tcPr>
          <w:p w14:paraId="09D5945B" w14:textId="77777777" w:rsidR="002C0FD9" w:rsidRPr="00CA25CF" w:rsidRDefault="002C0FD9" w:rsidP="00CA25CF">
            <w:pPr>
              <w:rPr>
                <w:rFonts w:cs="Arial"/>
                <w:color w:val="FF0000"/>
                <w:sz w:val="21"/>
                <w:szCs w:val="21"/>
              </w:rPr>
            </w:pPr>
          </w:p>
        </w:tc>
        <w:tc>
          <w:tcPr>
            <w:tcW w:w="217" w:type="dxa"/>
          </w:tcPr>
          <w:p w14:paraId="61A90B19" w14:textId="77777777" w:rsidR="002C0FD9" w:rsidRPr="00CA25CF" w:rsidRDefault="002C0FD9" w:rsidP="00CA25CF">
            <w:pPr>
              <w:rPr>
                <w:rFonts w:cs="Arial"/>
                <w:color w:val="FF0000"/>
                <w:sz w:val="21"/>
                <w:szCs w:val="21"/>
              </w:rPr>
            </w:pPr>
          </w:p>
        </w:tc>
        <w:tc>
          <w:tcPr>
            <w:tcW w:w="217" w:type="dxa"/>
          </w:tcPr>
          <w:p w14:paraId="2D1BA615" w14:textId="77777777" w:rsidR="002C0FD9" w:rsidRPr="00CA25CF" w:rsidRDefault="002C0FD9" w:rsidP="00CA25CF">
            <w:pPr>
              <w:rPr>
                <w:rFonts w:cs="Arial"/>
                <w:color w:val="FF0000"/>
                <w:sz w:val="21"/>
                <w:szCs w:val="21"/>
              </w:rPr>
            </w:pPr>
          </w:p>
        </w:tc>
        <w:tc>
          <w:tcPr>
            <w:tcW w:w="217" w:type="dxa"/>
          </w:tcPr>
          <w:p w14:paraId="18BF51F7" w14:textId="77777777" w:rsidR="002C0FD9" w:rsidRPr="00CA25CF" w:rsidRDefault="002C0FD9" w:rsidP="00CA25CF">
            <w:pPr>
              <w:rPr>
                <w:rFonts w:cs="Arial"/>
                <w:color w:val="FF0000"/>
                <w:sz w:val="21"/>
                <w:szCs w:val="21"/>
              </w:rPr>
            </w:pPr>
          </w:p>
        </w:tc>
        <w:tc>
          <w:tcPr>
            <w:tcW w:w="217" w:type="dxa"/>
          </w:tcPr>
          <w:p w14:paraId="7EB83E81" w14:textId="77777777" w:rsidR="002C0FD9" w:rsidRPr="00CA25CF" w:rsidRDefault="002C0FD9" w:rsidP="00CA25CF">
            <w:pPr>
              <w:rPr>
                <w:rFonts w:cs="Arial"/>
                <w:color w:val="FF0000"/>
                <w:sz w:val="21"/>
                <w:szCs w:val="21"/>
              </w:rPr>
            </w:pPr>
          </w:p>
        </w:tc>
        <w:tc>
          <w:tcPr>
            <w:tcW w:w="217" w:type="dxa"/>
          </w:tcPr>
          <w:p w14:paraId="7D42C987" w14:textId="77777777" w:rsidR="002C0FD9" w:rsidRPr="00CA25CF" w:rsidRDefault="002C0FD9" w:rsidP="00CA25CF">
            <w:pPr>
              <w:rPr>
                <w:rFonts w:cs="Arial"/>
                <w:color w:val="FF0000"/>
                <w:sz w:val="21"/>
                <w:szCs w:val="21"/>
              </w:rPr>
            </w:pPr>
          </w:p>
        </w:tc>
        <w:tc>
          <w:tcPr>
            <w:tcW w:w="217" w:type="dxa"/>
          </w:tcPr>
          <w:p w14:paraId="063A4B30" w14:textId="77777777" w:rsidR="002C0FD9" w:rsidRPr="00CA25CF" w:rsidRDefault="002C0FD9" w:rsidP="00CA25CF">
            <w:pPr>
              <w:rPr>
                <w:rFonts w:cs="Arial"/>
                <w:color w:val="FF0000"/>
                <w:sz w:val="21"/>
                <w:szCs w:val="21"/>
              </w:rPr>
            </w:pPr>
          </w:p>
        </w:tc>
        <w:tc>
          <w:tcPr>
            <w:tcW w:w="217" w:type="dxa"/>
          </w:tcPr>
          <w:p w14:paraId="05632FC1" w14:textId="77777777" w:rsidR="002C0FD9" w:rsidRPr="00CA25CF" w:rsidRDefault="002C0FD9" w:rsidP="00CA25CF">
            <w:pPr>
              <w:rPr>
                <w:rFonts w:cs="Arial"/>
                <w:color w:val="FF0000"/>
                <w:sz w:val="21"/>
                <w:szCs w:val="21"/>
              </w:rPr>
            </w:pPr>
          </w:p>
        </w:tc>
        <w:tc>
          <w:tcPr>
            <w:tcW w:w="217" w:type="dxa"/>
          </w:tcPr>
          <w:p w14:paraId="492BC53F" w14:textId="77777777" w:rsidR="002C0FD9" w:rsidRPr="00CA25CF" w:rsidRDefault="002C0FD9" w:rsidP="00CA25CF">
            <w:pPr>
              <w:rPr>
                <w:rFonts w:cs="Arial"/>
                <w:color w:val="FF0000"/>
                <w:sz w:val="21"/>
                <w:szCs w:val="21"/>
              </w:rPr>
            </w:pPr>
          </w:p>
        </w:tc>
        <w:tc>
          <w:tcPr>
            <w:tcW w:w="217" w:type="dxa"/>
          </w:tcPr>
          <w:p w14:paraId="7BFD35B0" w14:textId="77777777" w:rsidR="002C0FD9" w:rsidRPr="00CA25CF" w:rsidRDefault="002C0FD9" w:rsidP="00CA25CF">
            <w:pPr>
              <w:rPr>
                <w:rFonts w:cs="Arial"/>
                <w:color w:val="FF0000"/>
                <w:sz w:val="21"/>
                <w:szCs w:val="21"/>
              </w:rPr>
            </w:pPr>
          </w:p>
        </w:tc>
        <w:tc>
          <w:tcPr>
            <w:tcW w:w="217" w:type="dxa"/>
          </w:tcPr>
          <w:p w14:paraId="3C018EDC" w14:textId="77777777" w:rsidR="002C0FD9" w:rsidRPr="00CA25CF" w:rsidRDefault="002C0FD9" w:rsidP="00CA25CF">
            <w:pPr>
              <w:rPr>
                <w:rFonts w:cs="Arial"/>
                <w:color w:val="FF0000"/>
                <w:sz w:val="21"/>
                <w:szCs w:val="21"/>
              </w:rPr>
            </w:pPr>
          </w:p>
        </w:tc>
        <w:tc>
          <w:tcPr>
            <w:tcW w:w="217" w:type="dxa"/>
          </w:tcPr>
          <w:p w14:paraId="22D25362" w14:textId="77777777" w:rsidR="002C0FD9" w:rsidRPr="00CA25CF" w:rsidRDefault="002C0FD9" w:rsidP="00CA25CF">
            <w:pPr>
              <w:rPr>
                <w:rFonts w:cs="Arial"/>
                <w:color w:val="FF0000"/>
                <w:sz w:val="21"/>
                <w:szCs w:val="21"/>
              </w:rPr>
            </w:pPr>
          </w:p>
        </w:tc>
        <w:tc>
          <w:tcPr>
            <w:tcW w:w="217" w:type="dxa"/>
          </w:tcPr>
          <w:p w14:paraId="79D598AF" w14:textId="77777777" w:rsidR="002C0FD9" w:rsidRPr="00CA25CF" w:rsidRDefault="002C0FD9" w:rsidP="00CA25CF">
            <w:pPr>
              <w:rPr>
                <w:rFonts w:cs="Arial"/>
                <w:color w:val="FF0000"/>
                <w:sz w:val="21"/>
                <w:szCs w:val="21"/>
              </w:rPr>
            </w:pPr>
          </w:p>
        </w:tc>
        <w:tc>
          <w:tcPr>
            <w:tcW w:w="217" w:type="dxa"/>
          </w:tcPr>
          <w:p w14:paraId="124F79B9" w14:textId="77777777" w:rsidR="002C0FD9" w:rsidRPr="00CA25CF" w:rsidRDefault="002C0FD9" w:rsidP="00CA25CF">
            <w:pPr>
              <w:rPr>
                <w:rFonts w:cs="Arial"/>
                <w:color w:val="FF0000"/>
                <w:sz w:val="21"/>
                <w:szCs w:val="21"/>
              </w:rPr>
            </w:pPr>
          </w:p>
        </w:tc>
        <w:tc>
          <w:tcPr>
            <w:tcW w:w="217" w:type="dxa"/>
          </w:tcPr>
          <w:p w14:paraId="0DFD6356" w14:textId="77777777" w:rsidR="002C0FD9" w:rsidRPr="00CA25CF" w:rsidRDefault="002C0FD9" w:rsidP="00CA25CF">
            <w:pPr>
              <w:rPr>
                <w:rFonts w:cs="Arial"/>
                <w:color w:val="FF0000"/>
                <w:sz w:val="21"/>
                <w:szCs w:val="21"/>
              </w:rPr>
            </w:pPr>
          </w:p>
        </w:tc>
        <w:tc>
          <w:tcPr>
            <w:tcW w:w="217" w:type="dxa"/>
          </w:tcPr>
          <w:p w14:paraId="4CD88567" w14:textId="77777777" w:rsidR="002C0FD9" w:rsidRPr="00CA25CF" w:rsidRDefault="002C0FD9" w:rsidP="00CA25CF">
            <w:pPr>
              <w:rPr>
                <w:rFonts w:cs="Arial"/>
                <w:color w:val="FF0000"/>
                <w:sz w:val="21"/>
                <w:szCs w:val="21"/>
              </w:rPr>
            </w:pPr>
          </w:p>
        </w:tc>
        <w:tc>
          <w:tcPr>
            <w:tcW w:w="217" w:type="dxa"/>
          </w:tcPr>
          <w:p w14:paraId="29828BDF" w14:textId="77777777" w:rsidR="002C0FD9" w:rsidRPr="00CA25CF" w:rsidRDefault="002C0FD9" w:rsidP="00CA25CF">
            <w:pPr>
              <w:rPr>
                <w:rFonts w:cs="Arial"/>
                <w:color w:val="FF0000"/>
                <w:sz w:val="21"/>
                <w:szCs w:val="21"/>
              </w:rPr>
            </w:pPr>
          </w:p>
        </w:tc>
        <w:tc>
          <w:tcPr>
            <w:tcW w:w="217" w:type="dxa"/>
          </w:tcPr>
          <w:p w14:paraId="103CC07B" w14:textId="77777777" w:rsidR="002C0FD9" w:rsidRPr="00CA25CF" w:rsidRDefault="002C0FD9" w:rsidP="00CA25CF">
            <w:pPr>
              <w:rPr>
                <w:rFonts w:cs="Arial"/>
                <w:color w:val="FF0000"/>
                <w:sz w:val="21"/>
                <w:szCs w:val="21"/>
              </w:rPr>
            </w:pPr>
          </w:p>
        </w:tc>
        <w:tc>
          <w:tcPr>
            <w:tcW w:w="217" w:type="dxa"/>
          </w:tcPr>
          <w:p w14:paraId="05B0F9B1" w14:textId="77777777" w:rsidR="002C0FD9" w:rsidRPr="00CA25CF" w:rsidRDefault="002C0FD9" w:rsidP="00CA25CF">
            <w:pPr>
              <w:rPr>
                <w:rFonts w:cs="Arial"/>
                <w:color w:val="FF0000"/>
                <w:sz w:val="21"/>
                <w:szCs w:val="21"/>
              </w:rPr>
            </w:pPr>
          </w:p>
        </w:tc>
        <w:tc>
          <w:tcPr>
            <w:tcW w:w="217" w:type="dxa"/>
          </w:tcPr>
          <w:p w14:paraId="7167A7F5" w14:textId="77777777" w:rsidR="002C0FD9" w:rsidRPr="00CA25CF" w:rsidRDefault="002C0FD9" w:rsidP="00CA25CF">
            <w:pPr>
              <w:rPr>
                <w:rFonts w:cs="Arial"/>
                <w:color w:val="FF0000"/>
                <w:sz w:val="21"/>
                <w:szCs w:val="21"/>
              </w:rPr>
            </w:pPr>
          </w:p>
        </w:tc>
        <w:tc>
          <w:tcPr>
            <w:tcW w:w="217" w:type="dxa"/>
          </w:tcPr>
          <w:p w14:paraId="30A345BC" w14:textId="77777777" w:rsidR="002C0FD9" w:rsidRPr="00CA25CF" w:rsidRDefault="002C0FD9" w:rsidP="00CA25CF">
            <w:pPr>
              <w:rPr>
                <w:rFonts w:cs="Arial"/>
                <w:color w:val="FF0000"/>
                <w:sz w:val="21"/>
                <w:szCs w:val="21"/>
              </w:rPr>
            </w:pPr>
          </w:p>
        </w:tc>
        <w:tc>
          <w:tcPr>
            <w:tcW w:w="217" w:type="dxa"/>
          </w:tcPr>
          <w:p w14:paraId="02B70E26" w14:textId="77777777" w:rsidR="002C0FD9" w:rsidRPr="00CA25CF" w:rsidRDefault="002C0FD9" w:rsidP="00CA25CF">
            <w:pPr>
              <w:rPr>
                <w:rFonts w:cs="Arial"/>
                <w:color w:val="FF0000"/>
                <w:sz w:val="21"/>
                <w:szCs w:val="21"/>
              </w:rPr>
            </w:pPr>
          </w:p>
        </w:tc>
        <w:tc>
          <w:tcPr>
            <w:tcW w:w="217" w:type="dxa"/>
          </w:tcPr>
          <w:p w14:paraId="43A67AE8" w14:textId="77777777" w:rsidR="002C0FD9" w:rsidRPr="00CA25CF" w:rsidRDefault="002C0FD9" w:rsidP="00CA25CF">
            <w:pPr>
              <w:rPr>
                <w:rFonts w:cs="Arial"/>
                <w:color w:val="FF0000"/>
                <w:sz w:val="21"/>
                <w:szCs w:val="21"/>
              </w:rPr>
            </w:pPr>
          </w:p>
        </w:tc>
        <w:tc>
          <w:tcPr>
            <w:tcW w:w="217" w:type="dxa"/>
          </w:tcPr>
          <w:p w14:paraId="64C5EB7A" w14:textId="77777777" w:rsidR="002C0FD9" w:rsidRPr="00CA25CF" w:rsidRDefault="002C0FD9" w:rsidP="00CA25CF">
            <w:pPr>
              <w:rPr>
                <w:rFonts w:cs="Arial"/>
                <w:color w:val="FF0000"/>
                <w:sz w:val="21"/>
                <w:szCs w:val="21"/>
              </w:rPr>
            </w:pPr>
          </w:p>
        </w:tc>
        <w:tc>
          <w:tcPr>
            <w:tcW w:w="217" w:type="dxa"/>
          </w:tcPr>
          <w:p w14:paraId="17E785F5" w14:textId="77777777" w:rsidR="002C0FD9" w:rsidRPr="00CA25CF" w:rsidRDefault="002C0FD9" w:rsidP="00CA25CF">
            <w:pPr>
              <w:rPr>
                <w:rFonts w:cs="Arial"/>
                <w:color w:val="FF0000"/>
                <w:sz w:val="21"/>
                <w:szCs w:val="21"/>
              </w:rPr>
            </w:pPr>
          </w:p>
        </w:tc>
        <w:tc>
          <w:tcPr>
            <w:tcW w:w="217" w:type="dxa"/>
          </w:tcPr>
          <w:p w14:paraId="280ACB4B" w14:textId="77777777" w:rsidR="002C0FD9" w:rsidRPr="00CA25CF" w:rsidRDefault="002C0FD9" w:rsidP="00CA25CF">
            <w:pPr>
              <w:rPr>
                <w:rFonts w:cs="Arial"/>
                <w:color w:val="FF0000"/>
                <w:sz w:val="21"/>
                <w:szCs w:val="21"/>
              </w:rPr>
            </w:pPr>
          </w:p>
        </w:tc>
        <w:tc>
          <w:tcPr>
            <w:tcW w:w="217" w:type="dxa"/>
          </w:tcPr>
          <w:p w14:paraId="4125B411" w14:textId="77777777" w:rsidR="002C0FD9" w:rsidRPr="00CA25CF" w:rsidRDefault="002C0FD9" w:rsidP="00CA25CF">
            <w:pPr>
              <w:rPr>
                <w:rFonts w:cs="Arial"/>
                <w:color w:val="FF0000"/>
                <w:sz w:val="21"/>
                <w:szCs w:val="21"/>
              </w:rPr>
            </w:pPr>
          </w:p>
        </w:tc>
        <w:tc>
          <w:tcPr>
            <w:tcW w:w="217" w:type="dxa"/>
          </w:tcPr>
          <w:p w14:paraId="5E79D660" w14:textId="77777777" w:rsidR="002C0FD9" w:rsidRPr="00CA25CF" w:rsidRDefault="002C0FD9" w:rsidP="00CA25CF">
            <w:pPr>
              <w:rPr>
                <w:rFonts w:cs="Arial"/>
                <w:color w:val="FF0000"/>
                <w:sz w:val="21"/>
                <w:szCs w:val="21"/>
              </w:rPr>
            </w:pPr>
          </w:p>
        </w:tc>
        <w:tc>
          <w:tcPr>
            <w:tcW w:w="217" w:type="dxa"/>
          </w:tcPr>
          <w:p w14:paraId="032217CA" w14:textId="77777777" w:rsidR="002C0FD9" w:rsidRPr="00CA25CF" w:rsidRDefault="002C0FD9" w:rsidP="00CA25CF">
            <w:pPr>
              <w:rPr>
                <w:rFonts w:cs="Arial"/>
                <w:color w:val="FF0000"/>
                <w:sz w:val="21"/>
                <w:szCs w:val="21"/>
              </w:rPr>
            </w:pPr>
          </w:p>
        </w:tc>
        <w:tc>
          <w:tcPr>
            <w:tcW w:w="217" w:type="dxa"/>
          </w:tcPr>
          <w:p w14:paraId="4DF75DF9" w14:textId="77777777" w:rsidR="002C0FD9" w:rsidRPr="00CA25CF" w:rsidRDefault="002C0FD9" w:rsidP="00CA25CF">
            <w:pPr>
              <w:rPr>
                <w:rFonts w:cs="Arial"/>
                <w:color w:val="FF0000"/>
                <w:sz w:val="21"/>
                <w:szCs w:val="21"/>
              </w:rPr>
            </w:pPr>
          </w:p>
        </w:tc>
      </w:tr>
      <w:tr w:rsidR="002C0FD9" w:rsidRPr="00A16219" w14:paraId="420EFB0A" w14:textId="448A8291" w:rsidTr="002C0FD9">
        <w:trPr>
          <w:trHeight w:val="635"/>
        </w:trPr>
        <w:tc>
          <w:tcPr>
            <w:tcW w:w="515" w:type="dxa"/>
          </w:tcPr>
          <w:p w14:paraId="00233F36" w14:textId="77777777" w:rsidR="002C0FD9" w:rsidRPr="00CA25CF" w:rsidRDefault="002C0FD9" w:rsidP="00CA25CF">
            <w:pPr>
              <w:rPr>
                <w:rFonts w:cs="Arial"/>
                <w:color w:val="FF0000"/>
                <w:sz w:val="21"/>
                <w:szCs w:val="21"/>
              </w:rPr>
            </w:pPr>
          </w:p>
        </w:tc>
        <w:tc>
          <w:tcPr>
            <w:tcW w:w="217" w:type="dxa"/>
          </w:tcPr>
          <w:p w14:paraId="3EED111A" w14:textId="77777777" w:rsidR="002C0FD9" w:rsidRPr="00CA25CF" w:rsidRDefault="002C0FD9" w:rsidP="00CA25CF">
            <w:pPr>
              <w:rPr>
                <w:rFonts w:cs="Arial"/>
                <w:color w:val="FF0000"/>
                <w:sz w:val="21"/>
                <w:szCs w:val="21"/>
              </w:rPr>
            </w:pPr>
          </w:p>
        </w:tc>
        <w:tc>
          <w:tcPr>
            <w:tcW w:w="217" w:type="dxa"/>
          </w:tcPr>
          <w:p w14:paraId="633CB309" w14:textId="1582330C" w:rsidR="002C0FD9" w:rsidRPr="00CA25CF" w:rsidRDefault="002C0FD9" w:rsidP="00CA25CF">
            <w:pPr>
              <w:rPr>
                <w:rFonts w:cs="Arial"/>
                <w:color w:val="FF0000"/>
                <w:sz w:val="21"/>
                <w:szCs w:val="21"/>
              </w:rPr>
            </w:pPr>
          </w:p>
        </w:tc>
        <w:tc>
          <w:tcPr>
            <w:tcW w:w="217" w:type="dxa"/>
          </w:tcPr>
          <w:p w14:paraId="2AAD57DC" w14:textId="77777777" w:rsidR="002C0FD9" w:rsidRPr="00CA25CF" w:rsidRDefault="002C0FD9" w:rsidP="00CA25CF">
            <w:pPr>
              <w:rPr>
                <w:rFonts w:cs="Arial"/>
                <w:color w:val="FF0000"/>
                <w:sz w:val="21"/>
                <w:szCs w:val="21"/>
              </w:rPr>
            </w:pPr>
          </w:p>
        </w:tc>
        <w:tc>
          <w:tcPr>
            <w:tcW w:w="217" w:type="dxa"/>
          </w:tcPr>
          <w:p w14:paraId="571050E3" w14:textId="77777777" w:rsidR="002C0FD9" w:rsidRPr="00CA25CF" w:rsidRDefault="002C0FD9" w:rsidP="00CA25CF">
            <w:pPr>
              <w:rPr>
                <w:rFonts w:cs="Arial"/>
                <w:color w:val="FF0000"/>
                <w:sz w:val="21"/>
                <w:szCs w:val="21"/>
              </w:rPr>
            </w:pPr>
          </w:p>
        </w:tc>
        <w:tc>
          <w:tcPr>
            <w:tcW w:w="217" w:type="dxa"/>
          </w:tcPr>
          <w:p w14:paraId="27FBF69F" w14:textId="77777777" w:rsidR="002C0FD9" w:rsidRPr="00CA25CF" w:rsidRDefault="002C0FD9" w:rsidP="00CA25CF">
            <w:pPr>
              <w:rPr>
                <w:rFonts w:cs="Arial"/>
                <w:color w:val="FF0000"/>
                <w:sz w:val="21"/>
                <w:szCs w:val="21"/>
              </w:rPr>
            </w:pPr>
          </w:p>
        </w:tc>
        <w:tc>
          <w:tcPr>
            <w:tcW w:w="217" w:type="dxa"/>
          </w:tcPr>
          <w:p w14:paraId="083109A8" w14:textId="77777777" w:rsidR="002C0FD9" w:rsidRPr="00CA25CF" w:rsidRDefault="002C0FD9" w:rsidP="00CA25CF">
            <w:pPr>
              <w:rPr>
                <w:rFonts w:cs="Arial"/>
                <w:color w:val="FF0000"/>
                <w:sz w:val="21"/>
                <w:szCs w:val="21"/>
              </w:rPr>
            </w:pPr>
          </w:p>
        </w:tc>
        <w:tc>
          <w:tcPr>
            <w:tcW w:w="217" w:type="dxa"/>
          </w:tcPr>
          <w:p w14:paraId="5C4C27FA" w14:textId="77777777" w:rsidR="002C0FD9" w:rsidRPr="00CA25CF" w:rsidRDefault="002C0FD9" w:rsidP="00CA25CF">
            <w:pPr>
              <w:rPr>
                <w:rFonts w:cs="Arial"/>
                <w:color w:val="FF0000"/>
                <w:sz w:val="21"/>
                <w:szCs w:val="21"/>
              </w:rPr>
            </w:pPr>
          </w:p>
        </w:tc>
        <w:tc>
          <w:tcPr>
            <w:tcW w:w="217" w:type="dxa"/>
          </w:tcPr>
          <w:p w14:paraId="70A699A1" w14:textId="77777777" w:rsidR="002C0FD9" w:rsidRPr="00CA25CF" w:rsidRDefault="002C0FD9" w:rsidP="00CA25CF">
            <w:pPr>
              <w:rPr>
                <w:rFonts w:cs="Arial"/>
                <w:color w:val="FF0000"/>
                <w:sz w:val="21"/>
                <w:szCs w:val="21"/>
              </w:rPr>
            </w:pPr>
          </w:p>
        </w:tc>
        <w:tc>
          <w:tcPr>
            <w:tcW w:w="217" w:type="dxa"/>
          </w:tcPr>
          <w:p w14:paraId="4260A056" w14:textId="77777777" w:rsidR="002C0FD9" w:rsidRPr="00CA25CF" w:rsidRDefault="002C0FD9" w:rsidP="00CA25CF">
            <w:pPr>
              <w:rPr>
                <w:rFonts w:cs="Arial"/>
                <w:color w:val="FF0000"/>
                <w:sz w:val="21"/>
                <w:szCs w:val="21"/>
              </w:rPr>
            </w:pPr>
          </w:p>
        </w:tc>
        <w:tc>
          <w:tcPr>
            <w:tcW w:w="217" w:type="dxa"/>
          </w:tcPr>
          <w:p w14:paraId="0FF3DDD5" w14:textId="77777777" w:rsidR="002C0FD9" w:rsidRPr="00CA25CF" w:rsidRDefault="002C0FD9" w:rsidP="00CA25CF">
            <w:pPr>
              <w:rPr>
                <w:rFonts w:cs="Arial"/>
                <w:color w:val="FF0000"/>
                <w:sz w:val="21"/>
                <w:szCs w:val="21"/>
              </w:rPr>
            </w:pPr>
          </w:p>
        </w:tc>
        <w:tc>
          <w:tcPr>
            <w:tcW w:w="217" w:type="dxa"/>
          </w:tcPr>
          <w:p w14:paraId="1991FF03" w14:textId="77777777" w:rsidR="002C0FD9" w:rsidRPr="00CA25CF" w:rsidRDefault="002C0FD9" w:rsidP="00CA25CF">
            <w:pPr>
              <w:rPr>
                <w:rFonts w:cs="Arial"/>
                <w:color w:val="FF0000"/>
                <w:sz w:val="21"/>
                <w:szCs w:val="21"/>
              </w:rPr>
            </w:pPr>
          </w:p>
        </w:tc>
        <w:tc>
          <w:tcPr>
            <w:tcW w:w="217" w:type="dxa"/>
          </w:tcPr>
          <w:p w14:paraId="10F0C646" w14:textId="77777777" w:rsidR="002C0FD9" w:rsidRPr="00CA25CF" w:rsidRDefault="002C0FD9" w:rsidP="00CA25CF">
            <w:pPr>
              <w:rPr>
                <w:rFonts w:cs="Arial"/>
                <w:color w:val="FF0000"/>
                <w:sz w:val="21"/>
                <w:szCs w:val="21"/>
              </w:rPr>
            </w:pPr>
          </w:p>
        </w:tc>
        <w:tc>
          <w:tcPr>
            <w:tcW w:w="217" w:type="dxa"/>
          </w:tcPr>
          <w:p w14:paraId="7FF31709" w14:textId="77777777" w:rsidR="002C0FD9" w:rsidRPr="00CA25CF" w:rsidRDefault="002C0FD9" w:rsidP="00CA25CF">
            <w:pPr>
              <w:rPr>
                <w:rFonts w:cs="Arial"/>
                <w:color w:val="FF0000"/>
                <w:sz w:val="21"/>
                <w:szCs w:val="21"/>
              </w:rPr>
            </w:pPr>
          </w:p>
        </w:tc>
        <w:tc>
          <w:tcPr>
            <w:tcW w:w="217" w:type="dxa"/>
          </w:tcPr>
          <w:p w14:paraId="2BC7A989" w14:textId="77777777" w:rsidR="002C0FD9" w:rsidRPr="00CA25CF" w:rsidRDefault="002C0FD9" w:rsidP="00CA25CF">
            <w:pPr>
              <w:rPr>
                <w:rFonts w:cs="Arial"/>
                <w:color w:val="FF0000"/>
                <w:sz w:val="21"/>
                <w:szCs w:val="21"/>
              </w:rPr>
            </w:pPr>
          </w:p>
        </w:tc>
        <w:tc>
          <w:tcPr>
            <w:tcW w:w="217" w:type="dxa"/>
          </w:tcPr>
          <w:p w14:paraId="25BFAA96" w14:textId="77777777" w:rsidR="002C0FD9" w:rsidRPr="00CA25CF" w:rsidRDefault="002C0FD9" w:rsidP="00CA25CF">
            <w:pPr>
              <w:rPr>
                <w:rFonts w:cs="Arial"/>
                <w:color w:val="FF0000"/>
                <w:sz w:val="21"/>
                <w:szCs w:val="21"/>
              </w:rPr>
            </w:pPr>
          </w:p>
        </w:tc>
        <w:tc>
          <w:tcPr>
            <w:tcW w:w="217" w:type="dxa"/>
          </w:tcPr>
          <w:p w14:paraId="450010B6" w14:textId="77777777" w:rsidR="002C0FD9" w:rsidRPr="00CA25CF" w:rsidRDefault="002C0FD9" w:rsidP="00CA25CF">
            <w:pPr>
              <w:rPr>
                <w:rFonts w:cs="Arial"/>
                <w:color w:val="FF0000"/>
                <w:sz w:val="21"/>
                <w:szCs w:val="21"/>
              </w:rPr>
            </w:pPr>
          </w:p>
        </w:tc>
        <w:tc>
          <w:tcPr>
            <w:tcW w:w="217" w:type="dxa"/>
          </w:tcPr>
          <w:p w14:paraId="2E8DF640" w14:textId="77777777" w:rsidR="002C0FD9" w:rsidRPr="00CA25CF" w:rsidRDefault="002C0FD9" w:rsidP="00CA25CF">
            <w:pPr>
              <w:rPr>
                <w:rFonts w:cs="Arial"/>
                <w:color w:val="FF0000"/>
                <w:sz w:val="21"/>
                <w:szCs w:val="21"/>
              </w:rPr>
            </w:pPr>
          </w:p>
        </w:tc>
        <w:tc>
          <w:tcPr>
            <w:tcW w:w="217" w:type="dxa"/>
          </w:tcPr>
          <w:p w14:paraId="172CD0D1" w14:textId="77777777" w:rsidR="002C0FD9" w:rsidRPr="00CA25CF" w:rsidRDefault="002C0FD9" w:rsidP="00CA25CF">
            <w:pPr>
              <w:rPr>
                <w:rFonts w:cs="Arial"/>
                <w:color w:val="FF0000"/>
                <w:sz w:val="21"/>
                <w:szCs w:val="21"/>
              </w:rPr>
            </w:pPr>
          </w:p>
        </w:tc>
        <w:tc>
          <w:tcPr>
            <w:tcW w:w="217" w:type="dxa"/>
          </w:tcPr>
          <w:p w14:paraId="2D53940E" w14:textId="77777777" w:rsidR="002C0FD9" w:rsidRPr="00CA25CF" w:rsidRDefault="002C0FD9" w:rsidP="00CA25CF">
            <w:pPr>
              <w:rPr>
                <w:rFonts w:cs="Arial"/>
                <w:color w:val="FF0000"/>
                <w:sz w:val="21"/>
                <w:szCs w:val="21"/>
              </w:rPr>
            </w:pPr>
          </w:p>
        </w:tc>
        <w:tc>
          <w:tcPr>
            <w:tcW w:w="217" w:type="dxa"/>
          </w:tcPr>
          <w:p w14:paraId="7A63A46A" w14:textId="77777777" w:rsidR="002C0FD9" w:rsidRPr="00CA25CF" w:rsidRDefault="002C0FD9" w:rsidP="00CA25CF">
            <w:pPr>
              <w:rPr>
                <w:rFonts w:cs="Arial"/>
                <w:color w:val="FF0000"/>
                <w:sz w:val="21"/>
                <w:szCs w:val="21"/>
              </w:rPr>
            </w:pPr>
          </w:p>
        </w:tc>
        <w:tc>
          <w:tcPr>
            <w:tcW w:w="217" w:type="dxa"/>
          </w:tcPr>
          <w:p w14:paraId="5BA773B6" w14:textId="77777777" w:rsidR="002C0FD9" w:rsidRPr="00CA25CF" w:rsidRDefault="002C0FD9" w:rsidP="00CA25CF">
            <w:pPr>
              <w:rPr>
                <w:rFonts w:cs="Arial"/>
                <w:color w:val="FF0000"/>
                <w:sz w:val="21"/>
                <w:szCs w:val="21"/>
              </w:rPr>
            </w:pPr>
          </w:p>
        </w:tc>
        <w:tc>
          <w:tcPr>
            <w:tcW w:w="217" w:type="dxa"/>
          </w:tcPr>
          <w:p w14:paraId="10BFD88F" w14:textId="77777777" w:rsidR="002C0FD9" w:rsidRPr="00CA25CF" w:rsidRDefault="002C0FD9" w:rsidP="00CA25CF">
            <w:pPr>
              <w:rPr>
                <w:rFonts w:cs="Arial"/>
                <w:color w:val="FF0000"/>
                <w:sz w:val="21"/>
                <w:szCs w:val="21"/>
              </w:rPr>
            </w:pPr>
          </w:p>
        </w:tc>
        <w:tc>
          <w:tcPr>
            <w:tcW w:w="217" w:type="dxa"/>
          </w:tcPr>
          <w:p w14:paraId="2AE39E4C" w14:textId="77777777" w:rsidR="002C0FD9" w:rsidRPr="00CA25CF" w:rsidRDefault="002C0FD9" w:rsidP="00CA25CF">
            <w:pPr>
              <w:rPr>
                <w:rFonts w:cs="Arial"/>
                <w:color w:val="FF0000"/>
                <w:sz w:val="21"/>
                <w:szCs w:val="21"/>
              </w:rPr>
            </w:pPr>
          </w:p>
        </w:tc>
        <w:tc>
          <w:tcPr>
            <w:tcW w:w="217" w:type="dxa"/>
          </w:tcPr>
          <w:p w14:paraId="793C93DC" w14:textId="77777777" w:rsidR="002C0FD9" w:rsidRPr="00CA25CF" w:rsidRDefault="002C0FD9" w:rsidP="00CA25CF">
            <w:pPr>
              <w:rPr>
                <w:rFonts w:cs="Arial"/>
                <w:color w:val="FF0000"/>
                <w:sz w:val="21"/>
                <w:szCs w:val="21"/>
              </w:rPr>
            </w:pPr>
          </w:p>
        </w:tc>
        <w:tc>
          <w:tcPr>
            <w:tcW w:w="217" w:type="dxa"/>
          </w:tcPr>
          <w:p w14:paraId="24015F5A" w14:textId="77777777" w:rsidR="002C0FD9" w:rsidRPr="00CA25CF" w:rsidRDefault="002C0FD9" w:rsidP="00CA25CF">
            <w:pPr>
              <w:rPr>
                <w:rFonts w:cs="Arial"/>
                <w:color w:val="FF0000"/>
                <w:sz w:val="21"/>
                <w:szCs w:val="21"/>
              </w:rPr>
            </w:pPr>
          </w:p>
        </w:tc>
        <w:tc>
          <w:tcPr>
            <w:tcW w:w="217" w:type="dxa"/>
          </w:tcPr>
          <w:p w14:paraId="63B3BFE8" w14:textId="77777777" w:rsidR="002C0FD9" w:rsidRPr="00CA25CF" w:rsidRDefault="002C0FD9" w:rsidP="00CA25CF">
            <w:pPr>
              <w:rPr>
                <w:rFonts w:cs="Arial"/>
                <w:color w:val="FF0000"/>
                <w:sz w:val="21"/>
                <w:szCs w:val="21"/>
              </w:rPr>
            </w:pPr>
          </w:p>
        </w:tc>
        <w:tc>
          <w:tcPr>
            <w:tcW w:w="217" w:type="dxa"/>
          </w:tcPr>
          <w:p w14:paraId="01D61AAD" w14:textId="77777777" w:rsidR="002C0FD9" w:rsidRPr="00CA25CF" w:rsidRDefault="002C0FD9" w:rsidP="00CA25CF">
            <w:pPr>
              <w:rPr>
                <w:rFonts w:cs="Arial"/>
                <w:color w:val="FF0000"/>
                <w:sz w:val="21"/>
                <w:szCs w:val="21"/>
              </w:rPr>
            </w:pPr>
          </w:p>
        </w:tc>
        <w:tc>
          <w:tcPr>
            <w:tcW w:w="217" w:type="dxa"/>
          </w:tcPr>
          <w:p w14:paraId="0DCA07D6" w14:textId="77777777" w:rsidR="002C0FD9" w:rsidRPr="00CA25CF" w:rsidRDefault="002C0FD9" w:rsidP="00CA25CF">
            <w:pPr>
              <w:rPr>
                <w:rFonts w:cs="Arial"/>
                <w:color w:val="FF0000"/>
                <w:sz w:val="21"/>
                <w:szCs w:val="21"/>
              </w:rPr>
            </w:pPr>
          </w:p>
        </w:tc>
        <w:tc>
          <w:tcPr>
            <w:tcW w:w="217" w:type="dxa"/>
          </w:tcPr>
          <w:p w14:paraId="1A9B5DEF" w14:textId="77777777" w:rsidR="002C0FD9" w:rsidRPr="00CA25CF" w:rsidRDefault="002C0FD9" w:rsidP="00CA25CF">
            <w:pPr>
              <w:rPr>
                <w:rFonts w:cs="Arial"/>
                <w:color w:val="FF0000"/>
                <w:sz w:val="21"/>
                <w:szCs w:val="21"/>
              </w:rPr>
            </w:pPr>
          </w:p>
        </w:tc>
        <w:tc>
          <w:tcPr>
            <w:tcW w:w="217" w:type="dxa"/>
          </w:tcPr>
          <w:p w14:paraId="556F655A" w14:textId="77777777" w:rsidR="002C0FD9" w:rsidRPr="00CA25CF" w:rsidRDefault="002C0FD9" w:rsidP="00CA25CF">
            <w:pPr>
              <w:rPr>
                <w:rFonts w:cs="Arial"/>
                <w:color w:val="FF0000"/>
                <w:sz w:val="21"/>
                <w:szCs w:val="21"/>
              </w:rPr>
            </w:pPr>
          </w:p>
        </w:tc>
        <w:tc>
          <w:tcPr>
            <w:tcW w:w="217" w:type="dxa"/>
          </w:tcPr>
          <w:p w14:paraId="2D900B22" w14:textId="77777777" w:rsidR="002C0FD9" w:rsidRPr="00CA25CF" w:rsidRDefault="002C0FD9" w:rsidP="00CA25CF">
            <w:pPr>
              <w:rPr>
                <w:rFonts w:cs="Arial"/>
                <w:color w:val="FF0000"/>
                <w:sz w:val="21"/>
                <w:szCs w:val="21"/>
              </w:rPr>
            </w:pPr>
          </w:p>
        </w:tc>
        <w:tc>
          <w:tcPr>
            <w:tcW w:w="217" w:type="dxa"/>
          </w:tcPr>
          <w:p w14:paraId="0A07DE3D" w14:textId="77777777" w:rsidR="002C0FD9" w:rsidRPr="00CA25CF" w:rsidRDefault="002C0FD9" w:rsidP="00CA25CF">
            <w:pPr>
              <w:rPr>
                <w:rFonts w:cs="Arial"/>
                <w:color w:val="FF0000"/>
                <w:sz w:val="21"/>
                <w:szCs w:val="21"/>
              </w:rPr>
            </w:pPr>
          </w:p>
        </w:tc>
        <w:tc>
          <w:tcPr>
            <w:tcW w:w="217" w:type="dxa"/>
          </w:tcPr>
          <w:p w14:paraId="6AE57731" w14:textId="77777777" w:rsidR="002C0FD9" w:rsidRPr="00CA25CF" w:rsidRDefault="002C0FD9" w:rsidP="00CA25CF">
            <w:pPr>
              <w:rPr>
                <w:rFonts w:cs="Arial"/>
                <w:color w:val="FF0000"/>
                <w:sz w:val="21"/>
                <w:szCs w:val="21"/>
              </w:rPr>
            </w:pPr>
          </w:p>
        </w:tc>
        <w:tc>
          <w:tcPr>
            <w:tcW w:w="217" w:type="dxa"/>
          </w:tcPr>
          <w:p w14:paraId="001A7303" w14:textId="77777777" w:rsidR="002C0FD9" w:rsidRPr="00CA25CF" w:rsidRDefault="002C0FD9" w:rsidP="00CA25CF">
            <w:pPr>
              <w:rPr>
                <w:rFonts w:cs="Arial"/>
                <w:color w:val="FF0000"/>
                <w:sz w:val="21"/>
                <w:szCs w:val="21"/>
              </w:rPr>
            </w:pPr>
          </w:p>
        </w:tc>
        <w:tc>
          <w:tcPr>
            <w:tcW w:w="217" w:type="dxa"/>
          </w:tcPr>
          <w:p w14:paraId="11BAF643" w14:textId="77777777" w:rsidR="002C0FD9" w:rsidRPr="00CA25CF" w:rsidRDefault="002C0FD9" w:rsidP="00CA25CF">
            <w:pPr>
              <w:rPr>
                <w:rFonts w:cs="Arial"/>
                <w:color w:val="FF0000"/>
                <w:sz w:val="21"/>
                <w:szCs w:val="21"/>
              </w:rPr>
            </w:pPr>
          </w:p>
        </w:tc>
        <w:tc>
          <w:tcPr>
            <w:tcW w:w="217" w:type="dxa"/>
          </w:tcPr>
          <w:p w14:paraId="4C861659" w14:textId="77777777" w:rsidR="002C0FD9" w:rsidRPr="00CA25CF" w:rsidRDefault="002C0FD9" w:rsidP="00CA25CF">
            <w:pPr>
              <w:rPr>
                <w:rFonts w:cs="Arial"/>
                <w:color w:val="FF0000"/>
                <w:sz w:val="21"/>
                <w:szCs w:val="21"/>
              </w:rPr>
            </w:pPr>
          </w:p>
        </w:tc>
        <w:tc>
          <w:tcPr>
            <w:tcW w:w="217" w:type="dxa"/>
          </w:tcPr>
          <w:p w14:paraId="4F142A68" w14:textId="77777777" w:rsidR="002C0FD9" w:rsidRPr="00CA25CF" w:rsidRDefault="002C0FD9" w:rsidP="00CA25CF">
            <w:pPr>
              <w:rPr>
                <w:rFonts w:cs="Arial"/>
                <w:color w:val="FF0000"/>
                <w:sz w:val="21"/>
                <w:szCs w:val="21"/>
              </w:rPr>
            </w:pPr>
          </w:p>
        </w:tc>
        <w:tc>
          <w:tcPr>
            <w:tcW w:w="217" w:type="dxa"/>
          </w:tcPr>
          <w:p w14:paraId="53ABAE2C" w14:textId="77777777" w:rsidR="002C0FD9" w:rsidRPr="00CA25CF" w:rsidRDefault="002C0FD9" w:rsidP="00CA25CF">
            <w:pPr>
              <w:rPr>
                <w:rFonts w:cs="Arial"/>
                <w:color w:val="FF0000"/>
                <w:sz w:val="21"/>
                <w:szCs w:val="21"/>
              </w:rPr>
            </w:pPr>
          </w:p>
        </w:tc>
        <w:tc>
          <w:tcPr>
            <w:tcW w:w="217" w:type="dxa"/>
          </w:tcPr>
          <w:p w14:paraId="7C45B861" w14:textId="77777777" w:rsidR="002C0FD9" w:rsidRPr="00CA25CF" w:rsidRDefault="002C0FD9" w:rsidP="00CA25CF">
            <w:pPr>
              <w:rPr>
                <w:rFonts w:cs="Arial"/>
                <w:color w:val="FF0000"/>
                <w:sz w:val="21"/>
                <w:szCs w:val="21"/>
              </w:rPr>
            </w:pPr>
          </w:p>
        </w:tc>
        <w:tc>
          <w:tcPr>
            <w:tcW w:w="217" w:type="dxa"/>
          </w:tcPr>
          <w:p w14:paraId="19BF5EBF" w14:textId="77777777" w:rsidR="002C0FD9" w:rsidRPr="00CA25CF" w:rsidRDefault="002C0FD9" w:rsidP="00CA25CF">
            <w:pPr>
              <w:rPr>
                <w:rFonts w:cs="Arial"/>
                <w:color w:val="FF0000"/>
                <w:sz w:val="21"/>
                <w:szCs w:val="21"/>
              </w:rPr>
            </w:pPr>
          </w:p>
        </w:tc>
        <w:tc>
          <w:tcPr>
            <w:tcW w:w="217" w:type="dxa"/>
          </w:tcPr>
          <w:p w14:paraId="5DA28274" w14:textId="77777777" w:rsidR="002C0FD9" w:rsidRPr="00CA25CF" w:rsidRDefault="002C0FD9" w:rsidP="00CA25CF">
            <w:pPr>
              <w:rPr>
                <w:rFonts w:cs="Arial"/>
                <w:color w:val="FF0000"/>
                <w:sz w:val="21"/>
                <w:szCs w:val="21"/>
              </w:rPr>
            </w:pPr>
          </w:p>
        </w:tc>
        <w:tc>
          <w:tcPr>
            <w:tcW w:w="217" w:type="dxa"/>
          </w:tcPr>
          <w:p w14:paraId="3E737767" w14:textId="77777777" w:rsidR="002C0FD9" w:rsidRPr="00CA25CF" w:rsidRDefault="002C0FD9" w:rsidP="00CA25CF">
            <w:pPr>
              <w:rPr>
                <w:rFonts w:cs="Arial"/>
                <w:color w:val="FF0000"/>
                <w:sz w:val="21"/>
                <w:szCs w:val="21"/>
              </w:rPr>
            </w:pPr>
          </w:p>
        </w:tc>
      </w:tr>
      <w:tr w:rsidR="002C0FD9" w:rsidRPr="00A16219" w14:paraId="41890CED" w14:textId="0325955C" w:rsidTr="002C0FD9">
        <w:trPr>
          <w:trHeight w:val="635"/>
        </w:trPr>
        <w:tc>
          <w:tcPr>
            <w:tcW w:w="515" w:type="dxa"/>
          </w:tcPr>
          <w:p w14:paraId="53C17404" w14:textId="77777777" w:rsidR="002C0FD9" w:rsidRPr="00CA25CF" w:rsidRDefault="002C0FD9" w:rsidP="00CA25CF">
            <w:pPr>
              <w:rPr>
                <w:rFonts w:cs="Arial"/>
                <w:color w:val="FF0000"/>
                <w:sz w:val="21"/>
                <w:szCs w:val="21"/>
              </w:rPr>
            </w:pPr>
          </w:p>
        </w:tc>
        <w:tc>
          <w:tcPr>
            <w:tcW w:w="217" w:type="dxa"/>
          </w:tcPr>
          <w:p w14:paraId="3F6A3EF6" w14:textId="77777777" w:rsidR="002C0FD9" w:rsidRPr="00CA25CF" w:rsidRDefault="002C0FD9" w:rsidP="00CA25CF">
            <w:pPr>
              <w:rPr>
                <w:rFonts w:cs="Arial"/>
                <w:color w:val="FF0000"/>
                <w:sz w:val="21"/>
                <w:szCs w:val="21"/>
              </w:rPr>
            </w:pPr>
          </w:p>
        </w:tc>
        <w:tc>
          <w:tcPr>
            <w:tcW w:w="217" w:type="dxa"/>
          </w:tcPr>
          <w:p w14:paraId="3F8C9EEF" w14:textId="2C5E798F" w:rsidR="002C0FD9" w:rsidRPr="00CA25CF" w:rsidRDefault="002C0FD9" w:rsidP="00CA25CF">
            <w:pPr>
              <w:rPr>
                <w:rFonts w:cs="Arial"/>
                <w:color w:val="FF0000"/>
                <w:sz w:val="21"/>
                <w:szCs w:val="21"/>
              </w:rPr>
            </w:pPr>
          </w:p>
        </w:tc>
        <w:tc>
          <w:tcPr>
            <w:tcW w:w="217" w:type="dxa"/>
          </w:tcPr>
          <w:p w14:paraId="10BA1CBB" w14:textId="77777777" w:rsidR="002C0FD9" w:rsidRPr="00CA25CF" w:rsidRDefault="002C0FD9" w:rsidP="00CA25CF">
            <w:pPr>
              <w:rPr>
                <w:rFonts w:cs="Arial"/>
                <w:color w:val="FF0000"/>
                <w:sz w:val="21"/>
                <w:szCs w:val="21"/>
              </w:rPr>
            </w:pPr>
          </w:p>
        </w:tc>
        <w:tc>
          <w:tcPr>
            <w:tcW w:w="217" w:type="dxa"/>
          </w:tcPr>
          <w:p w14:paraId="4EECE69C" w14:textId="77777777" w:rsidR="002C0FD9" w:rsidRPr="00CA25CF" w:rsidRDefault="002C0FD9" w:rsidP="00CA25CF">
            <w:pPr>
              <w:rPr>
                <w:rFonts w:cs="Arial"/>
                <w:color w:val="FF0000"/>
                <w:sz w:val="21"/>
                <w:szCs w:val="21"/>
              </w:rPr>
            </w:pPr>
          </w:p>
        </w:tc>
        <w:tc>
          <w:tcPr>
            <w:tcW w:w="217" w:type="dxa"/>
          </w:tcPr>
          <w:p w14:paraId="7157BCBF" w14:textId="77777777" w:rsidR="002C0FD9" w:rsidRPr="00CA25CF" w:rsidRDefault="002C0FD9" w:rsidP="00CA25CF">
            <w:pPr>
              <w:rPr>
                <w:rFonts w:cs="Arial"/>
                <w:color w:val="FF0000"/>
                <w:sz w:val="21"/>
                <w:szCs w:val="21"/>
              </w:rPr>
            </w:pPr>
          </w:p>
        </w:tc>
        <w:tc>
          <w:tcPr>
            <w:tcW w:w="217" w:type="dxa"/>
          </w:tcPr>
          <w:p w14:paraId="4DF0CF91" w14:textId="77777777" w:rsidR="002C0FD9" w:rsidRPr="00CA25CF" w:rsidRDefault="002C0FD9" w:rsidP="00CA25CF">
            <w:pPr>
              <w:rPr>
                <w:rFonts w:cs="Arial"/>
                <w:color w:val="FF0000"/>
                <w:sz w:val="21"/>
                <w:szCs w:val="21"/>
              </w:rPr>
            </w:pPr>
          </w:p>
        </w:tc>
        <w:tc>
          <w:tcPr>
            <w:tcW w:w="217" w:type="dxa"/>
          </w:tcPr>
          <w:p w14:paraId="2A57C1F9" w14:textId="77777777" w:rsidR="002C0FD9" w:rsidRPr="00CA25CF" w:rsidRDefault="002C0FD9" w:rsidP="00CA25CF">
            <w:pPr>
              <w:rPr>
                <w:rFonts w:cs="Arial"/>
                <w:color w:val="FF0000"/>
                <w:sz w:val="21"/>
                <w:szCs w:val="21"/>
              </w:rPr>
            </w:pPr>
          </w:p>
        </w:tc>
        <w:tc>
          <w:tcPr>
            <w:tcW w:w="217" w:type="dxa"/>
          </w:tcPr>
          <w:p w14:paraId="03B92E33" w14:textId="77777777" w:rsidR="002C0FD9" w:rsidRPr="00CA25CF" w:rsidRDefault="002C0FD9" w:rsidP="00CA25CF">
            <w:pPr>
              <w:rPr>
                <w:rFonts w:cs="Arial"/>
                <w:color w:val="FF0000"/>
                <w:sz w:val="21"/>
                <w:szCs w:val="21"/>
              </w:rPr>
            </w:pPr>
          </w:p>
        </w:tc>
        <w:tc>
          <w:tcPr>
            <w:tcW w:w="217" w:type="dxa"/>
          </w:tcPr>
          <w:p w14:paraId="722E0B9A" w14:textId="77777777" w:rsidR="002C0FD9" w:rsidRPr="00CA25CF" w:rsidRDefault="002C0FD9" w:rsidP="00CA25CF">
            <w:pPr>
              <w:rPr>
                <w:rFonts w:cs="Arial"/>
                <w:color w:val="FF0000"/>
                <w:sz w:val="21"/>
                <w:szCs w:val="21"/>
              </w:rPr>
            </w:pPr>
          </w:p>
        </w:tc>
        <w:tc>
          <w:tcPr>
            <w:tcW w:w="217" w:type="dxa"/>
          </w:tcPr>
          <w:p w14:paraId="6B80122C" w14:textId="77777777" w:rsidR="002C0FD9" w:rsidRPr="00CA25CF" w:rsidRDefault="002C0FD9" w:rsidP="00CA25CF">
            <w:pPr>
              <w:rPr>
                <w:rFonts w:cs="Arial"/>
                <w:color w:val="FF0000"/>
                <w:sz w:val="21"/>
                <w:szCs w:val="21"/>
              </w:rPr>
            </w:pPr>
          </w:p>
        </w:tc>
        <w:tc>
          <w:tcPr>
            <w:tcW w:w="217" w:type="dxa"/>
          </w:tcPr>
          <w:p w14:paraId="2B460C29" w14:textId="77777777" w:rsidR="002C0FD9" w:rsidRPr="00CA25CF" w:rsidRDefault="002C0FD9" w:rsidP="00CA25CF">
            <w:pPr>
              <w:rPr>
                <w:rFonts w:cs="Arial"/>
                <w:color w:val="FF0000"/>
                <w:sz w:val="21"/>
                <w:szCs w:val="21"/>
              </w:rPr>
            </w:pPr>
          </w:p>
        </w:tc>
        <w:tc>
          <w:tcPr>
            <w:tcW w:w="217" w:type="dxa"/>
          </w:tcPr>
          <w:p w14:paraId="394D4335" w14:textId="77777777" w:rsidR="002C0FD9" w:rsidRPr="00CA25CF" w:rsidRDefault="002C0FD9" w:rsidP="00CA25CF">
            <w:pPr>
              <w:rPr>
                <w:rFonts w:cs="Arial"/>
                <w:color w:val="FF0000"/>
                <w:sz w:val="21"/>
                <w:szCs w:val="21"/>
              </w:rPr>
            </w:pPr>
          </w:p>
        </w:tc>
        <w:tc>
          <w:tcPr>
            <w:tcW w:w="217" w:type="dxa"/>
          </w:tcPr>
          <w:p w14:paraId="64181893" w14:textId="77777777" w:rsidR="002C0FD9" w:rsidRPr="00CA25CF" w:rsidRDefault="002C0FD9" w:rsidP="00CA25CF">
            <w:pPr>
              <w:rPr>
                <w:rFonts w:cs="Arial"/>
                <w:color w:val="FF0000"/>
                <w:sz w:val="21"/>
                <w:szCs w:val="21"/>
              </w:rPr>
            </w:pPr>
          </w:p>
        </w:tc>
        <w:tc>
          <w:tcPr>
            <w:tcW w:w="217" w:type="dxa"/>
          </w:tcPr>
          <w:p w14:paraId="0B73B4D2" w14:textId="77777777" w:rsidR="002C0FD9" w:rsidRPr="00CA25CF" w:rsidRDefault="002C0FD9" w:rsidP="00CA25CF">
            <w:pPr>
              <w:rPr>
                <w:rFonts w:cs="Arial"/>
                <w:color w:val="FF0000"/>
                <w:sz w:val="21"/>
                <w:szCs w:val="21"/>
              </w:rPr>
            </w:pPr>
          </w:p>
        </w:tc>
        <w:tc>
          <w:tcPr>
            <w:tcW w:w="217" w:type="dxa"/>
          </w:tcPr>
          <w:p w14:paraId="70EC819A" w14:textId="77777777" w:rsidR="002C0FD9" w:rsidRPr="00CA25CF" w:rsidRDefault="002C0FD9" w:rsidP="00CA25CF">
            <w:pPr>
              <w:rPr>
                <w:rFonts w:cs="Arial"/>
                <w:color w:val="FF0000"/>
                <w:sz w:val="21"/>
                <w:szCs w:val="21"/>
              </w:rPr>
            </w:pPr>
          </w:p>
        </w:tc>
        <w:tc>
          <w:tcPr>
            <w:tcW w:w="217" w:type="dxa"/>
          </w:tcPr>
          <w:p w14:paraId="3C34DC51" w14:textId="77777777" w:rsidR="002C0FD9" w:rsidRPr="00CA25CF" w:rsidRDefault="002C0FD9" w:rsidP="00CA25CF">
            <w:pPr>
              <w:rPr>
                <w:rFonts w:cs="Arial"/>
                <w:color w:val="FF0000"/>
                <w:sz w:val="21"/>
                <w:szCs w:val="21"/>
              </w:rPr>
            </w:pPr>
          </w:p>
        </w:tc>
        <w:tc>
          <w:tcPr>
            <w:tcW w:w="217" w:type="dxa"/>
          </w:tcPr>
          <w:p w14:paraId="52F4F481" w14:textId="77777777" w:rsidR="002C0FD9" w:rsidRPr="00CA25CF" w:rsidRDefault="002C0FD9" w:rsidP="00CA25CF">
            <w:pPr>
              <w:rPr>
                <w:rFonts w:cs="Arial"/>
                <w:color w:val="FF0000"/>
                <w:sz w:val="21"/>
                <w:szCs w:val="21"/>
              </w:rPr>
            </w:pPr>
          </w:p>
        </w:tc>
        <w:tc>
          <w:tcPr>
            <w:tcW w:w="217" w:type="dxa"/>
          </w:tcPr>
          <w:p w14:paraId="1A54D3FB" w14:textId="77777777" w:rsidR="002C0FD9" w:rsidRPr="00CA25CF" w:rsidRDefault="002C0FD9" w:rsidP="00CA25CF">
            <w:pPr>
              <w:rPr>
                <w:rFonts w:cs="Arial"/>
                <w:color w:val="FF0000"/>
                <w:sz w:val="21"/>
                <w:szCs w:val="21"/>
              </w:rPr>
            </w:pPr>
          </w:p>
        </w:tc>
        <w:tc>
          <w:tcPr>
            <w:tcW w:w="217" w:type="dxa"/>
          </w:tcPr>
          <w:p w14:paraId="4354F2DD" w14:textId="77777777" w:rsidR="002C0FD9" w:rsidRPr="00CA25CF" w:rsidRDefault="002C0FD9" w:rsidP="00CA25CF">
            <w:pPr>
              <w:rPr>
                <w:rFonts w:cs="Arial"/>
                <w:color w:val="FF0000"/>
                <w:sz w:val="21"/>
                <w:szCs w:val="21"/>
              </w:rPr>
            </w:pPr>
          </w:p>
        </w:tc>
        <w:tc>
          <w:tcPr>
            <w:tcW w:w="217" w:type="dxa"/>
          </w:tcPr>
          <w:p w14:paraId="2CF5E858" w14:textId="77777777" w:rsidR="002C0FD9" w:rsidRPr="00CA25CF" w:rsidRDefault="002C0FD9" w:rsidP="00CA25CF">
            <w:pPr>
              <w:rPr>
                <w:rFonts w:cs="Arial"/>
                <w:color w:val="FF0000"/>
                <w:sz w:val="21"/>
                <w:szCs w:val="21"/>
              </w:rPr>
            </w:pPr>
          </w:p>
        </w:tc>
        <w:tc>
          <w:tcPr>
            <w:tcW w:w="217" w:type="dxa"/>
          </w:tcPr>
          <w:p w14:paraId="70DF4C8F" w14:textId="77777777" w:rsidR="002C0FD9" w:rsidRPr="00CA25CF" w:rsidRDefault="002C0FD9" w:rsidP="00CA25CF">
            <w:pPr>
              <w:rPr>
                <w:rFonts w:cs="Arial"/>
                <w:color w:val="FF0000"/>
                <w:sz w:val="21"/>
                <w:szCs w:val="21"/>
              </w:rPr>
            </w:pPr>
          </w:p>
        </w:tc>
        <w:tc>
          <w:tcPr>
            <w:tcW w:w="217" w:type="dxa"/>
          </w:tcPr>
          <w:p w14:paraId="53DF99A0" w14:textId="77777777" w:rsidR="002C0FD9" w:rsidRPr="00CA25CF" w:rsidRDefault="002C0FD9" w:rsidP="00CA25CF">
            <w:pPr>
              <w:rPr>
                <w:rFonts w:cs="Arial"/>
                <w:color w:val="FF0000"/>
                <w:sz w:val="21"/>
                <w:szCs w:val="21"/>
              </w:rPr>
            </w:pPr>
          </w:p>
        </w:tc>
        <w:tc>
          <w:tcPr>
            <w:tcW w:w="217" w:type="dxa"/>
          </w:tcPr>
          <w:p w14:paraId="4415799A" w14:textId="77777777" w:rsidR="002C0FD9" w:rsidRPr="00CA25CF" w:rsidRDefault="002C0FD9" w:rsidP="00CA25CF">
            <w:pPr>
              <w:rPr>
                <w:rFonts w:cs="Arial"/>
                <w:color w:val="FF0000"/>
                <w:sz w:val="21"/>
                <w:szCs w:val="21"/>
              </w:rPr>
            </w:pPr>
          </w:p>
        </w:tc>
        <w:tc>
          <w:tcPr>
            <w:tcW w:w="217" w:type="dxa"/>
          </w:tcPr>
          <w:p w14:paraId="06E6D7B3" w14:textId="77777777" w:rsidR="002C0FD9" w:rsidRPr="00CA25CF" w:rsidRDefault="002C0FD9" w:rsidP="00CA25CF">
            <w:pPr>
              <w:rPr>
                <w:rFonts w:cs="Arial"/>
                <w:color w:val="FF0000"/>
                <w:sz w:val="21"/>
                <w:szCs w:val="21"/>
              </w:rPr>
            </w:pPr>
          </w:p>
        </w:tc>
        <w:tc>
          <w:tcPr>
            <w:tcW w:w="217" w:type="dxa"/>
          </w:tcPr>
          <w:p w14:paraId="60ED9DD4" w14:textId="77777777" w:rsidR="002C0FD9" w:rsidRPr="00CA25CF" w:rsidRDefault="002C0FD9" w:rsidP="00CA25CF">
            <w:pPr>
              <w:rPr>
                <w:rFonts w:cs="Arial"/>
                <w:color w:val="FF0000"/>
                <w:sz w:val="21"/>
                <w:szCs w:val="21"/>
              </w:rPr>
            </w:pPr>
          </w:p>
        </w:tc>
        <w:tc>
          <w:tcPr>
            <w:tcW w:w="217" w:type="dxa"/>
          </w:tcPr>
          <w:p w14:paraId="16CCC9E0" w14:textId="77777777" w:rsidR="002C0FD9" w:rsidRPr="00CA25CF" w:rsidRDefault="002C0FD9" w:rsidP="00CA25CF">
            <w:pPr>
              <w:rPr>
                <w:rFonts w:cs="Arial"/>
                <w:color w:val="FF0000"/>
                <w:sz w:val="21"/>
                <w:szCs w:val="21"/>
              </w:rPr>
            </w:pPr>
          </w:p>
        </w:tc>
        <w:tc>
          <w:tcPr>
            <w:tcW w:w="217" w:type="dxa"/>
          </w:tcPr>
          <w:p w14:paraId="49695384" w14:textId="77777777" w:rsidR="002C0FD9" w:rsidRPr="00CA25CF" w:rsidRDefault="002C0FD9" w:rsidP="00CA25CF">
            <w:pPr>
              <w:rPr>
                <w:rFonts w:cs="Arial"/>
                <w:color w:val="FF0000"/>
                <w:sz w:val="21"/>
                <w:szCs w:val="21"/>
              </w:rPr>
            </w:pPr>
          </w:p>
        </w:tc>
        <w:tc>
          <w:tcPr>
            <w:tcW w:w="217" w:type="dxa"/>
          </w:tcPr>
          <w:p w14:paraId="68B5D12F" w14:textId="77777777" w:rsidR="002C0FD9" w:rsidRPr="00CA25CF" w:rsidRDefault="002C0FD9" w:rsidP="00CA25CF">
            <w:pPr>
              <w:rPr>
                <w:rFonts w:cs="Arial"/>
                <w:color w:val="FF0000"/>
                <w:sz w:val="21"/>
                <w:szCs w:val="21"/>
              </w:rPr>
            </w:pPr>
          </w:p>
        </w:tc>
        <w:tc>
          <w:tcPr>
            <w:tcW w:w="217" w:type="dxa"/>
          </w:tcPr>
          <w:p w14:paraId="2226D6F0" w14:textId="77777777" w:rsidR="002C0FD9" w:rsidRPr="00CA25CF" w:rsidRDefault="002C0FD9" w:rsidP="00CA25CF">
            <w:pPr>
              <w:rPr>
                <w:rFonts w:cs="Arial"/>
                <w:color w:val="FF0000"/>
                <w:sz w:val="21"/>
                <w:szCs w:val="21"/>
              </w:rPr>
            </w:pPr>
          </w:p>
        </w:tc>
        <w:tc>
          <w:tcPr>
            <w:tcW w:w="217" w:type="dxa"/>
          </w:tcPr>
          <w:p w14:paraId="47106704" w14:textId="77777777" w:rsidR="002C0FD9" w:rsidRPr="00CA25CF" w:rsidRDefault="002C0FD9" w:rsidP="00CA25CF">
            <w:pPr>
              <w:rPr>
                <w:rFonts w:cs="Arial"/>
                <w:color w:val="FF0000"/>
                <w:sz w:val="21"/>
                <w:szCs w:val="21"/>
              </w:rPr>
            </w:pPr>
          </w:p>
        </w:tc>
        <w:tc>
          <w:tcPr>
            <w:tcW w:w="217" w:type="dxa"/>
          </w:tcPr>
          <w:p w14:paraId="5B4CD646" w14:textId="77777777" w:rsidR="002C0FD9" w:rsidRPr="00CA25CF" w:rsidRDefault="002C0FD9" w:rsidP="00CA25CF">
            <w:pPr>
              <w:rPr>
                <w:rFonts w:cs="Arial"/>
                <w:color w:val="FF0000"/>
                <w:sz w:val="21"/>
                <w:szCs w:val="21"/>
              </w:rPr>
            </w:pPr>
          </w:p>
        </w:tc>
        <w:tc>
          <w:tcPr>
            <w:tcW w:w="217" w:type="dxa"/>
          </w:tcPr>
          <w:p w14:paraId="2DC522C2" w14:textId="77777777" w:rsidR="002C0FD9" w:rsidRPr="00CA25CF" w:rsidRDefault="002C0FD9" w:rsidP="00CA25CF">
            <w:pPr>
              <w:rPr>
                <w:rFonts w:cs="Arial"/>
                <w:color w:val="FF0000"/>
                <w:sz w:val="21"/>
                <w:szCs w:val="21"/>
              </w:rPr>
            </w:pPr>
          </w:p>
        </w:tc>
        <w:tc>
          <w:tcPr>
            <w:tcW w:w="217" w:type="dxa"/>
          </w:tcPr>
          <w:p w14:paraId="7ED33275" w14:textId="77777777" w:rsidR="002C0FD9" w:rsidRPr="00CA25CF" w:rsidRDefault="002C0FD9" w:rsidP="00CA25CF">
            <w:pPr>
              <w:rPr>
                <w:rFonts w:cs="Arial"/>
                <w:color w:val="FF0000"/>
                <w:sz w:val="21"/>
                <w:szCs w:val="21"/>
              </w:rPr>
            </w:pPr>
          </w:p>
        </w:tc>
        <w:tc>
          <w:tcPr>
            <w:tcW w:w="217" w:type="dxa"/>
          </w:tcPr>
          <w:p w14:paraId="0743A55F" w14:textId="77777777" w:rsidR="002C0FD9" w:rsidRPr="00CA25CF" w:rsidRDefault="002C0FD9" w:rsidP="00CA25CF">
            <w:pPr>
              <w:rPr>
                <w:rFonts w:cs="Arial"/>
                <w:color w:val="FF0000"/>
                <w:sz w:val="21"/>
                <w:szCs w:val="21"/>
              </w:rPr>
            </w:pPr>
          </w:p>
        </w:tc>
        <w:tc>
          <w:tcPr>
            <w:tcW w:w="217" w:type="dxa"/>
          </w:tcPr>
          <w:p w14:paraId="492BF285" w14:textId="77777777" w:rsidR="002C0FD9" w:rsidRPr="00CA25CF" w:rsidRDefault="002C0FD9" w:rsidP="00CA25CF">
            <w:pPr>
              <w:rPr>
                <w:rFonts w:cs="Arial"/>
                <w:color w:val="FF0000"/>
                <w:sz w:val="21"/>
                <w:szCs w:val="21"/>
              </w:rPr>
            </w:pPr>
          </w:p>
        </w:tc>
        <w:tc>
          <w:tcPr>
            <w:tcW w:w="217" w:type="dxa"/>
          </w:tcPr>
          <w:p w14:paraId="3603BD52" w14:textId="77777777" w:rsidR="002C0FD9" w:rsidRPr="00CA25CF" w:rsidRDefault="002C0FD9" w:rsidP="00CA25CF">
            <w:pPr>
              <w:rPr>
                <w:rFonts w:cs="Arial"/>
                <w:color w:val="FF0000"/>
                <w:sz w:val="21"/>
                <w:szCs w:val="21"/>
              </w:rPr>
            </w:pPr>
          </w:p>
        </w:tc>
        <w:tc>
          <w:tcPr>
            <w:tcW w:w="217" w:type="dxa"/>
          </w:tcPr>
          <w:p w14:paraId="4882C6EF" w14:textId="77777777" w:rsidR="002C0FD9" w:rsidRPr="00CA25CF" w:rsidRDefault="002C0FD9" w:rsidP="00CA25CF">
            <w:pPr>
              <w:rPr>
                <w:rFonts w:cs="Arial"/>
                <w:color w:val="FF0000"/>
                <w:sz w:val="21"/>
                <w:szCs w:val="21"/>
              </w:rPr>
            </w:pPr>
          </w:p>
        </w:tc>
        <w:tc>
          <w:tcPr>
            <w:tcW w:w="217" w:type="dxa"/>
          </w:tcPr>
          <w:p w14:paraId="5C1697FD" w14:textId="77777777" w:rsidR="002C0FD9" w:rsidRPr="00CA25CF" w:rsidRDefault="002C0FD9" w:rsidP="00CA25CF">
            <w:pPr>
              <w:rPr>
                <w:rFonts w:cs="Arial"/>
                <w:color w:val="FF0000"/>
                <w:sz w:val="21"/>
                <w:szCs w:val="21"/>
              </w:rPr>
            </w:pPr>
          </w:p>
        </w:tc>
        <w:tc>
          <w:tcPr>
            <w:tcW w:w="217" w:type="dxa"/>
          </w:tcPr>
          <w:p w14:paraId="69D1A497" w14:textId="77777777" w:rsidR="002C0FD9" w:rsidRPr="00CA25CF" w:rsidRDefault="002C0FD9" w:rsidP="00CA25CF">
            <w:pPr>
              <w:rPr>
                <w:rFonts w:cs="Arial"/>
                <w:color w:val="FF0000"/>
                <w:sz w:val="21"/>
                <w:szCs w:val="21"/>
              </w:rPr>
            </w:pPr>
          </w:p>
        </w:tc>
        <w:tc>
          <w:tcPr>
            <w:tcW w:w="217" w:type="dxa"/>
          </w:tcPr>
          <w:p w14:paraId="2AA43356" w14:textId="77777777" w:rsidR="002C0FD9" w:rsidRPr="00CA25CF" w:rsidRDefault="002C0FD9" w:rsidP="00CA25CF">
            <w:pPr>
              <w:rPr>
                <w:rFonts w:cs="Arial"/>
                <w:color w:val="FF0000"/>
                <w:sz w:val="21"/>
                <w:szCs w:val="21"/>
              </w:rPr>
            </w:pPr>
          </w:p>
        </w:tc>
        <w:tc>
          <w:tcPr>
            <w:tcW w:w="217" w:type="dxa"/>
          </w:tcPr>
          <w:p w14:paraId="78523518" w14:textId="77777777" w:rsidR="002C0FD9" w:rsidRPr="00CA25CF" w:rsidRDefault="002C0FD9" w:rsidP="00CA25CF">
            <w:pPr>
              <w:rPr>
                <w:rFonts w:cs="Arial"/>
                <w:color w:val="FF0000"/>
                <w:sz w:val="21"/>
                <w:szCs w:val="21"/>
              </w:rPr>
            </w:pPr>
          </w:p>
        </w:tc>
        <w:tc>
          <w:tcPr>
            <w:tcW w:w="217" w:type="dxa"/>
          </w:tcPr>
          <w:p w14:paraId="04CBC52B" w14:textId="77777777" w:rsidR="002C0FD9" w:rsidRPr="00CA25CF" w:rsidRDefault="002C0FD9" w:rsidP="00CA25CF">
            <w:pPr>
              <w:rPr>
                <w:rFonts w:cs="Arial"/>
                <w:color w:val="FF0000"/>
                <w:sz w:val="21"/>
                <w:szCs w:val="21"/>
              </w:rPr>
            </w:pPr>
          </w:p>
        </w:tc>
      </w:tr>
      <w:tr w:rsidR="002C0FD9" w:rsidRPr="00A16219" w14:paraId="4489D215" w14:textId="4C5A150B" w:rsidTr="002C0FD9">
        <w:trPr>
          <w:trHeight w:val="635"/>
        </w:trPr>
        <w:tc>
          <w:tcPr>
            <w:tcW w:w="515" w:type="dxa"/>
          </w:tcPr>
          <w:p w14:paraId="41C1A70E" w14:textId="77777777" w:rsidR="002C0FD9" w:rsidRPr="00CA25CF" w:rsidRDefault="002C0FD9" w:rsidP="00CA25CF">
            <w:pPr>
              <w:rPr>
                <w:rFonts w:cs="Arial"/>
                <w:color w:val="FF0000"/>
                <w:sz w:val="21"/>
                <w:szCs w:val="21"/>
              </w:rPr>
            </w:pPr>
          </w:p>
        </w:tc>
        <w:tc>
          <w:tcPr>
            <w:tcW w:w="217" w:type="dxa"/>
          </w:tcPr>
          <w:p w14:paraId="52FD9B50" w14:textId="77777777" w:rsidR="002C0FD9" w:rsidRPr="00CA25CF" w:rsidRDefault="002C0FD9" w:rsidP="00CA25CF">
            <w:pPr>
              <w:rPr>
                <w:rFonts w:cs="Arial"/>
                <w:color w:val="FF0000"/>
                <w:sz w:val="21"/>
                <w:szCs w:val="21"/>
              </w:rPr>
            </w:pPr>
          </w:p>
        </w:tc>
        <w:tc>
          <w:tcPr>
            <w:tcW w:w="217" w:type="dxa"/>
          </w:tcPr>
          <w:p w14:paraId="3D329E73" w14:textId="04E1516E" w:rsidR="002C0FD9" w:rsidRPr="00CA25CF" w:rsidRDefault="002C0FD9" w:rsidP="00CA25CF">
            <w:pPr>
              <w:rPr>
                <w:rFonts w:cs="Arial"/>
                <w:color w:val="FF0000"/>
                <w:sz w:val="21"/>
                <w:szCs w:val="21"/>
              </w:rPr>
            </w:pPr>
          </w:p>
        </w:tc>
        <w:tc>
          <w:tcPr>
            <w:tcW w:w="217" w:type="dxa"/>
          </w:tcPr>
          <w:p w14:paraId="59F57DDD" w14:textId="77777777" w:rsidR="002C0FD9" w:rsidRPr="00CA25CF" w:rsidRDefault="002C0FD9" w:rsidP="00CA25CF">
            <w:pPr>
              <w:rPr>
                <w:rFonts w:cs="Arial"/>
                <w:color w:val="FF0000"/>
                <w:sz w:val="21"/>
                <w:szCs w:val="21"/>
              </w:rPr>
            </w:pPr>
          </w:p>
        </w:tc>
        <w:tc>
          <w:tcPr>
            <w:tcW w:w="217" w:type="dxa"/>
          </w:tcPr>
          <w:p w14:paraId="39EA6A31" w14:textId="77777777" w:rsidR="002C0FD9" w:rsidRPr="00CA25CF" w:rsidRDefault="002C0FD9" w:rsidP="00CA25CF">
            <w:pPr>
              <w:rPr>
                <w:rFonts w:cs="Arial"/>
                <w:color w:val="FF0000"/>
                <w:sz w:val="21"/>
                <w:szCs w:val="21"/>
              </w:rPr>
            </w:pPr>
          </w:p>
        </w:tc>
        <w:tc>
          <w:tcPr>
            <w:tcW w:w="217" w:type="dxa"/>
          </w:tcPr>
          <w:p w14:paraId="70F8AAA5" w14:textId="77777777" w:rsidR="002C0FD9" w:rsidRPr="00CA25CF" w:rsidRDefault="002C0FD9" w:rsidP="00CA25CF">
            <w:pPr>
              <w:rPr>
                <w:rFonts w:cs="Arial"/>
                <w:color w:val="FF0000"/>
                <w:sz w:val="21"/>
                <w:szCs w:val="21"/>
              </w:rPr>
            </w:pPr>
          </w:p>
        </w:tc>
        <w:tc>
          <w:tcPr>
            <w:tcW w:w="217" w:type="dxa"/>
          </w:tcPr>
          <w:p w14:paraId="0EB77BC6" w14:textId="77777777" w:rsidR="002C0FD9" w:rsidRPr="00CA25CF" w:rsidRDefault="002C0FD9" w:rsidP="00CA25CF">
            <w:pPr>
              <w:rPr>
                <w:rFonts w:cs="Arial"/>
                <w:color w:val="FF0000"/>
                <w:sz w:val="21"/>
                <w:szCs w:val="21"/>
              </w:rPr>
            </w:pPr>
          </w:p>
        </w:tc>
        <w:tc>
          <w:tcPr>
            <w:tcW w:w="217" w:type="dxa"/>
          </w:tcPr>
          <w:p w14:paraId="301409C3" w14:textId="77777777" w:rsidR="002C0FD9" w:rsidRPr="00CA25CF" w:rsidRDefault="002C0FD9" w:rsidP="00CA25CF">
            <w:pPr>
              <w:rPr>
                <w:rFonts w:cs="Arial"/>
                <w:color w:val="FF0000"/>
                <w:sz w:val="21"/>
                <w:szCs w:val="21"/>
              </w:rPr>
            </w:pPr>
          </w:p>
        </w:tc>
        <w:tc>
          <w:tcPr>
            <w:tcW w:w="217" w:type="dxa"/>
          </w:tcPr>
          <w:p w14:paraId="0BC7457A" w14:textId="77777777" w:rsidR="002C0FD9" w:rsidRPr="00CA25CF" w:rsidRDefault="002C0FD9" w:rsidP="00CA25CF">
            <w:pPr>
              <w:rPr>
                <w:rFonts w:cs="Arial"/>
                <w:color w:val="FF0000"/>
                <w:sz w:val="21"/>
                <w:szCs w:val="21"/>
              </w:rPr>
            </w:pPr>
          </w:p>
        </w:tc>
        <w:tc>
          <w:tcPr>
            <w:tcW w:w="217" w:type="dxa"/>
          </w:tcPr>
          <w:p w14:paraId="76C0FF4E" w14:textId="77777777" w:rsidR="002C0FD9" w:rsidRPr="00CA25CF" w:rsidRDefault="002C0FD9" w:rsidP="00CA25CF">
            <w:pPr>
              <w:rPr>
                <w:rFonts w:cs="Arial"/>
                <w:color w:val="FF0000"/>
                <w:sz w:val="21"/>
                <w:szCs w:val="21"/>
              </w:rPr>
            </w:pPr>
          </w:p>
        </w:tc>
        <w:tc>
          <w:tcPr>
            <w:tcW w:w="217" w:type="dxa"/>
          </w:tcPr>
          <w:p w14:paraId="650F570F" w14:textId="77777777" w:rsidR="002C0FD9" w:rsidRPr="00CA25CF" w:rsidRDefault="002C0FD9" w:rsidP="00CA25CF">
            <w:pPr>
              <w:rPr>
                <w:rFonts w:cs="Arial"/>
                <w:color w:val="FF0000"/>
                <w:sz w:val="21"/>
                <w:szCs w:val="21"/>
              </w:rPr>
            </w:pPr>
          </w:p>
        </w:tc>
        <w:tc>
          <w:tcPr>
            <w:tcW w:w="217" w:type="dxa"/>
          </w:tcPr>
          <w:p w14:paraId="188BC0BB" w14:textId="77777777" w:rsidR="002C0FD9" w:rsidRPr="00CA25CF" w:rsidRDefault="002C0FD9" w:rsidP="00CA25CF">
            <w:pPr>
              <w:rPr>
                <w:rFonts w:cs="Arial"/>
                <w:color w:val="FF0000"/>
                <w:sz w:val="21"/>
                <w:szCs w:val="21"/>
              </w:rPr>
            </w:pPr>
          </w:p>
        </w:tc>
        <w:tc>
          <w:tcPr>
            <w:tcW w:w="217" w:type="dxa"/>
          </w:tcPr>
          <w:p w14:paraId="446D7716" w14:textId="77777777" w:rsidR="002C0FD9" w:rsidRPr="00CA25CF" w:rsidRDefault="002C0FD9" w:rsidP="00CA25CF">
            <w:pPr>
              <w:rPr>
                <w:rFonts w:cs="Arial"/>
                <w:color w:val="FF0000"/>
                <w:sz w:val="21"/>
                <w:szCs w:val="21"/>
              </w:rPr>
            </w:pPr>
          </w:p>
        </w:tc>
        <w:tc>
          <w:tcPr>
            <w:tcW w:w="217" w:type="dxa"/>
          </w:tcPr>
          <w:p w14:paraId="367E66D4" w14:textId="77777777" w:rsidR="002C0FD9" w:rsidRPr="00CA25CF" w:rsidRDefault="002C0FD9" w:rsidP="00CA25CF">
            <w:pPr>
              <w:rPr>
                <w:rFonts w:cs="Arial"/>
                <w:color w:val="FF0000"/>
                <w:sz w:val="21"/>
                <w:szCs w:val="21"/>
              </w:rPr>
            </w:pPr>
          </w:p>
        </w:tc>
        <w:tc>
          <w:tcPr>
            <w:tcW w:w="217" w:type="dxa"/>
          </w:tcPr>
          <w:p w14:paraId="2A3B92B5" w14:textId="77777777" w:rsidR="002C0FD9" w:rsidRPr="00CA25CF" w:rsidRDefault="002C0FD9" w:rsidP="00CA25CF">
            <w:pPr>
              <w:rPr>
                <w:rFonts w:cs="Arial"/>
                <w:color w:val="FF0000"/>
                <w:sz w:val="21"/>
                <w:szCs w:val="21"/>
              </w:rPr>
            </w:pPr>
          </w:p>
        </w:tc>
        <w:tc>
          <w:tcPr>
            <w:tcW w:w="217" w:type="dxa"/>
          </w:tcPr>
          <w:p w14:paraId="4A77EC5D" w14:textId="77777777" w:rsidR="002C0FD9" w:rsidRPr="00CA25CF" w:rsidRDefault="002C0FD9" w:rsidP="00CA25CF">
            <w:pPr>
              <w:rPr>
                <w:rFonts w:cs="Arial"/>
                <w:color w:val="FF0000"/>
                <w:sz w:val="21"/>
                <w:szCs w:val="21"/>
              </w:rPr>
            </w:pPr>
          </w:p>
        </w:tc>
        <w:tc>
          <w:tcPr>
            <w:tcW w:w="217" w:type="dxa"/>
          </w:tcPr>
          <w:p w14:paraId="75B397FB" w14:textId="77777777" w:rsidR="002C0FD9" w:rsidRPr="00CA25CF" w:rsidRDefault="002C0FD9" w:rsidP="00CA25CF">
            <w:pPr>
              <w:rPr>
                <w:rFonts w:cs="Arial"/>
                <w:color w:val="FF0000"/>
                <w:sz w:val="21"/>
                <w:szCs w:val="21"/>
              </w:rPr>
            </w:pPr>
          </w:p>
        </w:tc>
        <w:tc>
          <w:tcPr>
            <w:tcW w:w="217" w:type="dxa"/>
          </w:tcPr>
          <w:p w14:paraId="05DA5D1E" w14:textId="77777777" w:rsidR="002C0FD9" w:rsidRPr="00CA25CF" w:rsidRDefault="002C0FD9" w:rsidP="00CA25CF">
            <w:pPr>
              <w:rPr>
                <w:rFonts w:cs="Arial"/>
                <w:color w:val="FF0000"/>
                <w:sz w:val="21"/>
                <w:szCs w:val="21"/>
              </w:rPr>
            </w:pPr>
          </w:p>
        </w:tc>
        <w:tc>
          <w:tcPr>
            <w:tcW w:w="217" w:type="dxa"/>
          </w:tcPr>
          <w:p w14:paraId="2532EECA" w14:textId="77777777" w:rsidR="002C0FD9" w:rsidRPr="00CA25CF" w:rsidRDefault="002C0FD9" w:rsidP="00CA25CF">
            <w:pPr>
              <w:rPr>
                <w:rFonts w:cs="Arial"/>
                <w:color w:val="FF0000"/>
                <w:sz w:val="21"/>
                <w:szCs w:val="21"/>
              </w:rPr>
            </w:pPr>
          </w:p>
        </w:tc>
        <w:tc>
          <w:tcPr>
            <w:tcW w:w="217" w:type="dxa"/>
          </w:tcPr>
          <w:p w14:paraId="2DFF7946" w14:textId="77777777" w:rsidR="002C0FD9" w:rsidRPr="00CA25CF" w:rsidRDefault="002C0FD9" w:rsidP="00CA25CF">
            <w:pPr>
              <w:rPr>
                <w:rFonts w:cs="Arial"/>
                <w:color w:val="FF0000"/>
                <w:sz w:val="21"/>
                <w:szCs w:val="21"/>
              </w:rPr>
            </w:pPr>
          </w:p>
        </w:tc>
        <w:tc>
          <w:tcPr>
            <w:tcW w:w="217" w:type="dxa"/>
          </w:tcPr>
          <w:p w14:paraId="3CDC4D9E" w14:textId="77777777" w:rsidR="002C0FD9" w:rsidRPr="00CA25CF" w:rsidRDefault="002C0FD9" w:rsidP="00CA25CF">
            <w:pPr>
              <w:rPr>
                <w:rFonts w:cs="Arial"/>
                <w:color w:val="FF0000"/>
                <w:sz w:val="21"/>
                <w:szCs w:val="21"/>
              </w:rPr>
            </w:pPr>
          </w:p>
        </w:tc>
        <w:tc>
          <w:tcPr>
            <w:tcW w:w="217" w:type="dxa"/>
          </w:tcPr>
          <w:p w14:paraId="6A9A8268" w14:textId="77777777" w:rsidR="002C0FD9" w:rsidRPr="00CA25CF" w:rsidRDefault="002C0FD9" w:rsidP="00CA25CF">
            <w:pPr>
              <w:rPr>
                <w:rFonts w:cs="Arial"/>
                <w:color w:val="FF0000"/>
                <w:sz w:val="21"/>
                <w:szCs w:val="21"/>
              </w:rPr>
            </w:pPr>
          </w:p>
        </w:tc>
        <w:tc>
          <w:tcPr>
            <w:tcW w:w="217" w:type="dxa"/>
          </w:tcPr>
          <w:p w14:paraId="36E6233C" w14:textId="77777777" w:rsidR="002C0FD9" w:rsidRPr="00CA25CF" w:rsidRDefault="002C0FD9" w:rsidP="00CA25CF">
            <w:pPr>
              <w:rPr>
                <w:rFonts w:cs="Arial"/>
                <w:color w:val="FF0000"/>
                <w:sz w:val="21"/>
                <w:szCs w:val="21"/>
              </w:rPr>
            </w:pPr>
          </w:p>
        </w:tc>
        <w:tc>
          <w:tcPr>
            <w:tcW w:w="217" w:type="dxa"/>
          </w:tcPr>
          <w:p w14:paraId="35E27F47" w14:textId="77777777" w:rsidR="002C0FD9" w:rsidRPr="00CA25CF" w:rsidRDefault="002C0FD9" w:rsidP="00CA25CF">
            <w:pPr>
              <w:rPr>
                <w:rFonts w:cs="Arial"/>
                <w:color w:val="FF0000"/>
                <w:sz w:val="21"/>
                <w:szCs w:val="21"/>
              </w:rPr>
            </w:pPr>
          </w:p>
        </w:tc>
        <w:tc>
          <w:tcPr>
            <w:tcW w:w="217" w:type="dxa"/>
          </w:tcPr>
          <w:p w14:paraId="4D398F66" w14:textId="77777777" w:rsidR="002C0FD9" w:rsidRPr="00CA25CF" w:rsidRDefault="002C0FD9" w:rsidP="00CA25CF">
            <w:pPr>
              <w:rPr>
                <w:rFonts w:cs="Arial"/>
                <w:color w:val="FF0000"/>
                <w:sz w:val="21"/>
                <w:szCs w:val="21"/>
              </w:rPr>
            </w:pPr>
          </w:p>
        </w:tc>
        <w:tc>
          <w:tcPr>
            <w:tcW w:w="217" w:type="dxa"/>
          </w:tcPr>
          <w:p w14:paraId="343F1645" w14:textId="77777777" w:rsidR="002C0FD9" w:rsidRPr="00CA25CF" w:rsidRDefault="002C0FD9" w:rsidP="00CA25CF">
            <w:pPr>
              <w:rPr>
                <w:rFonts w:cs="Arial"/>
                <w:color w:val="FF0000"/>
                <w:sz w:val="21"/>
                <w:szCs w:val="21"/>
              </w:rPr>
            </w:pPr>
          </w:p>
        </w:tc>
        <w:tc>
          <w:tcPr>
            <w:tcW w:w="217" w:type="dxa"/>
          </w:tcPr>
          <w:p w14:paraId="73462337" w14:textId="77777777" w:rsidR="002C0FD9" w:rsidRPr="00CA25CF" w:rsidRDefault="002C0FD9" w:rsidP="00CA25CF">
            <w:pPr>
              <w:rPr>
                <w:rFonts w:cs="Arial"/>
                <w:color w:val="FF0000"/>
                <w:sz w:val="21"/>
                <w:szCs w:val="21"/>
              </w:rPr>
            </w:pPr>
          </w:p>
        </w:tc>
        <w:tc>
          <w:tcPr>
            <w:tcW w:w="217" w:type="dxa"/>
          </w:tcPr>
          <w:p w14:paraId="64C1E020" w14:textId="77777777" w:rsidR="002C0FD9" w:rsidRPr="00CA25CF" w:rsidRDefault="002C0FD9" w:rsidP="00CA25CF">
            <w:pPr>
              <w:rPr>
                <w:rFonts w:cs="Arial"/>
                <w:color w:val="FF0000"/>
                <w:sz w:val="21"/>
                <w:szCs w:val="21"/>
              </w:rPr>
            </w:pPr>
          </w:p>
        </w:tc>
        <w:tc>
          <w:tcPr>
            <w:tcW w:w="217" w:type="dxa"/>
          </w:tcPr>
          <w:p w14:paraId="7CC02215" w14:textId="77777777" w:rsidR="002C0FD9" w:rsidRPr="00CA25CF" w:rsidRDefault="002C0FD9" w:rsidP="00CA25CF">
            <w:pPr>
              <w:rPr>
                <w:rFonts w:cs="Arial"/>
                <w:color w:val="FF0000"/>
                <w:sz w:val="21"/>
                <w:szCs w:val="21"/>
              </w:rPr>
            </w:pPr>
          </w:p>
        </w:tc>
        <w:tc>
          <w:tcPr>
            <w:tcW w:w="217" w:type="dxa"/>
          </w:tcPr>
          <w:p w14:paraId="71E8867F" w14:textId="77777777" w:rsidR="002C0FD9" w:rsidRPr="00CA25CF" w:rsidRDefault="002C0FD9" w:rsidP="00CA25CF">
            <w:pPr>
              <w:rPr>
                <w:rFonts w:cs="Arial"/>
                <w:color w:val="FF0000"/>
                <w:sz w:val="21"/>
                <w:szCs w:val="21"/>
              </w:rPr>
            </w:pPr>
          </w:p>
        </w:tc>
        <w:tc>
          <w:tcPr>
            <w:tcW w:w="217" w:type="dxa"/>
          </w:tcPr>
          <w:p w14:paraId="007CB48C" w14:textId="77777777" w:rsidR="002C0FD9" w:rsidRPr="00CA25CF" w:rsidRDefault="002C0FD9" w:rsidP="00CA25CF">
            <w:pPr>
              <w:rPr>
                <w:rFonts w:cs="Arial"/>
                <w:color w:val="FF0000"/>
                <w:sz w:val="21"/>
                <w:szCs w:val="21"/>
              </w:rPr>
            </w:pPr>
          </w:p>
        </w:tc>
        <w:tc>
          <w:tcPr>
            <w:tcW w:w="217" w:type="dxa"/>
          </w:tcPr>
          <w:p w14:paraId="4B26FC75" w14:textId="77777777" w:rsidR="002C0FD9" w:rsidRPr="00CA25CF" w:rsidRDefault="002C0FD9" w:rsidP="00CA25CF">
            <w:pPr>
              <w:rPr>
                <w:rFonts w:cs="Arial"/>
                <w:color w:val="FF0000"/>
                <w:sz w:val="21"/>
                <w:szCs w:val="21"/>
              </w:rPr>
            </w:pPr>
          </w:p>
        </w:tc>
        <w:tc>
          <w:tcPr>
            <w:tcW w:w="217" w:type="dxa"/>
          </w:tcPr>
          <w:p w14:paraId="31AFE4AE" w14:textId="77777777" w:rsidR="002C0FD9" w:rsidRPr="00CA25CF" w:rsidRDefault="002C0FD9" w:rsidP="00CA25CF">
            <w:pPr>
              <w:rPr>
                <w:rFonts w:cs="Arial"/>
                <w:color w:val="FF0000"/>
                <w:sz w:val="21"/>
                <w:szCs w:val="21"/>
              </w:rPr>
            </w:pPr>
          </w:p>
        </w:tc>
        <w:tc>
          <w:tcPr>
            <w:tcW w:w="217" w:type="dxa"/>
          </w:tcPr>
          <w:p w14:paraId="43E4B3CA" w14:textId="77777777" w:rsidR="002C0FD9" w:rsidRPr="00CA25CF" w:rsidRDefault="002C0FD9" w:rsidP="00CA25CF">
            <w:pPr>
              <w:rPr>
                <w:rFonts w:cs="Arial"/>
                <w:color w:val="FF0000"/>
                <w:sz w:val="21"/>
                <w:szCs w:val="21"/>
              </w:rPr>
            </w:pPr>
          </w:p>
        </w:tc>
        <w:tc>
          <w:tcPr>
            <w:tcW w:w="217" w:type="dxa"/>
          </w:tcPr>
          <w:p w14:paraId="37D21849" w14:textId="77777777" w:rsidR="002C0FD9" w:rsidRPr="00CA25CF" w:rsidRDefault="002C0FD9" w:rsidP="00CA25CF">
            <w:pPr>
              <w:rPr>
                <w:rFonts w:cs="Arial"/>
                <w:color w:val="FF0000"/>
                <w:sz w:val="21"/>
                <w:szCs w:val="21"/>
              </w:rPr>
            </w:pPr>
          </w:p>
        </w:tc>
        <w:tc>
          <w:tcPr>
            <w:tcW w:w="217" w:type="dxa"/>
          </w:tcPr>
          <w:p w14:paraId="11FA8270" w14:textId="77777777" w:rsidR="002C0FD9" w:rsidRPr="00CA25CF" w:rsidRDefault="002C0FD9" w:rsidP="00CA25CF">
            <w:pPr>
              <w:rPr>
                <w:rFonts w:cs="Arial"/>
                <w:color w:val="FF0000"/>
                <w:sz w:val="21"/>
                <w:szCs w:val="21"/>
              </w:rPr>
            </w:pPr>
          </w:p>
        </w:tc>
        <w:tc>
          <w:tcPr>
            <w:tcW w:w="217" w:type="dxa"/>
          </w:tcPr>
          <w:p w14:paraId="526AB4F7" w14:textId="77777777" w:rsidR="002C0FD9" w:rsidRPr="00CA25CF" w:rsidRDefault="002C0FD9" w:rsidP="00CA25CF">
            <w:pPr>
              <w:rPr>
                <w:rFonts w:cs="Arial"/>
                <w:color w:val="FF0000"/>
                <w:sz w:val="21"/>
                <w:szCs w:val="21"/>
              </w:rPr>
            </w:pPr>
          </w:p>
        </w:tc>
        <w:tc>
          <w:tcPr>
            <w:tcW w:w="217" w:type="dxa"/>
          </w:tcPr>
          <w:p w14:paraId="62AD3CFF" w14:textId="77777777" w:rsidR="002C0FD9" w:rsidRPr="00CA25CF" w:rsidRDefault="002C0FD9" w:rsidP="00CA25CF">
            <w:pPr>
              <w:rPr>
                <w:rFonts w:cs="Arial"/>
                <w:color w:val="FF0000"/>
                <w:sz w:val="21"/>
                <w:szCs w:val="21"/>
              </w:rPr>
            </w:pPr>
          </w:p>
        </w:tc>
        <w:tc>
          <w:tcPr>
            <w:tcW w:w="217" w:type="dxa"/>
          </w:tcPr>
          <w:p w14:paraId="2B09F79A" w14:textId="77777777" w:rsidR="002C0FD9" w:rsidRPr="00CA25CF" w:rsidRDefault="002C0FD9" w:rsidP="00CA25CF">
            <w:pPr>
              <w:rPr>
                <w:rFonts w:cs="Arial"/>
                <w:color w:val="FF0000"/>
                <w:sz w:val="21"/>
                <w:szCs w:val="21"/>
              </w:rPr>
            </w:pPr>
          </w:p>
        </w:tc>
        <w:tc>
          <w:tcPr>
            <w:tcW w:w="217" w:type="dxa"/>
          </w:tcPr>
          <w:p w14:paraId="386C972D" w14:textId="77777777" w:rsidR="002C0FD9" w:rsidRPr="00CA25CF" w:rsidRDefault="002C0FD9" w:rsidP="00CA25CF">
            <w:pPr>
              <w:rPr>
                <w:rFonts w:cs="Arial"/>
                <w:color w:val="FF0000"/>
                <w:sz w:val="21"/>
                <w:szCs w:val="21"/>
              </w:rPr>
            </w:pPr>
          </w:p>
        </w:tc>
        <w:tc>
          <w:tcPr>
            <w:tcW w:w="217" w:type="dxa"/>
          </w:tcPr>
          <w:p w14:paraId="38F07715" w14:textId="77777777" w:rsidR="002C0FD9" w:rsidRPr="00CA25CF" w:rsidRDefault="002C0FD9" w:rsidP="00CA25CF">
            <w:pPr>
              <w:rPr>
                <w:rFonts w:cs="Arial"/>
                <w:color w:val="FF0000"/>
                <w:sz w:val="21"/>
                <w:szCs w:val="21"/>
              </w:rPr>
            </w:pPr>
          </w:p>
        </w:tc>
        <w:tc>
          <w:tcPr>
            <w:tcW w:w="217" w:type="dxa"/>
          </w:tcPr>
          <w:p w14:paraId="7C154362" w14:textId="77777777" w:rsidR="002C0FD9" w:rsidRPr="00CA25CF" w:rsidRDefault="002C0FD9" w:rsidP="00CA25CF">
            <w:pPr>
              <w:rPr>
                <w:rFonts w:cs="Arial"/>
                <w:color w:val="FF0000"/>
                <w:sz w:val="21"/>
                <w:szCs w:val="21"/>
              </w:rPr>
            </w:pPr>
          </w:p>
        </w:tc>
        <w:tc>
          <w:tcPr>
            <w:tcW w:w="217" w:type="dxa"/>
          </w:tcPr>
          <w:p w14:paraId="56C6EFE0" w14:textId="77777777" w:rsidR="002C0FD9" w:rsidRPr="00CA25CF" w:rsidRDefault="002C0FD9" w:rsidP="00CA25CF">
            <w:pPr>
              <w:rPr>
                <w:rFonts w:cs="Arial"/>
                <w:color w:val="FF0000"/>
                <w:sz w:val="21"/>
                <w:szCs w:val="21"/>
              </w:rPr>
            </w:pPr>
          </w:p>
        </w:tc>
      </w:tr>
      <w:tr w:rsidR="002C0FD9" w:rsidRPr="00A16219" w14:paraId="076EE16B" w14:textId="4639D978" w:rsidTr="002C0FD9">
        <w:trPr>
          <w:trHeight w:val="635"/>
        </w:trPr>
        <w:tc>
          <w:tcPr>
            <w:tcW w:w="515" w:type="dxa"/>
          </w:tcPr>
          <w:p w14:paraId="764D4498" w14:textId="77777777" w:rsidR="002C0FD9" w:rsidRPr="00CA25CF" w:rsidRDefault="002C0FD9" w:rsidP="00CA25CF">
            <w:pPr>
              <w:rPr>
                <w:rFonts w:cs="Arial"/>
                <w:color w:val="FF0000"/>
                <w:sz w:val="21"/>
                <w:szCs w:val="21"/>
              </w:rPr>
            </w:pPr>
          </w:p>
        </w:tc>
        <w:tc>
          <w:tcPr>
            <w:tcW w:w="217" w:type="dxa"/>
          </w:tcPr>
          <w:p w14:paraId="4DE5779A" w14:textId="77777777" w:rsidR="002C0FD9" w:rsidRPr="00CA25CF" w:rsidRDefault="002C0FD9" w:rsidP="00CA25CF">
            <w:pPr>
              <w:rPr>
                <w:rFonts w:cs="Arial"/>
                <w:color w:val="FF0000"/>
                <w:sz w:val="21"/>
                <w:szCs w:val="21"/>
              </w:rPr>
            </w:pPr>
          </w:p>
        </w:tc>
        <w:tc>
          <w:tcPr>
            <w:tcW w:w="217" w:type="dxa"/>
          </w:tcPr>
          <w:p w14:paraId="0D4D7AAD" w14:textId="163016C0" w:rsidR="002C0FD9" w:rsidRPr="00CA25CF" w:rsidRDefault="002C0FD9" w:rsidP="00CA25CF">
            <w:pPr>
              <w:rPr>
                <w:rFonts w:cs="Arial"/>
                <w:color w:val="FF0000"/>
                <w:sz w:val="21"/>
                <w:szCs w:val="21"/>
              </w:rPr>
            </w:pPr>
          </w:p>
        </w:tc>
        <w:tc>
          <w:tcPr>
            <w:tcW w:w="217" w:type="dxa"/>
          </w:tcPr>
          <w:p w14:paraId="7067F146" w14:textId="77777777" w:rsidR="002C0FD9" w:rsidRPr="00CA25CF" w:rsidRDefault="002C0FD9" w:rsidP="00CA25CF">
            <w:pPr>
              <w:rPr>
                <w:rFonts w:cs="Arial"/>
                <w:color w:val="FF0000"/>
                <w:sz w:val="21"/>
                <w:szCs w:val="21"/>
              </w:rPr>
            </w:pPr>
          </w:p>
        </w:tc>
        <w:tc>
          <w:tcPr>
            <w:tcW w:w="217" w:type="dxa"/>
          </w:tcPr>
          <w:p w14:paraId="5E9FEDA2" w14:textId="77777777" w:rsidR="002C0FD9" w:rsidRPr="00CA25CF" w:rsidRDefault="002C0FD9" w:rsidP="00CA25CF">
            <w:pPr>
              <w:rPr>
                <w:rFonts w:cs="Arial"/>
                <w:color w:val="FF0000"/>
                <w:sz w:val="21"/>
                <w:szCs w:val="21"/>
              </w:rPr>
            </w:pPr>
          </w:p>
        </w:tc>
        <w:tc>
          <w:tcPr>
            <w:tcW w:w="217" w:type="dxa"/>
          </w:tcPr>
          <w:p w14:paraId="386C4C93" w14:textId="77777777" w:rsidR="002C0FD9" w:rsidRPr="00CA25CF" w:rsidRDefault="002C0FD9" w:rsidP="00CA25CF">
            <w:pPr>
              <w:rPr>
                <w:rFonts w:cs="Arial"/>
                <w:color w:val="FF0000"/>
                <w:sz w:val="21"/>
                <w:szCs w:val="21"/>
              </w:rPr>
            </w:pPr>
          </w:p>
        </w:tc>
        <w:tc>
          <w:tcPr>
            <w:tcW w:w="217" w:type="dxa"/>
          </w:tcPr>
          <w:p w14:paraId="2DC26C62" w14:textId="77777777" w:rsidR="002C0FD9" w:rsidRPr="00CA25CF" w:rsidRDefault="002C0FD9" w:rsidP="00CA25CF">
            <w:pPr>
              <w:rPr>
                <w:rFonts w:cs="Arial"/>
                <w:color w:val="FF0000"/>
                <w:sz w:val="21"/>
                <w:szCs w:val="21"/>
              </w:rPr>
            </w:pPr>
          </w:p>
        </w:tc>
        <w:tc>
          <w:tcPr>
            <w:tcW w:w="217" w:type="dxa"/>
          </w:tcPr>
          <w:p w14:paraId="16C4C24C" w14:textId="77777777" w:rsidR="002C0FD9" w:rsidRPr="00CA25CF" w:rsidRDefault="002C0FD9" w:rsidP="00CA25CF">
            <w:pPr>
              <w:rPr>
                <w:rFonts w:cs="Arial"/>
                <w:color w:val="FF0000"/>
                <w:sz w:val="21"/>
                <w:szCs w:val="21"/>
              </w:rPr>
            </w:pPr>
          </w:p>
        </w:tc>
        <w:tc>
          <w:tcPr>
            <w:tcW w:w="217" w:type="dxa"/>
          </w:tcPr>
          <w:p w14:paraId="155E9728" w14:textId="77777777" w:rsidR="002C0FD9" w:rsidRPr="00CA25CF" w:rsidRDefault="002C0FD9" w:rsidP="00CA25CF">
            <w:pPr>
              <w:rPr>
                <w:rFonts w:cs="Arial"/>
                <w:color w:val="FF0000"/>
                <w:sz w:val="21"/>
                <w:szCs w:val="21"/>
              </w:rPr>
            </w:pPr>
          </w:p>
        </w:tc>
        <w:tc>
          <w:tcPr>
            <w:tcW w:w="217" w:type="dxa"/>
          </w:tcPr>
          <w:p w14:paraId="68D9A030" w14:textId="77777777" w:rsidR="002C0FD9" w:rsidRPr="00CA25CF" w:rsidRDefault="002C0FD9" w:rsidP="00CA25CF">
            <w:pPr>
              <w:rPr>
                <w:rFonts w:cs="Arial"/>
                <w:color w:val="FF0000"/>
                <w:sz w:val="21"/>
                <w:szCs w:val="21"/>
              </w:rPr>
            </w:pPr>
          </w:p>
        </w:tc>
        <w:tc>
          <w:tcPr>
            <w:tcW w:w="217" w:type="dxa"/>
          </w:tcPr>
          <w:p w14:paraId="7FE3364A" w14:textId="77777777" w:rsidR="002C0FD9" w:rsidRPr="00CA25CF" w:rsidRDefault="002C0FD9" w:rsidP="00CA25CF">
            <w:pPr>
              <w:rPr>
                <w:rFonts w:cs="Arial"/>
                <w:color w:val="FF0000"/>
                <w:sz w:val="21"/>
                <w:szCs w:val="21"/>
              </w:rPr>
            </w:pPr>
          </w:p>
        </w:tc>
        <w:tc>
          <w:tcPr>
            <w:tcW w:w="217" w:type="dxa"/>
          </w:tcPr>
          <w:p w14:paraId="4AA6A174" w14:textId="77777777" w:rsidR="002C0FD9" w:rsidRPr="00CA25CF" w:rsidRDefault="002C0FD9" w:rsidP="00CA25CF">
            <w:pPr>
              <w:rPr>
                <w:rFonts w:cs="Arial"/>
                <w:color w:val="FF0000"/>
                <w:sz w:val="21"/>
                <w:szCs w:val="21"/>
              </w:rPr>
            </w:pPr>
          </w:p>
        </w:tc>
        <w:tc>
          <w:tcPr>
            <w:tcW w:w="217" w:type="dxa"/>
          </w:tcPr>
          <w:p w14:paraId="758CC09F" w14:textId="77777777" w:rsidR="002C0FD9" w:rsidRPr="00CA25CF" w:rsidRDefault="002C0FD9" w:rsidP="00CA25CF">
            <w:pPr>
              <w:rPr>
                <w:rFonts w:cs="Arial"/>
                <w:color w:val="FF0000"/>
                <w:sz w:val="21"/>
                <w:szCs w:val="21"/>
              </w:rPr>
            </w:pPr>
          </w:p>
        </w:tc>
        <w:tc>
          <w:tcPr>
            <w:tcW w:w="217" w:type="dxa"/>
          </w:tcPr>
          <w:p w14:paraId="33C679AA" w14:textId="77777777" w:rsidR="002C0FD9" w:rsidRPr="00CA25CF" w:rsidRDefault="002C0FD9" w:rsidP="00CA25CF">
            <w:pPr>
              <w:rPr>
                <w:rFonts w:cs="Arial"/>
                <w:color w:val="FF0000"/>
                <w:sz w:val="21"/>
                <w:szCs w:val="21"/>
              </w:rPr>
            </w:pPr>
          </w:p>
        </w:tc>
        <w:tc>
          <w:tcPr>
            <w:tcW w:w="217" w:type="dxa"/>
          </w:tcPr>
          <w:p w14:paraId="603649CB" w14:textId="77777777" w:rsidR="002C0FD9" w:rsidRPr="00CA25CF" w:rsidRDefault="002C0FD9" w:rsidP="00CA25CF">
            <w:pPr>
              <w:rPr>
                <w:rFonts w:cs="Arial"/>
                <w:color w:val="FF0000"/>
                <w:sz w:val="21"/>
                <w:szCs w:val="21"/>
              </w:rPr>
            </w:pPr>
          </w:p>
        </w:tc>
        <w:tc>
          <w:tcPr>
            <w:tcW w:w="217" w:type="dxa"/>
          </w:tcPr>
          <w:p w14:paraId="1DB9E530" w14:textId="77777777" w:rsidR="002C0FD9" w:rsidRPr="00CA25CF" w:rsidRDefault="002C0FD9" w:rsidP="00CA25CF">
            <w:pPr>
              <w:rPr>
                <w:rFonts w:cs="Arial"/>
                <w:color w:val="FF0000"/>
                <w:sz w:val="21"/>
                <w:szCs w:val="21"/>
              </w:rPr>
            </w:pPr>
          </w:p>
        </w:tc>
        <w:tc>
          <w:tcPr>
            <w:tcW w:w="217" w:type="dxa"/>
          </w:tcPr>
          <w:p w14:paraId="7F9A2040" w14:textId="77777777" w:rsidR="002C0FD9" w:rsidRPr="00CA25CF" w:rsidRDefault="002C0FD9" w:rsidP="00CA25CF">
            <w:pPr>
              <w:rPr>
                <w:rFonts w:cs="Arial"/>
                <w:color w:val="FF0000"/>
                <w:sz w:val="21"/>
                <w:szCs w:val="21"/>
              </w:rPr>
            </w:pPr>
          </w:p>
        </w:tc>
        <w:tc>
          <w:tcPr>
            <w:tcW w:w="217" w:type="dxa"/>
          </w:tcPr>
          <w:p w14:paraId="56D431D5" w14:textId="77777777" w:rsidR="002C0FD9" w:rsidRPr="00CA25CF" w:rsidRDefault="002C0FD9" w:rsidP="00CA25CF">
            <w:pPr>
              <w:rPr>
                <w:rFonts w:cs="Arial"/>
                <w:color w:val="FF0000"/>
                <w:sz w:val="21"/>
                <w:szCs w:val="21"/>
              </w:rPr>
            </w:pPr>
          </w:p>
        </w:tc>
        <w:tc>
          <w:tcPr>
            <w:tcW w:w="217" w:type="dxa"/>
          </w:tcPr>
          <w:p w14:paraId="25889884" w14:textId="77777777" w:rsidR="002C0FD9" w:rsidRPr="00CA25CF" w:rsidRDefault="002C0FD9" w:rsidP="00CA25CF">
            <w:pPr>
              <w:rPr>
                <w:rFonts w:cs="Arial"/>
                <w:color w:val="FF0000"/>
                <w:sz w:val="21"/>
                <w:szCs w:val="21"/>
              </w:rPr>
            </w:pPr>
          </w:p>
        </w:tc>
        <w:tc>
          <w:tcPr>
            <w:tcW w:w="217" w:type="dxa"/>
          </w:tcPr>
          <w:p w14:paraId="044FB528" w14:textId="77777777" w:rsidR="002C0FD9" w:rsidRPr="00CA25CF" w:rsidRDefault="002C0FD9" w:rsidP="00CA25CF">
            <w:pPr>
              <w:rPr>
                <w:rFonts w:cs="Arial"/>
                <w:color w:val="FF0000"/>
                <w:sz w:val="21"/>
                <w:szCs w:val="21"/>
              </w:rPr>
            </w:pPr>
          </w:p>
        </w:tc>
        <w:tc>
          <w:tcPr>
            <w:tcW w:w="217" w:type="dxa"/>
          </w:tcPr>
          <w:p w14:paraId="00E571AA" w14:textId="77777777" w:rsidR="002C0FD9" w:rsidRPr="00CA25CF" w:rsidRDefault="002C0FD9" w:rsidP="00CA25CF">
            <w:pPr>
              <w:rPr>
                <w:rFonts w:cs="Arial"/>
                <w:color w:val="FF0000"/>
                <w:sz w:val="21"/>
                <w:szCs w:val="21"/>
              </w:rPr>
            </w:pPr>
          </w:p>
        </w:tc>
        <w:tc>
          <w:tcPr>
            <w:tcW w:w="217" w:type="dxa"/>
          </w:tcPr>
          <w:p w14:paraId="7D4627B9" w14:textId="77777777" w:rsidR="002C0FD9" w:rsidRPr="00CA25CF" w:rsidRDefault="002C0FD9" w:rsidP="00CA25CF">
            <w:pPr>
              <w:rPr>
                <w:rFonts w:cs="Arial"/>
                <w:color w:val="FF0000"/>
                <w:sz w:val="21"/>
                <w:szCs w:val="21"/>
              </w:rPr>
            </w:pPr>
          </w:p>
        </w:tc>
        <w:tc>
          <w:tcPr>
            <w:tcW w:w="217" w:type="dxa"/>
          </w:tcPr>
          <w:p w14:paraId="3458A02B" w14:textId="77777777" w:rsidR="002C0FD9" w:rsidRPr="00CA25CF" w:rsidRDefault="002C0FD9" w:rsidP="00CA25CF">
            <w:pPr>
              <w:rPr>
                <w:rFonts w:cs="Arial"/>
                <w:color w:val="FF0000"/>
                <w:sz w:val="21"/>
                <w:szCs w:val="21"/>
              </w:rPr>
            </w:pPr>
          </w:p>
        </w:tc>
        <w:tc>
          <w:tcPr>
            <w:tcW w:w="217" w:type="dxa"/>
          </w:tcPr>
          <w:p w14:paraId="470567B7" w14:textId="77777777" w:rsidR="002C0FD9" w:rsidRPr="00CA25CF" w:rsidRDefault="002C0FD9" w:rsidP="00CA25CF">
            <w:pPr>
              <w:rPr>
                <w:rFonts w:cs="Arial"/>
                <w:color w:val="FF0000"/>
                <w:sz w:val="21"/>
                <w:szCs w:val="21"/>
              </w:rPr>
            </w:pPr>
          </w:p>
        </w:tc>
        <w:tc>
          <w:tcPr>
            <w:tcW w:w="217" w:type="dxa"/>
          </w:tcPr>
          <w:p w14:paraId="3568A602" w14:textId="77777777" w:rsidR="002C0FD9" w:rsidRPr="00CA25CF" w:rsidRDefault="002C0FD9" w:rsidP="00CA25CF">
            <w:pPr>
              <w:rPr>
                <w:rFonts w:cs="Arial"/>
                <w:color w:val="FF0000"/>
                <w:sz w:val="21"/>
                <w:szCs w:val="21"/>
              </w:rPr>
            </w:pPr>
          </w:p>
        </w:tc>
        <w:tc>
          <w:tcPr>
            <w:tcW w:w="217" w:type="dxa"/>
          </w:tcPr>
          <w:p w14:paraId="0AB55BFE" w14:textId="77777777" w:rsidR="002C0FD9" w:rsidRPr="00CA25CF" w:rsidRDefault="002C0FD9" w:rsidP="00CA25CF">
            <w:pPr>
              <w:rPr>
                <w:rFonts w:cs="Arial"/>
                <w:color w:val="FF0000"/>
                <w:sz w:val="21"/>
                <w:szCs w:val="21"/>
              </w:rPr>
            </w:pPr>
          </w:p>
        </w:tc>
        <w:tc>
          <w:tcPr>
            <w:tcW w:w="217" w:type="dxa"/>
          </w:tcPr>
          <w:p w14:paraId="6A96DAC4" w14:textId="77777777" w:rsidR="002C0FD9" w:rsidRPr="00CA25CF" w:rsidRDefault="002C0FD9" w:rsidP="00CA25CF">
            <w:pPr>
              <w:rPr>
                <w:rFonts w:cs="Arial"/>
                <w:color w:val="FF0000"/>
                <w:sz w:val="21"/>
                <w:szCs w:val="21"/>
              </w:rPr>
            </w:pPr>
          </w:p>
        </w:tc>
        <w:tc>
          <w:tcPr>
            <w:tcW w:w="217" w:type="dxa"/>
          </w:tcPr>
          <w:p w14:paraId="38537396" w14:textId="77777777" w:rsidR="002C0FD9" w:rsidRPr="00CA25CF" w:rsidRDefault="002C0FD9" w:rsidP="00CA25CF">
            <w:pPr>
              <w:rPr>
                <w:rFonts w:cs="Arial"/>
                <w:color w:val="FF0000"/>
                <w:sz w:val="21"/>
                <w:szCs w:val="21"/>
              </w:rPr>
            </w:pPr>
          </w:p>
        </w:tc>
        <w:tc>
          <w:tcPr>
            <w:tcW w:w="217" w:type="dxa"/>
          </w:tcPr>
          <w:p w14:paraId="748607EC" w14:textId="77777777" w:rsidR="002C0FD9" w:rsidRPr="00CA25CF" w:rsidRDefault="002C0FD9" w:rsidP="00CA25CF">
            <w:pPr>
              <w:rPr>
                <w:rFonts w:cs="Arial"/>
                <w:color w:val="FF0000"/>
                <w:sz w:val="21"/>
                <w:szCs w:val="21"/>
              </w:rPr>
            </w:pPr>
          </w:p>
        </w:tc>
        <w:tc>
          <w:tcPr>
            <w:tcW w:w="217" w:type="dxa"/>
          </w:tcPr>
          <w:p w14:paraId="54EADF0C" w14:textId="77777777" w:rsidR="002C0FD9" w:rsidRPr="00CA25CF" w:rsidRDefault="002C0FD9" w:rsidP="00CA25CF">
            <w:pPr>
              <w:rPr>
                <w:rFonts w:cs="Arial"/>
                <w:color w:val="FF0000"/>
                <w:sz w:val="21"/>
                <w:szCs w:val="21"/>
              </w:rPr>
            </w:pPr>
          </w:p>
        </w:tc>
        <w:tc>
          <w:tcPr>
            <w:tcW w:w="217" w:type="dxa"/>
          </w:tcPr>
          <w:p w14:paraId="517BA201" w14:textId="77777777" w:rsidR="002C0FD9" w:rsidRPr="00CA25CF" w:rsidRDefault="002C0FD9" w:rsidP="00CA25CF">
            <w:pPr>
              <w:rPr>
                <w:rFonts w:cs="Arial"/>
                <w:color w:val="FF0000"/>
                <w:sz w:val="21"/>
                <w:szCs w:val="21"/>
              </w:rPr>
            </w:pPr>
          </w:p>
        </w:tc>
        <w:tc>
          <w:tcPr>
            <w:tcW w:w="217" w:type="dxa"/>
          </w:tcPr>
          <w:p w14:paraId="0F02E79E" w14:textId="77777777" w:rsidR="002C0FD9" w:rsidRPr="00CA25CF" w:rsidRDefault="002C0FD9" w:rsidP="00CA25CF">
            <w:pPr>
              <w:rPr>
                <w:rFonts w:cs="Arial"/>
                <w:color w:val="FF0000"/>
                <w:sz w:val="21"/>
                <w:szCs w:val="21"/>
              </w:rPr>
            </w:pPr>
          </w:p>
        </w:tc>
        <w:tc>
          <w:tcPr>
            <w:tcW w:w="217" w:type="dxa"/>
          </w:tcPr>
          <w:p w14:paraId="7D7C5769" w14:textId="77777777" w:rsidR="002C0FD9" w:rsidRPr="00CA25CF" w:rsidRDefault="002C0FD9" w:rsidP="00CA25CF">
            <w:pPr>
              <w:rPr>
                <w:rFonts w:cs="Arial"/>
                <w:color w:val="FF0000"/>
                <w:sz w:val="21"/>
                <w:szCs w:val="21"/>
              </w:rPr>
            </w:pPr>
          </w:p>
        </w:tc>
        <w:tc>
          <w:tcPr>
            <w:tcW w:w="217" w:type="dxa"/>
          </w:tcPr>
          <w:p w14:paraId="26324E22" w14:textId="77777777" w:rsidR="002C0FD9" w:rsidRPr="00CA25CF" w:rsidRDefault="002C0FD9" w:rsidP="00CA25CF">
            <w:pPr>
              <w:rPr>
                <w:rFonts w:cs="Arial"/>
                <w:color w:val="FF0000"/>
                <w:sz w:val="21"/>
                <w:szCs w:val="21"/>
              </w:rPr>
            </w:pPr>
          </w:p>
        </w:tc>
        <w:tc>
          <w:tcPr>
            <w:tcW w:w="217" w:type="dxa"/>
          </w:tcPr>
          <w:p w14:paraId="72EC32E8" w14:textId="77777777" w:rsidR="002C0FD9" w:rsidRPr="00CA25CF" w:rsidRDefault="002C0FD9" w:rsidP="00CA25CF">
            <w:pPr>
              <w:rPr>
                <w:rFonts w:cs="Arial"/>
                <w:color w:val="FF0000"/>
                <w:sz w:val="21"/>
                <w:szCs w:val="21"/>
              </w:rPr>
            </w:pPr>
          </w:p>
        </w:tc>
        <w:tc>
          <w:tcPr>
            <w:tcW w:w="217" w:type="dxa"/>
          </w:tcPr>
          <w:p w14:paraId="6A69F633" w14:textId="77777777" w:rsidR="002C0FD9" w:rsidRPr="00CA25CF" w:rsidRDefault="002C0FD9" w:rsidP="00CA25CF">
            <w:pPr>
              <w:rPr>
                <w:rFonts w:cs="Arial"/>
                <w:color w:val="FF0000"/>
                <w:sz w:val="21"/>
                <w:szCs w:val="21"/>
              </w:rPr>
            </w:pPr>
          </w:p>
        </w:tc>
        <w:tc>
          <w:tcPr>
            <w:tcW w:w="217" w:type="dxa"/>
          </w:tcPr>
          <w:p w14:paraId="7E16EF65" w14:textId="77777777" w:rsidR="002C0FD9" w:rsidRPr="00CA25CF" w:rsidRDefault="002C0FD9" w:rsidP="00CA25CF">
            <w:pPr>
              <w:rPr>
                <w:rFonts w:cs="Arial"/>
                <w:color w:val="FF0000"/>
                <w:sz w:val="21"/>
                <w:szCs w:val="21"/>
              </w:rPr>
            </w:pPr>
          </w:p>
        </w:tc>
        <w:tc>
          <w:tcPr>
            <w:tcW w:w="217" w:type="dxa"/>
          </w:tcPr>
          <w:p w14:paraId="50EAF2F9" w14:textId="77777777" w:rsidR="002C0FD9" w:rsidRPr="00CA25CF" w:rsidRDefault="002C0FD9" w:rsidP="00CA25CF">
            <w:pPr>
              <w:rPr>
                <w:rFonts w:cs="Arial"/>
                <w:color w:val="FF0000"/>
                <w:sz w:val="21"/>
                <w:szCs w:val="21"/>
              </w:rPr>
            </w:pPr>
          </w:p>
        </w:tc>
        <w:tc>
          <w:tcPr>
            <w:tcW w:w="217" w:type="dxa"/>
          </w:tcPr>
          <w:p w14:paraId="607808E8" w14:textId="77777777" w:rsidR="002C0FD9" w:rsidRPr="00CA25CF" w:rsidRDefault="002C0FD9" w:rsidP="00CA25CF">
            <w:pPr>
              <w:rPr>
                <w:rFonts w:cs="Arial"/>
                <w:color w:val="FF0000"/>
                <w:sz w:val="21"/>
                <w:szCs w:val="21"/>
              </w:rPr>
            </w:pPr>
          </w:p>
        </w:tc>
        <w:tc>
          <w:tcPr>
            <w:tcW w:w="217" w:type="dxa"/>
          </w:tcPr>
          <w:p w14:paraId="77FA8CF0" w14:textId="77777777" w:rsidR="002C0FD9" w:rsidRPr="00CA25CF" w:rsidRDefault="002C0FD9" w:rsidP="00CA25CF">
            <w:pPr>
              <w:rPr>
                <w:rFonts w:cs="Arial"/>
                <w:color w:val="FF0000"/>
                <w:sz w:val="21"/>
                <w:szCs w:val="21"/>
              </w:rPr>
            </w:pPr>
          </w:p>
        </w:tc>
        <w:tc>
          <w:tcPr>
            <w:tcW w:w="217" w:type="dxa"/>
          </w:tcPr>
          <w:p w14:paraId="61FDB92A" w14:textId="77777777" w:rsidR="002C0FD9" w:rsidRPr="00CA25CF" w:rsidRDefault="002C0FD9" w:rsidP="00CA25CF">
            <w:pPr>
              <w:rPr>
                <w:rFonts w:cs="Arial"/>
                <w:color w:val="FF0000"/>
                <w:sz w:val="21"/>
                <w:szCs w:val="21"/>
              </w:rPr>
            </w:pPr>
          </w:p>
        </w:tc>
        <w:tc>
          <w:tcPr>
            <w:tcW w:w="217" w:type="dxa"/>
          </w:tcPr>
          <w:p w14:paraId="5DB56256" w14:textId="77777777" w:rsidR="002C0FD9" w:rsidRPr="00CA25CF" w:rsidRDefault="002C0FD9" w:rsidP="00CA25CF">
            <w:pPr>
              <w:rPr>
                <w:rFonts w:cs="Arial"/>
                <w:color w:val="FF0000"/>
                <w:sz w:val="21"/>
                <w:szCs w:val="21"/>
              </w:rPr>
            </w:pPr>
          </w:p>
        </w:tc>
        <w:tc>
          <w:tcPr>
            <w:tcW w:w="217" w:type="dxa"/>
          </w:tcPr>
          <w:p w14:paraId="128A7488" w14:textId="77777777" w:rsidR="002C0FD9" w:rsidRPr="00CA25CF" w:rsidRDefault="002C0FD9" w:rsidP="00CA25CF">
            <w:pPr>
              <w:rPr>
                <w:rFonts w:cs="Arial"/>
                <w:color w:val="FF0000"/>
                <w:sz w:val="21"/>
                <w:szCs w:val="21"/>
              </w:rPr>
            </w:pPr>
          </w:p>
        </w:tc>
      </w:tr>
      <w:tr w:rsidR="002C0FD9" w:rsidRPr="00A16219" w14:paraId="5ADB0837" w14:textId="195F76B3" w:rsidTr="002C0FD9">
        <w:trPr>
          <w:trHeight w:val="635"/>
        </w:trPr>
        <w:tc>
          <w:tcPr>
            <w:tcW w:w="515" w:type="dxa"/>
          </w:tcPr>
          <w:p w14:paraId="43CA7274" w14:textId="77777777" w:rsidR="002C0FD9" w:rsidRPr="00CA25CF" w:rsidRDefault="002C0FD9" w:rsidP="00CA25CF">
            <w:pPr>
              <w:rPr>
                <w:rFonts w:cs="Arial"/>
                <w:color w:val="FF0000"/>
                <w:sz w:val="21"/>
                <w:szCs w:val="21"/>
              </w:rPr>
            </w:pPr>
          </w:p>
        </w:tc>
        <w:tc>
          <w:tcPr>
            <w:tcW w:w="217" w:type="dxa"/>
          </w:tcPr>
          <w:p w14:paraId="21072FE6" w14:textId="77777777" w:rsidR="002C0FD9" w:rsidRPr="00CA25CF" w:rsidRDefault="002C0FD9" w:rsidP="00CA25CF">
            <w:pPr>
              <w:rPr>
                <w:rFonts w:cs="Arial"/>
                <w:color w:val="FF0000"/>
                <w:sz w:val="21"/>
                <w:szCs w:val="21"/>
              </w:rPr>
            </w:pPr>
          </w:p>
        </w:tc>
        <w:tc>
          <w:tcPr>
            <w:tcW w:w="217" w:type="dxa"/>
          </w:tcPr>
          <w:p w14:paraId="4895A8E7" w14:textId="2E1970C0" w:rsidR="002C0FD9" w:rsidRPr="00CA25CF" w:rsidRDefault="002C0FD9" w:rsidP="00CA25CF">
            <w:pPr>
              <w:rPr>
                <w:rFonts w:cs="Arial"/>
                <w:color w:val="FF0000"/>
                <w:sz w:val="21"/>
                <w:szCs w:val="21"/>
              </w:rPr>
            </w:pPr>
          </w:p>
        </w:tc>
        <w:tc>
          <w:tcPr>
            <w:tcW w:w="217" w:type="dxa"/>
          </w:tcPr>
          <w:p w14:paraId="307D7AD0" w14:textId="77777777" w:rsidR="002C0FD9" w:rsidRPr="00CA25CF" w:rsidRDefault="002C0FD9" w:rsidP="00CA25CF">
            <w:pPr>
              <w:rPr>
                <w:rFonts w:cs="Arial"/>
                <w:color w:val="FF0000"/>
                <w:sz w:val="21"/>
                <w:szCs w:val="21"/>
              </w:rPr>
            </w:pPr>
          </w:p>
        </w:tc>
        <w:tc>
          <w:tcPr>
            <w:tcW w:w="217" w:type="dxa"/>
          </w:tcPr>
          <w:p w14:paraId="58DD4FAF" w14:textId="77777777" w:rsidR="002C0FD9" w:rsidRPr="00CA25CF" w:rsidRDefault="002C0FD9" w:rsidP="00CA25CF">
            <w:pPr>
              <w:rPr>
                <w:rFonts w:cs="Arial"/>
                <w:color w:val="FF0000"/>
                <w:sz w:val="21"/>
                <w:szCs w:val="21"/>
              </w:rPr>
            </w:pPr>
          </w:p>
        </w:tc>
        <w:tc>
          <w:tcPr>
            <w:tcW w:w="217" w:type="dxa"/>
          </w:tcPr>
          <w:p w14:paraId="3D46C969" w14:textId="77777777" w:rsidR="002C0FD9" w:rsidRPr="00CA25CF" w:rsidRDefault="002C0FD9" w:rsidP="00CA25CF">
            <w:pPr>
              <w:rPr>
                <w:rFonts w:cs="Arial"/>
                <w:color w:val="FF0000"/>
                <w:sz w:val="21"/>
                <w:szCs w:val="21"/>
              </w:rPr>
            </w:pPr>
          </w:p>
        </w:tc>
        <w:tc>
          <w:tcPr>
            <w:tcW w:w="217" w:type="dxa"/>
          </w:tcPr>
          <w:p w14:paraId="5FA99D01" w14:textId="77777777" w:rsidR="002C0FD9" w:rsidRPr="00CA25CF" w:rsidRDefault="002C0FD9" w:rsidP="00CA25CF">
            <w:pPr>
              <w:rPr>
                <w:rFonts w:cs="Arial"/>
                <w:color w:val="FF0000"/>
                <w:sz w:val="21"/>
                <w:szCs w:val="21"/>
              </w:rPr>
            </w:pPr>
          </w:p>
        </w:tc>
        <w:tc>
          <w:tcPr>
            <w:tcW w:w="217" w:type="dxa"/>
          </w:tcPr>
          <w:p w14:paraId="08F923BB" w14:textId="77777777" w:rsidR="002C0FD9" w:rsidRPr="00CA25CF" w:rsidRDefault="002C0FD9" w:rsidP="00CA25CF">
            <w:pPr>
              <w:rPr>
                <w:rFonts w:cs="Arial"/>
                <w:color w:val="FF0000"/>
                <w:sz w:val="21"/>
                <w:szCs w:val="21"/>
              </w:rPr>
            </w:pPr>
          </w:p>
        </w:tc>
        <w:tc>
          <w:tcPr>
            <w:tcW w:w="217" w:type="dxa"/>
          </w:tcPr>
          <w:p w14:paraId="58DC73C8" w14:textId="77777777" w:rsidR="002C0FD9" w:rsidRPr="00CA25CF" w:rsidRDefault="002C0FD9" w:rsidP="00CA25CF">
            <w:pPr>
              <w:rPr>
                <w:rFonts w:cs="Arial"/>
                <w:color w:val="FF0000"/>
                <w:sz w:val="21"/>
                <w:szCs w:val="21"/>
              </w:rPr>
            </w:pPr>
          </w:p>
        </w:tc>
        <w:tc>
          <w:tcPr>
            <w:tcW w:w="217" w:type="dxa"/>
          </w:tcPr>
          <w:p w14:paraId="1C529800" w14:textId="77777777" w:rsidR="002C0FD9" w:rsidRPr="00CA25CF" w:rsidRDefault="002C0FD9" w:rsidP="00CA25CF">
            <w:pPr>
              <w:rPr>
                <w:rFonts w:cs="Arial"/>
                <w:color w:val="FF0000"/>
                <w:sz w:val="21"/>
                <w:szCs w:val="21"/>
              </w:rPr>
            </w:pPr>
          </w:p>
        </w:tc>
        <w:tc>
          <w:tcPr>
            <w:tcW w:w="217" w:type="dxa"/>
          </w:tcPr>
          <w:p w14:paraId="279DF166" w14:textId="77777777" w:rsidR="002C0FD9" w:rsidRPr="00CA25CF" w:rsidRDefault="002C0FD9" w:rsidP="00CA25CF">
            <w:pPr>
              <w:rPr>
                <w:rFonts w:cs="Arial"/>
                <w:color w:val="FF0000"/>
                <w:sz w:val="21"/>
                <w:szCs w:val="21"/>
              </w:rPr>
            </w:pPr>
          </w:p>
        </w:tc>
        <w:tc>
          <w:tcPr>
            <w:tcW w:w="217" w:type="dxa"/>
          </w:tcPr>
          <w:p w14:paraId="71428EC6" w14:textId="77777777" w:rsidR="002C0FD9" w:rsidRPr="00CA25CF" w:rsidRDefault="002C0FD9" w:rsidP="00CA25CF">
            <w:pPr>
              <w:rPr>
                <w:rFonts w:cs="Arial"/>
                <w:color w:val="FF0000"/>
                <w:sz w:val="21"/>
                <w:szCs w:val="21"/>
              </w:rPr>
            </w:pPr>
          </w:p>
        </w:tc>
        <w:tc>
          <w:tcPr>
            <w:tcW w:w="217" w:type="dxa"/>
          </w:tcPr>
          <w:p w14:paraId="216C2F07" w14:textId="77777777" w:rsidR="002C0FD9" w:rsidRPr="00CA25CF" w:rsidRDefault="002C0FD9" w:rsidP="00CA25CF">
            <w:pPr>
              <w:rPr>
                <w:rFonts w:cs="Arial"/>
                <w:color w:val="FF0000"/>
                <w:sz w:val="21"/>
                <w:szCs w:val="21"/>
              </w:rPr>
            </w:pPr>
          </w:p>
        </w:tc>
        <w:tc>
          <w:tcPr>
            <w:tcW w:w="217" w:type="dxa"/>
          </w:tcPr>
          <w:p w14:paraId="4E54E500" w14:textId="77777777" w:rsidR="002C0FD9" w:rsidRPr="00CA25CF" w:rsidRDefault="002C0FD9" w:rsidP="00CA25CF">
            <w:pPr>
              <w:rPr>
                <w:rFonts w:cs="Arial"/>
                <w:color w:val="FF0000"/>
                <w:sz w:val="21"/>
                <w:szCs w:val="21"/>
              </w:rPr>
            </w:pPr>
          </w:p>
        </w:tc>
        <w:tc>
          <w:tcPr>
            <w:tcW w:w="217" w:type="dxa"/>
          </w:tcPr>
          <w:p w14:paraId="29E21974" w14:textId="77777777" w:rsidR="002C0FD9" w:rsidRPr="00CA25CF" w:rsidRDefault="002C0FD9" w:rsidP="00CA25CF">
            <w:pPr>
              <w:rPr>
                <w:rFonts w:cs="Arial"/>
                <w:color w:val="FF0000"/>
                <w:sz w:val="21"/>
                <w:szCs w:val="21"/>
              </w:rPr>
            </w:pPr>
          </w:p>
        </w:tc>
        <w:tc>
          <w:tcPr>
            <w:tcW w:w="217" w:type="dxa"/>
          </w:tcPr>
          <w:p w14:paraId="61F7328F" w14:textId="77777777" w:rsidR="002C0FD9" w:rsidRPr="00CA25CF" w:rsidRDefault="002C0FD9" w:rsidP="00CA25CF">
            <w:pPr>
              <w:rPr>
                <w:rFonts w:cs="Arial"/>
                <w:color w:val="FF0000"/>
                <w:sz w:val="21"/>
                <w:szCs w:val="21"/>
              </w:rPr>
            </w:pPr>
          </w:p>
        </w:tc>
        <w:tc>
          <w:tcPr>
            <w:tcW w:w="217" w:type="dxa"/>
          </w:tcPr>
          <w:p w14:paraId="635B735C" w14:textId="77777777" w:rsidR="002C0FD9" w:rsidRPr="00CA25CF" w:rsidRDefault="002C0FD9" w:rsidP="00CA25CF">
            <w:pPr>
              <w:rPr>
                <w:rFonts w:cs="Arial"/>
                <w:color w:val="FF0000"/>
                <w:sz w:val="21"/>
                <w:szCs w:val="21"/>
              </w:rPr>
            </w:pPr>
          </w:p>
        </w:tc>
        <w:tc>
          <w:tcPr>
            <w:tcW w:w="217" w:type="dxa"/>
          </w:tcPr>
          <w:p w14:paraId="46658157" w14:textId="77777777" w:rsidR="002C0FD9" w:rsidRPr="00CA25CF" w:rsidRDefault="002C0FD9" w:rsidP="00CA25CF">
            <w:pPr>
              <w:rPr>
                <w:rFonts w:cs="Arial"/>
                <w:color w:val="FF0000"/>
                <w:sz w:val="21"/>
                <w:szCs w:val="21"/>
              </w:rPr>
            </w:pPr>
          </w:p>
        </w:tc>
        <w:tc>
          <w:tcPr>
            <w:tcW w:w="217" w:type="dxa"/>
          </w:tcPr>
          <w:p w14:paraId="3F1FB62E" w14:textId="77777777" w:rsidR="002C0FD9" w:rsidRPr="00CA25CF" w:rsidRDefault="002C0FD9" w:rsidP="00CA25CF">
            <w:pPr>
              <w:rPr>
                <w:rFonts w:cs="Arial"/>
                <w:color w:val="FF0000"/>
                <w:sz w:val="21"/>
                <w:szCs w:val="21"/>
              </w:rPr>
            </w:pPr>
          </w:p>
        </w:tc>
        <w:tc>
          <w:tcPr>
            <w:tcW w:w="217" w:type="dxa"/>
          </w:tcPr>
          <w:p w14:paraId="3E9CD8CE" w14:textId="77777777" w:rsidR="002C0FD9" w:rsidRPr="00CA25CF" w:rsidRDefault="002C0FD9" w:rsidP="00CA25CF">
            <w:pPr>
              <w:rPr>
                <w:rFonts w:cs="Arial"/>
                <w:color w:val="FF0000"/>
                <w:sz w:val="21"/>
                <w:szCs w:val="21"/>
              </w:rPr>
            </w:pPr>
          </w:p>
        </w:tc>
        <w:tc>
          <w:tcPr>
            <w:tcW w:w="217" w:type="dxa"/>
          </w:tcPr>
          <w:p w14:paraId="2236255D" w14:textId="77777777" w:rsidR="002C0FD9" w:rsidRPr="00CA25CF" w:rsidRDefault="002C0FD9" w:rsidP="00CA25CF">
            <w:pPr>
              <w:rPr>
                <w:rFonts w:cs="Arial"/>
                <w:color w:val="FF0000"/>
                <w:sz w:val="21"/>
                <w:szCs w:val="21"/>
              </w:rPr>
            </w:pPr>
          </w:p>
        </w:tc>
        <w:tc>
          <w:tcPr>
            <w:tcW w:w="217" w:type="dxa"/>
          </w:tcPr>
          <w:p w14:paraId="1244220D" w14:textId="77777777" w:rsidR="002C0FD9" w:rsidRPr="00CA25CF" w:rsidRDefault="002C0FD9" w:rsidP="00CA25CF">
            <w:pPr>
              <w:rPr>
                <w:rFonts w:cs="Arial"/>
                <w:color w:val="FF0000"/>
                <w:sz w:val="21"/>
                <w:szCs w:val="21"/>
              </w:rPr>
            </w:pPr>
          </w:p>
        </w:tc>
        <w:tc>
          <w:tcPr>
            <w:tcW w:w="217" w:type="dxa"/>
          </w:tcPr>
          <w:p w14:paraId="7E5979DB" w14:textId="77777777" w:rsidR="002C0FD9" w:rsidRPr="00CA25CF" w:rsidRDefault="002C0FD9" w:rsidP="00CA25CF">
            <w:pPr>
              <w:rPr>
                <w:rFonts w:cs="Arial"/>
                <w:color w:val="FF0000"/>
                <w:sz w:val="21"/>
                <w:szCs w:val="21"/>
              </w:rPr>
            </w:pPr>
          </w:p>
        </w:tc>
        <w:tc>
          <w:tcPr>
            <w:tcW w:w="217" w:type="dxa"/>
          </w:tcPr>
          <w:p w14:paraId="49A4B5AD" w14:textId="77777777" w:rsidR="002C0FD9" w:rsidRPr="00CA25CF" w:rsidRDefault="002C0FD9" w:rsidP="00CA25CF">
            <w:pPr>
              <w:rPr>
                <w:rFonts w:cs="Arial"/>
                <w:color w:val="FF0000"/>
                <w:sz w:val="21"/>
                <w:szCs w:val="21"/>
              </w:rPr>
            </w:pPr>
          </w:p>
        </w:tc>
        <w:tc>
          <w:tcPr>
            <w:tcW w:w="217" w:type="dxa"/>
          </w:tcPr>
          <w:p w14:paraId="4EDA9613" w14:textId="77777777" w:rsidR="002C0FD9" w:rsidRPr="00CA25CF" w:rsidRDefault="002C0FD9" w:rsidP="00CA25CF">
            <w:pPr>
              <w:rPr>
                <w:rFonts w:cs="Arial"/>
                <w:color w:val="FF0000"/>
                <w:sz w:val="21"/>
                <w:szCs w:val="21"/>
              </w:rPr>
            </w:pPr>
          </w:p>
        </w:tc>
        <w:tc>
          <w:tcPr>
            <w:tcW w:w="217" w:type="dxa"/>
          </w:tcPr>
          <w:p w14:paraId="32BC23C8" w14:textId="77777777" w:rsidR="002C0FD9" w:rsidRPr="00CA25CF" w:rsidRDefault="002C0FD9" w:rsidP="00CA25CF">
            <w:pPr>
              <w:rPr>
                <w:rFonts w:cs="Arial"/>
                <w:color w:val="FF0000"/>
                <w:sz w:val="21"/>
                <w:szCs w:val="21"/>
              </w:rPr>
            </w:pPr>
          </w:p>
        </w:tc>
        <w:tc>
          <w:tcPr>
            <w:tcW w:w="217" w:type="dxa"/>
          </w:tcPr>
          <w:p w14:paraId="76B57111" w14:textId="77777777" w:rsidR="002C0FD9" w:rsidRPr="00CA25CF" w:rsidRDefault="002C0FD9" w:rsidP="00CA25CF">
            <w:pPr>
              <w:rPr>
                <w:rFonts w:cs="Arial"/>
                <w:color w:val="FF0000"/>
                <w:sz w:val="21"/>
                <w:szCs w:val="21"/>
              </w:rPr>
            </w:pPr>
          </w:p>
        </w:tc>
        <w:tc>
          <w:tcPr>
            <w:tcW w:w="217" w:type="dxa"/>
          </w:tcPr>
          <w:p w14:paraId="29BF88F8" w14:textId="77777777" w:rsidR="002C0FD9" w:rsidRPr="00CA25CF" w:rsidRDefault="002C0FD9" w:rsidP="00CA25CF">
            <w:pPr>
              <w:rPr>
                <w:rFonts w:cs="Arial"/>
                <w:color w:val="FF0000"/>
                <w:sz w:val="21"/>
                <w:szCs w:val="21"/>
              </w:rPr>
            </w:pPr>
          </w:p>
        </w:tc>
        <w:tc>
          <w:tcPr>
            <w:tcW w:w="217" w:type="dxa"/>
          </w:tcPr>
          <w:p w14:paraId="33F66C3C" w14:textId="77777777" w:rsidR="002C0FD9" w:rsidRPr="00CA25CF" w:rsidRDefault="002C0FD9" w:rsidP="00CA25CF">
            <w:pPr>
              <w:rPr>
                <w:rFonts w:cs="Arial"/>
                <w:color w:val="FF0000"/>
                <w:sz w:val="21"/>
                <w:szCs w:val="21"/>
              </w:rPr>
            </w:pPr>
          </w:p>
        </w:tc>
        <w:tc>
          <w:tcPr>
            <w:tcW w:w="217" w:type="dxa"/>
          </w:tcPr>
          <w:p w14:paraId="0FA300FB" w14:textId="77777777" w:rsidR="002C0FD9" w:rsidRPr="00CA25CF" w:rsidRDefault="002C0FD9" w:rsidP="00CA25CF">
            <w:pPr>
              <w:rPr>
                <w:rFonts w:cs="Arial"/>
                <w:color w:val="FF0000"/>
                <w:sz w:val="21"/>
                <w:szCs w:val="21"/>
              </w:rPr>
            </w:pPr>
          </w:p>
        </w:tc>
        <w:tc>
          <w:tcPr>
            <w:tcW w:w="217" w:type="dxa"/>
          </w:tcPr>
          <w:p w14:paraId="7B696616" w14:textId="77777777" w:rsidR="002C0FD9" w:rsidRPr="00CA25CF" w:rsidRDefault="002C0FD9" w:rsidP="00CA25CF">
            <w:pPr>
              <w:rPr>
                <w:rFonts w:cs="Arial"/>
                <w:color w:val="FF0000"/>
                <w:sz w:val="21"/>
                <w:szCs w:val="21"/>
              </w:rPr>
            </w:pPr>
          </w:p>
        </w:tc>
        <w:tc>
          <w:tcPr>
            <w:tcW w:w="217" w:type="dxa"/>
          </w:tcPr>
          <w:p w14:paraId="157E5015" w14:textId="77777777" w:rsidR="002C0FD9" w:rsidRPr="00CA25CF" w:rsidRDefault="002C0FD9" w:rsidP="00CA25CF">
            <w:pPr>
              <w:rPr>
                <w:rFonts w:cs="Arial"/>
                <w:color w:val="FF0000"/>
                <w:sz w:val="21"/>
                <w:szCs w:val="21"/>
              </w:rPr>
            </w:pPr>
          </w:p>
        </w:tc>
        <w:tc>
          <w:tcPr>
            <w:tcW w:w="217" w:type="dxa"/>
          </w:tcPr>
          <w:p w14:paraId="29D2F34C" w14:textId="77777777" w:rsidR="002C0FD9" w:rsidRPr="00CA25CF" w:rsidRDefault="002C0FD9" w:rsidP="00CA25CF">
            <w:pPr>
              <w:rPr>
                <w:rFonts w:cs="Arial"/>
                <w:color w:val="FF0000"/>
                <w:sz w:val="21"/>
                <w:szCs w:val="21"/>
              </w:rPr>
            </w:pPr>
          </w:p>
        </w:tc>
        <w:tc>
          <w:tcPr>
            <w:tcW w:w="217" w:type="dxa"/>
          </w:tcPr>
          <w:p w14:paraId="1CCC70E5" w14:textId="77777777" w:rsidR="002C0FD9" w:rsidRPr="00CA25CF" w:rsidRDefault="002C0FD9" w:rsidP="00CA25CF">
            <w:pPr>
              <w:rPr>
                <w:rFonts w:cs="Arial"/>
                <w:color w:val="FF0000"/>
                <w:sz w:val="21"/>
                <w:szCs w:val="21"/>
              </w:rPr>
            </w:pPr>
          </w:p>
        </w:tc>
        <w:tc>
          <w:tcPr>
            <w:tcW w:w="217" w:type="dxa"/>
          </w:tcPr>
          <w:p w14:paraId="6A13C333" w14:textId="77777777" w:rsidR="002C0FD9" w:rsidRPr="00CA25CF" w:rsidRDefault="002C0FD9" w:rsidP="00CA25CF">
            <w:pPr>
              <w:rPr>
                <w:rFonts w:cs="Arial"/>
                <w:color w:val="FF0000"/>
                <w:sz w:val="21"/>
                <w:szCs w:val="21"/>
              </w:rPr>
            </w:pPr>
          </w:p>
        </w:tc>
        <w:tc>
          <w:tcPr>
            <w:tcW w:w="217" w:type="dxa"/>
          </w:tcPr>
          <w:p w14:paraId="13347CB5" w14:textId="77777777" w:rsidR="002C0FD9" w:rsidRPr="00CA25CF" w:rsidRDefault="002C0FD9" w:rsidP="00CA25CF">
            <w:pPr>
              <w:rPr>
                <w:rFonts w:cs="Arial"/>
                <w:color w:val="FF0000"/>
                <w:sz w:val="21"/>
                <w:szCs w:val="21"/>
              </w:rPr>
            </w:pPr>
          </w:p>
        </w:tc>
        <w:tc>
          <w:tcPr>
            <w:tcW w:w="217" w:type="dxa"/>
          </w:tcPr>
          <w:p w14:paraId="5FA0E4EC" w14:textId="77777777" w:rsidR="002C0FD9" w:rsidRPr="00CA25CF" w:rsidRDefault="002C0FD9" w:rsidP="00CA25CF">
            <w:pPr>
              <w:rPr>
                <w:rFonts w:cs="Arial"/>
                <w:color w:val="FF0000"/>
                <w:sz w:val="21"/>
                <w:szCs w:val="21"/>
              </w:rPr>
            </w:pPr>
          </w:p>
        </w:tc>
        <w:tc>
          <w:tcPr>
            <w:tcW w:w="217" w:type="dxa"/>
          </w:tcPr>
          <w:p w14:paraId="3A7B2247" w14:textId="77777777" w:rsidR="002C0FD9" w:rsidRPr="00CA25CF" w:rsidRDefault="002C0FD9" w:rsidP="00CA25CF">
            <w:pPr>
              <w:rPr>
                <w:rFonts w:cs="Arial"/>
                <w:color w:val="FF0000"/>
                <w:sz w:val="21"/>
                <w:szCs w:val="21"/>
              </w:rPr>
            </w:pPr>
          </w:p>
        </w:tc>
        <w:tc>
          <w:tcPr>
            <w:tcW w:w="217" w:type="dxa"/>
          </w:tcPr>
          <w:p w14:paraId="20DED0E4" w14:textId="77777777" w:rsidR="002C0FD9" w:rsidRPr="00CA25CF" w:rsidRDefault="002C0FD9" w:rsidP="00CA25CF">
            <w:pPr>
              <w:rPr>
                <w:rFonts w:cs="Arial"/>
                <w:color w:val="FF0000"/>
                <w:sz w:val="21"/>
                <w:szCs w:val="21"/>
              </w:rPr>
            </w:pPr>
          </w:p>
        </w:tc>
        <w:tc>
          <w:tcPr>
            <w:tcW w:w="217" w:type="dxa"/>
          </w:tcPr>
          <w:p w14:paraId="1F007F2A" w14:textId="77777777" w:rsidR="002C0FD9" w:rsidRPr="00CA25CF" w:rsidRDefault="002C0FD9" w:rsidP="00CA25CF">
            <w:pPr>
              <w:rPr>
                <w:rFonts w:cs="Arial"/>
                <w:color w:val="FF0000"/>
                <w:sz w:val="21"/>
                <w:szCs w:val="21"/>
              </w:rPr>
            </w:pPr>
          </w:p>
        </w:tc>
        <w:tc>
          <w:tcPr>
            <w:tcW w:w="217" w:type="dxa"/>
          </w:tcPr>
          <w:p w14:paraId="711B3AE8" w14:textId="77777777" w:rsidR="002C0FD9" w:rsidRPr="00CA25CF" w:rsidRDefault="002C0FD9" w:rsidP="00CA25CF">
            <w:pPr>
              <w:rPr>
                <w:rFonts w:cs="Arial"/>
                <w:color w:val="FF0000"/>
                <w:sz w:val="21"/>
                <w:szCs w:val="21"/>
              </w:rPr>
            </w:pPr>
          </w:p>
        </w:tc>
        <w:tc>
          <w:tcPr>
            <w:tcW w:w="217" w:type="dxa"/>
          </w:tcPr>
          <w:p w14:paraId="3CAFCF84" w14:textId="77777777" w:rsidR="002C0FD9" w:rsidRPr="00CA25CF" w:rsidRDefault="002C0FD9" w:rsidP="00CA25CF">
            <w:pPr>
              <w:rPr>
                <w:rFonts w:cs="Arial"/>
                <w:color w:val="FF0000"/>
                <w:sz w:val="21"/>
                <w:szCs w:val="21"/>
              </w:rPr>
            </w:pPr>
          </w:p>
        </w:tc>
        <w:tc>
          <w:tcPr>
            <w:tcW w:w="217" w:type="dxa"/>
          </w:tcPr>
          <w:p w14:paraId="3FB8D0BF" w14:textId="77777777" w:rsidR="002C0FD9" w:rsidRPr="00CA25CF" w:rsidRDefault="002C0FD9" w:rsidP="00CA25CF">
            <w:pPr>
              <w:rPr>
                <w:rFonts w:cs="Arial"/>
                <w:color w:val="FF0000"/>
                <w:sz w:val="21"/>
                <w:szCs w:val="21"/>
              </w:rPr>
            </w:pPr>
          </w:p>
        </w:tc>
      </w:tr>
      <w:tr w:rsidR="002C0FD9" w:rsidRPr="00A16219" w14:paraId="6FF4EFCE" w14:textId="3040109E" w:rsidTr="002C0FD9">
        <w:trPr>
          <w:trHeight w:val="635"/>
        </w:trPr>
        <w:tc>
          <w:tcPr>
            <w:tcW w:w="515" w:type="dxa"/>
          </w:tcPr>
          <w:p w14:paraId="1FD7085D" w14:textId="77777777" w:rsidR="002C0FD9" w:rsidRPr="00CA25CF" w:rsidRDefault="002C0FD9" w:rsidP="00CA25CF">
            <w:pPr>
              <w:rPr>
                <w:rFonts w:cs="Arial"/>
                <w:color w:val="FF0000"/>
                <w:sz w:val="21"/>
                <w:szCs w:val="21"/>
              </w:rPr>
            </w:pPr>
          </w:p>
        </w:tc>
        <w:tc>
          <w:tcPr>
            <w:tcW w:w="217" w:type="dxa"/>
          </w:tcPr>
          <w:p w14:paraId="7AEE2CE3" w14:textId="77777777" w:rsidR="002C0FD9" w:rsidRPr="00CA25CF" w:rsidRDefault="002C0FD9" w:rsidP="00CA25CF">
            <w:pPr>
              <w:rPr>
                <w:rFonts w:cs="Arial"/>
                <w:color w:val="FF0000"/>
                <w:sz w:val="21"/>
                <w:szCs w:val="21"/>
              </w:rPr>
            </w:pPr>
          </w:p>
        </w:tc>
        <w:tc>
          <w:tcPr>
            <w:tcW w:w="217" w:type="dxa"/>
          </w:tcPr>
          <w:p w14:paraId="17689E38" w14:textId="6BDC3BC7" w:rsidR="002C0FD9" w:rsidRPr="00CA25CF" w:rsidRDefault="002C0FD9" w:rsidP="00CA25CF">
            <w:pPr>
              <w:rPr>
                <w:rFonts w:cs="Arial"/>
                <w:color w:val="FF0000"/>
                <w:sz w:val="21"/>
                <w:szCs w:val="21"/>
              </w:rPr>
            </w:pPr>
          </w:p>
        </w:tc>
        <w:tc>
          <w:tcPr>
            <w:tcW w:w="217" w:type="dxa"/>
          </w:tcPr>
          <w:p w14:paraId="238A9A4B" w14:textId="77777777" w:rsidR="002C0FD9" w:rsidRPr="00CA25CF" w:rsidRDefault="002C0FD9" w:rsidP="00CA25CF">
            <w:pPr>
              <w:rPr>
                <w:rFonts w:cs="Arial"/>
                <w:color w:val="FF0000"/>
                <w:sz w:val="21"/>
                <w:szCs w:val="21"/>
              </w:rPr>
            </w:pPr>
          </w:p>
        </w:tc>
        <w:tc>
          <w:tcPr>
            <w:tcW w:w="217" w:type="dxa"/>
          </w:tcPr>
          <w:p w14:paraId="174E01D2" w14:textId="77777777" w:rsidR="002C0FD9" w:rsidRPr="00CA25CF" w:rsidRDefault="002C0FD9" w:rsidP="00CA25CF">
            <w:pPr>
              <w:rPr>
                <w:rFonts w:cs="Arial"/>
                <w:color w:val="FF0000"/>
                <w:sz w:val="21"/>
                <w:szCs w:val="21"/>
              </w:rPr>
            </w:pPr>
          </w:p>
        </w:tc>
        <w:tc>
          <w:tcPr>
            <w:tcW w:w="217" w:type="dxa"/>
          </w:tcPr>
          <w:p w14:paraId="26A88F36" w14:textId="77777777" w:rsidR="002C0FD9" w:rsidRPr="00CA25CF" w:rsidRDefault="002C0FD9" w:rsidP="00CA25CF">
            <w:pPr>
              <w:rPr>
                <w:rFonts w:cs="Arial"/>
                <w:color w:val="FF0000"/>
                <w:sz w:val="21"/>
                <w:szCs w:val="21"/>
              </w:rPr>
            </w:pPr>
          </w:p>
        </w:tc>
        <w:tc>
          <w:tcPr>
            <w:tcW w:w="217" w:type="dxa"/>
          </w:tcPr>
          <w:p w14:paraId="2B8ACDC1" w14:textId="77777777" w:rsidR="002C0FD9" w:rsidRPr="00CA25CF" w:rsidRDefault="002C0FD9" w:rsidP="00CA25CF">
            <w:pPr>
              <w:rPr>
                <w:rFonts w:cs="Arial"/>
                <w:color w:val="FF0000"/>
                <w:sz w:val="21"/>
                <w:szCs w:val="21"/>
              </w:rPr>
            </w:pPr>
          </w:p>
        </w:tc>
        <w:tc>
          <w:tcPr>
            <w:tcW w:w="217" w:type="dxa"/>
          </w:tcPr>
          <w:p w14:paraId="0704355E" w14:textId="77777777" w:rsidR="002C0FD9" w:rsidRPr="00CA25CF" w:rsidRDefault="002C0FD9" w:rsidP="00CA25CF">
            <w:pPr>
              <w:rPr>
                <w:rFonts w:cs="Arial"/>
                <w:color w:val="FF0000"/>
                <w:sz w:val="21"/>
                <w:szCs w:val="21"/>
              </w:rPr>
            </w:pPr>
          </w:p>
        </w:tc>
        <w:tc>
          <w:tcPr>
            <w:tcW w:w="217" w:type="dxa"/>
          </w:tcPr>
          <w:p w14:paraId="477FF8DE" w14:textId="77777777" w:rsidR="002C0FD9" w:rsidRPr="00CA25CF" w:rsidRDefault="002C0FD9" w:rsidP="00CA25CF">
            <w:pPr>
              <w:rPr>
                <w:rFonts w:cs="Arial"/>
                <w:color w:val="FF0000"/>
                <w:sz w:val="21"/>
                <w:szCs w:val="21"/>
              </w:rPr>
            </w:pPr>
          </w:p>
        </w:tc>
        <w:tc>
          <w:tcPr>
            <w:tcW w:w="217" w:type="dxa"/>
          </w:tcPr>
          <w:p w14:paraId="137B2C73" w14:textId="77777777" w:rsidR="002C0FD9" w:rsidRPr="00CA25CF" w:rsidRDefault="002C0FD9" w:rsidP="00CA25CF">
            <w:pPr>
              <w:rPr>
                <w:rFonts w:cs="Arial"/>
                <w:color w:val="FF0000"/>
                <w:sz w:val="21"/>
                <w:szCs w:val="21"/>
              </w:rPr>
            </w:pPr>
          </w:p>
        </w:tc>
        <w:tc>
          <w:tcPr>
            <w:tcW w:w="217" w:type="dxa"/>
          </w:tcPr>
          <w:p w14:paraId="7764FC69" w14:textId="77777777" w:rsidR="002C0FD9" w:rsidRPr="00CA25CF" w:rsidRDefault="002C0FD9" w:rsidP="00CA25CF">
            <w:pPr>
              <w:rPr>
                <w:rFonts w:cs="Arial"/>
                <w:color w:val="FF0000"/>
                <w:sz w:val="21"/>
                <w:szCs w:val="21"/>
              </w:rPr>
            </w:pPr>
          </w:p>
        </w:tc>
        <w:tc>
          <w:tcPr>
            <w:tcW w:w="217" w:type="dxa"/>
          </w:tcPr>
          <w:p w14:paraId="783430AB" w14:textId="77777777" w:rsidR="002C0FD9" w:rsidRPr="00CA25CF" w:rsidRDefault="002C0FD9" w:rsidP="00CA25CF">
            <w:pPr>
              <w:rPr>
                <w:rFonts w:cs="Arial"/>
                <w:color w:val="FF0000"/>
                <w:sz w:val="21"/>
                <w:szCs w:val="21"/>
              </w:rPr>
            </w:pPr>
          </w:p>
        </w:tc>
        <w:tc>
          <w:tcPr>
            <w:tcW w:w="217" w:type="dxa"/>
          </w:tcPr>
          <w:p w14:paraId="053BF8F3" w14:textId="77777777" w:rsidR="002C0FD9" w:rsidRPr="00CA25CF" w:rsidRDefault="002C0FD9" w:rsidP="00CA25CF">
            <w:pPr>
              <w:rPr>
                <w:rFonts w:cs="Arial"/>
                <w:color w:val="FF0000"/>
                <w:sz w:val="21"/>
                <w:szCs w:val="21"/>
              </w:rPr>
            </w:pPr>
          </w:p>
        </w:tc>
        <w:tc>
          <w:tcPr>
            <w:tcW w:w="217" w:type="dxa"/>
          </w:tcPr>
          <w:p w14:paraId="68CA3A3F" w14:textId="77777777" w:rsidR="002C0FD9" w:rsidRPr="00CA25CF" w:rsidRDefault="002C0FD9" w:rsidP="00CA25CF">
            <w:pPr>
              <w:rPr>
                <w:rFonts w:cs="Arial"/>
                <w:color w:val="FF0000"/>
                <w:sz w:val="21"/>
                <w:szCs w:val="21"/>
              </w:rPr>
            </w:pPr>
          </w:p>
        </w:tc>
        <w:tc>
          <w:tcPr>
            <w:tcW w:w="217" w:type="dxa"/>
          </w:tcPr>
          <w:p w14:paraId="31297707" w14:textId="77777777" w:rsidR="002C0FD9" w:rsidRPr="00CA25CF" w:rsidRDefault="002C0FD9" w:rsidP="00CA25CF">
            <w:pPr>
              <w:rPr>
                <w:rFonts w:cs="Arial"/>
                <w:color w:val="FF0000"/>
                <w:sz w:val="21"/>
                <w:szCs w:val="21"/>
              </w:rPr>
            </w:pPr>
          </w:p>
        </w:tc>
        <w:tc>
          <w:tcPr>
            <w:tcW w:w="217" w:type="dxa"/>
          </w:tcPr>
          <w:p w14:paraId="1EC80FDA" w14:textId="77777777" w:rsidR="002C0FD9" w:rsidRPr="00CA25CF" w:rsidRDefault="002C0FD9" w:rsidP="00CA25CF">
            <w:pPr>
              <w:rPr>
                <w:rFonts w:cs="Arial"/>
                <w:color w:val="FF0000"/>
                <w:sz w:val="21"/>
                <w:szCs w:val="21"/>
              </w:rPr>
            </w:pPr>
          </w:p>
        </w:tc>
        <w:tc>
          <w:tcPr>
            <w:tcW w:w="217" w:type="dxa"/>
          </w:tcPr>
          <w:p w14:paraId="7C14DC88" w14:textId="77777777" w:rsidR="002C0FD9" w:rsidRPr="00CA25CF" w:rsidRDefault="002C0FD9" w:rsidP="00CA25CF">
            <w:pPr>
              <w:rPr>
                <w:rFonts w:cs="Arial"/>
                <w:color w:val="FF0000"/>
                <w:sz w:val="21"/>
                <w:szCs w:val="21"/>
              </w:rPr>
            </w:pPr>
          </w:p>
        </w:tc>
        <w:tc>
          <w:tcPr>
            <w:tcW w:w="217" w:type="dxa"/>
          </w:tcPr>
          <w:p w14:paraId="475D5267" w14:textId="77777777" w:rsidR="002C0FD9" w:rsidRPr="00CA25CF" w:rsidRDefault="002C0FD9" w:rsidP="00CA25CF">
            <w:pPr>
              <w:rPr>
                <w:rFonts w:cs="Arial"/>
                <w:color w:val="FF0000"/>
                <w:sz w:val="21"/>
                <w:szCs w:val="21"/>
              </w:rPr>
            </w:pPr>
          </w:p>
        </w:tc>
        <w:tc>
          <w:tcPr>
            <w:tcW w:w="217" w:type="dxa"/>
          </w:tcPr>
          <w:p w14:paraId="622F2324" w14:textId="77777777" w:rsidR="002C0FD9" w:rsidRPr="00CA25CF" w:rsidRDefault="002C0FD9" w:rsidP="00CA25CF">
            <w:pPr>
              <w:rPr>
                <w:rFonts w:cs="Arial"/>
                <w:color w:val="FF0000"/>
                <w:sz w:val="21"/>
                <w:szCs w:val="21"/>
              </w:rPr>
            </w:pPr>
          </w:p>
        </w:tc>
        <w:tc>
          <w:tcPr>
            <w:tcW w:w="217" w:type="dxa"/>
          </w:tcPr>
          <w:p w14:paraId="4564013B" w14:textId="77777777" w:rsidR="002C0FD9" w:rsidRPr="00CA25CF" w:rsidRDefault="002C0FD9" w:rsidP="00CA25CF">
            <w:pPr>
              <w:rPr>
                <w:rFonts w:cs="Arial"/>
                <w:color w:val="FF0000"/>
                <w:sz w:val="21"/>
                <w:szCs w:val="21"/>
              </w:rPr>
            </w:pPr>
          </w:p>
        </w:tc>
        <w:tc>
          <w:tcPr>
            <w:tcW w:w="217" w:type="dxa"/>
          </w:tcPr>
          <w:p w14:paraId="28901684" w14:textId="77777777" w:rsidR="002C0FD9" w:rsidRPr="00CA25CF" w:rsidRDefault="002C0FD9" w:rsidP="00CA25CF">
            <w:pPr>
              <w:rPr>
                <w:rFonts w:cs="Arial"/>
                <w:color w:val="FF0000"/>
                <w:sz w:val="21"/>
                <w:szCs w:val="21"/>
              </w:rPr>
            </w:pPr>
          </w:p>
        </w:tc>
        <w:tc>
          <w:tcPr>
            <w:tcW w:w="217" w:type="dxa"/>
          </w:tcPr>
          <w:p w14:paraId="3ABC96E0" w14:textId="77777777" w:rsidR="002C0FD9" w:rsidRPr="00CA25CF" w:rsidRDefault="002C0FD9" w:rsidP="00CA25CF">
            <w:pPr>
              <w:rPr>
                <w:rFonts w:cs="Arial"/>
                <w:color w:val="FF0000"/>
                <w:sz w:val="21"/>
                <w:szCs w:val="21"/>
              </w:rPr>
            </w:pPr>
          </w:p>
        </w:tc>
        <w:tc>
          <w:tcPr>
            <w:tcW w:w="217" w:type="dxa"/>
          </w:tcPr>
          <w:p w14:paraId="24CA4781" w14:textId="77777777" w:rsidR="002C0FD9" w:rsidRPr="00CA25CF" w:rsidRDefault="002C0FD9" w:rsidP="00CA25CF">
            <w:pPr>
              <w:rPr>
                <w:rFonts w:cs="Arial"/>
                <w:color w:val="FF0000"/>
                <w:sz w:val="21"/>
                <w:szCs w:val="21"/>
              </w:rPr>
            </w:pPr>
          </w:p>
        </w:tc>
        <w:tc>
          <w:tcPr>
            <w:tcW w:w="217" w:type="dxa"/>
          </w:tcPr>
          <w:p w14:paraId="7F25EBFD" w14:textId="77777777" w:rsidR="002C0FD9" w:rsidRPr="00CA25CF" w:rsidRDefault="002C0FD9" w:rsidP="00CA25CF">
            <w:pPr>
              <w:rPr>
                <w:rFonts w:cs="Arial"/>
                <w:color w:val="FF0000"/>
                <w:sz w:val="21"/>
                <w:szCs w:val="21"/>
              </w:rPr>
            </w:pPr>
          </w:p>
        </w:tc>
        <w:tc>
          <w:tcPr>
            <w:tcW w:w="217" w:type="dxa"/>
          </w:tcPr>
          <w:p w14:paraId="6CDB37BA" w14:textId="77777777" w:rsidR="002C0FD9" w:rsidRPr="00CA25CF" w:rsidRDefault="002C0FD9" w:rsidP="00CA25CF">
            <w:pPr>
              <w:rPr>
                <w:rFonts w:cs="Arial"/>
                <w:color w:val="FF0000"/>
                <w:sz w:val="21"/>
                <w:szCs w:val="21"/>
              </w:rPr>
            </w:pPr>
          </w:p>
        </w:tc>
        <w:tc>
          <w:tcPr>
            <w:tcW w:w="217" w:type="dxa"/>
          </w:tcPr>
          <w:p w14:paraId="30F5CD49" w14:textId="77777777" w:rsidR="002C0FD9" w:rsidRPr="00CA25CF" w:rsidRDefault="002C0FD9" w:rsidP="00CA25CF">
            <w:pPr>
              <w:rPr>
                <w:rFonts w:cs="Arial"/>
                <w:color w:val="FF0000"/>
                <w:sz w:val="21"/>
                <w:szCs w:val="21"/>
              </w:rPr>
            </w:pPr>
          </w:p>
        </w:tc>
        <w:tc>
          <w:tcPr>
            <w:tcW w:w="217" w:type="dxa"/>
          </w:tcPr>
          <w:p w14:paraId="60D146F4" w14:textId="77777777" w:rsidR="002C0FD9" w:rsidRPr="00CA25CF" w:rsidRDefault="002C0FD9" w:rsidP="00CA25CF">
            <w:pPr>
              <w:rPr>
                <w:rFonts w:cs="Arial"/>
                <w:color w:val="FF0000"/>
                <w:sz w:val="21"/>
                <w:szCs w:val="21"/>
              </w:rPr>
            </w:pPr>
          </w:p>
        </w:tc>
        <w:tc>
          <w:tcPr>
            <w:tcW w:w="217" w:type="dxa"/>
          </w:tcPr>
          <w:p w14:paraId="579BEBE3" w14:textId="77777777" w:rsidR="002C0FD9" w:rsidRPr="00CA25CF" w:rsidRDefault="002C0FD9" w:rsidP="00CA25CF">
            <w:pPr>
              <w:rPr>
                <w:rFonts w:cs="Arial"/>
                <w:color w:val="FF0000"/>
                <w:sz w:val="21"/>
                <w:szCs w:val="21"/>
              </w:rPr>
            </w:pPr>
          </w:p>
        </w:tc>
        <w:tc>
          <w:tcPr>
            <w:tcW w:w="217" w:type="dxa"/>
          </w:tcPr>
          <w:p w14:paraId="13B536DD" w14:textId="77777777" w:rsidR="002C0FD9" w:rsidRPr="00CA25CF" w:rsidRDefault="002C0FD9" w:rsidP="00CA25CF">
            <w:pPr>
              <w:rPr>
                <w:rFonts w:cs="Arial"/>
                <w:color w:val="FF0000"/>
                <w:sz w:val="21"/>
                <w:szCs w:val="21"/>
              </w:rPr>
            </w:pPr>
          </w:p>
        </w:tc>
        <w:tc>
          <w:tcPr>
            <w:tcW w:w="217" w:type="dxa"/>
          </w:tcPr>
          <w:p w14:paraId="2A067622" w14:textId="77777777" w:rsidR="002C0FD9" w:rsidRPr="00CA25CF" w:rsidRDefault="002C0FD9" w:rsidP="00CA25CF">
            <w:pPr>
              <w:rPr>
                <w:rFonts w:cs="Arial"/>
                <w:color w:val="FF0000"/>
                <w:sz w:val="21"/>
                <w:szCs w:val="21"/>
              </w:rPr>
            </w:pPr>
          </w:p>
        </w:tc>
        <w:tc>
          <w:tcPr>
            <w:tcW w:w="217" w:type="dxa"/>
          </w:tcPr>
          <w:p w14:paraId="54EEB285" w14:textId="77777777" w:rsidR="002C0FD9" w:rsidRPr="00CA25CF" w:rsidRDefault="002C0FD9" w:rsidP="00CA25CF">
            <w:pPr>
              <w:rPr>
                <w:rFonts w:cs="Arial"/>
                <w:color w:val="FF0000"/>
                <w:sz w:val="21"/>
                <w:szCs w:val="21"/>
              </w:rPr>
            </w:pPr>
          </w:p>
        </w:tc>
        <w:tc>
          <w:tcPr>
            <w:tcW w:w="217" w:type="dxa"/>
          </w:tcPr>
          <w:p w14:paraId="64436CAF" w14:textId="77777777" w:rsidR="002C0FD9" w:rsidRPr="00CA25CF" w:rsidRDefault="002C0FD9" w:rsidP="00CA25CF">
            <w:pPr>
              <w:rPr>
                <w:rFonts w:cs="Arial"/>
                <w:color w:val="FF0000"/>
                <w:sz w:val="21"/>
                <w:szCs w:val="21"/>
              </w:rPr>
            </w:pPr>
          </w:p>
        </w:tc>
        <w:tc>
          <w:tcPr>
            <w:tcW w:w="217" w:type="dxa"/>
          </w:tcPr>
          <w:p w14:paraId="09AD63A6" w14:textId="77777777" w:rsidR="002C0FD9" w:rsidRPr="00CA25CF" w:rsidRDefault="002C0FD9" w:rsidP="00CA25CF">
            <w:pPr>
              <w:rPr>
                <w:rFonts w:cs="Arial"/>
                <w:color w:val="FF0000"/>
                <w:sz w:val="21"/>
                <w:szCs w:val="21"/>
              </w:rPr>
            </w:pPr>
          </w:p>
        </w:tc>
        <w:tc>
          <w:tcPr>
            <w:tcW w:w="217" w:type="dxa"/>
          </w:tcPr>
          <w:p w14:paraId="5BD48443" w14:textId="77777777" w:rsidR="002C0FD9" w:rsidRPr="00CA25CF" w:rsidRDefault="002C0FD9" w:rsidP="00CA25CF">
            <w:pPr>
              <w:rPr>
                <w:rFonts w:cs="Arial"/>
                <w:color w:val="FF0000"/>
                <w:sz w:val="21"/>
                <w:szCs w:val="21"/>
              </w:rPr>
            </w:pPr>
          </w:p>
        </w:tc>
        <w:tc>
          <w:tcPr>
            <w:tcW w:w="217" w:type="dxa"/>
          </w:tcPr>
          <w:p w14:paraId="02E2D795" w14:textId="77777777" w:rsidR="002C0FD9" w:rsidRPr="00CA25CF" w:rsidRDefault="002C0FD9" w:rsidP="00CA25CF">
            <w:pPr>
              <w:rPr>
                <w:rFonts w:cs="Arial"/>
                <w:color w:val="FF0000"/>
                <w:sz w:val="21"/>
                <w:szCs w:val="21"/>
              </w:rPr>
            </w:pPr>
          </w:p>
        </w:tc>
        <w:tc>
          <w:tcPr>
            <w:tcW w:w="217" w:type="dxa"/>
          </w:tcPr>
          <w:p w14:paraId="53752F6B" w14:textId="77777777" w:rsidR="002C0FD9" w:rsidRPr="00CA25CF" w:rsidRDefault="002C0FD9" w:rsidP="00CA25CF">
            <w:pPr>
              <w:rPr>
                <w:rFonts w:cs="Arial"/>
                <w:color w:val="FF0000"/>
                <w:sz w:val="21"/>
                <w:szCs w:val="21"/>
              </w:rPr>
            </w:pPr>
          </w:p>
        </w:tc>
        <w:tc>
          <w:tcPr>
            <w:tcW w:w="217" w:type="dxa"/>
          </w:tcPr>
          <w:p w14:paraId="51A8EFDE" w14:textId="77777777" w:rsidR="002C0FD9" w:rsidRPr="00CA25CF" w:rsidRDefault="002C0FD9" w:rsidP="00CA25CF">
            <w:pPr>
              <w:rPr>
                <w:rFonts w:cs="Arial"/>
                <w:color w:val="FF0000"/>
                <w:sz w:val="21"/>
                <w:szCs w:val="21"/>
              </w:rPr>
            </w:pPr>
          </w:p>
        </w:tc>
        <w:tc>
          <w:tcPr>
            <w:tcW w:w="217" w:type="dxa"/>
          </w:tcPr>
          <w:p w14:paraId="5906F9E1" w14:textId="77777777" w:rsidR="002C0FD9" w:rsidRPr="00CA25CF" w:rsidRDefault="002C0FD9" w:rsidP="00CA25CF">
            <w:pPr>
              <w:rPr>
                <w:rFonts w:cs="Arial"/>
                <w:color w:val="FF0000"/>
                <w:sz w:val="21"/>
                <w:szCs w:val="21"/>
              </w:rPr>
            </w:pPr>
          </w:p>
        </w:tc>
        <w:tc>
          <w:tcPr>
            <w:tcW w:w="217" w:type="dxa"/>
          </w:tcPr>
          <w:p w14:paraId="7BAD0B98" w14:textId="77777777" w:rsidR="002C0FD9" w:rsidRPr="00CA25CF" w:rsidRDefault="002C0FD9" w:rsidP="00CA25CF">
            <w:pPr>
              <w:rPr>
                <w:rFonts w:cs="Arial"/>
                <w:color w:val="FF0000"/>
                <w:sz w:val="21"/>
                <w:szCs w:val="21"/>
              </w:rPr>
            </w:pPr>
          </w:p>
        </w:tc>
        <w:tc>
          <w:tcPr>
            <w:tcW w:w="217" w:type="dxa"/>
          </w:tcPr>
          <w:p w14:paraId="38A2C4C6" w14:textId="77777777" w:rsidR="002C0FD9" w:rsidRPr="00CA25CF" w:rsidRDefault="002C0FD9" w:rsidP="00CA25CF">
            <w:pPr>
              <w:rPr>
                <w:rFonts w:cs="Arial"/>
                <w:color w:val="FF0000"/>
                <w:sz w:val="21"/>
                <w:szCs w:val="21"/>
              </w:rPr>
            </w:pPr>
          </w:p>
        </w:tc>
        <w:tc>
          <w:tcPr>
            <w:tcW w:w="217" w:type="dxa"/>
          </w:tcPr>
          <w:p w14:paraId="5763B1D3" w14:textId="77777777" w:rsidR="002C0FD9" w:rsidRPr="00CA25CF" w:rsidRDefault="002C0FD9" w:rsidP="00CA25CF">
            <w:pPr>
              <w:rPr>
                <w:rFonts w:cs="Arial"/>
                <w:color w:val="FF0000"/>
                <w:sz w:val="21"/>
                <w:szCs w:val="21"/>
              </w:rPr>
            </w:pPr>
          </w:p>
        </w:tc>
        <w:tc>
          <w:tcPr>
            <w:tcW w:w="217" w:type="dxa"/>
          </w:tcPr>
          <w:p w14:paraId="26A9D9F3" w14:textId="77777777" w:rsidR="002C0FD9" w:rsidRPr="00CA25CF" w:rsidRDefault="002C0FD9" w:rsidP="00CA25CF">
            <w:pPr>
              <w:rPr>
                <w:rFonts w:cs="Arial"/>
                <w:color w:val="FF0000"/>
                <w:sz w:val="21"/>
                <w:szCs w:val="21"/>
              </w:rPr>
            </w:pPr>
          </w:p>
        </w:tc>
        <w:tc>
          <w:tcPr>
            <w:tcW w:w="217" w:type="dxa"/>
          </w:tcPr>
          <w:p w14:paraId="5D1B0123" w14:textId="77777777" w:rsidR="002C0FD9" w:rsidRPr="00CA25CF" w:rsidRDefault="002C0FD9" w:rsidP="00CA25CF">
            <w:pPr>
              <w:rPr>
                <w:rFonts w:cs="Arial"/>
                <w:color w:val="FF0000"/>
                <w:sz w:val="21"/>
                <w:szCs w:val="21"/>
              </w:rPr>
            </w:pPr>
          </w:p>
        </w:tc>
      </w:tr>
      <w:tr w:rsidR="002C0FD9" w:rsidRPr="00A16219" w14:paraId="58629FBA" w14:textId="4FA9E860" w:rsidTr="002C0FD9">
        <w:trPr>
          <w:trHeight w:val="635"/>
        </w:trPr>
        <w:tc>
          <w:tcPr>
            <w:tcW w:w="515" w:type="dxa"/>
          </w:tcPr>
          <w:p w14:paraId="22A0A946" w14:textId="77777777" w:rsidR="002C0FD9" w:rsidRPr="00CA25CF" w:rsidRDefault="002C0FD9" w:rsidP="00CA25CF">
            <w:pPr>
              <w:rPr>
                <w:rFonts w:cs="Arial"/>
                <w:color w:val="FF0000"/>
                <w:sz w:val="21"/>
                <w:szCs w:val="21"/>
              </w:rPr>
            </w:pPr>
          </w:p>
        </w:tc>
        <w:tc>
          <w:tcPr>
            <w:tcW w:w="217" w:type="dxa"/>
          </w:tcPr>
          <w:p w14:paraId="0010EFCD" w14:textId="77777777" w:rsidR="002C0FD9" w:rsidRPr="00CA25CF" w:rsidRDefault="002C0FD9" w:rsidP="00CA25CF">
            <w:pPr>
              <w:rPr>
                <w:rFonts w:cs="Arial"/>
                <w:color w:val="FF0000"/>
                <w:sz w:val="21"/>
                <w:szCs w:val="21"/>
              </w:rPr>
            </w:pPr>
          </w:p>
        </w:tc>
        <w:tc>
          <w:tcPr>
            <w:tcW w:w="217" w:type="dxa"/>
          </w:tcPr>
          <w:p w14:paraId="088AAA71" w14:textId="44B57331" w:rsidR="002C0FD9" w:rsidRPr="00CA25CF" w:rsidRDefault="002C0FD9" w:rsidP="00CA25CF">
            <w:pPr>
              <w:rPr>
                <w:rFonts w:cs="Arial"/>
                <w:color w:val="FF0000"/>
                <w:sz w:val="21"/>
                <w:szCs w:val="21"/>
              </w:rPr>
            </w:pPr>
          </w:p>
        </w:tc>
        <w:tc>
          <w:tcPr>
            <w:tcW w:w="217" w:type="dxa"/>
          </w:tcPr>
          <w:p w14:paraId="4AB95384" w14:textId="77777777" w:rsidR="002C0FD9" w:rsidRPr="00CA25CF" w:rsidRDefault="002C0FD9" w:rsidP="00CA25CF">
            <w:pPr>
              <w:rPr>
                <w:rFonts w:cs="Arial"/>
                <w:color w:val="FF0000"/>
                <w:sz w:val="21"/>
                <w:szCs w:val="21"/>
              </w:rPr>
            </w:pPr>
          </w:p>
        </w:tc>
        <w:tc>
          <w:tcPr>
            <w:tcW w:w="217" w:type="dxa"/>
          </w:tcPr>
          <w:p w14:paraId="42C5DE12" w14:textId="77777777" w:rsidR="002C0FD9" w:rsidRPr="00CA25CF" w:rsidRDefault="002C0FD9" w:rsidP="00CA25CF">
            <w:pPr>
              <w:rPr>
                <w:rFonts w:cs="Arial"/>
                <w:color w:val="FF0000"/>
                <w:sz w:val="21"/>
                <w:szCs w:val="21"/>
              </w:rPr>
            </w:pPr>
          </w:p>
        </w:tc>
        <w:tc>
          <w:tcPr>
            <w:tcW w:w="217" w:type="dxa"/>
          </w:tcPr>
          <w:p w14:paraId="3BE540B1" w14:textId="77777777" w:rsidR="002C0FD9" w:rsidRPr="00CA25CF" w:rsidRDefault="002C0FD9" w:rsidP="00CA25CF">
            <w:pPr>
              <w:rPr>
                <w:rFonts w:cs="Arial"/>
                <w:color w:val="FF0000"/>
                <w:sz w:val="21"/>
                <w:szCs w:val="21"/>
              </w:rPr>
            </w:pPr>
          </w:p>
        </w:tc>
        <w:tc>
          <w:tcPr>
            <w:tcW w:w="217" w:type="dxa"/>
          </w:tcPr>
          <w:p w14:paraId="64EF8C35" w14:textId="77777777" w:rsidR="002C0FD9" w:rsidRPr="00CA25CF" w:rsidRDefault="002C0FD9" w:rsidP="00CA25CF">
            <w:pPr>
              <w:rPr>
                <w:rFonts w:cs="Arial"/>
                <w:color w:val="FF0000"/>
                <w:sz w:val="21"/>
                <w:szCs w:val="21"/>
              </w:rPr>
            </w:pPr>
          </w:p>
        </w:tc>
        <w:tc>
          <w:tcPr>
            <w:tcW w:w="217" w:type="dxa"/>
          </w:tcPr>
          <w:p w14:paraId="54E2B926" w14:textId="77777777" w:rsidR="002C0FD9" w:rsidRPr="00CA25CF" w:rsidRDefault="002C0FD9" w:rsidP="00CA25CF">
            <w:pPr>
              <w:rPr>
                <w:rFonts w:cs="Arial"/>
                <w:color w:val="FF0000"/>
                <w:sz w:val="21"/>
                <w:szCs w:val="21"/>
              </w:rPr>
            </w:pPr>
          </w:p>
        </w:tc>
        <w:tc>
          <w:tcPr>
            <w:tcW w:w="217" w:type="dxa"/>
          </w:tcPr>
          <w:p w14:paraId="18E5D63A" w14:textId="77777777" w:rsidR="002C0FD9" w:rsidRPr="00CA25CF" w:rsidRDefault="002C0FD9" w:rsidP="00CA25CF">
            <w:pPr>
              <w:rPr>
                <w:rFonts w:cs="Arial"/>
                <w:color w:val="FF0000"/>
                <w:sz w:val="21"/>
                <w:szCs w:val="21"/>
              </w:rPr>
            </w:pPr>
          </w:p>
        </w:tc>
        <w:tc>
          <w:tcPr>
            <w:tcW w:w="217" w:type="dxa"/>
          </w:tcPr>
          <w:p w14:paraId="4458265E" w14:textId="77777777" w:rsidR="002C0FD9" w:rsidRPr="00CA25CF" w:rsidRDefault="002C0FD9" w:rsidP="00CA25CF">
            <w:pPr>
              <w:rPr>
                <w:rFonts w:cs="Arial"/>
                <w:color w:val="FF0000"/>
                <w:sz w:val="21"/>
                <w:szCs w:val="21"/>
              </w:rPr>
            </w:pPr>
          </w:p>
        </w:tc>
        <w:tc>
          <w:tcPr>
            <w:tcW w:w="217" w:type="dxa"/>
          </w:tcPr>
          <w:p w14:paraId="04C4BFF1" w14:textId="77777777" w:rsidR="002C0FD9" w:rsidRPr="00CA25CF" w:rsidRDefault="002C0FD9" w:rsidP="00CA25CF">
            <w:pPr>
              <w:rPr>
                <w:rFonts w:cs="Arial"/>
                <w:color w:val="FF0000"/>
                <w:sz w:val="21"/>
                <w:szCs w:val="21"/>
              </w:rPr>
            </w:pPr>
          </w:p>
        </w:tc>
        <w:tc>
          <w:tcPr>
            <w:tcW w:w="217" w:type="dxa"/>
          </w:tcPr>
          <w:p w14:paraId="0B042139" w14:textId="77777777" w:rsidR="002C0FD9" w:rsidRPr="00CA25CF" w:rsidRDefault="002C0FD9" w:rsidP="00CA25CF">
            <w:pPr>
              <w:rPr>
                <w:rFonts w:cs="Arial"/>
                <w:color w:val="FF0000"/>
                <w:sz w:val="21"/>
                <w:szCs w:val="21"/>
              </w:rPr>
            </w:pPr>
          </w:p>
        </w:tc>
        <w:tc>
          <w:tcPr>
            <w:tcW w:w="217" w:type="dxa"/>
          </w:tcPr>
          <w:p w14:paraId="387B42AD" w14:textId="77777777" w:rsidR="002C0FD9" w:rsidRPr="00CA25CF" w:rsidRDefault="002C0FD9" w:rsidP="00CA25CF">
            <w:pPr>
              <w:rPr>
                <w:rFonts w:cs="Arial"/>
                <w:color w:val="FF0000"/>
                <w:sz w:val="21"/>
                <w:szCs w:val="21"/>
              </w:rPr>
            </w:pPr>
          </w:p>
        </w:tc>
        <w:tc>
          <w:tcPr>
            <w:tcW w:w="217" w:type="dxa"/>
          </w:tcPr>
          <w:p w14:paraId="6BB9BED0" w14:textId="77777777" w:rsidR="002C0FD9" w:rsidRPr="00CA25CF" w:rsidRDefault="002C0FD9" w:rsidP="00CA25CF">
            <w:pPr>
              <w:rPr>
                <w:rFonts w:cs="Arial"/>
                <w:color w:val="FF0000"/>
                <w:sz w:val="21"/>
                <w:szCs w:val="21"/>
              </w:rPr>
            </w:pPr>
          </w:p>
        </w:tc>
        <w:tc>
          <w:tcPr>
            <w:tcW w:w="217" w:type="dxa"/>
          </w:tcPr>
          <w:p w14:paraId="4FDA14D8" w14:textId="77777777" w:rsidR="002C0FD9" w:rsidRPr="00CA25CF" w:rsidRDefault="002C0FD9" w:rsidP="00CA25CF">
            <w:pPr>
              <w:rPr>
                <w:rFonts w:cs="Arial"/>
                <w:color w:val="FF0000"/>
                <w:sz w:val="21"/>
                <w:szCs w:val="21"/>
              </w:rPr>
            </w:pPr>
          </w:p>
        </w:tc>
        <w:tc>
          <w:tcPr>
            <w:tcW w:w="217" w:type="dxa"/>
          </w:tcPr>
          <w:p w14:paraId="7C5E6FDE" w14:textId="77777777" w:rsidR="002C0FD9" w:rsidRPr="00CA25CF" w:rsidRDefault="002C0FD9" w:rsidP="00CA25CF">
            <w:pPr>
              <w:rPr>
                <w:rFonts w:cs="Arial"/>
                <w:color w:val="FF0000"/>
                <w:sz w:val="21"/>
                <w:szCs w:val="21"/>
              </w:rPr>
            </w:pPr>
          </w:p>
        </w:tc>
        <w:tc>
          <w:tcPr>
            <w:tcW w:w="217" w:type="dxa"/>
          </w:tcPr>
          <w:p w14:paraId="4DF689D7" w14:textId="77777777" w:rsidR="002C0FD9" w:rsidRPr="00CA25CF" w:rsidRDefault="002C0FD9" w:rsidP="00CA25CF">
            <w:pPr>
              <w:rPr>
                <w:rFonts w:cs="Arial"/>
                <w:color w:val="FF0000"/>
                <w:sz w:val="21"/>
                <w:szCs w:val="21"/>
              </w:rPr>
            </w:pPr>
          </w:p>
        </w:tc>
        <w:tc>
          <w:tcPr>
            <w:tcW w:w="217" w:type="dxa"/>
          </w:tcPr>
          <w:p w14:paraId="0612D00E" w14:textId="77777777" w:rsidR="002C0FD9" w:rsidRPr="00CA25CF" w:rsidRDefault="002C0FD9" w:rsidP="00CA25CF">
            <w:pPr>
              <w:rPr>
                <w:rFonts w:cs="Arial"/>
                <w:color w:val="FF0000"/>
                <w:sz w:val="21"/>
                <w:szCs w:val="21"/>
              </w:rPr>
            </w:pPr>
          </w:p>
        </w:tc>
        <w:tc>
          <w:tcPr>
            <w:tcW w:w="217" w:type="dxa"/>
          </w:tcPr>
          <w:p w14:paraId="1AC45F7D" w14:textId="77777777" w:rsidR="002C0FD9" w:rsidRPr="00CA25CF" w:rsidRDefault="002C0FD9" w:rsidP="00CA25CF">
            <w:pPr>
              <w:rPr>
                <w:rFonts w:cs="Arial"/>
                <w:color w:val="FF0000"/>
                <w:sz w:val="21"/>
                <w:szCs w:val="21"/>
              </w:rPr>
            </w:pPr>
          </w:p>
        </w:tc>
        <w:tc>
          <w:tcPr>
            <w:tcW w:w="217" w:type="dxa"/>
          </w:tcPr>
          <w:p w14:paraId="7A8FECF0" w14:textId="77777777" w:rsidR="002C0FD9" w:rsidRPr="00CA25CF" w:rsidRDefault="002C0FD9" w:rsidP="00CA25CF">
            <w:pPr>
              <w:rPr>
                <w:rFonts w:cs="Arial"/>
                <w:color w:val="FF0000"/>
                <w:sz w:val="21"/>
                <w:szCs w:val="21"/>
              </w:rPr>
            </w:pPr>
          </w:p>
        </w:tc>
        <w:tc>
          <w:tcPr>
            <w:tcW w:w="217" w:type="dxa"/>
          </w:tcPr>
          <w:p w14:paraId="7E81ABAB" w14:textId="77777777" w:rsidR="002C0FD9" w:rsidRPr="00CA25CF" w:rsidRDefault="002C0FD9" w:rsidP="00CA25CF">
            <w:pPr>
              <w:rPr>
                <w:rFonts w:cs="Arial"/>
                <w:color w:val="FF0000"/>
                <w:sz w:val="21"/>
                <w:szCs w:val="21"/>
              </w:rPr>
            </w:pPr>
          </w:p>
        </w:tc>
        <w:tc>
          <w:tcPr>
            <w:tcW w:w="217" w:type="dxa"/>
          </w:tcPr>
          <w:p w14:paraId="4FA3C252" w14:textId="77777777" w:rsidR="002C0FD9" w:rsidRPr="00CA25CF" w:rsidRDefault="002C0FD9" w:rsidP="00CA25CF">
            <w:pPr>
              <w:rPr>
                <w:rFonts w:cs="Arial"/>
                <w:color w:val="FF0000"/>
                <w:sz w:val="21"/>
                <w:szCs w:val="21"/>
              </w:rPr>
            </w:pPr>
          </w:p>
        </w:tc>
        <w:tc>
          <w:tcPr>
            <w:tcW w:w="217" w:type="dxa"/>
          </w:tcPr>
          <w:p w14:paraId="44448C0F" w14:textId="77777777" w:rsidR="002C0FD9" w:rsidRPr="00CA25CF" w:rsidRDefault="002C0FD9" w:rsidP="00CA25CF">
            <w:pPr>
              <w:rPr>
                <w:rFonts w:cs="Arial"/>
                <w:color w:val="FF0000"/>
                <w:sz w:val="21"/>
                <w:szCs w:val="21"/>
              </w:rPr>
            </w:pPr>
          </w:p>
        </w:tc>
        <w:tc>
          <w:tcPr>
            <w:tcW w:w="217" w:type="dxa"/>
          </w:tcPr>
          <w:p w14:paraId="14BDE57B" w14:textId="77777777" w:rsidR="002C0FD9" w:rsidRPr="00CA25CF" w:rsidRDefault="002C0FD9" w:rsidP="00CA25CF">
            <w:pPr>
              <w:rPr>
                <w:rFonts w:cs="Arial"/>
                <w:color w:val="FF0000"/>
                <w:sz w:val="21"/>
                <w:szCs w:val="21"/>
              </w:rPr>
            </w:pPr>
          </w:p>
        </w:tc>
        <w:tc>
          <w:tcPr>
            <w:tcW w:w="217" w:type="dxa"/>
          </w:tcPr>
          <w:p w14:paraId="541964D7" w14:textId="77777777" w:rsidR="002C0FD9" w:rsidRPr="00CA25CF" w:rsidRDefault="002C0FD9" w:rsidP="00CA25CF">
            <w:pPr>
              <w:rPr>
                <w:rFonts w:cs="Arial"/>
                <w:color w:val="FF0000"/>
                <w:sz w:val="21"/>
                <w:szCs w:val="21"/>
              </w:rPr>
            </w:pPr>
          </w:p>
        </w:tc>
        <w:tc>
          <w:tcPr>
            <w:tcW w:w="217" w:type="dxa"/>
          </w:tcPr>
          <w:p w14:paraId="6D3E7F0B" w14:textId="77777777" w:rsidR="002C0FD9" w:rsidRPr="00CA25CF" w:rsidRDefault="002C0FD9" w:rsidP="00CA25CF">
            <w:pPr>
              <w:rPr>
                <w:rFonts w:cs="Arial"/>
                <w:color w:val="FF0000"/>
                <w:sz w:val="21"/>
                <w:szCs w:val="21"/>
              </w:rPr>
            </w:pPr>
          </w:p>
        </w:tc>
        <w:tc>
          <w:tcPr>
            <w:tcW w:w="217" w:type="dxa"/>
          </w:tcPr>
          <w:p w14:paraId="119CBB44" w14:textId="77777777" w:rsidR="002C0FD9" w:rsidRPr="00CA25CF" w:rsidRDefault="002C0FD9" w:rsidP="00CA25CF">
            <w:pPr>
              <w:rPr>
                <w:rFonts w:cs="Arial"/>
                <w:color w:val="FF0000"/>
                <w:sz w:val="21"/>
                <w:szCs w:val="21"/>
              </w:rPr>
            </w:pPr>
          </w:p>
        </w:tc>
        <w:tc>
          <w:tcPr>
            <w:tcW w:w="217" w:type="dxa"/>
          </w:tcPr>
          <w:p w14:paraId="44C8D354" w14:textId="77777777" w:rsidR="002C0FD9" w:rsidRPr="00CA25CF" w:rsidRDefault="002C0FD9" w:rsidP="00CA25CF">
            <w:pPr>
              <w:rPr>
                <w:rFonts w:cs="Arial"/>
                <w:color w:val="FF0000"/>
                <w:sz w:val="21"/>
                <w:szCs w:val="21"/>
              </w:rPr>
            </w:pPr>
          </w:p>
        </w:tc>
        <w:tc>
          <w:tcPr>
            <w:tcW w:w="217" w:type="dxa"/>
          </w:tcPr>
          <w:p w14:paraId="67601D1F" w14:textId="77777777" w:rsidR="002C0FD9" w:rsidRPr="00CA25CF" w:rsidRDefault="002C0FD9" w:rsidP="00CA25CF">
            <w:pPr>
              <w:rPr>
                <w:rFonts w:cs="Arial"/>
                <w:color w:val="FF0000"/>
                <w:sz w:val="21"/>
                <w:szCs w:val="21"/>
              </w:rPr>
            </w:pPr>
          </w:p>
        </w:tc>
        <w:tc>
          <w:tcPr>
            <w:tcW w:w="217" w:type="dxa"/>
          </w:tcPr>
          <w:p w14:paraId="6D4A25C5" w14:textId="77777777" w:rsidR="002C0FD9" w:rsidRPr="00CA25CF" w:rsidRDefault="002C0FD9" w:rsidP="00CA25CF">
            <w:pPr>
              <w:rPr>
                <w:rFonts w:cs="Arial"/>
                <w:color w:val="FF0000"/>
                <w:sz w:val="21"/>
                <w:szCs w:val="21"/>
              </w:rPr>
            </w:pPr>
          </w:p>
        </w:tc>
        <w:tc>
          <w:tcPr>
            <w:tcW w:w="217" w:type="dxa"/>
          </w:tcPr>
          <w:p w14:paraId="5097EBE7" w14:textId="77777777" w:rsidR="002C0FD9" w:rsidRPr="00CA25CF" w:rsidRDefault="002C0FD9" w:rsidP="00CA25CF">
            <w:pPr>
              <w:rPr>
                <w:rFonts w:cs="Arial"/>
                <w:color w:val="FF0000"/>
                <w:sz w:val="21"/>
                <w:szCs w:val="21"/>
              </w:rPr>
            </w:pPr>
          </w:p>
        </w:tc>
        <w:tc>
          <w:tcPr>
            <w:tcW w:w="217" w:type="dxa"/>
          </w:tcPr>
          <w:p w14:paraId="6F41E7FD" w14:textId="77777777" w:rsidR="002C0FD9" w:rsidRPr="00CA25CF" w:rsidRDefault="002C0FD9" w:rsidP="00CA25CF">
            <w:pPr>
              <w:rPr>
                <w:rFonts w:cs="Arial"/>
                <w:color w:val="FF0000"/>
                <w:sz w:val="21"/>
                <w:szCs w:val="21"/>
              </w:rPr>
            </w:pPr>
          </w:p>
        </w:tc>
        <w:tc>
          <w:tcPr>
            <w:tcW w:w="217" w:type="dxa"/>
          </w:tcPr>
          <w:p w14:paraId="4E6DC467" w14:textId="77777777" w:rsidR="002C0FD9" w:rsidRPr="00CA25CF" w:rsidRDefault="002C0FD9" w:rsidP="00CA25CF">
            <w:pPr>
              <w:rPr>
                <w:rFonts w:cs="Arial"/>
                <w:color w:val="FF0000"/>
                <w:sz w:val="21"/>
                <w:szCs w:val="21"/>
              </w:rPr>
            </w:pPr>
          </w:p>
        </w:tc>
        <w:tc>
          <w:tcPr>
            <w:tcW w:w="217" w:type="dxa"/>
          </w:tcPr>
          <w:p w14:paraId="6414880B" w14:textId="77777777" w:rsidR="002C0FD9" w:rsidRPr="00CA25CF" w:rsidRDefault="002C0FD9" w:rsidP="00CA25CF">
            <w:pPr>
              <w:rPr>
                <w:rFonts w:cs="Arial"/>
                <w:color w:val="FF0000"/>
                <w:sz w:val="21"/>
                <w:szCs w:val="21"/>
              </w:rPr>
            </w:pPr>
          </w:p>
        </w:tc>
        <w:tc>
          <w:tcPr>
            <w:tcW w:w="217" w:type="dxa"/>
          </w:tcPr>
          <w:p w14:paraId="02B40C08" w14:textId="77777777" w:rsidR="002C0FD9" w:rsidRPr="00CA25CF" w:rsidRDefault="002C0FD9" w:rsidP="00CA25CF">
            <w:pPr>
              <w:rPr>
                <w:rFonts w:cs="Arial"/>
                <w:color w:val="FF0000"/>
                <w:sz w:val="21"/>
                <w:szCs w:val="21"/>
              </w:rPr>
            </w:pPr>
          </w:p>
        </w:tc>
        <w:tc>
          <w:tcPr>
            <w:tcW w:w="217" w:type="dxa"/>
          </w:tcPr>
          <w:p w14:paraId="503E2FF3" w14:textId="77777777" w:rsidR="002C0FD9" w:rsidRPr="00CA25CF" w:rsidRDefault="002C0FD9" w:rsidP="00CA25CF">
            <w:pPr>
              <w:rPr>
                <w:rFonts w:cs="Arial"/>
                <w:color w:val="FF0000"/>
                <w:sz w:val="21"/>
                <w:szCs w:val="21"/>
              </w:rPr>
            </w:pPr>
          </w:p>
        </w:tc>
        <w:tc>
          <w:tcPr>
            <w:tcW w:w="217" w:type="dxa"/>
          </w:tcPr>
          <w:p w14:paraId="7CC25B16" w14:textId="77777777" w:rsidR="002C0FD9" w:rsidRPr="00CA25CF" w:rsidRDefault="002C0FD9" w:rsidP="00CA25CF">
            <w:pPr>
              <w:rPr>
                <w:rFonts w:cs="Arial"/>
                <w:color w:val="FF0000"/>
                <w:sz w:val="21"/>
                <w:szCs w:val="21"/>
              </w:rPr>
            </w:pPr>
          </w:p>
        </w:tc>
        <w:tc>
          <w:tcPr>
            <w:tcW w:w="217" w:type="dxa"/>
          </w:tcPr>
          <w:p w14:paraId="472D5BB8" w14:textId="77777777" w:rsidR="002C0FD9" w:rsidRPr="00CA25CF" w:rsidRDefault="002C0FD9" w:rsidP="00CA25CF">
            <w:pPr>
              <w:rPr>
                <w:rFonts w:cs="Arial"/>
                <w:color w:val="FF0000"/>
                <w:sz w:val="21"/>
                <w:szCs w:val="21"/>
              </w:rPr>
            </w:pPr>
          </w:p>
        </w:tc>
        <w:tc>
          <w:tcPr>
            <w:tcW w:w="217" w:type="dxa"/>
          </w:tcPr>
          <w:p w14:paraId="32247DEF" w14:textId="77777777" w:rsidR="002C0FD9" w:rsidRPr="00CA25CF" w:rsidRDefault="002C0FD9" w:rsidP="00CA25CF">
            <w:pPr>
              <w:rPr>
                <w:rFonts w:cs="Arial"/>
                <w:color w:val="FF0000"/>
                <w:sz w:val="21"/>
                <w:szCs w:val="21"/>
              </w:rPr>
            </w:pPr>
          </w:p>
        </w:tc>
        <w:tc>
          <w:tcPr>
            <w:tcW w:w="217" w:type="dxa"/>
          </w:tcPr>
          <w:p w14:paraId="3CFFF65E" w14:textId="77777777" w:rsidR="002C0FD9" w:rsidRPr="00CA25CF" w:rsidRDefault="002C0FD9" w:rsidP="00CA25CF">
            <w:pPr>
              <w:rPr>
                <w:rFonts w:cs="Arial"/>
                <w:color w:val="FF0000"/>
                <w:sz w:val="21"/>
                <w:szCs w:val="21"/>
              </w:rPr>
            </w:pPr>
          </w:p>
        </w:tc>
        <w:tc>
          <w:tcPr>
            <w:tcW w:w="217" w:type="dxa"/>
          </w:tcPr>
          <w:p w14:paraId="429B44FF" w14:textId="77777777" w:rsidR="002C0FD9" w:rsidRPr="00CA25CF" w:rsidRDefault="002C0FD9" w:rsidP="00CA25CF">
            <w:pPr>
              <w:rPr>
                <w:rFonts w:cs="Arial"/>
                <w:color w:val="FF0000"/>
                <w:sz w:val="21"/>
                <w:szCs w:val="21"/>
              </w:rPr>
            </w:pPr>
          </w:p>
        </w:tc>
        <w:tc>
          <w:tcPr>
            <w:tcW w:w="217" w:type="dxa"/>
          </w:tcPr>
          <w:p w14:paraId="59B2C41A" w14:textId="77777777" w:rsidR="002C0FD9" w:rsidRPr="00CA25CF" w:rsidRDefault="002C0FD9" w:rsidP="00CA25CF">
            <w:pPr>
              <w:rPr>
                <w:rFonts w:cs="Arial"/>
                <w:color w:val="FF0000"/>
                <w:sz w:val="21"/>
                <w:szCs w:val="21"/>
              </w:rPr>
            </w:pPr>
          </w:p>
        </w:tc>
        <w:tc>
          <w:tcPr>
            <w:tcW w:w="217" w:type="dxa"/>
          </w:tcPr>
          <w:p w14:paraId="3A19EEA4" w14:textId="77777777" w:rsidR="002C0FD9" w:rsidRPr="00CA25CF" w:rsidRDefault="002C0FD9" w:rsidP="00CA25CF">
            <w:pPr>
              <w:rPr>
                <w:rFonts w:cs="Arial"/>
                <w:color w:val="FF0000"/>
                <w:sz w:val="21"/>
                <w:szCs w:val="21"/>
              </w:rPr>
            </w:pPr>
          </w:p>
        </w:tc>
      </w:tr>
      <w:tr w:rsidR="002C0FD9" w:rsidRPr="00A16219" w14:paraId="07E97811" w14:textId="636F9774" w:rsidTr="002C0FD9">
        <w:trPr>
          <w:trHeight w:val="635"/>
        </w:trPr>
        <w:tc>
          <w:tcPr>
            <w:tcW w:w="515" w:type="dxa"/>
          </w:tcPr>
          <w:p w14:paraId="5A96778A" w14:textId="77777777" w:rsidR="002C0FD9" w:rsidRPr="00CA25CF" w:rsidRDefault="002C0FD9" w:rsidP="00CA25CF">
            <w:pPr>
              <w:rPr>
                <w:rFonts w:cs="Arial"/>
                <w:color w:val="FF0000"/>
                <w:sz w:val="21"/>
                <w:szCs w:val="21"/>
              </w:rPr>
            </w:pPr>
          </w:p>
        </w:tc>
        <w:tc>
          <w:tcPr>
            <w:tcW w:w="217" w:type="dxa"/>
          </w:tcPr>
          <w:p w14:paraId="3CA12B83" w14:textId="77777777" w:rsidR="002C0FD9" w:rsidRPr="00CA25CF" w:rsidRDefault="002C0FD9" w:rsidP="00CA25CF">
            <w:pPr>
              <w:rPr>
                <w:rFonts w:cs="Arial"/>
                <w:color w:val="FF0000"/>
                <w:sz w:val="21"/>
                <w:szCs w:val="21"/>
              </w:rPr>
            </w:pPr>
          </w:p>
        </w:tc>
        <w:tc>
          <w:tcPr>
            <w:tcW w:w="217" w:type="dxa"/>
          </w:tcPr>
          <w:p w14:paraId="5974C239" w14:textId="32C14C84" w:rsidR="002C0FD9" w:rsidRPr="00CA25CF" w:rsidRDefault="002C0FD9" w:rsidP="00CA25CF">
            <w:pPr>
              <w:rPr>
                <w:rFonts w:cs="Arial"/>
                <w:color w:val="FF0000"/>
                <w:sz w:val="21"/>
                <w:szCs w:val="21"/>
              </w:rPr>
            </w:pPr>
          </w:p>
        </w:tc>
        <w:tc>
          <w:tcPr>
            <w:tcW w:w="217" w:type="dxa"/>
          </w:tcPr>
          <w:p w14:paraId="6F4BDD6B" w14:textId="77777777" w:rsidR="002C0FD9" w:rsidRPr="00CA25CF" w:rsidRDefault="002C0FD9" w:rsidP="00CA25CF">
            <w:pPr>
              <w:rPr>
                <w:rFonts w:cs="Arial"/>
                <w:color w:val="FF0000"/>
                <w:sz w:val="21"/>
                <w:szCs w:val="21"/>
              </w:rPr>
            </w:pPr>
          </w:p>
        </w:tc>
        <w:tc>
          <w:tcPr>
            <w:tcW w:w="217" w:type="dxa"/>
          </w:tcPr>
          <w:p w14:paraId="4C7A5478" w14:textId="77777777" w:rsidR="002C0FD9" w:rsidRPr="00CA25CF" w:rsidRDefault="002C0FD9" w:rsidP="00CA25CF">
            <w:pPr>
              <w:rPr>
                <w:rFonts w:cs="Arial"/>
                <w:color w:val="FF0000"/>
                <w:sz w:val="21"/>
                <w:szCs w:val="21"/>
              </w:rPr>
            </w:pPr>
          </w:p>
        </w:tc>
        <w:tc>
          <w:tcPr>
            <w:tcW w:w="217" w:type="dxa"/>
          </w:tcPr>
          <w:p w14:paraId="0C077084" w14:textId="77777777" w:rsidR="002C0FD9" w:rsidRPr="00CA25CF" w:rsidRDefault="002C0FD9" w:rsidP="00CA25CF">
            <w:pPr>
              <w:rPr>
                <w:rFonts w:cs="Arial"/>
                <w:color w:val="FF0000"/>
                <w:sz w:val="21"/>
                <w:szCs w:val="21"/>
              </w:rPr>
            </w:pPr>
          </w:p>
        </w:tc>
        <w:tc>
          <w:tcPr>
            <w:tcW w:w="217" w:type="dxa"/>
          </w:tcPr>
          <w:p w14:paraId="1474212B" w14:textId="77777777" w:rsidR="002C0FD9" w:rsidRPr="00CA25CF" w:rsidRDefault="002C0FD9" w:rsidP="00CA25CF">
            <w:pPr>
              <w:rPr>
                <w:rFonts w:cs="Arial"/>
                <w:color w:val="FF0000"/>
                <w:sz w:val="21"/>
                <w:szCs w:val="21"/>
              </w:rPr>
            </w:pPr>
          </w:p>
        </w:tc>
        <w:tc>
          <w:tcPr>
            <w:tcW w:w="217" w:type="dxa"/>
          </w:tcPr>
          <w:p w14:paraId="46291E5A" w14:textId="77777777" w:rsidR="002C0FD9" w:rsidRPr="00CA25CF" w:rsidRDefault="002C0FD9" w:rsidP="00CA25CF">
            <w:pPr>
              <w:rPr>
                <w:rFonts w:cs="Arial"/>
                <w:color w:val="FF0000"/>
                <w:sz w:val="21"/>
                <w:szCs w:val="21"/>
              </w:rPr>
            </w:pPr>
          </w:p>
        </w:tc>
        <w:tc>
          <w:tcPr>
            <w:tcW w:w="217" w:type="dxa"/>
          </w:tcPr>
          <w:p w14:paraId="327E3139" w14:textId="77777777" w:rsidR="002C0FD9" w:rsidRPr="00CA25CF" w:rsidRDefault="002C0FD9" w:rsidP="00CA25CF">
            <w:pPr>
              <w:rPr>
                <w:rFonts w:cs="Arial"/>
                <w:color w:val="FF0000"/>
                <w:sz w:val="21"/>
                <w:szCs w:val="21"/>
              </w:rPr>
            </w:pPr>
          </w:p>
        </w:tc>
        <w:tc>
          <w:tcPr>
            <w:tcW w:w="217" w:type="dxa"/>
          </w:tcPr>
          <w:p w14:paraId="2E3318F9" w14:textId="77777777" w:rsidR="002C0FD9" w:rsidRPr="00CA25CF" w:rsidRDefault="002C0FD9" w:rsidP="00CA25CF">
            <w:pPr>
              <w:rPr>
                <w:rFonts w:cs="Arial"/>
                <w:color w:val="FF0000"/>
                <w:sz w:val="21"/>
                <w:szCs w:val="21"/>
              </w:rPr>
            </w:pPr>
          </w:p>
        </w:tc>
        <w:tc>
          <w:tcPr>
            <w:tcW w:w="217" w:type="dxa"/>
          </w:tcPr>
          <w:p w14:paraId="7951C3F2" w14:textId="77777777" w:rsidR="002C0FD9" w:rsidRPr="00CA25CF" w:rsidRDefault="002C0FD9" w:rsidP="00CA25CF">
            <w:pPr>
              <w:rPr>
                <w:rFonts w:cs="Arial"/>
                <w:color w:val="FF0000"/>
                <w:sz w:val="21"/>
                <w:szCs w:val="21"/>
              </w:rPr>
            </w:pPr>
          </w:p>
        </w:tc>
        <w:tc>
          <w:tcPr>
            <w:tcW w:w="217" w:type="dxa"/>
          </w:tcPr>
          <w:p w14:paraId="50D723A8" w14:textId="77777777" w:rsidR="002C0FD9" w:rsidRPr="00CA25CF" w:rsidRDefault="002C0FD9" w:rsidP="00CA25CF">
            <w:pPr>
              <w:rPr>
                <w:rFonts w:cs="Arial"/>
                <w:color w:val="FF0000"/>
                <w:sz w:val="21"/>
                <w:szCs w:val="21"/>
              </w:rPr>
            </w:pPr>
          </w:p>
        </w:tc>
        <w:tc>
          <w:tcPr>
            <w:tcW w:w="217" w:type="dxa"/>
          </w:tcPr>
          <w:p w14:paraId="687FD0E6" w14:textId="77777777" w:rsidR="002C0FD9" w:rsidRPr="00CA25CF" w:rsidRDefault="002C0FD9" w:rsidP="00CA25CF">
            <w:pPr>
              <w:rPr>
                <w:rFonts w:cs="Arial"/>
                <w:color w:val="FF0000"/>
                <w:sz w:val="21"/>
                <w:szCs w:val="21"/>
              </w:rPr>
            </w:pPr>
          </w:p>
        </w:tc>
        <w:tc>
          <w:tcPr>
            <w:tcW w:w="217" w:type="dxa"/>
          </w:tcPr>
          <w:p w14:paraId="0A7E04D7" w14:textId="77777777" w:rsidR="002C0FD9" w:rsidRPr="00CA25CF" w:rsidRDefault="002C0FD9" w:rsidP="00CA25CF">
            <w:pPr>
              <w:rPr>
                <w:rFonts w:cs="Arial"/>
                <w:color w:val="FF0000"/>
                <w:sz w:val="21"/>
                <w:szCs w:val="21"/>
              </w:rPr>
            </w:pPr>
          </w:p>
        </w:tc>
        <w:tc>
          <w:tcPr>
            <w:tcW w:w="217" w:type="dxa"/>
          </w:tcPr>
          <w:p w14:paraId="1F8C5432" w14:textId="77777777" w:rsidR="002C0FD9" w:rsidRPr="00CA25CF" w:rsidRDefault="002C0FD9" w:rsidP="00CA25CF">
            <w:pPr>
              <w:rPr>
                <w:rFonts w:cs="Arial"/>
                <w:color w:val="FF0000"/>
                <w:sz w:val="21"/>
                <w:szCs w:val="21"/>
              </w:rPr>
            </w:pPr>
          </w:p>
        </w:tc>
        <w:tc>
          <w:tcPr>
            <w:tcW w:w="217" w:type="dxa"/>
          </w:tcPr>
          <w:p w14:paraId="6586BC75" w14:textId="77777777" w:rsidR="002C0FD9" w:rsidRPr="00CA25CF" w:rsidRDefault="002C0FD9" w:rsidP="00CA25CF">
            <w:pPr>
              <w:rPr>
                <w:rFonts w:cs="Arial"/>
                <w:color w:val="FF0000"/>
                <w:sz w:val="21"/>
                <w:szCs w:val="21"/>
              </w:rPr>
            </w:pPr>
          </w:p>
        </w:tc>
        <w:tc>
          <w:tcPr>
            <w:tcW w:w="217" w:type="dxa"/>
          </w:tcPr>
          <w:p w14:paraId="7CF8BA7A" w14:textId="77777777" w:rsidR="002C0FD9" w:rsidRPr="00CA25CF" w:rsidRDefault="002C0FD9" w:rsidP="00CA25CF">
            <w:pPr>
              <w:rPr>
                <w:rFonts w:cs="Arial"/>
                <w:color w:val="FF0000"/>
                <w:sz w:val="21"/>
                <w:szCs w:val="21"/>
              </w:rPr>
            </w:pPr>
          </w:p>
        </w:tc>
        <w:tc>
          <w:tcPr>
            <w:tcW w:w="217" w:type="dxa"/>
          </w:tcPr>
          <w:p w14:paraId="6D16E2B0" w14:textId="77777777" w:rsidR="002C0FD9" w:rsidRPr="00CA25CF" w:rsidRDefault="002C0FD9" w:rsidP="00CA25CF">
            <w:pPr>
              <w:rPr>
                <w:rFonts w:cs="Arial"/>
                <w:color w:val="FF0000"/>
                <w:sz w:val="21"/>
                <w:szCs w:val="21"/>
              </w:rPr>
            </w:pPr>
          </w:p>
        </w:tc>
        <w:tc>
          <w:tcPr>
            <w:tcW w:w="217" w:type="dxa"/>
          </w:tcPr>
          <w:p w14:paraId="22036A42" w14:textId="77777777" w:rsidR="002C0FD9" w:rsidRPr="00CA25CF" w:rsidRDefault="002C0FD9" w:rsidP="00CA25CF">
            <w:pPr>
              <w:rPr>
                <w:rFonts w:cs="Arial"/>
                <w:color w:val="FF0000"/>
                <w:sz w:val="21"/>
                <w:szCs w:val="21"/>
              </w:rPr>
            </w:pPr>
          </w:p>
        </w:tc>
        <w:tc>
          <w:tcPr>
            <w:tcW w:w="217" w:type="dxa"/>
          </w:tcPr>
          <w:p w14:paraId="7810243D" w14:textId="77777777" w:rsidR="002C0FD9" w:rsidRPr="00CA25CF" w:rsidRDefault="002C0FD9" w:rsidP="00CA25CF">
            <w:pPr>
              <w:rPr>
                <w:rFonts w:cs="Arial"/>
                <w:color w:val="FF0000"/>
                <w:sz w:val="21"/>
                <w:szCs w:val="21"/>
              </w:rPr>
            </w:pPr>
          </w:p>
        </w:tc>
        <w:tc>
          <w:tcPr>
            <w:tcW w:w="217" w:type="dxa"/>
          </w:tcPr>
          <w:p w14:paraId="1E4B3631" w14:textId="77777777" w:rsidR="002C0FD9" w:rsidRPr="00CA25CF" w:rsidRDefault="002C0FD9" w:rsidP="00CA25CF">
            <w:pPr>
              <w:rPr>
                <w:rFonts w:cs="Arial"/>
                <w:color w:val="FF0000"/>
                <w:sz w:val="21"/>
                <w:szCs w:val="21"/>
              </w:rPr>
            </w:pPr>
          </w:p>
        </w:tc>
        <w:tc>
          <w:tcPr>
            <w:tcW w:w="217" w:type="dxa"/>
          </w:tcPr>
          <w:p w14:paraId="466ABD35" w14:textId="77777777" w:rsidR="002C0FD9" w:rsidRPr="00CA25CF" w:rsidRDefault="002C0FD9" w:rsidP="00CA25CF">
            <w:pPr>
              <w:rPr>
                <w:rFonts w:cs="Arial"/>
                <w:color w:val="FF0000"/>
                <w:sz w:val="21"/>
                <w:szCs w:val="21"/>
              </w:rPr>
            </w:pPr>
          </w:p>
        </w:tc>
        <w:tc>
          <w:tcPr>
            <w:tcW w:w="217" w:type="dxa"/>
          </w:tcPr>
          <w:p w14:paraId="4B12236B" w14:textId="77777777" w:rsidR="002C0FD9" w:rsidRPr="00CA25CF" w:rsidRDefault="002C0FD9" w:rsidP="00CA25CF">
            <w:pPr>
              <w:rPr>
                <w:rFonts w:cs="Arial"/>
                <w:color w:val="FF0000"/>
                <w:sz w:val="21"/>
                <w:szCs w:val="21"/>
              </w:rPr>
            </w:pPr>
          </w:p>
        </w:tc>
        <w:tc>
          <w:tcPr>
            <w:tcW w:w="217" w:type="dxa"/>
          </w:tcPr>
          <w:p w14:paraId="11E59764" w14:textId="77777777" w:rsidR="002C0FD9" w:rsidRPr="00CA25CF" w:rsidRDefault="002C0FD9" w:rsidP="00CA25CF">
            <w:pPr>
              <w:rPr>
                <w:rFonts w:cs="Arial"/>
                <w:color w:val="FF0000"/>
                <w:sz w:val="21"/>
                <w:szCs w:val="21"/>
              </w:rPr>
            </w:pPr>
          </w:p>
        </w:tc>
        <w:tc>
          <w:tcPr>
            <w:tcW w:w="217" w:type="dxa"/>
          </w:tcPr>
          <w:p w14:paraId="2FED90CD" w14:textId="77777777" w:rsidR="002C0FD9" w:rsidRPr="00CA25CF" w:rsidRDefault="002C0FD9" w:rsidP="00CA25CF">
            <w:pPr>
              <w:rPr>
                <w:rFonts w:cs="Arial"/>
                <w:color w:val="FF0000"/>
                <w:sz w:val="21"/>
                <w:szCs w:val="21"/>
              </w:rPr>
            </w:pPr>
          </w:p>
        </w:tc>
        <w:tc>
          <w:tcPr>
            <w:tcW w:w="217" w:type="dxa"/>
          </w:tcPr>
          <w:p w14:paraId="47D8C829" w14:textId="77777777" w:rsidR="002C0FD9" w:rsidRPr="00CA25CF" w:rsidRDefault="002C0FD9" w:rsidP="00CA25CF">
            <w:pPr>
              <w:rPr>
                <w:rFonts w:cs="Arial"/>
                <w:color w:val="FF0000"/>
                <w:sz w:val="21"/>
                <w:szCs w:val="21"/>
              </w:rPr>
            </w:pPr>
          </w:p>
        </w:tc>
        <w:tc>
          <w:tcPr>
            <w:tcW w:w="217" w:type="dxa"/>
          </w:tcPr>
          <w:p w14:paraId="6283B5DE" w14:textId="77777777" w:rsidR="002C0FD9" w:rsidRPr="00CA25CF" w:rsidRDefault="002C0FD9" w:rsidP="00CA25CF">
            <w:pPr>
              <w:rPr>
                <w:rFonts w:cs="Arial"/>
                <w:color w:val="FF0000"/>
                <w:sz w:val="21"/>
                <w:szCs w:val="21"/>
              </w:rPr>
            </w:pPr>
          </w:p>
        </w:tc>
        <w:tc>
          <w:tcPr>
            <w:tcW w:w="217" w:type="dxa"/>
          </w:tcPr>
          <w:p w14:paraId="71E4F1D8" w14:textId="77777777" w:rsidR="002C0FD9" w:rsidRPr="00CA25CF" w:rsidRDefault="002C0FD9" w:rsidP="00CA25CF">
            <w:pPr>
              <w:rPr>
                <w:rFonts w:cs="Arial"/>
                <w:color w:val="FF0000"/>
                <w:sz w:val="21"/>
                <w:szCs w:val="21"/>
              </w:rPr>
            </w:pPr>
          </w:p>
        </w:tc>
        <w:tc>
          <w:tcPr>
            <w:tcW w:w="217" w:type="dxa"/>
          </w:tcPr>
          <w:p w14:paraId="771ED065" w14:textId="77777777" w:rsidR="002C0FD9" w:rsidRPr="00CA25CF" w:rsidRDefault="002C0FD9" w:rsidP="00CA25CF">
            <w:pPr>
              <w:rPr>
                <w:rFonts w:cs="Arial"/>
                <w:color w:val="FF0000"/>
                <w:sz w:val="21"/>
                <w:szCs w:val="21"/>
              </w:rPr>
            </w:pPr>
          </w:p>
        </w:tc>
        <w:tc>
          <w:tcPr>
            <w:tcW w:w="217" w:type="dxa"/>
          </w:tcPr>
          <w:p w14:paraId="742DA64E" w14:textId="77777777" w:rsidR="002C0FD9" w:rsidRPr="00CA25CF" w:rsidRDefault="002C0FD9" w:rsidP="00CA25CF">
            <w:pPr>
              <w:rPr>
                <w:rFonts w:cs="Arial"/>
                <w:color w:val="FF0000"/>
                <w:sz w:val="21"/>
                <w:szCs w:val="21"/>
              </w:rPr>
            </w:pPr>
          </w:p>
        </w:tc>
        <w:tc>
          <w:tcPr>
            <w:tcW w:w="217" w:type="dxa"/>
          </w:tcPr>
          <w:p w14:paraId="1651E2AB" w14:textId="77777777" w:rsidR="002C0FD9" w:rsidRPr="00CA25CF" w:rsidRDefault="002C0FD9" w:rsidP="00CA25CF">
            <w:pPr>
              <w:rPr>
                <w:rFonts w:cs="Arial"/>
                <w:color w:val="FF0000"/>
                <w:sz w:val="21"/>
                <w:szCs w:val="21"/>
              </w:rPr>
            </w:pPr>
          </w:p>
        </w:tc>
        <w:tc>
          <w:tcPr>
            <w:tcW w:w="217" w:type="dxa"/>
          </w:tcPr>
          <w:p w14:paraId="5E7175FD" w14:textId="77777777" w:rsidR="002C0FD9" w:rsidRPr="00CA25CF" w:rsidRDefault="002C0FD9" w:rsidP="00CA25CF">
            <w:pPr>
              <w:rPr>
                <w:rFonts w:cs="Arial"/>
                <w:color w:val="FF0000"/>
                <w:sz w:val="21"/>
                <w:szCs w:val="21"/>
              </w:rPr>
            </w:pPr>
          </w:p>
        </w:tc>
        <w:tc>
          <w:tcPr>
            <w:tcW w:w="217" w:type="dxa"/>
          </w:tcPr>
          <w:p w14:paraId="41C849C5" w14:textId="77777777" w:rsidR="002C0FD9" w:rsidRPr="00CA25CF" w:rsidRDefault="002C0FD9" w:rsidP="00CA25CF">
            <w:pPr>
              <w:rPr>
                <w:rFonts w:cs="Arial"/>
                <w:color w:val="FF0000"/>
                <w:sz w:val="21"/>
                <w:szCs w:val="21"/>
              </w:rPr>
            </w:pPr>
          </w:p>
        </w:tc>
        <w:tc>
          <w:tcPr>
            <w:tcW w:w="217" w:type="dxa"/>
          </w:tcPr>
          <w:p w14:paraId="3BC2E2C2" w14:textId="77777777" w:rsidR="002C0FD9" w:rsidRPr="00CA25CF" w:rsidRDefault="002C0FD9" w:rsidP="00CA25CF">
            <w:pPr>
              <w:rPr>
                <w:rFonts w:cs="Arial"/>
                <w:color w:val="FF0000"/>
                <w:sz w:val="21"/>
                <w:szCs w:val="21"/>
              </w:rPr>
            </w:pPr>
          </w:p>
        </w:tc>
        <w:tc>
          <w:tcPr>
            <w:tcW w:w="217" w:type="dxa"/>
          </w:tcPr>
          <w:p w14:paraId="3E81FE4C" w14:textId="77777777" w:rsidR="002C0FD9" w:rsidRPr="00CA25CF" w:rsidRDefault="002C0FD9" w:rsidP="00CA25CF">
            <w:pPr>
              <w:rPr>
                <w:rFonts w:cs="Arial"/>
                <w:color w:val="FF0000"/>
                <w:sz w:val="21"/>
                <w:szCs w:val="21"/>
              </w:rPr>
            </w:pPr>
          </w:p>
        </w:tc>
        <w:tc>
          <w:tcPr>
            <w:tcW w:w="217" w:type="dxa"/>
          </w:tcPr>
          <w:p w14:paraId="1C0590F0" w14:textId="77777777" w:rsidR="002C0FD9" w:rsidRPr="00CA25CF" w:rsidRDefault="002C0FD9" w:rsidP="00CA25CF">
            <w:pPr>
              <w:rPr>
                <w:rFonts w:cs="Arial"/>
                <w:color w:val="FF0000"/>
                <w:sz w:val="21"/>
                <w:szCs w:val="21"/>
              </w:rPr>
            </w:pPr>
          </w:p>
        </w:tc>
        <w:tc>
          <w:tcPr>
            <w:tcW w:w="217" w:type="dxa"/>
          </w:tcPr>
          <w:p w14:paraId="1C960D2C" w14:textId="77777777" w:rsidR="002C0FD9" w:rsidRPr="00CA25CF" w:rsidRDefault="002C0FD9" w:rsidP="00CA25CF">
            <w:pPr>
              <w:rPr>
                <w:rFonts w:cs="Arial"/>
                <w:color w:val="FF0000"/>
                <w:sz w:val="21"/>
                <w:szCs w:val="21"/>
              </w:rPr>
            </w:pPr>
          </w:p>
        </w:tc>
        <w:tc>
          <w:tcPr>
            <w:tcW w:w="217" w:type="dxa"/>
          </w:tcPr>
          <w:p w14:paraId="43841D7C" w14:textId="77777777" w:rsidR="002C0FD9" w:rsidRPr="00CA25CF" w:rsidRDefault="002C0FD9" w:rsidP="00CA25CF">
            <w:pPr>
              <w:rPr>
                <w:rFonts w:cs="Arial"/>
                <w:color w:val="FF0000"/>
                <w:sz w:val="21"/>
                <w:szCs w:val="21"/>
              </w:rPr>
            </w:pPr>
          </w:p>
        </w:tc>
        <w:tc>
          <w:tcPr>
            <w:tcW w:w="217" w:type="dxa"/>
          </w:tcPr>
          <w:p w14:paraId="3E6C0958" w14:textId="77777777" w:rsidR="002C0FD9" w:rsidRPr="00CA25CF" w:rsidRDefault="002C0FD9" w:rsidP="00CA25CF">
            <w:pPr>
              <w:rPr>
                <w:rFonts w:cs="Arial"/>
                <w:color w:val="FF0000"/>
                <w:sz w:val="21"/>
                <w:szCs w:val="21"/>
              </w:rPr>
            </w:pPr>
          </w:p>
        </w:tc>
        <w:tc>
          <w:tcPr>
            <w:tcW w:w="217" w:type="dxa"/>
          </w:tcPr>
          <w:p w14:paraId="51AF5301" w14:textId="77777777" w:rsidR="002C0FD9" w:rsidRPr="00CA25CF" w:rsidRDefault="002C0FD9" w:rsidP="00CA25CF">
            <w:pPr>
              <w:rPr>
                <w:rFonts w:cs="Arial"/>
                <w:color w:val="FF0000"/>
                <w:sz w:val="21"/>
                <w:szCs w:val="21"/>
              </w:rPr>
            </w:pPr>
          </w:p>
        </w:tc>
        <w:tc>
          <w:tcPr>
            <w:tcW w:w="217" w:type="dxa"/>
          </w:tcPr>
          <w:p w14:paraId="4E1025A1" w14:textId="77777777" w:rsidR="002C0FD9" w:rsidRPr="00CA25CF" w:rsidRDefault="002C0FD9" w:rsidP="00CA25CF">
            <w:pPr>
              <w:rPr>
                <w:rFonts w:cs="Arial"/>
                <w:color w:val="FF0000"/>
                <w:sz w:val="21"/>
                <w:szCs w:val="21"/>
              </w:rPr>
            </w:pPr>
          </w:p>
        </w:tc>
        <w:tc>
          <w:tcPr>
            <w:tcW w:w="217" w:type="dxa"/>
          </w:tcPr>
          <w:p w14:paraId="5C806A47" w14:textId="77777777" w:rsidR="002C0FD9" w:rsidRPr="00CA25CF" w:rsidRDefault="002C0FD9" w:rsidP="00CA25CF">
            <w:pPr>
              <w:rPr>
                <w:rFonts w:cs="Arial"/>
                <w:color w:val="FF0000"/>
                <w:sz w:val="21"/>
                <w:szCs w:val="21"/>
              </w:rPr>
            </w:pPr>
          </w:p>
        </w:tc>
        <w:tc>
          <w:tcPr>
            <w:tcW w:w="217" w:type="dxa"/>
          </w:tcPr>
          <w:p w14:paraId="457A08FF" w14:textId="77777777" w:rsidR="002C0FD9" w:rsidRPr="00CA25CF" w:rsidRDefault="002C0FD9" w:rsidP="00CA25CF">
            <w:pPr>
              <w:rPr>
                <w:rFonts w:cs="Arial"/>
                <w:color w:val="FF0000"/>
                <w:sz w:val="21"/>
                <w:szCs w:val="21"/>
              </w:rPr>
            </w:pPr>
          </w:p>
        </w:tc>
      </w:tr>
      <w:tr w:rsidR="002C0FD9" w:rsidRPr="00A16219" w14:paraId="5CCC3EB6" w14:textId="680EF31C" w:rsidTr="002C0FD9">
        <w:trPr>
          <w:trHeight w:val="635"/>
        </w:trPr>
        <w:tc>
          <w:tcPr>
            <w:tcW w:w="515" w:type="dxa"/>
          </w:tcPr>
          <w:p w14:paraId="22AFE78A" w14:textId="77777777" w:rsidR="002C0FD9" w:rsidRPr="00CA25CF" w:rsidRDefault="002C0FD9" w:rsidP="00CA25CF">
            <w:pPr>
              <w:rPr>
                <w:rFonts w:cs="Arial"/>
                <w:color w:val="FF0000"/>
                <w:sz w:val="21"/>
                <w:szCs w:val="21"/>
              </w:rPr>
            </w:pPr>
          </w:p>
        </w:tc>
        <w:tc>
          <w:tcPr>
            <w:tcW w:w="217" w:type="dxa"/>
          </w:tcPr>
          <w:p w14:paraId="55672864" w14:textId="77777777" w:rsidR="002C0FD9" w:rsidRPr="00CA25CF" w:rsidRDefault="002C0FD9" w:rsidP="00CA25CF">
            <w:pPr>
              <w:rPr>
                <w:rFonts w:cs="Arial"/>
                <w:color w:val="FF0000"/>
                <w:sz w:val="21"/>
                <w:szCs w:val="21"/>
              </w:rPr>
            </w:pPr>
          </w:p>
        </w:tc>
        <w:tc>
          <w:tcPr>
            <w:tcW w:w="217" w:type="dxa"/>
          </w:tcPr>
          <w:p w14:paraId="515257EC" w14:textId="4B2E9717" w:rsidR="002C0FD9" w:rsidRPr="00CA25CF" w:rsidRDefault="002C0FD9" w:rsidP="00CA25CF">
            <w:pPr>
              <w:rPr>
                <w:rFonts w:cs="Arial"/>
                <w:color w:val="FF0000"/>
                <w:sz w:val="21"/>
                <w:szCs w:val="21"/>
              </w:rPr>
            </w:pPr>
          </w:p>
        </w:tc>
        <w:tc>
          <w:tcPr>
            <w:tcW w:w="217" w:type="dxa"/>
          </w:tcPr>
          <w:p w14:paraId="5F03DAD0" w14:textId="77777777" w:rsidR="002C0FD9" w:rsidRPr="00CA25CF" w:rsidRDefault="002C0FD9" w:rsidP="00CA25CF">
            <w:pPr>
              <w:rPr>
                <w:rFonts w:cs="Arial"/>
                <w:color w:val="FF0000"/>
                <w:sz w:val="21"/>
                <w:szCs w:val="21"/>
              </w:rPr>
            </w:pPr>
          </w:p>
        </w:tc>
        <w:tc>
          <w:tcPr>
            <w:tcW w:w="217" w:type="dxa"/>
          </w:tcPr>
          <w:p w14:paraId="31EE54D9" w14:textId="77777777" w:rsidR="002C0FD9" w:rsidRPr="00CA25CF" w:rsidRDefault="002C0FD9" w:rsidP="00CA25CF">
            <w:pPr>
              <w:rPr>
                <w:rFonts w:cs="Arial"/>
                <w:color w:val="FF0000"/>
                <w:sz w:val="21"/>
                <w:szCs w:val="21"/>
              </w:rPr>
            </w:pPr>
          </w:p>
        </w:tc>
        <w:tc>
          <w:tcPr>
            <w:tcW w:w="217" w:type="dxa"/>
          </w:tcPr>
          <w:p w14:paraId="1F39E944" w14:textId="77777777" w:rsidR="002C0FD9" w:rsidRPr="00CA25CF" w:rsidRDefault="002C0FD9" w:rsidP="00CA25CF">
            <w:pPr>
              <w:rPr>
                <w:rFonts w:cs="Arial"/>
                <w:color w:val="FF0000"/>
                <w:sz w:val="21"/>
                <w:szCs w:val="21"/>
              </w:rPr>
            </w:pPr>
          </w:p>
        </w:tc>
        <w:tc>
          <w:tcPr>
            <w:tcW w:w="217" w:type="dxa"/>
          </w:tcPr>
          <w:p w14:paraId="0BB6A6C7" w14:textId="77777777" w:rsidR="002C0FD9" w:rsidRPr="00CA25CF" w:rsidRDefault="002C0FD9" w:rsidP="00CA25CF">
            <w:pPr>
              <w:rPr>
                <w:rFonts w:cs="Arial"/>
                <w:color w:val="FF0000"/>
                <w:sz w:val="21"/>
                <w:szCs w:val="21"/>
              </w:rPr>
            </w:pPr>
          </w:p>
        </w:tc>
        <w:tc>
          <w:tcPr>
            <w:tcW w:w="217" w:type="dxa"/>
          </w:tcPr>
          <w:p w14:paraId="7928E84C" w14:textId="77777777" w:rsidR="002C0FD9" w:rsidRPr="00CA25CF" w:rsidRDefault="002C0FD9" w:rsidP="00CA25CF">
            <w:pPr>
              <w:rPr>
                <w:rFonts w:cs="Arial"/>
                <w:color w:val="FF0000"/>
                <w:sz w:val="21"/>
                <w:szCs w:val="21"/>
              </w:rPr>
            </w:pPr>
          </w:p>
        </w:tc>
        <w:tc>
          <w:tcPr>
            <w:tcW w:w="217" w:type="dxa"/>
          </w:tcPr>
          <w:p w14:paraId="31649ACE" w14:textId="77777777" w:rsidR="002C0FD9" w:rsidRPr="00CA25CF" w:rsidRDefault="002C0FD9" w:rsidP="00CA25CF">
            <w:pPr>
              <w:rPr>
                <w:rFonts w:cs="Arial"/>
                <w:color w:val="FF0000"/>
                <w:sz w:val="21"/>
                <w:szCs w:val="21"/>
              </w:rPr>
            </w:pPr>
          </w:p>
        </w:tc>
        <w:tc>
          <w:tcPr>
            <w:tcW w:w="217" w:type="dxa"/>
          </w:tcPr>
          <w:p w14:paraId="7B939997" w14:textId="77777777" w:rsidR="002C0FD9" w:rsidRPr="00CA25CF" w:rsidRDefault="002C0FD9" w:rsidP="00CA25CF">
            <w:pPr>
              <w:rPr>
                <w:rFonts w:cs="Arial"/>
                <w:color w:val="FF0000"/>
                <w:sz w:val="21"/>
                <w:szCs w:val="21"/>
              </w:rPr>
            </w:pPr>
          </w:p>
        </w:tc>
        <w:tc>
          <w:tcPr>
            <w:tcW w:w="217" w:type="dxa"/>
          </w:tcPr>
          <w:p w14:paraId="68781E01" w14:textId="77777777" w:rsidR="002C0FD9" w:rsidRPr="00CA25CF" w:rsidRDefault="002C0FD9" w:rsidP="00CA25CF">
            <w:pPr>
              <w:rPr>
                <w:rFonts w:cs="Arial"/>
                <w:color w:val="FF0000"/>
                <w:sz w:val="21"/>
                <w:szCs w:val="21"/>
              </w:rPr>
            </w:pPr>
          </w:p>
        </w:tc>
        <w:tc>
          <w:tcPr>
            <w:tcW w:w="217" w:type="dxa"/>
          </w:tcPr>
          <w:p w14:paraId="6323F8A2" w14:textId="77777777" w:rsidR="002C0FD9" w:rsidRPr="00CA25CF" w:rsidRDefault="002C0FD9" w:rsidP="00CA25CF">
            <w:pPr>
              <w:rPr>
                <w:rFonts w:cs="Arial"/>
                <w:color w:val="FF0000"/>
                <w:sz w:val="21"/>
                <w:szCs w:val="21"/>
              </w:rPr>
            </w:pPr>
          </w:p>
        </w:tc>
        <w:tc>
          <w:tcPr>
            <w:tcW w:w="217" w:type="dxa"/>
          </w:tcPr>
          <w:p w14:paraId="76064ABF" w14:textId="77777777" w:rsidR="002C0FD9" w:rsidRPr="00CA25CF" w:rsidRDefault="002C0FD9" w:rsidP="00CA25CF">
            <w:pPr>
              <w:rPr>
                <w:rFonts w:cs="Arial"/>
                <w:color w:val="FF0000"/>
                <w:sz w:val="21"/>
                <w:szCs w:val="21"/>
              </w:rPr>
            </w:pPr>
          </w:p>
        </w:tc>
        <w:tc>
          <w:tcPr>
            <w:tcW w:w="217" w:type="dxa"/>
          </w:tcPr>
          <w:p w14:paraId="6A6E70CE" w14:textId="77777777" w:rsidR="002C0FD9" w:rsidRPr="00CA25CF" w:rsidRDefault="002C0FD9" w:rsidP="00CA25CF">
            <w:pPr>
              <w:rPr>
                <w:rFonts w:cs="Arial"/>
                <w:color w:val="FF0000"/>
                <w:sz w:val="21"/>
                <w:szCs w:val="21"/>
              </w:rPr>
            </w:pPr>
          </w:p>
        </w:tc>
        <w:tc>
          <w:tcPr>
            <w:tcW w:w="217" w:type="dxa"/>
          </w:tcPr>
          <w:p w14:paraId="29EA6C93" w14:textId="77777777" w:rsidR="002C0FD9" w:rsidRPr="00CA25CF" w:rsidRDefault="002C0FD9" w:rsidP="00CA25CF">
            <w:pPr>
              <w:rPr>
                <w:rFonts w:cs="Arial"/>
                <w:color w:val="FF0000"/>
                <w:sz w:val="21"/>
                <w:szCs w:val="21"/>
              </w:rPr>
            </w:pPr>
          </w:p>
        </w:tc>
        <w:tc>
          <w:tcPr>
            <w:tcW w:w="217" w:type="dxa"/>
          </w:tcPr>
          <w:p w14:paraId="2153FFCC" w14:textId="77777777" w:rsidR="002C0FD9" w:rsidRPr="00CA25CF" w:rsidRDefault="002C0FD9" w:rsidP="00CA25CF">
            <w:pPr>
              <w:rPr>
                <w:rFonts w:cs="Arial"/>
                <w:color w:val="FF0000"/>
                <w:sz w:val="21"/>
                <w:szCs w:val="21"/>
              </w:rPr>
            </w:pPr>
          </w:p>
        </w:tc>
        <w:tc>
          <w:tcPr>
            <w:tcW w:w="217" w:type="dxa"/>
          </w:tcPr>
          <w:p w14:paraId="2E88F806" w14:textId="77777777" w:rsidR="002C0FD9" w:rsidRPr="00CA25CF" w:rsidRDefault="002C0FD9" w:rsidP="00CA25CF">
            <w:pPr>
              <w:rPr>
                <w:rFonts w:cs="Arial"/>
                <w:color w:val="FF0000"/>
                <w:sz w:val="21"/>
                <w:szCs w:val="21"/>
              </w:rPr>
            </w:pPr>
          </w:p>
        </w:tc>
        <w:tc>
          <w:tcPr>
            <w:tcW w:w="217" w:type="dxa"/>
          </w:tcPr>
          <w:p w14:paraId="579FB986" w14:textId="77777777" w:rsidR="002C0FD9" w:rsidRPr="00CA25CF" w:rsidRDefault="002C0FD9" w:rsidP="00CA25CF">
            <w:pPr>
              <w:rPr>
                <w:rFonts w:cs="Arial"/>
                <w:color w:val="FF0000"/>
                <w:sz w:val="21"/>
                <w:szCs w:val="21"/>
              </w:rPr>
            </w:pPr>
          </w:p>
        </w:tc>
        <w:tc>
          <w:tcPr>
            <w:tcW w:w="217" w:type="dxa"/>
          </w:tcPr>
          <w:p w14:paraId="259D1E20" w14:textId="77777777" w:rsidR="002C0FD9" w:rsidRPr="00CA25CF" w:rsidRDefault="002C0FD9" w:rsidP="00CA25CF">
            <w:pPr>
              <w:rPr>
                <w:rFonts w:cs="Arial"/>
                <w:color w:val="FF0000"/>
                <w:sz w:val="21"/>
                <w:szCs w:val="21"/>
              </w:rPr>
            </w:pPr>
          </w:p>
        </w:tc>
        <w:tc>
          <w:tcPr>
            <w:tcW w:w="217" w:type="dxa"/>
          </w:tcPr>
          <w:p w14:paraId="1799804D" w14:textId="77777777" w:rsidR="002C0FD9" w:rsidRPr="00CA25CF" w:rsidRDefault="002C0FD9" w:rsidP="00CA25CF">
            <w:pPr>
              <w:rPr>
                <w:rFonts w:cs="Arial"/>
                <w:color w:val="FF0000"/>
                <w:sz w:val="21"/>
                <w:szCs w:val="21"/>
              </w:rPr>
            </w:pPr>
          </w:p>
        </w:tc>
        <w:tc>
          <w:tcPr>
            <w:tcW w:w="217" w:type="dxa"/>
          </w:tcPr>
          <w:p w14:paraId="76DBD92B" w14:textId="77777777" w:rsidR="002C0FD9" w:rsidRPr="00CA25CF" w:rsidRDefault="002C0FD9" w:rsidP="00CA25CF">
            <w:pPr>
              <w:rPr>
                <w:rFonts w:cs="Arial"/>
                <w:color w:val="FF0000"/>
                <w:sz w:val="21"/>
                <w:szCs w:val="21"/>
              </w:rPr>
            </w:pPr>
          </w:p>
        </w:tc>
        <w:tc>
          <w:tcPr>
            <w:tcW w:w="217" w:type="dxa"/>
          </w:tcPr>
          <w:p w14:paraId="6B274699" w14:textId="77777777" w:rsidR="002C0FD9" w:rsidRPr="00CA25CF" w:rsidRDefault="002C0FD9" w:rsidP="00CA25CF">
            <w:pPr>
              <w:rPr>
                <w:rFonts w:cs="Arial"/>
                <w:color w:val="FF0000"/>
                <w:sz w:val="21"/>
                <w:szCs w:val="21"/>
              </w:rPr>
            </w:pPr>
          </w:p>
        </w:tc>
        <w:tc>
          <w:tcPr>
            <w:tcW w:w="217" w:type="dxa"/>
          </w:tcPr>
          <w:p w14:paraId="20915915" w14:textId="77777777" w:rsidR="002C0FD9" w:rsidRPr="00CA25CF" w:rsidRDefault="002C0FD9" w:rsidP="00CA25CF">
            <w:pPr>
              <w:rPr>
                <w:rFonts w:cs="Arial"/>
                <w:color w:val="FF0000"/>
                <w:sz w:val="21"/>
                <w:szCs w:val="21"/>
              </w:rPr>
            </w:pPr>
          </w:p>
        </w:tc>
        <w:tc>
          <w:tcPr>
            <w:tcW w:w="217" w:type="dxa"/>
          </w:tcPr>
          <w:p w14:paraId="0313414A" w14:textId="77777777" w:rsidR="002C0FD9" w:rsidRPr="00CA25CF" w:rsidRDefault="002C0FD9" w:rsidP="00CA25CF">
            <w:pPr>
              <w:rPr>
                <w:rFonts w:cs="Arial"/>
                <w:color w:val="FF0000"/>
                <w:sz w:val="21"/>
                <w:szCs w:val="21"/>
              </w:rPr>
            </w:pPr>
          </w:p>
        </w:tc>
        <w:tc>
          <w:tcPr>
            <w:tcW w:w="217" w:type="dxa"/>
          </w:tcPr>
          <w:p w14:paraId="14BC7260" w14:textId="77777777" w:rsidR="002C0FD9" w:rsidRPr="00CA25CF" w:rsidRDefault="002C0FD9" w:rsidP="00CA25CF">
            <w:pPr>
              <w:rPr>
                <w:rFonts w:cs="Arial"/>
                <w:color w:val="FF0000"/>
                <w:sz w:val="21"/>
                <w:szCs w:val="21"/>
              </w:rPr>
            </w:pPr>
          </w:p>
        </w:tc>
        <w:tc>
          <w:tcPr>
            <w:tcW w:w="217" w:type="dxa"/>
          </w:tcPr>
          <w:p w14:paraId="1C7C9316" w14:textId="77777777" w:rsidR="002C0FD9" w:rsidRPr="00CA25CF" w:rsidRDefault="002C0FD9" w:rsidP="00CA25CF">
            <w:pPr>
              <w:rPr>
                <w:rFonts w:cs="Arial"/>
                <w:color w:val="FF0000"/>
                <w:sz w:val="21"/>
                <w:szCs w:val="21"/>
              </w:rPr>
            </w:pPr>
          </w:p>
        </w:tc>
        <w:tc>
          <w:tcPr>
            <w:tcW w:w="217" w:type="dxa"/>
          </w:tcPr>
          <w:p w14:paraId="72238509" w14:textId="77777777" w:rsidR="002C0FD9" w:rsidRPr="00CA25CF" w:rsidRDefault="002C0FD9" w:rsidP="00CA25CF">
            <w:pPr>
              <w:rPr>
                <w:rFonts w:cs="Arial"/>
                <w:color w:val="FF0000"/>
                <w:sz w:val="21"/>
                <w:szCs w:val="21"/>
              </w:rPr>
            </w:pPr>
          </w:p>
        </w:tc>
        <w:tc>
          <w:tcPr>
            <w:tcW w:w="217" w:type="dxa"/>
          </w:tcPr>
          <w:p w14:paraId="57B3A680" w14:textId="77777777" w:rsidR="002C0FD9" w:rsidRPr="00CA25CF" w:rsidRDefault="002C0FD9" w:rsidP="00CA25CF">
            <w:pPr>
              <w:rPr>
                <w:rFonts w:cs="Arial"/>
                <w:color w:val="FF0000"/>
                <w:sz w:val="21"/>
                <w:szCs w:val="21"/>
              </w:rPr>
            </w:pPr>
          </w:p>
        </w:tc>
        <w:tc>
          <w:tcPr>
            <w:tcW w:w="217" w:type="dxa"/>
          </w:tcPr>
          <w:p w14:paraId="22075C7C" w14:textId="77777777" w:rsidR="002C0FD9" w:rsidRPr="00CA25CF" w:rsidRDefault="002C0FD9" w:rsidP="00CA25CF">
            <w:pPr>
              <w:rPr>
                <w:rFonts w:cs="Arial"/>
                <w:color w:val="FF0000"/>
                <w:sz w:val="21"/>
                <w:szCs w:val="21"/>
              </w:rPr>
            </w:pPr>
          </w:p>
        </w:tc>
        <w:tc>
          <w:tcPr>
            <w:tcW w:w="217" w:type="dxa"/>
          </w:tcPr>
          <w:p w14:paraId="0F73CEAD" w14:textId="77777777" w:rsidR="002C0FD9" w:rsidRPr="00CA25CF" w:rsidRDefault="002C0FD9" w:rsidP="00CA25CF">
            <w:pPr>
              <w:rPr>
                <w:rFonts w:cs="Arial"/>
                <w:color w:val="FF0000"/>
                <w:sz w:val="21"/>
                <w:szCs w:val="21"/>
              </w:rPr>
            </w:pPr>
          </w:p>
        </w:tc>
        <w:tc>
          <w:tcPr>
            <w:tcW w:w="217" w:type="dxa"/>
          </w:tcPr>
          <w:p w14:paraId="68CC7D37" w14:textId="77777777" w:rsidR="002C0FD9" w:rsidRPr="00CA25CF" w:rsidRDefault="002C0FD9" w:rsidP="00CA25CF">
            <w:pPr>
              <w:rPr>
                <w:rFonts w:cs="Arial"/>
                <w:color w:val="FF0000"/>
                <w:sz w:val="21"/>
                <w:szCs w:val="21"/>
              </w:rPr>
            </w:pPr>
          </w:p>
        </w:tc>
        <w:tc>
          <w:tcPr>
            <w:tcW w:w="217" w:type="dxa"/>
          </w:tcPr>
          <w:p w14:paraId="07EC93EE" w14:textId="77777777" w:rsidR="002C0FD9" w:rsidRPr="00CA25CF" w:rsidRDefault="002C0FD9" w:rsidP="00CA25CF">
            <w:pPr>
              <w:rPr>
                <w:rFonts w:cs="Arial"/>
                <w:color w:val="FF0000"/>
                <w:sz w:val="21"/>
                <w:szCs w:val="21"/>
              </w:rPr>
            </w:pPr>
          </w:p>
        </w:tc>
        <w:tc>
          <w:tcPr>
            <w:tcW w:w="217" w:type="dxa"/>
          </w:tcPr>
          <w:p w14:paraId="19F3C8FC" w14:textId="77777777" w:rsidR="002C0FD9" w:rsidRPr="00CA25CF" w:rsidRDefault="002C0FD9" w:rsidP="00CA25CF">
            <w:pPr>
              <w:rPr>
                <w:rFonts w:cs="Arial"/>
                <w:color w:val="FF0000"/>
                <w:sz w:val="21"/>
                <w:szCs w:val="21"/>
              </w:rPr>
            </w:pPr>
          </w:p>
        </w:tc>
        <w:tc>
          <w:tcPr>
            <w:tcW w:w="217" w:type="dxa"/>
          </w:tcPr>
          <w:p w14:paraId="387235E0" w14:textId="77777777" w:rsidR="002C0FD9" w:rsidRPr="00CA25CF" w:rsidRDefault="002C0FD9" w:rsidP="00CA25CF">
            <w:pPr>
              <w:rPr>
                <w:rFonts w:cs="Arial"/>
                <w:color w:val="FF0000"/>
                <w:sz w:val="21"/>
                <w:szCs w:val="21"/>
              </w:rPr>
            </w:pPr>
          </w:p>
        </w:tc>
        <w:tc>
          <w:tcPr>
            <w:tcW w:w="217" w:type="dxa"/>
          </w:tcPr>
          <w:p w14:paraId="1089B369" w14:textId="77777777" w:rsidR="002C0FD9" w:rsidRPr="00CA25CF" w:rsidRDefault="002C0FD9" w:rsidP="00CA25CF">
            <w:pPr>
              <w:rPr>
                <w:rFonts w:cs="Arial"/>
                <w:color w:val="FF0000"/>
                <w:sz w:val="21"/>
                <w:szCs w:val="21"/>
              </w:rPr>
            </w:pPr>
          </w:p>
        </w:tc>
        <w:tc>
          <w:tcPr>
            <w:tcW w:w="217" w:type="dxa"/>
          </w:tcPr>
          <w:p w14:paraId="0DB47F3E" w14:textId="77777777" w:rsidR="002C0FD9" w:rsidRPr="00CA25CF" w:rsidRDefault="002C0FD9" w:rsidP="00CA25CF">
            <w:pPr>
              <w:rPr>
                <w:rFonts w:cs="Arial"/>
                <w:color w:val="FF0000"/>
                <w:sz w:val="21"/>
                <w:szCs w:val="21"/>
              </w:rPr>
            </w:pPr>
          </w:p>
        </w:tc>
        <w:tc>
          <w:tcPr>
            <w:tcW w:w="217" w:type="dxa"/>
          </w:tcPr>
          <w:p w14:paraId="6082148F" w14:textId="77777777" w:rsidR="002C0FD9" w:rsidRPr="00CA25CF" w:rsidRDefault="002C0FD9" w:rsidP="00CA25CF">
            <w:pPr>
              <w:rPr>
                <w:rFonts w:cs="Arial"/>
                <w:color w:val="FF0000"/>
                <w:sz w:val="21"/>
                <w:szCs w:val="21"/>
              </w:rPr>
            </w:pPr>
          </w:p>
        </w:tc>
        <w:tc>
          <w:tcPr>
            <w:tcW w:w="217" w:type="dxa"/>
          </w:tcPr>
          <w:p w14:paraId="795BA423" w14:textId="77777777" w:rsidR="002C0FD9" w:rsidRPr="00CA25CF" w:rsidRDefault="002C0FD9" w:rsidP="00CA25CF">
            <w:pPr>
              <w:rPr>
                <w:rFonts w:cs="Arial"/>
                <w:color w:val="FF0000"/>
                <w:sz w:val="21"/>
                <w:szCs w:val="21"/>
              </w:rPr>
            </w:pPr>
          </w:p>
        </w:tc>
        <w:tc>
          <w:tcPr>
            <w:tcW w:w="217" w:type="dxa"/>
          </w:tcPr>
          <w:p w14:paraId="4BB4CC06" w14:textId="77777777" w:rsidR="002C0FD9" w:rsidRPr="00CA25CF" w:rsidRDefault="002C0FD9" w:rsidP="00CA25CF">
            <w:pPr>
              <w:rPr>
                <w:rFonts w:cs="Arial"/>
                <w:color w:val="FF0000"/>
                <w:sz w:val="21"/>
                <w:szCs w:val="21"/>
              </w:rPr>
            </w:pPr>
          </w:p>
        </w:tc>
        <w:tc>
          <w:tcPr>
            <w:tcW w:w="217" w:type="dxa"/>
          </w:tcPr>
          <w:p w14:paraId="7203DF03" w14:textId="77777777" w:rsidR="002C0FD9" w:rsidRPr="00CA25CF" w:rsidRDefault="002C0FD9" w:rsidP="00CA25CF">
            <w:pPr>
              <w:rPr>
                <w:rFonts w:cs="Arial"/>
                <w:color w:val="FF0000"/>
                <w:sz w:val="21"/>
                <w:szCs w:val="21"/>
              </w:rPr>
            </w:pPr>
          </w:p>
        </w:tc>
        <w:tc>
          <w:tcPr>
            <w:tcW w:w="217" w:type="dxa"/>
          </w:tcPr>
          <w:p w14:paraId="198F7851" w14:textId="77777777" w:rsidR="002C0FD9" w:rsidRPr="00CA25CF" w:rsidRDefault="002C0FD9" w:rsidP="00CA25CF">
            <w:pPr>
              <w:rPr>
                <w:rFonts w:cs="Arial"/>
                <w:color w:val="FF0000"/>
                <w:sz w:val="21"/>
                <w:szCs w:val="21"/>
              </w:rPr>
            </w:pPr>
          </w:p>
        </w:tc>
        <w:tc>
          <w:tcPr>
            <w:tcW w:w="217" w:type="dxa"/>
          </w:tcPr>
          <w:p w14:paraId="3007896D" w14:textId="77777777" w:rsidR="002C0FD9" w:rsidRPr="00CA25CF" w:rsidRDefault="002C0FD9" w:rsidP="00CA25CF">
            <w:pPr>
              <w:rPr>
                <w:rFonts w:cs="Arial"/>
                <w:color w:val="FF0000"/>
                <w:sz w:val="21"/>
                <w:szCs w:val="21"/>
              </w:rPr>
            </w:pPr>
          </w:p>
        </w:tc>
        <w:tc>
          <w:tcPr>
            <w:tcW w:w="217" w:type="dxa"/>
          </w:tcPr>
          <w:p w14:paraId="2C2FF7CF" w14:textId="77777777" w:rsidR="002C0FD9" w:rsidRPr="00CA25CF" w:rsidRDefault="002C0FD9" w:rsidP="00CA25CF">
            <w:pPr>
              <w:rPr>
                <w:rFonts w:cs="Arial"/>
                <w:color w:val="FF0000"/>
                <w:sz w:val="21"/>
                <w:szCs w:val="21"/>
              </w:rPr>
            </w:pPr>
          </w:p>
        </w:tc>
      </w:tr>
      <w:tr w:rsidR="002C0FD9" w:rsidRPr="00A16219" w14:paraId="14753B6E" w14:textId="76CE9AE9" w:rsidTr="002C0FD9">
        <w:trPr>
          <w:trHeight w:val="635"/>
        </w:trPr>
        <w:tc>
          <w:tcPr>
            <w:tcW w:w="515" w:type="dxa"/>
          </w:tcPr>
          <w:p w14:paraId="228EB1F2" w14:textId="77777777" w:rsidR="002C0FD9" w:rsidRPr="00CA25CF" w:rsidRDefault="002C0FD9" w:rsidP="00CA25CF">
            <w:pPr>
              <w:rPr>
                <w:rFonts w:cs="Arial"/>
                <w:color w:val="FF0000"/>
                <w:sz w:val="21"/>
                <w:szCs w:val="21"/>
              </w:rPr>
            </w:pPr>
          </w:p>
        </w:tc>
        <w:tc>
          <w:tcPr>
            <w:tcW w:w="217" w:type="dxa"/>
          </w:tcPr>
          <w:p w14:paraId="73A0C24A" w14:textId="77777777" w:rsidR="002C0FD9" w:rsidRPr="00CA25CF" w:rsidRDefault="002C0FD9" w:rsidP="00CA25CF">
            <w:pPr>
              <w:rPr>
                <w:rFonts w:cs="Arial"/>
                <w:color w:val="FF0000"/>
                <w:sz w:val="21"/>
                <w:szCs w:val="21"/>
              </w:rPr>
            </w:pPr>
          </w:p>
        </w:tc>
        <w:tc>
          <w:tcPr>
            <w:tcW w:w="217" w:type="dxa"/>
          </w:tcPr>
          <w:p w14:paraId="574D64FC" w14:textId="72CB12E5" w:rsidR="002C0FD9" w:rsidRPr="00CA25CF" w:rsidRDefault="002C0FD9" w:rsidP="00CA25CF">
            <w:pPr>
              <w:rPr>
                <w:rFonts w:cs="Arial"/>
                <w:color w:val="FF0000"/>
                <w:sz w:val="21"/>
                <w:szCs w:val="21"/>
              </w:rPr>
            </w:pPr>
          </w:p>
        </w:tc>
        <w:tc>
          <w:tcPr>
            <w:tcW w:w="217" w:type="dxa"/>
          </w:tcPr>
          <w:p w14:paraId="4F27E9BE" w14:textId="77777777" w:rsidR="002C0FD9" w:rsidRPr="00CA25CF" w:rsidRDefault="002C0FD9" w:rsidP="00CA25CF">
            <w:pPr>
              <w:rPr>
                <w:rFonts w:cs="Arial"/>
                <w:color w:val="FF0000"/>
                <w:sz w:val="21"/>
                <w:szCs w:val="21"/>
              </w:rPr>
            </w:pPr>
          </w:p>
        </w:tc>
        <w:tc>
          <w:tcPr>
            <w:tcW w:w="217" w:type="dxa"/>
          </w:tcPr>
          <w:p w14:paraId="493F01D4" w14:textId="77777777" w:rsidR="002C0FD9" w:rsidRPr="00CA25CF" w:rsidRDefault="002C0FD9" w:rsidP="00CA25CF">
            <w:pPr>
              <w:rPr>
                <w:rFonts w:cs="Arial"/>
                <w:color w:val="FF0000"/>
                <w:sz w:val="21"/>
                <w:szCs w:val="21"/>
              </w:rPr>
            </w:pPr>
          </w:p>
        </w:tc>
        <w:tc>
          <w:tcPr>
            <w:tcW w:w="217" w:type="dxa"/>
          </w:tcPr>
          <w:p w14:paraId="1135F9C3" w14:textId="77777777" w:rsidR="002C0FD9" w:rsidRPr="00CA25CF" w:rsidRDefault="002C0FD9" w:rsidP="00CA25CF">
            <w:pPr>
              <w:rPr>
                <w:rFonts w:cs="Arial"/>
                <w:color w:val="FF0000"/>
                <w:sz w:val="21"/>
                <w:szCs w:val="21"/>
              </w:rPr>
            </w:pPr>
          </w:p>
        </w:tc>
        <w:tc>
          <w:tcPr>
            <w:tcW w:w="217" w:type="dxa"/>
          </w:tcPr>
          <w:p w14:paraId="5EBB55DA" w14:textId="77777777" w:rsidR="002C0FD9" w:rsidRPr="00CA25CF" w:rsidRDefault="002C0FD9" w:rsidP="00CA25CF">
            <w:pPr>
              <w:rPr>
                <w:rFonts w:cs="Arial"/>
                <w:color w:val="FF0000"/>
                <w:sz w:val="21"/>
                <w:szCs w:val="21"/>
              </w:rPr>
            </w:pPr>
          </w:p>
        </w:tc>
        <w:tc>
          <w:tcPr>
            <w:tcW w:w="217" w:type="dxa"/>
          </w:tcPr>
          <w:p w14:paraId="53D965E2" w14:textId="77777777" w:rsidR="002C0FD9" w:rsidRPr="00CA25CF" w:rsidRDefault="002C0FD9" w:rsidP="00CA25CF">
            <w:pPr>
              <w:rPr>
                <w:rFonts w:cs="Arial"/>
                <w:color w:val="FF0000"/>
                <w:sz w:val="21"/>
                <w:szCs w:val="21"/>
              </w:rPr>
            </w:pPr>
          </w:p>
        </w:tc>
        <w:tc>
          <w:tcPr>
            <w:tcW w:w="217" w:type="dxa"/>
          </w:tcPr>
          <w:p w14:paraId="56267933" w14:textId="77777777" w:rsidR="002C0FD9" w:rsidRPr="00CA25CF" w:rsidRDefault="002C0FD9" w:rsidP="00CA25CF">
            <w:pPr>
              <w:rPr>
                <w:rFonts w:cs="Arial"/>
                <w:color w:val="FF0000"/>
                <w:sz w:val="21"/>
                <w:szCs w:val="21"/>
              </w:rPr>
            </w:pPr>
          </w:p>
        </w:tc>
        <w:tc>
          <w:tcPr>
            <w:tcW w:w="217" w:type="dxa"/>
          </w:tcPr>
          <w:p w14:paraId="1D047B29" w14:textId="77777777" w:rsidR="002C0FD9" w:rsidRPr="00CA25CF" w:rsidRDefault="002C0FD9" w:rsidP="00CA25CF">
            <w:pPr>
              <w:rPr>
                <w:rFonts w:cs="Arial"/>
                <w:color w:val="FF0000"/>
                <w:sz w:val="21"/>
                <w:szCs w:val="21"/>
              </w:rPr>
            </w:pPr>
          </w:p>
        </w:tc>
        <w:tc>
          <w:tcPr>
            <w:tcW w:w="217" w:type="dxa"/>
          </w:tcPr>
          <w:p w14:paraId="4FF5A15F" w14:textId="77777777" w:rsidR="002C0FD9" w:rsidRPr="00CA25CF" w:rsidRDefault="002C0FD9" w:rsidP="00CA25CF">
            <w:pPr>
              <w:rPr>
                <w:rFonts w:cs="Arial"/>
                <w:color w:val="FF0000"/>
                <w:sz w:val="21"/>
                <w:szCs w:val="21"/>
              </w:rPr>
            </w:pPr>
          </w:p>
        </w:tc>
        <w:tc>
          <w:tcPr>
            <w:tcW w:w="217" w:type="dxa"/>
          </w:tcPr>
          <w:p w14:paraId="1D3C8C4F" w14:textId="77777777" w:rsidR="002C0FD9" w:rsidRPr="00CA25CF" w:rsidRDefault="002C0FD9" w:rsidP="00CA25CF">
            <w:pPr>
              <w:rPr>
                <w:rFonts w:cs="Arial"/>
                <w:color w:val="FF0000"/>
                <w:sz w:val="21"/>
                <w:szCs w:val="21"/>
              </w:rPr>
            </w:pPr>
          </w:p>
        </w:tc>
        <w:tc>
          <w:tcPr>
            <w:tcW w:w="217" w:type="dxa"/>
          </w:tcPr>
          <w:p w14:paraId="36DF8186" w14:textId="77777777" w:rsidR="002C0FD9" w:rsidRPr="00CA25CF" w:rsidRDefault="002C0FD9" w:rsidP="00CA25CF">
            <w:pPr>
              <w:rPr>
                <w:rFonts w:cs="Arial"/>
                <w:color w:val="FF0000"/>
                <w:sz w:val="21"/>
                <w:szCs w:val="21"/>
              </w:rPr>
            </w:pPr>
          </w:p>
        </w:tc>
        <w:tc>
          <w:tcPr>
            <w:tcW w:w="217" w:type="dxa"/>
          </w:tcPr>
          <w:p w14:paraId="3778CED1" w14:textId="77777777" w:rsidR="002C0FD9" w:rsidRPr="00CA25CF" w:rsidRDefault="002C0FD9" w:rsidP="00CA25CF">
            <w:pPr>
              <w:rPr>
                <w:rFonts w:cs="Arial"/>
                <w:color w:val="FF0000"/>
                <w:sz w:val="21"/>
                <w:szCs w:val="21"/>
              </w:rPr>
            </w:pPr>
          </w:p>
        </w:tc>
        <w:tc>
          <w:tcPr>
            <w:tcW w:w="217" w:type="dxa"/>
          </w:tcPr>
          <w:p w14:paraId="30A2F94D" w14:textId="77777777" w:rsidR="002C0FD9" w:rsidRPr="00CA25CF" w:rsidRDefault="002C0FD9" w:rsidP="00CA25CF">
            <w:pPr>
              <w:rPr>
                <w:rFonts w:cs="Arial"/>
                <w:color w:val="FF0000"/>
                <w:sz w:val="21"/>
                <w:szCs w:val="21"/>
              </w:rPr>
            </w:pPr>
          </w:p>
        </w:tc>
        <w:tc>
          <w:tcPr>
            <w:tcW w:w="217" w:type="dxa"/>
          </w:tcPr>
          <w:p w14:paraId="7742BC7C" w14:textId="77777777" w:rsidR="002C0FD9" w:rsidRPr="00CA25CF" w:rsidRDefault="002C0FD9" w:rsidP="00CA25CF">
            <w:pPr>
              <w:rPr>
                <w:rFonts w:cs="Arial"/>
                <w:color w:val="FF0000"/>
                <w:sz w:val="21"/>
                <w:szCs w:val="21"/>
              </w:rPr>
            </w:pPr>
          </w:p>
        </w:tc>
        <w:tc>
          <w:tcPr>
            <w:tcW w:w="217" w:type="dxa"/>
          </w:tcPr>
          <w:p w14:paraId="5645E61E" w14:textId="77777777" w:rsidR="002C0FD9" w:rsidRPr="00CA25CF" w:rsidRDefault="002C0FD9" w:rsidP="00CA25CF">
            <w:pPr>
              <w:rPr>
                <w:rFonts w:cs="Arial"/>
                <w:color w:val="FF0000"/>
                <w:sz w:val="21"/>
                <w:szCs w:val="21"/>
              </w:rPr>
            </w:pPr>
          </w:p>
        </w:tc>
        <w:tc>
          <w:tcPr>
            <w:tcW w:w="217" w:type="dxa"/>
          </w:tcPr>
          <w:p w14:paraId="5299FD84" w14:textId="77777777" w:rsidR="002C0FD9" w:rsidRPr="00CA25CF" w:rsidRDefault="002C0FD9" w:rsidP="00CA25CF">
            <w:pPr>
              <w:rPr>
                <w:rFonts w:cs="Arial"/>
                <w:color w:val="FF0000"/>
                <w:sz w:val="21"/>
                <w:szCs w:val="21"/>
              </w:rPr>
            </w:pPr>
          </w:p>
        </w:tc>
        <w:tc>
          <w:tcPr>
            <w:tcW w:w="217" w:type="dxa"/>
          </w:tcPr>
          <w:p w14:paraId="789F8B04" w14:textId="77777777" w:rsidR="002C0FD9" w:rsidRPr="00CA25CF" w:rsidRDefault="002C0FD9" w:rsidP="00CA25CF">
            <w:pPr>
              <w:rPr>
                <w:rFonts w:cs="Arial"/>
                <w:color w:val="FF0000"/>
                <w:sz w:val="21"/>
                <w:szCs w:val="21"/>
              </w:rPr>
            </w:pPr>
          </w:p>
        </w:tc>
        <w:tc>
          <w:tcPr>
            <w:tcW w:w="217" w:type="dxa"/>
          </w:tcPr>
          <w:p w14:paraId="1BA4FF08" w14:textId="77777777" w:rsidR="002C0FD9" w:rsidRPr="00CA25CF" w:rsidRDefault="002C0FD9" w:rsidP="00CA25CF">
            <w:pPr>
              <w:rPr>
                <w:rFonts w:cs="Arial"/>
                <w:color w:val="FF0000"/>
                <w:sz w:val="21"/>
                <w:szCs w:val="21"/>
              </w:rPr>
            </w:pPr>
          </w:p>
        </w:tc>
        <w:tc>
          <w:tcPr>
            <w:tcW w:w="217" w:type="dxa"/>
          </w:tcPr>
          <w:p w14:paraId="23D8A302" w14:textId="77777777" w:rsidR="002C0FD9" w:rsidRPr="00CA25CF" w:rsidRDefault="002C0FD9" w:rsidP="00CA25CF">
            <w:pPr>
              <w:rPr>
                <w:rFonts w:cs="Arial"/>
                <w:color w:val="FF0000"/>
                <w:sz w:val="21"/>
                <w:szCs w:val="21"/>
              </w:rPr>
            </w:pPr>
          </w:p>
        </w:tc>
        <w:tc>
          <w:tcPr>
            <w:tcW w:w="217" w:type="dxa"/>
          </w:tcPr>
          <w:p w14:paraId="48F25A0B" w14:textId="77777777" w:rsidR="002C0FD9" w:rsidRPr="00CA25CF" w:rsidRDefault="002C0FD9" w:rsidP="00CA25CF">
            <w:pPr>
              <w:rPr>
                <w:rFonts w:cs="Arial"/>
                <w:color w:val="FF0000"/>
                <w:sz w:val="21"/>
                <w:szCs w:val="21"/>
              </w:rPr>
            </w:pPr>
          </w:p>
        </w:tc>
        <w:tc>
          <w:tcPr>
            <w:tcW w:w="217" w:type="dxa"/>
          </w:tcPr>
          <w:p w14:paraId="6F19C9BD" w14:textId="77777777" w:rsidR="002C0FD9" w:rsidRPr="00CA25CF" w:rsidRDefault="002C0FD9" w:rsidP="00CA25CF">
            <w:pPr>
              <w:rPr>
                <w:rFonts w:cs="Arial"/>
                <w:color w:val="FF0000"/>
                <w:sz w:val="21"/>
                <w:szCs w:val="21"/>
              </w:rPr>
            </w:pPr>
          </w:p>
        </w:tc>
        <w:tc>
          <w:tcPr>
            <w:tcW w:w="217" w:type="dxa"/>
          </w:tcPr>
          <w:p w14:paraId="4B5D437B" w14:textId="77777777" w:rsidR="002C0FD9" w:rsidRPr="00CA25CF" w:rsidRDefault="002C0FD9" w:rsidP="00CA25CF">
            <w:pPr>
              <w:rPr>
                <w:rFonts w:cs="Arial"/>
                <w:color w:val="FF0000"/>
                <w:sz w:val="21"/>
                <w:szCs w:val="21"/>
              </w:rPr>
            </w:pPr>
          </w:p>
        </w:tc>
        <w:tc>
          <w:tcPr>
            <w:tcW w:w="217" w:type="dxa"/>
          </w:tcPr>
          <w:p w14:paraId="53F2AE35" w14:textId="77777777" w:rsidR="002C0FD9" w:rsidRPr="00CA25CF" w:rsidRDefault="002C0FD9" w:rsidP="00CA25CF">
            <w:pPr>
              <w:rPr>
                <w:rFonts w:cs="Arial"/>
                <w:color w:val="FF0000"/>
                <w:sz w:val="21"/>
                <w:szCs w:val="21"/>
              </w:rPr>
            </w:pPr>
          </w:p>
        </w:tc>
        <w:tc>
          <w:tcPr>
            <w:tcW w:w="217" w:type="dxa"/>
          </w:tcPr>
          <w:p w14:paraId="20121002" w14:textId="77777777" w:rsidR="002C0FD9" w:rsidRPr="00CA25CF" w:rsidRDefault="002C0FD9" w:rsidP="00CA25CF">
            <w:pPr>
              <w:rPr>
                <w:rFonts w:cs="Arial"/>
                <w:color w:val="FF0000"/>
                <w:sz w:val="21"/>
                <w:szCs w:val="21"/>
              </w:rPr>
            </w:pPr>
          </w:p>
        </w:tc>
        <w:tc>
          <w:tcPr>
            <w:tcW w:w="217" w:type="dxa"/>
          </w:tcPr>
          <w:p w14:paraId="6FFCCDA7" w14:textId="77777777" w:rsidR="002C0FD9" w:rsidRPr="00CA25CF" w:rsidRDefault="002C0FD9" w:rsidP="00CA25CF">
            <w:pPr>
              <w:rPr>
                <w:rFonts w:cs="Arial"/>
                <w:color w:val="FF0000"/>
                <w:sz w:val="21"/>
                <w:szCs w:val="21"/>
              </w:rPr>
            </w:pPr>
          </w:p>
        </w:tc>
        <w:tc>
          <w:tcPr>
            <w:tcW w:w="217" w:type="dxa"/>
          </w:tcPr>
          <w:p w14:paraId="506A70F5" w14:textId="77777777" w:rsidR="002C0FD9" w:rsidRPr="00CA25CF" w:rsidRDefault="002C0FD9" w:rsidP="00CA25CF">
            <w:pPr>
              <w:rPr>
                <w:rFonts w:cs="Arial"/>
                <w:color w:val="FF0000"/>
                <w:sz w:val="21"/>
                <w:szCs w:val="21"/>
              </w:rPr>
            </w:pPr>
          </w:p>
        </w:tc>
        <w:tc>
          <w:tcPr>
            <w:tcW w:w="217" w:type="dxa"/>
          </w:tcPr>
          <w:p w14:paraId="1E7C596C" w14:textId="77777777" w:rsidR="002C0FD9" w:rsidRPr="00CA25CF" w:rsidRDefault="002C0FD9" w:rsidP="00CA25CF">
            <w:pPr>
              <w:rPr>
                <w:rFonts w:cs="Arial"/>
                <w:color w:val="FF0000"/>
                <w:sz w:val="21"/>
                <w:szCs w:val="21"/>
              </w:rPr>
            </w:pPr>
          </w:p>
        </w:tc>
        <w:tc>
          <w:tcPr>
            <w:tcW w:w="217" w:type="dxa"/>
          </w:tcPr>
          <w:p w14:paraId="237F45B9" w14:textId="77777777" w:rsidR="002C0FD9" w:rsidRPr="00CA25CF" w:rsidRDefault="002C0FD9" w:rsidP="00CA25CF">
            <w:pPr>
              <w:rPr>
                <w:rFonts w:cs="Arial"/>
                <w:color w:val="FF0000"/>
                <w:sz w:val="21"/>
                <w:szCs w:val="21"/>
              </w:rPr>
            </w:pPr>
          </w:p>
        </w:tc>
        <w:tc>
          <w:tcPr>
            <w:tcW w:w="217" w:type="dxa"/>
          </w:tcPr>
          <w:p w14:paraId="64A29A9A" w14:textId="77777777" w:rsidR="002C0FD9" w:rsidRPr="00CA25CF" w:rsidRDefault="002C0FD9" w:rsidP="00CA25CF">
            <w:pPr>
              <w:rPr>
                <w:rFonts w:cs="Arial"/>
                <w:color w:val="FF0000"/>
                <w:sz w:val="21"/>
                <w:szCs w:val="21"/>
              </w:rPr>
            </w:pPr>
          </w:p>
        </w:tc>
        <w:tc>
          <w:tcPr>
            <w:tcW w:w="217" w:type="dxa"/>
          </w:tcPr>
          <w:p w14:paraId="4D120253" w14:textId="77777777" w:rsidR="002C0FD9" w:rsidRPr="00CA25CF" w:rsidRDefault="002C0FD9" w:rsidP="00CA25CF">
            <w:pPr>
              <w:rPr>
                <w:rFonts w:cs="Arial"/>
                <w:color w:val="FF0000"/>
                <w:sz w:val="21"/>
                <w:szCs w:val="21"/>
              </w:rPr>
            </w:pPr>
          </w:p>
        </w:tc>
        <w:tc>
          <w:tcPr>
            <w:tcW w:w="217" w:type="dxa"/>
          </w:tcPr>
          <w:p w14:paraId="46F01812" w14:textId="77777777" w:rsidR="002C0FD9" w:rsidRPr="00CA25CF" w:rsidRDefault="002C0FD9" w:rsidP="00CA25CF">
            <w:pPr>
              <w:rPr>
                <w:rFonts w:cs="Arial"/>
                <w:color w:val="FF0000"/>
                <w:sz w:val="21"/>
                <w:szCs w:val="21"/>
              </w:rPr>
            </w:pPr>
          </w:p>
        </w:tc>
        <w:tc>
          <w:tcPr>
            <w:tcW w:w="217" w:type="dxa"/>
          </w:tcPr>
          <w:p w14:paraId="03D8564A" w14:textId="77777777" w:rsidR="002C0FD9" w:rsidRPr="00CA25CF" w:rsidRDefault="002C0FD9" w:rsidP="00CA25CF">
            <w:pPr>
              <w:rPr>
                <w:rFonts w:cs="Arial"/>
                <w:color w:val="FF0000"/>
                <w:sz w:val="21"/>
                <w:szCs w:val="21"/>
              </w:rPr>
            </w:pPr>
          </w:p>
        </w:tc>
        <w:tc>
          <w:tcPr>
            <w:tcW w:w="217" w:type="dxa"/>
          </w:tcPr>
          <w:p w14:paraId="1D731001" w14:textId="77777777" w:rsidR="002C0FD9" w:rsidRPr="00CA25CF" w:rsidRDefault="002C0FD9" w:rsidP="00CA25CF">
            <w:pPr>
              <w:rPr>
                <w:rFonts w:cs="Arial"/>
                <w:color w:val="FF0000"/>
                <w:sz w:val="21"/>
                <w:szCs w:val="21"/>
              </w:rPr>
            </w:pPr>
          </w:p>
        </w:tc>
        <w:tc>
          <w:tcPr>
            <w:tcW w:w="217" w:type="dxa"/>
          </w:tcPr>
          <w:p w14:paraId="6239B5E7" w14:textId="77777777" w:rsidR="002C0FD9" w:rsidRPr="00CA25CF" w:rsidRDefault="002C0FD9" w:rsidP="00CA25CF">
            <w:pPr>
              <w:rPr>
                <w:rFonts w:cs="Arial"/>
                <w:color w:val="FF0000"/>
                <w:sz w:val="21"/>
                <w:szCs w:val="21"/>
              </w:rPr>
            </w:pPr>
          </w:p>
        </w:tc>
        <w:tc>
          <w:tcPr>
            <w:tcW w:w="217" w:type="dxa"/>
          </w:tcPr>
          <w:p w14:paraId="5B0439F4" w14:textId="77777777" w:rsidR="002C0FD9" w:rsidRPr="00CA25CF" w:rsidRDefault="002C0FD9" w:rsidP="00CA25CF">
            <w:pPr>
              <w:rPr>
                <w:rFonts w:cs="Arial"/>
                <w:color w:val="FF0000"/>
                <w:sz w:val="21"/>
                <w:szCs w:val="21"/>
              </w:rPr>
            </w:pPr>
          </w:p>
        </w:tc>
        <w:tc>
          <w:tcPr>
            <w:tcW w:w="217" w:type="dxa"/>
          </w:tcPr>
          <w:p w14:paraId="4C303A14" w14:textId="77777777" w:rsidR="002C0FD9" w:rsidRPr="00CA25CF" w:rsidRDefault="002C0FD9" w:rsidP="00CA25CF">
            <w:pPr>
              <w:rPr>
                <w:rFonts w:cs="Arial"/>
                <w:color w:val="FF0000"/>
                <w:sz w:val="21"/>
                <w:szCs w:val="21"/>
              </w:rPr>
            </w:pPr>
          </w:p>
        </w:tc>
        <w:tc>
          <w:tcPr>
            <w:tcW w:w="217" w:type="dxa"/>
          </w:tcPr>
          <w:p w14:paraId="7130F571" w14:textId="77777777" w:rsidR="002C0FD9" w:rsidRPr="00CA25CF" w:rsidRDefault="002C0FD9" w:rsidP="00CA25CF">
            <w:pPr>
              <w:rPr>
                <w:rFonts w:cs="Arial"/>
                <w:color w:val="FF0000"/>
                <w:sz w:val="21"/>
                <w:szCs w:val="21"/>
              </w:rPr>
            </w:pPr>
          </w:p>
        </w:tc>
        <w:tc>
          <w:tcPr>
            <w:tcW w:w="217" w:type="dxa"/>
          </w:tcPr>
          <w:p w14:paraId="7E44EAA1" w14:textId="77777777" w:rsidR="002C0FD9" w:rsidRPr="00CA25CF" w:rsidRDefault="002C0FD9" w:rsidP="00CA25CF">
            <w:pPr>
              <w:rPr>
                <w:rFonts w:cs="Arial"/>
                <w:color w:val="FF0000"/>
                <w:sz w:val="21"/>
                <w:szCs w:val="21"/>
              </w:rPr>
            </w:pPr>
          </w:p>
        </w:tc>
        <w:tc>
          <w:tcPr>
            <w:tcW w:w="217" w:type="dxa"/>
          </w:tcPr>
          <w:p w14:paraId="34EA28FC" w14:textId="77777777" w:rsidR="002C0FD9" w:rsidRPr="00CA25CF" w:rsidRDefault="002C0FD9" w:rsidP="00CA25CF">
            <w:pPr>
              <w:rPr>
                <w:rFonts w:cs="Arial"/>
                <w:color w:val="FF0000"/>
                <w:sz w:val="21"/>
                <w:szCs w:val="21"/>
              </w:rPr>
            </w:pPr>
          </w:p>
        </w:tc>
        <w:tc>
          <w:tcPr>
            <w:tcW w:w="217" w:type="dxa"/>
          </w:tcPr>
          <w:p w14:paraId="16332730" w14:textId="77777777" w:rsidR="002C0FD9" w:rsidRPr="00CA25CF" w:rsidRDefault="002C0FD9" w:rsidP="00CA25CF">
            <w:pPr>
              <w:rPr>
                <w:rFonts w:cs="Arial"/>
                <w:color w:val="FF0000"/>
                <w:sz w:val="21"/>
                <w:szCs w:val="21"/>
              </w:rPr>
            </w:pPr>
          </w:p>
        </w:tc>
        <w:tc>
          <w:tcPr>
            <w:tcW w:w="217" w:type="dxa"/>
          </w:tcPr>
          <w:p w14:paraId="43731588" w14:textId="77777777" w:rsidR="002C0FD9" w:rsidRPr="00CA25CF" w:rsidRDefault="002C0FD9" w:rsidP="00CA25CF">
            <w:pPr>
              <w:rPr>
                <w:rFonts w:cs="Arial"/>
                <w:color w:val="FF0000"/>
                <w:sz w:val="21"/>
                <w:szCs w:val="21"/>
              </w:rPr>
            </w:pPr>
          </w:p>
        </w:tc>
      </w:tr>
      <w:tr w:rsidR="002C0FD9" w:rsidRPr="00A16219" w14:paraId="7486D454" w14:textId="1914DA61" w:rsidTr="002C0FD9">
        <w:trPr>
          <w:trHeight w:val="635"/>
        </w:trPr>
        <w:tc>
          <w:tcPr>
            <w:tcW w:w="515" w:type="dxa"/>
          </w:tcPr>
          <w:p w14:paraId="70759FDC" w14:textId="77777777" w:rsidR="002C0FD9" w:rsidRPr="00CA25CF" w:rsidRDefault="002C0FD9" w:rsidP="00CA25CF">
            <w:pPr>
              <w:rPr>
                <w:rFonts w:cs="Arial"/>
                <w:color w:val="FF0000"/>
                <w:sz w:val="21"/>
                <w:szCs w:val="21"/>
              </w:rPr>
            </w:pPr>
          </w:p>
        </w:tc>
        <w:tc>
          <w:tcPr>
            <w:tcW w:w="217" w:type="dxa"/>
          </w:tcPr>
          <w:p w14:paraId="17DC844E" w14:textId="77777777" w:rsidR="002C0FD9" w:rsidRPr="00CA25CF" w:rsidRDefault="002C0FD9" w:rsidP="00CA25CF">
            <w:pPr>
              <w:rPr>
                <w:rFonts w:cs="Arial"/>
                <w:color w:val="FF0000"/>
                <w:sz w:val="21"/>
                <w:szCs w:val="21"/>
              </w:rPr>
            </w:pPr>
          </w:p>
        </w:tc>
        <w:tc>
          <w:tcPr>
            <w:tcW w:w="217" w:type="dxa"/>
          </w:tcPr>
          <w:p w14:paraId="6B829DE6" w14:textId="031D5898" w:rsidR="002C0FD9" w:rsidRPr="00CA25CF" w:rsidRDefault="002C0FD9" w:rsidP="00CA25CF">
            <w:pPr>
              <w:rPr>
                <w:rFonts w:cs="Arial"/>
                <w:color w:val="FF0000"/>
                <w:sz w:val="21"/>
                <w:szCs w:val="21"/>
              </w:rPr>
            </w:pPr>
          </w:p>
        </w:tc>
        <w:tc>
          <w:tcPr>
            <w:tcW w:w="217" w:type="dxa"/>
          </w:tcPr>
          <w:p w14:paraId="0CF07ED0" w14:textId="77777777" w:rsidR="002C0FD9" w:rsidRPr="00CA25CF" w:rsidRDefault="002C0FD9" w:rsidP="00CA25CF">
            <w:pPr>
              <w:rPr>
                <w:rFonts w:cs="Arial"/>
                <w:color w:val="FF0000"/>
                <w:sz w:val="21"/>
                <w:szCs w:val="21"/>
              </w:rPr>
            </w:pPr>
          </w:p>
        </w:tc>
        <w:tc>
          <w:tcPr>
            <w:tcW w:w="217" w:type="dxa"/>
          </w:tcPr>
          <w:p w14:paraId="013DA797" w14:textId="77777777" w:rsidR="002C0FD9" w:rsidRPr="00CA25CF" w:rsidRDefault="002C0FD9" w:rsidP="00CA25CF">
            <w:pPr>
              <w:rPr>
                <w:rFonts w:cs="Arial"/>
                <w:color w:val="FF0000"/>
                <w:sz w:val="21"/>
                <w:szCs w:val="21"/>
              </w:rPr>
            </w:pPr>
          </w:p>
        </w:tc>
        <w:tc>
          <w:tcPr>
            <w:tcW w:w="217" w:type="dxa"/>
          </w:tcPr>
          <w:p w14:paraId="3552FDE9" w14:textId="77777777" w:rsidR="002C0FD9" w:rsidRPr="00CA25CF" w:rsidRDefault="002C0FD9" w:rsidP="00CA25CF">
            <w:pPr>
              <w:rPr>
                <w:rFonts w:cs="Arial"/>
                <w:color w:val="FF0000"/>
                <w:sz w:val="21"/>
                <w:szCs w:val="21"/>
              </w:rPr>
            </w:pPr>
          </w:p>
        </w:tc>
        <w:tc>
          <w:tcPr>
            <w:tcW w:w="217" w:type="dxa"/>
          </w:tcPr>
          <w:p w14:paraId="4BE39402" w14:textId="77777777" w:rsidR="002C0FD9" w:rsidRPr="00CA25CF" w:rsidRDefault="002C0FD9" w:rsidP="00CA25CF">
            <w:pPr>
              <w:rPr>
                <w:rFonts w:cs="Arial"/>
                <w:color w:val="FF0000"/>
                <w:sz w:val="21"/>
                <w:szCs w:val="21"/>
              </w:rPr>
            </w:pPr>
          </w:p>
        </w:tc>
        <w:tc>
          <w:tcPr>
            <w:tcW w:w="217" w:type="dxa"/>
          </w:tcPr>
          <w:p w14:paraId="74B1F730" w14:textId="77777777" w:rsidR="002C0FD9" w:rsidRPr="00CA25CF" w:rsidRDefault="002C0FD9" w:rsidP="00CA25CF">
            <w:pPr>
              <w:rPr>
                <w:rFonts w:cs="Arial"/>
                <w:color w:val="FF0000"/>
                <w:sz w:val="21"/>
                <w:szCs w:val="21"/>
              </w:rPr>
            </w:pPr>
          </w:p>
        </w:tc>
        <w:tc>
          <w:tcPr>
            <w:tcW w:w="217" w:type="dxa"/>
          </w:tcPr>
          <w:p w14:paraId="6A64E897" w14:textId="77777777" w:rsidR="002C0FD9" w:rsidRPr="00CA25CF" w:rsidRDefault="002C0FD9" w:rsidP="00CA25CF">
            <w:pPr>
              <w:rPr>
                <w:rFonts w:cs="Arial"/>
                <w:color w:val="FF0000"/>
                <w:sz w:val="21"/>
                <w:szCs w:val="21"/>
              </w:rPr>
            </w:pPr>
          </w:p>
        </w:tc>
        <w:tc>
          <w:tcPr>
            <w:tcW w:w="217" w:type="dxa"/>
          </w:tcPr>
          <w:p w14:paraId="3C3BE84F" w14:textId="77777777" w:rsidR="002C0FD9" w:rsidRPr="00CA25CF" w:rsidRDefault="002C0FD9" w:rsidP="00CA25CF">
            <w:pPr>
              <w:rPr>
                <w:rFonts w:cs="Arial"/>
                <w:color w:val="FF0000"/>
                <w:sz w:val="21"/>
                <w:szCs w:val="21"/>
              </w:rPr>
            </w:pPr>
          </w:p>
        </w:tc>
        <w:tc>
          <w:tcPr>
            <w:tcW w:w="217" w:type="dxa"/>
          </w:tcPr>
          <w:p w14:paraId="614BF76A" w14:textId="77777777" w:rsidR="002C0FD9" w:rsidRPr="00CA25CF" w:rsidRDefault="002C0FD9" w:rsidP="00CA25CF">
            <w:pPr>
              <w:rPr>
                <w:rFonts w:cs="Arial"/>
                <w:color w:val="FF0000"/>
                <w:sz w:val="21"/>
                <w:szCs w:val="21"/>
              </w:rPr>
            </w:pPr>
          </w:p>
        </w:tc>
        <w:tc>
          <w:tcPr>
            <w:tcW w:w="217" w:type="dxa"/>
          </w:tcPr>
          <w:p w14:paraId="3A5F79BF" w14:textId="77777777" w:rsidR="002C0FD9" w:rsidRPr="00CA25CF" w:rsidRDefault="002C0FD9" w:rsidP="00CA25CF">
            <w:pPr>
              <w:rPr>
                <w:rFonts w:cs="Arial"/>
                <w:color w:val="FF0000"/>
                <w:sz w:val="21"/>
                <w:szCs w:val="21"/>
              </w:rPr>
            </w:pPr>
          </w:p>
        </w:tc>
        <w:tc>
          <w:tcPr>
            <w:tcW w:w="217" w:type="dxa"/>
          </w:tcPr>
          <w:p w14:paraId="7BCE5EDD" w14:textId="77777777" w:rsidR="002C0FD9" w:rsidRPr="00CA25CF" w:rsidRDefault="002C0FD9" w:rsidP="00CA25CF">
            <w:pPr>
              <w:rPr>
                <w:rFonts w:cs="Arial"/>
                <w:color w:val="FF0000"/>
                <w:sz w:val="21"/>
                <w:szCs w:val="21"/>
              </w:rPr>
            </w:pPr>
          </w:p>
        </w:tc>
        <w:tc>
          <w:tcPr>
            <w:tcW w:w="217" w:type="dxa"/>
          </w:tcPr>
          <w:p w14:paraId="371A3341" w14:textId="77777777" w:rsidR="002C0FD9" w:rsidRPr="00CA25CF" w:rsidRDefault="002C0FD9" w:rsidP="00CA25CF">
            <w:pPr>
              <w:rPr>
                <w:rFonts w:cs="Arial"/>
                <w:color w:val="FF0000"/>
                <w:sz w:val="21"/>
                <w:szCs w:val="21"/>
              </w:rPr>
            </w:pPr>
          </w:p>
        </w:tc>
        <w:tc>
          <w:tcPr>
            <w:tcW w:w="217" w:type="dxa"/>
          </w:tcPr>
          <w:p w14:paraId="032D1EE8" w14:textId="77777777" w:rsidR="002C0FD9" w:rsidRPr="00CA25CF" w:rsidRDefault="002C0FD9" w:rsidP="00CA25CF">
            <w:pPr>
              <w:rPr>
                <w:rFonts w:cs="Arial"/>
                <w:color w:val="FF0000"/>
                <w:sz w:val="21"/>
                <w:szCs w:val="21"/>
              </w:rPr>
            </w:pPr>
          </w:p>
        </w:tc>
        <w:tc>
          <w:tcPr>
            <w:tcW w:w="217" w:type="dxa"/>
          </w:tcPr>
          <w:p w14:paraId="75075909" w14:textId="77777777" w:rsidR="002C0FD9" w:rsidRPr="00CA25CF" w:rsidRDefault="002C0FD9" w:rsidP="00CA25CF">
            <w:pPr>
              <w:rPr>
                <w:rFonts w:cs="Arial"/>
                <w:color w:val="FF0000"/>
                <w:sz w:val="21"/>
                <w:szCs w:val="21"/>
              </w:rPr>
            </w:pPr>
          </w:p>
        </w:tc>
        <w:tc>
          <w:tcPr>
            <w:tcW w:w="217" w:type="dxa"/>
          </w:tcPr>
          <w:p w14:paraId="35EF954D" w14:textId="77777777" w:rsidR="002C0FD9" w:rsidRPr="00CA25CF" w:rsidRDefault="002C0FD9" w:rsidP="00CA25CF">
            <w:pPr>
              <w:rPr>
                <w:rFonts w:cs="Arial"/>
                <w:color w:val="FF0000"/>
                <w:sz w:val="21"/>
                <w:szCs w:val="21"/>
              </w:rPr>
            </w:pPr>
          </w:p>
        </w:tc>
        <w:tc>
          <w:tcPr>
            <w:tcW w:w="217" w:type="dxa"/>
          </w:tcPr>
          <w:p w14:paraId="433F6C16" w14:textId="77777777" w:rsidR="002C0FD9" w:rsidRPr="00CA25CF" w:rsidRDefault="002C0FD9" w:rsidP="00CA25CF">
            <w:pPr>
              <w:rPr>
                <w:rFonts w:cs="Arial"/>
                <w:color w:val="FF0000"/>
                <w:sz w:val="21"/>
                <w:szCs w:val="21"/>
              </w:rPr>
            </w:pPr>
          </w:p>
        </w:tc>
        <w:tc>
          <w:tcPr>
            <w:tcW w:w="217" w:type="dxa"/>
          </w:tcPr>
          <w:p w14:paraId="73225BE9" w14:textId="77777777" w:rsidR="002C0FD9" w:rsidRPr="00CA25CF" w:rsidRDefault="002C0FD9" w:rsidP="00CA25CF">
            <w:pPr>
              <w:rPr>
                <w:rFonts w:cs="Arial"/>
                <w:color w:val="FF0000"/>
                <w:sz w:val="21"/>
                <w:szCs w:val="21"/>
              </w:rPr>
            </w:pPr>
          </w:p>
        </w:tc>
        <w:tc>
          <w:tcPr>
            <w:tcW w:w="217" w:type="dxa"/>
          </w:tcPr>
          <w:p w14:paraId="082CE445" w14:textId="77777777" w:rsidR="002C0FD9" w:rsidRPr="00CA25CF" w:rsidRDefault="002C0FD9" w:rsidP="00CA25CF">
            <w:pPr>
              <w:rPr>
                <w:rFonts w:cs="Arial"/>
                <w:color w:val="FF0000"/>
                <w:sz w:val="21"/>
                <w:szCs w:val="21"/>
              </w:rPr>
            </w:pPr>
          </w:p>
        </w:tc>
        <w:tc>
          <w:tcPr>
            <w:tcW w:w="217" w:type="dxa"/>
          </w:tcPr>
          <w:p w14:paraId="3D3DF0D3" w14:textId="77777777" w:rsidR="002C0FD9" w:rsidRPr="00CA25CF" w:rsidRDefault="002C0FD9" w:rsidP="00CA25CF">
            <w:pPr>
              <w:rPr>
                <w:rFonts w:cs="Arial"/>
                <w:color w:val="FF0000"/>
                <w:sz w:val="21"/>
                <w:szCs w:val="21"/>
              </w:rPr>
            </w:pPr>
          </w:p>
        </w:tc>
        <w:tc>
          <w:tcPr>
            <w:tcW w:w="217" w:type="dxa"/>
          </w:tcPr>
          <w:p w14:paraId="0C4CAC9E" w14:textId="77777777" w:rsidR="002C0FD9" w:rsidRPr="00CA25CF" w:rsidRDefault="002C0FD9" w:rsidP="00CA25CF">
            <w:pPr>
              <w:rPr>
                <w:rFonts w:cs="Arial"/>
                <w:color w:val="FF0000"/>
                <w:sz w:val="21"/>
                <w:szCs w:val="21"/>
              </w:rPr>
            </w:pPr>
          </w:p>
        </w:tc>
        <w:tc>
          <w:tcPr>
            <w:tcW w:w="217" w:type="dxa"/>
          </w:tcPr>
          <w:p w14:paraId="500A8B7C" w14:textId="77777777" w:rsidR="002C0FD9" w:rsidRPr="00CA25CF" w:rsidRDefault="002C0FD9" w:rsidP="00CA25CF">
            <w:pPr>
              <w:rPr>
                <w:rFonts w:cs="Arial"/>
                <w:color w:val="FF0000"/>
                <w:sz w:val="21"/>
                <w:szCs w:val="21"/>
              </w:rPr>
            </w:pPr>
          </w:p>
        </w:tc>
        <w:tc>
          <w:tcPr>
            <w:tcW w:w="217" w:type="dxa"/>
          </w:tcPr>
          <w:p w14:paraId="3F96027E" w14:textId="77777777" w:rsidR="002C0FD9" w:rsidRPr="00CA25CF" w:rsidRDefault="002C0FD9" w:rsidP="00CA25CF">
            <w:pPr>
              <w:rPr>
                <w:rFonts w:cs="Arial"/>
                <w:color w:val="FF0000"/>
                <w:sz w:val="21"/>
                <w:szCs w:val="21"/>
              </w:rPr>
            </w:pPr>
          </w:p>
        </w:tc>
        <w:tc>
          <w:tcPr>
            <w:tcW w:w="217" w:type="dxa"/>
          </w:tcPr>
          <w:p w14:paraId="78EA6B92" w14:textId="77777777" w:rsidR="002C0FD9" w:rsidRPr="00CA25CF" w:rsidRDefault="002C0FD9" w:rsidP="00CA25CF">
            <w:pPr>
              <w:rPr>
                <w:rFonts w:cs="Arial"/>
                <w:color w:val="FF0000"/>
                <w:sz w:val="21"/>
                <w:szCs w:val="21"/>
              </w:rPr>
            </w:pPr>
          </w:p>
        </w:tc>
        <w:tc>
          <w:tcPr>
            <w:tcW w:w="217" w:type="dxa"/>
          </w:tcPr>
          <w:p w14:paraId="542DAB09" w14:textId="77777777" w:rsidR="002C0FD9" w:rsidRPr="00CA25CF" w:rsidRDefault="002C0FD9" w:rsidP="00CA25CF">
            <w:pPr>
              <w:rPr>
                <w:rFonts w:cs="Arial"/>
                <w:color w:val="FF0000"/>
                <w:sz w:val="21"/>
                <w:szCs w:val="21"/>
              </w:rPr>
            </w:pPr>
          </w:p>
        </w:tc>
        <w:tc>
          <w:tcPr>
            <w:tcW w:w="217" w:type="dxa"/>
          </w:tcPr>
          <w:p w14:paraId="770760CB" w14:textId="77777777" w:rsidR="002C0FD9" w:rsidRPr="00CA25CF" w:rsidRDefault="002C0FD9" w:rsidP="00CA25CF">
            <w:pPr>
              <w:rPr>
                <w:rFonts w:cs="Arial"/>
                <w:color w:val="FF0000"/>
                <w:sz w:val="21"/>
                <w:szCs w:val="21"/>
              </w:rPr>
            </w:pPr>
          </w:p>
        </w:tc>
        <w:tc>
          <w:tcPr>
            <w:tcW w:w="217" w:type="dxa"/>
          </w:tcPr>
          <w:p w14:paraId="7119347E" w14:textId="77777777" w:rsidR="002C0FD9" w:rsidRPr="00CA25CF" w:rsidRDefault="002C0FD9" w:rsidP="00CA25CF">
            <w:pPr>
              <w:rPr>
                <w:rFonts w:cs="Arial"/>
                <w:color w:val="FF0000"/>
                <w:sz w:val="21"/>
                <w:szCs w:val="21"/>
              </w:rPr>
            </w:pPr>
          </w:p>
        </w:tc>
        <w:tc>
          <w:tcPr>
            <w:tcW w:w="217" w:type="dxa"/>
          </w:tcPr>
          <w:p w14:paraId="6EFFC36D" w14:textId="77777777" w:rsidR="002C0FD9" w:rsidRPr="00CA25CF" w:rsidRDefault="002C0FD9" w:rsidP="00CA25CF">
            <w:pPr>
              <w:rPr>
                <w:rFonts w:cs="Arial"/>
                <w:color w:val="FF0000"/>
                <w:sz w:val="21"/>
                <w:szCs w:val="21"/>
              </w:rPr>
            </w:pPr>
          </w:p>
        </w:tc>
        <w:tc>
          <w:tcPr>
            <w:tcW w:w="217" w:type="dxa"/>
          </w:tcPr>
          <w:p w14:paraId="64F91DF6" w14:textId="77777777" w:rsidR="002C0FD9" w:rsidRPr="00CA25CF" w:rsidRDefault="002C0FD9" w:rsidP="00CA25CF">
            <w:pPr>
              <w:rPr>
                <w:rFonts w:cs="Arial"/>
                <w:color w:val="FF0000"/>
                <w:sz w:val="21"/>
                <w:szCs w:val="21"/>
              </w:rPr>
            </w:pPr>
          </w:p>
        </w:tc>
        <w:tc>
          <w:tcPr>
            <w:tcW w:w="217" w:type="dxa"/>
          </w:tcPr>
          <w:p w14:paraId="43FF5FD3" w14:textId="77777777" w:rsidR="002C0FD9" w:rsidRPr="00CA25CF" w:rsidRDefault="002C0FD9" w:rsidP="00CA25CF">
            <w:pPr>
              <w:rPr>
                <w:rFonts w:cs="Arial"/>
                <w:color w:val="FF0000"/>
                <w:sz w:val="21"/>
                <w:szCs w:val="21"/>
              </w:rPr>
            </w:pPr>
          </w:p>
        </w:tc>
        <w:tc>
          <w:tcPr>
            <w:tcW w:w="217" w:type="dxa"/>
          </w:tcPr>
          <w:p w14:paraId="370C0C5A" w14:textId="77777777" w:rsidR="002C0FD9" w:rsidRPr="00CA25CF" w:rsidRDefault="002C0FD9" w:rsidP="00CA25CF">
            <w:pPr>
              <w:rPr>
                <w:rFonts w:cs="Arial"/>
                <w:color w:val="FF0000"/>
                <w:sz w:val="21"/>
                <w:szCs w:val="21"/>
              </w:rPr>
            </w:pPr>
          </w:p>
        </w:tc>
        <w:tc>
          <w:tcPr>
            <w:tcW w:w="217" w:type="dxa"/>
          </w:tcPr>
          <w:p w14:paraId="6442A558" w14:textId="77777777" w:rsidR="002C0FD9" w:rsidRPr="00CA25CF" w:rsidRDefault="002C0FD9" w:rsidP="00CA25CF">
            <w:pPr>
              <w:rPr>
                <w:rFonts w:cs="Arial"/>
                <w:color w:val="FF0000"/>
                <w:sz w:val="21"/>
                <w:szCs w:val="21"/>
              </w:rPr>
            </w:pPr>
          </w:p>
        </w:tc>
        <w:tc>
          <w:tcPr>
            <w:tcW w:w="217" w:type="dxa"/>
          </w:tcPr>
          <w:p w14:paraId="6BCE1A33" w14:textId="77777777" w:rsidR="002C0FD9" w:rsidRPr="00CA25CF" w:rsidRDefault="002C0FD9" w:rsidP="00CA25CF">
            <w:pPr>
              <w:rPr>
                <w:rFonts w:cs="Arial"/>
                <w:color w:val="FF0000"/>
                <w:sz w:val="21"/>
                <w:szCs w:val="21"/>
              </w:rPr>
            </w:pPr>
          </w:p>
        </w:tc>
        <w:tc>
          <w:tcPr>
            <w:tcW w:w="217" w:type="dxa"/>
          </w:tcPr>
          <w:p w14:paraId="5CD012AF" w14:textId="77777777" w:rsidR="002C0FD9" w:rsidRPr="00CA25CF" w:rsidRDefault="002C0FD9" w:rsidP="00CA25CF">
            <w:pPr>
              <w:rPr>
                <w:rFonts w:cs="Arial"/>
                <w:color w:val="FF0000"/>
                <w:sz w:val="21"/>
                <w:szCs w:val="21"/>
              </w:rPr>
            </w:pPr>
          </w:p>
        </w:tc>
        <w:tc>
          <w:tcPr>
            <w:tcW w:w="217" w:type="dxa"/>
          </w:tcPr>
          <w:p w14:paraId="35699CAA" w14:textId="77777777" w:rsidR="002C0FD9" w:rsidRPr="00CA25CF" w:rsidRDefault="002C0FD9" w:rsidP="00CA25CF">
            <w:pPr>
              <w:rPr>
                <w:rFonts w:cs="Arial"/>
                <w:color w:val="FF0000"/>
                <w:sz w:val="21"/>
                <w:szCs w:val="21"/>
              </w:rPr>
            </w:pPr>
          </w:p>
        </w:tc>
        <w:tc>
          <w:tcPr>
            <w:tcW w:w="217" w:type="dxa"/>
          </w:tcPr>
          <w:p w14:paraId="2FABFE79" w14:textId="77777777" w:rsidR="002C0FD9" w:rsidRPr="00CA25CF" w:rsidRDefault="002C0FD9" w:rsidP="00CA25CF">
            <w:pPr>
              <w:rPr>
                <w:rFonts w:cs="Arial"/>
                <w:color w:val="FF0000"/>
                <w:sz w:val="21"/>
                <w:szCs w:val="21"/>
              </w:rPr>
            </w:pPr>
          </w:p>
        </w:tc>
        <w:tc>
          <w:tcPr>
            <w:tcW w:w="217" w:type="dxa"/>
          </w:tcPr>
          <w:p w14:paraId="744E4431" w14:textId="77777777" w:rsidR="002C0FD9" w:rsidRPr="00CA25CF" w:rsidRDefault="002C0FD9" w:rsidP="00CA25CF">
            <w:pPr>
              <w:rPr>
                <w:rFonts w:cs="Arial"/>
                <w:color w:val="FF0000"/>
                <w:sz w:val="21"/>
                <w:szCs w:val="21"/>
              </w:rPr>
            </w:pPr>
          </w:p>
        </w:tc>
        <w:tc>
          <w:tcPr>
            <w:tcW w:w="217" w:type="dxa"/>
          </w:tcPr>
          <w:p w14:paraId="799AFCA4" w14:textId="77777777" w:rsidR="002C0FD9" w:rsidRPr="00CA25CF" w:rsidRDefault="002C0FD9" w:rsidP="00CA25CF">
            <w:pPr>
              <w:rPr>
                <w:rFonts w:cs="Arial"/>
                <w:color w:val="FF0000"/>
                <w:sz w:val="21"/>
                <w:szCs w:val="21"/>
              </w:rPr>
            </w:pPr>
          </w:p>
        </w:tc>
        <w:tc>
          <w:tcPr>
            <w:tcW w:w="217" w:type="dxa"/>
          </w:tcPr>
          <w:p w14:paraId="49DB0E8C" w14:textId="77777777" w:rsidR="002C0FD9" w:rsidRPr="00CA25CF" w:rsidRDefault="002C0FD9" w:rsidP="00CA25CF">
            <w:pPr>
              <w:rPr>
                <w:rFonts w:cs="Arial"/>
                <w:color w:val="FF0000"/>
                <w:sz w:val="21"/>
                <w:szCs w:val="21"/>
              </w:rPr>
            </w:pPr>
          </w:p>
        </w:tc>
        <w:tc>
          <w:tcPr>
            <w:tcW w:w="217" w:type="dxa"/>
          </w:tcPr>
          <w:p w14:paraId="73C9EB25" w14:textId="77777777" w:rsidR="002C0FD9" w:rsidRPr="00CA25CF" w:rsidRDefault="002C0FD9" w:rsidP="00CA25CF">
            <w:pPr>
              <w:rPr>
                <w:rFonts w:cs="Arial"/>
                <w:color w:val="FF0000"/>
                <w:sz w:val="21"/>
                <w:szCs w:val="21"/>
              </w:rPr>
            </w:pPr>
          </w:p>
        </w:tc>
        <w:tc>
          <w:tcPr>
            <w:tcW w:w="217" w:type="dxa"/>
          </w:tcPr>
          <w:p w14:paraId="244EE5ED" w14:textId="77777777" w:rsidR="002C0FD9" w:rsidRPr="00CA25CF" w:rsidRDefault="002C0FD9" w:rsidP="00CA25CF">
            <w:pPr>
              <w:rPr>
                <w:rFonts w:cs="Arial"/>
                <w:color w:val="FF0000"/>
                <w:sz w:val="21"/>
                <w:szCs w:val="21"/>
              </w:rPr>
            </w:pPr>
          </w:p>
        </w:tc>
        <w:tc>
          <w:tcPr>
            <w:tcW w:w="217" w:type="dxa"/>
          </w:tcPr>
          <w:p w14:paraId="01D775C4" w14:textId="77777777" w:rsidR="002C0FD9" w:rsidRPr="00CA25CF" w:rsidRDefault="002C0FD9" w:rsidP="00CA25CF">
            <w:pPr>
              <w:rPr>
                <w:rFonts w:cs="Arial"/>
                <w:color w:val="FF0000"/>
                <w:sz w:val="21"/>
                <w:szCs w:val="21"/>
              </w:rPr>
            </w:pPr>
          </w:p>
        </w:tc>
      </w:tr>
      <w:tr w:rsidR="002C0FD9" w:rsidRPr="00A16219" w14:paraId="428A36FE" w14:textId="02B5592A" w:rsidTr="002C0FD9">
        <w:trPr>
          <w:trHeight w:val="635"/>
        </w:trPr>
        <w:tc>
          <w:tcPr>
            <w:tcW w:w="515" w:type="dxa"/>
          </w:tcPr>
          <w:p w14:paraId="738C9DCA" w14:textId="77777777" w:rsidR="002C0FD9" w:rsidRPr="00CA25CF" w:rsidRDefault="002C0FD9" w:rsidP="00CA25CF">
            <w:pPr>
              <w:rPr>
                <w:rFonts w:cs="Arial"/>
                <w:color w:val="FF0000"/>
                <w:sz w:val="21"/>
                <w:szCs w:val="21"/>
              </w:rPr>
            </w:pPr>
          </w:p>
        </w:tc>
        <w:tc>
          <w:tcPr>
            <w:tcW w:w="217" w:type="dxa"/>
          </w:tcPr>
          <w:p w14:paraId="00CA572C" w14:textId="77777777" w:rsidR="002C0FD9" w:rsidRPr="00CA25CF" w:rsidRDefault="002C0FD9" w:rsidP="00CA25CF">
            <w:pPr>
              <w:rPr>
                <w:rFonts w:cs="Arial"/>
                <w:color w:val="FF0000"/>
                <w:sz w:val="21"/>
                <w:szCs w:val="21"/>
              </w:rPr>
            </w:pPr>
          </w:p>
        </w:tc>
        <w:tc>
          <w:tcPr>
            <w:tcW w:w="217" w:type="dxa"/>
          </w:tcPr>
          <w:p w14:paraId="748E3136" w14:textId="724CA106" w:rsidR="002C0FD9" w:rsidRPr="00CA25CF" w:rsidRDefault="002C0FD9" w:rsidP="00CA25CF">
            <w:pPr>
              <w:rPr>
                <w:rFonts w:cs="Arial"/>
                <w:color w:val="FF0000"/>
                <w:sz w:val="21"/>
                <w:szCs w:val="21"/>
              </w:rPr>
            </w:pPr>
          </w:p>
        </w:tc>
        <w:tc>
          <w:tcPr>
            <w:tcW w:w="217" w:type="dxa"/>
          </w:tcPr>
          <w:p w14:paraId="0E02D4F0" w14:textId="77777777" w:rsidR="002C0FD9" w:rsidRPr="00CA25CF" w:rsidRDefault="002C0FD9" w:rsidP="00CA25CF">
            <w:pPr>
              <w:rPr>
                <w:rFonts w:cs="Arial"/>
                <w:color w:val="FF0000"/>
                <w:sz w:val="21"/>
                <w:szCs w:val="21"/>
              </w:rPr>
            </w:pPr>
          </w:p>
        </w:tc>
        <w:tc>
          <w:tcPr>
            <w:tcW w:w="217" w:type="dxa"/>
          </w:tcPr>
          <w:p w14:paraId="1DAFB975" w14:textId="77777777" w:rsidR="002C0FD9" w:rsidRPr="00CA25CF" w:rsidRDefault="002C0FD9" w:rsidP="00CA25CF">
            <w:pPr>
              <w:rPr>
                <w:rFonts w:cs="Arial"/>
                <w:color w:val="FF0000"/>
                <w:sz w:val="21"/>
                <w:szCs w:val="21"/>
              </w:rPr>
            </w:pPr>
          </w:p>
        </w:tc>
        <w:tc>
          <w:tcPr>
            <w:tcW w:w="217" w:type="dxa"/>
          </w:tcPr>
          <w:p w14:paraId="796A6ECE" w14:textId="77777777" w:rsidR="002C0FD9" w:rsidRPr="00CA25CF" w:rsidRDefault="002C0FD9" w:rsidP="00CA25CF">
            <w:pPr>
              <w:rPr>
                <w:rFonts w:cs="Arial"/>
                <w:color w:val="FF0000"/>
                <w:sz w:val="21"/>
                <w:szCs w:val="21"/>
              </w:rPr>
            </w:pPr>
          </w:p>
        </w:tc>
        <w:tc>
          <w:tcPr>
            <w:tcW w:w="217" w:type="dxa"/>
          </w:tcPr>
          <w:p w14:paraId="0329C29C" w14:textId="77777777" w:rsidR="002C0FD9" w:rsidRPr="00CA25CF" w:rsidRDefault="002C0FD9" w:rsidP="00CA25CF">
            <w:pPr>
              <w:rPr>
                <w:rFonts w:cs="Arial"/>
                <w:color w:val="FF0000"/>
                <w:sz w:val="21"/>
                <w:szCs w:val="21"/>
              </w:rPr>
            </w:pPr>
          </w:p>
        </w:tc>
        <w:tc>
          <w:tcPr>
            <w:tcW w:w="217" w:type="dxa"/>
          </w:tcPr>
          <w:p w14:paraId="741B9231" w14:textId="77777777" w:rsidR="002C0FD9" w:rsidRPr="00CA25CF" w:rsidRDefault="002C0FD9" w:rsidP="00CA25CF">
            <w:pPr>
              <w:rPr>
                <w:rFonts w:cs="Arial"/>
                <w:color w:val="FF0000"/>
                <w:sz w:val="21"/>
                <w:szCs w:val="21"/>
              </w:rPr>
            </w:pPr>
          </w:p>
        </w:tc>
        <w:tc>
          <w:tcPr>
            <w:tcW w:w="217" w:type="dxa"/>
          </w:tcPr>
          <w:p w14:paraId="60C4527E" w14:textId="77777777" w:rsidR="002C0FD9" w:rsidRPr="00CA25CF" w:rsidRDefault="002C0FD9" w:rsidP="00CA25CF">
            <w:pPr>
              <w:rPr>
                <w:rFonts w:cs="Arial"/>
                <w:color w:val="FF0000"/>
                <w:sz w:val="21"/>
                <w:szCs w:val="21"/>
              </w:rPr>
            </w:pPr>
          </w:p>
        </w:tc>
        <w:tc>
          <w:tcPr>
            <w:tcW w:w="217" w:type="dxa"/>
          </w:tcPr>
          <w:p w14:paraId="669DA3BB" w14:textId="77777777" w:rsidR="002C0FD9" w:rsidRPr="00CA25CF" w:rsidRDefault="002C0FD9" w:rsidP="00CA25CF">
            <w:pPr>
              <w:rPr>
                <w:rFonts w:cs="Arial"/>
                <w:color w:val="FF0000"/>
                <w:sz w:val="21"/>
                <w:szCs w:val="21"/>
              </w:rPr>
            </w:pPr>
          </w:p>
        </w:tc>
        <w:tc>
          <w:tcPr>
            <w:tcW w:w="217" w:type="dxa"/>
          </w:tcPr>
          <w:p w14:paraId="489F35B8" w14:textId="77777777" w:rsidR="002C0FD9" w:rsidRPr="00CA25CF" w:rsidRDefault="002C0FD9" w:rsidP="00CA25CF">
            <w:pPr>
              <w:rPr>
                <w:rFonts w:cs="Arial"/>
                <w:color w:val="FF0000"/>
                <w:sz w:val="21"/>
                <w:szCs w:val="21"/>
              </w:rPr>
            </w:pPr>
          </w:p>
        </w:tc>
        <w:tc>
          <w:tcPr>
            <w:tcW w:w="217" w:type="dxa"/>
          </w:tcPr>
          <w:p w14:paraId="1EDCA631" w14:textId="77777777" w:rsidR="002C0FD9" w:rsidRPr="00CA25CF" w:rsidRDefault="002C0FD9" w:rsidP="00CA25CF">
            <w:pPr>
              <w:rPr>
                <w:rFonts w:cs="Arial"/>
                <w:color w:val="FF0000"/>
                <w:sz w:val="21"/>
                <w:szCs w:val="21"/>
              </w:rPr>
            </w:pPr>
          </w:p>
        </w:tc>
        <w:tc>
          <w:tcPr>
            <w:tcW w:w="217" w:type="dxa"/>
          </w:tcPr>
          <w:p w14:paraId="11E0712F" w14:textId="77777777" w:rsidR="002C0FD9" w:rsidRPr="00CA25CF" w:rsidRDefault="002C0FD9" w:rsidP="00CA25CF">
            <w:pPr>
              <w:rPr>
                <w:rFonts w:cs="Arial"/>
                <w:color w:val="FF0000"/>
                <w:sz w:val="21"/>
                <w:szCs w:val="21"/>
              </w:rPr>
            </w:pPr>
          </w:p>
        </w:tc>
        <w:tc>
          <w:tcPr>
            <w:tcW w:w="217" w:type="dxa"/>
          </w:tcPr>
          <w:p w14:paraId="6A62C135" w14:textId="77777777" w:rsidR="002C0FD9" w:rsidRPr="00CA25CF" w:rsidRDefault="002C0FD9" w:rsidP="00CA25CF">
            <w:pPr>
              <w:rPr>
                <w:rFonts w:cs="Arial"/>
                <w:color w:val="FF0000"/>
                <w:sz w:val="21"/>
                <w:szCs w:val="21"/>
              </w:rPr>
            </w:pPr>
          </w:p>
        </w:tc>
        <w:tc>
          <w:tcPr>
            <w:tcW w:w="217" w:type="dxa"/>
          </w:tcPr>
          <w:p w14:paraId="699B03BD" w14:textId="77777777" w:rsidR="002C0FD9" w:rsidRPr="00CA25CF" w:rsidRDefault="002C0FD9" w:rsidP="00CA25CF">
            <w:pPr>
              <w:rPr>
                <w:rFonts w:cs="Arial"/>
                <w:color w:val="FF0000"/>
                <w:sz w:val="21"/>
                <w:szCs w:val="21"/>
              </w:rPr>
            </w:pPr>
          </w:p>
        </w:tc>
        <w:tc>
          <w:tcPr>
            <w:tcW w:w="217" w:type="dxa"/>
          </w:tcPr>
          <w:p w14:paraId="7AEB62AB" w14:textId="77777777" w:rsidR="002C0FD9" w:rsidRPr="00CA25CF" w:rsidRDefault="002C0FD9" w:rsidP="00CA25CF">
            <w:pPr>
              <w:rPr>
                <w:rFonts w:cs="Arial"/>
                <w:color w:val="FF0000"/>
                <w:sz w:val="21"/>
                <w:szCs w:val="21"/>
              </w:rPr>
            </w:pPr>
          </w:p>
        </w:tc>
        <w:tc>
          <w:tcPr>
            <w:tcW w:w="217" w:type="dxa"/>
          </w:tcPr>
          <w:p w14:paraId="33352160" w14:textId="77777777" w:rsidR="002C0FD9" w:rsidRPr="00CA25CF" w:rsidRDefault="002C0FD9" w:rsidP="00CA25CF">
            <w:pPr>
              <w:rPr>
                <w:rFonts w:cs="Arial"/>
                <w:color w:val="FF0000"/>
                <w:sz w:val="21"/>
                <w:szCs w:val="21"/>
              </w:rPr>
            </w:pPr>
          </w:p>
        </w:tc>
        <w:tc>
          <w:tcPr>
            <w:tcW w:w="217" w:type="dxa"/>
          </w:tcPr>
          <w:p w14:paraId="184E1EE4" w14:textId="77777777" w:rsidR="002C0FD9" w:rsidRPr="00CA25CF" w:rsidRDefault="002C0FD9" w:rsidP="00CA25CF">
            <w:pPr>
              <w:rPr>
                <w:rFonts w:cs="Arial"/>
                <w:color w:val="FF0000"/>
                <w:sz w:val="21"/>
                <w:szCs w:val="21"/>
              </w:rPr>
            </w:pPr>
          </w:p>
        </w:tc>
        <w:tc>
          <w:tcPr>
            <w:tcW w:w="217" w:type="dxa"/>
          </w:tcPr>
          <w:p w14:paraId="0803E174" w14:textId="77777777" w:rsidR="002C0FD9" w:rsidRPr="00CA25CF" w:rsidRDefault="002C0FD9" w:rsidP="00CA25CF">
            <w:pPr>
              <w:rPr>
                <w:rFonts w:cs="Arial"/>
                <w:color w:val="FF0000"/>
                <w:sz w:val="21"/>
                <w:szCs w:val="21"/>
              </w:rPr>
            </w:pPr>
          </w:p>
        </w:tc>
        <w:tc>
          <w:tcPr>
            <w:tcW w:w="217" w:type="dxa"/>
          </w:tcPr>
          <w:p w14:paraId="17ECE3B4" w14:textId="77777777" w:rsidR="002C0FD9" w:rsidRPr="00CA25CF" w:rsidRDefault="002C0FD9" w:rsidP="00CA25CF">
            <w:pPr>
              <w:rPr>
                <w:rFonts w:cs="Arial"/>
                <w:color w:val="FF0000"/>
                <w:sz w:val="21"/>
                <w:szCs w:val="21"/>
              </w:rPr>
            </w:pPr>
          </w:p>
        </w:tc>
        <w:tc>
          <w:tcPr>
            <w:tcW w:w="217" w:type="dxa"/>
          </w:tcPr>
          <w:p w14:paraId="75E82B95" w14:textId="77777777" w:rsidR="002C0FD9" w:rsidRPr="00CA25CF" w:rsidRDefault="002C0FD9" w:rsidP="00CA25CF">
            <w:pPr>
              <w:rPr>
                <w:rFonts w:cs="Arial"/>
                <w:color w:val="FF0000"/>
                <w:sz w:val="21"/>
                <w:szCs w:val="21"/>
              </w:rPr>
            </w:pPr>
          </w:p>
        </w:tc>
        <w:tc>
          <w:tcPr>
            <w:tcW w:w="217" w:type="dxa"/>
          </w:tcPr>
          <w:p w14:paraId="66DCDFFF" w14:textId="77777777" w:rsidR="002C0FD9" w:rsidRPr="00CA25CF" w:rsidRDefault="002C0FD9" w:rsidP="00CA25CF">
            <w:pPr>
              <w:rPr>
                <w:rFonts w:cs="Arial"/>
                <w:color w:val="FF0000"/>
                <w:sz w:val="21"/>
                <w:szCs w:val="21"/>
              </w:rPr>
            </w:pPr>
          </w:p>
        </w:tc>
        <w:tc>
          <w:tcPr>
            <w:tcW w:w="217" w:type="dxa"/>
          </w:tcPr>
          <w:p w14:paraId="022A5CF4" w14:textId="77777777" w:rsidR="002C0FD9" w:rsidRPr="00CA25CF" w:rsidRDefault="002C0FD9" w:rsidP="00CA25CF">
            <w:pPr>
              <w:rPr>
                <w:rFonts w:cs="Arial"/>
                <w:color w:val="FF0000"/>
                <w:sz w:val="21"/>
                <w:szCs w:val="21"/>
              </w:rPr>
            </w:pPr>
          </w:p>
        </w:tc>
        <w:tc>
          <w:tcPr>
            <w:tcW w:w="217" w:type="dxa"/>
          </w:tcPr>
          <w:p w14:paraId="2E3CB511" w14:textId="77777777" w:rsidR="002C0FD9" w:rsidRPr="00CA25CF" w:rsidRDefault="002C0FD9" w:rsidP="00CA25CF">
            <w:pPr>
              <w:rPr>
                <w:rFonts w:cs="Arial"/>
                <w:color w:val="FF0000"/>
                <w:sz w:val="21"/>
                <w:szCs w:val="21"/>
              </w:rPr>
            </w:pPr>
          </w:p>
        </w:tc>
        <w:tc>
          <w:tcPr>
            <w:tcW w:w="217" w:type="dxa"/>
          </w:tcPr>
          <w:p w14:paraId="69FB0F08" w14:textId="77777777" w:rsidR="002C0FD9" w:rsidRPr="00CA25CF" w:rsidRDefault="002C0FD9" w:rsidP="00CA25CF">
            <w:pPr>
              <w:rPr>
                <w:rFonts w:cs="Arial"/>
                <w:color w:val="FF0000"/>
                <w:sz w:val="21"/>
                <w:szCs w:val="21"/>
              </w:rPr>
            </w:pPr>
          </w:p>
        </w:tc>
        <w:tc>
          <w:tcPr>
            <w:tcW w:w="217" w:type="dxa"/>
          </w:tcPr>
          <w:p w14:paraId="5F7C9180" w14:textId="77777777" w:rsidR="002C0FD9" w:rsidRPr="00CA25CF" w:rsidRDefault="002C0FD9" w:rsidP="00CA25CF">
            <w:pPr>
              <w:rPr>
                <w:rFonts w:cs="Arial"/>
                <w:color w:val="FF0000"/>
                <w:sz w:val="21"/>
                <w:szCs w:val="21"/>
              </w:rPr>
            </w:pPr>
          </w:p>
        </w:tc>
        <w:tc>
          <w:tcPr>
            <w:tcW w:w="217" w:type="dxa"/>
          </w:tcPr>
          <w:p w14:paraId="48E6D568" w14:textId="77777777" w:rsidR="002C0FD9" w:rsidRPr="00CA25CF" w:rsidRDefault="002C0FD9" w:rsidP="00CA25CF">
            <w:pPr>
              <w:rPr>
                <w:rFonts w:cs="Arial"/>
                <w:color w:val="FF0000"/>
                <w:sz w:val="21"/>
                <w:szCs w:val="21"/>
              </w:rPr>
            </w:pPr>
          </w:p>
        </w:tc>
        <w:tc>
          <w:tcPr>
            <w:tcW w:w="217" w:type="dxa"/>
          </w:tcPr>
          <w:p w14:paraId="5A95E4ED" w14:textId="77777777" w:rsidR="002C0FD9" w:rsidRPr="00CA25CF" w:rsidRDefault="002C0FD9" w:rsidP="00CA25CF">
            <w:pPr>
              <w:rPr>
                <w:rFonts w:cs="Arial"/>
                <w:color w:val="FF0000"/>
                <w:sz w:val="21"/>
                <w:szCs w:val="21"/>
              </w:rPr>
            </w:pPr>
          </w:p>
        </w:tc>
        <w:tc>
          <w:tcPr>
            <w:tcW w:w="217" w:type="dxa"/>
          </w:tcPr>
          <w:p w14:paraId="437C3263" w14:textId="77777777" w:rsidR="002C0FD9" w:rsidRPr="00CA25CF" w:rsidRDefault="002C0FD9" w:rsidP="00CA25CF">
            <w:pPr>
              <w:rPr>
                <w:rFonts w:cs="Arial"/>
                <w:color w:val="FF0000"/>
                <w:sz w:val="21"/>
                <w:szCs w:val="21"/>
              </w:rPr>
            </w:pPr>
          </w:p>
        </w:tc>
        <w:tc>
          <w:tcPr>
            <w:tcW w:w="217" w:type="dxa"/>
          </w:tcPr>
          <w:p w14:paraId="0EA5D516" w14:textId="77777777" w:rsidR="002C0FD9" w:rsidRPr="00CA25CF" w:rsidRDefault="002C0FD9" w:rsidP="00CA25CF">
            <w:pPr>
              <w:rPr>
                <w:rFonts w:cs="Arial"/>
                <w:color w:val="FF0000"/>
                <w:sz w:val="21"/>
                <w:szCs w:val="21"/>
              </w:rPr>
            </w:pPr>
          </w:p>
        </w:tc>
        <w:tc>
          <w:tcPr>
            <w:tcW w:w="217" w:type="dxa"/>
          </w:tcPr>
          <w:p w14:paraId="0AEC6DA9" w14:textId="77777777" w:rsidR="002C0FD9" w:rsidRPr="00CA25CF" w:rsidRDefault="002C0FD9" w:rsidP="00CA25CF">
            <w:pPr>
              <w:rPr>
                <w:rFonts w:cs="Arial"/>
                <w:color w:val="FF0000"/>
                <w:sz w:val="21"/>
                <w:szCs w:val="21"/>
              </w:rPr>
            </w:pPr>
          </w:p>
        </w:tc>
        <w:tc>
          <w:tcPr>
            <w:tcW w:w="217" w:type="dxa"/>
          </w:tcPr>
          <w:p w14:paraId="2B379681" w14:textId="77777777" w:rsidR="002C0FD9" w:rsidRPr="00CA25CF" w:rsidRDefault="002C0FD9" w:rsidP="00CA25CF">
            <w:pPr>
              <w:rPr>
                <w:rFonts w:cs="Arial"/>
                <w:color w:val="FF0000"/>
                <w:sz w:val="21"/>
                <w:szCs w:val="21"/>
              </w:rPr>
            </w:pPr>
          </w:p>
        </w:tc>
        <w:tc>
          <w:tcPr>
            <w:tcW w:w="217" w:type="dxa"/>
          </w:tcPr>
          <w:p w14:paraId="0E95AFDA" w14:textId="77777777" w:rsidR="002C0FD9" w:rsidRPr="00CA25CF" w:rsidRDefault="002C0FD9" w:rsidP="00CA25CF">
            <w:pPr>
              <w:rPr>
                <w:rFonts w:cs="Arial"/>
                <w:color w:val="FF0000"/>
                <w:sz w:val="21"/>
                <w:szCs w:val="21"/>
              </w:rPr>
            </w:pPr>
          </w:p>
        </w:tc>
        <w:tc>
          <w:tcPr>
            <w:tcW w:w="217" w:type="dxa"/>
          </w:tcPr>
          <w:p w14:paraId="1F8801A2" w14:textId="77777777" w:rsidR="002C0FD9" w:rsidRPr="00CA25CF" w:rsidRDefault="002C0FD9" w:rsidP="00CA25CF">
            <w:pPr>
              <w:rPr>
                <w:rFonts w:cs="Arial"/>
                <w:color w:val="FF0000"/>
                <w:sz w:val="21"/>
                <w:szCs w:val="21"/>
              </w:rPr>
            </w:pPr>
          </w:p>
        </w:tc>
        <w:tc>
          <w:tcPr>
            <w:tcW w:w="217" w:type="dxa"/>
          </w:tcPr>
          <w:p w14:paraId="3FB3699C" w14:textId="77777777" w:rsidR="002C0FD9" w:rsidRPr="00CA25CF" w:rsidRDefault="002C0FD9" w:rsidP="00CA25CF">
            <w:pPr>
              <w:rPr>
                <w:rFonts w:cs="Arial"/>
                <w:color w:val="FF0000"/>
                <w:sz w:val="21"/>
                <w:szCs w:val="21"/>
              </w:rPr>
            </w:pPr>
          </w:p>
        </w:tc>
        <w:tc>
          <w:tcPr>
            <w:tcW w:w="217" w:type="dxa"/>
          </w:tcPr>
          <w:p w14:paraId="60E763A1" w14:textId="77777777" w:rsidR="002C0FD9" w:rsidRPr="00CA25CF" w:rsidRDefault="002C0FD9" w:rsidP="00CA25CF">
            <w:pPr>
              <w:rPr>
                <w:rFonts w:cs="Arial"/>
                <w:color w:val="FF0000"/>
                <w:sz w:val="21"/>
                <w:szCs w:val="21"/>
              </w:rPr>
            </w:pPr>
          </w:p>
        </w:tc>
        <w:tc>
          <w:tcPr>
            <w:tcW w:w="217" w:type="dxa"/>
          </w:tcPr>
          <w:p w14:paraId="27E60F27" w14:textId="77777777" w:rsidR="002C0FD9" w:rsidRPr="00CA25CF" w:rsidRDefault="002C0FD9" w:rsidP="00CA25CF">
            <w:pPr>
              <w:rPr>
                <w:rFonts w:cs="Arial"/>
                <w:color w:val="FF0000"/>
                <w:sz w:val="21"/>
                <w:szCs w:val="21"/>
              </w:rPr>
            </w:pPr>
          </w:p>
        </w:tc>
        <w:tc>
          <w:tcPr>
            <w:tcW w:w="217" w:type="dxa"/>
          </w:tcPr>
          <w:p w14:paraId="3FE001B7" w14:textId="77777777" w:rsidR="002C0FD9" w:rsidRPr="00CA25CF" w:rsidRDefault="002C0FD9" w:rsidP="00CA25CF">
            <w:pPr>
              <w:rPr>
                <w:rFonts w:cs="Arial"/>
                <w:color w:val="FF0000"/>
                <w:sz w:val="21"/>
                <w:szCs w:val="21"/>
              </w:rPr>
            </w:pPr>
          </w:p>
        </w:tc>
        <w:tc>
          <w:tcPr>
            <w:tcW w:w="217" w:type="dxa"/>
          </w:tcPr>
          <w:p w14:paraId="0FAEAC50" w14:textId="77777777" w:rsidR="002C0FD9" w:rsidRPr="00CA25CF" w:rsidRDefault="002C0FD9" w:rsidP="00CA25CF">
            <w:pPr>
              <w:rPr>
                <w:rFonts w:cs="Arial"/>
                <w:color w:val="FF0000"/>
                <w:sz w:val="21"/>
                <w:szCs w:val="21"/>
              </w:rPr>
            </w:pPr>
          </w:p>
        </w:tc>
        <w:tc>
          <w:tcPr>
            <w:tcW w:w="217" w:type="dxa"/>
          </w:tcPr>
          <w:p w14:paraId="3B1542F1" w14:textId="77777777" w:rsidR="002C0FD9" w:rsidRPr="00CA25CF" w:rsidRDefault="002C0FD9" w:rsidP="00CA25CF">
            <w:pPr>
              <w:rPr>
                <w:rFonts w:cs="Arial"/>
                <w:color w:val="FF0000"/>
                <w:sz w:val="21"/>
                <w:szCs w:val="21"/>
              </w:rPr>
            </w:pPr>
          </w:p>
        </w:tc>
        <w:tc>
          <w:tcPr>
            <w:tcW w:w="217" w:type="dxa"/>
          </w:tcPr>
          <w:p w14:paraId="39B5F523" w14:textId="77777777" w:rsidR="002C0FD9" w:rsidRPr="00CA25CF" w:rsidRDefault="002C0FD9" w:rsidP="00CA25CF">
            <w:pPr>
              <w:rPr>
                <w:rFonts w:cs="Arial"/>
                <w:color w:val="FF0000"/>
                <w:sz w:val="21"/>
                <w:szCs w:val="21"/>
              </w:rPr>
            </w:pPr>
          </w:p>
        </w:tc>
        <w:tc>
          <w:tcPr>
            <w:tcW w:w="217" w:type="dxa"/>
          </w:tcPr>
          <w:p w14:paraId="148A1489" w14:textId="77777777" w:rsidR="002C0FD9" w:rsidRPr="00CA25CF" w:rsidRDefault="002C0FD9" w:rsidP="00CA25CF">
            <w:pPr>
              <w:rPr>
                <w:rFonts w:cs="Arial"/>
                <w:color w:val="FF0000"/>
                <w:sz w:val="21"/>
                <w:szCs w:val="21"/>
              </w:rPr>
            </w:pPr>
          </w:p>
        </w:tc>
        <w:tc>
          <w:tcPr>
            <w:tcW w:w="217" w:type="dxa"/>
          </w:tcPr>
          <w:p w14:paraId="104296ED" w14:textId="77777777" w:rsidR="002C0FD9" w:rsidRPr="00CA25CF" w:rsidRDefault="002C0FD9" w:rsidP="00CA25CF">
            <w:pPr>
              <w:rPr>
                <w:rFonts w:cs="Arial"/>
                <w:color w:val="FF0000"/>
                <w:sz w:val="21"/>
                <w:szCs w:val="21"/>
              </w:rPr>
            </w:pPr>
          </w:p>
        </w:tc>
      </w:tr>
      <w:tr w:rsidR="002C0FD9" w:rsidRPr="00A16219" w14:paraId="1D374EBF" w14:textId="0202EFE9" w:rsidTr="002C0FD9">
        <w:trPr>
          <w:trHeight w:val="635"/>
        </w:trPr>
        <w:tc>
          <w:tcPr>
            <w:tcW w:w="515" w:type="dxa"/>
          </w:tcPr>
          <w:p w14:paraId="4B6C83B1" w14:textId="77777777" w:rsidR="002C0FD9" w:rsidRPr="00CA25CF" w:rsidRDefault="002C0FD9" w:rsidP="00CA25CF">
            <w:pPr>
              <w:rPr>
                <w:rFonts w:cs="Arial"/>
                <w:color w:val="FF0000"/>
                <w:sz w:val="21"/>
                <w:szCs w:val="21"/>
              </w:rPr>
            </w:pPr>
          </w:p>
        </w:tc>
        <w:tc>
          <w:tcPr>
            <w:tcW w:w="217" w:type="dxa"/>
          </w:tcPr>
          <w:p w14:paraId="4A1D6AA5" w14:textId="77777777" w:rsidR="002C0FD9" w:rsidRPr="00CA25CF" w:rsidRDefault="002C0FD9" w:rsidP="00CA25CF">
            <w:pPr>
              <w:rPr>
                <w:rFonts w:cs="Arial"/>
                <w:color w:val="FF0000"/>
                <w:sz w:val="21"/>
                <w:szCs w:val="21"/>
              </w:rPr>
            </w:pPr>
          </w:p>
        </w:tc>
        <w:tc>
          <w:tcPr>
            <w:tcW w:w="217" w:type="dxa"/>
          </w:tcPr>
          <w:p w14:paraId="1D04F9D7" w14:textId="5FF4B700" w:rsidR="002C0FD9" w:rsidRPr="00CA25CF" w:rsidRDefault="002C0FD9" w:rsidP="00CA25CF">
            <w:pPr>
              <w:rPr>
                <w:rFonts w:cs="Arial"/>
                <w:color w:val="FF0000"/>
                <w:sz w:val="21"/>
                <w:szCs w:val="21"/>
              </w:rPr>
            </w:pPr>
          </w:p>
        </w:tc>
        <w:tc>
          <w:tcPr>
            <w:tcW w:w="217" w:type="dxa"/>
          </w:tcPr>
          <w:p w14:paraId="62F16D18" w14:textId="77777777" w:rsidR="002C0FD9" w:rsidRPr="00CA25CF" w:rsidRDefault="002C0FD9" w:rsidP="00CA25CF">
            <w:pPr>
              <w:rPr>
                <w:rFonts w:cs="Arial"/>
                <w:color w:val="FF0000"/>
                <w:sz w:val="21"/>
                <w:szCs w:val="21"/>
              </w:rPr>
            </w:pPr>
          </w:p>
        </w:tc>
        <w:tc>
          <w:tcPr>
            <w:tcW w:w="217" w:type="dxa"/>
          </w:tcPr>
          <w:p w14:paraId="62F31034" w14:textId="77777777" w:rsidR="002C0FD9" w:rsidRPr="00CA25CF" w:rsidRDefault="002C0FD9" w:rsidP="00CA25CF">
            <w:pPr>
              <w:rPr>
                <w:rFonts w:cs="Arial"/>
                <w:color w:val="FF0000"/>
                <w:sz w:val="21"/>
                <w:szCs w:val="21"/>
              </w:rPr>
            </w:pPr>
          </w:p>
        </w:tc>
        <w:tc>
          <w:tcPr>
            <w:tcW w:w="217" w:type="dxa"/>
          </w:tcPr>
          <w:p w14:paraId="21C1769B" w14:textId="77777777" w:rsidR="002C0FD9" w:rsidRPr="00CA25CF" w:rsidRDefault="002C0FD9" w:rsidP="00CA25CF">
            <w:pPr>
              <w:rPr>
                <w:rFonts w:cs="Arial"/>
                <w:color w:val="FF0000"/>
                <w:sz w:val="21"/>
                <w:szCs w:val="21"/>
              </w:rPr>
            </w:pPr>
          </w:p>
        </w:tc>
        <w:tc>
          <w:tcPr>
            <w:tcW w:w="217" w:type="dxa"/>
          </w:tcPr>
          <w:p w14:paraId="15EFD860" w14:textId="77777777" w:rsidR="002C0FD9" w:rsidRPr="00CA25CF" w:rsidRDefault="002C0FD9" w:rsidP="00CA25CF">
            <w:pPr>
              <w:rPr>
                <w:rFonts w:cs="Arial"/>
                <w:color w:val="FF0000"/>
                <w:sz w:val="21"/>
                <w:szCs w:val="21"/>
              </w:rPr>
            </w:pPr>
          </w:p>
        </w:tc>
        <w:tc>
          <w:tcPr>
            <w:tcW w:w="217" w:type="dxa"/>
          </w:tcPr>
          <w:p w14:paraId="2D4C99F7" w14:textId="77777777" w:rsidR="002C0FD9" w:rsidRPr="00CA25CF" w:rsidRDefault="002C0FD9" w:rsidP="00CA25CF">
            <w:pPr>
              <w:rPr>
                <w:rFonts w:cs="Arial"/>
                <w:color w:val="FF0000"/>
                <w:sz w:val="21"/>
                <w:szCs w:val="21"/>
              </w:rPr>
            </w:pPr>
          </w:p>
        </w:tc>
        <w:tc>
          <w:tcPr>
            <w:tcW w:w="217" w:type="dxa"/>
          </w:tcPr>
          <w:p w14:paraId="6EBB7052" w14:textId="77777777" w:rsidR="002C0FD9" w:rsidRPr="00CA25CF" w:rsidRDefault="002C0FD9" w:rsidP="00CA25CF">
            <w:pPr>
              <w:rPr>
                <w:rFonts w:cs="Arial"/>
                <w:color w:val="FF0000"/>
                <w:sz w:val="21"/>
                <w:szCs w:val="21"/>
              </w:rPr>
            </w:pPr>
          </w:p>
        </w:tc>
        <w:tc>
          <w:tcPr>
            <w:tcW w:w="217" w:type="dxa"/>
          </w:tcPr>
          <w:p w14:paraId="27D0E098" w14:textId="77777777" w:rsidR="002C0FD9" w:rsidRPr="00CA25CF" w:rsidRDefault="002C0FD9" w:rsidP="00CA25CF">
            <w:pPr>
              <w:rPr>
                <w:rFonts w:cs="Arial"/>
                <w:color w:val="FF0000"/>
                <w:sz w:val="21"/>
                <w:szCs w:val="21"/>
              </w:rPr>
            </w:pPr>
          </w:p>
        </w:tc>
        <w:tc>
          <w:tcPr>
            <w:tcW w:w="217" w:type="dxa"/>
          </w:tcPr>
          <w:p w14:paraId="1344E2CA" w14:textId="77777777" w:rsidR="002C0FD9" w:rsidRPr="00CA25CF" w:rsidRDefault="002C0FD9" w:rsidP="00CA25CF">
            <w:pPr>
              <w:rPr>
                <w:rFonts w:cs="Arial"/>
                <w:color w:val="FF0000"/>
                <w:sz w:val="21"/>
                <w:szCs w:val="21"/>
              </w:rPr>
            </w:pPr>
          </w:p>
        </w:tc>
        <w:tc>
          <w:tcPr>
            <w:tcW w:w="217" w:type="dxa"/>
          </w:tcPr>
          <w:p w14:paraId="54BD225E" w14:textId="77777777" w:rsidR="002C0FD9" w:rsidRPr="00CA25CF" w:rsidRDefault="002C0FD9" w:rsidP="00CA25CF">
            <w:pPr>
              <w:rPr>
                <w:rFonts w:cs="Arial"/>
                <w:color w:val="FF0000"/>
                <w:sz w:val="21"/>
                <w:szCs w:val="21"/>
              </w:rPr>
            </w:pPr>
          </w:p>
        </w:tc>
        <w:tc>
          <w:tcPr>
            <w:tcW w:w="217" w:type="dxa"/>
          </w:tcPr>
          <w:p w14:paraId="76DC58D2" w14:textId="77777777" w:rsidR="002C0FD9" w:rsidRPr="00CA25CF" w:rsidRDefault="002C0FD9" w:rsidP="00CA25CF">
            <w:pPr>
              <w:rPr>
                <w:rFonts w:cs="Arial"/>
                <w:color w:val="FF0000"/>
                <w:sz w:val="21"/>
                <w:szCs w:val="21"/>
              </w:rPr>
            </w:pPr>
          </w:p>
        </w:tc>
        <w:tc>
          <w:tcPr>
            <w:tcW w:w="217" w:type="dxa"/>
          </w:tcPr>
          <w:p w14:paraId="7E4866F9" w14:textId="77777777" w:rsidR="002C0FD9" w:rsidRPr="00CA25CF" w:rsidRDefault="002C0FD9" w:rsidP="00CA25CF">
            <w:pPr>
              <w:rPr>
                <w:rFonts w:cs="Arial"/>
                <w:color w:val="FF0000"/>
                <w:sz w:val="21"/>
                <w:szCs w:val="21"/>
              </w:rPr>
            </w:pPr>
          </w:p>
        </w:tc>
        <w:tc>
          <w:tcPr>
            <w:tcW w:w="217" w:type="dxa"/>
          </w:tcPr>
          <w:p w14:paraId="3AA353DF" w14:textId="77777777" w:rsidR="002C0FD9" w:rsidRPr="00CA25CF" w:rsidRDefault="002C0FD9" w:rsidP="00CA25CF">
            <w:pPr>
              <w:rPr>
                <w:rFonts w:cs="Arial"/>
                <w:color w:val="FF0000"/>
                <w:sz w:val="21"/>
                <w:szCs w:val="21"/>
              </w:rPr>
            </w:pPr>
          </w:p>
        </w:tc>
        <w:tc>
          <w:tcPr>
            <w:tcW w:w="217" w:type="dxa"/>
          </w:tcPr>
          <w:p w14:paraId="26D55DC4" w14:textId="77777777" w:rsidR="002C0FD9" w:rsidRPr="00CA25CF" w:rsidRDefault="002C0FD9" w:rsidP="00CA25CF">
            <w:pPr>
              <w:rPr>
                <w:rFonts w:cs="Arial"/>
                <w:color w:val="FF0000"/>
                <w:sz w:val="21"/>
                <w:szCs w:val="21"/>
              </w:rPr>
            </w:pPr>
          </w:p>
        </w:tc>
        <w:tc>
          <w:tcPr>
            <w:tcW w:w="217" w:type="dxa"/>
          </w:tcPr>
          <w:p w14:paraId="627AF42E" w14:textId="77777777" w:rsidR="002C0FD9" w:rsidRPr="00CA25CF" w:rsidRDefault="002C0FD9" w:rsidP="00CA25CF">
            <w:pPr>
              <w:rPr>
                <w:rFonts w:cs="Arial"/>
                <w:color w:val="FF0000"/>
                <w:sz w:val="21"/>
                <w:szCs w:val="21"/>
              </w:rPr>
            </w:pPr>
          </w:p>
        </w:tc>
        <w:tc>
          <w:tcPr>
            <w:tcW w:w="217" w:type="dxa"/>
          </w:tcPr>
          <w:p w14:paraId="21F66998" w14:textId="77777777" w:rsidR="002C0FD9" w:rsidRPr="00CA25CF" w:rsidRDefault="002C0FD9" w:rsidP="00CA25CF">
            <w:pPr>
              <w:rPr>
                <w:rFonts w:cs="Arial"/>
                <w:color w:val="FF0000"/>
                <w:sz w:val="21"/>
                <w:szCs w:val="21"/>
              </w:rPr>
            </w:pPr>
          </w:p>
        </w:tc>
        <w:tc>
          <w:tcPr>
            <w:tcW w:w="217" w:type="dxa"/>
          </w:tcPr>
          <w:p w14:paraId="053DC0BE" w14:textId="77777777" w:rsidR="002C0FD9" w:rsidRPr="00CA25CF" w:rsidRDefault="002C0FD9" w:rsidP="00CA25CF">
            <w:pPr>
              <w:rPr>
                <w:rFonts w:cs="Arial"/>
                <w:color w:val="FF0000"/>
                <w:sz w:val="21"/>
                <w:szCs w:val="21"/>
              </w:rPr>
            </w:pPr>
          </w:p>
        </w:tc>
        <w:tc>
          <w:tcPr>
            <w:tcW w:w="217" w:type="dxa"/>
          </w:tcPr>
          <w:p w14:paraId="2D17E84E" w14:textId="77777777" w:rsidR="002C0FD9" w:rsidRPr="00CA25CF" w:rsidRDefault="002C0FD9" w:rsidP="00CA25CF">
            <w:pPr>
              <w:rPr>
                <w:rFonts w:cs="Arial"/>
                <w:color w:val="FF0000"/>
                <w:sz w:val="21"/>
                <w:szCs w:val="21"/>
              </w:rPr>
            </w:pPr>
          </w:p>
        </w:tc>
        <w:tc>
          <w:tcPr>
            <w:tcW w:w="217" w:type="dxa"/>
          </w:tcPr>
          <w:p w14:paraId="0937C36B" w14:textId="77777777" w:rsidR="002C0FD9" w:rsidRPr="00CA25CF" w:rsidRDefault="002C0FD9" w:rsidP="00CA25CF">
            <w:pPr>
              <w:rPr>
                <w:rFonts w:cs="Arial"/>
                <w:color w:val="FF0000"/>
                <w:sz w:val="21"/>
                <w:szCs w:val="21"/>
              </w:rPr>
            </w:pPr>
          </w:p>
        </w:tc>
        <w:tc>
          <w:tcPr>
            <w:tcW w:w="217" w:type="dxa"/>
          </w:tcPr>
          <w:p w14:paraId="3B50937F" w14:textId="77777777" w:rsidR="002C0FD9" w:rsidRPr="00CA25CF" w:rsidRDefault="002C0FD9" w:rsidP="00CA25CF">
            <w:pPr>
              <w:rPr>
                <w:rFonts w:cs="Arial"/>
                <w:color w:val="FF0000"/>
                <w:sz w:val="21"/>
                <w:szCs w:val="21"/>
              </w:rPr>
            </w:pPr>
          </w:p>
        </w:tc>
        <w:tc>
          <w:tcPr>
            <w:tcW w:w="217" w:type="dxa"/>
          </w:tcPr>
          <w:p w14:paraId="45BA62BC" w14:textId="77777777" w:rsidR="002C0FD9" w:rsidRPr="00CA25CF" w:rsidRDefault="002C0FD9" w:rsidP="00CA25CF">
            <w:pPr>
              <w:rPr>
                <w:rFonts w:cs="Arial"/>
                <w:color w:val="FF0000"/>
                <w:sz w:val="21"/>
                <w:szCs w:val="21"/>
              </w:rPr>
            </w:pPr>
          </w:p>
        </w:tc>
        <w:tc>
          <w:tcPr>
            <w:tcW w:w="217" w:type="dxa"/>
          </w:tcPr>
          <w:p w14:paraId="1A6A9CC5" w14:textId="77777777" w:rsidR="002C0FD9" w:rsidRPr="00CA25CF" w:rsidRDefault="002C0FD9" w:rsidP="00CA25CF">
            <w:pPr>
              <w:rPr>
                <w:rFonts w:cs="Arial"/>
                <w:color w:val="FF0000"/>
                <w:sz w:val="21"/>
                <w:szCs w:val="21"/>
              </w:rPr>
            </w:pPr>
          </w:p>
        </w:tc>
        <w:tc>
          <w:tcPr>
            <w:tcW w:w="217" w:type="dxa"/>
          </w:tcPr>
          <w:p w14:paraId="070CED37" w14:textId="77777777" w:rsidR="002C0FD9" w:rsidRPr="00CA25CF" w:rsidRDefault="002C0FD9" w:rsidP="00CA25CF">
            <w:pPr>
              <w:rPr>
                <w:rFonts w:cs="Arial"/>
                <w:color w:val="FF0000"/>
                <w:sz w:val="21"/>
                <w:szCs w:val="21"/>
              </w:rPr>
            </w:pPr>
          </w:p>
        </w:tc>
        <w:tc>
          <w:tcPr>
            <w:tcW w:w="217" w:type="dxa"/>
          </w:tcPr>
          <w:p w14:paraId="15F4FA93" w14:textId="77777777" w:rsidR="002C0FD9" w:rsidRPr="00CA25CF" w:rsidRDefault="002C0FD9" w:rsidP="00CA25CF">
            <w:pPr>
              <w:rPr>
                <w:rFonts w:cs="Arial"/>
                <w:color w:val="FF0000"/>
                <w:sz w:val="21"/>
                <w:szCs w:val="21"/>
              </w:rPr>
            </w:pPr>
          </w:p>
        </w:tc>
        <w:tc>
          <w:tcPr>
            <w:tcW w:w="217" w:type="dxa"/>
          </w:tcPr>
          <w:p w14:paraId="723D9797" w14:textId="77777777" w:rsidR="002C0FD9" w:rsidRPr="00CA25CF" w:rsidRDefault="002C0FD9" w:rsidP="00CA25CF">
            <w:pPr>
              <w:rPr>
                <w:rFonts w:cs="Arial"/>
                <w:color w:val="FF0000"/>
                <w:sz w:val="21"/>
                <w:szCs w:val="21"/>
              </w:rPr>
            </w:pPr>
          </w:p>
        </w:tc>
        <w:tc>
          <w:tcPr>
            <w:tcW w:w="217" w:type="dxa"/>
          </w:tcPr>
          <w:p w14:paraId="3FED72EB" w14:textId="77777777" w:rsidR="002C0FD9" w:rsidRPr="00CA25CF" w:rsidRDefault="002C0FD9" w:rsidP="00CA25CF">
            <w:pPr>
              <w:rPr>
                <w:rFonts w:cs="Arial"/>
                <w:color w:val="FF0000"/>
                <w:sz w:val="21"/>
                <w:szCs w:val="21"/>
              </w:rPr>
            </w:pPr>
          </w:p>
        </w:tc>
        <w:tc>
          <w:tcPr>
            <w:tcW w:w="217" w:type="dxa"/>
          </w:tcPr>
          <w:p w14:paraId="135E6CFA" w14:textId="77777777" w:rsidR="002C0FD9" w:rsidRPr="00CA25CF" w:rsidRDefault="002C0FD9" w:rsidP="00CA25CF">
            <w:pPr>
              <w:rPr>
                <w:rFonts w:cs="Arial"/>
                <w:color w:val="FF0000"/>
                <w:sz w:val="21"/>
                <w:szCs w:val="21"/>
              </w:rPr>
            </w:pPr>
          </w:p>
        </w:tc>
        <w:tc>
          <w:tcPr>
            <w:tcW w:w="217" w:type="dxa"/>
          </w:tcPr>
          <w:p w14:paraId="288770DD" w14:textId="77777777" w:rsidR="002C0FD9" w:rsidRPr="00CA25CF" w:rsidRDefault="002C0FD9" w:rsidP="00CA25CF">
            <w:pPr>
              <w:rPr>
                <w:rFonts w:cs="Arial"/>
                <w:color w:val="FF0000"/>
                <w:sz w:val="21"/>
                <w:szCs w:val="21"/>
              </w:rPr>
            </w:pPr>
          </w:p>
        </w:tc>
        <w:tc>
          <w:tcPr>
            <w:tcW w:w="217" w:type="dxa"/>
          </w:tcPr>
          <w:p w14:paraId="6F01910B" w14:textId="77777777" w:rsidR="002C0FD9" w:rsidRPr="00CA25CF" w:rsidRDefault="002C0FD9" w:rsidP="00CA25CF">
            <w:pPr>
              <w:rPr>
                <w:rFonts w:cs="Arial"/>
                <w:color w:val="FF0000"/>
                <w:sz w:val="21"/>
                <w:szCs w:val="21"/>
              </w:rPr>
            </w:pPr>
          </w:p>
        </w:tc>
        <w:tc>
          <w:tcPr>
            <w:tcW w:w="217" w:type="dxa"/>
          </w:tcPr>
          <w:p w14:paraId="2A264D22" w14:textId="77777777" w:rsidR="002C0FD9" w:rsidRPr="00CA25CF" w:rsidRDefault="002C0FD9" w:rsidP="00CA25CF">
            <w:pPr>
              <w:rPr>
                <w:rFonts w:cs="Arial"/>
                <w:color w:val="FF0000"/>
                <w:sz w:val="21"/>
                <w:szCs w:val="21"/>
              </w:rPr>
            </w:pPr>
          </w:p>
        </w:tc>
        <w:tc>
          <w:tcPr>
            <w:tcW w:w="217" w:type="dxa"/>
          </w:tcPr>
          <w:p w14:paraId="1A69C7AD" w14:textId="77777777" w:rsidR="002C0FD9" w:rsidRPr="00CA25CF" w:rsidRDefault="002C0FD9" w:rsidP="00CA25CF">
            <w:pPr>
              <w:rPr>
                <w:rFonts w:cs="Arial"/>
                <w:color w:val="FF0000"/>
                <w:sz w:val="21"/>
                <w:szCs w:val="21"/>
              </w:rPr>
            </w:pPr>
          </w:p>
        </w:tc>
        <w:tc>
          <w:tcPr>
            <w:tcW w:w="217" w:type="dxa"/>
          </w:tcPr>
          <w:p w14:paraId="671E05C5" w14:textId="77777777" w:rsidR="002C0FD9" w:rsidRPr="00CA25CF" w:rsidRDefault="002C0FD9" w:rsidP="00CA25CF">
            <w:pPr>
              <w:rPr>
                <w:rFonts w:cs="Arial"/>
                <w:color w:val="FF0000"/>
                <w:sz w:val="21"/>
                <w:szCs w:val="21"/>
              </w:rPr>
            </w:pPr>
          </w:p>
        </w:tc>
        <w:tc>
          <w:tcPr>
            <w:tcW w:w="217" w:type="dxa"/>
          </w:tcPr>
          <w:p w14:paraId="05D0532D" w14:textId="77777777" w:rsidR="002C0FD9" w:rsidRPr="00CA25CF" w:rsidRDefault="002C0FD9" w:rsidP="00CA25CF">
            <w:pPr>
              <w:rPr>
                <w:rFonts w:cs="Arial"/>
                <w:color w:val="FF0000"/>
                <w:sz w:val="21"/>
                <w:szCs w:val="21"/>
              </w:rPr>
            </w:pPr>
          </w:p>
        </w:tc>
        <w:tc>
          <w:tcPr>
            <w:tcW w:w="217" w:type="dxa"/>
          </w:tcPr>
          <w:p w14:paraId="24139B73" w14:textId="77777777" w:rsidR="002C0FD9" w:rsidRPr="00CA25CF" w:rsidRDefault="002C0FD9" w:rsidP="00CA25CF">
            <w:pPr>
              <w:rPr>
                <w:rFonts w:cs="Arial"/>
                <w:color w:val="FF0000"/>
                <w:sz w:val="21"/>
                <w:szCs w:val="21"/>
              </w:rPr>
            </w:pPr>
          </w:p>
        </w:tc>
        <w:tc>
          <w:tcPr>
            <w:tcW w:w="217" w:type="dxa"/>
          </w:tcPr>
          <w:p w14:paraId="1F3F43CD" w14:textId="77777777" w:rsidR="002C0FD9" w:rsidRPr="00CA25CF" w:rsidRDefault="002C0FD9" w:rsidP="00CA25CF">
            <w:pPr>
              <w:rPr>
                <w:rFonts w:cs="Arial"/>
                <w:color w:val="FF0000"/>
                <w:sz w:val="21"/>
                <w:szCs w:val="21"/>
              </w:rPr>
            </w:pPr>
          </w:p>
        </w:tc>
        <w:tc>
          <w:tcPr>
            <w:tcW w:w="217" w:type="dxa"/>
          </w:tcPr>
          <w:p w14:paraId="5918CBB7" w14:textId="77777777" w:rsidR="002C0FD9" w:rsidRPr="00CA25CF" w:rsidRDefault="002C0FD9" w:rsidP="00CA25CF">
            <w:pPr>
              <w:rPr>
                <w:rFonts w:cs="Arial"/>
                <w:color w:val="FF0000"/>
                <w:sz w:val="21"/>
                <w:szCs w:val="21"/>
              </w:rPr>
            </w:pPr>
          </w:p>
        </w:tc>
        <w:tc>
          <w:tcPr>
            <w:tcW w:w="217" w:type="dxa"/>
          </w:tcPr>
          <w:p w14:paraId="274C06D2" w14:textId="77777777" w:rsidR="002C0FD9" w:rsidRPr="00CA25CF" w:rsidRDefault="002C0FD9" w:rsidP="00CA25CF">
            <w:pPr>
              <w:rPr>
                <w:rFonts w:cs="Arial"/>
                <w:color w:val="FF0000"/>
                <w:sz w:val="21"/>
                <w:szCs w:val="21"/>
              </w:rPr>
            </w:pPr>
          </w:p>
        </w:tc>
        <w:tc>
          <w:tcPr>
            <w:tcW w:w="217" w:type="dxa"/>
          </w:tcPr>
          <w:p w14:paraId="2AAE69E0" w14:textId="77777777" w:rsidR="002C0FD9" w:rsidRPr="00CA25CF" w:rsidRDefault="002C0FD9" w:rsidP="00CA25CF">
            <w:pPr>
              <w:rPr>
                <w:rFonts w:cs="Arial"/>
                <w:color w:val="FF0000"/>
                <w:sz w:val="21"/>
                <w:szCs w:val="21"/>
              </w:rPr>
            </w:pPr>
          </w:p>
        </w:tc>
        <w:tc>
          <w:tcPr>
            <w:tcW w:w="217" w:type="dxa"/>
          </w:tcPr>
          <w:p w14:paraId="00208A13" w14:textId="77777777" w:rsidR="002C0FD9" w:rsidRPr="00CA25CF" w:rsidRDefault="002C0FD9" w:rsidP="00CA25CF">
            <w:pPr>
              <w:rPr>
                <w:rFonts w:cs="Arial"/>
                <w:color w:val="FF0000"/>
                <w:sz w:val="21"/>
                <w:szCs w:val="21"/>
              </w:rPr>
            </w:pPr>
          </w:p>
        </w:tc>
        <w:tc>
          <w:tcPr>
            <w:tcW w:w="217" w:type="dxa"/>
          </w:tcPr>
          <w:p w14:paraId="7B5DAA41" w14:textId="77777777" w:rsidR="002C0FD9" w:rsidRPr="00CA25CF" w:rsidRDefault="002C0FD9" w:rsidP="00CA25CF">
            <w:pPr>
              <w:rPr>
                <w:rFonts w:cs="Arial"/>
                <w:color w:val="FF0000"/>
                <w:sz w:val="21"/>
                <w:szCs w:val="21"/>
              </w:rPr>
            </w:pPr>
          </w:p>
        </w:tc>
        <w:tc>
          <w:tcPr>
            <w:tcW w:w="217" w:type="dxa"/>
          </w:tcPr>
          <w:p w14:paraId="53597806" w14:textId="77777777" w:rsidR="002C0FD9" w:rsidRPr="00CA25CF" w:rsidRDefault="002C0FD9" w:rsidP="00CA25CF">
            <w:pPr>
              <w:rPr>
                <w:rFonts w:cs="Arial"/>
                <w:color w:val="FF0000"/>
                <w:sz w:val="21"/>
                <w:szCs w:val="21"/>
              </w:rPr>
            </w:pPr>
          </w:p>
        </w:tc>
      </w:tr>
      <w:tr w:rsidR="002C0FD9" w:rsidRPr="00A16219" w14:paraId="59C25C00" w14:textId="77936EB5" w:rsidTr="002C0FD9">
        <w:trPr>
          <w:trHeight w:val="635"/>
        </w:trPr>
        <w:tc>
          <w:tcPr>
            <w:tcW w:w="515" w:type="dxa"/>
          </w:tcPr>
          <w:p w14:paraId="6DD4C688" w14:textId="77777777" w:rsidR="002C0FD9" w:rsidRPr="00CA25CF" w:rsidRDefault="002C0FD9" w:rsidP="00CA25CF">
            <w:pPr>
              <w:rPr>
                <w:rFonts w:cs="Arial"/>
                <w:color w:val="FF0000"/>
                <w:sz w:val="21"/>
                <w:szCs w:val="21"/>
              </w:rPr>
            </w:pPr>
          </w:p>
        </w:tc>
        <w:tc>
          <w:tcPr>
            <w:tcW w:w="217" w:type="dxa"/>
          </w:tcPr>
          <w:p w14:paraId="269DE39B" w14:textId="77777777" w:rsidR="002C0FD9" w:rsidRPr="00CA25CF" w:rsidRDefault="002C0FD9" w:rsidP="00CA25CF">
            <w:pPr>
              <w:rPr>
                <w:rFonts w:cs="Arial"/>
                <w:color w:val="FF0000"/>
                <w:sz w:val="21"/>
                <w:szCs w:val="21"/>
              </w:rPr>
            </w:pPr>
          </w:p>
        </w:tc>
        <w:tc>
          <w:tcPr>
            <w:tcW w:w="217" w:type="dxa"/>
          </w:tcPr>
          <w:p w14:paraId="16D144BF" w14:textId="73FC06CD" w:rsidR="002C0FD9" w:rsidRPr="00CA25CF" w:rsidRDefault="002C0FD9" w:rsidP="00CA25CF">
            <w:pPr>
              <w:rPr>
                <w:rFonts w:cs="Arial"/>
                <w:color w:val="FF0000"/>
                <w:sz w:val="21"/>
                <w:szCs w:val="21"/>
              </w:rPr>
            </w:pPr>
          </w:p>
        </w:tc>
        <w:tc>
          <w:tcPr>
            <w:tcW w:w="217" w:type="dxa"/>
          </w:tcPr>
          <w:p w14:paraId="75471818" w14:textId="77777777" w:rsidR="002C0FD9" w:rsidRPr="00CA25CF" w:rsidRDefault="002C0FD9" w:rsidP="00CA25CF">
            <w:pPr>
              <w:rPr>
                <w:rFonts w:cs="Arial"/>
                <w:color w:val="FF0000"/>
                <w:sz w:val="21"/>
                <w:szCs w:val="21"/>
              </w:rPr>
            </w:pPr>
          </w:p>
        </w:tc>
        <w:tc>
          <w:tcPr>
            <w:tcW w:w="217" w:type="dxa"/>
          </w:tcPr>
          <w:p w14:paraId="43744036" w14:textId="77777777" w:rsidR="002C0FD9" w:rsidRPr="00CA25CF" w:rsidRDefault="002C0FD9" w:rsidP="00CA25CF">
            <w:pPr>
              <w:rPr>
                <w:rFonts w:cs="Arial"/>
                <w:color w:val="FF0000"/>
                <w:sz w:val="21"/>
                <w:szCs w:val="21"/>
              </w:rPr>
            </w:pPr>
          </w:p>
        </w:tc>
        <w:tc>
          <w:tcPr>
            <w:tcW w:w="217" w:type="dxa"/>
          </w:tcPr>
          <w:p w14:paraId="5DD03C3F" w14:textId="77777777" w:rsidR="002C0FD9" w:rsidRPr="00CA25CF" w:rsidRDefault="002C0FD9" w:rsidP="00CA25CF">
            <w:pPr>
              <w:rPr>
                <w:rFonts w:cs="Arial"/>
                <w:color w:val="FF0000"/>
                <w:sz w:val="21"/>
                <w:szCs w:val="21"/>
              </w:rPr>
            </w:pPr>
          </w:p>
        </w:tc>
        <w:tc>
          <w:tcPr>
            <w:tcW w:w="217" w:type="dxa"/>
          </w:tcPr>
          <w:p w14:paraId="18A4148E" w14:textId="77777777" w:rsidR="002C0FD9" w:rsidRPr="00CA25CF" w:rsidRDefault="002C0FD9" w:rsidP="00CA25CF">
            <w:pPr>
              <w:rPr>
                <w:rFonts w:cs="Arial"/>
                <w:color w:val="FF0000"/>
                <w:sz w:val="21"/>
                <w:szCs w:val="21"/>
              </w:rPr>
            </w:pPr>
          </w:p>
        </w:tc>
        <w:tc>
          <w:tcPr>
            <w:tcW w:w="217" w:type="dxa"/>
          </w:tcPr>
          <w:p w14:paraId="69B552FE" w14:textId="77777777" w:rsidR="002C0FD9" w:rsidRPr="00CA25CF" w:rsidRDefault="002C0FD9" w:rsidP="00CA25CF">
            <w:pPr>
              <w:rPr>
                <w:rFonts w:cs="Arial"/>
                <w:color w:val="FF0000"/>
                <w:sz w:val="21"/>
                <w:szCs w:val="21"/>
              </w:rPr>
            </w:pPr>
          </w:p>
        </w:tc>
        <w:tc>
          <w:tcPr>
            <w:tcW w:w="217" w:type="dxa"/>
          </w:tcPr>
          <w:p w14:paraId="6C3DB815" w14:textId="77777777" w:rsidR="002C0FD9" w:rsidRPr="00CA25CF" w:rsidRDefault="002C0FD9" w:rsidP="00CA25CF">
            <w:pPr>
              <w:rPr>
                <w:rFonts w:cs="Arial"/>
                <w:color w:val="FF0000"/>
                <w:sz w:val="21"/>
                <w:szCs w:val="21"/>
              </w:rPr>
            </w:pPr>
          </w:p>
        </w:tc>
        <w:tc>
          <w:tcPr>
            <w:tcW w:w="217" w:type="dxa"/>
          </w:tcPr>
          <w:p w14:paraId="16CBE75B" w14:textId="77777777" w:rsidR="002C0FD9" w:rsidRPr="00CA25CF" w:rsidRDefault="002C0FD9" w:rsidP="00CA25CF">
            <w:pPr>
              <w:rPr>
                <w:rFonts w:cs="Arial"/>
                <w:color w:val="FF0000"/>
                <w:sz w:val="21"/>
                <w:szCs w:val="21"/>
              </w:rPr>
            </w:pPr>
          </w:p>
        </w:tc>
        <w:tc>
          <w:tcPr>
            <w:tcW w:w="217" w:type="dxa"/>
          </w:tcPr>
          <w:p w14:paraId="27774CED" w14:textId="77777777" w:rsidR="002C0FD9" w:rsidRPr="00CA25CF" w:rsidRDefault="002C0FD9" w:rsidP="00CA25CF">
            <w:pPr>
              <w:rPr>
                <w:rFonts w:cs="Arial"/>
                <w:color w:val="FF0000"/>
                <w:sz w:val="21"/>
                <w:szCs w:val="21"/>
              </w:rPr>
            </w:pPr>
          </w:p>
        </w:tc>
        <w:tc>
          <w:tcPr>
            <w:tcW w:w="217" w:type="dxa"/>
          </w:tcPr>
          <w:p w14:paraId="26CEE2C9" w14:textId="77777777" w:rsidR="002C0FD9" w:rsidRPr="00CA25CF" w:rsidRDefault="002C0FD9" w:rsidP="00CA25CF">
            <w:pPr>
              <w:rPr>
                <w:rFonts w:cs="Arial"/>
                <w:color w:val="FF0000"/>
                <w:sz w:val="21"/>
                <w:szCs w:val="21"/>
              </w:rPr>
            </w:pPr>
          </w:p>
        </w:tc>
        <w:tc>
          <w:tcPr>
            <w:tcW w:w="217" w:type="dxa"/>
          </w:tcPr>
          <w:p w14:paraId="69DF05D2" w14:textId="77777777" w:rsidR="002C0FD9" w:rsidRPr="00CA25CF" w:rsidRDefault="002C0FD9" w:rsidP="00CA25CF">
            <w:pPr>
              <w:rPr>
                <w:rFonts w:cs="Arial"/>
                <w:color w:val="FF0000"/>
                <w:sz w:val="21"/>
                <w:szCs w:val="21"/>
              </w:rPr>
            </w:pPr>
          </w:p>
        </w:tc>
        <w:tc>
          <w:tcPr>
            <w:tcW w:w="217" w:type="dxa"/>
          </w:tcPr>
          <w:p w14:paraId="2BEF2A19" w14:textId="77777777" w:rsidR="002C0FD9" w:rsidRPr="00CA25CF" w:rsidRDefault="002C0FD9" w:rsidP="00CA25CF">
            <w:pPr>
              <w:rPr>
                <w:rFonts w:cs="Arial"/>
                <w:color w:val="FF0000"/>
                <w:sz w:val="21"/>
                <w:szCs w:val="21"/>
              </w:rPr>
            </w:pPr>
          </w:p>
        </w:tc>
        <w:tc>
          <w:tcPr>
            <w:tcW w:w="217" w:type="dxa"/>
          </w:tcPr>
          <w:p w14:paraId="112ECEA3" w14:textId="77777777" w:rsidR="002C0FD9" w:rsidRPr="00CA25CF" w:rsidRDefault="002C0FD9" w:rsidP="00CA25CF">
            <w:pPr>
              <w:rPr>
                <w:rFonts w:cs="Arial"/>
                <w:color w:val="FF0000"/>
                <w:sz w:val="21"/>
                <w:szCs w:val="21"/>
              </w:rPr>
            </w:pPr>
          </w:p>
        </w:tc>
        <w:tc>
          <w:tcPr>
            <w:tcW w:w="217" w:type="dxa"/>
          </w:tcPr>
          <w:p w14:paraId="4BB9F69E" w14:textId="77777777" w:rsidR="002C0FD9" w:rsidRPr="00CA25CF" w:rsidRDefault="002C0FD9" w:rsidP="00CA25CF">
            <w:pPr>
              <w:rPr>
                <w:rFonts w:cs="Arial"/>
                <w:color w:val="FF0000"/>
                <w:sz w:val="21"/>
                <w:szCs w:val="21"/>
              </w:rPr>
            </w:pPr>
          </w:p>
        </w:tc>
        <w:tc>
          <w:tcPr>
            <w:tcW w:w="217" w:type="dxa"/>
          </w:tcPr>
          <w:p w14:paraId="3836D61A" w14:textId="77777777" w:rsidR="002C0FD9" w:rsidRPr="00CA25CF" w:rsidRDefault="002C0FD9" w:rsidP="00CA25CF">
            <w:pPr>
              <w:rPr>
                <w:rFonts w:cs="Arial"/>
                <w:color w:val="FF0000"/>
                <w:sz w:val="21"/>
                <w:szCs w:val="21"/>
              </w:rPr>
            </w:pPr>
          </w:p>
        </w:tc>
        <w:tc>
          <w:tcPr>
            <w:tcW w:w="217" w:type="dxa"/>
          </w:tcPr>
          <w:p w14:paraId="2AC080F5" w14:textId="77777777" w:rsidR="002C0FD9" w:rsidRPr="00CA25CF" w:rsidRDefault="002C0FD9" w:rsidP="00CA25CF">
            <w:pPr>
              <w:rPr>
                <w:rFonts w:cs="Arial"/>
                <w:color w:val="FF0000"/>
                <w:sz w:val="21"/>
                <w:szCs w:val="21"/>
              </w:rPr>
            </w:pPr>
          </w:p>
        </w:tc>
        <w:tc>
          <w:tcPr>
            <w:tcW w:w="217" w:type="dxa"/>
          </w:tcPr>
          <w:p w14:paraId="362004DB" w14:textId="77777777" w:rsidR="002C0FD9" w:rsidRPr="00CA25CF" w:rsidRDefault="002C0FD9" w:rsidP="00CA25CF">
            <w:pPr>
              <w:rPr>
                <w:rFonts w:cs="Arial"/>
                <w:color w:val="FF0000"/>
                <w:sz w:val="21"/>
                <w:szCs w:val="21"/>
              </w:rPr>
            </w:pPr>
          </w:p>
        </w:tc>
        <w:tc>
          <w:tcPr>
            <w:tcW w:w="217" w:type="dxa"/>
          </w:tcPr>
          <w:p w14:paraId="056714D6" w14:textId="77777777" w:rsidR="002C0FD9" w:rsidRPr="00CA25CF" w:rsidRDefault="002C0FD9" w:rsidP="00CA25CF">
            <w:pPr>
              <w:rPr>
                <w:rFonts w:cs="Arial"/>
                <w:color w:val="FF0000"/>
                <w:sz w:val="21"/>
                <w:szCs w:val="21"/>
              </w:rPr>
            </w:pPr>
          </w:p>
        </w:tc>
        <w:tc>
          <w:tcPr>
            <w:tcW w:w="217" w:type="dxa"/>
          </w:tcPr>
          <w:p w14:paraId="5E970FF6" w14:textId="77777777" w:rsidR="002C0FD9" w:rsidRPr="00CA25CF" w:rsidRDefault="002C0FD9" w:rsidP="00CA25CF">
            <w:pPr>
              <w:rPr>
                <w:rFonts w:cs="Arial"/>
                <w:color w:val="FF0000"/>
                <w:sz w:val="21"/>
                <w:szCs w:val="21"/>
              </w:rPr>
            </w:pPr>
          </w:p>
        </w:tc>
        <w:tc>
          <w:tcPr>
            <w:tcW w:w="217" w:type="dxa"/>
          </w:tcPr>
          <w:p w14:paraId="644C2F60" w14:textId="77777777" w:rsidR="002C0FD9" w:rsidRPr="00CA25CF" w:rsidRDefault="002C0FD9" w:rsidP="00CA25CF">
            <w:pPr>
              <w:rPr>
                <w:rFonts w:cs="Arial"/>
                <w:color w:val="FF0000"/>
                <w:sz w:val="21"/>
                <w:szCs w:val="21"/>
              </w:rPr>
            </w:pPr>
          </w:p>
        </w:tc>
        <w:tc>
          <w:tcPr>
            <w:tcW w:w="217" w:type="dxa"/>
          </w:tcPr>
          <w:p w14:paraId="6E0B17AE" w14:textId="77777777" w:rsidR="002C0FD9" w:rsidRPr="00CA25CF" w:rsidRDefault="002C0FD9" w:rsidP="00CA25CF">
            <w:pPr>
              <w:rPr>
                <w:rFonts w:cs="Arial"/>
                <w:color w:val="FF0000"/>
                <w:sz w:val="21"/>
                <w:szCs w:val="21"/>
              </w:rPr>
            </w:pPr>
          </w:p>
        </w:tc>
        <w:tc>
          <w:tcPr>
            <w:tcW w:w="217" w:type="dxa"/>
          </w:tcPr>
          <w:p w14:paraId="3A985DA1" w14:textId="77777777" w:rsidR="002C0FD9" w:rsidRPr="00CA25CF" w:rsidRDefault="002C0FD9" w:rsidP="00CA25CF">
            <w:pPr>
              <w:rPr>
                <w:rFonts w:cs="Arial"/>
                <w:color w:val="FF0000"/>
                <w:sz w:val="21"/>
                <w:szCs w:val="21"/>
              </w:rPr>
            </w:pPr>
          </w:p>
        </w:tc>
        <w:tc>
          <w:tcPr>
            <w:tcW w:w="217" w:type="dxa"/>
          </w:tcPr>
          <w:p w14:paraId="024CC73A" w14:textId="77777777" w:rsidR="002C0FD9" w:rsidRPr="00CA25CF" w:rsidRDefault="002C0FD9" w:rsidP="00CA25CF">
            <w:pPr>
              <w:rPr>
                <w:rFonts w:cs="Arial"/>
                <w:color w:val="FF0000"/>
                <w:sz w:val="21"/>
                <w:szCs w:val="21"/>
              </w:rPr>
            </w:pPr>
          </w:p>
        </w:tc>
        <w:tc>
          <w:tcPr>
            <w:tcW w:w="217" w:type="dxa"/>
          </w:tcPr>
          <w:p w14:paraId="5683B876" w14:textId="77777777" w:rsidR="002C0FD9" w:rsidRPr="00CA25CF" w:rsidRDefault="002C0FD9" w:rsidP="00CA25CF">
            <w:pPr>
              <w:rPr>
                <w:rFonts w:cs="Arial"/>
                <w:color w:val="FF0000"/>
                <w:sz w:val="21"/>
                <w:szCs w:val="21"/>
              </w:rPr>
            </w:pPr>
          </w:p>
        </w:tc>
        <w:tc>
          <w:tcPr>
            <w:tcW w:w="217" w:type="dxa"/>
          </w:tcPr>
          <w:p w14:paraId="16487026" w14:textId="77777777" w:rsidR="002C0FD9" w:rsidRPr="00CA25CF" w:rsidRDefault="002C0FD9" w:rsidP="00CA25CF">
            <w:pPr>
              <w:rPr>
                <w:rFonts w:cs="Arial"/>
                <w:color w:val="FF0000"/>
                <w:sz w:val="21"/>
                <w:szCs w:val="21"/>
              </w:rPr>
            </w:pPr>
          </w:p>
        </w:tc>
        <w:tc>
          <w:tcPr>
            <w:tcW w:w="217" w:type="dxa"/>
          </w:tcPr>
          <w:p w14:paraId="74030DC9" w14:textId="77777777" w:rsidR="002C0FD9" w:rsidRPr="00CA25CF" w:rsidRDefault="002C0FD9" w:rsidP="00CA25CF">
            <w:pPr>
              <w:rPr>
                <w:rFonts w:cs="Arial"/>
                <w:color w:val="FF0000"/>
                <w:sz w:val="21"/>
                <w:szCs w:val="21"/>
              </w:rPr>
            </w:pPr>
          </w:p>
        </w:tc>
        <w:tc>
          <w:tcPr>
            <w:tcW w:w="217" w:type="dxa"/>
          </w:tcPr>
          <w:p w14:paraId="3434C9C3" w14:textId="77777777" w:rsidR="002C0FD9" w:rsidRPr="00CA25CF" w:rsidRDefault="002C0FD9" w:rsidP="00CA25CF">
            <w:pPr>
              <w:rPr>
                <w:rFonts w:cs="Arial"/>
                <w:color w:val="FF0000"/>
                <w:sz w:val="21"/>
                <w:szCs w:val="21"/>
              </w:rPr>
            </w:pPr>
          </w:p>
        </w:tc>
        <w:tc>
          <w:tcPr>
            <w:tcW w:w="217" w:type="dxa"/>
          </w:tcPr>
          <w:p w14:paraId="682D0D56" w14:textId="77777777" w:rsidR="002C0FD9" w:rsidRPr="00CA25CF" w:rsidRDefault="002C0FD9" w:rsidP="00CA25CF">
            <w:pPr>
              <w:rPr>
                <w:rFonts w:cs="Arial"/>
                <w:color w:val="FF0000"/>
                <w:sz w:val="21"/>
                <w:szCs w:val="21"/>
              </w:rPr>
            </w:pPr>
          </w:p>
        </w:tc>
        <w:tc>
          <w:tcPr>
            <w:tcW w:w="217" w:type="dxa"/>
          </w:tcPr>
          <w:p w14:paraId="236591BB" w14:textId="77777777" w:rsidR="002C0FD9" w:rsidRPr="00CA25CF" w:rsidRDefault="002C0FD9" w:rsidP="00CA25CF">
            <w:pPr>
              <w:rPr>
                <w:rFonts w:cs="Arial"/>
                <w:color w:val="FF0000"/>
                <w:sz w:val="21"/>
                <w:szCs w:val="21"/>
              </w:rPr>
            </w:pPr>
          </w:p>
        </w:tc>
        <w:tc>
          <w:tcPr>
            <w:tcW w:w="217" w:type="dxa"/>
          </w:tcPr>
          <w:p w14:paraId="0A948595" w14:textId="77777777" w:rsidR="002C0FD9" w:rsidRPr="00CA25CF" w:rsidRDefault="002C0FD9" w:rsidP="00CA25CF">
            <w:pPr>
              <w:rPr>
                <w:rFonts w:cs="Arial"/>
                <w:color w:val="FF0000"/>
                <w:sz w:val="21"/>
                <w:szCs w:val="21"/>
              </w:rPr>
            </w:pPr>
          </w:p>
        </w:tc>
        <w:tc>
          <w:tcPr>
            <w:tcW w:w="217" w:type="dxa"/>
          </w:tcPr>
          <w:p w14:paraId="7ED56603" w14:textId="77777777" w:rsidR="002C0FD9" w:rsidRPr="00CA25CF" w:rsidRDefault="002C0FD9" w:rsidP="00CA25CF">
            <w:pPr>
              <w:rPr>
                <w:rFonts w:cs="Arial"/>
                <w:color w:val="FF0000"/>
                <w:sz w:val="21"/>
                <w:szCs w:val="21"/>
              </w:rPr>
            </w:pPr>
          </w:p>
        </w:tc>
        <w:tc>
          <w:tcPr>
            <w:tcW w:w="217" w:type="dxa"/>
          </w:tcPr>
          <w:p w14:paraId="5BB78CD4" w14:textId="77777777" w:rsidR="002C0FD9" w:rsidRPr="00CA25CF" w:rsidRDefault="002C0FD9" w:rsidP="00CA25CF">
            <w:pPr>
              <w:rPr>
                <w:rFonts w:cs="Arial"/>
                <w:color w:val="FF0000"/>
                <w:sz w:val="21"/>
                <w:szCs w:val="21"/>
              </w:rPr>
            </w:pPr>
          </w:p>
        </w:tc>
        <w:tc>
          <w:tcPr>
            <w:tcW w:w="217" w:type="dxa"/>
          </w:tcPr>
          <w:p w14:paraId="2BA29814" w14:textId="77777777" w:rsidR="002C0FD9" w:rsidRPr="00CA25CF" w:rsidRDefault="002C0FD9" w:rsidP="00CA25CF">
            <w:pPr>
              <w:rPr>
                <w:rFonts w:cs="Arial"/>
                <w:color w:val="FF0000"/>
                <w:sz w:val="21"/>
                <w:szCs w:val="21"/>
              </w:rPr>
            </w:pPr>
          </w:p>
        </w:tc>
        <w:tc>
          <w:tcPr>
            <w:tcW w:w="217" w:type="dxa"/>
          </w:tcPr>
          <w:p w14:paraId="17B102CC" w14:textId="77777777" w:rsidR="002C0FD9" w:rsidRPr="00CA25CF" w:rsidRDefault="002C0FD9" w:rsidP="00CA25CF">
            <w:pPr>
              <w:rPr>
                <w:rFonts w:cs="Arial"/>
                <w:color w:val="FF0000"/>
                <w:sz w:val="21"/>
                <w:szCs w:val="21"/>
              </w:rPr>
            </w:pPr>
          </w:p>
        </w:tc>
        <w:tc>
          <w:tcPr>
            <w:tcW w:w="217" w:type="dxa"/>
          </w:tcPr>
          <w:p w14:paraId="7CC5032E" w14:textId="77777777" w:rsidR="002C0FD9" w:rsidRPr="00CA25CF" w:rsidRDefault="002C0FD9" w:rsidP="00CA25CF">
            <w:pPr>
              <w:rPr>
                <w:rFonts w:cs="Arial"/>
                <w:color w:val="FF0000"/>
                <w:sz w:val="21"/>
                <w:szCs w:val="21"/>
              </w:rPr>
            </w:pPr>
          </w:p>
        </w:tc>
        <w:tc>
          <w:tcPr>
            <w:tcW w:w="217" w:type="dxa"/>
          </w:tcPr>
          <w:p w14:paraId="2D17E8F5" w14:textId="77777777" w:rsidR="002C0FD9" w:rsidRPr="00CA25CF" w:rsidRDefault="002C0FD9" w:rsidP="00CA25CF">
            <w:pPr>
              <w:rPr>
                <w:rFonts w:cs="Arial"/>
                <w:color w:val="FF0000"/>
                <w:sz w:val="21"/>
                <w:szCs w:val="21"/>
              </w:rPr>
            </w:pPr>
          </w:p>
        </w:tc>
        <w:tc>
          <w:tcPr>
            <w:tcW w:w="217" w:type="dxa"/>
          </w:tcPr>
          <w:p w14:paraId="0950D267" w14:textId="77777777" w:rsidR="002C0FD9" w:rsidRPr="00CA25CF" w:rsidRDefault="002C0FD9" w:rsidP="00CA25CF">
            <w:pPr>
              <w:rPr>
                <w:rFonts w:cs="Arial"/>
                <w:color w:val="FF0000"/>
                <w:sz w:val="21"/>
                <w:szCs w:val="21"/>
              </w:rPr>
            </w:pPr>
          </w:p>
        </w:tc>
        <w:tc>
          <w:tcPr>
            <w:tcW w:w="217" w:type="dxa"/>
          </w:tcPr>
          <w:p w14:paraId="7CA47342" w14:textId="77777777" w:rsidR="002C0FD9" w:rsidRPr="00CA25CF" w:rsidRDefault="002C0FD9" w:rsidP="00CA25CF">
            <w:pPr>
              <w:rPr>
                <w:rFonts w:cs="Arial"/>
                <w:color w:val="FF0000"/>
                <w:sz w:val="21"/>
                <w:szCs w:val="21"/>
              </w:rPr>
            </w:pPr>
          </w:p>
        </w:tc>
        <w:tc>
          <w:tcPr>
            <w:tcW w:w="217" w:type="dxa"/>
          </w:tcPr>
          <w:p w14:paraId="4BE6B3DF" w14:textId="77777777" w:rsidR="002C0FD9" w:rsidRPr="00CA25CF" w:rsidRDefault="002C0FD9" w:rsidP="00CA25CF">
            <w:pPr>
              <w:rPr>
                <w:rFonts w:cs="Arial"/>
                <w:color w:val="FF0000"/>
                <w:sz w:val="21"/>
                <w:szCs w:val="21"/>
              </w:rPr>
            </w:pPr>
          </w:p>
        </w:tc>
        <w:tc>
          <w:tcPr>
            <w:tcW w:w="217" w:type="dxa"/>
          </w:tcPr>
          <w:p w14:paraId="6C8F4674" w14:textId="77777777" w:rsidR="002C0FD9" w:rsidRPr="00CA25CF" w:rsidRDefault="002C0FD9" w:rsidP="00CA25CF">
            <w:pPr>
              <w:rPr>
                <w:rFonts w:cs="Arial"/>
                <w:color w:val="FF0000"/>
                <w:sz w:val="21"/>
                <w:szCs w:val="21"/>
              </w:rPr>
            </w:pPr>
          </w:p>
        </w:tc>
        <w:tc>
          <w:tcPr>
            <w:tcW w:w="217" w:type="dxa"/>
          </w:tcPr>
          <w:p w14:paraId="4F8EC52E" w14:textId="77777777" w:rsidR="002C0FD9" w:rsidRPr="00CA25CF" w:rsidRDefault="002C0FD9" w:rsidP="00CA25CF">
            <w:pPr>
              <w:rPr>
                <w:rFonts w:cs="Arial"/>
                <w:color w:val="FF0000"/>
                <w:sz w:val="21"/>
                <w:szCs w:val="21"/>
              </w:rPr>
            </w:pPr>
          </w:p>
        </w:tc>
      </w:tr>
      <w:tr w:rsidR="002C0FD9" w:rsidRPr="00A16219" w14:paraId="43D3DA56" w14:textId="63D95F1B" w:rsidTr="002C0FD9">
        <w:trPr>
          <w:trHeight w:val="635"/>
        </w:trPr>
        <w:tc>
          <w:tcPr>
            <w:tcW w:w="515" w:type="dxa"/>
          </w:tcPr>
          <w:p w14:paraId="10505BF2" w14:textId="77777777" w:rsidR="002C0FD9" w:rsidRPr="00CA25CF" w:rsidRDefault="002C0FD9" w:rsidP="00CA25CF">
            <w:pPr>
              <w:rPr>
                <w:rFonts w:cs="Arial"/>
                <w:color w:val="FF0000"/>
                <w:sz w:val="21"/>
                <w:szCs w:val="21"/>
              </w:rPr>
            </w:pPr>
          </w:p>
        </w:tc>
        <w:tc>
          <w:tcPr>
            <w:tcW w:w="217" w:type="dxa"/>
          </w:tcPr>
          <w:p w14:paraId="036ABED0" w14:textId="77777777" w:rsidR="002C0FD9" w:rsidRPr="00CA25CF" w:rsidRDefault="002C0FD9" w:rsidP="00CA25CF">
            <w:pPr>
              <w:rPr>
                <w:rFonts w:cs="Arial"/>
                <w:color w:val="FF0000"/>
                <w:sz w:val="21"/>
                <w:szCs w:val="21"/>
              </w:rPr>
            </w:pPr>
          </w:p>
        </w:tc>
        <w:tc>
          <w:tcPr>
            <w:tcW w:w="217" w:type="dxa"/>
          </w:tcPr>
          <w:p w14:paraId="75E414A0" w14:textId="28D80CAB" w:rsidR="002C0FD9" w:rsidRPr="00CA25CF" w:rsidRDefault="002C0FD9" w:rsidP="00CA25CF">
            <w:pPr>
              <w:rPr>
                <w:rFonts w:cs="Arial"/>
                <w:color w:val="FF0000"/>
                <w:sz w:val="21"/>
                <w:szCs w:val="21"/>
              </w:rPr>
            </w:pPr>
          </w:p>
        </w:tc>
        <w:tc>
          <w:tcPr>
            <w:tcW w:w="217" w:type="dxa"/>
          </w:tcPr>
          <w:p w14:paraId="49F8236E" w14:textId="77777777" w:rsidR="002C0FD9" w:rsidRPr="00CA25CF" w:rsidRDefault="002C0FD9" w:rsidP="00CA25CF">
            <w:pPr>
              <w:rPr>
                <w:rFonts w:cs="Arial"/>
                <w:color w:val="FF0000"/>
                <w:sz w:val="21"/>
                <w:szCs w:val="21"/>
              </w:rPr>
            </w:pPr>
          </w:p>
        </w:tc>
        <w:tc>
          <w:tcPr>
            <w:tcW w:w="217" w:type="dxa"/>
          </w:tcPr>
          <w:p w14:paraId="4F73FC9D" w14:textId="77777777" w:rsidR="002C0FD9" w:rsidRPr="00CA25CF" w:rsidRDefault="002C0FD9" w:rsidP="00CA25CF">
            <w:pPr>
              <w:rPr>
                <w:rFonts w:cs="Arial"/>
                <w:color w:val="FF0000"/>
                <w:sz w:val="21"/>
                <w:szCs w:val="21"/>
              </w:rPr>
            </w:pPr>
          </w:p>
        </w:tc>
        <w:tc>
          <w:tcPr>
            <w:tcW w:w="217" w:type="dxa"/>
          </w:tcPr>
          <w:p w14:paraId="2FAF0215" w14:textId="77777777" w:rsidR="002C0FD9" w:rsidRPr="00CA25CF" w:rsidRDefault="002C0FD9" w:rsidP="00CA25CF">
            <w:pPr>
              <w:rPr>
                <w:rFonts w:cs="Arial"/>
                <w:color w:val="FF0000"/>
                <w:sz w:val="21"/>
                <w:szCs w:val="21"/>
              </w:rPr>
            </w:pPr>
          </w:p>
        </w:tc>
        <w:tc>
          <w:tcPr>
            <w:tcW w:w="217" w:type="dxa"/>
          </w:tcPr>
          <w:p w14:paraId="67EF9A72" w14:textId="77777777" w:rsidR="002C0FD9" w:rsidRPr="00CA25CF" w:rsidRDefault="002C0FD9" w:rsidP="00CA25CF">
            <w:pPr>
              <w:rPr>
                <w:rFonts w:cs="Arial"/>
                <w:color w:val="FF0000"/>
                <w:sz w:val="21"/>
                <w:szCs w:val="21"/>
              </w:rPr>
            </w:pPr>
          </w:p>
        </w:tc>
        <w:tc>
          <w:tcPr>
            <w:tcW w:w="217" w:type="dxa"/>
          </w:tcPr>
          <w:p w14:paraId="6E04F7CE" w14:textId="77777777" w:rsidR="002C0FD9" w:rsidRPr="00CA25CF" w:rsidRDefault="002C0FD9" w:rsidP="00CA25CF">
            <w:pPr>
              <w:rPr>
                <w:rFonts w:cs="Arial"/>
                <w:color w:val="FF0000"/>
                <w:sz w:val="21"/>
                <w:szCs w:val="21"/>
              </w:rPr>
            </w:pPr>
          </w:p>
        </w:tc>
        <w:tc>
          <w:tcPr>
            <w:tcW w:w="217" w:type="dxa"/>
          </w:tcPr>
          <w:p w14:paraId="4FA3855B" w14:textId="77777777" w:rsidR="002C0FD9" w:rsidRPr="00CA25CF" w:rsidRDefault="002C0FD9" w:rsidP="00CA25CF">
            <w:pPr>
              <w:rPr>
                <w:rFonts w:cs="Arial"/>
                <w:color w:val="FF0000"/>
                <w:sz w:val="21"/>
                <w:szCs w:val="21"/>
              </w:rPr>
            </w:pPr>
          </w:p>
        </w:tc>
        <w:tc>
          <w:tcPr>
            <w:tcW w:w="217" w:type="dxa"/>
          </w:tcPr>
          <w:p w14:paraId="4F3FE713" w14:textId="77777777" w:rsidR="002C0FD9" w:rsidRPr="00CA25CF" w:rsidRDefault="002C0FD9" w:rsidP="00CA25CF">
            <w:pPr>
              <w:rPr>
                <w:rFonts w:cs="Arial"/>
                <w:color w:val="FF0000"/>
                <w:sz w:val="21"/>
                <w:szCs w:val="21"/>
              </w:rPr>
            </w:pPr>
          </w:p>
        </w:tc>
        <w:tc>
          <w:tcPr>
            <w:tcW w:w="217" w:type="dxa"/>
          </w:tcPr>
          <w:p w14:paraId="619096C5" w14:textId="77777777" w:rsidR="002C0FD9" w:rsidRPr="00CA25CF" w:rsidRDefault="002C0FD9" w:rsidP="00CA25CF">
            <w:pPr>
              <w:rPr>
                <w:rFonts w:cs="Arial"/>
                <w:color w:val="FF0000"/>
                <w:sz w:val="21"/>
                <w:szCs w:val="21"/>
              </w:rPr>
            </w:pPr>
          </w:p>
        </w:tc>
        <w:tc>
          <w:tcPr>
            <w:tcW w:w="217" w:type="dxa"/>
          </w:tcPr>
          <w:p w14:paraId="02F4FFBA" w14:textId="77777777" w:rsidR="002C0FD9" w:rsidRPr="00CA25CF" w:rsidRDefault="002C0FD9" w:rsidP="00CA25CF">
            <w:pPr>
              <w:rPr>
                <w:rFonts w:cs="Arial"/>
                <w:color w:val="FF0000"/>
                <w:sz w:val="21"/>
                <w:szCs w:val="21"/>
              </w:rPr>
            </w:pPr>
          </w:p>
        </w:tc>
        <w:tc>
          <w:tcPr>
            <w:tcW w:w="217" w:type="dxa"/>
          </w:tcPr>
          <w:p w14:paraId="0C03353A" w14:textId="77777777" w:rsidR="002C0FD9" w:rsidRPr="00CA25CF" w:rsidRDefault="002C0FD9" w:rsidP="00CA25CF">
            <w:pPr>
              <w:rPr>
                <w:rFonts w:cs="Arial"/>
                <w:color w:val="FF0000"/>
                <w:sz w:val="21"/>
                <w:szCs w:val="21"/>
              </w:rPr>
            </w:pPr>
          </w:p>
        </w:tc>
        <w:tc>
          <w:tcPr>
            <w:tcW w:w="217" w:type="dxa"/>
          </w:tcPr>
          <w:p w14:paraId="721D9D74" w14:textId="77777777" w:rsidR="002C0FD9" w:rsidRPr="00CA25CF" w:rsidRDefault="002C0FD9" w:rsidP="00CA25CF">
            <w:pPr>
              <w:rPr>
                <w:rFonts w:cs="Arial"/>
                <w:color w:val="FF0000"/>
                <w:sz w:val="21"/>
                <w:szCs w:val="21"/>
              </w:rPr>
            </w:pPr>
          </w:p>
        </w:tc>
        <w:tc>
          <w:tcPr>
            <w:tcW w:w="217" w:type="dxa"/>
          </w:tcPr>
          <w:p w14:paraId="752E627D" w14:textId="77777777" w:rsidR="002C0FD9" w:rsidRPr="00CA25CF" w:rsidRDefault="002C0FD9" w:rsidP="00CA25CF">
            <w:pPr>
              <w:rPr>
                <w:rFonts w:cs="Arial"/>
                <w:color w:val="FF0000"/>
                <w:sz w:val="21"/>
                <w:szCs w:val="21"/>
              </w:rPr>
            </w:pPr>
          </w:p>
        </w:tc>
        <w:tc>
          <w:tcPr>
            <w:tcW w:w="217" w:type="dxa"/>
          </w:tcPr>
          <w:p w14:paraId="0F8553F8" w14:textId="77777777" w:rsidR="002C0FD9" w:rsidRPr="00CA25CF" w:rsidRDefault="002C0FD9" w:rsidP="00CA25CF">
            <w:pPr>
              <w:rPr>
                <w:rFonts w:cs="Arial"/>
                <w:color w:val="FF0000"/>
                <w:sz w:val="21"/>
                <w:szCs w:val="21"/>
              </w:rPr>
            </w:pPr>
          </w:p>
        </w:tc>
        <w:tc>
          <w:tcPr>
            <w:tcW w:w="217" w:type="dxa"/>
          </w:tcPr>
          <w:p w14:paraId="08F2FCA1" w14:textId="77777777" w:rsidR="002C0FD9" w:rsidRPr="00CA25CF" w:rsidRDefault="002C0FD9" w:rsidP="00CA25CF">
            <w:pPr>
              <w:rPr>
                <w:rFonts w:cs="Arial"/>
                <w:color w:val="FF0000"/>
                <w:sz w:val="21"/>
                <w:szCs w:val="21"/>
              </w:rPr>
            </w:pPr>
          </w:p>
        </w:tc>
        <w:tc>
          <w:tcPr>
            <w:tcW w:w="217" w:type="dxa"/>
          </w:tcPr>
          <w:p w14:paraId="6CD2746B" w14:textId="77777777" w:rsidR="002C0FD9" w:rsidRPr="00CA25CF" w:rsidRDefault="002C0FD9" w:rsidP="00CA25CF">
            <w:pPr>
              <w:rPr>
                <w:rFonts w:cs="Arial"/>
                <w:color w:val="FF0000"/>
                <w:sz w:val="21"/>
                <w:szCs w:val="21"/>
              </w:rPr>
            </w:pPr>
          </w:p>
        </w:tc>
        <w:tc>
          <w:tcPr>
            <w:tcW w:w="217" w:type="dxa"/>
          </w:tcPr>
          <w:p w14:paraId="60C91518" w14:textId="77777777" w:rsidR="002C0FD9" w:rsidRPr="00CA25CF" w:rsidRDefault="002C0FD9" w:rsidP="00CA25CF">
            <w:pPr>
              <w:rPr>
                <w:rFonts w:cs="Arial"/>
                <w:color w:val="FF0000"/>
                <w:sz w:val="21"/>
                <w:szCs w:val="21"/>
              </w:rPr>
            </w:pPr>
          </w:p>
        </w:tc>
        <w:tc>
          <w:tcPr>
            <w:tcW w:w="217" w:type="dxa"/>
          </w:tcPr>
          <w:p w14:paraId="1D3B2D09" w14:textId="77777777" w:rsidR="002C0FD9" w:rsidRPr="00CA25CF" w:rsidRDefault="002C0FD9" w:rsidP="00CA25CF">
            <w:pPr>
              <w:rPr>
                <w:rFonts w:cs="Arial"/>
                <w:color w:val="FF0000"/>
                <w:sz w:val="21"/>
                <w:szCs w:val="21"/>
              </w:rPr>
            </w:pPr>
          </w:p>
        </w:tc>
        <w:tc>
          <w:tcPr>
            <w:tcW w:w="217" w:type="dxa"/>
          </w:tcPr>
          <w:p w14:paraId="023B7AA8" w14:textId="77777777" w:rsidR="002C0FD9" w:rsidRPr="00CA25CF" w:rsidRDefault="002C0FD9" w:rsidP="00CA25CF">
            <w:pPr>
              <w:rPr>
                <w:rFonts w:cs="Arial"/>
                <w:color w:val="FF0000"/>
                <w:sz w:val="21"/>
                <w:szCs w:val="21"/>
              </w:rPr>
            </w:pPr>
          </w:p>
        </w:tc>
        <w:tc>
          <w:tcPr>
            <w:tcW w:w="217" w:type="dxa"/>
          </w:tcPr>
          <w:p w14:paraId="3EDD1DFA" w14:textId="77777777" w:rsidR="002C0FD9" w:rsidRPr="00CA25CF" w:rsidRDefault="002C0FD9" w:rsidP="00CA25CF">
            <w:pPr>
              <w:rPr>
                <w:rFonts w:cs="Arial"/>
                <w:color w:val="FF0000"/>
                <w:sz w:val="21"/>
                <w:szCs w:val="21"/>
              </w:rPr>
            </w:pPr>
          </w:p>
        </w:tc>
        <w:tc>
          <w:tcPr>
            <w:tcW w:w="217" w:type="dxa"/>
          </w:tcPr>
          <w:p w14:paraId="25227490" w14:textId="77777777" w:rsidR="002C0FD9" w:rsidRPr="00CA25CF" w:rsidRDefault="002C0FD9" w:rsidP="00CA25CF">
            <w:pPr>
              <w:rPr>
                <w:rFonts w:cs="Arial"/>
                <w:color w:val="FF0000"/>
                <w:sz w:val="21"/>
                <w:szCs w:val="21"/>
              </w:rPr>
            </w:pPr>
          </w:p>
        </w:tc>
        <w:tc>
          <w:tcPr>
            <w:tcW w:w="217" w:type="dxa"/>
          </w:tcPr>
          <w:p w14:paraId="35DE856A" w14:textId="77777777" w:rsidR="002C0FD9" w:rsidRPr="00CA25CF" w:rsidRDefault="002C0FD9" w:rsidP="00CA25CF">
            <w:pPr>
              <w:rPr>
                <w:rFonts w:cs="Arial"/>
                <w:color w:val="FF0000"/>
                <w:sz w:val="21"/>
                <w:szCs w:val="21"/>
              </w:rPr>
            </w:pPr>
          </w:p>
        </w:tc>
        <w:tc>
          <w:tcPr>
            <w:tcW w:w="217" w:type="dxa"/>
          </w:tcPr>
          <w:p w14:paraId="34B109D4" w14:textId="77777777" w:rsidR="002C0FD9" w:rsidRPr="00CA25CF" w:rsidRDefault="002C0FD9" w:rsidP="00CA25CF">
            <w:pPr>
              <w:rPr>
                <w:rFonts w:cs="Arial"/>
                <w:color w:val="FF0000"/>
                <w:sz w:val="21"/>
                <w:szCs w:val="21"/>
              </w:rPr>
            </w:pPr>
          </w:p>
        </w:tc>
        <w:tc>
          <w:tcPr>
            <w:tcW w:w="217" w:type="dxa"/>
          </w:tcPr>
          <w:p w14:paraId="06D2C716" w14:textId="77777777" w:rsidR="002C0FD9" w:rsidRPr="00CA25CF" w:rsidRDefault="002C0FD9" w:rsidP="00CA25CF">
            <w:pPr>
              <w:rPr>
                <w:rFonts w:cs="Arial"/>
                <w:color w:val="FF0000"/>
                <w:sz w:val="21"/>
                <w:szCs w:val="21"/>
              </w:rPr>
            </w:pPr>
          </w:p>
        </w:tc>
        <w:tc>
          <w:tcPr>
            <w:tcW w:w="217" w:type="dxa"/>
          </w:tcPr>
          <w:p w14:paraId="5F2C4BE4" w14:textId="77777777" w:rsidR="002C0FD9" w:rsidRPr="00CA25CF" w:rsidRDefault="002C0FD9" w:rsidP="00CA25CF">
            <w:pPr>
              <w:rPr>
                <w:rFonts w:cs="Arial"/>
                <w:color w:val="FF0000"/>
                <w:sz w:val="21"/>
                <w:szCs w:val="21"/>
              </w:rPr>
            </w:pPr>
          </w:p>
        </w:tc>
        <w:tc>
          <w:tcPr>
            <w:tcW w:w="217" w:type="dxa"/>
          </w:tcPr>
          <w:p w14:paraId="41684CCF" w14:textId="77777777" w:rsidR="002C0FD9" w:rsidRPr="00CA25CF" w:rsidRDefault="002C0FD9" w:rsidP="00CA25CF">
            <w:pPr>
              <w:rPr>
                <w:rFonts w:cs="Arial"/>
                <w:color w:val="FF0000"/>
                <w:sz w:val="21"/>
                <w:szCs w:val="21"/>
              </w:rPr>
            </w:pPr>
          </w:p>
        </w:tc>
        <w:tc>
          <w:tcPr>
            <w:tcW w:w="217" w:type="dxa"/>
          </w:tcPr>
          <w:p w14:paraId="59577904" w14:textId="77777777" w:rsidR="002C0FD9" w:rsidRPr="00CA25CF" w:rsidRDefault="002C0FD9" w:rsidP="00CA25CF">
            <w:pPr>
              <w:rPr>
                <w:rFonts w:cs="Arial"/>
                <w:color w:val="FF0000"/>
                <w:sz w:val="21"/>
                <w:szCs w:val="21"/>
              </w:rPr>
            </w:pPr>
          </w:p>
        </w:tc>
        <w:tc>
          <w:tcPr>
            <w:tcW w:w="217" w:type="dxa"/>
          </w:tcPr>
          <w:p w14:paraId="0BCA63CD" w14:textId="77777777" w:rsidR="002C0FD9" w:rsidRPr="00CA25CF" w:rsidRDefault="002C0FD9" w:rsidP="00CA25CF">
            <w:pPr>
              <w:rPr>
                <w:rFonts w:cs="Arial"/>
                <w:color w:val="FF0000"/>
                <w:sz w:val="21"/>
                <w:szCs w:val="21"/>
              </w:rPr>
            </w:pPr>
          </w:p>
        </w:tc>
        <w:tc>
          <w:tcPr>
            <w:tcW w:w="217" w:type="dxa"/>
          </w:tcPr>
          <w:p w14:paraId="6E635EAD" w14:textId="77777777" w:rsidR="002C0FD9" w:rsidRPr="00CA25CF" w:rsidRDefault="002C0FD9" w:rsidP="00CA25CF">
            <w:pPr>
              <w:rPr>
                <w:rFonts w:cs="Arial"/>
                <w:color w:val="FF0000"/>
                <w:sz w:val="21"/>
                <w:szCs w:val="21"/>
              </w:rPr>
            </w:pPr>
          </w:p>
        </w:tc>
        <w:tc>
          <w:tcPr>
            <w:tcW w:w="217" w:type="dxa"/>
          </w:tcPr>
          <w:p w14:paraId="7533FD51" w14:textId="77777777" w:rsidR="002C0FD9" w:rsidRPr="00CA25CF" w:rsidRDefault="002C0FD9" w:rsidP="00CA25CF">
            <w:pPr>
              <w:rPr>
                <w:rFonts w:cs="Arial"/>
                <w:color w:val="FF0000"/>
                <w:sz w:val="21"/>
                <w:szCs w:val="21"/>
              </w:rPr>
            </w:pPr>
          </w:p>
        </w:tc>
        <w:tc>
          <w:tcPr>
            <w:tcW w:w="217" w:type="dxa"/>
          </w:tcPr>
          <w:p w14:paraId="668A10F9" w14:textId="77777777" w:rsidR="002C0FD9" w:rsidRPr="00CA25CF" w:rsidRDefault="002C0FD9" w:rsidP="00CA25CF">
            <w:pPr>
              <w:rPr>
                <w:rFonts w:cs="Arial"/>
                <w:color w:val="FF0000"/>
                <w:sz w:val="21"/>
                <w:szCs w:val="21"/>
              </w:rPr>
            </w:pPr>
          </w:p>
        </w:tc>
        <w:tc>
          <w:tcPr>
            <w:tcW w:w="217" w:type="dxa"/>
          </w:tcPr>
          <w:p w14:paraId="59BA06BC" w14:textId="77777777" w:rsidR="002C0FD9" w:rsidRPr="00CA25CF" w:rsidRDefault="002C0FD9" w:rsidP="00CA25CF">
            <w:pPr>
              <w:rPr>
                <w:rFonts w:cs="Arial"/>
                <w:color w:val="FF0000"/>
                <w:sz w:val="21"/>
                <w:szCs w:val="21"/>
              </w:rPr>
            </w:pPr>
          </w:p>
        </w:tc>
        <w:tc>
          <w:tcPr>
            <w:tcW w:w="217" w:type="dxa"/>
          </w:tcPr>
          <w:p w14:paraId="50A131D0" w14:textId="77777777" w:rsidR="002C0FD9" w:rsidRPr="00CA25CF" w:rsidRDefault="002C0FD9" w:rsidP="00CA25CF">
            <w:pPr>
              <w:rPr>
                <w:rFonts w:cs="Arial"/>
                <w:color w:val="FF0000"/>
                <w:sz w:val="21"/>
                <w:szCs w:val="21"/>
              </w:rPr>
            </w:pPr>
          </w:p>
        </w:tc>
        <w:tc>
          <w:tcPr>
            <w:tcW w:w="217" w:type="dxa"/>
          </w:tcPr>
          <w:p w14:paraId="5300D865" w14:textId="77777777" w:rsidR="002C0FD9" w:rsidRPr="00CA25CF" w:rsidRDefault="002C0FD9" w:rsidP="00CA25CF">
            <w:pPr>
              <w:rPr>
                <w:rFonts w:cs="Arial"/>
                <w:color w:val="FF0000"/>
                <w:sz w:val="21"/>
                <w:szCs w:val="21"/>
              </w:rPr>
            </w:pPr>
          </w:p>
        </w:tc>
        <w:tc>
          <w:tcPr>
            <w:tcW w:w="217" w:type="dxa"/>
          </w:tcPr>
          <w:p w14:paraId="627A80BE" w14:textId="77777777" w:rsidR="002C0FD9" w:rsidRPr="00CA25CF" w:rsidRDefault="002C0FD9" w:rsidP="00CA25CF">
            <w:pPr>
              <w:rPr>
                <w:rFonts w:cs="Arial"/>
                <w:color w:val="FF0000"/>
                <w:sz w:val="21"/>
                <w:szCs w:val="21"/>
              </w:rPr>
            </w:pPr>
          </w:p>
        </w:tc>
        <w:tc>
          <w:tcPr>
            <w:tcW w:w="217" w:type="dxa"/>
          </w:tcPr>
          <w:p w14:paraId="10A9E200" w14:textId="77777777" w:rsidR="002C0FD9" w:rsidRPr="00CA25CF" w:rsidRDefault="002C0FD9" w:rsidP="00CA25CF">
            <w:pPr>
              <w:rPr>
                <w:rFonts w:cs="Arial"/>
                <w:color w:val="FF0000"/>
                <w:sz w:val="21"/>
                <w:szCs w:val="21"/>
              </w:rPr>
            </w:pPr>
          </w:p>
        </w:tc>
        <w:tc>
          <w:tcPr>
            <w:tcW w:w="217" w:type="dxa"/>
          </w:tcPr>
          <w:p w14:paraId="604FDFD5" w14:textId="77777777" w:rsidR="002C0FD9" w:rsidRPr="00CA25CF" w:rsidRDefault="002C0FD9" w:rsidP="00CA25CF">
            <w:pPr>
              <w:rPr>
                <w:rFonts w:cs="Arial"/>
                <w:color w:val="FF0000"/>
                <w:sz w:val="21"/>
                <w:szCs w:val="21"/>
              </w:rPr>
            </w:pPr>
          </w:p>
        </w:tc>
        <w:tc>
          <w:tcPr>
            <w:tcW w:w="217" w:type="dxa"/>
          </w:tcPr>
          <w:p w14:paraId="734AD34E" w14:textId="77777777" w:rsidR="002C0FD9" w:rsidRPr="00CA25CF" w:rsidRDefault="002C0FD9" w:rsidP="00CA25CF">
            <w:pPr>
              <w:rPr>
                <w:rFonts w:cs="Arial"/>
                <w:color w:val="FF0000"/>
                <w:sz w:val="21"/>
                <w:szCs w:val="21"/>
              </w:rPr>
            </w:pPr>
          </w:p>
        </w:tc>
        <w:tc>
          <w:tcPr>
            <w:tcW w:w="217" w:type="dxa"/>
          </w:tcPr>
          <w:p w14:paraId="18994AE1" w14:textId="77777777" w:rsidR="002C0FD9" w:rsidRPr="00CA25CF" w:rsidRDefault="002C0FD9" w:rsidP="00CA25CF">
            <w:pPr>
              <w:rPr>
                <w:rFonts w:cs="Arial"/>
                <w:color w:val="FF0000"/>
                <w:sz w:val="21"/>
                <w:szCs w:val="21"/>
              </w:rPr>
            </w:pPr>
          </w:p>
        </w:tc>
        <w:tc>
          <w:tcPr>
            <w:tcW w:w="217" w:type="dxa"/>
          </w:tcPr>
          <w:p w14:paraId="4BDA50A9" w14:textId="77777777" w:rsidR="002C0FD9" w:rsidRPr="00CA25CF" w:rsidRDefault="002C0FD9" w:rsidP="00CA25CF">
            <w:pPr>
              <w:rPr>
                <w:rFonts w:cs="Arial"/>
                <w:color w:val="FF0000"/>
                <w:sz w:val="21"/>
                <w:szCs w:val="21"/>
              </w:rPr>
            </w:pPr>
          </w:p>
        </w:tc>
        <w:tc>
          <w:tcPr>
            <w:tcW w:w="217" w:type="dxa"/>
          </w:tcPr>
          <w:p w14:paraId="115542B5" w14:textId="77777777" w:rsidR="002C0FD9" w:rsidRPr="00CA25CF" w:rsidRDefault="002C0FD9" w:rsidP="00CA25CF">
            <w:pPr>
              <w:rPr>
                <w:rFonts w:cs="Arial"/>
                <w:color w:val="FF0000"/>
                <w:sz w:val="21"/>
                <w:szCs w:val="21"/>
              </w:rPr>
            </w:pPr>
          </w:p>
        </w:tc>
      </w:tr>
      <w:tr w:rsidR="002C0FD9" w:rsidRPr="00A16219" w14:paraId="5B559FBF" w14:textId="7DE52C92" w:rsidTr="002C0FD9">
        <w:trPr>
          <w:trHeight w:val="635"/>
        </w:trPr>
        <w:tc>
          <w:tcPr>
            <w:tcW w:w="515" w:type="dxa"/>
          </w:tcPr>
          <w:p w14:paraId="316BEFE8" w14:textId="77777777" w:rsidR="002C0FD9" w:rsidRPr="00CA25CF" w:rsidRDefault="002C0FD9" w:rsidP="00CA25CF">
            <w:pPr>
              <w:rPr>
                <w:rFonts w:cs="Arial"/>
                <w:color w:val="FF0000"/>
                <w:sz w:val="21"/>
                <w:szCs w:val="21"/>
              </w:rPr>
            </w:pPr>
          </w:p>
        </w:tc>
        <w:tc>
          <w:tcPr>
            <w:tcW w:w="217" w:type="dxa"/>
          </w:tcPr>
          <w:p w14:paraId="303F0184" w14:textId="77777777" w:rsidR="002C0FD9" w:rsidRPr="00CA25CF" w:rsidRDefault="002C0FD9" w:rsidP="00CA25CF">
            <w:pPr>
              <w:rPr>
                <w:rFonts w:cs="Arial"/>
                <w:color w:val="FF0000"/>
                <w:sz w:val="21"/>
                <w:szCs w:val="21"/>
              </w:rPr>
            </w:pPr>
          </w:p>
        </w:tc>
        <w:tc>
          <w:tcPr>
            <w:tcW w:w="217" w:type="dxa"/>
          </w:tcPr>
          <w:p w14:paraId="14DF68E2" w14:textId="4510CAC0" w:rsidR="002C0FD9" w:rsidRPr="00CA25CF" w:rsidRDefault="002C0FD9" w:rsidP="00CA25CF">
            <w:pPr>
              <w:rPr>
                <w:rFonts w:cs="Arial"/>
                <w:color w:val="FF0000"/>
                <w:sz w:val="21"/>
                <w:szCs w:val="21"/>
              </w:rPr>
            </w:pPr>
          </w:p>
        </w:tc>
        <w:tc>
          <w:tcPr>
            <w:tcW w:w="217" w:type="dxa"/>
          </w:tcPr>
          <w:p w14:paraId="59C75228" w14:textId="77777777" w:rsidR="002C0FD9" w:rsidRPr="00CA25CF" w:rsidRDefault="002C0FD9" w:rsidP="00CA25CF">
            <w:pPr>
              <w:rPr>
                <w:rFonts w:cs="Arial"/>
                <w:color w:val="FF0000"/>
                <w:sz w:val="21"/>
                <w:szCs w:val="21"/>
              </w:rPr>
            </w:pPr>
          </w:p>
        </w:tc>
        <w:tc>
          <w:tcPr>
            <w:tcW w:w="217" w:type="dxa"/>
          </w:tcPr>
          <w:p w14:paraId="4EA7C13D" w14:textId="77777777" w:rsidR="002C0FD9" w:rsidRPr="00CA25CF" w:rsidRDefault="002C0FD9" w:rsidP="00CA25CF">
            <w:pPr>
              <w:rPr>
                <w:rFonts w:cs="Arial"/>
                <w:color w:val="FF0000"/>
                <w:sz w:val="21"/>
                <w:szCs w:val="21"/>
              </w:rPr>
            </w:pPr>
          </w:p>
        </w:tc>
        <w:tc>
          <w:tcPr>
            <w:tcW w:w="217" w:type="dxa"/>
          </w:tcPr>
          <w:p w14:paraId="14AD32E7" w14:textId="77777777" w:rsidR="002C0FD9" w:rsidRPr="00CA25CF" w:rsidRDefault="002C0FD9" w:rsidP="00CA25CF">
            <w:pPr>
              <w:rPr>
                <w:rFonts w:cs="Arial"/>
                <w:color w:val="FF0000"/>
                <w:sz w:val="21"/>
                <w:szCs w:val="21"/>
              </w:rPr>
            </w:pPr>
          </w:p>
        </w:tc>
        <w:tc>
          <w:tcPr>
            <w:tcW w:w="217" w:type="dxa"/>
          </w:tcPr>
          <w:p w14:paraId="5386976B" w14:textId="77777777" w:rsidR="002C0FD9" w:rsidRPr="00CA25CF" w:rsidRDefault="002C0FD9" w:rsidP="00CA25CF">
            <w:pPr>
              <w:rPr>
                <w:rFonts w:cs="Arial"/>
                <w:color w:val="FF0000"/>
                <w:sz w:val="21"/>
                <w:szCs w:val="21"/>
              </w:rPr>
            </w:pPr>
          </w:p>
        </w:tc>
        <w:tc>
          <w:tcPr>
            <w:tcW w:w="217" w:type="dxa"/>
          </w:tcPr>
          <w:p w14:paraId="6D6BB2FE" w14:textId="77777777" w:rsidR="002C0FD9" w:rsidRPr="00CA25CF" w:rsidRDefault="002C0FD9" w:rsidP="00CA25CF">
            <w:pPr>
              <w:rPr>
                <w:rFonts w:cs="Arial"/>
                <w:color w:val="FF0000"/>
                <w:sz w:val="21"/>
                <w:szCs w:val="21"/>
              </w:rPr>
            </w:pPr>
          </w:p>
        </w:tc>
        <w:tc>
          <w:tcPr>
            <w:tcW w:w="217" w:type="dxa"/>
          </w:tcPr>
          <w:p w14:paraId="57BEB348" w14:textId="77777777" w:rsidR="002C0FD9" w:rsidRPr="00CA25CF" w:rsidRDefault="002C0FD9" w:rsidP="00CA25CF">
            <w:pPr>
              <w:rPr>
                <w:rFonts w:cs="Arial"/>
                <w:color w:val="FF0000"/>
                <w:sz w:val="21"/>
                <w:szCs w:val="21"/>
              </w:rPr>
            </w:pPr>
          </w:p>
        </w:tc>
        <w:tc>
          <w:tcPr>
            <w:tcW w:w="217" w:type="dxa"/>
          </w:tcPr>
          <w:p w14:paraId="49F0B87B" w14:textId="77777777" w:rsidR="002C0FD9" w:rsidRPr="00CA25CF" w:rsidRDefault="002C0FD9" w:rsidP="00CA25CF">
            <w:pPr>
              <w:rPr>
                <w:rFonts w:cs="Arial"/>
                <w:color w:val="FF0000"/>
                <w:sz w:val="21"/>
                <w:szCs w:val="21"/>
              </w:rPr>
            </w:pPr>
          </w:p>
        </w:tc>
        <w:tc>
          <w:tcPr>
            <w:tcW w:w="217" w:type="dxa"/>
          </w:tcPr>
          <w:p w14:paraId="32E23308" w14:textId="77777777" w:rsidR="002C0FD9" w:rsidRPr="00CA25CF" w:rsidRDefault="002C0FD9" w:rsidP="00CA25CF">
            <w:pPr>
              <w:rPr>
                <w:rFonts w:cs="Arial"/>
                <w:color w:val="FF0000"/>
                <w:sz w:val="21"/>
                <w:szCs w:val="21"/>
              </w:rPr>
            </w:pPr>
          </w:p>
        </w:tc>
        <w:tc>
          <w:tcPr>
            <w:tcW w:w="217" w:type="dxa"/>
          </w:tcPr>
          <w:p w14:paraId="2ACC8669" w14:textId="77777777" w:rsidR="002C0FD9" w:rsidRPr="00CA25CF" w:rsidRDefault="002C0FD9" w:rsidP="00CA25CF">
            <w:pPr>
              <w:rPr>
                <w:rFonts w:cs="Arial"/>
                <w:color w:val="FF0000"/>
                <w:sz w:val="21"/>
                <w:szCs w:val="21"/>
              </w:rPr>
            </w:pPr>
          </w:p>
        </w:tc>
        <w:tc>
          <w:tcPr>
            <w:tcW w:w="217" w:type="dxa"/>
          </w:tcPr>
          <w:p w14:paraId="034D2F15" w14:textId="77777777" w:rsidR="002C0FD9" w:rsidRPr="00CA25CF" w:rsidRDefault="002C0FD9" w:rsidP="00CA25CF">
            <w:pPr>
              <w:rPr>
                <w:rFonts w:cs="Arial"/>
                <w:color w:val="FF0000"/>
                <w:sz w:val="21"/>
                <w:szCs w:val="21"/>
              </w:rPr>
            </w:pPr>
          </w:p>
        </w:tc>
        <w:tc>
          <w:tcPr>
            <w:tcW w:w="217" w:type="dxa"/>
          </w:tcPr>
          <w:p w14:paraId="4313F04D" w14:textId="77777777" w:rsidR="002C0FD9" w:rsidRPr="00CA25CF" w:rsidRDefault="002C0FD9" w:rsidP="00CA25CF">
            <w:pPr>
              <w:rPr>
                <w:rFonts w:cs="Arial"/>
                <w:color w:val="FF0000"/>
                <w:sz w:val="21"/>
                <w:szCs w:val="21"/>
              </w:rPr>
            </w:pPr>
          </w:p>
        </w:tc>
        <w:tc>
          <w:tcPr>
            <w:tcW w:w="217" w:type="dxa"/>
          </w:tcPr>
          <w:p w14:paraId="6EF6923D" w14:textId="77777777" w:rsidR="002C0FD9" w:rsidRPr="00CA25CF" w:rsidRDefault="002C0FD9" w:rsidP="00CA25CF">
            <w:pPr>
              <w:rPr>
                <w:rFonts w:cs="Arial"/>
                <w:color w:val="FF0000"/>
                <w:sz w:val="21"/>
                <w:szCs w:val="21"/>
              </w:rPr>
            </w:pPr>
          </w:p>
        </w:tc>
        <w:tc>
          <w:tcPr>
            <w:tcW w:w="217" w:type="dxa"/>
          </w:tcPr>
          <w:p w14:paraId="04551DF5" w14:textId="77777777" w:rsidR="002C0FD9" w:rsidRPr="00CA25CF" w:rsidRDefault="002C0FD9" w:rsidP="00CA25CF">
            <w:pPr>
              <w:rPr>
                <w:rFonts w:cs="Arial"/>
                <w:color w:val="FF0000"/>
                <w:sz w:val="21"/>
                <w:szCs w:val="21"/>
              </w:rPr>
            </w:pPr>
          </w:p>
        </w:tc>
        <w:tc>
          <w:tcPr>
            <w:tcW w:w="217" w:type="dxa"/>
          </w:tcPr>
          <w:p w14:paraId="506AF3C7" w14:textId="77777777" w:rsidR="002C0FD9" w:rsidRPr="00CA25CF" w:rsidRDefault="002C0FD9" w:rsidP="00CA25CF">
            <w:pPr>
              <w:rPr>
                <w:rFonts w:cs="Arial"/>
                <w:color w:val="FF0000"/>
                <w:sz w:val="21"/>
                <w:szCs w:val="21"/>
              </w:rPr>
            </w:pPr>
          </w:p>
        </w:tc>
        <w:tc>
          <w:tcPr>
            <w:tcW w:w="217" w:type="dxa"/>
          </w:tcPr>
          <w:p w14:paraId="321706D7" w14:textId="77777777" w:rsidR="002C0FD9" w:rsidRPr="00CA25CF" w:rsidRDefault="002C0FD9" w:rsidP="00CA25CF">
            <w:pPr>
              <w:rPr>
                <w:rFonts w:cs="Arial"/>
                <w:color w:val="FF0000"/>
                <w:sz w:val="21"/>
                <w:szCs w:val="21"/>
              </w:rPr>
            </w:pPr>
          </w:p>
        </w:tc>
        <w:tc>
          <w:tcPr>
            <w:tcW w:w="217" w:type="dxa"/>
          </w:tcPr>
          <w:p w14:paraId="386E2F03" w14:textId="77777777" w:rsidR="002C0FD9" w:rsidRPr="00CA25CF" w:rsidRDefault="002C0FD9" w:rsidP="00CA25CF">
            <w:pPr>
              <w:rPr>
                <w:rFonts w:cs="Arial"/>
                <w:color w:val="FF0000"/>
                <w:sz w:val="21"/>
                <w:szCs w:val="21"/>
              </w:rPr>
            </w:pPr>
          </w:p>
        </w:tc>
        <w:tc>
          <w:tcPr>
            <w:tcW w:w="217" w:type="dxa"/>
          </w:tcPr>
          <w:p w14:paraId="760E55D0" w14:textId="77777777" w:rsidR="002C0FD9" w:rsidRPr="00CA25CF" w:rsidRDefault="002C0FD9" w:rsidP="00CA25CF">
            <w:pPr>
              <w:rPr>
                <w:rFonts w:cs="Arial"/>
                <w:color w:val="FF0000"/>
                <w:sz w:val="21"/>
                <w:szCs w:val="21"/>
              </w:rPr>
            </w:pPr>
          </w:p>
        </w:tc>
        <w:tc>
          <w:tcPr>
            <w:tcW w:w="217" w:type="dxa"/>
          </w:tcPr>
          <w:p w14:paraId="1EFEF098" w14:textId="77777777" w:rsidR="002C0FD9" w:rsidRPr="00CA25CF" w:rsidRDefault="002C0FD9" w:rsidP="00CA25CF">
            <w:pPr>
              <w:rPr>
                <w:rFonts w:cs="Arial"/>
                <w:color w:val="FF0000"/>
                <w:sz w:val="21"/>
                <w:szCs w:val="21"/>
              </w:rPr>
            </w:pPr>
          </w:p>
        </w:tc>
        <w:tc>
          <w:tcPr>
            <w:tcW w:w="217" w:type="dxa"/>
          </w:tcPr>
          <w:p w14:paraId="3560BD94" w14:textId="77777777" w:rsidR="002C0FD9" w:rsidRPr="00CA25CF" w:rsidRDefault="002C0FD9" w:rsidP="00CA25CF">
            <w:pPr>
              <w:rPr>
                <w:rFonts w:cs="Arial"/>
                <w:color w:val="FF0000"/>
                <w:sz w:val="21"/>
                <w:szCs w:val="21"/>
              </w:rPr>
            </w:pPr>
          </w:p>
        </w:tc>
        <w:tc>
          <w:tcPr>
            <w:tcW w:w="217" w:type="dxa"/>
          </w:tcPr>
          <w:p w14:paraId="5BEBDA9E" w14:textId="77777777" w:rsidR="002C0FD9" w:rsidRPr="00CA25CF" w:rsidRDefault="002C0FD9" w:rsidP="00CA25CF">
            <w:pPr>
              <w:rPr>
                <w:rFonts w:cs="Arial"/>
                <w:color w:val="FF0000"/>
                <w:sz w:val="21"/>
                <w:szCs w:val="21"/>
              </w:rPr>
            </w:pPr>
          </w:p>
        </w:tc>
        <w:tc>
          <w:tcPr>
            <w:tcW w:w="217" w:type="dxa"/>
          </w:tcPr>
          <w:p w14:paraId="022EC9BA" w14:textId="77777777" w:rsidR="002C0FD9" w:rsidRPr="00CA25CF" w:rsidRDefault="002C0FD9" w:rsidP="00CA25CF">
            <w:pPr>
              <w:rPr>
                <w:rFonts w:cs="Arial"/>
                <w:color w:val="FF0000"/>
                <w:sz w:val="21"/>
                <w:szCs w:val="21"/>
              </w:rPr>
            </w:pPr>
          </w:p>
        </w:tc>
        <w:tc>
          <w:tcPr>
            <w:tcW w:w="217" w:type="dxa"/>
          </w:tcPr>
          <w:p w14:paraId="57FD8E61" w14:textId="77777777" w:rsidR="002C0FD9" w:rsidRPr="00CA25CF" w:rsidRDefault="002C0FD9" w:rsidP="00CA25CF">
            <w:pPr>
              <w:rPr>
                <w:rFonts w:cs="Arial"/>
                <w:color w:val="FF0000"/>
                <w:sz w:val="21"/>
                <w:szCs w:val="21"/>
              </w:rPr>
            </w:pPr>
          </w:p>
        </w:tc>
        <w:tc>
          <w:tcPr>
            <w:tcW w:w="217" w:type="dxa"/>
          </w:tcPr>
          <w:p w14:paraId="354C06B8" w14:textId="77777777" w:rsidR="002C0FD9" w:rsidRPr="00CA25CF" w:rsidRDefault="002C0FD9" w:rsidP="00CA25CF">
            <w:pPr>
              <w:rPr>
                <w:rFonts w:cs="Arial"/>
                <w:color w:val="FF0000"/>
                <w:sz w:val="21"/>
                <w:szCs w:val="21"/>
              </w:rPr>
            </w:pPr>
          </w:p>
        </w:tc>
        <w:tc>
          <w:tcPr>
            <w:tcW w:w="217" w:type="dxa"/>
          </w:tcPr>
          <w:p w14:paraId="40AA8567" w14:textId="77777777" w:rsidR="002C0FD9" w:rsidRPr="00CA25CF" w:rsidRDefault="002C0FD9" w:rsidP="00CA25CF">
            <w:pPr>
              <w:rPr>
                <w:rFonts w:cs="Arial"/>
                <w:color w:val="FF0000"/>
                <w:sz w:val="21"/>
                <w:szCs w:val="21"/>
              </w:rPr>
            </w:pPr>
          </w:p>
        </w:tc>
        <w:tc>
          <w:tcPr>
            <w:tcW w:w="217" w:type="dxa"/>
          </w:tcPr>
          <w:p w14:paraId="68CCA1F9" w14:textId="77777777" w:rsidR="002C0FD9" w:rsidRPr="00CA25CF" w:rsidRDefault="002C0FD9" w:rsidP="00CA25CF">
            <w:pPr>
              <w:rPr>
                <w:rFonts w:cs="Arial"/>
                <w:color w:val="FF0000"/>
                <w:sz w:val="21"/>
                <w:szCs w:val="21"/>
              </w:rPr>
            </w:pPr>
          </w:p>
        </w:tc>
        <w:tc>
          <w:tcPr>
            <w:tcW w:w="217" w:type="dxa"/>
          </w:tcPr>
          <w:p w14:paraId="0D6EBA55" w14:textId="77777777" w:rsidR="002C0FD9" w:rsidRPr="00CA25CF" w:rsidRDefault="002C0FD9" w:rsidP="00CA25CF">
            <w:pPr>
              <w:rPr>
                <w:rFonts w:cs="Arial"/>
                <w:color w:val="FF0000"/>
                <w:sz w:val="21"/>
                <w:szCs w:val="21"/>
              </w:rPr>
            </w:pPr>
          </w:p>
        </w:tc>
        <w:tc>
          <w:tcPr>
            <w:tcW w:w="217" w:type="dxa"/>
          </w:tcPr>
          <w:p w14:paraId="6BEEFF6E" w14:textId="77777777" w:rsidR="002C0FD9" w:rsidRPr="00CA25CF" w:rsidRDefault="002C0FD9" w:rsidP="00CA25CF">
            <w:pPr>
              <w:rPr>
                <w:rFonts w:cs="Arial"/>
                <w:color w:val="FF0000"/>
                <w:sz w:val="21"/>
                <w:szCs w:val="21"/>
              </w:rPr>
            </w:pPr>
          </w:p>
        </w:tc>
        <w:tc>
          <w:tcPr>
            <w:tcW w:w="217" w:type="dxa"/>
          </w:tcPr>
          <w:p w14:paraId="4ACA13C6" w14:textId="77777777" w:rsidR="002C0FD9" w:rsidRPr="00CA25CF" w:rsidRDefault="002C0FD9" w:rsidP="00CA25CF">
            <w:pPr>
              <w:rPr>
                <w:rFonts w:cs="Arial"/>
                <w:color w:val="FF0000"/>
                <w:sz w:val="21"/>
                <w:szCs w:val="21"/>
              </w:rPr>
            </w:pPr>
          </w:p>
        </w:tc>
        <w:tc>
          <w:tcPr>
            <w:tcW w:w="217" w:type="dxa"/>
          </w:tcPr>
          <w:p w14:paraId="456573A9" w14:textId="77777777" w:rsidR="002C0FD9" w:rsidRPr="00CA25CF" w:rsidRDefault="002C0FD9" w:rsidP="00CA25CF">
            <w:pPr>
              <w:rPr>
                <w:rFonts w:cs="Arial"/>
                <w:color w:val="FF0000"/>
                <w:sz w:val="21"/>
                <w:szCs w:val="21"/>
              </w:rPr>
            </w:pPr>
          </w:p>
        </w:tc>
        <w:tc>
          <w:tcPr>
            <w:tcW w:w="217" w:type="dxa"/>
          </w:tcPr>
          <w:p w14:paraId="60130757" w14:textId="77777777" w:rsidR="002C0FD9" w:rsidRPr="00CA25CF" w:rsidRDefault="002C0FD9" w:rsidP="00CA25CF">
            <w:pPr>
              <w:rPr>
                <w:rFonts w:cs="Arial"/>
                <w:color w:val="FF0000"/>
                <w:sz w:val="21"/>
                <w:szCs w:val="21"/>
              </w:rPr>
            </w:pPr>
          </w:p>
        </w:tc>
        <w:tc>
          <w:tcPr>
            <w:tcW w:w="217" w:type="dxa"/>
          </w:tcPr>
          <w:p w14:paraId="550D727D" w14:textId="77777777" w:rsidR="002C0FD9" w:rsidRPr="00CA25CF" w:rsidRDefault="002C0FD9" w:rsidP="00CA25CF">
            <w:pPr>
              <w:rPr>
                <w:rFonts w:cs="Arial"/>
                <w:color w:val="FF0000"/>
                <w:sz w:val="21"/>
                <w:szCs w:val="21"/>
              </w:rPr>
            </w:pPr>
          </w:p>
        </w:tc>
        <w:tc>
          <w:tcPr>
            <w:tcW w:w="217" w:type="dxa"/>
          </w:tcPr>
          <w:p w14:paraId="7FEE1619" w14:textId="77777777" w:rsidR="002C0FD9" w:rsidRPr="00CA25CF" w:rsidRDefault="002C0FD9" w:rsidP="00CA25CF">
            <w:pPr>
              <w:rPr>
                <w:rFonts w:cs="Arial"/>
                <w:color w:val="FF0000"/>
                <w:sz w:val="21"/>
                <w:szCs w:val="21"/>
              </w:rPr>
            </w:pPr>
          </w:p>
        </w:tc>
        <w:tc>
          <w:tcPr>
            <w:tcW w:w="217" w:type="dxa"/>
          </w:tcPr>
          <w:p w14:paraId="6BD2C47A" w14:textId="77777777" w:rsidR="002C0FD9" w:rsidRPr="00CA25CF" w:rsidRDefault="002C0FD9" w:rsidP="00CA25CF">
            <w:pPr>
              <w:rPr>
                <w:rFonts w:cs="Arial"/>
                <w:color w:val="FF0000"/>
                <w:sz w:val="21"/>
                <w:szCs w:val="21"/>
              </w:rPr>
            </w:pPr>
          </w:p>
        </w:tc>
        <w:tc>
          <w:tcPr>
            <w:tcW w:w="217" w:type="dxa"/>
          </w:tcPr>
          <w:p w14:paraId="0FC85EDB" w14:textId="77777777" w:rsidR="002C0FD9" w:rsidRPr="00CA25CF" w:rsidRDefault="002C0FD9" w:rsidP="00CA25CF">
            <w:pPr>
              <w:rPr>
                <w:rFonts w:cs="Arial"/>
                <w:color w:val="FF0000"/>
                <w:sz w:val="21"/>
                <w:szCs w:val="21"/>
              </w:rPr>
            </w:pPr>
          </w:p>
        </w:tc>
        <w:tc>
          <w:tcPr>
            <w:tcW w:w="217" w:type="dxa"/>
          </w:tcPr>
          <w:p w14:paraId="14EBA5A4" w14:textId="77777777" w:rsidR="002C0FD9" w:rsidRPr="00CA25CF" w:rsidRDefault="002C0FD9" w:rsidP="00CA25CF">
            <w:pPr>
              <w:rPr>
                <w:rFonts w:cs="Arial"/>
                <w:color w:val="FF0000"/>
                <w:sz w:val="21"/>
                <w:szCs w:val="21"/>
              </w:rPr>
            </w:pPr>
          </w:p>
        </w:tc>
        <w:tc>
          <w:tcPr>
            <w:tcW w:w="217" w:type="dxa"/>
          </w:tcPr>
          <w:p w14:paraId="2F3E5341" w14:textId="77777777" w:rsidR="002C0FD9" w:rsidRPr="00CA25CF" w:rsidRDefault="002C0FD9" w:rsidP="00CA25CF">
            <w:pPr>
              <w:rPr>
                <w:rFonts w:cs="Arial"/>
                <w:color w:val="FF0000"/>
                <w:sz w:val="21"/>
                <w:szCs w:val="21"/>
              </w:rPr>
            </w:pPr>
          </w:p>
        </w:tc>
        <w:tc>
          <w:tcPr>
            <w:tcW w:w="217" w:type="dxa"/>
          </w:tcPr>
          <w:p w14:paraId="050CB3D1" w14:textId="77777777" w:rsidR="002C0FD9" w:rsidRPr="00CA25CF" w:rsidRDefault="002C0FD9" w:rsidP="00CA25CF">
            <w:pPr>
              <w:rPr>
                <w:rFonts w:cs="Arial"/>
                <w:color w:val="FF0000"/>
                <w:sz w:val="21"/>
                <w:szCs w:val="21"/>
              </w:rPr>
            </w:pPr>
          </w:p>
        </w:tc>
        <w:tc>
          <w:tcPr>
            <w:tcW w:w="217" w:type="dxa"/>
          </w:tcPr>
          <w:p w14:paraId="535B0C2D" w14:textId="77777777" w:rsidR="002C0FD9" w:rsidRPr="00CA25CF" w:rsidRDefault="002C0FD9" w:rsidP="00CA25CF">
            <w:pPr>
              <w:rPr>
                <w:rFonts w:cs="Arial"/>
                <w:color w:val="FF0000"/>
                <w:sz w:val="21"/>
                <w:szCs w:val="21"/>
              </w:rPr>
            </w:pPr>
          </w:p>
        </w:tc>
        <w:tc>
          <w:tcPr>
            <w:tcW w:w="217" w:type="dxa"/>
          </w:tcPr>
          <w:p w14:paraId="66EEFD7A" w14:textId="77777777" w:rsidR="002C0FD9" w:rsidRPr="00CA25CF" w:rsidRDefault="002C0FD9" w:rsidP="00CA25CF">
            <w:pPr>
              <w:rPr>
                <w:rFonts w:cs="Arial"/>
                <w:color w:val="FF0000"/>
                <w:sz w:val="21"/>
                <w:szCs w:val="21"/>
              </w:rPr>
            </w:pPr>
          </w:p>
        </w:tc>
        <w:tc>
          <w:tcPr>
            <w:tcW w:w="217" w:type="dxa"/>
          </w:tcPr>
          <w:p w14:paraId="797F1712" w14:textId="77777777" w:rsidR="002C0FD9" w:rsidRPr="00CA25CF" w:rsidRDefault="002C0FD9" w:rsidP="00CA25CF">
            <w:pPr>
              <w:rPr>
                <w:rFonts w:cs="Arial"/>
                <w:color w:val="FF0000"/>
                <w:sz w:val="21"/>
                <w:szCs w:val="21"/>
              </w:rPr>
            </w:pPr>
          </w:p>
        </w:tc>
      </w:tr>
      <w:tr w:rsidR="002C0FD9" w:rsidRPr="00A16219" w14:paraId="49D8B6DC" w14:textId="21942B83" w:rsidTr="002C0FD9">
        <w:trPr>
          <w:trHeight w:val="635"/>
        </w:trPr>
        <w:tc>
          <w:tcPr>
            <w:tcW w:w="515" w:type="dxa"/>
          </w:tcPr>
          <w:p w14:paraId="7EDE3913" w14:textId="77777777" w:rsidR="002C0FD9" w:rsidRPr="00CA25CF" w:rsidRDefault="002C0FD9" w:rsidP="00CA25CF">
            <w:pPr>
              <w:rPr>
                <w:rFonts w:cs="Arial"/>
                <w:color w:val="FF0000"/>
                <w:sz w:val="21"/>
                <w:szCs w:val="21"/>
              </w:rPr>
            </w:pPr>
          </w:p>
        </w:tc>
        <w:tc>
          <w:tcPr>
            <w:tcW w:w="217" w:type="dxa"/>
          </w:tcPr>
          <w:p w14:paraId="7D2784AD" w14:textId="77777777" w:rsidR="002C0FD9" w:rsidRPr="00CA25CF" w:rsidRDefault="002C0FD9" w:rsidP="00CA25CF">
            <w:pPr>
              <w:rPr>
                <w:rFonts w:cs="Arial"/>
                <w:color w:val="FF0000"/>
                <w:sz w:val="21"/>
                <w:szCs w:val="21"/>
              </w:rPr>
            </w:pPr>
          </w:p>
        </w:tc>
        <w:tc>
          <w:tcPr>
            <w:tcW w:w="217" w:type="dxa"/>
          </w:tcPr>
          <w:p w14:paraId="2E40942D" w14:textId="60CEEB58" w:rsidR="002C0FD9" w:rsidRPr="00CA25CF" w:rsidRDefault="002C0FD9" w:rsidP="00CA25CF">
            <w:pPr>
              <w:rPr>
                <w:rFonts w:cs="Arial"/>
                <w:color w:val="FF0000"/>
                <w:sz w:val="21"/>
                <w:szCs w:val="21"/>
              </w:rPr>
            </w:pPr>
          </w:p>
        </w:tc>
        <w:tc>
          <w:tcPr>
            <w:tcW w:w="217" w:type="dxa"/>
          </w:tcPr>
          <w:p w14:paraId="7E814900" w14:textId="77777777" w:rsidR="002C0FD9" w:rsidRPr="00CA25CF" w:rsidRDefault="002C0FD9" w:rsidP="00CA25CF">
            <w:pPr>
              <w:rPr>
                <w:rFonts w:cs="Arial"/>
                <w:color w:val="FF0000"/>
                <w:sz w:val="21"/>
                <w:szCs w:val="21"/>
              </w:rPr>
            </w:pPr>
          </w:p>
        </w:tc>
        <w:tc>
          <w:tcPr>
            <w:tcW w:w="217" w:type="dxa"/>
          </w:tcPr>
          <w:p w14:paraId="40DA9038" w14:textId="77777777" w:rsidR="002C0FD9" w:rsidRPr="00CA25CF" w:rsidRDefault="002C0FD9" w:rsidP="00CA25CF">
            <w:pPr>
              <w:rPr>
                <w:rFonts w:cs="Arial"/>
                <w:color w:val="FF0000"/>
                <w:sz w:val="21"/>
                <w:szCs w:val="21"/>
              </w:rPr>
            </w:pPr>
          </w:p>
        </w:tc>
        <w:tc>
          <w:tcPr>
            <w:tcW w:w="217" w:type="dxa"/>
          </w:tcPr>
          <w:p w14:paraId="1BDB7A8E" w14:textId="77777777" w:rsidR="002C0FD9" w:rsidRPr="00CA25CF" w:rsidRDefault="002C0FD9" w:rsidP="00CA25CF">
            <w:pPr>
              <w:rPr>
                <w:rFonts w:cs="Arial"/>
                <w:color w:val="FF0000"/>
                <w:sz w:val="21"/>
                <w:szCs w:val="21"/>
              </w:rPr>
            </w:pPr>
          </w:p>
        </w:tc>
        <w:tc>
          <w:tcPr>
            <w:tcW w:w="217" w:type="dxa"/>
          </w:tcPr>
          <w:p w14:paraId="4DF954A1" w14:textId="77777777" w:rsidR="002C0FD9" w:rsidRPr="00CA25CF" w:rsidRDefault="002C0FD9" w:rsidP="00CA25CF">
            <w:pPr>
              <w:rPr>
                <w:rFonts w:cs="Arial"/>
                <w:color w:val="FF0000"/>
                <w:sz w:val="21"/>
                <w:szCs w:val="21"/>
              </w:rPr>
            </w:pPr>
          </w:p>
        </w:tc>
        <w:tc>
          <w:tcPr>
            <w:tcW w:w="217" w:type="dxa"/>
          </w:tcPr>
          <w:p w14:paraId="7130836B" w14:textId="77777777" w:rsidR="002C0FD9" w:rsidRPr="00CA25CF" w:rsidRDefault="002C0FD9" w:rsidP="00CA25CF">
            <w:pPr>
              <w:rPr>
                <w:rFonts w:cs="Arial"/>
                <w:color w:val="FF0000"/>
                <w:sz w:val="21"/>
                <w:szCs w:val="21"/>
              </w:rPr>
            </w:pPr>
          </w:p>
        </w:tc>
        <w:tc>
          <w:tcPr>
            <w:tcW w:w="217" w:type="dxa"/>
          </w:tcPr>
          <w:p w14:paraId="6D2EA564" w14:textId="77777777" w:rsidR="002C0FD9" w:rsidRPr="00CA25CF" w:rsidRDefault="002C0FD9" w:rsidP="00CA25CF">
            <w:pPr>
              <w:rPr>
                <w:rFonts w:cs="Arial"/>
                <w:color w:val="FF0000"/>
                <w:sz w:val="21"/>
                <w:szCs w:val="21"/>
              </w:rPr>
            </w:pPr>
          </w:p>
        </w:tc>
        <w:tc>
          <w:tcPr>
            <w:tcW w:w="217" w:type="dxa"/>
          </w:tcPr>
          <w:p w14:paraId="318BE165" w14:textId="77777777" w:rsidR="002C0FD9" w:rsidRPr="00CA25CF" w:rsidRDefault="002C0FD9" w:rsidP="00CA25CF">
            <w:pPr>
              <w:rPr>
                <w:rFonts w:cs="Arial"/>
                <w:color w:val="FF0000"/>
                <w:sz w:val="21"/>
                <w:szCs w:val="21"/>
              </w:rPr>
            </w:pPr>
          </w:p>
        </w:tc>
        <w:tc>
          <w:tcPr>
            <w:tcW w:w="217" w:type="dxa"/>
          </w:tcPr>
          <w:p w14:paraId="5E52A11A" w14:textId="77777777" w:rsidR="002C0FD9" w:rsidRPr="00CA25CF" w:rsidRDefault="002C0FD9" w:rsidP="00CA25CF">
            <w:pPr>
              <w:rPr>
                <w:rFonts w:cs="Arial"/>
                <w:color w:val="FF0000"/>
                <w:sz w:val="21"/>
                <w:szCs w:val="21"/>
              </w:rPr>
            </w:pPr>
          </w:p>
        </w:tc>
        <w:tc>
          <w:tcPr>
            <w:tcW w:w="217" w:type="dxa"/>
          </w:tcPr>
          <w:p w14:paraId="22FB523E" w14:textId="77777777" w:rsidR="002C0FD9" w:rsidRPr="00CA25CF" w:rsidRDefault="002C0FD9" w:rsidP="00CA25CF">
            <w:pPr>
              <w:rPr>
                <w:rFonts w:cs="Arial"/>
                <w:color w:val="FF0000"/>
                <w:sz w:val="21"/>
                <w:szCs w:val="21"/>
              </w:rPr>
            </w:pPr>
          </w:p>
        </w:tc>
        <w:tc>
          <w:tcPr>
            <w:tcW w:w="217" w:type="dxa"/>
          </w:tcPr>
          <w:p w14:paraId="1E8EC84D" w14:textId="77777777" w:rsidR="002C0FD9" w:rsidRPr="00CA25CF" w:rsidRDefault="002C0FD9" w:rsidP="00CA25CF">
            <w:pPr>
              <w:rPr>
                <w:rFonts w:cs="Arial"/>
                <w:color w:val="FF0000"/>
                <w:sz w:val="21"/>
                <w:szCs w:val="21"/>
              </w:rPr>
            </w:pPr>
          </w:p>
        </w:tc>
        <w:tc>
          <w:tcPr>
            <w:tcW w:w="217" w:type="dxa"/>
          </w:tcPr>
          <w:p w14:paraId="66A6F927" w14:textId="77777777" w:rsidR="002C0FD9" w:rsidRPr="00CA25CF" w:rsidRDefault="002C0FD9" w:rsidP="00CA25CF">
            <w:pPr>
              <w:rPr>
                <w:rFonts w:cs="Arial"/>
                <w:color w:val="FF0000"/>
                <w:sz w:val="21"/>
                <w:szCs w:val="21"/>
              </w:rPr>
            </w:pPr>
          </w:p>
        </w:tc>
        <w:tc>
          <w:tcPr>
            <w:tcW w:w="217" w:type="dxa"/>
          </w:tcPr>
          <w:p w14:paraId="2EB13C70" w14:textId="77777777" w:rsidR="002C0FD9" w:rsidRPr="00CA25CF" w:rsidRDefault="002C0FD9" w:rsidP="00CA25CF">
            <w:pPr>
              <w:rPr>
                <w:rFonts w:cs="Arial"/>
                <w:color w:val="FF0000"/>
                <w:sz w:val="21"/>
                <w:szCs w:val="21"/>
              </w:rPr>
            </w:pPr>
          </w:p>
        </w:tc>
        <w:tc>
          <w:tcPr>
            <w:tcW w:w="217" w:type="dxa"/>
          </w:tcPr>
          <w:p w14:paraId="60686469" w14:textId="77777777" w:rsidR="002C0FD9" w:rsidRPr="00CA25CF" w:rsidRDefault="002C0FD9" w:rsidP="00CA25CF">
            <w:pPr>
              <w:rPr>
                <w:rFonts w:cs="Arial"/>
                <w:color w:val="FF0000"/>
                <w:sz w:val="21"/>
                <w:szCs w:val="21"/>
              </w:rPr>
            </w:pPr>
          </w:p>
        </w:tc>
        <w:tc>
          <w:tcPr>
            <w:tcW w:w="217" w:type="dxa"/>
          </w:tcPr>
          <w:p w14:paraId="1FE0F42D" w14:textId="77777777" w:rsidR="002C0FD9" w:rsidRPr="00CA25CF" w:rsidRDefault="002C0FD9" w:rsidP="00CA25CF">
            <w:pPr>
              <w:rPr>
                <w:rFonts w:cs="Arial"/>
                <w:color w:val="FF0000"/>
                <w:sz w:val="21"/>
                <w:szCs w:val="21"/>
              </w:rPr>
            </w:pPr>
          </w:p>
        </w:tc>
        <w:tc>
          <w:tcPr>
            <w:tcW w:w="217" w:type="dxa"/>
          </w:tcPr>
          <w:p w14:paraId="140428A2" w14:textId="77777777" w:rsidR="002C0FD9" w:rsidRPr="00CA25CF" w:rsidRDefault="002C0FD9" w:rsidP="00CA25CF">
            <w:pPr>
              <w:rPr>
                <w:rFonts w:cs="Arial"/>
                <w:color w:val="FF0000"/>
                <w:sz w:val="21"/>
                <w:szCs w:val="21"/>
              </w:rPr>
            </w:pPr>
          </w:p>
        </w:tc>
        <w:tc>
          <w:tcPr>
            <w:tcW w:w="217" w:type="dxa"/>
          </w:tcPr>
          <w:p w14:paraId="7E9790DC" w14:textId="77777777" w:rsidR="002C0FD9" w:rsidRPr="00CA25CF" w:rsidRDefault="002C0FD9" w:rsidP="00CA25CF">
            <w:pPr>
              <w:rPr>
                <w:rFonts w:cs="Arial"/>
                <w:color w:val="FF0000"/>
                <w:sz w:val="21"/>
                <w:szCs w:val="21"/>
              </w:rPr>
            </w:pPr>
          </w:p>
        </w:tc>
        <w:tc>
          <w:tcPr>
            <w:tcW w:w="217" w:type="dxa"/>
          </w:tcPr>
          <w:p w14:paraId="179D491A" w14:textId="77777777" w:rsidR="002C0FD9" w:rsidRPr="00CA25CF" w:rsidRDefault="002C0FD9" w:rsidP="00CA25CF">
            <w:pPr>
              <w:rPr>
                <w:rFonts w:cs="Arial"/>
                <w:color w:val="FF0000"/>
                <w:sz w:val="21"/>
                <w:szCs w:val="21"/>
              </w:rPr>
            </w:pPr>
          </w:p>
        </w:tc>
        <w:tc>
          <w:tcPr>
            <w:tcW w:w="217" w:type="dxa"/>
          </w:tcPr>
          <w:p w14:paraId="080A239F" w14:textId="77777777" w:rsidR="002C0FD9" w:rsidRPr="00CA25CF" w:rsidRDefault="002C0FD9" w:rsidP="00CA25CF">
            <w:pPr>
              <w:rPr>
                <w:rFonts w:cs="Arial"/>
                <w:color w:val="FF0000"/>
                <w:sz w:val="21"/>
                <w:szCs w:val="21"/>
              </w:rPr>
            </w:pPr>
          </w:p>
        </w:tc>
        <w:tc>
          <w:tcPr>
            <w:tcW w:w="217" w:type="dxa"/>
          </w:tcPr>
          <w:p w14:paraId="08052E95" w14:textId="77777777" w:rsidR="002C0FD9" w:rsidRPr="00CA25CF" w:rsidRDefault="002C0FD9" w:rsidP="00CA25CF">
            <w:pPr>
              <w:rPr>
                <w:rFonts w:cs="Arial"/>
                <w:color w:val="FF0000"/>
                <w:sz w:val="21"/>
                <w:szCs w:val="21"/>
              </w:rPr>
            </w:pPr>
          </w:p>
        </w:tc>
        <w:tc>
          <w:tcPr>
            <w:tcW w:w="217" w:type="dxa"/>
          </w:tcPr>
          <w:p w14:paraId="4C5617BB" w14:textId="77777777" w:rsidR="002C0FD9" w:rsidRPr="00CA25CF" w:rsidRDefault="002C0FD9" w:rsidP="00CA25CF">
            <w:pPr>
              <w:rPr>
                <w:rFonts w:cs="Arial"/>
                <w:color w:val="FF0000"/>
                <w:sz w:val="21"/>
                <w:szCs w:val="21"/>
              </w:rPr>
            </w:pPr>
          </w:p>
        </w:tc>
        <w:tc>
          <w:tcPr>
            <w:tcW w:w="217" w:type="dxa"/>
          </w:tcPr>
          <w:p w14:paraId="1DD9444A" w14:textId="77777777" w:rsidR="002C0FD9" w:rsidRPr="00CA25CF" w:rsidRDefault="002C0FD9" w:rsidP="00CA25CF">
            <w:pPr>
              <w:rPr>
                <w:rFonts w:cs="Arial"/>
                <w:color w:val="FF0000"/>
                <w:sz w:val="21"/>
                <w:szCs w:val="21"/>
              </w:rPr>
            </w:pPr>
          </w:p>
        </w:tc>
        <w:tc>
          <w:tcPr>
            <w:tcW w:w="217" w:type="dxa"/>
          </w:tcPr>
          <w:p w14:paraId="331D9F2E" w14:textId="77777777" w:rsidR="002C0FD9" w:rsidRPr="00CA25CF" w:rsidRDefault="002C0FD9" w:rsidP="00CA25CF">
            <w:pPr>
              <w:rPr>
                <w:rFonts w:cs="Arial"/>
                <w:color w:val="FF0000"/>
                <w:sz w:val="21"/>
                <w:szCs w:val="21"/>
              </w:rPr>
            </w:pPr>
          </w:p>
        </w:tc>
        <w:tc>
          <w:tcPr>
            <w:tcW w:w="217" w:type="dxa"/>
          </w:tcPr>
          <w:p w14:paraId="12706874" w14:textId="77777777" w:rsidR="002C0FD9" w:rsidRPr="00CA25CF" w:rsidRDefault="002C0FD9" w:rsidP="00CA25CF">
            <w:pPr>
              <w:rPr>
                <w:rFonts w:cs="Arial"/>
                <w:color w:val="FF0000"/>
                <w:sz w:val="21"/>
                <w:szCs w:val="21"/>
              </w:rPr>
            </w:pPr>
          </w:p>
        </w:tc>
        <w:tc>
          <w:tcPr>
            <w:tcW w:w="217" w:type="dxa"/>
          </w:tcPr>
          <w:p w14:paraId="7D63DB37" w14:textId="77777777" w:rsidR="002C0FD9" w:rsidRPr="00CA25CF" w:rsidRDefault="002C0FD9" w:rsidP="00CA25CF">
            <w:pPr>
              <w:rPr>
                <w:rFonts w:cs="Arial"/>
                <w:color w:val="FF0000"/>
                <w:sz w:val="21"/>
                <w:szCs w:val="21"/>
              </w:rPr>
            </w:pPr>
          </w:p>
        </w:tc>
        <w:tc>
          <w:tcPr>
            <w:tcW w:w="217" w:type="dxa"/>
          </w:tcPr>
          <w:p w14:paraId="7ADDCC35" w14:textId="77777777" w:rsidR="002C0FD9" w:rsidRPr="00CA25CF" w:rsidRDefault="002C0FD9" w:rsidP="00CA25CF">
            <w:pPr>
              <w:rPr>
                <w:rFonts w:cs="Arial"/>
                <w:color w:val="FF0000"/>
                <w:sz w:val="21"/>
                <w:szCs w:val="21"/>
              </w:rPr>
            </w:pPr>
          </w:p>
        </w:tc>
        <w:tc>
          <w:tcPr>
            <w:tcW w:w="217" w:type="dxa"/>
          </w:tcPr>
          <w:p w14:paraId="29EFF76E" w14:textId="77777777" w:rsidR="002C0FD9" w:rsidRPr="00CA25CF" w:rsidRDefault="002C0FD9" w:rsidP="00CA25CF">
            <w:pPr>
              <w:rPr>
                <w:rFonts w:cs="Arial"/>
                <w:color w:val="FF0000"/>
                <w:sz w:val="21"/>
                <w:szCs w:val="21"/>
              </w:rPr>
            </w:pPr>
          </w:p>
        </w:tc>
        <w:tc>
          <w:tcPr>
            <w:tcW w:w="217" w:type="dxa"/>
          </w:tcPr>
          <w:p w14:paraId="75F3F945" w14:textId="77777777" w:rsidR="002C0FD9" w:rsidRPr="00CA25CF" w:rsidRDefault="002C0FD9" w:rsidP="00CA25CF">
            <w:pPr>
              <w:rPr>
                <w:rFonts w:cs="Arial"/>
                <w:color w:val="FF0000"/>
                <w:sz w:val="21"/>
                <w:szCs w:val="21"/>
              </w:rPr>
            </w:pPr>
          </w:p>
        </w:tc>
        <w:tc>
          <w:tcPr>
            <w:tcW w:w="217" w:type="dxa"/>
          </w:tcPr>
          <w:p w14:paraId="2BAEC2C1" w14:textId="77777777" w:rsidR="002C0FD9" w:rsidRPr="00CA25CF" w:rsidRDefault="002C0FD9" w:rsidP="00CA25CF">
            <w:pPr>
              <w:rPr>
                <w:rFonts w:cs="Arial"/>
                <w:color w:val="FF0000"/>
                <w:sz w:val="21"/>
                <w:szCs w:val="21"/>
              </w:rPr>
            </w:pPr>
          </w:p>
        </w:tc>
        <w:tc>
          <w:tcPr>
            <w:tcW w:w="217" w:type="dxa"/>
          </w:tcPr>
          <w:p w14:paraId="6A723529" w14:textId="77777777" w:rsidR="002C0FD9" w:rsidRPr="00CA25CF" w:rsidRDefault="002C0FD9" w:rsidP="00CA25CF">
            <w:pPr>
              <w:rPr>
                <w:rFonts w:cs="Arial"/>
                <w:color w:val="FF0000"/>
                <w:sz w:val="21"/>
                <w:szCs w:val="21"/>
              </w:rPr>
            </w:pPr>
          </w:p>
        </w:tc>
        <w:tc>
          <w:tcPr>
            <w:tcW w:w="217" w:type="dxa"/>
          </w:tcPr>
          <w:p w14:paraId="3A6E57F0" w14:textId="77777777" w:rsidR="002C0FD9" w:rsidRPr="00CA25CF" w:rsidRDefault="002C0FD9" w:rsidP="00CA25CF">
            <w:pPr>
              <w:rPr>
                <w:rFonts w:cs="Arial"/>
                <w:color w:val="FF0000"/>
                <w:sz w:val="21"/>
                <w:szCs w:val="21"/>
              </w:rPr>
            </w:pPr>
          </w:p>
        </w:tc>
        <w:tc>
          <w:tcPr>
            <w:tcW w:w="217" w:type="dxa"/>
          </w:tcPr>
          <w:p w14:paraId="36305733" w14:textId="77777777" w:rsidR="002C0FD9" w:rsidRPr="00CA25CF" w:rsidRDefault="002C0FD9" w:rsidP="00CA25CF">
            <w:pPr>
              <w:rPr>
                <w:rFonts w:cs="Arial"/>
                <w:color w:val="FF0000"/>
                <w:sz w:val="21"/>
                <w:szCs w:val="21"/>
              </w:rPr>
            </w:pPr>
          </w:p>
        </w:tc>
        <w:tc>
          <w:tcPr>
            <w:tcW w:w="217" w:type="dxa"/>
          </w:tcPr>
          <w:p w14:paraId="778DFE2A" w14:textId="77777777" w:rsidR="002C0FD9" w:rsidRPr="00CA25CF" w:rsidRDefault="002C0FD9" w:rsidP="00CA25CF">
            <w:pPr>
              <w:rPr>
                <w:rFonts w:cs="Arial"/>
                <w:color w:val="FF0000"/>
                <w:sz w:val="21"/>
                <w:szCs w:val="21"/>
              </w:rPr>
            </w:pPr>
          </w:p>
        </w:tc>
        <w:tc>
          <w:tcPr>
            <w:tcW w:w="217" w:type="dxa"/>
          </w:tcPr>
          <w:p w14:paraId="1D5C8BC5" w14:textId="77777777" w:rsidR="002C0FD9" w:rsidRPr="00CA25CF" w:rsidRDefault="002C0FD9" w:rsidP="00CA25CF">
            <w:pPr>
              <w:rPr>
                <w:rFonts w:cs="Arial"/>
                <w:color w:val="FF0000"/>
                <w:sz w:val="21"/>
                <w:szCs w:val="21"/>
              </w:rPr>
            </w:pPr>
          </w:p>
        </w:tc>
        <w:tc>
          <w:tcPr>
            <w:tcW w:w="217" w:type="dxa"/>
          </w:tcPr>
          <w:p w14:paraId="026AB772" w14:textId="77777777" w:rsidR="002C0FD9" w:rsidRPr="00CA25CF" w:rsidRDefault="002C0FD9" w:rsidP="00CA25CF">
            <w:pPr>
              <w:rPr>
                <w:rFonts w:cs="Arial"/>
                <w:color w:val="FF0000"/>
                <w:sz w:val="21"/>
                <w:szCs w:val="21"/>
              </w:rPr>
            </w:pPr>
          </w:p>
        </w:tc>
        <w:tc>
          <w:tcPr>
            <w:tcW w:w="217" w:type="dxa"/>
          </w:tcPr>
          <w:p w14:paraId="530C50B4" w14:textId="77777777" w:rsidR="002C0FD9" w:rsidRPr="00CA25CF" w:rsidRDefault="002C0FD9" w:rsidP="00CA25CF">
            <w:pPr>
              <w:rPr>
                <w:rFonts w:cs="Arial"/>
                <w:color w:val="FF0000"/>
                <w:sz w:val="21"/>
                <w:szCs w:val="21"/>
              </w:rPr>
            </w:pPr>
          </w:p>
        </w:tc>
        <w:tc>
          <w:tcPr>
            <w:tcW w:w="217" w:type="dxa"/>
          </w:tcPr>
          <w:p w14:paraId="1A80DD64" w14:textId="77777777" w:rsidR="002C0FD9" w:rsidRPr="00CA25CF" w:rsidRDefault="002C0FD9" w:rsidP="00CA25CF">
            <w:pPr>
              <w:rPr>
                <w:rFonts w:cs="Arial"/>
                <w:color w:val="FF0000"/>
                <w:sz w:val="21"/>
                <w:szCs w:val="21"/>
              </w:rPr>
            </w:pPr>
          </w:p>
        </w:tc>
        <w:tc>
          <w:tcPr>
            <w:tcW w:w="217" w:type="dxa"/>
          </w:tcPr>
          <w:p w14:paraId="5CBA0132" w14:textId="77777777" w:rsidR="002C0FD9" w:rsidRPr="00CA25CF" w:rsidRDefault="002C0FD9" w:rsidP="00CA25CF">
            <w:pPr>
              <w:rPr>
                <w:rFonts w:cs="Arial"/>
                <w:color w:val="FF0000"/>
                <w:sz w:val="21"/>
                <w:szCs w:val="21"/>
              </w:rPr>
            </w:pPr>
          </w:p>
        </w:tc>
        <w:tc>
          <w:tcPr>
            <w:tcW w:w="217" w:type="dxa"/>
          </w:tcPr>
          <w:p w14:paraId="66CCBA05" w14:textId="77777777" w:rsidR="002C0FD9" w:rsidRPr="00CA25CF" w:rsidRDefault="002C0FD9" w:rsidP="00CA25CF">
            <w:pPr>
              <w:rPr>
                <w:rFonts w:cs="Arial"/>
                <w:color w:val="FF0000"/>
                <w:sz w:val="21"/>
                <w:szCs w:val="21"/>
              </w:rPr>
            </w:pPr>
          </w:p>
        </w:tc>
        <w:tc>
          <w:tcPr>
            <w:tcW w:w="217" w:type="dxa"/>
          </w:tcPr>
          <w:p w14:paraId="5709505F" w14:textId="77777777" w:rsidR="002C0FD9" w:rsidRPr="00CA25CF" w:rsidRDefault="002C0FD9" w:rsidP="00CA25CF">
            <w:pPr>
              <w:rPr>
                <w:rFonts w:cs="Arial"/>
                <w:color w:val="FF0000"/>
                <w:sz w:val="21"/>
                <w:szCs w:val="21"/>
              </w:rPr>
            </w:pPr>
          </w:p>
        </w:tc>
        <w:tc>
          <w:tcPr>
            <w:tcW w:w="217" w:type="dxa"/>
          </w:tcPr>
          <w:p w14:paraId="1B5D1E56" w14:textId="77777777" w:rsidR="002C0FD9" w:rsidRPr="00CA25CF" w:rsidRDefault="002C0FD9" w:rsidP="00CA25CF">
            <w:pPr>
              <w:rPr>
                <w:rFonts w:cs="Arial"/>
                <w:color w:val="FF0000"/>
                <w:sz w:val="21"/>
                <w:szCs w:val="21"/>
              </w:rPr>
            </w:pPr>
          </w:p>
        </w:tc>
      </w:tr>
      <w:tr w:rsidR="002C0FD9" w:rsidRPr="00A16219" w14:paraId="70FC96B8" w14:textId="183DC5AA" w:rsidTr="002C0FD9">
        <w:trPr>
          <w:trHeight w:val="635"/>
        </w:trPr>
        <w:tc>
          <w:tcPr>
            <w:tcW w:w="515" w:type="dxa"/>
          </w:tcPr>
          <w:p w14:paraId="19EC009F" w14:textId="77777777" w:rsidR="002C0FD9" w:rsidRPr="00CA25CF" w:rsidRDefault="002C0FD9" w:rsidP="00CA25CF">
            <w:pPr>
              <w:rPr>
                <w:rFonts w:cs="Arial"/>
                <w:color w:val="FF0000"/>
                <w:sz w:val="21"/>
                <w:szCs w:val="21"/>
              </w:rPr>
            </w:pPr>
          </w:p>
        </w:tc>
        <w:tc>
          <w:tcPr>
            <w:tcW w:w="217" w:type="dxa"/>
          </w:tcPr>
          <w:p w14:paraId="33C7FDD5" w14:textId="77777777" w:rsidR="002C0FD9" w:rsidRPr="00CA25CF" w:rsidRDefault="002C0FD9" w:rsidP="00CA25CF">
            <w:pPr>
              <w:rPr>
                <w:rFonts w:cs="Arial"/>
                <w:color w:val="FF0000"/>
                <w:sz w:val="21"/>
                <w:szCs w:val="21"/>
              </w:rPr>
            </w:pPr>
          </w:p>
        </w:tc>
        <w:tc>
          <w:tcPr>
            <w:tcW w:w="217" w:type="dxa"/>
          </w:tcPr>
          <w:p w14:paraId="0DE0A06B" w14:textId="73558B25" w:rsidR="002C0FD9" w:rsidRPr="00CA25CF" w:rsidRDefault="002C0FD9" w:rsidP="00CA25CF">
            <w:pPr>
              <w:rPr>
                <w:rFonts w:cs="Arial"/>
                <w:color w:val="FF0000"/>
                <w:sz w:val="21"/>
                <w:szCs w:val="21"/>
              </w:rPr>
            </w:pPr>
          </w:p>
        </w:tc>
        <w:tc>
          <w:tcPr>
            <w:tcW w:w="217" w:type="dxa"/>
          </w:tcPr>
          <w:p w14:paraId="7D76D560" w14:textId="77777777" w:rsidR="002C0FD9" w:rsidRPr="00CA25CF" w:rsidRDefault="002C0FD9" w:rsidP="00CA25CF">
            <w:pPr>
              <w:rPr>
                <w:rFonts w:cs="Arial"/>
                <w:color w:val="FF0000"/>
                <w:sz w:val="21"/>
                <w:szCs w:val="21"/>
              </w:rPr>
            </w:pPr>
          </w:p>
        </w:tc>
        <w:tc>
          <w:tcPr>
            <w:tcW w:w="217" w:type="dxa"/>
          </w:tcPr>
          <w:p w14:paraId="52E4C008" w14:textId="77777777" w:rsidR="002C0FD9" w:rsidRPr="00CA25CF" w:rsidRDefault="002C0FD9" w:rsidP="00CA25CF">
            <w:pPr>
              <w:rPr>
                <w:rFonts w:cs="Arial"/>
                <w:color w:val="FF0000"/>
                <w:sz w:val="21"/>
                <w:szCs w:val="21"/>
              </w:rPr>
            </w:pPr>
          </w:p>
        </w:tc>
        <w:tc>
          <w:tcPr>
            <w:tcW w:w="217" w:type="dxa"/>
          </w:tcPr>
          <w:p w14:paraId="2CA7CBFF" w14:textId="77777777" w:rsidR="002C0FD9" w:rsidRPr="00CA25CF" w:rsidRDefault="002C0FD9" w:rsidP="00CA25CF">
            <w:pPr>
              <w:rPr>
                <w:rFonts w:cs="Arial"/>
                <w:color w:val="FF0000"/>
                <w:sz w:val="21"/>
                <w:szCs w:val="21"/>
              </w:rPr>
            </w:pPr>
          </w:p>
        </w:tc>
        <w:tc>
          <w:tcPr>
            <w:tcW w:w="217" w:type="dxa"/>
          </w:tcPr>
          <w:p w14:paraId="3C49CE5A" w14:textId="77777777" w:rsidR="002C0FD9" w:rsidRPr="00CA25CF" w:rsidRDefault="002C0FD9" w:rsidP="00CA25CF">
            <w:pPr>
              <w:rPr>
                <w:rFonts w:cs="Arial"/>
                <w:color w:val="FF0000"/>
                <w:sz w:val="21"/>
                <w:szCs w:val="21"/>
              </w:rPr>
            </w:pPr>
          </w:p>
        </w:tc>
        <w:tc>
          <w:tcPr>
            <w:tcW w:w="217" w:type="dxa"/>
          </w:tcPr>
          <w:p w14:paraId="767E2EEE" w14:textId="77777777" w:rsidR="002C0FD9" w:rsidRPr="00CA25CF" w:rsidRDefault="002C0FD9" w:rsidP="00CA25CF">
            <w:pPr>
              <w:rPr>
                <w:rFonts w:cs="Arial"/>
                <w:color w:val="FF0000"/>
                <w:sz w:val="21"/>
                <w:szCs w:val="21"/>
              </w:rPr>
            </w:pPr>
          </w:p>
        </w:tc>
        <w:tc>
          <w:tcPr>
            <w:tcW w:w="217" w:type="dxa"/>
          </w:tcPr>
          <w:p w14:paraId="61DB514D" w14:textId="77777777" w:rsidR="002C0FD9" w:rsidRPr="00CA25CF" w:rsidRDefault="002C0FD9" w:rsidP="00CA25CF">
            <w:pPr>
              <w:rPr>
                <w:rFonts w:cs="Arial"/>
                <w:color w:val="FF0000"/>
                <w:sz w:val="21"/>
                <w:szCs w:val="21"/>
              </w:rPr>
            </w:pPr>
          </w:p>
        </w:tc>
        <w:tc>
          <w:tcPr>
            <w:tcW w:w="217" w:type="dxa"/>
          </w:tcPr>
          <w:p w14:paraId="35CAE5F1" w14:textId="77777777" w:rsidR="002C0FD9" w:rsidRPr="00CA25CF" w:rsidRDefault="002C0FD9" w:rsidP="00CA25CF">
            <w:pPr>
              <w:rPr>
                <w:rFonts w:cs="Arial"/>
                <w:color w:val="FF0000"/>
                <w:sz w:val="21"/>
                <w:szCs w:val="21"/>
              </w:rPr>
            </w:pPr>
          </w:p>
        </w:tc>
        <w:tc>
          <w:tcPr>
            <w:tcW w:w="217" w:type="dxa"/>
          </w:tcPr>
          <w:p w14:paraId="43E428C4" w14:textId="77777777" w:rsidR="002C0FD9" w:rsidRPr="00CA25CF" w:rsidRDefault="002C0FD9" w:rsidP="00CA25CF">
            <w:pPr>
              <w:rPr>
                <w:rFonts w:cs="Arial"/>
                <w:color w:val="FF0000"/>
                <w:sz w:val="21"/>
                <w:szCs w:val="21"/>
              </w:rPr>
            </w:pPr>
          </w:p>
        </w:tc>
        <w:tc>
          <w:tcPr>
            <w:tcW w:w="217" w:type="dxa"/>
          </w:tcPr>
          <w:p w14:paraId="22FCB55B" w14:textId="77777777" w:rsidR="002C0FD9" w:rsidRPr="00CA25CF" w:rsidRDefault="002C0FD9" w:rsidP="00CA25CF">
            <w:pPr>
              <w:rPr>
                <w:rFonts w:cs="Arial"/>
                <w:color w:val="FF0000"/>
                <w:sz w:val="21"/>
                <w:szCs w:val="21"/>
              </w:rPr>
            </w:pPr>
          </w:p>
        </w:tc>
        <w:tc>
          <w:tcPr>
            <w:tcW w:w="217" w:type="dxa"/>
          </w:tcPr>
          <w:p w14:paraId="53C628D8" w14:textId="77777777" w:rsidR="002C0FD9" w:rsidRPr="00CA25CF" w:rsidRDefault="002C0FD9" w:rsidP="00CA25CF">
            <w:pPr>
              <w:rPr>
                <w:rFonts w:cs="Arial"/>
                <w:color w:val="FF0000"/>
                <w:sz w:val="21"/>
                <w:szCs w:val="21"/>
              </w:rPr>
            </w:pPr>
          </w:p>
        </w:tc>
        <w:tc>
          <w:tcPr>
            <w:tcW w:w="217" w:type="dxa"/>
          </w:tcPr>
          <w:p w14:paraId="7419B690" w14:textId="77777777" w:rsidR="002C0FD9" w:rsidRPr="00CA25CF" w:rsidRDefault="002C0FD9" w:rsidP="00CA25CF">
            <w:pPr>
              <w:rPr>
                <w:rFonts w:cs="Arial"/>
                <w:color w:val="FF0000"/>
                <w:sz w:val="21"/>
                <w:szCs w:val="21"/>
              </w:rPr>
            </w:pPr>
          </w:p>
        </w:tc>
        <w:tc>
          <w:tcPr>
            <w:tcW w:w="217" w:type="dxa"/>
          </w:tcPr>
          <w:p w14:paraId="197DB930" w14:textId="77777777" w:rsidR="002C0FD9" w:rsidRPr="00CA25CF" w:rsidRDefault="002C0FD9" w:rsidP="00CA25CF">
            <w:pPr>
              <w:rPr>
                <w:rFonts w:cs="Arial"/>
                <w:color w:val="FF0000"/>
                <w:sz w:val="21"/>
                <w:szCs w:val="21"/>
              </w:rPr>
            </w:pPr>
          </w:p>
        </w:tc>
        <w:tc>
          <w:tcPr>
            <w:tcW w:w="217" w:type="dxa"/>
          </w:tcPr>
          <w:p w14:paraId="0736181E" w14:textId="77777777" w:rsidR="002C0FD9" w:rsidRPr="00CA25CF" w:rsidRDefault="002C0FD9" w:rsidP="00CA25CF">
            <w:pPr>
              <w:rPr>
                <w:rFonts w:cs="Arial"/>
                <w:color w:val="FF0000"/>
                <w:sz w:val="21"/>
                <w:szCs w:val="21"/>
              </w:rPr>
            </w:pPr>
          </w:p>
        </w:tc>
        <w:tc>
          <w:tcPr>
            <w:tcW w:w="217" w:type="dxa"/>
          </w:tcPr>
          <w:p w14:paraId="4147FAC9" w14:textId="77777777" w:rsidR="002C0FD9" w:rsidRPr="00CA25CF" w:rsidRDefault="002C0FD9" w:rsidP="00CA25CF">
            <w:pPr>
              <w:rPr>
                <w:rFonts w:cs="Arial"/>
                <w:color w:val="FF0000"/>
                <w:sz w:val="21"/>
                <w:szCs w:val="21"/>
              </w:rPr>
            </w:pPr>
          </w:p>
        </w:tc>
        <w:tc>
          <w:tcPr>
            <w:tcW w:w="217" w:type="dxa"/>
          </w:tcPr>
          <w:p w14:paraId="016CBA3B" w14:textId="77777777" w:rsidR="002C0FD9" w:rsidRPr="00CA25CF" w:rsidRDefault="002C0FD9" w:rsidP="00CA25CF">
            <w:pPr>
              <w:rPr>
                <w:rFonts w:cs="Arial"/>
                <w:color w:val="FF0000"/>
                <w:sz w:val="21"/>
                <w:szCs w:val="21"/>
              </w:rPr>
            </w:pPr>
          </w:p>
        </w:tc>
        <w:tc>
          <w:tcPr>
            <w:tcW w:w="217" w:type="dxa"/>
          </w:tcPr>
          <w:p w14:paraId="4331084E" w14:textId="77777777" w:rsidR="002C0FD9" w:rsidRPr="00CA25CF" w:rsidRDefault="002C0FD9" w:rsidP="00CA25CF">
            <w:pPr>
              <w:rPr>
                <w:rFonts w:cs="Arial"/>
                <w:color w:val="FF0000"/>
                <w:sz w:val="21"/>
                <w:szCs w:val="21"/>
              </w:rPr>
            </w:pPr>
          </w:p>
        </w:tc>
        <w:tc>
          <w:tcPr>
            <w:tcW w:w="217" w:type="dxa"/>
          </w:tcPr>
          <w:p w14:paraId="4B186BE2" w14:textId="77777777" w:rsidR="002C0FD9" w:rsidRPr="00CA25CF" w:rsidRDefault="002C0FD9" w:rsidP="00CA25CF">
            <w:pPr>
              <w:rPr>
                <w:rFonts w:cs="Arial"/>
                <w:color w:val="FF0000"/>
                <w:sz w:val="21"/>
                <w:szCs w:val="21"/>
              </w:rPr>
            </w:pPr>
          </w:p>
        </w:tc>
        <w:tc>
          <w:tcPr>
            <w:tcW w:w="217" w:type="dxa"/>
          </w:tcPr>
          <w:p w14:paraId="02EF905A" w14:textId="77777777" w:rsidR="002C0FD9" w:rsidRPr="00CA25CF" w:rsidRDefault="002C0FD9" w:rsidP="00CA25CF">
            <w:pPr>
              <w:rPr>
                <w:rFonts w:cs="Arial"/>
                <w:color w:val="FF0000"/>
                <w:sz w:val="21"/>
                <w:szCs w:val="21"/>
              </w:rPr>
            </w:pPr>
          </w:p>
        </w:tc>
        <w:tc>
          <w:tcPr>
            <w:tcW w:w="217" w:type="dxa"/>
          </w:tcPr>
          <w:p w14:paraId="3B81789B" w14:textId="77777777" w:rsidR="002C0FD9" w:rsidRPr="00CA25CF" w:rsidRDefault="002C0FD9" w:rsidP="00CA25CF">
            <w:pPr>
              <w:rPr>
                <w:rFonts w:cs="Arial"/>
                <w:color w:val="FF0000"/>
                <w:sz w:val="21"/>
                <w:szCs w:val="21"/>
              </w:rPr>
            </w:pPr>
          </w:p>
        </w:tc>
        <w:tc>
          <w:tcPr>
            <w:tcW w:w="217" w:type="dxa"/>
          </w:tcPr>
          <w:p w14:paraId="14D4CFB2" w14:textId="77777777" w:rsidR="002C0FD9" w:rsidRPr="00CA25CF" w:rsidRDefault="002C0FD9" w:rsidP="00CA25CF">
            <w:pPr>
              <w:rPr>
                <w:rFonts w:cs="Arial"/>
                <w:color w:val="FF0000"/>
                <w:sz w:val="21"/>
                <w:szCs w:val="21"/>
              </w:rPr>
            </w:pPr>
          </w:p>
        </w:tc>
        <w:tc>
          <w:tcPr>
            <w:tcW w:w="217" w:type="dxa"/>
          </w:tcPr>
          <w:p w14:paraId="43309756" w14:textId="77777777" w:rsidR="002C0FD9" w:rsidRPr="00CA25CF" w:rsidRDefault="002C0FD9" w:rsidP="00CA25CF">
            <w:pPr>
              <w:rPr>
                <w:rFonts w:cs="Arial"/>
                <w:color w:val="FF0000"/>
                <w:sz w:val="21"/>
                <w:szCs w:val="21"/>
              </w:rPr>
            </w:pPr>
          </w:p>
        </w:tc>
        <w:tc>
          <w:tcPr>
            <w:tcW w:w="217" w:type="dxa"/>
          </w:tcPr>
          <w:p w14:paraId="3A2A9682" w14:textId="77777777" w:rsidR="002C0FD9" w:rsidRPr="00CA25CF" w:rsidRDefault="002C0FD9" w:rsidP="00CA25CF">
            <w:pPr>
              <w:rPr>
                <w:rFonts w:cs="Arial"/>
                <w:color w:val="FF0000"/>
                <w:sz w:val="21"/>
                <w:szCs w:val="21"/>
              </w:rPr>
            </w:pPr>
          </w:p>
        </w:tc>
        <w:tc>
          <w:tcPr>
            <w:tcW w:w="217" w:type="dxa"/>
          </w:tcPr>
          <w:p w14:paraId="0EDCD205" w14:textId="77777777" w:rsidR="002C0FD9" w:rsidRPr="00CA25CF" w:rsidRDefault="002C0FD9" w:rsidP="00CA25CF">
            <w:pPr>
              <w:rPr>
                <w:rFonts w:cs="Arial"/>
                <w:color w:val="FF0000"/>
                <w:sz w:val="21"/>
                <w:szCs w:val="21"/>
              </w:rPr>
            </w:pPr>
          </w:p>
        </w:tc>
        <w:tc>
          <w:tcPr>
            <w:tcW w:w="217" w:type="dxa"/>
          </w:tcPr>
          <w:p w14:paraId="4871C6A8" w14:textId="77777777" w:rsidR="002C0FD9" w:rsidRPr="00CA25CF" w:rsidRDefault="002C0FD9" w:rsidP="00CA25CF">
            <w:pPr>
              <w:rPr>
                <w:rFonts w:cs="Arial"/>
                <w:color w:val="FF0000"/>
                <w:sz w:val="21"/>
                <w:szCs w:val="21"/>
              </w:rPr>
            </w:pPr>
          </w:p>
        </w:tc>
        <w:tc>
          <w:tcPr>
            <w:tcW w:w="217" w:type="dxa"/>
          </w:tcPr>
          <w:p w14:paraId="4FDF07C0" w14:textId="77777777" w:rsidR="002C0FD9" w:rsidRPr="00CA25CF" w:rsidRDefault="002C0FD9" w:rsidP="00CA25CF">
            <w:pPr>
              <w:rPr>
                <w:rFonts w:cs="Arial"/>
                <w:color w:val="FF0000"/>
                <w:sz w:val="21"/>
                <w:szCs w:val="21"/>
              </w:rPr>
            </w:pPr>
          </w:p>
        </w:tc>
        <w:tc>
          <w:tcPr>
            <w:tcW w:w="217" w:type="dxa"/>
          </w:tcPr>
          <w:p w14:paraId="3A394018" w14:textId="77777777" w:rsidR="002C0FD9" w:rsidRPr="00CA25CF" w:rsidRDefault="002C0FD9" w:rsidP="00CA25CF">
            <w:pPr>
              <w:rPr>
                <w:rFonts w:cs="Arial"/>
                <w:color w:val="FF0000"/>
                <w:sz w:val="21"/>
                <w:szCs w:val="21"/>
              </w:rPr>
            </w:pPr>
          </w:p>
        </w:tc>
        <w:tc>
          <w:tcPr>
            <w:tcW w:w="217" w:type="dxa"/>
          </w:tcPr>
          <w:p w14:paraId="415CAF69" w14:textId="77777777" w:rsidR="002C0FD9" w:rsidRPr="00CA25CF" w:rsidRDefault="002C0FD9" w:rsidP="00CA25CF">
            <w:pPr>
              <w:rPr>
                <w:rFonts w:cs="Arial"/>
                <w:color w:val="FF0000"/>
                <w:sz w:val="21"/>
                <w:szCs w:val="21"/>
              </w:rPr>
            </w:pPr>
          </w:p>
        </w:tc>
        <w:tc>
          <w:tcPr>
            <w:tcW w:w="217" w:type="dxa"/>
          </w:tcPr>
          <w:p w14:paraId="1BC22F0E" w14:textId="77777777" w:rsidR="002C0FD9" w:rsidRPr="00CA25CF" w:rsidRDefault="002C0FD9" w:rsidP="00CA25CF">
            <w:pPr>
              <w:rPr>
                <w:rFonts w:cs="Arial"/>
                <w:color w:val="FF0000"/>
                <w:sz w:val="21"/>
                <w:szCs w:val="21"/>
              </w:rPr>
            </w:pPr>
          </w:p>
        </w:tc>
        <w:tc>
          <w:tcPr>
            <w:tcW w:w="217" w:type="dxa"/>
          </w:tcPr>
          <w:p w14:paraId="0393F2BF" w14:textId="77777777" w:rsidR="002C0FD9" w:rsidRPr="00CA25CF" w:rsidRDefault="002C0FD9" w:rsidP="00CA25CF">
            <w:pPr>
              <w:rPr>
                <w:rFonts w:cs="Arial"/>
                <w:color w:val="FF0000"/>
                <w:sz w:val="21"/>
                <w:szCs w:val="21"/>
              </w:rPr>
            </w:pPr>
          </w:p>
        </w:tc>
        <w:tc>
          <w:tcPr>
            <w:tcW w:w="217" w:type="dxa"/>
          </w:tcPr>
          <w:p w14:paraId="5DD447E0" w14:textId="77777777" w:rsidR="002C0FD9" w:rsidRPr="00CA25CF" w:rsidRDefault="002C0FD9" w:rsidP="00CA25CF">
            <w:pPr>
              <w:rPr>
                <w:rFonts w:cs="Arial"/>
                <w:color w:val="FF0000"/>
                <w:sz w:val="21"/>
                <w:szCs w:val="21"/>
              </w:rPr>
            </w:pPr>
          </w:p>
        </w:tc>
        <w:tc>
          <w:tcPr>
            <w:tcW w:w="217" w:type="dxa"/>
          </w:tcPr>
          <w:p w14:paraId="33D648F2" w14:textId="77777777" w:rsidR="002C0FD9" w:rsidRPr="00CA25CF" w:rsidRDefault="002C0FD9" w:rsidP="00CA25CF">
            <w:pPr>
              <w:rPr>
                <w:rFonts w:cs="Arial"/>
                <w:color w:val="FF0000"/>
                <w:sz w:val="21"/>
                <w:szCs w:val="21"/>
              </w:rPr>
            </w:pPr>
          </w:p>
        </w:tc>
        <w:tc>
          <w:tcPr>
            <w:tcW w:w="217" w:type="dxa"/>
          </w:tcPr>
          <w:p w14:paraId="3EB94D52" w14:textId="77777777" w:rsidR="002C0FD9" w:rsidRPr="00CA25CF" w:rsidRDefault="002C0FD9" w:rsidP="00CA25CF">
            <w:pPr>
              <w:rPr>
                <w:rFonts w:cs="Arial"/>
                <w:color w:val="FF0000"/>
                <w:sz w:val="21"/>
                <w:szCs w:val="21"/>
              </w:rPr>
            </w:pPr>
          </w:p>
        </w:tc>
        <w:tc>
          <w:tcPr>
            <w:tcW w:w="217" w:type="dxa"/>
          </w:tcPr>
          <w:p w14:paraId="65D821B9" w14:textId="77777777" w:rsidR="002C0FD9" w:rsidRPr="00CA25CF" w:rsidRDefault="002C0FD9" w:rsidP="00CA25CF">
            <w:pPr>
              <w:rPr>
                <w:rFonts w:cs="Arial"/>
                <w:color w:val="FF0000"/>
                <w:sz w:val="21"/>
                <w:szCs w:val="21"/>
              </w:rPr>
            </w:pPr>
          </w:p>
        </w:tc>
        <w:tc>
          <w:tcPr>
            <w:tcW w:w="217" w:type="dxa"/>
          </w:tcPr>
          <w:p w14:paraId="2F92955E" w14:textId="77777777" w:rsidR="002C0FD9" w:rsidRPr="00CA25CF" w:rsidRDefault="002C0FD9" w:rsidP="00CA25CF">
            <w:pPr>
              <w:rPr>
                <w:rFonts w:cs="Arial"/>
                <w:color w:val="FF0000"/>
                <w:sz w:val="21"/>
                <w:szCs w:val="21"/>
              </w:rPr>
            </w:pPr>
          </w:p>
        </w:tc>
        <w:tc>
          <w:tcPr>
            <w:tcW w:w="217" w:type="dxa"/>
          </w:tcPr>
          <w:p w14:paraId="257904DA" w14:textId="77777777" w:rsidR="002C0FD9" w:rsidRPr="00CA25CF" w:rsidRDefault="002C0FD9" w:rsidP="00CA25CF">
            <w:pPr>
              <w:rPr>
                <w:rFonts w:cs="Arial"/>
                <w:color w:val="FF0000"/>
                <w:sz w:val="21"/>
                <w:szCs w:val="21"/>
              </w:rPr>
            </w:pPr>
          </w:p>
        </w:tc>
        <w:tc>
          <w:tcPr>
            <w:tcW w:w="217" w:type="dxa"/>
          </w:tcPr>
          <w:p w14:paraId="2EBBE089" w14:textId="77777777" w:rsidR="002C0FD9" w:rsidRPr="00CA25CF" w:rsidRDefault="002C0FD9" w:rsidP="00CA25CF">
            <w:pPr>
              <w:rPr>
                <w:rFonts w:cs="Arial"/>
                <w:color w:val="FF0000"/>
                <w:sz w:val="21"/>
                <w:szCs w:val="21"/>
              </w:rPr>
            </w:pPr>
          </w:p>
        </w:tc>
        <w:tc>
          <w:tcPr>
            <w:tcW w:w="217" w:type="dxa"/>
          </w:tcPr>
          <w:p w14:paraId="78A1AA3A" w14:textId="77777777" w:rsidR="002C0FD9" w:rsidRPr="00CA25CF" w:rsidRDefault="002C0FD9" w:rsidP="00CA25CF">
            <w:pPr>
              <w:rPr>
                <w:rFonts w:cs="Arial"/>
                <w:color w:val="FF0000"/>
                <w:sz w:val="21"/>
                <w:szCs w:val="21"/>
              </w:rPr>
            </w:pPr>
          </w:p>
        </w:tc>
        <w:tc>
          <w:tcPr>
            <w:tcW w:w="217" w:type="dxa"/>
          </w:tcPr>
          <w:p w14:paraId="6D0C77B1" w14:textId="77777777" w:rsidR="002C0FD9" w:rsidRPr="00CA25CF" w:rsidRDefault="002C0FD9" w:rsidP="00CA25CF">
            <w:pPr>
              <w:rPr>
                <w:rFonts w:cs="Arial"/>
                <w:color w:val="FF0000"/>
                <w:sz w:val="21"/>
                <w:szCs w:val="21"/>
              </w:rPr>
            </w:pPr>
          </w:p>
        </w:tc>
        <w:tc>
          <w:tcPr>
            <w:tcW w:w="217" w:type="dxa"/>
          </w:tcPr>
          <w:p w14:paraId="1258AE79" w14:textId="77777777" w:rsidR="002C0FD9" w:rsidRPr="00CA25CF" w:rsidRDefault="002C0FD9" w:rsidP="00CA25CF">
            <w:pPr>
              <w:rPr>
                <w:rFonts w:cs="Arial"/>
                <w:color w:val="FF0000"/>
                <w:sz w:val="21"/>
                <w:szCs w:val="21"/>
              </w:rPr>
            </w:pPr>
          </w:p>
        </w:tc>
        <w:tc>
          <w:tcPr>
            <w:tcW w:w="217" w:type="dxa"/>
          </w:tcPr>
          <w:p w14:paraId="6F2A2475" w14:textId="77777777" w:rsidR="002C0FD9" w:rsidRPr="00CA25CF" w:rsidRDefault="002C0FD9" w:rsidP="00CA25CF">
            <w:pPr>
              <w:rPr>
                <w:rFonts w:cs="Arial"/>
                <w:color w:val="FF0000"/>
                <w:sz w:val="21"/>
                <w:szCs w:val="21"/>
              </w:rPr>
            </w:pPr>
          </w:p>
        </w:tc>
      </w:tr>
      <w:tr w:rsidR="002C0FD9" w:rsidRPr="00A16219" w14:paraId="181E2DC1" w14:textId="77777777" w:rsidTr="002C0FD9">
        <w:trPr>
          <w:trHeight w:val="635"/>
        </w:trPr>
        <w:tc>
          <w:tcPr>
            <w:tcW w:w="515" w:type="dxa"/>
          </w:tcPr>
          <w:p w14:paraId="695BCFB3" w14:textId="77777777" w:rsidR="002C0FD9" w:rsidRPr="00CA25CF" w:rsidRDefault="002C0FD9" w:rsidP="00CA25CF">
            <w:pPr>
              <w:rPr>
                <w:rFonts w:cs="Arial"/>
                <w:color w:val="FF0000"/>
                <w:sz w:val="21"/>
                <w:szCs w:val="21"/>
              </w:rPr>
            </w:pPr>
          </w:p>
        </w:tc>
        <w:tc>
          <w:tcPr>
            <w:tcW w:w="217" w:type="dxa"/>
          </w:tcPr>
          <w:p w14:paraId="023BF1B4" w14:textId="77777777" w:rsidR="002C0FD9" w:rsidRPr="00CA25CF" w:rsidRDefault="002C0FD9" w:rsidP="00CA25CF">
            <w:pPr>
              <w:rPr>
                <w:rFonts w:cs="Arial"/>
                <w:color w:val="FF0000"/>
                <w:sz w:val="21"/>
                <w:szCs w:val="21"/>
              </w:rPr>
            </w:pPr>
          </w:p>
        </w:tc>
        <w:tc>
          <w:tcPr>
            <w:tcW w:w="217" w:type="dxa"/>
          </w:tcPr>
          <w:p w14:paraId="50B43A8A" w14:textId="77777777" w:rsidR="002C0FD9" w:rsidRPr="00CA25CF" w:rsidRDefault="002C0FD9" w:rsidP="00CA25CF">
            <w:pPr>
              <w:rPr>
                <w:rFonts w:cs="Arial"/>
                <w:color w:val="FF0000"/>
                <w:sz w:val="21"/>
                <w:szCs w:val="21"/>
              </w:rPr>
            </w:pPr>
          </w:p>
        </w:tc>
        <w:tc>
          <w:tcPr>
            <w:tcW w:w="217" w:type="dxa"/>
          </w:tcPr>
          <w:p w14:paraId="2D36AA29" w14:textId="77777777" w:rsidR="002C0FD9" w:rsidRPr="00CA25CF" w:rsidRDefault="002C0FD9" w:rsidP="00CA25CF">
            <w:pPr>
              <w:rPr>
                <w:rFonts w:cs="Arial"/>
                <w:color w:val="FF0000"/>
                <w:sz w:val="21"/>
                <w:szCs w:val="21"/>
              </w:rPr>
            </w:pPr>
          </w:p>
        </w:tc>
        <w:tc>
          <w:tcPr>
            <w:tcW w:w="217" w:type="dxa"/>
          </w:tcPr>
          <w:p w14:paraId="252AB233" w14:textId="77777777" w:rsidR="002C0FD9" w:rsidRPr="00CA25CF" w:rsidRDefault="002C0FD9" w:rsidP="00CA25CF">
            <w:pPr>
              <w:rPr>
                <w:rFonts w:cs="Arial"/>
                <w:color w:val="FF0000"/>
                <w:sz w:val="21"/>
                <w:szCs w:val="21"/>
              </w:rPr>
            </w:pPr>
          </w:p>
        </w:tc>
        <w:tc>
          <w:tcPr>
            <w:tcW w:w="217" w:type="dxa"/>
          </w:tcPr>
          <w:p w14:paraId="7203170E" w14:textId="77777777" w:rsidR="002C0FD9" w:rsidRPr="00CA25CF" w:rsidRDefault="002C0FD9" w:rsidP="00CA25CF">
            <w:pPr>
              <w:rPr>
                <w:rFonts w:cs="Arial"/>
                <w:color w:val="FF0000"/>
                <w:sz w:val="21"/>
                <w:szCs w:val="21"/>
              </w:rPr>
            </w:pPr>
          </w:p>
        </w:tc>
        <w:tc>
          <w:tcPr>
            <w:tcW w:w="217" w:type="dxa"/>
          </w:tcPr>
          <w:p w14:paraId="7B986DB1" w14:textId="77777777" w:rsidR="002C0FD9" w:rsidRPr="00CA25CF" w:rsidRDefault="002C0FD9" w:rsidP="00CA25CF">
            <w:pPr>
              <w:rPr>
                <w:rFonts w:cs="Arial"/>
                <w:color w:val="FF0000"/>
                <w:sz w:val="21"/>
                <w:szCs w:val="21"/>
              </w:rPr>
            </w:pPr>
          </w:p>
        </w:tc>
        <w:tc>
          <w:tcPr>
            <w:tcW w:w="217" w:type="dxa"/>
          </w:tcPr>
          <w:p w14:paraId="21B51803" w14:textId="77777777" w:rsidR="002C0FD9" w:rsidRPr="00CA25CF" w:rsidRDefault="002C0FD9" w:rsidP="00CA25CF">
            <w:pPr>
              <w:rPr>
                <w:rFonts w:cs="Arial"/>
                <w:color w:val="FF0000"/>
                <w:sz w:val="21"/>
                <w:szCs w:val="21"/>
              </w:rPr>
            </w:pPr>
          </w:p>
        </w:tc>
        <w:tc>
          <w:tcPr>
            <w:tcW w:w="217" w:type="dxa"/>
          </w:tcPr>
          <w:p w14:paraId="3B66F68B" w14:textId="77777777" w:rsidR="002C0FD9" w:rsidRPr="00CA25CF" w:rsidRDefault="002C0FD9" w:rsidP="00CA25CF">
            <w:pPr>
              <w:rPr>
                <w:rFonts w:cs="Arial"/>
                <w:color w:val="FF0000"/>
                <w:sz w:val="21"/>
                <w:szCs w:val="21"/>
              </w:rPr>
            </w:pPr>
          </w:p>
        </w:tc>
        <w:tc>
          <w:tcPr>
            <w:tcW w:w="217" w:type="dxa"/>
          </w:tcPr>
          <w:p w14:paraId="780D08F6" w14:textId="77777777" w:rsidR="002C0FD9" w:rsidRPr="00CA25CF" w:rsidRDefault="002C0FD9" w:rsidP="00CA25CF">
            <w:pPr>
              <w:rPr>
                <w:rFonts w:cs="Arial"/>
                <w:color w:val="FF0000"/>
                <w:sz w:val="21"/>
                <w:szCs w:val="21"/>
              </w:rPr>
            </w:pPr>
          </w:p>
        </w:tc>
        <w:tc>
          <w:tcPr>
            <w:tcW w:w="217" w:type="dxa"/>
          </w:tcPr>
          <w:p w14:paraId="271DB6BC" w14:textId="77777777" w:rsidR="002C0FD9" w:rsidRPr="00CA25CF" w:rsidRDefault="002C0FD9" w:rsidP="00CA25CF">
            <w:pPr>
              <w:rPr>
                <w:rFonts w:cs="Arial"/>
                <w:color w:val="FF0000"/>
                <w:sz w:val="21"/>
                <w:szCs w:val="21"/>
              </w:rPr>
            </w:pPr>
          </w:p>
        </w:tc>
        <w:tc>
          <w:tcPr>
            <w:tcW w:w="217" w:type="dxa"/>
          </w:tcPr>
          <w:p w14:paraId="39F81D65" w14:textId="77777777" w:rsidR="002C0FD9" w:rsidRPr="00CA25CF" w:rsidRDefault="002C0FD9" w:rsidP="00CA25CF">
            <w:pPr>
              <w:rPr>
                <w:rFonts w:cs="Arial"/>
                <w:color w:val="FF0000"/>
                <w:sz w:val="21"/>
                <w:szCs w:val="21"/>
              </w:rPr>
            </w:pPr>
          </w:p>
        </w:tc>
        <w:tc>
          <w:tcPr>
            <w:tcW w:w="217" w:type="dxa"/>
          </w:tcPr>
          <w:p w14:paraId="7E8C7006" w14:textId="77777777" w:rsidR="002C0FD9" w:rsidRPr="00CA25CF" w:rsidRDefault="002C0FD9" w:rsidP="00CA25CF">
            <w:pPr>
              <w:rPr>
                <w:rFonts w:cs="Arial"/>
                <w:color w:val="FF0000"/>
                <w:sz w:val="21"/>
                <w:szCs w:val="21"/>
              </w:rPr>
            </w:pPr>
          </w:p>
        </w:tc>
        <w:tc>
          <w:tcPr>
            <w:tcW w:w="217" w:type="dxa"/>
          </w:tcPr>
          <w:p w14:paraId="6CB28931" w14:textId="77777777" w:rsidR="002C0FD9" w:rsidRPr="00CA25CF" w:rsidRDefault="002C0FD9" w:rsidP="00CA25CF">
            <w:pPr>
              <w:rPr>
                <w:rFonts w:cs="Arial"/>
                <w:color w:val="FF0000"/>
                <w:sz w:val="21"/>
                <w:szCs w:val="21"/>
              </w:rPr>
            </w:pPr>
          </w:p>
        </w:tc>
        <w:tc>
          <w:tcPr>
            <w:tcW w:w="217" w:type="dxa"/>
          </w:tcPr>
          <w:p w14:paraId="1846161D" w14:textId="77777777" w:rsidR="002C0FD9" w:rsidRPr="00CA25CF" w:rsidRDefault="002C0FD9" w:rsidP="00CA25CF">
            <w:pPr>
              <w:rPr>
                <w:rFonts w:cs="Arial"/>
                <w:color w:val="FF0000"/>
                <w:sz w:val="21"/>
                <w:szCs w:val="21"/>
              </w:rPr>
            </w:pPr>
          </w:p>
        </w:tc>
        <w:tc>
          <w:tcPr>
            <w:tcW w:w="217" w:type="dxa"/>
          </w:tcPr>
          <w:p w14:paraId="53CB0D02" w14:textId="77777777" w:rsidR="002C0FD9" w:rsidRPr="00CA25CF" w:rsidRDefault="002C0FD9" w:rsidP="00CA25CF">
            <w:pPr>
              <w:rPr>
                <w:rFonts w:cs="Arial"/>
                <w:color w:val="FF0000"/>
                <w:sz w:val="21"/>
                <w:szCs w:val="21"/>
              </w:rPr>
            </w:pPr>
          </w:p>
        </w:tc>
        <w:tc>
          <w:tcPr>
            <w:tcW w:w="217" w:type="dxa"/>
          </w:tcPr>
          <w:p w14:paraId="2FBEE197" w14:textId="77777777" w:rsidR="002C0FD9" w:rsidRPr="00CA25CF" w:rsidRDefault="002C0FD9" w:rsidP="00CA25CF">
            <w:pPr>
              <w:rPr>
                <w:rFonts w:cs="Arial"/>
                <w:color w:val="FF0000"/>
                <w:sz w:val="21"/>
                <w:szCs w:val="21"/>
              </w:rPr>
            </w:pPr>
          </w:p>
        </w:tc>
        <w:tc>
          <w:tcPr>
            <w:tcW w:w="217" w:type="dxa"/>
          </w:tcPr>
          <w:p w14:paraId="48E12BDB" w14:textId="77777777" w:rsidR="002C0FD9" w:rsidRPr="00CA25CF" w:rsidRDefault="002C0FD9" w:rsidP="00CA25CF">
            <w:pPr>
              <w:rPr>
                <w:rFonts w:cs="Arial"/>
                <w:color w:val="FF0000"/>
                <w:sz w:val="21"/>
                <w:szCs w:val="21"/>
              </w:rPr>
            </w:pPr>
          </w:p>
        </w:tc>
        <w:tc>
          <w:tcPr>
            <w:tcW w:w="217" w:type="dxa"/>
          </w:tcPr>
          <w:p w14:paraId="015C4DC6" w14:textId="77777777" w:rsidR="002C0FD9" w:rsidRPr="00CA25CF" w:rsidRDefault="002C0FD9" w:rsidP="00CA25CF">
            <w:pPr>
              <w:rPr>
                <w:rFonts w:cs="Arial"/>
                <w:color w:val="FF0000"/>
                <w:sz w:val="21"/>
                <w:szCs w:val="21"/>
              </w:rPr>
            </w:pPr>
          </w:p>
        </w:tc>
        <w:tc>
          <w:tcPr>
            <w:tcW w:w="217" w:type="dxa"/>
          </w:tcPr>
          <w:p w14:paraId="4D2056E8" w14:textId="77777777" w:rsidR="002C0FD9" w:rsidRPr="00CA25CF" w:rsidRDefault="002C0FD9" w:rsidP="00CA25CF">
            <w:pPr>
              <w:rPr>
                <w:rFonts w:cs="Arial"/>
                <w:color w:val="FF0000"/>
                <w:sz w:val="21"/>
                <w:szCs w:val="21"/>
              </w:rPr>
            </w:pPr>
          </w:p>
        </w:tc>
        <w:tc>
          <w:tcPr>
            <w:tcW w:w="217" w:type="dxa"/>
          </w:tcPr>
          <w:p w14:paraId="6CB2E20A" w14:textId="77777777" w:rsidR="002C0FD9" w:rsidRPr="00CA25CF" w:rsidRDefault="002C0FD9" w:rsidP="00CA25CF">
            <w:pPr>
              <w:rPr>
                <w:rFonts w:cs="Arial"/>
                <w:color w:val="FF0000"/>
                <w:sz w:val="21"/>
                <w:szCs w:val="21"/>
              </w:rPr>
            </w:pPr>
          </w:p>
        </w:tc>
        <w:tc>
          <w:tcPr>
            <w:tcW w:w="217" w:type="dxa"/>
          </w:tcPr>
          <w:p w14:paraId="2596842F" w14:textId="77777777" w:rsidR="002C0FD9" w:rsidRPr="00CA25CF" w:rsidRDefault="002C0FD9" w:rsidP="00CA25CF">
            <w:pPr>
              <w:rPr>
                <w:rFonts w:cs="Arial"/>
                <w:color w:val="FF0000"/>
                <w:sz w:val="21"/>
                <w:szCs w:val="21"/>
              </w:rPr>
            </w:pPr>
          </w:p>
        </w:tc>
        <w:tc>
          <w:tcPr>
            <w:tcW w:w="217" w:type="dxa"/>
          </w:tcPr>
          <w:p w14:paraId="1A59BDCB" w14:textId="77777777" w:rsidR="002C0FD9" w:rsidRPr="00CA25CF" w:rsidRDefault="002C0FD9" w:rsidP="00CA25CF">
            <w:pPr>
              <w:rPr>
                <w:rFonts w:cs="Arial"/>
                <w:color w:val="FF0000"/>
                <w:sz w:val="21"/>
                <w:szCs w:val="21"/>
              </w:rPr>
            </w:pPr>
          </w:p>
        </w:tc>
        <w:tc>
          <w:tcPr>
            <w:tcW w:w="217" w:type="dxa"/>
          </w:tcPr>
          <w:p w14:paraId="7FD2C97E" w14:textId="77777777" w:rsidR="002C0FD9" w:rsidRPr="00CA25CF" w:rsidRDefault="002C0FD9" w:rsidP="00CA25CF">
            <w:pPr>
              <w:rPr>
                <w:rFonts w:cs="Arial"/>
                <w:color w:val="FF0000"/>
                <w:sz w:val="21"/>
                <w:szCs w:val="21"/>
              </w:rPr>
            </w:pPr>
          </w:p>
        </w:tc>
        <w:tc>
          <w:tcPr>
            <w:tcW w:w="217" w:type="dxa"/>
          </w:tcPr>
          <w:p w14:paraId="5488E22E" w14:textId="77777777" w:rsidR="002C0FD9" w:rsidRPr="00CA25CF" w:rsidRDefault="002C0FD9" w:rsidP="00CA25CF">
            <w:pPr>
              <w:rPr>
                <w:rFonts w:cs="Arial"/>
                <w:color w:val="FF0000"/>
                <w:sz w:val="21"/>
                <w:szCs w:val="21"/>
              </w:rPr>
            </w:pPr>
          </w:p>
        </w:tc>
        <w:tc>
          <w:tcPr>
            <w:tcW w:w="217" w:type="dxa"/>
          </w:tcPr>
          <w:p w14:paraId="2259DED9" w14:textId="77777777" w:rsidR="002C0FD9" w:rsidRPr="00CA25CF" w:rsidRDefault="002C0FD9" w:rsidP="00CA25CF">
            <w:pPr>
              <w:rPr>
                <w:rFonts w:cs="Arial"/>
                <w:color w:val="FF0000"/>
                <w:sz w:val="21"/>
                <w:szCs w:val="21"/>
              </w:rPr>
            </w:pPr>
          </w:p>
        </w:tc>
        <w:tc>
          <w:tcPr>
            <w:tcW w:w="217" w:type="dxa"/>
          </w:tcPr>
          <w:p w14:paraId="6CC6E007" w14:textId="77777777" w:rsidR="002C0FD9" w:rsidRPr="00CA25CF" w:rsidRDefault="002C0FD9" w:rsidP="00CA25CF">
            <w:pPr>
              <w:rPr>
                <w:rFonts w:cs="Arial"/>
                <w:color w:val="FF0000"/>
                <w:sz w:val="21"/>
                <w:szCs w:val="21"/>
              </w:rPr>
            </w:pPr>
          </w:p>
        </w:tc>
        <w:tc>
          <w:tcPr>
            <w:tcW w:w="217" w:type="dxa"/>
          </w:tcPr>
          <w:p w14:paraId="248D6B66" w14:textId="77777777" w:rsidR="002C0FD9" w:rsidRPr="00CA25CF" w:rsidRDefault="002C0FD9" w:rsidP="00CA25CF">
            <w:pPr>
              <w:rPr>
                <w:rFonts w:cs="Arial"/>
                <w:color w:val="FF0000"/>
                <w:sz w:val="21"/>
                <w:szCs w:val="21"/>
              </w:rPr>
            </w:pPr>
          </w:p>
        </w:tc>
        <w:tc>
          <w:tcPr>
            <w:tcW w:w="217" w:type="dxa"/>
          </w:tcPr>
          <w:p w14:paraId="605DEF76" w14:textId="77777777" w:rsidR="002C0FD9" w:rsidRPr="00CA25CF" w:rsidRDefault="002C0FD9" w:rsidP="00CA25CF">
            <w:pPr>
              <w:rPr>
                <w:rFonts w:cs="Arial"/>
                <w:color w:val="FF0000"/>
                <w:sz w:val="21"/>
                <w:szCs w:val="21"/>
              </w:rPr>
            </w:pPr>
          </w:p>
        </w:tc>
        <w:tc>
          <w:tcPr>
            <w:tcW w:w="217" w:type="dxa"/>
          </w:tcPr>
          <w:p w14:paraId="0EB85FAE" w14:textId="77777777" w:rsidR="002C0FD9" w:rsidRPr="00CA25CF" w:rsidRDefault="002C0FD9" w:rsidP="00CA25CF">
            <w:pPr>
              <w:rPr>
                <w:rFonts w:cs="Arial"/>
                <w:color w:val="FF0000"/>
                <w:sz w:val="21"/>
                <w:szCs w:val="21"/>
              </w:rPr>
            </w:pPr>
          </w:p>
        </w:tc>
        <w:tc>
          <w:tcPr>
            <w:tcW w:w="217" w:type="dxa"/>
          </w:tcPr>
          <w:p w14:paraId="523B5992" w14:textId="77777777" w:rsidR="002C0FD9" w:rsidRPr="00CA25CF" w:rsidRDefault="002C0FD9" w:rsidP="00CA25CF">
            <w:pPr>
              <w:rPr>
                <w:rFonts w:cs="Arial"/>
                <w:color w:val="FF0000"/>
                <w:sz w:val="21"/>
                <w:szCs w:val="21"/>
              </w:rPr>
            </w:pPr>
          </w:p>
        </w:tc>
        <w:tc>
          <w:tcPr>
            <w:tcW w:w="217" w:type="dxa"/>
          </w:tcPr>
          <w:p w14:paraId="49E81B31" w14:textId="77777777" w:rsidR="002C0FD9" w:rsidRPr="00CA25CF" w:rsidRDefault="002C0FD9" w:rsidP="00CA25CF">
            <w:pPr>
              <w:rPr>
                <w:rFonts w:cs="Arial"/>
                <w:color w:val="FF0000"/>
                <w:sz w:val="21"/>
                <w:szCs w:val="21"/>
              </w:rPr>
            </w:pPr>
          </w:p>
        </w:tc>
        <w:tc>
          <w:tcPr>
            <w:tcW w:w="217" w:type="dxa"/>
          </w:tcPr>
          <w:p w14:paraId="686808E1" w14:textId="77777777" w:rsidR="002C0FD9" w:rsidRPr="00CA25CF" w:rsidRDefault="002C0FD9" w:rsidP="00CA25CF">
            <w:pPr>
              <w:rPr>
                <w:rFonts w:cs="Arial"/>
                <w:color w:val="FF0000"/>
                <w:sz w:val="21"/>
                <w:szCs w:val="21"/>
              </w:rPr>
            </w:pPr>
          </w:p>
        </w:tc>
        <w:tc>
          <w:tcPr>
            <w:tcW w:w="217" w:type="dxa"/>
          </w:tcPr>
          <w:p w14:paraId="7A299705" w14:textId="77777777" w:rsidR="002C0FD9" w:rsidRPr="00CA25CF" w:rsidRDefault="002C0FD9" w:rsidP="00CA25CF">
            <w:pPr>
              <w:rPr>
                <w:rFonts w:cs="Arial"/>
                <w:color w:val="FF0000"/>
                <w:sz w:val="21"/>
                <w:szCs w:val="21"/>
              </w:rPr>
            </w:pPr>
          </w:p>
        </w:tc>
        <w:tc>
          <w:tcPr>
            <w:tcW w:w="217" w:type="dxa"/>
          </w:tcPr>
          <w:p w14:paraId="2893A19D" w14:textId="77777777" w:rsidR="002C0FD9" w:rsidRPr="00CA25CF" w:rsidRDefault="002C0FD9" w:rsidP="00CA25CF">
            <w:pPr>
              <w:rPr>
                <w:rFonts w:cs="Arial"/>
                <w:color w:val="FF0000"/>
                <w:sz w:val="21"/>
                <w:szCs w:val="21"/>
              </w:rPr>
            </w:pPr>
          </w:p>
        </w:tc>
        <w:tc>
          <w:tcPr>
            <w:tcW w:w="217" w:type="dxa"/>
          </w:tcPr>
          <w:p w14:paraId="42ABD52F" w14:textId="77777777" w:rsidR="002C0FD9" w:rsidRPr="00CA25CF" w:rsidRDefault="002C0FD9" w:rsidP="00CA25CF">
            <w:pPr>
              <w:rPr>
                <w:rFonts w:cs="Arial"/>
                <w:color w:val="FF0000"/>
                <w:sz w:val="21"/>
                <w:szCs w:val="21"/>
              </w:rPr>
            </w:pPr>
          </w:p>
        </w:tc>
        <w:tc>
          <w:tcPr>
            <w:tcW w:w="217" w:type="dxa"/>
          </w:tcPr>
          <w:p w14:paraId="551E3B0C" w14:textId="77777777" w:rsidR="002C0FD9" w:rsidRPr="00CA25CF" w:rsidRDefault="002C0FD9" w:rsidP="00CA25CF">
            <w:pPr>
              <w:rPr>
                <w:rFonts w:cs="Arial"/>
                <w:color w:val="FF0000"/>
                <w:sz w:val="21"/>
                <w:szCs w:val="21"/>
              </w:rPr>
            </w:pPr>
          </w:p>
        </w:tc>
        <w:tc>
          <w:tcPr>
            <w:tcW w:w="217" w:type="dxa"/>
          </w:tcPr>
          <w:p w14:paraId="03CC2670" w14:textId="77777777" w:rsidR="002C0FD9" w:rsidRPr="00CA25CF" w:rsidRDefault="002C0FD9" w:rsidP="00CA25CF">
            <w:pPr>
              <w:rPr>
                <w:rFonts w:cs="Arial"/>
                <w:color w:val="FF0000"/>
                <w:sz w:val="21"/>
                <w:szCs w:val="21"/>
              </w:rPr>
            </w:pPr>
          </w:p>
        </w:tc>
        <w:tc>
          <w:tcPr>
            <w:tcW w:w="217" w:type="dxa"/>
          </w:tcPr>
          <w:p w14:paraId="49EB3974" w14:textId="77777777" w:rsidR="002C0FD9" w:rsidRPr="00CA25CF" w:rsidRDefault="002C0FD9" w:rsidP="00CA25CF">
            <w:pPr>
              <w:rPr>
                <w:rFonts w:cs="Arial"/>
                <w:color w:val="FF0000"/>
                <w:sz w:val="21"/>
                <w:szCs w:val="21"/>
              </w:rPr>
            </w:pPr>
          </w:p>
        </w:tc>
        <w:tc>
          <w:tcPr>
            <w:tcW w:w="217" w:type="dxa"/>
          </w:tcPr>
          <w:p w14:paraId="6007FBC5" w14:textId="77777777" w:rsidR="002C0FD9" w:rsidRPr="00CA25CF" w:rsidRDefault="002C0FD9" w:rsidP="00CA25CF">
            <w:pPr>
              <w:rPr>
                <w:rFonts w:cs="Arial"/>
                <w:color w:val="FF0000"/>
                <w:sz w:val="21"/>
                <w:szCs w:val="21"/>
              </w:rPr>
            </w:pPr>
          </w:p>
        </w:tc>
        <w:tc>
          <w:tcPr>
            <w:tcW w:w="217" w:type="dxa"/>
          </w:tcPr>
          <w:p w14:paraId="2D528C3C" w14:textId="77777777" w:rsidR="002C0FD9" w:rsidRPr="00CA25CF" w:rsidRDefault="002C0FD9" w:rsidP="00CA25CF">
            <w:pPr>
              <w:rPr>
                <w:rFonts w:cs="Arial"/>
                <w:color w:val="FF0000"/>
                <w:sz w:val="21"/>
                <w:szCs w:val="21"/>
              </w:rPr>
            </w:pPr>
          </w:p>
        </w:tc>
        <w:tc>
          <w:tcPr>
            <w:tcW w:w="217" w:type="dxa"/>
          </w:tcPr>
          <w:p w14:paraId="52DAA134" w14:textId="77777777" w:rsidR="002C0FD9" w:rsidRPr="00CA25CF" w:rsidRDefault="002C0FD9" w:rsidP="00CA25CF">
            <w:pPr>
              <w:rPr>
                <w:rFonts w:cs="Arial"/>
                <w:color w:val="FF0000"/>
                <w:sz w:val="21"/>
                <w:szCs w:val="21"/>
              </w:rPr>
            </w:pPr>
          </w:p>
        </w:tc>
        <w:tc>
          <w:tcPr>
            <w:tcW w:w="217" w:type="dxa"/>
          </w:tcPr>
          <w:p w14:paraId="286725B4" w14:textId="77777777" w:rsidR="002C0FD9" w:rsidRPr="00CA25CF" w:rsidRDefault="002C0FD9" w:rsidP="00CA25CF">
            <w:pPr>
              <w:rPr>
                <w:rFonts w:cs="Arial"/>
                <w:color w:val="FF0000"/>
                <w:sz w:val="21"/>
                <w:szCs w:val="21"/>
              </w:rPr>
            </w:pPr>
          </w:p>
        </w:tc>
      </w:tr>
      <w:tr w:rsidR="002C0FD9" w:rsidRPr="00A16219" w14:paraId="2D3D5106" w14:textId="77777777" w:rsidTr="002C0FD9">
        <w:trPr>
          <w:trHeight w:val="635"/>
        </w:trPr>
        <w:tc>
          <w:tcPr>
            <w:tcW w:w="515" w:type="dxa"/>
          </w:tcPr>
          <w:p w14:paraId="58CE03E7" w14:textId="77777777" w:rsidR="002C0FD9" w:rsidRPr="00CA25CF" w:rsidRDefault="002C0FD9" w:rsidP="00CA25CF">
            <w:pPr>
              <w:rPr>
                <w:rFonts w:cs="Arial"/>
                <w:color w:val="FF0000"/>
                <w:sz w:val="21"/>
                <w:szCs w:val="21"/>
              </w:rPr>
            </w:pPr>
          </w:p>
        </w:tc>
        <w:tc>
          <w:tcPr>
            <w:tcW w:w="217" w:type="dxa"/>
          </w:tcPr>
          <w:p w14:paraId="727896FF" w14:textId="77777777" w:rsidR="002C0FD9" w:rsidRPr="00CA25CF" w:rsidRDefault="002C0FD9" w:rsidP="00CA25CF">
            <w:pPr>
              <w:rPr>
                <w:rFonts w:cs="Arial"/>
                <w:color w:val="FF0000"/>
                <w:sz w:val="21"/>
                <w:szCs w:val="21"/>
              </w:rPr>
            </w:pPr>
          </w:p>
        </w:tc>
        <w:tc>
          <w:tcPr>
            <w:tcW w:w="217" w:type="dxa"/>
          </w:tcPr>
          <w:p w14:paraId="1745ABED" w14:textId="77777777" w:rsidR="002C0FD9" w:rsidRPr="00CA25CF" w:rsidRDefault="002C0FD9" w:rsidP="00CA25CF">
            <w:pPr>
              <w:rPr>
                <w:rFonts w:cs="Arial"/>
                <w:color w:val="FF0000"/>
                <w:sz w:val="21"/>
                <w:szCs w:val="21"/>
              </w:rPr>
            </w:pPr>
          </w:p>
        </w:tc>
        <w:tc>
          <w:tcPr>
            <w:tcW w:w="217" w:type="dxa"/>
          </w:tcPr>
          <w:p w14:paraId="66E15D2A" w14:textId="77777777" w:rsidR="002C0FD9" w:rsidRPr="00CA25CF" w:rsidRDefault="002C0FD9" w:rsidP="00CA25CF">
            <w:pPr>
              <w:rPr>
                <w:rFonts w:cs="Arial"/>
                <w:color w:val="FF0000"/>
                <w:sz w:val="21"/>
                <w:szCs w:val="21"/>
              </w:rPr>
            </w:pPr>
          </w:p>
        </w:tc>
        <w:tc>
          <w:tcPr>
            <w:tcW w:w="217" w:type="dxa"/>
          </w:tcPr>
          <w:p w14:paraId="6EC00BB1" w14:textId="77777777" w:rsidR="002C0FD9" w:rsidRPr="00CA25CF" w:rsidRDefault="002C0FD9" w:rsidP="00CA25CF">
            <w:pPr>
              <w:rPr>
                <w:rFonts w:cs="Arial"/>
                <w:color w:val="FF0000"/>
                <w:sz w:val="21"/>
                <w:szCs w:val="21"/>
              </w:rPr>
            </w:pPr>
          </w:p>
        </w:tc>
        <w:tc>
          <w:tcPr>
            <w:tcW w:w="217" w:type="dxa"/>
          </w:tcPr>
          <w:p w14:paraId="588D73AB" w14:textId="77777777" w:rsidR="002C0FD9" w:rsidRPr="00CA25CF" w:rsidRDefault="002C0FD9" w:rsidP="00CA25CF">
            <w:pPr>
              <w:rPr>
                <w:rFonts w:cs="Arial"/>
                <w:color w:val="FF0000"/>
                <w:sz w:val="21"/>
                <w:szCs w:val="21"/>
              </w:rPr>
            </w:pPr>
          </w:p>
        </w:tc>
        <w:tc>
          <w:tcPr>
            <w:tcW w:w="217" w:type="dxa"/>
          </w:tcPr>
          <w:p w14:paraId="459B5664" w14:textId="77777777" w:rsidR="002C0FD9" w:rsidRPr="00CA25CF" w:rsidRDefault="002C0FD9" w:rsidP="00CA25CF">
            <w:pPr>
              <w:rPr>
                <w:rFonts w:cs="Arial"/>
                <w:color w:val="FF0000"/>
                <w:sz w:val="21"/>
                <w:szCs w:val="21"/>
              </w:rPr>
            </w:pPr>
          </w:p>
        </w:tc>
        <w:tc>
          <w:tcPr>
            <w:tcW w:w="217" w:type="dxa"/>
          </w:tcPr>
          <w:p w14:paraId="734E0A0D" w14:textId="77777777" w:rsidR="002C0FD9" w:rsidRPr="00CA25CF" w:rsidRDefault="002C0FD9" w:rsidP="00CA25CF">
            <w:pPr>
              <w:rPr>
                <w:rFonts w:cs="Arial"/>
                <w:color w:val="FF0000"/>
                <w:sz w:val="21"/>
                <w:szCs w:val="21"/>
              </w:rPr>
            </w:pPr>
          </w:p>
        </w:tc>
        <w:tc>
          <w:tcPr>
            <w:tcW w:w="217" w:type="dxa"/>
          </w:tcPr>
          <w:p w14:paraId="13E478C1" w14:textId="77777777" w:rsidR="002C0FD9" w:rsidRPr="00CA25CF" w:rsidRDefault="002C0FD9" w:rsidP="00CA25CF">
            <w:pPr>
              <w:rPr>
                <w:rFonts w:cs="Arial"/>
                <w:color w:val="FF0000"/>
                <w:sz w:val="21"/>
                <w:szCs w:val="21"/>
              </w:rPr>
            </w:pPr>
          </w:p>
        </w:tc>
        <w:tc>
          <w:tcPr>
            <w:tcW w:w="217" w:type="dxa"/>
          </w:tcPr>
          <w:p w14:paraId="3EF94A79" w14:textId="77777777" w:rsidR="002C0FD9" w:rsidRPr="00CA25CF" w:rsidRDefault="002C0FD9" w:rsidP="00CA25CF">
            <w:pPr>
              <w:rPr>
                <w:rFonts w:cs="Arial"/>
                <w:color w:val="FF0000"/>
                <w:sz w:val="21"/>
                <w:szCs w:val="21"/>
              </w:rPr>
            </w:pPr>
          </w:p>
        </w:tc>
        <w:tc>
          <w:tcPr>
            <w:tcW w:w="217" w:type="dxa"/>
          </w:tcPr>
          <w:p w14:paraId="7CAACCEF" w14:textId="77777777" w:rsidR="002C0FD9" w:rsidRPr="00CA25CF" w:rsidRDefault="002C0FD9" w:rsidP="00CA25CF">
            <w:pPr>
              <w:rPr>
                <w:rFonts w:cs="Arial"/>
                <w:color w:val="FF0000"/>
                <w:sz w:val="21"/>
                <w:szCs w:val="21"/>
              </w:rPr>
            </w:pPr>
          </w:p>
        </w:tc>
        <w:tc>
          <w:tcPr>
            <w:tcW w:w="217" w:type="dxa"/>
          </w:tcPr>
          <w:p w14:paraId="3F84E9E1" w14:textId="77777777" w:rsidR="002C0FD9" w:rsidRPr="00CA25CF" w:rsidRDefault="002C0FD9" w:rsidP="00CA25CF">
            <w:pPr>
              <w:rPr>
                <w:rFonts w:cs="Arial"/>
                <w:color w:val="FF0000"/>
                <w:sz w:val="21"/>
                <w:szCs w:val="21"/>
              </w:rPr>
            </w:pPr>
          </w:p>
        </w:tc>
        <w:tc>
          <w:tcPr>
            <w:tcW w:w="217" w:type="dxa"/>
          </w:tcPr>
          <w:p w14:paraId="690D3CB8" w14:textId="77777777" w:rsidR="002C0FD9" w:rsidRPr="00CA25CF" w:rsidRDefault="002C0FD9" w:rsidP="00CA25CF">
            <w:pPr>
              <w:rPr>
                <w:rFonts w:cs="Arial"/>
                <w:color w:val="FF0000"/>
                <w:sz w:val="21"/>
                <w:szCs w:val="21"/>
              </w:rPr>
            </w:pPr>
          </w:p>
        </w:tc>
        <w:tc>
          <w:tcPr>
            <w:tcW w:w="217" w:type="dxa"/>
          </w:tcPr>
          <w:p w14:paraId="3BDF52D5" w14:textId="77777777" w:rsidR="002C0FD9" w:rsidRPr="00CA25CF" w:rsidRDefault="002C0FD9" w:rsidP="00CA25CF">
            <w:pPr>
              <w:rPr>
                <w:rFonts w:cs="Arial"/>
                <w:color w:val="FF0000"/>
                <w:sz w:val="21"/>
                <w:szCs w:val="21"/>
              </w:rPr>
            </w:pPr>
          </w:p>
        </w:tc>
        <w:tc>
          <w:tcPr>
            <w:tcW w:w="217" w:type="dxa"/>
          </w:tcPr>
          <w:p w14:paraId="0179961E" w14:textId="77777777" w:rsidR="002C0FD9" w:rsidRPr="00CA25CF" w:rsidRDefault="002C0FD9" w:rsidP="00CA25CF">
            <w:pPr>
              <w:rPr>
                <w:rFonts w:cs="Arial"/>
                <w:color w:val="FF0000"/>
                <w:sz w:val="21"/>
                <w:szCs w:val="21"/>
              </w:rPr>
            </w:pPr>
          </w:p>
        </w:tc>
        <w:tc>
          <w:tcPr>
            <w:tcW w:w="217" w:type="dxa"/>
          </w:tcPr>
          <w:p w14:paraId="30809D1E" w14:textId="77777777" w:rsidR="002C0FD9" w:rsidRPr="00CA25CF" w:rsidRDefault="002C0FD9" w:rsidP="00CA25CF">
            <w:pPr>
              <w:rPr>
                <w:rFonts w:cs="Arial"/>
                <w:color w:val="FF0000"/>
                <w:sz w:val="21"/>
                <w:szCs w:val="21"/>
              </w:rPr>
            </w:pPr>
          </w:p>
        </w:tc>
        <w:tc>
          <w:tcPr>
            <w:tcW w:w="217" w:type="dxa"/>
          </w:tcPr>
          <w:p w14:paraId="511865C9" w14:textId="77777777" w:rsidR="002C0FD9" w:rsidRPr="00CA25CF" w:rsidRDefault="002C0FD9" w:rsidP="00CA25CF">
            <w:pPr>
              <w:rPr>
                <w:rFonts w:cs="Arial"/>
                <w:color w:val="FF0000"/>
                <w:sz w:val="21"/>
                <w:szCs w:val="21"/>
              </w:rPr>
            </w:pPr>
          </w:p>
        </w:tc>
        <w:tc>
          <w:tcPr>
            <w:tcW w:w="217" w:type="dxa"/>
          </w:tcPr>
          <w:p w14:paraId="3005A5DA" w14:textId="77777777" w:rsidR="002C0FD9" w:rsidRPr="00CA25CF" w:rsidRDefault="002C0FD9" w:rsidP="00CA25CF">
            <w:pPr>
              <w:rPr>
                <w:rFonts w:cs="Arial"/>
                <w:color w:val="FF0000"/>
                <w:sz w:val="21"/>
                <w:szCs w:val="21"/>
              </w:rPr>
            </w:pPr>
          </w:p>
        </w:tc>
        <w:tc>
          <w:tcPr>
            <w:tcW w:w="217" w:type="dxa"/>
          </w:tcPr>
          <w:p w14:paraId="63B8658C" w14:textId="77777777" w:rsidR="002C0FD9" w:rsidRPr="00CA25CF" w:rsidRDefault="002C0FD9" w:rsidP="00CA25CF">
            <w:pPr>
              <w:rPr>
                <w:rFonts w:cs="Arial"/>
                <w:color w:val="FF0000"/>
                <w:sz w:val="21"/>
                <w:szCs w:val="21"/>
              </w:rPr>
            </w:pPr>
          </w:p>
        </w:tc>
        <w:tc>
          <w:tcPr>
            <w:tcW w:w="217" w:type="dxa"/>
          </w:tcPr>
          <w:p w14:paraId="341CA565" w14:textId="77777777" w:rsidR="002C0FD9" w:rsidRPr="00CA25CF" w:rsidRDefault="002C0FD9" w:rsidP="00CA25CF">
            <w:pPr>
              <w:rPr>
                <w:rFonts w:cs="Arial"/>
                <w:color w:val="FF0000"/>
                <w:sz w:val="21"/>
                <w:szCs w:val="21"/>
              </w:rPr>
            </w:pPr>
          </w:p>
        </w:tc>
        <w:tc>
          <w:tcPr>
            <w:tcW w:w="217" w:type="dxa"/>
          </w:tcPr>
          <w:p w14:paraId="4A01DEFE" w14:textId="77777777" w:rsidR="002C0FD9" w:rsidRPr="00CA25CF" w:rsidRDefault="002C0FD9" w:rsidP="00CA25CF">
            <w:pPr>
              <w:rPr>
                <w:rFonts w:cs="Arial"/>
                <w:color w:val="FF0000"/>
                <w:sz w:val="21"/>
                <w:szCs w:val="21"/>
              </w:rPr>
            </w:pPr>
          </w:p>
        </w:tc>
        <w:tc>
          <w:tcPr>
            <w:tcW w:w="217" w:type="dxa"/>
          </w:tcPr>
          <w:p w14:paraId="44D4A52B" w14:textId="77777777" w:rsidR="002C0FD9" w:rsidRPr="00CA25CF" w:rsidRDefault="002C0FD9" w:rsidP="00CA25CF">
            <w:pPr>
              <w:rPr>
                <w:rFonts w:cs="Arial"/>
                <w:color w:val="FF0000"/>
                <w:sz w:val="21"/>
                <w:szCs w:val="21"/>
              </w:rPr>
            </w:pPr>
          </w:p>
        </w:tc>
        <w:tc>
          <w:tcPr>
            <w:tcW w:w="217" w:type="dxa"/>
          </w:tcPr>
          <w:p w14:paraId="2CD135DE" w14:textId="77777777" w:rsidR="002C0FD9" w:rsidRPr="00CA25CF" w:rsidRDefault="002C0FD9" w:rsidP="00CA25CF">
            <w:pPr>
              <w:rPr>
                <w:rFonts w:cs="Arial"/>
                <w:color w:val="FF0000"/>
                <w:sz w:val="21"/>
                <w:szCs w:val="21"/>
              </w:rPr>
            </w:pPr>
          </w:p>
        </w:tc>
        <w:tc>
          <w:tcPr>
            <w:tcW w:w="217" w:type="dxa"/>
          </w:tcPr>
          <w:p w14:paraId="710C57EB" w14:textId="77777777" w:rsidR="002C0FD9" w:rsidRPr="00CA25CF" w:rsidRDefault="002C0FD9" w:rsidP="00CA25CF">
            <w:pPr>
              <w:rPr>
                <w:rFonts w:cs="Arial"/>
                <w:color w:val="FF0000"/>
                <w:sz w:val="21"/>
                <w:szCs w:val="21"/>
              </w:rPr>
            </w:pPr>
          </w:p>
        </w:tc>
        <w:tc>
          <w:tcPr>
            <w:tcW w:w="217" w:type="dxa"/>
          </w:tcPr>
          <w:p w14:paraId="0195BD26" w14:textId="77777777" w:rsidR="002C0FD9" w:rsidRPr="00CA25CF" w:rsidRDefault="002C0FD9" w:rsidP="00CA25CF">
            <w:pPr>
              <w:rPr>
                <w:rFonts w:cs="Arial"/>
                <w:color w:val="FF0000"/>
                <w:sz w:val="21"/>
                <w:szCs w:val="21"/>
              </w:rPr>
            </w:pPr>
          </w:p>
        </w:tc>
        <w:tc>
          <w:tcPr>
            <w:tcW w:w="217" w:type="dxa"/>
          </w:tcPr>
          <w:p w14:paraId="68860822" w14:textId="77777777" w:rsidR="002C0FD9" w:rsidRPr="00CA25CF" w:rsidRDefault="002C0FD9" w:rsidP="00CA25CF">
            <w:pPr>
              <w:rPr>
                <w:rFonts w:cs="Arial"/>
                <w:color w:val="FF0000"/>
                <w:sz w:val="21"/>
                <w:szCs w:val="21"/>
              </w:rPr>
            </w:pPr>
          </w:p>
        </w:tc>
        <w:tc>
          <w:tcPr>
            <w:tcW w:w="217" w:type="dxa"/>
          </w:tcPr>
          <w:p w14:paraId="78F2FC6E" w14:textId="77777777" w:rsidR="002C0FD9" w:rsidRPr="00CA25CF" w:rsidRDefault="002C0FD9" w:rsidP="00CA25CF">
            <w:pPr>
              <w:rPr>
                <w:rFonts w:cs="Arial"/>
                <w:color w:val="FF0000"/>
                <w:sz w:val="21"/>
                <w:szCs w:val="21"/>
              </w:rPr>
            </w:pPr>
          </w:p>
        </w:tc>
        <w:tc>
          <w:tcPr>
            <w:tcW w:w="217" w:type="dxa"/>
          </w:tcPr>
          <w:p w14:paraId="1CCB0BD6" w14:textId="77777777" w:rsidR="002C0FD9" w:rsidRPr="00CA25CF" w:rsidRDefault="002C0FD9" w:rsidP="00CA25CF">
            <w:pPr>
              <w:rPr>
                <w:rFonts w:cs="Arial"/>
                <w:color w:val="FF0000"/>
                <w:sz w:val="21"/>
                <w:szCs w:val="21"/>
              </w:rPr>
            </w:pPr>
          </w:p>
        </w:tc>
        <w:tc>
          <w:tcPr>
            <w:tcW w:w="217" w:type="dxa"/>
          </w:tcPr>
          <w:p w14:paraId="3491DE98" w14:textId="77777777" w:rsidR="002C0FD9" w:rsidRPr="00CA25CF" w:rsidRDefault="002C0FD9" w:rsidP="00CA25CF">
            <w:pPr>
              <w:rPr>
                <w:rFonts w:cs="Arial"/>
                <w:color w:val="FF0000"/>
                <w:sz w:val="21"/>
                <w:szCs w:val="21"/>
              </w:rPr>
            </w:pPr>
          </w:p>
        </w:tc>
        <w:tc>
          <w:tcPr>
            <w:tcW w:w="217" w:type="dxa"/>
          </w:tcPr>
          <w:p w14:paraId="5B153C7E" w14:textId="77777777" w:rsidR="002C0FD9" w:rsidRPr="00CA25CF" w:rsidRDefault="002C0FD9" w:rsidP="00CA25CF">
            <w:pPr>
              <w:rPr>
                <w:rFonts w:cs="Arial"/>
                <w:color w:val="FF0000"/>
                <w:sz w:val="21"/>
                <w:szCs w:val="21"/>
              </w:rPr>
            </w:pPr>
          </w:p>
        </w:tc>
        <w:tc>
          <w:tcPr>
            <w:tcW w:w="217" w:type="dxa"/>
          </w:tcPr>
          <w:p w14:paraId="58BE8E5B" w14:textId="77777777" w:rsidR="002C0FD9" w:rsidRPr="00CA25CF" w:rsidRDefault="002C0FD9" w:rsidP="00CA25CF">
            <w:pPr>
              <w:rPr>
                <w:rFonts w:cs="Arial"/>
                <w:color w:val="FF0000"/>
                <w:sz w:val="21"/>
                <w:szCs w:val="21"/>
              </w:rPr>
            </w:pPr>
          </w:p>
        </w:tc>
        <w:tc>
          <w:tcPr>
            <w:tcW w:w="217" w:type="dxa"/>
          </w:tcPr>
          <w:p w14:paraId="21681812" w14:textId="77777777" w:rsidR="002C0FD9" w:rsidRPr="00CA25CF" w:rsidRDefault="002C0FD9" w:rsidP="00CA25CF">
            <w:pPr>
              <w:rPr>
                <w:rFonts w:cs="Arial"/>
                <w:color w:val="FF0000"/>
                <w:sz w:val="21"/>
                <w:szCs w:val="21"/>
              </w:rPr>
            </w:pPr>
          </w:p>
        </w:tc>
        <w:tc>
          <w:tcPr>
            <w:tcW w:w="217" w:type="dxa"/>
          </w:tcPr>
          <w:p w14:paraId="31702A4E" w14:textId="77777777" w:rsidR="002C0FD9" w:rsidRPr="00CA25CF" w:rsidRDefault="002C0FD9" w:rsidP="00CA25CF">
            <w:pPr>
              <w:rPr>
                <w:rFonts w:cs="Arial"/>
                <w:color w:val="FF0000"/>
                <w:sz w:val="21"/>
                <w:szCs w:val="21"/>
              </w:rPr>
            </w:pPr>
          </w:p>
        </w:tc>
        <w:tc>
          <w:tcPr>
            <w:tcW w:w="217" w:type="dxa"/>
          </w:tcPr>
          <w:p w14:paraId="3713BBEB" w14:textId="77777777" w:rsidR="002C0FD9" w:rsidRPr="00CA25CF" w:rsidRDefault="002C0FD9" w:rsidP="00CA25CF">
            <w:pPr>
              <w:rPr>
                <w:rFonts w:cs="Arial"/>
                <w:color w:val="FF0000"/>
                <w:sz w:val="21"/>
                <w:szCs w:val="21"/>
              </w:rPr>
            </w:pPr>
          </w:p>
        </w:tc>
        <w:tc>
          <w:tcPr>
            <w:tcW w:w="217" w:type="dxa"/>
          </w:tcPr>
          <w:p w14:paraId="0B1CE816" w14:textId="77777777" w:rsidR="002C0FD9" w:rsidRPr="00CA25CF" w:rsidRDefault="002C0FD9" w:rsidP="00CA25CF">
            <w:pPr>
              <w:rPr>
                <w:rFonts w:cs="Arial"/>
                <w:color w:val="FF0000"/>
                <w:sz w:val="21"/>
                <w:szCs w:val="21"/>
              </w:rPr>
            </w:pPr>
          </w:p>
        </w:tc>
        <w:tc>
          <w:tcPr>
            <w:tcW w:w="217" w:type="dxa"/>
          </w:tcPr>
          <w:p w14:paraId="6F0052EE" w14:textId="77777777" w:rsidR="002C0FD9" w:rsidRPr="00CA25CF" w:rsidRDefault="002C0FD9" w:rsidP="00CA25CF">
            <w:pPr>
              <w:rPr>
                <w:rFonts w:cs="Arial"/>
                <w:color w:val="FF0000"/>
                <w:sz w:val="21"/>
                <w:szCs w:val="21"/>
              </w:rPr>
            </w:pPr>
          </w:p>
        </w:tc>
        <w:tc>
          <w:tcPr>
            <w:tcW w:w="217" w:type="dxa"/>
          </w:tcPr>
          <w:p w14:paraId="7A7A647A" w14:textId="77777777" w:rsidR="002C0FD9" w:rsidRPr="00CA25CF" w:rsidRDefault="002C0FD9" w:rsidP="00CA25CF">
            <w:pPr>
              <w:rPr>
                <w:rFonts w:cs="Arial"/>
                <w:color w:val="FF0000"/>
                <w:sz w:val="21"/>
                <w:szCs w:val="21"/>
              </w:rPr>
            </w:pPr>
          </w:p>
        </w:tc>
        <w:tc>
          <w:tcPr>
            <w:tcW w:w="217" w:type="dxa"/>
          </w:tcPr>
          <w:p w14:paraId="446D8B70" w14:textId="77777777" w:rsidR="002C0FD9" w:rsidRPr="00CA25CF" w:rsidRDefault="002C0FD9" w:rsidP="00CA25CF">
            <w:pPr>
              <w:rPr>
                <w:rFonts w:cs="Arial"/>
                <w:color w:val="FF0000"/>
                <w:sz w:val="21"/>
                <w:szCs w:val="21"/>
              </w:rPr>
            </w:pPr>
          </w:p>
        </w:tc>
        <w:tc>
          <w:tcPr>
            <w:tcW w:w="217" w:type="dxa"/>
          </w:tcPr>
          <w:p w14:paraId="398B2FEA" w14:textId="77777777" w:rsidR="002C0FD9" w:rsidRPr="00CA25CF" w:rsidRDefault="002C0FD9" w:rsidP="00CA25CF">
            <w:pPr>
              <w:rPr>
                <w:rFonts w:cs="Arial"/>
                <w:color w:val="FF0000"/>
                <w:sz w:val="21"/>
                <w:szCs w:val="21"/>
              </w:rPr>
            </w:pPr>
          </w:p>
        </w:tc>
        <w:tc>
          <w:tcPr>
            <w:tcW w:w="217" w:type="dxa"/>
          </w:tcPr>
          <w:p w14:paraId="2BB9F0E3" w14:textId="77777777" w:rsidR="002C0FD9" w:rsidRPr="00CA25CF" w:rsidRDefault="002C0FD9" w:rsidP="00CA25CF">
            <w:pPr>
              <w:rPr>
                <w:rFonts w:cs="Arial"/>
                <w:color w:val="FF0000"/>
                <w:sz w:val="21"/>
                <w:szCs w:val="21"/>
              </w:rPr>
            </w:pPr>
          </w:p>
        </w:tc>
        <w:tc>
          <w:tcPr>
            <w:tcW w:w="217" w:type="dxa"/>
          </w:tcPr>
          <w:p w14:paraId="175AF5E1" w14:textId="77777777" w:rsidR="002C0FD9" w:rsidRPr="00CA25CF" w:rsidRDefault="002C0FD9" w:rsidP="00CA25CF">
            <w:pPr>
              <w:rPr>
                <w:rFonts w:cs="Arial"/>
                <w:color w:val="FF0000"/>
                <w:sz w:val="21"/>
                <w:szCs w:val="21"/>
              </w:rPr>
            </w:pPr>
          </w:p>
        </w:tc>
        <w:tc>
          <w:tcPr>
            <w:tcW w:w="217" w:type="dxa"/>
          </w:tcPr>
          <w:p w14:paraId="1797822C" w14:textId="77777777" w:rsidR="002C0FD9" w:rsidRPr="00CA25CF" w:rsidRDefault="002C0FD9" w:rsidP="00CA25CF">
            <w:pPr>
              <w:rPr>
                <w:rFonts w:cs="Arial"/>
                <w:color w:val="FF0000"/>
                <w:sz w:val="21"/>
                <w:szCs w:val="21"/>
              </w:rPr>
            </w:pPr>
          </w:p>
        </w:tc>
        <w:tc>
          <w:tcPr>
            <w:tcW w:w="217" w:type="dxa"/>
          </w:tcPr>
          <w:p w14:paraId="2A6985C3" w14:textId="77777777" w:rsidR="002C0FD9" w:rsidRPr="00CA25CF" w:rsidRDefault="002C0FD9" w:rsidP="00CA25CF">
            <w:pPr>
              <w:rPr>
                <w:rFonts w:cs="Arial"/>
                <w:color w:val="FF0000"/>
                <w:sz w:val="21"/>
                <w:szCs w:val="21"/>
              </w:rPr>
            </w:pPr>
          </w:p>
        </w:tc>
      </w:tr>
      <w:tr w:rsidR="002C0FD9" w:rsidRPr="00A16219" w14:paraId="04338414" w14:textId="77777777" w:rsidTr="002C0FD9">
        <w:trPr>
          <w:trHeight w:val="635"/>
        </w:trPr>
        <w:tc>
          <w:tcPr>
            <w:tcW w:w="515" w:type="dxa"/>
          </w:tcPr>
          <w:p w14:paraId="245A1C16" w14:textId="77777777" w:rsidR="002C0FD9" w:rsidRPr="00CA25CF" w:rsidRDefault="002C0FD9" w:rsidP="00CA25CF">
            <w:pPr>
              <w:rPr>
                <w:rFonts w:cs="Arial"/>
                <w:color w:val="FF0000"/>
                <w:sz w:val="21"/>
                <w:szCs w:val="21"/>
              </w:rPr>
            </w:pPr>
          </w:p>
        </w:tc>
        <w:tc>
          <w:tcPr>
            <w:tcW w:w="217" w:type="dxa"/>
          </w:tcPr>
          <w:p w14:paraId="2FF447B8" w14:textId="77777777" w:rsidR="002C0FD9" w:rsidRPr="00CA25CF" w:rsidRDefault="002C0FD9" w:rsidP="00CA25CF">
            <w:pPr>
              <w:rPr>
                <w:rFonts w:cs="Arial"/>
                <w:color w:val="FF0000"/>
                <w:sz w:val="21"/>
                <w:szCs w:val="21"/>
              </w:rPr>
            </w:pPr>
          </w:p>
        </w:tc>
        <w:tc>
          <w:tcPr>
            <w:tcW w:w="217" w:type="dxa"/>
          </w:tcPr>
          <w:p w14:paraId="49701B82" w14:textId="77777777" w:rsidR="002C0FD9" w:rsidRPr="00CA25CF" w:rsidRDefault="002C0FD9" w:rsidP="00CA25CF">
            <w:pPr>
              <w:rPr>
                <w:rFonts w:cs="Arial"/>
                <w:color w:val="FF0000"/>
                <w:sz w:val="21"/>
                <w:szCs w:val="21"/>
              </w:rPr>
            </w:pPr>
          </w:p>
        </w:tc>
        <w:tc>
          <w:tcPr>
            <w:tcW w:w="217" w:type="dxa"/>
          </w:tcPr>
          <w:p w14:paraId="6CDC36DF" w14:textId="77777777" w:rsidR="002C0FD9" w:rsidRPr="00CA25CF" w:rsidRDefault="002C0FD9" w:rsidP="00CA25CF">
            <w:pPr>
              <w:rPr>
                <w:rFonts w:cs="Arial"/>
                <w:color w:val="FF0000"/>
                <w:sz w:val="21"/>
                <w:szCs w:val="21"/>
              </w:rPr>
            </w:pPr>
          </w:p>
        </w:tc>
        <w:tc>
          <w:tcPr>
            <w:tcW w:w="217" w:type="dxa"/>
          </w:tcPr>
          <w:p w14:paraId="5731F163" w14:textId="77777777" w:rsidR="002C0FD9" w:rsidRPr="00CA25CF" w:rsidRDefault="002C0FD9" w:rsidP="00CA25CF">
            <w:pPr>
              <w:rPr>
                <w:rFonts w:cs="Arial"/>
                <w:color w:val="FF0000"/>
                <w:sz w:val="21"/>
                <w:szCs w:val="21"/>
              </w:rPr>
            </w:pPr>
          </w:p>
        </w:tc>
        <w:tc>
          <w:tcPr>
            <w:tcW w:w="217" w:type="dxa"/>
          </w:tcPr>
          <w:p w14:paraId="32063DDB" w14:textId="77777777" w:rsidR="002C0FD9" w:rsidRPr="00CA25CF" w:rsidRDefault="002C0FD9" w:rsidP="00CA25CF">
            <w:pPr>
              <w:rPr>
                <w:rFonts w:cs="Arial"/>
                <w:color w:val="FF0000"/>
                <w:sz w:val="21"/>
                <w:szCs w:val="21"/>
              </w:rPr>
            </w:pPr>
          </w:p>
        </w:tc>
        <w:tc>
          <w:tcPr>
            <w:tcW w:w="217" w:type="dxa"/>
          </w:tcPr>
          <w:p w14:paraId="347FBAB3" w14:textId="77777777" w:rsidR="002C0FD9" w:rsidRPr="00CA25CF" w:rsidRDefault="002C0FD9" w:rsidP="00CA25CF">
            <w:pPr>
              <w:rPr>
                <w:rFonts w:cs="Arial"/>
                <w:color w:val="FF0000"/>
                <w:sz w:val="21"/>
                <w:szCs w:val="21"/>
              </w:rPr>
            </w:pPr>
          </w:p>
        </w:tc>
        <w:tc>
          <w:tcPr>
            <w:tcW w:w="217" w:type="dxa"/>
          </w:tcPr>
          <w:p w14:paraId="232A2B16" w14:textId="77777777" w:rsidR="002C0FD9" w:rsidRPr="00CA25CF" w:rsidRDefault="002C0FD9" w:rsidP="00CA25CF">
            <w:pPr>
              <w:rPr>
                <w:rFonts w:cs="Arial"/>
                <w:color w:val="FF0000"/>
                <w:sz w:val="21"/>
                <w:szCs w:val="21"/>
              </w:rPr>
            </w:pPr>
          </w:p>
        </w:tc>
        <w:tc>
          <w:tcPr>
            <w:tcW w:w="217" w:type="dxa"/>
          </w:tcPr>
          <w:p w14:paraId="23C3BE77" w14:textId="77777777" w:rsidR="002C0FD9" w:rsidRPr="00CA25CF" w:rsidRDefault="002C0FD9" w:rsidP="00CA25CF">
            <w:pPr>
              <w:rPr>
                <w:rFonts w:cs="Arial"/>
                <w:color w:val="FF0000"/>
                <w:sz w:val="21"/>
                <w:szCs w:val="21"/>
              </w:rPr>
            </w:pPr>
          </w:p>
        </w:tc>
        <w:tc>
          <w:tcPr>
            <w:tcW w:w="217" w:type="dxa"/>
          </w:tcPr>
          <w:p w14:paraId="276E9C0C" w14:textId="77777777" w:rsidR="002C0FD9" w:rsidRPr="00CA25CF" w:rsidRDefault="002C0FD9" w:rsidP="00CA25CF">
            <w:pPr>
              <w:rPr>
                <w:rFonts w:cs="Arial"/>
                <w:color w:val="FF0000"/>
                <w:sz w:val="21"/>
                <w:szCs w:val="21"/>
              </w:rPr>
            </w:pPr>
          </w:p>
        </w:tc>
        <w:tc>
          <w:tcPr>
            <w:tcW w:w="217" w:type="dxa"/>
          </w:tcPr>
          <w:p w14:paraId="59653068" w14:textId="77777777" w:rsidR="002C0FD9" w:rsidRPr="00CA25CF" w:rsidRDefault="002C0FD9" w:rsidP="00CA25CF">
            <w:pPr>
              <w:rPr>
                <w:rFonts w:cs="Arial"/>
                <w:color w:val="FF0000"/>
                <w:sz w:val="21"/>
                <w:szCs w:val="21"/>
              </w:rPr>
            </w:pPr>
          </w:p>
        </w:tc>
        <w:tc>
          <w:tcPr>
            <w:tcW w:w="217" w:type="dxa"/>
          </w:tcPr>
          <w:p w14:paraId="19FEDA87" w14:textId="77777777" w:rsidR="002C0FD9" w:rsidRPr="00CA25CF" w:rsidRDefault="002C0FD9" w:rsidP="00CA25CF">
            <w:pPr>
              <w:rPr>
                <w:rFonts w:cs="Arial"/>
                <w:color w:val="FF0000"/>
                <w:sz w:val="21"/>
                <w:szCs w:val="21"/>
              </w:rPr>
            </w:pPr>
          </w:p>
        </w:tc>
        <w:tc>
          <w:tcPr>
            <w:tcW w:w="217" w:type="dxa"/>
          </w:tcPr>
          <w:p w14:paraId="6112313A" w14:textId="77777777" w:rsidR="002C0FD9" w:rsidRPr="00CA25CF" w:rsidRDefault="002C0FD9" w:rsidP="00CA25CF">
            <w:pPr>
              <w:rPr>
                <w:rFonts w:cs="Arial"/>
                <w:color w:val="FF0000"/>
                <w:sz w:val="21"/>
                <w:szCs w:val="21"/>
              </w:rPr>
            </w:pPr>
          </w:p>
        </w:tc>
        <w:tc>
          <w:tcPr>
            <w:tcW w:w="217" w:type="dxa"/>
          </w:tcPr>
          <w:p w14:paraId="11F76327" w14:textId="77777777" w:rsidR="002C0FD9" w:rsidRPr="00CA25CF" w:rsidRDefault="002C0FD9" w:rsidP="00CA25CF">
            <w:pPr>
              <w:rPr>
                <w:rFonts w:cs="Arial"/>
                <w:color w:val="FF0000"/>
                <w:sz w:val="21"/>
                <w:szCs w:val="21"/>
              </w:rPr>
            </w:pPr>
          </w:p>
        </w:tc>
        <w:tc>
          <w:tcPr>
            <w:tcW w:w="217" w:type="dxa"/>
          </w:tcPr>
          <w:p w14:paraId="5AA383EB" w14:textId="77777777" w:rsidR="002C0FD9" w:rsidRPr="00CA25CF" w:rsidRDefault="002C0FD9" w:rsidP="00CA25CF">
            <w:pPr>
              <w:rPr>
                <w:rFonts w:cs="Arial"/>
                <w:color w:val="FF0000"/>
                <w:sz w:val="21"/>
                <w:szCs w:val="21"/>
              </w:rPr>
            </w:pPr>
          </w:p>
        </w:tc>
        <w:tc>
          <w:tcPr>
            <w:tcW w:w="217" w:type="dxa"/>
          </w:tcPr>
          <w:p w14:paraId="4E08A36A" w14:textId="77777777" w:rsidR="002C0FD9" w:rsidRPr="00CA25CF" w:rsidRDefault="002C0FD9" w:rsidP="00CA25CF">
            <w:pPr>
              <w:rPr>
                <w:rFonts w:cs="Arial"/>
                <w:color w:val="FF0000"/>
                <w:sz w:val="21"/>
                <w:szCs w:val="21"/>
              </w:rPr>
            </w:pPr>
          </w:p>
        </w:tc>
        <w:tc>
          <w:tcPr>
            <w:tcW w:w="217" w:type="dxa"/>
          </w:tcPr>
          <w:p w14:paraId="3C71F991" w14:textId="77777777" w:rsidR="002C0FD9" w:rsidRPr="00CA25CF" w:rsidRDefault="002C0FD9" w:rsidP="00CA25CF">
            <w:pPr>
              <w:rPr>
                <w:rFonts w:cs="Arial"/>
                <w:color w:val="FF0000"/>
                <w:sz w:val="21"/>
                <w:szCs w:val="21"/>
              </w:rPr>
            </w:pPr>
          </w:p>
        </w:tc>
        <w:tc>
          <w:tcPr>
            <w:tcW w:w="217" w:type="dxa"/>
          </w:tcPr>
          <w:p w14:paraId="7B800444" w14:textId="77777777" w:rsidR="002C0FD9" w:rsidRPr="00CA25CF" w:rsidRDefault="002C0FD9" w:rsidP="00CA25CF">
            <w:pPr>
              <w:rPr>
                <w:rFonts w:cs="Arial"/>
                <w:color w:val="FF0000"/>
                <w:sz w:val="21"/>
                <w:szCs w:val="21"/>
              </w:rPr>
            </w:pPr>
          </w:p>
        </w:tc>
        <w:tc>
          <w:tcPr>
            <w:tcW w:w="217" w:type="dxa"/>
          </w:tcPr>
          <w:p w14:paraId="7930A7AD" w14:textId="77777777" w:rsidR="002C0FD9" w:rsidRPr="00CA25CF" w:rsidRDefault="002C0FD9" w:rsidP="00CA25CF">
            <w:pPr>
              <w:rPr>
                <w:rFonts w:cs="Arial"/>
                <w:color w:val="FF0000"/>
                <w:sz w:val="21"/>
                <w:szCs w:val="21"/>
              </w:rPr>
            </w:pPr>
          </w:p>
        </w:tc>
        <w:tc>
          <w:tcPr>
            <w:tcW w:w="217" w:type="dxa"/>
          </w:tcPr>
          <w:p w14:paraId="5A9D852B" w14:textId="77777777" w:rsidR="002C0FD9" w:rsidRPr="00CA25CF" w:rsidRDefault="002C0FD9" w:rsidP="00CA25CF">
            <w:pPr>
              <w:rPr>
                <w:rFonts w:cs="Arial"/>
                <w:color w:val="FF0000"/>
                <w:sz w:val="21"/>
                <w:szCs w:val="21"/>
              </w:rPr>
            </w:pPr>
          </w:p>
        </w:tc>
        <w:tc>
          <w:tcPr>
            <w:tcW w:w="217" w:type="dxa"/>
          </w:tcPr>
          <w:p w14:paraId="680A9D0F" w14:textId="77777777" w:rsidR="002C0FD9" w:rsidRPr="00CA25CF" w:rsidRDefault="002C0FD9" w:rsidP="00CA25CF">
            <w:pPr>
              <w:rPr>
                <w:rFonts w:cs="Arial"/>
                <w:color w:val="FF0000"/>
                <w:sz w:val="21"/>
                <w:szCs w:val="21"/>
              </w:rPr>
            </w:pPr>
          </w:p>
        </w:tc>
        <w:tc>
          <w:tcPr>
            <w:tcW w:w="217" w:type="dxa"/>
          </w:tcPr>
          <w:p w14:paraId="7A382B80" w14:textId="77777777" w:rsidR="002C0FD9" w:rsidRPr="00CA25CF" w:rsidRDefault="002C0FD9" w:rsidP="00CA25CF">
            <w:pPr>
              <w:rPr>
                <w:rFonts w:cs="Arial"/>
                <w:color w:val="FF0000"/>
                <w:sz w:val="21"/>
                <w:szCs w:val="21"/>
              </w:rPr>
            </w:pPr>
          </w:p>
        </w:tc>
        <w:tc>
          <w:tcPr>
            <w:tcW w:w="217" w:type="dxa"/>
          </w:tcPr>
          <w:p w14:paraId="57E9D2A5" w14:textId="77777777" w:rsidR="002C0FD9" w:rsidRPr="00CA25CF" w:rsidRDefault="002C0FD9" w:rsidP="00CA25CF">
            <w:pPr>
              <w:rPr>
                <w:rFonts w:cs="Arial"/>
                <w:color w:val="FF0000"/>
                <w:sz w:val="21"/>
                <w:szCs w:val="21"/>
              </w:rPr>
            </w:pPr>
          </w:p>
        </w:tc>
        <w:tc>
          <w:tcPr>
            <w:tcW w:w="217" w:type="dxa"/>
          </w:tcPr>
          <w:p w14:paraId="4042FB9A" w14:textId="77777777" w:rsidR="002C0FD9" w:rsidRPr="00CA25CF" w:rsidRDefault="002C0FD9" w:rsidP="00CA25CF">
            <w:pPr>
              <w:rPr>
                <w:rFonts w:cs="Arial"/>
                <w:color w:val="FF0000"/>
                <w:sz w:val="21"/>
                <w:szCs w:val="21"/>
              </w:rPr>
            </w:pPr>
          </w:p>
        </w:tc>
        <w:tc>
          <w:tcPr>
            <w:tcW w:w="217" w:type="dxa"/>
          </w:tcPr>
          <w:p w14:paraId="64BB1FDB" w14:textId="77777777" w:rsidR="002C0FD9" w:rsidRPr="00CA25CF" w:rsidRDefault="002C0FD9" w:rsidP="00CA25CF">
            <w:pPr>
              <w:rPr>
                <w:rFonts w:cs="Arial"/>
                <w:color w:val="FF0000"/>
                <w:sz w:val="21"/>
                <w:szCs w:val="21"/>
              </w:rPr>
            </w:pPr>
          </w:p>
        </w:tc>
        <w:tc>
          <w:tcPr>
            <w:tcW w:w="217" w:type="dxa"/>
          </w:tcPr>
          <w:p w14:paraId="79C1F763" w14:textId="77777777" w:rsidR="002C0FD9" w:rsidRPr="00CA25CF" w:rsidRDefault="002C0FD9" w:rsidP="00CA25CF">
            <w:pPr>
              <w:rPr>
                <w:rFonts w:cs="Arial"/>
                <w:color w:val="FF0000"/>
                <w:sz w:val="21"/>
                <w:szCs w:val="21"/>
              </w:rPr>
            </w:pPr>
          </w:p>
        </w:tc>
        <w:tc>
          <w:tcPr>
            <w:tcW w:w="217" w:type="dxa"/>
          </w:tcPr>
          <w:p w14:paraId="213C8136" w14:textId="77777777" w:rsidR="002C0FD9" w:rsidRPr="00CA25CF" w:rsidRDefault="002C0FD9" w:rsidP="00CA25CF">
            <w:pPr>
              <w:rPr>
                <w:rFonts w:cs="Arial"/>
                <w:color w:val="FF0000"/>
                <w:sz w:val="21"/>
                <w:szCs w:val="21"/>
              </w:rPr>
            </w:pPr>
          </w:p>
        </w:tc>
        <w:tc>
          <w:tcPr>
            <w:tcW w:w="217" w:type="dxa"/>
          </w:tcPr>
          <w:p w14:paraId="2935ABD7" w14:textId="77777777" w:rsidR="002C0FD9" w:rsidRPr="00CA25CF" w:rsidRDefault="002C0FD9" w:rsidP="00CA25CF">
            <w:pPr>
              <w:rPr>
                <w:rFonts w:cs="Arial"/>
                <w:color w:val="FF0000"/>
                <w:sz w:val="21"/>
                <w:szCs w:val="21"/>
              </w:rPr>
            </w:pPr>
          </w:p>
        </w:tc>
        <w:tc>
          <w:tcPr>
            <w:tcW w:w="217" w:type="dxa"/>
          </w:tcPr>
          <w:p w14:paraId="0B0E2BEE" w14:textId="77777777" w:rsidR="002C0FD9" w:rsidRPr="00CA25CF" w:rsidRDefault="002C0FD9" w:rsidP="00CA25CF">
            <w:pPr>
              <w:rPr>
                <w:rFonts w:cs="Arial"/>
                <w:color w:val="FF0000"/>
                <w:sz w:val="21"/>
                <w:szCs w:val="21"/>
              </w:rPr>
            </w:pPr>
          </w:p>
        </w:tc>
        <w:tc>
          <w:tcPr>
            <w:tcW w:w="217" w:type="dxa"/>
          </w:tcPr>
          <w:p w14:paraId="39B7EE40" w14:textId="77777777" w:rsidR="002C0FD9" w:rsidRPr="00CA25CF" w:rsidRDefault="002C0FD9" w:rsidP="00CA25CF">
            <w:pPr>
              <w:rPr>
                <w:rFonts w:cs="Arial"/>
                <w:color w:val="FF0000"/>
                <w:sz w:val="21"/>
                <w:szCs w:val="21"/>
              </w:rPr>
            </w:pPr>
          </w:p>
        </w:tc>
        <w:tc>
          <w:tcPr>
            <w:tcW w:w="217" w:type="dxa"/>
          </w:tcPr>
          <w:p w14:paraId="603BEE35" w14:textId="77777777" w:rsidR="002C0FD9" w:rsidRPr="00CA25CF" w:rsidRDefault="002C0FD9" w:rsidP="00CA25CF">
            <w:pPr>
              <w:rPr>
                <w:rFonts w:cs="Arial"/>
                <w:color w:val="FF0000"/>
                <w:sz w:val="21"/>
                <w:szCs w:val="21"/>
              </w:rPr>
            </w:pPr>
          </w:p>
        </w:tc>
        <w:tc>
          <w:tcPr>
            <w:tcW w:w="217" w:type="dxa"/>
          </w:tcPr>
          <w:p w14:paraId="762E42BD" w14:textId="77777777" w:rsidR="002C0FD9" w:rsidRPr="00CA25CF" w:rsidRDefault="002C0FD9" w:rsidP="00CA25CF">
            <w:pPr>
              <w:rPr>
                <w:rFonts w:cs="Arial"/>
                <w:color w:val="FF0000"/>
                <w:sz w:val="21"/>
                <w:szCs w:val="21"/>
              </w:rPr>
            </w:pPr>
          </w:p>
        </w:tc>
        <w:tc>
          <w:tcPr>
            <w:tcW w:w="217" w:type="dxa"/>
          </w:tcPr>
          <w:p w14:paraId="67C3448B" w14:textId="77777777" w:rsidR="002C0FD9" w:rsidRPr="00CA25CF" w:rsidRDefault="002C0FD9" w:rsidP="00CA25CF">
            <w:pPr>
              <w:rPr>
                <w:rFonts w:cs="Arial"/>
                <w:color w:val="FF0000"/>
                <w:sz w:val="21"/>
                <w:szCs w:val="21"/>
              </w:rPr>
            </w:pPr>
          </w:p>
        </w:tc>
        <w:tc>
          <w:tcPr>
            <w:tcW w:w="217" w:type="dxa"/>
          </w:tcPr>
          <w:p w14:paraId="49297A50" w14:textId="77777777" w:rsidR="002C0FD9" w:rsidRPr="00CA25CF" w:rsidRDefault="002C0FD9" w:rsidP="00CA25CF">
            <w:pPr>
              <w:rPr>
                <w:rFonts w:cs="Arial"/>
                <w:color w:val="FF0000"/>
                <w:sz w:val="21"/>
                <w:szCs w:val="21"/>
              </w:rPr>
            </w:pPr>
          </w:p>
        </w:tc>
        <w:tc>
          <w:tcPr>
            <w:tcW w:w="217" w:type="dxa"/>
          </w:tcPr>
          <w:p w14:paraId="57462587" w14:textId="77777777" w:rsidR="002C0FD9" w:rsidRPr="00CA25CF" w:rsidRDefault="002C0FD9" w:rsidP="00CA25CF">
            <w:pPr>
              <w:rPr>
                <w:rFonts w:cs="Arial"/>
                <w:color w:val="FF0000"/>
                <w:sz w:val="21"/>
                <w:szCs w:val="21"/>
              </w:rPr>
            </w:pPr>
          </w:p>
        </w:tc>
        <w:tc>
          <w:tcPr>
            <w:tcW w:w="217" w:type="dxa"/>
          </w:tcPr>
          <w:p w14:paraId="391A9D69" w14:textId="77777777" w:rsidR="002C0FD9" w:rsidRPr="00CA25CF" w:rsidRDefault="002C0FD9" w:rsidP="00CA25CF">
            <w:pPr>
              <w:rPr>
                <w:rFonts w:cs="Arial"/>
                <w:color w:val="FF0000"/>
                <w:sz w:val="21"/>
                <w:szCs w:val="21"/>
              </w:rPr>
            </w:pPr>
          </w:p>
        </w:tc>
        <w:tc>
          <w:tcPr>
            <w:tcW w:w="217" w:type="dxa"/>
          </w:tcPr>
          <w:p w14:paraId="4D15982A" w14:textId="77777777" w:rsidR="002C0FD9" w:rsidRPr="00CA25CF" w:rsidRDefault="002C0FD9" w:rsidP="00CA25CF">
            <w:pPr>
              <w:rPr>
                <w:rFonts w:cs="Arial"/>
                <w:color w:val="FF0000"/>
                <w:sz w:val="21"/>
                <w:szCs w:val="21"/>
              </w:rPr>
            </w:pPr>
          </w:p>
        </w:tc>
        <w:tc>
          <w:tcPr>
            <w:tcW w:w="217" w:type="dxa"/>
          </w:tcPr>
          <w:p w14:paraId="507B66FD" w14:textId="77777777" w:rsidR="002C0FD9" w:rsidRPr="00CA25CF" w:rsidRDefault="002C0FD9" w:rsidP="00CA25CF">
            <w:pPr>
              <w:rPr>
                <w:rFonts w:cs="Arial"/>
                <w:color w:val="FF0000"/>
                <w:sz w:val="21"/>
                <w:szCs w:val="21"/>
              </w:rPr>
            </w:pPr>
          </w:p>
        </w:tc>
        <w:tc>
          <w:tcPr>
            <w:tcW w:w="217" w:type="dxa"/>
          </w:tcPr>
          <w:p w14:paraId="292AC8AF" w14:textId="77777777" w:rsidR="002C0FD9" w:rsidRPr="00CA25CF" w:rsidRDefault="002C0FD9" w:rsidP="00CA25CF">
            <w:pPr>
              <w:rPr>
                <w:rFonts w:cs="Arial"/>
                <w:color w:val="FF0000"/>
                <w:sz w:val="21"/>
                <w:szCs w:val="21"/>
              </w:rPr>
            </w:pPr>
          </w:p>
        </w:tc>
        <w:tc>
          <w:tcPr>
            <w:tcW w:w="217" w:type="dxa"/>
          </w:tcPr>
          <w:p w14:paraId="6961B411" w14:textId="77777777" w:rsidR="002C0FD9" w:rsidRPr="00CA25CF" w:rsidRDefault="002C0FD9" w:rsidP="00CA25CF">
            <w:pPr>
              <w:rPr>
                <w:rFonts w:cs="Arial"/>
                <w:color w:val="FF0000"/>
                <w:sz w:val="21"/>
                <w:szCs w:val="21"/>
              </w:rPr>
            </w:pPr>
          </w:p>
        </w:tc>
        <w:tc>
          <w:tcPr>
            <w:tcW w:w="217" w:type="dxa"/>
          </w:tcPr>
          <w:p w14:paraId="6445EFDA" w14:textId="77777777" w:rsidR="002C0FD9" w:rsidRPr="00CA25CF" w:rsidRDefault="002C0FD9" w:rsidP="00CA25CF">
            <w:pPr>
              <w:rPr>
                <w:rFonts w:cs="Arial"/>
                <w:color w:val="FF0000"/>
                <w:sz w:val="21"/>
                <w:szCs w:val="21"/>
              </w:rPr>
            </w:pPr>
          </w:p>
        </w:tc>
        <w:tc>
          <w:tcPr>
            <w:tcW w:w="217" w:type="dxa"/>
          </w:tcPr>
          <w:p w14:paraId="6A0F6BD0" w14:textId="77777777" w:rsidR="002C0FD9" w:rsidRPr="00CA25CF" w:rsidRDefault="002C0FD9" w:rsidP="00CA25CF">
            <w:pPr>
              <w:rPr>
                <w:rFonts w:cs="Arial"/>
                <w:color w:val="FF0000"/>
                <w:sz w:val="21"/>
                <w:szCs w:val="21"/>
              </w:rPr>
            </w:pPr>
          </w:p>
        </w:tc>
        <w:tc>
          <w:tcPr>
            <w:tcW w:w="217" w:type="dxa"/>
          </w:tcPr>
          <w:p w14:paraId="6CA800CC" w14:textId="77777777" w:rsidR="002C0FD9" w:rsidRPr="00CA25CF" w:rsidRDefault="002C0FD9" w:rsidP="00CA25CF">
            <w:pPr>
              <w:rPr>
                <w:rFonts w:cs="Arial"/>
                <w:color w:val="FF0000"/>
                <w:sz w:val="21"/>
                <w:szCs w:val="21"/>
              </w:rPr>
            </w:pPr>
          </w:p>
        </w:tc>
      </w:tr>
      <w:tr w:rsidR="002C0FD9" w:rsidRPr="00A16219" w14:paraId="5A970524" w14:textId="77777777" w:rsidTr="002C0FD9">
        <w:trPr>
          <w:trHeight w:val="635"/>
        </w:trPr>
        <w:tc>
          <w:tcPr>
            <w:tcW w:w="515" w:type="dxa"/>
          </w:tcPr>
          <w:p w14:paraId="475EB162" w14:textId="77777777" w:rsidR="002C0FD9" w:rsidRPr="00CA25CF" w:rsidRDefault="002C0FD9" w:rsidP="00CA25CF">
            <w:pPr>
              <w:rPr>
                <w:rFonts w:cs="Arial"/>
                <w:color w:val="FF0000"/>
                <w:sz w:val="21"/>
                <w:szCs w:val="21"/>
              </w:rPr>
            </w:pPr>
          </w:p>
        </w:tc>
        <w:tc>
          <w:tcPr>
            <w:tcW w:w="217" w:type="dxa"/>
          </w:tcPr>
          <w:p w14:paraId="16C7C655" w14:textId="77777777" w:rsidR="002C0FD9" w:rsidRPr="00CA25CF" w:rsidRDefault="002C0FD9" w:rsidP="00CA25CF">
            <w:pPr>
              <w:rPr>
                <w:rFonts w:cs="Arial"/>
                <w:color w:val="FF0000"/>
                <w:sz w:val="21"/>
                <w:szCs w:val="21"/>
              </w:rPr>
            </w:pPr>
          </w:p>
        </w:tc>
        <w:tc>
          <w:tcPr>
            <w:tcW w:w="217" w:type="dxa"/>
          </w:tcPr>
          <w:p w14:paraId="09107A88" w14:textId="77777777" w:rsidR="002C0FD9" w:rsidRPr="00CA25CF" w:rsidRDefault="002C0FD9" w:rsidP="00CA25CF">
            <w:pPr>
              <w:rPr>
                <w:rFonts w:cs="Arial"/>
                <w:color w:val="FF0000"/>
                <w:sz w:val="21"/>
                <w:szCs w:val="21"/>
              </w:rPr>
            </w:pPr>
          </w:p>
        </w:tc>
        <w:tc>
          <w:tcPr>
            <w:tcW w:w="217" w:type="dxa"/>
          </w:tcPr>
          <w:p w14:paraId="58396A1A" w14:textId="77777777" w:rsidR="002C0FD9" w:rsidRPr="00CA25CF" w:rsidRDefault="002C0FD9" w:rsidP="00CA25CF">
            <w:pPr>
              <w:rPr>
                <w:rFonts w:cs="Arial"/>
                <w:color w:val="FF0000"/>
                <w:sz w:val="21"/>
                <w:szCs w:val="21"/>
              </w:rPr>
            </w:pPr>
          </w:p>
        </w:tc>
        <w:tc>
          <w:tcPr>
            <w:tcW w:w="217" w:type="dxa"/>
          </w:tcPr>
          <w:p w14:paraId="2DA85837" w14:textId="77777777" w:rsidR="002C0FD9" w:rsidRPr="00CA25CF" w:rsidRDefault="002C0FD9" w:rsidP="00CA25CF">
            <w:pPr>
              <w:rPr>
                <w:rFonts w:cs="Arial"/>
                <w:color w:val="FF0000"/>
                <w:sz w:val="21"/>
                <w:szCs w:val="21"/>
              </w:rPr>
            </w:pPr>
          </w:p>
        </w:tc>
        <w:tc>
          <w:tcPr>
            <w:tcW w:w="217" w:type="dxa"/>
          </w:tcPr>
          <w:p w14:paraId="2E4CF79E" w14:textId="77777777" w:rsidR="002C0FD9" w:rsidRPr="00CA25CF" w:rsidRDefault="002C0FD9" w:rsidP="00CA25CF">
            <w:pPr>
              <w:rPr>
                <w:rFonts w:cs="Arial"/>
                <w:color w:val="FF0000"/>
                <w:sz w:val="21"/>
                <w:szCs w:val="21"/>
              </w:rPr>
            </w:pPr>
          </w:p>
        </w:tc>
        <w:tc>
          <w:tcPr>
            <w:tcW w:w="217" w:type="dxa"/>
          </w:tcPr>
          <w:p w14:paraId="59C446BB" w14:textId="77777777" w:rsidR="002C0FD9" w:rsidRPr="00CA25CF" w:rsidRDefault="002C0FD9" w:rsidP="00CA25CF">
            <w:pPr>
              <w:rPr>
                <w:rFonts w:cs="Arial"/>
                <w:color w:val="FF0000"/>
                <w:sz w:val="21"/>
                <w:szCs w:val="21"/>
              </w:rPr>
            </w:pPr>
          </w:p>
        </w:tc>
        <w:tc>
          <w:tcPr>
            <w:tcW w:w="217" w:type="dxa"/>
          </w:tcPr>
          <w:p w14:paraId="59DA6812" w14:textId="77777777" w:rsidR="002C0FD9" w:rsidRPr="00CA25CF" w:rsidRDefault="002C0FD9" w:rsidP="00CA25CF">
            <w:pPr>
              <w:rPr>
                <w:rFonts w:cs="Arial"/>
                <w:color w:val="FF0000"/>
                <w:sz w:val="21"/>
                <w:szCs w:val="21"/>
              </w:rPr>
            </w:pPr>
          </w:p>
        </w:tc>
        <w:tc>
          <w:tcPr>
            <w:tcW w:w="217" w:type="dxa"/>
          </w:tcPr>
          <w:p w14:paraId="2AD76936" w14:textId="77777777" w:rsidR="002C0FD9" w:rsidRPr="00CA25CF" w:rsidRDefault="002C0FD9" w:rsidP="00CA25CF">
            <w:pPr>
              <w:rPr>
                <w:rFonts w:cs="Arial"/>
                <w:color w:val="FF0000"/>
                <w:sz w:val="21"/>
                <w:szCs w:val="21"/>
              </w:rPr>
            </w:pPr>
          </w:p>
        </w:tc>
        <w:tc>
          <w:tcPr>
            <w:tcW w:w="217" w:type="dxa"/>
          </w:tcPr>
          <w:p w14:paraId="24EBFAF6" w14:textId="77777777" w:rsidR="002C0FD9" w:rsidRPr="00CA25CF" w:rsidRDefault="002C0FD9" w:rsidP="00CA25CF">
            <w:pPr>
              <w:rPr>
                <w:rFonts w:cs="Arial"/>
                <w:color w:val="FF0000"/>
                <w:sz w:val="21"/>
                <w:szCs w:val="21"/>
              </w:rPr>
            </w:pPr>
          </w:p>
        </w:tc>
        <w:tc>
          <w:tcPr>
            <w:tcW w:w="217" w:type="dxa"/>
          </w:tcPr>
          <w:p w14:paraId="0C0767A4" w14:textId="77777777" w:rsidR="002C0FD9" w:rsidRPr="00CA25CF" w:rsidRDefault="002C0FD9" w:rsidP="00CA25CF">
            <w:pPr>
              <w:rPr>
                <w:rFonts w:cs="Arial"/>
                <w:color w:val="FF0000"/>
                <w:sz w:val="21"/>
                <w:szCs w:val="21"/>
              </w:rPr>
            </w:pPr>
          </w:p>
        </w:tc>
        <w:tc>
          <w:tcPr>
            <w:tcW w:w="217" w:type="dxa"/>
          </w:tcPr>
          <w:p w14:paraId="131FC1DE" w14:textId="77777777" w:rsidR="002C0FD9" w:rsidRPr="00CA25CF" w:rsidRDefault="002C0FD9" w:rsidP="00CA25CF">
            <w:pPr>
              <w:rPr>
                <w:rFonts w:cs="Arial"/>
                <w:color w:val="FF0000"/>
                <w:sz w:val="21"/>
                <w:szCs w:val="21"/>
              </w:rPr>
            </w:pPr>
          </w:p>
        </w:tc>
        <w:tc>
          <w:tcPr>
            <w:tcW w:w="217" w:type="dxa"/>
          </w:tcPr>
          <w:p w14:paraId="445D1978" w14:textId="77777777" w:rsidR="002C0FD9" w:rsidRPr="00CA25CF" w:rsidRDefault="002C0FD9" w:rsidP="00CA25CF">
            <w:pPr>
              <w:rPr>
                <w:rFonts w:cs="Arial"/>
                <w:color w:val="FF0000"/>
                <w:sz w:val="21"/>
                <w:szCs w:val="21"/>
              </w:rPr>
            </w:pPr>
          </w:p>
        </w:tc>
        <w:tc>
          <w:tcPr>
            <w:tcW w:w="217" w:type="dxa"/>
          </w:tcPr>
          <w:p w14:paraId="42A6F6CC" w14:textId="77777777" w:rsidR="002C0FD9" w:rsidRPr="00CA25CF" w:rsidRDefault="002C0FD9" w:rsidP="00CA25CF">
            <w:pPr>
              <w:rPr>
                <w:rFonts w:cs="Arial"/>
                <w:color w:val="FF0000"/>
                <w:sz w:val="21"/>
                <w:szCs w:val="21"/>
              </w:rPr>
            </w:pPr>
          </w:p>
        </w:tc>
        <w:tc>
          <w:tcPr>
            <w:tcW w:w="217" w:type="dxa"/>
          </w:tcPr>
          <w:p w14:paraId="1A56C0A9" w14:textId="77777777" w:rsidR="002C0FD9" w:rsidRPr="00CA25CF" w:rsidRDefault="002C0FD9" w:rsidP="00CA25CF">
            <w:pPr>
              <w:rPr>
                <w:rFonts w:cs="Arial"/>
                <w:color w:val="FF0000"/>
                <w:sz w:val="21"/>
                <w:szCs w:val="21"/>
              </w:rPr>
            </w:pPr>
          </w:p>
        </w:tc>
        <w:tc>
          <w:tcPr>
            <w:tcW w:w="217" w:type="dxa"/>
          </w:tcPr>
          <w:p w14:paraId="0D29D0FD" w14:textId="77777777" w:rsidR="002C0FD9" w:rsidRPr="00CA25CF" w:rsidRDefault="002C0FD9" w:rsidP="00CA25CF">
            <w:pPr>
              <w:rPr>
                <w:rFonts w:cs="Arial"/>
                <w:color w:val="FF0000"/>
                <w:sz w:val="21"/>
                <w:szCs w:val="21"/>
              </w:rPr>
            </w:pPr>
          </w:p>
        </w:tc>
        <w:tc>
          <w:tcPr>
            <w:tcW w:w="217" w:type="dxa"/>
          </w:tcPr>
          <w:p w14:paraId="1843393A" w14:textId="77777777" w:rsidR="002C0FD9" w:rsidRPr="00CA25CF" w:rsidRDefault="002C0FD9" w:rsidP="00CA25CF">
            <w:pPr>
              <w:rPr>
                <w:rFonts w:cs="Arial"/>
                <w:color w:val="FF0000"/>
                <w:sz w:val="21"/>
                <w:szCs w:val="21"/>
              </w:rPr>
            </w:pPr>
          </w:p>
        </w:tc>
        <w:tc>
          <w:tcPr>
            <w:tcW w:w="217" w:type="dxa"/>
          </w:tcPr>
          <w:p w14:paraId="65F72C34" w14:textId="77777777" w:rsidR="002C0FD9" w:rsidRPr="00CA25CF" w:rsidRDefault="002C0FD9" w:rsidP="00CA25CF">
            <w:pPr>
              <w:rPr>
                <w:rFonts w:cs="Arial"/>
                <w:color w:val="FF0000"/>
                <w:sz w:val="21"/>
                <w:szCs w:val="21"/>
              </w:rPr>
            </w:pPr>
          </w:p>
        </w:tc>
        <w:tc>
          <w:tcPr>
            <w:tcW w:w="217" w:type="dxa"/>
          </w:tcPr>
          <w:p w14:paraId="5667A154" w14:textId="77777777" w:rsidR="002C0FD9" w:rsidRPr="00CA25CF" w:rsidRDefault="002C0FD9" w:rsidP="00CA25CF">
            <w:pPr>
              <w:rPr>
                <w:rFonts w:cs="Arial"/>
                <w:color w:val="FF0000"/>
                <w:sz w:val="21"/>
                <w:szCs w:val="21"/>
              </w:rPr>
            </w:pPr>
          </w:p>
        </w:tc>
        <w:tc>
          <w:tcPr>
            <w:tcW w:w="217" w:type="dxa"/>
          </w:tcPr>
          <w:p w14:paraId="60A4F692" w14:textId="77777777" w:rsidR="002C0FD9" w:rsidRPr="00CA25CF" w:rsidRDefault="002C0FD9" w:rsidP="00CA25CF">
            <w:pPr>
              <w:rPr>
                <w:rFonts w:cs="Arial"/>
                <w:color w:val="FF0000"/>
                <w:sz w:val="21"/>
                <w:szCs w:val="21"/>
              </w:rPr>
            </w:pPr>
          </w:p>
        </w:tc>
        <w:tc>
          <w:tcPr>
            <w:tcW w:w="217" w:type="dxa"/>
          </w:tcPr>
          <w:p w14:paraId="33941DD3" w14:textId="77777777" w:rsidR="002C0FD9" w:rsidRPr="00CA25CF" w:rsidRDefault="002C0FD9" w:rsidP="00CA25CF">
            <w:pPr>
              <w:rPr>
                <w:rFonts w:cs="Arial"/>
                <w:color w:val="FF0000"/>
                <w:sz w:val="21"/>
                <w:szCs w:val="21"/>
              </w:rPr>
            </w:pPr>
          </w:p>
        </w:tc>
        <w:tc>
          <w:tcPr>
            <w:tcW w:w="217" w:type="dxa"/>
          </w:tcPr>
          <w:p w14:paraId="5448F8E0" w14:textId="77777777" w:rsidR="002C0FD9" w:rsidRPr="00CA25CF" w:rsidRDefault="002C0FD9" w:rsidP="00CA25CF">
            <w:pPr>
              <w:rPr>
                <w:rFonts w:cs="Arial"/>
                <w:color w:val="FF0000"/>
                <w:sz w:val="21"/>
                <w:szCs w:val="21"/>
              </w:rPr>
            </w:pPr>
          </w:p>
        </w:tc>
        <w:tc>
          <w:tcPr>
            <w:tcW w:w="217" w:type="dxa"/>
          </w:tcPr>
          <w:p w14:paraId="0E807F52" w14:textId="77777777" w:rsidR="002C0FD9" w:rsidRPr="00CA25CF" w:rsidRDefault="002C0FD9" w:rsidP="00CA25CF">
            <w:pPr>
              <w:rPr>
                <w:rFonts w:cs="Arial"/>
                <w:color w:val="FF0000"/>
                <w:sz w:val="21"/>
                <w:szCs w:val="21"/>
              </w:rPr>
            </w:pPr>
          </w:p>
        </w:tc>
        <w:tc>
          <w:tcPr>
            <w:tcW w:w="217" w:type="dxa"/>
          </w:tcPr>
          <w:p w14:paraId="72A12D60" w14:textId="77777777" w:rsidR="002C0FD9" w:rsidRPr="00CA25CF" w:rsidRDefault="002C0FD9" w:rsidP="00CA25CF">
            <w:pPr>
              <w:rPr>
                <w:rFonts w:cs="Arial"/>
                <w:color w:val="FF0000"/>
                <w:sz w:val="21"/>
                <w:szCs w:val="21"/>
              </w:rPr>
            </w:pPr>
          </w:p>
        </w:tc>
        <w:tc>
          <w:tcPr>
            <w:tcW w:w="217" w:type="dxa"/>
          </w:tcPr>
          <w:p w14:paraId="2C56ABBF" w14:textId="77777777" w:rsidR="002C0FD9" w:rsidRPr="00CA25CF" w:rsidRDefault="002C0FD9" w:rsidP="00CA25CF">
            <w:pPr>
              <w:rPr>
                <w:rFonts w:cs="Arial"/>
                <w:color w:val="FF0000"/>
                <w:sz w:val="21"/>
                <w:szCs w:val="21"/>
              </w:rPr>
            </w:pPr>
          </w:p>
        </w:tc>
        <w:tc>
          <w:tcPr>
            <w:tcW w:w="217" w:type="dxa"/>
          </w:tcPr>
          <w:p w14:paraId="14077935" w14:textId="77777777" w:rsidR="002C0FD9" w:rsidRPr="00CA25CF" w:rsidRDefault="002C0FD9" w:rsidP="00CA25CF">
            <w:pPr>
              <w:rPr>
                <w:rFonts w:cs="Arial"/>
                <w:color w:val="FF0000"/>
                <w:sz w:val="21"/>
                <w:szCs w:val="21"/>
              </w:rPr>
            </w:pPr>
          </w:p>
        </w:tc>
        <w:tc>
          <w:tcPr>
            <w:tcW w:w="217" w:type="dxa"/>
          </w:tcPr>
          <w:p w14:paraId="7DC1B048" w14:textId="77777777" w:rsidR="002C0FD9" w:rsidRPr="00CA25CF" w:rsidRDefault="002C0FD9" w:rsidP="00CA25CF">
            <w:pPr>
              <w:rPr>
                <w:rFonts w:cs="Arial"/>
                <w:color w:val="FF0000"/>
                <w:sz w:val="21"/>
                <w:szCs w:val="21"/>
              </w:rPr>
            </w:pPr>
          </w:p>
        </w:tc>
        <w:tc>
          <w:tcPr>
            <w:tcW w:w="217" w:type="dxa"/>
          </w:tcPr>
          <w:p w14:paraId="0A94A5AF" w14:textId="77777777" w:rsidR="002C0FD9" w:rsidRPr="00CA25CF" w:rsidRDefault="002C0FD9" w:rsidP="00CA25CF">
            <w:pPr>
              <w:rPr>
                <w:rFonts w:cs="Arial"/>
                <w:color w:val="FF0000"/>
                <w:sz w:val="21"/>
                <w:szCs w:val="21"/>
              </w:rPr>
            </w:pPr>
          </w:p>
        </w:tc>
        <w:tc>
          <w:tcPr>
            <w:tcW w:w="217" w:type="dxa"/>
          </w:tcPr>
          <w:p w14:paraId="03A4D0DE" w14:textId="77777777" w:rsidR="002C0FD9" w:rsidRPr="00CA25CF" w:rsidRDefault="002C0FD9" w:rsidP="00CA25CF">
            <w:pPr>
              <w:rPr>
                <w:rFonts w:cs="Arial"/>
                <w:color w:val="FF0000"/>
                <w:sz w:val="21"/>
                <w:szCs w:val="21"/>
              </w:rPr>
            </w:pPr>
          </w:p>
        </w:tc>
        <w:tc>
          <w:tcPr>
            <w:tcW w:w="217" w:type="dxa"/>
          </w:tcPr>
          <w:p w14:paraId="64ED8127" w14:textId="77777777" w:rsidR="002C0FD9" w:rsidRPr="00CA25CF" w:rsidRDefault="002C0FD9" w:rsidP="00CA25CF">
            <w:pPr>
              <w:rPr>
                <w:rFonts w:cs="Arial"/>
                <w:color w:val="FF0000"/>
                <w:sz w:val="21"/>
                <w:szCs w:val="21"/>
              </w:rPr>
            </w:pPr>
          </w:p>
        </w:tc>
        <w:tc>
          <w:tcPr>
            <w:tcW w:w="217" w:type="dxa"/>
          </w:tcPr>
          <w:p w14:paraId="0680B154" w14:textId="77777777" w:rsidR="002C0FD9" w:rsidRPr="00CA25CF" w:rsidRDefault="002C0FD9" w:rsidP="00CA25CF">
            <w:pPr>
              <w:rPr>
                <w:rFonts w:cs="Arial"/>
                <w:color w:val="FF0000"/>
                <w:sz w:val="21"/>
                <w:szCs w:val="21"/>
              </w:rPr>
            </w:pPr>
          </w:p>
        </w:tc>
        <w:tc>
          <w:tcPr>
            <w:tcW w:w="217" w:type="dxa"/>
          </w:tcPr>
          <w:p w14:paraId="121F962C" w14:textId="77777777" w:rsidR="002C0FD9" w:rsidRPr="00CA25CF" w:rsidRDefault="002C0FD9" w:rsidP="00CA25CF">
            <w:pPr>
              <w:rPr>
                <w:rFonts w:cs="Arial"/>
                <w:color w:val="FF0000"/>
                <w:sz w:val="21"/>
                <w:szCs w:val="21"/>
              </w:rPr>
            </w:pPr>
          </w:p>
        </w:tc>
        <w:tc>
          <w:tcPr>
            <w:tcW w:w="217" w:type="dxa"/>
          </w:tcPr>
          <w:p w14:paraId="60D0C15E" w14:textId="77777777" w:rsidR="002C0FD9" w:rsidRPr="00CA25CF" w:rsidRDefault="002C0FD9" w:rsidP="00CA25CF">
            <w:pPr>
              <w:rPr>
                <w:rFonts w:cs="Arial"/>
                <w:color w:val="FF0000"/>
                <w:sz w:val="21"/>
                <w:szCs w:val="21"/>
              </w:rPr>
            </w:pPr>
          </w:p>
        </w:tc>
        <w:tc>
          <w:tcPr>
            <w:tcW w:w="217" w:type="dxa"/>
          </w:tcPr>
          <w:p w14:paraId="43971382" w14:textId="77777777" w:rsidR="002C0FD9" w:rsidRPr="00CA25CF" w:rsidRDefault="002C0FD9" w:rsidP="00CA25CF">
            <w:pPr>
              <w:rPr>
                <w:rFonts w:cs="Arial"/>
                <w:color w:val="FF0000"/>
                <w:sz w:val="21"/>
                <w:szCs w:val="21"/>
              </w:rPr>
            </w:pPr>
          </w:p>
        </w:tc>
        <w:tc>
          <w:tcPr>
            <w:tcW w:w="217" w:type="dxa"/>
          </w:tcPr>
          <w:p w14:paraId="15D42C55" w14:textId="77777777" w:rsidR="002C0FD9" w:rsidRPr="00CA25CF" w:rsidRDefault="002C0FD9" w:rsidP="00CA25CF">
            <w:pPr>
              <w:rPr>
                <w:rFonts w:cs="Arial"/>
                <w:color w:val="FF0000"/>
                <w:sz w:val="21"/>
                <w:szCs w:val="21"/>
              </w:rPr>
            </w:pPr>
          </w:p>
        </w:tc>
        <w:tc>
          <w:tcPr>
            <w:tcW w:w="217" w:type="dxa"/>
          </w:tcPr>
          <w:p w14:paraId="07B58503" w14:textId="77777777" w:rsidR="002C0FD9" w:rsidRPr="00CA25CF" w:rsidRDefault="002C0FD9" w:rsidP="00CA25CF">
            <w:pPr>
              <w:rPr>
                <w:rFonts w:cs="Arial"/>
                <w:color w:val="FF0000"/>
                <w:sz w:val="21"/>
                <w:szCs w:val="21"/>
              </w:rPr>
            </w:pPr>
          </w:p>
        </w:tc>
        <w:tc>
          <w:tcPr>
            <w:tcW w:w="217" w:type="dxa"/>
          </w:tcPr>
          <w:p w14:paraId="59BC662E" w14:textId="77777777" w:rsidR="002C0FD9" w:rsidRPr="00CA25CF" w:rsidRDefault="002C0FD9" w:rsidP="00CA25CF">
            <w:pPr>
              <w:rPr>
                <w:rFonts w:cs="Arial"/>
                <w:color w:val="FF0000"/>
                <w:sz w:val="21"/>
                <w:szCs w:val="21"/>
              </w:rPr>
            </w:pPr>
          </w:p>
        </w:tc>
        <w:tc>
          <w:tcPr>
            <w:tcW w:w="217" w:type="dxa"/>
          </w:tcPr>
          <w:p w14:paraId="2BA8E55A" w14:textId="77777777" w:rsidR="002C0FD9" w:rsidRPr="00CA25CF" w:rsidRDefault="002C0FD9" w:rsidP="00CA25CF">
            <w:pPr>
              <w:rPr>
                <w:rFonts w:cs="Arial"/>
                <w:color w:val="FF0000"/>
                <w:sz w:val="21"/>
                <w:szCs w:val="21"/>
              </w:rPr>
            </w:pPr>
          </w:p>
        </w:tc>
        <w:tc>
          <w:tcPr>
            <w:tcW w:w="217" w:type="dxa"/>
          </w:tcPr>
          <w:p w14:paraId="09738417" w14:textId="77777777" w:rsidR="002C0FD9" w:rsidRPr="00CA25CF" w:rsidRDefault="002C0FD9" w:rsidP="00CA25CF">
            <w:pPr>
              <w:rPr>
                <w:rFonts w:cs="Arial"/>
                <w:color w:val="FF0000"/>
                <w:sz w:val="21"/>
                <w:szCs w:val="21"/>
              </w:rPr>
            </w:pPr>
          </w:p>
        </w:tc>
        <w:tc>
          <w:tcPr>
            <w:tcW w:w="217" w:type="dxa"/>
          </w:tcPr>
          <w:p w14:paraId="2F9F2A64" w14:textId="77777777" w:rsidR="002C0FD9" w:rsidRPr="00CA25CF" w:rsidRDefault="002C0FD9" w:rsidP="00CA25CF">
            <w:pPr>
              <w:rPr>
                <w:rFonts w:cs="Arial"/>
                <w:color w:val="FF0000"/>
                <w:sz w:val="21"/>
                <w:szCs w:val="21"/>
              </w:rPr>
            </w:pPr>
          </w:p>
        </w:tc>
        <w:tc>
          <w:tcPr>
            <w:tcW w:w="217" w:type="dxa"/>
          </w:tcPr>
          <w:p w14:paraId="082A1579" w14:textId="77777777" w:rsidR="002C0FD9" w:rsidRPr="00CA25CF" w:rsidRDefault="002C0FD9" w:rsidP="00CA25CF">
            <w:pPr>
              <w:rPr>
                <w:rFonts w:cs="Arial"/>
                <w:color w:val="FF0000"/>
                <w:sz w:val="21"/>
                <w:szCs w:val="21"/>
              </w:rPr>
            </w:pPr>
          </w:p>
        </w:tc>
        <w:tc>
          <w:tcPr>
            <w:tcW w:w="217" w:type="dxa"/>
          </w:tcPr>
          <w:p w14:paraId="51867FF3" w14:textId="77777777" w:rsidR="002C0FD9" w:rsidRPr="00CA25CF" w:rsidRDefault="002C0FD9" w:rsidP="00CA25CF">
            <w:pPr>
              <w:rPr>
                <w:rFonts w:cs="Arial"/>
                <w:color w:val="FF0000"/>
                <w:sz w:val="21"/>
                <w:szCs w:val="21"/>
              </w:rPr>
            </w:pPr>
          </w:p>
        </w:tc>
        <w:tc>
          <w:tcPr>
            <w:tcW w:w="217" w:type="dxa"/>
          </w:tcPr>
          <w:p w14:paraId="2FE76193" w14:textId="77777777" w:rsidR="002C0FD9" w:rsidRPr="00CA25CF" w:rsidRDefault="002C0FD9" w:rsidP="00CA25CF">
            <w:pPr>
              <w:rPr>
                <w:rFonts w:cs="Arial"/>
                <w:color w:val="FF0000"/>
                <w:sz w:val="21"/>
                <w:szCs w:val="21"/>
              </w:rPr>
            </w:pPr>
          </w:p>
        </w:tc>
      </w:tr>
      <w:tr w:rsidR="002C0FD9" w:rsidRPr="00A16219" w14:paraId="3795218A" w14:textId="77777777" w:rsidTr="002C0FD9">
        <w:trPr>
          <w:trHeight w:val="635"/>
        </w:trPr>
        <w:tc>
          <w:tcPr>
            <w:tcW w:w="515" w:type="dxa"/>
          </w:tcPr>
          <w:p w14:paraId="6EAD0D84" w14:textId="77777777" w:rsidR="002C0FD9" w:rsidRPr="00CA25CF" w:rsidRDefault="002C0FD9" w:rsidP="00CA25CF">
            <w:pPr>
              <w:rPr>
                <w:rFonts w:cs="Arial"/>
                <w:color w:val="FF0000"/>
                <w:sz w:val="21"/>
                <w:szCs w:val="21"/>
              </w:rPr>
            </w:pPr>
          </w:p>
        </w:tc>
        <w:tc>
          <w:tcPr>
            <w:tcW w:w="217" w:type="dxa"/>
          </w:tcPr>
          <w:p w14:paraId="7FEC802E" w14:textId="77777777" w:rsidR="002C0FD9" w:rsidRPr="00CA25CF" w:rsidRDefault="002C0FD9" w:rsidP="00CA25CF">
            <w:pPr>
              <w:rPr>
                <w:rFonts w:cs="Arial"/>
                <w:color w:val="FF0000"/>
                <w:sz w:val="21"/>
                <w:szCs w:val="21"/>
              </w:rPr>
            </w:pPr>
          </w:p>
        </w:tc>
        <w:tc>
          <w:tcPr>
            <w:tcW w:w="217" w:type="dxa"/>
          </w:tcPr>
          <w:p w14:paraId="2EFE4EE3" w14:textId="77777777" w:rsidR="002C0FD9" w:rsidRPr="00CA25CF" w:rsidRDefault="002C0FD9" w:rsidP="00CA25CF">
            <w:pPr>
              <w:rPr>
                <w:rFonts w:cs="Arial"/>
                <w:color w:val="FF0000"/>
                <w:sz w:val="21"/>
                <w:szCs w:val="21"/>
              </w:rPr>
            </w:pPr>
          </w:p>
        </w:tc>
        <w:tc>
          <w:tcPr>
            <w:tcW w:w="217" w:type="dxa"/>
          </w:tcPr>
          <w:p w14:paraId="6D251CC6" w14:textId="77777777" w:rsidR="002C0FD9" w:rsidRPr="00CA25CF" w:rsidRDefault="002C0FD9" w:rsidP="00CA25CF">
            <w:pPr>
              <w:rPr>
                <w:rFonts w:cs="Arial"/>
                <w:color w:val="FF0000"/>
                <w:sz w:val="21"/>
                <w:szCs w:val="21"/>
              </w:rPr>
            </w:pPr>
          </w:p>
        </w:tc>
        <w:tc>
          <w:tcPr>
            <w:tcW w:w="217" w:type="dxa"/>
          </w:tcPr>
          <w:p w14:paraId="43CDCE9E" w14:textId="77777777" w:rsidR="002C0FD9" w:rsidRPr="00CA25CF" w:rsidRDefault="002C0FD9" w:rsidP="00CA25CF">
            <w:pPr>
              <w:rPr>
                <w:rFonts w:cs="Arial"/>
                <w:color w:val="FF0000"/>
                <w:sz w:val="21"/>
                <w:szCs w:val="21"/>
              </w:rPr>
            </w:pPr>
          </w:p>
        </w:tc>
        <w:tc>
          <w:tcPr>
            <w:tcW w:w="217" w:type="dxa"/>
          </w:tcPr>
          <w:p w14:paraId="497C5273" w14:textId="77777777" w:rsidR="002C0FD9" w:rsidRPr="00CA25CF" w:rsidRDefault="002C0FD9" w:rsidP="00CA25CF">
            <w:pPr>
              <w:rPr>
                <w:rFonts w:cs="Arial"/>
                <w:color w:val="FF0000"/>
                <w:sz w:val="21"/>
                <w:szCs w:val="21"/>
              </w:rPr>
            </w:pPr>
          </w:p>
        </w:tc>
        <w:tc>
          <w:tcPr>
            <w:tcW w:w="217" w:type="dxa"/>
          </w:tcPr>
          <w:p w14:paraId="4173D175" w14:textId="77777777" w:rsidR="002C0FD9" w:rsidRPr="00CA25CF" w:rsidRDefault="002C0FD9" w:rsidP="00CA25CF">
            <w:pPr>
              <w:rPr>
                <w:rFonts w:cs="Arial"/>
                <w:color w:val="FF0000"/>
                <w:sz w:val="21"/>
                <w:szCs w:val="21"/>
              </w:rPr>
            </w:pPr>
          </w:p>
        </w:tc>
        <w:tc>
          <w:tcPr>
            <w:tcW w:w="217" w:type="dxa"/>
          </w:tcPr>
          <w:p w14:paraId="13373A84" w14:textId="77777777" w:rsidR="002C0FD9" w:rsidRPr="00CA25CF" w:rsidRDefault="002C0FD9" w:rsidP="00CA25CF">
            <w:pPr>
              <w:rPr>
                <w:rFonts w:cs="Arial"/>
                <w:color w:val="FF0000"/>
                <w:sz w:val="21"/>
                <w:szCs w:val="21"/>
              </w:rPr>
            </w:pPr>
          </w:p>
        </w:tc>
        <w:tc>
          <w:tcPr>
            <w:tcW w:w="217" w:type="dxa"/>
          </w:tcPr>
          <w:p w14:paraId="48CC9898" w14:textId="77777777" w:rsidR="002C0FD9" w:rsidRPr="00CA25CF" w:rsidRDefault="002C0FD9" w:rsidP="00CA25CF">
            <w:pPr>
              <w:rPr>
                <w:rFonts w:cs="Arial"/>
                <w:color w:val="FF0000"/>
                <w:sz w:val="21"/>
                <w:szCs w:val="21"/>
              </w:rPr>
            </w:pPr>
          </w:p>
        </w:tc>
        <w:tc>
          <w:tcPr>
            <w:tcW w:w="217" w:type="dxa"/>
          </w:tcPr>
          <w:p w14:paraId="6C06D35C" w14:textId="77777777" w:rsidR="002C0FD9" w:rsidRPr="00CA25CF" w:rsidRDefault="002C0FD9" w:rsidP="00CA25CF">
            <w:pPr>
              <w:rPr>
                <w:rFonts w:cs="Arial"/>
                <w:color w:val="FF0000"/>
                <w:sz w:val="21"/>
                <w:szCs w:val="21"/>
              </w:rPr>
            </w:pPr>
          </w:p>
        </w:tc>
        <w:tc>
          <w:tcPr>
            <w:tcW w:w="217" w:type="dxa"/>
          </w:tcPr>
          <w:p w14:paraId="5CE76FF3" w14:textId="77777777" w:rsidR="002C0FD9" w:rsidRPr="00CA25CF" w:rsidRDefault="002C0FD9" w:rsidP="00CA25CF">
            <w:pPr>
              <w:rPr>
                <w:rFonts w:cs="Arial"/>
                <w:color w:val="FF0000"/>
                <w:sz w:val="21"/>
                <w:szCs w:val="21"/>
              </w:rPr>
            </w:pPr>
          </w:p>
        </w:tc>
        <w:tc>
          <w:tcPr>
            <w:tcW w:w="217" w:type="dxa"/>
          </w:tcPr>
          <w:p w14:paraId="35BE9CF6" w14:textId="77777777" w:rsidR="002C0FD9" w:rsidRPr="00CA25CF" w:rsidRDefault="002C0FD9" w:rsidP="00CA25CF">
            <w:pPr>
              <w:rPr>
                <w:rFonts w:cs="Arial"/>
                <w:color w:val="FF0000"/>
                <w:sz w:val="21"/>
                <w:szCs w:val="21"/>
              </w:rPr>
            </w:pPr>
          </w:p>
        </w:tc>
        <w:tc>
          <w:tcPr>
            <w:tcW w:w="217" w:type="dxa"/>
          </w:tcPr>
          <w:p w14:paraId="6C98617B" w14:textId="77777777" w:rsidR="002C0FD9" w:rsidRPr="00CA25CF" w:rsidRDefault="002C0FD9" w:rsidP="00CA25CF">
            <w:pPr>
              <w:rPr>
                <w:rFonts w:cs="Arial"/>
                <w:color w:val="FF0000"/>
                <w:sz w:val="21"/>
                <w:szCs w:val="21"/>
              </w:rPr>
            </w:pPr>
          </w:p>
        </w:tc>
        <w:tc>
          <w:tcPr>
            <w:tcW w:w="217" w:type="dxa"/>
          </w:tcPr>
          <w:p w14:paraId="2CE09CE7" w14:textId="77777777" w:rsidR="002C0FD9" w:rsidRPr="00CA25CF" w:rsidRDefault="002C0FD9" w:rsidP="00CA25CF">
            <w:pPr>
              <w:rPr>
                <w:rFonts w:cs="Arial"/>
                <w:color w:val="FF0000"/>
                <w:sz w:val="21"/>
                <w:szCs w:val="21"/>
              </w:rPr>
            </w:pPr>
          </w:p>
        </w:tc>
        <w:tc>
          <w:tcPr>
            <w:tcW w:w="217" w:type="dxa"/>
          </w:tcPr>
          <w:p w14:paraId="3FF00F14" w14:textId="77777777" w:rsidR="002C0FD9" w:rsidRPr="00CA25CF" w:rsidRDefault="002C0FD9" w:rsidP="00CA25CF">
            <w:pPr>
              <w:rPr>
                <w:rFonts w:cs="Arial"/>
                <w:color w:val="FF0000"/>
                <w:sz w:val="21"/>
                <w:szCs w:val="21"/>
              </w:rPr>
            </w:pPr>
          </w:p>
        </w:tc>
        <w:tc>
          <w:tcPr>
            <w:tcW w:w="217" w:type="dxa"/>
          </w:tcPr>
          <w:p w14:paraId="777F3ED7" w14:textId="77777777" w:rsidR="002C0FD9" w:rsidRPr="00CA25CF" w:rsidRDefault="002C0FD9" w:rsidP="00CA25CF">
            <w:pPr>
              <w:rPr>
                <w:rFonts w:cs="Arial"/>
                <w:color w:val="FF0000"/>
                <w:sz w:val="21"/>
                <w:szCs w:val="21"/>
              </w:rPr>
            </w:pPr>
          </w:p>
        </w:tc>
        <w:tc>
          <w:tcPr>
            <w:tcW w:w="217" w:type="dxa"/>
          </w:tcPr>
          <w:p w14:paraId="679AB05E" w14:textId="77777777" w:rsidR="002C0FD9" w:rsidRPr="00CA25CF" w:rsidRDefault="002C0FD9" w:rsidP="00CA25CF">
            <w:pPr>
              <w:rPr>
                <w:rFonts w:cs="Arial"/>
                <w:color w:val="FF0000"/>
                <w:sz w:val="21"/>
                <w:szCs w:val="21"/>
              </w:rPr>
            </w:pPr>
          </w:p>
        </w:tc>
        <w:tc>
          <w:tcPr>
            <w:tcW w:w="217" w:type="dxa"/>
          </w:tcPr>
          <w:p w14:paraId="346D0680" w14:textId="77777777" w:rsidR="002C0FD9" w:rsidRPr="00CA25CF" w:rsidRDefault="002C0FD9" w:rsidP="00CA25CF">
            <w:pPr>
              <w:rPr>
                <w:rFonts w:cs="Arial"/>
                <w:color w:val="FF0000"/>
                <w:sz w:val="21"/>
                <w:szCs w:val="21"/>
              </w:rPr>
            </w:pPr>
          </w:p>
        </w:tc>
        <w:tc>
          <w:tcPr>
            <w:tcW w:w="217" w:type="dxa"/>
          </w:tcPr>
          <w:p w14:paraId="559F3C1C" w14:textId="77777777" w:rsidR="002C0FD9" w:rsidRPr="00CA25CF" w:rsidRDefault="002C0FD9" w:rsidP="00CA25CF">
            <w:pPr>
              <w:rPr>
                <w:rFonts w:cs="Arial"/>
                <w:color w:val="FF0000"/>
                <w:sz w:val="21"/>
                <w:szCs w:val="21"/>
              </w:rPr>
            </w:pPr>
          </w:p>
        </w:tc>
        <w:tc>
          <w:tcPr>
            <w:tcW w:w="217" w:type="dxa"/>
          </w:tcPr>
          <w:p w14:paraId="58D1CF51" w14:textId="77777777" w:rsidR="002C0FD9" w:rsidRPr="00CA25CF" w:rsidRDefault="002C0FD9" w:rsidP="00CA25CF">
            <w:pPr>
              <w:rPr>
                <w:rFonts w:cs="Arial"/>
                <w:color w:val="FF0000"/>
                <w:sz w:val="21"/>
                <w:szCs w:val="21"/>
              </w:rPr>
            </w:pPr>
          </w:p>
        </w:tc>
        <w:tc>
          <w:tcPr>
            <w:tcW w:w="217" w:type="dxa"/>
          </w:tcPr>
          <w:p w14:paraId="040B4BC4" w14:textId="77777777" w:rsidR="002C0FD9" w:rsidRPr="00CA25CF" w:rsidRDefault="002C0FD9" w:rsidP="00CA25CF">
            <w:pPr>
              <w:rPr>
                <w:rFonts w:cs="Arial"/>
                <w:color w:val="FF0000"/>
                <w:sz w:val="21"/>
                <w:szCs w:val="21"/>
              </w:rPr>
            </w:pPr>
          </w:p>
        </w:tc>
        <w:tc>
          <w:tcPr>
            <w:tcW w:w="217" w:type="dxa"/>
          </w:tcPr>
          <w:p w14:paraId="406662EA" w14:textId="77777777" w:rsidR="002C0FD9" w:rsidRPr="00CA25CF" w:rsidRDefault="002C0FD9" w:rsidP="00CA25CF">
            <w:pPr>
              <w:rPr>
                <w:rFonts w:cs="Arial"/>
                <w:color w:val="FF0000"/>
                <w:sz w:val="21"/>
                <w:szCs w:val="21"/>
              </w:rPr>
            </w:pPr>
          </w:p>
        </w:tc>
        <w:tc>
          <w:tcPr>
            <w:tcW w:w="217" w:type="dxa"/>
          </w:tcPr>
          <w:p w14:paraId="32ED7424" w14:textId="77777777" w:rsidR="002C0FD9" w:rsidRPr="00CA25CF" w:rsidRDefault="002C0FD9" w:rsidP="00CA25CF">
            <w:pPr>
              <w:rPr>
                <w:rFonts w:cs="Arial"/>
                <w:color w:val="FF0000"/>
                <w:sz w:val="21"/>
                <w:szCs w:val="21"/>
              </w:rPr>
            </w:pPr>
          </w:p>
        </w:tc>
        <w:tc>
          <w:tcPr>
            <w:tcW w:w="217" w:type="dxa"/>
          </w:tcPr>
          <w:p w14:paraId="5A8D4758" w14:textId="77777777" w:rsidR="002C0FD9" w:rsidRPr="00CA25CF" w:rsidRDefault="002C0FD9" w:rsidP="00CA25CF">
            <w:pPr>
              <w:rPr>
                <w:rFonts w:cs="Arial"/>
                <w:color w:val="FF0000"/>
                <w:sz w:val="21"/>
                <w:szCs w:val="21"/>
              </w:rPr>
            </w:pPr>
          </w:p>
        </w:tc>
        <w:tc>
          <w:tcPr>
            <w:tcW w:w="217" w:type="dxa"/>
          </w:tcPr>
          <w:p w14:paraId="78F6D2A2" w14:textId="77777777" w:rsidR="002C0FD9" w:rsidRPr="00CA25CF" w:rsidRDefault="002C0FD9" w:rsidP="00CA25CF">
            <w:pPr>
              <w:rPr>
                <w:rFonts w:cs="Arial"/>
                <w:color w:val="FF0000"/>
                <w:sz w:val="21"/>
                <w:szCs w:val="21"/>
              </w:rPr>
            </w:pPr>
          </w:p>
        </w:tc>
        <w:tc>
          <w:tcPr>
            <w:tcW w:w="217" w:type="dxa"/>
          </w:tcPr>
          <w:p w14:paraId="2FFB7E9F" w14:textId="77777777" w:rsidR="002C0FD9" w:rsidRPr="00CA25CF" w:rsidRDefault="002C0FD9" w:rsidP="00CA25CF">
            <w:pPr>
              <w:rPr>
                <w:rFonts w:cs="Arial"/>
                <w:color w:val="FF0000"/>
                <w:sz w:val="21"/>
                <w:szCs w:val="21"/>
              </w:rPr>
            </w:pPr>
          </w:p>
        </w:tc>
        <w:tc>
          <w:tcPr>
            <w:tcW w:w="217" w:type="dxa"/>
          </w:tcPr>
          <w:p w14:paraId="5E3577A5" w14:textId="77777777" w:rsidR="002C0FD9" w:rsidRPr="00CA25CF" w:rsidRDefault="002C0FD9" w:rsidP="00CA25CF">
            <w:pPr>
              <w:rPr>
                <w:rFonts w:cs="Arial"/>
                <w:color w:val="FF0000"/>
                <w:sz w:val="21"/>
                <w:szCs w:val="21"/>
              </w:rPr>
            </w:pPr>
          </w:p>
        </w:tc>
        <w:tc>
          <w:tcPr>
            <w:tcW w:w="217" w:type="dxa"/>
          </w:tcPr>
          <w:p w14:paraId="443BE5A2" w14:textId="77777777" w:rsidR="002C0FD9" w:rsidRPr="00CA25CF" w:rsidRDefault="002C0FD9" w:rsidP="00CA25CF">
            <w:pPr>
              <w:rPr>
                <w:rFonts w:cs="Arial"/>
                <w:color w:val="FF0000"/>
                <w:sz w:val="21"/>
                <w:szCs w:val="21"/>
              </w:rPr>
            </w:pPr>
          </w:p>
        </w:tc>
        <w:tc>
          <w:tcPr>
            <w:tcW w:w="217" w:type="dxa"/>
          </w:tcPr>
          <w:p w14:paraId="48E558E2" w14:textId="77777777" w:rsidR="002C0FD9" w:rsidRPr="00CA25CF" w:rsidRDefault="002C0FD9" w:rsidP="00CA25CF">
            <w:pPr>
              <w:rPr>
                <w:rFonts w:cs="Arial"/>
                <w:color w:val="FF0000"/>
                <w:sz w:val="21"/>
                <w:szCs w:val="21"/>
              </w:rPr>
            </w:pPr>
          </w:p>
        </w:tc>
        <w:tc>
          <w:tcPr>
            <w:tcW w:w="217" w:type="dxa"/>
          </w:tcPr>
          <w:p w14:paraId="218FB88F" w14:textId="77777777" w:rsidR="002C0FD9" w:rsidRPr="00CA25CF" w:rsidRDefault="002C0FD9" w:rsidP="00CA25CF">
            <w:pPr>
              <w:rPr>
                <w:rFonts w:cs="Arial"/>
                <w:color w:val="FF0000"/>
                <w:sz w:val="21"/>
                <w:szCs w:val="21"/>
              </w:rPr>
            </w:pPr>
          </w:p>
        </w:tc>
        <w:tc>
          <w:tcPr>
            <w:tcW w:w="217" w:type="dxa"/>
          </w:tcPr>
          <w:p w14:paraId="21A8135A" w14:textId="77777777" w:rsidR="002C0FD9" w:rsidRPr="00CA25CF" w:rsidRDefault="002C0FD9" w:rsidP="00CA25CF">
            <w:pPr>
              <w:rPr>
                <w:rFonts w:cs="Arial"/>
                <w:color w:val="FF0000"/>
                <w:sz w:val="21"/>
                <w:szCs w:val="21"/>
              </w:rPr>
            </w:pPr>
          </w:p>
        </w:tc>
        <w:tc>
          <w:tcPr>
            <w:tcW w:w="217" w:type="dxa"/>
          </w:tcPr>
          <w:p w14:paraId="47FB2F86" w14:textId="77777777" w:rsidR="002C0FD9" w:rsidRPr="00CA25CF" w:rsidRDefault="002C0FD9" w:rsidP="00CA25CF">
            <w:pPr>
              <w:rPr>
                <w:rFonts w:cs="Arial"/>
                <w:color w:val="FF0000"/>
                <w:sz w:val="21"/>
                <w:szCs w:val="21"/>
              </w:rPr>
            </w:pPr>
          </w:p>
        </w:tc>
        <w:tc>
          <w:tcPr>
            <w:tcW w:w="217" w:type="dxa"/>
          </w:tcPr>
          <w:p w14:paraId="0A5AFAA1" w14:textId="77777777" w:rsidR="002C0FD9" w:rsidRPr="00CA25CF" w:rsidRDefault="002C0FD9" w:rsidP="00CA25CF">
            <w:pPr>
              <w:rPr>
                <w:rFonts w:cs="Arial"/>
                <w:color w:val="FF0000"/>
                <w:sz w:val="21"/>
                <w:szCs w:val="21"/>
              </w:rPr>
            </w:pPr>
          </w:p>
        </w:tc>
        <w:tc>
          <w:tcPr>
            <w:tcW w:w="217" w:type="dxa"/>
          </w:tcPr>
          <w:p w14:paraId="5F4DA8E2" w14:textId="77777777" w:rsidR="002C0FD9" w:rsidRPr="00CA25CF" w:rsidRDefault="002C0FD9" w:rsidP="00CA25CF">
            <w:pPr>
              <w:rPr>
                <w:rFonts w:cs="Arial"/>
                <w:color w:val="FF0000"/>
                <w:sz w:val="21"/>
                <w:szCs w:val="21"/>
              </w:rPr>
            </w:pPr>
          </w:p>
        </w:tc>
        <w:tc>
          <w:tcPr>
            <w:tcW w:w="217" w:type="dxa"/>
          </w:tcPr>
          <w:p w14:paraId="4154E15C" w14:textId="77777777" w:rsidR="002C0FD9" w:rsidRPr="00CA25CF" w:rsidRDefault="002C0FD9" w:rsidP="00CA25CF">
            <w:pPr>
              <w:rPr>
                <w:rFonts w:cs="Arial"/>
                <w:color w:val="FF0000"/>
                <w:sz w:val="21"/>
                <w:szCs w:val="21"/>
              </w:rPr>
            </w:pPr>
          </w:p>
        </w:tc>
        <w:tc>
          <w:tcPr>
            <w:tcW w:w="217" w:type="dxa"/>
          </w:tcPr>
          <w:p w14:paraId="7056588A" w14:textId="77777777" w:rsidR="002C0FD9" w:rsidRPr="00CA25CF" w:rsidRDefault="002C0FD9" w:rsidP="00CA25CF">
            <w:pPr>
              <w:rPr>
                <w:rFonts w:cs="Arial"/>
                <w:color w:val="FF0000"/>
                <w:sz w:val="21"/>
                <w:szCs w:val="21"/>
              </w:rPr>
            </w:pPr>
          </w:p>
        </w:tc>
        <w:tc>
          <w:tcPr>
            <w:tcW w:w="217" w:type="dxa"/>
          </w:tcPr>
          <w:p w14:paraId="3B8FA955" w14:textId="77777777" w:rsidR="002C0FD9" w:rsidRPr="00CA25CF" w:rsidRDefault="002C0FD9" w:rsidP="00CA25CF">
            <w:pPr>
              <w:rPr>
                <w:rFonts w:cs="Arial"/>
                <w:color w:val="FF0000"/>
                <w:sz w:val="21"/>
                <w:szCs w:val="21"/>
              </w:rPr>
            </w:pPr>
          </w:p>
        </w:tc>
        <w:tc>
          <w:tcPr>
            <w:tcW w:w="217" w:type="dxa"/>
          </w:tcPr>
          <w:p w14:paraId="115FFDD2" w14:textId="77777777" w:rsidR="002C0FD9" w:rsidRPr="00CA25CF" w:rsidRDefault="002C0FD9" w:rsidP="00CA25CF">
            <w:pPr>
              <w:rPr>
                <w:rFonts w:cs="Arial"/>
                <w:color w:val="FF0000"/>
                <w:sz w:val="21"/>
                <w:szCs w:val="21"/>
              </w:rPr>
            </w:pPr>
          </w:p>
        </w:tc>
        <w:tc>
          <w:tcPr>
            <w:tcW w:w="217" w:type="dxa"/>
          </w:tcPr>
          <w:p w14:paraId="2A990FE5" w14:textId="77777777" w:rsidR="002C0FD9" w:rsidRPr="00CA25CF" w:rsidRDefault="002C0FD9" w:rsidP="00CA25CF">
            <w:pPr>
              <w:rPr>
                <w:rFonts w:cs="Arial"/>
                <w:color w:val="FF0000"/>
                <w:sz w:val="21"/>
                <w:szCs w:val="21"/>
              </w:rPr>
            </w:pPr>
          </w:p>
        </w:tc>
        <w:tc>
          <w:tcPr>
            <w:tcW w:w="217" w:type="dxa"/>
          </w:tcPr>
          <w:p w14:paraId="4D039D48" w14:textId="77777777" w:rsidR="002C0FD9" w:rsidRPr="00CA25CF" w:rsidRDefault="002C0FD9" w:rsidP="00CA25CF">
            <w:pPr>
              <w:rPr>
                <w:rFonts w:cs="Arial"/>
                <w:color w:val="FF0000"/>
                <w:sz w:val="21"/>
                <w:szCs w:val="21"/>
              </w:rPr>
            </w:pPr>
          </w:p>
        </w:tc>
        <w:tc>
          <w:tcPr>
            <w:tcW w:w="217" w:type="dxa"/>
          </w:tcPr>
          <w:p w14:paraId="1EB5ABE0" w14:textId="77777777" w:rsidR="002C0FD9" w:rsidRPr="00CA25CF" w:rsidRDefault="002C0FD9" w:rsidP="00CA25CF">
            <w:pPr>
              <w:rPr>
                <w:rFonts w:cs="Arial"/>
                <w:color w:val="FF0000"/>
                <w:sz w:val="21"/>
                <w:szCs w:val="21"/>
              </w:rPr>
            </w:pPr>
          </w:p>
        </w:tc>
        <w:tc>
          <w:tcPr>
            <w:tcW w:w="217" w:type="dxa"/>
          </w:tcPr>
          <w:p w14:paraId="3A8F6640" w14:textId="77777777" w:rsidR="002C0FD9" w:rsidRPr="00CA25CF" w:rsidRDefault="002C0FD9" w:rsidP="00CA25CF">
            <w:pPr>
              <w:rPr>
                <w:rFonts w:cs="Arial"/>
                <w:color w:val="FF0000"/>
                <w:sz w:val="21"/>
                <w:szCs w:val="21"/>
              </w:rPr>
            </w:pPr>
          </w:p>
        </w:tc>
        <w:tc>
          <w:tcPr>
            <w:tcW w:w="217" w:type="dxa"/>
          </w:tcPr>
          <w:p w14:paraId="2A526FBB" w14:textId="77777777" w:rsidR="002C0FD9" w:rsidRPr="00CA25CF" w:rsidRDefault="002C0FD9" w:rsidP="00CA25CF">
            <w:pPr>
              <w:rPr>
                <w:rFonts w:cs="Arial"/>
                <w:color w:val="FF0000"/>
                <w:sz w:val="21"/>
                <w:szCs w:val="21"/>
              </w:rPr>
            </w:pPr>
          </w:p>
        </w:tc>
      </w:tr>
      <w:tr w:rsidR="002C0FD9" w:rsidRPr="00A16219" w14:paraId="0DF9A980" w14:textId="77777777" w:rsidTr="002C0FD9">
        <w:trPr>
          <w:trHeight w:val="635"/>
        </w:trPr>
        <w:tc>
          <w:tcPr>
            <w:tcW w:w="515" w:type="dxa"/>
          </w:tcPr>
          <w:p w14:paraId="6F348558" w14:textId="77777777" w:rsidR="002C0FD9" w:rsidRPr="00CA25CF" w:rsidRDefault="002C0FD9" w:rsidP="00CA25CF">
            <w:pPr>
              <w:rPr>
                <w:rFonts w:cs="Arial"/>
                <w:color w:val="FF0000"/>
                <w:sz w:val="21"/>
                <w:szCs w:val="21"/>
              </w:rPr>
            </w:pPr>
          </w:p>
        </w:tc>
        <w:tc>
          <w:tcPr>
            <w:tcW w:w="217" w:type="dxa"/>
          </w:tcPr>
          <w:p w14:paraId="4CEC757B" w14:textId="77777777" w:rsidR="002C0FD9" w:rsidRPr="00CA25CF" w:rsidRDefault="002C0FD9" w:rsidP="00CA25CF">
            <w:pPr>
              <w:rPr>
                <w:rFonts w:cs="Arial"/>
                <w:color w:val="FF0000"/>
                <w:sz w:val="21"/>
                <w:szCs w:val="21"/>
              </w:rPr>
            </w:pPr>
          </w:p>
        </w:tc>
        <w:tc>
          <w:tcPr>
            <w:tcW w:w="217" w:type="dxa"/>
          </w:tcPr>
          <w:p w14:paraId="2663DAE8" w14:textId="77777777" w:rsidR="002C0FD9" w:rsidRPr="00CA25CF" w:rsidRDefault="002C0FD9" w:rsidP="00CA25CF">
            <w:pPr>
              <w:rPr>
                <w:rFonts w:cs="Arial"/>
                <w:color w:val="FF0000"/>
                <w:sz w:val="21"/>
                <w:szCs w:val="21"/>
              </w:rPr>
            </w:pPr>
          </w:p>
        </w:tc>
        <w:tc>
          <w:tcPr>
            <w:tcW w:w="217" w:type="dxa"/>
          </w:tcPr>
          <w:p w14:paraId="5FD1CD59" w14:textId="77777777" w:rsidR="002C0FD9" w:rsidRPr="00CA25CF" w:rsidRDefault="002C0FD9" w:rsidP="00CA25CF">
            <w:pPr>
              <w:rPr>
                <w:rFonts w:cs="Arial"/>
                <w:color w:val="FF0000"/>
                <w:sz w:val="21"/>
                <w:szCs w:val="21"/>
              </w:rPr>
            </w:pPr>
          </w:p>
        </w:tc>
        <w:tc>
          <w:tcPr>
            <w:tcW w:w="217" w:type="dxa"/>
          </w:tcPr>
          <w:p w14:paraId="0EBFABB9" w14:textId="77777777" w:rsidR="002C0FD9" w:rsidRPr="00CA25CF" w:rsidRDefault="002C0FD9" w:rsidP="00CA25CF">
            <w:pPr>
              <w:rPr>
                <w:rFonts w:cs="Arial"/>
                <w:color w:val="FF0000"/>
                <w:sz w:val="21"/>
                <w:szCs w:val="21"/>
              </w:rPr>
            </w:pPr>
          </w:p>
        </w:tc>
        <w:tc>
          <w:tcPr>
            <w:tcW w:w="217" w:type="dxa"/>
          </w:tcPr>
          <w:p w14:paraId="6A2B8A42" w14:textId="77777777" w:rsidR="002C0FD9" w:rsidRPr="00CA25CF" w:rsidRDefault="002C0FD9" w:rsidP="00CA25CF">
            <w:pPr>
              <w:rPr>
                <w:rFonts w:cs="Arial"/>
                <w:color w:val="FF0000"/>
                <w:sz w:val="21"/>
                <w:szCs w:val="21"/>
              </w:rPr>
            </w:pPr>
          </w:p>
        </w:tc>
        <w:tc>
          <w:tcPr>
            <w:tcW w:w="217" w:type="dxa"/>
          </w:tcPr>
          <w:p w14:paraId="2363ECB5" w14:textId="77777777" w:rsidR="002C0FD9" w:rsidRPr="00CA25CF" w:rsidRDefault="002C0FD9" w:rsidP="00CA25CF">
            <w:pPr>
              <w:rPr>
                <w:rFonts w:cs="Arial"/>
                <w:color w:val="FF0000"/>
                <w:sz w:val="21"/>
                <w:szCs w:val="21"/>
              </w:rPr>
            </w:pPr>
          </w:p>
        </w:tc>
        <w:tc>
          <w:tcPr>
            <w:tcW w:w="217" w:type="dxa"/>
          </w:tcPr>
          <w:p w14:paraId="4B7C905A" w14:textId="77777777" w:rsidR="002C0FD9" w:rsidRPr="00CA25CF" w:rsidRDefault="002C0FD9" w:rsidP="00CA25CF">
            <w:pPr>
              <w:rPr>
                <w:rFonts w:cs="Arial"/>
                <w:color w:val="FF0000"/>
                <w:sz w:val="21"/>
                <w:szCs w:val="21"/>
              </w:rPr>
            </w:pPr>
          </w:p>
        </w:tc>
        <w:tc>
          <w:tcPr>
            <w:tcW w:w="217" w:type="dxa"/>
          </w:tcPr>
          <w:p w14:paraId="04BABA2B" w14:textId="77777777" w:rsidR="002C0FD9" w:rsidRPr="00CA25CF" w:rsidRDefault="002C0FD9" w:rsidP="00CA25CF">
            <w:pPr>
              <w:rPr>
                <w:rFonts w:cs="Arial"/>
                <w:color w:val="FF0000"/>
                <w:sz w:val="21"/>
                <w:szCs w:val="21"/>
              </w:rPr>
            </w:pPr>
          </w:p>
        </w:tc>
        <w:tc>
          <w:tcPr>
            <w:tcW w:w="217" w:type="dxa"/>
          </w:tcPr>
          <w:p w14:paraId="0A84C590" w14:textId="77777777" w:rsidR="002C0FD9" w:rsidRPr="00CA25CF" w:rsidRDefault="002C0FD9" w:rsidP="00CA25CF">
            <w:pPr>
              <w:rPr>
                <w:rFonts w:cs="Arial"/>
                <w:color w:val="FF0000"/>
                <w:sz w:val="21"/>
                <w:szCs w:val="21"/>
              </w:rPr>
            </w:pPr>
          </w:p>
        </w:tc>
        <w:tc>
          <w:tcPr>
            <w:tcW w:w="217" w:type="dxa"/>
          </w:tcPr>
          <w:p w14:paraId="229BD2CC" w14:textId="77777777" w:rsidR="002C0FD9" w:rsidRPr="00CA25CF" w:rsidRDefault="002C0FD9" w:rsidP="00CA25CF">
            <w:pPr>
              <w:rPr>
                <w:rFonts w:cs="Arial"/>
                <w:color w:val="FF0000"/>
                <w:sz w:val="21"/>
                <w:szCs w:val="21"/>
              </w:rPr>
            </w:pPr>
          </w:p>
        </w:tc>
        <w:tc>
          <w:tcPr>
            <w:tcW w:w="217" w:type="dxa"/>
          </w:tcPr>
          <w:p w14:paraId="4EF29966" w14:textId="77777777" w:rsidR="002C0FD9" w:rsidRPr="00CA25CF" w:rsidRDefault="002C0FD9" w:rsidP="00CA25CF">
            <w:pPr>
              <w:rPr>
                <w:rFonts w:cs="Arial"/>
                <w:color w:val="FF0000"/>
                <w:sz w:val="21"/>
                <w:szCs w:val="21"/>
              </w:rPr>
            </w:pPr>
          </w:p>
        </w:tc>
        <w:tc>
          <w:tcPr>
            <w:tcW w:w="217" w:type="dxa"/>
          </w:tcPr>
          <w:p w14:paraId="4BF3CE39" w14:textId="77777777" w:rsidR="002C0FD9" w:rsidRPr="00CA25CF" w:rsidRDefault="002C0FD9" w:rsidP="00CA25CF">
            <w:pPr>
              <w:rPr>
                <w:rFonts w:cs="Arial"/>
                <w:color w:val="FF0000"/>
                <w:sz w:val="21"/>
                <w:szCs w:val="21"/>
              </w:rPr>
            </w:pPr>
          </w:p>
        </w:tc>
        <w:tc>
          <w:tcPr>
            <w:tcW w:w="217" w:type="dxa"/>
          </w:tcPr>
          <w:p w14:paraId="633B3753" w14:textId="77777777" w:rsidR="002C0FD9" w:rsidRPr="00CA25CF" w:rsidRDefault="002C0FD9" w:rsidP="00CA25CF">
            <w:pPr>
              <w:rPr>
                <w:rFonts w:cs="Arial"/>
                <w:color w:val="FF0000"/>
                <w:sz w:val="21"/>
                <w:szCs w:val="21"/>
              </w:rPr>
            </w:pPr>
          </w:p>
        </w:tc>
        <w:tc>
          <w:tcPr>
            <w:tcW w:w="217" w:type="dxa"/>
          </w:tcPr>
          <w:p w14:paraId="71C64417" w14:textId="77777777" w:rsidR="002C0FD9" w:rsidRPr="00CA25CF" w:rsidRDefault="002C0FD9" w:rsidP="00CA25CF">
            <w:pPr>
              <w:rPr>
                <w:rFonts w:cs="Arial"/>
                <w:color w:val="FF0000"/>
                <w:sz w:val="21"/>
                <w:szCs w:val="21"/>
              </w:rPr>
            </w:pPr>
          </w:p>
        </w:tc>
        <w:tc>
          <w:tcPr>
            <w:tcW w:w="217" w:type="dxa"/>
          </w:tcPr>
          <w:p w14:paraId="5E2F177F" w14:textId="77777777" w:rsidR="002C0FD9" w:rsidRPr="00CA25CF" w:rsidRDefault="002C0FD9" w:rsidP="00CA25CF">
            <w:pPr>
              <w:rPr>
                <w:rFonts w:cs="Arial"/>
                <w:color w:val="FF0000"/>
                <w:sz w:val="21"/>
                <w:szCs w:val="21"/>
              </w:rPr>
            </w:pPr>
          </w:p>
        </w:tc>
        <w:tc>
          <w:tcPr>
            <w:tcW w:w="217" w:type="dxa"/>
          </w:tcPr>
          <w:p w14:paraId="4FA5479D" w14:textId="77777777" w:rsidR="002C0FD9" w:rsidRPr="00CA25CF" w:rsidRDefault="002C0FD9" w:rsidP="00CA25CF">
            <w:pPr>
              <w:rPr>
                <w:rFonts w:cs="Arial"/>
                <w:color w:val="FF0000"/>
                <w:sz w:val="21"/>
                <w:szCs w:val="21"/>
              </w:rPr>
            </w:pPr>
          </w:p>
        </w:tc>
        <w:tc>
          <w:tcPr>
            <w:tcW w:w="217" w:type="dxa"/>
          </w:tcPr>
          <w:p w14:paraId="12B94222" w14:textId="77777777" w:rsidR="002C0FD9" w:rsidRPr="00CA25CF" w:rsidRDefault="002C0FD9" w:rsidP="00CA25CF">
            <w:pPr>
              <w:rPr>
                <w:rFonts w:cs="Arial"/>
                <w:color w:val="FF0000"/>
                <w:sz w:val="21"/>
                <w:szCs w:val="21"/>
              </w:rPr>
            </w:pPr>
          </w:p>
        </w:tc>
        <w:tc>
          <w:tcPr>
            <w:tcW w:w="217" w:type="dxa"/>
          </w:tcPr>
          <w:p w14:paraId="682ABBA3" w14:textId="77777777" w:rsidR="002C0FD9" w:rsidRPr="00CA25CF" w:rsidRDefault="002C0FD9" w:rsidP="00CA25CF">
            <w:pPr>
              <w:rPr>
                <w:rFonts w:cs="Arial"/>
                <w:color w:val="FF0000"/>
                <w:sz w:val="21"/>
                <w:szCs w:val="21"/>
              </w:rPr>
            </w:pPr>
          </w:p>
        </w:tc>
        <w:tc>
          <w:tcPr>
            <w:tcW w:w="217" w:type="dxa"/>
          </w:tcPr>
          <w:p w14:paraId="4A6D3947" w14:textId="77777777" w:rsidR="002C0FD9" w:rsidRPr="00CA25CF" w:rsidRDefault="002C0FD9" w:rsidP="00CA25CF">
            <w:pPr>
              <w:rPr>
                <w:rFonts w:cs="Arial"/>
                <w:color w:val="FF0000"/>
                <w:sz w:val="21"/>
                <w:szCs w:val="21"/>
              </w:rPr>
            </w:pPr>
          </w:p>
        </w:tc>
        <w:tc>
          <w:tcPr>
            <w:tcW w:w="217" w:type="dxa"/>
          </w:tcPr>
          <w:p w14:paraId="5B3B2332" w14:textId="77777777" w:rsidR="002C0FD9" w:rsidRPr="00CA25CF" w:rsidRDefault="002C0FD9" w:rsidP="00CA25CF">
            <w:pPr>
              <w:rPr>
                <w:rFonts w:cs="Arial"/>
                <w:color w:val="FF0000"/>
                <w:sz w:val="21"/>
                <w:szCs w:val="21"/>
              </w:rPr>
            </w:pPr>
          </w:p>
        </w:tc>
        <w:tc>
          <w:tcPr>
            <w:tcW w:w="217" w:type="dxa"/>
          </w:tcPr>
          <w:p w14:paraId="06C21D2B" w14:textId="77777777" w:rsidR="002C0FD9" w:rsidRPr="00CA25CF" w:rsidRDefault="002C0FD9" w:rsidP="00CA25CF">
            <w:pPr>
              <w:rPr>
                <w:rFonts w:cs="Arial"/>
                <w:color w:val="FF0000"/>
                <w:sz w:val="21"/>
                <w:szCs w:val="21"/>
              </w:rPr>
            </w:pPr>
          </w:p>
        </w:tc>
        <w:tc>
          <w:tcPr>
            <w:tcW w:w="217" w:type="dxa"/>
          </w:tcPr>
          <w:p w14:paraId="5FE5B297" w14:textId="77777777" w:rsidR="002C0FD9" w:rsidRPr="00CA25CF" w:rsidRDefault="002C0FD9" w:rsidP="00CA25CF">
            <w:pPr>
              <w:rPr>
                <w:rFonts w:cs="Arial"/>
                <w:color w:val="FF0000"/>
                <w:sz w:val="21"/>
                <w:szCs w:val="21"/>
              </w:rPr>
            </w:pPr>
          </w:p>
        </w:tc>
        <w:tc>
          <w:tcPr>
            <w:tcW w:w="217" w:type="dxa"/>
          </w:tcPr>
          <w:p w14:paraId="0A013EFF" w14:textId="77777777" w:rsidR="002C0FD9" w:rsidRPr="00CA25CF" w:rsidRDefault="002C0FD9" w:rsidP="00CA25CF">
            <w:pPr>
              <w:rPr>
                <w:rFonts w:cs="Arial"/>
                <w:color w:val="FF0000"/>
                <w:sz w:val="21"/>
                <w:szCs w:val="21"/>
              </w:rPr>
            </w:pPr>
          </w:p>
        </w:tc>
        <w:tc>
          <w:tcPr>
            <w:tcW w:w="217" w:type="dxa"/>
          </w:tcPr>
          <w:p w14:paraId="6CDA84F1" w14:textId="77777777" w:rsidR="002C0FD9" w:rsidRPr="00CA25CF" w:rsidRDefault="002C0FD9" w:rsidP="00CA25CF">
            <w:pPr>
              <w:rPr>
                <w:rFonts w:cs="Arial"/>
                <w:color w:val="FF0000"/>
                <w:sz w:val="21"/>
                <w:szCs w:val="21"/>
              </w:rPr>
            </w:pPr>
          </w:p>
        </w:tc>
        <w:tc>
          <w:tcPr>
            <w:tcW w:w="217" w:type="dxa"/>
          </w:tcPr>
          <w:p w14:paraId="162AF642" w14:textId="77777777" w:rsidR="002C0FD9" w:rsidRPr="00CA25CF" w:rsidRDefault="002C0FD9" w:rsidP="00CA25CF">
            <w:pPr>
              <w:rPr>
                <w:rFonts w:cs="Arial"/>
                <w:color w:val="FF0000"/>
                <w:sz w:val="21"/>
                <w:szCs w:val="21"/>
              </w:rPr>
            </w:pPr>
          </w:p>
        </w:tc>
        <w:tc>
          <w:tcPr>
            <w:tcW w:w="217" w:type="dxa"/>
          </w:tcPr>
          <w:p w14:paraId="0935FA40" w14:textId="77777777" w:rsidR="002C0FD9" w:rsidRPr="00CA25CF" w:rsidRDefault="002C0FD9" w:rsidP="00CA25CF">
            <w:pPr>
              <w:rPr>
                <w:rFonts w:cs="Arial"/>
                <w:color w:val="FF0000"/>
                <w:sz w:val="21"/>
                <w:szCs w:val="21"/>
              </w:rPr>
            </w:pPr>
          </w:p>
        </w:tc>
        <w:tc>
          <w:tcPr>
            <w:tcW w:w="217" w:type="dxa"/>
          </w:tcPr>
          <w:p w14:paraId="76CE2C88" w14:textId="77777777" w:rsidR="002C0FD9" w:rsidRPr="00CA25CF" w:rsidRDefault="002C0FD9" w:rsidP="00CA25CF">
            <w:pPr>
              <w:rPr>
                <w:rFonts w:cs="Arial"/>
                <w:color w:val="FF0000"/>
                <w:sz w:val="21"/>
                <w:szCs w:val="21"/>
              </w:rPr>
            </w:pPr>
          </w:p>
        </w:tc>
        <w:tc>
          <w:tcPr>
            <w:tcW w:w="217" w:type="dxa"/>
          </w:tcPr>
          <w:p w14:paraId="5E8F61F4" w14:textId="77777777" w:rsidR="002C0FD9" w:rsidRPr="00CA25CF" w:rsidRDefault="002C0FD9" w:rsidP="00CA25CF">
            <w:pPr>
              <w:rPr>
                <w:rFonts w:cs="Arial"/>
                <w:color w:val="FF0000"/>
                <w:sz w:val="21"/>
                <w:szCs w:val="21"/>
              </w:rPr>
            </w:pPr>
          </w:p>
        </w:tc>
        <w:tc>
          <w:tcPr>
            <w:tcW w:w="217" w:type="dxa"/>
          </w:tcPr>
          <w:p w14:paraId="3DADB3EB" w14:textId="77777777" w:rsidR="002C0FD9" w:rsidRPr="00CA25CF" w:rsidRDefault="002C0FD9" w:rsidP="00CA25CF">
            <w:pPr>
              <w:rPr>
                <w:rFonts w:cs="Arial"/>
                <w:color w:val="FF0000"/>
                <w:sz w:val="21"/>
                <w:szCs w:val="21"/>
              </w:rPr>
            </w:pPr>
          </w:p>
        </w:tc>
        <w:tc>
          <w:tcPr>
            <w:tcW w:w="217" w:type="dxa"/>
          </w:tcPr>
          <w:p w14:paraId="4BDC15E3" w14:textId="77777777" w:rsidR="002C0FD9" w:rsidRPr="00CA25CF" w:rsidRDefault="002C0FD9" w:rsidP="00CA25CF">
            <w:pPr>
              <w:rPr>
                <w:rFonts w:cs="Arial"/>
                <w:color w:val="FF0000"/>
                <w:sz w:val="21"/>
                <w:szCs w:val="21"/>
              </w:rPr>
            </w:pPr>
          </w:p>
        </w:tc>
        <w:tc>
          <w:tcPr>
            <w:tcW w:w="217" w:type="dxa"/>
          </w:tcPr>
          <w:p w14:paraId="5540854C" w14:textId="77777777" w:rsidR="002C0FD9" w:rsidRPr="00CA25CF" w:rsidRDefault="002C0FD9" w:rsidP="00CA25CF">
            <w:pPr>
              <w:rPr>
                <w:rFonts w:cs="Arial"/>
                <w:color w:val="FF0000"/>
                <w:sz w:val="21"/>
                <w:szCs w:val="21"/>
              </w:rPr>
            </w:pPr>
          </w:p>
        </w:tc>
        <w:tc>
          <w:tcPr>
            <w:tcW w:w="217" w:type="dxa"/>
          </w:tcPr>
          <w:p w14:paraId="27469AAA" w14:textId="77777777" w:rsidR="002C0FD9" w:rsidRPr="00CA25CF" w:rsidRDefault="002C0FD9" w:rsidP="00CA25CF">
            <w:pPr>
              <w:rPr>
                <w:rFonts w:cs="Arial"/>
                <w:color w:val="FF0000"/>
                <w:sz w:val="21"/>
                <w:szCs w:val="21"/>
              </w:rPr>
            </w:pPr>
          </w:p>
        </w:tc>
        <w:tc>
          <w:tcPr>
            <w:tcW w:w="217" w:type="dxa"/>
          </w:tcPr>
          <w:p w14:paraId="5AA82E5E" w14:textId="77777777" w:rsidR="002C0FD9" w:rsidRPr="00CA25CF" w:rsidRDefault="002C0FD9" w:rsidP="00CA25CF">
            <w:pPr>
              <w:rPr>
                <w:rFonts w:cs="Arial"/>
                <w:color w:val="FF0000"/>
                <w:sz w:val="21"/>
                <w:szCs w:val="21"/>
              </w:rPr>
            </w:pPr>
          </w:p>
        </w:tc>
        <w:tc>
          <w:tcPr>
            <w:tcW w:w="217" w:type="dxa"/>
          </w:tcPr>
          <w:p w14:paraId="0107B859" w14:textId="77777777" w:rsidR="002C0FD9" w:rsidRPr="00CA25CF" w:rsidRDefault="002C0FD9" w:rsidP="00CA25CF">
            <w:pPr>
              <w:rPr>
                <w:rFonts w:cs="Arial"/>
                <w:color w:val="FF0000"/>
                <w:sz w:val="21"/>
                <w:szCs w:val="21"/>
              </w:rPr>
            </w:pPr>
          </w:p>
        </w:tc>
        <w:tc>
          <w:tcPr>
            <w:tcW w:w="217" w:type="dxa"/>
          </w:tcPr>
          <w:p w14:paraId="2037ECE6" w14:textId="77777777" w:rsidR="002C0FD9" w:rsidRPr="00CA25CF" w:rsidRDefault="002C0FD9" w:rsidP="00CA25CF">
            <w:pPr>
              <w:rPr>
                <w:rFonts w:cs="Arial"/>
                <w:color w:val="FF0000"/>
                <w:sz w:val="21"/>
                <w:szCs w:val="21"/>
              </w:rPr>
            </w:pPr>
          </w:p>
        </w:tc>
        <w:tc>
          <w:tcPr>
            <w:tcW w:w="217" w:type="dxa"/>
          </w:tcPr>
          <w:p w14:paraId="1C8800BC" w14:textId="77777777" w:rsidR="002C0FD9" w:rsidRPr="00CA25CF" w:rsidRDefault="002C0FD9" w:rsidP="00CA25CF">
            <w:pPr>
              <w:rPr>
                <w:rFonts w:cs="Arial"/>
                <w:color w:val="FF0000"/>
                <w:sz w:val="21"/>
                <w:szCs w:val="21"/>
              </w:rPr>
            </w:pPr>
          </w:p>
        </w:tc>
        <w:tc>
          <w:tcPr>
            <w:tcW w:w="217" w:type="dxa"/>
          </w:tcPr>
          <w:p w14:paraId="2890EEB9" w14:textId="77777777" w:rsidR="002C0FD9" w:rsidRPr="00CA25CF" w:rsidRDefault="002C0FD9" w:rsidP="00CA25CF">
            <w:pPr>
              <w:rPr>
                <w:rFonts w:cs="Arial"/>
                <w:color w:val="FF0000"/>
                <w:sz w:val="21"/>
                <w:szCs w:val="21"/>
              </w:rPr>
            </w:pPr>
          </w:p>
        </w:tc>
        <w:tc>
          <w:tcPr>
            <w:tcW w:w="217" w:type="dxa"/>
          </w:tcPr>
          <w:p w14:paraId="5B22F6CD" w14:textId="77777777" w:rsidR="002C0FD9" w:rsidRPr="00CA25CF" w:rsidRDefault="002C0FD9" w:rsidP="00CA25CF">
            <w:pPr>
              <w:rPr>
                <w:rFonts w:cs="Arial"/>
                <w:color w:val="FF0000"/>
                <w:sz w:val="21"/>
                <w:szCs w:val="21"/>
              </w:rPr>
            </w:pPr>
          </w:p>
        </w:tc>
        <w:tc>
          <w:tcPr>
            <w:tcW w:w="217" w:type="dxa"/>
          </w:tcPr>
          <w:p w14:paraId="6762F285" w14:textId="77777777" w:rsidR="002C0FD9" w:rsidRPr="00CA25CF" w:rsidRDefault="002C0FD9" w:rsidP="00CA25CF">
            <w:pPr>
              <w:rPr>
                <w:rFonts w:cs="Arial"/>
                <w:color w:val="FF0000"/>
                <w:sz w:val="21"/>
                <w:szCs w:val="21"/>
              </w:rPr>
            </w:pPr>
          </w:p>
        </w:tc>
        <w:tc>
          <w:tcPr>
            <w:tcW w:w="217" w:type="dxa"/>
          </w:tcPr>
          <w:p w14:paraId="59FECAF5" w14:textId="77777777" w:rsidR="002C0FD9" w:rsidRPr="00CA25CF" w:rsidRDefault="002C0FD9" w:rsidP="00CA25CF">
            <w:pPr>
              <w:rPr>
                <w:rFonts w:cs="Arial"/>
                <w:color w:val="FF0000"/>
                <w:sz w:val="21"/>
                <w:szCs w:val="21"/>
              </w:rPr>
            </w:pPr>
          </w:p>
        </w:tc>
        <w:tc>
          <w:tcPr>
            <w:tcW w:w="217" w:type="dxa"/>
          </w:tcPr>
          <w:p w14:paraId="1EBCEF66" w14:textId="77777777" w:rsidR="002C0FD9" w:rsidRPr="00CA25CF" w:rsidRDefault="002C0FD9" w:rsidP="00CA25CF">
            <w:pPr>
              <w:rPr>
                <w:rFonts w:cs="Arial"/>
                <w:color w:val="FF0000"/>
                <w:sz w:val="21"/>
                <w:szCs w:val="21"/>
              </w:rPr>
            </w:pPr>
          </w:p>
        </w:tc>
        <w:tc>
          <w:tcPr>
            <w:tcW w:w="217" w:type="dxa"/>
          </w:tcPr>
          <w:p w14:paraId="5138E017" w14:textId="77777777" w:rsidR="002C0FD9" w:rsidRPr="00CA25CF" w:rsidRDefault="002C0FD9" w:rsidP="00CA25CF">
            <w:pPr>
              <w:rPr>
                <w:rFonts w:cs="Arial"/>
                <w:color w:val="FF0000"/>
                <w:sz w:val="21"/>
                <w:szCs w:val="21"/>
              </w:rPr>
            </w:pPr>
          </w:p>
        </w:tc>
      </w:tr>
      <w:tr w:rsidR="002C0FD9" w:rsidRPr="00A16219" w14:paraId="59AD1E1A" w14:textId="77777777" w:rsidTr="002C0FD9">
        <w:trPr>
          <w:trHeight w:val="635"/>
        </w:trPr>
        <w:tc>
          <w:tcPr>
            <w:tcW w:w="515" w:type="dxa"/>
          </w:tcPr>
          <w:p w14:paraId="3DE8507E" w14:textId="77777777" w:rsidR="002C0FD9" w:rsidRPr="00CA25CF" w:rsidRDefault="002C0FD9" w:rsidP="00CA25CF">
            <w:pPr>
              <w:rPr>
                <w:rFonts w:cs="Arial"/>
                <w:color w:val="FF0000"/>
                <w:sz w:val="21"/>
                <w:szCs w:val="21"/>
              </w:rPr>
            </w:pPr>
          </w:p>
        </w:tc>
        <w:tc>
          <w:tcPr>
            <w:tcW w:w="217" w:type="dxa"/>
          </w:tcPr>
          <w:p w14:paraId="1464C612" w14:textId="77777777" w:rsidR="002C0FD9" w:rsidRPr="00CA25CF" w:rsidRDefault="002C0FD9" w:rsidP="00CA25CF">
            <w:pPr>
              <w:rPr>
                <w:rFonts w:cs="Arial"/>
                <w:color w:val="FF0000"/>
                <w:sz w:val="21"/>
                <w:szCs w:val="21"/>
              </w:rPr>
            </w:pPr>
          </w:p>
        </w:tc>
        <w:tc>
          <w:tcPr>
            <w:tcW w:w="217" w:type="dxa"/>
          </w:tcPr>
          <w:p w14:paraId="790F6146" w14:textId="77777777" w:rsidR="002C0FD9" w:rsidRPr="00CA25CF" w:rsidRDefault="002C0FD9" w:rsidP="00CA25CF">
            <w:pPr>
              <w:rPr>
                <w:rFonts w:cs="Arial"/>
                <w:color w:val="FF0000"/>
                <w:sz w:val="21"/>
                <w:szCs w:val="21"/>
              </w:rPr>
            </w:pPr>
          </w:p>
        </w:tc>
        <w:tc>
          <w:tcPr>
            <w:tcW w:w="217" w:type="dxa"/>
          </w:tcPr>
          <w:p w14:paraId="5E13B83C" w14:textId="77777777" w:rsidR="002C0FD9" w:rsidRPr="00CA25CF" w:rsidRDefault="002C0FD9" w:rsidP="00CA25CF">
            <w:pPr>
              <w:rPr>
                <w:rFonts w:cs="Arial"/>
                <w:color w:val="FF0000"/>
                <w:sz w:val="21"/>
                <w:szCs w:val="21"/>
              </w:rPr>
            </w:pPr>
          </w:p>
        </w:tc>
        <w:tc>
          <w:tcPr>
            <w:tcW w:w="217" w:type="dxa"/>
          </w:tcPr>
          <w:p w14:paraId="358FAEBD" w14:textId="77777777" w:rsidR="002C0FD9" w:rsidRPr="00CA25CF" w:rsidRDefault="002C0FD9" w:rsidP="00CA25CF">
            <w:pPr>
              <w:rPr>
                <w:rFonts w:cs="Arial"/>
                <w:color w:val="FF0000"/>
                <w:sz w:val="21"/>
                <w:szCs w:val="21"/>
              </w:rPr>
            </w:pPr>
          </w:p>
        </w:tc>
        <w:tc>
          <w:tcPr>
            <w:tcW w:w="217" w:type="dxa"/>
          </w:tcPr>
          <w:p w14:paraId="642F5370" w14:textId="77777777" w:rsidR="002C0FD9" w:rsidRPr="00CA25CF" w:rsidRDefault="002C0FD9" w:rsidP="00CA25CF">
            <w:pPr>
              <w:rPr>
                <w:rFonts w:cs="Arial"/>
                <w:color w:val="FF0000"/>
                <w:sz w:val="21"/>
                <w:szCs w:val="21"/>
              </w:rPr>
            </w:pPr>
          </w:p>
        </w:tc>
        <w:tc>
          <w:tcPr>
            <w:tcW w:w="217" w:type="dxa"/>
          </w:tcPr>
          <w:p w14:paraId="06A0D42C" w14:textId="77777777" w:rsidR="002C0FD9" w:rsidRPr="00CA25CF" w:rsidRDefault="002C0FD9" w:rsidP="00CA25CF">
            <w:pPr>
              <w:rPr>
                <w:rFonts w:cs="Arial"/>
                <w:color w:val="FF0000"/>
                <w:sz w:val="21"/>
                <w:szCs w:val="21"/>
              </w:rPr>
            </w:pPr>
          </w:p>
        </w:tc>
        <w:tc>
          <w:tcPr>
            <w:tcW w:w="217" w:type="dxa"/>
          </w:tcPr>
          <w:p w14:paraId="62F83F59" w14:textId="77777777" w:rsidR="002C0FD9" w:rsidRPr="00CA25CF" w:rsidRDefault="002C0FD9" w:rsidP="00CA25CF">
            <w:pPr>
              <w:rPr>
                <w:rFonts w:cs="Arial"/>
                <w:color w:val="FF0000"/>
                <w:sz w:val="21"/>
                <w:szCs w:val="21"/>
              </w:rPr>
            </w:pPr>
          </w:p>
        </w:tc>
        <w:tc>
          <w:tcPr>
            <w:tcW w:w="217" w:type="dxa"/>
          </w:tcPr>
          <w:p w14:paraId="68A32F58" w14:textId="77777777" w:rsidR="002C0FD9" w:rsidRPr="00CA25CF" w:rsidRDefault="002C0FD9" w:rsidP="00CA25CF">
            <w:pPr>
              <w:rPr>
                <w:rFonts w:cs="Arial"/>
                <w:color w:val="FF0000"/>
                <w:sz w:val="21"/>
                <w:szCs w:val="21"/>
              </w:rPr>
            </w:pPr>
          </w:p>
        </w:tc>
        <w:tc>
          <w:tcPr>
            <w:tcW w:w="217" w:type="dxa"/>
          </w:tcPr>
          <w:p w14:paraId="575C2007" w14:textId="77777777" w:rsidR="002C0FD9" w:rsidRPr="00CA25CF" w:rsidRDefault="002C0FD9" w:rsidP="00CA25CF">
            <w:pPr>
              <w:rPr>
                <w:rFonts w:cs="Arial"/>
                <w:color w:val="FF0000"/>
                <w:sz w:val="21"/>
                <w:szCs w:val="21"/>
              </w:rPr>
            </w:pPr>
          </w:p>
        </w:tc>
        <w:tc>
          <w:tcPr>
            <w:tcW w:w="217" w:type="dxa"/>
          </w:tcPr>
          <w:p w14:paraId="04459D50" w14:textId="77777777" w:rsidR="002C0FD9" w:rsidRPr="00CA25CF" w:rsidRDefault="002C0FD9" w:rsidP="00CA25CF">
            <w:pPr>
              <w:rPr>
                <w:rFonts w:cs="Arial"/>
                <w:color w:val="FF0000"/>
                <w:sz w:val="21"/>
                <w:szCs w:val="21"/>
              </w:rPr>
            </w:pPr>
          </w:p>
        </w:tc>
        <w:tc>
          <w:tcPr>
            <w:tcW w:w="217" w:type="dxa"/>
          </w:tcPr>
          <w:p w14:paraId="7DB0C7B2" w14:textId="77777777" w:rsidR="002C0FD9" w:rsidRPr="00CA25CF" w:rsidRDefault="002C0FD9" w:rsidP="00CA25CF">
            <w:pPr>
              <w:rPr>
                <w:rFonts w:cs="Arial"/>
                <w:color w:val="FF0000"/>
                <w:sz w:val="21"/>
                <w:szCs w:val="21"/>
              </w:rPr>
            </w:pPr>
          </w:p>
        </w:tc>
        <w:tc>
          <w:tcPr>
            <w:tcW w:w="217" w:type="dxa"/>
          </w:tcPr>
          <w:p w14:paraId="01E9FC5E" w14:textId="77777777" w:rsidR="002C0FD9" w:rsidRPr="00CA25CF" w:rsidRDefault="002C0FD9" w:rsidP="00CA25CF">
            <w:pPr>
              <w:rPr>
                <w:rFonts w:cs="Arial"/>
                <w:color w:val="FF0000"/>
                <w:sz w:val="21"/>
                <w:szCs w:val="21"/>
              </w:rPr>
            </w:pPr>
          </w:p>
        </w:tc>
        <w:tc>
          <w:tcPr>
            <w:tcW w:w="217" w:type="dxa"/>
          </w:tcPr>
          <w:p w14:paraId="088349A4" w14:textId="77777777" w:rsidR="002C0FD9" w:rsidRPr="00CA25CF" w:rsidRDefault="002C0FD9" w:rsidP="00CA25CF">
            <w:pPr>
              <w:rPr>
                <w:rFonts w:cs="Arial"/>
                <w:color w:val="FF0000"/>
                <w:sz w:val="21"/>
                <w:szCs w:val="21"/>
              </w:rPr>
            </w:pPr>
          </w:p>
        </w:tc>
        <w:tc>
          <w:tcPr>
            <w:tcW w:w="217" w:type="dxa"/>
          </w:tcPr>
          <w:p w14:paraId="2FACC17E" w14:textId="77777777" w:rsidR="002C0FD9" w:rsidRPr="00CA25CF" w:rsidRDefault="002C0FD9" w:rsidP="00CA25CF">
            <w:pPr>
              <w:rPr>
                <w:rFonts w:cs="Arial"/>
                <w:color w:val="FF0000"/>
                <w:sz w:val="21"/>
                <w:szCs w:val="21"/>
              </w:rPr>
            </w:pPr>
          </w:p>
        </w:tc>
        <w:tc>
          <w:tcPr>
            <w:tcW w:w="217" w:type="dxa"/>
          </w:tcPr>
          <w:p w14:paraId="1187CFFD" w14:textId="77777777" w:rsidR="002C0FD9" w:rsidRPr="00CA25CF" w:rsidRDefault="002C0FD9" w:rsidP="00CA25CF">
            <w:pPr>
              <w:rPr>
                <w:rFonts w:cs="Arial"/>
                <w:color w:val="FF0000"/>
                <w:sz w:val="21"/>
                <w:szCs w:val="21"/>
              </w:rPr>
            </w:pPr>
          </w:p>
        </w:tc>
        <w:tc>
          <w:tcPr>
            <w:tcW w:w="217" w:type="dxa"/>
          </w:tcPr>
          <w:p w14:paraId="2242E39B" w14:textId="77777777" w:rsidR="002C0FD9" w:rsidRPr="00CA25CF" w:rsidRDefault="002C0FD9" w:rsidP="00CA25CF">
            <w:pPr>
              <w:rPr>
                <w:rFonts w:cs="Arial"/>
                <w:color w:val="FF0000"/>
                <w:sz w:val="21"/>
                <w:szCs w:val="21"/>
              </w:rPr>
            </w:pPr>
          </w:p>
        </w:tc>
        <w:tc>
          <w:tcPr>
            <w:tcW w:w="217" w:type="dxa"/>
          </w:tcPr>
          <w:p w14:paraId="7B228676" w14:textId="77777777" w:rsidR="002C0FD9" w:rsidRPr="00CA25CF" w:rsidRDefault="002C0FD9" w:rsidP="00CA25CF">
            <w:pPr>
              <w:rPr>
                <w:rFonts w:cs="Arial"/>
                <w:color w:val="FF0000"/>
                <w:sz w:val="21"/>
                <w:szCs w:val="21"/>
              </w:rPr>
            </w:pPr>
          </w:p>
        </w:tc>
        <w:tc>
          <w:tcPr>
            <w:tcW w:w="217" w:type="dxa"/>
          </w:tcPr>
          <w:p w14:paraId="768D5A8E" w14:textId="77777777" w:rsidR="002C0FD9" w:rsidRPr="00CA25CF" w:rsidRDefault="002C0FD9" w:rsidP="00CA25CF">
            <w:pPr>
              <w:rPr>
                <w:rFonts w:cs="Arial"/>
                <w:color w:val="FF0000"/>
                <w:sz w:val="21"/>
                <w:szCs w:val="21"/>
              </w:rPr>
            </w:pPr>
          </w:p>
        </w:tc>
        <w:tc>
          <w:tcPr>
            <w:tcW w:w="217" w:type="dxa"/>
          </w:tcPr>
          <w:p w14:paraId="27D80195" w14:textId="77777777" w:rsidR="002C0FD9" w:rsidRPr="00CA25CF" w:rsidRDefault="002C0FD9" w:rsidP="00CA25CF">
            <w:pPr>
              <w:rPr>
                <w:rFonts w:cs="Arial"/>
                <w:color w:val="FF0000"/>
                <w:sz w:val="21"/>
                <w:szCs w:val="21"/>
              </w:rPr>
            </w:pPr>
          </w:p>
        </w:tc>
        <w:tc>
          <w:tcPr>
            <w:tcW w:w="217" w:type="dxa"/>
          </w:tcPr>
          <w:p w14:paraId="24C17EAF" w14:textId="77777777" w:rsidR="002C0FD9" w:rsidRPr="00CA25CF" w:rsidRDefault="002C0FD9" w:rsidP="00CA25CF">
            <w:pPr>
              <w:rPr>
                <w:rFonts w:cs="Arial"/>
                <w:color w:val="FF0000"/>
                <w:sz w:val="21"/>
                <w:szCs w:val="21"/>
              </w:rPr>
            </w:pPr>
          </w:p>
        </w:tc>
        <w:tc>
          <w:tcPr>
            <w:tcW w:w="217" w:type="dxa"/>
          </w:tcPr>
          <w:p w14:paraId="2E25B2FA" w14:textId="77777777" w:rsidR="002C0FD9" w:rsidRPr="00CA25CF" w:rsidRDefault="002C0FD9" w:rsidP="00CA25CF">
            <w:pPr>
              <w:rPr>
                <w:rFonts w:cs="Arial"/>
                <w:color w:val="FF0000"/>
                <w:sz w:val="21"/>
                <w:szCs w:val="21"/>
              </w:rPr>
            </w:pPr>
          </w:p>
        </w:tc>
        <w:tc>
          <w:tcPr>
            <w:tcW w:w="217" w:type="dxa"/>
          </w:tcPr>
          <w:p w14:paraId="774FEB85" w14:textId="77777777" w:rsidR="002C0FD9" w:rsidRPr="00CA25CF" w:rsidRDefault="002C0FD9" w:rsidP="00CA25CF">
            <w:pPr>
              <w:rPr>
                <w:rFonts w:cs="Arial"/>
                <w:color w:val="FF0000"/>
                <w:sz w:val="21"/>
                <w:szCs w:val="21"/>
              </w:rPr>
            </w:pPr>
          </w:p>
        </w:tc>
        <w:tc>
          <w:tcPr>
            <w:tcW w:w="217" w:type="dxa"/>
          </w:tcPr>
          <w:p w14:paraId="500B5131" w14:textId="77777777" w:rsidR="002C0FD9" w:rsidRPr="00CA25CF" w:rsidRDefault="002C0FD9" w:rsidP="00CA25CF">
            <w:pPr>
              <w:rPr>
                <w:rFonts w:cs="Arial"/>
                <w:color w:val="FF0000"/>
                <w:sz w:val="21"/>
                <w:szCs w:val="21"/>
              </w:rPr>
            </w:pPr>
          </w:p>
        </w:tc>
        <w:tc>
          <w:tcPr>
            <w:tcW w:w="217" w:type="dxa"/>
          </w:tcPr>
          <w:p w14:paraId="5D3692A6" w14:textId="77777777" w:rsidR="002C0FD9" w:rsidRPr="00CA25CF" w:rsidRDefault="002C0FD9" w:rsidP="00CA25CF">
            <w:pPr>
              <w:rPr>
                <w:rFonts w:cs="Arial"/>
                <w:color w:val="FF0000"/>
                <w:sz w:val="21"/>
                <w:szCs w:val="21"/>
              </w:rPr>
            </w:pPr>
          </w:p>
        </w:tc>
        <w:tc>
          <w:tcPr>
            <w:tcW w:w="217" w:type="dxa"/>
          </w:tcPr>
          <w:p w14:paraId="11A4DFF2" w14:textId="77777777" w:rsidR="002C0FD9" w:rsidRPr="00CA25CF" w:rsidRDefault="002C0FD9" w:rsidP="00CA25CF">
            <w:pPr>
              <w:rPr>
                <w:rFonts w:cs="Arial"/>
                <w:color w:val="FF0000"/>
                <w:sz w:val="21"/>
                <w:szCs w:val="21"/>
              </w:rPr>
            </w:pPr>
          </w:p>
        </w:tc>
        <w:tc>
          <w:tcPr>
            <w:tcW w:w="217" w:type="dxa"/>
          </w:tcPr>
          <w:p w14:paraId="7D300121" w14:textId="77777777" w:rsidR="002C0FD9" w:rsidRPr="00CA25CF" w:rsidRDefault="002C0FD9" w:rsidP="00CA25CF">
            <w:pPr>
              <w:rPr>
                <w:rFonts w:cs="Arial"/>
                <w:color w:val="FF0000"/>
                <w:sz w:val="21"/>
                <w:szCs w:val="21"/>
              </w:rPr>
            </w:pPr>
          </w:p>
        </w:tc>
        <w:tc>
          <w:tcPr>
            <w:tcW w:w="217" w:type="dxa"/>
          </w:tcPr>
          <w:p w14:paraId="35A8545D" w14:textId="77777777" w:rsidR="002C0FD9" w:rsidRPr="00CA25CF" w:rsidRDefault="002C0FD9" w:rsidP="00CA25CF">
            <w:pPr>
              <w:rPr>
                <w:rFonts w:cs="Arial"/>
                <w:color w:val="FF0000"/>
                <w:sz w:val="21"/>
                <w:szCs w:val="21"/>
              </w:rPr>
            </w:pPr>
          </w:p>
        </w:tc>
        <w:tc>
          <w:tcPr>
            <w:tcW w:w="217" w:type="dxa"/>
          </w:tcPr>
          <w:p w14:paraId="15B9338D" w14:textId="77777777" w:rsidR="002C0FD9" w:rsidRPr="00CA25CF" w:rsidRDefault="002C0FD9" w:rsidP="00CA25CF">
            <w:pPr>
              <w:rPr>
                <w:rFonts w:cs="Arial"/>
                <w:color w:val="FF0000"/>
                <w:sz w:val="21"/>
                <w:szCs w:val="21"/>
              </w:rPr>
            </w:pPr>
          </w:p>
        </w:tc>
        <w:tc>
          <w:tcPr>
            <w:tcW w:w="217" w:type="dxa"/>
          </w:tcPr>
          <w:p w14:paraId="7CFB71CD" w14:textId="77777777" w:rsidR="002C0FD9" w:rsidRPr="00CA25CF" w:rsidRDefault="002C0FD9" w:rsidP="00CA25CF">
            <w:pPr>
              <w:rPr>
                <w:rFonts w:cs="Arial"/>
                <w:color w:val="FF0000"/>
                <w:sz w:val="21"/>
                <w:szCs w:val="21"/>
              </w:rPr>
            </w:pPr>
          </w:p>
        </w:tc>
        <w:tc>
          <w:tcPr>
            <w:tcW w:w="217" w:type="dxa"/>
          </w:tcPr>
          <w:p w14:paraId="5549AD8C" w14:textId="77777777" w:rsidR="002C0FD9" w:rsidRPr="00CA25CF" w:rsidRDefault="002C0FD9" w:rsidP="00CA25CF">
            <w:pPr>
              <w:rPr>
                <w:rFonts w:cs="Arial"/>
                <w:color w:val="FF0000"/>
                <w:sz w:val="21"/>
                <w:szCs w:val="21"/>
              </w:rPr>
            </w:pPr>
          </w:p>
        </w:tc>
        <w:tc>
          <w:tcPr>
            <w:tcW w:w="217" w:type="dxa"/>
          </w:tcPr>
          <w:p w14:paraId="0693B93E" w14:textId="77777777" w:rsidR="002C0FD9" w:rsidRPr="00CA25CF" w:rsidRDefault="002C0FD9" w:rsidP="00CA25CF">
            <w:pPr>
              <w:rPr>
                <w:rFonts w:cs="Arial"/>
                <w:color w:val="FF0000"/>
                <w:sz w:val="21"/>
                <w:szCs w:val="21"/>
              </w:rPr>
            </w:pPr>
          </w:p>
        </w:tc>
        <w:tc>
          <w:tcPr>
            <w:tcW w:w="217" w:type="dxa"/>
          </w:tcPr>
          <w:p w14:paraId="6C3629C8" w14:textId="77777777" w:rsidR="002C0FD9" w:rsidRPr="00CA25CF" w:rsidRDefault="002C0FD9" w:rsidP="00CA25CF">
            <w:pPr>
              <w:rPr>
                <w:rFonts w:cs="Arial"/>
                <w:color w:val="FF0000"/>
                <w:sz w:val="21"/>
                <w:szCs w:val="21"/>
              </w:rPr>
            </w:pPr>
          </w:p>
        </w:tc>
        <w:tc>
          <w:tcPr>
            <w:tcW w:w="217" w:type="dxa"/>
          </w:tcPr>
          <w:p w14:paraId="74EDC893" w14:textId="77777777" w:rsidR="002C0FD9" w:rsidRPr="00CA25CF" w:rsidRDefault="002C0FD9" w:rsidP="00CA25CF">
            <w:pPr>
              <w:rPr>
                <w:rFonts w:cs="Arial"/>
                <w:color w:val="FF0000"/>
                <w:sz w:val="21"/>
                <w:szCs w:val="21"/>
              </w:rPr>
            </w:pPr>
          </w:p>
        </w:tc>
        <w:tc>
          <w:tcPr>
            <w:tcW w:w="217" w:type="dxa"/>
          </w:tcPr>
          <w:p w14:paraId="6134B765" w14:textId="77777777" w:rsidR="002C0FD9" w:rsidRPr="00CA25CF" w:rsidRDefault="002C0FD9" w:rsidP="00CA25CF">
            <w:pPr>
              <w:rPr>
                <w:rFonts w:cs="Arial"/>
                <w:color w:val="FF0000"/>
                <w:sz w:val="21"/>
                <w:szCs w:val="21"/>
              </w:rPr>
            </w:pPr>
          </w:p>
        </w:tc>
        <w:tc>
          <w:tcPr>
            <w:tcW w:w="217" w:type="dxa"/>
          </w:tcPr>
          <w:p w14:paraId="3E6C919B" w14:textId="77777777" w:rsidR="002C0FD9" w:rsidRPr="00CA25CF" w:rsidRDefault="002C0FD9" w:rsidP="00CA25CF">
            <w:pPr>
              <w:rPr>
                <w:rFonts w:cs="Arial"/>
                <w:color w:val="FF0000"/>
                <w:sz w:val="21"/>
                <w:szCs w:val="21"/>
              </w:rPr>
            </w:pPr>
          </w:p>
        </w:tc>
        <w:tc>
          <w:tcPr>
            <w:tcW w:w="217" w:type="dxa"/>
          </w:tcPr>
          <w:p w14:paraId="661AC112" w14:textId="77777777" w:rsidR="002C0FD9" w:rsidRPr="00CA25CF" w:rsidRDefault="002C0FD9" w:rsidP="00CA25CF">
            <w:pPr>
              <w:rPr>
                <w:rFonts w:cs="Arial"/>
                <w:color w:val="FF0000"/>
                <w:sz w:val="21"/>
                <w:szCs w:val="21"/>
              </w:rPr>
            </w:pPr>
          </w:p>
        </w:tc>
        <w:tc>
          <w:tcPr>
            <w:tcW w:w="217" w:type="dxa"/>
          </w:tcPr>
          <w:p w14:paraId="2B6DC09C" w14:textId="77777777" w:rsidR="002C0FD9" w:rsidRPr="00CA25CF" w:rsidRDefault="002C0FD9" w:rsidP="00CA25CF">
            <w:pPr>
              <w:rPr>
                <w:rFonts w:cs="Arial"/>
                <w:color w:val="FF0000"/>
                <w:sz w:val="21"/>
                <w:szCs w:val="21"/>
              </w:rPr>
            </w:pPr>
          </w:p>
        </w:tc>
        <w:tc>
          <w:tcPr>
            <w:tcW w:w="217" w:type="dxa"/>
          </w:tcPr>
          <w:p w14:paraId="2C82D7D2" w14:textId="77777777" w:rsidR="002C0FD9" w:rsidRPr="00CA25CF" w:rsidRDefault="002C0FD9" w:rsidP="00CA25CF">
            <w:pPr>
              <w:rPr>
                <w:rFonts w:cs="Arial"/>
                <w:color w:val="FF0000"/>
                <w:sz w:val="21"/>
                <w:szCs w:val="21"/>
              </w:rPr>
            </w:pPr>
          </w:p>
        </w:tc>
        <w:tc>
          <w:tcPr>
            <w:tcW w:w="217" w:type="dxa"/>
          </w:tcPr>
          <w:p w14:paraId="329E6124" w14:textId="77777777" w:rsidR="002C0FD9" w:rsidRPr="00CA25CF" w:rsidRDefault="002C0FD9" w:rsidP="00CA25CF">
            <w:pPr>
              <w:rPr>
                <w:rFonts w:cs="Arial"/>
                <w:color w:val="FF0000"/>
                <w:sz w:val="21"/>
                <w:szCs w:val="21"/>
              </w:rPr>
            </w:pPr>
          </w:p>
        </w:tc>
        <w:tc>
          <w:tcPr>
            <w:tcW w:w="217" w:type="dxa"/>
          </w:tcPr>
          <w:p w14:paraId="0101715B" w14:textId="77777777" w:rsidR="002C0FD9" w:rsidRPr="00CA25CF" w:rsidRDefault="002C0FD9" w:rsidP="00CA25CF">
            <w:pPr>
              <w:rPr>
                <w:rFonts w:cs="Arial"/>
                <w:color w:val="FF0000"/>
                <w:sz w:val="21"/>
                <w:szCs w:val="21"/>
              </w:rPr>
            </w:pPr>
          </w:p>
        </w:tc>
        <w:tc>
          <w:tcPr>
            <w:tcW w:w="217" w:type="dxa"/>
          </w:tcPr>
          <w:p w14:paraId="2F666A47" w14:textId="77777777" w:rsidR="002C0FD9" w:rsidRPr="00CA25CF" w:rsidRDefault="002C0FD9" w:rsidP="00CA25CF">
            <w:pPr>
              <w:rPr>
                <w:rFonts w:cs="Arial"/>
                <w:color w:val="FF0000"/>
                <w:sz w:val="21"/>
                <w:szCs w:val="21"/>
              </w:rPr>
            </w:pPr>
          </w:p>
        </w:tc>
        <w:tc>
          <w:tcPr>
            <w:tcW w:w="217" w:type="dxa"/>
          </w:tcPr>
          <w:p w14:paraId="070804CF" w14:textId="77777777" w:rsidR="002C0FD9" w:rsidRPr="00CA25CF" w:rsidRDefault="002C0FD9" w:rsidP="00CA25CF">
            <w:pPr>
              <w:rPr>
                <w:rFonts w:cs="Arial"/>
                <w:color w:val="FF0000"/>
                <w:sz w:val="21"/>
                <w:szCs w:val="21"/>
              </w:rPr>
            </w:pPr>
          </w:p>
        </w:tc>
      </w:tr>
      <w:tr w:rsidR="002C0FD9" w:rsidRPr="00A16219" w14:paraId="4A44C462" w14:textId="77777777" w:rsidTr="002C0FD9">
        <w:trPr>
          <w:trHeight w:val="635"/>
        </w:trPr>
        <w:tc>
          <w:tcPr>
            <w:tcW w:w="515" w:type="dxa"/>
          </w:tcPr>
          <w:p w14:paraId="6168A3AC" w14:textId="77777777" w:rsidR="002C0FD9" w:rsidRPr="00CA25CF" w:rsidRDefault="002C0FD9" w:rsidP="00CA25CF">
            <w:pPr>
              <w:rPr>
                <w:rFonts w:cs="Arial"/>
                <w:color w:val="FF0000"/>
                <w:sz w:val="21"/>
                <w:szCs w:val="21"/>
              </w:rPr>
            </w:pPr>
          </w:p>
        </w:tc>
        <w:tc>
          <w:tcPr>
            <w:tcW w:w="217" w:type="dxa"/>
          </w:tcPr>
          <w:p w14:paraId="065BE603" w14:textId="77777777" w:rsidR="002C0FD9" w:rsidRPr="00CA25CF" w:rsidRDefault="002C0FD9" w:rsidP="00CA25CF">
            <w:pPr>
              <w:rPr>
                <w:rFonts w:cs="Arial"/>
                <w:color w:val="FF0000"/>
                <w:sz w:val="21"/>
                <w:szCs w:val="21"/>
              </w:rPr>
            </w:pPr>
          </w:p>
        </w:tc>
        <w:tc>
          <w:tcPr>
            <w:tcW w:w="217" w:type="dxa"/>
          </w:tcPr>
          <w:p w14:paraId="0E93C37B" w14:textId="77777777" w:rsidR="002C0FD9" w:rsidRPr="00CA25CF" w:rsidRDefault="002C0FD9" w:rsidP="00CA25CF">
            <w:pPr>
              <w:rPr>
                <w:rFonts w:cs="Arial"/>
                <w:color w:val="FF0000"/>
                <w:sz w:val="21"/>
                <w:szCs w:val="21"/>
              </w:rPr>
            </w:pPr>
          </w:p>
        </w:tc>
        <w:tc>
          <w:tcPr>
            <w:tcW w:w="217" w:type="dxa"/>
          </w:tcPr>
          <w:p w14:paraId="55BEF69C" w14:textId="77777777" w:rsidR="002C0FD9" w:rsidRPr="00CA25CF" w:rsidRDefault="002C0FD9" w:rsidP="00CA25CF">
            <w:pPr>
              <w:rPr>
                <w:rFonts w:cs="Arial"/>
                <w:color w:val="FF0000"/>
                <w:sz w:val="21"/>
                <w:szCs w:val="21"/>
              </w:rPr>
            </w:pPr>
          </w:p>
        </w:tc>
        <w:tc>
          <w:tcPr>
            <w:tcW w:w="217" w:type="dxa"/>
          </w:tcPr>
          <w:p w14:paraId="1A07AFF7" w14:textId="77777777" w:rsidR="002C0FD9" w:rsidRPr="00CA25CF" w:rsidRDefault="002C0FD9" w:rsidP="00CA25CF">
            <w:pPr>
              <w:rPr>
                <w:rFonts w:cs="Arial"/>
                <w:color w:val="FF0000"/>
                <w:sz w:val="21"/>
                <w:szCs w:val="21"/>
              </w:rPr>
            </w:pPr>
          </w:p>
        </w:tc>
        <w:tc>
          <w:tcPr>
            <w:tcW w:w="217" w:type="dxa"/>
          </w:tcPr>
          <w:p w14:paraId="33F662C9" w14:textId="77777777" w:rsidR="002C0FD9" w:rsidRPr="00CA25CF" w:rsidRDefault="002C0FD9" w:rsidP="00CA25CF">
            <w:pPr>
              <w:rPr>
                <w:rFonts w:cs="Arial"/>
                <w:color w:val="FF0000"/>
                <w:sz w:val="21"/>
                <w:szCs w:val="21"/>
              </w:rPr>
            </w:pPr>
          </w:p>
        </w:tc>
        <w:tc>
          <w:tcPr>
            <w:tcW w:w="217" w:type="dxa"/>
          </w:tcPr>
          <w:p w14:paraId="0E387A83" w14:textId="77777777" w:rsidR="002C0FD9" w:rsidRPr="00CA25CF" w:rsidRDefault="002C0FD9" w:rsidP="00CA25CF">
            <w:pPr>
              <w:rPr>
                <w:rFonts w:cs="Arial"/>
                <w:color w:val="FF0000"/>
                <w:sz w:val="21"/>
                <w:szCs w:val="21"/>
              </w:rPr>
            </w:pPr>
          </w:p>
        </w:tc>
        <w:tc>
          <w:tcPr>
            <w:tcW w:w="217" w:type="dxa"/>
          </w:tcPr>
          <w:p w14:paraId="27C09DA0" w14:textId="77777777" w:rsidR="002C0FD9" w:rsidRPr="00CA25CF" w:rsidRDefault="002C0FD9" w:rsidP="00CA25CF">
            <w:pPr>
              <w:rPr>
                <w:rFonts w:cs="Arial"/>
                <w:color w:val="FF0000"/>
                <w:sz w:val="21"/>
                <w:szCs w:val="21"/>
              </w:rPr>
            </w:pPr>
          </w:p>
        </w:tc>
        <w:tc>
          <w:tcPr>
            <w:tcW w:w="217" w:type="dxa"/>
          </w:tcPr>
          <w:p w14:paraId="236BD925" w14:textId="77777777" w:rsidR="002C0FD9" w:rsidRPr="00CA25CF" w:rsidRDefault="002C0FD9" w:rsidP="00CA25CF">
            <w:pPr>
              <w:rPr>
                <w:rFonts w:cs="Arial"/>
                <w:color w:val="FF0000"/>
                <w:sz w:val="21"/>
                <w:szCs w:val="21"/>
              </w:rPr>
            </w:pPr>
          </w:p>
        </w:tc>
        <w:tc>
          <w:tcPr>
            <w:tcW w:w="217" w:type="dxa"/>
          </w:tcPr>
          <w:p w14:paraId="7B7627FF" w14:textId="77777777" w:rsidR="002C0FD9" w:rsidRPr="00CA25CF" w:rsidRDefault="002C0FD9" w:rsidP="00CA25CF">
            <w:pPr>
              <w:rPr>
                <w:rFonts w:cs="Arial"/>
                <w:color w:val="FF0000"/>
                <w:sz w:val="21"/>
                <w:szCs w:val="21"/>
              </w:rPr>
            </w:pPr>
          </w:p>
        </w:tc>
        <w:tc>
          <w:tcPr>
            <w:tcW w:w="217" w:type="dxa"/>
          </w:tcPr>
          <w:p w14:paraId="7EE94D61" w14:textId="77777777" w:rsidR="002C0FD9" w:rsidRPr="00CA25CF" w:rsidRDefault="002C0FD9" w:rsidP="00CA25CF">
            <w:pPr>
              <w:rPr>
                <w:rFonts w:cs="Arial"/>
                <w:color w:val="FF0000"/>
                <w:sz w:val="21"/>
                <w:szCs w:val="21"/>
              </w:rPr>
            </w:pPr>
          </w:p>
        </w:tc>
        <w:tc>
          <w:tcPr>
            <w:tcW w:w="217" w:type="dxa"/>
          </w:tcPr>
          <w:p w14:paraId="574A8A15" w14:textId="77777777" w:rsidR="002C0FD9" w:rsidRPr="00CA25CF" w:rsidRDefault="002C0FD9" w:rsidP="00CA25CF">
            <w:pPr>
              <w:rPr>
                <w:rFonts w:cs="Arial"/>
                <w:color w:val="FF0000"/>
                <w:sz w:val="21"/>
                <w:szCs w:val="21"/>
              </w:rPr>
            </w:pPr>
          </w:p>
        </w:tc>
        <w:tc>
          <w:tcPr>
            <w:tcW w:w="217" w:type="dxa"/>
          </w:tcPr>
          <w:p w14:paraId="61A02D9B" w14:textId="77777777" w:rsidR="002C0FD9" w:rsidRPr="00CA25CF" w:rsidRDefault="002C0FD9" w:rsidP="00CA25CF">
            <w:pPr>
              <w:rPr>
                <w:rFonts w:cs="Arial"/>
                <w:color w:val="FF0000"/>
                <w:sz w:val="21"/>
                <w:szCs w:val="21"/>
              </w:rPr>
            </w:pPr>
          </w:p>
        </w:tc>
        <w:tc>
          <w:tcPr>
            <w:tcW w:w="217" w:type="dxa"/>
          </w:tcPr>
          <w:p w14:paraId="59027550" w14:textId="77777777" w:rsidR="002C0FD9" w:rsidRPr="00CA25CF" w:rsidRDefault="002C0FD9" w:rsidP="00CA25CF">
            <w:pPr>
              <w:rPr>
                <w:rFonts w:cs="Arial"/>
                <w:color w:val="FF0000"/>
                <w:sz w:val="21"/>
                <w:szCs w:val="21"/>
              </w:rPr>
            </w:pPr>
          </w:p>
        </w:tc>
        <w:tc>
          <w:tcPr>
            <w:tcW w:w="217" w:type="dxa"/>
          </w:tcPr>
          <w:p w14:paraId="4E5B6E61" w14:textId="77777777" w:rsidR="002C0FD9" w:rsidRPr="00CA25CF" w:rsidRDefault="002C0FD9" w:rsidP="00CA25CF">
            <w:pPr>
              <w:rPr>
                <w:rFonts w:cs="Arial"/>
                <w:color w:val="FF0000"/>
                <w:sz w:val="21"/>
                <w:szCs w:val="21"/>
              </w:rPr>
            </w:pPr>
          </w:p>
        </w:tc>
        <w:tc>
          <w:tcPr>
            <w:tcW w:w="217" w:type="dxa"/>
          </w:tcPr>
          <w:p w14:paraId="24A663CB" w14:textId="77777777" w:rsidR="002C0FD9" w:rsidRPr="00CA25CF" w:rsidRDefault="002C0FD9" w:rsidP="00CA25CF">
            <w:pPr>
              <w:rPr>
                <w:rFonts w:cs="Arial"/>
                <w:color w:val="FF0000"/>
                <w:sz w:val="21"/>
                <w:szCs w:val="21"/>
              </w:rPr>
            </w:pPr>
          </w:p>
        </w:tc>
        <w:tc>
          <w:tcPr>
            <w:tcW w:w="217" w:type="dxa"/>
          </w:tcPr>
          <w:p w14:paraId="1E4F3372" w14:textId="77777777" w:rsidR="002C0FD9" w:rsidRPr="00CA25CF" w:rsidRDefault="002C0FD9" w:rsidP="00CA25CF">
            <w:pPr>
              <w:rPr>
                <w:rFonts w:cs="Arial"/>
                <w:color w:val="FF0000"/>
                <w:sz w:val="21"/>
                <w:szCs w:val="21"/>
              </w:rPr>
            </w:pPr>
          </w:p>
        </w:tc>
        <w:tc>
          <w:tcPr>
            <w:tcW w:w="217" w:type="dxa"/>
          </w:tcPr>
          <w:p w14:paraId="5F7567F1" w14:textId="77777777" w:rsidR="002C0FD9" w:rsidRPr="00CA25CF" w:rsidRDefault="002C0FD9" w:rsidP="00CA25CF">
            <w:pPr>
              <w:rPr>
                <w:rFonts w:cs="Arial"/>
                <w:color w:val="FF0000"/>
                <w:sz w:val="21"/>
                <w:szCs w:val="21"/>
              </w:rPr>
            </w:pPr>
          </w:p>
        </w:tc>
        <w:tc>
          <w:tcPr>
            <w:tcW w:w="217" w:type="dxa"/>
          </w:tcPr>
          <w:p w14:paraId="362165FD" w14:textId="77777777" w:rsidR="002C0FD9" w:rsidRPr="00CA25CF" w:rsidRDefault="002C0FD9" w:rsidP="00CA25CF">
            <w:pPr>
              <w:rPr>
                <w:rFonts w:cs="Arial"/>
                <w:color w:val="FF0000"/>
                <w:sz w:val="21"/>
                <w:szCs w:val="21"/>
              </w:rPr>
            </w:pPr>
          </w:p>
        </w:tc>
        <w:tc>
          <w:tcPr>
            <w:tcW w:w="217" w:type="dxa"/>
          </w:tcPr>
          <w:p w14:paraId="3A5261CB" w14:textId="77777777" w:rsidR="002C0FD9" w:rsidRPr="00CA25CF" w:rsidRDefault="002C0FD9" w:rsidP="00CA25CF">
            <w:pPr>
              <w:rPr>
                <w:rFonts w:cs="Arial"/>
                <w:color w:val="FF0000"/>
                <w:sz w:val="21"/>
                <w:szCs w:val="21"/>
              </w:rPr>
            </w:pPr>
          </w:p>
        </w:tc>
        <w:tc>
          <w:tcPr>
            <w:tcW w:w="217" w:type="dxa"/>
          </w:tcPr>
          <w:p w14:paraId="057E7C25" w14:textId="77777777" w:rsidR="002C0FD9" w:rsidRPr="00CA25CF" w:rsidRDefault="002C0FD9" w:rsidP="00CA25CF">
            <w:pPr>
              <w:rPr>
                <w:rFonts w:cs="Arial"/>
                <w:color w:val="FF0000"/>
                <w:sz w:val="21"/>
                <w:szCs w:val="21"/>
              </w:rPr>
            </w:pPr>
          </w:p>
        </w:tc>
        <w:tc>
          <w:tcPr>
            <w:tcW w:w="217" w:type="dxa"/>
          </w:tcPr>
          <w:p w14:paraId="606D5149" w14:textId="77777777" w:rsidR="002C0FD9" w:rsidRPr="00CA25CF" w:rsidRDefault="002C0FD9" w:rsidP="00CA25CF">
            <w:pPr>
              <w:rPr>
                <w:rFonts w:cs="Arial"/>
                <w:color w:val="FF0000"/>
                <w:sz w:val="21"/>
                <w:szCs w:val="21"/>
              </w:rPr>
            </w:pPr>
          </w:p>
        </w:tc>
        <w:tc>
          <w:tcPr>
            <w:tcW w:w="217" w:type="dxa"/>
          </w:tcPr>
          <w:p w14:paraId="5CD4400C" w14:textId="77777777" w:rsidR="002C0FD9" w:rsidRPr="00CA25CF" w:rsidRDefault="002C0FD9" w:rsidP="00CA25CF">
            <w:pPr>
              <w:rPr>
                <w:rFonts w:cs="Arial"/>
                <w:color w:val="FF0000"/>
                <w:sz w:val="21"/>
                <w:szCs w:val="21"/>
              </w:rPr>
            </w:pPr>
          </w:p>
        </w:tc>
        <w:tc>
          <w:tcPr>
            <w:tcW w:w="217" w:type="dxa"/>
          </w:tcPr>
          <w:p w14:paraId="55AA0717" w14:textId="77777777" w:rsidR="002C0FD9" w:rsidRPr="00CA25CF" w:rsidRDefault="002C0FD9" w:rsidP="00CA25CF">
            <w:pPr>
              <w:rPr>
                <w:rFonts w:cs="Arial"/>
                <w:color w:val="FF0000"/>
                <w:sz w:val="21"/>
                <w:szCs w:val="21"/>
              </w:rPr>
            </w:pPr>
          </w:p>
        </w:tc>
        <w:tc>
          <w:tcPr>
            <w:tcW w:w="217" w:type="dxa"/>
          </w:tcPr>
          <w:p w14:paraId="76DEEB6C" w14:textId="77777777" w:rsidR="002C0FD9" w:rsidRPr="00CA25CF" w:rsidRDefault="002C0FD9" w:rsidP="00CA25CF">
            <w:pPr>
              <w:rPr>
                <w:rFonts w:cs="Arial"/>
                <w:color w:val="FF0000"/>
                <w:sz w:val="21"/>
                <w:szCs w:val="21"/>
              </w:rPr>
            </w:pPr>
          </w:p>
        </w:tc>
        <w:tc>
          <w:tcPr>
            <w:tcW w:w="217" w:type="dxa"/>
          </w:tcPr>
          <w:p w14:paraId="60FA87EB" w14:textId="77777777" w:rsidR="002C0FD9" w:rsidRPr="00CA25CF" w:rsidRDefault="002C0FD9" w:rsidP="00CA25CF">
            <w:pPr>
              <w:rPr>
                <w:rFonts w:cs="Arial"/>
                <w:color w:val="FF0000"/>
                <w:sz w:val="21"/>
                <w:szCs w:val="21"/>
              </w:rPr>
            </w:pPr>
          </w:p>
        </w:tc>
        <w:tc>
          <w:tcPr>
            <w:tcW w:w="217" w:type="dxa"/>
          </w:tcPr>
          <w:p w14:paraId="063D1B9D" w14:textId="77777777" w:rsidR="002C0FD9" w:rsidRPr="00CA25CF" w:rsidRDefault="002C0FD9" w:rsidP="00CA25CF">
            <w:pPr>
              <w:rPr>
                <w:rFonts w:cs="Arial"/>
                <w:color w:val="FF0000"/>
                <w:sz w:val="21"/>
                <w:szCs w:val="21"/>
              </w:rPr>
            </w:pPr>
          </w:p>
        </w:tc>
        <w:tc>
          <w:tcPr>
            <w:tcW w:w="217" w:type="dxa"/>
          </w:tcPr>
          <w:p w14:paraId="71591652" w14:textId="77777777" w:rsidR="002C0FD9" w:rsidRPr="00CA25CF" w:rsidRDefault="002C0FD9" w:rsidP="00CA25CF">
            <w:pPr>
              <w:rPr>
                <w:rFonts w:cs="Arial"/>
                <w:color w:val="FF0000"/>
                <w:sz w:val="21"/>
                <w:szCs w:val="21"/>
              </w:rPr>
            </w:pPr>
          </w:p>
        </w:tc>
        <w:tc>
          <w:tcPr>
            <w:tcW w:w="217" w:type="dxa"/>
          </w:tcPr>
          <w:p w14:paraId="01BA4227" w14:textId="77777777" w:rsidR="002C0FD9" w:rsidRPr="00CA25CF" w:rsidRDefault="002C0FD9" w:rsidP="00CA25CF">
            <w:pPr>
              <w:rPr>
                <w:rFonts w:cs="Arial"/>
                <w:color w:val="FF0000"/>
                <w:sz w:val="21"/>
                <w:szCs w:val="21"/>
              </w:rPr>
            </w:pPr>
          </w:p>
        </w:tc>
        <w:tc>
          <w:tcPr>
            <w:tcW w:w="217" w:type="dxa"/>
          </w:tcPr>
          <w:p w14:paraId="6188771B" w14:textId="77777777" w:rsidR="002C0FD9" w:rsidRPr="00CA25CF" w:rsidRDefault="002C0FD9" w:rsidP="00CA25CF">
            <w:pPr>
              <w:rPr>
                <w:rFonts w:cs="Arial"/>
                <w:color w:val="FF0000"/>
                <w:sz w:val="21"/>
                <w:szCs w:val="21"/>
              </w:rPr>
            </w:pPr>
          </w:p>
        </w:tc>
        <w:tc>
          <w:tcPr>
            <w:tcW w:w="217" w:type="dxa"/>
          </w:tcPr>
          <w:p w14:paraId="4B4E35B4" w14:textId="77777777" w:rsidR="002C0FD9" w:rsidRPr="00CA25CF" w:rsidRDefault="002C0FD9" w:rsidP="00CA25CF">
            <w:pPr>
              <w:rPr>
                <w:rFonts w:cs="Arial"/>
                <w:color w:val="FF0000"/>
                <w:sz w:val="21"/>
                <w:szCs w:val="21"/>
              </w:rPr>
            </w:pPr>
          </w:p>
        </w:tc>
        <w:tc>
          <w:tcPr>
            <w:tcW w:w="217" w:type="dxa"/>
          </w:tcPr>
          <w:p w14:paraId="126F24A4" w14:textId="77777777" w:rsidR="002C0FD9" w:rsidRPr="00CA25CF" w:rsidRDefault="002C0FD9" w:rsidP="00CA25CF">
            <w:pPr>
              <w:rPr>
                <w:rFonts w:cs="Arial"/>
                <w:color w:val="FF0000"/>
                <w:sz w:val="21"/>
                <w:szCs w:val="21"/>
              </w:rPr>
            </w:pPr>
          </w:p>
        </w:tc>
        <w:tc>
          <w:tcPr>
            <w:tcW w:w="217" w:type="dxa"/>
          </w:tcPr>
          <w:p w14:paraId="4CDD70C8" w14:textId="77777777" w:rsidR="002C0FD9" w:rsidRPr="00CA25CF" w:rsidRDefault="002C0FD9" w:rsidP="00CA25CF">
            <w:pPr>
              <w:rPr>
                <w:rFonts w:cs="Arial"/>
                <w:color w:val="FF0000"/>
                <w:sz w:val="21"/>
                <w:szCs w:val="21"/>
              </w:rPr>
            </w:pPr>
          </w:p>
        </w:tc>
        <w:tc>
          <w:tcPr>
            <w:tcW w:w="217" w:type="dxa"/>
          </w:tcPr>
          <w:p w14:paraId="663C9440" w14:textId="77777777" w:rsidR="002C0FD9" w:rsidRPr="00CA25CF" w:rsidRDefault="002C0FD9" w:rsidP="00CA25CF">
            <w:pPr>
              <w:rPr>
                <w:rFonts w:cs="Arial"/>
                <w:color w:val="FF0000"/>
                <w:sz w:val="21"/>
                <w:szCs w:val="21"/>
              </w:rPr>
            </w:pPr>
          </w:p>
        </w:tc>
        <w:tc>
          <w:tcPr>
            <w:tcW w:w="217" w:type="dxa"/>
          </w:tcPr>
          <w:p w14:paraId="3D105529" w14:textId="77777777" w:rsidR="002C0FD9" w:rsidRPr="00CA25CF" w:rsidRDefault="002C0FD9" w:rsidP="00CA25CF">
            <w:pPr>
              <w:rPr>
                <w:rFonts w:cs="Arial"/>
                <w:color w:val="FF0000"/>
                <w:sz w:val="21"/>
                <w:szCs w:val="21"/>
              </w:rPr>
            </w:pPr>
          </w:p>
        </w:tc>
        <w:tc>
          <w:tcPr>
            <w:tcW w:w="217" w:type="dxa"/>
          </w:tcPr>
          <w:p w14:paraId="369FCDAD" w14:textId="77777777" w:rsidR="002C0FD9" w:rsidRPr="00CA25CF" w:rsidRDefault="002C0FD9" w:rsidP="00CA25CF">
            <w:pPr>
              <w:rPr>
                <w:rFonts w:cs="Arial"/>
                <w:color w:val="FF0000"/>
                <w:sz w:val="21"/>
                <w:szCs w:val="21"/>
              </w:rPr>
            </w:pPr>
          </w:p>
        </w:tc>
        <w:tc>
          <w:tcPr>
            <w:tcW w:w="217" w:type="dxa"/>
          </w:tcPr>
          <w:p w14:paraId="2BA24023" w14:textId="77777777" w:rsidR="002C0FD9" w:rsidRPr="00CA25CF" w:rsidRDefault="002C0FD9" w:rsidP="00CA25CF">
            <w:pPr>
              <w:rPr>
                <w:rFonts w:cs="Arial"/>
                <w:color w:val="FF0000"/>
                <w:sz w:val="21"/>
                <w:szCs w:val="21"/>
              </w:rPr>
            </w:pPr>
          </w:p>
        </w:tc>
        <w:tc>
          <w:tcPr>
            <w:tcW w:w="217" w:type="dxa"/>
          </w:tcPr>
          <w:p w14:paraId="0A8353D6" w14:textId="77777777" w:rsidR="002C0FD9" w:rsidRPr="00CA25CF" w:rsidRDefault="002C0FD9" w:rsidP="00CA25CF">
            <w:pPr>
              <w:rPr>
                <w:rFonts w:cs="Arial"/>
                <w:color w:val="FF0000"/>
                <w:sz w:val="21"/>
                <w:szCs w:val="21"/>
              </w:rPr>
            </w:pPr>
          </w:p>
        </w:tc>
        <w:tc>
          <w:tcPr>
            <w:tcW w:w="217" w:type="dxa"/>
          </w:tcPr>
          <w:p w14:paraId="6B33F967" w14:textId="77777777" w:rsidR="002C0FD9" w:rsidRPr="00CA25CF" w:rsidRDefault="002C0FD9" w:rsidP="00CA25CF">
            <w:pPr>
              <w:rPr>
                <w:rFonts w:cs="Arial"/>
                <w:color w:val="FF0000"/>
                <w:sz w:val="21"/>
                <w:szCs w:val="21"/>
              </w:rPr>
            </w:pPr>
          </w:p>
        </w:tc>
        <w:tc>
          <w:tcPr>
            <w:tcW w:w="217" w:type="dxa"/>
          </w:tcPr>
          <w:p w14:paraId="43F3DB41" w14:textId="77777777" w:rsidR="002C0FD9" w:rsidRPr="00CA25CF" w:rsidRDefault="002C0FD9" w:rsidP="00CA25CF">
            <w:pPr>
              <w:rPr>
                <w:rFonts w:cs="Arial"/>
                <w:color w:val="FF0000"/>
                <w:sz w:val="21"/>
                <w:szCs w:val="21"/>
              </w:rPr>
            </w:pPr>
          </w:p>
        </w:tc>
        <w:tc>
          <w:tcPr>
            <w:tcW w:w="217" w:type="dxa"/>
          </w:tcPr>
          <w:p w14:paraId="7D2F2999" w14:textId="77777777" w:rsidR="002C0FD9" w:rsidRPr="00CA25CF" w:rsidRDefault="002C0FD9" w:rsidP="00CA25CF">
            <w:pPr>
              <w:rPr>
                <w:rFonts w:cs="Arial"/>
                <w:color w:val="FF0000"/>
                <w:sz w:val="21"/>
                <w:szCs w:val="21"/>
              </w:rPr>
            </w:pPr>
          </w:p>
        </w:tc>
        <w:tc>
          <w:tcPr>
            <w:tcW w:w="217" w:type="dxa"/>
          </w:tcPr>
          <w:p w14:paraId="155BBC62" w14:textId="77777777" w:rsidR="002C0FD9" w:rsidRPr="00CA25CF" w:rsidRDefault="002C0FD9" w:rsidP="00CA25CF">
            <w:pPr>
              <w:rPr>
                <w:rFonts w:cs="Arial"/>
                <w:color w:val="FF0000"/>
                <w:sz w:val="21"/>
                <w:szCs w:val="21"/>
              </w:rPr>
            </w:pPr>
          </w:p>
        </w:tc>
        <w:tc>
          <w:tcPr>
            <w:tcW w:w="217" w:type="dxa"/>
          </w:tcPr>
          <w:p w14:paraId="7B56C15B" w14:textId="77777777" w:rsidR="002C0FD9" w:rsidRPr="00CA25CF" w:rsidRDefault="002C0FD9" w:rsidP="00CA25CF">
            <w:pPr>
              <w:rPr>
                <w:rFonts w:cs="Arial"/>
                <w:color w:val="FF0000"/>
                <w:sz w:val="21"/>
                <w:szCs w:val="21"/>
              </w:rPr>
            </w:pPr>
          </w:p>
        </w:tc>
      </w:tr>
      <w:tr w:rsidR="002C0FD9" w:rsidRPr="00A16219" w14:paraId="70163C1A" w14:textId="77777777" w:rsidTr="002C0FD9">
        <w:trPr>
          <w:trHeight w:val="635"/>
        </w:trPr>
        <w:tc>
          <w:tcPr>
            <w:tcW w:w="515" w:type="dxa"/>
          </w:tcPr>
          <w:p w14:paraId="4B2EB4E6" w14:textId="77777777" w:rsidR="002C0FD9" w:rsidRPr="00CA25CF" w:rsidRDefault="002C0FD9" w:rsidP="00CA25CF">
            <w:pPr>
              <w:rPr>
                <w:rFonts w:cs="Arial"/>
                <w:color w:val="FF0000"/>
                <w:sz w:val="21"/>
                <w:szCs w:val="21"/>
              </w:rPr>
            </w:pPr>
          </w:p>
        </w:tc>
        <w:tc>
          <w:tcPr>
            <w:tcW w:w="217" w:type="dxa"/>
          </w:tcPr>
          <w:p w14:paraId="59DEB877" w14:textId="77777777" w:rsidR="002C0FD9" w:rsidRPr="00CA25CF" w:rsidRDefault="002C0FD9" w:rsidP="00CA25CF">
            <w:pPr>
              <w:rPr>
                <w:rFonts w:cs="Arial"/>
                <w:color w:val="FF0000"/>
                <w:sz w:val="21"/>
                <w:szCs w:val="21"/>
              </w:rPr>
            </w:pPr>
          </w:p>
        </w:tc>
        <w:tc>
          <w:tcPr>
            <w:tcW w:w="217" w:type="dxa"/>
          </w:tcPr>
          <w:p w14:paraId="5057900F" w14:textId="77777777" w:rsidR="002C0FD9" w:rsidRPr="00CA25CF" w:rsidRDefault="002C0FD9" w:rsidP="00CA25CF">
            <w:pPr>
              <w:rPr>
                <w:rFonts w:cs="Arial"/>
                <w:color w:val="FF0000"/>
                <w:sz w:val="21"/>
                <w:szCs w:val="21"/>
              </w:rPr>
            </w:pPr>
          </w:p>
        </w:tc>
        <w:tc>
          <w:tcPr>
            <w:tcW w:w="217" w:type="dxa"/>
          </w:tcPr>
          <w:p w14:paraId="4A3E7FB1" w14:textId="77777777" w:rsidR="002C0FD9" w:rsidRPr="00CA25CF" w:rsidRDefault="002C0FD9" w:rsidP="00CA25CF">
            <w:pPr>
              <w:rPr>
                <w:rFonts w:cs="Arial"/>
                <w:color w:val="FF0000"/>
                <w:sz w:val="21"/>
                <w:szCs w:val="21"/>
              </w:rPr>
            </w:pPr>
          </w:p>
        </w:tc>
        <w:tc>
          <w:tcPr>
            <w:tcW w:w="217" w:type="dxa"/>
          </w:tcPr>
          <w:p w14:paraId="5AB586E3" w14:textId="77777777" w:rsidR="002C0FD9" w:rsidRPr="00CA25CF" w:rsidRDefault="002C0FD9" w:rsidP="00CA25CF">
            <w:pPr>
              <w:rPr>
                <w:rFonts w:cs="Arial"/>
                <w:color w:val="FF0000"/>
                <w:sz w:val="21"/>
                <w:szCs w:val="21"/>
              </w:rPr>
            </w:pPr>
          </w:p>
        </w:tc>
        <w:tc>
          <w:tcPr>
            <w:tcW w:w="217" w:type="dxa"/>
          </w:tcPr>
          <w:p w14:paraId="0104874A" w14:textId="77777777" w:rsidR="002C0FD9" w:rsidRPr="00CA25CF" w:rsidRDefault="002C0FD9" w:rsidP="00CA25CF">
            <w:pPr>
              <w:rPr>
                <w:rFonts w:cs="Arial"/>
                <w:color w:val="FF0000"/>
                <w:sz w:val="21"/>
                <w:szCs w:val="21"/>
              </w:rPr>
            </w:pPr>
          </w:p>
        </w:tc>
        <w:tc>
          <w:tcPr>
            <w:tcW w:w="217" w:type="dxa"/>
          </w:tcPr>
          <w:p w14:paraId="25C6C6AD" w14:textId="77777777" w:rsidR="002C0FD9" w:rsidRPr="00CA25CF" w:rsidRDefault="002C0FD9" w:rsidP="00CA25CF">
            <w:pPr>
              <w:rPr>
                <w:rFonts w:cs="Arial"/>
                <w:color w:val="FF0000"/>
                <w:sz w:val="21"/>
                <w:szCs w:val="21"/>
              </w:rPr>
            </w:pPr>
          </w:p>
        </w:tc>
        <w:tc>
          <w:tcPr>
            <w:tcW w:w="217" w:type="dxa"/>
          </w:tcPr>
          <w:p w14:paraId="55C09571" w14:textId="77777777" w:rsidR="002C0FD9" w:rsidRPr="00CA25CF" w:rsidRDefault="002C0FD9" w:rsidP="00CA25CF">
            <w:pPr>
              <w:rPr>
                <w:rFonts w:cs="Arial"/>
                <w:color w:val="FF0000"/>
                <w:sz w:val="21"/>
                <w:szCs w:val="21"/>
              </w:rPr>
            </w:pPr>
          </w:p>
        </w:tc>
        <w:tc>
          <w:tcPr>
            <w:tcW w:w="217" w:type="dxa"/>
          </w:tcPr>
          <w:p w14:paraId="5831F70A" w14:textId="77777777" w:rsidR="002C0FD9" w:rsidRPr="00CA25CF" w:rsidRDefault="002C0FD9" w:rsidP="00CA25CF">
            <w:pPr>
              <w:rPr>
                <w:rFonts w:cs="Arial"/>
                <w:color w:val="FF0000"/>
                <w:sz w:val="21"/>
                <w:szCs w:val="21"/>
              </w:rPr>
            </w:pPr>
          </w:p>
        </w:tc>
        <w:tc>
          <w:tcPr>
            <w:tcW w:w="217" w:type="dxa"/>
          </w:tcPr>
          <w:p w14:paraId="0FDF1AD8" w14:textId="77777777" w:rsidR="002C0FD9" w:rsidRPr="00CA25CF" w:rsidRDefault="002C0FD9" w:rsidP="00CA25CF">
            <w:pPr>
              <w:rPr>
                <w:rFonts w:cs="Arial"/>
                <w:color w:val="FF0000"/>
                <w:sz w:val="21"/>
                <w:szCs w:val="21"/>
              </w:rPr>
            </w:pPr>
          </w:p>
        </w:tc>
        <w:tc>
          <w:tcPr>
            <w:tcW w:w="217" w:type="dxa"/>
          </w:tcPr>
          <w:p w14:paraId="7D158CA2" w14:textId="77777777" w:rsidR="002C0FD9" w:rsidRPr="00CA25CF" w:rsidRDefault="002C0FD9" w:rsidP="00CA25CF">
            <w:pPr>
              <w:rPr>
                <w:rFonts w:cs="Arial"/>
                <w:color w:val="FF0000"/>
                <w:sz w:val="21"/>
                <w:szCs w:val="21"/>
              </w:rPr>
            </w:pPr>
          </w:p>
        </w:tc>
        <w:tc>
          <w:tcPr>
            <w:tcW w:w="217" w:type="dxa"/>
          </w:tcPr>
          <w:p w14:paraId="3EC11D96" w14:textId="77777777" w:rsidR="002C0FD9" w:rsidRPr="00CA25CF" w:rsidRDefault="002C0FD9" w:rsidP="00CA25CF">
            <w:pPr>
              <w:rPr>
                <w:rFonts w:cs="Arial"/>
                <w:color w:val="FF0000"/>
                <w:sz w:val="21"/>
                <w:szCs w:val="21"/>
              </w:rPr>
            </w:pPr>
          </w:p>
        </w:tc>
        <w:tc>
          <w:tcPr>
            <w:tcW w:w="217" w:type="dxa"/>
          </w:tcPr>
          <w:p w14:paraId="1198CB34" w14:textId="77777777" w:rsidR="002C0FD9" w:rsidRPr="00CA25CF" w:rsidRDefault="002C0FD9" w:rsidP="00CA25CF">
            <w:pPr>
              <w:rPr>
                <w:rFonts w:cs="Arial"/>
                <w:color w:val="FF0000"/>
                <w:sz w:val="21"/>
                <w:szCs w:val="21"/>
              </w:rPr>
            </w:pPr>
          </w:p>
        </w:tc>
        <w:tc>
          <w:tcPr>
            <w:tcW w:w="217" w:type="dxa"/>
          </w:tcPr>
          <w:p w14:paraId="2DB836D9" w14:textId="77777777" w:rsidR="002C0FD9" w:rsidRPr="00CA25CF" w:rsidRDefault="002C0FD9" w:rsidP="00CA25CF">
            <w:pPr>
              <w:rPr>
                <w:rFonts w:cs="Arial"/>
                <w:color w:val="FF0000"/>
                <w:sz w:val="21"/>
                <w:szCs w:val="21"/>
              </w:rPr>
            </w:pPr>
          </w:p>
        </w:tc>
        <w:tc>
          <w:tcPr>
            <w:tcW w:w="217" w:type="dxa"/>
          </w:tcPr>
          <w:p w14:paraId="0F1CFC13" w14:textId="77777777" w:rsidR="002C0FD9" w:rsidRPr="00CA25CF" w:rsidRDefault="002C0FD9" w:rsidP="00CA25CF">
            <w:pPr>
              <w:rPr>
                <w:rFonts w:cs="Arial"/>
                <w:color w:val="FF0000"/>
                <w:sz w:val="21"/>
                <w:szCs w:val="21"/>
              </w:rPr>
            </w:pPr>
          </w:p>
        </w:tc>
        <w:tc>
          <w:tcPr>
            <w:tcW w:w="217" w:type="dxa"/>
          </w:tcPr>
          <w:p w14:paraId="65FF2530" w14:textId="77777777" w:rsidR="002C0FD9" w:rsidRPr="00CA25CF" w:rsidRDefault="002C0FD9" w:rsidP="00CA25CF">
            <w:pPr>
              <w:rPr>
                <w:rFonts w:cs="Arial"/>
                <w:color w:val="FF0000"/>
                <w:sz w:val="21"/>
                <w:szCs w:val="21"/>
              </w:rPr>
            </w:pPr>
          </w:p>
        </w:tc>
        <w:tc>
          <w:tcPr>
            <w:tcW w:w="217" w:type="dxa"/>
          </w:tcPr>
          <w:p w14:paraId="08429CCD" w14:textId="77777777" w:rsidR="002C0FD9" w:rsidRPr="00CA25CF" w:rsidRDefault="002C0FD9" w:rsidP="00CA25CF">
            <w:pPr>
              <w:rPr>
                <w:rFonts w:cs="Arial"/>
                <w:color w:val="FF0000"/>
                <w:sz w:val="21"/>
                <w:szCs w:val="21"/>
              </w:rPr>
            </w:pPr>
          </w:p>
        </w:tc>
        <w:tc>
          <w:tcPr>
            <w:tcW w:w="217" w:type="dxa"/>
          </w:tcPr>
          <w:p w14:paraId="7E860955" w14:textId="77777777" w:rsidR="002C0FD9" w:rsidRPr="00CA25CF" w:rsidRDefault="002C0FD9" w:rsidP="00CA25CF">
            <w:pPr>
              <w:rPr>
                <w:rFonts w:cs="Arial"/>
                <w:color w:val="FF0000"/>
                <w:sz w:val="21"/>
                <w:szCs w:val="21"/>
              </w:rPr>
            </w:pPr>
          </w:p>
        </w:tc>
        <w:tc>
          <w:tcPr>
            <w:tcW w:w="217" w:type="dxa"/>
          </w:tcPr>
          <w:p w14:paraId="7721102A" w14:textId="77777777" w:rsidR="002C0FD9" w:rsidRPr="00CA25CF" w:rsidRDefault="002C0FD9" w:rsidP="00CA25CF">
            <w:pPr>
              <w:rPr>
                <w:rFonts w:cs="Arial"/>
                <w:color w:val="FF0000"/>
                <w:sz w:val="21"/>
                <w:szCs w:val="21"/>
              </w:rPr>
            </w:pPr>
          </w:p>
        </w:tc>
        <w:tc>
          <w:tcPr>
            <w:tcW w:w="217" w:type="dxa"/>
          </w:tcPr>
          <w:p w14:paraId="4A761910" w14:textId="77777777" w:rsidR="002C0FD9" w:rsidRPr="00CA25CF" w:rsidRDefault="002C0FD9" w:rsidP="00CA25CF">
            <w:pPr>
              <w:rPr>
                <w:rFonts w:cs="Arial"/>
                <w:color w:val="FF0000"/>
                <w:sz w:val="21"/>
                <w:szCs w:val="21"/>
              </w:rPr>
            </w:pPr>
          </w:p>
        </w:tc>
        <w:tc>
          <w:tcPr>
            <w:tcW w:w="217" w:type="dxa"/>
          </w:tcPr>
          <w:p w14:paraId="2FAC53C1" w14:textId="77777777" w:rsidR="002C0FD9" w:rsidRPr="00CA25CF" w:rsidRDefault="002C0FD9" w:rsidP="00CA25CF">
            <w:pPr>
              <w:rPr>
                <w:rFonts w:cs="Arial"/>
                <w:color w:val="FF0000"/>
                <w:sz w:val="21"/>
                <w:szCs w:val="21"/>
              </w:rPr>
            </w:pPr>
          </w:p>
        </w:tc>
        <w:tc>
          <w:tcPr>
            <w:tcW w:w="217" w:type="dxa"/>
          </w:tcPr>
          <w:p w14:paraId="0115DDE5" w14:textId="77777777" w:rsidR="002C0FD9" w:rsidRPr="00CA25CF" w:rsidRDefault="002C0FD9" w:rsidP="00CA25CF">
            <w:pPr>
              <w:rPr>
                <w:rFonts w:cs="Arial"/>
                <w:color w:val="FF0000"/>
                <w:sz w:val="21"/>
                <w:szCs w:val="21"/>
              </w:rPr>
            </w:pPr>
          </w:p>
        </w:tc>
        <w:tc>
          <w:tcPr>
            <w:tcW w:w="217" w:type="dxa"/>
          </w:tcPr>
          <w:p w14:paraId="3EEE584F" w14:textId="77777777" w:rsidR="002C0FD9" w:rsidRPr="00CA25CF" w:rsidRDefault="002C0FD9" w:rsidP="00CA25CF">
            <w:pPr>
              <w:rPr>
                <w:rFonts w:cs="Arial"/>
                <w:color w:val="FF0000"/>
                <w:sz w:val="21"/>
                <w:szCs w:val="21"/>
              </w:rPr>
            </w:pPr>
          </w:p>
        </w:tc>
        <w:tc>
          <w:tcPr>
            <w:tcW w:w="217" w:type="dxa"/>
          </w:tcPr>
          <w:p w14:paraId="58BE986E" w14:textId="77777777" w:rsidR="002C0FD9" w:rsidRPr="00CA25CF" w:rsidRDefault="002C0FD9" w:rsidP="00CA25CF">
            <w:pPr>
              <w:rPr>
                <w:rFonts w:cs="Arial"/>
                <w:color w:val="FF0000"/>
                <w:sz w:val="21"/>
                <w:szCs w:val="21"/>
              </w:rPr>
            </w:pPr>
          </w:p>
        </w:tc>
        <w:tc>
          <w:tcPr>
            <w:tcW w:w="217" w:type="dxa"/>
          </w:tcPr>
          <w:p w14:paraId="22EA8F13" w14:textId="77777777" w:rsidR="002C0FD9" w:rsidRPr="00CA25CF" w:rsidRDefault="002C0FD9" w:rsidP="00CA25CF">
            <w:pPr>
              <w:rPr>
                <w:rFonts w:cs="Arial"/>
                <w:color w:val="FF0000"/>
                <w:sz w:val="21"/>
                <w:szCs w:val="21"/>
              </w:rPr>
            </w:pPr>
          </w:p>
        </w:tc>
        <w:tc>
          <w:tcPr>
            <w:tcW w:w="217" w:type="dxa"/>
          </w:tcPr>
          <w:p w14:paraId="1B7FA0F3" w14:textId="77777777" w:rsidR="002C0FD9" w:rsidRPr="00CA25CF" w:rsidRDefault="002C0FD9" w:rsidP="00CA25CF">
            <w:pPr>
              <w:rPr>
                <w:rFonts w:cs="Arial"/>
                <w:color w:val="FF0000"/>
                <w:sz w:val="21"/>
                <w:szCs w:val="21"/>
              </w:rPr>
            </w:pPr>
          </w:p>
        </w:tc>
        <w:tc>
          <w:tcPr>
            <w:tcW w:w="217" w:type="dxa"/>
          </w:tcPr>
          <w:p w14:paraId="0A4E43FA" w14:textId="77777777" w:rsidR="002C0FD9" w:rsidRPr="00CA25CF" w:rsidRDefault="002C0FD9" w:rsidP="00CA25CF">
            <w:pPr>
              <w:rPr>
                <w:rFonts w:cs="Arial"/>
                <w:color w:val="FF0000"/>
                <w:sz w:val="21"/>
                <w:szCs w:val="21"/>
              </w:rPr>
            </w:pPr>
          </w:p>
        </w:tc>
        <w:tc>
          <w:tcPr>
            <w:tcW w:w="217" w:type="dxa"/>
          </w:tcPr>
          <w:p w14:paraId="77927C0C" w14:textId="77777777" w:rsidR="002C0FD9" w:rsidRPr="00CA25CF" w:rsidRDefault="002C0FD9" w:rsidP="00CA25CF">
            <w:pPr>
              <w:rPr>
                <w:rFonts w:cs="Arial"/>
                <w:color w:val="FF0000"/>
                <w:sz w:val="21"/>
                <w:szCs w:val="21"/>
              </w:rPr>
            </w:pPr>
          </w:p>
        </w:tc>
        <w:tc>
          <w:tcPr>
            <w:tcW w:w="217" w:type="dxa"/>
          </w:tcPr>
          <w:p w14:paraId="49ADDB55" w14:textId="77777777" w:rsidR="002C0FD9" w:rsidRPr="00CA25CF" w:rsidRDefault="002C0FD9" w:rsidP="00CA25CF">
            <w:pPr>
              <w:rPr>
                <w:rFonts w:cs="Arial"/>
                <w:color w:val="FF0000"/>
                <w:sz w:val="21"/>
                <w:szCs w:val="21"/>
              </w:rPr>
            </w:pPr>
          </w:p>
        </w:tc>
        <w:tc>
          <w:tcPr>
            <w:tcW w:w="217" w:type="dxa"/>
          </w:tcPr>
          <w:p w14:paraId="2DC43933" w14:textId="77777777" w:rsidR="002C0FD9" w:rsidRPr="00CA25CF" w:rsidRDefault="002C0FD9" w:rsidP="00CA25CF">
            <w:pPr>
              <w:rPr>
                <w:rFonts w:cs="Arial"/>
                <w:color w:val="FF0000"/>
                <w:sz w:val="21"/>
                <w:szCs w:val="21"/>
              </w:rPr>
            </w:pPr>
          </w:p>
        </w:tc>
        <w:tc>
          <w:tcPr>
            <w:tcW w:w="217" w:type="dxa"/>
          </w:tcPr>
          <w:p w14:paraId="5BD333E4" w14:textId="77777777" w:rsidR="002C0FD9" w:rsidRPr="00CA25CF" w:rsidRDefault="002C0FD9" w:rsidP="00CA25CF">
            <w:pPr>
              <w:rPr>
                <w:rFonts w:cs="Arial"/>
                <w:color w:val="FF0000"/>
                <w:sz w:val="21"/>
                <w:szCs w:val="21"/>
              </w:rPr>
            </w:pPr>
          </w:p>
        </w:tc>
        <w:tc>
          <w:tcPr>
            <w:tcW w:w="217" w:type="dxa"/>
          </w:tcPr>
          <w:p w14:paraId="507A8DEA" w14:textId="77777777" w:rsidR="002C0FD9" w:rsidRPr="00CA25CF" w:rsidRDefault="002C0FD9" w:rsidP="00CA25CF">
            <w:pPr>
              <w:rPr>
                <w:rFonts w:cs="Arial"/>
                <w:color w:val="FF0000"/>
                <w:sz w:val="21"/>
                <w:szCs w:val="21"/>
              </w:rPr>
            </w:pPr>
          </w:p>
        </w:tc>
        <w:tc>
          <w:tcPr>
            <w:tcW w:w="217" w:type="dxa"/>
          </w:tcPr>
          <w:p w14:paraId="08A32CEB" w14:textId="77777777" w:rsidR="002C0FD9" w:rsidRPr="00CA25CF" w:rsidRDefault="002C0FD9" w:rsidP="00CA25CF">
            <w:pPr>
              <w:rPr>
                <w:rFonts w:cs="Arial"/>
                <w:color w:val="FF0000"/>
                <w:sz w:val="21"/>
                <w:szCs w:val="21"/>
              </w:rPr>
            </w:pPr>
          </w:p>
        </w:tc>
        <w:tc>
          <w:tcPr>
            <w:tcW w:w="217" w:type="dxa"/>
          </w:tcPr>
          <w:p w14:paraId="76FEDDDA" w14:textId="77777777" w:rsidR="002C0FD9" w:rsidRPr="00CA25CF" w:rsidRDefault="002C0FD9" w:rsidP="00CA25CF">
            <w:pPr>
              <w:rPr>
                <w:rFonts w:cs="Arial"/>
                <w:color w:val="FF0000"/>
                <w:sz w:val="21"/>
                <w:szCs w:val="21"/>
              </w:rPr>
            </w:pPr>
          </w:p>
        </w:tc>
        <w:tc>
          <w:tcPr>
            <w:tcW w:w="217" w:type="dxa"/>
          </w:tcPr>
          <w:p w14:paraId="2A91F406" w14:textId="77777777" w:rsidR="002C0FD9" w:rsidRPr="00CA25CF" w:rsidRDefault="002C0FD9" w:rsidP="00CA25CF">
            <w:pPr>
              <w:rPr>
                <w:rFonts w:cs="Arial"/>
                <w:color w:val="FF0000"/>
                <w:sz w:val="21"/>
                <w:szCs w:val="21"/>
              </w:rPr>
            </w:pPr>
          </w:p>
        </w:tc>
        <w:tc>
          <w:tcPr>
            <w:tcW w:w="217" w:type="dxa"/>
          </w:tcPr>
          <w:p w14:paraId="3C4B5F60" w14:textId="77777777" w:rsidR="002C0FD9" w:rsidRPr="00CA25CF" w:rsidRDefault="002C0FD9" w:rsidP="00CA25CF">
            <w:pPr>
              <w:rPr>
                <w:rFonts w:cs="Arial"/>
                <w:color w:val="FF0000"/>
                <w:sz w:val="21"/>
                <w:szCs w:val="21"/>
              </w:rPr>
            </w:pPr>
          </w:p>
        </w:tc>
        <w:tc>
          <w:tcPr>
            <w:tcW w:w="217" w:type="dxa"/>
          </w:tcPr>
          <w:p w14:paraId="3296AD82" w14:textId="77777777" w:rsidR="002C0FD9" w:rsidRPr="00CA25CF" w:rsidRDefault="002C0FD9" w:rsidP="00CA25CF">
            <w:pPr>
              <w:rPr>
                <w:rFonts w:cs="Arial"/>
                <w:color w:val="FF0000"/>
                <w:sz w:val="21"/>
                <w:szCs w:val="21"/>
              </w:rPr>
            </w:pPr>
          </w:p>
        </w:tc>
        <w:tc>
          <w:tcPr>
            <w:tcW w:w="217" w:type="dxa"/>
          </w:tcPr>
          <w:p w14:paraId="598B2094" w14:textId="77777777" w:rsidR="002C0FD9" w:rsidRPr="00CA25CF" w:rsidRDefault="002C0FD9" w:rsidP="00CA25CF">
            <w:pPr>
              <w:rPr>
                <w:rFonts w:cs="Arial"/>
                <w:color w:val="FF0000"/>
                <w:sz w:val="21"/>
                <w:szCs w:val="21"/>
              </w:rPr>
            </w:pPr>
          </w:p>
        </w:tc>
        <w:tc>
          <w:tcPr>
            <w:tcW w:w="217" w:type="dxa"/>
          </w:tcPr>
          <w:p w14:paraId="496DAB20" w14:textId="77777777" w:rsidR="002C0FD9" w:rsidRPr="00CA25CF" w:rsidRDefault="002C0FD9" w:rsidP="00CA25CF">
            <w:pPr>
              <w:rPr>
                <w:rFonts w:cs="Arial"/>
                <w:color w:val="FF0000"/>
                <w:sz w:val="21"/>
                <w:szCs w:val="21"/>
              </w:rPr>
            </w:pPr>
          </w:p>
        </w:tc>
        <w:tc>
          <w:tcPr>
            <w:tcW w:w="217" w:type="dxa"/>
          </w:tcPr>
          <w:p w14:paraId="0F4AD0E8" w14:textId="77777777" w:rsidR="002C0FD9" w:rsidRPr="00CA25CF" w:rsidRDefault="002C0FD9" w:rsidP="00CA25CF">
            <w:pPr>
              <w:rPr>
                <w:rFonts w:cs="Arial"/>
                <w:color w:val="FF0000"/>
                <w:sz w:val="21"/>
                <w:szCs w:val="21"/>
              </w:rPr>
            </w:pPr>
          </w:p>
        </w:tc>
        <w:tc>
          <w:tcPr>
            <w:tcW w:w="217" w:type="dxa"/>
          </w:tcPr>
          <w:p w14:paraId="443D056F" w14:textId="77777777" w:rsidR="002C0FD9" w:rsidRPr="00CA25CF" w:rsidRDefault="002C0FD9" w:rsidP="00CA25CF">
            <w:pPr>
              <w:rPr>
                <w:rFonts w:cs="Arial"/>
                <w:color w:val="FF0000"/>
                <w:sz w:val="21"/>
                <w:szCs w:val="21"/>
              </w:rPr>
            </w:pPr>
          </w:p>
        </w:tc>
        <w:tc>
          <w:tcPr>
            <w:tcW w:w="217" w:type="dxa"/>
          </w:tcPr>
          <w:p w14:paraId="74065328" w14:textId="77777777" w:rsidR="002C0FD9" w:rsidRPr="00CA25CF" w:rsidRDefault="002C0FD9" w:rsidP="00CA25CF">
            <w:pPr>
              <w:rPr>
                <w:rFonts w:cs="Arial"/>
                <w:color w:val="FF0000"/>
                <w:sz w:val="21"/>
                <w:szCs w:val="21"/>
              </w:rPr>
            </w:pPr>
          </w:p>
        </w:tc>
        <w:tc>
          <w:tcPr>
            <w:tcW w:w="217" w:type="dxa"/>
          </w:tcPr>
          <w:p w14:paraId="31B10B96" w14:textId="77777777" w:rsidR="002C0FD9" w:rsidRPr="00CA25CF" w:rsidRDefault="002C0FD9" w:rsidP="00CA25CF">
            <w:pPr>
              <w:rPr>
                <w:rFonts w:cs="Arial"/>
                <w:color w:val="FF0000"/>
                <w:sz w:val="21"/>
                <w:szCs w:val="21"/>
              </w:rPr>
            </w:pPr>
          </w:p>
        </w:tc>
      </w:tr>
      <w:tr w:rsidR="002C0FD9" w:rsidRPr="00A16219" w14:paraId="26F29CB3" w14:textId="77777777" w:rsidTr="002C0FD9">
        <w:trPr>
          <w:trHeight w:val="635"/>
        </w:trPr>
        <w:tc>
          <w:tcPr>
            <w:tcW w:w="515" w:type="dxa"/>
          </w:tcPr>
          <w:p w14:paraId="200C9DA5" w14:textId="77777777" w:rsidR="002C0FD9" w:rsidRPr="00CA25CF" w:rsidRDefault="002C0FD9" w:rsidP="00CA25CF">
            <w:pPr>
              <w:rPr>
                <w:rFonts w:cs="Arial"/>
                <w:color w:val="FF0000"/>
                <w:sz w:val="21"/>
                <w:szCs w:val="21"/>
              </w:rPr>
            </w:pPr>
          </w:p>
        </w:tc>
        <w:tc>
          <w:tcPr>
            <w:tcW w:w="217" w:type="dxa"/>
          </w:tcPr>
          <w:p w14:paraId="1F088182" w14:textId="77777777" w:rsidR="002C0FD9" w:rsidRPr="00CA25CF" w:rsidRDefault="002C0FD9" w:rsidP="00CA25CF">
            <w:pPr>
              <w:rPr>
                <w:rFonts w:cs="Arial"/>
                <w:color w:val="FF0000"/>
                <w:sz w:val="21"/>
                <w:szCs w:val="21"/>
              </w:rPr>
            </w:pPr>
          </w:p>
        </w:tc>
        <w:tc>
          <w:tcPr>
            <w:tcW w:w="217" w:type="dxa"/>
          </w:tcPr>
          <w:p w14:paraId="245D2568" w14:textId="77777777" w:rsidR="002C0FD9" w:rsidRPr="00CA25CF" w:rsidRDefault="002C0FD9" w:rsidP="00CA25CF">
            <w:pPr>
              <w:rPr>
                <w:rFonts w:cs="Arial"/>
                <w:color w:val="FF0000"/>
                <w:sz w:val="21"/>
                <w:szCs w:val="21"/>
              </w:rPr>
            </w:pPr>
          </w:p>
        </w:tc>
        <w:tc>
          <w:tcPr>
            <w:tcW w:w="217" w:type="dxa"/>
          </w:tcPr>
          <w:p w14:paraId="2470BDB5" w14:textId="77777777" w:rsidR="002C0FD9" w:rsidRPr="00CA25CF" w:rsidRDefault="002C0FD9" w:rsidP="00CA25CF">
            <w:pPr>
              <w:rPr>
                <w:rFonts w:cs="Arial"/>
                <w:color w:val="FF0000"/>
                <w:sz w:val="21"/>
                <w:szCs w:val="21"/>
              </w:rPr>
            </w:pPr>
          </w:p>
        </w:tc>
        <w:tc>
          <w:tcPr>
            <w:tcW w:w="217" w:type="dxa"/>
          </w:tcPr>
          <w:p w14:paraId="142A81B4" w14:textId="77777777" w:rsidR="002C0FD9" w:rsidRPr="00CA25CF" w:rsidRDefault="002C0FD9" w:rsidP="00CA25CF">
            <w:pPr>
              <w:rPr>
                <w:rFonts w:cs="Arial"/>
                <w:color w:val="FF0000"/>
                <w:sz w:val="21"/>
                <w:szCs w:val="21"/>
              </w:rPr>
            </w:pPr>
          </w:p>
        </w:tc>
        <w:tc>
          <w:tcPr>
            <w:tcW w:w="217" w:type="dxa"/>
          </w:tcPr>
          <w:p w14:paraId="3DBE8BAA" w14:textId="77777777" w:rsidR="002C0FD9" w:rsidRPr="00CA25CF" w:rsidRDefault="002C0FD9" w:rsidP="00CA25CF">
            <w:pPr>
              <w:rPr>
                <w:rFonts w:cs="Arial"/>
                <w:color w:val="FF0000"/>
                <w:sz w:val="21"/>
                <w:szCs w:val="21"/>
              </w:rPr>
            </w:pPr>
          </w:p>
        </w:tc>
        <w:tc>
          <w:tcPr>
            <w:tcW w:w="217" w:type="dxa"/>
          </w:tcPr>
          <w:p w14:paraId="5200D837" w14:textId="77777777" w:rsidR="002C0FD9" w:rsidRPr="00CA25CF" w:rsidRDefault="002C0FD9" w:rsidP="00CA25CF">
            <w:pPr>
              <w:rPr>
                <w:rFonts w:cs="Arial"/>
                <w:color w:val="FF0000"/>
                <w:sz w:val="21"/>
                <w:szCs w:val="21"/>
              </w:rPr>
            </w:pPr>
          </w:p>
        </w:tc>
        <w:tc>
          <w:tcPr>
            <w:tcW w:w="217" w:type="dxa"/>
          </w:tcPr>
          <w:p w14:paraId="05739F8F" w14:textId="77777777" w:rsidR="002C0FD9" w:rsidRPr="00CA25CF" w:rsidRDefault="002C0FD9" w:rsidP="00CA25CF">
            <w:pPr>
              <w:rPr>
                <w:rFonts w:cs="Arial"/>
                <w:color w:val="FF0000"/>
                <w:sz w:val="21"/>
                <w:szCs w:val="21"/>
              </w:rPr>
            </w:pPr>
          </w:p>
        </w:tc>
        <w:tc>
          <w:tcPr>
            <w:tcW w:w="217" w:type="dxa"/>
          </w:tcPr>
          <w:p w14:paraId="3FBCE1CE" w14:textId="77777777" w:rsidR="002C0FD9" w:rsidRPr="00CA25CF" w:rsidRDefault="002C0FD9" w:rsidP="00CA25CF">
            <w:pPr>
              <w:rPr>
                <w:rFonts w:cs="Arial"/>
                <w:color w:val="FF0000"/>
                <w:sz w:val="21"/>
                <w:szCs w:val="21"/>
              </w:rPr>
            </w:pPr>
          </w:p>
        </w:tc>
        <w:tc>
          <w:tcPr>
            <w:tcW w:w="217" w:type="dxa"/>
          </w:tcPr>
          <w:p w14:paraId="4C2F5FCC" w14:textId="77777777" w:rsidR="002C0FD9" w:rsidRPr="00CA25CF" w:rsidRDefault="002C0FD9" w:rsidP="00CA25CF">
            <w:pPr>
              <w:rPr>
                <w:rFonts w:cs="Arial"/>
                <w:color w:val="FF0000"/>
                <w:sz w:val="21"/>
                <w:szCs w:val="21"/>
              </w:rPr>
            </w:pPr>
          </w:p>
        </w:tc>
        <w:tc>
          <w:tcPr>
            <w:tcW w:w="217" w:type="dxa"/>
          </w:tcPr>
          <w:p w14:paraId="507AE548" w14:textId="77777777" w:rsidR="002C0FD9" w:rsidRPr="00CA25CF" w:rsidRDefault="002C0FD9" w:rsidP="00CA25CF">
            <w:pPr>
              <w:rPr>
                <w:rFonts w:cs="Arial"/>
                <w:color w:val="FF0000"/>
                <w:sz w:val="21"/>
                <w:szCs w:val="21"/>
              </w:rPr>
            </w:pPr>
          </w:p>
        </w:tc>
        <w:tc>
          <w:tcPr>
            <w:tcW w:w="217" w:type="dxa"/>
          </w:tcPr>
          <w:p w14:paraId="15BAE2A3" w14:textId="77777777" w:rsidR="002C0FD9" w:rsidRPr="00CA25CF" w:rsidRDefault="002C0FD9" w:rsidP="00CA25CF">
            <w:pPr>
              <w:rPr>
                <w:rFonts w:cs="Arial"/>
                <w:color w:val="FF0000"/>
                <w:sz w:val="21"/>
                <w:szCs w:val="21"/>
              </w:rPr>
            </w:pPr>
          </w:p>
        </w:tc>
        <w:tc>
          <w:tcPr>
            <w:tcW w:w="217" w:type="dxa"/>
          </w:tcPr>
          <w:p w14:paraId="3D9534C6" w14:textId="77777777" w:rsidR="002C0FD9" w:rsidRPr="00CA25CF" w:rsidRDefault="002C0FD9" w:rsidP="00CA25CF">
            <w:pPr>
              <w:rPr>
                <w:rFonts w:cs="Arial"/>
                <w:color w:val="FF0000"/>
                <w:sz w:val="21"/>
                <w:szCs w:val="21"/>
              </w:rPr>
            </w:pPr>
          </w:p>
        </w:tc>
        <w:tc>
          <w:tcPr>
            <w:tcW w:w="217" w:type="dxa"/>
          </w:tcPr>
          <w:p w14:paraId="20165431" w14:textId="77777777" w:rsidR="002C0FD9" w:rsidRPr="00CA25CF" w:rsidRDefault="002C0FD9" w:rsidP="00CA25CF">
            <w:pPr>
              <w:rPr>
                <w:rFonts w:cs="Arial"/>
                <w:color w:val="FF0000"/>
                <w:sz w:val="21"/>
                <w:szCs w:val="21"/>
              </w:rPr>
            </w:pPr>
          </w:p>
        </w:tc>
        <w:tc>
          <w:tcPr>
            <w:tcW w:w="217" w:type="dxa"/>
          </w:tcPr>
          <w:p w14:paraId="13A8A17D" w14:textId="77777777" w:rsidR="002C0FD9" w:rsidRPr="00CA25CF" w:rsidRDefault="002C0FD9" w:rsidP="00CA25CF">
            <w:pPr>
              <w:rPr>
                <w:rFonts w:cs="Arial"/>
                <w:color w:val="FF0000"/>
                <w:sz w:val="21"/>
                <w:szCs w:val="21"/>
              </w:rPr>
            </w:pPr>
          </w:p>
        </w:tc>
        <w:tc>
          <w:tcPr>
            <w:tcW w:w="217" w:type="dxa"/>
          </w:tcPr>
          <w:p w14:paraId="4747E90A" w14:textId="77777777" w:rsidR="002C0FD9" w:rsidRPr="00CA25CF" w:rsidRDefault="002C0FD9" w:rsidP="00CA25CF">
            <w:pPr>
              <w:rPr>
                <w:rFonts w:cs="Arial"/>
                <w:color w:val="FF0000"/>
                <w:sz w:val="21"/>
                <w:szCs w:val="21"/>
              </w:rPr>
            </w:pPr>
          </w:p>
        </w:tc>
        <w:tc>
          <w:tcPr>
            <w:tcW w:w="217" w:type="dxa"/>
          </w:tcPr>
          <w:p w14:paraId="2CC3FA0D" w14:textId="77777777" w:rsidR="002C0FD9" w:rsidRPr="00CA25CF" w:rsidRDefault="002C0FD9" w:rsidP="00CA25CF">
            <w:pPr>
              <w:rPr>
                <w:rFonts w:cs="Arial"/>
                <w:color w:val="FF0000"/>
                <w:sz w:val="21"/>
                <w:szCs w:val="21"/>
              </w:rPr>
            </w:pPr>
          </w:p>
        </w:tc>
        <w:tc>
          <w:tcPr>
            <w:tcW w:w="217" w:type="dxa"/>
          </w:tcPr>
          <w:p w14:paraId="755CA142" w14:textId="77777777" w:rsidR="002C0FD9" w:rsidRPr="00CA25CF" w:rsidRDefault="002C0FD9" w:rsidP="00CA25CF">
            <w:pPr>
              <w:rPr>
                <w:rFonts w:cs="Arial"/>
                <w:color w:val="FF0000"/>
                <w:sz w:val="21"/>
                <w:szCs w:val="21"/>
              </w:rPr>
            </w:pPr>
          </w:p>
        </w:tc>
        <w:tc>
          <w:tcPr>
            <w:tcW w:w="217" w:type="dxa"/>
          </w:tcPr>
          <w:p w14:paraId="7DA34753" w14:textId="77777777" w:rsidR="002C0FD9" w:rsidRPr="00CA25CF" w:rsidRDefault="002C0FD9" w:rsidP="00CA25CF">
            <w:pPr>
              <w:rPr>
                <w:rFonts w:cs="Arial"/>
                <w:color w:val="FF0000"/>
                <w:sz w:val="21"/>
                <w:szCs w:val="21"/>
              </w:rPr>
            </w:pPr>
          </w:p>
        </w:tc>
        <w:tc>
          <w:tcPr>
            <w:tcW w:w="217" w:type="dxa"/>
          </w:tcPr>
          <w:p w14:paraId="7BF43FFF" w14:textId="77777777" w:rsidR="002C0FD9" w:rsidRPr="00CA25CF" w:rsidRDefault="002C0FD9" w:rsidP="00CA25CF">
            <w:pPr>
              <w:rPr>
                <w:rFonts w:cs="Arial"/>
                <w:color w:val="FF0000"/>
                <w:sz w:val="21"/>
                <w:szCs w:val="21"/>
              </w:rPr>
            </w:pPr>
          </w:p>
        </w:tc>
        <w:tc>
          <w:tcPr>
            <w:tcW w:w="217" w:type="dxa"/>
          </w:tcPr>
          <w:p w14:paraId="64481BC9" w14:textId="77777777" w:rsidR="002C0FD9" w:rsidRPr="00CA25CF" w:rsidRDefault="002C0FD9" w:rsidP="00CA25CF">
            <w:pPr>
              <w:rPr>
                <w:rFonts w:cs="Arial"/>
                <w:color w:val="FF0000"/>
                <w:sz w:val="21"/>
                <w:szCs w:val="21"/>
              </w:rPr>
            </w:pPr>
          </w:p>
        </w:tc>
        <w:tc>
          <w:tcPr>
            <w:tcW w:w="217" w:type="dxa"/>
          </w:tcPr>
          <w:p w14:paraId="3D5EDB7E" w14:textId="77777777" w:rsidR="002C0FD9" w:rsidRPr="00CA25CF" w:rsidRDefault="002C0FD9" w:rsidP="00CA25CF">
            <w:pPr>
              <w:rPr>
                <w:rFonts w:cs="Arial"/>
                <w:color w:val="FF0000"/>
                <w:sz w:val="21"/>
                <w:szCs w:val="21"/>
              </w:rPr>
            </w:pPr>
          </w:p>
        </w:tc>
        <w:tc>
          <w:tcPr>
            <w:tcW w:w="217" w:type="dxa"/>
          </w:tcPr>
          <w:p w14:paraId="7B1732B5" w14:textId="77777777" w:rsidR="002C0FD9" w:rsidRPr="00CA25CF" w:rsidRDefault="002C0FD9" w:rsidP="00CA25CF">
            <w:pPr>
              <w:rPr>
                <w:rFonts w:cs="Arial"/>
                <w:color w:val="FF0000"/>
                <w:sz w:val="21"/>
                <w:szCs w:val="21"/>
              </w:rPr>
            </w:pPr>
          </w:p>
        </w:tc>
        <w:tc>
          <w:tcPr>
            <w:tcW w:w="217" w:type="dxa"/>
          </w:tcPr>
          <w:p w14:paraId="440143F6" w14:textId="77777777" w:rsidR="002C0FD9" w:rsidRPr="00CA25CF" w:rsidRDefault="002C0FD9" w:rsidP="00CA25CF">
            <w:pPr>
              <w:rPr>
                <w:rFonts w:cs="Arial"/>
                <w:color w:val="FF0000"/>
                <w:sz w:val="21"/>
                <w:szCs w:val="21"/>
              </w:rPr>
            </w:pPr>
          </w:p>
        </w:tc>
        <w:tc>
          <w:tcPr>
            <w:tcW w:w="217" w:type="dxa"/>
          </w:tcPr>
          <w:p w14:paraId="7F991818" w14:textId="77777777" w:rsidR="002C0FD9" w:rsidRPr="00CA25CF" w:rsidRDefault="002C0FD9" w:rsidP="00CA25CF">
            <w:pPr>
              <w:rPr>
                <w:rFonts w:cs="Arial"/>
                <w:color w:val="FF0000"/>
                <w:sz w:val="21"/>
                <w:szCs w:val="21"/>
              </w:rPr>
            </w:pPr>
          </w:p>
        </w:tc>
        <w:tc>
          <w:tcPr>
            <w:tcW w:w="217" w:type="dxa"/>
          </w:tcPr>
          <w:p w14:paraId="2F3E47DB" w14:textId="77777777" w:rsidR="002C0FD9" w:rsidRPr="00CA25CF" w:rsidRDefault="002C0FD9" w:rsidP="00CA25CF">
            <w:pPr>
              <w:rPr>
                <w:rFonts w:cs="Arial"/>
                <w:color w:val="FF0000"/>
                <w:sz w:val="21"/>
                <w:szCs w:val="21"/>
              </w:rPr>
            </w:pPr>
          </w:p>
        </w:tc>
        <w:tc>
          <w:tcPr>
            <w:tcW w:w="217" w:type="dxa"/>
          </w:tcPr>
          <w:p w14:paraId="03576F0F" w14:textId="77777777" w:rsidR="002C0FD9" w:rsidRPr="00CA25CF" w:rsidRDefault="002C0FD9" w:rsidP="00CA25CF">
            <w:pPr>
              <w:rPr>
                <w:rFonts w:cs="Arial"/>
                <w:color w:val="FF0000"/>
                <w:sz w:val="21"/>
                <w:szCs w:val="21"/>
              </w:rPr>
            </w:pPr>
          </w:p>
        </w:tc>
        <w:tc>
          <w:tcPr>
            <w:tcW w:w="217" w:type="dxa"/>
          </w:tcPr>
          <w:p w14:paraId="4C4C4566" w14:textId="77777777" w:rsidR="002C0FD9" w:rsidRPr="00CA25CF" w:rsidRDefault="002C0FD9" w:rsidP="00CA25CF">
            <w:pPr>
              <w:rPr>
                <w:rFonts w:cs="Arial"/>
                <w:color w:val="FF0000"/>
                <w:sz w:val="21"/>
                <w:szCs w:val="21"/>
              </w:rPr>
            </w:pPr>
          </w:p>
        </w:tc>
        <w:tc>
          <w:tcPr>
            <w:tcW w:w="217" w:type="dxa"/>
          </w:tcPr>
          <w:p w14:paraId="250F47AD" w14:textId="77777777" w:rsidR="002C0FD9" w:rsidRPr="00CA25CF" w:rsidRDefault="002C0FD9" w:rsidP="00CA25CF">
            <w:pPr>
              <w:rPr>
                <w:rFonts w:cs="Arial"/>
                <w:color w:val="FF0000"/>
                <w:sz w:val="21"/>
                <w:szCs w:val="21"/>
              </w:rPr>
            </w:pPr>
          </w:p>
        </w:tc>
        <w:tc>
          <w:tcPr>
            <w:tcW w:w="217" w:type="dxa"/>
          </w:tcPr>
          <w:p w14:paraId="563D87B8" w14:textId="77777777" w:rsidR="002C0FD9" w:rsidRPr="00CA25CF" w:rsidRDefault="002C0FD9" w:rsidP="00CA25CF">
            <w:pPr>
              <w:rPr>
                <w:rFonts w:cs="Arial"/>
                <w:color w:val="FF0000"/>
                <w:sz w:val="21"/>
                <w:szCs w:val="21"/>
              </w:rPr>
            </w:pPr>
          </w:p>
        </w:tc>
        <w:tc>
          <w:tcPr>
            <w:tcW w:w="217" w:type="dxa"/>
          </w:tcPr>
          <w:p w14:paraId="118C8FD0" w14:textId="77777777" w:rsidR="002C0FD9" w:rsidRPr="00CA25CF" w:rsidRDefault="002C0FD9" w:rsidP="00CA25CF">
            <w:pPr>
              <w:rPr>
                <w:rFonts w:cs="Arial"/>
                <w:color w:val="FF0000"/>
                <w:sz w:val="21"/>
                <w:szCs w:val="21"/>
              </w:rPr>
            </w:pPr>
          </w:p>
        </w:tc>
        <w:tc>
          <w:tcPr>
            <w:tcW w:w="217" w:type="dxa"/>
          </w:tcPr>
          <w:p w14:paraId="5875DC9A" w14:textId="77777777" w:rsidR="002C0FD9" w:rsidRPr="00CA25CF" w:rsidRDefault="002C0FD9" w:rsidP="00CA25CF">
            <w:pPr>
              <w:rPr>
                <w:rFonts w:cs="Arial"/>
                <w:color w:val="FF0000"/>
                <w:sz w:val="21"/>
                <w:szCs w:val="21"/>
              </w:rPr>
            </w:pPr>
          </w:p>
        </w:tc>
        <w:tc>
          <w:tcPr>
            <w:tcW w:w="217" w:type="dxa"/>
          </w:tcPr>
          <w:p w14:paraId="3C9CE912" w14:textId="77777777" w:rsidR="002C0FD9" w:rsidRPr="00CA25CF" w:rsidRDefault="002C0FD9" w:rsidP="00CA25CF">
            <w:pPr>
              <w:rPr>
                <w:rFonts w:cs="Arial"/>
                <w:color w:val="FF0000"/>
                <w:sz w:val="21"/>
                <w:szCs w:val="21"/>
              </w:rPr>
            </w:pPr>
          </w:p>
        </w:tc>
        <w:tc>
          <w:tcPr>
            <w:tcW w:w="217" w:type="dxa"/>
          </w:tcPr>
          <w:p w14:paraId="6AA62B4E" w14:textId="77777777" w:rsidR="002C0FD9" w:rsidRPr="00CA25CF" w:rsidRDefault="002C0FD9" w:rsidP="00CA25CF">
            <w:pPr>
              <w:rPr>
                <w:rFonts w:cs="Arial"/>
                <w:color w:val="FF0000"/>
                <w:sz w:val="21"/>
                <w:szCs w:val="21"/>
              </w:rPr>
            </w:pPr>
          </w:p>
        </w:tc>
        <w:tc>
          <w:tcPr>
            <w:tcW w:w="217" w:type="dxa"/>
          </w:tcPr>
          <w:p w14:paraId="03D85264" w14:textId="77777777" w:rsidR="002C0FD9" w:rsidRPr="00CA25CF" w:rsidRDefault="002C0FD9" w:rsidP="00CA25CF">
            <w:pPr>
              <w:rPr>
                <w:rFonts w:cs="Arial"/>
                <w:color w:val="FF0000"/>
                <w:sz w:val="21"/>
                <w:szCs w:val="21"/>
              </w:rPr>
            </w:pPr>
          </w:p>
        </w:tc>
        <w:tc>
          <w:tcPr>
            <w:tcW w:w="217" w:type="dxa"/>
          </w:tcPr>
          <w:p w14:paraId="1CDD6DE5" w14:textId="77777777" w:rsidR="002C0FD9" w:rsidRPr="00CA25CF" w:rsidRDefault="002C0FD9" w:rsidP="00CA25CF">
            <w:pPr>
              <w:rPr>
                <w:rFonts w:cs="Arial"/>
                <w:color w:val="FF0000"/>
                <w:sz w:val="21"/>
                <w:szCs w:val="21"/>
              </w:rPr>
            </w:pPr>
          </w:p>
        </w:tc>
        <w:tc>
          <w:tcPr>
            <w:tcW w:w="217" w:type="dxa"/>
          </w:tcPr>
          <w:p w14:paraId="75CD9A11" w14:textId="77777777" w:rsidR="002C0FD9" w:rsidRPr="00CA25CF" w:rsidRDefault="002C0FD9" w:rsidP="00CA25CF">
            <w:pPr>
              <w:rPr>
                <w:rFonts w:cs="Arial"/>
                <w:color w:val="FF0000"/>
                <w:sz w:val="21"/>
                <w:szCs w:val="21"/>
              </w:rPr>
            </w:pPr>
          </w:p>
        </w:tc>
        <w:tc>
          <w:tcPr>
            <w:tcW w:w="217" w:type="dxa"/>
          </w:tcPr>
          <w:p w14:paraId="6B9C8100" w14:textId="77777777" w:rsidR="002C0FD9" w:rsidRPr="00CA25CF" w:rsidRDefault="002C0FD9" w:rsidP="00CA25CF">
            <w:pPr>
              <w:rPr>
                <w:rFonts w:cs="Arial"/>
                <w:color w:val="FF0000"/>
                <w:sz w:val="21"/>
                <w:szCs w:val="21"/>
              </w:rPr>
            </w:pPr>
          </w:p>
        </w:tc>
        <w:tc>
          <w:tcPr>
            <w:tcW w:w="217" w:type="dxa"/>
          </w:tcPr>
          <w:p w14:paraId="6E0DBC62" w14:textId="77777777" w:rsidR="002C0FD9" w:rsidRPr="00CA25CF" w:rsidRDefault="002C0FD9" w:rsidP="00CA25CF">
            <w:pPr>
              <w:rPr>
                <w:rFonts w:cs="Arial"/>
                <w:color w:val="FF0000"/>
                <w:sz w:val="21"/>
                <w:szCs w:val="21"/>
              </w:rPr>
            </w:pPr>
          </w:p>
        </w:tc>
        <w:tc>
          <w:tcPr>
            <w:tcW w:w="217" w:type="dxa"/>
          </w:tcPr>
          <w:p w14:paraId="2000DE49" w14:textId="77777777" w:rsidR="002C0FD9" w:rsidRPr="00CA25CF" w:rsidRDefault="002C0FD9" w:rsidP="00CA25CF">
            <w:pPr>
              <w:rPr>
                <w:rFonts w:cs="Arial"/>
                <w:color w:val="FF0000"/>
                <w:sz w:val="21"/>
                <w:szCs w:val="21"/>
              </w:rPr>
            </w:pPr>
          </w:p>
        </w:tc>
        <w:tc>
          <w:tcPr>
            <w:tcW w:w="217" w:type="dxa"/>
          </w:tcPr>
          <w:p w14:paraId="5C5C5289" w14:textId="77777777" w:rsidR="002C0FD9" w:rsidRPr="00CA25CF" w:rsidRDefault="002C0FD9" w:rsidP="00CA25CF">
            <w:pPr>
              <w:rPr>
                <w:rFonts w:cs="Arial"/>
                <w:color w:val="FF0000"/>
                <w:sz w:val="21"/>
                <w:szCs w:val="21"/>
              </w:rPr>
            </w:pPr>
          </w:p>
        </w:tc>
        <w:tc>
          <w:tcPr>
            <w:tcW w:w="217" w:type="dxa"/>
          </w:tcPr>
          <w:p w14:paraId="5CD73E90" w14:textId="77777777" w:rsidR="002C0FD9" w:rsidRPr="00CA25CF" w:rsidRDefault="002C0FD9" w:rsidP="00CA25CF">
            <w:pPr>
              <w:rPr>
                <w:rFonts w:cs="Arial"/>
                <w:color w:val="FF0000"/>
                <w:sz w:val="21"/>
                <w:szCs w:val="21"/>
              </w:rPr>
            </w:pPr>
          </w:p>
        </w:tc>
        <w:tc>
          <w:tcPr>
            <w:tcW w:w="217" w:type="dxa"/>
          </w:tcPr>
          <w:p w14:paraId="488810A0" w14:textId="77777777" w:rsidR="002C0FD9" w:rsidRPr="00CA25CF" w:rsidRDefault="002C0FD9" w:rsidP="00CA25CF">
            <w:pPr>
              <w:rPr>
                <w:rFonts w:cs="Arial"/>
                <w:color w:val="FF0000"/>
                <w:sz w:val="21"/>
                <w:szCs w:val="21"/>
              </w:rPr>
            </w:pPr>
          </w:p>
        </w:tc>
      </w:tr>
      <w:tr w:rsidR="002C0FD9" w:rsidRPr="00A16219" w14:paraId="041CE109" w14:textId="77777777" w:rsidTr="002C0FD9">
        <w:trPr>
          <w:trHeight w:val="635"/>
        </w:trPr>
        <w:tc>
          <w:tcPr>
            <w:tcW w:w="515" w:type="dxa"/>
          </w:tcPr>
          <w:p w14:paraId="447238F2" w14:textId="77777777" w:rsidR="002C0FD9" w:rsidRPr="00CA25CF" w:rsidRDefault="002C0FD9" w:rsidP="00CA25CF">
            <w:pPr>
              <w:rPr>
                <w:rFonts w:cs="Arial"/>
                <w:color w:val="FF0000"/>
                <w:sz w:val="21"/>
                <w:szCs w:val="21"/>
              </w:rPr>
            </w:pPr>
          </w:p>
        </w:tc>
        <w:tc>
          <w:tcPr>
            <w:tcW w:w="217" w:type="dxa"/>
          </w:tcPr>
          <w:p w14:paraId="6CFF8569" w14:textId="77777777" w:rsidR="002C0FD9" w:rsidRPr="00CA25CF" w:rsidRDefault="002C0FD9" w:rsidP="00CA25CF">
            <w:pPr>
              <w:rPr>
                <w:rFonts w:cs="Arial"/>
                <w:color w:val="FF0000"/>
                <w:sz w:val="21"/>
                <w:szCs w:val="21"/>
              </w:rPr>
            </w:pPr>
          </w:p>
        </w:tc>
        <w:tc>
          <w:tcPr>
            <w:tcW w:w="217" w:type="dxa"/>
          </w:tcPr>
          <w:p w14:paraId="21AE03C2" w14:textId="77777777" w:rsidR="002C0FD9" w:rsidRPr="00CA25CF" w:rsidRDefault="002C0FD9" w:rsidP="00CA25CF">
            <w:pPr>
              <w:rPr>
                <w:rFonts w:cs="Arial"/>
                <w:color w:val="FF0000"/>
                <w:sz w:val="21"/>
                <w:szCs w:val="21"/>
              </w:rPr>
            </w:pPr>
          </w:p>
        </w:tc>
        <w:tc>
          <w:tcPr>
            <w:tcW w:w="217" w:type="dxa"/>
          </w:tcPr>
          <w:p w14:paraId="2BD2F1A2" w14:textId="77777777" w:rsidR="002C0FD9" w:rsidRPr="00CA25CF" w:rsidRDefault="002C0FD9" w:rsidP="00CA25CF">
            <w:pPr>
              <w:rPr>
                <w:rFonts w:cs="Arial"/>
                <w:color w:val="FF0000"/>
                <w:sz w:val="21"/>
                <w:szCs w:val="21"/>
              </w:rPr>
            </w:pPr>
          </w:p>
        </w:tc>
        <w:tc>
          <w:tcPr>
            <w:tcW w:w="217" w:type="dxa"/>
          </w:tcPr>
          <w:p w14:paraId="568CAA9E" w14:textId="77777777" w:rsidR="002C0FD9" w:rsidRPr="00CA25CF" w:rsidRDefault="002C0FD9" w:rsidP="00CA25CF">
            <w:pPr>
              <w:rPr>
                <w:rFonts w:cs="Arial"/>
                <w:color w:val="FF0000"/>
                <w:sz w:val="21"/>
                <w:szCs w:val="21"/>
              </w:rPr>
            </w:pPr>
          </w:p>
        </w:tc>
        <w:tc>
          <w:tcPr>
            <w:tcW w:w="217" w:type="dxa"/>
          </w:tcPr>
          <w:p w14:paraId="6D7A5646" w14:textId="77777777" w:rsidR="002C0FD9" w:rsidRPr="00CA25CF" w:rsidRDefault="002C0FD9" w:rsidP="00CA25CF">
            <w:pPr>
              <w:rPr>
                <w:rFonts w:cs="Arial"/>
                <w:color w:val="FF0000"/>
                <w:sz w:val="21"/>
                <w:szCs w:val="21"/>
              </w:rPr>
            </w:pPr>
          </w:p>
        </w:tc>
        <w:tc>
          <w:tcPr>
            <w:tcW w:w="217" w:type="dxa"/>
          </w:tcPr>
          <w:p w14:paraId="094CA455" w14:textId="77777777" w:rsidR="002C0FD9" w:rsidRPr="00CA25CF" w:rsidRDefault="002C0FD9" w:rsidP="00CA25CF">
            <w:pPr>
              <w:rPr>
                <w:rFonts w:cs="Arial"/>
                <w:color w:val="FF0000"/>
                <w:sz w:val="21"/>
                <w:szCs w:val="21"/>
              </w:rPr>
            </w:pPr>
          </w:p>
        </w:tc>
        <w:tc>
          <w:tcPr>
            <w:tcW w:w="217" w:type="dxa"/>
          </w:tcPr>
          <w:p w14:paraId="5C490FBE" w14:textId="77777777" w:rsidR="002C0FD9" w:rsidRPr="00CA25CF" w:rsidRDefault="002C0FD9" w:rsidP="00CA25CF">
            <w:pPr>
              <w:rPr>
                <w:rFonts w:cs="Arial"/>
                <w:color w:val="FF0000"/>
                <w:sz w:val="21"/>
                <w:szCs w:val="21"/>
              </w:rPr>
            </w:pPr>
          </w:p>
        </w:tc>
        <w:tc>
          <w:tcPr>
            <w:tcW w:w="217" w:type="dxa"/>
          </w:tcPr>
          <w:p w14:paraId="79EDD512" w14:textId="77777777" w:rsidR="002C0FD9" w:rsidRPr="00CA25CF" w:rsidRDefault="002C0FD9" w:rsidP="00CA25CF">
            <w:pPr>
              <w:rPr>
                <w:rFonts w:cs="Arial"/>
                <w:color w:val="FF0000"/>
                <w:sz w:val="21"/>
                <w:szCs w:val="21"/>
              </w:rPr>
            </w:pPr>
          </w:p>
        </w:tc>
        <w:tc>
          <w:tcPr>
            <w:tcW w:w="217" w:type="dxa"/>
          </w:tcPr>
          <w:p w14:paraId="341406B4" w14:textId="77777777" w:rsidR="002C0FD9" w:rsidRPr="00CA25CF" w:rsidRDefault="002C0FD9" w:rsidP="00CA25CF">
            <w:pPr>
              <w:rPr>
                <w:rFonts w:cs="Arial"/>
                <w:color w:val="FF0000"/>
                <w:sz w:val="21"/>
                <w:szCs w:val="21"/>
              </w:rPr>
            </w:pPr>
          </w:p>
        </w:tc>
        <w:tc>
          <w:tcPr>
            <w:tcW w:w="217" w:type="dxa"/>
          </w:tcPr>
          <w:p w14:paraId="7F520845" w14:textId="77777777" w:rsidR="002C0FD9" w:rsidRPr="00CA25CF" w:rsidRDefault="002C0FD9" w:rsidP="00CA25CF">
            <w:pPr>
              <w:rPr>
                <w:rFonts w:cs="Arial"/>
                <w:color w:val="FF0000"/>
                <w:sz w:val="21"/>
                <w:szCs w:val="21"/>
              </w:rPr>
            </w:pPr>
          </w:p>
        </w:tc>
        <w:tc>
          <w:tcPr>
            <w:tcW w:w="217" w:type="dxa"/>
          </w:tcPr>
          <w:p w14:paraId="091439F4" w14:textId="77777777" w:rsidR="002C0FD9" w:rsidRPr="00CA25CF" w:rsidRDefault="002C0FD9" w:rsidP="00CA25CF">
            <w:pPr>
              <w:rPr>
                <w:rFonts w:cs="Arial"/>
                <w:color w:val="FF0000"/>
                <w:sz w:val="21"/>
                <w:szCs w:val="21"/>
              </w:rPr>
            </w:pPr>
          </w:p>
        </w:tc>
        <w:tc>
          <w:tcPr>
            <w:tcW w:w="217" w:type="dxa"/>
          </w:tcPr>
          <w:p w14:paraId="67FFF4EB" w14:textId="77777777" w:rsidR="002C0FD9" w:rsidRPr="00CA25CF" w:rsidRDefault="002C0FD9" w:rsidP="00CA25CF">
            <w:pPr>
              <w:rPr>
                <w:rFonts w:cs="Arial"/>
                <w:color w:val="FF0000"/>
                <w:sz w:val="21"/>
                <w:szCs w:val="21"/>
              </w:rPr>
            </w:pPr>
          </w:p>
        </w:tc>
        <w:tc>
          <w:tcPr>
            <w:tcW w:w="217" w:type="dxa"/>
          </w:tcPr>
          <w:p w14:paraId="6163CCD0" w14:textId="77777777" w:rsidR="002C0FD9" w:rsidRPr="00CA25CF" w:rsidRDefault="002C0FD9" w:rsidP="00CA25CF">
            <w:pPr>
              <w:rPr>
                <w:rFonts w:cs="Arial"/>
                <w:color w:val="FF0000"/>
                <w:sz w:val="21"/>
                <w:szCs w:val="21"/>
              </w:rPr>
            </w:pPr>
          </w:p>
        </w:tc>
        <w:tc>
          <w:tcPr>
            <w:tcW w:w="217" w:type="dxa"/>
          </w:tcPr>
          <w:p w14:paraId="4CB5218D" w14:textId="77777777" w:rsidR="002C0FD9" w:rsidRPr="00CA25CF" w:rsidRDefault="002C0FD9" w:rsidP="00CA25CF">
            <w:pPr>
              <w:rPr>
                <w:rFonts w:cs="Arial"/>
                <w:color w:val="FF0000"/>
                <w:sz w:val="21"/>
                <w:szCs w:val="21"/>
              </w:rPr>
            </w:pPr>
          </w:p>
        </w:tc>
        <w:tc>
          <w:tcPr>
            <w:tcW w:w="217" w:type="dxa"/>
          </w:tcPr>
          <w:p w14:paraId="5BD4FDD4" w14:textId="77777777" w:rsidR="002C0FD9" w:rsidRPr="00CA25CF" w:rsidRDefault="002C0FD9" w:rsidP="00CA25CF">
            <w:pPr>
              <w:rPr>
                <w:rFonts w:cs="Arial"/>
                <w:color w:val="FF0000"/>
                <w:sz w:val="21"/>
                <w:szCs w:val="21"/>
              </w:rPr>
            </w:pPr>
          </w:p>
        </w:tc>
        <w:tc>
          <w:tcPr>
            <w:tcW w:w="217" w:type="dxa"/>
          </w:tcPr>
          <w:p w14:paraId="151AA587" w14:textId="77777777" w:rsidR="002C0FD9" w:rsidRPr="00CA25CF" w:rsidRDefault="002C0FD9" w:rsidP="00CA25CF">
            <w:pPr>
              <w:rPr>
                <w:rFonts w:cs="Arial"/>
                <w:color w:val="FF0000"/>
                <w:sz w:val="21"/>
                <w:szCs w:val="21"/>
              </w:rPr>
            </w:pPr>
          </w:p>
        </w:tc>
        <w:tc>
          <w:tcPr>
            <w:tcW w:w="217" w:type="dxa"/>
          </w:tcPr>
          <w:p w14:paraId="3A4CFB05" w14:textId="77777777" w:rsidR="002C0FD9" w:rsidRPr="00CA25CF" w:rsidRDefault="002C0FD9" w:rsidP="00CA25CF">
            <w:pPr>
              <w:rPr>
                <w:rFonts w:cs="Arial"/>
                <w:color w:val="FF0000"/>
                <w:sz w:val="21"/>
                <w:szCs w:val="21"/>
              </w:rPr>
            </w:pPr>
          </w:p>
        </w:tc>
        <w:tc>
          <w:tcPr>
            <w:tcW w:w="217" w:type="dxa"/>
          </w:tcPr>
          <w:p w14:paraId="3646B387" w14:textId="77777777" w:rsidR="002C0FD9" w:rsidRPr="00CA25CF" w:rsidRDefault="002C0FD9" w:rsidP="00CA25CF">
            <w:pPr>
              <w:rPr>
                <w:rFonts w:cs="Arial"/>
                <w:color w:val="FF0000"/>
                <w:sz w:val="21"/>
                <w:szCs w:val="21"/>
              </w:rPr>
            </w:pPr>
          </w:p>
        </w:tc>
        <w:tc>
          <w:tcPr>
            <w:tcW w:w="217" w:type="dxa"/>
          </w:tcPr>
          <w:p w14:paraId="51620B2C" w14:textId="77777777" w:rsidR="002C0FD9" w:rsidRPr="00CA25CF" w:rsidRDefault="002C0FD9" w:rsidP="00CA25CF">
            <w:pPr>
              <w:rPr>
                <w:rFonts w:cs="Arial"/>
                <w:color w:val="FF0000"/>
                <w:sz w:val="21"/>
                <w:szCs w:val="21"/>
              </w:rPr>
            </w:pPr>
          </w:p>
        </w:tc>
        <w:tc>
          <w:tcPr>
            <w:tcW w:w="217" w:type="dxa"/>
          </w:tcPr>
          <w:p w14:paraId="39537B9D" w14:textId="77777777" w:rsidR="002C0FD9" w:rsidRPr="00CA25CF" w:rsidRDefault="002C0FD9" w:rsidP="00CA25CF">
            <w:pPr>
              <w:rPr>
                <w:rFonts w:cs="Arial"/>
                <w:color w:val="FF0000"/>
                <w:sz w:val="21"/>
                <w:szCs w:val="21"/>
              </w:rPr>
            </w:pPr>
          </w:p>
        </w:tc>
        <w:tc>
          <w:tcPr>
            <w:tcW w:w="217" w:type="dxa"/>
          </w:tcPr>
          <w:p w14:paraId="52BA0DB3" w14:textId="77777777" w:rsidR="002C0FD9" w:rsidRPr="00CA25CF" w:rsidRDefault="002C0FD9" w:rsidP="00CA25CF">
            <w:pPr>
              <w:rPr>
                <w:rFonts w:cs="Arial"/>
                <w:color w:val="FF0000"/>
                <w:sz w:val="21"/>
                <w:szCs w:val="21"/>
              </w:rPr>
            </w:pPr>
          </w:p>
        </w:tc>
        <w:tc>
          <w:tcPr>
            <w:tcW w:w="217" w:type="dxa"/>
          </w:tcPr>
          <w:p w14:paraId="46AC79CC" w14:textId="77777777" w:rsidR="002C0FD9" w:rsidRPr="00CA25CF" w:rsidRDefault="002C0FD9" w:rsidP="00CA25CF">
            <w:pPr>
              <w:rPr>
                <w:rFonts w:cs="Arial"/>
                <w:color w:val="FF0000"/>
                <w:sz w:val="21"/>
                <w:szCs w:val="21"/>
              </w:rPr>
            </w:pPr>
          </w:p>
        </w:tc>
        <w:tc>
          <w:tcPr>
            <w:tcW w:w="217" w:type="dxa"/>
          </w:tcPr>
          <w:p w14:paraId="61C964EB" w14:textId="77777777" w:rsidR="002C0FD9" w:rsidRPr="00CA25CF" w:rsidRDefault="002C0FD9" w:rsidP="00CA25CF">
            <w:pPr>
              <w:rPr>
                <w:rFonts w:cs="Arial"/>
                <w:color w:val="FF0000"/>
                <w:sz w:val="21"/>
                <w:szCs w:val="21"/>
              </w:rPr>
            </w:pPr>
          </w:p>
        </w:tc>
        <w:tc>
          <w:tcPr>
            <w:tcW w:w="217" w:type="dxa"/>
          </w:tcPr>
          <w:p w14:paraId="06317519" w14:textId="77777777" w:rsidR="002C0FD9" w:rsidRPr="00CA25CF" w:rsidRDefault="002C0FD9" w:rsidP="00CA25CF">
            <w:pPr>
              <w:rPr>
                <w:rFonts w:cs="Arial"/>
                <w:color w:val="FF0000"/>
                <w:sz w:val="21"/>
                <w:szCs w:val="21"/>
              </w:rPr>
            </w:pPr>
          </w:p>
        </w:tc>
        <w:tc>
          <w:tcPr>
            <w:tcW w:w="217" w:type="dxa"/>
          </w:tcPr>
          <w:p w14:paraId="3265FEE0" w14:textId="77777777" w:rsidR="002C0FD9" w:rsidRPr="00CA25CF" w:rsidRDefault="002C0FD9" w:rsidP="00CA25CF">
            <w:pPr>
              <w:rPr>
                <w:rFonts w:cs="Arial"/>
                <w:color w:val="FF0000"/>
                <w:sz w:val="21"/>
                <w:szCs w:val="21"/>
              </w:rPr>
            </w:pPr>
          </w:p>
        </w:tc>
        <w:tc>
          <w:tcPr>
            <w:tcW w:w="217" w:type="dxa"/>
          </w:tcPr>
          <w:p w14:paraId="0DEF9319" w14:textId="77777777" w:rsidR="002C0FD9" w:rsidRPr="00CA25CF" w:rsidRDefault="002C0FD9" w:rsidP="00CA25CF">
            <w:pPr>
              <w:rPr>
                <w:rFonts w:cs="Arial"/>
                <w:color w:val="FF0000"/>
                <w:sz w:val="21"/>
                <w:szCs w:val="21"/>
              </w:rPr>
            </w:pPr>
          </w:p>
        </w:tc>
        <w:tc>
          <w:tcPr>
            <w:tcW w:w="217" w:type="dxa"/>
          </w:tcPr>
          <w:p w14:paraId="3AEAD0A4" w14:textId="77777777" w:rsidR="002C0FD9" w:rsidRPr="00CA25CF" w:rsidRDefault="002C0FD9" w:rsidP="00CA25CF">
            <w:pPr>
              <w:rPr>
                <w:rFonts w:cs="Arial"/>
                <w:color w:val="FF0000"/>
                <w:sz w:val="21"/>
                <w:szCs w:val="21"/>
              </w:rPr>
            </w:pPr>
          </w:p>
        </w:tc>
        <w:tc>
          <w:tcPr>
            <w:tcW w:w="217" w:type="dxa"/>
          </w:tcPr>
          <w:p w14:paraId="5D530402" w14:textId="77777777" w:rsidR="002C0FD9" w:rsidRPr="00CA25CF" w:rsidRDefault="002C0FD9" w:rsidP="00CA25CF">
            <w:pPr>
              <w:rPr>
                <w:rFonts w:cs="Arial"/>
                <w:color w:val="FF0000"/>
                <w:sz w:val="21"/>
                <w:szCs w:val="21"/>
              </w:rPr>
            </w:pPr>
          </w:p>
        </w:tc>
        <w:tc>
          <w:tcPr>
            <w:tcW w:w="217" w:type="dxa"/>
          </w:tcPr>
          <w:p w14:paraId="54CDB829" w14:textId="77777777" w:rsidR="002C0FD9" w:rsidRPr="00CA25CF" w:rsidRDefault="002C0FD9" w:rsidP="00CA25CF">
            <w:pPr>
              <w:rPr>
                <w:rFonts w:cs="Arial"/>
                <w:color w:val="FF0000"/>
                <w:sz w:val="21"/>
                <w:szCs w:val="21"/>
              </w:rPr>
            </w:pPr>
          </w:p>
        </w:tc>
        <w:tc>
          <w:tcPr>
            <w:tcW w:w="217" w:type="dxa"/>
          </w:tcPr>
          <w:p w14:paraId="731EEB43" w14:textId="77777777" w:rsidR="002C0FD9" w:rsidRPr="00CA25CF" w:rsidRDefault="002C0FD9" w:rsidP="00CA25CF">
            <w:pPr>
              <w:rPr>
                <w:rFonts w:cs="Arial"/>
                <w:color w:val="FF0000"/>
                <w:sz w:val="21"/>
                <w:szCs w:val="21"/>
              </w:rPr>
            </w:pPr>
          </w:p>
        </w:tc>
        <w:tc>
          <w:tcPr>
            <w:tcW w:w="217" w:type="dxa"/>
          </w:tcPr>
          <w:p w14:paraId="0434588A" w14:textId="77777777" w:rsidR="002C0FD9" w:rsidRPr="00CA25CF" w:rsidRDefault="002C0FD9" w:rsidP="00CA25CF">
            <w:pPr>
              <w:rPr>
                <w:rFonts w:cs="Arial"/>
                <w:color w:val="FF0000"/>
                <w:sz w:val="21"/>
                <w:szCs w:val="21"/>
              </w:rPr>
            </w:pPr>
          </w:p>
        </w:tc>
        <w:tc>
          <w:tcPr>
            <w:tcW w:w="217" w:type="dxa"/>
          </w:tcPr>
          <w:p w14:paraId="67354886" w14:textId="77777777" w:rsidR="002C0FD9" w:rsidRPr="00CA25CF" w:rsidRDefault="002C0FD9" w:rsidP="00CA25CF">
            <w:pPr>
              <w:rPr>
                <w:rFonts w:cs="Arial"/>
                <w:color w:val="FF0000"/>
                <w:sz w:val="21"/>
                <w:szCs w:val="21"/>
              </w:rPr>
            </w:pPr>
          </w:p>
        </w:tc>
        <w:tc>
          <w:tcPr>
            <w:tcW w:w="217" w:type="dxa"/>
          </w:tcPr>
          <w:p w14:paraId="022C24D6" w14:textId="77777777" w:rsidR="002C0FD9" w:rsidRPr="00CA25CF" w:rsidRDefault="002C0FD9" w:rsidP="00CA25CF">
            <w:pPr>
              <w:rPr>
                <w:rFonts w:cs="Arial"/>
                <w:color w:val="FF0000"/>
                <w:sz w:val="21"/>
                <w:szCs w:val="21"/>
              </w:rPr>
            </w:pPr>
          </w:p>
        </w:tc>
        <w:tc>
          <w:tcPr>
            <w:tcW w:w="217" w:type="dxa"/>
          </w:tcPr>
          <w:p w14:paraId="728DC549" w14:textId="77777777" w:rsidR="002C0FD9" w:rsidRPr="00CA25CF" w:rsidRDefault="002C0FD9" w:rsidP="00CA25CF">
            <w:pPr>
              <w:rPr>
                <w:rFonts w:cs="Arial"/>
                <w:color w:val="FF0000"/>
                <w:sz w:val="21"/>
                <w:szCs w:val="21"/>
              </w:rPr>
            </w:pPr>
          </w:p>
        </w:tc>
        <w:tc>
          <w:tcPr>
            <w:tcW w:w="217" w:type="dxa"/>
          </w:tcPr>
          <w:p w14:paraId="43D66D6B" w14:textId="77777777" w:rsidR="002C0FD9" w:rsidRPr="00CA25CF" w:rsidRDefault="002C0FD9" w:rsidP="00CA25CF">
            <w:pPr>
              <w:rPr>
                <w:rFonts w:cs="Arial"/>
                <w:color w:val="FF0000"/>
                <w:sz w:val="21"/>
                <w:szCs w:val="21"/>
              </w:rPr>
            </w:pPr>
          </w:p>
        </w:tc>
        <w:tc>
          <w:tcPr>
            <w:tcW w:w="217" w:type="dxa"/>
          </w:tcPr>
          <w:p w14:paraId="143081DB" w14:textId="77777777" w:rsidR="002C0FD9" w:rsidRPr="00CA25CF" w:rsidRDefault="002C0FD9" w:rsidP="00CA25CF">
            <w:pPr>
              <w:rPr>
                <w:rFonts w:cs="Arial"/>
                <w:color w:val="FF0000"/>
                <w:sz w:val="21"/>
                <w:szCs w:val="21"/>
              </w:rPr>
            </w:pPr>
          </w:p>
        </w:tc>
        <w:tc>
          <w:tcPr>
            <w:tcW w:w="217" w:type="dxa"/>
          </w:tcPr>
          <w:p w14:paraId="23F27C30" w14:textId="77777777" w:rsidR="002C0FD9" w:rsidRPr="00CA25CF" w:rsidRDefault="002C0FD9" w:rsidP="00CA25CF">
            <w:pPr>
              <w:rPr>
                <w:rFonts w:cs="Arial"/>
                <w:color w:val="FF0000"/>
                <w:sz w:val="21"/>
                <w:szCs w:val="21"/>
              </w:rPr>
            </w:pPr>
          </w:p>
        </w:tc>
        <w:tc>
          <w:tcPr>
            <w:tcW w:w="217" w:type="dxa"/>
          </w:tcPr>
          <w:p w14:paraId="2892F7CF" w14:textId="77777777" w:rsidR="002C0FD9" w:rsidRPr="00CA25CF" w:rsidRDefault="002C0FD9" w:rsidP="00CA25CF">
            <w:pPr>
              <w:rPr>
                <w:rFonts w:cs="Arial"/>
                <w:color w:val="FF0000"/>
                <w:sz w:val="21"/>
                <w:szCs w:val="21"/>
              </w:rPr>
            </w:pPr>
          </w:p>
        </w:tc>
        <w:tc>
          <w:tcPr>
            <w:tcW w:w="217" w:type="dxa"/>
          </w:tcPr>
          <w:p w14:paraId="293986C9" w14:textId="77777777" w:rsidR="002C0FD9" w:rsidRPr="00CA25CF" w:rsidRDefault="002C0FD9" w:rsidP="00CA25CF">
            <w:pPr>
              <w:rPr>
                <w:rFonts w:cs="Arial"/>
                <w:color w:val="FF0000"/>
                <w:sz w:val="21"/>
                <w:szCs w:val="21"/>
              </w:rPr>
            </w:pPr>
          </w:p>
        </w:tc>
        <w:tc>
          <w:tcPr>
            <w:tcW w:w="217" w:type="dxa"/>
          </w:tcPr>
          <w:p w14:paraId="1EF4848B" w14:textId="77777777" w:rsidR="002C0FD9" w:rsidRPr="00CA25CF" w:rsidRDefault="002C0FD9" w:rsidP="00CA25CF">
            <w:pPr>
              <w:rPr>
                <w:rFonts w:cs="Arial"/>
                <w:color w:val="FF0000"/>
                <w:sz w:val="21"/>
                <w:szCs w:val="21"/>
              </w:rPr>
            </w:pPr>
          </w:p>
        </w:tc>
        <w:tc>
          <w:tcPr>
            <w:tcW w:w="217" w:type="dxa"/>
          </w:tcPr>
          <w:p w14:paraId="258D92D4" w14:textId="77777777" w:rsidR="002C0FD9" w:rsidRPr="00CA25CF" w:rsidRDefault="002C0FD9" w:rsidP="00CA25CF">
            <w:pPr>
              <w:rPr>
                <w:rFonts w:cs="Arial"/>
                <w:color w:val="FF0000"/>
                <w:sz w:val="21"/>
                <w:szCs w:val="21"/>
              </w:rPr>
            </w:pPr>
          </w:p>
        </w:tc>
        <w:tc>
          <w:tcPr>
            <w:tcW w:w="217" w:type="dxa"/>
          </w:tcPr>
          <w:p w14:paraId="434689AF" w14:textId="77777777" w:rsidR="002C0FD9" w:rsidRPr="00CA25CF" w:rsidRDefault="002C0FD9" w:rsidP="00CA25CF">
            <w:pPr>
              <w:rPr>
                <w:rFonts w:cs="Arial"/>
                <w:color w:val="FF0000"/>
                <w:sz w:val="21"/>
                <w:szCs w:val="21"/>
              </w:rPr>
            </w:pPr>
          </w:p>
        </w:tc>
      </w:tr>
      <w:tr w:rsidR="002C0FD9" w:rsidRPr="00A16219" w14:paraId="4DF8075C" w14:textId="77777777" w:rsidTr="002C0FD9">
        <w:trPr>
          <w:trHeight w:val="635"/>
        </w:trPr>
        <w:tc>
          <w:tcPr>
            <w:tcW w:w="515" w:type="dxa"/>
          </w:tcPr>
          <w:p w14:paraId="62F1BD4E" w14:textId="77777777" w:rsidR="002C0FD9" w:rsidRPr="00CA25CF" w:rsidRDefault="002C0FD9" w:rsidP="00CA25CF">
            <w:pPr>
              <w:rPr>
                <w:rFonts w:cs="Arial"/>
                <w:color w:val="FF0000"/>
                <w:sz w:val="21"/>
                <w:szCs w:val="21"/>
              </w:rPr>
            </w:pPr>
          </w:p>
        </w:tc>
        <w:tc>
          <w:tcPr>
            <w:tcW w:w="217" w:type="dxa"/>
          </w:tcPr>
          <w:p w14:paraId="6EF84B86" w14:textId="77777777" w:rsidR="002C0FD9" w:rsidRPr="00CA25CF" w:rsidRDefault="002C0FD9" w:rsidP="00CA25CF">
            <w:pPr>
              <w:rPr>
                <w:rFonts w:cs="Arial"/>
                <w:color w:val="FF0000"/>
                <w:sz w:val="21"/>
                <w:szCs w:val="21"/>
              </w:rPr>
            </w:pPr>
          </w:p>
        </w:tc>
        <w:tc>
          <w:tcPr>
            <w:tcW w:w="217" w:type="dxa"/>
          </w:tcPr>
          <w:p w14:paraId="46764CFD" w14:textId="77777777" w:rsidR="002C0FD9" w:rsidRPr="00CA25CF" w:rsidRDefault="002C0FD9" w:rsidP="00CA25CF">
            <w:pPr>
              <w:rPr>
                <w:rFonts w:cs="Arial"/>
                <w:color w:val="FF0000"/>
                <w:sz w:val="21"/>
                <w:szCs w:val="21"/>
              </w:rPr>
            </w:pPr>
          </w:p>
        </w:tc>
        <w:tc>
          <w:tcPr>
            <w:tcW w:w="217" w:type="dxa"/>
          </w:tcPr>
          <w:p w14:paraId="437462BF" w14:textId="77777777" w:rsidR="002C0FD9" w:rsidRPr="00CA25CF" w:rsidRDefault="002C0FD9" w:rsidP="00CA25CF">
            <w:pPr>
              <w:rPr>
                <w:rFonts w:cs="Arial"/>
                <w:color w:val="FF0000"/>
                <w:sz w:val="21"/>
                <w:szCs w:val="21"/>
              </w:rPr>
            </w:pPr>
          </w:p>
        </w:tc>
        <w:tc>
          <w:tcPr>
            <w:tcW w:w="217" w:type="dxa"/>
          </w:tcPr>
          <w:p w14:paraId="62FD153F" w14:textId="77777777" w:rsidR="002C0FD9" w:rsidRPr="00CA25CF" w:rsidRDefault="002C0FD9" w:rsidP="00CA25CF">
            <w:pPr>
              <w:rPr>
                <w:rFonts w:cs="Arial"/>
                <w:color w:val="FF0000"/>
                <w:sz w:val="21"/>
                <w:szCs w:val="21"/>
              </w:rPr>
            </w:pPr>
          </w:p>
        </w:tc>
        <w:tc>
          <w:tcPr>
            <w:tcW w:w="217" w:type="dxa"/>
          </w:tcPr>
          <w:p w14:paraId="22250641" w14:textId="77777777" w:rsidR="002C0FD9" w:rsidRPr="00CA25CF" w:rsidRDefault="002C0FD9" w:rsidP="00CA25CF">
            <w:pPr>
              <w:rPr>
                <w:rFonts w:cs="Arial"/>
                <w:color w:val="FF0000"/>
                <w:sz w:val="21"/>
                <w:szCs w:val="21"/>
              </w:rPr>
            </w:pPr>
          </w:p>
        </w:tc>
        <w:tc>
          <w:tcPr>
            <w:tcW w:w="217" w:type="dxa"/>
          </w:tcPr>
          <w:p w14:paraId="016DA277" w14:textId="77777777" w:rsidR="002C0FD9" w:rsidRPr="00CA25CF" w:rsidRDefault="002C0FD9" w:rsidP="00CA25CF">
            <w:pPr>
              <w:rPr>
                <w:rFonts w:cs="Arial"/>
                <w:color w:val="FF0000"/>
                <w:sz w:val="21"/>
                <w:szCs w:val="21"/>
              </w:rPr>
            </w:pPr>
          </w:p>
        </w:tc>
        <w:tc>
          <w:tcPr>
            <w:tcW w:w="217" w:type="dxa"/>
          </w:tcPr>
          <w:p w14:paraId="65FE6135" w14:textId="77777777" w:rsidR="002C0FD9" w:rsidRPr="00CA25CF" w:rsidRDefault="002C0FD9" w:rsidP="00CA25CF">
            <w:pPr>
              <w:rPr>
                <w:rFonts w:cs="Arial"/>
                <w:color w:val="FF0000"/>
                <w:sz w:val="21"/>
                <w:szCs w:val="21"/>
              </w:rPr>
            </w:pPr>
          </w:p>
        </w:tc>
        <w:tc>
          <w:tcPr>
            <w:tcW w:w="217" w:type="dxa"/>
          </w:tcPr>
          <w:p w14:paraId="6AE40E03" w14:textId="77777777" w:rsidR="002C0FD9" w:rsidRPr="00CA25CF" w:rsidRDefault="002C0FD9" w:rsidP="00CA25CF">
            <w:pPr>
              <w:rPr>
                <w:rFonts w:cs="Arial"/>
                <w:color w:val="FF0000"/>
                <w:sz w:val="21"/>
                <w:szCs w:val="21"/>
              </w:rPr>
            </w:pPr>
          </w:p>
        </w:tc>
        <w:tc>
          <w:tcPr>
            <w:tcW w:w="217" w:type="dxa"/>
          </w:tcPr>
          <w:p w14:paraId="49FA73A3" w14:textId="77777777" w:rsidR="002C0FD9" w:rsidRPr="00CA25CF" w:rsidRDefault="002C0FD9" w:rsidP="00CA25CF">
            <w:pPr>
              <w:rPr>
                <w:rFonts w:cs="Arial"/>
                <w:color w:val="FF0000"/>
                <w:sz w:val="21"/>
                <w:szCs w:val="21"/>
              </w:rPr>
            </w:pPr>
          </w:p>
        </w:tc>
        <w:tc>
          <w:tcPr>
            <w:tcW w:w="217" w:type="dxa"/>
          </w:tcPr>
          <w:p w14:paraId="2833194B" w14:textId="77777777" w:rsidR="002C0FD9" w:rsidRPr="00CA25CF" w:rsidRDefault="002C0FD9" w:rsidP="00CA25CF">
            <w:pPr>
              <w:rPr>
                <w:rFonts w:cs="Arial"/>
                <w:color w:val="FF0000"/>
                <w:sz w:val="21"/>
                <w:szCs w:val="21"/>
              </w:rPr>
            </w:pPr>
          </w:p>
        </w:tc>
        <w:tc>
          <w:tcPr>
            <w:tcW w:w="217" w:type="dxa"/>
          </w:tcPr>
          <w:p w14:paraId="4B5E2D5C" w14:textId="77777777" w:rsidR="002C0FD9" w:rsidRPr="00CA25CF" w:rsidRDefault="002C0FD9" w:rsidP="00CA25CF">
            <w:pPr>
              <w:rPr>
                <w:rFonts w:cs="Arial"/>
                <w:color w:val="FF0000"/>
                <w:sz w:val="21"/>
                <w:szCs w:val="21"/>
              </w:rPr>
            </w:pPr>
          </w:p>
        </w:tc>
        <w:tc>
          <w:tcPr>
            <w:tcW w:w="217" w:type="dxa"/>
          </w:tcPr>
          <w:p w14:paraId="76FEF776" w14:textId="77777777" w:rsidR="002C0FD9" w:rsidRPr="00CA25CF" w:rsidRDefault="002C0FD9" w:rsidP="00CA25CF">
            <w:pPr>
              <w:rPr>
                <w:rFonts w:cs="Arial"/>
                <w:color w:val="FF0000"/>
                <w:sz w:val="21"/>
                <w:szCs w:val="21"/>
              </w:rPr>
            </w:pPr>
          </w:p>
        </w:tc>
        <w:tc>
          <w:tcPr>
            <w:tcW w:w="217" w:type="dxa"/>
          </w:tcPr>
          <w:p w14:paraId="2E68704A" w14:textId="77777777" w:rsidR="002C0FD9" w:rsidRPr="00CA25CF" w:rsidRDefault="002C0FD9" w:rsidP="00CA25CF">
            <w:pPr>
              <w:rPr>
                <w:rFonts w:cs="Arial"/>
                <w:color w:val="FF0000"/>
                <w:sz w:val="21"/>
                <w:szCs w:val="21"/>
              </w:rPr>
            </w:pPr>
          </w:p>
        </w:tc>
        <w:tc>
          <w:tcPr>
            <w:tcW w:w="217" w:type="dxa"/>
          </w:tcPr>
          <w:p w14:paraId="77A89B79" w14:textId="77777777" w:rsidR="002C0FD9" w:rsidRPr="00CA25CF" w:rsidRDefault="002C0FD9" w:rsidP="00CA25CF">
            <w:pPr>
              <w:rPr>
                <w:rFonts w:cs="Arial"/>
                <w:color w:val="FF0000"/>
                <w:sz w:val="21"/>
                <w:szCs w:val="21"/>
              </w:rPr>
            </w:pPr>
          </w:p>
        </w:tc>
        <w:tc>
          <w:tcPr>
            <w:tcW w:w="217" w:type="dxa"/>
          </w:tcPr>
          <w:p w14:paraId="1A6173EF" w14:textId="77777777" w:rsidR="002C0FD9" w:rsidRPr="00CA25CF" w:rsidRDefault="002C0FD9" w:rsidP="00CA25CF">
            <w:pPr>
              <w:rPr>
                <w:rFonts w:cs="Arial"/>
                <w:color w:val="FF0000"/>
                <w:sz w:val="21"/>
                <w:szCs w:val="21"/>
              </w:rPr>
            </w:pPr>
          </w:p>
        </w:tc>
        <w:tc>
          <w:tcPr>
            <w:tcW w:w="217" w:type="dxa"/>
          </w:tcPr>
          <w:p w14:paraId="27A95EC8" w14:textId="77777777" w:rsidR="002C0FD9" w:rsidRPr="00CA25CF" w:rsidRDefault="002C0FD9" w:rsidP="00CA25CF">
            <w:pPr>
              <w:rPr>
                <w:rFonts w:cs="Arial"/>
                <w:color w:val="FF0000"/>
                <w:sz w:val="21"/>
                <w:szCs w:val="21"/>
              </w:rPr>
            </w:pPr>
          </w:p>
        </w:tc>
        <w:tc>
          <w:tcPr>
            <w:tcW w:w="217" w:type="dxa"/>
          </w:tcPr>
          <w:p w14:paraId="27A5F906" w14:textId="77777777" w:rsidR="002C0FD9" w:rsidRPr="00CA25CF" w:rsidRDefault="002C0FD9" w:rsidP="00CA25CF">
            <w:pPr>
              <w:rPr>
                <w:rFonts w:cs="Arial"/>
                <w:color w:val="FF0000"/>
                <w:sz w:val="21"/>
                <w:szCs w:val="21"/>
              </w:rPr>
            </w:pPr>
          </w:p>
        </w:tc>
        <w:tc>
          <w:tcPr>
            <w:tcW w:w="217" w:type="dxa"/>
          </w:tcPr>
          <w:p w14:paraId="254F10E8" w14:textId="77777777" w:rsidR="002C0FD9" w:rsidRPr="00CA25CF" w:rsidRDefault="002C0FD9" w:rsidP="00CA25CF">
            <w:pPr>
              <w:rPr>
                <w:rFonts w:cs="Arial"/>
                <w:color w:val="FF0000"/>
                <w:sz w:val="21"/>
                <w:szCs w:val="21"/>
              </w:rPr>
            </w:pPr>
          </w:p>
        </w:tc>
        <w:tc>
          <w:tcPr>
            <w:tcW w:w="217" w:type="dxa"/>
          </w:tcPr>
          <w:p w14:paraId="654850D2" w14:textId="77777777" w:rsidR="002C0FD9" w:rsidRPr="00CA25CF" w:rsidRDefault="002C0FD9" w:rsidP="00CA25CF">
            <w:pPr>
              <w:rPr>
                <w:rFonts w:cs="Arial"/>
                <w:color w:val="FF0000"/>
                <w:sz w:val="21"/>
                <w:szCs w:val="21"/>
              </w:rPr>
            </w:pPr>
          </w:p>
        </w:tc>
        <w:tc>
          <w:tcPr>
            <w:tcW w:w="217" w:type="dxa"/>
          </w:tcPr>
          <w:p w14:paraId="22517F81" w14:textId="77777777" w:rsidR="002C0FD9" w:rsidRPr="00CA25CF" w:rsidRDefault="002C0FD9" w:rsidP="00CA25CF">
            <w:pPr>
              <w:rPr>
                <w:rFonts w:cs="Arial"/>
                <w:color w:val="FF0000"/>
                <w:sz w:val="21"/>
                <w:szCs w:val="21"/>
              </w:rPr>
            </w:pPr>
          </w:p>
        </w:tc>
        <w:tc>
          <w:tcPr>
            <w:tcW w:w="217" w:type="dxa"/>
          </w:tcPr>
          <w:p w14:paraId="2B952AF7" w14:textId="77777777" w:rsidR="002C0FD9" w:rsidRPr="00CA25CF" w:rsidRDefault="002C0FD9" w:rsidP="00CA25CF">
            <w:pPr>
              <w:rPr>
                <w:rFonts w:cs="Arial"/>
                <w:color w:val="FF0000"/>
                <w:sz w:val="21"/>
                <w:szCs w:val="21"/>
              </w:rPr>
            </w:pPr>
          </w:p>
        </w:tc>
        <w:tc>
          <w:tcPr>
            <w:tcW w:w="217" w:type="dxa"/>
          </w:tcPr>
          <w:p w14:paraId="149E1AED" w14:textId="77777777" w:rsidR="002C0FD9" w:rsidRPr="00CA25CF" w:rsidRDefault="002C0FD9" w:rsidP="00CA25CF">
            <w:pPr>
              <w:rPr>
                <w:rFonts w:cs="Arial"/>
                <w:color w:val="FF0000"/>
                <w:sz w:val="21"/>
                <w:szCs w:val="21"/>
              </w:rPr>
            </w:pPr>
          </w:p>
        </w:tc>
        <w:tc>
          <w:tcPr>
            <w:tcW w:w="217" w:type="dxa"/>
          </w:tcPr>
          <w:p w14:paraId="107BBDBB" w14:textId="77777777" w:rsidR="002C0FD9" w:rsidRPr="00CA25CF" w:rsidRDefault="002C0FD9" w:rsidP="00CA25CF">
            <w:pPr>
              <w:rPr>
                <w:rFonts w:cs="Arial"/>
                <w:color w:val="FF0000"/>
                <w:sz w:val="21"/>
                <w:szCs w:val="21"/>
              </w:rPr>
            </w:pPr>
          </w:p>
        </w:tc>
        <w:tc>
          <w:tcPr>
            <w:tcW w:w="217" w:type="dxa"/>
          </w:tcPr>
          <w:p w14:paraId="762A7B48" w14:textId="77777777" w:rsidR="002C0FD9" w:rsidRPr="00CA25CF" w:rsidRDefault="002C0FD9" w:rsidP="00CA25CF">
            <w:pPr>
              <w:rPr>
                <w:rFonts w:cs="Arial"/>
                <w:color w:val="FF0000"/>
                <w:sz w:val="21"/>
                <w:szCs w:val="21"/>
              </w:rPr>
            </w:pPr>
          </w:p>
        </w:tc>
        <w:tc>
          <w:tcPr>
            <w:tcW w:w="217" w:type="dxa"/>
          </w:tcPr>
          <w:p w14:paraId="56C87CE1" w14:textId="77777777" w:rsidR="002C0FD9" w:rsidRPr="00CA25CF" w:rsidRDefault="002C0FD9" w:rsidP="00CA25CF">
            <w:pPr>
              <w:rPr>
                <w:rFonts w:cs="Arial"/>
                <w:color w:val="FF0000"/>
                <w:sz w:val="21"/>
                <w:szCs w:val="21"/>
              </w:rPr>
            </w:pPr>
          </w:p>
        </w:tc>
        <w:tc>
          <w:tcPr>
            <w:tcW w:w="217" w:type="dxa"/>
          </w:tcPr>
          <w:p w14:paraId="646BAA03" w14:textId="77777777" w:rsidR="002C0FD9" w:rsidRPr="00CA25CF" w:rsidRDefault="002C0FD9" w:rsidP="00CA25CF">
            <w:pPr>
              <w:rPr>
                <w:rFonts w:cs="Arial"/>
                <w:color w:val="FF0000"/>
                <w:sz w:val="21"/>
                <w:szCs w:val="21"/>
              </w:rPr>
            </w:pPr>
          </w:p>
        </w:tc>
        <w:tc>
          <w:tcPr>
            <w:tcW w:w="217" w:type="dxa"/>
          </w:tcPr>
          <w:p w14:paraId="116632F9" w14:textId="77777777" w:rsidR="002C0FD9" w:rsidRPr="00CA25CF" w:rsidRDefault="002C0FD9" w:rsidP="00CA25CF">
            <w:pPr>
              <w:rPr>
                <w:rFonts w:cs="Arial"/>
                <w:color w:val="FF0000"/>
                <w:sz w:val="21"/>
                <w:szCs w:val="21"/>
              </w:rPr>
            </w:pPr>
          </w:p>
        </w:tc>
        <w:tc>
          <w:tcPr>
            <w:tcW w:w="217" w:type="dxa"/>
          </w:tcPr>
          <w:p w14:paraId="18BE33EE" w14:textId="77777777" w:rsidR="002C0FD9" w:rsidRPr="00CA25CF" w:rsidRDefault="002C0FD9" w:rsidP="00CA25CF">
            <w:pPr>
              <w:rPr>
                <w:rFonts w:cs="Arial"/>
                <w:color w:val="FF0000"/>
                <w:sz w:val="21"/>
                <w:szCs w:val="21"/>
              </w:rPr>
            </w:pPr>
          </w:p>
        </w:tc>
        <w:tc>
          <w:tcPr>
            <w:tcW w:w="217" w:type="dxa"/>
          </w:tcPr>
          <w:p w14:paraId="53DAF126" w14:textId="77777777" w:rsidR="002C0FD9" w:rsidRPr="00CA25CF" w:rsidRDefault="002C0FD9" w:rsidP="00CA25CF">
            <w:pPr>
              <w:rPr>
                <w:rFonts w:cs="Arial"/>
                <w:color w:val="FF0000"/>
                <w:sz w:val="21"/>
                <w:szCs w:val="21"/>
              </w:rPr>
            </w:pPr>
          </w:p>
        </w:tc>
        <w:tc>
          <w:tcPr>
            <w:tcW w:w="217" w:type="dxa"/>
          </w:tcPr>
          <w:p w14:paraId="116227C8" w14:textId="77777777" w:rsidR="002C0FD9" w:rsidRPr="00CA25CF" w:rsidRDefault="002C0FD9" w:rsidP="00CA25CF">
            <w:pPr>
              <w:rPr>
                <w:rFonts w:cs="Arial"/>
                <w:color w:val="FF0000"/>
                <w:sz w:val="21"/>
                <w:szCs w:val="21"/>
              </w:rPr>
            </w:pPr>
          </w:p>
        </w:tc>
        <w:tc>
          <w:tcPr>
            <w:tcW w:w="217" w:type="dxa"/>
          </w:tcPr>
          <w:p w14:paraId="7D9CE97C" w14:textId="77777777" w:rsidR="002C0FD9" w:rsidRPr="00CA25CF" w:rsidRDefault="002C0FD9" w:rsidP="00CA25CF">
            <w:pPr>
              <w:rPr>
                <w:rFonts w:cs="Arial"/>
                <w:color w:val="FF0000"/>
                <w:sz w:val="21"/>
                <w:szCs w:val="21"/>
              </w:rPr>
            </w:pPr>
          </w:p>
        </w:tc>
        <w:tc>
          <w:tcPr>
            <w:tcW w:w="217" w:type="dxa"/>
          </w:tcPr>
          <w:p w14:paraId="07B64558" w14:textId="77777777" w:rsidR="002C0FD9" w:rsidRPr="00CA25CF" w:rsidRDefault="002C0FD9" w:rsidP="00CA25CF">
            <w:pPr>
              <w:rPr>
                <w:rFonts w:cs="Arial"/>
                <w:color w:val="FF0000"/>
                <w:sz w:val="21"/>
                <w:szCs w:val="21"/>
              </w:rPr>
            </w:pPr>
          </w:p>
        </w:tc>
        <w:tc>
          <w:tcPr>
            <w:tcW w:w="217" w:type="dxa"/>
          </w:tcPr>
          <w:p w14:paraId="768EE7DB" w14:textId="77777777" w:rsidR="002C0FD9" w:rsidRPr="00CA25CF" w:rsidRDefault="002C0FD9" w:rsidP="00CA25CF">
            <w:pPr>
              <w:rPr>
                <w:rFonts w:cs="Arial"/>
                <w:color w:val="FF0000"/>
                <w:sz w:val="21"/>
                <w:szCs w:val="21"/>
              </w:rPr>
            </w:pPr>
          </w:p>
        </w:tc>
        <w:tc>
          <w:tcPr>
            <w:tcW w:w="217" w:type="dxa"/>
          </w:tcPr>
          <w:p w14:paraId="6361A0D0" w14:textId="77777777" w:rsidR="002C0FD9" w:rsidRPr="00CA25CF" w:rsidRDefault="002C0FD9" w:rsidP="00CA25CF">
            <w:pPr>
              <w:rPr>
                <w:rFonts w:cs="Arial"/>
                <w:color w:val="FF0000"/>
                <w:sz w:val="21"/>
                <w:szCs w:val="21"/>
              </w:rPr>
            </w:pPr>
          </w:p>
        </w:tc>
        <w:tc>
          <w:tcPr>
            <w:tcW w:w="217" w:type="dxa"/>
          </w:tcPr>
          <w:p w14:paraId="336326C0" w14:textId="77777777" w:rsidR="002C0FD9" w:rsidRPr="00CA25CF" w:rsidRDefault="002C0FD9" w:rsidP="00CA25CF">
            <w:pPr>
              <w:rPr>
                <w:rFonts w:cs="Arial"/>
                <w:color w:val="FF0000"/>
                <w:sz w:val="21"/>
                <w:szCs w:val="21"/>
              </w:rPr>
            </w:pPr>
          </w:p>
        </w:tc>
        <w:tc>
          <w:tcPr>
            <w:tcW w:w="217" w:type="dxa"/>
          </w:tcPr>
          <w:p w14:paraId="7DD26FC2" w14:textId="77777777" w:rsidR="002C0FD9" w:rsidRPr="00CA25CF" w:rsidRDefault="002C0FD9" w:rsidP="00CA25CF">
            <w:pPr>
              <w:rPr>
                <w:rFonts w:cs="Arial"/>
                <w:color w:val="FF0000"/>
                <w:sz w:val="21"/>
                <w:szCs w:val="21"/>
              </w:rPr>
            </w:pPr>
          </w:p>
        </w:tc>
        <w:tc>
          <w:tcPr>
            <w:tcW w:w="217" w:type="dxa"/>
          </w:tcPr>
          <w:p w14:paraId="0D1667C8" w14:textId="77777777" w:rsidR="002C0FD9" w:rsidRPr="00CA25CF" w:rsidRDefault="002C0FD9" w:rsidP="00CA25CF">
            <w:pPr>
              <w:rPr>
                <w:rFonts w:cs="Arial"/>
                <w:color w:val="FF0000"/>
                <w:sz w:val="21"/>
                <w:szCs w:val="21"/>
              </w:rPr>
            </w:pPr>
          </w:p>
        </w:tc>
        <w:tc>
          <w:tcPr>
            <w:tcW w:w="217" w:type="dxa"/>
          </w:tcPr>
          <w:p w14:paraId="2F981257" w14:textId="77777777" w:rsidR="002C0FD9" w:rsidRPr="00CA25CF" w:rsidRDefault="002C0FD9" w:rsidP="00CA25CF">
            <w:pPr>
              <w:rPr>
                <w:rFonts w:cs="Arial"/>
                <w:color w:val="FF0000"/>
                <w:sz w:val="21"/>
                <w:szCs w:val="21"/>
              </w:rPr>
            </w:pPr>
          </w:p>
        </w:tc>
        <w:tc>
          <w:tcPr>
            <w:tcW w:w="217" w:type="dxa"/>
          </w:tcPr>
          <w:p w14:paraId="78044D4C" w14:textId="77777777" w:rsidR="002C0FD9" w:rsidRPr="00CA25CF" w:rsidRDefault="002C0FD9" w:rsidP="00CA25CF">
            <w:pPr>
              <w:rPr>
                <w:rFonts w:cs="Arial"/>
                <w:color w:val="FF0000"/>
                <w:sz w:val="21"/>
                <w:szCs w:val="21"/>
              </w:rPr>
            </w:pPr>
          </w:p>
        </w:tc>
        <w:tc>
          <w:tcPr>
            <w:tcW w:w="217" w:type="dxa"/>
          </w:tcPr>
          <w:p w14:paraId="58165791" w14:textId="77777777" w:rsidR="002C0FD9" w:rsidRPr="00CA25CF" w:rsidRDefault="002C0FD9" w:rsidP="00CA25CF">
            <w:pPr>
              <w:rPr>
                <w:rFonts w:cs="Arial"/>
                <w:color w:val="FF0000"/>
                <w:sz w:val="21"/>
                <w:szCs w:val="21"/>
              </w:rPr>
            </w:pPr>
          </w:p>
        </w:tc>
        <w:tc>
          <w:tcPr>
            <w:tcW w:w="217" w:type="dxa"/>
          </w:tcPr>
          <w:p w14:paraId="6C2A325C" w14:textId="77777777" w:rsidR="002C0FD9" w:rsidRPr="00CA25CF" w:rsidRDefault="002C0FD9" w:rsidP="00CA25CF">
            <w:pPr>
              <w:rPr>
                <w:rFonts w:cs="Arial"/>
                <w:color w:val="FF0000"/>
                <w:sz w:val="21"/>
                <w:szCs w:val="21"/>
              </w:rPr>
            </w:pPr>
          </w:p>
        </w:tc>
        <w:tc>
          <w:tcPr>
            <w:tcW w:w="217" w:type="dxa"/>
          </w:tcPr>
          <w:p w14:paraId="29DAE7B6" w14:textId="77777777" w:rsidR="002C0FD9" w:rsidRPr="00CA25CF" w:rsidRDefault="002C0FD9" w:rsidP="00CA25CF">
            <w:pPr>
              <w:rPr>
                <w:rFonts w:cs="Arial"/>
                <w:color w:val="FF0000"/>
                <w:sz w:val="21"/>
                <w:szCs w:val="21"/>
              </w:rPr>
            </w:pPr>
          </w:p>
        </w:tc>
      </w:tr>
      <w:tr w:rsidR="002C0FD9" w:rsidRPr="00A16219" w14:paraId="1925D7F2" w14:textId="77777777" w:rsidTr="002C0FD9">
        <w:trPr>
          <w:trHeight w:val="635"/>
        </w:trPr>
        <w:tc>
          <w:tcPr>
            <w:tcW w:w="515" w:type="dxa"/>
          </w:tcPr>
          <w:p w14:paraId="3F3F30E2" w14:textId="77777777" w:rsidR="002C0FD9" w:rsidRPr="00CA25CF" w:rsidRDefault="002C0FD9" w:rsidP="00CA25CF">
            <w:pPr>
              <w:rPr>
                <w:rFonts w:cs="Arial"/>
                <w:color w:val="FF0000"/>
                <w:sz w:val="21"/>
                <w:szCs w:val="21"/>
              </w:rPr>
            </w:pPr>
          </w:p>
        </w:tc>
        <w:tc>
          <w:tcPr>
            <w:tcW w:w="217" w:type="dxa"/>
          </w:tcPr>
          <w:p w14:paraId="76432D7B" w14:textId="77777777" w:rsidR="002C0FD9" w:rsidRPr="00CA25CF" w:rsidRDefault="002C0FD9" w:rsidP="00CA25CF">
            <w:pPr>
              <w:rPr>
                <w:rFonts w:cs="Arial"/>
                <w:color w:val="FF0000"/>
                <w:sz w:val="21"/>
                <w:szCs w:val="21"/>
              </w:rPr>
            </w:pPr>
          </w:p>
        </w:tc>
        <w:tc>
          <w:tcPr>
            <w:tcW w:w="217" w:type="dxa"/>
          </w:tcPr>
          <w:p w14:paraId="0A34D0A8" w14:textId="77777777" w:rsidR="002C0FD9" w:rsidRPr="00CA25CF" w:rsidRDefault="002C0FD9" w:rsidP="00CA25CF">
            <w:pPr>
              <w:rPr>
                <w:rFonts w:cs="Arial"/>
                <w:color w:val="FF0000"/>
                <w:sz w:val="21"/>
                <w:szCs w:val="21"/>
              </w:rPr>
            </w:pPr>
          </w:p>
        </w:tc>
        <w:tc>
          <w:tcPr>
            <w:tcW w:w="217" w:type="dxa"/>
          </w:tcPr>
          <w:p w14:paraId="27357202" w14:textId="77777777" w:rsidR="002C0FD9" w:rsidRPr="00CA25CF" w:rsidRDefault="002C0FD9" w:rsidP="00CA25CF">
            <w:pPr>
              <w:rPr>
                <w:rFonts w:cs="Arial"/>
                <w:color w:val="FF0000"/>
                <w:sz w:val="21"/>
                <w:szCs w:val="21"/>
              </w:rPr>
            </w:pPr>
          </w:p>
        </w:tc>
        <w:tc>
          <w:tcPr>
            <w:tcW w:w="217" w:type="dxa"/>
          </w:tcPr>
          <w:p w14:paraId="48637A50" w14:textId="77777777" w:rsidR="002C0FD9" w:rsidRPr="00CA25CF" w:rsidRDefault="002C0FD9" w:rsidP="00CA25CF">
            <w:pPr>
              <w:rPr>
                <w:rFonts w:cs="Arial"/>
                <w:color w:val="FF0000"/>
                <w:sz w:val="21"/>
                <w:szCs w:val="21"/>
              </w:rPr>
            </w:pPr>
          </w:p>
        </w:tc>
        <w:tc>
          <w:tcPr>
            <w:tcW w:w="217" w:type="dxa"/>
          </w:tcPr>
          <w:p w14:paraId="2B5822C2" w14:textId="77777777" w:rsidR="002C0FD9" w:rsidRPr="00CA25CF" w:rsidRDefault="002C0FD9" w:rsidP="00CA25CF">
            <w:pPr>
              <w:rPr>
                <w:rFonts w:cs="Arial"/>
                <w:color w:val="FF0000"/>
                <w:sz w:val="21"/>
                <w:szCs w:val="21"/>
              </w:rPr>
            </w:pPr>
          </w:p>
        </w:tc>
        <w:tc>
          <w:tcPr>
            <w:tcW w:w="217" w:type="dxa"/>
          </w:tcPr>
          <w:p w14:paraId="6F3A4231" w14:textId="77777777" w:rsidR="002C0FD9" w:rsidRPr="00CA25CF" w:rsidRDefault="002C0FD9" w:rsidP="00CA25CF">
            <w:pPr>
              <w:rPr>
                <w:rFonts w:cs="Arial"/>
                <w:color w:val="FF0000"/>
                <w:sz w:val="21"/>
                <w:szCs w:val="21"/>
              </w:rPr>
            </w:pPr>
          </w:p>
        </w:tc>
        <w:tc>
          <w:tcPr>
            <w:tcW w:w="217" w:type="dxa"/>
          </w:tcPr>
          <w:p w14:paraId="290A4A36" w14:textId="77777777" w:rsidR="002C0FD9" w:rsidRPr="00CA25CF" w:rsidRDefault="002C0FD9" w:rsidP="00CA25CF">
            <w:pPr>
              <w:rPr>
                <w:rFonts w:cs="Arial"/>
                <w:color w:val="FF0000"/>
                <w:sz w:val="21"/>
                <w:szCs w:val="21"/>
              </w:rPr>
            </w:pPr>
          </w:p>
        </w:tc>
        <w:tc>
          <w:tcPr>
            <w:tcW w:w="217" w:type="dxa"/>
          </w:tcPr>
          <w:p w14:paraId="0ACDCF90" w14:textId="77777777" w:rsidR="002C0FD9" w:rsidRPr="00CA25CF" w:rsidRDefault="002C0FD9" w:rsidP="00CA25CF">
            <w:pPr>
              <w:rPr>
                <w:rFonts w:cs="Arial"/>
                <w:color w:val="FF0000"/>
                <w:sz w:val="21"/>
                <w:szCs w:val="21"/>
              </w:rPr>
            </w:pPr>
          </w:p>
        </w:tc>
        <w:tc>
          <w:tcPr>
            <w:tcW w:w="217" w:type="dxa"/>
          </w:tcPr>
          <w:p w14:paraId="14A087E7" w14:textId="77777777" w:rsidR="002C0FD9" w:rsidRPr="00CA25CF" w:rsidRDefault="002C0FD9" w:rsidP="00CA25CF">
            <w:pPr>
              <w:rPr>
                <w:rFonts w:cs="Arial"/>
                <w:color w:val="FF0000"/>
                <w:sz w:val="21"/>
                <w:szCs w:val="21"/>
              </w:rPr>
            </w:pPr>
          </w:p>
        </w:tc>
        <w:tc>
          <w:tcPr>
            <w:tcW w:w="217" w:type="dxa"/>
          </w:tcPr>
          <w:p w14:paraId="6D8A726C" w14:textId="77777777" w:rsidR="002C0FD9" w:rsidRPr="00CA25CF" w:rsidRDefault="002C0FD9" w:rsidP="00CA25CF">
            <w:pPr>
              <w:rPr>
                <w:rFonts w:cs="Arial"/>
                <w:color w:val="FF0000"/>
                <w:sz w:val="21"/>
                <w:szCs w:val="21"/>
              </w:rPr>
            </w:pPr>
          </w:p>
        </w:tc>
        <w:tc>
          <w:tcPr>
            <w:tcW w:w="217" w:type="dxa"/>
          </w:tcPr>
          <w:p w14:paraId="73547A57" w14:textId="77777777" w:rsidR="002C0FD9" w:rsidRPr="00CA25CF" w:rsidRDefault="002C0FD9" w:rsidP="00CA25CF">
            <w:pPr>
              <w:rPr>
                <w:rFonts w:cs="Arial"/>
                <w:color w:val="FF0000"/>
                <w:sz w:val="21"/>
                <w:szCs w:val="21"/>
              </w:rPr>
            </w:pPr>
          </w:p>
        </w:tc>
        <w:tc>
          <w:tcPr>
            <w:tcW w:w="217" w:type="dxa"/>
          </w:tcPr>
          <w:p w14:paraId="0AE64508" w14:textId="77777777" w:rsidR="002C0FD9" w:rsidRPr="00CA25CF" w:rsidRDefault="002C0FD9" w:rsidP="00CA25CF">
            <w:pPr>
              <w:rPr>
                <w:rFonts w:cs="Arial"/>
                <w:color w:val="FF0000"/>
                <w:sz w:val="21"/>
                <w:szCs w:val="21"/>
              </w:rPr>
            </w:pPr>
          </w:p>
        </w:tc>
        <w:tc>
          <w:tcPr>
            <w:tcW w:w="217" w:type="dxa"/>
          </w:tcPr>
          <w:p w14:paraId="3EF30D43" w14:textId="77777777" w:rsidR="002C0FD9" w:rsidRPr="00CA25CF" w:rsidRDefault="002C0FD9" w:rsidP="00CA25CF">
            <w:pPr>
              <w:rPr>
                <w:rFonts w:cs="Arial"/>
                <w:color w:val="FF0000"/>
                <w:sz w:val="21"/>
                <w:szCs w:val="21"/>
              </w:rPr>
            </w:pPr>
          </w:p>
        </w:tc>
        <w:tc>
          <w:tcPr>
            <w:tcW w:w="217" w:type="dxa"/>
          </w:tcPr>
          <w:p w14:paraId="0D509683" w14:textId="77777777" w:rsidR="002C0FD9" w:rsidRPr="00CA25CF" w:rsidRDefault="002C0FD9" w:rsidP="00CA25CF">
            <w:pPr>
              <w:rPr>
                <w:rFonts w:cs="Arial"/>
                <w:color w:val="FF0000"/>
                <w:sz w:val="21"/>
                <w:szCs w:val="21"/>
              </w:rPr>
            </w:pPr>
          </w:p>
        </w:tc>
        <w:tc>
          <w:tcPr>
            <w:tcW w:w="217" w:type="dxa"/>
          </w:tcPr>
          <w:p w14:paraId="67AAEAE4" w14:textId="77777777" w:rsidR="002C0FD9" w:rsidRPr="00CA25CF" w:rsidRDefault="002C0FD9" w:rsidP="00CA25CF">
            <w:pPr>
              <w:rPr>
                <w:rFonts w:cs="Arial"/>
                <w:color w:val="FF0000"/>
                <w:sz w:val="21"/>
                <w:szCs w:val="21"/>
              </w:rPr>
            </w:pPr>
          </w:p>
        </w:tc>
        <w:tc>
          <w:tcPr>
            <w:tcW w:w="217" w:type="dxa"/>
          </w:tcPr>
          <w:p w14:paraId="23021BB9" w14:textId="77777777" w:rsidR="002C0FD9" w:rsidRPr="00CA25CF" w:rsidRDefault="002C0FD9" w:rsidP="00CA25CF">
            <w:pPr>
              <w:rPr>
                <w:rFonts w:cs="Arial"/>
                <w:color w:val="FF0000"/>
                <w:sz w:val="21"/>
                <w:szCs w:val="21"/>
              </w:rPr>
            </w:pPr>
          </w:p>
        </w:tc>
        <w:tc>
          <w:tcPr>
            <w:tcW w:w="217" w:type="dxa"/>
          </w:tcPr>
          <w:p w14:paraId="22EE5B74" w14:textId="77777777" w:rsidR="002C0FD9" w:rsidRPr="00CA25CF" w:rsidRDefault="002C0FD9" w:rsidP="00CA25CF">
            <w:pPr>
              <w:rPr>
                <w:rFonts w:cs="Arial"/>
                <w:color w:val="FF0000"/>
                <w:sz w:val="21"/>
                <w:szCs w:val="21"/>
              </w:rPr>
            </w:pPr>
          </w:p>
        </w:tc>
        <w:tc>
          <w:tcPr>
            <w:tcW w:w="217" w:type="dxa"/>
          </w:tcPr>
          <w:p w14:paraId="2D37436A" w14:textId="77777777" w:rsidR="002C0FD9" w:rsidRPr="00CA25CF" w:rsidRDefault="002C0FD9" w:rsidP="00CA25CF">
            <w:pPr>
              <w:rPr>
                <w:rFonts w:cs="Arial"/>
                <w:color w:val="FF0000"/>
                <w:sz w:val="21"/>
                <w:szCs w:val="21"/>
              </w:rPr>
            </w:pPr>
          </w:p>
        </w:tc>
        <w:tc>
          <w:tcPr>
            <w:tcW w:w="217" w:type="dxa"/>
          </w:tcPr>
          <w:p w14:paraId="3C21FDEB" w14:textId="77777777" w:rsidR="002C0FD9" w:rsidRPr="00CA25CF" w:rsidRDefault="002C0FD9" w:rsidP="00CA25CF">
            <w:pPr>
              <w:rPr>
                <w:rFonts w:cs="Arial"/>
                <w:color w:val="FF0000"/>
                <w:sz w:val="21"/>
                <w:szCs w:val="21"/>
              </w:rPr>
            </w:pPr>
          </w:p>
        </w:tc>
        <w:tc>
          <w:tcPr>
            <w:tcW w:w="217" w:type="dxa"/>
          </w:tcPr>
          <w:p w14:paraId="7F16F3FD" w14:textId="77777777" w:rsidR="002C0FD9" w:rsidRPr="00CA25CF" w:rsidRDefault="002C0FD9" w:rsidP="00CA25CF">
            <w:pPr>
              <w:rPr>
                <w:rFonts w:cs="Arial"/>
                <w:color w:val="FF0000"/>
                <w:sz w:val="21"/>
                <w:szCs w:val="21"/>
              </w:rPr>
            </w:pPr>
          </w:p>
        </w:tc>
        <w:tc>
          <w:tcPr>
            <w:tcW w:w="217" w:type="dxa"/>
          </w:tcPr>
          <w:p w14:paraId="2E9B2606" w14:textId="77777777" w:rsidR="002C0FD9" w:rsidRPr="00CA25CF" w:rsidRDefault="002C0FD9" w:rsidP="00CA25CF">
            <w:pPr>
              <w:rPr>
                <w:rFonts w:cs="Arial"/>
                <w:color w:val="FF0000"/>
                <w:sz w:val="21"/>
                <w:szCs w:val="21"/>
              </w:rPr>
            </w:pPr>
          </w:p>
        </w:tc>
        <w:tc>
          <w:tcPr>
            <w:tcW w:w="217" w:type="dxa"/>
          </w:tcPr>
          <w:p w14:paraId="110E8A6D" w14:textId="77777777" w:rsidR="002C0FD9" w:rsidRPr="00CA25CF" w:rsidRDefault="002C0FD9" w:rsidP="00CA25CF">
            <w:pPr>
              <w:rPr>
                <w:rFonts w:cs="Arial"/>
                <w:color w:val="FF0000"/>
                <w:sz w:val="21"/>
                <w:szCs w:val="21"/>
              </w:rPr>
            </w:pPr>
          </w:p>
        </w:tc>
        <w:tc>
          <w:tcPr>
            <w:tcW w:w="217" w:type="dxa"/>
          </w:tcPr>
          <w:p w14:paraId="75E12DB1" w14:textId="77777777" w:rsidR="002C0FD9" w:rsidRPr="00CA25CF" w:rsidRDefault="002C0FD9" w:rsidP="00CA25CF">
            <w:pPr>
              <w:rPr>
                <w:rFonts w:cs="Arial"/>
                <w:color w:val="FF0000"/>
                <w:sz w:val="21"/>
                <w:szCs w:val="21"/>
              </w:rPr>
            </w:pPr>
          </w:p>
        </w:tc>
        <w:tc>
          <w:tcPr>
            <w:tcW w:w="217" w:type="dxa"/>
          </w:tcPr>
          <w:p w14:paraId="5AA2E50C" w14:textId="77777777" w:rsidR="002C0FD9" w:rsidRPr="00CA25CF" w:rsidRDefault="002C0FD9" w:rsidP="00CA25CF">
            <w:pPr>
              <w:rPr>
                <w:rFonts w:cs="Arial"/>
                <w:color w:val="FF0000"/>
                <w:sz w:val="21"/>
                <w:szCs w:val="21"/>
              </w:rPr>
            </w:pPr>
          </w:p>
        </w:tc>
        <w:tc>
          <w:tcPr>
            <w:tcW w:w="217" w:type="dxa"/>
          </w:tcPr>
          <w:p w14:paraId="3639E00A" w14:textId="77777777" w:rsidR="002C0FD9" w:rsidRPr="00CA25CF" w:rsidRDefault="002C0FD9" w:rsidP="00CA25CF">
            <w:pPr>
              <w:rPr>
                <w:rFonts w:cs="Arial"/>
                <w:color w:val="FF0000"/>
                <w:sz w:val="21"/>
                <w:szCs w:val="21"/>
              </w:rPr>
            </w:pPr>
          </w:p>
        </w:tc>
        <w:tc>
          <w:tcPr>
            <w:tcW w:w="217" w:type="dxa"/>
          </w:tcPr>
          <w:p w14:paraId="6554C1F0" w14:textId="77777777" w:rsidR="002C0FD9" w:rsidRPr="00CA25CF" w:rsidRDefault="002C0FD9" w:rsidP="00CA25CF">
            <w:pPr>
              <w:rPr>
                <w:rFonts w:cs="Arial"/>
                <w:color w:val="FF0000"/>
                <w:sz w:val="21"/>
                <w:szCs w:val="21"/>
              </w:rPr>
            </w:pPr>
          </w:p>
        </w:tc>
        <w:tc>
          <w:tcPr>
            <w:tcW w:w="217" w:type="dxa"/>
          </w:tcPr>
          <w:p w14:paraId="7FA0FA03" w14:textId="77777777" w:rsidR="002C0FD9" w:rsidRPr="00CA25CF" w:rsidRDefault="002C0FD9" w:rsidP="00CA25CF">
            <w:pPr>
              <w:rPr>
                <w:rFonts w:cs="Arial"/>
                <w:color w:val="FF0000"/>
                <w:sz w:val="21"/>
                <w:szCs w:val="21"/>
              </w:rPr>
            </w:pPr>
          </w:p>
        </w:tc>
        <w:tc>
          <w:tcPr>
            <w:tcW w:w="217" w:type="dxa"/>
          </w:tcPr>
          <w:p w14:paraId="5DA43F85" w14:textId="77777777" w:rsidR="002C0FD9" w:rsidRPr="00CA25CF" w:rsidRDefault="002C0FD9" w:rsidP="00CA25CF">
            <w:pPr>
              <w:rPr>
                <w:rFonts w:cs="Arial"/>
                <w:color w:val="FF0000"/>
                <w:sz w:val="21"/>
                <w:szCs w:val="21"/>
              </w:rPr>
            </w:pPr>
          </w:p>
        </w:tc>
        <w:tc>
          <w:tcPr>
            <w:tcW w:w="217" w:type="dxa"/>
          </w:tcPr>
          <w:p w14:paraId="0125C9E1" w14:textId="77777777" w:rsidR="002C0FD9" w:rsidRPr="00CA25CF" w:rsidRDefault="002C0FD9" w:rsidP="00CA25CF">
            <w:pPr>
              <w:rPr>
                <w:rFonts w:cs="Arial"/>
                <w:color w:val="FF0000"/>
                <w:sz w:val="21"/>
                <w:szCs w:val="21"/>
              </w:rPr>
            </w:pPr>
          </w:p>
        </w:tc>
        <w:tc>
          <w:tcPr>
            <w:tcW w:w="217" w:type="dxa"/>
          </w:tcPr>
          <w:p w14:paraId="21BE7A2F" w14:textId="77777777" w:rsidR="002C0FD9" w:rsidRPr="00CA25CF" w:rsidRDefault="002C0FD9" w:rsidP="00CA25CF">
            <w:pPr>
              <w:rPr>
                <w:rFonts w:cs="Arial"/>
                <w:color w:val="FF0000"/>
                <w:sz w:val="21"/>
                <w:szCs w:val="21"/>
              </w:rPr>
            </w:pPr>
          </w:p>
        </w:tc>
        <w:tc>
          <w:tcPr>
            <w:tcW w:w="217" w:type="dxa"/>
          </w:tcPr>
          <w:p w14:paraId="23620E75" w14:textId="77777777" w:rsidR="002C0FD9" w:rsidRPr="00CA25CF" w:rsidRDefault="002C0FD9" w:rsidP="00CA25CF">
            <w:pPr>
              <w:rPr>
                <w:rFonts w:cs="Arial"/>
                <w:color w:val="FF0000"/>
                <w:sz w:val="21"/>
                <w:szCs w:val="21"/>
              </w:rPr>
            </w:pPr>
          </w:p>
        </w:tc>
        <w:tc>
          <w:tcPr>
            <w:tcW w:w="217" w:type="dxa"/>
          </w:tcPr>
          <w:p w14:paraId="03D15205" w14:textId="77777777" w:rsidR="002C0FD9" w:rsidRPr="00CA25CF" w:rsidRDefault="002C0FD9" w:rsidP="00CA25CF">
            <w:pPr>
              <w:rPr>
                <w:rFonts w:cs="Arial"/>
                <w:color w:val="FF0000"/>
                <w:sz w:val="21"/>
                <w:szCs w:val="21"/>
              </w:rPr>
            </w:pPr>
          </w:p>
        </w:tc>
        <w:tc>
          <w:tcPr>
            <w:tcW w:w="217" w:type="dxa"/>
          </w:tcPr>
          <w:p w14:paraId="10444BCB" w14:textId="77777777" w:rsidR="002C0FD9" w:rsidRPr="00CA25CF" w:rsidRDefault="002C0FD9" w:rsidP="00CA25CF">
            <w:pPr>
              <w:rPr>
                <w:rFonts w:cs="Arial"/>
                <w:color w:val="FF0000"/>
                <w:sz w:val="21"/>
                <w:szCs w:val="21"/>
              </w:rPr>
            </w:pPr>
          </w:p>
        </w:tc>
        <w:tc>
          <w:tcPr>
            <w:tcW w:w="217" w:type="dxa"/>
          </w:tcPr>
          <w:p w14:paraId="271C6EE5" w14:textId="77777777" w:rsidR="002C0FD9" w:rsidRPr="00CA25CF" w:rsidRDefault="002C0FD9" w:rsidP="00CA25CF">
            <w:pPr>
              <w:rPr>
                <w:rFonts w:cs="Arial"/>
                <w:color w:val="FF0000"/>
                <w:sz w:val="21"/>
                <w:szCs w:val="21"/>
              </w:rPr>
            </w:pPr>
          </w:p>
        </w:tc>
        <w:tc>
          <w:tcPr>
            <w:tcW w:w="217" w:type="dxa"/>
          </w:tcPr>
          <w:p w14:paraId="08D7159C" w14:textId="77777777" w:rsidR="002C0FD9" w:rsidRPr="00CA25CF" w:rsidRDefault="002C0FD9" w:rsidP="00CA25CF">
            <w:pPr>
              <w:rPr>
                <w:rFonts w:cs="Arial"/>
                <w:color w:val="FF0000"/>
                <w:sz w:val="21"/>
                <w:szCs w:val="21"/>
              </w:rPr>
            </w:pPr>
          </w:p>
        </w:tc>
        <w:tc>
          <w:tcPr>
            <w:tcW w:w="217" w:type="dxa"/>
          </w:tcPr>
          <w:p w14:paraId="3E64A54D" w14:textId="77777777" w:rsidR="002C0FD9" w:rsidRPr="00CA25CF" w:rsidRDefault="002C0FD9" w:rsidP="00CA25CF">
            <w:pPr>
              <w:rPr>
                <w:rFonts w:cs="Arial"/>
                <w:color w:val="FF0000"/>
                <w:sz w:val="21"/>
                <w:szCs w:val="21"/>
              </w:rPr>
            </w:pPr>
          </w:p>
        </w:tc>
        <w:tc>
          <w:tcPr>
            <w:tcW w:w="217" w:type="dxa"/>
          </w:tcPr>
          <w:p w14:paraId="36264FD4" w14:textId="77777777" w:rsidR="002C0FD9" w:rsidRPr="00CA25CF" w:rsidRDefault="002C0FD9" w:rsidP="00CA25CF">
            <w:pPr>
              <w:rPr>
                <w:rFonts w:cs="Arial"/>
                <w:color w:val="FF0000"/>
                <w:sz w:val="21"/>
                <w:szCs w:val="21"/>
              </w:rPr>
            </w:pPr>
          </w:p>
        </w:tc>
        <w:tc>
          <w:tcPr>
            <w:tcW w:w="217" w:type="dxa"/>
          </w:tcPr>
          <w:p w14:paraId="76D159DE" w14:textId="77777777" w:rsidR="002C0FD9" w:rsidRPr="00CA25CF" w:rsidRDefault="002C0FD9" w:rsidP="00CA25CF">
            <w:pPr>
              <w:rPr>
                <w:rFonts w:cs="Arial"/>
                <w:color w:val="FF0000"/>
                <w:sz w:val="21"/>
                <w:szCs w:val="21"/>
              </w:rPr>
            </w:pPr>
          </w:p>
        </w:tc>
        <w:tc>
          <w:tcPr>
            <w:tcW w:w="217" w:type="dxa"/>
          </w:tcPr>
          <w:p w14:paraId="5871A264" w14:textId="77777777" w:rsidR="002C0FD9" w:rsidRPr="00CA25CF" w:rsidRDefault="002C0FD9" w:rsidP="00CA25CF">
            <w:pPr>
              <w:rPr>
                <w:rFonts w:cs="Arial"/>
                <w:color w:val="FF0000"/>
                <w:sz w:val="21"/>
                <w:szCs w:val="21"/>
              </w:rPr>
            </w:pPr>
          </w:p>
        </w:tc>
        <w:tc>
          <w:tcPr>
            <w:tcW w:w="217" w:type="dxa"/>
          </w:tcPr>
          <w:p w14:paraId="1A6FC334" w14:textId="77777777" w:rsidR="002C0FD9" w:rsidRPr="00CA25CF" w:rsidRDefault="002C0FD9" w:rsidP="00CA25CF">
            <w:pPr>
              <w:rPr>
                <w:rFonts w:cs="Arial"/>
                <w:color w:val="FF0000"/>
                <w:sz w:val="21"/>
                <w:szCs w:val="21"/>
              </w:rPr>
            </w:pPr>
          </w:p>
        </w:tc>
        <w:tc>
          <w:tcPr>
            <w:tcW w:w="217" w:type="dxa"/>
          </w:tcPr>
          <w:p w14:paraId="4CA05272" w14:textId="77777777" w:rsidR="002C0FD9" w:rsidRPr="00CA25CF" w:rsidRDefault="002C0FD9" w:rsidP="00CA25CF">
            <w:pPr>
              <w:rPr>
                <w:rFonts w:cs="Arial"/>
                <w:color w:val="FF0000"/>
                <w:sz w:val="21"/>
                <w:szCs w:val="21"/>
              </w:rPr>
            </w:pPr>
          </w:p>
        </w:tc>
        <w:tc>
          <w:tcPr>
            <w:tcW w:w="217" w:type="dxa"/>
          </w:tcPr>
          <w:p w14:paraId="3D87ADDD" w14:textId="77777777" w:rsidR="002C0FD9" w:rsidRPr="00CA25CF" w:rsidRDefault="002C0FD9" w:rsidP="00CA25CF">
            <w:pPr>
              <w:rPr>
                <w:rFonts w:cs="Arial"/>
                <w:color w:val="FF0000"/>
                <w:sz w:val="21"/>
                <w:szCs w:val="21"/>
              </w:rPr>
            </w:pPr>
          </w:p>
        </w:tc>
      </w:tr>
      <w:tr w:rsidR="002C0FD9" w:rsidRPr="00A16219" w14:paraId="2CA47AFD" w14:textId="77777777" w:rsidTr="002C0FD9">
        <w:trPr>
          <w:trHeight w:val="635"/>
        </w:trPr>
        <w:tc>
          <w:tcPr>
            <w:tcW w:w="515" w:type="dxa"/>
          </w:tcPr>
          <w:p w14:paraId="5BDA1E87" w14:textId="77777777" w:rsidR="002C0FD9" w:rsidRPr="00CA25CF" w:rsidRDefault="002C0FD9" w:rsidP="00CA25CF">
            <w:pPr>
              <w:rPr>
                <w:rFonts w:cs="Arial"/>
                <w:color w:val="FF0000"/>
                <w:sz w:val="21"/>
                <w:szCs w:val="21"/>
              </w:rPr>
            </w:pPr>
          </w:p>
        </w:tc>
        <w:tc>
          <w:tcPr>
            <w:tcW w:w="217" w:type="dxa"/>
          </w:tcPr>
          <w:p w14:paraId="59D2030C" w14:textId="77777777" w:rsidR="002C0FD9" w:rsidRPr="00CA25CF" w:rsidRDefault="002C0FD9" w:rsidP="00CA25CF">
            <w:pPr>
              <w:rPr>
                <w:rFonts w:cs="Arial"/>
                <w:color w:val="FF0000"/>
                <w:sz w:val="21"/>
                <w:szCs w:val="21"/>
              </w:rPr>
            </w:pPr>
          </w:p>
        </w:tc>
        <w:tc>
          <w:tcPr>
            <w:tcW w:w="217" w:type="dxa"/>
          </w:tcPr>
          <w:p w14:paraId="68CBD3AD" w14:textId="77777777" w:rsidR="002C0FD9" w:rsidRPr="00CA25CF" w:rsidRDefault="002C0FD9" w:rsidP="00CA25CF">
            <w:pPr>
              <w:rPr>
                <w:rFonts w:cs="Arial"/>
                <w:color w:val="FF0000"/>
                <w:sz w:val="21"/>
                <w:szCs w:val="21"/>
              </w:rPr>
            </w:pPr>
          </w:p>
        </w:tc>
        <w:tc>
          <w:tcPr>
            <w:tcW w:w="217" w:type="dxa"/>
          </w:tcPr>
          <w:p w14:paraId="6E847866" w14:textId="77777777" w:rsidR="002C0FD9" w:rsidRPr="00CA25CF" w:rsidRDefault="002C0FD9" w:rsidP="00CA25CF">
            <w:pPr>
              <w:rPr>
                <w:rFonts w:cs="Arial"/>
                <w:color w:val="FF0000"/>
                <w:sz w:val="21"/>
                <w:szCs w:val="21"/>
              </w:rPr>
            </w:pPr>
          </w:p>
        </w:tc>
        <w:tc>
          <w:tcPr>
            <w:tcW w:w="217" w:type="dxa"/>
          </w:tcPr>
          <w:p w14:paraId="6B0BD81D" w14:textId="77777777" w:rsidR="002C0FD9" w:rsidRPr="00CA25CF" w:rsidRDefault="002C0FD9" w:rsidP="00CA25CF">
            <w:pPr>
              <w:rPr>
                <w:rFonts w:cs="Arial"/>
                <w:color w:val="FF0000"/>
                <w:sz w:val="21"/>
                <w:szCs w:val="21"/>
              </w:rPr>
            </w:pPr>
          </w:p>
        </w:tc>
        <w:tc>
          <w:tcPr>
            <w:tcW w:w="217" w:type="dxa"/>
          </w:tcPr>
          <w:p w14:paraId="406EC280" w14:textId="77777777" w:rsidR="002C0FD9" w:rsidRPr="00CA25CF" w:rsidRDefault="002C0FD9" w:rsidP="00CA25CF">
            <w:pPr>
              <w:rPr>
                <w:rFonts w:cs="Arial"/>
                <w:color w:val="FF0000"/>
                <w:sz w:val="21"/>
                <w:szCs w:val="21"/>
              </w:rPr>
            </w:pPr>
          </w:p>
        </w:tc>
        <w:tc>
          <w:tcPr>
            <w:tcW w:w="217" w:type="dxa"/>
          </w:tcPr>
          <w:p w14:paraId="74288CFA" w14:textId="77777777" w:rsidR="002C0FD9" w:rsidRPr="00CA25CF" w:rsidRDefault="002C0FD9" w:rsidP="00CA25CF">
            <w:pPr>
              <w:rPr>
                <w:rFonts w:cs="Arial"/>
                <w:color w:val="FF0000"/>
                <w:sz w:val="21"/>
                <w:szCs w:val="21"/>
              </w:rPr>
            </w:pPr>
          </w:p>
        </w:tc>
        <w:tc>
          <w:tcPr>
            <w:tcW w:w="217" w:type="dxa"/>
          </w:tcPr>
          <w:p w14:paraId="52B542EA" w14:textId="77777777" w:rsidR="002C0FD9" w:rsidRPr="00CA25CF" w:rsidRDefault="002C0FD9" w:rsidP="00CA25CF">
            <w:pPr>
              <w:rPr>
                <w:rFonts w:cs="Arial"/>
                <w:color w:val="FF0000"/>
                <w:sz w:val="21"/>
                <w:szCs w:val="21"/>
              </w:rPr>
            </w:pPr>
          </w:p>
        </w:tc>
        <w:tc>
          <w:tcPr>
            <w:tcW w:w="217" w:type="dxa"/>
          </w:tcPr>
          <w:p w14:paraId="0ED4DAA9" w14:textId="77777777" w:rsidR="002C0FD9" w:rsidRPr="00CA25CF" w:rsidRDefault="002C0FD9" w:rsidP="00CA25CF">
            <w:pPr>
              <w:rPr>
                <w:rFonts w:cs="Arial"/>
                <w:color w:val="FF0000"/>
                <w:sz w:val="21"/>
                <w:szCs w:val="21"/>
              </w:rPr>
            </w:pPr>
          </w:p>
        </w:tc>
        <w:tc>
          <w:tcPr>
            <w:tcW w:w="217" w:type="dxa"/>
          </w:tcPr>
          <w:p w14:paraId="16D53C18" w14:textId="77777777" w:rsidR="002C0FD9" w:rsidRPr="00CA25CF" w:rsidRDefault="002C0FD9" w:rsidP="00CA25CF">
            <w:pPr>
              <w:rPr>
                <w:rFonts w:cs="Arial"/>
                <w:color w:val="FF0000"/>
                <w:sz w:val="21"/>
                <w:szCs w:val="21"/>
              </w:rPr>
            </w:pPr>
          </w:p>
        </w:tc>
        <w:tc>
          <w:tcPr>
            <w:tcW w:w="217" w:type="dxa"/>
          </w:tcPr>
          <w:p w14:paraId="0D6F2F20" w14:textId="77777777" w:rsidR="002C0FD9" w:rsidRPr="00CA25CF" w:rsidRDefault="002C0FD9" w:rsidP="00CA25CF">
            <w:pPr>
              <w:rPr>
                <w:rFonts w:cs="Arial"/>
                <w:color w:val="FF0000"/>
                <w:sz w:val="21"/>
                <w:szCs w:val="21"/>
              </w:rPr>
            </w:pPr>
          </w:p>
        </w:tc>
        <w:tc>
          <w:tcPr>
            <w:tcW w:w="217" w:type="dxa"/>
          </w:tcPr>
          <w:p w14:paraId="7D6FA042" w14:textId="77777777" w:rsidR="002C0FD9" w:rsidRPr="00CA25CF" w:rsidRDefault="002C0FD9" w:rsidP="00CA25CF">
            <w:pPr>
              <w:rPr>
                <w:rFonts w:cs="Arial"/>
                <w:color w:val="FF0000"/>
                <w:sz w:val="21"/>
                <w:szCs w:val="21"/>
              </w:rPr>
            </w:pPr>
          </w:p>
        </w:tc>
        <w:tc>
          <w:tcPr>
            <w:tcW w:w="217" w:type="dxa"/>
          </w:tcPr>
          <w:p w14:paraId="3E6408AD" w14:textId="77777777" w:rsidR="002C0FD9" w:rsidRPr="00CA25CF" w:rsidRDefault="002C0FD9" w:rsidP="00CA25CF">
            <w:pPr>
              <w:rPr>
                <w:rFonts w:cs="Arial"/>
                <w:color w:val="FF0000"/>
                <w:sz w:val="21"/>
                <w:szCs w:val="21"/>
              </w:rPr>
            </w:pPr>
          </w:p>
        </w:tc>
        <w:tc>
          <w:tcPr>
            <w:tcW w:w="217" w:type="dxa"/>
          </w:tcPr>
          <w:p w14:paraId="1EADA2B3" w14:textId="77777777" w:rsidR="002C0FD9" w:rsidRPr="00CA25CF" w:rsidRDefault="002C0FD9" w:rsidP="00CA25CF">
            <w:pPr>
              <w:rPr>
                <w:rFonts w:cs="Arial"/>
                <w:color w:val="FF0000"/>
                <w:sz w:val="21"/>
                <w:szCs w:val="21"/>
              </w:rPr>
            </w:pPr>
          </w:p>
        </w:tc>
        <w:tc>
          <w:tcPr>
            <w:tcW w:w="217" w:type="dxa"/>
          </w:tcPr>
          <w:p w14:paraId="06477C4E" w14:textId="77777777" w:rsidR="002C0FD9" w:rsidRPr="00CA25CF" w:rsidRDefault="002C0FD9" w:rsidP="00CA25CF">
            <w:pPr>
              <w:rPr>
                <w:rFonts w:cs="Arial"/>
                <w:color w:val="FF0000"/>
                <w:sz w:val="21"/>
                <w:szCs w:val="21"/>
              </w:rPr>
            </w:pPr>
          </w:p>
        </w:tc>
        <w:tc>
          <w:tcPr>
            <w:tcW w:w="217" w:type="dxa"/>
          </w:tcPr>
          <w:p w14:paraId="7F78768D" w14:textId="77777777" w:rsidR="002C0FD9" w:rsidRPr="00CA25CF" w:rsidRDefault="002C0FD9" w:rsidP="00CA25CF">
            <w:pPr>
              <w:rPr>
                <w:rFonts w:cs="Arial"/>
                <w:color w:val="FF0000"/>
                <w:sz w:val="21"/>
                <w:szCs w:val="21"/>
              </w:rPr>
            </w:pPr>
          </w:p>
        </w:tc>
        <w:tc>
          <w:tcPr>
            <w:tcW w:w="217" w:type="dxa"/>
          </w:tcPr>
          <w:p w14:paraId="4B690498" w14:textId="77777777" w:rsidR="002C0FD9" w:rsidRPr="00CA25CF" w:rsidRDefault="002C0FD9" w:rsidP="00CA25CF">
            <w:pPr>
              <w:rPr>
                <w:rFonts w:cs="Arial"/>
                <w:color w:val="FF0000"/>
                <w:sz w:val="21"/>
                <w:szCs w:val="21"/>
              </w:rPr>
            </w:pPr>
          </w:p>
        </w:tc>
        <w:tc>
          <w:tcPr>
            <w:tcW w:w="217" w:type="dxa"/>
          </w:tcPr>
          <w:p w14:paraId="16E22159" w14:textId="77777777" w:rsidR="002C0FD9" w:rsidRPr="00CA25CF" w:rsidRDefault="002C0FD9" w:rsidP="00CA25CF">
            <w:pPr>
              <w:rPr>
                <w:rFonts w:cs="Arial"/>
                <w:color w:val="FF0000"/>
                <w:sz w:val="21"/>
                <w:szCs w:val="21"/>
              </w:rPr>
            </w:pPr>
          </w:p>
        </w:tc>
        <w:tc>
          <w:tcPr>
            <w:tcW w:w="217" w:type="dxa"/>
          </w:tcPr>
          <w:p w14:paraId="7C261CE9" w14:textId="77777777" w:rsidR="002C0FD9" w:rsidRPr="00CA25CF" w:rsidRDefault="002C0FD9" w:rsidP="00CA25CF">
            <w:pPr>
              <w:rPr>
                <w:rFonts w:cs="Arial"/>
                <w:color w:val="FF0000"/>
                <w:sz w:val="21"/>
                <w:szCs w:val="21"/>
              </w:rPr>
            </w:pPr>
          </w:p>
        </w:tc>
        <w:tc>
          <w:tcPr>
            <w:tcW w:w="217" w:type="dxa"/>
          </w:tcPr>
          <w:p w14:paraId="5D2FFEB8" w14:textId="77777777" w:rsidR="002C0FD9" w:rsidRPr="00CA25CF" w:rsidRDefault="002C0FD9" w:rsidP="00CA25CF">
            <w:pPr>
              <w:rPr>
                <w:rFonts w:cs="Arial"/>
                <w:color w:val="FF0000"/>
                <w:sz w:val="21"/>
                <w:szCs w:val="21"/>
              </w:rPr>
            </w:pPr>
          </w:p>
        </w:tc>
        <w:tc>
          <w:tcPr>
            <w:tcW w:w="217" w:type="dxa"/>
          </w:tcPr>
          <w:p w14:paraId="154BBE3A" w14:textId="77777777" w:rsidR="002C0FD9" w:rsidRPr="00CA25CF" w:rsidRDefault="002C0FD9" w:rsidP="00CA25CF">
            <w:pPr>
              <w:rPr>
                <w:rFonts w:cs="Arial"/>
                <w:color w:val="FF0000"/>
                <w:sz w:val="21"/>
                <w:szCs w:val="21"/>
              </w:rPr>
            </w:pPr>
          </w:p>
        </w:tc>
        <w:tc>
          <w:tcPr>
            <w:tcW w:w="217" w:type="dxa"/>
          </w:tcPr>
          <w:p w14:paraId="15CD6155" w14:textId="77777777" w:rsidR="002C0FD9" w:rsidRPr="00CA25CF" w:rsidRDefault="002C0FD9" w:rsidP="00CA25CF">
            <w:pPr>
              <w:rPr>
                <w:rFonts w:cs="Arial"/>
                <w:color w:val="FF0000"/>
                <w:sz w:val="21"/>
                <w:szCs w:val="21"/>
              </w:rPr>
            </w:pPr>
          </w:p>
        </w:tc>
        <w:tc>
          <w:tcPr>
            <w:tcW w:w="217" w:type="dxa"/>
          </w:tcPr>
          <w:p w14:paraId="031BBE71" w14:textId="77777777" w:rsidR="002C0FD9" w:rsidRPr="00CA25CF" w:rsidRDefault="002C0FD9" w:rsidP="00CA25CF">
            <w:pPr>
              <w:rPr>
                <w:rFonts w:cs="Arial"/>
                <w:color w:val="FF0000"/>
                <w:sz w:val="21"/>
                <w:szCs w:val="21"/>
              </w:rPr>
            </w:pPr>
          </w:p>
        </w:tc>
        <w:tc>
          <w:tcPr>
            <w:tcW w:w="217" w:type="dxa"/>
          </w:tcPr>
          <w:p w14:paraId="5A65B03E" w14:textId="77777777" w:rsidR="002C0FD9" w:rsidRPr="00CA25CF" w:rsidRDefault="002C0FD9" w:rsidP="00CA25CF">
            <w:pPr>
              <w:rPr>
                <w:rFonts w:cs="Arial"/>
                <w:color w:val="FF0000"/>
                <w:sz w:val="21"/>
                <w:szCs w:val="21"/>
              </w:rPr>
            </w:pPr>
          </w:p>
        </w:tc>
        <w:tc>
          <w:tcPr>
            <w:tcW w:w="217" w:type="dxa"/>
          </w:tcPr>
          <w:p w14:paraId="0A272766" w14:textId="77777777" w:rsidR="002C0FD9" w:rsidRPr="00CA25CF" w:rsidRDefault="002C0FD9" w:rsidP="00CA25CF">
            <w:pPr>
              <w:rPr>
                <w:rFonts w:cs="Arial"/>
                <w:color w:val="FF0000"/>
                <w:sz w:val="21"/>
                <w:szCs w:val="21"/>
              </w:rPr>
            </w:pPr>
          </w:p>
        </w:tc>
        <w:tc>
          <w:tcPr>
            <w:tcW w:w="217" w:type="dxa"/>
          </w:tcPr>
          <w:p w14:paraId="1B1F3B9D" w14:textId="77777777" w:rsidR="002C0FD9" w:rsidRPr="00CA25CF" w:rsidRDefault="002C0FD9" w:rsidP="00CA25CF">
            <w:pPr>
              <w:rPr>
                <w:rFonts w:cs="Arial"/>
                <w:color w:val="FF0000"/>
                <w:sz w:val="21"/>
                <w:szCs w:val="21"/>
              </w:rPr>
            </w:pPr>
          </w:p>
        </w:tc>
        <w:tc>
          <w:tcPr>
            <w:tcW w:w="217" w:type="dxa"/>
          </w:tcPr>
          <w:p w14:paraId="183EBB6C" w14:textId="77777777" w:rsidR="002C0FD9" w:rsidRPr="00CA25CF" w:rsidRDefault="002C0FD9" w:rsidP="00CA25CF">
            <w:pPr>
              <w:rPr>
                <w:rFonts w:cs="Arial"/>
                <w:color w:val="FF0000"/>
                <w:sz w:val="21"/>
                <w:szCs w:val="21"/>
              </w:rPr>
            </w:pPr>
          </w:p>
        </w:tc>
        <w:tc>
          <w:tcPr>
            <w:tcW w:w="217" w:type="dxa"/>
          </w:tcPr>
          <w:p w14:paraId="39A8D95A" w14:textId="77777777" w:rsidR="002C0FD9" w:rsidRPr="00CA25CF" w:rsidRDefault="002C0FD9" w:rsidP="00CA25CF">
            <w:pPr>
              <w:rPr>
                <w:rFonts w:cs="Arial"/>
                <w:color w:val="FF0000"/>
                <w:sz w:val="21"/>
                <w:szCs w:val="21"/>
              </w:rPr>
            </w:pPr>
          </w:p>
        </w:tc>
        <w:tc>
          <w:tcPr>
            <w:tcW w:w="217" w:type="dxa"/>
          </w:tcPr>
          <w:p w14:paraId="1DA7379A" w14:textId="77777777" w:rsidR="002C0FD9" w:rsidRPr="00CA25CF" w:rsidRDefault="002C0FD9" w:rsidP="00CA25CF">
            <w:pPr>
              <w:rPr>
                <w:rFonts w:cs="Arial"/>
                <w:color w:val="FF0000"/>
                <w:sz w:val="21"/>
                <w:szCs w:val="21"/>
              </w:rPr>
            </w:pPr>
          </w:p>
        </w:tc>
        <w:tc>
          <w:tcPr>
            <w:tcW w:w="217" w:type="dxa"/>
          </w:tcPr>
          <w:p w14:paraId="330CC39F" w14:textId="77777777" w:rsidR="002C0FD9" w:rsidRPr="00CA25CF" w:rsidRDefault="002C0FD9" w:rsidP="00CA25CF">
            <w:pPr>
              <w:rPr>
                <w:rFonts w:cs="Arial"/>
                <w:color w:val="FF0000"/>
                <w:sz w:val="21"/>
                <w:szCs w:val="21"/>
              </w:rPr>
            </w:pPr>
          </w:p>
        </w:tc>
        <w:tc>
          <w:tcPr>
            <w:tcW w:w="217" w:type="dxa"/>
          </w:tcPr>
          <w:p w14:paraId="0BB978D7" w14:textId="77777777" w:rsidR="002C0FD9" w:rsidRPr="00CA25CF" w:rsidRDefault="002C0FD9" w:rsidP="00CA25CF">
            <w:pPr>
              <w:rPr>
                <w:rFonts w:cs="Arial"/>
                <w:color w:val="FF0000"/>
                <w:sz w:val="21"/>
                <w:szCs w:val="21"/>
              </w:rPr>
            </w:pPr>
          </w:p>
        </w:tc>
        <w:tc>
          <w:tcPr>
            <w:tcW w:w="217" w:type="dxa"/>
          </w:tcPr>
          <w:p w14:paraId="655D8DEB" w14:textId="77777777" w:rsidR="002C0FD9" w:rsidRPr="00CA25CF" w:rsidRDefault="002C0FD9" w:rsidP="00CA25CF">
            <w:pPr>
              <w:rPr>
                <w:rFonts w:cs="Arial"/>
                <w:color w:val="FF0000"/>
                <w:sz w:val="21"/>
                <w:szCs w:val="21"/>
              </w:rPr>
            </w:pPr>
          </w:p>
        </w:tc>
        <w:tc>
          <w:tcPr>
            <w:tcW w:w="217" w:type="dxa"/>
          </w:tcPr>
          <w:p w14:paraId="511A6AF4" w14:textId="77777777" w:rsidR="002C0FD9" w:rsidRPr="00CA25CF" w:rsidRDefault="002C0FD9" w:rsidP="00CA25CF">
            <w:pPr>
              <w:rPr>
                <w:rFonts w:cs="Arial"/>
                <w:color w:val="FF0000"/>
                <w:sz w:val="21"/>
                <w:szCs w:val="21"/>
              </w:rPr>
            </w:pPr>
          </w:p>
        </w:tc>
        <w:tc>
          <w:tcPr>
            <w:tcW w:w="217" w:type="dxa"/>
          </w:tcPr>
          <w:p w14:paraId="7D85F2C5" w14:textId="77777777" w:rsidR="002C0FD9" w:rsidRPr="00CA25CF" w:rsidRDefault="002C0FD9" w:rsidP="00CA25CF">
            <w:pPr>
              <w:rPr>
                <w:rFonts w:cs="Arial"/>
                <w:color w:val="FF0000"/>
                <w:sz w:val="21"/>
                <w:szCs w:val="21"/>
              </w:rPr>
            </w:pPr>
          </w:p>
        </w:tc>
        <w:tc>
          <w:tcPr>
            <w:tcW w:w="217" w:type="dxa"/>
          </w:tcPr>
          <w:p w14:paraId="16BF717F" w14:textId="77777777" w:rsidR="002C0FD9" w:rsidRPr="00CA25CF" w:rsidRDefault="002C0FD9" w:rsidP="00CA25CF">
            <w:pPr>
              <w:rPr>
                <w:rFonts w:cs="Arial"/>
                <w:color w:val="FF0000"/>
                <w:sz w:val="21"/>
                <w:szCs w:val="21"/>
              </w:rPr>
            </w:pPr>
          </w:p>
        </w:tc>
        <w:tc>
          <w:tcPr>
            <w:tcW w:w="217" w:type="dxa"/>
          </w:tcPr>
          <w:p w14:paraId="4971C743" w14:textId="77777777" w:rsidR="002C0FD9" w:rsidRPr="00CA25CF" w:rsidRDefault="002C0FD9" w:rsidP="00CA25CF">
            <w:pPr>
              <w:rPr>
                <w:rFonts w:cs="Arial"/>
                <w:color w:val="FF0000"/>
                <w:sz w:val="21"/>
                <w:szCs w:val="21"/>
              </w:rPr>
            </w:pPr>
          </w:p>
        </w:tc>
        <w:tc>
          <w:tcPr>
            <w:tcW w:w="217" w:type="dxa"/>
          </w:tcPr>
          <w:p w14:paraId="2CF64309" w14:textId="77777777" w:rsidR="002C0FD9" w:rsidRPr="00CA25CF" w:rsidRDefault="002C0FD9" w:rsidP="00CA25CF">
            <w:pPr>
              <w:rPr>
                <w:rFonts w:cs="Arial"/>
                <w:color w:val="FF0000"/>
                <w:sz w:val="21"/>
                <w:szCs w:val="21"/>
              </w:rPr>
            </w:pPr>
          </w:p>
        </w:tc>
        <w:tc>
          <w:tcPr>
            <w:tcW w:w="217" w:type="dxa"/>
          </w:tcPr>
          <w:p w14:paraId="7E76871C" w14:textId="77777777" w:rsidR="002C0FD9" w:rsidRPr="00CA25CF" w:rsidRDefault="002C0FD9" w:rsidP="00CA25CF">
            <w:pPr>
              <w:rPr>
                <w:rFonts w:cs="Arial"/>
                <w:color w:val="FF0000"/>
                <w:sz w:val="21"/>
                <w:szCs w:val="21"/>
              </w:rPr>
            </w:pPr>
          </w:p>
        </w:tc>
        <w:tc>
          <w:tcPr>
            <w:tcW w:w="217" w:type="dxa"/>
          </w:tcPr>
          <w:p w14:paraId="242A2B05" w14:textId="77777777" w:rsidR="002C0FD9" w:rsidRPr="00CA25CF" w:rsidRDefault="002C0FD9" w:rsidP="00CA25CF">
            <w:pPr>
              <w:rPr>
                <w:rFonts w:cs="Arial"/>
                <w:color w:val="FF0000"/>
                <w:sz w:val="21"/>
                <w:szCs w:val="21"/>
              </w:rPr>
            </w:pPr>
          </w:p>
        </w:tc>
        <w:tc>
          <w:tcPr>
            <w:tcW w:w="217" w:type="dxa"/>
          </w:tcPr>
          <w:p w14:paraId="00C11D3C" w14:textId="77777777" w:rsidR="002C0FD9" w:rsidRPr="00CA25CF" w:rsidRDefault="002C0FD9" w:rsidP="00CA25CF">
            <w:pPr>
              <w:rPr>
                <w:rFonts w:cs="Arial"/>
                <w:color w:val="FF0000"/>
                <w:sz w:val="21"/>
                <w:szCs w:val="21"/>
              </w:rPr>
            </w:pPr>
          </w:p>
        </w:tc>
        <w:tc>
          <w:tcPr>
            <w:tcW w:w="217" w:type="dxa"/>
          </w:tcPr>
          <w:p w14:paraId="0B8B460A" w14:textId="77777777" w:rsidR="002C0FD9" w:rsidRPr="00CA25CF" w:rsidRDefault="002C0FD9" w:rsidP="00CA25CF">
            <w:pPr>
              <w:rPr>
                <w:rFonts w:cs="Arial"/>
                <w:color w:val="FF0000"/>
                <w:sz w:val="21"/>
                <w:szCs w:val="21"/>
              </w:rPr>
            </w:pPr>
          </w:p>
        </w:tc>
        <w:tc>
          <w:tcPr>
            <w:tcW w:w="217" w:type="dxa"/>
          </w:tcPr>
          <w:p w14:paraId="790AACCC" w14:textId="77777777" w:rsidR="002C0FD9" w:rsidRPr="00CA25CF" w:rsidRDefault="002C0FD9" w:rsidP="00CA25CF">
            <w:pPr>
              <w:rPr>
                <w:rFonts w:cs="Arial"/>
                <w:color w:val="FF0000"/>
                <w:sz w:val="21"/>
                <w:szCs w:val="21"/>
              </w:rPr>
            </w:pPr>
          </w:p>
        </w:tc>
        <w:tc>
          <w:tcPr>
            <w:tcW w:w="217" w:type="dxa"/>
          </w:tcPr>
          <w:p w14:paraId="2993F82C" w14:textId="77777777" w:rsidR="002C0FD9" w:rsidRPr="00CA25CF" w:rsidRDefault="002C0FD9" w:rsidP="00CA25CF">
            <w:pPr>
              <w:rPr>
                <w:rFonts w:cs="Arial"/>
                <w:color w:val="FF0000"/>
                <w:sz w:val="21"/>
                <w:szCs w:val="21"/>
              </w:rPr>
            </w:pPr>
          </w:p>
        </w:tc>
      </w:tr>
      <w:tr w:rsidR="002C0FD9" w:rsidRPr="00A16219" w14:paraId="7247743E" w14:textId="77777777" w:rsidTr="002C0FD9">
        <w:trPr>
          <w:trHeight w:val="635"/>
        </w:trPr>
        <w:tc>
          <w:tcPr>
            <w:tcW w:w="515" w:type="dxa"/>
          </w:tcPr>
          <w:p w14:paraId="3D0F0EEE" w14:textId="77777777" w:rsidR="002C0FD9" w:rsidRPr="00CA25CF" w:rsidRDefault="002C0FD9" w:rsidP="00CA25CF">
            <w:pPr>
              <w:rPr>
                <w:rFonts w:cs="Arial"/>
                <w:color w:val="FF0000"/>
                <w:sz w:val="21"/>
                <w:szCs w:val="21"/>
              </w:rPr>
            </w:pPr>
          </w:p>
        </w:tc>
        <w:tc>
          <w:tcPr>
            <w:tcW w:w="217" w:type="dxa"/>
          </w:tcPr>
          <w:p w14:paraId="05BCA432" w14:textId="77777777" w:rsidR="002C0FD9" w:rsidRPr="00CA25CF" w:rsidRDefault="002C0FD9" w:rsidP="00CA25CF">
            <w:pPr>
              <w:rPr>
                <w:rFonts w:cs="Arial"/>
                <w:color w:val="FF0000"/>
                <w:sz w:val="21"/>
                <w:szCs w:val="21"/>
              </w:rPr>
            </w:pPr>
          </w:p>
        </w:tc>
        <w:tc>
          <w:tcPr>
            <w:tcW w:w="217" w:type="dxa"/>
          </w:tcPr>
          <w:p w14:paraId="30F3BC93" w14:textId="77777777" w:rsidR="002C0FD9" w:rsidRPr="00CA25CF" w:rsidRDefault="002C0FD9" w:rsidP="00CA25CF">
            <w:pPr>
              <w:rPr>
                <w:rFonts w:cs="Arial"/>
                <w:color w:val="FF0000"/>
                <w:sz w:val="21"/>
                <w:szCs w:val="21"/>
              </w:rPr>
            </w:pPr>
          </w:p>
        </w:tc>
        <w:tc>
          <w:tcPr>
            <w:tcW w:w="217" w:type="dxa"/>
          </w:tcPr>
          <w:p w14:paraId="119625E7" w14:textId="77777777" w:rsidR="002C0FD9" w:rsidRPr="00CA25CF" w:rsidRDefault="002C0FD9" w:rsidP="00CA25CF">
            <w:pPr>
              <w:rPr>
                <w:rFonts w:cs="Arial"/>
                <w:color w:val="FF0000"/>
                <w:sz w:val="21"/>
                <w:szCs w:val="21"/>
              </w:rPr>
            </w:pPr>
          </w:p>
        </w:tc>
        <w:tc>
          <w:tcPr>
            <w:tcW w:w="217" w:type="dxa"/>
          </w:tcPr>
          <w:p w14:paraId="4838C1DE" w14:textId="77777777" w:rsidR="002C0FD9" w:rsidRPr="00CA25CF" w:rsidRDefault="002C0FD9" w:rsidP="00CA25CF">
            <w:pPr>
              <w:rPr>
                <w:rFonts w:cs="Arial"/>
                <w:color w:val="FF0000"/>
                <w:sz w:val="21"/>
                <w:szCs w:val="21"/>
              </w:rPr>
            </w:pPr>
          </w:p>
        </w:tc>
        <w:tc>
          <w:tcPr>
            <w:tcW w:w="217" w:type="dxa"/>
          </w:tcPr>
          <w:p w14:paraId="44724F45" w14:textId="77777777" w:rsidR="002C0FD9" w:rsidRPr="00CA25CF" w:rsidRDefault="002C0FD9" w:rsidP="00CA25CF">
            <w:pPr>
              <w:rPr>
                <w:rFonts w:cs="Arial"/>
                <w:color w:val="FF0000"/>
                <w:sz w:val="21"/>
                <w:szCs w:val="21"/>
              </w:rPr>
            </w:pPr>
          </w:p>
        </w:tc>
        <w:tc>
          <w:tcPr>
            <w:tcW w:w="217" w:type="dxa"/>
          </w:tcPr>
          <w:p w14:paraId="7057D9F0" w14:textId="77777777" w:rsidR="002C0FD9" w:rsidRPr="00CA25CF" w:rsidRDefault="002C0FD9" w:rsidP="00CA25CF">
            <w:pPr>
              <w:rPr>
                <w:rFonts w:cs="Arial"/>
                <w:color w:val="FF0000"/>
                <w:sz w:val="21"/>
                <w:szCs w:val="21"/>
              </w:rPr>
            </w:pPr>
          </w:p>
        </w:tc>
        <w:tc>
          <w:tcPr>
            <w:tcW w:w="217" w:type="dxa"/>
          </w:tcPr>
          <w:p w14:paraId="7550BE27" w14:textId="77777777" w:rsidR="002C0FD9" w:rsidRPr="00CA25CF" w:rsidRDefault="002C0FD9" w:rsidP="00CA25CF">
            <w:pPr>
              <w:rPr>
                <w:rFonts w:cs="Arial"/>
                <w:color w:val="FF0000"/>
                <w:sz w:val="21"/>
                <w:szCs w:val="21"/>
              </w:rPr>
            </w:pPr>
          </w:p>
        </w:tc>
        <w:tc>
          <w:tcPr>
            <w:tcW w:w="217" w:type="dxa"/>
          </w:tcPr>
          <w:p w14:paraId="359BC2A6" w14:textId="77777777" w:rsidR="002C0FD9" w:rsidRPr="00CA25CF" w:rsidRDefault="002C0FD9" w:rsidP="00CA25CF">
            <w:pPr>
              <w:rPr>
                <w:rFonts w:cs="Arial"/>
                <w:color w:val="FF0000"/>
                <w:sz w:val="21"/>
                <w:szCs w:val="21"/>
              </w:rPr>
            </w:pPr>
          </w:p>
        </w:tc>
        <w:tc>
          <w:tcPr>
            <w:tcW w:w="217" w:type="dxa"/>
          </w:tcPr>
          <w:p w14:paraId="3387241C" w14:textId="77777777" w:rsidR="002C0FD9" w:rsidRPr="00CA25CF" w:rsidRDefault="002C0FD9" w:rsidP="00CA25CF">
            <w:pPr>
              <w:rPr>
                <w:rFonts w:cs="Arial"/>
                <w:color w:val="FF0000"/>
                <w:sz w:val="21"/>
                <w:szCs w:val="21"/>
              </w:rPr>
            </w:pPr>
          </w:p>
        </w:tc>
        <w:tc>
          <w:tcPr>
            <w:tcW w:w="217" w:type="dxa"/>
          </w:tcPr>
          <w:p w14:paraId="62811CCA" w14:textId="77777777" w:rsidR="002C0FD9" w:rsidRPr="00CA25CF" w:rsidRDefault="002C0FD9" w:rsidP="00CA25CF">
            <w:pPr>
              <w:rPr>
                <w:rFonts w:cs="Arial"/>
                <w:color w:val="FF0000"/>
                <w:sz w:val="21"/>
                <w:szCs w:val="21"/>
              </w:rPr>
            </w:pPr>
          </w:p>
        </w:tc>
        <w:tc>
          <w:tcPr>
            <w:tcW w:w="217" w:type="dxa"/>
          </w:tcPr>
          <w:p w14:paraId="0E3A4A53" w14:textId="77777777" w:rsidR="002C0FD9" w:rsidRPr="00CA25CF" w:rsidRDefault="002C0FD9" w:rsidP="00CA25CF">
            <w:pPr>
              <w:rPr>
                <w:rFonts w:cs="Arial"/>
                <w:color w:val="FF0000"/>
                <w:sz w:val="21"/>
                <w:szCs w:val="21"/>
              </w:rPr>
            </w:pPr>
          </w:p>
        </w:tc>
        <w:tc>
          <w:tcPr>
            <w:tcW w:w="217" w:type="dxa"/>
          </w:tcPr>
          <w:p w14:paraId="6D421CEE" w14:textId="77777777" w:rsidR="002C0FD9" w:rsidRPr="00CA25CF" w:rsidRDefault="002C0FD9" w:rsidP="00CA25CF">
            <w:pPr>
              <w:rPr>
                <w:rFonts w:cs="Arial"/>
                <w:color w:val="FF0000"/>
                <w:sz w:val="21"/>
                <w:szCs w:val="21"/>
              </w:rPr>
            </w:pPr>
          </w:p>
        </w:tc>
        <w:tc>
          <w:tcPr>
            <w:tcW w:w="217" w:type="dxa"/>
          </w:tcPr>
          <w:p w14:paraId="1C5CBAF1" w14:textId="77777777" w:rsidR="002C0FD9" w:rsidRPr="00CA25CF" w:rsidRDefault="002C0FD9" w:rsidP="00CA25CF">
            <w:pPr>
              <w:rPr>
                <w:rFonts w:cs="Arial"/>
                <w:color w:val="FF0000"/>
                <w:sz w:val="21"/>
                <w:szCs w:val="21"/>
              </w:rPr>
            </w:pPr>
          </w:p>
        </w:tc>
        <w:tc>
          <w:tcPr>
            <w:tcW w:w="217" w:type="dxa"/>
          </w:tcPr>
          <w:p w14:paraId="2C7C795B" w14:textId="77777777" w:rsidR="002C0FD9" w:rsidRPr="00CA25CF" w:rsidRDefault="002C0FD9" w:rsidP="00CA25CF">
            <w:pPr>
              <w:rPr>
                <w:rFonts w:cs="Arial"/>
                <w:color w:val="FF0000"/>
                <w:sz w:val="21"/>
                <w:szCs w:val="21"/>
              </w:rPr>
            </w:pPr>
          </w:p>
        </w:tc>
        <w:tc>
          <w:tcPr>
            <w:tcW w:w="217" w:type="dxa"/>
          </w:tcPr>
          <w:p w14:paraId="3E486EAD" w14:textId="77777777" w:rsidR="002C0FD9" w:rsidRPr="00CA25CF" w:rsidRDefault="002C0FD9" w:rsidP="00CA25CF">
            <w:pPr>
              <w:rPr>
                <w:rFonts w:cs="Arial"/>
                <w:color w:val="FF0000"/>
                <w:sz w:val="21"/>
                <w:szCs w:val="21"/>
              </w:rPr>
            </w:pPr>
          </w:p>
        </w:tc>
        <w:tc>
          <w:tcPr>
            <w:tcW w:w="217" w:type="dxa"/>
          </w:tcPr>
          <w:p w14:paraId="7BCABBC9" w14:textId="77777777" w:rsidR="002C0FD9" w:rsidRPr="00CA25CF" w:rsidRDefault="002C0FD9" w:rsidP="00CA25CF">
            <w:pPr>
              <w:rPr>
                <w:rFonts w:cs="Arial"/>
                <w:color w:val="FF0000"/>
                <w:sz w:val="21"/>
                <w:szCs w:val="21"/>
              </w:rPr>
            </w:pPr>
          </w:p>
        </w:tc>
        <w:tc>
          <w:tcPr>
            <w:tcW w:w="217" w:type="dxa"/>
          </w:tcPr>
          <w:p w14:paraId="2B92FF2A" w14:textId="77777777" w:rsidR="002C0FD9" w:rsidRPr="00CA25CF" w:rsidRDefault="002C0FD9" w:rsidP="00CA25CF">
            <w:pPr>
              <w:rPr>
                <w:rFonts w:cs="Arial"/>
                <w:color w:val="FF0000"/>
                <w:sz w:val="21"/>
                <w:szCs w:val="21"/>
              </w:rPr>
            </w:pPr>
          </w:p>
        </w:tc>
        <w:tc>
          <w:tcPr>
            <w:tcW w:w="217" w:type="dxa"/>
          </w:tcPr>
          <w:p w14:paraId="4153AC60" w14:textId="77777777" w:rsidR="002C0FD9" w:rsidRPr="00CA25CF" w:rsidRDefault="002C0FD9" w:rsidP="00CA25CF">
            <w:pPr>
              <w:rPr>
                <w:rFonts w:cs="Arial"/>
                <w:color w:val="FF0000"/>
                <w:sz w:val="21"/>
                <w:szCs w:val="21"/>
              </w:rPr>
            </w:pPr>
          </w:p>
        </w:tc>
        <w:tc>
          <w:tcPr>
            <w:tcW w:w="217" w:type="dxa"/>
          </w:tcPr>
          <w:p w14:paraId="4208A89B" w14:textId="77777777" w:rsidR="002C0FD9" w:rsidRPr="00CA25CF" w:rsidRDefault="002C0FD9" w:rsidP="00CA25CF">
            <w:pPr>
              <w:rPr>
                <w:rFonts w:cs="Arial"/>
                <w:color w:val="FF0000"/>
                <w:sz w:val="21"/>
                <w:szCs w:val="21"/>
              </w:rPr>
            </w:pPr>
          </w:p>
        </w:tc>
        <w:tc>
          <w:tcPr>
            <w:tcW w:w="217" w:type="dxa"/>
          </w:tcPr>
          <w:p w14:paraId="613911F5" w14:textId="77777777" w:rsidR="002C0FD9" w:rsidRPr="00CA25CF" w:rsidRDefault="002C0FD9" w:rsidP="00CA25CF">
            <w:pPr>
              <w:rPr>
                <w:rFonts w:cs="Arial"/>
                <w:color w:val="FF0000"/>
                <w:sz w:val="21"/>
                <w:szCs w:val="21"/>
              </w:rPr>
            </w:pPr>
          </w:p>
        </w:tc>
        <w:tc>
          <w:tcPr>
            <w:tcW w:w="217" w:type="dxa"/>
          </w:tcPr>
          <w:p w14:paraId="6572C110" w14:textId="77777777" w:rsidR="002C0FD9" w:rsidRPr="00CA25CF" w:rsidRDefault="002C0FD9" w:rsidP="00CA25CF">
            <w:pPr>
              <w:rPr>
                <w:rFonts w:cs="Arial"/>
                <w:color w:val="FF0000"/>
                <w:sz w:val="21"/>
                <w:szCs w:val="21"/>
              </w:rPr>
            </w:pPr>
          </w:p>
        </w:tc>
        <w:tc>
          <w:tcPr>
            <w:tcW w:w="217" w:type="dxa"/>
          </w:tcPr>
          <w:p w14:paraId="7E657393" w14:textId="77777777" w:rsidR="002C0FD9" w:rsidRPr="00CA25CF" w:rsidRDefault="002C0FD9" w:rsidP="00CA25CF">
            <w:pPr>
              <w:rPr>
                <w:rFonts w:cs="Arial"/>
                <w:color w:val="FF0000"/>
                <w:sz w:val="21"/>
                <w:szCs w:val="21"/>
              </w:rPr>
            </w:pPr>
          </w:p>
        </w:tc>
        <w:tc>
          <w:tcPr>
            <w:tcW w:w="217" w:type="dxa"/>
          </w:tcPr>
          <w:p w14:paraId="150FDCC5" w14:textId="77777777" w:rsidR="002C0FD9" w:rsidRPr="00CA25CF" w:rsidRDefault="002C0FD9" w:rsidP="00CA25CF">
            <w:pPr>
              <w:rPr>
                <w:rFonts w:cs="Arial"/>
                <w:color w:val="FF0000"/>
                <w:sz w:val="21"/>
                <w:szCs w:val="21"/>
              </w:rPr>
            </w:pPr>
          </w:p>
        </w:tc>
        <w:tc>
          <w:tcPr>
            <w:tcW w:w="217" w:type="dxa"/>
          </w:tcPr>
          <w:p w14:paraId="1C95298A" w14:textId="77777777" w:rsidR="002C0FD9" w:rsidRPr="00CA25CF" w:rsidRDefault="002C0FD9" w:rsidP="00CA25CF">
            <w:pPr>
              <w:rPr>
                <w:rFonts w:cs="Arial"/>
                <w:color w:val="FF0000"/>
                <w:sz w:val="21"/>
                <w:szCs w:val="21"/>
              </w:rPr>
            </w:pPr>
          </w:p>
        </w:tc>
        <w:tc>
          <w:tcPr>
            <w:tcW w:w="217" w:type="dxa"/>
          </w:tcPr>
          <w:p w14:paraId="216760E9" w14:textId="77777777" w:rsidR="002C0FD9" w:rsidRPr="00CA25CF" w:rsidRDefault="002C0FD9" w:rsidP="00CA25CF">
            <w:pPr>
              <w:rPr>
                <w:rFonts w:cs="Arial"/>
                <w:color w:val="FF0000"/>
                <w:sz w:val="21"/>
                <w:szCs w:val="21"/>
              </w:rPr>
            </w:pPr>
          </w:p>
        </w:tc>
        <w:tc>
          <w:tcPr>
            <w:tcW w:w="217" w:type="dxa"/>
          </w:tcPr>
          <w:p w14:paraId="15FD92F4" w14:textId="77777777" w:rsidR="002C0FD9" w:rsidRPr="00CA25CF" w:rsidRDefault="002C0FD9" w:rsidP="00CA25CF">
            <w:pPr>
              <w:rPr>
                <w:rFonts w:cs="Arial"/>
                <w:color w:val="FF0000"/>
                <w:sz w:val="21"/>
                <w:szCs w:val="21"/>
              </w:rPr>
            </w:pPr>
          </w:p>
        </w:tc>
        <w:tc>
          <w:tcPr>
            <w:tcW w:w="217" w:type="dxa"/>
          </w:tcPr>
          <w:p w14:paraId="3BFB58FB" w14:textId="77777777" w:rsidR="002C0FD9" w:rsidRPr="00CA25CF" w:rsidRDefault="002C0FD9" w:rsidP="00CA25CF">
            <w:pPr>
              <w:rPr>
                <w:rFonts w:cs="Arial"/>
                <w:color w:val="FF0000"/>
                <w:sz w:val="21"/>
                <w:szCs w:val="21"/>
              </w:rPr>
            </w:pPr>
          </w:p>
        </w:tc>
        <w:tc>
          <w:tcPr>
            <w:tcW w:w="217" w:type="dxa"/>
          </w:tcPr>
          <w:p w14:paraId="349173D2" w14:textId="77777777" w:rsidR="002C0FD9" w:rsidRPr="00CA25CF" w:rsidRDefault="002C0FD9" w:rsidP="00CA25CF">
            <w:pPr>
              <w:rPr>
                <w:rFonts w:cs="Arial"/>
                <w:color w:val="FF0000"/>
                <w:sz w:val="21"/>
                <w:szCs w:val="21"/>
              </w:rPr>
            </w:pPr>
          </w:p>
        </w:tc>
        <w:tc>
          <w:tcPr>
            <w:tcW w:w="217" w:type="dxa"/>
          </w:tcPr>
          <w:p w14:paraId="4B150293" w14:textId="77777777" w:rsidR="002C0FD9" w:rsidRPr="00CA25CF" w:rsidRDefault="002C0FD9" w:rsidP="00CA25CF">
            <w:pPr>
              <w:rPr>
                <w:rFonts w:cs="Arial"/>
                <w:color w:val="FF0000"/>
                <w:sz w:val="21"/>
                <w:szCs w:val="21"/>
              </w:rPr>
            </w:pPr>
          </w:p>
        </w:tc>
        <w:tc>
          <w:tcPr>
            <w:tcW w:w="217" w:type="dxa"/>
          </w:tcPr>
          <w:p w14:paraId="00109F97" w14:textId="77777777" w:rsidR="002C0FD9" w:rsidRPr="00CA25CF" w:rsidRDefault="002C0FD9" w:rsidP="00CA25CF">
            <w:pPr>
              <w:rPr>
                <w:rFonts w:cs="Arial"/>
                <w:color w:val="FF0000"/>
                <w:sz w:val="21"/>
                <w:szCs w:val="21"/>
              </w:rPr>
            </w:pPr>
          </w:p>
        </w:tc>
        <w:tc>
          <w:tcPr>
            <w:tcW w:w="217" w:type="dxa"/>
          </w:tcPr>
          <w:p w14:paraId="18C723B2" w14:textId="77777777" w:rsidR="002C0FD9" w:rsidRPr="00CA25CF" w:rsidRDefault="002C0FD9" w:rsidP="00CA25CF">
            <w:pPr>
              <w:rPr>
                <w:rFonts w:cs="Arial"/>
                <w:color w:val="FF0000"/>
                <w:sz w:val="21"/>
                <w:szCs w:val="21"/>
              </w:rPr>
            </w:pPr>
          </w:p>
        </w:tc>
        <w:tc>
          <w:tcPr>
            <w:tcW w:w="217" w:type="dxa"/>
          </w:tcPr>
          <w:p w14:paraId="2AB13437" w14:textId="77777777" w:rsidR="002C0FD9" w:rsidRPr="00CA25CF" w:rsidRDefault="002C0FD9" w:rsidP="00CA25CF">
            <w:pPr>
              <w:rPr>
                <w:rFonts w:cs="Arial"/>
                <w:color w:val="FF0000"/>
                <w:sz w:val="21"/>
                <w:szCs w:val="21"/>
              </w:rPr>
            </w:pPr>
          </w:p>
        </w:tc>
        <w:tc>
          <w:tcPr>
            <w:tcW w:w="217" w:type="dxa"/>
          </w:tcPr>
          <w:p w14:paraId="6B2CED3A" w14:textId="77777777" w:rsidR="002C0FD9" w:rsidRPr="00CA25CF" w:rsidRDefault="002C0FD9" w:rsidP="00CA25CF">
            <w:pPr>
              <w:rPr>
                <w:rFonts w:cs="Arial"/>
                <w:color w:val="FF0000"/>
                <w:sz w:val="21"/>
                <w:szCs w:val="21"/>
              </w:rPr>
            </w:pPr>
          </w:p>
        </w:tc>
        <w:tc>
          <w:tcPr>
            <w:tcW w:w="217" w:type="dxa"/>
          </w:tcPr>
          <w:p w14:paraId="3595AA2B" w14:textId="77777777" w:rsidR="002C0FD9" w:rsidRPr="00CA25CF" w:rsidRDefault="002C0FD9" w:rsidP="00CA25CF">
            <w:pPr>
              <w:rPr>
                <w:rFonts w:cs="Arial"/>
                <w:color w:val="FF0000"/>
                <w:sz w:val="21"/>
                <w:szCs w:val="21"/>
              </w:rPr>
            </w:pPr>
          </w:p>
        </w:tc>
        <w:tc>
          <w:tcPr>
            <w:tcW w:w="217" w:type="dxa"/>
          </w:tcPr>
          <w:p w14:paraId="49ADF87B" w14:textId="77777777" w:rsidR="002C0FD9" w:rsidRPr="00CA25CF" w:rsidRDefault="002C0FD9" w:rsidP="00CA25CF">
            <w:pPr>
              <w:rPr>
                <w:rFonts w:cs="Arial"/>
                <w:color w:val="FF0000"/>
                <w:sz w:val="21"/>
                <w:szCs w:val="21"/>
              </w:rPr>
            </w:pPr>
          </w:p>
        </w:tc>
        <w:tc>
          <w:tcPr>
            <w:tcW w:w="217" w:type="dxa"/>
          </w:tcPr>
          <w:p w14:paraId="32225DC0" w14:textId="77777777" w:rsidR="002C0FD9" w:rsidRPr="00CA25CF" w:rsidRDefault="002C0FD9" w:rsidP="00CA25CF">
            <w:pPr>
              <w:rPr>
                <w:rFonts w:cs="Arial"/>
                <w:color w:val="FF0000"/>
                <w:sz w:val="21"/>
                <w:szCs w:val="21"/>
              </w:rPr>
            </w:pPr>
          </w:p>
        </w:tc>
        <w:tc>
          <w:tcPr>
            <w:tcW w:w="217" w:type="dxa"/>
          </w:tcPr>
          <w:p w14:paraId="6B736B22" w14:textId="77777777" w:rsidR="002C0FD9" w:rsidRPr="00CA25CF" w:rsidRDefault="002C0FD9" w:rsidP="00CA25CF">
            <w:pPr>
              <w:rPr>
                <w:rFonts w:cs="Arial"/>
                <w:color w:val="FF0000"/>
                <w:sz w:val="21"/>
                <w:szCs w:val="21"/>
              </w:rPr>
            </w:pPr>
          </w:p>
        </w:tc>
        <w:tc>
          <w:tcPr>
            <w:tcW w:w="217" w:type="dxa"/>
          </w:tcPr>
          <w:p w14:paraId="45E1F621" w14:textId="77777777" w:rsidR="002C0FD9" w:rsidRPr="00CA25CF" w:rsidRDefault="002C0FD9" w:rsidP="00CA25CF">
            <w:pPr>
              <w:rPr>
                <w:rFonts w:cs="Arial"/>
                <w:color w:val="FF0000"/>
                <w:sz w:val="21"/>
                <w:szCs w:val="21"/>
              </w:rPr>
            </w:pPr>
          </w:p>
        </w:tc>
        <w:tc>
          <w:tcPr>
            <w:tcW w:w="217" w:type="dxa"/>
          </w:tcPr>
          <w:p w14:paraId="08AC36B8" w14:textId="77777777" w:rsidR="002C0FD9" w:rsidRPr="00CA25CF" w:rsidRDefault="002C0FD9" w:rsidP="00CA25CF">
            <w:pPr>
              <w:rPr>
                <w:rFonts w:cs="Arial"/>
                <w:color w:val="FF0000"/>
                <w:sz w:val="21"/>
                <w:szCs w:val="21"/>
              </w:rPr>
            </w:pPr>
          </w:p>
        </w:tc>
        <w:tc>
          <w:tcPr>
            <w:tcW w:w="217" w:type="dxa"/>
          </w:tcPr>
          <w:p w14:paraId="51BBE571" w14:textId="77777777" w:rsidR="002C0FD9" w:rsidRPr="00CA25CF" w:rsidRDefault="002C0FD9" w:rsidP="00CA25CF">
            <w:pPr>
              <w:rPr>
                <w:rFonts w:cs="Arial"/>
                <w:color w:val="FF0000"/>
                <w:sz w:val="21"/>
                <w:szCs w:val="21"/>
              </w:rPr>
            </w:pPr>
          </w:p>
        </w:tc>
        <w:tc>
          <w:tcPr>
            <w:tcW w:w="217" w:type="dxa"/>
          </w:tcPr>
          <w:p w14:paraId="305E0D86" w14:textId="77777777" w:rsidR="002C0FD9" w:rsidRPr="00CA25CF" w:rsidRDefault="002C0FD9" w:rsidP="00CA25CF">
            <w:pPr>
              <w:rPr>
                <w:rFonts w:cs="Arial"/>
                <w:color w:val="FF0000"/>
                <w:sz w:val="21"/>
                <w:szCs w:val="21"/>
              </w:rPr>
            </w:pPr>
          </w:p>
        </w:tc>
        <w:tc>
          <w:tcPr>
            <w:tcW w:w="217" w:type="dxa"/>
          </w:tcPr>
          <w:p w14:paraId="23398F9E" w14:textId="77777777" w:rsidR="002C0FD9" w:rsidRPr="00CA25CF" w:rsidRDefault="002C0FD9" w:rsidP="00CA25CF">
            <w:pPr>
              <w:rPr>
                <w:rFonts w:cs="Arial"/>
                <w:color w:val="FF0000"/>
                <w:sz w:val="21"/>
                <w:szCs w:val="21"/>
              </w:rPr>
            </w:pPr>
          </w:p>
        </w:tc>
      </w:tr>
      <w:tr w:rsidR="002C0FD9" w:rsidRPr="00A16219" w14:paraId="161399C2" w14:textId="77777777" w:rsidTr="002C0FD9">
        <w:trPr>
          <w:trHeight w:val="635"/>
        </w:trPr>
        <w:tc>
          <w:tcPr>
            <w:tcW w:w="515" w:type="dxa"/>
          </w:tcPr>
          <w:p w14:paraId="3A43522E" w14:textId="77777777" w:rsidR="002C0FD9" w:rsidRPr="00CA25CF" w:rsidRDefault="002C0FD9" w:rsidP="00CA25CF">
            <w:pPr>
              <w:rPr>
                <w:rFonts w:cs="Arial"/>
                <w:color w:val="FF0000"/>
                <w:sz w:val="21"/>
                <w:szCs w:val="21"/>
              </w:rPr>
            </w:pPr>
          </w:p>
        </w:tc>
        <w:tc>
          <w:tcPr>
            <w:tcW w:w="217" w:type="dxa"/>
          </w:tcPr>
          <w:p w14:paraId="43B47884" w14:textId="77777777" w:rsidR="002C0FD9" w:rsidRPr="00CA25CF" w:rsidRDefault="002C0FD9" w:rsidP="00CA25CF">
            <w:pPr>
              <w:rPr>
                <w:rFonts w:cs="Arial"/>
                <w:color w:val="FF0000"/>
                <w:sz w:val="21"/>
                <w:szCs w:val="21"/>
              </w:rPr>
            </w:pPr>
          </w:p>
        </w:tc>
        <w:tc>
          <w:tcPr>
            <w:tcW w:w="217" w:type="dxa"/>
          </w:tcPr>
          <w:p w14:paraId="7D803691" w14:textId="77777777" w:rsidR="002C0FD9" w:rsidRPr="00CA25CF" w:rsidRDefault="002C0FD9" w:rsidP="00CA25CF">
            <w:pPr>
              <w:rPr>
                <w:rFonts w:cs="Arial"/>
                <w:color w:val="FF0000"/>
                <w:sz w:val="21"/>
                <w:szCs w:val="21"/>
              </w:rPr>
            </w:pPr>
          </w:p>
        </w:tc>
        <w:tc>
          <w:tcPr>
            <w:tcW w:w="217" w:type="dxa"/>
          </w:tcPr>
          <w:p w14:paraId="3ABA57FB" w14:textId="77777777" w:rsidR="002C0FD9" w:rsidRPr="00CA25CF" w:rsidRDefault="002C0FD9" w:rsidP="00CA25CF">
            <w:pPr>
              <w:rPr>
                <w:rFonts w:cs="Arial"/>
                <w:color w:val="FF0000"/>
                <w:sz w:val="21"/>
                <w:szCs w:val="21"/>
              </w:rPr>
            </w:pPr>
          </w:p>
        </w:tc>
        <w:tc>
          <w:tcPr>
            <w:tcW w:w="217" w:type="dxa"/>
          </w:tcPr>
          <w:p w14:paraId="19CE030A" w14:textId="77777777" w:rsidR="002C0FD9" w:rsidRPr="00CA25CF" w:rsidRDefault="002C0FD9" w:rsidP="00CA25CF">
            <w:pPr>
              <w:rPr>
                <w:rFonts w:cs="Arial"/>
                <w:color w:val="FF0000"/>
                <w:sz w:val="21"/>
                <w:szCs w:val="21"/>
              </w:rPr>
            </w:pPr>
          </w:p>
        </w:tc>
        <w:tc>
          <w:tcPr>
            <w:tcW w:w="217" w:type="dxa"/>
          </w:tcPr>
          <w:p w14:paraId="0F575BB8" w14:textId="77777777" w:rsidR="002C0FD9" w:rsidRPr="00CA25CF" w:rsidRDefault="002C0FD9" w:rsidP="00CA25CF">
            <w:pPr>
              <w:rPr>
                <w:rFonts w:cs="Arial"/>
                <w:color w:val="FF0000"/>
                <w:sz w:val="21"/>
                <w:szCs w:val="21"/>
              </w:rPr>
            </w:pPr>
          </w:p>
        </w:tc>
        <w:tc>
          <w:tcPr>
            <w:tcW w:w="217" w:type="dxa"/>
          </w:tcPr>
          <w:p w14:paraId="25666774" w14:textId="77777777" w:rsidR="002C0FD9" w:rsidRPr="00CA25CF" w:rsidRDefault="002C0FD9" w:rsidP="00CA25CF">
            <w:pPr>
              <w:rPr>
                <w:rFonts w:cs="Arial"/>
                <w:color w:val="FF0000"/>
                <w:sz w:val="21"/>
                <w:szCs w:val="21"/>
              </w:rPr>
            </w:pPr>
          </w:p>
        </w:tc>
        <w:tc>
          <w:tcPr>
            <w:tcW w:w="217" w:type="dxa"/>
          </w:tcPr>
          <w:p w14:paraId="649B9D2A" w14:textId="77777777" w:rsidR="002C0FD9" w:rsidRPr="00CA25CF" w:rsidRDefault="002C0FD9" w:rsidP="00CA25CF">
            <w:pPr>
              <w:rPr>
                <w:rFonts w:cs="Arial"/>
                <w:color w:val="FF0000"/>
                <w:sz w:val="21"/>
                <w:szCs w:val="21"/>
              </w:rPr>
            </w:pPr>
          </w:p>
        </w:tc>
        <w:tc>
          <w:tcPr>
            <w:tcW w:w="217" w:type="dxa"/>
          </w:tcPr>
          <w:p w14:paraId="40E92DCC" w14:textId="77777777" w:rsidR="002C0FD9" w:rsidRPr="00CA25CF" w:rsidRDefault="002C0FD9" w:rsidP="00CA25CF">
            <w:pPr>
              <w:rPr>
                <w:rFonts w:cs="Arial"/>
                <w:color w:val="FF0000"/>
                <w:sz w:val="21"/>
                <w:szCs w:val="21"/>
              </w:rPr>
            </w:pPr>
          </w:p>
        </w:tc>
        <w:tc>
          <w:tcPr>
            <w:tcW w:w="217" w:type="dxa"/>
          </w:tcPr>
          <w:p w14:paraId="4C8EC745" w14:textId="77777777" w:rsidR="002C0FD9" w:rsidRPr="00CA25CF" w:rsidRDefault="002C0FD9" w:rsidP="00CA25CF">
            <w:pPr>
              <w:rPr>
                <w:rFonts w:cs="Arial"/>
                <w:color w:val="FF0000"/>
                <w:sz w:val="21"/>
                <w:szCs w:val="21"/>
              </w:rPr>
            </w:pPr>
          </w:p>
        </w:tc>
        <w:tc>
          <w:tcPr>
            <w:tcW w:w="217" w:type="dxa"/>
          </w:tcPr>
          <w:p w14:paraId="1C7F8BF1" w14:textId="77777777" w:rsidR="002C0FD9" w:rsidRPr="00CA25CF" w:rsidRDefault="002C0FD9" w:rsidP="00CA25CF">
            <w:pPr>
              <w:rPr>
                <w:rFonts w:cs="Arial"/>
                <w:color w:val="FF0000"/>
                <w:sz w:val="21"/>
                <w:szCs w:val="21"/>
              </w:rPr>
            </w:pPr>
          </w:p>
        </w:tc>
        <w:tc>
          <w:tcPr>
            <w:tcW w:w="217" w:type="dxa"/>
          </w:tcPr>
          <w:p w14:paraId="64286947" w14:textId="77777777" w:rsidR="002C0FD9" w:rsidRPr="00CA25CF" w:rsidRDefault="002C0FD9" w:rsidP="00CA25CF">
            <w:pPr>
              <w:rPr>
                <w:rFonts w:cs="Arial"/>
                <w:color w:val="FF0000"/>
                <w:sz w:val="21"/>
                <w:szCs w:val="21"/>
              </w:rPr>
            </w:pPr>
          </w:p>
        </w:tc>
        <w:tc>
          <w:tcPr>
            <w:tcW w:w="217" w:type="dxa"/>
          </w:tcPr>
          <w:p w14:paraId="7D5BA2A1" w14:textId="77777777" w:rsidR="002C0FD9" w:rsidRPr="00CA25CF" w:rsidRDefault="002C0FD9" w:rsidP="00CA25CF">
            <w:pPr>
              <w:rPr>
                <w:rFonts w:cs="Arial"/>
                <w:color w:val="FF0000"/>
                <w:sz w:val="21"/>
                <w:szCs w:val="21"/>
              </w:rPr>
            </w:pPr>
          </w:p>
        </w:tc>
        <w:tc>
          <w:tcPr>
            <w:tcW w:w="217" w:type="dxa"/>
          </w:tcPr>
          <w:p w14:paraId="3F7AF286" w14:textId="77777777" w:rsidR="002C0FD9" w:rsidRPr="00CA25CF" w:rsidRDefault="002C0FD9" w:rsidP="00CA25CF">
            <w:pPr>
              <w:rPr>
                <w:rFonts w:cs="Arial"/>
                <w:color w:val="FF0000"/>
                <w:sz w:val="21"/>
                <w:szCs w:val="21"/>
              </w:rPr>
            </w:pPr>
          </w:p>
        </w:tc>
        <w:tc>
          <w:tcPr>
            <w:tcW w:w="217" w:type="dxa"/>
          </w:tcPr>
          <w:p w14:paraId="6AB6D811" w14:textId="77777777" w:rsidR="002C0FD9" w:rsidRPr="00CA25CF" w:rsidRDefault="002C0FD9" w:rsidP="00CA25CF">
            <w:pPr>
              <w:rPr>
                <w:rFonts w:cs="Arial"/>
                <w:color w:val="FF0000"/>
                <w:sz w:val="21"/>
                <w:szCs w:val="21"/>
              </w:rPr>
            </w:pPr>
          </w:p>
        </w:tc>
        <w:tc>
          <w:tcPr>
            <w:tcW w:w="217" w:type="dxa"/>
          </w:tcPr>
          <w:p w14:paraId="038BF8C5" w14:textId="77777777" w:rsidR="002C0FD9" w:rsidRPr="00CA25CF" w:rsidRDefault="002C0FD9" w:rsidP="00CA25CF">
            <w:pPr>
              <w:rPr>
                <w:rFonts w:cs="Arial"/>
                <w:color w:val="FF0000"/>
                <w:sz w:val="21"/>
                <w:szCs w:val="21"/>
              </w:rPr>
            </w:pPr>
          </w:p>
        </w:tc>
        <w:tc>
          <w:tcPr>
            <w:tcW w:w="217" w:type="dxa"/>
          </w:tcPr>
          <w:p w14:paraId="2BD342F5" w14:textId="77777777" w:rsidR="002C0FD9" w:rsidRPr="00CA25CF" w:rsidRDefault="002C0FD9" w:rsidP="00CA25CF">
            <w:pPr>
              <w:rPr>
                <w:rFonts w:cs="Arial"/>
                <w:color w:val="FF0000"/>
                <w:sz w:val="21"/>
                <w:szCs w:val="21"/>
              </w:rPr>
            </w:pPr>
          </w:p>
        </w:tc>
        <w:tc>
          <w:tcPr>
            <w:tcW w:w="217" w:type="dxa"/>
          </w:tcPr>
          <w:p w14:paraId="62BC7CFB" w14:textId="77777777" w:rsidR="002C0FD9" w:rsidRPr="00CA25CF" w:rsidRDefault="002C0FD9" w:rsidP="00CA25CF">
            <w:pPr>
              <w:rPr>
                <w:rFonts w:cs="Arial"/>
                <w:color w:val="FF0000"/>
                <w:sz w:val="21"/>
                <w:szCs w:val="21"/>
              </w:rPr>
            </w:pPr>
          </w:p>
        </w:tc>
        <w:tc>
          <w:tcPr>
            <w:tcW w:w="217" w:type="dxa"/>
          </w:tcPr>
          <w:p w14:paraId="74138A10" w14:textId="77777777" w:rsidR="002C0FD9" w:rsidRPr="00CA25CF" w:rsidRDefault="002C0FD9" w:rsidP="00CA25CF">
            <w:pPr>
              <w:rPr>
                <w:rFonts w:cs="Arial"/>
                <w:color w:val="FF0000"/>
                <w:sz w:val="21"/>
                <w:szCs w:val="21"/>
              </w:rPr>
            </w:pPr>
          </w:p>
        </w:tc>
        <w:tc>
          <w:tcPr>
            <w:tcW w:w="217" w:type="dxa"/>
          </w:tcPr>
          <w:p w14:paraId="2CA482B2" w14:textId="77777777" w:rsidR="002C0FD9" w:rsidRPr="00CA25CF" w:rsidRDefault="002C0FD9" w:rsidP="00CA25CF">
            <w:pPr>
              <w:rPr>
                <w:rFonts w:cs="Arial"/>
                <w:color w:val="FF0000"/>
                <w:sz w:val="21"/>
                <w:szCs w:val="21"/>
              </w:rPr>
            </w:pPr>
          </w:p>
        </w:tc>
        <w:tc>
          <w:tcPr>
            <w:tcW w:w="217" w:type="dxa"/>
          </w:tcPr>
          <w:p w14:paraId="3E36BC4F" w14:textId="77777777" w:rsidR="002C0FD9" w:rsidRPr="00CA25CF" w:rsidRDefault="002C0FD9" w:rsidP="00CA25CF">
            <w:pPr>
              <w:rPr>
                <w:rFonts w:cs="Arial"/>
                <w:color w:val="FF0000"/>
                <w:sz w:val="21"/>
                <w:szCs w:val="21"/>
              </w:rPr>
            </w:pPr>
          </w:p>
        </w:tc>
        <w:tc>
          <w:tcPr>
            <w:tcW w:w="217" w:type="dxa"/>
          </w:tcPr>
          <w:p w14:paraId="54E2EDC7" w14:textId="77777777" w:rsidR="002C0FD9" w:rsidRPr="00CA25CF" w:rsidRDefault="002C0FD9" w:rsidP="00CA25CF">
            <w:pPr>
              <w:rPr>
                <w:rFonts w:cs="Arial"/>
                <w:color w:val="FF0000"/>
                <w:sz w:val="21"/>
                <w:szCs w:val="21"/>
              </w:rPr>
            </w:pPr>
          </w:p>
        </w:tc>
        <w:tc>
          <w:tcPr>
            <w:tcW w:w="217" w:type="dxa"/>
          </w:tcPr>
          <w:p w14:paraId="20C8C549" w14:textId="77777777" w:rsidR="002C0FD9" w:rsidRPr="00CA25CF" w:rsidRDefault="002C0FD9" w:rsidP="00CA25CF">
            <w:pPr>
              <w:rPr>
                <w:rFonts w:cs="Arial"/>
                <w:color w:val="FF0000"/>
                <w:sz w:val="21"/>
                <w:szCs w:val="21"/>
              </w:rPr>
            </w:pPr>
          </w:p>
        </w:tc>
        <w:tc>
          <w:tcPr>
            <w:tcW w:w="217" w:type="dxa"/>
          </w:tcPr>
          <w:p w14:paraId="51453AC4" w14:textId="77777777" w:rsidR="002C0FD9" w:rsidRPr="00CA25CF" w:rsidRDefault="002C0FD9" w:rsidP="00CA25CF">
            <w:pPr>
              <w:rPr>
                <w:rFonts w:cs="Arial"/>
                <w:color w:val="FF0000"/>
                <w:sz w:val="21"/>
                <w:szCs w:val="21"/>
              </w:rPr>
            </w:pPr>
          </w:p>
        </w:tc>
        <w:tc>
          <w:tcPr>
            <w:tcW w:w="217" w:type="dxa"/>
          </w:tcPr>
          <w:p w14:paraId="67EC4259" w14:textId="77777777" w:rsidR="002C0FD9" w:rsidRPr="00CA25CF" w:rsidRDefault="002C0FD9" w:rsidP="00CA25CF">
            <w:pPr>
              <w:rPr>
                <w:rFonts w:cs="Arial"/>
                <w:color w:val="FF0000"/>
                <w:sz w:val="21"/>
                <w:szCs w:val="21"/>
              </w:rPr>
            </w:pPr>
          </w:p>
        </w:tc>
        <w:tc>
          <w:tcPr>
            <w:tcW w:w="217" w:type="dxa"/>
          </w:tcPr>
          <w:p w14:paraId="6DBA45AB" w14:textId="77777777" w:rsidR="002C0FD9" w:rsidRPr="00CA25CF" w:rsidRDefault="002C0FD9" w:rsidP="00CA25CF">
            <w:pPr>
              <w:rPr>
                <w:rFonts w:cs="Arial"/>
                <w:color w:val="FF0000"/>
                <w:sz w:val="21"/>
                <w:szCs w:val="21"/>
              </w:rPr>
            </w:pPr>
          </w:p>
        </w:tc>
        <w:tc>
          <w:tcPr>
            <w:tcW w:w="217" w:type="dxa"/>
          </w:tcPr>
          <w:p w14:paraId="1E0F9C32" w14:textId="77777777" w:rsidR="002C0FD9" w:rsidRPr="00CA25CF" w:rsidRDefault="002C0FD9" w:rsidP="00CA25CF">
            <w:pPr>
              <w:rPr>
                <w:rFonts w:cs="Arial"/>
                <w:color w:val="FF0000"/>
                <w:sz w:val="21"/>
                <w:szCs w:val="21"/>
              </w:rPr>
            </w:pPr>
          </w:p>
        </w:tc>
        <w:tc>
          <w:tcPr>
            <w:tcW w:w="217" w:type="dxa"/>
          </w:tcPr>
          <w:p w14:paraId="57E7F35E" w14:textId="77777777" w:rsidR="002C0FD9" w:rsidRPr="00CA25CF" w:rsidRDefault="002C0FD9" w:rsidP="00CA25CF">
            <w:pPr>
              <w:rPr>
                <w:rFonts w:cs="Arial"/>
                <w:color w:val="FF0000"/>
                <w:sz w:val="21"/>
                <w:szCs w:val="21"/>
              </w:rPr>
            </w:pPr>
          </w:p>
        </w:tc>
        <w:tc>
          <w:tcPr>
            <w:tcW w:w="217" w:type="dxa"/>
          </w:tcPr>
          <w:p w14:paraId="787048BE" w14:textId="77777777" w:rsidR="002C0FD9" w:rsidRPr="00CA25CF" w:rsidRDefault="002C0FD9" w:rsidP="00CA25CF">
            <w:pPr>
              <w:rPr>
                <w:rFonts w:cs="Arial"/>
                <w:color w:val="FF0000"/>
                <w:sz w:val="21"/>
                <w:szCs w:val="21"/>
              </w:rPr>
            </w:pPr>
          </w:p>
        </w:tc>
        <w:tc>
          <w:tcPr>
            <w:tcW w:w="217" w:type="dxa"/>
          </w:tcPr>
          <w:p w14:paraId="06A39AF0" w14:textId="77777777" w:rsidR="002C0FD9" w:rsidRPr="00CA25CF" w:rsidRDefault="002C0FD9" w:rsidP="00CA25CF">
            <w:pPr>
              <w:rPr>
                <w:rFonts w:cs="Arial"/>
                <w:color w:val="FF0000"/>
                <w:sz w:val="21"/>
                <w:szCs w:val="21"/>
              </w:rPr>
            </w:pPr>
          </w:p>
        </w:tc>
        <w:tc>
          <w:tcPr>
            <w:tcW w:w="217" w:type="dxa"/>
          </w:tcPr>
          <w:p w14:paraId="4D7B8AAE" w14:textId="77777777" w:rsidR="002C0FD9" w:rsidRPr="00CA25CF" w:rsidRDefault="002C0FD9" w:rsidP="00CA25CF">
            <w:pPr>
              <w:rPr>
                <w:rFonts w:cs="Arial"/>
                <w:color w:val="FF0000"/>
                <w:sz w:val="21"/>
                <w:szCs w:val="21"/>
              </w:rPr>
            </w:pPr>
          </w:p>
        </w:tc>
        <w:tc>
          <w:tcPr>
            <w:tcW w:w="217" w:type="dxa"/>
          </w:tcPr>
          <w:p w14:paraId="17841678" w14:textId="77777777" w:rsidR="002C0FD9" w:rsidRPr="00CA25CF" w:rsidRDefault="002C0FD9" w:rsidP="00CA25CF">
            <w:pPr>
              <w:rPr>
                <w:rFonts w:cs="Arial"/>
                <w:color w:val="FF0000"/>
                <w:sz w:val="21"/>
                <w:szCs w:val="21"/>
              </w:rPr>
            </w:pPr>
          </w:p>
        </w:tc>
        <w:tc>
          <w:tcPr>
            <w:tcW w:w="217" w:type="dxa"/>
          </w:tcPr>
          <w:p w14:paraId="415ECA97" w14:textId="77777777" w:rsidR="002C0FD9" w:rsidRPr="00CA25CF" w:rsidRDefault="002C0FD9" w:rsidP="00CA25CF">
            <w:pPr>
              <w:rPr>
                <w:rFonts w:cs="Arial"/>
                <w:color w:val="FF0000"/>
                <w:sz w:val="21"/>
                <w:szCs w:val="21"/>
              </w:rPr>
            </w:pPr>
          </w:p>
        </w:tc>
        <w:tc>
          <w:tcPr>
            <w:tcW w:w="217" w:type="dxa"/>
          </w:tcPr>
          <w:p w14:paraId="6C8EEA41" w14:textId="77777777" w:rsidR="002C0FD9" w:rsidRPr="00CA25CF" w:rsidRDefault="002C0FD9" w:rsidP="00CA25CF">
            <w:pPr>
              <w:rPr>
                <w:rFonts w:cs="Arial"/>
                <w:color w:val="FF0000"/>
                <w:sz w:val="21"/>
                <w:szCs w:val="21"/>
              </w:rPr>
            </w:pPr>
          </w:p>
        </w:tc>
        <w:tc>
          <w:tcPr>
            <w:tcW w:w="217" w:type="dxa"/>
          </w:tcPr>
          <w:p w14:paraId="41BDB2EE" w14:textId="77777777" w:rsidR="002C0FD9" w:rsidRPr="00CA25CF" w:rsidRDefault="002C0FD9" w:rsidP="00CA25CF">
            <w:pPr>
              <w:rPr>
                <w:rFonts w:cs="Arial"/>
                <w:color w:val="FF0000"/>
                <w:sz w:val="21"/>
                <w:szCs w:val="21"/>
              </w:rPr>
            </w:pPr>
          </w:p>
        </w:tc>
        <w:tc>
          <w:tcPr>
            <w:tcW w:w="217" w:type="dxa"/>
          </w:tcPr>
          <w:p w14:paraId="25861CEB" w14:textId="77777777" w:rsidR="002C0FD9" w:rsidRPr="00CA25CF" w:rsidRDefault="002C0FD9" w:rsidP="00CA25CF">
            <w:pPr>
              <w:rPr>
                <w:rFonts w:cs="Arial"/>
                <w:color w:val="FF0000"/>
                <w:sz w:val="21"/>
                <w:szCs w:val="21"/>
              </w:rPr>
            </w:pPr>
          </w:p>
        </w:tc>
        <w:tc>
          <w:tcPr>
            <w:tcW w:w="217" w:type="dxa"/>
          </w:tcPr>
          <w:p w14:paraId="25102FA6" w14:textId="77777777" w:rsidR="002C0FD9" w:rsidRPr="00CA25CF" w:rsidRDefault="002C0FD9" w:rsidP="00CA25CF">
            <w:pPr>
              <w:rPr>
                <w:rFonts w:cs="Arial"/>
                <w:color w:val="FF0000"/>
                <w:sz w:val="21"/>
                <w:szCs w:val="21"/>
              </w:rPr>
            </w:pPr>
          </w:p>
        </w:tc>
        <w:tc>
          <w:tcPr>
            <w:tcW w:w="217" w:type="dxa"/>
          </w:tcPr>
          <w:p w14:paraId="7900C9B2" w14:textId="77777777" w:rsidR="002C0FD9" w:rsidRPr="00CA25CF" w:rsidRDefault="002C0FD9" w:rsidP="00CA25CF">
            <w:pPr>
              <w:rPr>
                <w:rFonts w:cs="Arial"/>
                <w:color w:val="FF0000"/>
                <w:sz w:val="21"/>
                <w:szCs w:val="21"/>
              </w:rPr>
            </w:pPr>
          </w:p>
        </w:tc>
        <w:tc>
          <w:tcPr>
            <w:tcW w:w="217" w:type="dxa"/>
          </w:tcPr>
          <w:p w14:paraId="2E469C10" w14:textId="77777777" w:rsidR="002C0FD9" w:rsidRPr="00CA25CF" w:rsidRDefault="002C0FD9" w:rsidP="00CA25CF">
            <w:pPr>
              <w:rPr>
                <w:rFonts w:cs="Arial"/>
                <w:color w:val="FF0000"/>
                <w:sz w:val="21"/>
                <w:szCs w:val="21"/>
              </w:rPr>
            </w:pPr>
          </w:p>
        </w:tc>
        <w:tc>
          <w:tcPr>
            <w:tcW w:w="217" w:type="dxa"/>
          </w:tcPr>
          <w:p w14:paraId="65DDE8F4" w14:textId="77777777" w:rsidR="002C0FD9" w:rsidRPr="00CA25CF" w:rsidRDefault="002C0FD9" w:rsidP="00CA25CF">
            <w:pPr>
              <w:rPr>
                <w:rFonts w:cs="Arial"/>
                <w:color w:val="FF0000"/>
                <w:sz w:val="21"/>
                <w:szCs w:val="21"/>
              </w:rPr>
            </w:pPr>
          </w:p>
        </w:tc>
        <w:tc>
          <w:tcPr>
            <w:tcW w:w="217" w:type="dxa"/>
          </w:tcPr>
          <w:p w14:paraId="0D3EBC00" w14:textId="77777777" w:rsidR="002C0FD9" w:rsidRPr="00CA25CF" w:rsidRDefault="002C0FD9" w:rsidP="00CA25CF">
            <w:pPr>
              <w:rPr>
                <w:rFonts w:cs="Arial"/>
                <w:color w:val="FF0000"/>
                <w:sz w:val="21"/>
                <w:szCs w:val="21"/>
              </w:rPr>
            </w:pPr>
          </w:p>
        </w:tc>
        <w:tc>
          <w:tcPr>
            <w:tcW w:w="217" w:type="dxa"/>
          </w:tcPr>
          <w:p w14:paraId="3ABEF9EF" w14:textId="77777777" w:rsidR="002C0FD9" w:rsidRPr="00CA25CF" w:rsidRDefault="002C0FD9" w:rsidP="00CA25CF">
            <w:pPr>
              <w:rPr>
                <w:rFonts w:cs="Arial"/>
                <w:color w:val="FF0000"/>
                <w:sz w:val="21"/>
                <w:szCs w:val="21"/>
              </w:rPr>
            </w:pPr>
          </w:p>
        </w:tc>
        <w:tc>
          <w:tcPr>
            <w:tcW w:w="217" w:type="dxa"/>
          </w:tcPr>
          <w:p w14:paraId="4B870690" w14:textId="77777777" w:rsidR="002C0FD9" w:rsidRPr="00CA25CF" w:rsidRDefault="002C0FD9" w:rsidP="00CA25CF">
            <w:pPr>
              <w:rPr>
                <w:rFonts w:cs="Arial"/>
                <w:color w:val="FF0000"/>
                <w:sz w:val="21"/>
                <w:szCs w:val="21"/>
              </w:rPr>
            </w:pPr>
          </w:p>
        </w:tc>
      </w:tr>
      <w:tr w:rsidR="002C0FD9" w:rsidRPr="00A16219" w14:paraId="2A5727E0" w14:textId="77777777" w:rsidTr="002C0FD9">
        <w:trPr>
          <w:trHeight w:val="635"/>
        </w:trPr>
        <w:tc>
          <w:tcPr>
            <w:tcW w:w="515" w:type="dxa"/>
          </w:tcPr>
          <w:p w14:paraId="08FE59FB" w14:textId="77777777" w:rsidR="002C0FD9" w:rsidRPr="00CA25CF" w:rsidRDefault="002C0FD9" w:rsidP="00CA25CF">
            <w:pPr>
              <w:rPr>
                <w:rFonts w:cs="Arial"/>
                <w:color w:val="FF0000"/>
                <w:sz w:val="21"/>
                <w:szCs w:val="21"/>
              </w:rPr>
            </w:pPr>
          </w:p>
        </w:tc>
        <w:tc>
          <w:tcPr>
            <w:tcW w:w="217" w:type="dxa"/>
          </w:tcPr>
          <w:p w14:paraId="20CEB5FF" w14:textId="77777777" w:rsidR="002C0FD9" w:rsidRPr="00CA25CF" w:rsidRDefault="002C0FD9" w:rsidP="00CA25CF">
            <w:pPr>
              <w:rPr>
                <w:rFonts w:cs="Arial"/>
                <w:color w:val="FF0000"/>
                <w:sz w:val="21"/>
                <w:szCs w:val="21"/>
              </w:rPr>
            </w:pPr>
          </w:p>
        </w:tc>
        <w:tc>
          <w:tcPr>
            <w:tcW w:w="217" w:type="dxa"/>
          </w:tcPr>
          <w:p w14:paraId="3528B9E0" w14:textId="77777777" w:rsidR="002C0FD9" w:rsidRPr="00CA25CF" w:rsidRDefault="002C0FD9" w:rsidP="00CA25CF">
            <w:pPr>
              <w:rPr>
                <w:rFonts w:cs="Arial"/>
                <w:color w:val="FF0000"/>
                <w:sz w:val="21"/>
                <w:szCs w:val="21"/>
              </w:rPr>
            </w:pPr>
          </w:p>
        </w:tc>
        <w:tc>
          <w:tcPr>
            <w:tcW w:w="217" w:type="dxa"/>
          </w:tcPr>
          <w:p w14:paraId="766F8FBA" w14:textId="77777777" w:rsidR="002C0FD9" w:rsidRPr="00CA25CF" w:rsidRDefault="002C0FD9" w:rsidP="00CA25CF">
            <w:pPr>
              <w:rPr>
                <w:rFonts w:cs="Arial"/>
                <w:color w:val="FF0000"/>
                <w:sz w:val="21"/>
                <w:szCs w:val="21"/>
              </w:rPr>
            </w:pPr>
          </w:p>
        </w:tc>
        <w:tc>
          <w:tcPr>
            <w:tcW w:w="217" w:type="dxa"/>
          </w:tcPr>
          <w:p w14:paraId="30E9CC1B" w14:textId="77777777" w:rsidR="002C0FD9" w:rsidRPr="00CA25CF" w:rsidRDefault="002C0FD9" w:rsidP="00CA25CF">
            <w:pPr>
              <w:rPr>
                <w:rFonts w:cs="Arial"/>
                <w:color w:val="FF0000"/>
                <w:sz w:val="21"/>
                <w:szCs w:val="21"/>
              </w:rPr>
            </w:pPr>
          </w:p>
        </w:tc>
        <w:tc>
          <w:tcPr>
            <w:tcW w:w="217" w:type="dxa"/>
          </w:tcPr>
          <w:p w14:paraId="1447F31D" w14:textId="77777777" w:rsidR="002C0FD9" w:rsidRPr="00CA25CF" w:rsidRDefault="002C0FD9" w:rsidP="00CA25CF">
            <w:pPr>
              <w:rPr>
                <w:rFonts w:cs="Arial"/>
                <w:color w:val="FF0000"/>
                <w:sz w:val="21"/>
                <w:szCs w:val="21"/>
              </w:rPr>
            </w:pPr>
          </w:p>
        </w:tc>
        <w:tc>
          <w:tcPr>
            <w:tcW w:w="217" w:type="dxa"/>
          </w:tcPr>
          <w:p w14:paraId="27466811" w14:textId="77777777" w:rsidR="002C0FD9" w:rsidRPr="00CA25CF" w:rsidRDefault="002C0FD9" w:rsidP="00CA25CF">
            <w:pPr>
              <w:rPr>
                <w:rFonts w:cs="Arial"/>
                <w:color w:val="FF0000"/>
                <w:sz w:val="21"/>
                <w:szCs w:val="21"/>
              </w:rPr>
            </w:pPr>
          </w:p>
        </w:tc>
        <w:tc>
          <w:tcPr>
            <w:tcW w:w="217" w:type="dxa"/>
          </w:tcPr>
          <w:p w14:paraId="5313276C" w14:textId="77777777" w:rsidR="002C0FD9" w:rsidRPr="00CA25CF" w:rsidRDefault="002C0FD9" w:rsidP="00CA25CF">
            <w:pPr>
              <w:rPr>
                <w:rFonts w:cs="Arial"/>
                <w:color w:val="FF0000"/>
                <w:sz w:val="21"/>
                <w:szCs w:val="21"/>
              </w:rPr>
            </w:pPr>
          </w:p>
        </w:tc>
        <w:tc>
          <w:tcPr>
            <w:tcW w:w="217" w:type="dxa"/>
          </w:tcPr>
          <w:p w14:paraId="20DC2C82" w14:textId="77777777" w:rsidR="002C0FD9" w:rsidRPr="00CA25CF" w:rsidRDefault="002C0FD9" w:rsidP="00CA25CF">
            <w:pPr>
              <w:rPr>
                <w:rFonts w:cs="Arial"/>
                <w:color w:val="FF0000"/>
                <w:sz w:val="21"/>
                <w:szCs w:val="21"/>
              </w:rPr>
            </w:pPr>
          </w:p>
        </w:tc>
        <w:tc>
          <w:tcPr>
            <w:tcW w:w="217" w:type="dxa"/>
          </w:tcPr>
          <w:p w14:paraId="39A43BA3" w14:textId="77777777" w:rsidR="002C0FD9" w:rsidRPr="00CA25CF" w:rsidRDefault="002C0FD9" w:rsidP="00CA25CF">
            <w:pPr>
              <w:rPr>
                <w:rFonts w:cs="Arial"/>
                <w:color w:val="FF0000"/>
                <w:sz w:val="21"/>
                <w:szCs w:val="21"/>
              </w:rPr>
            </w:pPr>
          </w:p>
        </w:tc>
        <w:tc>
          <w:tcPr>
            <w:tcW w:w="217" w:type="dxa"/>
          </w:tcPr>
          <w:p w14:paraId="6C90AFD5" w14:textId="77777777" w:rsidR="002C0FD9" w:rsidRPr="00CA25CF" w:rsidRDefault="002C0FD9" w:rsidP="00CA25CF">
            <w:pPr>
              <w:rPr>
                <w:rFonts w:cs="Arial"/>
                <w:color w:val="FF0000"/>
                <w:sz w:val="21"/>
                <w:szCs w:val="21"/>
              </w:rPr>
            </w:pPr>
          </w:p>
        </w:tc>
        <w:tc>
          <w:tcPr>
            <w:tcW w:w="217" w:type="dxa"/>
          </w:tcPr>
          <w:p w14:paraId="05B6737F" w14:textId="77777777" w:rsidR="002C0FD9" w:rsidRPr="00CA25CF" w:rsidRDefault="002C0FD9" w:rsidP="00CA25CF">
            <w:pPr>
              <w:rPr>
                <w:rFonts w:cs="Arial"/>
                <w:color w:val="FF0000"/>
                <w:sz w:val="21"/>
                <w:szCs w:val="21"/>
              </w:rPr>
            </w:pPr>
          </w:p>
        </w:tc>
        <w:tc>
          <w:tcPr>
            <w:tcW w:w="217" w:type="dxa"/>
          </w:tcPr>
          <w:p w14:paraId="43797F04" w14:textId="77777777" w:rsidR="002C0FD9" w:rsidRPr="00CA25CF" w:rsidRDefault="002C0FD9" w:rsidP="00CA25CF">
            <w:pPr>
              <w:rPr>
                <w:rFonts w:cs="Arial"/>
                <w:color w:val="FF0000"/>
                <w:sz w:val="21"/>
                <w:szCs w:val="21"/>
              </w:rPr>
            </w:pPr>
          </w:p>
        </w:tc>
        <w:tc>
          <w:tcPr>
            <w:tcW w:w="217" w:type="dxa"/>
          </w:tcPr>
          <w:p w14:paraId="270A98EB" w14:textId="77777777" w:rsidR="002C0FD9" w:rsidRPr="00CA25CF" w:rsidRDefault="002C0FD9" w:rsidP="00CA25CF">
            <w:pPr>
              <w:rPr>
                <w:rFonts w:cs="Arial"/>
                <w:color w:val="FF0000"/>
                <w:sz w:val="21"/>
                <w:szCs w:val="21"/>
              </w:rPr>
            </w:pPr>
          </w:p>
        </w:tc>
        <w:tc>
          <w:tcPr>
            <w:tcW w:w="217" w:type="dxa"/>
          </w:tcPr>
          <w:p w14:paraId="5C992864" w14:textId="77777777" w:rsidR="002C0FD9" w:rsidRPr="00CA25CF" w:rsidRDefault="002C0FD9" w:rsidP="00CA25CF">
            <w:pPr>
              <w:rPr>
                <w:rFonts w:cs="Arial"/>
                <w:color w:val="FF0000"/>
                <w:sz w:val="21"/>
                <w:szCs w:val="21"/>
              </w:rPr>
            </w:pPr>
          </w:p>
        </w:tc>
        <w:tc>
          <w:tcPr>
            <w:tcW w:w="217" w:type="dxa"/>
          </w:tcPr>
          <w:p w14:paraId="7AAF66EE" w14:textId="77777777" w:rsidR="002C0FD9" w:rsidRPr="00CA25CF" w:rsidRDefault="002C0FD9" w:rsidP="00CA25CF">
            <w:pPr>
              <w:rPr>
                <w:rFonts w:cs="Arial"/>
                <w:color w:val="FF0000"/>
                <w:sz w:val="21"/>
                <w:szCs w:val="21"/>
              </w:rPr>
            </w:pPr>
          </w:p>
        </w:tc>
        <w:tc>
          <w:tcPr>
            <w:tcW w:w="217" w:type="dxa"/>
          </w:tcPr>
          <w:p w14:paraId="360CBA2A" w14:textId="77777777" w:rsidR="002C0FD9" w:rsidRPr="00CA25CF" w:rsidRDefault="002C0FD9" w:rsidP="00CA25CF">
            <w:pPr>
              <w:rPr>
                <w:rFonts w:cs="Arial"/>
                <w:color w:val="FF0000"/>
                <w:sz w:val="21"/>
                <w:szCs w:val="21"/>
              </w:rPr>
            </w:pPr>
          </w:p>
        </w:tc>
        <w:tc>
          <w:tcPr>
            <w:tcW w:w="217" w:type="dxa"/>
          </w:tcPr>
          <w:p w14:paraId="214EA0EC" w14:textId="77777777" w:rsidR="002C0FD9" w:rsidRPr="00CA25CF" w:rsidRDefault="002C0FD9" w:rsidP="00CA25CF">
            <w:pPr>
              <w:rPr>
                <w:rFonts w:cs="Arial"/>
                <w:color w:val="FF0000"/>
                <w:sz w:val="21"/>
                <w:szCs w:val="21"/>
              </w:rPr>
            </w:pPr>
          </w:p>
        </w:tc>
        <w:tc>
          <w:tcPr>
            <w:tcW w:w="217" w:type="dxa"/>
          </w:tcPr>
          <w:p w14:paraId="60803208" w14:textId="77777777" w:rsidR="002C0FD9" w:rsidRPr="00CA25CF" w:rsidRDefault="002C0FD9" w:rsidP="00CA25CF">
            <w:pPr>
              <w:rPr>
                <w:rFonts w:cs="Arial"/>
                <w:color w:val="FF0000"/>
                <w:sz w:val="21"/>
                <w:szCs w:val="21"/>
              </w:rPr>
            </w:pPr>
          </w:p>
        </w:tc>
        <w:tc>
          <w:tcPr>
            <w:tcW w:w="217" w:type="dxa"/>
          </w:tcPr>
          <w:p w14:paraId="310C54DE" w14:textId="77777777" w:rsidR="002C0FD9" w:rsidRPr="00CA25CF" w:rsidRDefault="002C0FD9" w:rsidP="00CA25CF">
            <w:pPr>
              <w:rPr>
                <w:rFonts w:cs="Arial"/>
                <w:color w:val="FF0000"/>
                <w:sz w:val="21"/>
                <w:szCs w:val="21"/>
              </w:rPr>
            </w:pPr>
          </w:p>
        </w:tc>
        <w:tc>
          <w:tcPr>
            <w:tcW w:w="217" w:type="dxa"/>
          </w:tcPr>
          <w:p w14:paraId="41209B12" w14:textId="77777777" w:rsidR="002C0FD9" w:rsidRPr="00CA25CF" w:rsidRDefault="002C0FD9" w:rsidP="00CA25CF">
            <w:pPr>
              <w:rPr>
                <w:rFonts w:cs="Arial"/>
                <w:color w:val="FF0000"/>
                <w:sz w:val="21"/>
                <w:szCs w:val="21"/>
              </w:rPr>
            </w:pPr>
          </w:p>
        </w:tc>
        <w:tc>
          <w:tcPr>
            <w:tcW w:w="217" w:type="dxa"/>
          </w:tcPr>
          <w:p w14:paraId="1AE9D3E3" w14:textId="77777777" w:rsidR="002C0FD9" w:rsidRPr="00CA25CF" w:rsidRDefault="002C0FD9" w:rsidP="00CA25CF">
            <w:pPr>
              <w:rPr>
                <w:rFonts w:cs="Arial"/>
                <w:color w:val="FF0000"/>
                <w:sz w:val="21"/>
                <w:szCs w:val="21"/>
              </w:rPr>
            </w:pPr>
          </w:p>
        </w:tc>
        <w:tc>
          <w:tcPr>
            <w:tcW w:w="217" w:type="dxa"/>
          </w:tcPr>
          <w:p w14:paraId="177276D8" w14:textId="77777777" w:rsidR="002C0FD9" w:rsidRPr="00CA25CF" w:rsidRDefault="002C0FD9" w:rsidP="00CA25CF">
            <w:pPr>
              <w:rPr>
                <w:rFonts w:cs="Arial"/>
                <w:color w:val="FF0000"/>
                <w:sz w:val="21"/>
                <w:szCs w:val="21"/>
              </w:rPr>
            </w:pPr>
          </w:p>
        </w:tc>
        <w:tc>
          <w:tcPr>
            <w:tcW w:w="217" w:type="dxa"/>
          </w:tcPr>
          <w:p w14:paraId="1D460BF8" w14:textId="77777777" w:rsidR="002C0FD9" w:rsidRPr="00CA25CF" w:rsidRDefault="002C0FD9" w:rsidP="00CA25CF">
            <w:pPr>
              <w:rPr>
                <w:rFonts w:cs="Arial"/>
                <w:color w:val="FF0000"/>
                <w:sz w:val="21"/>
                <w:szCs w:val="21"/>
              </w:rPr>
            </w:pPr>
          </w:p>
        </w:tc>
        <w:tc>
          <w:tcPr>
            <w:tcW w:w="217" w:type="dxa"/>
          </w:tcPr>
          <w:p w14:paraId="2345F838" w14:textId="77777777" w:rsidR="002C0FD9" w:rsidRPr="00CA25CF" w:rsidRDefault="002C0FD9" w:rsidP="00CA25CF">
            <w:pPr>
              <w:rPr>
                <w:rFonts w:cs="Arial"/>
                <w:color w:val="FF0000"/>
                <w:sz w:val="21"/>
                <w:szCs w:val="21"/>
              </w:rPr>
            </w:pPr>
          </w:p>
        </w:tc>
        <w:tc>
          <w:tcPr>
            <w:tcW w:w="217" w:type="dxa"/>
          </w:tcPr>
          <w:p w14:paraId="4E504EFD" w14:textId="77777777" w:rsidR="002C0FD9" w:rsidRPr="00CA25CF" w:rsidRDefault="002C0FD9" w:rsidP="00CA25CF">
            <w:pPr>
              <w:rPr>
                <w:rFonts w:cs="Arial"/>
                <w:color w:val="FF0000"/>
                <w:sz w:val="21"/>
                <w:szCs w:val="21"/>
              </w:rPr>
            </w:pPr>
          </w:p>
        </w:tc>
        <w:tc>
          <w:tcPr>
            <w:tcW w:w="217" w:type="dxa"/>
          </w:tcPr>
          <w:p w14:paraId="79F32728" w14:textId="77777777" w:rsidR="002C0FD9" w:rsidRPr="00CA25CF" w:rsidRDefault="002C0FD9" w:rsidP="00CA25CF">
            <w:pPr>
              <w:rPr>
                <w:rFonts w:cs="Arial"/>
                <w:color w:val="FF0000"/>
                <w:sz w:val="21"/>
                <w:szCs w:val="21"/>
              </w:rPr>
            </w:pPr>
          </w:p>
        </w:tc>
        <w:tc>
          <w:tcPr>
            <w:tcW w:w="217" w:type="dxa"/>
          </w:tcPr>
          <w:p w14:paraId="00323547" w14:textId="77777777" w:rsidR="002C0FD9" w:rsidRPr="00CA25CF" w:rsidRDefault="002C0FD9" w:rsidP="00CA25CF">
            <w:pPr>
              <w:rPr>
                <w:rFonts w:cs="Arial"/>
                <w:color w:val="FF0000"/>
                <w:sz w:val="21"/>
                <w:szCs w:val="21"/>
              </w:rPr>
            </w:pPr>
          </w:p>
        </w:tc>
        <w:tc>
          <w:tcPr>
            <w:tcW w:w="217" w:type="dxa"/>
          </w:tcPr>
          <w:p w14:paraId="21328F21" w14:textId="77777777" w:rsidR="002C0FD9" w:rsidRPr="00CA25CF" w:rsidRDefault="002C0FD9" w:rsidP="00CA25CF">
            <w:pPr>
              <w:rPr>
                <w:rFonts w:cs="Arial"/>
                <w:color w:val="FF0000"/>
                <w:sz w:val="21"/>
                <w:szCs w:val="21"/>
              </w:rPr>
            </w:pPr>
          </w:p>
        </w:tc>
        <w:tc>
          <w:tcPr>
            <w:tcW w:w="217" w:type="dxa"/>
          </w:tcPr>
          <w:p w14:paraId="2BA9B085" w14:textId="77777777" w:rsidR="002C0FD9" w:rsidRPr="00CA25CF" w:rsidRDefault="002C0FD9" w:rsidP="00CA25CF">
            <w:pPr>
              <w:rPr>
                <w:rFonts w:cs="Arial"/>
                <w:color w:val="FF0000"/>
                <w:sz w:val="21"/>
                <w:szCs w:val="21"/>
              </w:rPr>
            </w:pPr>
          </w:p>
        </w:tc>
        <w:tc>
          <w:tcPr>
            <w:tcW w:w="217" w:type="dxa"/>
          </w:tcPr>
          <w:p w14:paraId="27E5A3C7" w14:textId="77777777" w:rsidR="002C0FD9" w:rsidRPr="00CA25CF" w:rsidRDefault="002C0FD9" w:rsidP="00CA25CF">
            <w:pPr>
              <w:rPr>
                <w:rFonts w:cs="Arial"/>
                <w:color w:val="FF0000"/>
                <w:sz w:val="21"/>
                <w:szCs w:val="21"/>
              </w:rPr>
            </w:pPr>
          </w:p>
        </w:tc>
        <w:tc>
          <w:tcPr>
            <w:tcW w:w="217" w:type="dxa"/>
          </w:tcPr>
          <w:p w14:paraId="2FC8CB62" w14:textId="77777777" w:rsidR="002C0FD9" w:rsidRPr="00CA25CF" w:rsidRDefault="002C0FD9" w:rsidP="00CA25CF">
            <w:pPr>
              <w:rPr>
                <w:rFonts w:cs="Arial"/>
                <w:color w:val="FF0000"/>
                <w:sz w:val="21"/>
                <w:szCs w:val="21"/>
              </w:rPr>
            </w:pPr>
          </w:p>
        </w:tc>
        <w:tc>
          <w:tcPr>
            <w:tcW w:w="217" w:type="dxa"/>
          </w:tcPr>
          <w:p w14:paraId="452F2A05" w14:textId="77777777" w:rsidR="002C0FD9" w:rsidRPr="00CA25CF" w:rsidRDefault="002C0FD9" w:rsidP="00CA25CF">
            <w:pPr>
              <w:rPr>
                <w:rFonts w:cs="Arial"/>
                <w:color w:val="FF0000"/>
                <w:sz w:val="21"/>
                <w:szCs w:val="21"/>
              </w:rPr>
            </w:pPr>
          </w:p>
        </w:tc>
        <w:tc>
          <w:tcPr>
            <w:tcW w:w="217" w:type="dxa"/>
          </w:tcPr>
          <w:p w14:paraId="3D6BDD3B" w14:textId="77777777" w:rsidR="002C0FD9" w:rsidRPr="00CA25CF" w:rsidRDefault="002C0FD9" w:rsidP="00CA25CF">
            <w:pPr>
              <w:rPr>
                <w:rFonts w:cs="Arial"/>
                <w:color w:val="FF0000"/>
                <w:sz w:val="21"/>
                <w:szCs w:val="21"/>
              </w:rPr>
            </w:pPr>
          </w:p>
        </w:tc>
        <w:tc>
          <w:tcPr>
            <w:tcW w:w="217" w:type="dxa"/>
          </w:tcPr>
          <w:p w14:paraId="6E12EAFC" w14:textId="77777777" w:rsidR="002C0FD9" w:rsidRPr="00CA25CF" w:rsidRDefault="002C0FD9" w:rsidP="00CA25CF">
            <w:pPr>
              <w:rPr>
                <w:rFonts w:cs="Arial"/>
                <w:color w:val="FF0000"/>
                <w:sz w:val="21"/>
                <w:szCs w:val="21"/>
              </w:rPr>
            </w:pPr>
          </w:p>
        </w:tc>
        <w:tc>
          <w:tcPr>
            <w:tcW w:w="217" w:type="dxa"/>
          </w:tcPr>
          <w:p w14:paraId="66CDBB7B" w14:textId="77777777" w:rsidR="002C0FD9" w:rsidRPr="00CA25CF" w:rsidRDefault="002C0FD9" w:rsidP="00CA25CF">
            <w:pPr>
              <w:rPr>
                <w:rFonts w:cs="Arial"/>
                <w:color w:val="FF0000"/>
                <w:sz w:val="21"/>
                <w:szCs w:val="21"/>
              </w:rPr>
            </w:pPr>
          </w:p>
        </w:tc>
        <w:tc>
          <w:tcPr>
            <w:tcW w:w="217" w:type="dxa"/>
          </w:tcPr>
          <w:p w14:paraId="7D9E5A23" w14:textId="77777777" w:rsidR="002C0FD9" w:rsidRPr="00CA25CF" w:rsidRDefault="002C0FD9" w:rsidP="00CA25CF">
            <w:pPr>
              <w:rPr>
                <w:rFonts w:cs="Arial"/>
                <w:color w:val="FF0000"/>
                <w:sz w:val="21"/>
                <w:szCs w:val="21"/>
              </w:rPr>
            </w:pPr>
          </w:p>
        </w:tc>
        <w:tc>
          <w:tcPr>
            <w:tcW w:w="217" w:type="dxa"/>
          </w:tcPr>
          <w:p w14:paraId="3EF4E59A" w14:textId="77777777" w:rsidR="002C0FD9" w:rsidRPr="00CA25CF" w:rsidRDefault="002C0FD9" w:rsidP="00CA25CF">
            <w:pPr>
              <w:rPr>
                <w:rFonts w:cs="Arial"/>
                <w:color w:val="FF0000"/>
                <w:sz w:val="21"/>
                <w:szCs w:val="21"/>
              </w:rPr>
            </w:pPr>
          </w:p>
        </w:tc>
        <w:tc>
          <w:tcPr>
            <w:tcW w:w="217" w:type="dxa"/>
          </w:tcPr>
          <w:p w14:paraId="54192C92" w14:textId="77777777" w:rsidR="002C0FD9" w:rsidRPr="00CA25CF" w:rsidRDefault="002C0FD9" w:rsidP="00CA25CF">
            <w:pPr>
              <w:rPr>
                <w:rFonts w:cs="Arial"/>
                <w:color w:val="FF0000"/>
                <w:sz w:val="21"/>
                <w:szCs w:val="21"/>
              </w:rPr>
            </w:pPr>
          </w:p>
        </w:tc>
        <w:tc>
          <w:tcPr>
            <w:tcW w:w="217" w:type="dxa"/>
          </w:tcPr>
          <w:p w14:paraId="64CFBEE5" w14:textId="77777777" w:rsidR="002C0FD9" w:rsidRPr="00CA25CF" w:rsidRDefault="002C0FD9" w:rsidP="00CA25CF">
            <w:pPr>
              <w:rPr>
                <w:rFonts w:cs="Arial"/>
                <w:color w:val="FF0000"/>
                <w:sz w:val="21"/>
                <w:szCs w:val="21"/>
              </w:rPr>
            </w:pPr>
          </w:p>
        </w:tc>
        <w:tc>
          <w:tcPr>
            <w:tcW w:w="217" w:type="dxa"/>
          </w:tcPr>
          <w:p w14:paraId="10DB3993" w14:textId="77777777" w:rsidR="002C0FD9" w:rsidRPr="00CA25CF" w:rsidRDefault="002C0FD9" w:rsidP="00CA25CF">
            <w:pPr>
              <w:rPr>
                <w:rFonts w:cs="Arial"/>
                <w:color w:val="FF0000"/>
                <w:sz w:val="21"/>
                <w:szCs w:val="21"/>
              </w:rPr>
            </w:pPr>
          </w:p>
        </w:tc>
        <w:tc>
          <w:tcPr>
            <w:tcW w:w="217" w:type="dxa"/>
          </w:tcPr>
          <w:p w14:paraId="453C82D6" w14:textId="77777777" w:rsidR="002C0FD9" w:rsidRPr="00CA25CF" w:rsidRDefault="002C0FD9" w:rsidP="00CA25CF">
            <w:pPr>
              <w:rPr>
                <w:rFonts w:cs="Arial"/>
                <w:color w:val="FF0000"/>
                <w:sz w:val="21"/>
                <w:szCs w:val="21"/>
              </w:rPr>
            </w:pPr>
          </w:p>
        </w:tc>
        <w:tc>
          <w:tcPr>
            <w:tcW w:w="217" w:type="dxa"/>
          </w:tcPr>
          <w:p w14:paraId="3D741BB1" w14:textId="77777777" w:rsidR="002C0FD9" w:rsidRPr="00CA25CF" w:rsidRDefault="002C0FD9" w:rsidP="00CA25CF">
            <w:pPr>
              <w:rPr>
                <w:rFonts w:cs="Arial"/>
                <w:color w:val="FF0000"/>
                <w:sz w:val="21"/>
                <w:szCs w:val="21"/>
              </w:rPr>
            </w:pPr>
          </w:p>
        </w:tc>
      </w:tr>
      <w:tr w:rsidR="002C0FD9" w:rsidRPr="00A16219" w14:paraId="3895ED56" w14:textId="77777777" w:rsidTr="002C0FD9">
        <w:trPr>
          <w:trHeight w:val="635"/>
        </w:trPr>
        <w:tc>
          <w:tcPr>
            <w:tcW w:w="515" w:type="dxa"/>
          </w:tcPr>
          <w:p w14:paraId="6CA1764B" w14:textId="77777777" w:rsidR="002C0FD9" w:rsidRPr="00CA25CF" w:rsidRDefault="002C0FD9" w:rsidP="00CA25CF">
            <w:pPr>
              <w:rPr>
                <w:rFonts w:cs="Arial"/>
                <w:color w:val="FF0000"/>
                <w:sz w:val="21"/>
                <w:szCs w:val="21"/>
              </w:rPr>
            </w:pPr>
          </w:p>
        </w:tc>
        <w:tc>
          <w:tcPr>
            <w:tcW w:w="217" w:type="dxa"/>
          </w:tcPr>
          <w:p w14:paraId="094404C0" w14:textId="77777777" w:rsidR="002C0FD9" w:rsidRPr="00CA25CF" w:rsidRDefault="002C0FD9" w:rsidP="00CA25CF">
            <w:pPr>
              <w:rPr>
                <w:rFonts w:cs="Arial"/>
                <w:color w:val="FF0000"/>
                <w:sz w:val="21"/>
                <w:szCs w:val="21"/>
              </w:rPr>
            </w:pPr>
          </w:p>
        </w:tc>
        <w:tc>
          <w:tcPr>
            <w:tcW w:w="217" w:type="dxa"/>
          </w:tcPr>
          <w:p w14:paraId="1176E3A3" w14:textId="77777777" w:rsidR="002C0FD9" w:rsidRPr="00CA25CF" w:rsidRDefault="002C0FD9" w:rsidP="00CA25CF">
            <w:pPr>
              <w:rPr>
                <w:rFonts w:cs="Arial"/>
                <w:color w:val="FF0000"/>
                <w:sz w:val="21"/>
                <w:szCs w:val="21"/>
              </w:rPr>
            </w:pPr>
          </w:p>
        </w:tc>
        <w:tc>
          <w:tcPr>
            <w:tcW w:w="217" w:type="dxa"/>
          </w:tcPr>
          <w:p w14:paraId="1907AC4C" w14:textId="77777777" w:rsidR="002C0FD9" w:rsidRPr="00CA25CF" w:rsidRDefault="002C0FD9" w:rsidP="00CA25CF">
            <w:pPr>
              <w:rPr>
                <w:rFonts w:cs="Arial"/>
                <w:color w:val="FF0000"/>
                <w:sz w:val="21"/>
                <w:szCs w:val="21"/>
              </w:rPr>
            </w:pPr>
          </w:p>
        </w:tc>
        <w:tc>
          <w:tcPr>
            <w:tcW w:w="217" w:type="dxa"/>
          </w:tcPr>
          <w:p w14:paraId="5669AF68" w14:textId="77777777" w:rsidR="002C0FD9" w:rsidRPr="00CA25CF" w:rsidRDefault="002C0FD9" w:rsidP="00CA25CF">
            <w:pPr>
              <w:rPr>
                <w:rFonts w:cs="Arial"/>
                <w:color w:val="FF0000"/>
                <w:sz w:val="21"/>
                <w:szCs w:val="21"/>
              </w:rPr>
            </w:pPr>
          </w:p>
        </w:tc>
        <w:tc>
          <w:tcPr>
            <w:tcW w:w="217" w:type="dxa"/>
          </w:tcPr>
          <w:p w14:paraId="2F7B13C8" w14:textId="77777777" w:rsidR="002C0FD9" w:rsidRPr="00CA25CF" w:rsidRDefault="002C0FD9" w:rsidP="00CA25CF">
            <w:pPr>
              <w:rPr>
                <w:rFonts w:cs="Arial"/>
                <w:color w:val="FF0000"/>
                <w:sz w:val="21"/>
                <w:szCs w:val="21"/>
              </w:rPr>
            </w:pPr>
          </w:p>
        </w:tc>
        <w:tc>
          <w:tcPr>
            <w:tcW w:w="217" w:type="dxa"/>
          </w:tcPr>
          <w:p w14:paraId="1FB2A1D2" w14:textId="77777777" w:rsidR="002C0FD9" w:rsidRPr="00CA25CF" w:rsidRDefault="002C0FD9" w:rsidP="00CA25CF">
            <w:pPr>
              <w:rPr>
                <w:rFonts w:cs="Arial"/>
                <w:color w:val="FF0000"/>
                <w:sz w:val="21"/>
                <w:szCs w:val="21"/>
              </w:rPr>
            </w:pPr>
          </w:p>
        </w:tc>
        <w:tc>
          <w:tcPr>
            <w:tcW w:w="217" w:type="dxa"/>
          </w:tcPr>
          <w:p w14:paraId="22F6B7AD" w14:textId="77777777" w:rsidR="002C0FD9" w:rsidRPr="00CA25CF" w:rsidRDefault="002C0FD9" w:rsidP="00CA25CF">
            <w:pPr>
              <w:rPr>
                <w:rFonts w:cs="Arial"/>
                <w:color w:val="FF0000"/>
                <w:sz w:val="21"/>
                <w:szCs w:val="21"/>
              </w:rPr>
            </w:pPr>
          </w:p>
        </w:tc>
        <w:tc>
          <w:tcPr>
            <w:tcW w:w="217" w:type="dxa"/>
          </w:tcPr>
          <w:p w14:paraId="6DF13F23" w14:textId="77777777" w:rsidR="002C0FD9" w:rsidRPr="00CA25CF" w:rsidRDefault="002C0FD9" w:rsidP="00CA25CF">
            <w:pPr>
              <w:rPr>
                <w:rFonts w:cs="Arial"/>
                <w:color w:val="FF0000"/>
                <w:sz w:val="21"/>
                <w:szCs w:val="21"/>
              </w:rPr>
            </w:pPr>
          </w:p>
        </w:tc>
        <w:tc>
          <w:tcPr>
            <w:tcW w:w="217" w:type="dxa"/>
          </w:tcPr>
          <w:p w14:paraId="5B101301" w14:textId="77777777" w:rsidR="002C0FD9" w:rsidRPr="00CA25CF" w:rsidRDefault="002C0FD9" w:rsidP="00CA25CF">
            <w:pPr>
              <w:rPr>
                <w:rFonts w:cs="Arial"/>
                <w:color w:val="FF0000"/>
                <w:sz w:val="21"/>
                <w:szCs w:val="21"/>
              </w:rPr>
            </w:pPr>
          </w:p>
        </w:tc>
        <w:tc>
          <w:tcPr>
            <w:tcW w:w="217" w:type="dxa"/>
          </w:tcPr>
          <w:p w14:paraId="12B5FFC8" w14:textId="77777777" w:rsidR="002C0FD9" w:rsidRPr="00CA25CF" w:rsidRDefault="002C0FD9" w:rsidP="00CA25CF">
            <w:pPr>
              <w:rPr>
                <w:rFonts w:cs="Arial"/>
                <w:color w:val="FF0000"/>
                <w:sz w:val="21"/>
                <w:szCs w:val="21"/>
              </w:rPr>
            </w:pPr>
          </w:p>
        </w:tc>
        <w:tc>
          <w:tcPr>
            <w:tcW w:w="217" w:type="dxa"/>
          </w:tcPr>
          <w:p w14:paraId="6B225D24" w14:textId="77777777" w:rsidR="002C0FD9" w:rsidRPr="00CA25CF" w:rsidRDefault="002C0FD9" w:rsidP="00CA25CF">
            <w:pPr>
              <w:rPr>
                <w:rFonts w:cs="Arial"/>
                <w:color w:val="FF0000"/>
                <w:sz w:val="21"/>
                <w:szCs w:val="21"/>
              </w:rPr>
            </w:pPr>
          </w:p>
        </w:tc>
        <w:tc>
          <w:tcPr>
            <w:tcW w:w="217" w:type="dxa"/>
          </w:tcPr>
          <w:p w14:paraId="205C24D7" w14:textId="77777777" w:rsidR="002C0FD9" w:rsidRPr="00CA25CF" w:rsidRDefault="002C0FD9" w:rsidP="00CA25CF">
            <w:pPr>
              <w:rPr>
                <w:rFonts w:cs="Arial"/>
                <w:color w:val="FF0000"/>
                <w:sz w:val="21"/>
                <w:szCs w:val="21"/>
              </w:rPr>
            </w:pPr>
          </w:p>
        </w:tc>
        <w:tc>
          <w:tcPr>
            <w:tcW w:w="217" w:type="dxa"/>
          </w:tcPr>
          <w:p w14:paraId="09FE2234" w14:textId="77777777" w:rsidR="002C0FD9" w:rsidRPr="00CA25CF" w:rsidRDefault="002C0FD9" w:rsidP="00CA25CF">
            <w:pPr>
              <w:rPr>
                <w:rFonts w:cs="Arial"/>
                <w:color w:val="FF0000"/>
                <w:sz w:val="21"/>
                <w:szCs w:val="21"/>
              </w:rPr>
            </w:pPr>
          </w:p>
        </w:tc>
        <w:tc>
          <w:tcPr>
            <w:tcW w:w="217" w:type="dxa"/>
          </w:tcPr>
          <w:p w14:paraId="7572CD0D" w14:textId="77777777" w:rsidR="002C0FD9" w:rsidRPr="00CA25CF" w:rsidRDefault="002C0FD9" w:rsidP="00CA25CF">
            <w:pPr>
              <w:rPr>
                <w:rFonts w:cs="Arial"/>
                <w:color w:val="FF0000"/>
                <w:sz w:val="21"/>
                <w:szCs w:val="21"/>
              </w:rPr>
            </w:pPr>
          </w:p>
        </w:tc>
        <w:tc>
          <w:tcPr>
            <w:tcW w:w="217" w:type="dxa"/>
          </w:tcPr>
          <w:p w14:paraId="50315359" w14:textId="77777777" w:rsidR="002C0FD9" w:rsidRPr="00CA25CF" w:rsidRDefault="002C0FD9" w:rsidP="00CA25CF">
            <w:pPr>
              <w:rPr>
                <w:rFonts w:cs="Arial"/>
                <w:color w:val="FF0000"/>
                <w:sz w:val="21"/>
                <w:szCs w:val="21"/>
              </w:rPr>
            </w:pPr>
          </w:p>
        </w:tc>
        <w:tc>
          <w:tcPr>
            <w:tcW w:w="217" w:type="dxa"/>
          </w:tcPr>
          <w:p w14:paraId="0F575F44" w14:textId="77777777" w:rsidR="002C0FD9" w:rsidRPr="00CA25CF" w:rsidRDefault="002C0FD9" w:rsidP="00CA25CF">
            <w:pPr>
              <w:rPr>
                <w:rFonts w:cs="Arial"/>
                <w:color w:val="FF0000"/>
                <w:sz w:val="21"/>
                <w:szCs w:val="21"/>
              </w:rPr>
            </w:pPr>
          </w:p>
        </w:tc>
        <w:tc>
          <w:tcPr>
            <w:tcW w:w="217" w:type="dxa"/>
          </w:tcPr>
          <w:p w14:paraId="25EE76B1" w14:textId="77777777" w:rsidR="002C0FD9" w:rsidRPr="00CA25CF" w:rsidRDefault="002C0FD9" w:rsidP="00CA25CF">
            <w:pPr>
              <w:rPr>
                <w:rFonts w:cs="Arial"/>
                <w:color w:val="FF0000"/>
                <w:sz w:val="21"/>
                <w:szCs w:val="21"/>
              </w:rPr>
            </w:pPr>
          </w:p>
        </w:tc>
        <w:tc>
          <w:tcPr>
            <w:tcW w:w="217" w:type="dxa"/>
          </w:tcPr>
          <w:p w14:paraId="484C269D" w14:textId="77777777" w:rsidR="002C0FD9" w:rsidRPr="00CA25CF" w:rsidRDefault="002C0FD9" w:rsidP="00CA25CF">
            <w:pPr>
              <w:rPr>
                <w:rFonts w:cs="Arial"/>
                <w:color w:val="FF0000"/>
                <w:sz w:val="21"/>
                <w:szCs w:val="21"/>
              </w:rPr>
            </w:pPr>
          </w:p>
        </w:tc>
        <w:tc>
          <w:tcPr>
            <w:tcW w:w="217" w:type="dxa"/>
          </w:tcPr>
          <w:p w14:paraId="2C72255C" w14:textId="77777777" w:rsidR="002C0FD9" w:rsidRPr="00CA25CF" w:rsidRDefault="002C0FD9" w:rsidP="00CA25CF">
            <w:pPr>
              <w:rPr>
                <w:rFonts w:cs="Arial"/>
                <w:color w:val="FF0000"/>
                <w:sz w:val="21"/>
                <w:szCs w:val="21"/>
              </w:rPr>
            </w:pPr>
          </w:p>
        </w:tc>
        <w:tc>
          <w:tcPr>
            <w:tcW w:w="217" w:type="dxa"/>
          </w:tcPr>
          <w:p w14:paraId="32100979" w14:textId="77777777" w:rsidR="002C0FD9" w:rsidRPr="00CA25CF" w:rsidRDefault="002C0FD9" w:rsidP="00CA25CF">
            <w:pPr>
              <w:rPr>
                <w:rFonts w:cs="Arial"/>
                <w:color w:val="FF0000"/>
                <w:sz w:val="21"/>
                <w:szCs w:val="21"/>
              </w:rPr>
            </w:pPr>
          </w:p>
        </w:tc>
        <w:tc>
          <w:tcPr>
            <w:tcW w:w="217" w:type="dxa"/>
          </w:tcPr>
          <w:p w14:paraId="2C4832A3" w14:textId="77777777" w:rsidR="002C0FD9" w:rsidRPr="00CA25CF" w:rsidRDefault="002C0FD9" w:rsidP="00CA25CF">
            <w:pPr>
              <w:rPr>
                <w:rFonts w:cs="Arial"/>
                <w:color w:val="FF0000"/>
                <w:sz w:val="21"/>
                <w:szCs w:val="21"/>
              </w:rPr>
            </w:pPr>
          </w:p>
        </w:tc>
        <w:tc>
          <w:tcPr>
            <w:tcW w:w="217" w:type="dxa"/>
          </w:tcPr>
          <w:p w14:paraId="68CB5C39" w14:textId="77777777" w:rsidR="002C0FD9" w:rsidRPr="00CA25CF" w:rsidRDefault="002C0FD9" w:rsidP="00CA25CF">
            <w:pPr>
              <w:rPr>
                <w:rFonts w:cs="Arial"/>
                <w:color w:val="FF0000"/>
                <w:sz w:val="21"/>
                <w:szCs w:val="21"/>
              </w:rPr>
            </w:pPr>
          </w:p>
        </w:tc>
        <w:tc>
          <w:tcPr>
            <w:tcW w:w="217" w:type="dxa"/>
          </w:tcPr>
          <w:p w14:paraId="5C9DDBB5" w14:textId="77777777" w:rsidR="002C0FD9" w:rsidRPr="00CA25CF" w:rsidRDefault="002C0FD9" w:rsidP="00CA25CF">
            <w:pPr>
              <w:rPr>
                <w:rFonts w:cs="Arial"/>
                <w:color w:val="FF0000"/>
                <w:sz w:val="21"/>
                <w:szCs w:val="21"/>
              </w:rPr>
            </w:pPr>
          </w:p>
        </w:tc>
        <w:tc>
          <w:tcPr>
            <w:tcW w:w="217" w:type="dxa"/>
          </w:tcPr>
          <w:p w14:paraId="2F02A943" w14:textId="77777777" w:rsidR="002C0FD9" w:rsidRPr="00CA25CF" w:rsidRDefault="002C0FD9" w:rsidP="00CA25CF">
            <w:pPr>
              <w:rPr>
                <w:rFonts w:cs="Arial"/>
                <w:color w:val="FF0000"/>
                <w:sz w:val="21"/>
                <w:szCs w:val="21"/>
              </w:rPr>
            </w:pPr>
          </w:p>
        </w:tc>
        <w:tc>
          <w:tcPr>
            <w:tcW w:w="217" w:type="dxa"/>
          </w:tcPr>
          <w:p w14:paraId="14244882" w14:textId="77777777" w:rsidR="002C0FD9" w:rsidRPr="00CA25CF" w:rsidRDefault="002C0FD9" w:rsidP="00CA25CF">
            <w:pPr>
              <w:rPr>
                <w:rFonts w:cs="Arial"/>
                <w:color w:val="FF0000"/>
                <w:sz w:val="21"/>
                <w:szCs w:val="21"/>
              </w:rPr>
            </w:pPr>
          </w:p>
        </w:tc>
        <w:tc>
          <w:tcPr>
            <w:tcW w:w="217" w:type="dxa"/>
          </w:tcPr>
          <w:p w14:paraId="4EFE5C8C" w14:textId="77777777" w:rsidR="002C0FD9" w:rsidRPr="00CA25CF" w:rsidRDefault="002C0FD9" w:rsidP="00CA25CF">
            <w:pPr>
              <w:rPr>
                <w:rFonts w:cs="Arial"/>
                <w:color w:val="FF0000"/>
                <w:sz w:val="21"/>
                <w:szCs w:val="21"/>
              </w:rPr>
            </w:pPr>
          </w:p>
        </w:tc>
        <w:tc>
          <w:tcPr>
            <w:tcW w:w="217" w:type="dxa"/>
          </w:tcPr>
          <w:p w14:paraId="0F313EFA" w14:textId="77777777" w:rsidR="002C0FD9" w:rsidRPr="00CA25CF" w:rsidRDefault="002C0FD9" w:rsidP="00CA25CF">
            <w:pPr>
              <w:rPr>
                <w:rFonts w:cs="Arial"/>
                <w:color w:val="FF0000"/>
                <w:sz w:val="21"/>
                <w:szCs w:val="21"/>
              </w:rPr>
            </w:pPr>
          </w:p>
        </w:tc>
        <w:tc>
          <w:tcPr>
            <w:tcW w:w="217" w:type="dxa"/>
          </w:tcPr>
          <w:p w14:paraId="6F49C7AC" w14:textId="77777777" w:rsidR="002C0FD9" w:rsidRPr="00CA25CF" w:rsidRDefault="002C0FD9" w:rsidP="00CA25CF">
            <w:pPr>
              <w:rPr>
                <w:rFonts w:cs="Arial"/>
                <w:color w:val="FF0000"/>
                <w:sz w:val="21"/>
                <w:szCs w:val="21"/>
              </w:rPr>
            </w:pPr>
          </w:p>
        </w:tc>
        <w:tc>
          <w:tcPr>
            <w:tcW w:w="217" w:type="dxa"/>
          </w:tcPr>
          <w:p w14:paraId="7C7DFCEE" w14:textId="77777777" w:rsidR="002C0FD9" w:rsidRPr="00CA25CF" w:rsidRDefault="002C0FD9" w:rsidP="00CA25CF">
            <w:pPr>
              <w:rPr>
                <w:rFonts w:cs="Arial"/>
                <w:color w:val="FF0000"/>
                <w:sz w:val="21"/>
                <w:szCs w:val="21"/>
              </w:rPr>
            </w:pPr>
          </w:p>
        </w:tc>
        <w:tc>
          <w:tcPr>
            <w:tcW w:w="217" w:type="dxa"/>
          </w:tcPr>
          <w:p w14:paraId="085D2270" w14:textId="77777777" w:rsidR="002C0FD9" w:rsidRPr="00CA25CF" w:rsidRDefault="002C0FD9" w:rsidP="00CA25CF">
            <w:pPr>
              <w:rPr>
                <w:rFonts w:cs="Arial"/>
                <w:color w:val="FF0000"/>
                <w:sz w:val="21"/>
                <w:szCs w:val="21"/>
              </w:rPr>
            </w:pPr>
          </w:p>
        </w:tc>
        <w:tc>
          <w:tcPr>
            <w:tcW w:w="217" w:type="dxa"/>
          </w:tcPr>
          <w:p w14:paraId="77FECC6B" w14:textId="77777777" w:rsidR="002C0FD9" w:rsidRPr="00CA25CF" w:rsidRDefault="002C0FD9" w:rsidP="00CA25CF">
            <w:pPr>
              <w:rPr>
                <w:rFonts w:cs="Arial"/>
                <w:color w:val="FF0000"/>
                <w:sz w:val="21"/>
                <w:szCs w:val="21"/>
              </w:rPr>
            </w:pPr>
          </w:p>
        </w:tc>
        <w:tc>
          <w:tcPr>
            <w:tcW w:w="217" w:type="dxa"/>
          </w:tcPr>
          <w:p w14:paraId="04F52BBF" w14:textId="77777777" w:rsidR="002C0FD9" w:rsidRPr="00CA25CF" w:rsidRDefault="002C0FD9" w:rsidP="00CA25CF">
            <w:pPr>
              <w:rPr>
                <w:rFonts w:cs="Arial"/>
                <w:color w:val="FF0000"/>
                <w:sz w:val="21"/>
                <w:szCs w:val="21"/>
              </w:rPr>
            </w:pPr>
          </w:p>
        </w:tc>
        <w:tc>
          <w:tcPr>
            <w:tcW w:w="217" w:type="dxa"/>
          </w:tcPr>
          <w:p w14:paraId="4C9BF010" w14:textId="77777777" w:rsidR="002C0FD9" w:rsidRPr="00CA25CF" w:rsidRDefault="002C0FD9" w:rsidP="00CA25CF">
            <w:pPr>
              <w:rPr>
                <w:rFonts w:cs="Arial"/>
                <w:color w:val="FF0000"/>
                <w:sz w:val="21"/>
                <w:szCs w:val="21"/>
              </w:rPr>
            </w:pPr>
          </w:p>
        </w:tc>
        <w:tc>
          <w:tcPr>
            <w:tcW w:w="217" w:type="dxa"/>
          </w:tcPr>
          <w:p w14:paraId="15558010" w14:textId="77777777" w:rsidR="002C0FD9" w:rsidRPr="00CA25CF" w:rsidRDefault="002C0FD9" w:rsidP="00CA25CF">
            <w:pPr>
              <w:rPr>
                <w:rFonts w:cs="Arial"/>
                <w:color w:val="FF0000"/>
                <w:sz w:val="21"/>
                <w:szCs w:val="21"/>
              </w:rPr>
            </w:pPr>
          </w:p>
        </w:tc>
        <w:tc>
          <w:tcPr>
            <w:tcW w:w="217" w:type="dxa"/>
          </w:tcPr>
          <w:p w14:paraId="0C1EAF05" w14:textId="77777777" w:rsidR="002C0FD9" w:rsidRPr="00CA25CF" w:rsidRDefault="002C0FD9" w:rsidP="00CA25CF">
            <w:pPr>
              <w:rPr>
                <w:rFonts w:cs="Arial"/>
                <w:color w:val="FF0000"/>
                <w:sz w:val="21"/>
                <w:szCs w:val="21"/>
              </w:rPr>
            </w:pPr>
          </w:p>
        </w:tc>
        <w:tc>
          <w:tcPr>
            <w:tcW w:w="217" w:type="dxa"/>
          </w:tcPr>
          <w:p w14:paraId="102D180E" w14:textId="77777777" w:rsidR="002C0FD9" w:rsidRPr="00CA25CF" w:rsidRDefault="002C0FD9" w:rsidP="00CA25CF">
            <w:pPr>
              <w:rPr>
                <w:rFonts w:cs="Arial"/>
                <w:color w:val="FF0000"/>
                <w:sz w:val="21"/>
                <w:szCs w:val="21"/>
              </w:rPr>
            </w:pPr>
          </w:p>
        </w:tc>
        <w:tc>
          <w:tcPr>
            <w:tcW w:w="217" w:type="dxa"/>
          </w:tcPr>
          <w:p w14:paraId="2D007E45" w14:textId="77777777" w:rsidR="002C0FD9" w:rsidRPr="00CA25CF" w:rsidRDefault="002C0FD9" w:rsidP="00CA25CF">
            <w:pPr>
              <w:rPr>
                <w:rFonts w:cs="Arial"/>
                <w:color w:val="FF0000"/>
                <w:sz w:val="21"/>
                <w:szCs w:val="21"/>
              </w:rPr>
            </w:pPr>
          </w:p>
        </w:tc>
        <w:tc>
          <w:tcPr>
            <w:tcW w:w="217" w:type="dxa"/>
          </w:tcPr>
          <w:p w14:paraId="06F8E4DA" w14:textId="77777777" w:rsidR="002C0FD9" w:rsidRPr="00CA25CF" w:rsidRDefault="002C0FD9" w:rsidP="00CA25CF">
            <w:pPr>
              <w:rPr>
                <w:rFonts w:cs="Arial"/>
                <w:color w:val="FF0000"/>
                <w:sz w:val="21"/>
                <w:szCs w:val="21"/>
              </w:rPr>
            </w:pPr>
          </w:p>
        </w:tc>
        <w:tc>
          <w:tcPr>
            <w:tcW w:w="217" w:type="dxa"/>
          </w:tcPr>
          <w:p w14:paraId="15703320" w14:textId="77777777" w:rsidR="002C0FD9" w:rsidRPr="00CA25CF" w:rsidRDefault="002C0FD9" w:rsidP="00CA25CF">
            <w:pPr>
              <w:rPr>
                <w:rFonts w:cs="Arial"/>
                <w:color w:val="FF0000"/>
                <w:sz w:val="21"/>
                <w:szCs w:val="21"/>
              </w:rPr>
            </w:pPr>
          </w:p>
        </w:tc>
        <w:tc>
          <w:tcPr>
            <w:tcW w:w="217" w:type="dxa"/>
          </w:tcPr>
          <w:p w14:paraId="0C660162" w14:textId="77777777" w:rsidR="002C0FD9" w:rsidRPr="00CA25CF" w:rsidRDefault="002C0FD9" w:rsidP="00CA25CF">
            <w:pPr>
              <w:rPr>
                <w:rFonts w:cs="Arial"/>
                <w:color w:val="FF0000"/>
                <w:sz w:val="21"/>
                <w:szCs w:val="21"/>
              </w:rPr>
            </w:pPr>
          </w:p>
        </w:tc>
        <w:tc>
          <w:tcPr>
            <w:tcW w:w="217" w:type="dxa"/>
          </w:tcPr>
          <w:p w14:paraId="404FCD44" w14:textId="77777777" w:rsidR="002C0FD9" w:rsidRPr="00CA25CF" w:rsidRDefault="002C0FD9" w:rsidP="00CA25CF">
            <w:pPr>
              <w:rPr>
                <w:rFonts w:cs="Arial"/>
                <w:color w:val="FF0000"/>
                <w:sz w:val="21"/>
                <w:szCs w:val="21"/>
              </w:rPr>
            </w:pPr>
          </w:p>
        </w:tc>
        <w:tc>
          <w:tcPr>
            <w:tcW w:w="217" w:type="dxa"/>
          </w:tcPr>
          <w:p w14:paraId="50827A2D" w14:textId="77777777" w:rsidR="002C0FD9" w:rsidRPr="00CA25CF" w:rsidRDefault="002C0FD9" w:rsidP="00CA25CF">
            <w:pPr>
              <w:rPr>
                <w:rFonts w:cs="Arial"/>
                <w:color w:val="FF0000"/>
                <w:sz w:val="21"/>
                <w:szCs w:val="21"/>
              </w:rPr>
            </w:pPr>
          </w:p>
        </w:tc>
      </w:tr>
      <w:tr w:rsidR="002C0FD9" w:rsidRPr="00A16219" w14:paraId="5405F160" w14:textId="77777777" w:rsidTr="002C0FD9">
        <w:trPr>
          <w:trHeight w:val="635"/>
        </w:trPr>
        <w:tc>
          <w:tcPr>
            <w:tcW w:w="515" w:type="dxa"/>
          </w:tcPr>
          <w:p w14:paraId="6ABEBFAD" w14:textId="77777777" w:rsidR="002C0FD9" w:rsidRPr="00CA25CF" w:rsidRDefault="002C0FD9" w:rsidP="00CA25CF">
            <w:pPr>
              <w:rPr>
                <w:rFonts w:cs="Arial"/>
                <w:color w:val="FF0000"/>
                <w:sz w:val="21"/>
                <w:szCs w:val="21"/>
              </w:rPr>
            </w:pPr>
          </w:p>
        </w:tc>
        <w:tc>
          <w:tcPr>
            <w:tcW w:w="217" w:type="dxa"/>
          </w:tcPr>
          <w:p w14:paraId="32CC3BF8" w14:textId="77777777" w:rsidR="002C0FD9" w:rsidRPr="00CA25CF" w:rsidRDefault="002C0FD9" w:rsidP="00CA25CF">
            <w:pPr>
              <w:rPr>
                <w:rFonts w:cs="Arial"/>
                <w:color w:val="FF0000"/>
                <w:sz w:val="21"/>
                <w:szCs w:val="21"/>
              </w:rPr>
            </w:pPr>
          </w:p>
        </w:tc>
        <w:tc>
          <w:tcPr>
            <w:tcW w:w="217" w:type="dxa"/>
          </w:tcPr>
          <w:p w14:paraId="6025770D" w14:textId="77777777" w:rsidR="002C0FD9" w:rsidRPr="00CA25CF" w:rsidRDefault="002C0FD9" w:rsidP="00CA25CF">
            <w:pPr>
              <w:rPr>
                <w:rFonts w:cs="Arial"/>
                <w:color w:val="FF0000"/>
                <w:sz w:val="21"/>
                <w:szCs w:val="21"/>
              </w:rPr>
            </w:pPr>
          </w:p>
        </w:tc>
        <w:tc>
          <w:tcPr>
            <w:tcW w:w="217" w:type="dxa"/>
          </w:tcPr>
          <w:p w14:paraId="18552563" w14:textId="77777777" w:rsidR="002C0FD9" w:rsidRPr="00CA25CF" w:rsidRDefault="002C0FD9" w:rsidP="00CA25CF">
            <w:pPr>
              <w:rPr>
                <w:rFonts w:cs="Arial"/>
                <w:color w:val="FF0000"/>
                <w:sz w:val="21"/>
                <w:szCs w:val="21"/>
              </w:rPr>
            </w:pPr>
          </w:p>
        </w:tc>
        <w:tc>
          <w:tcPr>
            <w:tcW w:w="217" w:type="dxa"/>
          </w:tcPr>
          <w:p w14:paraId="1587FD84" w14:textId="77777777" w:rsidR="002C0FD9" w:rsidRPr="00CA25CF" w:rsidRDefault="002C0FD9" w:rsidP="00CA25CF">
            <w:pPr>
              <w:rPr>
                <w:rFonts w:cs="Arial"/>
                <w:color w:val="FF0000"/>
                <w:sz w:val="21"/>
                <w:szCs w:val="21"/>
              </w:rPr>
            </w:pPr>
          </w:p>
        </w:tc>
        <w:tc>
          <w:tcPr>
            <w:tcW w:w="217" w:type="dxa"/>
          </w:tcPr>
          <w:p w14:paraId="1D156D6C" w14:textId="77777777" w:rsidR="002C0FD9" w:rsidRPr="00CA25CF" w:rsidRDefault="002C0FD9" w:rsidP="00CA25CF">
            <w:pPr>
              <w:rPr>
                <w:rFonts w:cs="Arial"/>
                <w:color w:val="FF0000"/>
                <w:sz w:val="21"/>
                <w:szCs w:val="21"/>
              </w:rPr>
            </w:pPr>
          </w:p>
        </w:tc>
        <w:tc>
          <w:tcPr>
            <w:tcW w:w="217" w:type="dxa"/>
          </w:tcPr>
          <w:p w14:paraId="5A13921D" w14:textId="77777777" w:rsidR="002C0FD9" w:rsidRPr="00CA25CF" w:rsidRDefault="002C0FD9" w:rsidP="00CA25CF">
            <w:pPr>
              <w:rPr>
                <w:rFonts w:cs="Arial"/>
                <w:color w:val="FF0000"/>
                <w:sz w:val="21"/>
                <w:szCs w:val="21"/>
              </w:rPr>
            </w:pPr>
          </w:p>
        </w:tc>
        <w:tc>
          <w:tcPr>
            <w:tcW w:w="217" w:type="dxa"/>
          </w:tcPr>
          <w:p w14:paraId="3BD9401F" w14:textId="77777777" w:rsidR="002C0FD9" w:rsidRPr="00CA25CF" w:rsidRDefault="002C0FD9" w:rsidP="00CA25CF">
            <w:pPr>
              <w:rPr>
                <w:rFonts w:cs="Arial"/>
                <w:color w:val="FF0000"/>
                <w:sz w:val="21"/>
                <w:szCs w:val="21"/>
              </w:rPr>
            </w:pPr>
          </w:p>
        </w:tc>
        <w:tc>
          <w:tcPr>
            <w:tcW w:w="217" w:type="dxa"/>
          </w:tcPr>
          <w:p w14:paraId="187DBA15" w14:textId="77777777" w:rsidR="002C0FD9" w:rsidRPr="00CA25CF" w:rsidRDefault="002C0FD9" w:rsidP="00CA25CF">
            <w:pPr>
              <w:rPr>
                <w:rFonts w:cs="Arial"/>
                <w:color w:val="FF0000"/>
                <w:sz w:val="21"/>
                <w:szCs w:val="21"/>
              </w:rPr>
            </w:pPr>
          </w:p>
        </w:tc>
        <w:tc>
          <w:tcPr>
            <w:tcW w:w="217" w:type="dxa"/>
          </w:tcPr>
          <w:p w14:paraId="2A5882C9" w14:textId="77777777" w:rsidR="002C0FD9" w:rsidRPr="00CA25CF" w:rsidRDefault="002C0FD9" w:rsidP="00CA25CF">
            <w:pPr>
              <w:rPr>
                <w:rFonts w:cs="Arial"/>
                <w:color w:val="FF0000"/>
                <w:sz w:val="21"/>
                <w:szCs w:val="21"/>
              </w:rPr>
            </w:pPr>
          </w:p>
        </w:tc>
        <w:tc>
          <w:tcPr>
            <w:tcW w:w="217" w:type="dxa"/>
          </w:tcPr>
          <w:p w14:paraId="209E139E" w14:textId="77777777" w:rsidR="002C0FD9" w:rsidRPr="00CA25CF" w:rsidRDefault="002C0FD9" w:rsidP="00CA25CF">
            <w:pPr>
              <w:rPr>
                <w:rFonts w:cs="Arial"/>
                <w:color w:val="FF0000"/>
                <w:sz w:val="21"/>
                <w:szCs w:val="21"/>
              </w:rPr>
            </w:pPr>
          </w:p>
        </w:tc>
        <w:tc>
          <w:tcPr>
            <w:tcW w:w="217" w:type="dxa"/>
          </w:tcPr>
          <w:p w14:paraId="6B634985" w14:textId="77777777" w:rsidR="002C0FD9" w:rsidRPr="00CA25CF" w:rsidRDefault="002C0FD9" w:rsidP="00CA25CF">
            <w:pPr>
              <w:rPr>
                <w:rFonts w:cs="Arial"/>
                <w:color w:val="FF0000"/>
                <w:sz w:val="21"/>
                <w:szCs w:val="21"/>
              </w:rPr>
            </w:pPr>
          </w:p>
        </w:tc>
        <w:tc>
          <w:tcPr>
            <w:tcW w:w="217" w:type="dxa"/>
          </w:tcPr>
          <w:p w14:paraId="5B086B33" w14:textId="77777777" w:rsidR="002C0FD9" w:rsidRPr="00CA25CF" w:rsidRDefault="002C0FD9" w:rsidP="00CA25CF">
            <w:pPr>
              <w:rPr>
                <w:rFonts w:cs="Arial"/>
                <w:color w:val="FF0000"/>
                <w:sz w:val="21"/>
                <w:szCs w:val="21"/>
              </w:rPr>
            </w:pPr>
          </w:p>
        </w:tc>
        <w:tc>
          <w:tcPr>
            <w:tcW w:w="217" w:type="dxa"/>
          </w:tcPr>
          <w:p w14:paraId="6D057557" w14:textId="77777777" w:rsidR="002C0FD9" w:rsidRPr="00CA25CF" w:rsidRDefault="002C0FD9" w:rsidP="00CA25CF">
            <w:pPr>
              <w:rPr>
                <w:rFonts w:cs="Arial"/>
                <w:color w:val="FF0000"/>
                <w:sz w:val="21"/>
                <w:szCs w:val="21"/>
              </w:rPr>
            </w:pPr>
          </w:p>
        </w:tc>
        <w:tc>
          <w:tcPr>
            <w:tcW w:w="217" w:type="dxa"/>
          </w:tcPr>
          <w:p w14:paraId="05738771" w14:textId="77777777" w:rsidR="002C0FD9" w:rsidRPr="00CA25CF" w:rsidRDefault="002C0FD9" w:rsidP="00CA25CF">
            <w:pPr>
              <w:rPr>
                <w:rFonts w:cs="Arial"/>
                <w:color w:val="FF0000"/>
                <w:sz w:val="21"/>
                <w:szCs w:val="21"/>
              </w:rPr>
            </w:pPr>
          </w:p>
        </w:tc>
        <w:tc>
          <w:tcPr>
            <w:tcW w:w="217" w:type="dxa"/>
          </w:tcPr>
          <w:p w14:paraId="3C1F9EB1" w14:textId="77777777" w:rsidR="002C0FD9" w:rsidRPr="00CA25CF" w:rsidRDefault="002C0FD9" w:rsidP="00CA25CF">
            <w:pPr>
              <w:rPr>
                <w:rFonts w:cs="Arial"/>
                <w:color w:val="FF0000"/>
                <w:sz w:val="21"/>
                <w:szCs w:val="21"/>
              </w:rPr>
            </w:pPr>
          </w:p>
        </w:tc>
        <w:tc>
          <w:tcPr>
            <w:tcW w:w="217" w:type="dxa"/>
          </w:tcPr>
          <w:p w14:paraId="2417BF53" w14:textId="77777777" w:rsidR="002C0FD9" w:rsidRPr="00CA25CF" w:rsidRDefault="002C0FD9" w:rsidP="00CA25CF">
            <w:pPr>
              <w:rPr>
                <w:rFonts w:cs="Arial"/>
                <w:color w:val="FF0000"/>
                <w:sz w:val="21"/>
                <w:szCs w:val="21"/>
              </w:rPr>
            </w:pPr>
          </w:p>
        </w:tc>
        <w:tc>
          <w:tcPr>
            <w:tcW w:w="217" w:type="dxa"/>
          </w:tcPr>
          <w:p w14:paraId="3E139085" w14:textId="77777777" w:rsidR="002C0FD9" w:rsidRPr="00CA25CF" w:rsidRDefault="002C0FD9" w:rsidP="00CA25CF">
            <w:pPr>
              <w:rPr>
                <w:rFonts w:cs="Arial"/>
                <w:color w:val="FF0000"/>
                <w:sz w:val="21"/>
                <w:szCs w:val="21"/>
              </w:rPr>
            </w:pPr>
          </w:p>
        </w:tc>
        <w:tc>
          <w:tcPr>
            <w:tcW w:w="217" w:type="dxa"/>
          </w:tcPr>
          <w:p w14:paraId="0F9C0F18" w14:textId="77777777" w:rsidR="002C0FD9" w:rsidRPr="00CA25CF" w:rsidRDefault="002C0FD9" w:rsidP="00CA25CF">
            <w:pPr>
              <w:rPr>
                <w:rFonts w:cs="Arial"/>
                <w:color w:val="FF0000"/>
                <w:sz w:val="21"/>
                <w:szCs w:val="21"/>
              </w:rPr>
            </w:pPr>
          </w:p>
        </w:tc>
        <w:tc>
          <w:tcPr>
            <w:tcW w:w="217" w:type="dxa"/>
          </w:tcPr>
          <w:p w14:paraId="70FBB7D9" w14:textId="77777777" w:rsidR="002C0FD9" w:rsidRPr="00CA25CF" w:rsidRDefault="002C0FD9" w:rsidP="00CA25CF">
            <w:pPr>
              <w:rPr>
                <w:rFonts w:cs="Arial"/>
                <w:color w:val="FF0000"/>
                <w:sz w:val="21"/>
                <w:szCs w:val="21"/>
              </w:rPr>
            </w:pPr>
          </w:p>
        </w:tc>
        <w:tc>
          <w:tcPr>
            <w:tcW w:w="217" w:type="dxa"/>
          </w:tcPr>
          <w:p w14:paraId="03C8FF84" w14:textId="77777777" w:rsidR="002C0FD9" w:rsidRPr="00CA25CF" w:rsidRDefault="002C0FD9" w:rsidP="00CA25CF">
            <w:pPr>
              <w:rPr>
                <w:rFonts w:cs="Arial"/>
                <w:color w:val="FF0000"/>
                <w:sz w:val="21"/>
                <w:szCs w:val="21"/>
              </w:rPr>
            </w:pPr>
          </w:p>
        </w:tc>
        <w:tc>
          <w:tcPr>
            <w:tcW w:w="217" w:type="dxa"/>
          </w:tcPr>
          <w:p w14:paraId="50FF0BD9" w14:textId="77777777" w:rsidR="002C0FD9" w:rsidRPr="00CA25CF" w:rsidRDefault="002C0FD9" w:rsidP="00CA25CF">
            <w:pPr>
              <w:rPr>
                <w:rFonts w:cs="Arial"/>
                <w:color w:val="FF0000"/>
                <w:sz w:val="21"/>
                <w:szCs w:val="21"/>
              </w:rPr>
            </w:pPr>
          </w:p>
        </w:tc>
        <w:tc>
          <w:tcPr>
            <w:tcW w:w="217" w:type="dxa"/>
          </w:tcPr>
          <w:p w14:paraId="637653B4" w14:textId="77777777" w:rsidR="002C0FD9" w:rsidRPr="00CA25CF" w:rsidRDefault="002C0FD9" w:rsidP="00CA25CF">
            <w:pPr>
              <w:rPr>
                <w:rFonts w:cs="Arial"/>
                <w:color w:val="FF0000"/>
                <w:sz w:val="21"/>
                <w:szCs w:val="21"/>
              </w:rPr>
            </w:pPr>
          </w:p>
        </w:tc>
        <w:tc>
          <w:tcPr>
            <w:tcW w:w="217" w:type="dxa"/>
          </w:tcPr>
          <w:p w14:paraId="4D76125B" w14:textId="77777777" w:rsidR="002C0FD9" w:rsidRPr="00CA25CF" w:rsidRDefault="002C0FD9" w:rsidP="00CA25CF">
            <w:pPr>
              <w:rPr>
                <w:rFonts w:cs="Arial"/>
                <w:color w:val="FF0000"/>
                <w:sz w:val="21"/>
                <w:szCs w:val="21"/>
              </w:rPr>
            </w:pPr>
          </w:p>
        </w:tc>
        <w:tc>
          <w:tcPr>
            <w:tcW w:w="217" w:type="dxa"/>
          </w:tcPr>
          <w:p w14:paraId="45AB1176" w14:textId="77777777" w:rsidR="002C0FD9" w:rsidRPr="00CA25CF" w:rsidRDefault="002C0FD9" w:rsidP="00CA25CF">
            <w:pPr>
              <w:rPr>
                <w:rFonts w:cs="Arial"/>
                <w:color w:val="FF0000"/>
                <w:sz w:val="21"/>
                <w:szCs w:val="21"/>
              </w:rPr>
            </w:pPr>
          </w:p>
        </w:tc>
        <w:tc>
          <w:tcPr>
            <w:tcW w:w="217" w:type="dxa"/>
          </w:tcPr>
          <w:p w14:paraId="4EC9C4FE" w14:textId="77777777" w:rsidR="002C0FD9" w:rsidRPr="00CA25CF" w:rsidRDefault="002C0FD9" w:rsidP="00CA25CF">
            <w:pPr>
              <w:rPr>
                <w:rFonts w:cs="Arial"/>
                <w:color w:val="FF0000"/>
                <w:sz w:val="21"/>
                <w:szCs w:val="21"/>
              </w:rPr>
            </w:pPr>
          </w:p>
        </w:tc>
        <w:tc>
          <w:tcPr>
            <w:tcW w:w="217" w:type="dxa"/>
          </w:tcPr>
          <w:p w14:paraId="2D97180B" w14:textId="77777777" w:rsidR="002C0FD9" w:rsidRPr="00CA25CF" w:rsidRDefault="002C0FD9" w:rsidP="00CA25CF">
            <w:pPr>
              <w:rPr>
                <w:rFonts w:cs="Arial"/>
                <w:color w:val="FF0000"/>
                <w:sz w:val="21"/>
                <w:szCs w:val="21"/>
              </w:rPr>
            </w:pPr>
          </w:p>
        </w:tc>
        <w:tc>
          <w:tcPr>
            <w:tcW w:w="217" w:type="dxa"/>
          </w:tcPr>
          <w:p w14:paraId="18823AAF" w14:textId="77777777" w:rsidR="002C0FD9" w:rsidRPr="00CA25CF" w:rsidRDefault="002C0FD9" w:rsidP="00CA25CF">
            <w:pPr>
              <w:rPr>
                <w:rFonts w:cs="Arial"/>
                <w:color w:val="FF0000"/>
                <w:sz w:val="21"/>
                <w:szCs w:val="21"/>
              </w:rPr>
            </w:pPr>
          </w:p>
        </w:tc>
        <w:tc>
          <w:tcPr>
            <w:tcW w:w="217" w:type="dxa"/>
          </w:tcPr>
          <w:p w14:paraId="57121980" w14:textId="77777777" w:rsidR="002C0FD9" w:rsidRPr="00CA25CF" w:rsidRDefault="002C0FD9" w:rsidP="00CA25CF">
            <w:pPr>
              <w:rPr>
                <w:rFonts w:cs="Arial"/>
                <w:color w:val="FF0000"/>
                <w:sz w:val="21"/>
                <w:szCs w:val="21"/>
              </w:rPr>
            </w:pPr>
          </w:p>
        </w:tc>
        <w:tc>
          <w:tcPr>
            <w:tcW w:w="217" w:type="dxa"/>
          </w:tcPr>
          <w:p w14:paraId="6C6919BD" w14:textId="77777777" w:rsidR="002C0FD9" w:rsidRPr="00CA25CF" w:rsidRDefault="002C0FD9" w:rsidP="00CA25CF">
            <w:pPr>
              <w:rPr>
                <w:rFonts w:cs="Arial"/>
                <w:color w:val="FF0000"/>
                <w:sz w:val="21"/>
                <w:szCs w:val="21"/>
              </w:rPr>
            </w:pPr>
          </w:p>
        </w:tc>
        <w:tc>
          <w:tcPr>
            <w:tcW w:w="217" w:type="dxa"/>
          </w:tcPr>
          <w:p w14:paraId="170D6A7D" w14:textId="77777777" w:rsidR="002C0FD9" w:rsidRPr="00CA25CF" w:rsidRDefault="002C0FD9" w:rsidP="00CA25CF">
            <w:pPr>
              <w:rPr>
                <w:rFonts w:cs="Arial"/>
                <w:color w:val="FF0000"/>
                <w:sz w:val="21"/>
                <w:szCs w:val="21"/>
              </w:rPr>
            </w:pPr>
          </w:p>
        </w:tc>
        <w:tc>
          <w:tcPr>
            <w:tcW w:w="217" w:type="dxa"/>
          </w:tcPr>
          <w:p w14:paraId="78BAF66D" w14:textId="77777777" w:rsidR="002C0FD9" w:rsidRPr="00CA25CF" w:rsidRDefault="002C0FD9" w:rsidP="00CA25CF">
            <w:pPr>
              <w:rPr>
                <w:rFonts w:cs="Arial"/>
                <w:color w:val="FF0000"/>
                <w:sz w:val="21"/>
                <w:szCs w:val="21"/>
              </w:rPr>
            </w:pPr>
          </w:p>
        </w:tc>
        <w:tc>
          <w:tcPr>
            <w:tcW w:w="217" w:type="dxa"/>
          </w:tcPr>
          <w:p w14:paraId="378CBC91" w14:textId="77777777" w:rsidR="002C0FD9" w:rsidRPr="00CA25CF" w:rsidRDefault="002C0FD9" w:rsidP="00CA25CF">
            <w:pPr>
              <w:rPr>
                <w:rFonts w:cs="Arial"/>
                <w:color w:val="FF0000"/>
                <w:sz w:val="21"/>
                <w:szCs w:val="21"/>
              </w:rPr>
            </w:pPr>
          </w:p>
        </w:tc>
        <w:tc>
          <w:tcPr>
            <w:tcW w:w="217" w:type="dxa"/>
          </w:tcPr>
          <w:p w14:paraId="2D2AE204" w14:textId="77777777" w:rsidR="002C0FD9" w:rsidRPr="00CA25CF" w:rsidRDefault="002C0FD9" w:rsidP="00CA25CF">
            <w:pPr>
              <w:rPr>
                <w:rFonts w:cs="Arial"/>
                <w:color w:val="FF0000"/>
                <w:sz w:val="21"/>
                <w:szCs w:val="21"/>
              </w:rPr>
            </w:pPr>
          </w:p>
        </w:tc>
        <w:tc>
          <w:tcPr>
            <w:tcW w:w="217" w:type="dxa"/>
          </w:tcPr>
          <w:p w14:paraId="612D7709" w14:textId="77777777" w:rsidR="002C0FD9" w:rsidRPr="00CA25CF" w:rsidRDefault="002C0FD9" w:rsidP="00CA25CF">
            <w:pPr>
              <w:rPr>
                <w:rFonts w:cs="Arial"/>
                <w:color w:val="FF0000"/>
                <w:sz w:val="21"/>
                <w:szCs w:val="21"/>
              </w:rPr>
            </w:pPr>
          </w:p>
        </w:tc>
        <w:tc>
          <w:tcPr>
            <w:tcW w:w="217" w:type="dxa"/>
          </w:tcPr>
          <w:p w14:paraId="283C8E54" w14:textId="77777777" w:rsidR="002C0FD9" w:rsidRPr="00CA25CF" w:rsidRDefault="002C0FD9" w:rsidP="00CA25CF">
            <w:pPr>
              <w:rPr>
                <w:rFonts w:cs="Arial"/>
                <w:color w:val="FF0000"/>
                <w:sz w:val="21"/>
                <w:szCs w:val="21"/>
              </w:rPr>
            </w:pPr>
          </w:p>
        </w:tc>
        <w:tc>
          <w:tcPr>
            <w:tcW w:w="217" w:type="dxa"/>
          </w:tcPr>
          <w:p w14:paraId="362D023C" w14:textId="77777777" w:rsidR="002C0FD9" w:rsidRPr="00CA25CF" w:rsidRDefault="002C0FD9" w:rsidP="00CA25CF">
            <w:pPr>
              <w:rPr>
                <w:rFonts w:cs="Arial"/>
                <w:color w:val="FF0000"/>
                <w:sz w:val="21"/>
                <w:szCs w:val="21"/>
              </w:rPr>
            </w:pPr>
          </w:p>
        </w:tc>
        <w:tc>
          <w:tcPr>
            <w:tcW w:w="217" w:type="dxa"/>
          </w:tcPr>
          <w:p w14:paraId="77BB89D7" w14:textId="77777777" w:rsidR="002C0FD9" w:rsidRPr="00CA25CF" w:rsidRDefault="002C0FD9" w:rsidP="00CA25CF">
            <w:pPr>
              <w:rPr>
                <w:rFonts w:cs="Arial"/>
                <w:color w:val="FF0000"/>
                <w:sz w:val="21"/>
                <w:szCs w:val="21"/>
              </w:rPr>
            </w:pPr>
          </w:p>
        </w:tc>
        <w:tc>
          <w:tcPr>
            <w:tcW w:w="217" w:type="dxa"/>
          </w:tcPr>
          <w:p w14:paraId="70A3F955" w14:textId="77777777" w:rsidR="002C0FD9" w:rsidRPr="00CA25CF" w:rsidRDefault="002C0FD9" w:rsidP="00CA25CF">
            <w:pPr>
              <w:rPr>
                <w:rFonts w:cs="Arial"/>
                <w:color w:val="FF0000"/>
                <w:sz w:val="21"/>
                <w:szCs w:val="21"/>
              </w:rPr>
            </w:pPr>
          </w:p>
        </w:tc>
        <w:tc>
          <w:tcPr>
            <w:tcW w:w="217" w:type="dxa"/>
          </w:tcPr>
          <w:p w14:paraId="5DA13839" w14:textId="77777777" w:rsidR="002C0FD9" w:rsidRPr="00CA25CF" w:rsidRDefault="002C0FD9" w:rsidP="00CA25CF">
            <w:pPr>
              <w:rPr>
                <w:rFonts w:cs="Arial"/>
                <w:color w:val="FF0000"/>
                <w:sz w:val="21"/>
                <w:szCs w:val="21"/>
              </w:rPr>
            </w:pPr>
          </w:p>
        </w:tc>
        <w:tc>
          <w:tcPr>
            <w:tcW w:w="217" w:type="dxa"/>
          </w:tcPr>
          <w:p w14:paraId="0CF6D6C6" w14:textId="77777777" w:rsidR="002C0FD9" w:rsidRPr="00CA25CF" w:rsidRDefault="002C0FD9" w:rsidP="00CA25CF">
            <w:pPr>
              <w:rPr>
                <w:rFonts w:cs="Arial"/>
                <w:color w:val="FF0000"/>
                <w:sz w:val="21"/>
                <w:szCs w:val="21"/>
              </w:rPr>
            </w:pPr>
          </w:p>
        </w:tc>
        <w:tc>
          <w:tcPr>
            <w:tcW w:w="217" w:type="dxa"/>
          </w:tcPr>
          <w:p w14:paraId="749A2B44" w14:textId="77777777" w:rsidR="002C0FD9" w:rsidRPr="00CA25CF" w:rsidRDefault="002C0FD9" w:rsidP="00CA25CF">
            <w:pPr>
              <w:rPr>
                <w:rFonts w:cs="Arial"/>
                <w:color w:val="FF0000"/>
                <w:sz w:val="21"/>
                <w:szCs w:val="21"/>
              </w:rPr>
            </w:pPr>
          </w:p>
        </w:tc>
        <w:tc>
          <w:tcPr>
            <w:tcW w:w="217" w:type="dxa"/>
          </w:tcPr>
          <w:p w14:paraId="597AB887" w14:textId="77777777" w:rsidR="002C0FD9" w:rsidRPr="00CA25CF" w:rsidRDefault="002C0FD9" w:rsidP="00CA25CF">
            <w:pPr>
              <w:rPr>
                <w:rFonts w:cs="Arial"/>
                <w:color w:val="FF0000"/>
                <w:sz w:val="21"/>
                <w:szCs w:val="21"/>
              </w:rPr>
            </w:pPr>
          </w:p>
        </w:tc>
      </w:tr>
      <w:tr w:rsidR="002C0FD9" w:rsidRPr="00A16219" w14:paraId="70EAF480" w14:textId="77777777" w:rsidTr="002C0FD9">
        <w:trPr>
          <w:trHeight w:val="635"/>
        </w:trPr>
        <w:tc>
          <w:tcPr>
            <w:tcW w:w="515" w:type="dxa"/>
          </w:tcPr>
          <w:p w14:paraId="0309E405" w14:textId="77777777" w:rsidR="002C0FD9" w:rsidRPr="00CA25CF" w:rsidRDefault="002C0FD9" w:rsidP="00CA25CF">
            <w:pPr>
              <w:rPr>
                <w:rFonts w:cs="Arial"/>
                <w:color w:val="FF0000"/>
                <w:sz w:val="21"/>
                <w:szCs w:val="21"/>
              </w:rPr>
            </w:pPr>
          </w:p>
        </w:tc>
        <w:tc>
          <w:tcPr>
            <w:tcW w:w="217" w:type="dxa"/>
          </w:tcPr>
          <w:p w14:paraId="2D7D35C3" w14:textId="77777777" w:rsidR="002C0FD9" w:rsidRPr="00CA25CF" w:rsidRDefault="002C0FD9" w:rsidP="00CA25CF">
            <w:pPr>
              <w:rPr>
                <w:rFonts w:cs="Arial"/>
                <w:color w:val="FF0000"/>
                <w:sz w:val="21"/>
                <w:szCs w:val="21"/>
              </w:rPr>
            </w:pPr>
          </w:p>
        </w:tc>
        <w:tc>
          <w:tcPr>
            <w:tcW w:w="217" w:type="dxa"/>
          </w:tcPr>
          <w:p w14:paraId="3784382F" w14:textId="77777777" w:rsidR="002C0FD9" w:rsidRPr="00CA25CF" w:rsidRDefault="002C0FD9" w:rsidP="00CA25CF">
            <w:pPr>
              <w:rPr>
                <w:rFonts w:cs="Arial"/>
                <w:color w:val="FF0000"/>
                <w:sz w:val="21"/>
                <w:szCs w:val="21"/>
              </w:rPr>
            </w:pPr>
          </w:p>
        </w:tc>
        <w:tc>
          <w:tcPr>
            <w:tcW w:w="217" w:type="dxa"/>
          </w:tcPr>
          <w:p w14:paraId="666C3259" w14:textId="77777777" w:rsidR="002C0FD9" w:rsidRPr="00CA25CF" w:rsidRDefault="002C0FD9" w:rsidP="00CA25CF">
            <w:pPr>
              <w:rPr>
                <w:rFonts w:cs="Arial"/>
                <w:color w:val="FF0000"/>
                <w:sz w:val="21"/>
                <w:szCs w:val="21"/>
              </w:rPr>
            </w:pPr>
          </w:p>
        </w:tc>
        <w:tc>
          <w:tcPr>
            <w:tcW w:w="217" w:type="dxa"/>
          </w:tcPr>
          <w:p w14:paraId="5FD460EA" w14:textId="77777777" w:rsidR="002C0FD9" w:rsidRPr="00CA25CF" w:rsidRDefault="002C0FD9" w:rsidP="00CA25CF">
            <w:pPr>
              <w:rPr>
                <w:rFonts w:cs="Arial"/>
                <w:color w:val="FF0000"/>
                <w:sz w:val="21"/>
                <w:szCs w:val="21"/>
              </w:rPr>
            </w:pPr>
          </w:p>
        </w:tc>
        <w:tc>
          <w:tcPr>
            <w:tcW w:w="217" w:type="dxa"/>
          </w:tcPr>
          <w:p w14:paraId="7196D004" w14:textId="77777777" w:rsidR="002C0FD9" w:rsidRPr="00CA25CF" w:rsidRDefault="002C0FD9" w:rsidP="00CA25CF">
            <w:pPr>
              <w:rPr>
                <w:rFonts w:cs="Arial"/>
                <w:color w:val="FF0000"/>
                <w:sz w:val="21"/>
                <w:szCs w:val="21"/>
              </w:rPr>
            </w:pPr>
          </w:p>
        </w:tc>
        <w:tc>
          <w:tcPr>
            <w:tcW w:w="217" w:type="dxa"/>
          </w:tcPr>
          <w:p w14:paraId="41B70F95" w14:textId="77777777" w:rsidR="002C0FD9" w:rsidRPr="00CA25CF" w:rsidRDefault="002C0FD9" w:rsidP="00CA25CF">
            <w:pPr>
              <w:rPr>
                <w:rFonts w:cs="Arial"/>
                <w:color w:val="FF0000"/>
                <w:sz w:val="21"/>
                <w:szCs w:val="21"/>
              </w:rPr>
            </w:pPr>
          </w:p>
        </w:tc>
        <w:tc>
          <w:tcPr>
            <w:tcW w:w="217" w:type="dxa"/>
          </w:tcPr>
          <w:p w14:paraId="26DD90C9" w14:textId="77777777" w:rsidR="002C0FD9" w:rsidRPr="00CA25CF" w:rsidRDefault="002C0FD9" w:rsidP="00CA25CF">
            <w:pPr>
              <w:rPr>
                <w:rFonts w:cs="Arial"/>
                <w:color w:val="FF0000"/>
                <w:sz w:val="21"/>
                <w:szCs w:val="21"/>
              </w:rPr>
            </w:pPr>
          </w:p>
        </w:tc>
        <w:tc>
          <w:tcPr>
            <w:tcW w:w="217" w:type="dxa"/>
          </w:tcPr>
          <w:p w14:paraId="1D0837B4" w14:textId="77777777" w:rsidR="002C0FD9" w:rsidRPr="00CA25CF" w:rsidRDefault="002C0FD9" w:rsidP="00CA25CF">
            <w:pPr>
              <w:rPr>
                <w:rFonts w:cs="Arial"/>
                <w:color w:val="FF0000"/>
                <w:sz w:val="21"/>
                <w:szCs w:val="21"/>
              </w:rPr>
            </w:pPr>
          </w:p>
        </w:tc>
        <w:tc>
          <w:tcPr>
            <w:tcW w:w="217" w:type="dxa"/>
          </w:tcPr>
          <w:p w14:paraId="5F4DAF35" w14:textId="77777777" w:rsidR="002C0FD9" w:rsidRPr="00CA25CF" w:rsidRDefault="002C0FD9" w:rsidP="00CA25CF">
            <w:pPr>
              <w:rPr>
                <w:rFonts w:cs="Arial"/>
                <w:color w:val="FF0000"/>
                <w:sz w:val="21"/>
                <w:szCs w:val="21"/>
              </w:rPr>
            </w:pPr>
          </w:p>
        </w:tc>
        <w:tc>
          <w:tcPr>
            <w:tcW w:w="217" w:type="dxa"/>
          </w:tcPr>
          <w:p w14:paraId="424774A6" w14:textId="77777777" w:rsidR="002C0FD9" w:rsidRPr="00CA25CF" w:rsidRDefault="002C0FD9" w:rsidP="00CA25CF">
            <w:pPr>
              <w:rPr>
                <w:rFonts w:cs="Arial"/>
                <w:color w:val="FF0000"/>
                <w:sz w:val="21"/>
                <w:szCs w:val="21"/>
              </w:rPr>
            </w:pPr>
          </w:p>
        </w:tc>
        <w:tc>
          <w:tcPr>
            <w:tcW w:w="217" w:type="dxa"/>
          </w:tcPr>
          <w:p w14:paraId="4A52C977" w14:textId="77777777" w:rsidR="002C0FD9" w:rsidRPr="00CA25CF" w:rsidRDefault="002C0FD9" w:rsidP="00CA25CF">
            <w:pPr>
              <w:rPr>
                <w:rFonts w:cs="Arial"/>
                <w:color w:val="FF0000"/>
                <w:sz w:val="21"/>
                <w:szCs w:val="21"/>
              </w:rPr>
            </w:pPr>
          </w:p>
        </w:tc>
        <w:tc>
          <w:tcPr>
            <w:tcW w:w="217" w:type="dxa"/>
          </w:tcPr>
          <w:p w14:paraId="6507A6CE" w14:textId="77777777" w:rsidR="002C0FD9" w:rsidRPr="00CA25CF" w:rsidRDefault="002C0FD9" w:rsidP="00CA25CF">
            <w:pPr>
              <w:rPr>
                <w:rFonts w:cs="Arial"/>
                <w:color w:val="FF0000"/>
                <w:sz w:val="21"/>
                <w:szCs w:val="21"/>
              </w:rPr>
            </w:pPr>
          </w:p>
        </w:tc>
        <w:tc>
          <w:tcPr>
            <w:tcW w:w="217" w:type="dxa"/>
          </w:tcPr>
          <w:p w14:paraId="71971F19" w14:textId="77777777" w:rsidR="002C0FD9" w:rsidRPr="00CA25CF" w:rsidRDefault="002C0FD9" w:rsidP="00CA25CF">
            <w:pPr>
              <w:rPr>
                <w:rFonts w:cs="Arial"/>
                <w:color w:val="FF0000"/>
                <w:sz w:val="21"/>
                <w:szCs w:val="21"/>
              </w:rPr>
            </w:pPr>
          </w:p>
        </w:tc>
        <w:tc>
          <w:tcPr>
            <w:tcW w:w="217" w:type="dxa"/>
          </w:tcPr>
          <w:p w14:paraId="4D91025C" w14:textId="77777777" w:rsidR="002C0FD9" w:rsidRPr="00CA25CF" w:rsidRDefault="002C0FD9" w:rsidP="00CA25CF">
            <w:pPr>
              <w:rPr>
                <w:rFonts w:cs="Arial"/>
                <w:color w:val="FF0000"/>
                <w:sz w:val="21"/>
                <w:szCs w:val="21"/>
              </w:rPr>
            </w:pPr>
          </w:p>
        </w:tc>
        <w:tc>
          <w:tcPr>
            <w:tcW w:w="217" w:type="dxa"/>
          </w:tcPr>
          <w:p w14:paraId="4F145C10" w14:textId="77777777" w:rsidR="002C0FD9" w:rsidRPr="00CA25CF" w:rsidRDefault="002C0FD9" w:rsidP="00CA25CF">
            <w:pPr>
              <w:rPr>
                <w:rFonts w:cs="Arial"/>
                <w:color w:val="FF0000"/>
                <w:sz w:val="21"/>
                <w:szCs w:val="21"/>
              </w:rPr>
            </w:pPr>
          </w:p>
        </w:tc>
        <w:tc>
          <w:tcPr>
            <w:tcW w:w="217" w:type="dxa"/>
          </w:tcPr>
          <w:p w14:paraId="5B1CA714" w14:textId="77777777" w:rsidR="002C0FD9" w:rsidRPr="00CA25CF" w:rsidRDefault="002C0FD9" w:rsidP="00CA25CF">
            <w:pPr>
              <w:rPr>
                <w:rFonts w:cs="Arial"/>
                <w:color w:val="FF0000"/>
                <w:sz w:val="21"/>
                <w:szCs w:val="21"/>
              </w:rPr>
            </w:pPr>
          </w:p>
        </w:tc>
        <w:tc>
          <w:tcPr>
            <w:tcW w:w="217" w:type="dxa"/>
          </w:tcPr>
          <w:p w14:paraId="75429F3A" w14:textId="77777777" w:rsidR="002C0FD9" w:rsidRPr="00CA25CF" w:rsidRDefault="002C0FD9" w:rsidP="00CA25CF">
            <w:pPr>
              <w:rPr>
                <w:rFonts w:cs="Arial"/>
                <w:color w:val="FF0000"/>
                <w:sz w:val="21"/>
                <w:szCs w:val="21"/>
              </w:rPr>
            </w:pPr>
          </w:p>
        </w:tc>
        <w:tc>
          <w:tcPr>
            <w:tcW w:w="217" w:type="dxa"/>
          </w:tcPr>
          <w:p w14:paraId="17E362AB" w14:textId="77777777" w:rsidR="002C0FD9" w:rsidRPr="00CA25CF" w:rsidRDefault="002C0FD9" w:rsidP="00CA25CF">
            <w:pPr>
              <w:rPr>
                <w:rFonts w:cs="Arial"/>
                <w:color w:val="FF0000"/>
                <w:sz w:val="21"/>
                <w:szCs w:val="21"/>
              </w:rPr>
            </w:pPr>
          </w:p>
        </w:tc>
        <w:tc>
          <w:tcPr>
            <w:tcW w:w="217" w:type="dxa"/>
          </w:tcPr>
          <w:p w14:paraId="094CF17F" w14:textId="77777777" w:rsidR="002C0FD9" w:rsidRPr="00CA25CF" w:rsidRDefault="002C0FD9" w:rsidP="00CA25CF">
            <w:pPr>
              <w:rPr>
                <w:rFonts w:cs="Arial"/>
                <w:color w:val="FF0000"/>
                <w:sz w:val="21"/>
                <w:szCs w:val="21"/>
              </w:rPr>
            </w:pPr>
          </w:p>
        </w:tc>
        <w:tc>
          <w:tcPr>
            <w:tcW w:w="217" w:type="dxa"/>
          </w:tcPr>
          <w:p w14:paraId="67D95187" w14:textId="77777777" w:rsidR="002C0FD9" w:rsidRPr="00CA25CF" w:rsidRDefault="002C0FD9" w:rsidP="00CA25CF">
            <w:pPr>
              <w:rPr>
                <w:rFonts w:cs="Arial"/>
                <w:color w:val="FF0000"/>
                <w:sz w:val="21"/>
                <w:szCs w:val="21"/>
              </w:rPr>
            </w:pPr>
          </w:p>
        </w:tc>
        <w:tc>
          <w:tcPr>
            <w:tcW w:w="217" w:type="dxa"/>
          </w:tcPr>
          <w:p w14:paraId="17199152" w14:textId="77777777" w:rsidR="002C0FD9" w:rsidRPr="00CA25CF" w:rsidRDefault="002C0FD9" w:rsidP="00CA25CF">
            <w:pPr>
              <w:rPr>
                <w:rFonts w:cs="Arial"/>
                <w:color w:val="FF0000"/>
                <w:sz w:val="21"/>
                <w:szCs w:val="21"/>
              </w:rPr>
            </w:pPr>
          </w:p>
        </w:tc>
        <w:tc>
          <w:tcPr>
            <w:tcW w:w="217" w:type="dxa"/>
          </w:tcPr>
          <w:p w14:paraId="4AE8B222" w14:textId="77777777" w:rsidR="002C0FD9" w:rsidRPr="00CA25CF" w:rsidRDefault="002C0FD9" w:rsidP="00CA25CF">
            <w:pPr>
              <w:rPr>
                <w:rFonts w:cs="Arial"/>
                <w:color w:val="FF0000"/>
                <w:sz w:val="21"/>
                <w:szCs w:val="21"/>
              </w:rPr>
            </w:pPr>
          </w:p>
        </w:tc>
        <w:tc>
          <w:tcPr>
            <w:tcW w:w="217" w:type="dxa"/>
          </w:tcPr>
          <w:p w14:paraId="5C0696CB" w14:textId="77777777" w:rsidR="002C0FD9" w:rsidRPr="00CA25CF" w:rsidRDefault="002C0FD9" w:rsidP="00CA25CF">
            <w:pPr>
              <w:rPr>
                <w:rFonts w:cs="Arial"/>
                <w:color w:val="FF0000"/>
                <w:sz w:val="21"/>
                <w:szCs w:val="21"/>
              </w:rPr>
            </w:pPr>
          </w:p>
        </w:tc>
        <w:tc>
          <w:tcPr>
            <w:tcW w:w="217" w:type="dxa"/>
          </w:tcPr>
          <w:p w14:paraId="03D3DECA" w14:textId="77777777" w:rsidR="002C0FD9" w:rsidRPr="00CA25CF" w:rsidRDefault="002C0FD9" w:rsidP="00CA25CF">
            <w:pPr>
              <w:rPr>
                <w:rFonts w:cs="Arial"/>
                <w:color w:val="FF0000"/>
                <w:sz w:val="21"/>
                <w:szCs w:val="21"/>
              </w:rPr>
            </w:pPr>
          </w:p>
        </w:tc>
        <w:tc>
          <w:tcPr>
            <w:tcW w:w="217" w:type="dxa"/>
          </w:tcPr>
          <w:p w14:paraId="72169437" w14:textId="77777777" w:rsidR="002C0FD9" w:rsidRPr="00CA25CF" w:rsidRDefault="002C0FD9" w:rsidP="00CA25CF">
            <w:pPr>
              <w:rPr>
                <w:rFonts w:cs="Arial"/>
                <w:color w:val="FF0000"/>
                <w:sz w:val="21"/>
                <w:szCs w:val="21"/>
              </w:rPr>
            </w:pPr>
          </w:p>
        </w:tc>
        <w:tc>
          <w:tcPr>
            <w:tcW w:w="217" w:type="dxa"/>
          </w:tcPr>
          <w:p w14:paraId="674101F5" w14:textId="77777777" w:rsidR="002C0FD9" w:rsidRPr="00CA25CF" w:rsidRDefault="002C0FD9" w:rsidP="00CA25CF">
            <w:pPr>
              <w:rPr>
                <w:rFonts w:cs="Arial"/>
                <w:color w:val="FF0000"/>
                <w:sz w:val="21"/>
                <w:szCs w:val="21"/>
              </w:rPr>
            </w:pPr>
          </w:p>
        </w:tc>
        <w:tc>
          <w:tcPr>
            <w:tcW w:w="217" w:type="dxa"/>
          </w:tcPr>
          <w:p w14:paraId="43F4F722" w14:textId="77777777" w:rsidR="002C0FD9" w:rsidRPr="00CA25CF" w:rsidRDefault="002C0FD9" w:rsidP="00CA25CF">
            <w:pPr>
              <w:rPr>
                <w:rFonts w:cs="Arial"/>
                <w:color w:val="FF0000"/>
                <w:sz w:val="21"/>
                <w:szCs w:val="21"/>
              </w:rPr>
            </w:pPr>
          </w:p>
        </w:tc>
        <w:tc>
          <w:tcPr>
            <w:tcW w:w="217" w:type="dxa"/>
          </w:tcPr>
          <w:p w14:paraId="27B9B91B" w14:textId="77777777" w:rsidR="002C0FD9" w:rsidRPr="00CA25CF" w:rsidRDefault="002C0FD9" w:rsidP="00CA25CF">
            <w:pPr>
              <w:rPr>
                <w:rFonts w:cs="Arial"/>
                <w:color w:val="FF0000"/>
                <w:sz w:val="21"/>
                <w:szCs w:val="21"/>
              </w:rPr>
            </w:pPr>
          </w:p>
        </w:tc>
        <w:tc>
          <w:tcPr>
            <w:tcW w:w="217" w:type="dxa"/>
          </w:tcPr>
          <w:p w14:paraId="1AFF0DEA" w14:textId="77777777" w:rsidR="002C0FD9" w:rsidRPr="00CA25CF" w:rsidRDefault="002C0FD9" w:rsidP="00CA25CF">
            <w:pPr>
              <w:rPr>
                <w:rFonts w:cs="Arial"/>
                <w:color w:val="FF0000"/>
                <w:sz w:val="21"/>
                <w:szCs w:val="21"/>
              </w:rPr>
            </w:pPr>
          </w:p>
        </w:tc>
        <w:tc>
          <w:tcPr>
            <w:tcW w:w="217" w:type="dxa"/>
          </w:tcPr>
          <w:p w14:paraId="45C579F6" w14:textId="77777777" w:rsidR="002C0FD9" w:rsidRPr="00CA25CF" w:rsidRDefault="002C0FD9" w:rsidP="00CA25CF">
            <w:pPr>
              <w:rPr>
                <w:rFonts w:cs="Arial"/>
                <w:color w:val="FF0000"/>
                <w:sz w:val="21"/>
                <w:szCs w:val="21"/>
              </w:rPr>
            </w:pPr>
          </w:p>
        </w:tc>
        <w:tc>
          <w:tcPr>
            <w:tcW w:w="217" w:type="dxa"/>
          </w:tcPr>
          <w:p w14:paraId="43E4B5CC" w14:textId="77777777" w:rsidR="002C0FD9" w:rsidRPr="00CA25CF" w:rsidRDefault="002C0FD9" w:rsidP="00CA25CF">
            <w:pPr>
              <w:rPr>
                <w:rFonts w:cs="Arial"/>
                <w:color w:val="FF0000"/>
                <w:sz w:val="21"/>
                <w:szCs w:val="21"/>
              </w:rPr>
            </w:pPr>
          </w:p>
        </w:tc>
        <w:tc>
          <w:tcPr>
            <w:tcW w:w="217" w:type="dxa"/>
          </w:tcPr>
          <w:p w14:paraId="381F2E5F" w14:textId="77777777" w:rsidR="002C0FD9" w:rsidRPr="00CA25CF" w:rsidRDefault="002C0FD9" w:rsidP="00CA25CF">
            <w:pPr>
              <w:rPr>
                <w:rFonts w:cs="Arial"/>
                <w:color w:val="FF0000"/>
                <w:sz w:val="21"/>
                <w:szCs w:val="21"/>
              </w:rPr>
            </w:pPr>
          </w:p>
        </w:tc>
        <w:tc>
          <w:tcPr>
            <w:tcW w:w="217" w:type="dxa"/>
          </w:tcPr>
          <w:p w14:paraId="1F42D57F" w14:textId="77777777" w:rsidR="002C0FD9" w:rsidRPr="00CA25CF" w:rsidRDefault="002C0FD9" w:rsidP="00CA25CF">
            <w:pPr>
              <w:rPr>
                <w:rFonts w:cs="Arial"/>
                <w:color w:val="FF0000"/>
                <w:sz w:val="21"/>
                <w:szCs w:val="21"/>
              </w:rPr>
            </w:pPr>
          </w:p>
        </w:tc>
        <w:tc>
          <w:tcPr>
            <w:tcW w:w="217" w:type="dxa"/>
          </w:tcPr>
          <w:p w14:paraId="62051A96" w14:textId="77777777" w:rsidR="002C0FD9" w:rsidRPr="00CA25CF" w:rsidRDefault="002C0FD9" w:rsidP="00CA25CF">
            <w:pPr>
              <w:rPr>
                <w:rFonts w:cs="Arial"/>
                <w:color w:val="FF0000"/>
                <w:sz w:val="21"/>
                <w:szCs w:val="21"/>
              </w:rPr>
            </w:pPr>
          </w:p>
        </w:tc>
        <w:tc>
          <w:tcPr>
            <w:tcW w:w="217" w:type="dxa"/>
          </w:tcPr>
          <w:p w14:paraId="78D9E832" w14:textId="77777777" w:rsidR="002C0FD9" w:rsidRPr="00CA25CF" w:rsidRDefault="002C0FD9" w:rsidP="00CA25CF">
            <w:pPr>
              <w:rPr>
                <w:rFonts w:cs="Arial"/>
                <w:color w:val="FF0000"/>
                <w:sz w:val="21"/>
                <w:szCs w:val="21"/>
              </w:rPr>
            </w:pPr>
          </w:p>
        </w:tc>
        <w:tc>
          <w:tcPr>
            <w:tcW w:w="217" w:type="dxa"/>
          </w:tcPr>
          <w:p w14:paraId="5AADC218" w14:textId="77777777" w:rsidR="002C0FD9" w:rsidRPr="00CA25CF" w:rsidRDefault="002C0FD9" w:rsidP="00CA25CF">
            <w:pPr>
              <w:rPr>
                <w:rFonts w:cs="Arial"/>
                <w:color w:val="FF0000"/>
                <w:sz w:val="21"/>
                <w:szCs w:val="21"/>
              </w:rPr>
            </w:pPr>
          </w:p>
        </w:tc>
        <w:tc>
          <w:tcPr>
            <w:tcW w:w="217" w:type="dxa"/>
          </w:tcPr>
          <w:p w14:paraId="56FBFD31" w14:textId="77777777" w:rsidR="002C0FD9" w:rsidRPr="00CA25CF" w:rsidRDefault="002C0FD9" w:rsidP="00CA25CF">
            <w:pPr>
              <w:rPr>
                <w:rFonts w:cs="Arial"/>
                <w:color w:val="FF0000"/>
                <w:sz w:val="21"/>
                <w:szCs w:val="21"/>
              </w:rPr>
            </w:pPr>
          </w:p>
        </w:tc>
        <w:tc>
          <w:tcPr>
            <w:tcW w:w="217" w:type="dxa"/>
          </w:tcPr>
          <w:p w14:paraId="1C2D1EEA" w14:textId="77777777" w:rsidR="002C0FD9" w:rsidRPr="00CA25CF" w:rsidRDefault="002C0FD9" w:rsidP="00CA25CF">
            <w:pPr>
              <w:rPr>
                <w:rFonts w:cs="Arial"/>
                <w:color w:val="FF0000"/>
                <w:sz w:val="21"/>
                <w:szCs w:val="21"/>
              </w:rPr>
            </w:pPr>
          </w:p>
        </w:tc>
        <w:tc>
          <w:tcPr>
            <w:tcW w:w="217" w:type="dxa"/>
          </w:tcPr>
          <w:p w14:paraId="0A07AFE2" w14:textId="77777777" w:rsidR="002C0FD9" w:rsidRPr="00CA25CF" w:rsidRDefault="002C0FD9" w:rsidP="00CA25CF">
            <w:pPr>
              <w:rPr>
                <w:rFonts w:cs="Arial"/>
                <w:color w:val="FF0000"/>
                <w:sz w:val="21"/>
                <w:szCs w:val="21"/>
              </w:rPr>
            </w:pPr>
          </w:p>
        </w:tc>
        <w:tc>
          <w:tcPr>
            <w:tcW w:w="217" w:type="dxa"/>
          </w:tcPr>
          <w:p w14:paraId="63F31F68" w14:textId="77777777" w:rsidR="002C0FD9" w:rsidRPr="00CA25CF" w:rsidRDefault="002C0FD9" w:rsidP="00CA25CF">
            <w:pPr>
              <w:rPr>
                <w:rFonts w:cs="Arial"/>
                <w:color w:val="FF0000"/>
                <w:sz w:val="21"/>
                <w:szCs w:val="21"/>
              </w:rPr>
            </w:pPr>
          </w:p>
        </w:tc>
        <w:tc>
          <w:tcPr>
            <w:tcW w:w="217" w:type="dxa"/>
          </w:tcPr>
          <w:p w14:paraId="0108BC5D" w14:textId="77777777" w:rsidR="002C0FD9" w:rsidRPr="00CA25CF" w:rsidRDefault="002C0FD9" w:rsidP="00CA25CF">
            <w:pPr>
              <w:rPr>
                <w:rFonts w:cs="Arial"/>
                <w:color w:val="FF0000"/>
                <w:sz w:val="21"/>
                <w:szCs w:val="21"/>
              </w:rPr>
            </w:pPr>
          </w:p>
        </w:tc>
        <w:tc>
          <w:tcPr>
            <w:tcW w:w="217" w:type="dxa"/>
          </w:tcPr>
          <w:p w14:paraId="472EFE9F" w14:textId="77777777" w:rsidR="002C0FD9" w:rsidRPr="00CA25CF" w:rsidRDefault="002C0FD9" w:rsidP="00CA25CF">
            <w:pPr>
              <w:rPr>
                <w:rFonts w:cs="Arial"/>
                <w:color w:val="FF0000"/>
                <w:sz w:val="21"/>
                <w:szCs w:val="21"/>
              </w:rPr>
            </w:pPr>
          </w:p>
        </w:tc>
      </w:tr>
      <w:tr w:rsidR="002C0FD9" w:rsidRPr="00A16219" w14:paraId="0E2E5BB1" w14:textId="77777777" w:rsidTr="002C0FD9">
        <w:trPr>
          <w:trHeight w:val="635"/>
        </w:trPr>
        <w:tc>
          <w:tcPr>
            <w:tcW w:w="515" w:type="dxa"/>
          </w:tcPr>
          <w:p w14:paraId="00B2B689" w14:textId="77777777" w:rsidR="002C0FD9" w:rsidRPr="00CA25CF" w:rsidRDefault="002C0FD9" w:rsidP="00CA25CF">
            <w:pPr>
              <w:rPr>
                <w:rFonts w:cs="Arial"/>
                <w:color w:val="FF0000"/>
                <w:sz w:val="21"/>
                <w:szCs w:val="21"/>
              </w:rPr>
            </w:pPr>
          </w:p>
        </w:tc>
        <w:tc>
          <w:tcPr>
            <w:tcW w:w="217" w:type="dxa"/>
          </w:tcPr>
          <w:p w14:paraId="631145C3" w14:textId="77777777" w:rsidR="002C0FD9" w:rsidRPr="00CA25CF" w:rsidRDefault="002C0FD9" w:rsidP="00CA25CF">
            <w:pPr>
              <w:rPr>
                <w:rFonts w:cs="Arial"/>
                <w:color w:val="FF0000"/>
                <w:sz w:val="21"/>
                <w:szCs w:val="21"/>
              </w:rPr>
            </w:pPr>
          </w:p>
        </w:tc>
        <w:tc>
          <w:tcPr>
            <w:tcW w:w="217" w:type="dxa"/>
          </w:tcPr>
          <w:p w14:paraId="28AE3930" w14:textId="77777777" w:rsidR="002C0FD9" w:rsidRPr="00CA25CF" w:rsidRDefault="002C0FD9" w:rsidP="00CA25CF">
            <w:pPr>
              <w:rPr>
                <w:rFonts w:cs="Arial"/>
                <w:color w:val="FF0000"/>
                <w:sz w:val="21"/>
                <w:szCs w:val="21"/>
              </w:rPr>
            </w:pPr>
          </w:p>
        </w:tc>
        <w:tc>
          <w:tcPr>
            <w:tcW w:w="217" w:type="dxa"/>
          </w:tcPr>
          <w:p w14:paraId="3ED4A23B" w14:textId="77777777" w:rsidR="002C0FD9" w:rsidRPr="00CA25CF" w:rsidRDefault="002C0FD9" w:rsidP="00CA25CF">
            <w:pPr>
              <w:rPr>
                <w:rFonts w:cs="Arial"/>
                <w:color w:val="FF0000"/>
                <w:sz w:val="21"/>
                <w:szCs w:val="21"/>
              </w:rPr>
            </w:pPr>
          </w:p>
        </w:tc>
        <w:tc>
          <w:tcPr>
            <w:tcW w:w="217" w:type="dxa"/>
          </w:tcPr>
          <w:p w14:paraId="7E608952" w14:textId="77777777" w:rsidR="002C0FD9" w:rsidRPr="00CA25CF" w:rsidRDefault="002C0FD9" w:rsidP="00CA25CF">
            <w:pPr>
              <w:rPr>
                <w:rFonts w:cs="Arial"/>
                <w:color w:val="FF0000"/>
                <w:sz w:val="21"/>
                <w:szCs w:val="21"/>
              </w:rPr>
            </w:pPr>
          </w:p>
        </w:tc>
        <w:tc>
          <w:tcPr>
            <w:tcW w:w="217" w:type="dxa"/>
          </w:tcPr>
          <w:p w14:paraId="58811176" w14:textId="77777777" w:rsidR="002C0FD9" w:rsidRPr="00CA25CF" w:rsidRDefault="002C0FD9" w:rsidP="00CA25CF">
            <w:pPr>
              <w:rPr>
                <w:rFonts w:cs="Arial"/>
                <w:color w:val="FF0000"/>
                <w:sz w:val="21"/>
                <w:szCs w:val="21"/>
              </w:rPr>
            </w:pPr>
          </w:p>
        </w:tc>
        <w:tc>
          <w:tcPr>
            <w:tcW w:w="217" w:type="dxa"/>
          </w:tcPr>
          <w:p w14:paraId="6A87D3AD" w14:textId="77777777" w:rsidR="002C0FD9" w:rsidRPr="00CA25CF" w:rsidRDefault="002C0FD9" w:rsidP="00CA25CF">
            <w:pPr>
              <w:rPr>
                <w:rFonts w:cs="Arial"/>
                <w:color w:val="FF0000"/>
                <w:sz w:val="21"/>
                <w:szCs w:val="21"/>
              </w:rPr>
            </w:pPr>
          </w:p>
        </w:tc>
        <w:tc>
          <w:tcPr>
            <w:tcW w:w="217" w:type="dxa"/>
          </w:tcPr>
          <w:p w14:paraId="77D07EB1" w14:textId="77777777" w:rsidR="002C0FD9" w:rsidRPr="00CA25CF" w:rsidRDefault="002C0FD9" w:rsidP="00CA25CF">
            <w:pPr>
              <w:rPr>
                <w:rFonts w:cs="Arial"/>
                <w:color w:val="FF0000"/>
                <w:sz w:val="21"/>
                <w:szCs w:val="21"/>
              </w:rPr>
            </w:pPr>
          </w:p>
        </w:tc>
        <w:tc>
          <w:tcPr>
            <w:tcW w:w="217" w:type="dxa"/>
          </w:tcPr>
          <w:p w14:paraId="14994D41" w14:textId="77777777" w:rsidR="002C0FD9" w:rsidRPr="00CA25CF" w:rsidRDefault="002C0FD9" w:rsidP="00CA25CF">
            <w:pPr>
              <w:rPr>
                <w:rFonts w:cs="Arial"/>
                <w:color w:val="FF0000"/>
                <w:sz w:val="21"/>
                <w:szCs w:val="21"/>
              </w:rPr>
            </w:pPr>
          </w:p>
        </w:tc>
        <w:tc>
          <w:tcPr>
            <w:tcW w:w="217" w:type="dxa"/>
          </w:tcPr>
          <w:p w14:paraId="58358151" w14:textId="77777777" w:rsidR="002C0FD9" w:rsidRPr="00CA25CF" w:rsidRDefault="002C0FD9" w:rsidP="00CA25CF">
            <w:pPr>
              <w:rPr>
                <w:rFonts w:cs="Arial"/>
                <w:color w:val="FF0000"/>
                <w:sz w:val="21"/>
                <w:szCs w:val="21"/>
              </w:rPr>
            </w:pPr>
          </w:p>
        </w:tc>
        <w:tc>
          <w:tcPr>
            <w:tcW w:w="217" w:type="dxa"/>
          </w:tcPr>
          <w:p w14:paraId="17AEDDF0" w14:textId="77777777" w:rsidR="002C0FD9" w:rsidRPr="00CA25CF" w:rsidRDefault="002C0FD9" w:rsidP="00CA25CF">
            <w:pPr>
              <w:rPr>
                <w:rFonts w:cs="Arial"/>
                <w:color w:val="FF0000"/>
                <w:sz w:val="21"/>
                <w:szCs w:val="21"/>
              </w:rPr>
            </w:pPr>
          </w:p>
        </w:tc>
        <w:tc>
          <w:tcPr>
            <w:tcW w:w="217" w:type="dxa"/>
          </w:tcPr>
          <w:p w14:paraId="2A850E0A" w14:textId="77777777" w:rsidR="002C0FD9" w:rsidRPr="00CA25CF" w:rsidRDefault="002C0FD9" w:rsidP="00CA25CF">
            <w:pPr>
              <w:rPr>
                <w:rFonts w:cs="Arial"/>
                <w:color w:val="FF0000"/>
                <w:sz w:val="21"/>
                <w:szCs w:val="21"/>
              </w:rPr>
            </w:pPr>
          </w:p>
        </w:tc>
        <w:tc>
          <w:tcPr>
            <w:tcW w:w="217" w:type="dxa"/>
          </w:tcPr>
          <w:p w14:paraId="4D7864E8" w14:textId="77777777" w:rsidR="002C0FD9" w:rsidRPr="00CA25CF" w:rsidRDefault="002C0FD9" w:rsidP="00CA25CF">
            <w:pPr>
              <w:rPr>
                <w:rFonts w:cs="Arial"/>
                <w:color w:val="FF0000"/>
                <w:sz w:val="21"/>
                <w:szCs w:val="21"/>
              </w:rPr>
            </w:pPr>
          </w:p>
        </w:tc>
        <w:tc>
          <w:tcPr>
            <w:tcW w:w="217" w:type="dxa"/>
          </w:tcPr>
          <w:p w14:paraId="1EC3F8DE" w14:textId="77777777" w:rsidR="002C0FD9" w:rsidRPr="00CA25CF" w:rsidRDefault="002C0FD9" w:rsidP="00CA25CF">
            <w:pPr>
              <w:rPr>
                <w:rFonts w:cs="Arial"/>
                <w:color w:val="FF0000"/>
                <w:sz w:val="21"/>
                <w:szCs w:val="21"/>
              </w:rPr>
            </w:pPr>
          </w:p>
        </w:tc>
        <w:tc>
          <w:tcPr>
            <w:tcW w:w="217" w:type="dxa"/>
          </w:tcPr>
          <w:p w14:paraId="5F2F154B" w14:textId="77777777" w:rsidR="002C0FD9" w:rsidRPr="00CA25CF" w:rsidRDefault="002C0FD9" w:rsidP="00CA25CF">
            <w:pPr>
              <w:rPr>
                <w:rFonts w:cs="Arial"/>
                <w:color w:val="FF0000"/>
                <w:sz w:val="21"/>
                <w:szCs w:val="21"/>
              </w:rPr>
            </w:pPr>
          </w:p>
        </w:tc>
        <w:tc>
          <w:tcPr>
            <w:tcW w:w="217" w:type="dxa"/>
          </w:tcPr>
          <w:p w14:paraId="2C50C460" w14:textId="77777777" w:rsidR="002C0FD9" w:rsidRPr="00CA25CF" w:rsidRDefault="002C0FD9" w:rsidP="00CA25CF">
            <w:pPr>
              <w:rPr>
                <w:rFonts w:cs="Arial"/>
                <w:color w:val="FF0000"/>
                <w:sz w:val="21"/>
                <w:szCs w:val="21"/>
              </w:rPr>
            </w:pPr>
          </w:p>
        </w:tc>
        <w:tc>
          <w:tcPr>
            <w:tcW w:w="217" w:type="dxa"/>
          </w:tcPr>
          <w:p w14:paraId="318A6075" w14:textId="77777777" w:rsidR="002C0FD9" w:rsidRPr="00CA25CF" w:rsidRDefault="002C0FD9" w:rsidP="00CA25CF">
            <w:pPr>
              <w:rPr>
                <w:rFonts w:cs="Arial"/>
                <w:color w:val="FF0000"/>
                <w:sz w:val="21"/>
                <w:szCs w:val="21"/>
              </w:rPr>
            </w:pPr>
          </w:p>
        </w:tc>
        <w:tc>
          <w:tcPr>
            <w:tcW w:w="217" w:type="dxa"/>
          </w:tcPr>
          <w:p w14:paraId="24A32A38" w14:textId="77777777" w:rsidR="002C0FD9" w:rsidRPr="00CA25CF" w:rsidRDefault="002C0FD9" w:rsidP="00CA25CF">
            <w:pPr>
              <w:rPr>
                <w:rFonts w:cs="Arial"/>
                <w:color w:val="FF0000"/>
                <w:sz w:val="21"/>
                <w:szCs w:val="21"/>
              </w:rPr>
            </w:pPr>
          </w:p>
        </w:tc>
        <w:tc>
          <w:tcPr>
            <w:tcW w:w="217" w:type="dxa"/>
          </w:tcPr>
          <w:p w14:paraId="22976549" w14:textId="77777777" w:rsidR="002C0FD9" w:rsidRPr="00CA25CF" w:rsidRDefault="002C0FD9" w:rsidP="00CA25CF">
            <w:pPr>
              <w:rPr>
                <w:rFonts w:cs="Arial"/>
                <w:color w:val="FF0000"/>
                <w:sz w:val="21"/>
                <w:szCs w:val="21"/>
              </w:rPr>
            </w:pPr>
          </w:p>
        </w:tc>
        <w:tc>
          <w:tcPr>
            <w:tcW w:w="217" w:type="dxa"/>
          </w:tcPr>
          <w:p w14:paraId="25156B2D" w14:textId="77777777" w:rsidR="002C0FD9" w:rsidRPr="00CA25CF" w:rsidRDefault="002C0FD9" w:rsidP="00CA25CF">
            <w:pPr>
              <w:rPr>
                <w:rFonts w:cs="Arial"/>
                <w:color w:val="FF0000"/>
                <w:sz w:val="21"/>
                <w:szCs w:val="21"/>
              </w:rPr>
            </w:pPr>
          </w:p>
        </w:tc>
        <w:tc>
          <w:tcPr>
            <w:tcW w:w="217" w:type="dxa"/>
          </w:tcPr>
          <w:p w14:paraId="41BD6607" w14:textId="77777777" w:rsidR="002C0FD9" w:rsidRPr="00CA25CF" w:rsidRDefault="002C0FD9" w:rsidP="00CA25CF">
            <w:pPr>
              <w:rPr>
                <w:rFonts w:cs="Arial"/>
                <w:color w:val="FF0000"/>
                <w:sz w:val="21"/>
                <w:szCs w:val="21"/>
              </w:rPr>
            </w:pPr>
          </w:p>
        </w:tc>
        <w:tc>
          <w:tcPr>
            <w:tcW w:w="217" w:type="dxa"/>
          </w:tcPr>
          <w:p w14:paraId="19FFFBBA" w14:textId="77777777" w:rsidR="002C0FD9" w:rsidRPr="00CA25CF" w:rsidRDefault="002C0FD9" w:rsidP="00CA25CF">
            <w:pPr>
              <w:rPr>
                <w:rFonts w:cs="Arial"/>
                <w:color w:val="FF0000"/>
                <w:sz w:val="21"/>
                <w:szCs w:val="21"/>
              </w:rPr>
            </w:pPr>
          </w:p>
        </w:tc>
        <w:tc>
          <w:tcPr>
            <w:tcW w:w="217" w:type="dxa"/>
          </w:tcPr>
          <w:p w14:paraId="0C68D89A" w14:textId="77777777" w:rsidR="002C0FD9" w:rsidRPr="00CA25CF" w:rsidRDefault="002C0FD9" w:rsidP="00CA25CF">
            <w:pPr>
              <w:rPr>
                <w:rFonts w:cs="Arial"/>
                <w:color w:val="FF0000"/>
                <w:sz w:val="21"/>
                <w:szCs w:val="21"/>
              </w:rPr>
            </w:pPr>
          </w:p>
        </w:tc>
        <w:tc>
          <w:tcPr>
            <w:tcW w:w="217" w:type="dxa"/>
          </w:tcPr>
          <w:p w14:paraId="2D4A511B" w14:textId="77777777" w:rsidR="002C0FD9" w:rsidRPr="00CA25CF" w:rsidRDefault="002C0FD9" w:rsidP="00CA25CF">
            <w:pPr>
              <w:rPr>
                <w:rFonts w:cs="Arial"/>
                <w:color w:val="FF0000"/>
                <w:sz w:val="21"/>
                <w:szCs w:val="21"/>
              </w:rPr>
            </w:pPr>
          </w:p>
        </w:tc>
        <w:tc>
          <w:tcPr>
            <w:tcW w:w="217" w:type="dxa"/>
          </w:tcPr>
          <w:p w14:paraId="17164563" w14:textId="77777777" w:rsidR="002C0FD9" w:rsidRPr="00CA25CF" w:rsidRDefault="002C0FD9" w:rsidP="00CA25CF">
            <w:pPr>
              <w:rPr>
                <w:rFonts w:cs="Arial"/>
                <w:color w:val="FF0000"/>
                <w:sz w:val="21"/>
                <w:szCs w:val="21"/>
              </w:rPr>
            </w:pPr>
          </w:p>
        </w:tc>
        <w:tc>
          <w:tcPr>
            <w:tcW w:w="217" w:type="dxa"/>
          </w:tcPr>
          <w:p w14:paraId="4C70B2DE" w14:textId="77777777" w:rsidR="002C0FD9" w:rsidRPr="00CA25CF" w:rsidRDefault="002C0FD9" w:rsidP="00CA25CF">
            <w:pPr>
              <w:rPr>
                <w:rFonts w:cs="Arial"/>
                <w:color w:val="FF0000"/>
                <w:sz w:val="21"/>
                <w:szCs w:val="21"/>
              </w:rPr>
            </w:pPr>
          </w:p>
        </w:tc>
        <w:tc>
          <w:tcPr>
            <w:tcW w:w="217" w:type="dxa"/>
          </w:tcPr>
          <w:p w14:paraId="1A8AC891" w14:textId="77777777" w:rsidR="002C0FD9" w:rsidRPr="00CA25CF" w:rsidRDefault="002C0FD9" w:rsidP="00CA25CF">
            <w:pPr>
              <w:rPr>
                <w:rFonts w:cs="Arial"/>
                <w:color w:val="FF0000"/>
                <w:sz w:val="21"/>
                <w:szCs w:val="21"/>
              </w:rPr>
            </w:pPr>
          </w:p>
        </w:tc>
        <w:tc>
          <w:tcPr>
            <w:tcW w:w="217" w:type="dxa"/>
          </w:tcPr>
          <w:p w14:paraId="593D14F4" w14:textId="77777777" w:rsidR="002C0FD9" w:rsidRPr="00CA25CF" w:rsidRDefault="002C0FD9" w:rsidP="00CA25CF">
            <w:pPr>
              <w:rPr>
                <w:rFonts w:cs="Arial"/>
                <w:color w:val="FF0000"/>
                <w:sz w:val="21"/>
                <w:szCs w:val="21"/>
              </w:rPr>
            </w:pPr>
          </w:p>
        </w:tc>
        <w:tc>
          <w:tcPr>
            <w:tcW w:w="217" w:type="dxa"/>
          </w:tcPr>
          <w:p w14:paraId="1759A9E9" w14:textId="77777777" w:rsidR="002C0FD9" w:rsidRPr="00CA25CF" w:rsidRDefault="002C0FD9" w:rsidP="00CA25CF">
            <w:pPr>
              <w:rPr>
                <w:rFonts w:cs="Arial"/>
                <w:color w:val="FF0000"/>
                <w:sz w:val="21"/>
                <w:szCs w:val="21"/>
              </w:rPr>
            </w:pPr>
          </w:p>
        </w:tc>
        <w:tc>
          <w:tcPr>
            <w:tcW w:w="217" w:type="dxa"/>
          </w:tcPr>
          <w:p w14:paraId="65D81E3E" w14:textId="77777777" w:rsidR="002C0FD9" w:rsidRPr="00CA25CF" w:rsidRDefault="002C0FD9" w:rsidP="00CA25CF">
            <w:pPr>
              <w:rPr>
                <w:rFonts w:cs="Arial"/>
                <w:color w:val="FF0000"/>
                <w:sz w:val="21"/>
                <w:szCs w:val="21"/>
              </w:rPr>
            </w:pPr>
          </w:p>
        </w:tc>
        <w:tc>
          <w:tcPr>
            <w:tcW w:w="217" w:type="dxa"/>
          </w:tcPr>
          <w:p w14:paraId="2F0D1F1E" w14:textId="77777777" w:rsidR="002C0FD9" w:rsidRPr="00CA25CF" w:rsidRDefault="002C0FD9" w:rsidP="00CA25CF">
            <w:pPr>
              <w:rPr>
                <w:rFonts w:cs="Arial"/>
                <w:color w:val="FF0000"/>
                <w:sz w:val="21"/>
                <w:szCs w:val="21"/>
              </w:rPr>
            </w:pPr>
          </w:p>
        </w:tc>
        <w:tc>
          <w:tcPr>
            <w:tcW w:w="217" w:type="dxa"/>
          </w:tcPr>
          <w:p w14:paraId="256F9FA3" w14:textId="77777777" w:rsidR="002C0FD9" w:rsidRPr="00CA25CF" w:rsidRDefault="002C0FD9" w:rsidP="00CA25CF">
            <w:pPr>
              <w:rPr>
                <w:rFonts w:cs="Arial"/>
                <w:color w:val="FF0000"/>
                <w:sz w:val="21"/>
                <w:szCs w:val="21"/>
              </w:rPr>
            </w:pPr>
          </w:p>
        </w:tc>
        <w:tc>
          <w:tcPr>
            <w:tcW w:w="217" w:type="dxa"/>
          </w:tcPr>
          <w:p w14:paraId="464BEC9B" w14:textId="77777777" w:rsidR="002C0FD9" w:rsidRPr="00CA25CF" w:rsidRDefault="002C0FD9" w:rsidP="00CA25CF">
            <w:pPr>
              <w:rPr>
                <w:rFonts w:cs="Arial"/>
                <w:color w:val="FF0000"/>
                <w:sz w:val="21"/>
                <w:szCs w:val="21"/>
              </w:rPr>
            </w:pPr>
          </w:p>
        </w:tc>
        <w:tc>
          <w:tcPr>
            <w:tcW w:w="217" w:type="dxa"/>
          </w:tcPr>
          <w:p w14:paraId="69C0DF95" w14:textId="77777777" w:rsidR="002C0FD9" w:rsidRPr="00CA25CF" w:rsidRDefault="002C0FD9" w:rsidP="00CA25CF">
            <w:pPr>
              <w:rPr>
                <w:rFonts w:cs="Arial"/>
                <w:color w:val="FF0000"/>
                <w:sz w:val="21"/>
                <w:szCs w:val="21"/>
              </w:rPr>
            </w:pPr>
          </w:p>
        </w:tc>
        <w:tc>
          <w:tcPr>
            <w:tcW w:w="217" w:type="dxa"/>
          </w:tcPr>
          <w:p w14:paraId="274E38D6" w14:textId="77777777" w:rsidR="002C0FD9" w:rsidRPr="00CA25CF" w:rsidRDefault="002C0FD9" w:rsidP="00CA25CF">
            <w:pPr>
              <w:rPr>
                <w:rFonts w:cs="Arial"/>
                <w:color w:val="FF0000"/>
                <w:sz w:val="21"/>
                <w:szCs w:val="21"/>
              </w:rPr>
            </w:pPr>
          </w:p>
        </w:tc>
        <w:tc>
          <w:tcPr>
            <w:tcW w:w="217" w:type="dxa"/>
          </w:tcPr>
          <w:p w14:paraId="7EE73E2F" w14:textId="77777777" w:rsidR="002C0FD9" w:rsidRPr="00CA25CF" w:rsidRDefault="002C0FD9" w:rsidP="00CA25CF">
            <w:pPr>
              <w:rPr>
                <w:rFonts w:cs="Arial"/>
                <w:color w:val="FF0000"/>
                <w:sz w:val="21"/>
                <w:szCs w:val="21"/>
              </w:rPr>
            </w:pPr>
          </w:p>
        </w:tc>
        <w:tc>
          <w:tcPr>
            <w:tcW w:w="217" w:type="dxa"/>
          </w:tcPr>
          <w:p w14:paraId="0849861E" w14:textId="77777777" w:rsidR="002C0FD9" w:rsidRPr="00CA25CF" w:rsidRDefault="002C0FD9" w:rsidP="00CA25CF">
            <w:pPr>
              <w:rPr>
                <w:rFonts w:cs="Arial"/>
                <w:color w:val="FF0000"/>
                <w:sz w:val="21"/>
                <w:szCs w:val="21"/>
              </w:rPr>
            </w:pPr>
          </w:p>
        </w:tc>
        <w:tc>
          <w:tcPr>
            <w:tcW w:w="217" w:type="dxa"/>
          </w:tcPr>
          <w:p w14:paraId="07AAD5BD" w14:textId="77777777" w:rsidR="002C0FD9" w:rsidRPr="00CA25CF" w:rsidRDefault="002C0FD9" w:rsidP="00CA25CF">
            <w:pPr>
              <w:rPr>
                <w:rFonts w:cs="Arial"/>
                <w:color w:val="FF0000"/>
                <w:sz w:val="21"/>
                <w:szCs w:val="21"/>
              </w:rPr>
            </w:pPr>
          </w:p>
        </w:tc>
        <w:tc>
          <w:tcPr>
            <w:tcW w:w="217" w:type="dxa"/>
          </w:tcPr>
          <w:p w14:paraId="3FD666E9" w14:textId="77777777" w:rsidR="002C0FD9" w:rsidRPr="00CA25CF" w:rsidRDefault="002C0FD9" w:rsidP="00CA25CF">
            <w:pPr>
              <w:rPr>
                <w:rFonts w:cs="Arial"/>
                <w:color w:val="FF0000"/>
                <w:sz w:val="21"/>
                <w:szCs w:val="21"/>
              </w:rPr>
            </w:pPr>
          </w:p>
        </w:tc>
        <w:tc>
          <w:tcPr>
            <w:tcW w:w="217" w:type="dxa"/>
          </w:tcPr>
          <w:p w14:paraId="1F36DBC7" w14:textId="77777777" w:rsidR="002C0FD9" w:rsidRPr="00CA25CF" w:rsidRDefault="002C0FD9" w:rsidP="00CA25CF">
            <w:pPr>
              <w:rPr>
                <w:rFonts w:cs="Arial"/>
                <w:color w:val="FF0000"/>
                <w:sz w:val="21"/>
                <w:szCs w:val="21"/>
              </w:rPr>
            </w:pPr>
          </w:p>
        </w:tc>
        <w:tc>
          <w:tcPr>
            <w:tcW w:w="217" w:type="dxa"/>
          </w:tcPr>
          <w:p w14:paraId="169A20AF" w14:textId="77777777" w:rsidR="002C0FD9" w:rsidRPr="00CA25CF" w:rsidRDefault="002C0FD9" w:rsidP="00CA25CF">
            <w:pPr>
              <w:rPr>
                <w:rFonts w:cs="Arial"/>
                <w:color w:val="FF0000"/>
                <w:sz w:val="21"/>
                <w:szCs w:val="21"/>
              </w:rPr>
            </w:pPr>
          </w:p>
        </w:tc>
        <w:tc>
          <w:tcPr>
            <w:tcW w:w="217" w:type="dxa"/>
          </w:tcPr>
          <w:p w14:paraId="31E4A6AD" w14:textId="77777777" w:rsidR="002C0FD9" w:rsidRPr="00CA25CF" w:rsidRDefault="002C0FD9" w:rsidP="00CA25CF">
            <w:pPr>
              <w:rPr>
                <w:rFonts w:cs="Arial"/>
                <w:color w:val="FF0000"/>
                <w:sz w:val="21"/>
                <w:szCs w:val="21"/>
              </w:rPr>
            </w:pPr>
          </w:p>
        </w:tc>
        <w:tc>
          <w:tcPr>
            <w:tcW w:w="217" w:type="dxa"/>
          </w:tcPr>
          <w:p w14:paraId="2BDB112B" w14:textId="77777777" w:rsidR="002C0FD9" w:rsidRPr="00CA25CF" w:rsidRDefault="002C0FD9" w:rsidP="00CA25CF">
            <w:pPr>
              <w:rPr>
                <w:rFonts w:cs="Arial"/>
                <w:color w:val="FF0000"/>
                <w:sz w:val="21"/>
                <w:szCs w:val="21"/>
              </w:rPr>
            </w:pPr>
          </w:p>
        </w:tc>
      </w:tr>
      <w:tr w:rsidR="002C0FD9" w:rsidRPr="00A16219" w14:paraId="6695CB6A" w14:textId="77777777" w:rsidTr="002C0FD9">
        <w:trPr>
          <w:trHeight w:val="635"/>
        </w:trPr>
        <w:tc>
          <w:tcPr>
            <w:tcW w:w="515" w:type="dxa"/>
          </w:tcPr>
          <w:p w14:paraId="23804A34" w14:textId="77777777" w:rsidR="002C0FD9" w:rsidRPr="00CA25CF" w:rsidRDefault="002C0FD9" w:rsidP="00CA25CF">
            <w:pPr>
              <w:rPr>
                <w:rFonts w:cs="Arial"/>
                <w:color w:val="FF0000"/>
                <w:sz w:val="21"/>
                <w:szCs w:val="21"/>
              </w:rPr>
            </w:pPr>
          </w:p>
        </w:tc>
        <w:tc>
          <w:tcPr>
            <w:tcW w:w="217" w:type="dxa"/>
          </w:tcPr>
          <w:p w14:paraId="0BAB6983" w14:textId="77777777" w:rsidR="002C0FD9" w:rsidRPr="00CA25CF" w:rsidRDefault="002C0FD9" w:rsidP="00CA25CF">
            <w:pPr>
              <w:rPr>
                <w:rFonts w:cs="Arial"/>
                <w:color w:val="FF0000"/>
                <w:sz w:val="21"/>
                <w:szCs w:val="21"/>
              </w:rPr>
            </w:pPr>
          </w:p>
        </w:tc>
        <w:tc>
          <w:tcPr>
            <w:tcW w:w="217" w:type="dxa"/>
          </w:tcPr>
          <w:p w14:paraId="49FB780B" w14:textId="77777777" w:rsidR="002C0FD9" w:rsidRPr="00CA25CF" w:rsidRDefault="002C0FD9" w:rsidP="00CA25CF">
            <w:pPr>
              <w:rPr>
                <w:rFonts w:cs="Arial"/>
                <w:color w:val="FF0000"/>
                <w:sz w:val="21"/>
                <w:szCs w:val="21"/>
              </w:rPr>
            </w:pPr>
          </w:p>
        </w:tc>
        <w:tc>
          <w:tcPr>
            <w:tcW w:w="217" w:type="dxa"/>
          </w:tcPr>
          <w:p w14:paraId="4F391357" w14:textId="77777777" w:rsidR="002C0FD9" w:rsidRPr="00CA25CF" w:rsidRDefault="002C0FD9" w:rsidP="00CA25CF">
            <w:pPr>
              <w:rPr>
                <w:rFonts w:cs="Arial"/>
                <w:color w:val="FF0000"/>
                <w:sz w:val="21"/>
                <w:szCs w:val="21"/>
              </w:rPr>
            </w:pPr>
          </w:p>
        </w:tc>
        <w:tc>
          <w:tcPr>
            <w:tcW w:w="217" w:type="dxa"/>
          </w:tcPr>
          <w:p w14:paraId="5BA7C62C" w14:textId="77777777" w:rsidR="002C0FD9" w:rsidRPr="00CA25CF" w:rsidRDefault="002C0FD9" w:rsidP="00CA25CF">
            <w:pPr>
              <w:rPr>
                <w:rFonts w:cs="Arial"/>
                <w:color w:val="FF0000"/>
                <w:sz w:val="21"/>
                <w:szCs w:val="21"/>
              </w:rPr>
            </w:pPr>
          </w:p>
        </w:tc>
        <w:tc>
          <w:tcPr>
            <w:tcW w:w="217" w:type="dxa"/>
          </w:tcPr>
          <w:p w14:paraId="4E6A7075" w14:textId="77777777" w:rsidR="002C0FD9" w:rsidRPr="00CA25CF" w:rsidRDefault="002C0FD9" w:rsidP="00CA25CF">
            <w:pPr>
              <w:rPr>
                <w:rFonts w:cs="Arial"/>
                <w:color w:val="FF0000"/>
                <w:sz w:val="21"/>
                <w:szCs w:val="21"/>
              </w:rPr>
            </w:pPr>
          </w:p>
        </w:tc>
        <w:tc>
          <w:tcPr>
            <w:tcW w:w="217" w:type="dxa"/>
          </w:tcPr>
          <w:p w14:paraId="6469169D" w14:textId="77777777" w:rsidR="002C0FD9" w:rsidRPr="00CA25CF" w:rsidRDefault="002C0FD9" w:rsidP="00CA25CF">
            <w:pPr>
              <w:rPr>
                <w:rFonts w:cs="Arial"/>
                <w:color w:val="FF0000"/>
                <w:sz w:val="21"/>
                <w:szCs w:val="21"/>
              </w:rPr>
            </w:pPr>
          </w:p>
        </w:tc>
        <w:tc>
          <w:tcPr>
            <w:tcW w:w="217" w:type="dxa"/>
          </w:tcPr>
          <w:p w14:paraId="2E956445" w14:textId="77777777" w:rsidR="002C0FD9" w:rsidRPr="00CA25CF" w:rsidRDefault="002C0FD9" w:rsidP="00CA25CF">
            <w:pPr>
              <w:rPr>
                <w:rFonts w:cs="Arial"/>
                <w:color w:val="FF0000"/>
                <w:sz w:val="21"/>
                <w:szCs w:val="21"/>
              </w:rPr>
            </w:pPr>
          </w:p>
        </w:tc>
        <w:tc>
          <w:tcPr>
            <w:tcW w:w="217" w:type="dxa"/>
          </w:tcPr>
          <w:p w14:paraId="34347FBD" w14:textId="77777777" w:rsidR="002C0FD9" w:rsidRPr="00CA25CF" w:rsidRDefault="002C0FD9" w:rsidP="00CA25CF">
            <w:pPr>
              <w:rPr>
                <w:rFonts w:cs="Arial"/>
                <w:color w:val="FF0000"/>
                <w:sz w:val="21"/>
                <w:szCs w:val="21"/>
              </w:rPr>
            </w:pPr>
          </w:p>
        </w:tc>
        <w:tc>
          <w:tcPr>
            <w:tcW w:w="217" w:type="dxa"/>
          </w:tcPr>
          <w:p w14:paraId="5D1532E0" w14:textId="77777777" w:rsidR="002C0FD9" w:rsidRPr="00CA25CF" w:rsidRDefault="002C0FD9" w:rsidP="00CA25CF">
            <w:pPr>
              <w:rPr>
                <w:rFonts w:cs="Arial"/>
                <w:color w:val="FF0000"/>
                <w:sz w:val="21"/>
                <w:szCs w:val="21"/>
              </w:rPr>
            </w:pPr>
          </w:p>
        </w:tc>
        <w:tc>
          <w:tcPr>
            <w:tcW w:w="217" w:type="dxa"/>
          </w:tcPr>
          <w:p w14:paraId="114DA494" w14:textId="77777777" w:rsidR="002C0FD9" w:rsidRPr="00CA25CF" w:rsidRDefault="002C0FD9" w:rsidP="00CA25CF">
            <w:pPr>
              <w:rPr>
                <w:rFonts w:cs="Arial"/>
                <w:color w:val="FF0000"/>
                <w:sz w:val="21"/>
                <w:szCs w:val="21"/>
              </w:rPr>
            </w:pPr>
          </w:p>
        </w:tc>
        <w:tc>
          <w:tcPr>
            <w:tcW w:w="217" w:type="dxa"/>
          </w:tcPr>
          <w:p w14:paraId="6AAF7623" w14:textId="77777777" w:rsidR="002C0FD9" w:rsidRPr="00CA25CF" w:rsidRDefault="002C0FD9" w:rsidP="00CA25CF">
            <w:pPr>
              <w:rPr>
                <w:rFonts w:cs="Arial"/>
                <w:color w:val="FF0000"/>
                <w:sz w:val="21"/>
                <w:szCs w:val="21"/>
              </w:rPr>
            </w:pPr>
          </w:p>
        </w:tc>
        <w:tc>
          <w:tcPr>
            <w:tcW w:w="217" w:type="dxa"/>
          </w:tcPr>
          <w:p w14:paraId="68541BA4" w14:textId="77777777" w:rsidR="002C0FD9" w:rsidRPr="00CA25CF" w:rsidRDefault="002C0FD9" w:rsidP="00CA25CF">
            <w:pPr>
              <w:rPr>
                <w:rFonts w:cs="Arial"/>
                <w:color w:val="FF0000"/>
                <w:sz w:val="21"/>
                <w:szCs w:val="21"/>
              </w:rPr>
            </w:pPr>
          </w:p>
        </w:tc>
        <w:tc>
          <w:tcPr>
            <w:tcW w:w="217" w:type="dxa"/>
          </w:tcPr>
          <w:p w14:paraId="7DB5573D" w14:textId="77777777" w:rsidR="002C0FD9" w:rsidRPr="00CA25CF" w:rsidRDefault="002C0FD9" w:rsidP="00CA25CF">
            <w:pPr>
              <w:rPr>
                <w:rFonts w:cs="Arial"/>
                <w:color w:val="FF0000"/>
                <w:sz w:val="21"/>
                <w:szCs w:val="21"/>
              </w:rPr>
            </w:pPr>
          </w:p>
        </w:tc>
        <w:tc>
          <w:tcPr>
            <w:tcW w:w="217" w:type="dxa"/>
          </w:tcPr>
          <w:p w14:paraId="30E0B83F" w14:textId="77777777" w:rsidR="002C0FD9" w:rsidRPr="00CA25CF" w:rsidRDefault="002C0FD9" w:rsidP="00CA25CF">
            <w:pPr>
              <w:rPr>
                <w:rFonts w:cs="Arial"/>
                <w:color w:val="FF0000"/>
                <w:sz w:val="21"/>
                <w:szCs w:val="21"/>
              </w:rPr>
            </w:pPr>
          </w:p>
        </w:tc>
        <w:tc>
          <w:tcPr>
            <w:tcW w:w="217" w:type="dxa"/>
          </w:tcPr>
          <w:p w14:paraId="380910BE" w14:textId="77777777" w:rsidR="002C0FD9" w:rsidRPr="00CA25CF" w:rsidRDefault="002C0FD9" w:rsidP="00CA25CF">
            <w:pPr>
              <w:rPr>
                <w:rFonts w:cs="Arial"/>
                <w:color w:val="FF0000"/>
                <w:sz w:val="21"/>
                <w:szCs w:val="21"/>
              </w:rPr>
            </w:pPr>
          </w:p>
        </w:tc>
        <w:tc>
          <w:tcPr>
            <w:tcW w:w="217" w:type="dxa"/>
          </w:tcPr>
          <w:p w14:paraId="4ED42A48" w14:textId="77777777" w:rsidR="002C0FD9" w:rsidRPr="00CA25CF" w:rsidRDefault="002C0FD9" w:rsidP="00CA25CF">
            <w:pPr>
              <w:rPr>
                <w:rFonts w:cs="Arial"/>
                <w:color w:val="FF0000"/>
                <w:sz w:val="21"/>
                <w:szCs w:val="21"/>
              </w:rPr>
            </w:pPr>
          </w:p>
        </w:tc>
        <w:tc>
          <w:tcPr>
            <w:tcW w:w="217" w:type="dxa"/>
          </w:tcPr>
          <w:p w14:paraId="3C66DD27" w14:textId="77777777" w:rsidR="002C0FD9" w:rsidRPr="00CA25CF" w:rsidRDefault="002C0FD9" w:rsidP="00CA25CF">
            <w:pPr>
              <w:rPr>
                <w:rFonts w:cs="Arial"/>
                <w:color w:val="FF0000"/>
                <w:sz w:val="21"/>
                <w:szCs w:val="21"/>
              </w:rPr>
            </w:pPr>
          </w:p>
        </w:tc>
        <w:tc>
          <w:tcPr>
            <w:tcW w:w="217" w:type="dxa"/>
          </w:tcPr>
          <w:p w14:paraId="513F0891" w14:textId="77777777" w:rsidR="002C0FD9" w:rsidRPr="00CA25CF" w:rsidRDefault="002C0FD9" w:rsidP="00CA25CF">
            <w:pPr>
              <w:rPr>
                <w:rFonts w:cs="Arial"/>
                <w:color w:val="FF0000"/>
                <w:sz w:val="21"/>
                <w:szCs w:val="21"/>
              </w:rPr>
            </w:pPr>
          </w:p>
        </w:tc>
        <w:tc>
          <w:tcPr>
            <w:tcW w:w="217" w:type="dxa"/>
          </w:tcPr>
          <w:p w14:paraId="7A3895FD" w14:textId="77777777" w:rsidR="002C0FD9" w:rsidRPr="00CA25CF" w:rsidRDefault="002C0FD9" w:rsidP="00CA25CF">
            <w:pPr>
              <w:rPr>
                <w:rFonts w:cs="Arial"/>
                <w:color w:val="FF0000"/>
                <w:sz w:val="21"/>
                <w:szCs w:val="21"/>
              </w:rPr>
            </w:pPr>
          </w:p>
        </w:tc>
        <w:tc>
          <w:tcPr>
            <w:tcW w:w="217" w:type="dxa"/>
          </w:tcPr>
          <w:p w14:paraId="67DEF9A7" w14:textId="77777777" w:rsidR="002C0FD9" w:rsidRPr="00CA25CF" w:rsidRDefault="002C0FD9" w:rsidP="00CA25CF">
            <w:pPr>
              <w:rPr>
                <w:rFonts w:cs="Arial"/>
                <w:color w:val="FF0000"/>
                <w:sz w:val="21"/>
                <w:szCs w:val="21"/>
              </w:rPr>
            </w:pPr>
          </w:p>
        </w:tc>
        <w:tc>
          <w:tcPr>
            <w:tcW w:w="217" w:type="dxa"/>
          </w:tcPr>
          <w:p w14:paraId="701C6756" w14:textId="77777777" w:rsidR="002C0FD9" w:rsidRPr="00CA25CF" w:rsidRDefault="002C0FD9" w:rsidP="00CA25CF">
            <w:pPr>
              <w:rPr>
                <w:rFonts w:cs="Arial"/>
                <w:color w:val="FF0000"/>
                <w:sz w:val="21"/>
                <w:szCs w:val="21"/>
              </w:rPr>
            </w:pPr>
          </w:p>
        </w:tc>
        <w:tc>
          <w:tcPr>
            <w:tcW w:w="217" w:type="dxa"/>
          </w:tcPr>
          <w:p w14:paraId="0CB54F1F" w14:textId="77777777" w:rsidR="002C0FD9" w:rsidRPr="00CA25CF" w:rsidRDefault="002C0FD9" w:rsidP="00CA25CF">
            <w:pPr>
              <w:rPr>
                <w:rFonts w:cs="Arial"/>
                <w:color w:val="FF0000"/>
                <w:sz w:val="21"/>
                <w:szCs w:val="21"/>
              </w:rPr>
            </w:pPr>
          </w:p>
        </w:tc>
        <w:tc>
          <w:tcPr>
            <w:tcW w:w="217" w:type="dxa"/>
          </w:tcPr>
          <w:p w14:paraId="22A91BED" w14:textId="77777777" w:rsidR="002C0FD9" w:rsidRPr="00CA25CF" w:rsidRDefault="002C0FD9" w:rsidP="00CA25CF">
            <w:pPr>
              <w:rPr>
                <w:rFonts w:cs="Arial"/>
                <w:color w:val="FF0000"/>
                <w:sz w:val="21"/>
                <w:szCs w:val="21"/>
              </w:rPr>
            </w:pPr>
          </w:p>
        </w:tc>
        <w:tc>
          <w:tcPr>
            <w:tcW w:w="217" w:type="dxa"/>
          </w:tcPr>
          <w:p w14:paraId="4CA10766" w14:textId="77777777" w:rsidR="002C0FD9" w:rsidRPr="00CA25CF" w:rsidRDefault="002C0FD9" w:rsidP="00CA25CF">
            <w:pPr>
              <w:rPr>
                <w:rFonts w:cs="Arial"/>
                <w:color w:val="FF0000"/>
                <w:sz w:val="21"/>
                <w:szCs w:val="21"/>
              </w:rPr>
            </w:pPr>
          </w:p>
        </w:tc>
        <w:tc>
          <w:tcPr>
            <w:tcW w:w="217" w:type="dxa"/>
          </w:tcPr>
          <w:p w14:paraId="58A5A5A7" w14:textId="77777777" w:rsidR="002C0FD9" w:rsidRPr="00CA25CF" w:rsidRDefault="002C0FD9" w:rsidP="00CA25CF">
            <w:pPr>
              <w:rPr>
                <w:rFonts w:cs="Arial"/>
                <w:color w:val="FF0000"/>
                <w:sz w:val="21"/>
                <w:szCs w:val="21"/>
              </w:rPr>
            </w:pPr>
          </w:p>
        </w:tc>
        <w:tc>
          <w:tcPr>
            <w:tcW w:w="217" w:type="dxa"/>
          </w:tcPr>
          <w:p w14:paraId="65D0CA16" w14:textId="77777777" w:rsidR="002C0FD9" w:rsidRPr="00CA25CF" w:rsidRDefault="002C0FD9" w:rsidP="00CA25CF">
            <w:pPr>
              <w:rPr>
                <w:rFonts w:cs="Arial"/>
                <w:color w:val="FF0000"/>
                <w:sz w:val="21"/>
                <w:szCs w:val="21"/>
              </w:rPr>
            </w:pPr>
          </w:p>
        </w:tc>
        <w:tc>
          <w:tcPr>
            <w:tcW w:w="217" w:type="dxa"/>
          </w:tcPr>
          <w:p w14:paraId="15E5A6B4" w14:textId="77777777" w:rsidR="002C0FD9" w:rsidRPr="00CA25CF" w:rsidRDefault="002C0FD9" w:rsidP="00CA25CF">
            <w:pPr>
              <w:rPr>
                <w:rFonts w:cs="Arial"/>
                <w:color w:val="FF0000"/>
                <w:sz w:val="21"/>
                <w:szCs w:val="21"/>
              </w:rPr>
            </w:pPr>
          </w:p>
        </w:tc>
        <w:tc>
          <w:tcPr>
            <w:tcW w:w="217" w:type="dxa"/>
          </w:tcPr>
          <w:p w14:paraId="263912C5" w14:textId="77777777" w:rsidR="002C0FD9" w:rsidRPr="00CA25CF" w:rsidRDefault="002C0FD9" w:rsidP="00CA25CF">
            <w:pPr>
              <w:rPr>
                <w:rFonts w:cs="Arial"/>
                <w:color w:val="FF0000"/>
                <w:sz w:val="21"/>
                <w:szCs w:val="21"/>
              </w:rPr>
            </w:pPr>
          </w:p>
        </w:tc>
        <w:tc>
          <w:tcPr>
            <w:tcW w:w="217" w:type="dxa"/>
          </w:tcPr>
          <w:p w14:paraId="7691DF10" w14:textId="77777777" w:rsidR="002C0FD9" w:rsidRPr="00CA25CF" w:rsidRDefault="002C0FD9" w:rsidP="00CA25CF">
            <w:pPr>
              <w:rPr>
                <w:rFonts w:cs="Arial"/>
                <w:color w:val="FF0000"/>
                <w:sz w:val="21"/>
                <w:szCs w:val="21"/>
              </w:rPr>
            </w:pPr>
          </w:p>
        </w:tc>
        <w:tc>
          <w:tcPr>
            <w:tcW w:w="217" w:type="dxa"/>
          </w:tcPr>
          <w:p w14:paraId="55275E4D" w14:textId="77777777" w:rsidR="002C0FD9" w:rsidRPr="00CA25CF" w:rsidRDefault="002C0FD9" w:rsidP="00CA25CF">
            <w:pPr>
              <w:rPr>
                <w:rFonts w:cs="Arial"/>
                <w:color w:val="FF0000"/>
                <w:sz w:val="21"/>
                <w:szCs w:val="21"/>
              </w:rPr>
            </w:pPr>
          </w:p>
        </w:tc>
        <w:tc>
          <w:tcPr>
            <w:tcW w:w="217" w:type="dxa"/>
          </w:tcPr>
          <w:p w14:paraId="6259829E" w14:textId="77777777" w:rsidR="002C0FD9" w:rsidRPr="00CA25CF" w:rsidRDefault="002C0FD9" w:rsidP="00CA25CF">
            <w:pPr>
              <w:rPr>
                <w:rFonts w:cs="Arial"/>
                <w:color w:val="FF0000"/>
                <w:sz w:val="21"/>
                <w:szCs w:val="21"/>
              </w:rPr>
            </w:pPr>
          </w:p>
        </w:tc>
        <w:tc>
          <w:tcPr>
            <w:tcW w:w="217" w:type="dxa"/>
          </w:tcPr>
          <w:p w14:paraId="1EF4CEA7" w14:textId="77777777" w:rsidR="002C0FD9" w:rsidRPr="00CA25CF" w:rsidRDefault="002C0FD9" w:rsidP="00CA25CF">
            <w:pPr>
              <w:rPr>
                <w:rFonts w:cs="Arial"/>
                <w:color w:val="FF0000"/>
                <w:sz w:val="21"/>
                <w:szCs w:val="21"/>
              </w:rPr>
            </w:pPr>
          </w:p>
        </w:tc>
        <w:tc>
          <w:tcPr>
            <w:tcW w:w="217" w:type="dxa"/>
          </w:tcPr>
          <w:p w14:paraId="30A89BAF" w14:textId="77777777" w:rsidR="002C0FD9" w:rsidRPr="00CA25CF" w:rsidRDefault="002C0FD9" w:rsidP="00CA25CF">
            <w:pPr>
              <w:rPr>
                <w:rFonts w:cs="Arial"/>
                <w:color w:val="FF0000"/>
                <w:sz w:val="21"/>
                <w:szCs w:val="21"/>
              </w:rPr>
            </w:pPr>
          </w:p>
        </w:tc>
        <w:tc>
          <w:tcPr>
            <w:tcW w:w="217" w:type="dxa"/>
          </w:tcPr>
          <w:p w14:paraId="4F695932" w14:textId="77777777" w:rsidR="002C0FD9" w:rsidRPr="00CA25CF" w:rsidRDefault="002C0FD9" w:rsidP="00CA25CF">
            <w:pPr>
              <w:rPr>
                <w:rFonts w:cs="Arial"/>
                <w:color w:val="FF0000"/>
                <w:sz w:val="21"/>
                <w:szCs w:val="21"/>
              </w:rPr>
            </w:pPr>
          </w:p>
        </w:tc>
        <w:tc>
          <w:tcPr>
            <w:tcW w:w="217" w:type="dxa"/>
          </w:tcPr>
          <w:p w14:paraId="178FBE17" w14:textId="77777777" w:rsidR="002C0FD9" w:rsidRPr="00CA25CF" w:rsidRDefault="002C0FD9" w:rsidP="00CA25CF">
            <w:pPr>
              <w:rPr>
                <w:rFonts w:cs="Arial"/>
                <w:color w:val="FF0000"/>
                <w:sz w:val="21"/>
                <w:szCs w:val="21"/>
              </w:rPr>
            </w:pPr>
          </w:p>
        </w:tc>
        <w:tc>
          <w:tcPr>
            <w:tcW w:w="217" w:type="dxa"/>
          </w:tcPr>
          <w:p w14:paraId="007C338E" w14:textId="77777777" w:rsidR="002C0FD9" w:rsidRPr="00CA25CF" w:rsidRDefault="002C0FD9" w:rsidP="00CA25CF">
            <w:pPr>
              <w:rPr>
                <w:rFonts w:cs="Arial"/>
                <w:color w:val="FF0000"/>
                <w:sz w:val="21"/>
                <w:szCs w:val="21"/>
              </w:rPr>
            </w:pPr>
          </w:p>
        </w:tc>
        <w:tc>
          <w:tcPr>
            <w:tcW w:w="217" w:type="dxa"/>
          </w:tcPr>
          <w:p w14:paraId="37D26EBB" w14:textId="77777777" w:rsidR="002C0FD9" w:rsidRPr="00CA25CF" w:rsidRDefault="002C0FD9" w:rsidP="00CA25CF">
            <w:pPr>
              <w:rPr>
                <w:rFonts w:cs="Arial"/>
                <w:color w:val="FF0000"/>
                <w:sz w:val="21"/>
                <w:szCs w:val="21"/>
              </w:rPr>
            </w:pPr>
          </w:p>
        </w:tc>
        <w:tc>
          <w:tcPr>
            <w:tcW w:w="217" w:type="dxa"/>
          </w:tcPr>
          <w:p w14:paraId="1EEED2DB" w14:textId="77777777" w:rsidR="002C0FD9" w:rsidRPr="00CA25CF" w:rsidRDefault="002C0FD9" w:rsidP="00CA25CF">
            <w:pPr>
              <w:rPr>
                <w:rFonts w:cs="Arial"/>
                <w:color w:val="FF0000"/>
                <w:sz w:val="21"/>
                <w:szCs w:val="21"/>
              </w:rPr>
            </w:pPr>
          </w:p>
        </w:tc>
        <w:tc>
          <w:tcPr>
            <w:tcW w:w="217" w:type="dxa"/>
          </w:tcPr>
          <w:p w14:paraId="4B1BCF1C" w14:textId="77777777" w:rsidR="002C0FD9" w:rsidRPr="00CA25CF" w:rsidRDefault="002C0FD9" w:rsidP="00CA25CF">
            <w:pPr>
              <w:rPr>
                <w:rFonts w:cs="Arial"/>
                <w:color w:val="FF0000"/>
                <w:sz w:val="21"/>
                <w:szCs w:val="21"/>
              </w:rPr>
            </w:pPr>
          </w:p>
        </w:tc>
        <w:tc>
          <w:tcPr>
            <w:tcW w:w="217" w:type="dxa"/>
          </w:tcPr>
          <w:p w14:paraId="04E53DD1" w14:textId="77777777" w:rsidR="002C0FD9" w:rsidRPr="00CA25CF" w:rsidRDefault="002C0FD9" w:rsidP="00CA25CF">
            <w:pPr>
              <w:rPr>
                <w:rFonts w:cs="Arial"/>
                <w:color w:val="FF0000"/>
                <w:sz w:val="21"/>
                <w:szCs w:val="21"/>
              </w:rPr>
            </w:pPr>
          </w:p>
        </w:tc>
        <w:tc>
          <w:tcPr>
            <w:tcW w:w="217" w:type="dxa"/>
          </w:tcPr>
          <w:p w14:paraId="698129D4" w14:textId="77777777" w:rsidR="002C0FD9" w:rsidRPr="00CA25CF" w:rsidRDefault="002C0FD9" w:rsidP="00CA25CF">
            <w:pPr>
              <w:rPr>
                <w:rFonts w:cs="Arial"/>
                <w:color w:val="FF0000"/>
                <w:sz w:val="21"/>
                <w:szCs w:val="21"/>
              </w:rPr>
            </w:pPr>
          </w:p>
        </w:tc>
        <w:tc>
          <w:tcPr>
            <w:tcW w:w="217" w:type="dxa"/>
          </w:tcPr>
          <w:p w14:paraId="1B2E9EFB" w14:textId="77777777" w:rsidR="002C0FD9" w:rsidRPr="00CA25CF" w:rsidRDefault="002C0FD9" w:rsidP="00CA25CF">
            <w:pPr>
              <w:rPr>
                <w:rFonts w:cs="Arial"/>
                <w:color w:val="FF0000"/>
                <w:sz w:val="21"/>
                <w:szCs w:val="21"/>
              </w:rPr>
            </w:pPr>
          </w:p>
        </w:tc>
      </w:tr>
      <w:tr w:rsidR="002C0FD9" w:rsidRPr="00A16219" w14:paraId="4ECA01D9" w14:textId="77777777" w:rsidTr="002C0FD9">
        <w:trPr>
          <w:trHeight w:val="635"/>
        </w:trPr>
        <w:tc>
          <w:tcPr>
            <w:tcW w:w="515" w:type="dxa"/>
          </w:tcPr>
          <w:p w14:paraId="1BA97F3F" w14:textId="77777777" w:rsidR="002C0FD9" w:rsidRPr="00CA25CF" w:rsidRDefault="002C0FD9" w:rsidP="00CA25CF">
            <w:pPr>
              <w:rPr>
                <w:rFonts w:cs="Arial"/>
                <w:color w:val="FF0000"/>
                <w:sz w:val="21"/>
                <w:szCs w:val="21"/>
              </w:rPr>
            </w:pPr>
          </w:p>
        </w:tc>
        <w:tc>
          <w:tcPr>
            <w:tcW w:w="217" w:type="dxa"/>
          </w:tcPr>
          <w:p w14:paraId="50835047" w14:textId="77777777" w:rsidR="002C0FD9" w:rsidRPr="00CA25CF" w:rsidRDefault="002C0FD9" w:rsidP="00CA25CF">
            <w:pPr>
              <w:rPr>
                <w:rFonts w:cs="Arial"/>
                <w:color w:val="FF0000"/>
                <w:sz w:val="21"/>
                <w:szCs w:val="21"/>
              </w:rPr>
            </w:pPr>
          </w:p>
        </w:tc>
        <w:tc>
          <w:tcPr>
            <w:tcW w:w="217" w:type="dxa"/>
          </w:tcPr>
          <w:p w14:paraId="58AB9D11" w14:textId="77777777" w:rsidR="002C0FD9" w:rsidRPr="00CA25CF" w:rsidRDefault="002C0FD9" w:rsidP="00CA25CF">
            <w:pPr>
              <w:rPr>
                <w:rFonts w:cs="Arial"/>
                <w:color w:val="FF0000"/>
                <w:sz w:val="21"/>
                <w:szCs w:val="21"/>
              </w:rPr>
            </w:pPr>
          </w:p>
        </w:tc>
        <w:tc>
          <w:tcPr>
            <w:tcW w:w="217" w:type="dxa"/>
          </w:tcPr>
          <w:p w14:paraId="4AB576E2" w14:textId="77777777" w:rsidR="002C0FD9" w:rsidRPr="00CA25CF" w:rsidRDefault="002C0FD9" w:rsidP="00CA25CF">
            <w:pPr>
              <w:rPr>
                <w:rFonts w:cs="Arial"/>
                <w:color w:val="FF0000"/>
                <w:sz w:val="21"/>
                <w:szCs w:val="21"/>
              </w:rPr>
            </w:pPr>
          </w:p>
        </w:tc>
        <w:tc>
          <w:tcPr>
            <w:tcW w:w="217" w:type="dxa"/>
          </w:tcPr>
          <w:p w14:paraId="2E9E908C" w14:textId="77777777" w:rsidR="002C0FD9" w:rsidRPr="00CA25CF" w:rsidRDefault="002C0FD9" w:rsidP="00CA25CF">
            <w:pPr>
              <w:rPr>
                <w:rFonts w:cs="Arial"/>
                <w:color w:val="FF0000"/>
                <w:sz w:val="21"/>
                <w:szCs w:val="21"/>
              </w:rPr>
            </w:pPr>
          </w:p>
        </w:tc>
        <w:tc>
          <w:tcPr>
            <w:tcW w:w="217" w:type="dxa"/>
          </w:tcPr>
          <w:p w14:paraId="141C1989" w14:textId="77777777" w:rsidR="002C0FD9" w:rsidRPr="00CA25CF" w:rsidRDefault="002C0FD9" w:rsidP="00CA25CF">
            <w:pPr>
              <w:rPr>
                <w:rFonts w:cs="Arial"/>
                <w:color w:val="FF0000"/>
                <w:sz w:val="21"/>
                <w:szCs w:val="21"/>
              </w:rPr>
            </w:pPr>
          </w:p>
        </w:tc>
        <w:tc>
          <w:tcPr>
            <w:tcW w:w="217" w:type="dxa"/>
          </w:tcPr>
          <w:p w14:paraId="150C6BF9" w14:textId="77777777" w:rsidR="002C0FD9" w:rsidRPr="00CA25CF" w:rsidRDefault="002C0FD9" w:rsidP="00CA25CF">
            <w:pPr>
              <w:rPr>
                <w:rFonts w:cs="Arial"/>
                <w:color w:val="FF0000"/>
                <w:sz w:val="21"/>
                <w:szCs w:val="21"/>
              </w:rPr>
            </w:pPr>
          </w:p>
        </w:tc>
        <w:tc>
          <w:tcPr>
            <w:tcW w:w="217" w:type="dxa"/>
          </w:tcPr>
          <w:p w14:paraId="1896E2B6" w14:textId="77777777" w:rsidR="002C0FD9" w:rsidRPr="00CA25CF" w:rsidRDefault="002C0FD9" w:rsidP="00CA25CF">
            <w:pPr>
              <w:rPr>
                <w:rFonts w:cs="Arial"/>
                <w:color w:val="FF0000"/>
                <w:sz w:val="21"/>
                <w:szCs w:val="21"/>
              </w:rPr>
            </w:pPr>
          </w:p>
        </w:tc>
        <w:tc>
          <w:tcPr>
            <w:tcW w:w="217" w:type="dxa"/>
          </w:tcPr>
          <w:p w14:paraId="6F841CE2" w14:textId="77777777" w:rsidR="002C0FD9" w:rsidRPr="00CA25CF" w:rsidRDefault="002C0FD9" w:rsidP="00CA25CF">
            <w:pPr>
              <w:rPr>
                <w:rFonts w:cs="Arial"/>
                <w:color w:val="FF0000"/>
                <w:sz w:val="21"/>
                <w:szCs w:val="21"/>
              </w:rPr>
            </w:pPr>
          </w:p>
        </w:tc>
        <w:tc>
          <w:tcPr>
            <w:tcW w:w="217" w:type="dxa"/>
          </w:tcPr>
          <w:p w14:paraId="3A54EFDB" w14:textId="77777777" w:rsidR="002C0FD9" w:rsidRPr="00CA25CF" w:rsidRDefault="002C0FD9" w:rsidP="00CA25CF">
            <w:pPr>
              <w:rPr>
                <w:rFonts w:cs="Arial"/>
                <w:color w:val="FF0000"/>
                <w:sz w:val="21"/>
                <w:szCs w:val="21"/>
              </w:rPr>
            </w:pPr>
          </w:p>
        </w:tc>
        <w:tc>
          <w:tcPr>
            <w:tcW w:w="217" w:type="dxa"/>
          </w:tcPr>
          <w:p w14:paraId="678271A8" w14:textId="77777777" w:rsidR="002C0FD9" w:rsidRPr="00CA25CF" w:rsidRDefault="002C0FD9" w:rsidP="00CA25CF">
            <w:pPr>
              <w:rPr>
                <w:rFonts w:cs="Arial"/>
                <w:color w:val="FF0000"/>
                <w:sz w:val="21"/>
                <w:szCs w:val="21"/>
              </w:rPr>
            </w:pPr>
          </w:p>
        </w:tc>
        <w:tc>
          <w:tcPr>
            <w:tcW w:w="217" w:type="dxa"/>
          </w:tcPr>
          <w:p w14:paraId="124F36B7" w14:textId="77777777" w:rsidR="002C0FD9" w:rsidRPr="00CA25CF" w:rsidRDefault="002C0FD9" w:rsidP="00CA25CF">
            <w:pPr>
              <w:rPr>
                <w:rFonts w:cs="Arial"/>
                <w:color w:val="FF0000"/>
                <w:sz w:val="21"/>
                <w:szCs w:val="21"/>
              </w:rPr>
            </w:pPr>
          </w:p>
        </w:tc>
        <w:tc>
          <w:tcPr>
            <w:tcW w:w="217" w:type="dxa"/>
          </w:tcPr>
          <w:p w14:paraId="03F2C78D" w14:textId="77777777" w:rsidR="002C0FD9" w:rsidRPr="00CA25CF" w:rsidRDefault="002C0FD9" w:rsidP="00CA25CF">
            <w:pPr>
              <w:rPr>
                <w:rFonts w:cs="Arial"/>
                <w:color w:val="FF0000"/>
                <w:sz w:val="21"/>
                <w:szCs w:val="21"/>
              </w:rPr>
            </w:pPr>
          </w:p>
        </w:tc>
        <w:tc>
          <w:tcPr>
            <w:tcW w:w="217" w:type="dxa"/>
          </w:tcPr>
          <w:p w14:paraId="13DE2120" w14:textId="77777777" w:rsidR="002C0FD9" w:rsidRPr="00CA25CF" w:rsidRDefault="002C0FD9" w:rsidP="00CA25CF">
            <w:pPr>
              <w:rPr>
                <w:rFonts w:cs="Arial"/>
                <w:color w:val="FF0000"/>
                <w:sz w:val="21"/>
                <w:szCs w:val="21"/>
              </w:rPr>
            </w:pPr>
          </w:p>
        </w:tc>
        <w:tc>
          <w:tcPr>
            <w:tcW w:w="217" w:type="dxa"/>
          </w:tcPr>
          <w:p w14:paraId="4BA9853E" w14:textId="77777777" w:rsidR="002C0FD9" w:rsidRPr="00CA25CF" w:rsidRDefault="002C0FD9" w:rsidP="00CA25CF">
            <w:pPr>
              <w:rPr>
                <w:rFonts w:cs="Arial"/>
                <w:color w:val="FF0000"/>
                <w:sz w:val="21"/>
                <w:szCs w:val="21"/>
              </w:rPr>
            </w:pPr>
          </w:p>
        </w:tc>
        <w:tc>
          <w:tcPr>
            <w:tcW w:w="217" w:type="dxa"/>
          </w:tcPr>
          <w:p w14:paraId="41697357" w14:textId="77777777" w:rsidR="002C0FD9" w:rsidRPr="00CA25CF" w:rsidRDefault="002C0FD9" w:rsidP="00CA25CF">
            <w:pPr>
              <w:rPr>
                <w:rFonts w:cs="Arial"/>
                <w:color w:val="FF0000"/>
                <w:sz w:val="21"/>
                <w:szCs w:val="21"/>
              </w:rPr>
            </w:pPr>
          </w:p>
        </w:tc>
        <w:tc>
          <w:tcPr>
            <w:tcW w:w="217" w:type="dxa"/>
          </w:tcPr>
          <w:p w14:paraId="057AA5F4" w14:textId="77777777" w:rsidR="002C0FD9" w:rsidRPr="00CA25CF" w:rsidRDefault="002C0FD9" w:rsidP="00CA25CF">
            <w:pPr>
              <w:rPr>
                <w:rFonts w:cs="Arial"/>
                <w:color w:val="FF0000"/>
                <w:sz w:val="21"/>
                <w:szCs w:val="21"/>
              </w:rPr>
            </w:pPr>
          </w:p>
        </w:tc>
        <w:tc>
          <w:tcPr>
            <w:tcW w:w="217" w:type="dxa"/>
          </w:tcPr>
          <w:p w14:paraId="4D3D30D8" w14:textId="77777777" w:rsidR="002C0FD9" w:rsidRPr="00CA25CF" w:rsidRDefault="002C0FD9" w:rsidP="00CA25CF">
            <w:pPr>
              <w:rPr>
                <w:rFonts w:cs="Arial"/>
                <w:color w:val="FF0000"/>
                <w:sz w:val="21"/>
                <w:szCs w:val="21"/>
              </w:rPr>
            </w:pPr>
          </w:p>
        </w:tc>
        <w:tc>
          <w:tcPr>
            <w:tcW w:w="217" w:type="dxa"/>
          </w:tcPr>
          <w:p w14:paraId="3F87B8F1" w14:textId="77777777" w:rsidR="002C0FD9" w:rsidRPr="00CA25CF" w:rsidRDefault="002C0FD9" w:rsidP="00CA25CF">
            <w:pPr>
              <w:rPr>
                <w:rFonts w:cs="Arial"/>
                <w:color w:val="FF0000"/>
                <w:sz w:val="21"/>
                <w:szCs w:val="21"/>
              </w:rPr>
            </w:pPr>
          </w:p>
        </w:tc>
        <w:tc>
          <w:tcPr>
            <w:tcW w:w="217" w:type="dxa"/>
          </w:tcPr>
          <w:p w14:paraId="54CED3A9" w14:textId="77777777" w:rsidR="002C0FD9" w:rsidRPr="00CA25CF" w:rsidRDefault="002C0FD9" w:rsidP="00CA25CF">
            <w:pPr>
              <w:rPr>
                <w:rFonts w:cs="Arial"/>
                <w:color w:val="FF0000"/>
                <w:sz w:val="21"/>
                <w:szCs w:val="21"/>
              </w:rPr>
            </w:pPr>
          </w:p>
        </w:tc>
        <w:tc>
          <w:tcPr>
            <w:tcW w:w="217" w:type="dxa"/>
          </w:tcPr>
          <w:p w14:paraId="1D9AD9A1" w14:textId="77777777" w:rsidR="002C0FD9" w:rsidRPr="00CA25CF" w:rsidRDefault="002C0FD9" w:rsidP="00CA25CF">
            <w:pPr>
              <w:rPr>
                <w:rFonts w:cs="Arial"/>
                <w:color w:val="FF0000"/>
                <w:sz w:val="21"/>
                <w:szCs w:val="21"/>
              </w:rPr>
            </w:pPr>
          </w:p>
        </w:tc>
        <w:tc>
          <w:tcPr>
            <w:tcW w:w="217" w:type="dxa"/>
          </w:tcPr>
          <w:p w14:paraId="589BCA28" w14:textId="77777777" w:rsidR="002C0FD9" w:rsidRPr="00CA25CF" w:rsidRDefault="002C0FD9" w:rsidP="00CA25CF">
            <w:pPr>
              <w:rPr>
                <w:rFonts w:cs="Arial"/>
                <w:color w:val="FF0000"/>
                <w:sz w:val="21"/>
                <w:szCs w:val="21"/>
              </w:rPr>
            </w:pPr>
          </w:p>
        </w:tc>
        <w:tc>
          <w:tcPr>
            <w:tcW w:w="217" w:type="dxa"/>
          </w:tcPr>
          <w:p w14:paraId="6BA7441C" w14:textId="77777777" w:rsidR="002C0FD9" w:rsidRPr="00CA25CF" w:rsidRDefault="002C0FD9" w:rsidP="00CA25CF">
            <w:pPr>
              <w:rPr>
                <w:rFonts w:cs="Arial"/>
                <w:color w:val="FF0000"/>
                <w:sz w:val="21"/>
                <w:szCs w:val="21"/>
              </w:rPr>
            </w:pPr>
          </w:p>
        </w:tc>
        <w:tc>
          <w:tcPr>
            <w:tcW w:w="217" w:type="dxa"/>
          </w:tcPr>
          <w:p w14:paraId="0AECCF60" w14:textId="77777777" w:rsidR="002C0FD9" w:rsidRPr="00CA25CF" w:rsidRDefault="002C0FD9" w:rsidP="00CA25CF">
            <w:pPr>
              <w:rPr>
                <w:rFonts w:cs="Arial"/>
                <w:color w:val="FF0000"/>
                <w:sz w:val="21"/>
                <w:szCs w:val="21"/>
              </w:rPr>
            </w:pPr>
          </w:p>
        </w:tc>
        <w:tc>
          <w:tcPr>
            <w:tcW w:w="217" w:type="dxa"/>
          </w:tcPr>
          <w:p w14:paraId="39DC4A40" w14:textId="77777777" w:rsidR="002C0FD9" w:rsidRPr="00CA25CF" w:rsidRDefault="002C0FD9" w:rsidP="00CA25CF">
            <w:pPr>
              <w:rPr>
                <w:rFonts w:cs="Arial"/>
                <w:color w:val="FF0000"/>
                <w:sz w:val="21"/>
                <w:szCs w:val="21"/>
              </w:rPr>
            </w:pPr>
          </w:p>
        </w:tc>
        <w:tc>
          <w:tcPr>
            <w:tcW w:w="217" w:type="dxa"/>
          </w:tcPr>
          <w:p w14:paraId="531951D0" w14:textId="77777777" w:rsidR="002C0FD9" w:rsidRPr="00CA25CF" w:rsidRDefault="002C0FD9" w:rsidP="00CA25CF">
            <w:pPr>
              <w:rPr>
                <w:rFonts w:cs="Arial"/>
                <w:color w:val="FF0000"/>
                <w:sz w:val="21"/>
                <w:szCs w:val="21"/>
              </w:rPr>
            </w:pPr>
          </w:p>
        </w:tc>
        <w:tc>
          <w:tcPr>
            <w:tcW w:w="217" w:type="dxa"/>
          </w:tcPr>
          <w:p w14:paraId="0D648D3B" w14:textId="77777777" w:rsidR="002C0FD9" w:rsidRPr="00CA25CF" w:rsidRDefault="002C0FD9" w:rsidP="00CA25CF">
            <w:pPr>
              <w:rPr>
                <w:rFonts w:cs="Arial"/>
                <w:color w:val="FF0000"/>
                <w:sz w:val="21"/>
                <w:szCs w:val="21"/>
              </w:rPr>
            </w:pPr>
          </w:p>
        </w:tc>
        <w:tc>
          <w:tcPr>
            <w:tcW w:w="217" w:type="dxa"/>
          </w:tcPr>
          <w:p w14:paraId="658ABCCA" w14:textId="77777777" w:rsidR="002C0FD9" w:rsidRPr="00CA25CF" w:rsidRDefault="002C0FD9" w:rsidP="00CA25CF">
            <w:pPr>
              <w:rPr>
                <w:rFonts w:cs="Arial"/>
                <w:color w:val="FF0000"/>
                <w:sz w:val="21"/>
                <w:szCs w:val="21"/>
              </w:rPr>
            </w:pPr>
          </w:p>
        </w:tc>
        <w:tc>
          <w:tcPr>
            <w:tcW w:w="217" w:type="dxa"/>
          </w:tcPr>
          <w:p w14:paraId="16797F9B" w14:textId="77777777" w:rsidR="002C0FD9" w:rsidRPr="00CA25CF" w:rsidRDefault="002C0FD9" w:rsidP="00CA25CF">
            <w:pPr>
              <w:rPr>
                <w:rFonts w:cs="Arial"/>
                <w:color w:val="FF0000"/>
                <w:sz w:val="21"/>
                <w:szCs w:val="21"/>
              </w:rPr>
            </w:pPr>
          </w:p>
        </w:tc>
        <w:tc>
          <w:tcPr>
            <w:tcW w:w="217" w:type="dxa"/>
          </w:tcPr>
          <w:p w14:paraId="4E211834" w14:textId="77777777" w:rsidR="002C0FD9" w:rsidRPr="00CA25CF" w:rsidRDefault="002C0FD9" w:rsidP="00CA25CF">
            <w:pPr>
              <w:rPr>
                <w:rFonts w:cs="Arial"/>
                <w:color w:val="FF0000"/>
                <w:sz w:val="21"/>
                <w:szCs w:val="21"/>
              </w:rPr>
            </w:pPr>
          </w:p>
        </w:tc>
        <w:tc>
          <w:tcPr>
            <w:tcW w:w="217" w:type="dxa"/>
          </w:tcPr>
          <w:p w14:paraId="66AA53E3" w14:textId="77777777" w:rsidR="002C0FD9" w:rsidRPr="00CA25CF" w:rsidRDefault="002C0FD9" w:rsidP="00CA25CF">
            <w:pPr>
              <w:rPr>
                <w:rFonts w:cs="Arial"/>
                <w:color w:val="FF0000"/>
                <w:sz w:val="21"/>
                <w:szCs w:val="21"/>
              </w:rPr>
            </w:pPr>
          </w:p>
        </w:tc>
        <w:tc>
          <w:tcPr>
            <w:tcW w:w="217" w:type="dxa"/>
          </w:tcPr>
          <w:p w14:paraId="2F6112DE" w14:textId="77777777" w:rsidR="002C0FD9" w:rsidRPr="00CA25CF" w:rsidRDefault="002C0FD9" w:rsidP="00CA25CF">
            <w:pPr>
              <w:rPr>
                <w:rFonts w:cs="Arial"/>
                <w:color w:val="FF0000"/>
                <w:sz w:val="21"/>
                <w:szCs w:val="21"/>
              </w:rPr>
            </w:pPr>
          </w:p>
        </w:tc>
        <w:tc>
          <w:tcPr>
            <w:tcW w:w="217" w:type="dxa"/>
          </w:tcPr>
          <w:p w14:paraId="3A1D9B9A" w14:textId="77777777" w:rsidR="002C0FD9" w:rsidRPr="00CA25CF" w:rsidRDefault="002C0FD9" w:rsidP="00CA25CF">
            <w:pPr>
              <w:rPr>
                <w:rFonts w:cs="Arial"/>
                <w:color w:val="FF0000"/>
                <w:sz w:val="21"/>
                <w:szCs w:val="21"/>
              </w:rPr>
            </w:pPr>
          </w:p>
        </w:tc>
        <w:tc>
          <w:tcPr>
            <w:tcW w:w="217" w:type="dxa"/>
          </w:tcPr>
          <w:p w14:paraId="1CE72B54" w14:textId="77777777" w:rsidR="002C0FD9" w:rsidRPr="00CA25CF" w:rsidRDefault="002C0FD9" w:rsidP="00CA25CF">
            <w:pPr>
              <w:rPr>
                <w:rFonts w:cs="Arial"/>
                <w:color w:val="FF0000"/>
                <w:sz w:val="21"/>
                <w:szCs w:val="21"/>
              </w:rPr>
            </w:pPr>
          </w:p>
        </w:tc>
        <w:tc>
          <w:tcPr>
            <w:tcW w:w="217" w:type="dxa"/>
          </w:tcPr>
          <w:p w14:paraId="6B75FAD2" w14:textId="77777777" w:rsidR="002C0FD9" w:rsidRPr="00CA25CF" w:rsidRDefault="002C0FD9" w:rsidP="00CA25CF">
            <w:pPr>
              <w:rPr>
                <w:rFonts w:cs="Arial"/>
                <w:color w:val="FF0000"/>
                <w:sz w:val="21"/>
                <w:szCs w:val="21"/>
              </w:rPr>
            </w:pPr>
          </w:p>
        </w:tc>
        <w:tc>
          <w:tcPr>
            <w:tcW w:w="217" w:type="dxa"/>
          </w:tcPr>
          <w:p w14:paraId="28244B2B" w14:textId="77777777" w:rsidR="002C0FD9" w:rsidRPr="00CA25CF" w:rsidRDefault="002C0FD9" w:rsidP="00CA25CF">
            <w:pPr>
              <w:rPr>
                <w:rFonts w:cs="Arial"/>
                <w:color w:val="FF0000"/>
                <w:sz w:val="21"/>
                <w:szCs w:val="21"/>
              </w:rPr>
            </w:pPr>
          </w:p>
        </w:tc>
        <w:tc>
          <w:tcPr>
            <w:tcW w:w="217" w:type="dxa"/>
          </w:tcPr>
          <w:p w14:paraId="13647449" w14:textId="77777777" w:rsidR="002C0FD9" w:rsidRPr="00CA25CF" w:rsidRDefault="002C0FD9" w:rsidP="00CA25CF">
            <w:pPr>
              <w:rPr>
                <w:rFonts w:cs="Arial"/>
                <w:color w:val="FF0000"/>
                <w:sz w:val="21"/>
                <w:szCs w:val="21"/>
              </w:rPr>
            </w:pPr>
          </w:p>
        </w:tc>
        <w:tc>
          <w:tcPr>
            <w:tcW w:w="217" w:type="dxa"/>
          </w:tcPr>
          <w:p w14:paraId="0FCDC8D3" w14:textId="77777777" w:rsidR="002C0FD9" w:rsidRPr="00CA25CF" w:rsidRDefault="002C0FD9" w:rsidP="00CA25CF">
            <w:pPr>
              <w:rPr>
                <w:rFonts w:cs="Arial"/>
                <w:color w:val="FF0000"/>
                <w:sz w:val="21"/>
                <w:szCs w:val="21"/>
              </w:rPr>
            </w:pPr>
          </w:p>
        </w:tc>
        <w:tc>
          <w:tcPr>
            <w:tcW w:w="217" w:type="dxa"/>
          </w:tcPr>
          <w:p w14:paraId="649DF1E2" w14:textId="77777777" w:rsidR="002C0FD9" w:rsidRPr="00CA25CF" w:rsidRDefault="002C0FD9" w:rsidP="00CA25CF">
            <w:pPr>
              <w:rPr>
                <w:rFonts w:cs="Arial"/>
                <w:color w:val="FF0000"/>
                <w:sz w:val="21"/>
                <w:szCs w:val="21"/>
              </w:rPr>
            </w:pPr>
          </w:p>
        </w:tc>
        <w:tc>
          <w:tcPr>
            <w:tcW w:w="217" w:type="dxa"/>
          </w:tcPr>
          <w:p w14:paraId="1A5563E3" w14:textId="77777777" w:rsidR="002C0FD9" w:rsidRPr="00CA25CF" w:rsidRDefault="002C0FD9" w:rsidP="00CA25CF">
            <w:pPr>
              <w:rPr>
                <w:rFonts w:cs="Arial"/>
                <w:color w:val="FF0000"/>
                <w:sz w:val="21"/>
                <w:szCs w:val="21"/>
              </w:rPr>
            </w:pPr>
          </w:p>
        </w:tc>
        <w:tc>
          <w:tcPr>
            <w:tcW w:w="217" w:type="dxa"/>
          </w:tcPr>
          <w:p w14:paraId="58E5CDCF" w14:textId="77777777" w:rsidR="002C0FD9" w:rsidRPr="00CA25CF" w:rsidRDefault="002C0FD9" w:rsidP="00CA25CF">
            <w:pPr>
              <w:rPr>
                <w:rFonts w:cs="Arial"/>
                <w:color w:val="FF0000"/>
                <w:sz w:val="21"/>
                <w:szCs w:val="21"/>
              </w:rPr>
            </w:pPr>
          </w:p>
        </w:tc>
        <w:tc>
          <w:tcPr>
            <w:tcW w:w="217" w:type="dxa"/>
          </w:tcPr>
          <w:p w14:paraId="03156FF2" w14:textId="77777777" w:rsidR="002C0FD9" w:rsidRPr="00CA25CF" w:rsidRDefault="002C0FD9" w:rsidP="00CA25CF">
            <w:pPr>
              <w:rPr>
                <w:rFonts w:cs="Arial"/>
                <w:color w:val="FF0000"/>
                <w:sz w:val="21"/>
                <w:szCs w:val="21"/>
              </w:rPr>
            </w:pPr>
          </w:p>
        </w:tc>
        <w:tc>
          <w:tcPr>
            <w:tcW w:w="217" w:type="dxa"/>
          </w:tcPr>
          <w:p w14:paraId="6874400C" w14:textId="77777777" w:rsidR="002C0FD9" w:rsidRPr="00CA25CF" w:rsidRDefault="002C0FD9" w:rsidP="00CA25CF">
            <w:pPr>
              <w:rPr>
                <w:rFonts w:cs="Arial"/>
                <w:color w:val="FF0000"/>
                <w:sz w:val="21"/>
                <w:szCs w:val="21"/>
              </w:rPr>
            </w:pPr>
          </w:p>
        </w:tc>
      </w:tr>
      <w:tr w:rsidR="002C0FD9" w:rsidRPr="00A16219" w14:paraId="009526CC" w14:textId="77777777" w:rsidTr="002C0FD9">
        <w:trPr>
          <w:trHeight w:val="635"/>
        </w:trPr>
        <w:tc>
          <w:tcPr>
            <w:tcW w:w="515" w:type="dxa"/>
          </w:tcPr>
          <w:p w14:paraId="36B5CB7B" w14:textId="77777777" w:rsidR="002C0FD9" w:rsidRPr="00CA25CF" w:rsidRDefault="002C0FD9" w:rsidP="00CA25CF">
            <w:pPr>
              <w:rPr>
                <w:rFonts w:cs="Arial"/>
                <w:color w:val="FF0000"/>
                <w:sz w:val="21"/>
                <w:szCs w:val="21"/>
              </w:rPr>
            </w:pPr>
          </w:p>
        </w:tc>
        <w:tc>
          <w:tcPr>
            <w:tcW w:w="217" w:type="dxa"/>
          </w:tcPr>
          <w:p w14:paraId="774C0BDE" w14:textId="77777777" w:rsidR="002C0FD9" w:rsidRPr="00CA25CF" w:rsidRDefault="002C0FD9" w:rsidP="00CA25CF">
            <w:pPr>
              <w:rPr>
                <w:rFonts w:cs="Arial"/>
                <w:color w:val="FF0000"/>
                <w:sz w:val="21"/>
                <w:szCs w:val="21"/>
              </w:rPr>
            </w:pPr>
          </w:p>
        </w:tc>
        <w:tc>
          <w:tcPr>
            <w:tcW w:w="217" w:type="dxa"/>
          </w:tcPr>
          <w:p w14:paraId="3B7029DA" w14:textId="77777777" w:rsidR="002C0FD9" w:rsidRPr="00CA25CF" w:rsidRDefault="002C0FD9" w:rsidP="00CA25CF">
            <w:pPr>
              <w:rPr>
                <w:rFonts w:cs="Arial"/>
                <w:color w:val="FF0000"/>
                <w:sz w:val="21"/>
                <w:szCs w:val="21"/>
              </w:rPr>
            </w:pPr>
          </w:p>
        </w:tc>
        <w:tc>
          <w:tcPr>
            <w:tcW w:w="217" w:type="dxa"/>
          </w:tcPr>
          <w:p w14:paraId="590260BE" w14:textId="77777777" w:rsidR="002C0FD9" w:rsidRPr="00CA25CF" w:rsidRDefault="002C0FD9" w:rsidP="00CA25CF">
            <w:pPr>
              <w:rPr>
                <w:rFonts w:cs="Arial"/>
                <w:color w:val="FF0000"/>
                <w:sz w:val="21"/>
                <w:szCs w:val="21"/>
              </w:rPr>
            </w:pPr>
          </w:p>
        </w:tc>
        <w:tc>
          <w:tcPr>
            <w:tcW w:w="217" w:type="dxa"/>
          </w:tcPr>
          <w:p w14:paraId="4B463CFA" w14:textId="77777777" w:rsidR="002C0FD9" w:rsidRPr="00CA25CF" w:rsidRDefault="002C0FD9" w:rsidP="00CA25CF">
            <w:pPr>
              <w:rPr>
                <w:rFonts w:cs="Arial"/>
                <w:color w:val="FF0000"/>
                <w:sz w:val="21"/>
                <w:szCs w:val="21"/>
              </w:rPr>
            </w:pPr>
          </w:p>
        </w:tc>
        <w:tc>
          <w:tcPr>
            <w:tcW w:w="217" w:type="dxa"/>
          </w:tcPr>
          <w:p w14:paraId="609E287F" w14:textId="77777777" w:rsidR="002C0FD9" w:rsidRPr="00CA25CF" w:rsidRDefault="002C0FD9" w:rsidP="00CA25CF">
            <w:pPr>
              <w:rPr>
                <w:rFonts w:cs="Arial"/>
                <w:color w:val="FF0000"/>
                <w:sz w:val="21"/>
                <w:szCs w:val="21"/>
              </w:rPr>
            </w:pPr>
          </w:p>
        </w:tc>
        <w:tc>
          <w:tcPr>
            <w:tcW w:w="217" w:type="dxa"/>
          </w:tcPr>
          <w:p w14:paraId="2E847CA2" w14:textId="77777777" w:rsidR="002C0FD9" w:rsidRPr="00CA25CF" w:rsidRDefault="002C0FD9" w:rsidP="00CA25CF">
            <w:pPr>
              <w:rPr>
                <w:rFonts w:cs="Arial"/>
                <w:color w:val="FF0000"/>
                <w:sz w:val="21"/>
                <w:szCs w:val="21"/>
              </w:rPr>
            </w:pPr>
          </w:p>
        </w:tc>
        <w:tc>
          <w:tcPr>
            <w:tcW w:w="217" w:type="dxa"/>
          </w:tcPr>
          <w:p w14:paraId="2BAE2D4B" w14:textId="77777777" w:rsidR="002C0FD9" w:rsidRPr="00CA25CF" w:rsidRDefault="002C0FD9" w:rsidP="00CA25CF">
            <w:pPr>
              <w:rPr>
                <w:rFonts w:cs="Arial"/>
                <w:color w:val="FF0000"/>
                <w:sz w:val="21"/>
                <w:szCs w:val="21"/>
              </w:rPr>
            </w:pPr>
          </w:p>
        </w:tc>
        <w:tc>
          <w:tcPr>
            <w:tcW w:w="217" w:type="dxa"/>
          </w:tcPr>
          <w:p w14:paraId="540C52F0" w14:textId="77777777" w:rsidR="002C0FD9" w:rsidRPr="00CA25CF" w:rsidRDefault="002C0FD9" w:rsidP="00CA25CF">
            <w:pPr>
              <w:rPr>
                <w:rFonts w:cs="Arial"/>
                <w:color w:val="FF0000"/>
                <w:sz w:val="21"/>
                <w:szCs w:val="21"/>
              </w:rPr>
            </w:pPr>
          </w:p>
        </w:tc>
        <w:tc>
          <w:tcPr>
            <w:tcW w:w="217" w:type="dxa"/>
          </w:tcPr>
          <w:p w14:paraId="77D69FF8" w14:textId="77777777" w:rsidR="002C0FD9" w:rsidRPr="00CA25CF" w:rsidRDefault="002C0FD9" w:rsidP="00CA25CF">
            <w:pPr>
              <w:rPr>
                <w:rFonts w:cs="Arial"/>
                <w:color w:val="FF0000"/>
                <w:sz w:val="21"/>
                <w:szCs w:val="21"/>
              </w:rPr>
            </w:pPr>
          </w:p>
        </w:tc>
        <w:tc>
          <w:tcPr>
            <w:tcW w:w="217" w:type="dxa"/>
          </w:tcPr>
          <w:p w14:paraId="7FC3E4AD" w14:textId="77777777" w:rsidR="002C0FD9" w:rsidRPr="00CA25CF" w:rsidRDefault="002C0FD9" w:rsidP="00CA25CF">
            <w:pPr>
              <w:rPr>
                <w:rFonts w:cs="Arial"/>
                <w:color w:val="FF0000"/>
                <w:sz w:val="21"/>
                <w:szCs w:val="21"/>
              </w:rPr>
            </w:pPr>
          </w:p>
        </w:tc>
        <w:tc>
          <w:tcPr>
            <w:tcW w:w="217" w:type="dxa"/>
          </w:tcPr>
          <w:p w14:paraId="1928BD28" w14:textId="77777777" w:rsidR="002C0FD9" w:rsidRPr="00CA25CF" w:rsidRDefault="002C0FD9" w:rsidP="00CA25CF">
            <w:pPr>
              <w:rPr>
                <w:rFonts w:cs="Arial"/>
                <w:color w:val="FF0000"/>
                <w:sz w:val="21"/>
                <w:szCs w:val="21"/>
              </w:rPr>
            </w:pPr>
          </w:p>
        </w:tc>
        <w:tc>
          <w:tcPr>
            <w:tcW w:w="217" w:type="dxa"/>
          </w:tcPr>
          <w:p w14:paraId="4AED6832" w14:textId="77777777" w:rsidR="002C0FD9" w:rsidRPr="00CA25CF" w:rsidRDefault="002C0FD9" w:rsidP="00CA25CF">
            <w:pPr>
              <w:rPr>
                <w:rFonts w:cs="Arial"/>
                <w:color w:val="FF0000"/>
                <w:sz w:val="21"/>
                <w:szCs w:val="21"/>
              </w:rPr>
            </w:pPr>
          </w:p>
        </w:tc>
        <w:tc>
          <w:tcPr>
            <w:tcW w:w="217" w:type="dxa"/>
          </w:tcPr>
          <w:p w14:paraId="10C316A4" w14:textId="77777777" w:rsidR="002C0FD9" w:rsidRPr="00CA25CF" w:rsidRDefault="002C0FD9" w:rsidP="00CA25CF">
            <w:pPr>
              <w:rPr>
                <w:rFonts w:cs="Arial"/>
                <w:color w:val="FF0000"/>
                <w:sz w:val="21"/>
                <w:szCs w:val="21"/>
              </w:rPr>
            </w:pPr>
          </w:p>
        </w:tc>
        <w:tc>
          <w:tcPr>
            <w:tcW w:w="217" w:type="dxa"/>
          </w:tcPr>
          <w:p w14:paraId="27484834" w14:textId="77777777" w:rsidR="002C0FD9" w:rsidRPr="00CA25CF" w:rsidRDefault="002C0FD9" w:rsidP="00CA25CF">
            <w:pPr>
              <w:rPr>
                <w:rFonts w:cs="Arial"/>
                <w:color w:val="FF0000"/>
                <w:sz w:val="21"/>
                <w:szCs w:val="21"/>
              </w:rPr>
            </w:pPr>
          </w:p>
        </w:tc>
        <w:tc>
          <w:tcPr>
            <w:tcW w:w="217" w:type="dxa"/>
          </w:tcPr>
          <w:p w14:paraId="1B06B654" w14:textId="77777777" w:rsidR="002C0FD9" w:rsidRPr="00CA25CF" w:rsidRDefault="002C0FD9" w:rsidP="00CA25CF">
            <w:pPr>
              <w:rPr>
                <w:rFonts w:cs="Arial"/>
                <w:color w:val="FF0000"/>
                <w:sz w:val="21"/>
                <w:szCs w:val="21"/>
              </w:rPr>
            </w:pPr>
          </w:p>
        </w:tc>
        <w:tc>
          <w:tcPr>
            <w:tcW w:w="217" w:type="dxa"/>
          </w:tcPr>
          <w:p w14:paraId="6B8D7A46" w14:textId="77777777" w:rsidR="002C0FD9" w:rsidRPr="00CA25CF" w:rsidRDefault="002C0FD9" w:rsidP="00CA25CF">
            <w:pPr>
              <w:rPr>
                <w:rFonts w:cs="Arial"/>
                <w:color w:val="FF0000"/>
                <w:sz w:val="21"/>
                <w:szCs w:val="21"/>
              </w:rPr>
            </w:pPr>
          </w:p>
        </w:tc>
        <w:tc>
          <w:tcPr>
            <w:tcW w:w="217" w:type="dxa"/>
          </w:tcPr>
          <w:p w14:paraId="2D98AD64" w14:textId="77777777" w:rsidR="002C0FD9" w:rsidRPr="00CA25CF" w:rsidRDefault="002C0FD9" w:rsidP="00CA25CF">
            <w:pPr>
              <w:rPr>
                <w:rFonts w:cs="Arial"/>
                <w:color w:val="FF0000"/>
                <w:sz w:val="21"/>
                <w:szCs w:val="21"/>
              </w:rPr>
            </w:pPr>
          </w:p>
        </w:tc>
        <w:tc>
          <w:tcPr>
            <w:tcW w:w="217" w:type="dxa"/>
          </w:tcPr>
          <w:p w14:paraId="5540A6A0" w14:textId="77777777" w:rsidR="002C0FD9" w:rsidRPr="00CA25CF" w:rsidRDefault="002C0FD9" w:rsidP="00CA25CF">
            <w:pPr>
              <w:rPr>
                <w:rFonts w:cs="Arial"/>
                <w:color w:val="FF0000"/>
                <w:sz w:val="21"/>
                <w:szCs w:val="21"/>
              </w:rPr>
            </w:pPr>
          </w:p>
        </w:tc>
        <w:tc>
          <w:tcPr>
            <w:tcW w:w="217" w:type="dxa"/>
          </w:tcPr>
          <w:p w14:paraId="2C45250A" w14:textId="77777777" w:rsidR="002C0FD9" w:rsidRPr="00CA25CF" w:rsidRDefault="002C0FD9" w:rsidP="00CA25CF">
            <w:pPr>
              <w:rPr>
                <w:rFonts w:cs="Arial"/>
                <w:color w:val="FF0000"/>
                <w:sz w:val="21"/>
                <w:szCs w:val="21"/>
              </w:rPr>
            </w:pPr>
          </w:p>
        </w:tc>
        <w:tc>
          <w:tcPr>
            <w:tcW w:w="217" w:type="dxa"/>
          </w:tcPr>
          <w:p w14:paraId="73AAAD19" w14:textId="77777777" w:rsidR="002C0FD9" w:rsidRPr="00CA25CF" w:rsidRDefault="002C0FD9" w:rsidP="00CA25CF">
            <w:pPr>
              <w:rPr>
                <w:rFonts w:cs="Arial"/>
                <w:color w:val="FF0000"/>
                <w:sz w:val="21"/>
                <w:szCs w:val="21"/>
              </w:rPr>
            </w:pPr>
          </w:p>
        </w:tc>
        <w:tc>
          <w:tcPr>
            <w:tcW w:w="217" w:type="dxa"/>
          </w:tcPr>
          <w:p w14:paraId="75BF8852" w14:textId="77777777" w:rsidR="002C0FD9" w:rsidRPr="00CA25CF" w:rsidRDefault="002C0FD9" w:rsidP="00CA25CF">
            <w:pPr>
              <w:rPr>
                <w:rFonts w:cs="Arial"/>
                <w:color w:val="FF0000"/>
                <w:sz w:val="21"/>
                <w:szCs w:val="21"/>
              </w:rPr>
            </w:pPr>
          </w:p>
        </w:tc>
        <w:tc>
          <w:tcPr>
            <w:tcW w:w="217" w:type="dxa"/>
          </w:tcPr>
          <w:p w14:paraId="4FDDB5BD" w14:textId="77777777" w:rsidR="002C0FD9" w:rsidRPr="00CA25CF" w:rsidRDefault="002C0FD9" w:rsidP="00CA25CF">
            <w:pPr>
              <w:rPr>
                <w:rFonts w:cs="Arial"/>
                <w:color w:val="FF0000"/>
                <w:sz w:val="21"/>
                <w:szCs w:val="21"/>
              </w:rPr>
            </w:pPr>
          </w:p>
        </w:tc>
        <w:tc>
          <w:tcPr>
            <w:tcW w:w="217" w:type="dxa"/>
          </w:tcPr>
          <w:p w14:paraId="0791E88F" w14:textId="77777777" w:rsidR="002C0FD9" w:rsidRPr="00CA25CF" w:rsidRDefault="002C0FD9" w:rsidP="00CA25CF">
            <w:pPr>
              <w:rPr>
                <w:rFonts w:cs="Arial"/>
                <w:color w:val="FF0000"/>
                <w:sz w:val="21"/>
                <w:szCs w:val="21"/>
              </w:rPr>
            </w:pPr>
          </w:p>
        </w:tc>
        <w:tc>
          <w:tcPr>
            <w:tcW w:w="217" w:type="dxa"/>
          </w:tcPr>
          <w:p w14:paraId="039361B6" w14:textId="77777777" w:rsidR="002C0FD9" w:rsidRPr="00CA25CF" w:rsidRDefault="002C0FD9" w:rsidP="00CA25CF">
            <w:pPr>
              <w:rPr>
                <w:rFonts w:cs="Arial"/>
                <w:color w:val="FF0000"/>
                <w:sz w:val="21"/>
                <w:szCs w:val="21"/>
              </w:rPr>
            </w:pPr>
          </w:p>
        </w:tc>
        <w:tc>
          <w:tcPr>
            <w:tcW w:w="217" w:type="dxa"/>
          </w:tcPr>
          <w:p w14:paraId="48183997" w14:textId="77777777" w:rsidR="002C0FD9" w:rsidRPr="00CA25CF" w:rsidRDefault="002C0FD9" w:rsidP="00CA25CF">
            <w:pPr>
              <w:rPr>
                <w:rFonts w:cs="Arial"/>
                <w:color w:val="FF0000"/>
                <w:sz w:val="21"/>
                <w:szCs w:val="21"/>
              </w:rPr>
            </w:pPr>
          </w:p>
        </w:tc>
        <w:tc>
          <w:tcPr>
            <w:tcW w:w="217" w:type="dxa"/>
          </w:tcPr>
          <w:p w14:paraId="646631B7" w14:textId="77777777" w:rsidR="002C0FD9" w:rsidRPr="00CA25CF" w:rsidRDefault="002C0FD9" w:rsidP="00CA25CF">
            <w:pPr>
              <w:rPr>
                <w:rFonts w:cs="Arial"/>
                <w:color w:val="FF0000"/>
                <w:sz w:val="21"/>
                <w:szCs w:val="21"/>
              </w:rPr>
            </w:pPr>
          </w:p>
        </w:tc>
        <w:tc>
          <w:tcPr>
            <w:tcW w:w="217" w:type="dxa"/>
          </w:tcPr>
          <w:p w14:paraId="3F8E2DD8" w14:textId="77777777" w:rsidR="002C0FD9" w:rsidRPr="00CA25CF" w:rsidRDefault="002C0FD9" w:rsidP="00CA25CF">
            <w:pPr>
              <w:rPr>
                <w:rFonts w:cs="Arial"/>
                <w:color w:val="FF0000"/>
                <w:sz w:val="21"/>
                <w:szCs w:val="21"/>
              </w:rPr>
            </w:pPr>
          </w:p>
        </w:tc>
        <w:tc>
          <w:tcPr>
            <w:tcW w:w="217" w:type="dxa"/>
          </w:tcPr>
          <w:p w14:paraId="4C8194AE" w14:textId="77777777" w:rsidR="002C0FD9" w:rsidRPr="00CA25CF" w:rsidRDefault="002C0FD9" w:rsidP="00CA25CF">
            <w:pPr>
              <w:rPr>
                <w:rFonts w:cs="Arial"/>
                <w:color w:val="FF0000"/>
                <w:sz w:val="21"/>
                <w:szCs w:val="21"/>
              </w:rPr>
            </w:pPr>
          </w:p>
        </w:tc>
        <w:tc>
          <w:tcPr>
            <w:tcW w:w="217" w:type="dxa"/>
          </w:tcPr>
          <w:p w14:paraId="2231AF8E" w14:textId="77777777" w:rsidR="002C0FD9" w:rsidRPr="00CA25CF" w:rsidRDefault="002C0FD9" w:rsidP="00CA25CF">
            <w:pPr>
              <w:rPr>
                <w:rFonts w:cs="Arial"/>
                <w:color w:val="FF0000"/>
                <w:sz w:val="21"/>
                <w:szCs w:val="21"/>
              </w:rPr>
            </w:pPr>
          </w:p>
        </w:tc>
        <w:tc>
          <w:tcPr>
            <w:tcW w:w="217" w:type="dxa"/>
          </w:tcPr>
          <w:p w14:paraId="672893FB" w14:textId="77777777" w:rsidR="002C0FD9" w:rsidRPr="00CA25CF" w:rsidRDefault="002C0FD9" w:rsidP="00CA25CF">
            <w:pPr>
              <w:rPr>
                <w:rFonts w:cs="Arial"/>
                <w:color w:val="FF0000"/>
                <w:sz w:val="21"/>
                <w:szCs w:val="21"/>
              </w:rPr>
            </w:pPr>
          </w:p>
        </w:tc>
        <w:tc>
          <w:tcPr>
            <w:tcW w:w="217" w:type="dxa"/>
          </w:tcPr>
          <w:p w14:paraId="1AC1E345" w14:textId="77777777" w:rsidR="002C0FD9" w:rsidRPr="00CA25CF" w:rsidRDefault="002C0FD9" w:rsidP="00CA25CF">
            <w:pPr>
              <w:rPr>
                <w:rFonts w:cs="Arial"/>
                <w:color w:val="FF0000"/>
                <w:sz w:val="21"/>
                <w:szCs w:val="21"/>
              </w:rPr>
            </w:pPr>
          </w:p>
        </w:tc>
        <w:tc>
          <w:tcPr>
            <w:tcW w:w="217" w:type="dxa"/>
          </w:tcPr>
          <w:p w14:paraId="1B3894CD" w14:textId="77777777" w:rsidR="002C0FD9" w:rsidRPr="00CA25CF" w:rsidRDefault="002C0FD9" w:rsidP="00CA25CF">
            <w:pPr>
              <w:rPr>
                <w:rFonts w:cs="Arial"/>
                <w:color w:val="FF0000"/>
                <w:sz w:val="21"/>
                <w:szCs w:val="21"/>
              </w:rPr>
            </w:pPr>
          </w:p>
        </w:tc>
        <w:tc>
          <w:tcPr>
            <w:tcW w:w="217" w:type="dxa"/>
          </w:tcPr>
          <w:p w14:paraId="64B141EE" w14:textId="77777777" w:rsidR="002C0FD9" w:rsidRPr="00CA25CF" w:rsidRDefault="002C0FD9" w:rsidP="00CA25CF">
            <w:pPr>
              <w:rPr>
                <w:rFonts w:cs="Arial"/>
                <w:color w:val="FF0000"/>
                <w:sz w:val="21"/>
                <w:szCs w:val="21"/>
              </w:rPr>
            </w:pPr>
          </w:p>
        </w:tc>
        <w:tc>
          <w:tcPr>
            <w:tcW w:w="217" w:type="dxa"/>
          </w:tcPr>
          <w:p w14:paraId="7F3B2FE8" w14:textId="77777777" w:rsidR="002C0FD9" w:rsidRPr="00CA25CF" w:rsidRDefault="002C0FD9" w:rsidP="00CA25CF">
            <w:pPr>
              <w:rPr>
                <w:rFonts w:cs="Arial"/>
                <w:color w:val="FF0000"/>
                <w:sz w:val="21"/>
                <w:szCs w:val="21"/>
              </w:rPr>
            </w:pPr>
          </w:p>
        </w:tc>
        <w:tc>
          <w:tcPr>
            <w:tcW w:w="217" w:type="dxa"/>
          </w:tcPr>
          <w:p w14:paraId="1CA9DF6E" w14:textId="77777777" w:rsidR="002C0FD9" w:rsidRPr="00CA25CF" w:rsidRDefault="002C0FD9" w:rsidP="00CA25CF">
            <w:pPr>
              <w:rPr>
                <w:rFonts w:cs="Arial"/>
                <w:color w:val="FF0000"/>
                <w:sz w:val="21"/>
                <w:szCs w:val="21"/>
              </w:rPr>
            </w:pPr>
          </w:p>
        </w:tc>
        <w:tc>
          <w:tcPr>
            <w:tcW w:w="217" w:type="dxa"/>
          </w:tcPr>
          <w:p w14:paraId="3BED3416" w14:textId="77777777" w:rsidR="002C0FD9" w:rsidRPr="00CA25CF" w:rsidRDefault="002C0FD9" w:rsidP="00CA25CF">
            <w:pPr>
              <w:rPr>
                <w:rFonts w:cs="Arial"/>
                <w:color w:val="FF0000"/>
                <w:sz w:val="21"/>
                <w:szCs w:val="21"/>
              </w:rPr>
            </w:pPr>
          </w:p>
        </w:tc>
        <w:tc>
          <w:tcPr>
            <w:tcW w:w="217" w:type="dxa"/>
          </w:tcPr>
          <w:p w14:paraId="15F40184" w14:textId="77777777" w:rsidR="002C0FD9" w:rsidRPr="00CA25CF" w:rsidRDefault="002C0FD9" w:rsidP="00CA25CF">
            <w:pPr>
              <w:rPr>
                <w:rFonts w:cs="Arial"/>
                <w:color w:val="FF0000"/>
                <w:sz w:val="21"/>
                <w:szCs w:val="21"/>
              </w:rPr>
            </w:pPr>
          </w:p>
        </w:tc>
        <w:tc>
          <w:tcPr>
            <w:tcW w:w="217" w:type="dxa"/>
          </w:tcPr>
          <w:p w14:paraId="4CEAF068" w14:textId="77777777" w:rsidR="002C0FD9" w:rsidRPr="00CA25CF" w:rsidRDefault="002C0FD9" w:rsidP="00CA25CF">
            <w:pPr>
              <w:rPr>
                <w:rFonts w:cs="Arial"/>
                <w:color w:val="FF0000"/>
                <w:sz w:val="21"/>
                <w:szCs w:val="21"/>
              </w:rPr>
            </w:pPr>
          </w:p>
        </w:tc>
        <w:tc>
          <w:tcPr>
            <w:tcW w:w="217" w:type="dxa"/>
          </w:tcPr>
          <w:p w14:paraId="6C159C3F" w14:textId="77777777" w:rsidR="002C0FD9" w:rsidRPr="00CA25CF" w:rsidRDefault="002C0FD9" w:rsidP="00CA25CF">
            <w:pPr>
              <w:rPr>
                <w:rFonts w:cs="Arial"/>
                <w:color w:val="FF0000"/>
                <w:sz w:val="21"/>
                <w:szCs w:val="21"/>
              </w:rPr>
            </w:pPr>
          </w:p>
        </w:tc>
        <w:tc>
          <w:tcPr>
            <w:tcW w:w="217" w:type="dxa"/>
          </w:tcPr>
          <w:p w14:paraId="14180E42" w14:textId="77777777" w:rsidR="002C0FD9" w:rsidRPr="00CA25CF" w:rsidRDefault="002C0FD9" w:rsidP="00CA25CF">
            <w:pPr>
              <w:rPr>
                <w:rFonts w:cs="Arial"/>
                <w:color w:val="FF0000"/>
                <w:sz w:val="21"/>
                <w:szCs w:val="21"/>
              </w:rPr>
            </w:pPr>
          </w:p>
        </w:tc>
        <w:tc>
          <w:tcPr>
            <w:tcW w:w="217" w:type="dxa"/>
          </w:tcPr>
          <w:p w14:paraId="79E7A6B5" w14:textId="77777777" w:rsidR="002C0FD9" w:rsidRPr="00CA25CF" w:rsidRDefault="002C0FD9" w:rsidP="00CA25CF">
            <w:pPr>
              <w:rPr>
                <w:rFonts w:cs="Arial"/>
                <w:color w:val="FF0000"/>
                <w:sz w:val="21"/>
                <w:szCs w:val="21"/>
              </w:rPr>
            </w:pPr>
          </w:p>
        </w:tc>
        <w:tc>
          <w:tcPr>
            <w:tcW w:w="217" w:type="dxa"/>
          </w:tcPr>
          <w:p w14:paraId="46F35874" w14:textId="77777777" w:rsidR="002C0FD9" w:rsidRPr="00CA25CF" w:rsidRDefault="002C0FD9" w:rsidP="00CA25CF">
            <w:pPr>
              <w:rPr>
                <w:rFonts w:cs="Arial"/>
                <w:color w:val="FF0000"/>
                <w:sz w:val="21"/>
                <w:szCs w:val="21"/>
              </w:rPr>
            </w:pPr>
          </w:p>
        </w:tc>
      </w:tr>
      <w:tr w:rsidR="002C0FD9" w:rsidRPr="00A16219" w14:paraId="5DAC659B" w14:textId="77777777" w:rsidTr="002C0FD9">
        <w:trPr>
          <w:trHeight w:val="635"/>
        </w:trPr>
        <w:tc>
          <w:tcPr>
            <w:tcW w:w="515" w:type="dxa"/>
          </w:tcPr>
          <w:p w14:paraId="74FE0C9D" w14:textId="77777777" w:rsidR="002C0FD9" w:rsidRPr="00CA25CF" w:rsidRDefault="002C0FD9" w:rsidP="00CA25CF">
            <w:pPr>
              <w:rPr>
                <w:rFonts w:cs="Arial"/>
                <w:color w:val="FF0000"/>
                <w:sz w:val="21"/>
                <w:szCs w:val="21"/>
              </w:rPr>
            </w:pPr>
          </w:p>
        </w:tc>
        <w:tc>
          <w:tcPr>
            <w:tcW w:w="217" w:type="dxa"/>
          </w:tcPr>
          <w:p w14:paraId="5136DF31" w14:textId="77777777" w:rsidR="002C0FD9" w:rsidRPr="00CA25CF" w:rsidRDefault="002C0FD9" w:rsidP="00CA25CF">
            <w:pPr>
              <w:rPr>
                <w:rFonts w:cs="Arial"/>
                <w:color w:val="FF0000"/>
                <w:sz w:val="21"/>
                <w:szCs w:val="21"/>
              </w:rPr>
            </w:pPr>
          </w:p>
        </w:tc>
        <w:tc>
          <w:tcPr>
            <w:tcW w:w="217" w:type="dxa"/>
          </w:tcPr>
          <w:p w14:paraId="411D3F48" w14:textId="77777777" w:rsidR="002C0FD9" w:rsidRPr="00CA25CF" w:rsidRDefault="002C0FD9" w:rsidP="00CA25CF">
            <w:pPr>
              <w:rPr>
                <w:rFonts w:cs="Arial"/>
                <w:color w:val="FF0000"/>
                <w:sz w:val="21"/>
                <w:szCs w:val="21"/>
              </w:rPr>
            </w:pPr>
          </w:p>
        </w:tc>
        <w:tc>
          <w:tcPr>
            <w:tcW w:w="217" w:type="dxa"/>
          </w:tcPr>
          <w:p w14:paraId="1A1176E3" w14:textId="77777777" w:rsidR="002C0FD9" w:rsidRPr="00CA25CF" w:rsidRDefault="002C0FD9" w:rsidP="00CA25CF">
            <w:pPr>
              <w:rPr>
                <w:rFonts w:cs="Arial"/>
                <w:color w:val="FF0000"/>
                <w:sz w:val="21"/>
                <w:szCs w:val="21"/>
              </w:rPr>
            </w:pPr>
          </w:p>
        </w:tc>
        <w:tc>
          <w:tcPr>
            <w:tcW w:w="217" w:type="dxa"/>
          </w:tcPr>
          <w:p w14:paraId="2B0AB21D" w14:textId="77777777" w:rsidR="002C0FD9" w:rsidRPr="00CA25CF" w:rsidRDefault="002C0FD9" w:rsidP="00CA25CF">
            <w:pPr>
              <w:rPr>
                <w:rFonts w:cs="Arial"/>
                <w:color w:val="FF0000"/>
                <w:sz w:val="21"/>
                <w:szCs w:val="21"/>
              </w:rPr>
            </w:pPr>
          </w:p>
        </w:tc>
        <w:tc>
          <w:tcPr>
            <w:tcW w:w="217" w:type="dxa"/>
          </w:tcPr>
          <w:p w14:paraId="545FDF98" w14:textId="77777777" w:rsidR="002C0FD9" w:rsidRPr="00CA25CF" w:rsidRDefault="002C0FD9" w:rsidP="00CA25CF">
            <w:pPr>
              <w:rPr>
                <w:rFonts w:cs="Arial"/>
                <w:color w:val="FF0000"/>
                <w:sz w:val="21"/>
                <w:szCs w:val="21"/>
              </w:rPr>
            </w:pPr>
          </w:p>
        </w:tc>
        <w:tc>
          <w:tcPr>
            <w:tcW w:w="217" w:type="dxa"/>
          </w:tcPr>
          <w:p w14:paraId="7D11BAFC" w14:textId="77777777" w:rsidR="002C0FD9" w:rsidRPr="00CA25CF" w:rsidRDefault="002C0FD9" w:rsidP="00CA25CF">
            <w:pPr>
              <w:rPr>
                <w:rFonts w:cs="Arial"/>
                <w:color w:val="FF0000"/>
                <w:sz w:val="21"/>
                <w:szCs w:val="21"/>
              </w:rPr>
            </w:pPr>
          </w:p>
        </w:tc>
        <w:tc>
          <w:tcPr>
            <w:tcW w:w="217" w:type="dxa"/>
          </w:tcPr>
          <w:p w14:paraId="2C3F3D8D" w14:textId="77777777" w:rsidR="002C0FD9" w:rsidRPr="00CA25CF" w:rsidRDefault="002C0FD9" w:rsidP="00CA25CF">
            <w:pPr>
              <w:rPr>
                <w:rFonts w:cs="Arial"/>
                <w:color w:val="FF0000"/>
                <w:sz w:val="21"/>
                <w:szCs w:val="21"/>
              </w:rPr>
            </w:pPr>
          </w:p>
        </w:tc>
        <w:tc>
          <w:tcPr>
            <w:tcW w:w="217" w:type="dxa"/>
          </w:tcPr>
          <w:p w14:paraId="11290233" w14:textId="77777777" w:rsidR="002C0FD9" w:rsidRPr="00CA25CF" w:rsidRDefault="002C0FD9" w:rsidP="00CA25CF">
            <w:pPr>
              <w:rPr>
                <w:rFonts w:cs="Arial"/>
                <w:color w:val="FF0000"/>
                <w:sz w:val="21"/>
                <w:szCs w:val="21"/>
              </w:rPr>
            </w:pPr>
          </w:p>
        </w:tc>
        <w:tc>
          <w:tcPr>
            <w:tcW w:w="217" w:type="dxa"/>
          </w:tcPr>
          <w:p w14:paraId="6D4605F0" w14:textId="77777777" w:rsidR="002C0FD9" w:rsidRPr="00CA25CF" w:rsidRDefault="002C0FD9" w:rsidP="00CA25CF">
            <w:pPr>
              <w:rPr>
                <w:rFonts w:cs="Arial"/>
                <w:color w:val="FF0000"/>
                <w:sz w:val="21"/>
                <w:szCs w:val="21"/>
              </w:rPr>
            </w:pPr>
          </w:p>
        </w:tc>
        <w:tc>
          <w:tcPr>
            <w:tcW w:w="217" w:type="dxa"/>
          </w:tcPr>
          <w:p w14:paraId="325EB6DC" w14:textId="77777777" w:rsidR="002C0FD9" w:rsidRPr="00CA25CF" w:rsidRDefault="002C0FD9" w:rsidP="00CA25CF">
            <w:pPr>
              <w:rPr>
                <w:rFonts w:cs="Arial"/>
                <w:color w:val="FF0000"/>
                <w:sz w:val="21"/>
                <w:szCs w:val="21"/>
              </w:rPr>
            </w:pPr>
          </w:p>
        </w:tc>
        <w:tc>
          <w:tcPr>
            <w:tcW w:w="217" w:type="dxa"/>
          </w:tcPr>
          <w:p w14:paraId="7699D456" w14:textId="77777777" w:rsidR="002C0FD9" w:rsidRPr="00CA25CF" w:rsidRDefault="002C0FD9" w:rsidP="00CA25CF">
            <w:pPr>
              <w:rPr>
                <w:rFonts w:cs="Arial"/>
                <w:color w:val="FF0000"/>
                <w:sz w:val="21"/>
                <w:szCs w:val="21"/>
              </w:rPr>
            </w:pPr>
          </w:p>
        </w:tc>
        <w:tc>
          <w:tcPr>
            <w:tcW w:w="217" w:type="dxa"/>
          </w:tcPr>
          <w:p w14:paraId="0673CCD9" w14:textId="77777777" w:rsidR="002C0FD9" w:rsidRPr="00CA25CF" w:rsidRDefault="002C0FD9" w:rsidP="00CA25CF">
            <w:pPr>
              <w:rPr>
                <w:rFonts w:cs="Arial"/>
                <w:color w:val="FF0000"/>
                <w:sz w:val="21"/>
                <w:szCs w:val="21"/>
              </w:rPr>
            </w:pPr>
          </w:p>
        </w:tc>
        <w:tc>
          <w:tcPr>
            <w:tcW w:w="217" w:type="dxa"/>
          </w:tcPr>
          <w:p w14:paraId="23866000" w14:textId="77777777" w:rsidR="002C0FD9" w:rsidRPr="00CA25CF" w:rsidRDefault="002C0FD9" w:rsidP="00CA25CF">
            <w:pPr>
              <w:rPr>
                <w:rFonts w:cs="Arial"/>
                <w:color w:val="FF0000"/>
                <w:sz w:val="21"/>
                <w:szCs w:val="21"/>
              </w:rPr>
            </w:pPr>
          </w:p>
        </w:tc>
        <w:tc>
          <w:tcPr>
            <w:tcW w:w="217" w:type="dxa"/>
          </w:tcPr>
          <w:p w14:paraId="751D9831" w14:textId="77777777" w:rsidR="002C0FD9" w:rsidRPr="00CA25CF" w:rsidRDefault="002C0FD9" w:rsidP="00CA25CF">
            <w:pPr>
              <w:rPr>
                <w:rFonts w:cs="Arial"/>
                <w:color w:val="FF0000"/>
                <w:sz w:val="21"/>
                <w:szCs w:val="21"/>
              </w:rPr>
            </w:pPr>
          </w:p>
        </w:tc>
        <w:tc>
          <w:tcPr>
            <w:tcW w:w="217" w:type="dxa"/>
          </w:tcPr>
          <w:p w14:paraId="0B6498D9" w14:textId="77777777" w:rsidR="002C0FD9" w:rsidRPr="00CA25CF" w:rsidRDefault="002C0FD9" w:rsidP="00CA25CF">
            <w:pPr>
              <w:rPr>
                <w:rFonts w:cs="Arial"/>
                <w:color w:val="FF0000"/>
                <w:sz w:val="21"/>
                <w:szCs w:val="21"/>
              </w:rPr>
            </w:pPr>
          </w:p>
        </w:tc>
        <w:tc>
          <w:tcPr>
            <w:tcW w:w="217" w:type="dxa"/>
          </w:tcPr>
          <w:p w14:paraId="2D4878DA" w14:textId="77777777" w:rsidR="002C0FD9" w:rsidRPr="00CA25CF" w:rsidRDefault="002C0FD9" w:rsidP="00CA25CF">
            <w:pPr>
              <w:rPr>
                <w:rFonts w:cs="Arial"/>
                <w:color w:val="FF0000"/>
                <w:sz w:val="21"/>
                <w:szCs w:val="21"/>
              </w:rPr>
            </w:pPr>
          </w:p>
        </w:tc>
        <w:tc>
          <w:tcPr>
            <w:tcW w:w="217" w:type="dxa"/>
          </w:tcPr>
          <w:p w14:paraId="505109A1" w14:textId="77777777" w:rsidR="002C0FD9" w:rsidRPr="00CA25CF" w:rsidRDefault="002C0FD9" w:rsidP="00CA25CF">
            <w:pPr>
              <w:rPr>
                <w:rFonts w:cs="Arial"/>
                <w:color w:val="FF0000"/>
                <w:sz w:val="21"/>
                <w:szCs w:val="21"/>
              </w:rPr>
            </w:pPr>
          </w:p>
        </w:tc>
        <w:tc>
          <w:tcPr>
            <w:tcW w:w="217" w:type="dxa"/>
          </w:tcPr>
          <w:p w14:paraId="4FEB3570" w14:textId="77777777" w:rsidR="002C0FD9" w:rsidRPr="00CA25CF" w:rsidRDefault="002C0FD9" w:rsidP="00CA25CF">
            <w:pPr>
              <w:rPr>
                <w:rFonts w:cs="Arial"/>
                <w:color w:val="FF0000"/>
                <w:sz w:val="21"/>
                <w:szCs w:val="21"/>
              </w:rPr>
            </w:pPr>
          </w:p>
        </w:tc>
        <w:tc>
          <w:tcPr>
            <w:tcW w:w="217" w:type="dxa"/>
          </w:tcPr>
          <w:p w14:paraId="0D6DDC43" w14:textId="77777777" w:rsidR="002C0FD9" w:rsidRPr="00CA25CF" w:rsidRDefault="002C0FD9" w:rsidP="00CA25CF">
            <w:pPr>
              <w:rPr>
                <w:rFonts w:cs="Arial"/>
                <w:color w:val="FF0000"/>
                <w:sz w:val="21"/>
                <w:szCs w:val="21"/>
              </w:rPr>
            </w:pPr>
          </w:p>
        </w:tc>
        <w:tc>
          <w:tcPr>
            <w:tcW w:w="217" w:type="dxa"/>
          </w:tcPr>
          <w:p w14:paraId="4AA7B042" w14:textId="77777777" w:rsidR="002C0FD9" w:rsidRPr="00CA25CF" w:rsidRDefault="002C0FD9" w:rsidP="00CA25CF">
            <w:pPr>
              <w:rPr>
                <w:rFonts w:cs="Arial"/>
                <w:color w:val="FF0000"/>
                <w:sz w:val="21"/>
                <w:szCs w:val="21"/>
              </w:rPr>
            </w:pPr>
          </w:p>
        </w:tc>
        <w:tc>
          <w:tcPr>
            <w:tcW w:w="217" w:type="dxa"/>
          </w:tcPr>
          <w:p w14:paraId="1E21BD7A" w14:textId="77777777" w:rsidR="002C0FD9" w:rsidRPr="00CA25CF" w:rsidRDefault="002C0FD9" w:rsidP="00CA25CF">
            <w:pPr>
              <w:rPr>
                <w:rFonts w:cs="Arial"/>
                <w:color w:val="FF0000"/>
                <w:sz w:val="21"/>
                <w:szCs w:val="21"/>
              </w:rPr>
            </w:pPr>
          </w:p>
        </w:tc>
        <w:tc>
          <w:tcPr>
            <w:tcW w:w="217" w:type="dxa"/>
          </w:tcPr>
          <w:p w14:paraId="0F6EC192" w14:textId="77777777" w:rsidR="002C0FD9" w:rsidRPr="00CA25CF" w:rsidRDefault="002C0FD9" w:rsidP="00CA25CF">
            <w:pPr>
              <w:rPr>
                <w:rFonts w:cs="Arial"/>
                <w:color w:val="FF0000"/>
                <w:sz w:val="21"/>
                <w:szCs w:val="21"/>
              </w:rPr>
            </w:pPr>
          </w:p>
        </w:tc>
        <w:tc>
          <w:tcPr>
            <w:tcW w:w="217" w:type="dxa"/>
          </w:tcPr>
          <w:p w14:paraId="2704C61F" w14:textId="77777777" w:rsidR="002C0FD9" w:rsidRPr="00CA25CF" w:rsidRDefault="002C0FD9" w:rsidP="00CA25CF">
            <w:pPr>
              <w:rPr>
                <w:rFonts w:cs="Arial"/>
                <w:color w:val="FF0000"/>
                <w:sz w:val="21"/>
                <w:szCs w:val="21"/>
              </w:rPr>
            </w:pPr>
          </w:p>
        </w:tc>
        <w:tc>
          <w:tcPr>
            <w:tcW w:w="217" w:type="dxa"/>
          </w:tcPr>
          <w:p w14:paraId="7D31630F" w14:textId="77777777" w:rsidR="002C0FD9" w:rsidRPr="00CA25CF" w:rsidRDefault="002C0FD9" w:rsidP="00CA25CF">
            <w:pPr>
              <w:rPr>
                <w:rFonts w:cs="Arial"/>
                <w:color w:val="FF0000"/>
                <w:sz w:val="21"/>
                <w:szCs w:val="21"/>
              </w:rPr>
            </w:pPr>
          </w:p>
        </w:tc>
        <w:tc>
          <w:tcPr>
            <w:tcW w:w="217" w:type="dxa"/>
          </w:tcPr>
          <w:p w14:paraId="6AB22172" w14:textId="77777777" w:rsidR="002C0FD9" w:rsidRPr="00CA25CF" w:rsidRDefault="002C0FD9" w:rsidP="00CA25CF">
            <w:pPr>
              <w:rPr>
                <w:rFonts w:cs="Arial"/>
                <w:color w:val="FF0000"/>
                <w:sz w:val="21"/>
                <w:szCs w:val="21"/>
              </w:rPr>
            </w:pPr>
          </w:p>
        </w:tc>
        <w:tc>
          <w:tcPr>
            <w:tcW w:w="217" w:type="dxa"/>
          </w:tcPr>
          <w:p w14:paraId="4EB9FAF0" w14:textId="77777777" w:rsidR="002C0FD9" w:rsidRPr="00CA25CF" w:rsidRDefault="002C0FD9" w:rsidP="00CA25CF">
            <w:pPr>
              <w:rPr>
                <w:rFonts w:cs="Arial"/>
                <w:color w:val="FF0000"/>
                <w:sz w:val="21"/>
                <w:szCs w:val="21"/>
              </w:rPr>
            </w:pPr>
          </w:p>
        </w:tc>
        <w:tc>
          <w:tcPr>
            <w:tcW w:w="217" w:type="dxa"/>
          </w:tcPr>
          <w:p w14:paraId="4FDCB1F0" w14:textId="77777777" w:rsidR="002C0FD9" w:rsidRPr="00CA25CF" w:rsidRDefault="002C0FD9" w:rsidP="00CA25CF">
            <w:pPr>
              <w:rPr>
                <w:rFonts w:cs="Arial"/>
                <w:color w:val="FF0000"/>
                <w:sz w:val="21"/>
                <w:szCs w:val="21"/>
              </w:rPr>
            </w:pPr>
          </w:p>
        </w:tc>
        <w:tc>
          <w:tcPr>
            <w:tcW w:w="217" w:type="dxa"/>
          </w:tcPr>
          <w:p w14:paraId="60A31B7A" w14:textId="77777777" w:rsidR="002C0FD9" w:rsidRPr="00CA25CF" w:rsidRDefault="002C0FD9" w:rsidP="00CA25CF">
            <w:pPr>
              <w:rPr>
                <w:rFonts w:cs="Arial"/>
                <w:color w:val="FF0000"/>
                <w:sz w:val="21"/>
                <w:szCs w:val="21"/>
              </w:rPr>
            </w:pPr>
          </w:p>
        </w:tc>
        <w:tc>
          <w:tcPr>
            <w:tcW w:w="217" w:type="dxa"/>
          </w:tcPr>
          <w:p w14:paraId="6C62089C" w14:textId="77777777" w:rsidR="002C0FD9" w:rsidRPr="00CA25CF" w:rsidRDefault="002C0FD9" w:rsidP="00CA25CF">
            <w:pPr>
              <w:rPr>
                <w:rFonts w:cs="Arial"/>
                <w:color w:val="FF0000"/>
                <w:sz w:val="21"/>
                <w:szCs w:val="21"/>
              </w:rPr>
            </w:pPr>
          </w:p>
        </w:tc>
        <w:tc>
          <w:tcPr>
            <w:tcW w:w="217" w:type="dxa"/>
          </w:tcPr>
          <w:p w14:paraId="07F13B17" w14:textId="77777777" w:rsidR="002C0FD9" w:rsidRPr="00CA25CF" w:rsidRDefault="002C0FD9" w:rsidP="00CA25CF">
            <w:pPr>
              <w:rPr>
                <w:rFonts w:cs="Arial"/>
                <w:color w:val="FF0000"/>
                <w:sz w:val="21"/>
                <w:szCs w:val="21"/>
              </w:rPr>
            </w:pPr>
          </w:p>
        </w:tc>
        <w:tc>
          <w:tcPr>
            <w:tcW w:w="217" w:type="dxa"/>
          </w:tcPr>
          <w:p w14:paraId="4C74A2EB" w14:textId="77777777" w:rsidR="002C0FD9" w:rsidRPr="00CA25CF" w:rsidRDefault="002C0FD9" w:rsidP="00CA25CF">
            <w:pPr>
              <w:rPr>
                <w:rFonts w:cs="Arial"/>
                <w:color w:val="FF0000"/>
                <w:sz w:val="21"/>
                <w:szCs w:val="21"/>
              </w:rPr>
            </w:pPr>
          </w:p>
        </w:tc>
        <w:tc>
          <w:tcPr>
            <w:tcW w:w="217" w:type="dxa"/>
          </w:tcPr>
          <w:p w14:paraId="319AE8BD" w14:textId="77777777" w:rsidR="002C0FD9" w:rsidRPr="00CA25CF" w:rsidRDefault="002C0FD9" w:rsidP="00CA25CF">
            <w:pPr>
              <w:rPr>
                <w:rFonts w:cs="Arial"/>
                <w:color w:val="FF0000"/>
                <w:sz w:val="21"/>
                <w:szCs w:val="21"/>
              </w:rPr>
            </w:pPr>
          </w:p>
        </w:tc>
        <w:tc>
          <w:tcPr>
            <w:tcW w:w="217" w:type="dxa"/>
          </w:tcPr>
          <w:p w14:paraId="1EDF6C8F" w14:textId="77777777" w:rsidR="002C0FD9" w:rsidRPr="00CA25CF" w:rsidRDefault="002C0FD9" w:rsidP="00CA25CF">
            <w:pPr>
              <w:rPr>
                <w:rFonts w:cs="Arial"/>
                <w:color w:val="FF0000"/>
                <w:sz w:val="21"/>
                <w:szCs w:val="21"/>
              </w:rPr>
            </w:pPr>
          </w:p>
        </w:tc>
        <w:tc>
          <w:tcPr>
            <w:tcW w:w="217" w:type="dxa"/>
          </w:tcPr>
          <w:p w14:paraId="7C5471E1" w14:textId="77777777" w:rsidR="002C0FD9" w:rsidRPr="00CA25CF" w:rsidRDefault="002C0FD9" w:rsidP="00CA25CF">
            <w:pPr>
              <w:rPr>
                <w:rFonts w:cs="Arial"/>
                <w:color w:val="FF0000"/>
                <w:sz w:val="21"/>
                <w:szCs w:val="21"/>
              </w:rPr>
            </w:pPr>
          </w:p>
        </w:tc>
        <w:tc>
          <w:tcPr>
            <w:tcW w:w="217" w:type="dxa"/>
          </w:tcPr>
          <w:p w14:paraId="4EA1ACF7" w14:textId="77777777" w:rsidR="002C0FD9" w:rsidRPr="00CA25CF" w:rsidRDefault="002C0FD9" w:rsidP="00CA25CF">
            <w:pPr>
              <w:rPr>
                <w:rFonts w:cs="Arial"/>
                <w:color w:val="FF0000"/>
                <w:sz w:val="21"/>
                <w:szCs w:val="21"/>
              </w:rPr>
            </w:pPr>
          </w:p>
        </w:tc>
        <w:tc>
          <w:tcPr>
            <w:tcW w:w="217" w:type="dxa"/>
          </w:tcPr>
          <w:p w14:paraId="2B754CAF" w14:textId="77777777" w:rsidR="002C0FD9" w:rsidRPr="00CA25CF" w:rsidRDefault="002C0FD9" w:rsidP="00CA25CF">
            <w:pPr>
              <w:rPr>
                <w:rFonts w:cs="Arial"/>
                <w:color w:val="FF0000"/>
                <w:sz w:val="21"/>
                <w:szCs w:val="21"/>
              </w:rPr>
            </w:pPr>
          </w:p>
        </w:tc>
        <w:tc>
          <w:tcPr>
            <w:tcW w:w="217" w:type="dxa"/>
          </w:tcPr>
          <w:p w14:paraId="4E0B9DF4" w14:textId="77777777" w:rsidR="002C0FD9" w:rsidRPr="00CA25CF" w:rsidRDefault="002C0FD9" w:rsidP="00CA25CF">
            <w:pPr>
              <w:rPr>
                <w:rFonts w:cs="Arial"/>
                <w:color w:val="FF0000"/>
                <w:sz w:val="21"/>
                <w:szCs w:val="21"/>
              </w:rPr>
            </w:pPr>
          </w:p>
        </w:tc>
        <w:tc>
          <w:tcPr>
            <w:tcW w:w="217" w:type="dxa"/>
          </w:tcPr>
          <w:p w14:paraId="2EB78550" w14:textId="77777777" w:rsidR="002C0FD9" w:rsidRPr="00CA25CF" w:rsidRDefault="002C0FD9" w:rsidP="00CA25CF">
            <w:pPr>
              <w:rPr>
                <w:rFonts w:cs="Arial"/>
                <w:color w:val="FF0000"/>
                <w:sz w:val="21"/>
                <w:szCs w:val="21"/>
              </w:rPr>
            </w:pPr>
          </w:p>
        </w:tc>
        <w:tc>
          <w:tcPr>
            <w:tcW w:w="217" w:type="dxa"/>
          </w:tcPr>
          <w:p w14:paraId="51822893" w14:textId="77777777" w:rsidR="002C0FD9" w:rsidRPr="00CA25CF" w:rsidRDefault="002C0FD9" w:rsidP="00CA25CF">
            <w:pPr>
              <w:rPr>
                <w:rFonts w:cs="Arial"/>
                <w:color w:val="FF0000"/>
                <w:sz w:val="21"/>
                <w:szCs w:val="21"/>
              </w:rPr>
            </w:pPr>
          </w:p>
        </w:tc>
        <w:tc>
          <w:tcPr>
            <w:tcW w:w="217" w:type="dxa"/>
          </w:tcPr>
          <w:p w14:paraId="095B796E" w14:textId="77777777" w:rsidR="002C0FD9" w:rsidRPr="00CA25CF" w:rsidRDefault="002C0FD9" w:rsidP="00CA25CF">
            <w:pPr>
              <w:rPr>
                <w:rFonts w:cs="Arial"/>
                <w:color w:val="FF0000"/>
                <w:sz w:val="21"/>
                <w:szCs w:val="21"/>
              </w:rPr>
            </w:pPr>
          </w:p>
        </w:tc>
        <w:tc>
          <w:tcPr>
            <w:tcW w:w="217" w:type="dxa"/>
          </w:tcPr>
          <w:p w14:paraId="154E2544" w14:textId="77777777" w:rsidR="002C0FD9" w:rsidRPr="00CA25CF" w:rsidRDefault="002C0FD9" w:rsidP="00CA25CF">
            <w:pPr>
              <w:rPr>
                <w:rFonts w:cs="Arial"/>
                <w:color w:val="FF0000"/>
                <w:sz w:val="21"/>
                <w:szCs w:val="21"/>
              </w:rPr>
            </w:pPr>
          </w:p>
        </w:tc>
        <w:tc>
          <w:tcPr>
            <w:tcW w:w="217" w:type="dxa"/>
          </w:tcPr>
          <w:p w14:paraId="71F84CEF" w14:textId="77777777" w:rsidR="002C0FD9" w:rsidRPr="00CA25CF" w:rsidRDefault="002C0FD9" w:rsidP="00CA25CF">
            <w:pPr>
              <w:rPr>
                <w:rFonts w:cs="Arial"/>
                <w:color w:val="FF0000"/>
                <w:sz w:val="21"/>
                <w:szCs w:val="21"/>
              </w:rPr>
            </w:pPr>
          </w:p>
        </w:tc>
      </w:tr>
      <w:tr w:rsidR="002C0FD9" w:rsidRPr="00A16219" w14:paraId="571BA191" w14:textId="77777777" w:rsidTr="002C0FD9">
        <w:trPr>
          <w:trHeight w:val="635"/>
        </w:trPr>
        <w:tc>
          <w:tcPr>
            <w:tcW w:w="515" w:type="dxa"/>
          </w:tcPr>
          <w:p w14:paraId="39C2E405" w14:textId="77777777" w:rsidR="002C0FD9" w:rsidRPr="00CA25CF" w:rsidRDefault="002C0FD9" w:rsidP="00CA25CF">
            <w:pPr>
              <w:rPr>
                <w:rFonts w:cs="Arial"/>
                <w:color w:val="FF0000"/>
                <w:sz w:val="21"/>
                <w:szCs w:val="21"/>
              </w:rPr>
            </w:pPr>
          </w:p>
        </w:tc>
        <w:tc>
          <w:tcPr>
            <w:tcW w:w="217" w:type="dxa"/>
          </w:tcPr>
          <w:p w14:paraId="04B25F33" w14:textId="77777777" w:rsidR="002C0FD9" w:rsidRPr="00CA25CF" w:rsidRDefault="002C0FD9" w:rsidP="00CA25CF">
            <w:pPr>
              <w:rPr>
                <w:rFonts w:cs="Arial"/>
                <w:color w:val="FF0000"/>
                <w:sz w:val="21"/>
                <w:szCs w:val="21"/>
              </w:rPr>
            </w:pPr>
          </w:p>
        </w:tc>
        <w:tc>
          <w:tcPr>
            <w:tcW w:w="217" w:type="dxa"/>
          </w:tcPr>
          <w:p w14:paraId="49FAD0AA" w14:textId="77777777" w:rsidR="002C0FD9" w:rsidRPr="00CA25CF" w:rsidRDefault="002C0FD9" w:rsidP="00CA25CF">
            <w:pPr>
              <w:rPr>
                <w:rFonts w:cs="Arial"/>
                <w:color w:val="FF0000"/>
                <w:sz w:val="21"/>
                <w:szCs w:val="21"/>
              </w:rPr>
            </w:pPr>
          </w:p>
        </w:tc>
        <w:tc>
          <w:tcPr>
            <w:tcW w:w="217" w:type="dxa"/>
          </w:tcPr>
          <w:p w14:paraId="3623D8E2" w14:textId="77777777" w:rsidR="002C0FD9" w:rsidRPr="00CA25CF" w:rsidRDefault="002C0FD9" w:rsidP="00CA25CF">
            <w:pPr>
              <w:rPr>
                <w:rFonts w:cs="Arial"/>
                <w:color w:val="FF0000"/>
                <w:sz w:val="21"/>
                <w:szCs w:val="21"/>
              </w:rPr>
            </w:pPr>
          </w:p>
        </w:tc>
        <w:tc>
          <w:tcPr>
            <w:tcW w:w="217" w:type="dxa"/>
          </w:tcPr>
          <w:p w14:paraId="184428C0" w14:textId="77777777" w:rsidR="002C0FD9" w:rsidRPr="00CA25CF" w:rsidRDefault="002C0FD9" w:rsidP="00CA25CF">
            <w:pPr>
              <w:rPr>
                <w:rFonts w:cs="Arial"/>
                <w:color w:val="FF0000"/>
                <w:sz w:val="21"/>
                <w:szCs w:val="21"/>
              </w:rPr>
            </w:pPr>
          </w:p>
        </w:tc>
        <w:tc>
          <w:tcPr>
            <w:tcW w:w="217" w:type="dxa"/>
          </w:tcPr>
          <w:p w14:paraId="09DC0EA4" w14:textId="77777777" w:rsidR="002C0FD9" w:rsidRPr="00CA25CF" w:rsidRDefault="002C0FD9" w:rsidP="00CA25CF">
            <w:pPr>
              <w:rPr>
                <w:rFonts w:cs="Arial"/>
                <w:color w:val="FF0000"/>
                <w:sz w:val="21"/>
                <w:szCs w:val="21"/>
              </w:rPr>
            </w:pPr>
          </w:p>
        </w:tc>
        <w:tc>
          <w:tcPr>
            <w:tcW w:w="217" w:type="dxa"/>
          </w:tcPr>
          <w:p w14:paraId="5A2A6897" w14:textId="77777777" w:rsidR="002C0FD9" w:rsidRPr="00CA25CF" w:rsidRDefault="002C0FD9" w:rsidP="00CA25CF">
            <w:pPr>
              <w:rPr>
                <w:rFonts w:cs="Arial"/>
                <w:color w:val="FF0000"/>
                <w:sz w:val="21"/>
                <w:szCs w:val="21"/>
              </w:rPr>
            </w:pPr>
          </w:p>
        </w:tc>
        <w:tc>
          <w:tcPr>
            <w:tcW w:w="217" w:type="dxa"/>
          </w:tcPr>
          <w:p w14:paraId="27FB5FD8" w14:textId="77777777" w:rsidR="002C0FD9" w:rsidRPr="00CA25CF" w:rsidRDefault="002C0FD9" w:rsidP="00CA25CF">
            <w:pPr>
              <w:rPr>
                <w:rFonts w:cs="Arial"/>
                <w:color w:val="FF0000"/>
                <w:sz w:val="21"/>
                <w:szCs w:val="21"/>
              </w:rPr>
            </w:pPr>
          </w:p>
        </w:tc>
        <w:tc>
          <w:tcPr>
            <w:tcW w:w="217" w:type="dxa"/>
          </w:tcPr>
          <w:p w14:paraId="7198A607" w14:textId="77777777" w:rsidR="002C0FD9" w:rsidRPr="00CA25CF" w:rsidRDefault="002C0FD9" w:rsidP="00CA25CF">
            <w:pPr>
              <w:rPr>
                <w:rFonts w:cs="Arial"/>
                <w:color w:val="FF0000"/>
                <w:sz w:val="21"/>
                <w:szCs w:val="21"/>
              </w:rPr>
            </w:pPr>
          </w:p>
        </w:tc>
        <w:tc>
          <w:tcPr>
            <w:tcW w:w="217" w:type="dxa"/>
          </w:tcPr>
          <w:p w14:paraId="08263C1A" w14:textId="77777777" w:rsidR="002C0FD9" w:rsidRPr="00CA25CF" w:rsidRDefault="002C0FD9" w:rsidP="00CA25CF">
            <w:pPr>
              <w:rPr>
                <w:rFonts w:cs="Arial"/>
                <w:color w:val="FF0000"/>
                <w:sz w:val="21"/>
                <w:szCs w:val="21"/>
              </w:rPr>
            </w:pPr>
          </w:p>
        </w:tc>
        <w:tc>
          <w:tcPr>
            <w:tcW w:w="217" w:type="dxa"/>
          </w:tcPr>
          <w:p w14:paraId="3DDC77F4" w14:textId="77777777" w:rsidR="002C0FD9" w:rsidRPr="00CA25CF" w:rsidRDefault="002C0FD9" w:rsidP="00CA25CF">
            <w:pPr>
              <w:rPr>
                <w:rFonts w:cs="Arial"/>
                <w:color w:val="FF0000"/>
                <w:sz w:val="21"/>
                <w:szCs w:val="21"/>
              </w:rPr>
            </w:pPr>
          </w:p>
        </w:tc>
        <w:tc>
          <w:tcPr>
            <w:tcW w:w="217" w:type="dxa"/>
          </w:tcPr>
          <w:p w14:paraId="4DF2A28F" w14:textId="77777777" w:rsidR="002C0FD9" w:rsidRPr="00CA25CF" w:rsidRDefault="002C0FD9" w:rsidP="00CA25CF">
            <w:pPr>
              <w:rPr>
                <w:rFonts w:cs="Arial"/>
                <w:color w:val="FF0000"/>
                <w:sz w:val="21"/>
                <w:szCs w:val="21"/>
              </w:rPr>
            </w:pPr>
          </w:p>
        </w:tc>
        <w:tc>
          <w:tcPr>
            <w:tcW w:w="217" w:type="dxa"/>
          </w:tcPr>
          <w:p w14:paraId="70531666" w14:textId="77777777" w:rsidR="002C0FD9" w:rsidRPr="00CA25CF" w:rsidRDefault="002C0FD9" w:rsidP="00CA25CF">
            <w:pPr>
              <w:rPr>
                <w:rFonts w:cs="Arial"/>
                <w:color w:val="FF0000"/>
                <w:sz w:val="21"/>
                <w:szCs w:val="21"/>
              </w:rPr>
            </w:pPr>
          </w:p>
        </w:tc>
        <w:tc>
          <w:tcPr>
            <w:tcW w:w="217" w:type="dxa"/>
          </w:tcPr>
          <w:p w14:paraId="3E8F27B6" w14:textId="77777777" w:rsidR="002C0FD9" w:rsidRPr="00CA25CF" w:rsidRDefault="002C0FD9" w:rsidP="00CA25CF">
            <w:pPr>
              <w:rPr>
                <w:rFonts w:cs="Arial"/>
                <w:color w:val="FF0000"/>
                <w:sz w:val="21"/>
                <w:szCs w:val="21"/>
              </w:rPr>
            </w:pPr>
          </w:p>
        </w:tc>
        <w:tc>
          <w:tcPr>
            <w:tcW w:w="217" w:type="dxa"/>
          </w:tcPr>
          <w:p w14:paraId="14F35719" w14:textId="77777777" w:rsidR="002C0FD9" w:rsidRPr="00CA25CF" w:rsidRDefault="002C0FD9" w:rsidP="00CA25CF">
            <w:pPr>
              <w:rPr>
                <w:rFonts w:cs="Arial"/>
                <w:color w:val="FF0000"/>
                <w:sz w:val="21"/>
                <w:szCs w:val="21"/>
              </w:rPr>
            </w:pPr>
          </w:p>
        </w:tc>
        <w:tc>
          <w:tcPr>
            <w:tcW w:w="217" w:type="dxa"/>
          </w:tcPr>
          <w:p w14:paraId="566115B9" w14:textId="77777777" w:rsidR="002C0FD9" w:rsidRPr="00CA25CF" w:rsidRDefault="002C0FD9" w:rsidP="00CA25CF">
            <w:pPr>
              <w:rPr>
                <w:rFonts w:cs="Arial"/>
                <w:color w:val="FF0000"/>
                <w:sz w:val="21"/>
                <w:szCs w:val="21"/>
              </w:rPr>
            </w:pPr>
          </w:p>
        </w:tc>
        <w:tc>
          <w:tcPr>
            <w:tcW w:w="217" w:type="dxa"/>
          </w:tcPr>
          <w:p w14:paraId="658B4A86" w14:textId="77777777" w:rsidR="002C0FD9" w:rsidRPr="00CA25CF" w:rsidRDefault="002C0FD9" w:rsidP="00CA25CF">
            <w:pPr>
              <w:rPr>
                <w:rFonts w:cs="Arial"/>
                <w:color w:val="FF0000"/>
                <w:sz w:val="21"/>
                <w:szCs w:val="21"/>
              </w:rPr>
            </w:pPr>
          </w:p>
        </w:tc>
        <w:tc>
          <w:tcPr>
            <w:tcW w:w="217" w:type="dxa"/>
          </w:tcPr>
          <w:p w14:paraId="2BB6DB3C" w14:textId="77777777" w:rsidR="002C0FD9" w:rsidRPr="00CA25CF" w:rsidRDefault="002C0FD9" w:rsidP="00CA25CF">
            <w:pPr>
              <w:rPr>
                <w:rFonts w:cs="Arial"/>
                <w:color w:val="FF0000"/>
                <w:sz w:val="21"/>
                <w:szCs w:val="21"/>
              </w:rPr>
            </w:pPr>
          </w:p>
        </w:tc>
        <w:tc>
          <w:tcPr>
            <w:tcW w:w="217" w:type="dxa"/>
          </w:tcPr>
          <w:p w14:paraId="21055D7F" w14:textId="77777777" w:rsidR="002C0FD9" w:rsidRPr="00CA25CF" w:rsidRDefault="002C0FD9" w:rsidP="00CA25CF">
            <w:pPr>
              <w:rPr>
                <w:rFonts w:cs="Arial"/>
                <w:color w:val="FF0000"/>
                <w:sz w:val="21"/>
                <w:szCs w:val="21"/>
              </w:rPr>
            </w:pPr>
          </w:p>
        </w:tc>
        <w:tc>
          <w:tcPr>
            <w:tcW w:w="217" w:type="dxa"/>
          </w:tcPr>
          <w:p w14:paraId="65E09CAA" w14:textId="77777777" w:rsidR="002C0FD9" w:rsidRPr="00CA25CF" w:rsidRDefault="002C0FD9" w:rsidP="00CA25CF">
            <w:pPr>
              <w:rPr>
                <w:rFonts w:cs="Arial"/>
                <w:color w:val="FF0000"/>
                <w:sz w:val="21"/>
                <w:szCs w:val="21"/>
              </w:rPr>
            </w:pPr>
          </w:p>
        </w:tc>
        <w:tc>
          <w:tcPr>
            <w:tcW w:w="217" w:type="dxa"/>
          </w:tcPr>
          <w:p w14:paraId="74E70331" w14:textId="77777777" w:rsidR="002C0FD9" w:rsidRPr="00CA25CF" w:rsidRDefault="002C0FD9" w:rsidP="00CA25CF">
            <w:pPr>
              <w:rPr>
                <w:rFonts w:cs="Arial"/>
                <w:color w:val="FF0000"/>
                <w:sz w:val="21"/>
                <w:szCs w:val="21"/>
              </w:rPr>
            </w:pPr>
          </w:p>
        </w:tc>
        <w:tc>
          <w:tcPr>
            <w:tcW w:w="217" w:type="dxa"/>
          </w:tcPr>
          <w:p w14:paraId="5D725C0B" w14:textId="77777777" w:rsidR="002C0FD9" w:rsidRPr="00CA25CF" w:rsidRDefault="002C0FD9" w:rsidP="00CA25CF">
            <w:pPr>
              <w:rPr>
                <w:rFonts w:cs="Arial"/>
                <w:color w:val="FF0000"/>
                <w:sz w:val="21"/>
                <w:szCs w:val="21"/>
              </w:rPr>
            </w:pPr>
          </w:p>
        </w:tc>
        <w:tc>
          <w:tcPr>
            <w:tcW w:w="217" w:type="dxa"/>
          </w:tcPr>
          <w:p w14:paraId="07420BC2" w14:textId="77777777" w:rsidR="002C0FD9" w:rsidRPr="00CA25CF" w:rsidRDefault="002C0FD9" w:rsidP="00CA25CF">
            <w:pPr>
              <w:rPr>
                <w:rFonts w:cs="Arial"/>
                <w:color w:val="FF0000"/>
                <w:sz w:val="21"/>
                <w:szCs w:val="21"/>
              </w:rPr>
            </w:pPr>
          </w:p>
        </w:tc>
        <w:tc>
          <w:tcPr>
            <w:tcW w:w="217" w:type="dxa"/>
          </w:tcPr>
          <w:p w14:paraId="0BC9CB53" w14:textId="77777777" w:rsidR="002C0FD9" w:rsidRPr="00CA25CF" w:rsidRDefault="002C0FD9" w:rsidP="00CA25CF">
            <w:pPr>
              <w:rPr>
                <w:rFonts w:cs="Arial"/>
                <w:color w:val="FF0000"/>
                <w:sz w:val="21"/>
                <w:szCs w:val="21"/>
              </w:rPr>
            </w:pPr>
          </w:p>
        </w:tc>
        <w:tc>
          <w:tcPr>
            <w:tcW w:w="217" w:type="dxa"/>
          </w:tcPr>
          <w:p w14:paraId="5789EB52" w14:textId="77777777" w:rsidR="002C0FD9" w:rsidRPr="00CA25CF" w:rsidRDefault="002C0FD9" w:rsidP="00CA25CF">
            <w:pPr>
              <w:rPr>
                <w:rFonts w:cs="Arial"/>
                <w:color w:val="FF0000"/>
                <w:sz w:val="21"/>
                <w:szCs w:val="21"/>
              </w:rPr>
            </w:pPr>
          </w:p>
        </w:tc>
        <w:tc>
          <w:tcPr>
            <w:tcW w:w="217" w:type="dxa"/>
          </w:tcPr>
          <w:p w14:paraId="61157D28" w14:textId="77777777" w:rsidR="002C0FD9" w:rsidRPr="00CA25CF" w:rsidRDefault="002C0FD9" w:rsidP="00CA25CF">
            <w:pPr>
              <w:rPr>
                <w:rFonts w:cs="Arial"/>
                <w:color w:val="FF0000"/>
                <w:sz w:val="21"/>
                <w:szCs w:val="21"/>
              </w:rPr>
            </w:pPr>
          </w:p>
        </w:tc>
        <w:tc>
          <w:tcPr>
            <w:tcW w:w="217" w:type="dxa"/>
          </w:tcPr>
          <w:p w14:paraId="106F559B" w14:textId="77777777" w:rsidR="002C0FD9" w:rsidRPr="00CA25CF" w:rsidRDefault="002C0FD9" w:rsidP="00CA25CF">
            <w:pPr>
              <w:rPr>
                <w:rFonts w:cs="Arial"/>
                <w:color w:val="FF0000"/>
                <w:sz w:val="21"/>
                <w:szCs w:val="21"/>
              </w:rPr>
            </w:pPr>
          </w:p>
        </w:tc>
        <w:tc>
          <w:tcPr>
            <w:tcW w:w="217" w:type="dxa"/>
          </w:tcPr>
          <w:p w14:paraId="1A33C845" w14:textId="77777777" w:rsidR="002C0FD9" w:rsidRPr="00CA25CF" w:rsidRDefault="002C0FD9" w:rsidP="00CA25CF">
            <w:pPr>
              <w:rPr>
                <w:rFonts w:cs="Arial"/>
                <w:color w:val="FF0000"/>
                <w:sz w:val="21"/>
                <w:szCs w:val="21"/>
              </w:rPr>
            </w:pPr>
          </w:p>
        </w:tc>
        <w:tc>
          <w:tcPr>
            <w:tcW w:w="217" w:type="dxa"/>
          </w:tcPr>
          <w:p w14:paraId="4F96B1F1" w14:textId="77777777" w:rsidR="002C0FD9" w:rsidRPr="00CA25CF" w:rsidRDefault="002C0FD9" w:rsidP="00CA25CF">
            <w:pPr>
              <w:rPr>
                <w:rFonts w:cs="Arial"/>
                <w:color w:val="FF0000"/>
                <w:sz w:val="21"/>
                <w:szCs w:val="21"/>
              </w:rPr>
            </w:pPr>
          </w:p>
        </w:tc>
        <w:tc>
          <w:tcPr>
            <w:tcW w:w="217" w:type="dxa"/>
          </w:tcPr>
          <w:p w14:paraId="63355133" w14:textId="77777777" w:rsidR="002C0FD9" w:rsidRPr="00CA25CF" w:rsidRDefault="002C0FD9" w:rsidP="00CA25CF">
            <w:pPr>
              <w:rPr>
                <w:rFonts w:cs="Arial"/>
                <w:color w:val="FF0000"/>
                <w:sz w:val="21"/>
                <w:szCs w:val="21"/>
              </w:rPr>
            </w:pPr>
          </w:p>
        </w:tc>
        <w:tc>
          <w:tcPr>
            <w:tcW w:w="217" w:type="dxa"/>
          </w:tcPr>
          <w:p w14:paraId="0F790BE3" w14:textId="77777777" w:rsidR="002C0FD9" w:rsidRPr="00CA25CF" w:rsidRDefault="002C0FD9" w:rsidP="00CA25CF">
            <w:pPr>
              <w:rPr>
                <w:rFonts w:cs="Arial"/>
                <w:color w:val="FF0000"/>
                <w:sz w:val="21"/>
                <w:szCs w:val="21"/>
              </w:rPr>
            </w:pPr>
          </w:p>
        </w:tc>
        <w:tc>
          <w:tcPr>
            <w:tcW w:w="217" w:type="dxa"/>
          </w:tcPr>
          <w:p w14:paraId="31C9CEB2" w14:textId="77777777" w:rsidR="002C0FD9" w:rsidRPr="00CA25CF" w:rsidRDefault="002C0FD9" w:rsidP="00CA25CF">
            <w:pPr>
              <w:rPr>
                <w:rFonts w:cs="Arial"/>
                <w:color w:val="FF0000"/>
                <w:sz w:val="21"/>
                <w:szCs w:val="21"/>
              </w:rPr>
            </w:pPr>
          </w:p>
        </w:tc>
        <w:tc>
          <w:tcPr>
            <w:tcW w:w="217" w:type="dxa"/>
          </w:tcPr>
          <w:p w14:paraId="260B443A" w14:textId="77777777" w:rsidR="002C0FD9" w:rsidRPr="00CA25CF" w:rsidRDefault="002C0FD9" w:rsidP="00CA25CF">
            <w:pPr>
              <w:rPr>
                <w:rFonts w:cs="Arial"/>
                <w:color w:val="FF0000"/>
                <w:sz w:val="21"/>
                <w:szCs w:val="21"/>
              </w:rPr>
            </w:pPr>
          </w:p>
        </w:tc>
        <w:tc>
          <w:tcPr>
            <w:tcW w:w="217" w:type="dxa"/>
          </w:tcPr>
          <w:p w14:paraId="19453C70" w14:textId="77777777" w:rsidR="002C0FD9" w:rsidRPr="00CA25CF" w:rsidRDefault="002C0FD9" w:rsidP="00CA25CF">
            <w:pPr>
              <w:rPr>
                <w:rFonts w:cs="Arial"/>
                <w:color w:val="FF0000"/>
                <w:sz w:val="21"/>
                <w:szCs w:val="21"/>
              </w:rPr>
            </w:pPr>
          </w:p>
        </w:tc>
        <w:tc>
          <w:tcPr>
            <w:tcW w:w="217" w:type="dxa"/>
          </w:tcPr>
          <w:p w14:paraId="102C6696" w14:textId="77777777" w:rsidR="002C0FD9" w:rsidRPr="00CA25CF" w:rsidRDefault="002C0FD9" w:rsidP="00CA25CF">
            <w:pPr>
              <w:rPr>
                <w:rFonts w:cs="Arial"/>
                <w:color w:val="FF0000"/>
                <w:sz w:val="21"/>
                <w:szCs w:val="21"/>
              </w:rPr>
            </w:pPr>
          </w:p>
        </w:tc>
        <w:tc>
          <w:tcPr>
            <w:tcW w:w="217" w:type="dxa"/>
          </w:tcPr>
          <w:p w14:paraId="1268506D" w14:textId="77777777" w:rsidR="002C0FD9" w:rsidRPr="00CA25CF" w:rsidRDefault="002C0FD9" w:rsidP="00CA25CF">
            <w:pPr>
              <w:rPr>
                <w:rFonts w:cs="Arial"/>
                <w:color w:val="FF0000"/>
                <w:sz w:val="21"/>
                <w:szCs w:val="21"/>
              </w:rPr>
            </w:pPr>
          </w:p>
        </w:tc>
        <w:tc>
          <w:tcPr>
            <w:tcW w:w="217" w:type="dxa"/>
          </w:tcPr>
          <w:p w14:paraId="46E22776" w14:textId="77777777" w:rsidR="002C0FD9" w:rsidRPr="00CA25CF" w:rsidRDefault="002C0FD9" w:rsidP="00CA25CF">
            <w:pPr>
              <w:rPr>
                <w:rFonts w:cs="Arial"/>
                <w:color w:val="FF0000"/>
                <w:sz w:val="21"/>
                <w:szCs w:val="21"/>
              </w:rPr>
            </w:pPr>
          </w:p>
        </w:tc>
        <w:tc>
          <w:tcPr>
            <w:tcW w:w="217" w:type="dxa"/>
          </w:tcPr>
          <w:p w14:paraId="6D10A6BE" w14:textId="77777777" w:rsidR="002C0FD9" w:rsidRPr="00CA25CF" w:rsidRDefault="002C0FD9" w:rsidP="00CA25CF">
            <w:pPr>
              <w:rPr>
                <w:rFonts w:cs="Arial"/>
                <w:color w:val="FF0000"/>
                <w:sz w:val="21"/>
                <w:szCs w:val="21"/>
              </w:rPr>
            </w:pPr>
          </w:p>
        </w:tc>
        <w:tc>
          <w:tcPr>
            <w:tcW w:w="217" w:type="dxa"/>
          </w:tcPr>
          <w:p w14:paraId="32D9AECD" w14:textId="77777777" w:rsidR="002C0FD9" w:rsidRPr="00CA25CF" w:rsidRDefault="002C0FD9" w:rsidP="00CA25CF">
            <w:pPr>
              <w:rPr>
                <w:rFonts w:cs="Arial"/>
                <w:color w:val="FF0000"/>
                <w:sz w:val="21"/>
                <w:szCs w:val="21"/>
              </w:rPr>
            </w:pPr>
          </w:p>
        </w:tc>
        <w:tc>
          <w:tcPr>
            <w:tcW w:w="217" w:type="dxa"/>
          </w:tcPr>
          <w:p w14:paraId="6413B7FA" w14:textId="77777777" w:rsidR="002C0FD9" w:rsidRPr="00CA25CF" w:rsidRDefault="002C0FD9" w:rsidP="00CA25CF">
            <w:pPr>
              <w:rPr>
                <w:rFonts w:cs="Arial"/>
                <w:color w:val="FF0000"/>
                <w:sz w:val="21"/>
                <w:szCs w:val="21"/>
              </w:rPr>
            </w:pPr>
          </w:p>
        </w:tc>
        <w:tc>
          <w:tcPr>
            <w:tcW w:w="217" w:type="dxa"/>
          </w:tcPr>
          <w:p w14:paraId="6385D2ED" w14:textId="77777777" w:rsidR="002C0FD9" w:rsidRPr="00CA25CF" w:rsidRDefault="002C0FD9" w:rsidP="00CA25CF">
            <w:pPr>
              <w:rPr>
                <w:rFonts w:cs="Arial"/>
                <w:color w:val="FF0000"/>
                <w:sz w:val="21"/>
                <w:szCs w:val="21"/>
              </w:rPr>
            </w:pPr>
          </w:p>
        </w:tc>
        <w:tc>
          <w:tcPr>
            <w:tcW w:w="217" w:type="dxa"/>
          </w:tcPr>
          <w:p w14:paraId="1FF9B786" w14:textId="77777777" w:rsidR="002C0FD9" w:rsidRPr="00CA25CF" w:rsidRDefault="002C0FD9" w:rsidP="00CA25CF">
            <w:pPr>
              <w:rPr>
                <w:rFonts w:cs="Arial"/>
                <w:color w:val="FF0000"/>
                <w:sz w:val="21"/>
                <w:szCs w:val="21"/>
              </w:rPr>
            </w:pPr>
          </w:p>
        </w:tc>
        <w:tc>
          <w:tcPr>
            <w:tcW w:w="217" w:type="dxa"/>
          </w:tcPr>
          <w:p w14:paraId="4A0258F6" w14:textId="77777777" w:rsidR="002C0FD9" w:rsidRPr="00CA25CF" w:rsidRDefault="002C0FD9" w:rsidP="00CA25CF">
            <w:pPr>
              <w:rPr>
                <w:rFonts w:cs="Arial"/>
                <w:color w:val="FF0000"/>
                <w:sz w:val="21"/>
                <w:szCs w:val="21"/>
              </w:rPr>
            </w:pPr>
          </w:p>
        </w:tc>
      </w:tr>
      <w:tr w:rsidR="002C0FD9" w:rsidRPr="00A16219" w14:paraId="0F05D742" w14:textId="77777777" w:rsidTr="002C0FD9">
        <w:trPr>
          <w:trHeight w:val="635"/>
        </w:trPr>
        <w:tc>
          <w:tcPr>
            <w:tcW w:w="515" w:type="dxa"/>
          </w:tcPr>
          <w:p w14:paraId="5A122D76" w14:textId="77777777" w:rsidR="002C0FD9" w:rsidRPr="00CA25CF" w:rsidRDefault="002C0FD9" w:rsidP="00CA25CF">
            <w:pPr>
              <w:rPr>
                <w:rFonts w:cs="Arial"/>
                <w:color w:val="FF0000"/>
                <w:sz w:val="21"/>
                <w:szCs w:val="21"/>
              </w:rPr>
            </w:pPr>
          </w:p>
        </w:tc>
        <w:tc>
          <w:tcPr>
            <w:tcW w:w="217" w:type="dxa"/>
          </w:tcPr>
          <w:p w14:paraId="0666F664" w14:textId="77777777" w:rsidR="002C0FD9" w:rsidRPr="00CA25CF" w:rsidRDefault="002C0FD9" w:rsidP="00CA25CF">
            <w:pPr>
              <w:rPr>
                <w:rFonts w:cs="Arial"/>
                <w:color w:val="FF0000"/>
                <w:sz w:val="21"/>
                <w:szCs w:val="21"/>
              </w:rPr>
            </w:pPr>
          </w:p>
        </w:tc>
        <w:tc>
          <w:tcPr>
            <w:tcW w:w="217" w:type="dxa"/>
          </w:tcPr>
          <w:p w14:paraId="37070ABC" w14:textId="77777777" w:rsidR="002C0FD9" w:rsidRPr="00CA25CF" w:rsidRDefault="002C0FD9" w:rsidP="00CA25CF">
            <w:pPr>
              <w:rPr>
                <w:rFonts w:cs="Arial"/>
                <w:color w:val="FF0000"/>
                <w:sz w:val="21"/>
                <w:szCs w:val="21"/>
              </w:rPr>
            </w:pPr>
          </w:p>
        </w:tc>
        <w:tc>
          <w:tcPr>
            <w:tcW w:w="217" w:type="dxa"/>
          </w:tcPr>
          <w:p w14:paraId="24338ED0" w14:textId="77777777" w:rsidR="002C0FD9" w:rsidRPr="00CA25CF" w:rsidRDefault="002C0FD9" w:rsidP="00CA25CF">
            <w:pPr>
              <w:rPr>
                <w:rFonts w:cs="Arial"/>
                <w:color w:val="FF0000"/>
                <w:sz w:val="21"/>
                <w:szCs w:val="21"/>
              </w:rPr>
            </w:pPr>
          </w:p>
        </w:tc>
        <w:tc>
          <w:tcPr>
            <w:tcW w:w="217" w:type="dxa"/>
          </w:tcPr>
          <w:p w14:paraId="68FA8419" w14:textId="77777777" w:rsidR="002C0FD9" w:rsidRPr="00CA25CF" w:rsidRDefault="002C0FD9" w:rsidP="00CA25CF">
            <w:pPr>
              <w:rPr>
                <w:rFonts w:cs="Arial"/>
                <w:color w:val="FF0000"/>
                <w:sz w:val="21"/>
                <w:szCs w:val="21"/>
              </w:rPr>
            </w:pPr>
          </w:p>
        </w:tc>
        <w:tc>
          <w:tcPr>
            <w:tcW w:w="217" w:type="dxa"/>
          </w:tcPr>
          <w:p w14:paraId="6DAA984F" w14:textId="77777777" w:rsidR="002C0FD9" w:rsidRPr="00CA25CF" w:rsidRDefault="002C0FD9" w:rsidP="00CA25CF">
            <w:pPr>
              <w:rPr>
                <w:rFonts w:cs="Arial"/>
                <w:color w:val="FF0000"/>
                <w:sz w:val="21"/>
                <w:szCs w:val="21"/>
              </w:rPr>
            </w:pPr>
          </w:p>
        </w:tc>
        <w:tc>
          <w:tcPr>
            <w:tcW w:w="217" w:type="dxa"/>
          </w:tcPr>
          <w:p w14:paraId="44A1F7C0" w14:textId="77777777" w:rsidR="002C0FD9" w:rsidRPr="00CA25CF" w:rsidRDefault="002C0FD9" w:rsidP="00CA25CF">
            <w:pPr>
              <w:rPr>
                <w:rFonts w:cs="Arial"/>
                <w:color w:val="FF0000"/>
                <w:sz w:val="21"/>
                <w:szCs w:val="21"/>
              </w:rPr>
            </w:pPr>
          </w:p>
        </w:tc>
        <w:tc>
          <w:tcPr>
            <w:tcW w:w="217" w:type="dxa"/>
          </w:tcPr>
          <w:p w14:paraId="14AA4D8E" w14:textId="77777777" w:rsidR="002C0FD9" w:rsidRPr="00CA25CF" w:rsidRDefault="002C0FD9" w:rsidP="00CA25CF">
            <w:pPr>
              <w:rPr>
                <w:rFonts w:cs="Arial"/>
                <w:color w:val="FF0000"/>
                <w:sz w:val="21"/>
                <w:szCs w:val="21"/>
              </w:rPr>
            </w:pPr>
          </w:p>
        </w:tc>
        <w:tc>
          <w:tcPr>
            <w:tcW w:w="217" w:type="dxa"/>
          </w:tcPr>
          <w:p w14:paraId="646DFB07" w14:textId="77777777" w:rsidR="002C0FD9" w:rsidRPr="00CA25CF" w:rsidRDefault="002C0FD9" w:rsidP="00CA25CF">
            <w:pPr>
              <w:rPr>
                <w:rFonts w:cs="Arial"/>
                <w:color w:val="FF0000"/>
                <w:sz w:val="21"/>
                <w:szCs w:val="21"/>
              </w:rPr>
            </w:pPr>
          </w:p>
        </w:tc>
        <w:tc>
          <w:tcPr>
            <w:tcW w:w="217" w:type="dxa"/>
          </w:tcPr>
          <w:p w14:paraId="6A442F74" w14:textId="77777777" w:rsidR="002C0FD9" w:rsidRPr="00CA25CF" w:rsidRDefault="002C0FD9" w:rsidP="00CA25CF">
            <w:pPr>
              <w:rPr>
                <w:rFonts w:cs="Arial"/>
                <w:color w:val="FF0000"/>
                <w:sz w:val="21"/>
                <w:szCs w:val="21"/>
              </w:rPr>
            </w:pPr>
          </w:p>
        </w:tc>
        <w:tc>
          <w:tcPr>
            <w:tcW w:w="217" w:type="dxa"/>
          </w:tcPr>
          <w:p w14:paraId="54DD7544" w14:textId="77777777" w:rsidR="002C0FD9" w:rsidRPr="00CA25CF" w:rsidRDefault="002C0FD9" w:rsidP="00CA25CF">
            <w:pPr>
              <w:rPr>
                <w:rFonts w:cs="Arial"/>
                <w:color w:val="FF0000"/>
                <w:sz w:val="21"/>
                <w:szCs w:val="21"/>
              </w:rPr>
            </w:pPr>
          </w:p>
        </w:tc>
        <w:tc>
          <w:tcPr>
            <w:tcW w:w="217" w:type="dxa"/>
          </w:tcPr>
          <w:p w14:paraId="4EE8A2C5" w14:textId="77777777" w:rsidR="002C0FD9" w:rsidRPr="00CA25CF" w:rsidRDefault="002C0FD9" w:rsidP="00CA25CF">
            <w:pPr>
              <w:rPr>
                <w:rFonts w:cs="Arial"/>
                <w:color w:val="FF0000"/>
                <w:sz w:val="21"/>
                <w:szCs w:val="21"/>
              </w:rPr>
            </w:pPr>
          </w:p>
        </w:tc>
        <w:tc>
          <w:tcPr>
            <w:tcW w:w="217" w:type="dxa"/>
          </w:tcPr>
          <w:p w14:paraId="4DB93D14" w14:textId="77777777" w:rsidR="002C0FD9" w:rsidRPr="00CA25CF" w:rsidRDefault="002C0FD9" w:rsidP="00CA25CF">
            <w:pPr>
              <w:rPr>
                <w:rFonts w:cs="Arial"/>
                <w:color w:val="FF0000"/>
                <w:sz w:val="21"/>
                <w:szCs w:val="21"/>
              </w:rPr>
            </w:pPr>
          </w:p>
        </w:tc>
        <w:tc>
          <w:tcPr>
            <w:tcW w:w="217" w:type="dxa"/>
          </w:tcPr>
          <w:p w14:paraId="5668F61D" w14:textId="77777777" w:rsidR="002C0FD9" w:rsidRPr="00CA25CF" w:rsidRDefault="002C0FD9" w:rsidP="00CA25CF">
            <w:pPr>
              <w:rPr>
                <w:rFonts w:cs="Arial"/>
                <w:color w:val="FF0000"/>
                <w:sz w:val="21"/>
                <w:szCs w:val="21"/>
              </w:rPr>
            </w:pPr>
          </w:p>
        </w:tc>
        <w:tc>
          <w:tcPr>
            <w:tcW w:w="217" w:type="dxa"/>
          </w:tcPr>
          <w:p w14:paraId="13B6AC2D" w14:textId="77777777" w:rsidR="002C0FD9" w:rsidRPr="00CA25CF" w:rsidRDefault="002C0FD9" w:rsidP="00CA25CF">
            <w:pPr>
              <w:rPr>
                <w:rFonts w:cs="Arial"/>
                <w:color w:val="FF0000"/>
                <w:sz w:val="21"/>
                <w:szCs w:val="21"/>
              </w:rPr>
            </w:pPr>
          </w:p>
        </w:tc>
        <w:tc>
          <w:tcPr>
            <w:tcW w:w="217" w:type="dxa"/>
          </w:tcPr>
          <w:p w14:paraId="61F7F491" w14:textId="77777777" w:rsidR="002C0FD9" w:rsidRPr="00CA25CF" w:rsidRDefault="002C0FD9" w:rsidP="00CA25CF">
            <w:pPr>
              <w:rPr>
                <w:rFonts w:cs="Arial"/>
                <w:color w:val="FF0000"/>
                <w:sz w:val="21"/>
                <w:szCs w:val="21"/>
              </w:rPr>
            </w:pPr>
          </w:p>
        </w:tc>
        <w:tc>
          <w:tcPr>
            <w:tcW w:w="217" w:type="dxa"/>
          </w:tcPr>
          <w:p w14:paraId="006E3DB0" w14:textId="77777777" w:rsidR="002C0FD9" w:rsidRPr="00CA25CF" w:rsidRDefault="002C0FD9" w:rsidP="00CA25CF">
            <w:pPr>
              <w:rPr>
                <w:rFonts w:cs="Arial"/>
                <w:color w:val="FF0000"/>
                <w:sz w:val="21"/>
                <w:szCs w:val="21"/>
              </w:rPr>
            </w:pPr>
          </w:p>
        </w:tc>
        <w:tc>
          <w:tcPr>
            <w:tcW w:w="217" w:type="dxa"/>
          </w:tcPr>
          <w:p w14:paraId="204148B4" w14:textId="77777777" w:rsidR="002C0FD9" w:rsidRPr="00CA25CF" w:rsidRDefault="002C0FD9" w:rsidP="00CA25CF">
            <w:pPr>
              <w:rPr>
                <w:rFonts w:cs="Arial"/>
                <w:color w:val="FF0000"/>
                <w:sz w:val="21"/>
                <w:szCs w:val="21"/>
              </w:rPr>
            </w:pPr>
          </w:p>
        </w:tc>
        <w:tc>
          <w:tcPr>
            <w:tcW w:w="217" w:type="dxa"/>
          </w:tcPr>
          <w:p w14:paraId="038EEAFA" w14:textId="77777777" w:rsidR="002C0FD9" w:rsidRPr="00CA25CF" w:rsidRDefault="002C0FD9" w:rsidP="00CA25CF">
            <w:pPr>
              <w:rPr>
                <w:rFonts w:cs="Arial"/>
                <w:color w:val="FF0000"/>
                <w:sz w:val="21"/>
                <w:szCs w:val="21"/>
              </w:rPr>
            </w:pPr>
          </w:p>
        </w:tc>
        <w:tc>
          <w:tcPr>
            <w:tcW w:w="217" w:type="dxa"/>
          </w:tcPr>
          <w:p w14:paraId="1CD91FAC" w14:textId="77777777" w:rsidR="002C0FD9" w:rsidRPr="00CA25CF" w:rsidRDefault="002C0FD9" w:rsidP="00CA25CF">
            <w:pPr>
              <w:rPr>
                <w:rFonts w:cs="Arial"/>
                <w:color w:val="FF0000"/>
                <w:sz w:val="21"/>
                <w:szCs w:val="21"/>
              </w:rPr>
            </w:pPr>
          </w:p>
        </w:tc>
        <w:tc>
          <w:tcPr>
            <w:tcW w:w="217" w:type="dxa"/>
          </w:tcPr>
          <w:p w14:paraId="50A0D712" w14:textId="77777777" w:rsidR="002C0FD9" w:rsidRPr="00CA25CF" w:rsidRDefault="002C0FD9" w:rsidP="00CA25CF">
            <w:pPr>
              <w:rPr>
                <w:rFonts w:cs="Arial"/>
                <w:color w:val="FF0000"/>
                <w:sz w:val="21"/>
                <w:szCs w:val="21"/>
              </w:rPr>
            </w:pPr>
          </w:p>
        </w:tc>
        <w:tc>
          <w:tcPr>
            <w:tcW w:w="217" w:type="dxa"/>
          </w:tcPr>
          <w:p w14:paraId="4567BDF8" w14:textId="77777777" w:rsidR="002C0FD9" w:rsidRPr="00CA25CF" w:rsidRDefault="002C0FD9" w:rsidP="00CA25CF">
            <w:pPr>
              <w:rPr>
                <w:rFonts w:cs="Arial"/>
                <w:color w:val="FF0000"/>
                <w:sz w:val="21"/>
                <w:szCs w:val="21"/>
              </w:rPr>
            </w:pPr>
          </w:p>
        </w:tc>
        <w:tc>
          <w:tcPr>
            <w:tcW w:w="217" w:type="dxa"/>
          </w:tcPr>
          <w:p w14:paraId="37EFAEF5" w14:textId="77777777" w:rsidR="002C0FD9" w:rsidRPr="00CA25CF" w:rsidRDefault="002C0FD9" w:rsidP="00CA25CF">
            <w:pPr>
              <w:rPr>
                <w:rFonts w:cs="Arial"/>
                <w:color w:val="FF0000"/>
                <w:sz w:val="21"/>
                <w:szCs w:val="21"/>
              </w:rPr>
            </w:pPr>
          </w:p>
        </w:tc>
        <w:tc>
          <w:tcPr>
            <w:tcW w:w="217" w:type="dxa"/>
          </w:tcPr>
          <w:p w14:paraId="0117BB02" w14:textId="77777777" w:rsidR="002C0FD9" w:rsidRPr="00CA25CF" w:rsidRDefault="002C0FD9" w:rsidP="00CA25CF">
            <w:pPr>
              <w:rPr>
                <w:rFonts w:cs="Arial"/>
                <w:color w:val="FF0000"/>
                <w:sz w:val="21"/>
                <w:szCs w:val="21"/>
              </w:rPr>
            </w:pPr>
          </w:p>
        </w:tc>
        <w:tc>
          <w:tcPr>
            <w:tcW w:w="217" w:type="dxa"/>
          </w:tcPr>
          <w:p w14:paraId="066DF294" w14:textId="77777777" w:rsidR="002C0FD9" w:rsidRPr="00CA25CF" w:rsidRDefault="002C0FD9" w:rsidP="00CA25CF">
            <w:pPr>
              <w:rPr>
                <w:rFonts w:cs="Arial"/>
                <w:color w:val="FF0000"/>
                <w:sz w:val="21"/>
                <w:szCs w:val="21"/>
              </w:rPr>
            </w:pPr>
          </w:p>
        </w:tc>
        <w:tc>
          <w:tcPr>
            <w:tcW w:w="217" w:type="dxa"/>
          </w:tcPr>
          <w:p w14:paraId="42FFC9BE" w14:textId="77777777" w:rsidR="002C0FD9" w:rsidRPr="00CA25CF" w:rsidRDefault="002C0FD9" w:rsidP="00CA25CF">
            <w:pPr>
              <w:rPr>
                <w:rFonts w:cs="Arial"/>
                <w:color w:val="FF0000"/>
                <w:sz w:val="21"/>
                <w:szCs w:val="21"/>
              </w:rPr>
            </w:pPr>
          </w:p>
        </w:tc>
        <w:tc>
          <w:tcPr>
            <w:tcW w:w="217" w:type="dxa"/>
          </w:tcPr>
          <w:p w14:paraId="69EB6948" w14:textId="77777777" w:rsidR="002C0FD9" w:rsidRPr="00CA25CF" w:rsidRDefault="002C0FD9" w:rsidP="00CA25CF">
            <w:pPr>
              <w:rPr>
                <w:rFonts w:cs="Arial"/>
                <w:color w:val="FF0000"/>
                <w:sz w:val="21"/>
                <w:szCs w:val="21"/>
              </w:rPr>
            </w:pPr>
          </w:p>
        </w:tc>
        <w:tc>
          <w:tcPr>
            <w:tcW w:w="217" w:type="dxa"/>
          </w:tcPr>
          <w:p w14:paraId="0732DCEE" w14:textId="77777777" w:rsidR="002C0FD9" w:rsidRPr="00CA25CF" w:rsidRDefault="002C0FD9" w:rsidP="00CA25CF">
            <w:pPr>
              <w:rPr>
                <w:rFonts w:cs="Arial"/>
                <w:color w:val="FF0000"/>
                <w:sz w:val="21"/>
                <w:szCs w:val="21"/>
              </w:rPr>
            </w:pPr>
          </w:p>
        </w:tc>
        <w:tc>
          <w:tcPr>
            <w:tcW w:w="217" w:type="dxa"/>
          </w:tcPr>
          <w:p w14:paraId="45524DE8" w14:textId="77777777" w:rsidR="002C0FD9" w:rsidRPr="00CA25CF" w:rsidRDefault="002C0FD9" w:rsidP="00CA25CF">
            <w:pPr>
              <w:rPr>
                <w:rFonts w:cs="Arial"/>
                <w:color w:val="FF0000"/>
                <w:sz w:val="21"/>
                <w:szCs w:val="21"/>
              </w:rPr>
            </w:pPr>
          </w:p>
        </w:tc>
        <w:tc>
          <w:tcPr>
            <w:tcW w:w="217" w:type="dxa"/>
          </w:tcPr>
          <w:p w14:paraId="0183A702" w14:textId="77777777" w:rsidR="002C0FD9" w:rsidRPr="00CA25CF" w:rsidRDefault="002C0FD9" w:rsidP="00CA25CF">
            <w:pPr>
              <w:rPr>
                <w:rFonts w:cs="Arial"/>
                <w:color w:val="FF0000"/>
                <w:sz w:val="21"/>
                <w:szCs w:val="21"/>
              </w:rPr>
            </w:pPr>
          </w:p>
        </w:tc>
        <w:tc>
          <w:tcPr>
            <w:tcW w:w="217" w:type="dxa"/>
          </w:tcPr>
          <w:p w14:paraId="32AAB685" w14:textId="77777777" w:rsidR="002C0FD9" w:rsidRPr="00CA25CF" w:rsidRDefault="002C0FD9" w:rsidP="00CA25CF">
            <w:pPr>
              <w:rPr>
                <w:rFonts w:cs="Arial"/>
                <w:color w:val="FF0000"/>
                <w:sz w:val="21"/>
                <w:szCs w:val="21"/>
              </w:rPr>
            </w:pPr>
          </w:p>
        </w:tc>
        <w:tc>
          <w:tcPr>
            <w:tcW w:w="217" w:type="dxa"/>
          </w:tcPr>
          <w:p w14:paraId="5A28C809" w14:textId="77777777" w:rsidR="002C0FD9" w:rsidRPr="00CA25CF" w:rsidRDefault="002C0FD9" w:rsidP="00CA25CF">
            <w:pPr>
              <w:rPr>
                <w:rFonts w:cs="Arial"/>
                <w:color w:val="FF0000"/>
                <w:sz w:val="21"/>
                <w:szCs w:val="21"/>
              </w:rPr>
            </w:pPr>
          </w:p>
        </w:tc>
        <w:tc>
          <w:tcPr>
            <w:tcW w:w="217" w:type="dxa"/>
          </w:tcPr>
          <w:p w14:paraId="698EDDB1" w14:textId="77777777" w:rsidR="002C0FD9" w:rsidRPr="00CA25CF" w:rsidRDefault="002C0FD9" w:rsidP="00CA25CF">
            <w:pPr>
              <w:rPr>
                <w:rFonts w:cs="Arial"/>
                <w:color w:val="FF0000"/>
                <w:sz w:val="21"/>
                <w:szCs w:val="21"/>
              </w:rPr>
            </w:pPr>
          </w:p>
        </w:tc>
        <w:tc>
          <w:tcPr>
            <w:tcW w:w="217" w:type="dxa"/>
          </w:tcPr>
          <w:p w14:paraId="28DBBE6C" w14:textId="77777777" w:rsidR="002C0FD9" w:rsidRPr="00CA25CF" w:rsidRDefault="002C0FD9" w:rsidP="00CA25CF">
            <w:pPr>
              <w:rPr>
                <w:rFonts w:cs="Arial"/>
                <w:color w:val="FF0000"/>
                <w:sz w:val="21"/>
                <w:szCs w:val="21"/>
              </w:rPr>
            </w:pPr>
          </w:p>
        </w:tc>
        <w:tc>
          <w:tcPr>
            <w:tcW w:w="217" w:type="dxa"/>
          </w:tcPr>
          <w:p w14:paraId="1124F706" w14:textId="77777777" w:rsidR="002C0FD9" w:rsidRPr="00CA25CF" w:rsidRDefault="002C0FD9" w:rsidP="00CA25CF">
            <w:pPr>
              <w:rPr>
                <w:rFonts w:cs="Arial"/>
                <w:color w:val="FF0000"/>
                <w:sz w:val="21"/>
                <w:szCs w:val="21"/>
              </w:rPr>
            </w:pPr>
          </w:p>
        </w:tc>
        <w:tc>
          <w:tcPr>
            <w:tcW w:w="217" w:type="dxa"/>
          </w:tcPr>
          <w:p w14:paraId="52256716" w14:textId="77777777" w:rsidR="002C0FD9" w:rsidRPr="00CA25CF" w:rsidRDefault="002C0FD9" w:rsidP="00CA25CF">
            <w:pPr>
              <w:rPr>
                <w:rFonts w:cs="Arial"/>
                <w:color w:val="FF0000"/>
                <w:sz w:val="21"/>
                <w:szCs w:val="21"/>
              </w:rPr>
            </w:pPr>
          </w:p>
        </w:tc>
        <w:tc>
          <w:tcPr>
            <w:tcW w:w="217" w:type="dxa"/>
          </w:tcPr>
          <w:p w14:paraId="7FF0A2E3" w14:textId="77777777" w:rsidR="002C0FD9" w:rsidRPr="00CA25CF" w:rsidRDefault="002C0FD9" w:rsidP="00CA25CF">
            <w:pPr>
              <w:rPr>
                <w:rFonts w:cs="Arial"/>
                <w:color w:val="FF0000"/>
                <w:sz w:val="21"/>
                <w:szCs w:val="21"/>
              </w:rPr>
            </w:pPr>
          </w:p>
        </w:tc>
        <w:tc>
          <w:tcPr>
            <w:tcW w:w="217" w:type="dxa"/>
          </w:tcPr>
          <w:p w14:paraId="4DA5CDE2" w14:textId="77777777" w:rsidR="002C0FD9" w:rsidRPr="00CA25CF" w:rsidRDefault="002C0FD9" w:rsidP="00CA25CF">
            <w:pPr>
              <w:rPr>
                <w:rFonts w:cs="Arial"/>
                <w:color w:val="FF0000"/>
                <w:sz w:val="21"/>
                <w:szCs w:val="21"/>
              </w:rPr>
            </w:pPr>
          </w:p>
        </w:tc>
        <w:tc>
          <w:tcPr>
            <w:tcW w:w="217" w:type="dxa"/>
          </w:tcPr>
          <w:p w14:paraId="6CD834D6" w14:textId="77777777" w:rsidR="002C0FD9" w:rsidRPr="00CA25CF" w:rsidRDefault="002C0FD9" w:rsidP="00CA25CF">
            <w:pPr>
              <w:rPr>
                <w:rFonts w:cs="Arial"/>
                <w:color w:val="FF0000"/>
                <w:sz w:val="21"/>
                <w:szCs w:val="21"/>
              </w:rPr>
            </w:pPr>
          </w:p>
        </w:tc>
        <w:tc>
          <w:tcPr>
            <w:tcW w:w="217" w:type="dxa"/>
          </w:tcPr>
          <w:p w14:paraId="3D6FD880" w14:textId="77777777" w:rsidR="002C0FD9" w:rsidRPr="00CA25CF" w:rsidRDefault="002C0FD9" w:rsidP="00CA25CF">
            <w:pPr>
              <w:rPr>
                <w:rFonts w:cs="Arial"/>
                <w:color w:val="FF0000"/>
                <w:sz w:val="21"/>
                <w:szCs w:val="21"/>
              </w:rPr>
            </w:pPr>
          </w:p>
        </w:tc>
        <w:tc>
          <w:tcPr>
            <w:tcW w:w="217" w:type="dxa"/>
          </w:tcPr>
          <w:p w14:paraId="06D1696A" w14:textId="77777777" w:rsidR="002C0FD9" w:rsidRPr="00CA25CF" w:rsidRDefault="002C0FD9" w:rsidP="00CA25CF">
            <w:pPr>
              <w:rPr>
                <w:rFonts w:cs="Arial"/>
                <w:color w:val="FF0000"/>
                <w:sz w:val="21"/>
                <w:szCs w:val="21"/>
              </w:rPr>
            </w:pPr>
          </w:p>
        </w:tc>
        <w:tc>
          <w:tcPr>
            <w:tcW w:w="217" w:type="dxa"/>
          </w:tcPr>
          <w:p w14:paraId="2AC5C2DA" w14:textId="77777777" w:rsidR="002C0FD9" w:rsidRPr="00CA25CF" w:rsidRDefault="002C0FD9" w:rsidP="00CA25CF">
            <w:pPr>
              <w:rPr>
                <w:rFonts w:cs="Arial"/>
                <w:color w:val="FF0000"/>
                <w:sz w:val="21"/>
                <w:szCs w:val="21"/>
              </w:rPr>
            </w:pPr>
          </w:p>
        </w:tc>
        <w:tc>
          <w:tcPr>
            <w:tcW w:w="217" w:type="dxa"/>
          </w:tcPr>
          <w:p w14:paraId="7FD0F9A3" w14:textId="77777777" w:rsidR="002C0FD9" w:rsidRPr="00CA25CF" w:rsidRDefault="002C0FD9" w:rsidP="00CA25CF">
            <w:pPr>
              <w:rPr>
                <w:rFonts w:cs="Arial"/>
                <w:color w:val="FF0000"/>
                <w:sz w:val="21"/>
                <w:szCs w:val="21"/>
              </w:rPr>
            </w:pPr>
          </w:p>
        </w:tc>
      </w:tr>
      <w:tr w:rsidR="002C0FD9" w:rsidRPr="00A16219" w14:paraId="6B021EAA" w14:textId="77777777" w:rsidTr="002C0FD9">
        <w:trPr>
          <w:trHeight w:val="635"/>
        </w:trPr>
        <w:tc>
          <w:tcPr>
            <w:tcW w:w="515" w:type="dxa"/>
          </w:tcPr>
          <w:p w14:paraId="6E1FA7CF" w14:textId="77777777" w:rsidR="002C0FD9" w:rsidRPr="00CA25CF" w:rsidRDefault="002C0FD9" w:rsidP="00CA25CF">
            <w:pPr>
              <w:rPr>
                <w:rFonts w:cs="Arial"/>
                <w:color w:val="FF0000"/>
                <w:sz w:val="21"/>
                <w:szCs w:val="21"/>
              </w:rPr>
            </w:pPr>
          </w:p>
        </w:tc>
        <w:tc>
          <w:tcPr>
            <w:tcW w:w="217" w:type="dxa"/>
          </w:tcPr>
          <w:p w14:paraId="4F75B02D" w14:textId="77777777" w:rsidR="002C0FD9" w:rsidRPr="00CA25CF" w:rsidRDefault="002C0FD9" w:rsidP="00CA25CF">
            <w:pPr>
              <w:rPr>
                <w:rFonts w:cs="Arial"/>
                <w:color w:val="FF0000"/>
                <w:sz w:val="21"/>
                <w:szCs w:val="21"/>
              </w:rPr>
            </w:pPr>
          </w:p>
        </w:tc>
        <w:tc>
          <w:tcPr>
            <w:tcW w:w="217" w:type="dxa"/>
          </w:tcPr>
          <w:p w14:paraId="70F4917A" w14:textId="77777777" w:rsidR="002C0FD9" w:rsidRPr="00CA25CF" w:rsidRDefault="002C0FD9" w:rsidP="00CA25CF">
            <w:pPr>
              <w:rPr>
                <w:rFonts w:cs="Arial"/>
                <w:color w:val="FF0000"/>
                <w:sz w:val="21"/>
                <w:szCs w:val="21"/>
              </w:rPr>
            </w:pPr>
          </w:p>
        </w:tc>
        <w:tc>
          <w:tcPr>
            <w:tcW w:w="217" w:type="dxa"/>
          </w:tcPr>
          <w:p w14:paraId="717DDB12" w14:textId="77777777" w:rsidR="002C0FD9" w:rsidRPr="00CA25CF" w:rsidRDefault="002C0FD9" w:rsidP="00CA25CF">
            <w:pPr>
              <w:rPr>
                <w:rFonts w:cs="Arial"/>
                <w:color w:val="FF0000"/>
                <w:sz w:val="21"/>
                <w:szCs w:val="21"/>
              </w:rPr>
            </w:pPr>
          </w:p>
        </w:tc>
        <w:tc>
          <w:tcPr>
            <w:tcW w:w="217" w:type="dxa"/>
          </w:tcPr>
          <w:p w14:paraId="044A3502" w14:textId="77777777" w:rsidR="002C0FD9" w:rsidRPr="00CA25CF" w:rsidRDefault="002C0FD9" w:rsidP="00CA25CF">
            <w:pPr>
              <w:rPr>
                <w:rFonts w:cs="Arial"/>
                <w:color w:val="FF0000"/>
                <w:sz w:val="21"/>
                <w:szCs w:val="21"/>
              </w:rPr>
            </w:pPr>
          </w:p>
        </w:tc>
        <w:tc>
          <w:tcPr>
            <w:tcW w:w="217" w:type="dxa"/>
          </w:tcPr>
          <w:p w14:paraId="2DE03DC2" w14:textId="77777777" w:rsidR="002C0FD9" w:rsidRPr="00CA25CF" w:rsidRDefault="002C0FD9" w:rsidP="00CA25CF">
            <w:pPr>
              <w:rPr>
                <w:rFonts w:cs="Arial"/>
                <w:color w:val="FF0000"/>
                <w:sz w:val="21"/>
                <w:szCs w:val="21"/>
              </w:rPr>
            </w:pPr>
          </w:p>
        </w:tc>
        <w:tc>
          <w:tcPr>
            <w:tcW w:w="217" w:type="dxa"/>
          </w:tcPr>
          <w:p w14:paraId="0EADFF84" w14:textId="77777777" w:rsidR="002C0FD9" w:rsidRPr="00CA25CF" w:rsidRDefault="002C0FD9" w:rsidP="00CA25CF">
            <w:pPr>
              <w:rPr>
                <w:rFonts w:cs="Arial"/>
                <w:color w:val="FF0000"/>
                <w:sz w:val="21"/>
                <w:szCs w:val="21"/>
              </w:rPr>
            </w:pPr>
          </w:p>
        </w:tc>
        <w:tc>
          <w:tcPr>
            <w:tcW w:w="217" w:type="dxa"/>
          </w:tcPr>
          <w:p w14:paraId="44301BBB" w14:textId="77777777" w:rsidR="002C0FD9" w:rsidRPr="00CA25CF" w:rsidRDefault="002C0FD9" w:rsidP="00CA25CF">
            <w:pPr>
              <w:rPr>
                <w:rFonts w:cs="Arial"/>
                <w:color w:val="FF0000"/>
                <w:sz w:val="21"/>
                <w:szCs w:val="21"/>
              </w:rPr>
            </w:pPr>
          </w:p>
        </w:tc>
        <w:tc>
          <w:tcPr>
            <w:tcW w:w="217" w:type="dxa"/>
          </w:tcPr>
          <w:p w14:paraId="04A4B84B" w14:textId="77777777" w:rsidR="002C0FD9" w:rsidRPr="00CA25CF" w:rsidRDefault="002C0FD9" w:rsidP="00CA25CF">
            <w:pPr>
              <w:rPr>
                <w:rFonts w:cs="Arial"/>
                <w:color w:val="FF0000"/>
                <w:sz w:val="21"/>
                <w:szCs w:val="21"/>
              </w:rPr>
            </w:pPr>
          </w:p>
        </w:tc>
        <w:tc>
          <w:tcPr>
            <w:tcW w:w="217" w:type="dxa"/>
          </w:tcPr>
          <w:p w14:paraId="3E3EC32D" w14:textId="77777777" w:rsidR="002C0FD9" w:rsidRPr="00CA25CF" w:rsidRDefault="002C0FD9" w:rsidP="00CA25CF">
            <w:pPr>
              <w:rPr>
                <w:rFonts w:cs="Arial"/>
                <w:color w:val="FF0000"/>
                <w:sz w:val="21"/>
                <w:szCs w:val="21"/>
              </w:rPr>
            </w:pPr>
          </w:p>
        </w:tc>
        <w:tc>
          <w:tcPr>
            <w:tcW w:w="217" w:type="dxa"/>
          </w:tcPr>
          <w:p w14:paraId="08D27C74" w14:textId="77777777" w:rsidR="002C0FD9" w:rsidRPr="00CA25CF" w:rsidRDefault="002C0FD9" w:rsidP="00CA25CF">
            <w:pPr>
              <w:rPr>
                <w:rFonts w:cs="Arial"/>
                <w:color w:val="FF0000"/>
                <w:sz w:val="21"/>
                <w:szCs w:val="21"/>
              </w:rPr>
            </w:pPr>
          </w:p>
        </w:tc>
        <w:tc>
          <w:tcPr>
            <w:tcW w:w="217" w:type="dxa"/>
          </w:tcPr>
          <w:p w14:paraId="0DFD1F39" w14:textId="77777777" w:rsidR="002C0FD9" w:rsidRPr="00CA25CF" w:rsidRDefault="002C0FD9" w:rsidP="00CA25CF">
            <w:pPr>
              <w:rPr>
                <w:rFonts w:cs="Arial"/>
                <w:color w:val="FF0000"/>
                <w:sz w:val="21"/>
                <w:szCs w:val="21"/>
              </w:rPr>
            </w:pPr>
          </w:p>
        </w:tc>
        <w:tc>
          <w:tcPr>
            <w:tcW w:w="217" w:type="dxa"/>
          </w:tcPr>
          <w:p w14:paraId="42A38035" w14:textId="77777777" w:rsidR="002C0FD9" w:rsidRPr="00CA25CF" w:rsidRDefault="002C0FD9" w:rsidP="00CA25CF">
            <w:pPr>
              <w:rPr>
                <w:rFonts w:cs="Arial"/>
                <w:color w:val="FF0000"/>
                <w:sz w:val="21"/>
                <w:szCs w:val="21"/>
              </w:rPr>
            </w:pPr>
          </w:p>
        </w:tc>
        <w:tc>
          <w:tcPr>
            <w:tcW w:w="217" w:type="dxa"/>
          </w:tcPr>
          <w:p w14:paraId="157A5B6E" w14:textId="77777777" w:rsidR="002C0FD9" w:rsidRPr="00CA25CF" w:rsidRDefault="002C0FD9" w:rsidP="00CA25CF">
            <w:pPr>
              <w:rPr>
                <w:rFonts w:cs="Arial"/>
                <w:color w:val="FF0000"/>
                <w:sz w:val="21"/>
                <w:szCs w:val="21"/>
              </w:rPr>
            </w:pPr>
          </w:p>
        </w:tc>
        <w:tc>
          <w:tcPr>
            <w:tcW w:w="217" w:type="dxa"/>
          </w:tcPr>
          <w:p w14:paraId="12124D33" w14:textId="77777777" w:rsidR="002C0FD9" w:rsidRPr="00CA25CF" w:rsidRDefault="002C0FD9" w:rsidP="00CA25CF">
            <w:pPr>
              <w:rPr>
                <w:rFonts w:cs="Arial"/>
                <w:color w:val="FF0000"/>
                <w:sz w:val="21"/>
                <w:szCs w:val="21"/>
              </w:rPr>
            </w:pPr>
          </w:p>
        </w:tc>
        <w:tc>
          <w:tcPr>
            <w:tcW w:w="217" w:type="dxa"/>
          </w:tcPr>
          <w:p w14:paraId="632866E1" w14:textId="77777777" w:rsidR="002C0FD9" w:rsidRPr="00CA25CF" w:rsidRDefault="002C0FD9" w:rsidP="00CA25CF">
            <w:pPr>
              <w:rPr>
                <w:rFonts w:cs="Arial"/>
                <w:color w:val="FF0000"/>
                <w:sz w:val="21"/>
                <w:szCs w:val="21"/>
              </w:rPr>
            </w:pPr>
          </w:p>
        </w:tc>
        <w:tc>
          <w:tcPr>
            <w:tcW w:w="217" w:type="dxa"/>
          </w:tcPr>
          <w:p w14:paraId="1FFFBF46" w14:textId="77777777" w:rsidR="002C0FD9" w:rsidRPr="00CA25CF" w:rsidRDefault="002C0FD9" w:rsidP="00CA25CF">
            <w:pPr>
              <w:rPr>
                <w:rFonts w:cs="Arial"/>
                <w:color w:val="FF0000"/>
                <w:sz w:val="21"/>
                <w:szCs w:val="21"/>
              </w:rPr>
            </w:pPr>
          </w:p>
        </w:tc>
        <w:tc>
          <w:tcPr>
            <w:tcW w:w="217" w:type="dxa"/>
          </w:tcPr>
          <w:p w14:paraId="3159ABBC" w14:textId="77777777" w:rsidR="002C0FD9" w:rsidRPr="00CA25CF" w:rsidRDefault="002C0FD9" w:rsidP="00CA25CF">
            <w:pPr>
              <w:rPr>
                <w:rFonts w:cs="Arial"/>
                <w:color w:val="FF0000"/>
                <w:sz w:val="21"/>
                <w:szCs w:val="21"/>
              </w:rPr>
            </w:pPr>
          </w:p>
        </w:tc>
        <w:tc>
          <w:tcPr>
            <w:tcW w:w="217" w:type="dxa"/>
          </w:tcPr>
          <w:p w14:paraId="581E13D4" w14:textId="77777777" w:rsidR="002C0FD9" w:rsidRPr="00CA25CF" w:rsidRDefault="002C0FD9" w:rsidP="00CA25CF">
            <w:pPr>
              <w:rPr>
                <w:rFonts w:cs="Arial"/>
                <w:color w:val="FF0000"/>
                <w:sz w:val="21"/>
                <w:szCs w:val="21"/>
              </w:rPr>
            </w:pPr>
          </w:p>
        </w:tc>
        <w:tc>
          <w:tcPr>
            <w:tcW w:w="217" w:type="dxa"/>
          </w:tcPr>
          <w:p w14:paraId="14EB7F44" w14:textId="77777777" w:rsidR="002C0FD9" w:rsidRPr="00CA25CF" w:rsidRDefault="002C0FD9" w:rsidP="00CA25CF">
            <w:pPr>
              <w:rPr>
                <w:rFonts w:cs="Arial"/>
                <w:color w:val="FF0000"/>
                <w:sz w:val="21"/>
                <w:szCs w:val="21"/>
              </w:rPr>
            </w:pPr>
          </w:p>
        </w:tc>
        <w:tc>
          <w:tcPr>
            <w:tcW w:w="217" w:type="dxa"/>
          </w:tcPr>
          <w:p w14:paraId="297DFF9D" w14:textId="77777777" w:rsidR="002C0FD9" w:rsidRPr="00CA25CF" w:rsidRDefault="002C0FD9" w:rsidP="00CA25CF">
            <w:pPr>
              <w:rPr>
                <w:rFonts w:cs="Arial"/>
                <w:color w:val="FF0000"/>
                <w:sz w:val="21"/>
                <w:szCs w:val="21"/>
              </w:rPr>
            </w:pPr>
          </w:p>
        </w:tc>
        <w:tc>
          <w:tcPr>
            <w:tcW w:w="217" w:type="dxa"/>
          </w:tcPr>
          <w:p w14:paraId="61C3EE71" w14:textId="77777777" w:rsidR="002C0FD9" w:rsidRPr="00CA25CF" w:rsidRDefault="002C0FD9" w:rsidP="00CA25CF">
            <w:pPr>
              <w:rPr>
                <w:rFonts w:cs="Arial"/>
                <w:color w:val="FF0000"/>
                <w:sz w:val="21"/>
                <w:szCs w:val="21"/>
              </w:rPr>
            </w:pPr>
          </w:p>
        </w:tc>
        <w:tc>
          <w:tcPr>
            <w:tcW w:w="217" w:type="dxa"/>
          </w:tcPr>
          <w:p w14:paraId="349F5F09" w14:textId="77777777" w:rsidR="002C0FD9" w:rsidRPr="00CA25CF" w:rsidRDefault="002C0FD9" w:rsidP="00CA25CF">
            <w:pPr>
              <w:rPr>
                <w:rFonts w:cs="Arial"/>
                <w:color w:val="FF0000"/>
                <w:sz w:val="21"/>
                <w:szCs w:val="21"/>
              </w:rPr>
            </w:pPr>
          </w:p>
        </w:tc>
        <w:tc>
          <w:tcPr>
            <w:tcW w:w="217" w:type="dxa"/>
          </w:tcPr>
          <w:p w14:paraId="610DAB04" w14:textId="77777777" w:rsidR="002C0FD9" w:rsidRPr="00CA25CF" w:rsidRDefault="002C0FD9" w:rsidP="00CA25CF">
            <w:pPr>
              <w:rPr>
                <w:rFonts w:cs="Arial"/>
                <w:color w:val="FF0000"/>
                <w:sz w:val="21"/>
                <w:szCs w:val="21"/>
              </w:rPr>
            </w:pPr>
          </w:p>
        </w:tc>
        <w:tc>
          <w:tcPr>
            <w:tcW w:w="217" w:type="dxa"/>
          </w:tcPr>
          <w:p w14:paraId="6466B4FB" w14:textId="77777777" w:rsidR="002C0FD9" w:rsidRPr="00CA25CF" w:rsidRDefault="002C0FD9" w:rsidP="00CA25CF">
            <w:pPr>
              <w:rPr>
                <w:rFonts w:cs="Arial"/>
                <w:color w:val="FF0000"/>
                <w:sz w:val="21"/>
                <w:szCs w:val="21"/>
              </w:rPr>
            </w:pPr>
          </w:p>
        </w:tc>
        <w:tc>
          <w:tcPr>
            <w:tcW w:w="217" w:type="dxa"/>
          </w:tcPr>
          <w:p w14:paraId="5339FD0A" w14:textId="77777777" w:rsidR="002C0FD9" w:rsidRPr="00CA25CF" w:rsidRDefault="002C0FD9" w:rsidP="00CA25CF">
            <w:pPr>
              <w:rPr>
                <w:rFonts w:cs="Arial"/>
                <w:color w:val="FF0000"/>
                <w:sz w:val="21"/>
                <w:szCs w:val="21"/>
              </w:rPr>
            </w:pPr>
          </w:p>
        </w:tc>
        <w:tc>
          <w:tcPr>
            <w:tcW w:w="217" w:type="dxa"/>
          </w:tcPr>
          <w:p w14:paraId="72AD4C23" w14:textId="77777777" w:rsidR="002C0FD9" w:rsidRPr="00CA25CF" w:rsidRDefault="002C0FD9" w:rsidP="00CA25CF">
            <w:pPr>
              <w:rPr>
                <w:rFonts w:cs="Arial"/>
                <w:color w:val="FF0000"/>
                <w:sz w:val="21"/>
                <w:szCs w:val="21"/>
              </w:rPr>
            </w:pPr>
          </w:p>
        </w:tc>
        <w:tc>
          <w:tcPr>
            <w:tcW w:w="217" w:type="dxa"/>
          </w:tcPr>
          <w:p w14:paraId="7D4EBCF1" w14:textId="77777777" w:rsidR="002C0FD9" w:rsidRPr="00CA25CF" w:rsidRDefault="002C0FD9" w:rsidP="00CA25CF">
            <w:pPr>
              <w:rPr>
                <w:rFonts w:cs="Arial"/>
                <w:color w:val="FF0000"/>
                <w:sz w:val="21"/>
                <w:szCs w:val="21"/>
              </w:rPr>
            </w:pPr>
          </w:p>
        </w:tc>
        <w:tc>
          <w:tcPr>
            <w:tcW w:w="217" w:type="dxa"/>
          </w:tcPr>
          <w:p w14:paraId="50B36ED9" w14:textId="77777777" w:rsidR="002C0FD9" w:rsidRPr="00CA25CF" w:rsidRDefault="002C0FD9" w:rsidP="00CA25CF">
            <w:pPr>
              <w:rPr>
                <w:rFonts w:cs="Arial"/>
                <w:color w:val="FF0000"/>
                <w:sz w:val="21"/>
                <w:szCs w:val="21"/>
              </w:rPr>
            </w:pPr>
          </w:p>
        </w:tc>
        <w:tc>
          <w:tcPr>
            <w:tcW w:w="217" w:type="dxa"/>
          </w:tcPr>
          <w:p w14:paraId="0EB05A12" w14:textId="77777777" w:rsidR="002C0FD9" w:rsidRPr="00CA25CF" w:rsidRDefault="002C0FD9" w:rsidP="00CA25CF">
            <w:pPr>
              <w:rPr>
                <w:rFonts w:cs="Arial"/>
                <w:color w:val="FF0000"/>
                <w:sz w:val="21"/>
                <w:szCs w:val="21"/>
              </w:rPr>
            </w:pPr>
          </w:p>
        </w:tc>
        <w:tc>
          <w:tcPr>
            <w:tcW w:w="217" w:type="dxa"/>
          </w:tcPr>
          <w:p w14:paraId="1E7C12D9" w14:textId="77777777" w:rsidR="002C0FD9" w:rsidRPr="00CA25CF" w:rsidRDefault="002C0FD9" w:rsidP="00CA25CF">
            <w:pPr>
              <w:rPr>
                <w:rFonts w:cs="Arial"/>
                <w:color w:val="FF0000"/>
                <w:sz w:val="21"/>
                <w:szCs w:val="21"/>
              </w:rPr>
            </w:pPr>
          </w:p>
        </w:tc>
        <w:tc>
          <w:tcPr>
            <w:tcW w:w="217" w:type="dxa"/>
          </w:tcPr>
          <w:p w14:paraId="18EBCC0D" w14:textId="77777777" w:rsidR="002C0FD9" w:rsidRPr="00CA25CF" w:rsidRDefault="002C0FD9" w:rsidP="00CA25CF">
            <w:pPr>
              <w:rPr>
                <w:rFonts w:cs="Arial"/>
                <w:color w:val="FF0000"/>
                <w:sz w:val="21"/>
                <w:szCs w:val="21"/>
              </w:rPr>
            </w:pPr>
          </w:p>
        </w:tc>
        <w:tc>
          <w:tcPr>
            <w:tcW w:w="217" w:type="dxa"/>
          </w:tcPr>
          <w:p w14:paraId="28FFD18F" w14:textId="77777777" w:rsidR="002C0FD9" w:rsidRPr="00CA25CF" w:rsidRDefault="002C0FD9" w:rsidP="00CA25CF">
            <w:pPr>
              <w:rPr>
                <w:rFonts w:cs="Arial"/>
                <w:color w:val="FF0000"/>
                <w:sz w:val="21"/>
                <w:szCs w:val="21"/>
              </w:rPr>
            </w:pPr>
          </w:p>
        </w:tc>
        <w:tc>
          <w:tcPr>
            <w:tcW w:w="217" w:type="dxa"/>
          </w:tcPr>
          <w:p w14:paraId="791735AF" w14:textId="77777777" w:rsidR="002C0FD9" w:rsidRPr="00CA25CF" w:rsidRDefault="002C0FD9" w:rsidP="00CA25CF">
            <w:pPr>
              <w:rPr>
                <w:rFonts w:cs="Arial"/>
                <w:color w:val="FF0000"/>
                <w:sz w:val="21"/>
                <w:szCs w:val="21"/>
              </w:rPr>
            </w:pPr>
          </w:p>
        </w:tc>
        <w:tc>
          <w:tcPr>
            <w:tcW w:w="217" w:type="dxa"/>
          </w:tcPr>
          <w:p w14:paraId="0A737982" w14:textId="77777777" w:rsidR="002C0FD9" w:rsidRPr="00CA25CF" w:rsidRDefault="002C0FD9" w:rsidP="00CA25CF">
            <w:pPr>
              <w:rPr>
                <w:rFonts w:cs="Arial"/>
                <w:color w:val="FF0000"/>
                <w:sz w:val="21"/>
                <w:szCs w:val="21"/>
              </w:rPr>
            </w:pPr>
          </w:p>
        </w:tc>
        <w:tc>
          <w:tcPr>
            <w:tcW w:w="217" w:type="dxa"/>
          </w:tcPr>
          <w:p w14:paraId="0B09182B" w14:textId="77777777" w:rsidR="002C0FD9" w:rsidRPr="00CA25CF" w:rsidRDefault="002C0FD9" w:rsidP="00CA25CF">
            <w:pPr>
              <w:rPr>
                <w:rFonts w:cs="Arial"/>
                <w:color w:val="FF0000"/>
                <w:sz w:val="21"/>
                <w:szCs w:val="21"/>
              </w:rPr>
            </w:pPr>
          </w:p>
        </w:tc>
        <w:tc>
          <w:tcPr>
            <w:tcW w:w="217" w:type="dxa"/>
          </w:tcPr>
          <w:p w14:paraId="76F0D5FA" w14:textId="77777777" w:rsidR="002C0FD9" w:rsidRPr="00CA25CF" w:rsidRDefault="002C0FD9" w:rsidP="00CA25CF">
            <w:pPr>
              <w:rPr>
                <w:rFonts w:cs="Arial"/>
                <w:color w:val="FF0000"/>
                <w:sz w:val="21"/>
                <w:szCs w:val="21"/>
              </w:rPr>
            </w:pPr>
          </w:p>
        </w:tc>
        <w:tc>
          <w:tcPr>
            <w:tcW w:w="217" w:type="dxa"/>
          </w:tcPr>
          <w:p w14:paraId="104DC60B" w14:textId="77777777" w:rsidR="002C0FD9" w:rsidRPr="00CA25CF" w:rsidRDefault="002C0FD9" w:rsidP="00CA25CF">
            <w:pPr>
              <w:rPr>
                <w:rFonts w:cs="Arial"/>
                <w:color w:val="FF0000"/>
                <w:sz w:val="21"/>
                <w:szCs w:val="21"/>
              </w:rPr>
            </w:pPr>
          </w:p>
        </w:tc>
        <w:tc>
          <w:tcPr>
            <w:tcW w:w="217" w:type="dxa"/>
          </w:tcPr>
          <w:p w14:paraId="12B34EF8" w14:textId="77777777" w:rsidR="002C0FD9" w:rsidRPr="00CA25CF" w:rsidRDefault="002C0FD9" w:rsidP="00CA25CF">
            <w:pPr>
              <w:rPr>
                <w:rFonts w:cs="Arial"/>
                <w:color w:val="FF0000"/>
                <w:sz w:val="21"/>
                <w:szCs w:val="21"/>
              </w:rPr>
            </w:pPr>
          </w:p>
        </w:tc>
        <w:tc>
          <w:tcPr>
            <w:tcW w:w="217" w:type="dxa"/>
          </w:tcPr>
          <w:p w14:paraId="03E931B3" w14:textId="77777777" w:rsidR="002C0FD9" w:rsidRPr="00CA25CF" w:rsidRDefault="002C0FD9" w:rsidP="00CA25CF">
            <w:pPr>
              <w:rPr>
                <w:rFonts w:cs="Arial"/>
                <w:color w:val="FF0000"/>
                <w:sz w:val="21"/>
                <w:szCs w:val="21"/>
              </w:rPr>
            </w:pPr>
          </w:p>
        </w:tc>
        <w:tc>
          <w:tcPr>
            <w:tcW w:w="217" w:type="dxa"/>
          </w:tcPr>
          <w:p w14:paraId="24245CF2" w14:textId="77777777" w:rsidR="002C0FD9" w:rsidRPr="00CA25CF" w:rsidRDefault="002C0FD9" w:rsidP="00CA25CF">
            <w:pPr>
              <w:rPr>
                <w:rFonts w:cs="Arial"/>
                <w:color w:val="FF0000"/>
                <w:sz w:val="21"/>
                <w:szCs w:val="21"/>
              </w:rPr>
            </w:pPr>
          </w:p>
        </w:tc>
        <w:tc>
          <w:tcPr>
            <w:tcW w:w="217" w:type="dxa"/>
          </w:tcPr>
          <w:p w14:paraId="220E7D3E" w14:textId="77777777" w:rsidR="002C0FD9" w:rsidRPr="00CA25CF" w:rsidRDefault="002C0FD9" w:rsidP="00CA25CF">
            <w:pPr>
              <w:rPr>
                <w:rFonts w:cs="Arial"/>
                <w:color w:val="FF0000"/>
                <w:sz w:val="21"/>
                <w:szCs w:val="21"/>
              </w:rPr>
            </w:pPr>
          </w:p>
        </w:tc>
        <w:tc>
          <w:tcPr>
            <w:tcW w:w="217" w:type="dxa"/>
          </w:tcPr>
          <w:p w14:paraId="20E77862" w14:textId="77777777" w:rsidR="002C0FD9" w:rsidRPr="00CA25CF" w:rsidRDefault="002C0FD9" w:rsidP="00CA25CF">
            <w:pPr>
              <w:rPr>
                <w:rFonts w:cs="Arial"/>
                <w:color w:val="FF0000"/>
                <w:sz w:val="21"/>
                <w:szCs w:val="21"/>
              </w:rPr>
            </w:pPr>
          </w:p>
        </w:tc>
      </w:tr>
      <w:tr w:rsidR="002C0FD9" w:rsidRPr="00A16219" w14:paraId="6D385223" w14:textId="77777777" w:rsidTr="002C0FD9">
        <w:trPr>
          <w:trHeight w:val="635"/>
        </w:trPr>
        <w:tc>
          <w:tcPr>
            <w:tcW w:w="515" w:type="dxa"/>
          </w:tcPr>
          <w:p w14:paraId="4B5F6282" w14:textId="77777777" w:rsidR="002C0FD9" w:rsidRPr="00CA25CF" w:rsidRDefault="002C0FD9" w:rsidP="00CA25CF">
            <w:pPr>
              <w:rPr>
                <w:rFonts w:cs="Arial"/>
                <w:color w:val="FF0000"/>
                <w:sz w:val="21"/>
                <w:szCs w:val="21"/>
              </w:rPr>
            </w:pPr>
          </w:p>
        </w:tc>
        <w:tc>
          <w:tcPr>
            <w:tcW w:w="217" w:type="dxa"/>
          </w:tcPr>
          <w:p w14:paraId="2552EDB8" w14:textId="77777777" w:rsidR="002C0FD9" w:rsidRPr="00CA25CF" w:rsidRDefault="002C0FD9" w:rsidP="00CA25CF">
            <w:pPr>
              <w:rPr>
                <w:rFonts w:cs="Arial"/>
                <w:color w:val="FF0000"/>
                <w:sz w:val="21"/>
                <w:szCs w:val="21"/>
              </w:rPr>
            </w:pPr>
          </w:p>
        </w:tc>
        <w:tc>
          <w:tcPr>
            <w:tcW w:w="217" w:type="dxa"/>
          </w:tcPr>
          <w:p w14:paraId="7976732C" w14:textId="77777777" w:rsidR="002C0FD9" w:rsidRPr="00CA25CF" w:rsidRDefault="002C0FD9" w:rsidP="00CA25CF">
            <w:pPr>
              <w:rPr>
                <w:rFonts w:cs="Arial"/>
                <w:color w:val="FF0000"/>
                <w:sz w:val="21"/>
                <w:szCs w:val="21"/>
              </w:rPr>
            </w:pPr>
          </w:p>
        </w:tc>
        <w:tc>
          <w:tcPr>
            <w:tcW w:w="217" w:type="dxa"/>
          </w:tcPr>
          <w:p w14:paraId="502D5C30" w14:textId="77777777" w:rsidR="002C0FD9" w:rsidRPr="00CA25CF" w:rsidRDefault="002C0FD9" w:rsidP="00CA25CF">
            <w:pPr>
              <w:rPr>
                <w:rFonts w:cs="Arial"/>
                <w:color w:val="FF0000"/>
                <w:sz w:val="21"/>
                <w:szCs w:val="21"/>
              </w:rPr>
            </w:pPr>
          </w:p>
        </w:tc>
        <w:tc>
          <w:tcPr>
            <w:tcW w:w="217" w:type="dxa"/>
          </w:tcPr>
          <w:p w14:paraId="77368B5B" w14:textId="77777777" w:rsidR="002C0FD9" w:rsidRPr="00CA25CF" w:rsidRDefault="002C0FD9" w:rsidP="00CA25CF">
            <w:pPr>
              <w:rPr>
                <w:rFonts w:cs="Arial"/>
                <w:color w:val="FF0000"/>
                <w:sz w:val="21"/>
                <w:szCs w:val="21"/>
              </w:rPr>
            </w:pPr>
          </w:p>
        </w:tc>
        <w:tc>
          <w:tcPr>
            <w:tcW w:w="217" w:type="dxa"/>
          </w:tcPr>
          <w:p w14:paraId="028D0DCF" w14:textId="77777777" w:rsidR="002C0FD9" w:rsidRPr="00CA25CF" w:rsidRDefault="002C0FD9" w:rsidP="00CA25CF">
            <w:pPr>
              <w:rPr>
                <w:rFonts w:cs="Arial"/>
                <w:color w:val="FF0000"/>
                <w:sz w:val="21"/>
                <w:szCs w:val="21"/>
              </w:rPr>
            </w:pPr>
          </w:p>
        </w:tc>
        <w:tc>
          <w:tcPr>
            <w:tcW w:w="217" w:type="dxa"/>
          </w:tcPr>
          <w:p w14:paraId="78577951" w14:textId="77777777" w:rsidR="002C0FD9" w:rsidRPr="00CA25CF" w:rsidRDefault="002C0FD9" w:rsidP="00CA25CF">
            <w:pPr>
              <w:rPr>
                <w:rFonts w:cs="Arial"/>
                <w:color w:val="FF0000"/>
                <w:sz w:val="21"/>
                <w:szCs w:val="21"/>
              </w:rPr>
            </w:pPr>
          </w:p>
        </w:tc>
        <w:tc>
          <w:tcPr>
            <w:tcW w:w="217" w:type="dxa"/>
          </w:tcPr>
          <w:p w14:paraId="4ED5FE54" w14:textId="77777777" w:rsidR="002C0FD9" w:rsidRPr="00CA25CF" w:rsidRDefault="002C0FD9" w:rsidP="00CA25CF">
            <w:pPr>
              <w:rPr>
                <w:rFonts w:cs="Arial"/>
                <w:color w:val="FF0000"/>
                <w:sz w:val="21"/>
                <w:szCs w:val="21"/>
              </w:rPr>
            </w:pPr>
          </w:p>
        </w:tc>
        <w:tc>
          <w:tcPr>
            <w:tcW w:w="217" w:type="dxa"/>
          </w:tcPr>
          <w:p w14:paraId="028ACE7C" w14:textId="77777777" w:rsidR="002C0FD9" w:rsidRPr="00CA25CF" w:rsidRDefault="002C0FD9" w:rsidP="00CA25CF">
            <w:pPr>
              <w:rPr>
                <w:rFonts w:cs="Arial"/>
                <w:color w:val="FF0000"/>
                <w:sz w:val="21"/>
                <w:szCs w:val="21"/>
              </w:rPr>
            </w:pPr>
          </w:p>
        </w:tc>
        <w:tc>
          <w:tcPr>
            <w:tcW w:w="217" w:type="dxa"/>
          </w:tcPr>
          <w:p w14:paraId="22202917" w14:textId="77777777" w:rsidR="002C0FD9" w:rsidRPr="00CA25CF" w:rsidRDefault="002C0FD9" w:rsidP="00CA25CF">
            <w:pPr>
              <w:rPr>
                <w:rFonts w:cs="Arial"/>
                <w:color w:val="FF0000"/>
                <w:sz w:val="21"/>
                <w:szCs w:val="21"/>
              </w:rPr>
            </w:pPr>
          </w:p>
        </w:tc>
        <w:tc>
          <w:tcPr>
            <w:tcW w:w="217" w:type="dxa"/>
          </w:tcPr>
          <w:p w14:paraId="46D51A1E" w14:textId="77777777" w:rsidR="002C0FD9" w:rsidRPr="00CA25CF" w:rsidRDefault="002C0FD9" w:rsidP="00CA25CF">
            <w:pPr>
              <w:rPr>
                <w:rFonts w:cs="Arial"/>
                <w:color w:val="FF0000"/>
                <w:sz w:val="21"/>
                <w:szCs w:val="21"/>
              </w:rPr>
            </w:pPr>
          </w:p>
        </w:tc>
        <w:tc>
          <w:tcPr>
            <w:tcW w:w="217" w:type="dxa"/>
          </w:tcPr>
          <w:p w14:paraId="7857DBAB" w14:textId="77777777" w:rsidR="002C0FD9" w:rsidRPr="00CA25CF" w:rsidRDefault="002C0FD9" w:rsidP="00CA25CF">
            <w:pPr>
              <w:rPr>
                <w:rFonts w:cs="Arial"/>
                <w:color w:val="FF0000"/>
                <w:sz w:val="21"/>
                <w:szCs w:val="21"/>
              </w:rPr>
            </w:pPr>
          </w:p>
        </w:tc>
        <w:tc>
          <w:tcPr>
            <w:tcW w:w="217" w:type="dxa"/>
          </w:tcPr>
          <w:p w14:paraId="5D93291A" w14:textId="77777777" w:rsidR="002C0FD9" w:rsidRPr="00CA25CF" w:rsidRDefault="002C0FD9" w:rsidP="00CA25CF">
            <w:pPr>
              <w:rPr>
                <w:rFonts w:cs="Arial"/>
                <w:color w:val="FF0000"/>
                <w:sz w:val="21"/>
                <w:szCs w:val="21"/>
              </w:rPr>
            </w:pPr>
          </w:p>
        </w:tc>
        <w:tc>
          <w:tcPr>
            <w:tcW w:w="217" w:type="dxa"/>
          </w:tcPr>
          <w:p w14:paraId="719CBF8E" w14:textId="77777777" w:rsidR="002C0FD9" w:rsidRPr="00CA25CF" w:rsidRDefault="002C0FD9" w:rsidP="00CA25CF">
            <w:pPr>
              <w:rPr>
                <w:rFonts w:cs="Arial"/>
                <w:color w:val="FF0000"/>
                <w:sz w:val="21"/>
                <w:szCs w:val="21"/>
              </w:rPr>
            </w:pPr>
          </w:p>
        </w:tc>
        <w:tc>
          <w:tcPr>
            <w:tcW w:w="217" w:type="dxa"/>
          </w:tcPr>
          <w:p w14:paraId="256DA71E" w14:textId="77777777" w:rsidR="002C0FD9" w:rsidRPr="00CA25CF" w:rsidRDefault="002C0FD9" w:rsidP="00CA25CF">
            <w:pPr>
              <w:rPr>
                <w:rFonts w:cs="Arial"/>
                <w:color w:val="FF0000"/>
                <w:sz w:val="21"/>
                <w:szCs w:val="21"/>
              </w:rPr>
            </w:pPr>
          </w:p>
        </w:tc>
        <w:tc>
          <w:tcPr>
            <w:tcW w:w="217" w:type="dxa"/>
          </w:tcPr>
          <w:p w14:paraId="7AB0FF63" w14:textId="77777777" w:rsidR="002C0FD9" w:rsidRPr="00CA25CF" w:rsidRDefault="002C0FD9" w:rsidP="00CA25CF">
            <w:pPr>
              <w:rPr>
                <w:rFonts w:cs="Arial"/>
                <w:color w:val="FF0000"/>
                <w:sz w:val="21"/>
                <w:szCs w:val="21"/>
              </w:rPr>
            </w:pPr>
          </w:p>
        </w:tc>
        <w:tc>
          <w:tcPr>
            <w:tcW w:w="217" w:type="dxa"/>
          </w:tcPr>
          <w:p w14:paraId="734282D5" w14:textId="77777777" w:rsidR="002C0FD9" w:rsidRPr="00CA25CF" w:rsidRDefault="002C0FD9" w:rsidP="00CA25CF">
            <w:pPr>
              <w:rPr>
                <w:rFonts w:cs="Arial"/>
                <w:color w:val="FF0000"/>
                <w:sz w:val="21"/>
                <w:szCs w:val="21"/>
              </w:rPr>
            </w:pPr>
          </w:p>
        </w:tc>
        <w:tc>
          <w:tcPr>
            <w:tcW w:w="217" w:type="dxa"/>
          </w:tcPr>
          <w:p w14:paraId="59A2079C" w14:textId="77777777" w:rsidR="002C0FD9" w:rsidRPr="00CA25CF" w:rsidRDefault="002C0FD9" w:rsidP="00CA25CF">
            <w:pPr>
              <w:rPr>
                <w:rFonts w:cs="Arial"/>
                <w:color w:val="FF0000"/>
                <w:sz w:val="21"/>
                <w:szCs w:val="21"/>
              </w:rPr>
            </w:pPr>
          </w:p>
        </w:tc>
        <w:tc>
          <w:tcPr>
            <w:tcW w:w="217" w:type="dxa"/>
          </w:tcPr>
          <w:p w14:paraId="380ACA9B" w14:textId="77777777" w:rsidR="002C0FD9" w:rsidRPr="00CA25CF" w:rsidRDefault="002C0FD9" w:rsidP="00CA25CF">
            <w:pPr>
              <w:rPr>
                <w:rFonts w:cs="Arial"/>
                <w:color w:val="FF0000"/>
                <w:sz w:val="21"/>
                <w:szCs w:val="21"/>
              </w:rPr>
            </w:pPr>
          </w:p>
        </w:tc>
        <w:tc>
          <w:tcPr>
            <w:tcW w:w="217" w:type="dxa"/>
          </w:tcPr>
          <w:p w14:paraId="110B7B79" w14:textId="77777777" w:rsidR="002C0FD9" w:rsidRPr="00CA25CF" w:rsidRDefault="002C0FD9" w:rsidP="00CA25CF">
            <w:pPr>
              <w:rPr>
                <w:rFonts w:cs="Arial"/>
                <w:color w:val="FF0000"/>
                <w:sz w:val="21"/>
                <w:szCs w:val="21"/>
              </w:rPr>
            </w:pPr>
          </w:p>
        </w:tc>
        <w:tc>
          <w:tcPr>
            <w:tcW w:w="217" w:type="dxa"/>
          </w:tcPr>
          <w:p w14:paraId="008C784C" w14:textId="77777777" w:rsidR="002C0FD9" w:rsidRPr="00CA25CF" w:rsidRDefault="002C0FD9" w:rsidP="00CA25CF">
            <w:pPr>
              <w:rPr>
                <w:rFonts w:cs="Arial"/>
                <w:color w:val="FF0000"/>
                <w:sz w:val="21"/>
                <w:szCs w:val="21"/>
              </w:rPr>
            </w:pPr>
          </w:p>
        </w:tc>
        <w:tc>
          <w:tcPr>
            <w:tcW w:w="217" w:type="dxa"/>
          </w:tcPr>
          <w:p w14:paraId="27EFBCF3" w14:textId="77777777" w:rsidR="002C0FD9" w:rsidRPr="00CA25CF" w:rsidRDefault="002C0FD9" w:rsidP="00CA25CF">
            <w:pPr>
              <w:rPr>
                <w:rFonts w:cs="Arial"/>
                <w:color w:val="FF0000"/>
                <w:sz w:val="21"/>
                <w:szCs w:val="21"/>
              </w:rPr>
            </w:pPr>
          </w:p>
        </w:tc>
        <w:tc>
          <w:tcPr>
            <w:tcW w:w="217" w:type="dxa"/>
          </w:tcPr>
          <w:p w14:paraId="333078BE" w14:textId="77777777" w:rsidR="002C0FD9" w:rsidRPr="00CA25CF" w:rsidRDefault="002C0FD9" w:rsidP="00CA25CF">
            <w:pPr>
              <w:rPr>
                <w:rFonts w:cs="Arial"/>
                <w:color w:val="FF0000"/>
                <w:sz w:val="21"/>
                <w:szCs w:val="21"/>
              </w:rPr>
            </w:pPr>
          </w:p>
        </w:tc>
        <w:tc>
          <w:tcPr>
            <w:tcW w:w="217" w:type="dxa"/>
          </w:tcPr>
          <w:p w14:paraId="6594D46B" w14:textId="77777777" w:rsidR="002C0FD9" w:rsidRPr="00CA25CF" w:rsidRDefault="002C0FD9" w:rsidP="00CA25CF">
            <w:pPr>
              <w:rPr>
                <w:rFonts w:cs="Arial"/>
                <w:color w:val="FF0000"/>
                <w:sz w:val="21"/>
                <w:szCs w:val="21"/>
              </w:rPr>
            </w:pPr>
          </w:p>
        </w:tc>
        <w:tc>
          <w:tcPr>
            <w:tcW w:w="217" w:type="dxa"/>
          </w:tcPr>
          <w:p w14:paraId="19A608B1" w14:textId="77777777" w:rsidR="002C0FD9" w:rsidRPr="00CA25CF" w:rsidRDefault="002C0FD9" w:rsidP="00CA25CF">
            <w:pPr>
              <w:rPr>
                <w:rFonts w:cs="Arial"/>
                <w:color w:val="FF0000"/>
                <w:sz w:val="21"/>
                <w:szCs w:val="21"/>
              </w:rPr>
            </w:pPr>
          </w:p>
        </w:tc>
        <w:tc>
          <w:tcPr>
            <w:tcW w:w="217" w:type="dxa"/>
          </w:tcPr>
          <w:p w14:paraId="11A83B2E" w14:textId="77777777" w:rsidR="002C0FD9" w:rsidRPr="00CA25CF" w:rsidRDefault="002C0FD9" w:rsidP="00CA25CF">
            <w:pPr>
              <w:rPr>
                <w:rFonts w:cs="Arial"/>
                <w:color w:val="FF0000"/>
                <w:sz w:val="21"/>
                <w:szCs w:val="21"/>
              </w:rPr>
            </w:pPr>
          </w:p>
        </w:tc>
        <w:tc>
          <w:tcPr>
            <w:tcW w:w="217" w:type="dxa"/>
          </w:tcPr>
          <w:p w14:paraId="7DF3151F" w14:textId="77777777" w:rsidR="002C0FD9" w:rsidRPr="00CA25CF" w:rsidRDefault="002C0FD9" w:rsidP="00CA25CF">
            <w:pPr>
              <w:rPr>
                <w:rFonts w:cs="Arial"/>
                <w:color w:val="FF0000"/>
                <w:sz w:val="21"/>
                <w:szCs w:val="21"/>
              </w:rPr>
            </w:pPr>
          </w:p>
        </w:tc>
        <w:tc>
          <w:tcPr>
            <w:tcW w:w="217" w:type="dxa"/>
          </w:tcPr>
          <w:p w14:paraId="717E360D" w14:textId="77777777" w:rsidR="002C0FD9" w:rsidRPr="00CA25CF" w:rsidRDefault="002C0FD9" w:rsidP="00CA25CF">
            <w:pPr>
              <w:rPr>
                <w:rFonts w:cs="Arial"/>
                <w:color w:val="FF0000"/>
                <w:sz w:val="21"/>
                <w:szCs w:val="21"/>
              </w:rPr>
            </w:pPr>
          </w:p>
        </w:tc>
        <w:tc>
          <w:tcPr>
            <w:tcW w:w="217" w:type="dxa"/>
          </w:tcPr>
          <w:p w14:paraId="11EC913A" w14:textId="77777777" w:rsidR="002C0FD9" w:rsidRPr="00CA25CF" w:rsidRDefault="002C0FD9" w:rsidP="00CA25CF">
            <w:pPr>
              <w:rPr>
                <w:rFonts w:cs="Arial"/>
                <w:color w:val="FF0000"/>
                <w:sz w:val="21"/>
                <w:szCs w:val="21"/>
              </w:rPr>
            </w:pPr>
          </w:p>
        </w:tc>
        <w:tc>
          <w:tcPr>
            <w:tcW w:w="217" w:type="dxa"/>
          </w:tcPr>
          <w:p w14:paraId="3B8C2554" w14:textId="77777777" w:rsidR="002C0FD9" w:rsidRPr="00CA25CF" w:rsidRDefault="002C0FD9" w:rsidP="00CA25CF">
            <w:pPr>
              <w:rPr>
                <w:rFonts w:cs="Arial"/>
                <w:color w:val="FF0000"/>
                <w:sz w:val="21"/>
                <w:szCs w:val="21"/>
              </w:rPr>
            </w:pPr>
          </w:p>
        </w:tc>
        <w:tc>
          <w:tcPr>
            <w:tcW w:w="217" w:type="dxa"/>
          </w:tcPr>
          <w:p w14:paraId="0A80D765" w14:textId="77777777" w:rsidR="002C0FD9" w:rsidRPr="00CA25CF" w:rsidRDefault="002C0FD9" w:rsidP="00CA25CF">
            <w:pPr>
              <w:rPr>
                <w:rFonts w:cs="Arial"/>
                <w:color w:val="FF0000"/>
                <w:sz w:val="21"/>
                <w:szCs w:val="21"/>
              </w:rPr>
            </w:pPr>
          </w:p>
        </w:tc>
        <w:tc>
          <w:tcPr>
            <w:tcW w:w="217" w:type="dxa"/>
          </w:tcPr>
          <w:p w14:paraId="0BD3E2EF" w14:textId="77777777" w:rsidR="002C0FD9" w:rsidRPr="00CA25CF" w:rsidRDefault="002C0FD9" w:rsidP="00CA25CF">
            <w:pPr>
              <w:rPr>
                <w:rFonts w:cs="Arial"/>
                <w:color w:val="FF0000"/>
                <w:sz w:val="21"/>
                <w:szCs w:val="21"/>
              </w:rPr>
            </w:pPr>
          </w:p>
        </w:tc>
        <w:tc>
          <w:tcPr>
            <w:tcW w:w="217" w:type="dxa"/>
          </w:tcPr>
          <w:p w14:paraId="5AB5A8DD" w14:textId="77777777" w:rsidR="002C0FD9" w:rsidRPr="00CA25CF" w:rsidRDefault="002C0FD9" w:rsidP="00CA25CF">
            <w:pPr>
              <w:rPr>
                <w:rFonts w:cs="Arial"/>
                <w:color w:val="FF0000"/>
                <w:sz w:val="21"/>
                <w:szCs w:val="21"/>
              </w:rPr>
            </w:pPr>
          </w:p>
        </w:tc>
        <w:tc>
          <w:tcPr>
            <w:tcW w:w="217" w:type="dxa"/>
          </w:tcPr>
          <w:p w14:paraId="061C0F6A" w14:textId="77777777" w:rsidR="002C0FD9" w:rsidRPr="00CA25CF" w:rsidRDefault="002C0FD9" w:rsidP="00CA25CF">
            <w:pPr>
              <w:rPr>
                <w:rFonts w:cs="Arial"/>
                <w:color w:val="FF0000"/>
                <w:sz w:val="21"/>
                <w:szCs w:val="21"/>
              </w:rPr>
            </w:pPr>
          </w:p>
        </w:tc>
        <w:tc>
          <w:tcPr>
            <w:tcW w:w="217" w:type="dxa"/>
          </w:tcPr>
          <w:p w14:paraId="7D8802E9" w14:textId="77777777" w:rsidR="002C0FD9" w:rsidRPr="00CA25CF" w:rsidRDefault="002C0FD9" w:rsidP="00CA25CF">
            <w:pPr>
              <w:rPr>
                <w:rFonts w:cs="Arial"/>
                <w:color w:val="FF0000"/>
                <w:sz w:val="21"/>
                <w:szCs w:val="21"/>
              </w:rPr>
            </w:pPr>
          </w:p>
        </w:tc>
        <w:tc>
          <w:tcPr>
            <w:tcW w:w="217" w:type="dxa"/>
          </w:tcPr>
          <w:p w14:paraId="65E4A7B1" w14:textId="77777777" w:rsidR="002C0FD9" w:rsidRPr="00CA25CF" w:rsidRDefault="002C0FD9" w:rsidP="00CA25CF">
            <w:pPr>
              <w:rPr>
                <w:rFonts w:cs="Arial"/>
                <w:color w:val="FF0000"/>
                <w:sz w:val="21"/>
                <w:szCs w:val="21"/>
              </w:rPr>
            </w:pPr>
          </w:p>
        </w:tc>
        <w:tc>
          <w:tcPr>
            <w:tcW w:w="217" w:type="dxa"/>
          </w:tcPr>
          <w:p w14:paraId="100225AB" w14:textId="77777777" w:rsidR="002C0FD9" w:rsidRPr="00CA25CF" w:rsidRDefault="002C0FD9" w:rsidP="00CA25CF">
            <w:pPr>
              <w:rPr>
                <w:rFonts w:cs="Arial"/>
                <w:color w:val="FF0000"/>
                <w:sz w:val="21"/>
                <w:szCs w:val="21"/>
              </w:rPr>
            </w:pPr>
          </w:p>
        </w:tc>
        <w:tc>
          <w:tcPr>
            <w:tcW w:w="217" w:type="dxa"/>
          </w:tcPr>
          <w:p w14:paraId="3D6BC7F8" w14:textId="77777777" w:rsidR="002C0FD9" w:rsidRPr="00CA25CF" w:rsidRDefault="002C0FD9" w:rsidP="00CA25CF">
            <w:pPr>
              <w:rPr>
                <w:rFonts w:cs="Arial"/>
                <w:color w:val="FF0000"/>
                <w:sz w:val="21"/>
                <w:szCs w:val="21"/>
              </w:rPr>
            </w:pPr>
          </w:p>
        </w:tc>
        <w:tc>
          <w:tcPr>
            <w:tcW w:w="217" w:type="dxa"/>
          </w:tcPr>
          <w:p w14:paraId="6AE34D6F" w14:textId="77777777" w:rsidR="002C0FD9" w:rsidRPr="00CA25CF" w:rsidRDefault="002C0FD9" w:rsidP="00CA25CF">
            <w:pPr>
              <w:rPr>
                <w:rFonts w:cs="Arial"/>
                <w:color w:val="FF0000"/>
                <w:sz w:val="21"/>
                <w:szCs w:val="21"/>
              </w:rPr>
            </w:pPr>
          </w:p>
        </w:tc>
        <w:tc>
          <w:tcPr>
            <w:tcW w:w="217" w:type="dxa"/>
          </w:tcPr>
          <w:p w14:paraId="2D1E7B16" w14:textId="77777777" w:rsidR="002C0FD9" w:rsidRPr="00CA25CF" w:rsidRDefault="002C0FD9" w:rsidP="00CA25CF">
            <w:pPr>
              <w:rPr>
                <w:rFonts w:cs="Arial"/>
                <w:color w:val="FF0000"/>
                <w:sz w:val="21"/>
                <w:szCs w:val="21"/>
              </w:rPr>
            </w:pPr>
          </w:p>
        </w:tc>
        <w:tc>
          <w:tcPr>
            <w:tcW w:w="217" w:type="dxa"/>
          </w:tcPr>
          <w:p w14:paraId="0564B3B8" w14:textId="77777777" w:rsidR="002C0FD9" w:rsidRPr="00CA25CF" w:rsidRDefault="002C0FD9" w:rsidP="00CA25CF">
            <w:pPr>
              <w:rPr>
                <w:rFonts w:cs="Arial"/>
                <w:color w:val="FF0000"/>
                <w:sz w:val="21"/>
                <w:szCs w:val="21"/>
              </w:rPr>
            </w:pPr>
          </w:p>
        </w:tc>
        <w:tc>
          <w:tcPr>
            <w:tcW w:w="217" w:type="dxa"/>
          </w:tcPr>
          <w:p w14:paraId="034F3A38" w14:textId="77777777" w:rsidR="002C0FD9" w:rsidRPr="00CA25CF" w:rsidRDefault="002C0FD9" w:rsidP="00CA25CF">
            <w:pPr>
              <w:rPr>
                <w:rFonts w:cs="Arial"/>
                <w:color w:val="FF0000"/>
                <w:sz w:val="21"/>
                <w:szCs w:val="21"/>
              </w:rPr>
            </w:pPr>
          </w:p>
        </w:tc>
        <w:tc>
          <w:tcPr>
            <w:tcW w:w="217" w:type="dxa"/>
          </w:tcPr>
          <w:p w14:paraId="11791571" w14:textId="77777777" w:rsidR="002C0FD9" w:rsidRPr="00CA25CF" w:rsidRDefault="002C0FD9" w:rsidP="00CA25CF">
            <w:pPr>
              <w:rPr>
                <w:rFonts w:cs="Arial"/>
                <w:color w:val="FF0000"/>
                <w:sz w:val="21"/>
                <w:szCs w:val="21"/>
              </w:rPr>
            </w:pPr>
          </w:p>
        </w:tc>
      </w:tr>
      <w:tr w:rsidR="002C0FD9" w:rsidRPr="00A16219" w14:paraId="06566BD9" w14:textId="77777777" w:rsidTr="002C0FD9">
        <w:trPr>
          <w:trHeight w:val="635"/>
        </w:trPr>
        <w:tc>
          <w:tcPr>
            <w:tcW w:w="515" w:type="dxa"/>
          </w:tcPr>
          <w:p w14:paraId="24B40180" w14:textId="77777777" w:rsidR="002C0FD9" w:rsidRPr="00CA25CF" w:rsidRDefault="002C0FD9" w:rsidP="00CA25CF">
            <w:pPr>
              <w:rPr>
                <w:rFonts w:cs="Arial"/>
                <w:color w:val="FF0000"/>
                <w:sz w:val="21"/>
                <w:szCs w:val="21"/>
              </w:rPr>
            </w:pPr>
          </w:p>
        </w:tc>
        <w:tc>
          <w:tcPr>
            <w:tcW w:w="217" w:type="dxa"/>
          </w:tcPr>
          <w:p w14:paraId="28AA5DD9" w14:textId="77777777" w:rsidR="002C0FD9" w:rsidRPr="00CA25CF" w:rsidRDefault="002C0FD9" w:rsidP="00CA25CF">
            <w:pPr>
              <w:rPr>
                <w:rFonts w:cs="Arial"/>
                <w:color w:val="FF0000"/>
                <w:sz w:val="21"/>
                <w:szCs w:val="21"/>
              </w:rPr>
            </w:pPr>
          </w:p>
        </w:tc>
        <w:tc>
          <w:tcPr>
            <w:tcW w:w="217" w:type="dxa"/>
          </w:tcPr>
          <w:p w14:paraId="2ADF1936" w14:textId="77777777" w:rsidR="002C0FD9" w:rsidRPr="00CA25CF" w:rsidRDefault="002C0FD9" w:rsidP="00CA25CF">
            <w:pPr>
              <w:rPr>
                <w:rFonts w:cs="Arial"/>
                <w:color w:val="FF0000"/>
                <w:sz w:val="21"/>
                <w:szCs w:val="21"/>
              </w:rPr>
            </w:pPr>
          </w:p>
        </w:tc>
        <w:tc>
          <w:tcPr>
            <w:tcW w:w="217" w:type="dxa"/>
          </w:tcPr>
          <w:p w14:paraId="4BD6FC1E" w14:textId="77777777" w:rsidR="002C0FD9" w:rsidRPr="00CA25CF" w:rsidRDefault="002C0FD9" w:rsidP="00CA25CF">
            <w:pPr>
              <w:rPr>
                <w:rFonts w:cs="Arial"/>
                <w:color w:val="FF0000"/>
                <w:sz w:val="21"/>
                <w:szCs w:val="21"/>
              </w:rPr>
            </w:pPr>
          </w:p>
        </w:tc>
        <w:tc>
          <w:tcPr>
            <w:tcW w:w="217" w:type="dxa"/>
          </w:tcPr>
          <w:p w14:paraId="1192DA07" w14:textId="77777777" w:rsidR="002C0FD9" w:rsidRPr="00CA25CF" w:rsidRDefault="002C0FD9" w:rsidP="00CA25CF">
            <w:pPr>
              <w:rPr>
                <w:rFonts w:cs="Arial"/>
                <w:color w:val="FF0000"/>
                <w:sz w:val="21"/>
                <w:szCs w:val="21"/>
              </w:rPr>
            </w:pPr>
          </w:p>
        </w:tc>
        <w:tc>
          <w:tcPr>
            <w:tcW w:w="217" w:type="dxa"/>
          </w:tcPr>
          <w:p w14:paraId="49C2EAD3" w14:textId="77777777" w:rsidR="002C0FD9" w:rsidRPr="00CA25CF" w:rsidRDefault="002C0FD9" w:rsidP="00CA25CF">
            <w:pPr>
              <w:rPr>
                <w:rFonts w:cs="Arial"/>
                <w:color w:val="FF0000"/>
                <w:sz w:val="21"/>
                <w:szCs w:val="21"/>
              </w:rPr>
            </w:pPr>
          </w:p>
        </w:tc>
        <w:tc>
          <w:tcPr>
            <w:tcW w:w="217" w:type="dxa"/>
          </w:tcPr>
          <w:p w14:paraId="55B787E7" w14:textId="77777777" w:rsidR="002C0FD9" w:rsidRPr="00CA25CF" w:rsidRDefault="002C0FD9" w:rsidP="00CA25CF">
            <w:pPr>
              <w:rPr>
                <w:rFonts w:cs="Arial"/>
                <w:color w:val="FF0000"/>
                <w:sz w:val="21"/>
                <w:szCs w:val="21"/>
              </w:rPr>
            </w:pPr>
          </w:p>
        </w:tc>
        <w:tc>
          <w:tcPr>
            <w:tcW w:w="217" w:type="dxa"/>
          </w:tcPr>
          <w:p w14:paraId="7CE58E4B" w14:textId="77777777" w:rsidR="002C0FD9" w:rsidRPr="00CA25CF" w:rsidRDefault="002C0FD9" w:rsidP="00CA25CF">
            <w:pPr>
              <w:rPr>
                <w:rFonts w:cs="Arial"/>
                <w:color w:val="FF0000"/>
                <w:sz w:val="21"/>
                <w:szCs w:val="21"/>
              </w:rPr>
            </w:pPr>
          </w:p>
        </w:tc>
        <w:tc>
          <w:tcPr>
            <w:tcW w:w="217" w:type="dxa"/>
          </w:tcPr>
          <w:p w14:paraId="0D90CA3C" w14:textId="77777777" w:rsidR="002C0FD9" w:rsidRPr="00CA25CF" w:rsidRDefault="002C0FD9" w:rsidP="00CA25CF">
            <w:pPr>
              <w:rPr>
                <w:rFonts w:cs="Arial"/>
                <w:color w:val="FF0000"/>
                <w:sz w:val="21"/>
                <w:szCs w:val="21"/>
              </w:rPr>
            </w:pPr>
          </w:p>
        </w:tc>
        <w:tc>
          <w:tcPr>
            <w:tcW w:w="217" w:type="dxa"/>
          </w:tcPr>
          <w:p w14:paraId="06AB245C" w14:textId="77777777" w:rsidR="002C0FD9" w:rsidRPr="00CA25CF" w:rsidRDefault="002C0FD9" w:rsidP="00CA25CF">
            <w:pPr>
              <w:rPr>
                <w:rFonts w:cs="Arial"/>
                <w:color w:val="FF0000"/>
                <w:sz w:val="21"/>
                <w:szCs w:val="21"/>
              </w:rPr>
            </w:pPr>
          </w:p>
        </w:tc>
        <w:tc>
          <w:tcPr>
            <w:tcW w:w="217" w:type="dxa"/>
          </w:tcPr>
          <w:p w14:paraId="6E9E989D" w14:textId="77777777" w:rsidR="002C0FD9" w:rsidRPr="00CA25CF" w:rsidRDefault="002C0FD9" w:rsidP="00CA25CF">
            <w:pPr>
              <w:rPr>
                <w:rFonts w:cs="Arial"/>
                <w:color w:val="FF0000"/>
                <w:sz w:val="21"/>
                <w:szCs w:val="21"/>
              </w:rPr>
            </w:pPr>
          </w:p>
        </w:tc>
        <w:tc>
          <w:tcPr>
            <w:tcW w:w="217" w:type="dxa"/>
          </w:tcPr>
          <w:p w14:paraId="5551ABE8" w14:textId="77777777" w:rsidR="002C0FD9" w:rsidRPr="00CA25CF" w:rsidRDefault="002C0FD9" w:rsidP="00CA25CF">
            <w:pPr>
              <w:rPr>
                <w:rFonts w:cs="Arial"/>
                <w:color w:val="FF0000"/>
                <w:sz w:val="21"/>
                <w:szCs w:val="21"/>
              </w:rPr>
            </w:pPr>
          </w:p>
        </w:tc>
        <w:tc>
          <w:tcPr>
            <w:tcW w:w="217" w:type="dxa"/>
          </w:tcPr>
          <w:p w14:paraId="393CBA46" w14:textId="77777777" w:rsidR="002C0FD9" w:rsidRPr="00CA25CF" w:rsidRDefault="002C0FD9" w:rsidP="00CA25CF">
            <w:pPr>
              <w:rPr>
                <w:rFonts w:cs="Arial"/>
                <w:color w:val="FF0000"/>
                <w:sz w:val="21"/>
                <w:szCs w:val="21"/>
              </w:rPr>
            </w:pPr>
          </w:p>
        </w:tc>
        <w:tc>
          <w:tcPr>
            <w:tcW w:w="217" w:type="dxa"/>
          </w:tcPr>
          <w:p w14:paraId="69C2E4D9" w14:textId="77777777" w:rsidR="002C0FD9" w:rsidRPr="00CA25CF" w:rsidRDefault="002C0FD9" w:rsidP="00CA25CF">
            <w:pPr>
              <w:rPr>
                <w:rFonts w:cs="Arial"/>
                <w:color w:val="FF0000"/>
                <w:sz w:val="21"/>
                <w:szCs w:val="21"/>
              </w:rPr>
            </w:pPr>
          </w:p>
        </w:tc>
        <w:tc>
          <w:tcPr>
            <w:tcW w:w="217" w:type="dxa"/>
          </w:tcPr>
          <w:p w14:paraId="74D2355E" w14:textId="77777777" w:rsidR="002C0FD9" w:rsidRPr="00CA25CF" w:rsidRDefault="002C0FD9" w:rsidP="00CA25CF">
            <w:pPr>
              <w:rPr>
                <w:rFonts w:cs="Arial"/>
                <w:color w:val="FF0000"/>
                <w:sz w:val="21"/>
                <w:szCs w:val="21"/>
              </w:rPr>
            </w:pPr>
          </w:p>
        </w:tc>
        <w:tc>
          <w:tcPr>
            <w:tcW w:w="217" w:type="dxa"/>
          </w:tcPr>
          <w:p w14:paraId="3F563D80" w14:textId="77777777" w:rsidR="002C0FD9" w:rsidRPr="00CA25CF" w:rsidRDefault="002C0FD9" w:rsidP="00CA25CF">
            <w:pPr>
              <w:rPr>
                <w:rFonts w:cs="Arial"/>
                <w:color w:val="FF0000"/>
                <w:sz w:val="21"/>
                <w:szCs w:val="21"/>
              </w:rPr>
            </w:pPr>
          </w:p>
        </w:tc>
        <w:tc>
          <w:tcPr>
            <w:tcW w:w="217" w:type="dxa"/>
          </w:tcPr>
          <w:p w14:paraId="6A8235FB" w14:textId="77777777" w:rsidR="002C0FD9" w:rsidRPr="00CA25CF" w:rsidRDefault="002C0FD9" w:rsidP="00CA25CF">
            <w:pPr>
              <w:rPr>
                <w:rFonts w:cs="Arial"/>
                <w:color w:val="FF0000"/>
                <w:sz w:val="21"/>
                <w:szCs w:val="21"/>
              </w:rPr>
            </w:pPr>
          </w:p>
        </w:tc>
        <w:tc>
          <w:tcPr>
            <w:tcW w:w="217" w:type="dxa"/>
          </w:tcPr>
          <w:p w14:paraId="205DE043" w14:textId="77777777" w:rsidR="002C0FD9" w:rsidRPr="00CA25CF" w:rsidRDefault="002C0FD9" w:rsidP="00CA25CF">
            <w:pPr>
              <w:rPr>
                <w:rFonts w:cs="Arial"/>
                <w:color w:val="FF0000"/>
                <w:sz w:val="21"/>
                <w:szCs w:val="21"/>
              </w:rPr>
            </w:pPr>
          </w:p>
        </w:tc>
        <w:tc>
          <w:tcPr>
            <w:tcW w:w="217" w:type="dxa"/>
          </w:tcPr>
          <w:p w14:paraId="4C712A67" w14:textId="77777777" w:rsidR="002C0FD9" w:rsidRPr="00CA25CF" w:rsidRDefault="002C0FD9" w:rsidP="00CA25CF">
            <w:pPr>
              <w:rPr>
                <w:rFonts w:cs="Arial"/>
                <w:color w:val="FF0000"/>
                <w:sz w:val="21"/>
                <w:szCs w:val="21"/>
              </w:rPr>
            </w:pPr>
          </w:p>
        </w:tc>
        <w:tc>
          <w:tcPr>
            <w:tcW w:w="217" w:type="dxa"/>
          </w:tcPr>
          <w:p w14:paraId="2C7496DF" w14:textId="77777777" w:rsidR="002C0FD9" w:rsidRPr="00CA25CF" w:rsidRDefault="002C0FD9" w:rsidP="00CA25CF">
            <w:pPr>
              <w:rPr>
                <w:rFonts w:cs="Arial"/>
                <w:color w:val="FF0000"/>
                <w:sz w:val="21"/>
                <w:szCs w:val="21"/>
              </w:rPr>
            </w:pPr>
          </w:p>
        </w:tc>
        <w:tc>
          <w:tcPr>
            <w:tcW w:w="217" w:type="dxa"/>
          </w:tcPr>
          <w:p w14:paraId="0FCCC09B" w14:textId="77777777" w:rsidR="002C0FD9" w:rsidRPr="00CA25CF" w:rsidRDefault="002C0FD9" w:rsidP="00CA25CF">
            <w:pPr>
              <w:rPr>
                <w:rFonts w:cs="Arial"/>
                <w:color w:val="FF0000"/>
                <w:sz w:val="21"/>
                <w:szCs w:val="21"/>
              </w:rPr>
            </w:pPr>
          </w:p>
        </w:tc>
        <w:tc>
          <w:tcPr>
            <w:tcW w:w="217" w:type="dxa"/>
          </w:tcPr>
          <w:p w14:paraId="3D05BABF" w14:textId="77777777" w:rsidR="002C0FD9" w:rsidRPr="00CA25CF" w:rsidRDefault="002C0FD9" w:rsidP="00CA25CF">
            <w:pPr>
              <w:rPr>
                <w:rFonts w:cs="Arial"/>
                <w:color w:val="FF0000"/>
                <w:sz w:val="21"/>
                <w:szCs w:val="21"/>
              </w:rPr>
            </w:pPr>
          </w:p>
        </w:tc>
        <w:tc>
          <w:tcPr>
            <w:tcW w:w="217" w:type="dxa"/>
          </w:tcPr>
          <w:p w14:paraId="1FDA1352" w14:textId="77777777" w:rsidR="002C0FD9" w:rsidRPr="00CA25CF" w:rsidRDefault="002C0FD9" w:rsidP="00CA25CF">
            <w:pPr>
              <w:rPr>
                <w:rFonts w:cs="Arial"/>
                <w:color w:val="FF0000"/>
                <w:sz w:val="21"/>
                <w:szCs w:val="21"/>
              </w:rPr>
            </w:pPr>
          </w:p>
        </w:tc>
        <w:tc>
          <w:tcPr>
            <w:tcW w:w="217" w:type="dxa"/>
          </w:tcPr>
          <w:p w14:paraId="0C23F3C7" w14:textId="77777777" w:rsidR="002C0FD9" w:rsidRPr="00CA25CF" w:rsidRDefault="002C0FD9" w:rsidP="00CA25CF">
            <w:pPr>
              <w:rPr>
                <w:rFonts w:cs="Arial"/>
                <w:color w:val="FF0000"/>
                <w:sz w:val="21"/>
                <w:szCs w:val="21"/>
              </w:rPr>
            </w:pPr>
          </w:p>
        </w:tc>
        <w:tc>
          <w:tcPr>
            <w:tcW w:w="217" w:type="dxa"/>
          </w:tcPr>
          <w:p w14:paraId="5A4BDB9A" w14:textId="77777777" w:rsidR="002C0FD9" w:rsidRPr="00CA25CF" w:rsidRDefault="002C0FD9" w:rsidP="00CA25CF">
            <w:pPr>
              <w:rPr>
                <w:rFonts w:cs="Arial"/>
                <w:color w:val="FF0000"/>
                <w:sz w:val="21"/>
                <w:szCs w:val="21"/>
              </w:rPr>
            </w:pPr>
          </w:p>
        </w:tc>
        <w:tc>
          <w:tcPr>
            <w:tcW w:w="217" w:type="dxa"/>
          </w:tcPr>
          <w:p w14:paraId="2B3499A2" w14:textId="77777777" w:rsidR="002C0FD9" w:rsidRPr="00CA25CF" w:rsidRDefault="002C0FD9" w:rsidP="00CA25CF">
            <w:pPr>
              <w:rPr>
                <w:rFonts w:cs="Arial"/>
                <w:color w:val="FF0000"/>
                <w:sz w:val="21"/>
                <w:szCs w:val="21"/>
              </w:rPr>
            </w:pPr>
          </w:p>
        </w:tc>
        <w:tc>
          <w:tcPr>
            <w:tcW w:w="217" w:type="dxa"/>
          </w:tcPr>
          <w:p w14:paraId="1BF6AAE7" w14:textId="77777777" w:rsidR="002C0FD9" w:rsidRPr="00CA25CF" w:rsidRDefault="002C0FD9" w:rsidP="00CA25CF">
            <w:pPr>
              <w:rPr>
                <w:rFonts w:cs="Arial"/>
                <w:color w:val="FF0000"/>
                <w:sz w:val="21"/>
                <w:szCs w:val="21"/>
              </w:rPr>
            </w:pPr>
          </w:p>
        </w:tc>
        <w:tc>
          <w:tcPr>
            <w:tcW w:w="217" w:type="dxa"/>
          </w:tcPr>
          <w:p w14:paraId="61072B98" w14:textId="77777777" w:rsidR="002C0FD9" w:rsidRPr="00CA25CF" w:rsidRDefault="002C0FD9" w:rsidP="00CA25CF">
            <w:pPr>
              <w:rPr>
                <w:rFonts w:cs="Arial"/>
                <w:color w:val="FF0000"/>
                <w:sz w:val="21"/>
                <w:szCs w:val="21"/>
              </w:rPr>
            </w:pPr>
          </w:p>
        </w:tc>
        <w:tc>
          <w:tcPr>
            <w:tcW w:w="217" w:type="dxa"/>
          </w:tcPr>
          <w:p w14:paraId="6B205197" w14:textId="77777777" w:rsidR="002C0FD9" w:rsidRPr="00CA25CF" w:rsidRDefault="002C0FD9" w:rsidP="00CA25CF">
            <w:pPr>
              <w:rPr>
                <w:rFonts w:cs="Arial"/>
                <w:color w:val="FF0000"/>
                <w:sz w:val="21"/>
                <w:szCs w:val="21"/>
              </w:rPr>
            </w:pPr>
          </w:p>
        </w:tc>
        <w:tc>
          <w:tcPr>
            <w:tcW w:w="217" w:type="dxa"/>
          </w:tcPr>
          <w:p w14:paraId="51E6F2DC" w14:textId="77777777" w:rsidR="002C0FD9" w:rsidRPr="00CA25CF" w:rsidRDefault="002C0FD9" w:rsidP="00CA25CF">
            <w:pPr>
              <w:rPr>
                <w:rFonts w:cs="Arial"/>
                <w:color w:val="FF0000"/>
                <w:sz w:val="21"/>
                <w:szCs w:val="21"/>
              </w:rPr>
            </w:pPr>
          </w:p>
        </w:tc>
        <w:tc>
          <w:tcPr>
            <w:tcW w:w="217" w:type="dxa"/>
          </w:tcPr>
          <w:p w14:paraId="23FFB612" w14:textId="77777777" w:rsidR="002C0FD9" w:rsidRPr="00CA25CF" w:rsidRDefault="002C0FD9" w:rsidP="00CA25CF">
            <w:pPr>
              <w:rPr>
                <w:rFonts w:cs="Arial"/>
                <w:color w:val="FF0000"/>
                <w:sz w:val="21"/>
                <w:szCs w:val="21"/>
              </w:rPr>
            </w:pPr>
          </w:p>
        </w:tc>
        <w:tc>
          <w:tcPr>
            <w:tcW w:w="217" w:type="dxa"/>
          </w:tcPr>
          <w:p w14:paraId="23F88358" w14:textId="77777777" w:rsidR="002C0FD9" w:rsidRPr="00CA25CF" w:rsidRDefault="002C0FD9" w:rsidP="00CA25CF">
            <w:pPr>
              <w:rPr>
                <w:rFonts w:cs="Arial"/>
                <w:color w:val="FF0000"/>
                <w:sz w:val="21"/>
                <w:szCs w:val="21"/>
              </w:rPr>
            </w:pPr>
          </w:p>
        </w:tc>
        <w:tc>
          <w:tcPr>
            <w:tcW w:w="217" w:type="dxa"/>
          </w:tcPr>
          <w:p w14:paraId="0FD3804B" w14:textId="77777777" w:rsidR="002C0FD9" w:rsidRPr="00CA25CF" w:rsidRDefault="002C0FD9" w:rsidP="00CA25CF">
            <w:pPr>
              <w:rPr>
                <w:rFonts w:cs="Arial"/>
                <w:color w:val="FF0000"/>
                <w:sz w:val="21"/>
                <w:szCs w:val="21"/>
              </w:rPr>
            </w:pPr>
          </w:p>
        </w:tc>
        <w:tc>
          <w:tcPr>
            <w:tcW w:w="217" w:type="dxa"/>
          </w:tcPr>
          <w:p w14:paraId="3FED6F00" w14:textId="77777777" w:rsidR="002C0FD9" w:rsidRPr="00CA25CF" w:rsidRDefault="002C0FD9" w:rsidP="00CA25CF">
            <w:pPr>
              <w:rPr>
                <w:rFonts w:cs="Arial"/>
                <w:color w:val="FF0000"/>
                <w:sz w:val="21"/>
                <w:szCs w:val="21"/>
              </w:rPr>
            </w:pPr>
          </w:p>
        </w:tc>
        <w:tc>
          <w:tcPr>
            <w:tcW w:w="217" w:type="dxa"/>
          </w:tcPr>
          <w:p w14:paraId="12C81DDB" w14:textId="77777777" w:rsidR="002C0FD9" w:rsidRPr="00CA25CF" w:rsidRDefault="002C0FD9" w:rsidP="00CA25CF">
            <w:pPr>
              <w:rPr>
                <w:rFonts w:cs="Arial"/>
                <w:color w:val="FF0000"/>
                <w:sz w:val="21"/>
                <w:szCs w:val="21"/>
              </w:rPr>
            </w:pPr>
          </w:p>
        </w:tc>
        <w:tc>
          <w:tcPr>
            <w:tcW w:w="217" w:type="dxa"/>
          </w:tcPr>
          <w:p w14:paraId="222E1FA5" w14:textId="77777777" w:rsidR="002C0FD9" w:rsidRPr="00CA25CF" w:rsidRDefault="002C0FD9" w:rsidP="00CA25CF">
            <w:pPr>
              <w:rPr>
                <w:rFonts w:cs="Arial"/>
                <w:color w:val="FF0000"/>
                <w:sz w:val="21"/>
                <w:szCs w:val="21"/>
              </w:rPr>
            </w:pPr>
          </w:p>
        </w:tc>
        <w:tc>
          <w:tcPr>
            <w:tcW w:w="217" w:type="dxa"/>
          </w:tcPr>
          <w:p w14:paraId="5E80C28C" w14:textId="77777777" w:rsidR="002C0FD9" w:rsidRPr="00CA25CF" w:rsidRDefault="002C0FD9" w:rsidP="00CA25CF">
            <w:pPr>
              <w:rPr>
                <w:rFonts w:cs="Arial"/>
                <w:color w:val="FF0000"/>
                <w:sz w:val="21"/>
                <w:szCs w:val="21"/>
              </w:rPr>
            </w:pPr>
          </w:p>
        </w:tc>
        <w:tc>
          <w:tcPr>
            <w:tcW w:w="217" w:type="dxa"/>
          </w:tcPr>
          <w:p w14:paraId="0CB46B40" w14:textId="77777777" w:rsidR="002C0FD9" w:rsidRPr="00CA25CF" w:rsidRDefault="002C0FD9" w:rsidP="00CA25CF">
            <w:pPr>
              <w:rPr>
                <w:rFonts w:cs="Arial"/>
                <w:color w:val="FF0000"/>
                <w:sz w:val="21"/>
                <w:szCs w:val="21"/>
              </w:rPr>
            </w:pPr>
          </w:p>
        </w:tc>
        <w:tc>
          <w:tcPr>
            <w:tcW w:w="217" w:type="dxa"/>
          </w:tcPr>
          <w:p w14:paraId="0083296E" w14:textId="77777777" w:rsidR="002C0FD9" w:rsidRPr="00CA25CF" w:rsidRDefault="002C0FD9" w:rsidP="00CA25CF">
            <w:pPr>
              <w:rPr>
                <w:rFonts w:cs="Arial"/>
                <w:color w:val="FF0000"/>
                <w:sz w:val="21"/>
                <w:szCs w:val="21"/>
              </w:rPr>
            </w:pPr>
          </w:p>
        </w:tc>
        <w:tc>
          <w:tcPr>
            <w:tcW w:w="217" w:type="dxa"/>
          </w:tcPr>
          <w:p w14:paraId="42D916C2" w14:textId="77777777" w:rsidR="002C0FD9" w:rsidRPr="00CA25CF" w:rsidRDefault="002C0FD9" w:rsidP="00CA25CF">
            <w:pPr>
              <w:rPr>
                <w:rFonts w:cs="Arial"/>
                <w:color w:val="FF0000"/>
                <w:sz w:val="21"/>
                <w:szCs w:val="21"/>
              </w:rPr>
            </w:pPr>
          </w:p>
        </w:tc>
        <w:tc>
          <w:tcPr>
            <w:tcW w:w="217" w:type="dxa"/>
          </w:tcPr>
          <w:p w14:paraId="1D4AFA5B" w14:textId="77777777" w:rsidR="002C0FD9" w:rsidRPr="00CA25CF" w:rsidRDefault="002C0FD9" w:rsidP="00CA25CF">
            <w:pPr>
              <w:rPr>
                <w:rFonts w:cs="Arial"/>
                <w:color w:val="FF0000"/>
                <w:sz w:val="21"/>
                <w:szCs w:val="21"/>
              </w:rPr>
            </w:pPr>
          </w:p>
        </w:tc>
        <w:tc>
          <w:tcPr>
            <w:tcW w:w="217" w:type="dxa"/>
          </w:tcPr>
          <w:p w14:paraId="607326E2" w14:textId="77777777" w:rsidR="002C0FD9" w:rsidRPr="00CA25CF" w:rsidRDefault="002C0FD9" w:rsidP="00CA25CF">
            <w:pPr>
              <w:rPr>
                <w:rFonts w:cs="Arial"/>
                <w:color w:val="FF0000"/>
                <w:sz w:val="21"/>
                <w:szCs w:val="21"/>
              </w:rPr>
            </w:pPr>
          </w:p>
        </w:tc>
        <w:tc>
          <w:tcPr>
            <w:tcW w:w="217" w:type="dxa"/>
          </w:tcPr>
          <w:p w14:paraId="3CA7A449" w14:textId="77777777" w:rsidR="002C0FD9" w:rsidRPr="00CA25CF" w:rsidRDefault="002C0FD9" w:rsidP="00CA25CF">
            <w:pPr>
              <w:rPr>
                <w:rFonts w:cs="Arial"/>
                <w:color w:val="FF0000"/>
                <w:sz w:val="21"/>
                <w:szCs w:val="21"/>
              </w:rPr>
            </w:pPr>
          </w:p>
        </w:tc>
      </w:tr>
      <w:tr w:rsidR="002C0FD9" w:rsidRPr="00A16219" w14:paraId="650930BC" w14:textId="77777777" w:rsidTr="002C0FD9">
        <w:trPr>
          <w:trHeight w:val="635"/>
        </w:trPr>
        <w:tc>
          <w:tcPr>
            <w:tcW w:w="515" w:type="dxa"/>
          </w:tcPr>
          <w:p w14:paraId="3C7429D1" w14:textId="77777777" w:rsidR="002C0FD9" w:rsidRPr="00CA25CF" w:rsidRDefault="002C0FD9" w:rsidP="00CA25CF">
            <w:pPr>
              <w:rPr>
                <w:rFonts w:cs="Arial"/>
                <w:color w:val="FF0000"/>
                <w:sz w:val="21"/>
                <w:szCs w:val="21"/>
              </w:rPr>
            </w:pPr>
          </w:p>
        </w:tc>
        <w:tc>
          <w:tcPr>
            <w:tcW w:w="217" w:type="dxa"/>
          </w:tcPr>
          <w:p w14:paraId="4F75036D" w14:textId="77777777" w:rsidR="002C0FD9" w:rsidRPr="00CA25CF" w:rsidRDefault="002C0FD9" w:rsidP="00CA25CF">
            <w:pPr>
              <w:rPr>
                <w:rFonts w:cs="Arial"/>
                <w:color w:val="FF0000"/>
                <w:sz w:val="21"/>
                <w:szCs w:val="21"/>
              </w:rPr>
            </w:pPr>
          </w:p>
        </w:tc>
        <w:tc>
          <w:tcPr>
            <w:tcW w:w="217" w:type="dxa"/>
          </w:tcPr>
          <w:p w14:paraId="571157E5" w14:textId="77777777" w:rsidR="002C0FD9" w:rsidRPr="00CA25CF" w:rsidRDefault="002C0FD9" w:rsidP="00CA25CF">
            <w:pPr>
              <w:rPr>
                <w:rFonts w:cs="Arial"/>
                <w:color w:val="FF0000"/>
                <w:sz w:val="21"/>
                <w:szCs w:val="21"/>
              </w:rPr>
            </w:pPr>
          </w:p>
        </w:tc>
        <w:tc>
          <w:tcPr>
            <w:tcW w:w="217" w:type="dxa"/>
          </w:tcPr>
          <w:p w14:paraId="4F65CA3A" w14:textId="77777777" w:rsidR="002C0FD9" w:rsidRPr="00CA25CF" w:rsidRDefault="002C0FD9" w:rsidP="00CA25CF">
            <w:pPr>
              <w:rPr>
                <w:rFonts w:cs="Arial"/>
                <w:color w:val="FF0000"/>
                <w:sz w:val="21"/>
                <w:szCs w:val="21"/>
              </w:rPr>
            </w:pPr>
          </w:p>
        </w:tc>
        <w:tc>
          <w:tcPr>
            <w:tcW w:w="217" w:type="dxa"/>
          </w:tcPr>
          <w:p w14:paraId="0F0BEB57" w14:textId="77777777" w:rsidR="002C0FD9" w:rsidRPr="00CA25CF" w:rsidRDefault="002C0FD9" w:rsidP="00CA25CF">
            <w:pPr>
              <w:rPr>
                <w:rFonts w:cs="Arial"/>
                <w:color w:val="FF0000"/>
                <w:sz w:val="21"/>
                <w:szCs w:val="21"/>
              </w:rPr>
            </w:pPr>
          </w:p>
        </w:tc>
        <w:tc>
          <w:tcPr>
            <w:tcW w:w="217" w:type="dxa"/>
          </w:tcPr>
          <w:p w14:paraId="57501B08" w14:textId="77777777" w:rsidR="002C0FD9" w:rsidRPr="00CA25CF" w:rsidRDefault="002C0FD9" w:rsidP="00CA25CF">
            <w:pPr>
              <w:rPr>
                <w:rFonts w:cs="Arial"/>
                <w:color w:val="FF0000"/>
                <w:sz w:val="21"/>
                <w:szCs w:val="21"/>
              </w:rPr>
            </w:pPr>
          </w:p>
        </w:tc>
        <w:tc>
          <w:tcPr>
            <w:tcW w:w="217" w:type="dxa"/>
          </w:tcPr>
          <w:p w14:paraId="3729E51D" w14:textId="77777777" w:rsidR="002C0FD9" w:rsidRPr="00CA25CF" w:rsidRDefault="002C0FD9" w:rsidP="00CA25CF">
            <w:pPr>
              <w:rPr>
                <w:rFonts w:cs="Arial"/>
                <w:color w:val="FF0000"/>
                <w:sz w:val="21"/>
                <w:szCs w:val="21"/>
              </w:rPr>
            </w:pPr>
          </w:p>
        </w:tc>
        <w:tc>
          <w:tcPr>
            <w:tcW w:w="217" w:type="dxa"/>
          </w:tcPr>
          <w:p w14:paraId="5D474FE4" w14:textId="77777777" w:rsidR="002C0FD9" w:rsidRPr="00CA25CF" w:rsidRDefault="002C0FD9" w:rsidP="00CA25CF">
            <w:pPr>
              <w:rPr>
                <w:rFonts w:cs="Arial"/>
                <w:color w:val="FF0000"/>
                <w:sz w:val="21"/>
                <w:szCs w:val="21"/>
              </w:rPr>
            </w:pPr>
          </w:p>
        </w:tc>
        <w:tc>
          <w:tcPr>
            <w:tcW w:w="217" w:type="dxa"/>
          </w:tcPr>
          <w:p w14:paraId="13D0CD2D" w14:textId="77777777" w:rsidR="002C0FD9" w:rsidRPr="00CA25CF" w:rsidRDefault="002C0FD9" w:rsidP="00CA25CF">
            <w:pPr>
              <w:rPr>
                <w:rFonts w:cs="Arial"/>
                <w:color w:val="FF0000"/>
                <w:sz w:val="21"/>
                <w:szCs w:val="21"/>
              </w:rPr>
            </w:pPr>
          </w:p>
        </w:tc>
        <w:tc>
          <w:tcPr>
            <w:tcW w:w="217" w:type="dxa"/>
          </w:tcPr>
          <w:p w14:paraId="4C5BE7AD" w14:textId="77777777" w:rsidR="002C0FD9" w:rsidRPr="00CA25CF" w:rsidRDefault="002C0FD9" w:rsidP="00CA25CF">
            <w:pPr>
              <w:rPr>
                <w:rFonts w:cs="Arial"/>
                <w:color w:val="FF0000"/>
                <w:sz w:val="21"/>
                <w:szCs w:val="21"/>
              </w:rPr>
            </w:pPr>
          </w:p>
        </w:tc>
        <w:tc>
          <w:tcPr>
            <w:tcW w:w="217" w:type="dxa"/>
          </w:tcPr>
          <w:p w14:paraId="7CD3B7C1" w14:textId="77777777" w:rsidR="002C0FD9" w:rsidRPr="00CA25CF" w:rsidRDefault="002C0FD9" w:rsidP="00CA25CF">
            <w:pPr>
              <w:rPr>
                <w:rFonts w:cs="Arial"/>
                <w:color w:val="FF0000"/>
                <w:sz w:val="21"/>
                <w:szCs w:val="21"/>
              </w:rPr>
            </w:pPr>
          </w:p>
        </w:tc>
        <w:tc>
          <w:tcPr>
            <w:tcW w:w="217" w:type="dxa"/>
          </w:tcPr>
          <w:p w14:paraId="613D5422" w14:textId="77777777" w:rsidR="002C0FD9" w:rsidRPr="00CA25CF" w:rsidRDefault="002C0FD9" w:rsidP="00CA25CF">
            <w:pPr>
              <w:rPr>
                <w:rFonts w:cs="Arial"/>
                <w:color w:val="FF0000"/>
                <w:sz w:val="21"/>
                <w:szCs w:val="21"/>
              </w:rPr>
            </w:pPr>
          </w:p>
        </w:tc>
        <w:tc>
          <w:tcPr>
            <w:tcW w:w="217" w:type="dxa"/>
          </w:tcPr>
          <w:p w14:paraId="08D18149" w14:textId="77777777" w:rsidR="002C0FD9" w:rsidRPr="00CA25CF" w:rsidRDefault="002C0FD9" w:rsidP="00CA25CF">
            <w:pPr>
              <w:rPr>
                <w:rFonts w:cs="Arial"/>
                <w:color w:val="FF0000"/>
                <w:sz w:val="21"/>
                <w:szCs w:val="21"/>
              </w:rPr>
            </w:pPr>
          </w:p>
        </w:tc>
        <w:tc>
          <w:tcPr>
            <w:tcW w:w="217" w:type="dxa"/>
          </w:tcPr>
          <w:p w14:paraId="68597455" w14:textId="77777777" w:rsidR="002C0FD9" w:rsidRPr="00CA25CF" w:rsidRDefault="002C0FD9" w:rsidP="00CA25CF">
            <w:pPr>
              <w:rPr>
                <w:rFonts w:cs="Arial"/>
                <w:color w:val="FF0000"/>
                <w:sz w:val="21"/>
                <w:szCs w:val="21"/>
              </w:rPr>
            </w:pPr>
          </w:p>
        </w:tc>
        <w:tc>
          <w:tcPr>
            <w:tcW w:w="217" w:type="dxa"/>
          </w:tcPr>
          <w:p w14:paraId="4AD0BE2A" w14:textId="77777777" w:rsidR="002C0FD9" w:rsidRPr="00CA25CF" w:rsidRDefault="002C0FD9" w:rsidP="00CA25CF">
            <w:pPr>
              <w:rPr>
                <w:rFonts w:cs="Arial"/>
                <w:color w:val="FF0000"/>
                <w:sz w:val="21"/>
                <w:szCs w:val="21"/>
              </w:rPr>
            </w:pPr>
          </w:p>
        </w:tc>
        <w:tc>
          <w:tcPr>
            <w:tcW w:w="217" w:type="dxa"/>
          </w:tcPr>
          <w:p w14:paraId="451C3091" w14:textId="77777777" w:rsidR="002C0FD9" w:rsidRPr="00CA25CF" w:rsidRDefault="002C0FD9" w:rsidP="00CA25CF">
            <w:pPr>
              <w:rPr>
                <w:rFonts w:cs="Arial"/>
                <w:color w:val="FF0000"/>
                <w:sz w:val="21"/>
                <w:szCs w:val="21"/>
              </w:rPr>
            </w:pPr>
          </w:p>
        </w:tc>
        <w:tc>
          <w:tcPr>
            <w:tcW w:w="217" w:type="dxa"/>
          </w:tcPr>
          <w:p w14:paraId="65800650" w14:textId="77777777" w:rsidR="002C0FD9" w:rsidRPr="00CA25CF" w:rsidRDefault="002C0FD9" w:rsidP="00CA25CF">
            <w:pPr>
              <w:rPr>
                <w:rFonts w:cs="Arial"/>
                <w:color w:val="FF0000"/>
                <w:sz w:val="21"/>
                <w:szCs w:val="21"/>
              </w:rPr>
            </w:pPr>
          </w:p>
        </w:tc>
        <w:tc>
          <w:tcPr>
            <w:tcW w:w="217" w:type="dxa"/>
          </w:tcPr>
          <w:p w14:paraId="7B7F0A85" w14:textId="77777777" w:rsidR="002C0FD9" w:rsidRPr="00CA25CF" w:rsidRDefault="002C0FD9" w:rsidP="00CA25CF">
            <w:pPr>
              <w:rPr>
                <w:rFonts w:cs="Arial"/>
                <w:color w:val="FF0000"/>
                <w:sz w:val="21"/>
                <w:szCs w:val="21"/>
              </w:rPr>
            </w:pPr>
          </w:p>
        </w:tc>
        <w:tc>
          <w:tcPr>
            <w:tcW w:w="217" w:type="dxa"/>
          </w:tcPr>
          <w:p w14:paraId="53C379E4" w14:textId="77777777" w:rsidR="002C0FD9" w:rsidRPr="00CA25CF" w:rsidRDefault="002C0FD9" w:rsidP="00CA25CF">
            <w:pPr>
              <w:rPr>
                <w:rFonts w:cs="Arial"/>
                <w:color w:val="FF0000"/>
                <w:sz w:val="21"/>
                <w:szCs w:val="21"/>
              </w:rPr>
            </w:pPr>
          </w:p>
        </w:tc>
        <w:tc>
          <w:tcPr>
            <w:tcW w:w="217" w:type="dxa"/>
          </w:tcPr>
          <w:p w14:paraId="0D27F71F" w14:textId="77777777" w:rsidR="002C0FD9" w:rsidRPr="00CA25CF" w:rsidRDefault="002C0FD9" w:rsidP="00CA25CF">
            <w:pPr>
              <w:rPr>
                <w:rFonts w:cs="Arial"/>
                <w:color w:val="FF0000"/>
                <w:sz w:val="21"/>
                <w:szCs w:val="21"/>
              </w:rPr>
            </w:pPr>
          </w:p>
        </w:tc>
        <w:tc>
          <w:tcPr>
            <w:tcW w:w="217" w:type="dxa"/>
          </w:tcPr>
          <w:p w14:paraId="51402B30" w14:textId="77777777" w:rsidR="002C0FD9" w:rsidRPr="00CA25CF" w:rsidRDefault="002C0FD9" w:rsidP="00CA25CF">
            <w:pPr>
              <w:rPr>
                <w:rFonts w:cs="Arial"/>
                <w:color w:val="FF0000"/>
                <w:sz w:val="21"/>
                <w:szCs w:val="21"/>
              </w:rPr>
            </w:pPr>
          </w:p>
        </w:tc>
        <w:tc>
          <w:tcPr>
            <w:tcW w:w="217" w:type="dxa"/>
          </w:tcPr>
          <w:p w14:paraId="25C5C2DB" w14:textId="77777777" w:rsidR="002C0FD9" w:rsidRPr="00CA25CF" w:rsidRDefault="002C0FD9" w:rsidP="00CA25CF">
            <w:pPr>
              <w:rPr>
                <w:rFonts w:cs="Arial"/>
                <w:color w:val="FF0000"/>
                <w:sz w:val="21"/>
                <w:szCs w:val="21"/>
              </w:rPr>
            </w:pPr>
          </w:p>
        </w:tc>
        <w:tc>
          <w:tcPr>
            <w:tcW w:w="217" w:type="dxa"/>
          </w:tcPr>
          <w:p w14:paraId="2ED10D0C" w14:textId="77777777" w:rsidR="002C0FD9" w:rsidRPr="00CA25CF" w:rsidRDefault="002C0FD9" w:rsidP="00CA25CF">
            <w:pPr>
              <w:rPr>
                <w:rFonts w:cs="Arial"/>
                <w:color w:val="FF0000"/>
                <w:sz w:val="21"/>
                <w:szCs w:val="21"/>
              </w:rPr>
            </w:pPr>
          </w:p>
        </w:tc>
        <w:tc>
          <w:tcPr>
            <w:tcW w:w="217" w:type="dxa"/>
          </w:tcPr>
          <w:p w14:paraId="24EE55C2" w14:textId="77777777" w:rsidR="002C0FD9" w:rsidRPr="00CA25CF" w:rsidRDefault="002C0FD9" w:rsidP="00CA25CF">
            <w:pPr>
              <w:rPr>
                <w:rFonts w:cs="Arial"/>
                <w:color w:val="FF0000"/>
                <w:sz w:val="21"/>
                <w:szCs w:val="21"/>
              </w:rPr>
            </w:pPr>
          </w:p>
        </w:tc>
        <w:tc>
          <w:tcPr>
            <w:tcW w:w="217" w:type="dxa"/>
          </w:tcPr>
          <w:p w14:paraId="665CC97E" w14:textId="77777777" w:rsidR="002C0FD9" w:rsidRPr="00CA25CF" w:rsidRDefault="002C0FD9" w:rsidP="00CA25CF">
            <w:pPr>
              <w:rPr>
                <w:rFonts w:cs="Arial"/>
                <w:color w:val="FF0000"/>
                <w:sz w:val="21"/>
                <w:szCs w:val="21"/>
              </w:rPr>
            </w:pPr>
          </w:p>
        </w:tc>
        <w:tc>
          <w:tcPr>
            <w:tcW w:w="217" w:type="dxa"/>
          </w:tcPr>
          <w:p w14:paraId="10AAD4B2" w14:textId="77777777" w:rsidR="002C0FD9" w:rsidRPr="00CA25CF" w:rsidRDefault="002C0FD9" w:rsidP="00CA25CF">
            <w:pPr>
              <w:rPr>
                <w:rFonts w:cs="Arial"/>
                <w:color w:val="FF0000"/>
                <w:sz w:val="21"/>
                <w:szCs w:val="21"/>
              </w:rPr>
            </w:pPr>
          </w:p>
        </w:tc>
        <w:tc>
          <w:tcPr>
            <w:tcW w:w="217" w:type="dxa"/>
          </w:tcPr>
          <w:p w14:paraId="04AE760D" w14:textId="77777777" w:rsidR="002C0FD9" w:rsidRPr="00CA25CF" w:rsidRDefault="002C0FD9" w:rsidP="00CA25CF">
            <w:pPr>
              <w:rPr>
                <w:rFonts w:cs="Arial"/>
                <w:color w:val="FF0000"/>
                <w:sz w:val="21"/>
                <w:szCs w:val="21"/>
              </w:rPr>
            </w:pPr>
          </w:p>
        </w:tc>
        <w:tc>
          <w:tcPr>
            <w:tcW w:w="217" w:type="dxa"/>
          </w:tcPr>
          <w:p w14:paraId="33F38BD8" w14:textId="77777777" w:rsidR="002C0FD9" w:rsidRPr="00CA25CF" w:rsidRDefault="002C0FD9" w:rsidP="00CA25CF">
            <w:pPr>
              <w:rPr>
                <w:rFonts w:cs="Arial"/>
                <w:color w:val="FF0000"/>
                <w:sz w:val="21"/>
                <w:szCs w:val="21"/>
              </w:rPr>
            </w:pPr>
          </w:p>
        </w:tc>
        <w:tc>
          <w:tcPr>
            <w:tcW w:w="217" w:type="dxa"/>
          </w:tcPr>
          <w:p w14:paraId="21489D03" w14:textId="77777777" w:rsidR="002C0FD9" w:rsidRPr="00CA25CF" w:rsidRDefault="002C0FD9" w:rsidP="00CA25CF">
            <w:pPr>
              <w:rPr>
                <w:rFonts w:cs="Arial"/>
                <w:color w:val="FF0000"/>
                <w:sz w:val="21"/>
                <w:szCs w:val="21"/>
              </w:rPr>
            </w:pPr>
          </w:p>
        </w:tc>
        <w:tc>
          <w:tcPr>
            <w:tcW w:w="217" w:type="dxa"/>
          </w:tcPr>
          <w:p w14:paraId="79BC30C3" w14:textId="77777777" w:rsidR="002C0FD9" w:rsidRPr="00CA25CF" w:rsidRDefault="002C0FD9" w:rsidP="00CA25CF">
            <w:pPr>
              <w:rPr>
                <w:rFonts w:cs="Arial"/>
                <w:color w:val="FF0000"/>
                <w:sz w:val="21"/>
                <w:szCs w:val="21"/>
              </w:rPr>
            </w:pPr>
          </w:p>
        </w:tc>
        <w:tc>
          <w:tcPr>
            <w:tcW w:w="217" w:type="dxa"/>
          </w:tcPr>
          <w:p w14:paraId="43A79D47" w14:textId="77777777" w:rsidR="002C0FD9" w:rsidRPr="00CA25CF" w:rsidRDefault="002C0FD9" w:rsidP="00CA25CF">
            <w:pPr>
              <w:rPr>
                <w:rFonts w:cs="Arial"/>
                <w:color w:val="FF0000"/>
                <w:sz w:val="21"/>
                <w:szCs w:val="21"/>
              </w:rPr>
            </w:pPr>
          </w:p>
        </w:tc>
        <w:tc>
          <w:tcPr>
            <w:tcW w:w="217" w:type="dxa"/>
          </w:tcPr>
          <w:p w14:paraId="104990FA" w14:textId="77777777" w:rsidR="002C0FD9" w:rsidRPr="00CA25CF" w:rsidRDefault="002C0FD9" w:rsidP="00CA25CF">
            <w:pPr>
              <w:rPr>
                <w:rFonts w:cs="Arial"/>
                <w:color w:val="FF0000"/>
                <w:sz w:val="21"/>
                <w:szCs w:val="21"/>
              </w:rPr>
            </w:pPr>
          </w:p>
        </w:tc>
        <w:tc>
          <w:tcPr>
            <w:tcW w:w="217" w:type="dxa"/>
          </w:tcPr>
          <w:p w14:paraId="714B74AC" w14:textId="77777777" w:rsidR="002C0FD9" w:rsidRPr="00CA25CF" w:rsidRDefault="002C0FD9" w:rsidP="00CA25CF">
            <w:pPr>
              <w:rPr>
                <w:rFonts w:cs="Arial"/>
                <w:color w:val="FF0000"/>
                <w:sz w:val="21"/>
                <w:szCs w:val="21"/>
              </w:rPr>
            </w:pPr>
          </w:p>
        </w:tc>
        <w:tc>
          <w:tcPr>
            <w:tcW w:w="217" w:type="dxa"/>
          </w:tcPr>
          <w:p w14:paraId="76C7F0FA" w14:textId="77777777" w:rsidR="002C0FD9" w:rsidRPr="00CA25CF" w:rsidRDefault="002C0FD9" w:rsidP="00CA25CF">
            <w:pPr>
              <w:rPr>
                <w:rFonts w:cs="Arial"/>
                <w:color w:val="FF0000"/>
                <w:sz w:val="21"/>
                <w:szCs w:val="21"/>
              </w:rPr>
            </w:pPr>
          </w:p>
        </w:tc>
        <w:tc>
          <w:tcPr>
            <w:tcW w:w="217" w:type="dxa"/>
          </w:tcPr>
          <w:p w14:paraId="6F74A8D1" w14:textId="77777777" w:rsidR="002C0FD9" w:rsidRPr="00CA25CF" w:rsidRDefault="002C0FD9" w:rsidP="00CA25CF">
            <w:pPr>
              <w:rPr>
                <w:rFonts w:cs="Arial"/>
                <w:color w:val="FF0000"/>
                <w:sz w:val="21"/>
                <w:szCs w:val="21"/>
              </w:rPr>
            </w:pPr>
          </w:p>
        </w:tc>
        <w:tc>
          <w:tcPr>
            <w:tcW w:w="217" w:type="dxa"/>
          </w:tcPr>
          <w:p w14:paraId="697D5FD2" w14:textId="77777777" w:rsidR="002C0FD9" w:rsidRPr="00CA25CF" w:rsidRDefault="002C0FD9" w:rsidP="00CA25CF">
            <w:pPr>
              <w:rPr>
                <w:rFonts w:cs="Arial"/>
                <w:color w:val="FF0000"/>
                <w:sz w:val="21"/>
                <w:szCs w:val="21"/>
              </w:rPr>
            </w:pPr>
          </w:p>
        </w:tc>
        <w:tc>
          <w:tcPr>
            <w:tcW w:w="217" w:type="dxa"/>
          </w:tcPr>
          <w:p w14:paraId="09D1EBE9" w14:textId="77777777" w:rsidR="002C0FD9" w:rsidRPr="00CA25CF" w:rsidRDefault="002C0FD9" w:rsidP="00CA25CF">
            <w:pPr>
              <w:rPr>
                <w:rFonts w:cs="Arial"/>
                <w:color w:val="FF0000"/>
                <w:sz w:val="21"/>
                <w:szCs w:val="21"/>
              </w:rPr>
            </w:pPr>
          </w:p>
        </w:tc>
        <w:tc>
          <w:tcPr>
            <w:tcW w:w="217" w:type="dxa"/>
          </w:tcPr>
          <w:p w14:paraId="5553FD58" w14:textId="77777777" w:rsidR="002C0FD9" w:rsidRPr="00CA25CF" w:rsidRDefault="002C0FD9" w:rsidP="00CA25CF">
            <w:pPr>
              <w:rPr>
                <w:rFonts w:cs="Arial"/>
                <w:color w:val="FF0000"/>
                <w:sz w:val="21"/>
                <w:szCs w:val="21"/>
              </w:rPr>
            </w:pPr>
          </w:p>
        </w:tc>
        <w:tc>
          <w:tcPr>
            <w:tcW w:w="217" w:type="dxa"/>
          </w:tcPr>
          <w:p w14:paraId="122AFF8C" w14:textId="77777777" w:rsidR="002C0FD9" w:rsidRPr="00CA25CF" w:rsidRDefault="002C0FD9" w:rsidP="00CA25CF">
            <w:pPr>
              <w:rPr>
                <w:rFonts w:cs="Arial"/>
                <w:color w:val="FF0000"/>
                <w:sz w:val="21"/>
                <w:szCs w:val="21"/>
              </w:rPr>
            </w:pPr>
          </w:p>
        </w:tc>
        <w:tc>
          <w:tcPr>
            <w:tcW w:w="217" w:type="dxa"/>
          </w:tcPr>
          <w:p w14:paraId="169A6AE3" w14:textId="77777777" w:rsidR="002C0FD9" w:rsidRPr="00CA25CF" w:rsidRDefault="002C0FD9" w:rsidP="00CA25CF">
            <w:pPr>
              <w:rPr>
                <w:rFonts w:cs="Arial"/>
                <w:color w:val="FF0000"/>
                <w:sz w:val="21"/>
                <w:szCs w:val="21"/>
              </w:rPr>
            </w:pPr>
          </w:p>
        </w:tc>
        <w:tc>
          <w:tcPr>
            <w:tcW w:w="217" w:type="dxa"/>
          </w:tcPr>
          <w:p w14:paraId="3D0355D0" w14:textId="77777777" w:rsidR="002C0FD9" w:rsidRPr="00CA25CF" w:rsidRDefault="002C0FD9" w:rsidP="00CA25CF">
            <w:pPr>
              <w:rPr>
                <w:rFonts w:cs="Arial"/>
                <w:color w:val="FF0000"/>
                <w:sz w:val="21"/>
                <w:szCs w:val="21"/>
              </w:rPr>
            </w:pPr>
          </w:p>
        </w:tc>
        <w:tc>
          <w:tcPr>
            <w:tcW w:w="217" w:type="dxa"/>
          </w:tcPr>
          <w:p w14:paraId="43FFF41D" w14:textId="77777777" w:rsidR="002C0FD9" w:rsidRPr="00CA25CF" w:rsidRDefault="002C0FD9" w:rsidP="00CA25CF">
            <w:pPr>
              <w:rPr>
                <w:rFonts w:cs="Arial"/>
                <w:color w:val="FF0000"/>
                <w:sz w:val="21"/>
                <w:szCs w:val="21"/>
              </w:rPr>
            </w:pPr>
          </w:p>
        </w:tc>
        <w:tc>
          <w:tcPr>
            <w:tcW w:w="217" w:type="dxa"/>
          </w:tcPr>
          <w:p w14:paraId="4D44D76C" w14:textId="77777777" w:rsidR="002C0FD9" w:rsidRPr="00CA25CF" w:rsidRDefault="002C0FD9" w:rsidP="00CA25CF">
            <w:pPr>
              <w:rPr>
                <w:rFonts w:cs="Arial"/>
                <w:color w:val="FF0000"/>
                <w:sz w:val="21"/>
                <w:szCs w:val="21"/>
              </w:rPr>
            </w:pPr>
          </w:p>
        </w:tc>
      </w:tr>
      <w:tr w:rsidR="002C0FD9" w:rsidRPr="00A16219" w14:paraId="2E2F88B5" w14:textId="77777777" w:rsidTr="002C0FD9">
        <w:trPr>
          <w:trHeight w:val="635"/>
        </w:trPr>
        <w:tc>
          <w:tcPr>
            <w:tcW w:w="515" w:type="dxa"/>
          </w:tcPr>
          <w:p w14:paraId="2C9F88B8" w14:textId="77777777" w:rsidR="002C0FD9" w:rsidRPr="00CA25CF" w:rsidRDefault="002C0FD9" w:rsidP="00CA25CF">
            <w:pPr>
              <w:rPr>
                <w:rFonts w:cs="Arial"/>
                <w:color w:val="FF0000"/>
                <w:sz w:val="21"/>
                <w:szCs w:val="21"/>
              </w:rPr>
            </w:pPr>
          </w:p>
        </w:tc>
        <w:tc>
          <w:tcPr>
            <w:tcW w:w="217" w:type="dxa"/>
          </w:tcPr>
          <w:p w14:paraId="7F4CCE4F" w14:textId="77777777" w:rsidR="002C0FD9" w:rsidRPr="00CA25CF" w:rsidRDefault="002C0FD9" w:rsidP="00CA25CF">
            <w:pPr>
              <w:rPr>
                <w:rFonts w:cs="Arial"/>
                <w:color w:val="FF0000"/>
                <w:sz w:val="21"/>
                <w:szCs w:val="21"/>
              </w:rPr>
            </w:pPr>
          </w:p>
        </w:tc>
        <w:tc>
          <w:tcPr>
            <w:tcW w:w="217" w:type="dxa"/>
          </w:tcPr>
          <w:p w14:paraId="4093BA3D" w14:textId="77777777" w:rsidR="002C0FD9" w:rsidRPr="00CA25CF" w:rsidRDefault="002C0FD9" w:rsidP="00CA25CF">
            <w:pPr>
              <w:rPr>
                <w:rFonts w:cs="Arial"/>
                <w:color w:val="FF0000"/>
                <w:sz w:val="21"/>
                <w:szCs w:val="21"/>
              </w:rPr>
            </w:pPr>
          </w:p>
        </w:tc>
        <w:tc>
          <w:tcPr>
            <w:tcW w:w="217" w:type="dxa"/>
          </w:tcPr>
          <w:p w14:paraId="7E5C94A4" w14:textId="77777777" w:rsidR="002C0FD9" w:rsidRPr="00CA25CF" w:rsidRDefault="002C0FD9" w:rsidP="00CA25CF">
            <w:pPr>
              <w:rPr>
                <w:rFonts w:cs="Arial"/>
                <w:color w:val="FF0000"/>
                <w:sz w:val="21"/>
                <w:szCs w:val="21"/>
              </w:rPr>
            </w:pPr>
          </w:p>
        </w:tc>
        <w:tc>
          <w:tcPr>
            <w:tcW w:w="217" w:type="dxa"/>
          </w:tcPr>
          <w:p w14:paraId="40BF59A7" w14:textId="77777777" w:rsidR="002C0FD9" w:rsidRPr="00CA25CF" w:rsidRDefault="002C0FD9" w:rsidP="00CA25CF">
            <w:pPr>
              <w:rPr>
                <w:rFonts w:cs="Arial"/>
                <w:color w:val="FF0000"/>
                <w:sz w:val="21"/>
                <w:szCs w:val="21"/>
              </w:rPr>
            </w:pPr>
          </w:p>
        </w:tc>
        <w:tc>
          <w:tcPr>
            <w:tcW w:w="217" w:type="dxa"/>
          </w:tcPr>
          <w:p w14:paraId="07DF4219" w14:textId="77777777" w:rsidR="002C0FD9" w:rsidRPr="00CA25CF" w:rsidRDefault="002C0FD9" w:rsidP="00CA25CF">
            <w:pPr>
              <w:rPr>
                <w:rFonts w:cs="Arial"/>
                <w:color w:val="FF0000"/>
                <w:sz w:val="21"/>
                <w:szCs w:val="21"/>
              </w:rPr>
            </w:pPr>
          </w:p>
        </w:tc>
        <w:tc>
          <w:tcPr>
            <w:tcW w:w="217" w:type="dxa"/>
          </w:tcPr>
          <w:p w14:paraId="1AF7782D" w14:textId="77777777" w:rsidR="002C0FD9" w:rsidRPr="00CA25CF" w:rsidRDefault="002C0FD9" w:rsidP="00CA25CF">
            <w:pPr>
              <w:rPr>
                <w:rFonts w:cs="Arial"/>
                <w:color w:val="FF0000"/>
                <w:sz w:val="21"/>
                <w:szCs w:val="21"/>
              </w:rPr>
            </w:pPr>
          </w:p>
        </w:tc>
        <w:tc>
          <w:tcPr>
            <w:tcW w:w="217" w:type="dxa"/>
          </w:tcPr>
          <w:p w14:paraId="22CA0794" w14:textId="77777777" w:rsidR="002C0FD9" w:rsidRPr="00CA25CF" w:rsidRDefault="002C0FD9" w:rsidP="00CA25CF">
            <w:pPr>
              <w:rPr>
                <w:rFonts w:cs="Arial"/>
                <w:color w:val="FF0000"/>
                <w:sz w:val="21"/>
                <w:szCs w:val="21"/>
              </w:rPr>
            </w:pPr>
          </w:p>
        </w:tc>
        <w:tc>
          <w:tcPr>
            <w:tcW w:w="217" w:type="dxa"/>
          </w:tcPr>
          <w:p w14:paraId="3B917934" w14:textId="77777777" w:rsidR="002C0FD9" w:rsidRPr="00CA25CF" w:rsidRDefault="002C0FD9" w:rsidP="00CA25CF">
            <w:pPr>
              <w:rPr>
                <w:rFonts w:cs="Arial"/>
                <w:color w:val="FF0000"/>
                <w:sz w:val="21"/>
                <w:szCs w:val="21"/>
              </w:rPr>
            </w:pPr>
          </w:p>
        </w:tc>
        <w:tc>
          <w:tcPr>
            <w:tcW w:w="217" w:type="dxa"/>
          </w:tcPr>
          <w:p w14:paraId="56E3A1D2" w14:textId="77777777" w:rsidR="002C0FD9" w:rsidRPr="00CA25CF" w:rsidRDefault="002C0FD9" w:rsidP="00CA25CF">
            <w:pPr>
              <w:rPr>
                <w:rFonts w:cs="Arial"/>
                <w:color w:val="FF0000"/>
                <w:sz w:val="21"/>
                <w:szCs w:val="21"/>
              </w:rPr>
            </w:pPr>
          </w:p>
        </w:tc>
        <w:tc>
          <w:tcPr>
            <w:tcW w:w="217" w:type="dxa"/>
          </w:tcPr>
          <w:p w14:paraId="75C3DEA3" w14:textId="77777777" w:rsidR="002C0FD9" w:rsidRPr="00CA25CF" w:rsidRDefault="002C0FD9" w:rsidP="00CA25CF">
            <w:pPr>
              <w:rPr>
                <w:rFonts w:cs="Arial"/>
                <w:color w:val="FF0000"/>
                <w:sz w:val="21"/>
                <w:szCs w:val="21"/>
              </w:rPr>
            </w:pPr>
          </w:p>
        </w:tc>
        <w:tc>
          <w:tcPr>
            <w:tcW w:w="217" w:type="dxa"/>
          </w:tcPr>
          <w:p w14:paraId="7640FBE3" w14:textId="77777777" w:rsidR="002C0FD9" w:rsidRPr="00CA25CF" w:rsidRDefault="002C0FD9" w:rsidP="00CA25CF">
            <w:pPr>
              <w:rPr>
                <w:rFonts w:cs="Arial"/>
                <w:color w:val="FF0000"/>
                <w:sz w:val="21"/>
                <w:szCs w:val="21"/>
              </w:rPr>
            </w:pPr>
          </w:p>
        </w:tc>
        <w:tc>
          <w:tcPr>
            <w:tcW w:w="217" w:type="dxa"/>
          </w:tcPr>
          <w:p w14:paraId="360C2A3A" w14:textId="77777777" w:rsidR="002C0FD9" w:rsidRPr="00CA25CF" w:rsidRDefault="002C0FD9" w:rsidP="00CA25CF">
            <w:pPr>
              <w:rPr>
                <w:rFonts w:cs="Arial"/>
                <w:color w:val="FF0000"/>
                <w:sz w:val="21"/>
                <w:szCs w:val="21"/>
              </w:rPr>
            </w:pPr>
          </w:p>
        </w:tc>
        <w:tc>
          <w:tcPr>
            <w:tcW w:w="217" w:type="dxa"/>
          </w:tcPr>
          <w:p w14:paraId="0BBCC92B" w14:textId="77777777" w:rsidR="002C0FD9" w:rsidRPr="00CA25CF" w:rsidRDefault="002C0FD9" w:rsidP="00CA25CF">
            <w:pPr>
              <w:rPr>
                <w:rFonts w:cs="Arial"/>
                <w:color w:val="FF0000"/>
                <w:sz w:val="21"/>
                <w:szCs w:val="21"/>
              </w:rPr>
            </w:pPr>
          </w:p>
        </w:tc>
        <w:tc>
          <w:tcPr>
            <w:tcW w:w="217" w:type="dxa"/>
          </w:tcPr>
          <w:p w14:paraId="647E1EC8" w14:textId="77777777" w:rsidR="002C0FD9" w:rsidRPr="00CA25CF" w:rsidRDefault="002C0FD9" w:rsidP="00CA25CF">
            <w:pPr>
              <w:rPr>
                <w:rFonts w:cs="Arial"/>
                <w:color w:val="FF0000"/>
                <w:sz w:val="21"/>
                <w:szCs w:val="21"/>
              </w:rPr>
            </w:pPr>
          </w:p>
        </w:tc>
        <w:tc>
          <w:tcPr>
            <w:tcW w:w="217" w:type="dxa"/>
          </w:tcPr>
          <w:p w14:paraId="556FC648" w14:textId="77777777" w:rsidR="002C0FD9" w:rsidRPr="00CA25CF" w:rsidRDefault="002C0FD9" w:rsidP="00CA25CF">
            <w:pPr>
              <w:rPr>
                <w:rFonts w:cs="Arial"/>
                <w:color w:val="FF0000"/>
                <w:sz w:val="21"/>
                <w:szCs w:val="21"/>
              </w:rPr>
            </w:pPr>
          </w:p>
        </w:tc>
        <w:tc>
          <w:tcPr>
            <w:tcW w:w="217" w:type="dxa"/>
          </w:tcPr>
          <w:p w14:paraId="3C169A03" w14:textId="77777777" w:rsidR="002C0FD9" w:rsidRPr="00CA25CF" w:rsidRDefault="002C0FD9" w:rsidP="00CA25CF">
            <w:pPr>
              <w:rPr>
                <w:rFonts w:cs="Arial"/>
                <w:color w:val="FF0000"/>
                <w:sz w:val="21"/>
                <w:szCs w:val="21"/>
              </w:rPr>
            </w:pPr>
          </w:p>
        </w:tc>
        <w:tc>
          <w:tcPr>
            <w:tcW w:w="217" w:type="dxa"/>
          </w:tcPr>
          <w:p w14:paraId="4A1F4778" w14:textId="77777777" w:rsidR="002C0FD9" w:rsidRPr="00CA25CF" w:rsidRDefault="002C0FD9" w:rsidP="00CA25CF">
            <w:pPr>
              <w:rPr>
                <w:rFonts w:cs="Arial"/>
                <w:color w:val="FF0000"/>
                <w:sz w:val="21"/>
                <w:szCs w:val="21"/>
              </w:rPr>
            </w:pPr>
          </w:p>
        </w:tc>
        <w:tc>
          <w:tcPr>
            <w:tcW w:w="217" w:type="dxa"/>
          </w:tcPr>
          <w:p w14:paraId="2D05B364" w14:textId="77777777" w:rsidR="002C0FD9" w:rsidRPr="00CA25CF" w:rsidRDefault="002C0FD9" w:rsidP="00CA25CF">
            <w:pPr>
              <w:rPr>
                <w:rFonts w:cs="Arial"/>
                <w:color w:val="FF0000"/>
                <w:sz w:val="21"/>
                <w:szCs w:val="21"/>
              </w:rPr>
            </w:pPr>
          </w:p>
        </w:tc>
        <w:tc>
          <w:tcPr>
            <w:tcW w:w="217" w:type="dxa"/>
          </w:tcPr>
          <w:p w14:paraId="4EBFD347" w14:textId="77777777" w:rsidR="002C0FD9" w:rsidRPr="00CA25CF" w:rsidRDefault="002C0FD9" w:rsidP="00CA25CF">
            <w:pPr>
              <w:rPr>
                <w:rFonts w:cs="Arial"/>
                <w:color w:val="FF0000"/>
                <w:sz w:val="21"/>
                <w:szCs w:val="21"/>
              </w:rPr>
            </w:pPr>
          </w:p>
        </w:tc>
        <w:tc>
          <w:tcPr>
            <w:tcW w:w="217" w:type="dxa"/>
          </w:tcPr>
          <w:p w14:paraId="30191D5E" w14:textId="77777777" w:rsidR="002C0FD9" w:rsidRPr="00CA25CF" w:rsidRDefault="002C0FD9" w:rsidP="00CA25CF">
            <w:pPr>
              <w:rPr>
                <w:rFonts w:cs="Arial"/>
                <w:color w:val="FF0000"/>
                <w:sz w:val="21"/>
                <w:szCs w:val="21"/>
              </w:rPr>
            </w:pPr>
          </w:p>
        </w:tc>
        <w:tc>
          <w:tcPr>
            <w:tcW w:w="217" w:type="dxa"/>
          </w:tcPr>
          <w:p w14:paraId="4E885911" w14:textId="77777777" w:rsidR="002C0FD9" w:rsidRPr="00CA25CF" w:rsidRDefault="002C0FD9" w:rsidP="00CA25CF">
            <w:pPr>
              <w:rPr>
                <w:rFonts w:cs="Arial"/>
                <w:color w:val="FF0000"/>
                <w:sz w:val="21"/>
                <w:szCs w:val="21"/>
              </w:rPr>
            </w:pPr>
          </w:p>
        </w:tc>
        <w:tc>
          <w:tcPr>
            <w:tcW w:w="217" w:type="dxa"/>
          </w:tcPr>
          <w:p w14:paraId="5FCDCAAC" w14:textId="77777777" w:rsidR="002C0FD9" w:rsidRPr="00CA25CF" w:rsidRDefault="002C0FD9" w:rsidP="00CA25CF">
            <w:pPr>
              <w:rPr>
                <w:rFonts w:cs="Arial"/>
                <w:color w:val="FF0000"/>
                <w:sz w:val="21"/>
                <w:szCs w:val="21"/>
              </w:rPr>
            </w:pPr>
          </w:p>
        </w:tc>
        <w:tc>
          <w:tcPr>
            <w:tcW w:w="217" w:type="dxa"/>
          </w:tcPr>
          <w:p w14:paraId="74E51F18" w14:textId="77777777" w:rsidR="002C0FD9" w:rsidRPr="00CA25CF" w:rsidRDefault="002C0FD9" w:rsidP="00CA25CF">
            <w:pPr>
              <w:rPr>
                <w:rFonts w:cs="Arial"/>
                <w:color w:val="FF0000"/>
                <w:sz w:val="21"/>
                <w:szCs w:val="21"/>
              </w:rPr>
            </w:pPr>
          </w:p>
        </w:tc>
        <w:tc>
          <w:tcPr>
            <w:tcW w:w="217" w:type="dxa"/>
          </w:tcPr>
          <w:p w14:paraId="14E6CA2A" w14:textId="77777777" w:rsidR="002C0FD9" w:rsidRPr="00CA25CF" w:rsidRDefault="002C0FD9" w:rsidP="00CA25CF">
            <w:pPr>
              <w:rPr>
                <w:rFonts w:cs="Arial"/>
                <w:color w:val="FF0000"/>
                <w:sz w:val="21"/>
                <w:szCs w:val="21"/>
              </w:rPr>
            </w:pPr>
          </w:p>
        </w:tc>
        <w:tc>
          <w:tcPr>
            <w:tcW w:w="217" w:type="dxa"/>
          </w:tcPr>
          <w:p w14:paraId="74E67D0E" w14:textId="77777777" w:rsidR="002C0FD9" w:rsidRPr="00CA25CF" w:rsidRDefault="002C0FD9" w:rsidP="00CA25CF">
            <w:pPr>
              <w:rPr>
                <w:rFonts w:cs="Arial"/>
                <w:color w:val="FF0000"/>
                <w:sz w:val="21"/>
                <w:szCs w:val="21"/>
              </w:rPr>
            </w:pPr>
          </w:p>
        </w:tc>
        <w:tc>
          <w:tcPr>
            <w:tcW w:w="217" w:type="dxa"/>
          </w:tcPr>
          <w:p w14:paraId="49586D15" w14:textId="77777777" w:rsidR="002C0FD9" w:rsidRPr="00CA25CF" w:rsidRDefault="002C0FD9" w:rsidP="00CA25CF">
            <w:pPr>
              <w:rPr>
                <w:rFonts w:cs="Arial"/>
                <w:color w:val="FF0000"/>
                <w:sz w:val="21"/>
                <w:szCs w:val="21"/>
              </w:rPr>
            </w:pPr>
          </w:p>
        </w:tc>
        <w:tc>
          <w:tcPr>
            <w:tcW w:w="217" w:type="dxa"/>
          </w:tcPr>
          <w:p w14:paraId="605DA727" w14:textId="77777777" w:rsidR="002C0FD9" w:rsidRPr="00CA25CF" w:rsidRDefault="002C0FD9" w:rsidP="00CA25CF">
            <w:pPr>
              <w:rPr>
                <w:rFonts w:cs="Arial"/>
                <w:color w:val="FF0000"/>
                <w:sz w:val="21"/>
                <w:szCs w:val="21"/>
              </w:rPr>
            </w:pPr>
          </w:p>
        </w:tc>
        <w:tc>
          <w:tcPr>
            <w:tcW w:w="217" w:type="dxa"/>
          </w:tcPr>
          <w:p w14:paraId="03E26BEC" w14:textId="77777777" w:rsidR="002C0FD9" w:rsidRPr="00CA25CF" w:rsidRDefault="002C0FD9" w:rsidP="00CA25CF">
            <w:pPr>
              <w:rPr>
                <w:rFonts w:cs="Arial"/>
                <w:color w:val="FF0000"/>
                <w:sz w:val="21"/>
                <w:szCs w:val="21"/>
              </w:rPr>
            </w:pPr>
          </w:p>
        </w:tc>
        <w:tc>
          <w:tcPr>
            <w:tcW w:w="217" w:type="dxa"/>
          </w:tcPr>
          <w:p w14:paraId="2052EDAA" w14:textId="77777777" w:rsidR="002C0FD9" w:rsidRPr="00CA25CF" w:rsidRDefault="002C0FD9" w:rsidP="00CA25CF">
            <w:pPr>
              <w:rPr>
                <w:rFonts w:cs="Arial"/>
                <w:color w:val="FF0000"/>
                <w:sz w:val="21"/>
                <w:szCs w:val="21"/>
              </w:rPr>
            </w:pPr>
          </w:p>
        </w:tc>
        <w:tc>
          <w:tcPr>
            <w:tcW w:w="217" w:type="dxa"/>
          </w:tcPr>
          <w:p w14:paraId="28745DB0" w14:textId="77777777" w:rsidR="002C0FD9" w:rsidRPr="00CA25CF" w:rsidRDefault="002C0FD9" w:rsidP="00CA25CF">
            <w:pPr>
              <w:rPr>
                <w:rFonts w:cs="Arial"/>
                <w:color w:val="FF0000"/>
                <w:sz w:val="21"/>
                <w:szCs w:val="21"/>
              </w:rPr>
            </w:pPr>
          </w:p>
        </w:tc>
        <w:tc>
          <w:tcPr>
            <w:tcW w:w="217" w:type="dxa"/>
          </w:tcPr>
          <w:p w14:paraId="133AF4FE" w14:textId="77777777" w:rsidR="002C0FD9" w:rsidRPr="00CA25CF" w:rsidRDefault="002C0FD9" w:rsidP="00CA25CF">
            <w:pPr>
              <w:rPr>
                <w:rFonts w:cs="Arial"/>
                <w:color w:val="FF0000"/>
                <w:sz w:val="21"/>
                <w:szCs w:val="21"/>
              </w:rPr>
            </w:pPr>
          </w:p>
        </w:tc>
        <w:tc>
          <w:tcPr>
            <w:tcW w:w="217" w:type="dxa"/>
          </w:tcPr>
          <w:p w14:paraId="57D575C2" w14:textId="77777777" w:rsidR="002C0FD9" w:rsidRPr="00CA25CF" w:rsidRDefault="002C0FD9" w:rsidP="00CA25CF">
            <w:pPr>
              <w:rPr>
                <w:rFonts w:cs="Arial"/>
                <w:color w:val="FF0000"/>
                <w:sz w:val="21"/>
                <w:szCs w:val="21"/>
              </w:rPr>
            </w:pPr>
          </w:p>
        </w:tc>
        <w:tc>
          <w:tcPr>
            <w:tcW w:w="217" w:type="dxa"/>
          </w:tcPr>
          <w:p w14:paraId="33138A3D" w14:textId="77777777" w:rsidR="002C0FD9" w:rsidRPr="00CA25CF" w:rsidRDefault="002C0FD9" w:rsidP="00CA25CF">
            <w:pPr>
              <w:rPr>
                <w:rFonts w:cs="Arial"/>
                <w:color w:val="FF0000"/>
                <w:sz w:val="21"/>
                <w:szCs w:val="21"/>
              </w:rPr>
            </w:pPr>
          </w:p>
        </w:tc>
        <w:tc>
          <w:tcPr>
            <w:tcW w:w="217" w:type="dxa"/>
          </w:tcPr>
          <w:p w14:paraId="0FAB1C2E" w14:textId="77777777" w:rsidR="002C0FD9" w:rsidRPr="00CA25CF" w:rsidRDefault="002C0FD9" w:rsidP="00CA25CF">
            <w:pPr>
              <w:rPr>
                <w:rFonts w:cs="Arial"/>
                <w:color w:val="FF0000"/>
                <w:sz w:val="21"/>
                <w:szCs w:val="21"/>
              </w:rPr>
            </w:pPr>
          </w:p>
        </w:tc>
        <w:tc>
          <w:tcPr>
            <w:tcW w:w="217" w:type="dxa"/>
          </w:tcPr>
          <w:p w14:paraId="3264D845" w14:textId="77777777" w:rsidR="002C0FD9" w:rsidRPr="00CA25CF" w:rsidRDefault="002C0FD9" w:rsidP="00CA25CF">
            <w:pPr>
              <w:rPr>
                <w:rFonts w:cs="Arial"/>
                <w:color w:val="FF0000"/>
                <w:sz w:val="21"/>
                <w:szCs w:val="21"/>
              </w:rPr>
            </w:pPr>
          </w:p>
        </w:tc>
        <w:tc>
          <w:tcPr>
            <w:tcW w:w="217" w:type="dxa"/>
          </w:tcPr>
          <w:p w14:paraId="61C99473" w14:textId="77777777" w:rsidR="002C0FD9" w:rsidRPr="00CA25CF" w:rsidRDefault="002C0FD9" w:rsidP="00CA25CF">
            <w:pPr>
              <w:rPr>
                <w:rFonts w:cs="Arial"/>
                <w:color w:val="FF0000"/>
                <w:sz w:val="21"/>
                <w:szCs w:val="21"/>
              </w:rPr>
            </w:pPr>
          </w:p>
        </w:tc>
        <w:tc>
          <w:tcPr>
            <w:tcW w:w="217" w:type="dxa"/>
          </w:tcPr>
          <w:p w14:paraId="0D50E143" w14:textId="77777777" w:rsidR="002C0FD9" w:rsidRPr="00CA25CF" w:rsidRDefault="002C0FD9" w:rsidP="00CA25CF">
            <w:pPr>
              <w:rPr>
                <w:rFonts w:cs="Arial"/>
                <w:color w:val="FF0000"/>
                <w:sz w:val="21"/>
                <w:szCs w:val="21"/>
              </w:rPr>
            </w:pPr>
          </w:p>
        </w:tc>
        <w:tc>
          <w:tcPr>
            <w:tcW w:w="217" w:type="dxa"/>
          </w:tcPr>
          <w:p w14:paraId="72DE86E0" w14:textId="77777777" w:rsidR="002C0FD9" w:rsidRPr="00CA25CF" w:rsidRDefault="002C0FD9" w:rsidP="00CA25CF">
            <w:pPr>
              <w:rPr>
                <w:rFonts w:cs="Arial"/>
                <w:color w:val="FF0000"/>
                <w:sz w:val="21"/>
                <w:szCs w:val="21"/>
              </w:rPr>
            </w:pPr>
          </w:p>
        </w:tc>
        <w:tc>
          <w:tcPr>
            <w:tcW w:w="217" w:type="dxa"/>
          </w:tcPr>
          <w:p w14:paraId="5DE940C6" w14:textId="77777777" w:rsidR="002C0FD9" w:rsidRPr="00CA25CF" w:rsidRDefault="002C0FD9" w:rsidP="00CA25CF">
            <w:pPr>
              <w:rPr>
                <w:rFonts w:cs="Arial"/>
                <w:color w:val="FF0000"/>
                <w:sz w:val="21"/>
                <w:szCs w:val="21"/>
              </w:rPr>
            </w:pPr>
          </w:p>
        </w:tc>
        <w:tc>
          <w:tcPr>
            <w:tcW w:w="217" w:type="dxa"/>
          </w:tcPr>
          <w:p w14:paraId="5866E071" w14:textId="77777777" w:rsidR="002C0FD9" w:rsidRPr="00CA25CF" w:rsidRDefault="002C0FD9" w:rsidP="00CA25CF">
            <w:pPr>
              <w:rPr>
                <w:rFonts w:cs="Arial"/>
                <w:color w:val="FF0000"/>
                <w:sz w:val="21"/>
                <w:szCs w:val="21"/>
              </w:rPr>
            </w:pPr>
          </w:p>
        </w:tc>
        <w:tc>
          <w:tcPr>
            <w:tcW w:w="217" w:type="dxa"/>
          </w:tcPr>
          <w:p w14:paraId="7DBD3A32" w14:textId="77777777" w:rsidR="002C0FD9" w:rsidRPr="00CA25CF" w:rsidRDefault="002C0FD9" w:rsidP="00CA25CF">
            <w:pPr>
              <w:rPr>
                <w:rFonts w:cs="Arial"/>
                <w:color w:val="FF0000"/>
                <w:sz w:val="21"/>
                <w:szCs w:val="21"/>
              </w:rPr>
            </w:pPr>
          </w:p>
        </w:tc>
        <w:tc>
          <w:tcPr>
            <w:tcW w:w="217" w:type="dxa"/>
          </w:tcPr>
          <w:p w14:paraId="5F6E86A0" w14:textId="77777777" w:rsidR="002C0FD9" w:rsidRPr="00CA25CF" w:rsidRDefault="002C0FD9" w:rsidP="00CA25CF">
            <w:pPr>
              <w:rPr>
                <w:rFonts w:cs="Arial"/>
                <w:color w:val="FF0000"/>
                <w:sz w:val="21"/>
                <w:szCs w:val="21"/>
              </w:rPr>
            </w:pPr>
          </w:p>
        </w:tc>
      </w:tr>
      <w:tr w:rsidR="002C0FD9" w:rsidRPr="00A16219" w14:paraId="0B753355" w14:textId="77777777" w:rsidTr="002C0FD9">
        <w:trPr>
          <w:trHeight w:val="635"/>
        </w:trPr>
        <w:tc>
          <w:tcPr>
            <w:tcW w:w="515" w:type="dxa"/>
          </w:tcPr>
          <w:p w14:paraId="709C66C3" w14:textId="77777777" w:rsidR="002C0FD9" w:rsidRPr="00CA25CF" w:rsidRDefault="002C0FD9" w:rsidP="00CA25CF">
            <w:pPr>
              <w:rPr>
                <w:rFonts w:cs="Arial"/>
                <w:color w:val="FF0000"/>
                <w:sz w:val="21"/>
                <w:szCs w:val="21"/>
              </w:rPr>
            </w:pPr>
          </w:p>
        </w:tc>
        <w:tc>
          <w:tcPr>
            <w:tcW w:w="217" w:type="dxa"/>
          </w:tcPr>
          <w:p w14:paraId="3B1F2CF8" w14:textId="77777777" w:rsidR="002C0FD9" w:rsidRPr="00CA25CF" w:rsidRDefault="002C0FD9" w:rsidP="00CA25CF">
            <w:pPr>
              <w:rPr>
                <w:rFonts w:cs="Arial"/>
                <w:color w:val="FF0000"/>
                <w:sz w:val="21"/>
                <w:szCs w:val="21"/>
              </w:rPr>
            </w:pPr>
          </w:p>
        </w:tc>
        <w:tc>
          <w:tcPr>
            <w:tcW w:w="217" w:type="dxa"/>
          </w:tcPr>
          <w:p w14:paraId="360CEFC0" w14:textId="77777777" w:rsidR="002C0FD9" w:rsidRPr="00CA25CF" w:rsidRDefault="002C0FD9" w:rsidP="00CA25CF">
            <w:pPr>
              <w:rPr>
                <w:rFonts w:cs="Arial"/>
                <w:color w:val="FF0000"/>
                <w:sz w:val="21"/>
                <w:szCs w:val="21"/>
              </w:rPr>
            </w:pPr>
          </w:p>
        </w:tc>
        <w:tc>
          <w:tcPr>
            <w:tcW w:w="217" w:type="dxa"/>
          </w:tcPr>
          <w:p w14:paraId="2956616F" w14:textId="77777777" w:rsidR="002C0FD9" w:rsidRPr="00CA25CF" w:rsidRDefault="002C0FD9" w:rsidP="00CA25CF">
            <w:pPr>
              <w:rPr>
                <w:rFonts w:cs="Arial"/>
                <w:color w:val="FF0000"/>
                <w:sz w:val="21"/>
                <w:szCs w:val="21"/>
              </w:rPr>
            </w:pPr>
          </w:p>
        </w:tc>
        <w:tc>
          <w:tcPr>
            <w:tcW w:w="217" w:type="dxa"/>
          </w:tcPr>
          <w:p w14:paraId="71E49A24" w14:textId="77777777" w:rsidR="002C0FD9" w:rsidRPr="00CA25CF" w:rsidRDefault="002C0FD9" w:rsidP="00CA25CF">
            <w:pPr>
              <w:rPr>
                <w:rFonts w:cs="Arial"/>
                <w:color w:val="FF0000"/>
                <w:sz w:val="21"/>
                <w:szCs w:val="21"/>
              </w:rPr>
            </w:pPr>
          </w:p>
        </w:tc>
        <w:tc>
          <w:tcPr>
            <w:tcW w:w="217" w:type="dxa"/>
          </w:tcPr>
          <w:p w14:paraId="69FA4778" w14:textId="77777777" w:rsidR="002C0FD9" w:rsidRPr="00CA25CF" w:rsidRDefault="002C0FD9" w:rsidP="00CA25CF">
            <w:pPr>
              <w:rPr>
                <w:rFonts w:cs="Arial"/>
                <w:color w:val="FF0000"/>
                <w:sz w:val="21"/>
                <w:szCs w:val="21"/>
              </w:rPr>
            </w:pPr>
          </w:p>
        </w:tc>
        <w:tc>
          <w:tcPr>
            <w:tcW w:w="217" w:type="dxa"/>
          </w:tcPr>
          <w:p w14:paraId="4194B21E" w14:textId="77777777" w:rsidR="002C0FD9" w:rsidRPr="00CA25CF" w:rsidRDefault="002C0FD9" w:rsidP="00CA25CF">
            <w:pPr>
              <w:rPr>
                <w:rFonts w:cs="Arial"/>
                <w:color w:val="FF0000"/>
                <w:sz w:val="21"/>
                <w:szCs w:val="21"/>
              </w:rPr>
            </w:pPr>
          </w:p>
        </w:tc>
        <w:tc>
          <w:tcPr>
            <w:tcW w:w="217" w:type="dxa"/>
          </w:tcPr>
          <w:p w14:paraId="0081F57B" w14:textId="77777777" w:rsidR="002C0FD9" w:rsidRPr="00CA25CF" w:rsidRDefault="002C0FD9" w:rsidP="00CA25CF">
            <w:pPr>
              <w:rPr>
                <w:rFonts w:cs="Arial"/>
                <w:color w:val="FF0000"/>
                <w:sz w:val="21"/>
                <w:szCs w:val="21"/>
              </w:rPr>
            </w:pPr>
          </w:p>
        </w:tc>
        <w:tc>
          <w:tcPr>
            <w:tcW w:w="217" w:type="dxa"/>
          </w:tcPr>
          <w:p w14:paraId="14B3153A" w14:textId="77777777" w:rsidR="002C0FD9" w:rsidRPr="00CA25CF" w:rsidRDefault="002C0FD9" w:rsidP="00CA25CF">
            <w:pPr>
              <w:rPr>
                <w:rFonts w:cs="Arial"/>
                <w:color w:val="FF0000"/>
                <w:sz w:val="21"/>
                <w:szCs w:val="21"/>
              </w:rPr>
            </w:pPr>
          </w:p>
        </w:tc>
        <w:tc>
          <w:tcPr>
            <w:tcW w:w="217" w:type="dxa"/>
          </w:tcPr>
          <w:p w14:paraId="354205A0" w14:textId="77777777" w:rsidR="002C0FD9" w:rsidRPr="00CA25CF" w:rsidRDefault="002C0FD9" w:rsidP="00CA25CF">
            <w:pPr>
              <w:rPr>
                <w:rFonts w:cs="Arial"/>
                <w:color w:val="FF0000"/>
                <w:sz w:val="21"/>
                <w:szCs w:val="21"/>
              </w:rPr>
            </w:pPr>
          </w:p>
        </w:tc>
        <w:tc>
          <w:tcPr>
            <w:tcW w:w="217" w:type="dxa"/>
          </w:tcPr>
          <w:p w14:paraId="40DE88E7" w14:textId="77777777" w:rsidR="002C0FD9" w:rsidRPr="00CA25CF" w:rsidRDefault="002C0FD9" w:rsidP="00CA25CF">
            <w:pPr>
              <w:rPr>
                <w:rFonts w:cs="Arial"/>
                <w:color w:val="FF0000"/>
                <w:sz w:val="21"/>
                <w:szCs w:val="21"/>
              </w:rPr>
            </w:pPr>
          </w:p>
        </w:tc>
        <w:tc>
          <w:tcPr>
            <w:tcW w:w="217" w:type="dxa"/>
          </w:tcPr>
          <w:p w14:paraId="3436E9D6" w14:textId="77777777" w:rsidR="002C0FD9" w:rsidRPr="00CA25CF" w:rsidRDefault="002C0FD9" w:rsidP="00CA25CF">
            <w:pPr>
              <w:rPr>
                <w:rFonts w:cs="Arial"/>
                <w:color w:val="FF0000"/>
                <w:sz w:val="21"/>
                <w:szCs w:val="21"/>
              </w:rPr>
            </w:pPr>
          </w:p>
        </w:tc>
        <w:tc>
          <w:tcPr>
            <w:tcW w:w="217" w:type="dxa"/>
          </w:tcPr>
          <w:p w14:paraId="39B585CB" w14:textId="77777777" w:rsidR="002C0FD9" w:rsidRPr="00CA25CF" w:rsidRDefault="002C0FD9" w:rsidP="00CA25CF">
            <w:pPr>
              <w:rPr>
                <w:rFonts w:cs="Arial"/>
                <w:color w:val="FF0000"/>
                <w:sz w:val="21"/>
                <w:szCs w:val="21"/>
              </w:rPr>
            </w:pPr>
          </w:p>
        </w:tc>
        <w:tc>
          <w:tcPr>
            <w:tcW w:w="217" w:type="dxa"/>
          </w:tcPr>
          <w:p w14:paraId="03DA886D" w14:textId="77777777" w:rsidR="002C0FD9" w:rsidRPr="00CA25CF" w:rsidRDefault="002C0FD9" w:rsidP="00CA25CF">
            <w:pPr>
              <w:rPr>
                <w:rFonts w:cs="Arial"/>
                <w:color w:val="FF0000"/>
                <w:sz w:val="21"/>
                <w:szCs w:val="21"/>
              </w:rPr>
            </w:pPr>
          </w:p>
        </w:tc>
        <w:tc>
          <w:tcPr>
            <w:tcW w:w="217" w:type="dxa"/>
          </w:tcPr>
          <w:p w14:paraId="71B0829B" w14:textId="77777777" w:rsidR="002C0FD9" w:rsidRPr="00CA25CF" w:rsidRDefault="002C0FD9" w:rsidP="00CA25CF">
            <w:pPr>
              <w:rPr>
                <w:rFonts w:cs="Arial"/>
                <w:color w:val="FF0000"/>
                <w:sz w:val="21"/>
                <w:szCs w:val="21"/>
              </w:rPr>
            </w:pPr>
          </w:p>
        </w:tc>
        <w:tc>
          <w:tcPr>
            <w:tcW w:w="217" w:type="dxa"/>
          </w:tcPr>
          <w:p w14:paraId="1B8F5951" w14:textId="77777777" w:rsidR="002C0FD9" w:rsidRPr="00CA25CF" w:rsidRDefault="002C0FD9" w:rsidP="00CA25CF">
            <w:pPr>
              <w:rPr>
                <w:rFonts w:cs="Arial"/>
                <w:color w:val="FF0000"/>
                <w:sz w:val="21"/>
                <w:szCs w:val="21"/>
              </w:rPr>
            </w:pPr>
          </w:p>
        </w:tc>
        <w:tc>
          <w:tcPr>
            <w:tcW w:w="217" w:type="dxa"/>
          </w:tcPr>
          <w:p w14:paraId="65622634" w14:textId="77777777" w:rsidR="002C0FD9" w:rsidRPr="00CA25CF" w:rsidRDefault="002C0FD9" w:rsidP="00CA25CF">
            <w:pPr>
              <w:rPr>
                <w:rFonts w:cs="Arial"/>
                <w:color w:val="FF0000"/>
                <w:sz w:val="21"/>
                <w:szCs w:val="21"/>
              </w:rPr>
            </w:pPr>
          </w:p>
        </w:tc>
        <w:tc>
          <w:tcPr>
            <w:tcW w:w="217" w:type="dxa"/>
          </w:tcPr>
          <w:p w14:paraId="0160986C" w14:textId="77777777" w:rsidR="002C0FD9" w:rsidRPr="00CA25CF" w:rsidRDefault="002C0FD9" w:rsidP="00CA25CF">
            <w:pPr>
              <w:rPr>
                <w:rFonts w:cs="Arial"/>
                <w:color w:val="FF0000"/>
                <w:sz w:val="21"/>
                <w:szCs w:val="21"/>
              </w:rPr>
            </w:pPr>
          </w:p>
        </w:tc>
        <w:tc>
          <w:tcPr>
            <w:tcW w:w="217" w:type="dxa"/>
          </w:tcPr>
          <w:p w14:paraId="71C4208D" w14:textId="77777777" w:rsidR="002C0FD9" w:rsidRPr="00CA25CF" w:rsidRDefault="002C0FD9" w:rsidP="00CA25CF">
            <w:pPr>
              <w:rPr>
                <w:rFonts w:cs="Arial"/>
                <w:color w:val="FF0000"/>
                <w:sz w:val="21"/>
                <w:szCs w:val="21"/>
              </w:rPr>
            </w:pPr>
          </w:p>
        </w:tc>
        <w:tc>
          <w:tcPr>
            <w:tcW w:w="217" w:type="dxa"/>
          </w:tcPr>
          <w:p w14:paraId="0C21BFB5" w14:textId="77777777" w:rsidR="002C0FD9" w:rsidRPr="00CA25CF" w:rsidRDefault="002C0FD9" w:rsidP="00CA25CF">
            <w:pPr>
              <w:rPr>
                <w:rFonts w:cs="Arial"/>
                <w:color w:val="FF0000"/>
                <w:sz w:val="21"/>
                <w:szCs w:val="21"/>
              </w:rPr>
            </w:pPr>
          </w:p>
        </w:tc>
        <w:tc>
          <w:tcPr>
            <w:tcW w:w="217" w:type="dxa"/>
          </w:tcPr>
          <w:p w14:paraId="05C432C9" w14:textId="77777777" w:rsidR="002C0FD9" w:rsidRPr="00CA25CF" w:rsidRDefault="002C0FD9" w:rsidP="00CA25CF">
            <w:pPr>
              <w:rPr>
                <w:rFonts w:cs="Arial"/>
                <w:color w:val="FF0000"/>
                <w:sz w:val="21"/>
                <w:szCs w:val="21"/>
              </w:rPr>
            </w:pPr>
          </w:p>
        </w:tc>
        <w:tc>
          <w:tcPr>
            <w:tcW w:w="217" w:type="dxa"/>
          </w:tcPr>
          <w:p w14:paraId="52DD0D0E" w14:textId="77777777" w:rsidR="002C0FD9" w:rsidRPr="00CA25CF" w:rsidRDefault="002C0FD9" w:rsidP="00CA25CF">
            <w:pPr>
              <w:rPr>
                <w:rFonts w:cs="Arial"/>
                <w:color w:val="FF0000"/>
                <w:sz w:val="21"/>
                <w:szCs w:val="21"/>
              </w:rPr>
            </w:pPr>
          </w:p>
        </w:tc>
        <w:tc>
          <w:tcPr>
            <w:tcW w:w="217" w:type="dxa"/>
          </w:tcPr>
          <w:p w14:paraId="054AA93B" w14:textId="77777777" w:rsidR="002C0FD9" w:rsidRPr="00CA25CF" w:rsidRDefault="002C0FD9" w:rsidP="00CA25CF">
            <w:pPr>
              <w:rPr>
                <w:rFonts w:cs="Arial"/>
                <w:color w:val="FF0000"/>
                <w:sz w:val="21"/>
                <w:szCs w:val="21"/>
              </w:rPr>
            </w:pPr>
          </w:p>
        </w:tc>
        <w:tc>
          <w:tcPr>
            <w:tcW w:w="217" w:type="dxa"/>
          </w:tcPr>
          <w:p w14:paraId="1C4AF96D" w14:textId="77777777" w:rsidR="002C0FD9" w:rsidRPr="00CA25CF" w:rsidRDefault="002C0FD9" w:rsidP="00CA25CF">
            <w:pPr>
              <w:rPr>
                <w:rFonts w:cs="Arial"/>
                <w:color w:val="FF0000"/>
                <w:sz w:val="21"/>
                <w:szCs w:val="21"/>
              </w:rPr>
            </w:pPr>
          </w:p>
        </w:tc>
        <w:tc>
          <w:tcPr>
            <w:tcW w:w="217" w:type="dxa"/>
          </w:tcPr>
          <w:p w14:paraId="034F9EE5" w14:textId="77777777" w:rsidR="002C0FD9" w:rsidRPr="00CA25CF" w:rsidRDefault="002C0FD9" w:rsidP="00CA25CF">
            <w:pPr>
              <w:rPr>
                <w:rFonts w:cs="Arial"/>
                <w:color w:val="FF0000"/>
                <w:sz w:val="21"/>
                <w:szCs w:val="21"/>
              </w:rPr>
            </w:pPr>
          </w:p>
        </w:tc>
        <w:tc>
          <w:tcPr>
            <w:tcW w:w="217" w:type="dxa"/>
          </w:tcPr>
          <w:p w14:paraId="208F77EF" w14:textId="77777777" w:rsidR="002C0FD9" w:rsidRPr="00CA25CF" w:rsidRDefault="002C0FD9" w:rsidP="00CA25CF">
            <w:pPr>
              <w:rPr>
                <w:rFonts w:cs="Arial"/>
                <w:color w:val="FF0000"/>
                <w:sz w:val="21"/>
                <w:szCs w:val="21"/>
              </w:rPr>
            </w:pPr>
          </w:p>
        </w:tc>
        <w:tc>
          <w:tcPr>
            <w:tcW w:w="217" w:type="dxa"/>
          </w:tcPr>
          <w:p w14:paraId="3AF8BCE8" w14:textId="77777777" w:rsidR="002C0FD9" w:rsidRPr="00CA25CF" w:rsidRDefault="002C0FD9" w:rsidP="00CA25CF">
            <w:pPr>
              <w:rPr>
                <w:rFonts w:cs="Arial"/>
                <w:color w:val="FF0000"/>
                <w:sz w:val="21"/>
                <w:szCs w:val="21"/>
              </w:rPr>
            </w:pPr>
          </w:p>
        </w:tc>
        <w:tc>
          <w:tcPr>
            <w:tcW w:w="217" w:type="dxa"/>
          </w:tcPr>
          <w:p w14:paraId="7373D9C8" w14:textId="77777777" w:rsidR="002C0FD9" w:rsidRPr="00CA25CF" w:rsidRDefault="002C0FD9" w:rsidP="00CA25CF">
            <w:pPr>
              <w:rPr>
                <w:rFonts w:cs="Arial"/>
                <w:color w:val="FF0000"/>
                <w:sz w:val="21"/>
                <w:szCs w:val="21"/>
              </w:rPr>
            </w:pPr>
          </w:p>
        </w:tc>
        <w:tc>
          <w:tcPr>
            <w:tcW w:w="217" w:type="dxa"/>
          </w:tcPr>
          <w:p w14:paraId="3E76D521" w14:textId="77777777" w:rsidR="002C0FD9" w:rsidRPr="00CA25CF" w:rsidRDefault="002C0FD9" w:rsidP="00CA25CF">
            <w:pPr>
              <w:rPr>
                <w:rFonts w:cs="Arial"/>
                <w:color w:val="FF0000"/>
                <w:sz w:val="21"/>
                <w:szCs w:val="21"/>
              </w:rPr>
            </w:pPr>
          </w:p>
        </w:tc>
        <w:tc>
          <w:tcPr>
            <w:tcW w:w="217" w:type="dxa"/>
          </w:tcPr>
          <w:p w14:paraId="6FDB160C" w14:textId="77777777" w:rsidR="002C0FD9" w:rsidRPr="00CA25CF" w:rsidRDefault="002C0FD9" w:rsidP="00CA25CF">
            <w:pPr>
              <w:rPr>
                <w:rFonts w:cs="Arial"/>
                <w:color w:val="FF0000"/>
                <w:sz w:val="21"/>
                <w:szCs w:val="21"/>
              </w:rPr>
            </w:pPr>
          </w:p>
        </w:tc>
        <w:tc>
          <w:tcPr>
            <w:tcW w:w="217" w:type="dxa"/>
          </w:tcPr>
          <w:p w14:paraId="42E9BA01" w14:textId="77777777" w:rsidR="002C0FD9" w:rsidRPr="00CA25CF" w:rsidRDefault="002C0FD9" w:rsidP="00CA25CF">
            <w:pPr>
              <w:rPr>
                <w:rFonts w:cs="Arial"/>
                <w:color w:val="FF0000"/>
                <w:sz w:val="21"/>
                <w:szCs w:val="21"/>
              </w:rPr>
            </w:pPr>
          </w:p>
        </w:tc>
        <w:tc>
          <w:tcPr>
            <w:tcW w:w="217" w:type="dxa"/>
          </w:tcPr>
          <w:p w14:paraId="1B918491" w14:textId="77777777" w:rsidR="002C0FD9" w:rsidRPr="00CA25CF" w:rsidRDefault="002C0FD9" w:rsidP="00CA25CF">
            <w:pPr>
              <w:rPr>
                <w:rFonts w:cs="Arial"/>
                <w:color w:val="FF0000"/>
                <w:sz w:val="21"/>
                <w:szCs w:val="21"/>
              </w:rPr>
            </w:pPr>
          </w:p>
        </w:tc>
        <w:tc>
          <w:tcPr>
            <w:tcW w:w="217" w:type="dxa"/>
          </w:tcPr>
          <w:p w14:paraId="38977E1A" w14:textId="77777777" w:rsidR="002C0FD9" w:rsidRPr="00CA25CF" w:rsidRDefault="002C0FD9" w:rsidP="00CA25CF">
            <w:pPr>
              <w:rPr>
                <w:rFonts w:cs="Arial"/>
                <w:color w:val="FF0000"/>
                <w:sz w:val="21"/>
                <w:szCs w:val="21"/>
              </w:rPr>
            </w:pPr>
          </w:p>
        </w:tc>
        <w:tc>
          <w:tcPr>
            <w:tcW w:w="217" w:type="dxa"/>
          </w:tcPr>
          <w:p w14:paraId="26CD739A" w14:textId="77777777" w:rsidR="002C0FD9" w:rsidRPr="00CA25CF" w:rsidRDefault="002C0FD9" w:rsidP="00CA25CF">
            <w:pPr>
              <w:rPr>
                <w:rFonts w:cs="Arial"/>
                <w:color w:val="FF0000"/>
                <w:sz w:val="21"/>
                <w:szCs w:val="21"/>
              </w:rPr>
            </w:pPr>
          </w:p>
        </w:tc>
        <w:tc>
          <w:tcPr>
            <w:tcW w:w="217" w:type="dxa"/>
          </w:tcPr>
          <w:p w14:paraId="32D8B1B7" w14:textId="77777777" w:rsidR="002C0FD9" w:rsidRPr="00CA25CF" w:rsidRDefault="002C0FD9" w:rsidP="00CA25CF">
            <w:pPr>
              <w:rPr>
                <w:rFonts w:cs="Arial"/>
                <w:color w:val="FF0000"/>
                <w:sz w:val="21"/>
                <w:szCs w:val="21"/>
              </w:rPr>
            </w:pPr>
          </w:p>
        </w:tc>
        <w:tc>
          <w:tcPr>
            <w:tcW w:w="217" w:type="dxa"/>
          </w:tcPr>
          <w:p w14:paraId="3E2679FF" w14:textId="77777777" w:rsidR="002C0FD9" w:rsidRPr="00CA25CF" w:rsidRDefault="002C0FD9" w:rsidP="00CA25CF">
            <w:pPr>
              <w:rPr>
                <w:rFonts w:cs="Arial"/>
                <w:color w:val="FF0000"/>
                <w:sz w:val="21"/>
                <w:szCs w:val="21"/>
              </w:rPr>
            </w:pPr>
          </w:p>
        </w:tc>
        <w:tc>
          <w:tcPr>
            <w:tcW w:w="217" w:type="dxa"/>
          </w:tcPr>
          <w:p w14:paraId="6522EE2C" w14:textId="77777777" w:rsidR="002C0FD9" w:rsidRPr="00CA25CF" w:rsidRDefault="002C0FD9" w:rsidP="00CA25CF">
            <w:pPr>
              <w:rPr>
                <w:rFonts w:cs="Arial"/>
                <w:color w:val="FF0000"/>
                <w:sz w:val="21"/>
                <w:szCs w:val="21"/>
              </w:rPr>
            </w:pPr>
          </w:p>
        </w:tc>
        <w:tc>
          <w:tcPr>
            <w:tcW w:w="217" w:type="dxa"/>
          </w:tcPr>
          <w:p w14:paraId="0817F337" w14:textId="77777777" w:rsidR="002C0FD9" w:rsidRPr="00CA25CF" w:rsidRDefault="002C0FD9" w:rsidP="00CA25CF">
            <w:pPr>
              <w:rPr>
                <w:rFonts w:cs="Arial"/>
                <w:color w:val="FF0000"/>
                <w:sz w:val="21"/>
                <w:szCs w:val="21"/>
              </w:rPr>
            </w:pPr>
          </w:p>
        </w:tc>
        <w:tc>
          <w:tcPr>
            <w:tcW w:w="217" w:type="dxa"/>
          </w:tcPr>
          <w:p w14:paraId="19DA47AB" w14:textId="77777777" w:rsidR="002C0FD9" w:rsidRPr="00CA25CF" w:rsidRDefault="002C0FD9" w:rsidP="00CA25CF">
            <w:pPr>
              <w:rPr>
                <w:rFonts w:cs="Arial"/>
                <w:color w:val="FF0000"/>
                <w:sz w:val="21"/>
                <w:szCs w:val="21"/>
              </w:rPr>
            </w:pPr>
          </w:p>
        </w:tc>
        <w:tc>
          <w:tcPr>
            <w:tcW w:w="217" w:type="dxa"/>
          </w:tcPr>
          <w:p w14:paraId="65FC37EC" w14:textId="77777777" w:rsidR="002C0FD9" w:rsidRPr="00CA25CF" w:rsidRDefault="002C0FD9" w:rsidP="00CA25CF">
            <w:pPr>
              <w:rPr>
                <w:rFonts w:cs="Arial"/>
                <w:color w:val="FF0000"/>
                <w:sz w:val="21"/>
                <w:szCs w:val="21"/>
              </w:rPr>
            </w:pPr>
          </w:p>
        </w:tc>
        <w:tc>
          <w:tcPr>
            <w:tcW w:w="217" w:type="dxa"/>
          </w:tcPr>
          <w:p w14:paraId="17FA398B" w14:textId="77777777" w:rsidR="002C0FD9" w:rsidRPr="00CA25CF" w:rsidRDefault="002C0FD9" w:rsidP="00CA25CF">
            <w:pPr>
              <w:rPr>
                <w:rFonts w:cs="Arial"/>
                <w:color w:val="FF0000"/>
                <w:sz w:val="21"/>
                <w:szCs w:val="21"/>
              </w:rPr>
            </w:pPr>
          </w:p>
        </w:tc>
        <w:tc>
          <w:tcPr>
            <w:tcW w:w="217" w:type="dxa"/>
          </w:tcPr>
          <w:p w14:paraId="757E570B" w14:textId="77777777" w:rsidR="002C0FD9" w:rsidRPr="00CA25CF" w:rsidRDefault="002C0FD9" w:rsidP="00CA25CF">
            <w:pPr>
              <w:rPr>
                <w:rFonts w:cs="Arial"/>
                <w:color w:val="FF0000"/>
                <w:sz w:val="21"/>
                <w:szCs w:val="21"/>
              </w:rPr>
            </w:pPr>
          </w:p>
        </w:tc>
        <w:tc>
          <w:tcPr>
            <w:tcW w:w="217" w:type="dxa"/>
          </w:tcPr>
          <w:p w14:paraId="0ADE4121" w14:textId="77777777" w:rsidR="002C0FD9" w:rsidRPr="00CA25CF" w:rsidRDefault="002C0FD9" w:rsidP="00CA25CF">
            <w:pPr>
              <w:rPr>
                <w:rFonts w:cs="Arial"/>
                <w:color w:val="FF0000"/>
                <w:sz w:val="21"/>
                <w:szCs w:val="21"/>
              </w:rPr>
            </w:pPr>
          </w:p>
        </w:tc>
      </w:tr>
      <w:tr w:rsidR="002C0FD9" w:rsidRPr="00A16219" w14:paraId="1C4E2900" w14:textId="77777777" w:rsidTr="002C0FD9">
        <w:trPr>
          <w:trHeight w:val="635"/>
        </w:trPr>
        <w:tc>
          <w:tcPr>
            <w:tcW w:w="515" w:type="dxa"/>
          </w:tcPr>
          <w:p w14:paraId="2A3EFB07" w14:textId="77777777" w:rsidR="002C0FD9" w:rsidRPr="00CA25CF" w:rsidRDefault="002C0FD9" w:rsidP="00CA25CF">
            <w:pPr>
              <w:rPr>
                <w:rFonts w:cs="Arial"/>
                <w:color w:val="FF0000"/>
                <w:sz w:val="21"/>
                <w:szCs w:val="21"/>
              </w:rPr>
            </w:pPr>
          </w:p>
        </w:tc>
        <w:tc>
          <w:tcPr>
            <w:tcW w:w="217" w:type="dxa"/>
          </w:tcPr>
          <w:p w14:paraId="4D310965" w14:textId="77777777" w:rsidR="002C0FD9" w:rsidRPr="00CA25CF" w:rsidRDefault="002C0FD9" w:rsidP="00CA25CF">
            <w:pPr>
              <w:rPr>
                <w:rFonts w:cs="Arial"/>
                <w:color w:val="FF0000"/>
                <w:sz w:val="21"/>
                <w:szCs w:val="21"/>
              </w:rPr>
            </w:pPr>
          </w:p>
        </w:tc>
        <w:tc>
          <w:tcPr>
            <w:tcW w:w="217" w:type="dxa"/>
          </w:tcPr>
          <w:p w14:paraId="6D4236F7" w14:textId="77777777" w:rsidR="002C0FD9" w:rsidRPr="00CA25CF" w:rsidRDefault="002C0FD9" w:rsidP="00CA25CF">
            <w:pPr>
              <w:rPr>
                <w:rFonts w:cs="Arial"/>
                <w:color w:val="FF0000"/>
                <w:sz w:val="21"/>
                <w:szCs w:val="21"/>
              </w:rPr>
            </w:pPr>
          </w:p>
        </w:tc>
        <w:tc>
          <w:tcPr>
            <w:tcW w:w="217" w:type="dxa"/>
          </w:tcPr>
          <w:p w14:paraId="20438251" w14:textId="77777777" w:rsidR="002C0FD9" w:rsidRPr="00CA25CF" w:rsidRDefault="002C0FD9" w:rsidP="00CA25CF">
            <w:pPr>
              <w:rPr>
                <w:rFonts w:cs="Arial"/>
                <w:color w:val="FF0000"/>
                <w:sz w:val="21"/>
                <w:szCs w:val="21"/>
              </w:rPr>
            </w:pPr>
          </w:p>
        </w:tc>
        <w:tc>
          <w:tcPr>
            <w:tcW w:w="217" w:type="dxa"/>
          </w:tcPr>
          <w:p w14:paraId="58EB1625" w14:textId="77777777" w:rsidR="002C0FD9" w:rsidRPr="00CA25CF" w:rsidRDefault="002C0FD9" w:rsidP="00CA25CF">
            <w:pPr>
              <w:rPr>
                <w:rFonts w:cs="Arial"/>
                <w:color w:val="FF0000"/>
                <w:sz w:val="21"/>
                <w:szCs w:val="21"/>
              </w:rPr>
            </w:pPr>
          </w:p>
        </w:tc>
        <w:tc>
          <w:tcPr>
            <w:tcW w:w="217" w:type="dxa"/>
          </w:tcPr>
          <w:p w14:paraId="4DBD7689" w14:textId="77777777" w:rsidR="002C0FD9" w:rsidRPr="00CA25CF" w:rsidRDefault="002C0FD9" w:rsidP="00CA25CF">
            <w:pPr>
              <w:rPr>
                <w:rFonts w:cs="Arial"/>
                <w:color w:val="FF0000"/>
                <w:sz w:val="21"/>
                <w:szCs w:val="21"/>
              </w:rPr>
            </w:pPr>
          </w:p>
        </w:tc>
        <w:tc>
          <w:tcPr>
            <w:tcW w:w="217" w:type="dxa"/>
          </w:tcPr>
          <w:p w14:paraId="78795197" w14:textId="77777777" w:rsidR="002C0FD9" w:rsidRPr="00CA25CF" w:rsidRDefault="002C0FD9" w:rsidP="00CA25CF">
            <w:pPr>
              <w:rPr>
                <w:rFonts w:cs="Arial"/>
                <w:color w:val="FF0000"/>
                <w:sz w:val="21"/>
                <w:szCs w:val="21"/>
              </w:rPr>
            </w:pPr>
          </w:p>
        </w:tc>
        <w:tc>
          <w:tcPr>
            <w:tcW w:w="217" w:type="dxa"/>
          </w:tcPr>
          <w:p w14:paraId="613BF64E" w14:textId="77777777" w:rsidR="002C0FD9" w:rsidRPr="00CA25CF" w:rsidRDefault="002C0FD9" w:rsidP="00CA25CF">
            <w:pPr>
              <w:rPr>
                <w:rFonts w:cs="Arial"/>
                <w:color w:val="FF0000"/>
                <w:sz w:val="21"/>
                <w:szCs w:val="21"/>
              </w:rPr>
            </w:pPr>
          </w:p>
        </w:tc>
        <w:tc>
          <w:tcPr>
            <w:tcW w:w="217" w:type="dxa"/>
          </w:tcPr>
          <w:p w14:paraId="5464F01E" w14:textId="77777777" w:rsidR="002C0FD9" w:rsidRPr="00CA25CF" w:rsidRDefault="002C0FD9" w:rsidP="00CA25CF">
            <w:pPr>
              <w:rPr>
                <w:rFonts w:cs="Arial"/>
                <w:color w:val="FF0000"/>
                <w:sz w:val="21"/>
                <w:szCs w:val="21"/>
              </w:rPr>
            </w:pPr>
          </w:p>
        </w:tc>
        <w:tc>
          <w:tcPr>
            <w:tcW w:w="217" w:type="dxa"/>
          </w:tcPr>
          <w:p w14:paraId="3F5C8A50" w14:textId="77777777" w:rsidR="002C0FD9" w:rsidRPr="00CA25CF" w:rsidRDefault="002C0FD9" w:rsidP="00CA25CF">
            <w:pPr>
              <w:rPr>
                <w:rFonts w:cs="Arial"/>
                <w:color w:val="FF0000"/>
                <w:sz w:val="21"/>
                <w:szCs w:val="21"/>
              </w:rPr>
            </w:pPr>
          </w:p>
        </w:tc>
        <w:tc>
          <w:tcPr>
            <w:tcW w:w="217" w:type="dxa"/>
          </w:tcPr>
          <w:p w14:paraId="5C32E99D" w14:textId="77777777" w:rsidR="002C0FD9" w:rsidRPr="00CA25CF" w:rsidRDefault="002C0FD9" w:rsidP="00CA25CF">
            <w:pPr>
              <w:rPr>
                <w:rFonts w:cs="Arial"/>
                <w:color w:val="FF0000"/>
                <w:sz w:val="21"/>
                <w:szCs w:val="21"/>
              </w:rPr>
            </w:pPr>
          </w:p>
        </w:tc>
        <w:tc>
          <w:tcPr>
            <w:tcW w:w="217" w:type="dxa"/>
          </w:tcPr>
          <w:p w14:paraId="283921F9" w14:textId="77777777" w:rsidR="002C0FD9" w:rsidRPr="00CA25CF" w:rsidRDefault="002C0FD9" w:rsidP="00CA25CF">
            <w:pPr>
              <w:rPr>
                <w:rFonts w:cs="Arial"/>
                <w:color w:val="FF0000"/>
                <w:sz w:val="21"/>
                <w:szCs w:val="21"/>
              </w:rPr>
            </w:pPr>
          </w:p>
        </w:tc>
        <w:tc>
          <w:tcPr>
            <w:tcW w:w="217" w:type="dxa"/>
          </w:tcPr>
          <w:p w14:paraId="32D9238D" w14:textId="77777777" w:rsidR="002C0FD9" w:rsidRPr="00CA25CF" w:rsidRDefault="002C0FD9" w:rsidP="00CA25CF">
            <w:pPr>
              <w:rPr>
                <w:rFonts w:cs="Arial"/>
                <w:color w:val="FF0000"/>
                <w:sz w:val="21"/>
                <w:szCs w:val="21"/>
              </w:rPr>
            </w:pPr>
          </w:p>
        </w:tc>
        <w:tc>
          <w:tcPr>
            <w:tcW w:w="217" w:type="dxa"/>
          </w:tcPr>
          <w:p w14:paraId="4F35A6BF" w14:textId="77777777" w:rsidR="002C0FD9" w:rsidRPr="00CA25CF" w:rsidRDefault="002C0FD9" w:rsidP="00CA25CF">
            <w:pPr>
              <w:rPr>
                <w:rFonts w:cs="Arial"/>
                <w:color w:val="FF0000"/>
                <w:sz w:val="21"/>
                <w:szCs w:val="21"/>
              </w:rPr>
            </w:pPr>
          </w:p>
        </w:tc>
        <w:tc>
          <w:tcPr>
            <w:tcW w:w="217" w:type="dxa"/>
          </w:tcPr>
          <w:p w14:paraId="584AD503" w14:textId="77777777" w:rsidR="002C0FD9" w:rsidRPr="00CA25CF" w:rsidRDefault="002C0FD9" w:rsidP="00CA25CF">
            <w:pPr>
              <w:rPr>
                <w:rFonts w:cs="Arial"/>
                <w:color w:val="FF0000"/>
                <w:sz w:val="21"/>
                <w:szCs w:val="21"/>
              </w:rPr>
            </w:pPr>
          </w:p>
        </w:tc>
        <w:tc>
          <w:tcPr>
            <w:tcW w:w="217" w:type="dxa"/>
          </w:tcPr>
          <w:p w14:paraId="49DAB5F2" w14:textId="77777777" w:rsidR="002C0FD9" w:rsidRPr="00CA25CF" w:rsidRDefault="002C0FD9" w:rsidP="00CA25CF">
            <w:pPr>
              <w:rPr>
                <w:rFonts w:cs="Arial"/>
                <w:color w:val="FF0000"/>
                <w:sz w:val="21"/>
                <w:szCs w:val="21"/>
              </w:rPr>
            </w:pPr>
          </w:p>
        </w:tc>
        <w:tc>
          <w:tcPr>
            <w:tcW w:w="217" w:type="dxa"/>
          </w:tcPr>
          <w:p w14:paraId="6682E74B" w14:textId="77777777" w:rsidR="002C0FD9" w:rsidRPr="00CA25CF" w:rsidRDefault="002C0FD9" w:rsidP="00CA25CF">
            <w:pPr>
              <w:rPr>
                <w:rFonts w:cs="Arial"/>
                <w:color w:val="FF0000"/>
                <w:sz w:val="21"/>
                <w:szCs w:val="21"/>
              </w:rPr>
            </w:pPr>
          </w:p>
        </w:tc>
        <w:tc>
          <w:tcPr>
            <w:tcW w:w="217" w:type="dxa"/>
          </w:tcPr>
          <w:p w14:paraId="46F0150B" w14:textId="77777777" w:rsidR="002C0FD9" w:rsidRPr="00CA25CF" w:rsidRDefault="002C0FD9" w:rsidP="00CA25CF">
            <w:pPr>
              <w:rPr>
                <w:rFonts w:cs="Arial"/>
                <w:color w:val="FF0000"/>
                <w:sz w:val="21"/>
                <w:szCs w:val="21"/>
              </w:rPr>
            </w:pPr>
          </w:p>
        </w:tc>
        <w:tc>
          <w:tcPr>
            <w:tcW w:w="217" w:type="dxa"/>
          </w:tcPr>
          <w:p w14:paraId="036416F3" w14:textId="77777777" w:rsidR="002C0FD9" w:rsidRPr="00CA25CF" w:rsidRDefault="002C0FD9" w:rsidP="00CA25CF">
            <w:pPr>
              <w:rPr>
                <w:rFonts w:cs="Arial"/>
                <w:color w:val="FF0000"/>
                <w:sz w:val="21"/>
                <w:szCs w:val="21"/>
              </w:rPr>
            </w:pPr>
          </w:p>
        </w:tc>
        <w:tc>
          <w:tcPr>
            <w:tcW w:w="217" w:type="dxa"/>
          </w:tcPr>
          <w:p w14:paraId="31D1147C" w14:textId="77777777" w:rsidR="002C0FD9" w:rsidRPr="00CA25CF" w:rsidRDefault="002C0FD9" w:rsidP="00CA25CF">
            <w:pPr>
              <w:rPr>
                <w:rFonts w:cs="Arial"/>
                <w:color w:val="FF0000"/>
                <w:sz w:val="21"/>
                <w:szCs w:val="21"/>
              </w:rPr>
            </w:pPr>
          </w:p>
        </w:tc>
        <w:tc>
          <w:tcPr>
            <w:tcW w:w="217" w:type="dxa"/>
          </w:tcPr>
          <w:p w14:paraId="3D0BB955" w14:textId="77777777" w:rsidR="002C0FD9" w:rsidRPr="00CA25CF" w:rsidRDefault="002C0FD9" w:rsidP="00CA25CF">
            <w:pPr>
              <w:rPr>
                <w:rFonts w:cs="Arial"/>
                <w:color w:val="FF0000"/>
                <w:sz w:val="21"/>
                <w:szCs w:val="21"/>
              </w:rPr>
            </w:pPr>
          </w:p>
        </w:tc>
        <w:tc>
          <w:tcPr>
            <w:tcW w:w="217" w:type="dxa"/>
          </w:tcPr>
          <w:p w14:paraId="05D1B505" w14:textId="77777777" w:rsidR="002C0FD9" w:rsidRPr="00CA25CF" w:rsidRDefault="002C0FD9" w:rsidP="00CA25CF">
            <w:pPr>
              <w:rPr>
                <w:rFonts w:cs="Arial"/>
                <w:color w:val="FF0000"/>
                <w:sz w:val="21"/>
                <w:szCs w:val="21"/>
              </w:rPr>
            </w:pPr>
          </w:p>
        </w:tc>
        <w:tc>
          <w:tcPr>
            <w:tcW w:w="217" w:type="dxa"/>
          </w:tcPr>
          <w:p w14:paraId="591A2AB3" w14:textId="77777777" w:rsidR="002C0FD9" w:rsidRPr="00CA25CF" w:rsidRDefault="002C0FD9" w:rsidP="00CA25CF">
            <w:pPr>
              <w:rPr>
                <w:rFonts w:cs="Arial"/>
                <w:color w:val="FF0000"/>
                <w:sz w:val="21"/>
                <w:szCs w:val="21"/>
              </w:rPr>
            </w:pPr>
          </w:p>
        </w:tc>
        <w:tc>
          <w:tcPr>
            <w:tcW w:w="217" w:type="dxa"/>
          </w:tcPr>
          <w:p w14:paraId="5BE50378" w14:textId="77777777" w:rsidR="002C0FD9" w:rsidRPr="00CA25CF" w:rsidRDefault="002C0FD9" w:rsidP="00CA25CF">
            <w:pPr>
              <w:rPr>
                <w:rFonts w:cs="Arial"/>
                <w:color w:val="FF0000"/>
                <w:sz w:val="21"/>
                <w:szCs w:val="21"/>
              </w:rPr>
            </w:pPr>
          </w:p>
        </w:tc>
        <w:tc>
          <w:tcPr>
            <w:tcW w:w="217" w:type="dxa"/>
          </w:tcPr>
          <w:p w14:paraId="7BC308C1" w14:textId="77777777" w:rsidR="002C0FD9" w:rsidRPr="00CA25CF" w:rsidRDefault="002C0FD9" w:rsidP="00CA25CF">
            <w:pPr>
              <w:rPr>
                <w:rFonts w:cs="Arial"/>
                <w:color w:val="FF0000"/>
                <w:sz w:val="21"/>
                <w:szCs w:val="21"/>
              </w:rPr>
            </w:pPr>
          </w:p>
        </w:tc>
        <w:tc>
          <w:tcPr>
            <w:tcW w:w="217" w:type="dxa"/>
          </w:tcPr>
          <w:p w14:paraId="0433BF1D" w14:textId="77777777" w:rsidR="002C0FD9" w:rsidRPr="00CA25CF" w:rsidRDefault="002C0FD9" w:rsidP="00CA25CF">
            <w:pPr>
              <w:rPr>
                <w:rFonts w:cs="Arial"/>
                <w:color w:val="FF0000"/>
                <w:sz w:val="21"/>
                <w:szCs w:val="21"/>
              </w:rPr>
            </w:pPr>
          </w:p>
        </w:tc>
        <w:tc>
          <w:tcPr>
            <w:tcW w:w="217" w:type="dxa"/>
          </w:tcPr>
          <w:p w14:paraId="50377DB2" w14:textId="77777777" w:rsidR="002C0FD9" w:rsidRPr="00CA25CF" w:rsidRDefault="002C0FD9" w:rsidP="00CA25CF">
            <w:pPr>
              <w:rPr>
                <w:rFonts w:cs="Arial"/>
                <w:color w:val="FF0000"/>
                <w:sz w:val="21"/>
                <w:szCs w:val="21"/>
              </w:rPr>
            </w:pPr>
          </w:p>
        </w:tc>
        <w:tc>
          <w:tcPr>
            <w:tcW w:w="217" w:type="dxa"/>
          </w:tcPr>
          <w:p w14:paraId="7BDDFE69" w14:textId="77777777" w:rsidR="002C0FD9" w:rsidRPr="00CA25CF" w:rsidRDefault="002C0FD9" w:rsidP="00CA25CF">
            <w:pPr>
              <w:rPr>
                <w:rFonts w:cs="Arial"/>
                <w:color w:val="FF0000"/>
                <w:sz w:val="21"/>
                <w:szCs w:val="21"/>
              </w:rPr>
            </w:pPr>
          </w:p>
        </w:tc>
        <w:tc>
          <w:tcPr>
            <w:tcW w:w="217" w:type="dxa"/>
          </w:tcPr>
          <w:p w14:paraId="0E75FFCD" w14:textId="77777777" w:rsidR="002C0FD9" w:rsidRPr="00CA25CF" w:rsidRDefault="002C0FD9" w:rsidP="00CA25CF">
            <w:pPr>
              <w:rPr>
                <w:rFonts w:cs="Arial"/>
                <w:color w:val="FF0000"/>
                <w:sz w:val="21"/>
                <w:szCs w:val="21"/>
              </w:rPr>
            </w:pPr>
          </w:p>
        </w:tc>
        <w:tc>
          <w:tcPr>
            <w:tcW w:w="217" w:type="dxa"/>
          </w:tcPr>
          <w:p w14:paraId="5FE32679" w14:textId="77777777" w:rsidR="002C0FD9" w:rsidRPr="00CA25CF" w:rsidRDefault="002C0FD9" w:rsidP="00CA25CF">
            <w:pPr>
              <w:rPr>
                <w:rFonts w:cs="Arial"/>
                <w:color w:val="FF0000"/>
                <w:sz w:val="21"/>
                <w:szCs w:val="21"/>
              </w:rPr>
            </w:pPr>
          </w:p>
        </w:tc>
        <w:tc>
          <w:tcPr>
            <w:tcW w:w="217" w:type="dxa"/>
          </w:tcPr>
          <w:p w14:paraId="2847E958" w14:textId="77777777" w:rsidR="002C0FD9" w:rsidRPr="00CA25CF" w:rsidRDefault="002C0FD9" w:rsidP="00CA25CF">
            <w:pPr>
              <w:rPr>
                <w:rFonts w:cs="Arial"/>
                <w:color w:val="FF0000"/>
                <w:sz w:val="21"/>
                <w:szCs w:val="21"/>
              </w:rPr>
            </w:pPr>
          </w:p>
        </w:tc>
        <w:tc>
          <w:tcPr>
            <w:tcW w:w="217" w:type="dxa"/>
          </w:tcPr>
          <w:p w14:paraId="69CF9255" w14:textId="77777777" w:rsidR="002C0FD9" w:rsidRPr="00CA25CF" w:rsidRDefault="002C0FD9" w:rsidP="00CA25CF">
            <w:pPr>
              <w:rPr>
                <w:rFonts w:cs="Arial"/>
                <w:color w:val="FF0000"/>
                <w:sz w:val="21"/>
                <w:szCs w:val="21"/>
              </w:rPr>
            </w:pPr>
          </w:p>
        </w:tc>
        <w:tc>
          <w:tcPr>
            <w:tcW w:w="217" w:type="dxa"/>
          </w:tcPr>
          <w:p w14:paraId="5B2DBE03" w14:textId="77777777" w:rsidR="002C0FD9" w:rsidRPr="00CA25CF" w:rsidRDefault="002C0FD9" w:rsidP="00CA25CF">
            <w:pPr>
              <w:rPr>
                <w:rFonts w:cs="Arial"/>
                <w:color w:val="FF0000"/>
                <w:sz w:val="21"/>
                <w:szCs w:val="21"/>
              </w:rPr>
            </w:pPr>
          </w:p>
        </w:tc>
        <w:tc>
          <w:tcPr>
            <w:tcW w:w="217" w:type="dxa"/>
          </w:tcPr>
          <w:p w14:paraId="04DF71F4" w14:textId="77777777" w:rsidR="002C0FD9" w:rsidRPr="00CA25CF" w:rsidRDefault="002C0FD9" w:rsidP="00CA25CF">
            <w:pPr>
              <w:rPr>
                <w:rFonts w:cs="Arial"/>
                <w:color w:val="FF0000"/>
                <w:sz w:val="21"/>
                <w:szCs w:val="21"/>
              </w:rPr>
            </w:pPr>
          </w:p>
        </w:tc>
        <w:tc>
          <w:tcPr>
            <w:tcW w:w="217" w:type="dxa"/>
          </w:tcPr>
          <w:p w14:paraId="0B235098" w14:textId="77777777" w:rsidR="002C0FD9" w:rsidRPr="00CA25CF" w:rsidRDefault="002C0FD9" w:rsidP="00CA25CF">
            <w:pPr>
              <w:rPr>
                <w:rFonts w:cs="Arial"/>
                <w:color w:val="FF0000"/>
                <w:sz w:val="21"/>
                <w:szCs w:val="21"/>
              </w:rPr>
            </w:pPr>
          </w:p>
        </w:tc>
        <w:tc>
          <w:tcPr>
            <w:tcW w:w="217" w:type="dxa"/>
          </w:tcPr>
          <w:p w14:paraId="64D79E79" w14:textId="77777777" w:rsidR="002C0FD9" w:rsidRPr="00CA25CF" w:rsidRDefault="002C0FD9" w:rsidP="00CA25CF">
            <w:pPr>
              <w:rPr>
                <w:rFonts w:cs="Arial"/>
                <w:color w:val="FF0000"/>
                <w:sz w:val="21"/>
                <w:szCs w:val="21"/>
              </w:rPr>
            </w:pPr>
          </w:p>
        </w:tc>
        <w:tc>
          <w:tcPr>
            <w:tcW w:w="217" w:type="dxa"/>
          </w:tcPr>
          <w:p w14:paraId="3EE77E32" w14:textId="77777777" w:rsidR="002C0FD9" w:rsidRPr="00CA25CF" w:rsidRDefault="002C0FD9" w:rsidP="00CA25CF">
            <w:pPr>
              <w:rPr>
                <w:rFonts w:cs="Arial"/>
                <w:color w:val="FF0000"/>
                <w:sz w:val="21"/>
                <w:szCs w:val="21"/>
              </w:rPr>
            </w:pPr>
          </w:p>
        </w:tc>
        <w:tc>
          <w:tcPr>
            <w:tcW w:w="217" w:type="dxa"/>
          </w:tcPr>
          <w:p w14:paraId="51E10FC4" w14:textId="77777777" w:rsidR="002C0FD9" w:rsidRPr="00CA25CF" w:rsidRDefault="002C0FD9" w:rsidP="00CA25CF">
            <w:pPr>
              <w:rPr>
                <w:rFonts w:cs="Arial"/>
                <w:color w:val="FF0000"/>
                <w:sz w:val="21"/>
                <w:szCs w:val="21"/>
              </w:rPr>
            </w:pPr>
          </w:p>
        </w:tc>
        <w:tc>
          <w:tcPr>
            <w:tcW w:w="217" w:type="dxa"/>
          </w:tcPr>
          <w:p w14:paraId="4226B69B" w14:textId="77777777" w:rsidR="002C0FD9" w:rsidRPr="00CA25CF" w:rsidRDefault="002C0FD9" w:rsidP="00CA25CF">
            <w:pPr>
              <w:rPr>
                <w:rFonts w:cs="Arial"/>
                <w:color w:val="FF0000"/>
                <w:sz w:val="21"/>
                <w:szCs w:val="21"/>
              </w:rPr>
            </w:pPr>
          </w:p>
        </w:tc>
        <w:tc>
          <w:tcPr>
            <w:tcW w:w="217" w:type="dxa"/>
          </w:tcPr>
          <w:p w14:paraId="6238416E" w14:textId="77777777" w:rsidR="002C0FD9" w:rsidRPr="00CA25CF" w:rsidRDefault="002C0FD9" w:rsidP="00CA25CF">
            <w:pPr>
              <w:rPr>
                <w:rFonts w:cs="Arial"/>
                <w:color w:val="FF0000"/>
                <w:sz w:val="21"/>
                <w:szCs w:val="21"/>
              </w:rPr>
            </w:pPr>
          </w:p>
        </w:tc>
        <w:tc>
          <w:tcPr>
            <w:tcW w:w="217" w:type="dxa"/>
          </w:tcPr>
          <w:p w14:paraId="23331319" w14:textId="77777777" w:rsidR="002C0FD9" w:rsidRPr="00CA25CF" w:rsidRDefault="002C0FD9" w:rsidP="00CA25CF">
            <w:pPr>
              <w:rPr>
                <w:rFonts w:cs="Arial"/>
                <w:color w:val="FF0000"/>
                <w:sz w:val="21"/>
                <w:szCs w:val="21"/>
              </w:rPr>
            </w:pPr>
          </w:p>
        </w:tc>
        <w:tc>
          <w:tcPr>
            <w:tcW w:w="217" w:type="dxa"/>
          </w:tcPr>
          <w:p w14:paraId="79705C67" w14:textId="77777777" w:rsidR="002C0FD9" w:rsidRPr="00CA25CF" w:rsidRDefault="002C0FD9" w:rsidP="00CA25CF">
            <w:pPr>
              <w:rPr>
                <w:rFonts w:cs="Arial"/>
                <w:color w:val="FF0000"/>
                <w:sz w:val="21"/>
                <w:szCs w:val="21"/>
              </w:rPr>
            </w:pPr>
          </w:p>
        </w:tc>
        <w:tc>
          <w:tcPr>
            <w:tcW w:w="217" w:type="dxa"/>
          </w:tcPr>
          <w:p w14:paraId="6695CFB4" w14:textId="77777777" w:rsidR="002C0FD9" w:rsidRPr="00CA25CF" w:rsidRDefault="002C0FD9" w:rsidP="00CA25CF">
            <w:pPr>
              <w:rPr>
                <w:rFonts w:cs="Arial"/>
                <w:color w:val="FF0000"/>
                <w:sz w:val="21"/>
                <w:szCs w:val="21"/>
              </w:rPr>
            </w:pPr>
          </w:p>
        </w:tc>
      </w:tr>
      <w:tr w:rsidR="002C0FD9" w:rsidRPr="00A16219" w14:paraId="3CAC995B" w14:textId="77777777" w:rsidTr="002C0FD9">
        <w:trPr>
          <w:trHeight w:val="635"/>
        </w:trPr>
        <w:tc>
          <w:tcPr>
            <w:tcW w:w="515" w:type="dxa"/>
          </w:tcPr>
          <w:p w14:paraId="7D879B18" w14:textId="77777777" w:rsidR="002C0FD9" w:rsidRPr="00CA25CF" w:rsidRDefault="002C0FD9" w:rsidP="00CA25CF">
            <w:pPr>
              <w:rPr>
                <w:rFonts w:cs="Arial"/>
                <w:color w:val="FF0000"/>
                <w:sz w:val="21"/>
                <w:szCs w:val="21"/>
              </w:rPr>
            </w:pPr>
          </w:p>
        </w:tc>
        <w:tc>
          <w:tcPr>
            <w:tcW w:w="217" w:type="dxa"/>
          </w:tcPr>
          <w:p w14:paraId="5655ED77" w14:textId="77777777" w:rsidR="002C0FD9" w:rsidRPr="00CA25CF" w:rsidRDefault="002C0FD9" w:rsidP="00CA25CF">
            <w:pPr>
              <w:rPr>
                <w:rFonts w:cs="Arial"/>
                <w:color w:val="FF0000"/>
                <w:sz w:val="21"/>
                <w:szCs w:val="21"/>
              </w:rPr>
            </w:pPr>
          </w:p>
        </w:tc>
        <w:tc>
          <w:tcPr>
            <w:tcW w:w="217" w:type="dxa"/>
          </w:tcPr>
          <w:p w14:paraId="3983D0E9" w14:textId="77777777" w:rsidR="002C0FD9" w:rsidRPr="00CA25CF" w:rsidRDefault="002C0FD9" w:rsidP="00CA25CF">
            <w:pPr>
              <w:rPr>
                <w:rFonts w:cs="Arial"/>
                <w:color w:val="FF0000"/>
                <w:sz w:val="21"/>
                <w:szCs w:val="21"/>
              </w:rPr>
            </w:pPr>
          </w:p>
        </w:tc>
        <w:tc>
          <w:tcPr>
            <w:tcW w:w="217" w:type="dxa"/>
          </w:tcPr>
          <w:p w14:paraId="10F25CF4" w14:textId="77777777" w:rsidR="002C0FD9" w:rsidRPr="00CA25CF" w:rsidRDefault="002C0FD9" w:rsidP="00CA25CF">
            <w:pPr>
              <w:rPr>
                <w:rFonts w:cs="Arial"/>
                <w:color w:val="FF0000"/>
                <w:sz w:val="21"/>
                <w:szCs w:val="21"/>
              </w:rPr>
            </w:pPr>
          </w:p>
        </w:tc>
        <w:tc>
          <w:tcPr>
            <w:tcW w:w="217" w:type="dxa"/>
          </w:tcPr>
          <w:p w14:paraId="3CE4BC1B" w14:textId="77777777" w:rsidR="002C0FD9" w:rsidRPr="00CA25CF" w:rsidRDefault="002C0FD9" w:rsidP="00CA25CF">
            <w:pPr>
              <w:rPr>
                <w:rFonts w:cs="Arial"/>
                <w:color w:val="FF0000"/>
                <w:sz w:val="21"/>
                <w:szCs w:val="21"/>
              </w:rPr>
            </w:pPr>
          </w:p>
        </w:tc>
        <w:tc>
          <w:tcPr>
            <w:tcW w:w="217" w:type="dxa"/>
          </w:tcPr>
          <w:p w14:paraId="2E112BE1" w14:textId="77777777" w:rsidR="002C0FD9" w:rsidRPr="00CA25CF" w:rsidRDefault="002C0FD9" w:rsidP="00CA25CF">
            <w:pPr>
              <w:rPr>
                <w:rFonts w:cs="Arial"/>
                <w:color w:val="FF0000"/>
                <w:sz w:val="21"/>
                <w:szCs w:val="21"/>
              </w:rPr>
            </w:pPr>
          </w:p>
        </w:tc>
        <w:tc>
          <w:tcPr>
            <w:tcW w:w="217" w:type="dxa"/>
          </w:tcPr>
          <w:p w14:paraId="63CD28EF" w14:textId="77777777" w:rsidR="002C0FD9" w:rsidRPr="00CA25CF" w:rsidRDefault="002C0FD9" w:rsidP="00CA25CF">
            <w:pPr>
              <w:rPr>
                <w:rFonts w:cs="Arial"/>
                <w:color w:val="FF0000"/>
                <w:sz w:val="21"/>
                <w:szCs w:val="21"/>
              </w:rPr>
            </w:pPr>
          </w:p>
        </w:tc>
        <w:tc>
          <w:tcPr>
            <w:tcW w:w="217" w:type="dxa"/>
          </w:tcPr>
          <w:p w14:paraId="50A83CA1" w14:textId="77777777" w:rsidR="002C0FD9" w:rsidRPr="00CA25CF" w:rsidRDefault="002C0FD9" w:rsidP="00CA25CF">
            <w:pPr>
              <w:rPr>
                <w:rFonts w:cs="Arial"/>
                <w:color w:val="FF0000"/>
                <w:sz w:val="21"/>
                <w:szCs w:val="21"/>
              </w:rPr>
            </w:pPr>
          </w:p>
        </w:tc>
        <w:tc>
          <w:tcPr>
            <w:tcW w:w="217" w:type="dxa"/>
          </w:tcPr>
          <w:p w14:paraId="612AC43A" w14:textId="77777777" w:rsidR="002C0FD9" w:rsidRPr="00CA25CF" w:rsidRDefault="002C0FD9" w:rsidP="00CA25CF">
            <w:pPr>
              <w:rPr>
                <w:rFonts w:cs="Arial"/>
                <w:color w:val="FF0000"/>
                <w:sz w:val="21"/>
                <w:szCs w:val="21"/>
              </w:rPr>
            </w:pPr>
          </w:p>
        </w:tc>
        <w:tc>
          <w:tcPr>
            <w:tcW w:w="217" w:type="dxa"/>
          </w:tcPr>
          <w:p w14:paraId="40B6D9CF" w14:textId="77777777" w:rsidR="002C0FD9" w:rsidRPr="00CA25CF" w:rsidRDefault="002C0FD9" w:rsidP="00CA25CF">
            <w:pPr>
              <w:rPr>
                <w:rFonts w:cs="Arial"/>
                <w:color w:val="FF0000"/>
                <w:sz w:val="21"/>
                <w:szCs w:val="21"/>
              </w:rPr>
            </w:pPr>
          </w:p>
        </w:tc>
        <w:tc>
          <w:tcPr>
            <w:tcW w:w="217" w:type="dxa"/>
          </w:tcPr>
          <w:p w14:paraId="41CEB3E3" w14:textId="77777777" w:rsidR="002C0FD9" w:rsidRPr="00CA25CF" w:rsidRDefault="002C0FD9" w:rsidP="00CA25CF">
            <w:pPr>
              <w:rPr>
                <w:rFonts w:cs="Arial"/>
                <w:color w:val="FF0000"/>
                <w:sz w:val="21"/>
                <w:szCs w:val="21"/>
              </w:rPr>
            </w:pPr>
          </w:p>
        </w:tc>
        <w:tc>
          <w:tcPr>
            <w:tcW w:w="217" w:type="dxa"/>
          </w:tcPr>
          <w:p w14:paraId="31D7F591" w14:textId="77777777" w:rsidR="002C0FD9" w:rsidRPr="00CA25CF" w:rsidRDefault="002C0FD9" w:rsidP="00CA25CF">
            <w:pPr>
              <w:rPr>
                <w:rFonts w:cs="Arial"/>
                <w:color w:val="FF0000"/>
                <w:sz w:val="21"/>
                <w:szCs w:val="21"/>
              </w:rPr>
            </w:pPr>
          </w:p>
        </w:tc>
        <w:tc>
          <w:tcPr>
            <w:tcW w:w="217" w:type="dxa"/>
          </w:tcPr>
          <w:p w14:paraId="44F476F2" w14:textId="77777777" w:rsidR="002C0FD9" w:rsidRPr="00CA25CF" w:rsidRDefault="002C0FD9" w:rsidP="00CA25CF">
            <w:pPr>
              <w:rPr>
                <w:rFonts w:cs="Arial"/>
                <w:color w:val="FF0000"/>
                <w:sz w:val="21"/>
                <w:szCs w:val="21"/>
              </w:rPr>
            </w:pPr>
          </w:p>
        </w:tc>
        <w:tc>
          <w:tcPr>
            <w:tcW w:w="217" w:type="dxa"/>
          </w:tcPr>
          <w:p w14:paraId="7183EF63" w14:textId="77777777" w:rsidR="002C0FD9" w:rsidRPr="00CA25CF" w:rsidRDefault="002C0FD9" w:rsidP="00CA25CF">
            <w:pPr>
              <w:rPr>
                <w:rFonts w:cs="Arial"/>
                <w:color w:val="FF0000"/>
                <w:sz w:val="21"/>
                <w:szCs w:val="21"/>
              </w:rPr>
            </w:pPr>
          </w:p>
        </w:tc>
        <w:tc>
          <w:tcPr>
            <w:tcW w:w="217" w:type="dxa"/>
          </w:tcPr>
          <w:p w14:paraId="6D83A21F" w14:textId="77777777" w:rsidR="002C0FD9" w:rsidRPr="00CA25CF" w:rsidRDefault="002C0FD9" w:rsidP="00CA25CF">
            <w:pPr>
              <w:rPr>
                <w:rFonts w:cs="Arial"/>
                <w:color w:val="FF0000"/>
                <w:sz w:val="21"/>
                <w:szCs w:val="21"/>
              </w:rPr>
            </w:pPr>
          </w:p>
        </w:tc>
        <w:tc>
          <w:tcPr>
            <w:tcW w:w="217" w:type="dxa"/>
          </w:tcPr>
          <w:p w14:paraId="6DEF7486" w14:textId="77777777" w:rsidR="002C0FD9" w:rsidRPr="00CA25CF" w:rsidRDefault="002C0FD9" w:rsidP="00CA25CF">
            <w:pPr>
              <w:rPr>
                <w:rFonts w:cs="Arial"/>
                <w:color w:val="FF0000"/>
                <w:sz w:val="21"/>
                <w:szCs w:val="21"/>
              </w:rPr>
            </w:pPr>
          </w:p>
        </w:tc>
        <w:tc>
          <w:tcPr>
            <w:tcW w:w="217" w:type="dxa"/>
          </w:tcPr>
          <w:p w14:paraId="16561CDD" w14:textId="77777777" w:rsidR="002C0FD9" w:rsidRPr="00CA25CF" w:rsidRDefault="002C0FD9" w:rsidP="00CA25CF">
            <w:pPr>
              <w:rPr>
                <w:rFonts w:cs="Arial"/>
                <w:color w:val="FF0000"/>
                <w:sz w:val="21"/>
                <w:szCs w:val="21"/>
              </w:rPr>
            </w:pPr>
          </w:p>
        </w:tc>
        <w:tc>
          <w:tcPr>
            <w:tcW w:w="217" w:type="dxa"/>
          </w:tcPr>
          <w:p w14:paraId="009DF838" w14:textId="77777777" w:rsidR="002C0FD9" w:rsidRPr="00CA25CF" w:rsidRDefault="002C0FD9" w:rsidP="00CA25CF">
            <w:pPr>
              <w:rPr>
                <w:rFonts w:cs="Arial"/>
                <w:color w:val="FF0000"/>
                <w:sz w:val="21"/>
                <w:szCs w:val="21"/>
              </w:rPr>
            </w:pPr>
          </w:p>
        </w:tc>
        <w:tc>
          <w:tcPr>
            <w:tcW w:w="217" w:type="dxa"/>
          </w:tcPr>
          <w:p w14:paraId="47483D15" w14:textId="77777777" w:rsidR="002C0FD9" w:rsidRPr="00CA25CF" w:rsidRDefault="002C0FD9" w:rsidP="00CA25CF">
            <w:pPr>
              <w:rPr>
                <w:rFonts w:cs="Arial"/>
                <w:color w:val="FF0000"/>
                <w:sz w:val="21"/>
                <w:szCs w:val="21"/>
              </w:rPr>
            </w:pPr>
          </w:p>
        </w:tc>
        <w:tc>
          <w:tcPr>
            <w:tcW w:w="217" w:type="dxa"/>
          </w:tcPr>
          <w:p w14:paraId="395C2612" w14:textId="77777777" w:rsidR="002C0FD9" w:rsidRPr="00CA25CF" w:rsidRDefault="002C0FD9" w:rsidP="00CA25CF">
            <w:pPr>
              <w:rPr>
                <w:rFonts w:cs="Arial"/>
                <w:color w:val="FF0000"/>
                <w:sz w:val="21"/>
                <w:szCs w:val="21"/>
              </w:rPr>
            </w:pPr>
          </w:p>
        </w:tc>
        <w:tc>
          <w:tcPr>
            <w:tcW w:w="217" w:type="dxa"/>
          </w:tcPr>
          <w:p w14:paraId="1F2D64DF" w14:textId="77777777" w:rsidR="002C0FD9" w:rsidRPr="00CA25CF" w:rsidRDefault="002C0FD9" w:rsidP="00CA25CF">
            <w:pPr>
              <w:rPr>
                <w:rFonts w:cs="Arial"/>
                <w:color w:val="FF0000"/>
                <w:sz w:val="21"/>
                <w:szCs w:val="21"/>
              </w:rPr>
            </w:pPr>
          </w:p>
        </w:tc>
        <w:tc>
          <w:tcPr>
            <w:tcW w:w="217" w:type="dxa"/>
          </w:tcPr>
          <w:p w14:paraId="2B837ACE" w14:textId="77777777" w:rsidR="002C0FD9" w:rsidRPr="00CA25CF" w:rsidRDefault="002C0FD9" w:rsidP="00CA25CF">
            <w:pPr>
              <w:rPr>
                <w:rFonts w:cs="Arial"/>
                <w:color w:val="FF0000"/>
                <w:sz w:val="21"/>
                <w:szCs w:val="21"/>
              </w:rPr>
            </w:pPr>
          </w:p>
        </w:tc>
        <w:tc>
          <w:tcPr>
            <w:tcW w:w="217" w:type="dxa"/>
          </w:tcPr>
          <w:p w14:paraId="6E0B08B9" w14:textId="77777777" w:rsidR="002C0FD9" w:rsidRPr="00CA25CF" w:rsidRDefault="002C0FD9" w:rsidP="00CA25CF">
            <w:pPr>
              <w:rPr>
                <w:rFonts w:cs="Arial"/>
                <w:color w:val="FF0000"/>
                <w:sz w:val="21"/>
                <w:szCs w:val="21"/>
              </w:rPr>
            </w:pPr>
          </w:p>
        </w:tc>
        <w:tc>
          <w:tcPr>
            <w:tcW w:w="217" w:type="dxa"/>
          </w:tcPr>
          <w:p w14:paraId="385AA3E2" w14:textId="77777777" w:rsidR="002C0FD9" w:rsidRPr="00CA25CF" w:rsidRDefault="002C0FD9" w:rsidP="00CA25CF">
            <w:pPr>
              <w:rPr>
                <w:rFonts w:cs="Arial"/>
                <w:color w:val="FF0000"/>
                <w:sz w:val="21"/>
                <w:szCs w:val="21"/>
              </w:rPr>
            </w:pPr>
          </w:p>
        </w:tc>
        <w:tc>
          <w:tcPr>
            <w:tcW w:w="217" w:type="dxa"/>
          </w:tcPr>
          <w:p w14:paraId="084DE68D" w14:textId="77777777" w:rsidR="002C0FD9" w:rsidRPr="00CA25CF" w:rsidRDefault="002C0FD9" w:rsidP="00CA25CF">
            <w:pPr>
              <w:rPr>
                <w:rFonts w:cs="Arial"/>
                <w:color w:val="FF0000"/>
                <w:sz w:val="21"/>
                <w:szCs w:val="21"/>
              </w:rPr>
            </w:pPr>
          </w:p>
        </w:tc>
        <w:tc>
          <w:tcPr>
            <w:tcW w:w="217" w:type="dxa"/>
          </w:tcPr>
          <w:p w14:paraId="2F9273B5" w14:textId="77777777" w:rsidR="002C0FD9" w:rsidRPr="00CA25CF" w:rsidRDefault="002C0FD9" w:rsidP="00CA25CF">
            <w:pPr>
              <w:rPr>
                <w:rFonts w:cs="Arial"/>
                <w:color w:val="FF0000"/>
                <w:sz w:val="21"/>
                <w:szCs w:val="21"/>
              </w:rPr>
            </w:pPr>
          </w:p>
        </w:tc>
        <w:tc>
          <w:tcPr>
            <w:tcW w:w="217" w:type="dxa"/>
          </w:tcPr>
          <w:p w14:paraId="206DC158" w14:textId="77777777" w:rsidR="002C0FD9" w:rsidRPr="00CA25CF" w:rsidRDefault="002C0FD9" w:rsidP="00CA25CF">
            <w:pPr>
              <w:rPr>
                <w:rFonts w:cs="Arial"/>
                <w:color w:val="FF0000"/>
                <w:sz w:val="21"/>
                <w:szCs w:val="21"/>
              </w:rPr>
            </w:pPr>
          </w:p>
        </w:tc>
        <w:tc>
          <w:tcPr>
            <w:tcW w:w="217" w:type="dxa"/>
          </w:tcPr>
          <w:p w14:paraId="2D9F1799" w14:textId="77777777" w:rsidR="002C0FD9" w:rsidRPr="00CA25CF" w:rsidRDefault="002C0FD9" w:rsidP="00CA25CF">
            <w:pPr>
              <w:rPr>
                <w:rFonts w:cs="Arial"/>
                <w:color w:val="FF0000"/>
                <w:sz w:val="21"/>
                <w:szCs w:val="21"/>
              </w:rPr>
            </w:pPr>
          </w:p>
        </w:tc>
        <w:tc>
          <w:tcPr>
            <w:tcW w:w="217" w:type="dxa"/>
          </w:tcPr>
          <w:p w14:paraId="4B591F20" w14:textId="77777777" w:rsidR="002C0FD9" w:rsidRPr="00CA25CF" w:rsidRDefault="002C0FD9" w:rsidP="00CA25CF">
            <w:pPr>
              <w:rPr>
                <w:rFonts w:cs="Arial"/>
                <w:color w:val="FF0000"/>
                <w:sz w:val="21"/>
                <w:szCs w:val="21"/>
              </w:rPr>
            </w:pPr>
          </w:p>
        </w:tc>
        <w:tc>
          <w:tcPr>
            <w:tcW w:w="217" w:type="dxa"/>
          </w:tcPr>
          <w:p w14:paraId="350BE099" w14:textId="77777777" w:rsidR="002C0FD9" w:rsidRPr="00CA25CF" w:rsidRDefault="002C0FD9" w:rsidP="00CA25CF">
            <w:pPr>
              <w:rPr>
                <w:rFonts w:cs="Arial"/>
                <w:color w:val="FF0000"/>
                <w:sz w:val="21"/>
                <w:szCs w:val="21"/>
              </w:rPr>
            </w:pPr>
          </w:p>
        </w:tc>
        <w:tc>
          <w:tcPr>
            <w:tcW w:w="217" w:type="dxa"/>
          </w:tcPr>
          <w:p w14:paraId="23B41C7C" w14:textId="77777777" w:rsidR="002C0FD9" w:rsidRPr="00CA25CF" w:rsidRDefault="002C0FD9" w:rsidP="00CA25CF">
            <w:pPr>
              <w:rPr>
                <w:rFonts w:cs="Arial"/>
                <w:color w:val="FF0000"/>
                <w:sz w:val="21"/>
                <w:szCs w:val="21"/>
              </w:rPr>
            </w:pPr>
          </w:p>
        </w:tc>
        <w:tc>
          <w:tcPr>
            <w:tcW w:w="217" w:type="dxa"/>
          </w:tcPr>
          <w:p w14:paraId="4FB57ECA" w14:textId="77777777" w:rsidR="002C0FD9" w:rsidRPr="00CA25CF" w:rsidRDefault="002C0FD9" w:rsidP="00CA25CF">
            <w:pPr>
              <w:rPr>
                <w:rFonts w:cs="Arial"/>
                <w:color w:val="FF0000"/>
                <w:sz w:val="21"/>
                <w:szCs w:val="21"/>
              </w:rPr>
            </w:pPr>
          </w:p>
        </w:tc>
        <w:tc>
          <w:tcPr>
            <w:tcW w:w="217" w:type="dxa"/>
          </w:tcPr>
          <w:p w14:paraId="00CDD8A3" w14:textId="77777777" w:rsidR="002C0FD9" w:rsidRPr="00CA25CF" w:rsidRDefault="002C0FD9" w:rsidP="00CA25CF">
            <w:pPr>
              <w:rPr>
                <w:rFonts w:cs="Arial"/>
                <w:color w:val="FF0000"/>
                <w:sz w:val="21"/>
                <w:szCs w:val="21"/>
              </w:rPr>
            </w:pPr>
          </w:p>
        </w:tc>
        <w:tc>
          <w:tcPr>
            <w:tcW w:w="217" w:type="dxa"/>
          </w:tcPr>
          <w:p w14:paraId="73FCA31A" w14:textId="77777777" w:rsidR="002C0FD9" w:rsidRPr="00CA25CF" w:rsidRDefault="002C0FD9" w:rsidP="00CA25CF">
            <w:pPr>
              <w:rPr>
                <w:rFonts w:cs="Arial"/>
                <w:color w:val="FF0000"/>
                <w:sz w:val="21"/>
                <w:szCs w:val="21"/>
              </w:rPr>
            </w:pPr>
          </w:p>
        </w:tc>
        <w:tc>
          <w:tcPr>
            <w:tcW w:w="217" w:type="dxa"/>
          </w:tcPr>
          <w:p w14:paraId="3E0A1DFF" w14:textId="77777777" w:rsidR="002C0FD9" w:rsidRPr="00CA25CF" w:rsidRDefault="002C0FD9" w:rsidP="00CA25CF">
            <w:pPr>
              <w:rPr>
                <w:rFonts w:cs="Arial"/>
                <w:color w:val="FF0000"/>
                <w:sz w:val="21"/>
                <w:szCs w:val="21"/>
              </w:rPr>
            </w:pPr>
          </w:p>
        </w:tc>
        <w:tc>
          <w:tcPr>
            <w:tcW w:w="217" w:type="dxa"/>
          </w:tcPr>
          <w:p w14:paraId="252DA71D" w14:textId="77777777" w:rsidR="002C0FD9" w:rsidRPr="00CA25CF" w:rsidRDefault="002C0FD9" w:rsidP="00CA25CF">
            <w:pPr>
              <w:rPr>
                <w:rFonts w:cs="Arial"/>
                <w:color w:val="FF0000"/>
                <w:sz w:val="21"/>
                <w:szCs w:val="21"/>
              </w:rPr>
            </w:pPr>
          </w:p>
        </w:tc>
        <w:tc>
          <w:tcPr>
            <w:tcW w:w="217" w:type="dxa"/>
          </w:tcPr>
          <w:p w14:paraId="6370D774" w14:textId="77777777" w:rsidR="002C0FD9" w:rsidRPr="00CA25CF" w:rsidRDefault="002C0FD9" w:rsidP="00CA25CF">
            <w:pPr>
              <w:rPr>
                <w:rFonts w:cs="Arial"/>
                <w:color w:val="FF0000"/>
                <w:sz w:val="21"/>
                <w:szCs w:val="21"/>
              </w:rPr>
            </w:pPr>
          </w:p>
        </w:tc>
        <w:tc>
          <w:tcPr>
            <w:tcW w:w="217" w:type="dxa"/>
          </w:tcPr>
          <w:p w14:paraId="7B0667C3" w14:textId="77777777" w:rsidR="002C0FD9" w:rsidRPr="00CA25CF" w:rsidRDefault="002C0FD9" w:rsidP="00CA25CF">
            <w:pPr>
              <w:rPr>
                <w:rFonts w:cs="Arial"/>
                <w:color w:val="FF0000"/>
                <w:sz w:val="21"/>
                <w:szCs w:val="21"/>
              </w:rPr>
            </w:pPr>
          </w:p>
        </w:tc>
        <w:tc>
          <w:tcPr>
            <w:tcW w:w="217" w:type="dxa"/>
          </w:tcPr>
          <w:p w14:paraId="3FC78FE3" w14:textId="77777777" w:rsidR="002C0FD9" w:rsidRPr="00CA25CF" w:rsidRDefault="002C0FD9" w:rsidP="00CA25CF">
            <w:pPr>
              <w:rPr>
                <w:rFonts w:cs="Arial"/>
                <w:color w:val="FF0000"/>
                <w:sz w:val="21"/>
                <w:szCs w:val="21"/>
              </w:rPr>
            </w:pPr>
          </w:p>
        </w:tc>
        <w:tc>
          <w:tcPr>
            <w:tcW w:w="217" w:type="dxa"/>
          </w:tcPr>
          <w:p w14:paraId="65E7CE74" w14:textId="77777777" w:rsidR="002C0FD9" w:rsidRPr="00CA25CF" w:rsidRDefault="002C0FD9" w:rsidP="00CA25CF">
            <w:pPr>
              <w:rPr>
                <w:rFonts w:cs="Arial"/>
                <w:color w:val="FF0000"/>
                <w:sz w:val="21"/>
                <w:szCs w:val="21"/>
              </w:rPr>
            </w:pPr>
          </w:p>
        </w:tc>
        <w:tc>
          <w:tcPr>
            <w:tcW w:w="217" w:type="dxa"/>
          </w:tcPr>
          <w:p w14:paraId="08E833ED" w14:textId="77777777" w:rsidR="002C0FD9" w:rsidRPr="00CA25CF" w:rsidRDefault="002C0FD9" w:rsidP="00CA25CF">
            <w:pPr>
              <w:rPr>
                <w:rFonts w:cs="Arial"/>
                <w:color w:val="FF0000"/>
                <w:sz w:val="21"/>
                <w:szCs w:val="21"/>
              </w:rPr>
            </w:pPr>
          </w:p>
        </w:tc>
        <w:tc>
          <w:tcPr>
            <w:tcW w:w="217" w:type="dxa"/>
          </w:tcPr>
          <w:p w14:paraId="4F1CC145" w14:textId="77777777" w:rsidR="002C0FD9" w:rsidRPr="00CA25CF" w:rsidRDefault="002C0FD9" w:rsidP="00CA25CF">
            <w:pPr>
              <w:rPr>
                <w:rFonts w:cs="Arial"/>
                <w:color w:val="FF0000"/>
                <w:sz w:val="21"/>
                <w:szCs w:val="21"/>
              </w:rPr>
            </w:pPr>
          </w:p>
        </w:tc>
        <w:tc>
          <w:tcPr>
            <w:tcW w:w="217" w:type="dxa"/>
          </w:tcPr>
          <w:p w14:paraId="1D2F5A6C" w14:textId="77777777" w:rsidR="002C0FD9" w:rsidRPr="00CA25CF" w:rsidRDefault="002C0FD9" w:rsidP="00CA25CF">
            <w:pPr>
              <w:rPr>
                <w:rFonts w:cs="Arial"/>
                <w:color w:val="FF0000"/>
                <w:sz w:val="21"/>
                <w:szCs w:val="21"/>
              </w:rPr>
            </w:pPr>
          </w:p>
        </w:tc>
      </w:tr>
      <w:tr w:rsidR="002C0FD9" w:rsidRPr="00A16219" w14:paraId="208267D6" w14:textId="77777777" w:rsidTr="002C0FD9">
        <w:trPr>
          <w:trHeight w:val="635"/>
        </w:trPr>
        <w:tc>
          <w:tcPr>
            <w:tcW w:w="515" w:type="dxa"/>
          </w:tcPr>
          <w:p w14:paraId="448413C5" w14:textId="77777777" w:rsidR="002C0FD9" w:rsidRPr="00CA25CF" w:rsidRDefault="002C0FD9" w:rsidP="00CA25CF">
            <w:pPr>
              <w:rPr>
                <w:rFonts w:cs="Arial"/>
                <w:color w:val="FF0000"/>
                <w:sz w:val="21"/>
                <w:szCs w:val="21"/>
              </w:rPr>
            </w:pPr>
          </w:p>
        </w:tc>
        <w:tc>
          <w:tcPr>
            <w:tcW w:w="217" w:type="dxa"/>
          </w:tcPr>
          <w:p w14:paraId="19F752FF" w14:textId="77777777" w:rsidR="002C0FD9" w:rsidRPr="00CA25CF" w:rsidRDefault="002C0FD9" w:rsidP="00CA25CF">
            <w:pPr>
              <w:rPr>
                <w:rFonts w:cs="Arial"/>
                <w:color w:val="FF0000"/>
                <w:sz w:val="21"/>
                <w:szCs w:val="21"/>
              </w:rPr>
            </w:pPr>
          </w:p>
        </w:tc>
        <w:tc>
          <w:tcPr>
            <w:tcW w:w="217" w:type="dxa"/>
          </w:tcPr>
          <w:p w14:paraId="4037BFBA" w14:textId="77777777" w:rsidR="002C0FD9" w:rsidRPr="00CA25CF" w:rsidRDefault="002C0FD9" w:rsidP="00CA25CF">
            <w:pPr>
              <w:rPr>
                <w:rFonts w:cs="Arial"/>
                <w:color w:val="FF0000"/>
                <w:sz w:val="21"/>
                <w:szCs w:val="21"/>
              </w:rPr>
            </w:pPr>
          </w:p>
        </w:tc>
        <w:tc>
          <w:tcPr>
            <w:tcW w:w="217" w:type="dxa"/>
          </w:tcPr>
          <w:p w14:paraId="35C31A2A" w14:textId="77777777" w:rsidR="002C0FD9" w:rsidRPr="00CA25CF" w:rsidRDefault="002C0FD9" w:rsidP="00CA25CF">
            <w:pPr>
              <w:rPr>
                <w:rFonts w:cs="Arial"/>
                <w:color w:val="FF0000"/>
                <w:sz w:val="21"/>
                <w:szCs w:val="21"/>
              </w:rPr>
            </w:pPr>
          </w:p>
        </w:tc>
        <w:tc>
          <w:tcPr>
            <w:tcW w:w="217" w:type="dxa"/>
          </w:tcPr>
          <w:p w14:paraId="18CF7DB3" w14:textId="77777777" w:rsidR="002C0FD9" w:rsidRPr="00CA25CF" w:rsidRDefault="002C0FD9" w:rsidP="00CA25CF">
            <w:pPr>
              <w:rPr>
                <w:rFonts w:cs="Arial"/>
                <w:color w:val="FF0000"/>
                <w:sz w:val="21"/>
                <w:szCs w:val="21"/>
              </w:rPr>
            </w:pPr>
          </w:p>
        </w:tc>
        <w:tc>
          <w:tcPr>
            <w:tcW w:w="217" w:type="dxa"/>
          </w:tcPr>
          <w:p w14:paraId="6B15F798" w14:textId="77777777" w:rsidR="002C0FD9" w:rsidRPr="00CA25CF" w:rsidRDefault="002C0FD9" w:rsidP="00CA25CF">
            <w:pPr>
              <w:rPr>
                <w:rFonts w:cs="Arial"/>
                <w:color w:val="FF0000"/>
                <w:sz w:val="21"/>
                <w:szCs w:val="21"/>
              </w:rPr>
            </w:pPr>
          </w:p>
        </w:tc>
        <w:tc>
          <w:tcPr>
            <w:tcW w:w="217" w:type="dxa"/>
          </w:tcPr>
          <w:p w14:paraId="44C86B91" w14:textId="77777777" w:rsidR="002C0FD9" w:rsidRPr="00CA25CF" w:rsidRDefault="002C0FD9" w:rsidP="00CA25CF">
            <w:pPr>
              <w:rPr>
                <w:rFonts w:cs="Arial"/>
                <w:color w:val="FF0000"/>
                <w:sz w:val="21"/>
                <w:szCs w:val="21"/>
              </w:rPr>
            </w:pPr>
          </w:p>
        </w:tc>
        <w:tc>
          <w:tcPr>
            <w:tcW w:w="217" w:type="dxa"/>
          </w:tcPr>
          <w:p w14:paraId="57D38259" w14:textId="77777777" w:rsidR="002C0FD9" w:rsidRPr="00CA25CF" w:rsidRDefault="002C0FD9" w:rsidP="00CA25CF">
            <w:pPr>
              <w:rPr>
                <w:rFonts w:cs="Arial"/>
                <w:color w:val="FF0000"/>
                <w:sz w:val="21"/>
                <w:szCs w:val="21"/>
              </w:rPr>
            </w:pPr>
          </w:p>
        </w:tc>
        <w:tc>
          <w:tcPr>
            <w:tcW w:w="217" w:type="dxa"/>
          </w:tcPr>
          <w:p w14:paraId="683C8704" w14:textId="77777777" w:rsidR="002C0FD9" w:rsidRPr="00CA25CF" w:rsidRDefault="002C0FD9" w:rsidP="00CA25CF">
            <w:pPr>
              <w:rPr>
                <w:rFonts w:cs="Arial"/>
                <w:color w:val="FF0000"/>
                <w:sz w:val="21"/>
                <w:szCs w:val="21"/>
              </w:rPr>
            </w:pPr>
          </w:p>
        </w:tc>
        <w:tc>
          <w:tcPr>
            <w:tcW w:w="217" w:type="dxa"/>
          </w:tcPr>
          <w:p w14:paraId="751499DD" w14:textId="77777777" w:rsidR="002C0FD9" w:rsidRPr="00CA25CF" w:rsidRDefault="002C0FD9" w:rsidP="00CA25CF">
            <w:pPr>
              <w:rPr>
                <w:rFonts w:cs="Arial"/>
                <w:color w:val="FF0000"/>
                <w:sz w:val="21"/>
                <w:szCs w:val="21"/>
              </w:rPr>
            </w:pPr>
          </w:p>
        </w:tc>
        <w:tc>
          <w:tcPr>
            <w:tcW w:w="217" w:type="dxa"/>
          </w:tcPr>
          <w:p w14:paraId="325FA554" w14:textId="77777777" w:rsidR="002C0FD9" w:rsidRPr="00CA25CF" w:rsidRDefault="002C0FD9" w:rsidP="00CA25CF">
            <w:pPr>
              <w:rPr>
                <w:rFonts w:cs="Arial"/>
                <w:color w:val="FF0000"/>
                <w:sz w:val="21"/>
                <w:szCs w:val="21"/>
              </w:rPr>
            </w:pPr>
          </w:p>
        </w:tc>
        <w:tc>
          <w:tcPr>
            <w:tcW w:w="217" w:type="dxa"/>
          </w:tcPr>
          <w:p w14:paraId="1A564C87" w14:textId="77777777" w:rsidR="002C0FD9" w:rsidRPr="00CA25CF" w:rsidRDefault="002C0FD9" w:rsidP="00CA25CF">
            <w:pPr>
              <w:rPr>
                <w:rFonts w:cs="Arial"/>
                <w:color w:val="FF0000"/>
                <w:sz w:val="21"/>
                <w:szCs w:val="21"/>
              </w:rPr>
            </w:pPr>
          </w:p>
        </w:tc>
        <w:tc>
          <w:tcPr>
            <w:tcW w:w="217" w:type="dxa"/>
          </w:tcPr>
          <w:p w14:paraId="7BC295AE" w14:textId="77777777" w:rsidR="002C0FD9" w:rsidRPr="00CA25CF" w:rsidRDefault="002C0FD9" w:rsidP="00CA25CF">
            <w:pPr>
              <w:rPr>
                <w:rFonts w:cs="Arial"/>
                <w:color w:val="FF0000"/>
                <w:sz w:val="21"/>
                <w:szCs w:val="21"/>
              </w:rPr>
            </w:pPr>
          </w:p>
        </w:tc>
        <w:tc>
          <w:tcPr>
            <w:tcW w:w="217" w:type="dxa"/>
          </w:tcPr>
          <w:p w14:paraId="72F52EB7" w14:textId="77777777" w:rsidR="002C0FD9" w:rsidRPr="00CA25CF" w:rsidRDefault="002C0FD9" w:rsidP="00CA25CF">
            <w:pPr>
              <w:rPr>
                <w:rFonts w:cs="Arial"/>
                <w:color w:val="FF0000"/>
                <w:sz w:val="21"/>
                <w:szCs w:val="21"/>
              </w:rPr>
            </w:pPr>
          </w:p>
        </w:tc>
        <w:tc>
          <w:tcPr>
            <w:tcW w:w="217" w:type="dxa"/>
          </w:tcPr>
          <w:p w14:paraId="430E2215" w14:textId="77777777" w:rsidR="002C0FD9" w:rsidRPr="00CA25CF" w:rsidRDefault="002C0FD9" w:rsidP="00CA25CF">
            <w:pPr>
              <w:rPr>
                <w:rFonts w:cs="Arial"/>
                <w:color w:val="FF0000"/>
                <w:sz w:val="21"/>
                <w:szCs w:val="21"/>
              </w:rPr>
            </w:pPr>
          </w:p>
        </w:tc>
        <w:tc>
          <w:tcPr>
            <w:tcW w:w="217" w:type="dxa"/>
          </w:tcPr>
          <w:p w14:paraId="103E665C" w14:textId="77777777" w:rsidR="002C0FD9" w:rsidRPr="00CA25CF" w:rsidRDefault="002C0FD9" w:rsidP="00CA25CF">
            <w:pPr>
              <w:rPr>
                <w:rFonts w:cs="Arial"/>
                <w:color w:val="FF0000"/>
                <w:sz w:val="21"/>
                <w:szCs w:val="21"/>
              </w:rPr>
            </w:pPr>
          </w:p>
        </w:tc>
        <w:tc>
          <w:tcPr>
            <w:tcW w:w="217" w:type="dxa"/>
          </w:tcPr>
          <w:p w14:paraId="44E98C06" w14:textId="77777777" w:rsidR="002C0FD9" w:rsidRPr="00CA25CF" w:rsidRDefault="002C0FD9" w:rsidP="00CA25CF">
            <w:pPr>
              <w:rPr>
                <w:rFonts w:cs="Arial"/>
                <w:color w:val="FF0000"/>
                <w:sz w:val="21"/>
                <w:szCs w:val="21"/>
              </w:rPr>
            </w:pPr>
          </w:p>
        </w:tc>
        <w:tc>
          <w:tcPr>
            <w:tcW w:w="217" w:type="dxa"/>
          </w:tcPr>
          <w:p w14:paraId="4EAD8949" w14:textId="77777777" w:rsidR="002C0FD9" w:rsidRPr="00CA25CF" w:rsidRDefault="002C0FD9" w:rsidP="00CA25CF">
            <w:pPr>
              <w:rPr>
                <w:rFonts w:cs="Arial"/>
                <w:color w:val="FF0000"/>
                <w:sz w:val="21"/>
                <w:szCs w:val="21"/>
              </w:rPr>
            </w:pPr>
          </w:p>
        </w:tc>
        <w:tc>
          <w:tcPr>
            <w:tcW w:w="217" w:type="dxa"/>
          </w:tcPr>
          <w:p w14:paraId="72789DD1" w14:textId="77777777" w:rsidR="002C0FD9" w:rsidRPr="00CA25CF" w:rsidRDefault="002C0FD9" w:rsidP="00CA25CF">
            <w:pPr>
              <w:rPr>
                <w:rFonts w:cs="Arial"/>
                <w:color w:val="FF0000"/>
                <w:sz w:val="21"/>
                <w:szCs w:val="21"/>
              </w:rPr>
            </w:pPr>
          </w:p>
        </w:tc>
        <w:tc>
          <w:tcPr>
            <w:tcW w:w="217" w:type="dxa"/>
          </w:tcPr>
          <w:p w14:paraId="184B5523" w14:textId="77777777" w:rsidR="002C0FD9" w:rsidRPr="00CA25CF" w:rsidRDefault="002C0FD9" w:rsidP="00CA25CF">
            <w:pPr>
              <w:rPr>
                <w:rFonts w:cs="Arial"/>
                <w:color w:val="FF0000"/>
                <w:sz w:val="21"/>
                <w:szCs w:val="21"/>
              </w:rPr>
            </w:pPr>
          </w:p>
        </w:tc>
        <w:tc>
          <w:tcPr>
            <w:tcW w:w="217" w:type="dxa"/>
          </w:tcPr>
          <w:p w14:paraId="1D0DDD15" w14:textId="77777777" w:rsidR="002C0FD9" w:rsidRPr="00CA25CF" w:rsidRDefault="002C0FD9" w:rsidP="00CA25CF">
            <w:pPr>
              <w:rPr>
                <w:rFonts w:cs="Arial"/>
                <w:color w:val="FF0000"/>
                <w:sz w:val="21"/>
                <w:szCs w:val="21"/>
              </w:rPr>
            </w:pPr>
          </w:p>
        </w:tc>
        <w:tc>
          <w:tcPr>
            <w:tcW w:w="217" w:type="dxa"/>
          </w:tcPr>
          <w:p w14:paraId="37E73F67" w14:textId="77777777" w:rsidR="002C0FD9" w:rsidRPr="00CA25CF" w:rsidRDefault="002C0FD9" w:rsidP="00CA25CF">
            <w:pPr>
              <w:rPr>
                <w:rFonts w:cs="Arial"/>
                <w:color w:val="FF0000"/>
                <w:sz w:val="21"/>
                <w:szCs w:val="21"/>
              </w:rPr>
            </w:pPr>
          </w:p>
        </w:tc>
        <w:tc>
          <w:tcPr>
            <w:tcW w:w="217" w:type="dxa"/>
          </w:tcPr>
          <w:p w14:paraId="3D7824EA" w14:textId="77777777" w:rsidR="002C0FD9" w:rsidRPr="00CA25CF" w:rsidRDefault="002C0FD9" w:rsidP="00CA25CF">
            <w:pPr>
              <w:rPr>
                <w:rFonts w:cs="Arial"/>
                <w:color w:val="FF0000"/>
                <w:sz w:val="21"/>
                <w:szCs w:val="21"/>
              </w:rPr>
            </w:pPr>
          </w:p>
        </w:tc>
        <w:tc>
          <w:tcPr>
            <w:tcW w:w="217" w:type="dxa"/>
          </w:tcPr>
          <w:p w14:paraId="452CFE53" w14:textId="77777777" w:rsidR="002C0FD9" w:rsidRPr="00CA25CF" w:rsidRDefault="002C0FD9" w:rsidP="00CA25CF">
            <w:pPr>
              <w:rPr>
                <w:rFonts w:cs="Arial"/>
                <w:color w:val="FF0000"/>
                <w:sz w:val="21"/>
                <w:szCs w:val="21"/>
              </w:rPr>
            </w:pPr>
          </w:p>
        </w:tc>
        <w:tc>
          <w:tcPr>
            <w:tcW w:w="217" w:type="dxa"/>
          </w:tcPr>
          <w:p w14:paraId="6A257D68" w14:textId="77777777" w:rsidR="002C0FD9" w:rsidRPr="00CA25CF" w:rsidRDefault="002C0FD9" w:rsidP="00CA25CF">
            <w:pPr>
              <w:rPr>
                <w:rFonts w:cs="Arial"/>
                <w:color w:val="FF0000"/>
                <w:sz w:val="21"/>
                <w:szCs w:val="21"/>
              </w:rPr>
            </w:pPr>
          </w:p>
        </w:tc>
        <w:tc>
          <w:tcPr>
            <w:tcW w:w="217" w:type="dxa"/>
          </w:tcPr>
          <w:p w14:paraId="3B48F505" w14:textId="77777777" w:rsidR="002C0FD9" w:rsidRPr="00CA25CF" w:rsidRDefault="002C0FD9" w:rsidP="00CA25CF">
            <w:pPr>
              <w:rPr>
                <w:rFonts w:cs="Arial"/>
                <w:color w:val="FF0000"/>
                <w:sz w:val="21"/>
                <w:szCs w:val="21"/>
              </w:rPr>
            </w:pPr>
          </w:p>
        </w:tc>
        <w:tc>
          <w:tcPr>
            <w:tcW w:w="217" w:type="dxa"/>
          </w:tcPr>
          <w:p w14:paraId="78EC8C6A" w14:textId="77777777" w:rsidR="002C0FD9" w:rsidRPr="00CA25CF" w:rsidRDefault="002C0FD9" w:rsidP="00CA25CF">
            <w:pPr>
              <w:rPr>
                <w:rFonts w:cs="Arial"/>
                <w:color w:val="FF0000"/>
                <w:sz w:val="21"/>
                <w:szCs w:val="21"/>
              </w:rPr>
            </w:pPr>
          </w:p>
        </w:tc>
        <w:tc>
          <w:tcPr>
            <w:tcW w:w="217" w:type="dxa"/>
          </w:tcPr>
          <w:p w14:paraId="25D3C947" w14:textId="77777777" w:rsidR="002C0FD9" w:rsidRPr="00CA25CF" w:rsidRDefault="002C0FD9" w:rsidP="00CA25CF">
            <w:pPr>
              <w:rPr>
                <w:rFonts w:cs="Arial"/>
                <w:color w:val="FF0000"/>
                <w:sz w:val="21"/>
                <w:szCs w:val="21"/>
              </w:rPr>
            </w:pPr>
          </w:p>
        </w:tc>
        <w:tc>
          <w:tcPr>
            <w:tcW w:w="217" w:type="dxa"/>
          </w:tcPr>
          <w:p w14:paraId="48DD6B8E" w14:textId="77777777" w:rsidR="002C0FD9" w:rsidRPr="00CA25CF" w:rsidRDefault="002C0FD9" w:rsidP="00CA25CF">
            <w:pPr>
              <w:rPr>
                <w:rFonts w:cs="Arial"/>
                <w:color w:val="FF0000"/>
                <w:sz w:val="21"/>
                <w:szCs w:val="21"/>
              </w:rPr>
            </w:pPr>
          </w:p>
        </w:tc>
        <w:tc>
          <w:tcPr>
            <w:tcW w:w="217" w:type="dxa"/>
          </w:tcPr>
          <w:p w14:paraId="7173FA5A" w14:textId="77777777" w:rsidR="002C0FD9" w:rsidRPr="00CA25CF" w:rsidRDefault="002C0FD9" w:rsidP="00CA25CF">
            <w:pPr>
              <w:rPr>
                <w:rFonts w:cs="Arial"/>
                <w:color w:val="FF0000"/>
                <w:sz w:val="21"/>
                <w:szCs w:val="21"/>
              </w:rPr>
            </w:pPr>
          </w:p>
        </w:tc>
        <w:tc>
          <w:tcPr>
            <w:tcW w:w="217" w:type="dxa"/>
          </w:tcPr>
          <w:p w14:paraId="095851C0" w14:textId="77777777" w:rsidR="002C0FD9" w:rsidRPr="00CA25CF" w:rsidRDefault="002C0FD9" w:rsidP="00CA25CF">
            <w:pPr>
              <w:rPr>
                <w:rFonts w:cs="Arial"/>
                <w:color w:val="FF0000"/>
                <w:sz w:val="21"/>
                <w:szCs w:val="21"/>
              </w:rPr>
            </w:pPr>
          </w:p>
        </w:tc>
        <w:tc>
          <w:tcPr>
            <w:tcW w:w="217" w:type="dxa"/>
          </w:tcPr>
          <w:p w14:paraId="1C44DA64" w14:textId="77777777" w:rsidR="002C0FD9" w:rsidRPr="00CA25CF" w:rsidRDefault="002C0FD9" w:rsidP="00CA25CF">
            <w:pPr>
              <w:rPr>
                <w:rFonts w:cs="Arial"/>
                <w:color w:val="FF0000"/>
                <w:sz w:val="21"/>
                <w:szCs w:val="21"/>
              </w:rPr>
            </w:pPr>
          </w:p>
        </w:tc>
        <w:tc>
          <w:tcPr>
            <w:tcW w:w="217" w:type="dxa"/>
          </w:tcPr>
          <w:p w14:paraId="187AE52E" w14:textId="77777777" w:rsidR="002C0FD9" w:rsidRPr="00CA25CF" w:rsidRDefault="002C0FD9" w:rsidP="00CA25CF">
            <w:pPr>
              <w:rPr>
                <w:rFonts w:cs="Arial"/>
                <w:color w:val="FF0000"/>
                <w:sz w:val="21"/>
                <w:szCs w:val="21"/>
              </w:rPr>
            </w:pPr>
          </w:p>
        </w:tc>
        <w:tc>
          <w:tcPr>
            <w:tcW w:w="217" w:type="dxa"/>
          </w:tcPr>
          <w:p w14:paraId="3DB6C7B0" w14:textId="77777777" w:rsidR="002C0FD9" w:rsidRPr="00CA25CF" w:rsidRDefault="002C0FD9" w:rsidP="00CA25CF">
            <w:pPr>
              <w:rPr>
                <w:rFonts w:cs="Arial"/>
                <w:color w:val="FF0000"/>
                <w:sz w:val="21"/>
                <w:szCs w:val="21"/>
              </w:rPr>
            </w:pPr>
          </w:p>
        </w:tc>
        <w:tc>
          <w:tcPr>
            <w:tcW w:w="217" w:type="dxa"/>
          </w:tcPr>
          <w:p w14:paraId="28178AB3" w14:textId="77777777" w:rsidR="002C0FD9" w:rsidRPr="00CA25CF" w:rsidRDefault="002C0FD9" w:rsidP="00CA25CF">
            <w:pPr>
              <w:rPr>
                <w:rFonts w:cs="Arial"/>
                <w:color w:val="FF0000"/>
                <w:sz w:val="21"/>
                <w:szCs w:val="21"/>
              </w:rPr>
            </w:pPr>
          </w:p>
        </w:tc>
        <w:tc>
          <w:tcPr>
            <w:tcW w:w="217" w:type="dxa"/>
          </w:tcPr>
          <w:p w14:paraId="2A30ADC0" w14:textId="77777777" w:rsidR="002C0FD9" w:rsidRPr="00CA25CF" w:rsidRDefault="002C0FD9" w:rsidP="00CA25CF">
            <w:pPr>
              <w:rPr>
                <w:rFonts w:cs="Arial"/>
                <w:color w:val="FF0000"/>
                <w:sz w:val="21"/>
                <w:szCs w:val="21"/>
              </w:rPr>
            </w:pPr>
          </w:p>
        </w:tc>
        <w:tc>
          <w:tcPr>
            <w:tcW w:w="217" w:type="dxa"/>
          </w:tcPr>
          <w:p w14:paraId="2886657C" w14:textId="77777777" w:rsidR="002C0FD9" w:rsidRPr="00CA25CF" w:rsidRDefault="002C0FD9" w:rsidP="00CA25CF">
            <w:pPr>
              <w:rPr>
                <w:rFonts w:cs="Arial"/>
                <w:color w:val="FF0000"/>
                <w:sz w:val="21"/>
                <w:szCs w:val="21"/>
              </w:rPr>
            </w:pPr>
          </w:p>
        </w:tc>
        <w:tc>
          <w:tcPr>
            <w:tcW w:w="217" w:type="dxa"/>
          </w:tcPr>
          <w:p w14:paraId="46F00B81" w14:textId="77777777" w:rsidR="002C0FD9" w:rsidRPr="00CA25CF" w:rsidRDefault="002C0FD9" w:rsidP="00CA25CF">
            <w:pPr>
              <w:rPr>
                <w:rFonts w:cs="Arial"/>
                <w:color w:val="FF0000"/>
                <w:sz w:val="21"/>
                <w:szCs w:val="21"/>
              </w:rPr>
            </w:pPr>
          </w:p>
        </w:tc>
        <w:tc>
          <w:tcPr>
            <w:tcW w:w="217" w:type="dxa"/>
          </w:tcPr>
          <w:p w14:paraId="01F63C51" w14:textId="77777777" w:rsidR="002C0FD9" w:rsidRPr="00CA25CF" w:rsidRDefault="002C0FD9" w:rsidP="00CA25CF">
            <w:pPr>
              <w:rPr>
                <w:rFonts w:cs="Arial"/>
                <w:color w:val="FF0000"/>
                <w:sz w:val="21"/>
                <w:szCs w:val="21"/>
              </w:rPr>
            </w:pPr>
          </w:p>
        </w:tc>
        <w:tc>
          <w:tcPr>
            <w:tcW w:w="217" w:type="dxa"/>
          </w:tcPr>
          <w:p w14:paraId="5E74AAD8" w14:textId="77777777" w:rsidR="002C0FD9" w:rsidRPr="00CA25CF" w:rsidRDefault="002C0FD9" w:rsidP="00CA25CF">
            <w:pPr>
              <w:rPr>
                <w:rFonts w:cs="Arial"/>
                <w:color w:val="FF0000"/>
                <w:sz w:val="21"/>
                <w:szCs w:val="21"/>
              </w:rPr>
            </w:pPr>
          </w:p>
        </w:tc>
        <w:tc>
          <w:tcPr>
            <w:tcW w:w="217" w:type="dxa"/>
          </w:tcPr>
          <w:p w14:paraId="3CCAFBE2" w14:textId="77777777" w:rsidR="002C0FD9" w:rsidRPr="00CA25CF" w:rsidRDefault="002C0FD9" w:rsidP="00CA25CF">
            <w:pPr>
              <w:rPr>
                <w:rFonts w:cs="Arial"/>
                <w:color w:val="FF0000"/>
                <w:sz w:val="21"/>
                <w:szCs w:val="21"/>
              </w:rPr>
            </w:pPr>
          </w:p>
        </w:tc>
        <w:tc>
          <w:tcPr>
            <w:tcW w:w="217" w:type="dxa"/>
          </w:tcPr>
          <w:p w14:paraId="522DEEA8" w14:textId="77777777" w:rsidR="002C0FD9" w:rsidRPr="00CA25CF" w:rsidRDefault="002C0FD9" w:rsidP="00CA25CF">
            <w:pPr>
              <w:rPr>
                <w:rFonts w:cs="Arial"/>
                <w:color w:val="FF0000"/>
                <w:sz w:val="21"/>
                <w:szCs w:val="21"/>
              </w:rPr>
            </w:pPr>
          </w:p>
        </w:tc>
        <w:tc>
          <w:tcPr>
            <w:tcW w:w="217" w:type="dxa"/>
          </w:tcPr>
          <w:p w14:paraId="47298FE7" w14:textId="77777777" w:rsidR="002C0FD9" w:rsidRPr="00CA25CF" w:rsidRDefault="002C0FD9" w:rsidP="00CA25CF">
            <w:pPr>
              <w:rPr>
                <w:rFonts w:cs="Arial"/>
                <w:color w:val="FF0000"/>
                <w:sz w:val="21"/>
                <w:szCs w:val="21"/>
              </w:rPr>
            </w:pPr>
          </w:p>
        </w:tc>
      </w:tr>
      <w:tr w:rsidR="002C0FD9" w:rsidRPr="00A16219" w14:paraId="311D01D2" w14:textId="77777777" w:rsidTr="002C0FD9">
        <w:trPr>
          <w:trHeight w:val="635"/>
        </w:trPr>
        <w:tc>
          <w:tcPr>
            <w:tcW w:w="515" w:type="dxa"/>
          </w:tcPr>
          <w:p w14:paraId="45D64B31" w14:textId="77777777" w:rsidR="002C0FD9" w:rsidRPr="00CA25CF" w:rsidRDefault="002C0FD9" w:rsidP="00CA25CF">
            <w:pPr>
              <w:rPr>
                <w:rFonts w:cs="Arial"/>
                <w:color w:val="FF0000"/>
                <w:sz w:val="21"/>
                <w:szCs w:val="21"/>
              </w:rPr>
            </w:pPr>
          </w:p>
        </w:tc>
        <w:tc>
          <w:tcPr>
            <w:tcW w:w="217" w:type="dxa"/>
          </w:tcPr>
          <w:p w14:paraId="490F7775" w14:textId="77777777" w:rsidR="002C0FD9" w:rsidRPr="00CA25CF" w:rsidRDefault="002C0FD9" w:rsidP="00CA25CF">
            <w:pPr>
              <w:rPr>
                <w:rFonts w:cs="Arial"/>
                <w:color w:val="FF0000"/>
                <w:sz w:val="21"/>
                <w:szCs w:val="21"/>
              </w:rPr>
            </w:pPr>
          </w:p>
        </w:tc>
        <w:tc>
          <w:tcPr>
            <w:tcW w:w="217" w:type="dxa"/>
          </w:tcPr>
          <w:p w14:paraId="7166A97B" w14:textId="77777777" w:rsidR="002C0FD9" w:rsidRPr="00CA25CF" w:rsidRDefault="002C0FD9" w:rsidP="00CA25CF">
            <w:pPr>
              <w:rPr>
                <w:rFonts w:cs="Arial"/>
                <w:color w:val="FF0000"/>
                <w:sz w:val="21"/>
                <w:szCs w:val="21"/>
              </w:rPr>
            </w:pPr>
          </w:p>
        </w:tc>
        <w:tc>
          <w:tcPr>
            <w:tcW w:w="217" w:type="dxa"/>
          </w:tcPr>
          <w:p w14:paraId="0A80B5B2" w14:textId="77777777" w:rsidR="002C0FD9" w:rsidRPr="00CA25CF" w:rsidRDefault="002C0FD9" w:rsidP="00CA25CF">
            <w:pPr>
              <w:rPr>
                <w:rFonts w:cs="Arial"/>
                <w:color w:val="FF0000"/>
                <w:sz w:val="21"/>
                <w:szCs w:val="21"/>
              </w:rPr>
            </w:pPr>
          </w:p>
        </w:tc>
        <w:tc>
          <w:tcPr>
            <w:tcW w:w="217" w:type="dxa"/>
          </w:tcPr>
          <w:p w14:paraId="06C71142" w14:textId="77777777" w:rsidR="002C0FD9" w:rsidRPr="00CA25CF" w:rsidRDefault="002C0FD9" w:rsidP="00CA25CF">
            <w:pPr>
              <w:rPr>
                <w:rFonts w:cs="Arial"/>
                <w:color w:val="FF0000"/>
                <w:sz w:val="21"/>
                <w:szCs w:val="21"/>
              </w:rPr>
            </w:pPr>
          </w:p>
        </w:tc>
        <w:tc>
          <w:tcPr>
            <w:tcW w:w="217" w:type="dxa"/>
          </w:tcPr>
          <w:p w14:paraId="1DEDCF2B" w14:textId="77777777" w:rsidR="002C0FD9" w:rsidRPr="00CA25CF" w:rsidRDefault="002C0FD9" w:rsidP="00CA25CF">
            <w:pPr>
              <w:rPr>
                <w:rFonts w:cs="Arial"/>
                <w:color w:val="FF0000"/>
                <w:sz w:val="21"/>
                <w:szCs w:val="21"/>
              </w:rPr>
            </w:pPr>
          </w:p>
        </w:tc>
        <w:tc>
          <w:tcPr>
            <w:tcW w:w="217" w:type="dxa"/>
          </w:tcPr>
          <w:p w14:paraId="47317552" w14:textId="77777777" w:rsidR="002C0FD9" w:rsidRPr="00CA25CF" w:rsidRDefault="002C0FD9" w:rsidP="00CA25CF">
            <w:pPr>
              <w:rPr>
                <w:rFonts w:cs="Arial"/>
                <w:color w:val="FF0000"/>
                <w:sz w:val="21"/>
                <w:szCs w:val="21"/>
              </w:rPr>
            </w:pPr>
          </w:p>
        </w:tc>
        <w:tc>
          <w:tcPr>
            <w:tcW w:w="217" w:type="dxa"/>
          </w:tcPr>
          <w:p w14:paraId="4F6E9651" w14:textId="77777777" w:rsidR="002C0FD9" w:rsidRPr="00CA25CF" w:rsidRDefault="002C0FD9" w:rsidP="00CA25CF">
            <w:pPr>
              <w:rPr>
                <w:rFonts w:cs="Arial"/>
                <w:color w:val="FF0000"/>
                <w:sz w:val="21"/>
                <w:szCs w:val="21"/>
              </w:rPr>
            </w:pPr>
          </w:p>
        </w:tc>
        <w:tc>
          <w:tcPr>
            <w:tcW w:w="217" w:type="dxa"/>
          </w:tcPr>
          <w:p w14:paraId="60897EDC" w14:textId="77777777" w:rsidR="002C0FD9" w:rsidRPr="00CA25CF" w:rsidRDefault="002C0FD9" w:rsidP="00CA25CF">
            <w:pPr>
              <w:rPr>
                <w:rFonts w:cs="Arial"/>
                <w:color w:val="FF0000"/>
                <w:sz w:val="21"/>
                <w:szCs w:val="21"/>
              </w:rPr>
            </w:pPr>
          </w:p>
        </w:tc>
        <w:tc>
          <w:tcPr>
            <w:tcW w:w="217" w:type="dxa"/>
          </w:tcPr>
          <w:p w14:paraId="15D4AB2C" w14:textId="77777777" w:rsidR="002C0FD9" w:rsidRPr="00CA25CF" w:rsidRDefault="002C0FD9" w:rsidP="00CA25CF">
            <w:pPr>
              <w:rPr>
                <w:rFonts w:cs="Arial"/>
                <w:color w:val="FF0000"/>
                <w:sz w:val="21"/>
                <w:szCs w:val="21"/>
              </w:rPr>
            </w:pPr>
          </w:p>
        </w:tc>
        <w:tc>
          <w:tcPr>
            <w:tcW w:w="217" w:type="dxa"/>
          </w:tcPr>
          <w:p w14:paraId="1AB76405" w14:textId="77777777" w:rsidR="002C0FD9" w:rsidRPr="00CA25CF" w:rsidRDefault="002C0FD9" w:rsidP="00CA25CF">
            <w:pPr>
              <w:rPr>
                <w:rFonts w:cs="Arial"/>
                <w:color w:val="FF0000"/>
                <w:sz w:val="21"/>
                <w:szCs w:val="21"/>
              </w:rPr>
            </w:pPr>
          </w:p>
        </w:tc>
        <w:tc>
          <w:tcPr>
            <w:tcW w:w="217" w:type="dxa"/>
          </w:tcPr>
          <w:p w14:paraId="0884CDAA" w14:textId="77777777" w:rsidR="002C0FD9" w:rsidRPr="00CA25CF" w:rsidRDefault="002C0FD9" w:rsidP="00CA25CF">
            <w:pPr>
              <w:rPr>
                <w:rFonts w:cs="Arial"/>
                <w:color w:val="FF0000"/>
                <w:sz w:val="21"/>
                <w:szCs w:val="21"/>
              </w:rPr>
            </w:pPr>
          </w:p>
        </w:tc>
        <w:tc>
          <w:tcPr>
            <w:tcW w:w="217" w:type="dxa"/>
          </w:tcPr>
          <w:p w14:paraId="69D2AEEC" w14:textId="77777777" w:rsidR="002C0FD9" w:rsidRPr="00CA25CF" w:rsidRDefault="002C0FD9" w:rsidP="00CA25CF">
            <w:pPr>
              <w:rPr>
                <w:rFonts w:cs="Arial"/>
                <w:color w:val="FF0000"/>
                <w:sz w:val="21"/>
                <w:szCs w:val="21"/>
              </w:rPr>
            </w:pPr>
          </w:p>
        </w:tc>
        <w:tc>
          <w:tcPr>
            <w:tcW w:w="217" w:type="dxa"/>
          </w:tcPr>
          <w:p w14:paraId="528D8E77" w14:textId="77777777" w:rsidR="002C0FD9" w:rsidRPr="00CA25CF" w:rsidRDefault="002C0FD9" w:rsidP="00CA25CF">
            <w:pPr>
              <w:rPr>
                <w:rFonts w:cs="Arial"/>
                <w:color w:val="FF0000"/>
                <w:sz w:val="21"/>
                <w:szCs w:val="21"/>
              </w:rPr>
            </w:pPr>
          </w:p>
        </w:tc>
        <w:tc>
          <w:tcPr>
            <w:tcW w:w="217" w:type="dxa"/>
          </w:tcPr>
          <w:p w14:paraId="1B9F594D" w14:textId="77777777" w:rsidR="002C0FD9" w:rsidRPr="00CA25CF" w:rsidRDefault="002C0FD9" w:rsidP="00CA25CF">
            <w:pPr>
              <w:rPr>
                <w:rFonts w:cs="Arial"/>
                <w:color w:val="FF0000"/>
                <w:sz w:val="21"/>
                <w:szCs w:val="21"/>
              </w:rPr>
            </w:pPr>
          </w:p>
        </w:tc>
        <w:tc>
          <w:tcPr>
            <w:tcW w:w="217" w:type="dxa"/>
          </w:tcPr>
          <w:p w14:paraId="4B31B24B" w14:textId="77777777" w:rsidR="002C0FD9" w:rsidRPr="00CA25CF" w:rsidRDefault="002C0FD9" w:rsidP="00CA25CF">
            <w:pPr>
              <w:rPr>
                <w:rFonts w:cs="Arial"/>
                <w:color w:val="FF0000"/>
                <w:sz w:val="21"/>
                <w:szCs w:val="21"/>
              </w:rPr>
            </w:pPr>
          </w:p>
        </w:tc>
        <w:tc>
          <w:tcPr>
            <w:tcW w:w="217" w:type="dxa"/>
          </w:tcPr>
          <w:p w14:paraId="4C91C07C" w14:textId="77777777" w:rsidR="002C0FD9" w:rsidRPr="00CA25CF" w:rsidRDefault="002C0FD9" w:rsidP="00CA25CF">
            <w:pPr>
              <w:rPr>
                <w:rFonts w:cs="Arial"/>
                <w:color w:val="FF0000"/>
                <w:sz w:val="21"/>
                <w:szCs w:val="21"/>
              </w:rPr>
            </w:pPr>
          </w:p>
        </w:tc>
        <w:tc>
          <w:tcPr>
            <w:tcW w:w="217" w:type="dxa"/>
          </w:tcPr>
          <w:p w14:paraId="0E923BB4" w14:textId="77777777" w:rsidR="002C0FD9" w:rsidRPr="00CA25CF" w:rsidRDefault="002C0FD9" w:rsidP="00CA25CF">
            <w:pPr>
              <w:rPr>
                <w:rFonts w:cs="Arial"/>
                <w:color w:val="FF0000"/>
                <w:sz w:val="21"/>
                <w:szCs w:val="21"/>
              </w:rPr>
            </w:pPr>
          </w:p>
        </w:tc>
        <w:tc>
          <w:tcPr>
            <w:tcW w:w="217" w:type="dxa"/>
          </w:tcPr>
          <w:p w14:paraId="1B091606" w14:textId="77777777" w:rsidR="002C0FD9" w:rsidRPr="00CA25CF" w:rsidRDefault="002C0FD9" w:rsidP="00CA25CF">
            <w:pPr>
              <w:rPr>
                <w:rFonts w:cs="Arial"/>
                <w:color w:val="FF0000"/>
                <w:sz w:val="21"/>
                <w:szCs w:val="21"/>
              </w:rPr>
            </w:pPr>
          </w:p>
        </w:tc>
        <w:tc>
          <w:tcPr>
            <w:tcW w:w="217" w:type="dxa"/>
          </w:tcPr>
          <w:p w14:paraId="469EAF68" w14:textId="77777777" w:rsidR="002C0FD9" w:rsidRPr="00CA25CF" w:rsidRDefault="002C0FD9" w:rsidP="00CA25CF">
            <w:pPr>
              <w:rPr>
                <w:rFonts w:cs="Arial"/>
                <w:color w:val="FF0000"/>
                <w:sz w:val="21"/>
                <w:szCs w:val="21"/>
              </w:rPr>
            </w:pPr>
          </w:p>
        </w:tc>
        <w:tc>
          <w:tcPr>
            <w:tcW w:w="217" w:type="dxa"/>
          </w:tcPr>
          <w:p w14:paraId="50BC10B5" w14:textId="77777777" w:rsidR="002C0FD9" w:rsidRPr="00CA25CF" w:rsidRDefault="002C0FD9" w:rsidP="00CA25CF">
            <w:pPr>
              <w:rPr>
                <w:rFonts w:cs="Arial"/>
                <w:color w:val="FF0000"/>
                <w:sz w:val="21"/>
                <w:szCs w:val="21"/>
              </w:rPr>
            </w:pPr>
          </w:p>
        </w:tc>
        <w:tc>
          <w:tcPr>
            <w:tcW w:w="217" w:type="dxa"/>
          </w:tcPr>
          <w:p w14:paraId="59D9C71E" w14:textId="77777777" w:rsidR="002C0FD9" w:rsidRPr="00CA25CF" w:rsidRDefault="002C0FD9" w:rsidP="00CA25CF">
            <w:pPr>
              <w:rPr>
                <w:rFonts w:cs="Arial"/>
                <w:color w:val="FF0000"/>
                <w:sz w:val="21"/>
                <w:szCs w:val="21"/>
              </w:rPr>
            </w:pPr>
          </w:p>
        </w:tc>
        <w:tc>
          <w:tcPr>
            <w:tcW w:w="217" w:type="dxa"/>
          </w:tcPr>
          <w:p w14:paraId="12B8C229" w14:textId="77777777" w:rsidR="002C0FD9" w:rsidRPr="00CA25CF" w:rsidRDefault="002C0FD9" w:rsidP="00CA25CF">
            <w:pPr>
              <w:rPr>
                <w:rFonts w:cs="Arial"/>
                <w:color w:val="FF0000"/>
                <w:sz w:val="21"/>
                <w:szCs w:val="21"/>
              </w:rPr>
            </w:pPr>
          </w:p>
        </w:tc>
        <w:tc>
          <w:tcPr>
            <w:tcW w:w="217" w:type="dxa"/>
          </w:tcPr>
          <w:p w14:paraId="54FD66D3" w14:textId="77777777" w:rsidR="002C0FD9" w:rsidRPr="00CA25CF" w:rsidRDefault="002C0FD9" w:rsidP="00CA25CF">
            <w:pPr>
              <w:rPr>
                <w:rFonts w:cs="Arial"/>
                <w:color w:val="FF0000"/>
                <w:sz w:val="21"/>
                <w:szCs w:val="21"/>
              </w:rPr>
            </w:pPr>
          </w:p>
        </w:tc>
        <w:tc>
          <w:tcPr>
            <w:tcW w:w="217" w:type="dxa"/>
          </w:tcPr>
          <w:p w14:paraId="185E94E1" w14:textId="77777777" w:rsidR="002C0FD9" w:rsidRPr="00CA25CF" w:rsidRDefault="002C0FD9" w:rsidP="00CA25CF">
            <w:pPr>
              <w:rPr>
                <w:rFonts w:cs="Arial"/>
                <w:color w:val="FF0000"/>
                <w:sz w:val="21"/>
                <w:szCs w:val="21"/>
              </w:rPr>
            </w:pPr>
          </w:p>
        </w:tc>
        <w:tc>
          <w:tcPr>
            <w:tcW w:w="217" w:type="dxa"/>
          </w:tcPr>
          <w:p w14:paraId="7F82489C" w14:textId="77777777" w:rsidR="002C0FD9" w:rsidRPr="00CA25CF" w:rsidRDefault="002C0FD9" w:rsidP="00CA25CF">
            <w:pPr>
              <w:rPr>
                <w:rFonts w:cs="Arial"/>
                <w:color w:val="FF0000"/>
                <w:sz w:val="21"/>
                <w:szCs w:val="21"/>
              </w:rPr>
            </w:pPr>
          </w:p>
        </w:tc>
        <w:tc>
          <w:tcPr>
            <w:tcW w:w="217" w:type="dxa"/>
          </w:tcPr>
          <w:p w14:paraId="442896D0" w14:textId="77777777" w:rsidR="002C0FD9" w:rsidRPr="00CA25CF" w:rsidRDefault="002C0FD9" w:rsidP="00CA25CF">
            <w:pPr>
              <w:rPr>
                <w:rFonts w:cs="Arial"/>
                <w:color w:val="FF0000"/>
                <w:sz w:val="21"/>
                <w:szCs w:val="21"/>
              </w:rPr>
            </w:pPr>
          </w:p>
        </w:tc>
        <w:tc>
          <w:tcPr>
            <w:tcW w:w="217" w:type="dxa"/>
          </w:tcPr>
          <w:p w14:paraId="642E7311" w14:textId="77777777" w:rsidR="002C0FD9" w:rsidRPr="00CA25CF" w:rsidRDefault="002C0FD9" w:rsidP="00CA25CF">
            <w:pPr>
              <w:rPr>
                <w:rFonts w:cs="Arial"/>
                <w:color w:val="FF0000"/>
                <w:sz w:val="21"/>
                <w:szCs w:val="21"/>
              </w:rPr>
            </w:pPr>
          </w:p>
        </w:tc>
        <w:tc>
          <w:tcPr>
            <w:tcW w:w="217" w:type="dxa"/>
          </w:tcPr>
          <w:p w14:paraId="65013448" w14:textId="77777777" w:rsidR="002C0FD9" w:rsidRPr="00CA25CF" w:rsidRDefault="002C0FD9" w:rsidP="00CA25CF">
            <w:pPr>
              <w:rPr>
                <w:rFonts w:cs="Arial"/>
                <w:color w:val="FF0000"/>
                <w:sz w:val="21"/>
                <w:szCs w:val="21"/>
              </w:rPr>
            </w:pPr>
          </w:p>
        </w:tc>
        <w:tc>
          <w:tcPr>
            <w:tcW w:w="217" w:type="dxa"/>
          </w:tcPr>
          <w:p w14:paraId="7A3F9794" w14:textId="77777777" w:rsidR="002C0FD9" w:rsidRPr="00CA25CF" w:rsidRDefault="002C0FD9" w:rsidP="00CA25CF">
            <w:pPr>
              <w:rPr>
                <w:rFonts w:cs="Arial"/>
                <w:color w:val="FF0000"/>
                <w:sz w:val="21"/>
                <w:szCs w:val="21"/>
              </w:rPr>
            </w:pPr>
          </w:p>
        </w:tc>
        <w:tc>
          <w:tcPr>
            <w:tcW w:w="217" w:type="dxa"/>
          </w:tcPr>
          <w:p w14:paraId="74A6F868" w14:textId="77777777" w:rsidR="002C0FD9" w:rsidRPr="00CA25CF" w:rsidRDefault="002C0FD9" w:rsidP="00CA25CF">
            <w:pPr>
              <w:rPr>
                <w:rFonts w:cs="Arial"/>
                <w:color w:val="FF0000"/>
                <w:sz w:val="21"/>
                <w:szCs w:val="21"/>
              </w:rPr>
            </w:pPr>
          </w:p>
        </w:tc>
        <w:tc>
          <w:tcPr>
            <w:tcW w:w="217" w:type="dxa"/>
          </w:tcPr>
          <w:p w14:paraId="4494A059" w14:textId="77777777" w:rsidR="002C0FD9" w:rsidRPr="00CA25CF" w:rsidRDefault="002C0FD9" w:rsidP="00CA25CF">
            <w:pPr>
              <w:rPr>
                <w:rFonts w:cs="Arial"/>
                <w:color w:val="FF0000"/>
                <w:sz w:val="21"/>
                <w:szCs w:val="21"/>
              </w:rPr>
            </w:pPr>
          </w:p>
        </w:tc>
        <w:tc>
          <w:tcPr>
            <w:tcW w:w="217" w:type="dxa"/>
          </w:tcPr>
          <w:p w14:paraId="14D845D5" w14:textId="77777777" w:rsidR="002C0FD9" w:rsidRPr="00CA25CF" w:rsidRDefault="002C0FD9" w:rsidP="00CA25CF">
            <w:pPr>
              <w:rPr>
                <w:rFonts w:cs="Arial"/>
                <w:color w:val="FF0000"/>
                <w:sz w:val="21"/>
                <w:szCs w:val="21"/>
              </w:rPr>
            </w:pPr>
          </w:p>
        </w:tc>
        <w:tc>
          <w:tcPr>
            <w:tcW w:w="217" w:type="dxa"/>
          </w:tcPr>
          <w:p w14:paraId="47FBCB81" w14:textId="77777777" w:rsidR="002C0FD9" w:rsidRPr="00CA25CF" w:rsidRDefault="002C0FD9" w:rsidP="00CA25CF">
            <w:pPr>
              <w:rPr>
                <w:rFonts w:cs="Arial"/>
                <w:color w:val="FF0000"/>
                <w:sz w:val="21"/>
                <w:szCs w:val="21"/>
              </w:rPr>
            </w:pPr>
          </w:p>
        </w:tc>
        <w:tc>
          <w:tcPr>
            <w:tcW w:w="217" w:type="dxa"/>
          </w:tcPr>
          <w:p w14:paraId="21BAE683" w14:textId="77777777" w:rsidR="002C0FD9" w:rsidRPr="00CA25CF" w:rsidRDefault="002C0FD9" w:rsidP="00CA25CF">
            <w:pPr>
              <w:rPr>
                <w:rFonts w:cs="Arial"/>
                <w:color w:val="FF0000"/>
                <w:sz w:val="21"/>
                <w:szCs w:val="21"/>
              </w:rPr>
            </w:pPr>
          </w:p>
        </w:tc>
        <w:tc>
          <w:tcPr>
            <w:tcW w:w="217" w:type="dxa"/>
          </w:tcPr>
          <w:p w14:paraId="1A29F07B" w14:textId="77777777" w:rsidR="002C0FD9" w:rsidRPr="00CA25CF" w:rsidRDefault="002C0FD9" w:rsidP="00CA25CF">
            <w:pPr>
              <w:rPr>
                <w:rFonts w:cs="Arial"/>
                <w:color w:val="FF0000"/>
                <w:sz w:val="21"/>
                <w:szCs w:val="21"/>
              </w:rPr>
            </w:pPr>
          </w:p>
        </w:tc>
        <w:tc>
          <w:tcPr>
            <w:tcW w:w="217" w:type="dxa"/>
          </w:tcPr>
          <w:p w14:paraId="55FB5DB3" w14:textId="77777777" w:rsidR="002C0FD9" w:rsidRPr="00CA25CF" w:rsidRDefault="002C0FD9" w:rsidP="00CA25CF">
            <w:pPr>
              <w:rPr>
                <w:rFonts w:cs="Arial"/>
                <w:color w:val="FF0000"/>
                <w:sz w:val="21"/>
                <w:szCs w:val="21"/>
              </w:rPr>
            </w:pPr>
          </w:p>
        </w:tc>
        <w:tc>
          <w:tcPr>
            <w:tcW w:w="217" w:type="dxa"/>
          </w:tcPr>
          <w:p w14:paraId="27466CA7" w14:textId="77777777" w:rsidR="002C0FD9" w:rsidRPr="00CA25CF" w:rsidRDefault="002C0FD9" w:rsidP="00CA25CF">
            <w:pPr>
              <w:rPr>
                <w:rFonts w:cs="Arial"/>
                <w:color w:val="FF0000"/>
                <w:sz w:val="21"/>
                <w:szCs w:val="21"/>
              </w:rPr>
            </w:pPr>
          </w:p>
        </w:tc>
        <w:tc>
          <w:tcPr>
            <w:tcW w:w="217" w:type="dxa"/>
          </w:tcPr>
          <w:p w14:paraId="53C3073A" w14:textId="77777777" w:rsidR="002C0FD9" w:rsidRPr="00CA25CF" w:rsidRDefault="002C0FD9" w:rsidP="00CA25CF">
            <w:pPr>
              <w:rPr>
                <w:rFonts w:cs="Arial"/>
                <w:color w:val="FF0000"/>
                <w:sz w:val="21"/>
                <w:szCs w:val="21"/>
              </w:rPr>
            </w:pPr>
          </w:p>
        </w:tc>
        <w:tc>
          <w:tcPr>
            <w:tcW w:w="217" w:type="dxa"/>
          </w:tcPr>
          <w:p w14:paraId="7BF91DA0" w14:textId="77777777" w:rsidR="002C0FD9" w:rsidRPr="00CA25CF" w:rsidRDefault="002C0FD9" w:rsidP="00CA25CF">
            <w:pPr>
              <w:rPr>
                <w:rFonts w:cs="Arial"/>
                <w:color w:val="FF0000"/>
                <w:sz w:val="21"/>
                <w:szCs w:val="21"/>
              </w:rPr>
            </w:pPr>
          </w:p>
        </w:tc>
        <w:tc>
          <w:tcPr>
            <w:tcW w:w="217" w:type="dxa"/>
          </w:tcPr>
          <w:p w14:paraId="1EF27000" w14:textId="77777777" w:rsidR="002C0FD9" w:rsidRPr="00CA25CF" w:rsidRDefault="002C0FD9" w:rsidP="00CA25CF">
            <w:pPr>
              <w:rPr>
                <w:rFonts w:cs="Arial"/>
                <w:color w:val="FF0000"/>
                <w:sz w:val="21"/>
                <w:szCs w:val="21"/>
              </w:rPr>
            </w:pPr>
          </w:p>
        </w:tc>
        <w:tc>
          <w:tcPr>
            <w:tcW w:w="217" w:type="dxa"/>
          </w:tcPr>
          <w:p w14:paraId="55BF60A1" w14:textId="77777777" w:rsidR="002C0FD9" w:rsidRPr="00CA25CF" w:rsidRDefault="002C0FD9" w:rsidP="00CA25CF">
            <w:pPr>
              <w:rPr>
                <w:rFonts w:cs="Arial"/>
                <w:color w:val="FF0000"/>
                <w:sz w:val="21"/>
                <w:szCs w:val="21"/>
              </w:rPr>
            </w:pPr>
          </w:p>
        </w:tc>
        <w:tc>
          <w:tcPr>
            <w:tcW w:w="217" w:type="dxa"/>
          </w:tcPr>
          <w:p w14:paraId="29EAD5E9" w14:textId="77777777" w:rsidR="002C0FD9" w:rsidRPr="00CA25CF" w:rsidRDefault="002C0FD9" w:rsidP="00CA25CF">
            <w:pPr>
              <w:rPr>
                <w:rFonts w:cs="Arial"/>
                <w:color w:val="FF0000"/>
                <w:sz w:val="21"/>
                <w:szCs w:val="21"/>
              </w:rPr>
            </w:pPr>
          </w:p>
        </w:tc>
      </w:tr>
      <w:tr w:rsidR="002C0FD9" w:rsidRPr="00A16219" w14:paraId="7F949665" w14:textId="77777777" w:rsidTr="002C0FD9">
        <w:trPr>
          <w:trHeight w:val="635"/>
        </w:trPr>
        <w:tc>
          <w:tcPr>
            <w:tcW w:w="515" w:type="dxa"/>
          </w:tcPr>
          <w:p w14:paraId="40DB9547" w14:textId="77777777" w:rsidR="002C0FD9" w:rsidRPr="00CA25CF" w:rsidRDefault="002C0FD9" w:rsidP="00CA25CF">
            <w:pPr>
              <w:rPr>
                <w:rFonts w:cs="Arial"/>
                <w:color w:val="FF0000"/>
                <w:sz w:val="21"/>
                <w:szCs w:val="21"/>
              </w:rPr>
            </w:pPr>
          </w:p>
        </w:tc>
        <w:tc>
          <w:tcPr>
            <w:tcW w:w="217" w:type="dxa"/>
          </w:tcPr>
          <w:p w14:paraId="42FAA347" w14:textId="77777777" w:rsidR="002C0FD9" w:rsidRPr="00CA25CF" w:rsidRDefault="002C0FD9" w:rsidP="00CA25CF">
            <w:pPr>
              <w:rPr>
                <w:rFonts w:cs="Arial"/>
                <w:color w:val="FF0000"/>
                <w:sz w:val="21"/>
                <w:szCs w:val="21"/>
              </w:rPr>
            </w:pPr>
          </w:p>
        </w:tc>
        <w:tc>
          <w:tcPr>
            <w:tcW w:w="217" w:type="dxa"/>
          </w:tcPr>
          <w:p w14:paraId="2456B682" w14:textId="77777777" w:rsidR="002C0FD9" w:rsidRPr="00CA25CF" w:rsidRDefault="002C0FD9" w:rsidP="00CA25CF">
            <w:pPr>
              <w:rPr>
                <w:rFonts w:cs="Arial"/>
                <w:color w:val="FF0000"/>
                <w:sz w:val="21"/>
                <w:szCs w:val="21"/>
              </w:rPr>
            </w:pPr>
          </w:p>
        </w:tc>
        <w:tc>
          <w:tcPr>
            <w:tcW w:w="217" w:type="dxa"/>
          </w:tcPr>
          <w:p w14:paraId="2DA4594B" w14:textId="77777777" w:rsidR="002C0FD9" w:rsidRPr="00CA25CF" w:rsidRDefault="002C0FD9" w:rsidP="00CA25CF">
            <w:pPr>
              <w:rPr>
                <w:rFonts w:cs="Arial"/>
                <w:color w:val="FF0000"/>
                <w:sz w:val="21"/>
                <w:szCs w:val="21"/>
              </w:rPr>
            </w:pPr>
          </w:p>
        </w:tc>
        <w:tc>
          <w:tcPr>
            <w:tcW w:w="217" w:type="dxa"/>
          </w:tcPr>
          <w:p w14:paraId="15025157" w14:textId="77777777" w:rsidR="002C0FD9" w:rsidRPr="00CA25CF" w:rsidRDefault="002C0FD9" w:rsidP="00CA25CF">
            <w:pPr>
              <w:rPr>
                <w:rFonts w:cs="Arial"/>
                <w:color w:val="FF0000"/>
                <w:sz w:val="21"/>
                <w:szCs w:val="21"/>
              </w:rPr>
            </w:pPr>
          </w:p>
        </w:tc>
        <w:tc>
          <w:tcPr>
            <w:tcW w:w="217" w:type="dxa"/>
          </w:tcPr>
          <w:p w14:paraId="14F727D6" w14:textId="77777777" w:rsidR="002C0FD9" w:rsidRPr="00CA25CF" w:rsidRDefault="002C0FD9" w:rsidP="00CA25CF">
            <w:pPr>
              <w:rPr>
                <w:rFonts w:cs="Arial"/>
                <w:color w:val="FF0000"/>
                <w:sz w:val="21"/>
                <w:szCs w:val="21"/>
              </w:rPr>
            </w:pPr>
          </w:p>
        </w:tc>
        <w:tc>
          <w:tcPr>
            <w:tcW w:w="217" w:type="dxa"/>
          </w:tcPr>
          <w:p w14:paraId="68BFFD2E" w14:textId="77777777" w:rsidR="002C0FD9" w:rsidRPr="00CA25CF" w:rsidRDefault="002C0FD9" w:rsidP="00CA25CF">
            <w:pPr>
              <w:rPr>
                <w:rFonts w:cs="Arial"/>
                <w:color w:val="FF0000"/>
                <w:sz w:val="21"/>
                <w:szCs w:val="21"/>
              </w:rPr>
            </w:pPr>
          </w:p>
        </w:tc>
        <w:tc>
          <w:tcPr>
            <w:tcW w:w="217" w:type="dxa"/>
          </w:tcPr>
          <w:p w14:paraId="2860AFA5" w14:textId="77777777" w:rsidR="002C0FD9" w:rsidRPr="00CA25CF" w:rsidRDefault="002C0FD9" w:rsidP="00CA25CF">
            <w:pPr>
              <w:rPr>
                <w:rFonts w:cs="Arial"/>
                <w:color w:val="FF0000"/>
                <w:sz w:val="21"/>
                <w:szCs w:val="21"/>
              </w:rPr>
            </w:pPr>
          </w:p>
        </w:tc>
        <w:tc>
          <w:tcPr>
            <w:tcW w:w="217" w:type="dxa"/>
          </w:tcPr>
          <w:p w14:paraId="203F0FEE" w14:textId="77777777" w:rsidR="002C0FD9" w:rsidRPr="00CA25CF" w:rsidRDefault="002C0FD9" w:rsidP="00CA25CF">
            <w:pPr>
              <w:rPr>
                <w:rFonts w:cs="Arial"/>
                <w:color w:val="FF0000"/>
                <w:sz w:val="21"/>
                <w:szCs w:val="21"/>
              </w:rPr>
            </w:pPr>
          </w:p>
        </w:tc>
        <w:tc>
          <w:tcPr>
            <w:tcW w:w="217" w:type="dxa"/>
          </w:tcPr>
          <w:p w14:paraId="2E52DFC6" w14:textId="77777777" w:rsidR="002C0FD9" w:rsidRPr="00CA25CF" w:rsidRDefault="002C0FD9" w:rsidP="00CA25CF">
            <w:pPr>
              <w:rPr>
                <w:rFonts w:cs="Arial"/>
                <w:color w:val="FF0000"/>
                <w:sz w:val="21"/>
                <w:szCs w:val="21"/>
              </w:rPr>
            </w:pPr>
          </w:p>
        </w:tc>
        <w:tc>
          <w:tcPr>
            <w:tcW w:w="217" w:type="dxa"/>
          </w:tcPr>
          <w:p w14:paraId="3C5F7F41" w14:textId="77777777" w:rsidR="002C0FD9" w:rsidRPr="00CA25CF" w:rsidRDefault="002C0FD9" w:rsidP="00CA25CF">
            <w:pPr>
              <w:rPr>
                <w:rFonts w:cs="Arial"/>
                <w:color w:val="FF0000"/>
                <w:sz w:val="21"/>
                <w:szCs w:val="21"/>
              </w:rPr>
            </w:pPr>
          </w:p>
        </w:tc>
        <w:tc>
          <w:tcPr>
            <w:tcW w:w="217" w:type="dxa"/>
          </w:tcPr>
          <w:p w14:paraId="36A1AFAA" w14:textId="77777777" w:rsidR="002C0FD9" w:rsidRPr="00CA25CF" w:rsidRDefault="002C0FD9" w:rsidP="00CA25CF">
            <w:pPr>
              <w:rPr>
                <w:rFonts w:cs="Arial"/>
                <w:color w:val="FF0000"/>
                <w:sz w:val="21"/>
                <w:szCs w:val="21"/>
              </w:rPr>
            </w:pPr>
          </w:p>
        </w:tc>
        <w:tc>
          <w:tcPr>
            <w:tcW w:w="217" w:type="dxa"/>
          </w:tcPr>
          <w:p w14:paraId="73DCD86F" w14:textId="77777777" w:rsidR="002C0FD9" w:rsidRPr="00CA25CF" w:rsidRDefault="002C0FD9" w:rsidP="00CA25CF">
            <w:pPr>
              <w:rPr>
                <w:rFonts w:cs="Arial"/>
                <w:color w:val="FF0000"/>
                <w:sz w:val="21"/>
                <w:szCs w:val="21"/>
              </w:rPr>
            </w:pPr>
          </w:p>
        </w:tc>
        <w:tc>
          <w:tcPr>
            <w:tcW w:w="217" w:type="dxa"/>
          </w:tcPr>
          <w:p w14:paraId="7A6805B1" w14:textId="77777777" w:rsidR="002C0FD9" w:rsidRPr="00CA25CF" w:rsidRDefault="002C0FD9" w:rsidP="00CA25CF">
            <w:pPr>
              <w:rPr>
                <w:rFonts w:cs="Arial"/>
                <w:color w:val="FF0000"/>
                <w:sz w:val="21"/>
                <w:szCs w:val="21"/>
              </w:rPr>
            </w:pPr>
          </w:p>
        </w:tc>
        <w:tc>
          <w:tcPr>
            <w:tcW w:w="217" w:type="dxa"/>
          </w:tcPr>
          <w:p w14:paraId="03AF62BF" w14:textId="77777777" w:rsidR="002C0FD9" w:rsidRPr="00CA25CF" w:rsidRDefault="002C0FD9" w:rsidP="00CA25CF">
            <w:pPr>
              <w:rPr>
                <w:rFonts w:cs="Arial"/>
                <w:color w:val="FF0000"/>
                <w:sz w:val="21"/>
                <w:szCs w:val="21"/>
              </w:rPr>
            </w:pPr>
          </w:p>
        </w:tc>
        <w:tc>
          <w:tcPr>
            <w:tcW w:w="217" w:type="dxa"/>
          </w:tcPr>
          <w:p w14:paraId="7A6BEE35" w14:textId="77777777" w:rsidR="002C0FD9" w:rsidRPr="00CA25CF" w:rsidRDefault="002C0FD9" w:rsidP="00CA25CF">
            <w:pPr>
              <w:rPr>
                <w:rFonts w:cs="Arial"/>
                <w:color w:val="FF0000"/>
                <w:sz w:val="21"/>
                <w:szCs w:val="21"/>
              </w:rPr>
            </w:pPr>
          </w:p>
        </w:tc>
        <w:tc>
          <w:tcPr>
            <w:tcW w:w="217" w:type="dxa"/>
          </w:tcPr>
          <w:p w14:paraId="199E69A2" w14:textId="77777777" w:rsidR="002C0FD9" w:rsidRPr="00CA25CF" w:rsidRDefault="002C0FD9" w:rsidP="00CA25CF">
            <w:pPr>
              <w:rPr>
                <w:rFonts w:cs="Arial"/>
                <w:color w:val="FF0000"/>
                <w:sz w:val="21"/>
                <w:szCs w:val="21"/>
              </w:rPr>
            </w:pPr>
          </w:p>
        </w:tc>
        <w:tc>
          <w:tcPr>
            <w:tcW w:w="217" w:type="dxa"/>
          </w:tcPr>
          <w:p w14:paraId="6D47216C" w14:textId="77777777" w:rsidR="002C0FD9" w:rsidRPr="00CA25CF" w:rsidRDefault="002C0FD9" w:rsidP="00CA25CF">
            <w:pPr>
              <w:rPr>
                <w:rFonts w:cs="Arial"/>
                <w:color w:val="FF0000"/>
                <w:sz w:val="21"/>
                <w:szCs w:val="21"/>
              </w:rPr>
            </w:pPr>
          </w:p>
        </w:tc>
        <w:tc>
          <w:tcPr>
            <w:tcW w:w="217" w:type="dxa"/>
          </w:tcPr>
          <w:p w14:paraId="5CDA2791" w14:textId="77777777" w:rsidR="002C0FD9" w:rsidRPr="00CA25CF" w:rsidRDefault="002C0FD9" w:rsidP="00CA25CF">
            <w:pPr>
              <w:rPr>
                <w:rFonts w:cs="Arial"/>
                <w:color w:val="FF0000"/>
                <w:sz w:val="21"/>
                <w:szCs w:val="21"/>
              </w:rPr>
            </w:pPr>
          </w:p>
        </w:tc>
        <w:tc>
          <w:tcPr>
            <w:tcW w:w="217" w:type="dxa"/>
          </w:tcPr>
          <w:p w14:paraId="382CBEC4" w14:textId="77777777" w:rsidR="002C0FD9" w:rsidRPr="00CA25CF" w:rsidRDefault="002C0FD9" w:rsidP="00CA25CF">
            <w:pPr>
              <w:rPr>
                <w:rFonts w:cs="Arial"/>
                <w:color w:val="FF0000"/>
                <w:sz w:val="21"/>
                <w:szCs w:val="21"/>
              </w:rPr>
            </w:pPr>
          </w:p>
        </w:tc>
        <w:tc>
          <w:tcPr>
            <w:tcW w:w="217" w:type="dxa"/>
          </w:tcPr>
          <w:p w14:paraId="279F3DEC" w14:textId="77777777" w:rsidR="002C0FD9" w:rsidRPr="00CA25CF" w:rsidRDefault="002C0FD9" w:rsidP="00CA25CF">
            <w:pPr>
              <w:rPr>
                <w:rFonts w:cs="Arial"/>
                <w:color w:val="FF0000"/>
                <w:sz w:val="21"/>
                <w:szCs w:val="21"/>
              </w:rPr>
            </w:pPr>
          </w:p>
        </w:tc>
        <w:tc>
          <w:tcPr>
            <w:tcW w:w="217" w:type="dxa"/>
          </w:tcPr>
          <w:p w14:paraId="23173C9C" w14:textId="77777777" w:rsidR="002C0FD9" w:rsidRPr="00CA25CF" w:rsidRDefault="002C0FD9" w:rsidP="00CA25CF">
            <w:pPr>
              <w:rPr>
                <w:rFonts w:cs="Arial"/>
                <w:color w:val="FF0000"/>
                <w:sz w:val="21"/>
                <w:szCs w:val="21"/>
              </w:rPr>
            </w:pPr>
          </w:p>
        </w:tc>
        <w:tc>
          <w:tcPr>
            <w:tcW w:w="217" w:type="dxa"/>
          </w:tcPr>
          <w:p w14:paraId="4D7CF726" w14:textId="77777777" w:rsidR="002C0FD9" w:rsidRPr="00CA25CF" w:rsidRDefault="002C0FD9" w:rsidP="00CA25CF">
            <w:pPr>
              <w:rPr>
                <w:rFonts w:cs="Arial"/>
                <w:color w:val="FF0000"/>
                <w:sz w:val="21"/>
                <w:szCs w:val="21"/>
              </w:rPr>
            </w:pPr>
          </w:p>
        </w:tc>
        <w:tc>
          <w:tcPr>
            <w:tcW w:w="217" w:type="dxa"/>
          </w:tcPr>
          <w:p w14:paraId="4E225BC6" w14:textId="77777777" w:rsidR="002C0FD9" w:rsidRPr="00CA25CF" w:rsidRDefault="002C0FD9" w:rsidP="00CA25CF">
            <w:pPr>
              <w:rPr>
                <w:rFonts w:cs="Arial"/>
                <w:color w:val="FF0000"/>
                <w:sz w:val="21"/>
                <w:szCs w:val="21"/>
              </w:rPr>
            </w:pPr>
          </w:p>
        </w:tc>
        <w:tc>
          <w:tcPr>
            <w:tcW w:w="217" w:type="dxa"/>
          </w:tcPr>
          <w:p w14:paraId="17279525" w14:textId="77777777" w:rsidR="002C0FD9" w:rsidRPr="00CA25CF" w:rsidRDefault="002C0FD9" w:rsidP="00CA25CF">
            <w:pPr>
              <w:rPr>
                <w:rFonts w:cs="Arial"/>
                <w:color w:val="FF0000"/>
                <w:sz w:val="21"/>
                <w:szCs w:val="21"/>
              </w:rPr>
            </w:pPr>
          </w:p>
        </w:tc>
        <w:tc>
          <w:tcPr>
            <w:tcW w:w="217" w:type="dxa"/>
          </w:tcPr>
          <w:p w14:paraId="64917A97" w14:textId="77777777" w:rsidR="002C0FD9" w:rsidRPr="00CA25CF" w:rsidRDefault="002C0FD9" w:rsidP="00CA25CF">
            <w:pPr>
              <w:rPr>
                <w:rFonts w:cs="Arial"/>
                <w:color w:val="FF0000"/>
                <w:sz w:val="21"/>
                <w:szCs w:val="21"/>
              </w:rPr>
            </w:pPr>
          </w:p>
        </w:tc>
        <w:tc>
          <w:tcPr>
            <w:tcW w:w="217" w:type="dxa"/>
          </w:tcPr>
          <w:p w14:paraId="3C18DE01" w14:textId="77777777" w:rsidR="002C0FD9" w:rsidRPr="00CA25CF" w:rsidRDefault="002C0FD9" w:rsidP="00CA25CF">
            <w:pPr>
              <w:rPr>
                <w:rFonts w:cs="Arial"/>
                <w:color w:val="FF0000"/>
                <w:sz w:val="21"/>
                <w:szCs w:val="21"/>
              </w:rPr>
            </w:pPr>
          </w:p>
        </w:tc>
        <w:tc>
          <w:tcPr>
            <w:tcW w:w="217" w:type="dxa"/>
          </w:tcPr>
          <w:p w14:paraId="21099C77" w14:textId="77777777" w:rsidR="002C0FD9" w:rsidRPr="00CA25CF" w:rsidRDefault="002C0FD9" w:rsidP="00CA25CF">
            <w:pPr>
              <w:rPr>
                <w:rFonts w:cs="Arial"/>
                <w:color w:val="FF0000"/>
                <w:sz w:val="21"/>
                <w:szCs w:val="21"/>
              </w:rPr>
            </w:pPr>
          </w:p>
        </w:tc>
        <w:tc>
          <w:tcPr>
            <w:tcW w:w="217" w:type="dxa"/>
          </w:tcPr>
          <w:p w14:paraId="08C43B61" w14:textId="77777777" w:rsidR="002C0FD9" w:rsidRPr="00CA25CF" w:rsidRDefault="002C0FD9" w:rsidP="00CA25CF">
            <w:pPr>
              <w:rPr>
                <w:rFonts w:cs="Arial"/>
                <w:color w:val="FF0000"/>
                <w:sz w:val="21"/>
                <w:szCs w:val="21"/>
              </w:rPr>
            </w:pPr>
          </w:p>
        </w:tc>
        <w:tc>
          <w:tcPr>
            <w:tcW w:w="217" w:type="dxa"/>
          </w:tcPr>
          <w:p w14:paraId="6B26A9EA" w14:textId="77777777" w:rsidR="002C0FD9" w:rsidRPr="00CA25CF" w:rsidRDefault="002C0FD9" w:rsidP="00CA25CF">
            <w:pPr>
              <w:rPr>
                <w:rFonts w:cs="Arial"/>
                <w:color w:val="FF0000"/>
                <w:sz w:val="21"/>
                <w:szCs w:val="21"/>
              </w:rPr>
            </w:pPr>
          </w:p>
        </w:tc>
        <w:tc>
          <w:tcPr>
            <w:tcW w:w="217" w:type="dxa"/>
          </w:tcPr>
          <w:p w14:paraId="45516042" w14:textId="77777777" w:rsidR="002C0FD9" w:rsidRPr="00CA25CF" w:rsidRDefault="002C0FD9" w:rsidP="00CA25CF">
            <w:pPr>
              <w:rPr>
                <w:rFonts w:cs="Arial"/>
                <w:color w:val="FF0000"/>
                <w:sz w:val="21"/>
                <w:szCs w:val="21"/>
              </w:rPr>
            </w:pPr>
          </w:p>
        </w:tc>
        <w:tc>
          <w:tcPr>
            <w:tcW w:w="217" w:type="dxa"/>
          </w:tcPr>
          <w:p w14:paraId="5DE68D2E" w14:textId="77777777" w:rsidR="002C0FD9" w:rsidRPr="00CA25CF" w:rsidRDefault="002C0FD9" w:rsidP="00CA25CF">
            <w:pPr>
              <w:rPr>
                <w:rFonts w:cs="Arial"/>
                <w:color w:val="FF0000"/>
                <w:sz w:val="21"/>
                <w:szCs w:val="21"/>
              </w:rPr>
            </w:pPr>
          </w:p>
        </w:tc>
        <w:tc>
          <w:tcPr>
            <w:tcW w:w="217" w:type="dxa"/>
          </w:tcPr>
          <w:p w14:paraId="70C3094E" w14:textId="77777777" w:rsidR="002C0FD9" w:rsidRPr="00CA25CF" w:rsidRDefault="002C0FD9" w:rsidP="00CA25CF">
            <w:pPr>
              <w:rPr>
                <w:rFonts w:cs="Arial"/>
                <w:color w:val="FF0000"/>
                <w:sz w:val="21"/>
                <w:szCs w:val="21"/>
              </w:rPr>
            </w:pPr>
          </w:p>
        </w:tc>
        <w:tc>
          <w:tcPr>
            <w:tcW w:w="217" w:type="dxa"/>
          </w:tcPr>
          <w:p w14:paraId="0548EF40" w14:textId="77777777" w:rsidR="002C0FD9" w:rsidRPr="00CA25CF" w:rsidRDefault="002C0FD9" w:rsidP="00CA25CF">
            <w:pPr>
              <w:rPr>
                <w:rFonts w:cs="Arial"/>
                <w:color w:val="FF0000"/>
                <w:sz w:val="21"/>
                <w:szCs w:val="21"/>
              </w:rPr>
            </w:pPr>
          </w:p>
        </w:tc>
        <w:tc>
          <w:tcPr>
            <w:tcW w:w="217" w:type="dxa"/>
          </w:tcPr>
          <w:p w14:paraId="5A0F0BBE" w14:textId="77777777" w:rsidR="002C0FD9" w:rsidRPr="00CA25CF" w:rsidRDefault="002C0FD9" w:rsidP="00CA25CF">
            <w:pPr>
              <w:rPr>
                <w:rFonts w:cs="Arial"/>
                <w:color w:val="FF0000"/>
                <w:sz w:val="21"/>
                <w:szCs w:val="21"/>
              </w:rPr>
            </w:pPr>
          </w:p>
        </w:tc>
        <w:tc>
          <w:tcPr>
            <w:tcW w:w="217" w:type="dxa"/>
          </w:tcPr>
          <w:p w14:paraId="0E425949" w14:textId="77777777" w:rsidR="002C0FD9" w:rsidRPr="00CA25CF" w:rsidRDefault="002C0FD9" w:rsidP="00CA25CF">
            <w:pPr>
              <w:rPr>
                <w:rFonts w:cs="Arial"/>
                <w:color w:val="FF0000"/>
                <w:sz w:val="21"/>
                <w:szCs w:val="21"/>
              </w:rPr>
            </w:pPr>
          </w:p>
        </w:tc>
        <w:tc>
          <w:tcPr>
            <w:tcW w:w="217" w:type="dxa"/>
          </w:tcPr>
          <w:p w14:paraId="2267F028" w14:textId="77777777" w:rsidR="002C0FD9" w:rsidRPr="00CA25CF" w:rsidRDefault="002C0FD9" w:rsidP="00CA25CF">
            <w:pPr>
              <w:rPr>
                <w:rFonts w:cs="Arial"/>
                <w:color w:val="FF0000"/>
                <w:sz w:val="21"/>
                <w:szCs w:val="21"/>
              </w:rPr>
            </w:pPr>
          </w:p>
        </w:tc>
        <w:tc>
          <w:tcPr>
            <w:tcW w:w="217" w:type="dxa"/>
          </w:tcPr>
          <w:p w14:paraId="0874EF93" w14:textId="77777777" w:rsidR="002C0FD9" w:rsidRPr="00CA25CF" w:rsidRDefault="002C0FD9" w:rsidP="00CA25CF">
            <w:pPr>
              <w:rPr>
                <w:rFonts w:cs="Arial"/>
                <w:color w:val="FF0000"/>
                <w:sz w:val="21"/>
                <w:szCs w:val="21"/>
              </w:rPr>
            </w:pPr>
          </w:p>
        </w:tc>
        <w:tc>
          <w:tcPr>
            <w:tcW w:w="217" w:type="dxa"/>
          </w:tcPr>
          <w:p w14:paraId="091780FE" w14:textId="77777777" w:rsidR="002C0FD9" w:rsidRPr="00CA25CF" w:rsidRDefault="002C0FD9" w:rsidP="00CA25CF">
            <w:pPr>
              <w:rPr>
                <w:rFonts w:cs="Arial"/>
                <w:color w:val="FF0000"/>
                <w:sz w:val="21"/>
                <w:szCs w:val="21"/>
              </w:rPr>
            </w:pPr>
          </w:p>
        </w:tc>
        <w:tc>
          <w:tcPr>
            <w:tcW w:w="217" w:type="dxa"/>
          </w:tcPr>
          <w:p w14:paraId="65BC58A7" w14:textId="77777777" w:rsidR="002C0FD9" w:rsidRPr="00CA25CF" w:rsidRDefault="002C0FD9" w:rsidP="00CA25CF">
            <w:pPr>
              <w:rPr>
                <w:rFonts w:cs="Arial"/>
                <w:color w:val="FF0000"/>
                <w:sz w:val="21"/>
                <w:szCs w:val="21"/>
              </w:rPr>
            </w:pPr>
          </w:p>
        </w:tc>
        <w:tc>
          <w:tcPr>
            <w:tcW w:w="217" w:type="dxa"/>
          </w:tcPr>
          <w:p w14:paraId="05A1EA58" w14:textId="77777777" w:rsidR="002C0FD9" w:rsidRPr="00CA25CF" w:rsidRDefault="002C0FD9" w:rsidP="00CA25CF">
            <w:pPr>
              <w:rPr>
                <w:rFonts w:cs="Arial"/>
                <w:color w:val="FF0000"/>
                <w:sz w:val="21"/>
                <w:szCs w:val="21"/>
              </w:rPr>
            </w:pPr>
          </w:p>
        </w:tc>
        <w:tc>
          <w:tcPr>
            <w:tcW w:w="217" w:type="dxa"/>
          </w:tcPr>
          <w:p w14:paraId="2FA7E61F" w14:textId="77777777" w:rsidR="002C0FD9" w:rsidRPr="00CA25CF" w:rsidRDefault="002C0FD9" w:rsidP="00CA25CF">
            <w:pPr>
              <w:rPr>
                <w:rFonts w:cs="Arial"/>
                <w:color w:val="FF0000"/>
                <w:sz w:val="21"/>
                <w:szCs w:val="21"/>
              </w:rPr>
            </w:pPr>
          </w:p>
        </w:tc>
        <w:tc>
          <w:tcPr>
            <w:tcW w:w="217" w:type="dxa"/>
          </w:tcPr>
          <w:p w14:paraId="5733F6EC" w14:textId="77777777" w:rsidR="002C0FD9" w:rsidRPr="00CA25CF" w:rsidRDefault="002C0FD9" w:rsidP="00CA25CF">
            <w:pPr>
              <w:rPr>
                <w:rFonts w:cs="Arial"/>
                <w:color w:val="FF0000"/>
                <w:sz w:val="21"/>
                <w:szCs w:val="21"/>
              </w:rPr>
            </w:pPr>
          </w:p>
        </w:tc>
      </w:tr>
      <w:tr w:rsidR="002C0FD9" w:rsidRPr="00A16219" w14:paraId="7364070C" w14:textId="77777777" w:rsidTr="002C0FD9">
        <w:trPr>
          <w:trHeight w:val="635"/>
        </w:trPr>
        <w:tc>
          <w:tcPr>
            <w:tcW w:w="515" w:type="dxa"/>
          </w:tcPr>
          <w:p w14:paraId="025A98A8" w14:textId="77777777" w:rsidR="002C0FD9" w:rsidRPr="00CA25CF" w:rsidRDefault="002C0FD9" w:rsidP="00CA25CF">
            <w:pPr>
              <w:rPr>
                <w:rFonts w:cs="Arial"/>
                <w:color w:val="FF0000"/>
                <w:sz w:val="21"/>
                <w:szCs w:val="21"/>
              </w:rPr>
            </w:pPr>
          </w:p>
        </w:tc>
        <w:tc>
          <w:tcPr>
            <w:tcW w:w="217" w:type="dxa"/>
          </w:tcPr>
          <w:p w14:paraId="689F1129" w14:textId="77777777" w:rsidR="002C0FD9" w:rsidRPr="00CA25CF" w:rsidRDefault="002C0FD9" w:rsidP="00CA25CF">
            <w:pPr>
              <w:rPr>
                <w:rFonts w:cs="Arial"/>
                <w:color w:val="FF0000"/>
                <w:sz w:val="21"/>
                <w:szCs w:val="21"/>
              </w:rPr>
            </w:pPr>
          </w:p>
        </w:tc>
        <w:tc>
          <w:tcPr>
            <w:tcW w:w="217" w:type="dxa"/>
          </w:tcPr>
          <w:p w14:paraId="39625193" w14:textId="77777777" w:rsidR="002C0FD9" w:rsidRPr="00CA25CF" w:rsidRDefault="002C0FD9" w:rsidP="00CA25CF">
            <w:pPr>
              <w:rPr>
                <w:rFonts w:cs="Arial"/>
                <w:color w:val="FF0000"/>
                <w:sz w:val="21"/>
                <w:szCs w:val="21"/>
              </w:rPr>
            </w:pPr>
          </w:p>
        </w:tc>
        <w:tc>
          <w:tcPr>
            <w:tcW w:w="217" w:type="dxa"/>
          </w:tcPr>
          <w:p w14:paraId="0BE052AA" w14:textId="77777777" w:rsidR="002C0FD9" w:rsidRPr="00CA25CF" w:rsidRDefault="002C0FD9" w:rsidP="00CA25CF">
            <w:pPr>
              <w:rPr>
                <w:rFonts w:cs="Arial"/>
                <w:color w:val="FF0000"/>
                <w:sz w:val="21"/>
                <w:szCs w:val="21"/>
              </w:rPr>
            </w:pPr>
          </w:p>
        </w:tc>
        <w:tc>
          <w:tcPr>
            <w:tcW w:w="217" w:type="dxa"/>
          </w:tcPr>
          <w:p w14:paraId="37D00A91" w14:textId="77777777" w:rsidR="002C0FD9" w:rsidRPr="00CA25CF" w:rsidRDefault="002C0FD9" w:rsidP="00CA25CF">
            <w:pPr>
              <w:rPr>
                <w:rFonts w:cs="Arial"/>
                <w:color w:val="FF0000"/>
                <w:sz w:val="21"/>
                <w:szCs w:val="21"/>
              </w:rPr>
            </w:pPr>
          </w:p>
        </w:tc>
        <w:tc>
          <w:tcPr>
            <w:tcW w:w="217" w:type="dxa"/>
          </w:tcPr>
          <w:p w14:paraId="4332291A" w14:textId="77777777" w:rsidR="002C0FD9" w:rsidRPr="00CA25CF" w:rsidRDefault="002C0FD9" w:rsidP="00CA25CF">
            <w:pPr>
              <w:rPr>
                <w:rFonts w:cs="Arial"/>
                <w:color w:val="FF0000"/>
                <w:sz w:val="21"/>
                <w:szCs w:val="21"/>
              </w:rPr>
            </w:pPr>
          </w:p>
        </w:tc>
        <w:tc>
          <w:tcPr>
            <w:tcW w:w="217" w:type="dxa"/>
          </w:tcPr>
          <w:p w14:paraId="765FAEC5" w14:textId="77777777" w:rsidR="002C0FD9" w:rsidRPr="00CA25CF" w:rsidRDefault="002C0FD9" w:rsidP="00CA25CF">
            <w:pPr>
              <w:rPr>
                <w:rFonts w:cs="Arial"/>
                <w:color w:val="FF0000"/>
                <w:sz w:val="21"/>
                <w:szCs w:val="21"/>
              </w:rPr>
            </w:pPr>
          </w:p>
        </w:tc>
        <w:tc>
          <w:tcPr>
            <w:tcW w:w="217" w:type="dxa"/>
          </w:tcPr>
          <w:p w14:paraId="4FC0C416" w14:textId="77777777" w:rsidR="002C0FD9" w:rsidRPr="00CA25CF" w:rsidRDefault="002C0FD9" w:rsidP="00CA25CF">
            <w:pPr>
              <w:rPr>
                <w:rFonts w:cs="Arial"/>
                <w:color w:val="FF0000"/>
                <w:sz w:val="21"/>
                <w:szCs w:val="21"/>
              </w:rPr>
            </w:pPr>
          </w:p>
        </w:tc>
        <w:tc>
          <w:tcPr>
            <w:tcW w:w="217" w:type="dxa"/>
          </w:tcPr>
          <w:p w14:paraId="312F57E2" w14:textId="77777777" w:rsidR="002C0FD9" w:rsidRPr="00CA25CF" w:rsidRDefault="002C0FD9" w:rsidP="00CA25CF">
            <w:pPr>
              <w:rPr>
                <w:rFonts w:cs="Arial"/>
                <w:color w:val="FF0000"/>
                <w:sz w:val="21"/>
                <w:szCs w:val="21"/>
              </w:rPr>
            </w:pPr>
          </w:p>
        </w:tc>
        <w:tc>
          <w:tcPr>
            <w:tcW w:w="217" w:type="dxa"/>
          </w:tcPr>
          <w:p w14:paraId="004B556B" w14:textId="77777777" w:rsidR="002C0FD9" w:rsidRPr="00CA25CF" w:rsidRDefault="002C0FD9" w:rsidP="00CA25CF">
            <w:pPr>
              <w:rPr>
                <w:rFonts w:cs="Arial"/>
                <w:color w:val="FF0000"/>
                <w:sz w:val="21"/>
                <w:szCs w:val="21"/>
              </w:rPr>
            </w:pPr>
          </w:p>
        </w:tc>
        <w:tc>
          <w:tcPr>
            <w:tcW w:w="217" w:type="dxa"/>
          </w:tcPr>
          <w:p w14:paraId="651894F4" w14:textId="77777777" w:rsidR="002C0FD9" w:rsidRPr="00CA25CF" w:rsidRDefault="002C0FD9" w:rsidP="00CA25CF">
            <w:pPr>
              <w:rPr>
                <w:rFonts w:cs="Arial"/>
                <w:color w:val="FF0000"/>
                <w:sz w:val="21"/>
                <w:szCs w:val="21"/>
              </w:rPr>
            </w:pPr>
          </w:p>
        </w:tc>
        <w:tc>
          <w:tcPr>
            <w:tcW w:w="217" w:type="dxa"/>
          </w:tcPr>
          <w:p w14:paraId="7B173F7D" w14:textId="77777777" w:rsidR="002C0FD9" w:rsidRPr="00CA25CF" w:rsidRDefault="002C0FD9" w:rsidP="00CA25CF">
            <w:pPr>
              <w:rPr>
                <w:rFonts w:cs="Arial"/>
                <w:color w:val="FF0000"/>
                <w:sz w:val="21"/>
                <w:szCs w:val="21"/>
              </w:rPr>
            </w:pPr>
          </w:p>
        </w:tc>
        <w:tc>
          <w:tcPr>
            <w:tcW w:w="217" w:type="dxa"/>
          </w:tcPr>
          <w:p w14:paraId="45EB8762" w14:textId="77777777" w:rsidR="002C0FD9" w:rsidRPr="00CA25CF" w:rsidRDefault="002C0FD9" w:rsidP="00CA25CF">
            <w:pPr>
              <w:rPr>
                <w:rFonts w:cs="Arial"/>
                <w:color w:val="FF0000"/>
                <w:sz w:val="21"/>
                <w:szCs w:val="21"/>
              </w:rPr>
            </w:pPr>
          </w:p>
        </w:tc>
        <w:tc>
          <w:tcPr>
            <w:tcW w:w="217" w:type="dxa"/>
          </w:tcPr>
          <w:p w14:paraId="77B5A6DF" w14:textId="77777777" w:rsidR="002C0FD9" w:rsidRPr="00CA25CF" w:rsidRDefault="002C0FD9" w:rsidP="00CA25CF">
            <w:pPr>
              <w:rPr>
                <w:rFonts w:cs="Arial"/>
                <w:color w:val="FF0000"/>
                <w:sz w:val="21"/>
                <w:szCs w:val="21"/>
              </w:rPr>
            </w:pPr>
          </w:p>
        </w:tc>
        <w:tc>
          <w:tcPr>
            <w:tcW w:w="217" w:type="dxa"/>
          </w:tcPr>
          <w:p w14:paraId="0ECFA4E9" w14:textId="77777777" w:rsidR="002C0FD9" w:rsidRPr="00CA25CF" w:rsidRDefault="002C0FD9" w:rsidP="00CA25CF">
            <w:pPr>
              <w:rPr>
                <w:rFonts w:cs="Arial"/>
                <w:color w:val="FF0000"/>
                <w:sz w:val="21"/>
                <w:szCs w:val="21"/>
              </w:rPr>
            </w:pPr>
          </w:p>
        </w:tc>
        <w:tc>
          <w:tcPr>
            <w:tcW w:w="217" w:type="dxa"/>
          </w:tcPr>
          <w:p w14:paraId="4EF647B3" w14:textId="77777777" w:rsidR="002C0FD9" w:rsidRPr="00CA25CF" w:rsidRDefault="002C0FD9" w:rsidP="00CA25CF">
            <w:pPr>
              <w:rPr>
                <w:rFonts w:cs="Arial"/>
                <w:color w:val="FF0000"/>
                <w:sz w:val="21"/>
                <w:szCs w:val="21"/>
              </w:rPr>
            </w:pPr>
          </w:p>
        </w:tc>
        <w:tc>
          <w:tcPr>
            <w:tcW w:w="217" w:type="dxa"/>
          </w:tcPr>
          <w:p w14:paraId="59297BB0" w14:textId="77777777" w:rsidR="002C0FD9" w:rsidRPr="00CA25CF" w:rsidRDefault="002C0FD9" w:rsidP="00CA25CF">
            <w:pPr>
              <w:rPr>
                <w:rFonts w:cs="Arial"/>
                <w:color w:val="FF0000"/>
                <w:sz w:val="21"/>
                <w:szCs w:val="21"/>
              </w:rPr>
            </w:pPr>
          </w:p>
        </w:tc>
        <w:tc>
          <w:tcPr>
            <w:tcW w:w="217" w:type="dxa"/>
          </w:tcPr>
          <w:p w14:paraId="277AEABA" w14:textId="77777777" w:rsidR="002C0FD9" w:rsidRPr="00CA25CF" w:rsidRDefault="002C0FD9" w:rsidP="00CA25CF">
            <w:pPr>
              <w:rPr>
                <w:rFonts w:cs="Arial"/>
                <w:color w:val="FF0000"/>
                <w:sz w:val="21"/>
                <w:szCs w:val="21"/>
              </w:rPr>
            </w:pPr>
          </w:p>
        </w:tc>
        <w:tc>
          <w:tcPr>
            <w:tcW w:w="217" w:type="dxa"/>
          </w:tcPr>
          <w:p w14:paraId="318BA89B" w14:textId="77777777" w:rsidR="002C0FD9" w:rsidRPr="00CA25CF" w:rsidRDefault="002C0FD9" w:rsidP="00CA25CF">
            <w:pPr>
              <w:rPr>
                <w:rFonts w:cs="Arial"/>
                <w:color w:val="FF0000"/>
                <w:sz w:val="21"/>
                <w:szCs w:val="21"/>
              </w:rPr>
            </w:pPr>
          </w:p>
        </w:tc>
        <w:tc>
          <w:tcPr>
            <w:tcW w:w="217" w:type="dxa"/>
          </w:tcPr>
          <w:p w14:paraId="55CFFD47" w14:textId="77777777" w:rsidR="002C0FD9" w:rsidRPr="00CA25CF" w:rsidRDefault="002C0FD9" w:rsidP="00CA25CF">
            <w:pPr>
              <w:rPr>
                <w:rFonts w:cs="Arial"/>
                <w:color w:val="FF0000"/>
                <w:sz w:val="21"/>
                <w:szCs w:val="21"/>
              </w:rPr>
            </w:pPr>
          </w:p>
        </w:tc>
        <w:tc>
          <w:tcPr>
            <w:tcW w:w="217" w:type="dxa"/>
          </w:tcPr>
          <w:p w14:paraId="273464C3" w14:textId="77777777" w:rsidR="002C0FD9" w:rsidRPr="00CA25CF" w:rsidRDefault="002C0FD9" w:rsidP="00CA25CF">
            <w:pPr>
              <w:rPr>
                <w:rFonts w:cs="Arial"/>
                <w:color w:val="FF0000"/>
                <w:sz w:val="21"/>
                <w:szCs w:val="21"/>
              </w:rPr>
            </w:pPr>
          </w:p>
        </w:tc>
        <w:tc>
          <w:tcPr>
            <w:tcW w:w="217" w:type="dxa"/>
          </w:tcPr>
          <w:p w14:paraId="200A49C2" w14:textId="77777777" w:rsidR="002C0FD9" w:rsidRPr="00CA25CF" w:rsidRDefault="002C0FD9" w:rsidP="00CA25CF">
            <w:pPr>
              <w:rPr>
                <w:rFonts w:cs="Arial"/>
                <w:color w:val="FF0000"/>
                <w:sz w:val="21"/>
                <w:szCs w:val="21"/>
              </w:rPr>
            </w:pPr>
          </w:p>
        </w:tc>
        <w:tc>
          <w:tcPr>
            <w:tcW w:w="217" w:type="dxa"/>
          </w:tcPr>
          <w:p w14:paraId="45BC64CD" w14:textId="77777777" w:rsidR="002C0FD9" w:rsidRPr="00CA25CF" w:rsidRDefault="002C0FD9" w:rsidP="00CA25CF">
            <w:pPr>
              <w:rPr>
                <w:rFonts w:cs="Arial"/>
                <w:color w:val="FF0000"/>
                <w:sz w:val="21"/>
                <w:szCs w:val="21"/>
              </w:rPr>
            </w:pPr>
          </w:p>
        </w:tc>
        <w:tc>
          <w:tcPr>
            <w:tcW w:w="217" w:type="dxa"/>
          </w:tcPr>
          <w:p w14:paraId="6773F7B1" w14:textId="77777777" w:rsidR="002C0FD9" w:rsidRPr="00CA25CF" w:rsidRDefault="002C0FD9" w:rsidP="00CA25CF">
            <w:pPr>
              <w:rPr>
                <w:rFonts w:cs="Arial"/>
                <w:color w:val="FF0000"/>
                <w:sz w:val="21"/>
                <w:szCs w:val="21"/>
              </w:rPr>
            </w:pPr>
          </w:p>
        </w:tc>
        <w:tc>
          <w:tcPr>
            <w:tcW w:w="217" w:type="dxa"/>
          </w:tcPr>
          <w:p w14:paraId="66F23EBB" w14:textId="77777777" w:rsidR="002C0FD9" w:rsidRPr="00CA25CF" w:rsidRDefault="002C0FD9" w:rsidP="00CA25CF">
            <w:pPr>
              <w:rPr>
                <w:rFonts w:cs="Arial"/>
                <w:color w:val="FF0000"/>
                <w:sz w:val="21"/>
                <w:szCs w:val="21"/>
              </w:rPr>
            </w:pPr>
          </w:p>
        </w:tc>
        <w:tc>
          <w:tcPr>
            <w:tcW w:w="217" w:type="dxa"/>
          </w:tcPr>
          <w:p w14:paraId="765D6851" w14:textId="77777777" w:rsidR="002C0FD9" w:rsidRPr="00CA25CF" w:rsidRDefault="002C0FD9" w:rsidP="00CA25CF">
            <w:pPr>
              <w:rPr>
                <w:rFonts w:cs="Arial"/>
                <w:color w:val="FF0000"/>
                <w:sz w:val="21"/>
                <w:szCs w:val="21"/>
              </w:rPr>
            </w:pPr>
          </w:p>
        </w:tc>
        <w:tc>
          <w:tcPr>
            <w:tcW w:w="217" w:type="dxa"/>
          </w:tcPr>
          <w:p w14:paraId="7877EA34" w14:textId="77777777" w:rsidR="002C0FD9" w:rsidRPr="00CA25CF" w:rsidRDefault="002C0FD9" w:rsidP="00CA25CF">
            <w:pPr>
              <w:rPr>
                <w:rFonts w:cs="Arial"/>
                <w:color w:val="FF0000"/>
                <w:sz w:val="21"/>
                <w:szCs w:val="21"/>
              </w:rPr>
            </w:pPr>
          </w:p>
        </w:tc>
        <w:tc>
          <w:tcPr>
            <w:tcW w:w="217" w:type="dxa"/>
          </w:tcPr>
          <w:p w14:paraId="2B60B39E" w14:textId="77777777" w:rsidR="002C0FD9" w:rsidRPr="00CA25CF" w:rsidRDefault="002C0FD9" w:rsidP="00CA25CF">
            <w:pPr>
              <w:rPr>
                <w:rFonts w:cs="Arial"/>
                <w:color w:val="FF0000"/>
                <w:sz w:val="21"/>
                <w:szCs w:val="21"/>
              </w:rPr>
            </w:pPr>
          </w:p>
        </w:tc>
        <w:tc>
          <w:tcPr>
            <w:tcW w:w="217" w:type="dxa"/>
          </w:tcPr>
          <w:p w14:paraId="37D78F70" w14:textId="77777777" w:rsidR="002C0FD9" w:rsidRPr="00CA25CF" w:rsidRDefault="002C0FD9" w:rsidP="00CA25CF">
            <w:pPr>
              <w:rPr>
                <w:rFonts w:cs="Arial"/>
                <w:color w:val="FF0000"/>
                <w:sz w:val="21"/>
                <w:szCs w:val="21"/>
              </w:rPr>
            </w:pPr>
          </w:p>
        </w:tc>
        <w:tc>
          <w:tcPr>
            <w:tcW w:w="217" w:type="dxa"/>
          </w:tcPr>
          <w:p w14:paraId="63A689C3" w14:textId="77777777" w:rsidR="002C0FD9" w:rsidRPr="00CA25CF" w:rsidRDefault="002C0FD9" w:rsidP="00CA25CF">
            <w:pPr>
              <w:rPr>
                <w:rFonts w:cs="Arial"/>
                <w:color w:val="FF0000"/>
                <w:sz w:val="21"/>
                <w:szCs w:val="21"/>
              </w:rPr>
            </w:pPr>
          </w:p>
        </w:tc>
        <w:tc>
          <w:tcPr>
            <w:tcW w:w="217" w:type="dxa"/>
          </w:tcPr>
          <w:p w14:paraId="06FFE206" w14:textId="77777777" w:rsidR="002C0FD9" w:rsidRPr="00CA25CF" w:rsidRDefault="002C0FD9" w:rsidP="00CA25CF">
            <w:pPr>
              <w:rPr>
                <w:rFonts w:cs="Arial"/>
                <w:color w:val="FF0000"/>
                <w:sz w:val="21"/>
                <w:szCs w:val="21"/>
              </w:rPr>
            </w:pPr>
          </w:p>
        </w:tc>
        <w:tc>
          <w:tcPr>
            <w:tcW w:w="217" w:type="dxa"/>
          </w:tcPr>
          <w:p w14:paraId="218EAE0A" w14:textId="77777777" w:rsidR="002C0FD9" w:rsidRPr="00CA25CF" w:rsidRDefault="002C0FD9" w:rsidP="00CA25CF">
            <w:pPr>
              <w:rPr>
                <w:rFonts w:cs="Arial"/>
                <w:color w:val="FF0000"/>
                <w:sz w:val="21"/>
                <w:szCs w:val="21"/>
              </w:rPr>
            </w:pPr>
          </w:p>
        </w:tc>
        <w:tc>
          <w:tcPr>
            <w:tcW w:w="217" w:type="dxa"/>
          </w:tcPr>
          <w:p w14:paraId="79B76F66" w14:textId="77777777" w:rsidR="002C0FD9" w:rsidRPr="00CA25CF" w:rsidRDefault="002C0FD9" w:rsidP="00CA25CF">
            <w:pPr>
              <w:rPr>
                <w:rFonts w:cs="Arial"/>
                <w:color w:val="FF0000"/>
                <w:sz w:val="21"/>
                <w:szCs w:val="21"/>
              </w:rPr>
            </w:pPr>
          </w:p>
        </w:tc>
        <w:tc>
          <w:tcPr>
            <w:tcW w:w="217" w:type="dxa"/>
          </w:tcPr>
          <w:p w14:paraId="0D399DFC" w14:textId="77777777" w:rsidR="002C0FD9" w:rsidRPr="00CA25CF" w:rsidRDefault="002C0FD9" w:rsidP="00CA25CF">
            <w:pPr>
              <w:rPr>
                <w:rFonts w:cs="Arial"/>
                <w:color w:val="FF0000"/>
                <w:sz w:val="21"/>
                <w:szCs w:val="21"/>
              </w:rPr>
            </w:pPr>
          </w:p>
        </w:tc>
        <w:tc>
          <w:tcPr>
            <w:tcW w:w="217" w:type="dxa"/>
          </w:tcPr>
          <w:p w14:paraId="766E7EAC" w14:textId="77777777" w:rsidR="002C0FD9" w:rsidRPr="00CA25CF" w:rsidRDefault="002C0FD9" w:rsidP="00CA25CF">
            <w:pPr>
              <w:rPr>
                <w:rFonts w:cs="Arial"/>
                <w:color w:val="FF0000"/>
                <w:sz w:val="21"/>
                <w:szCs w:val="21"/>
              </w:rPr>
            </w:pPr>
          </w:p>
        </w:tc>
        <w:tc>
          <w:tcPr>
            <w:tcW w:w="217" w:type="dxa"/>
          </w:tcPr>
          <w:p w14:paraId="07FE7A2F" w14:textId="77777777" w:rsidR="002C0FD9" w:rsidRPr="00CA25CF" w:rsidRDefault="002C0FD9" w:rsidP="00CA25CF">
            <w:pPr>
              <w:rPr>
                <w:rFonts w:cs="Arial"/>
                <w:color w:val="FF0000"/>
                <w:sz w:val="21"/>
                <w:szCs w:val="21"/>
              </w:rPr>
            </w:pPr>
          </w:p>
        </w:tc>
        <w:tc>
          <w:tcPr>
            <w:tcW w:w="217" w:type="dxa"/>
          </w:tcPr>
          <w:p w14:paraId="48A20D8D" w14:textId="77777777" w:rsidR="002C0FD9" w:rsidRPr="00CA25CF" w:rsidRDefault="002C0FD9" w:rsidP="00CA25CF">
            <w:pPr>
              <w:rPr>
                <w:rFonts w:cs="Arial"/>
                <w:color w:val="FF0000"/>
                <w:sz w:val="21"/>
                <w:szCs w:val="21"/>
              </w:rPr>
            </w:pPr>
          </w:p>
        </w:tc>
        <w:tc>
          <w:tcPr>
            <w:tcW w:w="217" w:type="dxa"/>
          </w:tcPr>
          <w:p w14:paraId="0BEEC812" w14:textId="77777777" w:rsidR="002C0FD9" w:rsidRPr="00CA25CF" w:rsidRDefault="002C0FD9" w:rsidP="00CA25CF">
            <w:pPr>
              <w:rPr>
                <w:rFonts w:cs="Arial"/>
                <w:color w:val="FF0000"/>
                <w:sz w:val="21"/>
                <w:szCs w:val="21"/>
              </w:rPr>
            </w:pPr>
          </w:p>
        </w:tc>
        <w:tc>
          <w:tcPr>
            <w:tcW w:w="217" w:type="dxa"/>
          </w:tcPr>
          <w:p w14:paraId="627E18F4" w14:textId="77777777" w:rsidR="002C0FD9" w:rsidRPr="00CA25CF" w:rsidRDefault="002C0FD9" w:rsidP="00CA25CF">
            <w:pPr>
              <w:rPr>
                <w:rFonts w:cs="Arial"/>
                <w:color w:val="FF0000"/>
                <w:sz w:val="21"/>
                <w:szCs w:val="21"/>
              </w:rPr>
            </w:pPr>
          </w:p>
        </w:tc>
        <w:tc>
          <w:tcPr>
            <w:tcW w:w="217" w:type="dxa"/>
          </w:tcPr>
          <w:p w14:paraId="1A902E3F" w14:textId="77777777" w:rsidR="002C0FD9" w:rsidRPr="00CA25CF" w:rsidRDefault="002C0FD9" w:rsidP="00CA25CF">
            <w:pPr>
              <w:rPr>
                <w:rFonts w:cs="Arial"/>
                <w:color w:val="FF0000"/>
                <w:sz w:val="21"/>
                <w:szCs w:val="21"/>
              </w:rPr>
            </w:pPr>
          </w:p>
        </w:tc>
        <w:tc>
          <w:tcPr>
            <w:tcW w:w="217" w:type="dxa"/>
          </w:tcPr>
          <w:p w14:paraId="284AE60E" w14:textId="77777777" w:rsidR="002C0FD9" w:rsidRPr="00CA25CF" w:rsidRDefault="002C0FD9" w:rsidP="00CA25CF">
            <w:pPr>
              <w:rPr>
                <w:rFonts w:cs="Arial"/>
                <w:color w:val="FF0000"/>
                <w:sz w:val="21"/>
                <w:szCs w:val="21"/>
              </w:rPr>
            </w:pPr>
          </w:p>
        </w:tc>
        <w:tc>
          <w:tcPr>
            <w:tcW w:w="217" w:type="dxa"/>
          </w:tcPr>
          <w:p w14:paraId="5C685F48" w14:textId="77777777" w:rsidR="002C0FD9" w:rsidRPr="00CA25CF" w:rsidRDefault="002C0FD9" w:rsidP="00CA25CF">
            <w:pPr>
              <w:rPr>
                <w:rFonts w:cs="Arial"/>
                <w:color w:val="FF0000"/>
                <w:sz w:val="21"/>
                <w:szCs w:val="21"/>
              </w:rPr>
            </w:pPr>
          </w:p>
        </w:tc>
        <w:tc>
          <w:tcPr>
            <w:tcW w:w="217" w:type="dxa"/>
          </w:tcPr>
          <w:p w14:paraId="2B1C2FD7" w14:textId="77777777" w:rsidR="002C0FD9" w:rsidRPr="00CA25CF" w:rsidRDefault="002C0FD9" w:rsidP="00CA25CF">
            <w:pPr>
              <w:rPr>
                <w:rFonts w:cs="Arial"/>
                <w:color w:val="FF0000"/>
                <w:sz w:val="21"/>
                <w:szCs w:val="21"/>
              </w:rPr>
            </w:pPr>
          </w:p>
        </w:tc>
      </w:tr>
      <w:tr w:rsidR="002C0FD9" w:rsidRPr="00A16219" w14:paraId="16DDF7DF" w14:textId="77777777" w:rsidTr="002C0FD9">
        <w:trPr>
          <w:trHeight w:val="635"/>
        </w:trPr>
        <w:tc>
          <w:tcPr>
            <w:tcW w:w="515" w:type="dxa"/>
          </w:tcPr>
          <w:p w14:paraId="5F6F3D2F" w14:textId="77777777" w:rsidR="002C0FD9" w:rsidRPr="00CA25CF" w:rsidRDefault="002C0FD9" w:rsidP="00CA25CF">
            <w:pPr>
              <w:rPr>
                <w:rFonts w:cs="Arial"/>
                <w:color w:val="FF0000"/>
                <w:sz w:val="21"/>
                <w:szCs w:val="21"/>
              </w:rPr>
            </w:pPr>
          </w:p>
        </w:tc>
        <w:tc>
          <w:tcPr>
            <w:tcW w:w="217" w:type="dxa"/>
          </w:tcPr>
          <w:p w14:paraId="498B2E95" w14:textId="77777777" w:rsidR="002C0FD9" w:rsidRPr="00CA25CF" w:rsidRDefault="002C0FD9" w:rsidP="00CA25CF">
            <w:pPr>
              <w:rPr>
                <w:rFonts w:cs="Arial"/>
                <w:color w:val="FF0000"/>
                <w:sz w:val="21"/>
                <w:szCs w:val="21"/>
              </w:rPr>
            </w:pPr>
          </w:p>
        </w:tc>
        <w:tc>
          <w:tcPr>
            <w:tcW w:w="217" w:type="dxa"/>
          </w:tcPr>
          <w:p w14:paraId="7B86E34A" w14:textId="77777777" w:rsidR="002C0FD9" w:rsidRPr="00CA25CF" w:rsidRDefault="002C0FD9" w:rsidP="00CA25CF">
            <w:pPr>
              <w:rPr>
                <w:rFonts w:cs="Arial"/>
                <w:color w:val="FF0000"/>
                <w:sz w:val="21"/>
                <w:szCs w:val="21"/>
              </w:rPr>
            </w:pPr>
          </w:p>
        </w:tc>
        <w:tc>
          <w:tcPr>
            <w:tcW w:w="217" w:type="dxa"/>
          </w:tcPr>
          <w:p w14:paraId="00CA93EF" w14:textId="77777777" w:rsidR="002C0FD9" w:rsidRPr="00CA25CF" w:rsidRDefault="002C0FD9" w:rsidP="00CA25CF">
            <w:pPr>
              <w:rPr>
                <w:rFonts w:cs="Arial"/>
                <w:color w:val="FF0000"/>
                <w:sz w:val="21"/>
                <w:szCs w:val="21"/>
              </w:rPr>
            </w:pPr>
          </w:p>
        </w:tc>
        <w:tc>
          <w:tcPr>
            <w:tcW w:w="217" w:type="dxa"/>
          </w:tcPr>
          <w:p w14:paraId="7699E9A6" w14:textId="77777777" w:rsidR="002C0FD9" w:rsidRPr="00CA25CF" w:rsidRDefault="002C0FD9" w:rsidP="00CA25CF">
            <w:pPr>
              <w:rPr>
                <w:rFonts w:cs="Arial"/>
                <w:color w:val="FF0000"/>
                <w:sz w:val="21"/>
                <w:szCs w:val="21"/>
              </w:rPr>
            </w:pPr>
          </w:p>
        </w:tc>
        <w:tc>
          <w:tcPr>
            <w:tcW w:w="217" w:type="dxa"/>
          </w:tcPr>
          <w:p w14:paraId="09A57D7F" w14:textId="77777777" w:rsidR="002C0FD9" w:rsidRPr="00CA25CF" w:rsidRDefault="002C0FD9" w:rsidP="00CA25CF">
            <w:pPr>
              <w:rPr>
                <w:rFonts w:cs="Arial"/>
                <w:color w:val="FF0000"/>
                <w:sz w:val="21"/>
                <w:szCs w:val="21"/>
              </w:rPr>
            </w:pPr>
          </w:p>
        </w:tc>
        <w:tc>
          <w:tcPr>
            <w:tcW w:w="217" w:type="dxa"/>
          </w:tcPr>
          <w:p w14:paraId="2CCC1747" w14:textId="77777777" w:rsidR="002C0FD9" w:rsidRPr="00CA25CF" w:rsidRDefault="002C0FD9" w:rsidP="00CA25CF">
            <w:pPr>
              <w:rPr>
                <w:rFonts w:cs="Arial"/>
                <w:color w:val="FF0000"/>
                <w:sz w:val="21"/>
                <w:szCs w:val="21"/>
              </w:rPr>
            </w:pPr>
          </w:p>
        </w:tc>
        <w:tc>
          <w:tcPr>
            <w:tcW w:w="217" w:type="dxa"/>
          </w:tcPr>
          <w:p w14:paraId="2CA5C3BA" w14:textId="77777777" w:rsidR="002C0FD9" w:rsidRPr="00CA25CF" w:rsidRDefault="002C0FD9" w:rsidP="00CA25CF">
            <w:pPr>
              <w:rPr>
                <w:rFonts w:cs="Arial"/>
                <w:color w:val="FF0000"/>
                <w:sz w:val="21"/>
                <w:szCs w:val="21"/>
              </w:rPr>
            </w:pPr>
          </w:p>
        </w:tc>
        <w:tc>
          <w:tcPr>
            <w:tcW w:w="217" w:type="dxa"/>
          </w:tcPr>
          <w:p w14:paraId="6E52949A" w14:textId="77777777" w:rsidR="002C0FD9" w:rsidRPr="00CA25CF" w:rsidRDefault="002C0FD9" w:rsidP="00CA25CF">
            <w:pPr>
              <w:rPr>
                <w:rFonts w:cs="Arial"/>
                <w:color w:val="FF0000"/>
                <w:sz w:val="21"/>
                <w:szCs w:val="21"/>
              </w:rPr>
            </w:pPr>
          </w:p>
        </w:tc>
        <w:tc>
          <w:tcPr>
            <w:tcW w:w="217" w:type="dxa"/>
          </w:tcPr>
          <w:p w14:paraId="711BD692" w14:textId="77777777" w:rsidR="002C0FD9" w:rsidRPr="00CA25CF" w:rsidRDefault="002C0FD9" w:rsidP="00CA25CF">
            <w:pPr>
              <w:rPr>
                <w:rFonts w:cs="Arial"/>
                <w:color w:val="FF0000"/>
                <w:sz w:val="21"/>
                <w:szCs w:val="21"/>
              </w:rPr>
            </w:pPr>
          </w:p>
        </w:tc>
        <w:tc>
          <w:tcPr>
            <w:tcW w:w="217" w:type="dxa"/>
          </w:tcPr>
          <w:p w14:paraId="54039E31" w14:textId="77777777" w:rsidR="002C0FD9" w:rsidRPr="00CA25CF" w:rsidRDefault="002C0FD9" w:rsidP="00CA25CF">
            <w:pPr>
              <w:rPr>
                <w:rFonts w:cs="Arial"/>
                <w:color w:val="FF0000"/>
                <w:sz w:val="21"/>
                <w:szCs w:val="21"/>
              </w:rPr>
            </w:pPr>
          </w:p>
        </w:tc>
        <w:tc>
          <w:tcPr>
            <w:tcW w:w="217" w:type="dxa"/>
          </w:tcPr>
          <w:p w14:paraId="29D8A115" w14:textId="77777777" w:rsidR="002C0FD9" w:rsidRPr="00CA25CF" w:rsidRDefault="002C0FD9" w:rsidP="00CA25CF">
            <w:pPr>
              <w:rPr>
                <w:rFonts w:cs="Arial"/>
                <w:color w:val="FF0000"/>
                <w:sz w:val="21"/>
                <w:szCs w:val="21"/>
              </w:rPr>
            </w:pPr>
          </w:p>
        </w:tc>
        <w:tc>
          <w:tcPr>
            <w:tcW w:w="217" w:type="dxa"/>
          </w:tcPr>
          <w:p w14:paraId="76A86FF4" w14:textId="77777777" w:rsidR="002C0FD9" w:rsidRPr="00CA25CF" w:rsidRDefault="002C0FD9" w:rsidP="00CA25CF">
            <w:pPr>
              <w:rPr>
                <w:rFonts w:cs="Arial"/>
                <w:color w:val="FF0000"/>
                <w:sz w:val="21"/>
                <w:szCs w:val="21"/>
              </w:rPr>
            </w:pPr>
          </w:p>
        </w:tc>
        <w:tc>
          <w:tcPr>
            <w:tcW w:w="217" w:type="dxa"/>
          </w:tcPr>
          <w:p w14:paraId="36DBCEDD" w14:textId="77777777" w:rsidR="002C0FD9" w:rsidRPr="00CA25CF" w:rsidRDefault="002C0FD9" w:rsidP="00CA25CF">
            <w:pPr>
              <w:rPr>
                <w:rFonts w:cs="Arial"/>
                <w:color w:val="FF0000"/>
                <w:sz w:val="21"/>
                <w:szCs w:val="21"/>
              </w:rPr>
            </w:pPr>
          </w:p>
        </w:tc>
        <w:tc>
          <w:tcPr>
            <w:tcW w:w="217" w:type="dxa"/>
          </w:tcPr>
          <w:p w14:paraId="299BCB6E" w14:textId="77777777" w:rsidR="002C0FD9" w:rsidRPr="00CA25CF" w:rsidRDefault="002C0FD9" w:rsidP="00CA25CF">
            <w:pPr>
              <w:rPr>
                <w:rFonts w:cs="Arial"/>
                <w:color w:val="FF0000"/>
                <w:sz w:val="21"/>
                <w:szCs w:val="21"/>
              </w:rPr>
            </w:pPr>
          </w:p>
        </w:tc>
        <w:tc>
          <w:tcPr>
            <w:tcW w:w="217" w:type="dxa"/>
          </w:tcPr>
          <w:p w14:paraId="58D7F7F4" w14:textId="77777777" w:rsidR="002C0FD9" w:rsidRPr="00CA25CF" w:rsidRDefault="002C0FD9" w:rsidP="00CA25CF">
            <w:pPr>
              <w:rPr>
                <w:rFonts w:cs="Arial"/>
                <w:color w:val="FF0000"/>
                <w:sz w:val="21"/>
                <w:szCs w:val="21"/>
              </w:rPr>
            </w:pPr>
          </w:p>
        </w:tc>
        <w:tc>
          <w:tcPr>
            <w:tcW w:w="217" w:type="dxa"/>
          </w:tcPr>
          <w:p w14:paraId="70501FEF" w14:textId="77777777" w:rsidR="002C0FD9" w:rsidRPr="00CA25CF" w:rsidRDefault="002C0FD9" w:rsidP="00CA25CF">
            <w:pPr>
              <w:rPr>
                <w:rFonts w:cs="Arial"/>
                <w:color w:val="FF0000"/>
                <w:sz w:val="21"/>
                <w:szCs w:val="21"/>
              </w:rPr>
            </w:pPr>
          </w:p>
        </w:tc>
        <w:tc>
          <w:tcPr>
            <w:tcW w:w="217" w:type="dxa"/>
          </w:tcPr>
          <w:p w14:paraId="4CE5FAED" w14:textId="77777777" w:rsidR="002C0FD9" w:rsidRPr="00CA25CF" w:rsidRDefault="002C0FD9" w:rsidP="00CA25CF">
            <w:pPr>
              <w:rPr>
                <w:rFonts w:cs="Arial"/>
                <w:color w:val="FF0000"/>
                <w:sz w:val="21"/>
                <w:szCs w:val="21"/>
              </w:rPr>
            </w:pPr>
          </w:p>
        </w:tc>
        <w:tc>
          <w:tcPr>
            <w:tcW w:w="217" w:type="dxa"/>
          </w:tcPr>
          <w:p w14:paraId="2DD82D8A" w14:textId="77777777" w:rsidR="002C0FD9" w:rsidRPr="00CA25CF" w:rsidRDefault="002C0FD9" w:rsidP="00CA25CF">
            <w:pPr>
              <w:rPr>
                <w:rFonts w:cs="Arial"/>
                <w:color w:val="FF0000"/>
                <w:sz w:val="21"/>
                <w:szCs w:val="21"/>
              </w:rPr>
            </w:pPr>
          </w:p>
        </w:tc>
        <w:tc>
          <w:tcPr>
            <w:tcW w:w="217" w:type="dxa"/>
          </w:tcPr>
          <w:p w14:paraId="5957DFFF" w14:textId="77777777" w:rsidR="002C0FD9" w:rsidRPr="00CA25CF" w:rsidRDefault="002C0FD9" w:rsidP="00CA25CF">
            <w:pPr>
              <w:rPr>
                <w:rFonts w:cs="Arial"/>
                <w:color w:val="FF0000"/>
                <w:sz w:val="21"/>
                <w:szCs w:val="21"/>
              </w:rPr>
            </w:pPr>
          </w:p>
        </w:tc>
        <w:tc>
          <w:tcPr>
            <w:tcW w:w="217" w:type="dxa"/>
          </w:tcPr>
          <w:p w14:paraId="1B3923D0" w14:textId="77777777" w:rsidR="002C0FD9" w:rsidRPr="00CA25CF" w:rsidRDefault="002C0FD9" w:rsidP="00CA25CF">
            <w:pPr>
              <w:rPr>
                <w:rFonts w:cs="Arial"/>
                <w:color w:val="FF0000"/>
                <w:sz w:val="21"/>
                <w:szCs w:val="21"/>
              </w:rPr>
            </w:pPr>
          </w:p>
        </w:tc>
        <w:tc>
          <w:tcPr>
            <w:tcW w:w="217" w:type="dxa"/>
          </w:tcPr>
          <w:p w14:paraId="7A1FA4CC" w14:textId="77777777" w:rsidR="002C0FD9" w:rsidRPr="00CA25CF" w:rsidRDefault="002C0FD9" w:rsidP="00CA25CF">
            <w:pPr>
              <w:rPr>
                <w:rFonts w:cs="Arial"/>
                <w:color w:val="FF0000"/>
                <w:sz w:val="21"/>
                <w:szCs w:val="21"/>
              </w:rPr>
            </w:pPr>
          </w:p>
        </w:tc>
        <w:tc>
          <w:tcPr>
            <w:tcW w:w="217" w:type="dxa"/>
          </w:tcPr>
          <w:p w14:paraId="2B0215D4" w14:textId="77777777" w:rsidR="002C0FD9" w:rsidRPr="00CA25CF" w:rsidRDefault="002C0FD9" w:rsidP="00CA25CF">
            <w:pPr>
              <w:rPr>
                <w:rFonts w:cs="Arial"/>
                <w:color w:val="FF0000"/>
                <w:sz w:val="21"/>
                <w:szCs w:val="21"/>
              </w:rPr>
            </w:pPr>
          </w:p>
        </w:tc>
        <w:tc>
          <w:tcPr>
            <w:tcW w:w="217" w:type="dxa"/>
          </w:tcPr>
          <w:p w14:paraId="0A0C3944" w14:textId="77777777" w:rsidR="002C0FD9" w:rsidRPr="00CA25CF" w:rsidRDefault="002C0FD9" w:rsidP="00CA25CF">
            <w:pPr>
              <w:rPr>
                <w:rFonts w:cs="Arial"/>
                <w:color w:val="FF0000"/>
                <w:sz w:val="21"/>
                <w:szCs w:val="21"/>
              </w:rPr>
            </w:pPr>
          </w:p>
        </w:tc>
        <w:tc>
          <w:tcPr>
            <w:tcW w:w="217" w:type="dxa"/>
          </w:tcPr>
          <w:p w14:paraId="11FD919D" w14:textId="77777777" w:rsidR="002C0FD9" w:rsidRPr="00CA25CF" w:rsidRDefault="002C0FD9" w:rsidP="00CA25CF">
            <w:pPr>
              <w:rPr>
                <w:rFonts w:cs="Arial"/>
                <w:color w:val="FF0000"/>
                <w:sz w:val="21"/>
                <w:szCs w:val="21"/>
              </w:rPr>
            </w:pPr>
          </w:p>
        </w:tc>
        <w:tc>
          <w:tcPr>
            <w:tcW w:w="217" w:type="dxa"/>
          </w:tcPr>
          <w:p w14:paraId="47C7F872" w14:textId="77777777" w:rsidR="002C0FD9" w:rsidRPr="00CA25CF" w:rsidRDefault="002C0FD9" w:rsidP="00CA25CF">
            <w:pPr>
              <w:rPr>
                <w:rFonts w:cs="Arial"/>
                <w:color w:val="FF0000"/>
                <w:sz w:val="21"/>
                <w:szCs w:val="21"/>
              </w:rPr>
            </w:pPr>
          </w:p>
        </w:tc>
        <w:tc>
          <w:tcPr>
            <w:tcW w:w="217" w:type="dxa"/>
          </w:tcPr>
          <w:p w14:paraId="5D930108" w14:textId="77777777" w:rsidR="002C0FD9" w:rsidRPr="00CA25CF" w:rsidRDefault="002C0FD9" w:rsidP="00CA25CF">
            <w:pPr>
              <w:rPr>
                <w:rFonts w:cs="Arial"/>
                <w:color w:val="FF0000"/>
                <w:sz w:val="21"/>
                <w:szCs w:val="21"/>
              </w:rPr>
            </w:pPr>
          </w:p>
        </w:tc>
        <w:tc>
          <w:tcPr>
            <w:tcW w:w="217" w:type="dxa"/>
          </w:tcPr>
          <w:p w14:paraId="6B9B8504" w14:textId="77777777" w:rsidR="002C0FD9" w:rsidRPr="00CA25CF" w:rsidRDefault="002C0FD9" w:rsidP="00CA25CF">
            <w:pPr>
              <w:rPr>
                <w:rFonts w:cs="Arial"/>
                <w:color w:val="FF0000"/>
                <w:sz w:val="21"/>
                <w:szCs w:val="21"/>
              </w:rPr>
            </w:pPr>
          </w:p>
        </w:tc>
        <w:tc>
          <w:tcPr>
            <w:tcW w:w="217" w:type="dxa"/>
          </w:tcPr>
          <w:p w14:paraId="484AE6FC" w14:textId="77777777" w:rsidR="002C0FD9" w:rsidRPr="00CA25CF" w:rsidRDefault="002C0FD9" w:rsidP="00CA25CF">
            <w:pPr>
              <w:rPr>
                <w:rFonts w:cs="Arial"/>
                <w:color w:val="FF0000"/>
                <w:sz w:val="21"/>
                <w:szCs w:val="21"/>
              </w:rPr>
            </w:pPr>
          </w:p>
        </w:tc>
        <w:tc>
          <w:tcPr>
            <w:tcW w:w="217" w:type="dxa"/>
          </w:tcPr>
          <w:p w14:paraId="7C8C2709" w14:textId="77777777" w:rsidR="002C0FD9" w:rsidRPr="00CA25CF" w:rsidRDefault="002C0FD9" w:rsidP="00CA25CF">
            <w:pPr>
              <w:rPr>
                <w:rFonts w:cs="Arial"/>
                <w:color w:val="FF0000"/>
                <w:sz w:val="21"/>
                <w:szCs w:val="21"/>
              </w:rPr>
            </w:pPr>
          </w:p>
        </w:tc>
        <w:tc>
          <w:tcPr>
            <w:tcW w:w="217" w:type="dxa"/>
          </w:tcPr>
          <w:p w14:paraId="27C28E24" w14:textId="77777777" w:rsidR="002C0FD9" w:rsidRPr="00CA25CF" w:rsidRDefault="002C0FD9" w:rsidP="00CA25CF">
            <w:pPr>
              <w:rPr>
                <w:rFonts w:cs="Arial"/>
                <w:color w:val="FF0000"/>
                <w:sz w:val="21"/>
                <w:szCs w:val="21"/>
              </w:rPr>
            </w:pPr>
          </w:p>
        </w:tc>
        <w:tc>
          <w:tcPr>
            <w:tcW w:w="217" w:type="dxa"/>
          </w:tcPr>
          <w:p w14:paraId="6DD3B6F2" w14:textId="77777777" w:rsidR="002C0FD9" w:rsidRPr="00CA25CF" w:rsidRDefault="002C0FD9" w:rsidP="00CA25CF">
            <w:pPr>
              <w:rPr>
                <w:rFonts w:cs="Arial"/>
                <w:color w:val="FF0000"/>
                <w:sz w:val="21"/>
                <w:szCs w:val="21"/>
              </w:rPr>
            </w:pPr>
          </w:p>
        </w:tc>
        <w:tc>
          <w:tcPr>
            <w:tcW w:w="217" w:type="dxa"/>
          </w:tcPr>
          <w:p w14:paraId="6E1E40C5" w14:textId="77777777" w:rsidR="002C0FD9" w:rsidRPr="00CA25CF" w:rsidRDefault="002C0FD9" w:rsidP="00CA25CF">
            <w:pPr>
              <w:rPr>
                <w:rFonts w:cs="Arial"/>
                <w:color w:val="FF0000"/>
                <w:sz w:val="21"/>
                <w:szCs w:val="21"/>
              </w:rPr>
            </w:pPr>
          </w:p>
        </w:tc>
        <w:tc>
          <w:tcPr>
            <w:tcW w:w="217" w:type="dxa"/>
          </w:tcPr>
          <w:p w14:paraId="19A7C41F" w14:textId="77777777" w:rsidR="002C0FD9" w:rsidRPr="00CA25CF" w:rsidRDefault="002C0FD9" w:rsidP="00CA25CF">
            <w:pPr>
              <w:rPr>
                <w:rFonts w:cs="Arial"/>
                <w:color w:val="FF0000"/>
                <w:sz w:val="21"/>
                <w:szCs w:val="21"/>
              </w:rPr>
            </w:pPr>
          </w:p>
        </w:tc>
        <w:tc>
          <w:tcPr>
            <w:tcW w:w="217" w:type="dxa"/>
          </w:tcPr>
          <w:p w14:paraId="541BAB28" w14:textId="77777777" w:rsidR="002C0FD9" w:rsidRPr="00CA25CF" w:rsidRDefault="002C0FD9" w:rsidP="00CA25CF">
            <w:pPr>
              <w:rPr>
                <w:rFonts w:cs="Arial"/>
                <w:color w:val="FF0000"/>
                <w:sz w:val="21"/>
                <w:szCs w:val="21"/>
              </w:rPr>
            </w:pPr>
          </w:p>
        </w:tc>
        <w:tc>
          <w:tcPr>
            <w:tcW w:w="217" w:type="dxa"/>
          </w:tcPr>
          <w:p w14:paraId="44820BD3" w14:textId="77777777" w:rsidR="002C0FD9" w:rsidRPr="00CA25CF" w:rsidRDefault="002C0FD9" w:rsidP="00CA25CF">
            <w:pPr>
              <w:rPr>
                <w:rFonts w:cs="Arial"/>
                <w:color w:val="FF0000"/>
                <w:sz w:val="21"/>
                <w:szCs w:val="21"/>
              </w:rPr>
            </w:pPr>
          </w:p>
        </w:tc>
        <w:tc>
          <w:tcPr>
            <w:tcW w:w="217" w:type="dxa"/>
          </w:tcPr>
          <w:p w14:paraId="4C0C85E1" w14:textId="77777777" w:rsidR="002C0FD9" w:rsidRPr="00CA25CF" w:rsidRDefault="002C0FD9" w:rsidP="00CA25CF">
            <w:pPr>
              <w:rPr>
                <w:rFonts w:cs="Arial"/>
                <w:color w:val="FF0000"/>
                <w:sz w:val="21"/>
                <w:szCs w:val="21"/>
              </w:rPr>
            </w:pPr>
          </w:p>
        </w:tc>
        <w:tc>
          <w:tcPr>
            <w:tcW w:w="217" w:type="dxa"/>
          </w:tcPr>
          <w:p w14:paraId="1778D59E" w14:textId="77777777" w:rsidR="002C0FD9" w:rsidRPr="00CA25CF" w:rsidRDefault="002C0FD9" w:rsidP="00CA25CF">
            <w:pPr>
              <w:rPr>
                <w:rFonts w:cs="Arial"/>
                <w:color w:val="FF0000"/>
                <w:sz w:val="21"/>
                <w:szCs w:val="21"/>
              </w:rPr>
            </w:pPr>
          </w:p>
        </w:tc>
        <w:tc>
          <w:tcPr>
            <w:tcW w:w="217" w:type="dxa"/>
          </w:tcPr>
          <w:p w14:paraId="11A7CFD0" w14:textId="77777777" w:rsidR="002C0FD9" w:rsidRPr="00CA25CF" w:rsidRDefault="002C0FD9" w:rsidP="00CA25CF">
            <w:pPr>
              <w:rPr>
                <w:rFonts w:cs="Arial"/>
                <w:color w:val="FF0000"/>
                <w:sz w:val="21"/>
                <w:szCs w:val="21"/>
              </w:rPr>
            </w:pPr>
          </w:p>
        </w:tc>
        <w:tc>
          <w:tcPr>
            <w:tcW w:w="217" w:type="dxa"/>
          </w:tcPr>
          <w:p w14:paraId="6DDC27FD" w14:textId="77777777" w:rsidR="002C0FD9" w:rsidRPr="00CA25CF" w:rsidRDefault="002C0FD9" w:rsidP="00CA25CF">
            <w:pPr>
              <w:rPr>
                <w:rFonts w:cs="Arial"/>
                <w:color w:val="FF0000"/>
                <w:sz w:val="21"/>
                <w:szCs w:val="21"/>
              </w:rPr>
            </w:pPr>
          </w:p>
        </w:tc>
        <w:tc>
          <w:tcPr>
            <w:tcW w:w="217" w:type="dxa"/>
          </w:tcPr>
          <w:p w14:paraId="31F7156A" w14:textId="77777777" w:rsidR="002C0FD9" w:rsidRPr="00CA25CF" w:rsidRDefault="002C0FD9" w:rsidP="00CA25CF">
            <w:pPr>
              <w:rPr>
                <w:rFonts w:cs="Arial"/>
                <w:color w:val="FF0000"/>
                <w:sz w:val="21"/>
                <w:szCs w:val="21"/>
              </w:rPr>
            </w:pPr>
          </w:p>
        </w:tc>
        <w:tc>
          <w:tcPr>
            <w:tcW w:w="217" w:type="dxa"/>
          </w:tcPr>
          <w:p w14:paraId="6EFD4AC3" w14:textId="77777777" w:rsidR="002C0FD9" w:rsidRPr="00CA25CF" w:rsidRDefault="002C0FD9" w:rsidP="00CA25CF">
            <w:pPr>
              <w:rPr>
                <w:rFonts w:cs="Arial"/>
                <w:color w:val="FF0000"/>
                <w:sz w:val="21"/>
                <w:szCs w:val="21"/>
              </w:rPr>
            </w:pPr>
          </w:p>
        </w:tc>
        <w:tc>
          <w:tcPr>
            <w:tcW w:w="217" w:type="dxa"/>
          </w:tcPr>
          <w:p w14:paraId="062A1115" w14:textId="77777777" w:rsidR="002C0FD9" w:rsidRPr="00CA25CF" w:rsidRDefault="002C0FD9" w:rsidP="00CA25CF">
            <w:pPr>
              <w:rPr>
                <w:rFonts w:cs="Arial"/>
                <w:color w:val="FF0000"/>
                <w:sz w:val="21"/>
                <w:szCs w:val="21"/>
              </w:rPr>
            </w:pPr>
          </w:p>
        </w:tc>
      </w:tr>
      <w:tr w:rsidR="002C0FD9" w:rsidRPr="00A16219" w14:paraId="2A760689" w14:textId="77777777" w:rsidTr="002C0FD9">
        <w:trPr>
          <w:trHeight w:val="635"/>
        </w:trPr>
        <w:tc>
          <w:tcPr>
            <w:tcW w:w="515" w:type="dxa"/>
          </w:tcPr>
          <w:p w14:paraId="5C7AE40D" w14:textId="77777777" w:rsidR="002C0FD9" w:rsidRPr="00CA25CF" w:rsidRDefault="002C0FD9" w:rsidP="00CA25CF">
            <w:pPr>
              <w:rPr>
                <w:rFonts w:cs="Arial"/>
                <w:color w:val="FF0000"/>
                <w:sz w:val="21"/>
                <w:szCs w:val="21"/>
              </w:rPr>
            </w:pPr>
          </w:p>
        </w:tc>
        <w:tc>
          <w:tcPr>
            <w:tcW w:w="217" w:type="dxa"/>
          </w:tcPr>
          <w:p w14:paraId="718BAFD8" w14:textId="77777777" w:rsidR="002C0FD9" w:rsidRPr="00CA25CF" w:rsidRDefault="002C0FD9" w:rsidP="00CA25CF">
            <w:pPr>
              <w:rPr>
                <w:rFonts w:cs="Arial"/>
                <w:color w:val="FF0000"/>
                <w:sz w:val="21"/>
                <w:szCs w:val="21"/>
              </w:rPr>
            </w:pPr>
          </w:p>
        </w:tc>
        <w:tc>
          <w:tcPr>
            <w:tcW w:w="217" w:type="dxa"/>
          </w:tcPr>
          <w:p w14:paraId="16E5EB9B" w14:textId="77777777" w:rsidR="002C0FD9" w:rsidRPr="00CA25CF" w:rsidRDefault="002C0FD9" w:rsidP="00CA25CF">
            <w:pPr>
              <w:rPr>
                <w:rFonts w:cs="Arial"/>
                <w:color w:val="FF0000"/>
                <w:sz w:val="21"/>
                <w:szCs w:val="21"/>
              </w:rPr>
            </w:pPr>
          </w:p>
        </w:tc>
        <w:tc>
          <w:tcPr>
            <w:tcW w:w="217" w:type="dxa"/>
          </w:tcPr>
          <w:p w14:paraId="0D8C4FA3" w14:textId="77777777" w:rsidR="002C0FD9" w:rsidRPr="00CA25CF" w:rsidRDefault="002C0FD9" w:rsidP="00CA25CF">
            <w:pPr>
              <w:rPr>
                <w:rFonts w:cs="Arial"/>
                <w:color w:val="FF0000"/>
                <w:sz w:val="21"/>
                <w:szCs w:val="21"/>
              </w:rPr>
            </w:pPr>
          </w:p>
        </w:tc>
        <w:tc>
          <w:tcPr>
            <w:tcW w:w="217" w:type="dxa"/>
          </w:tcPr>
          <w:p w14:paraId="5AD7C7C7" w14:textId="77777777" w:rsidR="002C0FD9" w:rsidRPr="00CA25CF" w:rsidRDefault="002C0FD9" w:rsidP="00CA25CF">
            <w:pPr>
              <w:rPr>
                <w:rFonts w:cs="Arial"/>
                <w:color w:val="FF0000"/>
                <w:sz w:val="21"/>
                <w:szCs w:val="21"/>
              </w:rPr>
            </w:pPr>
          </w:p>
        </w:tc>
        <w:tc>
          <w:tcPr>
            <w:tcW w:w="217" w:type="dxa"/>
          </w:tcPr>
          <w:p w14:paraId="2317F38A" w14:textId="77777777" w:rsidR="002C0FD9" w:rsidRPr="00CA25CF" w:rsidRDefault="002C0FD9" w:rsidP="00CA25CF">
            <w:pPr>
              <w:rPr>
                <w:rFonts w:cs="Arial"/>
                <w:color w:val="FF0000"/>
                <w:sz w:val="21"/>
                <w:szCs w:val="21"/>
              </w:rPr>
            </w:pPr>
          </w:p>
        </w:tc>
        <w:tc>
          <w:tcPr>
            <w:tcW w:w="217" w:type="dxa"/>
          </w:tcPr>
          <w:p w14:paraId="68E6AB3B" w14:textId="77777777" w:rsidR="002C0FD9" w:rsidRPr="00CA25CF" w:rsidRDefault="002C0FD9" w:rsidP="00CA25CF">
            <w:pPr>
              <w:rPr>
                <w:rFonts w:cs="Arial"/>
                <w:color w:val="FF0000"/>
                <w:sz w:val="21"/>
                <w:szCs w:val="21"/>
              </w:rPr>
            </w:pPr>
          </w:p>
        </w:tc>
        <w:tc>
          <w:tcPr>
            <w:tcW w:w="217" w:type="dxa"/>
          </w:tcPr>
          <w:p w14:paraId="7443D5D0" w14:textId="77777777" w:rsidR="002C0FD9" w:rsidRPr="00CA25CF" w:rsidRDefault="002C0FD9" w:rsidP="00CA25CF">
            <w:pPr>
              <w:rPr>
                <w:rFonts w:cs="Arial"/>
                <w:color w:val="FF0000"/>
                <w:sz w:val="21"/>
                <w:szCs w:val="21"/>
              </w:rPr>
            </w:pPr>
          </w:p>
        </w:tc>
        <w:tc>
          <w:tcPr>
            <w:tcW w:w="217" w:type="dxa"/>
          </w:tcPr>
          <w:p w14:paraId="696E9587" w14:textId="77777777" w:rsidR="002C0FD9" w:rsidRPr="00CA25CF" w:rsidRDefault="002C0FD9" w:rsidP="00CA25CF">
            <w:pPr>
              <w:rPr>
                <w:rFonts w:cs="Arial"/>
                <w:color w:val="FF0000"/>
                <w:sz w:val="21"/>
                <w:szCs w:val="21"/>
              </w:rPr>
            </w:pPr>
          </w:p>
        </w:tc>
        <w:tc>
          <w:tcPr>
            <w:tcW w:w="217" w:type="dxa"/>
          </w:tcPr>
          <w:p w14:paraId="526B5DBE" w14:textId="77777777" w:rsidR="002C0FD9" w:rsidRPr="00CA25CF" w:rsidRDefault="002C0FD9" w:rsidP="00CA25CF">
            <w:pPr>
              <w:rPr>
                <w:rFonts w:cs="Arial"/>
                <w:color w:val="FF0000"/>
                <w:sz w:val="21"/>
                <w:szCs w:val="21"/>
              </w:rPr>
            </w:pPr>
          </w:p>
        </w:tc>
        <w:tc>
          <w:tcPr>
            <w:tcW w:w="217" w:type="dxa"/>
          </w:tcPr>
          <w:p w14:paraId="7BF82BF8" w14:textId="77777777" w:rsidR="002C0FD9" w:rsidRPr="00CA25CF" w:rsidRDefault="002C0FD9" w:rsidP="00CA25CF">
            <w:pPr>
              <w:rPr>
                <w:rFonts w:cs="Arial"/>
                <w:color w:val="FF0000"/>
                <w:sz w:val="21"/>
                <w:szCs w:val="21"/>
              </w:rPr>
            </w:pPr>
          </w:p>
        </w:tc>
        <w:tc>
          <w:tcPr>
            <w:tcW w:w="217" w:type="dxa"/>
          </w:tcPr>
          <w:p w14:paraId="7ABBC326" w14:textId="77777777" w:rsidR="002C0FD9" w:rsidRPr="00CA25CF" w:rsidRDefault="002C0FD9" w:rsidP="00CA25CF">
            <w:pPr>
              <w:rPr>
                <w:rFonts w:cs="Arial"/>
                <w:color w:val="FF0000"/>
                <w:sz w:val="21"/>
                <w:szCs w:val="21"/>
              </w:rPr>
            </w:pPr>
          </w:p>
        </w:tc>
        <w:tc>
          <w:tcPr>
            <w:tcW w:w="217" w:type="dxa"/>
          </w:tcPr>
          <w:p w14:paraId="103A84F7" w14:textId="77777777" w:rsidR="002C0FD9" w:rsidRPr="00CA25CF" w:rsidRDefault="002C0FD9" w:rsidP="00CA25CF">
            <w:pPr>
              <w:rPr>
                <w:rFonts w:cs="Arial"/>
                <w:color w:val="FF0000"/>
                <w:sz w:val="21"/>
                <w:szCs w:val="21"/>
              </w:rPr>
            </w:pPr>
          </w:p>
        </w:tc>
        <w:tc>
          <w:tcPr>
            <w:tcW w:w="217" w:type="dxa"/>
          </w:tcPr>
          <w:p w14:paraId="300BAA75" w14:textId="77777777" w:rsidR="002C0FD9" w:rsidRPr="00CA25CF" w:rsidRDefault="002C0FD9" w:rsidP="00CA25CF">
            <w:pPr>
              <w:rPr>
                <w:rFonts w:cs="Arial"/>
                <w:color w:val="FF0000"/>
                <w:sz w:val="21"/>
                <w:szCs w:val="21"/>
              </w:rPr>
            </w:pPr>
          </w:p>
        </w:tc>
        <w:tc>
          <w:tcPr>
            <w:tcW w:w="217" w:type="dxa"/>
          </w:tcPr>
          <w:p w14:paraId="4A972338" w14:textId="77777777" w:rsidR="002C0FD9" w:rsidRPr="00CA25CF" w:rsidRDefault="002C0FD9" w:rsidP="00CA25CF">
            <w:pPr>
              <w:rPr>
                <w:rFonts w:cs="Arial"/>
                <w:color w:val="FF0000"/>
                <w:sz w:val="21"/>
                <w:szCs w:val="21"/>
              </w:rPr>
            </w:pPr>
          </w:p>
        </w:tc>
        <w:tc>
          <w:tcPr>
            <w:tcW w:w="217" w:type="dxa"/>
          </w:tcPr>
          <w:p w14:paraId="232EF795" w14:textId="77777777" w:rsidR="002C0FD9" w:rsidRPr="00CA25CF" w:rsidRDefault="002C0FD9" w:rsidP="00CA25CF">
            <w:pPr>
              <w:rPr>
                <w:rFonts w:cs="Arial"/>
                <w:color w:val="FF0000"/>
                <w:sz w:val="21"/>
                <w:szCs w:val="21"/>
              </w:rPr>
            </w:pPr>
          </w:p>
        </w:tc>
        <w:tc>
          <w:tcPr>
            <w:tcW w:w="217" w:type="dxa"/>
          </w:tcPr>
          <w:p w14:paraId="5BDCD99B" w14:textId="77777777" w:rsidR="002C0FD9" w:rsidRPr="00CA25CF" w:rsidRDefault="002C0FD9" w:rsidP="00CA25CF">
            <w:pPr>
              <w:rPr>
                <w:rFonts w:cs="Arial"/>
                <w:color w:val="FF0000"/>
                <w:sz w:val="21"/>
                <w:szCs w:val="21"/>
              </w:rPr>
            </w:pPr>
          </w:p>
        </w:tc>
        <w:tc>
          <w:tcPr>
            <w:tcW w:w="217" w:type="dxa"/>
          </w:tcPr>
          <w:p w14:paraId="4294FE47" w14:textId="77777777" w:rsidR="002C0FD9" w:rsidRPr="00CA25CF" w:rsidRDefault="002C0FD9" w:rsidP="00CA25CF">
            <w:pPr>
              <w:rPr>
                <w:rFonts w:cs="Arial"/>
                <w:color w:val="FF0000"/>
                <w:sz w:val="21"/>
                <w:szCs w:val="21"/>
              </w:rPr>
            </w:pPr>
          </w:p>
        </w:tc>
        <w:tc>
          <w:tcPr>
            <w:tcW w:w="217" w:type="dxa"/>
          </w:tcPr>
          <w:p w14:paraId="68EBC401" w14:textId="77777777" w:rsidR="002C0FD9" w:rsidRPr="00CA25CF" w:rsidRDefault="002C0FD9" w:rsidP="00CA25CF">
            <w:pPr>
              <w:rPr>
                <w:rFonts w:cs="Arial"/>
                <w:color w:val="FF0000"/>
                <w:sz w:val="21"/>
                <w:szCs w:val="21"/>
              </w:rPr>
            </w:pPr>
          </w:p>
        </w:tc>
        <w:tc>
          <w:tcPr>
            <w:tcW w:w="217" w:type="dxa"/>
          </w:tcPr>
          <w:p w14:paraId="37CB4EE1" w14:textId="77777777" w:rsidR="002C0FD9" w:rsidRPr="00CA25CF" w:rsidRDefault="002C0FD9" w:rsidP="00CA25CF">
            <w:pPr>
              <w:rPr>
                <w:rFonts w:cs="Arial"/>
                <w:color w:val="FF0000"/>
                <w:sz w:val="21"/>
                <w:szCs w:val="21"/>
              </w:rPr>
            </w:pPr>
          </w:p>
        </w:tc>
        <w:tc>
          <w:tcPr>
            <w:tcW w:w="217" w:type="dxa"/>
          </w:tcPr>
          <w:p w14:paraId="0D9DD287" w14:textId="77777777" w:rsidR="002C0FD9" w:rsidRPr="00CA25CF" w:rsidRDefault="002C0FD9" w:rsidP="00CA25CF">
            <w:pPr>
              <w:rPr>
                <w:rFonts w:cs="Arial"/>
                <w:color w:val="FF0000"/>
                <w:sz w:val="21"/>
                <w:szCs w:val="21"/>
              </w:rPr>
            </w:pPr>
          </w:p>
        </w:tc>
        <w:tc>
          <w:tcPr>
            <w:tcW w:w="217" w:type="dxa"/>
          </w:tcPr>
          <w:p w14:paraId="7AA22EC6" w14:textId="77777777" w:rsidR="002C0FD9" w:rsidRPr="00CA25CF" w:rsidRDefault="002C0FD9" w:rsidP="00CA25CF">
            <w:pPr>
              <w:rPr>
                <w:rFonts w:cs="Arial"/>
                <w:color w:val="FF0000"/>
                <w:sz w:val="21"/>
                <w:szCs w:val="21"/>
              </w:rPr>
            </w:pPr>
          </w:p>
        </w:tc>
        <w:tc>
          <w:tcPr>
            <w:tcW w:w="217" w:type="dxa"/>
          </w:tcPr>
          <w:p w14:paraId="3AE968CD" w14:textId="77777777" w:rsidR="002C0FD9" w:rsidRPr="00CA25CF" w:rsidRDefault="002C0FD9" w:rsidP="00CA25CF">
            <w:pPr>
              <w:rPr>
                <w:rFonts w:cs="Arial"/>
                <w:color w:val="FF0000"/>
                <w:sz w:val="21"/>
                <w:szCs w:val="21"/>
              </w:rPr>
            </w:pPr>
          </w:p>
        </w:tc>
        <w:tc>
          <w:tcPr>
            <w:tcW w:w="217" w:type="dxa"/>
          </w:tcPr>
          <w:p w14:paraId="27665884" w14:textId="77777777" w:rsidR="002C0FD9" w:rsidRPr="00CA25CF" w:rsidRDefault="002C0FD9" w:rsidP="00CA25CF">
            <w:pPr>
              <w:rPr>
                <w:rFonts w:cs="Arial"/>
                <w:color w:val="FF0000"/>
                <w:sz w:val="21"/>
                <w:szCs w:val="21"/>
              </w:rPr>
            </w:pPr>
          </w:p>
        </w:tc>
        <w:tc>
          <w:tcPr>
            <w:tcW w:w="217" w:type="dxa"/>
          </w:tcPr>
          <w:p w14:paraId="1C5E83D7" w14:textId="77777777" w:rsidR="002C0FD9" w:rsidRPr="00CA25CF" w:rsidRDefault="002C0FD9" w:rsidP="00CA25CF">
            <w:pPr>
              <w:rPr>
                <w:rFonts w:cs="Arial"/>
                <w:color w:val="FF0000"/>
                <w:sz w:val="21"/>
                <w:szCs w:val="21"/>
              </w:rPr>
            </w:pPr>
          </w:p>
        </w:tc>
        <w:tc>
          <w:tcPr>
            <w:tcW w:w="217" w:type="dxa"/>
          </w:tcPr>
          <w:p w14:paraId="70F4984F" w14:textId="77777777" w:rsidR="002C0FD9" w:rsidRPr="00CA25CF" w:rsidRDefault="002C0FD9" w:rsidP="00CA25CF">
            <w:pPr>
              <w:rPr>
                <w:rFonts w:cs="Arial"/>
                <w:color w:val="FF0000"/>
                <w:sz w:val="21"/>
                <w:szCs w:val="21"/>
              </w:rPr>
            </w:pPr>
          </w:p>
        </w:tc>
        <w:tc>
          <w:tcPr>
            <w:tcW w:w="217" w:type="dxa"/>
          </w:tcPr>
          <w:p w14:paraId="7283FA4B" w14:textId="77777777" w:rsidR="002C0FD9" w:rsidRPr="00CA25CF" w:rsidRDefault="002C0FD9" w:rsidP="00CA25CF">
            <w:pPr>
              <w:rPr>
                <w:rFonts w:cs="Arial"/>
                <w:color w:val="FF0000"/>
                <w:sz w:val="21"/>
                <w:szCs w:val="21"/>
              </w:rPr>
            </w:pPr>
          </w:p>
        </w:tc>
        <w:tc>
          <w:tcPr>
            <w:tcW w:w="217" w:type="dxa"/>
          </w:tcPr>
          <w:p w14:paraId="4C260927" w14:textId="77777777" w:rsidR="002C0FD9" w:rsidRPr="00CA25CF" w:rsidRDefault="002C0FD9" w:rsidP="00CA25CF">
            <w:pPr>
              <w:rPr>
                <w:rFonts w:cs="Arial"/>
                <w:color w:val="FF0000"/>
                <w:sz w:val="21"/>
                <w:szCs w:val="21"/>
              </w:rPr>
            </w:pPr>
          </w:p>
        </w:tc>
        <w:tc>
          <w:tcPr>
            <w:tcW w:w="217" w:type="dxa"/>
          </w:tcPr>
          <w:p w14:paraId="6A3A0B63" w14:textId="77777777" w:rsidR="002C0FD9" w:rsidRPr="00CA25CF" w:rsidRDefault="002C0FD9" w:rsidP="00CA25CF">
            <w:pPr>
              <w:rPr>
                <w:rFonts w:cs="Arial"/>
                <w:color w:val="FF0000"/>
                <w:sz w:val="21"/>
                <w:szCs w:val="21"/>
              </w:rPr>
            </w:pPr>
          </w:p>
        </w:tc>
        <w:tc>
          <w:tcPr>
            <w:tcW w:w="217" w:type="dxa"/>
          </w:tcPr>
          <w:p w14:paraId="4FD3B639" w14:textId="77777777" w:rsidR="002C0FD9" w:rsidRPr="00CA25CF" w:rsidRDefault="002C0FD9" w:rsidP="00CA25CF">
            <w:pPr>
              <w:rPr>
                <w:rFonts w:cs="Arial"/>
                <w:color w:val="FF0000"/>
                <w:sz w:val="21"/>
                <w:szCs w:val="21"/>
              </w:rPr>
            </w:pPr>
          </w:p>
        </w:tc>
        <w:tc>
          <w:tcPr>
            <w:tcW w:w="217" w:type="dxa"/>
          </w:tcPr>
          <w:p w14:paraId="080279B5" w14:textId="77777777" w:rsidR="002C0FD9" w:rsidRPr="00CA25CF" w:rsidRDefault="002C0FD9" w:rsidP="00CA25CF">
            <w:pPr>
              <w:rPr>
                <w:rFonts w:cs="Arial"/>
                <w:color w:val="FF0000"/>
                <w:sz w:val="21"/>
                <w:szCs w:val="21"/>
              </w:rPr>
            </w:pPr>
          </w:p>
        </w:tc>
        <w:tc>
          <w:tcPr>
            <w:tcW w:w="217" w:type="dxa"/>
          </w:tcPr>
          <w:p w14:paraId="6203D5CA" w14:textId="77777777" w:rsidR="002C0FD9" w:rsidRPr="00CA25CF" w:rsidRDefault="002C0FD9" w:rsidP="00CA25CF">
            <w:pPr>
              <w:rPr>
                <w:rFonts w:cs="Arial"/>
                <w:color w:val="FF0000"/>
                <w:sz w:val="21"/>
                <w:szCs w:val="21"/>
              </w:rPr>
            </w:pPr>
          </w:p>
        </w:tc>
        <w:tc>
          <w:tcPr>
            <w:tcW w:w="217" w:type="dxa"/>
          </w:tcPr>
          <w:p w14:paraId="482D99B3" w14:textId="77777777" w:rsidR="002C0FD9" w:rsidRPr="00CA25CF" w:rsidRDefault="002C0FD9" w:rsidP="00CA25CF">
            <w:pPr>
              <w:rPr>
                <w:rFonts w:cs="Arial"/>
                <w:color w:val="FF0000"/>
                <w:sz w:val="21"/>
                <w:szCs w:val="21"/>
              </w:rPr>
            </w:pPr>
          </w:p>
        </w:tc>
        <w:tc>
          <w:tcPr>
            <w:tcW w:w="217" w:type="dxa"/>
          </w:tcPr>
          <w:p w14:paraId="186E3069" w14:textId="77777777" w:rsidR="002C0FD9" w:rsidRPr="00CA25CF" w:rsidRDefault="002C0FD9" w:rsidP="00CA25CF">
            <w:pPr>
              <w:rPr>
                <w:rFonts w:cs="Arial"/>
                <w:color w:val="FF0000"/>
                <w:sz w:val="21"/>
                <w:szCs w:val="21"/>
              </w:rPr>
            </w:pPr>
          </w:p>
        </w:tc>
        <w:tc>
          <w:tcPr>
            <w:tcW w:w="217" w:type="dxa"/>
          </w:tcPr>
          <w:p w14:paraId="5643F174" w14:textId="77777777" w:rsidR="002C0FD9" w:rsidRPr="00CA25CF" w:rsidRDefault="002C0FD9" w:rsidP="00CA25CF">
            <w:pPr>
              <w:rPr>
                <w:rFonts w:cs="Arial"/>
                <w:color w:val="FF0000"/>
                <w:sz w:val="21"/>
                <w:szCs w:val="21"/>
              </w:rPr>
            </w:pPr>
          </w:p>
        </w:tc>
        <w:tc>
          <w:tcPr>
            <w:tcW w:w="217" w:type="dxa"/>
          </w:tcPr>
          <w:p w14:paraId="0792C9A8" w14:textId="77777777" w:rsidR="002C0FD9" w:rsidRPr="00CA25CF" w:rsidRDefault="002C0FD9" w:rsidP="00CA25CF">
            <w:pPr>
              <w:rPr>
                <w:rFonts w:cs="Arial"/>
                <w:color w:val="FF0000"/>
                <w:sz w:val="21"/>
                <w:szCs w:val="21"/>
              </w:rPr>
            </w:pPr>
          </w:p>
        </w:tc>
        <w:tc>
          <w:tcPr>
            <w:tcW w:w="217" w:type="dxa"/>
          </w:tcPr>
          <w:p w14:paraId="254EF5B2" w14:textId="77777777" w:rsidR="002C0FD9" w:rsidRPr="00CA25CF" w:rsidRDefault="002C0FD9" w:rsidP="00CA25CF">
            <w:pPr>
              <w:rPr>
                <w:rFonts w:cs="Arial"/>
                <w:color w:val="FF0000"/>
                <w:sz w:val="21"/>
                <w:szCs w:val="21"/>
              </w:rPr>
            </w:pPr>
          </w:p>
        </w:tc>
        <w:tc>
          <w:tcPr>
            <w:tcW w:w="217" w:type="dxa"/>
          </w:tcPr>
          <w:p w14:paraId="613461F6" w14:textId="77777777" w:rsidR="002C0FD9" w:rsidRPr="00CA25CF" w:rsidRDefault="002C0FD9" w:rsidP="00CA25CF">
            <w:pPr>
              <w:rPr>
                <w:rFonts w:cs="Arial"/>
                <w:color w:val="FF0000"/>
                <w:sz w:val="21"/>
                <w:szCs w:val="21"/>
              </w:rPr>
            </w:pPr>
          </w:p>
        </w:tc>
        <w:tc>
          <w:tcPr>
            <w:tcW w:w="217" w:type="dxa"/>
          </w:tcPr>
          <w:p w14:paraId="319F1254" w14:textId="77777777" w:rsidR="002C0FD9" w:rsidRPr="00CA25CF" w:rsidRDefault="002C0FD9" w:rsidP="00CA25CF">
            <w:pPr>
              <w:rPr>
                <w:rFonts w:cs="Arial"/>
                <w:color w:val="FF0000"/>
                <w:sz w:val="21"/>
                <w:szCs w:val="21"/>
              </w:rPr>
            </w:pPr>
          </w:p>
        </w:tc>
        <w:tc>
          <w:tcPr>
            <w:tcW w:w="217" w:type="dxa"/>
          </w:tcPr>
          <w:p w14:paraId="3E8EF2F0" w14:textId="77777777" w:rsidR="002C0FD9" w:rsidRPr="00CA25CF" w:rsidRDefault="002C0FD9" w:rsidP="00CA25CF">
            <w:pPr>
              <w:rPr>
                <w:rFonts w:cs="Arial"/>
                <w:color w:val="FF0000"/>
                <w:sz w:val="21"/>
                <w:szCs w:val="21"/>
              </w:rPr>
            </w:pPr>
          </w:p>
        </w:tc>
        <w:tc>
          <w:tcPr>
            <w:tcW w:w="217" w:type="dxa"/>
          </w:tcPr>
          <w:p w14:paraId="0D0AB38A" w14:textId="77777777" w:rsidR="002C0FD9" w:rsidRPr="00CA25CF" w:rsidRDefault="002C0FD9" w:rsidP="00CA25CF">
            <w:pPr>
              <w:rPr>
                <w:rFonts w:cs="Arial"/>
                <w:color w:val="FF0000"/>
                <w:sz w:val="21"/>
                <w:szCs w:val="21"/>
              </w:rPr>
            </w:pPr>
          </w:p>
        </w:tc>
        <w:tc>
          <w:tcPr>
            <w:tcW w:w="217" w:type="dxa"/>
          </w:tcPr>
          <w:p w14:paraId="6E965A25" w14:textId="77777777" w:rsidR="002C0FD9" w:rsidRPr="00CA25CF" w:rsidRDefault="002C0FD9" w:rsidP="00CA25CF">
            <w:pPr>
              <w:rPr>
                <w:rFonts w:cs="Arial"/>
                <w:color w:val="FF0000"/>
                <w:sz w:val="21"/>
                <w:szCs w:val="21"/>
              </w:rPr>
            </w:pPr>
          </w:p>
        </w:tc>
        <w:tc>
          <w:tcPr>
            <w:tcW w:w="217" w:type="dxa"/>
          </w:tcPr>
          <w:p w14:paraId="190D334E" w14:textId="77777777" w:rsidR="002C0FD9" w:rsidRPr="00CA25CF" w:rsidRDefault="002C0FD9" w:rsidP="00CA25CF">
            <w:pPr>
              <w:rPr>
                <w:rFonts w:cs="Arial"/>
                <w:color w:val="FF0000"/>
                <w:sz w:val="21"/>
                <w:szCs w:val="21"/>
              </w:rPr>
            </w:pPr>
          </w:p>
        </w:tc>
      </w:tr>
      <w:tr w:rsidR="002C0FD9" w:rsidRPr="00A16219" w14:paraId="7166EFDD" w14:textId="77777777" w:rsidTr="002C0FD9">
        <w:trPr>
          <w:trHeight w:val="635"/>
        </w:trPr>
        <w:tc>
          <w:tcPr>
            <w:tcW w:w="515" w:type="dxa"/>
          </w:tcPr>
          <w:p w14:paraId="0CE58F63" w14:textId="77777777" w:rsidR="002C0FD9" w:rsidRPr="00CA25CF" w:rsidRDefault="002C0FD9" w:rsidP="00CA25CF">
            <w:pPr>
              <w:rPr>
                <w:rFonts w:cs="Arial"/>
                <w:color w:val="FF0000"/>
                <w:sz w:val="21"/>
                <w:szCs w:val="21"/>
              </w:rPr>
            </w:pPr>
          </w:p>
        </w:tc>
        <w:tc>
          <w:tcPr>
            <w:tcW w:w="217" w:type="dxa"/>
          </w:tcPr>
          <w:p w14:paraId="5DBA85BB" w14:textId="77777777" w:rsidR="002C0FD9" w:rsidRPr="00CA25CF" w:rsidRDefault="002C0FD9" w:rsidP="00CA25CF">
            <w:pPr>
              <w:rPr>
                <w:rFonts w:cs="Arial"/>
                <w:color w:val="FF0000"/>
                <w:sz w:val="21"/>
                <w:szCs w:val="21"/>
              </w:rPr>
            </w:pPr>
          </w:p>
        </w:tc>
        <w:tc>
          <w:tcPr>
            <w:tcW w:w="217" w:type="dxa"/>
          </w:tcPr>
          <w:p w14:paraId="57A93CAF" w14:textId="77777777" w:rsidR="002C0FD9" w:rsidRPr="00CA25CF" w:rsidRDefault="002C0FD9" w:rsidP="00CA25CF">
            <w:pPr>
              <w:rPr>
                <w:rFonts w:cs="Arial"/>
                <w:color w:val="FF0000"/>
                <w:sz w:val="21"/>
                <w:szCs w:val="21"/>
              </w:rPr>
            </w:pPr>
          </w:p>
        </w:tc>
        <w:tc>
          <w:tcPr>
            <w:tcW w:w="217" w:type="dxa"/>
          </w:tcPr>
          <w:p w14:paraId="1289F90B" w14:textId="77777777" w:rsidR="002C0FD9" w:rsidRPr="00CA25CF" w:rsidRDefault="002C0FD9" w:rsidP="00CA25CF">
            <w:pPr>
              <w:rPr>
                <w:rFonts w:cs="Arial"/>
                <w:color w:val="FF0000"/>
                <w:sz w:val="21"/>
                <w:szCs w:val="21"/>
              </w:rPr>
            </w:pPr>
          </w:p>
        </w:tc>
        <w:tc>
          <w:tcPr>
            <w:tcW w:w="217" w:type="dxa"/>
          </w:tcPr>
          <w:p w14:paraId="5223CAF3" w14:textId="77777777" w:rsidR="002C0FD9" w:rsidRPr="00CA25CF" w:rsidRDefault="002C0FD9" w:rsidP="00CA25CF">
            <w:pPr>
              <w:rPr>
                <w:rFonts w:cs="Arial"/>
                <w:color w:val="FF0000"/>
                <w:sz w:val="21"/>
                <w:szCs w:val="21"/>
              </w:rPr>
            </w:pPr>
          </w:p>
        </w:tc>
        <w:tc>
          <w:tcPr>
            <w:tcW w:w="217" w:type="dxa"/>
          </w:tcPr>
          <w:p w14:paraId="422DAFB5" w14:textId="77777777" w:rsidR="002C0FD9" w:rsidRPr="00CA25CF" w:rsidRDefault="002C0FD9" w:rsidP="00CA25CF">
            <w:pPr>
              <w:rPr>
                <w:rFonts w:cs="Arial"/>
                <w:color w:val="FF0000"/>
                <w:sz w:val="21"/>
                <w:szCs w:val="21"/>
              </w:rPr>
            </w:pPr>
          </w:p>
        </w:tc>
        <w:tc>
          <w:tcPr>
            <w:tcW w:w="217" w:type="dxa"/>
          </w:tcPr>
          <w:p w14:paraId="6DBA8E04" w14:textId="77777777" w:rsidR="002C0FD9" w:rsidRPr="00CA25CF" w:rsidRDefault="002C0FD9" w:rsidP="00CA25CF">
            <w:pPr>
              <w:rPr>
                <w:rFonts w:cs="Arial"/>
                <w:color w:val="FF0000"/>
                <w:sz w:val="21"/>
                <w:szCs w:val="21"/>
              </w:rPr>
            </w:pPr>
          </w:p>
        </w:tc>
        <w:tc>
          <w:tcPr>
            <w:tcW w:w="217" w:type="dxa"/>
          </w:tcPr>
          <w:p w14:paraId="28E7126F" w14:textId="77777777" w:rsidR="002C0FD9" w:rsidRPr="00CA25CF" w:rsidRDefault="002C0FD9" w:rsidP="00CA25CF">
            <w:pPr>
              <w:rPr>
                <w:rFonts w:cs="Arial"/>
                <w:color w:val="FF0000"/>
                <w:sz w:val="21"/>
                <w:szCs w:val="21"/>
              </w:rPr>
            </w:pPr>
          </w:p>
        </w:tc>
        <w:tc>
          <w:tcPr>
            <w:tcW w:w="217" w:type="dxa"/>
          </w:tcPr>
          <w:p w14:paraId="43BB0437" w14:textId="77777777" w:rsidR="002C0FD9" w:rsidRPr="00CA25CF" w:rsidRDefault="002C0FD9" w:rsidP="00CA25CF">
            <w:pPr>
              <w:rPr>
                <w:rFonts w:cs="Arial"/>
                <w:color w:val="FF0000"/>
                <w:sz w:val="21"/>
                <w:szCs w:val="21"/>
              </w:rPr>
            </w:pPr>
          </w:p>
        </w:tc>
        <w:tc>
          <w:tcPr>
            <w:tcW w:w="217" w:type="dxa"/>
          </w:tcPr>
          <w:p w14:paraId="789D8E4A" w14:textId="77777777" w:rsidR="002C0FD9" w:rsidRPr="00CA25CF" w:rsidRDefault="002C0FD9" w:rsidP="00CA25CF">
            <w:pPr>
              <w:rPr>
                <w:rFonts w:cs="Arial"/>
                <w:color w:val="FF0000"/>
                <w:sz w:val="21"/>
                <w:szCs w:val="21"/>
              </w:rPr>
            </w:pPr>
          </w:p>
        </w:tc>
        <w:tc>
          <w:tcPr>
            <w:tcW w:w="217" w:type="dxa"/>
          </w:tcPr>
          <w:p w14:paraId="4F68A4B1" w14:textId="77777777" w:rsidR="002C0FD9" w:rsidRPr="00CA25CF" w:rsidRDefault="002C0FD9" w:rsidP="00CA25CF">
            <w:pPr>
              <w:rPr>
                <w:rFonts w:cs="Arial"/>
                <w:color w:val="FF0000"/>
                <w:sz w:val="21"/>
                <w:szCs w:val="21"/>
              </w:rPr>
            </w:pPr>
          </w:p>
        </w:tc>
        <w:tc>
          <w:tcPr>
            <w:tcW w:w="217" w:type="dxa"/>
          </w:tcPr>
          <w:p w14:paraId="7C830538" w14:textId="77777777" w:rsidR="002C0FD9" w:rsidRPr="00CA25CF" w:rsidRDefault="002C0FD9" w:rsidP="00CA25CF">
            <w:pPr>
              <w:rPr>
                <w:rFonts w:cs="Arial"/>
                <w:color w:val="FF0000"/>
                <w:sz w:val="21"/>
                <w:szCs w:val="21"/>
              </w:rPr>
            </w:pPr>
          </w:p>
        </w:tc>
        <w:tc>
          <w:tcPr>
            <w:tcW w:w="217" w:type="dxa"/>
          </w:tcPr>
          <w:p w14:paraId="496C3D43" w14:textId="77777777" w:rsidR="002C0FD9" w:rsidRPr="00CA25CF" w:rsidRDefault="002C0FD9" w:rsidP="00CA25CF">
            <w:pPr>
              <w:rPr>
                <w:rFonts w:cs="Arial"/>
                <w:color w:val="FF0000"/>
                <w:sz w:val="21"/>
                <w:szCs w:val="21"/>
              </w:rPr>
            </w:pPr>
          </w:p>
        </w:tc>
        <w:tc>
          <w:tcPr>
            <w:tcW w:w="217" w:type="dxa"/>
          </w:tcPr>
          <w:p w14:paraId="58772036" w14:textId="77777777" w:rsidR="002C0FD9" w:rsidRPr="00CA25CF" w:rsidRDefault="002C0FD9" w:rsidP="00CA25CF">
            <w:pPr>
              <w:rPr>
                <w:rFonts w:cs="Arial"/>
                <w:color w:val="FF0000"/>
                <w:sz w:val="21"/>
                <w:szCs w:val="21"/>
              </w:rPr>
            </w:pPr>
          </w:p>
        </w:tc>
        <w:tc>
          <w:tcPr>
            <w:tcW w:w="217" w:type="dxa"/>
          </w:tcPr>
          <w:p w14:paraId="6D1B8E88" w14:textId="77777777" w:rsidR="002C0FD9" w:rsidRPr="00CA25CF" w:rsidRDefault="002C0FD9" w:rsidP="00CA25CF">
            <w:pPr>
              <w:rPr>
                <w:rFonts w:cs="Arial"/>
                <w:color w:val="FF0000"/>
                <w:sz w:val="21"/>
                <w:szCs w:val="21"/>
              </w:rPr>
            </w:pPr>
          </w:p>
        </w:tc>
        <w:tc>
          <w:tcPr>
            <w:tcW w:w="217" w:type="dxa"/>
          </w:tcPr>
          <w:p w14:paraId="5537EC38" w14:textId="77777777" w:rsidR="002C0FD9" w:rsidRPr="00CA25CF" w:rsidRDefault="002C0FD9" w:rsidP="00CA25CF">
            <w:pPr>
              <w:rPr>
                <w:rFonts w:cs="Arial"/>
                <w:color w:val="FF0000"/>
                <w:sz w:val="21"/>
                <w:szCs w:val="21"/>
              </w:rPr>
            </w:pPr>
          </w:p>
        </w:tc>
        <w:tc>
          <w:tcPr>
            <w:tcW w:w="217" w:type="dxa"/>
          </w:tcPr>
          <w:p w14:paraId="5D6E0113" w14:textId="77777777" w:rsidR="002C0FD9" w:rsidRPr="00CA25CF" w:rsidRDefault="002C0FD9" w:rsidP="00CA25CF">
            <w:pPr>
              <w:rPr>
                <w:rFonts w:cs="Arial"/>
                <w:color w:val="FF0000"/>
                <w:sz w:val="21"/>
                <w:szCs w:val="21"/>
              </w:rPr>
            </w:pPr>
          </w:p>
        </w:tc>
        <w:tc>
          <w:tcPr>
            <w:tcW w:w="217" w:type="dxa"/>
          </w:tcPr>
          <w:p w14:paraId="602C22D9" w14:textId="77777777" w:rsidR="002C0FD9" w:rsidRPr="00CA25CF" w:rsidRDefault="002C0FD9" w:rsidP="00CA25CF">
            <w:pPr>
              <w:rPr>
                <w:rFonts w:cs="Arial"/>
                <w:color w:val="FF0000"/>
                <w:sz w:val="21"/>
                <w:szCs w:val="21"/>
              </w:rPr>
            </w:pPr>
          </w:p>
        </w:tc>
        <w:tc>
          <w:tcPr>
            <w:tcW w:w="217" w:type="dxa"/>
          </w:tcPr>
          <w:p w14:paraId="1841BCB8" w14:textId="77777777" w:rsidR="002C0FD9" w:rsidRPr="00CA25CF" w:rsidRDefault="002C0FD9" w:rsidP="00CA25CF">
            <w:pPr>
              <w:rPr>
                <w:rFonts w:cs="Arial"/>
                <w:color w:val="FF0000"/>
                <w:sz w:val="21"/>
                <w:szCs w:val="21"/>
              </w:rPr>
            </w:pPr>
          </w:p>
        </w:tc>
        <w:tc>
          <w:tcPr>
            <w:tcW w:w="217" w:type="dxa"/>
          </w:tcPr>
          <w:p w14:paraId="2CF1A92D" w14:textId="77777777" w:rsidR="002C0FD9" w:rsidRPr="00CA25CF" w:rsidRDefault="002C0FD9" w:rsidP="00CA25CF">
            <w:pPr>
              <w:rPr>
                <w:rFonts w:cs="Arial"/>
                <w:color w:val="FF0000"/>
                <w:sz w:val="21"/>
                <w:szCs w:val="21"/>
              </w:rPr>
            </w:pPr>
          </w:p>
        </w:tc>
        <w:tc>
          <w:tcPr>
            <w:tcW w:w="217" w:type="dxa"/>
          </w:tcPr>
          <w:p w14:paraId="4DF3DE04" w14:textId="77777777" w:rsidR="002C0FD9" w:rsidRPr="00CA25CF" w:rsidRDefault="002C0FD9" w:rsidP="00CA25CF">
            <w:pPr>
              <w:rPr>
                <w:rFonts w:cs="Arial"/>
                <w:color w:val="FF0000"/>
                <w:sz w:val="21"/>
                <w:szCs w:val="21"/>
              </w:rPr>
            </w:pPr>
          </w:p>
        </w:tc>
        <w:tc>
          <w:tcPr>
            <w:tcW w:w="217" w:type="dxa"/>
          </w:tcPr>
          <w:p w14:paraId="1F9921E9" w14:textId="77777777" w:rsidR="002C0FD9" w:rsidRPr="00CA25CF" w:rsidRDefault="002C0FD9" w:rsidP="00CA25CF">
            <w:pPr>
              <w:rPr>
                <w:rFonts w:cs="Arial"/>
                <w:color w:val="FF0000"/>
                <w:sz w:val="21"/>
                <w:szCs w:val="21"/>
              </w:rPr>
            </w:pPr>
          </w:p>
        </w:tc>
        <w:tc>
          <w:tcPr>
            <w:tcW w:w="217" w:type="dxa"/>
          </w:tcPr>
          <w:p w14:paraId="50B6B50B" w14:textId="77777777" w:rsidR="002C0FD9" w:rsidRPr="00CA25CF" w:rsidRDefault="002C0FD9" w:rsidP="00CA25CF">
            <w:pPr>
              <w:rPr>
                <w:rFonts w:cs="Arial"/>
                <w:color w:val="FF0000"/>
                <w:sz w:val="21"/>
                <w:szCs w:val="21"/>
              </w:rPr>
            </w:pPr>
          </w:p>
        </w:tc>
        <w:tc>
          <w:tcPr>
            <w:tcW w:w="217" w:type="dxa"/>
          </w:tcPr>
          <w:p w14:paraId="0C4C5931" w14:textId="77777777" w:rsidR="002C0FD9" w:rsidRPr="00CA25CF" w:rsidRDefault="002C0FD9" w:rsidP="00CA25CF">
            <w:pPr>
              <w:rPr>
                <w:rFonts w:cs="Arial"/>
                <w:color w:val="FF0000"/>
                <w:sz w:val="21"/>
                <w:szCs w:val="21"/>
              </w:rPr>
            </w:pPr>
          </w:p>
        </w:tc>
        <w:tc>
          <w:tcPr>
            <w:tcW w:w="217" w:type="dxa"/>
          </w:tcPr>
          <w:p w14:paraId="68065962" w14:textId="77777777" w:rsidR="002C0FD9" w:rsidRPr="00CA25CF" w:rsidRDefault="002C0FD9" w:rsidP="00CA25CF">
            <w:pPr>
              <w:rPr>
                <w:rFonts w:cs="Arial"/>
                <w:color w:val="FF0000"/>
                <w:sz w:val="21"/>
                <w:szCs w:val="21"/>
              </w:rPr>
            </w:pPr>
          </w:p>
        </w:tc>
        <w:tc>
          <w:tcPr>
            <w:tcW w:w="217" w:type="dxa"/>
          </w:tcPr>
          <w:p w14:paraId="569FE15D" w14:textId="77777777" w:rsidR="002C0FD9" w:rsidRPr="00CA25CF" w:rsidRDefault="002C0FD9" w:rsidP="00CA25CF">
            <w:pPr>
              <w:rPr>
                <w:rFonts w:cs="Arial"/>
                <w:color w:val="FF0000"/>
                <w:sz w:val="21"/>
                <w:szCs w:val="21"/>
              </w:rPr>
            </w:pPr>
          </w:p>
        </w:tc>
        <w:tc>
          <w:tcPr>
            <w:tcW w:w="217" w:type="dxa"/>
          </w:tcPr>
          <w:p w14:paraId="4E9581AE" w14:textId="77777777" w:rsidR="002C0FD9" w:rsidRPr="00CA25CF" w:rsidRDefault="002C0FD9" w:rsidP="00CA25CF">
            <w:pPr>
              <w:rPr>
                <w:rFonts w:cs="Arial"/>
                <w:color w:val="FF0000"/>
                <w:sz w:val="21"/>
                <w:szCs w:val="21"/>
              </w:rPr>
            </w:pPr>
          </w:p>
        </w:tc>
        <w:tc>
          <w:tcPr>
            <w:tcW w:w="217" w:type="dxa"/>
          </w:tcPr>
          <w:p w14:paraId="589CC255" w14:textId="77777777" w:rsidR="002C0FD9" w:rsidRPr="00CA25CF" w:rsidRDefault="002C0FD9" w:rsidP="00CA25CF">
            <w:pPr>
              <w:rPr>
                <w:rFonts w:cs="Arial"/>
                <w:color w:val="FF0000"/>
                <w:sz w:val="21"/>
                <w:szCs w:val="21"/>
              </w:rPr>
            </w:pPr>
          </w:p>
        </w:tc>
        <w:tc>
          <w:tcPr>
            <w:tcW w:w="217" w:type="dxa"/>
          </w:tcPr>
          <w:p w14:paraId="10D813B8" w14:textId="77777777" w:rsidR="002C0FD9" w:rsidRPr="00CA25CF" w:rsidRDefault="002C0FD9" w:rsidP="00CA25CF">
            <w:pPr>
              <w:rPr>
                <w:rFonts w:cs="Arial"/>
                <w:color w:val="FF0000"/>
                <w:sz w:val="21"/>
                <w:szCs w:val="21"/>
              </w:rPr>
            </w:pPr>
          </w:p>
        </w:tc>
        <w:tc>
          <w:tcPr>
            <w:tcW w:w="217" w:type="dxa"/>
          </w:tcPr>
          <w:p w14:paraId="4C792F58" w14:textId="77777777" w:rsidR="002C0FD9" w:rsidRPr="00CA25CF" w:rsidRDefault="002C0FD9" w:rsidP="00CA25CF">
            <w:pPr>
              <w:rPr>
                <w:rFonts w:cs="Arial"/>
                <w:color w:val="FF0000"/>
                <w:sz w:val="21"/>
                <w:szCs w:val="21"/>
              </w:rPr>
            </w:pPr>
          </w:p>
        </w:tc>
        <w:tc>
          <w:tcPr>
            <w:tcW w:w="217" w:type="dxa"/>
          </w:tcPr>
          <w:p w14:paraId="601A10F8" w14:textId="77777777" w:rsidR="002C0FD9" w:rsidRPr="00CA25CF" w:rsidRDefault="002C0FD9" w:rsidP="00CA25CF">
            <w:pPr>
              <w:rPr>
                <w:rFonts w:cs="Arial"/>
                <w:color w:val="FF0000"/>
                <w:sz w:val="21"/>
                <w:szCs w:val="21"/>
              </w:rPr>
            </w:pPr>
          </w:p>
        </w:tc>
        <w:tc>
          <w:tcPr>
            <w:tcW w:w="217" w:type="dxa"/>
          </w:tcPr>
          <w:p w14:paraId="6309D74D" w14:textId="77777777" w:rsidR="002C0FD9" w:rsidRPr="00CA25CF" w:rsidRDefault="002C0FD9" w:rsidP="00CA25CF">
            <w:pPr>
              <w:rPr>
                <w:rFonts w:cs="Arial"/>
                <w:color w:val="FF0000"/>
                <w:sz w:val="21"/>
                <w:szCs w:val="21"/>
              </w:rPr>
            </w:pPr>
          </w:p>
        </w:tc>
        <w:tc>
          <w:tcPr>
            <w:tcW w:w="217" w:type="dxa"/>
          </w:tcPr>
          <w:p w14:paraId="0B95A3AE" w14:textId="77777777" w:rsidR="002C0FD9" w:rsidRPr="00CA25CF" w:rsidRDefault="002C0FD9" w:rsidP="00CA25CF">
            <w:pPr>
              <w:rPr>
                <w:rFonts w:cs="Arial"/>
                <w:color w:val="FF0000"/>
                <w:sz w:val="21"/>
                <w:szCs w:val="21"/>
              </w:rPr>
            </w:pPr>
          </w:p>
        </w:tc>
        <w:tc>
          <w:tcPr>
            <w:tcW w:w="217" w:type="dxa"/>
          </w:tcPr>
          <w:p w14:paraId="06B5039C" w14:textId="77777777" w:rsidR="002C0FD9" w:rsidRPr="00CA25CF" w:rsidRDefault="002C0FD9" w:rsidP="00CA25CF">
            <w:pPr>
              <w:rPr>
                <w:rFonts w:cs="Arial"/>
                <w:color w:val="FF0000"/>
                <w:sz w:val="21"/>
                <w:szCs w:val="21"/>
              </w:rPr>
            </w:pPr>
          </w:p>
        </w:tc>
        <w:tc>
          <w:tcPr>
            <w:tcW w:w="217" w:type="dxa"/>
          </w:tcPr>
          <w:p w14:paraId="69583064" w14:textId="77777777" w:rsidR="002C0FD9" w:rsidRPr="00CA25CF" w:rsidRDefault="002C0FD9" w:rsidP="00CA25CF">
            <w:pPr>
              <w:rPr>
                <w:rFonts w:cs="Arial"/>
                <w:color w:val="FF0000"/>
                <w:sz w:val="21"/>
                <w:szCs w:val="21"/>
              </w:rPr>
            </w:pPr>
          </w:p>
        </w:tc>
        <w:tc>
          <w:tcPr>
            <w:tcW w:w="217" w:type="dxa"/>
          </w:tcPr>
          <w:p w14:paraId="7745596C" w14:textId="77777777" w:rsidR="002C0FD9" w:rsidRPr="00CA25CF" w:rsidRDefault="002C0FD9" w:rsidP="00CA25CF">
            <w:pPr>
              <w:rPr>
                <w:rFonts w:cs="Arial"/>
                <w:color w:val="FF0000"/>
                <w:sz w:val="21"/>
                <w:szCs w:val="21"/>
              </w:rPr>
            </w:pPr>
          </w:p>
        </w:tc>
        <w:tc>
          <w:tcPr>
            <w:tcW w:w="217" w:type="dxa"/>
          </w:tcPr>
          <w:p w14:paraId="3A84700F" w14:textId="77777777" w:rsidR="002C0FD9" w:rsidRPr="00CA25CF" w:rsidRDefault="002C0FD9" w:rsidP="00CA25CF">
            <w:pPr>
              <w:rPr>
                <w:rFonts w:cs="Arial"/>
                <w:color w:val="FF0000"/>
                <w:sz w:val="21"/>
                <w:szCs w:val="21"/>
              </w:rPr>
            </w:pPr>
          </w:p>
        </w:tc>
        <w:tc>
          <w:tcPr>
            <w:tcW w:w="217" w:type="dxa"/>
          </w:tcPr>
          <w:p w14:paraId="05CBB19D" w14:textId="77777777" w:rsidR="002C0FD9" w:rsidRPr="00CA25CF" w:rsidRDefault="002C0FD9" w:rsidP="00CA25CF">
            <w:pPr>
              <w:rPr>
                <w:rFonts w:cs="Arial"/>
                <w:color w:val="FF0000"/>
                <w:sz w:val="21"/>
                <w:szCs w:val="21"/>
              </w:rPr>
            </w:pPr>
          </w:p>
        </w:tc>
        <w:tc>
          <w:tcPr>
            <w:tcW w:w="217" w:type="dxa"/>
          </w:tcPr>
          <w:p w14:paraId="7269966B" w14:textId="77777777" w:rsidR="002C0FD9" w:rsidRPr="00CA25CF" w:rsidRDefault="002C0FD9" w:rsidP="00CA25CF">
            <w:pPr>
              <w:rPr>
                <w:rFonts w:cs="Arial"/>
                <w:color w:val="FF0000"/>
                <w:sz w:val="21"/>
                <w:szCs w:val="21"/>
              </w:rPr>
            </w:pPr>
          </w:p>
        </w:tc>
        <w:tc>
          <w:tcPr>
            <w:tcW w:w="217" w:type="dxa"/>
          </w:tcPr>
          <w:p w14:paraId="57BC8486" w14:textId="77777777" w:rsidR="002C0FD9" w:rsidRPr="00CA25CF" w:rsidRDefault="002C0FD9" w:rsidP="00CA25CF">
            <w:pPr>
              <w:rPr>
                <w:rFonts w:cs="Arial"/>
                <w:color w:val="FF0000"/>
                <w:sz w:val="21"/>
                <w:szCs w:val="21"/>
              </w:rPr>
            </w:pPr>
          </w:p>
        </w:tc>
        <w:tc>
          <w:tcPr>
            <w:tcW w:w="217" w:type="dxa"/>
          </w:tcPr>
          <w:p w14:paraId="7634FA0B" w14:textId="77777777" w:rsidR="002C0FD9" w:rsidRPr="00CA25CF" w:rsidRDefault="002C0FD9" w:rsidP="00CA25CF">
            <w:pPr>
              <w:rPr>
                <w:rFonts w:cs="Arial"/>
                <w:color w:val="FF0000"/>
                <w:sz w:val="21"/>
                <w:szCs w:val="21"/>
              </w:rPr>
            </w:pPr>
          </w:p>
        </w:tc>
        <w:tc>
          <w:tcPr>
            <w:tcW w:w="217" w:type="dxa"/>
          </w:tcPr>
          <w:p w14:paraId="69697161" w14:textId="77777777" w:rsidR="002C0FD9" w:rsidRPr="00CA25CF" w:rsidRDefault="002C0FD9" w:rsidP="00CA25CF">
            <w:pPr>
              <w:rPr>
                <w:rFonts w:cs="Arial"/>
                <w:color w:val="FF0000"/>
                <w:sz w:val="21"/>
                <w:szCs w:val="21"/>
              </w:rPr>
            </w:pPr>
          </w:p>
        </w:tc>
        <w:tc>
          <w:tcPr>
            <w:tcW w:w="217" w:type="dxa"/>
          </w:tcPr>
          <w:p w14:paraId="0D2F79F9" w14:textId="77777777" w:rsidR="002C0FD9" w:rsidRPr="00CA25CF" w:rsidRDefault="002C0FD9" w:rsidP="00CA25CF">
            <w:pPr>
              <w:rPr>
                <w:rFonts w:cs="Arial"/>
                <w:color w:val="FF0000"/>
                <w:sz w:val="21"/>
                <w:szCs w:val="21"/>
              </w:rPr>
            </w:pPr>
          </w:p>
        </w:tc>
      </w:tr>
      <w:tr w:rsidR="002C0FD9" w:rsidRPr="00A16219" w14:paraId="05A2E03F" w14:textId="77777777" w:rsidTr="002C0FD9">
        <w:trPr>
          <w:trHeight w:val="635"/>
        </w:trPr>
        <w:tc>
          <w:tcPr>
            <w:tcW w:w="515" w:type="dxa"/>
          </w:tcPr>
          <w:p w14:paraId="150CEA26" w14:textId="77777777" w:rsidR="002C0FD9" w:rsidRPr="00CA25CF" w:rsidRDefault="002C0FD9" w:rsidP="00CA25CF">
            <w:pPr>
              <w:rPr>
                <w:rFonts w:cs="Arial"/>
                <w:color w:val="FF0000"/>
                <w:sz w:val="21"/>
                <w:szCs w:val="21"/>
              </w:rPr>
            </w:pPr>
          </w:p>
        </w:tc>
        <w:tc>
          <w:tcPr>
            <w:tcW w:w="217" w:type="dxa"/>
          </w:tcPr>
          <w:p w14:paraId="2B7F66D5" w14:textId="77777777" w:rsidR="002C0FD9" w:rsidRPr="00CA25CF" w:rsidRDefault="002C0FD9" w:rsidP="00CA25CF">
            <w:pPr>
              <w:rPr>
                <w:rFonts w:cs="Arial"/>
                <w:color w:val="FF0000"/>
                <w:sz w:val="21"/>
                <w:szCs w:val="21"/>
              </w:rPr>
            </w:pPr>
          </w:p>
        </w:tc>
        <w:tc>
          <w:tcPr>
            <w:tcW w:w="217" w:type="dxa"/>
          </w:tcPr>
          <w:p w14:paraId="5198C79A" w14:textId="77777777" w:rsidR="002C0FD9" w:rsidRPr="00CA25CF" w:rsidRDefault="002C0FD9" w:rsidP="00CA25CF">
            <w:pPr>
              <w:rPr>
                <w:rFonts w:cs="Arial"/>
                <w:color w:val="FF0000"/>
                <w:sz w:val="21"/>
                <w:szCs w:val="21"/>
              </w:rPr>
            </w:pPr>
          </w:p>
        </w:tc>
        <w:tc>
          <w:tcPr>
            <w:tcW w:w="217" w:type="dxa"/>
          </w:tcPr>
          <w:p w14:paraId="6D2E510F" w14:textId="77777777" w:rsidR="002C0FD9" w:rsidRPr="00CA25CF" w:rsidRDefault="002C0FD9" w:rsidP="00CA25CF">
            <w:pPr>
              <w:rPr>
                <w:rFonts w:cs="Arial"/>
                <w:color w:val="FF0000"/>
                <w:sz w:val="21"/>
                <w:szCs w:val="21"/>
              </w:rPr>
            </w:pPr>
          </w:p>
        </w:tc>
        <w:tc>
          <w:tcPr>
            <w:tcW w:w="217" w:type="dxa"/>
          </w:tcPr>
          <w:p w14:paraId="24E89ECB" w14:textId="77777777" w:rsidR="002C0FD9" w:rsidRPr="00CA25CF" w:rsidRDefault="002C0FD9" w:rsidP="00CA25CF">
            <w:pPr>
              <w:rPr>
                <w:rFonts w:cs="Arial"/>
                <w:color w:val="FF0000"/>
                <w:sz w:val="21"/>
                <w:szCs w:val="21"/>
              </w:rPr>
            </w:pPr>
          </w:p>
        </w:tc>
        <w:tc>
          <w:tcPr>
            <w:tcW w:w="217" w:type="dxa"/>
          </w:tcPr>
          <w:p w14:paraId="0B208C45" w14:textId="77777777" w:rsidR="002C0FD9" w:rsidRPr="00CA25CF" w:rsidRDefault="002C0FD9" w:rsidP="00CA25CF">
            <w:pPr>
              <w:rPr>
                <w:rFonts w:cs="Arial"/>
                <w:color w:val="FF0000"/>
                <w:sz w:val="21"/>
                <w:szCs w:val="21"/>
              </w:rPr>
            </w:pPr>
          </w:p>
        </w:tc>
        <w:tc>
          <w:tcPr>
            <w:tcW w:w="217" w:type="dxa"/>
          </w:tcPr>
          <w:p w14:paraId="7AB1E138" w14:textId="77777777" w:rsidR="002C0FD9" w:rsidRPr="00CA25CF" w:rsidRDefault="002C0FD9" w:rsidP="00CA25CF">
            <w:pPr>
              <w:rPr>
                <w:rFonts w:cs="Arial"/>
                <w:color w:val="FF0000"/>
                <w:sz w:val="21"/>
                <w:szCs w:val="21"/>
              </w:rPr>
            </w:pPr>
          </w:p>
        </w:tc>
        <w:tc>
          <w:tcPr>
            <w:tcW w:w="217" w:type="dxa"/>
          </w:tcPr>
          <w:p w14:paraId="151A1D5A" w14:textId="77777777" w:rsidR="002C0FD9" w:rsidRPr="00CA25CF" w:rsidRDefault="002C0FD9" w:rsidP="00CA25CF">
            <w:pPr>
              <w:rPr>
                <w:rFonts w:cs="Arial"/>
                <w:color w:val="FF0000"/>
                <w:sz w:val="21"/>
                <w:szCs w:val="21"/>
              </w:rPr>
            </w:pPr>
          </w:p>
        </w:tc>
        <w:tc>
          <w:tcPr>
            <w:tcW w:w="217" w:type="dxa"/>
          </w:tcPr>
          <w:p w14:paraId="25E4D0DA" w14:textId="77777777" w:rsidR="002C0FD9" w:rsidRPr="00CA25CF" w:rsidRDefault="002C0FD9" w:rsidP="00CA25CF">
            <w:pPr>
              <w:rPr>
                <w:rFonts w:cs="Arial"/>
                <w:color w:val="FF0000"/>
                <w:sz w:val="21"/>
                <w:szCs w:val="21"/>
              </w:rPr>
            </w:pPr>
          </w:p>
        </w:tc>
        <w:tc>
          <w:tcPr>
            <w:tcW w:w="217" w:type="dxa"/>
          </w:tcPr>
          <w:p w14:paraId="562CF5CA" w14:textId="77777777" w:rsidR="002C0FD9" w:rsidRPr="00CA25CF" w:rsidRDefault="002C0FD9" w:rsidP="00CA25CF">
            <w:pPr>
              <w:rPr>
                <w:rFonts w:cs="Arial"/>
                <w:color w:val="FF0000"/>
                <w:sz w:val="21"/>
                <w:szCs w:val="21"/>
              </w:rPr>
            </w:pPr>
          </w:p>
        </w:tc>
        <w:tc>
          <w:tcPr>
            <w:tcW w:w="217" w:type="dxa"/>
          </w:tcPr>
          <w:p w14:paraId="15DE21E0" w14:textId="77777777" w:rsidR="002C0FD9" w:rsidRPr="00CA25CF" w:rsidRDefault="002C0FD9" w:rsidP="00CA25CF">
            <w:pPr>
              <w:rPr>
                <w:rFonts w:cs="Arial"/>
                <w:color w:val="FF0000"/>
                <w:sz w:val="21"/>
                <w:szCs w:val="21"/>
              </w:rPr>
            </w:pPr>
          </w:p>
        </w:tc>
        <w:tc>
          <w:tcPr>
            <w:tcW w:w="217" w:type="dxa"/>
          </w:tcPr>
          <w:p w14:paraId="05C6398A" w14:textId="77777777" w:rsidR="002C0FD9" w:rsidRPr="00CA25CF" w:rsidRDefault="002C0FD9" w:rsidP="00CA25CF">
            <w:pPr>
              <w:rPr>
                <w:rFonts w:cs="Arial"/>
                <w:color w:val="FF0000"/>
                <w:sz w:val="21"/>
                <w:szCs w:val="21"/>
              </w:rPr>
            </w:pPr>
          </w:p>
        </w:tc>
        <w:tc>
          <w:tcPr>
            <w:tcW w:w="217" w:type="dxa"/>
          </w:tcPr>
          <w:p w14:paraId="209A0839" w14:textId="77777777" w:rsidR="002C0FD9" w:rsidRPr="00CA25CF" w:rsidRDefault="002C0FD9" w:rsidP="00CA25CF">
            <w:pPr>
              <w:rPr>
                <w:rFonts w:cs="Arial"/>
                <w:color w:val="FF0000"/>
                <w:sz w:val="21"/>
                <w:szCs w:val="21"/>
              </w:rPr>
            </w:pPr>
          </w:p>
        </w:tc>
        <w:tc>
          <w:tcPr>
            <w:tcW w:w="217" w:type="dxa"/>
          </w:tcPr>
          <w:p w14:paraId="503A492C" w14:textId="77777777" w:rsidR="002C0FD9" w:rsidRPr="00CA25CF" w:rsidRDefault="002C0FD9" w:rsidP="00CA25CF">
            <w:pPr>
              <w:rPr>
                <w:rFonts w:cs="Arial"/>
                <w:color w:val="FF0000"/>
                <w:sz w:val="21"/>
                <w:szCs w:val="21"/>
              </w:rPr>
            </w:pPr>
          </w:p>
        </w:tc>
        <w:tc>
          <w:tcPr>
            <w:tcW w:w="217" w:type="dxa"/>
          </w:tcPr>
          <w:p w14:paraId="67160E59" w14:textId="77777777" w:rsidR="002C0FD9" w:rsidRPr="00CA25CF" w:rsidRDefault="002C0FD9" w:rsidP="00CA25CF">
            <w:pPr>
              <w:rPr>
                <w:rFonts w:cs="Arial"/>
                <w:color w:val="FF0000"/>
                <w:sz w:val="21"/>
                <w:szCs w:val="21"/>
              </w:rPr>
            </w:pPr>
          </w:p>
        </w:tc>
        <w:tc>
          <w:tcPr>
            <w:tcW w:w="217" w:type="dxa"/>
          </w:tcPr>
          <w:p w14:paraId="543165B7" w14:textId="77777777" w:rsidR="002C0FD9" w:rsidRPr="00CA25CF" w:rsidRDefault="002C0FD9" w:rsidP="00CA25CF">
            <w:pPr>
              <w:rPr>
                <w:rFonts w:cs="Arial"/>
                <w:color w:val="FF0000"/>
                <w:sz w:val="21"/>
                <w:szCs w:val="21"/>
              </w:rPr>
            </w:pPr>
          </w:p>
        </w:tc>
        <w:tc>
          <w:tcPr>
            <w:tcW w:w="217" w:type="dxa"/>
          </w:tcPr>
          <w:p w14:paraId="06180137" w14:textId="77777777" w:rsidR="002C0FD9" w:rsidRPr="00CA25CF" w:rsidRDefault="002C0FD9" w:rsidP="00CA25CF">
            <w:pPr>
              <w:rPr>
                <w:rFonts w:cs="Arial"/>
                <w:color w:val="FF0000"/>
                <w:sz w:val="21"/>
                <w:szCs w:val="21"/>
              </w:rPr>
            </w:pPr>
          </w:p>
        </w:tc>
        <w:tc>
          <w:tcPr>
            <w:tcW w:w="217" w:type="dxa"/>
          </w:tcPr>
          <w:p w14:paraId="61F34563" w14:textId="77777777" w:rsidR="002C0FD9" w:rsidRPr="00CA25CF" w:rsidRDefault="002C0FD9" w:rsidP="00CA25CF">
            <w:pPr>
              <w:rPr>
                <w:rFonts w:cs="Arial"/>
                <w:color w:val="FF0000"/>
                <w:sz w:val="21"/>
                <w:szCs w:val="21"/>
              </w:rPr>
            </w:pPr>
          </w:p>
        </w:tc>
        <w:tc>
          <w:tcPr>
            <w:tcW w:w="217" w:type="dxa"/>
          </w:tcPr>
          <w:p w14:paraId="4CB9DFD3" w14:textId="77777777" w:rsidR="002C0FD9" w:rsidRPr="00CA25CF" w:rsidRDefault="002C0FD9" w:rsidP="00CA25CF">
            <w:pPr>
              <w:rPr>
                <w:rFonts w:cs="Arial"/>
                <w:color w:val="FF0000"/>
                <w:sz w:val="21"/>
                <w:szCs w:val="21"/>
              </w:rPr>
            </w:pPr>
          </w:p>
        </w:tc>
        <w:tc>
          <w:tcPr>
            <w:tcW w:w="217" w:type="dxa"/>
          </w:tcPr>
          <w:p w14:paraId="11CC7AF8" w14:textId="77777777" w:rsidR="002C0FD9" w:rsidRPr="00CA25CF" w:rsidRDefault="002C0FD9" w:rsidP="00CA25CF">
            <w:pPr>
              <w:rPr>
                <w:rFonts w:cs="Arial"/>
                <w:color w:val="FF0000"/>
                <w:sz w:val="21"/>
                <w:szCs w:val="21"/>
              </w:rPr>
            </w:pPr>
          </w:p>
        </w:tc>
        <w:tc>
          <w:tcPr>
            <w:tcW w:w="217" w:type="dxa"/>
          </w:tcPr>
          <w:p w14:paraId="6C964359" w14:textId="77777777" w:rsidR="002C0FD9" w:rsidRPr="00CA25CF" w:rsidRDefault="002C0FD9" w:rsidP="00CA25CF">
            <w:pPr>
              <w:rPr>
                <w:rFonts w:cs="Arial"/>
                <w:color w:val="FF0000"/>
                <w:sz w:val="21"/>
                <w:szCs w:val="21"/>
              </w:rPr>
            </w:pPr>
          </w:p>
        </w:tc>
        <w:tc>
          <w:tcPr>
            <w:tcW w:w="217" w:type="dxa"/>
          </w:tcPr>
          <w:p w14:paraId="5BA2A391" w14:textId="77777777" w:rsidR="002C0FD9" w:rsidRPr="00CA25CF" w:rsidRDefault="002C0FD9" w:rsidP="00CA25CF">
            <w:pPr>
              <w:rPr>
                <w:rFonts w:cs="Arial"/>
                <w:color w:val="FF0000"/>
                <w:sz w:val="21"/>
                <w:szCs w:val="21"/>
              </w:rPr>
            </w:pPr>
          </w:p>
        </w:tc>
        <w:tc>
          <w:tcPr>
            <w:tcW w:w="217" w:type="dxa"/>
          </w:tcPr>
          <w:p w14:paraId="0969E3A5" w14:textId="77777777" w:rsidR="002C0FD9" w:rsidRPr="00CA25CF" w:rsidRDefault="002C0FD9" w:rsidP="00CA25CF">
            <w:pPr>
              <w:rPr>
                <w:rFonts w:cs="Arial"/>
                <w:color w:val="FF0000"/>
                <w:sz w:val="21"/>
                <w:szCs w:val="21"/>
              </w:rPr>
            </w:pPr>
          </w:p>
        </w:tc>
        <w:tc>
          <w:tcPr>
            <w:tcW w:w="217" w:type="dxa"/>
          </w:tcPr>
          <w:p w14:paraId="3E4EEEFC" w14:textId="77777777" w:rsidR="002C0FD9" w:rsidRPr="00CA25CF" w:rsidRDefault="002C0FD9" w:rsidP="00CA25CF">
            <w:pPr>
              <w:rPr>
                <w:rFonts w:cs="Arial"/>
                <w:color w:val="FF0000"/>
                <w:sz w:val="21"/>
                <w:szCs w:val="21"/>
              </w:rPr>
            </w:pPr>
          </w:p>
        </w:tc>
        <w:tc>
          <w:tcPr>
            <w:tcW w:w="217" w:type="dxa"/>
          </w:tcPr>
          <w:p w14:paraId="7532FC4E" w14:textId="77777777" w:rsidR="002C0FD9" w:rsidRPr="00CA25CF" w:rsidRDefault="002C0FD9" w:rsidP="00CA25CF">
            <w:pPr>
              <w:rPr>
                <w:rFonts w:cs="Arial"/>
                <w:color w:val="FF0000"/>
                <w:sz w:val="21"/>
                <w:szCs w:val="21"/>
              </w:rPr>
            </w:pPr>
          </w:p>
        </w:tc>
        <w:tc>
          <w:tcPr>
            <w:tcW w:w="217" w:type="dxa"/>
          </w:tcPr>
          <w:p w14:paraId="40063678" w14:textId="77777777" w:rsidR="002C0FD9" w:rsidRPr="00CA25CF" w:rsidRDefault="002C0FD9" w:rsidP="00CA25CF">
            <w:pPr>
              <w:rPr>
                <w:rFonts w:cs="Arial"/>
                <w:color w:val="FF0000"/>
                <w:sz w:val="21"/>
                <w:szCs w:val="21"/>
              </w:rPr>
            </w:pPr>
          </w:p>
        </w:tc>
        <w:tc>
          <w:tcPr>
            <w:tcW w:w="217" w:type="dxa"/>
          </w:tcPr>
          <w:p w14:paraId="49647648" w14:textId="77777777" w:rsidR="002C0FD9" w:rsidRPr="00CA25CF" w:rsidRDefault="002C0FD9" w:rsidP="00CA25CF">
            <w:pPr>
              <w:rPr>
                <w:rFonts w:cs="Arial"/>
                <w:color w:val="FF0000"/>
                <w:sz w:val="21"/>
                <w:szCs w:val="21"/>
              </w:rPr>
            </w:pPr>
          </w:p>
        </w:tc>
        <w:tc>
          <w:tcPr>
            <w:tcW w:w="217" w:type="dxa"/>
          </w:tcPr>
          <w:p w14:paraId="2E1A7615" w14:textId="77777777" w:rsidR="002C0FD9" w:rsidRPr="00CA25CF" w:rsidRDefault="002C0FD9" w:rsidP="00CA25CF">
            <w:pPr>
              <w:rPr>
                <w:rFonts w:cs="Arial"/>
                <w:color w:val="FF0000"/>
                <w:sz w:val="21"/>
                <w:szCs w:val="21"/>
              </w:rPr>
            </w:pPr>
          </w:p>
        </w:tc>
        <w:tc>
          <w:tcPr>
            <w:tcW w:w="217" w:type="dxa"/>
          </w:tcPr>
          <w:p w14:paraId="4830D9DF" w14:textId="77777777" w:rsidR="002C0FD9" w:rsidRPr="00CA25CF" w:rsidRDefault="002C0FD9" w:rsidP="00CA25CF">
            <w:pPr>
              <w:rPr>
                <w:rFonts w:cs="Arial"/>
                <w:color w:val="FF0000"/>
                <w:sz w:val="21"/>
                <w:szCs w:val="21"/>
              </w:rPr>
            </w:pPr>
          </w:p>
        </w:tc>
        <w:tc>
          <w:tcPr>
            <w:tcW w:w="217" w:type="dxa"/>
          </w:tcPr>
          <w:p w14:paraId="15231C7A" w14:textId="77777777" w:rsidR="002C0FD9" w:rsidRPr="00CA25CF" w:rsidRDefault="002C0FD9" w:rsidP="00CA25CF">
            <w:pPr>
              <w:rPr>
                <w:rFonts w:cs="Arial"/>
                <w:color w:val="FF0000"/>
                <w:sz w:val="21"/>
                <w:szCs w:val="21"/>
              </w:rPr>
            </w:pPr>
          </w:p>
        </w:tc>
        <w:tc>
          <w:tcPr>
            <w:tcW w:w="217" w:type="dxa"/>
          </w:tcPr>
          <w:p w14:paraId="7F082D56" w14:textId="77777777" w:rsidR="002C0FD9" w:rsidRPr="00CA25CF" w:rsidRDefault="002C0FD9" w:rsidP="00CA25CF">
            <w:pPr>
              <w:rPr>
                <w:rFonts w:cs="Arial"/>
                <w:color w:val="FF0000"/>
                <w:sz w:val="21"/>
                <w:szCs w:val="21"/>
              </w:rPr>
            </w:pPr>
          </w:p>
        </w:tc>
        <w:tc>
          <w:tcPr>
            <w:tcW w:w="217" w:type="dxa"/>
          </w:tcPr>
          <w:p w14:paraId="77C04535" w14:textId="77777777" w:rsidR="002C0FD9" w:rsidRPr="00CA25CF" w:rsidRDefault="002C0FD9" w:rsidP="00CA25CF">
            <w:pPr>
              <w:rPr>
                <w:rFonts w:cs="Arial"/>
                <w:color w:val="FF0000"/>
                <w:sz w:val="21"/>
                <w:szCs w:val="21"/>
              </w:rPr>
            </w:pPr>
          </w:p>
        </w:tc>
        <w:tc>
          <w:tcPr>
            <w:tcW w:w="217" w:type="dxa"/>
          </w:tcPr>
          <w:p w14:paraId="262C03F5" w14:textId="77777777" w:rsidR="002C0FD9" w:rsidRPr="00CA25CF" w:rsidRDefault="002C0FD9" w:rsidP="00CA25CF">
            <w:pPr>
              <w:rPr>
                <w:rFonts w:cs="Arial"/>
                <w:color w:val="FF0000"/>
                <w:sz w:val="21"/>
                <w:szCs w:val="21"/>
              </w:rPr>
            </w:pPr>
          </w:p>
        </w:tc>
        <w:tc>
          <w:tcPr>
            <w:tcW w:w="217" w:type="dxa"/>
          </w:tcPr>
          <w:p w14:paraId="01A091AB" w14:textId="77777777" w:rsidR="002C0FD9" w:rsidRPr="00CA25CF" w:rsidRDefault="002C0FD9" w:rsidP="00CA25CF">
            <w:pPr>
              <w:rPr>
                <w:rFonts w:cs="Arial"/>
                <w:color w:val="FF0000"/>
                <w:sz w:val="21"/>
                <w:szCs w:val="21"/>
              </w:rPr>
            </w:pPr>
          </w:p>
        </w:tc>
        <w:tc>
          <w:tcPr>
            <w:tcW w:w="217" w:type="dxa"/>
          </w:tcPr>
          <w:p w14:paraId="0801016D" w14:textId="77777777" w:rsidR="002C0FD9" w:rsidRPr="00CA25CF" w:rsidRDefault="002C0FD9" w:rsidP="00CA25CF">
            <w:pPr>
              <w:rPr>
                <w:rFonts w:cs="Arial"/>
                <w:color w:val="FF0000"/>
                <w:sz w:val="21"/>
                <w:szCs w:val="21"/>
              </w:rPr>
            </w:pPr>
          </w:p>
        </w:tc>
        <w:tc>
          <w:tcPr>
            <w:tcW w:w="217" w:type="dxa"/>
          </w:tcPr>
          <w:p w14:paraId="29A05DD6" w14:textId="77777777" w:rsidR="002C0FD9" w:rsidRPr="00CA25CF" w:rsidRDefault="002C0FD9" w:rsidP="00CA25CF">
            <w:pPr>
              <w:rPr>
                <w:rFonts w:cs="Arial"/>
                <w:color w:val="FF0000"/>
                <w:sz w:val="21"/>
                <w:szCs w:val="21"/>
              </w:rPr>
            </w:pPr>
          </w:p>
        </w:tc>
        <w:tc>
          <w:tcPr>
            <w:tcW w:w="217" w:type="dxa"/>
          </w:tcPr>
          <w:p w14:paraId="083C924E" w14:textId="77777777" w:rsidR="002C0FD9" w:rsidRPr="00CA25CF" w:rsidRDefault="002C0FD9" w:rsidP="00CA25CF">
            <w:pPr>
              <w:rPr>
                <w:rFonts w:cs="Arial"/>
                <w:color w:val="FF0000"/>
                <w:sz w:val="21"/>
                <w:szCs w:val="21"/>
              </w:rPr>
            </w:pPr>
          </w:p>
        </w:tc>
        <w:tc>
          <w:tcPr>
            <w:tcW w:w="217" w:type="dxa"/>
          </w:tcPr>
          <w:p w14:paraId="16C574F8" w14:textId="77777777" w:rsidR="002C0FD9" w:rsidRPr="00CA25CF" w:rsidRDefault="002C0FD9" w:rsidP="00CA25CF">
            <w:pPr>
              <w:rPr>
                <w:rFonts w:cs="Arial"/>
                <w:color w:val="FF0000"/>
                <w:sz w:val="21"/>
                <w:szCs w:val="21"/>
              </w:rPr>
            </w:pPr>
          </w:p>
        </w:tc>
        <w:tc>
          <w:tcPr>
            <w:tcW w:w="217" w:type="dxa"/>
          </w:tcPr>
          <w:p w14:paraId="302519E3" w14:textId="77777777" w:rsidR="002C0FD9" w:rsidRPr="00CA25CF" w:rsidRDefault="002C0FD9" w:rsidP="00CA25CF">
            <w:pPr>
              <w:rPr>
                <w:rFonts w:cs="Arial"/>
                <w:color w:val="FF0000"/>
                <w:sz w:val="21"/>
                <w:szCs w:val="21"/>
              </w:rPr>
            </w:pPr>
          </w:p>
        </w:tc>
        <w:tc>
          <w:tcPr>
            <w:tcW w:w="217" w:type="dxa"/>
          </w:tcPr>
          <w:p w14:paraId="1A5ED5BF" w14:textId="77777777" w:rsidR="002C0FD9" w:rsidRPr="00CA25CF" w:rsidRDefault="002C0FD9" w:rsidP="00CA25CF">
            <w:pPr>
              <w:rPr>
                <w:rFonts w:cs="Arial"/>
                <w:color w:val="FF0000"/>
                <w:sz w:val="21"/>
                <w:szCs w:val="21"/>
              </w:rPr>
            </w:pPr>
          </w:p>
        </w:tc>
        <w:tc>
          <w:tcPr>
            <w:tcW w:w="217" w:type="dxa"/>
          </w:tcPr>
          <w:p w14:paraId="433ACC07" w14:textId="77777777" w:rsidR="002C0FD9" w:rsidRPr="00CA25CF" w:rsidRDefault="002C0FD9" w:rsidP="00CA25CF">
            <w:pPr>
              <w:rPr>
                <w:rFonts w:cs="Arial"/>
                <w:color w:val="FF0000"/>
                <w:sz w:val="21"/>
                <w:szCs w:val="21"/>
              </w:rPr>
            </w:pPr>
          </w:p>
        </w:tc>
        <w:tc>
          <w:tcPr>
            <w:tcW w:w="217" w:type="dxa"/>
          </w:tcPr>
          <w:p w14:paraId="41B1FD40" w14:textId="77777777" w:rsidR="002C0FD9" w:rsidRPr="00CA25CF" w:rsidRDefault="002C0FD9" w:rsidP="00CA25CF">
            <w:pPr>
              <w:rPr>
                <w:rFonts w:cs="Arial"/>
                <w:color w:val="FF0000"/>
                <w:sz w:val="21"/>
                <w:szCs w:val="21"/>
              </w:rPr>
            </w:pPr>
          </w:p>
        </w:tc>
        <w:tc>
          <w:tcPr>
            <w:tcW w:w="217" w:type="dxa"/>
          </w:tcPr>
          <w:p w14:paraId="644D542B" w14:textId="77777777" w:rsidR="002C0FD9" w:rsidRPr="00CA25CF" w:rsidRDefault="002C0FD9" w:rsidP="00CA25CF">
            <w:pPr>
              <w:rPr>
                <w:rFonts w:cs="Arial"/>
                <w:color w:val="FF0000"/>
                <w:sz w:val="21"/>
                <w:szCs w:val="21"/>
              </w:rPr>
            </w:pPr>
          </w:p>
        </w:tc>
      </w:tr>
      <w:tr w:rsidR="002C0FD9" w:rsidRPr="00A16219" w14:paraId="1F08A9FF" w14:textId="77777777" w:rsidTr="002C0FD9">
        <w:trPr>
          <w:trHeight w:val="635"/>
        </w:trPr>
        <w:tc>
          <w:tcPr>
            <w:tcW w:w="515" w:type="dxa"/>
          </w:tcPr>
          <w:p w14:paraId="54819692" w14:textId="77777777" w:rsidR="002C0FD9" w:rsidRPr="00CA25CF" w:rsidRDefault="002C0FD9" w:rsidP="00CA25CF">
            <w:pPr>
              <w:rPr>
                <w:rFonts w:cs="Arial"/>
                <w:color w:val="FF0000"/>
                <w:sz w:val="21"/>
                <w:szCs w:val="21"/>
              </w:rPr>
            </w:pPr>
          </w:p>
        </w:tc>
        <w:tc>
          <w:tcPr>
            <w:tcW w:w="217" w:type="dxa"/>
          </w:tcPr>
          <w:p w14:paraId="0A7A3609" w14:textId="77777777" w:rsidR="002C0FD9" w:rsidRPr="00CA25CF" w:rsidRDefault="002C0FD9" w:rsidP="00CA25CF">
            <w:pPr>
              <w:rPr>
                <w:rFonts w:cs="Arial"/>
                <w:color w:val="FF0000"/>
                <w:sz w:val="21"/>
                <w:szCs w:val="21"/>
              </w:rPr>
            </w:pPr>
          </w:p>
        </w:tc>
        <w:tc>
          <w:tcPr>
            <w:tcW w:w="217" w:type="dxa"/>
          </w:tcPr>
          <w:p w14:paraId="0D77A654" w14:textId="77777777" w:rsidR="002C0FD9" w:rsidRPr="00CA25CF" w:rsidRDefault="002C0FD9" w:rsidP="00CA25CF">
            <w:pPr>
              <w:rPr>
                <w:rFonts w:cs="Arial"/>
                <w:color w:val="FF0000"/>
                <w:sz w:val="21"/>
                <w:szCs w:val="21"/>
              </w:rPr>
            </w:pPr>
          </w:p>
        </w:tc>
        <w:tc>
          <w:tcPr>
            <w:tcW w:w="217" w:type="dxa"/>
          </w:tcPr>
          <w:p w14:paraId="42349AB0" w14:textId="77777777" w:rsidR="002C0FD9" w:rsidRPr="00CA25CF" w:rsidRDefault="002C0FD9" w:rsidP="00CA25CF">
            <w:pPr>
              <w:rPr>
                <w:rFonts w:cs="Arial"/>
                <w:color w:val="FF0000"/>
                <w:sz w:val="21"/>
                <w:szCs w:val="21"/>
              </w:rPr>
            </w:pPr>
          </w:p>
        </w:tc>
        <w:tc>
          <w:tcPr>
            <w:tcW w:w="217" w:type="dxa"/>
          </w:tcPr>
          <w:p w14:paraId="771F3849" w14:textId="77777777" w:rsidR="002C0FD9" w:rsidRPr="00CA25CF" w:rsidRDefault="002C0FD9" w:rsidP="00CA25CF">
            <w:pPr>
              <w:rPr>
                <w:rFonts w:cs="Arial"/>
                <w:color w:val="FF0000"/>
                <w:sz w:val="21"/>
                <w:szCs w:val="21"/>
              </w:rPr>
            </w:pPr>
          </w:p>
        </w:tc>
        <w:tc>
          <w:tcPr>
            <w:tcW w:w="217" w:type="dxa"/>
          </w:tcPr>
          <w:p w14:paraId="03BF4D5F" w14:textId="77777777" w:rsidR="002C0FD9" w:rsidRPr="00CA25CF" w:rsidRDefault="002C0FD9" w:rsidP="00CA25CF">
            <w:pPr>
              <w:rPr>
                <w:rFonts w:cs="Arial"/>
                <w:color w:val="FF0000"/>
                <w:sz w:val="21"/>
                <w:szCs w:val="21"/>
              </w:rPr>
            </w:pPr>
          </w:p>
        </w:tc>
        <w:tc>
          <w:tcPr>
            <w:tcW w:w="217" w:type="dxa"/>
          </w:tcPr>
          <w:p w14:paraId="5D07EAEF" w14:textId="77777777" w:rsidR="002C0FD9" w:rsidRPr="00CA25CF" w:rsidRDefault="002C0FD9" w:rsidP="00CA25CF">
            <w:pPr>
              <w:rPr>
                <w:rFonts w:cs="Arial"/>
                <w:color w:val="FF0000"/>
                <w:sz w:val="21"/>
                <w:szCs w:val="21"/>
              </w:rPr>
            </w:pPr>
          </w:p>
        </w:tc>
        <w:tc>
          <w:tcPr>
            <w:tcW w:w="217" w:type="dxa"/>
          </w:tcPr>
          <w:p w14:paraId="13CCC039" w14:textId="77777777" w:rsidR="002C0FD9" w:rsidRPr="00CA25CF" w:rsidRDefault="002C0FD9" w:rsidP="00CA25CF">
            <w:pPr>
              <w:rPr>
                <w:rFonts w:cs="Arial"/>
                <w:color w:val="FF0000"/>
                <w:sz w:val="21"/>
                <w:szCs w:val="21"/>
              </w:rPr>
            </w:pPr>
          </w:p>
        </w:tc>
        <w:tc>
          <w:tcPr>
            <w:tcW w:w="217" w:type="dxa"/>
          </w:tcPr>
          <w:p w14:paraId="30F705AD" w14:textId="77777777" w:rsidR="002C0FD9" w:rsidRPr="00CA25CF" w:rsidRDefault="002C0FD9" w:rsidP="00CA25CF">
            <w:pPr>
              <w:rPr>
                <w:rFonts w:cs="Arial"/>
                <w:color w:val="FF0000"/>
                <w:sz w:val="21"/>
                <w:szCs w:val="21"/>
              </w:rPr>
            </w:pPr>
          </w:p>
        </w:tc>
        <w:tc>
          <w:tcPr>
            <w:tcW w:w="217" w:type="dxa"/>
          </w:tcPr>
          <w:p w14:paraId="0FA195D1" w14:textId="77777777" w:rsidR="002C0FD9" w:rsidRPr="00CA25CF" w:rsidRDefault="002C0FD9" w:rsidP="00CA25CF">
            <w:pPr>
              <w:rPr>
                <w:rFonts w:cs="Arial"/>
                <w:color w:val="FF0000"/>
                <w:sz w:val="21"/>
                <w:szCs w:val="21"/>
              </w:rPr>
            </w:pPr>
          </w:p>
        </w:tc>
        <w:tc>
          <w:tcPr>
            <w:tcW w:w="217" w:type="dxa"/>
          </w:tcPr>
          <w:p w14:paraId="44FD2FD8" w14:textId="77777777" w:rsidR="002C0FD9" w:rsidRPr="00CA25CF" w:rsidRDefault="002C0FD9" w:rsidP="00CA25CF">
            <w:pPr>
              <w:rPr>
                <w:rFonts w:cs="Arial"/>
                <w:color w:val="FF0000"/>
                <w:sz w:val="21"/>
                <w:szCs w:val="21"/>
              </w:rPr>
            </w:pPr>
          </w:p>
        </w:tc>
        <w:tc>
          <w:tcPr>
            <w:tcW w:w="217" w:type="dxa"/>
          </w:tcPr>
          <w:p w14:paraId="40213ECC" w14:textId="77777777" w:rsidR="002C0FD9" w:rsidRPr="00CA25CF" w:rsidRDefault="002C0FD9" w:rsidP="00CA25CF">
            <w:pPr>
              <w:rPr>
                <w:rFonts w:cs="Arial"/>
                <w:color w:val="FF0000"/>
                <w:sz w:val="21"/>
                <w:szCs w:val="21"/>
              </w:rPr>
            </w:pPr>
          </w:p>
        </w:tc>
        <w:tc>
          <w:tcPr>
            <w:tcW w:w="217" w:type="dxa"/>
          </w:tcPr>
          <w:p w14:paraId="5672DCF8" w14:textId="77777777" w:rsidR="002C0FD9" w:rsidRPr="00CA25CF" w:rsidRDefault="002C0FD9" w:rsidP="00CA25CF">
            <w:pPr>
              <w:rPr>
                <w:rFonts w:cs="Arial"/>
                <w:color w:val="FF0000"/>
                <w:sz w:val="21"/>
                <w:szCs w:val="21"/>
              </w:rPr>
            </w:pPr>
          </w:p>
        </w:tc>
        <w:tc>
          <w:tcPr>
            <w:tcW w:w="217" w:type="dxa"/>
          </w:tcPr>
          <w:p w14:paraId="0F93ED2A" w14:textId="77777777" w:rsidR="002C0FD9" w:rsidRPr="00CA25CF" w:rsidRDefault="002C0FD9" w:rsidP="00CA25CF">
            <w:pPr>
              <w:rPr>
                <w:rFonts w:cs="Arial"/>
                <w:color w:val="FF0000"/>
                <w:sz w:val="21"/>
                <w:szCs w:val="21"/>
              </w:rPr>
            </w:pPr>
          </w:p>
        </w:tc>
        <w:tc>
          <w:tcPr>
            <w:tcW w:w="217" w:type="dxa"/>
          </w:tcPr>
          <w:p w14:paraId="38FE1A48" w14:textId="77777777" w:rsidR="002C0FD9" w:rsidRPr="00CA25CF" w:rsidRDefault="002C0FD9" w:rsidP="00CA25CF">
            <w:pPr>
              <w:rPr>
                <w:rFonts w:cs="Arial"/>
                <w:color w:val="FF0000"/>
                <w:sz w:val="21"/>
                <w:szCs w:val="21"/>
              </w:rPr>
            </w:pPr>
          </w:p>
        </w:tc>
        <w:tc>
          <w:tcPr>
            <w:tcW w:w="217" w:type="dxa"/>
          </w:tcPr>
          <w:p w14:paraId="07431493" w14:textId="77777777" w:rsidR="002C0FD9" w:rsidRPr="00CA25CF" w:rsidRDefault="002C0FD9" w:rsidP="00CA25CF">
            <w:pPr>
              <w:rPr>
                <w:rFonts w:cs="Arial"/>
                <w:color w:val="FF0000"/>
                <w:sz w:val="21"/>
                <w:szCs w:val="21"/>
              </w:rPr>
            </w:pPr>
          </w:p>
        </w:tc>
        <w:tc>
          <w:tcPr>
            <w:tcW w:w="217" w:type="dxa"/>
          </w:tcPr>
          <w:p w14:paraId="33790BC4" w14:textId="77777777" w:rsidR="002C0FD9" w:rsidRPr="00CA25CF" w:rsidRDefault="002C0FD9" w:rsidP="00CA25CF">
            <w:pPr>
              <w:rPr>
                <w:rFonts w:cs="Arial"/>
                <w:color w:val="FF0000"/>
                <w:sz w:val="21"/>
                <w:szCs w:val="21"/>
              </w:rPr>
            </w:pPr>
          </w:p>
        </w:tc>
        <w:tc>
          <w:tcPr>
            <w:tcW w:w="217" w:type="dxa"/>
          </w:tcPr>
          <w:p w14:paraId="45C5392B" w14:textId="77777777" w:rsidR="002C0FD9" w:rsidRPr="00CA25CF" w:rsidRDefault="002C0FD9" w:rsidP="00CA25CF">
            <w:pPr>
              <w:rPr>
                <w:rFonts w:cs="Arial"/>
                <w:color w:val="FF0000"/>
                <w:sz w:val="21"/>
                <w:szCs w:val="21"/>
              </w:rPr>
            </w:pPr>
          </w:p>
        </w:tc>
        <w:tc>
          <w:tcPr>
            <w:tcW w:w="217" w:type="dxa"/>
          </w:tcPr>
          <w:p w14:paraId="3A2EEDBB" w14:textId="77777777" w:rsidR="002C0FD9" w:rsidRPr="00CA25CF" w:rsidRDefault="002C0FD9" w:rsidP="00CA25CF">
            <w:pPr>
              <w:rPr>
                <w:rFonts w:cs="Arial"/>
                <w:color w:val="FF0000"/>
                <w:sz w:val="21"/>
                <w:szCs w:val="21"/>
              </w:rPr>
            </w:pPr>
          </w:p>
        </w:tc>
        <w:tc>
          <w:tcPr>
            <w:tcW w:w="217" w:type="dxa"/>
          </w:tcPr>
          <w:p w14:paraId="3562E0DF" w14:textId="77777777" w:rsidR="002C0FD9" w:rsidRPr="00CA25CF" w:rsidRDefault="002C0FD9" w:rsidP="00CA25CF">
            <w:pPr>
              <w:rPr>
                <w:rFonts w:cs="Arial"/>
                <w:color w:val="FF0000"/>
                <w:sz w:val="21"/>
                <w:szCs w:val="21"/>
              </w:rPr>
            </w:pPr>
          </w:p>
        </w:tc>
        <w:tc>
          <w:tcPr>
            <w:tcW w:w="217" w:type="dxa"/>
          </w:tcPr>
          <w:p w14:paraId="2D599EDC" w14:textId="77777777" w:rsidR="002C0FD9" w:rsidRPr="00CA25CF" w:rsidRDefault="002C0FD9" w:rsidP="00CA25CF">
            <w:pPr>
              <w:rPr>
                <w:rFonts w:cs="Arial"/>
                <w:color w:val="FF0000"/>
                <w:sz w:val="21"/>
                <w:szCs w:val="21"/>
              </w:rPr>
            </w:pPr>
          </w:p>
        </w:tc>
        <w:tc>
          <w:tcPr>
            <w:tcW w:w="217" w:type="dxa"/>
          </w:tcPr>
          <w:p w14:paraId="62301B36" w14:textId="77777777" w:rsidR="002C0FD9" w:rsidRPr="00CA25CF" w:rsidRDefault="002C0FD9" w:rsidP="00CA25CF">
            <w:pPr>
              <w:rPr>
                <w:rFonts w:cs="Arial"/>
                <w:color w:val="FF0000"/>
                <w:sz w:val="21"/>
                <w:szCs w:val="21"/>
              </w:rPr>
            </w:pPr>
          </w:p>
        </w:tc>
        <w:tc>
          <w:tcPr>
            <w:tcW w:w="217" w:type="dxa"/>
          </w:tcPr>
          <w:p w14:paraId="6A90D6C8" w14:textId="77777777" w:rsidR="002C0FD9" w:rsidRPr="00CA25CF" w:rsidRDefault="002C0FD9" w:rsidP="00CA25CF">
            <w:pPr>
              <w:rPr>
                <w:rFonts w:cs="Arial"/>
                <w:color w:val="FF0000"/>
                <w:sz w:val="21"/>
                <w:szCs w:val="21"/>
              </w:rPr>
            </w:pPr>
          </w:p>
        </w:tc>
        <w:tc>
          <w:tcPr>
            <w:tcW w:w="217" w:type="dxa"/>
          </w:tcPr>
          <w:p w14:paraId="518CB3A3" w14:textId="77777777" w:rsidR="002C0FD9" w:rsidRPr="00CA25CF" w:rsidRDefault="002C0FD9" w:rsidP="00CA25CF">
            <w:pPr>
              <w:rPr>
                <w:rFonts w:cs="Arial"/>
                <w:color w:val="FF0000"/>
                <w:sz w:val="21"/>
                <w:szCs w:val="21"/>
              </w:rPr>
            </w:pPr>
          </w:p>
        </w:tc>
        <w:tc>
          <w:tcPr>
            <w:tcW w:w="217" w:type="dxa"/>
          </w:tcPr>
          <w:p w14:paraId="1DD44D28" w14:textId="77777777" w:rsidR="002C0FD9" w:rsidRPr="00CA25CF" w:rsidRDefault="002C0FD9" w:rsidP="00CA25CF">
            <w:pPr>
              <w:rPr>
                <w:rFonts w:cs="Arial"/>
                <w:color w:val="FF0000"/>
                <w:sz w:val="21"/>
                <w:szCs w:val="21"/>
              </w:rPr>
            </w:pPr>
          </w:p>
        </w:tc>
        <w:tc>
          <w:tcPr>
            <w:tcW w:w="217" w:type="dxa"/>
          </w:tcPr>
          <w:p w14:paraId="74A0C24F" w14:textId="77777777" w:rsidR="002C0FD9" w:rsidRPr="00CA25CF" w:rsidRDefault="002C0FD9" w:rsidP="00CA25CF">
            <w:pPr>
              <w:rPr>
                <w:rFonts w:cs="Arial"/>
                <w:color w:val="FF0000"/>
                <w:sz w:val="21"/>
                <w:szCs w:val="21"/>
              </w:rPr>
            </w:pPr>
          </w:p>
        </w:tc>
        <w:tc>
          <w:tcPr>
            <w:tcW w:w="217" w:type="dxa"/>
          </w:tcPr>
          <w:p w14:paraId="564B352D" w14:textId="77777777" w:rsidR="002C0FD9" w:rsidRPr="00CA25CF" w:rsidRDefault="002C0FD9" w:rsidP="00CA25CF">
            <w:pPr>
              <w:rPr>
                <w:rFonts w:cs="Arial"/>
                <w:color w:val="FF0000"/>
                <w:sz w:val="21"/>
                <w:szCs w:val="21"/>
              </w:rPr>
            </w:pPr>
          </w:p>
        </w:tc>
        <w:tc>
          <w:tcPr>
            <w:tcW w:w="217" w:type="dxa"/>
          </w:tcPr>
          <w:p w14:paraId="1E43EF85" w14:textId="77777777" w:rsidR="002C0FD9" w:rsidRPr="00CA25CF" w:rsidRDefault="002C0FD9" w:rsidP="00CA25CF">
            <w:pPr>
              <w:rPr>
                <w:rFonts w:cs="Arial"/>
                <w:color w:val="FF0000"/>
                <w:sz w:val="21"/>
                <w:szCs w:val="21"/>
              </w:rPr>
            </w:pPr>
          </w:p>
        </w:tc>
        <w:tc>
          <w:tcPr>
            <w:tcW w:w="217" w:type="dxa"/>
          </w:tcPr>
          <w:p w14:paraId="2F487192" w14:textId="77777777" w:rsidR="002C0FD9" w:rsidRPr="00CA25CF" w:rsidRDefault="002C0FD9" w:rsidP="00CA25CF">
            <w:pPr>
              <w:rPr>
                <w:rFonts w:cs="Arial"/>
                <w:color w:val="FF0000"/>
                <w:sz w:val="21"/>
                <w:szCs w:val="21"/>
              </w:rPr>
            </w:pPr>
          </w:p>
        </w:tc>
        <w:tc>
          <w:tcPr>
            <w:tcW w:w="217" w:type="dxa"/>
          </w:tcPr>
          <w:p w14:paraId="0939C6FC" w14:textId="77777777" w:rsidR="002C0FD9" w:rsidRPr="00CA25CF" w:rsidRDefault="002C0FD9" w:rsidP="00CA25CF">
            <w:pPr>
              <w:rPr>
                <w:rFonts w:cs="Arial"/>
                <w:color w:val="FF0000"/>
                <w:sz w:val="21"/>
                <w:szCs w:val="21"/>
              </w:rPr>
            </w:pPr>
          </w:p>
        </w:tc>
        <w:tc>
          <w:tcPr>
            <w:tcW w:w="217" w:type="dxa"/>
          </w:tcPr>
          <w:p w14:paraId="089355F7" w14:textId="77777777" w:rsidR="002C0FD9" w:rsidRPr="00CA25CF" w:rsidRDefault="002C0FD9" w:rsidP="00CA25CF">
            <w:pPr>
              <w:rPr>
                <w:rFonts w:cs="Arial"/>
                <w:color w:val="FF0000"/>
                <w:sz w:val="21"/>
                <w:szCs w:val="21"/>
              </w:rPr>
            </w:pPr>
          </w:p>
        </w:tc>
        <w:tc>
          <w:tcPr>
            <w:tcW w:w="217" w:type="dxa"/>
          </w:tcPr>
          <w:p w14:paraId="1755A2D9" w14:textId="77777777" w:rsidR="002C0FD9" w:rsidRPr="00CA25CF" w:rsidRDefault="002C0FD9" w:rsidP="00CA25CF">
            <w:pPr>
              <w:rPr>
                <w:rFonts w:cs="Arial"/>
                <w:color w:val="FF0000"/>
                <w:sz w:val="21"/>
                <w:szCs w:val="21"/>
              </w:rPr>
            </w:pPr>
          </w:p>
        </w:tc>
        <w:tc>
          <w:tcPr>
            <w:tcW w:w="217" w:type="dxa"/>
          </w:tcPr>
          <w:p w14:paraId="4B552890" w14:textId="77777777" w:rsidR="002C0FD9" w:rsidRPr="00CA25CF" w:rsidRDefault="002C0FD9" w:rsidP="00CA25CF">
            <w:pPr>
              <w:rPr>
                <w:rFonts w:cs="Arial"/>
                <w:color w:val="FF0000"/>
                <w:sz w:val="21"/>
                <w:szCs w:val="21"/>
              </w:rPr>
            </w:pPr>
          </w:p>
        </w:tc>
        <w:tc>
          <w:tcPr>
            <w:tcW w:w="217" w:type="dxa"/>
          </w:tcPr>
          <w:p w14:paraId="1D01EBF7" w14:textId="77777777" w:rsidR="002C0FD9" w:rsidRPr="00CA25CF" w:rsidRDefault="002C0FD9" w:rsidP="00CA25CF">
            <w:pPr>
              <w:rPr>
                <w:rFonts w:cs="Arial"/>
                <w:color w:val="FF0000"/>
                <w:sz w:val="21"/>
                <w:szCs w:val="21"/>
              </w:rPr>
            </w:pPr>
          </w:p>
        </w:tc>
        <w:tc>
          <w:tcPr>
            <w:tcW w:w="217" w:type="dxa"/>
          </w:tcPr>
          <w:p w14:paraId="6DC6196D" w14:textId="77777777" w:rsidR="002C0FD9" w:rsidRPr="00CA25CF" w:rsidRDefault="002C0FD9" w:rsidP="00CA25CF">
            <w:pPr>
              <w:rPr>
                <w:rFonts w:cs="Arial"/>
                <w:color w:val="FF0000"/>
                <w:sz w:val="21"/>
                <w:szCs w:val="21"/>
              </w:rPr>
            </w:pPr>
          </w:p>
        </w:tc>
        <w:tc>
          <w:tcPr>
            <w:tcW w:w="217" w:type="dxa"/>
          </w:tcPr>
          <w:p w14:paraId="63CA5B5D" w14:textId="77777777" w:rsidR="002C0FD9" w:rsidRPr="00CA25CF" w:rsidRDefault="002C0FD9" w:rsidP="00CA25CF">
            <w:pPr>
              <w:rPr>
                <w:rFonts w:cs="Arial"/>
                <w:color w:val="FF0000"/>
                <w:sz w:val="21"/>
                <w:szCs w:val="21"/>
              </w:rPr>
            </w:pPr>
          </w:p>
        </w:tc>
        <w:tc>
          <w:tcPr>
            <w:tcW w:w="217" w:type="dxa"/>
          </w:tcPr>
          <w:p w14:paraId="651FE6DC" w14:textId="77777777" w:rsidR="002C0FD9" w:rsidRPr="00CA25CF" w:rsidRDefault="002C0FD9" w:rsidP="00CA25CF">
            <w:pPr>
              <w:rPr>
                <w:rFonts w:cs="Arial"/>
                <w:color w:val="FF0000"/>
                <w:sz w:val="21"/>
                <w:szCs w:val="21"/>
              </w:rPr>
            </w:pPr>
          </w:p>
        </w:tc>
        <w:tc>
          <w:tcPr>
            <w:tcW w:w="217" w:type="dxa"/>
          </w:tcPr>
          <w:p w14:paraId="13E86B3A" w14:textId="77777777" w:rsidR="002C0FD9" w:rsidRPr="00CA25CF" w:rsidRDefault="002C0FD9" w:rsidP="00CA25CF">
            <w:pPr>
              <w:rPr>
                <w:rFonts w:cs="Arial"/>
                <w:color w:val="FF0000"/>
                <w:sz w:val="21"/>
                <w:szCs w:val="21"/>
              </w:rPr>
            </w:pPr>
          </w:p>
        </w:tc>
        <w:tc>
          <w:tcPr>
            <w:tcW w:w="217" w:type="dxa"/>
          </w:tcPr>
          <w:p w14:paraId="566659B9" w14:textId="77777777" w:rsidR="002C0FD9" w:rsidRPr="00CA25CF" w:rsidRDefault="002C0FD9" w:rsidP="00CA25CF">
            <w:pPr>
              <w:rPr>
                <w:rFonts w:cs="Arial"/>
                <w:color w:val="FF0000"/>
                <w:sz w:val="21"/>
                <w:szCs w:val="21"/>
              </w:rPr>
            </w:pPr>
          </w:p>
        </w:tc>
        <w:tc>
          <w:tcPr>
            <w:tcW w:w="217" w:type="dxa"/>
          </w:tcPr>
          <w:p w14:paraId="2F8CFD41" w14:textId="77777777" w:rsidR="002C0FD9" w:rsidRPr="00CA25CF" w:rsidRDefault="002C0FD9" w:rsidP="00CA25CF">
            <w:pPr>
              <w:rPr>
                <w:rFonts w:cs="Arial"/>
                <w:color w:val="FF0000"/>
                <w:sz w:val="21"/>
                <w:szCs w:val="21"/>
              </w:rPr>
            </w:pPr>
          </w:p>
        </w:tc>
        <w:tc>
          <w:tcPr>
            <w:tcW w:w="217" w:type="dxa"/>
          </w:tcPr>
          <w:p w14:paraId="4EDC616E" w14:textId="77777777" w:rsidR="002C0FD9" w:rsidRPr="00CA25CF" w:rsidRDefault="002C0FD9" w:rsidP="00CA25CF">
            <w:pPr>
              <w:rPr>
                <w:rFonts w:cs="Arial"/>
                <w:color w:val="FF0000"/>
                <w:sz w:val="21"/>
                <w:szCs w:val="21"/>
              </w:rPr>
            </w:pPr>
          </w:p>
        </w:tc>
        <w:tc>
          <w:tcPr>
            <w:tcW w:w="217" w:type="dxa"/>
          </w:tcPr>
          <w:p w14:paraId="7792A95A" w14:textId="77777777" w:rsidR="002C0FD9" w:rsidRPr="00CA25CF" w:rsidRDefault="002C0FD9" w:rsidP="00CA25CF">
            <w:pPr>
              <w:rPr>
                <w:rFonts w:cs="Arial"/>
                <w:color w:val="FF0000"/>
                <w:sz w:val="21"/>
                <w:szCs w:val="21"/>
              </w:rPr>
            </w:pPr>
          </w:p>
        </w:tc>
        <w:tc>
          <w:tcPr>
            <w:tcW w:w="217" w:type="dxa"/>
          </w:tcPr>
          <w:p w14:paraId="5077CD37" w14:textId="77777777" w:rsidR="002C0FD9" w:rsidRPr="00CA25CF" w:rsidRDefault="002C0FD9" w:rsidP="00CA25CF">
            <w:pPr>
              <w:rPr>
                <w:rFonts w:cs="Arial"/>
                <w:color w:val="FF0000"/>
                <w:sz w:val="21"/>
                <w:szCs w:val="21"/>
              </w:rPr>
            </w:pPr>
          </w:p>
        </w:tc>
      </w:tr>
      <w:tr w:rsidR="002C0FD9" w:rsidRPr="00A16219" w14:paraId="01A9BEF3" w14:textId="77777777" w:rsidTr="002C0FD9">
        <w:trPr>
          <w:trHeight w:val="635"/>
        </w:trPr>
        <w:tc>
          <w:tcPr>
            <w:tcW w:w="515" w:type="dxa"/>
          </w:tcPr>
          <w:p w14:paraId="2A6E6E82" w14:textId="77777777" w:rsidR="002C0FD9" w:rsidRPr="00CA25CF" w:rsidRDefault="002C0FD9" w:rsidP="00CA25CF">
            <w:pPr>
              <w:rPr>
                <w:rFonts w:cs="Arial"/>
                <w:color w:val="FF0000"/>
                <w:sz w:val="21"/>
                <w:szCs w:val="21"/>
              </w:rPr>
            </w:pPr>
          </w:p>
        </w:tc>
        <w:tc>
          <w:tcPr>
            <w:tcW w:w="217" w:type="dxa"/>
          </w:tcPr>
          <w:p w14:paraId="69924704" w14:textId="77777777" w:rsidR="002C0FD9" w:rsidRPr="00CA25CF" w:rsidRDefault="002C0FD9" w:rsidP="00CA25CF">
            <w:pPr>
              <w:rPr>
                <w:rFonts w:cs="Arial"/>
                <w:color w:val="FF0000"/>
                <w:sz w:val="21"/>
                <w:szCs w:val="21"/>
              </w:rPr>
            </w:pPr>
          </w:p>
        </w:tc>
        <w:tc>
          <w:tcPr>
            <w:tcW w:w="217" w:type="dxa"/>
          </w:tcPr>
          <w:p w14:paraId="2BBB63D5" w14:textId="77777777" w:rsidR="002C0FD9" w:rsidRPr="00CA25CF" w:rsidRDefault="002C0FD9" w:rsidP="00CA25CF">
            <w:pPr>
              <w:rPr>
                <w:rFonts w:cs="Arial"/>
                <w:color w:val="FF0000"/>
                <w:sz w:val="21"/>
                <w:szCs w:val="21"/>
              </w:rPr>
            </w:pPr>
          </w:p>
        </w:tc>
        <w:tc>
          <w:tcPr>
            <w:tcW w:w="217" w:type="dxa"/>
          </w:tcPr>
          <w:p w14:paraId="4EF1B420" w14:textId="77777777" w:rsidR="002C0FD9" w:rsidRPr="00CA25CF" w:rsidRDefault="002C0FD9" w:rsidP="00CA25CF">
            <w:pPr>
              <w:rPr>
                <w:rFonts w:cs="Arial"/>
                <w:color w:val="FF0000"/>
                <w:sz w:val="21"/>
                <w:szCs w:val="21"/>
              </w:rPr>
            </w:pPr>
          </w:p>
        </w:tc>
        <w:tc>
          <w:tcPr>
            <w:tcW w:w="217" w:type="dxa"/>
          </w:tcPr>
          <w:p w14:paraId="29980FFC" w14:textId="77777777" w:rsidR="002C0FD9" w:rsidRPr="00CA25CF" w:rsidRDefault="002C0FD9" w:rsidP="00CA25CF">
            <w:pPr>
              <w:rPr>
                <w:rFonts w:cs="Arial"/>
                <w:color w:val="FF0000"/>
                <w:sz w:val="21"/>
                <w:szCs w:val="21"/>
              </w:rPr>
            </w:pPr>
          </w:p>
        </w:tc>
        <w:tc>
          <w:tcPr>
            <w:tcW w:w="217" w:type="dxa"/>
          </w:tcPr>
          <w:p w14:paraId="49AA00A7" w14:textId="77777777" w:rsidR="002C0FD9" w:rsidRPr="00CA25CF" w:rsidRDefault="002C0FD9" w:rsidP="00CA25CF">
            <w:pPr>
              <w:rPr>
                <w:rFonts w:cs="Arial"/>
                <w:color w:val="FF0000"/>
                <w:sz w:val="21"/>
                <w:szCs w:val="21"/>
              </w:rPr>
            </w:pPr>
          </w:p>
        </w:tc>
        <w:tc>
          <w:tcPr>
            <w:tcW w:w="217" w:type="dxa"/>
          </w:tcPr>
          <w:p w14:paraId="19E7D2CC" w14:textId="77777777" w:rsidR="002C0FD9" w:rsidRPr="00CA25CF" w:rsidRDefault="002C0FD9" w:rsidP="00CA25CF">
            <w:pPr>
              <w:rPr>
                <w:rFonts w:cs="Arial"/>
                <w:color w:val="FF0000"/>
                <w:sz w:val="21"/>
                <w:szCs w:val="21"/>
              </w:rPr>
            </w:pPr>
          </w:p>
        </w:tc>
        <w:tc>
          <w:tcPr>
            <w:tcW w:w="217" w:type="dxa"/>
          </w:tcPr>
          <w:p w14:paraId="6D8EA490" w14:textId="77777777" w:rsidR="002C0FD9" w:rsidRPr="00CA25CF" w:rsidRDefault="002C0FD9" w:rsidP="00CA25CF">
            <w:pPr>
              <w:rPr>
                <w:rFonts w:cs="Arial"/>
                <w:color w:val="FF0000"/>
                <w:sz w:val="21"/>
                <w:szCs w:val="21"/>
              </w:rPr>
            </w:pPr>
          </w:p>
        </w:tc>
        <w:tc>
          <w:tcPr>
            <w:tcW w:w="217" w:type="dxa"/>
          </w:tcPr>
          <w:p w14:paraId="144C1AF5" w14:textId="77777777" w:rsidR="002C0FD9" w:rsidRPr="00CA25CF" w:rsidRDefault="002C0FD9" w:rsidP="00CA25CF">
            <w:pPr>
              <w:rPr>
                <w:rFonts w:cs="Arial"/>
                <w:color w:val="FF0000"/>
                <w:sz w:val="21"/>
                <w:szCs w:val="21"/>
              </w:rPr>
            </w:pPr>
          </w:p>
        </w:tc>
        <w:tc>
          <w:tcPr>
            <w:tcW w:w="217" w:type="dxa"/>
          </w:tcPr>
          <w:p w14:paraId="46B2D908" w14:textId="77777777" w:rsidR="002C0FD9" w:rsidRPr="00CA25CF" w:rsidRDefault="002C0FD9" w:rsidP="00CA25CF">
            <w:pPr>
              <w:rPr>
                <w:rFonts w:cs="Arial"/>
                <w:color w:val="FF0000"/>
                <w:sz w:val="21"/>
                <w:szCs w:val="21"/>
              </w:rPr>
            </w:pPr>
          </w:p>
        </w:tc>
        <w:tc>
          <w:tcPr>
            <w:tcW w:w="217" w:type="dxa"/>
          </w:tcPr>
          <w:p w14:paraId="563CF24E" w14:textId="77777777" w:rsidR="002C0FD9" w:rsidRPr="00CA25CF" w:rsidRDefault="002C0FD9" w:rsidP="00CA25CF">
            <w:pPr>
              <w:rPr>
                <w:rFonts w:cs="Arial"/>
                <w:color w:val="FF0000"/>
                <w:sz w:val="21"/>
                <w:szCs w:val="21"/>
              </w:rPr>
            </w:pPr>
          </w:p>
        </w:tc>
        <w:tc>
          <w:tcPr>
            <w:tcW w:w="217" w:type="dxa"/>
          </w:tcPr>
          <w:p w14:paraId="7B287179" w14:textId="77777777" w:rsidR="002C0FD9" w:rsidRPr="00CA25CF" w:rsidRDefault="002C0FD9" w:rsidP="00CA25CF">
            <w:pPr>
              <w:rPr>
                <w:rFonts w:cs="Arial"/>
                <w:color w:val="FF0000"/>
                <w:sz w:val="21"/>
                <w:szCs w:val="21"/>
              </w:rPr>
            </w:pPr>
          </w:p>
        </w:tc>
        <w:tc>
          <w:tcPr>
            <w:tcW w:w="217" w:type="dxa"/>
          </w:tcPr>
          <w:p w14:paraId="599638AD" w14:textId="77777777" w:rsidR="002C0FD9" w:rsidRPr="00CA25CF" w:rsidRDefault="002C0FD9" w:rsidP="00CA25CF">
            <w:pPr>
              <w:rPr>
                <w:rFonts w:cs="Arial"/>
                <w:color w:val="FF0000"/>
                <w:sz w:val="21"/>
                <w:szCs w:val="21"/>
              </w:rPr>
            </w:pPr>
          </w:p>
        </w:tc>
        <w:tc>
          <w:tcPr>
            <w:tcW w:w="217" w:type="dxa"/>
          </w:tcPr>
          <w:p w14:paraId="73091924" w14:textId="77777777" w:rsidR="002C0FD9" w:rsidRPr="00CA25CF" w:rsidRDefault="002C0FD9" w:rsidP="00CA25CF">
            <w:pPr>
              <w:rPr>
                <w:rFonts w:cs="Arial"/>
                <w:color w:val="FF0000"/>
                <w:sz w:val="21"/>
                <w:szCs w:val="21"/>
              </w:rPr>
            </w:pPr>
          </w:p>
        </w:tc>
        <w:tc>
          <w:tcPr>
            <w:tcW w:w="217" w:type="dxa"/>
          </w:tcPr>
          <w:p w14:paraId="3F16612E" w14:textId="77777777" w:rsidR="002C0FD9" w:rsidRPr="00CA25CF" w:rsidRDefault="002C0FD9" w:rsidP="00CA25CF">
            <w:pPr>
              <w:rPr>
                <w:rFonts w:cs="Arial"/>
                <w:color w:val="FF0000"/>
                <w:sz w:val="21"/>
                <w:szCs w:val="21"/>
              </w:rPr>
            </w:pPr>
          </w:p>
        </w:tc>
        <w:tc>
          <w:tcPr>
            <w:tcW w:w="217" w:type="dxa"/>
          </w:tcPr>
          <w:p w14:paraId="589AF927" w14:textId="77777777" w:rsidR="002C0FD9" w:rsidRPr="00CA25CF" w:rsidRDefault="002C0FD9" w:rsidP="00CA25CF">
            <w:pPr>
              <w:rPr>
                <w:rFonts w:cs="Arial"/>
                <w:color w:val="FF0000"/>
                <w:sz w:val="21"/>
                <w:szCs w:val="21"/>
              </w:rPr>
            </w:pPr>
          </w:p>
        </w:tc>
        <w:tc>
          <w:tcPr>
            <w:tcW w:w="217" w:type="dxa"/>
          </w:tcPr>
          <w:p w14:paraId="4C552608" w14:textId="77777777" w:rsidR="002C0FD9" w:rsidRPr="00CA25CF" w:rsidRDefault="002C0FD9" w:rsidP="00CA25CF">
            <w:pPr>
              <w:rPr>
                <w:rFonts w:cs="Arial"/>
                <w:color w:val="FF0000"/>
                <w:sz w:val="21"/>
                <w:szCs w:val="21"/>
              </w:rPr>
            </w:pPr>
          </w:p>
        </w:tc>
        <w:tc>
          <w:tcPr>
            <w:tcW w:w="217" w:type="dxa"/>
          </w:tcPr>
          <w:p w14:paraId="79A0EB14" w14:textId="77777777" w:rsidR="002C0FD9" w:rsidRPr="00CA25CF" w:rsidRDefault="002C0FD9" w:rsidP="00CA25CF">
            <w:pPr>
              <w:rPr>
                <w:rFonts w:cs="Arial"/>
                <w:color w:val="FF0000"/>
                <w:sz w:val="21"/>
                <w:szCs w:val="21"/>
              </w:rPr>
            </w:pPr>
          </w:p>
        </w:tc>
        <w:tc>
          <w:tcPr>
            <w:tcW w:w="217" w:type="dxa"/>
          </w:tcPr>
          <w:p w14:paraId="2D6746DE" w14:textId="77777777" w:rsidR="002C0FD9" w:rsidRPr="00CA25CF" w:rsidRDefault="002C0FD9" w:rsidP="00CA25CF">
            <w:pPr>
              <w:rPr>
                <w:rFonts w:cs="Arial"/>
                <w:color w:val="FF0000"/>
                <w:sz w:val="21"/>
                <w:szCs w:val="21"/>
              </w:rPr>
            </w:pPr>
          </w:p>
        </w:tc>
        <w:tc>
          <w:tcPr>
            <w:tcW w:w="217" w:type="dxa"/>
          </w:tcPr>
          <w:p w14:paraId="6E167C00" w14:textId="77777777" w:rsidR="002C0FD9" w:rsidRPr="00CA25CF" w:rsidRDefault="002C0FD9" w:rsidP="00CA25CF">
            <w:pPr>
              <w:rPr>
                <w:rFonts w:cs="Arial"/>
                <w:color w:val="FF0000"/>
                <w:sz w:val="21"/>
                <w:szCs w:val="21"/>
              </w:rPr>
            </w:pPr>
          </w:p>
        </w:tc>
        <w:tc>
          <w:tcPr>
            <w:tcW w:w="217" w:type="dxa"/>
          </w:tcPr>
          <w:p w14:paraId="6FA00588" w14:textId="77777777" w:rsidR="002C0FD9" w:rsidRPr="00CA25CF" w:rsidRDefault="002C0FD9" w:rsidP="00CA25CF">
            <w:pPr>
              <w:rPr>
                <w:rFonts w:cs="Arial"/>
                <w:color w:val="FF0000"/>
                <w:sz w:val="21"/>
                <w:szCs w:val="21"/>
              </w:rPr>
            </w:pPr>
          </w:p>
        </w:tc>
        <w:tc>
          <w:tcPr>
            <w:tcW w:w="217" w:type="dxa"/>
          </w:tcPr>
          <w:p w14:paraId="69012412" w14:textId="77777777" w:rsidR="002C0FD9" w:rsidRPr="00CA25CF" w:rsidRDefault="002C0FD9" w:rsidP="00CA25CF">
            <w:pPr>
              <w:rPr>
                <w:rFonts w:cs="Arial"/>
                <w:color w:val="FF0000"/>
                <w:sz w:val="21"/>
                <w:szCs w:val="21"/>
              </w:rPr>
            </w:pPr>
          </w:p>
        </w:tc>
        <w:tc>
          <w:tcPr>
            <w:tcW w:w="217" w:type="dxa"/>
          </w:tcPr>
          <w:p w14:paraId="6BD1B581" w14:textId="77777777" w:rsidR="002C0FD9" w:rsidRPr="00CA25CF" w:rsidRDefault="002C0FD9" w:rsidP="00CA25CF">
            <w:pPr>
              <w:rPr>
                <w:rFonts w:cs="Arial"/>
                <w:color w:val="FF0000"/>
                <w:sz w:val="21"/>
                <w:szCs w:val="21"/>
              </w:rPr>
            </w:pPr>
          </w:p>
        </w:tc>
        <w:tc>
          <w:tcPr>
            <w:tcW w:w="217" w:type="dxa"/>
          </w:tcPr>
          <w:p w14:paraId="672D1670" w14:textId="77777777" w:rsidR="002C0FD9" w:rsidRPr="00CA25CF" w:rsidRDefault="002C0FD9" w:rsidP="00CA25CF">
            <w:pPr>
              <w:rPr>
                <w:rFonts w:cs="Arial"/>
                <w:color w:val="FF0000"/>
                <w:sz w:val="21"/>
                <w:szCs w:val="21"/>
              </w:rPr>
            </w:pPr>
          </w:p>
        </w:tc>
        <w:tc>
          <w:tcPr>
            <w:tcW w:w="217" w:type="dxa"/>
          </w:tcPr>
          <w:p w14:paraId="47C2BB33" w14:textId="77777777" w:rsidR="002C0FD9" w:rsidRPr="00CA25CF" w:rsidRDefault="002C0FD9" w:rsidP="00CA25CF">
            <w:pPr>
              <w:rPr>
                <w:rFonts w:cs="Arial"/>
                <w:color w:val="FF0000"/>
                <w:sz w:val="21"/>
                <w:szCs w:val="21"/>
              </w:rPr>
            </w:pPr>
          </w:p>
        </w:tc>
        <w:tc>
          <w:tcPr>
            <w:tcW w:w="217" w:type="dxa"/>
          </w:tcPr>
          <w:p w14:paraId="14947EAE" w14:textId="77777777" w:rsidR="002C0FD9" w:rsidRPr="00CA25CF" w:rsidRDefault="002C0FD9" w:rsidP="00CA25CF">
            <w:pPr>
              <w:rPr>
                <w:rFonts w:cs="Arial"/>
                <w:color w:val="FF0000"/>
                <w:sz w:val="21"/>
                <w:szCs w:val="21"/>
              </w:rPr>
            </w:pPr>
          </w:p>
        </w:tc>
        <w:tc>
          <w:tcPr>
            <w:tcW w:w="217" w:type="dxa"/>
          </w:tcPr>
          <w:p w14:paraId="1FCC82F3" w14:textId="77777777" w:rsidR="002C0FD9" w:rsidRPr="00CA25CF" w:rsidRDefault="002C0FD9" w:rsidP="00CA25CF">
            <w:pPr>
              <w:rPr>
                <w:rFonts w:cs="Arial"/>
                <w:color w:val="FF0000"/>
                <w:sz w:val="21"/>
                <w:szCs w:val="21"/>
              </w:rPr>
            </w:pPr>
          </w:p>
        </w:tc>
        <w:tc>
          <w:tcPr>
            <w:tcW w:w="217" w:type="dxa"/>
          </w:tcPr>
          <w:p w14:paraId="03C85E6D" w14:textId="77777777" w:rsidR="002C0FD9" w:rsidRPr="00CA25CF" w:rsidRDefault="002C0FD9" w:rsidP="00CA25CF">
            <w:pPr>
              <w:rPr>
                <w:rFonts w:cs="Arial"/>
                <w:color w:val="FF0000"/>
                <w:sz w:val="21"/>
                <w:szCs w:val="21"/>
              </w:rPr>
            </w:pPr>
          </w:p>
        </w:tc>
        <w:tc>
          <w:tcPr>
            <w:tcW w:w="217" w:type="dxa"/>
          </w:tcPr>
          <w:p w14:paraId="38DB2D47" w14:textId="77777777" w:rsidR="002C0FD9" w:rsidRPr="00CA25CF" w:rsidRDefault="002C0FD9" w:rsidP="00CA25CF">
            <w:pPr>
              <w:rPr>
                <w:rFonts w:cs="Arial"/>
                <w:color w:val="FF0000"/>
                <w:sz w:val="21"/>
                <w:szCs w:val="21"/>
              </w:rPr>
            </w:pPr>
          </w:p>
        </w:tc>
        <w:tc>
          <w:tcPr>
            <w:tcW w:w="217" w:type="dxa"/>
          </w:tcPr>
          <w:p w14:paraId="4B64C0AD" w14:textId="77777777" w:rsidR="002C0FD9" w:rsidRPr="00CA25CF" w:rsidRDefault="002C0FD9" w:rsidP="00CA25CF">
            <w:pPr>
              <w:rPr>
                <w:rFonts w:cs="Arial"/>
                <w:color w:val="FF0000"/>
                <w:sz w:val="21"/>
                <w:szCs w:val="21"/>
              </w:rPr>
            </w:pPr>
          </w:p>
        </w:tc>
        <w:tc>
          <w:tcPr>
            <w:tcW w:w="217" w:type="dxa"/>
          </w:tcPr>
          <w:p w14:paraId="73409C6A" w14:textId="77777777" w:rsidR="002C0FD9" w:rsidRPr="00CA25CF" w:rsidRDefault="002C0FD9" w:rsidP="00CA25CF">
            <w:pPr>
              <w:rPr>
                <w:rFonts w:cs="Arial"/>
                <w:color w:val="FF0000"/>
                <w:sz w:val="21"/>
                <w:szCs w:val="21"/>
              </w:rPr>
            </w:pPr>
          </w:p>
        </w:tc>
        <w:tc>
          <w:tcPr>
            <w:tcW w:w="217" w:type="dxa"/>
          </w:tcPr>
          <w:p w14:paraId="10BD7A1C" w14:textId="77777777" w:rsidR="002C0FD9" w:rsidRPr="00CA25CF" w:rsidRDefault="002C0FD9" w:rsidP="00CA25CF">
            <w:pPr>
              <w:rPr>
                <w:rFonts w:cs="Arial"/>
                <w:color w:val="FF0000"/>
                <w:sz w:val="21"/>
                <w:szCs w:val="21"/>
              </w:rPr>
            </w:pPr>
          </w:p>
        </w:tc>
        <w:tc>
          <w:tcPr>
            <w:tcW w:w="217" w:type="dxa"/>
          </w:tcPr>
          <w:p w14:paraId="5002315A" w14:textId="77777777" w:rsidR="002C0FD9" w:rsidRPr="00CA25CF" w:rsidRDefault="002C0FD9" w:rsidP="00CA25CF">
            <w:pPr>
              <w:rPr>
                <w:rFonts w:cs="Arial"/>
                <w:color w:val="FF0000"/>
                <w:sz w:val="21"/>
                <w:szCs w:val="21"/>
              </w:rPr>
            </w:pPr>
          </w:p>
        </w:tc>
        <w:tc>
          <w:tcPr>
            <w:tcW w:w="217" w:type="dxa"/>
          </w:tcPr>
          <w:p w14:paraId="7F2C37D6" w14:textId="77777777" w:rsidR="002C0FD9" w:rsidRPr="00CA25CF" w:rsidRDefault="002C0FD9" w:rsidP="00CA25CF">
            <w:pPr>
              <w:rPr>
                <w:rFonts w:cs="Arial"/>
                <w:color w:val="FF0000"/>
                <w:sz w:val="21"/>
                <w:szCs w:val="21"/>
              </w:rPr>
            </w:pPr>
          </w:p>
        </w:tc>
        <w:tc>
          <w:tcPr>
            <w:tcW w:w="217" w:type="dxa"/>
          </w:tcPr>
          <w:p w14:paraId="5E670D64" w14:textId="77777777" w:rsidR="002C0FD9" w:rsidRPr="00CA25CF" w:rsidRDefault="002C0FD9" w:rsidP="00CA25CF">
            <w:pPr>
              <w:rPr>
                <w:rFonts w:cs="Arial"/>
                <w:color w:val="FF0000"/>
                <w:sz w:val="21"/>
                <w:szCs w:val="21"/>
              </w:rPr>
            </w:pPr>
          </w:p>
        </w:tc>
        <w:tc>
          <w:tcPr>
            <w:tcW w:w="217" w:type="dxa"/>
          </w:tcPr>
          <w:p w14:paraId="3279B0E3" w14:textId="77777777" w:rsidR="002C0FD9" w:rsidRPr="00CA25CF" w:rsidRDefault="002C0FD9" w:rsidP="00CA25CF">
            <w:pPr>
              <w:rPr>
                <w:rFonts w:cs="Arial"/>
                <w:color w:val="FF0000"/>
                <w:sz w:val="21"/>
                <w:szCs w:val="21"/>
              </w:rPr>
            </w:pPr>
          </w:p>
        </w:tc>
        <w:tc>
          <w:tcPr>
            <w:tcW w:w="217" w:type="dxa"/>
          </w:tcPr>
          <w:p w14:paraId="0183BC1A" w14:textId="77777777" w:rsidR="002C0FD9" w:rsidRPr="00CA25CF" w:rsidRDefault="002C0FD9" w:rsidP="00CA25CF">
            <w:pPr>
              <w:rPr>
                <w:rFonts w:cs="Arial"/>
                <w:color w:val="FF0000"/>
                <w:sz w:val="21"/>
                <w:szCs w:val="21"/>
              </w:rPr>
            </w:pPr>
          </w:p>
        </w:tc>
        <w:tc>
          <w:tcPr>
            <w:tcW w:w="217" w:type="dxa"/>
          </w:tcPr>
          <w:p w14:paraId="35D3D76F" w14:textId="77777777" w:rsidR="002C0FD9" w:rsidRPr="00CA25CF" w:rsidRDefault="002C0FD9" w:rsidP="00CA25CF">
            <w:pPr>
              <w:rPr>
                <w:rFonts w:cs="Arial"/>
                <w:color w:val="FF0000"/>
                <w:sz w:val="21"/>
                <w:szCs w:val="21"/>
              </w:rPr>
            </w:pPr>
          </w:p>
        </w:tc>
        <w:tc>
          <w:tcPr>
            <w:tcW w:w="217" w:type="dxa"/>
          </w:tcPr>
          <w:p w14:paraId="1AFC9AB0" w14:textId="77777777" w:rsidR="002C0FD9" w:rsidRPr="00CA25CF" w:rsidRDefault="002C0FD9" w:rsidP="00CA25CF">
            <w:pPr>
              <w:rPr>
                <w:rFonts w:cs="Arial"/>
                <w:color w:val="FF0000"/>
                <w:sz w:val="21"/>
                <w:szCs w:val="21"/>
              </w:rPr>
            </w:pPr>
          </w:p>
        </w:tc>
        <w:tc>
          <w:tcPr>
            <w:tcW w:w="217" w:type="dxa"/>
          </w:tcPr>
          <w:p w14:paraId="67C71D50" w14:textId="77777777" w:rsidR="002C0FD9" w:rsidRPr="00CA25CF" w:rsidRDefault="002C0FD9" w:rsidP="00CA25CF">
            <w:pPr>
              <w:rPr>
                <w:rFonts w:cs="Arial"/>
                <w:color w:val="FF0000"/>
                <w:sz w:val="21"/>
                <w:szCs w:val="21"/>
              </w:rPr>
            </w:pPr>
          </w:p>
        </w:tc>
        <w:tc>
          <w:tcPr>
            <w:tcW w:w="217" w:type="dxa"/>
          </w:tcPr>
          <w:p w14:paraId="5CBC7BEC" w14:textId="77777777" w:rsidR="002C0FD9" w:rsidRPr="00CA25CF" w:rsidRDefault="002C0FD9" w:rsidP="00CA25CF">
            <w:pPr>
              <w:rPr>
                <w:rFonts w:cs="Arial"/>
                <w:color w:val="FF0000"/>
                <w:sz w:val="21"/>
                <w:szCs w:val="21"/>
              </w:rPr>
            </w:pPr>
          </w:p>
        </w:tc>
        <w:tc>
          <w:tcPr>
            <w:tcW w:w="217" w:type="dxa"/>
          </w:tcPr>
          <w:p w14:paraId="45EB0239" w14:textId="77777777" w:rsidR="002C0FD9" w:rsidRPr="00CA25CF" w:rsidRDefault="002C0FD9" w:rsidP="00CA25CF">
            <w:pPr>
              <w:rPr>
                <w:rFonts w:cs="Arial"/>
                <w:color w:val="FF0000"/>
                <w:sz w:val="21"/>
                <w:szCs w:val="21"/>
              </w:rPr>
            </w:pPr>
          </w:p>
        </w:tc>
        <w:tc>
          <w:tcPr>
            <w:tcW w:w="217" w:type="dxa"/>
          </w:tcPr>
          <w:p w14:paraId="63C1175A" w14:textId="77777777" w:rsidR="002C0FD9" w:rsidRPr="00CA25CF" w:rsidRDefault="002C0FD9" w:rsidP="00CA25CF">
            <w:pPr>
              <w:rPr>
                <w:rFonts w:cs="Arial"/>
                <w:color w:val="FF0000"/>
                <w:sz w:val="21"/>
                <w:szCs w:val="21"/>
              </w:rPr>
            </w:pPr>
          </w:p>
        </w:tc>
      </w:tr>
      <w:tr w:rsidR="002C0FD9" w:rsidRPr="00A16219" w14:paraId="069F2C09" w14:textId="77777777" w:rsidTr="002C0FD9">
        <w:trPr>
          <w:trHeight w:val="635"/>
        </w:trPr>
        <w:tc>
          <w:tcPr>
            <w:tcW w:w="515" w:type="dxa"/>
          </w:tcPr>
          <w:p w14:paraId="680F2F4A" w14:textId="77777777" w:rsidR="002C0FD9" w:rsidRPr="00CA25CF" w:rsidRDefault="002C0FD9" w:rsidP="00CA25CF">
            <w:pPr>
              <w:rPr>
                <w:rFonts w:cs="Arial"/>
                <w:color w:val="FF0000"/>
                <w:sz w:val="21"/>
                <w:szCs w:val="21"/>
              </w:rPr>
            </w:pPr>
          </w:p>
        </w:tc>
        <w:tc>
          <w:tcPr>
            <w:tcW w:w="217" w:type="dxa"/>
          </w:tcPr>
          <w:p w14:paraId="299620DF" w14:textId="77777777" w:rsidR="002C0FD9" w:rsidRPr="00CA25CF" w:rsidRDefault="002C0FD9" w:rsidP="00CA25CF">
            <w:pPr>
              <w:rPr>
                <w:rFonts w:cs="Arial"/>
                <w:color w:val="FF0000"/>
                <w:sz w:val="21"/>
                <w:szCs w:val="21"/>
              </w:rPr>
            </w:pPr>
          </w:p>
        </w:tc>
        <w:tc>
          <w:tcPr>
            <w:tcW w:w="217" w:type="dxa"/>
          </w:tcPr>
          <w:p w14:paraId="7F77DB08" w14:textId="77777777" w:rsidR="002C0FD9" w:rsidRPr="00CA25CF" w:rsidRDefault="002C0FD9" w:rsidP="00CA25CF">
            <w:pPr>
              <w:rPr>
                <w:rFonts w:cs="Arial"/>
                <w:color w:val="FF0000"/>
                <w:sz w:val="21"/>
                <w:szCs w:val="21"/>
              </w:rPr>
            </w:pPr>
          </w:p>
        </w:tc>
        <w:tc>
          <w:tcPr>
            <w:tcW w:w="217" w:type="dxa"/>
          </w:tcPr>
          <w:p w14:paraId="341AC1CF" w14:textId="77777777" w:rsidR="002C0FD9" w:rsidRPr="00CA25CF" w:rsidRDefault="002C0FD9" w:rsidP="00CA25CF">
            <w:pPr>
              <w:rPr>
                <w:rFonts w:cs="Arial"/>
                <w:color w:val="FF0000"/>
                <w:sz w:val="21"/>
                <w:szCs w:val="21"/>
              </w:rPr>
            </w:pPr>
          </w:p>
        </w:tc>
        <w:tc>
          <w:tcPr>
            <w:tcW w:w="217" w:type="dxa"/>
          </w:tcPr>
          <w:p w14:paraId="0189FE71" w14:textId="77777777" w:rsidR="002C0FD9" w:rsidRPr="00CA25CF" w:rsidRDefault="002C0FD9" w:rsidP="00CA25CF">
            <w:pPr>
              <w:rPr>
                <w:rFonts w:cs="Arial"/>
                <w:color w:val="FF0000"/>
                <w:sz w:val="21"/>
                <w:szCs w:val="21"/>
              </w:rPr>
            </w:pPr>
          </w:p>
        </w:tc>
        <w:tc>
          <w:tcPr>
            <w:tcW w:w="217" w:type="dxa"/>
          </w:tcPr>
          <w:p w14:paraId="25F2D92B" w14:textId="77777777" w:rsidR="002C0FD9" w:rsidRPr="00CA25CF" w:rsidRDefault="002C0FD9" w:rsidP="00CA25CF">
            <w:pPr>
              <w:rPr>
                <w:rFonts w:cs="Arial"/>
                <w:color w:val="FF0000"/>
                <w:sz w:val="21"/>
                <w:szCs w:val="21"/>
              </w:rPr>
            </w:pPr>
          </w:p>
        </w:tc>
        <w:tc>
          <w:tcPr>
            <w:tcW w:w="217" w:type="dxa"/>
          </w:tcPr>
          <w:p w14:paraId="70820F3A" w14:textId="77777777" w:rsidR="002C0FD9" w:rsidRPr="00CA25CF" w:rsidRDefault="002C0FD9" w:rsidP="00CA25CF">
            <w:pPr>
              <w:rPr>
                <w:rFonts w:cs="Arial"/>
                <w:color w:val="FF0000"/>
                <w:sz w:val="21"/>
                <w:szCs w:val="21"/>
              </w:rPr>
            </w:pPr>
          </w:p>
        </w:tc>
        <w:tc>
          <w:tcPr>
            <w:tcW w:w="217" w:type="dxa"/>
          </w:tcPr>
          <w:p w14:paraId="488F09C9" w14:textId="77777777" w:rsidR="002C0FD9" w:rsidRPr="00CA25CF" w:rsidRDefault="002C0FD9" w:rsidP="00CA25CF">
            <w:pPr>
              <w:rPr>
                <w:rFonts w:cs="Arial"/>
                <w:color w:val="FF0000"/>
                <w:sz w:val="21"/>
                <w:szCs w:val="21"/>
              </w:rPr>
            </w:pPr>
          </w:p>
        </w:tc>
        <w:tc>
          <w:tcPr>
            <w:tcW w:w="217" w:type="dxa"/>
          </w:tcPr>
          <w:p w14:paraId="327740DB" w14:textId="77777777" w:rsidR="002C0FD9" w:rsidRPr="00CA25CF" w:rsidRDefault="002C0FD9" w:rsidP="00CA25CF">
            <w:pPr>
              <w:rPr>
                <w:rFonts w:cs="Arial"/>
                <w:color w:val="FF0000"/>
                <w:sz w:val="21"/>
                <w:szCs w:val="21"/>
              </w:rPr>
            </w:pPr>
          </w:p>
        </w:tc>
        <w:tc>
          <w:tcPr>
            <w:tcW w:w="217" w:type="dxa"/>
          </w:tcPr>
          <w:p w14:paraId="23FFED6C" w14:textId="77777777" w:rsidR="002C0FD9" w:rsidRPr="00CA25CF" w:rsidRDefault="002C0FD9" w:rsidP="00CA25CF">
            <w:pPr>
              <w:rPr>
                <w:rFonts w:cs="Arial"/>
                <w:color w:val="FF0000"/>
                <w:sz w:val="21"/>
                <w:szCs w:val="21"/>
              </w:rPr>
            </w:pPr>
          </w:p>
        </w:tc>
        <w:tc>
          <w:tcPr>
            <w:tcW w:w="217" w:type="dxa"/>
          </w:tcPr>
          <w:p w14:paraId="2C44163C" w14:textId="77777777" w:rsidR="002C0FD9" w:rsidRPr="00CA25CF" w:rsidRDefault="002C0FD9" w:rsidP="00CA25CF">
            <w:pPr>
              <w:rPr>
                <w:rFonts w:cs="Arial"/>
                <w:color w:val="FF0000"/>
                <w:sz w:val="21"/>
                <w:szCs w:val="21"/>
              </w:rPr>
            </w:pPr>
          </w:p>
        </w:tc>
        <w:tc>
          <w:tcPr>
            <w:tcW w:w="217" w:type="dxa"/>
          </w:tcPr>
          <w:p w14:paraId="4B15D902" w14:textId="77777777" w:rsidR="002C0FD9" w:rsidRPr="00CA25CF" w:rsidRDefault="002C0FD9" w:rsidP="00CA25CF">
            <w:pPr>
              <w:rPr>
                <w:rFonts w:cs="Arial"/>
                <w:color w:val="FF0000"/>
                <w:sz w:val="21"/>
                <w:szCs w:val="21"/>
              </w:rPr>
            </w:pPr>
          </w:p>
        </w:tc>
        <w:tc>
          <w:tcPr>
            <w:tcW w:w="217" w:type="dxa"/>
          </w:tcPr>
          <w:p w14:paraId="2032FA12" w14:textId="77777777" w:rsidR="002C0FD9" w:rsidRPr="00CA25CF" w:rsidRDefault="002C0FD9" w:rsidP="00CA25CF">
            <w:pPr>
              <w:rPr>
                <w:rFonts w:cs="Arial"/>
                <w:color w:val="FF0000"/>
                <w:sz w:val="21"/>
                <w:szCs w:val="21"/>
              </w:rPr>
            </w:pPr>
          </w:p>
        </w:tc>
        <w:tc>
          <w:tcPr>
            <w:tcW w:w="217" w:type="dxa"/>
          </w:tcPr>
          <w:p w14:paraId="5EB03DEF" w14:textId="77777777" w:rsidR="002C0FD9" w:rsidRPr="00CA25CF" w:rsidRDefault="002C0FD9" w:rsidP="00CA25CF">
            <w:pPr>
              <w:rPr>
                <w:rFonts w:cs="Arial"/>
                <w:color w:val="FF0000"/>
                <w:sz w:val="21"/>
                <w:szCs w:val="21"/>
              </w:rPr>
            </w:pPr>
          </w:p>
        </w:tc>
        <w:tc>
          <w:tcPr>
            <w:tcW w:w="217" w:type="dxa"/>
          </w:tcPr>
          <w:p w14:paraId="2A44D8E9" w14:textId="77777777" w:rsidR="002C0FD9" w:rsidRPr="00CA25CF" w:rsidRDefault="002C0FD9" w:rsidP="00CA25CF">
            <w:pPr>
              <w:rPr>
                <w:rFonts w:cs="Arial"/>
                <w:color w:val="FF0000"/>
                <w:sz w:val="21"/>
                <w:szCs w:val="21"/>
              </w:rPr>
            </w:pPr>
          </w:p>
        </w:tc>
        <w:tc>
          <w:tcPr>
            <w:tcW w:w="217" w:type="dxa"/>
          </w:tcPr>
          <w:p w14:paraId="2E422961" w14:textId="77777777" w:rsidR="002C0FD9" w:rsidRPr="00CA25CF" w:rsidRDefault="002C0FD9" w:rsidP="00CA25CF">
            <w:pPr>
              <w:rPr>
                <w:rFonts w:cs="Arial"/>
                <w:color w:val="FF0000"/>
                <w:sz w:val="21"/>
                <w:szCs w:val="21"/>
              </w:rPr>
            </w:pPr>
          </w:p>
        </w:tc>
        <w:tc>
          <w:tcPr>
            <w:tcW w:w="217" w:type="dxa"/>
          </w:tcPr>
          <w:p w14:paraId="3B3A33B3" w14:textId="77777777" w:rsidR="002C0FD9" w:rsidRPr="00CA25CF" w:rsidRDefault="002C0FD9" w:rsidP="00CA25CF">
            <w:pPr>
              <w:rPr>
                <w:rFonts w:cs="Arial"/>
                <w:color w:val="FF0000"/>
                <w:sz w:val="21"/>
                <w:szCs w:val="21"/>
              </w:rPr>
            </w:pPr>
          </w:p>
        </w:tc>
        <w:tc>
          <w:tcPr>
            <w:tcW w:w="217" w:type="dxa"/>
          </w:tcPr>
          <w:p w14:paraId="42DE1C1D" w14:textId="77777777" w:rsidR="002C0FD9" w:rsidRPr="00CA25CF" w:rsidRDefault="002C0FD9" w:rsidP="00CA25CF">
            <w:pPr>
              <w:rPr>
                <w:rFonts w:cs="Arial"/>
                <w:color w:val="FF0000"/>
                <w:sz w:val="21"/>
                <w:szCs w:val="21"/>
              </w:rPr>
            </w:pPr>
          </w:p>
        </w:tc>
        <w:tc>
          <w:tcPr>
            <w:tcW w:w="217" w:type="dxa"/>
          </w:tcPr>
          <w:p w14:paraId="5DE96651" w14:textId="77777777" w:rsidR="002C0FD9" w:rsidRPr="00CA25CF" w:rsidRDefault="002C0FD9" w:rsidP="00CA25CF">
            <w:pPr>
              <w:rPr>
                <w:rFonts w:cs="Arial"/>
                <w:color w:val="FF0000"/>
                <w:sz w:val="21"/>
                <w:szCs w:val="21"/>
              </w:rPr>
            </w:pPr>
          </w:p>
        </w:tc>
        <w:tc>
          <w:tcPr>
            <w:tcW w:w="217" w:type="dxa"/>
          </w:tcPr>
          <w:p w14:paraId="5E070CD6" w14:textId="77777777" w:rsidR="002C0FD9" w:rsidRPr="00CA25CF" w:rsidRDefault="002C0FD9" w:rsidP="00CA25CF">
            <w:pPr>
              <w:rPr>
                <w:rFonts w:cs="Arial"/>
                <w:color w:val="FF0000"/>
                <w:sz w:val="21"/>
                <w:szCs w:val="21"/>
              </w:rPr>
            </w:pPr>
          </w:p>
        </w:tc>
        <w:tc>
          <w:tcPr>
            <w:tcW w:w="217" w:type="dxa"/>
          </w:tcPr>
          <w:p w14:paraId="4F845EA9" w14:textId="77777777" w:rsidR="002C0FD9" w:rsidRPr="00CA25CF" w:rsidRDefault="002C0FD9" w:rsidP="00CA25CF">
            <w:pPr>
              <w:rPr>
                <w:rFonts w:cs="Arial"/>
                <w:color w:val="FF0000"/>
                <w:sz w:val="21"/>
                <w:szCs w:val="21"/>
              </w:rPr>
            </w:pPr>
          </w:p>
        </w:tc>
        <w:tc>
          <w:tcPr>
            <w:tcW w:w="217" w:type="dxa"/>
          </w:tcPr>
          <w:p w14:paraId="243048F8" w14:textId="77777777" w:rsidR="002C0FD9" w:rsidRPr="00CA25CF" w:rsidRDefault="002C0FD9" w:rsidP="00CA25CF">
            <w:pPr>
              <w:rPr>
                <w:rFonts w:cs="Arial"/>
                <w:color w:val="FF0000"/>
                <w:sz w:val="21"/>
                <w:szCs w:val="21"/>
              </w:rPr>
            </w:pPr>
          </w:p>
        </w:tc>
        <w:tc>
          <w:tcPr>
            <w:tcW w:w="217" w:type="dxa"/>
          </w:tcPr>
          <w:p w14:paraId="6B6C282F" w14:textId="77777777" w:rsidR="002C0FD9" w:rsidRPr="00CA25CF" w:rsidRDefault="002C0FD9" w:rsidP="00CA25CF">
            <w:pPr>
              <w:rPr>
                <w:rFonts w:cs="Arial"/>
                <w:color w:val="FF0000"/>
                <w:sz w:val="21"/>
                <w:szCs w:val="21"/>
              </w:rPr>
            </w:pPr>
          </w:p>
        </w:tc>
        <w:tc>
          <w:tcPr>
            <w:tcW w:w="217" w:type="dxa"/>
          </w:tcPr>
          <w:p w14:paraId="2F4E87F7" w14:textId="77777777" w:rsidR="002C0FD9" w:rsidRPr="00CA25CF" w:rsidRDefault="002C0FD9" w:rsidP="00CA25CF">
            <w:pPr>
              <w:rPr>
                <w:rFonts w:cs="Arial"/>
                <w:color w:val="FF0000"/>
                <w:sz w:val="21"/>
                <w:szCs w:val="21"/>
              </w:rPr>
            </w:pPr>
          </w:p>
        </w:tc>
        <w:tc>
          <w:tcPr>
            <w:tcW w:w="217" w:type="dxa"/>
          </w:tcPr>
          <w:p w14:paraId="72C2CFFE" w14:textId="77777777" w:rsidR="002C0FD9" w:rsidRPr="00CA25CF" w:rsidRDefault="002C0FD9" w:rsidP="00CA25CF">
            <w:pPr>
              <w:rPr>
                <w:rFonts w:cs="Arial"/>
                <w:color w:val="FF0000"/>
                <w:sz w:val="21"/>
                <w:szCs w:val="21"/>
              </w:rPr>
            </w:pPr>
          </w:p>
        </w:tc>
        <w:tc>
          <w:tcPr>
            <w:tcW w:w="217" w:type="dxa"/>
          </w:tcPr>
          <w:p w14:paraId="36B22521" w14:textId="77777777" w:rsidR="002C0FD9" w:rsidRPr="00CA25CF" w:rsidRDefault="002C0FD9" w:rsidP="00CA25CF">
            <w:pPr>
              <w:rPr>
                <w:rFonts w:cs="Arial"/>
                <w:color w:val="FF0000"/>
                <w:sz w:val="21"/>
                <w:szCs w:val="21"/>
              </w:rPr>
            </w:pPr>
          </w:p>
        </w:tc>
        <w:tc>
          <w:tcPr>
            <w:tcW w:w="217" w:type="dxa"/>
          </w:tcPr>
          <w:p w14:paraId="6B47455E" w14:textId="77777777" w:rsidR="002C0FD9" w:rsidRPr="00CA25CF" w:rsidRDefault="002C0FD9" w:rsidP="00CA25CF">
            <w:pPr>
              <w:rPr>
                <w:rFonts w:cs="Arial"/>
                <w:color w:val="FF0000"/>
                <w:sz w:val="21"/>
                <w:szCs w:val="21"/>
              </w:rPr>
            </w:pPr>
          </w:p>
        </w:tc>
        <w:tc>
          <w:tcPr>
            <w:tcW w:w="217" w:type="dxa"/>
          </w:tcPr>
          <w:p w14:paraId="283D13F2" w14:textId="77777777" w:rsidR="002C0FD9" w:rsidRPr="00CA25CF" w:rsidRDefault="002C0FD9" w:rsidP="00CA25CF">
            <w:pPr>
              <w:rPr>
                <w:rFonts w:cs="Arial"/>
                <w:color w:val="FF0000"/>
                <w:sz w:val="21"/>
                <w:szCs w:val="21"/>
              </w:rPr>
            </w:pPr>
          </w:p>
        </w:tc>
        <w:tc>
          <w:tcPr>
            <w:tcW w:w="217" w:type="dxa"/>
          </w:tcPr>
          <w:p w14:paraId="4A32FADD" w14:textId="77777777" w:rsidR="002C0FD9" w:rsidRPr="00CA25CF" w:rsidRDefault="002C0FD9" w:rsidP="00CA25CF">
            <w:pPr>
              <w:rPr>
                <w:rFonts w:cs="Arial"/>
                <w:color w:val="FF0000"/>
                <w:sz w:val="21"/>
                <w:szCs w:val="21"/>
              </w:rPr>
            </w:pPr>
          </w:p>
        </w:tc>
        <w:tc>
          <w:tcPr>
            <w:tcW w:w="217" w:type="dxa"/>
          </w:tcPr>
          <w:p w14:paraId="20CEC2DC" w14:textId="77777777" w:rsidR="002C0FD9" w:rsidRPr="00CA25CF" w:rsidRDefault="002C0FD9" w:rsidP="00CA25CF">
            <w:pPr>
              <w:rPr>
                <w:rFonts w:cs="Arial"/>
                <w:color w:val="FF0000"/>
                <w:sz w:val="21"/>
                <w:szCs w:val="21"/>
              </w:rPr>
            </w:pPr>
          </w:p>
        </w:tc>
        <w:tc>
          <w:tcPr>
            <w:tcW w:w="217" w:type="dxa"/>
          </w:tcPr>
          <w:p w14:paraId="37162BD8" w14:textId="77777777" w:rsidR="002C0FD9" w:rsidRPr="00CA25CF" w:rsidRDefault="002C0FD9" w:rsidP="00CA25CF">
            <w:pPr>
              <w:rPr>
                <w:rFonts w:cs="Arial"/>
                <w:color w:val="FF0000"/>
                <w:sz w:val="21"/>
                <w:szCs w:val="21"/>
              </w:rPr>
            </w:pPr>
          </w:p>
        </w:tc>
        <w:tc>
          <w:tcPr>
            <w:tcW w:w="217" w:type="dxa"/>
          </w:tcPr>
          <w:p w14:paraId="689CC09A" w14:textId="77777777" w:rsidR="002C0FD9" w:rsidRPr="00CA25CF" w:rsidRDefault="002C0FD9" w:rsidP="00CA25CF">
            <w:pPr>
              <w:rPr>
                <w:rFonts w:cs="Arial"/>
                <w:color w:val="FF0000"/>
                <w:sz w:val="21"/>
                <w:szCs w:val="21"/>
              </w:rPr>
            </w:pPr>
          </w:p>
        </w:tc>
        <w:tc>
          <w:tcPr>
            <w:tcW w:w="217" w:type="dxa"/>
          </w:tcPr>
          <w:p w14:paraId="6095CA8E" w14:textId="77777777" w:rsidR="002C0FD9" w:rsidRPr="00CA25CF" w:rsidRDefault="002C0FD9" w:rsidP="00CA25CF">
            <w:pPr>
              <w:rPr>
                <w:rFonts w:cs="Arial"/>
                <w:color w:val="FF0000"/>
                <w:sz w:val="21"/>
                <w:szCs w:val="21"/>
              </w:rPr>
            </w:pPr>
          </w:p>
        </w:tc>
        <w:tc>
          <w:tcPr>
            <w:tcW w:w="217" w:type="dxa"/>
          </w:tcPr>
          <w:p w14:paraId="6D889807" w14:textId="77777777" w:rsidR="002C0FD9" w:rsidRPr="00CA25CF" w:rsidRDefault="002C0FD9" w:rsidP="00CA25CF">
            <w:pPr>
              <w:rPr>
                <w:rFonts w:cs="Arial"/>
                <w:color w:val="FF0000"/>
                <w:sz w:val="21"/>
                <w:szCs w:val="21"/>
              </w:rPr>
            </w:pPr>
          </w:p>
        </w:tc>
        <w:tc>
          <w:tcPr>
            <w:tcW w:w="217" w:type="dxa"/>
          </w:tcPr>
          <w:p w14:paraId="2C3D3AB5" w14:textId="77777777" w:rsidR="002C0FD9" w:rsidRPr="00CA25CF" w:rsidRDefault="002C0FD9" w:rsidP="00CA25CF">
            <w:pPr>
              <w:rPr>
                <w:rFonts w:cs="Arial"/>
                <w:color w:val="FF0000"/>
                <w:sz w:val="21"/>
                <w:szCs w:val="21"/>
              </w:rPr>
            </w:pPr>
          </w:p>
        </w:tc>
        <w:tc>
          <w:tcPr>
            <w:tcW w:w="217" w:type="dxa"/>
          </w:tcPr>
          <w:p w14:paraId="4401F677" w14:textId="77777777" w:rsidR="002C0FD9" w:rsidRPr="00CA25CF" w:rsidRDefault="002C0FD9" w:rsidP="00CA25CF">
            <w:pPr>
              <w:rPr>
                <w:rFonts w:cs="Arial"/>
                <w:color w:val="FF0000"/>
                <w:sz w:val="21"/>
                <w:szCs w:val="21"/>
              </w:rPr>
            </w:pPr>
          </w:p>
        </w:tc>
        <w:tc>
          <w:tcPr>
            <w:tcW w:w="217" w:type="dxa"/>
          </w:tcPr>
          <w:p w14:paraId="1A58FC5D" w14:textId="77777777" w:rsidR="002C0FD9" w:rsidRPr="00CA25CF" w:rsidRDefault="002C0FD9" w:rsidP="00CA25CF">
            <w:pPr>
              <w:rPr>
                <w:rFonts w:cs="Arial"/>
                <w:color w:val="FF0000"/>
                <w:sz w:val="21"/>
                <w:szCs w:val="21"/>
              </w:rPr>
            </w:pPr>
          </w:p>
        </w:tc>
        <w:tc>
          <w:tcPr>
            <w:tcW w:w="217" w:type="dxa"/>
          </w:tcPr>
          <w:p w14:paraId="62D63A0C" w14:textId="77777777" w:rsidR="002C0FD9" w:rsidRPr="00CA25CF" w:rsidRDefault="002C0FD9" w:rsidP="00CA25CF">
            <w:pPr>
              <w:rPr>
                <w:rFonts w:cs="Arial"/>
                <w:color w:val="FF0000"/>
                <w:sz w:val="21"/>
                <w:szCs w:val="21"/>
              </w:rPr>
            </w:pPr>
          </w:p>
        </w:tc>
        <w:tc>
          <w:tcPr>
            <w:tcW w:w="217" w:type="dxa"/>
          </w:tcPr>
          <w:p w14:paraId="4F7DDC63" w14:textId="77777777" w:rsidR="002C0FD9" w:rsidRPr="00CA25CF" w:rsidRDefault="002C0FD9" w:rsidP="00CA25CF">
            <w:pPr>
              <w:rPr>
                <w:rFonts w:cs="Arial"/>
                <w:color w:val="FF0000"/>
                <w:sz w:val="21"/>
                <w:szCs w:val="21"/>
              </w:rPr>
            </w:pPr>
          </w:p>
        </w:tc>
        <w:tc>
          <w:tcPr>
            <w:tcW w:w="217" w:type="dxa"/>
          </w:tcPr>
          <w:p w14:paraId="2A7CAFBD" w14:textId="77777777" w:rsidR="002C0FD9" w:rsidRPr="00CA25CF" w:rsidRDefault="002C0FD9" w:rsidP="00CA25CF">
            <w:pPr>
              <w:rPr>
                <w:rFonts w:cs="Arial"/>
                <w:color w:val="FF0000"/>
                <w:sz w:val="21"/>
                <w:szCs w:val="21"/>
              </w:rPr>
            </w:pPr>
          </w:p>
        </w:tc>
        <w:tc>
          <w:tcPr>
            <w:tcW w:w="217" w:type="dxa"/>
          </w:tcPr>
          <w:p w14:paraId="0C6E9D1C" w14:textId="77777777" w:rsidR="002C0FD9" w:rsidRPr="00CA25CF" w:rsidRDefault="002C0FD9" w:rsidP="00CA25CF">
            <w:pPr>
              <w:rPr>
                <w:rFonts w:cs="Arial"/>
                <w:color w:val="FF0000"/>
                <w:sz w:val="21"/>
                <w:szCs w:val="21"/>
              </w:rPr>
            </w:pPr>
          </w:p>
        </w:tc>
        <w:tc>
          <w:tcPr>
            <w:tcW w:w="217" w:type="dxa"/>
          </w:tcPr>
          <w:p w14:paraId="0A8DFE89" w14:textId="77777777" w:rsidR="002C0FD9" w:rsidRPr="00CA25CF" w:rsidRDefault="002C0FD9" w:rsidP="00CA25CF">
            <w:pPr>
              <w:rPr>
                <w:rFonts w:cs="Arial"/>
                <w:color w:val="FF0000"/>
                <w:sz w:val="21"/>
                <w:szCs w:val="21"/>
              </w:rPr>
            </w:pPr>
          </w:p>
        </w:tc>
        <w:tc>
          <w:tcPr>
            <w:tcW w:w="217" w:type="dxa"/>
          </w:tcPr>
          <w:p w14:paraId="046A8C90" w14:textId="77777777" w:rsidR="002C0FD9" w:rsidRPr="00CA25CF" w:rsidRDefault="002C0FD9" w:rsidP="00CA25CF">
            <w:pPr>
              <w:rPr>
                <w:rFonts w:cs="Arial"/>
                <w:color w:val="FF0000"/>
                <w:sz w:val="21"/>
                <w:szCs w:val="21"/>
              </w:rPr>
            </w:pPr>
          </w:p>
        </w:tc>
      </w:tr>
      <w:tr w:rsidR="002C0FD9" w:rsidRPr="00A16219" w14:paraId="7C0C661C" w14:textId="77777777" w:rsidTr="002C0FD9">
        <w:trPr>
          <w:trHeight w:val="635"/>
        </w:trPr>
        <w:tc>
          <w:tcPr>
            <w:tcW w:w="515" w:type="dxa"/>
          </w:tcPr>
          <w:p w14:paraId="2368FFD5" w14:textId="77777777" w:rsidR="002C0FD9" w:rsidRPr="00CA25CF" w:rsidRDefault="002C0FD9" w:rsidP="00CA25CF">
            <w:pPr>
              <w:rPr>
                <w:rFonts w:cs="Arial"/>
                <w:color w:val="FF0000"/>
                <w:sz w:val="21"/>
                <w:szCs w:val="21"/>
              </w:rPr>
            </w:pPr>
          </w:p>
        </w:tc>
        <w:tc>
          <w:tcPr>
            <w:tcW w:w="217" w:type="dxa"/>
          </w:tcPr>
          <w:p w14:paraId="0E2B4874" w14:textId="77777777" w:rsidR="002C0FD9" w:rsidRPr="00CA25CF" w:rsidRDefault="002C0FD9" w:rsidP="00CA25CF">
            <w:pPr>
              <w:rPr>
                <w:rFonts w:cs="Arial"/>
                <w:color w:val="FF0000"/>
                <w:sz w:val="21"/>
                <w:szCs w:val="21"/>
              </w:rPr>
            </w:pPr>
          </w:p>
        </w:tc>
        <w:tc>
          <w:tcPr>
            <w:tcW w:w="217" w:type="dxa"/>
          </w:tcPr>
          <w:p w14:paraId="2D8734DA" w14:textId="77777777" w:rsidR="002C0FD9" w:rsidRPr="00CA25CF" w:rsidRDefault="002C0FD9" w:rsidP="00CA25CF">
            <w:pPr>
              <w:rPr>
                <w:rFonts w:cs="Arial"/>
                <w:color w:val="FF0000"/>
                <w:sz w:val="21"/>
                <w:szCs w:val="21"/>
              </w:rPr>
            </w:pPr>
          </w:p>
        </w:tc>
        <w:tc>
          <w:tcPr>
            <w:tcW w:w="217" w:type="dxa"/>
          </w:tcPr>
          <w:p w14:paraId="37035734" w14:textId="77777777" w:rsidR="002C0FD9" w:rsidRPr="00CA25CF" w:rsidRDefault="002C0FD9" w:rsidP="00CA25CF">
            <w:pPr>
              <w:rPr>
                <w:rFonts w:cs="Arial"/>
                <w:color w:val="FF0000"/>
                <w:sz w:val="21"/>
                <w:szCs w:val="21"/>
              </w:rPr>
            </w:pPr>
          </w:p>
        </w:tc>
        <w:tc>
          <w:tcPr>
            <w:tcW w:w="217" w:type="dxa"/>
          </w:tcPr>
          <w:p w14:paraId="16352EB9" w14:textId="77777777" w:rsidR="002C0FD9" w:rsidRPr="00CA25CF" w:rsidRDefault="002C0FD9" w:rsidP="00CA25CF">
            <w:pPr>
              <w:rPr>
                <w:rFonts w:cs="Arial"/>
                <w:color w:val="FF0000"/>
                <w:sz w:val="21"/>
                <w:szCs w:val="21"/>
              </w:rPr>
            </w:pPr>
          </w:p>
        </w:tc>
        <w:tc>
          <w:tcPr>
            <w:tcW w:w="217" w:type="dxa"/>
          </w:tcPr>
          <w:p w14:paraId="114E37F7" w14:textId="77777777" w:rsidR="002C0FD9" w:rsidRPr="00CA25CF" w:rsidRDefault="002C0FD9" w:rsidP="00CA25CF">
            <w:pPr>
              <w:rPr>
                <w:rFonts w:cs="Arial"/>
                <w:color w:val="FF0000"/>
                <w:sz w:val="21"/>
                <w:szCs w:val="21"/>
              </w:rPr>
            </w:pPr>
          </w:p>
        </w:tc>
        <w:tc>
          <w:tcPr>
            <w:tcW w:w="217" w:type="dxa"/>
          </w:tcPr>
          <w:p w14:paraId="00C5C086" w14:textId="77777777" w:rsidR="002C0FD9" w:rsidRPr="00CA25CF" w:rsidRDefault="002C0FD9" w:rsidP="00CA25CF">
            <w:pPr>
              <w:rPr>
                <w:rFonts w:cs="Arial"/>
                <w:color w:val="FF0000"/>
                <w:sz w:val="21"/>
                <w:szCs w:val="21"/>
              </w:rPr>
            </w:pPr>
          </w:p>
        </w:tc>
        <w:tc>
          <w:tcPr>
            <w:tcW w:w="217" w:type="dxa"/>
          </w:tcPr>
          <w:p w14:paraId="3D77743A" w14:textId="77777777" w:rsidR="002C0FD9" w:rsidRPr="00CA25CF" w:rsidRDefault="002C0FD9" w:rsidP="00CA25CF">
            <w:pPr>
              <w:rPr>
                <w:rFonts w:cs="Arial"/>
                <w:color w:val="FF0000"/>
                <w:sz w:val="21"/>
                <w:szCs w:val="21"/>
              </w:rPr>
            </w:pPr>
          </w:p>
        </w:tc>
        <w:tc>
          <w:tcPr>
            <w:tcW w:w="217" w:type="dxa"/>
          </w:tcPr>
          <w:p w14:paraId="2AB29A9B" w14:textId="77777777" w:rsidR="002C0FD9" w:rsidRPr="00CA25CF" w:rsidRDefault="002C0FD9" w:rsidP="00CA25CF">
            <w:pPr>
              <w:rPr>
                <w:rFonts w:cs="Arial"/>
                <w:color w:val="FF0000"/>
                <w:sz w:val="21"/>
                <w:szCs w:val="21"/>
              </w:rPr>
            </w:pPr>
          </w:p>
        </w:tc>
        <w:tc>
          <w:tcPr>
            <w:tcW w:w="217" w:type="dxa"/>
          </w:tcPr>
          <w:p w14:paraId="20E200D4" w14:textId="77777777" w:rsidR="002C0FD9" w:rsidRPr="00CA25CF" w:rsidRDefault="002C0FD9" w:rsidP="00CA25CF">
            <w:pPr>
              <w:rPr>
                <w:rFonts w:cs="Arial"/>
                <w:color w:val="FF0000"/>
                <w:sz w:val="21"/>
                <w:szCs w:val="21"/>
              </w:rPr>
            </w:pPr>
          </w:p>
        </w:tc>
        <w:tc>
          <w:tcPr>
            <w:tcW w:w="217" w:type="dxa"/>
          </w:tcPr>
          <w:p w14:paraId="19469AA9" w14:textId="77777777" w:rsidR="002C0FD9" w:rsidRPr="00CA25CF" w:rsidRDefault="002C0FD9" w:rsidP="00CA25CF">
            <w:pPr>
              <w:rPr>
                <w:rFonts w:cs="Arial"/>
                <w:color w:val="FF0000"/>
                <w:sz w:val="21"/>
                <w:szCs w:val="21"/>
              </w:rPr>
            </w:pPr>
          </w:p>
        </w:tc>
        <w:tc>
          <w:tcPr>
            <w:tcW w:w="217" w:type="dxa"/>
          </w:tcPr>
          <w:p w14:paraId="44A81079" w14:textId="77777777" w:rsidR="002C0FD9" w:rsidRPr="00CA25CF" w:rsidRDefault="002C0FD9" w:rsidP="00CA25CF">
            <w:pPr>
              <w:rPr>
                <w:rFonts w:cs="Arial"/>
                <w:color w:val="FF0000"/>
                <w:sz w:val="21"/>
                <w:szCs w:val="21"/>
              </w:rPr>
            </w:pPr>
          </w:p>
        </w:tc>
        <w:tc>
          <w:tcPr>
            <w:tcW w:w="217" w:type="dxa"/>
          </w:tcPr>
          <w:p w14:paraId="7E8CCBF1" w14:textId="77777777" w:rsidR="002C0FD9" w:rsidRPr="00CA25CF" w:rsidRDefault="002C0FD9" w:rsidP="00CA25CF">
            <w:pPr>
              <w:rPr>
                <w:rFonts w:cs="Arial"/>
                <w:color w:val="FF0000"/>
                <w:sz w:val="21"/>
                <w:szCs w:val="21"/>
              </w:rPr>
            </w:pPr>
          </w:p>
        </w:tc>
        <w:tc>
          <w:tcPr>
            <w:tcW w:w="217" w:type="dxa"/>
          </w:tcPr>
          <w:p w14:paraId="7A78E285" w14:textId="77777777" w:rsidR="002C0FD9" w:rsidRPr="00CA25CF" w:rsidRDefault="002C0FD9" w:rsidP="00CA25CF">
            <w:pPr>
              <w:rPr>
                <w:rFonts w:cs="Arial"/>
                <w:color w:val="FF0000"/>
                <w:sz w:val="21"/>
                <w:szCs w:val="21"/>
              </w:rPr>
            </w:pPr>
          </w:p>
        </w:tc>
        <w:tc>
          <w:tcPr>
            <w:tcW w:w="217" w:type="dxa"/>
          </w:tcPr>
          <w:p w14:paraId="0A96FFD5" w14:textId="77777777" w:rsidR="002C0FD9" w:rsidRPr="00CA25CF" w:rsidRDefault="002C0FD9" w:rsidP="00CA25CF">
            <w:pPr>
              <w:rPr>
                <w:rFonts w:cs="Arial"/>
                <w:color w:val="FF0000"/>
                <w:sz w:val="21"/>
                <w:szCs w:val="21"/>
              </w:rPr>
            </w:pPr>
          </w:p>
        </w:tc>
        <w:tc>
          <w:tcPr>
            <w:tcW w:w="217" w:type="dxa"/>
          </w:tcPr>
          <w:p w14:paraId="5DE13710" w14:textId="77777777" w:rsidR="002C0FD9" w:rsidRPr="00CA25CF" w:rsidRDefault="002C0FD9" w:rsidP="00CA25CF">
            <w:pPr>
              <w:rPr>
                <w:rFonts w:cs="Arial"/>
                <w:color w:val="FF0000"/>
                <w:sz w:val="21"/>
                <w:szCs w:val="21"/>
              </w:rPr>
            </w:pPr>
          </w:p>
        </w:tc>
        <w:tc>
          <w:tcPr>
            <w:tcW w:w="217" w:type="dxa"/>
          </w:tcPr>
          <w:p w14:paraId="240A52DB" w14:textId="77777777" w:rsidR="002C0FD9" w:rsidRPr="00CA25CF" w:rsidRDefault="002C0FD9" w:rsidP="00CA25CF">
            <w:pPr>
              <w:rPr>
                <w:rFonts w:cs="Arial"/>
                <w:color w:val="FF0000"/>
                <w:sz w:val="21"/>
                <w:szCs w:val="21"/>
              </w:rPr>
            </w:pPr>
          </w:p>
        </w:tc>
        <w:tc>
          <w:tcPr>
            <w:tcW w:w="217" w:type="dxa"/>
          </w:tcPr>
          <w:p w14:paraId="3B196091" w14:textId="77777777" w:rsidR="002C0FD9" w:rsidRPr="00CA25CF" w:rsidRDefault="002C0FD9" w:rsidP="00CA25CF">
            <w:pPr>
              <w:rPr>
                <w:rFonts w:cs="Arial"/>
                <w:color w:val="FF0000"/>
                <w:sz w:val="21"/>
                <w:szCs w:val="21"/>
              </w:rPr>
            </w:pPr>
          </w:p>
        </w:tc>
        <w:tc>
          <w:tcPr>
            <w:tcW w:w="217" w:type="dxa"/>
          </w:tcPr>
          <w:p w14:paraId="579A7FAE" w14:textId="77777777" w:rsidR="002C0FD9" w:rsidRPr="00CA25CF" w:rsidRDefault="002C0FD9" w:rsidP="00CA25CF">
            <w:pPr>
              <w:rPr>
                <w:rFonts w:cs="Arial"/>
                <w:color w:val="FF0000"/>
                <w:sz w:val="21"/>
                <w:szCs w:val="21"/>
              </w:rPr>
            </w:pPr>
          </w:p>
        </w:tc>
        <w:tc>
          <w:tcPr>
            <w:tcW w:w="217" w:type="dxa"/>
          </w:tcPr>
          <w:p w14:paraId="5D210A5B" w14:textId="77777777" w:rsidR="002C0FD9" w:rsidRPr="00CA25CF" w:rsidRDefault="002C0FD9" w:rsidP="00CA25CF">
            <w:pPr>
              <w:rPr>
                <w:rFonts w:cs="Arial"/>
                <w:color w:val="FF0000"/>
                <w:sz w:val="21"/>
                <w:szCs w:val="21"/>
              </w:rPr>
            </w:pPr>
          </w:p>
        </w:tc>
        <w:tc>
          <w:tcPr>
            <w:tcW w:w="217" w:type="dxa"/>
          </w:tcPr>
          <w:p w14:paraId="57971E39" w14:textId="77777777" w:rsidR="002C0FD9" w:rsidRPr="00CA25CF" w:rsidRDefault="002C0FD9" w:rsidP="00CA25CF">
            <w:pPr>
              <w:rPr>
                <w:rFonts w:cs="Arial"/>
                <w:color w:val="FF0000"/>
                <w:sz w:val="21"/>
                <w:szCs w:val="21"/>
              </w:rPr>
            </w:pPr>
          </w:p>
        </w:tc>
        <w:tc>
          <w:tcPr>
            <w:tcW w:w="217" w:type="dxa"/>
          </w:tcPr>
          <w:p w14:paraId="5B6F5064" w14:textId="77777777" w:rsidR="002C0FD9" w:rsidRPr="00CA25CF" w:rsidRDefault="002C0FD9" w:rsidP="00CA25CF">
            <w:pPr>
              <w:rPr>
                <w:rFonts w:cs="Arial"/>
                <w:color w:val="FF0000"/>
                <w:sz w:val="21"/>
                <w:szCs w:val="21"/>
              </w:rPr>
            </w:pPr>
          </w:p>
        </w:tc>
        <w:tc>
          <w:tcPr>
            <w:tcW w:w="217" w:type="dxa"/>
          </w:tcPr>
          <w:p w14:paraId="586BE471" w14:textId="77777777" w:rsidR="002C0FD9" w:rsidRPr="00CA25CF" w:rsidRDefault="002C0FD9" w:rsidP="00CA25CF">
            <w:pPr>
              <w:rPr>
                <w:rFonts w:cs="Arial"/>
                <w:color w:val="FF0000"/>
                <w:sz w:val="21"/>
                <w:szCs w:val="21"/>
              </w:rPr>
            </w:pPr>
          </w:p>
        </w:tc>
        <w:tc>
          <w:tcPr>
            <w:tcW w:w="217" w:type="dxa"/>
          </w:tcPr>
          <w:p w14:paraId="3E27B445" w14:textId="77777777" w:rsidR="002C0FD9" w:rsidRPr="00CA25CF" w:rsidRDefault="002C0FD9" w:rsidP="00CA25CF">
            <w:pPr>
              <w:rPr>
                <w:rFonts w:cs="Arial"/>
                <w:color w:val="FF0000"/>
                <w:sz w:val="21"/>
                <w:szCs w:val="21"/>
              </w:rPr>
            </w:pPr>
          </w:p>
        </w:tc>
        <w:tc>
          <w:tcPr>
            <w:tcW w:w="217" w:type="dxa"/>
          </w:tcPr>
          <w:p w14:paraId="143B8027" w14:textId="77777777" w:rsidR="002C0FD9" w:rsidRPr="00CA25CF" w:rsidRDefault="002C0FD9" w:rsidP="00CA25CF">
            <w:pPr>
              <w:rPr>
                <w:rFonts w:cs="Arial"/>
                <w:color w:val="FF0000"/>
                <w:sz w:val="21"/>
                <w:szCs w:val="21"/>
              </w:rPr>
            </w:pPr>
          </w:p>
        </w:tc>
        <w:tc>
          <w:tcPr>
            <w:tcW w:w="217" w:type="dxa"/>
          </w:tcPr>
          <w:p w14:paraId="49B01DC7" w14:textId="77777777" w:rsidR="002C0FD9" w:rsidRPr="00CA25CF" w:rsidRDefault="002C0FD9" w:rsidP="00CA25CF">
            <w:pPr>
              <w:rPr>
                <w:rFonts w:cs="Arial"/>
                <w:color w:val="FF0000"/>
                <w:sz w:val="21"/>
                <w:szCs w:val="21"/>
              </w:rPr>
            </w:pPr>
          </w:p>
        </w:tc>
        <w:tc>
          <w:tcPr>
            <w:tcW w:w="217" w:type="dxa"/>
          </w:tcPr>
          <w:p w14:paraId="04732B52" w14:textId="77777777" w:rsidR="002C0FD9" w:rsidRPr="00CA25CF" w:rsidRDefault="002C0FD9" w:rsidP="00CA25CF">
            <w:pPr>
              <w:rPr>
                <w:rFonts w:cs="Arial"/>
                <w:color w:val="FF0000"/>
                <w:sz w:val="21"/>
                <w:szCs w:val="21"/>
              </w:rPr>
            </w:pPr>
          </w:p>
        </w:tc>
        <w:tc>
          <w:tcPr>
            <w:tcW w:w="217" w:type="dxa"/>
          </w:tcPr>
          <w:p w14:paraId="51519BF7" w14:textId="77777777" w:rsidR="002C0FD9" w:rsidRPr="00CA25CF" w:rsidRDefault="002C0FD9" w:rsidP="00CA25CF">
            <w:pPr>
              <w:rPr>
                <w:rFonts w:cs="Arial"/>
                <w:color w:val="FF0000"/>
                <w:sz w:val="21"/>
                <w:szCs w:val="21"/>
              </w:rPr>
            </w:pPr>
          </w:p>
        </w:tc>
        <w:tc>
          <w:tcPr>
            <w:tcW w:w="217" w:type="dxa"/>
          </w:tcPr>
          <w:p w14:paraId="42D92EE4" w14:textId="77777777" w:rsidR="002C0FD9" w:rsidRPr="00CA25CF" w:rsidRDefault="002C0FD9" w:rsidP="00CA25CF">
            <w:pPr>
              <w:rPr>
                <w:rFonts w:cs="Arial"/>
                <w:color w:val="FF0000"/>
                <w:sz w:val="21"/>
                <w:szCs w:val="21"/>
              </w:rPr>
            </w:pPr>
          </w:p>
        </w:tc>
        <w:tc>
          <w:tcPr>
            <w:tcW w:w="217" w:type="dxa"/>
          </w:tcPr>
          <w:p w14:paraId="20E8CAB4" w14:textId="77777777" w:rsidR="002C0FD9" w:rsidRPr="00CA25CF" w:rsidRDefault="002C0FD9" w:rsidP="00CA25CF">
            <w:pPr>
              <w:rPr>
                <w:rFonts w:cs="Arial"/>
                <w:color w:val="FF0000"/>
                <w:sz w:val="21"/>
                <w:szCs w:val="21"/>
              </w:rPr>
            </w:pPr>
          </w:p>
        </w:tc>
        <w:tc>
          <w:tcPr>
            <w:tcW w:w="217" w:type="dxa"/>
          </w:tcPr>
          <w:p w14:paraId="1DB5281F" w14:textId="77777777" w:rsidR="002C0FD9" w:rsidRPr="00CA25CF" w:rsidRDefault="002C0FD9" w:rsidP="00CA25CF">
            <w:pPr>
              <w:rPr>
                <w:rFonts w:cs="Arial"/>
                <w:color w:val="FF0000"/>
                <w:sz w:val="21"/>
                <w:szCs w:val="21"/>
              </w:rPr>
            </w:pPr>
          </w:p>
        </w:tc>
        <w:tc>
          <w:tcPr>
            <w:tcW w:w="217" w:type="dxa"/>
          </w:tcPr>
          <w:p w14:paraId="49D0E0BD" w14:textId="77777777" w:rsidR="002C0FD9" w:rsidRPr="00CA25CF" w:rsidRDefault="002C0FD9" w:rsidP="00CA25CF">
            <w:pPr>
              <w:rPr>
                <w:rFonts w:cs="Arial"/>
                <w:color w:val="FF0000"/>
                <w:sz w:val="21"/>
                <w:szCs w:val="21"/>
              </w:rPr>
            </w:pPr>
          </w:p>
        </w:tc>
        <w:tc>
          <w:tcPr>
            <w:tcW w:w="217" w:type="dxa"/>
          </w:tcPr>
          <w:p w14:paraId="6D4A8454" w14:textId="77777777" w:rsidR="002C0FD9" w:rsidRPr="00CA25CF" w:rsidRDefault="002C0FD9" w:rsidP="00CA25CF">
            <w:pPr>
              <w:rPr>
                <w:rFonts w:cs="Arial"/>
                <w:color w:val="FF0000"/>
                <w:sz w:val="21"/>
                <w:szCs w:val="21"/>
              </w:rPr>
            </w:pPr>
          </w:p>
        </w:tc>
        <w:tc>
          <w:tcPr>
            <w:tcW w:w="217" w:type="dxa"/>
          </w:tcPr>
          <w:p w14:paraId="5EC38A44" w14:textId="77777777" w:rsidR="002C0FD9" w:rsidRPr="00CA25CF" w:rsidRDefault="002C0FD9" w:rsidP="00CA25CF">
            <w:pPr>
              <w:rPr>
                <w:rFonts w:cs="Arial"/>
                <w:color w:val="FF0000"/>
                <w:sz w:val="21"/>
                <w:szCs w:val="21"/>
              </w:rPr>
            </w:pPr>
          </w:p>
        </w:tc>
        <w:tc>
          <w:tcPr>
            <w:tcW w:w="217" w:type="dxa"/>
          </w:tcPr>
          <w:p w14:paraId="0E9C475F" w14:textId="77777777" w:rsidR="002C0FD9" w:rsidRPr="00CA25CF" w:rsidRDefault="002C0FD9" w:rsidP="00CA25CF">
            <w:pPr>
              <w:rPr>
                <w:rFonts w:cs="Arial"/>
                <w:color w:val="FF0000"/>
                <w:sz w:val="21"/>
                <w:szCs w:val="21"/>
              </w:rPr>
            </w:pPr>
          </w:p>
        </w:tc>
        <w:tc>
          <w:tcPr>
            <w:tcW w:w="217" w:type="dxa"/>
          </w:tcPr>
          <w:p w14:paraId="1C6AB3DF" w14:textId="77777777" w:rsidR="002C0FD9" w:rsidRPr="00CA25CF" w:rsidRDefault="002C0FD9" w:rsidP="00CA25CF">
            <w:pPr>
              <w:rPr>
                <w:rFonts w:cs="Arial"/>
                <w:color w:val="FF0000"/>
                <w:sz w:val="21"/>
                <w:szCs w:val="21"/>
              </w:rPr>
            </w:pPr>
          </w:p>
        </w:tc>
        <w:tc>
          <w:tcPr>
            <w:tcW w:w="217" w:type="dxa"/>
          </w:tcPr>
          <w:p w14:paraId="448339DE" w14:textId="77777777" w:rsidR="002C0FD9" w:rsidRPr="00CA25CF" w:rsidRDefault="002C0FD9" w:rsidP="00CA25CF">
            <w:pPr>
              <w:rPr>
                <w:rFonts w:cs="Arial"/>
                <w:color w:val="FF0000"/>
                <w:sz w:val="21"/>
                <w:szCs w:val="21"/>
              </w:rPr>
            </w:pPr>
          </w:p>
        </w:tc>
        <w:tc>
          <w:tcPr>
            <w:tcW w:w="217" w:type="dxa"/>
          </w:tcPr>
          <w:p w14:paraId="794FDAE7" w14:textId="77777777" w:rsidR="002C0FD9" w:rsidRPr="00CA25CF" w:rsidRDefault="002C0FD9" w:rsidP="00CA25CF">
            <w:pPr>
              <w:rPr>
                <w:rFonts w:cs="Arial"/>
                <w:color w:val="FF0000"/>
                <w:sz w:val="21"/>
                <w:szCs w:val="21"/>
              </w:rPr>
            </w:pPr>
          </w:p>
        </w:tc>
        <w:tc>
          <w:tcPr>
            <w:tcW w:w="217" w:type="dxa"/>
          </w:tcPr>
          <w:p w14:paraId="078DC748" w14:textId="77777777" w:rsidR="002C0FD9" w:rsidRPr="00CA25CF" w:rsidRDefault="002C0FD9" w:rsidP="00CA25CF">
            <w:pPr>
              <w:rPr>
                <w:rFonts w:cs="Arial"/>
                <w:color w:val="FF0000"/>
                <w:sz w:val="21"/>
                <w:szCs w:val="21"/>
              </w:rPr>
            </w:pPr>
          </w:p>
        </w:tc>
        <w:tc>
          <w:tcPr>
            <w:tcW w:w="217" w:type="dxa"/>
          </w:tcPr>
          <w:p w14:paraId="6522D644" w14:textId="77777777" w:rsidR="002C0FD9" w:rsidRPr="00CA25CF" w:rsidRDefault="002C0FD9" w:rsidP="00CA25CF">
            <w:pPr>
              <w:rPr>
                <w:rFonts w:cs="Arial"/>
                <w:color w:val="FF0000"/>
                <w:sz w:val="21"/>
                <w:szCs w:val="21"/>
              </w:rPr>
            </w:pPr>
          </w:p>
        </w:tc>
        <w:tc>
          <w:tcPr>
            <w:tcW w:w="217" w:type="dxa"/>
          </w:tcPr>
          <w:p w14:paraId="0482E8FD" w14:textId="77777777" w:rsidR="002C0FD9" w:rsidRPr="00CA25CF" w:rsidRDefault="002C0FD9" w:rsidP="00CA25CF">
            <w:pPr>
              <w:rPr>
                <w:rFonts w:cs="Arial"/>
                <w:color w:val="FF0000"/>
                <w:sz w:val="21"/>
                <w:szCs w:val="21"/>
              </w:rPr>
            </w:pPr>
          </w:p>
        </w:tc>
        <w:tc>
          <w:tcPr>
            <w:tcW w:w="217" w:type="dxa"/>
          </w:tcPr>
          <w:p w14:paraId="2D30F62C" w14:textId="77777777" w:rsidR="002C0FD9" w:rsidRPr="00CA25CF" w:rsidRDefault="002C0FD9" w:rsidP="00CA25CF">
            <w:pPr>
              <w:rPr>
                <w:rFonts w:cs="Arial"/>
                <w:color w:val="FF0000"/>
                <w:sz w:val="21"/>
                <w:szCs w:val="21"/>
              </w:rPr>
            </w:pPr>
          </w:p>
        </w:tc>
        <w:tc>
          <w:tcPr>
            <w:tcW w:w="217" w:type="dxa"/>
          </w:tcPr>
          <w:p w14:paraId="4A60BBAB" w14:textId="77777777" w:rsidR="002C0FD9" w:rsidRPr="00CA25CF" w:rsidRDefault="002C0FD9" w:rsidP="00CA25CF">
            <w:pPr>
              <w:rPr>
                <w:rFonts w:cs="Arial"/>
                <w:color w:val="FF0000"/>
                <w:sz w:val="21"/>
                <w:szCs w:val="21"/>
              </w:rPr>
            </w:pPr>
          </w:p>
        </w:tc>
      </w:tr>
      <w:tr w:rsidR="002C0FD9" w:rsidRPr="00A16219" w14:paraId="2DD3FD8E" w14:textId="77777777" w:rsidTr="002C0FD9">
        <w:trPr>
          <w:trHeight w:val="635"/>
        </w:trPr>
        <w:tc>
          <w:tcPr>
            <w:tcW w:w="515" w:type="dxa"/>
          </w:tcPr>
          <w:p w14:paraId="02B63BF5" w14:textId="77777777" w:rsidR="002C0FD9" w:rsidRPr="00CA25CF" w:rsidRDefault="002C0FD9" w:rsidP="00CA25CF">
            <w:pPr>
              <w:rPr>
                <w:rFonts w:cs="Arial"/>
                <w:color w:val="FF0000"/>
                <w:sz w:val="21"/>
                <w:szCs w:val="21"/>
              </w:rPr>
            </w:pPr>
          </w:p>
        </w:tc>
        <w:tc>
          <w:tcPr>
            <w:tcW w:w="217" w:type="dxa"/>
          </w:tcPr>
          <w:p w14:paraId="2426DC2E" w14:textId="77777777" w:rsidR="002C0FD9" w:rsidRPr="00CA25CF" w:rsidRDefault="002C0FD9" w:rsidP="00CA25CF">
            <w:pPr>
              <w:rPr>
                <w:rFonts w:cs="Arial"/>
                <w:color w:val="FF0000"/>
                <w:sz w:val="21"/>
                <w:szCs w:val="21"/>
              </w:rPr>
            </w:pPr>
          </w:p>
        </w:tc>
        <w:tc>
          <w:tcPr>
            <w:tcW w:w="217" w:type="dxa"/>
          </w:tcPr>
          <w:p w14:paraId="01D990B5" w14:textId="77777777" w:rsidR="002C0FD9" w:rsidRPr="00CA25CF" w:rsidRDefault="002C0FD9" w:rsidP="00CA25CF">
            <w:pPr>
              <w:rPr>
                <w:rFonts w:cs="Arial"/>
                <w:color w:val="FF0000"/>
                <w:sz w:val="21"/>
                <w:szCs w:val="21"/>
              </w:rPr>
            </w:pPr>
          </w:p>
        </w:tc>
        <w:tc>
          <w:tcPr>
            <w:tcW w:w="217" w:type="dxa"/>
          </w:tcPr>
          <w:p w14:paraId="12911885" w14:textId="77777777" w:rsidR="002C0FD9" w:rsidRPr="00CA25CF" w:rsidRDefault="002C0FD9" w:rsidP="00CA25CF">
            <w:pPr>
              <w:rPr>
                <w:rFonts w:cs="Arial"/>
                <w:color w:val="FF0000"/>
                <w:sz w:val="21"/>
                <w:szCs w:val="21"/>
              </w:rPr>
            </w:pPr>
          </w:p>
        </w:tc>
        <w:tc>
          <w:tcPr>
            <w:tcW w:w="217" w:type="dxa"/>
          </w:tcPr>
          <w:p w14:paraId="63665299" w14:textId="77777777" w:rsidR="002C0FD9" w:rsidRPr="00CA25CF" w:rsidRDefault="002C0FD9" w:rsidP="00CA25CF">
            <w:pPr>
              <w:rPr>
                <w:rFonts w:cs="Arial"/>
                <w:color w:val="FF0000"/>
                <w:sz w:val="21"/>
                <w:szCs w:val="21"/>
              </w:rPr>
            </w:pPr>
          </w:p>
        </w:tc>
        <w:tc>
          <w:tcPr>
            <w:tcW w:w="217" w:type="dxa"/>
          </w:tcPr>
          <w:p w14:paraId="677BB5D6" w14:textId="77777777" w:rsidR="002C0FD9" w:rsidRPr="00CA25CF" w:rsidRDefault="002C0FD9" w:rsidP="00CA25CF">
            <w:pPr>
              <w:rPr>
                <w:rFonts w:cs="Arial"/>
                <w:color w:val="FF0000"/>
                <w:sz w:val="21"/>
                <w:szCs w:val="21"/>
              </w:rPr>
            </w:pPr>
          </w:p>
        </w:tc>
        <w:tc>
          <w:tcPr>
            <w:tcW w:w="217" w:type="dxa"/>
          </w:tcPr>
          <w:p w14:paraId="0FFBAF0F" w14:textId="77777777" w:rsidR="002C0FD9" w:rsidRPr="00CA25CF" w:rsidRDefault="002C0FD9" w:rsidP="00CA25CF">
            <w:pPr>
              <w:rPr>
                <w:rFonts w:cs="Arial"/>
                <w:color w:val="FF0000"/>
                <w:sz w:val="21"/>
                <w:szCs w:val="21"/>
              </w:rPr>
            </w:pPr>
          </w:p>
        </w:tc>
        <w:tc>
          <w:tcPr>
            <w:tcW w:w="217" w:type="dxa"/>
          </w:tcPr>
          <w:p w14:paraId="45777D88" w14:textId="77777777" w:rsidR="002C0FD9" w:rsidRPr="00CA25CF" w:rsidRDefault="002C0FD9" w:rsidP="00CA25CF">
            <w:pPr>
              <w:rPr>
                <w:rFonts w:cs="Arial"/>
                <w:color w:val="FF0000"/>
                <w:sz w:val="21"/>
                <w:szCs w:val="21"/>
              </w:rPr>
            </w:pPr>
          </w:p>
        </w:tc>
        <w:tc>
          <w:tcPr>
            <w:tcW w:w="217" w:type="dxa"/>
          </w:tcPr>
          <w:p w14:paraId="1417B542" w14:textId="77777777" w:rsidR="002C0FD9" w:rsidRPr="00CA25CF" w:rsidRDefault="002C0FD9" w:rsidP="00CA25CF">
            <w:pPr>
              <w:rPr>
                <w:rFonts w:cs="Arial"/>
                <w:color w:val="FF0000"/>
                <w:sz w:val="21"/>
                <w:szCs w:val="21"/>
              </w:rPr>
            </w:pPr>
          </w:p>
        </w:tc>
        <w:tc>
          <w:tcPr>
            <w:tcW w:w="217" w:type="dxa"/>
          </w:tcPr>
          <w:p w14:paraId="6C915933" w14:textId="77777777" w:rsidR="002C0FD9" w:rsidRPr="00CA25CF" w:rsidRDefault="002C0FD9" w:rsidP="00CA25CF">
            <w:pPr>
              <w:rPr>
                <w:rFonts w:cs="Arial"/>
                <w:color w:val="FF0000"/>
                <w:sz w:val="21"/>
                <w:szCs w:val="21"/>
              </w:rPr>
            </w:pPr>
          </w:p>
        </w:tc>
        <w:tc>
          <w:tcPr>
            <w:tcW w:w="217" w:type="dxa"/>
          </w:tcPr>
          <w:p w14:paraId="1F17EA86" w14:textId="77777777" w:rsidR="002C0FD9" w:rsidRPr="00CA25CF" w:rsidRDefault="002C0FD9" w:rsidP="00CA25CF">
            <w:pPr>
              <w:rPr>
                <w:rFonts w:cs="Arial"/>
                <w:color w:val="FF0000"/>
                <w:sz w:val="21"/>
                <w:szCs w:val="21"/>
              </w:rPr>
            </w:pPr>
          </w:p>
        </w:tc>
        <w:tc>
          <w:tcPr>
            <w:tcW w:w="217" w:type="dxa"/>
          </w:tcPr>
          <w:p w14:paraId="738CC6DB" w14:textId="77777777" w:rsidR="002C0FD9" w:rsidRPr="00CA25CF" w:rsidRDefault="002C0FD9" w:rsidP="00CA25CF">
            <w:pPr>
              <w:rPr>
                <w:rFonts w:cs="Arial"/>
                <w:color w:val="FF0000"/>
                <w:sz w:val="21"/>
                <w:szCs w:val="21"/>
              </w:rPr>
            </w:pPr>
          </w:p>
        </w:tc>
        <w:tc>
          <w:tcPr>
            <w:tcW w:w="217" w:type="dxa"/>
          </w:tcPr>
          <w:p w14:paraId="7AB5B7E4" w14:textId="77777777" w:rsidR="002C0FD9" w:rsidRPr="00CA25CF" w:rsidRDefault="002C0FD9" w:rsidP="00CA25CF">
            <w:pPr>
              <w:rPr>
                <w:rFonts w:cs="Arial"/>
                <w:color w:val="FF0000"/>
                <w:sz w:val="21"/>
                <w:szCs w:val="21"/>
              </w:rPr>
            </w:pPr>
          </w:p>
        </w:tc>
        <w:tc>
          <w:tcPr>
            <w:tcW w:w="217" w:type="dxa"/>
          </w:tcPr>
          <w:p w14:paraId="285C9B18" w14:textId="77777777" w:rsidR="002C0FD9" w:rsidRPr="00CA25CF" w:rsidRDefault="002C0FD9" w:rsidP="00CA25CF">
            <w:pPr>
              <w:rPr>
                <w:rFonts w:cs="Arial"/>
                <w:color w:val="FF0000"/>
                <w:sz w:val="21"/>
                <w:szCs w:val="21"/>
              </w:rPr>
            </w:pPr>
          </w:p>
        </w:tc>
        <w:tc>
          <w:tcPr>
            <w:tcW w:w="217" w:type="dxa"/>
          </w:tcPr>
          <w:p w14:paraId="03B6A58A" w14:textId="77777777" w:rsidR="002C0FD9" w:rsidRPr="00CA25CF" w:rsidRDefault="002C0FD9" w:rsidP="00CA25CF">
            <w:pPr>
              <w:rPr>
                <w:rFonts w:cs="Arial"/>
                <w:color w:val="FF0000"/>
                <w:sz w:val="21"/>
                <w:szCs w:val="21"/>
              </w:rPr>
            </w:pPr>
          </w:p>
        </w:tc>
        <w:tc>
          <w:tcPr>
            <w:tcW w:w="217" w:type="dxa"/>
          </w:tcPr>
          <w:p w14:paraId="10F94CFE" w14:textId="77777777" w:rsidR="002C0FD9" w:rsidRPr="00CA25CF" w:rsidRDefault="002C0FD9" w:rsidP="00CA25CF">
            <w:pPr>
              <w:rPr>
                <w:rFonts w:cs="Arial"/>
                <w:color w:val="FF0000"/>
                <w:sz w:val="21"/>
                <w:szCs w:val="21"/>
              </w:rPr>
            </w:pPr>
          </w:p>
        </w:tc>
        <w:tc>
          <w:tcPr>
            <w:tcW w:w="217" w:type="dxa"/>
          </w:tcPr>
          <w:p w14:paraId="470B660B" w14:textId="77777777" w:rsidR="002C0FD9" w:rsidRPr="00CA25CF" w:rsidRDefault="002C0FD9" w:rsidP="00CA25CF">
            <w:pPr>
              <w:rPr>
                <w:rFonts w:cs="Arial"/>
                <w:color w:val="FF0000"/>
                <w:sz w:val="21"/>
                <w:szCs w:val="21"/>
              </w:rPr>
            </w:pPr>
          </w:p>
        </w:tc>
        <w:tc>
          <w:tcPr>
            <w:tcW w:w="217" w:type="dxa"/>
          </w:tcPr>
          <w:p w14:paraId="1B568F90" w14:textId="77777777" w:rsidR="002C0FD9" w:rsidRPr="00CA25CF" w:rsidRDefault="002C0FD9" w:rsidP="00CA25CF">
            <w:pPr>
              <w:rPr>
                <w:rFonts w:cs="Arial"/>
                <w:color w:val="FF0000"/>
                <w:sz w:val="21"/>
                <w:szCs w:val="21"/>
              </w:rPr>
            </w:pPr>
          </w:p>
        </w:tc>
        <w:tc>
          <w:tcPr>
            <w:tcW w:w="217" w:type="dxa"/>
          </w:tcPr>
          <w:p w14:paraId="62CE3970" w14:textId="77777777" w:rsidR="002C0FD9" w:rsidRPr="00CA25CF" w:rsidRDefault="002C0FD9" w:rsidP="00CA25CF">
            <w:pPr>
              <w:rPr>
                <w:rFonts w:cs="Arial"/>
                <w:color w:val="FF0000"/>
                <w:sz w:val="21"/>
                <w:szCs w:val="21"/>
              </w:rPr>
            </w:pPr>
          </w:p>
        </w:tc>
        <w:tc>
          <w:tcPr>
            <w:tcW w:w="217" w:type="dxa"/>
          </w:tcPr>
          <w:p w14:paraId="1C7E6B63" w14:textId="77777777" w:rsidR="002C0FD9" w:rsidRPr="00CA25CF" w:rsidRDefault="002C0FD9" w:rsidP="00CA25CF">
            <w:pPr>
              <w:rPr>
                <w:rFonts w:cs="Arial"/>
                <w:color w:val="FF0000"/>
                <w:sz w:val="21"/>
                <w:szCs w:val="21"/>
              </w:rPr>
            </w:pPr>
          </w:p>
        </w:tc>
        <w:tc>
          <w:tcPr>
            <w:tcW w:w="217" w:type="dxa"/>
          </w:tcPr>
          <w:p w14:paraId="38EA6572" w14:textId="77777777" w:rsidR="002C0FD9" w:rsidRPr="00CA25CF" w:rsidRDefault="002C0FD9" w:rsidP="00CA25CF">
            <w:pPr>
              <w:rPr>
                <w:rFonts w:cs="Arial"/>
                <w:color w:val="FF0000"/>
                <w:sz w:val="21"/>
                <w:szCs w:val="21"/>
              </w:rPr>
            </w:pPr>
          </w:p>
        </w:tc>
        <w:tc>
          <w:tcPr>
            <w:tcW w:w="217" w:type="dxa"/>
          </w:tcPr>
          <w:p w14:paraId="13428DE6" w14:textId="77777777" w:rsidR="002C0FD9" w:rsidRPr="00CA25CF" w:rsidRDefault="002C0FD9" w:rsidP="00CA25CF">
            <w:pPr>
              <w:rPr>
                <w:rFonts w:cs="Arial"/>
                <w:color w:val="FF0000"/>
                <w:sz w:val="21"/>
                <w:szCs w:val="21"/>
              </w:rPr>
            </w:pPr>
          </w:p>
        </w:tc>
        <w:tc>
          <w:tcPr>
            <w:tcW w:w="217" w:type="dxa"/>
          </w:tcPr>
          <w:p w14:paraId="7B4A6EF7" w14:textId="77777777" w:rsidR="002C0FD9" w:rsidRPr="00CA25CF" w:rsidRDefault="002C0FD9" w:rsidP="00CA25CF">
            <w:pPr>
              <w:rPr>
                <w:rFonts w:cs="Arial"/>
                <w:color w:val="FF0000"/>
                <w:sz w:val="21"/>
                <w:szCs w:val="21"/>
              </w:rPr>
            </w:pPr>
          </w:p>
        </w:tc>
        <w:tc>
          <w:tcPr>
            <w:tcW w:w="217" w:type="dxa"/>
          </w:tcPr>
          <w:p w14:paraId="719005B2" w14:textId="77777777" w:rsidR="002C0FD9" w:rsidRPr="00CA25CF" w:rsidRDefault="002C0FD9" w:rsidP="00CA25CF">
            <w:pPr>
              <w:rPr>
                <w:rFonts w:cs="Arial"/>
                <w:color w:val="FF0000"/>
                <w:sz w:val="21"/>
                <w:szCs w:val="21"/>
              </w:rPr>
            </w:pPr>
          </w:p>
        </w:tc>
        <w:tc>
          <w:tcPr>
            <w:tcW w:w="217" w:type="dxa"/>
          </w:tcPr>
          <w:p w14:paraId="3D376331" w14:textId="77777777" w:rsidR="002C0FD9" w:rsidRPr="00CA25CF" w:rsidRDefault="002C0FD9" w:rsidP="00CA25CF">
            <w:pPr>
              <w:rPr>
                <w:rFonts w:cs="Arial"/>
                <w:color w:val="FF0000"/>
                <w:sz w:val="21"/>
                <w:szCs w:val="21"/>
              </w:rPr>
            </w:pPr>
          </w:p>
        </w:tc>
        <w:tc>
          <w:tcPr>
            <w:tcW w:w="217" w:type="dxa"/>
          </w:tcPr>
          <w:p w14:paraId="10E52D70" w14:textId="77777777" w:rsidR="002C0FD9" w:rsidRPr="00CA25CF" w:rsidRDefault="002C0FD9" w:rsidP="00CA25CF">
            <w:pPr>
              <w:rPr>
                <w:rFonts w:cs="Arial"/>
                <w:color w:val="FF0000"/>
                <w:sz w:val="21"/>
                <w:szCs w:val="21"/>
              </w:rPr>
            </w:pPr>
          </w:p>
        </w:tc>
        <w:tc>
          <w:tcPr>
            <w:tcW w:w="217" w:type="dxa"/>
          </w:tcPr>
          <w:p w14:paraId="430CE4F9" w14:textId="77777777" w:rsidR="002C0FD9" w:rsidRPr="00CA25CF" w:rsidRDefault="002C0FD9" w:rsidP="00CA25CF">
            <w:pPr>
              <w:rPr>
                <w:rFonts w:cs="Arial"/>
                <w:color w:val="FF0000"/>
                <w:sz w:val="21"/>
                <w:szCs w:val="21"/>
              </w:rPr>
            </w:pPr>
          </w:p>
        </w:tc>
        <w:tc>
          <w:tcPr>
            <w:tcW w:w="217" w:type="dxa"/>
          </w:tcPr>
          <w:p w14:paraId="60B902A4" w14:textId="77777777" w:rsidR="002C0FD9" w:rsidRPr="00CA25CF" w:rsidRDefault="002C0FD9" w:rsidP="00CA25CF">
            <w:pPr>
              <w:rPr>
                <w:rFonts w:cs="Arial"/>
                <w:color w:val="FF0000"/>
                <w:sz w:val="21"/>
                <w:szCs w:val="21"/>
              </w:rPr>
            </w:pPr>
          </w:p>
        </w:tc>
        <w:tc>
          <w:tcPr>
            <w:tcW w:w="217" w:type="dxa"/>
          </w:tcPr>
          <w:p w14:paraId="34A733C8" w14:textId="77777777" w:rsidR="002C0FD9" w:rsidRPr="00CA25CF" w:rsidRDefault="002C0FD9" w:rsidP="00CA25CF">
            <w:pPr>
              <w:rPr>
                <w:rFonts w:cs="Arial"/>
                <w:color w:val="FF0000"/>
                <w:sz w:val="21"/>
                <w:szCs w:val="21"/>
              </w:rPr>
            </w:pPr>
          </w:p>
        </w:tc>
        <w:tc>
          <w:tcPr>
            <w:tcW w:w="217" w:type="dxa"/>
          </w:tcPr>
          <w:p w14:paraId="0D7A5035" w14:textId="77777777" w:rsidR="002C0FD9" w:rsidRPr="00CA25CF" w:rsidRDefault="002C0FD9" w:rsidP="00CA25CF">
            <w:pPr>
              <w:rPr>
                <w:rFonts w:cs="Arial"/>
                <w:color w:val="FF0000"/>
                <w:sz w:val="21"/>
                <w:szCs w:val="21"/>
              </w:rPr>
            </w:pPr>
          </w:p>
        </w:tc>
        <w:tc>
          <w:tcPr>
            <w:tcW w:w="217" w:type="dxa"/>
          </w:tcPr>
          <w:p w14:paraId="2863BED9" w14:textId="77777777" w:rsidR="002C0FD9" w:rsidRPr="00CA25CF" w:rsidRDefault="002C0FD9" w:rsidP="00CA25CF">
            <w:pPr>
              <w:rPr>
                <w:rFonts w:cs="Arial"/>
                <w:color w:val="FF0000"/>
                <w:sz w:val="21"/>
                <w:szCs w:val="21"/>
              </w:rPr>
            </w:pPr>
          </w:p>
        </w:tc>
        <w:tc>
          <w:tcPr>
            <w:tcW w:w="217" w:type="dxa"/>
          </w:tcPr>
          <w:p w14:paraId="159D4A26" w14:textId="77777777" w:rsidR="002C0FD9" w:rsidRPr="00CA25CF" w:rsidRDefault="002C0FD9" w:rsidP="00CA25CF">
            <w:pPr>
              <w:rPr>
                <w:rFonts w:cs="Arial"/>
                <w:color w:val="FF0000"/>
                <w:sz w:val="21"/>
                <w:szCs w:val="21"/>
              </w:rPr>
            </w:pPr>
          </w:p>
        </w:tc>
        <w:tc>
          <w:tcPr>
            <w:tcW w:w="217" w:type="dxa"/>
          </w:tcPr>
          <w:p w14:paraId="4E3259F0" w14:textId="77777777" w:rsidR="002C0FD9" w:rsidRPr="00CA25CF" w:rsidRDefault="002C0FD9" w:rsidP="00CA25CF">
            <w:pPr>
              <w:rPr>
                <w:rFonts w:cs="Arial"/>
                <w:color w:val="FF0000"/>
                <w:sz w:val="21"/>
                <w:szCs w:val="21"/>
              </w:rPr>
            </w:pPr>
          </w:p>
        </w:tc>
        <w:tc>
          <w:tcPr>
            <w:tcW w:w="217" w:type="dxa"/>
          </w:tcPr>
          <w:p w14:paraId="7CB1269F" w14:textId="77777777" w:rsidR="002C0FD9" w:rsidRPr="00CA25CF" w:rsidRDefault="002C0FD9" w:rsidP="00CA25CF">
            <w:pPr>
              <w:rPr>
                <w:rFonts w:cs="Arial"/>
                <w:color w:val="FF0000"/>
                <w:sz w:val="21"/>
                <w:szCs w:val="21"/>
              </w:rPr>
            </w:pPr>
          </w:p>
        </w:tc>
        <w:tc>
          <w:tcPr>
            <w:tcW w:w="217" w:type="dxa"/>
          </w:tcPr>
          <w:p w14:paraId="3323AB2E" w14:textId="77777777" w:rsidR="002C0FD9" w:rsidRPr="00CA25CF" w:rsidRDefault="002C0FD9" w:rsidP="00CA25CF">
            <w:pPr>
              <w:rPr>
                <w:rFonts w:cs="Arial"/>
                <w:color w:val="FF0000"/>
                <w:sz w:val="21"/>
                <w:szCs w:val="21"/>
              </w:rPr>
            </w:pPr>
          </w:p>
        </w:tc>
        <w:tc>
          <w:tcPr>
            <w:tcW w:w="217" w:type="dxa"/>
          </w:tcPr>
          <w:p w14:paraId="7A6AE27E" w14:textId="77777777" w:rsidR="002C0FD9" w:rsidRPr="00CA25CF" w:rsidRDefault="002C0FD9" w:rsidP="00CA25CF">
            <w:pPr>
              <w:rPr>
                <w:rFonts w:cs="Arial"/>
                <w:color w:val="FF0000"/>
                <w:sz w:val="21"/>
                <w:szCs w:val="21"/>
              </w:rPr>
            </w:pPr>
          </w:p>
        </w:tc>
        <w:tc>
          <w:tcPr>
            <w:tcW w:w="217" w:type="dxa"/>
          </w:tcPr>
          <w:p w14:paraId="717FF35B" w14:textId="77777777" w:rsidR="002C0FD9" w:rsidRPr="00CA25CF" w:rsidRDefault="002C0FD9" w:rsidP="00CA25CF">
            <w:pPr>
              <w:rPr>
                <w:rFonts w:cs="Arial"/>
                <w:color w:val="FF0000"/>
                <w:sz w:val="21"/>
                <w:szCs w:val="21"/>
              </w:rPr>
            </w:pPr>
          </w:p>
        </w:tc>
        <w:tc>
          <w:tcPr>
            <w:tcW w:w="217" w:type="dxa"/>
          </w:tcPr>
          <w:p w14:paraId="54A7E65D" w14:textId="77777777" w:rsidR="002C0FD9" w:rsidRPr="00CA25CF" w:rsidRDefault="002C0FD9" w:rsidP="00CA25CF">
            <w:pPr>
              <w:rPr>
                <w:rFonts w:cs="Arial"/>
                <w:color w:val="FF0000"/>
                <w:sz w:val="21"/>
                <w:szCs w:val="21"/>
              </w:rPr>
            </w:pPr>
          </w:p>
        </w:tc>
        <w:tc>
          <w:tcPr>
            <w:tcW w:w="217" w:type="dxa"/>
          </w:tcPr>
          <w:p w14:paraId="483D64D0" w14:textId="77777777" w:rsidR="002C0FD9" w:rsidRPr="00CA25CF" w:rsidRDefault="002C0FD9" w:rsidP="00CA25CF">
            <w:pPr>
              <w:rPr>
                <w:rFonts w:cs="Arial"/>
                <w:color w:val="FF0000"/>
                <w:sz w:val="21"/>
                <w:szCs w:val="21"/>
              </w:rPr>
            </w:pPr>
          </w:p>
        </w:tc>
        <w:tc>
          <w:tcPr>
            <w:tcW w:w="217" w:type="dxa"/>
          </w:tcPr>
          <w:p w14:paraId="76515008" w14:textId="77777777" w:rsidR="002C0FD9" w:rsidRPr="00CA25CF" w:rsidRDefault="002C0FD9" w:rsidP="00CA25CF">
            <w:pPr>
              <w:rPr>
                <w:rFonts w:cs="Arial"/>
                <w:color w:val="FF0000"/>
                <w:sz w:val="21"/>
                <w:szCs w:val="21"/>
              </w:rPr>
            </w:pPr>
          </w:p>
        </w:tc>
        <w:tc>
          <w:tcPr>
            <w:tcW w:w="217" w:type="dxa"/>
          </w:tcPr>
          <w:p w14:paraId="28784642" w14:textId="77777777" w:rsidR="002C0FD9" w:rsidRPr="00CA25CF" w:rsidRDefault="002C0FD9" w:rsidP="00CA25CF">
            <w:pPr>
              <w:rPr>
                <w:rFonts w:cs="Arial"/>
                <w:color w:val="FF0000"/>
                <w:sz w:val="21"/>
                <w:szCs w:val="21"/>
              </w:rPr>
            </w:pPr>
          </w:p>
        </w:tc>
        <w:tc>
          <w:tcPr>
            <w:tcW w:w="217" w:type="dxa"/>
          </w:tcPr>
          <w:p w14:paraId="292C157D" w14:textId="77777777" w:rsidR="002C0FD9" w:rsidRPr="00CA25CF" w:rsidRDefault="002C0FD9" w:rsidP="00CA25CF">
            <w:pPr>
              <w:rPr>
                <w:rFonts w:cs="Arial"/>
                <w:color w:val="FF0000"/>
                <w:sz w:val="21"/>
                <w:szCs w:val="21"/>
              </w:rPr>
            </w:pPr>
          </w:p>
        </w:tc>
        <w:tc>
          <w:tcPr>
            <w:tcW w:w="217" w:type="dxa"/>
          </w:tcPr>
          <w:p w14:paraId="1B412924" w14:textId="77777777" w:rsidR="002C0FD9" w:rsidRPr="00CA25CF" w:rsidRDefault="002C0FD9" w:rsidP="00CA25CF">
            <w:pPr>
              <w:rPr>
                <w:rFonts w:cs="Arial"/>
                <w:color w:val="FF0000"/>
                <w:sz w:val="21"/>
                <w:szCs w:val="21"/>
              </w:rPr>
            </w:pPr>
          </w:p>
        </w:tc>
      </w:tr>
      <w:tr w:rsidR="002C0FD9" w:rsidRPr="00A16219" w14:paraId="14355707" w14:textId="77777777" w:rsidTr="002C0FD9">
        <w:trPr>
          <w:trHeight w:val="635"/>
        </w:trPr>
        <w:tc>
          <w:tcPr>
            <w:tcW w:w="515" w:type="dxa"/>
          </w:tcPr>
          <w:p w14:paraId="38B30242" w14:textId="77777777" w:rsidR="002C0FD9" w:rsidRPr="00CA25CF" w:rsidRDefault="002C0FD9" w:rsidP="00CA25CF">
            <w:pPr>
              <w:rPr>
                <w:rFonts w:cs="Arial"/>
                <w:color w:val="FF0000"/>
                <w:sz w:val="21"/>
                <w:szCs w:val="21"/>
              </w:rPr>
            </w:pPr>
          </w:p>
        </w:tc>
        <w:tc>
          <w:tcPr>
            <w:tcW w:w="217" w:type="dxa"/>
          </w:tcPr>
          <w:p w14:paraId="466A775E" w14:textId="77777777" w:rsidR="002C0FD9" w:rsidRPr="00CA25CF" w:rsidRDefault="002C0FD9" w:rsidP="00CA25CF">
            <w:pPr>
              <w:rPr>
                <w:rFonts w:cs="Arial"/>
                <w:color w:val="FF0000"/>
                <w:sz w:val="21"/>
                <w:szCs w:val="21"/>
              </w:rPr>
            </w:pPr>
          </w:p>
        </w:tc>
        <w:tc>
          <w:tcPr>
            <w:tcW w:w="217" w:type="dxa"/>
          </w:tcPr>
          <w:p w14:paraId="7D721F5F" w14:textId="77777777" w:rsidR="002C0FD9" w:rsidRPr="00CA25CF" w:rsidRDefault="002C0FD9" w:rsidP="00CA25CF">
            <w:pPr>
              <w:rPr>
                <w:rFonts w:cs="Arial"/>
                <w:color w:val="FF0000"/>
                <w:sz w:val="21"/>
                <w:szCs w:val="21"/>
              </w:rPr>
            </w:pPr>
          </w:p>
        </w:tc>
        <w:tc>
          <w:tcPr>
            <w:tcW w:w="217" w:type="dxa"/>
          </w:tcPr>
          <w:p w14:paraId="1E2A71A1" w14:textId="77777777" w:rsidR="002C0FD9" w:rsidRPr="00CA25CF" w:rsidRDefault="002C0FD9" w:rsidP="00CA25CF">
            <w:pPr>
              <w:rPr>
                <w:rFonts w:cs="Arial"/>
                <w:color w:val="FF0000"/>
                <w:sz w:val="21"/>
                <w:szCs w:val="21"/>
              </w:rPr>
            </w:pPr>
          </w:p>
        </w:tc>
        <w:tc>
          <w:tcPr>
            <w:tcW w:w="217" w:type="dxa"/>
          </w:tcPr>
          <w:p w14:paraId="5D55F98A" w14:textId="77777777" w:rsidR="002C0FD9" w:rsidRPr="00CA25CF" w:rsidRDefault="002C0FD9" w:rsidP="00CA25CF">
            <w:pPr>
              <w:rPr>
                <w:rFonts w:cs="Arial"/>
                <w:color w:val="FF0000"/>
                <w:sz w:val="21"/>
                <w:szCs w:val="21"/>
              </w:rPr>
            </w:pPr>
          </w:p>
        </w:tc>
        <w:tc>
          <w:tcPr>
            <w:tcW w:w="217" w:type="dxa"/>
          </w:tcPr>
          <w:p w14:paraId="46530AFC" w14:textId="77777777" w:rsidR="002C0FD9" w:rsidRPr="00CA25CF" w:rsidRDefault="002C0FD9" w:rsidP="00CA25CF">
            <w:pPr>
              <w:rPr>
                <w:rFonts w:cs="Arial"/>
                <w:color w:val="FF0000"/>
                <w:sz w:val="21"/>
                <w:szCs w:val="21"/>
              </w:rPr>
            </w:pPr>
          </w:p>
        </w:tc>
        <w:tc>
          <w:tcPr>
            <w:tcW w:w="217" w:type="dxa"/>
          </w:tcPr>
          <w:p w14:paraId="7AD935F1" w14:textId="77777777" w:rsidR="002C0FD9" w:rsidRPr="00CA25CF" w:rsidRDefault="002C0FD9" w:rsidP="00CA25CF">
            <w:pPr>
              <w:rPr>
                <w:rFonts w:cs="Arial"/>
                <w:color w:val="FF0000"/>
                <w:sz w:val="21"/>
                <w:szCs w:val="21"/>
              </w:rPr>
            </w:pPr>
          </w:p>
        </w:tc>
        <w:tc>
          <w:tcPr>
            <w:tcW w:w="217" w:type="dxa"/>
          </w:tcPr>
          <w:p w14:paraId="79F75AEE" w14:textId="77777777" w:rsidR="002C0FD9" w:rsidRPr="00CA25CF" w:rsidRDefault="002C0FD9" w:rsidP="00CA25CF">
            <w:pPr>
              <w:rPr>
                <w:rFonts w:cs="Arial"/>
                <w:color w:val="FF0000"/>
                <w:sz w:val="21"/>
                <w:szCs w:val="21"/>
              </w:rPr>
            </w:pPr>
          </w:p>
        </w:tc>
        <w:tc>
          <w:tcPr>
            <w:tcW w:w="217" w:type="dxa"/>
          </w:tcPr>
          <w:p w14:paraId="21684A62" w14:textId="77777777" w:rsidR="002C0FD9" w:rsidRPr="00CA25CF" w:rsidRDefault="002C0FD9" w:rsidP="00CA25CF">
            <w:pPr>
              <w:rPr>
                <w:rFonts w:cs="Arial"/>
                <w:color w:val="FF0000"/>
                <w:sz w:val="21"/>
                <w:szCs w:val="21"/>
              </w:rPr>
            </w:pPr>
          </w:p>
        </w:tc>
        <w:tc>
          <w:tcPr>
            <w:tcW w:w="217" w:type="dxa"/>
          </w:tcPr>
          <w:p w14:paraId="38FA5710" w14:textId="77777777" w:rsidR="002C0FD9" w:rsidRPr="00CA25CF" w:rsidRDefault="002C0FD9" w:rsidP="00CA25CF">
            <w:pPr>
              <w:rPr>
                <w:rFonts w:cs="Arial"/>
                <w:color w:val="FF0000"/>
                <w:sz w:val="21"/>
                <w:szCs w:val="21"/>
              </w:rPr>
            </w:pPr>
          </w:p>
        </w:tc>
        <w:tc>
          <w:tcPr>
            <w:tcW w:w="217" w:type="dxa"/>
          </w:tcPr>
          <w:p w14:paraId="76EAC2E5" w14:textId="77777777" w:rsidR="002C0FD9" w:rsidRPr="00CA25CF" w:rsidRDefault="002C0FD9" w:rsidP="00CA25CF">
            <w:pPr>
              <w:rPr>
                <w:rFonts w:cs="Arial"/>
                <w:color w:val="FF0000"/>
                <w:sz w:val="21"/>
                <w:szCs w:val="21"/>
              </w:rPr>
            </w:pPr>
          </w:p>
        </w:tc>
        <w:tc>
          <w:tcPr>
            <w:tcW w:w="217" w:type="dxa"/>
          </w:tcPr>
          <w:p w14:paraId="2743D357" w14:textId="77777777" w:rsidR="002C0FD9" w:rsidRPr="00CA25CF" w:rsidRDefault="002C0FD9" w:rsidP="00CA25CF">
            <w:pPr>
              <w:rPr>
                <w:rFonts w:cs="Arial"/>
                <w:color w:val="FF0000"/>
                <w:sz w:val="21"/>
                <w:szCs w:val="21"/>
              </w:rPr>
            </w:pPr>
          </w:p>
        </w:tc>
        <w:tc>
          <w:tcPr>
            <w:tcW w:w="217" w:type="dxa"/>
          </w:tcPr>
          <w:p w14:paraId="700F65BA" w14:textId="77777777" w:rsidR="002C0FD9" w:rsidRPr="00CA25CF" w:rsidRDefault="002C0FD9" w:rsidP="00CA25CF">
            <w:pPr>
              <w:rPr>
                <w:rFonts w:cs="Arial"/>
                <w:color w:val="FF0000"/>
                <w:sz w:val="21"/>
                <w:szCs w:val="21"/>
              </w:rPr>
            </w:pPr>
          </w:p>
        </w:tc>
        <w:tc>
          <w:tcPr>
            <w:tcW w:w="217" w:type="dxa"/>
          </w:tcPr>
          <w:p w14:paraId="19BE8875" w14:textId="77777777" w:rsidR="002C0FD9" w:rsidRPr="00CA25CF" w:rsidRDefault="002C0FD9" w:rsidP="00CA25CF">
            <w:pPr>
              <w:rPr>
                <w:rFonts w:cs="Arial"/>
                <w:color w:val="FF0000"/>
                <w:sz w:val="21"/>
                <w:szCs w:val="21"/>
              </w:rPr>
            </w:pPr>
          </w:p>
        </w:tc>
        <w:tc>
          <w:tcPr>
            <w:tcW w:w="217" w:type="dxa"/>
          </w:tcPr>
          <w:p w14:paraId="3D85BBF5" w14:textId="77777777" w:rsidR="002C0FD9" w:rsidRPr="00CA25CF" w:rsidRDefault="002C0FD9" w:rsidP="00CA25CF">
            <w:pPr>
              <w:rPr>
                <w:rFonts w:cs="Arial"/>
                <w:color w:val="FF0000"/>
                <w:sz w:val="21"/>
                <w:szCs w:val="21"/>
              </w:rPr>
            </w:pPr>
          </w:p>
        </w:tc>
        <w:tc>
          <w:tcPr>
            <w:tcW w:w="217" w:type="dxa"/>
          </w:tcPr>
          <w:p w14:paraId="4E887C78" w14:textId="77777777" w:rsidR="002C0FD9" w:rsidRPr="00CA25CF" w:rsidRDefault="002C0FD9" w:rsidP="00CA25CF">
            <w:pPr>
              <w:rPr>
                <w:rFonts w:cs="Arial"/>
                <w:color w:val="FF0000"/>
                <w:sz w:val="21"/>
                <w:szCs w:val="21"/>
              </w:rPr>
            </w:pPr>
          </w:p>
        </w:tc>
        <w:tc>
          <w:tcPr>
            <w:tcW w:w="217" w:type="dxa"/>
          </w:tcPr>
          <w:p w14:paraId="651BF8F5" w14:textId="77777777" w:rsidR="002C0FD9" w:rsidRPr="00CA25CF" w:rsidRDefault="002C0FD9" w:rsidP="00CA25CF">
            <w:pPr>
              <w:rPr>
                <w:rFonts w:cs="Arial"/>
                <w:color w:val="FF0000"/>
                <w:sz w:val="21"/>
                <w:szCs w:val="21"/>
              </w:rPr>
            </w:pPr>
          </w:p>
        </w:tc>
        <w:tc>
          <w:tcPr>
            <w:tcW w:w="217" w:type="dxa"/>
          </w:tcPr>
          <w:p w14:paraId="7D2AC862" w14:textId="77777777" w:rsidR="002C0FD9" w:rsidRPr="00CA25CF" w:rsidRDefault="002C0FD9" w:rsidP="00CA25CF">
            <w:pPr>
              <w:rPr>
                <w:rFonts w:cs="Arial"/>
                <w:color w:val="FF0000"/>
                <w:sz w:val="21"/>
                <w:szCs w:val="21"/>
              </w:rPr>
            </w:pPr>
          </w:p>
        </w:tc>
        <w:tc>
          <w:tcPr>
            <w:tcW w:w="217" w:type="dxa"/>
          </w:tcPr>
          <w:p w14:paraId="6D5661B1" w14:textId="77777777" w:rsidR="002C0FD9" w:rsidRPr="00CA25CF" w:rsidRDefault="002C0FD9" w:rsidP="00CA25CF">
            <w:pPr>
              <w:rPr>
                <w:rFonts w:cs="Arial"/>
                <w:color w:val="FF0000"/>
                <w:sz w:val="21"/>
                <w:szCs w:val="21"/>
              </w:rPr>
            </w:pPr>
          </w:p>
        </w:tc>
        <w:tc>
          <w:tcPr>
            <w:tcW w:w="217" w:type="dxa"/>
          </w:tcPr>
          <w:p w14:paraId="25EEBA83" w14:textId="77777777" w:rsidR="002C0FD9" w:rsidRPr="00CA25CF" w:rsidRDefault="002C0FD9" w:rsidP="00CA25CF">
            <w:pPr>
              <w:rPr>
                <w:rFonts w:cs="Arial"/>
                <w:color w:val="FF0000"/>
                <w:sz w:val="21"/>
                <w:szCs w:val="21"/>
              </w:rPr>
            </w:pPr>
          </w:p>
        </w:tc>
        <w:tc>
          <w:tcPr>
            <w:tcW w:w="217" w:type="dxa"/>
          </w:tcPr>
          <w:p w14:paraId="52760D21" w14:textId="77777777" w:rsidR="002C0FD9" w:rsidRPr="00CA25CF" w:rsidRDefault="002C0FD9" w:rsidP="00CA25CF">
            <w:pPr>
              <w:rPr>
                <w:rFonts w:cs="Arial"/>
                <w:color w:val="FF0000"/>
                <w:sz w:val="21"/>
                <w:szCs w:val="21"/>
              </w:rPr>
            </w:pPr>
          </w:p>
        </w:tc>
        <w:tc>
          <w:tcPr>
            <w:tcW w:w="217" w:type="dxa"/>
          </w:tcPr>
          <w:p w14:paraId="15E28727" w14:textId="77777777" w:rsidR="002C0FD9" w:rsidRPr="00CA25CF" w:rsidRDefault="002C0FD9" w:rsidP="00CA25CF">
            <w:pPr>
              <w:rPr>
                <w:rFonts w:cs="Arial"/>
                <w:color w:val="FF0000"/>
                <w:sz w:val="21"/>
                <w:szCs w:val="21"/>
              </w:rPr>
            </w:pPr>
          </w:p>
        </w:tc>
        <w:tc>
          <w:tcPr>
            <w:tcW w:w="217" w:type="dxa"/>
          </w:tcPr>
          <w:p w14:paraId="2E67A6AE" w14:textId="77777777" w:rsidR="002C0FD9" w:rsidRPr="00CA25CF" w:rsidRDefault="002C0FD9" w:rsidP="00CA25CF">
            <w:pPr>
              <w:rPr>
                <w:rFonts w:cs="Arial"/>
                <w:color w:val="FF0000"/>
                <w:sz w:val="21"/>
                <w:szCs w:val="21"/>
              </w:rPr>
            </w:pPr>
          </w:p>
        </w:tc>
        <w:tc>
          <w:tcPr>
            <w:tcW w:w="217" w:type="dxa"/>
          </w:tcPr>
          <w:p w14:paraId="59722DF0" w14:textId="77777777" w:rsidR="002C0FD9" w:rsidRPr="00CA25CF" w:rsidRDefault="002C0FD9" w:rsidP="00CA25CF">
            <w:pPr>
              <w:rPr>
                <w:rFonts w:cs="Arial"/>
                <w:color w:val="FF0000"/>
                <w:sz w:val="21"/>
                <w:szCs w:val="21"/>
              </w:rPr>
            </w:pPr>
          </w:p>
        </w:tc>
        <w:tc>
          <w:tcPr>
            <w:tcW w:w="217" w:type="dxa"/>
          </w:tcPr>
          <w:p w14:paraId="0C592A08" w14:textId="77777777" w:rsidR="002C0FD9" w:rsidRPr="00CA25CF" w:rsidRDefault="002C0FD9" w:rsidP="00CA25CF">
            <w:pPr>
              <w:rPr>
                <w:rFonts w:cs="Arial"/>
                <w:color w:val="FF0000"/>
                <w:sz w:val="21"/>
                <w:szCs w:val="21"/>
              </w:rPr>
            </w:pPr>
          </w:p>
        </w:tc>
        <w:tc>
          <w:tcPr>
            <w:tcW w:w="217" w:type="dxa"/>
          </w:tcPr>
          <w:p w14:paraId="53AE2037" w14:textId="77777777" w:rsidR="002C0FD9" w:rsidRPr="00CA25CF" w:rsidRDefault="002C0FD9" w:rsidP="00CA25CF">
            <w:pPr>
              <w:rPr>
                <w:rFonts w:cs="Arial"/>
                <w:color w:val="FF0000"/>
                <w:sz w:val="21"/>
                <w:szCs w:val="21"/>
              </w:rPr>
            </w:pPr>
          </w:p>
        </w:tc>
        <w:tc>
          <w:tcPr>
            <w:tcW w:w="217" w:type="dxa"/>
          </w:tcPr>
          <w:p w14:paraId="5A16B75E" w14:textId="77777777" w:rsidR="002C0FD9" w:rsidRPr="00CA25CF" w:rsidRDefault="002C0FD9" w:rsidP="00CA25CF">
            <w:pPr>
              <w:rPr>
                <w:rFonts w:cs="Arial"/>
                <w:color w:val="FF0000"/>
                <w:sz w:val="21"/>
                <w:szCs w:val="21"/>
              </w:rPr>
            </w:pPr>
          </w:p>
        </w:tc>
        <w:tc>
          <w:tcPr>
            <w:tcW w:w="217" w:type="dxa"/>
          </w:tcPr>
          <w:p w14:paraId="348585BD" w14:textId="77777777" w:rsidR="002C0FD9" w:rsidRPr="00CA25CF" w:rsidRDefault="002C0FD9" w:rsidP="00CA25CF">
            <w:pPr>
              <w:rPr>
                <w:rFonts w:cs="Arial"/>
                <w:color w:val="FF0000"/>
                <w:sz w:val="21"/>
                <w:szCs w:val="21"/>
              </w:rPr>
            </w:pPr>
          </w:p>
        </w:tc>
        <w:tc>
          <w:tcPr>
            <w:tcW w:w="217" w:type="dxa"/>
          </w:tcPr>
          <w:p w14:paraId="01686F6B" w14:textId="77777777" w:rsidR="002C0FD9" w:rsidRPr="00CA25CF" w:rsidRDefault="002C0FD9" w:rsidP="00CA25CF">
            <w:pPr>
              <w:rPr>
                <w:rFonts w:cs="Arial"/>
                <w:color w:val="FF0000"/>
                <w:sz w:val="21"/>
                <w:szCs w:val="21"/>
              </w:rPr>
            </w:pPr>
          </w:p>
        </w:tc>
        <w:tc>
          <w:tcPr>
            <w:tcW w:w="217" w:type="dxa"/>
          </w:tcPr>
          <w:p w14:paraId="1E87017D" w14:textId="77777777" w:rsidR="002C0FD9" w:rsidRPr="00CA25CF" w:rsidRDefault="002C0FD9" w:rsidP="00CA25CF">
            <w:pPr>
              <w:rPr>
                <w:rFonts w:cs="Arial"/>
                <w:color w:val="FF0000"/>
                <w:sz w:val="21"/>
                <w:szCs w:val="21"/>
              </w:rPr>
            </w:pPr>
          </w:p>
        </w:tc>
        <w:tc>
          <w:tcPr>
            <w:tcW w:w="217" w:type="dxa"/>
          </w:tcPr>
          <w:p w14:paraId="3C50D2EE" w14:textId="77777777" w:rsidR="002C0FD9" w:rsidRPr="00CA25CF" w:rsidRDefault="002C0FD9" w:rsidP="00CA25CF">
            <w:pPr>
              <w:rPr>
                <w:rFonts w:cs="Arial"/>
                <w:color w:val="FF0000"/>
                <w:sz w:val="21"/>
                <w:szCs w:val="21"/>
              </w:rPr>
            </w:pPr>
          </w:p>
        </w:tc>
        <w:tc>
          <w:tcPr>
            <w:tcW w:w="217" w:type="dxa"/>
          </w:tcPr>
          <w:p w14:paraId="03B8D47C" w14:textId="77777777" w:rsidR="002C0FD9" w:rsidRPr="00CA25CF" w:rsidRDefault="002C0FD9" w:rsidP="00CA25CF">
            <w:pPr>
              <w:rPr>
                <w:rFonts w:cs="Arial"/>
                <w:color w:val="FF0000"/>
                <w:sz w:val="21"/>
                <w:szCs w:val="21"/>
              </w:rPr>
            </w:pPr>
          </w:p>
        </w:tc>
        <w:tc>
          <w:tcPr>
            <w:tcW w:w="217" w:type="dxa"/>
          </w:tcPr>
          <w:p w14:paraId="64BC5703" w14:textId="77777777" w:rsidR="002C0FD9" w:rsidRPr="00CA25CF" w:rsidRDefault="002C0FD9" w:rsidP="00CA25CF">
            <w:pPr>
              <w:rPr>
                <w:rFonts w:cs="Arial"/>
                <w:color w:val="FF0000"/>
                <w:sz w:val="21"/>
                <w:szCs w:val="21"/>
              </w:rPr>
            </w:pPr>
          </w:p>
        </w:tc>
        <w:tc>
          <w:tcPr>
            <w:tcW w:w="217" w:type="dxa"/>
          </w:tcPr>
          <w:p w14:paraId="2862F03F" w14:textId="77777777" w:rsidR="002C0FD9" w:rsidRPr="00CA25CF" w:rsidRDefault="002C0FD9" w:rsidP="00CA25CF">
            <w:pPr>
              <w:rPr>
                <w:rFonts w:cs="Arial"/>
                <w:color w:val="FF0000"/>
                <w:sz w:val="21"/>
                <w:szCs w:val="21"/>
              </w:rPr>
            </w:pPr>
          </w:p>
        </w:tc>
        <w:tc>
          <w:tcPr>
            <w:tcW w:w="217" w:type="dxa"/>
          </w:tcPr>
          <w:p w14:paraId="76A778C6" w14:textId="77777777" w:rsidR="002C0FD9" w:rsidRPr="00CA25CF" w:rsidRDefault="002C0FD9" w:rsidP="00CA25CF">
            <w:pPr>
              <w:rPr>
                <w:rFonts w:cs="Arial"/>
                <w:color w:val="FF0000"/>
                <w:sz w:val="21"/>
                <w:szCs w:val="21"/>
              </w:rPr>
            </w:pPr>
          </w:p>
        </w:tc>
        <w:tc>
          <w:tcPr>
            <w:tcW w:w="217" w:type="dxa"/>
          </w:tcPr>
          <w:p w14:paraId="11D1469C" w14:textId="77777777" w:rsidR="002C0FD9" w:rsidRPr="00CA25CF" w:rsidRDefault="002C0FD9" w:rsidP="00CA25CF">
            <w:pPr>
              <w:rPr>
                <w:rFonts w:cs="Arial"/>
                <w:color w:val="FF0000"/>
                <w:sz w:val="21"/>
                <w:szCs w:val="21"/>
              </w:rPr>
            </w:pPr>
          </w:p>
        </w:tc>
        <w:tc>
          <w:tcPr>
            <w:tcW w:w="217" w:type="dxa"/>
          </w:tcPr>
          <w:p w14:paraId="248E79C2" w14:textId="77777777" w:rsidR="002C0FD9" w:rsidRPr="00CA25CF" w:rsidRDefault="002C0FD9" w:rsidP="00CA25CF">
            <w:pPr>
              <w:rPr>
                <w:rFonts w:cs="Arial"/>
                <w:color w:val="FF0000"/>
                <w:sz w:val="21"/>
                <w:szCs w:val="21"/>
              </w:rPr>
            </w:pPr>
          </w:p>
        </w:tc>
        <w:tc>
          <w:tcPr>
            <w:tcW w:w="217" w:type="dxa"/>
          </w:tcPr>
          <w:p w14:paraId="08E1CBF7" w14:textId="77777777" w:rsidR="002C0FD9" w:rsidRPr="00CA25CF" w:rsidRDefault="002C0FD9" w:rsidP="00CA25CF">
            <w:pPr>
              <w:rPr>
                <w:rFonts w:cs="Arial"/>
                <w:color w:val="FF0000"/>
                <w:sz w:val="21"/>
                <w:szCs w:val="21"/>
              </w:rPr>
            </w:pPr>
          </w:p>
        </w:tc>
        <w:tc>
          <w:tcPr>
            <w:tcW w:w="217" w:type="dxa"/>
          </w:tcPr>
          <w:p w14:paraId="595A76F4" w14:textId="77777777" w:rsidR="002C0FD9" w:rsidRPr="00CA25CF" w:rsidRDefault="002C0FD9" w:rsidP="00CA25CF">
            <w:pPr>
              <w:rPr>
                <w:rFonts w:cs="Arial"/>
                <w:color w:val="FF0000"/>
                <w:sz w:val="21"/>
                <w:szCs w:val="21"/>
              </w:rPr>
            </w:pPr>
          </w:p>
        </w:tc>
        <w:tc>
          <w:tcPr>
            <w:tcW w:w="217" w:type="dxa"/>
          </w:tcPr>
          <w:p w14:paraId="7E925FA1" w14:textId="77777777" w:rsidR="002C0FD9" w:rsidRPr="00CA25CF" w:rsidRDefault="002C0FD9" w:rsidP="00CA25CF">
            <w:pPr>
              <w:rPr>
                <w:rFonts w:cs="Arial"/>
                <w:color w:val="FF0000"/>
                <w:sz w:val="21"/>
                <w:szCs w:val="21"/>
              </w:rPr>
            </w:pPr>
          </w:p>
        </w:tc>
        <w:tc>
          <w:tcPr>
            <w:tcW w:w="217" w:type="dxa"/>
          </w:tcPr>
          <w:p w14:paraId="506BA065" w14:textId="77777777" w:rsidR="002C0FD9" w:rsidRPr="00CA25CF" w:rsidRDefault="002C0FD9" w:rsidP="00CA25CF">
            <w:pPr>
              <w:rPr>
                <w:rFonts w:cs="Arial"/>
                <w:color w:val="FF0000"/>
                <w:sz w:val="21"/>
                <w:szCs w:val="21"/>
              </w:rPr>
            </w:pPr>
          </w:p>
        </w:tc>
        <w:tc>
          <w:tcPr>
            <w:tcW w:w="217" w:type="dxa"/>
          </w:tcPr>
          <w:p w14:paraId="4BF514BD" w14:textId="77777777" w:rsidR="002C0FD9" w:rsidRPr="00CA25CF" w:rsidRDefault="002C0FD9" w:rsidP="00CA25CF">
            <w:pPr>
              <w:rPr>
                <w:rFonts w:cs="Arial"/>
                <w:color w:val="FF0000"/>
                <w:sz w:val="21"/>
                <w:szCs w:val="21"/>
              </w:rPr>
            </w:pPr>
          </w:p>
        </w:tc>
        <w:tc>
          <w:tcPr>
            <w:tcW w:w="217" w:type="dxa"/>
          </w:tcPr>
          <w:p w14:paraId="14296C88" w14:textId="77777777" w:rsidR="002C0FD9" w:rsidRPr="00CA25CF" w:rsidRDefault="002C0FD9" w:rsidP="00CA25CF">
            <w:pPr>
              <w:rPr>
                <w:rFonts w:cs="Arial"/>
                <w:color w:val="FF0000"/>
                <w:sz w:val="21"/>
                <w:szCs w:val="21"/>
              </w:rPr>
            </w:pPr>
          </w:p>
        </w:tc>
      </w:tr>
      <w:tr w:rsidR="002C0FD9" w:rsidRPr="00A16219" w14:paraId="54A41F9C" w14:textId="77777777" w:rsidTr="002C0FD9">
        <w:trPr>
          <w:trHeight w:val="635"/>
        </w:trPr>
        <w:tc>
          <w:tcPr>
            <w:tcW w:w="515" w:type="dxa"/>
          </w:tcPr>
          <w:p w14:paraId="5D58752B" w14:textId="77777777" w:rsidR="002C0FD9" w:rsidRPr="00CA25CF" w:rsidRDefault="002C0FD9" w:rsidP="00CA25CF">
            <w:pPr>
              <w:rPr>
                <w:rFonts w:cs="Arial"/>
                <w:color w:val="FF0000"/>
                <w:sz w:val="21"/>
                <w:szCs w:val="21"/>
              </w:rPr>
            </w:pPr>
          </w:p>
        </w:tc>
        <w:tc>
          <w:tcPr>
            <w:tcW w:w="217" w:type="dxa"/>
          </w:tcPr>
          <w:p w14:paraId="2593D35B" w14:textId="77777777" w:rsidR="002C0FD9" w:rsidRPr="00CA25CF" w:rsidRDefault="002C0FD9" w:rsidP="00CA25CF">
            <w:pPr>
              <w:rPr>
                <w:rFonts w:cs="Arial"/>
                <w:color w:val="FF0000"/>
                <w:sz w:val="21"/>
                <w:szCs w:val="21"/>
              </w:rPr>
            </w:pPr>
          </w:p>
        </w:tc>
        <w:tc>
          <w:tcPr>
            <w:tcW w:w="217" w:type="dxa"/>
          </w:tcPr>
          <w:p w14:paraId="332010A4" w14:textId="77777777" w:rsidR="002C0FD9" w:rsidRPr="00CA25CF" w:rsidRDefault="002C0FD9" w:rsidP="00CA25CF">
            <w:pPr>
              <w:rPr>
                <w:rFonts w:cs="Arial"/>
                <w:color w:val="FF0000"/>
                <w:sz w:val="21"/>
                <w:szCs w:val="21"/>
              </w:rPr>
            </w:pPr>
          </w:p>
        </w:tc>
        <w:tc>
          <w:tcPr>
            <w:tcW w:w="217" w:type="dxa"/>
          </w:tcPr>
          <w:p w14:paraId="702B4176" w14:textId="77777777" w:rsidR="002C0FD9" w:rsidRPr="00CA25CF" w:rsidRDefault="002C0FD9" w:rsidP="00CA25CF">
            <w:pPr>
              <w:rPr>
                <w:rFonts w:cs="Arial"/>
                <w:color w:val="FF0000"/>
                <w:sz w:val="21"/>
                <w:szCs w:val="21"/>
              </w:rPr>
            </w:pPr>
          </w:p>
        </w:tc>
        <w:tc>
          <w:tcPr>
            <w:tcW w:w="217" w:type="dxa"/>
          </w:tcPr>
          <w:p w14:paraId="467B3C8F" w14:textId="77777777" w:rsidR="002C0FD9" w:rsidRPr="00CA25CF" w:rsidRDefault="002C0FD9" w:rsidP="00CA25CF">
            <w:pPr>
              <w:rPr>
                <w:rFonts w:cs="Arial"/>
                <w:color w:val="FF0000"/>
                <w:sz w:val="21"/>
                <w:szCs w:val="21"/>
              </w:rPr>
            </w:pPr>
          </w:p>
        </w:tc>
        <w:tc>
          <w:tcPr>
            <w:tcW w:w="217" w:type="dxa"/>
          </w:tcPr>
          <w:p w14:paraId="00CF1AFC" w14:textId="77777777" w:rsidR="002C0FD9" w:rsidRPr="00CA25CF" w:rsidRDefault="002C0FD9" w:rsidP="00CA25CF">
            <w:pPr>
              <w:rPr>
                <w:rFonts w:cs="Arial"/>
                <w:color w:val="FF0000"/>
                <w:sz w:val="21"/>
                <w:szCs w:val="21"/>
              </w:rPr>
            </w:pPr>
          </w:p>
        </w:tc>
        <w:tc>
          <w:tcPr>
            <w:tcW w:w="217" w:type="dxa"/>
          </w:tcPr>
          <w:p w14:paraId="244AF1A4" w14:textId="77777777" w:rsidR="002C0FD9" w:rsidRPr="00CA25CF" w:rsidRDefault="002C0FD9" w:rsidP="00CA25CF">
            <w:pPr>
              <w:rPr>
                <w:rFonts w:cs="Arial"/>
                <w:color w:val="FF0000"/>
                <w:sz w:val="21"/>
                <w:szCs w:val="21"/>
              </w:rPr>
            </w:pPr>
          </w:p>
        </w:tc>
        <w:tc>
          <w:tcPr>
            <w:tcW w:w="217" w:type="dxa"/>
          </w:tcPr>
          <w:p w14:paraId="6A24EDFA" w14:textId="77777777" w:rsidR="002C0FD9" w:rsidRPr="00CA25CF" w:rsidRDefault="002C0FD9" w:rsidP="00CA25CF">
            <w:pPr>
              <w:rPr>
                <w:rFonts w:cs="Arial"/>
                <w:color w:val="FF0000"/>
                <w:sz w:val="21"/>
                <w:szCs w:val="21"/>
              </w:rPr>
            </w:pPr>
          </w:p>
        </w:tc>
        <w:tc>
          <w:tcPr>
            <w:tcW w:w="217" w:type="dxa"/>
          </w:tcPr>
          <w:p w14:paraId="25CA8D84" w14:textId="77777777" w:rsidR="002C0FD9" w:rsidRPr="00CA25CF" w:rsidRDefault="002C0FD9" w:rsidP="00CA25CF">
            <w:pPr>
              <w:rPr>
                <w:rFonts w:cs="Arial"/>
                <w:color w:val="FF0000"/>
                <w:sz w:val="21"/>
                <w:szCs w:val="21"/>
              </w:rPr>
            </w:pPr>
          </w:p>
        </w:tc>
        <w:tc>
          <w:tcPr>
            <w:tcW w:w="217" w:type="dxa"/>
          </w:tcPr>
          <w:p w14:paraId="66A3BC38" w14:textId="77777777" w:rsidR="002C0FD9" w:rsidRPr="00CA25CF" w:rsidRDefault="002C0FD9" w:rsidP="00CA25CF">
            <w:pPr>
              <w:rPr>
                <w:rFonts w:cs="Arial"/>
                <w:color w:val="FF0000"/>
                <w:sz w:val="21"/>
                <w:szCs w:val="21"/>
              </w:rPr>
            </w:pPr>
          </w:p>
        </w:tc>
        <w:tc>
          <w:tcPr>
            <w:tcW w:w="217" w:type="dxa"/>
          </w:tcPr>
          <w:p w14:paraId="3278A42F" w14:textId="77777777" w:rsidR="002C0FD9" w:rsidRPr="00CA25CF" w:rsidRDefault="002C0FD9" w:rsidP="00CA25CF">
            <w:pPr>
              <w:rPr>
                <w:rFonts w:cs="Arial"/>
                <w:color w:val="FF0000"/>
                <w:sz w:val="21"/>
                <w:szCs w:val="21"/>
              </w:rPr>
            </w:pPr>
          </w:p>
        </w:tc>
        <w:tc>
          <w:tcPr>
            <w:tcW w:w="217" w:type="dxa"/>
          </w:tcPr>
          <w:p w14:paraId="593F71DE" w14:textId="77777777" w:rsidR="002C0FD9" w:rsidRPr="00CA25CF" w:rsidRDefault="002C0FD9" w:rsidP="00CA25CF">
            <w:pPr>
              <w:rPr>
                <w:rFonts w:cs="Arial"/>
                <w:color w:val="FF0000"/>
                <w:sz w:val="21"/>
                <w:szCs w:val="21"/>
              </w:rPr>
            </w:pPr>
          </w:p>
        </w:tc>
        <w:tc>
          <w:tcPr>
            <w:tcW w:w="217" w:type="dxa"/>
          </w:tcPr>
          <w:p w14:paraId="720046D5" w14:textId="77777777" w:rsidR="002C0FD9" w:rsidRPr="00CA25CF" w:rsidRDefault="002C0FD9" w:rsidP="00CA25CF">
            <w:pPr>
              <w:rPr>
                <w:rFonts w:cs="Arial"/>
                <w:color w:val="FF0000"/>
                <w:sz w:val="21"/>
                <w:szCs w:val="21"/>
              </w:rPr>
            </w:pPr>
          </w:p>
        </w:tc>
        <w:tc>
          <w:tcPr>
            <w:tcW w:w="217" w:type="dxa"/>
          </w:tcPr>
          <w:p w14:paraId="0FAA5CE2" w14:textId="77777777" w:rsidR="002C0FD9" w:rsidRPr="00CA25CF" w:rsidRDefault="002C0FD9" w:rsidP="00CA25CF">
            <w:pPr>
              <w:rPr>
                <w:rFonts w:cs="Arial"/>
                <w:color w:val="FF0000"/>
                <w:sz w:val="21"/>
                <w:szCs w:val="21"/>
              </w:rPr>
            </w:pPr>
          </w:p>
        </w:tc>
        <w:tc>
          <w:tcPr>
            <w:tcW w:w="217" w:type="dxa"/>
          </w:tcPr>
          <w:p w14:paraId="15B9F530" w14:textId="77777777" w:rsidR="002C0FD9" w:rsidRPr="00CA25CF" w:rsidRDefault="002C0FD9" w:rsidP="00CA25CF">
            <w:pPr>
              <w:rPr>
                <w:rFonts w:cs="Arial"/>
                <w:color w:val="FF0000"/>
                <w:sz w:val="21"/>
                <w:szCs w:val="21"/>
              </w:rPr>
            </w:pPr>
          </w:p>
        </w:tc>
        <w:tc>
          <w:tcPr>
            <w:tcW w:w="217" w:type="dxa"/>
          </w:tcPr>
          <w:p w14:paraId="19FFF6ED" w14:textId="77777777" w:rsidR="002C0FD9" w:rsidRPr="00CA25CF" w:rsidRDefault="002C0FD9" w:rsidP="00CA25CF">
            <w:pPr>
              <w:rPr>
                <w:rFonts w:cs="Arial"/>
                <w:color w:val="FF0000"/>
                <w:sz w:val="21"/>
                <w:szCs w:val="21"/>
              </w:rPr>
            </w:pPr>
          </w:p>
        </w:tc>
        <w:tc>
          <w:tcPr>
            <w:tcW w:w="217" w:type="dxa"/>
          </w:tcPr>
          <w:p w14:paraId="0BB09654" w14:textId="77777777" w:rsidR="002C0FD9" w:rsidRPr="00CA25CF" w:rsidRDefault="002C0FD9" w:rsidP="00CA25CF">
            <w:pPr>
              <w:rPr>
                <w:rFonts w:cs="Arial"/>
                <w:color w:val="FF0000"/>
                <w:sz w:val="21"/>
                <w:szCs w:val="21"/>
              </w:rPr>
            </w:pPr>
          </w:p>
        </w:tc>
        <w:tc>
          <w:tcPr>
            <w:tcW w:w="217" w:type="dxa"/>
          </w:tcPr>
          <w:p w14:paraId="1083B8C9" w14:textId="77777777" w:rsidR="002C0FD9" w:rsidRPr="00CA25CF" w:rsidRDefault="002C0FD9" w:rsidP="00CA25CF">
            <w:pPr>
              <w:rPr>
                <w:rFonts w:cs="Arial"/>
                <w:color w:val="FF0000"/>
                <w:sz w:val="21"/>
                <w:szCs w:val="21"/>
              </w:rPr>
            </w:pPr>
          </w:p>
        </w:tc>
        <w:tc>
          <w:tcPr>
            <w:tcW w:w="217" w:type="dxa"/>
          </w:tcPr>
          <w:p w14:paraId="2854A733" w14:textId="77777777" w:rsidR="002C0FD9" w:rsidRPr="00CA25CF" w:rsidRDefault="002C0FD9" w:rsidP="00CA25CF">
            <w:pPr>
              <w:rPr>
                <w:rFonts w:cs="Arial"/>
                <w:color w:val="FF0000"/>
                <w:sz w:val="21"/>
                <w:szCs w:val="21"/>
              </w:rPr>
            </w:pPr>
          </w:p>
        </w:tc>
        <w:tc>
          <w:tcPr>
            <w:tcW w:w="217" w:type="dxa"/>
          </w:tcPr>
          <w:p w14:paraId="529F2180" w14:textId="77777777" w:rsidR="002C0FD9" w:rsidRPr="00CA25CF" w:rsidRDefault="002C0FD9" w:rsidP="00CA25CF">
            <w:pPr>
              <w:rPr>
                <w:rFonts w:cs="Arial"/>
                <w:color w:val="FF0000"/>
                <w:sz w:val="21"/>
                <w:szCs w:val="21"/>
              </w:rPr>
            </w:pPr>
          </w:p>
        </w:tc>
        <w:tc>
          <w:tcPr>
            <w:tcW w:w="217" w:type="dxa"/>
          </w:tcPr>
          <w:p w14:paraId="3DD4FA66" w14:textId="77777777" w:rsidR="002C0FD9" w:rsidRPr="00CA25CF" w:rsidRDefault="002C0FD9" w:rsidP="00CA25CF">
            <w:pPr>
              <w:rPr>
                <w:rFonts w:cs="Arial"/>
                <w:color w:val="FF0000"/>
                <w:sz w:val="21"/>
                <w:szCs w:val="21"/>
              </w:rPr>
            </w:pPr>
          </w:p>
        </w:tc>
        <w:tc>
          <w:tcPr>
            <w:tcW w:w="217" w:type="dxa"/>
          </w:tcPr>
          <w:p w14:paraId="2E96FF29" w14:textId="77777777" w:rsidR="002C0FD9" w:rsidRPr="00CA25CF" w:rsidRDefault="002C0FD9" w:rsidP="00CA25CF">
            <w:pPr>
              <w:rPr>
                <w:rFonts w:cs="Arial"/>
                <w:color w:val="FF0000"/>
                <w:sz w:val="21"/>
                <w:szCs w:val="21"/>
              </w:rPr>
            </w:pPr>
          </w:p>
        </w:tc>
        <w:tc>
          <w:tcPr>
            <w:tcW w:w="217" w:type="dxa"/>
          </w:tcPr>
          <w:p w14:paraId="71C79525" w14:textId="77777777" w:rsidR="002C0FD9" w:rsidRPr="00CA25CF" w:rsidRDefault="002C0FD9" w:rsidP="00CA25CF">
            <w:pPr>
              <w:rPr>
                <w:rFonts w:cs="Arial"/>
                <w:color w:val="FF0000"/>
                <w:sz w:val="21"/>
                <w:szCs w:val="21"/>
              </w:rPr>
            </w:pPr>
          </w:p>
        </w:tc>
        <w:tc>
          <w:tcPr>
            <w:tcW w:w="217" w:type="dxa"/>
          </w:tcPr>
          <w:p w14:paraId="10B190B3" w14:textId="77777777" w:rsidR="002C0FD9" w:rsidRPr="00CA25CF" w:rsidRDefault="002C0FD9" w:rsidP="00CA25CF">
            <w:pPr>
              <w:rPr>
                <w:rFonts w:cs="Arial"/>
                <w:color w:val="FF0000"/>
                <w:sz w:val="21"/>
                <w:szCs w:val="21"/>
              </w:rPr>
            </w:pPr>
          </w:p>
        </w:tc>
        <w:tc>
          <w:tcPr>
            <w:tcW w:w="217" w:type="dxa"/>
          </w:tcPr>
          <w:p w14:paraId="0708D7DB" w14:textId="77777777" w:rsidR="002C0FD9" w:rsidRPr="00CA25CF" w:rsidRDefault="002C0FD9" w:rsidP="00CA25CF">
            <w:pPr>
              <w:rPr>
                <w:rFonts w:cs="Arial"/>
                <w:color w:val="FF0000"/>
                <w:sz w:val="21"/>
                <w:szCs w:val="21"/>
              </w:rPr>
            </w:pPr>
          </w:p>
        </w:tc>
        <w:tc>
          <w:tcPr>
            <w:tcW w:w="217" w:type="dxa"/>
          </w:tcPr>
          <w:p w14:paraId="794DA234" w14:textId="77777777" w:rsidR="002C0FD9" w:rsidRPr="00CA25CF" w:rsidRDefault="002C0FD9" w:rsidP="00CA25CF">
            <w:pPr>
              <w:rPr>
                <w:rFonts w:cs="Arial"/>
                <w:color w:val="FF0000"/>
                <w:sz w:val="21"/>
                <w:szCs w:val="21"/>
              </w:rPr>
            </w:pPr>
          </w:p>
        </w:tc>
        <w:tc>
          <w:tcPr>
            <w:tcW w:w="217" w:type="dxa"/>
          </w:tcPr>
          <w:p w14:paraId="3254A731" w14:textId="77777777" w:rsidR="002C0FD9" w:rsidRPr="00CA25CF" w:rsidRDefault="002C0FD9" w:rsidP="00CA25CF">
            <w:pPr>
              <w:rPr>
                <w:rFonts w:cs="Arial"/>
                <w:color w:val="FF0000"/>
                <w:sz w:val="21"/>
                <w:szCs w:val="21"/>
              </w:rPr>
            </w:pPr>
          </w:p>
        </w:tc>
        <w:tc>
          <w:tcPr>
            <w:tcW w:w="217" w:type="dxa"/>
          </w:tcPr>
          <w:p w14:paraId="749ED7D7" w14:textId="77777777" w:rsidR="002C0FD9" w:rsidRPr="00CA25CF" w:rsidRDefault="002C0FD9" w:rsidP="00CA25CF">
            <w:pPr>
              <w:rPr>
                <w:rFonts w:cs="Arial"/>
                <w:color w:val="FF0000"/>
                <w:sz w:val="21"/>
                <w:szCs w:val="21"/>
              </w:rPr>
            </w:pPr>
          </w:p>
        </w:tc>
        <w:tc>
          <w:tcPr>
            <w:tcW w:w="217" w:type="dxa"/>
          </w:tcPr>
          <w:p w14:paraId="0CCB5988" w14:textId="77777777" w:rsidR="002C0FD9" w:rsidRPr="00CA25CF" w:rsidRDefault="002C0FD9" w:rsidP="00CA25CF">
            <w:pPr>
              <w:rPr>
                <w:rFonts w:cs="Arial"/>
                <w:color w:val="FF0000"/>
                <w:sz w:val="21"/>
                <w:szCs w:val="21"/>
              </w:rPr>
            </w:pPr>
          </w:p>
        </w:tc>
        <w:tc>
          <w:tcPr>
            <w:tcW w:w="217" w:type="dxa"/>
          </w:tcPr>
          <w:p w14:paraId="703664A2" w14:textId="77777777" w:rsidR="002C0FD9" w:rsidRPr="00CA25CF" w:rsidRDefault="002C0FD9" w:rsidP="00CA25CF">
            <w:pPr>
              <w:rPr>
                <w:rFonts w:cs="Arial"/>
                <w:color w:val="FF0000"/>
                <w:sz w:val="21"/>
                <w:szCs w:val="21"/>
              </w:rPr>
            </w:pPr>
          </w:p>
        </w:tc>
        <w:tc>
          <w:tcPr>
            <w:tcW w:w="217" w:type="dxa"/>
          </w:tcPr>
          <w:p w14:paraId="71BF9DD3" w14:textId="77777777" w:rsidR="002C0FD9" w:rsidRPr="00CA25CF" w:rsidRDefault="002C0FD9" w:rsidP="00CA25CF">
            <w:pPr>
              <w:rPr>
                <w:rFonts w:cs="Arial"/>
                <w:color w:val="FF0000"/>
                <w:sz w:val="21"/>
                <w:szCs w:val="21"/>
              </w:rPr>
            </w:pPr>
          </w:p>
        </w:tc>
        <w:tc>
          <w:tcPr>
            <w:tcW w:w="217" w:type="dxa"/>
          </w:tcPr>
          <w:p w14:paraId="5F1694F9" w14:textId="77777777" w:rsidR="002C0FD9" w:rsidRPr="00CA25CF" w:rsidRDefault="002C0FD9" w:rsidP="00CA25CF">
            <w:pPr>
              <w:rPr>
                <w:rFonts w:cs="Arial"/>
                <w:color w:val="FF0000"/>
                <w:sz w:val="21"/>
                <w:szCs w:val="21"/>
              </w:rPr>
            </w:pPr>
          </w:p>
        </w:tc>
        <w:tc>
          <w:tcPr>
            <w:tcW w:w="217" w:type="dxa"/>
          </w:tcPr>
          <w:p w14:paraId="005DEEE6" w14:textId="77777777" w:rsidR="002C0FD9" w:rsidRPr="00CA25CF" w:rsidRDefault="002C0FD9" w:rsidP="00CA25CF">
            <w:pPr>
              <w:rPr>
                <w:rFonts w:cs="Arial"/>
                <w:color w:val="FF0000"/>
                <w:sz w:val="21"/>
                <w:szCs w:val="21"/>
              </w:rPr>
            </w:pPr>
          </w:p>
        </w:tc>
        <w:tc>
          <w:tcPr>
            <w:tcW w:w="217" w:type="dxa"/>
          </w:tcPr>
          <w:p w14:paraId="2EA2AA3F" w14:textId="77777777" w:rsidR="002C0FD9" w:rsidRPr="00CA25CF" w:rsidRDefault="002C0FD9" w:rsidP="00CA25CF">
            <w:pPr>
              <w:rPr>
                <w:rFonts w:cs="Arial"/>
                <w:color w:val="FF0000"/>
                <w:sz w:val="21"/>
                <w:szCs w:val="21"/>
              </w:rPr>
            </w:pPr>
          </w:p>
        </w:tc>
        <w:tc>
          <w:tcPr>
            <w:tcW w:w="217" w:type="dxa"/>
          </w:tcPr>
          <w:p w14:paraId="316A11AC" w14:textId="77777777" w:rsidR="002C0FD9" w:rsidRPr="00CA25CF" w:rsidRDefault="002C0FD9" w:rsidP="00CA25CF">
            <w:pPr>
              <w:rPr>
                <w:rFonts w:cs="Arial"/>
                <w:color w:val="FF0000"/>
                <w:sz w:val="21"/>
                <w:szCs w:val="21"/>
              </w:rPr>
            </w:pPr>
          </w:p>
        </w:tc>
        <w:tc>
          <w:tcPr>
            <w:tcW w:w="217" w:type="dxa"/>
          </w:tcPr>
          <w:p w14:paraId="4D34D318" w14:textId="77777777" w:rsidR="002C0FD9" w:rsidRPr="00CA25CF" w:rsidRDefault="002C0FD9" w:rsidP="00CA25CF">
            <w:pPr>
              <w:rPr>
                <w:rFonts w:cs="Arial"/>
                <w:color w:val="FF0000"/>
                <w:sz w:val="21"/>
                <w:szCs w:val="21"/>
              </w:rPr>
            </w:pPr>
          </w:p>
        </w:tc>
        <w:tc>
          <w:tcPr>
            <w:tcW w:w="217" w:type="dxa"/>
          </w:tcPr>
          <w:p w14:paraId="7E9310DD" w14:textId="77777777" w:rsidR="002C0FD9" w:rsidRPr="00CA25CF" w:rsidRDefault="002C0FD9" w:rsidP="00CA25CF">
            <w:pPr>
              <w:rPr>
                <w:rFonts w:cs="Arial"/>
                <w:color w:val="FF0000"/>
                <w:sz w:val="21"/>
                <w:szCs w:val="21"/>
              </w:rPr>
            </w:pPr>
          </w:p>
        </w:tc>
        <w:tc>
          <w:tcPr>
            <w:tcW w:w="217" w:type="dxa"/>
          </w:tcPr>
          <w:p w14:paraId="6AFAE39F" w14:textId="77777777" w:rsidR="002C0FD9" w:rsidRPr="00CA25CF" w:rsidRDefault="002C0FD9" w:rsidP="00CA25CF">
            <w:pPr>
              <w:rPr>
                <w:rFonts w:cs="Arial"/>
                <w:color w:val="FF0000"/>
                <w:sz w:val="21"/>
                <w:szCs w:val="21"/>
              </w:rPr>
            </w:pPr>
          </w:p>
        </w:tc>
        <w:tc>
          <w:tcPr>
            <w:tcW w:w="217" w:type="dxa"/>
          </w:tcPr>
          <w:p w14:paraId="35FB35D6" w14:textId="77777777" w:rsidR="002C0FD9" w:rsidRPr="00CA25CF" w:rsidRDefault="002C0FD9" w:rsidP="00CA25CF">
            <w:pPr>
              <w:rPr>
                <w:rFonts w:cs="Arial"/>
                <w:color w:val="FF0000"/>
                <w:sz w:val="21"/>
                <w:szCs w:val="21"/>
              </w:rPr>
            </w:pPr>
          </w:p>
        </w:tc>
        <w:tc>
          <w:tcPr>
            <w:tcW w:w="217" w:type="dxa"/>
          </w:tcPr>
          <w:p w14:paraId="014D1BF4" w14:textId="77777777" w:rsidR="002C0FD9" w:rsidRPr="00CA25CF" w:rsidRDefault="002C0FD9" w:rsidP="00CA25CF">
            <w:pPr>
              <w:rPr>
                <w:rFonts w:cs="Arial"/>
                <w:color w:val="FF0000"/>
                <w:sz w:val="21"/>
                <w:szCs w:val="21"/>
              </w:rPr>
            </w:pPr>
          </w:p>
        </w:tc>
        <w:tc>
          <w:tcPr>
            <w:tcW w:w="217" w:type="dxa"/>
          </w:tcPr>
          <w:p w14:paraId="0635FE84" w14:textId="77777777" w:rsidR="002C0FD9" w:rsidRPr="00CA25CF" w:rsidRDefault="002C0FD9" w:rsidP="00CA25CF">
            <w:pPr>
              <w:rPr>
                <w:rFonts w:cs="Arial"/>
                <w:color w:val="FF0000"/>
                <w:sz w:val="21"/>
                <w:szCs w:val="21"/>
              </w:rPr>
            </w:pPr>
          </w:p>
        </w:tc>
        <w:tc>
          <w:tcPr>
            <w:tcW w:w="217" w:type="dxa"/>
          </w:tcPr>
          <w:p w14:paraId="6071BB22" w14:textId="77777777" w:rsidR="002C0FD9" w:rsidRPr="00CA25CF" w:rsidRDefault="002C0FD9" w:rsidP="00CA25CF">
            <w:pPr>
              <w:rPr>
                <w:rFonts w:cs="Arial"/>
                <w:color w:val="FF0000"/>
                <w:sz w:val="21"/>
                <w:szCs w:val="21"/>
              </w:rPr>
            </w:pPr>
          </w:p>
        </w:tc>
        <w:tc>
          <w:tcPr>
            <w:tcW w:w="217" w:type="dxa"/>
          </w:tcPr>
          <w:p w14:paraId="06250100" w14:textId="77777777" w:rsidR="002C0FD9" w:rsidRPr="00CA25CF" w:rsidRDefault="002C0FD9" w:rsidP="00CA25CF">
            <w:pPr>
              <w:rPr>
                <w:rFonts w:cs="Arial"/>
                <w:color w:val="FF0000"/>
                <w:sz w:val="21"/>
                <w:szCs w:val="21"/>
              </w:rPr>
            </w:pPr>
          </w:p>
        </w:tc>
      </w:tr>
      <w:tr w:rsidR="002C0FD9" w:rsidRPr="00A16219" w14:paraId="3F5724AE" w14:textId="77777777" w:rsidTr="002C0FD9">
        <w:trPr>
          <w:trHeight w:val="635"/>
        </w:trPr>
        <w:tc>
          <w:tcPr>
            <w:tcW w:w="515" w:type="dxa"/>
          </w:tcPr>
          <w:p w14:paraId="375D8FDF" w14:textId="77777777" w:rsidR="002C0FD9" w:rsidRPr="00CA25CF" w:rsidRDefault="002C0FD9" w:rsidP="00CA25CF">
            <w:pPr>
              <w:rPr>
                <w:rFonts w:cs="Arial"/>
                <w:color w:val="FF0000"/>
                <w:sz w:val="21"/>
                <w:szCs w:val="21"/>
              </w:rPr>
            </w:pPr>
          </w:p>
        </w:tc>
        <w:tc>
          <w:tcPr>
            <w:tcW w:w="217" w:type="dxa"/>
          </w:tcPr>
          <w:p w14:paraId="1B651C94" w14:textId="77777777" w:rsidR="002C0FD9" w:rsidRPr="00CA25CF" w:rsidRDefault="002C0FD9" w:rsidP="00CA25CF">
            <w:pPr>
              <w:rPr>
                <w:rFonts w:cs="Arial"/>
                <w:color w:val="FF0000"/>
                <w:sz w:val="21"/>
                <w:szCs w:val="21"/>
              </w:rPr>
            </w:pPr>
          </w:p>
        </w:tc>
        <w:tc>
          <w:tcPr>
            <w:tcW w:w="217" w:type="dxa"/>
          </w:tcPr>
          <w:p w14:paraId="110626F2" w14:textId="77777777" w:rsidR="002C0FD9" w:rsidRPr="00CA25CF" w:rsidRDefault="002C0FD9" w:rsidP="00CA25CF">
            <w:pPr>
              <w:rPr>
                <w:rFonts w:cs="Arial"/>
                <w:color w:val="FF0000"/>
                <w:sz w:val="21"/>
                <w:szCs w:val="21"/>
              </w:rPr>
            </w:pPr>
          </w:p>
        </w:tc>
        <w:tc>
          <w:tcPr>
            <w:tcW w:w="217" w:type="dxa"/>
          </w:tcPr>
          <w:p w14:paraId="3410C8D6" w14:textId="77777777" w:rsidR="002C0FD9" w:rsidRPr="00CA25CF" w:rsidRDefault="002C0FD9" w:rsidP="00CA25CF">
            <w:pPr>
              <w:rPr>
                <w:rFonts w:cs="Arial"/>
                <w:color w:val="FF0000"/>
                <w:sz w:val="21"/>
                <w:szCs w:val="21"/>
              </w:rPr>
            </w:pPr>
          </w:p>
        </w:tc>
        <w:tc>
          <w:tcPr>
            <w:tcW w:w="217" w:type="dxa"/>
          </w:tcPr>
          <w:p w14:paraId="02F5990E" w14:textId="77777777" w:rsidR="002C0FD9" w:rsidRPr="00CA25CF" w:rsidRDefault="002C0FD9" w:rsidP="00CA25CF">
            <w:pPr>
              <w:rPr>
                <w:rFonts w:cs="Arial"/>
                <w:color w:val="FF0000"/>
                <w:sz w:val="21"/>
                <w:szCs w:val="21"/>
              </w:rPr>
            </w:pPr>
          </w:p>
        </w:tc>
        <w:tc>
          <w:tcPr>
            <w:tcW w:w="217" w:type="dxa"/>
          </w:tcPr>
          <w:p w14:paraId="22FD635D" w14:textId="77777777" w:rsidR="002C0FD9" w:rsidRPr="00CA25CF" w:rsidRDefault="002C0FD9" w:rsidP="00CA25CF">
            <w:pPr>
              <w:rPr>
                <w:rFonts w:cs="Arial"/>
                <w:color w:val="FF0000"/>
                <w:sz w:val="21"/>
                <w:szCs w:val="21"/>
              </w:rPr>
            </w:pPr>
          </w:p>
        </w:tc>
        <w:tc>
          <w:tcPr>
            <w:tcW w:w="217" w:type="dxa"/>
          </w:tcPr>
          <w:p w14:paraId="6DD99FE1" w14:textId="77777777" w:rsidR="002C0FD9" w:rsidRPr="00CA25CF" w:rsidRDefault="002C0FD9" w:rsidP="00CA25CF">
            <w:pPr>
              <w:rPr>
                <w:rFonts w:cs="Arial"/>
                <w:color w:val="FF0000"/>
                <w:sz w:val="21"/>
                <w:szCs w:val="21"/>
              </w:rPr>
            </w:pPr>
          </w:p>
        </w:tc>
        <w:tc>
          <w:tcPr>
            <w:tcW w:w="217" w:type="dxa"/>
          </w:tcPr>
          <w:p w14:paraId="50D77B51" w14:textId="77777777" w:rsidR="002C0FD9" w:rsidRPr="00CA25CF" w:rsidRDefault="002C0FD9" w:rsidP="00CA25CF">
            <w:pPr>
              <w:rPr>
                <w:rFonts w:cs="Arial"/>
                <w:color w:val="FF0000"/>
                <w:sz w:val="21"/>
                <w:szCs w:val="21"/>
              </w:rPr>
            </w:pPr>
          </w:p>
        </w:tc>
        <w:tc>
          <w:tcPr>
            <w:tcW w:w="217" w:type="dxa"/>
          </w:tcPr>
          <w:p w14:paraId="75A2A093" w14:textId="77777777" w:rsidR="002C0FD9" w:rsidRPr="00CA25CF" w:rsidRDefault="002C0FD9" w:rsidP="00CA25CF">
            <w:pPr>
              <w:rPr>
                <w:rFonts w:cs="Arial"/>
                <w:color w:val="FF0000"/>
                <w:sz w:val="21"/>
                <w:szCs w:val="21"/>
              </w:rPr>
            </w:pPr>
          </w:p>
        </w:tc>
        <w:tc>
          <w:tcPr>
            <w:tcW w:w="217" w:type="dxa"/>
          </w:tcPr>
          <w:p w14:paraId="7AF7128C" w14:textId="77777777" w:rsidR="002C0FD9" w:rsidRPr="00CA25CF" w:rsidRDefault="002C0FD9" w:rsidP="00CA25CF">
            <w:pPr>
              <w:rPr>
                <w:rFonts w:cs="Arial"/>
                <w:color w:val="FF0000"/>
                <w:sz w:val="21"/>
                <w:szCs w:val="21"/>
              </w:rPr>
            </w:pPr>
          </w:p>
        </w:tc>
        <w:tc>
          <w:tcPr>
            <w:tcW w:w="217" w:type="dxa"/>
          </w:tcPr>
          <w:p w14:paraId="738F7B51" w14:textId="77777777" w:rsidR="002C0FD9" w:rsidRPr="00CA25CF" w:rsidRDefault="002C0FD9" w:rsidP="00CA25CF">
            <w:pPr>
              <w:rPr>
                <w:rFonts w:cs="Arial"/>
                <w:color w:val="FF0000"/>
                <w:sz w:val="21"/>
                <w:szCs w:val="21"/>
              </w:rPr>
            </w:pPr>
          </w:p>
        </w:tc>
        <w:tc>
          <w:tcPr>
            <w:tcW w:w="217" w:type="dxa"/>
          </w:tcPr>
          <w:p w14:paraId="627AD95F" w14:textId="77777777" w:rsidR="002C0FD9" w:rsidRPr="00CA25CF" w:rsidRDefault="002C0FD9" w:rsidP="00CA25CF">
            <w:pPr>
              <w:rPr>
                <w:rFonts w:cs="Arial"/>
                <w:color w:val="FF0000"/>
                <w:sz w:val="21"/>
                <w:szCs w:val="21"/>
              </w:rPr>
            </w:pPr>
          </w:p>
        </w:tc>
        <w:tc>
          <w:tcPr>
            <w:tcW w:w="217" w:type="dxa"/>
          </w:tcPr>
          <w:p w14:paraId="1DF1F099" w14:textId="77777777" w:rsidR="002C0FD9" w:rsidRPr="00CA25CF" w:rsidRDefault="002C0FD9" w:rsidP="00CA25CF">
            <w:pPr>
              <w:rPr>
                <w:rFonts w:cs="Arial"/>
                <w:color w:val="FF0000"/>
                <w:sz w:val="21"/>
                <w:szCs w:val="21"/>
              </w:rPr>
            </w:pPr>
          </w:p>
        </w:tc>
        <w:tc>
          <w:tcPr>
            <w:tcW w:w="217" w:type="dxa"/>
          </w:tcPr>
          <w:p w14:paraId="65A7E450" w14:textId="77777777" w:rsidR="002C0FD9" w:rsidRPr="00CA25CF" w:rsidRDefault="002C0FD9" w:rsidP="00CA25CF">
            <w:pPr>
              <w:rPr>
                <w:rFonts w:cs="Arial"/>
                <w:color w:val="FF0000"/>
                <w:sz w:val="21"/>
                <w:szCs w:val="21"/>
              </w:rPr>
            </w:pPr>
          </w:p>
        </w:tc>
        <w:tc>
          <w:tcPr>
            <w:tcW w:w="217" w:type="dxa"/>
          </w:tcPr>
          <w:p w14:paraId="74EEBCE2" w14:textId="77777777" w:rsidR="002C0FD9" w:rsidRPr="00CA25CF" w:rsidRDefault="002C0FD9" w:rsidP="00CA25CF">
            <w:pPr>
              <w:rPr>
                <w:rFonts w:cs="Arial"/>
                <w:color w:val="FF0000"/>
                <w:sz w:val="21"/>
                <w:szCs w:val="21"/>
              </w:rPr>
            </w:pPr>
          </w:p>
        </w:tc>
        <w:tc>
          <w:tcPr>
            <w:tcW w:w="217" w:type="dxa"/>
          </w:tcPr>
          <w:p w14:paraId="05D1128E" w14:textId="77777777" w:rsidR="002C0FD9" w:rsidRPr="00CA25CF" w:rsidRDefault="002C0FD9" w:rsidP="00CA25CF">
            <w:pPr>
              <w:rPr>
                <w:rFonts w:cs="Arial"/>
                <w:color w:val="FF0000"/>
                <w:sz w:val="21"/>
                <w:szCs w:val="21"/>
              </w:rPr>
            </w:pPr>
          </w:p>
        </w:tc>
        <w:tc>
          <w:tcPr>
            <w:tcW w:w="217" w:type="dxa"/>
          </w:tcPr>
          <w:p w14:paraId="40C18D01" w14:textId="77777777" w:rsidR="002C0FD9" w:rsidRPr="00CA25CF" w:rsidRDefault="002C0FD9" w:rsidP="00CA25CF">
            <w:pPr>
              <w:rPr>
                <w:rFonts w:cs="Arial"/>
                <w:color w:val="FF0000"/>
                <w:sz w:val="21"/>
                <w:szCs w:val="21"/>
              </w:rPr>
            </w:pPr>
          </w:p>
        </w:tc>
        <w:tc>
          <w:tcPr>
            <w:tcW w:w="217" w:type="dxa"/>
          </w:tcPr>
          <w:p w14:paraId="5C4B3AC6" w14:textId="77777777" w:rsidR="002C0FD9" w:rsidRPr="00CA25CF" w:rsidRDefault="002C0FD9" w:rsidP="00CA25CF">
            <w:pPr>
              <w:rPr>
                <w:rFonts w:cs="Arial"/>
                <w:color w:val="FF0000"/>
                <w:sz w:val="21"/>
                <w:szCs w:val="21"/>
              </w:rPr>
            </w:pPr>
          </w:p>
        </w:tc>
        <w:tc>
          <w:tcPr>
            <w:tcW w:w="217" w:type="dxa"/>
          </w:tcPr>
          <w:p w14:paraId="4D1AAED9" w14:textId="77777777" w:rsidR="002C0FD9" w:rsidRPr="00CA25CF" w:rsidRDefault="002C0FD9" w:rsidP="00CA25CF">
            <w:pPr>
              <w:rPr>
                <w:rFonts w:cs="Arial"/>
                <w:color w:val="FF0000"/>
                <w:sz w:val="21"/>
                <w:szCs w:val="21"/>
              </w:rPr>
            </w:pPr>
          </w:p>
        </w:tc>
        <w:tc>
          <w:tcPr>
            <w:tcW w:w="217" w:type="dxa"/>
          </w:tcPr>
          <w:p w14:paraId="13B28A69" w14:textId="77777777" w:rsidR="002C0FD9" w:rsidRPr="00CA25CF" w:rsidRDefault="002C0FD9" w:rsidP="00CA25CF">
            <w:pPr>
              <w:rPr>
                <w:rFonts w:cs="Arial"/>
                <w:color w:val="FF0000"/>
                <w:sz w:val="21"/>
                <w:szCs w:val="21"/>
              </w:rPr>
            </w:pPr>
          </w:p>
        </w:tc>
        <w:tc>
          <w:tcPr>
            <w:tcW w:w="217" w:type="dxa"/>
          </w:tcPr>
          <w:p w14:paraId="43748DE0" w14:textId="77777777" w:rsidR="002C0FD9" w:rsidRPr="00CA25CF" w:rsidRDefault="002C0FD9" w:rsidP="00CA25CF">
            <w:pPr>
              <w:rPr>
                <w:rFonts w:cs="Arial"/>
                <w:color w:val="FF0000"/>
                <w:sz w:val="21"/>
                <w:szCs w:val="21"/>
              </w:rPr>
            </w:pPr>
          </w:p>
        </w:tc>
        <w:tc>
          <w:tcPr>
            <w:tcW w:w="217" w:type="dxa"/>
          </w:tcPr>
          <w:p w14:paraId="697398E6" w14:textId="77777777" w:rsidR="002C0FD9" w:rsidRPr="00CA25CF" w:rsidRDefault="002C0FD9" w:rsidP="00CA25CF">
            <w:pPr>
              <w:rPr>
                <w:rFonts w:cs="Arial"/>
                <w:color w:val="FF0000"/>
                <w:sz w:val="21"/>
                <w:szCs w:val="21"/>
              </w:rPr>
            </w:pPr>
          </w:p>
        </w:tc>
        <w:tc>
          <w:tcPr>
            <w:tcW w:w="217" w:type="dxa"/>
          </w:tcPr>
          <w:p w14:paraId="12BD972F" w14:textId="77777777" w:rsidR="002C0FD9" w:rsidRPr="00CA25CF" w:rsidRDefault="002C0FD9" w:rsidP="00CA25CF">
            <w:pPr>
              <w:rPr>
                <w:rFonts w:cs="Arial"/>
                <w:color w:val="FF0000"/>
                <w:sz w:val="21"/>
                <w:szCs w:val="21"/>
              </w:rPr>
            </w:pPr>
          </w:p>
        </w:tc>
        <w:tc>
          <w:tcPr>
            <w:tcW w:w="217" w:type="dxa"/>
          </w:tcPr>
          <w:p w14:paraId="0E5DA192" w14:textId="77777777" w:rsidR="002C0FD9" w:rsidRPr="00CA25CF" w:rsidRDefault="002C0FD9" w:rsidP="00CA25CF">
            <w:pPr>
              <w:rPr>
                <w:rFonts w:cs="Arial"/>
                <w:color w:val="FF0000"/>
                <w:sz w:val="21"/>
                <w:szCs w:val="21"/>
              </w:rPr>
            </w:pPr>
          </w:p>
        </w:tc>
        <w:tc>
          <w:tcPr>
            <w:tcW w:w="217" w:type="dxa"/>
          </w:tcPr>
          <w:p w14:paraId="390C1A0F" w14:textId="77777777" w:rsidR="002C0FD9" w:rsidRPr="00CA25CF" w:rsidRDefault="002C0FD9" w:rsidP="00CA25CF">
            <w:pPr>
              <w:rPr>
                <w:rFonts w:cs="Arial"/>
                <w:color w:val="FF0000"/>
                <w:sz w:val="21"/>
                <w:szCs w:val="21"/>
              </w:rPr>
            </w:pPr>
          </w:p>
        </w:tc>
        <w:tc>
          <w:tcPr>
            <w:tcW w:w="217" w:type="dxa"/>
          </w:tcPr>
          <w:p w14:paraId="205077E2" w14:textId="77777777" w:rsidR="002C0FD9" w:rsidRPr="00CA25CF" w:rsidRDefault="002C0FD9" w:rsidP="00CA25CF">
            <w:pPr>
              <w:rPr>
                <w:rFonts w:cs="Arial"/>
                <w:color w:val="FF0000"/>
                <w:sz w:val="21"/>
                <w:szCs w:val="21"/>
              </w:rPr>
            </w:pPr>
          </w:p>
        </w:tc>
        <w:tc>
          <w:tcPr>
            <w:tcW w:w="217" w:type="dxa"/>
          </w:tcPr>
          <w:p w14:paraId="4A13E90D" w14:textId="77777777" w:rsidR="002C0FD9" w:rsidRPr="00CA25CF" w:rsidRDefault="002C0FD9" w:rsidP="00CA25CF">
            <w:pPr>
              <w:rPr>
                <w:rFonts w:cs="Arial"/>
                <w:color w:val="FF0000"/>
                <w:sz w:val="21"/>
                <w:szCs w:val="21"/>
              </w:rPr>
            </w:pPr>
          </w:p>
        </w:tc>
        <w:tc>
          <w:tcPr>
            <w:tcW w:w="217" w:type="dxa"/>
          </w:tcPr>
          <w:p w14:paraId="78E06A4A" w14:textId="77777777" w:rsidR="002C0FD9" w:rsidRPr="00CA25CF" w:rsidRDefault="002C0FD9" w:rsidP="00CA25CF">
            <w:pPr>
              <w:rPr>
                <w:rFonts w:cs="Arial"/>
                <w:color w:val="FF0000"/>
                <w:sz w:val="21"/>
                <w:szCs w:val="21"/>
              </w:rPr>
            </w:pPr>
          </w:p>
        </w:tc>
        <w:tc>
          <w:tcPr>
            <w:tcW w:w="217" w:type="dxa"/>
          </w:tcPr>
          <w:p w14:paraId="545A9F87" w14:textId="77777777" w:rsidR="002C0FD9" w:rsidRPr="00CA25CF" w:rsidRDefault="002C0FD9" w:rsidP="00CA25CF">
            <w:pPr>
              <w:rPr>
                <w:rFonts w:cs="Arial"/>
                <w:color w:val="FF0000"/>
                <w:sz w:val="21"/>
                <w:szCs w:val="21"/>
              </w:rPr>
            </w:pPr>
          </w:p>
        </w:tc>
        <w:tc>
          <w:tcPr>
            <w:tcW w:w="217" w:type="dxa"/>
          </w:tcPr>
          <w:p w14:paraId="33A6E79E" w14:textId="77777777" w:rsidR="002C0FD9" w:rsidRPr="00CA25CF" w:rsidRDefault="002C0FD9" w:rsidP="00CA25CF">
            <w:pPr>
              <w:rPr>
                <w:rFonts w:cs="Arial"/>
                <w:color w:val="FF0000"/>
                <w:sz w:val="21"/>
                <w:szCs w:val="21"/>
              </w:rPr>
            </w:pPr>
          </w:p>
        </w:tc>
        <w:tc>
          <w:tcPr>
            <w:tcW w:w="217" w:type="dxa"/>
          </w:tcPr>
          <w:p w14:paraId="25106F9E" w14:textId="77777777" w:rsidR="002C0FD9" w:rsidRPr="00CA25CF" w:rsidRDefault="002C0FD9" w:rsidP="00CA25CF">
            <w:pPr>
              <w:rPr>
                <w:rFonts w:cs="Arial"/>
                <w:color w:val="FF0000"/>
                <w:sz w:val="21"/>
                <w:szCs w:val="21"/>
              </w:rPr>
            </w:pPr>
          </w:p>
        </w:tc>
        <w:tc>
          <w:tcPr>
            <w:tcW w:w="217" w:type="dxa"/>
          </w:tcPr>
          <w:p w14:paraId="0296C45D" w14:textId="77777777" w:rsidR="002C0FD9" w:rsidRPr="00CA25CF" w:rsidRDefault="002C0FD9" w:rsidP="00CA25CF">
            <w:pPr>
              <w:rPr>
                <w:rFonts w:cs="Arial"/>
                <w:color w:val="FF0000"/>
                <w:sz w:val="21"/>
                <w:szCs w:val="21"/>
              </w:rPr>
            </w:pPr>
          </w:p>
        </w:tc>
        <w:tc>
          <w:tcPr>
            <w:tcW w:w="217" w:type="dxa"/>
          </w:tcPr>
          <w:p w14:paraId="6CF7CD98" w14:textId="77777777" w:rsidR="002C0FD9" w:rsidRPr="00CA25CF" w:rsidRDefault="002C0FD9" w:rsidP="00CA25CF">
            <w:pPr>
              <w:rPr>
                <w:rFonts w:cs="Arial"/>
                <w:color w:val="FF0000"/>
                <w:sz w:val="21"/>
                <w:szCs w:val="21"/>
              </w:rPr>
            </w:pPr>
          </w:p>
        </w:tc>
        <w:tc>
          <w:tcPr>
            <w:tcW w:w="217" w:type="dxa"/>
          </w:tcPr>
          <w:p w14:paraId="799727B2" w14:textId="77777777" w:rsidR="002C0FD9" w:rsidRPr="00CA25CF" w:rsidRDefault="002C0FD9" w:rsidP="00CA25CF">
            <w:pPr>
              <w:rPr>
                <w:rFonts w:cs="Arial"/>
                <w:color w:val="FF0000"/>
                <w:sz w:val="21"/>
                <w:szCs w:val="21"/>
              </w:rPr>
            </w:pPr>
          </w:p>
        </w:tc>
        <w:tc>
          <w:tcPr>
            <w:tcW w:w="217" w:type="dxa"/>
          </w:tcPr>
          <w:p w14:paraId="36DAC296" w14:textId="77777777" w:rsidR="002C0FD9" w:rsidRPr="00CA25CF" w:rsidRDefault="002C0FD9" w:rsidP="00CA25CF">
            <w:pPr>
              <w:rPr>
                <w:rFonts w:cs="Arial"/>
                <w:color w:val="FF0000"/>
                <w:sz w:val="21"/>
                <w:szCs w:val="21"/>
              </w:rPr>
            </w:pPr>
          </w:p>
        </w:tc>
        <w:tc>
          <w:tcPr>
            <w:tcW w:w="217" w:type="dxa"/>
          </w:tcPr>
          <w:p w14:paraId="0167D621" w14:textId="77777777" w:rsidR="002C0FD9" w:rsidRPr="00CA25CF" w:rsidRDefault="002C0FD9" w:rsidP="00CA25CF">
            <w:pPr>
              <w:rPr>
                <w:rFonts w:cs="Arial"/>
                <w:color w:val="FF0000"/>
                <w:sz w:val="21"/>
                <w:szCs w:val="21"/>
              </w:rPr>
            </w:pPr>
          </w:p>
        </w:tc>
        <w:tc>
          <w:tcPr>
            <w:tcW w:w="217" w:type="dxa"/>
          </w:tcPr>
          <w:p w14:paraId="078E571B" w14:textId="77777777" w:rsidR="002C0FD9" w:rsidRPr="00CA25CF" w:rsidRDefault="002C0FD9" w:rsidP="00CA25CF">
            <w:pPr>
              <w:rPr>
                <w:rFonts w:cs="Arial"/>
                <w:color w:val="FF0000"/>
                <w:sz w:val="21"/>
                <w:szCs w:val="21"/>
              </w:rPr>
            </w:pPr>
          </w:p>
        </w:tc>
        <w:tc>
          <w:tcPr>
            <w:tcW w:w="217" w:type="dxa"/>
          </w:tcPr>
          <w:p w14:paraId="7AB0533D" w14:textId="77777777" w:rsidR="002C0FD9" w:rsidRPr="00CA25CF" w:rsidRDefault="002C0FD9" w:rsidP="00CA25CF">
            <w:pPr>
              <w:rPr>
                <w:rFonts w:cs="Arial"/>
                <w:color w:val="FF0000"/>
                <w:sz w:val="21"/>
                <w:szCs w:val="21"/>
              </w:rPr>
            </w:pPr>
          </w:p>
        </w:tc>
        <w:tc>
          <w:tcPr>
            <w:tcW w:w="217" w:type="dxa"/>
          </w:tcPr>
          <w:p w14:paraId="59764BD9" w14:textId="77777777" w:rsidR="002C0FD9" w:rsidRPr="00CA25CF" w:rsidRDefault="002C0FD9" w:rsidP="00CA25CF">
            <w:pPr>
              <w:rPr>
                <w:rFonts w:cs="Arial"/>
                <w:color w:val="FF0000"/>
                <w:sz w:val="21"/>
                <w:szCs w:val="21"/>
              </w:rPr>
            </w:pPr>
          </w:p>
        </w:tc>
        <w:tc>
          <w:tcPr>
            <w:tcW w:w="217" w:type="dxa"/>
          </w:tcPr>
          <w:p w14:paraId="2A48AFA8" w14:textId="77777777" w:rsidR="002C0FD9" w:rsidRPr="00CA25CF" w:rsidRDefault="002C0FD9" w:rsidP="00CA25CF">
            <w:pPr>
              <w:rPr>
                <w:rFonts w:cs="Arial"/>
                <w:color w:val="FF0000"/>
                <w:sz w:val="21"/>
                <w:szCs w:val="21"/>
              </w:rPr>
            </w:pPr>
          </w:p>
        </w:tc>
        <w:tc>
          <w:tcPr>
            <w:tcW w:w="217" w:type="dxa"/>
          </w:tcPr>
          <w:p w14:paraId="4187821E" w14:textId="77777777" w:rsidR="002C0FD9" w:rsidRPr="00CA25CF" w:rsidRDefault="002C0FD9" w:rsidP="00CA25CF">
            <w:pPr>
              <w:rPr>
                <w:rFonts w:cs="Arial"/>
                <w:color w:val="FF0000"/>
                <w:sz w:val="21"/>
                <w:szCs w:val="21"/>
              </w:rPr>
            </w:pPr>
          </w:p>
        </w:tc>
        <w:tc>
          <w:tcPr>
            <w:tcW w:w="217" w:type="dxa"/>
          </w:tcPr>
          <w:p w14:paraId="06979AAF" w14:textId="77777777" w:rsidR="002C0FD9" w:rsidRPr="00CA25CF" w:rsidRDefault="002C0FD9" w:rsidP="00CA25CF">
            <w:pPr>
              <w:rPr>
                <w:rFonts w:cs="Arial"/>
                <w:color w:val="FF0000"/>
                <w:sz w:val="21"/>
                <w:szCs w:val="21"/>
              </w:rPr>
            </w:pPr>
          </w:p>
        </w:tc>
        <w:tc>
          <w:tcPr>
            <w:tcW w:w="217" w:type="dxa"/>
          </w:tcPr>
          <w:p w14:paraId="0115E0A1" w14:textId="77777777" w:rsidR="002C0FD9" w:rsidRPr="00CA25CF" w:rsidRDefault="002C0FD9" w:rsidP="00CA25CF">
            <w:pPr>
              <w:rPr>
                <w:rFonts w:cs="Arial"/>
                <w:color w:val="FF0000"/>
                <w:sz w:val="21"/>
                <w:szCs w:val="21"/>
              </w:rPr>
            </w:pPr>
          </w:p>
        </w:tc>
      </w:tr>
      <w:tr w:rsidR="002C0FD9" w:rsidRPr="00A16219" w14:paraId="649E5352" w14:textId="77777777" w:rsidTr="002C0FD9">
        <w:trPr>
          <w:trHeight w:val="635"/>
        </w:trPr>
        <w:tc>
          <w:tcPr>
            <w:tcW w:w="515" w:type="dxa"/>
          </w:tcPr>
          <w:p w14:paraId="0D26F6CA" w14:textId="77777777" w:rsidR="002C0FD9" w:rsidRPr="00CA25CF" w:rsidRDefault="002C0FD9" w:rsidP="00CA25CF">
            <w:pPr>
              <w:rPr>
                <w:rFonts w:cs="Arial"/>
                <w:color w:val="FF0000"/>
                <w:sz w:val="21"/>
                <w:szCs w:val="21"/>
              </w:rPr>
            </w:pPr>
          </w:p>
        </w:tc>
        <w:tc>
          <w:tcPr>
            <w:tcW w:w="217" w:type="dxa"/>
          </w:tcPr>
          <w:p w14:paraId="2AD65E94" w14:textId="77777777" w:rsidR="002C0FD9" w:rsidRPr="00CA25CF" w:rsidRDefault="002C0FD9" w:rsidP="00CA25CF">
            <w:pPr>
              <w:rPr>
                <w:rFonts w:cs="Arial"/>
                <w:color w:val="FF0000"/>
                <w:sz w:val="21"/>
                <w:szCs w:val="21"/>
              </w:rPr>
            </w:pPr>
          </w:p>
        </w:tc>
        <w:tc>
          <w:tcPr>
            <w:tcW w:w="217" w:type="dxa"/>
          </w:tcPr>
          <w:p w14:paraId="7CF71A45" w14:textId="77777777" w:rsidR="002C0FD9" w:rsidRPr="00CA25CF" w:rsidRDefault="002C0FD9" w:rsidP="00CA25CF">
            <w:pPr>
              <w:rPr>
                <w:rFonts w:cs="Arial"/>
                <w:color w:val="FF0000"/>
                <w:sz w:val="21"/>
                <w:szCs w:val="21"/>
              </w:rPr>
            </w:pPr>
          </w:p>
        </w:tc>
        <w:tc>
          <w:tcPr>
            <w:tcW w:w="217" w:type="dxa"/>
          </w:tcPr>
          <w:p w14:paraId="2EB7C659" w14:textId="77777777" w:rsidR="002C0FD9" w:rsidRPr="00CA25CF" w:rsidRDefault="002C0FD9" w:rsidP="00CA25CF">
            <w:pPr>
              <w:rPr>
                <w:rFonts w:cs="Arial"/>
                <w:color w:val="FF0000"/>
                <w:sz w:val="21"/>
                <w:szCs w:val="21"/>
              </w:rPr>
            </w:pPr>
          </w:p>
        </w:tc>
        <w:tc>
          <w:tcPr>
            <w:tcW w:w="217" w:type="dxa"/>
          </w:tcPr>
          <w:p w14:paraId="5B4112C8" w14:textId="77777777" w:rsidR="002C0FD9" w:rsidRPr="00CA25CF" w:rsidRDefault="002C0FD9" w:rsidP="00CA25CF">
            <w:pPr>
              <w:rPr>
                <w:rFonts w:cs="Arial"/>
                <w:color w:val="FF0000"/>
                <w:sz w:val="21"/>
                <w:szCs w:val="21"/>
              </w:rPr>
            </w:pPr>
          </w:p>
        </w:tc>
        <w:tc>
          <w:tcPr>
            <w:tcW w:w="217" w:type="dxa"/>
          </w:tcPr>
          <w:p w14:paraId="6A7A6350" w14:textId="77777777" w:rsidR="002C0FD9" w:rsidRPr="00CA25CF" w:rsidRDefault="002C0FD9" w:rsidP="00CA25CF">
            <w:pPr>
              <w:rPr>
                <w:rFonts w:cs="Arial"/>
                <w:color w:val="FF0000"/>
                <w:sz w:val="21"/>
                <w:szCs w:val="21"/>
              </w:rPr>
            </w:pPr>
          </w:p>
        </w:tc>
        <w:tc>
          <w:tcPr>
            <w:tcW w:w="217" w:type="dxa"/>
          </w:tcPr>
          <w:p w14:paraId="7440DA09" w14:textId="77777777" w:rsidR="002C0FD9" w:rsidRPr="00CA25CF" w:rsidRDefault="002C0FD9" w:rsidP="00CA25CF">
            <w:pPr>
              <w:rPr>
                <w:rFonts w:cs="Arial"/>
                <w:color w:val="FF0000"/>
                <w:sz w:val="21"/>
                <w:szCs w:val="21"/>
              </w:rPr>
            </w:pPr>
          </w:p>
        </w:tc>
        <w:tc>
          <w:tcPr>
            <w:tcW w:w="217" w:type="dxa"/>
          </w:tcPr>
          <w:p w14:paraId="76F993A3" w14:textId="77777777" w:rsidR="002C0FD9" w:rsidRPr="00CA25CF" w:rsidRDefault="002C0FD9" w:rsidP="00CA25CF">
            <w:pPr>
              <w:rPr>
                <w:rFonts w:cs="Arial"/>
                <w:color w:val="FF0000"/>
                <w:sz w:val="21"/>
                <w:szCs w:val="21"/>
              </w:rPr>
            </w:pPr>
          </w:p>
        </w:tc>
        <w:tc>
          <w:tcPr>
            <w:tcW w:w="217" w:type="dxa"/>
          </w:tcPr>
          <w:p w14:paraId="5FA1C488" w14:textId="77777777" w:rsidR="002C0FD9" w:rsidRPr="00CA25CF" w:rsidRDefault="002C0FD9" w:rsidP="00CA25CF">
            <w:pPr>
              <w:rPr>
                <w:rFonts w:cs="Arial"/>
                <w:color w:val="FF0000"/>
                <w:sz w:val="21"/>
                <w:szCs w:val="21"/>
              </w:rPr>
            </w:pPr>
          </w:p>
        </w:tc>
        <w:tc>
          <w:tcPr>
            <w:tcW w:w="217" w:type="dxa"/>
          </w:tcPr>
          <w:p w14:paraId="5BFD7A09" w14:textId="77777777" w:rsidR="002C0FD9" w:rsidRPr="00CA25CF" w:rsidRDefault="002C0FD9" w:rsidP="00CA25CF">
            <w:pPr>
              <w:rPr>
                <w:rFonts w:cs="Arial"/>
                <w:color w:val="FF0000"/>
                <w:sz w:val="21"/>
                <w:szCs w:val="21"/>
              </w:rPr>
            </w:pPr>
          </w:p>
        </w:tc>
        <w:tc>
          <w:tcPr>
            <w:tcW w:w="217" w:type="dxa"/>
          </w:tcPr>
          <w:p w14:paraId="263F82F0" w14:textId="77777777" w:rsidR="002C0FD9" w:rsidRPr="00CA25CF" w:rsidRDefault="002C0FD9" w:rsidP="00CA25CF">
            <w:pPr>
              <w:rPr>
                <w:rFonts w:cs="Arial"/>
                <w:color w:val="FF0000"/>
                <w:sz w:val="21"/>
                <w:szCs w:val="21"/>
              </w:rPr>
            </w:pPr>
          </w:p>
        </w:tc>
        <w:tc>
          <w:tcPr>
            <w:tcW w:w="217" w:type="dxa"/>
          </w:tcPr>
          <w:p w14:paraId="6D8EF897" w14:textId="77777777" w:rsidR="002C0FD9" w:rsidRPr="00CA25CF" w:rsidRDefault="002C0FD9" w:rsidP="00CA25CF">
            <w:pPr>
              <w:rPr>
                <w:rFonts w:cs="Arial"/>
                <w:color w:val="FF0000"/>
                <w:sz w:val="21"/>
                <w:szCs w:val="21"/>
              </w:rPr>
            </w:pPr>
          </w:p>
        </w:tc>
        <w:tc>
          <w:tcPr>
            <w:tcW w:w="217" w:type="dxa"/>
          </w:tcPr>
          <w:p w14:paraId="20E3BD08" w14:textId="77777777" w:rsidR="002C0FD9" w:rsidRPr="00CA25CF" w:rsidRDefault="002C0FD9" w:rsidP="00CA25CF">
            <w:pPr>
              <w:rPr>
                <w:rFonts w:cs="Arial"/>
                <w:color w:val="FF0000"/>
                <w:sz w:val="21"/>
                <w:szCs w:val="21"/>
              </w:rPr>
            </w:pPr>
          </w:p>
        </w:tc>
        <w:tc>
          <w:tcPr>
            <w:tcW w:w="217" w:type="dxa"/>
          </w:tcPr>
          <w:p w14:paraId="5BD79F44" w14:textId="77777777" w:rsidR="002C0FD9" w:rsidRPr="00CA25CF" w:rsidRDefault="002C0FD9" w:rsidP="00CA25CF">
            <w:pPr>
              <w:rPr>
                <w:rFonts w:cs="Arial"/>
                <w:color w:val="FF0000"/>
                <w:sz w:val="21"/>
                <w:szCs w:val="21"/>
              </w:rPr>
            </w:pPr>
          </w:p>
        </w:tc>
        <w:tc>
          <w:tcPr>
            <w:tcW w:w="217" w:type="dxa"/>
          </w:tcPr>
          <w:p w14:paraId="7A05D8DA" w14:textId="77777777" w:rsidR="002C0FD9" w:rsidRPr="00CA25CF" w:rsidRDefault="002C0FD9" w:rsidP="00CA25CF">
            <w:pPr>
              <w:rPr>
                <w:rFonts w:cs="Arial"/>
                <w:color w:val="FF0000"/>
                <w:sz w:val="21"/>
                <w:szCs w:val="21"/>
              </w:rPr>
            </w:pPr>
          </w:p>
        </w:tc>
        <w:tc>
          <w:tcPr>
            <w:tcW w:w="217" w:type="dxa"/>
          </w:tcPr>
          <w:p w14:paraId="4D5D2BA4" w14:textId="77777777" w:rsidR="002C0FD9" w:rsidRPr="00CA25CF" w:rsidRDefault="002C0FD9" w:rsidP="00CA25CF">
            <w:pPr>
              <w:rPr>
                <w:rFonts w:cs="Arial"/>
                <w:color w:val="FF0000"/>
                <w:sz w:val="21"/>
                <w:szCs w:val="21"/>
              </w:rPr>
            </w:pPr>
          </w:p>
        </w:tc>
        <w:tc>
          <w:tcPr>
            <w:tcW w:w="217" w:type="dxa"/>
          </w:tcPr>
          <w:p w14:paraId="0A600394" w14:textId="77777777" w:rsidR="002C0FD9" w:rsidRPr="00CA25CF" w:rsidRDefault="002C0FD9" w:rsidP="00CA25CF">
            <w:pPr>
              <w:rPr>
                <w:rFonts w:cs="Arial"/>
                <w:color w:val="FF0000"/>
                <w:sz w:val="21"/>
                <w:szCs w:val="21"/>
              </w:rPr>
            </w:pPr>
          </w:p>
        </w:tc>
        <w:tc>
          <w:tcPr>
            <w:tcW w:w="217" w:type="dxa"/>
          </w:tcPr>
          <w:p w14:paraId="207605CE" w14:textId="77777777" w:rsidR="002C0FD9" w:rsidRPr="00CA25CF" w:rsidRDefault="002C0FD9" w:rsidP="00CA25CF">
            <w:pPr>
              <w:rPr>
                <w:rFonts w:cs="Arial"/>
                <w:color w:val="FF0000"/>
                <w:sz w:val="21"/>
                <w:szCs w:val="21"/>
              </w:rPr>
            </w:pPr>
          </w:p>
        </w:tc>
        <w:tc>
          <w:tcPr>
            <w:tcW w:w="217" w:type="dxa"/>
          </w:tcPr>
          <w:p w14:paraId="6AC97CC9" w14:textId="77777777" w:rsidR="002C0FD9" w:rsidRPr="00CA25CF" w:rsidRDefault="002C0FD9" w:rsidP="00CA25CF">
            <w:pPr>
              <w:rPr>
                <w:rFonts w:cs="Arial"/>
                <w:color w:val="FF0000"/>
                <w:sz w:val="21"/>
                <w:szCs w:val="21"/>
              </w:rPr>
            </w:pPr>
          </w:p>
        </w:tc>
        <w:tc>
          <w:tcPr>
            <w:tcW w:w="217" w:type="dxa"/>
          </w:tcPr>
          <w:p w14:paraId="4EC519C3" w14:textId="77777777" w:rsidR="002C0FD9" w:rsidRPr="00CA25CF" w:rsidRDefault="002C0FD9" w:rsidP="00CA25CF">
            <w:pPr>
              <w:rPr>
                <w:rFonts w:cs="Arial"/>
                <w:color w:val="FF0000"/>
                <w:sz w:val="21"/>
                <w:szCs w:val="21"/>
              </w:rPr>
            </w:pPr>
          </w:p>
        </w:tc>
        <w:tc>
          <w:tcPr>
            <w:tcW w:w="217" w:type="dxa"/>
          </w:tcPr>
          <w:p w14:paraId="7A7A3982" w14:textId="77777777" w:rsidR="002C0FD9" w:rsidRPr="00CA25CF" w:rsidRDefault="002C0FD9" w:rsidP="00CA25CF">
            <w:pPr>
              <w:rPr>
                <w:rFonts w:cs="Arial"/>
                <w:color w:val="FF0000"/>
                <w:sz w:val="21"/>
                <w:szCs w:val="21"/>
              </w:rPr>
            </w:pPr>
          </w:p>
        </w:tc>
        <w:tc>
          <w:tcPr>
            <w:tcW w:w="217" w:type="dxa"/>
          </w:tcPr>
          <w:p w14:paraId="3DFD311B" w14:textId="77777777" w:rsidR="002C0FD9" w:rsidRPr="00CA25CF" w:rsidRDefault="002C0FD9" w:rsidP="00CA25CF">
            <w:pPr>
              <w:rPr>
                <w:rFonts w:cs="Arial"/>
                <w:color w:val="FF0000"/>
                <w:sz w:val="21"/>
                <w:szCs w:val="21"/>
              </w:rPr>
            </w:pPr>
          </w:p>
        </w:tc>
        <w:tc>
          <w:tcPr>
            <w:tcW w:w="217" w:type="dxa"/>
          </w:tcPr>
          <w:p w14:paraId="35519C78" w14:textId="77777777" w:rsidR="002C0FD9" w:rsidRPr="00CA25CF" w:rsidRDefault="002C0FD9" w:rsidP="00CA25CF">
            <w:pPr>
              <w:rPr>
                <w:rFonts w:cs="Arial"/>
                <w:color w:val="FF0000"/>
                <w:sz w:val="21"/>
                <w:szCs w:val="21"/>
              </w:rPr>
            </w:pPr>
          </w:p>
        </w:tc>
        <w:tc>
          <w:tcPr>
            <w:tcW w:w="217" w:type="dxa"/>
          </w:tcPr>
          <w:p w14:paraId="16EC8243" w14:textId="77777777" w:rsidR="002C0FD9" w:rsidRPr="00CA25CF" w:rsidRDefault="002C0FD9" w:rsidP="00CA25CF">
            <w:pPr>
              <w:rPr>
                <w:rFonts w:cs="Arial"/>
                <w:color w:val="FF0000"/>
                <w:sz w:val="21"/>
                <w:szCs w:val="21"/>
              </w:rPr>
            </w:pPr>
          </w:p>
        </w:tc>
        <w:tc>
          <w:tcPr>
            <w:tcW w:w="217" w:type="dxa"/>
          </w:tcPr>
          <w:p w14:paraId="0A4DEF94" w14:textId="77777777" w:rsidR="002C0FD9" w:rsidRPr="00CA25CF" w:rsidRDefault="002C0FD9" w:rsidP="00CA25CF">
            <w:pPr>
              <w:rPr>
                <w:rFonts w:cs="Arial"/>
                <w:color w:val="FF0000"/>
                <w:sz w:val="21"/>
                <w:szCs w:val="21"/>
              </w:rPr>
            </w:pPr>
          </w:p>
        </w:tc>
        <w:tc>
          <w:tcPr>
            <w:tcW w:w="217" w:type="dxa"/>
          </w:tcPr>
          <w:p w14:paraId="6AECACD2" w14:textId="77777777" w:rsidR="002C0FD9" w:rsidRPr="00CA25CF" w:rsidRDefault="002C0FD9" w:rsidP="00CA25CF">
            <w:pPr>
              <w:rPr>
                <w:rFonts w:cs="Arial"/>
                <w:color w:val="FF0000"/>
                <w:sz w:val="21"/>
                <w:szCs w:val="21"/>
              </w:rPr>
            </w:pPr>
          </w:p>
        </w:tc>
        <w:tc>
          <w:tcPr>
            <w:tcW w:w="217" w:type="dxa"/>
          </w:tcPr>
          <w:p w14:paraId="14AEED00" w14:textId="77777777" w:rsidR="002C0FD9" w:rsidRPr="00CA25CF" w:rsidRDefault="002C0FD9" w:rsidP="00CA25CF">
            <w:pPr>
              <w:rPr>
                <w:rFonts w:cs="Arial"/>
                <w:color w:val="FF0000"/>
                <w:sz w:val="21"/>
                <w:szCs w:val="21"/>
              </w:rPr>
            </w:pPr>
          </w:p>
        </w:tc>
        <w:tc>
          <w:tcPr>
            <w:tcW w:w="217" w:type="dxa"/>
          </w:tcPr>
          <w:p w14:paraId="15C6E475" w14:textId="77777777" w:rsidR="002C0FD9" w:rsidRPr="00CA25CF" w:rsidRDefault="002C0FD9" w:rsidP="00CA25CF">
            <w:pPr>
              <w:rPr>
                <w:rFonts w:cs="Arial"/>
                <w:color w:val="FF0000"/>
                <w:sz w:val="21"/>
                <w:szCs w:val="21"/>
              </w:rPr>
            </w:pPr>
          </w:p>
        </w:tc>
        <w:tc>
          <w:tcPr>
            <w:tcW w:w="217" w:type="dxa"/>
          </w:tcPr>
          <w:p w14:paraId="0A370C9D" w14:textId="77777777" w:rsidR="002C0FD9" w:rsidRPr="00CA25CF" w:rsidRDefault="002C0FD9" w:rsidP="00CA25CF">
            <w:pPr>
              <w:rPr>
                <w:rFonts w:cs="Arial"/>
                <w:color w:val="FF0000"/>
                <w:sz w:val="21"/>
                <w:szCs w:val="21"/>
              </w:rPr>
            </w:pPr>
          </w:p>
        </w:tc>
        <w:tc>
          <w:tcPr>
            <w:tcW w:w="217" w:type="dxa"/>
          </w:tcPr>
          <w:p w14:paraId="7CEB87AC" w14:textId="77777777" w:rsidR="002C0FD9" w:rsidRPr="00CA25CF" w:rsidRDefault="002C0FD9" w:rsidP="00CA25CF">
            <w:pPr>
              <w:rPr>
                <w:rFonts w:cs="Arial"/>
                <w:color w:val="FF0000"/>
                <w:sz w:val="21"/>
                <w:szCs w:val="21"/>
              </w:rPr>
            </w:pPr>
          </w:p>
        </w:tc>
        <w:tc>
          <w:tcPr>
            <w:tcW w:w="217" w:type="dxa"/>
          </w:tcPr>
          <w:p w14:paraId="72C0CADE" w14:textId="77777777" w:rsidR="002C0FD9" w:rsidRPr="00CA25CF" w:rsidRDefault="002C0FD9" w:rsidP="00CA25CF">
            <w:pPr>
              <w:rPr>
                <w:rFonts w:cs="Arial"/>
                <w:color w:val="FF0000"/>
                <w:sz w:val="21"/>
                <w:szCs w:val="21"/>
              </w:rPr>
            </w:pPr>
          </w:p>
        </w:tc>
        <w:tc>
          <w:tcPr>
            <w:tcW w:w="217" w:type="dxa"/>
          </w:tcPr>
          <w:p w14:paraId="69338A60" w14:textId="77777777" w:rsidR="002C0FD9" w:rsidRPr="00CA25CF" w:rsidRDefault="002C0FD9" w:rsidP="00CA25CF">
            <w:pPr>
              <w:rPr>
                <w:rFonts w:cs="Arial"/>
                <w:color w:val="FF0000"/>
                <w:sz w:val="21"/>
                <w:szCs w:val="21"/>
              </w:rPr>
            </w:pPr>
          </w:p>
        </w:tc>
        <w:tc>
          <w:tcPr>
            <w:tcW w:w="217" w:type="dxa"/>
          </w:tcPr>
          <w:p w14:paraId="79507C15" w14:textId="77777777" w:rsidR="002C0FD9" w:rsidRPr="00CA25CF" w:rsidRDefault="002C0FD9" w:rsidP="00CA25CF">
            <w:pPr>
              <w:rPr>
                <w:rFonts w:cs="Arial"/>
                <w:color w:val="FF0000"/>
                <w:sz w:val="21"/>
                <w:szCs w:val="21"/>
              </w:rPr>
            </w:pPr>
          </w:p>
        </w:tc>
        <w:tc>
          <w:tcPr>
            <w:tcW w:w="217" w:type="dxa"/>
          </w:tcPr>
          <w:p w14:paraId="1FB53175" w14:textId="77777777" w:rsidR="002C0FD9" w:rsidRPr="00CA25CF" w:rsidRDefault="002C0FD9" w:rsidP="00CA25CF">
            <w:pPr>
              <w:rPr>
                <w:rFonts w:cs="Arial"/>
                <w:color w:val="FF0000"/>
                <w:sz w:val="21"/>
                <w:szCs w:val="21"/>
              </w:rPr>
            </w:pPr>
          </w:p>
        </w:tc>
        <w:tc>
          <w:tcPr>
            <w:tcW w:w="217" w:type="dxa"/>
          </w:tcPr>
          <w:p w14:paraId="05372AB4" w14:textId="77777777" w:rsidR="002C0FD9" w:rsidRPr="00CA25CF" w:rsidRDefault="002C0FD9" w:rsidP="00CA25CF">
            <w:pPr>
              <w:rPr>
                <w:rFonts w:cs="Arial"/>
                <w:color w:val="FF0000"/>
                <w:sz w:val="21"/>
                <w:szCs w:val="21"/>
              </w:rPr>
            </w:pPr>
          </w:p>
        </w:tc>
        <w:tc>
          <w:tcPr>
            <w:tcW w:w="217" w:type="dxa"/>
          </w:tcPr>
          <w:p w14:paraId="306DDCA9" w14:textId="77777777" w:rsidR="002C0FD9" w:rsidRPr="00CA25CF" w:rsidRDefault="002C0FD9" w:rsidP="00CA25CF">
            <w:pPr>
              <w:rPr>
                <w:rFonts w:cs="Arial"/>
                <w:color w:val="FF0000"/>
                <w:sz w:val="21"/>
                <w:szCs w:val="21"/>
              </w:rPr>
            </w:pPr>
          </w:p>
        </w:tc>
        <w:tc>
          <w:tcPr>
            <w:tcW w:w="217" w:type="dxa"/>
          </w:tcPr>
          <w:p w14:paraId="01B70BC0" w14:textId="77777777" w:rsidR="002C0FD9" w:rsidRPr="00CA25CF" w:rsidRDefault="002C0FD9" w:rsidP="00CA25CF">
            <w:pPr>
              <w:rPr>
                <w:rFonts w:cs="Arial"/>
                <w:color w:val="FF0000"/>
                <w:sz w:val="21"/>
                <w:szCs w:val="21"/>
              </w:rPr>
            </w:pPr>
          </w:p>
        </w:tc>
        <w:tc>
          <w:tcPr>
            <w:tcW w:w="217" w:type="dxa"/>
          </w:tcPr>
          <w:p w14:paraId="664A7BBF" w14:textId="77777777" w:rsidR="002C0FD9" w:rsidRPr="00CA25CF" w:rsidRDefault="002C0FD9" w:rsidP="00CA25CF">
            <w:pPr>
              <w:rPr>
                <w:rFonts w:cs="Arial"/>
                <w:color w:val="FF0000"/>
                <w:sz w:val="21"/>
                <w:szCs w:val="21"/>
              </w:rPr>
            </w:pPr>
          </w:p>
        </w:tc>
        <w:tc>
          <w:tcPr>
            <w:tcW w:w="217" w:type="dxa"/>
          </w:tcPr>
          <w:p w14:paraId="527A34AA" w14:textId="77777777" w:rsidR="002C0FD9" w:rsidRPr="00CA25CF" w:rsidRDefault="002C0FD9" w:rsidP="00CA25CF">
            <w:pPr>
              <w:rPr>
                <w:rFonts w:cs="Arial"/>
                <w:color w:val="FF0000"/>
                <w:sz w:val="21"/>
                <w:szCs w:val="21"/>
              </w:rPr>
            </w:pPr>
          </w:p>
        </w:tc>
        <w:tc>
          <w:tcPr>
            <w:tcW w:w="217" w:type="dxa"/>
          </w:tcPr>
          <w:p w14:paraId="35434C47" w14:textId="77777777" w:rsidR="002C0FD9" w:rsidRPr="00CA25CF" w:rsidRDefault="002C0FD9" w:rsidP="00CA25CF">
            <w:pPr>
              <w:rPr>
                <w:rFonts w:cs="Arial"/>
                <w:color w:val="FF0000"/>
                <w:sz w:val="21"/>
                <w:szCs w:val="21"/>
              </w:rPr>
            </w:pPr>
          </w:p>
        </w:tc>
        <w:tc>
          <w:tcPr>
            <w:tcW w:w="217" w:type="dxa"/>
          </w:tcPr>
          <w:p w14:paraId="71D2168F" w14:textId="77777777" w:rsidR="002C0FD9" w:rsidRPr="00CA25CF" w:rsidRDefault="002C0FD9" w:rsidP="00CA25CF">
            <w:pPr>
              <w:rPr>
                <w:rFonts w:cs="Arial"/>
                <w:color w:val="FF0000"/>
                <w:sz w:val="21"/>
                <w:szCs w:val="21"/>
              </w:rPr>
            </w:pPr>
          </w:p>
        </w:tc>
        <w:tc>
          <w:tcPr>
            <w:tcW w:w="217" w:type="dxa"/>
          </w:tcPr>
          <w:p w14:paraId="23B852D4" w14:textId="77777777" w:rsidR="002C0FD9" w:rsidRPr="00CA25CF" w:rsidRDefault="002C0FD9" w:rsidP="00CA25CF">
            <w:pPr>
              <w:rPr>
                <w:rFonts w:cs="Arial"/>
                <w:color w:val="FF0000"/>
                <w:sz w:val="21"/>
                <w:szCs w:val="21"/>
              </w:rPr>
            </w:pPr>
          </w:p>
        </w:tc>
        <w:tc>
          <w:tcPr>
            <w:tcW w:w="217" w:type="dxa"/>
          </w:tcPr>
          <w:p w14:paraId="714E51A0" w14:textId="77777777" w:rsidR="002C0FD9" w:rsidRPr="00CA25CF" w:rsidRDefault="002C0FD9" w:rsidP="00CA25CF">
            <w:pPr>
              <w:rPr>
                <w:rFonts w:cs="Arial"/>
                <w:color w:val="FF0000"/>
                <w:sz w:val="21"/>
                <w:szCs w:val="21"/>
              </w:rPr>
            </w:pPr>
          </w:p>
        </w:tc>
      </w:tr>
      <w:tr w:rsidR="002C0FD9" w:rsidRPr="00A16219" w14:paraId="61552262" w14:textId="77777777" w:rsidTr="002C0FD9">
        <w:trPr>
          <w:trHeight w:val="635"/>
        </w:trPr>
        <w:tc>
          <w:tcPr>
            <w:tcW w:w="515" w:type="dxa"/>
          </w:tcPr>
          <w:p w14:paraId="28EF55B8" w14:textId="77777777" w:rsidR="002C0FD9" w:rsidRPr="00CA25CF" w:rsidRDefault="002C0FD9" w:rsidP="00CA25CF">
            <w:pPr>
              <w:rPr>
                <w:rFonts w:cs="Arial"/>
                <w:color w:val="FF0000"/>
                <w:sz w:val="21"/>
                <w:szCs w:val="21"/>
              </w:rPr>
            </w:pPr>
          </w:p>
        </w:tc>
        <w:tc>
          <w:tcPr>
            <w:tcW w:w="217" w:type="dxa"/>
          </w:tcPr>
          <w:p w14:paraId="00B84106" w14:textId="77777777" w:rsidR="002C0FD9" w:rsidRPr="00CA25CF" w:rsidRDefault="002C0FD9" w:rsidP="00CA25CF">
            <w:pPr>
              <w:rPr>
                <w:rFonts w:cs="Arial"/>
                <w:color w:val="FF0000"/>
                <w:sz w:val="21"/>
                <w:szCs w:val="21"/>
              </w:rPr>
            </w:pPr>
          </w:p>
        </w:tc>
        <w:tc>
          <w:tcPr>
            <w:tcW w:w="217" w:type="dxa"/>
          </w:tcPr>
          <w:p w14:paraId="37A33A1A" w14:textId="77777777" w:rsidR="002C0FD9" w:rsidRPr="00CA25CF" w:rsidRDefault="002C0FD9" w:rsidP="00CA25CF">
            <w:pPr>
              <w:rPr>
                <w:rFonts w:cs="Arial"/>
                <w:color w:val="FF0000"/>
                <w:sz w:val="21"/>
                <w:szCs w:val="21"/>
              </w:rPr>
            </w:pPr>
          </w:p>
        </w:tc>
        <w:tc>
          <w:tcPr>
            <w:tcW w:w="217" w:type="dxa"/>
          </w:tcPr>
          <w:p w14:paraId="0BF8D6C2" w14:textId="77777777" w:rsidR="002C0FD9" w:rsidRPr="00CA25CF" w:rsidRDefault="002C0FD9" w:rsidP="00CA25CF">
            <w:pPr>
              <w:rPr>
                <w:rFonts w:cs="Arial"/>
                <w:color w:val="FF0000"/>
                <w:sz w:val="21"/>
                <w:szCs w:val="21"/>
              </w:rPr>
            </w:pPr>
          </w:p>
        </w:tc>
        <w:tc>
          <w:tcPr>
            <w:tcW w:w="217" w:type="dxa"/>
          </w:tcPr>
          <w:p w14:paraId="64539136" w14:textId="77777777" w:rsidR="002C0FD9" w:rsidRPr="00CA25CF" w:rsidRDefault="002C0FD9" w:rsidP="00CA25CF">
            <w:pPr>
              <w:rPr>
                <w:rFonts w:cs="Arial"/>
                <w:color w:val="FF0000"/>
                <w:sz w:val="21"/>
                <w:szCs w:val="21"/>
              </w:rPr>
            </w:pPr>
          </w:p>
        </w:tc>
        <w:tc>
          <w:tcPr>
            <w:tcW w:w="217" w:type="dxa"/>
          </w:tcPr>
          <w:p w14:paraId="74F6C26B" w14:textId="77777777" w:rsidR="002C0FD9" w:rsidRPr="00CA25CF" w:rsidRDefault="002C0FD9" w:rsidP="00CA25CF">
            <w:pPr>
              <w:rPr>
                <w:rFonts w:cs="Arial"/>
                <w:color w:val="FF0000"/>
                <w:sz w:val="21"/>
                <w:szCs w:val="21"/>
              </w:rPr>
            </w:pPr>
          </w:p>
        </w:tc>
        <w:tc>
          <w:tcPr>
            <w:tcW w:w="217" w:type="dxa"/>
          </w:tcPr>
          <w:p w14:paraId="398D821A" w14:textId="77777777" w:rsidR="002C0FD9" w:rsidRPr="00CA25CF" w:rsidRDefault="002C0FD9" w:rsidP="00CA25CF">
            <w:pPr>
              <w:rPr>
                <w:rFonts w:cs="Arial"/>
                <w:color w:val="FF0000"/>
                <w:sz w:val="21"/>
                <w:szCs w:val="21"/>
              </w:rPr>
            </w:pPr>
          </w:p>
        </w:tc>
        <w:tc>
          <w:tcPr>
            <w:tcW w:w="217" w:type="dxa"/>
          </w:tcPr>
          <w:p w14:paraId="04C4E342" w14:textId="77777777" w:rsidR="002C0FD9" w:rsidRPr="00CA25CF" w:rsidRDefault="002C0FD9" w:rsidP="00CA25CF">
            <w:pPr>
              <w:rPr>
                <w:rFonts w:cs="Arial"/>
                <w:color w:val="FF0000"/>
                <w:sz w:val="21"/>
                <w:szCs w:val="21"/>
              </w:rPr>
            </w:pPr>
          </w:p>
        </w:tc>
        <w:tc>
          <w:tcPr>
            <w:tcW w:w="217" w:type="dxa"/>
          </w:tcPr>
          <w:p w14:paraId="104F1D37" w14:textId="77777777" w:rsidR="002C0FD9" w:rsidRPr="00CA25CF" w:rsidRDefault="002C0FD9" w:rsidP="00CA25CF">
            <w:pPr>
              <w:rPr>
                <w:rFonts w:cs="Arial"/>
                <w:color w:val="FF0000"/>
                <w:sz w:val="21"/>
                <w:szCs w:val="21"/>
              </w:rPr>
            </w:pPr>
          </w:p>
        </w:tc>
        <w:tc>
          <w:tcPr>
            <w:tcW w:w="217" w:type="dxa"/>
          </w:tcPr>
          <w:p w14:paraId="46209056" w14:textId="77777777" w:rsidR="002C0FD9" w:rsidRPr="00CA25CF" w:rsidRDefault="002C0FD9" w:rsidP="00CA25CF">
            <w:pPr>
              <w:rPr>
                <w:rFonts w:cs="Arial"/>
                <w:color w:val="FF0000"/>
                <w:sz w:val="21"/>
                <w:szCs w:val="21"/>
              </w:rPr>
            </w:pPr>
          </w:p>
        </w:tc>
        <w:tc>
          <w:tcPr>
            <w:tcW w:w="217" w:type="dxa"/>
          </w:tcPr>
          <w:p w14:paraId="6A4E0669" w14:textId="77777777" w:rsidR="002C0FD9" w:rsidRPr="00CA25CF" w:rsidRDefault="002C0FD9" w:rsidP="00CA25CF">
            <w:pPr>
              <w:rPr>
                <w:rFonts w:cs="Arial"/>
                <w:color w:val="FF0000"/>
                <w:sz w:val="21"/>
                <w:szCs w:val="21"/>
              </w:rPr>
            </w:pPr>
          </w:p>
        </w:tc>
        <w:tc>
          <w:tcPr>
            <w:tcW w:w="217" w:type="dxa"/>
          </w:tcPr>
          <w:p w14:paraId="4E58DBCF" w14:textId="77777777" w:rsidR="002C0FD9" w:rsidRPr="00CA25CF" w:rsidRDefault="002C0FD9" w:rsidP="00CA25CF">
            <w:pPr>
              <w:rPr>
                <w:rFonts w:cs="Arial"/>
                <w:color w:val="FF0000"/>
                <w:sz w:val="21"/>
                <w:szCs w:val="21"/>
              </w:rPr>
            </w:pPr>
          </w:p>
        </w:tc>
        <w:tc>
          <w:tcPr>
            <w:tcW w:w="217" w:type="dxa"/>
          </w:tcPr>
          <w:p w14:paraId="41F58318" w14:textId="77777777" w:rsidR="002C0FD9" w:rsidRPr="00CA25CF" w:rsidRDefault="002C0FD9" w:rsidP="00CA25CF">
            <w:pPr>
              <w:rPr>
                <w:rFonts w:cs="Arial"/>
                <w:color w:val="FF0000"/>
                <w:sz w:val="21"/>
                <w:szCs w:val="21"/>
              </w:rPr>
            </w:pPr>
          </w:p>
        </w:tc>
        <w:tc>
          <w:tcPr>
            <w:tcW w:w="217" w:type="dxa"/>
          </w:tcPr>
          <w:p w14:paraId="02B302F8" w14:textId="77777777" w:rsidR="002C0FD9" w:rsidRPr="00CA25CF" w:rsidRDefault="002C0FD9" w:rsidP="00CA25CF">
            <w:pPr>
              <w:rPr>
                <w:rFonts w:cs="Arial"/>
                <w:color w:val="FF0000"/>
                <w:sz w:val="21"/>
                <w:szCs w:val="21"/>
              </w:rPr>
            </w:pPr>
          </w:p>
        </w:tc>
        <w:tc>
          <w:tcPr>
            <w:tcW w:w="217" w:type="dxa"/>
          </w:tcPr>
          <w:p w14:paraId="28859001" w14:textId="77777777" w:rsidR="002C0FD9" w:rsidRPr="00CA25CF" w:rsidRDefault="002C0FD9" w:rsidP="00CA25CF">
            <w:pPr>
              <w:rPr>
                <w:rFonts w:cs="Arial"/>
                <w:color w:val="FF0000"/>
                <w:sz w:val="21"/>
                <w:szCs w:val="21"/>
              </w:rPr>
            </w:pPr>
          </w:p>
        </w:tc>
        <w:tc>
          <w:tcPr>
            <w:tcW w:w="217" w:type="dxa"/>
          </w:tcPr>
          <w:p w14:paraId="26F23AC7" w14:textId="77777777" w:rsidR="002C0FD9" w:rsidRPr="00CA25CF" w:rsidRDefault="002C0FD9" w:rsidP="00CA25CF">
            <w:pPr>
              <w:rPr>
                <w:rFonts w:cs="Arial"/>
                <w:color w:val="FF0000"/>
                <w:sz w:val="21"/>
                <w:szCs w:val="21"/>
              </w:rPr>
            </w:pPr>
          </w:p>
        </w:tc>
        <w:tc>
          <w:tcPr>
            <w:tcW w:w="217" w:type="dxa"/>
          </w:tcPr>
          <w:p w14:paraId="35C5A88E" w14:textId="77777777" w:rsidR="002C0FD9" w:rsidRPr="00CA25CF" w:rsidRDefault="002C0FD9" w:rsidP="00CA25CF">
            <w:pPr>
              <w:rPr>
                <w:rFonts w:cs="Arial"/>
                <w:color w:val="FF0000"/>
                <w:sz w:val="21"/>
                <w:szCs w:val="21"/>
              </w:rPr>
            </w:pPr>
          </w:p>
        </w:tc>
        <w:tc>
          <w:tcPr>
            <w:tcW w:w="217" w:type="dxa"/>
          </w:tcPr>
          <w:p w14:paraId="7AE01544" w14:textId="77777777" w:rsidR="002C0FD9" w:rsidRPr="00CA25CF" w:rsidRDefault="002C0FD9" w:rsidP="00CA25CF">
            <w:pPr>
              <w:rPr>
                <w:rFonts w:cs="Arial"/>
                <w:color w:val="FF0000"/>
                <w:sz w:val="21"/>
                <w:szCs w:val="21"/>
              </w:rPr>
            </w:pPr>
          </w:p>
        </w:tc>
        <w:tc>
          <w:tcPr>
            <w:tcW w:w="217" w:type="dxa"/>
          </w:tcPr>
          <w:p w14:paraId="019CCF10" w14:textId="77777777" w:rsidR="002C0FD9" w:rsidRPr="00CA25CF" w:rsidRDefault="002C0FD9" w:rsidP="00CA25CF">
            <w:pPr>
              <w:rPr>
                <w:rFonts w:cs="Arial"/>
                <w:color w:val="FF0000"/>
                <w:sz w:val="21"/>
                <w:szCs w:val="21"/>
              </w:rPr>
            </w:pPr>
          </w:p>
        </w:tc>
        <w:tc>
          <w:tcPr>
            <w:tcW w:w="217" w:type="dxa"/>
          </w:tcPr>
          <w:p w14:paraId="77C047F0" w14:textId="77777777" w:rsidR="002C0FD9" w:rsidRPr="00CA25CF" w:rsidRDefault="002C0FD9" w:rsidP="00CA25CF">
            <w:pPr>
              <w:rPr>
                <w:rFonts w:cs="Arial"/>
                <w:color w:val="FF0000"/>
                <w:sz w:val="21"/>
                <w:szCs w:val="21"/>
              </w:rPr>
            </w:pPr>
          </w:p>
        </w:tc>
        <w:tc>
          <w:tcPr>
            <w:tcW w:w="217" w:type="dxa"/>
          </w:tcPr>
          <w:p w14:paraId="2694CC0F" w14:textId="77777777" w:rsidR="002C0FD9" w:rsidRPr="00CA25CF" w:rsidRDefault="002C0FD9" w:rsidP="00CA25CF">
            <w:pPr>
              <w:rPr>
                <w:rFonts w:cs="Arial"/>
                <w:color w:val="FF0000"/>
                <w:sz w:val="21"/>
                <w:szCs w:val="21"/>
              </w:rPr>
            </w:pPr>
          </w:p>
        </w:tc>
        <w:tc>
          <w:tcPr>
            <w:tcW w:w="217" w:type="dxa"/>
          </w:tcPr>
          <w:p w14:paraId="356522DB" w14:textId="77777777" w:rsidR="002C0FD9" w:rsidRPr="00CA25CF" w:rsidRDefault="002C0FD9" w:rsidP="00CA25CF">
            <w:pPr>
              <w:rPr>
                <w:rFonts w:cs="Arial"/>
                <w:color w:val="FF0000"/>
                <w:sz w:val="21"/>
                <w:szCs w:val="21"/>
              </w:rPr>
            </w:pPr>
          </w:p>
        </w:tc>
        <w:tc>
          <w:tcPr>
            <w:tcW w:w="217" w:type="dxa"/>
          </w:tcPr>
          <w:p w14:paraId="03F7095F" w14:textId="77777777" w:rsidR="002C0FD9" w:rsidRPr="00CA25CF" w:rsidRDefault="002C0FD9" w:rsidP="00CA25CF">
            <w:pPr>
              <w:rPr>
                <w:rFonts w:cs="Arial"/>
                <w:color w:val="FF0000"/>
                <w:sz w:val="21"/>
                <w:szCs w:val="21"/>
              </w:rPr>
            </w:pPr>
          </w:p>
        </w:tc>
        <w:tc>
          <w:tcPr>
            <w:tcW w:w="217" w:type="dxa"/>
          </w:tcPr>
          <w:p w14:paraId="372F44E0" w14:textId="77777777" w:rsidR="002C0FD9" w:rsidRPr="00CA25CF" w:rsidRDefault="002C0FD9" w:rsidP="00CA25CF">
            <w:pPr>
              <w:rPr>
                <w:rFonts w:cs="Arial"/>
                <w:color w:val="FF0000"/>
                <w:sz w:val="21"/>
                <w:szCs w:val="21"/>
              </w:rPr>
            </w:pPr>
          </w:p>
        </w:tc>
        <w:tc>
          <w:tcPr>
            <w:tcW w:w="217" w:type="dxa"/>
          </w:tcPr>
          <w:p w14:paraId="2B72042B" w14:textId="77777777" w:rsidR="002C0FD9" w:rsidRPr="00CA25CF" w:rsidRDefault="002C0FD9" w:rsidP="00CA25CF">
            <w:pPr>
              <w:rPr>
                <w:rFonts w:cs="Arial"/>
                <w:color w:val="FF0000"/>
                <w:sz w:val="21"/>
                <w:szCs w:val="21"/>
              </w:rPr>
            </w:pPr>
          </w:p>
        </w:tc>
        <w:tc>
          <w:tcPr>
            <w:tcW w:w="217" w:type="dxa"/>
          </w:tcPr>
          <w:p w14:paraId="5016A157" w14:textId="77777777" w:rsidR="002C0FD9" w:rsidRPr="00CA25CF" w:rsidRDefault="002C0FD9" w:rsidP="00CA25CF">
            <w:pPr>
              <w:rPr>
                <w:rFonts w:cs="Arial"/>
                <w:color w:val="FF0000"/>
                <w:sz w:val="21"/>
                <w:szCs w:val="21"/>
              </w:rPr>
            </w:pPr>
          </w:p>
        </w:tc>
        <w:tc>
          <w:tcPr>
            <w:tcW w:w="217" w:type="dxa"/>
          </w:tcPr>
          <w:p w14:paraId="0F385788" w14:textId="77777777" w:rsidR="002C0FD9" w:rsidRPr="00CA25CF" w:rsidRDefault="002C0FD9" w:rsidP="00CA25CF">
            <w:pPr>
              <w:rPr>
                <w:rFonts w:cs="Arial"/>
                <w:color w:val="FF0000"/>
                <w:sz w:val="21"/>
                <w:szCs w:val="21"/>
              </w:rPr>
            </w:pPr>
          </w:p>
        </w:tc>
        <w:tc>
          <w:tcPr>
            <w:tcW w:w="217" w:type="dxa"/>
          </w:tcPr>
          <w:p w14:paraId="7F82B679" w14:textId="77777777" w:rsidR="002C0FD9" w:rsidRPr="00CA25CF" w:rsidRDefault="002C0FD9" w:rsidP="00CA25CF">
            <w:pPr>
              <w:rPr>
                <w:rFonts w:cs="Arial"/>
                <w:color w:val="FF0000"/>
                <w:sz w:val="21"/>
                <w:szCs w:val="21"/>
              </w:rPr>
            </w:pPr>
          </w:p>
        </w:tc>
        <w:tc>
          <w:tcPr>
            <w:tcW w:w="217" w:type="dxa"/>
          </w:tcPr>
          <w:p w14:paraId="549F3764" w14:textId="77777777" w:rsidR="002C0FD9" w:rsidRPr="00CA25CF" w:rsidRDefault="002C0FD9" w:rsidP="00CA25CF">
            <w:pPr>
              <w:rPr>
                <w:rFonts w:cs="Arial"/>
                <w:color w:val="FF0000"/>
                <w:sz w:val="21"/>
                <w:szCs w:val="21"/>
              </w:rPr>
            </w:pPr>
          </w:p>
        </w:tc>
        <w:tc>
          <w:tcPr>
            <w:tcW w:w="217" w:type="dxa"/>
          </w:tcPr>
          <w:p w14:paraId="7B1CE5B2" w14:textId="77777777" w:rsidR="002C0FD9" w:rsidRPr="00CA25CF" w:rsidRDefault="002C0FD9" w:rsidP="00CA25CF">
            <w:pPr>
              <w:rPr>
                <w:rFonts w:cs="Arial"/>
                <w:color w:val="FF0000"/>
                <w:sz w:val="21"/>
                <w:szCs w:val="21"/>
              </w:rPr>
            </w:pPr>
          </w:p>
        </w:tc>
        <w:tc>
          <w:tcPr>
            <w:tcW w:w="217" w:type="dxa"/>
          </w:tcPr>
          <w:p w14:paraId="1EA4CCDC" w14:textId="77777777" w:rsidR="002C0FD9" w:rsidRPr="00CA25CF" w:rsidRDefault="002C0FD9" w:rsidP="00CA25CF">
            <w:pPr>
              <w:rPr>
                <w:rFonts w:cs="Arial"/>
                <w:color w:val="FF0000"/>
                <w:sz w:val="21"/>
                <w:szCs w:val="21"/>
              </w:rPr>
            </w:pPr>
          </w:p>
        </w:tc>
        <w:tc>
          <w:tcPr>
            <w:tcW w:w="217" w:type="dxa"/>
          </w:tcPr>
          <w:p w14:paraId="3353DCAE" w14:textId="77777777" w:rsidR="002C0FD9" w:rsidRPr="00CA25CF" w:rsidRDefault="002C0FD9" w:rsidP="00CA25CF">
            <w:pPr>
              <w:rPr>
                <w:rFonts w:cs="Arial"/>
                <w:color w:val="FF0000"/>
                <w:sz w:val="21"/>
                <w:szCs w:val="21"/>
              </w:rPr>
            </w:pPr>
          </w:p>
        </w:tc>
        <w:tc>
          <w:tcPr>
            <w:tcW w:w="217" w:type="dxa"/>
          </w:tcPr>
          <w:p w14:paraId="3345C100" w14:textId="77777777" w:rsidR="002C0FD9" w:rsidRPr="00CA25CF" w:rsidRDefault="002C0FD9" w:rsidP="00CA25CF">
            <w:pPr>
              <w:rPr>
                <w:rFonts w:cs="Arial"/>
                <w:color w:val="FF0000"/>
                <w:sz w:val="21"/>
                <w:szCs w:val="21"/>
              </w:rPr>
            </w:pPr>
          </w:p>
        </w:tc>
        <w:tc>
          <w:tcPr>
            <w:tcW w:w="217" w:type="dxa"/>
          </w:tcPr>
          <w:p w14:paraId="1609E2E9" w14:textId="77777777" w:rsidR="002C0FD9" w:rsidRPr="00CA25CF" w:rsidRDefault="002C0FD9" w:rsidP="00CA25CF">
            <w:pPr>
              <w:rPr>
                <w:rFonts w:cs="Arial"/>
                <w:color w:val="FF0000"/>
                <w:sz w:val="21"/>
                <w:szCs w:val="21"/>
              </w:rPr>
            </w:pPr>
          </w:p>
        </w:tc>
        <w:tc>
          <w:tcPr>
            <w:tcW w:w="217" w:type="dxa"/>
          </w:tcPr>
          <w:p w14:paraId="1452CA2E" w14:textId="77777777" w:rsidR="002C0FD9" w:rsidRPr="00CA25CF" w:rsidRDefault="002C0FD9" w:rsidP="00CA25CF">
            <w:pPr>
              <w:rPr>
                <w:rFonts w:cs="Arial"/>
                <w:color w:val="FF0000"/>
                <w:sz w:val="21"/>
                <w:szCs w:val="21"/>
              </w:rPr>
            </w:pPr>
          </w:p>
        </w:tc>
        <w:tc>
          <w:tcPr>
            <w:tcW w:w="217" w:type="dxa"/>
          </w:tcPr>
          <w:p w14:paraId="47230FC4" w14:textId="77777777" w:rsidR="002C0FD9" w:rsidRPr="00CA25CF" w:rsidRDefault="002C0FD9" w:rsidP="00CA25CF">
            <w:pPr>
              <w:rPr>
                <w:rFonts w:cs="Arial"/>
                <w:color w:val="FF0000"/>
                <w:sz w:val="21"/>
                <w:szCs w:val="21"/>
              </w:rPr>
            </w:pPr>
          </w:p>
        </w:tc>
        <w:tc>
          <w:tcPr>
            <w:tcW w:w="217" w:type="dxa"/>
          </w:tcPr>
          <w:p w14:paraId="2720AFDE" w14:textId="77777777" w:rsidR="002C0FD9" w:rsidRPr="00CA25CF" w:rsidRDefault="002C0FD9" w:rsidP="00CA25CF">
            <w:pPr>
              <w:rPr>
                <w:rFonts w:cs="Arial"/>
                <w:color w:val="FF0000"/>
                <w:sz w:val="21"/>
                <w:szCs w:val="21"/>
              </w:rPr>
            </w:pPr>
          </w:p>
        </w:tc>
        <w:tc>
          <w:tcPr>
            <w:tcW w:w="217" w:type="dxa"/>
          </w:tcPr>
          <w:p w14:paraId="2C078D13" w14:textId="77777777" w:rsidR="002C0FD9" w:rsidRPr="00CA25CF" w:rsidRDefault="002C0FD9" w:rsidP="00CA25CF">
            <w:pPr>
              <w:rPr>
                <w:rFonts w:cs="Arial"/>
                <w:color w:val="FF0000"/>
                <w:sz w:val="21"/>
                <w:szCs w:val="21"/>
              </w:rPr>
            </w:pPr>
          </w:p>
        </w:tc>
        <w:tc>
          <w:tcPr>
            <w:tcW w:w="217" w:type="dxa"/>
          </w:tcPr>
          <w:p w14:paraId="38BBD8EF" w14:textId="77777777" w:rsidR="002C0FD9" w:rsidRPr="00CA25CF" w:rsidRDefault="002C0FD9" w:rsidP="00CA25CF">
            <w:pPr>
              <w:rPr>
                <w:rFonts w:cs="Arial"/>
                <w:color w:val="FF0000"/>
                <w:sz w:val="21"/>
                <w:szCs w:val="21"/>
              </w:rPr>
            </w:pPr>
          </w:p>
        </w:tc>
        <w:tc>
          <w:tcPr>
            <w:tcW w:w="217" w:type="dxa"/>
          </w:tcPr>
          <w:p w14:paraId="197E2A29" w14:textId="77777777" w:rsidR="002C0FD9" w:rsidRPr="00CA25CF" w:rsidRDefault="002C0FD9" w:rsidP="00CA25CF">
            <w:pPr>
              <w:rPr>
                <w:rFonts w:cs="Arial"/>
                <w:color w:val="FF0000"/>
                <w:sz w:val="21"/>
                <w:szCs w:val="21"/>
              </w:rPr>
            </w:pPr>
          </w:p>
        </w:tc>
        <w:tc>
          <w:tcPr>
            <w:tcW w:w="217" w:type="dxa"/>
          </w:tcPr>
          <w:p w14:paraId="18241880" w14:textId="77777777" w:rsidR="002C0FD9" w:rsidRPr="00CA25CF" w:rsidRDefault="002C0FD9" w:rsidP="00CA25CF">
            <w:pPr>
              <w:rPr>
                <w:rFonts w:cs="Arial"/>
                <w:color w:val="FF0000"/>
                <w:sz w:val="21"/>
                <w:szCs w:val="21"/>
              </w:rPr>
            </w:pPr>
          </w:p>
        </w:tc>
        <w:tc>
          <w:tcPr>
            <w:tcW w:w="217" w:type="dxa"/>
          </w:tcPr>
          <w:p w14:paraId="3BCCA36B" w14:textId="77777777" w:rsidR="002C0FD9" w:rsidRPr="00CA25CF" w:rsidRDefault="002C0FD9" w:rsidP="00CA25CF">
            <w:pPr>
              <w:rPr>
                <w:rFonts w:cs="Arial"/>
                <w:color w:val="FF0000"/>
                <w:sz w:val="21"/>
                <w:szCs w:val="21"/>
              </w:rPr>
            </w:pPr>
          </w:p>
        </w:tc>
        <w:tc>
          <w:tcPr>
            <w:tcW w:w="217" w:type="dxa"/>
          </w:tcPr>
          <w:p w14:paraId="34A60D33" w14:textId="77777777" w:rsidR="002C0FD9" w:rsidRPr="00CA25CF" w:rsidRDefault="002C0FD9" w:rsidP="00CA25CF">
            <w:pPr>
              <w:rPr>
                <w:rFonts w:cs="Arial"/>
                <w:color w:val="FF0000"/>
                <w:sz w:val="21"/>
                <w:szCs w:val="21"/>
              </w:rPr>
            </w:pPr>
          </w:p>
        </w:tc>
      </w:tr>
      <w:tr w:rsidR="002C0FD9" w:rsidRPr="00A16219" w14:paraId="71E9BFEE" w14:textId="77777777" w:rsidTr="002C0FD9">
        <w:trPr>
          <w:trHeight w:val="635"/>
        </w:trPr>
        <w:tc>
          <w:tcPr>
            <w:tcW w:w="515" w:type="dxa"/>
          </w:tcPr>
          <w:p w14:paraId="1A150709" w14:textId="77777777" w:rsidR="002C0FD9" w:rsidRPr="00CA25CF" w:rsidRDefault="002C0FD9" w:rsidP="00CA25CF">
            <w:pPr>
              <w:rPr>
                <w:rFonts w:cs="Arial"/>
                <w:color w:val="FF0000"/>
                <w:sz w:val="21"/>
                <w:szCs w:val="21"/>
              </w:rPr>
            </w:pPr>
          </w:p>
        </w:tc>
        <w:tc>
          <w:tcPr>
            <w:tcW w:w="217" w:type="dxa"/>
          </w:tcPr>
          <w:p w14:paraId="33BB9A4B" w14:textId="77777777" w:rsidR="002C0FD9" w:rsidRPr="00CA25CF" w:rsidRDefault="002C0FD9" w:rsidP="00CA25CF">
            <w:pPr>
              <w:rPr>
                <w:rFonts w:cs="Arial"/>
                <w:color w:val="FF0000"/>
                <w:sz w:val="21"/>
                <w:szCs w:val="21"/>
              </w:rPr>
            </w:pPr>
          </w:p>
        </w:tc>
        <w:tc>
          <w:tcPr>
            <w:tcW w:w="217" w:type="dxa"/>
          </w:tcPr>
          <w:p w14:paraId="3F1B07A9" w14:textId="77777777" w:rsidR="002C0FD9" w:rsidRPr="00CA25CF" w:rsidRDefault="002C0FD9" w:rsidP="00CA25CF">
            <w:pPr>
              <w:rPr>
                <w:rFonts w:cs="Arial"/>
                <w:color w:val="FF0000"/>
                <w:sz w:val="21"/>
                <w:szCs w:val="21"/>
              </w:rPr>
            </w:pPr>
          </w:p>
        </w:tc>
        <w:tc>
          <w:tcPr>
            <w:tcW w:w="217" w:type="dxa"/>
          </w:tcPr>
          <w:p w14:paraId="0B01C520" w14:textId="77777777" w:rsidR="002C0FD9" w:rsidRPr="00CA25CF" w:rsidRDefault="002C0FD9" w:rsidP="00CA25CF">
            <w:pPr>
              <w:rPr>
                <w:rFonts w:cs="Arial"/>
                <w:color w:val="FF0000"/>
                <w:sz w:val="21"/>
                <w:szCs w:val="21"/>
              </w:rPr>
            </w:pPr>
          </w:p>
        </w:tc>
        <w:tc>
          <w:tcPr>
            <w:tcW w:w="217" w:type="dxa"/>
          </w:tcPr>
          <w:p w14:paraId="5DF41139" w14:textId="77777777" w:rsidR="002C0FD9" w:rsidRPr="00CA25CF" w:rsidRDefault="002C0FD9" w:rsidP="00CA25CF">
            <w:pPr>
              <w:rPr>
                <w:rFonts w:cs="Arial"/>
                <w:color w:val="FF0000"/>
                <w:sz w:val="21"/>
                <w:szCs w:val="21"/>
              </w:rPr>
            </w:pPr>
          </w:p>
        </w:tc>
        <w:tc>
          <w:tcPr>
            <w:tcW w:w="217" w:type="dxa"/>
          </w:tcPr>
          <w:p w14:paraId="7745A52D" w14:textId="77777777" w:rsidR="002C0FD9" w:rsidRPr="00CA25CF" w:rsidRDefault="002C0FD9" w:rsidP="00CA25CF">
            <w:pPr>
              <w:rPr>
                <w:rFonts w:cs="Arial"/>
                <w:color w:val="FF0000"/>
                <w:sz w:val="21"/>
                <w:szCs w:val="21"/>
              </w:rPr>
            </w:pPr>
          </w:p>
        </w:tc>
        <w:tc>
          <w:tcPr>
            <w:tcW w:w="217" w:type="dxa"/>
          </w:tcPr>
          <w:p w14:paraId="45DE97A6" w14:textId="77777777" w:rsidR="002C0FD9" w:rsidRPr="00CA25CF" w:rsidRDefault="002C0FD9" w:rsidP="00CA25CF">
            <w:pPr>
              <w:rPr>
                <w:rFonts w:cs="Arial"/>
                <w:color w:val="FF0000"/>
                <w:sz w:val="21"/>
                <w:szCs w:val="21"/>
              </w:rPr>
            </w:pPr>
          </w:p>
        </w:tc>
        <w:tc>
          <w:tcPr>
            <w:tcW w:w="217" w:type="dxa"/>
          </w:tcPr>
          <w:p w14:paraId="076C8F27" w14:textId="77777777" w:rsidR="002C0FD9" w:rsidRPr="00CA25CF" w:rsidRDefault="002C0FD9" w:rsidP="00CA25CF">
            <w:pPr>
              <w:rPr>
                <w:rFonts w:cs="Arial"/>
                <w:color w:val="FF0000"/>
                <w:sz w:val="21"/>
                <w:szCs w:val="21"/>
              </w:rPr>
            </w:pPr>
          </w:p>
        </w:tc>
        <w:tc>
          <w:tcPr>
            <w:tcW w:w="217" w:type="dxa"/>
          </w:tcPr>
          <w:p w14:paraId="6ABC8875" w14:textId="77777777" w:rsidR="002C0FD9" w:rsidRPr="00CA25CF" w:rsidRDefault="002C0FD9" w:rsidP="00CA25CF">
            <w:pPr>
              <w:rPr>
                <w:rFonts w:cs="Arial"/>
                <w:color w:val="FF0000"/>
                <w:sz w:val="21"/>
                <w:szCs w:val="21"/>
              </w:rPr>
            </w:pPr>
          </w:p>
        </w:tc>
        <w:tc>
          <w:tcPr>
            <w:tcW w:w="217" w:type="dxa"/>
          </w:tcPr>
          <w:p w14:paraId="5DCBE0AC" w14:textId="77777777" w:rsidR="002C0FD9" w:rsidRPr="00CA25CF" w:rsidRDefault="002C0FD9" w:rsidP="00CA25CF">
            <w:pPr>
              <w:rPr>
                <w:rFonts w:cs="Arial"/>
                <w:color w:val="FF0000"/>
                <w:sz w:val="21"/>
                <w:szCs w:val="21"/>
              </w:rPr>
            </w:pPr>
          </w:p>
        </w:tc>
        <w:tc>
          <w:tcPr>
            <w:tcW w:w="217" w:type="dxa"/>
          </w:tcPr>
          <w:p w14:paraId="7176FD19" w14:textId="77777777" w:rsidR="002C0FD9" w:rsidRPr="00CA25CF" w:rsidRDefault="002C0FD9" w:rsidP="00CA25CF">
            <w:pPr>
              <w:rPr>
                <w:rFonts w:cs="Arial"/>
                <w:color w:val="FF0000"/>
                <w:sz w:val="21"/>
                <w:szCs w:val="21"/>
              </w:rPr>
            </w:pPr>
          </w:p>
        </w:tc>
        <w:tc>
          <w:tcPr>
            <w:tcW w:w="217" w:type="dxa"/>
          </w:tcPr>
          <w:p w14:paraId="7CD8A762" w14:textId="77777777" w:rsidR="002C0FD9" w:rsidRPr="00CA25CF" w:rsidRDefault="002C0FD9" w:rsidP="00CA25CF">
            <w:pPr>
              <w:rPr>
                <w:rFonts w:cs="Arial"/>
                <w:color w:val="FF0000"/>
                <w:sz w:val="21"/>
                <w:szCs w:val="21"/>
              </w:rPr>
            </w:pPr>
          </w:p>
        </w:tc>
        <w:tc>
          <w:tcPr>
            <w:tcW w:w="217" w:type="dxa"/>
          </w:tcPr>
          <w:p w14:paraId="1E9A4BD2" w14:textId="77777777" w:rsidR="002C0FD9" w:rsidRPr="00CA25CF" w:rsidRDefault="002C0FD9" w:rsidP="00CA25CF">
            <w:pPr>
              <w:rPr>
                <w:rFonts w:cs="Arial"/>
                <w:color w:val="FF0000"/>
                <w:sz w:val="21"/>
                <w:szCs w:val="21"/>
              </w:rPr>
            </w:pPr>
          </w:p>
        </w:tc>
        <w:tc>
          <w:tcPr>
            <w:tcW w:w="217" w:type="dxa"/>
          </w:tcPr>
          <w:p w14:paraId="205B7C73" w14:textId="77777777" w:rsidR="002C0FD9" w:rsidRPr="00CA25CF" w:rsidRDefault="002C0FD9" w:rsidP="00CA25CF">
            <w:pPr>
              <w:rPr>
                <w:rFonts w:cs="Arial"/>
                <w:color w:val="FF0000"/>
                <w:sz w:val="21"/>
                <w:szCs w:val="21"/>
              </w:rPr>
            </w:pPr>
          </w:p>
        </w:tc>
        <w:tc>
          <w:tcPr>
            <w:tcW w:w="217" w:type="dxa"/>
          </w:tcPr>
          <w:p w14:paraId="70C2145A" w14:textId="77777777" w:rsidR="002C0FD9" w:rsidRPr="00CA25CF" w:rsidRDefault="002C0FD9" w:rsidP="00CA25CF">
            <w:pPr>
              <w:rPr>
                <w:rFonts w:cs="Arial"/>
                <w:color w:val="FF0000"/>
                <w:sz w:val="21"/>
                <w:szCs w:val="21"/>
              </w:rPr>
            </w:pPr>
          </w:p>
        </w:tc>
        <w:tc>
          <w:tcPr>
            <w:tcW w:w="217" w:type="dxa"/>
          </w:tcPr>
          <w:p w14:paraId="6093B2F6" w14:textId="77777777" w:rsidR="002C0FD9" w:rsidRPr="00CA25CF" w:rsidRDefault="002C0FD9" w:rsidP="00CA25CF">
            <w:pPr>
              <w:rPr>
                <w:rFonts w:cs="Arial"/>
                <w:color w:val="FF0000"/>
                <w:sz w:val="21"/>
                <w:szCs w:val="21"/>
              </w:rPr>
            </w:pPr>
          </w:p>
        </w:tc>
        <w:tc>
          <w:tcPr>
            <w:tcW w:w="217" w:type="dxa"/>
          </w:tcPr>
          <w:p w14:paraId="1D45615C" w14:textId="77777777" w:rsidR="002C0FD9" w:rsidRPr="00CA25CF" w:rsidRDefault="002C0FD9" w:rsidP="00CA25CF">
            <w:pPr>
              <w:rPr>
                <w:rFonts w:cs="Arial"/>
                <w:color w:val="FF0000"/>
                <w:sz w:val="21"/>
                <w:szCs w:val="21"/>
              </w:rPr>
            </w:pPr>
          </w:p>
        </w:tc>
        <w:tc>
          <w:tcPr>
            <w:tcW w:w="217" w:type="dxa"/>
          </w:tcPr>
          <w:p w14:paraId="09B4BFAC" w14:textId="77777777" w:rsidR="002C0FD9" w:rsidRPr="00CA25CF" w:rsidRDefault="002C0FD9" w:rsidP="00CA25CF">
            <w:pPr>
              <w:rPr>
                <w:rFonts w:cs="Arial"/>
                <w:color w:val="FF0000"/>
                <w:sz w:val="21"/>
                <w:szCs w:val="21"/>
              </w:rPr>
            </w:pPr>
          </w:p>
        </w:tc>
        <w:tc>
          <w:tcPr>
            <w:tcW w:w="217" w:type="dxa"/>
          </w:tcPr>
          <w:p w14:paraId="7629D444" w14:textId="77777777" w:rsidR="002C0FD9" w:rsidRPr="00CA25CF" w:rsidRDefault="002C0FD9" w:rsidP="00CA25CF">
            <w:pPr>
              <w:rPr>
                <w:rFonts w:cs="Arial"/>
                <w:color w:val="FF0000"/>
                <w:sz w:val="21"/>
                <w:szCs w:val="21"/>
              </w:rPr>
            </w:pPr>
          </w:p>
        </w:tc>
        <w:tc>
          <w:tcPr>
            <w:tcW w:w="217" w:type="dxa"/>
          </w:tcPr>
          <w:p w14:paraId="3DC12A0B" w14:textId="77777777" w:rsidR="002C0FD9" w:rsidRPr="00CA25CF" w:rsidRDefault="002C0FD9" w:rsidP="00CA25CF">
            <w:pPr>
              <w:rPr>
                <w:rFonts w:cs="Arial"/>
                <w:color w:val="FF0000"/>
                <w:sz w:val="21"/>
                <w:szCs w:val="21"/>
              </w:rPr>
            </w:pPr>
          </w:p>
        </w:tc>
        <w:tc>
          <w:tcPr>
            <w:tcW w:w="217" w:type="dxa"/>
          </w:tcPr>
          <w:p w14:paraId="3676ACB5" w14:textId="77777777" w:rsidR="002C0FD9" w:rsidRPr="00CA25CF" w:rsidRDefault="002C0FD9" w:rsidP="00CA25CF">
            <w:pPr>
              <w:rPr>
                <w:rFonts w:cs="Arial"/>
                <w:color w:val="FF0000"/>
                <w:sz w:val="21"/>
                <w:szCs w:val="21"/>
              </w:rPr>
            </w:pPr>
          </w:p>
        </w:tc>
        <w:tc>
          <w:tcPr>
            <w:tcW w:w="217" w:type="dxa"/>
          </w:tcPr>
          <w:p w14:paraId="01CC64E3" w14:textId="77777777" w:rsidR="002C0FD9" w:rsidRPr="00CA25CF" w:rsidRDefault="002C0FD9" w:rsidP="00CA25CF">
            <w:pPr>
              <w:rPr>
                <w:rFonts w:cs="Arial"/>
                <w:color w:val="FF0000"/>
                <w:sz w:val="21"/>
                <w:szCs w:val="21"/>
              </w:rPr>
            </w:pPr>
          </w:p>
        </w:tc>
        <w:tc>
          <w:tcPr>
            <w:tcW w:w="217" w:type="dxa"/>
          </w:tcPr>
          <w:p w14:paraId="194716BC" w14:textId="77777777" w:rsidR="002C0FD9" w:rsidRPr="00CA25CF" w:rsidRDefault="002C0FD9" w:rsidP="00CA25CF">
            <w:pPr>
              <w:rPr>
                <w:rFonts w:cs="Arial"/>
                <w:color w:val="FF0000"/>
                <w:sz w:val="21"/>
                <w:szCs w:val="21"/>
              </w:rPr>
            </w:pPr>
          </w:p>
        </w:tc>
        <w:tc>
          <w:tcPr>
            <w:tcW w:w="217" w:type="dxa"/>
          </w:tcPr>
          <w:p w14:paraId="573FDB9A" w14:textId="77777777" w:rsidR="002C0FD9" w:rsidRPr="00CA25CF" w:rsidRDefault="002C0FD9" w:rsidP="00CA25CF">
            <w:pPr>
              <w:rPr>
                <w:rFonts w:cs="Arial"/>
                <w:color w:val="FF0000"/>
                <w:sz w:val="21"/>
                <w:szCs w:val="21"/>
              </w:rPr>
            </w:pPr>
          </w:p>
        </w:tc>
        <w:tc>
          <w:tcPr>
            <w:tcW w:w="217" w:type="dxa"/>
          </w:tcPr>
          <w:p w14:paraId="47D8815B" w14:textId="77777777" w:rsidR="002C0FD9" w:rsidRPr="00CA25CF" w:rsidRDefault="002C0FD9" w:rsidP="00CA25CF">
            <w:pPr>
              <w:rPr>
                <w:rFonts w:cs="Arial"/>
                <w:color w:val="FF0000"/>
                <w:sz w:val="21"/>
                <w:szCs w:val="21"/>
              </w:rPr>
            </w:pPr>
          </w:p>
        </w:tc>
        <w:tc>
          <w:tcPr>
            <w:tcW w:w="217" w:type="dxa"/>
          </w:tcPr>
          <w:p w14:paraId="57E754CD" w14:textId="77777777" w:rsidR="002C0FD9" w:rsidRPr="00CA25CF" w:rsidRDefault="002C0FD9" w:rsidP="00CA25CF">
            <w:pPr>
              <w:rPr>
                <w:rFonts w:cs="Arial"/>
                <w:color w:val="FF0000"/>
                <w:sz w:val="21"/>
                <w:szCs w:val="21"/>
              </w:rPr>
            </w:pPr>
          </w:p>
        </w:tc>
        <w:tc>
          <w:tcPr>
            <w:tcW w:w="217" w:type="dxa"/>
          </w:tcPr>
          <w:p w14:paraId="60AD2705" w14:textId="77777777" w:rsidR="002C0FD9" w:rsidRPr="00CA25CF" w:rsidRDefault="002C0FD9" w:rsidP="00CA25CF">
            <w:pPr>
              <w:rPr>
                <w:rFonts w:cs="Arial"/>
                <w:color w:val="FF0000"/>
                <w:sz w:val="21"/>
                <w:szCs w:val="21"/>
              </w:rPr>
            </w:pPr>
          </w:p>
        </w:tc>
        <w:tc>
          <w:tcPr>
            <w:tcW w:w="217" w:type="dxa"/>
          </w:tcPr>
          <w:p w14:paraId="6DBECFE4" w14:textId="77777777" w:rsidR="002C0FD9" w:rsidRPr="00CA25CF" w:rsidRDefault="002C0FD9" w:rsidP="00CA25CF">
            <w:pPr>
              <w:rPr>
                <w:rFonts w:cs="Arial"/>
                <w:color w:val="FF0000"/>
                <w:sz w:val="21"/>
                <w:szCs w:val="21"/>
              </w:rPr>
            </w:pPr>
          </w:p>
        </w:tc>
        <w:tc>
          <w:tcPr>
            <w:tcW w:w="217" w:type="dxa"/>
          </w:tcPr>
          <w:p w14:paraId="4C3A5F4E" w14:textId="77777777" w:rsidR="002C0FD9" w:rsidRPr="00CA25CF" w:rsidRDefault="002C0FD9" w:rsidP="00CA25CF">
            <w:pPr>
              <w:rPr>
                <w:rFonts w:cs="Arial"/>
                <w:color w:val="FF0000"/>
                <w:sz w:val="21"/>
                <w:szCs w:val="21"/>
              </w:rPr>
            </w:pPr>
          </w:p>
        </w:tc>
        <w:tc>
          <w:tcPr>
            <w:tcW w:w="217" w:type="dxa"/>
          </w:tcPr>
          <w:p w14:paraId="76670860" w14:textId="77777777" w:rsidR="002C0FD9" w:rsidRPr="00CA25CF" w:rsidRDefault="002C0FD9" w:rsidP="00CA25CF">
            <w:pPr>
              <w:rPr>
                <w:rFonts w:cs="Arial"/>
                <w:color w:val="FF0000"/>
                <w:sz w:val="21"/>
                <w:szCs w:val="21"/>
              </w:rPr>
            </w:pPr>
          </w:p>
        </w:tc>
        <w:tc>
          <w:tcPr>
            <w:tcW w:w="217" w:type="dxa"/>
          </w:tcPr>
          <w:p w14:paraId="69B9514B" w14:textId="77777777" w:rsidR="002C0FD9" w:rsidRPr="00CA25CF" w:rsidRDefault="002C0FD9" w:rsidP="00CA25CF">
            <w:pPr>
              <w:rPr>
                <w:rFonts w:cs="Arial"/>
                <w:color w:val="FF0000"/>
                <w:sz w:val="21"/>
                <w:szCs w:val="21"/>
              </w:rPr>
            </w:pPr>
          </w:p>
        </w:tc>
        <w:tc>
          <w:tcPr>
            <w:tcW w:w="217" w:type="dxa"/>
          </w:tcPr>
          <w:p w14:paraId="0570A535" w14:textId="77777777" w:rsidR="002C0FD9" w:rsidRPr="00CA25CF" w:rsidRDefault="002C0FD9" w:rsidP="00CA25CF">
            <w:pPr>
              <w:rPr>
                <w:rFonts w:cs="Arial"/>
                <w:color w:val="FF0000"/>
                <w:sz w:val="21"/>
                <w:szCs w:val="21"/>
              </w:rPr>
            </w:pPr>
          </w:p>
        </w:tc>
        <w:tc>
          <w:tcPr>
            <w:tcW w:w="217" w:type="dxa"/>
          </w:tcPr>
          <w:p w14:paraId="4D7E9880" w14:textId="77777777" w:rsidR="002C0FD9" w:rsidRPr="00CA25CF" w:rsidRDefault="002C0FD9" w:rsidP="00CA25CF">
            <w:pPr>
              <w:rPr>
                <w:rFonts w:cs="Arial"/>
                <w:color w:val="FF0000"/>
                <w:sz w:val="21"/>
                <w:szCs w:val="21"/>
              </w:rPr>
            </w:pPr>
          </w:p>
        </w:tc>
        <w:tc>
          <w:tcPr>
            <w:tcW w:w="217" w:type="dxa"/>
          </w:tcPr>
          <w:p w14:paraId="0CAD53D3" w14:textId="77777777" w:rsidR="002C0FD9" w:rsidRPr="00CA25CF" w:rsidRDefault="002C0FD9" w:rsidP="00CA25CF">
            <w:pPr>
              <w:rPr>
                <w:rFonts w:cs="Arial"/>
                <w:color w:val="FF0000"/>
                <w:sz w:val="21"/>
                <w:szCs w:val="21"/>
              </w:rPr>
            </w:pPr>
          </w:p>
        </w:tc>
        <w:tc>
          <w:tcPr>
            <w:tcW w:w="217" w:type="dxa"/>
          </w:tcPr>
          <w:p w14:paraId="707579A6" w14:textId="77777777" w:rsidR="002C0FD9" w:rsidRPr="00CA25CF" w:rsidRDefault="002C0FD9" w:rsidP="00CA25CF">
            <w:pPr>
              <w:rPr>
                <w:rFonts w:cs="Arial"/>
                <w:color w:val="FF0000"/>
                <w:sz w:val="21"/>
                <w:szCs w:val="21"/>
              </w:rPr>
            </w:pPr>
          </w:p>
        </w:tc>
        <w:tc>
          <w:tcPr>
            <w:tcW w:w="217" w:type="dxa"/>
          </w:tcPr>
          <w:p w14:paraId="65C8D7C1" w14:textId="77777777" w:rsidR="002C0FD9" w:rsidRPr="00CA25CF" w:rsidRDefault="002C0FD9" w:rsidP="00CA25CF">
            <w:pPr>
              <w:rPr>
                <w:rFonts w:cs="Arial"/>
                <w:color w:val="FF0000"/>
                <w:sz w:val="21"/>
                <w:szCs w:val="21"/>
              </w:rPr>
            </w:pPr>
          </w:p>
        </w:tc>
        <w:tc>
          <w:tcPr>
            <w:tcW w:w="217" w:type="dxa"/>
          </w:tcPr>
          <w:p w14:paraId="6509EA17" w14:textId="77777777" w:rsidR="002C0FD9" w:rsidRPr="00CA25CF" w:rsidRDefault="002C0FD9" w:rsidP="00CA25CF">
            <w:pPr>
              <w:rPr>
                <w:rFonts w:cs="Arial"/>
                <w:color w:val="FF0000"/>
                <w:sz w:val="21"/>
                <w:szCs w:val="21"/>
              </w:rPr>
            </w:pPr>
          </w:p>
        </w:tc>
        <w:tc>
          <w:tcPr>
            <w:tcW w:w="217" w:type="dxa"/>
          </w:tcPr>
          <w:p w14:paraId="48667289" w14:textId="77777777" w:rsidR="002C0FD9" w:rsidRPr="00CA25CF" w:rsidRDefault="002C0FD9" w:rsidP="00CA25CF">
            <w:pPr>
              <w:rPr>
                <w:rFonts w:cs="Arial"/>
                <w:color w:val="FF0000"/>
                <w:sz w:val="21"/>
                <w:szCs w:val="21"/>
              </w:rPr>
            </w:pPr>
          </w:p>
        </w:tc>
        <w:tc>
          <w:tcPr>
            <w:tcW w:w="217" w:type="dxa"/>
          </w:tcPr>
          <w:p w14:paraId="1D44C71E" w14:textId="77777777" w:rsidR="002C0FD9" w:rsidRPr="00CA25CF" w:rsidRDefault="002C0FD9" w:rsidP="00CA25CF">
            <w:pPr>
              <w:rPr>
                <w:rFonts w:cs="Arial"/>
                <w:color w:val="FF0000"/>
                <w:sz w:val="21"/>
                <w:szCs w:val="21"/>
              </w:rPr>
            </w:pPr>
          </w:p>
        </w:tc>
        <w:tc>
          <w:tcPr>
            <w:tcW w:w="217" w:type="dxa"/>
          </w:tcPr>
          <w:p w14:paraId="7297791A" w14:textId="77777777" w:rsidR="002C0FD9" w:rsidRPr="00CA25CF" w:rsidRDefault="002C0FD9" w:rsidP="00CA25CF">
            <w:pPr>
              <w:rPr>
                <w:rFonts w:cs="Arial"/>
                <w:color w:val="FF0000"/>
                <w:sz w:val="21"/>
                <w:szCs w:val="21"/>
              </w:rPr>
            </w:pPr>
          </w:p>
        </w:tc>
        <w:tc>
          <w:tcPr>
            <w:tcW w:w="217" w:type="dxa"/>
          </w:tcPr>
          <w:p w14:paraId="380DC4EB" w14:textId="77777777" w:rsidR="002C0FD9" w:rsidRPr="00CA25CF" w:rsidRDefault="002C0FD9" w:rsidP="00CA25CF">
            <w:pPr>
              <w:rPr>
                <w:rFonts w:cs="Arial"/>
                <w:color w:val="FF0000"/>
                <w:sz w:val="21"/>
                <w:szCs w:val="21"/>
              </w:rPr>
            </w:pPr>
          </w:p>
        </w:tc>
        <w:tc>
          <w:tcPr>
            <w:tcW w:w="217" w:type="dxa"/>
          </w:tcPr>
          <w:p w14:paraId="0348498F" w14:textId="77777777" w:rsidR="002C0FD9" w:rsidRPr="00CA25CF" w:rsidRDefault="002C0FD9" w:rsidP="00CA25CF">
            <w:pPr>
              <w:rPr>
                <w:rFonts w:cs="Arial"/>
                <w:color w:val="FF0000"/>
                <w:sz w:val="21"/>
                <w:szCs w:val="21"/>
              </w:rPr>
            </w:pPr>
          </w:p>
        </w:tc>
        <w:tc>
          <w:tcPr>
            <w:tcW w:w="217" w:type="dxa"/>
          </w:tcPr>
          <w:p w14:paraId="073AB2CB" w14:textId="77777777" w:rsidR="002C0FD9" w:rsidRPr="00CA25CF" w:rsidRDefault="002C0FD9" w:rsidP="00CA25CF">
            <w:pPr>
              <w:rPr>
                <w:rFonts w:cs="Arial"/>
                <w:color w:val="FF0000"/>
                <w:sz w:val="21"/>
                <w:szCs w:val="21"/>
              </w:rPr>
            </w:pPr>
          </w:p>
        </w:tc>
      </w:tr>
      <w:tr w:rsidR="002C0FD9" w:rsidRPr="00A16219" w14:paraId="7308C412" w14:textId="77777777" w:rsidTr="002C0FD9">
        <w:trPr>
          <w:trHeight w:val="635"/>
        </w:trPr>
        <w:tc>
          <w:tcPr>
            <w:tcW w:w="515" w:type="dxa"/>
          </w:tcPr>
          <w:p w14:paraId="2F750869" w14:textId="77777777" w:rsidR="002C0FD9" w:rsidRPr="00CA25CF" w:rsidRDefault="002C0FD9" w:rsidP="00CA25CF">
            <w:pPr>
              <w:rPr>
                <w:rFonts w:cs="Arial"/>
                <w:color w:val="FF0000"/>
                <w:sz w:val="21"/>
                <w:szCs w:val="21"/>
              </w:rPr>
            </w:pPr>
          </w:p>
        </w:tc>
        <w:tc>
          <w:tcPr>
            <w:tcW w:w="217" w:type="dxa"/>
          </w:tcPr>
          <w:p w14:paraId="37D0718C" w14:textId="77777777" w:rsidR="002C0FD9" w:rsidRPr="00CA25CF" w:rsidRDefault="002C0FD9" w:rsidP="00CA25CF">
            <w:pPr>
              <w:rPr>
                <w:rFonts w:cs="Arial"/>
                <w:color w:val="FF0000"/>
                <w:sz w:val="21"/>
                <w:szCs w:val="21"/>
              </w:rPr>
            </w:pPr>
          </w:p>
        </w:tc>
        <w:tc>
          <w:tcPr>
            <w:tcW w:w="217" w:type="dxa"/>
          </w:tcPr>
          <w:p w14:paraId="52A0D3B0" w14:textId="77777777" w:rsidR="002C0FD9" w:rsidRPr="00CA25CF" w:rsidRDefault="002C0FD9" w:rsidP="00CA25CF">
            <w:pPr>
              <w:rPr>
                <w:rFonts w:cs="Arial"/>
                <w:color w:val="FF0000"/>
                <w:sz w:val="21"/>
                <w:szCs w:val="21"/>
              </w:rPr>
            </w:pPr>
          </w:p>
        </w:tc>
        <w:tc>
          <w:tcPr>
            <w:tcW w:w="217" w:type="dxa"/>
          </w:tcPr>
          <w:p w14:paraId="7EE5D9E1" w14:textId="77777777" w:rsidR="002C0FD9" w:rsidRPr="00CA25CF" w:rsidRDefault="002C0FD9" w:rsidP="00CA25CF">
            <w:pPr>
              <w:rPr>
                <w:rFonts w:cs="Arial"/>
                <w:color w:val="FF0000"/>
                <w:sz w:val="21"/>
                <w:szCs w:val="21"/>
              </w:rPr>
            </w:pPr>
          </w:p>
        </w:tc>
        <w:tc>
          <w:tcPr>
            <w:tcW w:w="217" w:type="dxa"/>
          </w:tcPr>
          <w:p w14:paraId="52E48FDD" w14:textId="77777777" w:rsidR="002C0FD9" w:rsidRPr="00CA25CF" w:rsidRDefault="002C0FD9" w:rsidP="00CA25CF">
            <w:pPr>
              <w:rPr>
                <w:rFonts w:cs="Arial"/>
                <w:color w:val="FF0000"/>
                <w:sz w:val="21"/>
                <w:szCs w:val="21"/>
              </w:rPr>
            </w:pPr>
          </w:p>
        </w:tc>
        <w:tc>
          <w:tcPr>
            <w:tcW w:w="217" w:type="dxa"/>
          </w:tcPr>
          <w:p w14:paraId="256FE62E" w14:textId="77777777" w:rsidR="002C0FD9" w:rsidRPr="00CA25CF" w:rsidRDefault="002C0FD9" w:rsidP="00CA25CF">
            <w:pPr>
              <w:rPr>
                <w:rFonts w:cs="Arial"/>
                <w:color w:val="FF0000"/>
                <w:sz w:val="21"/>
                <w:szCs w:val="21"/>
              </w:rPr>
            </w:pPr>
          </w:p>
        </w:tc>
        <w:tc>
          <w:tcPr>
            <w:tcW w:w="217" w:type="dxa"/>
          </w:tcPr>
          <w:p w14:paraId="50DE44D5" w14:textId="77777777" w:rsidR="002C0FD9" w:rsidRPr="00CA25CF" w:rsidRDefault="002C0FD9" w:rsidP="00CA25CF">
            <w:pPr>
              <w:rPr>
                <w:rFonts w:cs="Arial"/>
                <w:color w:val="FF0000"/>
                <w:sz w:val="21"/>
                <w:szCs w:val="21"/>
              </w:rPr>
            </w:pPr>
          </w:p>
        </w:tc>
        <w:tc>
          <w:tcPr>
            <w:tcW w:w="217" w:type="dxa"/>
          </w:tcPr>
          <w:p w14:paraId="7A037C36" w14:textId="77777777" w:rsidR="002C0FD9" w:rsidRPr="00CA25CF" w:rsidRDefault="002C0FD9" w:rsidP="00CA25CF">
            <w:pPr>
              <w:rPr>
                <w:rFonts w:cs="Arial"/>
                <w:color w:val="FF0000"/>
                <w:sz w:val="21"/>
                <w:szCs w:val="21"/>
              </w:rPr>
            </w:pPr>
          </w:p>
        </w:tc>
        <w:tc>
          <w:tcPr>
            <w:tcW w:w="217" w:type="dxa"/>
          </w:tcPr>
          <w:p w14:paraId="72C125D7" w14:textId="77777777" w:rsidR="002C0FD9" w:rsidRPr="00CA25CF" w:rsidRDefault="002C0FD9" w:rsidP="00CA25CF">
            <w:pPr>
              <w:rPr>
                <w:rFonts w:cs="Arial"/>
                <w:color w:val="FF0000"/>
                <w:sz w:val="21"/>
                <w:szCs w:val="21"/>
              </w:rPr>
            </w:pPr>
          </w:p>
        </w:tc>
        <w:tc>
          <w:tcPr>
            <w:tcW w:w="217" w:type="dxa"/>
          </w:tcPr>
          <w:p w14:paraId="76D59D77" w14:textId="77777777" w:rsidR="002C0FD9" w:rsidRPr="00CA25CF" w:rsidRDefault="002C0FD9" w:rsidP="00CA25CF">
            <w:pPr>
              <w:rPr>
                <w:rFonts w:cs="Arial"/>
                <w:color w:val="FF0000"/>
                <w:sz w:val="21"/>
                <w:szCs w:val="21"/>
              </w:rPr>
            </w:pPr>
          </w:p>
        </w:tc>
        <w:tc>
          <w:tcPr>
            <w:tcW w:w="217" w:type="dxa"/>
          </w:tcPr>
          <w:p w14:paraId="7C06E1E0" w14:textId="77777777" w:rsidR="002C0FD9" w:rsidRPr="00CA25CF" w:rsidRDefault="002C0FD9" w:rsidP="00CA25CF">
            <w:pPr>
              <w:rPr>
                <w:rFonts w:cs="Arial"/>
                <w:color w:val="FF0000"/>
                <w:sz w:val="21"/>
                <w:szCs w:val="21"/>
              </w:rPr>
            </w:pPr>
          </w:p>
        </w:tc>
        <w:tc>
          <w:tcPr>
            <w:tcW w:w="217" w:type="dxa"/>
          </w:tcPr>
          <w:p w14:paraId="2F145420" w14:textId="77777777" w:rsidR="002C0FD9" w:rsidRPr="00CA25CF" w:rsidRDefault="002C0FD9" w:rsidP="00CA25CF">
            <w:pPr>
              <w:rPr>
                <w:rFonts w:cs="Arial"/>
                <w:color w:val="FF0000"/>
                <w:sz w:val="21"/>
                <w:szCs w:val="21"/>
              </w:rPr>
            </w:pPr>
          </w:p>
        </w:tc>
        <w:tc>
          <w:tcPr>
            <w:tcW w:w="217" w:type="dxa"/>
          </w:tcPr>
          <w:p w14:paraId="39EC0BF1" w14:textId="77777777" w:rsidR="002C0FD9" w:rsidRPr="00CA25CF" w:rsidRDefault="002C0FD9" w:rsidP="00CA25CF">
            <w:pPr>
              <w:rPr>
                <w:rFonts w:cs="Arial"/>
                <w:color w:val="FF0000"/>
                <w:sz w:val="21"/>
                <w:szCs w:val="21"/>
              </w:rPr>
            </w:pPr>
          </w:p>
        </w:tc>
        <w:tc>
          <w:tcPr>
            <w:tcW w:w="217" w:type="dxa"/>
          </w:tcPr>
          <w:p w14:paraId="2F92FEDC" w14:textId="77777777" w:rsidR="002C0FD9" w:rsidRPr="00CA25CF" w:rsidRDefault="002C0FD9" w:rsidP="00CA25CF">
            <w:pPr>
              <w:rPr>
                <w:rFonts w:cs="Arial"/>
                <w:color w:val="FF0000"/>
                <w:sz w:val="21"/>
                <w:szCs w:val="21"/>
              </w:rPr>
            </w:pPr>
          </w:p>
        </w:tc>
        <w:tc>
          <w:tcPr>
            <w:tcW w:w="217" w:type="dxa"/>
          </w:tcPr>
          <w:p w14:paraId="3547FD63" w14:textId="77777777" w:rsidR="002C0FD9" w:rsidRPr="00CA25CF" w:rsidRDefault="002C0FD9" w:rsidP="00CA25CF">
            <w:pPr>
              <w:rPr>
                <w:rFonts w:cs="Arial"/>
                <w:color w:val="FF0000"/>
                <w:sz w:val="21"/>
                <w:szCs w:val="21"/>
              </w:rPr>
            </w:pPr>
          </w:p>
        </w:tc>
        <w:tc>
          <w:tcPr>
            <w:tcW w:w="217" w:type="dxa"/>
          </w:tcPr>
          <w:p w14:paraId="25D09309" w14:textId="77777777" w:rsidR="002C0FD9" w:rsidRPr="00CA25CF" w:rsidRDefault="002C0FD9" w:rsidP="00CA25CF">
            <w:pPr>
              <w:rPr>
                <w:rFonts w:cs="Arial"/>
                <w:color w:val="FF0000"/>
                <w:sz w:val="21"/>
                <w:szCs w:val="21"/>
              </w:rPr>
            </w:pPr>
          </w:p>
        </w:tc>
        <w:tc>
          <w:tcPr>
            <w:tcW w:w="217" w:type="dxa"/>
          </w:tcPr>
          <w:p w14:paraId="4DA59277" w14:textId="77777777" w:rsidR="002C0FD9" w:rsidRPr="00CA25CF" w:rsidRDefault="002C0FD9" w:rsidP="00CA25CF">
            <w:pPr>
              <w:rPr>
                <w:rFonts w:cs="Arial"/>
                <w:color w:val="FF0000"/>
                <w:sz w:val="21"/>
                <w:szCs w:val="21"/>
              </w:rPr>
            </w:pPr>
          </w:p>
        </w:tc>
        <w:tc>
          <w:tcPr>
            <w:tcW w:w="217" w:type="dxa"/>
          </w:tcPr>
          <w:p w14:paraId="63F0C308" w14:textId="77777777" w:rsidR="002C0FD9" w:rsidRPr="00CA25CF" w:rsidRDefault="002C0FD9" w:rsidP="00CA25CF">
            <w:pPr>
              <w:rPr>
                <w:rFonts w:cs="Arial"/>
                <w:color w:val="FF0000"/>
                <w:sz w:val="21"/>
                <w:szCs w:val="21"/>
              </w:rPr>
            </w:pPr>
          </w:p>
        </w:tc>
        <w:tc>
          <w:tcPr>
            <w:tcW w:w="217" w:type="dxa"/>
          </w:tcPr>
          <w:p w14:paraId="26770803" w14:textId="77777777" w:rsidR="002C0FD9" w:rsidRPr="00CA25CF" w:rsidRDefault="002C0FD9" w:rsidP="00CA25CF">
            <w:pPr>
              <w:rPr>
                <w:rFonts w:cs="Arial"/>
                <w:color w:val="FF0000"/>
                <w:sz w:val="21"/>
                <w:szCs w:val="21"/>
              </w:rPr>
            </w:pPr>
          </w:p>
        </w:tc>
        <w:tc>
          <w:tcPr>
            <w:tcW w:w="217" w:type="dxa"/>
          </w:tcPr>
          <w:p w14:paraId="3F7B2977" w14:textId="77777777" w:rsidR="002C0FD9" w:rsidRPr="00CA25CF" w:rsidRDefault="002C0FD9" w:rsidP="00CA25CF">
            <w:pPr>
              <w:rPr>
                <w:rFonts w:cs="Arial"/>
                <w:color w:val="FF0000"/>
                <w:sz w:val="21"/>
                <w:szCs w:val="21"/>
              </w:rPr>
            </w:pPr>
          </w:p>
        </w:tc>
        <w:tc>
          <w:tcPr>
            <w:tcW w:w="217" w:type="dxa"/>
          </w:tcPr>
          <w:p w14:paraId="72F293EB" w14:textId="77777777" w:rsidR="002C0FD9" w:rsidRPr="00CA25CF" w:rsidRDefault="002C0FD9" w:rsidP="00CA25CF">
            <w:pPr>
              <w:rPr>
                <w:rFonts w:cs="Arial"/>
                <w:color w:val="FF0000"/>
                <w:sz w:val="21"/>
                <w:szCs w:val="21"/>
              </w:rPr>
            </w:pPr>
          </w:p>
        </w:tc>
        <w:tc>
          <w:tcPr>
            <w:tcW w:w="217" w:type="dxa"/>
          </w:tcPr>
          <w:p w14:paraId="5F218878" w14:textId="77777777" w:rsidR="002C0FD9" w:rsidRPr="00CA25CF" w:rsidRDefault="002C0FD9" w:rsidP="00CA25CF">
            <w:pPr>
              <w:rPr>
                <w:rFonts w:cs="Arial"/>
                <w:color w:val="FF0000"/>
                <w:sz w:val="21"/>
                <w:szCs w:val="21"/>
              </w:rPr>
            </w:pPr>
          </w:p>
        </w:tc>
        <w:tc>
          <w:tcPr>
            <w:tcW w:w="217" w:type="dxa"/>
          </w:tcPr>
          <w:p w14:paraId="247D453A" w14:textId="77777777" w:rsidR="002C0FD9" w:rsidRPr="00CA25CF" w:rsidRDefault="002C0FD9" w:rsidP="00CA25CF">
            <w:pPr>
              <w:rPr>
                <w:rFonts w:cs="Arial"/>
                <w:color w:val="FF0000"/>
                <w:sz w:val="21"/>
                <w:szCs w:val="21"/>
              </w:rPr>
            </w:pPr>
          </w:p>
        </w:tc>
        <w:tc>
          <w:tcPr>
            <w:tcW w:w="217" w:type="dxa"/>
          </w:tcPr>
          <w:p w14:paraId="74D58F8B" w14:textId="77777777" w:rsidR="002C0FD9" w:rsidRPr="00CA25CF" w:rsidRDefault="002C0FD9" w:rsidP="00CA25CF">
            <w:pPr>
              <w:rPr>
                <w:rFonts w:cs="Arial"/>
                <w:color w:val="FF0000"/>
                <w:sz w:val="21"/>
                <w:szCs w:val="21"/>
              </w:rPr>
            </w:pPr>
          </w:p>
        </w:tc>
        <w:tc>
          <w:tcPr>
            <w:tcW w:w="217" w:type="dxa"/>
          </w:tcPr>
          <w:p w14:paraId="3FF0C0A8" w14:textId="77777777" w:rsidR="002C0FD9" w:rsidRPr="00CA25CF" w:rsidRDefault="002C0FD9" w:rsidP="00CA25CF">
            <w:pPr>
              <w:rPr>
                <w:rFonts w:cs="Arial"/>
                <w:color w:val="FF0000"/>
                <w:sz w:val="21"/>
                <w:szCs w:val="21"/>
              </w:rPr>
            </w:pPr>
          </w:p>
        </w:tc>
        <w:tc>
          <w:tcPr>
            <w:tcW w:w="217" w:type="dxa"/>
          </w:tcPr>
          <w:p w14:paraId="121BBBEF" w14:textId="77777777" w:rsidR="002C0FD9" w:rsidRPr="00CA25CF" w:rsidRDefault="002C0FD9" w:rsidP="00CA25CF">
            <w:pPr>
              <w:rPr>
                <w:rFonts w:cs="Arial"/>
                <w:color w:val="FF0000"/>
                <w:sz w:val="21"/>
                <w:szCs w:val="21"/>
              </w:rPr>
            </w:pPr>
          </w:p>
        </w:tc>
        <w:tc>
          <w:tcPr>
            <w:tcW w:w="217" w:type="dxa"/>
          </w:tcPr>
          <w:p w14:paraId="4D057D91" w14:textId="77777777" w:rsidR="002C0FD9" w:rsidRPr="00CA25CF" w:rsidRDefault="002C0FD9" w:rsidP="00CA25CF">
            <w:pPr>
              <w:rPr>
                <w:rFonts w:cs="Arial"/>
                <w:color w:val="FF0000"/>
                <w:sz w:val="21"/>
                <w:szCs w:val="21"/>
              </w:rPr>
            </w:pPr>
          </w:p>
        </w:tc>
        <w:tc>
          <w:tcPr>
            <w:tcW w:w="217" w:type="dxa"/>
          </w:tcPr>
          <w:p w14:paraId="66AEF0ED" w14:textId="77777777" w:rsidR="002C0FD9" w:rsidRPr="00CA25CF" w:rsidRDefault="002C0FD9" w:rsidP="00CA25CF">
            <w:pPr>
              <w:rPr>
                <w:rFonts w:cs="Arial"/>
                <w:color w:val="FF0000"/>
                <w:sz w:val="21"/>
                <w:szCs w:val="21"/>
              </w:rPr>
            </w:pPr>
          </w:p>
        </w:tc>
        <w:tc>
          <w:tcPr>
            <w:tcW w:w="217" w:type="dxa"/>
          </w:tcPr>
          <w:p w14:paraId="605D985A" w14:textId="77777777" w:rsidR="002C0FD9" w:rsidRPr="00CA25CF" w:rsidRDefault="002C0FD9" w:rsidP="00CA25CF">
            <w:pPr>
              <w:rPr>
                <w:rFonts w:cs="Arial"/>
                <w:color w:val="FF0000"/>
                <w:sz w:val="21"/>
                <w:szCs w:val="21"/>
              </w:rPr>
            </w:pPr>
          </w:p>
        </w:tc>
        <w:tc>
          <w:tcPr>
            <w:tcW w:w="217" w:type="dxa"/>
          </w:tcPr>
          <w:p w14:paraId="01AA8FE3" w14:textId="77777777" w:rsidR="002C0FD9" w:rsidRPr="00CA25CF" w:rsidRDefault="002C0FD9" w:rsidP="00CA25CF">
            <w:pPr>
              <w:rPr>
                <w:rFonts w:cs="Arial"/>
                <w:color w:val="FF0000"/>
                <w:sz w:val="21"/>
                <w:szCs w:val="21"/>
              </w:rPr>
            </w:pPr>
          </w:p>
        </w:tc>
        <w:tc>
          <w:tcPr>
            <w:tcW w:w="217" w:type="dxa"/>
          </w:tcPr>
          <w:p w14:paraId="075EAD1E" w14:textId="77777777" w:rsidR="002C0FD9" w:rsidRPr="00CA25CF" w:rsidRDefault="002C0FD9" w:rsidP="00CA25CF">
            <w:pPr>
              <w:rPr>
                <w:rFonts w:cs="Arial"/>
                <w:color w:val="FF0000"/>
                <w:sz w:val="21"/>
                <w:szCs w:val="21"/>
              </w:rPr>
            </w:pPr>
          </w:p>
        </w:tc>
        <w:tc>
          <w:tcPr>
            <w:tcW w:w="217" w:type="dxa"/>
          </w:tcPr>
          <w:p w14:paraId="56240D79" w14:textId="77777777" w:rsidR="002C0FD9" w:rsidRPr="00CA25CF" w:rsidRDefault="002C0FD9" w:rsidP="00CA25CF">
            <w:pPr>
              <w:rPr>
                <w:rFonts w:cs="Arial"/>
                <w:color w:val="FF0000"/>
                <w:sz w:val="21"/>
                <w:szCs w:val="21"/>
              </w:rPr>
            </w:pPr>
          </w:p>
        </w:tc>
        <w:tc>
          <w:tcPr>
            <w:tcW w:w="217" w:type="dxa"/>
          </w:tcPr>
          <w:p w14:paraId="4025C6EB" w14:textId="77777777" w:rsidR="002C0FD9" w:rsidRPr="00CA25CF" w:rsidRDefault="002C0FD9" w:rsidP="00CA25CF">
            <w:pPr>
              <w:rPr>
                <w:rFonts w:cs="Arial"/>
                <w:color w:val="FF0000"/>
                <w:sz w:val="21"/>
                <w:szCs w:val="21"/>
              </w:rPr>
            </w:pPr>
          </w:p>
        </w:tc>
        <w:tc>
          <w:tcPr>
            <w:tcW w:w="217" w:type="dxa"/>
          </w:tcPr>
          <w:p w14:paraId="044D0C7A" w14:textId="77777777" w:rsidR="002C0FD9" w:rsidRPr="00CA25CF" w:rsidRDefault="002C0FD9" w:rsidP="00CA25CF">
            <w:pPr>
              <w:rPr>
                <w:rFonts w:cs="Arial"/>
                <w:color w:val="FF0000"/>
                <w:sz w:val="21"/>
                <w:szCs w:val="21"/>
              </w:rPr>
            </w:pPr>
          </w:p>
        </w:tc>
        <w:tc>
          <w:tcPr>
            <w:tcW w:w="217" w:type="dxa"/>
          </w:tcPr>
          <w:p w14:paraId="1AE45567" w14:textId="77777777" w:rsidR="002C0FD9" w:rsidRPr="00CA25CF" w:rsidRDefault="002C0FD9" w:rsidP="00CA25CF">
            <w:pPr>
              <w:rPr>
                <w:rFonts w:cs="Arial"/>
                <w:color w:val="FF0000"/>
                <w:sz w:val="21"/>
                <w:szCs w:val="21"/>
              </w:rPr>
            </w:pPr>
          </w:p>
        </w:tc>
        <w:tc>
          <w:tcPr>
            <w:tcW w:w="217" w:type="dxa"/>
          </w:tcPr>
          <w:p w14:paraId="44AD02EB" w14:textId="77777777" w:rsidR="002C0FD9" w:rsidRPr="00CA25CF" w:rsidRDefault="002C0FD9" w:rsidP="00CA25CF">
            <w:pPr>
              <w:rPr>
                <w:rFonts w:cs="Arial"/>
                <w:color w:val="FF0000"/>
                <w:sz w:val="21"/>
                <w:szCs w:val="21"/>
              </w:rPr>
            </w:pPr>
          </w:p>
        </w:tc>
        <w:tc>
          <w:tcPr>
            <w:tcW w:w="217" w:type="dxa"/>
          </w:tcPr>
          <w:p w14:paraId="3C55DB8C" w14:textId="77777777" w:rsidR="002C0FD9" w:rsidRPr="00CA25CF" w:rsidRDefault="002C0FD9" w:rsidP="00CA25CF">
            <w:pPr>
              <w:rPr>
                <w:rFonts w:cs="Arial"/>
                <w:color w:val="FF0000"/>
                <w:sz w:val="21"/>
                <w:szCs w:val="21"/>
              </w:rPr>
            </w:pPr>
          </w:p>
        </w:tc>
        <w:tc>
          <w:tcPr>
            <w:tcW w:w="217" w:type="dxa"/>
          </w:tcPr>
          <w:p w14:paraId="44D44C19" w14:textId="77777777" w:rsidR="002C0FD9" w:rsidRPr="00CA25CF" w:rsidRDefault="002C0FD9" w:rsidP="00CA25CF">
            <w:pPr>
              <w:rPr>
                <w:rFonts w:cs="Arial"/>
                <w:color w:val="FF0000"/>
                <w:sz w:val="21"/>
                <w:szCs w:val="21"/>
              </w:rPr>
            </w:pPr>
          </w:p>
        </w:tc>
        <w:tc>
          <w:tcPr>
            <w:tcW w:w="217" w:type="dxa"/>
          </w:tcPr>
          <w:p w14:paraId="1F782470" w14:textId="77777777" w:rsidR="002C0FD9" w:rsidRPr="00CA25CF" w:rsidRDefault="002C0FD9" w:rsidP="00CA25CF">
            <w:pPr>
              <w:rPr>
                <w:rFonts w:cs="Arial"/>
                <w:color w:val="FF0000"/>
                <w:sz w:val="21"/>
                <w:szCs w:val="21"/>
              </w:rPr>
            </w:pPr>
          </w:p>
        </w:tc>
        <w:tc>
          <w:tcPr>
            <w:tcW w:w="217" w:type="dxa"/>
          </w:tcPr>
          <w:p w14:paraId="5F1AAFDB" w14:textId="77777777" w:rsidR="002C0FD9" w:rsidRPr="00CA25CF" w:rsidRDefault="002C0FD9" w:rsidP="00CA25CF">
            <w:pPr>
              <w:rPr>
                <w:rFonts w:cs="Arial"/>
                <w:color w:val="FF0000"/>
                <w:sz w:val="21"/>
                <w:szCs w:val="21"/>
              </w:rPr>
            </w:pPr>
          </w:p>
        </w:tc>
        <w:tc>
          <w:tcPr>
            <w:tcW w:w="217" w:type="dxa"/>
          </w:tcPr>
          <w:p w14:paraId="1DD9563A" w14:textId="77777777" w:rsidR="002C0FD9" w:rsidRPr="00CA25CF" w:rsidRDefault="002C0FD9" w:rsidP="00CA25CF">
            <w:pPr>
              <w:rPr>
                <w:rFonts w:cs="Arial"/>
                <w:color w:val="FF0000"/>
                <w:sz w:val="21"/>
                <w:szCs w:val="21"/>
              </w:rPr>
            </w:pPr>
          </w:p>
        </w:tc>
        <w:tc>
          <w:tcPr>
            <w:tcW w:w="217" w:type="dxa"/>
          </w:tcPr>
          <w:p w14:paraId="35CDB79A" w14:textId="77777777" w:rsidR="002C0FD9" w:rsidRPr="00CA25CF" w:rsidRDefault="002C0FD9" w:rsidP="00CA25CF">
            <w:pPr>
              <w:rPr>
                <w:rFonts w:cs="Arial"/>
                <w:color w:val="FF0000"/>
                <w:sz w:val="21"/>
                <w:szCs w:val="21"/>
              </w:rPr>
            </w:pPr>
          </w:p>
        </w:tc>
        <w:tc>
          <w:tcPr>
            <w:tcW w:w="217" w:type="dxa"/>
          </w:tcPr>
          <w:p w14:paraId="30096231" w14:textId="77777777" w:rsidR="002C0FD9" w:rsidRPr="00CA25CF" w:rsidRDefault="002C0FD9" w:rsidP="00CA25CF">
            <w:pPr>
              <w:rPr>
                <w:rFonts w:cs="Arial"/>
                <w:color w:val="FF0000"/>
                <w:sz w:val="21"/>
                <w:szCs w:val="21"/>
              </w:rPr>
            </w:pPr>
          </w:p>
        </w:tc>
      </w:tr>
      <w:tr w:rsidR="002C0FD9" w:rsidRPr="00A16219" w14:paraId="11583917" w14:textId="77777777" w:rsidTr="002C0FD9">
        <w:trPr>
          <w:trHeight w:val="635"/>
        </w:trPr>
        <w:tc>
          <w:tcPr>
            <w:tcW w:w="515" w:type="dxa"/>
          </w:tcPr>
          <w:p w14:paraId="3256D150" w14:textId="77777777" w:rsidR="002C0FD9" w:rsidRPr="00CA25CF" w:rsidRDefault="002C0FD9" w:rsidP="00CA25CF">
            <w:pPr>
              <w:rPr>
                <w:rFonts w:cs="Arial"/>
                <w:color w:val="FF0000"/>
                <w:sz w:val="21"/>
                <w:szCs w:val="21"/>
              </w:rPr>
            </w:pPr>
          </w:p>
        </w:tc>
        <w:tc>
          <w:tcPr>
            <w:tcW w:w="217" w:type="dxa"/>
          </w:tcPr>
          <w:p w14:paraId="47A8BDC2" w14:textId="77777777" w:rsidR="002C0FD9" w:rsidRPr="00CA25CF" w:rsidRDefault="002C0FD9" w:rsidP="00CA25CF">
            <w:pPr>
              <w:rPr>
                <w:rFonts w:cs="Arial"/>
                <w:color w:val="FF0000"/>
                <w:sz w:val="21"/>
                <w:szCs w:val="21"/>
              </w:rPr>
            </w:pPr>
          </w:p>
        </w:tc>
        <w:tc>
          <w:tcPr>
            <w:tcW w:w="217" w:type="dxa"/>
          </w:tcPr>
          <w:p w14:paraId="2F849132" w14:textId="77777777" w:rsidR="002C0FD9" w:rsidRPr="00CA25CF" w:rsidRDefault="002C0FD9" w:rsidP="00CA25CF">
            <w:pPr>
              <w:rPr>
                <w:rFonts w:cs="Arial"/>
                <w:color w:val="FF0000"/>
                <w:sz w:val="21"/>
                <w:szCs w:val="21"/>
              </w:rPr>
            </w:pPr>
          </w:p>
        </w:tc>
        <w:tc>
          <w:tcPr>
            <w:tcW w:w="217" w:type="dxa"/>
          </w:tcPr>
          <w:p w14:paraId="0BC2FD37" w14:textId="77777777" w:rsidR="002C0FD9" w:rsidRPr="00CA25CF" w:rsidRDefault="002C0FD9" w:rsidP="00CA25CF">
            <w:pPr>
              <w:rPr>
                <w:rFonts w:cs="Arial"/>
                <w:color w:val="FF0000"/>
                <w:sz w:val="21"/>
                <w:szCs w:val="21"/>
              </w:rPr>
            </w:pPr>
          </w:p>
        </w:tc>
        <w:tc>
          <w:tcPr>
            <w:tcW w:w="217" w:type="dxa"/>
          </w:tcPr>
          <w:p w14:paraId="5278D67C" w14:textId="77777777" w:rsidR="002C0FD9" w:rsidRPr="00CA25CF" w:rsidRDefault="002C0FD9" w:rsidP="00CA25CF">
            <w:pPr>
              <w:rPr>
                <w:rFonts w:cs="Arial"/>
                <w:color w:val="FF0000"/>
                <w:sz w:val="21"/>
                <w:szCs w:val="21"/>
              </w:rPr>
            </w:pPr>
          </w:p>
        </w:tc>
        <w:tc>
          <w:tcPr>
            <w:tcW w:w="217" w:type="dxa"/>
          </w:tcPr>
          <w:p w14:paraId="00C93309" w14:textId="77777777" w:rsidR="002C0FD9" w:rsidRPr="00CA25CF" w:rsidRDefault="002C0FD9" w:rsidP="00CA25CF">
            <w:pPr>
              <w:rPr>
                <w:rFonts w:cs="Arial"/>
                <w:color w:val="FF0000"/>
                <w:sz w:val="21"/>
                <w:szCs w:val="21"/>
              </w:rPr>
            </w:pPr>
          </w:p>
        </w:tc>
        <w:tc>
          <w:tcPr>
            <w:tcW w:w="217" w:type="dxa"/>
          </w:tcPr>
          <w:p w14:paraId="41B78788" w14:textId="77777777" w:rsidR="002C0FD9" w:rsidRPr="00CA25CF" w:rsidRDefault="002C0FD9" w:rsidP="00CA25CF">
            <w:pPr>
              <w:rPr>
                <w:rFonts w:cs="Arial"/>
                <w:color w:val="FF0000"/>
                <w:sz w:val="21"/>
                <w:szCs w:val="21"/>
              </w:rPr>
            </w:pPr>
          </w:p>
        </w:tc>
        <w:tc>
          <w:tcPr>
            <w:tcW w:w="217" w:type="dxa"/>
          </w:tcPr>
          <w:p w14:paraId="38D74D24" w14:textId="77777777" w:rsidR="002C0FD9" w:rsidRPr="00CA25CF" w:rsidRDefault="002C0FD9" w:rsidP="00CA25CF">
            <w:pPr>
              <w:rPr>
                <w:rFonts w:cs="Arial"/>
                <w:color w:val="FF0000"/>
                <w:sz w:val="21"/>
                <w:szCs w:val="21"/>
              </w:rPr>
            </w:pPr>
          </w:p>
        </w:tc>
        <w:tc>
          <w:tcPr>
            <w:tcW w:w="217" w:type="dxa"/>
          </w:tcPr>
          <w:p w14:paraId="36B73020" w14:textId="77777777" w:rsidR="002C0FD9" w:rsidRPr="00CA25CF" w:rsidRDefault="002C0FD9" w:rsidP="00CA25CF">
            <w:pPr>
              <w:rPr>
                <w:rFonts w:cs="Arial"/>
                <w:color w:val="FF0000"/>
                <w:sz w:val="21"/>
                <w:szCs w:val="21"/>
              </w:rPr>
            </w:pPr>
          </w:p>
        </w:tc>
        <w:tc>
          <w:tcPr>
            <w:tcW w:w="217" w:type="dxa"/>
          </w:tcPr>
          <w:p w14:paraId="2CBE117F" w14:textId="77777777" w:rsidR="002C0FD9" w:rsidRPr="00CA25CF" w:rsidRDefault="002C0FD9" w:rsidP="00CA25CF">
            <w:pPr>
              <w:rPr>
                <w:rFonts w:cs="Arial"/>
                <w:color w:val="FF0000"/>
                <w:sz w:val="21"/>
                <w:szCs w:val="21"/>
              </w:rPr>
            </w:pPr>
          </w:p>
        </w:tc>
        <w:tc>
          <w:tcPr>
            <w:tcW w:w="217" w:type="dxa"/>
          </w:tcPr>
          <w:p w14:paraId="12B1EEC2" w14:textId="77777777" w:rsidR="002C0FD9" w:rsidRPr="00CA25CF" w:rsidRDefault="002C0FD9" w:rsidP="00CA25CF">
            <w:pPr>
              <w:rPr>
                <w:rFonts w:cs="Arial"/>
                <w:color w:val="FF0000"/>
                <w:sz w:val="21"/>
                <w:szCs w:val="21"/>
              </w:rPr>
            </w:pPr>
          </w:p>
        </w:tc>
        <w:tc>
          <w:tcPr>
            <w:tcW w:w="217" w:type="dxa"/>
          </w:tcPr>
          <w:p w14:paraId="4F21561A" w14:textId="77777777" w:rsidR="002C0FD9" w:rsidRPr="00CA25CF" w:rsidRDefault="002C0FD9" w:rsidP="00CA25CF">
            <w:pPr>
              <w:rPr>
                <w:rFonts w:cs="Arial"/>
                <w:color w:val="FF0000"/>
                <w:sz w:val="21"/>
                <w:szCs w:val="21"/>
              </w:rPr>
            </w:pPr>
          </w:p>
        </w:tc>
        <w:tc>
          <w:tcPr>
            <w:tcW w:w="217" w:type="dxa"/>
          </w:tcPr>
          <w:p w14:paraId="4CF1042D" w14:textId="77777777" w:rsidR="002C0FD9" w:rsidRPr="00CA25CF" w:rsidRDefault="002C0FD9" w:rsidP="00CA25CF">
            <w:pPr>
              <w:rPr>
                <w:rFonts w:cs="Arial"/>
                <w:color w:val="FF0000"/>
                <w:sz w:val="21"/>
                <w:szCs w:val="21"/>
              </w:rPr>
            </w:pPr>
          </w:p>
        </w:tc>
        <w:tc>
          <w:tcPr>
            <w:tcW w:w="217" w:type="dxa"/>
          </w:tcPr>
          <w:p w14:paraId="553A1F4B" w14:textId="77777777" w:rsidR="002C0FD9" w:rsidRPr="00CA25CF" w:rsidRDefault="002C0FD9" w:rsidP="00CA25CF">
            <w:pPr>
              <w:rPr>
                <w:rFonts w:cs="Arial"/>
                <w:color w:val="FF0000"/>
                <w:sz w:val="21"/>
                <w:szCs w:val="21"/>
              </w:rPr>
            </w:pPr>
          </w:p>
        </w:tc>
        <w:tc>
          <w:tcPr>
            <w:tcW w:w="217" w:type="dxa"/>
          </w:tcPr>
          <w:p w14:paraId="31CF5E22" w14:textId="77777777" w:rsidR="002C0FD9" w:rsidRPr="00CA25CF" w:rsidRDefault="002C0FD9" w:rsidP="00CA25CF">
            <w:pPr>
              <w:rPr>
                <w:rFonts w:cs="Arial"/>
                <w:color w:val="FF0000"/>
                <w:sz w:val="21"/>
                <w:szCs w:val="21"/>
              </w:rPr>
            </w:pPr>
          </w:p>
        </w:tc>
        <w:tc>
          <w:tcPr>
            <w:tcW w:w="217" w:type="dxa"/>
          </w:tcPr>
          <w:p w14:paraId="7B5B08AD" w14:textId="77777777" w:rsidR="002C0FD9" w:rsidRPr="00CA25CF" w:rsidRDefault="002C0FD9" w:rsidP="00CA25CF">
            <w:pPr>
              <w:rPr>
                <w:rFonts w:cs="Arial"/>
                <w:color w:val="FF0000"/>
                <w:sz w:val="21"/>
                <w:szCs w:val="21"/>
              </w:rPr>
            </w:pPr>
          </w:p>
        </w:tc>
        <w:tc>
          <w:tcPr>
            <w:tcW w:w="217" w:type="dxa"/>
          </w:tcPr>
          <w:p w14:paraId="6E68DC3E" w14:textId="77777777" w:rsidR="002C0FD9" w:rsidRPr="00CA25CF" w:rsidRDefault="002C0FD9" w:rsidP="00CA25CF">
            <w:pPr>
              <w:rPr>
                <w:rFonts w:cs="Arial"/>
                <w:color w:val="FF0000"/>
                <w:sz w:val="21"/>
                <w:szCs w:val="21"/>
              </w:rPr>
            </w:pPr>
          </w:p>
        </w:tc>
        <w:tc>
          <w:tcPr>
            <w:tcW w:w="217" w:type="dxa"/>
          </w:tcPr>
          <w:p w14:paraId="47D6190E" w14:textId="77777777" w:rsidR="002C0FD9" w:rsidRPr="00CA25CF" w:rsidRDefault="002C0FD9" w:rsidP="00CA25CF">
            <w:pPr>
              <w:rPr>
                <w:rFonts w:cs="Arial"/>
                <w:color w:val="FF0000"/>
                <w:sz w:val="21"/>
                <w:szCs w:val="21"/>
              </w:rPr>
            </w:pPr>
          </w:p>
        </w:tc>
        <w:tc>
          <w:tcPr>
            <w:tcW w:w="217" w:type="dxa"/>
          </w:tcPr>
          <w:p w14:paraId="7B8C0287" w14:textId="77777777" w:rsidR="002C0FD9" w:rsidRPr="00CA25CF" w:rsidRDefault="002C0FD9" w:rsidP="00CA25CF">
            <w:pPr>
              <w:rPr>
                <w:rFonts w:cs="Arial"/>
                <w:color w:val="FF0000"/>
                <w:sz w:val="21"/>
                <w:szCs w:val="21"/>
              </w:rPr>
            </w:pPr>
          </w:p>
        </w:tc>
        <w:tc>
          <w:tcPr>
            <w:tcW w:w="217" w:type="dxa"/>
          </w:tcPr>
          <w:p w14:paraId="4549EA15" w14:textId="77777777" w:rsidR="002C0FD9" w:rsidRPr="00CA25CF" w:rsidRDefault="002C0FD9" w:rsidP="00CA25CF">
            <w:pPr>
              <w:rPr>
                <w:rFonts w:cs="Arial"/>
                <w:color w:val="FF0000"/>
                <w:sz w:val="21"/>
                <w:szCs w:val="21"/>
              </w:rPr>
            </w:pPr>
          </w:p>
        </w:tc>
        <w:tc>
          <w:tcPr>
            <w:tcW w:w="217" w:type="dxa"/>
          </w:tcPr>
          <w:p w14:paraId="3FA5F6D4" w14:textId="77777777" w:rsidR="002C0FD9" w:rsidRPr="00CA25CF" w:rsidRDefault="002C0FD9" w:rsidP="00CA25CF">
            <w:pPr>
              <w:rPr>
                <w:rFonts w:cs="Arial"/>
                <w:color w:val="FF0000"/>
                <w:sz w:val="21"/>
                <w:szCs w:val="21"/>
              </w:rPr>
            </w:pPr>
          </w:p>
        </w:tc>
        <w:tc>
          <w:tcPr>
            <w:tcW w:w="217" w:type="dxa"/>
          </w:tcPr>
          <w:p w14:paraId="5CFAFCA1" w14:textId="77777777" w:rsidR="002C0FD9" w:rsidRPr="00CA25CF" w:rsidRDefault="002C0FD9" w:rsidP="00CA25CF">
            <w:pPr>
              <w:rPr>
                <w:rFonts w:cs="Arial"/>
                <w:color w:val="FF0000"/>
                <w:sz w:val="21"/>
                <w:szCs w:val="21"/>
              </w:rPr>
            </w:pPr>
          </w:p>
        </w:tc>
        <w:tc>
          <w:tcPr>
            <w:tcW w:w="217" w:type="dxa"/>
          </w:tcPr>
          <w:p w14:paraId="23BA8F9F" w14:textId="77777777" w:rsidR="002C0FD9" w:rsidRPr="00CA25CF" w:rsidRDefault="002C0FD9" w:rsidP="00CA25CF">
            <w:pPr>
              <w:rPr>
                <w:rFonts w:cs="Arial"/>
                <w:color w:val="FF0000"/>
                <w:sz w:val="21"/>
                <w:szCs w:val="21"/>
              </w:rPr>
            </w:pPr>
          </w:p>
        </w:tc>
        <w:tc>
          <w:tcPr>
            <w:tcW w:w="217" w:type="dxa"/>
          </w:tcPr>
          <w:p w14:paraId="47248627" w14:textId="77777777" w:rsidR="002C0FD9" w:rsidRPr="00CA25CF" w:rsidRDefault="002C0FD9" w:rsidP="00CA25CF">
            <w:pPr>
              <w:rPr>
                <w:rFonts w:cs="Arial"/>
                <w:color w:val="FF0000"/>
                <w:sz w:val="21"/>
                <w:szCs w:val="21"/>
              </w:rPr>
            </w:pPr>
          </w:p>
        </w:tc>
        <w:tc>
          <w:tcPr>
            <w:tcW w:w="217" w:type="dxa"/>
          </w:tcPr>
          <w:p w14:paraId="5F3B5345" w14:textId="77777777" w:rsidR="002C0FD9" w:rsidRPr="00CA25CF" w:rsidRDefault="002C0FD9" w:rsidP="00CA25CF">
            <w:pPr>
              <w:rPr>
                <w:rFonts w:cs="Arial"/>
                <w:color w:val="FF0000"/>
                <w:sz w:val="21"/>
                <w:szCs w:val="21"/>
              </w:rPr>
            </w:pPr>
          </w:p>
        </w:tc>
        <w:tc>
          <w:tcPr>
            <w:tcW w:w="217" w:type="dxa"/>
          </w:tcPr>
          <w:p w14:paraId="01F65463" w14:textId="77777777" w:rsidR="002C0FD9" w:rsidRPr="00CA25CF" w:rsidRDefault="002C0FD9" w:rsidP="00CA25CF">
            <w:pPr>
              <w:rPr>
                <w:rFonts w:cs="Arial"/>
                <w:color w:val="FF0000"/>
                <w:sz w:val="21"/>
                <w:szCs w:val="21"/>
              </w:rPr>
            </w:pPr>
          </w:p>
        </w:tc>
        <w:tc>
          <w:tcPr>
            <w:tcW w:w="217" w:type="dxa"/>
          </w:tcPr>
          <w:p w14:paraId="62101708" w14:textId="77777777" w:rsidR="002C0FD9" w:rsidRPr="00CA25CF" w:rsidRDefault="002C0FD9" w:rsidP="00CA25CF">
            <w:pPr>
              <w:rPr>
                <w:rFonts w:cs="Arial"/>
                <w:color w:val="FF0000"/>
                <w:sz w:val="21"/>
                <w:szCs w:val="21"/>
              </w:rPr>
            </w:pPr>
          </w:p>
        </w:tc>
        <w:tc>
          <w:tcPr>
            <w:tcW w:w="217" w:type="dxa"/>
          </w:tcPr>
          <w:p w14:paraId="1E50692C" w14:textId="77777777" w:rsidR="002C0FD9" w:rsidRPr="00CA25CF" w:rsidRDefault="002C0FD9" w:rsidP="00CA25CF">
            <w:pPr>
              <w:rPr>
                <w:rFonts w:cs="Arial"/>
                <w:color w:val="FF0000"/>
                <w:sz w:val="21"/>
                <w:szCs w:val="21"/>
              </w:rPr>
            </w:pPr>
          </w:p>
        </w:tc>
        <w:tc>
          <w:tcPr>
            <w:tcW w:w="217" w:type="dxa"/>
          </w:tcPr>
          <w:p w14:paraId="0DDF909C" w14:textId="77777777" w:rsidR="002C0FD9" w:rsidRPr="00CA25CF" w:rsidRDefault="002C0FD9" w:rsidP="00CA25CF">
            <w:pPr>
              <w:rPr>
                <w:rFonts w:cs="Arial"/>
                <w:color w:val="FF0000"/>
                <w:sz w:val="21"/>
                <w:szCs w:val="21"/>
              </w:rPr>
            </w:pPr>
          </w:p>
        </w:tc>
        <w:tc>
          <w:tcPr>
            <w:tcW w:w="217" w:type="dxa"/>
          </w:tcPr>
          <w:p w14:paraId="54BB590F" w14:textId="77777777" w:rsidR="002C0FD9" w:rsidRPr="00CA25CF" w:rsidRDefault="002C0FD9" w:rsidP="00CA25CF">
            <w:pPr>
              <w:rPr>
                <w:rFonts w:cs="Arial"/>
                <w:color w:val="FF0000"/>
                <w:sz w:val="21"/>
                <w:szCs w:val="21"/>
              </w:rPr>
            </w:pPr>
          </w:p>
        </w:tc>
        <w:tc>
          <w:tcPr>
            <w:tcW w:w="217" w:type="dxa"/>
          </w:tcPr>
          <w:p w14:paraId="32546A9E" w14:textId="77777777" w:rsidR="002C0FD9" w:rsidRPr="00CA25CF" w:rsidRDefault="002C0FD9" w:rsidP="00CA25CF">
            <w:pPr>
              <w:rPr>
                <w:rFonts w:cs="Arial"/>
                <w:color w:val="FF0000"/>
                <w:sz w:val="21"/>
                <w:szCs w:val="21"/>
              </w:rPr>
            </w:pPr>
          </w:p>
        </w:tc>
        <w:tc>
          <w:tcPr>
            <w:tcW w:w="217" w:type="dxa"/>
          </w:tcPr>
          <w:p w14:paraId="6B8B04E4" w14:textId="77777777" w:rsidR="002C0FD9" w:rsidRPr="00CA25CF" w:rsidRDefault="002C0FD9" w:rsidP="00CA25CF">
            <w:pPr>
              <w:rPr>
                <w:rFonts w:cs="Arial"/>
                <w:color w:val="FF0000"/>
                <w:sz w:val="21"/>
                <w:szCs w:val="21"/>
              </w:rPr>
            </w:pPr>
          </w:p>
        </w:tc>
        <w:tc>
          <w:tcPr>
            <w:tcW w:w="217" w:type="dxa"/>
          </w:tcPr>
          <w:p w14:paraId="4F478255" w14:textId="77777777" w:rsidR="002C0FD9" w:rsidRPr="00CA25CF" w:rsidRDefault="002C0FD9" w:rsidP="00CA25CF">
            <w:pPr>
              <w:rPr>
                <w:rFonts w:cs="Arial"/>
                <w:color w:val="FF0000"/>
                <w:sz w:val="21"/>
                <w:szCs w:val="21"/>
              </w:rPr>
            </w:pPr>
          </w:p>
        </w:tc>
        <w:tc>
          <w:tcPr>
            <w:tcW w:w="217" w:type="dxa"/>
          </w:tcPr>
          <w:p w14:paraId="055FD91D" w14:textId="77777777" w:rsidR="002C0FD9" w:rsidRPr="00CA25CF" w:rsidRDefault="002C0FD9" w:rsidP="00CA25CF">
            <w:pPr>
              <w:rPr>
                <w:rFonts w:cs="Arial"/>
                <w:color w:val="FF0000"/>
                <w:sz w:val="21"/>
                <w:szCs w:val="21"/>
              </w:rPr>
            </w:pPr>
          </w:p>
        </w:tc>
        <w:tc>
          <w:tcPr>
            <w:tcW w:w="217" w:type="dxa"/>
          </w:tcPr>
          <w:p w14:paraId="4918E608" w14:textId="77777777" w:rsidR="002C0FD9" w:rsidRPr="00CA25CF" w:rsidRDefault="002C0FD9" w:rsidP="00CA25CF">
            <w:pPr>
              <w:rPr>
                <w:rFonts w:cs="Arial"/>
                <w:color w:val="FF0000"/>
                <w:sz w:val="21"/>
                <w:szCs w:val="21"/>
              </w:rPr>
            </w:pPr>
          </w:p>
        </w:tc>
        <w:tc>
          <w:tcPr>
            <w:tcW w:w="217" w:type="dxa"/>
          </w:tcPr>
          <w:p w14:paraId="5B3D9918" w14:textId="77777777" w:rsidR="002C0FD9" w:rsidRPr="00CA25CF" w:rsidRDefault="002C0FD9" w:rsidP="00CA25CF">
            <w:pPr>
              <w:rPr>
                <w:rFonts w:cs="Arial"/>
                <w:color w:val="FF0000"/>
                <w:sz w:val="21"/>
                <w:szCs w:val="21"/>
              </w:rPr>
            </w:pPr>
          </w:p>
        </w:tc>
        <w:tc>
          <w:tcPr>
            <w:tcW w:w="217" w:type="dxa"/>
          </w:tcPr>
          <w:p w14:paraId="652725E7" w14:textId="77777777" w:rsidR="002C0FD9" w:rsidRPr="00CA25CF" w:rsidRDefault="002C0FD9" w:rsidP="00CA25CF">
            <w:pPr>
              <w:rPr>
                <w:rFonts w:cs="Arial"/>
                <w:color w:val="FF0000"/>
                <w:sz w:val="21"/>
                <w:szCs w:val="21"/>
              </w:rPr>
            </w:pPr>
          </w:p>
        </w:tc>
        <w:tc>
          <w:tcPr>
            <w:tcW w:w="217" w:type="dxa"/>
          </w:tcPr>
          <w:p w14:paraId="29E5F63F" w14:textId="77777777" w:rsidR="002C0FD9" w:rsidRPr="00CA25CF" w:rsidRDefault="002C0FD9" w:rsidP="00CA25CF">
            <w:pPr>
              <w:rPr>
                <w:rFonts w:cs="Arial"/>
                <w:color w:val="FF0000"/>
                <w:sz w:val="21"/>
                <w:szCs w:val="21"/>
              </w:rPr>
            </w:pPr>
          </w:p>
        </w:tc>
        <w:tc>
          <w:tcPr>
            <w:tcW w:w="217" w:type="dxa"/>
          </w:tcPr>
          <w:p w14:paraId="762494DE" w14:textId="77777777" w:rsidR="002C0FD9" w:rsidRPr="00CA25CF" w:rsidRDefault="002C0FD9" w:rsidP="00CA25CF">
            <w:pPr>
              <w:rPr>
                <w:rFonts w:cs="Arial"/>
                <w:color w:val="FF0000"/>
                <w:sz w:val="21"/>
                <w:szCs w:val="21"/>
              </w:rPr>
            </w:pPr>
          </w:p>
        </w:tc>
        <w:tc>
          <w:tcPr>
            <w:tcW w:w="217" w:type="dxa"/>
          </w:tcPr>
          <w:p w14:paraId="746FFB83" w14:textId="77777777" w:rsidR="002C0FD9" w:rsidRPr="00CA25CF" w:rsidRDefault="002C0FD9" w:rsidP="00CA25CF">
            <w:pPr>
              <w:rPr>
                <w:rFonts w:cs="Arial"/>
                <w:color w:val="FF0000"/>
                <w:sz w:val="21"/>
                <w:szCs w:val="21"/>
              </w:rPr>
            </w:pPr>
          </w:p>
        </w:tc>
        <w:tc>
          <w:tcPr>
            <w:tcW w:w="217" w:type="dxa"/>
          </w:tcPr>
          <w:p w14:paraId="0710BBF7" w14:textId="77777777" w:rsidR="002C0FD9" w:rsidRPr="00CA25CF" w:rsidRDefault="002C0FD9" w:rsidP="00CA25CF">
            <w:pPr>
              <w:rPr>
                <w:rFonts w:cs="Arial"/>
                <w:color w:val="FF0000"/>
                <w:sz w:val="21"/>
                <w:szCs w:val="21"/>
              </w:rPr>
            </w:pPr>
          </w:p>
        </w:tc>
        <w:tc>
          <w:tcPr>
            <w:tcW w:w="217" w:type="dxa"/>
          </w:tcPr>
          <w:p w14:paraId="2807B172" w14:textId="77777777" w:rsidR="002C0FD9" w:rsidRPr="00CA25CF" w:rsidRDefault="002C0FD9" w:rsidP="00CA25CF">
            <w:pPr>
              <w:rPr>
                <w:rFonts w:cs="Arial"/>
                <w:color w:val="FF0000"/>
                <w:sz w:val="21"/>
                <w:szCs w:val="21"/>
              </w:rPr>
            </w:pPr>
          </w:p>
        </w:tc>
        <w:tc>
          <w:tcPr>
            <w:tcW w:w="217" w:type="dxa"/>
          </w:tcPr>
          <w:p w14:paraId="4A2F3D87" w14:textId="77777777" w:rsidR="002C0FD9" w:rsidRPr="00CA25CF" w:rsidRDefault="002C0FD9" w:rsidP="00CA25CF">
            <w:pPr>
              <w:rPr>
                <w:rFonts w:cs="Arial"/>
                <w:color w:val="FF0000"/>
                <w:sz w:val="21"/>
                <w:szCs w:val="21"/>
              </w:rPr>
            </w:pPr>
          </w:p>
        </w:tc>
      </w:tr>
      <w:tr w:rsidR="002C0FD9" w:rsidRPr="00A16219" w14:paraId="0B05CF95" w14:textId="77777777" w:rsidTr="002C0FD9">
        <w:trPr>
          <w:trHeight w:val="635"/>
        </w:trPr>
        <w:tc>
          <w:tcPr>
            <w:tcW w:w="515" w:type="dxa"/>
          </w:tcPr>
          <w:p w14:paraId="0092E10E" w14:textId="77777777" w:rsidR="002C0FD9" w:rsidRPr="00CA25CF" w:rsidRDefault="002C0FD9" w:rsidP="00CA25CF">
            <w:pPr>
              <w:rPr>
                <w:rFonts w:cs="Arial"/>
                <w:color w:val="FF0000"/>
                <w:sz w:val="21"/>
                <w:szCs w:val="21"/>
              </w:rPr>
            </w:pPr>
          </w:p>
        </w:tc>
        <w:tc>
          <w:tcPr>
            <w:tcW w:w="217" w:type="dxa"/>
          </w:tcPr>
          <w:p w14:paraId="1DD08452" w14:textId="77777777" w:rsidR="002C0FD9" w:rsidRPr="00CA25CF" w:rsidRDefault="002C0FD9" w:rsidP="00CA25CF">
            <w:pPr>
              <w:rPr>
                <w:rFonts w:cs="Arial"/>
                <w:color w:val="FF0000"/>
                <w:sz w:val="21"/>
                <w:szCs w:val="21"/>
              </w:rPr>
            </w:pPr>
          </w:p>
        </w:tc>
        <w:tc>
          <w:tcPr>
            <w:tcW w:w="217" w:type="dxa"/>
          </w:tcPr>
          <w:p w14:paraId="6370F409" w14:textId="77777777" w:rsidR="002C0FD9" w:rsidRPr="00CA25CF" w:rsidRDefault="002C0FD9" w:rsidP="00CA25CF">
            <w:pPr>
              <w:rPr>
                <w:rFonts w:cs="Arial"/>
                <w:color w:val="FF0000"/>
                <w:sz w:val="21"/>
                <w:szCs w:val="21"/>
              </w:rPr>
            </w:pPr>
          </w:p>
        </w:tc>
        <w:tc>
          <w:tcPr>
            <w:tcW w:w="217" w:type="dxa"/>
          </w:tcPr>
          <w:p w14:paraId="7F4EF616" w14:textId="77777777" w:rsidR="002C0FD9" w:rsidRPr="00CA25CF" w:rsidRDefault="002C0FD9" w:rsidP="00CA25CF">
            <w:pPr>
              <w:rPr>
                <w:rFonts w:cs="Arial"/>
                <w:color w:val="FF0000"/>
                <w:sz w:val="21"/>
                <w:szCs w:val="21"/>
              </w:rPr>
            </w:pPr>
          </w:p>
        </w:tc>
        <w:tc>
          <w:tcPr>
            <w:tcW w:w="217" w:type="dxa"/>
          </w:tcPr>
          <w:p w14:paraId="1343B968" w14:textId="77777777" w:rsidR="002C0FD9" w:rsidRPr="00CA25CF" w:rsidRDefault="002C0FD9" w:rsidP="00CA25CF">
            <w:pPr>
              <w:rPr>
                <w:rFonts w:cs="Arial"/>
                <w:color w:val="FF0000"/>
                <w:sz w:val="21"/>
                <w:szCs w:val="21"/>
              </w:rPr>
            </w:pPr>
          </w:p>
        </w:tc>
        <w:tc>
          <w:tcPr>
            <w:tcW w:w="217" w:type="dxa"/>
          </w:tcPr>
          <w:p w14:paraId="282C9796" w14:textId="77777777" w:rsidR="002C0FD9" w:rsidRPr="00CA25CF" w:rsidRDefault="002C0FD9" w:rsidP="00CA25CF">
            <w:pPr>
              <w:rPr>
                <w:rFonts w:cs="Arial"/>
                <w:color w:val="FF0000"/>
                <w:sz w:val="21"/>
                <w:szCs w:val="21"/>
              </w:rPr>
            </w:pPr>
          </w:p>
        </w:tc>
        <w:tc>
          <w:tcPr>
            <w:tcW w:w="217" w:type="dxa"/>
          </w:tcPr>
          <w:p w14:paraId="51C00FEF" w14:textId="77777777" w:rsidR="002C0FD9" w:rsidRPr="00CA25CF" w:rsidRDefault="002C0FD9" w:rsidP="00CA25CF">
            <w:pPr>
              <w:rPr>
                <w:rFonts w:cs="Arial"/>
                <w:color w:val="FF0000"/>
                <w:sz w:val="21"/>
                <w:szCs w:val="21"/>
              </w:rPr>
            </w:pPr>
          </w:p>
        </w:tc>
        <w:tc>
          <w:tcPr>
            <w:tcW w:w="217" w:type="dxa"/>
          </w:tcPr>
          <w:p w14:paraId="503037BD" w14:textId="77777777" w:rsidR="002C0FD9" w:rsidRPr="00CA25CF" w:rsidRDefault="002C0FD9" w:rsidP="00CA25CF">
            <w:pPr>
              <w:rPr>
                <w:rFonts w:cs="Arial"/>
                <w:color w:val="FF0000"/>
                <w:sz w:val="21"/>
                <w:szCs w:val="21"/>
              </w:rPr>
            </w:pPr>
          </w:p>
        </w:tc>
        <w:tc>
          <w:tcPr>
            <w:tcW w:w="217" w:type="dxa"/>
          </w:tcPr>
          <w:p w14:paraId="64D7276C" w14:textId="77777777" w:rsidR="002C0FD9" w:rsidRPr="00CA25CF" w:rsidRDefault="002C0FD9" w:rsidP="00CA25CF">
            <w:pPr>
              <w:rPr>
                <w:rFonts w:cs="Arial"/>
                <w:color w:val="FF0000"/>
                <w:sz w:val="21"/>
                <w:szCs w:val="21"/>
              </w:rPr>
            </w:pPr>
          </w:p>
        </w:tc>
        <w:tc>
          <w:tcPr>
            <w:tcW w:w="217" w:type="dxa"/>
          </w:tcPr>
          <w:p w14:paraId="2D104B4D" w14:textId="77777777" w:rsidR="002C0FD9" w:rsidRPr="00CA25CF" w:rsidRDefault="002C0FD9" w:rsidP="00CA25CF">
            <w:pPr>
              <w:rPr>
                <w:rFonts w:cs="Arial"/>
                <w:color w:val="FF0000"/>
                <w:sz w:val="21"/>
                <w:szCs w:val="21"/>
              </w:rPr>
            </w:pPr>
          </w:p>
        </w:tc>
        <w:tc>
          <w:tcPr>
            <w:tcW w:w="217" w:type="dxa"/>
          </w:tcPr>
          <w:p w14:paraId="6525A67B" w14:textId="77777777" w:rsidR="002C0FD9" w:rsidRPr="00CA25CF" w:rsidRDefault="002C0FD9" w:rsidP="00CA25CF">
            <w:pPr>
              <w:rPr>
                <w:rFonts w:cs="Arial"/>
                <w:color w:val="FF0000"/>
                <w:sz w:val="21"/>
                <w:szCs w:val="21"/>
              </w:rPr>
            </w:pPr>
          </w:p>
        </w:tc>
        <w:tc>
          <w:tcPr>
            <w:tcW w:w="217" w:type="dxa"/>
          </w:tcPr>
          <w:p w14:paraId="7070B0E5" w14:textId="77777777" w:rsidR="002C0FD9" w:rsidRPr="00CA25CF" w:rsidRDefault="002C0FD9" w:rsidP="00CA25CF">
            <w:pPr>
              <w:rPr>
                <w:rFonts w:cs="Arial"/>
                <w:color w:val="FF0000"/>
                <w:sz w:val="21"/>
                <w:szCs w:val="21"/>
              </w:rPr>
            </w:pPr>
          </w:p>
        </w:tc>
        <w:tc>
          <w:tcPr>
            <w:tcW w:w="217" w:type="dxa"/>
          </w:tcPr>
          <w:p w14:paraId="2E3F36D5" w14:textId="77777777" w:rsidR="002C0FD9" w:rsidRPr="00CA25CF" w:rsidRDefault="002C0FD9" w:rsidP="00CA25CF">
            <w:pPr>
              <w:rPr>
                <w:rFonts w:cs="Arial"/>
                <w:color w:val="FF0000"/>
                <w:sz w:val="21"/>
                <w:szCs w:val="21"/>
              </w:rPr>
            </w:pPr>
          </w:p>
        </w:tc>
        <w:tc>
          <w:tcPr>
            <w:tcW w:w="217" w:type="dxa"/>
          </w:tcPr>
          <w:p w14:paraId="4A274399" w14:textId="77777777" w:rsidR="002C0FD9" w:rsidRPr="00CA25CF" w:rsidRDefault="002C0FD9" w:rsidP="00CA25CF">
            <w:pPr>
              <w:rPr>
                <w:rFonts w:cs="Arial"/>
                <w:color w:val="FF0000"/>
                <w:sz w:val="21"/>
                <w:szCs w:val="21"/>
              </w:rPr>
            </w:pPr>
          </w:p>
        </w:tc>
        <w:tc>
          <w:tcPr>
            <w:tcW w:w="217" w:type="dxa"/>
          </w:tcPr>
          <w:p w14:paraId="5F592397" w14:textId="77777777" w:rsidR="002C0FD9" w:rsidRPr="00CA25CF" w:rsidRDefault="002C0FD9" w:rsidP="00CA25CF">
            <w:pPr>
              <w:rPr>
                <w:rFonts w:cs="Arial"/>
                <w:color w:val="FF0000"/>
                <w:sz w:val="21"/>
                <w:szCs w:val="21"/>
              </w:rPr>
            </w:pPr>
          </w:p>
        </w:tc>
        <w:tc>
          <w:tcPr>
            <w:tcW w:w="217" w:type="dxa"/>
          </w:tcPr>
          <w:p w14:paraId="79B73DFB" w14:textId="77777777" w:rsidR="002C0FD9" w:rsidRPr="00CA25CF" w:rsidRDefault="002C0FD9" w:rsidP="00CA25CF">
            <w:pPr>
              <w:rPr>
                <w:rFonts w:cs="Arial"/>
                <w:color w:val="FF0000"/>
                <w:sz w:val="21"/>
                <w:szCs w:val="21"/>
              </w:rPr>
            </w:pPr>
          </w:p>
        </w:tc>
        <w:tc>
          <w:tcPr>
            <w:tcW w:w="217" w:type="dxa"/>
          </w:tcPr>
          <w:p w14:paraId="05D1B621" w14:textId="77777777" w:rsidR="002C0FD9" w:rsidRPr="00CA25CF" w:rsidRDefault="002C0FD9" w:rsidP="00CA25CF">
            <w:pPr>
              <w:rPr>
                <w:rFonts w:cs="Arial"/>
                <w:color w:val="FF0000"/>
                <w:sz w:val="21"/>
                <w:szCs w:val="21"/>
              </w:rPr>
            </w:pPr>
          </w:p>
        </w:tc>
        <w:tc>
          <w:tcPr>
            <w:tcW w:w="217" w:type="dxa"/>
          </w:tcPr>
          <w:p w14:paraId="5944D1B3" w14:textId="77777777" w:rsidR="002C0FD9" w:rsidRPr="00CA25CF" w:rsidRDefault="002C0FD9" w:rsidP="00CA25CF">
            <w:pPr>
              <w:rPr>
                <w:rFonts w:cs="Arial"/>
                <w:color w:val="FF0000"/>
                <w:sz w:val="21"/>
                <w:szCs w:val="21"/>
              </w:rPr>
            </w:pPr>
          </w:p>
        </w:tc>
        <w:tc>
          <w:tcPr>
            <w:tcW w:w="217" w:type="dxa"/>
          </w:tcPr>
          <w:p w14:paraId="402DA555" w14:textId="77777777" w:rsidR="002C0FD9" w:rsidRPr="00CA25CF" w:rsidRDefault="002C0FD9" w:rsidP="00CA25CF">
            <w:pPr>
              <w:rPr>
                <w:rFonts w:cs="Arial"/>
                <w:color w:val="FF0000"/>
                <w:sz w:val="21"/>
                <w:szCs w:val="21"/>
              </w:rPr>
            </w:pPr>
          </w:p>
        </w:tc>
        <w:tc>
          <w:tcPr>
            <w:tcW w:w="217" w:type="dxa"/>
          </w:tcPr>
          <w:p w14:paraId="322C7789" w14:textId="77777777" w:rsidR="002C0FD9" w:rsidRPr="00CA25CF" w:rsidRDefault="002C0FD9" w:rsidP="00CA25CF">
            <w:pPr>
              <w:rPr>
                <w:rFonts w:cs="Arial"/>
                <w:color w:val="FF0000"/>
                <w:sz w:val="21"/>
                <w:szCs w:val="21"/>
              </w:rPr>
            </w:pPr>
          </w:p>
        </w:tc>
        <w:tc>
          <w:tcPr>
            <w:tcW w:w="217" w:type="dxa"/>
          </w:tcPr>
          <w:p w14:paraId="6EF28B73" w14:textId="77777777" w:rsidR="002C0FD9" w:rsidRPr="00CA25CF" w:rsidRDefault="002C0FD9" w:rsidP="00CA25CF">
            <w:pPr>
              <w:rPr>
                <w:rFonts w:cs="Arial"/>
                <w:color w:val="FF0000"/>
                <w:sz w:val="21"/>
                <w:szCs w:val="21"/>
              </w:rPr>
            </w:pPr>
          </w:p>
        </w:tc>
        <w:tc>
          <w:tcPr>
            <w:tcW w:w="217" w:type="dxa"/>
          </w:tcPr>
          <w:p w14:paraId="69DC9BF5" w14:textId="77777777" w:rsidR="002C0FD9" w:rsidRPr="00CA25CF" w:rsidRDefault="002C0FD9" w:rsidP="00CA25CF">
            <w:pPr>
              <w:rPr>
                <w:rFonts w:cs="Arial"/>
                <w:color w:val="FF0000"/>
                <w:sz w:val="21"/>
                <w:szCs w:val="21"/>
              </w:rPr>
            </w:pPr>
          </w:p>
        </w:tc>
        <w:tc>
          <w:tcPr>
            <w:tcW w:w="217" w:type="dxa"/>
          </w:tcPr>
          <w:p w14:paraId="4F57F678" w14:textId="77777777" w:rsidR="002C0FD9" w:rsidRPr="00CA25CF" w:rsidRDefault="002C0FD9" w:rsidP="00CA25CF">
            <w:pPr>
              <w:rPr>
                <w:rFonts w:cs="Arial"/>
                <w:color w:val="FF0000"/>
                <w:sz w:val="21"/>
                <w:szCs w:val="21"/>
              </w:rPr>
            </w:pPr>
          </w:p>
        </w:tc>
        <w:tc>
          <w:tcPr>
            <w:tcW w:w="217" w:type="dxa"/>
          </w:tcPr>
          <w:p w14:paraId="7C974C15" w14:textId="77777777" w:rsidR="002C0FD9" w:rsidRPr="00CA25CF" w:rsidRDefault="002C0FD9" w:rsidP="00CA25CF">
            <w:pPr>
              <w:rPr>
                <w:rFonts w:cs="Arial"/>
                <w:color w:val="FF0000"/>
                <w:sz w:val="21"/>
                <w:szCs w:val="21"/>
              </w:rPr>
            </w:pPr>
          </w:p>
        </w:tc>
        <w:tc>
          <w:tcPr>
            <w:tcW w:w="217" w:type="dxa"/>
          </w:tcPr>
          <w:p w14:paraId="534EB072" w14:textId="77777777" w:rsidR="002C0FD9" w:rsidRPr="00CA25CF" w:rsidRDefault="002C0FD9" w:rsidP="00CA25CF">
            <w:pPr>
              <w:rPr>
                <w:rFonts w:cs="Arial"/>
                <w:color w:val="FF0000"/>
                <w:sz w:val="21"/>
                <w:szCs w:val="21"/>
              </w:rPr>
            </w:pPr>
          </w:p>
        </w:tc>
        <w:tc>
          <w:tcPr>
            <w:tcW w:w="217" w:type="dxa"/>
          </w:tcPr>
          <w:p w14:paraId="0CD3F822" w14:textId="77777777" w:rsidR="002C0FD9" w:rsidRPr="00CA25CF" w:rsidRDefault="002C0FD9" w:rsidP="00CA25CF">
            <w:pPr>
              <w:rPr>
                <w:rFonts w:cs="Arial"/>
                <w:color w:val="FF0000"/>
                <w:sz w:val="21"/>
                <w:szCs w:val="21"/>
              </w:rPr>
            </w:pPr>
          </w:p>
        </w:tc>
        <w:tc>
          <w:tcPr>
            <w:tcW w:w="217" w:type="dxa"/>
          </w:tcPr>
          <w:p w14:paraId="3AE2E759" w14:textId="77777777" w:rsidR="002C0FD9" w:rsidRPr="00CA25CF" w:rsidRDefault="002C0FD9" w:rsidP="00CA25CF">
            <w:pPr>
              <w:rPr>
                <w:rFonts w:cs="Arial"/>
                <w:color w:val="FF0000"/>
                <w:sz w:val="21"/>
                <w:szCs w:val="21"/>
              </w:rPr>
            </w:pPr>
          </w:p>
        </w:tc>
        <w:tc>
          <w:tcPr>
            <w:tcW w:w="217" w:type="dxa"/>
          </w:tcPr>
          <w:p w14:paraId="2DD2279C" w14:textId="77777777" w:rsidR="002C0FD9" w:rsidRPr="00CA25CF" w:rsidRDefault="002C0FD9" w:rsidP="00CA25CF">
            <w:pPr>
              <w:rPr>
                <w:rFonts w:cs="Arial"/>
                <w:color w:val="FF0000"/>
                <w:sz w:val="21"/>
                <w:szCs w:val="21"/>
              </w:rPr>
            </w:pPr>
          </w:p>
        </w:tc>
        <w:tc>
          <w:tcPr>
            <w:tcW w:w="217" w:type="dxa"/>
          </w:tcPr>
          <w:p w14:paraId="7246632F" w14:textId="77777777" w:rsidR="002C0FD9" w:rsidRPr="00CA25CF" w:rsidRDefault="002C0FD9" w:rsidP="00CA25CF">
            <w:pPr>
              <w:rPr>
                <w:rFonts w:cs="Arial"/>
                <w:color w:val="FF0000"/>
                <w:sz w:val="21"/>
                <w:szCs w:val="21"/>
              </w:rPr>
            </w:pPr>
          </w:p>
        </w:tc>
        <w:tc>
          <w:tcPr>
            <w:tcW w:w="217" w:type="dxa"/>
          </w:tcPr>
          <w:p w14:paraId="11580846" w14:textId="77777777" w:rsidR="002C0FD9" w:rsidRPr="00CA25CF" w:rsidRDefault="002C0FD9" w:rsidP="00CA25CF">
            <w:pPr>
              <w:rPr>
                <w:rFonts w:cs="Arial"/>
                <w:color w:val="FF0000"/>
                <w:sz w:val="21"/>
                <w:szCs w:val="21"/>
              </w:rPr>
            </w:pPr>
          </w:p>
        </w:tc>
        <w:tc>
          <w:tcPr>
            <w:tcW w:w="217" w:type="dxa"/>
          </w:tcPr>
          <w:p w14:paraId="79422531" w14:textId="77777777" w:rsidR="002C0FD9" w:rsidRPr="00CA25CF" w:rsidRDefault="002C0FD9" w:rsidP="00CA25CF">
            <w:pPr>
              <w:rPr>
                <w:rFonts w:cs="Arial"/>
                <w:color w:val="FF0000"/>
                <w:sz w:val="21"/>
                <w:szCs w:val="21"/>
              </w:rPr>
            </w:pPr>
          </w:p>
        </w:tc>
        <w:tc>
          <w:tcPr>
            <w:tcW w:w="217" w:type="dxa"/>
          </w:tcPr>
          <w:p w14:paraId="7999B8BE" w14:textId="77777777" w:rsidR="002C0FD9" w:rsidRPr="00CA25CF" w:rsidRDefault="002C0FD9" w:rsidP="00CA25CF">
            <w:pPr>
              <w:rPr>
                <w:rFonts w:cs="Arial"/>
                <w:color w:val="FF0000"/>
                <w:sz w:val="21"/>
                <w:szCs w:val="21"/>
              </w:rPr>
            </w:pPr>
          </w:p>
        </w:tc>
        <w:tc>
          <w:tcPr>
            <w:tcW w:w="217" w:type="dxa"/>
          </w:tcPr>
          <w:p w14:paraId="1951391A" w14:textId="77777777" w:rsidR="002C0FD9" w:rsidRPr="00CA25CF" w:rsidRDefault="002C0FD9" w:rsidP="00CA25CF">
            <w:pPr>
              <w:rPr>
                <w:rFonts w:cs="Arial"/>
                <w:color w:val="FF0000"/>
                <w:sz w:val="21"/>
                <w:szCs w:val="21"/>
              </w:rPr>
            </w:pPr>
          </w:p>
        </w:tc>
        <w:tc>
          <w:tcPr>
            <w:tcW w:w="217" w:type="dxa"/>
          </w:tcPr>
          <w:p w14:paraId="5C085975" w14:textId="77777777" w:rsidR="002C0FD9" w:rsidRPr="00CA25CF" w:rsidRDefault="002C0FD9" w:rsidP="00CA25CF">
            <w:pPr>
              <w:rPr>
                <w:rFonts w:cs="Arial"/>
                <w:color w:val="FF0000"/>
                <w:sz w:val="21"/>
                <w:szCs w:val="21"/>
              </w:rPr>
            </w:pPr>
          </w:p>
        </w:tc>
        <w:tc>
          <w:tcPr>
            <w:tcW w:w="217" w:type="dxa"/>
          </w:tcPr>
          <w:p w14:paraId="475CD47D" w14:textId="77777777" w:rsidR="002C0FD9" w:rsidRPr="00CA25CF" w:rsidRDefault="002C0FD9" w:rsidP="00CA25CF">
            <w:pPr>
              <w:rPr>
                <w:rFonts w:cs="Arial"/>
                <w:color w:val="FF0000"/>
                <w:sz w:val="21"/>
                <w:szCs w:val="21"/>
              </w:rPr>
            </w:pPr>
          </w:p>
        </w:tc>
        <w:tc>
          <w:tcPr>
            <w:tcW w:w="217" w:type="dxa"/>
          </w:tcPr>
          <w:p w14:paraId="4F50AA55" w14:textId="77777777" w:rsidR="002C0FD9" w:rsidRPr="00CA25CF" w:rsidRDefault="002C0FD9" w:rsidP="00CA25CF">
            <w:pPr>
              <w:rPr>
                <w:rFonts w:cs="Arial"/>
                <w:color w:val="FF0000"/>
                <w:sz w:val="21"/>
                <w:szCs w:val="21"/>
              </w:rPr>
            </w:pPr>
          </w:p>
        </w:tc>
        <w:tc>
          <w:tcPr>
            <w:tcW w:w="217" w:type="dxa"/>
          </w:tcPr>
          <w:p w14:paraId="64A3606F" w14:textId="77777777" w:rsidR="002C0FD9" w:rsidRPr="00CA25CF" w:rsidRDefault="002C0FD9" w:rsidP="00CA25CF">
            <w:pPr>
              <w:rPr>
                <w:rFonts w:cs="Arial"/>
                <w:color w:val="FF0000"/>
                <w:sz w:val="21"/>
                <w:szCs w:val="21"/>
              </w:rPr>
            </w:pPr>
          </w:p>
        </w:tc>
        <w:tc>
          <w:tcPr>
            <w:tcW w:w="217" w:type="dxa"/>
          </w:tcPr>
          <w:p w14:paraId="6AB76F31" w14:textId="77777777" w:rsidR="002C0FD9" w:rsidRPr="00CA25CF" w:rsidRDefault="002C0FD9" w:rsidP="00CA25CF">
            <w:pPr>
              <w:rPr>
                <w:rFonts w:cs="Arial"/>
                <w:color w:val="FF0000"/>
                <w:sz w:val="21"/>
                <w:szCs w:val="21"/>
              </w:rPr>
            </w:pPr>
          </w:p>
        </w:tc>
        <w:tc>
          <w:tcPr>
            <w:tcW w:w="217" w:type="dxa"/>
          </w:tcPr>
          <w:p w14:paraId="1A31A815" w14:textId="77777777" w:rsidR="002C0FD9" w:rsidRPr="00CA25CF" w:rsidRDefault="002C0FD9" w:rsidP="00CA25CF">
            <w:pPr>
              <w:rPr>
                <w:rFonts w:cs="Arial"/>
                <w:color w:val="FF0000"/>
                <w:sz w:val="21"/>
                <w:szCs w:val="21"/>
              </w:rPr>
            </w:pPr>
          </w:p>
        </w:tc>
        <w:tc>
          <w:tcPr>
            <w:tcW w:w="217" w:type="dxa"/>
          </w:tcPr>
          <w:p w14:paraId="7E09FC13" w14:textId="77777777" w:rsidR="002C0FD9" w:rsidRPr="00CA25CF" w:rsidRDefault="002C0FD9" w:rsidP="00CA25CF">
            <w:pPr>
              <w:rPr>
                <w:rFonts w:cs="Arial"/>
                <w:color w:val="FF0000"/>
                <w:sz w:val="21"/>
                <w:szCs w:val="21"/>
              </w:rPr>
            </w:pPr>
          </w:p>
        </w:tc>
        <w:tc>
          <w:tcPr>
            <w:tcW w:w="217" w:type="dxa"/>
          </w:tcPr>
          <w:p w14:paraId="60186BEC" w14:textId="77777777" w:rsidR="002C0FD9" w:rsidRPr="00CA25CF" w:rsidRDefault="002C0FD9" w:rsidP="00CA25CF">
            <w:pPr>
              <w:rPr>
                <w:rFonts w:cs="Arial"/>
                <w:color w:val="FF0000"/>
                <w:sz w:val="21"/>
                <w:szCs w:val="21"/>
              </w:rPr>
            </w:pPr>
          </w:p>
        </w:tc>
        <w:tc>
          <w:tcPr>
            <w:tcW w:w="217" w:type="dxa"/>
          </w:tcPr>
          <w:p w14:paraId="23F122B7" w14:textId="77777777" w:rsidR="002C0FD9" w:rsidRPr="00CA25CF" w:rsidRDefault="002C0FD9" w:rsidP="00CA25CF">
            <w:pPr>
              <w:rPr>
                <w:rFonts w:cs="Arial"/>
                <w:color w:val="FF0000"/>
                <w:sz w:val="21"/>
                <w:szCs w:val="21"/>
              </w:rPr>
            </w:pPr>
          </w:p>
        </w:tc>
        <w:tc>
          <w:tcPr>
            <w:tcW w:w="217" w:type="dxa"/>
          </w:tcPr>
          <w:p w14:paraId="74CD821F" w14:textId="77777777" w:rsidR="002C0FD9" w:rsidRPr="00CA25CF" w:rsidRDefault="002C0FD9" w:rsidP="00CA25CF">
            <w:pPr>
              <w:rPr>
                <w:rFonts w:cs="Arial"/>
                <w:color w:val="FF0000"/>
                <w:sz w:val="21"/>
                <w:szCs w:val="21"/>
              </w:rPr>
            </w:pPr>
          </w:p>
        </w:tc>
      </w:tr>
      <w:tr w:rsidR="002C0FD9" w:rsidRPr="00A16219" w14:paraId="1A3E4940" w14:textId="77777777" w:rsidTr="002C0FD9">
        <w:trPr>
          <w:trHeight w:val="635"/>
        </w:trPr>
        <w:tc>
          <w:tcPr>
            <w:tcW w:w="515" w:type="dxa"/>
          </w:tcPr>
          <w:p w14:paraId="78F94564" w14:textId="77777777" w:rsidR="002C0FD9" w:rsidRPr="00CA25CF" w:rsidRDefault="002C0FD9" w:rsidP="00CA25CF">
            <w:pPr>
              <w:rPr>
                <w:rFonts w:cs="Arial"/>
                <w:color w:val="FF0000"/>
                <w:sz w:val="21"/>
                <w:szCs w:val="21"/>
              </w:rPr>
            </w:pPr>
          </w:p>
        </w:tc>
        <w:tc>
          <w:tcPr>
            <w:tcW w:w="217" w:type="dxa"/>
          </w:tcPr>
          <w:p w14:paraId="0DE80B5C" w14:textId="77777777" w:rsidR="002C0FD9" w:rsidRPr="00CA25CF" w:rsidRDefault="002C0FD9" w:rsidP="00CA25CF">
            <w:pPr>
              <w:rPr>
                <w:rFonts w:cs="Arial"/>
                <w:color w:val="FF0000"/>
                <w:sz w:val="21"/>
                <w:szCs w:val="21"/>
              </w:rPr>
            </w:pPr>
          </w:p>
        </w:tc>
        <w:tc>
          <w:tcPr>
            <w:tcW w:w="217" w:type="dxa"/>
          </w:tcPr>
          <w:p w14:paraId="1A088FD5" w14:textId="77777777" w:rsidR="002C0FD9" w:rsidRPr="00CA25CF" w:rsidRDefault="002C0FD9" w:rsidP="00CA25CF">
            <w:pPr>
              <w:rPr>
                <w:rFonts w:cs="Arial"/>
                <w:color w:val="FF0000"/>
                <w:sz w:val="21"/>
                <w:szCs w:val="21"/>
              </w:rPr>
            </w:pPr>
          </w:p>
        </w:tc>
        <w:tc>
          <w:tcPr>
            <w:tcW w:w="217" w:type="dxa"/>
          </w:tcPr>
          <w:p w14:paraId="558295D3" w14:textId="77777777" w:rsidR="002C0FD9" w:rsidRPr="00CA25CF" w:rsidRDefault="002C0FD9" w:rsidP="00CA25CF">
            <w:pPr>
              <w:rPr>
                <w:rFonts w:cs="Arial"/>
                <w:color w:val="FF0000"/>
                <w:sz w:val="21"/>
                <w:szCs w:val="21"/>
              </w:rPr>
            </w:pPr>
          </w:p>
        </w:tc>
        <w:tc>
          <w:tcPr>
            <w:tcW w:w="217" w:type="dxa"/>
          </w:tcPr>
          <w:p w14:paraId="0DBAA961" w14:textId="77777777" w:rsidR="002C0FD9" w:rsidRPr="00CA25CF" w:rsidRDefault="002C0FD9" w:rsidP="00CA25CF">
            <w:pPr>
              <w:rPr>
                <w:rFonts w:cs="Arial"/>
                <w:color w:val="FF0000"/>
                <w:sz w:val="21"/>
                <w:szCs w:val="21"/>
              </w:rPr>
            </w:pPr>
          </w:p>
        </w:tc>
        <w:tc>
          <w:tcPr>
            <w:tcW w:w="217" w:type="dxa"/>
          </w:tcPr>
          <w:p w14:paraId="4D00AD07" w14:textId="77777777" w:rsidR="002C0FD9" w:rsidRPr="00CA25CF" w:rsidRDefault="002C0FD9" w:rsidP="00CA25CF">
            <w:pPr>
              <w:rPr>
                <w:rFonts w:cs="Arial"/>
                <w:color w:val="FF0000"/>
                <w:sz w:val="21"/>
                <w:szCs w:val="21"/>
              </w:rPr>
            </w:pPr>
          </w:p>
        </w:tc>
        <w:tc>
          <w:tcPr>
            <w:tcW w:w="217" w:type="dxa"/>
          </w:tcPr>
          <w:p w14:paraId="2DFAC7A0" w14:textId="77777777" w:rsidR="002C0FD9" w:rsidRPr="00CA25CF" w:rsidRDefault="002C0FD9" w:rsidP="00CA25CF">
            <w:pPr>
              <w:rPr>
                <w:rFonts w:cs="Arial"/>
                <w:color w:val="FF0000"/>
                <w:sz w:val="21"/>
                <w:szCs w:val="21"/>
              </w:rPr>
            </w:pPr>
          </w:p>
        </w:tc>
        <w:tc>
          <w:tcPr>
            <w:tcW w:w="217" w:type="dxa"/>
          </w:tcPr>
          <w:p w14:paraId="08C9160D" w14:textId="77777777" w:rsidR="002C0FD9" w:rsidRPr="00CA25CF" w:rsidRDefault="002C0FD9" w:rsidP="00CA25CF">
            <w:pPr>
              <w:rPr>
                <w:rFonts w:cs="Arial"/>
                <w:color w:val="FF0000"/>
                <w:sz w:val="21"/>
                <w:szCs w:val="21"/>
              </w:rPr>
            </w:pPr>
          </w:p>
        </w:tc>
        <w:tc>
          <w:tcPr>
            <w:tcW w:w="217" w:type="dxa"/>
          </w:tcPr>
          <w:p w14:paraId="255FAACB" w14:textId="77777777" w:rsidR="002C0FD9" w:rsidRPr="00CA25CF" w:rsidRDefault="002C0FD9" w:rsidP="00CA25CF">
            <w:pPr>
              <w:rPr>
                <w:rFonts w:cs="Arial"/>
                <w:color w:val="FF0000"/>
                <w:sz w:val="21"/>
                <w:szCs w:val="21"/>
              </w:rPr>
            </w:pPr>
          </w:p>
        </w:tc>
        <w:tc>
          <w:tcPr>
            <w:tcW w:w="217" w:type="dxa"/>
          </w:tcPr>
          <w:p w14:paraId="6227FED1" w14:textId="77777777" w:rsidR="002C0FD9" w:rsidRPr="00CA25CF" w:rsidRDefault="002C0FD9" w:rsidP="00CA25CF">
            <w:pPr>
              <w:rPr>
                <w:rFonts w:cs="Arial"/>
                <w:color w:val="FF0000"/>
                <w:sz w:val="21"/>
                <w:szCs w:val="21"/>
              </w:rPr>
            </w:pPr>
          </w:p>
        </w:tc>
        <w:tc>
          <w:tcPr>
            <w:tcW w:w="217" w:type="dxa"/>
          </w:tcPr>
          <w:p w14:paraId="3367864C" w14:textId="77777777" w:rsidR="002C0FD9" w:rsidRPr="00CA25CF" w:rsidRDefault="002C0FD9" w:rsidP="00CA25CF">
            <w:pPr>
              <w:rPr>
                <w:rFonts w:cs="Arial"/>
                <w:color w:val="FF0000"/>
                <w:sz w:val="21"/>
                <w:szCs w:val="21"/>
              </w:rPr>
            </w:pPr>
          </w:p>
        </w:tc>
        <w:tc>
          <w:tcPr>
            <w:tcW w:w="217" w:type="dxa"/>
          </w:tcPr>
          <w:p w14:paraId="2597DA71" w14:textId="77777777" w:rsidR="002C0FD9" w:rsidRPr="00CA25CF" w:rsidRDefault="002C0FD9" w:rsidP="00CA25CF">
            <w:pPr>
              <w:rPr>
                <w:rFonts w:cs="Arial"/>
                <w:color w:val="FF0000"/>
                <w:sz w:val="21"/>
                <w:szCs w:val="21"/>
              </w:rPr>
            </w:pPr>
          </w:p>
        </w:tc>
        <w:tc>
          <w:tcPr>
            <w:tcW w:w="217" w:type="dxa"/>
          </w:tcPr>
          <w:p w14:paraId="4DA3E9CE" w14:textId="77777777" w:rsidR="002C0FD9" w:rsidRPr="00CA25CF" w:rsidRDefault="002C0FD9" w:rsidP="00CA25CF">
            <w:pPr>
              <w:rPr>
                <w:rFonts w:cs="Arial"/>
                <w:color w:val="FF0000"/>
                <w:sz w:val="21"/>
                <w:szCs w:val="21"/>
              </w:rPr>
            </w:pPr>
          </w:p>
        </w:tc>
        <w:tc>
          <w:tcPr>
            <w:tcW w:w="217" w:type="dxa"/>
          </w:tcPr>
          <w:p w14:paraId="244D6BFD" w14:textId="77777777" w:rsidR="002C0FD9" w:rsidRPr="00CA25CF" w:rsidRDefault="002C0FD9" w:rsidP="00CA25CF">
            <w:pPr>
              <w:rPr>
                <w:rFonts w:cs="Arial"/>
                <w:color w:val="FF0000"/>
                <w:sz w:val="21"/>
                <w:szCs w:val="21"/>
              </w:rPr>
            </w:pPr>
          </w:p>
        </w:tc>
        <w:tc>
          <w:tcPr>
            <w:tcW w:w="217" w:type="dxa"/>
          </w:tcPr>
          <w:p w14:paraId="49348ED1" w14:textId="77777777" w:rsidR="002C0FD9" w:rsidRPr="00CA25CF" w:rsidRDefault="002C0FD9" w:rsidP="00CA25CF">
            <w:pPr>
              <w:rPr>
                <w:rFonts w:cs="Arial"/>
                <w:color w:val="FF0000"/>
                <w:sz w:val="21"/>
                <w:szCs w:val="21"/>
              </w:rPr>
            </w:pPr>
          </w:p>
        </w:tc>
        <w:tc>
          <w:tcPr>
            <w:tcW w:w="217" w:type="dxa"/>
          </w:tcPr>
          <w:p w14:paraId="0057D3D4" w14:textId="77777777" w:rsidR="002C0FD9" w:rsidRPr="00CA25CF" w:rsidRDefault="002C0FD9" w:rsidP="00CA25CF">
            <w:pPr>
              <w:rPr>
                <w:rFonts w:cs="Arial"/>
                <w:color w:val="FF0000"/>
                <w:sz w:val="21"/>
                <w:szCs w:val="21"/>
              </w:rPr>
            </w:pPr>
          </w:p>
        </w:tc>
        <w:tc>
          <w:tcPr>
            <w:tcW w:w="217" w:type="dxa"/>
          </w:tcPr>
          <w:p w14:paraId="44660EB5" w14:textId="77777777" w:rsidR="002C0FD9" w:rsidRPr="00CA25CF" w:rsidRDefault="002C0FD9" w:rsidP="00CA25CF">
            <w:pPr>
              <w:rPr>
                <w:rFonts w:cs="Arial"/>
                <w:color w:val="FF0000"/>
                <w:sz w:val="21"/>
                <w:szCs w:val="21"/>
              </w:rPr>
            </w:pPr>
          </w:p>
        </w:tc>
        <w:tc>
          <w:tcPr>
            <w:tcW w:w="217" w:type="dxa"/>
          </w:tcPr>
          <w:p w14:paraId="1A4F136B" w14:textId="77777777" w:rsidR="002C0FD9" w:rsidRPr="00CA25CF" w:rsidRDefault="002C0FD9" w:rsidP="00CA25CF">
            <w:pPr>
              <w:rPr>
                <w:rFonts w:cs="Arial"/>
                <w:color w:val="FF0000"/>
                <w:sz w:val="21"/>
                <w:szCs w:val="21"/>
              </w:rPr>
            </w:pPr>
          </w:p>
        </w:tc>
        <w:tc>
          <w:tcPr>
            <w:tcW w:w="217" w:type="dxa"/>
          </w:tcPr>
          <w:p w14:paraId="66A8B3AE" w14:textId="77777777" w:rsidR="002C0FD9" w:rsidRPr="00CA25CF" w:rsidRDefault="002C0FD9" w:rsidP="00CA25CF">
            <w:pPr>
              <w:rPr>
                <w:rFonts w:cs="Arial"/>
                <w:color w:val="FF0000"/>
                <w:sz w:val="21"/>
                <w:szCs w:val="21"/>
              </w:rPr>
            </w:pPr>
          </w:p>
        </w:tc>
        <w:tc>
          <w:tcPr>
            <w:tcW w:w="217" w:type="dxa"/>
          </w:tcPr>
          <w:p w14:paraId="710202CF" w14:textId="77777777" w:rsidR="002C0FD9" w:rsidRPr="00CA25CF" w:rsidRDefault="002C0FD9" w:rsidP="00CA25CF">
            <w:pPr>
              <w:rPr>
                <w:rFonts w:cs="Arial"/>
                <w:color w:val="FF0000"/>
                <w:sz w:val="21"/>
                <w:szCs w:val="21"/>
              </w:rPr>
            </w:pPr>
          </w:p>
        </w:tc>
        <w:tc>
          <w:tcPr>
            <w:tcW w:w="217" w:type="dxa"/>
          </w:tcPr>
          <w:p w14:paraId="7532AEEA" w14:textId="77777777" w:rsidR="002C0FD9" w:rsidRPr="00CA25CF" w:rsidRDefault="002C0FD9" w:rsidP="00CA25CF">
            <w:pPr>
              <w:rPr>
                <w:rFonts w:cs="Arial"/>
                <w:color w:val="FF0000"/>
                <w:sz w:val="21"/>
                <w:szCs w:val="21"/>
              </w:rPr>
            </w:pPr>
          </w:p>
        </w:tc>
        <w:tc>
          <w:tcPr>
            <w:tcW w:w="217" w:type="dxa"/>
          </w:tcPr>
          <w:p w14:paraId="346D409E" w14:textId="77777777" w:rsidR="002C0FD9" w:rsidRPr="00CA25CF" w:rsidRDefault="002C0FD9" w:rsidP="00CA25CF">
            <w:pPr>
              <w:rPr>
                <w:rFonts w:cs="Arial"/>
                <w:color w:val="FF0000"/>
                <w:sz w:val="21"/>
                <w:szCs w:val="21"/>
              </w:rPr>
            </w:pPr>
          </w:p>
        </w:tc>
        <w:tc>
          <w:tcPr>
            <w:tcW w:w="217" w:type="dxa"/>
          </w:tcPr>
          <w:p w14:paraId="5E54BFBE" w14:textId="77777777" w:rsidR="002C0FD9" w:rsidRPr="00CA25CF" w:rsidRDefault="002C0FD9" w:rsidP="00CA25CF">
            <w:pPr>
              <w:rPr>
                <w:rFonts w:cs="Arial"/>
                <w:color w:val="FF0000"/>
                <w:sz w:val="21"/>
                <w:szCs w:val="21"/>
              </w:rPr>
            </w:pPr>
          </w:p>
        </w:tc>
        <w:tc>
          <w:tcPr>
            <w:tcW w:w="217" w:type="dxa"/>
          </w:tcPr>
          <w:p w14:paraId="744CCDC3" w14:textId="77777777" w:rsidR="002C0FD9" w:rsidRPr="00CA25CF" w:rsidRDefault="002C0FD9" w:rsidP="00CA25CF">
            <w:pPr>
              <w:rPr>
                <w:rFonts w:cs="Arial"/>
                <w:color w:val="FF0000"/>
                <w:sz w:val="21"/>
                <w:szCs w:val="21"/>
              </w:rPr>
            </w:pPr>
          </w:p>
        </w:tc>
        <w:tc>
          <w:tcPr>
            <w:tcW w:w="217" w:type="dxa"/>
          </w:tcPr>
          <w:p w14:paraId="417EA7B4" w14:textId="77777777" w:rsidR="002C0FD9" w:rsidRPr="00CA25CF" w:rsidRDefault="002C0FD9" w:rsidP="00CA25CF">
            <w:pPr>
              <w:rPr>
                <w:rFonts w:cs="Arial"/>
                <w:color w:val="FF0000"/>
                <w:sz w:val="21"/>
                <w:szCs w:val="21"/>
              </w:rPr>
            </w:pPr>
          </w:p>
        </w:tc>
        <w:tc>
          <w:tcPr>
            <w:tcW w:w="217" w:type="dxa"/>
          </w:tcPr>
          <w:p w14:paraId="32F47397" w14:textId="77777777" w:rsidR="002C0FD9" w:rsidRPr="00CA25CF" w:rsidRDefault="002C0FD9" w:rsidP="00CA25CF">
            <w:pPr>
              <w:rPr>
                <w:rFonts w:cs="Arial"/>
                <w:color w:val="FF0000"/>
                <w:sz w:val="21"/>
                <w:szCs w:val="21"/>
              </w:rPr>
            </w:pPr>
          </w:p>
        </w:tc>
        <w:tc>
          <w:tcPr>
            <w:tcW w:w="217" w:type="dxa"/>
          </w:tcPr>
          <w:p w14:paraId="67034178" w14:textId="77777777" w:rsidR="002C0FD9" w:rsidRPr="00CA25CF" w:rsidRDefault="002C0FD9" w:rsidP="00CA25CF">
            <w:pPr>
              <w:rPr>
                <w:rFonts w:cs="Arial"/>
                <w:color w:val="FF0000"/>
                <w:sz w:val="21"/>
                <w:szCs w:val="21"/>
              </w:rPr>
            </w:pPr>
          </w:p>
        </w:tc>
        <w:tc>
          <w:tcPr>
            <w:tcW w:w="217" w:type="dxa"/>
          </w:tcPr>
          <w:p w14:paraId="02F37BBA" w14:textId="77777777" w:rsidR="002C0FD9" w:rsidRPr="00CA25CF" w:rsidRDefault="002C0FD9" w:rsidP="00CA25CF">
            <w:pPr>
              <w:rPr>
                <w:rFonts w:cs="Arial"/>
                <w:color w:val="FF0000"/>
                <w:sz w:val="21"/>
                <w:szCs w:val="21"/>
              </w:rPr>
            </w:pPr>
          </w:p>
        </w:tc>
        <w:tc>
          <w:tcPr>
            <w:tcW w:w="217" w:type="dxa"/>
          </w:tcPr>
          <w:p w14:paraId="51DE4DF5" w14:textId="77777777" w:rsidR="002C0FD9" w:rsidRPr="00CA25CF" w:rsidRDefault="002C0FD9" w:rsidP="00CA25CF">
            <w:pPr>
              <w:rPr>
                <w:rFonts w:cs="Arial"/>
                <w:color w:val="FF0000"/>
                <w:sz w:val="21"/>
                <w:szCs w:val="21"/>
              </w:rPr>
            </w:pPr>
          </w:p>
        </w:tc>
        <w:tc>
          <w:tcPr>
            <w:tcW w:w="217" w:type="dxa"/>
          </w:tcPr>
          <w:p w14:paraId="5861A378" w14:textId="77777777" w:rsidR="002C0FD9" w:rsidRPr="00CA25CF" w:rsidRDefault="002C0FD9" w:rsidP="00CA25CF">
            <w:pPr>
              <w:rPr>
                <w:rFonts w:cs="Arial"/>
                <w:color w:val="FF0000"/>
                <w:sz w:val="21"/>
                <w:szCs w:val="21"/>
              </w:rPr>
            </w:pPr>
          </w:p>
        </w:tc>
        <w:tc>
          <w:tcPr>
            <w:tcW w:w="217" w:type="dxa"/>
          </w:tcPr>
          <w:p w14:paraId="34C91FEA" w14:textId="77777777" w:rsidR="002C0FD9" w:rsidRPr="00CA25CF" w:rsidRDefault="002C0FD9" w:rsidP="00CA25CF">
            <w:pPr>
              <w:rPr>
                <w:rFonts w:cs="Arial"/>
                <w:color w:val="FF0000"/>
                <w:sz w:val="21"/>
                <w:szCs w:val="21"/>
              </w:rPr>
            </w:pPr>
          </w:p>
        </w:tc>
        <w:tc>
          <w:tcPr>
            <w:tcW w:w="217" w:type="dxa"/>
          </w:tcPr>
          <w:p w14:paraId="22DA2E60" w14:textId="77777777" w:rsidR="002C0FD9" w:rsidRPr="00CA25CF" w:rsidRDefault="002C0FD9" w:rsidP="00CA25CF">
            <w:pPr>
              <w:rPr>
                <w:rFonts w:cs="Arial"/>
                <w:color w:val="FF0000"/>
                <w:sz w:val="21"/>
                <w:szCs w:val="21"/>
              </w:rPr>
            </w:pPr>
          </w:p>
        </w:tc>
        <w:tc>
          <w:tcPr>
            <w:tcW w:w="217" w:type="dxa"/>
          </w:tcPr>
          <w:p w14:paraId="2731CE9A" w14:textId="77777777" w:rsidR="002C0FD9" w:rsidRPr="00CA25CF" w:rsidRDefault="002C0FD9" w:rsidP="00CA25CF">
            <w:pPr>
              <w:rPr>
                <w:rFonts w:cs="Arial"/>
                <w:color w:val="FF0000"/>
                <w:sz w:val="21"/>
                <w:szCs w:val="21"/>
              </w:rPr>
            </w:pPr>
          </w:p>
        </w:tc>
        <w:tc>
          <w:tcPr>
            <w:tcW w:w="217" w:type="dxa"/>
          </w:tcPr>
          <w:p w14:paraId="3CCFA67D" w14:textId="77777777" w:rsidR="002C0FD9" w:rsidRPr="00CA25CF" w:rsidRDefault="002C0FD9" w:rsidP="00CA25CF">
            <w:pPr>
              <w:rPr>
                <w:rFonts w:cs="Arial"/>
                <w:color w:val="FF0000"/>
                <w:sz w:val="21"/>
                <w:szCs w:val="21"/>
              </w:rPr>
            </w:pPr>
          </w:p>
        </w:tc>
        <w:tc>
          <w:tcPr>
            <w:tcW w:w="217" w:type="dxa"/>
          </w:tcPr>
          <w:p w14:paraId="0532DA43" w14:textId="77777777" w:rsidR="002C0FD9" w:rsidRPr="00CA25CF" w:rsidRDefault="002C0FD9" w:rsidP="00CA25CF">
            <w:pPr>
              <w:rPr>
                <w:rFonts w:cs="Arial"/>
                <w:color w:val="FF0000"/>
                <w:sz w:val="21"/>
                <w:szCs w:val="21"/>
              </w:rPr>
            </w:pPr>
          </w:p>
        </w:tc>
        <w:tc>
          <w:tcPr>
            <w:tcW w:w="217" w:type="dxa"/>
          </w:tcPr>
          <w:p w14:paraId="0AEBEF72" w14:textId="77777777" w:rsidR="002C0FD9" w:rsidRPr="00CA25CF" w:rsidRDefault="002C0FD9" w:rsidP="00CA25CF">
            <w:pPr>
              <w:rPr>
                <w:rFonts w:cs="Arial"/>
                <w:color w:val="FF0000"/>
                <w:sz w:val="21"/>
                <w:szCs w:val="21"/>
              </w:rPr>
            </w:pPr>
          </w:p>
        </w:tc>
        <w:tc>
          <w:tcPr>
            <w:tcW w:w="217" w:type="dxa"/>
          </w:tcPr>
          <w:p w14:paraId="184D973F" w14:textId="77777777" w:rsidR="002C0FD9" w:rsidRPr="00CA25CF" w:rsidRDefault="002C0FD9" w:rsidP="00CA25CF">
            <w:pPr>
              <w:rPr>
                <w:rFonts w:cs="Arial"/>
                <w:color w:val="FF0000"/>
                <w:sz w:val="21"/>
                <w:szCs w:val="21"/>
              </w:rPr>
            </w:pPr>
          </w:p>
        </w:tc>
        <w:tc>
          <w:tcPr>
            <w:tcW w:w="217" w:type="dxa"/>
          </w:tcPr>
          <w:p w14:paraId="73B01384" w14:textId="77777777" w:rsidR="002C0FD9" w:rsidRPr="00CA25CF" w:rsidRDefault="002C0FD9" w:rsidP="00CA25CF">
            <w:pPr>
              <w:rPr>
                <w:rFonts w:cs="Arial"/>
                <w:color w:val="FF0000"/>
                <w:sz w:val="21"/>
                <w:szCs w:val="21"/>
              </w:rPr>
            </w:pPr>
          </w:p>
        </w:tc>
        <w:tc>
          <w:tcPr>
            <w:tcW w:w="217" w:type="dxa"/>
          </w:tcPr>
          <w:p w14:paraId="44E9A1AB" w14:textId="77777777" w:rsidR="002C0FD9" w:rsidRPr="00CA25CF" w:rsidRDefault="002C0FD9" w:rsidP="00CA25CF">
            <w:pPr>
              <w:rPr>
                <w:rFonts w:cs="Arial"/>
                <w:color w:val="FF0000"/>
                <w:sz w:val="21"/>
                <w:szCs w:val="21"/>
              </w:rPr>
            </w:pPr>
          </w:p>
        </w:tc>
        <w:tc>
          <w:tcPr>
            <w:tcW w:w="217" w:type="dxa"/>
          </w:tcPr>
          <w:p w14:paraId="51EBFA8E" w14:textId="77777777" w:rsidR="002C0FD9" w:rsidRPr="00CA25CF" w:rsidRDefault="002C0FD9" w:rsidP="00CA25CF">
            <w:pPr>
              <w:rPr>
                <w:rFonts w:cs="Arial"/>
                <w:color w:val="FF0000"/>
                <w:sz w:val="21"/>
                <w:szCs w:val="21"/>
              </w:rPr>
            </w:pPr>
          </w:p>
        </w:tc>
        <w:tc>
          <w:tcPr>
            <w:tcW w:w="217" w:type="dxa"/>
          </w:tcPr>
          <w:p w14:paraId="64F806D4" w14:textId="77777777" w:rsidR="002C0FD9" w:rsidRPr="00CA25CF" w:rsidRDefault="002C0FD9" w:rsidP="00CA25CF">
            <w:pPr>
              <w:rPr>
                <w:rFonts w:cs="Arial"/>
                <w:color w:val="FF0000"/>
                <w:sz w:val="21"/>
                <w:szCs w:val="21"/>
              </w:rPr>
            </w:pPr>
          </w:p>
        </w:tc>
        <w:tc>
          <w:tcPr>
            <w:tcW w:w="217" w:type="dxa"/>
          </w:tcPr>
          <w:p w14:paraId="1A2AECC7" w14:textId="77777777" w:rsidR="002C0FD9" w:rsidRPr="00CA25CF" w:rsidRDefault="002C0FD9" w:rsidP="00CA25CF">
            <w:pPr>
              <w:rPr>
                <w:rFonts w:cs="Arial"/>
                <w:color w:val="FF0000"/>
                <w:sz w:val="21"/>
                <w:szCs w:val="21"/>
              </w:rPr>
            </w:pPr>
          </w:p>
        </w:tc>
        <w:tc>
          <w:tcPr>
            <w:tcW w:w="217" w:type="dxa"/>
          </w:tcPr>
          <w:p w14:paraId="7BCA4822" w14:textId="77777777" w:rsidR="002C0FD9" w:rsidRPr="00CA25CF" w:rsidRDefault="002C0FD9" w:rsidP="00CA25CF">
            <w:pPr>
              <w:rPr>
                <w:rFonts w:cs="Arial"/>
                <w:color w:val="FF0000"/>
                <w:sz w:val="21"/>
                <w:szCs w:val="21"/>
              </w:rPr>
            </w:pPr>
          </w:p>
        </w:tc>
      </w:tr>
      <w:tr w:rsidR="002C0FD9" w:rsidRPr="00A16219" w14:paraId="0D6F065E" w14:textId="77777777" w:rsidTr="002C0FD9">
        <w:trPr>
          <w:trHeight w:val="635"/>
        </w:trPr>
        <w:tc>
          <w:tcPr>
            <w:tcW w:w="515" w:type="dxa"/>
          </w:tcPr>
          <w:p w14:paraId="628CCA54" w14:textId="77777777" w:rsidR="002C0FD9" w:rsidRPr="00CA25CF" w:rsidRDefault="002C0FD9" w:rsidP="00CA25CF">
            <w:pPr>
              <w:rPr>
                <w:rFonts w:cs="Arial"/>
                <w:color w:val="FF0000"/>
                <w:sz w:val="21"/>
                <w:szCs w:val="21"/>
              </w:rPr>
            </w:pPr>
          </w:p>
        </w:tc>
        <w:tc>
          <w:tcPr>
            <w:tcW w:w="217" w:type="dxa"/>
          </w:tcPr>
          <w:p w14:paraId="4E3AED8E" w14:textId="77777777" w:rsidR="002C0FD9" w:rsidRPr="00CA25CF" w:rsidRDefault="002C0FD9" w:rsidP="00CA25CF">
            <w:pPr>
              <w:rPr>
                <w:rFonts w:cs="Arial"/>
                <w:color w:val="FF0000"/>
                <w:sz w:val="21"/>
                <w:szCs w:val="21"/>
              </w:rPr>
            </w:pPr>
          </w:p>
        </w:tc>
        <w:tc>
          <w:tcPr>
            <w:tcW w:w="217" w:type="dxa"/>
          </w:tcPr>
          <w:p w14:paraId="45B82FC9" w14:textId="77777777" w:rsidR="002C0FD9" w:rsidRPr="00CA25CF" w:rsidRDefault="002C0FD9" w:rsidP="00CA25CF">
            <w:pPr>
              <w:rPr>
                <w:rFonts w:cs="Arial"/>
                <w:color w:val="FF0000"/>
                <w:sz w:val="21"/>
                <w:szCs w:val="21"/>
              </w:rPr>
            </w:pPr>
          </w:p>
        </w:tc>
        <w:tc>
          <w:tcPr>
            <w:tcW w:w="217" w:type="dxa"/>
          </w:tcPr>
          <w:p w14:paraId="460E0BA2" w14:textId="77777777" w:rsidR="002C0FD9" w:rsidRPr="00CA25CF" w:rsidRDefault="002C0FD9" w:rsidP="00CA25CF">
            <w:pPr>
              <w:rPr>
                <w:rFonts w:cs="Arial"/>
                <w:color w:val="FF0000"/>
                <w:sz w:val="21"/>
                <w:szCs w:val="21"/>
              </w:rPr>
            </w:pPr>
          </w:p>
        </w:tc>
        <w:tc>
          <w:tcPr>
            <w:tcW w:w="217" w:type="dxa"/>
          </w:tcPr>
          <w:p w14:paraId="23E128FC" w14:textId="77777777" w:rsidR="002C0FD9" w:rsidRPr="00CA25CF" w:rsidRDefault="002C0FD9" w:rsidP="00CA25CF">
            <w:pPr>
              <w:rPr>
                <w:rFonts w:cs="Arial"/>
                <w:color w:val="FF0000"/>
                <w:sz w:val="21"/>
                <w:szCs w:val="21"/>
              </w:rPr>
            </w:pPr>
          </w:p>
        </w:tc>
        <w:tc>
          <w:tcPr>
            <w:tcW w:w="217" w:type="dxa"/>
          </w:tcPr>
          <w:p w14:paraId="0FEE0AF1" w14:textId="77777777" w:rsidR="002C0FD9" w:rsidRPr="00CA25CF" w:rsidRDefault="002C0FD9" w:rsidP="00CA25CF">
            <w:pPr>
              <w:rPr>
                <w:rFonts w:cs="Arial"/>
                <w:color w:val="FF0000"/>
                <w:sz w:val="21"/>
                <w:szCs w:val="21"/>
              </w:rPr>
            </w:pPr>
          </w:p>
        </w:tc>
        <w:tc>
          <w:tcPr>
            <w:tcW w:w="217" w:type="dxa"/>
          </w:tcPr>
          <w:p w14:paraId="3A26664A" w14:textId="77777777" w:rsidR="002C0FD9" w:rsidRPr="00CA25CF" w:rsidRDefault="002C0FD9" w:rsidP="00CA25CF">
            <w:pPr>
              <w:rPr>
                <w:rFonts w:cs="Arial"/>
                <w:color w:val="FF0000"/>
                <w:sz w:val="21"/>
                <w:szCs w:val="21"/>
              </w:rPr>
            </w:pPr>
          </w:p>
        </w:tc>
        <w:tc>
          <w:tcPr>
            <w:tcW w:w="217" w:type="dxa"/>
          </w:tcPr>
          <w:p w14:paraId="6E2EFB33" w14:textId="77777777" w:rsidR="002C0FD9" w:rsidRPr="00CA25CF" w:rsidRDefault="002C0FD9" w:rsidP="00CA25CF">
            <w:pPr>
              <w:rPr>
                <w:rFonts w:cs="Arial"/>
                <w:color w:val="FF0000"/>
                <w:sz w:val="21"/>
                <w:szCs w:val="21"/>
              </w:rPr>
            </w:pPr>
          </w:p>
        </w:tc>
        <w:tc>
          <w:tcPr>
            <w:tcW w:w="217" w:type="dxa"/>
          </w:tcPr>
          <w:p w14:paraId="1B67B6F6" w14:textId="77777777" w:rsidR="002C0FD9" w:rsidRPr="00CA25CF" w:rsidRDefault="002C0FD9" w:rsidP="00CA25CF">
            <w:pPr>
              <w:rPr>
                <w:rFonts w:cs="Arial"/>
                <w:color w:val="FF0000"/>
                <w:sz w:val="21"/>
                <w:szCs w:val="21"/>
              </w:rPr>
            </w:pPr>
          </w:p>
        </w:tc>
        <w:tc>
          <w:tcPr>
            <w:tcW w:w="217" w:type="dxa"/>
          </w:tcPr>
          <w:p w14:paraId="74E2B057" w14:textId="77777777" w:rsidR="002C0FD9" w:rsidRPr="00CA25CF" w:rsidRDefault="002C0FD9" w:rsidP="00CA25CF">
            <w:pPr>
              <w:rPr>
                <w:rFonts w:cs="Arial"/>
                <w:color w:val="FF0000"/>
                <w:sz w:val="21"/>
                <w:szCs w:val="21"/>
              </w:rPr>
            </w:pPr>
          </w:p>
        </w:tc>
        <w:tc>
          <w:tcPr>
            <w:tcW w:w="217" w:type="dxa"/>
          </w:tcPr>
          <w:p w14:paraId="3793E38E" w14:textId="77777777" w:rsidR="002C0FD9" w:rsidRPr="00CA25CF" w:rsidRDefault="002C0FD9" w:rsidP="00CA25CF">
            <w:pPr>
              <w:rPr>
                <w:rFonts w:cs="Arial"/>
                <w:color w:val="FF0000"/>
                <w:sz w:val="21"/>
                <w:szCs w:val="21"/>
              </w:rPr>
            </w:pPr>
          </w:p>
        </w:tc>
        <w:tc>
          <w:tcPr>
            <w:tcW w:w="217" w:type="dxa"/>
          </w:tcPr>
          <w:p w14:paraId="3F8D9248" w14:textId="77777777" w:rsidR="002C0FD9" w:rsidRPr="00CA25CF" w:rsidRDefault="002C0FD9" w:rsidP="00CA25CF">
            <w:pPr>
              <w:rPr>
                <w:rFonts w:cs="Arial"/>
                <w:color w:val="FF0000"/>
                <w:sz w:val="21"/>
                <w:szCs w:val="21"/>
              </w:rPr>
            </w:pPr>
          </w:p>
        </w:tc>
        <w:tc>
          <w:tcPr>
            <w:tcW w:w="217" w:type="dxa"/>
          </w:tcPr>
          <w:p w14:paraId="3531A9E0" w14:textId="77777777" w:rsidR="002C0FD9" w:rsidRPr="00CA25CF" w:rsidRDefault="002C0FD9" w:rsidP="00CA25CF">
            <w:pPr>
              <w:rPr>
                <w:rFonts w:cs="Arial"/>
                <w:color w:val="FF0000"/>
                <w:sz w:val="21"/>
                <w:szCs w:val="21"/>
              </w:rPr>
            </w:pPr>
          </w:p>
        </w:tc>
        <w:tc>
          <w:tcPr>
            <w:tcW w:w="217" w:type="dxa"/>
          </w:tcPr>
          <w:p w14:paraId="4D4EC86C" w14:textId="77777777" w:rsidR="002C0FD9" w:rsidRPr="00CA25CF" w:rsidRDefault="002C0FD9" w:rsidP="00CA25CF">
            <w:pPr>
              <w:rPr>
                <w:rFonts w:cs="Arial"/>
                <w:color w:val="FF0000"/>
                <w:sz w:val="21"/>
                <w:szCs w:val="21"/>
              </w:rPr>
            </w:pPr>
          </w:p>
        </w:tc>
        <w:tc>
          <w:tcPr>
            <w:tcW w:w="217" w:type="dxa"/>
          </w:tcPr>
          <w:p w14:paraId="626BAD1A" w14:textId="77777777" w:rsidR="002C0FD9" w:rsidRPr="00CA25CF" w:rsidRDefault="002C0FD9" w:rsidP="00CA25CF">
            <w:pPr>
              <w:rPr>
                <w:rFonts w:cs="Arial"/>
                <w:color w:val="FF0000"/>
                <w:sz w:val="21"/>
                <w:szCs w:val="21"/>
              </w:rPr>
            </w:pPr>
          </w:p>
        </w:tc>
        <w:tc>
          <w:tcPr>
            <w:tcW w:w="217" w:type="dxa"/>
          </w:tcPr>
          <w:p w14:paraId="57DC9E6D" w14:textId="77777777" w:rsidR="002C0FD9" w:rsidRPr="00CA25CF" w:rsidRDefault="002C0FD9" w:rsidP="00CA25CF">
            <w:pPr>
              <w:rPr>
                <w:rFonts w:cs="Arial"/>
                <w:color w:val="FF0000"/>
                <w:sz w:val="21"/>
                <w:szCs w:val="21"/>
              </w:rPr>
            </w:pPr>
          </w:p>
        </w:tc>
        <w:tc>
          <w:tcPr>
            <w:tcW w:w="217" w:type="dxa"/>
          </w:tcPr>
          <w:p w14:paraId="45B6AF96" w14:textId="77777777" w:rsidR="002C0FD9" w:rsidRPr="00CA25CF" w:rsidRDefault="002C0FD9" w:rsidP="00CA25CF">
            <w:pPr>
              <w:rPr>
                <w:rFonts w:cs="Arial"/>
                <w:color w:val="FF0000"/>
                <w:sz w:val="21"/>
                <w:szCs w:val="21"/>
              </w:rPr>
            </w:pPr>
          </w:p>
        </w:tc>
        <w:tc>
          <w:tcPr>
            <w:tcW w:w="217" w:type="dxa"/>
          </w:tcPr>
          <w:p w14:paraId="0C7AEE3A" w14:textId="77777777" w:rsidR="002C0FD9" w:rsidRPr="00CA25CF" w:rsidRDefault="002C0FD9" w:rsidP="00CA25CF">
            <w:pPr>
              <w:rPr>
                <w:rFonts w:cs="Arial"/>
                <w:color w:val="FF0000"/>
                <w:sz w:val="21"/>
                <w:szCs w:val="21"/>
              </w:rPr>
            </w:pPr>
          </w:p>
        </w:tc>
        <w:tc>
          <w:tcPr>
            <w:tcW w:w="217" w:type="dxa"/>
          </w:tcPr>
          <w:p w14:paraId="6311EDA7" w14:textId="77777777" w:rsidR="002C0FD9" w:rsidRPr="00CA25CF" w:rsidRDefault="002C0FD9" w:rsidP="00CA25CF">
            <w:pPr>
              <w:rPr>
                <w:rFonts w:cs="Arial"/>
                <w:color w:val="FF0000"/>
                <w:sz w:val="21"/>
                <w:szCs w:val="21"/>
              </w:rPr>
            </w:pPr>
          </w:p>
        </w:tc>
        <w:tc>
          <w:tcPr>
            <w:tcW w:w="217" w:type="dxa"/>
          </w:tcPr>
          <w:p w14:paraId="41D6FD8E" w14:textId="77777777" w:rsidR="002C0FD9" w:rsidRPr="00CA25CF" w:rsidRDefault="002C0FD9" w:rsidP="00CA25CF">
            <w:pPr>
              <w:rPr>
                <w:rFonts w:cs="Arial"/>
                <w:color w:val="FF0000"/>
                <w:sz w:val="21"/>
                <w:szCs w:val="21"/>
              </w:rPr>
            </w:pPr>
          </w:p>
        </w:tc>
        <w:tc>
          <w:tcPr>
            <w:tcW w:w="217" w:type="dxa"/>
          </w:tcPr>
          <w:p w14:paraId="6FC9FAEA" w14:textId="77777777" w:rsidR="002C0FD9" w:rsidRPr="00CA25CF" w:rsidRDefault="002C0FD9" w:rsidP="00CA25CF">
            <w:pPr>
              <w:rPr>
                <w:rFonts w:cs="Arial"/>
                <w:color w:val="FF0000"/>
                <w:sz w:val="21"/>
                <w:szCs w:val="21"/>
              </w:rPr>
            </w:pPr>
          </w:p>
        </w:tc>
        <w:tc>
          <w:tcPr>
            <w:tcW w:w="217" w:type="dxa"/>
          </w:tcPr>
          <w:p w14:paraId="32ABC40B" w14:textId="77777777" w:rsidR="002C0FD9" w:rsidRPr="00CA25CF" w:rsidRDefault="002C0FD9" w:rsidP="00CA25CF">
            <w:pPr>
              <w:rPr>
                <w:rFonts w:cs="Arial"/>
                <w:color w:val="FF0000"/>
                <w:sz w:val="21"/>
                <w:szCs w:val="21"/>
              </w:rPr>
            </w:pPr>
          </w:p>
        </w:tc>
        <w:tc>
          <w:tcPr>
            <w:tcW w:w="217" w:type="dxa"/>
          </w:tcPr>
          <w:p w14:paraId="028C962B" w14:textId="77777777" w:rsidR="002C0FD9" w:rsidRPr="00CA25CF" w:rsidRDefault="002C0FD9" w:rsidP="00CA25CF">
            <w:pPr>
              <w:rPr>
                <w:rFonts w:cs="Arial"/>
                <w:color w:val="FF0000"/>
                <w:sz w:val="21"/>
                <w:szCs w:val="21"/>
              </w:rPr>
            </w:pPr>
          </w:p>
        </w:tc>
        <w:tc>
          <w:tcPr>
            <w:tcW w:w="217" w:type="dxa"/>
          </w:tcPr>
          <w:p w14:paraId="66699DA0" w14:textId="77777777" w:rsidR="002C0FD9" w:rsidRPr="00CA25CF" w:rsidRDefault="002C0FD9" w:rsidP="00CA25CF">
            <w:pPr>
              <w:rPr>
                <w:rFonts w:cs="Arial"/>
                <w:color w:val="FF0000"/>
                <w:sz w:val="21"/>
                <w:szCs w:val="21"/>
              </w:rPr>
            </w:pPr>
          </w:p>
        </w:tc>
        <w:tc>
          <w:tcPr>
            <w:tcW w:w="217" w:type="dxa"/>
          </w:tcPr>
          <w:p w14:paraId="7CD0F132" w14:textId="77777777" w:rsidR="002C0FD9" w:rsidRPr="00CA25CF" w:rsidRDefault="002C0FD9" w:rsidP="00CA25CF">
            <w:pPr>
              <w:rPr>
                <w:rFonts w:cs="Arial"/>
                <w:color w:val="FF0000"/>
                <w:sz w:val="21"/>
                <w:szCs w:val="21"/>
              </w:rPr>
            </w:pPr>
          </w:p>
        </w:tc>
        <w:tc>
          <w:tcPr>
            <w:tcW w:w="217" w:type="dxa"/>
          </w:tcPr>
          <w:p w14:paraId="76C1F57C" w14:textId="77777777" w:rsidR="002C0FD9" w:rsidRPr="00CA25CF" w:rsidRDefault="002C0FD9" w:rsidP="00CA25CF">
            <w:pPr>
              <w:rPr>
                <w:rFonts w:cs="Arial"/>
                <w:color w:val="FF0000"/>
                <w:sz w:val="21"/>
                <w:szCs w:val="21"/>
              </w:rPr>
            </w:pPr>
          </w:p>
        </w:tc>
        <w:tc>
          <w:tcPr>
            <w:tcW w:w="217" w:type="dxa"/>
          </w:tcPr>
          <w:p w14:paraId="09F38CA9" w14:textId="77777777" w:rsidR="002C0FD9" w:rsidRPr="00CA25CF" w:rsidRDefault="002C0FD9" w:rsidP="00CA25CF">
            <w:pPr>
              <w:rPr>
                <w:rFonts w:cs="Arial"/>
                <w:color w:val="FF0000"/>
                <w:sz w:val="21"/>
                <w:szCs w:val="21"/>
              </w:rPr>
            </w:pPr>
          </w:p>
        </w:tc>
        <w:tc>
          <w:tcPr>
            <w:tcW w:w="217" w:type="dxa"/>
          </w:tcPr>
          <w:p w14:paraId="5F67F78D" w14:textId="77777777" w:rsidR="002C0FD9" w:rsidRPr="00CA25CF" w:rsidRDefault="002C0FD9" w:rsidP="00CA25CF">
            <w:pPr>
              <w:rPr>
                <w:rFonts w:cs="Arial"/>
                <w:color w:val="FF0000"/>
                <w:sz w:val="21"/>
                <w:szCs w:val="21"/>
              </w:rPr>
            </w:pPr>
          </w:p>
        </w:tc>
        <w:tc>
          <w:tcPr>
            <w:tcW w:w="217" w:type="dxa"/>
          </w:tcPr>
          <w:p w14:paraId="3290B2FE" w14:textId="77777777" w:rsidR="002C0FD9" w:rsidRPr="00CA25CF" w:rsidRDefault="002C0FD9" w:rsidP="00CA25CF">
            <w:pPr>
              <w:rPr>
                <w:rFonts w:cs="Arial"/>
                <w:color w:val="FF0000"/>
                <w:sz w:val="21"/>
                <w:szCs w:val="21"/>
              </w:rPr>
            </w:pPr>
          </w:p>
        </w:tc>
        <w:tc>
          <w:tcPr>
            <w:tcW w:w="217" w:type="dxa"/>
          </w:tcPr>
          <w:p w14:paraId="742F7AC9" w14:textId="77777777" w:rsidR="002C0FD9" w:rsidRPr="00CA25CF" w:rsidRDefault="002C0FD9" w:rsidP="00CA25CF">
            <w:pPr>
              <w:rPr>
                <w:rFonts w:cs="Arial"/>
                <w:color w:val="FF0000"/>
                <w:sz w:val="21"/>
                <w:szCs w:val="21"/>
              </w:rPr>
            </w:pPr>
          </w:p>
        </w:tc>
        <w:tc>
          <w:tcPr>
            <w:tcW w:w="217" w:type="dxa"/>
          </w:tcPr>
          <w:p w14:paraId="5C8659EB" w14:textId="77777777" w:rsidR="002C0FD9" w:rsidRPr="00CA25CF" w:rsidRDefault="002C0FD9" w:rsidP="00CA25CF">
            <w:pPr>
              <w:rPr>
                <w:rFonts w:cs="Arial"/>
                <w:color w:val="FF0000"/>
                <w:sz w:val="21"/>
                <w:szCs w:val="21"/>
              </w:rPr>
            </w:pPr>
          </w:p>
        </w:tc>
        <w:tc>
          <w:tcPr>
            <w:tcW w:w="217" w:type="dxa"/>
          </w:tcPr>
          <w:p w14:paraId="2934719A" w14:textId="77777777" w:rsidR="002C0FD9" w:rsidRPr="00CA25CF" w:rsidRDefault="002C0FD9" w:rsidP="00CA25CF">
            <w:pPr>
              <w:rPr>
                <w:rFonts w:cs="Arial"/>
                <w:color w:val="FF0000"/>
                <w:sz w:val="21"/>
                <w:szCs w:val="21"/>
              </w:rPr>
            </w:pPr>
          </w:p>
        </w:tc>
        <w:tc>
          <w:tcPr>
            <w:tcW w:w="217" w:type="dxa"/>
          </w:tcPr>
          <w:p w14:paraId="5BF6E3A1" w14:textId="77777777" w:rsidR="002C0FD9" w:rsidRPr="00CA25CF" w:rsidRDefault="002C0FD9" w:rsidP="00CA25CF">
            <w:pPr>
              <w:rPr>
                <w:rFonts w:cs="Arial"/>
                <w:color w:val="FF0000"/>
                <w:sz w:val="21"/>
                <w:szCs w:val="21"/>
              </w:rPr>
            </w:pPr>
          </w:p>
        </w:tc>
        <w:tc>
          <w:tcPr>
            <w:tcW w:w="217" w:type="dxa"/>
          </w:tcPr>
          <w:p w14:paraId="29878AA8" w14:textId="77777777" w:rsidR="002C0FD9" w:rsidRPr="00CA25CF" w:rsidRDefault="002C0FD9" w:rsidP="00CA25CF">
            <w:pPr>
              <w:rPr>
                <w:rFonts w:cs="Arial"/>
                <w:color w:val="FF0000"/>
                <w:sz w:val="21"/>
                <w:szCs w:val="21"/>
              </w:rPr>
            </w:pPr>
          </w:p>
        </w:tc>
        <w:tc>
          <w:tcPr>
            <w:tcW w:w="217" w:type="dxa"/>
          </w:tcPr>
          <w:p w14:paraId="4FDF097A" w14:textId="77777777" w:rsidR="002C0FD9" w:rsidRPr="00CA25CF" w:rsidRDefault="002C0FD9" w:rsidP="00CA25CF">
            <w:pPr>
              <w:rPr>
                <w:rFonts w:cs="Arial"/>
                <w:color w:val="FF0000"/>
                <w:sz w:val="21"/>
                <w:szCs w:val="21"/>
              </w:rPr>
            </w:pPr>
          </w:p>
        </w:tc>
        <w:tc>
          <w:tcPr>
            <w:tcW w:w="217" w:type="dxa"/>
          </w:tcPr>
          <w:p w14:paraId="3A7B5ADF" w14:textId="77777777" w:rsidR="002C0FD9" w:rsidRPr="00CA25CF" w:rsidRDefault="002C0FD9" w:rsidP="00CA25CF">
            <w:pPr>
              <w:rPr>
                <w:rFonts w:cs="Arial"/>
                <w:color w:val="FF0000"/>
                <w:sz w:val="21"/>
                <w:szCs w:val="21"/>
              </w:rPr>
            </w:pPr>
          </w:p>
        </w:tc>
        <w:tc>
          <w:tcPr>
            <w:tcW w:w="217" w:type="dxa"/>
          </w:tcPr>
          <w:p w14:paraId="2959F6C7" w14:textId="77777777" w:rsidR="002C0FD9" w:rsidRPr="00CA25CF" w:rsidRDefault="002C0FD9" w:rsidP="00CA25CF">
            <w:pPr>
              <w:rPr>
                <w:rFonts w:cs="Arial"/>
                <w:color w:val="FF0000"/>
                <w:sz w:val="21"/>
                <w:szCs w:val="21"/>
              </w:rPr>
            </w:pPr>
          </w:p>
        </w:tc>
        <w:tc>
          <w:tcPr>
            <w:tcW w:w="217" w:type="dxa"/>
          </w:tcPr>
          <w:p w14:paraId="7B5CFAFE" w14:textId="77777777" w:rsidR="002C0FD9" w:rsidRPr="00CA25CF" w:rsidRDefault="002C0FD9" w:rsidP="00CA25CF">
            <w:pPr>
              <w:rPr>
                <w:rFonts w:cs="Arial"/>
                <w:color w:val="FF0000"/>
                <w:sz w:val="21"/>
                <w:szCs w:val="21"/>
              </w:rPr>
            </w:pPr>
          </w:p>
        </w:tc>
        <w:tc>
          <w:tcPr>
            <w:tcW w:w="217" w:type="dxa"/>
          </w:tcPr>
          <w:p w14:paraId="3915E626" w14:textId="77777777" w:rsidR="002C0FD9" w:rsidRPr="00CA25CF" w:rsidRDefault="002C0FD9" w:rsidP="00CA25CF">
            <w:pPr>
              <w:rPr>
                <w:rFonts w:cs="Arial"/>
                <w:color w:val="FF0000"/>
                <w:sz w:val="21"/>
                <w:szCs w:val="21"/>
              </w:rPr>
            </w:pPr>
          </w:p>
        </w:tc>
        <w:tc>
          <w:tcPr>
            <w:tcW w:w="217" w:type="dxa"/>
          </w:tcPr>
          <w:p w14:paraId="182B0DA8" w14:textId="77777777" w:rsidR="002C0FD9" w:rsidRPr="00CA25CF" w:rsidRDefault="002C0FD9" w:rsidP="00CA25CF">
            <w:pPr>
              <w:rPr>
                <w:rFonts w:cs="Arial"/>
                <w:color w:val="FF0000"/>
                <w:sz w:val="21"/>
                <w:szCs w:val="21"/>
              </w:rPr>
            </w:pPr>
          </w:p>
        </w:tc>
        <w:tc>
          <w:tcPr>
            <w:tcW w:w="217" w:type="dxa"/>
          </w:tcPr>
          <w:p w14:paraId="46B7B54E" w14:textId="77777777" w:rsidR="002C0FD9" w:rsidRPr="00CA25CF" w:rsidRDefault="002C0FD9" w:rsidP="00CA25CF">
            <w:pPr>
              <w:rPr>
                <w:rFonts w:cs="Arial"/>
                <w:color w:val="FF0000"/>
                <w:sz w:val="21"/>
                <w:szCs w:val="21"/>
              </w:rPr>
            </w:pPr>
          </w:p>
        </w:tc>
        <w:tc>
          <w:tcPr>
            <w:tcW w:w="217" w:type="dxa"/>
          </w:tcPr>
          <w:p w14:paraId="10B351EC" w14:textId="77777777" w:rsidR="002C0FD9" w:rsidRPr="00CA25CF" w:rsidRDefault="002C0FD9" w:rsidP="00CA25CF">
            <w:pPr>
              <w:rPr>
                <w:rFonts w:cs="Arial"/>
                <w:color w:val="FF0000"/>
                <w:sz w:val="21"/>
                <w:szCs w:val="21"/>
              </w:rPr>
            </w:pPr>
          </w:p>
        </w:tc>
        <w:tc>
          <w:tcPr>
            <w:tcW w:w="217" w:type="dxa"/>
          </w:tcPr>
          <w:p w14:paraId="4A5A8361" w14:textId="77777777" w:rsidR="002C0FD9" w:rsidRPr="00CA25CF" w:rsidRDefault="002C0FD9" w:rsidP="00CA25CF">
            <w:pPr>
              <w:rPr>
                <w:rFonts w:cs="Arial"/>
                <w:color w:val="FF0000"/>
                <w:sz w:val="21"/>
                <w:szCs w:val="21"/>
              </w:rPr>
            </w:pPr>
          </w:p>
        </w:tc>
      </w:tr>
      <w:tr w:rsidR="002C0FD9" w:rsidRPr="00A16219" w14:paraId="1CAA0563" w14:textId="77777777" w:rsidTr="002C0FD9">
        <w:trPr>
          <w:trHeight w:val="635"/>
        </w:trPr>
        <w:tc>
          <w:tcPr>
            <w:tcW w:w="515" w:type="dxa"/>
          </w:tcPr>
          <w:p w14:paraId="77540DBA" w14:textId="77777777" w:rsidR="002C0FD9" w:rsidRPr="00CA25CF" w:rsidRDefault="002C0FD9" w:rsidP="00CA25CF">
            <w:pPr>
              <w:rPr>
                <w:rFonts w:cs="Arial"/>
                <w:color w:val="FF0000"/>
                <w:sz w:val="21"/>
                <w:szCs w:val="21"/>
              </w:rPr>
            </w:pPr>
          </w:p>
        </w:tc>
        <w:tc>
          <w:tcPr>
            <w:tcW w:w="217" w:type="dxa"/>
          </w:tcPr>
          <w:p w14:paraId="6E9F80A5" w14:textId="77777777" w:rsidR="002C0FD9" w:rsidRPr="00CA25CF" w:rsidRDefault="002C0FD9" w:rsidP="00CA25CF">
            <w:pPr>
              <w:rPr>
                <w:rFonts w:cs="Arial"/>
                <w:color w:val="FF0000"/>
                <w:sz w:val="21"/>
                <w:szCs w:val="21"/>
              </w:rPr>
            </w:pPr>
          </w:p>
        </w:tc>
        <w:tc>
          <w:tcPr>
            <w:tcW w:w="217" w:type="dxa"/>
          </w:tcPr>
          <w:p w14:paraId="78171F51" w14:textId="77777777" w:rsidR="002C0FD9" w:rsidRPr="00CA25CF" w:rsidRDefault="002C0FD9" w:rsidP="00CA25CF">
            <w:pPr>
              <w:rPr>
                <w:rFonts w:cs="Arial"/>
                <w:color w:val="FF0000"/>
                <w:sz w:val="21"/>
                <w:szCs w:val="21"/>
              </w:rPr>
            </w:pPr>
          </w:p>
        </w:tc>
        <w:tc>
          <w:tcPr>
            <w:tcW w:w="217" w:type="dxa"/>
          </w:tcPr>
          <w:p w14:paraId="2A195D7D" w14:textId="77777777" w:rsidR="002C0FD9" w:rsidRPr="00CA25CF" w:rsidRDefault="002C0FD9" w:rsidP="00CA25CF">
            <w:pPr>
              <w:rPr>
                <w:rFonts w:cs="Arial"/>
                <w:color w:val="FF0000"/>
                <w:sz w:val="21"/>
                <w:szCs w:val="21"/>
              </w:rPr>
            </w:pPr>
          </w:p>
        </w:tc>
        <w:tc>
          <w:tcPr>
            <w:tcW w:w="217" w:type="dxa"/>
          </w:tcPr>
          <w:p w14:paraId="2A245004" w14:textId="77777777" w:rsidR="002C0FD9" w:rsidRPr="00CA25CF" w:rsidRDefault="002C0FD9" w:rsidP="00CA25CF">
            <w:pPr>
              <w:rPr>
                <w:rFonts w:cs="Arial"/>
                <w:color w:val="FF0000"/>
                <w:sz w:val="21"/>
                <w:szCs w:val="21"/>
              </w:rPr>
            </w:pPr>
          </w:p>
        </w:tc>
        <w:tc>
          <w:tcPr>
            <w:tcW w:w="217" w:type="dxa"/>
          </w:tcPr>
          <w:p w14:paraId="4E1E677E" w14:textId="77777777" w:rsidR="002C0FD9" w:rsidRPr="00CA25CF" w:rsidRDefault="002C0FD9" w:rsidP="00CA25CF">
            <w:pPr>
              <w:rPr>
                <w:rFonts w:cs="Arial"/>
                <w:color w:val="FF0000"/>
                <w:sz w:val="21"/>
                <w:szCs w:val="21"/>
              </w:rPr>
            </w:pPr>
          </w:p>
        </w:tc>
        <w:tc>
          <w:tcPr>
            <w:tcW w:w="217" w:type="dxa"/>
          </w:tcPr>
          <w:p w14:paraId="7F7535E5" w14:textId="77777777" w:rsidR="002C0FD9" w:rsidRPr="00CA25CF" w:rsidRDefault="002C0FD9" w:rsidP="00CA25CF">
            <w:pPr>
              <w:rPr>
                <w:rFonts w:cs="Arial"/>
                <w:color w:val="FF0000"/>
                <w:sz w:val="21"/>
                <w:szCs w:val="21"/>
              </w:rPr>
            </w:pPr>
          </w:p>
        </w:tc>
        <w:tc>
          <w:tcPr>
            <w:tcW w:w="217" w:type="dxa"/>
          </w:tcPr>
          <w:p w14:paraId="4EA18C53" w14:textId="77777777" w:rsidR="002C0FD9" w:rsidRPr="00CA25CF" w:rsidRDefault="002C0FD9" w:rsidP="00CA25CF">
            <w:pPr>
              <w:rPr>
                <w:rFonts w:cs="Arial"/>
                <w:color w:val="FF0000"/>
                <w:sz w:val="21"/>
                <w:szCs w:val="21"/>
              </w:rPr>
            </w:pPr>
          </w:p>
        </w:tc>
        <w:tc>
          <w:tcPr>
            <w:tcW w:w="217" w:type="dxa"/>
          </w:tcPr>
          <w:p w14:paraId="269128D7" w14:textId="77777777" w:rsidR="002C0FD9" w:rsidRPr="00CA25CF" w:rsidRDefault="002C0FD9" w:rsidP="00CA25CF">
            <w:pPr>
              <w:rPr>
                <w:rFonts w:cs="Arial"/>
                <w:color w:val="FF0000"/>
                <w:sz w:val="21"/>
                <w:szCs w:val="21"/>
              </w:rPr>
            </w:pPr>
          </w:p>
        </w:tc>
        <w:tc>
          <w:tcPr>
            <w:tcW w:w="217" w:type="dxa"/>
          </w:tcPr>
          <w:p w14:paraId="29D88E08" w14:textId="77777777" w:rsidR="002C0FD9" w:rsidRPr="00CA25CF" w:rsidRDefault="002C0FD9" w:rsidP="00CA25CF">
            <w:pPr>
              <w:rPr>
                <w:rFonts w:cs="Arial"/>
                <w:color w:val="FF0000"/>
                <w:sz w:val="21"/>
                <w:szCs w:val="21"/>
              </w:rPr>
            </w:pPr>
          </w:p>
        </w:tc>
        <w:tc>
          <w:tcPr>
            <w:tcW w:w="217" w:type="dxa"/>
          </w:tcPr>
          <w:p w14:paraId="73CD9F25" w14:textId="77777777" w:rsidR="002C0FD9" w:rsidRPr="00CA25CF" w:rsidRDefault="002C0FD9" w:rsidP="00CA25CF">
            <w:pPr>
              <w:rPr>
                <w:rFonts w:cs="Arial"/>
                <w:color w:val="FF0000"/>
                <w:sz w:val="21"/>
                <w:szCs w:val="21"/>
              </w:rPr>
            </w:pPr>
          </w:p>
        </w:tc>
        <w:tc>
          <w:tcPr>
            <w:tcW w:w="217" w:type="dxa"/>
          </w:tcPr>
          <w:p w14:paraId="325F5144" w14:textId="77777777" w:rsidR="002C0FD9" w:rsidRPr="00CA25CF" w:rsidRDefault="002C0FD9" w:rsidP="00CA25CF">
            <w:pPr>
              <w:rPr>
                <w:rFonts w:cs="Arial"/>
                <w:color w:val="FF0000"/>
                <w:sz w:val="21"/>
                <w:szCs w:val="21"/>
              </w:rPr>
            </w:pPr>
          </w:p>
        </w:tc>
        <w:tc>
          <w:tcPr>
            <w:tcW w:w="217" w:type="dxa"/>
          </w:tcPr>
          <w:p w14:paraId="0DBD7D17" w14:textId="77777777" w:rsidR="002C0FD9" w:rsidRPr="00CA25CF" w:rsidRDefault="002C0FD9" w:rsidP="00CA25CF">
            <w:pPr>
              <w:rPr>
                <w:rFonts w:cs="Arial"/>
                <w:color w:val="FF0000"/>
                <w:sz w:val="21"/>
                <w:szCs w:val="21"/>
              </w:rPr>
            </w:pPr>
          </w:p>
        </w:tc>
        <w:tc>
          <w:tcPr>
            <w:tcW w:w="217" w:type="dxa"/>
          </w:tcPr>
          <w:p w14:paraId="39749799" w14:textId="77777777" w:rsidR="002C0FD9" w:rsidRPr="00CA25CF" w:rsidRDefault="002C0FD9" w:rsidP="00CA25CF">
            <w:pPr>
              <w:rPr>
                <w:rFonts w:cs="Arial"/>
                <w:color w:val="FF0000"/>
                <w:sz w:val="21"/>
                <w:szCs w:val="21"/>
              </w:rPr>
            </w:pPr>
          </w:p>
        </w:tc>
        <w:tc>
          <w:tcPr>
            <w:tcW w:w="217" w:type="dxa"/>
          </w:tcPr>
          <w:p w14:paraId="48E8A3EB" w14:textId="77777777" w:rsidR="002C0FD9" w:rsidRPr="00CA25CF" w:rsidRDefault="002C0FD9" w:rsidP="00CA25CF">
            <w:pPr>
              <w:rPr>
                <w:rFonts w:cs="Arial"/>
                <w:color w:val="FF0000"/>
                <w:sz w:val="21"/>
                <w:szCs w:val="21"/>
              </w:rPr>
            </w:pPr>
          </w:p>
        </w:tc>
        <w:tc>
          <w:tcPr>
            <w:tcW w:w="217" w:type="dxa"/>
          </w:tcPr>
          <w:p w14:paraId="1FE55852" w14:textId="77777777" w:rsidR="002C0FD9" w:rsidRPr="00CA25CF" w:rsidRDefault="002C0FD9" w:rsidP="00CA25CF">
            <w:pPr>
              <w:rPr>
                <w:rFonts w:cs="Arial"/>
                <w:color w:val="FF0000"/>
                <w:sz w:val="21"/>
                <w:szCs w:val="21"/>
              </w:rPr>
            </w:pPr>
          </w:p>
        </w:tc>
        <w:tc>
          <w:tcPr>
            <w:tcW w:w="217" w:type="dxa"/>
          </w:tcPr>
          <w:p w14:paraId="3C7A157C" w14:textId="77777777" w:rsidR="002C0FD9" w:rsidRPr="00CA25CF" w:rsidRDefault="002C0FD9" w:rsidP="00CA25CF">
            <w:pPr>
              <w:rPr>
                <w:rFonts w:cs="Arial"/>
                <w:color w:val="FF0000"/>
                <w:sz w:val="21"/>
                <w:szCs w:val="21"/>
              </w:rPr>
            </w:pPr>
          </w:p>
        </w:tc>
        <w:tc>
          <w:tcPr>
            <w:tcW w:w="217" w:type="dxa"/>
          </w:tcPr>
          <w:p w14:paraId="32970BC4" w14:textId="77777777" w:rsidR="002C0FD9" w:rsidRPr="00CA25CF" w:rsidRDefault="002C0FD9" w:rsidP="00CA25CF">
            <w:pPr>
              <w:rPr>
                <w:rFonts w:cs="Arial"/>
                <w:color w:val="FF0000"/>
                <w:sz w:val="21"/>
                <w:szCs w:val="21"/>
              </w:rPr>
            </w:pPr>
          </w:p>
        </w:tc>
        <w:tc>
          <w:tcPr>
            <w:tcW w:w="217" w:type="dxa"/>
          </w:tcPr>
          <w:p w14:paraId="67AB303F" w14:textId="77777777" w:rsidR="002C0FD9" w:rsidRPr="00CA25CF" w:rsidRDefault="002C0FD9" w:rsidP="00CA25CF">
            <w:pPr>
              <w:rPr>
                <w:rFonts w:cs="Arial"/>
                <w:color w:val="FF0000"/>
                <w:sz w:val="21"/>
                <w:szCs w:val="21"/>
              </w:rPr>
            </w:pPr>
          </w:p>
        </w:tc>
        <w:tc>
          <w:tcPr>
            <w:tcW w:w="217" w:type="dxa"/>
          </w:tcPr>
          <w:p w14:paraId="2D66DD1F" w14:textId="77777777" w:rsidR="002C0FD9" w:rsidRPr="00CA25CF" w:rsidRDefault="002C0FD9" w:rsidP="00CA25CF">
            <w:pPr>
              <w:rPr>
                <w:rFonts w:cs="Arial"/>
                <w:color w:val="FF0000"/>
                <w:sz w:val="21"/>
                <w:szCs w:val="21"/>
              </w:rPr>
            </w:pPr>
          </w:p>
        </w:tc>
        <w:tc>
          <w:tcPr>
            <w:tcW w:w="217" w:type="dxa"/>
          </w:tcPr>
          <w:p w14:paraId="5E3DA7E1" w14:textId="77777777" w:rsidR="002C0FD9" w:rsidRPr="00CA25CF" w:rsidRDefault="002C0FD9" w:rsidP="00CA25CF">
            <w:pPr>
              <w:rPr>
                <w:rFonts w:cs="Arial"/>
                <w:color w:val="FF0000"/>
                <w:sz w:val="21"/>
                <w:szCs w:val="21"/>
              </w:rPr>
            </w:pPr>
          </w:p>
        </w:tc>
        <w:tc>
          <w:tcPr>
            <w:tcW w:w="217" w:type="dxa"/>
          </w:tcPr>
          <w:p w14:paraId="7E5E56B9" w14:textId="77777777" w:rsidR="002C0FD9" w:rsidRPr="00CA25CF" w:rsidRDefault="002C0FD9" w:rsidP="00CA25CF">
            <w:pPr>
              <w:rPr>
                <w:rFonts w:cs="Arial"/>
                <w:color w:val="FF0000"/>
                <w:sz w:val="21"/>
                <w:szCs w:val="21"/>
              </w:rPr>
            </w:pPr>
          </w:p>
        </w:tc>
        <w:tc>
          <w:tcPr>
            <w:tcW w:w="217" w:type="dxa"/>
          </w:tcPr>
          <w:p w14:paraId="0431FE4F" w14:textId="77777777" w:rsidR="002C0FD9" w:rsidRPr="00CA25CF" w:rsidRDefault="002C0FD9" w:rsidP="00CA25CF">
            <w:pPr>
              <w:rPr>
                <w:rFonts w:cs="Arial"/>
                <w:color w:val="FF0000"/>
                <w:sz w:val="21"/>
                <w:szCs w:val="21"/>
              </w:rPr>
            </w:pPr>
          </w:p>
        </w:tc>
        <w:tc>
          <w:tcPr>
            <w:tcW w:w="217" w:type="dxa"/>
          </w:tcPr>
          <w:p w14:paraId="0CF5BCFF" w14:textId="77777777" w:rsidR="002C0FD9" w:rsidRPr="00CA25CF" w:rsidRDefault="002C0FD9" w:rsidP="00CA25CF">
            <w:pPr>
              <w:rPr>
                <w:rFonts w:cs="Arial"/>
                <w:color w:val="FF0000"/>
                <w:sz w:val="21"/>
                <w:szCs w:val="21"/>
              </w:rPr>
            </w:pPr>
          </w:p>
        </w:tc>
        <w:tc>
          <w:tcPr>
            <w:tcW w:w="217" w:type="dxa"/>
          </w:tcPr>
          <w:p w14:paraId="4A604120" w14:textId="77777777" w:rsidR="002C0FD9" w:rsidRPr="00CA25CF" w:rsidRDefault="002C0FD9" w:rsidP="00CA25CF">
            <w:pPr>
              <w:rPr>
                <w:rFonts w:cs="Arial"/>
                <w:color w:val="FF0000"/>
                <w:sz w:val="21"/>
                <w:szCs w:val="21"/>
              </w:rPr>
            </w:pPr>
          </w:p>
        </w:tc>
        <w:tc>
          <w:tcPr>
            <w:tcW w:w="217" w:type="dxa"/>
          </w:tcPr>
          <w:p w14:paraId="69AF5532" w14:textId="77777777" w:rsidR="002C0FD9" w:rsidRPr="00CA25CF" w:rsidRDefault="002C0FD9" w:rsidP="00CA25CF">
            <w:pPr>
              <w:rPr>
                <w:rFonts w:cs="Arial"/>
                <w:color w:val="FF0000"/>
                <w:sz w:val="21"/>
                <w:szCs w:val="21"/>
              </w:rPr>
            </w:pPr>
          </w:p>
        </w:tc>
        <w:tc>
          <w:tcPr>
            <w:tcW w:w="217" w:type="dxa"/>
          </w:tcPr>
          <w:p w14:paraId="06644093" w14:textId="77777777" w:rsidR="002C0FD9" w:rsidRPr="00CA25CF" w:rsidRDefault="002C0FD9" w:rsidP="00CA25CF">
            <w:pPr>
              <w:rPr>
                <w:rFonts w:cs="Arial"/>
                <w:color w:val="FF0000"/>
                <w:sz w:val="21"/>
                <w:szCs w:val="21"/>
              </w:rPr>
            </w:pPr>
          </w:p>
        </w:tc>
        <w:tc>
          <w:tcPr>
            <w:tcW w:w="217" w:type="dxa"/>
          </w:tcPr>
          <w:p w14:paraId="4F0DFFF9" w14:textId="77777777" w:rsidR="002C0FD9" w:rsidRPr="00CA25CF" w:rsidRDefault="002C0FD9" w:rsidP="00CA25CF">
            <w:pPr>
              <w:rPr>
                <w:rFonts w:cs="Arial"/>
                <w:color w:val="FF0000"/>
                <w:sz w:val="21"/>
                <w:szCs w:val="21"/>
              </w:rPr>
            </w:pPr>
          </w:p>
        </w:tc>
        <w:tc>
          <w:tcPr>
            <w:tcW w:w="217" w:type="dxa"/>
          </w:tcPr>
          <w:p w14:paraId="6721D29D" w14:textId="77777777" w:rsidR="002C0FD9" w:rsidRPr="00CA25CF" w:rsidRDefault="002C0FD9" w:rsidP="00CA25CF">
            <w:pPr>
              <w:rPr>
                <w:rFonts w:cs="Arial"/>
                <w:color w:val="FF0000"/>
                <w:sz w:val="21"/>
                <w:szCs w:val="21"/>
              </w:rPr>
            </w:pPr>
          </w:p>
        </w:tc>
        <w:tc>
          <w:tcPr>
            <w:tcW w:w="217" w:type="dxa"/>
          </w:tcPr>
          <w:p w14:paraId="1799C51A" w14:textId="77777777" w:rsidR="002C0FD9" w:rsidRPr="00CA25CF" w:rsidRDefault="002C0FD9" w:rsidP="00CA25CF">
            <w:pPr>
              <w:rPr>
                <w:rFonts w:cs="Arial"/>
                <w:color w:val="FF0000"/>
                <w:sz w:val="21"/>
                <w:szCs w:val="21"/>
              </w:rPr>
            </w:pPr>
          </w:p>
        </w:tc>
        <w:tc>
          <w:tcPr>
            <w:tcW w:w="217" w:type="dxa"/>
          </w:tcPr>
          <w:p w14:paraId="012B37C9" w14:textId="77777777" w:rsidR="002C0FD9" w:rsidRPr="00CA25CF" w:rsidRDefault="002C0FD9" w:rsidP="00CA25CF">
            <w:pPr>
              <w:rPr>
                <w:rFonts w:cs="Arial"/>
                <w:color w:val="FF0000"/>
                <w:sz w:val="21"/>
                <w:szCs w:val="21"/>
              </w:rPr>
            </w:pPr>
          </w:p>
        </w:tc>
        <w:tc>
          <w:tcPr>
            <w:tcW w:w="217" w:type="dxa"/>
          </w:tcPr>
          <w:p w14:paraId="7207DC7A" w14:textId="77777777" w:rsidR="002C0FD9" w:rsidRPr="00CA25CF" w:rsidRDefault="002C0FD9" w:rsidP="00CA25CF">
            <w:pPr>
              <w:rPr>
                <w:rFonts w:cs="Arial"/>
                <w:color w:val="FF0000"/>
                <w:sz w:val="21"/>
                <w:szCs w:val="21"/>
              </w:rPr>
            </w:pPr>
          </w:p>
        </w:tc>
        <w:tc>
          <w:tcPr>
            <w:tcW w:w="217" w:type="dxa"/>
          </w:tcPr>
          <w:p w14:paraId="32A238F2" w14:textId="77777777" w:rsidR="002C0FD9" w:rsidRPr="00CA25CF" w:rsidRDefault="002C0FD9" w:rsidP="00CA25CF">
            <w:pPr>
              <w:rPr>
                <w:rFonts w:cs="Arial"/>
                <w:color w:val="FF0000"/>
                <w:sz w:val="21"/>
                <w:szCs w:val="21"/>
              </w:rPr>
            </w:pPr>
          </w:p>
        </w:tc>
        <w:tc>
          <w:tcPr>
            <w:tcW w:w="217" w:type="dxa"/>
          </w:tcPr>
          <w:p w14:paraId="146F6E43" w14:textId="77777777" w:rsidR="002C0FD9" w:rsidRPr="00CA25CF" w:rsidRDefault="002C0FD9" w:rsidP="00CA25CF">
            <w:pPr>
              <w:rPr>
                <w:rFonts w:cs="Arial"/>
                <w:color w:val="FF0000"/>
                <w:sz w:val="21"/>
                <w:szCs w:val="21"/>
              </w:rPr>
            </w:pPr>
          </w:p>
        </w:tc>
        <w:tc>
          <w:tcPr>
            <w:tcW w:w="217" w:type="dxa"/>
          </w:tcPr>
          <w:p w14:paraId="11E5CBB9" w14:textId="77777777" w:rsidR="002C0FD9" w:rsidRPr="00CA25CF" w:rsidRDefault="002C0FD9" w:rsidP="00CA25CF">
            <w:pPr>
              <w:rPr>
                <w:rFonts w:cs="Arial"/>
                <w:color w:val="FF0000"/>
                <w:sz w:val="21"/>
                <w:szCs w:val="21"/>
              </w:rPr>
            </w:pPr>
          </w:p>
        </w:tc>
        <w:tc>
          <w:tcPr>
            <w:tcW w:w="217" w:type="dxa"/>
          </w:tcPr>
          <w:p w14:paraId="37C52158" w14:textId="77777777" w:rsidR="002C0FD9" w:rsidRPr="00CA25CF" w:rsidRDefault="002C0FD9" w:rsidP="00CA25CF">
            <w:pPr>
              <w:rPr>
                <w:rFonts w:cs="Arial"/>
                <w:color w:val="FF0000"/>
                <w:sz w:val="21"/>
                <w:szCs w:val="21"/>
              </w:rPr>
            </w:pPr>
          </w:p>
        </w:tc>
        <w:tc>
          <w:tcPr>
            <w:tcW w:w="217" w:type="dxa"/>
          </w:tcPr>
          <w:p w14:paraId="209CFC18" w14:textId="77777777" w:rsidR="002C0FD9" w:rsidRPr="00CA25CF" w:rsidRDefault="002C0FD9" w:rsidP="00CA25CF">
            <w:pPr>
              <w:rPr>
                <w:rFonts w:cs="Arial"/>
                <w:color w:val="FF0000"/>
                <w:sz w:val="21"/>
                <w:szCs w:val="21"/>
              </w:rPr>
            </w:pPr>
          </w:p>
        </w:tc>
        <w:tc>
          <w:tcPr>
            <w:tcW w:w="217" w:type="dxa"/>
          </w:tcPr>
          <w:p w14:paraId="417FF75D" w14:textId="77777777" w:rsidR="002C0FD9" w:rsidRPr="00CA25CF" w:rsidRDefault="002C0FD9" w:rsidP="00CA25CF">
            <w:pPr>
              <w:rPr>
                <w:rFonts w:cs="Arial"/>
                <w:color w:val="FF0000"/>
                <w:sz w:val="21"/>
                <w:szCs w:val="21"/>
              </w:rPr>
            </w:pPr>
          </w:p>
        </w:tc>
        <w:tc>
          <w:tcPr>
            <w:tcW w:w="217" w:type="dxa"/>
          </w:tcPr>
          <w:p w14:paraId="65419209" w14:textId="77777777" w:rsidR="002C0FD9" w:rsidRPr="00CA25CF" w:rsidRDefault="002C0FD9" w:rsidP="00CA25CF">
            <w:pPr>
              <w:rPr>
                <w:rFonts w:cs="Arial"/>
                <w:color w:val="FF0000"/>
                <w:sz w:val="21"/>
                <w:szCs w:val="21"/>
              </w:rPr>
            </w:pPr>
          </w:p>
        </w:tc>
        <w:tc>
          <w:tcPr>
            <w:tcW w:w="217" w:type="dxa"/>
          </w:tcPr>
          <w:p w14:paraId="1F8C48A6" w14:textId="77777777" w:rsidR="002C0FD9" w:rsidRPr="00CA25CF" w:rsidRDefault="002C0FD9" w:rsidP="00CA25CF">
            <w:pPr>
              <w:rPr>
                <w:rFonts w:cs="Arial"/>
                <w:color w:val="FF0000"/>
                <w:sz w:val="21"/>
                <w:szCs w:val="21"/>
              </w:rPr>
            </w:pPr>
          </w:p>
        </w:tc>
        <w:tc>
          <w:tcPr>
            <w:tcW w:w="217" w:type="dxa"/>
          </w:tcPr>
          <w:p w14:paraId="63CBD8ED" w14:textId="77777777" w:rsidR="002C0FD9" w:rsidRPr="00CA25CF" w:rsidRDefault="002C0FD9" w:rsidP="00CA25CF">
            <w:pPr>
              <w:rPr>
                <w:rFonts w:cs="Arial"/>
                <w:color w:val="FF0000"/>
                <w:sz w:val="21"/>
                <w:szCs w:val="21"/>
              </w:rPr>
            </w:pPr>
          </w:p>
        </w:tc>
        <w:tc>
          <w:tcPr>
            <w:tcW w:w="217" w:type="dxa"/>
          </w:tcPr>
          <w:p w14:paraId="1E4DE706" w14:textId="77777777" w:rsidR="002C0FD9" w:rsidRPr="00CA25CF" w:rsidRDefault="002C0FD9" w:rsidP="00CA25CF">
            <w:pPr>
              <w:rPr>
                <w:rFonts w:cs="Arial"/>
                <w:color w:val="FF0000"/>
                <w:sz w:val="21"/>
                <w:szCs w:val="21"/>
              </w:rPr>
            </w:pPr>
          </w:p>
        </w:tc>
        <w:tc>
          <w:tcPr>
            <w:tcW w:w="217" w:type="dxa"/>
          </w:tcPr>
          <w:p w14:paraId="2DA48C60" w14:textId="77777777" w:rsidR="002C0FD9" w:rsidRPr="00CA25CF" w:rsidRDefault="002C0FD9" w:rsidP="00CA25CF">
            <w:pPr>
              <w:rPr>
                <w:rFonts w:cs="Arial"/>
                <w:color w:val="FF0000"/>
                <w:sz w:val="21"/>
                <w:szCs w:val="21"/>
              </w:rPr>
            </w:pPr>
          </w:p>
        </w:tc>
      </w:tr>
      <w:tr w:rsidR="002C0FD9" w:rsidRPr="00A16219" w14:paraId="726985E5" w14:textId="77777777" w:rsidTr="002C0FD9">
        <w:trPr>
          <w:trHeight w:val="635"/>
        </w:trPr>
        <w:tc>
          <w:tcPr>
            <w:tcW w:w="515" w:type="dxa"/>
          </w:tcPr>
          <w:p w14:paraId="419D5785" w14:textId="77777777" w:rsidR="002C0FD9" w:rsidRPr="00CA25CF" w:rsidRDefault="002C0FD9" w:rsidP="00CA25CF">
            <w:pPr>
              <w:rPr>
                <w:rFonts w:cs="Arial"/>
                <w:color w:val="FF0000"/>
                <w:sz w:val="21"/>
                <w:szCs w:val="21"/>
              </w:rPr>
            </w:pPr>
          </w:p>
        </w:tc>
        <w:tc>
          <w:tcPr>
            <w:tcW w:w="217" w:type="dxa"/>
          </w:tcPr>
          <w:p w14:paraId="4C3357C4" w14:textId="77777777" w:rsidR="002C0FD9" w:rsidRPr="00CA25CF" w:rsidRDefault="002C0FD9" w:rsidP="00CA25CF">
            <w:pPr>
              <w:rPr>
                <w:rFonts w:cs="Arial"/>
                <w:color w:val="FF0000"/>
                <w:sz w:val="21"/>
                <w:szCs w:val="21"/>
              </w:rPr>
            </w:pPr>
          </w:p>
        </w:tc>
        <w:tc>
          <w:tcPr>
            <w:tcW w:w="217" w:type="dxa"/>
          </w:tcPr>
          <w:p w14:paraId="68BADADC" w14:textId="77777777" w:rsidR="002C0FD9" w:rsidRPr="00CA25CF" w:rsidRDefault="002C0FD9" w:rsidP="00CA25CF">
            <w:pPr>
              <w:rPr>
                <w:rFonts w:cs="Arial"/>
                <w:color w:val="FF0000"/>
                <w:sz w:val="21"/>
                <w:szCs w:val="21"/>
              </w:rPr>
            </w:pPr>
          </w:p>
        </w:tc>
        <w:tc>
          <w:tcPr>
            <w:tcW w:w="217" w:type="dxa"/>
          </w:tcPr>
          <w:p w14:paraId="636B0FE6" w14:textId="77777777" w:rsidR="002C0FD9" w:rsidRPr="00CA25CF" w:rsidRDefault="002C0FD9" w:rsidP="00CA25CF">
            <w:pPr>
              <w:rPr>
                <w:rFonts w:cs="Arial"/>
                <w:color w:val="FF0000"/>
                <w:sz w:val="21"/>
                <w:szCs w:val="21"/>
              </w:rPr>
            </w:pPr>
          </w:p>
        </w:tc>
        <w:tc>
          <w:tcPr>
            <w:tcW w:w="217" w:type="dxa"/>
          </w:tcPr>
          <w:p w14:paraId="1D4DCC90" w14:textId="77777777" w:rsidR="002C0FD9" w:rsidRPr="00CA25CF" w:rsidRDefault="002C0FD9" w:rsidP="00CA25CF">
            <w:pPr>
              <w:rPr>
                <w:rFonts w:cs="Arial"/>
                <w:color w:val="FF0000"/>
                <w:sz w:val="21"/>
                <w:szCs w:val="21"/>
              </w:rPr>
            </w:pPr>
          </w:p>
        </w:tc>
        <w:tc>
          <w:tcPr>
            <w:tcW w:w="217" w:type="dxa"/>
          </w:tcPr>
          <w:p w14:paraId="4CAD7A44" w14:textId="77777777" w:rsidR="002C0FD9" w:rsidRPr="00CA25CF" w:rsidRDefault="002C0FD9" w:rsidP="00CA25CF">
            <w:pPr>
              <w:rPr>
                <w:rFonts w:cs="Arial"/>
                <w:color w:val="FF0000"/>
                <w:sz w:val="21"/>
                <w:szCs w:val="21"/>
              </w:rPr>
            </w:pPr>
          </w:p>
        </w:tc>
        <w:tc>
          <w:tcPr>
            <w:tcW w:w="217" w:type="dxa"/>
          </w:tcPr>
          <w:p w14:paraId="36386742" w14:textId="77777777" w:rsidR="002C0FD9" w:rsidRPr="00CA25CF" w:rsidRDefault="002C0FD9" w:rsidP="00CA25CF">
            <w:pPr>
              <w:rPr>
                <w:rFonts w:cs="Arial"/>
                <w:color w:val="FF0000"/>
                <w:sz w:val="21"/>
                <w:szCs w:val="21"/>
              </w:rPr>
            </w:pPr>
          </w:p>
        </w:tc>
        <w:tc>
          <w:tcPr>
            <w:tcW w:w="217" w:type="dxa"/>
          </w:tcPr>
          <w:p w14:paraId="2CDE1FAD" w14:textId="77777777" w:rsidR="002C0FD9" w:rsidRPr="00CA25CF" w:rsidRDefault="002C0FD9" w:rsidP="00CA25CF">
            <w:pPr>
              <w:rPr>
                <w:rFonts w:cs="Arial"/>
                <w:color w:val="FF0000"/>
                <w:sz w:val="21"/>
                <w:szCs w:val="21"/>
              </w:rPr>
            </w:pPr>
          </w:p>
        </w:tc>
        <w:tc>
          <w:tcPr>
            <w:tcW w:w="217" w:type="dxa"/>
          </w:tcPr>
          <w:p w14:paraId="6071FB60" w14:textId="77777777" w:rsidR="002C0FD9" w:rsidRPr="00CA25CF" w:rsidRDefault="002C0FD9" w:rsidP="00CA25CF">
            <w:pPr>
              <w:rPr>
                <w:rFonts w:cs="Arial"/>
                <w:color w:val="FF0000"/>
                <w:sz w:val="21"/>
                <w:szCs w:val="21"/>
              </w:rPr>
            </w:pPr>
          </w:p>
        </w:tc>
        <w:tc>
          <w:tcPr>
            <w:tcW w:w="217" w:type="dxa"/>
          </w:tcPr>
          <w:p w14:paraId="0FC56F50" w14:textId="77777777" w:rsidR="002C0FD9" w:rsidRPr="00CA25CF" w:rsidRDefault="002C0FD9" w:rsidP="00CA25CF">
            <w:pPr>
              <w:rPr>
                <w:rFonts w:cs="Arial"/>
                <w:color w:val="FF0000"/>
                <w:sz w:val="21"/>
                <w:szCs w:val="21"/>
              </w:rPr>
            </w:pPr>
          </w:p>
        </w:tc>
        <w:tc>
          <w:tcPr>
            <w:tcW w:w="217" w:type="dxa"/>
          </w:tcPr>
          <w:p w14:paraId="244C16F2" w14:textId="77777777" w:rsidR="002C0FD9" w:rsidRPr="00CA25CF" w:rsidRDefault="002C0FD9" w:rsidP="00CA25CF">
            <w:pPr>
              <w:rPr>
                <w:rFonts w:cs="Arial"/>
                <w:color w:val="FF0000"/>
                <w:sz w:val="21"/>
                <w:szCs w:val="21"/>
              </w:rPr>
            </w:pPr>
          </w:p>
        </w:tc>
        <w:tc>
          <w:tcPr>
            <w:tcW w:w="217" w:type="dxa"/>
          </w:tcPr>
          <w:p w14:paraId="16191550" w14:textId="77777777" w:rsidR="002C0FD9" w:rsidRPr="00CA25CF" w:rsidRDefault="002C0FD9" w:rsidP="00CA25CF">
            <w:pPr>
              <w:rPr>
                <w:rFonts w:cs="Arial"/>
                <w:color w:val="FF0000"/>
                <w:sz w:val="21"/>
                <w:szCs w:val="21"/>
              </w:rPr>
            </w:pPr>
          </w:p>
        </w:tc>
        <w:tc>
          <w:tcPr>
            <w:tcW w:w="217" w:type="dxa"/>
          </w:tcPr>
          <w:p w14:paraId="5B5357E8" w14:textId="77777777" w:rsidR="002C0FD9" w:rsidRPr="00CA25CF" w:rsidRDefault="002C0FD9" w:rsidP="00CA25CF">
            <w:pPr>
              <w:rPr>
                <w:rFonts w:cs="Arial"/>
                <w:color w:val="FF0000"/>
                <w:sz w:val="21"/>
                <w:szCs w:val="21"/>
              </w:rPr>
            </w:pPr>
          </w:p>
        </w:tc>
        <w:tc>
          <w:tcPr>
            <w:tcW w:w="217" w:type="dxa"/>
          </w:tcPr>
          <w:p w14:paraId="276041D0" w14:textId="77777777" w:rsidR="002C0FD9" w:rsidRPr="00CA25CF" w:rsidRDefault="002C0FD9" w:rsidP="00CA25CF">
            <w:pPr>
              <w:rPr>
                <w:rFonts w:cs="Arial"/>
                <w:color w:val="FF0000"/>
                <w:sz w:val="21"/>
                <w:szCs w:val="21"/>
              </w:rPr>
            </w:pPr>
          </w:p>
        </w:tc>
        <w:tc>
          <w:tcPr>
            <w:tcW w:w="217" w:type="dxa"/>
          </w:tcPr>
          <w:p w14:paraId="32C99CEF" w14:textId="77777777" w:rsidR="002C0FD9" w:rsidRPr="00CA25CF" w:rsidRDefault="002C0FD9" w:rsidP="00CA25CF">
            <w:pPr>
              <w:rPr>
                <w:rFonts w:cs="Arial"/>
                <w:color w:val="FF0000"/>
                <w:sz w:val="21"/>
                <w:szCs w:val="21"/>
              </w:rPr>
            </w:pPr>
          </w:p>
        </w:tc>
        <w:tc>
          <w:tcPr>
            <w:tcW w:w="217" w:type="dxa"/>
          </w:tcPr>
          <w:p w14:paraId="7B964487" w14:textId="77777777" w:rsidR="002C0FD9" w:rsidRPr="00CA25CF" w:rsidRDefault="002C0FD9" w:rsidP="00CA25CF">
            <w:pPr>
              <w:rPr>
                <w:rFonts w:cs="Arial"/>
                <w:color w:val="FF0000"/>
                <w:sz w:val="21"/>
                <w:szCs w:val="21"/>
              </w:rPr>
            </w:pPr>
          </w:p>
        </w:tc>
        <w:tc>
          <w:tcPr>
            <w:tcW w:w="217" w:type="dxa"/>
          </w:tcPr>
          <w:p w14:paraId="4ECFE8BA" w14:textId="77777777" w:rsidR="002C0FD9" w:rsidRPr="00CA25CF" w:rsidRDefault="002C0FD9" w:rsidP="00CA25CF">
            <w:pPr>
              <w:rPr>
                <w:rFonts w:cs="Arial"/>
                <w:color w:val="FF0000"/>
                <w:sz w:val="21"/>
                <w:szCs w:val="21"/>
              </w:rPr>
            </w:pPr>
          </w:p>
        </w:tc>
        <w:tc>
          <w:tcPr>
            <w:tcW w:w="217" w:type="dxa"/>
          </w:tcPr>
          <w:p w14:paraId="192000D0" w14:textId="77777777" w:rsidR="002C0FD9" w:rsidRPr="00CA25CF" w:rsidRDefault="002C0FD9" w:rsidP="00CA25CF">
            <w:pPr>
              <w:rPr>
                <w:rFonts w:cs="Arial"/>
                <w:color w:val="FF0000"/>
                <w:sz w:val="21"/>
                <w:szCs w:val="21"/>
              </w:rPr>
            </w:pPr>
          </w:p>
        </w:tc>
        <w:tc>
          <w:tcPr>
            <w:tcW w:w="217" w:type="dxa"/>
          </w:tcPr>
          <w:p w14:paraId="7BCBEBD9" w14:textId="77777777" w:rsidR="002C0FD9" w:rsidRPr="00CA25CF" w:rsidRDefault="002C0FD9" w:rsidP="00CA25CF">
            <w:pPr>
              <w:rPr>
                <w:rFonts w:cs="Arial"/>
                <w:color w:val="FF0000"/>
                <w:sz w:val="21"/>
                <w:szCs w:val="21"/>
              </w:rPr>
            </w:pPr>
          </w:p>
        </w:tc>
        <w:tc>
          <w:tcPr>
            <w:tcW w:w="217" w:type="dxa"/>
          </w:tcPr>
          <w:p w14:paraId="5923DE30" w14:textId="77777777" w:rsidR="002C0FD9" w:rsidRPr="00CA25CF" w:rsidRDefault="002C0FD9" w:rsidP="00CA25CF">
            <w:pPr>
              <w:rPr>
                <w:rFonts w:cs="Arial"/>
                <w:color w:val="FF0000"/>
                <w:sz w:val="21"/>
                <w:szCs w:val="21"/>
              </w:rPr>
            </w:pPr>
          </w:p>
        </w:tc>
        <w:tc>
          <w:tcPr>
            <w:tcW w:w="217" w:type="dxa"/>
          </w:tcPr>
          <w:p w14:paraId="500FC91A" w14:textId="77777777" w:rsidR="002C0FD9" w:rsidRPr="00CA25CF" w:rsidRDefault="002C0FD9" w:rsidP="00CA25CF">
            <w:pPr>
              <w:rPr>
                <w:rFonts w:cs="Arial"/>
                <w:color w:val="FF0000"/>
                <w:sz w:val="21"/>
                <w:szCs w:val="21"/>
              </w:rPr>
            </w:pPr>
          </w:p>
        </w:tc>
        <w:tc>
          <w:tcPr>
            <w:tcW w:w="217" w:type="dxa"/>
          </w:tcPr>
          <w:p w14:paraId="08A2D958" w14:textId="77777777" w:rsidR="002C0FD9" w:rsidRPr="00CA25CF" w:rsidRDefault="002C0FD9" w:rsidP="00CA25CF">
            <w:pPr>
              <w:rPr>
                <w:rFonts w:cs="Arial"/>
                <w:color w:val="FF0000"/>
                <w:sz w:val="21"/>
                <w:szCs w:val="21"/>
              </w:rPr>
            </w:pPr>
          </w:p>
        </w:tc>
        <w:tc>
          <w:tcPr>
            <w:tcW w:w="217" w:type="dxa"/>
          </w:tcPr>
          <w:p w14:paraId="6A78B1D9" w14:textId="77777777" w:rsidR="002C0FD9" w:rsidRPr="00CA25CF" w:rsidRDefault="002C0FD9" w:rsidP="00CA25CF">
            <w:pPr>
              <w:rPr>
                <w:rFonts w:cs="Arial"/>
                <w:color w:val="FF0000"/>
                <w:sz w:val="21"/>
                <w:szCs w:val="21"/>
              </w:rPr>
            </w:pPr>
          </w:p>
        </w:tc>
        <w:tc>
          <w:tcPr>
            <w:tcW w:w="217" w:type="dxa"/>
          </w:tcPr>
          <w:p w14:paraId="334BCA78" w14:textId="77777777" w:rsidR="002C0FD9" w:rsidRPr="00CA25CF" w:rsidRDefault="002C0FD9" w:rsidP="00CA25CF">
            <w:pPr>
              <w:rPr>
                <w:rFonts w:cs="Arial"/>
                <w:color w:val="FF0000"/>
                <w:sz w:val="21"/>
                <w:szCs w:val="21"/>
              </w:rPr>
            </w:pPr>
          </w:p>
        </w:tc>
        <w:tc>
          <w:tcPr>
            <w:tcW w:w="217" w:type="dxa"/>
          </w:tcPr>
          <w:p w14:paraId="7DA32200" w14:textId="77777777" w:rsidR="002C0FD9" w:rsidRPr="00CA25CF" w:rsidRDefault="002C0FD9" w:rsidP="00CA25CF">
            <w:pPr>
              <w:rPr>
                <w:rFonts w:cs="Arial"/>
                <w:color w:val="FF0000"/>
                <w:sz w:val="21"/>
                <w:szCs w:val="21"/>
              </w:rPr>
            </w:pPr>
          </w:p>
        </w:tc>
        <w:tc>
          <w:tcPr>
            <w:tcW w:w="217" w:type="dxa"/>
          </w:tcPr>
          <w:p w14:paraId="765C53FB" w14:textId="77777777" w:rsidR="002C0FD9" w:rsidRPr="00CA25CF" w:rsidRDefault="002C0FD9" w:rsidP="00CA25CF">
            <w:pPr>
              <w:rPr>
                <w:rFonts w:cs="Arial"/>
                <w:color w:val="FF0000"/>
                <w:sz w:val="21"/>
                <w:szCs w:val="21"/>
              </w:rPr>
            </w:pPr>
          </w:p>
        </w:tc>
        <w:tc>
          <w:tcPr>
            <w:tcW w:w="217" w:type="dxa"/>
          </w:tcPr>
          <w:p w14:paraId="4F0EB94C" w14:textId="77777777" w:rsidR="002C0FD9" w:rsidRPr="00CA25CF" w:rsidRDefault="002C0FD9" w:rsidP="00CA25CF">
            <w:pPr>
              <w:rPr>
                <w:rFonts w:cs="Arial"/>
                <w:color w:val="FF0000"/>
                <w:sz w:val="21"/>
                <w:szCs w:val="21"/>
              </w:rPr>
            </w:pPr>
          </w:p>
        </w:tc>
        <w:tc>
          <w:tcPr>
            <w:tcW w:w="217" w:type="dxa"/>
          </w:tcPr>
          <w:p w14:paraId="02E76EDB" w14:textId="77777777" w:rsidR="002C0FD9" w:rsidRPr="00CA25CF" w:rsidRDefault="002C0FD9" w:rsidP="00CA25CF">
            <w:pPr>
              <w:rPr>
                <w:rFonts w:cs="Arial"/>
                <w:color w:val="FF0000"/>
                <w:sz w:val="21"/>
                <w:szCs w:val="21"/>
              </w:rPr>
            </w:pPr>
          </w:p>
        </w:tc>
        <w:tc>
          <w:tcPr>
            <w:tcW w:w="217" w:type="dxa"/>
          </w:tcPr>
          <w:p w14:paraId="03947DA9" w14:textId="77777777" w:rsidR="002C0FD9" w:rsidRPr="00CA25CF" w:rsidRDefault="002C0FD9" w:rsidP="00CA25CF">
            <w:pPr>
              <w:rPr>
                <w:rFonts w:cs="Arial"/>
                <w:color w:val="FF0000"/>
                <w:sz w:val="21"/>
                <w:szCs w:val="21"/>
              </w:rPr>
            </w:pPr>
          </w:p>
        </w:tc>
        <w:tc>
          <w:tcPr>
            <w:tcW w:w="217" w:type="dxa"/>
          </w:tcPr>
          <w:p w14:paraId="72A5756A" w14:textId="77777777" w:rsidR="002C0FD9" w:rsidRPr="00CA25CF" w:rsidRDefault="002C0FD9" w:rsidP="00CA25CF">
            <w:pPr>
              <w:rPr>
                <w:rFonts w:cs="Arial"/>
                <w:color w:val="FF0000"/>
                <w:sz w:val="21"/>
                <w:szCs w:val="21"/>
              </w:rPr>
            </w:pPr>
          </w:p>
        </w:tc>
        <w:tc>
          <w:tcPr>
            <w:tcW w:w="217" w:type="dxa"/>
          </w:tcPr>
          <w:p w14:paraId="50965D1C" w14:textId="77777777" w:rsidR="002C0FD9" w:rsidRPr="00CA25CF" w:rsidRDefault="002C0FD9" w:rsidP="00CA25CF">
            <w:pPr>
              <w:rPr>
                <w:rFonts w:cs="Arial"/>
                <w:color w:val="FF0000"/>
                <w:sz w:val="21"/>
                <w:szCs w:val="21"/>
              </w:rPr>
            </w:pPr>
          </w:p>
        </w:tc>
        <w:tc>
          <w:tcPr>
            <w:tcW w:w="217" w:type="dxa"/>
          </w:tcPr>
          <w:p w14:paraId="337EEC3D" w14:textId="77777777" w:rsidR="002C0FD9" w:rsidRPr="00CA25CF" w:rsidRDefault="002C0FD9" w:rsidP="00CA25CF">
            <w:pPr>
              <w:rPr>
                <w:rFonts w:cs="Arial"/>
                <w:color w:val="FF0000"/>
                <w:sz w:val="21"/>
                <w:szCs w:val="21"/>
              </w:rPr>
            </w:pPr>
          </w:p>
        </w:tc>
        <w:tc>
          <w:tcPr>
            <w:tcW w:w="217" w:type="dxa"/>
          </w:tcPr>
          <w:p w14:paraId="2739BDAC" w14:textId="77777777" w:rsidR="002C0FD9" w:rsidRPr="00CA25CF" w:rsidRDefault="002C0FD9" w:rsidP="00CA25CF">
            <w:pPr>
              <w:rPr>
                <w:rFonts w:cs="Arial"/>
                <w:color w:val="FF0000"/>
                <w:sz w:val="21"/>
                <w:szCs w:val="21"/>
              </w:rPr>
            </w:pPr>
          </w:p>
        </w:tc>
        <w:tc>
          <w:tcPr>
            <w:tcW w:w="217" w:type="dxa"/>
          </w:tcPr>
          <w:p w14:paraId="6D2E3D55" w14:textId="77777777" w:rsidR="002C0FD9" w:rsidRPr="00CA25CF" w:rsidRDefault="002C0FD9" w:rsidP="00CA25CF">
            <w:pPr>
              <w:rPr>
                <w:rFonts w:cs="Arial"/>
                <w:color w:val="FF0000"/>
                <w:sz w:val="21"/>
                <w:szCs w:val="21"/>
              </w:rPr>
            </w:pPr>
          </w:p>
        </w:tc>
        <w:tc>
          <w:tcPr>
            <w:tcW w:w="217" w:type="dxa"/>
          </w:tcPr>
          <w:p w14:paraId="21F3DB85" w14:textId="77777777" w:rsidR="002C0FD9" w:rsidRPr="00CA25CF" w:rsidRDefault="002C0FD9" w:rsidP="00CA25CF">
            <w:pPr>
              <w:rPr>
                <w:rFonts w:cs="Arial"/>
                <w:color w:val="FF0000"/>
                <w:sz w:val="21"/>
                <w:szCs w:val="21"/>
              </w:rPr>
            </w:pPr>
          </w:p>
        </w:tc>
        <w:tc>
          <w:tcPr>
            <w:tcW w:w="217" w:type="dxa"/>
          </w:tcPr>
          <w:p w14:paraId="2339378A" w14:textId="77777777" w:rsidR="002C0FD9" w:rsidRPr="00CA25CF" w:rsidRDefault="002C0FD9" w:rsidP="00CA25CF">
            <w:pPr>
              <w:rPr>
                <w:rFonts w:cs="Arial"/>
                <w:color w:val="FF0000"/>
                <w:sz w:val="21"/>
                <w:szCs w:val="21"/>
              </w:rPr>
            </w:pPr>
          </w:p>
        </w:tc>
        <w:tc>
          <w:tcPr>
            <w:tcW w:w="217" w:type="dxa"/>
          </w:tcPr>
          <w:p w14:paraId="651461C7" w14:textId="77777777" w:rsidR="002C0FD9" w:rsidRPr="00CA25CF" w:rsidRDefault="002C0FD9" w:rsidP="00CA25CF">
            <w:pPr>
              <w:rPr>
                <w:rFonts w:cs="Arial"/>
                <w:color w:val="FF0000"/>
                <w:sz w:val="21"/>
                <w:szCs w:val="21"/>
              </w:rPr>
            </w:pPr>
          </w:p>
        </w:tc>
        <w:tc>
          <w:tcPr>
            <w:tcW w:w="217" w:type="dxa"/>
          </w:tcPr>
          <w:p w14:paraId="59F7F56B" w14:textId="77777777" w:rsidR="002C0FD9" w:rsidRPr="00CA25CF" w:rsidRDefault="002C0FD9" w:rsidP="00CA25CF">
            <w:pPr>
              <w:rPr>
                <w:rFonts w:cs="Arial"/>
                <w:color w:val="FF0000"/>
                <w:sz w:val="21"/>
                <w:szCs w:val="21"/>
              </w:rPr>
            </w:pPr>
          </w:p>
        </w:tc>
        <w:tc>
          <w:tcPr>
            <w:tcW w:w="217" w:type="dxa"/>
          </w:tcPr>
          <w:p w14:paraId="188EF9D1" w14:textId="77777777" w:rsidR="002C0FD9" w:rsidRPr="00CA25CF" w:rsidRDefault="002C0FD9" w:rsidP="00CA25CF">
            <w:pPr>
              <w:rPr>
                <w:rFonts w:cs="Arial"/>
                <w:color w:val="FF0000"/>
                <w:sz w:val="21"/>
                <w:szCs w:val="21"/>
              </w:rPr>
            </w:pPr>
          </w:p>
        </w:tc>
        <w:tc>
          <w:tcPr>
            <w:tcW w:w="217" w:type="dxa"/>
          </w:tcPr>
          <w:p w14:paraId="401288A3" w14:textId="77777777" w:rsidR="002C0FD9" w:rsidRPr="00CA25CF" w:rsidRDefault="002C0FD9" w:rsidP="00CA25CF">
            <w:pPr>
              <w:rPr>
                <w:rFonts w:cs="Arial"/>
                <w:color w:val="FF0000"/>
                <w:sz w:val="21"/>
                <w:szCs w:val="21"/>
              </w:rPr>
            </w:pPr>
          </w:p>
        </w:tc>
        <w:tc>
          <w:tcPr>
            <w:tcW w:w="217" w:type="dxa"/>
          </w:tcPr>
          <w:p w14:paraId="2210BA85" w14:textId="77777777" w:rsidR="002C0FD9" w:rsidRPr="00CA25CF" w:rsidRDefault="002C0FD9" w:rsidP="00CA25CF">
            <w:pPr>
              <w:rPr>
                <w:rFonts w:cs="Arial"/>
                <w:color w:val="FF0000"/>
                <w:sz w:val="21"/>
                <w:szCs w:val="21"/>
              </w:rPr>
            </w:pPr>
          </w:p>
        </w:tc>
        <w:tc>
          <w:tcPr>
            <w:tcW w:w="217" w:type="dxa"/>
          </w:tcPr>
          <w:p w14:paraId="76D049F8" w14:textId="77777777" w:rsidR="002C0FD9" w:rsidRPr="00CA25CF" w:rsidRDefault="002C0FD9" w:rsidP="00CA25CF">
            <w:pPr>
              <w:rPr>
                <w:rFonts w:cs="Arial"/>
                <w:color w:val="FF0000"/>
                <w:sz w:val="21"/>
                <w:szCs w:val="21"/>
              </w:rPr>
            </w:pPr>
          </w:p>
        </w:tc>
        <w:tc>
          <w:tcPr>
            <w:tcW w:w="217" w:type="dxa"/>
          </w:tcPr>
          <w:p w14:paraId="2FB29E24" w14:textId="77777777" w:rsidR="002C0FD9" w:rsidRPr="00CA25CF" w:rsidRDefault="002C0FD9" w:rsidP="00CA25CF">
            <w:pPr>
              <w:rPr>
                <w:rFonts w:cs="Arial"/>
                <w:color w:val="FF0000"/>
                <w:sz w:val="21"/>
                <w:szCs w:val="21"/>
              </w:rPr>
            </w:pPr>
          </w:p>
        </w:tc>
      </w:tr>
      <w:tr w:rsidR="002C0FD9" w:rsidRPr="00A16219" w14:paraId="555C9C43" w14:textId="77777777" w:rsidTr="002C0FD9">
        <w:trPr>
          <w:trHeight w:val="635"/>
        </w:trPr>
        <w:tc>
          <w:tcPr>
            <w:tcW w:w="515" w:type="dxa"/>
          </w:tcPr>
          <w:p w14:paraId="55429295" w14:textId="77777777" w:rsidR="002C0FD9" w:rsidRPr="00CA25CF" w:rsidRDefault="002C0FD9" w:rsidP="00CA25CF">
            <w:pPr>
              <w:rPr>
                <w:rFonts w:cs="Arial"/>
                <w:color w:val="FF0000"/>
                <w:sz w:val="21"/>
                <w:szCs w:val="21"/>
              </w:rPr>
            </w:pPr>
          </w:p>
        </w:tc>
        <w:tc>
          <w:tcPr>
            <w:tcW w:w="217" w:type="dxa"/>
          </w:tcPr>
          <w:p w14:paraId="75FE49A6" w14:textId="77777777" w:rsidR="002C0FD9" w:rsidRPr="00CA25CF" w:rsidRDefault="002C0FD9" w:rsidP="00CA25CF">
            <w:pPr>
              <w:rPr>
                <w:rFonts w:cs="Arial"/>
                <w:color w:val="FF0000"/>
                <w:sz w:val="21"/>
                <w:szCs w:val="21"/>
              </w:rPr>
            </w:pPr>
          </w:p>
        </w:tc>
        <w:tc>
          <w:tcPr>
            <w:tcW w:w="217" w:type="dxa"/>
          </w:tcPr>
          <w:p w14:paraId="375C583F" w14:textId="77777777" w:rsidR="002C0FD9" w:rsidRPr="00CA25CF" w:rsidRDefault="002C0FD9" w:rsidP="00CA25CF">
            <w:pPr>
              <w:rPr>
                <w:rFonts w:cs="Arial"/>
                <w:color w:val="FF0000"/>
                <w:sz w:val="21"/>
                <w:szCs w:val="21"/>
              </w:rPr>
            </w:pPr>
          </w:p>
        </w:tc>
        <w:tc>
          <w:tcPr>
            <w:tcW w:w="217" w:type="dxa"/>
          </w:tcPr>
          <w:p w14:paraId="6CB234C9" w14:textId="77777777" w:rsidR="002C0FD9" w:rsidRPr="00CA25CF" w:rsidRDefault="002C0FD9" w:rsidP="00CA25CF">
            <w:pPr>
              <w:rPr>
                <w:rFonts w:cs="Arial"/>
                <w:color w:val="FF0000"/>
                <w:sz w:val="21"/>
                <w:szCs w:val="21"/>
              </w:rPr>
            </w:pPr>
          </w:p>
        </w:tc>
        <w:tc>
          <w:tcPr>
            <w:tcW w:w="217" w:type="dxa"/>
          </w:tcPr>
          <w:p w14:paraId="0BA0034D" w14:textId="77777777" w:rsidR="002C0FD9" w:rsidRPr="00CA25CF" w:rsidRDefault="002C0FD9" w:rsidP="00CA25CF">
            <w:pPr>
              <w:rPr>
                <w:rFonts w:cs="Arial"/>
                <w:color w:val="FF0000"/>
                <w:sz w:val="21"/>
                <w:szCs w:val="21"/>
              </w:rPr>
            </w:pPr>
          </w:p>
        </w:tc>
        <w:tc>
          <w:tcPr>
            <w:tcW w:w="217" w:type="dxa"/>
          </w:tcPr>
          <w:p w14:paraId="14AB5341" w14:textId="77777777" w:rsidR="002C0FD9" w:rsidRPr="00CA25CF" w:rsidRDefault="002C0FD9" w:rsidP="00CA25CF">
            <w:pPr>
              <w:rPr>
                <w:rFonts w:cs="Arial"/>
                <w:color w:val="FF0000"/>
                <w:sz w:val="21"/>
                <w:szCs w:val="21"/>
              </w:rPr>
            </w:pPr>
          </w:p>
        </w:tc>
        <w:tc>
          <w:tcPr>
            <w:tcW w:w="217" w:type="dxa"/>
          </w:tcPr>
          <w:p w14:paraId="0BA59386" w14:textId="77777777" w:rsidR="002C0FD9" w:rsidRPr="00CA25CF" w:rsidRDefault="002C0FD9" w:rsidP="00CA25CF">
            <w:pPr>
              <w:rPr>
                <w:rFonts w:cs="Arial"/>
                <w:color w:val="FF0000"/>
                <w:sz w:val="21"/>
                <w:szCs w:val="21"/>
              </w:rPr>
            </w:pPr>
          </w:p>
        </w:tc>
        <w:tc>
          <w:tcPr>
            <w:tcW w:w="217" w:type="dxa"/>
          </w:tcPr>
          <w:p w14:paraId="6A1923EA" w14:textId="77777777" w:rsidR="002C0FD9" w:rsidRPr="00CA25CF" w:rsidRDefault="002C0FD9" w:rsidP="00CA25CF">
            <w:pPr>
              <w:rPr>
                <w:rFonts w:cs="Arial"/>
                <w:color w:val="FF0000"/>
                <w:sz w:val="21"/>
                <w:szCs w:val="21"/>
              </w:rPr>
            </w:pPr>
          </w:p>
        </w:tc>
        <w:tc>
          <w:tcPr>
            <w:tcW w:w="217" w:type="dxa"/>
          </w:tcPr>
          <w:p w14:paraId="6183B69A" w14:textId="77777777" w:rsidR="002C0FD9" w:rsidRPr="00CA25CF" w:rsidRDefault="002C0FD9" w:rsidP="00CA25CF">
            <w:pPr>
              <w:rPr>
                <w:rFonts w:cs="Arial"/>
                <w:color w:val="FF0000"/>
                <w:sz w:val="21"/>
                <w:szCs w:val="21"/>
              </w:rPr>
            </w:pPr>
          </w:p>
        </w:tc>
        <w:tc>
          <w:tcPr>
            <w:tcW w:w="217" w:type="dxa"/>
          </w:tcPr>
          <w:p w14:paraId="15010FAF" w14:textId="77777777" w:rsidR="002C0FD9" w:rsidRPr="00CA25CF" w:rsidRDefault="002C0FD9" w:rsidP="00CA25CF">
            <w:pPr>
              <w:rPr>
                <w:rFonts w:cs="Arial"/>
                <w:color w:val="FF0000"/>
                <w:sz w:val="21"/>
                <w:szCs w:val="21"/>
              </w:rPr>
            </w:pPr>
          </w:p>
        </w:tc>
        <w:tc>
          <w:tcPr>
            <w:tcW w:w="217" w:type="dxa"/>
          </w:tcPr>
          <w:p w14:paraId="64C368F7" w14:textId="77777777" w:rsidR="002C0FD9" w:rsidRPr="00CA25CF" w:rsidRDefault="002C0FD9" w:rsidP="00CA25CF">
            <w:pPr>
              <w:rPr>
                <w:rFonts w:cs="Arial"/>
                <w:color w:val="FF0000"/>
                <w:sz w:val="21"/>
                <w:szCs w:val="21"/>
              </w:rPr>
            </w:pPr>
          </w:p>
        </w:tc>
        <w:tc>
          <w:tcPr>
            <w:tcW w:w="217" w:type="dxa"/>
          </w:tcPr>
          <w:p w14:paraId="379EB501" w14:textId="77777777" w:rsidR="002C0FD9" w:rsidRPr="00CA25CF" w:rsidRDefault="002C0FD9" w:rsidP="00CA25CF">
            <w:pPr>
              <w:rPr>
                <w:rFonts w:cs="Arial"/>
                <w:color w:val="FF0000"/>
                <w:sz w:val="21"/>
                <w:szCs w:val="21"/>
              </w:rPr>
            </w:pPr>
          </w:p>
        </w:tc>
        <w:tc>
          <w:tcPr>
            <w:tcW w:w="217" w:type="dxa"/>
          </w:tcPr>
          <w:p w14:paraId="5E92C911" w14:textId="77777777" w:rsidR="002C0FD9" w:rsidRPr="00CA25CF" w:rsidRDefault="002C0FD9" w:rsidP="00CA25CF">
            <w:pPr>
              <w:rPr>
                <w:rFonts w:cs="Arial"/>
                <w:color w:val="FF0000"/>
                <w:sz w:val="21"/>
                <w:szCs w:val="21"/>
              </w:rPr>
            </w:pPr>
          </w:p>
        </w:tc>
        <w:tc>
          <w:tcPr>
            <w:tcW w:w="217" w:type="dxa"/>
          </w:tcPr>
          <w:p w14:paraId="40388BFC" w14:textId="77777777" w:rsidR="002C0FD9" w:rsidRPr="00CA25CF" w:rsidRDefault="002C0FD9" w:rsidP="00CA25CF">
            <w:pPr>
              <w:rPr>
                <w:rFonts w:cs="Arial"/>
                <w:color w:val="FF0000"/>
                <w:sz w:val="21"/>
                <w:szCs w:val="21"/>
              </w:rPr>
            </w:pPr>
          </w:p>
        </w:tc>
        <w:tc>
          <w:tcPr>
            <w:tcW w:w="217" w:type="dxa"/>
          </w:tcPr>
          <w:p w14:paraId="545F1138" w14:textId="77777777" w:rsidR="002C0FD9" w:rsidRPr="00CA25CF" w:rsidRDefault="002C0FD9" w:rsidP="00CA25CF">
            <w:pPr>
              <w:rPr>
                <w:rFonts w:cs="Arial"/>
                <w:color w:val="FF0000"/>
                <w:sz w:val="21"/>
                <w:szCs w:val="21"/>
              </w:rPr>
            </w:pPr>
          </w:p>
        </w:tc>
        <w:tc>
          <w:tcPr>
            <w:tcW w:w="217" w:type="dxa"/>
          </w:tcPr>
          <w:p w14:paraId="5E2486E8" w14:textId="77777777" w:rsidR="002C0FD9" w:rsidRPr="00CA25CF" w:rsidRDefault="002C0FD9" w:rsidP="00CA25CF">
            <w:pPr>
              <w:rPr>
                <w:rFonts w:cs="Arial"/>
                <w:color w:val="FF0000"/>
                <w:sz w:val="21"/>
                <w:szCs w:val="21"/>
              </w:rPr>
            </w:pPr>
          </w:p>
        </w:tc>
        <w:tc>
          <w:tcPr>
            <w:tcW w:w="217" w:type="dxa"/>
          </w:tcPr>
          <w:p w14:paraId="3A584BE5" w14:textId="77777777" w:rsidR="002C0FD9" w:rsidRPr="00CA25CF" w:rsidRDefault="002C0FD9" w:rsidP="00CA25CF">
            <w:pPr>
              <w:rPr>
                <w:rFonts w:cs="Arial"/>
                <w:color w:val="FF0000"/>
                <w:sz w:val="21"/>
                <w:szCs w:val="21"/>
              </w:rPr>
            </w:pPr>
          </w:p>
        </w:tc>
        <w:tc>
          <w:tcPr>
            <w:tcW w:w="217" w:type="dxa"/>
          </w:tcPr>
          <w:p w14:paraId="68647352" w14:textId="77777777" w:rsidR="002C0FD9" w:rsidRPr="00CA25CF" w:rsidRDefault="002C0FD9" w:rsidP="00CA25CF">
            <w:pPr>
              <w:rPr>
                <w:rFonts w:cs="Arial"/>
                <w:color w:val="FF0000"/>
                <w:sz w:val="21"/>
                <w:szCs w:val="21"/>
              </w:rPr>
            </w:pPr>
          </w:p>
        </w:tc>
        <w:tc>
          <w:tcPr>
            <w:tcW w:w="217" w:type="dxa"/>
          </w:tcPr>
          <w:p w14:paraId="70A8F68A" w14:textId="77777777" w:rsidR="002C0FD9" w:rsidRPr="00CA25CF" w:rsidRDefault="002C0FD9" w:rsidP="00CA25CF">
            <w:pPr>
              <w:rPr>
                <w:rFonts w:cs="Arial"/>
                <w:color w:val="FF0000"/>
                <w:sz w:val="21"/>
                <w:szCs w:val="21"/>
              </w:rPr>
            </w:pPr>
          </w:p>
        </w:tc>
        <w:tc>
          <w:tcPr>
            <w:tcW w:w="217" w:type="dxa"/>
          </w:tcPr>
          <w:p w14:paraId="1D06FF9A" w14:textId="77777777" w:rsidR="002C0FD9" w:rsidRPr="00CA25CF" w:rsidRDefault="002C0FD9" w:rsidP="00CA25CF">
            <w:pPr>
              <w:rPr>
                <w:rFonts w:cs="Arial"/>
                <w:color w:val="FF0000"/>
                <w:sz w:val="21"/>
                <w:szCs w:val="21"/>
              </w:rPr>
            </w:pPr>
          </w:p>
        </w:tc>
        <w:tc>
          <w:tcPr>
            <w:tcW w:w="217" w:type="dxa"/>
          </w:tcPr>
          <w:p w14:paraId="308866FA" w14:textId="77777777" w:rsidR="002C0FD9" w:rsidRPr="00CA25CF" w:rsidRDefault="002C0FD9" w:rsidP="00CA25CF">
            <w:pPr>
              <w:rPr>
                <w:rFonts w:cs="Arial"/>
                <w:color w:val="FF0000"/>
                <w:sz w:val="21"/>
                <w:szCs w:val="21"/>
              </w:rPr>
            </w:pPr>
          </w:p>
        </w:tc>
        <w:tc>
          <w:tcPr>
            <w:tcW w:w="217" w:type="dxa"/>
          </w:tcPr>
          <w:p w14:paraId="7BE348DA" w14:textId="77777777" w:rsidR="002C0FD9" w:rsidRPr="00CA25CF" w:rsidRDefault="002C0FD9" w:rsidP="00CA25CF">
            <w:pPr>
              <w:rPr>
                <w:rFonts w:cs="Arial"/>
                <w:color w:val="FF0000"/>
                <w:sz w:val="21"/>
                <w:szCs w:val="21"/>
              </w:rPr>
            </w:pPr>
          </w:p>
        </w:tc>
        <w:tc>
          <w:tcPr>
            <w:tcW w:w="217" w:type="dxa"/>
          </w:tcPr>
          <w:p w14:paraId="596ED0B3" w14:textId="77777777" w:rsidR="002C0FD9" w:rsidRPr="00CA25CF" w:rsidRDefault="002C0FD9" w:rsidP="00CA25CF">
            <w:pPr>
              <w:rPr>
                <w:rFonts w:cs="Arial"/>
                <w:color w:val="FF0000"/>
                <w:sz w:val="21"/>
                <w:szCs w:val="21"/>
              </w:rPr>
            </w:pPr>
          </w:p>
        </w:tc>
        <w:tc>
          <w:tcPr>
            <w:tcW w:w="217" w:type="dxa"/>
          </w:tcPr>
          <w:p w14:paraId="0B494676" w14:textId="77777777" w:rsidR="002C0FD9" w:rsidRPr="00CA25CF" w:rsidRDefault="002C0FD9" w:rsidP="00CA25CF">
            <w:pPr>
              <w:rPr>
                <w:rFonts w:cs="Arial"/>
                <w:color w:val="FF0000"/>
                <w:sz w:val="21"/>
                <w:szCs w:val="21"/>
              </w:rPr>
            </w:pPr>
          </w:p>
        </w:tc>
        <w:tc>
          <w:tcPr>
            <w:tcW w:w="217" w:type="dxa"/>
          </w:tcPr>
          <w:p w14:paraId="1520D1C5" w14:textId="77777777" w:rsidR="002C0FD9" w:rsidRPr="00CA25CF" w:rsidRDefault="002C0FD9" w:rsidP="00CA25CF">
            <w:pPr>
              <w:rPr>
                <w:rFonts w:cs="Arial"/>
                <w:color w:val="FF0000"/>
                <w:sz w:val="21"/>
                <w:szCs w:val="21"/>
              </w:rPr>
            </w:pPr>
          </w:p>
        </w:tc>
        <w:tc>
          <w:tcPr>
            <w:tcW w:w="217" w:type="dxa"/>
          </w:tcPr>
          <w:p w14:paraId="271C2F2F" w14:textId="77777777" w:rsidR="002C0FD9" w:rsidRPr="00CA25CF" w:rsidRDefault="002C0FD9" w:rsidP="00CA25CF">
            <w:pPr>
              <w:rPr>
                <w:rFonts w:cs="Arial"/>
                <w:color w:val="FF0000"/>
                <w:sz w:val="21"/>
                <w:szCs w:val="21"/>
              </w:rPr>
            </w:pPr>
          </w:p>
        </w:tc>
        <w:tc>
          <w:tcPr>
            <w:tcW w:w="217" w:type="dxa"/>
          </w:tcPr>
          <w:p w14:paraId="7F4AF5E3" w14:textId="77777777" w:rsidR="002C0FD9" w:rsidRPr="00CA25CF" w:rsidRDefault="002C0FD9" w:rsidP="00CA25CF">
            <w:pPr>
              <w:rPr>
                <w:rFonts w:cs="Arial"/>
                <w:color w:val="FF0000"/>
                <w:sz w:val="21"/>
                <w:szCs w:val="21"/>
              </w:rPr>
            </w:pPr>
          </w:p>
        </w:tc>
        <w:tc>
          <w:tcPr>
            <w:tcW w:w="217" w:type="dxa"/>
          </w:tcPr>
          <w:p w14:paraId="79C8012B" w14:textId="77777777" w:rsidR="002C0FD9" w:rsidRPr="00CA25CF" w:rsidRDefault="002C0FD9" w:rsidP="00CA25CF">
            <w:pPr>
              <w:rPr>
                <w:rFonts w:cs="Arial"/>
                <w:color w:val="FF0000"/>
                <w:sz w:val="21"/>
                <w:szCs w:val="21"/>
              </w:rPr>
            </w:pPr>
          </w:p>
        </w:tc>
        <w:tc>
          <w:tcPr>
            <w:tcW w:w="217" w:type="dxa"/>
          </w:tcPr>
          <w:p w14:paraId="08E1CAA2" w14:textId="77777777" w:rsidR="002C0FD9" w:rsidRPr="00CA25CF" w:rsidRDefault="002C0FD9" w:rsidP="00CA25CF">
            <w:pPr>
              <w:rPr>
                <w:rFonts w:cs="Arial"/>
                <w:color w:val="FF0000"/>
                <w:sz w:val="21"/>
                <w:szCs w:val="21"/>
              </w:rPr>
            </w:pPr>
          </w:p>
        </w:tc>
        <w:tc>
          <w:tcPr>
            <w:tcW w:w="217" w:type="dxa"/>
          </w:tcPr>
          <w:p w14:paraId="59274DA4" w14:textId="77777777" w:rsidR="002C0FD9" w:rsidRPr="00CA25CF" w:rsidRDefault="002C0FD9" w:rsidP="00CA25CF">
            <w:pPr>
              <w:rPr>
                <w:rFonts w:cs="Arial"/>
                <w:color w:val="FF0000"/>
                <w:sz w:val="21"/>
                <w:szCs w:val="21"/>
              </w:rPr>
            </w:pPr>
          </w:p>
        </w:tc>
        <w:tc>
          <w:tcPr>
            <w:tcW w:w="217" w:type="dxa"/>
          </w:tcPr>
          <w:p w14:paraId="53DA6D89" w14:textId="77777777" w:rsidR="002C0FD9" w:rsidRPr="00CA25CF" w:rsidRDefault="002C0FD9" w:rsidP="00CA25CF">
            <w:pPr>
              <w:rPr>
                <w:rFonts w:cs="Arial"/>
                <w:color w:val="FF0000"/>
                <w:sz w:val="21"/>
                <w:szCs w:val="21"/>
              </w:rPr>
            </w:pPr>
          </w:p>
        </w:tc>
        <w:tc>
          <w:tcPr>
            <w:tcW w:w="217" w:type="dxa"/>
          </w:tcPr>
          <w:p w14:paraId="7DA8FC41" w14:textId="77777777" w:rsidR="002C0FD9" w:rsidRPr="00CA25CF" w:rsidRDefault="002C0FD9" w:rsidP="00CA25CF">
            <w:pPr>
              <w:rPr>
                <w:rFonts w:cs="Arial"/>
                <w:color w:val="FF0000"/>
                <w:sz w:val="21"/>
                <w:szCs w:val="21"/>
              </w:rPr>
            </w:pPr>
          </w:p>
        </w:tc>
        <w:tc>
          <w:tcPr>
            <w:tcW w:w="217" w:type="dxa"/>
          </w:tcPr>
          <w:p w14:paraId="56E2417F" w14:textId="77777777" w:rsidR="002C0FD9" w:rsidRPr="00CA25CF" w:rsidRDefault="002C0FD9" w:rsidP="00CA25CF">
            <w:pPr>
              <w:rPr>
                <w:rFonts w:cs="Arial"/>
                <w:color w:val="FF0000"/>
                <w:sz w:val="21"/>
                <w:szCs w:val="21"/>
              </w:rPr>
            </w:pPr>
          </w:p>
        </w:tc>
        <w:tc>
          <w:tcPr>
            <w:tcW w:w="217" w:type="dxa"/>
          </w:tcPr>
          <w:p w14:paraId="40F796F4" w14:textId="77777777" w:rsidR="002C0FD9" w:rsidRPr="00CA25CF" w:rsidRDefault="002C0FD9" w:rsidP="00CA25CF">
            <w:pPr>
              <w:rPr>
                <w:rFonts w:cs="Arial"/>
                <w:color w:val="FF0000"/>
                <w:sz w:val="21"/>
                <w:szCs w:val="21"/>
              </w:rPr>
            </w:pPr>
          </w:p>
        </w:tc>
        <w:tc>
          <w:tcPr>
            <w:tcW w:w="217" w:type="dxa"/>
          </w:tcPr>
          <w:p w14:paraId="7566E51B" w14:textId="77777777" w:rsidR="002C0FD9" w:rsidRPr="00CA25CF" w:rsidRDefault="002C0FD9" w:rsidP="00CA25CF">
            <w:pPr>
              <w:rPr>
                <w:rFonts w:cs="Arial"/>
                <w:color w:val="FF0000"/>
                <w:sz w:val="21"/>
                <w:szCs w:val="21"/>
              </w:rPr>
            </w:pPr>
          </w:p>
        </w:tc>
        <w:tc>
          <w:tcPr>
            <w:tcW w:w="217" w:type="dxa"/>
          </w:tcPr>
          <w:p w14:paraId="07702E2E" w14:textId="77777777" w:rsidR="002C0FD9" w:rsidRPr="00CA25CF" w:rsidRDefault="002C0FD9" w:rsidP="00CA25CF">
            <w:pPr>
              <w:rPr>
                <w:rFonts w:cs="Arial"/>
                <w:color w:val="FF0000"/>
                <w:sz w:val="21"/>
                <w:szCs w:val="21"/>
              </w:rPr>
            </w:pPr>
          </w:p>
        </w:tc>
        <w:tc>
          <w:tcPr>
            <w:tcW w:w="217" w:type="dxa"/>
          </w:tcPr>
          <w:p w14:paraId="75A84771" w14:textId="77777777" w:rsidR="002C0FD9" w:rsidRPr="00CA25CF" w:rsidRDefault="002C0FD9" w:rsidP="00CA25CF">
            <w:pPr>
              <w:rPr>
                <w:rFonts w:cs="Arial"/>
                <w:color w:val="FF0000"/>
                <w:sz w:val="21"/>
                <w:szCs w:val="21"/>
              </w:rPr>
            </w:pPr>
          </w:p>
        </w:tc>
        <w:tc>
          <w:tcPr>
            <w:tcW w:w="217" w:type="dxa"/>
          </w:tcPr>
          <w:p w14:paraId="53C9A4BF" w14:textId="77777777" w:rsidR="002C0FD9" w:rsidRPr="00CA25CF" w:rsidRDefault="002C0FD9" w:rsidP="00CA25CF">
            <w:pPr>
              <w:rPr>
                <w:rFonts w:cs="Arial"/>
                <w:color w:val="FF0000"/>
                <w:sz w:val="21"/>
                <w:szCs w:val="21"/>
              </w:rPr>
            </w:pPr>
          </w:p>
        </w:tc>
        <w:tc>
          <w:tcPr>
            <w:tcW w:w="217" w:type="dxa"/>
          </w:tcPr>
          <w:p w14:paraId="79C22666" w14:textId="77777777" w:rsidR="002C0FD9" w:rsidRPr="00CA25CF" w:rsidRDefault="002C0FD9" w:rsidP="00CA25CF">
            <w:pPr>
              <w:rPr>
                <w:rFonts w:cs="Arial"/>
                <w:color w:val="FF0000"/>
                <w:sz w:val="21"/>
                <w:szCs w:val="21"/>
              </w:rPr>
            </w:pPr>
          </w:p>
        </w:tc>
        <w:tc>
          <w:tcPr>
            <w:tcW w:w="217" w:type="dxa"/>
          </w:tcPr>
          <w:p w14:paraId="2848104A" w14:textId="77777777" w:rsidR="002C0FD9" w:rsidRPr="00CA25CF" w:rsidRDefault="002C0FD9" w:rsidP="00CA25CF">
            <w:pPr>
              <w:rPr>
                <w:rFonts w:cs="Arial"/>
                <w:color w:val="FF0000"/>
                <w:sz w:val="21"/>
                <w:szCs w:val="21"/>
              </w:rPr>
            </w:pPr>
          </w:p>
        </w:tc>
        <w:tc>
          <w:tcPr>
            <w:tcW w:w="217" w:type="dxa"/>
          </w:tcPr>
          <w:p w14:paraId="6FA5BCAC" w14:textId="77777777" w:rsidR="002C0FD9" w:rsidRPr="00CA25CF" w:rsidRDefault="002C0FD9" w:rsidP="00CA25CF">
            <w:pPr>
              <w:rPr>
                <w:rFonts w:cs="Arial"/>
                <w:color w:val="FF0000"/>
                <w:sz w:val="21"/>
                <w:szCs w:val="21"/>
              </w:rPr>
            </w:pPr>
          </w:p>
        </w:tc>
        <w:tc>
          <w:tcPr>
            <w:tcW w:w="217" w:type="dxa"/>
          </w:tcPr>
          <w:p w14:paraId="444411DD" w14:textId="77777777" w:rsidR="002C0FD9" w:rsidRPr="00CA25CF" w:rsidRDefault="002C0FD9" w:rsidP="00CA25CF">
            <w:pPr>
              <w:rPr>
                <w:rFonts w:cs="Arial"/>
                <w:color w:val="FF0000"/>
                <w:sz w:val="21"/>
                <w:szCs w:val="21"/>
              </w:rPr>
            </w:pPr>
          </w:p>
        </w:tc>
        <w:tc>
          <w:tcPr>
            <w:tcW w:w="217" w:type="dxa"/>
          </w:tcPr>
          <w:p w14:paraId="026E1D09" w14:textId="77777777" w:rsidR="002C0FD9" w:rsidRPr="00CA25CF" w:rsidRDefault="002C0FD9" w:rsidP="00CA25CF">
            <w:pPr>
              <w:rPr>
                <w:rFonts w:cs="Arial"/>
                <w:color w:val="FF0000"/>
                <w:sz w:val="21"/>
                <w:szCs w:val="21"/>
              </w:rPr>
            </w:pPr>
          </w:p>
        </w:tc>
      </w:tr>
      <w:tr w:rsidR="002C0FD9" w:rsidRPr="00A16219" w14:paraId="25F658C7" w14:textId="77777777" w:rsidTr="002C0FD9">
        <w:trPr>
          <w:trHeight w:val="635"/>
        </w:trPr>
        <w:tc>
          <w:tcPr>
            <w:tcW w:w="515" w:type="dxa"/>
          </w:tcPr>
          <w:p w14:paraId="5CE3A6CF" w14:textId="77777777" w:rsidR="002C0FD9" w:rsidRPr="00CA25CF" w:rsidRDefault="002C0FD9" w:rsidP="00CA25CF">
            <w:pPr>
              <w:rPr>
                <w:rFonts w:cs="Arial"/>
                <w:color w:val="FF0000"/>
                <w:sz w:val="21"/>
                <w:szCs w:val="21"/>
              </w:rPr>
            </w:pPr>
          </w:p>
        </w:tc>
        <w:tc>
          <w:tcPr>
            <w:tcW w:w="217" w:type="dxa"/>
          </w:tcPr>
          <w:p w14:paraId="24833655" w14:textId="77777777" w:rsidR="002C0FD9" w:rsidRPr="00CA25CF" w:rsidRDefault="002C0FD9" w:rsidP="00CA25CF">
            <w:pPr>
              <w:rPr>
                <w:rFonts w:cs="Arial"/>
                <w:color w:val="FF0000"/>
                <w:sz w:val="21"/>
                <w:szCs w:val="21"/>
              </w:rPr>
            </w:pPr>
          </w:p>
        </w:tc>
        <w:tc>
          <w:tcPr>
            <w:tcW w:w="217" w:type="dxa"/>
          </w:tcPr>
          <w:p w14:paraId="58C81A44" w14:textId="77777777" w:rsidR="002C0FD9" w:rsidRPr="00CA25CF" w:rsidRDefault="002C0FD9" w:rsidP="00CA25CF">
            <w:pPr>
              <w:rPr>
                <w:rFonts w:cs="Arial"/>
                <w:color w:val="FF0000"/>
                <w:sz w:val="21"/>
                <w:szCs w:val="21"/>
              </w:rPr>
            </w:pPr>
          </w:p>
        </w:tc>
        <w:tc>
          <w:tcPr>
            <w:tcW w:w="217" w:type="dxa"/>
          </w:tcPr>
          <w:p w14:paraId="0FA4962C" w14:textId="77777777" w:rsidR="002C0FD9" w:rsidRPr="00CA25CF" w:rsidRDefault="002C0FD9" w:rsidP="00CA25CF">
            <w:pPr>
              <w:rPr>
                <w:rFonts w:cs="Arial"/>
                <w:color w:val="FF0000"/>
                <w:sz w:val="21"/>
                <w:szCs w:val="21"/>
              </w:rPr>
            </w:pPr>
          </w:p>
        </w:tc>
        <w:tc>
          <w:tcPr>
            <w:tcW w:w="217" w:type="dxa"/>
          </w:tcPr>
          <w:p w14:paraId="3821C5F0" w14:textId="77777777" w:rsidR="002C0FD9" w:rsidRPr="00CA25CF" w:rsidRDefault="002C0FD9" w:rsidP="00CA25CF">
            <w:pPr>
              <w:rPr>
                <w:rFonts w:cs="Arial"/>
                <w:color w:val="FF0000"/>
                <w:sz w:val="21"/>
                <w:szCs w:val="21"/>
              </w:rPr>
            </w:pPr>
          </w:p>
        </w:tc>
        <w:tc>
          <w:tcPr>
            <w:tcW w:w="217" w:type="dxa"/>
          </w:tcPr>
          <w:p w14:paraId="02B36B9F" w14:textId="77777777" w:rsidR="002C0FD9" w:rsidRPr="00CA25CF" w:rsidRDefault="002C0FD9" w:rsidP="00CA25CF">
            <w:pPr>
              <w:rPr>
                <w:rFonts w:cs="Arial"/>
                <w:color w:val="FF0000"/>
                <w:sz w:val="21"/>
                <w:szCs w:val="21"/>
              </w:rPr>
            </w:pPr>
          </w:p>
        </w:tc>
        <w:tc>
          <w:tcPr>
            <w:tcW w:w="217" w:type="dxa"/>
          </w:tcPr>
          <w:p w14:paraId="383467A9" w14:textId="77777777" w:rsidR="002C0FD9" w:rsidRPr="00CA25CF" w:rsidRDefault="002C0FD9" w:rsidP="00CA25CF">
            <w:pPr>
              <w:rPr>
                <w:rFonts w:cs="Arial"/>
                <w:color w:val="FF0000"/>
                <w:sz w:val="21"/>
                <w:szCs w:val="21"/>
              </w:rPr>
            </w:pPr>
          </w:p>
        </w:tc>
        <w:tc>
          <w:tcPr>
            <w:tcW w:w="217" w:type="dxa"/>
          </w:tcPr>
          <w:p w14:paraId="4D79A160" w14:textId="77777777" w:rsidR="002C0FD9" w:rsidRPr="00CA25CF" w:rsidRDefault="002C0FD9" w:rsidP="00CA25CF">
            <w:pPr>
              <w:rPr>
                <w:rFonts w:cs="Arial"/>
                <w:color w:val="FF0000"/>
                <w:sz w:val="21"/>
                <w:szCs w:val="21"/>
              </w:rPr>
            </w:pPr>
          </w:p>
        </w:tc>
        <w:tc>
          <w:tcPr>
            <w:tcW w:w="217" w:type="dxa"/>
          </w:tcPr>
          <w:p w14:paraId="4E30CEB2" w14:textId="77777777" w:rsidR="002C0FD9" w:rsidRPr="00CA25CF" w:rsidRDefault="002C0FD9" w:rsidP="00CA25CF">
            <w:pPr>
              <w:rPr>
                <w:rFonts w:cs="Arial"/>
                <w:color w:val="FF0000"/>
                <w:sz w:val="21"/>
                <w:szCs w:val="21"/>
              </w:rPr>
            </w:pPr>
          </w:p>
        </w:tc>
        <w:tc>
          <w:tcPr>
            <w:tcW w:w="217" w:type="dxa"/>
          </w:tcPr>
          <w:p w14:paraId="41764EF1" w14:textId="77777777" w:rsidR="002C0FD9" w:rsidRPr="00CA25CF" w:rsidRDefault="002C0FD9" w:rsidP="00CA25CF">
            <w:pPr>
              <w:rPr>
                <w:rFonts w:cs="Arial"/>
                <w:color w:val="FF0000"/>
                <w:sz w:val="21"/>
                <w:szCs w:val="21"/>
              </w:rPr>
            </w:pPr>
          </w:p>
        </w:tc>
        <w:tc>
          <w:tcPr>
            <w:tcW w:w="217" w:type="dxa"/>
          </w:tcPr>
          <w:p w14:paraId="72BF49F1" w14:textId="77777777" w:rsidR="002C0FD9" w:rsidRPr="00CA25CF" w:rsidRDefault="002C0FD9" w:rsidP="00CA25CF">
            <w:pPr>
              <w:rPr>
                <w:rFonts w:cs="Arial"/>
                <w:color w:val="FF0000"/>
                <w:sz w:val="21"/>
                <w:szCs w:val="21"/>
              </w:rPr>
            </w:pPr>
          </w:p>
        </w:tc>
        <w:tc>
          <w:tcPr>
            <w:tcW w:w="217" w:type="dxa"/>
          </w:tcPr>
          <w:p w14:paraId="2F848CF3" w14:textId="77777777" w:rsidR="002C0FD9" w:rsidRPr="00CA25CF" w:rsidRDefault="002C0FD9" w:rsidP="00CA25CF">
            <w:pPr>
              <w:rPr>
                <w:rFonts w:cs="Arial"/>
                <w:color w:val="FF0000"/>
                <w:sz w:val="21"/>
                <w:szCs w:val="21"/>
              </w:rPr>
            </w:pPr>
          </w:p>
        </w:tc>
        <w:tc>
          <w:tcPr>
            <w:tcW w:w="217" w:type="dxa"/>
          </w:tcPr>
          <w:p w14:paraId="0B201D6C" w14:textId="77777777" w:rsidR="002C0FD9" w:rsidRPr="00CA25CF" w:rsidRDefault="002C0FD9" w:rsidP="00CA25CF">
            <w:pPr>
              <w:rPr>
                <w:rFonts w:cs="Arial"/>
                <w:color w:val="FF0000"/>
                <w:sz w:val="21"/>
                <w:szCs w:val="21"/>
              </w:rPr>
            </w:pPr>
          </w:p>
        </w:tc>
        <w:tc>
          <w:tcPr>
            <w:tcW w:w="217" w:type="dxa"/>
          </w:tcPr>
          <w:p w14:paraId="6A157539" w14:textId="77777777" w:rsidR="002C0FD9" w:rsidRPr="00CA25CF" w:rsidRDefault="002C0FD9" w:rsidP="00CA25CF">
            <w:pPr>
              <w:rPr>
                <w:rFonts w:cs="Arial"/>
                <w:color w:val="FF0000"/>
                <w:sz w:val="21"/>
                <w:szCs w:val="21"/>
              </w:rPr>
            </w:pPr>
          </w:p>
        </w:tc>
        <w:tc>
          <w:tcPr>
            <w:tcW w:w="217" w:type="dxa"/>
          </w:tcPr>
          <w:p w14:paraId="543F065D" w14:textId="77777777" w:rsidR="002C0FD9" w:rsidRPr="00CA25CF" w:rsidRDefault="002C0FD9" w:rsidP="00CA25CF">
            <w:pPr>
              <w:rPr>
                <w:rFonts w:cs="Arial"/>
                <w:color w:val="FF0000"/>
                <w:sz w:val="21"/>
                <w:szCs w:val="21"/>
              </w:rPr>
            </w:pPr>
          </w:p>
        </w:tc>
        <w:tc>
          <w:tcPr>
            <w:tcW w:w="217" w:type="dxa"/>
          </w:tcPr>
          <w:p w14:paraId="10E404E4" w14:textId="77777777" w:rsidR="002C0FD9" w:rsidRPr="00CA25CF" w:rsidRDefault="002C0FD9" w:rsidP="00CA25CF">
            <w:pPr>
              <w:rPr>
                <w:rFonts w:cs="Arial"/>
                <w:color w:val="FF0000"/>
                <w:sz w:val="21"/>
                <w:szCs w:val="21"/>
              </w:rPr>
            </w:pPr>
          </w:p>
        </w:tc>
        <w:tc>
          <w:tcPr>
            <w:tcW w:w="217" w:type="dxa"/>
          </w:tcPr>
          <w:p w14:paraId="169C4FE9" w14:textId="77777777" w:rsidR="002C0FD9" w:rsidRPr="00CA25CF" w:rsidRDefault="002C0FD9" w:rsidP="00CA25CF">
            <w:pPr>
              <w:rPr>
                <w:rFonts w:cs="Arial"/>
                <w:color w:val="FF0000"/>
                <w:sz w:val="21"/>
                <w:szCs w:val="21"/>
              </w:rPr>
            </w:pPr>
          </w:p>
        </w:tc>
        <w:tc>
          <w:tcPr>
            <w:tcW w:w="217" w:type="dxa"/>
          </w:tcPr>
          <w:p w14:paraId="05B25026" w14:textId="77777777" w:rsidR="002C0FD9" w:rsidRPr="00CA25CF" w:rsidRDefault="002C0FD9" w:rsidP="00CA25CF">
            <w:pPr>
              <w:rPr>
                <w:rFonts w:cs="Arial"/>
                <w:color w:val="FF0000"/>
                <w:sz w:val="21"/>
                <w:szCs w:val="21"/>
              </w:rPr>
            </w:pPr>
          </w:p>
        </w:tc>
        <w:tc>
          <w:tcPr>
            <w:tcW w:w="217" w:type="dxa"/>
          </w:tcPr>
          <w:p w14:paraId="24B9859E" w14:textId="77777777" w:rsidR="002C0FD9" w:rsidRPr="00CA25CF" w:rsidRDefault="002C0FD9" w:rsidP="00CA25CF">
            <w:pPr>
              <w:rPr>
                <w:rFonts w:cs="Arial"/>
                <w:color w:val="FF0000"/>
                <w:sz w:val="21"/>
                <w:szCs w:val="21"/>
              </w:rPr>
            </w:pPr>
          </w:p>
        </w:tc>
        <w:tc>
          <w:tcPr>
            <w:tcW w:w="217" w:type="dxa"/>
          </w:tcPr>
          <w:p w14:paraId="7C47C0A2" w14:textId="77777777" w:rsidR="002C0FD9" w:rsidRPr="00CA25CF" w:rsidRDefault="002C0FD9" w:rsidP="00CA25CF">
            <w:pPr>
              <w:rPr>
                <w:rFonts w:cs="Arial"/>
                <w:color w:val="FF0000"/>
                <w:sz w:val="21"/>
                <w:szCs w:val="21"/>
              </w:rPr>
            </w:pPr>
          </w:p>
        </w:tc>
        <w:tc>
          <w:tcPr>
            <w:tcW w:w="217" w:type="dxa"/>
          </w:tcPr>
          <w:p w14:paraId="67B5F691" w14:textId="77777777" w:rsidR="002C0FD9" w:rsidRPr="00CA25CF" w:rsidRDefault="002C0FD9" w:rsidP="00CA25CF">
            <w:pPr>
              <w:rPr>
                <w:rFonts w:cs="Arial"/>
                <w:color w:val="FF0000"/>
                <w:sz w:val="21"/>
                <w:szCs w:val="21"/>
              </w:rPr>
            </w:pPr>
          </w:p>
        </w:tc>
        <w:tc>
          <w:tcPr>
            <w:tcW w:w="217" w:type="dxa"/>
          </w:tcPr>
          <w:p w14:paraId="4AC11249" w14:textId="77777777" w:rsidR="002C0FD9" w:rsidRPr="00CA25CF" w:rsidRDefault="002C0FD9" w:rsidP="00CA25CF">
            <w:pPr>
              <w:rPr>
                <w:rFonts w:cs="Arial"/>
                <w:color w:val="FF0000"/>
                <w:sz w:val="21"/>
                <w:szCs w:val="21"/>
              </w:rPr>
            </w:pPr>
          </w:p>
        </w:tc>
        <w:tc>
          <w:tcPr>
            <w:tcW w:w="217" w:type="dxa"/>
          </w:tcPr>
          <w:p w14:paraId="6BE74CCA" w14:textId="77777777" w:rsidR="002C0FD9" w:rsidRPr="00CA25CF" w:rsidRDefault="002C0FD9" w:rsidP="00CA25CF">
            <w:pPr>
              <w:rPr>
                <w:rFonts w:cs="Arial"/>
                <w:color w:val="FF0000"/>
                <w:sz w:val="21"/>
                <w:szCs w:val="21"/>
              </w:rPr>
            </w:pPr>
          </w:p>
        </w:tc>
        <w:tc>
          <w:tcPr>
            <w:tcW w:w="217" w:type="dxa"/>
          </w:tcPr>
          <w:p w14:paraId="2379CC28" w14:textId="77777777" w:rsidR="002C0FD9" w:rsidRPr="00CA25CF" w:rsidRDefault="002C0FD9" w:rsidP="00CA25CF">
            <w:pPr>
              <w:rPr>
                <w:rFonts w:cs="Arial"/>
                <w:color w:val="FF0000"/>
                <w:sz w:val="21"/>
                <w:szCs w:val="21"/>
              </w:rPr>
            </w:pPr>
          </w:p>
        </w:tc>
        <w:tc>
          <w:tcPr>
            <w:tcW w:w="217" w:type="dxa"/>
          </w:tcPr>
          <w:p w14:paraId="1299EE3B" w14:textId="77777777" w:rsidR="002C0FD9" w:rsidRPr="00CA25CF" w:rsidRDefault="002C0FD9" w:rsidP="00CA25CF">
            <w:pPr>
              <w:rPr>
                <w:rFonts w:cs="Arial"/>
                <w:color w:val="FF0000"/>
                <w:sz w:val="21"/>
                <w:szCs w:val="21"/>
              </w:rPr>
            </w:pPr>
          </w:p>
        </w:tc>
        <w:tc>
          <w:tcPr>
            <w:tcW w:w="217" w:type="dxa"/>
          </w:tcPr>
          <w:p w14:paraId="3654FCCA" w14:textId="77777777" w:rsidR="002C0FD9" w:rsidRPr="00CA25CF" w:rsidRDefault="002C0FD9" w:rsidP="00CA25CF">
            <w:pPr>
              <w:rPr>
                <w:rFonts w:cs="Arial"/>
                <w:color w:val="FF0000"/>
                <w:sz w:val="21"/>
                <w:szCs w:val="21"/>
              </w:rPr>
            </w:pPr>
          </w:p>
        </w:tc>
        <w:tc>
          <w:tcPr>
            <w:tcW w:w="217" w:type="dxa"/>
          </w:tcPr>
          <w:p w14:paraId="7572A36D" w14:textId="77777777" w:rsidR="002C0FD9" w:rsidRPr="00CA25CF" w:rsidRDefault="002C0FD9" w:rsidP="00CA25CF">
            <w:pPr>
              <w:rPr>
                <w:rFonts w:cs="Arial"/>
                <w:color w:val="FF0000"/>
                <w:sz w:val="21"/>
                <w:szCs w:val="21"/>
              </w:rPr>
            </w:pPr>
          </w:p>
        </w:tc>
        <w:tc>
          <w:tcPr>
            <w:tcW w:w="217" w:type="dxa"/>
          </w:tcPr>
          <w:p w14:paraId="49F488D4" w14:textId="77777777" w:rsidR="002C0FD9" w:rsidRPr="00CA25CF" w:rsidRDefault="002C0FD9" w:rsidP="00CA25CF">
            <w:pPr>
              <w:rPr>
                <w:rFonts w:cs="Arial"/>
                <w:color w:val="FF0000"/>
                <w:sz w:val="21"/>
                <w:szCs w:val="21"/>
              </w:rPr>
            </w:pPr>
          </w:p>
        </w:tc>
        <w:tc>
          <w:tcPr>
            <w:tcW w:w="217" w:type="dxa"/>
          </w:tcPr>
          <w:p w14:paraId="45320D00" w14:textId="77777777" w:rsidR="002C0FD9" w:rsidRPr="00CA25CF" w:rsidRDefault="002C0FD9" w:rsidP="00CA25CF">
            <w:pPr>
              <w:rPr>
                <w:rFonts w:cs="Arial"/>
                <w:color w:val="FF0000"/>
                <w:sz w:val="21"/>
                <w:szCs w:val="21"/>
              </w:rPr>
            </w:pPr>
          </w:p>
        </w:tc>
        <w:tc>
          <w:tcPr>
            <w:tcW w:w="217" w:type="dxa"/>
          </w:tcPr>
          <w:p w14:paraId="2C2986A1" w14:textId="77777777" w:rsidR="002C0FD9" w:rsidRPr="00CA25CF" w:rsidRDefault="002C0FD9" w:rsidP="00CA25CF">
            <w:pPr>
              <w:rPr>
                <w:rFonts w:cs="Arial"/>
                <w:color w:val="FF0000"/>
                <w:sz w:val="21"/>
                <w:szCs w:val="21"/>
              </w:rPr>
            </w:pPr>
          </w:p>
        </w:tc>
        <w:tc>
          <w:tcPr>
            <w:tcW w:w="217" w:type="dxa"/>
          </w:tcPr>
          <w:p w14:paraId="501E88DB" w14:textId="77777777" w:rsidR="002C0FD9" w:rsidRPr="00CA25CF" w:rsidRDefault="002C0FD9" w:rsidP="00CA25CF">
            <w:pPr>
              <w:rPr>
                <w:rFonts w:cs="Arial"/>
                <w:color w:val="FF0000"/>
                <w:sz w:val="21"/>
                <w:szCs w:val="21"/>
              </w:rPr>
            </w:pPr>
          </w:p>
        </w:tc>
        <w:tc>
          <w:tcPr>
            <w:tcW w:w="217" w:type="dxa"/>
          </w:tcPr>
          <w:p w14:paraId="3E752681" w14:textId="77777777" w:rsidR="002C0FD9" w:rsidRPr="00CA25CF" w:rsidRDefault="002C0FD9" w:rsidP="00CA25CF">
            <w:pPr>
              <w:rPr>
                <w:rFonts w:cs="Arial"/>
                <w:color w:val="FF0000"/>
                <w:sz w:val="21"/>
                <w:szCs w:val="21"/>
              </w:rPr>
            </w:pPr>
          </w:p>
        </w:tc>
        <w:tc>
          <w:tcPr>
            <w:tcW w:w="217" w:type="dxa"/>
          </w:tcPr>
          <w:p w14:paraId="2F5300C0" w14:textId="77777777" w:rsidR="002C0FD9" w:rsidRPr="00CA25CF" w:rsidRDefault="002C0FD9" w:rsidP="00CA25CF">
            <w:pPr>
              <w:rPr>
                <w:rFonts w:cs="Arial"/>
                <w:color w:val="FF0000"/>
                <w:sz w:val="21"/>
                <w:szCs w:val="21"/>
              </w:rPr>
            </w:pPr>
          </w:p>
        </w:tc>
        <w:tc>
          <w:tcPr>
            <w:tcW w:w="217" w:type="dxa"/>
          </w:tcPr>
          <w:p w14:paraId="1E509015" w14:textId="77777777" w:rsidR="002C0FD9" w:rsidRPr="00CA25CF" w:rsidRDefault="002C0FD9" w:rsidP="00CA25CF">
            <w:pPr>
              <w:rPr>
                <w:rFonts w:cs="Arial"/>
                <w:color w:val="FF0000"/>
                <w:sz w:val="21"/>
                <w:szCs w:val="21"/>
              </w:rPr>
            </w:pPr>
          </w:p>
        </w:tc>
        <w:tc>
          <w:tcPr>
            <w:tcW w:w="217" w:type="dxa"/>
          </w:tcPr>
          <w:p w14:paraId="13B4304D" w14:textId="77777777" w:rsidR="002C0FD9" w:rsidRPr="00CA25CF" w:rsidRDefault="002C0FD9" w:rsidP="00CA25CF">
            <w:pPr>
              <w:rPr>
                <w:rFonts w:cs="Arial"/>
                <w:color w:val="FF0000"/>
                <w:sz w:val="21"/>
                <w:szCs w:val="21"/>
              </w:rPr>
            </w:pPr>
          </w:p>
        </w:tc>
        <w:tc>
          <w:tcPr>
            <w:tcW w:w="217" w:type="dxa"/>
          </w:tcPr>
          <w:p w14:paraId="02ADB612" w14:textId="77777777" w:rsidR="002C0FD9" w:rsidRPr="00CA25CF" w:rsidRDefault="002C0FD9" w:rsidP="00CA25CF">
            <w:pPr>
              <w:rPr>
                <w:rFonts w:cs="Arial"/>
                <w:color w:val="FF0000"/>
                <w:sz w:val="21"/>
                <w:szCs w:val="21"/>
              </w:rPr>
            </w:pPr>
          </w:p>
        </w:tc>
        <w:tc>
          <w:tcPr>
            <w:tcW w:w="217" w:type="dxa"/>
          </w:tcPr>
          <w:p w14:paraId="5D2E7793" w14:textId="77777777" w:rsidR="002C0FD9" w:rsidRPr="00CA25CF" w:rsidRDefault="002C0FD9" w:rsidP="00CA25CF">
            <w:pPr>
              <w:rPr>
                <w:rFonts w:cs="Arial"/>
                <w:color w:val="FF0000"/>
                <w:sz w:val="21"/>
                <w:szCs w:val="21"/>
              </w:rPr>
            </w:pPr>
          </w:p>
        </w:tc>
        <w:tc>
          <w:tcPr>
            <w:tcW w:w="217" w:type="dxa"/>
          </w:tcPr>
          <w:p w14:paraId="5AAE3498" w14:textId="77777777" w:rsidR="002C0FD9" w:rsidRPr="00CA25CF" w:rsidRDefault="002C0FD9" w:rsidP="00CA25CF">
            <w:pPr>
              <w:rPr>
                <w:rFonts w:cs="Arial"/>
                <w:color w:val="FF0000"/>
                <w:sz w:val="21"/>
                <w:szCs w:val="21"/>
              </w:rPr>
            </w:pPr>
          </w:p>
        </w:tc>
        <w:tc>
          <w:tcPr>
            <w:tcW w:w="217" w:type="dxa"/>
          </w:tcPr>
          <w:p w14:paraId="6824952A" w14:textId="77777777" w:rsidR="002C0FD9" w:rsidRPr="00CA25CF" w:rsidRDefault="002C0FD9" w:rsidP="00CA25CF">
            <w:pPr>
              <w:rPr>
                <w:rFonts w:cs="Arial"/>
                <w:color w:val="FF0000"/>
                <w:sz w:val="21"/>
                <w:szCs w:val="21"/>
              </w:rPr>
            </w:pPr>
          </w:p>
        </w:tc>
        <w:tc>
          <w:tcPr>
            <w:tcW w:w="217" w:type="dxa"/>
          </w:tcPr>
          <w:p w14:paraId="5E7B6651" w14:textId="77777777" w:rsidR="002C0FD9" w:rsidRPr="00CA25CF" w:rsidRDefault="002C0FD9" w:rsidP="00CA25CF">
            <w:pPr>
              <w:rPr>
                <w:rFonts w:cs="Arial"/>
                <w:color w:val="FF0000"/>
                <w:sz w:val="21"/>
                <w:szCs w:val="21"/>
              </w:rPr>
            </w:pPr>
          </w:p>
        </w:tc>
        <w:tc>
          <w:tcPr>
            <w:tcW w:w="217" w:type="dxa"/>
          </w:tcPr>
          <w:p w14:paraId="3F110725" w14:textId="77777777" w:rsidR="002C0FD9" w:rsidRPr="00CA25CF" w:rsidRDefault="002C0FD9" w:rsidP="00CA25CF">
            <w:pPr>
              <w:rPr>
                <w:rFonts w:cs="Arial"/>
                <w:color w:val="FF0000"/>
                <w:sz w:val="21"/>
                <w:szCs w:val="21"/>
              </w:rPr>
            </w:pPr>
          </w:p>
        </w:tc>
        <w:tc>
          <w:tcPr>
            <w:tcW w:w="217" w:type="dxa"/>
          </w:tcPr>
          <w:p w14:paraId="0B4BE87E" w14:textId="77777777" w:rsidR="002C0FD9" w:rsidRPr="00CA25CF" w:rsidRDefault="002C0FD9" w:rsidP="00CA25CF">
            <w:pPr>
              <w:rPr>
                <w:rFonts w:cs="Arial"/>
                <w:color w:val="FF0000"/>
                <w:sz w:val="21"/>
                <w:szCs w:val="21"/>
              </w:rPr>
            </w:pPr>
          </w:p>
        </w:tc>
        <w:tc>
          <w:tcPr>
            <w:tcW w:w="217" w:type="dxa"/>
          </w:tcPr>
          <w:p w14:paraId="7A22D946" w14:textId="77777777" w:rsidR="002C0FD9" w:rsidRPr="00CA25CF" w:rsidRDefault="002C0FD9" w:rsidP="00CA25CF">
            <w:pPr>
              <w:rPr>
                <w:rFonts w:cs="Arial"/>
                <w:color w:val="FF0000"/>
                <w:sz w:val="21"/>
                <w:szCs w:val="21"/>
              </w:rPr>
            </w:pPr>
          </w:p>
        </w:tc>
      </w:tr>
      <w:tr w:rsidR="002C0FD9" w:rsidRPr="00A16219" w14:paraId="10CF1603" w14:textId="77777777" w:rsidTr="002C0FD9">
        <w:trPr>
          <w:trHeight w:val="635"/>
        </w:trPr>
        <w:tc>
          <w:tcPr>
            <w:tcW w:w="515" w:type="dxa"/>
          </w:tcPr>
          <w:p w14:paraId="76B897FE" w14:textId="77777777" w:rsidR="002C0FD9" w:rsidRPr="00CA25CF" w:rsidRDefault="002C0FD9" w:rsidP="00CA25CF">
            <w:pPr>
              <w:rPr>
                <w:rFonts w:cs="Arial"/>
                <w:color w:val="FF0000"/>
                <w:sz w:val="21"/>
                <w:szCs w:val="21"/>
              </w:rPr>
            </w:pPr>
          </w:p>
        </w:tc>
        <w:tc>
          <w:tcPr>
            <w:tcW w:w="217" w:type="dxa"/>
          </w:tcPr>
          <w:p w14:paraId="22ABD2FA" w14:textId="77777777" w:rsidR="002C0FD9" w:rsidRPr="00CA25CF" w:rsidRDefault="002C0FD9" w:rsidP="00CA25CF">
            <w:pPr>
              <w:rPr>
                <w:rFonts w:cs="Arial"/>
                <w:color w:val="FF0000"/>
                <w:sz w:val="21"/>
                <w:szCs w:val="21"/>
              </w:rPr>
            </w:pPr>
          </w:p>
        </w:tc>
        <w:tc>
          <w:tcPr>
            <w:tcW w:w="217" w:type="dxa"/>
          </w:tcPr>
          <w:p w14:paraId="34C98348" w14:textId="77777777" w:rsidR="002C0FD9" w:rsidRPr="00CA25CF" w:rsidRDefault="002C0FD9" w:rsidP="00CA25CF">
            <w:pPr>
              <w:rPr>
                <w:rFonts w:cs="Arial"/>
                <w:color w:val="FF0000"/>
                <w:sz w:val="21"/>
                <w:szCs w:val="21"/>
              </w:rPr>
            </w:pPr>
          </w:p>
        </w:tc>
        <w:tc>
          <w:tcPr>
            <w:tcW w:w="217" w:type="dxa"/>
          </w:tcPr>
          <w:p w14:paraId="31BE3F6B" w14:textId="77777777" w:rsidR="002C0FD9" w:rsidRPr="00CA25CF" w:rsidRDefault="002C0FD9" w:rsidP="00CA25CF">
            <w:pPr>
              <w:rPr>
                <w:rFonts w:cs="Arial"/>
                <w:color w:val="FF0000"/>
                <w:sz w:val="21"/>
                <w:szCs w:val="21"/>
              </w:rPr>
            </w:pPr>
          </w:p>
        </w:tc>
        <w:tc>
          <w:tcPr>
            <w:tcW w:w="217" w:type="dxa"/>
          </w:tcPr>
          <w:p w14:paraId="6A93B2AD" w14:textId="77777777" w:rsidR="002C0FD9" w:rsidRPr="00CA25CF" w:rsidRDefault="002C0FD9" w:rsidP="00CA25CF">
            <w:pPr>
              <w:rPr>
                <w:rFonts w:cs="Arial"/>
                <w:color w:val="FF0000"/>
                <w:sz w:val="21"/>
                <w:szCs w:val="21"/>
              </w:rPr>
            </w:pPr>
          </w:p>
        </w:tc>
        <w:tc>
          <w:tcPr>
            <w:tcW w:w="217" w:type="dxa"/>
          </w:tcPr>
          <w:p w14:paraId="3F3A89A3" w14:textId="77777777" w:rsidR="002C0FD9" w:rsidRPr="00CA25CF" w:rsidRDefault="002C0FD9" w:rsidP="00CA25CF">
            <w:pPr>
              <w:rPr>
                <w:rFonts w:cs="Arial"/>
                <w:color w:val="FF0000"/>
                <w:sz w:val="21"/>
                <w:szCs w:val="21"/>
              </w:rPr>
            </w:pPr>
          </w:p>
        </w:tc>
        <w:tc>
          <w:tcPr>
            <w:tcW w:w="217" w:type="dxa"/>
          </w:tcPr>
          <w:p w14:paraId="43BF168B" w14:textId="77777777" w:rsidR="002C0FD9" w:rsidRPr="00CA25CF" w:rsidRDefault="002C0FD9" w:rsidP="00CA25CF">
            <w:pPr>
              <w:rPr>
                <w:rFonts w:cs="Arial"/>
                <w:color w:val="FF0000"/>
                <w:sz w:val="21"/>
                <w:szCs w:val="21"/>
              </w:rPr>
            </w:pPr>
          </w:p>
        </w:tc>
        <w:tc>
          <w:tcPr>
            <w:tcW w:w="217" w:type="dxa"/>
          </w:tcPr>
          <w:p w14:paraId="14D0B4A8" w14:textId="77777777" w:rsidR="002C0FD9" w:rsidRPr="00CA25CF" w:rsidRDefault="002C0FD9" w:rsidP="00CA25CF">
            <w:pPr>
              <w:rPr>
                <w:rFonts w:cs="Arial"/>
                <w:color w:val="FF0000"/>
                <w:sz w:val="21"/>
                <w:szCs w:val="21"/>
              </w:rPr>
            </w:pPr>
          </w:p>
        </w:tc>
        <w:tc>
          <w:tcPr>
            <w:tcW w:w="217" w:type="dxa"/>
          </w:tcPr>
          <w:p w14:paraId="25AF4290" w14:textId="77777777" w:rsidR="002C0FD9" w:rsidRPr="00CA25CF" w:rsidRDefault="002C0FD9" w:rsidP="00CA25CF">
            <w:pPr>
              <w:rPr>
                <w:rFonts w:cs="Arial"/>
                <w:color w:val="FF0000"/>
                <w:sz w:val="21"/>
                <w:szCs w:val="21"/>
              </w:rPr>
            </w:pPr>
          </w:p>
        </w:tc>
        <w:tc>
          <w:tcPr>
            <w:tcW w:w="217" w:type="dxa"/>
          </w:tcPr>
          <w:p w14:paraId="4F994443" w14:textId="77777777" w:rsidR="002C0FD9" w:rsidRPr="00CA25CF" w:rsidRDefault="002C0FD9" w:rsidP="00CA25CF">
            <w:pPr>
              <w:rPr>
                <w:rFonts w:cs="Arial"/>
                <w:color w:val="FF0000"/>
                <w:sz w:val="21"/>
                <w:szCs w:val="21"/>
              </w:rPr>
            </w:pPr>
          </w:p>
        </w:tc>
        <w:tc>
          <w:tcPr>
            <w:tcW w:w="217" w:type="dxa"/>
          </w:tcPr>
          <w:p w14:paraId="45DC8FC9" w14:textId="77777777" w:rsidR="002C0FD9" w:rsidRPr="00CA25CF" w:rsidRDefault="002C0FD9" w:rsidP="00CA25CF">
            <w:pPr>
              <w:rPr>
                <w:rFonts w:cs="Arial"/>
                <w:color w:val="FF0000"/>
                <w:sz w:val="21"/>
                <w:szCs w:val="21"/>
              </w:rPr>
            </w:pPr>
          </w:p>
        </w:tc>
        <w:tc>
          <w:tcPr>
            <w:tcW w:w="217" w:type="dxa"/>
          </w:tcPr>
          <w:p w14:paraId="3984FCDE" w14:textId="77777777" w:rsidR="002C0FD9" w:rsidRPr="00CA25CF" w:rsidRDefault="002C0FD9" w:rsidP="00CA25CF">
            <w:pPr>
              <w:rPr>
                <w:rFonts w:cs="Arial"/>
                <w:color w:val="FF0000"/>
                <w:sz w:val="21"/>
                <w:szCs w:val="21"/>
              </w:rPr>
            </w:pPr>
          </w:p>
        </w:tc>
        <w:tc>
          <w:tcPr>
            <w:tcW w:w="217" w:type="dxa"/>
          </w:tcPr>
          <w:p w14:paraId="3DE5AB3D" w14:textId="77777777" w:rsidR="002C0FD9" w:rsidRPr="00CA25CF" w:rsidRDefault="002C0FD9" w:rsidP="00CA25CF">
            <w:pPr>
              <w:rPr>
                <w:rFonts w:cs="Arial"/>
                <w:color w:val="FF0000"/>
                <w:sz w:val="21"/>
                <w:szCs w:val="21"/>
              </w:rPr>
            </w:pPr>
          </w:p>
        </w:tc>
        <w:tc>
          <w:tcPr>
            <w:tcW w:w="217" w:type="dxa"/>
          </w:tcPr>
          <w:p w14:paraId="2EE70DCA" w14:textId="77777777" w:rsidR="002C0FD9" w:rsidRPr="00CA25CF" w:rsidRDefault="002C0FD9" w:rsidP="00CA25CF">
            <w:pPr>
              <w:rPr>
                <w:rFonts w:cs="Arial"/>
                <w:color w:val="FF0000"/>
                <w:sz w:val="21"/>
                <w:szCs w:val="21"/>
              </w:rPr>
            </w:pPr>
          </w:p>
        </w:tc>
        <w:tc>
          <w:tcPr>
            <w:tcW w:w="217" w:type="dxa"/>
          </w:tcPr>
          <w:p w14:paraId="7108D4EC" w14:textId="77777777" w:rsidR="002C0FD9" w:rsidRPr="00CA25CF" w:rsidRDefault="002C0FD9" w:rsidP="00CA25CF">
            <w:pPr>
              <w:rPr>
                <w:rFonts w:cs="Arial"/>
                <w:color w:val="FF0000"/>
                <w:sz w:val="21"/>
                <w:szCs w:val="21"/>
              </w:rPr>
            </w:pPr>
          </w:p>
        </w:tc>
        <w:tc>
          <w:tcPr>
            <w:tcW w:w="217" w:type="dxa"/>
          </w:tcPr>
          <w:p w14:paraId="7ADD5A11" w14:textId="77777777" w:rsidR="002C0FD9" w:rsidRPr="00CA25CF" w:rsidRDefault="002C0FD9" w:rsidP="00CA25CF">
            <w:pPr>
              <w:rPr>
                <w:rFonts w:cs="Arial"/>
                <w:color w:val="FF0000"/>
                <w:sz w:val="21"/>
                <w:szCs w:val="21"/>
              </w:rPr>
            </w:pPr>
          </w:p>
        </w:tc>
        <w:tc>
          <w:tcPr>
            <w:tcW w:w="217" w:type="dxa"/>
          </w:tcPr>
          <w:p w14:paraId="18D53371" w14:textId="77777777" w:rsidR="002C0FD9" w:rsidRPr="00CA25CF" w:rsidRDefault="002C0FD9" w:rsidP="00CA25CF">
            <w:pPr>
              <w:rPr>
                <w:rFonts w:cs="Arial"/>
                <w:color w:val="FF0000"/>
                <w:sz w:val="21"/>
                <w:szCs w:val="21"/>
              </w:rPr>
            </w:pPr>
          </w:p>
        </w:tc>
        <w:tc>
          <w:tcPr>
            <w:tcW w:w="217" w:type="dxa"/>
          </w:tcPr>
          <w:p w14:paraId="462333DE" w14:textId="77777777" w:rsidR="002C0FD9" w:rsidRPr="00CA25CF" w:rsidRDefault="002C0FD9" w:rsidP="00CA25CF">
            <w:pPr>
              <w:rPr>
                <w:rFonts w:cs="Arial"/>
                <w:color w:val="FF0000"/>
                <w:sz w:val="21"/>
                <w:szCs w:val="21"/>
              </w:rPr>
            </w:pPr>
          </w:p>
        </w:tc>
        <w:tc>
          <w:tcPr>
            <w:tcW w:w="217" w:type="dxa"/>
          </w:tcPr>
          <w:p w14:paraId="4F899FDE" w14:textId="77777777" w:rsidR="002C0FD9" w:rsidRPr="00CA25CF" w:rsidRDefault="002C0FD9" w:rsidP="00CA25CF">
            <w:pPr>
              <w:rPr>
                <w:rFonts w:cs="Arial"/>
                <w:color w:val="FF0000"/>
                <w:sz w:val="21"/>
                <w:szCs w:val="21"/>
              </w:rPr>
            </w:pPr>
          </w:p>
        </w:tc>
        <w:tc>
          <w:tcPr>
            <w:tcW w:w="217" w:type="dxa"/>
          </w:tcPr>
          <w:p w14:paraId="6DC6E7C7" w14:textId="77777777" w:rsidR="002C0FD9" w:rsidRPr="00CA25CF" w:rsidRDefault="002C0FD9" w:rsidP="00CA25CF">
            <w:pPr>
              <w:rPr>
                <w:rFonts w:cs="Arial"/>
                <w:color w:val="FF0000"/>
                <w:sz w:val="21"/>
                <w:szCs w:val="21"/>
              </w:rPr>
            </w:pPr>
          </w:p>
        </w:tc>
        <w:tc>
          <w:tcPr>
            <w:tcW w:w="217" w:type="dxa"/>
          </w:tcPr>
          <w:p w14:paraId="02B6BF39" w14:textId="77777777" w:rsidR="002C0FD9" w:rsidRPr="00CA25CF" w:rsidRDefault="002C0FD9" w:rsidP="00CA25CF">
            <w:pPr>
              <w:rPr>
                <w:rFonts w:cs="Arial"/>
                <w:color w:val="FF0000"/>
                <w:sz w:val="21"/>
                <w:szCs w:val="21"/>
              </w:rPr>
            </w:pPr>
          </w:p>
        </w:tc>
        <w:tc>
          <w:tcPr>
            <w:tcW w:w="217" w:type="dxa"/>
          </w:tcPr>
          <w:p w14:paraId="37D29FD6" w14:textId="77777777" w:rsidR="002C0FD9" w:rsidRPr="00CA25CF" w:rsidRDefault="002C0FD9" w:rsidP="00CA25CF">
            <w:pPr>
              <w:rPr>
                <w:rFonts w:cs="Arial"/>
                <w:color w:val="FF0000"/>
                <w:sz w:val="21"/>
                <w:szCs w:val="21"/>
              </w:rPr>
            </w:pPr>
          </w:p>
        </w:tc>
        <w:tc>
          <w:tcPr>
            <w:tcW w:w="217" w:type="dxa"/>
          </w:tcPr>
          <w:p w14:paraId="264A9C14" w14:textId="77777777" w:rsidR="002C0FD9" w:rsidRPr="00CA25CF" w:rsidRDefault="002C0FD9" w:rsidP="00CA25CF">
            <w:pPr>
              <w:rPr>
                <w:rFonts w:cs="Arial"/>
                <w:color w:val="FF0000"/>
                <w:sz w:val="21"/>
                <w:szCs w:val="21"/>
              </w:rPr>
            </w:pPr>
          </w:p>
        </w:tc>
        <w:tc>
          <w:tcPr>
            <w:tcW w:w="217" w:type="dxa"/>
          </w:tcPr>
          <w:p w14:paraId="175272C0" w14:textId="77777777" w:rsidR="002C0FD9" w:rsidRPr="00CA25CF" w:rsidRDefault="002C0FD9" w:rsidP="00CA25CF">
            <w:pPr>
              <w:rPr>
                <w:rFonts w:cs="Arial"/>
                <w:color w:val="FF0000"/>
                <w:sz w:val="21"/>
                <w:szCs w:val="21"/>
              </w:rPr>
            </w:pPr>
          </w:p>
        </w:tc>
        <w:tc>
          <w:tcPr>
            <w:tcW w:w="217" w:type="dxa"/>
          </w:tcPr>
          <w:p w14:paraId="5108EE2A" w14:textId="77777777" w:rsidR="002C0FD9" w:rsidRPr="00CA25CF" w:rsidRDefault="002C0FD9" w:rsidP="00CA25CF">
            <w:pPr>
              <w:rPr>
                <w:rFonts w:cs="Arial"/>
                <w:color w:val="FF0000"/>
                <w:sz w:val="21"/>
                <w:szCs w:val="21"/>
              </w:rPr>
            </w:pPr>
          </w:p>
        </w:tc>
        <w:tc>
          <w:tcPr>
            <w:tcW w:w="217" w:type="dxa"/>
          </w:tcPr>
          <w:p w14:paraId="5EA5A6DC" w14:textId="77777777" w:rsidR="002C0FD9" w:rsidRPr="00CA25CF" w:rsidRDefault="002C0FD9" w:rsidP="00CA25CF">
            <w:pPr>
              <w:rPr>
                <w:rFonts w:cs="Arial"/>
                <w:color w:val="FF0000"/>
                <w:sz w:val="21"/>
                <w:szCs w:val="21"/>
              </w:rPr>
            </w:pPr>
          </w:p>
        </w:tc>
        <w:tc>
          <w:tcPr>
            <w:tcW w:w="217" w:type="dxa"/>
          </w:tcPr>
          <w:p w14:paraId="13FF2B74" w14:textId="77777777" w:rsidR="002C0FD9" w:rsidRPr="00CA25CF" w:rsidRDefault="002C0FD9" w:rsidP="00CA25CF">
            <w:pPr>
              <w:rPr>
                <w:rFonts w:cs="Arial"/>
                <w:color w:val="FF0000"/>
                <w:sz w:val="21"/>
                <w:szCs w:val="21"/>
              </w:rPr>
            </w:pPr>
          </w:p>
        </w:tc>
        <w:tc>
          <w:tcPr>
            <w:tcW w:w="217" w:type="dxa"/>
          </w:tcPr>
          <w:p w14:paraId="3F32B956" w14:textId="77777777" w:rsidR="002C0FD9" w:rsidRPr="00CA25CF" w:rsidRDefault="002C0FD9" w:rsidP="00CA25CF">
            <w:pPr>
              <w:rPr>
                <w:rFonts w:cs="Arial"/>
                <w:color w:val="FF0000"/>
                <w:sz w:val="21"/>
                <w:szCs w:val="21"/>
              </w:rPr>
            </w:pPr>
          </w:p>
        </w:tc>
        <w:tc>
          <w:tcPr>
            <w:tcW w:w="217" w:type="dxa"/>
          </w:tcPr>
          <w:p w14:paraId="17FCFAED" w14:textId="77777777" w:rsidR="002C0FD9" w:rsidRPr="00CA25CF" w:rsidRDefault="002C0FD9" w:rsidP="00CA25CF">
            <w:pPr>
              <w:rPr>
                <w:rFonts w:cs="Arial"/>
                <w:color w:val="FF0000"/>
                <w:sz w:val="21"/>
                <w:szCs w:val="21"/>
              </w:rPr>
            </w:pPr>
          </w:p>
        </w:tc>
        <w:tc>
          <w:tcPr>
            <w:tcW w:w="217" w:type="dxa"/>
          </w:tcPr>
          <w:p w14:paraId="5F33120A" w14:textId="77777777" w:rsidR="002C0FD9" w:rsidRPr="00CA25CF" w:rsidRDefault="002C0FD9" w:rsidP="00CA25CF">
            <w:pPr>
              <w:rPr>
                <w:rFonts w:cs="Arial"/>
                <w:color w:val="FF0000"/>
                <w:sz w:val="21"/>
                <w:szCs w:val="21"/>
              </w:rPr>
            </w:pPr>
          </w:p>
        </w:tc>
        <w:tc>
          <w:tcPr>
            <w:tcW w:w="217" w:type="dxa"/>
          </w:tcPr>
          <w:p w14:paraId="4547EF76" w14:textId="77777777" w:rsidR="002C0FD9" w:rsidRPr="00CA25CF" w:rsidRDefault="002C0FD9" w:rsidP="00CA25CF">
            <w:pPr>
              <w:rPr>
                <w:rFonts w:cs="Arial"/>
                <w:color w:val="FF0000"/>
                <w:sz w:val="21"/>
                <w:szCs w:val="21"/>
              </w:rPr>
            </w:pPr>
          </w:p>
        </w:tc>
        <w:tc>
          <w:tcPr>
            <w:tcW w:w="217" w:type="dxa"/>
          </w:tcPr>
          <w:p w14:paraId="73BA55EF" w14:textId="77777777" w:rsidR="002C0FD9" w:rsidRPr="00CA25CF" w:rsidRDefault="002C0FD9" w:rsidP="00CA25CF">
            <w:pPr>
              <w:rPr>
                <w:rFonts w:cs="Arial"/>
                <w:color w:val="FF0000"/>
                <w:sz w:val="21"/>
                <w:szCs w:val="21"/>
              </w:rPr>
            </w:pPr>
          </w:p>
        </w:tc>
        <w:tc>
          <w:tcPr>
            <w:tcW w:w="217" w:type="dxa"/>
          </w:tcPr>
          <w:p w14:paraId="4E7FAA62" w14:textId="77777777" w:rsidR="002C0FD9" w:rsidRPr="00CA25CF" w:rsidRDefault="002C0FD9" w:rsidP="00CA25CF">
            <w:pPr>
              <w:rPr>
                <w:rFonts w:cs="Arial"/>
                <w:color w:val="FF0000"/>
                <w:sz w:val="21"/>
                <w:szCs w:val="21"/>
              </w:rPr>
            </w:pPr>
          </w:p>
        </w:tc>
        <w:tc>
          <w:tcPr>
            <w:tcW w:w="217" w:type="dxa"/>
          </w:tcPr>
          <w:p w14:paraId="12B8557C" w14:textId="77777777" w:rsidR="002C0FD9" w:rsidRPr="00CA25CF" w:rsidRDefault="002C0FD9" w:rsidP="00CA25CF">
            <w:pPr>
              <w:rPr>
                <w:rFonts w:cs="Arial"/>
                <w:color w:val="FF0000"/>
                <w:sz w:val="21"/>
                <w:szCs w:val="21"/>
              </w:rPr>
            </w:pPr>
          </w:p>
        </w:tc>
        <w:tc>
          <w:tcPr>
            <w:tcW w:w="217" w:type="dxa"/>
          </w:tcPr>
          <w:p w14:paraId="44B42E65" w14:textId="77777777" w:rsidR="002C0FD9" w:rsidRPr="00CA25CF" w:rsidRDefault="002C0FD9" w:rsidP="00CA25CF">
            <w:pPr>
              <w:rPr>
                <w:rFonts w:cs="Arial"/>
                <w:color w:val="FF0000"/>
                <w:sz w:val="21"/>
                <w:szCs w:val="21"/>
              </w:rPr>
            </w:pPr>
          </w:p>
        </w:tc>
        <w:tc>
          <w:tcPr>
            <w:tcW w:w="217" w:type="dxa"/>
          </w:tcPr>
          <w:p w14:paraId="4F64A2F2" w14:textId="77777777" w:rsidR="002C0FD9" w:rsidRPr="00CA25CF" w:rsidRDefault="002C0FD9" w:rsidP="00CA25CF">
            <w:pPr>
              <w:rPr>
                <w:rFonts w:cs="Arial"/>
                <w:color w:val="FF0000"/>
                <w:sz w:val="21"/>
                <w:szCs w:val="21"/>
              </w:rPr>
            </w:pPr>
          </w:p>
        </w:tc>
        <w:tc>
          <w:tcPr>
            <w:tcW w:w="217" w:type="dxa"/>
          </w:tcPr>
          <w:p w14:paraId="62CBF7FA" w14:textId="77777777" w:rsidR="002C0FD9" w:rsidRPr="00CA25CF" w:rsidRDefault="002C0FD9" w:rsidP="00CA25CF">
            <w:pPr>
              <w:rPr>
                <w:rFonts w:cs="Arial"/>
                <w:color w:val="FF0000"/>
                <w:sz w:val="21"/>
                <w:szCs w:val="21"/>
              </w:rPr>
            </w:pPr>
          </w:p>
        </w:tc>
        <w:tc>
          <w:tcPr>
            <w:tcW w:w="217" w:type="dxa"/>
          </w:tcPr>
          <w:p w14:paraId="45F51866" w14:textId="77777777" w:rsidR="002C0FD9" w:rsidRPr="00CA25CF" w:rsidRDefault="002C0FD9" w:rsidP="00CA25CF">
            <w:pPr>
              <w:rPr>
                <w:rFonts w:cs="Arial"/>
                <w:color w:val="FF0000"/>
                <w:sz w:val="21"/>
                <w:szCs w:val="21"/>
              </w:rPr>
            </w:pPr>
          </w:p>
        </w:tc>
        <w:tc>
          <w:tcPr>
            <w:tcW w:w="217" w:type="dxa"/>
          </w:tcPr>
          <w:p w14:paraId="66B5CE14" w14:textId="77777777" w:rsidR="002C0FD9" w:rsidRPr="00CA25CF" w:rsidRDefault="002C0FD9" w:rsidP="00CA25CF">
            <w:pPr>
              <w:rPr>
                <w:rFonts w:cs="Arial"/>
                <w:color w:val="FF0000"/>
                <w:sz w:val="21"/>
                <w:szCs w:val="21"/>
              </w:rPr>
            </w:pPr>
          </w:p>
        </w:tc>
        <w:tc>
          <w:tcPr>
            <w:tcW w:w="217" w:type="dxa"/>
          </w:tcPr>
          <w:p w14:paraId="67AFCAFA" w14:textId="77777777" w:rsidR="002C0FD9" w:rsidRPr="00CA25CF" w:rsidRDefault="002C0FD9" w:rsidP="00CA25CF">
            <w:pPr>
              <w:rPr>
                <w:rFonts w:cs="Arial"/>
                <w:color w:val="FF0000"/>
                <w:sz w:val="21"/>
                <w:szCs w:val="21"/>
              </w:rPr>
            </w:pPr>
          </w:p>
        </w:tc>
        <w:tc>
          <w:tcPr>
            <w:tcW w:w="217" w:type="dxa"/>
          </w:tcPr>
          <w:p w14:paraId="5E0AC05F" w14:textId="77777777" w:rsidR="002C0FD9" w:rsidRPr="00CA25CF" w:rsidRDefault="002C0FD9" w:rsidP="00CA25CF">
            <w:pPr>
              <w:rPr>
                <w:rFonts w:cs="Arial"/>
                <w:color w:val="FF0000"/>
                <w:sz w:val="21"/>
                <w:szCs w:val="21"/>
              </w:rPr>
            </w:pPr>
          </w:p>
        </w:tc>
        <w:tc>
          <w:tcPr>
            <w:tcW w:w="217" w:type="dxa"/>
          </w:tcPr>
          <w:p w14:paraId="5D82D766" w14:textId="77777777" w:rsidR="002C0FD9" w:rsidRPr="00CA25CF" w:rsidRDefault="002C0FD9" w:rsidP="00CA25CF">
            <w:pPr>
              <w:rPr>
                <w:rFonts w:cs="Arial"/>
                <w:color w:val="FF0000"/>
                <w:sz w:val="21"/>
                <w:szCs w:val="21"/>
              </w:rPr>
            </w:pPr>
          </w:p>
        </w:tc>
        <w:tc>
          <w:tcPr>
            <w:tcW w:w="217" w:type="dxa"/>
          </w:tcPr>
          <w:p w14:paraId="7F8E4A8E" w14:textId="77777777" w:rsidR="002C0FD9" w:rsidRPr="00CA25CF" w:rsidRDefault="002C0FD9" w:rsidP="00CA25CF">
            <w:pPr>
              <w:rPr>
                <w:rFonts w:cs="Arial"/>
                <w:color w:val="FF0000"/>
                <w:sz w:val="21"/>
                <w:szCs w:val="21"/>
              </w:rPr>
            </w:pPr>
          </w:p>
        </w:tc>
      </w:tr>
      <w:tr w:rsidR="002C0FD9" w:rsidRPr="00A16219" w14:paraId="2168338F" w14:textId="77777777" w:rsidTr="002C0FD9">
        <w:trPr>
          <w:trHeight w:val="635"/>
        </w:trPr>
        <w:tc>
          <w:tcPr>
            <w:tcW w:w="515" w:type="dxa"/>
          </w:tcPr>
          <w:p w14:paraId="738C1E45" w14:textId="77777777" w:rsidR="002C0FD9" w:rsidRPr="00CA25CF" w:rsidRDefault="002C0FD9" w:rsidP="00CA25CF">
            <w:pPr>
              <w:rPr>
                <w:rFonts w:cs="Arial"/>
                <w:color w:val="FF0000"/>
                <w:sz w:val="21"/>
                <w:szCs w:val="21"/>
              </w:rPr>
            </w:pPr>
          </w:p>
        </w:tc>
        <w:tc>
          <w:tcPr>
            <w:tcW w:w="217" w:type="dxa"/>
          </w:tcPr>
          <w:p w14:paraId="61722B36" w14:textId="77777777" w:rsidR="002C0FD9" w:rsidRPr="00CA25CF" w:rsidRDefault="002C0FD9" w:rsidP="00CA25CF">
            <w:pPr>
              <w:rPr>
                <w:rFonts w:cs="Arial"/>
                <w:color w:val="FF0000"/>
                <w:sz w:val="21"/>
                <w:szCs w:val="21"/>
              </w:rPr>
            </w:pPr>
          </w:p>
        </w:tc>
        <w:tc>
          <w:tcPr>
            <w:tcW w:w="217" w:type="dxa"/>
          </w:tcPr>
          <w:p w14:paraId="73F090E7" w14:textId="77777777" w:rsidR="002C0FD9" w:rsidRPr="00CA25CF" w:rsidRDefault="002C0FD9" w:rsidP="00CA25CF">
            <w:pPr>
              <w:rPr>
                <w:rFonts w:cs="Arial"/>
                <w:color w:val="FF0000"/>
                <w:sz w:val="21"/>
                <w:szCs w:val="21"/>
              </w:rPr>
            </w:pPr>
          </w:p>
        </w:tc>
        <w:tc>
          <w:tcPr>
            <w:tcW w:w="217" w:type="dxa"/>
          </w:tcPr>
          <w:p w14:paraId="6EF3E966" w14:textId="77777777" w:rsidR="002C0FD9" w:rsidRPr="00CA25CF" w:rsidRDefault="002C0FD9" w:rsidP="00CA25CF">
            <w:pPr>
              <w:rPr>
                <w:rFonts w:cs="Arial"/>
                <w:color w:val="FF0000"/>
                <w:sz w:val="21"/>
                <w:szCs w:val="21"/>
              </w:rPr>
            </w:pPr>
          </w:p>
        </w:tc>
        <w:tc>
          <w:tcPr>
            <w:tcW w:w="217" w:type="dxa"/>
          </w:tcPr>
          <w:p w14:paraId="1E4DD515" w14:textId="77777777" w:rsidR="002C0FD9" w:rsidRPr="00CA25CF" w:rsidRDefault="002C0FD9" w:rsidP="00CA25CF">
            <w:pPr>
              <w:rPr>
                <w:rFonts w:cs="Arial"/>
                <w:color w:val="FF0000"/>
                <w:sz w:val="21"/>
                <w:szCs w:val="21"/>
              </w:rPr>
            </w:pPr>
          </w:p>
        </w:tc>
        <w:tc>
          <w:tcPr>
            <w:tcW w:w="217" w:type="dxa"/>
          </w:tcPr>
          <w:p w14:paraId="2AF4572E" w14:textId="77777777" w:rsidR="002C0FD9" w:rsidRPr="00CA25CF" w:rsidRDefault="002C0FD9" w:rsidP="00CA25CF">
            <w:pPr>
              <w:rPr>
                <w:rFonts w:cs="Arial"/>
                <w:color w:val="FF0000"/>
                <w:sz w:val="21"/>
                <w:szCs w:val="21"/>
              </w:rPr>
            </w:pPr>
          </w:p>
        </w:tc>
        <w:tc>
          <w:tcPr>
            <w:tcW w:w="217" w:type="dxa"/>
          </w:tcPr>
          <w:p w14:paraId="7AC13D4C" w14:textId="77777777" w:rsidR="002C0FD9" w:rsidRPr="00CA25CF" w:rsidRDefault="002C0FD9" w:rsidP="00CA25CF">
            <w:pPr>
              <w:rPr>
                <w:rFonts w:cs="Arial"/>
                <w:color w:val="FF0000"/>
                <w:sz w:val="21"/>
                <w:szCs w:val="21"/>
              </w:rPr>
            </w:pPr>
          </w:p>
        </w:tc>
        <w:tc>
          <w:tcPr>
            <w:tcW w:w="217" w:type="dxa"/>
          </w:tcPr>
          <w:p w14:paraId="625998A6" w14:textId="77777777" w:rsidR="002C0FD9" w:rsidRPr="00CA25CF" w:rsidRDefault="002C0FD9" w:rsidP="00CA25CF">
            <w:pPr>
              <w:rPr>
                <w:rFonts w:cs="Arial"/>
                <w:color w:val="FF0000"/>
                <w:sz w:val="21"/>
                <w:szCs w:val="21"/>
              </w:rPr>
            </w:pPr>
          </w:p>
        </w:tc>
        <w:tc>
          <w:tcPr>
            <w:tcW w:w="217" w:type="dxa"/>
          </w:tcPr>
          <w:p w14:paraId="224204E1" w14:textId="77777777" w:rsidR="002C0FD9" w:rsidRPr="00CA25CF" w:rsidRDefault="002C0FD9" w:rsidP="00CA25CF">
            <w:pPr>
              <w:rPr>
                <w:rFonts w:cs="Arial"/>
                <w:color w:val="FF0000"/>
                <w:sz w:val="21"/>
                <w:szCs w:val="21"/>
              </w:rPr>
            </w:pPr>
          </w:p>
        </w:tc>
        <w:tc>
          <w:tcPr>
            <w:tcW w:w="217" w:type="dxa"/>
          </w:tcPr>
          <w:p w14:paraId="59C1E6C8" w14:textId="77777777" w:rsidR="002C0FD9" w:rsidRPr="00CA25CF" w:rsidRDefault="002C0FD9" w:rsidP="00CA25CF">
            <w:pPr>
              <w:rPr>
                <w:rFonts w:cs="Arial"/>
                <w:color w:val="FF0000"/>
                <w:sz w:val="21"/>
                <w:szCs w:val="21"/>
              </w:rPr>
            </w:pPr>
          </w:p>
        </w:tc>
        <w:tc>
          <w:tcPr>
            <w:tcW w:w="217" w:type="dxa"/>
          </w:tcPr>
          <w:p w14:paraId="7EBF6596" w14:textId="77777777" w:rsidR="002C0FD9" w:rsidRPr="00CA25CF" w:rsidRDefault="002C0FD9" w:rsidP="00CA25CF">
            <w:pPr>
              <w:rPr>
                <w:rFonts w:cs="Arial"/>
                <w:color w:val="FF0000"/>
                <w:sz w:val="21"/>
                <w:szCs w:val="21"/>
              </w:rPr>
            </w:pPr>
          </w:p>
        </w:tc>
        <w:tc>
          <w:tcPr>
            <w:tcW w:w="217" w:type="dxa"/>
          </w:tcPr>
          <w:p w14:paraId="0FA93105" w14:textId="77777777" w:rsidR="002C0FD9" w:rsidRPr="00CA25CF" w:rsidRDefault="002C0FD9" w:rsidP="00CA25CF">
            <w:pPr>
              <w:rPr>
                <w:rFonts w:cs="Arial"/>
                <w:color w:val="FF0000"/>
                <w:sz w:val="21"/>
                <w:szCs w:val="21"/>
              </w:rPr>
            </w:pPr>
          </w:p>
        </w:tc>
        <w:tc>
          <w:tcPr>
            <w:tcW w:w="217" w:type="dxa"/>
          </w:tcPr>
          <w:p w14:paraId="68CA3427" w14:textId="77777777" w:rsidR="002C0FD9" w:rsidRPr="00CA25CF" w:rsidRDefault="002C0FD9" w:rsidP="00CA25CF">
            <w:pPr>
              <w:rPr>
                <w:rFonts w:cs="Arial"/>
                <w:color w:val="FF0000"/>
                <w:sz w:val="21"/>
                <w:szCs w:val="21"/>
              </w:rPr>
            </w:pPr>
          </w:p>
        </w:tc>
        <w:tc>
          <w:tcPr>
            <w:tcW w:w="217" w:type="dxa"/>
          </w:tcPr>
          <w:p w14:paraId="303FA3DF" w14:textId="77777777" w:rsidR="002C0FD9" w:rsidRPr="00CA25CF" w:rsidRDefault="002C0FD9" w:rsidP="00CA25CF">
            <w:pPr>
              <w:rPr>
                <w:rFonts w:cs="Arial"/>
                <w:color w:val="FF0000"/>
                <w:sz w:val="21"/>
                <w:szCs w:val="21"/>
              </w:rPr>
            </w:pPr>
          </w:p>
        </w:tc>
        <w:tc>
          <w:tcPr>
            <w:tcW w:w="217" w:type="dxa"/>
          </w:tcPr>
          <w:p w14:paraId="147E647A" w14:textId="77777777" w:rsidR="002C0FD9" w:rsidRPr="00CA25CF" w:rsidRDefault="002C0FD9" w:rsidP="00CA25CF">
            <w:pPr>
              <w:rPr>
                <w:rFonts w:cs="Arial"/>
                <w:color w:val="FF0000"/>
                <w:sz w:val="21"/>
                <w:szCs w:val="21"/>
              </w:rPr>
            </w:pPr>
          </w:p>
        </w:tc>
        <w:tc>
          <w:tcPr>
            <w:tcW w:w="217" w:type="dxa"/>
          </w:tcPr>
          <w:p w14:paraId="4FE15437" w14:textId="77777777" w:rsidR="002C0FD9" w:rsidRPr="00CA25CF" w:rsidRDefault="002C0FD9" w:rsidP="00CA25CF">
            <w:pPr>
              <w:rPr>
                <w:rFonts w:cs="Arial"/>
                <w:color w:val="FF0000"/>
                <w:sz w:val="21"/>
                <w:szCs w:val="21"/>
              </w:rPr>
            </w:pPr>
          </w:p>
        </w:tc>
        <w:tc>
          <w:tcPr>
            <w:tcW w:w="217" w:type="dxa"/>
          </w:tcPr>
          <w:p w14:paraId="1268AF27" w14:textId="77777777" w:rsidR="002C0FD9" w:rsidRPr="00CA25CF" w:rsidRDefault="002C0FD9" w:rsidP="00CA25CF">
            <w:pPr>
              <w:rPr>
                <w:rFonts w:cs="Arial"/>
                <w:color w:val="FF0000"/>
                <w:sz w:val="21"/>
                <w:szCs w:val="21"/>
              </w:rPr>
            </w:pPr>
          </w:p>
        </w:tc>
        <w:tc>
          <w:tcPr>
            <w:tcW w:w="217" w:type="dxa"/>
          </w:tcPr>
          <w:p w14:paraId="55143798" w14:textId="77777777" w:rsidR="002C0FD9" w:rsidRPr="00CA25CF" w:rsidRDefault="002C0FD9" w:rsidP="00CA25CF">
            <w:pPr>
              <w:rPr>
                <w:rFonts w:cs="Arial"/>
                <w:color w:val="FF0000"/>
                <w:sz w:val="21"/>
                <w:szCs w:val="21"/>
              </w:rPr>
            </w:pPr>
          </w:p>
        </w:tc>
        <w:tc>
          <w:tcPr>
            <w:tcW w:w="217" w:type="dxa"/>
          </w:tcPr>
          <w:p w14:paraId="03A5A68D" w14:textId="77777777" w:rsidR="002C0FD9" w:rsidRPr="00CA25CF" w:rsidRDefault="002C0FD9" w:rsidP="00CA25CF">
            <w:pPr>
              <w:rPr>
                <w:rFonts w:cs="Arial"/>
                <w:color w:val="FF0000"/>
                <w:sz w:val="21"/>
                <w:szCs w:val="21"/>
              </w:rPr>
            </w:pPr>
          </w:p>
        </w:tc>
        <w:tc>
          <w:tcPr>
            <w:tcW w:w="217" w:type="dxa"/>
          </w:tcPr>
          <w:p w14:paraId="04F32B05" w14:textId="77777777" w:rsidR="002C0FD9" w:rsidRPr="00CA25CF" w:rsidRDefault="002C0FD9" w:rsidP="00CA25CF">
            <w:pPr>
              <w:rPr>
                <w:rFonts w:cs="Arial"/>
                <w:color w:val="FF0000"/>
                <w:sz w:val="21"/>
                <w:szCs w:val="21"/>
              </w:rPr>
            </w:pPr>
          </w:p>
        </w:tc>
        <w:tc>
          <w:tcPr>
            <w:tcW w:w="217" w:type="dxa"/>
          </w:tcPr>
          <w:p w14:paraId="7FC61057" w14:textId="77777777" w:rsidR="002C0FD9" w:rsidRPr="00CA25CF" w:rsidRDefault="002C0FD9" w:rsidP="00CA25CF">
            <w:pPr>
              <w:rPr>
                <w:rFonts w:cs="Arial"/>
                <w:color w:val="FF0000"/>
                <w:sz w:val="21"/>
                <w:szCs w:val="21"/>
              </w:rPr>
            </w:pPr>
          </w:p>
        </w:tc>
        <w:tc>
          <w:tcPr>
            <w:tcW w:w="217" w:type="dxa"/>
          </w:tcPr>
          <w:p w14:paraId="6C6DDC47" w14:textId="77777777" w:rsidR="002C0FD9" w:rsidRPr="00CA25CF" w:rsidRDefault="002C0FD9" w:rsidP="00CA25CF">
            <w:pPr>
              <w:rPr>
                <w:rFonts w:cs="Arial"/>
                <w:color w:val="FF0000"/>
                <w:sz w:val="21"/>
                <w:szCs w:val="21"/>
              </w:rPr>
            </w:pPr>
          </w:p>
        </w:tc>
        <w:tc>
          <w:tcPr>
            <w:tcW w:w="217" w:type="dxa"/>
          </w:tcPr>
          <w:p w14:paraId="4DA8879A" w14:textId="77777777" w:rsidR="002C0FD9" w:rsidRPr="00CA25CF" w:rsidRDefault="002C0FD9" w:rsidP="00CA25CF">
            <w:pPr>
              <w:rPr>
                <w:rFonts w:cs="Arial"/>
                <w:color w:val="FF0000"/>
                <w:sz w:val="21"/>
                <w:szCs w:val="21"/>
              </w:rPr>
            </w:pPr>
          </w:p>
        </w:tc>
        <w:tc>
          <w:tcPr>
            <w:tcW w:w="217" w:type="dxa"/>
          </w:tcPr>
          <w:p w14:paraId="556709DE" w14:textId="77777777" w:rsidR="002C0FD9" w:rsidRPr="00CA25CF" w:rsidRDefault="002C0FD9" w:rsidP="00CA25CF">
            <w:pPr>
              <w:rPr>
                <w:rFonts w:cs="Arial"/>
                <w:color w:val="FF0000"/>
                <w:sz w:val="21"/>
                <w:szCs w:val="21"/>
              </w:rPr>
            </w:pPr>
          </w:p>
        </w:tc>
        <w:tc>
          <w:tcPr>
            <w:tcW w:w="217" w:type="dxa"/>
          </w:tcPr>
          <w:p w14:paraId="6CF26B34" w14:textId="77777777" w:rsidR="002C0FD9" w:rsidRPr="00CA25CF" w:rsidRDefault="002C0FD9" w:rsidP="00CA25CF">
            <w:pPr>
              <w:rPr>
                <w:rFonts w:cs="Arial"/>
                <w:color w:val="FF0000"/>
                <w:sz w:val="21"/>
                <w:szCs w:val="21"/>
              </w:rPr>
            </w:pPr>
          </w:p>
        </w:tc>
        <w:tc>
          <w:tcPr>
            <w:tcW w:w="217" w:type="dxa"/>
          </w:tcPr>
          <w:p w14:paraId="2B0796C3" w14:textId="77777777" w:rsidR="002C0FD9" w:rsidRPr="00CA25CF" w:rsidRDefault="002C0FD9" w:rsidP="00CA25CF">
            <w:pPr>
              <w:rPr>
                <w:rFonts w:cs="Arial"/>
                <w:color w:val="FF0000"/>
                <w:sz w:val="21"/>
                <w:szCs w:val="21"/>
              </w:rPr>
            </w:pPr>
          </w:p>
        </w:tc>
        <w:tc>
          <w:tcPr>
            <w:tcW w:w="217" w:type="dxa"/>
          </w:tcPr>
          <w:p w14:paraId="5D2F8DD5" w14:textId="77777777" w:rsidR="002C0FD9" w:rsidRPr="00CA25CF" w:rsidRDefault="002C0FD9" w:rsidP="00CA25CF">
            <w:pPr>
              <w:rPr>
                <w:rFonts w:cs="Arial"/>
                <w:color w:val="FF0000"/>
                <w:sz w:val="21"/>
                <w:szCs w:val="21"/>
              </w:rPr>
            </w:pPr>
          </w:p>
        </w:tc>
        <w:tc>
          <w:tcPr>
            <w:tcW w:w="217" w:type="dxa"/>
          </w:tcPr>
          <w:p w14:paraId="0460F9CD" w14:textId="77777777" w:rsidR="002C0FD9" w:rsidRPr="00CA25CF" w:rsidRDefault="002C0FD9" w:rsidP="00CA25CF">
            <w:pPr>
              <w:rPr>
                <w:rFonts w:cs="Arial"/>
                <w:color w:val="FF0000"/>
                <w:sz w:val="21"/>
                <w:szCs w:val="21"/>
              </w:rPr>
            </w:pPr>
          </w:p>
        </w:tc>
        <w:tc>
          <w:tcPr>
            <w:tcW w:w="217" w:type="dxa"/>
          </w:tcPr>
          <w:p w14:paraId="175BE3A6" w14:textId="77777777" w:rsidR="002C0FD9" w:rsidRPr="00CA25CF" w:rsidRDefault="002C0FD9" w:rsidP="00CA25CF">
            <w:pPr>
              <w:rPr>
                <w:rFonts w:cs="Arial"/>
                <w:color w:val="FF0000"/>
                <w:sz w:val="21"/>
                <w:szCs w:val="21"/>
              </w:rPr>
            </w:pPr>
          </w:p>
        </w:tc>
        <w:tc>
          <w:tcPr>
            <w:tcW w:w="217" w:type="dxa"/>
          </w:tcPr>
          <w:p w14:paraId="3B39174B" w14:textId="77777777" w:rsidR="002C0FD9" w:rsidRPr="00CA25CF" w:rsidRDefault="002C0FD9" w:rsidP="00CA25CF">
            <w:pPr>
              <w:rPr>
                <w:rFonts w:cs="Arial"/>
                <w:color w:val="FF0000"/>
                <w:sz w:val="21"/>
                <w:szCs w:val="21"/>
              </w:rPr>
            </w:pPr>
          </w:p>
        </w:tc>
        <w:tc>
          <w:tcPr>
            <w:tcW w:w="217" w:type="dxa"/>
          </w:tcPr>
          <w:p w14:paraId="183F76BC" w14:textId="77777777" w:rsidR="002C0FD9" w:rsidRPr="00CA25CF" w:rsidRDefault="002C0FD9" w:rsidP="00CA25CF">
            <w:pPr>
              <w:rPr>
                <w:rFonts w:cs="Arial"/>
                <w:color w:val="FF0000"/>
                <w:sz w:val="21"/>
                <w:szCs w:val="21"/>
              </w:rPr>
            </w:pPr>
          </w:p>
        </w:tc>
        <w:tc>
          <w:tcPr>
            <w:tcW w:w="217" w:type="dxa"/>
          </w:tcPr>
          <w:p w14:paraId="55BABFA5" w14:textId="77777777" w:rsidR="002C0FD9" w:rsidRPr="00CA25CF" w:rsidRDefault="002C0FD9" w:rsidP="00CA25CF">
            <w:pPr>
              <w:rPr>
                <w:rFonts w:cs="Arial"/>
                <w:color w:val="FF0000"/>
                <w:sz w:val="21"/>
                <w:szCs w:val="21"/>
              </w:rPr>
            </w:pPr>
          </w:p>
        </w:tc>
        <w:tc>
          <w:tcPr>
            <w:tcW w:w="217" w:type="dxa"/>
          </w:tcPr>
          <w:p w14:paraId="7857035E" w14:textId="77777777" w:rsidR="002C0FD9" w:rsidRPr="00CA25CF" w:rsidRDefault="002C0FD9" w:rsidP="00CA25CF">
            <w:pPr>
              <w:rPr>
                <w:rFonts w:cs="Arial"/>
                <w:color w:val="FF0000"/>
                <w:sz w:val="21"/>
                <w:szCs w:val="21"/>
              </w:rPr>
            </w:pPr>
          </w:p>
        </w:tc>
        <w:tc>
          <w:tcPr>
            <w:tcW w:w="217" w:type="dxa"/>
          </w:tcPr>
          <w:p w14:paraId="3D29129A" w14:textId="77777777" w:rsidR="002C0FD9" w:rsidRPr="00CA25CF" w:rsidRDefault="002C0FD9" w:rsidP="00CA25CF">
            <w:pPr>
              <w:rPr>
                <w:rFonts w:cs="Arial"/>
                <w:color w:val="FF0000"/>
                <w:sz w:val="21"/>
                <w:szCs w:val="21"/>
              </w:rPr>
            </w:pPr>
          </w:p>
        </w:tc>
        <w:tc>
          <w:tcPr>
            <w:tcW w:w="217" w:type="dxa"/>
          </w:tcPr>
          <w:p w14:paraId="6BBB7589" w14:textId="77777777" w:rsidR="002C0FD9" w:rsidRPr="00CA25CF" w:rsidRDefault="002C0FD9" w:rsidP="00CA25CF">
            <w:pPr>
              <w:rPr>
                <w:rFonts w:cs="Arial"/>
                <w:color w:val="FF0000"/>
                <w:sz w:val="21"/>
                <w:szCs w:val="21"/>
              </w:rPr>
            </w:pPr>
          </w:p>
        </w:tc>
        <w:tc>
          <w:tcPr>
            <w:tcW w:w="217" w:type="dxa"/>
          </w:tcPr>
          <w:p w14:paraId="1198EF93" w14:textId="77777777" w:rsidR="002C0FD9" w:rsidRPr="00CA25CF" w:rsidRDefault="002C0FD9" w:rsidP="00CA25CF">
            <w:pPr>
              <w:rPr>
                <w:rFonts w:cs="Arial"/>
                <w:color w:val="FF0000"/>
                <w:sz w:val="21"/>
                <w:szCs w:val="21"/>
              </w:rPr>
            </w:pPr>
          </w:p>
        </w:tc>
        <w:tc>
          <w:tcPr>
            <w:tcW w:w="217" w:type="dxa"/>
          </w:tcPr>
          <w:p w14:paraId="332B95F9" w14:textId="77777777" w:rsidR="002C0FD9" w:rsidRPr="00CA25CF" w:rsidRDefault="002C0FD9" w:rsidP="00CA25CF">
            <w:pPr>
              <w:rPr>
                <w:rFonts w:cs="Arial"/>
                <w:color w:val="FF0000"/>
                <w:sz w:val="21"/>
                <w:szCs w:val="21"/>
              </w:rPr>
            </w:pPr>
          </w:p>
        </w:tc>
        <w:tc>
          <w:tcPr>
            <w:tcW w:w="217" w:type="dxa"/>
          </w:tcPr>
          <w:p w14:paraId="2A253472" w14:textId="77777777" w:rsidR="002C0FD9" w:rsidRPr="00CA25CF" w:rsidRDefault="002C0FD9" w:rsidP="00CA25CF">
            <w:pPr>
              <w:rPr>
                <w:rFonts w:cs="Arial"/>
                <w:color w:val="FF0000"/>
                <w:sz w:val="21"/>
                <w:szCs w:val="21"/>
              </w:rPr>
            </w:pPr>
          </w:p>
        </w:tc>
        <w:tc>
          <w:tcPr>
            <w:tcW w:w="217" w:type="dxa"/>
          </w:tcPr>
          <w:p w14:paraId="7059BBB9" w14:textId="77777777" w:rsidR="002C0FD9" w:rsidRPr="00CA25CF" w:rsidRDefault="002C0FD9" w:rsidP="00CA25CF">
            <w:pPr>
              <w:rPr>
                <w:rFonts w:cs="Arial"/>
                <w:color w:val="FF0000"/>
                <w:sz w:val="21"/>
                <w:szCs w:val="21"/>
              </w:rPr>
            </w:pPr>
          </w:p>
        </w:tc>
        <w:tc>
          <w:tcPr>
            <w:tcW w:w="217" w:type="dxa"/>
          </w:tcPr>
          <w:p w14:paraId="3D839EE5" w14:textId="77777777" w:rsidR="002C0FD9" w:rsidRPr="00CA25CF" w:rsidRDefault="002C0FD9" w:rsidP="00CA25CF">
            <w:pPr>
              <w:rPr>
                <w:rFonts w:cs="Arial"/>
                <w:color w:val="FF0000"/>
                <w:sz w:val="21"/>
                <w:szCs w:val="21"/>
              </w:rPr>
            </w:pPr>
          </w:p>
        </w:tc>
        <w:tc>
          <w:tcPr>
            <w:tcW w:w="217" w:type="dxa"/>
          </w:tcPr>
          <w:p w14:paraId="7D73863D" w14:textId="77777777" w:rsidR="002C0FD9" w:rsidRPr="00CA25CF" w:rsidRDefault="002C0FD9" w:rsidP="00CA25CF">
            <w:pPr>
              <w:rPr>
                <w:rFonts w:cs="Arial"/>
                <w:color w:val="FF0000"/>
                <w:sz w:val="21"/>
                <w:szCs w:val="21"/>
              </w:rPr>
            </w:pPr>
          </w:p>
        </w:tc>
        <w:tc>
          <w:tcPr>
            <w:tcW w:w="217" w:type="dxa"/>
          </w:tcPr>
          <w:p w14:paraId="53F1C433" w14:textId="77777777" w:rsidR="002C0FD9" w:rsidRPr="00CA25CF" w:rsidRDefault="002C0FD9" w:rsidP="00CA25CF">
            <w:pPr>
              <w:rPr>
                <w:rFonts w:cs="Arial"/>
                <w:color w:val="FF0000"/>
                <w:sz w:val="21"/>
                <w:szCs w:val="21"/>
              </w:rPr>
            </w:pPr>
          </w:p>
        </w:tc>
        <w:tc>
          <w:tcPr>
            <w:tcW w:w="217" w:type="dxa"/>
          </w:tcPr>
          <w:p w14:paraId="7D00C3E5" w14:textId="77777777" w:rsidR="002C0FD9" w:rsidRPr="00CA25CF" w:rsidRDefault="002C0FD9" w:rsidP="00CA25CF">
            <w:pPr>
              <w:rPr>
                <w:rFonts w:cs="Arial"/>
                <w:color w:val="FF0000"/>
                <w:sz w:val="21"/>
                <w:szCs w:val="21"/>
              </w:rPr>
            </w:pPr>
          </w:p>
        </w:tc>
      </w:tr>
      <w:tr w:rsidR="002C0FD9" w:rsidRPr="00A16219" w14:paraId="2BC8FC0F" w14:textId="77777777" w:rsidTr="002C0FD9">
        <w:trPr>
          <w:trHeight w:val="635"/>
        </w:trPr>
        <w:tc>
          <w:tcPr>
            <w:tcW w:w="515" w:type="dxa"/>
          </w:tcPr>
          <w:p w14:paraId="358EC918" w14:textId="77777777" w:rsidR="002C0FD9" w:rsidRPr="00CA25CF" w:rsidRDefault="002C0FD9" w:rsidP="00CA25CF">
            <w:pPr>
              <w:rPr>
                <w:rFonts w:cs="Arial"/>
                <w:color w:val="FF0000"/>
                <w:sz w:val="21"/>
                <w:szCs w:val="21"/>
              </w:rPr>
            </w:pPr>
          </w:p>
        </w:tc>
        <w:tc>
          <w:tcPr>
            <w:tcW w:w="217" w:type="dxa"/>
          </w:tcPr>
          <w:p w14:paraId="41C576E2" w14:textId="77777777" w:rsidR="002C0FD9" w:rsidRPr="00CA25CF" w:rsidRDefault="002C0FD9" w:rsidP="00CA25CF">
            <w:pPr>
              <w:rPr>
                <w:rFonts w:cs="Arial"/>
                <w:color w:val="FF0000"/>
                <w:sz w:val="21"/>
                <w:szCs w:val="21"/>
              </w:rPr>
            </w:pPr>
          </w:p>
        </w:tc>
        <w:tc>
          <w:tcPr>
            <w:tcW w:w="217" w:type="dxa"/>
          </w:tcPr>
          <w:p w14:paraId="4F6E9BC9" w14:textId="77777777" w:rsidR="002C0FD9" w:rsidRPr="00CA25CF" w:rsidRDefault="002C0FD9" w:rsidP="00CA25CF">
            <w:pPr>
              <w:rPr>
                <w:rFonts w:cs="Arial"/>
                <w:color w:val="FF0000"/>
                <w:sz w:val="21"/>
                <w:szCs w:val="21"/>
              </w:rPr>
            </w:pPr>
          </w:p>
        </w:tc>
        <w:tc>
          <w:tcPr>
            <w:tcW w:w="217" w:type="dxa"/>
          </w:tcPr>
          <w:p w14:paraId="615B4622" w14:textId="77777777" w:rsidR="002C0FD9" w:rsidRPr="00CA25CF" w:rsidRDefault="002C0FD9" w:rsidP="00CA25CF">
            <w:pPr>
              <w:rPr>
                <w:rFonts w:cs="Arial"/>
                <w:color w:val="FF0000"/>
                <w:sz w:val="21"/>
                <w:szCs w:val="21"/>
              </w:rPr>
            </w:pPr>
          </w:p>
        </w:tc>
        <w:tc>
          <w:tcPr>
            <w:tcW w:w="217" w:type="dxa"/>
          </w:tcPr>
          <w:p w14:paraId="059E7792" w14:textId="77777777" w:rsidR="002C0FD9" w:rsidRPr="00CA25CF" w:rsidRDefault="002C0FD9" w:rsidP="00CA25CF">
            <w:pPr>
              <w:rPr>
                <w:rFonts w:cs="Arial"/>
                <w:color w:val="FF0000"/>
                <w:sz w:val="21"/>
                <w:szCs w:val="21"/>
              </w:rPr>
            </w:pPr>
          </w:p>
        </w:tc>
        <w:tc>
          <w:tcPr>
            <w:tcW w:w="217" w:type="dxa"/>
          </w:tcPr>
          <w:p w14:paraId="2B5DE120" w14:textId="77777777" w:rsidR="002C0FD9" w:rsidRPr="00CA25CF" w:rsidRDefault="002C0FD9" w:rsidP="00CA25CF">
            <w:pPr>
              <w:rPr>
                <w:rFonts w:cs="Arial"/>
                <w:color w:val="FF0000"/>
                <w:sz w:val="21"/>
                <w:szCs w:val="21"/>
              </w:rPr>
            </w:pPr>
          </w:p>
        </w:tc>
        <w:tc>
          <w:tcPr>
            <w:tcW w:w="217" w:type="dxa"/>
          </w:tcPr>
          <w:p w14:paraId="4B924E3C" w14:textId="77777777" w:rsidR="002C0FD9" w:rsidRPr="00CA25CF" w:rsidRDefault="002C0FD9" w:rsidP="00CA25CF">
            <w:pPr>
              <w:rPr>
                <w:rFonts w:cs="Arial"/>
                <w:color w:val="FF0000"/>
                <w:sz w:val="21"/>
                <w:szCs w:val="21"/>
              </w:rPr>
            </w:pPr>
          </w:p>
        </w:tc>
        <w:tc>
          <w:tcPr>
            <w:tcW w:w="217" w:type="dxa"/>
          </w:tcPr>
          <w:p w14:paraId="46D023D2" w14:textId="77777777" w:rsidR="002C0FD9" w:rsidRPr="00CA25CF" w:rsidRDefault="002C0FD9" w:rsidP="00CA25CF">
            <w:pPr>
              <w:rPr>
                <w:rFonts w:cs="Arial"/>
                <w:color w:val="FF0000"/>
                <w:sz w:val="21"/>
                <w:szCs w:val="21"/>
              </w:rPr>
            </w:pPr>
          </w:p>
        </w:tc>
        <w:tc>
          <w:tcPr>
            <w:tcW w:w="217" w:type="dxa"/>
          </w:tcPr>
          <w:p w14:paraId="39FB08D4" w14:textId="77777777" w:rsidR="002C0FD9" w:rsidRPr="00CA25CF" w:rsidRDefault="002C0FD9" w:rsidP="00CA25CF">
            <w:pPr>
              <w:rPr>
                <w:rFonts w:cs="Arial"/>
                <w:color w:val="FF0000"/>
                <w:sz w:val="21"/>
                <w:szCs w:val="21"/>
              </w:rPr>
            </w:pPr>
          </w:p>
        </w:tc>
        <w:tc>
          <w:tcPr>
            <w:tcW w:w="217" w:type="dxa"/>
          </w:tcPr>
          <w:p w14:paraId="6E8E892D" w14:textId="77777777" w:rsidR="002C0FD9" w:rsidRPr="00CA25CF" w:rsidRDefault="002C0FD9" w:rsidP="00CA25CF">
            <w:pPr>
              <w:rPr>
                <w:rFonts w:cs="Arial"/>
                <w:color w:val="FF0000"/>
                <w:sz w:val="21"/>
                <w:szCs w:val="21"/>
              </w:rPr>
            </w:pPr>
          </w:p>
        </w:tc>
        <w:tc>
          <w:tcPr>
            <w:tcW w:w="217" w:type="dxa"/>
          </w:tcPr>
          <w:p w14:paraId="6D316D38" w14:textId="77777777" w:rsidR="002C0FD9" w:rsidRPr="00CA25CF" w:rsidRDefault="002C0FD9" w:rsidP="00CA25CF">
            <w:pPr>
              <w:rPr>
                <w:rFonts w:cs="Arial"/>
                <w:color w:val="FF0000"/>
                <w:sz w:val="21"/>
                <w:szCs w:val="21"/>
              </w:rPr>
            </w:pPr>
          </w:p>
        </w:tc>
        <w:tc>
          <w:tcPr>
            <w:tcW w:w="217" w:type="dxa"/>
          </w:tcPr>
          <w:p w14:paraId="1C37F083" w14:textId="77777777" w:rsidR="002C0FD9" w:rsidRPr="00CA25CF" w:rsidRDefault="002C0FD9" w:rsidP="00CA25CF">
            <w:pPr>
              <w:rPr>
                <w:rFonts w:cs="Arial"/>
                <w:color w:val="FF0000"/>
                <w:sz w:val="21"/>
                <w:szCs w:val="21"/>
              </w:rPr>
            </w:pPr>
          </w:p>
        </w:tc>
        <w:tc>
          <w:tcPr>
            <w:tcW w:w="217" w:type="dxa"/>
          </w:tcPr>
          <w:p w14:paraId="29128C1C" w14:textId="77777777" w:rsidR="002C0FD9" w:rsidRPr="00CA25CF" w:rsidRDefault="002C0FD9" w:rsidP="00CA25CF">
            <w:pPr>
              <w:rPr>
                <w:rFonts w:cs="Arial"/>
                <w:color w:val="FF0000"/>
                <w:sz w:val="21"/>
                <w:szCs w:val="21"/>
              </w:rPr>
            </w:pPr>
          </w:p>
        </w:tc>
        <w:tc>
          <w:tcPr>
            <w:tcW w:w="217" w:type="dxa"/>
          </w:tcPr>
          <w:p w14:paraId="4795E2B1" w14:textId="77777777" w:rsidR="002C0FD9" w:rsidRPr="00CA25CF" w:rsidRDefault="002C0FD9" w:rsidP="00CA25CF">
            <w:pPr>
              <w:rPr>
                <w:rFonts w:cs="Arial"/>
                <w:color w:val="FF0000"/>
                <w:sz w:val="21"/>
                <w:szCs w:val="21"/>
              </w:rPr>
            </w:pPr>
          </w:p>
        </w:tc>
        <w:tc>
          <w:tcPr>
            <w:tcW w:w="217" w:type="dxa"/>
          </w:tcPr>
          <w:p w14:paraId="5C2675F1" w14:textId="77777777" w:rsidR="002C0FD9" w:rsidRPr="00CA25CF" w:rsidRDefault="002C0FD9" w:rsidP="00CA25CF">
            <w:pPr>
              <w:rPr>
                <w:rFonts w:cs="Arial"/>
                <w:color w:val="FF0000"/>
                <w:sz w:val="21"/>
                <w:szCs w:val="21"/>
              </w:rPr>
            </w:pPr>
          </w:p>
        </w:tc>
        <w:tc>
          <w:tcPr>
            <w:tcW w:w="217" w:type="dxa"/>
          </w:tcPr>
          <w:p w14:paraId="4A878FFE" w14:textId="77777777" w:rsidR="002C0FD9" w:rsidRPr="00CA25CF" w:rsidRDefault="002C0FD9" w:rsidP="00CA25CF">
            <w:pPr>
              <w:rPr>
                <w:rFonts w:cs="Arial"/>
                <w:color w:val="FF0000"/>
                <w:sz w:val="21"/>
                <w:szCs w:val="21"/>
              </w:rPr>
            </w:pPr>
          </w:p>
        </w:tc>
        <w:tc>
          <w:tcPr>
            <w:tcW w:w="217" w:type="dxa"/>
          </w:tcPr>
          <w:p w14:paraId="4DABDD43" w14:textId="77777777" w:rsidR="002C0FD9" w:rsidRPr="00CA25CF" w:rsidRDefault="002C0FD9" w:rsidP="00CA25CF">
            <w:pPr>
              <w:rPr>
                <w:rFonts w:cs="Arial"/>
                <w:color w:val="FF0000"/>
                <w:sz w:val="21"/>
                <w:szCs w:val="21"/>
              </w:rPr>
            </w:pPr>
          </w:p>
        </w:tc>
        <w:tc>
          <w:tcPr>
            <w:tcW w:w="217" w:type="dxa"/>
          </w:tcPr>
          <w:p w14:paraId="555432F3" w14:textId="77777777" w:rsidR="002C0FD9" w:rsidRPr="00CA25CF" w:rsidRDefault="002C0FD9" w:rsidP="00CA25CF">
            <w:pPr>
              <w:rPr>
                <w:rFonts w:cs="Arial"/>
                <w:color w:val="FF0000"/>
                <w:sz w:val="21"/>
                <w:szCs w:val="21"/>
              </w:rPr>
            </w:pPr>
          </w:p>
        </w:tc>
        <w:tc>
          <w:tcPr>
            <w:tcW w:w="217" w:type="dxa"/>
          </w:tcPr>
          <w:p w14:paraId="1A33656D" w14:textId="77777777" w:rsidR="002C0FD9" w:rsidRPr="00CA25CF" w:rsidRDefault="002C0FD9" w:rsidP="00CA25CF">
            <w:pPr>
              <w:rPr>
                <w:rFonts w:cs="Arial"/>
                <w:color w:val="FF0000"/>
                <w:sz w:val="21"/>
                <w:szCs w:val="21"/>
              </w:rPr>
            </w:pPr>
          </w:p>
        </w:tc>
        <w:tc>
          <w:tcPr>
            <w:tcW w:w="217" w:type="dxa"/>
          </w:tcPr>
          <w:p w14:paraId="40C6D593" w14:textId="77777777" w:rsidR="002C0FD9" w:rsidRPr="00CA25CF" w:rsidRDefault="002C0FD9" w:rsidP="00CA25CF">
            <w:pPr>
              <w:rPr>
                <w:rFonts w:cs="Arial"/>
                <w:color w:val="FF0000"/>
                <w:sz w:val="21"/>
                <w:szCs w:val="21"/>
              </w:rPr>
            </w:pPr>
          </w:p>
        </w:tc>
        <w:tc>
          <w:tcPr>
            <w:tcW w:w="217" w:type="dxa"/>
          </w:tcPr>
          <w:p w14:paraId="26FC2D1D" w14:textId="77777777" w:rsidR="002C0FD9" w:rsidRPr="00CA25CF" w:rsidRDefault="002C0FD9" w:rsidP="00CA25CF">
            <w:pPr>
              <w:rPr>
                <w:rFonts w:cs="Arial"/>
                <w:color w:val="FF0000"/>
                <w:sz w:val="21"/>
                <w:szCs w:val="21"/>
              </w:rPr>
            </w:pPr>
          </w:p>
        </w:tc>
        <w:tc>
          <w:tcPr>
            <w:tcW w:w="217" w:type="dxa"/>
          </w:tcPr>
          <w:p w14:paraId="335B7AAB" w14:textId="77777777" w:rsidR="002C0FD9" w:rsidRPr="00CA25CF" w:rsidRDefault="002C0FD9" w:rsidP="00CA25CF">
            <w:pPr>
              <w:rPr>
                <w:rFonts w:cs="Arial"/>
                <w:color w:val="FF0000"/>
                <w:sz w:val="21"/>
                <w:szCs w:val="21"/>
              </w:rPr>
            </w:pPr>
          </w:p>
        </w:tc>
        <w:tc>
          <w:tcPr>
            <w:tcW w:w="217" w:type="dxa"/>
          </w:tcPr>
          <w:p w14:paraId="577DB063" w14:textId="77777777" w:rsidR="002C0FD9" w:rsidRPr="00CA25CF" w:rsidRDefault="002C0FD9" w:rsidP="00CA25CF">
            <w:pPr>
              <w:rPr>
                <w:rFonts w:cs="Arial"/>
                <w:color w:val="FF0000"/>
                <w:sz w:val="21"/>
                <w:szCs w:val="21"/>
              </w:rPr>
            </w:pPr>
          </w:p>
        </w:tc>
        <w:tc>
          <w:tcPr>
            <w:tcW w:w="217" w:type="dxa"/>
          </w:tcPr>
          <w:p w14:paraId="0BE49DA2" w14:textId="77777777" w:rsidR="002C0FD9" w:rsidRPr="00CA25CF" w:rsidRDefault="002C0FD9" w:rsidP="00CA25CF">
            <w:pPr>
              <w:rPr>
                <w:rFonts w:cs="Arial"/>
                <w:color w:val="FF0000"/>
                <w:sz w:val="21"/>
                <w:szCs w:val="21"/>
              </w:rPr>
            </w:pPr>
          </w:p>
        </w:tc>
        <w:tc>
          <w:tcPr>
            <w:tcW w:w="217" w:type="dxa"/>
          </w:tcPr>
          <w:p w14:paraId="5C801742" w14:textId="77777777" w:rsidR="002C0FD9" w:rsidRPr="00CA25CF" w:rsidRDefault="002C0FD9" w:rsidP="00CA25CF">
            <w:pPr>
              <w:rPr>
                <w:rFonts w:cs="Arial"/>
                <w:color w:val="FF0000"/>
                <w:sz w:val="21"/>
                <w:szCs w:val="21"/>
              </w:rPr>
            </w:pPr>
          </w:p>
        </w:tc>
        <w:tc>
          <w:tcPr>
            <w:tcW w:w="217" w:type="dxa"/>
          </w:tcPr>
          <w:p w14:paraId="39091CCA" w14:textId="77777777" w:rsidR="002C0FD9" w:rsidRPr="00CA25CF" w:rsidRDefault="002C0FD9" w:rsidP="00CA25CF">
            <w:pPr>
              <w:rPr>
                <w:rFonts w:cs="Arial"/>
                <w:color w:val="FF0000"/>
                <w:sz w:val="21"/>
                <w:szCs w:val="21"/>
              </w:rPr>
            </w:pPr>
          </w:p>
        </w:tc>
        <w:tc>
          <w:tcPr>
            <w:tcW w:w="217" w:type="dxa"/>
          </w:tcPr>
          <w:p w14:paraId="2DA234BF" w14:textId="77777777" w:rsidR="002C0FD9" w:rsidRPr="00CA25CF" w:rsidRDefault="002C0FD9" w:rsidP="00CA25CF">
            <w:pPr>
              <w:rPr>
                <w:rFonts w:cs="Arial"/>
                <w:color w:val="FF0000"/>
                <w:sz w:val="21"/>
                <w:szCs w:val="21"/>
              </w:rPr>
            </w:pPr>
          </w:p>
        </w:tc>
        <w:tc>
          <w:tcPr>
            <w:tcW w:w="217" w:type="dxa"/>
          </w:tcPr>
          <w:p w14:paraId="42CE422D" w14:textId="77777777" w:rsidR="002C0FD9" w:rsidRPr="00CA25CF" w:rsidRDefault="002C0FD9" w:rsidP="00CA25CF">
            <w:pPr>
              <w:rPr>
                <w:rFonts w:cs="Arial"/>
                <w:color w:val="FF0000"/>
                <w:sz w:val="21"/>
                <w:szCs w:val="21"/>
              </w:rPr>
            </w:pPr>
          </w:p>
        </w:tc>
        <w:tc>
          <w:tcPr>
            <w:tcW w:w="217" w:type="dxa"/>
          </w:tcPr>
          <w:p w14:paraId="7DCD9A6D" w14:textId="77777777" w:rsidR="002C0FD9" w:rsidRPr="00CA25CF" w:rsidRDefault="002C0FD9" w:rsidP="00CA25CF">
            <w:pPr>
              <w:rPr>
                <w:rFonts w:cs="Arial"/>
                <w:color w:val="FF0000"/>
                <w:sz w:val="21"/>
                <w:szCs w:val="21"/>
              </w:rPr>
            </w:pPr>
          </w:p>
        </w:tc>
        <w:tc>
          <w:tcPr>
            <w:tcW w:w="217" w:type="dxa"/>
          </w:tcPr>
          <w:p w14:paraId="53AA3EE2" w14:textId="77777777" w:rsidR="002C0FD9" w:rsidRPr="00CA25CF" w:rsidRDefault="002C0FD9" w:rsidP="00CA25CF">
            <w:pPr>
              <w:rPr>
                <w:rFonts w:cs="Arial"/>
                <w:color w:val="FF0000"/>
                <w:sz w:val="21"/>
                <w:szCs w:val="21"/>
              </w:rPr>
            </w:pPr>
          </w:p>
        </w:tc>
        <w:tc>
          <w:tcPr>
            <w:tcW w:w="217" w:type="dxa"/>
          </w:tcPr>
          <w:p w14:paraId="453B4489" w14:textId="77777777" w:rsidR="002C0FD9" w:rsidRPr="00CA25CF" w:rsidRDefault="002C0FD9" w:rsidP="00CA25CF">
            <w:pPr>
              <w:rPr>
                <w:rFonts w:cs="Arial"/>
                <w:color w:val="FF0000"/>
                <w:sz w:val="21"/>
                <w:szCs w:val="21"/>
              </w:rPr>
            </w:pPr>
          </w:p>
        </w:tc>
        <w:tc>
          <w:tcPr>
            <w:tcW w:w="217" w:type="dxa"/>
          </w:tcPr>
          <w:p w14:paraId="0DC10CD8" w14:textId="77777777" w:rsidR="002C0FD9" w:rsidRPr="00CA25CF" w:rsidRDefault="002C0FD9" w:rsidP="00CA25CF">
            <w:pPr>
              <w:rPr>
                <w:rFonts w:cs="Arial"/>
                <w:color w:val="FF0000"/>
                <w:sz w:val="21"/>
                <w:szCs w:val="21"/>
              </w:rPr>
            </w:pPr>
          </w:p>
        </w:tc>
        <w:tc>
          <w:tcPr>
            <w:tcW w:w="217" w:type="dxa"/>
          </w:tcPr>
          <w:p w14:paraId="4216827A" w14:textId="77777777" w:rsidR="002C0FD9" w:rsidRPr="00CA25CF" w:rsidRDefault="002C0FD9" w:rsidP="00CA25CF">
            <w:pPr>
              <w:rPr>
                <w:rFonts w:cs="Arial"/>
                <w:color w:val="FF0000"/>
                <w:sz w:val="21"/>
                <w:szCs w:val="21"/>
              </w:rPr>
            </w:pPr>
          </w:p>
        </w:tc>
        <w:tc>
          <w:tcPr>
            <w:tcW w:w="217" w:type="dxa"/>
          </w:tcPr>
          <w:p w14:paraId="74984B26" w14:textId="77777777" w:rsidR="002C0FD9" w:rsidRPr="00CA25CF" w:rsidRDefault="002C0FD9" w:rsidP="00CA25CF">
            <w:pPr>
              <w:rPr>
                <w:rFonts w:cs="Arial"/>
                <w:color w:val="FF0000"/>
                <w:sz w:val="21"/>
                <w:szCs w:val="21"/>
              </w:rPr>
            </w:pPr>
          </w:p>
        </w:tc>
        <w:tc>
          <w:tcPr>
            <w:tcW w:w="217" w:type="dxa"/>
          </w:tcPr>
          <w:p w14:paraId="1187DFED" w14:textId="77777777" w:rsidR="002C0FD9" w:rsidRPr="00CA25CF" w:rsidRDefault="002C0FD9" w:rsidP="00CA25CF">
            <w:pPr>
              <w:rPr>
                <w:rFonts w:cs="Arial"/>
                <w:color w:val="FF0000"/>
                <w:sz w:val="21"/>
                <w:szCs w:val="21"/>
              </w:rPr>
            </w:pPr>
          </w:p>
        </w:tc>
        <w:tc>
          <w:tcPr>
            <w:tcW w:w="217" w:type="dxa"/>
          </w:tcPr>
          <w:p w14:paraId="24A648F6" w14:textId="77777777" w:rsidR="002C0FD9" w:rsidRPr="00CA25CF" w:rsidRDefault="002C0FD9" w:rsidP="00CA25CF">
            <w:pPr>
              <w:rPr>
                <w:rFonts w:cs="Arial"/>
                <w:color w:val="FF0000"/>
                <w:sz w:val="21"/>
                <w:szCs w:val="21"/>
              </w:rPr>
            </w:pPr>
          </w:p>
        </w:tc>
        <w:tc>
          <w:tcPr>
            <w:tcW w:w="217" w:type="dxa"/>
          </w:tcPr>
          <w:p w14:paraId="1A49D23F" w14:textId="77777777" w:rsidR="002C0FD9" w:rsidRPr="00CA25CF" w:rsidRDefault="002C0FD9" w:rsidP="00CA25CF">
            <w:pPr>
              <w:rPr>
                <w:rFonts w:cs="Arial"/>
                <w:color w:val="FF0000"/>
                <w:sz w:val="21"/>
                <w:szCs w:val="21"/>
              </w:rPr>
            </w:pPr>
          </w:p>
        </w:tc>
        <w:tc>
          <w:tcPr>
            <w:tcW w:w="217" w:type="dxa"/>
          </w:tcPr>
          <w:p w14:paraId="1D137C4D" w14:textId="77777777" w:rsidR="002C0FD9" w:rsidRPr="00CA25CF" w:rsidRDefault="002C0FD9" w:rsidP="00CA25CF">
            <w:pPr>
              <w:rPr>
                <w:rFonts w:cs="Arial"/>
                <w:color w:val="FF0000"/>
                <w:sz w:val="21"/>
                <w:szCs w:val="21"/>
              </w:rPr>
            </w:pPr>
          </w:p>
        </w:tc>
        <w:tc>
          <w:tcPr>
            <w:tcW w:w="217" w:type="dxa"/>
          </w:tcPr>
          <w:p w14:paraId="0F945F68" w14:textId="77777777" w:rsidR="002C0FD9" w:rsidRPr="00CA25CF" w:rsidRDefault="002C0FD9" w:rsidP="00CA25CF">
            <w:pPr>
              <w:rPr>
                <w:rFonts w:cs="Arial"/>
                <w:color w:val="FF0000"/>
                <w:sz w:val="21"/>
                <w:szCs w:val="21"/>
              </w:rPr>
            </w:pPr>
          </w:p>
        </w:tc>
        <w:tc>
          <w:tcPr>
            <w:tcW w:w="217" w:type="dxa"/>
          </w:tcPr>
          <w:p w14:paraId="4A1CCC8E" w14:textId="77777777" w:rsidR="002C0FD9" w:rsidRPr="00CA25CF" w:rsidRDefault="002C0FD9" w:rsidP="00CA25CF">
            <w:pPr>
              <w:rPr>
                <w:rFonts w:cs="Arial"/>
                <w:color w:val="FF0000"/>
                <w:sz w:val="21"/>
                <w:szCs w:val="21"/>
              </w:rPr>
            </w:pPr>
          </w:p>
        </w:tc>
        <w:tc>
          <w:tcPr>
            <w:tcW w:w="217" w:type="dxa"/>
          </w:tcPr>
          <w:p w14:paraId="4DE05121" w14:textId="77777777" w:rsidR="002C0FD9" w:rsidRPr="00CA25CF" w:rsidRDefault="002C0FD9" w:rsidP="00CA25CF">
            <w:pPr>
              <w:rPr>
                <w:rFonts w:cs="Arial"/>
                <w:color w:val="FF0000"/>
                <w:sz w:val="21"/>
                <w:szCs w:val="21"/>
              </w:rPr>
            </w:pPr>
          </w:p>
        </w:tc>
        <w:tc>
          <w:tcPr>
            <w:tcW w:w="217" w:type="dxa"/>
          </w:tcPr>
          <w:p w14:paraId="31954E42" w14:textId="77777777" w:rsidR="002C0FD9" w:rsidRPr="00CA25CF" w:rsidRDefault="002C0FD9" w:rsidP="00CA25CF">
            <w:pPr>
              <w:rPr>
                <w:rFonts w:cs="Arial"/>
                <w:color w:val="FF0000"/>
                <w:sz w:val="21"/>
                <w:szCs w:val="21"/>
              </w:rPr>
            </w:pPr>
          </w:p>
        </w:tc>
        <w:tc>
          <w:tcPr>
            <w:tcW w:w="217" w:type="dxa"/>
          </w:tcPr>
          <w:p w14:paraId="47E809B3" w14:textId="77777777" w:rsidR="002C0FD9" w:rsidRPr="00CA25CF" w:rsidRDefault="002C0FD9" w:rsidP="00CA25CF">
            <w:pPr>
              <w:rPr>
                <w:rFonts w:cs="Arial"/>
                <w:color w:val="FF0000"/>
                <w:sz w:val="21"/>
                <w:szCs w:val="21"/>
              </w:rPr>
            </w:pPr>
          </w:p>
        </w:tc>
      </w:tr>
      <w:tr w:rsidR="002C0FD9" w:rsidRPr="00A16219" w14:paraId="4DBA75D6" w14:textId="77777777" w:rsidTr="002C0FD9">
        <w:trPr>
          <w:trHeight w:val="635"/>
        </w:trPr>
        <w:tc>
          <w:tcPr>
            <w:tcW w:w="515" w:type="dxa"/>
          </w:tcPr>
          <w:p w14:paraId="587A91BB" w14:textId="77777777" w:rsidR="002C0FD9" w:rsidRPr="00CA25CF" w:rsidRDefault="002C0FD9" w:rsidP="00CA25CF">
            <w:pPr>
              <w:rPr>
                <w:rFonts w:cs="Arial"/>
                <w:color w:val="FF0000"/>
                <w:sz w:val="21"/>
                <w:szCs w:val="21"/>
              </w:rPr>
            </w:pPr>
          </w:p>
        </w:tc>
        <w:tc>
          <w:tcPr>
            <w:tcW w:w="217" w:type="dxa"/>
          </w:tcPr>
          <w:p w14:paraId="71359B4E" w14:textId="77777777" w:rsidR="002C0FD9" w:rsidRPr="00CA25CF" w:rsidRDefault="002C0FD9" w:rsidP="00CA25CF">
            <w:pPr>
              <w:rPr>
                <w:rFonts w:cs="Arial"/>
                <w:color w:val="FF0000"/>
                <w:sz w:val="21"/>
                <w:szCs w:val="21"/>
              </w:rPr>
            </w:pPr>
          </w:p>
        </w:tc>
        <w:tc>
          <w:tcPr>
            <w:tcW w:w="217" w:type="dxa"/>
          </w:tcPr>
          <w:p w14:paraId="30940083" w14:textId="77777777" w:rsidR="002C0FD9" w:rsidRPr="00CA25CF" w:rsidRDefault="002C0FD9" w:rsidP="00CA25CF">
            <w:pPr>
              <w:rPr>
                <w:rFonts w:cs="Arial"/>
                <w:color w:val="FF0000"/>
                <w:sz w:val="21"/>
                <w:szCs w:val="21"/>
              </w:rPr>
            </w:pPr>
          </w:p>
        </w:tc>
        <w:tc>
          <w:tcPr>
            <w:tcW w:w="217" w:type="dxa"/>
          </w:tcPr>
          <w:p w14:paraId="38E48120" w14:textId="77777777" w:rsidR="002C0FD9" w:rsidRPr="00CA25CF" w:rsidRDefault="002C0FD9" w:rsidP="00CA25CF">
            <w:pPr>
              <w:rPr>
                <w:rFonts w:cs="Arial"/>
                <w:color w:val="FF0000"/>
                <w:sz w:val="21"/>
                <w:szCs w:val="21"/>
              </w:rPr>
            </w:pPr>
          </w:p>
        </w:tc>
        <w:tc>
          <w:tcPr>
            <w:tcW w:w="217" w:type="dxa"/>
          </w:tcPr>
          <w:p w14:paraId="313A72CE" w14:textId="77777777" w:rsidR="002C0FD9" w:rsidRPr="00CA25CF" w:rsidRDefault="002C0FD9" w:rsidP="00CA25CF">
            <w:pPr>
              <w:rPr>
                <w:rFonts w:cs="Arial"/>
                <w:color w:val="FF0000"/>
                <w:sz w:val="21"/>
                <w:szCs w:val="21"/>
              </w:rPr>
            </w:pPr>
          </w:p>
        </w:tc>
        <w:tc>
          <w:tcPr>
            <w:tcW w:w="217" w:type="dxa"/>
          </w:tcPr>
          <w:p w14:paraId="2A531BEF" w14:textId="77777777" w:rsidR="002C0FD9" w:rsidRPr="00CA25CF" w:rsidRDefault="002C0FD9" w:rsidP="00CA25CF">
            <w:pPr>
              <w:rPr>
                <w:rFonts w:cs="Arial"/>
                <w:color w:val="FF0000"/>
                <w:sz w:val="21"/>
                <w:szCs w:val="21"/>
              </w:rPr>
            </w:pPr>
          </w:p>
        </w:tc>
        <w:tc>
          <w:tcPr>
            <w:tcW w:w="217" w:type="dxa"/>
          </w:tcPr>
          <w:p w14:paraId="51636428" w14:textId="77777777" w:rsidR="002C0FD9" w:rsidRPr="00CA25CF" w:rsidRDefault="002C0FD9" w:rsidP="00CA25CF">
            <w:pPr>
              <w:rPr>
                <w:rFonts w:cs="Arial"/>
                <w:color w:val="FF0000"/>
                <w:sz w:val="21"/>
                <w:szCs w:val="21"/>
              </w:rPr>
            </w:pPr>
          </w:p>
        </w:tc>
        <w:tc>
          <w:tcPr>
            <w:tcW w:w="217" w:type="dxa"/>
          </w:tcPr>
          <w:p w14:paraId="6D06458B" w14:textId="77777777" w:rsidR="002C0FD9" w:rsidRPr="00CA25CF" w:rsidRDefault="002C0FD9" w:rsidP="00CA25CF">
            <w:pPr>
              <w:rPr>
                <w:rFonts w:cs="Arial"/>
                <w:color w:val="FF0000"/>
                <w:sz w:val="21"/>
                <w:szCs w:val="21"/>
              </w:rPr>
            </w:pPr>
          </w:p>
        </w:tc>
        <w:tc>
          <w:tcPr>
            <w:tcW w:w="217" w:type="dxa"/>
          </w:tcPr>
          <w:p w14:paraId="24A6DEBB" w14:textId="77777777" w:rsidR="002C0FD9" w:rsidRPr="00CA25CF" w:rsidRDefault="002C0FD9" w:rsidP="00CA25CF">
            <w:pPr>
              <w:rPr>
                <w:rFonts w:cs="Arial"/>
                <w:color w:val="FF0000"/>
                <w:sz w:val="21"/>
                <w:szCs w:val="21"/>
              </w:rPr>
            </w:pPr>
          </w:p>
        </w:tc>
        <w:tc>
          <w:tcPr>
            <w:tcW w:w="217" w:type="dxa"/>
          </w:tcPr>
          <w:p w14:paraId="30BB81BA" w14:textId="77777777" w:rsidR="002C0FD9" w:rsidRPr="00CA25CF" w:rsidRDefault="002C0FD9" w:rsidP="00CA25CF">
            <w:pPr>
              <w:rPr>
                <w:rFonts w:cs="Arial"/>
                <w:color w:val="FF0000"/>
                <w:sz w:val="21"/>
                <w:szCs w:val="21"/>
              </w:rPr>
            </w:pPr>
          </w:p>
        </w:tc>
        <w:tc>
          <w:tcPr>
            <w:tcW w:w="217" w:type="dxa"/>
          </w:tcPr>
          <w:p w14:paraId="246C9596" w14:textId="77777777" w:rsidR="002C0FD9" w:rsidRPr="00CA25CF" w:rsidRDefault="002C0FD9" w:rsidP="00CA25CF">
            <w:pPr>
              <w:rPr>
                <w:rFonts w:cs="Arial"/>
                <w:color w:val="FF0000"/>
                <w:sz w:val="21"/>
                <w:szCs w:val="21"/>
              </w:rPr>
            </w:pPr>
          </w:p>
        </w:tc>
        <w:tc>
          <w:tcPr>
            <w:tcW w:w="217" w:type="dxa"/>
          </w:tcPr>
          <w:p w14:paraId="74B36D3C" w14:textId="77777777" w:rsidR="002C0FD9" w:rsidRPr="00CA25CF" w:rsidRDefault="002C0FD9" w:rsidP="00CA25CF">
            <w:pPr>
              <w:rPr>
                <w:rFonts w:cs="Arial"/>
                <w:color w:val="FF0000"/>
                <w:sz w:val="21"/>
                <w:szCs w:val="21"/>
              </w:rPr>
            </w:pPr>
          </w:p>
        </w:tc>
        <w:tc>
          <w:tcPr>
            <w:tcW w:w="217" w:type="dxa"/>
          </w:tcPr>
          <w:p w14:paraId="22729D85" w14:textId="77777777" w:rsidR="002C0FD9" w:rsidRPr="00CA25CF" w:rsidRDefault="002C0FD9" w:rsidP="00CA25CF">
            <w:pPr>
              <w:rPr>
                <w:rFonts w:cs="Arial"/>
                <w:color w:val="FF0000"/>
                <w:sz w:val="21"/>
                <w:szCs w:val="21"/>
              </w:rPr>
            </w:pPr>
          </w:p>
        </w:tc>
        <w:tc>
          <w:tcPr>
            <w:tcW w:w="217" w:type="dxa"/>
          </w:tcPr>
          <w:p w14:paraId="2211C16C" w14:textId="77777777" w:rsidR="002C0FD9" w:rsidRPr="00CA25CF" w:rsidRDefault="002C0FD9" w:rsidP="00CA25CF">
            <w:pPr>
              <w:rPr>
                <w:rFonts w:cs="Arial"/>
                <w:color w:val="FF0000"/>
                <w:sz w:val="21"/>
                <w:szCs w:val="21"/>
              </w:rPr>
            </w:pPr>
          </w:p>
        </w:tc>
        <w:tc>
          <w:tcPr>
            <w:tcW w:w="217" w:type="dxa"/>
          </w:tcPr>
          <w:p w14:paraId="1E36185D" w14:textId="77777777" w:rsidR="002C0FD9" w:rsidRPr="00CA25CF" w:rsidRDefault="002C0FD9" w:rsidP="00CA25CF">
            <w:pPr>
              <w:rPr>
                <w:rFonts w:cs="Arial"/>
                <w:color w:val="FF0000"/>
                <w:sz w:val="21"/>
                <w:szCs w:val="21"/>
              </w:rPr>
            </w:pPr>
          </w:p>
        </w:tc>
        <w:tc>
          <w:tcPr>
            <w:tcW w:w="217" w:type="dxa"/>
          </w:tcPr>
          <w:p w14:paraId="1C51703E" w14:textId="77777777" w:rsidR="002C0FD9" w:rsidRPr="00CA25CF" w:rsidRDefault="002C0FD9" w:rsidP="00CA25CF">
            <w:pPr>
              <w:rPr>
                <w:rFonts w:cs="Arial"/>
                <w:color w:val="FF0000"/>
                <w:sz w:val="21"/>
                <w:szCs w:val="21"/>
              </w:rPr>
            </w:pPr>
          </w:p>
        </w:tc>
        <w:tc>
          <w:tcPr>
            <w:tcW w:w="217" w:type="dxa"/>
          </w:tcPr>
          <w:p w14:paraId="7B4BC6CC" w14:textId="77777777" w:rsidR="002C0FD9" w:rsidRPr="00CA25CF" w:rsidRDefault="002C0FD9" w:rsidP="00CA25CF">
            <w:pPr>
              <w:rPr>
                <w:rFonts w:cs="Arial"/>
                <w:color w:val="FF0000"/>
                <w:sz w:val="21"/>
                <w:szCs w:val="21"/>
              </w:rPr>
            </w:pPr>
          </w:p>
        </w:tc>
        <w:tc>
          <w:tcPr>
            <w:tcW w:w="217" w:type="dxa"/>
          </w:tcPr>
          <w:p w14:paraId="25167CDE" w14:textId="77777777" w:rsidR="002C0FD9" w:rsidRPr="00CA25CF" w:rsidRDefault="002C0FD9" w:rsidP="00CA25CF">
            <w:pPr>
              <w:rPr>
                <w:rFonts w:cs="Arial"/>
                <w:color w:val="FF0000"/>
                <w:sz w:val="21"/>
                <w:szCs w:val="21"/>
              </w:rPr>
            </w:pPr>
          </w:p>
        </w:tc>
        <w:tc>
          <w:tcPr>
            <w:tcW w:w="217" w:type="dxa"/>
          </w:tcPr>
          <w:p w14:paraId="6AC114C2" w14:textId="77777777" w:rsidR="002C0FD9" w:rsidRPr="00CA25CF" w:rsidRDefault="002C0FD9" w:rsidP="00CA25CF">
            <w:pPr>
              <w:rPr>
                <w:rFonts w:cs="Arial"/>
                <w:color w:val="FF0000"/>
                <w:sz w:val="21"/>
                <w:szCs w:val="21"/>
              </w:rPr>
            </w:pPr>
          </w:p>
        </w:tc>
        <w:tc>
          <w:tcPr>
            <w:tcW w:w="217" w:type="dxa"/>
          </w:tcPr>
          <w:p w14:paraId="0C463497" w14:textId="77777777" w:rsidR="002C0FD9" w:rsidRPr="00CA25CF" w:rsidRDefault="002C0FD9" w:rsidP="00CA25CF">
            <w:pPr>
              <w:rPr>
                <w:rFonts w:cs="Arial"/>
                <w:color w:val="FF0000"/>
                <w:sz w:val="21"/>
                <w:szCs w:val="21"/>
              </w:rPr>
            </w:pPr>
          </w:p>
        </w:tc>
        <w:tc>
          <w:tcPr>
            <w:tcW w:w="217" w:type="dxa"/>
          </w:tcPr>
          <w:p w14:paraId="7C5C3DB9" w14:textId="77777777" w:rsidR="002C0FD9" w:rsidRPr="00CA25CF" w:rsidRDefault="002C0FD9" w:rsidP="00CA25CF">
            <w:pPr>
              <w:rPr>
                <w:rFonts w:cs="Arial"/>
                <w:color w:val="FF0000"/>
                <w:sz w:val="21"/>
                <w:szCs w:val="21"/>
              </w:rPr>
            </w:pPr>
          </w:p>
        </w:tc>
        <w:tc>
          <w:tcPr>
            <w:tcW w:w="217" w:type="dxa"/>
          </w:tcPr>
          <w:p w14:paraId="79B8DD3C" w14:textId="77777777" w:rsidR="002C0FD9" w:rsidRPr="00CA25CF" w:rsidRDefault="002C0FD9" w:rsidP="00CA25CF">
            <w:pPr>
              <w:rPr>
                <w:rFonts w:cs="Arial"/>
                <w:color w:val="FF0000"/>
                <w:sz w:val="21"/>
                <w:szCs w:val="21"/>
              </w:rPr>
            </w:pPr>
          </w:p>
        </w:tc>
        <w:tc>
          <w:tcPr>
            <w:tcW w:w="217" w:type="dxa"/>
          </w:tcPr>
          <w:p w14:paraId="440C50BD" w14:textId="77777777" w:rsidR="002C0FD9" w:rsidRPr="00CA25CF" w:rsidRDefault="002C0FD9" w:rsidP="00CA25CF">
            <w:pPr>
              <w:rPr>
                <w:rFonts w:cs="Arial"/>
                <w:color w:val="FF0000"/>
                <w:sz w:val="21"/>
                <w:szCs w:val="21"/>
              </w:rPr>
            </w:pPr>
          </w:p>
        </w:tc>
        <w:tc>
          <w:tcPr>
            <w:tcW w:w="217" w:type="dxa"/>
          </w:tcPr>
          <w:p w14:paraId="27824BF0" w14:textId="77777777" w:rsidR="002C0FD9" w:rsidRPr="00CA25CF" w:rsidRDefault="002C0FD9" w:rsidP="00CA25CF">
            <w:pPr>
              <w:rPr>
                <w:rFonts w:cs="Arial"/>
                <w:color w:val="FF0000"/>
                <w:sz w:val="21"/>
                <w:szCs w:val="21"/>
              </w:rPr>
            </w:pPr>
          </w:p>
        </w:tc>
        <w:tc>
          <w:tcPr>
            <w:tcW w:w="217" w:type="dxa"/>
          </w:tcPr>
          <w:p w14:paraId="4CA7F188" w14:textId="77777777" w:rsidR="002C0FD9" w:rsidRPr="00CA25CF" w:rsidRDefault="002C0FD9" w:rsidP="00CA25CF">
            <w:pPr>
              <w:rPr>
                <w:rFonts w:cs="Arial"/>
                <w:color w:val="FF0000"/>
                <w:sz w:val="21"/>
                <w:szCs w:val="21"/>
              </w:rPr>
            </w:pPr>
          </w:p>
        </w:tc>
        <w:tc>
          <w:tcPr>
            <w:tcW w:w="217" w:type="dxa"/>
          </w:tcPr>
          <w:p w14:paraId="61E9C2D9" w14:textId="77777777" w:rsidR="002C0FD9" w:rsidRPr="00CA25CF" w:rsidRDefault="002C0FD9" w:rsidP="00CA25CF">
            <w:pPr>
              <w:rPr>
                <w:rFonts w:cs="Arial"/>
                <w:color w:val="FF0000"/>
                <w:sz w:val="21"/>
                <w:szCs w:val="21"/>
              </w:rPr>
            </w:pPr>
          </w:p>
        </w:tc>
        <w:tc>
          <w:tcPr>
            <w:tcW w:w="217" w:type="dxa"/>
          </w:tcPr>
          <w:p w14:paraId="5FE4F3DE" w14:textId="77777777" w:rsidR="002C0FD9" w:rsidRPr="00CA25CF" w:rsidRDefault="002C0FD9" w:rsidP="00CA25CF">
            <w:pPr>
              <w:rPr>
                <w:rFonts w:cs="Arial"/>
                <w:color w:val="FF0000"/>
                <w:sz w:val="21"/>
                <w:szCs w:val="21"/>
              </w:rPr>
            </w:pPr>
          </w:p>
        </w:tc>
        <w:tc>
          <w:tcPr>
            <w:tcW w:w="217" w:type="dxa"/>
          </w:tcPr>
          <w:p w14:paraId="6D6C8135" w14:textId="77777777" w:rsidR="002C0FD9" w:rsidRPr="00CA25CF" w:rsidRDefault="002C0FD9" w:rsidP="00CA25CF">
            <w:pPr>
              <w:rPr>
                <w:rFonts w:cs="Arial"/>
                <w:color w:val="FF0000"/>
                <w:sz w:val="21"/>
                <w:szCs w:val="21"/>
              </w:rPr>
            </w:pPr>
          </w:p>
        </w:tc>
        <w:tc>
          <w:tcPr>
            <w:tcW w:w="217" w:type="dxa"/>
          </w:tcPr>
          <w:p w14:paraId="76A5CE3A" w14:textId="77777777" w:rsidR="002C0FD9" w:rsidRPr="00CA25CF" w:rsidRDefault="002C0FD9" w:rsidP="00CA25CF">
            <w:pPr>
              <w:rPr>
                <w:rFonts w:cs="Arial"/>
                <w:color w:val="FF0000"/>
                <w:sz w:val="21"/>
                <w:szCs w:val="21"/>
              </w:rPr>
            </w:pPr>
          </w:p>
        </w:tc>
        <w:tc>
          <w:tcPr>
            <w:tcW w:w="217" w:type="dxa"/>
          </w:tcPr>
          <w:p w14:paraId="51E59090" w14:textId="77777777" w:rsidR="002C0FD9" w:rsidRPr="00CA25CF" w:rsidRDefault="002C0FD9" w:rsidP="00CA25CF">
            <w:pPr>
              <w:rPr>
                <w:rFonts w:cs="Arial"/>
                <w:color w:val="FF0000"/>
                <w:sz w:val="21"/>
                <w:szCs w:val="21"/>
              </w:rPr>
            </w:pPr>
          </w:p>
        </w:tc>
        <w:tc>
          <w:tcPr>
            <w:tcW w:w="217" w:type="dxa"/>
          </w:tcPr>
          <w:p w14:paraId="6EE7CA23" w14:textId="77777777" w:rsidR="002C0FD9" w:rsidRPr="00CA25CF" w:rsidRDefault="002C0FD9" w:rsidP="00CA25CF">
            <w:pPr>
              <w:rPr>
                <w:rFonts w:cs="Arial"/>
                <w:color w:val="FF0000"/>
                <w:sz w:val="21"/>
                <w:szCs w:val="21"/>
              </w:rPr>
            </w:pPr>
          </w:p>
        </w:tc>
        <w:tc>
          <w:tcPr>
            <w:tcW w:w="217" w:type="dxa"/>
          </w:tcPr>
          <w:p w14:paraId="4D429B26" w14:textId="77777777" w:rsidR="002C0FD9" w:rsidRPr="00CA25CF" w:rsidRDefault="002C0FD9" w:rsidP="00CA25CF">
            <w:pPr>
              <w:rPr>
                <w:rFonts w:cs="Arial"/>
                <w:color w:val="FF0000"/>
                <w:sz w:val="21"/>
                <w:szCs w:val="21"/>
              </w:rPr>
            </w:pPr>
          </w:p>
        </w:tc>
        <w:tc>
          <w:tcPr>
            <w:tcW w:w="217" w:type="dxa"/>
          </w:tcPr>
          <w:p w14:paraId="0F46D301" w14:textId="77777777" w:rsidR="002C0FD9" w:rsidRPr="00CA25CF" w:rsidRDefault="002C0FD9" w:rsidP="00CA25CF">
            <w:pPr>
              <w:rPr>
                <w:rFonts w:cs="Arial"/>
                <w:color w:val="FF0000"/>
                <w:sz w:val="21"/>
                <w:szCs w:val="21"/>
              </w:rPr>
            </w:pPr>
          </w:p>
        </w:tc>
        <w:tc>
          <w:tcPr>
            <w:tcW w:w="217" w:type="dxa"/>
          </w:tcPr>
          <w:p w14:paraId="2B198ACE" w14:textId="77777777" w:rsidR="002C0FD9" w:rsidRPr="00CA25CF" w:rsidRDefault="002C0FD9" w:rsidP="00CA25CF">
            <w:pPr>
              <w:rPr>
                <w:rFonts w:cs="Arial"/>
                <w:color w:val="FF0000"/>
                <w:sz w:val="21"/>
                <w:szCs w:val="21"/>
              </w:rPr>
            </w:pPr>
          </w:p>
        </w:tc>
        <w:tc>
          <w:tcPr>
            <w:tcW w:w="217" w:type="dxa"/>
          </w:tcPr>
          <w:p w14:paraId="0DEED895" w14:textId="77777777" w:rsidR="002C0FD9" w:rsidRPr="00CA25CF" w:rsidRDefault="002C0FD9" w:rsidP="00CA25CF">
            <w:pPr>
              <w:rPr>
                <w:rFonts w:cs="Arial"/>
                <w:color w:val="FF0000"/>
                <w:sz w:val="21"/>
                <w:szCs w:val="21"/>
              </w:rPr>
            </w:pPr>
          </w:p>
        </w:tc>
        <w:tc>
          <w:tcPr>
            <w:tcW w:w="217" w:type="dxa"/>
          </w:tcPr>
          <w:p w14:paraId="1EF77425" w14:textId="77777777" w:rsidR="002C0FD9" w:rsidRPr="00CA25CF" w:rsidRDefault="002C0FD9" w:rsidP="00CA25CF">
            <w:pPr>
              <w:rPr>
                <w:rFonts w:cs="Arial"/>
                <w:color w:val="FF0000"/>
                <w:sz w:val="21"/>
                <w:szCs w:val="21"/>
              </w:rPr>
            </w:pPr>
          </w:p>
        </w:tc>
        <w:tc>
          <w:tcPr>
            <w:tcW w:w="217" w:type="dxa"/>
          </w:tcPr>
          <w:p w14:paraId="162F62C5" w14:textId="77777777" w:rsidR="002C0FD9" w:rsidRPr="00CA25CF" w:rsidRDefault="002C0FD9" w:rsidP="00CA25CF">
            <w:pPr>
              <w:rPr>
                <w:rFonts w:cs="Arial"/>
                <w:color w:val="FF0000"/>
                <w:sz w:val="21"/>
                <w:szCs w:val="21"/>
              </w:rPr>
            </w:pPr>
          </w:p>
        </w:tc>
        <w:tc>
          <w:tcPr>
            <w:tcW w:w="217" w:type="dxa"/>
          </w:tcPr>
          <w:p w14:paraId="32ECE34D" w14:textId="77777777" w:rsidR="002C0FD9" w:rsidRPr="00CA25CF" w:rsidRDefault="002C0FD9" w:rsidP="00CA25CF">
            <w:pPr>
              <w:rPr>
                <w:rFonts w:cs="Arial"/>
                <w:color w:val="FF0000"/>
                <w:sz w:val="21"/>
                <w:szCs w:val="21"/>
              </w:rPr>
            </w:pPr>
          </w:p>
        </w:tc>
        <w:tc>
          <w:tcPr>
            <w:tcW w:w="217" w:type="dxa"/>
          </w:tcPr>
          <w:p w14:paraId="44D8E29B" w14:textId="77777777" w:rsidR="002C0FD9" w:rsidRPr="00CA25CF" w:rsidRDefault="002C0FD9" w:rsidP="00CA25CF">
            <w:pPr>
              <w:rPr>
                <w:rFonts w:cs="Arial"/>
                <w:color w:val="FF0000"/>
                <w:sz w:val="21"/>
                <w:szCs w:val="21"/>
              </w:rPr>
            </w:pPr>
          </w:p>
        </w:tc>
        <w:tc>
          <w:tcPr>
            <w:tcW w:w="217" w:type="dxa"/>
          </w:tcPr>
          <w:p w14:paraId="4F7A21C9" w14:textId="77777777" w:rsidR="002C0FD9" w:rsidRPr="00CA25CF" w:rsidRDefault="002C0FD9" w:rsidP="00CA25CF">
            <w:pPr>
              <w:rPr>
                <w:rFonts w:cs="Arial"/>
                <w:color w:val="FF0000"/>
                <w:sz w:val="21"/>
                <w:szCs w:val="21"/>
              </w:rPr>
            </w:pPr>
          </w:p>
        </w:tc>
        <w:tc>
          <w:tcPr>
            <w:tcW w:w="217" w:type="dxa"/>
          </w:tcPr>
          <w:p w14:paraId="1B6EEED1" w14:textId="77777777" w:rsidR="002C0FD9" w:rsidRPr="00CA25CF" w:rsidRDefault="002C0FD9" w:rsidP="00CA25CF">
            <w:pPr>
              <w:rPr>
                <w:rFonts w:cs="Arial"/>
                <w:color w:val="FF0000"/>
                <w:sz w:val="21"/>
                <w:szCs w:val="21"/>
              </w:rPr>
            </w:pPr>
          </w:p>
        </w:tc>
        <w:tc>
          <w:tcPr>
            <w:tcW w:w="217" w:type="dxa"/>
          </w:tcPr>
          <w:p w14:paraId="09CC96C1" w14:textId="77777777" w:rsidR="002C0FD9" w:rsidRPr="00CA25CF" w:rsidRDefault="002C0FD9" w:rsidP="00CA25CF">
            <w:pPr>
              <w:rPr>
                <w:rFonts w:cs="Arial"/>
                <w:color w:val="FF0000"/>
                <w:sz w:val="21"/>
                <w:szCs w:val="21"/>
              </w:rPr>
            </w:pPr>
          </w:p>
        </w:tc>
        <w:tc>
          <w:tcPr>
            <w:tcW w:w="217" w:type="dxa"/>
          </w:tcPr>
          <w:p w14:paraId="08C020E4" w14:textId="77777777" w:rsidR="002C0FD9" w:rsidRPr="00CA25CF" w:rsidRDefault="002C0FD9" w:rsidP="00CA25CF">
            <w:pPr>
              <w:rPr>
                <w:rFonts w:cs="Arial"/>
                <w:color w:val="FF0000"/>
                <w:sz w:val="21"/>
                <w:szCs w:val="21"/>
              </w:rPr>
            </w:pPr>
          </w:p>
        </w:tc>
      </w:tr>
      <w:tr w:rsidR="002C0FD9" w:rsidRPr="00A16219" w14:paraId="427E4433" w14:textId="77777777" w:rsidTr="002C0FD9">
        <w:trPr>
          <w:trHeight w:val="635"/>
        </w:trPr>
        <w:tc>
          <w:tcPr>
            <w:tcW w:w="515" w:type="dxa"/>
          </w:tcPr>
          <w:p w14:paraId="054776A0" w14:textId="77777777" w:rsidR="002C0FD9" w:rsidRPr="00CA25CF" w:rsidRDefault="002C0FD9" w:rsidP="00CA25CF">
            <w:pPr>
              <w:rPr>
                <w:rFonts w:cs="Arial"/>
                <w:color w:val="FF0000"/>
                <w:sz w:val="21"/>
                <w:szCs w:val="21"/>
              </w:rPr>
            </w:pPr>
          </w:p>
        </w:tc>
        <w:tc>
          <w:tcPr>
            <w:tcW w:w="217" w:type="dxa"/>
          </w:tcPr>
          <w:p w14:paraId="219E9079" w14:textId="77777777" w:rsidR="002C0FD9" w:rsidRPr="00CA25CF" w:rsidRDefault="002C0FD9" w:rsidP="00CA25CF">
            <w:pPr>
              <w:rPr>
                <w:rFonts w:cs="Arial"/>
                <w:color w:val="FF0000"/>
                <w:sz w:val="21"/>
                <w:szCs w:val="21"/>
              </w:rPr>
            </w:pPr>
          </w:p>
        </w:tc>
        <w:tc>
          <w:tcPr>
            <w:tcW w:w="217" w:type="dxa"/>
          </w:tcPr>
          <w:p w14:paraId="5B193C36" w14:textId="77777777" w:rsidR="002C0FD9" w:rsidRPr="00CA25CF" w:rsidRDefault="002C0FD9" w:rsidP="00CA25CF">
            <w:pPr>
              <w:rPr>
                <w:rFonts w:cs="Arial"/>
                <w:color w:val="FF0000"/>
                <w:sz w:val="21"/>
                <w:szCs w:val="21"/>
              </w:rPr>
            </w:pPr>
          </w:p>
        </w:tc>
        <w:tc>
          <w:tcPr>
            <w:tcW w:w="217" w:type="dxa"/>
          </w:tcPr>
          <w:p w14:paraId="7227BDAE" w14:textId="77777777" w:rsidR="002C0FD9" w:rsidRPr="00CA25CF" w:rsidRDefault="002C0FD9" w:rsidP="00CA25CF">
            <w:pPr>
              <w:rPr>
                <w:rFonts w:cs="Arial"/>
                <w:color w:val="FF0000"/>
                <w:sz w:val="21"/>
                <w:szCs w:val="21"/>
              </w:rPr>
            </w:pPr>
          </w:p>
        </w:tc>
        <w:tc>
          <w:tcPr>
            <w:tcW w:w="217" w:type="dxa"/>
          </w:tcPr>
          <w:p w14:paraId="79A4A2C9" w14:textId="77777777" w:rsidR="002C0FD9" w:rsidRPr="00CA25CF" w:rsidRDefault="002C0FD9" w:rsidP="00CA25CF">
            <w:pPr>
              <w:rPr>
                <w:rFonts w:cs="Arial"/>
                <w:color w:val="FF0000"/>
                <w:sz w:val="21"/>
                <w:szCs w:val="21"/>
              </w:rPr>
            </w:pPr>
          </w:p>
        </w:tc>
        <w:tc>
          <w:tcPr>
            <w:tcW w:w="217" w:type="dxa"/>
          </w:tcPr>
          <w:p w14:paraId="3C05EC7C" w14:textId="77777777" w:rsidR="002C0FD9" w:rsidRPr="00CA25CF" w:rsidRDefault="002C0FD9" w:rsidP="00CA25CF">
            <w:pPr>
              <w:rPr>
                <w:rFonts w:cs="Arial"/>
                <w:color w:val="FF0000"/>
                <w:sz w:val="21"/>
                <w:szCs w:val="21"/>
              </w:rPr>
            </w:pPr>
          </w:p>
        </w:tc>
        <w:tc>
          <w:tcPr>
            <w:tcW w:w="217" w:type="dxa"/>
          </w:tcPr>
          <w:p w14:paraId="4A4E2770" w14:textId="77777777" w:rsidR="002C0FD9" w:rsidRPr="00CA25CF" w:rsidRDefault="002C0FD9" w:rsidP="00CA25CF">
            <w:pPr>
              <w:rPr>
                <w:rFonts w:cs="Arial"/>
                <w:color w:val="FF0000"/>
                <w:sz w:val="21"/>
                <w:szCs w:val="21"/>
              </w:rPr>
            </w:pPr>
          </w:p>
        </w:tc>
        <w:tc>
          <w:tcPr>
            <w:tcW w:w="217" w:type="dxa"/>
          </w:tcPr>
          <w:p w14:paraId="334BDE16" w14:textId="77777777" w:rsidR="002C0FD9" w:rsidRPr="00CA25CF" w:rsidRDefault="002C0FD9" w:rsidP="00CA25CF">
            <w:pPr>
              <w:rPr>
                <w:rFonts w:cs="Arial"/>
                <w:color w:val="FF0000"/>
                <w:sz w:val="21"/>
                <w:szCs w:val="21"/>
              </w:rPr>
            </w:pPr>
          </w:p>
        </w:tc>
        <w:tc>
          <w:tcPr>
            <w:tcW w:w="217" w:type="dxa"/>
          </w:tcPr>
          <w:p w14:paraId="0093C923" w14:textId="77777777" w:rsidR="002C0FD9" w:rsidRPr="00CA25CF" w:rsidRDefault="002C0FD9" w:rsidP="00CA25CF">
            <w:pPr>
              <w:rPr>
                <w:rFonts w:cs="Arial"/>
                <w:color w:val="FF0000"/>
                <w:sz w:val="21"/>
                <w:szCs w:val="21"/>
              </w:rPr>
            </w:pPr>
          </w:p>
        </w:tc>
        <w:tc>
          <w:tcPr>
            <w:tcW w:w="217" w:type="dxa"/>
          </w:tcPr>
          <w:p w14:paraId="409800B5" w14:textId="77777777" w:rsidR="002C0FD9" w:rsidRPr="00CA25CF" w:rsidRDefault="002C0FD9" w:rsidP="00CA25CF">
            <w:pPr>
              <w:rPr>
                <w:rFonts w:cs="Arial"/>
                <w:color w:val="FF0000"/>
                <w:sz w:val="21"/>
                <w:szCs w:val="21"/>
              </w:rPr>
            </w:pPr>
          </w:p>
        </w:tc>
        <w:tc>
          <w:tcPr>
            <w:tcW w:w="217" w:type="dxa"/>
          </w:tcPr>
          <w:p w14:paraId="225FF40D" w14:textId="77777777" w:rsidR="002C0FD9" w:rsidRPr="00CA25CF" w:rsidRDefault="002C0FD9" w:rsidP="00CA25CF">
            <w:pPr>
              <w:rPr>
                <w:rFonts w:cs="Arial"/>
                <w:color w:val="FF0000"/>
                <w:sz w:val="21"/>
                <w:szCs w:val="21"/>
              </w:rPr>
            </w:pPr>
          </w:p>
        </w:tc>
        <w:tc>
          <w:tcPr>
            <w:tcW w:w="217" w:type="dxa"/>
          </w:tcPr>
          <w:p w14:paraId="562262EC" w14:textId="77777777" w:rsidR="002C0FD9" w:rsidRPr="00CA25CF" w:rsidRDefault="002C0FD9" w:rsidP="00CA25CF">
            <w:pPr>
              <w:rPr>
                <w:rFonts w:cs="Arial"/>
                <w:color w:val="FF0000"/>
                <w:sz w:val="21"/>
                <w:szCs w:val="21"/>
              </w:rPr>
            </w:pPr>
          </w:p>
        </w:tc>
        <w:tc>
          <w:tcPr>
            <w:tcW w:w="217" w:type="dxa"/>
          </w:tcPr>
          <w:p w14:paraId="0039ED87" w14:textId="77777777" w:rsidR="002C0FD9" w:rsidRPr="00CA25CF" w:rsidRDefault="002C0FD9" w:rsidP="00CA25CF">
            <w:pPr>
              <w:rPr>
                <w:rFonts w:cs="Arial"/>
                <w:color w:val="FF0000"/>
                <w:sz w:val="21"/>
                <w:szCs w:val="21"/>
              </w:rPr>
            </w:pPr>
          </w:p>
        </w:tc>
        <w:tc>
          <w:tcPr>
            <w:tcW w:w="217" w:type="dxa"/>
          </w:tcPr>
          <w:p w14:paraId="4959F5D6" w14:textId="77777777" w:rsidR="002C0FD9" w:rsidRPr="00CA25CF" w:rsidRDefault="002C0FD9" w:rsidP="00CA25CF">
            <w:pPr>
              <w:rPr>
                <w:rFonts w:cs="Arial"/>
                <w:color w:val="FF0000"/>
                <w:sz w:val="21"/>
                <w:szCs w:val="21"/>
              </w:rPr>
            </w:pPr>
          </w:p>
        </w:tc>
        <w:tc>
          <w:tcPr>
            <w:tcW w:w="217" w:type="dxa"/>
          </w:tcPr>
          <w:p w14:paraId="1B38E983" w14:textId="77777777" w:rsidR="002C0FD9" w:rsidRPr="00CA25CF" w:rsidRDefault="002C0FD9" w:rsidP="00CA25CF">
            <w:pPr>
              <w:rPr>
                <w:rFonts w:cs="Arial"/>
                <w:color w:val="FF0000"/>
                <w:sz w:val="21"/>
                <w:szCs w:val="21"/>
              </w:rPr>
            </w:pPr>
          </w:p>
        </w:tc>
        <w:tc>
          <w:tcPr>
            <w:tcW w:w="217" w:type="dxa"/>
          </w:tcPr>
          <w:p w14:paraId="7163157D" w14:textId="77777777" w:rsidR="002C0FD9" w:rsidRPr="00CA25CF" w:rsidRDefault="002C0FD9" w:rsidP="00CA25CF">
            <w:pPr>
              <w:rPr>
                <w:rFonts w:cs="Arial"/>
                <w:color w:val="FF0000"/>
                <w:sz w:val="21"/>
                <w:szCs w:val="21"/>
              </w:rPr>
            </w:pPr>
          </w:p>
        </w:tc>
        <w:tc>
          <w:tcPr>
            <w:tcW w:w="217" w:type="dxa"/>
          </w:tcPr>
          <w:p w14:paraId="013C4085" w14:textId="77777777" w:rsidR="002C0FD9" w:rsidRPr="00CA25CF" w:rsidRDefault="002C0FD9" w:rsidP="00CA25CF">
            <w:pPr>
              <w:rPr>
                <w:rFonts w:cs="Arial"/>
                <w:color w:val="FF0000"/>
                <w:sz w:val="21"/>
                <w:szCs w:val="21"/>
              </w:rPr>
            </w:pPr>
          </w:p>
        </w:tc>
        <w:tc>
          <w:tcPr>
            <w:tcW w:w="217" w:type="dxa"/>
          </w:tcPr>
          <w:p w14:paraId="7F83D533" w14:textId="77777777" w:rsidR="002C0FD9" w:rsidRPr="00CA25CF" w:rsidRDefault="002C0FD9" w:rsidP="00CA25CF">
            <w:pPr>
              <w:rPr>
                <w:rFonts w:cs="Arial"/>
                <w:color w:val="FF0000"/>
                <w:sz w:val="21"/>
                <w:szCs w:val="21"/>
              </w:rPr>
            </w:pPr>
          </w:p>
        </w:tc>
        <w:tc>
          <w:tcPr>
            <w:tcW w:w="217" w:type="dxa"/>
          </w:tcPr>
          <w:p w14:paraId="7F971024" w14:textId="77777777" w:rsidR="002C0FD9" w:rsidRPr="00CA25CF" w:rsidRDefault="002C0FD9" w:rsidP="00CA25CF">
            <w:pPr>
              <w:rPr>
                <w:rFonts w:cs="Arial"/>
                <w:color w:val="FF0000"/>
                <w:sz w:val="21"/>
                <w:szCs w:val="21"/>
              </w:rPr>
            </w:pPr>
          </w:p>
        </w:tc>
        <w:tc>
          <w:tcPr>
            <w:tcW w:w="217" w:type="dxa"/>
          </w:tcPr>
          <w:p w14:paraId="6153422B" w14:textId="77777777" w:rsidR="002C0FD9" w:rsidRPr="00CA25CF" w:rsidRDefault="002C0FD9" w:rsidP="00CA25CF">
            <w:pPr>
              <w:rPr>
                <w:rFonts w:cs="Arial"/>
                <w:color w:val="FF0000"/>
                <w:sz w:val="21"/>
                <w:szCs w:val="21"/>
              </w:rPr>
            </w:pPr>
          </w:p>
        </w:tc>
        <w:tc>
          <w:tcPr>
            <w:tcW w:w="217" w:type="dxa"/>
          </w:tcPr>
          <w:p w14:paraId="521E46A8" w14:textId="77777777" w:rsidR="002C0FD9" w:rsidRPr="00CA25CF" w:rsidRDefault="002C0FD9" w:rsidP="00CA25CF">
            <w:pPr>
              <w:rPr>
                <w:rFonts w:cs="Arial"/>
                <w:color w:val="FF0000"/>
                <w:sz w:val="21"/>
                <w:szCs w:val="21"/>
              </w:rPr>
            </w:pPr>
          </w:p>
        </w:tc>
        <w:tc>
          <w:tcPr>
            <w:tcW w:w="217" w:type="dxa"/>
          </w:tcPr>
          <w:p w14:paraId="6E898F78" w14:textId="77777777" w:rsidR="002C0FD9" w:rsidRPr="00CA25CF" w:rsidRDefault="002C0FD9" w:rsidP="00CA25CF">
            <w:pPr>
              <w:rPr>
                <w:rFonts w:cs="Arial"/>
                <w:color w:val="FF0000"/>
                <w:sz w:val="21"/>
                <w:szCs w:val="21"/>
              </w:rPr>
            </w:pPr>
          </w:p>
        </w:tc>
        <w:tc>
          <w:tcPr>
            <w:tcW w:w="217" w:type="dxa"/>
          </w:tcPr>
          <w:p w14:paraId="2E51D2C6" w14:textId="77777777" w:rsidR="002C0FD9" w:rsidRPr="00CA25CF" w:rsidRDefault="002C0FD9" w:rsidP="00CA25CF">
            <w:pPr>
              <w:rPr>
                <w:rFonts w:cs="Arial"/>
                <w:color w:val="FF0000"/>
                <w:sz w:val="21"/>
                <w:szCs w:val="21"/>
              </w:rPr>
            </w:pPr>
          </w:p>
        </w:tc>
        <w:tc>
          <w:tcPr>
            <w:tcW w:w="217" w:type="dxa"/>
          </w:tcPr>
          <w:p w14:paraId="140FCA3A" w14:textId="77777777" w:rsidR="002C0FD9" w:rsidRPr="00CA25CF" w:rsidRDefault="002C0FD9" w:rsidP="00CA25CF">
            <w:pPr>
              <w:rPr>
                <w:rFonts w:cs="Arial"/>
                <w:color w:val="FF0000"/>
                <w:sz w:val="21"/>
                <w:szCs w:val="21"/>
              </w:rPr>
            </w:pPr>
          </w:p>
        </w:tc>
        <w:tc>
          <w:tcPr>
            <w:tcW w:w="217" w:type="dxa"/>
          </w:tcPr>
          <w:p w14:paraId="3CCDD3CF" w14:textId="77777777" w:rsidR="002C0FD9" w:rsidRPr="00CA25CF" w:rsidRDefault="002C0FD9" w:rsidP="00CA25CF">
            <w:pPr>
              <w:rPr>
                <w:rFonts w:cs="Arial"/>
                <w:color w:val="FF0000"/>
                <w:sz w:val="21"/>
                <w:szCs w:val="21"/>
              </w:rPr>
            </w:pPr>
          </w:p>
        </w:tc>
        <w:tc>
          <w:tcPr>
            <w:tcW w:w="217" w:type="dxa"/>
          </w:tcPr>
          <w:p w14:paraId="3F4383A4" w14:textId="77777777" w:rsidR="002C0FD9" w:rsidRPr="00CA25CF" w:rsidRDefault="002C0FD9" w:rsidP="00CA25CF">
            <w:pPr>
              <w:rPr>
                <w:rFonts w:cs="Arial"/>
                <w:color w:val="FF0000"/>
                <w:sz w:val="21"/>
                <w:szCs w:val="21"/>
              </w:rPr>
            </w:pPr>
          </w:p>
        </w:tc>
        <w:tc>
          <w:tcPr>
            <w:tcW w:w="217" w:type="dxa"/>
          </w:tcPr>
          <w:p w14:paraId="1C1E0372" w14:textId="77777777" w:rsidR="002C0FD9" w:rsidRPr="00CA25CF" w:rsidRDefault="002C0FD9" w:rsidP="00CA25CF">
            <w:pPr>
              <w:rPr>
                <w:rFonts w:cs="Arial"/>
                <w:color w:val="FF0000"/>
                <w:sz w:val="21"/>
                <w:szCs w:val="21"/>
              </w:rPr>
            </w:pPr>
          </w:p>
        </w:tc>
        <w:tc>
          <w:tcPr>
            <w:tcW w:w="217" w:type="dxa"/>
          </w:tcPr>
          <w:p w14:paraId="4676F039" w14:textId="77777777" w:rsidR="002C0FD9" w:rsidRPr="00CA25CF" w:rsidRDefault="002C0FD9" w:rsidP="00CA25CF">
            <w:pPr>
              <w:rPr>
                <w:rFonts w:cs="Arial"/>
                <w:color w:val="FF0000"/>
                <w:sz w:val="21"/>
                <w:szCs w:val="21"/>
              </w:rPr>
            </w:pPr>
          </w:p>
        </w:tc>
        <w:tc>
          <w:tcPr>
            <w:tcW w:w="217" w:type="dxa"/>
          </w:tcPr>
          <w:p w14:paraId="5BEAA34E" w14:textId="77777777" w:rsidR="002C0FD9" w:rsidRPr="00CA25CF" w:rsidRDefault="002C0FD9" w:rsidP="00CA25CF">
            <w:pPr>
              <w:rPr>
                <w:rFonts w:cs="Arial"/>
                <w:color w:val="FF0000"/>
                <w:sz w:val="21"/>
                <w:szCs w:val="21"/>
              </w:rPr>
            </w:pPr>
          </w:p>
        </w:tc>
        <w:tc>
          <w:tcPr>
            <w:tcW w:w="217" w:type="dxa"/>
          </w:tcPr>
          <w:p w14:paraId="5387D70E" w14:textId="77777777" w:rsidR="002C0FD9" w:rsidRPr="00CA25CF" w:rsidRDefault="002C0FD9" w:rsidP="00CA25CF">
            <w:pPr>
              <w:rPr>
                <w:rFonts w:cs="Arial"/>
                <w:color w:val="FF0000"/>
                <w:sz w:val="21"/>
                <w:szCs w:val="21"/>
              </w:rPr>
            </w:pPr>
          </w:p>
        </w:tc>
        <w:tc>
          <w:tcPr>
            <w:tcW w:w="217" w:type="dxa"/>
          </w:tcPr>
          <w:p w14:paraId="1D520742" w14:textId="77777777" w:rsidR="002C0FD9" w:rsidRPr="00CA25CF" w:rsidRDefault="002C0FD9" w:rsidP="00CA25CF">
            <w:pPr>
              <w:rPr>
                <w:rFonts w:cs="Arial"/>
                <w:color w:val="FF0000"/>
                <w:sz w:val="21"/>
                <w:szCs w:val="21"/>
              </w:rPr>
            </w:pPr>
          </w:p>
        </w:tc>
        <w:tc>
          <w:tcPr>
            <w:tcW w:w="217" w:type="dxa"/>
          </w:tcPr>
          <w:p w14:paraId="6EED3A47" w14:textId="77777777" w:rsidR="002C0FD9" w:rsidRPr="00CA25CF" w:rsidRDefault="002C0FD9" w:rsidP="00CA25CF">
            <w:pPr>
              <w:rPr>
                <w:rFonts w:cs="Arial"/>
                <w:color w:val="FF0000"/>
                <w:sz w:val="21"/>
                <w:szCs w:val="21"/>
              </w:rPr>
            </w:pPr>
          </w:p>
        </w:tc>
        <w:tc>
          <w:tcPr>
            <w:tcW w:w="217" w:type="dxa"/>
          </w:tcPr>
          <w:p w14:paraId="1DE1A4B0" w14:textId="77777777" w:rsidR="002C0FD9" w:rsidRPr="00CA25CF" w:rsidRDefault="002C0FD9" w:rsidP="00CA25CF">
            <w:pPr>
              <w:rPr>
                <w:rFonts w:cs="Arial"/>
                <w:color w:val="FF0000"/>
                <w:sz w:val="21"/>
                <w:szCs w:val="21"/>
              </w:rPr>
            </w:pPr>
          </w:p>
        </w:tc>
        <w:tc>
          <w:tcPr>
            <w:tcW w:w="217" w:type="dxa"/>
          </w:tcPr>
          <w:p w14:paraId="7477C72E" w14:textId="77777777" w:rsidR="002C0FD9" w:rsidRPr="00CA25CF" w:rsidRDefault="002C0FD9" w:rsidP="00CA25CF">
            <w:pPr>
              <w:rPr>
                <w:rFonts w:cs="Arial"/>
                <w:color w:val="FF0000"/>
                <w:sz w:val="21"/>
                <w:szCs w:val="21"/>
              </w:rPr>
            </w:pPr>
          </w:p>
        </w:tc>
        <w:tc>
          <w:tcPr>
            <w:tcW w:w="217" w:type="dxa"/>
          </w:tcPr>
          <w:p w14:paraId="32212859" w14:textId="77777777" w:rsidR="002C0FD9" w:rsidRPr="00CA25CF" w:rsidRDefault="002C0FD9" w:rsidP="00CA25CF">
            <w:pPr>
              <w:rPr>
                <w:rFonts w:cs="Arial"/>
                <w:color w:val="FF0000"/>
                <w:sz w:val="21"/>
                <w:szCs w:val="21"/>
              </w:rPr>
            </w:pPr>
          </w:p>
        </w:tc>
        <w:tc>
          <w:tcPr>
            <w:tcW w:w="217" w:type="dxa"/>
          </w:tcPr>
          <w:p w14:paraId="3D15A2BE" w14:textId="77777777" w:rsidR="002C0FD9" w:rsidRPr="00CA25CF" w:rsidRDefault="002C0FD9" w:rsidP="00CA25CF">
            <w:pPr>
              <w:rPr>
                <w:rFonts w:cs="Arial"/>
                <w:color w:val="FF0000"/>
                <w:sz w:val="21"/>
                <w:szCs w:val="21"/>
              </w:rPr>
            </w:pPr>
          </w:p>
        </w:tc>
        <w:tc>
          <w:tcPr>
            <w:tcW w:w="217" w:type="dxa"/>
          </w:tcPr>
          <w:p w14:paraId="021126A6" w14:textId="77777777" w:rsidR="002C0FD9" w:rsidRPr="00CA25CF" w:rsidRDefault="002C0FD9" w:rsidP="00CA25CF">
            <w:pPr>
              <w:rPr>
                <w:rFonts w:cs="Arial"/>
                <w:color w:val="FF0000"/>
                <w:sz w:val="21"/>
                <w:szCs w:val="21"/>
              </w:rPr>
            </w:pPr>
          </w:p>
        </w:tc>
        <w:tc>
          <w:tcPr>
            <w:tcW w:w="217" w:type="dxa"/>
          </w:tcPr>
          <w:p w14:paraId="670456B0" w14:textId="77777777" w:rsidR="002C0FD9" w:rsidRPr="00CA25CF" w:rsidRDefault="002C0FD9" w:rsidP="00CA25CF">
            <w:pPr>
              <w:rPr>
                <w:rFonts w:cs="Arial"/>
                <w:color w:val="FF0000"/>
                <w:sz w:val="21"/>
                <w:szCs w:val="21"/>
              </w:rPr>
            </w:pPr>
          </w:p>
        </w:tc>
        <w:tc>
          <w:tcPr>
            <w:tcW w:w="217" w:type="dxa"/>
          </w:tcPr>
          <w:p w14:paraId="2C7E9A79" w14:textId="77777777" w:rsidR="002C0FD9" w:rsidRPr="00CA25CF" w:rsidRDefault="002C0FD9" w:rsidP="00CA25CF">
            <w:pPr>
              <w:rPr>
                <w:rFonts w:cs="Arial"/>
                <w:color w:val="FF0000"/>
                <w:sz w:val="21"/>
                <w:szCs w:val="21"/>
              </w:rPr>
            </w:pPr>
          </w:p>
        </w:tc>
        <w:tc>
          <w:tcPr>
            <w:tcW w:w="217" w:type="dxa"/>
          </w:tcPr>
          <w:p w14:paraId="0FF8DA18" w14:textId="77777777" w:rsidR="002C0FD9" w:rsidRPr="00CA25CF" w:rsidRDefault="002C0FD9" w:rsidP="00CA25CF">
            <w:pPr>
              <w:rPr>
                <w:rFonts w:cs="Arial"/>
                <w:color w:val="FF0000"/>
                <w:sz w:val="21"/>
                <w:szCs w:val="21"/>
              </w:rPr>
            </w:pPr>
          </w:p>
        </w:tc>
        <w:tc>
          <w:tcPr>
            <w:tcW w:w="217" w:type="dxa"/>
          </w:tcPr>
          <w:p w14:paraId="58D37ECB" w14:textId="77777777" w:rsidR="002C0FD9" w:rsidRPr="00CA25CF" w:rsidRDefault="002C0FD9" w:rsidP="00CA25CF">
            <w:pPr>
              <w:rPr>
                <w:rFonts w:cs="Arial"/>
                <w:color w:val="FF0000"/>
                <w:sz w:val="21"/>
                <w:szCs w:val="21"/>
              </w:rPr>
            </w:pPr>
          </w:p>
        </w:tc>
        <w:tc>
          <w:tcPr>
            <w:tcW w:w="217" w:type="dxa"/>
          </w:tcPr>
          <w:p w14:paraId="44B414CD" w14:textId="77777777" w:rsidR="002C0FD9" w:rsidRPr="00CA25CF" w:rsidRDefault="002C0FD9" w:rsidP="00CA25CF">
            <w:pPr>
              <w:rPr>
                <w:rFonts w:cs="Arial"/>
                <w:color w:val="FF0000"/>
                <w:sz w:val="21"/>
                <w:szCs w:val="21"/>
              </w:rPr>
            </w:pPr>
          </w:p>
        </w:tc>
        <w:tc>
          <w:tcPr>
            <w:tcW w:w="217" w:type="dxa"/>
          </w:tcPr>
          <w:p w14:paraId="4B8EDB42" w14:textId="77777777" w:rsidR="002C0FD9" w:rsidRPr="00CA25CF" w:rsidRDefault="002C0FD9" w:rsidP="00CA25CF">
            <w:pPr>
              <w:rPr>
                <w:rFonts w:cs="Arial"/>
                <w:color w:val="FF0000"/>
                <w:sz w:val="21"/>
                <w:szCs w:val="21"/>
              </w:rPr>
            </w:pPr>
          </w:p>
        </w:tc>
      </w:tr>
      <w:tr w:rsidR="002C0FD9" w:rsidRPr="00A16219" w14:paraId="6918ECDE" w14:textId="77777777" w:rsidTr="002C0FD9">
        <w:trPr>
          <w:trHeight w:val="635"/>
        </w:trPr>
        <w:tc>
          <w:tcPr>
            <w:tcW w:w="515" w:type="dxa"/>
          </w:tcPr>
          <w:p w14:paraId="010B2E79" w14:textId="77777777" w:rsidR="002C0FD9" w:rsidRPr="00CA25CF" w:rsidRDefault="002C0FD9" w:rsidP="00CA25CF">
            <w:pPr>
              <w:rPr>
                <w:rFonts w:cs="Arial"/>
                <w:color w:val="FF0000"/>
                <w:sz w:val="21"/>
                <w:szCs w:val="21"/>
              </w:rPr>
            </w:pPr>
          </w:p>
        </w:tc>
        <w:tc>
          <w:tcPr>
            <w:tcW w:w="217" w:type="dxa"/>
          </w:tcPr>
          <w:p w14:paraId="2502988C" w14:textId="77777777" w:rsidR="002C0FD9" w:rsidRPr="00CA25CF" w:rsidRDefault="002C0FD9" w:rsidP="00CA25CF">
            <w:pPr>
              <w:rPr>
                <w:rFonts w:cs="Arial"/>
                <w:color w:val="FF0000"/>
                <w:sz w:val="21"/>
                <w:szCs w:val="21"/>
              </w:rPr>
            </w:pPr>
          </w:p>
        </w:tc>
        <w:tc>
          <w:tcPr>
            <w:tcW w:w="217" w:type="dxa"/>
          </w:tcPr>
          <w:p w14:paraId="6FA2FC5D" w14:textId="77777777" w:rsidR="002C0FD9" w:rsidRPr="00CA25CF" w:rsidRDefault="002C0FD9" w:rsidP="00CA25CF">
            <w:pPr>
              <w:rPr>
                <w:rFonts w:cs="Arial"/>
                <w:color w:val="FF0000"/>
                <w:sz w:val="21"/>
                <w:szCs w:val="21"/>
              </w:rPr>
            </w:pPr>
          </w:p>
        </w:tc>
        <w:tc>
          <w:tcPr>
            <w:tcW w:w="217" w:type="dxa"/>
          </w:tcPr>
          <w:p w14:paraId="5AB86864" w14:textId="77777777" w:rsidR="002C0FD9" w:rsidRPr="00CA25CF" w:rsidRDefault="002C0FD9" w:rsidP="00CA25CF">
            <w:pPr>
              <w:rPr>
                <w:rFonts w:cs="Arial"/>
                <w:color w:val="FF0000"/>
                <w:sz w:val="21"/>
                <w:szCs w:val="21"/>
              </w:rPr>
            </w:pPr>
          </w:p>
        </w:tc>
        <w:tc>
          <w:tcPr>
            <w:tcW w:w="217" w:type="dxa"/>
          </w:tcPr>
          <w:p w14:paraId="6F89BC70" w14:textId="77777777" w:rsidR="002C0FD9" w:rsidRPr="00CA25CF" w:rsidRDefault="002C0FD9" w:rsidP="00CA25CF">
            <w:pPr>
              <w:rPr>
                <w:rFonts w:cs="Arial"/>
                <w:color w:val="FF0000"/>
                <w:sz w:val="21"/>
                <w:szCs w:val="21"/>
              </w:rPr>
            </w:pPr>
          </w:p>
        </w:tc>
        <w:tc>
          <w:tcPr>
            <w:tcW w:w="217" w:type="dxa"/>
          </w:tcPr>
          <w:p w14:paraId="120EF50C" w14:textId="77777777" w:rsidR="002C0FD9" w:rsidRPr="00CA25CF" w:rsidRDefault="002C0FD9" w:rsidP="00CA25CF">
            <w:pPr>
              <w:rPr>
                <w:rFonts w:cs="Arial"/>
                <w:color w:val="FF0000"/>
                <w:sz w:val="21"/>
                <w:szCs w:val="21"/>
              </w:rPr>
            </w:pPr>
          </w:p>
        </w:tc>
        <w:tc>
          <w:tcPr>
            <w:tcW w:w="217" w:type="dxa"/>
          </w:tcPr>
          <w:p w14:paraId="62DB9776" w14:textId="77777777" w:rsidR="002C0FD9" w:rsidRPr="00CA25CF" w:rsidRDefault="002C0FD9" w:rsidP="00CA25CF">
            <w:pPr>
              <w:rPr>
                <w:rFonts w:cs="Arial"/>
                <w:color w:val="FF0000"/>
                <w:sz w:val="21"/>
                <w:szCs w:val="21"/>
              </w:rPr>
            </w:pPr>
          </w:p>
        </w:tc>
        <w:tc>
          <w:tcPr>
            <w:tcW w:w="217" w:type="dxa"/>
          </w:tcPr>
          <w:p w14:paraId="1D4E7C5C" w14:textId="77777777" w:rsidR="002C0FD9" w:rsidRPr="00CA25CF" w:rsidRDefault="002C0FD9" w:rsidP="00CA25CF">
            <w:pPr>
              <w:rPr>
                <w:rFonts w:cs="Arial"/>
                <w:color w:val="FF0000"/>
                <w:sz w:val="21"/>
                <w:szCs w:val="21"/>
              </w:rPr>
            </w:pPr>
          </w:p>
        </w:tc>
        <w:tc>
          <w:tcPr>
            <w:tcW w:w="217" w:type="dxa"/>
          </w:tcPr>
          <w:p w14:paraId="67059DE0" w14:textId="77777777" w:rsidR="002C0FD9" w:rsidRPr="00CA25CF" w:rsidRDefault="002C0FD9" w:rsidP="00CA25CF">
            <w:pPr>
              <w:rPr>
                <w:rFonts w:cs="Arial"/>
                <w:color w:val="FF0000"/>
                <w:sz w:val="21"/>
                <w:szCs w:val="21"/>
              </w:rPr>
            </w:pPr>
          </w:p>
        </w:tc>
        <w:tc>
          <w:tcPr>
            <w:tcW w:w="217" w:type="dxa"/>
          </w:tcPr>
          <w:p w14:paraId="5D868D04" w14:textId="77777777" w:rsidR="002C0FD9" w:rsidRPr="00CA25CF" w:rsidRDefault="002C0FD9" w:rsidP="00CA25CF">
            <w:pPr>
              <w:rPr>
                <w:rFonts w:cs="Arial"/>
                <w:color w:val="FF0000"/>
                <w:sz w:val="21"/>
                <w:szCs w:val="21"/>
              </w:rPr>
            </w:pPr>
          </w:p>
        </w:tc>
        <w:tc>
          <w:tcPr>
            <w:tcW w:w="217" w:type="dxa"/>
          </w:tcPr>
          <w:p w14:paraId="0DDCA8D9" w14:textId="77777777" w:rsidR="002C0FD9" w:rsidRPr="00CA25CF" w:rsidRDefault="002C0FD9" w:rsidP="00CA25CF">
            <w:pPr>
              <w:rPr>
                <w:rFonts w:cs="Arial"/>
                <w:color w:val="FF0000"/>
                <w:sz w:val="21"/>
                <w:szCs w:val="21"/>
              </w:rPr>
            </w:pPr>
          </w:p>
        </w:tc>
        <w:tc>
          <w:tcPr>
            <w:tcW w:w="217" w:type="dxa"/>
          </w:tcPr>
          <w:p w14:paraId="654650DD" w14:textId="77777777" w:rsidR="002C0FD9" w:rsidRPr="00CA25CF" w:rsidRDefault="002C0FD9" w:rsidP="00CA25CF">
            <w:pPr>
              <w:rPr>
                <w:rFonts w:cs="Arial"/>
                <w:color w:val="FF0000"/>
                <w:sz w:val="21"/>
                <w:szCs w:val="21"/>
              </w:rPr>
            </w:pPr>
          </w:p>
        </w:tc>
        <w:tc>
          <w:tcPr>
            <w:tcW w:w="217" w:type="dxa"/>
          </w:tcPr>
          <w:p w14:paraId="55992BCA" w14:textId="77777777" w:rsidR="002C0FD9" w:rsidRPr="00CA25CF" w:rsidRDefault="002C0FD9" w:rsidP="00CA25CF">
            <w:pPr>
              <w:rPr>
                <w:rFonts w:cs="Arial"/>
                <w:color w:val="FF0000"/>
                <w:sz w:val="21"/>
                <w:szCs w:val="21"/>
              </w:rPr>
            </w:pPr>
          </w:p>
        </w:tc>
        <w:tc>
          <w:tcPr>
            <w:tcW w:w="217" w:type="dxa"/>
          </w:tcPr>
          <w:p w14:paraId="7031C7BC" w14:textId="77777777" w:rsidR="002C0FD9" w:rsidRPr="00CA25CF" w:rsidRDefault="002C0FD9" w:rsidP="00CA25CF">
            <w:pPr>
              <w:rPr>
                <w:rFonts w:cs="Arial"/>
                <w:color w:val="FF0000"/>
                <w:sz w:val="21"/>
                <w:szCs w:val="21"/>
              </w:rPr>
            </w:pPr>
          </w:p>
        </w:tc>
        <w:tc>
          <w:tcPr>
            <w:tcW w:w="217" w:type="dxa"/>
          </w:tcPr>
          <w:p w14:paraId="40C871F4" w14:textId="77777777" w:rsidR="002C0FD9" w:rsidRPr="00CA25CF" w:rsidRDefault="002C0FD9" w:rsidP="00CA25CF">
            <w:pPr>
              <w:rPr>
                <w:rFonts w:cs="Arial"/>
                <w:color w:val="FF0000"/>
                <w:sz w:val="21"/>
                <w:szCs w:val="21"/>
              </w:rPr>
            </w:pPr>
          </w:p>
        </w:tc>
        <w:tc>
          <w:tcPr>
            <w:tcW w:w="217" w:type="dxa"/>
          </w:tcPr>
          <w:p w14:paraId="64C884D1" w14:textId="77777777" w:rsidR="002C0FD9" w:rsidRPr="00CA25CF" w:rsidRDefault="002C0FD9" w:rsidP="00CA25CF">
            <w:pPr>
              <w:rPr>
                <w:rFonts w:cs="Arial"/>
                <w:color w:val="FF0000"/>
                <w:sz w:val="21"/>
                <w:szCs w:val="21"/>
              </w:rPr>
            </w:pPr>
          </w:p>
        </w:tc>
        <w:tc>
          <w:tcPr>
            <w:tcW w:w="217" w:type="dxa"/>
          </w:tcPr>
          <w:p w14:paraId="7B9C2455" w14:textId="77777777" w:rsidR="002C0FD9" w:rsidRPr="00CA25CF" w:rsidRDefault="002C0FD9" w:rsidP="00CA25CF">
            <w:pPr>
              <w:rPr>
                <w:rFonts w:cs="Arial"/>
                <w:color w:val="FF0000"/>
                <w:sz w:val="21"/>
                <w:szCs w:val="21"/>
              </w:rPr>
            </w:pPr>
          </w:p>
        </w:tc>
        <w:tc>
          <w:tcPr>
            <w:tcW w:w="217" w:type="dxa"/>
          </w:tcPr>
          <w:p w14:paraId="302ACBFD" w14:textId="77777777" w:rsidR="002C0FD9" w:rsidRPr="00CA25CF" w:rsidRDefault="002C0FD9" w:rsidP="00CA25CF">
            <w:pPr>
              <w:rPr>
                <w:rFonts w:cs="Arial"/>
                <w:color w:val="FF0000"/>
                <w:sz w:val="21"/>
                <w:szCs w:val="21"/>
              </w:rPr>
            </w:pPr>
          </w:p>
        </w:tc>
        <w:tc>
          <w:tcPr>
            <w:tcW w:w="217" w:type="dxa"/>
          </w:tcPr>
          <w:p w14:paraId="74E06D2B" w14:textId="77777777" w:rsidR="002C0FD9" w:rsidRPr="00CA25CF" w:rsidRDefault="002C0FD9" w:rsidP="00CA25CF">
            <w:pPr>
              <w:rPr>
                <w:rFonts w:cs="Arial"/>
                <w:color w:val="FF0000"/>
                <w:sz w:val="21"/>
                <w:szCs w:val="21"/>
              </w:rPr>
            </w:pPr>
          </w:p>
        </w:tc>
        <w:tc>
          <w:tcPr>
            <w:tcW w:w="217" w:type="dxa"/>
          </w:tcPr>
          <w:p w14:paraId="60C8F6AA" w14:textId="77777777" w:rsidR="002C0FD9" w:rsidRPr="00CA25CF" w:rsidRDefault="002C0FD9" w:rsidP="00CA25CF">
            <w:pPr>
              <w:rPr>
                <w:rFonts w:cs="Arial"/>
                <w:color w:val="FF0000"/>
                <w:sz w:val="21"/>
                <w:szCs w:val="21"/>
              </w:rPr>
            </w:pPr>
          </w:p>
        </w:tc>
        <w:tc>
          <w:tcPr>
            <w:tcW w:w="217" w:type="dxa"/>
          </w:tcPr>
          <w:p w14:paraId="18ABD51E" w14:textId="77777777" w:rsidR="002C0FD9" w:rsidRPr="00CA25CF" w:rsidRDefault="002C0FD9" w:rsidP="00CA25CF">
            <w:pPr>
              <w:rPr>
                <w:rFonts w:cs="Arial"/>
                <w:color w:val="FF0000"/>
                <w:sz w:val="21"/>
                <w:szCs w:val="21"/>
              </w:rPr>
            </w:pPr>
          </w:p>
        </w:tc>
        <w:tc>
          <w:tcPr>
            <w:tcW w:w="217" w:type="dxa"/>
          </w:tcPr>
          <w:p w14:paraId="131B8EF5" w14:textId="77777777" w:rsidR="002C0FD9" w:rsidRPr="00CA25CF" w:rsidRDefault="002C0FD9" w:rsidP="00CA25CF">
            <w:pPr>
              <w:rPr>
                <w:rFonts w:cs="Arial"/>
                <w:color w:val="FF0000"/>
                <w:sz w:val="21"/>
                <w:szCs w:val="21"/>
              </w:rPr>
            </w:pPr>
          </w:p>
        </w:tc>
        <w:tc>
          <w:tcPr>
            <w:tcW w:w="217" w:type="dxa"/>
          </w:tcPr>
          <w:p w14:paraId="2348032E" w14:textId="77777777" w:rsidR="002C0FD9" w:rsidRPr="00CA25CF" w:rsidRDefault="002C0FD9" w:rsidP="00CA25CF">
            <w:pPr>
              <w:rPr>
                <w:rFonts w:cs="Arial"/>
                <w:color w:val="FF0000"/>
                <w:sz w:val="21"/>
                <w:szCs w:val="21"/>
              </w:rPr>
            </w:pPr>
          </w:p>
        </w:tc>
        <w:tc>
          <w:tcPr>
            <w:tcW w:w="217" w:type="dxa"/>
          </w:tcPr>
          <w:p w14:paraId="1CAEBBB4" w14:textId="77777777" w:rsidR="002C0FD9" w:rsidRPr="00CA25CF" w:rsidRDefault="002C0FD9" w:rsidP="00CA25CF">
            <w:pPr>
              <w:rPr>
                <w:rFonts w:cs="Arial"/>
                <w:color w:val="FF0000"/>
                <w:sz w:val="21"/>
                <w:szCs w:val="21"/>
              </w:rPr>
            </w:pPr>
          </w:p>
        </w:tc>
        <w:tc>
          <w:tcPr>
            <w:tcW w:w="217" w:type="dxa"/>
          </w:tcPr>
          <w:p w14:paraId="7663A082" w14:textId="77777777" w:rsidR="002C0FD9" w:rsidRPr="00CA25CF" w:rsidRDefault="002C0FD9" w:rsidP="00CA25CF">
            <w:pPr>
              <w:rPr>
                <w:rFonts w:cs="Arial"/>
                <w:color w:val="FF0000"/>
                <w:sz w:val="21"/>
                <w:szCs w:val="21"/>
              </w:rPr>
            </w:pPr>
          </w:p>
        </w:tc>
        <w:tc>
          <w:tcPr>
            <w:tcW w:w="217" w:type="dxa"/>
          </w:tcPr>
          <w:p w14:paraId="67119D4D" w14:textId="77777777" w:rsidR="002C0FD9" w:rsidRPr="00CA25CF" w:rsidRDefault="002C0FD9" w:rsidP="00CA25CF">
            <w:pPr>
              <w:rPr>
                <w:rFonts w:cs="Arial"/>
                <w:color w:val="FF0000"/>
                <w:sz w:val="21"/>
                <w:szCs w:val="21"/>
              </w:rPr>
            </w:pPr>
          </w:p>
        </w:tc>
        <w:tc>
          <w:tcPr>
            <w:tcW w:w="217" w:type="dxa"/>
          </w:tcPr>
          <w:p w14:paraId="29CC7967" w14:textId="77777777" w:rsidR="002C0FD9" w:rsidRPr="00CA25CF" w:rsidRDefault="002C0FD9" w:rsidP="00CA25CF">
            <w:pPr>
              <w:rPr>
                <w:rFonts w:cs="Arial"/>
                <w:color w:val="FF0000"/>
                <w:sz w:val="21"/>
                <w:szCs w:val="21"/>
              </w:rPr>
            </w:pPr>
          </w:p>
        </w:tc>
        <w:tc>
          <w:tcPr>
            <w:tcW w:w="217" w:type="dxa"/>
          </w:tcPr>
          <w:p w14:paraId="245A2382" w14:textId="77777777" w:rsidR="002C0FD9" w:rsidRPr="00CA25CF" w:rsidRDefault="002C0FD9" w:rsidP="00CA25CF">
            <w:pPr>
              <w:rPr>
                <w:rFonts w:cs="Arial"/>
                <w:color w:val="FF0000"/>
                <w:sz w:val="21"/>
                <w:szCs w:val="21"/>
              </w:rPr>
            </w:pPr>
          </w:p>
        </w:tc>
        <w:tc>
          <w:tcPr>
            <w:tcW w:w="217" w:type="dxa"/>
          </w:tcPr>
          <w:p w14:paraId="311109D2" w14:textId="77777777" w:rsidR="002C0FD9" w:rsidRPr="00CA25CF" w:rsidRDefault="002C0FD9" w:rsidP="00CA25CF">
            <w:pPr>
              <w:rPr>
                <w:rFonts w:cs="Arial"/>
                <w:color w:val="FF0000"/>
                <w:sz w:val="21"/>
                <w:szCs w:val="21"/>
              </w:rPr>
            </w:pPr>
          </w:p>
        </w:tc>
        <w:tc>
          <w:tcPr>
            <w:tcW w:w="217" w:type="dxa"/>
          </w:tcPr>
          <w:p w14:paraId="75B27DB9" w14:textId="77777777" w:rsidR="002C0FD9" w:rsidRPr="00CA25CF" w:rsidRDefault="002C0FD9" w:rsidP="00CA25CF">
            <w:pPr>
              <w:rPr>
                <w:rFonts w:cs="Arial"/>
                <w:color w:val="FF0000"/>
                <w:sz w:val="21"/>
                <w:szCs w:val="21"/>
              </w:rPr>
            </w:pPr>
          </w:p>
        </w:tc>
        <w:tc>
          <w:tcPr>
            <w:tcW w:w="217" w:type="dxa"/>
          </w:tcPr>
          <w:p w14:paraId="5B8E2A80" w14:textId="77777777" w:rsidR="002C0FD9" w:rsidRPr="00CA25CF" w:rsidRDefault="002C0FD9" w:rsidP="00CA25CF">
            <w:pPr>
              <w:rPr>
                <w:rFonts w:cs="Arial"/>
                <w:color w:val="FF0000"/>
                <w:sz w:val="21"/>
                <w:szCs w:val="21"/>
              </w:rPr>
            </w:pPr>
          </w:p>
        </w:tc>
        <w:tc>
          <w:tcPr>
            <w:tcW w:w="217" w:type="dxa"/>
          </w:tcPr>
          <w:p w14:paraId="780159EC" w14:textId="77777777" w:rsidR="002C0FD9" w:rsidRPr="00CA25CF" w:rsidRDefault="002C0FD9" w:rsidP="00CA25CF">
            <w:pPr>
              <w:rPr>
                <w:rFonts w:cs="Arial"/>
                <w:color w:val="FF0000"/>
                <w:sz w:val="21"/>
                <w:szCs w:val="21"/>
              </w:rPr>
            </w:pPr>
          </w:p>
        </w:tc>
        <w:tc>
          <w:tcPr>
            <w:tcW w:w="217" w:type="dxa"/>
          </w:tcPr>
          <w:p w14:paraId="66E3A260" w14:textId="77777777" w:rsidR="002C0FD9" w:rsidRPr="00CA25CF" w:rsidRDefault="002C0FD9" w:rsidP="00CA25CF">
            <w:pPr>
              <w:rPr>
                <w:rFonts w:cs="Arial"/>
                <w:color w:val="FF0000"/>
                <w:sz w:val="21"/>
                <w:szCs w:val="21"/>
              </w:rPr>
            </w:pPr>
          </w:p>
        </w:tc>
        <w:tc>
          <w:tcPr>
            <w:tcW w:w="217" w:type="dxa"/>
          </w:tcPr>
          <w:p w14:paraId="45D92F71" w14:textId="77777777" w:rsidR="002C0FD9" w:rsidRPr="00CA25CF" w:rsidRDefault="002C0FD9" w:rsidP="00CA25CF">
            <w:pPr>
              <w:rPr>
                <w:rFonts w:cs="Arial"/>
                <w:color w:val="FF0000"/>
                <w:sz w:val="21"/>
                <w:szCs w:val="21"/>
              </w:rPr>
            </w:pPr>
          </w:p>
        </w:tc>
        <w:tc>
          <w:tcPr>
            <w:tcW w:w="217" w:type="dxa"/>
          </w:tcPr>
          <w:p w14:paraId="37FDD17A" w14:textId="77777777" w:rsidR="002C0FD9" w:rsidRPr="00CA25CF" w:rsidRDefault="002C0FD9" w:rsidP="00CA25CF">
            <w:pPr>
              <w:rPr>
                <w:rFonts w:cs="Arial"/>
                <w:color w:val="FF0000"/>
                <w:sz w:val="21"/>
                <w:szCs w:val="21"/>
              </w:rPr>
            </w:pPr>
          </w:p>
        </w:tc>
        <w:tc>
          <w:tcPr>
            <w:tcW w:w="217" w:type="dxa"/>
          </w:tcPr>
          <w:p w14:paraId="1F59FD7B" w14:textId="77777777" w:rsidR="002C0FD9" w:rsidRPr="00CA25CF" w:rsidRDefault="002C0FD9" w:rsidP="00CA25CF">
            <w:pPr>
              <w:rPr>
                <w:rFonts w:cs="Arial"/>
                <w:color w:val="FF0000"/>
                <w:sz w:val="21"/>
                <w:szCs w:val="21"/>
              </w:rPr>
            </w:pPr>
          </w:p>
        </w:tc>
        <w:tc>
          <w:tcPr>
            <w:tcW w:w="217" w:type="dxa"/>
          </w:tcPr>
          <w:p w14:paraId="5A5E0816" w14:textId="77777777" w:rsidR="002C0FD9" w:rsidRPr="00CA25CF" w:rsidRDefault="002C0FD9" w:rsidP="00CA25CF">
            <w:pPr>
              <w:rPr>
                <w:rFonts w:cs="Arial"/>
                <w:color w:val="FF0000"/>
                <w:sz w:val="21"/>
                <w:szCs w:val="21"/>
              </w:rPr>
            </w:pPr>
          </w:p>
        </w:tc>
        <w:tc>
          <w:tcPr>
            <w:tcW w:w="217" w:type="dxa"/>
          </w:tcPr>
          <w:p w14:paraId="64691ADE" w14:textId="77777777" w:rsidR="002C0FD9" w:rsidRPr="00CA25CF" w:rsidRDefault="002C0FD9" w:rsidP="00CA25CF">
            <w:pPr>
              <w:rPr>
                <w:rFonts w:cs="Arial"/>
                <w:color w:val="FF0000"/>
                <w:sz w:val="21"/>
                <w:szCs w:val="21"/>
              </w:rPr>
            </w:pPr>
          </w:p>
        </w:tc>
        <w:tc>
          <w:tcPr>
            <w:tcW w:w="217" w:type="dxa"/>
          </w:tcPr>
          <w:p w14:paraId="2F389F8D" w14:textId="77777777" w:rsidR="002C0FD9" w:rsidRPr="00CA25CF" w:rsidRDefault="002C0FD9" w:rsidP="00CA25CF">
            <w:pPr>
              <w:rPr>
                <w:rFonts w:cs="Arial"/>
                <w:color w:val="FF0000"/>
                <w:sz w:val="21"/>
                <w:szCs w:val="21"/>
              </w:rPr>
            </w:pPr>
          </w:p>
        </w:tc>
        <w:tc>
          <w:tcPr>
            <w:tcW w:w="217" w:type="dxa"/>
          </w:tcPr>
          <w:p w14:paraId="2A4DA317" w14:textId="77777777" w:rsidR="002C0FD9" w:rsidRPr="00CA25CF" w:rsidRDefault="002C0FD9" w:rsidP="00CA25CF">
            <w:pPr>
              <w:rPr>
                <w:rFonts w:cs="Arial"/>
                <w:color w:val="FF0000"/>
                <w:sz w:val="21"/>
                <w:szCs w:val="21"/>
              </w:rPr>
            </w:pPr>
          </w:p>
        </w:tc>
        <w:tc>
          <w:tcPr>
            <w:tcW w:w="217" w:type="dxa"/>
          </w:tcPr>
          <w:p w14:paraId="7F766C0A" w14:textId="77777777" w:rsidR="002C0FD9" w:rsidRPr="00CA25CF" w:rsidRDefault="002C0FD9" w:rsidP="00CA25CF">
            <w:pPr>
              <w:rPr>
                <w:rFonts w:cs="Arial"/>
                <w:color w:val="FF0000"/>
                <w:sz w:val="21"/>
                <w:szCs w:val="21"/>
              </w:rPr>
            </w:pPr>
          </w:p>
        </w:tc>
        <w:tc>
          <w:tcPr>
            <w:tcW w:w="217" w:type="dxa"/>
          </w:tcPr>
          <w:p w14:paraId="7D1BAECB" w14:textId="77777777" w:rsidR="002C0FD9" w:rsidRPr="00CA25CF" w:rsidRDefault="002C0FD9" w:rsidP="00CA25CF">
            <w:pPr>
              <w:rPr>
                <w:rFonts w:cs="Arial"/>
                <w:color w:val="FF0000"/>
                <w:sz w:val="21"/>
                <w:szCs w:val="21"/>
              </w:rPr>
            </w:pPr>
          </w:p>
        </w:tc>
        <w:tc>
          <w:tcPr>
            <w:tcW w:w="217" w:type="dxa"/>
          </w:tcPr>
          <w:p w14:paraId="2A0DA8FE" w14:textId="77777777" w:rsidR="002C0FD9" w:rsidRPr="00CA25CF" w:rsidRDefault="002C0FD9" w:rsidP="00CA25CF">
            <w:pPr>
              <w:rPr>
                <w:rFonts w:cs="Arial"/>
                <w:color w:val="FF0000"/>
                <w:sz w:val="21"/>
                <w:szCs w:val="21"/>
              </w:rPr>
            </w:pPr>
          </w:p>
        </w:tc>
      </w:tr>
      <w:tr w:rsidR="002C0FD9" w:rsidRPr="00A16219" w14:paraId="17D57593" w14:textId="77777777" w:rsidTr="002C0FD9">
        <w:trPr>
          <w:trHeight w:val="635"/>
        </w:trPr>
        <w:tc>
          <w:tcPr>
            <w:tcW w:w="515" w:type="dxa"/>
          </w:tcPr>
          <w:p w14:paraId="7C43DD42" w14:textId="77777777" w:rsidR="002C0FD9" w:rsidRPr="00CA25CF" w:rsidRDefault="002C0FD9" w:rsidP="00CA25CF">
            <w:pPr>
              <w:rPr>
                <w:rFonts w:cs="Arial"/>
                <w:color w:val="FF0000"/>
                <w:sz w:val="21"/>
                <w:szCs w:val="21"/>
              </w:rPr>
            </w:pPr>
          </w:p>
        </w:tc>
        <w:tc>
          <w:tcPr>
            <w:tcW w:w="217" w:type="dxa"/>
          </w:tcPr>
          <w:p w14:paraId="528C1A4C" w14:textId="77777777" w:rsidR="002C0FD9" w:rsidRPr="00CA25CF" w:rsidRDefault="002C0FD9" w:rsidP="00CA25CF">
            <w:pPr>
              <w:rPr>
                <w:rFonts w:cs="Arial"/>
                <w:color w:val="FF0000"/>
                <w:sz w:val="21"/>
                <w:szCs w:val="21"/>
              </w:rPr>
            </w:pPr>
          </w:p>
        </w:tc>
        <w:tc>
          <w:tcPr>
            <w:tcW w:w="217" w:type="dxa"/>
          </w:tcPr>
          <w:p w14:paraId="63D9B00C" w14:textId="77777777" w:rsidR="002C0FD9" w:rsidRPr="00CA25CF" w:rsidRDefault="002C0FD9" w:rsidP="00CA25CF">
            <w:pPr>
              <w:rPr>
                <w:rFonts w:cs="Arial"/>
                <w:color w:val="FF0000"/>
                <w:sz w:val="21"/>
                <w:szCs w:val="21"/>
              </w:rPr>
            </w:pPr>
          </w:p>
        </w:tc>
        <w:tc>
          <w:tcPr>
            <w:tcW w:w="217" w:type="dxa"/>
          </w:tcPr>
          <w:p w14:paraId="31439F6A" w14:textId="77777777" w:rsidR="002C0FD9" w:rsidRPr="00CA25CF" w:rsidRDefault="002C0FD9" w:rsidP="00CA25CF">
            <w:pPr>
              <w:rPr>
                <w:rFonts w:cs="Arial"/>
                <w:color w:val="FF0000"/>
                <w:sz w:val="21"/>
                <w:szCs w:val="21"/>
              </w:rPr>
            </w:pPr>
          </w:p>
        </w:tc>
        <w:tc>
          <w:tcPr>
            <w:tcW w:w="217" w:type="dxa"/>
          </w:tcPr>
          <w:p w14:paraId="0A47844C" w14:textId="77777777" w:rsidR="002C0FD9" w:rsidRPr="00CA25CF" w:rsidRDefault="002C0FD9" w:rsidP="00CA25CF">
            <w:pPr>
              <w:rPr>
                <w:rFonts w:cs="Arial"/>
                <w:color w:val="FF0000"/>
                <w:sz w:val="21"/>
                <w:szCs w:val="21"/>
              </w:rPr>
            </w:pPr>
          </w:p>
        </w:tc>
        <w:tc>
          <w:tcPr>
            <w:tcW w:w="217" w:type="dxa"/>
          </w:tcPr>
          <w:p w14:paraId="74AB0277" w14:textId="77777777" w:rsidR="002C0FD9" w:rsidRPr="00CA25CF" w:rsidRDefault="002C0FD9" w:rsidP="00CA25CF">
            <w:pPr>
              <w:rPr>
                <w:rFonts w:cs="Arial"/>
                <w:color w:val="FF0000"/>
                <w:sz w:val="21"/>
                <w:szCs w:val="21"/>
              </w:rPr>
            </w:pPr>
          </w:p>
        </w:tc>
        <w:tc>
          <w:tcPr>
            <w:tcW w:w="217" w:type="dxa"/>
          </w:tcPr>
          <w:p w14:paraId="5F8A8B89" w14:textId="77777777" w:rsidR="002C0FD9" w:rsidRPr="00CA25CF" w:rsidRDefault="002C0FD9" w:rsidP="00CA25CF">
            <w:pPr>
              <w:rPr>
                <w:rFonts w:cs="Arial"/>
                <w:color w:val="FF0000"/>
                <w:sz w:val="21"/>
                <w:szCs w:val="21"/>
              </w:rPr>
            </w:pPr>
          </w:p>
        </w:tc>
        <w:tc>
          <w:tcPr>
            <w:tcW w:w="217" w:type="dxa"/>
          </w:tcPr>
          <w:p w14:paraId="6117EDCB" w14:textId="77777777" w:rsidR="002C0FD9" w:rsidRPr="00CA25CF" w:rsidRDefault="002C0FD9" w:rsidP="00CA25CF">
            <w:pPr>
              <w:rPr>
                <w:rFonts w:cs="Arial"/>
                <w:color w:val="FF0000"/>
                <w:sz w:val="21"/>
                <w:szCs w:val="21"/>
              </w:rPr>
            </w:pPr>
          </w:p>
        </w:tc>
        <w:tc>
          <w:tcPr>
            <w:tcW w:w="217" w:type="dxa"/>
          </w:tcPr>
          <w:p w14:paraId="6E0A7B94" w14:textId="77777777" w:rsidR="002C0FD9" w:rsidRPr="00CA25CF" w:rsidRDefault="002C0FD9" w:rsidP="00CA25CF">
            <w:pPr>
              <w:rPr>
                <w:rFonts w:cs="Arial"/>
                <w:color w:val="FF0000"/>
                <w:sz w:val="21"/>
                <w:szCs w:val="21"/>
              </w:rPr>
            </w:pPr>
          </w:p>
        </w:tc>
        <w:tc>
          <w:tcPr>
            <w:tcW w:w="217" w:type="dxa"/>
          </w:tcPr>
          <w:p w14:paraId="2333E01E" w14:textId="77777777" w:rsidR="002C0FD9" w:rsidRPr="00CA25CF" w:rsidRDefault="002C0FD9" w:rsidP="00CA25CF">
            <w:pPr>
              <w:rPr>
                <w:rFonts w:cs="Arial"/>
                <w:color w:val="FF0000"/>
                <w:sz w:val="21"/>
                <w:szCs w:val="21"/>
              </w:rPr>
            </w:pPr>
          </w:p>
        </w:tc>
        <w:tc>
          <w:tcPr>
            <w:tcW w:w="217" w:type="dxa"/>
          </w:tcPr>
          <w:p w14:paraId="1829A269" w14:textId="77777777" w:rsidR="002C0FD9" w:rsidRPr="00CA25CF" w:rsidRDefault="002C0FD9" w:rsidP="00CA25CF">
            <w:pPr>
              <w:rPr>
                <w:rFonts w:cs="Arial"/>
                <w:color w:val="FF0000"/>
                <w:sz w:val="21"/>
                <w:szCs w:val="21"/>
              </w:rPr>
            </w:pPr>
          </w:p>
        </w:tc>
        <w:tc>
          <w:tcPr>
            <w:tcW w:w="217" w:type="dxa"/>
          </w:tcPr>
          <w:p w14:paraId="104862E0" w14:textId="77777777" w:rsidR="002C0FD9" w:rsidRPr="00CA25CF" w:rsidRDefault="002C0FD9" w:rsidP="00CA25CF">
            <w:pPr>
              <w:rPr>
                <w:rFonts w:cs="Arial"/>
                <w:color w:val="FF0000"/>
                <w:sz w:val="21"/>
                <w:szCs w:val="21"/>
              </w:rPr>
            </w:pPr>
          </w:p>
        </w:tc>
        <w:tc>
          <w:tcPr>
            <w:tcW w:w="217" w:type="dxa"/>
          </w:tcPr>
          <w:p w14:paraId="4405DEDA" w14:textId="77777777" w:rsidR="002C0FD9" w:rsidRPr="00CA25CF" w:rsidRDefault="002C0FD9" w:rsidP="00CA25CF">
            <w:pPr>
              <w:rPr>
                <w:rFonts w:cs="Arial"/>
                <w:color w:val="FF0000"/>
                <w:sz w:val="21"/>
                <w:szCs w:val="21"/>
              </w:rPr>
            </w:pPr>
          </w:p>
        </w:tc>
        <w:tc>
          <w:tcPr>
            <w:tcW w:w="217" w:type="dxa"/>
          </w:tcPr>
          <w:p w14:paraId="304322DE" w14:textId="77777777" w:rsidR="002C0FD9" w:rsidRPr="00CA25CF" w:rsidRDefault="002C0FD9" w:rsidP="00CA25CF">
            <w:pPr>
              <w:rPr>
                <w:rFonts w:cs="Arial"/>
                <w:color w:val="FF0000"/>
                <w:sz w:val="21"/>
                <w:szCs w:val="21"/>
              </w:rPr>
            </w:pPr>
          </w:p>
        </w:tc>
        <w:tc>
          <w:tcPr>
            <w:tcW w:w="217" w:type="dxa"/>
          </w:tcPr>
          <w:p w14:paraId="1A9D780A" w14:textId="77777777" w:rsidR="002C0FD9" w:rsidRPr="00CA25CF" w:rsidRDefault="002C0FD9" w:rsidP="00CA25CF">
            <w:pPr>
              <w:rPr>
                <w:rFonts w:cs="Arial"/>
                <w:color w:val="FF0000"/>
                <w:sz w:val="21"/>
                <w:szCs w:val="21"/>
              </w:rPr>
            </w:pPr>
          </w:p>
        </w:tc>
        <w:tc>
          <w:tcPr>
            <w:tcW w:w="217" w:type="dxa"/>
          </w:tcPr>
          <w:p w14:paraId="2612E5DC" w14:textId="77777777" w:rsidR="002C0FD9" w:rsidRPr="00CA25CF" w:rsidRDefault="002C0FD9" w:rsidP="00CA25CF">
            <w:pPr>
              <w:rPr>
                <w:rFonts w:cs="Arial"/>
                <w:color w:val="FF0000"/>
                <w:sz w:val="21"/>
                <w:szCs w:val="21"/>
              </w:rPr>
            </w:pPr>
          </w:p>
        </w:tc>
        <w:tc>
          <w:tcPr>
            <w:tcW w:w="217" w:type="dxa"/>
          </w:tcPr>
          <w:p w14:paraId="3E08F4AD" w14:textId="77777777" w:rsidR="002C0FD9" w:rsidRPr="00CA25CF" w:rsidRDefault="002C0FD9" w:rsidP="00CA25CF">
            <w:pPr>
              <w:rPr>
                <w:rFonts w:cs="Arial"/>
                <w:color w:val="FF0000"/>
                <w:sz w:val="21"/>
                <w:szCs w:val="21"/>
              </w:rPr>
            </w:pPr>
          </w:p>
        </w:tc>
        <w:tc>
          <w:tcPr>
            <w:tcW w:w="217" w:type="dxa"/>
          </w:tcPr>
          <w:p w14:paraId="789F5CD2" w14:textId="77777777" w:rsidR="002C0FD9" w:rsidRPr="00CA25CF" w:rsidRDefault="002C0FD9" w:rsidP="00CA25CF">
            <w:pPr>
              <w:rPr>
                <w:rFonts w:cs="Arial"/>
                <w:color w:val="FF0000"/>
                <w:sz w:val="21"/>
                <w:szCs w:val="21"/>
              </w:rPr>
            </w:pPr>
          </w:p>
        </w:tc>
        <w:tc>
          <w:tcPr>
            <w:tcW w:w="217" w:type="dxa"/>
          </w:tcPr>
          <w:p w14:paraId="14B8EB8A" w14:textId="77777777" w:rsidR="002C0FD9" w:rsidRPr="00CA25CF" w:rsidRDefault="002C0FD9" w:rsidP="00CA25CF">
            <w:pPr>
              <w:rPr>
                <w:rFonts w:cs="Arial"/>
                <w:color w:val="FF0000"/>
                <w:sz w:val="21"/>
                <w:szCs w:val="21"/>
              </w:rPr>
            </w:pPr>
          </w:p>
        </w:tc>
        <w:tc>
          <w:tcPr>
            <w:tcW w:w="217" w:type="dxa"/>
          </w:tcPr>
          <w:p w14:paraId="1530BB5E" w14:textId="77777777" w:rsidR="002C0FD9" w:rsidRPr="00CA25CF" w:rsidRDefault="002C0FD9" w:rsidP="00CA25CF">
            <w:pPr>
              <w:rPr>
                <w:rFonts w:cs="Arial"/>
                <w:color w:val="FF0000"/>
                <w:sz w:val="21"/>
                <w:szCs w:val="21"/>
              </w:rPr>
            </w:pPr>
          </w:p>
        </w:tc>
        <w:tc>
          <w:tcPr>
            <w:tcW w:w="217" w:type="dxa"/>
          </w:tcPr>
          <w:p w14:paraId="0990BB66" w14:textId="77777777" w:rsidR="002C0FD9" w:rsidRPr="00CA25CF" w:rsidRDefault="002C0FD9" w:rsidP="00CA25CF">
            <w:pPr>
              <w:rPr>
                <w:rFonts w:cs="Arial"/>
                <w:color w:val="FF0000"/>
                <w:sz w:val="21"/>
                <w:szCs w:val="21"/>
              </w:rPr>
            </w:pPr>
          </w:p>
        </w:tc>
        <w:tc>
          <w:tcPr>
            <w:tcW w:w="217" w:type="dxa"/>
          </w:tcPr>
          <w:p w14:paraId="1071FF04" w14:textId="77777777" w:rsidR="002C0FD9" w:rsidRPr="00CA25CF" w:rsidRDefault="002C0FD9" w:rsidP="00CA25CF">
            <w:pPr>
              <w:rPr>
                <w:rFonts w:cs="Arial"/>
                <w:color w:val="FF0000"/>
                <w:sz w:val="21"/>
                <w:szCs w:val="21"/>
              </w:rPr>
            </w:pPr>
          </w:p>
        </w:tc>
        <w:tc>
          <w:tcPr>
            <w:tcW w:w="217" w:type="dxa"/>
          </w:tcPr>
          <w:p w14:paraId="0050F075" w14:textId="77777777" w:rsidR="002C0FD9" w:rsidRPr="00CA25CF" w:rsidRDefault="002C0FD9" w:rsidP="00CA25CF">
            <w:pPr>
              <w:rPr>
                <w:rFonts w:cs="Arial"/>
                <w:color w:val="FF0000"/>
                <w:sz w:val="21"/>
                <w:szCs w:val="21"/>
              </w:rPr>
            </w:pPr>
          </w:p>
        </w:tc>
        <w:tc>
          <w:tcPr>
            <w:tcW w:w="217" w:type="dxa"/>
          </w:tcPr>
          <w:p w14:paraId="3C256E3A" w14:textId="77777777" w:rsidR="002C0FD9" w:rsidRPr="00CA25CF" w:rsidRDefault="002C0FD9" w:rsidP="00CA25CF">
            <w:pPr>
              <w:rPr>
                <w:rFonts w:cs="Arial"/>
                <w:color w:val="FF0000"/>
                <w:sz w:val="21"/>
                <w:szCs w:val="21"/>
              </w:rPr>
            </w:pPr>
          </w:p>
        </w:tc>
        <w:tc>
          <w:tcPr>
            <w:tcW w:w="217" w:type="dxa"/>
          </w:tcPr>
          <w:p w14:paraId="030289FB" w14:textId="77777777" w:rsidR="002C0FD9" w:rsidRPr="00CA25CF" w:rsidRDefault="002C0FD9" w:rsidP="00CA25CF">
            <w:pPr>
              <w:rPr>
                <w:rFonts w:cs="Arial"/>
                <w:color w:val="FF0000"/>
                <w:sz w:val="21"/>
                <w:szCs w:val="21"/>
              </w:rPr>
            </w:pPr>
          </w:p>
        </w:tc>
        <w:tc>
          <w:tcPr>
            <w:tcW w:w="217" w:type="dxa"/>
          </w:tcPr>
          <w:p w14:paraId="13741B0F" w14:textId="77777777" w:rsidR="002C0FD9" w:rsidRPr="00CA25CF" w:rsidRDefault="002C0FD9" w:rsidP="00CA25CF">
            <w:pPr>
              <w:rPr>
                <w:rFonts w:cs="Arial"/>
                <w:color w:val="FF0000"/>
                <w:sz w:val="21"/>
                <w:szCs w:val="21"/>
              </w:rPr>
            </w:pPr>
          </w:p>
        </w:tc>
        <w:tc>
          <w:tcPr>
            <w:tcW w:w="217" w:type="dxa"/>
          </w:tcPr>
          <w:p w14:paraId="683EBCC1" w14:textId="77777777" w:rsidR="002C0FD9" w:rsidRPr="00CA25CF" w:rsidRDefault="002C0FD9" w:rsidP="00CA25CF">
            <w:pPr>
              <w:rPr>
                <w:rFonts w:cs="Arial"/>
                <w:color w:val="FF0000"/>
                <w:sz w:val="21"/>
                <w:szCs w:val="21"/>
              </w:rPr>
            </w:pPr>
          </w:p>
        </w:tc>
        <w:tc>
          <w:tcPr>
            <w:tcW w:w="217" w:type="dxa"/>
          </w:tcPr>
          <w:p w14:paraId="49DC32B2" w14:textId="77777777" w:rsidR="002C0FD9" w:rsidRPr="00CA25CF" w:rsidRDefault="002C0FD9" w:rsidP="00CA25CF">
            <w:pPr>
              <w:rPr>
                <w:rFonts w:cs="Arial"/>
                <w:color w:val="FF0000"/>
                <w:sz w:val="21"/>
                <w:szCs w:val="21"/>
              </w:rPr>
            </w:pPr>
          </w:p>
        </w:tc>
        <w:tc>
          <w:tcPr>
            <w:tcW w:w="217" w:type="dxa"/>
          </w:tcPr>
          <w:p w14:paraId="1F91B6CD" w14:textId="77777777" w:rsidR="002C0FD9" w:rsidRPr="00CA25CF" w:rsidRDefault="002C0FD9" w:rsidP="00CA25CF">
            <w:pPr>
              <w:rPr>
                <w:rFonts w:cs="Arial"/>
                <w:color w:val="FF0000"/>
                <w:sz w:val="21"/>
                <w:szCs w:val="21"/>
              </w:rPr>
            </w:pPr>
          </w:p>
        </w:tc>
        <w:tc>
          <w:tcPr>
            <w:tcW w:w="217" w:type="dxa"/>
          </w:tcPr>
          <w:p w14:paraId="341E8BAC" w14:textId="77777777" w:rsidR="002C0FD9" w:rsidRPr="00CA25CF" w:rsidRDefault="002C0FD9" w:rsidP="00CA25CF">
            <w:pPr>
              <w:rPr>
                <w:rFonts w:cs="Arial"/>
                <w:color w:val="FF0000"/>
                <w:sz w:val="21"/>
                <w:szCs w:val="21"/>
              </w:rPr>
            </w:pPr>
          </w:p>
        </w:tc>
        <w:tc>
          <w:tcPr>
            <w:tcW w:w="217" w:type="dxa"/>
          </w:tcPr>
          <w:p w14:paraId="12E11DFA" w14:textId="77777777" w:rsidR="002C0FD9" w:rsidRPr="00CA25CF" w:rsidRDefault="002C0FD9" w:rsidP="00CA25CF">
            <w:pPr>
              <w:rPr>
                <w:rFonts w:cs="Arial"/>
                <w:color w:val="FF0000"/>
                <w:sz w:val="21"/>
                <w:szCs w:val="21"/>
              </w:rPr>
            </w:pPr>
          </w:p>
        </w:tc>
        <w:tc>
          <w:tcPr>
            <w:tcW w:w="217" w:type="dxa"/>
          </w:tcPr>
          <w:p w14:paraId="6147C726" w14:textId="77777777" w:rsidR="002C0FD9" w:rsidRPr="00CA25CF" w:rsidRDefault="002C0FD9" w:rsidP="00CA25CF">
            <w:pPr>
              <w:rPr>
                <w:rFonts w:cs="Arial"/>
                <w:color w:val="FF0000"/>
                <w:sz w:val="21"/>
                <w:szCs w:val="21"/>
              </w:rPr>
            </w:pPr>
          </w:p>
        </w:tc>
        <w:tc>
          <w:tcPr>
            <w:tcW w:w="217" w:type="dxa"/>
          </w:tcPr>
          <w:p w14:paraId="19AFFA03" w14:textId="77777777" w:rsidR="002C0FD9" w:rsidRPr="00CA25CF" w:rsidRDefault="002C0FD9" w:rsidP="00CA25CF">
            <w:pPr>
              <w:rPr>
                <w:rFonts w:cs="Arial"/>
                <w:color w:val="FF0000"/>
                <w:sz w:val="21"/>
                <w:szCs w:val="21"/>
              </w:rPr>
            </w:pPr>
          </w:p>
        </w:tc>
        <w:tc>
          <w:tcPr>
            <w:tcW w:w="217" w:type="dxa"/>
          </w:tcPr>
          <w:p w14:paraId="0F170C93" w14:textId="77777777" w:rsidR="002C0FD9" w:rsidRPr="00CA25CF" w:rsidRDefault="002C0FD9" w:rsidP="00CA25CF">
            <w:pPr>
              <w:rPr>
                <w:rFonts w:cs="Arial"/>
                <w:color w:val="FF0000"/>
                <w:sz w:val="21"/>
                <w:szCs w:val="21"/>
              </w:rPr>
            </w:pPr>
          </w:p>
        </w:tc>
        <w:tc>
          <w:tcPr>
            <w:tcW w:w="217" w:type="dxa"/>
          </w:tcPr>
          <w:p w14:paraId="024A21D2" w14:textId="77777777" w:rsidR="002C0FD9" w:rsidRPr="00CA25CF" w:rsidRDefault="002C0FD9" w:rsidP="00CA25CF">
            <w:pPr>
              <w:rPr>
                <w:rFonts w:cs="Arial"/>
                <w:color w:val="FF0000"/>
                <w:sz w:val="21"/>
                <w:szCs w:val="21"/>
              </w:rPr>
            </w:pPr>
          </w:p>
        </w:tc>
        <w:tc>
          <w:tcPr>
            <w:tcW w:w="217" w:type="dxa"/>
          </w:tcPr>
          <w:p w14:paraId="71003487" w14:textId="77777777" w:rsidR="002C0FD9" w:rsidRPr="00CA25CF" w:rsidRDefault="002C0FD9" w:rsidP="00CA25CF">
            <w:pPr>
              <w:rPr>
                <w:rFonts w:cs="Arial"/>
                <w:color w:val="FF0000"/>
                <w:sz w:val="21"/>
                <w:szCs w:val="21"/>
              </w:rPr>
            </w:pPr>
          </w:p>
        </w:tc>
        <w:tc>
          <w:tcPr>
            <w:tcW w:w="217" w:type="dxa"/>
          </w:tcPr>
          <w:p w14:paraId="2FEC0493" w14:textId="77777777" w:rsidR="002C0FD9" w:rsidRPr="00CA25CF" w:rsidRDefault="002C0FD9" w:rsidP="00CA25CF">
            <w:pPr>
              <w:rPr>
                <w:rFonts w:cs="Arial"/>
                <w:color w:val="FF0000"/>
                <w:sz w:val="21"/>
                <w:szCs w:val="21"/>
              </w:rPr>
            </w:pPr>
          </w:p>
        </w:tc>
        <w:tc>
          <w:tcPr>
            <w:tcW w:w="217" w:type="dxa"/>
          </w:tcPr>
          <w:p w14:paraId="0C784A9B" w14:textId="77777777" w:rsidR="002C0FD9" w:rsidRPr="00CA25CF" w:rsidRDefault="002C0FD9" w:rsidP="00CA25CF">
            <w:pPr>
              <w:rPr>
                <w:rFonts w:cs="Arial"/>
                <w:color w:val="FF0000"/>
                <w:sz w:val="21"/>
                <w:szCs w:val="21"/>
              </w:rPr>
            </w:pPr>
          </w:p>
        </w:tc>
        <w:tc>
          <w:tcPr>
            <w:tcW w:w="217" w:type="dxa"/>
          </w:tcPr>
          <w:p w14:paraId="7DD2CF8E" w14:textId="77777777" w:rsidR="002C0FD9" w:rsidRPr="00CA25CF" w:rsidRDefault="002C0FD9" w:rsidP="00CA25CF">
            <w:pPr>
              <w:rPr>
                <w:rFonts w:cs="Arial"/>
                <w:color w:val="FF0000"/>
                <w:sz w:val="21"/>
                <w:szCs w:val="21"/>
              </w:rPr>
            </w:pPr>
          </w:p>
        </w:tc>
        <w:tc>
          <w:tcPr>
            <w:tcW w:w="217" w:type="dxa"/>
          </w:tcPr>
          <w:p w14:paraId="1B718415" w14:textId="77777777" w:rsidR="002C0FD9" w:rsidRPr="00CA25CF" w:rsidRDefault="002C0FD9" w:rsidP="00CA25CF">
            <w:pPr>
              <w:rPr>
                <w:rFonts w:cs="Arial"/>
                <w:color w:val="FF0000"/>
                <w:sz w:val="21"/>
                <w:szCs w:val="21"/>
              </w:rPr>
            </w:pPr>
          </w:p>
        </w:tc>
        <w:tc>
          <w:tcPr>
            <w:tcW w:w="217" w:type="dxa"/>
          </w:tcPr>
          <w:p w14:paraId="6CE4D917" w14:textId="77777777" w:rsidR="002C0FD9" w:rsidRPr="00CA25CF" w:rsidRDefault="002C0FD9" w:rsidP="00CA25CF">
            <w:pPr>
              <w:rPr>
                <w:rFonts w:cs="Arial"/>
                <w:color w:val="FF0000"/>
                <w:sz w:val="21"/>
                <w:szCs w:val="21"/>
              </w:rPr>
            </w:pPr>
          </w:p>
        </w:tc>
        <w:tc>
          <w:tcPr>
            <w:tcW w:w="217" w:type="dxa"/>
          </w:tcPr>
          <w:p w14:paraId="226941CA" w14:textId="77777777" w:rsidR="002C0FD9" w:rsidRPr="00CA25CF" w:rsidRDefault="002C0FD9" w:rsidP="00CA25CF">
            <w:pPr>
              <w:rPr>
                <w:rFonts w:cs="Arial"/>
                <w:color w:val="FF0000"/>
                <w:sz w:val="21"/>
                <w:szCs w:val="21"/>
              </w:rPr>
            </w:pPr>
          </w:p>
        </w:tc>
        <w:tc>
          <w:tcPr>
            <w:tcW w:w="217" w:type="dxa"/>
          </w:tcPr>
          <w:p w14:paraId="3B0DB494" w14:textId="77777777" w:rsidR="002C0FD9" w:rsidRPr="00CA25CF" w:rsidRDefault="002C0FD9" w:rsidP="00CA25CF">
            <w:pPr>
              <w:rPr>
                <w:rFonts w:cs="Arial"/>
                <w:color w:val="FF0000"/>
                <w:sz w:val="21"/>
                <w:szCs w:val="21"/>
              </w:rPr>
            </w:pPr>
          </w:p>
        </w:tc>
      </w:tr>
      <w:tr w:rsidR="002C0FD9" w:rsidRPr="00A16219" w14:paraId="1CE65246" w14:textId="77777777" w:rsidTr="002C0FD9">
        <w:trPr>
          <w:trHeight w:val="635"/>
        </w:trPr>
        <w:tc>
          <w:tcPr>
            <w:tcW w:w="515" w:type="dxa"/>
          </w:tcPr>
          <w:p w14:paraId="730C39C7" w14:textId="77777777" w:rsidR="002C0FD9" w:rsidRPr="00CA25CF" w:rsidRDefault="002C0FD9" w:rsidP="00CA25CF">
            <w:pPr>
              <w:rPr>
                <w:rFonts w:cs="Arial"/>
                <w:color w:val="FF0000"/>
                <w:sz w:val="21"/>
                <w:szCs w:val="21"/>
              </w:rPr>
            </w:pPr>
          </w:p>
        </w:tc>
        <w:tc>
          <w:tcPr>
            <w:tcW w:w="217" w:type="dxa"/>
          </w:tcPr>
          <w:p w14:paraId="37117C08" w14:textId="77777777" w:rsidR="002C0FD9" w:rsidRPr="00CA25CF" w:rsidRDefault="002C0FD9" w:rsidP="00CA25CF">
            <w:pPr>
              <w:rPr>
                <w:rFonts w:cs="Arial"/>
                <w:color w:val="FF0000"/>
                <w:sz w:val="21"/>
                <w:szCs w:val="21"/>
              </w:rPr>
            </w:pPr>
          </w:p>
        </w:tc>
        <w:tc>
          <w:tcPr>
            <w:tcW w:w="217" w:type="dxa"/>
          </w:tcPr>
          <w:p w14:paraId="34D01899" w14:textId="77777777" w:rsidR="002C0FD9" w:rsidRPr="00CA25CF" w:rsidRDefault="002C0FD9" w:rsidP="00CA25CF">
            <w:pPr>
              <w:rPr>
                <w:rFonts w:cs="Arial"/>
                <w:color w:val="FF0000"/>
                <w:sz w:val="21"/>
                <w:szCs w:val="21"/>
              </w:rPr>
            </w:pPr>
          </w:p>
        </w:tc>
        <w:tc>
          <w:tcPr>
            <w:tcW w:w="217" w:type="dxa"/>
          </w:tcPr>
          <w:p w14:paraId="2E4C6952" w14:textId="77777777" w:rsidR="002C0FD9" w:rsidRPr="00CA25CF" w:rsidRDefault="002C0FD9" w:rsidP="00CA25CF">
            <w:pPr>
              <w:rPr>
                <w:rFonts w:cs="Arial"/>
                <w:color w:val="FF0000"/>
                <w:sz w:val="21"/>
                <w:szCs w:val="21"/>
              </w:rPr>
            </w:pPr>
          </w:p>
        </w:tc>
        <w:tc>
          <w:tcPr>
            <w:tcW w:w="217" w:type="dxa"/>
          </w:tcPr>
          <w:p w14:paraId="44712A0F" w14:textId="77777777" w:rsidR="002C0FD9" w:rsidRPr="00CA25CF" w:rsidRDefault="002C0FD9" w:rsidP="00CA25CF">
            <w:pPr>
              <w:rPr>
                <w:rFonts w:cs="Arial"/>
                <w:color w:val="FF0000"/>
                <w:sz w:val="21"/>
                <w:szCs w:val="21"/>
              </w:rPr>
            </w:pPr>
          </w:p>
        </w:tc>
        <w:tc>
          <w:tcPr>
            <w:tcW w:w="217" w:type="dxa"/>
          </w:tcPr>
          <w:p w14:paraId="44674EED" w14:textId="77777777" w:rsidR="002C0FD9" w:rsidRPr="00CA25CF" w:rsidRDefault="002C0FD9" w:rsidP="00CA25CF">
            <w:pPr>
              <w:rPr>
                <w:rFonts w:cs="Arial"/>
                <w:color w:val="FF0000"/>
                <w:sz w:val="21"/>
                <w:szCs w:val="21"/>
              </w:rPr>
            </w:pPr>
          </w:p>
        </w:tc>
        <w:tc>
          <w:tcPr>
            <w:tcW w:w="217" w:type="dxa"/>
          </w:tcPr>
          <w:p w14:paraId="4A4BACE5" w14:textId="77777777" w:rsidR="002C0FD9" w:rsidRPr="00CA25CF" w:rsidRDefault="002C0FD9" w:rsidP="00CA25CF">
            <w:pPr>
              <w:rPr>
                <w:rFonts w:cs="Arial"/>
                <w:color w:val="FF0000"/>
                <w:sz w:val="21"/>
                <w:szCs w:val="21"/>
              </w:rPr>
            </w:pPr>
          </w:p>
        </w:tc>
        <w:tc>
          <w:tcPr>
            <w:tcW w:w="217" w:type="dxa"/>
          </w:tcPr>
          <w:p w14:paraId="54349C04" w14:textId="77777777" w:rsidR="002C0FD9" w:rsidRPr="00CA25CF" w:rsidRDefault="002C0FD9" w:rsidP="00CA25CF">
            <w:pPr>
              <w:rPr>
                <w:rFonts w:cs="Arial"/>
                <w:color w:val="FF0000"/>
                <w:sz w:val="21"/>
                <w:szCs w:val="21"/>
              </w:rPr>
            </w:pPr>
          </w:p>
        </w:tc>
        <w:tc>
          <w:tcPr>
            <w:tcW w:w="217" w:type="dxa"/>
          </w:tcPr>
          <w:p w14:paraId="01522298" w14:textId="77777777" w:rsidR="002C0FD9" w:rsidRPr="00CA25CF" w:rsidRDefault="002C0FD9" w:rsidP="00CA25CF">
            <w:pPr>
              <w:rPr>
                <w:rFonts w:cs="Arial"/>
                <w:color w:val="FF0000"/>
                <w:sz w:val="21"/>
                <w:szCs w:val="21"/>
              </w:rPr>
            </w:pPr>
          </w:p>
        </w:tc>
        <w:tc>
          <w:tcPr>
            <w:tcW w:w="217" w:type="dxa"/>
          </w:tcPr>
          <w:p w14:paraId="4705CC3A" w14:textId="77777777" w:rsidR="002C0FD9" w:rsidRPr="00CA25CF" w:rsidRDefault="002C0FD9" w:rsidP="00CA25CF">
            <w:pPr>
              <w:rPr>
                <w:rFonts w:cs="Arial"/>
                <w:color w:val="FF0000"/>
                <w:sz w:val="21"/>
                <w:szCs w:val="21"/>
              </w:rPr>
            </w:pPr>
          </w:p>
        </w:tc>
        <w:tc>
          <w:tcPr>
            <w:tcW w:w="217" w:type="dxa"/>
          </w:tcPr>
          <w:p w14:paraId="4478B0F3" w14:textId="77777777" w:rsidR="002C0FD9" w:rsidRPr="00CA25CF" w:rsidRDefault="002C0FD9" w:rsidP="00CA25CF">
            <w:pPr>
              <w:rPr>
                <w:rFonts w:cs="Arial"/>
                <w:color w:val="FF0000"/>
                <w:sz w:val="21"/>
                <w:szCs w:val="21"/>
              </w:rPr>
            </w:pPr>
          </w:p>
        </w:tc>
        <w:tc>
          <w:tcPr>
            <w:tcW w:w="217" w:type="dxa"/>
          </w:tcPr>
          <w:p w14:paraId="65294473" w14:textId="77777777" w:rsidR="002C0FD9" w:rsidRPr="00CA25CF" w:rsidRDefault="002C0FD9" w:rsidP="00CA25CF">
            <w:pPr>
              <w:rPr>
                <w:rFonts w:cs="Arial"/>
                <w:color w:val="FF0000"/>
                <w:sz w:val="21"/>
                <w:szCs w:val="21"/>
              </w:rPr>
            </w:pPr>
          </w:p>
        </w:tc>
        <w:tc>
          <w:tcPr>
            <w:tcW w:w="217" w:type="dxa"/>
          </w:tcPr>
          <w:p w14:paraId="7B33D860" w14:textId="77777777" w:rsidR="002C0FD9" w:rsidRPr="00CA25CF" w:rsidRDefault="002C0FD9" w:rsidP="00CA25CF">
            <w:pPr>
              <w:rPr>
                <w:rFonts w:cs="Arial"/>
                <w:color w:val="FF0000"/>
                <w:sz w:val="21"/>
                <w:szCs w:val="21"/>
              </w:rPr>
            </w:pPr>
          </w:p>
        </w:tc>
        <w:tc>
          <w:tcPr>
            <w:tcW w:w="217" w:type="dxa"/>
          </w:tcPr>
          <w:p w14:paraId="0F00CA99" w14:textId="77777777" w:rsidR="002C0FD9" w:rsidRPr="00CA25CF" w:rsidRDefault="002C0FD9" w:rsidP="00CA25CF">
            <w:pPr>
              <w:rPr>
                <w:rFonts w:cs="Arial"/>
                <w:color w:val="FF0000"/>
                <w:sz w:val="21"/>
                <w:szCs w:val="21"/>
              </w:rPr>
            </w:pPr>
          </w:p>
        </w:tc>
        <w:tc>
          <w:tcPr>
            <w:tcW w:w="217" w:type="dxa"/>
          </w:tcPr>
          <w:p w14:paraId="2C68FC77" w14:textId="77777777" w:rsidR="002C0FD9" w:rsidRPr="00CA25CF" w:rsidRDefault="002C0FD9" w:rsidP="00CA25CF">
            <w:pPr>
              <w:rPr>
                <w:rFonts w:cs="Arial"/>
                <w:color w:val="FF0000"/>
                <w:sz w:val="21"/>
                <w:szCs w:val="21"/>
              </w:rPr>
            </w:pPr>
          </w:p>
        </w:tc>
        <w:tc>
          <w:tcPr>
            <w:tcW w:w="217" w:type="dxa"/>
          </w:tcPr>
          <w:p w14:paraId="52AA3380" w14:textId="77777777" w:rsidR="002C0FD9" w:rsidRPr="00CA25CF" w:rsidRDefault="002C0FD9" w:rsidP="00CA25CF">
            <w:pPr>
              <w:rPr>
                <w:rFonts w:cs="Arial"/>
                <w:color w:val="FF0000"/>
                <w:sz w:val="21"/>
                <w:szCs w:val="21"/>
              </w:rPr>
            </w:pPr>
          </w:p>
        </w:tc>
        <w:tc>
          <w:tcPr>
            <w:tcW w:w="217" w:type="dxa"/>
          </w:tcPr>
          <w:p w14:paraId="6686A045" w14:textId="77777777" w:rsidR="002C0FD9" w:rsidRPr="00CA25CF" w:rsidRDefault="002C0FD9" w:rsidP="00CA25CF">
            <w:pPr>
              <w:rPr>
                <w:rFonts w:cs="Arial"/>
                <w:color w:val="FF0000"/>
                <w:sz w:val="21"/>
                <w:szCs w:val="21"/>
              </w:rPr>
            </w:pPr>
          </w:p>
        </w:tc>
        <w:tc>
          <w:tcPr>
            <w:tcW w:w="217" w:type="dxa"/>
          </w:tcPr>
          <w:p w14:paraId="55BF710C" w14:textId="77777777" w:rsidR="002C0FD9" w:rsidRPr="00CA25CF" w:rsidRDefault="002C0FD9" w:rsidP="00CA25CF">
            <w:pPr>
              <w:rPr>
                <w:rFonts w:cs="Arial"/>
                <w:color w:val="FF0000"/>
                <w:sz w:val="21"/>
                <w:szCs w:val="21"/>
              </w:rPr>
            </w:pPr>
          </w:p>
        </w:tc>
        <w:tc>
          <w:tcPr>
            <w:tcW w:w="217" w:type="dxa"/>
          </w:tcPr>
          <w:p w14:paraId="2C60CE79" w14:textId="77777777" w:rsidR="002C0FD9" w:rsidRPr="00CA25CF" w:rsidRDefault="002C0FD9" w:rsidP="00CA25CF">
            <w:pPr>
              <w:rPr>
                <w:rFonts w:cs="Arial"/>
                <w:color w:val="FF0000"/>
                <w:sz w:val="21"/>
                <w:szCs w:val="21"/>
              </w:rPr>
            </w:pPr>
          </w:p>
        </w:tc>
        <w:tc>
          <w:tcPr>
            <w:tcW w:w="217" w:type="dxa"/>
          </w:tcPr>
          <w:p w14:paraId="18DDCE21" w14:textId="77777777" w:rsidR="002C0FD9" w:rsidRPr="00CA25CF" w:rsidRDefault="002C0FD9" w:rsidP="00CA25CF">
            <w:pPr>
              <w:rPr>
                <w:rFonts w:cs="Arial"/>
                <w:color w:val="FF0000"/>
                <w:sz w:val="21"/>
                <w:szCs w:val="21"/>
              </w:rPr>
            </w:pPr>
          </w:p>
        </w:tc>
        <w:tc>
          <w:tcPr>
            <w:tcW w:w="217" w:type="dxa"/>
          </w:tcPr>
          <w:p w14:paraId="1039771F" w14:textId="77777777" w:rsidR="002C0FD9" w:rsidRPr="00CA25CF" w:rsidRDefault="002C0FD9" w:rsidP="00CA25CF">
            <w:pPr>
              <w:rPr>
                <w:rFonts w:cs="Arial"/>
                <w:color w:val="FF0000"/>
                <w:sz w:val="21"/>
                <w:szCs w:val="21"/>
              </w:rPr>
            </w:pPr>
          </w:p>
        </w:tc>
        <w:tc>
          <w:tcPr>
            <w:tcW w:w="217" w:type="dxa"/>
          </w:tcPr>
          <w:p w14:paraId="079B9D68" w14:textId="77777777" w:rsidR="002C0FD9" w:rsidRPr="00CA25CF" w:rsidRDefault="002C0FD9" w:rsidP="00CA25CF">
            <w:pPr>
              <w:rPr>
                <w:rFonts w:cs="Arial"/>
                <w:color w:val="FF0000"/>
                <w:sz w:val="21"/>
                <w:szCs w:val="21"/>
              </w:rPr>
            </w:pPr>
          </w:p>
        </w:tc>
        <w:tc>
          <w:tcPr>
            <w:tcW w:w="217" w:type="dxa"/>
          </w:tcPr>
          <w:p w14:paraId="77F25AA5" w14:textId="77777777" w:rsidR="002C0FD9" w:rsidRPr="00CA25CF" w:rsidRDefault="002C0FD9" w:rsidP="00CA25CF">
            <w:pPr>
              <w:rPr>
                <w:rFonts w:cs="Arial"/>
                <w:color w:val="FF0000"/>
                <w:sz w:val="21"/>
                <w:szCs w:val="21"/>
              </w:rPr>
            </w:pPr>
          </w:p>
        </w:tc>
        <w:tc>
          <w:tcPr>
            <w:tcW w:w="217" w:type="dxa"/>
          </w:tcPr>
          <w:p w14:paraId="278C712A" w14:textId="77777777" w:rsidR="002C0FD9" w:rsidRPr="00CA25CF" w:rsidRDefault="002C0FD9" w:rsidP="00CA25CF">
            <w:pPr>
              <w:rPr>
                <w:rFonts w:cs="Arial"/>
                <w:color w:val="FF0000"/>
                <w:sz w:val="21"/>
                <w:szCs w:val="21"/>
              </w:rPr>
            </w:pPr>
          </w:p>
        </w:tc>
        <w:tc>
          <w:tcPr>
            <w:tcW w:w="217" w:type="dxa"/>
          </w:tcPr>
          <w:p w14:paraId="51DE3073" w14:textId="77777777" w:rsidR="002C0FD9" w:rsidRPr="00CA25CF" w:rsidRDefault="002C0FD9" w:rsidP="00CA25CF">
            <w:pPr>
              <w:rPr>
                <w:rFonts w:cs="Arial"/>
                <w:color w:val="FF0000"/>
                <w:sz w:val="21"/>
                <w:szCs w:val="21"/>
              </w:rPr>
            </w:pPr>
          </w:p>
        </w:tc>
        <w:tc>
          <w:tcPr>
            <w:tcW w:w="217" w:type="dxa"/>
          </w:tcPr>
          <w:p w14:paraId="53F57D99" w14:textId="77777777" w:rsidR="002C0FD9" w:rsidRPr="00CA25CF" w:rsidRDefault="002C0FD9" w:rsidP="00CA25CF">
            <w:pPr>
              <w:rPr>
                <w:rFonts w:cs="Arial"/>
                <w:color w:val="FF0000"/>
                <w:sz w:val="21"/>
                <w:szCs w:val="21"/>
              </w:rPr>
            </w:pPr>
          </w:p>
        </w:tc>
        <w:tc>
          <w:tcPr>
            <w:tcW w:w="217" w:type="dxa"/>
          </w:tcPr>
          <w:p w14:paraId="0BE03DE9" w14:textId="77777777" w:rsidR="002C0FD9" w:rsidRPr="00CA25CF" w:rsidRDefault="002C0FD9" w:rsidP="00CA25CF">
            <w:pPr>
              <w:rPr>
                <w:rFonts w:cs="Arial"/>
                <w:color w:val="FF0000"/>
                <w:sz w:val="21"/>
                <w:szCs w:val="21"/>
              </w:rPr>
            </w:pPr>
          </w:p>
        </w:tc>
        <w:tc>
          <w:tcPr>
            <w:tcW w:w="217" w:type="dxa"/>
          </w:tcPr>
          <w:p w14:paraId="34B3D9A1" w14:textId="77777777" w:rsidR="002C0FD9" w:rsidRPr="00CA25CF" w:rsidRDefault="002C0FD9" w:rsidP="00CA25CF">
            <w:pPr>
              <w:rPr>
                <w:rFonts w:cs="Arial"/>
                <w:color w:val="FF0000"/>
                <w:sz w:val="21"/>
                <w:szCs w:val="21"/>
              </w:rPr>
            </w:pPr>
          </w:p>
        </w:tc>
        <w:tc>
          <w:tcPr>
            <w:tcW w:w="217" w:type="dxa"/>
          </w:tcPr>
          <w:p w14:paraId="72B0C1FD" w14:textId="77777777" w:rsidR="002C0FD9" w:rsidRPr="00CA25CF" w:rsidRDefault="002C0FD9" w:rsidP="00CA25CF">
            <w:pPr>
              <w:rPr>
                <w:rFonts w:cs="Arial"/>
                <w:color w:val="FF0000"/>
                <w:sz w:val="21"/>
                <w:szCs w:val="21"/>
              </w:rPr>
            </w:pPr>
          </w:p>
        </w:tc>
        <w:tc>
          <w:tcPr>
            <w:tcW w:w="217" w:type="dxa"/>
          </w:tcPr>
          <w:p w14:paraId="020EF236" w14:textId="77777777" w:rsidR="002C0FD9" w:rsidRPr="00CA25CF" w:rsidRDefault="002C0FD9" w:rsidP="00CA25CF">
            <w:pPr>
              <w:rPr>
                <w:rFonts w:cs="Arial"/>
                <w:color w:val="FF0000"/>
                <w:sz w:val="21"/>
                <w:szCs w:val="21"/>
              </w:rPr>
            </w:pPr>
          </w:p>
        </w:tc>
        <w:tc>
          <w:tcPr>
            <w:tcW w:w="217" w:type="dxa"/>
          </w:tcPr>
          <w:p w14:paraId="126EB94B" w14:textId="77777777" w:rsidR="002C0FD9" w:rsidRPr="00CA25CF" w:rsidRDefault="002C0FD9" w:rsidP="00CA25CF">
            <w:pPr>
              <w:rPr>
                <w:rFonts w:cs="Arial"/>
                <w:color w:val="FF0000"/>
                <w:sz w:val="21"/>
                <w:szCs w:val="21"/>
              </w:rPr>
            </w:pPr>
          </w:p>
        </w:tc>
        <w:tc>
          <w:tcPr>
            <w:tcW w:w="217" w:type="dxa"/>
          </w:tcPr>
          <w:p w14:paraId="3CC72427" w14:textId="77777777" w:rsidR="002C0FD9" w:rsidRPr="00CA25CF" w:rsidRDefault="002C0FD9" w:rsidP="00CA25CF">
            <w:pPr>
              <w:rPr>
                <w:rFonts w:cs="Arial"/>
                <w:color w:val="FF0000"/>
                <w:sz w:val="21"/>
                <w:szCs w:val="21"/>
              </w:rPr>
            </w:pPr>
          </w:p>
        </w:tc>
        <w:tc>
          <w:tcPr>
            <w:tcW w:w="217" w:type="dxa"/>
          </w:tcPr>
          <w:p w14:paraId="3EC2B599" w14:textId="77777777" w:rsidR="002C0FD9" w:rsidRPr="00CA25CF" w:rsidRDefault="002C0FD9" w:rsidP="00CA25CF">
            <w:pPr>
              <w:rPr>
                <w:rFonts w:cs="Arial"/>
                <w:color w:val="FF0000"/>
                <w:sz w:val="21"/>
                <w:szCs w:val="21"/>
              </w:rPr>
            </w:pPr>
          </w:p>
        </w:tc>
        <w:tc>
          <w:tcPr>
            <w:tcW w:w="217" w:type="dxa"/>
          </w:tcPr>
          <w:p w14:paraId="4EBD88B8" w14:textId="77777777" w:rsidR="002C0FD9" w:rsidRPr="00CA25CF" w:rsidRDefault="002C0FD9" w:rsidP="00CA25CF">
            <w:pPr>
              <w:rPr>
                <w:rFonts w:cs="Arial"/>
                <w:color w:val="FF0000"/>
                <w:sz w:val="21"/>
                <w:szCs w:val="21"/>
              </w:rPr>
            </w:pPr>
          </w:p>
        </w:tc>
        <w:tc>
          <w:tcPr>
            <w:tcW w:w="217" w:type="dxa"/>
          </w:tcPr>
          <w:p w14:paraId="5832E863" w14:textId="77777777" w:rsidR="002C0FD9" w:rsidRPr="00CA25CF" w:rsidRDefault="002C0FD9" w:rsidP="00CA25CF">
            <w:pPr>
              <w:rPr>
                <w:rFonts w:cs="Arial"/>
                <w:color w:val="FF0000"/>
                <w:sz w:val="21"/>
                <w:szCs w:val="21"/>
              </w:rPr>
            </w:pPr>
          </w:p>
        </w:tc>
        <w:tc>
          <w:tcPr>
            <w:tcW w:w="217" w:type="dxa"/>
          </w:tcPr>
          <w:p w14:paraId="340A0D3C" w14:textId="77777777" w:rsidR="002C0FD9" w:rsidRPr="00CA25CF" w:rsidRDefault="002C0FD9" w:rsidP="00CA25CF">
            <w:pPr>
              <w:rPr>
                <w:rFonts w:cs="Arial"/>
                <w:color w:val="FF0000"/>
                <w:sz w:val="21"/>
                <w:szCs w:val="21"/>
              </w:rPr>
            </w:pPr>
          </w:p>
        </w:tc>
        <w:tc>
          <w:tcPr>
            <w:tcW w:w="217" w:type="dxa"/>
          </w:tcPr>
          <w:p w14:paraId="00AA8686" w14:textId="77777777" w:rsidR="002C0FD9" w:rsidRPr="00CA25CF" w:rsidRDefault="002C0FD9" w:rsidP="00CA25CF">
            <w:pPr>
              <w:rPr>
                <w:rFonts w:cs="Arial"/>
                <w:color w:val="FF0000"/>
                <w:sz w:val="21"/>
                <w:szCs w:val="21"/>
              </w:rPr>
            </w:pPr>
          </w:p>
        </w:tc>
        <w:tc>
          <w:tcPr>
            <w:tcW w:w="217" w:type="dxa"/>
          </w:tcPr>
          <w:p w14:paraId="28F78059" w14:textId="77777777" w:rsidR="002C0FD9" w:rsidRPr="00CA25CF" w:rsidRDefault="002C0FD9" w:rsidP="00CA25CF">
            <w:pPr>
              <w:rPr>
                <w:rFonts w:cs="Arial"/>
                <w:color w:val="FF0000"/>
                <w:sz w:val="21"/>
                <w:szCs w:val="21"/>
              </w:rPr>
            </w:pPr>
          </w:p>
        </w:tc>
        <w:tc>
          <w:tcPr>
            <w:tcW w:w="217" w:type="dxa"/>
          </w:tcPr>
          <w:p w14:paraId="3A039C9E" w14:textId="77777777" w:rsidR="002C0FD9" w:rsidRPr="00CA25CF" w:rsidRDefault="002C0FD9" w:rsidP="00CA25CF">
            <w:pPr>
              <w:rPr>
                <w:rFonts w:cs="Arial"/>
                <w:color w:val="FF0000"/>
                <w:sz w:val="21"/>
                <w:szCs w:val="21"/>
              </w:rPr>
            </w:pPr>
          </w:p>
        </w:tc>
        <w:tc>
          <w:tcPr>
            <w:tcW w:w="217" w:type="dxa"/>
          </w:tcPr>
          <w:p w14:paraId="379C26EA" w14:textId="77777777" w:rsidR="002C0FD9" w:rsidRPr="00CA25CF" w:rsidRDefault="002C0FD9" w:rsidP="00CA25CF">
            <w:pPr>
              <w:rPr>
                <w:rFonts w:cs="Arial"/>
                <w:color w:val="FF0000"/>
                <w:sz w:val="21"/>
                <w:szCs w:val="21"/>
              </w:rPr>
            </w:pPr>
          </w:p>
        </w:tc>
        <w:tc>
          <w:tcPr>
            <w:tcW w:w="217" w:type="dxa"/>
          </w:tcPr>
          <w:p w14:paraId="7C8DA224" w14:textId="77777777" w:rsidR="002C0FD9" w:rsidRPr="00CA25CF" w:rsidRDefault="002C0FD9" w:rsidP="00CA25CF">
            <w:pPr>
              <w:rPr>
                <w:rFonts w:cs="Arial"/>
                <w:color w:val="FF0000"/>
                <w:sz w:val="21"/>
                <w:szCs w:val="21"/>
              </w:rPr>
            </w:pPr>
          </w:p>
        </w:tc>
        <w:tc>
          <w:tcPr>
            <w:tcW w:w="217" w:type="dxa"/>
          </w:tcPr>
          <w:p w14:paraId="609235B0" w14:textId="77777777" w:rsidR="002C0FD9" w:rsidRPr="00CA25CF" w:rsidRDefault="002C0FD9" w:rsidP="00CA25CF">
            <w:pPr>
              <w:rPr>
                <w:rFonts w:cs="Arial"/>
                <w:color w:val="FF0000"/>
                <w:sz w:val="21"/>
                <w:szCs w:val="21"/>
              </w:rPr>
            </w:pPr>
          </w:p>
        </w:tc>
        <w:tc>
          <w:tcPr>
            <w:tcW w:w="217" w:type="dxa"/>
          </w:tcPr>
          <w:p w14:paraId="64228F74" w14:textId="77777777" w:rsidR="002C0FD9" w:rsidRPr="00CA25CF" w:rsidRDefault="002C0FD9" w:rsidP="00CA25CF">
            <w:pPr>
              <w:rPr>
                <w:rFonts w:cs="Arial"/>
                <w:color w:val="FF0000"/>
                <w:sz w:val="21"/>
                <w:szCs w:val="21"/>
              </w:rPr>
            </w:pPr>
          </w:p>
        </w:tc>
      </w:tr>
      <w:tr w:rsidR="002C0FD9" w:rsidRPr="00A16219" w14:paraId="3E8BAFFD" w14:textId="77777777" w:rsidTr="002C0FD9">
        <w:trPr>
          <w:trHeight w:val="635"/>
        </w:trPr>
        <w:tc>
          <w:tcPr>
            <w:tcW w:w="515" w:type="dxa"/>
          </w:tcPr>
          <w:p w14:paraId="4AEF07F1" w14:textId="77777777" w:rsidR="002C0FD9" w:rsidRPr="00CA25CF" w:rsidRDefault="002C0FD9" w:rsidP="00CA25CF">
            <w:pPr>
              <w:rPr>
                <w:rFonts w:cs="Arial"/>
                <w:color w:val="FF0000"/>
                <w:sz w:val="21"/>
                <w:szCs w:val="21"/>
              </w:rPr>
            </w:pPr>
          </w:p>
        </w:tc>
        <w:tc>
          <w:tcPr>
            <w:tcW w:w="217" w:type="dxa"/>
          </w:tcPr>
          <w:p w14:paraId="4F109173" w14:textId="77777777" w:rsidR="002C0FD9" w:rsidRPr="00CA25CF" w:rsidRDefault="002C0FD9" w:rsidP="00CA25CF">
            <w:pPr>
              <w:rPr>
                <w:rFonts w:cs="Arial"/>
                <w:color w:val="FF0000"/>
                <w:sz w:val="21"/>
                <w:szCs w:val="21"/>
              </w:rPr>
            </w:pPr>
          </w:p>
        </w:tc>
        <w:tc>
          <w:tcPr>
            <w:tcW w:w="217" w:type="dxa"/>
          </w:tcPr>
          <w:p w14:paraId="49A8CE01" w14:textId="77777777" w:rsidR="002C0FD9" w:rsidRPr="00CA25CF" w:rsidRDefault="002C0FD9" w:rsidP="00CA25CF">
            <w:pPr>
              <w:rPr>
                <w:rFonts w:cs="Arial"/>
                <w:color w:val="FF0000"/>
                <w:sz w:val="21"/>
                <w:szCs w:val="21"/>
              </w:rPr>
            </w:pPr>
          </w:p>
        </w:tc>
        <w:tc>
          <w:tcPr>
            <w:tcW w:w="217" w:type="dxa"/>
          </w:tcPr>
          <w:p w14:paraId="6BF3E569" w14:textId="77777777" w:rsidR="002C0FD9" w:rsidRPr="00CA25CF" w:rsidRDefault="002C0FD9" w:rsidP="00CA25CF">
            <w:pPr>
              <w:rPr>
                <w:rFonts w:cs="Arial"/>
                <w:color w:val="FF0000"/>
                <w:sz w:val="21"/>
                <w:szCs w:val="21"/>
              </w:rPr>
            </w:pPr>
          </w:p>
        </w:tc>
        <w:tc>
          <w:tcPr>
            <w:tcW w:w="217" w:type="dxa"/>
          </w:tcPr>
          <w:p w14:paraId="06B4E050" w14:textId="77777777" w:rsidR="002C0FD9" w:rsidRPr="00CA25CF" w:rsidRDefault="002C0FD9" w:rsidP="00CA25CF">
            <w:pPr>
              <w:rPr>
                <w:rFonts w:cs="Arial"/>
                <w:color w:val="FF0000"/>
                <w:sz w:val="21"/>
                <w:szCs w:val="21"/>
              </w:rPr>
            </w:pPr>
          </w:p>
        </w:tc>
        <w:tc>
          <w:tcPr>
            <w:tcW w:w="217" w:type="dxa"/>
          </w:tcPr>
          <w:p w14:paraId="640E1794" w14:textId="77777777" w:rsidR="002C0FD9" w:rsidRPr="00CA25CF" w:rsidRDefault="002C0FD9" w:rsidP="00CA25CF">
            <w:pPr>
              <w:rPr>
                <w:rFonts w:cs="Arial"/>
                <w:color w:val="FF0000"/>
                <w:sz w:val="21"/>
                <w:szCs w:val="21"/>
              </w:rPr>
            </w:pPr>
          </w:p>
        </w:tc>
        <w:tc>
          <w:tcPr>
            <w:tcW w:w="217" w:type="dxa"/>
          </w:tcPr>
          <w:p w14:paraId="0BAB83A7" w14:textId="77777777" w:rsidR="002C0FD9" w:rsidRPr="00CA25CF" w:rsidRDefault="002C0FD9" w:rsidP="00CA25CF">
            <w:pPr>
              <w:rPr>
                <w:rFonts w:cs="Arial"/>
                <w:color w:val="FF0000"/>
                <w:sz w:val="21"/>
                <w:szCs w:val="21"/>
              </w:rPr>
            </w:pPr>
          </w:p>
        </w:tc>
        <w:tc>
          <w:tcPr>
            <w:tcW w:w="217" w:type="dxa"/>
          </w:tcPr>
          <w:p w14:paraId="4DE64CF2" w14:textId="77777777" w:rsidR="002C0FD9" w:rsidRPr="00CA25CF" w:rsidRDefault="002C0FD9" w:rsidP="00CA25CF">
            <w:pPr>
              <w:rPr>
                <w:rFonts w:cs="Arial"/>
                <w:color w:val="FF0000"/>
                <w:sz w:val="21"/>
                <w:szCs w:val="21"/>
              </w:rPr>
            </w:pPr>
          </w:p>
        </w:tc>
        <w:tc>
          <w:tcPr>
            <w:tcW w:w="217" w:type="dxa"/>
          </w:tcPr>
          <w:p w14:paraId="1722D15C" w14:textId="77777777" w:rsidR="002C0FD9" w:rsidRPr="00CA25CF" w:rsidRDefault="002C0FD9" w:rsidP="00CA25CF">
            <w:pPr>
              <w:rPr>
                <w:rFonts w:cs="Arial"/>
                <w:color w:val="FF0000"/>
                <w:sz w:val="21"/>
                <w:szCs w:val="21"/>
              </w:rPr>
            </w:pPr>
          </w:p>
        </w:tc>
        <w:tc>
          <w:tcPr>
            <w:tcW w:w="217" w:type="dxa"/>
          </w:tcPr>
          <w:p w14:paraId="2DC66A0D" w14:textId="77777777" w:rsidR="002C0FD9" w:rsidRPr="00CA25CF" w:rsidRDefault="002C0FD9" w:rsidP="00CA25CF">
            <w:pPr>
              <w:rPr>
                <w:rFonts w:cs="Arial"/>
                <w:color w:val="FF0000"/>
                <w:sz w:val="21"/>
                <w:szCs w:val="21"/>
              </w:rPr>
            </w:pPr>
          </w:p>
        </w:tc>
        <w:tc>
          <w:tcPr>
            <w:tcW w:w="217" w:type="dxa"/>
          </w:tcPr>
          <w:p w14:paraId="2FDF2DF8" w14:textId="77777777" w:rsidR="002C0FD9" w:rsidRPr="00CA25CF" w:rsidRDefault="002C0FD9" w:rsidP="00CA25CF">
            <w:pPr>
              <w:rPr>
                <w:rFonts w:cs="Arial"/>
                <w:color w:val="FF0000"/>
                <w:sz w:val="21"/>
                <w:szCs w:val="21"/>
              </w:rPr>
            </w:pPr>
          </w:p>
        </w:tc>
        <w:tc>
          <w:tcPr>
            <w:tcW w:w="217" w:type="dxa"/>
          </w:tcPr>
          <w:p w14:paraId="1FF3543E" w14:textId="77777777" w:rsidR="002C0FD9" w:rsidRPr="00CA25CF" w:rsidRDefault="002C0FD9" w:rsidP="00CA25CF">
            <w:pPr>
              <w:rPr>
                <w:rFonts w:cs="Arial"/>
                <w:color w:val="FF0000"/>
                <w:sz w:val="21"/>
                <w:szCs w:val="21"/>
              </w:rPr>
            </w:pPr>
          </w:p>
        </w:tc>
        <w:tc>
          <w:tcPr>
            <w:tcW w:w="217" w:type="dxa"/>
          </w:tcPr>
          <w:p w14:paraId="54F39D7F" w14:textId="77777777" w:rsidR="002C0FD9" w:rsidRPr="00CA25CF" w:rsidRDefault="002C0FD9" w:rsidP="00CA25CF">
            <w:pPr>
              <w:rPr>
                <w:rFonts w:cs="Arial"/>
                <w:color w:val="FF0000"/>
                <w:sz w:val="21"/>
                <w:szCs w:val="21"/>
              </w:rPr>
            </w:pPr>
          </w:p>
        </w:tc>
        <w:tc>
          <w:tcPr>
            <w:tcW w:w="217" w:type="dxa"/>
          </w:tcPr>
          <w:p w14:paraId="20EDFC36" w14:textId="77777777" w:rsidR="002C0FD9" w:rsidRPr="00CA25CF" w:rsidRDefault="002C0FD9" w:rsidP="00CA25CF">
            <w:pPr>
              <w:rPr>
                <w:rFonts w:cs="Arial"/>
                <w:color w:val="FF0000"/>
                <w:sz w:val="21"/>
                <w:szCs w:val="21"/>
              </w:rPr>
            </w:pPr>
          </w:p>
        </w:tc>
        <w:tc>
          <w:tcPr>
            <w:tcW w:w="217" w:type="dxa"/>
          </w:tcPr>
          <w:p w14:paraId="64F16CBF" w14:textId="77777777" w:rsidR="002C0FD9" w:rsidRPr="00CA25CF" w:rsidRDefault="002C0FD9" w:rsidP="00CA25CF">
            <w:pPr>
              <w:rPr>
                <w:rFonts w:cs="Arial"/>
                <w:color w:val="FF0000"/>
                <w:sz w:val="21"/>
                <w:szCs w:val="21"/>
              </w:rPr>
            </w:pPr>
          </w:p>
        </w:tc>
        <w:tc>
          <w:tcPr>
            <w:tcW w:w="217" w:type="dxa"/>
          </w:tcPr>
          <w:p w14:paraId="1CE5C005" w14:textId="77777777" w:rsidR="002C0FD9" w:rsidRPr="00CA25CF" w:rsidRDefault="002C0FD9" w:rsidP="00CA25CF">
            <w:pPr>
              <w:rPr>
                <w:rFonts w:cs="Arial"/>
                <w:color w:val="FF0000"/>
                <w:sz w:val="21"/>
                <w:szCs w:val="21"/>
              </w:rPr>
            </w:pPr>
          </w:p>
        </w:tc>
        <w:tc>
          <w:tcPr>
            <w:tcW w:w="217" w:type="dxa"/>
          </w:tcPr>
          <w:p w14:paraId="3504311F" w14:textId="77777777" w:rsidR="002C0FD9" w:rsidRPr="00CA25CF" w:rsidRDefault="002C0FD9" w:rsidP="00CA25CF">
            <w:pPr>
              <w:rPr>
                <w:rFonts w:cs="Arial"/>
                <w:color w:val="FF0000"/>
                <w:sz w:val="21"/>
                <w:szCs w:val="21"/>
              </w:rPr>
            </w:pPr>
          </w:p>
        </w:tc>
        <w:tc>
          <w:tcPr>
            <w:tcW w:w="217" w:type="dxa"/>
          </w:tcPr>
          <w:p w14:paraId="7CDD39AA" w14:textId="77777777" w:rsidR="002C0FD9" w:rsidRPr="00CA25CF" w:rsidRDefault="002C0FD9" w:rsidP="00CA25CF">
            <w:pPr>
              <w:rPr>
                <w:rFonts w:cs="Arial"/>
                <w:color w:val="FF0000"/>
                <w:sz w:val="21"/>
                <w:szCs w:val="21"/>
              </w:rPr>
            </w:pPr>
          </w:p>
        </w:tc>
        <w:tc>
          <w:tcPr>
            <w:tcW w:w="217" w:type="dxa"/>
          </w:tcPr>
          <w:p w14:paraId="4DFA32EE" w14:textId="77777777" w:rsidR="002C0FD9" w:rsidRPr="00CA25CF" w:rsidRDefault="002C0FD9" w:rsidP="00CA25CF">
            <w:pPr>
              <w:rPr>
                <w:rFonts w:cs="Arial"/>
                <w:color w:val="FF0000"/>
                <w:sz w:val="21"/>
                <w:szCs w:val="21"/>
              </w:rPr>
            </w:pPr>
          </w:p>
        </w:tc>
        <w:tc>
          <w:tcPr>
            <w:tcW w:w="217" w:type="dxa"/>
          </w:tcPr>
          <w:p w14:paraId="1280BE30" w14:textId="77777777" w:rsidR="002C0FD9" w:rsidRPr="00CA25CF" w:rsidRDefault="002C0FD9" w:rsidP="00CA25CF">
            <w:pPr>
              <w:rPr>
                <w:rFonts w:cs="Arial"/>
                <w:color w:val="FF0000"/>
                <w:sz w:val="21"/>
                <w:szCs w:val="21"/>
              </w:rPr>
            </w:pPr>
          </w:p>
        </w:tc>
        <w:tc>
          <w:tcPr>
            <w:tcW w:w="217" w:type="dxa"/>
          </w:tcPr>
          <w:p w14:paraId="700CF63A" w14:textId="77777777" w:rsidR="002C0FD9" w:rsidRPr="00CA25CF" w:rsidRDefault="002C0FD9" w:rsidP="00CA25CF">
            <w:pPr>
              <w:rPr>
                <w:rFonts w:cs="Arial"/>
                <w:color w:val="FF0000"/>
                <w:sz w:val="21"/>
                <w:szCs w:val="21"/>
              </w:rPr>
            </w:pPr>
          </w:p>
        </w:tc>
        <w:tc>
          <w:tcPr>
            <w:tcW w:w="217" w:type="dxa"/>
          </w:tcPr>
          <w:p w14:paraId="3C4EF127" w14:textId="77777777" w:rsidR="002C0FD9" w:rsidRPr="00CA25CF" w:rsidRDefault="002C0FD9" w:rsidP="00CA25CF">
            <w:pPr>
              <w:rPr>
                <w:rFonts w:cs="Arial"/>
                <w:color w:val="FF0000"/>
                <w:sz w:val="21"/>
                <w:szCs w:val="21"/>
              </w:rPr>
            </w:pPr>
          </w:p>
        </w:tc>
        <w:tc>
          <w:tcPr>
            <w:tcW w:w="217" w:type="dxa"/>
          </w:tcPr>
          <w:p w14:paraId="3B86362B" w14:textId="77777777" w:rsidR="002C0FD9" w:rsidRPr="00CA25CF" w:rsidRDefault="002C0FD9" w:rsidP="00CA25CF">
            <w:pPr>
              <w:rPr>
                <w:rFonts w:cs="Arial"/>
                <w:color w:val="FF0000"/>
                <w:sz w:val="21"/>
                <w:szCs w:val="21"/>
              </w:rPr>
            </w:pPr>
          </w:p>
        </w:tc>
        <w:tc>
          <w:tcPr>
            <w:tcW w:w="217" w:type="dxa"/>
          </w:tcPr>
          <w:p w14:paraId="26D8D0A9" w14:textId="77777777" w:rsidR="002C0FD9" w:rsidRPr="00CA25CF" w:rsidRDefault="002C0FD9" w:rsidP="00CA25CF">
            <w:pPr>
              <w:rPr>
                <w:rFonts w:cs="Arial"/>
                <w:color w:val="FF0000"/>
                <w:sz w:val="21"/>
                <w:szCs w:val="21"/>
              </w:rPr>
            </w:pPr>
          </w:p>
        </w:tc>
        <w:tc>
          <w:tcPr>
            <w:tcW w:w="217" w:type="dxa"/>
          </w:tcPr>
          <w:p w14:paraId="66C9B058" w14:textId="77777777" w:rsidR="002C0FD9" w:rsidRPr="00CA25CF" w:rsidRDefault="002C0FD9" w:rsidP="00CA25CF">
            <w:pPr>
              <w:rPr>
                <w:rFonts w:cs="Arial"/>
                <w:color w:val="FF0000"/>
                <w:sz w:val="21"/>
                <w:szCs w:val="21"/>
              </w:rPr>
            </w:pPr>
          </w:p>
        </w:tc>
        <w:tc>
          <w:tcPr>
            <w:tcW w:w="217" w:type="dxa"/>
          </w:tcPr>
          <w:p w14:paraId="627F0EB6" w14:textId="77777777" w:rsidR="002C0FD9" w:rsidRPr="00CA25CF" w:rsidRDefault="002C0FD9" w:rsidP="00CA25CF">
            <w:pPr>
              <w:rPr>
                <w:rFonts w:cs="Arial"/>
                <w:color w:val="FF0000"/>
                <w:sz w:val="21"/>
                <w:szCs w:val="21"/>
              </w:rPr>
            </w:pPr>
          </w:p>
        </w:tc>
        <w:tc>
          <w:tcPr>
            <w:tcW w:w="217" w:type="dxa"/>
          </w:tcPr>
          <w:p w14:paraId="3F6447CA" w14:textId="77777777" w:rsidR="002C0FD9" w:rsidRPr="00CA25CF" w:rsidRDefault="002C0FD9" w:rsidP="00CA25CF">
            <w:pPr>
              <w:rPr>
                <w:rFonts w:cs="Arial"/>
                <w:color w:val="FF0000"/>
                <w:sz w:val="21"/>
                <w:szCs w:val="21"/>
              </w:rPr>
            </w:pPr>
          </w:p>
        </w:tc>
        <w:tc>
          <w:tcPr>
            <w:tcW w:w="217" w:type="dxa"/>
          </w:tcPr>
          <w:p w14:paraId="0522EAE6" w14:textId="77777777" w:rsidR="002C0FD9" w:rsidRPr="00CA25CF" w:rsidRDefault="002C0FD9" w:rsidP="00CA25CF">
            <w:pPr>
              <w:rPr>
                <w:rFonts w:cs="Arial"/>
                <w:color w:val="FF0000"/>
                <w:sz w:val="21"/>
                <w:szCs w:val="21"/>
              </w:rPr>
            </w:pPr>
          </w:p>
        </w:tc>
        <w:tc>
          <w:tcPr>
            <w:tcW w:w="217" w:type="dxa"/>
          </w:tcPr>
          <w:p w14:paraId="279A3D37" w14:textId="77777777" w:rsidR="002C0FD9" w:rsidRPr="00CA25CF" w:rsidRDefault="002C0FD9" w:rsidP="00CA25CF">
            <w:pPr>
              <w:rPr>
                <w:rFonts w:cs="Arial"/>
                <w:color w:val="FF0000"/>
                <w:sz w:val="21"/>
                <w:szCs w:val="21"/>
              </w:rPr>
            </w:pPr>
          </w:p>
        </w:tc>
        <w:tc>
          <w:tcPr>
            <w:tcW w:w="217" w:type="dxa"/>
          </w:tcPr>
          <w:p w14:paraId="632B41A4" w14:textId="77777777" w:rsidR="002C0FD9" w:rsidRPr="00CA25CF" w:rsidRDefault="002C0FD9" w:rsidP="00CA25CF">
            <w:pPr>
              <w:rPr>
                <w:rFonts w:cs="Arial"/>
                <w:color w:val="FF0000"/>
                <w:sz w:val="21"/>
                <w:szCs w:val="21"/>
              </w:rPr>
            </w:pPr>
          </w:p>
        </w:tc>
        <w:tc>
          <w:tcPr>
            <w:tcW w:w="217" w:type="dxa"/>
          </w:tcPr>
          <w:p w14:paraId="0D82288B" w14:textId="77777777" w:rsidR="002C0FD9" w:rsidRPr="00CA25CF" w:rsidRDefault="002C0FD9" w:rsidP="00CA25CF">
            <w:pPr>
              <w:rPr>
                <w:rFonts w:cs="Arial"/>
                <w:color w:val="FF0000"/>
                <w:sz w:val="21"/>
                <w:szCs w:val="21"/>
              </w:rPr>
            </w:pPr>
          </w:p>
        </w:tc>
        <w:tc>
          <w:tcPr>
            <w:tcW w:w="217" w:type="dxa"/>
          </w:tcPr>
          <w:p w14:paraId="555A088E" w14:textId="77777777" w:rsidR="002C0FD9" w:rsidRPr="00CA25CF" w:rsidRDefault="002C0FD9" w:rsidP="00CA25CF">
            <w:pPr>
              <w:rPr>
                <w:rFonts w:cs="Arial"/>
                <w:color w:val="FF0000"/>
                <w:sz w:val="21"/>
                <w:szCs w:val="21"/>
              </w:rPr>
            </w:pPr>
          </w:p>
        </w:tc>
        <w:tc>
          <w:tcPr>
            <w:tcW w:w="217" w:type="dxa"/>
          </w:tcPr>
          <w:p w14:paraId="7A0701EE" w14:textId="77777777" w:rsidR="002C0FD9" w:rsidRPr="00CA25CF" w:rsidRDefault="002C0FD9" w:rsidP="00CA25CF">
            <w:pPr>
              <w:rPr>
                <w:rFonts w:cs="Arial"/>
                <w:color w:val="FF0000"/>
                <w:sz w:val="21"/>
                <w:szCs w:val="21"/>
              </w:rPr>
            </w:pPr>
          </w:p>
        </w:tc>
        <w:tc>
          <w:tcPr>
            <w:tcW w:w="217" w:type="dxa"/>
          </w:tcPr>
          <w:p w14:paraId="79E1F933" w14:textId="77777777" w:rsidR="002C0FD9" w:rsidRPr="00CA25CF" w:rsidRDefault="002C0FD9" w:rsidP="00CA25CF">
            <w:pPr>
              <w:rPr>
                <w:rFonts w:cs="Arial"/>
                <w:color w:val="FF0000"/>
                <w:sz w:val="21"/>
                <w:szCs w:val="21"/>
              </w:rPr>
            </w:pPr>
          </w:p>
        </w:tc>
        <w:tc>
          <w:tcPr>
            <w:tcW w:w="217" w:type="dxa"/>
          </w:tcPr>
          <w:p w14:paraId="6D220F63" w14:textId="77777777" w:rsidR="002C0FD9" w:rsidRPr="00CA25CF" w:rsidRDefault="002C0FD9" w:rsidP="00CA25CF">
            <w:pPr>
              <w:rPr>
                <w:rFonts w:cs="Arial"/>
                <w:color w:val="FF0000"/>
                <w:sz w:val="21"/>
                <w:szCs w:val="21"/>
              </w:rPr>
            </w:pPr>
          </w:p>
        </w:tc>
        <w:tc>
          <w:tcPr>
            <w:tcW w:w="217" w:type="dxa"/>
          </w:tcPr>
          <w:p w14:paraId="4EB53E87" w14:textId="77777777" w:rsidR="002C0FD9" w:rsidRPr="00CA25CF" w:rsidRDefault="002C0FD9" w:rsidP="00CA25CF">
            <w:pPr>
              <w:rPr>
                <w:rFonts w:cs="Arial"/>
                <w:color w:val="FF0000"/>
                <w:sz w:val="21"/>
                <w:szCs w:val="21"/>
              </w:rPr>
            </w:pPr>
          </w:p>
        </w:tc>
        <w:tc>
          <w:tcPr>
            <w:tcW w:w="217" w:type="dxa"/>
          </w:tcPr>
          <w:p w14:paraId="1A2C9ABC" w14:textId="77777777" w:rsidR="002C0FD9" w:rsidRPr="00CA25CF" w:rsidRDefault="002C0FD9" w:rsidP="00CA25CF">
            <w:pPr>
              <w:rPr>
                <w:rFonts w:cs="Arial"/>
                <w:color w:val="FF0000"/>
                <w:sz w:val="21"/>
                <w:szCs w:val="21"/>
              </w:rPr>
            </w:pPr>
          </w:p>
        </w:tc>
        <w:tc>
          <w:tcPr>
            <w:tcW w:w="217" w:type="dxa"/>
          </w:tcPr>
          <w:p w14:paraId="3C38E208" w14:textId="77777777" w:rsidR="002C0FD9" w:rsidRPr="00CA25CF" w:rsidRDefault="002C0FD9" w:rsidP="00CA25CF">
            <w:pPr>
              <w:rPr>
                <w:rFonts w:cs="Arial"/>
                <w:color w:val="FF0000"/>
                <w:sz w:val="21"/>
                <w:szCs w:val="21"/>
              </w:rPr>
            </w:pPr>
          </w:p>
        </w:tc>
        <w:tc>
          <w:tcPr>
            <w:tcW w:w="217" w:type="dxa"/>
          </w:tcPr>
          <w:p w14:paraId="6D442E89" w14:textId="77777777" w:rsidR="002C0FD9" w:rsidRPr="00CA25CF" w:rsidRDefault="002C0FD9" w:rsidP="00CA25CF">
            <w:pPr>
              <w:rPr>
                <w:rFonts w:cs="Arial"/>
                <w:color w:val="FF0000"/>
                <w:sz w:val="21"/>
                <w:szCs w:val="21"/>
              </w:rPr>
            </w:pPr>
          </w:p>
        </w:tc>
        <w:tc>
          <w:tcPr>
            <w:tcW w:w="217" w:type="dxa"/>
          </w:tcPr>
          <w:p w14:paraId="6BBA319B" w14:textId="77777777" w:rsidR="002C0FD9" w:rsidRPr="00CA25CF" w:rsidRDefault="002C0FD9" w:rsidP="00CA25CF">
            <w:pPr>
              <w:rPr>
                <w:rFonts w:cs="Arial"/>
                <w:color w:val="FF0000"/>
                <w:sz w:val="21"/>
                <w:szCs w:val="21"/>
              </w:rPr>
            </w:pPr>
          </w:p>
        </w:tc>
        <w:tc>
          <w:tcPr>
            <w:tcW w:w="217" w:type="dxa"/>
          </w:tcPr>
          <w:p w14:paraId="610E0077" w14:textId="77777777" w:rsidR="002C0FD9" w:rsidRPr="00CA25CF" w:rsidRDefault="002C0FD9" w:rsidP="00CA25CF">
            <w:pPr>
              <w:rPr>
                <w:rFonts w:cs="Arial"/>
                <w:color w:val="FF0000"/>
                <w:sz w:val="21"/>
                <w:szCs w:val="21"/>
              </w:rPr>
            </w:pPr>
          </w:p>
        </w:tc>
        <w:tc>
          <w:tcPr>
            <w:tcW w:w="217" w:type="dxa"/>
          </w:tcPr>
          <w:p w14:paraId="7134CA7E" w14:textId="77777777" w:rsidR="002C0FD9" w:rsidRPr="00CA25CF" w:rsidRDefault="002C0FD9" w:rsidP="00CA25CF">
            <w:pPr>
              <w:rPr>
                <w:rFonts w:cs="Arial"/>
                <w:color w:val="FF0000"/>
                <w:sz w:val="21"/>
                <w:szCs w:val="21"/>
              </w:rPr>
            </w:pPr>
          </w:p>
        </w:tc>
        <w:tc>
          <w:tcPr>
            <w:tcW w:w="217" w:type="dxa"/>
          </w:tcPr>
          <w:p w14:paraId="114927E1" w14:textId="77777777" w:rsidR="002C0FD9" w:rsidRPr="00CA25CF" w:rsidRDefault="002C0FD9" w:rsidP="00CA25CF">
            <w:pPr>
              <w:rPr>
                <w:rFonts w:cs="Arial"/>
                <w:color w:val="FF0000"/>
                <w:sz w:val="21"/>
                <w:szCs w:val="21"/>
              </w:rPr>
            </w:pPr>
          </w:p>
        </w:tc>
      </w:tr>
      <w:tr w:rsidR="002C0FD9" w:rsidRPr="00A16219" w14:paraId="6DD80BBF" w14:textId="77777777" w:rsidTr="002C0FD9">
        <w:trPr>
          <w:trHeight w:val="635"/>
        </w:trPr>
        <w:tc>
          <w:tcPr>
            <w:tcW w:w="515" w:type="dxa"/>
          </w:tcPr>
          <w:p w14:paraId="0FEB612B" w14:textId="77777777" w:rsidR="002C0FD9" w:rsidRPr="00CA25CF" w:rsidRDefault="002C0FD9" w:rsidP="00CA25CF">
            <w:pPr>
              <w:rPr>
                <w:rFonts w:cs="Arial"/>
                <w:color w:val="FF0000"/>
                <w:sz w:val="21"/>
                <w:szCs w:val="21"/>
              </w:rPr>
            </w:pPr>
          </w:p>
        </w:tc>
        <w:tc>
          <w:tcPr>
            <w:tcW w:w="217" w:type="dxa"/>
          </w:tcPr>
          <w:p w14:paraId="53FB6372" w14:textId="77777777" w:rsidR="002C0FD9" w:rsidRPr="00CA25CF" w:rsidRDefault="002C0FD9" w:rsidP="00CA25CF">
            <w:pPr>
              <w:rPr>
                <w:rFonts w:cs="Arial"/>
                <w:color w:val="FF0000"/>
                <w:sz w:val="21"/>
                <w:szCs w:val="21"/>
              </w:rPr>
            </w:pPr>
          </w:p>
        </w:tc>
        <w:tc>
          <w:tcPr>
            <w:tcW w:w="217" w:type="dxa"/>
          </w:tcPr>
          <w:p w14:paraId="6E22E86C" w14:textId="77777777" w:rsidR="002C0FD9" w:rsidRPr="00CA25CF" w:rsidRDefault="002C0FD9" w:rsidP="00CA25CF">
            <w:pPr>
              <w:rPr>
                <w:rFonts w:cs="Arial"/>
                <w:color w:val="FF0000"/>
                <w:sz w:val="21"/>
                <w:szCs w:val="21"/>
              </w:rPr>
            </w:pPr>
          </w:p>
        </w:tc>
        <w:tc>
          <w:tcPr>
            <w:tcW w:w="217" w:type="dxa"/>
          </w:tcPr>
          <w:p w14:paraId="4C3B7989" w14:textId="77777777" w:rsidR="002C0FD9" w:rsidRPr="00CA25CF" w:rsidRDefault="002C0FD9" w:rsidP="00CA25CF">
            <w:pPr>
              <w:rPr>
                <w:rFonts w:cs="Arial"/>
                <w:color w:val="FF0000"/>
                <w:sz w:val="21"/>
                <w:szCs w:val="21"/>
              </w:rPr>
            </w:pPr>
          </w:p>
        </w:tc>
        <w:tc>
          <w:tcPr>
            <w:tcW w:w="217" w:type="dxa"/>
          </w:tcPr>
          <w:p w14:paraId="20B251D1" w14:textId="77777777" w:rsidR="002C0FD9" w:rsidRPr="00CA25CF" w:rsidRDefault="002C0FD9" w:rsidP="00CA25CF">
            <w:pPr>
              <w:rPr>
                <w:rFonts w:cs="Arial"/>
                <w:color w:val="FF0000"/>
                <w:sz w:val="21"/>
                <w:szCs w:val="21"/>
              </w:rPr>
            </w:pPr>
          </w:p>
        </w:tc>
        <w:tc>
          <w:tcPr>
            <w:tcW w:w="217" w:type="dxa"/>
          </w:tcPr>
          <w:p w14:paraId="73F9789E" w14:textId="77777777" w:rsidR="002C0FD9" w:rsidRPr="00CA25CF" w:rsidRDefault="002C0FD9" w:rsidP="00CA25CF">
            <w:pPr>
              <w:rPr>
                <w:rFonts w:cs="Arial"/>
                <w:color w:val="FF0000"/>
                <w:sz w:val="21"/>
                <w:szCs w:val="21"/>
              </w:rPr>
            </w:pPr>
          </w:p>
        </w:tc>
        <w:tc>
          <w:tcPr>
            <w:tcW w:w="217" w:type="dxa"/>
          </w:tcPr>
          <w:p w14:paraId="4495405B" w14:textId="77777777" w:rsidR="002C0FD9" w:rsidRPr="00CA25CF" w:rsidRDefault="002C0FD9" w:rsidP="00CA25CF">
            <w:pPr>
              <w:rPr>
                <w:rFonts w:cs="Arial"/>
                <w:color w:val="FF0000"/>
                <w:sz w:val="21"/>
                <w:szCs w:val="21"/>
              </w:rPr>
            </w:pPr>
          </w:p>
        </w:tc>
        <w:tc>
          <w:tcPr>
            <w:tcW w:w="217" w:type="dxa"/>
          </w:tcPr>
          <w:p w14:paraId="2CD2BFBF" w14:textId="77777777" w:rsidR="002C0FD9" w:rsidRPr="00CA25CF" w:rsidRDefault="002C0FD9" w:rsidP="00CA25CF">
            <w:pPr>
              <w:rPr>
                <w:rFonts w:cs="Arial"/>
                <w:color w:val="FF0000"/>
                <w:sz w:val="21"/>
                <w:szCs w:val="21"/>
              </w:rPr>
            </w:pPr>
          </w:p>
        </w:tc>
        <w:tc>
          <w:tcPr>
            <w:tcW w:w="217" w:type="dxa"/>
          </w:tcPr>
          <w:p w14:paraId="2C12D050" w14:textId="77777777" w:rsidR="002C0FD9" w:rsidRPr="00CA25CF" w:rsidRDefault="002C0FD9" w:rsidP="00CA25CF">
            <w:pPr>
              <w:rPr>
                <w:rFonts w:cs="Arial"/>
                <w:color w:val="FF0000"/>
                <w:sz w:val="21"/>
                <w:szCs w:val="21"/>
              </w:rPr>
            </w:pPr>
          </w:p>
        </w:tc>
        <w:tc>
          <w:tcPr>
            <w:tcW w:w="217" w:type="dxa"/>
          </w:tcPr>
          <w:p w14:paraId="68CE634E" w14:textId="77777777" w:rsidR="002C0FD9" w:rsidRPr="00CA25CF" w:rsidRDefault="002C0FD9" w:rsidP="00CA25CF">
            <w:pPr>
              <w:rPr>
                <w:rFonts w:cs="Arial"/>
                <w:color w:val="FF0000"/>
                <w:sz w:val="21"/>
                <w:szCs w:val="21"/>
              </w:rPr>
            </w:pPr>
          </w:p>
        </w:tc>
        <w:tc>
          <w:tcPr>
            <w:tcW w:w="217" w:type="dxa"/>
          </w:tcPr>
          <w:p w14:paraId="50C483CC" w14:textId="77777777" w:rsidR="002C0FD9" w:rsidRPr="00CA25CF" w:rsidRDefault="002C0FD9" w:rsidP="00CA25CF">
            <w:pPr>
              <w:rPr>
                <w:rFonts w:cs="Arial"/>
                <w:color w:val="FF0000"/>
                <w:sz w:val="21"/>
                <w:szCs w:val="21"/>
              </w:rPr>
            </w:pPr>
          </w:p>
        </w:tc>
        <w:tc>
          <w:tcPr>
            <w:tcW w:w="217" w:type="dxa"/>
          </w:tcPr>
          <w:p w14:paraId="1E01087F" w14:textId="77777777" w:rsidR="002C0FD9" w:rsidRPr="00CA25CF" w:rsidRDefault="002C0FD9" w:rsidP="00CA25CF">
            <w:pPr>
              <w:rPr>
                <w:rFonts w:cs="Arial"/>
                <w:color w:val="FF0000"/>
                <w:sz w:val="21"/>
                <w:szCs w:val="21"/>
              </w:rPr>
            </w:pPr>
          </w:p>
        </w:tc>
        <w:tc>
          <w:tcPr>
            <w:tcW w:w="217" w:type="dxa"/>
          </w:tcPr>
          <w:p w14:paraId="28AFAC61" w14:textId="77777777" w:rsidR="002C0FD9" w:rsidRPr="00CA25CF" w:rsidRDefault="002C0FD9" w:rsidP="00CA25CF">
            <w:pPr>
              <w:rPr>
                <w:rFonts w:cs="Arial"/>
                <w:color w:val="FF0000"/>
                <w:sz w:val="21"/>
                <w:szCs w:val="21"/>
              </w:rPr>
            </w:pPr>
          </w:p>
        </w:tc>
        <w:tc>
          <w:tcPr>
            <w:tcW w:w="217" w:type="dxa"/>
          </w:tcPr>
          <w:p w14:paraId="7674E093" w14:textId="77777777" w:rsidR="002C0FD9" w:rsidRPr="00CA25CF" w:rsidRDefault="002C0FD9" w:rsidP="00CA25CF">
            <w:pPr>
              <w:rPr>
                <w:rFonts w:cs="Arial"/>
                <w:color w:val="FF0000"/>
                <w:sz w:val="21"/>
                <w:szCs w:val="21"/>
              </w:rPr>
            </w:pPr>
          </w:p>
        </w:tc>
        <w:tc>
          <w:tcPr>
            <w:tcW w:w="217" w:type="dxa"/>
          </w:tcPr>
          <w:p w14:paraId="7CD85159" w14:textId="77777777" w:rsidR="002C0FD9" w:rsidRPr="00CA25CF" w:rsidRDefault="002C0FD9" w:rsidP="00CA25CF">
            <w:pPr>
              <w:rPr>
                <w:rFonts w:cs="Arial"/>
                <w:color w:val="FF0000"/>
                <w:sz w:val="21"/>
                <w:szCs w:val="21"/>
              </w:rPr>
            </w:pPr>
          </w:p>
        </w:tc>
        <w:tc>
          <w:tcPr>
            <w:tcW w:w="217" w:type="dxa"/>
          </w:tcPr>
          <w:p w14:paraId="11B5BD65" w14:textId="77777777" w:rsidR="002C0FD9" w:rsidRPr="00CA25CF" w:rsidRDefault="002C0FD9" w:rsidP="00CA25CF">
            <w:pPr>
              <w:rPr>
                <w:rFonts w:cs="Arial"/>
                <w:color w:val="FF0000"/>
                <w:sz w:val="21"/>
                <w:szCs w:val="21"/>
              </w:rPr>
            </w:pPr>
          </w:p>
        </w:tc>
        <w:tc>
          <w:tcPr>
            <w:tcW w:w="217" w:type="dxa"/>
          </w:tcPr>
          <w:p w14:paraId="042F7B20" w14:textId="77777777" w:rsidR="002C0FD9" w:rsidRPr="00CA25CF" w:rsidRDefault="002C0FD9" w:rsidP="00CA25CF">
            <w:pPr>
              <w:rPr>
                <w:rFonts w:cs="Arial"/>
                <w:color w:val="FF0000"/>
                <w:sz w:val="21"/>
                <w:szCs w:val="21"/>
              </w:rPr>
            </w:pPr>
          </w:p>
        </w:tc>
        <w:tc>
          <w:tcPr>
            <w:tcW w:w="217" w:type="dxa"/>
          </w:tcPr>
          <w:p w14:paraId="2C932D47" w14:textId="77777777" w:rsidR="002C0FD9" w:rsidRPr="00CA25CF" w:rsidRDefault="002C0FD9" w:rsidP="00CA25CF">
            <w:pPr>
              <w:rPr>
                <w:rFonts w:cs="Arial"/>
                <w:color w:val="FF0000"/>
                <w:sz w:val="21"/>
                <w:szCs w:val="21"/>
              </w:rPr>
            </w:pPr>
          </w:p>
        </w:tc>
        <w:tc>
          <w:tcPr>
            <w:tcW w:w="217" w:type="dxa"/>
          </w:tcPr>
          <w:p w14:paraId="253CCE8B" w14:textId="77777777" w:rsidR="002C0FD9" w:rsidRPr="00CA25CF" w:rsidRDefault="002C0FD9" w:rsidP="00CA25CF">
            <w:pPr>
              <w:rPr>
                <w:rFonts w:cs="Arial"/>
                <w:color w:val="FF0000"/>
                <w:sz w:val="21"/>
                <w:szCs w:val="21"/>
              </w:rPr>
            </w:pPr>
          </w:p>
        </w:tc>
        <w:tc>
          <w:tcPr>
            <w:tcW w:w="217" w:type="dxa"/>
          </w:tcPr>
          <w:p w14:paraId="28CC647E" w14:textId="77777777" w:rsidR="002C0FD9" w:rsidRPr="00CA25CF" w:rsidRDefault="002C0FD9" w:rsidP="00CA25CF">
            <w:pPr>
              <w:rPr>
                <w:rFonts w:cs="Arial"/>
                <w:color w:val="FF0000"/>
                <w:sz w:val="21"/>
                <w:szCs w:val="21"/>
              </w:rPr>
            </w:pPr>
          </w:p>
        </w:tc>
        <w:tc>
          <w:tcPr>
            <w:tcW w:w="217" w:type="dxa"/>
          </w:tcPr>
          <w:p w14:paraId="4437FFE1" w14:textId="77777777" w:rsidR="002C0FD9" w:rsidRPr="00CA25CF" w:rsidRDefault="002C0FD9" w:rsidP="00CA25CF">
            <w:pPr>
              <w:rPr>
                <w:rFonts w:cs="Arial"/>
                <w:color w:val="FF0000"/>
                <w:sz w:val="21"/>
                <w:szCs w:val="21"/>
              </w:rPr>
            </w:pPr>
          </w:p>
        </w:tc>
        <w:tc>
          <w:tcPr>
            <w:tcW w:w="217" w:type="dxa"/>
          </w:tcPr>
          <w:p w14:paraId="336026DE" w14:textId="77777777" w:rsidR="002C0FD9" w:rsidRPr="00CA25CF" w:rsidRDefault="002C0FD9" w:rsidP="00CA25CF">
            <w:pPr>
              <w:rPr>
                <w:rFonts w:cs="Arial"/>
                <w:color w:val="FF0000"/>
                <w:sz w:val="21"/>
                <w:szCs w:val="21"/>
              </w:rPr>
            </w:pPr>
          </w:p>
        </w:tc>
        <w:tc>
          <w:tcPr>
            <w:tcW w:w="217" w:type="dxa"/>
          </w:tcPr>
          <w:p w14:paraId="0ABFDB1C" w14:textId="77777777" w:rsidR="002C0FD9" w:rsidRPr="00CA25CF" w:rsidRDefault="002C0FD9" w:rsidP="00CA25CF">
            <w:pPr>
              <w:rPr>
                <w:rFonts w:cs="Arial"/>
                <w:color w:val="FF0000"/>
                <w:sz w:val="21"/>
                <w:szCs w:val="21"/>
              </w:rPr>
            </w:pPr>
          </w:p>
        </w:tc>
        <w:tc>
          <w:tcPr>
            <w:tcW w:w="217" w:type="dxa"/>
          </w:tcPr>
          <w:p w14:paraId="7D456715" w14:textId="77777777" w:rsidR="002C0FD9" w:rsidRPr="00CA25CF" w:rsidRDefault="002C0FD9" w:rsidP="00CA25CF">
            <w:pPr>
              <w:rPr>
                <w:rFonts w:cs="Arial"/>
                <w:color w:val="FF0000"/>
                <w:sz w:val="21"/>
                <w:szCs w:val="21"/>
              </w:rPr>
            </w:pPr>
          </w:p>
        </w:tc>
        <w:tc>
          <w:tcPr>
            <w:tcW w:w="217" w:type="dxa"/>
          </w:tcPr>
          <w:p w14:paraId="6A908D62" w14:textId="77777777" w:rsidR="002C0FD9" w:rsidRPr="00CA25CF" w:rsidRDefault="002C0FD9" w:rsidP="00CA25CF">
            <w:pPr>
              <w:rPr>
                <w:rFonts w:cs="Arial"/>
                <w:color w:val="FF0000"/>
                <w:sz w:val="21"/>
                <w:szCs w:val="21"/>
              </w:rPr>
            </w:pPr>
          </w:p>
        </w:tc>
        <w:tc>
          <w:tcPr>
            <w:tcW w:w="217" w:type="dxa"/>
          </w:tcPr>
          <w:p w14:paraId="468CD313" w14:textId="77777777" w:rsidR="002C0FD9" w:rsidRPr="00CA25CF" w:rsidRDefault="002C0FD9" w:rsidP="00CA25CF">
            <w:pPr>
              <w:rPr>
                <w:rFonts w:cs="Arial"/>
                <w:color w:val="FF0000"/>
                <w:sz w:val="21"/>
                <w:szCs w:val="21"/>
              </w:rPr>
            </w:pPr>
          </w:p>
        </w:tc>
        <w:tc>
          <w:tcPr>
            <w:tcW w:w="217" w:type="dxa"/>
          </w:tcPr>
          <w:p w14:paraId="238A5E04" w14:textId="77777777" w:rsidR="002C0FD9" w:rsidRPr="00CA25CF" w:rsidRDefault="002C0FD9" w:rsidP="00CA25CF">
            <w:pPr>
              <w:rPr>
                <w:rFonts w:cs="Arial"/>
                <w:color w:val="FF0000"/>
                <w:sz w:val="21"/>
                <w:szCs w:val="21"/>
              </w:rPr>
            </w:pPr>
          </w:p>
        </w:tc>
        <w:tc>
          <w:tcPr>
            <w:tcW w:w="217" w:type="dxa"/>
          </w:tcPr>
          <w:p w14:paraId="0E457854" w14:textId="77777777" w:rsidR="002C0FD9" w:rsidRPr="00CA25CF" w:rsidRDefault="002C0FD9" w:rsidP="00CA25CF">
            <w:pPr>
              <w:rPr>
                <w:rFonts w:cs="Arial"/>
                <w:color w:val="FF0000"/>
                <w:sz w:val="21"/>
                <w:szCs w:val="21"/>
              </w:rPr>
            </w:pPr>
          </w:p>
        </w:tc>
        <w:tc>
          <w:tcPr>
            <w:tcW w:w="217" w:type="dxa"/>
          </w:tcPr>
          <w:p w14:paraId="1A25DCD3" w14:textId="77777777" w:rsidR="002C0FD9" w:rsidRPr="00CA25CF" w:rsidRDefault="002C0FD9" w:rsidP="00CA25CF">
            <w:pPr>
              <w:rPr>
                <w:rFonts w:cs="Arial"/>
                <w:color w:val="FF0000"/>
                <w:sz w:val="21"/>
                <w:szCs w:val="21"/>
              </w:rPr>
            </w:pPr>
          </w:p>
        </w:tc>
        <w:tc>
          <w:tcPr>
            <w:tcW w:w="217" w:type="dxa"/>
          </w:tcPr>
          <w:p w14:paraId="399547DF" w14:textId="77777777" w:rsidR="002C0FD9" w:rsidRPr="00CA25CF" w:rsidRDefault="002C0FD9" w:rsidP="00CA25CF">
            <w:pPr>
              <w:rPr>
                <w:rFonts w:cs="Arial"/>
                <w:color w:val="FF0000"/>
                <w:sz w:val="21"/>
                <w:szCs w:val="21"/>
              </w:rPr>
            </w:pPr>
          </w:p>
        </w:tc>
        <w:tc>
          <w:tcPr>
            <w:tcW w:w="217" w:type="dxa"/>
          </w:tcPr>
          <w:p w14:paraId="2EF2F8D9" w14:textId="77777777" w:rsidR="002C0FD9" w:rsidRPr="00CA25CF" w:rsidRDefault="002C0FD9" w:rsidP="00CA25CF">
            <w:pPr>
              <w:rPr>
                <w:rFonts w:cs="Arial"/>
                <w:color w:val="FF0000"/>
                <w:sz w:val="21"/>
                <w:szCs w:val="21"/>
              </w:rPr>
            </w:pPr>
          </w:p>
        </w:tc>
        <w:tc>
          <w:tcPr>
            <w:tcW w:w="217" w:type="dxa"/>
          </w:tcPr>
          <w:p w14:paraId="3A417792" w14:textId="77777777" w:rsidR="002C0FD9" w:rsidRPr="00CA25CF" w:rsidRDefault="002C0FD9" w:rsidP="00CA25CF">
            <w:pPr>
              <w:rPr>
                <w:rFonts w:cs="Arial"/>
                <w:color w:val="FF0000"/>
                <w:sz w:val="21"/>
                <w:szCs w:val="21"/>
              </w:rPr>
            </w:pPr>
          </w:p>
        </w:tc>
        <w:tc>
          <w:tcPr>
            <w:tcW w:w="217" w:type="dxa"/>
          </w:tcPr>
          <w:p w14:paraId="7C94F49A" w14:textId="77777777" w:rsidR="002C0FD9" w:rsidRPr="00CA25CF" w:rsidRDefault="002C0FD9" w:rsidP="00CA25CF">
            <w:pPr>
              <w:rPr>
                <w:rFonts w:cs="Arial"/>
                <w:color w:val="FF0000"/>
                <w:sz w:val="21"/>
                <w:szCs w:val="21"/>
              </w:rPr>
            </w:pPr>
          </w:p>
        </w:tc>
        <w:tc>
          <w:tcPr>
            <w:tcW w:w="217" w:type="dxa"/>
          </w:tcPr>
          <w:p w14:paraId="7978AC9B" w14:textId="77777777" w:rsidR="002C0FD9" w:rsidRPr="00CA25CF" w:rsidRDefault="002C0FD9" w:rsidP="00CA25CF">
            <w:pPr>
              <w:rPr>
                <w:rFonts w:cs="Arial"/>
                <w:color w:val="FF0000"/>
                <w:sz w:val="21"/>
                <w:szCs w:val="21"/>
              </w:rPr>
            </w:pPr>
          </w:p>
        </w:tc>
        <w:tc>
          <w:tcPr>
            <w:tcW w:w="217" w:type="dxa"/>
          </w:tcPr>
          <w:p w14:paraId="2582AF78" w14:textId="77777777" w:rsidR="002C0FD9" w:rsidRPr="00CA25CF" w:rsidRDefault="002C0FD9" w:rsidP="00CA25CF">
            <w:pPr>
              <w:rPr>
                <w:rFonts w:cs="Arial"/>
                <w:color w:val="FF0000"/>
                <w:sz w:val="21"/>
                <w:szCs w:val="21"/>
              </w:rPr>
            </w:pPr>
          </w:p>
        </w:tc>
        <w:tc>
          <w:tcPr>
            <w:tcW w:w="217" w:type="dxa"/>
          </w:tcPr>
          <w:p w14:paraId="21925D7F" w14:textId="77777777" w:rsidR="002C0FD9" w:rsidRPr="00CA25CF" w:rsidRDefault="002C0FD9" w:rsidP="00CA25CF">
            <w:pPr>
              <w:rPr>
                <w:rFonts w:cs="Arial"/>
                <w:color w:val="FF0000"/>
                <w:sz w:val="21"/>
                <w:szCs w:val="21"/>
              </w:rPr>
            </w:pPr>
          </w:p>
        </w:tc>
        <w:tc>
          <w:tcPr>
            <w:tcW w:w="217" w:type="dxa"/>
          </w:tcPr>
          <w:p w14:paraId="07198EE2" w14:textId="77777777" w:rsidR="002C0FD9" w:rsidRPr="00CA25CF" w:rsidRDefault="002C0FD9" w:rsidP="00CA25CF">
            <w:pPr>
              <w:rPr>
                <w:rFonts w:cs="Arial"/>
                <w:color w:val="FF0000"/>
                <w:sz w:val="21"/>
                <w:szCs w:val="21"/>
              </w:rPr>
            </w:pPr>
          </w:p>
        </w:tc>
        <w:tc>
          <w:tcPr>
            <w:tcW w:w="217" w:type="dxa"/>
          </w:tcPr>
          <w:p w14:paraId="7A8B1AFC" w14:textId="77777777" w:rsidR="002C0FD9" w:rsidRPr="00CA25CF" w:rsidRDefault="002C0FD9" w:rsidP="00CA25CF">
            <w:pPr>
              <w:rPr>
                <w:rFonts w:cs="Arial"/>
                <w:color w:val="FF0000"/>
                <w:sz w:val="21"/>
                <w:szCs w:val="21"/>
              </w:rPr>
            </w:pPr>
          </w:p>
        </w:tc>
        <w:tc>
          <w:tcPr>
            <w:tcW w:w="217" w:type="dxa"/>
          </w:tcPr>
          <w:p w14:paraId="4597402A" w14:textId="77777777" w:rsidR="002C0FD9" w:rsidRPr="00CA25CF" w:rsidRDefault="002C0FD9" w:rsidP="00CA25CF">
            <w:pPr>
              <w:rPr>
                <w:rFonts w:cs="Arial"/>
                <w:color w:val="FF0000"/>
                <w:sz w:val="21"/>
                <w:szCs w:val="21"/>
              </w:rPr>
            </w:pPr>
          </w:p>
        </w:tc>
        <w:tc>
          <w:tcPr>
            <w:tcW w:w="217" w:type="dxa"/>
          </w:tcPr>
          <w:p w14:paraId="56856672" w14:textId="77777777" w:rsidR="002C0FD9" w:rsidRPr="00CA25CF" w:rsidRDefault="002C0FD9" w:rsidP="00CA25CF">
            <w:pPr>
              <w:rPr>
                <w:rFonts w:cs="Arial"/>
                <w:color w:val="FF0000"/>
                <w:sz w:val="21"/>
                <w:szCs w:val="21"/>
              </w:rPr>
            </w:pPr>
          </w:p>
        </w:tc>
        <w:tc>
          <w:tcPr>
            <w:tcW w:w="217" w:type="dxa"/>
          </w:tcPr>
          <w:p w14:paraId="56B7FF6D" w14:textId="77777777" w:rsidR="002C0FD9" w:rsidRPr="00CA25CF" w:rsidRDefault="002C0FD9" w:rsidP="00CA25CF">
            <w:pPr>
              <w:rPr>
                <w:rFonts w:cs="Arial"/>
                <w:color w:val="FF0000"/>
                <w:sz w:val="21"/>
                <w:szCs w:val="21"/>
              </w:rPr>
            </w:pPr>
          </w:p>
        </w:tc>
        <w:tc>
          <w:tcPr>
            <w:tcW w:w="217" w:type="dxa"/>
          </w:tcPr>
          <w:p w14:paraId="6BCED488" w14:textId="77777777" w:rsidR="002C0FD9" w:rsidRPr="00CA25CF" w:rsidRDefault="002C0FD9" w:rsidP="00CA25CF">
            <w:pPr>
              <w:rPr>
                <w:rFonts w:cs="Arial"/>
                <w:color w:val="FF0000"/>
                <w:sz w:val="21"/>
                <w:szCs w:val="21"/>
              </w:rPr>
            </w:pPr>
          </w:p>
        </w:tc>
        <w:tc>
          <w:tcPr>
            <w:tcW w:w="217" w:type="dxa"/>
          </w:tcPr>
          <w:p w14:paraId="78BC60BC" w14:textId="77777777" w:rsidR="002C0FD9" w:rsidRPr="00CA25CF" w:rsidRDefault="002C0FD9" w:rsidP="00CA25CF">
            <w:pPr>
              <w:rPr>
                <w:rFonts w:cs="Arial"/>
                <w:color w:val="FF0000"/>
                <w:sz w:val="21"/>
                <w:szCs w:val="21"/>
              </w:rPr>
            </w:pPr>
          </w:p>
        </w:tc>
      </w:tr>
      <w:tr w:rsidR="002C0FD9" w:rsidRPr="00A16219" w14:paraId="66FA7A32" w14:textId="77777777" w:rsidTr="002C0FD9">
        <w:trPr>
          <w:trHeight w:val="635"/>
        </w:trPr>
        <w:tc>
          <w:tcPr>
            <w:tcW w:w="515" w:type="dxa"/>
          </w:tcPr>
          <w:p w14:paraId="14479D8B" w14:textId="77777777" w:rsidR="002C0FD9" w:rsidRPr="00CA25CF" w:rsidRDefault="002C0FD9" w:rsidP="00CA25CF">
            <w:pPr>
              <w:rPr>
                <w:rFonts w:cs="Arial"/>
                <w:color w:val="FF0000"/>
                <w:sz w:val="21"/>
                <w:szCs w:val="21"/>
              </w:rPr>
            </w:pPr>
          </w:p>
        </w:tc>
        <w:tc>
          <w:tcPr>
            <w:tcW w:w="217" w:type="dxa"/>
          </w:tcPr>
          <w:p w14:paraId="1A739A6A" w14:textId="77777777" w:rsidR="002C0FD9" w:rsidRPr="00CA25CF" w:rsidRDefault="002C0FD9" w:rsidP="00CA25CF">
            <w:pPr>
              <w:rPr>
                <w:rFonts w:cs="Arial"/>
                <w:color w:val="FF0000"/>
                <w:sz w:val="21"/>
                <w:szCs w:val="21"/>
              </w:rPr>
            </w:pPr>
          </w:p>
        </w:tc>
        <w:tc>
          <w:tcPr>
            <w:tcW w:w="217" w:type="dxa"/>
          </w:tcPr>
          <w:p w14:paraId="5FF7A1D5" w14:textId="77777777" w:rsidR="002C0FD9" w:rsidRPr="00CA25CF" w:rsidRDefault="002C0FD9" w:rsidP="00CA25CF">
            <w:pPr>
              <w:rPr>
                <w:rFonts w:cs="Arial"/>
                <w:color w:val="FF0000"/>
                <w:sz w:val="21"/>
                <w:szCs w:val="21"/>
              </w:rPr>
            </w:pPr>
          </w:p>
        </w:tc>
        <w:tc>
          <w:tcPr>
            <w:tcW w:w="217" w:type="dxa"/>
          </w:tcPr>
          <w:p w14:paraId="3A08539A" w14:textId="77777777" w:rsidR="002C0FD9" w:rsidRPr="00CA25CF" w:rsidRDefault="002C0FD9" w:rsidP="00CA25CF">
            <w:pPr>
              <w:rPr>
                <w:rFonts w:cs="Arial"/>
                <w:color w:val="FF0000"/>
                <w:sz w:val="21"/>
                <w:szCs w:val="21"/>
              </w:rPr>
            </w:pPr>
          </w:p>
        </w:tc>
        <w:tc>
          <w:tcPr>
            <w:tcW w:w="217" w:type="dxa"/>
          </w:tcPr>
          <w:p w14:paraId="6C7C1202" w14:textId="77777777" w:rsidR="002C0FD9" w:rsidRPr="00CA25CF" w:rsidRDefault="002C0FD9" w:rsidP="00CA25CF">
            <w:pPr>
              <w:rPr>
                <w:rFonts w:cs="Arial"/>
                <w:color w:val="FF0000"/>
                <w:sz w:val="21"/>
                <w:szCs w:val="21"/>
              </w:rPr>
            </w:pPr>
          </w:p>
        </w:tc>
        <w:tc>
          <w:tcPr>
            <w:tcW w:w="217" w:type="dxa"/>
          </w:tcPr>
          <w:p w14:paraId="6ECBD979" w14:textId="77777777" w:rsidR="002C0FD9" w:rsidRPr="00CA25CF" w:rsidRDefault="002C0FD9" w:rsidP="00CA25CF">
            <w:pPr>
              <w:rPr>
                <w:rFonts w:cs="Arial"/>
                <w:color w:val="FF0000"/>
                <w:sz w:val="21"/>
                <w:szCs w:val="21"/>
              </w:rPr>
            </w:pPr>
          </w:p>
        </w:tc>
        <w:tc>
          <w:tcPr>
            <w:tcW w:w="217" w:type="dxa"/>
          </w:tcPr>
          <w:p w14:paraId="1D62F5D0" w14:textId="77777777" w:rsidR="002C0FD9" w:rsidRPr="00CA25CF" w:rsidRDefault="002C0FD9" w:rsidP="00CA25CF">
            <w:pPr>
              <w:rPr>
                <w:rFonts w:cs="Arial"/>
                <w:color w:val="FF0000"/>
                <w:sz w:val="21"/>
                <w:szCs w:val="21"/>
              </w:rPr>
            </w:pPr>
          </w:p>
        </w:tc>
        <w:tc>
          <w:tcPr>
            <w:tcW w:w="217" w:type="dxa"/>
          </w:tcPr>
          <w:p w14:paraId="787CF3F7" w14:textId="77777777" w:rsidR="002C0FD9" w:rsidRPr="00CA25CF" w:rsidRDefault="002C0FD9" w:rsidP="00CA25CF">
            <w:pPr>
              <w:rPr>
                <w:rFonts w:cs="Arial"/>
                <w:color w:val="FF0000"/>
                <w:sz w:val="21"/>
                <w:szCs w:val="21"/>
              </w:rPr>
            </w:pPr>
          </w:p>
        </w:tc>
        <w:tc>
          <w:tcPr>
            <w:tcW w:w="217" w:type="dxa"/>
          </w:tcPr>
          <w:p w14:paraId="6CA84EE7" w14:textId="77777777" w:rsidR="002C0FD9" w:rsidRPr="00CA25CF" w:rsidRDefault="002C0FD9" w:rsidP="00CA25CF">
            <w:pPr>
              <w:rPr>
                <w:rFonts w:cs="Arial"/>
                <w:color w:val="FF0000"/>
                <w:sz w:val="21"/>
                <w:szCs w:val="21"/>
              </w:rPr>
            </w:pPr>
          </w:p>
        </w:tc>
        <w:tc>
          <w:tcPr>
            <w:tcW w:w="217" w:type="dxa"/>
          </w:tcPr>
          <w:p w14:paraId="0FE7DDA5" w14:textId="77777777" w:rsidR="002C0FD9" w:rsidRPr="00CA25CF" w:rsidRDefault="002C0FD9" w:rsidP="00CA25CF">
            <w:pPr>
              <w:rPr>
                <w:rFonts w:cs="Arial"/>
                <w:color w:val="FF0000"/>
                <w:sz w:val="21"/>
                <w:szCs w:val="21"/>
              </w:rPr>
            </w:pPr>
          </w:p>
        </w:tc>
        <w:tc>
          <w:tcPr>
            <w:tcW w:w="217" w:type="dxa"/>
          </w:tcPr>
          <w:p w14:paraId="4D2EC1CE" w14:textId="77777777" w:rsidR="002C0FD9" w:rsidRPr="00CA25CF" w:rsidRDefault="002C0FD9" w:rsidP="00CA25CF">
            <w:pPr>
              <w:rPr>
                <w:rFonts w:cs="Arial"/>
                <w:color w:val="FF0000"/>
                <w:sz w:val="21"/>
                <w:szCs w:val="21"/>
              </w:rPr>
            </w:pPr>
          </w:p>
        </w:tc>
        <w:tc>
          <w:tcPr>
            <w:tcW w:w="217" w:type="dxa"/>
          </w:tcPr>
          <w:p w14:paraId="15CDE4E3" w14:textId="77777777" w:rsidR="002C0FD9" w:rsidRPr="00CA25CF" w:rsidRDefault="002C0FD9" w:rsidP="00CA25CF">
            <w:pPr>
              <w:rPr>
                <w:rFonts w:cs="Arial"/>
                <w:color w:val="FF0000"/>
                <w:sz w:val="21"/>
                <w:szCs w:val="21"/>
              </w:rPr>
            </w:pPr>
          </w:p>
        </w:tc>
        <w:tc>
          <w:tcPr>
            <w:tcW w:w="217" w:type="dxa"/>
          </w:tcPr>
          <w:p w14:paraId="16D2A545" w14:textId="77777777" w:rsidR="002C0FD9" w:rsidRPr="00CA25CF" w:rsidRDefault="002C0FD9" w:rsidP="00CA25CF">
            <w:pPr>
              <w:rPr>
                <w:rFonts w:cs="Arial"/>
                <w:color w:val="FF0000"/>
                <w:sz w:val="21"/>
                <w:szCs w:val="21"/>
              </w:rPr>
            </w:pPr>
          </w:p>
        </w:tc>
        <w:tc>
          <w:tcPr>
            <w:tcW w:w="217" w:type="dxa"/>
          </w:tcPr>
          <w:p w14:paraId="2A1B0283" w14:textId="77777777" w:rsidR="002C0FD9" w:rsidRPr="00CA25CF" w:rsidRDefault="002C0FD9" w:rsidP="00CA25CF">
            <w:pPr>
              <w:rPr>
                <w:rFonts w:cs="Arial"/>
                <w:color w:val="FF0000"/>
                <w:sz w:val="21"/>
                <w:szCs w:val="21"/>
              </w:rPr>
            </w:pPr>
          </w:p>
        </w:tc>
        <w:tc>
          <w:tcPr>
            <w:tcW w:w="217" w:type="dxa"/>
          </w:tcPr>
          <w:p w14:paraId="693C2923" w14:textId="77777777" w:rsidR="002C0FD9" w:rsidRPr="00CA25CF" w:rsidRDefault="002C0FD9" w:rsidP="00CA25CF">
            <w:pPr>
              <w:rPr>
                <w:rFonts w:cs="Arial"/>
                <w:color w:val="FF0000"/>
                <w:sz w:val="21"/>
                <w:szCs w:val="21"/>
              </w:rPr>
            </w:pPr>
          </w:p>
        </w:tc>
        <w:tc>
          <w:tcPr>
            <w:tcW w:w="217" w:type="dxa"/>
          </w:tcPr>
          <w:p w14:paraId="440323D8" w14:textId="77777777" w:rsidR="002C0FD9" w:rsidRPr="00CA25CF" w:rsidRDefault="002C0FD9" w:rsidP="00CA25CF">
            <w:pPr>
              <w:rPr>
                <w:rFonts w:cs="Arial"/>
                <w:color w:val="FF0000"/>
                <w:sz w:val="21"/>
                <w:szCs w:val="21"/>
              </w:rPr>
            </w:pPr>
          </w:p>
        </w:tc>
        <w:tc>
          <w:tcPr>
            <w:tcW w:w="217" w:type="dxa"/>
          </w:tcPr>
          <w:p w14:paraId="4782E02C" w14:textId="77777777" w:rsidR="002C0FD9" w:rsidRPr="00CA25CF" w:rsidRDefault="002C0FD9" w:rsidP="00CA25CF">
            <w:pPr>
              <w:rPr>
                <w:rFonts w:cs="Arial"/>
                <w:color w:val="FF0000"/>
                <w:sz w:val="21"/>
                <w:szCs w:val="21"/>
              </w:rPr>
            </w:pPr>
          </w:p>
        </w:tc>
        <w:tc>
          <w:tcPr>
            <w:tcW w:w="217" w:type="dxa"/>
          </w:tcPr>
          <w:p w14:paraId="02DED580" w14:textId="77777777" w:rsidR="002C0FD9" w:rsidRPr="00CA25CF" w:rsidRDefault="002C0FD9" w:rsidP="00CA25CF">
            <w:pPr>
              <w:rPr>
                <w:rFonts w:cs="Arial"/>
                <w:color w:val="FF0000"/>
                <w:sz w:val="21"/>
                <w:szCs w:val="21"/>
              </w:rPr>
            </w:pPr>
          </w:p>
        </w:tc>
        <w:tc>
          <w:tcPr>
            <w:tcW w:w="217" w:type="dxa"/>
          </w:tcPr>
          <w:p w14:paraId="39B136FD" w14:textId="77777777" w:rsidR="002C0FD9" w:rsidRPr="00CA25CF" w:rsidRDefault="002C0FD9" w:rsidP="00CA25CF">
            <w:pPr>
              <w:rPr>
                <w:rFonts w:cs="Arial"/>
                <w:color w:val="FF0000"/>
                <w:sz w:val="21"/>
                <w:szCs w:val="21"/>
              </w:rPr>
            </w:pPr>
          </w:p>
        </w:tc>
        <w:tc>
          <w:tcPr>
            <w:tcW w:w="217" w:type="dxa"/>
          </w:tcPr>
          <w:p w14:paraId="5E97572F" w14:textId="77777777" w:rsidR="002C0FD9" w:rsidRPr="00CA25CF" w:rsidRDefault="002C0FD9" w:rsidP="00CA25CF">
            <w:pPr>
              <w:rPr>
                <w:rFonts w:cs="Arial"/>
                <w:color w:val="FF0000"/>
                <w:sz w:val="21"/>
                <w:szCs w:val="21"/>
              </w:rPr>
            </w:pPr>
          </w:p>
        </w:tc>
        <w:tc>
          <w:tcPr>
            <w:tcW w:w="217" w:type="dxa"/>
          </w:tcPr>
          <w:p w14:paraId="6EF89DA8" w14:textId="77777777" w:rsidR="002C0FD9" w:rsidRPr="00CA25CF" w:rsidRDefault="002C0FD9" w:rsidP="00CA25CF">
            <w:pPr>
              <w:rPr>
                <w:rFonts w:cs="Arial"/>
                <w:color w:val="FF0000"/>
                <w:sz w:val="21"/>
                <w:szCs w:val="21"/>
              </w:rPr>
            </w:pPr>
          </w:p>
        </w:tc>
        <w:tc>
          <w:tcPr>
            <w:tcW w:w="217" w:type="dxa"/>
          </w:tcPr>
          <w:p w14:paraId="52C53256" w14:textId="77777777" w:rsidR="002C0FD9" w:rsidRPr="00CA25CF" w:rsidRDefault="002C0FD9" w:rsidP="00CA25CF">
            <w:pPr>
              <w:rPr>
                <w:rFonts w:cs="Arial"/>
                <w:color w:val="FF0000"/>
                <w:sz w:val="21"/>
                <w:szCs w:val="21"/>
              </w:rPr>
            </w:pPr>
          </w:p>
        </w:tc>
        <w:tc>
          <w:tcPr>
            <w:tcW w:w="217" w:type="dxa"/>
          </w:tcPr>
          <w:p w14:paraId="7228F444" w14:textId="77777777" w:rsidR="002C0FD9" w:rsidRPr="00CA25CF" w:rsidRDefault="002C0FD9" w:rsidP="00CA25CF">
            <w:pPr>
              <w:rPr>
                <w:rFonts w:cs="Arial"/>
                <w:color w:val="FF0000"/>
                <w:sz w:val="21"/>
                <w:szCs w:val="21"/>
              </w:rPr>
            </w:pPr>
          </w:p>
        </w:tc>
        <w:tc>
          <w:tcPr>
            <w:tcW w:w="217" w:type="dxa"/>
          </w:tcPr>
          <w:p w14:paraId="282FCB8B" w14:textId="77777777" w:rsidR="002C0FD9" w:rsidRPr="00CA25CF" w:rsidRDefault="002C0FD9" w:rsidP="00CA25CF">
            <w:pPr>
              <w:rPr>
                <w:rFonts w:cs="Arial"/>
                <w:color w:val="FF0000"/>
                <w:sz w:val="21"/>
                <w:szCs w:val="21"/>
              </w:rPr>
            </w:pPr>
          </w:p>
        </w:tc>
        <w:tc>
          <w:tcPr>
            <w:tcW w:w="217" w:type="dxa"/>
          </w:tcPr>
          <w:p w14:paraId="4CA04A1E" w14:textId="77777777" w:rsidR="002C0FD9" w:rsidRPr="00CA25CF" w:rsidRDefault="002C0FD9" w:rsidP="00CA25CF">
            <w:pPr>
              <w:rPr>
                <w:rFonts w:cs="Arial"/>
                <w:color w:val="FF0000"/>
                <w:sz w:val="21"/>
                <w:szCs w:val="21"/>
              </w:rPr>
            </w:pPr>
          </w:p>
        </w:tc>
        <w:tc>
          <w:tcPr>
            <w:tcW w:w="217" w:type="dxa"/>
          </w:tcPr>
          <w:p w14:paraId="3C484AB3" w14:textId="77777777" w:rsidR="002C0FD9" w:rsidRPr="00CA25CF" w:rsidRDefault="002C0FD9" w:rsidP="00CA25CF">
            <w:pPr>
              <w:rPr>
                <w:rFonts w:cs="Arial"/>
                <w:color w:val="FF0000"/>
                <w:sz w:val="21"/>
                <w:szCs w:val="21"/>
              </w:rPr>
            </w:pPr>
          </w:p>
        </w:tc>
        <w:tc>
          <w:tcPr>
            <w:tcW w:w="217" w:type="dxa"/>
          </w:tcPr>
          <w:p w14:paraId="3C667AC9" w14:textId="77777777" w:rsidR="002C0FD9" w:rsidRPr="00CA25CF" w:rsidRDefault="002C0FD9" w:rsidP="00CA25CF">
            <w:pPr>
              <w:rPr>
                <w:rFonts w:cs="Arial"/>
                <w:color w:val="FF0000"/>
                <w:sz w:val="21"/>
                <w:szCs w:val="21"/>
              </w:rPr>
            </w:pPr>
          </w:p>
        </w:tc>
        <w:tc>
          <w:tcPr>
            <w:tcW w:w="217" w:type="dxa"/>
          </w:tcPr>
          <w:p w14:paraId="42814EFB" w14:textId="77777777" w:rsidR="002C0FD9" w:rsidRPr="00CA25CF" w:rsidRDefault="002C0FD9" w:rsidP="00CA25CF">
            <w:pPr>
              <w:rPr>
                <w:rFonts w:cs="Arial"/>
                <w:color w:val="FF0000"/>
                <w:sz w:val="21"/>
                <w:szCs w:val="21"/>
              </w:rPr>
            </w:pPr>
          </w:p>
        </w:tc>
        <w:tc>
          <w:tcPr>
            <w:tcW w:w="217" w:type="dxa"/>
          </w:tcPr>
          <w:p w14:paraId="75BFC47A" w14:textId="77777777" w:rsidR="002C0FD9" w:rsidRPr="00CA25CF" w:rsidRDefault="002C0FD9" w:rsidP="00CA25CF">
            <w:pPr>
              <w:rPr>
                <w:rFonts w:cs="Arial"/>
                <w:color w:val="FF0000"/>
                <w:sz w:val="21"/>
                <w:szCs w:val="21"/>
              </w:rPr>
            </w:pPr>
          </w:p>
        </w:tc>
        <w:tc>
          <w:tcPr>
            <w:tcW w:w="217" w:type="dxa"/>
          </w:tcPr>
          <w:p w14:paraId="58E17F98" w14:textId="77777777" w:rsidR="002C0FD9" w:rsidRPr="00CA25CF" w:rsidRDefault="002C0FD9" w:rsidP="00CA25CF">
            <w:pPr>
              <w:rPr>
                <w:rFonts w:cs="Arial"/>
                <w:color w:val="FF0000"/>
                <w:sz w:val="21"/>
                <w:szCs w:val="21"/>
              </w:rPr>
            </w:pPr>
          </w:p>
        </w:tc>
        <w:tc>
          <w:tcPr>
            <w:tcW w:w="217" w:type="dxa"/>
          </w:tcPr>
          <w:p w14:paraId="5DE8CD0C" w14:textId="77777777" w:rsidR="002C0FD9" w:rsidRPr="00CA25CF" w:rsidRDefault="002C0FD9" w:rsidP="00CA25CF">
            <w:pPr>
              <w:rPr>
                <w:rFonts w:cs="Arial"/>
                <w:color w:val="FF0000"/>
                <w:sz w:val="21"/>
                <w:szCs w:val="21"/>
              </w:rPr>
            </w:pPr>
          </w:p>
        </w:tc>
        <w:tc>
          <w:tcPr>
            <w:tcW w:w="217" w:type="dxa"/>
          </w:tcPr>
          <w:p w14:paraId="470F359A" w14:textId="77777777" w:rsidR="002C0FD9" w:rsidRPr="00CA25CF" w:rsidRDefault="002C0FD9" w:rsidP="00CA25CF">
            <w:pPr>
              <w:rPr>
                <w:rFonts w:cs="Arial"/>
                <w:color w:val="FF0000"/>
                <w:sz w:val="21"/>
                <w:szCs w:val="21"/>
              </w:rPr>
            </w:pPr>
          </w:p>
        </w:tc>
        <w:tc>
          <w:tcPr>
            <w:tcW w:w="217" w:type="dxa"/>
          </w:tcPr>
          <w:p w14:paraId="2D883288" w14:textId="77777777" w:rsidR="002C0FD9" w:rsidRPr="00CA25CF" w:rsidRDefault="002C0FD9" w:rsidP="00CA25CF">
            <w:pPr>
              <w:rPr>
                <w:rFonts w:cs="Arial"/>
                <w:color w:val="FF0000"/>
                <w:sz w:val="21"/>
                <w:szCs w:val="21"/>
              </w:rPr>
            </w:pPr>
          </w:p>
        </w:tc>
        <w:tc>
          <w:tcPr>
            <w:tcW w:w="217" w:type="dxa"/>
          </w:tcPr>
          <w:p w14:paraId="5D076039" w14:textId="77777777" w:rsidR="002C0FD9" w:rsidRPr="00CA25CF" w:rsidRDefault="002C0FD9" w:rsidP="00CA25CF">
            <w:pPr>
              <w:rPr>
                <w:rFonts w:cs="Arial"/>
                <w:color w:val="FF0000"/>
                <w:sz w:val="21"/>
                <w:szCs w:val="21"/>
              </w:rPr>
            </w:pPr>
          </w:p>
        </w:tc>
        <w:tc>
          <w:tcPr>
            <w:tcW w:w="217" w:type="dxa"/>
          </w:tcPr>
          <w:p w14:paraId="7F035C38" w14:textId="77777777" w:rsidR="002C0FD9" w:rsidRPr="00CA25CF" w:rsidRDefault="002C0FD9" w:rsidP="00CA25CF">
            <w:pPr>
              <w:rPr>
                <w:rFonts w:cs="Arial"/>
                <w:color w:val="FF0000"/>
                <w:sz w:val="21"/>
                <w:szCs w:val="21"/>
              </w:rPr>
            </w:pPr>
          </w:p>
        </w:tc>
        <w:tc>
          <w:tcPr>
            <w:tcW w:w="217" w:type="dxa"/>
          </w:tcPr>
          <w:p w14:paraId="3EF5D7AA" w14:textId="77777777" w:rsidR="002C0FD9" w:rsidRPr="00CA25CF" w:rsidRDefault="002C0FD9" w:rsidP="00CA25CF">
            <w:pPr>
              <w:rPr>
                <w:rFonts w:cs="Arial"/>
                <w:color w:val="FF0000"/>
                <w:sz w:val="21"/>
                <w:szCs w:val="21"/>
              </w:rPr>
            </w:pPr>
          </w:p>
        </w:tc>
        <w:tc>
          <w:tcPr>
            <w:tcW w:w="217" w:type="dxa"/>
          </w:tcPr>
          <w:p w14:paraId="785F703E" w14:textId="77777777" w:rsidR="002C0FD9" w:rsidRPr="00CA25CF" w:rsidRDefault="002C0FD9" w:rsidP="00CA25CF">
            <w:pPr>
              <w:rPr>
                <w:rFonts w:cs="Arial"/>
                <w:color w:val="FF0000"/>
                <w:sz w:val="21"/>
                <w:szCs w:val="21"/>
              </w:rPr>
            </w:pPr>
          </w:p>
        </w:tc>
        <w:tc>
          <w:tcPr>
            <w:tcW w:w="217" w:type="dxa"/>
          </w:tcPr>
          <w:p w14:paraId="0061F26A" w14:textId="77777777" w:rsidR="002C0FD9" w:rsidRPr="00CA25CF" w:rsidRDefault="002C0FD9" w:rsidP="00CA25CF">
            <w:pPr>
              <w:rPr>
                <w:rFonts w:cs="Arial"/>
                <w:color w:val="FF0000"/>
                <w:sz w:val="21"/>
                <w:szCs w:val="21"/>
              </w:rPr>
            </w:pPr>
          </w:p>
        </w:tc>
        <w:tc>
          <w:tcPr>
            <w:tcW w:w="217" w:type="dxa"/>
          </w:tcPr>
          <w:p w14:paraId="489D7199" w14:textId="77777777" w:rsidR="002C0FD9" w:rsidRPr="00CA25CF" w:rsidRDefault="002C0FD9" w:rsidP="00CA25CF">
            <w:pPr>
              <w:rPr>
                <w:rFonts w:cs="Arial"/>
                <w:color w:val="FF0000"/>
                <w:sz w:val="21"/>
                <w:szCs w:val="21"/>
              </w:rPr>
            </w:pPr>
          </w:p>
        </w:tc>
        <w:tc>
          <w:tcPr>
            <w:tcW w:w="217" w:type="dxa"/>
          </w:tcPr>
          <w:p w14:paraId="5B1BD10D" w14:textId="77777777" w:rsidR="002C0FD9" w:rsidRPr="00CA25CF" w:rsidRDefault="002C0FD9" w:rsidP="00CA25CF">
            <w:pPr>
              <w:rPr>
                <w:rFonts w:cs="Arial"/>
                <w:color w:val="FF0000"/>
                <w:sz w:val="21"/>
                <w:szCs w:val="21"/>
              </w:rPr>
            </w:pPr>
          </w:p>
        </w:tc>
        <w:tc>
          <w:tcPr>
            <w:tcW w:w="217" w:type="dxa"/>
          </w:tcPr>
          <w:p w14:paraId="552FB91C" w14:textId="77777777" w:rsidR="002C0FD9" w:rsidRPr="00CA25CF" w:rsidRDefault="002C0FD9" w:rsidP="00CA25CF">
            <w:pPr>
              <w:rPr>
                <w:rFonts w:cs="Arial"/>
                <w:color w:val="FF0000"/>
                <w:sz w:val="21"/>
                <w:szCs w:val="21"/>
              </w:rPr>
            </w:pPr>
          </w:p>
        </w:tc>
        <w:tc>
          <w:tcPr>
            <w:tcW w:w="217" w:type="dxa"/>
          </w:tcPr>
          <w:p w14:paraId="22DD5BC3" w14:textId="77777777" w:rsidR="002C0FD9" w:rsidRPr="00CA25CF" w:rsidRDefault="002C0FD9" w:rsidP="00CA25CF">
            <w:pPr>
              <w:rPr>
                <w:rFonts w:cs="Arial"/>
                <w:color w:val="FF0000"/>
                <w:sz w:val="21"/>
                <w:szCs w:val="21"/>
              </w:rPr>
            </w:pPr>
          </w:p>
        </w:tc>
        <w:tc>
          <w:tcPr>
            <w:tcW w:w="217" w:type="dxa"/>
          </w:tcPr>
          <w:p w14:paraId="21161398" w14:textId="77777777" w:rsidR="002C0FD9" w:rsidRPr="00CA25CF" w:rsidRDefault="002C0FD9" w:rsidP="00CA25CF">
            <w:pPr>
              <w:rPr>
                <w:rFonts w:cs="Arial"/>
                <w:color w:val="FF0000"/>
                <w:sz w:val="21"/>
                <w:szCs w:val="21"/>
              </w:rPr>
            </w:pPr>
          </w:p>
        </w:tc>
      </w:tr>
      <w:tr w:rsidR="002C0FD9" w:rsidRPr="00A16219" w14:paraId="5A818568" w14:textId="77777777" w:rsidTr="002C0FD9">
        <w:trPr>
          <w:trHeight w:val="635"/>
        </w:trPr>
        <w:tc>
          <w:tcPr>
            <w:tcW w:w="515" w:type="dxa"/>
          </w:tcPr>
          <w:p w14:paraId="322EB10C" w14:textId="77777777" w:rsidR="002C0FD9" w:rsidRPr="00CA25CF" w:rsidRDefault="002C0FD9" w:rsidP="00CA25CF">
            <w:pPr>
              <w:rPr>
                <w:rFonts w:cs="Arial"/>
                <w:color w:val="FF0000"/>
                <w:sz w:val="21"/>
                <w:szCs w:val="21"/>
              </w:rPr>
            </w:pPr>
          </w:p>
        </w:tc>
        <w:tc>
          <w:tcPr>
            <w:tcW w:w="217" w:type="dxa"/>
          </w:tcPr>
          <w:p w14:paraId="444AEDE1" w14:textId="77777777" w:rsidR="002C0FD9" w:rsidRPr="00CA25CF" w:rsidRDefault="002C0FD9" w:rsidP="00CA25CF">
            <w:pPr>
              <w:rPr>
                <w:rFonts w:cs="Arial"/>
                <w:color w:val="FF0000"/>
                <w:sz w:val="21"/>
                <w:szCs w:val="21"/>
              </w:rPr>
            </w:pPr>
          </w:p>
        </w:tc>
        <w:tc>
          <w:tcPr>
            <w:tcW w:w="217" w:type="dxa"/>
          </w:tcPr>
          <w:p w14:paraId="0994A663" w14:textId="77777777" w:rsidR="002C0FD9" w:rsidRPr="00CA25CF" w:rsidRDefault="002C0FD9" w:rsidP="00CA25CF">
            <w:pPr>
              <w:rPr>
                <w:rFonts w:cs="Arial"/>
                <w:color w:val="FF0000"/>
                <w:sz w:val="21"/>
                <w:szCs w:val="21"/>
              </w:rPr>
            </w:pPr>
          </w:p>
        </w:tc>
        <w:tc>
          <w:tcPr>
            <w:tcW w:w="217" w:type="dxa"/>
          </w:tcPr>
          <w:p w14:paraId="26BFC8AE" w14:textId="77777777" w:rsidR="002C0FD9" w:rsidRPr="00CA25CF" w:rsidRDefault="002C0FD9" w:rsidP="00CA25CF">
            <w:pPr>
              <w:rPr>
                <w:rFonts w:cs="Arial"/>
                <w:color w:val="FF0000"/>
                <w:sz w:val="21"/>
                <w:szCs w:val="21"/>
              </w:rPr>
            </w:pPr>
          </w:p>
        </w:tc>
        <w:tc>
          <w:tcPr>
            <w:tcW w:w="217" w:type="dxa"/>
          </w:tcPr>
          <w:p w14:paraId="26829534" w14:textId="77777777" w:rsidR="002C0FD9" w:rsidRPr="00CA25CF" w:rsidRDefault="002C0FD9" w:rsidP="00CA25CF">
            <w:pPr>
              <w:rPr>
                <w:rFonts w:cs="Arial"/>
                <w:color w:val="FF0000"/>
                <w:sz w:val="21"/>
                <w:szCs w:val="21"/>
              </w:rPr>
            </w:pPr>
          </w:p>
        </w:tc>
        <w:tc>
          <w:tcPr>
            <w:tcW w:w="217" w:type="dxa"/>
          </w:tcPr>
          <w:p w14:paraId="7AA2A522" w14:textId="77777777" w:rsidR="002C0FD9" w:rsidRPr="00CA25CF" w:rsidRDefault="002C0FD9" w:rsidP="00CA25CF">
            <w:pPr>
              <w:rPr>
                <w:rFonts w:cs="Arial"/>
                <w:color w:val="FF0000"/>
                <w:sz w:val="21"/>
                <w:szCs w:val="21"/>
              </w:rPr>
            </w:pPr>
          </w:p>
        </w:tc>
        <w:tc>
          <w:tcPr>
            <w:tcW w:w="217" w:type="dxa"/>
          </w:tcPr>
          <w:p w14:paraId="4CA600DD" w14:textId="77777777" w:rsidR="002C0FD9" w:rsidRPr="00CA25CF" w:rsidRDefault="002C0FD9" w:rsidP="00CA25CF">
            <w:pPr>
              <w:rPr>
                <w:rFonts w:cs="Arial"/>
                <w:color w:val="FF0000"/>
                <w:sz w:val="21"/>
                <w:szCs w:val="21"/>
              </w:rPr>
            </w:pPr>
          </w:p>
        </w:tc>
        <w:tc>
          <w:tcPr>
            <w:tcW w:w="217" w:type="dxa"/>
          </w:tcPr>
          <w:p w14:paraId="177BED56" w14:textId="77777777" w:rsidR="002C0FD9" w:rsidRPr="00CA25CF" w:rsidRDefault="002C0FD9" w:rsidP="00CA25CF">
            <w:pPr>
              <w:rPr>
                <w:rFonts w:cs="Arial"/>
                <w:color w:val="FF0000"/>
                <w:sz w:val="21"/>
                <w:szCs w:val="21"/>
              </w:rPr>
            </w:pPr>
          </w:p>
        </w:tc>
        <w:tc>
          <w:tcPr>
            <w:tcW w:w="217" w:type="dxa"/>
          </w:tcPr>
          <w:p w14:paraId="084CC7EC" w14:textId="77777777" w:rsidR="002C0FD9" w:rsidRPr="00CA25CF" w:rsidRDefault="002C0FD9" w:rsidP="00CA25CF">
            <w:pPr>
              <w:rPr>
                <w:rFonts w:cs="Arial"/>
                <w:color w:val="FF0000"/>
                <w:sz w:val="21"/>
                <w:szCs w:val="21"/>
              </w:rPr>
            </w:pPr>
          </w:p>
        </w:tc>
        <w:tc>
          <w:tcPr>
            <w:tcW w:w="217" w:type="dxa"/>
          </w:tcPr>
          <w:p w14:paraId="049E6DBF" w14:textId="77777777" w:rsidR="002C0FD9" w:rsidRPr="00CA25CF" w:rsidRDefault="002C0FD9" w:rsidP="00CA25CF">
            <w:pPr>
              <w:rPr>
                <w:rFonts w:cs="Arial"/>
                <w:color w:val="FF0000"/>
                <w:sz w:val="21"/>
                <w:szCs w:val="21"/>
              </w:rPr>
            </w:pPr>
          </w:p>
        </w:tc>
        <w:tc>
          <w:tcPr>
            <w:tcW w:w="217" w:type="dxa"/>
          </w:tcPr>
          <w:p w14:paraId="4CE4F707" w14:textId="77777777" w:rsidR="002C0FD9" w:rsidRPr="00CA25CF" w:rsidRDefault="002C0FD9" w:rsidP="00CA25CF">
            <w:pPr>
              <w:rPr>
                <w:rFonts w:cs="Arial"/>
                <w:color w:val="FF0000"/>
                <w:sz w:val="21"/>
                <w:szCs w:val="21"/>
              </w:rPr>
            </w:pPr>
          </w:p>
        </w:tc>
        <w:tc>
          <w:tcPr>
            <w:tcW w:w="217" w:type="dxa"/>
          </w:tcPr>
          <w:p w14:paraId="06E59BB1" w14:textId="77777777" w:rsidR="002C0FD9" w:rsidRPr="00CA25CF" w:rsidRDefault="002C0FD9" w:rsidP="00CA25CF">
            <w:pPr>
              <w:rPr>
                <w:rFonts w:cs="Arial"/>
                <w:color w:val="FF0000"/>
                <w:sz w:val="21"/>
                <w:szCs w:val="21"/>
              </w:rPr>
            </w:pPr>
          </w:p>
        </w:tc>
        <w:tc>
          <w:tcPr>
            <w:tcW w:w="217" w:type="dxa"/>
          </w:tcPr>
          <w:p w14:paraId="3192881A" w14:textId="77777777" w:rsidR="002C0FD9" w:rsidRPr="00CA25CF" w:rsidRDefault="002C0FD9" w:rsidP="00CA25CF">
            <w:pPr>
              <w:rPr>
                <w:rFonts w:cs="Arial"/>
                <w:color w:val="FF0000"/>
                <w:sz w:val="21"/>
                <w:szCs w:val="21"/>
              </w:rPr>
            </w:pPr>
          </w:p>
        </w:tc>
        <w:tc>
          <w:tcPr>
            <w:tcW w:w="217" w:type="dxa"/>
          </w:tcPr>
          <w:p w14:paraId="5D7C2D21" w14:textId="77777777" w:rsidR="002C0FD9" w:rsidRPr="00CA25CF" w:rsidRDefault="002C0FD9" w:rsidP="00CA25CF">
            <w:pPr>
              <w:rPr>
                <w:rFonts w:cs="Arial"/>
                <w:color w:val="FF0000"/>
                <w:sz w:val="21"/>
                <w:szCs w:val="21"/>
              </w:rPr>
            </w:pPr>
          </w:p>
        </w:tc>
        <w:tc>
          <w:tcPr>
            <w:tcW w:w="217" w:type="dxa"/>
          </w:tcPr>
          <w:p w14:paraId="7FDC231A" w14:textId="77777777" w:rsidR="002C0FD9" w:rsidRPr="00CA25CF" w:rsidRDefault="002C0FD9" w:rsidP="00CA25CF">
            <w:pPr>
              <w:rPr>
                <w:rFonts w:cs="Arial"/>
                <w:color w:val="FF0000"/>
                <w:sz w:val="21"/>
                <w:szCs w:val="21"/>
              </w:rPr>
            </w:pPr>
          </w:p>
        </w:tc>
        <w:tc>
          <w:tcPr>
            <w:tcW w:w="217" w:type="dxa"/>
          </w:tcPr>
          <w:p w14:paraId="3B3B8DAA" w14:textId="77777777" w:rsidR="002C0FD9" w:rsidRPr="00CA25CF" w:rsidRDefault="002C0FD9" w:rsidP="00CA25CF">
            <w:pPr>
              <w:rPr>
                <w:rFonts w:cs="Arial"/>
                <w:color w:val="FF0000"/>
                <w:sz w:val="21"/>
                <w:szCs w:val="21"/>
              </w:rPr>
            </w:pPr>
          </w:p>
        </w:tc>
        <w:tc>
          <w:tcPr>
            <w:tcW w:w="217" w:type="dxa"/>
          </w:tcPr>
          <w:p w14:paraId="76B677EA" w14:textId="77777777" w:rsidR="002C0FD9" w:rsidRPr="00CA25CF" w:rsidRDefault="002C0FD9" w:rsidP="00CA25CF">
            <w:pPr>
              <w:rPr>
                <w:rFonts w:cs="Arial"/>
                <w:color w:val="FF0000"/>
                <w:sz w:val="21"/>
                <w:szCs w:val="21"/>
              </w:rPr>
            </w:pPr>
          </w:p>
        </w:tc>
        <w:tc>
          <w:tcPr>
            <w:tcW w:w="217" w:type="dxa"/>
          </w:tcPr>
          <w:p w14:paraId="51233EF2" w14:textId="77777777" w:rsidR="002C0FD9" w:rsidRPr="00CA25CF" w:rsidRDefault="002C0FD9" w:rsidP="00CA25CF">
            <w:pPr>
              <w:rPr>
                <w:rFonts w:cs="Arial"/>
                <w:color w:val="FF0000"/>
                <w:sz w:val="21"/>
                <w:szCs w:val="21"/>
              </w:rPr>
            </w:pPr>
          </w:p>
        </w:tc>
        <w:tc>
          <w:tcPr>
            <w:tcW w:w="217" w:type="dxa"/>
          </w:tcPr>
          <w:p w14:paraId="5032BC2E" w14:textId="77777777" w:rsidR="002C0FD9" w:rsidRPr="00CA25CF" w:rsidRDefault="002C0FD9" w:rsidP="00CA25CF">
            <w:pPr>
              <w:rPr>
                <w:rFonts w:cs="Arial"/>
                <w:color w:val="FF0000"/>
                <w:sz w:val="21"/>
                <w:szCs w:val="21"/>
              </w:rPr>
            </w:pPr>
          </w:p>
        </w:tc>
        <w:tc>
          <w:tcPr>
            <w:tcW w:w="217" w:type="dxa"/>
          </w:tcPr>
          <w:p w14:paraId="456A0AA0" w14:textId="77777777" w:rsidR="002C0FD9" w:rsidRPr="00CA25CF" w:rsidRDefault="002C0FD9" w:rsidP="00CA25CF">
            <w:pPr>
              <w:rPr>
                <w:rFonts w:cs="Arial"/>
                <w:color w:val="FF0000"/>
                <w:sz w:val="21"/>
                <w:szCs w:val="21"/>
              </w:rPr>
            </w:pPr>
          </w:p>
        </w:tc>
        <w:tc>
          <w:tcPr>
            <w:tcW w:w="217" w:type="dxa"/>
          </w:tcPr>
          <w:p w14:paraId="102674C5" w14:textId="77777777" w:rsidR="002C0FD9" w:rsidRPr="00CA25CF" w:rsidRDefault="002C0FD9" w:rsidP="00CA25CF">
            <w:pPr>
              <w:rPr>
                <w:rFonts w:cs="Arial"/>
                <w:color w:val="FF0000"/>
                <w:sz w:val="21"/>
                <w:szCs w:val="21"/>
              </w:rPr>
            </w:pPr>
          </w:p>
        </w:tc>
        <w:tc>
          <w:tcPr>
            <w:tcW w:w="217" w:type="dxa"/>
          </w:tcPr>
          <w:p w14:paraId="2E5A5879" w14:textId="77777777" w:rsidR="002C0FD9" w:rsidRPr="00CA25CF" w:rsidRDefault="002C0FD9" w:rsidP="00CA25CF">
            <w:pPr>
              <w:rPr>
                <w:rFonts w:cs="Arial"/>
                <w:color w:val="FF0000"/>
                <w:sz w:val="21"/>
                <w:szCs w:val="21"/>
              </w:rPr>
            </w:pPr>
          </w:p>
        </w:tc>
        <w:tc>
          <w:tcPr>
            <w:tcW w:w="217" w:type="dxa"/>
          </w:tcPr>
          <w:p w14:paraId="5B00E88E" w14:textId="77777777" w:rsidR="002C0FD9" w:rsidRPr="00CA25CF" w:rsidRDefault="002C0FD9" w:rsidP="00CA25CF">
            <w:pPr>
              <w:rPr>
                <w:rFonts w:cs="Arial"/>
                <w:color w:val="FF0000"/>
                <w:sz w:val="21"/>
                <w:szCs w:val="21"/>
              </w:rPr>
            </w:pPr>
          </w:p>
        </w:tc>
        <w:tc>
          <w:tcPr>
            <w:tcW w:w="217" w:type="dxa"/>
          </w:tcPr>
          <w:p w14:paraId="4CE67E2E" w14:textId="77777777" w:rsidR="002C0FD9" w:rsidRPr="00CA25CF" w:rsidRDefault="002C0FD9" w:rsidP="00CA25CF">
            <w:pPr>
              <w:rPr>
                <w:rFonts w:cs="Arial"/>
                <w:color w:val="FF0000"/>
                <w:sz w:val="21"/>
                <w:szCs w:val="21"/>
              </w:rPr>
            </w:pPr>
          </w:p>
        </w:tc>
        <w:tc>
          <w:tcPr>
            <w:tcW w:w="217" w:type="dxa"/>
          </w:tcPr>
          <w:p w14:paraId="41838872" w14:textId="77777777" w:rsidR="002C0FD9" w:rsidRPr="00CA25CF" w:rsidRDefault="002C0FD9" w:rsidP="00CA25CF">
            <w:pPr>
              <w:rPr>
                <w:rFonts w:cs="Arial"/>
                <w:color w:val="FF0000"/>
                <w:sz w:val="21"/>
                <w:szCs w:val="21"/>
              </w:rPr>
            </w:pPr>
          </w:p>
        </w:tc>
        <w:tc>
          <w:tcPr>
            <w:tcW w:w="217" w:type="dxa"/>
          </w:tcPr>
          <w:p w14:paraId="6E16602B" w14:textId="77777777" w:rsidR="002C0FD9" w:rsidRPr="00CA25CF" w:rsidRDefault="002C0FD9" w:rsidP="00CA25CF">
            <w:pPr>
              <w:rPr>
                <w:rFonts w:cs="Arial"/>
                <w:color w:val="FF0000"/>
                <w:sz w:val="21"/>
                <w:szCs w:val="21"/>
              </w:rPr>
            </w:pPr>
          </w:p>
        </w:tc>
        <w:tc>
          <w:tcPr>
            <w:tcW w:w="217" w:type="dxa"/>
          </w:tcPr>
          <w:p w14:paraId="6B743AE5" w14:textId="77777777" w:rsidR="002C0FD9" w:rsidRPr="00CA25CF" w:rsidRDefault="002C0FD9" w:rsidP="00CA25CF">
            <w:pPr>
              <w:rPr>
                <w:rFonts w:cs="Arial"/>
                <w:color w:val="FF0000"/>
                <w:sz w:val="21"/>
                <w:szCs w:val="21"/>
              </w:rPr>
            </w:pPr>
          </w:p>
        </w:tc>
        <w:tc>
          <w:tcPr>
            <w:tcW w:w="217" w:type="dxa"/>
          </w:tcPr>
          <w:p w14:paraId="650444F9" w14:textId="77777777" w:rsidR="002C0FD9" w:rsidRPr="00CA25CF" w:rsidRDefault="002C0FD9" w:rsidP="00CA25CF">
            <w:pPr>
              <w:rPr>
                <w:rFonts w:cs="Arial"/>
                <w:color w:val="FF0000"/>
                <w:sz w:val="21"/>
                <w:szCs w:val="21"/>
              </w:rPr>
            </w:pPr>
          </w:p>
        </w:tc>
        <w:tc>
          <w:tcPr>
            <w:tcW w:w="217" w:type="dxa"/>
          </w:tcPr>
          <w:p w14:paraId="6FD6DFF1" w14:textId="77777777" w:rsidR="002C0FD9" w:rsidRPr="00CA25CF" w:rsidRDefault="002C0FD9" w:rsidP="00CA25CF">
            <w:pPr>
              <w:rPr>
                <w:rFonts w:cs="Arial"/>
                <w:color w:val="FF0000"/>
                <w:sz w:val="21"/>
                <w:szCs w:val="21"/>
              </w:rPr>
            </w:pPr>
          </w:p>
        </w:tc>
        <w:tc>
          <w:tcPr>
            <w:tcW w:w="217" w:type="dxa"/>
          </w:tcPr>
          <w:p w14:paraId="215A1870" w14:textId="77777777" w:rsidR="002C0FD9" w:rsidRPr="00CA25CF" w:rsidRDefault="002C0FD9" w:rsidP="00CA25CF">
            <w:pPr>
              <w:rPr>
                <w:rFonts w:cs="Arial"/>
                <w:color w:val="FF0000"/>
                <w:sz w:val="21"/>
                <w:szCs w:val="21"/>
              </w:rPr>
            </w:pPr>
          </w:p>
        </w:tc>
        <w:tc>
          <w:tcPr>
            <w:tcW w:w="217" w:type="dxa"/>
          </w:tcPr>
          <w:p w14:paraId="18684C25" w14:textId="77777777" w:rsidR="002C0FD9" w:rsidRPr="00CA25CF" w:rsidRDefault="002C0FD9" w:rsidP="00CA25CF">
            <w:pPr>
              <w:rPr>
                <w:rFonts w:cs="Arial"/>
                <w:color w:val="FF0000"/>
                <w:sz w:val="21"/>
                <w:szCs w:val="21"/>
              </w:rPr>
            </w:pPr>
          </w:p>
        </w:tc>
        <w:tc>
          <w:tcPr>
            <w:tcW w:w="217" w:type="dxa"/>
          </w:tcPr>
          <w:p w14:paraId="743DD78B" w14:textId="77777777" w:rsidR="002C0FD9" w:rsidRPr="00CA25CF" w:rsidRDefault="002C0FD9" w:rsidP="00CA25CF">
            <w:pPr>
              <w:rPr>
                <w:rFonts w:cs="Arial"/>
                <w:color w:val="FF0000"/>
                <w:sz w:val="21"/>
                <w:szCs w:val="21"/>
              </w:rPr>
            </w:pPr>
          </w:p>
        </w:tc>
        <w:tc>
          <w:tcPr>
            <w:tcW w:w="217" w:type="dxa"/>
          </w:tcPr>
          <w:p w14:paraId="0382E0DE" w14:textId="77777777" w:rsidR="002C0FD9" w:rsidRPr="00CA25CF" w:rsidRDefault="002C0FD9" w:rsidP="00CA25CF">
            <w:pPr>
              <w:rPr>
                <w:rFonts w:cs="Arial"/>
                <w:color w:val="FF0000"/>
                <w:sz w:val="21"/>
                <w:szCs w:val="21"/>
              </w:rPr>
            </w:pPr>
          </w:p>
        </w:tc>
        <w:tc>
          <w:tcPr>
            <w:tcW w:w="217" w:type="dxa"/>
          </w:tcPr>
          <w:p w14:paraId="4EF95161" w14:textId="77777777" w:rsidR="002C0FD9" w:rsidRPr="00CA25CF" w:rsidRDefault="002C0FD9" w:rsidP="00CA25CF">
            <w:pPr>
              <w:rPr>
                <w:rFonts w:cs="Arial"/>
                <w:color w:val="FF0000"/>
                <w:sz w:val="21"/>
                <w:szCs w:val="21"/>
              </w:rPr>
            </w:pPr>
          </w:p>
        </w:tc>
        <w:tc>
          <w:tcPr>
            <w:tcW w:w="217" w:type="dxa"/>
          </w:tcPr>
          <w:p w14:paraId="4DB3E0F0" w14:textId="77777777" w:rsidR="002C0FD9" w:rsidRPr="00CA25CF" w:rsidRDefault="002C0FD9" w:rsidP="00CA25CF">
            <w:pPr>
              <w:rPr>
                <w:rFonts w:cs="Arial"/>
                <w:color w:val="FF0000"/>
                <w:sz w:val="21"/>
                <w:szCs w:val="21"/>
              </w:rPr>
            </w:pPr>
          </w:p>
        </w:tc>
        <w:tc>
          <w:tcPr>
            <w:tcW w:w="217" w:type="dxa"/>
          </w:tcPr>
          <w:p w14:paraId="08C923D8" w14:textId="77777777" w:rsidR="002C0FD9" w:rsidRPr="00CA25CF" w:rsidRDefault="002C0FD9" w:rsidP="00CA25CF">
            <w:pPr>
              <w:rPr>
                <w:rFonts w:cs="Arial"/>
                <w:color w:val="FF0000"/>
                <w:sz w:val="21"/>
                <w:szCs w:val="21"/>
              </w:rPr>
            </w:pPr>
          </w:p>
        </w:tc>
        <w:tc>
          <w:tcPr>
            <w:tcW w:w="217" w:type="dxa"/>
          </w:tcPr>
          <w:p w14:paraId="2770C1FA" w14:textId="77777777" w:rsidR="002C0FD9" w:rsidRPr="00CA25CF" w:rsidRDefault="002C0FD9" w:rsidP="00CA25CF">
            <w:pPr>
              <w:rPr>
                <w:rFonts w:cs="Arial"/>
                <w:color w:val="FF0000"/>
                <w:sz w:val="21"/>
                <w:szCs w:val="21"/>
              </w:rPr>
            </w:pPr>
          </w:p>
        </w:tc>
        <w:tc>
          <w:tcPr>
            <w:tcW w:w="217" w:type="dxa"/>
          </w:tcPr>
          <w:p w14:paraId="2BCE699D" w14:textId="77777777" w:rsidR="002C0FD9" w:rsidRPr="00CA25CF" w:rsidRDefault="002C0FD9" w:rsidP="00CA25CF">
            <w:pPr>
              <w:rPr>
                <w:rFonts w:cs="Arial"/>
                <w:color w:val="FF0000"/>
                <w:sz w:val="21"/>
                <w:szCs w:val="21"/>
              </w:rPr>
            </w:pPr>
          </w:p>
        </w:tc>
        <w:tc>
          <w:tcPr>
            <w:tcW w:w="217" w:type="dxa"/>
          </w:tcPr>
          <w:p w14:paraId="28B6850D" w14:textId="77777777" w:rsidR="002C0FD9" w:rsidRPr="00CA25CF" w:rsidRDefault="002C0FD9" w:rsidP="00CA25CF">
            <w:pPr>
              <w:rPr>
                <w:rFonts w:cs="Arial"/>
                <w:color w:val="FF0000"/>
                <w:sz w:val="21"/>
                <w:szCs w:val="21"/>
              </w:rPr>
            </w:pPr>
          </w:p>
        </w:tc>
        <w:tc>
          <w:tcPr>
            <w:tcW w:w="217" w:type="dxa"/>
          </w:tcPr>
          <w:p w14:paraId="7D1B1577" w14:textId="77777777" w:rsidR="002C0FD9" w:rsidRPr="00CA25CF" w:rsidRDefault="002C0FD9" w:rsidP="00CA25CF">
            <w:pPr>
              <w:rPr>
                <w:rFonts w:cs="Arial"/>
                <w:color w:val="FF0000"/>
                <w:sz w:val="21"/>
                <w:szCs w:val="21"/>
              </w:rPr>
            </w:pPr>
          </w:p>
        </w:tc>
        <w:tc>
          <w:tcPr>
            <w:tcW w:w="217" w:type="dxa"/>
          </w:tcPr>
          <w:p w14:paraId="13137CF4" w14:textId="77777777" w:rsidR="002C0FD9" w:rsidRPr="00CA25CF" w:rsidRDefault="002C0FD9" w:rsidP="00CA25CF">
            <w:pPr>
              <w:rPr>
                <w:rFonts w:cs="Arial"/>
                <w:color w:val="FF0000"/>
                <w:sz w:val="21"/>
                <w:szCs w:val="21"/>
              </w:rPr>
            </w:pPr>
          </w:p>
        </w:tc>
        <w:tc>
          <w:tcPr>
            <w:tcW w:w="217" w:type="dxa"/>
          </w:tcPr>
          <w:p w14:paraId="6DAD66BE" w14:textId="77777777" w:rsidR="002C0FD9" w:rsidRPr="00CA25CF" w:rsidRDefault="002C0FD9" w:rsidP="00CA25CF">
            <w:pPr>
              <w:rPr>
                <w:rFonts w:cs="Arial"/>
                <w:color w:val="FF0000"/>
                <w:sz w:val="21"/>
                <w:szCs w:val="21"/>
              </w:rPr>
            </w:pPr>
          </w:p>
        </w:tc>
        <w:tc>
          <w:tcPr>
            <w:tcW w:w="217" w:type="dxa"/>
          </w:tcPr>
          <w:p w14:paraId="304B7984" w14:textId="77777777" w:rsidR="002C0FD9" w:rsidRPr="00CA25CF" w:rsidRDefault="002C0FD9" w:rsidP="00CA25CF">
            <w:pPr>
              <w:rPr>
                <w:rFonts w:cs="Arial"/>
                <w:color w:val="FF0000"/>
                <w:sz w:val="21"/>
                <w:szCs w:val="21"/>
              </w:rPr>
            </w:pPr>
          </w:p>
        </w:tc>
      </w:tr>
      <w:tr w:rsidR="002C0FD9" w:rsidRPr="00A16219" w14:paraId="567ADE09" w14:textId="77777777" w:rsidTr="002C0FD9">
        <w:trPr>
          <w:trHeight w:val="635"/>
        </w:trPr>
        <w:tc>
          <w:tcPr>
            <w:tcW w:w="515" w:type="dxa"/>
          </w:tcPr>
          <w:p w14:paraId="35E7D96C" w14:textId="77777777" w:rsidR="002C0FD9" w:rsidRPr="00CA25CF" w:rsidRDefault="002C0FD9" w:rsidP="00CA25CF">
            <w:pPr>
              <w:rPr>
                <w:rFonts w:cs="Arial"/>
                <w:color w:val="FF0000"/>
                <w:sz w:val="21"/>
                <w:szCs w:val="21"/>
              </w:rPr>
            </w:pPr>
          </w:p>
        </w:tc>
        <w:tc>
          <w:tcPr>
            <w:tcW w:w="217" w:type="dxa"/>
          </w:tcPr>
          <w:p w14:paraId="1A8CDAA1" w14:textId="77777777" w:rsidR="002C0FD9" w:rsidRPr="00CA25CF" w:rsidRDefault="002C0FD9" w:rsidP="00CA25CF">
            <w:pPr>
              <w:rPr>
                <w:rFonts w:cs="Arial"/>
                <w:color w:val="FF0000"/>
                <w:sz w:val="21"/>
                <w:szCs w:val="21"/>
              </w:rPr>
            </w:pPr>
          </w:p>
        </w:tc>
        <w:tc>
          <w:tcPr>
            <w:tcW w:w="217" w:type="dxa"/>
          </w:tcPr>
          <w:p w14:paraId="28AC1686" w14:textId="77777777" w:rsidR="002C0FD9" w:rsidRPr="00CA25CF" w:rsidRDefault="002C0FD9" w:rsidP="00CA25CF">
            <w:pPr>
              <w:rPr>
                <w:rFonts w:cs="Arial"/>
                <w:color w:val="FF0000"/>
                <w:sz w:val="21"/>
                <w:szCs w:val="21"/>
              </w:rPr>
            </w:pPr>
          </w:p>
        </w:tc>
        <w:tc>
          <w:tcPr>
            <w:tcW w:w="217" w:type="dxa"/>
          </w:tcPr>
          <w:p w14:paraId="6CE8E9D2" w14:textId="77777777" w:rsidR="002C0FD9" w:rsidRPr="00CA25CF" w:rsidRDefault="002C0FD9" w:rsidP="00CA25CF">
            <w:pPr>
              <w:rPr>
                <w:rFonts w:cs="Arial"/>
                <w:color w:val="FF0000"/>
                <w:sz w:val="21"/>
                <w:szCs w:val="21"/>
              </w:rPr>
            </w:pPr>
          </w:p>
        </w:tc>
        <w:tc>
          <w:tcPr>
            <w:tcW w:w="217" w:type="dxa"/>
          </w:tcPr>
          <w:p w14:paraId="3E5F00A5" w14:textId="77777777" w:rsidR="002C0FD9" w:rsidRPr="00CA25CF" w:rsidRDefault="002C0FD9" w:rsidP="00CA25CF">
            <w:pPr>
              <w:rPr>
                <w:rFonts w:cs="Arial"/>
                <w:color w:val="FF0000"/>
                <w:sz w:val="21"/>
                <w:szCs w:val="21"/>
              </w:rPr>
            </w:pPr>
          </w:p>
        </w:tc>
        <w:tc>
          <w:tcPr>
            <w:tcW w:w="217" w:type="dxa"/>
          </w:tcPr>
          <w:p w14:paraId="5DA88E3C" w14:textId="77777777" w:rsidR="002C0FD9" w:rsidRPr="00CA25CF" w:rsidRDefault="002C0FD9" w:rsidP="00CA25CF">
            <w:pPr>
              <w:rPr>
                <w:rFonts w:cs="Arial"/>
                <w:color w:val="FF0000"/>
                <w:sz w:val="21"/>
                <w:szCs w:val="21"/>
              </w:rPr>
            </w:pPr>
          </w:p>
        </w:tc>
        <w:tc>
          <w:tcPr>
            <w:tcW w:w="217" w:type="dxa"/>
          </w:tcPr>
          <w:p w14:paraId="26657AE6" w14:textId="77777777" w:rsidR="002C0FD9" w:rsidRPr="00CA25CF" w:rsidRDefault="002C0FD9" w:rsidP="00CA25CF">
            <w:pPr>
              <w:rPr>
                <w:rFonts w:cs="Arial"/>
                <w:color w:val="FF0000"/>
                <w:sz w:val="21"/>
                <w:szCs w:val="21"/>
              </w:rPr>
            </w:pPr>
          </w:p>
        </w:tc>
        <w:tc>
          <w:tcPr>
            <w:tcW w:w="217" w:type="dxa"/>
          </w:tcPr>
          <w:p w14:paraId="1E28A100" w14:textId="77777777" w:rsidR="002C0FD9" w:rsidRPr="00CA25CF" w:rsidRDefault="002C0FD9" w:rsidP="00CA25CF">
            <w:pPr>
              <w:rPr>
                <w:rFonts w:cs="Arial"/>
                <w:color w:val="FF0000"/>
                <w:sz w:val="21"/>
                <w:szCs w:val="21"/>
              </w:rPr>
            </w:pPr>
          </w:p>
        </w:tc>
        <w:tc>
          <w:tcPr>
            <w:tcW w:w="217" w:type="dxa"/>
          </w:tcPr>
          <w:p w14:paraId="17B52F81" w14:textId="77777777" w:rsidR="002C0FD9" w:rsidRPr="00CA25CF" w:rsidRDefault="002C0FD9" w:rsidP="00CA25CF">
            <w:pPr>
              <w:rPr>
                <w:rFonts w:cs="Arial"/>
                <w:color w:val="FF0000"/>
                <w:sz w:val="21"/>
                <w:szCs w:val="21"/>
              </w:rPr>
            </w:pPr>
          </w:p>
        </w:tc>
        <w:tc>
          <w:tcPr>
            <w:tcW w:w="217" w:type="dxa"/>
          </w:tcPr>
          <w:p w14:paraId="1CEC2BAD" w14:textId="77777777" w:rsidR="002C0FD9" w:rsidRPr="00CA25CF" w:rsidRDefault="002C0FD9" w:rsidP="00CA25CF">
            <w:pPr>
              <w:rPr>
                <w:rFonts w:cs="Arial"/>
                <w:color w:val="FF0000"/>
                <w:sz w:val="21"/>
                <w:szCs w:val="21"/>
              </w:rPr>
            </w:pPr>
          </w:p>
        </w:tc>
        <w:tc>
          <w:tcPr>
            <w:tcW w:w="217" w:type="dxa"/>
          </w:tcPr>
          <w:p w14:paraId="2B544E16" w14:textId="77777777" w:rsidR="002C0FD9" w:rsidRPr="00CA25CF" w:rsidRDefault="002C0FD9" w:rsidP="00CA25CF">
            <w:pPr>
              <w:rPr>
                <w:rFonts w:cs="Arial"/>
                <w:color w:val="FF0000"/>
                <w:sz w:val="21"/>
                <w:szCs w:val="21"/>
              </w:rPr>
            </w:pPr>
          </w:p>
        </w:tc>
        <w:tc>
          <w:tcPr>
            <w:tcW w:w="217" w:type="dxa"/>
          </w:tcPr>
          <w:p w14:paraId="5C446B58" w14:textId="77777777" w:rsidR="002C0FD9" w:rsidRPr="00CA25CF" w:rsidRDefault="002C0FD9" w:rsidP="00CA25CF">
            <w:pPr>
              <w:rPr>
                <w:rFonts w:cs="Arial"/>
                <w:color w:val="FF0000"/>
                <w:sz w:val="21"/>
                <w:szCs w:val="21"/>
              </w:rPr>
            </w:pPr>
          </w:p>
        </w:tc>
        <w:tc>
          <w:tcPr>
            <w:tcW w:w="217" w:type="dxa"/>
          </w:tcPr>
          <w:p w14:paraId="47D70881" w14:textId="77777777" w:rsidR="002C0FD9" w:rsidRPr="00CA25CF" w:rsidRDefault="002C0FD9" w:rsidP="00CA25CF">
            <w:pPr>
              <w:rPr>
                <w:rFonts w:cs="Arial"/>
                <w:color w:val="FF0000"/>
                <w:sz w:val="21"/>
                <w:szCs w:val="21"/>
              </w:rPr>
            </w:pPr>
          </w:p>
        </w:tc>
        <w:tc>
          <w:tcPr>
            <w:tcW w:w="217" w:type="dxa"/>
          </w:tcPr>
          <w:p w14:paraId="1F6E082B" w14:textId="77777777" w:rsidR="002C0FD9" w:rsidRPr="00CA25CF" w:rsidRDefault="002C0FD9" w:rsidP="00CA25CF">
            <w:pPr>
              <w:rPr>
                <w:rFonts w:cs="Arial"/>
                <w:color w:val="FF0000"/>
                <w:sz w:val="21"/>
                <w:szCs w:val="21"/>
              </w:rPr>
            </w:pPr>
          </w:p>
        </w:tc>
        <w:tc>
          <w:tcPr>
            <w:tcW w:w="217" w:type="dxa"/>
          </w:tcPr>
          <w:p w14:paraId="5B3C2226" w14:textId="77777777" w:rsidR="002C0FD9" w:rsidRPr="00CA25CF" w:rsidRDefault="002C0FD9" w:rsidP="00CA25CF">
            <w:pPr>
              <w:rPr>
                <w:rFonts w:cs="Arial"/>
                <w:color w:val="FF0000"/>
                <w:sz w:val="21"/>
                <w:szCs w:val="21"/>
              </w:rPr>
            </w:pPr>
          </w:p>
        </w:tc>
        <w:tc>
          <w:tcPr>
            <w:tcW w:w="217" w:type="dxa"/>
          </w:tcPr>
          <w:p w14:paraId="2CF7056A" w14:textId="77777777" w:rsidR="002C0FD9" w:rsidRPr="00CA25CF" w:rsidRDefault="002C0FD9" w:rsidP="00CA25CF">
            <w:pPr>
              <w:rPr>
                <w:rFonts w:cs="Arial"/>
                <w:color w:val="FF0000"/>
                <w:sz w:val="21"/>
                <w:szCs w:val="21"/>
              </w:rPr>
            </w:pPr>
          </w:p>
        </w:tc>
        <w:tc>
          <w:tcPr>
            <w:tcW w:w="217" w:type="dxa"/>
          </w:tcPr>
          <w:p w14:paraId="1B9785C8" w14:textId="77777777" w:rsidR="002C0FD9" w:rsidRPr="00CA25CF" w:rsidRDefault="002C0FD9" w:rsidP="00CA25CF">
            <w:pPr>
              <w:rPr>
                <w:rFonts w:cs="Arial"/>
                <w:color w:val="FF0000"/>
                <w:sz w:val="21"/>
                <w:szCs w:val="21"/>
              </w:rPr>
            </w:pPr>
          </w:p>
        </w:tc>
        <w:tc>
          <w:tcPr>
            <w:tcW w:w="217" w:type="dxa"/>
          </w:tcPr>
          <w:p w14:paraId="1EF40E11" w14:textId="77777777" w:rsidR="002C0FD9" w:rsidRPr="00CA25CF" w:rsidRDefault="002C0FD9" w:rsidP="00CA25CF">
            <w:pPr>
              <w:rPr>
                <w:rFonts w:cs="Arial"/>
                <w:color w:val="FF0000"/>
                <w:sz w:val="21"/>
                <w:szCs w:val="21"/>
              </w:rPr>
            </w:pPr>
          </w:p>
        </w:tc>
        <w:tc>
          <w:tcPr>
            <w:tcW w:w="217" w:type="dxa"/>
          </w:tcPr>
          <w:p w14:paraId="13CC75CC" w14:textId="77777777" w:rsidR="002C0FD9" w:rsidRPr="00CA25CF" w:rsidRDefault="002C0FD9" w:rsidP="00CA25CF">
            <w:pPr>
              <w:rPr>
                <w:rFonts w:cs="Arial"/>
                <w:color w:val="FF0000"/>
                <w:sz w:val="21"/>
                <w:szCs w:val="21"/>
              </w:rPr>
            </w:pPr>
          </w:p>
        </w:tc>
        <w:tc>
          <w:tcPr>
            <w:tcW w:w="217" w:type="dxa"/>
          </w:tcPr>
          <w:p w14:paraId="25CFE1DC" w14:textId="77777777" w:rsidR="002C0FD9" w:rsidRPr="00CA25CF" w:rsidRDefault="002C0FD9" w:rsidP="00CA25CF">
            <w:pPr>
              <w:rPr>
                <w:rFonts w:cs="Arial"/>
                <w:color w:val="FF0000"/>
                <w:sz w:val="21"/>
                <w:szCs w:val="21"/>
              </w:rPr>
            </w:pPr>
          </w:p>
        </w:tc>
        <w:tc>
          <w:tcPr>
            <w:tcW w:w="217" w:type="dxa"/>
          </w:tcPr>
          <w:p w14:paraId="33188B17" w14:textId="77777777" w:rsidR="002C0FD9" w:rsidRPr="00CA25CF" w:rsidRDefault="002C0FD9" w:rsidP="00CA25CF">
            <w:pPr>
              <w:rPr>
                <w:rFonts w:cs="Arial"/>
                <w:color w:val="FF0000"/>
                <w:sz w:val="21"/>
                <w:szCs w:val="21"/>
              </w:rPr>
            </w:pPr>
          </w:p>
        </w:tc>
        <w:tc>
          <w:tcPr>
            <w:tcW w:w="217" w:type="dxa"/>
          </w:tcPr>
          <w:p w14:paraId="4F9CC6D9" w14:textId="77777777" w:rsidR="002C0FD9" w:rsidRPr="00CA25CF" w:rsidRDefault="002C0FD9" w:rsidP="00CA25CF">
            <w:pPr>
              <w:rPr>
                <w:rFonts w:cs="Arial"/>
                <w:color w:val="FF0000"/>
                <w:sz w:val="21"/>
                <w:szCs w:val="21"/>
              </w:rPr>
            </w:pPr>
          </w:p>
        </w:tc>
        <w:tc>
          <w:tcPr>
            <w:tcW w:w="217" w:type="dxa"/>
          </w:tcPr>
          <w:p w14:paraId="4C855656" w14:textId="77777777" w:rsidR="002C0FD9" w:rsidRPr="00CA25CF" w:rsidRDefault="002C0FD9" w:rsidP="00CA25CF">
            <w:pPr>
              <w:rPr>
                <w:rFonts w:cs="Arial"/>
                <w:color w:val="FF0000"/>
                <w:sz w:val="21"/>
                <w:szCs w:val="21"/>
              </w:rPr>
            </w:pPr>
          </w:p>
        </w:tc>
        <w:tc>
          <w:tcPr>
            <w:tcW w:w="217" w:type="dxa"/>
          </w:tcPr>
          <w:p w14:paraId="324E0379" w14:textId="77777777" w:rsidR="002C0FD9" w:rsidRPr="00CA25CF" w:rsidRDefault="002C0FD9" w:rsidP="00CA25CF">
            <w:pPr>
              <w:rPr>
                <w:rFonts w:cs="Arial"/>
                <w:color w:val="FF0000"/>
                <w:sz w:val="21"/>
                <w:szCs w:val="21"/>
              </w:rPr>
            </w:pPr>
          </w:p>
        </w:tc>
        <w:tc>
          <w:tcPr>
            <w:tcW w:w="217" w:type="dxa"/>
          </w:tcPr>
          <w:p w14:paraId="75E817D0" w14:textId="77777777" w:rsidR="002C0FD9" w:rsidRPr="00CA25CF" w:rsidRDefault="002C0FD9" w:rsidP="00CA25CF">
            <w:pPr>
              <w:rPr>
                <w:rFonts w:cs="Arial"/>
                <w:color w:val="FF0000"/>
                <w:sz w:val="21"/>
                <w:szCs w:val="21"/>
              </w:rPr>
            </w:pPr>
          </w:p>
        </w:tc>
        <w:tc>
          <w:tcPr>
            <w:tcW w:w="217" w:type="dxa"/>
          </w:tcPr>
          <w:p w14:paraId="63E6851D" w14:textId="77777777" w:rsidR="002C0FD9" w:rsidRPr="00CA25CF" w:rsidRDefault="002C0FD9" w:rsidP="00CA25CF">
            <w:pPr>
              <w:rPr>
                <w:rFonts w:cs="Arial"/>
                <w:color w:val="FF0000"/>
                <w:sz w:val="21"/>
                <w:szCs w:val="21"/>
              </w:rPr>
            </w:pPr>
          </w:p>
        </w:tc>
        <w:tc>
          <w:tcPr>
            <w:tcW w:w="217" w:type="dxa"/>
          </w:tcPr>
          <w:p w14:paraId="1D8DA1CC" w14:textId="77777777" w:rsidR="002C0FD9" w:rsidRPr="00CA25CF" w:rsidRDefault="002C0FD9" w:rsidP="00CA25CF">
            <w:pPr>
              <w:rPr>
                <w:rFonts w:cs="Arial"/>
                <w:color w:val="FF0000"/>
                <w:sz w:val="21"/>
                <w:szCs w:val="21"/>
              </w:rPr>
            </w:pPr>
          </w:p>
        </w:tc>
        <w:tc>
          <w:tcPr>
            <w:tcW w:w="217" w:type="dxa"/>
          </w:tcPr>
          <w:p w14:paraId="5D84D70A" w14:textId="77777777" w:rsidR="002C0FD9" w:rsidRPr="00CA25CF" w:rsidRDefault="002C0FD9" w:rsidP="00CA25CF">
            <w:pPr>
              <w:rPr>
                <w:rFonts w:cs="Arial"/>
                <w:color w:val="FF0000"/>
                <w:sz w:val="21"/>
                <w:szCs w:val="21"/>
              </w:rPr>
            </w:pPr>
          </w:p>
        </w:tc>
        <w:tc>
          <w:tcPr>
            <w:tcW w:w="217" w:type="dxa"/>
          </w:tcPr>
          <w:p w14:paraId="4C3A82DC" w14:textId="77777777" w:rsidR="002C0FD9" w:rsidRPr="00CA25CF" w:rsidRDefault="002C0FD9" w:rsidP="00CA25CF">
            <w:pPr>
              <w:rPr>
                <w:rFonts w:cs="Arial"/>
                <w:color w:val="FF0000"/>
                <w:sz w:val="21"/>
                <w:szCs w:val="21"/>
              </w:rPr>
            </w:pPr>
          </w:p>
        </w:tc>
        <w:tc>
          <w:tcPr>
            <w:tcW w:w="217" w:type="dxa"/>
          </w:tcPr>
          <w:p w14:paraId="7BBAFECC" w14:textId="77777777" w:rsidR="002C0FD9" w:rsidRPr="00CA25CF" w:rsidRDefault="002C0FD9" w:rsidP="00CA25CF">
            <w:pPr>
              <w:rPr>
                <w:rFonts w:cs="Arial"/>
                <w:color w:val="FF0000"/>
                <w:sz w:val="21"/>
                <w:szCs w:val="21"/>
              </w:rPr>
            </w:pPr>
          </w:p>
        </w:tc>
        <w:tc>
          <w:tcPr>
            <w:tcW w:w="217" w:type="dxa"/>
          </w:tcPr>
          <w:p w14:paraId="4FCDBFE2" w14:textId="77777777" w:rsidR="002C0FD9" w:rsidRPr="00CA25CF" w:rsidRDefault="002C0FD9" w:rsidP="00CA25CF">
            <w:pPr>
              <w:rPr>
                <w:rFonts w:cs="Arial"/>
                <w:color w:val="FF0000"/>
                <w:sz w:val="21"/>
                <w:szCs w:val="21"/>
              </w:rPr>
            </w:pPr>
          </w:p>
        </w:tc>
        <w:tc>
          <w:tcPr>
            <w:tcW w:w="217" w:type="dxa"/>
          </w:tcPr>
          <w:p w14:paraId="234730F9" w14:textId="77777777" w:rsidR="002C0FD9" w:rsidRPr="00CA25CF" w:rsidRDefault="002C0FD9" w:rsidP="00CA25CF">
            <w:pPr>
              <w:rPr>
                <w:rFonts w:cs="Arial"/>
                <w:color w:val="FF0000"/>
                <w:sz w:val="21"/>
                <w:szCs w:val="21"/>
              </w:rPr>
            </w:pPr>
          </w:p>
        </w:tc>
        <w:tc>
          <w:tcPr>
            <w:tcW w:w="217" w:type="dxa"/>
          </w:tcPr>
          <w:p w14:paraId="7D2E7B33" w14:textId="77777777" w:rsidR="002C0FD9" w:rsidRPr="00CA25CF" w:rsidRDefault="002C0FD9" w:rsidP="00CA25CF">
            <w:pPr>
              <w:rPr>
                <w:rFonts w:cs="Arial"/>
                <w:color w:val="FF0000"/>
                <w:sz w:val="21"/>
                <w:szCs w:val="21"/>
              </w:rPr>
            </w:pPr>
          </w:p>
        </w:tc>
        <w:tc>
          <w:tcPr>
            <w:tcW w:w="217" w:type="dxa"/>
          </w:tcPr>
          <w:p w14:paraId="7B393CF3" w14:textId="77777777" w:rsidR="002C0FD9" w:rsidRPr="00CA25CF" w:rsidRDefault="002C0FD9" w:rsidP="00CA25CF">
            <w:pPr>
              <w:rPr>
                <w:rFonts w:cs="Arial"/>
                <w:color w:val="FF0000"/>
                <w:sz w:val="21"/>
                <w:szCs w:val="21"/>
              </w:rPr>
            </w:pPr>
          </w:p>
        </w:tc>
        <w:tc>
          <w:tcPr>
            <w:tcW w:w="217" w:type="dxa"/>
          </w:tcPr>
          <w:p w14:paraId="5DE425FE" w14:textId="77777777" w:rsidR="002C0FD9" w:rsidRPr="00CA25CF" w:rsidRDefault="002C0FD9" w:rsidP="00CA25CF">
            <w:pPr>
              <w:rPr>
                <w:rFonts w:cs="Arial"/>
                <w:color w:val="FF0000"/>
                <w:sz w:val="21"/>
                <w:szCs w:val="21"/>
              </w:rPr>
            </w:pPr>
          </w:p>
        </w:tc>
        <w:tc>
          <w:tcPr>
            <w:tcW w:w="217" w:type="dxa"/>
          </w:tcPr>
          <w:p w14:paraId="14927AE3" w14:textId="77777777" w:rsidR="002C0FD9" w:rsidRPr="00CA25CF" w:rsidRDefault="002C0FD9" w:rsidP="00CA25CF">
            <w:pPr>
              <w:rPr>
                <w:rFonts w:cs="Arial"/>
                <w:color w:val="FF0000"/>
                <w:sz w:val="21"/>
                <w:szCs w:val="21"/>
              </w:rPr>
            </w:pPr>
          </w:p>
        </w:tc>
        <w:tc>
          <w:tcPr>
            <w:tcW w:w="217" w:type="dxa"/>
          </w:tcPr>
          <w:p w14:paraId="5281025F" w14:textId="77777777" w:rsidR="002C0FD9" w:rsidRPr="00CA25CF" w:rsidRDefault="002C0FD9" w:rsidP="00CA25CF">
            <w:pPr>
              <w:rPr>
                <w:rFonts w:cs="Arial"/>
                <w:color w:val="FF0000"/>
                <w:sz w:val="21"/>
                <w:szCs w:val="21"/>
              </w:rPr>
            </w:pPr>
          </w:p>
        </w:tc>
        <w:tc>
          <w:tcPr>
            <w:tcW w:w="217" w:type="dxa"/>
          </w:tcPr>
          <w:p w14:paraId="3A44E149" w14:textId="77777777" w:rsidR="002C0FD9" w:rsidRPr="00CA25CF" w:rsidRDefault="002C0FD9" w:rsidP="00CA25CF">
            <w:pPr>
              <w:rPr>
                <w:rFonts w:cs="Arial"/>
                <w:color w:val="FF0000"/>
                <w:sz w:val="21"/>
                <w:szCs w:val="21"/>
              </w:rPr>
            </w:pPr>
          </w:p>
        </w:tc>
        <w:tc>
          <w:tcPr>
            <w:tcW w:w="217" w:type="dxa"/>
          </w:tcPr>
          <w:p w14:paraId="7F838123" w14:textId="77777777" w:rsidR="002C0FD9" w:rsidRPr="00CA25CF" w:rsidRDefault="002C0FD9" w:rsidP="00CA25CF">
            <w:pPr>
              <w:rPr>
                <w:rFonts w:cs="Arial"/>
                <w:color w:val="FF0000"/>
                <w:sz w:val="21"/>
                <w:szCs w:val="21"/>
              </w:rPr>
            </w:pPr>
          </w:p>
        </w:tc>
        <w:tc>
          <w:tcPr>
            <w:tcW w:w="217" w:type="dxa"/>
          </w:tcPr>
          <w:p w14:paraId="72FE10D3" w14:textId="77777777" w:rsidR="002C0FD9" w:rsidRPr="00CA25CF" w:rsidRDefault="002C0FD9" w:rsidP="00CA25CF">
            <w:pPr>
              <w:rPr>
                <w:rFonts w:cs="Arial"/>
                <w:color w:val="FF0000"/>
                <w:sz w:val="21"/>
                <w:szCs w:val="21"/>
              </w:rPr>
            </w:pPr>
          </w:p>
        </w:tc>
        <w:tc>
          <w:tcPr>
            <w:tcW w:w="217" w:type="dxa"/>
          </w:tcPr>
          <w:p w14:paraId="17D86B43" w14:textId="77777777" w:rsidR="002C0FD9" w:rsidRPr="00CA25CF" w:rsidRDefault="002C0FD9" w:rsidP="00CA25CF">
            <w:pPr>
              <w:rPr>
                <w:rFonts w:cs="Arial"/>
                <w:color w:val="FF0000"/>
                <w:sz w:val="21"/>
                <w:szCs w:val="21"/>
              </w:rPr>
            </w:pPr>
          </w:p>
        </w:tc>
        <w:tc>
          <w:tcPr>
            <w:tcW w:w="217" w:type="dxa"/>
          </w:tcPr>
          <w:p w14:paraId="64979F83" w14:textId="77777777" w:rsidR="002C0FD9" w:rsidRPr="00CA25CF" w:rsidRDefault="002C0FD9" w:rsidP="00CA25CF">
            <w:pPr>
              <w:rPr>
                <w:rFonts w:cs="Arial"/>
                <w:color w:val="FF0000"/>
                <w:sz w:val="21"/>
                <w:szCs w:val="21"/>
              </w:rPr>
            </w:pPr>
          </w:p>
        </w:tc>
        <w:tc>
          <w:tcPr>
            <w:tcW w:w="217" w:type="dxa"/>
          </w:tcPr>
          <w:p w14:paraId="27CF4AF2" w14:textId="77777777" w:rsidR="002C0FD9" w:rsidRPr="00CA25CF" w:rsidRDefault="002C0FD9" w:rsidP="00CA25CF">
            <w:pPr>
              <w:rPr>
                <w:rFonts w:cs="Arial"/>
                <w:color w:val="FF0000"/>
                <w:sz w:val="21"/>
                <w:szCs w:val="21"/>
              </w:rPr>
            </w:pPr>
          </w:p>
        </w:tc>
      </w:tr>
      <w:tr w:rsidR="002C0FD9" w:rsidRPr="00A16219" w14:paraId="4A8854B4" w14:textId="77777777" w:rsidTr="002C0FD9">
        <w:trPr>
          <w:trHeight w:val="635"/>
        </w:trPr>
        <w:tc>
          <w:tcPr>
            <w:tcW w:w="515" w:type="dxa"/>
          </w:tcPr>
          <w:p w14:paraId="42A4DAFB" w14:textId="77777777" w:rsidR="002C0FD9" w:rsidRPr="00CA25CF" w:rsidRDefault="002C0FD9" w:rsidP="00CA25CF">
            <w:pPr>
              <w:rPr>
                <w:rFonts w:cs="Arial"/>
                <w:color w:val="FF0000"/>
                <w:sz w:val="21"/>
                <w:szCs w:val="21"/>
              </w:rPr>
            </w:pPr>
          </w:p>
        </w:tc>
        <w:tc>
          <w:tcPr>
            <w:tcW w:w="217" w:type="dxa"/>
          </w:tcPr>
          <w:p w14:paraId="4971B59C" w14:textId="77777777" w:rsidR="002C0FD9" w:rsidRPr="00CA25CF" w:rsidRDefault="002C0FD9" w:rsidP="00CA25CF">
            <w:pPr>
              <w:rPr>
                <w:rFonts w:cs="Arial"/>
                <w:color w:val="FF0000"/>
                <w:sz w:val="21"/>
                <w:szCs w:val="21"/>
              </w:rPr>
            </w:pPr>
          </w:p>
        </w:tc>
        <w:tc>
          <w:tcPr>
            <w:tcW w:w="217" w:type="dxa"/>
          </w:tcPr>
          <w:p w14:paraId="2A510720" w14:textId="77777777" w:rsidR="002C0FD9" w:rsidRPr="00CA25CF" w:rsidRDefault="002C0FD9" w:rsidP="00CA25CF">
            <w:pPr>
              <w:rPr>
                <w:rFonts w:cs="Arial"/>
                <w:color w:val="FF0000"/>
                <w:sz w:val="21"/>
                <w:szCs w:val="21"/>
              </w:rPr>
            </w:pPr>
          </w:p>
        </w:tc>
        <w:tc>
          <w:tcPr>
            <w:tcW w:w="217" w:type="dxa"/>
          </w:tcPr>
          <w:p w14:paraId="018B2E38" w14:textId="77777777" w:rsidR="002C0FD9" w:rsidRPr="00CA25CF" w:rsidRDefault="002C0FD9" w:rsidP="00CA25CF">
            <w:pPr>
              <w:rPr>
                <w:rFonts w:cs="Arial"/>
                <w:color w:val="FF0000"/>
                <w:sz w:val="21"/>
                <w:szCs w:val="21"/>
              </w:rPr>
            </w:pPr>
          </w:p>
        </w:tc>
        <w:tc>
          <w:tcPr>
            <w:tcW w:w="217" w:type="dxa"/>
          </w:tcPr>
          <w:p w14:paraId="5378DAC8" w14:textId="77777777" w:rsidR="002C0FD9" w:rsidRPr="00CA25CF" w:rsidRDefault="002C0FD9" w:rsidP="00CA25CF">
            <w:pPr>
              <w:rPr>
                <w:rFonts w:cs="Arial"/>
                <w:color w:val="FF0000"/>
                <w:sz w:val="21"/>
                <w:szCs w:val="21"/>
              </w:rPr>
            </w:pPr>
          </w:p>
        </w:tc>
        <w:tc>
          <w:tcPr>
            <w:tcW w:w="217" w:type="dxa"/>
          </w:tcPr>
          <w:p w14:paraId="5E6E0C96" w14:textId="77777777" w:rsidR="002C0FD9" w:rsidRPr="00CA25CF" w:rsidRDefault="002C0FD9" w:rsidP="00CA25CF">
            <w:pPr>
              <w:rPr>
                <w:rFonts w:cs="Arial"/>
                <w:color w:val="FF0000"/>
                <w:sz w:val="21"/>
                <w:szCs w:val="21"/>
              </w:rPr>
            </w:pPr>
          </w:p>
        </w:tc>
        <w:tc>
          <w:tcPr>
            <w:tcW w:w="217" w:type="dxa"/>
          </w:tcPr>
          <w:p w14:paraId="3EE5CB4E" w14:textId="77777777" w:rsidR="002C0FD9" w:rsidRPr="00CA25CF" w:rsidRDefault="002C0FD9" w:rsidP="00CA25CF">
            <w:pPr>
              <w:rPr>
                <w:rFonts w:cs="Arial"/>
                <w:color w:val="FF0000"/>
                <w:sz w:val="21"/>
                <w:szCs w:val="21"/>
              </w:rPr>
            </w:pPr>
          </w:p>
        </w:tc>
        <w:tc>
          <w:tcPr>
            <w:tcW w:w="217" w:type="dxa"/>
          </w:tcPr>
          <w:p w14:paraId="10B54FFF" w14:textId="77777777" w:rsidR="002C0FD9" w:rsidRPr="00CA25CF" w:rsidRDefault="002C0FD9" w:rsidP="00CA25CF">
            <w:pPr>
              <w:rPr>
                <w:rFonts w:cs="Arial"/>
                <w:color w:val="FF0000"/>
                <w:sz w:val="21"/>
                <w:szCs w:val="21"/>
              </w:rPr>
            </w:pPr>
          </w:p>
        </w:tc>
        <w:tc>
          <w:tcPr>
            <w:tcW w:w="217" w:type="dxa"/>
          </w:tcPr>
          <w:p w14:paraId="16CAA941" w14:textId="77777777" w:rsidR="002C0FD9" w:rsidRPr="00CA25CF" w:rsidRDefault="002C0FD9" w:rsidP="00CA25CF">
            <w:pPr>
              <w:rPr>
                <w:rFonts w:cs="Arial"/>
                <w:color w:val="FF0000"/>
                <w:sz w:val="21"/>
                <w:szCs w:val="21"/>
              </w:rPr>
            </w:pPr>
          </w:p>
        </w:tc>
        <w:tc>
          <w:tcPr>
            <w:tcW w:w="217" w:type="dxa"/>
          </w:tcPr>
          <w:p w14:paraId="77CBDE41" w14:textId="77777777" w:rsidR="002C0FD9" w:rsidRPr="00CA25CF" w:rsidRDefault="002C0FD9" w:rsidP="00CA25CF">
            <w:pPr>
              <w:rPr>
                <w:rFonts w:cs="Arial"/>
                <w:color w:val="FF0000"/>
                <w:sz w:val="21"/>
                <w:szCs w:val="21"/>
              </w:rPr>
            </w:pPr>
          </w:p>
        </w:tc>
        <w:tc>
          <w:tcPr>
            <w:tcW w:w="217" w:type="dxa"/>
          </w:tcPr>
          <w:p w14:paraId="631A53EE" w14:textId="77777777" w:rsidR="002C0FD9" w:rsidRPr="00CA25CF" w:rsidRDefault="002C0FD9" w:rsidP="00CA25CF">
            <w:pPr>
              <w:rPr>
                <w:rFonts w:cs="Arial"/>
                <w:color w:val="FF0000"/>
                <w:sz w:val="21"/>
                <w:szCs w:val="21"/>
              </w:rPr>
            </w:pPr>
          </w:p>
        </w:tc>
        <w:tc>
          <w:tcPr>
            <w:tcW w:w="217" w:type="dxa"/>
          </w:tcPr>
          <w:p w14:paraId="0412B618" w14:textId="77777777" w:rsidR="002C0FD9" w:rsidRPr="00CA25CF" w:rsidRDefault="002C0FD9" w:rsidP="00CA25CF">
            <w:pPr>
              <w:rPr>
                <w:rFonts w:cs="Arial"/>
                <w:color w:val="FF0000"/>
                <w:sz w:val="21"/>
                <w:szCs w:val="21"/>
              </w:rPr>
            </w:pPr>
          </w:p>
        </w:tc>
        <w:tc>
          <w:tcPr>
            <w:tcW w:w="217" w:type="dxa"/>
          </w:tcPr>
          <w:p w14:paraId="5CE06805" w14:textId="77777777" w:rsidR="002C0FD9" w:rsidRPr="00CA25CF" w:rsidRDefault="002C0FD9" w:rsidP="00CA25CF">
            <w:pPr>
              <w:rPr>
                <w:rFonts w:cs="Arial"/>
                <w:color w:val="FF0000"/>
                <w:sz w:val="21"/>
                <w:szCs w:val="21"/>
              </w:rPr>
            </w:pPr>
          </w:p>
        </w:tc>
        <w:tc>
          <w:tcPr>
            <w:tcW w:w="217" w:type="dxa"/>
          </w:tcPr>
          <w:p w14:paraId="28037597" w14:textId="77777777" w:rsidR="002C0FD9" w:rsidRPr="00CA25CF" w:rsidRDefault="002C0FD9" w:rsidP="00CA25CF">
            <w:pPr>
              <w:rPr>
                <w:rFonts w:cs="Arial"/>
                <w:color w:val="FF0000"/>
                <w:sz w:val="21"/>
                <w:szCs w:val="21"/>
              </w:rPr>
            </w:pPr>
          </w:p>
        </w:tc>
        <w:tc>
          <w:tcPr>
            <w:tcW w:w="217" w:type="dxa"/>
          </w:tcPr>
          <w:p w14:paraId="27C2D94E" w14:textId="77777777" w:rsidR="002C0FD9" w:rsidRPr="00CA25CF" w:rsidRDefault="002C0FD9" w:rsidP="00CA25CF">
            <w:pPr>
              <w:rPr>
                <w:rFonts w:cs="Arial"/>
                <w:color w:val="FF0000"/>
                <w:sz w:val="21"/>
                <w:szCs w:val="21"/>
              </w:rPr>
            </w:pPr>
          </w:p>
        </w:tc>
        <w:tc>
          <w:tcPr>
            <w:tcW w:w="217" w:type="dxa"/>
          </w:tcPr>
          <w:p w14:paraId="791748B1" w14:textId="77777777" w:rsidR="002C0FD9" w:rsidRPr="00CA25CF" w:rsidRDefault="002C0FD9" w:rsidP="00CA25CF">
            <w:pPr>
              <w:rPr>
                <w:rFonts w:cs="Arial"/>
                <w:color w:val="FF0000"/>
                <w:sz w:val="21"/>
                <w:szCs w:val="21"/>
              </w:rPr>
            </w:pPr>
          </w:p>
        </w:tc>
        <w:tc>
          <w:tcPr>
            <w:tcW w:w="217" w:type="dxa"/>
          </w:tcPr>
          <w:p w14:paraId="0D4CB9D2" w14:textId="77777777" w:rsidR="002C0FD9" w:rsidRPr="00CA25CF" w:rsidRDefault="002C0FD9" w:rsidP="00CA25CF">
            <w:pPr>
              <w:rPr>
                <w:rFonts w:cs="Arial"/>
                <w:color w:val="FF0000"/>
                <w:sz w:val="21"/>
                <w:szCs w:val="21"/>
              </w:rPr>
            </w:pPr>
          </w:p>
        </w:tc>
        <w:tc>
          <w:tcPr>
            <w:tcW w:w="217" w:type="dxa"/>
          </w:tcPr>
          <w:p w14:paraId="53816902" w14:textId="77777777" w:rsidR="002C0FD9" w:rsidRPr="00CA25CF" w:rsidRDefault="002C0FD9" w:rsidP="00CA25CF">
            <w:pPr>
              <w:rPr>
                <w:rFonts w:cs="Arial"/>
                <w:color w:val="FF0000"/>
                <w:sz w:val="21"/>
                <w:szCs w:val="21"/>
              </w:rPr>
            </w:pPr>
          </w:p>
        </w:tc>
        <w:tc>
          <w:tcPr>
            <w:tcW w:w="217" w:type="dxa"/>
          </w:tcPr>
          <w:p w14:paraId="26A642A7" w14:textId="77777777" w:rsidR="002C0FD9" w:rsidRPr="00CA25CF" w:rsidRDefault="002C0FD9" w:rsidP="00CA25CF">
            <w:pPr>
              <w:rPr>
                <w:rFonts w:cs="Arial"/>
                <w:color w:val="FF0000"/>
                <w:sz w:val="21"/>
                <w:szCs w:val="21"/>
              </w:rPr>
            </w:pPr>
          </w:p>
        </w:tc>
        <w:tc>
          <w:tcPr>
            <w:tcW w:w="217" w:type="dxa"/>
          </w:tcPr>
          <w:p w14:paraId="5357BABD" w14:textId="77777777" w:rsidR="002C0FD9" w:rsidRPr="00CA25CF" w:rsidRDefault="002C0FD9" w:rsidP="00CA25CF">
            <w:pPr>
              <w:rPr>
                <w:rFonts w:cs="Arial"/>
                <w:color w:val="FF0000"/>
                <w:sz w:val="21"/>
                <w:szCs w:val="21"/>
              </w:rPr>
            </w:pPr>
          </w:p>
        </w:tc>
        <w:tc>
          <w:tcPr>
            <w:tcW w:w="217" w:type="dxa"/>
          </w:tcPr>
          <w:p w14:paraId="67A3B5BB" w14:textId="77777777" w:rsidR="002C0FD9" w:rsidRPr="00CA25CF" w:rsidRDefault="002C0FD9" w:rsidP="00CA25CF">
            <w:pPr>
              <w:rPr>
                <w:rFonts w:cs="Arial"/>
                <w:color w:val="FF0000"/>
                <w:sz w:val="21"/>
                <w:szCs w:val="21"/>
              </w:rPr>
            </w:pPr>
          </w:p>
        </w:tc>
        <w:tc>
          <w:tcPr>
            <w:tcW w:w="217" w:type="dxa"/>
          </w:tcPr>
          <w:p w14:paraId="0E7FB54E" w14:textId="77777777" w:rsidR="002C0FD9" w:rsidRPr="00CA25CF" w:rsidRDefault="002C0FD9" w:rsidP="00CA25CF">
            <w:pPr>
              <w:rPr>
                <w:rFonts w:cs="Arial"/>
                <w:color w:val="FF0000"/>
                <w:sz w:val="21"/>
                <w:szCs w:val="21"/>
              </w:rPr>
            </w:pPr>
          </w:p>
        </w:tc>
        <w:tc>
          <w:tcPr>
            <w:tcW w:w="217" w:type="dxa"/>
          </w:tcPr>
          <w:p w14:paraId="545B3A2A" w14:textId="77777777" w:rsidR="002C0FD9" w:rsidRPr="00CA25CF" w:rsidRDefault="002C0FD9" w:rsidP="00CA25CF">
            <w:pPr>
              <w:rPr>
                <w:rFonts w:cs="Arial"/>
                <w:color w:val="FF0000"/>
                <w:sz w:val="21"/>
                <w:szCs w:val="21"/>
              </w:rPr>
            </w:pPr>
          </w:p>
        </w:tc>
        <w:tc>
          <w:tcPr>
            <w:tcW w:w="217" w:type="dxa"/>
          </w:tcPr>
          <w:p w14:paraId="4AD34C60" w14:textId="77777777" w:rsidR="002C0FD9" w:rsidRPr="00CA25CF" w:rsidRDefault="002C0FD9" w:rsidP="00CA25CF">
            <w:pPr>
              <w:rPr>
                <w:rFonts w:cs="Arial"/>
                <w:color w:val="FF0000"/>
                <w:sz w:val="21"/>
                <w:szCs w:val="21"/>
              </w:rPr>
            </w:pPr>
          </w:p>
        </w:tc>
        <w:tc>
          <w:tcPr>
            <w:tcW w:w="217" w:type="dxa"/>
          </w:tcPr>
          <w:p w14:paraId="2725E707" w14:textId="77777777" w:rsidR="002C0FD9" w:rsidRPr="00CA25CF" w:rsidRDefault="002C0FD9" w:rsidP="00CA25CF">
            <w:pPr>
              <w:rPr>
                <w:rFonts w:cs="Arial"/>
                <w:color w:val="FF0000"/>
                <w:sz w:val="21"/>
                <w:szCs w:val="21"/>
              </w:rPr>
            </w:pPr>
          </w:p>
        </w:tc>
        <w:tc>
          <w:tcPr>
            <w:tcW w:w="217" w:type="dxa"/>
          </w:tcPr>
          <w:p w14:paraId="741CBD73" w14:textId="77777777" w:rsidR="002C0FD9" w:rsidRPr="00CA25CF" w:rsidRDefault="002C0FD9" w:rsidP="00CA25CF">
            <w:pPr>
              <w:rPr>
                <w:rFonts w:cs="Arial"/>
                <w:color w:val="FF0000"/>
                <w:sz w:val="21"/>
                <w:szCs w:val="21"/>
              </w:rPr>
            </w:pPr>
          </w:p>
        </w:tc>
        <w:tc>
          <w:tcPr>
            <w:tcW w:w="217" w:type="dxa"/>
          </w:tcPr>
          <w:p w14:paraId="0D9CD0AD" w14:textId="77777777" w:rsidR="002C0FD9" w:rsidRPr="00CA25CF" w:rsidRDefault="002C0FD9" w:rsidP="00CA25CF">
            <w:pPr>
              <w:rPr>
                <w:rFonts w:cs="Arial"/>
                <w:color w:val="FF0000"/>
                <w:sz w:val="21"/>
                <w:szCs w:val="21"/>
              </w:rPr>
            </w:pPr>
          </w:p>
        </w:tc>
        <w:tc>
          <w:tcPr>
            <w:tcW w:w="217" w:type="dxa"/>
          </w:tcPr>
          <w:p w14:paraId="53FE45E7" w14:textId="77777777" w:rsidR="002C0FD9" w:rsidRPr="00CA25CF" w:rsidRDefault="002C0FD9" w:rsidP="00CA25CF">
            <w:pPr>
              <w:rPr>
                <w:rFonts w:cs="Arial"/>
                <w:color w:val="FF0000"/>
                <w:sz w:val="21"/>
                <w:szCs w:val="21"/>
              </w:rPr>
            </w:pPr>
          </w:p>
        </w:tc>
        <w:tc>
          <w:tcPr>
            <w:tcW w:w="217" w:type="dxa"/>
          </w:tcPr>
          <w:p w14:paraId="5CCC8C94" w14:textId="77777777" w:rsidR="002C0FD9" w:rsidRPr="00CA25CF" w:rsidRDefault="002C0FD9" w:rsidP="00CA25CF">
            <w:pPr>
              <w:rPr>
                <w:rFonts w:cs="Arial"/>
                <w:color w:val="FF0000"/>
                <w:sz w:val="21"/>
                <w:szCs w:val="21"/>
              </w:rPr>
            </w:pPr>
          </w:p>
        </w:tc>
        <w:tc>
          <w:tcPr>
            <w:tcW w:w="217" w:type="dxa"/>
          </w:tcPr>
          <w:p w14:paraId="2E39E58E" w14:textId="77777777" w:rsidR="002C0FD9" w:rsidRPr="00CA25CF" w:rsidRDefault="002C0FD9" w:rsidP="00CA25CF">
            <w:pPr>
              <w:rPr>
                <w:rFonts w:cs="Arial"/>
                <w:color w:val="FF0000"/>
                <w:sz w:val="21"/>
                <w:szCs w:val="21"/>
              </w:rPr>
            </w:pPr>
          </w:p>
        </w:tc>
        <w:tc>
          <w:tcPr>
            <w:tcW w:w="217" w:type="dxa"/>
          </w:tcPr>
          <w:p w14:paraId="7E283F9D" w14:textId="77777777" w:rsidR="002C0FD9" w:rsidRPr="00CA25CF" w:rsidRDefault="002C0FD9" w:rsidP="00CA25CF">
            <w:pPr>
              <w:rPr>
                <w:rFonts w:cs="Arial"/>
                <w:color w:val="FF0000"/>
                <w:sz w:val="21"/>
                <w:szCs w:val="21"/>
              </w:rPr>
            </w:pPr>
          </w:p>
        </w:tc>
        <w:tc>
          <w:tcPr>
            <w:tcW w:w="217" w:type="dxa"/>
          </w:tcPr>
          <w:p w14:paraId="691D71BA" w14:textId="77777777" w:rsidR="002C0FD9" w:rsidRPr="00CA25CF" w:rsidRDefault="002C0FD9" w:rsidP="00CA25CF">
            <w:pPr>
              <w:rPr>
                <w:rFonts w:cs="Arial"/>
                <w:color w:val="FF0000"/>
                <w:sz w:val="21"/>
                <w:szCs w:val="21"/>
              </w:rPr>
            </w:pPr>
          </w:p>
        </w:tc>
        <w:tc>
          <w:tcPr>
            <w:tcW w:w="217" w:type="dxa"/>
          </w:tcPr>
          <w:p w14:paraId="29A0EAFA" w14:textId="77777777" w:rsidR="002C0FD9" w:rsidRPr="00CA25CF" w:rsidRDefault="002C0FD9" w:rsidP="00CA25CF">
            <w:pPr>
              <w:rPr>
                <w:rFonts w:cs="Arial"/>
                <w:color w:val="FF0000"/>
                <w:sz w:val="21"/>
                <w:szCs w:val="21"/>
              </w:rPr>
            </w:pPr>
          </w:p>
        </w:tc>
        <w:tc>
          <w:tcPr>
            <w:tcW w:w="217" w:type="dxa"/>
          </w:tcPr>
          <w:p w14:paraId="1D633CB5" w14:textId="77777777" w:rsidR="002C0FD9" w:rsidRPr="00CA25CF" w:rsidRDefault="002C0FD9" w:rsidP="00CA25CF">
            <w:pPr>
              <w:rPr>
                <w:rFonts w:cs="Arial"/>
                <w:color w:val="FF0000"/>
                <w:sz w:val="21"/>
                <w:szCs w:val="21"/>
              </w:rPr>
            </w:pPr>
          </w:p>
        </w:tc>
        <w:tc>
          <w:tcPr>
            <w:tcW w:w="217" w:type="dxa"/>
          </w:tcPr>
          <w:p w14:paraId="031CB4F7" w14:textId="77777777" w:rsidR="002C0FD9" w:rsidRPr="00CA25CF" w:rsidRDefault="002C0FD9" w:rsidP="00CA25CF">
            <w:pPr>
              <w:rPr>
                <w:rFonts w:cs="Arial"/>
                <w:color w:val="FF0000"/>
                <w:sz w:val="21"/>
                <w:szCs w:val="21"/>
              </w:rPr>
            </w:pPr>
          </w:p>
        </w:tc>
        <w:tc>
          <w:tcPr>
            <w:tcW w:w="217" w:type="dxa"/>
          </w:tcPr>
          <w:p w14:paraId="7F570699" w14:textId="77777777" w:rsidR="002C0FD9" w:rsidRPr="00CA25CF" w:rsidRDefault="002C0FD9" w:rsidP="00CA25CF">
            <w:pPr>
              <w:rPr>
                <w:rFonts w:cs="Arial"/>
                <w:color w:val="FF0000"/>
                <w:sz w:val="21"/>
                <w:szCs w:val="21"/>
              </w:rPr>
            </w:pPr>
          </w:p>
        </w:tc>
        <w:tc>
          <w:tcPr>
            <w:tcW w:w="217" w:type="dxa"/>
          </w:tcPr>
          <w:p w14:paraId="48A5157E" w14:textId="77777777" w:rsidR="002C0FD9" w:rsidRPr="00CA25CF" w:rsidRDefault="002C0FD9" w:rsidP="00CA25CF">
            <w:pPr>
              <w:rPr>
                <w:rFonts w:cs="Arial"/>
                <w:color w:val="FF0000"/>
                <w:sz w:val="21"/>
                <w:szCs w:val="21"/>
              </w:rPr>
            </w:pPr>
          </w:p>
        </w:tc>
        <w:tc>
          <w:tcPr>
            <w:tcW w:w="217" w:type="dxa"/>
          </w:tcPr>
          <w:p w14:paraId="00366190" w14:textId="77777777" w:rsidR="002C0FD9" w:rsidRPr="00CA25CF" w:rsidRDefault="002C0FD9" w:rsidP="00CA25CF">
            <w:pPr>
              <w:rPr>
                <w:rFonts w:cs="Arial"/>
                <w:color w:val="FF0000"/>
                <w:sz w:val="21"/>
                <w:szCs w:val="21"/>
              </w:rPr>
            </w:pPr>
          </w:p>
        </w:tc>
        <w:tc>
          <w:tcPr>
            <w:tcW w:w="217" w:type="dxa"/>
          </w:tcPr>
          <w:p w14:paraId="41497C2C" w14:textId="77777777" w:rsidR="002C0FD9" w:rsidRPr="00CA25CF" w:rsidRDefault="002C0FD9" w:rsidP="00CA25CF">
            <w:pPr>
              <w:rPr>
                <w:rFonts w:cs="Arial"/>
                <w:color w:val="FF0000"/>
                <w:sz w:val="21"/>
                <w:szCs w:val="21"/>
              </w:rPr>
            </w:pPr>
          </w:p>
        </w:tc>
        <w:tc>
          <w:tcPr>
            <w:tcW w:w="217" w:type="dxa"/>
          </w:tcPr>
          <w:p w14:paraId="3B2D79EE" w14:textId="77777777" w:rsidR="002C0FD9" w:rsidRPr="00CA25CF" w:rsidRDefault="002C0FD9" w:rsidP="00CA25CF">
            <w:pPr>
              <w:rPr>
                <w:rFonts w:cs="Arial"/>
                <w:color w:val="FF0000"/>
                <w:sz w:val="21"/>
                <w:szCs w:val="21"/>
              </w:rPr>
            </w:pPr>
          </w:p>
        </w:tc>
        <w:tc>
          <w:tcPr>
            <w:tcW w:w="217" w:type="dxa"/>
          </w:tcPr>
          <w:p w14:paraId="5AAB6E6F" w14:textId="77777777" w:rsidR="002C0FD9" w:rsidRPr="00CA25CF" w:rsidRDefault="002C0FD9" w:rsidP="00CA25CF">
            <w:pPr>
              <w:rPr>
                <w:rFonts w:cs="Arial"/>
                <w:color w:val="FF0000"/>
                <w:sz w:val="21"/>
                <w:szCs w:val="21"/>
              </w:rPr>
            </w:pPr>
          </w:p>
        </w:tc>
        <w:tc>
          <w:tcPr>
            <w:tcW w:w="217" w:type="dxa"/>
          </w:tcPr>
          <w:p w14:paraId="7DB88365" w14:textId="77777777" w:rsidR="002C0FD9" w:rsidRPr="00CA25CF" w:rsidRDefault="002C0FD9" w:rsidP="00CA25CF">
            <w:pPr>
              <w:rPr>
                <w:rFonts w:cs="Arial"/>
                <w:color w:val="FF0000"/>
                <w:sz w:val="21"/>
                <w:szCs w:val="21"/>
              </w:rPr>
            </w:pPr>
          </w:p>
        </w:tc>
        <w:tc>
          <w:tcPr>
            <w:tcW w:w="217" w:type="dxa"/>
          </w:tcPr>
          <w:p w14:paraId="2A95A930" w14:textId="77777777" w:rsidR="002C0FD9" w:rsidRPr="00CA25CF" w:rsidRDefault="002C0FD9" w:rsidP="00CA25CF">
            <w:pPr>
              <w:rPr>
                <w:rFonts w:cs="Arial"/>
                <w:color w:val="FF0000"/>
                <w:sz w:val="21"/>
                <w:szCs w:val="21"/>
              </w:rPr>
            </w:pPr>
          </w:p>
        </w:tc>
      </w:tr>
      <w:tr w:rsidR="002C0FD9" w:rsidRPr="00A16219" w14:paraId="1F2E74F5" w14:textId="77777777" w:rsidTr="002C0FD9">
        <w:trPr>
          <w:trHeight w:val="635"/>
        </w:trPr>
        <w:tc>
          <w:tcPr>
            <w:tcW w:w="515" w:type="dxa"/>
          </w:tcPr>
          <w:p w14:paraId="6B26550E" w14:textId="77777777" w:rsidR="002C0FD9" w:rsidRPr="00CA25CF" w:rsidRDefault="002C0FD9" w:rsidP="00CA25CF">
            <w:pPr>
              <w:rPr>
                <w:rFonts w:cs="Arial"/>
                <w:color w:val="FF0000"/>
                <w:sz w:val="21"/>
                <w:szCs w:val="21"/>
              </w:rPr>
            </w:pPr>
          </w:p>
        </w:tc>
        <w:tc>
          <w:tcPr>
            <w:tcW w:w="217" w:type="dxa"/>
          </w:tcPr>
          <w:p w14:paraId="3899E7DB" w14:textId="77777777" w:rsidR="002C0FD9" w:rsidRPr="00CA25CF" w:rsidRDefault="002C0FD9" w:rsidP="00CA25CF">
            <w:pPr>
              <w:rPr>
                <w:rFonts w:cs="Arial"/>
                <w:color w:val="FF0000"/>
                <w:sz w:val="21"/>
                <w:szCs w:val="21"/>
              </w:rPr>
            </w:pPr>
          </w:p>
        </w:tc>
        <w:tc>
          <w:tcPr>
            <w:tcW w:w="217" w:type="dxa"/>
          </w:tcPr>
          <w:p w14:paraId="03609A73" w14:textId="77777777" w:rsidR="002C0FD9" w:rsidRPr="00CA25CF" w:rsidRDefault="002C0FD9" w:rsidP="00CA25CF">
            <w:pPr>
              <w:rPr>
                <w:rFonts w:cs="Arial"/>
                <w:color w:val="FF0000"/>
                <w:sz w:val="21"/>
                <w:szCs w:val="21"/>
              </w:rPr>
            </w:pPr>
          </w:p>
        </w:tc>
        <w:tc>
          <w:tcPr>
            <w:tcW w:w="217" w:type="dxa"/>
          </w:tcPr>
          <w:p w14:paraId="2C11D1BF" w14:textId="77777777" w:rsidR="002C0FD9" w:rsidRPr="00CA25CF" w:rsidRDefault="002C0FD9" w:rsidP="00CA25CF">
            <w:pPr>
              <w:rPr>
                <w:rFonts w:cs="Arial"/>
                <w:color w:val="FF0000"/>
                <w:sz w:val="21"/>
                <w:szCs w:val="21"/>
              </w:rPr>
            </w:pPr>
          </w:p>
        </w:tc>
        <w:tc>
          <w:tcPr>
            <w:tcW w:w="217" w:type="dxa"/>
          </w:tcPr>
          <w:p w14:paraId="42A8470E" w14:textId="77777777" w:rsidR="002C0FD9" w:rsidRPr="00CA25CF" w:rsidRDefault="002C0FD9" w:rsidP="00CA25CF">
            <w:pPr>
              <w:rPr>
                <w:rFonts w:cs="Arial"/>
                <w:color w:val="FF0000"/>
                <w:sz w:val="21"/>
                <w:szCs w:val="21"/>
              </w:rPr>
            </w:pPr>
          </w:p>
        </w:tc>
        <w:tc>
          <w:tcPr>
            <w:tcW w:w="217" w:type="dxa"/>
          </w:tcPr>
          <w:p w14:paraId="4CBAC68B" w14:textId="77777777" w:rsidR="002C0FD9" w:rsidRPr="00CA25CF" w:rsidRDefault="002C0FD9" w:rsidP="00CA25CF">
            <w:pPr>
              <w:rPr>
                <w:rFonts w:cs="Arial"/>
                <w:color w:val="FF0000"/>
                <w:sz w:val="21"/>
                <w:szCs w:val="21"/>
              </w:rPr>
            </w:pPr>
          </w:p>
        </w:tc>
        <w:tc>
          <w:tcPr>
            <w:tcW w:w="217" w:type="dxa"/>
          </w:tcPr>
          <w:p w14:paraId="345F8FE6" w14:textId="77777777" w:rsidR="002C0FD9" w:rsidRPr="00CA25CF" w:rsidRDefault="002C0FD9" w:rsidP="00CA25CF">
            <w:pPr>
              <w:rPr>
                <w:rFonts w:cs="Arial"/>
                <w:color w:val="FF0000"/>
                <w:sz w:val="21"/>
                <w:szCs w:val="21"/>
              </w:rPr>
            </w:pPr>
          </w:p>
        </w:tc>
        <w:tc>
          <w:tcPr>
            <w:tcW w:w="217" w:type="dxa"/>
          </w:tcPr>
          <w:p w14:paraId="51203662" w14:textId="77777777" w:rsidR="002C0FD9" w:rsidRPr="00CA25CF" w:rsidRDefault="002C0FD9" w:rsidP="00CA25CF">
            <w:pPr>
              <w:rPr>
                <w:rFonts w:cs="Arial"/>
                <w:color w:val="FF0000"/>
                <w:sz w:val="21"/>
                <w:szCs w:val="21"/>
              </w:rPr>
            </w:pPr>
          </w:p>
        </w:tc>
        <w:tc>
          <w:tcPr>
            <w:tcW w:w="217" w:type="dxa"/>
          </w:tcPr>
          <w:p w14:paraId="5BD3208C" w14:textId="77777777" w:rsidR="002C0FD9" w:rsidRPr="00CA25CF" w:rsidRDefault="002C0FD9" w:rsidP="00CA25CF">
            <w:pPr>
              <w:rPr>
                <w:rFonts w:cs="Arial"/>
                <w:color w:val="FF0000"/>
                <w:sz w:val="21"/>
                <w:szCs w:val="21"/>
              </w:rPr>
            </w:pPr>
          </w:p>
        </w:tc>
        <w:tc>
          <w:tcPr>
            <w:tcW w:w="217" w:type="dxa"/>
          </w:tcPr>
          <w:p w14:paraId="4D94779F" w14:textId="77777777" w:rsidR="002C0FD9" w:rsidRPr="00CA25CF" w:rsidRDefault="002C0FD9" w:rsidP="00CA25CF">
            <w:pPr>
              <w:rPr>
                <w:rFonts w:cs="Arial"/>
                <w:color w:val="FF0000"/>
                <w:sz w:val="21"/>
                <w:szCs w:val="21"/>
              </w:rPr>
            </w:pPr>
          </w:p>
        </w:tc>
        <w:tc>
          <w:tcPr>
            <w:tcW w:w="217" w:type="dxa"/>
          </w:tcPr>
          <w:p w14:paraId="53BDE3A8" w14:textId="77777777" w:rsidR="002C0FD9" w:rsidRPr="00CA25CF" w:rsidRDefault="002C0FD9" w:rsidP="00CA25CF">
            <w:pPr>
              <w:rPr>
                <w:rFonts w:cs="Arial"/>
                <w:color w:val="FF0000"/>
                <w:sz w:val="21"/>
                <w:szCs w:val="21"/>
              </w:rPr>
            </w:pPr>
          </w:p>
        </w:tc>
        <w:tc>
          <w:tcPr>
            <w:tcW w:w="217" w:type="dxa"/>
          </w:tcPr>
          <w:p w14:paraId="36D37627" w14:textId="77777777" w:rsidR="002C0FD9" w:rsidRPr="00CA25CF" w:rsidRDefault="002C0FD9" w:rsidP="00CA25CF">
            <w:pPr>
              <w:rPr>
                <w:rFonts w:cs="Arial"/>
                <w:color w:val="FF0000"/>
                <w:sz w:val="21"/>
                <w:szCs w:val="21"/>
              </w:rPr>
            </w:pPr>
          </w:p>
        </w:tc>
        <w:tc>
          <w:tcPr>
            <w:tcW w:w="217" w:type="dxa"/>
          </w:tcPr>
          <w:p w14:paraId="69689300" w14:textId="77777777" w:rsidR="002C0FD9" w:rsidRPr="00CA25CF" w:rsidRDefault="002C0FD9" w:rsidP="00CA25CF">
            <w:pPr>
              <w:rPr>
                <w:rFonts w:cs="Arial"/>
                <w:color w:val="FF0000"/>
                <w:sz w:val="21"/>
                <w:szCs w:val="21"/>
              </w:rPr>
            </w:pPr>
          </w:p>
        </w:tc>
        <w:tc>
          <w:tcPr>
            <w:tcW w:w="217" w:type="dxa"/>
          </w:tcPr>
          <w:p w14:paraId="6BDC6939" w14:textId="77777777" w:rsidR="002C0FD9" w:rsidRPr="00CA25CF" w:rsidRDefault="002C0FD9" w:rsidP="00CA25CF">
            <w:pPr>
              <w:rPr>
                <w:rFonts w:cs="Arial"/>
                <w:color w:val="FF0000"/>
                <w:sz w:val="21"/>
                <w:szCs w:val="21"/>
              </w:rPr>
            </w:pPr>
          </w:p>
        </w:tc>
        <w:tc>
          <w:tcPr>
            <w:tcW w:w="217" w:type="dxa"/>
          </w:tcPr>
          <w:p w14:paraId="01BDA413" w14:textId="77777777" w:rsidR="002C0FD9" w:rsidRPr="00CA25CF" w:rsidRDefault="002C0FD9" w:rsidP="00CA25CF">
            <w:pPr>
              <w:rPr>
                <w:rFonts w:cs="Arial"/>
                <w:color w:val="FF0000"/>
                <w:sz w:val="21"/>
                <w:szCs w:val="21"/>
              </w:rPr>
            </w:pPr>
          </w:p>
        </w:tc>
        <w:tc>
          <w:tcPr>
            <w:tcW w:w="217" w:type="dxa"/>
          </w:tcPr>
          <w:p w14:paraId="634C23D3" w14:textId="77777777" w:rsidR="002C0FD9" w:rsidRPr="00CA25CF" w:rsidRDefault="002C0FD9" w:rsidP="00CA25CF">
            <w:pPr>
              <w:rPr>
                <w:rFonts w:cs="Arial"/>
                <w:color w:val="FF0000"/>
                <w:sz w:val="21"/>
                <w:szCs w:val="21"/>
              </w:rPr>
            </w:pPr>
          </w:p>
        </w:tc>
        <w:tc>
          <w:tcPr>
            <w:tcW w:w="217" w:type="dxa"/>
          </w:tcPr>
          <w:p w14:paraId="7B0734F6" w14:textId="77777777" w:rsidR="002C0FD9" w:rsidRPr="00CA25CF" w:rsidRDefault="002C0FD9" w:rsidP="00CA25CF">
            <w:pPr>
              <w:rPr>
                <w:rFonts w:cs="Arial"/>
                <w:color w:val="FF0000"/>
                <w:sz w:val="21"/>
                <w:szCs w:val="21"/>
              </w:rPr>
            </w:pPr>
          </w:p>
        </w:tc>
        <w:tc>
          <w:tcPr>
            <w:tcW w:w="217" w:type="dxa"/>
          </w:tcPr>
          <w:p w14:paraId="5E87B402" w14:textId="77777777" w:rsidR="002C0FD9" w:rsidRPr="00CA25CF" w:rsidRDefault="002C0FD9" w:rsidP="00CA25CF">
            <w:pPr>
              <w:rPr>
                <w:rFonts w:cs="Arial"/>
                <w:color w:val="FF0000"/>
                <w:sz w:val="21"/>
                <w:szCs w:val="21"/>
              </w:rPr>
            </w:pPr>
          </w:p>
        </w:tc>
        <w:tc>
          <w:tcPr>
            <w:tcW w:w="217" w:type="dxa"/>
          </w:tcPr>
          <w:p w14:paraId="1711871F" w14:textId="77777777" w:rsidR="002C0FD9" w:rsidRPr="00CA25CF" w:rsidRDefault="002C0FD9" w:rsidP="00CA25CF">
            <w:pPr>
              <w:rPr>
                <w:rFonts w:cs="Arial"/>
                <w:color w:val="FF0000"/>
                <w:sz w:val="21"/>
                <w:szCs w:val="21"/>
              </w:rPr>
            </w:pPr>
          </w:p>
        </w:tc>
        <w:tc>
          <w:tcPr>
            <w:tcW w:w="217" w:type="dxa"/>
          </w:tcPr>
          <w:p w14:paraId="1679744D" w14:textId="77777777" w:rsidR="002C0FD9" w:rsidRPr="00CA25CF" w:rsidRDefault="002C0FD9" w:rsidP="00CA25CF">
            <w:pPr>
              <w:rPr>
                <w:rFonts w:cs="Arial"/>
                <w:color w:val="FF0000"/>
                <w:sz w:val="21"/>
                <w:szCs w:val="21"/>
              </w:rPr>
            </w:pPr>
          </w:p>
        </w:tc>
        <w:tc>
          <w:tcPr>
            <w:tcW w:w="217" w:type="dxa"/>
          </w:tcPr>
          <w:p w14:paraId="4C6F5EC0" w14:textId="77777777" w:rsidR="002C0FD9" w:rsidRPr="00CA25CF" w:rsidRDefault="002C0FD9" w:rsidP="00CA25CF">
            <w:pPr>
              <w:rPr>
                <w:rFonts w:cs="Arial"/>
                <w:color w:val="FF0000"/>
                <w:sz w:val="21"/>
                <w:szCs w:val="21"/>
              </w:rPr>
            </w:pPr>
          </w:p>
        </w:tc>
        <w:tc>
          <w:tcPr>
            <w:tcW w:w="217" w:type="dxa"/>
          </w:tcPr>
          <w:p w14:paraId="6792CF1A" w14:textId="77777777" w:rsidR="002C0FD9" w:rsidRPr="00CA25CF" w:rsidRDefault="002C0FD9" w:rsidP="00CA25CF">
            <w:pPr>
              <w:rPr>
                <w:rFonts w:cs="Arial"/>
                <w:color w:val="FF0000"/>
                <w:sz w:val="21"/>
                <w:szCs w:val="21"/>
              </w:rPr>
            </w:pPr>
          </w:p>
        </w:tc>
        <w:tc>
          <w:tcPr>
            <w:tcW w:w="217" w:type="dxa"/>
          </w:tcPr>
          <w:p w14:paraId="0620131B" w14:textId="77777777" w:rsidR="002C0FD9" w:rsidRPr="00CA25CF" w:rsidRDefault="002C0FD9" w:rsidP="00CA25CF">
            <w:pPr>
              <w:rPr>
                <w:rFonts w:cs="Arial"/>
                <w:color w:val="FF0000"/>
                <w:sz w:val="21"/>
                <w:szCs w:val="21"/>
              </w:rPr>
            </w:pPr>
          </w:p>
        </w:tc>
        <w:tc>
          <w:tcPr>
            <w:tcW w:w="217" w:type="dxa"/>
          </w:tcPr>
          <w:p w14:paraId="1789B38D" w14:textId="77777777" w:rsidR="002C0FD9" w:rsidRPr="00CA25CF" w:rsidRDefault="002C0FD9" w:rsidP="00CA25CF">
            <w:pPr>
              <w:rPr>
                <w:rFonts w:cs="Arial"/>
                <w:color w:val="FF0000"/>
                <w:sz w:val="21"/>
                <w:szCs w:val="21"/>
              </w:rPr>
            </w:pPr>
          </w:p>
        </w:tc>
        <w:tc>
          <w:tcPr>
            <w:tcW w:w="217" w:type="dxa"/>
          </w:tcPr>
          <w:p w14:paraId="18B9D94E" w14:textId="77777777" w:rsidR="002C0FD9" w:rsidRPr="00CA25CF" w:rsidRDefault="002C0FD9" w:rsidP="00CA25CF">
            <w:pPr>
              <w:rPr>
                <w:rFonts w:cs="Arial"/>
                <w:color w:val="FF0000"/>
                <w:sz w:val="21"/>
                <w:szCs w:val="21"/>
              </w:rPr>
            </w:pPr>
          </w:p>
        </w:tc>
        <w:tc>
          <w:tcPr>
            <w:tcW w:w="217" w:type="dxa"/>
          </w:tcPr>
          <w:p w14:paraId="2CD237D7" w14:textId="77777777" w:rsidR="002C0FD9" w:rsidRPr="00CA25CF" w:rsidRDefault="002C0FD9" w:rsidP="00CA25CF">
            <w:pPr>
              <w:rPr>
                <w:rFonts w:cs="Arial"/>
                <w:color w:val="FF0000"/>
                <w:sz w:val="21"/>
                <w:szCs w:val="21"/>
              </w:rPr>
            </w:pPr>
          </w:p>
        </w:tc>
        <w:tc>
          <w:tcPr>
            <w:tcW w:w="217" w:type="dxa"/>
          </w:tcPr>
          <w:p w14:paraId="17B4F6EB" w14:textId="77777777" w:rsidR="002C0FD9" w:rsidRPr="00CA25CF" w:rsidRDefault="002C0FD9" w:rsidP="00CA25CF">
            <w:pPr>
              <w:rPr>
                <w:rFonts w:cs="Arial"/>
                <w:color w:val="FF0000"/>
                <w:sz w:val="21"/>
                <w:szCs w:val="21"/>
              </w:rPr>
            </w:pPr>
          </w:p>
        </w:tc>
        <w:tc>
          <w:tcPr>
            <w:tcW w:w="217" w:type="dxa"/>
          </w:tcPr>
          <w:p w14:paraId="1471579C" w14:textId="77777777" w:rsidR="002C0FD9" w:rsidRPr="00CA25CF" w:rsidRDefault="002C0FD9" w:rsidP="00CA25CF">
            <w:pPr>
              <w:rPr>
                <w:rFonts w:cs="Arial"/>
                <w:color w:val="FF0000"/>
                <w:sz w:val="21"/>
                <w:szCs w:val="21"/>
              </w:rPr>
            </w:pPr>
          </w:p>
        </w:tc>
        <w:tc>
          <w:tcPr>
            <w:tcW w:w="217" w:type="dxa"/>
          </w:tcPr>
          <w:p w14:paraId="5B3AC506" w14:textId="77777777" w:rsidR="002C0FD9" w:rsidRPr="00CA25CF" w:rsidRDefault="002C0FD9" w:rsidP="00CA25CF">
            <w:pPr>
              <w:rPr>
                <w:rFonts w:cs="Arial"/>
                <w:color w:val="FF0000"/>
                <w:sz w:val="21"/>
                <w:szCs w:val="21"/>
              </w:rPr>
            </w:pPr>
          </w:p>
        </w:tc>
        <w:tc>
          <w:tcPr>
            <w:tcW w:w="217" w:type="dxa"/>
          </w:tcPr>
          <w:p w14:paraId="78A570B6" w14:textId="77777777" w:rsidR="002C0FD9" w:rsidRPr="00CA25CF" w:rsidRDefault="002C0FD9" w:rsidP="00CA25CF">
            <w:pPr>
              <w:rPr>
                <w:rFonts w:cs="Arial"/>
                <w:color w:val="FF0000"/>
                <w:sz w:val="21"/>
                <w:szCs w:val="21"/>
              </w:rPr>
            </w:pPr>
          </w:p>
        </w:tc>
        <w:tc>
          <w:tcPr>
            <w:tcW w:w="217" w:type="dxa"/>
          </w:tcPr>
          <w:p w14:paraId="7DE1E7C8" w14:textId="77777777" w:rsidR="002C0FD9" w:rsidRPr="00CA25CF" w:rsidRDefault="002C0FD9" w:rsidP="00CA25CF">
            <w:pPr>
              <w:rPr>
                <w:rFonts w:cs="Arial"/>
                <w:color w:val="FF0000"/>
                <w:sz w:val="21"/>
                <w:szCs w:val="21"/>
              </w:rPr>
            </w:pPr>
          </w:p>
        </w:tc>
        <w:tc>
          <w:tcPr>
            <w:tcW w:w="217" w:type="dxa"/>
          </w:tcPr>
          <w:p w14:paraId="5E85D2A0" w14:textId="77777777" w:rsidR="002C0FD9" w:rsidRPr="00CA25CF" w:rsidRDefault="002C0FD9" w:rsidP="00CA25CF">
            <w:pPr>
              <w:rPr>
                <w:rFonts w:cs="Arial"/>
                <w:color w:val="FF0000"/>
                <w:sz w:val="21"/>
                <w:szCs w:val="21"/>
              </w:rPr>
            </w:pPr>
          </w:p>
        </w:tc>
        <w:tc>
          <w:tcPr>
            <w:tcW w:w="217" w:type="dxa"/>
          </w:tcPr>
          <w:p w14:paraId="4EEE1E6A" w14:textId="77777777" w:rsidR="002C0FD9" w:rsidRPr="00CA25CF" w:rsidRDefault="002C0FD9" w:rsidP="00CA25CF">
            <w:pPr>
              <w:rPr>
                <w:rFonts w:cs="Arial"/>
                <w:color w:val="FF0000"/>
                <w:sz w:val="21"/>
                <w:szCs w:val="21"/>
              </w:rPr>
            </w:pPr>
          </w:p>
        </w:tc>
        <w:tc>
          <w:tcPr>
            <w:tcW w:w="217" w:type="dxa"/>
          </w:tcPr>
          <w:p w14:paraId="20119DA1" w14:textId="77777777" w:rsidR="002C0FD9" w:rsidRPr="00CA25CF" w:rsidRDefault="002C0FD9" w:rsidP="00CA25CF">
            <w:pPr>
              <w:rPr>
                <w:rFonts w:cs="Arial"/>
                <w:color w:val="FF0000"/>
                <w:sz w:val="21"/>
                <w:szCs w:val="21"/>
              </w:rPr>
            </w:pPr>
          </w:p>
        </w:tc>
        <w:tc>
          <w:tcPr>
            <w:tcW w:w="217" w:type="dxa"/>
          </w:tcPr>
          <w:p w14:paraId="5ED8EA26" w14:textId="77777777" w:rsidR="002C0FD9" w:rsidRPr="00CA25CF" w:rsidRDefault="002C0FD9" w:rsidP="00CA25CF">
            <w:pPr>
              <w:rPr>
                <w:rFonts w:cs="Arial"/>
                <w:color w:val="FF0000"/>
                <w:sz w:val="21"/>
                <w:szCs w:val="21"/>
              </w:rPr>
            </w:pPr>
          </w:p>
        </w:tc>
        <w:tc>
          <w:tcPr>
            <w:tcW w:w="217" w:type="dxa"/>
          </w:tcPr>
          <w:p w14:paraId="429BAAA4" w14:textId="77777777" w:rsidR="002C0FD9" w:rsidRPr="00CA25CF" w:rsidRDefault="002C0FD9" w:rsidP="00CA25CF">
            <w:pPr>
              <w:rPr>
                <w:rFonts w:cs="Arial"/>
                <w:color w:val="FF0000"/>
                <w:sz w:val="21"/>
                <w:szCs w:val="21"/>
              </w:rPr>
            </w:pPr>
          </w:p>
        </w:tc>
        <w:tc>
          <w:tcPr>
            <w:tcW w:w="217" w:type="dxa"/>
          </w:tcPr>
          <w:p w14:paraId="68EE3290" w14:textId="77777777" w:rsidR="002C0FD9" w:rsidRPr="00CA25CF" w:rsidRDefault="002C0FD9" w:rsidP="00CA25CF">
            <w:pPr>
              <w:rPr>
                <w:rFonts w:cs="Arial"/>
                <w:color w:val="FF0000"/>
                <w:sz w:val="21"/>
                <w:szCs w:val="21"/>
              </w:rPr>
            </w:pPr>
          </w:p>
        </w:tc>
        <w:tc>
          <w:tcPr>
            <w:tcW w:w="217" w:type="dxa"/>
          </w:tcPr>
          <w:p w14:paraId="1516A81D" w14:textId="77777777" w:rsidR="002C0FD9" w:rsidRPr="00CA25CF" w:rsidRDefault="002C0FD9" w:rsidP="00CA25CF">
            <w:pPr>
              <w:rPr>
                <w:rFonts w:cs="Arial"/>
                <w:color w:val="FF0000"/>
                <w:sz w:val="21"/>
                <w:szCs w:val="21"/>
              </w:rPr>
            </w:pPr>
          </w:p>
        </w:tc>
        <w:tc>
          <w:tcPr>
            <w:tcW w:w="217" w:type="dxa"/>
          </w:tcPr>
          <w:p w14:paraId="213C264C" w14:textId="77777777" w:rsidR="002C0FD9" w:rsidRPr="00CA25CF" w:rsidRDefault="002C0FD9" w:rsidP="00CA25CF">
            <w:pPr>
              <w:rPr>
                <w:rFonts w:cs="Arial"/>
                <w:color w:val="FF0000"/>
                <w:sz w:val="21"/>
                <w:szCs w:val="21"/>
              </w:rPr>
            </w:pPr>
          </w:p>
        </w:tc>
        <w:tc>
          <w:tcPr>
            <w:tcW w:w="217" w:type="dxa"/>
          </w:tcPr>
          <w:p w14:paraId="1B95E935" w14:textId="77777777" w:rsidR="002C0FD9" w:rsidRPr="00CA25CF" w:rsidRDefault="002C0FD9" w:rsidP="00CA25CF">
            <w:pPr>
              <w:rPr>
                <w:rFonts w:cs="Arial"/>
                <w:color w:val="FF0000"/>
                <w:sz w:val="21"/>
                <w:szCs w:val="21"/>
              </w:rPr>
            </w:pPr>
          </w:p>
        </w:tc>
        <w:tc>
          <w:tcPr>
            <w:tcW w:w="217" w:type="dxa"/>
          </w:tcPr>
          <w:p w14:paraId="6120678D" w14:textId="77777777" w:rsidR="002C0FD9" w:rsidRPr="00CA25CF" w:rsidRDefault="002C0FD9" w:rsidP="00CA25CF">
            <w:pPr>
              <w:rPr>
                <w:rFonts w:cs="Arial"/>
                <w:color w:val="FF0000"/>
                <w:sz w:val="21"/>
                <w:szCs w:val="21"/>
              </w:rPr>
            </w:pPr>
          </w:p>
        </w:tc>
        <w:tc>
          <w:tcPr>
            <w:tcW w:w="217" w:type="dxa"/>
          </w:tcPr>
          <w:p w14:paraId="33316923" w14:textId="77777777" w:rsidR="002C0FD9" w:rsidRPr="00CA25CF" w:rsidRDefault="002C0FD9" w:rsidP="00CA25CF">
            <w:pPr>
              <w:rPr>
                <w:rFonts w:cs="Arial"/>
                <w:color w:val="FF0000"/>
                <w:sz w:val="21"/>
                <w:szCs w:val="21"/>
              </w:rPr>
            </w:pPr>
          </w:p>
        </w:tc>
        <w:tc>
          <w:tcPr>
            <w:tcW w:w="217" w:type="dxa"/>
          </w:tcPr>
          <w:p w14:paraId="099B2030" w14:textId="77777777" w:rsidR="002C0FD9" w:rsidRPr="00CA25CF" w:rsidRDefault="002C0FD9" w:rsidP="00CA25CF">
            <w:pPr>
              <w:rPr>
                <w:rFonts w:cs="Arial"/>
                <w:color w:val="FF0000"/>
                <w:sz w:val="21"/>
                <w:szCs w:val="21"/>
              </w:rPr>
            </w:pPr>
          </w:p>
        </w:tc>
      </w:tr>
      <w:tr w:rsidR="002C0FD9" w:rsidRPr="00A16219" w14:paraId="5EB36CF0" w14:textId="77777777" w:rsidTr="002C0FD9">
        <w:trPr>
          <w:trHeight w:val="635"/>
        </w:trPr>
        <w:tc>
          <w:tcPr>
            <w:tcW w:w="515" w:type="dxa"/>
          </w:tcPr>
          <w:p w14:paraId="5449923A" w14:textId="77777777" w:rsidR="002C0FD9" w:rsidRPr="00CA25CF" w:rsidRDefault="002C0FD9" w:rsidP="00CA25CF">
            <w:pPr>
              <w:rPr>
                <w:rFonts w:cs="Arial"/>
                <w:color w:val="FF0000"/>
                <w:sz w:val="21"/>
                <w:szCs w:val="21"/>
              </w:rPr>
            </w:pPr>
          </w:p>
        </w:tc>
        <w:tc>
          <w:tcPr>
            <w:tcW w:w="217" w:type="dxa"/>
          </w:tcPr>
          <w:p w14:paraId="257B8FE4" w14:textId="77777777" w:rsidR="002C0FD9" w:rsidRPr="00CA25CF" w:rsidRDefault="002C0FD9" w:rsidP="00CA25CF">
            <w:pPr>
              <w:rPr>
                <w:rFonts w:cs="Arial"/>
                <w:color w:val="FF0000"/>
                <w:sz w:val="21"/>
                <w:szCs w:val="21"/>
              </w:rPr>
            </w:pPr>
          </w:p>
        </w:tc>
        <w:tc>
          <w:tcPr>
            <w:tcW w:w="217" w:type="dxa"/>
          </w:tcPr>
          <w:p w14:paraId="104BE8FC" w14:textId="77777777" w:rsidR="002C0FD9" w:rsidRPr="00CA25CF" w:rsidRDefault="002C0FD9" w:rsidP="00CA25CF">
            <w:pPr>
              <w:rPr>
                <w:rFonts w:cs="Arial"/>
                <w:color w:val="FF0000"/>
                <w:sz w:val="21"/>
                <w:szCs w:val="21"/>
              </w:rPr>
            </w:pPr>
          </w:p>
        </w:tc>
        <w:tc>
          <w:tcPr>
            <w:tcW w:w="217" w:type="dxa"/>
          </w:tcPr>
          <w:p w14:paraId="4B35C624" w14:textId="77777777" w:rsidR="002C0FD9" w:rsidRPr="00CA25CF" w:rsidRDefault="002C0FD9" w:rsidP="00CA25CF">
            <w:pPr>
              <w:rPr>
                <w:rFonts w:cs="Arial"/>
                <w:color w:val="FF0000"/>
                <w:sz w:val="21"/>
                <w:szCs w:val="21"/>
              </w:rPr>
            </w:pPr>
          </w:p>
        </w:tc>
        <w:tc>
          <w:tcPr>
            <w:tcW w:w="217" w:type="dxa"/>
          </w:tcPr>
          <w:p w14:paraId="68FF2E90" w14:textId="77777777" w:rsidR="002C0FD9" w:rsidRPr="00CA25CF" w:rsidRDefault="002C0FD9" w:rsidP="00CA25CF">
            <w:pPr>
              <w:rPr>
                <w:rFonts w:cs="Arial"/>
                <w:color w:val="FF0000"/>
                <w:sz w:val="21"/>
                <w:szCs w:val="21"/>
              </w:rPr>
            </w:pPr>
          </w:p>
        </w:tc>
        <w:tc>
          <w:tcPr>
            <w:tcW w:w="217" w:type="dxa"/>
          </w:tcPr>
          <w:p w14:paraId="20AA4233" w14:textId="77777777" w:rsidR="002C0FD9" w:rsidRPr="00CA25CF" w:rsidRDefault="002C0FD9" w:rsidP="00CA25CF">
            <w:pPr>
              <w:rPr>
                <w:rFonts w:cs="Arial"/>
                <w:color w:val="FF0000"/>
                <w:sz w:val="21"/>
                <w:szCs w:val="21"/>
              </w:rPr>
            </w:pPr>
          </w:p>
        </w:tc>
        <w:tc>
          <w:tcPr>
            <w:tcW w:w="217" w:type="dxa"/>
          </w:tcPr>
          <w:p w14:paraId="3EBA69FB" w14:textId="77777777" w:rsidR="002C0FD9" w:rsidRPr="00CA25CF" w:rsidRDefault="002C0FD9" w:rsidP="00CA25CF">
            <w:pPr>
              <w:rPr>
                <w:rFonts w:cs="Arial"/>
                <w:color w:val="FF0000"/>
                <w:sz w:val="21"/>
                <w:szCs w:val="21"/>
              </w:rPr>
            </w:pPr>
          </w:p>
        </w:tc>
        <w:tc>
          <w:tcPr>
            <w:tcW w:w="217" w:type="dxa"/>
          </w:tcPr>
          <w:p w14:paraId="108098A7" w14:textId="77777777" w:rsidR="002C0FD9" w:rsidRPr="00CA25CF" w:rsidRDefault="002C0FD9" w:rsidP="00CA25CF">
            <w:pPr>
              <w:rPr>
                <w:rFonts w:cs="Arial"/>
                <w:color w:val="FF0000"/>
                <w:sz w:val="21"/>
                <w:szCs w:val="21"/>
              </w:rPr>
            </w:pPr>
          </w:p>
        </w:tc>
        <w:tc>
          <w:tcPr>
            <w:tcW w:w="217" w:type="dxa"/>
          </w:tcPr>
          <w:p w14:paraId="306D09AC" w14:textId="77777777" w:rsidR="002C0FD9" w:rsidRPr="00CA25CF" w:rsidRDefault="002C0FD9" w:rsidP="00CA25CF">
            <w:pPr>
              <w:rPr>
                <w:rFonts w:cs="Arial"/>
                <w:color w:val="FF0000"/>
                <w:sz w:val="21"/>
                <w:szCs w:val="21"/>
              </w:rPr>
            </w:pPr>
          </w:p>
        </w:tc>
        <w:tc>
          <w:tcPr>
            <w:tcW w:w="217" w:type="dxa"/>
          </w:tcPr>
          <w:p w14:paraId="6218DE81" w14:textId="77777777" w:rsidR="002C0FD9" w:rsidRPr="00CA25CF" w:rsidRDefault="002C0FD9" w:rsidP="00CA25CF">
            <w:pPr>
              <w:rPr>
                <w:rFonts w:cs="Arial"/>
                <w:color w:val="FF0000"/>
                <w:sz w:val="21"/>
                <w:szCs w:val="21"/>
              </w:rPr>
            </w:pPr>
          </w:p>
        </w:tc>
        <w:tc>
          <w:tcPr>
            <w:tcW w:w="217" w:type="dxa"/>
          </w:tcPr>
          <w:p w14:paraId="6F1CDE97" w14:textId="77777777" w:rsidR="002C0FD9" w:rsidRPr="00CA25CF" w:rsidRDefault="002C0FD9" w:rsidP="00CA25CF">
            <w:pPr>
              <w:rPr>
                <w:rFonts w:cs="Arial"/>
                <w:color w:val="FF0000"/>
                <w:sz w:val="21"/>
                <w:szCs w:val="21"/>
              </w:rPr>
            </w:pPr>
          </w:p>
        </w:tc>
        <w:tc>
          <w:tcPr>
            <w:tcW w:w="217" w:type="dxa"/>
          </w:tcPr>
          <w:p w14:paraId="41943DFE" w14:textId="77777777" w:rsidR="002C0FD9" w:rsidRPr="00CA25CF" w:rsidRDefault="002C0FD9" w:rsidP="00CA25CF">
            <w:pPr>
              <w:rPr>
                <w:rFonts w:cs="Arial"/>
                <w:color w:val="FF0000"/>
                <w:sz w:val="21"/>
                <w:szCs w:val="21"/>
              </w:rPr>
            </w:pPr>
          </w:p>
        </w:tc>
        <w:tc>
          <w:tcPr>
            <w:tcW w:w="217" w:type="dxa"/>
          </w:tcPr>
          <w:p w14:paraId="6F1B0BC4" w14:textId="77777777" w:rsidR="002C0FD9" w:rsidRPr="00CA25CF" w:rsidRDefault="002C0FD9" w:rsidP="00CA25CF">
            <w:pPr>
              <w:rPr>
                <w:rFonts w:cs="Arial"/>
                <w:color w:val="FF0000"/>
                <w:sz w:val="21"/>
                <w:szCs w:val="21"/>
              </w:rPr>
            </w:pPr>
          </w:p>
        </w:tc>
        <w:tc>
          <w:tcPr>
            <w:tcW w:w="217" w:type="dxa"/>
          </w:tcPr>
          <w:p w14:paraId="7B9F5DE1" w14:textId="77777777" w:rsidR="002C0FD9" w:rsidRPr="00CA25CF" w:rsidRDefault="002C0FD9" w:rsidP="00CA25CF">
            <w:pPr>
              <w:rPr>
                <w:rFonts w:cs="Arial"/>
                <w:color w:val="FF0000"/>
                <w:sz w:val="21"/>
                <w:szCs w:val="21"/>
              </w:rPr>
            </w:pPr>
          </w:p>
        </w:tc>
        <w:tc>
          <w:tcPr>
            <w:tcW w:w="217" w:type="dxa"/>
          </w:tcPr>
          <w:p w14:paraId="2BE16E5C" w14:textId="77777777" w:rsidR="002C0FD9" w:rsidRPr="00CA25CF" w:rsidRDefault="002C0FD9" w:rsidP="00CA25CF">
            <w:pPr>
              <w:rPr>
                <w:rFonts w:cs="Arial"/>
                <w:color w:val="FF0000"/>
                <w:sz w:val="21"/>
                <w:szCs w:val="21"/>
              </w:rPr>
            </w:pPr>
          </w:p>
        </w:tc>
        <w:tc>
          <w:tcPr>
            <w:tcW w:w="217" w:type="dxa"/>
          </w:tcPr>
          <w:p w14:paraId="02538F60" w14:textId="77777777" w:rsidR="002C0FD9" w:rsidRPr="00CA25CF" w:rsidRDefault="002C0FD9" w:rsidP="00CA25CF">
            <w:pPr>
              <w:rPr>
                <w:rFonts w:cs="Arial"/>
                <w:color w:val="FF0000"/>
                <w:sz w:val="21"/>
                <w:szCs w:val="21"/>
              </w:rPr>
            </w:pPr>
          </w:p>
        </w:tc>
        <w:tc>
          <w:tcPr>
            <w:tcW w:w="217" w:type="dxa"/>
          </w:tcPr>
          <w:p w14:paraId="5AB00215" w14:textId="77777777" w:rsidR="002C0FD9" w:rsidRPr="00CA25CF" w:rsidRDefault="002C0FD9" w:rsidP="00CA25CF">
            <w:pPr>
              <w:rPr>
                <w:rFonts w:cs="Arial"/>
                <w:color w:val="FF0000"/>
                <w:sz w:val="21"/>
                <w:szCs w:val="21"/>
              </w:rPr>
            </w:pPr>
          </w:p>
        </w:tc>
        <w:tc>
          <w:tcPr>
            <w:tcW w:w="217" w:type="dxa"/>
          </w:tcPr>
          <w:p w14:paraId="2D4CBFEA" w14:textId="77777777" w:rsidR="002C0FD9" w:rsidRPr="00CA25CF" w:rsidRDefault="002C0FD9" w:rsidP="00CA25CF">
            <w:pPr>
              <w:rPr>
                <w:rFonts w:cs="Arial"/>
                <w:color w:val="FF0000"/>
                <w:sz w:val="21"/>
                <w:szCs w:val="21"/>
              </w:rPr>
            </w:pPr>
          </w:p>
        </w:tc>
        <w:tc>
          <w:tcPr>
            <w:tcW w:w="217" w:type="dxa"/>
          </w:tcPr>
          <w:p w14:paraId="746B4E25" w14:textId="77777777" w:rsidR="002C0FD9" w:rsidRPr="00CA25CF" w:rsidRDefault="002C0FD9" w:rsidP="00CA25CF">
            <w:pPr>
              <w:rPr>
                <w:rFonts w:cs="Arial"/>
                <w:color w:val="FF0000"/>
                <w:sz w:val="21"/>
                <w:szCs w:val="21"/>
              </w:rPr>
            </w:pPr>
          </w:p>
        </w:tc>
        <w:tc>
          <w:tcPr>
            <w:tcW w:w="217" w:type="dxa"/>
          </w:tcPr>
          <w:p w14:paraId="53A1CEFC" w14:textId="77777777" w:rsidR="002C0FD9" w:rsidRPr="00CA25CF" w:rsidRDefault="002C0FD9" w:rsidP="00CA25CF">
            <w:pPr>
              <w:rPr>
                <w:rFonts w:cs="Arial"/>
                <w:color w:val="FF0000"/>
                <w:sz w:val="21"/>
                <w:szCs w:val="21"/>
              </w:rPr>
            </w:pPr>
          </w:p>
        </w:tc>
        <w:tc>
          <w:tcPr>
            <w:tcW w:w="217" w:type="dxa"/>
          </w:tcPr>
          <w:p w14:paraId="018E88D2" w14:textId="77777777" w:rsidR="002C0FD9" w:rsidRPr="00CA25CF" w:rsidRDefault="002C0FD9" w:rsidP="00CA25CF">
            <w:pPr>
              <w:rPr>
                <w:rFonts w:cs="Arial"/>
                <w:color w:val="FF0000"/>
                <w:sz w:val="21"/>
                <w:szCs w:val="21"/>
              </w:rPr>
            </w:pPr>
          </w:p>
        </w:tc>
        <w:tc>
          <w:tcPr>
            <w:tcW w:w="217" w:type="dxa"/>
          </w:tcPr>
          <w:p w14:paraId="542389A6" w14:textId="77777777" w:rsidR="002C0FD9" w:rsidRPr="00CA25CF" w:rsidRDefault="002C0FD9" w:rsidP="00CA25CF">
            <w:pPr>
              <w:rPr>
                <w:rFonts w:cs="Arial"/>
                <w:color w:val="FF0000"/>
                <w:sz w:val="21"/>
                <w:szCs w:val="21"/>
              </w:rPr>
            </w:pPr>
          </w:p>
        </w:tc>
        <w:tc>
          <w:tcPr>
            <w:tcW w:w="217" w:type="dxa"/>
          </w:tcPr>
          <w:p w14:paraId="72648955" w14:textId="77777777" w:rsidR="002C0FD9" w:rsidRPr="00CA25CF" w:rsidRDefault="002C0FD9" w:rsidP="00CA25CF">
            <w:pPr>
              <w:rPr>
                <w:rFonts w:cs="Arial"/>
                <w:color w:val="FF0000"/>
                <w:sz w:val="21"/>
                <w:szCs w:val="21"/>
              </w:rPr>
            </w:pPr>
          </w:p>
        </w:tc>
        <w:tc>
          <w:tcPr>
            <w:tcW w:w="217" w:type="dxa"/>
          </w:tcPr>
          <w:p w14:paraId="15F579FE" w14:textId="77777777" w:rsidR="002C0FD9" w:rsidRPr="00CA25CF" w:rsidRDefault="002C0FD9" w:rsidP="00CA25CF">
            <w:pPr>
              <w:rPr>
                <w:rFonts w:cs="Arial"/>
                <w:color w:val="FF0000"/>
                <w:sz w:val="21"/>
                <w:szCs w:val="21"/>
              </w:rPr>
            </w:pPr>
          </w:p>
        </w:tc>
        <w:tc>
          <w:tcPr>
            <w:tcW w:w="217" w:type="dxa"/>
          </w:tcPr>
          <w:p w14:paraId="0555BF59" w14:textId="77777777" w:rsidR="002C0FD9" w:rsidRPr="00CA25CF" w:rsidRDefault="002C0FD9" w:rsidP="00CA25CF">
            <w:pPr>
              <w:rPr>
                <w:rFonts w:cs="Arial"/>
                <w:color w:val="FF0000"/>
                <w:sz w:val="21"/>
                <w:szCs w:val="21"/>
              </w:rPr>
            </w:pPr>
          </w:p>
        </w:tc>
        <w:tc>
          <w:tcPr>
            <w:tcW w:w="217" w:type="dxa"/>
          </w:tcPr>
          <w:p w14:paraId="459A640B" w14:textId="77777777" w:rsidR="002C0FD9" w:rsidRPr="00CA25CF" w:rsidRDefault="002C0FD9" w:rsidP="00CA25CF">
            <w:pPr>
              <w:rPr>
                <w:rFonts w:cs="Arial"/>
                <w:color w:val="FF0000"/>
                <w:sz w:val="21"/>
                <w:szCs w:val="21"/>
              </w:rPr>
            </w:pPr>
          </w:p>
        </w:tc>
        <w:tc>
          <w:tcPr>
            <w:tcW w:w="217" w:type="dxa"/>
          </w:tcPr>
          <w:p w14:paraId="4EFCC200" w14:textId="77777777" w:rsidR="002C0FD9" w:rsidRPr="00CA25CF" w:rsidRDefault="002C0FD9" w:rsidP="00CA25CF">
            <w:pPr>
              <w:rPr>
                <w:rFonts w:cs="Arial"/>
                <w:color w:val="FF0000"/>
                <w:sz w:val="21"/>
                <w:szCs w:val="21"/>
              </w:rPr>
            </w:pPr>
          </w:p>
        </w:tc>
        <w:tc>
          <w:tcPr>
            <w:tcW w:w="217" w:type="dxa"/>
          </w:tcPr>
          <w:p w14:paraId="51AB6931" w14:textId="77777777" w:rsidR="002C0FD9" w:rsidRPr="00CA25CF" w:rsidRDefault="002C0FD9" w:rsidP="00CA25CF">
            <w:pPr>
              <w:rPr>
                <w:rFonts w:cs="Arial"/>
                <w:color w:val="FF0000"/>
                <w:sz w:val="21"/>
                <w:szCs w:val="21"/>
              </w:rPr>
            </w:pPr>
          </w:p>
        </w:tc>
        <w:tc>
          <w:tcPr>
            <w:tcW w:w="217" w:type="dxa"/>
          </w:tcPr>
          <w:p w14:paraId="37EF6BEC" w14:textId="77777777" w:rsidR="002C0FD9" w:rsidRPr="00CA25CF" w:rsidRDefault="002C0FD9" w:rsidP="00CA25CF">
            <w:pPr>
              <w:rPr>
                <w:rFonts w:cs="Arial"/>
                <w:color w:val="FF0000"/>
                <w:sz w:val="21"/>
                <w:szCs w:val="21"/>
              </w:rPr>
            </w:pPr>
          </w:p>
        </w:tc>
        <w:tc>
          <w:tcPr>
            <w:tcW w:w="217" w:type="dxa"/>
          </w:tcPr>
          <w:p w14:paraId="770BFE85" w14:textId="77777777" w:rsidR="002C0FD9" w:rsidRPr="00CA25CF" w:rsidRDefault="002C0FD9" w:rsidP="00CA25CF">
            <w:pPr>
              <w:rPr>
                <w:rFonts w:cs="Arial"/>
                <w:color w:val="FF0000"/>
                <w:sz w:val="21"/>
                <w:szCs w:val="21"/>
              </w:rPr>
            </w:pPr>
          </w:p>
        </w:tc>
        <w:tc>
          <w:tcPr>
            <w:tcW w:w="217" w:type="dxa"/>
          </w:tcPr>
          <w:p w14:paraId="22302097" w14:textId="77777777" w:rsidR="002C0FD9" w:rsidRPr="00CA25CF" w:rsidRDefault="002C0FD9" w:rsidP="00CA25CF">
            <w:pPr>
              <w:rPr>
                <w:rFonts w:cs="Arial"/>
                <w:color w:val="FF0000"/>
                <w:sz w:val="21"/>
                <w:szCs w:val="21"/>
              </w:rPr>
            </w:pPr>
          </w:p>
        </w:tc>
        <w:tc>
          <w:tcPr>
            <w:tcW w:w="217" w:type="dxa"/>
          </w:tcPr>
          <w:p w14:paraId="2B5F0677" w14:textId="77777777" w:rsidR="002C0FD9" w:rsidRPr="00CA25CF" w:rsidRDefault="002C0FD9" w:rsidP="00CA25CF">
            <w:pPr>
              <w:rPr>
                <w:rFonts w:cs="Arial"/>
                <w:color w:val="FF0000"/>
                <w:sz w:val="21"/>
                <w:szCs w:val="21"/>
              </w:rPr>
            </w:pPr>
          </w:p>
        </w:tc>
        <w:tc>
          <w:tcPr>
            <w:tcW w:w="217" w:type="dxa"/>
          </w:tcPr>
          <w:p w14:paraId="7787D340" w14:textId="77777777" w:rsidR="002C0FD9" w:rsidRPr="00CA25CF" w:rsidRDefault="002C0FD9" w:rsidP="00CA25CF">
            <w:pPr>
              <w:rPr>
                <w:rFonts w:cs="Arial"/>
                <w:color w:val="FF0000"/>
                <w:sz w:val="21"/>
                <w:szCs w:val="21"/>
              </w:rPr>
            </w:pPr>
          </w:p>
        </w:tc>
        <w:tc>
          <w:tcPr>
            <w:tcW w:w="217" w:type="dxa"/>
          </w:tcPr>
          <w:p w14:paraId="30C03E27" w14:textId="77777777" w:rsidR="002C0FD9" w:rsidRPr="00CA25CF" w:rsidRDefault="002C0FD9" w:rsidP="00CA25CF">
            <w:pPr>
              <w:rPr>
                <w:rFonts w:cs="Arial"/>
                <w:color w:val="FF0000"/>
                <w:sz w:val="21"/>
                <w:szCs w:val="21"/>
              </w:rPr>
            </w:pPr>
          </w:p>
        </w:tc>
        <w:tc>
          <w:tcPr>
            <w:tcW w:w="217" w:type="dxa"/>
          </w:tcPr>
          <w:p w14:paraId="5A1D3A67" w14:textId="77777777" w:rsidR="002C0FD9" w:rsidRPr="00CA25CF" w:rsidRDefault="002C0FD9" w:rsidP="00CA25CF">
            <w:pPr>
              <w:rPr>
                <w:rFonts w:cs="Arial"/>
                <w:color w:val="FF0000"/>
                <w:sz w:val="21"/>
                <w:szCs w:val="21"/>
              </w:rPr>
            </w:pPr>
          </w:p>
        </w:tc>
        <w:tc>
          <w:tcPr>
            <w:tcW w:w="217" w:type="dxa"/>
          </w:tcPr>
          <w:p w14:paraId="2E567243" w14:textId="77777777" w:rsidR="002C0FD9" w:rsidRPr="00CA25CF" w:rsidRDefault="002C0FD9" w:rsidP="00CA25CF">
            <w:pPr>
              <w:rPr>
                <w:rFonts w:cs="Arial"/>
                <w:color w:val="FF0000"/>
                <w:sz w:val="21"/>
                <w:szCs w:val="21"/>
              </w:rPr>
            </w:pPr>
          </w:p>
        </w:tc>
        <w:tc>
          <w:tcPr>
            <w:tcW w:w="217" w:type="dxa"/>
          </w:tcPr>
          <w:p w14:paraId="456A3CF2" w14:textId="77777777" w:rsidR="002C0FD9" w:rsidRPr="00CA25CF" w:rsidRDefault="002C0FD9" w:rsidP="00CA25CF">
            <w:pPr>
              <w:rPr>
                <w:rFonts w:cs="Arial"/>
                <w:color w:val="FF0000"/>
                <w:sz w:val="21"/>
                <w:szCs w:val="21"/>
              </w:rPr>
            </w:pPr>
          </w:p>
        </w:tc>
        <w:tc>
          <w:tcPr>
            <w:tcW w:w="217" w:type="dxa"/>
          </w:tcPr>
          <w:p w14:paraId="17B0EA21" w14:textId="77777777" w:rsidR="002C0FD9" w:rsidRPr="00CA25CF" w:rsidRDefault="002C0FD9" w:rsidP="00CA25CF">
            <w:pPr>
              <w:rPr>
                <w:rFonts w:cs="Arial"/>
                <w:color w:val="FF0000"/>
                <w:sz w:val="21"/>
                <w:szCs w:val="21"/>
              </w:rPr>
            </w:pPr>
          </w:p>
        </w:tc>
        <w:tc>
          <w:tcPr>
            <w:tcW w:w="217" w:type="dxa"/>
          </w:tcPr>
          <w:p w14:paraId="7912C223" w14:textId="77777777" w:rsidR="002C0FD9" w:rsidRPr="00CA25CF" w:rsidRDefault="002C0FD9" w:rsidP="00CA25CF">
            <w:pPr>
              <w:rPr>
                <w:rFonts w:cs="Arial"/>
                <w:color w:val="FF0000"/>
                <w:sz w:val="21"/>
                <w:szCs w:val="21"/>
              </w:rPr>
            </w:pPr>
          </w:p>
        </w:tc>
        <w:tc>
          <w:tcPr>
            <w:tcW w:w="217" w:type="dxa"/>
          </w:tcPr>
          <w:p w14:paraId="5FAEA3DC" w14:textId="77777777" w:rsidR="002C0FD9" w:rsidRPr="00CA25CF" w:rsidRDefault="002C0FD9" w:rsidP="00CA25CF">
            <w:pPr>
              <w:rPr>
                <w:rFonts w:cs="Arial"/>
                <w:color w:val="FF0000"/>
                <w:sz w:val="21"/>
                <w:szCs w:val="21"/>
              </w:rPr>
            </w:pPr>
          </w:p>
        </w:tc>
        <w:tc>
          <w:tcPr>
            <w:tcW w:w="217" w:type="dxa"/>
          </w:tcPr>
          <w:p w14:paraId="49D12562" w14:textId="77777777" w:rsidR="002C0FD9" w:rsidRPr="00CA25CF" w:rsidRDefault="002C0FD9" w:rsidP="00CA25CF">
            <w:pPr>
              <w:rPr>
                <w:rFonts w:cs="Arial"/>
                <w:color w:val="FF0000"/>
                <w:sz w:val="21"/>
                <w:szCs w:val="21"/>
              </w:rPr>
            </w:pPr>
          </w:p>
        </w:tc>
        <w:tc>
          <w:tcPr>
            <w:tcW w:w="217" w:type="dxa"/>
          </w:tcPr>
          <w:p w14:paraId="7794011B" w14:textId="77777777" w:rsidR="002C0FD9" w:rsidRPr="00CA25CF" w:rsidRDefault="002C0FD9" w:rsidP="00CA25CF">
            <w:pPr>
              <w:rPr>
                <w:rFonts w:cs="Arial"/>
                <w:color w:val="FF0000"/>
                <w:sz w:val="21"/>
                <w:szCs w:val="21"/>
              </w:rPr>
            </w:pPr>
          </w:p>
        </w:tc>
        <w:tc>
          <w:tcPr>
            <w:tcW w:w="217" w:type="dxa"/>
          </w:tcPr>
          <w:p w14:paraId="03FB6737" w14:textId="77777777" w:rsidR="002C0FD9" w:rsidRPr="00CA25CF" w:rsidRDefault="002C0FD9" w:rsidP="00CA25CF">
            <w:pPr>
              <w:rPr>
                <w:rFonts w:cs="Arial"/>
                <w:color w:val="FF0000"/>
                <w:sz w:val="21"/>
                <w:szCs w:val="21"/>
              </w:rPr>
            </w:pPr>
          </w:p>
        </w:tc>
      </w:tr>
      <w:tr w:rsidR="002C0FD9" w:rsidRPr="00A16219" w14:paraId="1BF6F07D" w14:textId="77777777" w:rsidTr="002C0FD9">
        <w:trPr>
          <w:trHeight w:val="635"/>
        </w:trPr>
        <w:tc>
          <w:tcPr>
            <w:tcW w:w="515" w:type="dxa"/>
          </w:tcPr>
          <w:p w14:paraId="246729BA" w14:textId="77777777" w:rsidR="002C0FD9" w:rsidRPr="00CA25CF" w:rsidRDefault="002C0FD9" w:rsidP="00CA25CF">
            <w:pPr>
              <w:rPr>
                <w:rFonts w:cs="Arial"/>
                <w:color w:val="FF0000"/>
                <w:sz w:val="21"/>
                <w:szCs w:val="21"/>
              </w:rPr>
            </w:pPr>
          </w:p>
        </w:tc>
        <w:tc>
          <w:tcPr>
            <w:tcW w:w="217" w:type="dxa"/>
          </w:tcPr>
          <w:p w14:paraId="24B885AF" w14:textId="77777777" w:rsidR="002C0FD9" w:rsidRPr="00CA25CF" w:rsidRDefault="002C0FD9" w:rsidP="00CA25CF">
            <w:pPr>
              <w:rPr>
                <w:rFonts w:cs="Arial"/>
                <w:color w:val="FF0000"/>
                <w:sz w:val="21"/>
                <w:szCs w:val="21"/>
              </w:rPr>
            </w:pPr>
          </w:p>
        </w:tc>
        <w:tc>
          <w:tcPr>
            <w:tcW w:w="217" w:type="dxa"/>
          </w:tcPr>
          <w:p w14:paraId="55ED5E7E" w14:textId="77777777" w:rsidR="002C0FD9" w:rsidRPr="00CA25CF" w:rsidRDefault="002C0FD9" w:rsidP="00CA25CF">
            <w:pPr>
              <w:rPr>
                <w:rFonts w:cs="Arial"/>
                <w:color w:val="FF0000"/>
                <w:sz w:val="21"/>
                <w:szCs w:val="21"/>
              </w:rPr>
            </w:pPr>
          </w:p>
        </w:tc>
        <w:tc>
          <w:tcPr>
            <w:tcW w:w="217" w:type="dxa"/>
          </w:tcPr>
          <w:p w14:paraId="0E4EF266" w14:textId="77777777" w:rsidR="002C0FD9" w:rsidRPr="00CA25CF" w:rsidRDefault="002C0FD9" w:rsidP="00CA25CF">
            <w:pPr>
              <w:rPr>
                <w:rFonts w:cs="Arial"/>
                <w:color w:val="FF0000"/>
                <w:sz w:val="21"/>
                <w:szCs w:val="21"/>
              </w:rPr>
            </w:pPr>
          </w:p>
        </w:tc>
        <w:tc>
          <w:tcPr>
            <w:tcW w:w="217" w:type="dxa"/>
          </w:tcPr>
          <w:p w14:paraId="05B5F8BE" w14:textId="77777777" w:rsidR="002C0FD9" w:rsidRPr="00CA25CF" w:rsidRDefault="002C0FD9" w:rsidP="00CA25CF">
            <w:pPr>
              <w:rPr>
                <w:rFonts w:cs="Arial"/>
                <w:color w:val="FF0000"/>
                <w:sz w:val="21"/>
                <w:szCs w:val="21"/>
              </w:rPr>
            </w:pPr>
          </w:p>
        </w:tc>
        <w:tc>
          <w:tcPr>
            <w:tcW w:w="217" w:type="dxa"/>
          </w:tcPr>
          <w:p w14:paraId="311441A7" w14:textId="77777777" w:rsidR="002C0FD9" w:rsidRPr="00CA25CF" w:rsidRDefault="002C0FD9" w:rsidP="00CA25CF">
            <w:pPr>
              <w:rPr>
                <w:rFonts w:cs="Arial"/>
                <w:color w:val="FF0000"/>
                <w:sz w:val="21"/>
                <w:szCs w:val="21"/>
              </w:rPr>
            </w:pPr>
          </w:p>
        </w:tc>
        <w:tc>
          <w:tcPr>
            <w:tcW w:w="217" w:type="dxa"/>
          </w:tcPr>
          <w:p w14:paraId="71277915" w14:textId="77777777" w:rsidR="002C0FD9" w:rsidRPr="00CA25CF" w:rsidRDefault="002C0FD9" w:rsidP="00CA25CF">
            <w:pPr>
              <w:rPr>
                <w:rFonts w:cs="Arial"/>
                <w:color w:val="FF0000"/>
                <w:sz w:val="21"/>
                <w:szCs w:val="21"/>
              </w:rPr>
            </w:pPr>
          </w:p>
        </w:tc>
        <w:tc>
          <w:tcPr>
            <w:tcW w:w="217" w:type="dxa"/>
          </w:tcPr>
          <w:p w14:paraId="125D1D88" w14:textId="77777777" w:rsidR="002C0FD9" w:rsidRPr="00CA25CF" w:rsidRDefault="002C0FD9" w:rsidP="00CA25CF">
            <w:pPr>
              <w:rPr>
                <w:rFonts w:cs="Arial"/>
                <w:color w:val="FF0000"/>
                <w:sz w:val="21"/>
                <w:szCs w:val="21"/>
              </w:rPr>
            </w:pPr>
          </w:p>
        </w:tc>
        <w:tc>
          <w:tcPr>
            <w:tcW w:w="217" w:type="dxa"/>
          </w:tcPr>
          <w:p w14:paraId="1942AA79" w14:textId="77777777" w:rsidR="002C0FD9" w:rsidRPr="00CA25CF" w:rsidRDefault="002C0FD9" w:rsidP="00CA25CF">
            <w:pPr>
              <w:rPr>
                <w:rFonts w:cs="Arial"/>
                <w:color w:val="FF0000"/>
                <w:sz w:val="21"/>
                <w:szCs w:val="21"/>
              </w:rPr>
            </w:pPr>
          </w:p>
        </w:tc>
        <w:tc>
          <w:tcPr>
            <w:tcW w:w="217" w:type="dxa"/>
          </w:tcPr>
          <w:p w14:paraId="2D92A30C" w14:textId="77777777" w:rsidR="002C0FD9" w:rsidRPr="00CA25CF" w:rsidRDefault="002C0FD9" w:rsidP="00CA25CF">
            <w:pPr>
              <w:rPr>
                <w:rFonts w:cs="Arial"/>
                <w:color w:val="FF0000"/>
                <w:sz w:val="21"/>
                <w:szCs w:val="21"/>
              </w:rPr>
            </w:pPr>
          </w:p>
        </w:tc>
        <w:tc>
          <w:tcPr>
            <w:tcW w:w="217" w:type="dxa"/>
          </w:tcPr>
          <w:p w14:paraId="6D85DAF3" w14:textId="77777777" w:rsidR="002C0FD9" w:rsidRPr="00CA25CF" w:rsidRDefault="002C0FD9" w:rsidP="00CA25CF">
            <w:pPr>
              <w:rPr>
                <w:rFonts w:cs="Arial"/>
                <w:color w:val="FF0000"/>
                <w:sz w:val="21"/>
                <w:szCs w:val="21"/>
              </w:rPr>
            </w:pPr>
          </w:p>
        </w:tc>
        <w:tc>
          <w:tcPr>
            <w:tcW w:w="217" w:type="dxa"/>
          </w:tcPr>
          <w:p w14:paraId="432D8314" w14:textId="77777777" w:rsidR="002C0FD9" w:rsidRPr="00CA25CF" w:rsidRDefault="002C0FD9" w:rsidP="00CA25CF">
            <w:pPr>
              <w:rPr>
                <w:rFonts w:cs="Arial"/>
                <w:color w:val="FF0000"/>
                <w:sz w:val="21"/>
                <w:szCs w:val="21"/>
              </w:rPr>
            </w:pPr>
          </w:p>
        </w:tc>
        <w:tc>
          <w:tcPr>
            <w:tcW w:w="217" w:type="dxa"/>
          </w:tcPr>
          <w:p w14:paraId="440A7832" w14:textId="77777777" w:rsidR="002C0FD9" w:rsidRPr="00CA25CF" w:rsidRDefault="002C0FD9" w:rsidP="00CA25CF">
            <w:pPr>
              <w:rPr>
                <w:rFonts w:cs="Arial"/>
                <w:color w:val="FF0000"/>
                <w:sz w:val="21"/>
                <w:szCs w:val="21"/>
              </w:rPr>
            </w:pPr>
          </w:p>
        </w:tc>
        <w:tc>
          <w:tcPr>
            <w:tcW w:w="217" w:type="dxa"/>
          </w:tcPr>
          <w:p w14:paraId="60B1FF83" w14:textId="77777777" w:rsidR="002C0FD9" w:rsidRPr="00CA25CF" w:rsidRDefault="002C0FD9" w:rsidP="00CA25CF">
            <w:pPr>
              <w:rPr>
                <w:rFonts w:cs="Arial"/>
                <w:color w:val="FF0000"/>
                <w:sz w:val="21"/>
                <w:szCs w:val="21"/>
              </w:rPr>
            </w:pPr>
          </w:p>
        </w:tc>
        <w:tc>
          <w:tcPr>
            <w:tcW w:w="217" w:type="dxa"/>
          </w:tcPr>
          <w:p w14:paraId="27A42D44" w14:textId="77777777" w:rsidR="002C0FD9" w:rsidRPr="00CA25CF" w:rsidRDefault="002C0FD9" w:rsidP="00CA25CF">
            <w:pPr>
              <w:rPr>
                <w:rFonts w:cs="Arial"/>
                <w:color w:val="FF0000"/>
                <w:sz w:val="21"/>
                <w:szCs w:val="21"/>
              </w:rPr>
            </w:pPr>
          </w:p>
        </w:tc>
        <w:tc>
          <w:tcPr>
            <w:tcW w:w="217" w:type="dxa"/>
          </w:tcPr>
          <w:p w14:paraId="60695A06" w14:textId="77777777" w:rsidR="002C0FD9" w:rsidRPr="00CA25CF" w:rsidRDefault="002C0FD9" w:rsidP="00CA25CF">
            <w:pPr>
              <w:rPr>
                <w:rFonts w:cs="Arial"/>
                <w:color w:val="FF0000"/>
                <w:sz w:val="21"/>
                <w:szCs w:val="21"/>
              </w:rPr>
            </w:pPr>
          </w:p>
        </w:tc>
        <w:tc>
          <w:tcPr>
            <w:tcW w:w="217" w:type="dxa"/>
          </w:tcPr>
          <w:p w14:paraId="44AF8D98" w14:textId="77777777" w:rsidR="002C0FD9" w:rsidRPr="00CA25CF" w:rsidRDefault="002C0FD9" w:rsidP="00CA25CF">
            <w:pPr>
              <w:rPr>
                <w:rFonts w:cs="Arial"/>
                <w:color w:val="FF0000"/>
                <w:sz w:val="21"/>
                <w:szCs w:val="21"/>
              </w:rPr>
            </w:pPr>
          </w:p>
        </w:tc>
        <w:tc>
          <w:tcPr>
            <w:tcW w:w="217" w:type="dxa"/>
          </w:tcPr>
          <w:p w14:paraId="1DD7CBE6" w14:textId="77777777" w:rsidR="002C0FD9" w:rsidRPr="00CA25CF" w:rsidRDefault="002C0FD9" w:rsidP="00CA25CF">
            <w:pPr>
              <w:rPr>
                <w:rFonts w:cs="Arial"/>
                <w:color w:val="FF0000"/>
                <w:sz w:val="21"/>
                <w:szCs w:val="21"/>
              </w:rPr>
            </w:pPr>
          </w:p>
        </w:tc>
        <w:tc>
          <w:tcPr>
            <w:tcW w:w="217" w:type="dxa"/>
          </w:tcPr>
          <w:p w14:paraId="7AB5FB8F" w14:textId="77777777" w:rsidR="002C0FD9" w:rsidRPr="00CA25CF" w:rsidRDefault="002C0FD9" w:rsidP="00CA25CF">
            <w:pPr>
              <w:rPr>
                <w:rFonts w:cs="Arial"/>
                <w:color w:val="FF0000"/>
                <w:sz w:val="21"/>
                <w:szCs w:val="21"/>
              </w:rPr>
            </w:pPr>
          </w:p>
        </w:tc>
        <w:tc>
          <w:tcPr>
            <w:tcW w:w="217" w:type="dxa"/>
          </w:tcPr>
          <w:p w14:paraId="3280A851" w14:textId="77777777" w:rsidR="002C0FD9" w:rsidRPr="00CA25CF" w:rsidRDefault="002C0FD9" w:rsidP="00CA25CF">
            <w:pPr>
              <w:rPr>
                <w:rFonts w:cs="Arial"/>
                <w:color w:val="FF0000"/>
                <w:sz w:val="21"/>
                <w:szCs w:val="21"/>
              </w:rPr>
            </w:pPr>
          </w:p>
        </w:tc>
        <w:tc>
          <w:tcPr>
            <w:tcW w:w="217" w:type="dxa"/>
          </w:tcPr>
          <w:p w14:paraId="0CC5FF93" w14:textId="77777777" w:rsidR="002C0FD9" w:rsidRPr="00CA25CF" w:rsidRDefault="002C0FD9" w:rsidP="00CA25CF">
            <w:pPr>
              <w:rPr>
                <w:rFonts w:cs="Arial"/>
                <w:color w:val="FF0000"/>
                <w:sz w:val="21"/>
                <w:szCs w:val="21"/>
              </w:rPr>
            </w:pPr>
          </w:p>
        </w:tc>
        <w:tc>
          <w:tcPr>
            <w:tcW w:w="217" w:type="dxa"/>
          </w:tcPr>
          <w:p w14:paraId="22EA5D35" w14:textId="77777777" w:rsidR="002C0FD9" w:rsidRPr="00CA25CF" w:rsidRDefault="002C0FD9" w:rsidP="00CA25CF">
            <w:pPr>
              <w:rPr>
                <w:rFonts w:cs="Arial"/>
                <w:color w:val="FF0000"/>
                <w:sz w:val="21"/>
                <w:szCs w:val="21"/>
              </w:rPr>
            </w:pPr>
          </w:p>
        </w:tc>
        <w:tc>
          <w:tcPr>
            <w:tcW w:w="217" w:type="dxa"/>
          </w:tcPr>
          <w:p w14:paraId="14067394" w14:textId="77777777" w:rsidR="002C0FD9" w:rsidRPr="00CA25CF" w:rsidRDefault="002C0FD9" w:rsidP="00CA25CF">
            <w:pPr>
              <w:rPr>
                <w:rFonts w:cs="Arial"/>
                <w:color w:val="FF0000"/>
                <w:sz w:val="21"/>
                <w:szCs w:val="21"/>
              </w:rPr>
            </w:pPr>
          </w:p>
        </w:tc>
        <w:tc>
          <w:tcPr>
            <w:tcW w:w="217" w:type="dxa"/>
          </w:tcPr>
          <w:p w14:paraId="568CA684" w14:textId="77777777" w:rsidR="002C0FD9" w:rsidRPr="00CA25CF" w:rsidRDefault="002C0FD9" w:rsidP="00CA25CF">
            <w:pPr>
              <w:rPr>
                <w:rFonts w:cs="Arial"/>
                <w:color w:val="FF0000"/>
                <w:sz w:val="21"/>
                <w:szCs w:val="21"/>
              </w:rPr>
            </w:pPr>
          </w:p>
        </w:tc>
        <w:tc>
          <w:tcPr>
            <w:tcW w:w="217" w:type="dxa"/>
          </w:tcPr>
          <w:p w14:paraId="6CDD072B" w14:textId="77777777" w:rsidR="002C0FD9" w:rsidRPr="00CA25CF" w:rsidRDefault="002C0FD9" w:rsidP="00CA25CF">
            <w:pPr>
              <w:rPr>
                <w:rFonts w:cs="Arial"/>
                <w:color w:val="FF0000"/>
                <w:sz w:val="21"/>
                <w:szCs w:val="21"/>
              </w:rPr>
            </w:pPr>
          </w:p>
        </w:tc>
        <w:tc>
          <w:tcPr>
            <w:tcW w:w="217" w:type="dxa"/>
          </w:tcPr>
          <w:p w14:paraId="7668E811" w14:textId="77777777" w:rsidR="002C0FD9" w:rsidRPr="00CA25CF" w:rsidRDefault="002C0FD9" w:rsidP="00CA25CF">
            <w:pPr>
              <w:rPr>
                <w:rFonts w:cs="Arial"/>
                <w:color w:val="FF0000"/>
                <w:sz w:val="21"/>
                <w:szCs w:val="21"/>
              </w:rPr>
            </w:pPr>
          </w:p>
        </w:tc>
        <w:tc>
          <w:tcPr>
            <w:tcW w:w="217" w:type="dxa"/>
          </w:tcPr>
          <w:p w14:paraId="319BC026" w14:textId="77777777" w:rsidR="002C0FD9" w:rsidRPr="00CA25CF" w:rsidRDefault="002C0FD9" w:rsidP="00CA25CF">
            <w:pPr>
              <w:rPr>
                <w:rFonts w:cs="Arial"/>
                <w:color w:val="FF0000"/>
                <w:sz w:val="21"/>
                <w:szCs w:val="21"/>
              </w:rPr>
            </w:pPr>
          </w:p>
        </w:tc>
        <w:tc>
          <w:tcPr>
            <w:tcW w:w="217" w:type="dxa"/>
          </w:tcPr>
          <w:p w14:paraId="3F2741E7" w14:textId="77777777" w:rsidR="002C0FD9" w:rsidRPr="00CA25CF" w:rsidRDefault="002C0FD9" w:rsidP="00CA25CF">
            <w:pPr>
              <w:rPr>
                <w:rFonts w:cs="Arial"/>
                <w:color w:val="FF0000"/>
                <w:sz w:val="21"/>
                <w:szCs w:val="21"/>
              </w:rPr>
            </w:pPr>
          </w:p>
        </w:tc>
        <w:tc>
          <w:tcPr>
            <w:tcW w:w="217" w:type="dxa"/>
          </w:tcPr>
          <w:p w14:paraId="60181B6D" w14:textId="77777777" w:rsidR="002C0FD9" w:rsidRPr="00CA25CF" w:rsidRDefault="002C0FD9" w:rsidP="00CA25CF">
            <w:pPr>
              <w:rPr>
                <w:rFonts w:cs="Arial"/>
                <w:color w:val="FF0000"/>
                <w:sz w:val="21"/>
                <w:szCs w:val="21"/>
              </w:rPr>
            </w:pPr>
          </w:p>
        </w:tc>
        <w:tc>
          <w:tcPr>
            <w:tcW w:w="217" w:type="dxa"/>
          </w:tcPr>
          <w:p w14:paraId="17E0FCA4" w14:textId="77777777" w:rsidR="002C0FD9" w:rsidRPr="00CA25CF" w:rsidRDefault="002C0FD9" w:rsidP="00CA25CF">
            <w:pPr>
              <w:rPr>
                <w:rFonts w:cs="Arial"/>
                <w:color w:val="FF0000"/>
                <w:sz w:val="21"/>
                <w:szCs w:val="21"/>
              </w:rPr>
            </w:pPr>
          </w:p>
        </w:tc>
        <w:tc>
          <w:tcPr>
            <w:tcW w:w="217" w:type="dxa"/>
          </w:tcPr>
          <w:p w14:paraId="2D48E377" w14:textId="77777777" w:rsidR="002C0FD9" w:rsidRPr="00CA25CF" w:rsidRDefault="002C0FD9" w:rsidP="00CA25CF">
            <w:pPr>
              <w:rPr>
                <w:rFonts w:cs="Arial"/>
                <w:color w:val="FF0000"/>
                <w:sz w:val="21"/>
                <w:szCs w:val="21"/>
              </w:rPr>
            </w:pPr>
          </w:p>
        </w:tc>
        <w:tc>
          <w:tcPr>
            <w:tcW w:w="217" w:type="dxa"/>
          </w:tcPr>
          <w:p w14:paraId="604B156F" w14:textId="77777777" w:rsidR="002C0FD9" w:rsidRPr="00CA25CF" w:rsidRDefault="002C0FD9" w:rsidP="00CA25CF">
            <w:pPr>
              <w:rPr>
                <w:rFonts w:cs="Arial"/>
                <w:color w:val="FF0000"/>
                <w:sz w:val="21"/>
                <w:szCs w:val="21"/>
              </w:rPr>
            </w:pPr>
          </w:p>
        </w:tc>
        <w:tc>
          <w:tcPr>
            <w:tcW w:w="217" w:type="dxa"/>
          </w:tcPr>
          <w:p w14:paraId="3B822EEC" w14:textId="77777777" w:rsidR="002C0FD9" w:rsidRPr="00CA25CF" w:rsidRDefault="002C0FD9" w:rsidP="00CA25CF">
            <w:pPr>
              <w:rPr>
                <w:rFonts w:cs="Arial"/>
                <w:color w:val="FF0000"/>
                <w:sz w:val="21"/>
                <w:szCs w:val="21"/>
              </w:rPr>
            </w:pPr>
          </w:p>
        </w:tc>
        <w:tc>
          <w:tcPr>
            <w:tcW w:w="217" w:type="dxa"/>
          </w:tcPr>
          <w:p w14:paraId="0C4EE748" w14:textId="77777777" w:rsidR="002C0FD9" w:rsidRPr="00CA25CF" w:rsidRDefault="002C0FD9" w:rsidP="00CA25CF">
            <w:pPr>
              <w:rPr>
                <w:rFonts w:cs="Arial"/>
                <w:color w:val="FF0000"/>
                <w:sz w:val="21"/>
                <w:szCs w:val="21"/>
              </w:rPr>
            </w:pPr>
          </w:p>
        </w:tc>
        <w:tc>
          <w:tcPr>
            <w:tcW w:w="217" w:type="dxa"/>
          </w:tcPr>
          <w:p w14:paraId="4A0B7CF0" w14:textId="77777777" w:rsidR="002C0FD9" w:rsidRPr="00CA25CF" w:rsidRDefault="002C0FD9" w:rsidP="00CA25CF">
            <w:pPr>
              <w:rPr>
                <w:rFonts w:cs="Arial"/>
                <w:color w:val="FF0000"/>
                <w:sz w:val="21"/>
                <w:szCs w:val="21"/>
              </w:rPr>
            </w:pPr>
          </w:p>
        </w:tc>
        <w:tc>
          <w:tcPr>
            <w:tcW w:w="217" w:type="dxa"/>
          </w:tcPr>
          <w:p w14:paraId="35C4DD7A" w14:textId="77777777" w:rsidR="002C0FD9" w:rsidRPr="00CA25CF" w:rsidRDefault="002C0FD9" w:rsidP="00CA25CF">
            <w:pPr>
              <w:rPr>
                <w:rFonts w:cs="Arial"/>
                <w:color w:val="FF0000"/>
                <w:sz w:val="21"/>
                <w:szCs w:val="21"/>
              </w:rPr>
            </w:pPr>
          </w:p>
        </w:tc>
        <w:tc>
          <w:tcPr>
            <w:tcW w:w="217" w:type="dxa"/>
          </w:tcPr>
          <w:p w14:paraId="5C716670" w14:textId="77777777" w:rsidR="002C0FD9" w:rsidRPr="00CA25CF" w:rsidRDefault="002C0FD9" w:rsidP="00CA25CF">
            <w:pPr>
              <w:rPr>
                <w:rFonts w:cs="Arial"/>
                <w:color w:val="FF0000"/>
                <w:sz w:val="21"/>
                <w:szCs w:val="21"/>
              </w:rPr>
            </w:pPr>
          </w:p>
        </w:tc>
        <w:tc>
          <w:tcPr>
            <w:tcW w:w="217" w:type="dxa"/>
          </w:tcPr>
          <w:p w14:paraId="0573BDB8" w14:textId="77777777" w:rsidR="002C0FD9" w:rsidRPr="00CA25CF" w:rsidRDefault="002C0FD9" w:rsidP="00CA25CF">
            <w:pPr>
              <w:rPr>
                <w:rFonts w:cs="Arial"/>
                <w:color w:val="FF0000"/>
                <w:sz w:val="21"/>
                <w:szCs w:val="21"/>
              </w:rPr>
            </w:pPr>
          </w:p>
        </w:tc>
        <w:tc>
          <w:tcPr>
            <w:tcW w:w="217" w:type="dxa"/>
          </w:tcPr>
          <w:p w14:paraId="4441E5F4" w14:textId="77777777" w:rsidR="002C0FD9" w:rsidRPr="00CA25CF" w:rsidRDefault="002C0FD9" w:rsidP="00CA25CF">
            <w:pPr>
              <w:rPr>
                <w:rFonts w:cs="Arial"/>
                <w:color w:val="FF0000"/>
                <w:sz w:val="21"/>
                <w:szCs w:val="21"/>
              </w:rPr>
            </w:pPr>
          </w:p>
        </w:tc>
        <w:tc>
          <w:tcPr>
            <w:tcW w:w="217" w:type="dxa"/>
          </w:tcPr>
          <w:p w14:paraId="2F1F9EA1" w14:textId="77777777" w:rsidR="002C0FD9" w:rsidRPr="00CA25CF" w:rsidRDefault="002C0FD9" w:rsidP="00CA25CF">
            <w:pPr>
              <w:rPr>
                <w:rFonts w:cs="Arial"/>
                <w:color w:val="FF0000"/>
                <w:sz w:val="21"/>
                <w:szCs w:val="21"/>
              </w:rPr>
            </w:pPr>
          </w:p>
        </w:tc>
        <w:tc>
          <w:tcPr>
            <w:tcW w:w="217" w:type="dxa"/>
          </w:tcPr>
          <w:p w14:paraId="6B1549EC" w14:textId="77777777" w:rsidR="002C0FD9" w:rsidRPr="00CA25CF" w:rsidRDefault="002C0FD9" w:rsidP="00CA25CF">
            <w:pPr>
              <w:rPr>
                <w:rFonts w:cs="Arial"/>
                <w:color w:val="FF0000"/>
                <w:sz w:val="21"/>
                <w:szCs w:val="21"/>
              </w:rPr>
            </w:pPr>
          </w:p>
        </w:tc>
        <w:tc>
          <w:tcPr>
            <w:tcW w:w="217" w:type="dxa"/>
          </w:tcPr>
          <w:p w14:paraId="2AC1CEDC" w14:textId="77777777" w:rsidR="002C0FD9" w:rsidRPr="00CA25CF" w:rsidRDefault="002C0FD9" w:rsidP="00CA25CF">
            <w:pPr>
              <w:rPr>
                <w:rFonts w:cs="Arial"/>
                <w:color w:val="FF0000"/>
                <w:sz w:val="21"/>
                <w:szCs w:val="21"/>
              </w:rPr>
            </w:pPr>
          </w:p>
        </w:tc>
        <w:tc>
          <w:tcPr>
            <w:tcW w:w="217" w:type="dxa"/>
          </w:tcPr>
          <w:p w14:paraId="68298597" w14:textId="77777777" w:rsidR="002C0FD9" w:rsidRPr="00CA25CF" w:rsidRDefault="002C0FD9" w:rsidP="00CA25CF">
            <w:pPr>
              <w:rPr>
                <w:rFonts w:cs="Arial"/>
                <w:color w:val="FF0000"/>
                <w:sz w:val="21"/>
                <w:szCs w:val="21"/>
              </w:rPr>
            </w:pPr>
          </w:p>
        </w:tc>
      </w:tr>
      <w:tr w:rsidR="002C0FD9" w:rsidRPr="00A16219" w14:paraId="298CC97B" w14:textId="77777777" w:rsidTr="002C0FD9">
        <w:trPr>
          <w:trHeight w:val="635"/>
        </w:trPr>
        <w:tc>
          <w:tcPr>
            <w:tcW w:w="515" w:type="dxa"/>
          </w:tcPr>
          <w:p w14:paraId="6B749DD6" w14:textId="77777777" w:rsidR="002C0FD9" w:rsidRPr="00CA25CF" w:rsidRDefault="002C0FD9" w:rsidP="00CA25CF">
            <w:pPr>
              <w:rPr>
                <w:rFonts w:cs="Arial"/>
                <w:color w:val="FF0000"/>
                <w:sz w:val="21"/>
                <w:szCs w:val="21"/>
              </w:rPr>
            </w:pPr>
          </w:p>
        </w:tc>
        <w:tc>
          <w:tcPr>
            <w:tcW w:w="217" w:type="dxa"/>
          </w:tcPr>
          <w:p w14:paraId="73D7FDF2" w14:textId="77777777" w:rsidR="002C0FD9" w:rsidRPr="00CA25CF" w:rsidRDefault="002C0FD9" w:rsidP="00CA25CF">
            <w:pPr>
              <w:rPr>
                <w:rFonts w:cs="Arial"/>
                <w:color w:val="FF0000"/>
                <w:sz w:val="21"/>
                <w:szCs w:val="21"/>
              </w:rPr>
            </w:pPr>
          </w:p>
        </w:tc>
        <w:tc>
          <w:tcPr>
            <w:tcW w:w="217" w:type="dxa"/>
          </w:tcPr>
          <w:p w14:paraId="403619A3" w14:textId="77777777" w:rsidR="002C0FD9" w:rsidRPr="00CA25CF" w:rsidRDefault="002C0FD9" w:rsidP="00CA25CF">
            <w:pPr>
              <w:rPr>
                <w:rFonts w:cs="Arial"/>
                <w:color w:val="FF0000"/>
                <w:sz w:val="21"/>
                <w:szCs w:val="21"/>
              </w:rPr>
            </w:pPr>
          </w:p>
        </w:tc>
        <w:tc>
          <w:tcPr>
            <w:tcW w:w="217" w:type="dxa"/>
          </w:tcPr>
          <w:p w14:paraId="76824B44" w14:textId="77777777" w:rsidR="002C0FD9" w:rsidRPr="00CA25CF" w:rsidRDefault="002C0FD9" w:rsidP="00CA25CF">
            <w:pPr>
              <w:rPr>
                <w:rFonts w:cs="Arial"/>
                <w:color w:val="FF0000"/>
                <w:sz w:val="21"/>
                <w:szCs w:val="21"/>
              </w:rPr>
            </w:pPr>
          </w:p>
        </w:tc>
        <w:tc>
          <w:tcPr>
            <w:tcW w:w="217" w:type="dxa"/>
          </w:tcPr>
          <w:p w14:paraId="7F8E73B9" w14:textId="77777777" w:rsidR="002C0FD9" w:rsidRPr="00CA25CF" w:rsidRDefault="002C0FD9" w:rsidP="00CA25CF">
            <w:pPr>
              <w:rPr>
                <w:rFonts w:cs="Arial"/>
                <w:color w:val="FF0000"/>
                <w:sz w:val="21"/>
                <w:szCs w:val="21"/>
              </w:rPr>
            </w:pPr>
          </w:p>
        </w:tc>
        <w:tc>
          <w:tcPr>
            <w:tcW w:w="217" w:type="dxa"/>
          </w:tcPr>
          <w:p w14:paraId="16FA825C" w14:textId="77777777" w:rsidR="002C0FD9" w:rsidRPr="00CA25CF" w:rsidRDefault="002C0FD9" w:rsidP="00CA25CF">
            <w:pPr>
              <w:rPr>
                <w:rFonts w:cs="Arial"/>
                <w:color w:val="FF0000"/>
                <w:sz w:val="21"/>
                <w:szCs w:val="21"/>
              </w:rPr>
            </w:pPr>
          </w:p>
        </w:tc>
        <w:tc>
          <w:tcPr>
            <w:tcW w:w="217" w:type="dxa"/>
          </w:tcPr>
          <w:p w14:paraId="2367CA88" w14:textId="77777777" w:rsidR="002C0FD9" w:rsidRPr="00CA25CF" w:rsidRDefault="002C0FD9" w:rsidP="00CA25CF">
            <w:pPr>
              <w:rPr>
                <w:rFonts w:cs="Arial"/>
                <w:color w:val="FF0000"/>
                <w:sz w:val="21"/>
                <w:szCs w:val="21"/>
              </w:rPr>
            </w:pPr>
          </w:p>
        </w:tc>
        <w:tc>
          <w:tcPr>
            <w:tcW w:w="217" w:type="dxa"/>
          </w:tcPr>
          <w:p w14:paraId="5FD18557" w14:textId="77777777" w:rsidR="002C0FD9" w:rsidRPr="00CA25CF" w:rsidRDefault="002C0FD9" w:rsidP="00CA25CF">
            <w:pPr>
              <w:rPr>
                <w:rFonts w:cs="Arial"/>
                <w:color w:val="FF0000"/>
                <w:sz w:val="21"/>
                <w:szCs w:val="21"/>
              </w:rPr>
            </w:pPr>
          </w:p>
        </w:tc>
        <w:tc>
          <w:tcPr>
            <w:tcW w:w="217" w:type="dxa"/>
          </w:tcPr>
          <w:p w14:paraId="03F554D1" w14:textId="77777777" w:rsidR="002C0FD9" w:rsidRPr="00CA25CF" w:rsidRDefault="002C0FD9" w:rsidP="00CA25CF">
            <w:pPr>
              <w:rPr>
                <w:rFonts w:cs="Arial"/>
                <w:color w:val="FF0000"/>
                <w:sz w:val="21"/>
                <w:szCs w:val="21"/>
              </w:rPr>
            </w:pPr>
          </w:p>
        </w:tc>
        <w:tc>
          <w:tcPr>
            <w:tcW w:w="217" w:type="dxa"/>
          </w:tcPr>
          <w:p w14:paraId="75C39337" w14:textId="77777777" w:rsidR="002C0FD9" w:rsidRPr="00CA25CF" w:rsidRDefault="002C0FD9" w:rsidP="00CA25CF">
            <w:pPr>
              <w:rPr>
                <w:rFonts w:cs="Arial"/>
                <w:color w:val="FF0000"/>
                <w:sz w:val="21"/>
                <w:szCs w:val="21"/>
              </w:rPr>
            </w:pPr>
          </w:p>
        </w:tc>
        <w:tc>
          <w:tcPr>
            <w:tcW w:w="217" w:type="dxa"/>
          </w:tcPr>
          <w:p w14:paraId="6AF39525" w14:textId="77777777" w:rsidR="002C0FD9" w:rsidRPr="00CA25CF" w:rsidRDefault="002C0FD9" w:rsidP="00CA25CF">
            <w:pPr>
              <w:rPr>
                <w:rFonts w:cs="Arial"/>
                <w:color w:val="FF0000"/>
                <w:sz w:val="21"/>
                <w:szCs w:val="21"/>
              </w:rPr>
            </w:pPr>
          </w:p>
        </w:tc>
        <w:tc>
          <w:tcPr>
            <w:tcW w:w="217" w:type="dxa"/>
          </w:tcPr>
          <w:p w14:paraId="1DADA980" w14:textId="77777777" w:rsidR="002C0FD9" w:rsidRPr="00CA25CF" w:rsidRDefault="002C0FD9" w:rsidP="00CA25CF">
            <w:pPr>
              <w:rPr>
                <w:rFonts w:cs="Arial"/>
                <w:color w:val="FF0000"/>
                <w:sz w:val="21"/>
                <w:szCs w:val="21"/>
              </w:rPr>
            </w:pPr>
          </w:p>
        </w:tc>
        <w:tc>
          <w:tcPr>
            <w:tcW w:w="217" w:type="dxa"/>
          </w:tcPr>
          <w:p w14:paraId="2A4C4D1F" w14:textId="77777777" w:rsidR="002C0FD9" w:rsidRPr="00CA25CF" w:rsidRDefault="002C0FD9" w:rsidP="00CA25CF">
            <w:pPr>
              <w:rPr>
                <w:rFonts w:cs="Arial"/>
                <w:color w:val="FF0000"/>
                <w:sz w:val="21"/>
                <w:szCs w:val="21"/>
              </w:rPr>
            </w:pPr>
          </w:p>
        </w:tc>
        <w:tc>
          <w:tcPr>
            <w:tcW w:w="217" w:type="dxa"/>
          </w:tcPr>
          <w:p w14:paraId="4C376BE3" w14:textId="77777777" w:rsidR="002C0FD9" w:rsidRPr="00CA25CF" w:rsidRDefault="002C0FD9" w:rsidP="00CA25CF">
            <w:pPr>
              <w:rPr>
                <w:rFonts w:cs="Arial"/>
                <w:color w:val="FF0000"/>
                <w:sz w:val="21"/>
                <w:szCs w:val="21"/>
              </w:rPr>
            </w:pPr>
          </w:p>
        </w:tc>
        <w:tc>
          <w:tcPr>
            <w:tcW w:w="217" w:type="dxa"/>
          </w:tcPr>
          <w:p w14:paraId="0532C434" w14:textId="77777777" w:rsidR="002C0FD9" w:rsidRPr="00CA25CF" w:rsidRDefault="002C0FD9" w:rsidP="00CA25CF">
            <w:pPr>
              <w:rPr>
                <w:rFonts w:cs="Arial"/>
                <w:color w:val="FF0000"/>
                <w:sz w:val="21"/>
                <w:szCs w:val="21"/>
              </w:rPr>
            </w:pPr>
          </w:p>
        </w:tc>
        <w:tc>
          <w:tcPr>
            <w:tcW w:w="217" w:type="dxa"/>
          </w:tcPr>
          <w:p w14:paraId="079D9F1D" w14:textId="77777777" w:rsidR="002C0FD9" w:rsidRPr="00CA25CF" w:rsidRDefault="002C0FD9" w:rsidP="00CA25CF">
            <w:pPr>
              <w:rPr>
                <w:rFonts w:cs="Arial"/>
                <w:color w:val="FF0000"/>
                <w:sz w:val="21"/>
                <w:szCs w:val="21"/>
              </w:rPr>
            </w:pPr>
          </w:p>
        </w:tc>
        <w:tc>
          <w:tcPr>
            <w:tcW w:w="217" w:type="dxa"/>
          </w:tcPr>
          <w:p w14:paraId="44EDD30F" w14:textId="77777777" w:rsidR="002C0FD9" w:rsidRPr="00CA25CF" w:rsidRDefault="002C0FD9" w:rsidP="00CA25CF">
            <w:pPr>
              <w:rPr>
                <w:rFonts w:cs="Arial"/>
                <w:color w:val="FF0000"/>
                <w:sz w:val="21"/>
                <w:szCs w:val="21"/>
              </w:rPr>
            </w:pPr>
          </w:p>
        </w:tc>
        <w:tc>
          <w:tcPr>
            <w:tcW w:w="217" w:type="dxa"/>
          </w:tcPr>
          <w:p w14:paraId="72C6B0C6" w14:textId="77777777" w:rsidR="002C0FD9" w:rsidRPr="00CA25CF" w:rsidRDefault="002C0FD9" w:rsidP="00CA25CF">
            <w:pPr>
              <w:rPr>
                <w:rFonts w:cs="Arial"/>
                <w:color w:val="FF0000"/>
                <w:sz w:val="21"/>
                <w:szCs w:val="21"/>
              </w:rPr>
            </w:pPr>
          </w:p>
        </w:tc>
        <w:tc>
          <w:tcPr>
            <w:tcW w:w="217" w:type="dxa"/>
          </w:tcPr>
          <w:p w14:paraId="4B78A353" w14:textId="77777777" w:rsidR="002C0FD9" w:rsidRPr="00CA25CF" w:rsidRDefault="002C0FD9" w:rsidP="00CA25CF">
            <w:pPr>
              <w:rPr>
                <w:rFonts w:cs="Arial"/>
                <w:color w:val="FF0000"/>
                <w:sz w:val="21"/>
                <w:szCs w:val="21"/>
              </w:rPr>
            </w:pPr>
          </w:p>
        </w:tc>
        <w:tc>
          <w:tcPr>
            <w:tcW w:w="217" w:type="dxa"/>
          </w:tcPr>
          <w:p w14:paraId="6E1E89AE" w14:textId="77777777" w:rsidR="002C0FD9" w:rsidRPr="00CA25CF" w:rsidRDefault="002C0FD9" w:rsidP="00CA25CF">
            <w:pPr>
              <w:rPr>
                <w:rFonts w:cs="Arial"/>
                <w:color w:val="FF0000"/>
                <w:sz w:val="21"/>
                <w:szCs w:val="21"/>
              </w:rPr>
            </w:pPr>
          </w:p>
        </w:tc>
        <w:tc>
          <w:tcPr>
            <w:tcW w:w="217" w:type="dxa"/>
          </w:tcPr>
          <w:p w14:paraId="2494D2F2" w14:textId="77777777" w:rsidR="002C0FD9" w:rsidRPr="00CA25CF" w:rsidRDefault="002C0FD9" w:rsidP="00CA25CF">
            <w:pPr>
              <w:rPr>
                <w:rFonts w:cs="Arial"/>
                <w:color w:val="FF0000"/>
                <w:sz w:val="21"/>
                <w:szCs w:val="21"/>
              </w:rPr>
            </w:pPr>
          </w:p>
        </w:tc>
        <w:tc>
          <w:tcPr>
            <w:tcW w:w="217" w:type="dxa"/>
          </w:tcPr>
          <w:p w14:paraId="7C6D559E" w14:textId="77777777" w:rsidR="002C0FD9" w:rsidRPr="00CA25CF" w:rsidRDefault="002C0FD9" w:rsidP="00CA25CF">
            <w:pPr>
              <w:rPr>
                <w:rFonts w:cs="Arial"/>
                <w:color w:val="FF0000"/>
                <w:sz w:val="21"/>
                <w:szCs w:val="21"/>
              </w:rPr>
            </w:pPr>
          </w:p>
        </w:tc>
        <w:tc>
          <w:tcPr>
            <w:tcW w:w="217" w:type="dxa"/>
          </w:tcPr>
          <w:p w14:paraId="097A8816" w14:textId="77777777" w:rsidR="002C0FD9" w:rsidRPr="00CA25CF" w:rsidRDefault="002C0FD9" w:rsidP="00CA25CF">
            <w:pPr>
              <w:rPr>
                <w:rFonts w:cs="Arial"/>
                <w:color w:val="FF0000"/>
                <w:sz w:val="21"/>
                <w:szCs w:val="21"/>
              </w:rPr>
            </w:pPr>
          </w:p>
        </w:tc>
        <w:tc>
          <w:tcPr>
            <w:tcW w:w="217" w:type="dxa"/>
          </w:tcPr>
          <w:p w14:paraId="3CC366DE" w14:textId="77777777" w:rsidR="002C0FD9" w:rsidRPr="00CA25CF" w:rsidRDefault="002C0FD9" w:rsidP="00CA25CF">
            <w:pPr>
              <w:rPr>
                <w:rFonts w:cs="Arial"/>
                <w:color w:val="FF0000"/>
                <w:sz w:val="21"/>
                <w:szCs w:val="21"/>
              </w:rPr>
            </w:pPr>
          </w:p>
        </w:tc>
        <w:tc>
          <w:tcPr>
            <w:tcW w:w="217" w:type="dxa"/>
          </w:tcPr>
          <w:p w14:paraId="2F4E394D" w14:textId="77777777" w:rsidR="002C0FD9" w:rsidRPr="00CA25CF" w:rsidRDefault="002C0FD9" w:rsidP="00CA25CF">
            <w:pPr>
              <w:rPr>
                <w:rFonts w:cs="Arial"/>
                <w:color w:val="FF0000"/>
                <w:sz w:val="21"/>
                <w:szCs w:val="21"/>
              </w:rPr>
            </w:pPr>
          </w:p>
        </w:tc>
        <w:tc>
          <w:tcPr>
            <w:tcW w:w="217" w:type="dxa"/>
          </w:tcPr>
          <w:p w14:paraId="66F912F7" w14:textId="77777777" w:rsidR="002C0FD9" w:rsidRPr="00CA25CF" w:rsidRDefault="002C0FD9" w:rsidP="00CA25CF">
            <w:pPr>
              <w:rPr>
                <w:rFonts w:cs="Arial"/>
                <w:color w:val="FF0000"/>
                <w:sz w:val="21"/>
                <w:szCs w:val="21"/>
              </w:rPr>
            </w:pPr>
          </w:p>
        </w:tc>
        <w:tc>
          <w:tcPr>
            <w:tcW w:w="217" w:type="dxa"/>
          </w:tcPr>
          <w:p w14:paraId="7C597F52" w14:textId="77777777" w:rsidR="002C0FD9" w:rsidRPr="00CA25CF" w:rsidRDefault="002C0FD9" w:rsidP="00CA25CF">
            <w:pPr>
              <w:rPr>
                <w:rFonts w:cs="Arial"/>
                <w:color w:val="FF0000"/>
                <w:sz w:val="21"/>
                <w:szCs w:val="21"/>
              </w:rPr>
            </w:pPr>
          </w:p>
        </w:tc>
        <w:tc>
          <w:tcPr>
            <w:tcW w:w="217" w:type="dxa"/>
          </w:tcPr>
          <w:p w14:paraId="107654B8" w14:textId="77777777" w:rsidR="002C0FD9" w:rsidRPr="00CA25CF" w:rsidRDefault="002C0FD9" w:rsidP="00CA25CF">
            <w:pPr>
              <w:rPr>
                <w:rFonts w:cs="Arial"/>
                <w:color w:val="FF0000"/>
                <w:sz w:val="21"/>
                <w:szCs w:val="21"/>
              </w:rPr>
            </w:pPr>
          </w:p>
        </w:tc>
        <w:tc>
          <w:tcPr>
            <w:tcW w:w="217" w:type="dxa"/>
          </w:tcPr>
          <w:p w14:paraId="269CC7EC" w14:textId="77777777" w:rsidR="002C0FD9" w:rsidRPr="00CA25CF" w:rsidRDefault="002C0FD9" w:rsidP="00CA25CF">
            <w:pPr>
              <w:rPr>
                <w:rFonts w:cs="Arial"/>
                <w:color w:val="FF0000"/>
                <w:sz w:val="21"/>
                <w:szCs w:val="21"/>
              </w:rPr>
            </w:pPr>
          </w:p>
        </w:tc>
        <w:tc>
          <w:tcPr>
            <w:tcW w:w="217" w:type="dxa"/>
          </w:tcPr>
          <w:p w14:paraId="67AE8199" w14:textId="77777777" w:rsidR="002C0FD9" w:rsidRPr="00CA25CF" w:rsidRDefault="002C0FD9" w:rsidP="00CA25CF">
            <w:pPr>
              <w:rPr>
                <w:rFonts w:cs="Arial"/>
                <w:color w:val="FF0000"/>
                <w:sz w:val="21"/>
                <w:szCs w:val="21"/>
              </w:rPr>
            </w:pPr>
          </w:p>
        </w:tc>
        <w:tc>
          <w:tcPr>
            <w:tcW w:w="217" w:type="dxa"/>
          </w:tcPr>
          <w:p w14:paraId="2CAEB4C2" w14:textId="77777777" w:rsidR="002C0FD9" w:rsidRPr="00CA25CF" w:rsidRDefault="002C0FD9" w:rsidP="00CA25CF">
            <w:pPr>
              <w:rPr>
                <w:rFonts w:cs="Arial"/>
                <w:color w:val="FF0000"/>
                <w:sz w:val="21"/>
                <w:szCs w:val="21"/>
              </w:rPr>
            </w:pPr>
          </w:p>
        </w:tc>
        <w:tc>
          <w:tcPr>
            <w:tcW w:w="217" w:type="dxa"/>
          </w:tcPr>
          <w:p w14:paraId="455938B7" w14:textId="77777777" w:rsidR="002C0FD9" w:rsidRPr="00CA25CF" w:rsidRDefault="002C0FD9" w:rsidP="00CA25CF">
            <w:pPr>
              <w:rPr>
                <w:rFonts w:cs="Arial"/>
                <w:color w:val="FF0000"/>
                <w:sz w:val="21"/>
                <w:szCs w:val="21"/>
              </w:rPr>
            </w:pPr>
          </w:p>
        </w:tc>
        <w:tc>
          <w:tcPr>
            <w:tcW w:w="217" w:type="dxa"/>
          </w:tcPr>
          <w:p w14:paraId="0AE18DD7" w14:textId="77777777" w:rsidR="002C0FD9" w:rsidRPr="00CA25CF" w:rsidRDefault="002C0FD9" w:rsidP="00CA25CF">
            <w:pPr>
              <w:rPr>
                <w:rFonts w:cs="Arial"/>
                <w:color w:val="FF0000"/>
                <w:sz w:val="21"/>
                <w:szCs w:val="21"/>
              </w:rPr>
            </w:pPr>
          </w:p>
        </w:tc>
        <w:tc>
          <w:tcPr>
            <w:tcW w:w="217" w:type="dxa"/>
          </w:tcPr>
          <w:p w14:paraId="0A0B1DEB" w14:textId="77777777" w:rsidR="002C0FD9" w:rsidRPr="00CA25CF" w:rsidRDefault="002C0FD9" w:rsidP="00CA25CF">
            <w:pPr>
              <w:rPr>
                <w:rFonts w:cs="Arial"/>
                <w:color w:val="FF0000"/>
                <w:sz w:val="21"/>
                <w:szCs w:val="21"/>
              </w:rPr>
            </w:pPr>
          </w:p>
        </w:tc>
        <w:tc>
          <w:tcPr>
            <w:tcW w:w="217" w:type="dxa"/>
          </w:tcPr>
          <w:p w14:paraId="6787654F" w14:textId="77777777" w:rsidR="002C0FD9" w:rsidRPr="00CA25CF" w:rsidRDefault="002C0FD9" w:rsidP="00CA25CF">
            <w:pPr>
              <w:rPr>
                <w:rFonts w:cs="Arial"/>
                <w:color w:val="FF0000"/>
                <w:sz w:val="21"/>
                <w:szCs w:val="21"/>
              </w:rPr>
            </w:pPr>
          </w:p>
        </w:tc>
        <w:tc>
          <w:tcPr>
            <w:tcW w:w="217" w:type="dxa"/>
          </w:tcPr>
          <w:p w14:paraId="50467698" w14:textId="77777777" w:rsidR="002C0FD9" w:rsidRPr="00CA25CF" w:rsidRDefault="002C0FD9" w:rsidP="00CA25CF">
            <w:pPr>
              <w:rPr>
                <w:rFonts w:cs="Arial"/>
                <w:color w:val="FF0000"/>
                <w:sz w:val="21"/>
                <w:szCs w:val="21"/>
              </w:rPr>
            </w:pPr>
          </w:p>
        </w:tc>
        <w:tc>
          <w:tcPr>
            <w:tcW w:w="217" w:type="dxa"/>
          </w:tcPr>
          <w:p w14:paraId="3A407877" w14:textId="77777777" w:rsidR="002C0FD9" w:rsidRPr="00CA25CF" w:rsidRDefault="002C0FD9" w:rsidP="00CA25CF">
            <w:pPr>
              <w:rPr>
                <w:rFonts w:cs="Arial"/>
                <w:color w:val="FF0000"/>
                <w:sz w:val="21"/>
                <w:szCs w:val="21"/>
              </w:rPr>
            </w:pPr>
          </w:p>
        </w:tc>
        <w:tc>
          <w:tcPr>
            <w:tcW w:w="217" w:type="dxa"/>
          </w:tcPr>
          <w:p w14:paraId="565A3F80" w14:textId="77777777" w:rsidR="002C0FD9" w:rsidRPr="00CA25CF" w:rsidRDefault="002C0FD9" w:rsidP="00CA25CF">
            <w:pPr>
              <w:rPr>
                <w:rFonts w:cs="Arial"/>
                <w:color w:val="FF0000"/>
                <w:sz w:val="21"/>
                <w:szCs w:val="21"/>
              </w:rPr>
            </w:pPr>
          </w:p>
        </w:tc>
        <w:tc>
          <w:tcPr>
            <w:tcW w:w="217" w:type="dxa"/>
          </w:tcPr>
          <w:p w14:paraId="5F42FC45" w14:textId="77777777" w:rsidR="002C0FD9" w:rsidRPr="00CA25CF" w:rsidRDefault="002C0FD9" w:rsidP="00CA25CF">
            <w:pPr>
              <w:rPr>
                <w:rFonts w:cs="Arial"/>
                <w:color w:val="FF0000"/>
                <w:sz w:val="21"/>
                <w:szCs w:val="21"/>
              </w:rPr>
            </w:pPr>
          </w:p>
        </w:tc>
        <w:tc>
          <w:tcPr>
            <w:tcW w:w="217" w:type="dxa"/>
          </w:tcPr>
          <w:p w14:paraId="27D4DD0D" w14:textId="77777777" w:rsidR="002C0FD9" w:rsidRPr="00CA25CF" w:rsidRDefault="002C0FD9" w:rsidP="00CA25CF">
            <w:pPr>
              <w:rPr>
                <w:rFonts w:cs="Arial"/>
                <w:color w:val="FF0000"/>
                <w:sz w:val="21"/>
                <w:szCs w:val="21"/>
              </w:rPr>
            </w:pPr>
          </w:p>
        </w:tc>
        <w:tc>
          <w:tcPr>
            <w:tcW w:w="217" w:type="dxa"/>
          </w:tcPr>
          <w:p w14:paraId="2C310A79" w14:textId="77777777" w:rsidR="002C0FD9" w:rsidRPr="00CA25CF" w:rsidRDefault="002C0FD9" w:rsidP="00CA25CF">
            <w:pPr>
              <w:rPr>
                <w:rFonts w:cs="Arial"/>
                <w:color w:val="FF0000"/>
                <w:sz w:val="21"/>
                <w:szCs w:val="21"/>
              </w:rPr>
            </w:pPr>
          </w:p>
        </w:tc>
        <w:tc>
          <w:tcPr>
            <w:tcW w:w="217" w:type="dxa"/>
          </w:tcPr>
          <w:p w14:paraId="706B9A1F" w14:textId="77777777" w:rsidR="002C0FD9" w:rsidRPr="00CA25CF" w:rsidRDefault="002C0FD9" w:rsidP="00CA25CF">
            <w:pPr>
              <w:rPr>
                <w:rFonts w:cs="Arial"/>
                <w:color w:val="FF0000"/>
                <w:sz w:val="21"/>
                <w:szCs w:val="21"/>
              </w:rPr>
            </w:pPr>
          </w:p>
        </w:tc>
        <w:tc>
          <w:tcPr>
            <w:tcW w:w="217" w:type="dxa"/>
          </w:tcPr>
          <w:p w14:paraId="6B04931E" w14:textId="77777777" w:rsidR="002C0FD9" w:rsidRPr="00CA25CF" w:rsidRDefault="002C0FD9" w:rsidP="00CA25CF">
            <w:pPr>
              <w:rPr>
                <w:rFonts w:cs="Arial"/>
                <w:color w:val="FF0000"/>
                <w:sz w:val="21"/>
                <w:szCs w:val="21"/>
              </w:rPr>
            </w:pPr>
          </w:p>
        </w:tc>
      </w:tr>
      <w:tr w:rsidR="002C0FD9" w:rsidRPr="00A16219" w14:paraId="14C88DEB" w14:textId="77777777" w:rsidTr="002C0FD9">
        <w:trPr>
          <w:trHeight w:val="635"/>
        </w:trPr>
        <w:tc>
          <w:tcPr>
            <w:tcW w:w="515" w:type="dxa"/>
          </w:tcPr>
          <w:p w14:paraId="191A3699" w14:textId="77777777" w:rsidR="002C0FD9" w:rsidRPr="00CA25CF" w:rsidRDefault="002C0FD9" w:rsidP="00CA25CF">
            <w:pPr>
              <w:rPr>
                <w:rFonts w:cs="Arial"/>
                <w:color w:val="FF0000"/>
                <w:sz w:val="21"/>
                <w:szCs w:val="21"/>
              </w:rPr>
            </w:pPr>
          </w:p>
        </w:tc>
        <w:tc>
          <w:tcPr>
            <w:tcW w:w="217" w:type="dxa"/>
          </w:tcPr>
          <w:p w14:paraId="1DAD46ED" w14:textId="77777777" w:rsidR="002C0FD9" w:rsidRPr="00CA25CF" w:rsidRDefault="002C0FD9" w:rsidP="00CA25CF">
            <w:pPr>
              <w:rPr>
                <w:rFonts w:cs="Arial"/>
                <w:color w:val="FF0000"/>
                <w:sz w:val="21"/>
                <w:szCs w:val="21"/>
              </w:rPr>
            </w:pPr>
          </w:p>
        </w:tc>
        <w:tc>
          <w:tcPr>
            <w:tcW w:w="217" w:type="dxa"/>
          </w:tcPr>
          <w:p w14:paraId="1B86C68B" w14:textId="77777777" w:rsidR="002C0FD9" w:rsidRPr="00CA25CF" w:rsidRDefault="002C0FD9" w:rsidP="00CA25CF">
            <w:pPr>
              <w:rPr>
                <w:rFonts w:cs="Arial"/>
                <w:color w:val="FF0000"/>
                <w:sz w:val="21"/>
                <w:szCs w:val="21"/>
              </w:rPr>
            </w:pPr>
          </w:p>
        </w:tc>
        <w:tc>
          <w:tcPr>
            <w:tcW w:w="217" w:type="dxa"/>
          </w:tcPr>
          <w:p w14:paraId="1C7B912C" w14:textId="77777777" w:rsidR="002C0FD9" w:rsidRPr="00CA25CF" w:rsidRDefault="002C0FD9" w:rsidP="00CA25CF">
            <w:pPr>
              <w:rPr>
                <w:rFonts w:cs="Arial"/>
                <w:color w:val="FF0000"/>
                <w:sz w:val="21"/>
                <w:szCs w:val="21"/>
              </w:rPr>
            </w:pPr>
          </w:p>
        </w:tc>
        <w:tc>
          <w:tcPr>
            <w:tcW w:w="217" w:type="dxa"/>
          </w:tcPr>
          <w:p w14:paraId="4B7D142F" w14:textId="77777777" w:rsidR="002C0FD9" w:rsidRPr="00CA25CF" w:rsidRDefault="002C0FD9" w:rsidP="00CA25CF">
            <w:pPr>
              <w:rPr>
                <w:rFonts w:cs="Arial"/>
                <w:color w:val="FF0000"/>
                <w:sz w:val="21"/>
                <w:szCs w:val="21"/>
              </w:rPr>
            </w:pPr>
          </w:p>
        </w:tc>
        <w:tc>
          <w:tcPr>
            <w:tcW w:w="217" w:type="dxa"/>
          </w:tcPr>
          <w:p w14:paraId="187C28B1" w14:textId="77777777" w:rsidR="002C0FD9" w:rsidRPr="00CA25CF" w:rsidRDefault="002C0FD9" w:rsidP="00CA25CF">
            <w:pPr>
              <w:rPr>
                <w:rFonts w:cs="Arial"/>
                <w:color w:val="FF0000"/>
                <w:sz w:val="21"/>
                <w:szCs w:val="21"/>
              </w:rPr>
            </w:pPr>
          </w:p>
        </w:tc>
        <w:tc>
          <w:tcPr>
            <w:tcW w:w="217" w:type="dxa"/>
          </w:tcPr>
          <w:p w14:paraId="6E31CB11" w14:textId="77777777" w:rsidR="002C0FD9" w:rsidRPr="00CA25CF" w:rsidRDefault="002C0FD9" w:rsidP="00CA25CF">
            <w:pPr>
              <w:rPr>
                <w:rFonts w:cs="Arial"/>
                <w:color w:val="FF0000"/>
                <w:sz w:val="21"/>
                <w:szCs w:val="21"/>
              </w:rPr>
            </w:pPr>
          </w:p>
        </w:tc>
        <w:tc>
          <w:tcPr>
            <w:tcW w:w="217" w:type="dxa"/>
          </w:tcPr>
          <w:p w14:paraId="074830EF" w14:textId="77777777" w:rsidR="002C0FD9" w:rsidRPr="00CA25CF" w:rsidRDefault="002C0FD9" w:rsidP="00CA25CF">
            <w:pPr>
              <w:rPr>
                <w:rFonts w:cs="Arial"/>
                <w:color w:val="FF0000"/>
                <w:sz w:val="21"/>
                <w:szCs w:val="21"/>
              </w:rPr>
            </w:pPr>
          </w:p>
        </w:tc>
        <w:tc>
          <w:tcPr>
            <w:tcW w:w="217" w:type="dxa"/>
          </w:tcPr>
          <w:p w14:paraId="7789E78F" w14:textId="77777777" w:rsidR="002C0FD9" w:rsidRPr="00CA25CF" w:rsidRDefault="002C0FD9" w:rsidP="00CA25CF">
            <w:pPr>
              <w:rPr>
                <w:rFonts w:cs="Arial"/>
                <w:color w:val="FF0000"/>
                <w:sz w:val="21"/>
                <w:szCs w:val="21"/>
              </w:rPr>
            </w:pPr>
          </w:p>
        </w:tc>
        <w:tc>
          <w:tcPr>
            <w:tcW w:w="217" w:type="dxa"/>
          </w:tcPr>
          <w:p w14:paraId="008555A2" w14:textId="77777777" w:rsidR="002C0FD9" w:rsidRPr="00CA25CF" w:rsidRDefault="002C0FD9" w:rsidP="00CA25CF">
            <w:pPr>
              <w:rPr>
                <w:rFonts w:cs="Arial"/>
                <w:color w:val="FF0000"/>
                <w:sz w:val="21"/>
                <w:szCs w:val="21"/>
              </w:rPr>
            </w:pPr>
          </w:p>
        </w:tc>
        <w:tc>
          <w:tcPr>
            <w:tcW w:w="217" w:type="dxa"/>
          </w:tcPr>
          <w:p w14:paraId="1632E4EC" w14:textId="77777777" w:rsidR="002C0FD9" w:rsidRPr="00CA25CF" w:rsidRDefault="002C0FD9" w:rsidP="00CA25CF">
            <w:pPr>
              <w:rPr>
                <w:rFonts w:cs="Arial"/>
                <w:color w:val="FF0000"/>
                <w:sz w:val="21"/>
                <w:szCs w:val="21"/>
              </w:rPr>
            </w:pPr>
          </w:p>
        </w:tc>
        <w:tc>
          <w:tcPr>
            <w:tcW w:w="217" w:type="dxa"/>
          </w:tcPr>
          <w:p w14:paraId="3984E6A3" w14:textId="77777777" w:rsidR="002C0FD9" w:rsidRPr="00CA25CF" w:rsidRDefault="002C0FD9" w:rsidP="00CA25CF">
            <w:pPr>
              <w:rPr>
                <w:rFonts w:cs="Arial"/>
                <w:color w:val="FF0000"/>
                <w:sz w:val="21"/>
                <w:szCs w:val="21"/>
              </w:rPr>
            </w:pPr>
          </w:p>
        </w:tc>
        <w:tc>
          <w:tcPr>
            <w:tcW w:w="217" w:type="dxa"/>
          </w:tcPr>
          <w:p w14:paraId="3A90C356" w14:textId="77777777" w:rsidR="002C0FD9" w:rsidRPr="00CA25CF" w:rsidRDefault="002C0FD9" w:rsidP="00CA25CF">
            <w:pPr>
              <w:rPr>
                <w:rFonts w:cs="Arial"/>
                <w:color w:val="FF0000"/>
                <w:sz w:val="21"/>
                <w:szCs w:val="21"/>
              </w:rPr>
            </w:pPr>
          </w:p>
        </w:tc>
        <w:tc>
          <w:tcPr>
            <w:tcW w:w="217" w:type="dxa"/>
          </w:tcPr>
          <w:p w14:paraId="5EA27A61" w14:textId="77777777" w:rsidR="002C0FD9" w:rsidRPr="00CA25CF" w:rsidRDefault="002C0FD9" w:rsidP="00CA25CF">
            <w:pPr>
              <w:rPr>
                <w:rFonts w:cs="Arial"/>
                <w:color w:val="FF0000"/>
                <w:sz w:val="21"/>
                <w:szCs w:val="21"/>
              </w:rPr>
            </w:pPr>
          </w:p>
        </w:tc>
        <w:tc>
          <w:tcPr>
            <w:tcW w:w="217" w:type="dxa"/>
          </w:tcPr>
          <w:p w14:paraId="1A3DC7AA" w14:textId="77777777" w:rsidR="002C0FD9" w:rsidRPr="00CA25CF" w:rsidRDefault="002C0FD9" w:rsidP="00CA25CF">
            <w:pPr>
              <w:rPr>
                <w:rFonts w:cs="Arial"/>
                <w:color w:val="FF0000"/>
                <w:sz w:val="21"/>
                <w:szCs w:val="21"/>
              </w:rPr>
            </w:pPr>
          </w:p>
        </w:tc>
        <w:tc>
          <w:tcPr>
            <w:tcW w:w="217" w:type="dxa"/>
          </w:tcPr>
          <w:p w14:paraId="4F2171DD" w14:textId="77777777" w:rsidR="002C0FD9" w:rsidRPr="00CA25CF" w:rsidRDefault="002C0FD9" w:rsidP="00CA25CF">
            <w:pPr>
              <w:rPr>
                <w:rFonts w:cs="Arial"/>
                <w:color w:val="FF0000"/>
                <w:sz w:val="21"/>
                <w:szCs w:val="21"/>
              </w:rPr>
            </w:pPr>
          </w:p>
        </w:tc>
        <w:tc>
          <w:tcPr>
            <w:tcW w:w="217" w:type="dxa"/>
          </w:tcPr>
          <w:p w14:paraId="511A1276" w14:textId="77777777" w:rsidR="002C0FD9" w:rsidRPr="00CA25CF" w:rsidRDefault="002C0FD9" w:rsidP="00CA25CF">
            <w:pPr>
              <w:rPr>
                <w:rFonts w:cs="Arial"/>
                <w:color w:val="FF0000"/>
                <w:sz w:val="21"/>
                <w:szCs w:val="21"/>
              </w:rPr>
            </w:pPr>
          </w:p>
        </w:tc>
        <w:tc>
          <w:tcPr>
            <w:tcW w:w="217" w:type="dxa"/>
          </w:tcPr>
          <w:p w14:paraId="70431746" w14:textId="77777777" w:rsidR="002C0FD9" w:rsidRPr="00CA25CF" w:rsidRDefault="002C0FD9" w:rsidP="00CA25CF">
            <w:pPr>
              <w:rPr>
                <w:rFonts w:cs="Arial"/>
                <w:color w:val="FF0000"/>
                <w:sz w:val="21"/>
                <w:szCs w:val="21"/>
              </w:rPr>
            </w:pPr>
          </w:p>
        </w:tc>
        <w:tc>
          <w:tcPr>
            <w:tcW w:w="217" w:type="dxa"/>
          </w:tcPr>
          <w:p w14:paraId="58E0D389" w14:textId="77777777" w:rsidR="002C0FD9" w:rsidRPr="00CA25CF" w:rsidRDefault="002C0FD9" w:rsidP="00CA25CF">
            <w:pPr>
              <w:rPr>
                <w:rFonts w:cs="Arial"/>
                <w:color w:val="FF0000"/>
                <w:sz w:val="21"/>
                <w:szCs w:val="21"/>
              </w:rPr>
            </w:pPr>
          </w:p>
        </w:tc>
        <w:tc>
          <w:tcPr>
            <w:tcW w:w="217" w:type="dxa"/>
          </w:tcPr>
          <w:p w14:paraId="44201964" w14:textId="77777777" w:rsidR="002C0FD9" w:rsidRPr="00CA25CF" w:rsidRDefault="002C0FD9" w:rsidP="00CA25CF">
            <w:pPr>
              <w:rPr>
                <w:rFonts w:cs="Arial"/>
                <w:color w:val="FF0000"/>
                <w:sz w:val="21"/>
                <w:szCs w:val="21"/>
              </w:rPr>
            </w:pPr>
          </w:p>
        </w:tc>
        <w:tc>
          <w:tcPr>
            <w:tcW w:w="217" w:type="dxa"/>
          </w:tcPr>
          <w:p w14:paraId="1E7AFD61" w14:textId="77777777" w:rsidR="002C0FD9" w:rsidRPr="00CA25CF" w:rsidRDefault="002C0FD9" w:rsidP="00CA25CF">
            <w:pPr>
              <w:rPr>
                <w:rFonts w:cs="Arial"/>
                <w:color w:val="FF0000"/>
                <w:sz w:val="21"/>
                <w:szCs w:val="21"/>
              </w:rPr>
            </w:pPr>
          </w:p>
        </w:tc>
        <w:tc>
          <w:tcPr>
            <w:tcW w:w="217" w:type="dxa"/>
          </w:tcPr>
          <w:p w14:paraId="6F5722DD" w14:textId="77777777" w:rsidR="002C0FD9" w:rsidRPr="00CA25CF" w:rsidRDefault="002C0FD9" w:rsidP="00CA25CF">
            <w:pPr>
              <w:rPr>
                <w:rFonts w:cs="Arial"/>
                <w:color w:val="FF0000"/>
                <w:sz w:val="21"/>
                <w:szCs w:val="21"/>
              </w:rPr>
            </w:pPr>
          </w:p>
        </w:tc>
        <w:tc>
          <w:tcPr>
            <w:tcW w:w="217" w:type="dxa"/>
          </w:tcPr>
          <w:p w14:paraId="7CE17410" w14:textId="77777777" w:rsidR="002C0FD9" w:rsidRPr="00CA25CF" w:rsidRDefault="002C0FD9" w:rsidP="00CA25CF">
            <w:pPr>
              <w:rPr>
                <w:rFonts w:cs="Arial"/>
                <w:color w:val="FF0000"/>
                <w:sz w:val="21"/>
                <w:szCs w:val="21"/>
              </w:rPr>
            </w:pPr>
          </w:p>
        </w:tc>
        <w:tc>
          <w:tcPr>
            <w:tcW w:w="217" w:type="dxa"/>
          </w:tcPr>
          <w:p w14:paraId="702E8CB6" w14:textId="77777777" w:rsidR="002C0FD9" w:rsidRPr="00CA25CF" w:rsidRDefault="002C0FD9" w:rsidP="00CA25CF">
            <w:pPr>
              <w:rPr>
                <w:rFonts w:cs="Arial"/>
                <w:color w:val="FF0000"/>
                <w:sz w:val="21"/>
                <w:szCs w:val="21"/>
              </w:rPr>
            </w:pPr>
          </w:p>
        </w:tc>
        <w:tc>
          <w:tcPr>
            <w:tcW w:w="217" w:type="dxa"/>
          </w:tcPr>
          <w:p w14:paraId="44D9088B" w14:textId="77777777" w:rsidR="002C0FD9" w:rsidRPr="00CA25CF" w:rsidRDefault="002C0FD9" w:rsidP="00CA25CF">
            <w:pPr>
              <w:rPr>
                <w:rFonts w:cs="Arial"/>
                <w:color w:val="FF0000"/>
                <w:sz w:val="21"/>
                <w:szCs w:val="21"/>
              </w:rPr>
            </w:pPr>
          </w:p>
        </w:tc>
        <w:tc>
          <w:tcPr>
            <w:tcW w:w="217" w:type="dxa"/>
          </w:tcPr>
          <w:p w14:paraId="5529A206" w14:textId="77777777" w:rsidR="002C0FD9" w:rsidRPr="00CA25CF" w:rsidRDefault="002C0FD9" w:rsidP="00CA25CF">
            <w:pPr>
              <w:rPr>
                <w:rFonts w:cs="Arial"/>
                <w:color w:val="FF0000"/>
                <w:sz w:val="21"/>
                <w:szCs w:val="21"/>
              </w:rPr>
            </w:pPr>
          </w:p>
        </w:tc>
        <w:tc>
          <w:tcPr>
            <w:tcW w:w="217" w:type="dxa"/>
          </w:tcPr>
          <w:p w14:paraId="39399EBD" w14:textId="77777777" w:rsidR="002C0FD9" w:rsidRPr="00CA25CF" w:rsidRDefault="002C0FD9" w:rsidP="00CA25CF">
            <w:pPr>
              <w:rPr>
                <w:rFonts w:cs="Arial"/>
                <w:color w:val="FF0000"/>
                <w:sz w:val="21"/>
                <w:szCs w:val="21"/>
              </w:rPr>
            </w:pPr>
          </w:p>
        </w:tc>
        <w:tc>
          <w:tcPr>
            <w:tcW w:w="217" w:type="dxa"/>
          </w:tcPr>
          <w:p w14:paraId="728B9B57" w14:textId="77777777" w:rsidR="002C0FD9" w:rsidRPr="00CA25CF" w:rsidRDefault="002C0FD9" w:rsidP="00CA25CF">
            <w:pPr>
              <w:rPr>
                <w:rFonts w:cs="Arial"/>
                <w:color w:val="FF0000"/>
                <w:sz w:val="21"/>
                <w:szCs w:val="21"/>
              </w:rPr>
            </w:pPr>
          </w:p>
        </w:tc>
        <w:tc>
          <w:tcPr>
            <w:tcW w:w="217" w:type="dxa"/>
          </w:tcPr>
          <w:p w14:paraId="70D33AE9" w14:textId="77777777" w:rsidR="002C0FD9" w:rsidRPr="00CA25CF" w:rsidRDefault="002C0FD9" w:rsidP="00CA25CF">
            <w:pPr>
              <w:rPr>
                <w:rFonts w:cs="Arial"/>
                <w:color w:val="FF0000"/>
                <w:sz w:val="21"/>
                <w:szCs w:val="21"/>
              </w:rPr>
            </w:pPr>
          </w:p>
        </w:tc>
        <w:tc>
          <w:tcPr>
            <w:tcW w:w="217" w:type="dxa"/>
          </w:tcPr>
          <w:p w14:paraId="7287E278" w14:textId="77777777" w:rsidR="002C0FD9" w:rsidRPr="00CA25CF" w:rsidRDefault="002C0FD9" w:rsidP="00CA25CF">
            <w:pPr>
              <w:rPr>
                <w:rFonts w:cs="Arial"/>
                <w:color w:val="FF0000"/>
                <w:sz w:val="21"/>
                <w:szCs w:val="21"/>
              </w:rPr>
            </w:pPr>
          </w:p>
        </w:tc>
        <w:tc>
          <w:tcPr>
            <w:tcW w:w="217" w:type="dxa"/>
          </w:tcPr>
          <w:p w14:paraId="6208101A" w14:textId="77777777" w:rsidR="002C0FD9" w:rsidRPr="00CA25CF" w:rsidRDefault="002C0FD9" w:rsidP="00CA25CF">
            <w:pPr>
              <w:rPr>
                <w:rFonts w:cs="Arial"/>
                <w:color w:val="FF0000"/>
                <w:sz w:val="21"/>
                <w:szCs w:val="21"/>
              </w:rPr>
            </w:pPr>
          </w:p>
        </w:tc>
        <w:tc>
          <w:tcPr>
            <w:tcW w:w="217" w:type="dxa"/>
          </w:tcPr>
          <w:p w14:paraId="6A5E8EAF" w14:textId="77777777" w:rsidR="002C0FD9" w:rsidRPr="00CA25CF" w:rsidRDefault="002C0FD9" w:rsidP="00CA25CF">
            <w:pPr>
              <w:rPr>
                <w:rFonts w:cs="Arial"/>
                <w:color w:val="FF0000"/>
                <w:sz w:val="21"/>
                <w:szCs w:val="21"/>
              </w:rPr>
            </w:pPr>
          </w:p>
        </w:tc>
        <w:tc>
          <w:tcPr>
            <w:tcW w:w="217" w:type="dxa"/>
          </w:tcPr>
          <w:p w14:paraId="4894B63A" w14:textId="77777777" w:rsidR="002C0FD9" w:rsidRPr="00CA25CF" w:rsidRDefault="002C0FD9" w:rsidP="00CA25CF">
            <w:pPr>
              <w:rPr>
                <w:rFonts w:cs="Arial"/>
                <w:color w:val="FF0000"/>
                <w:sz w:val="21"/>
                <w:szCs w:val="21"/>
              </w:rPr>
            </w:pPr>
          </w:p>
        </w:tc>
        <w:tc>
          <w:tcPr>
            <w:tcW w:w="217" w:type="dxa"/>
          </w:tcPr>
          <w:p w14:paraId="0C1FA312" w14:textId="77777777" w:rsidR="002C0FD9" w:rsidRPr="00CA25CF" w:rsidRDefault="002C0FD9" w:rsidP="00CA25CF">
            <w:pPr>
              <w:rPr>
                <w:rFonts w:cs="Arial"/>
                <w:color w:val="FF0000"/>
                <w:sz w:val="21"/>
                <w:szCs w:val="21"/>
              </w:rPr>
            </w:pPr>
          </w:p>
        </w:tc>
        <w:tc>
          <w:tcPr>
            <w:tcW w:w="217" w:type="dxa"/>
          </w:tcPr>
          <w:p w14:paraId="34BF8E68" w14:textId="77777777" w:rsidR="002C0FD9" w:rsidRPr="00CA25CF" w:rsidRDefault="002C0FD9" w:rsidP="00CA25CF">
            <w:pPr>
              <w:rPr>
                <w:rFonts w:cs="Arial"/>
                <w:color w:val="FF0000"/>
                <w:sz w:val="21"/>
                <w:szCs w:val="21"/>
              </w:rPr>
            </w:pPr>
          </w:p>
        </w:tc>
        <w:tc>
          <w:tcPr>
            <w:tcW w:w="217" w:type="dxa"/>
          </w:tcPr>
          <w:p w14:paraId="33C6ED58" w14:textId="77777777" w:rsidR="002C0FD9" w:rsidRPr="00CA25CF" w:rsidRDefault="002C0FD9" w:rsidP="00CA25CF">
            <w:pPr>
              <w:rPr>
                <w:rFonts w:cs="Arial"/>
                <w:color w:val="FF0000"/>
                <w:sz w:val="21"/>
                <w:szCs w:val="21"/>
              </w:rPr>
            </w:pPr>
          </w:p>
        </w:tc>
        <w:tc>
          <w:tcPr>
            <w:tcW w:w="217" w:type="dxa"/>
          </w:tcPr>
          <w:p w14:paraId="718C2055" w14:textId="77777777" w:rsidR="002C0FD9" w:rsidRPr="00CA25CF" w:rsidRDefault="002C0FD9" w:rsidP="00CA25CF">
            <w:pPr>
              <w:rPr>
                <w:rFonts w:cs="Arial"/>
                <w:color w:val="FF0000"/>
                <w:sz w:val="21"/>
                <w:szCs w:val="21"/>
              </w:rPr>
            </w:pPr>
          </w:p>
        </w:tc>
        <w:tc>
          <w:tcPr>
            <w:tcW w:w="217" w:type="dxa"/>
          </w:tcPr>
          <w:p w14:paraId="27C15524" w14:textId="77777777" w:rsidR="002C0FD9" w:rsidRPr="00CA25CF" w:rsidRDefault="002C0FD9" w:rsidP="00CA25CF">
            <w:pPr>
              <w:rPr>
                <w:rFonts w:cs="Arial"/>
                <w:color w:val="FF0000"/>
                <w:sz w:val="21"/>
                <w:szCs w:val="21"/>
              </w:rPr>
            </w:pPr>
          </w:p>
        </w:tc>
        <w:tc>
          <w:tcPr>
            <w:tcW w:w="217" w:type="dxa"/>
          </w:tcPr>
          <w:p w14:paraId="3EEC0E16" w14:textId="77777777" w:rsidR="002C0FD9" w:rsidRPr="00CA25CF" w:rsidRDefault="002C0FD9" w:rsidP="00CA25CF">
            <w:pPr>
              <w:rPr>
                <w:rFonts w:cs="Arial"/>
                <w:color w:val="FF0000"/>
                <w:sz w:val="21"/>
                <w:szCs w:val="21"/>
              </w:rPr>
            </w:pPr>
          </w:p>
        </w:tc>
        <w:tc>
          <w:tcPr>
            <w:tcW w:w="217" w:type="dxa"/>
          </w:tcPr>
          <w:p w14:paraId="00E52AD4" w14:textId="77777777" w:rsidR="002C0FD9" w:rsidRPr="00CA25CF" w:rsidRDefault="002C0FD9" w:rsidP="00CA25CF">
            <w:pPr>
              <w:rPr>
                <w:rFonts w:cs="Arial"/>
                <w:color w:val="FF0000"/>
                <w:sz w:val="21"/>
                <w:szCs w:val="21"/>
              </w:rPr>
            </w:pPr>
          </w:p>
        </w:tc>
        <w:tc>
          <w:tcPr>
            <w:tcW w:w="217" w:type="dxa"/>
          </w:tcPr>
          <w:p w14:paraId="72A8A968" w14:textId="77777777" w:rsidR="002C0FD9" w:rsidRPr="00CA25CF" w:rsidRDefault="002C0FD9" w:rsidP="00CA25CF">
            <w:pPr>
              <w:rPr>
                <w:rFonts w:cs="Arial"/>
                <w:color w:val="FF0000"/>
                <w:sz w:val="21"/>
                <w:szCs w:val="21"/>
              </w:rPr>
            </w:pPr>
          </w:p>
        </w:tc>
        <w:tc>
          <w:tcPr>
            <w:tcW w:w="217" w:type="dxa"/>
          </w:tcPr>
          <w:p w14:paraId="4B77E2EF" w14:textId="77777777" w:rsidR="002C0FD9" w:rsidRPr="00CA25CF" w:rsidRDefault="002C0FD9" w:rsidP="00CA25CF">
            <w:pPr>
              <w:rPr>
                <w:rFonts w:cs="Arial"/>
                <w:color w:val="FF0000"/>
                <w:sz w:val="21"/>
                <w:szCs w:val="21"/>
              </w:rPr>
            </w:pPr>
          </w:p>
        </w:tc>
        <w:tc>
          <w:tcPr>
            <w:tcW w:w="217" w:type="dxa"/>
          </w:tcPr>
          <w:p w14:paraId="5149BC45" w14:textId="77777777" w:rsidR="002C0FD9" w:rsidRPr="00CA25CF" w:rsidRDefault="002C0FD9" w:rsidP="00CA25CF">
            <w:pPr>
              <w:rPr>
                <w:rFonts w:cs="Arial"/>
                <w:color w:val="FF0000"/>
                <w:sz w:val="21"/>
                <w:szCs w:val="21"/>
              </w:rPr>
            </w:pPr>
          </w:p>
        </w:tc>
      </w:tr>
      <w:tr w:rsidR="002C0FD9" w:rsidRPr="00A16219" w14:paraId="2BBFFEC2" w14:textId="77777777" w:rsidTr="002C0FD9">
        <w:trPr>
          <w:trHeight w:val="635"/>
        </w:trPr>
        <w:tc>
          <w:tcPr>
            <w:tcW w:w="515" w:type="dxa"/>
          </w:tcPr>
          <w:p w14:paraId="6CF92498" w14:textId="77777777" w:rsidR="002C0FD9" w:rsidRPr="00CA25CF" w:rsidRDefault="002C0FD9" w:rsidP="00CA25CF">
            <w:pPr>
              <w:rPr>
                <w:rFonts w:cs="Arial"/>
                <w:color w:val="FF0000"/>
                <w:sz w:val="21"/>
                <w:szCs w:val="21"/>
              </w:rPr>
            </w:pPr>
          </w:p>
        </w:tc>
        <w:tc>
          <w:tcPr>
            <w:tcW w:w="217" w:type="dxa"/>
          </w:tcPr>
          <w:p w14:paraId="2CFDCC36" w14:textId="77777777" w:rsidR="002C0FD9" w:rsidRPr="00CA25CF" w:rsidRDefault="002C0FD9" w:rsidP="00CA25CF">
            <w:pPr>
              <w:rPr>
                <w:rFonts w:cs="Arial"/>
                <w:color w:val="FF0000"/>
                <w:sz w:val="21"/>
                <w:szCs w:val="21"/>
              </w:rPr>
            </w:pPr>
          </w:p>
        </w:tc>
        <w:tc>
          <w:tcPr>
            <w:tcW w:w="217" w:type="dxa"/>
          </w:tcPr>
          <w:p w14:paraId="1F900A29" w14:textId="77777777" w:rsidR="002C0FD9" w:rsidRPr="00CA25CF" w:rsidRDefault="002C0FD9" w:rsidP="00CA25CF">
            <w:pPr>
              <w:rPr>
                <w:rFonts w:cs="Arial"/>
                <w:color w:val="FF0000"/>
                <w:sz w:val="21"/>
                <w:szCs w:val="21"/>
              </w:rPr>
            </w:pPr>
          </w:p>
        </w:tc>
        <w:tc>
          <w:tcPr>
            <w:tcW w:w="217" w:type="dxa"/>
          </w:tcPr>
          <w:p w14:paraId="73E298DD" w14:textId="77777777" w:rsidR="002C0FD9" w:rsidRPr="00CA25CF" w:rsidRDefault="002C0FD9" w:rsidP="00CA25CF">
            <w:pPr>
              <w:rPr>
                <w:rFonts w:cs="Arial"/>
                <w:color w:val="FF0000"/>
                <w:sz w:val="21"/>
                <w:szCs w:val="21"/>
              </w:rPr>
            </w:pPr>
          </w:p>
        </w:tc>
        <w:tc>
          <w:tcPr>
            <w:tcW w:w="217" w:type="dxa"/>
          </w:tcPr>
          <w:p w14:paraId="570F4B8C" w14:textId="77777777" w:rsidR="002C0FD9" w:rsidRPr="00CA25CF" w:rsidRDefault="002C0FD9" w:rsidP="00CA25CF">
            <w:pPr>
              <w:rPr>
                <w:rFonts w:cs="Arial"/>
                <w:color w:val="FF0000"/>
                <w:sz w:val="21"/>
                <w:szCs w:val="21"/>
              </w:rPr>
            </w:pPr>
          </w:p>
        </w:tc>
        <w:tc>
          <w:tcPr>
            <w:tcW w:w="217" w:type="dxa"/>
          </w:tcPr>
          <w:p w14:paraId="00D21E0B" w14:textId="77777777" w:rsidR="002C0FD9" w:rsidRPr="00CA25CF" w:rsidRDefault="002C0FD9" w:rsidP="00CA25CF">
            <w:pPr>
              <w:rPr>
                <w:rFonts w:cs="Arial"/>
                <w:color w:val="FF0000"/>
                <w:sz w:val="21"/>
                <w:szCs w:val="21"/>
              </w:rPr>
            </w:pPr>
          </w:p>
        </w:tc>
        <w:tc>
          <w:tcPr>
            <w:tcW w:w="217" w:type="dxa"/>
          </w:tcPr>
          <w:p w14:paraId="17D739DB" w14:textId="77777777" w:rsidR="002C0FD9" w:rsidRPr="00CA25CF" w:rsidRDefault="002C0FD9" w:rsidP="00CA25CF">
            <w:pPr>
              <w:rPr>
                <w:rFonts w:cs="Arial"/>
                <w:color w:val="FF0000"/>
                <w:sz w:val="21"/>
                <w:szCs w:val="21"/>
              </w:rPr>
            </w:pPr>
          </w:p>
        </w:tc>
        <w:tc>
          <w:tcPr>
            <w:tcW w:w="217" w:type="dxa"/>
          </w:tcPr>
          <w:p w14:paraId="36D34055" w14:textId="77777777" w:rsidR="002C0FD9" w:rsidRPr="00CA25CF" w:rsidRDefault="002C0FD9" w:rsidP="00CA25CF">
            <w:pPr>
              <w:rPr>
                <w:rFonts w:cs="Arial"/>
                <w:color w:val="FF0000"/>
                <w:sz w:val="21"/>
                <w:szCs w:val="21"/>
              </w:rPr>
            </w:pPr>
          </w:p>
        </w:tc>
        <w:tc>
          <w:tcPr>
            <w:tcW w:w="217" w:type="dxa"/>
          </w:tcPr>
          <w:p w14:paraId="6157BD94" w14:textId="77777777" w:rsidR="002C0FD9" w:rsidRPr="00CA25CF" w:rsidRDefault="002C0FD9" w:rsidP="00CA25CF">
            <w:pPr>
              <w:rPr>
                <w:rFonts w:cs="Arial"/>
                <w:color w:val="FF0000"/>
                <w:sz w:val="21"/>
                <w:szCs w:val="21"/>
              </w:rPr>
            </w:pPr>
          </w:p>
        </w:tc>
        <w:tc>
          <w:tcPr>
            <w:tcW w:w="217" w:type="dxa"/>
          </w:tcPr>
          <w:p w14:paraId="7E10BDF0" w14:textId="77777777" w:rsidR="002C0FD9" w:rsidRPr="00CA25CF" w:rsidRDefault="002C0FD9" w:rsidP="00CA25CF">
            <w:pPr>
              <w:rPr>
                <w:rFonts w:cs="Arial"/>
                <w:color w:val="FF0000"/>
                <w:sz w:val="21"/>
                <w:szCs w:val="21"/>
              </w:rPr>
            </w:pPr>
          </w:p>
        </w:tc>
        <w:tc>
          <w:tcPr>
            <w:tcW w:w="217" w:type="dxa"/>
          </w:tcPr>
          <w:p w14:paraId="6353A4F5" w14:textId="77777777" w:rsidR="002C0FD9" w:rsidRPr="00CA25CF" w:rsidRDefault="002C0FD9" w:rsidP="00CA25CF">
            <w:pPr>
              <w:rPr>
                <w:rFonts w:cs="Arial"/>
                <w:color w:val="FF0000"/>
                <w:sz w:val="21"/>
                <w:szCs w:val="21"/>
              </w:rPr>
            </w:pPr>
          </w:p>
        </w:tc>
        <w:tc>
          <w:tcPr>
            <w:tcW w:w="217" w:type="dxa"/>
          </w:tcPr>
          <w:p w14:paraId="1AEC461D" w14:textId="77777777" w:rsidR="002C0FD9" w:rsidRPr="00CA25CF" w:rsidRDefault="002C0FD9" w:rsidP="00CA25CF">
            <w:pPr>
              <w:rPr>
                <w:rFonts w:cs="Arial"/>
                <w:color w:val="FF0000"/>
                <w:sz w:val="21"/>
                <w:szCs w:val="21"/>
              </w:rPr>
            </w:pPr>
          </w:p>
        </w:tc>
        <w:tc>
          <w:tcPr>
            <w:tcW w:w="217" w:type="dxa"/>
          </w:tcPr>
          <w:p w14:paraId="754A8AB8" w14:textId="77777777" w:rsidR="002C0FD9" w:rsidRPr="00CA25CF" w:rsidRDefault="002C0FD9" w:rsidP="00CA25CF">
            <w:pPr>
              <w:rPr>
                <w:rFonts w:cs="Arial"/>
                <w:color w:val="FF0000"/>
                <w:sz w:val="21"/>
                <w:szCs w:val="21"/>
              </w:rPr>
            </w:pPr>
          </w:p>
        </w:tc>
        <w:tc>
          <w:tcPr>
            <w:tcW w:w="217" w:type="dxa"/>
          </w:tcPr>
          <w:p w14:paraId="47B899EC" w14:textId="77777777" w:rsidR="002C0FD9" w:rsidRPr="00CA25CF" w:rsidRDefault="002C0FD9" w:rsidP="00CA25CF">
            <w:pPr>
              <w:rPr>
                <w:rFonts w:cs="Arial"/>
                <w:color w:val="FF0000"/>
                <w:sz w:val="21"/>
                <w:szCs w:val="21"/>
              </w:rPr>
            </w:pPr>
          </w:p>
        </w:tc>
        <w:tc>
          <w:tcPr>
            <w:tcW w:w="217" w:type="dxa"/>
          </w:tcPr>
          <w:p w14:paraId="0FF5CDED" w14:textId="77777777" w:rsidR="002C0FD9" w:rsidRPr="00CA25CF" w:rsidRDefault="002C0FD9" w:rsidP="00CA25CF">
            <w:pPr>
              <w:rPr>
                <w:rFonts w:cs="Arial"/>
                <w:color w:val="FF0000"/>
                <w:sz w:val="21"/>
                <w:szCs w:val="21"/>
              </w:rPr>
            </w:pPr>
          </w:p>
        </w:tc>
        <w:tc>
          <w:tcPr>
            <w:tcW w:w="217" w:type="dxa"/>
          </w:tcPr>
          <w:p w14:paraId="63E9B2BF" w14:textId="77777777" w:rsidR="002C0FD9" w:rsidRPr="00CA25CF" w:rsidRDefault="002C0FD9" w:rsidP="00CA25CF">
            <w:pPr>
              <w:rPr>
                <w:rFonts w:cs="Arial"/>
                <w:color w:val="FF0000"/>
                <w:sz w:val="21"/>
                <w:szCs w:val="21"/>
              </w:rPr>
            </w:pPr>
          </w:p>
        </w:tc>
        <w:tc>
          <w:tcPr>
            <w:tcW w:w="217" w:type="dxa"/>
          </w:tcPr>
          <w:p w14:paraId="177B2554" w14:textId="77777777" w:rsidR="002C0FD9" w:rsidRPr="00CA25CF" w:rsidRDefault="002C0FD9" w:rsidP="00CA25CF">
            <w:pPr>
              <w:rPr>
                <w:rFonts w:cs="Arial"/>
                <w:color w:val="FF0000"/>
                <w:sz w:val="21"/>
                <w:szCs w:val="21"/>
              </w:rPr>
            </w:pPr>
          </w:p>
        </w:tc>
        <w:tc>
          <w:tcPr>
            <w:tcW w:w="217" w:type="dxa"/>
          </w:tcPr>
          <w:p w14:paraId="6A53B61E" w14:textId="77777777" w:rsidR="002C0FD9" w:rsidRPr="00CA25CF" w:rsidRDefault="002C0FD9" w:rsidP="00CA25CF">
            <w:pPr>
              <w:rPr>
                <w:rFonts w:cs="Arial"/>
                <w:color w:val="FF0000"/>
                <w:sz w:val="21"/>
                <w:szCs w:val="21"/>
              </w:rPr>
            </w:pPr>
          </w:p>
        </w:tc>
        <w:tc>
          <w:tcPr>
            <w:tcW w:w="217" w:type="dxa"/>
          </w:tcPr>
          <w:p w14:paraId="287E9C5A" w14:textId="77777777" w:rsidR="002C0FD9" w:rsidRPr="00CA25CF" w:rsidRDefault="002C0FD9" w:rsidP="00CA25CF">
            <w:pPr>
              <w:rPr>
                <w:rFonts w:cs="Arial"/>
                <w:color w:val="FF0000"/>
                <w:sz w:val="21"/>
                <w:szCs w:val="21"/>
              </w:rPr>
            </w:pPr>
          </w:p>
        </w:tc>
        <w:tc>
          <w:tcPr>
            <w:tcW w:w="217" w:type="dxa"/>
          </w:tcPr>
          <w:p w14:paraId="1C41016A" w14:textId="77777777" w:rsidR="002C0FD9" w:rsidRPr="00CA25CF" w:rsidRDefault="002C0FD9" w:rsidP="00CA25CF">
            <w:pPr>
              <w:rPr>
                <w:rFonts w:cs="Arial"/>
                <w:color w:val="FF0000"/>
                <w:sz w:val="21"/>
                <w:szCs w:val="21"/>
              </w:rPr>
            </w:pPr>
          </w:p>
        </w:tc>
        <w:tc>
          <w:tcPr>
            <w:tcW w:w="217" w:type="dxa"/>
          </w:tcPr>
          <w:p w14:paraId="04DFF563" w14:textId="77777777" w:rsidR="002C0FD9" w:rsidRPr="00CA25CF" w:rsidRDefault="002C0FD9" w:rsidP="00CA25CF">
            <w:pPr>
              <w:rPr>
                <w:rFonts w:cs="Arial"/>
                <w:color w:val="FF0000"/>
                <w:sz w:val="21"/>
                <w:szCs w:val="21"/>
              </w:rPr>
            </w:pPr>
          </w:p>
        </w:tc>
        <w:tc>
          <w:tcPr>
            <w:tcW w:w="217" w:type="dxa"/>
          </w:tcPr>
          <w:p w14:paraId="1ED57B15" w14:textId="77777777" w:rsidR="002C0FD9" w:rsidRPr="00CA25CF" w:rsidRDefault="002C0FD9" w:rsidP="00CA25CF">
            <w:pPr>
              <w:rPr>
                <w:rFonts w:cs="Arial"/>
                <w:color w:val="FF0000"/>
                <w:sz w:val="21"/>
                <w:szCs w:val="21"/>
              </w:rPr>
            </w:pPr>
          </w:p>
        </w:tc>
        <w:tc>
          <w:tcPr>
            <w:tcW w:w="217" w:type="dxa"/>
          </w:tcPr>
          <w:p w14:paraId="7EDF9D3B" w14:textId="77777777" w:rsidR="002C0FD9" w:rsidRPr="00CA25CF" w:rsidRDefault="002C0FD9" w:rsidP="00CA25CF">
            <w:pPr>
              <w:rPr>
                <w:rFonts w:cs="Arial"/>
                <w:color w:val="FF0000"/>
                <w:sz w:val="21"/>
                <w:szCs w:val="21"/>
              </w:rPr>
            </w:pPr>
          </w:p>
        </w:tc>
        <w:tc>
          <w:tcPr>
            <w:tcW w:w="217" w:type="dxa"/>
          </w:tcPr>
          <w:p w14:paraId="639FE102" w14:textId="77777777" w:rsidR="002C0FD9" w:rsidRPr="00CA25CF" w:rsidRDefault="002C0FD9" w:rsidP="00CA25CF">
            <w:pPr>
              <w:rPr>
                <w:rFonts w:cs="Arial"/>
                <w:color w:val="FF0000"/>
                <w:sz w:val="21"/>
                <w:szCs w:val="21"/>
              </w:rPr>
            </w:pPr>
          </w:p>
        </w:tc>
        <w:tc>
          <w:tcPr>
            <w:tcW w:w="217" w:type="dxa"/>
          </w:tcPr>
          <w:p w14:paraId="0787FE3E" w14:textId="77777777" w:rsidR="002C0FD9" w:rsidRPr="00CA25CF" w:rsidRDefault="002C0FD9" w:rsidP="00CA25CF">
            <w:pPr>
              <w:rPr>
                <w:rFonts w:cs="Arial"/>
                <w:color w:val="FF0000"/>
                <w:sz w:val="21"/>
                <w:szCs w:val="21"/>
              </w:rPr>
            </w:pPr>
          </w:p>
        </w:tc>
        <w:tc>
          <w:tcPr>
            <w:tcW w:w="217" w:type="dxa"/>
          </w:tcPr>
          <w:p w14:paraId="07315550" w14:textId="77777777" w:rsidR="002C0FD9" w:rsidRPr="00CA25CF" w:rsidRDefault="002C0FD9" w:rsidP="00CA25CF">
            <w:pPr>
              <w:rPr>
                <w:rFonts w:cs="Arial"/>
                <w:color w:val="FF0000"/>
                <w:sz w:val="21"/>
                <w:szCs w:val="21"/>
              </w:rPr>
            </w:pPr>
          </w:p>
        </w:tc>
        <w:tc>
          <w:tcPr>
            <w:tcW w:w="217" w:type="dxa"/>
          </w:tcPr>
          <w:p w14:paraId="0AA287CD" w14:textId="77777777" w:rsidR="002C0FD9" w:rsidRPr="00CA25CF" w:rsidRDefault="002C0FD9" w:rsidP="00CA25CF">
            <w:pPr>
              <w:rPr>
                <w:rFonts w:cs="Arial"/>
                <w:color w:val="FF0000"/>
                <w:sz w:val="21"/>
                <w:szCs w:val="21"/>
              </w:rPr>
            </w:pPr>
          </w:p>
        </w:tc>
        <w:tc>
          <w:tcPr>
            <w:tcW w:w="217" w:type="dxa"/>
          </w:tcPr>
          <w:p w14:paraId="18407D9F" w14:textId="77777777" w:rsidR="002C0FD9" w:rsidRPr="00CA25CF" w:rsidRDefault="002C0FD9" w:rsidP="00CA25CF">
            <w:pPr>
              <w:rPr>
                <w:rFonts w:cs="Arial"/>
                <w:color w:val="FF0000"/>
                <w:sz w:val="21"/>
                <w:szCs w:val="21"/>
              </w:rPr>
            </w:pPr>
          </w:p>
        </w:tc>
        <w:tc>
          <w:tcPr>
            <w:tcW w:w="217" w:type="dxa"/>
          </w:tcPr>
          <w:p w14:paraId="7D1FEE70" w14:textId="77777777" w:rsidR="002C0FD9" w:rsidRPr="00CA25CF" w:rsidRDefault="002C0FD9" w:rsidP="00CA25CF">
            <w:pPr>
              <w:rPr>
                <w:rFonts w:cs="Arial"/>
                <w:color w:val="FF0000"/>
                <w:sz w:val="21"/>
                <w:szCs w:val="21"/>
              </w:rPr>
            </w:pPr>
          </w:p>
        </w:tc>
        <w:tc>
          <w:tcPr>
            <w:tcW w:w="217" w:type="dxa"/>
          </w:tcPr>
          <w:p w14:paraId="4D0B28EF" w14:textId="77777777" w:rsidR="002C0FD9" w:rsidRPr="00CA25CF" w:rsidRDefault="002C0FD9" w:rsidP="00CA25CF">
            <w:pPr>
              <w:rPr>
                <w:rFonts w:cs="Arial"/>
                <w:color w:val="FF0000"/>
                <w:sz w:val="21"/>
                <w:szCs w:val="21"/>
              </w:rPr>
            </w:pPr>
          </w:p>
        </w:tc>
        <w:tc>
          <w:tcPr>
            <w:tcW w:w="217" w:type="dxa"/>
          </w:tcPr>
          <w:p w14:paraId="402E4865" w14:textId="77777777" w:rsidR="002C0FD9" w:rsidRPr="00CA25CF" w:rsidRDefault="002C0FD9" w:rsidP="00CA25CF">
            <w:pPr>
              <w:rPr>
                <w:rFonts w:cs="Arial"/>
                <w:color w:val="FF0000"/>
                <w:sz w:val="21"/>
                <w:szCs w:val="21"/>
              </w:rPr>
            </w:pPr>
          </w:p>
        </w:tc>
        <w:tc>
          <w:tcPr>
            <w:tcW w:w="217" w:type="dxa"/>
          </w:tcPr>
          <w:p w14:paraId="4A9C0FED" w14:textId="77777777" w:rsidR="002C0FD9" w:rsidRPr="00CA25CF" w:rsidRDefault="002C0FD9" w:rsidP="00CA25CF">
            <w:pPr>
              <w:rPr>
                <w:rFonts w:cs="Arial"/>
                <w:color w:val="FF0000"/>
                <w:sz w:val="21"/>
                <w:szCs w:val="21"/>
              </w:rPr>
            </w:pPr>
          </w:p>
        </w:tc>
        <w:tc>
          <w:tcPr>
            <w:tcW w:w="217" w:type="dxa"/>
          </w:tcPr>
          <w:p w14:paraId="601BCAA4" w14:textId="77777777" w:rsidR="002C0FD9" w:rsidRPr="00CA25CF" w:rsidRDefault="002C0FD9" w:rsidP="00CA25CF">
            <w:pPr>
              <w:rPr>
                <w:rFonts w:cs="Arial"/>
                <w:color w:val="FF0000"/>
                <w:sz w:val="21"/>
                <w:szCs w:val="21"/>
              </w:rPr>
            </w:pPr>
          </w:p>
        </w:tc>
        <w:tc>
          <w:tcPr>
            <w:tcW w:w="217" w:type="dxa"/>
          </w:tcPr>
          <w:p w14:paraId="2539E3BA" w14:textId="77777777" w:rsidR="002C0FD9" w:rsidRPr="00CA25CF" w:rsidRDefault="002C0FD9" w:rsidP="00CA25CF">
            <w:pPr>
              <w:rPr>
                <w:rFonts w:cs="Arial"/>
                <w:color w:val="FF0000"/>
                <w:sz w:val="21"/>
                <w:szCs w:val="21"/>
              </w:rPr>
            </w:pPr>
          </w:p>
        </w:tc>
        <w:tc>
          <w:tcPr>
            <w:tcW w:w="217" w:type="dxa"/>
          </w:tcPr>
          <w:p w14:paraId="38E20A7F" w14:textId="77777777" w:rsidR="002C0FD9" w:rsidRPr="00CA25CF" w:rsidRDefault="002C0FD9" w:rsidP="00CA25CF">
            <w:pPr>
              <w:rPr>
                <w:rFonts w:cs="Arial"/>
                <w:color w:val="FF0000"/>
                <w:sz w:val="21"/>
                <w:szCs w:val="21"/>
              </w:rPr>
            </w:pPr>
          </w:p>
        </w:tc>
        <w:tc>
          <w:tcPr>
            <w:tcW w:w="217" w:type="dxa"/>
          </w:tcPr>
          <w:p w14:paraId="52B97F41" w14:textId="77777777" w:rsidR="002C0FD9" w:rsidRPr="00CA25CF" w:rsidRDefault="002C0FD9" w:rsidP="00CA25CF">
            <w:pPr>
              <w:rPr>
                <w:rFonts w:cs="Arial"/>
                <w:color w:val="FF0000"/>
                <w:sz w:val="21"/>
                <w:szCs w:val="21"/>
              </w:rPr>
            </w:pPr>
          </w:p>
        </w:tc>
        <w:tc>
          <w:tcPr>
            <w:tcW w:w="217" w:type="dxa"/>
          </w:tcPr>
          <w:p w14:paraId="3153C7A4" w14:textId="77777777" w:rsidR="002C0FD9" w:rsidRPr="00CA25CF" w:rsidRDefault="002C0FD9" w:rsidP="00CA25CF">
            <w:pPr>
              <w:rPr>
                <w:rFonts w:cs="Arial"/>
                <w:color w:val="FF0000"/>
                <w:sz w:val="21"/>
                <w:szCs w:val="21"/>
              </w:rPr>
            </w:pPr>
          </w:p>
        </w:tc>
        <w:tc>
          <w:tcPr>
            <w:tcW w:w="217" w:type="dxa"/>
          </w:tcPr>
          <w:p w14:paraId="761EAF0C" w14:textId="77777777" w:rsidR="002C0FD9" w:rsidRPr="00CA25CF" w:rsidRDefault="002C0FD9" w:rsidP="00CA25CF">
            <w:pPr>
              <w:rPr>
                <w:rFonts w:cs="Arial"/>
                <w:color w:val="FF0000"/>
                <w:sz w:val="21"/>
                <w:szCs w:val="21"/>
              </w:rPr>
            </w:pPr>
          </w:p>
        </w:tc>
        <w:tc>
          <w:tcPr>
            <w:tcW w:w="217" w:type="dxa"/>
          </w:tcPr>
          <w:p w14:paraId="122E62B6" w14:textId="77777777" w:rsidR="002C0FD9" w:rsidRPr="00CA25CF" w:rsidRDefault="002C0FD9" w:rsidP="00CA25CF">
            <w:pPr>
              <w:rPr>
                <w:rFonts w:cs="Arial"/>
                <w:color w:val="FF0000"/>
                <w:sz w:val="21"/>
                <w:szCs w:val="21"/>
              </w:rPr>
            </w:pPr>
          </w:p>
        </w:tc>
        <w:tc>
          <w:tcPr>
            <w:tcW w:w="217" w:type="dxa"/>
          </w:tcPr>
          <w:p w14:paraId="188DA3A1" w14:textId="77777777" w:rsidR="002C0FD9" w:rsidRPr="00CA25CF" w:rsidRDefault="002C0FD9" w:rsidP="00CA25CF">
            <w:pPr>
              <w:rPr>
                <w:rFonts w:cs="Arial"/>
                <w:color w:val="FF0000"/>
                <w:sz w:val="21"/>
                <w:szCs w:val="21"/>
              </w:rPr>
            </w:pPr>
          </w:p>
        </w:tc>
        <w:tc>
          <w:tcPr>
            <w:tcW w:w="217" w:type="dxa"/>
          </w:tcPr>
          <w:p w14:paraId="0CCB2438" w14:textId="77777777" w:rsidR="002C0FD9" w:rsidRPr="00CA25CF" w:rsidRDefault="002C0FD9" w:rsidP="00CA25CF">
            <w:pPr>
              <w:rPr>
                <w:rFonts w:cs="Arial"/>
                <w:color w:val="FF0000"/>
                <w:sz w:val="21"/>
                <w:szCs w:val="21"/>
              </w:rPr>
            </w:pPr>
          </w:p>
        </w:tc>
        <w:tc>
          <w:tcPr>
            <w:tcW w:w="217" w:type="dxa"/>
          </w:tcPr>
          <w:p w14:paraId="68392BD1" w14:textId="77777777" w:rsidR="002C0FD9" w:rsidRPr="00CA25CF" w:rsidRDefault="002C0FD9" w:rsidP="00CA25CF">
            <w:pPr>
              <w:rPr>
                <w:rFonts w:cs="Arial"/>
                <w:color w:val="FF0000"/>
                <w:sz w:val="21"/>
                <w:szCs w:val="21"/>
              </w:rPr>
            </w:pPr>
          </w:p>
        </w:tc>
        <w:tc>
          <w:tcPr>
            <w:tcW w:w="217" w:type="dxa"/>
          </w:tcPr>
          <w:p w14:paraId="7452E8F5" w14:textId="77777777" w:rsidR="002C0FD9" w:rsidRPr="00CA25CF" w:rsidRDefault="002C0FD9" w:rsidP="00CA25CF">
            <w:pPr>
              <w:rPr>
                <w:rFonts w:cs="Arial"/>
                <w:color w:val="FF0000"/>
                <w:sz w:val="21"/>
                <w:szCs w:val="21"/>
              </w:rPr>
            </w:pPr>
          </w:p>
        </w:tc>
      </w:tr>
      <w:tr w:rsidR="002C0FD9" w:rsidRPr="00A16219" w14:paraId="735DC08A" w14:textId="77777777" w:rsidTr="002C0FD9">
        <w:trPr>
          <w:trHeight w:val="635"/>
        </w:trPr>
        <w:tc>
          <w:tcPr>
            <w:tcW w:w="515" w:type="dxa"/>
          </w:tcPr>
          <w:p w14:paraId="7F9D26C6" w14:textId="77777777" w:rsidR="002C0FD9" w:rsidRPr="00CA25CF" w:rsidRDefault="002C0FD9" w:rsidP="00CA25CF">
            <w:pPr>
              <w:rPr>
                <w:rFonts w:cs="Arial"/>
                <w:color w:val="FF0000"/>
                <w:sz w:val="21"/>
                <w:szCs w:val="21"/>
              </w:rPr>
            </w:pPr>
          </w:p>
        </w:tc>
        <w:tc>
          <w:tcPr>
            <w:tcW w:w="217" w:type="dxa"/>
          </w:tcPr>
          <w:p w14:paraId="4AE57303" w14:textId="77777777" w:rsidR="002C0FD9" w:rsidRPr="00CA25CF" w:rsidRDefault="002C0FD9" w:rsidP="00CA25CF">
            <w:pPr>
              <w:rPr>
                <w:rFonts w:cs="Arial"/>
                <w:color w:val="FF0000"/>
                <w:sz w:val="21"/>
                <w:szCs w:val="21"/>
              </w:rPr>
            </w:pPr>
          </w:p>
        </w:tc>
        <w:tc>
          <w:tcPr>
            <w:tcW w:w="217" w:type="dxa"/>
          </w:tcPr>
          <w:p w14:paraId="5F7A284F" w14:textId="77777777" w:rsidR="002C0FD9" w:rsidRPr="00CA25CF" w:rsidRDefault="002C0FD9" w:rsidP="00CA25CF">
            <w:pPr>
              <w:rPr>
                <w:rFonts w:cs="Arial"/>
                <w:color w:val="FF0000"/>
                <w:sz w:val="21"/>
                <w:szCs w:val="21"/>
              </w:rPr>
            </w:pPr>
          </w:p>
        </w:tc>
        <w:tc>
          <w:tcPr>
            <w:tcW w:w="217" w:type="dxa"/>
          </w:tcPr>
          <w:p w14:paraId="6C693FF4" w14:textId="77777777" w:rsidR="002C0FD9" w:rsidRPr="00CA25CF" w:rsidRDefault="002C0FD9" w:rsidP="00CA25CF">
            <w:pPr>
              <w:rPr>
                <w:rFonts w:cs="Arial"/>
                <w:color w:val="FF0000"/>
                <w:sz w:val="21"/>
                <w:szCs w:val="21"/>
              </w:rPr>
            </w:pPr>
          </w:p>
        </w:tc>
        <w:tc>
          <w:tcPr>
            <w:tcW w:w="217" w:type="dxa"/>
          </w:tcPr>
          <w:p w14:paraId="1CC76B01" w14:textId="77777777" w:rsidR="002C0FD9" w:rsidRPr="00CA25CF" w:rsidRDefault="002C0FD9" w:rsidP="00CA25CF">
            <w:pPr>
              <w:rPr>
                <w:rFonts w:cs="Arial"/>
                <w:color w:val="FF0000"/>
                <w:sz w:val="21"/>
                <w:szCs w:val="21"/>
              </w:rPr>
            </w:pPr>
          </w:p>
        </w:tc>
        <w:tc>
          <w:tcPr>
            <w:tcW w:w="217" w:type="dxa"/>
          </w:tcPr>
          <w:p w14:paraId="2960C67A" w14:textId="77777777" w:rsidR="002C0FD9" w:rsidRPr="00CA25CF" w:rsidRDefault="002C0FD9" w:rsidP="00CA25CF">
            <w:pPr>
              <w:rPr>
                <w:rFonts w:cs="Arial"/>
                <w:color w:val="FF0000"/>
                <w:sz w:val="21"/>
                <w:szCs w:val="21"/>
              </w:rPr>
            </w:pPr>
          </w:p>
        </w:tc>
        <w:tc>
          <w:tcPr>
            <w:tcW w:w="217" w:type="dxa"/>
          </w:tcPr>
          <w:p w14:paraId="00AB0A3F" w14:textId="77777777" w:rsidR="002C0FD9" w:rsidRPr="00CA25CF" w:rsidRDefault="002C0FD9" w:rsidP="00CA25CF">
            <w:pPr>
              <w:rPr>
                <w:rFonts w:cs="Arial"/>
                <w:color w:val="FF0000"/>
                <w:sz w:val="21"/>
                <w:szCs w:val="21"/>
              </w:rPr>
            </w:pPr>
          </w:p>
        </w:tc>
        <w:tc>
          <w:tcPr>
            <w:tcW w:w="217" w:type="dxa"/>
          </w:tcPr>
          <w:p w14:paraId="3CB4B0C9" w14:textId="77777777" w:rsidR="002C0FD9" w:rsidRPr="00CA25CF" w:rsidRDefault="002C0FD9" w:rsidP="00CA25CF">
            <w:pPr>
              <w:rPr>
                <w:rFonts w:cs="Arial"/>
                <w:color w:val="FF0000"/>
                <w:sz w:val="21"/>
                <w:szCs w:val="21"/>
              </w:rPr>
            </w:pPr>
          </w:p>
        </w:tc>
        <w:tc>
          <w:tcPr>
            <w:tcW w:w="217" w:type="dxa"/>
          </w:tcPr>
          <w:p w14:paraId="7AEED4B3" w14:textId="77777777" w:rsidR="002C0FD9" w:rsidRPr="00CA25CF" w:rsidRDefault="002C0FD9" w:rsidP="00CA25CF">
            <w:pPr>
              <w:rPr>
                <w:rFonts w:cs="Arial"/>
                <w:color w:val="FF0000"/>
                <w:sz w:val="21"/>
                <w:szCs w:val="21"/>
              </w:rPr>
            </w:pPr>
          </w:p>
        </w:tc>
        <w:tc>
          <w:tcPr>
            <w:tcW w:w="217" w:type="dxa"/>
          </w:tcPr>
          <w:p w14:paraId="3762DFD9" w14:textId="77777777" w:rsidR="002C0FD9" w:rsidRPr="00CA25CF" w:rsidRDefault="002C0FD9" w:rsidP="00CA25CF">
            <w:pPr>
              <w:rPr>
                <w:rFonts w:cs="Arial"/>
                <w:color w:val="FF0000"/>
                <w:sz w:val="21"/>
                <w:szCs w:val="21"/>
              </w:rPr>
            </w:pPr>
          </w:p>
        </w:tc>
        <w:tc>
          <w:tcPr>
            <w:tcW w:w="217" w:type="dxa"/>
          </w:tcPr>
          <w:p w14:paraId="6732553B" w14:textId="77777777" w:rsidR="002C0FD9" w:rsidRPr="00CA25CF" w:rsidRDefault="002C0FD9" w:rsidP="00CA25CF">
            <w:pPr>
              <w:rPr>
                <w:rFonts w:cs="Arial"/>
                <w:color w:val="FF0000"/>
                <w:sz w:val="21"/>
                <w:szCs w:val="21"/>
              </w:rPr>
            </w:pPr>
          </w:p>
        </w:tc>
        <w:tc>
          <w:tcPr>
            <w:tcW w:w="217" w:type="dxa"/>
          </w:tcPr>
          <w:p w14:paraId="10FCAAA1" w14:textId="77777777" w:rsidR="002C0FD9" w:rsidRPr="00CA25CF" w:rsidRDefault="002C0FD9" w:rsidP="00CA25CF">
            <w:pPr>
              <w:rPr>
                <w:rFonts w:cs="Arial"/>
                <w:color w:val="FF0000"/>
                <w:sz w:val="21"/>
                <w:szCs w:val="21"/>
              </w:rPr>
            </w:pPr>
          </w:p>
        </w:tc>
        <w:tc>
          <w:tcPr>
            <w:tcW w:w="217" w:type="dxa"/>
          </w:tcPr>
          <w:p w14:paraId="482A8F12" w14:textId="77777777" w:rsidR="002C0FD9" w:rsidRPr="00CA25CF" w:rsidRDefault="002C0FD9" w:rsidP="00CA25CF">
            <w:pPr>
              <w:rPr>
                <w:rFonts w:cs="Arial"/>
                <w:color w:val="FF0000"/>
                <w:sz w:val="21"/>
                <w:szCs w:val="21"/>
              </w:rPr>
            </w:pPr>
          </w:p>
        </w:tc>
        <w:tc>
          <w:tcPr>
            <w:tcW w:w="217" w:type="dxa"/>
          </w:tcPr>
          <w:p w14:paraId="23BF824D" w14:textId="77777777" w:rsidR="002C0FD9" w:rsidRPr="00CA25CF" w:rsidRDefault="002C0FD9" w:rsidP="00CA25CF">
            <w:pPr>
              <w:rPr>
                <w:rFonts w:cs="Arial"/>
                <w:color w:val="FF0000"/>
                <w:sz w:val="21"/>
                <w:szCs w:val="21"/>
              </w:rPr>
            </w:pPr>
          </w:p>
        </w:tc>
        <w:tc>
          <w:tcPr>
            <w:tcW w:w="217" w:type="dxa"/>
          </w:tcPr>
          <w:p w14:paraId="04F698DF" w14:textId="77777777" w:rsidR="002C0FD9" w:rsidRPr="00CA25CF" w:rsidRDefault="002C0FD9" w:rsidP="00CA25CF">
            <w:pPr>
              <w:rPr>
                <w:rFonts w:cs="Arial"/>
                <w:color w:val="FF0000"/>
                <w:sz w:val="21"/>
                <w:szCs w:val="21"/>
              </w:rPr>
            </w:pPr>
          </w:p>
        </w:tc>
        <w:tc>
          <w:tcPr>
            <w:tcW w:w="217" w:type="dxa"/>
          </w:tcPr>
          <w:p w14:paraId="03534EC6" w14:textId="77777777" w:rsidR="002C0FD9" w:rsidRPr="00CA25CF" w:rsidRDefault="002C0FD9" w:rsidP="00CA25CF">
            <w:pPr>
              <w:rPr>
                <w:rFonts w:cs="Arial"/>
                <w:color w:val="FF0000"/>
                <w:sz w:val="21"/>
                <w:szCs w:val="21"/>
              </w:rPr>
            </w:pPr>
          </w:p>
        </w:tc>
        <w:tc>
          <w:tcPr>
            <w:tcW w:w="217" w:type="dxa"/>
          </w:tcPr>
          <w:p w14:paraId="2E01B867" w14:textId="77777777" w:rsidR="002C0FD9" w:rsidRPr="00CA25CF" w:rsidRDefault="002C0FD9" w:rsidP="00CA25CF">
            <w:pPr>
              <w:rPr>
                <w:rFonts w:cs="Arial"/>
                <w:color w:val="FF0000"/>
                <w:sz w:val="21"/>
                <w:szCs w:val="21"/>
              </w:rPr>
            </w:pPr>
          </w:p>
        </w:tc>
        <w:tc>
          <w:tcPr>
            <w:tcW w:w="217" w:type="dxa"/>
          </w:tcPr>
          <w:p w14:paraId="130C2349" w14:textId="77777777" w:rsidR="002C0FD9" w:rsidRPr="00CA25CF" w:rsidRDefault="002C0FD9" w:rsidP="00CA25CF">
            <w:pPr>
              <w:rPr>
                <w:rFonts w:cs="Arial"/>
                <w:color w:val="FF0000"/>
                <w:sz w:val="21"/>
                <w:szCs w:val="21"/>
              </w:rPr>
            </w:pPr>
          </w:p>
        </w:tc>
        <w:tc>
          <w:tcPr>
            <w:tcW w:w="217" w:type="dxa"/>
          </w:tcPr>
          <w:p w14:paraId="53B26629" w14:textId="77777777" w:rsidR="002C0FD9" w:rsidRPr="00CA25CF" w:rsidRDefault="002C0FD9" w:rsidP="00CA25CF">
            <w:pPr>
              <w:rPr>
                <w:rFonts w:cs="Arial"/>
                <w:color w:val="FF0000"/>
                <w:sz w:val="21"/>
                <w:szCs w:val="21"/>
              </w:rPr>
            </w:pPr>
          </w:p>
        </w:tc>
        <w:tc>
          <w:tcPr>
            <w:tcW w:w="217" w:type="dxa"/>
          </w:tcPr>
          <w:p w14:paraId="7E060709" w14:textId="77777777" w:rsidR="002C0FD9" w:rsidRPr="00CA25CF" w:rsidRDefault="002C0FD9" w:rsidP="00CA25CF">
            <w:pPr>
              <w:rPr>
                <w:rFonts w:cs="Arial"/>
                <w:color w:val="FF0000"/>
                <w:sz w:val="21"/>
                <w:szCs w:val="21"/>
              </w:rPr>
            </w:pPr>
          </w:p>
        </w:tc>
        <w:tc>
          <w:tcPr>
            <w:tcW w:w="217" w:type="dxa"/>
          </w:tcPr>
          <w:p w14:paraId="4848E3CC" w14:textId="77777777" w:rsidR="002C0FD9" w:rsidRPr="00CA25CF" w:rsidRDefault="002C0FD9" w:rsidP="00CA25CF">
            <w:pPr>
              <w:rPr>
                <w:rFonts w:cs="Arial"/>
                <w:color w:val="FF0000"/>
                <w:sz w:val="21"/>
                <w:szCs w:val="21"/>
              </w:rPr>
            </w:pPr>
          </w:p>
        </w:tc>
        <w:tc>
          <w:tcPr>
            <w:tcW w:w="217" w:type="dxa"/>
          </w:tcPr>
          <w:p w14:paraId="2F57E8CB" w14:textId="77777777" w:rsidR="002C0FD9" w:rsidRPr="00CA25CF" w:rsidRDefault="002C0FD9" w:rsidP="00CA25CF">
            <w:pPr>
              <w:rPr>
                <w:rFonts w:cs="Arial"/>
                <w:color w:val="FF0000"/>
                <w:sz w:val="21"/>
                <w:szCs w:val="21"/>
              </w:rPr>
            </w:pPr>
          </w:p>
        </w:tc>
        <w:tc>
          <w:tcPr>
            <w:tcW w:w="217" w:type="dxa"/>
          </w:tcPr>
          <w:p w14:paraId="5A8A8BDC" w14:textId="77777777" w:rsidR="002C0FD9" w:rsidRPr="00CA25CF" w:rsidRDefault="002C0FD9" w:rsidP="00CA25CF">
            <w:pPr>
              <w:rPr>
                <w:rFonts w:cs="Arial"/>
                <w:color w:val="FF0000"/>
                <w:sz w:val="21"/>
                <w:szCs w:val="21"/>
              </w:rPr>
            </w:pPr>
          </w:p>
        </w:tc>
        <w:tc>
          <w:tcPr>
            <w:tcW w:w="217" w:type="dxa"/>
          </w:tcPr>
          <w:p w14:paraId="10246824" w14:textId="77777777" w:rsidR="002C0FD9" w:rsidRPr="00CA25CF" w:rsidRDefault="002C0FD9" w:rsidP="00CA25CF">
            <w:pPr>
              <w:rPr>
                <w:rFonts w:cs="Arial"/>
                <w:color w:val="FF0000"/>
                <w:sz w:val="21"/>
                <w:szCs w:val="21"/>
              </w:rPr>
            </w:pPr>
          </w:p>
        </w:tc>
        <w:tc>
          <w:tcPr>
            <w:tcW w:w="217" w:type="dxa"/>
          </w:tcPr>
          <w:p w14:paraId="5FBBF229" w14:textId="77777777" w:rsidR="002C0FD9" w:rsidRPr="00CA25CF" w:rsidRDefault="002C0FD9" w:rsidP="00CA25CF">
            <w:pPr>
              <w:rPr>
                <w:rFonts w:cs="Arial"/>
                <w:color w:val="FF0000"/>
                <w:sz w:val="21"/>
                <w:szCs w:val="21"/>
              </w:rPr>
            </w:pPr>
          </w:p>
        </w:tc>
        <w:tc>
          <w:tcPr>
            <w:tcW w:w="217" w:type="dxa"/>
          </w:tcPr>
          <w:p w14:paraId="4845FADE" w14:textId="77777777" w:rsidR="002C0FD9" w:rsidRPr="00CA25CF" w:rsidRDefault="002C0FD9" w:rsidP="00CA25CF">
            <w:pPr>
              <w:rPr>
                <w:rFonts w:cs="Arial"/>
                <w:color w:val="FF0000"/>
                <w:sz w:val="21"/>
                <w:szCs w:val="21"/>
              </w:rPr>
            </w:pPr>
          </w:p>
        </w:tc>
        <w:tc>
          <w:tcPr>
            <w:tcW w:w="217" w:type="dxa"/>
          </w:tcPr>
          <w:p w14:paraId="3FB5E6AC" w14:textId="77777777" w:rsidR="002C0FD9" w:rsidRPr="00CA25CF" w:rsidRDefault="002C0FD9" w:rsidP="00CA25CF">
            <w:pPr>
              <w:rPr>
                <w:rFonts w:cs="Arial"/>
                <w:color w:val="FF0000"/>
                <w:sz w:val="21"/>
                <w:szCs w:val="21"/>
              </w:rPr>
            </w:pPr>
          </w:p>
        </w:tc>
        <w:tc>
          <w:tcPr>
            <w:tcW w:w="217" w:type="dxa"/>
          </w:tcPr>
          <w:p w14:paraId="405F2E06" w14:textId="77777777" w:rsidR="002C0FD9" w:rsidRPr="00CA25CF" w:rsidRDefault="002C0FD9" w:rsidP="00CA25CF">
            <w:pPr>
              <w:rPr>
                <w:rFonts w:cs="Arial"/>
                <w:color w:val="FF0000"/>
                <w:sz w:val="21"/>
                <w:szCs w:val="21"/>
              </w:rPr>
            </w:pPr>
          </w:p>
        </w:tc>
        <w:tc>
          <w:tcPr>
            <w:tcW w:w="217" w:type="dxa"/>
          </w:tcPr>
          <w:p w14:paraId="1E757858" w14:textId="77777777" w:rsidR="002C0FD9" w:rsidRPr="00CA25CF" w:rsidRDefault="002C0FD9" w:rsidP="00CA25CF">
            <w:pPr>
              <w:rPr>
                <w:rFonts w:cs="Arial"/>
                <w:color w:val="FF0000"/>
                <w:sz w:val="21"/>
                <w:szCs w:val="21"/>
              </w:rPr>
            </w:pPr>
          </w:p>
        </w:tc>
        <w:tc>
          <w:tcPr>
            <w:tcW w:w="217" w:type="dxa"/>
          </w:tcPr>
          <w:p w14:paraId="1B968B7B" w14:textId="77777777" w:rsidR="002C0FD9" w:rsidRPr="00CA25CF" w:rsidRDefault="002C0FD9" w:rsidP="00CA25CF">
            <w:pPr>
              <w:rPr>
                <w:rFonts w:cs="Arial"/>
                <w:color w:val="FF0000"/>
                <w:sz w:val="21"/>
                <w:szCs w:val="21"/>
              </w:rPr>
            </w:pPr>
          </w:p>
        </w:tc>
        <w:tc>
          <w:tcPr>
            <w:tcW w:w="217" w:type="dxa"/>
          </w:tcPr>
          <w:p w14:paraId="7971BA68" w14:textId="77777777" w:rsidR="002C0FD9" w:rsidRPr="00CA25CF" w:rsidRDefault="002C0FD9" w:rsidP="00CA25CF">
            <w:pPr>
              <w:rPr>
                <w:rFonts w:cs="Arial"/>
                <w:color w:val="FF0000"/>
                <w:sz w:val="21"/>
                <w:szCs w:val="21"/>
              </w:rPr>
            </w:pPr>
          </w:p>
        </w:tc>
        <w:tc>
          <w:tcPr>
            <w:tcW w:w="217" w:type="dxa"/>
          </w:tcPr>
          <w:p w14:paraId="1B0927FC" w14:textId="77777777" w:rsidR="002C0FD9" w:rsidRPr="00CA25CF" w:rsidRDefault="002C0FD9" w:rsidP="00CA25CF">
            <w:pPr>
              <w:rPr>
                <w:rFonts w:cs="Arial"/>
                <w:color w:val="FF0000"/>
                <w:sz w:val="21"/>
                <w:szCs w:val="21"/>
              </w:rPr>
            </w:pPr>
          </w:p>
        </w:tc>
        <w:tc>
          <w:tcPr>
            <w:tcW w:w="217" w:type="dxa"/>
          </w:tcPr>
          <w:p w14:paraId="494FC04B" w14:textId="77777777" w:rsidR="002C0FD9" w:rsidRPr="00CA25CF" w:rsidRDefault="002C0FD9" w:rsidP="00CA25CF">
            <w:pPr>
              <w:rPr>
                <w:rFonts w:cs="Arial"/>
                <w:color w:val="FF0000"/>
                <w:sz w:val="21"/>
                <w:szCs w:val="21"/>
              </w:rPr>
            </w:pPr>
          </w:p>
        </w:tc>
        <w:tc>
          <w:tcPr>
            <w:tcW w:w="217" w:type="dxa"/>
          </w:tcPr>
          <w:p w14:paraId="1390DD9B" w14:textId="77777777" w:rsidR="002C0FD9" w:rsidRPr="00CA25CF" w:rsidRDefault="002C0FD9" w:rsidP="00CA25CF">
            <w:pPr>
              <w:rPr>
                <w:rFonts w:cs="Arial"/>
                <w:color w:val="FF0000"/>
                <w:sz w:val="21"/>
                <w:szCs w:val="21"/>
              </w:rPr>
            </w:pPr>
          </w:p>
        </w:tc>
        <w:tc>
          <w:tcPr>
            <w:tcW w:w="217" w:type="dxa"/>
          </w:tcPr>
          <w:p w14:paraId="37924D6A" w14:textId="77777777" w:rsidR="002C0FD9" w:rsidRPr="00CA25CF" w:rsidRDefault="002C0FD9" w:rsidP="00CA25CF">
            <w:pPr>
              <w:rPr>
                <w:rFonts w:cs="Arial"/>
                <w:color w:val="FF0000"/>
                <w:sz w:val="21"/>
                <w:szCs w:val="21"/>
              </w:rPr>
            </w:pPr>
          </w:p>
        </w:tc>
        <w:tc>
          <w:tcPr>
            <w:tcW w:w="217" w:type="dxa"/>
          </w:tcPr>
          <w:p w14:paraId="02B0A7A4" w14:textId="77777777" w:rsidR="002C0FD9" w:rsidRPr="00CA25CF" w:rsidRDefault="002C0FD9" w:rsidP="00CA25CF">
            <w:pPr>
              <w:rPr>
                <w:rFonts w:cs="Arial"/>
                <w:color w:val="FF0000"/>
                <w:sz w:val="21"/>
                <w:szCs w:val="21"/>
              </w:rPr>
            </w:pPr>
          </w:p>
        </w:tc>
        <w:tc>
          <w:tcPr>
            <w:tcW w:w="217" w:type="dxa"/>
          </w:tcPr>
          <w:p w14:paraId="4E1BE0AC" w14:textId="77777777" w:rsidR="002C0FD9" w:rsidRPr="00CA25CF" w:rsidRDefault="002C0FD9" w:rsidP="00CA25CF">
            <w:pPr>
              <w:rPr>
                <w:rFonts w:cs="Arial"/>
                <w:color w:val="FF0000"/>
                <w:sz w:val="21"/>
                <w:szCs w:val="21"/>
              </w:rPr>
            </w:pPr>
          </w:p>
        </w:tc>
        <w:tc>
          <w:tcPr>
            <w:tcW w:w="217" w:type="dxa"/>
          </w:tcPr>
          <w:p w14:paraId="1E86F2C4" w14:textId="77777777" w:rsidR="002C0FD9" w:rsidRPr="00CA25CF" w:rsidRDefault="002C0FD9" w:rsidP="00CA25CF">
            <w:pPr>
              <w:rPr>
                <w:rFonts w:cs="Arial"/>
                <w:color w:val="FF0000"/>
                <w:sz w:val="21"/>
                <w:szCs w:val="21"/>
              </w:rPr>
            </w:pPr>
          </w:p>
        </w:tc>
        <w:tc>
          <w:tcPr>
            <w:tcW w:w="217" w:type="dxa"/>
          </w:tcPr>
          <w:p w14:paraId="3A1C103C" w14:textId="77777777" w:rsidR="002C0FD9" w:rsidRPr="00CA25CF" w:rsidRDefault="002C0FD9" w:rsidP="00CA25CF">
            <w:pPr>
              <w:rPr>
                <w:rFonts w:cs="Arial"/>
                <w:color w:val="FF0000"/>
                <w:sz w:val="21"/>
                <w:szCs w:val="21"/>
              </w:rPr>
            </w:pPr>
          </w:p>
        </w:tc>
        <w:tc>
          <w:tcPr>
            <w:tcW w:w="217" w:type="dxa"/>
          </w:tcPr>
          <w:p w14:paraId="61A7AF21" w14:textId="77777777" w:rsidR="002C0FD9" w:rsidRPr="00CA25CF" w:rsidRDefault="002C0FD9" w:rsidP="00CA25CF">
            <w:pPr>
              <w:rPr>
                <w:rFonts w:cs="Arial"/>
                <w:color w:val="FF0000"/>
                <w:sz w:val="21"/>
                <w:szCs w:val="21"/>
              </w:rPr>
            </w:pPr>
          </w:p>
        </w:tc>
        <w:tc>
          <w:tcPr>
            <w:tcW w:w="217" w:type="dxa"/>
          </w:tcPr>
          <w:p w14:paraId="78F65CF3" w14:textId="77777777" w:rsidR="002C0FD9" w:rsidRPr="00CA25CF" w:rsidRDefault="002C0FD9" w:rsidP="00CA25CF">
            <w:pPr>
              <w:rPr>
                <w:rFonts w:cs="Arial"/>
                <w:color w:val="FF0000"/>
                <w:sz w:val="21"/>
                <w:szCs w:val="21"/>
              </w:rPr>
            </w:pPr>
          </w:p>
        </w:tc>
        <w:tc>
          <w:tcPr>
            <w:tcW w:w="217" w:type="dxa"/>
          </w:tcPr>
          <w:p w14:paraId="1E58DFEC" w14:textId="77777777" w:rsidR="002C0FD9" w:rsidRPr="00CA25CF" w:rsidRDefault="002C0FD9" w:rsidP="00CA25CF">
            <w:pPr>
              <w:rPr>
                <w:rFonts w:cs="Arial"/>
                <w:color w:val="FF0000"/>
                <w:sz w:val="21"/>
                <w:szCs w:val="21"/>
              </w:rPr>
            </w:pPr>
          </w:p>
        </w:tc>
        <w:tc>
          <w:tcPr>
            <w:tcW w:w="217" w:type="dxa"/>
          </w:tcPr>
          <w:p w14:paraId="52932E22" w14:textId="77777777" w:rsidR="002C0FD9" w:rsidRPr="00CA25CF" w:rsidRDefault="002C0FD9" w:rsidP="00CA25CF">
            <w:pPr>
              <w:rPr>
                <w:rFonts w:cs="Arial"/>
                <w:color w:val="FF0000"/>
                <w:sz w:val="21"/>
                <w:szCs w:val="21"/>
              </w:rPr>
            </w:pPr>
          </w:p>
        </w:tc>
      </w:tr>
      <w:tr w:rsidR="002C0FD9" w:rsidRPr="00A16219" w14:paraId="61AFCD4A" w14:textId="77777777" w:rsidTr="002C0FD9">
        <w:trPr>
          <w:trHeight w:val="635"/>
        </w:trPr>
        <w:tc>
          <w:tcPr>
            <w:tcW w:w="515" w:type="dxa"/>
          </w:tcPr>
          <w:p w14:paraId="6EB06770" w14:textId="77777777" w:rsidR="002C0FD9" w:rsidRPr="00CA25CF" w:rsidRDefault="002C0FD9" w:rsidP="00CA25CF">
            <w:pPr>
              <w:rPr>
                <w:rFonts w:cs="Arial"/>
                <w:color w:val="FF0000"/>
                <w:sz w:val="21"/>
                <w:szCs w:val="21"/>
              </w:rPr>
            </w:pPr>
          </w:p>
        </w:tc>
        <w:tc>
          <w:tcPr>
            <w:tcW w:w="217" w:type="dxa"/>
          </w:tcPr>
          <w:p w14:paraId="007D36E4" w14:textId="77777777" w:rsidR="002C0FD9" w:rsidRPr="00CA25CF" w:rsidRDefault="002C0FD9" w:rsidP="00CA25CF">
            <w:pPr>
              <w:rPr>
                <w:rFonts w:cs="Arial"/>
                <w:color w:val="FF0000"/>
                <w:sz w:val="21"/>
                <w:szCs w:val="21"/>
              </w:rPr>
            </w:pPr>
          </w:p>
        </w:tc>
        <w:tc>
          <w:tcPr>
            <w:tcW w:w="217" w:type="dxa"/>
          </w:tcPr>
          <w:p w14:paraId="5EAF7E66" w14:textId="77777777" w:rsidR="002C0FD9" w:rsidRPr="00CA25CF" w:rsidRDefault="002C0FD9" w:rsidP="00CA25CF">
            <w:pPr>
              <w:rPr>
                <w:rFonts w:cs="Arial"/>
                <w:color w:val="FF0000"/>
                <w:sz w:val="21"/>
                <w:szCs w:val="21"/>
              </w:rPr>
            </w:pPr>
          </w:p>
        </w:tc>
        <w:tc>
          <w:tcPr>
            <w:tcW w:w="217" w:type="dxa"/>
          </w:tcPr>
          <w:p w14:paraId="0D910A64" w14:textId="77777777" w:rsidR="002C0FD9" w:rsidRPr="00CA25CF" w:rsidRDefault="002C0FD9" w:rsidP="00CA25CF">
            <w:pPr>
              <w:rPr>
                <w:rFonts w:cs="Arial"/>
                <w:color w:val="FF0000"/>
                <w:sz w:val="21"/>
                <w:szCs w:val="21"/>
              </w:rPr>
            </w:pPr>
          </w:p>
        </w:tc>
        <w:tc>
          <w:tcPr>
            <w:tcW w:w="217" w:type="dxa"/>
          </w:tcPr>
          <w:p w14:paraId="10485C86" w14:textId="77777777" w:rsidR="002C0FD9" w:rsidRPr="00CA25CF" w:rsidRDefault="002C0FD9" w:rsidP="00CA25CF">
            <w:pPr>
              <w:rPr>
                <w:rFonts w:cs="Arial"/>
                <w:color w:val="FF0000"/>
                <w:sz w:val="21"/>
                <w:szCs w:val="21"/>
              </w:rPr>
            </w:pPr>
          </w:p>
        </w:tc>
        <w:tc>
          <w:tcPr>
            <w:tcW w:w="217" w:type="dxa"/>
          </w:tcPr>
          <w:p w14:paraId="43122B04" w14:textId="77777777" w:rsidR="002C0FD9" w:rsidRPr="00CA25CF" w:rsidRDefault="002C0FD9" w:rsidP="00CA25CF">
            <w:pPr>
              <w:rPr>
                <w:rFonts w:cs="Arial"/>
                <w:color w:val="FF0000"/>
                <w:sz w:val="21"/>
                <w:szCs w:val="21"/>
              </w:rPr>
            </w:pPr>
          </w:p>
        </w:tc>
        <w:tc>
          <w:tcPr>
            <w:tcW w:w="217" w:type="dxa"/>
          </w:tcPr>
          <w:p w14:paraId="2B0903FC" w14:textId="77777777" w:rsidR="002C0FD9" w:rsidRPr="00CA25CF" w:rsidRDefault="002C0FD9" w:rsidP="00CA25CF">
            <w:pPr>
              <w:rPr>
                <w:rFonts w:cs="Arial"/>
                <w:color w:val="FF0000"/>
                <w:sz w:val="21"/>
                <w:szCs w:val="21"/>
              </w:rPr>
            </w:pPr>
          </w:p>
        </w:tc>
        <w:tc>
          <w:tcPr>
            <w:tcW w:w="217" w:type="dxa"/>
          </w:tcPr>
          <w:p w14:paraId="13EA919F" w14:textId="77777777" w:rsidR="002C0FD9" w:rsidRPr="00CA25CF" w:rsidRDefault="002C0FD9" w:rsidP="00CA25CF">
            <w:pPr>
              <w:rPr>
                <w:rFonts w:cs="Arial"/>
                <w:color w:val="FF0000"/>
                <w:sz w:val="21"/>
                <w:szCs w:val="21"/>
              </w:rPr>
            </w:pPr>
          </w:p>
        </w:tc>
        <w:tc>
          <w:tcPr>
            <w:tcW w:w="217" w:type="dxa"/>
          </w:tcPr>
          <w:p w14:paraId="28E147A5" w14:textId="77777777" w:rsidR="002C0FD9" w:rsidRPr="00CA25CF" w:rsidRDefault="002C0FD9" w:rsidP="00CA25CF">
            <w:pPr>
              <w:rPr>
                <w:rFonts w:cs="Arial"/>
                <w:color w:val="FF0000"/>
                <w:sz w:val="21"/>
                <w:szCs w:val="21"/>
              </w:rPr>
            </w:pPr>
          </w:p>
        </w:tc>
        <w:tc>
          <w:tcPr>
            <w:tcW w:w="217" w:type="dxa"/>
          </w:tcPr>
          <w:p w14:paraId="65865856" w14:textId="77777777" w:rsidR="002C0FD9" w:rsidRPr="00CA25CF" w:rsidRDefault="002C0FD9" w:rsidP="00CA25CF">
            <w:pPr>
              <w:rPr>
                <w:rFonts w:cs="Arial"/>
                <w:color w:val="FF0000"/>
                <w:sz w:val="21"/>
                <w:szCs w:val="21"/>
              </w:rPr>
            </w:pPr>
          </w:p>
        </w:tc>
        <w:tc>
          <w:tcPr>
            <w:tcW w:w="217" w:type="dxa"/>
          </w:tcPr>
          <w:p w14:paraId="6DF7BB73" w14:textId="77777777" w:rsidR="002C0FD9" w:rsidRPr="00CA25CF" w:rsidRDefault="002C0FD9" w:rsidP="00CA25CF">
            <w:pPr>
              <w:rPr>
                <w:rFonts w:cs="Arial"/>
                <w:color w:val="FF0000"/>
                <w:sz w:val="21"/>
                <w:szCs w:val="21"/>
              </w:rPr>
            </w:pPr>
          </w:p>
        </w:tc>
        <w:tc>
          <w:tcPr>
            <w:tcW w:w="217" w:type="dxa"/>
          </w:tcPr>
          <w:p w14:paraId="53DF0D4F" w14:textId="77777777" w:rsidR="002C0FD9" w:rsidRPr="00CA25CF" w:rsidRDefault="002C0FD9" w:rsidP="00CA25CF">
            <w:pPr>
              <w:rPr>
                <w:rFonts w:cs="Arial"/>
                <w:color w:val="FF0000"/>
                <w:sz w:val="21"/>
                <w:szCs w:val="21"/>
              </w:rPr>
            </w:pPr>
          </w:p>
        </w:tc>
        <w:tc>
          <w:tcPr>
            <w:tcW w:w="217" w:type="dxa"/>
          </w:tcPr>
          <w:p w14:paraId="2F0E6425" w14:textId="77777777" w:rsidR="002C0FD9" w:rsidRPr="00CA25CF" w:rsidRDefault="002C0FD9" w:rsidP="00CA25CF">
            <w:pPr>
              <w:rPr>
                <w:rFonts w:cs="Arial"/>
                <w:color w:val="FF0000"/>
                <w:sz w:val="21"/>
                <w:szCs w:val="21"/>
              </w:rPr>
            </w:pPr>
          </w:p>
        </w:tc>
        <w:tc>
          <w:tcPr>
            <w:tcW w:w="217" w:type="dxa"/>
          </w:tcPr>
          <w:p w14:paraId="5624AE1D" w14:textId="77777777" w:rsidR="002C0FD9" w:rsidRPr="00CA25CF" w:rsidRDefault="002C0FD9" w:rsidP="00CA25CF">
            <w:pPr>
              <w:rPr>
                <w:rFonts w:cs="Arial"/>
                <w:color w:val="FF0000"/>
                <w:sz w:val="21"/>
                <w:szCs w:val="21"/>
              </w:rPr>
            </w:pPr>
          </w:p>
        </w:tc>
        <w:tc>
          <w:tcPr>
            <w:tcW w:w="217" w:type="dxa"/>
          </w:tcPr>
          <w:p w14:paraId="58388419" w14:textId="77777777" w:rsidR="002C0FD9" w:rsidRPr="00CA25CF" w:rsidRDefault="002C0FD9" w:rsidP="00CA25CF">
            <w:pPr>
              <w:rPr>
                <w:rFonts w:cs="Arial"/>
                <w:color w:val="FF0000"/>
                <w:sz w:val="21"/>
                <w:szCs w:val="21"/>
              </w:rPr>
            </w:pPr>
          </w:p>
        </w:tc>
        <w:tc>
          <w:tcPr>
            <w:tcW w:w="217" w:type="dxa"/>
          </w:tcPr>
          <w:p w14:paraId="0B308CB3" w14:textId="77777777" w:rsidR="002C0FD9" w:rsidRPr="00CA25CF" w:rsidRDefault="002C0FD9" w:rsidP="00CA25CF">
            <w:pPr>
              <w:rPr>
                <w:rFonts w:cs="Arial"/>
                <w:color w:val="FF0000"/>
                <w:sz w:val="21"/>
                <w:szCs w:val="21"/>
              </w:rPr>
            </w:pPr>
          </w:p>
        </w:tc>
        <w:tc>
          <w:tcPr>
            <w:tcW w:w="217" w:type="dxa"/>
          </w:tcPr>
          <w:p w14:paraId="60926BCB" w14:textId="77777777" w:rsidR="002C0FD9" w:rsidRPr="00CA25CF" w:rsidRDefault="002C0FD9" w:rsidP="00CA25CF">
            <w:pPr>
              <w:rPr>
                <w:rFonts w:cs="Arial"/>
                <w:color w:val="FF0000"/>
                <w:sz w:val="21"/>
                <w:szCs w:val="21"/>
              </w:rPr>
            </w:pPr>
          </w:p>
        </w:tc>
        <w:tc>
          <w:tcPr>
            <w:tcW w:w="217" w:type="dxa"/>
          </w:tcPr>
          <w:p w14:paraId="6C3E307F" w14:textId="77777777" w:rsidR="002C0FD9" w:rsidRPr="00CA25CF" w:rsidRDefault="002C0FD9" w:rsidP="00CA25CF">
            <w:pPr>
              <w:rPr>
                <w:rFonts w:cs="Arial"/>
                <w:color w:val="FF0000"/>
                <w:sz w:val="21"/>
                <w:szCs w:val="21"/>
              </w:rPr>
            </w:pPr>
          </w:p>
        </w:tc>
        <w:tc>
          <w:tcPr>
            <w:tcW w:w="217" w:type="dxa"/>
          </w:tcPr>
          <w:p w14:paraId="28D76B9A" w14:textId="77777777" w:rsidR="002C0FD9" w:rsidRPr="00CA25CF" w:rsidRDefault="002C0FD9" w:rsidP="00CA25CF">
            <w:pPr>
              <w:rPr>
                <w:rFonts w:cs="Arial"/>
                <w:color w:val="FF0000"/>
                <w:sz w:val="21"/>
                <w:szCs w:val="21"/>
              </w:rPr>
            </w:pPr>
          </w:p>
        </w:tc>
        <w:tc>
          <w:tcPr>
            <w:tcW w:w="217" w:type="dxa"/>
          </w:tcPr>
          <w:p w14:paraId="6B47C956" w14:textId="77777777" w:rsidR="002C0FD9" w:rsidRPr="00CA25CF" w:rsidRDefault="002C0FD9" w:rsidP="00CA25CF">
            <w:pPr>
              <w:rPr>
                <w:rFonts w:cs="Arial"/>
                <w:color w:val="FF0000"/>
                <w:sz w:val="21"/>
                <w:szCs w:val="21"/>
              </w:rPr>
            </w:pPr>
          </w:p>
        </w:tc>
        <w:tc>
          <w:tcPr>
            <w:tcW w:w="217" w:type="dxa"/>
          </w:tcPr>
          <w:p w14:paraId="3C03D2A4" w14:textId="77777777" w:rsidR="002C0FD9" w:rsidRPr="00CA25CF" w:rsidRDefault="002C0FD9" w:rsidP="00CA25CF">
            <w:pPr>
              <w:rPr>
                <w:rFonts w:cs="Arial"/>
                <w:color w:val="FF0000"/>
                <w:sz w:val="21"/>
                <w:szCs w:val="21"/>
              </w:rPr>
            </w:pPr>
          </w:p>
        </w:tc>
        <w:tc>
          <w:tcPr>
            <w:tcW w:w="217" w:type="dxa"/>
          </w:tcPr>
          <w:p w14:paraId="79B4B4B7" w14:textId="77777777" w:rsidR="002C0FD9" w:rsidRPr="00CA25CF" w:rsidRDefault="002C0FD9" w:rsidP="00CA25CF">
            <w:pPr>
              <w:rPr>
                <w:rFonts w:cs="Arial"/>
                <w:color w:val="FF0000"/>
                <w:sz w:val="21"/>
                <w:szCs w:val="21"/>
              </w:rPr>
            </w:pPr>
          </w:p>
        </w:tc>
        <w:tc>
          <w:tcPr>
            <w:tcW w:w="217" w:type="dxa"/>
          </w:tcPr>
          <w:p w14:paraId="2485DA33" w14:textId="77777777" w:rsidR="002C0FD9" w:rsidRPr="00CA25CF" w:rsidRDefault="002C0FD9" w:rsidP="00CA25CF">
            <w:pPr>
              <w:rPr>
                <w:rFonts w:cs="Arial"/>
                <w:color w:val="FF0000"/>
                <w:sz w:val="21"/>
                <w:szCs w:val="21"/>
              </w:rPr>
            </w:pPr>
          </w:p>
        </w:tc>
        <w:tc>
          <w:tcPr>
            <w:tcW w:w="217" w:type="dxa"/>
          </w:tcPr>
          <w:p w14:paraId="3E10AAD2" w14:textId="77777777" w:rsidR="002C0FD9" w:rsidRPr="00CA25CF" w:rsidRDefault="002C0FD9" w:rsidP="00CA25CF">
            <w:pPr>
              <w:rPr>
                <w:rFonts w:cs="Arial"/>
                <w:color w:val="FF0000"/>
                <w:sz w:val="21"/>
                <w:szCs w:val="21"/>
              </w:rPr>
            </w:pPr>
          </w:p>
        </w:tc>
        <w:tc>
          <w:tcPr>
            <w:tcW w:w="217" w:type="dxa"/>
          </w:tcPr>
          <w:p w14:paraId="20762165" w14:textId="77777777" w:rsidR="002C0FD9" w:rsidRPr="00CA25CF" w:rsidRDefault="002C0FD9" w:rsidP="00CA25CF">
            <w:pPr>
              <w:rPr>
                <w:rFonts w:cs="Arial"/>
                <w:color w:val="FF0000"/>
                <w:sz w:val="21"/>
                <w:szCs w:val="21"/>
              </w:rPr>
            </w:pPr>
          </w:p>
        </w:tc>
        <w:tc>
          <w:tcPr>
            <w:tcW w:w="217" w:type="dxa"/>
          </w:tcPr>
          <w:p w14:paraId="6EEBD0C4" w14:textId="77777777" w:rsidR="002C0FD9" w:rsidRPr="00CA25CF" w:rsidRDefault="002C0FD9" w:rsidP="00CA25CF">
            <w:pPr>
              <w:rPr>
                <w:rFonts w:cs="Arial"/>
                <w:color w:val="FF0000"/>
                <w:sz w:val="21"/>
                <w:szCs w:val="21"/>
              </w:rPr>
            </w:pPr>
          </w:p>
        </w:tc>
        <w:tc>
          <w:tcPr>
            <w:tcW w:w="217" w:type="dxa"/>
          </w:tcPr>
          <w:p w14:paraId="67B4EE6E" w14:textId="77777777" w:rsidR="002C0FD9" w:rsidRPr="00CA25CF" w:rsidRDefault="002C0FD9" w:rsidP="00CA25CF">
            <w:pPr>
              <w:rPr>
                <w:rFonts w:cs="Arial"/>
                <w:color w:val="FF0000"/>
                <w:sz w:val="21"/>
                <w:szCs w:val="21"/>
              </w:rPr>
            </w:pPr>
          </w:p>
        </w:tc>
        <w:tc>
          <w:tcPr>
            <w:tcW w:w="217" w:type="dxa"/>
          </w:tcPr>
          <w:p w14:paraId="232BDC23" w14:textId="77777777" w:rsidR="002C0FD9" w:rsidRPr="00CA25CF" w:rsidRDefault="002C0FD9" w:rsidP="00CA25CF">
            <w:pPr>
              <w:rPr>
                <w:rFonts w:cs="Arial"/>
                <w:color w:val="FF0000"/>
                <w:sz w:val="21"/>
                <w:szCs w:val="21"/>
              </w:rPr>
            </w:pPr>
          </w:p>
        </w:tc>
        <w:tc>
          <w:tcPr>
            <w:tcW w:w="217" w:type="dxa"/>
          </w:tcPr>
          <w:p w14:paraId="64A8ECF3" w14:textId="77777777" w:rsidR="002C0FD9" w:rsidRPr="00CA25CF" w:rsidRDefault="002C0FD9" w:rsidP="00CA25CF">
            <w:pPr>
              <w:rPr>
                <w:rFonts w:cs="Arial"/>
                <w:color w:val="FF0000"/>
                <w:sz w:val="21"/>
                <w:szCs w:val="21"/>
              </w:rPr>
            </w:pPr>
          </w:p>
        </w:tc>
        <w:tc>
          <w:tcPr>
            <w:tcW w:w="217" w:type="dxa"/>
          </w:tcPr>
          <w:p w14:paraId="3F9715FF" w14:textId="77777777" w:rsidR="002C0FD9" w:rsidRPr="00CA25CF" w:rsidRDefault="002C0FD9" w:rsidP="00CA25CF">
            <w:pPr>
              <w:rPr>
                <w:rFonts w:cs="Arial"/>
                <w:color w:val="FF0000"/>
                <w:sz w:val="21"/>
                <w:szCs w:val="21"/>
              </w:rPr>
            </w:pPr>
          </w:p>
        </w:tc>
        <w:tc>
          <w:tcPr>
            <w:tcW w:w="217" w:type="dxa"/>
          </w:tcPr>
          <w:p w14:paraId="2233AACF" w14:textId="77777777" w:rsidR="002C0FD9" w:rsidRPr="00CA25CF" w:rsidRDefault="002C0FD9" w:rsidP="00CA25CF">
            <w:pPr>
              <w:rPr>
                <w:rFonts w:cs="Arial"/>
                <w:color w:val="FF0000"/>
                <w:sz w:val="21"/>
                <w:szCs w:val="21"/>
              </w:rPr>
            </w:pPr>
          </w:p>
        </w:tc>
        <w:tc>
          <w:tcPr>
            <w:tcW w:w="217" w:type="dxa"/>
          </w:tcPr>
          <w:p w14:paraId="332C9281" w14:textId="77777777" w:rsidR="002C0FD9" w:rsidRPr="00CA25CF" w:rsidRDefault="002C0FD9" w:rsidP="00CA25CF">
            <w:pPr>
              <w:rPr>
                <w:rFonts w:cs="Arial"/>
                <w:color w:val="FF0000"/>
                <w:sz w:val="21"/>
                <w:szCs w:val="21"/>
              </w:rPr>
            </w:pPr>
          </w:p>
        </w:tc>
        <w:tc>
          <w:tcPr>
            <w:tcW w:w="217" w:type="dxa"/>
          </w:tcPr>
          <w:p w14:paraId="4FFD2765" w14:textId="77777777" w:rsidR="002C0FD9" w:rsidRPr="00CA25CF" w:rsidRDefault="002C0FD9" w:rsidP="00CA25CF">
            <w:pPr>
              <w:rPr>
                <w:rFonts w:cs="Arial"/>
                <w:color w:val="FF0000"/>
                <w:sz w:val="21"/>
                <w:szCs w:val="21"/>
              </w:rPr>
            </w:pPr>
          </w:p>
        </w:tc>
        <w:tc>
          <w:tcPr>
            <w:tcW w:w="217" w:type="dxa"/>
          </w:tcPr>
          <w:p w14:paraId="3DDD20F0" w14:textId="77777777" w:rsidR="002C0FD9" w:rsidRPr="00CA25CF" w:rsidRDefault="002C0FD9" w:rsidP="00CA25CF">
            <w:pPr>
              <w:rPr>
                <w:rFonts w:cs="Arial"/>
                <w:color w:val="FF0000"/>
                <w:sz w:val="21"/>
                <w:szCs w:val="21"/>
              </w:rPr>
            </w:pPr>
          </w:p>
        </w:tc>
        <w:tc>
          <w:tcPr>
            <w:tcW w:w="217" w:type="dxa"/>
          </w:tcPr>
          <w:p w14:paraId="67456975" w14:textId="77777777" w:rsidR="002C0FD9" w:rsidRPr="00CA25CF" w:rsidRDefault="002C0FD9" w:rsidP="00CA25CF">
            <w:pPr>
              <w:rPr>
                <w:rFonts w:cs="Arial"/>
                <w:color w:val="FF0000"/>
                <w:sz w:val="21"/>
                <w:szCs w:val="21"/>
              </w:rPr>
            </w:pPr>
          </w:p>
        </w:tc>
        <w:tc>
          <w:tcPr>
            <w:tcW w:w="217" w:type="dxa"/>
          </w:tcPr>
          <w:p w14:paraId="6CEB9846" w14:textId="77777777" w:rsidR="002C0FD9" w:rsidRPr="00CA25CF" w:rsidRDefault="002C0FD9" w:rsidP="00CA25CF">
            <w:pPr>
              <w:rPr>
                <w:rFonts w:cs="Arial"/>
                <w:color w:val="FF0000"/>
                <w:sz w:val="21"/>
                <w:szCs w:val="21"/>
              </w:rPr>
            </w:pPr>
          </w:p>
        </w:tc>
        <w:tc>
          <w:tcPr>
            <w:tcW w:w="217" w:type="dxa"/>
          </w:tcPr>
          <w:p w14:paraId="253DAF6A" w14:textId="77777777" w:rsidR="002C0FD9" w:rsidRPr="00CA25CF" w:rsidRDefault="002C0FD9" w:rsidP="00CA25CF">
            <w:pPr>
              <w:rPr>
                <w:rFonts w:cs="Arial"/>
                <w:color w:val="FF0000"/>
                <w:sz w:val="21"/>
                <w:szCs w:val="21"/>
              </w:rPr>
            </w:pPr>
          </w:p>
        </w:tc>
        <w:tc>
          <w:tcPr>
            <w:tcW w:w="217" w:type="dxa"/>
          </w:tcPr>
          <w:p w14:paraId="4A7F4442" w14:textId="77777777" w:rsidR="002C0FD9" w:rsidRPr="00CA25CF" w:rsidRDefault="002C0FD9" w:rsidP="00CA25CF">
            <w:pPr>
              <w:rPr>
                <w:rFonts w:cs="Arial"/>
                <w:color w:val="FF0000"/>
                <w:sz w:val="21"/>
                <w:szCs w:val="21"/>
              </w:rPr>
            </w:pPr>
          </w:p>
        </w:tc>
        <w:tc>
          <w:tcPr>
            <w:tcW w:w="217" w:type="dxa"/>
          </w:tcPr>
          <w:p w14:paraId="0F6A6E26" w14:textId="77777777" w:rsidR="002C0FD9" w:rsidRPr="00CA25CF" w:rsidRDefault="002C0FD9" w:rsidP="00CA25CF">
            <w:pPr>
              <w:rPr>
                <w:rFonts w:cs="Arial"/>
                <w:color w:val="FF0000"/>
                <w:sz w:val="21"/>
                <w:szCs w:val="21"/>
              </w:rPr>
            </w:pPr>
          </w:p>
        </w:tc>
        <w:tc>
          <w:tcPr>
            <w:tcW w:w="217" w:type="dxa"/>
          </w:tcPr>
          <w:p w14:paraId="011056F0" w14:textId="77777777" w:rsidR="002C0FD9" w:rsidRPr="00CA25CF" w:rsidRDefault="002C0FD9" w:rsidP="00CA25CF">
            <w:pPr>
              <w:rPr>
                <w:rFonts w:cs="Arial"/>
                <w:color w:val="FF0000"/>
                <w:sz w:val="21"/>
                <w:szCs w:val="21"/>
              </w:rPr>
            </w:pPr>
          </w:p>
        </w:tc>
        <w:tc>
          <w:tcPr>
            <w:tcW w:w="217" w:type="dxa"/>
          </w:tcPr>
          <w:p w14:paraId="6AE3F254" w14:textId="77777777" w:rsidR="002C0FD9" w:rsidRPr="00CA25CF" w:rsidRDefault="002C0FD9" w:rsidP="00CA25CF">
            <w:pPr>
              <w:rPr>
                <w:rFonts w:cs="Arial"/>
                <w:color w:val="FF0000"/>
                <w:sz w:val="21"/>
                <w:szCs w:val="21"/>
              </w:rPr>
            </w:pPr>
          </w:p>
        </w:tc>
        <w:tc>
          <w:tcPr>
            <w:tcW w:w="217" w:type="dxa"/>
          </w:tcPr>
          <w:p w14:paraId="45D462BF" w14:textId="77777777" w:rsidR="002C0FD9" w:rsidRPr="00CA25CF" w:rsidRDefault="002C0FD9" w:rsidP="00CA25CF">
            <w:pPr>
              <w:rPr>
                <w:rFonts w:cs="Arial"/>
                <w:color w:val="FF0000"/>
                <w:sz w:val="21"/>
                <w:szCs w:val="21"/>
              </w:rPr>
            </w:pPr>
          </w:p>
        </w:tc>
        <w:tc>
          <w:tcPr>
            <w:tcW w:w="217" w:type="dxa"/>
          </w:tcPr>
          <w:p w14:paraId="7FDD23B5" w14:textId="77777777" w:rsidR="002C0FD9" w:rsidRPr="00CA25CF" w:rsidRDefault="002C0FD9" w:rsidP="00CA25CF">
            <w:pPr>
              <w:rPr>
                <w:rFonts w:cs="Arial"/>
                <w:color w:val="FF0000"/>
                <w:sz w:val="21"/>
                <w:szCs w:val="21"/>
              </w:rPr>
            </w:pPr>
          </w:p>
        </w:tc>
      </w:tr>
      <w:tr w:rsidR="002C0FD9" w:rsidRPr="00A16219" w14:paraId="339266E0" w14:textId="77777777" w:rsidTr="002C0FD9">
        <w:trPr>
          <w:trHeight w:val="635"/>
        </w:trPr>
        <w:tc>
          <w:tcPr>
            <w:tcW w:w="515" w:type="dxa"/>
          </w:tcPr>
          <w:p w14:paraId="3063775C" w14:textId="77777777" w:rsidR="002C0FD9" w:rsidRPr="00CA25CF" w:rsidRDefault="002C0FD9" w:rsidP="00CA25CF">
            <w:pPr>
              <w:rPr>
                <w:rFonts w:cs="Arial"/>
                <w:color w:val="FF0000"/>
                <w:sz w:val="21"/>
                <w:szCs w:val="21"/>
              </w:rPr>
            </w:pPr>
          </w:p>
        </w:tc>
        <w:tc>
          <w:tcPr>
            <w:tcW w:w="217" w:type="dxa"/>
          </w:tcPr>
          <w:p w14:paraId="72E6D857" w14:textId="77777777" w:rsidR="002C0FD9" w:rsidRPr="00CA25CF" w:rsidRDefault="002C0FD9" w:rsidP="00CA25CF">
            <w:pPr>
              <w:rPr>
                <w:rFonts w:cs="Arial"/>
                <w:color w:val="FF0000"/>
                <w:sz w:val="21"/>
                <w:szCs w:val="21"/>
              </w:rPr>
            </w:pPr>
          </w:p>
        </w:tc>
        <w:tc>
          <w:tcPr>
            <w:tcW w:w="217" w:type="dxa"/>
          </w:tcPr>
          <w:p w14:paraId="1D066C3B" w14:textId="77777777" w:rsidR="002C0FD9" w:rsidRPr="00CA25CF" w:rsidRDefault="002C0FD9" w:rsidP="00CA25CF">
            <w:pPr>
              <w:rPr>
                <w:rFonts w:cs="Arial"/>
                <w:color w:val="FF0000"/>
                <w:sz w:val="21"/>
                <w:szCs w:val="21"/>
              </w:rPr>
            </w:pPr>
          </w:p>
        </w:tc>
        <w:tc>
          <w:tcPr>
            <w:tcW w:w="217" w:type="dxa"/>
          </w:tcPr>
          <w:p w14:paraId="1A72D932" w14:textId="77777777" w:rsidR="002C0FD9" w:rsidRPr="00CA25CF" w:rsidRDefault="002C0FD9" w:rsidP="00CA25CF">
            <w:pPr>
              <w:rPr>
                <w:rFonts w:cs="Arial"/>
                <w:color w:val="FF0000"/>
                <w:sz w:val="21"/>
                <w:szCs w:val="21"/>
              </w:rPr>
            </w:pPr>
          </w:p>
        </w:tc>
        <w:tc>
          <w:tcPr>
            <w:tcW w:w="217" w:type="dxa"/>
          </w:tcPr>
          <w:p w14:paraId="43030AC3" w14:textId="77777777" w:rsidR="002C0FD9" w:rsidRPr="00CA25CF" w:rsidRDefault="002C0FD9" w:rsidP="00CA25CF">
            <w:pPr>
              <w:rPr>
                <w:rFonts w:cs="Arial"/>
                <w:color w:val="FF0000"/>
                <w:sz w:val="21"/>
                <w:szCs w:val="21"/>
              </w:rPr>
            </w:pPr>
          </w:p>
        </w:tc>
        <w:tc>
          <w:tcPr>
            <w:tcW w:w="217" w:type="dxa"/>
          </w:tcPr>
          <w:p w14:paraId="66C0AC23" w14:textId="77777777" w:rsidR="002C0FD9" w:rsidRPr="00CA25CF" w:rsidRDefault="002C0FD9" w:rsidP="00CA25CF">
            <w:pPr>
              <w:rPr>
                <w:rFonts w:cs="Arial"/>
                <w:color w:val="FF0000"/>
                <w:sz w:val="21"/>
                <w:szCs w:val="21"/>
              </w:rPr>
            </w:pPr>
          </w:p>
        </w:tc>
        <w:tc>
          <w:tcPr>
            <w:tcW w:w="217" w:type="dxa"/>
          </w:tcPr>
          <w:p w14:paraId="089897A1" w14:textId="77777777" w:rsidR="002C0FD9" w:rsidRPr="00CA25CF" w:rsidRDefault="002C0FD9" w:rsidP="00CA25CF">
            <w:pPr>
              <w:rPr>
                <w:rFonts w:cs="Arial"/>
                <w:color w:val="FF0000"/>
                <w:sz w:val="21"/>
                <w:szCs w:val="21"/>
              </w:rPr>
            </w:pPr>
          </w:p>
        </w:tc>
        <w:tc>
          <w:tcPr>
            <w:tcW w:w="217" w:type="dxa"/>
          </w:tcPr>
          <w:p w14:paraId="60FDB7F4" w14:textId="77777777" w:rsidR="002C0FD9" w:rsidRPr="00CA25CF" w:rsidRDefault="002C0FD9" w:rsidP="00CA25CF">
            <w:pPr>
              <w:rPr>
                <w:rFonts w:cs="Arial"/>
                <w:color w:val="FF0000"/>
                <w:sz w:val="21"/>
                <w:szCs w:val="21"/>
              </w:rPr>
            </w:pPr>
          </w:p>
        </w:tc>
        <w:tc>
          <w:tcPr>
            <w:tcW w:w="217" w:type="dxa"/>
          </w:tcPr>
          <w:p w14:paraId="0086FBE3" w14:textId="77777777" w:rsidR="002C0FD9" w:rsidRPr="00CA25CF" w:rsidRDefault="002C0FD9" w:rsidP="00CA25CF">
            <w:pPr>
              <w:rPr>
                <w:rFonts w:cs="Arial"/>
                <w:color w:val="FF0000"/>
                <w:sz w:val="21"/>
                <w:szCs w:val="21"/>
              </w:rPr>
            </w:pPr>
          </w:p>
        </w:tc>
        <w:tc>
          <w:tcPr>
            <w:tcW w:w="217" w:type="dxa"/>
          </w:tcPr>
          <w:p w14:paraId="5579EAB0" w14:textId="77777777" w:rsidR="002C0FD9" w:rsidRPr="00CA25CF" w:rsidRDefault="002C0FD9" w:rsidP="00CA25CF">
            <w:pPr>
              <w:rPr>
                <w:rFonts w:cs="Arial"/>
                <w:color w:val="FF0000"/>
                <w:sz w:val="21"/>
                <w:szCs w:val="21"/>
              </w:rPr>
            </w:pPr>
          </w:p>
        </w:tc>
        <w:tc>
          <w:tcPr>
            <w:tcW w:w="217" w:type="dxa"/>
          </w:tcPr>
          <w:p w14:paraId="412D36C2" w14:textId="77777777" w:rsidR="002C0FD9" w:rsidRPr="00CA25CF" w:rsidRDefault="002C0FD9" w:rsidP="00CA25CF">
            <w:pPr>
              <w:rPr>
                <w:rFonts w:cs="Arial"/>
                <w:color w:val="FF0000"/>
                <w:sz w:val="21"/>
                <w:szCs w:val="21"/>
              </w:rPr>
            </w:pPr>
          </w:p>
        </w:tc>
        <w:tc>
          <w:tcPr>
            <w:tcW w:w="217" w:type="dxa"/>
          </w:tcPr>
          <w:p w14:paraId="7E9A8717" w14:textId="77777777" w:rsidR="002C0FD9" w:rsidRPr="00CA25CF" w:rsidRDefault="002C0FD9" w:rsidP="00CA25CF">
            <w:pPr>
              <w:rPr>
                <w:rFonts w:cs="Arial"/>
                <w:color w:val="FF0000"/>
                <w:sz w:val="21"/>
                <w:szCs w:val="21"/>
              </w:rPr>
            </w:pPr>
          </w:p>
        </w:tc>
        <w:tc>
          <w:tcPr>
            <w:tcW w:w="217" w:type="dxa"/>
          </w:tcPr>
          <w:p w14:paraId="093D7CAA" w14:textId="77777777" w:rsidR="002C0FD9" w:rsidRPr="00CA25CF" w:rsidRDefault="002C0FD9" w:rsidP="00CA25CF">
            <w:pPr>
              <w:rPr>
                <w:rFonts w:cs="Arial"/>
                <w:color w:val="FF0000"/>
                <w:sz w:val="21"/>
                <w:szCs w:val="21"/>
              </w:rPr>
            </w:pPr>
          </w:p>
        </w:tc>
        <w:tc>
          <w:tcPr>
            <w:tcW w:w="217" w:type="dxa"/>
          </w:tcPr>
          <w:p w14:paraId="16E42A40" w14:textId="77777777" w:rsidR="002C0FD9" w:rsidRPr="00CA25CF" w:rsidRDefault="002C0FD9" w:rsidP="00CA25CF">
            <w:pPr>
              <w:rPr>
                <w:rFonts w:cs="Arial"/>
                <w:color w:val="FF0000"/>
                <w:sz w:val="21"/>
                <w:szCs w:val="21"/>
              </w:rPr>
            </w:pPr>
          </w:p>
        </w:tc>
        <w:tc>
          <w:tcPr>
            <w:tcW w:w="217" w:type="dxa"/>
          </w:tcPr>
          <w:p w14:paraId="4A359E55" w14:textId="77777777" w:rsidR="002C0FD9" w:rsidRPr="00CA25CF" w:rsidRDefault="002C0FD9" w:rsidP="00CA25CF">
            <w:pPr>
              <w:rPr>
                <w:rFonts w:cs="Arial"/>
                <w:color w:val="FF0000"/>
                <w:sz w:val="21"/>
                <w:szCs w:val="21"/>
              </w:rPr>
            </w:pPr>
          </w:p>
        </w:tc>
        <w:tc>
          <w:tcPr>
            <w:tcW w:w="217" w:type="dxa"/>
          </w:tcPr>
          <w:p w14:paraId="06080EDB" w14:textId="77777777" w:rsidR="002C0FD9" w:rsidRPr="00CA25CF" w:rsidRDefault="002C0FD9" w:rsidP="00CA25CF">
            <w:pPr>
              <w:rPr>
                <w:rFonts w:cs="Arial"/>
                <w:color w:val="FF0000"/>
                <w:sz w:val="21"/>
                <w:szCs w:val="21"/>
              </w:rPr>
            </w:pPr>
          </w:p>
        </w:tc>
        <w:tc>
          <w:tcPr>
            <w:tcW w:w="217" w:type="dxa"/>
          </w:tcPr>
          <w:p w14:paraId="7E2E9137" w14:textId="77777777" w:rsidR="002C0FD9" w:rsidRPr="00CA25CF" w:rsidRDefault="002C0FD9" w:rsidP="00CA25CF">
            <w:pPr>
              <w:rPr>
                <w:rFonts w:cs="Arial"/>
                <w:color w:val="FF0000"/>
                <w:sz w:val="21"/>
                <w:szCs w:val="21"/>
              </w:rPr>
            </w:pPr>
          </w:p>
        </w:tc>
        <w:tc>
          <w:tcPr>
            <w:tcW w:w="217" w:type="dxa"/>
          </w:tcPr>
          <w:p w14:paraId="5B85EAE2" w14:textId="77777777" w:rsidR="002C0FD9" w:rsidRPr="00CA25CF" w:rsidRDefault="002C0FD9" w:rsidP="00CA25CF">
            <w:pPr>
              <w:rPr>
                <w:rFonts w:cs="Arial"/>
                <w:color w:val="FF0000"/>
                <w:sz w:val="21"/>
                <w:szCs w:val="21"/>
              </w:rPr>
            </w:pPr>
          </w:p>
        </w:tc>
        <w:tc>
          <w:tcPr>
            <w:tcW w:w="217" w:type="dxa"/>
          </w:tcPr>
          <w:p w14:paraId="3B90BC57" w14:textId="77777777" w:rsidR="002C0FD9" w:rsidRPr="00CA25CF" w:rsidRDefault="002C0FD9" w:rsidP="00CA25CF">
            <w:pPr>
              <w:rPr>
                <w:rFonts w:cs="Arial"/>
                <w:color w:val="FF0000"/>
                <w:sz w:val="21"/>
                <w:szCs w:val="21"/>
              </w:rPr>
            </w:pPr>
          </w:p>
        </w:tc>
        <w:tc>
          <w:tcPr>
            <w:tcW w:w="217" w:type="dxa"/>
          </w:tcPr>
          <w:p w14:paraId="3A962016" w14:textId="77777777" w:rsidR="002C0FD9" w:rsidRPr="00CA25CF" w:rsidRDefault="002C0FD9" w:rsidP="00CA25CF">
            <w:pPr>
              <w:rPr>
                <w:rFonts w:cs="Arial"/>
                <w:color w:val="FF0000"/>
                <w:sz w:val="21"/>
                <w:szCs w:val="21"/>
              </w:rPr>
            </w:pPr>
          </w:p>
        </w:tc>
        <w:tc>
          <w:tcPr>
            <w:tcW w:w="217" w:type="dxa"/>
          </w:tcPr>
          <w:p w14:paraId="2C59B499" w14:textId="77777777" w:rsidR="002C0FD9" w:rsidRPr="00CA25CF" w:rsidRDefault="002C0FD9" w:rsidP="00CA25CF">
            <w:pPr>
              <w:rPr>
                <w:rFonts w:cs="Arial"/>
                <w:color w:val="FF0000"/>
                <w:sz w:val="21"/>
                <w:szCs w:val="21"/>
              </w:rPr>
            </w:pPr>
          </w:p>
        </w:tc>
        <w:tc>
          <w:tcPr>
            <w:tcW w:w="217" w:type="dxa"/>
          </w:tcPr>
          <w:p w14:paraId="08722BCD" w14:textId="77777777" w:rsidR="002C0FD9" w:rsidRPr="00CA25CF" w:rsidRDefault="002C0FD9" w:rsidP="00CA25CF">
            <w:pPr>
              <w:rPr>
                <w:rFonts w:cs="Arial"/>
                <w:color w:val="FF0000"/>
                <w:sz w:val="21"/>
                <w:szCs w:val="21"/>
              </w:rPr>
            </w:pPr>
          </w:p>
        </w:tc>
        <w:tc>
          <w:tcPr>
            <w:tcW w:w="217" w:type="dxa"/>
          </w:tcPr>
          <w:p w14:paraId="1F06FF43" w14:textId="77777777" w:rsidR="002C0FD9" w:rsidRPr="00CA25CF" w:rsidRDefault="002C0FD9" w:rsidP="00CA25CF">
            <w:pPr>
              <w:rPr>
                <w:rFonts w:cs="Arial"/>
                <w:color w:val="FF0000"/>
                <w:sz w:val="21"/>
                <w:szCs w:val="21"/>
              </w:rPr>
            </w:pPr>
          </w:p>
        </w:tc>
        <w:tc>
          <w:tcPr>
            <w:tcW w:w="217" w:type="dxa"/>
          </w:tcPr>
          <w:p w14:paraId="6A7B721F" w14:textId="77777777" w:rsidR="002C0FD9" w:rsidRPr="00CA25CF" w:rsidRDefault="002C0FD9" w:rsidP="00CA25CF">
            <w:pPr>
              <w:rPr>
                <w:rFonts w:cs="Arial"/>
                <w:color w:val="FF0000"/>
                <w:sz w:val="21"/>
                <w:szCs w:val="21"/>
              </w:rPr>
            </w:pPr>
          </w:p>
        </w:tc>
        <w:tc>
          <w:tcPr>
            <w:tcW w:w="217" w:type="dxa"/>
          </w:tcPr>
          <w:p w14:paraId="1CD605BA" w14:textId="77777777" w:rsidR="002C0FD9" w:rsidRPr="00CA25CF" w:rsidRDefault="002C0FD9" w:rsidP="00CA25CF">
            <w:pPr>
              <w:rPr>
                <w:rFonts w:cs="Arial"/>
                <w:color w:val="FF0000"/>
                <w:sz w:val="21"/>
                <w:szCs w:val="21"/>
              </w:rPr>
            </w:pPr>
          </w:p>
        </w:tc>
        <w:tc>
          <w:tcPr>
            <w:tcW w:w="217" w:type="dxa"/>
          </w:tcPr>
          <w:p w14:paraId="59A66AB7" w14:textId="77777777" w:rsidR="002C0FD9" w:rsidRPr="00CA25CF" w:rsidRDefault="002C0FD9" w:rsidP="00CA25CF">
            <w:pPr>
              <w:rPr>
                <w:rFonts w:cs="Arial"/>
                <w:color w:val="FF0000"/>
                <w:sz w:val="21"/>
                <w:szCs w:val="21"/>
              </w:rPr>
            </w:pPr>
          </w:p>
        </w:tc>
        <w:tc>
          <w:tcPr>
            <w:tcW w:w="217" w:type="dxa"/>
          </w:tcPr>
          <w:p w14:paraId="6058C685" w14:textId="77777777" w:rsidR="002C0FD9" w:rsidRPr="00CA25CF" w:rsidRDefault="002C0FD9" w:rsidP="00CA25CF">
            <w:pPr>
              <w:rPr>
                <w:rFonts w:cs="Arial"/>
                <w:color w:val="FF0000"/>
                <w:sz w:val="21"/>
                <w:szCs w:val="21"/>
              </w:rPr>
            </w:pPr>
          </w:p>
        </w:tc>
        <w:tc>
          <w:tcPr>
            <w:tcW w:w="217" w:type="dxa"/>
          </w:tcPr>
          <w:p w14:paraId="48C4C691" w14:textId="77777777" w:rsidR="002C0FD9" w:rsidRPr="00CA25CF" w:rsidRDefault="002C0FD9" w:rsidP="00CA25CF">
            <w:pPr>
              <w:rPr>
                <w:rFonts w:cs="Arial"/>
                <w:color w:val="FF0000"/>
                <w:sz w:val="21"/>
                <w:szCs w:val="21"/>
              </w:rPr>
            </w:pPr>
          </w:p>
        </w:tc>
        <w:tc>
          <w:tcPr>
            <w:tcW w:w="217" w:type="dxa"/>
          </w:tcPr>
          <w:p w14:paraId="400271E2" w14:textId="77777777" w:rsidR="002C0FD9" w:rsidRPr="00CA25CF" w:rsidRDefault="002C0FD9" w:rsidP="00CA25CF">
            <w:pPr>
              <w:rPr>
                <w:rFonts w:cs="Arial"/>
                <w:color w:val="FF0000"/>
                <w:sz w:val="21"/>
                <w:szCs w:val="21"/>
              </w:rPr>
            </w:pPr>
          </w:p>
        </w:tc>
        <w:tc>
          <w:tcPr>
            <w:tcW w:w="217" w:type="dxa"/>
          </w:tcPr>
          <w:p w14:paraId="38D7B056" w14:textId="77777777" w:rsidR="002C0FD9" w:rsidRPr="00CA25CF" w:rsidRDefault="002C0FD9" w:rsidP="00CA25CF">
            <w:pPr>
              <w:rPr>
                <w:rFonts w:cs="Arial"/>
                <w:color w:val="FF0000"/>
                <w:sz w:val="21"/>
                <w:szCs w:val="21"/>
              </w:rPr>
            </w:pPr>
          </w:p>
        </w:tc>
        <w:tc>
          <w:tcPr>
            <w:tcW w:w="217" w:type="dxa"/>
          </w:tcPr>
          <w:p w14:paraId="4594A6CA" w14:textId="77777777" w:rsidR="002C0FD9" w:rsidRPr="00CA25CF" w:rsidRDefault="002C0FD9" w:rsidP="00CA25CF">
            <w:pPr>
              <w:rPr>
                <w:rFonts w:cs="Arial"/>
                <w:color w:val="FF0000"/>
                <w:sz w:val="21"/>
                <w:szCs w:val="21"/>
              </w:rPr>
            </w:pPr>
          </w:p>
        </w:tc>
        <w:tc>
          <w:tcPr>
            <w:tcW w:w="217" w:type="dxa"/>
          </w:tcPr>
          <w:p w14:paraId="72CF5B29" w14:textId="77777777" w:rsidR="002C0FD9" w:rsidRPr="00CA25CF" w:rsidRDefault="002C0FD9" w:rsidP="00CA25CF">
            <w:pPr>
              <w:rPr>
                <w:rFonts w:cs="Arial"/>
                <w:color w:val="FF0000"/>
                <w:sz w:val="21"/>
                <w:szCs w:val="21"/>
              </w:rPr>
            </w:pPr>
          </w:p>
        </w:tc>
        <w:tc>
          <w:tcPr>
            <w:tcW w:w="217" w:type="dxa"/>
          </w:tcPr>
          <w:p w14:paraId="17E9348D" w14:textId="77777777" w:rsidR="002C0FD9" w:rsidRPr="00CA25CF" w:rsidRDefault="002C0FD9" w:rsidP="00CA25CF">
            <w:pPr>
              <w:rPr>
                <w:rFonts w:cs="Arial"/>
                <w:color w:val="FF0000"/>
                <w:sz w:val="21"/>
                <w:szCs w:val="21"/>
              </w:rPr>
            </w:pPr>
          </w:p>
        </w:tc>
        <w:tc>
          <w:tcPr>
            <w:tcW w:w="217" w:type="dxa"/>
          </w:tcPr>
          <w:p w14:paraId="6891B40D" w14:textId="77777777" w:rsidR="002C0FD9" w:rsidRPr="00CA25CF" w:rsidRDefault="002C0FD9" w:rsidP="00CA25CF">
            <w:pPr>
              <w:rPr>
                <w:rFonts w:cs="Arial"/>
                <w:color w:val="FF0000"/>
                <w:sz w:val="21"/>
                <w:szCs w:val="21"/>
              </w:rPr>
            </w:pPr>
          </w:p>
        </w:tc>
        <w:tc>
          <w:tcPr>
            <w:tcW w:w="217" w:type="dxa"/>
          </w:tcPr>
          <w:p w14:paraId="38B544B8" w14:textId="77777777" w:rsidR="002C0FD9" w:rsidRPr="00CA25CF" w:rsidRDefault="002C0FD9" w:rsidP="00CA25CF">
            <w:pPr>
              <w:rPr>
                <w:rFonts w:cs="Arial"/>
                <w:color w:val="FF0000"/>
                <w:sz w:val="21"/>
                <w:szCs w:val="21"/>
              </w:rPr>
            </w:pPr>
          </w:p>
        </w:tc>
        <w:tc>
          <w:tcPr>
            <w:tcW w:w="217" w:type="dxa"/>
          </w:tcPr>
          <w:p w14:paraId="1D1A1333" w14:textId="77777777" w:rsidR="002C0FD9" w:rsidRPr="00CA25CF" w:rsidRDefault="002C0FD9" w:rsidP="00CA25CF">
            <w:pPr>
              <w:rPr>
                <w:rFonts w:cs="Arial"/>
                <w:color w:val="FF0000"/>
                <w:sz w:val="21"/>
                <w:szCs w:val="21"/>
              </w:rPr>
            </w:pPr>
          </w:p>
        </w:tc>
        <w:tc>
          <w:tcPr>
            <w:tcW w:w="217" w:type="dxa"/>
          </w:tcPr>
          <w:p w14:paraId="0C5F4287" w14:textId="77777777" w:rsidR="002C0FD9" w:rsidRPr="00CA25CF" w:rsidRDefault="002C0FD9" w:rsidP="00CA25CF">
            <w:pPr>
              <w:rPr>
                <w:rFonts w:cs="Arial"/>
                <w:color w:val="FF0000"/>
                <w:sz w:val="21"/>
                <w:szCs w:val="21"/>
              </w:rPr>
            </w:pPr>
          </w:p>
        </w:tc>
        <w:tc>
          <w:tcPr>
            <w:tcW w:w="217" w:type="dxa"/>
          </w:tcPr>
          <w:p w14:paraId="3D87F4F5" w14:textId="77777777" w:rsidR="002C0FD9" w:rsidRPr="00CA25CF" w:rsidRDefault="002C0FD9" w:rsidP="00CA25CF">
            <w:pPr>
              <w:rPr>
                <w:rFonts w:cs="Arial"/>
                <w:color w:val="FF0000"/>
                <w:sz w:val="21"/>
                <w:szCs w:val="21"/>
              </w:rPr>
            </w:pPr>
          </w:p>
        </w:tc>
        <w:tc>
          <w:tcPr>
            <w:tcW w:w="217" w:type="dxa"/>
          </w:tcPr>
          <w:p w14:paraId="23CD3286" w14:textId="77777777" w:rsidR="002C0FD9" w:rsidRPr="00CA25CF" w:rsidRDefault="002C0FD9" w:rsidP="00CA25CF">
            <w:pPr>
              <w:rPr>
                <w:rFonts w:cs="Arial"/>
                <w:color w:val="FF0000"/>
                <w:sz w:val="21"/>
                <w:szCs w:val="21"/>
              </w:rPr>
            </w:pPr>
          </w:p>
        </w:tc>
        <w:tc>
          <w:tcPr>
            <w:tcW w:w="217" w:type="dxa"/>
          </w:tcPr>
          <w:p w14:paraId="1217F827" w14:textId="77777777" w:rsidR="002C0FD9" w:rsidRPr="00CA25CF" w:rsidRDefault="002C0FD9" w:rsidP="00CA25CF">
            <w:pPr>
              <w:rPr>
                <w:rFonts w:cs="Arial"/>
                <w:color w:val="FF0000"/>
                <w:sz w:val="21"/>
                <w:szCs w:val="21"/>
              </w:rPr>
            </w:pPr>
          </w:p>
        </w:tc>
        <w:tc>
          <w:tcPr>
            <w:tcW w:w="217" w:type="dxa"/>
          </w:tcPr>
          <w:p w14:paraId="3C97AFDC" w14:textId="77777777" w:rsidR="002C0FD9" w:rsidRPr="00CA25CF" w:rsidRDefault="002C0FD9" w:rsidP="00CA25CF">
            <w:pPr>
              <w:rPr>
                <w:rFonts w:cs="Arial"/>
                <w:color w:val="FF0000"/>
                <w:sz w:val="21"/>
                <w:szCs w:val="21"/>
              </w:rPr>
            </w:pPr>
          </w:p>
        </w:tc>
        <w:tc>
          <w:tcPr>
            <w:tcW w:w="217" w:type="dxa"/>
          </w:tcPr>
          <w:p w14:paraId="22424D89" w14:textId="77777777" w:rsidR="002C0FD9" w:rsidRPr="00CA25CF" w:rsidRDefault="002C0FD9" w:rsidP="00CA25CF">
            <w:pPr>
              <w:rPr>
                <w:rFonts w:cs="Arial"/>
                <w:color w:val="FF0000"/>
                <w:sz w:val="21"/>
                <w:szCs w:val="21"/>
              </w:rPr>
            </w:pPr>
          </w:p>
        </w:tc>
        <w:tc>
          <w:tcPr>
            <w:tcW w:w="217" w:type="dxa"/>
          </w:tcPr>
          <w:p w14:paraId="64A5469A" w14:textId="77777777" w:rsidR="002C0FD9" w:rsidRPr="00CA25CF" w:rsidRDefault="002C0FD9" w:rsidP="00CA25CF">
            <w:pPr>
              <w:rPr>
                <w:rFonts w:cs="Arial"/>
                <w:color w:val="FF0000"/>
                <w:sz w:val="21"/>
                <w:szCs w:val="21"/>
              </w:rPr>
            </w:pPr>
          </w:p>
        </w:tc>
      </w:tr>
      <w:tr w:rsidR="002C0FD9" w:rsidRPr="00A16219" w14:paraId="42869C41" w14:textId="77777777" w:rsidTr="002C0FD9">
        <w:trPr>
          <w:trHeight w:val="635"/>
        </w:trPr>
        <w:tc>
          <w:tcPr>
            <w:tcW w:w="515" w:type="dxa"/>
          </w:tcPr>
          <w:p w14:paraId="12816C8E" w14:textId="77777777" w:rsidR="002C0FD9" w:rsidRPr="00CA25CF" w:rsidRDefault="002C0FD9" w:rsidP="00CA25CF">
            <w:pPr>
              <w:rPr>
                <w:rFonts w:cs="Arial"/>
                <w:color w:val="FF0000"/>
                <w:sz w:val="21"/>
                <w:szCs w:val="21"/>
              </w:rPr>
            </w:pPr>
          </w:p>
        </w:tc>
        <w:tc>
          <w:tcPr>
            <w:tcW w:w="217" w:type="dxa"/>
          </w:tcPr>
          <w:p w14:paraId="0A2E3A83" w14:textId="77777777" w:rsidR="002C0FD9" w:rsidRPr="00CA25CF" w:rsidRDefault="002C0FD9" w:rsidP="00CA25CF">
            <w:pPr>
              <w:rPr>
                <w:rFonts w:cs="Arial"/>
                <w:color w:val="FF0000"/>
                <w:sz w:val="21"/>
                <w:szCs w:val="21"/>
              </w:rPr>
            </w:pPr>
          </w:p>
        </w:tc>
        <w:tc>
          <w:tcPr>
            <w:tcW w:w="217" w:type="dxa"/>
          </w:tcPr>
          <w:p w14:paraId="2A876C89" w14:textId="77777777" w:rsidR="002C0FD9" w:rsidRPr="00CA25CF" w:rsidRDefault="002C0FD9" w:rsidP="00CA25CF">
            <w:pPr>
              <w:rPr>
                <w:rFonts w:cs="Arial"/>
                <w:color w:val="FF0000"/>
                <w:sz w:val="21"/>
                <w:szCs w:val="21"/>
              </w:rPr>
            </w:pPr>
          </w:p>
        </w:tc>
        <w:tc>
          <w:tcPr>
            <w:tcW w:w="217" w:type="dxa"/>
          </w:tcPr>
          <w:p w14:paraId="285B9F69" w14:textId="77777777" w:rsidR="002C0FD9" w:rsidRPr="00CA25CF" w:rsidRDefault="002C0FD9" w:rsidP="00CA25CF">
            <w:pPr>
              <w:rPr>
                <w:rFonts w:cs="Arial"/>
                <w:color w:val="FF0000"/>
                <w:sz w:val="21"/>
                <w:szCs w:val="21"/>
              </w:rPr>
            </w:pPr>
          </w:p>
        </w:tc>
        <w:tc>
          <w:tcPr>
            <w:tcW w:w="217" w:type="dxa"/>
          </w:tcPr>
          <w:p w14:paraId="5DFF383D" w14:textId="77777777" w:rsidR="002C0FD9" w:rsidRPr="00CA25CF" w:rsidRDefault="002C0FD9" w:rsidP="00CA25CF">
            <w:pPr>
              <w:rPr>
                <w:rFonts w:cs="Arial"/>
                <w:color w:val="FF0000"/>
                <w:sz w:val="21"/>
                <w:szCs w:val="21"/>
              </w:rPr>
            </w:pPr>
          </w:p>
        </w:tc>
        <w:tc>
          <w:tcPr>
            <w:tcW w:w="217" w:type="dxa"/>
          </w:tcPr>
          <w:p w14:paraId="231D65BC" w14:textId="77777777" w:rsidR="002C0FD9" w:rsidRPr="00CA25CF" w:rsidRDefault="002C0FD9" w:rsidP="00CA25CF">
            <w:pPr>
              <w:rPr>
                <w:rFonts w:cs="Arial"/>
                <w:color w:val="FF0000"/>
                <w:sz w:val="21"/>
                <w:szCs w:val="21"/>
              </w:rPr>
            </w:pPr>
          </w:p>
        </w:tc>
        <w:tc>
          <w:tcPr>
            <w:tcW w:w="217" w:type="dxa"/>
          </w:tcPr>
          <w:p w14:paraId="39D4B484" w14:textId="77777777" w:rsidR="002C0FD9" w:rsidRPr="00CA25CF" w:rsidRDefault="002C0FD9" w:rsidP="00CA25CF">
            <w:pPr>
              <w:rPr>
                <w:rFonts w:cs="Arial"/>
                <w:color w:val="FF0000"/>
                <w:sz w:val="21"/>
                <w:szCs w:val="21"/>
              </w:rPr>
            </w:pPr>
          </w:p>
        </w:tc>
        <w:tc>
          <w:tcPr>
            <w:tcW w:w="217" w:type="dxa"/>
          </w:tcPr>
          <w:p w14:paraId="301DEFEA" w14:textId="77777777" w:rsidR="002C0FD9" w:rsidRPr="00CA25CF" w:rsidRDefault="002C0FD9" w:rsidP="00CA25CF">
            <w:pPr>
              <w:rPr>
                <w:rFonts w:cs="Arial"/>
                <w:color w:val="FF0000"/>
                <w:sz w:val="21"/>
                <w:szCs w:val="21"/>
              </w:rPr>
            </w:pPr>
          </w:p>
        </w:tc>
        <w:tc>
          <w:tcPr>
            <w:tcW w:w="217" w:type="dxa"/>
          </w:tcPr>
          <w:p w14:paraId="0789B42F" w14:textId="77777777" w:rsidR="002C0FD9" w:rsidRPr="00CA25CF" w:rsidRDefault="002C0FD9" w:rsidP="00CA25CF">
            <w:pPr>
              <w:rPr>
                <w:rFonts w:cs="Arial"/>
                <w:color w:val="FF0000"/>
                <w:sz w:val="21"/>
                <w:szCs w:val="21"/>
              </w:rPr>
            </w:pPr>
          </w:p>
        </w:tc>
        <w:tc>
          <w:tcPr>
            <w:tcW w:w="217" w:type="dxa"/>
          </w:tcPr>
          <w:p w14:paraId="48D23030" w14:textId="77777777" w:rsidR="002C0FD9" w:rsidRPr="00CA25CF" w:rsidRDefault="002C0FD9" w:rsidP="00CA25CF">
            <w:pPr>
              <w:rPr>
                <w:rFonts w:cs="Arial"/>
                <w:color w:val="FF0000"/>
                <w:sz w:val="21"/>
                <w:szCs w:val="21"/>
              </w:rPr>
            </w:pPr>
          </w:p>
        </w:tc>
        <w:tc>
          <w:tcPr>
            <w:tcW w:w="217" w:type="dxa"/>
          </w:tcPr>
          <w:p w14:paraId="428F755B" w14:textId="77777777" w:rsidR="002C0FD9" w:rsidRPr="00CA25CF" w:rsidRDefault="002C0FD9" w:rsidP="00CA25CF">
            <w:pPr>
              <w:rPr>
                <w:rFonts w:cs="Arial"/>
                <w:color w:val="FF0000"/>
                <w:sz w:val="21"/>
                <w:szCs w:val="21"/>
              </w:rPr>
            </w:pPr>
          </w:p>
        </w:tc>
        <w:tc>
          <w:tcPr>
            <w:tcW w:w="217" w:type="dxa"/>
          </w:tcPr>
          <w:p w14:paraId="14960EAF" w14:textId="77777777" w:rsidR="002C0FD9" w:rsidRPr="00CA25CF" w:rsidRDefault="002C0FD9" w:rsidP="00CA25CF">
            <w:pPr>
              <w:rPr>
                <w:rFonts w:cs="Arial"/>
                <w:color w:val="FF0000"/>
                <w:sz w:val="21"/>
                <w:szCs w:val="21"/>
              </w:rPr>
            </w:pPr>
          </w:p>
        </w:tc>
        <w:tc>
          <w:tcPr>
            <w:tcW w:w="217" w:type="dxa"/>
          </w:tcPr>
          <w:p w14:paraId="5BBE1542" w14:textId="77777777" w:rsidR="002C0FD9" w:rsidRPr="00CA25CF" w:rsidRDefault="002C0FD9" w:rsidP="00CA25CF">
            <w:pPr>
              <w:rPr>
                <w:rFonts w:cs="Arial"/>
                <w:color w:val="FF0000"/>
                <w:sz w:val="21"/>
                <w:szCs w:val="21"/>
              </w:rPr>
            </w:pPr>
          </w:p>
        </w:tc>
        <w:tc>
          <w:tcPr>
            <w:tcW w:w="217" w:type="dxa"/>
          </w:tcPr>
          <w:p w14:paraId="26425BF8" w14:textId="77777777" w:rsidR="002C0FD9" w:rsidRPr="00CA25CF" w:rsidRDefault="002C0FD9" w:rsidP="00CA25CF">
            <w:pPr>
              <w:rPr>
                <w:rFonts w:cs="Arial"/>
                <w:color w:val="FF0000"/>
                <w:sz w:val="21"/>
                <w:szCs w:val="21"/>
              </w:rPr>
            </w:pPr>
          </w:p>
        </w:tc>
        <w:tc>
          <w:tcPr>
            <w:tcW w:w="217" w:type="dxa"/>
          </w:tcPr>
          <w:p w14:paraId="5ACF0E83" w14:textId="77777777" w:rsidR="002C0FD9" w:rsidRPr="00CA25CF" w:rsidRDefault="002C0FD9" w:rsidP="00CA25CF">
            <w:pPr>
              <w:rPr>
                <w:rFonts w:cs="Arial"/>
                <w:color w:val="FF0000"/>
                <w:sz w:val="21"/>
                <w:szCs w:val="21"/>
              </w:rPr>
            </w:pPr>
          </w:p>
        </w:tc>
        <w:tc>
          <w:tcPr>
            <w:tcW w:w="217" w:type="dxa"/>
          </w:tcPr>
          <w:p w14:paraId="546C9420" w14:textId="77777777" w:rsidR="002C0FD9" w:rsidRPr="00CA25CF" w:rsidRDefault="002C0FD9" w:rsidP="00CA25CF">
            <w:pPr>
              <w:rPr>
                <w:rFonts w:cs="Arial"/>
                <w:color w:val="FF0000"/>
                <w:sz w:val="21"/>
                <w:szCs w:val="21"/>
              </w:rPr>
            </w:pPr>
          </w:p>
        </w:tc>
        <w:tc>
          <w:tcPr>
            <w:tcW w:w="217" w:type="dxa"/>
          </w:tcPr>
          <w:p w14:paraId="647B75FA" w14:textId="77777777" w:rsidR="002C0FD9" w:rsidRPr="00CA25CF" w:rsidRDefault="002C0FD9" w:rsidP="00CA25CF">
            <w:pPr>
              <w:rPr>
                <w:rFonts w:cs="Arial"/>
                <w:color w:val="FF0000"/>
                <w:sz w:val="21"/>
                <w:szCs w:val="21"/>
              </w:rPr>
            </w:pPr>
          </w:p>
        </w:tc>
        <w:tc>
          <w:tcPr>
            <w:tcW w:w="217" w:type="dxa"/>
          </w:tcPr>
          <w:p w14:paraId="6F69D64D" w14:textId="77777777" w:rsidR="002C0FD9" w:rsidRPr="00CA25CF" w:rsidRDefault="002C0FD9" w:rsidP="00CA25CF">
            <w:pPr>
              <w:rPr>
                <w:rFonts w:cs="Arial"/>
                <w:color w:val="FF0000"/>
                <w:sz w:val="21"/>
                <w:szCs w:val="21"/>
              </w:rPr>
            </w:pPr>
          </w:p>
        </w:tc>
        <w:tc>
          <w:tcPr>
            <w:tcW w:w="217" w:type="dxa"/>
          </w:tcPr>
          <w:p w14:paraId="4A4F4A0C" w14:textId="77777777" w:rsidR="002C0FD9" w:rsidRPr="00CA25CF" w:rsidRDefault="002C0FD9" w:rsidP="00CA25CF">
            <w:pPr>
              <w:rPr>
                <w:rFonts w:cs="Arial"/>
                <w:color w:val="FF0000"/>
                <w:sz w:val="21"/>
                <w:szCs w:val="21"/>
              </w:rPr>
            </w:pPr>
          </w:p>
        </w:tc>
        <w:tc>
          <w:tcPr>
            <w:tcW w:w="217" w:type="dxa"/>
          </w:tcPr>
          <w:p w14:paraId="5ED894C9" w14:textId="77777777" w:rsidR="002C0FD9" w:rsidRPr="00CA25CF" w:rsidRDefault="002C0FD9" w:rsidP="00CA25CF">
            <w:pPr>
              <w:rPr>
                <w:rFonts w:cs="Arial"/>
                <w:color w:val="FF0000"/>
                <w:sz w:val="21"/>
                <w:szCs w:val="21"/>
              </w:rPr>
            </w:pPr>
          </w:p>
        </w:tc>
        <w:tc>
          <w:tcPr>
            <w:tcW w:w="217" w:type="dxa"/>
          </w:tcPr>
          <w:p w14:paraId="35D0C879" w14:textId="77777777" w:rsidR="002C0FD9" w:rsidRPr="00CA25CF" w:rsidRDefault="002C0FD9" w:rsidP="00CA25CF">
            <w:pPr>
              <w:rPr>
                <w:rFonts w:cs="Arial"/>
                <w:color w:val="FF0000"/>
                <w:sz w:val="21"/>
                <w:szCs w:val="21"/>
              </w:rPr>
            </w:pPr>
          </w:p>
        </w:tc>
        <w:tc>
          <w:tcPr>
            <w:tcW w:w="217" w:type="dxa"/>
          </w:tcPr>
          <w:p w14:paraId="25A7A18D" w14:textId="77777777" w:rsidR="002C0FD9" w:rsidRPr="00CA25CF" w:rsidRDefault="002C0FD9" w:rsidP="00CA25CF">
            <w:pPr>
              <w:rPr>
                <w:rFonts w:cs="Arial"/>
                <w:color w:val="FF0000"/>
                <w:sz w:val="21"/>
                <w:szCs w:val="21"/>
              </w:rPr>
            </w:pPr>
          </w:p>
        </w:tc>
        <w:tc>
          <w:tcPr>
            <w:tcW w:w="217" w:type="dxa"/>
          </w:tcPr>
          <w:p w14:paraId="2AED5EAA" w14:textId="77777777" w:rsidR="002C0FD9" w:rsidRPr="00CA25CF" w:rsidRDefault="002C0FD9" w:rsidP="00CA25CF">
            <w:pPr>
              <w:rPr>
                <w:rFonts w:cs="Arial"/>
                <w:color w:val="FF0000"/>
                <w:sz w:val="21"/>
                <w:szCs w:val="21"/>
              </w:rPr>
            </w:pPr>
          </w:p>
        </w:tc>
        <w:tc>
          <w:tcPr>
            <w:tcW w:w="217" w:type="dxa"/>
          </w:tcPr>
          <w:p w14:paraId="6F555B53" w14:textId="77777777" w:rsidR="002C0FD9" w:rsidRPr="00CA25CF" w:rsidRDefault="002C0FD9" w:rsidP="00CA25CF">
            <w:pPr>
              <w:rPr>
                <w:rFonts w:cs="Arial"/>
                <w:color w:val="FF0000"/>
                <w:sz w:val="21"/>
                <w:szCs w:val="21"/>
              </w:rPr>
            </w:pPr>
          </w:p>
        </w:tc>
        <w:tc>
          <w:tcPr>
            <w:tcW w:w="217" w:type="dxa"/>
          </w:tcPr>
          <w:p w14:paraId="389D6881" w14:textId="77777777" w:rsidR="002C0FD9" w:rsidRPr="00CA25CF" w:rsidRDefault="002C0FD9" w:rsidP="00CA25CF">
            <w:pPr>
              <w:rPr>
                <w:rFonts w:cs="Arial"/>
                <w:color w:val="FF0000"/>
                <w:sz w:val="21"/>
                <w:szCs w:val="21"/>
              </w:rPr>
            </w:pPr>
          </w:p>
        </w:tc>
        <w:tc>
          <w:tcPr>
            <w:tcW w:w="217" w:type="dxa"/>
          </w:tcPr>
          <w:p w14:paraId="09BEDF2E" w14:textId="77777777" w:rsidR="002C0FD9" w:rsidRPr="00CA25CF" w:rsidRDefault="002C0FD9" w:rsidP="00CA25CF">
            <w:pPr>
              <w:rPr>
                <w:rFonts w:cs="Arial"/>
                <w:color w:val="FF0000"/>
                <w:sz w:val="21"/>
                <w:szCs w:val="21"/>
              </w:rPr>
            </w:pPr>
          </w:p>
        </w:tc>
        <w:tc>
          <w:tcPr>
            <w:tcW w:w="217" w:type="dxa"/>
          </w:tcPr>
          <w:p w14:paraId="7A8491AB" w14:textId="77777777" w:rsidR="002C0FD9" w:rsidRPr="00CA25CF" w:rsidRDefault="002C0FD9" w:rsidP="00CA25CF">
            <w:pPr>
              <w:rPr>
                <w:rFonts w:cs="Arial"/>
                <w:color w:val="FF0000"/>
                <w:sz w:val="21"/>
                <w:szCs w:val="21"/>
              </w:rPr>
            </w:pPr>
          </w:p>
        </w:tc>
        <w:tc>
          <w:tcPr>
            <w:tcW w:w="217" w:type="dxa"/>
          </w:tcPr>
          <w:p w14:paraId="4AD54289" w14:textId="77777777" w:rsidR="002C0FD9" w:rsidRPr="00CA25CF" w:rsidRDefault="002C0FD9" w:rsidP="00CA25CF">
            <w:pPr>
              <w:rPr>
                <w:rFonts w:cs="Arial"/>
                <w:color w:val="FF0000"/>
                <w:sz w:val="21"/>
                <w:szCs w:val="21"/>
              </w:rPr>
            </w:pPr>
          </w:p>
        </w:tc>
        <w:tc>
          <w:tcPr>
            <w:tcW w:w="217" w:type="dxa"/>
          </w:tcPr>
          <w:p w14:paraId="72664D85" w14:textId="77777777" w:rsidR="002C0FD9" w:rsidRPr="00CA25CF" w:rsidRDefault="002C0FD9" w:rsidP="00CA25CF">
            <w:pPr>
              <w:rPr>
                <w:rFonts w:cs="Arial"/>
                <w:color w:val="FF0000"/>
                <w:sz w:val="21"/>
                <w:szCs w:val="21"/>
              </w:rPr>
            </w:pPr>
          </w:p>
        </w:tc>
        <w:tc>
          <w:tcPr>
            <w:tcW w:w="217" w:type="dxa"/>
          </w:tcPr>
          <w:p w14:paraId="59B8D9A8" w14:textId="77777777" w:rsidR="002C0FD9" w:rsidRPr="00CA25CF" w:rsidRDefault="002C0FD9" w:rsidP="00CA25CF">
            <w:pPr>
              <w:rPr>
                <w:rFonts w:cs="Arial"/>
                <w:color w:val="FF0000"/>
                <w:sz w:val="21"/>
                <w:szCs w:val="21"/>
              </w:rPr>
            </w:pPr>
          </w:p>
        </w:tc>
        <w:tc>
          <w:tcPr>
            <w:tcW w:w="217" w:type="dxa"/>
          </w:tcPr>
          <w:p w14:paraId="2382E2EA" w14:textId="77777777" w:rsidR="002C0FD9" w:rsidRPr="00CA25CF" w:rsidRDefault="002C0FD9" w:rsidP="00CA25CF">
            <w:pPr>
              <w:rPr>
                <w:rFonts w:cs="Arial"/>
                <w:color w:val="FF0000"/>
                <w:sz w:val="21"/>
                <w:szCs w:val="21"/>
              </w:rPr>
            </w:pPr>
          </w:p>
        </w:tc>
        <w:tc>
          <w:tcPr>
            <w:tcW w:w="217" w:type="dxa"/>
          </w:tcPr>
          <w:p w14:paraId="6F47FF86" w14:textId="77777777" w:rsidR="002C0FD9" w:rsidRPr="00CA25CF" w:rsidRDefault="002C0FD9" w:rsidP="00CA25CF">
            <w:pPr>
              <w:rPr>
                <w:rFonts w:cs="Arial"/>
                <w:color w:val="FF0000"/>
                <w:sz w:val="21"/>
                <w:szCs w:val="21"/>
              </w:rPr>
            </w:pPr>
          </w:p>
        </w:tc>
        <w:tc>
          <w:tcPr>
            <w:tcW w:w="217" w:type="dxa"/>
          </w:tcPr>
          <w:p w14:paraId="3822B3B0" w14:textId="77777777" w:rsidR="002C0FD9" w:rsidRPr="00CA25CF" w:rsidRDefault="002C0FD9" w:rsidP="00CA25CF">
            <w:pPr>
              <w:rPr>
                <w:rFonts w:cs="Arial"/>
                <w:color w:val="FF0000"/>
                <w:sz w:val="21"/>
                <w:szCs w:val="21"/>
              </w:rPr>
            </w:pPr>
          </w:p>
        </w:tc>
        <w:tc>
          <w:tcPr>
            <w:tcW w:w="217" w:type="dxa"/>
          </w:tcPr>
          <w:p w14:paraId="26543218" w14:textId="77777777" w:rsidR="002C0FD9" w:rsidRPr="00CA25CF" w:rsidRDefault="002C0FD9" w:rsidP="00CA25CF">
            <w:pPr>
              <w:rPr>
                <w:rFonts w:cs="Arial"/>
                <w:color w:val="FF0000"/>
                <w:sz w:val="21"/>
                <w:szCs w:val="21"/>
              </w:rPr>
            </w:pPr>
          </w:p>
        </w:tc>
        <w:tc>
          <w:tcPr>
            <w:tcW w:w="217" w:type="dxa"/>
          </w:tcPr>
          <w:p w14:paraId="07127D51" w14:textId="77777777" w:rsidR="002C0FD9" w:rsidRPr="00CA25CF" w:rsidRDefault="002C0FD9" w:rsidP="00CA25CF">
            <w:pPr>
              <w:rPr>
                <w:rFonts w:cs="Arial"/>
                <w:color w:val="FF0000"/>
                <w:sz w:val="21"/>
                <w:szCs w:val="21"/>
              </w:rPr>
            </w:pPr>
          </w:p>
        </w:tc>
        <w:tc>
          <w:tcPr>
            <w:tcW w:w="217" w:type="dxa"/>
          </w:tcPr>
          <w:p w14:paraId="6B5E418C" w14:textId="77777777" w:rsidR="002C0FD9" w:rsidRPr="00CA25CF" w:rsidRDefault="002C0FD9" w:rsidP="00CA25CF">
            <w:pPr>
              <w:rPr>
                <w:rFonts w:cs="Arial"/>
                <w:color w:val="FF0000"/>
                <w:sz w:val="21"/>
                <w:szCs w:val="21"/>
              </w:rPr>
            </w:pPr>
          </w:p>
        </w:tc>
        <w:tc>
          <w:tcPr>
            <w:tcW w:w="217" w:type="dxa"/>
          </w:tcPr>
          <w:p w14:paraId="1A058FBF" w14:textId="77777777" w:rsidR="002C0FD9" w:rsidRPr="00CA25CF" w:rsidRDefault="002C0FD9" w:rsidP="00CA25CF">
            <w:pPr>
              <w:rPr>
                <w:rFonts w:cs="Arial"/>
                <w:color w:val="FF0000"/>
                <w:sz w:val="21"/>
                <w:szCs w:val="21"/>
              </w:rPr>
            </w:pPr>
          </w:p>
        </w:tc>
        <w:tc>
          <w:tcPr>
            <w:tcW w:w="217" w:type="dxa"/>
          </w:tcPr>
          <w:p w14:paraId="62685DD6" w14:textId="77777777" w:rsidR="002C0FD9" w:rsidRPr="00CA25CF" w:rsidRDefault="002C0FD9" w:rsidP="00CA25CF">
            <w:pPr>
              <w:rPr>
                <w:rFonts w:cs="Arial"/>
                <w:color w:val="FF0000"/>
                <w:sz w:val="21"/>
                <w:szCs w:val="21"/>
              </w:rPr>
            </w:pPr>
          </w:p>
        </w:tc>
        <w:tc>
          <w:tcPr>
            <w:tcW w:w="217" w:type="dxa"/>
          </w:tcPr>
          <w:p w14:paraId="58E4D792" w14:textId="77777777" w:rsidR="002C0FD9" w:rsidRPr="00CA25CF" w:rsidRDefault="002C0FD9" w:rsidP="00CA25CF">
            <w:pPr>
              <w:rPr>
                <w:rFonts w:cs="Arial"/>
                <w:color w:val="FF0000"/>
                <w:sz w:val="21"/>
                <w:szCs w:val="21"/>
              </w:rPr>
            </w:pPr>
          </w:p>
        </w:tc>
        <w:tc>
          <w:tcPr>
            <w:tcW w:w="217" w:type="dxa"/>
          </w:tcPr>
          <w:p w14:paraId="5E2EED67" w14:textId="77777777" w:rsidR="002C0FD9" w:rsidRPr="00CA25CF" w:rsidRDefault="002C0FD9" w:rsidP="00CA25CF">
            <w:pPr>
              <w:rPr>
                <w:rFonts w:cs="Arial"/>
                <w:color w:val="FF0000"/>
                <w:sz w:val="21"/>
                <w:szCs w:val="21"/>
              </w:rPr>
            </w:pPr>
          </w:p>
        </w:tc>
        <w:tc>
          <w:tcPr>
            <w:tcW w:w="217" w:type="dxa"/>
          </w:tcPr>
          <w:p w14:paraId="495681CD" w14:textId="77777777" w:rsidR="002C0FD9" w:rsidRPr="00CA25CF" w:rsidRDefault="002C0FD9" w:rsidP="00CA25CF">
            <w:pPr>
              <w:rPr>
                <w:rFonts w:cs="Arial"/>
                <w:color w:val="FF0000"/>
                <w:sz w:val="21"/>
                <w:szCs w:val="21"/>
              </w:rPr>
            </w:pPr>
          </w:p>
        </w:tc>
        <w:tc>
          <w:tcPr>
            <w:tcW w:w="217" w:type="dxa"/>
          </w:tcPr>
          <w:p w14:paraId="16BE7934" w14:textId="77777777" w:rsidR="002C0FD9" w:rsidRPr="00CA25CF" w:rsidRDefault="002C0FD9" w:rsidP="00CA25CF">
            <w:pPr>
              <w:rPr>
                <w:rFonts w:cs="Arial"/>
                <w:color w:val="FF0000"/>
                <w:sz w:val="21"/>
                <w:szCs w:val="21"/>
              </w:rPr>
            </w:pPr>
          </w:p>
        </w:tc>
        <w:tc>
          <w:tcPr>
            <w:tcW w:w="217" w:type="dxa"/>
          </w:tcPr>
          <w:p w14:paraId="243C90AA" w14:textId="77777777" w:rsidR="002C0FD9" w:rsidRPr="00CA25CF" w:rsidRDefault="002C0FD9" w:rsidP="00CA25CF">
            <w:pPr>
              <w:rPr>
                <w:rFonts w:cs="Arial"/>
                <w:color w:val="FF0000"/>
                <w:sz w:val="21"/>
                <w:szCs w:val="21"/>
              </w:rPr>
            </w:pPr>
          </w:p>
        </w:tc>
      </w:tr>
      <w:tr w:rsidR="002C0FD9" w:rsidRPr="00A16219" w14:paraId="75E00081" w14:textId="77777777" w:rsidTr="002C0FD9">
        <w:trPr>
          <w:trHeight w:val="635"/>
        </w:trPr>
        <w:tc>
          <w:tcPr>
            <w:tcW w:w="515" w:type="dxa"/>
          </w:tcPr>
          <w:p w14:paraId="412542EE" w14:textId="77777777" w:rsidR="002C0FD9" w:rsidRPr="00CA25CF" w:rsidRDefault="002C0FD9" w:rsidP="00CA25CF">
            <w:pPr>
              <w:rPr>
                <w:rFonts w:cs="Arial"/>
                <w:color w:val="FF0000"/>
                <w:sz w:val="21"/>
                <w:szCs w:val="21"/>
              </w:rPr>
            </w:pPr>
          </w:p>
        </w:tc>
        <w:tc>
          <w:tcPr>
            <w:tcW w:w="217" w:type="dxa"/>
          </w:tcPr>
          <w:p w14:paraId="4D856BB8" w14:textId="77777777" w:rsidR="002C0FD9" w:rsidRPr="00CA25CF" w:rsidRDefault="002C0FD9" w:rsidP="00CA25CF">
            <w:pPr>
              <w:rPr>
                <w:rFonts w:cs="Arial"/>
                <w:color w:val="FF0000"/>
                <w:sz w:val="21"/>
                <w:szCs w:val="21"/>
              </w:rPr>
            </w:pPr>
          </w:p>
        </w:tc>
        <w:tc>
          <w:tcPr>
            <w:tcW w:w="217" w:type="dxa"/>
          </w:tcPr>
          <w:p w14:paraId="128241B8" w14:textId="77777777" w:rsidR="002C0FD9" w:rsidRPr="00CA25CF" w:rsidRDefault="002C0FD9" w:rsidP="00CA25CF">
            <w:pPr>
              <w:rPr>
                <w:rFonts w:cs="Arial"/>
                <w:color w:val="FF0000"/>
                <w:sz w:val="21"/>
                <w:szCs w:val="21"/>
              </w:rPr>
            </w:pPr>
          </w:p>
        </w:tc>
        <w:tc>
          <w:tcPr>
            <w:tcW w:w="217" w:type="dxa"/>
          </w:tcPr>
          <w:p w14:paraId="2A1FFB73" w14:textId="77777777" w:rsidR="002C0FD9" w:rsidRPr="00CA25CF" w:rsidRDefault="002C0FD9" w:rsidP="00CA25CF">
            <w:pPr>
              <w:rPr>
                <w:rFonts w:cs="Arial"/>
                <w:color w:val="FF0000"/>
                <w:sz w:val="21"/>
                <w:szCs w:val="21"/>
              </w:rPr>
            </w:pPr>
          </w:p>
        </w:tc>
        <w:tc>
          <w:tcPr>
            <w:tcW w:w="217" w:type="dxa"/>
          </w:tcPr>
          <w:p w14:paraId="27FE28D2" w14:textId="77777777" w:rsidR="002C0FD9" w:rsidRPr="00CA25CF" w:rsidRDefault="002C0FD9" w:rsidP="00CA25CF">
            <w:pPr>
              <w:rPr>
                <w:rFonts w:cs="Arial"/>
                <w:color w:val="FF0000"/>
                <w:sz w:val="21"/>
                <w:szCs w:val="21"/>
              </w:rPr>
            </w:pPr>
          </w:p>
        </w:tc>
        <w:tc>
          <w:tcPr>
            <w:tcW w:w="217" w:type="dxa"/>
          </w:tcPr>
          <w:p w14:paraId="5C70C30C" w14:textId="77777777" w:rsidR="002C0FD9" w:rsidRPr="00CA25CF" w:rsidRDefault="002C0FD9" w:rsidP="00CA25CF">
            <w:pPr>
              <w:rPr>
                <w:rFonts w:cs="Arial"/>
                <w:color w:val="FF0000"/>
                <w:sz w:val="21"/>
                <w:szCs w:val="21"/>
              </w:rPr>
            </w:pPr>
          </w:p>
        </w:tc>
        <w:tc>
          <w:tcPr>
            <w:tcW w:w="217" w:type="dxa"/>
          </w:tcPr>
          <w:p w14:paraId="6CF79D7D" w14:textId="77777777" w:rsidR="002C0FD9" w:rsidRPr="00CA25CF" w:rsidRDefault="002C0FD9" w:rsidP="00CA25CF">
            <w:pPr>
              <w:rPr>
                <w:rFonts w:cs="Arial"/>
                <w:color w:val="FF0000"/>
                <w:sz w:val="21"/>
                <w:szCs w:val="21"/>
              </w:rPr>
            </w:pPr>
          </w:p>
        </w:tc>
        <w:tc>
          <w:tcPr>
            <w:tcW w:w="217" w:type="dxa"/>
          </w:tcPr>
          <w:p w14:paraId="7261C775" w14:textId="77777777" w:rsidR="002C0FD9" w:rsidRPr="00CA25CF" w:rsidRDefault="002C0FD9" w:rsidP="00CA25CF">
            <w:pPr>
              <w:rPr>
                <w:rFonts w:cs="Arial"/>
                <w:color w:val="FF0000"/>
                <w:sz w:val="21"/>
                <w:szCs w:val="21"/>
              </w:rPr>
            </w:pPr>
          </w:p>
        </w:tc>
        <w:tc>
          <w:tcPr>
            <w:tcW w:w="217" w:type="dxa"/>
          </w:tcPr>
          <w:p w14:paraId="2C2DC7DE" w14:textId="77777777" w:rsidR="002C0FD9" w:rsidRPr="00CA25CF" w:rsidRDefault="002C0FD9" w:rsidP="00CA25CF">
            <w:pPr>
              <w:rPr>
                <w:rFonts w:cs="Arial"/>
                <w:color w:val="FF0000"/>
                <w:sz w:val="21"/>
                <w:szCs w:val="21"/>
              </w:rPr>
            </w:pPr>
          </w:p>
        </w:tc>
        <w:tc>
          <w:tcPr>
            <w:tcW w:w="217" w:type="dxa"/>
          </w:tcPr>
          <w:p w14:paraId="73596CEE" w14:textId="77777777" w:rsidR="002C0FD9" w:rsidRPr="00CA25CF" w:rsidRDefault="002C0FD9" w:rsidP="00CA25CF">
            <w:pPr>
              <w:rPr>
                <w:rFonts w:cs="Arial"/>
                <w:color w:val="FF0000"/>
                <w:sz w:val="21"/>
                <w:szCs w:val="21"/>
              </w:rPr>
            </w:pPr>
          </w:p>
        </w:tc>
        <w:tc>
          <w:tcPr>
            <w:tcW w:w="217" w:type="dxa"/>
          </w:tcPr>
          <w:p w14:paraId="48B4EC22" w14:textId="77777777" w:rsidR="002C0FD9" w:rsidRPr="00CA25CF" w:rsidRDefault="002C0FD9" w:rsidP="00CA25CF">
            <w:pPr>
              <w:rPr>
                <w:rFonts w:cs="Arial"/>
                <w:color w:val="FF0000"/>
                <w:sz w:val="21"/>
                <w:szCs w:val="21"/>
              </w:rPr>
            </w:pPr>
          </w:p>
        </w:tc>
        <w:tc>
          <w:tcPr>
            <w:tcW w:w="217" w:type="dxa"/>
          </w:tcPr>
          <w:p w14:paraId="5FD3AFFD" w14:textId="77777777" w:rsidR="002C0FD9" w:rsidRPr="00CA25CF" w:rsidRDefault="002C0FD9" w:rsidP="00CA25CF">
            <w:pPr>
              <w:rPr>
                <w:rFonts w:cs="Arial"/>
                <w:color w:val="FF0000"/>
                <w:sz w:val="21"/>
                <w:szCs w:val="21"/>
              </w:rPr>
            </w:pPr>
          </w:p>
        </w:tc>
        <w:tc>
          <w:tcPr>
            <w:tcW w:w="217" w:type="dxa"/>
          </w:tcPr>
          <w:p w14:paraId="57135C5E" w14:textId="77777777" w:rsidR="002C0FD9" w:rsidRPr="00CA25CF" w:rsidRDefault="002C0FD9" w:rsidP="00CA25CF">
            <w:pPr>
              <w:rPr>
                <w:rFonts w:cs="Arial"/>
                <w:color w:val="FF0000"/>
                <w:sz w:val="21"/>
                <w:szCs w:val="21"/>
              </w:rPr>
            </w:pPr>
          </w:p>
        </w:tc>
        <w:tc>
          <w:tcPr>
            <w:tcW w:w="217" w:type="dxa"/>
          </w:tcPr>
          <w:p w14:paraId="1CCB6BBA" w14:textId="77777777" w:rsidR="002C0FD9" w:rsidRPr="00CA25CF" w:rsidRDefault="002C0FD9" w:rsidP="00CA25CF">
            <w:pPr>
              <w:rPr>
                <w:rFonts w:cs="Arial"/>
                <w:color w:val="FF0000"/>
                <w:sz w:val="21"/>
                <w:szCs w:val="21"/>
              </w:rPr>
            </w:pPr>
          </w:p>
        </w:tc>
        <w:tc>
          <w:tcPr>
            <w:tcW w:w="217" w:type="dxa"/>
          </w:tcPr>
          <w:p w14:paraId="42F06F6C" w14:textId="77777777" w:rsidR="002C0FD9" w:rsidRPr="00CA25CF" w:rsidRDefault="002C0FD9" w:rsidP="00CA25CF">
            <w:pPr>
              <w:rPr>
                <w:rFonts w:cs="Arial"/>
                <w:color w:val="FF0000"/>
                <w:sz w:val="21"/>
                <w:szCs w:val="21"/>
              </w:rPr>
            </w:pPr>
          </w:p>
        </w:tc>
        <w:tc>
          <w:tcPr>
            <w:tcW w:w="217" w:type="dxa"/>
          </w:tcPr>
          <w:p w14:paraId="1CEF6C8F" w14:textId="77777777" w:rsidR="002C0FD9" w:rsidRPr="00CA25CF" w:rsidRDefault="002C0FD9" w:rsidP="00CA25CF">
            <w:pPr>
              <w:rPr>
                <w:rFonts w:cs="Arial"/>
                <w:color w:val="FF0000"/>
                <w:sz w:val="21"/>
                <w:szCs w:val="21"/>
              </w:rPr>
            </w:pPr>
          </w:p>
        </w:tc>
        <w:tc>
          <w:tcPr>
            <w:tcW w:w="217" w:type="dxa"/>
          </w:tcPr>
          <w:p w14:paraId="28247A20" w14:textId="77777777" w:rsidR="002C0FD9" w:rsidRPr="00CA25CF" w:rsidRDefault="002C0FD9" w:rsidP="00CA25CF">
            <w:pPr>
              <w:rPr>
                <w:rFonts w:cs="Arial"/>
                <w:color w:val="FF0000"/>
                <w:sz w:val="21"/>
                <w:szCs w:val="21"/>
              </w:rPr>
            </w:pPr>
          </w:p>
        </w:tc>
        <w:tc>
          <w:tcPr>
            <w:tcW w:w="217" w:type="dxa"/>
          </w:tcPr>
          <w:p w14:paraId="1A6DDEBE" w14:textId="77777777" w:rsidR="002C0FD9" w:rsidRPr="00CA25CF" w:rsidRDefault="002C0FD9" w:rsidP="00CA25CF">
            <w:pPr>
              <w:rPr>
                <w:rFonts w:cs="Arial"/>
                <w:color w:val="FF0000"/>
                <w:sz w:val="21"/>
                <w:szCs w:val="21"/>
              </w:rPr>
            </w:pPr>
          </w:p>
        </w:tc>
        <w:tc>
          <w:tcPr>
            <w:tcW w:w="217" w:type="dxa"/>
          </w:tcPr>
          <w:p w14:paraId="0406CC95" w14:textId="77777777" w:rsidR="002C0FD9" w:rsidRPr="00CA25CF" w:rsidRDefault="002C0FD9" w:rsidP="00CA25CF">
            <w:pPr>
              <w:rPr>
                <w:rFonts w:cs="Arial"/>
                <w:color w:val="FF0000"/>
                <w:sz w:val="21"/>
                <w:szCs w:val="21"/>
              </w:rPr>
            </w:pPr>
          </w:p>
        </w:tc>
        <w:tc>
          <w:tcPr>
            <w:tcW w:w="217" w:type="dxa"/>
          </w:tcPr>
          <w:p w14:paraId="13E33464" w14:textId="77777777" w:rsidR="002C0FD9" w:rsidRPr="00CA25CF" w:rsidRDefault="002C0FD9" w:rsidP="00CA25CF">
            <w:pPr>
              <w:rPr>
                <w:rFonts w:cs="Arial"/>
                <w:color w:val="FF0000"/>
                <w:sz w:val="21"/>
                <w:szCs w:val="21"/>
              </w:rPr>
            </w:pPr>
          </w:p>
        </w:tc>
        <w:tc>
          <w:tcPr>
            <w:tcW w:w="217" w:type="dxa"/>
          </w:tcPr>
          <w:p w14:paraId="0E5DA604" w14:textId="77777777" w:rsidR="002C0FD9" w:rsidRPr="00CA25CF" w:rsidRDefault="002C0FD9" w:rsidP="00CA25CF">
            <w:pPr>
              <w:rPr>
                <w:rFonts w:cs="Arial"/>
                <w:color w:val="FF0000"/>
                <w:sz w:val="21"/>
                <w:szCs w:val="21"/>
              </w:rPr>
            </w:pPr>
          </w:p>
        </w:tc>
        <w:tc>
          <w:tcPr>
            <w:tcW w:w="217" w:type="dxa"/>
          </w:tcPr>
          <w:p w14:paraId="39B69815" w14:textId="77777777" w:rsidR="002C0FD9" w:rsidRPr="00CA25CF" w:rsidRDefault="002C0FD9" w:rsidP="00CA25CF">
            <w:pPr>
              <w:rPr>
                <w:rFonts w:cs="Arial"/>
                <w:color w:val="FF0000"/>
                <w:sz w:val="21"/>
                <w:szCs w:val="21"/>
              </w:rPr>
            </w:pPr>
          </w:p>
        </w:tc>
        <w:tc>
          <w:tcPr>
            <w:tcW w:w="217" w:type="dxa"/>
          </w:tcPr>
          <w:p w14:paraId="2CF5330C" w14:textId="77777777" w:rsidR="002C0FD9" w:rsidRPr="00CA25CF" w:rsidRDefault="002C0FD9" w:rsidP="00CA25CF">
            <w:pPr>
              <w:rPr>
                <w:rFonts w:cs="Arial"/>
                <w:color w:val="FF0000"/>
                <w:sz w:val="21"/>
                <w:szCs w:val="21"/>
              </w:rPr>
            </w:pPr>
          </w:p>
        </w:tc>
        <w:tc>
          <w:tcPr>
            <w:tcW w:w="217" w:type="dxa"/>
          </w:tcPr>
          <w:p w14:paraId="55B42FE5" w14:textId="77777777" w:rsidR="002C0FD9" w:rsidRPr="00CA25CF" w:rsidRDefault="002C0FD9" w:rsidP="00CA25CF">
            <w:pPr>
              <w:rPr>
                <w:rFonts w:cs="Arial"/>
                <w:color w:val="FF0000"/>
                <w:sz w:val="21"/>
                <w:szCs w:val="21"/>
              </w:rPr>
            </w:pPr>
          </w:p>
        </w:tc>
        <w:tc>
          <w:tcPr>
            <w:tcW w:w="217" w:type="dxa"/>
          </w:tcPr>
          <w:p w14:paraId="7C9E4A8A" w14:textId="77777777" w:rsidR="002C0FD9" w:rsidRPr="00CA25CF" w:rsidRDefault="002C0FD9" w:rsidP="00CA25CF">
            <w:pPr>
              <w:rPr>
                <w:rFonts w:cs="Arial"/>
                <w:color w:val="FF0000"/>
                <w:sz w:val="21"/>
                <w:szCs w:val="21"/>
              </w:rPr>
            </w:pPr>
          </w:p>
        </w:tc>
        <w:tc>
          <w:tcPr>
            <w:tcW w:w="217" w:type="dxa"/>
          </w:tcPr>
          <w:p w14:paraId="5F9E94FB" w14:textId="77777777" w:rsidR="002C0FD9" w:rsidRPr="00CA25CF" w:rsidRDefault="002C0FD9" w:rsidP="00CA25CF">
            <w:pPr>
              <w:rPr>
                <w:rFonts w:cs="Arial"/>
                <w:color w:val="FF0000"/>
                <w:sz w:val="21"/>
                <w:szCs w:val="21"/>
              </w:rPr>
            </w:pPr>
          </w:p>
        </w:tc>
        <w:tc>
          <w:tcPr>
            <w:tcW w:w="217" w:type="dxa"/>
          </w:tcPr>
          <w:p w14:paraId="61C63CF8" w14:textId="77777777" w:rsidR="002C0FD9" w:rsidRPr="00CA25CF" w:rsidRDefault="002C0FD9" w:rsidP="00CA25CF">
            <w:pPr>
              <w:rPr>
                <w:rFonts w:cs="Arial"/>
                <w:color w:val="FF0000"/>
                <w:sz w:val="21"/>
                <w:szCs w:val="21"/>
              </w:rPr>
            </w:pPr>
          </w:p>
        </w:tc>
        <w:tc>
          <w:tcPr>
            <w:tcW w:w="217" w:type="dxa"/>
          </w:tcPr>
          <w:p w14:paraId="0D1DE37E" w14:textId="77777777" w:rsidR="002C0FD9" w:rsidRPr="00CA25CF" w:rsidRDefault="002C0FD9" w:rsidP="00CA25CF">
            <w:pPr>
              <w:rPr>
                <w:rFonts w:cs="Arial"/>
                <w:color w:val="FF0000"/>
                <w:sz w:val="21"/>
                <w:szCs w:val="21"/>
              </w:rPr>
            </w:pPr>
          </w:p>
        </w:tc>
        <w:tc>
          <w:tcPr>
            <w:tcW w:w="217" w:type="dxa"/>
          </w:tcPr>
          <w:p w14:paraId="4EAD13BE" w14:textId="77777777" w:rsidR="002C0FD9" w:rsidRPr="00CA25CF" w:rsidRDefault="002C0FD9" w:rsidP="00CA25CF">
            <w:pPr>
              <w:rPr>
                <w:rFonts w:cs="Arial"/>
                <w:color w:val="FF0000"/>
                <w:sz w:val="21"/>
                <w:szCs w:val="21"/>
              </w:rPr>
            </w:pPr>
          </w:p>
        </w:tc>
        <w:tc>
          <w:tcPr>
            <w:tcW w:w="217" w:type="dxa"/>
          </w:tcPr>
          <w:p w14:paraId="60DB37FD" w14:textId="77777777" w:rsidR="002C0FD9" w:rsidRPr="00CA25CF" w:rsidRDefault="002C0FD9" w:rsidP="00CA25CF">
            <w:pPr>
              <w:rPr>
                <w:rFonts w:cs="Arial"/>
                <w:color w:val="FF0000"/>
                <w:sz w:val="21"/>
                <w:szCs w:val="21"/>
              </w:rPr>
            </w:pPr>
          </w:p>
        </w:tc>
        <w:tc>
          <w:tcPr>
            <w:tcW w:w="217" w:type="dxa"/>
          </w:tcPr>
          <w:p w14:paraId="54FFC830" w14:textId="77777777" w:rsidR="002C0FD9" w:rsidRPr="00CA25CF" w:rsidRDefault="002C0FD9" w:rsidP="00CA25CF">
            <w:pPr>
              <w:rPr>
                <w:rFonts w:cs="Arial"/>
                <w:color w:val="FF0000"/>
                <w:sz w:val="21"/>
                <w:szCs w:val="21"/>
              </w:rPr>
            </w:pPr>
          </w:p>
        </w:tc>
        <w:tc>
          <w:tcPr>
            <w:tcW w:w="217" w:type="dxa"/>
          </w:tcPr>
          <w:p w14:paraId="73AFCD20" w14:textId="77777777" w:rsidR="002C0FD9" w:rsidRPr="00CA25CF" w:rsidRDefault="002C0FD9" w:rsidP="00CA25CF">
            <w:pPr>
              <w:rPr>
                <w:rFonts w:cs="Arial"/>
                <w:color w:val="FF0000"/>
                <w:sz w:val="21"/>
                <w:szCs w:val="21"/>
              </w:rPr>
            </w:pPr>
          </w:p>
        </w:tc>
        <w:tc>
          <w:tcPr>
            <w:tcW w:w="217" w:type="dxa"/>
          </w:tcPr>
          <w:p w14:paraId="3A5D2FD9" w14:textId="77777777" w:rsidR="002C0FD9" w:rsidRPr="00CA25CF" w:rsidRDefault="002C0FD9" w:rsidP="00CA25CF">
            <w:pPr>
              <w:rPr>
                <w:rFonts w:cs="Arial"/>
                <w:color w:val="FF0000"/>
                <w:sz w:val="21"/>
                <w:szCs w:val="21"/>
              </w:rPr>
            </w:pPr>
          </w:p>
        </w:tc>
        <w:tc>
          <w:tcPr>
            <w:tcW w:w="217" w:type="dxa"/>
          </w:tcPr>
          <w:p w14:paraId="24016EFA" w14:textId="77777777" w:rsidR="002C0FD9" w:rsidRPr="00CA25CF" w:rsidRDefault="002C0FD9" w:rsidP="00CA25CF">
            <w:pPr>
              <w:rPr>
                <w:rFonts w:cs="Arial"/>
                <w:color w:val="FF0000"/>
                <w:sz w:val="21"/>
                <w:szCs w:val="21"/>
              </w:rPr>
            </w:pPr>
          </w:p>
        </w:tc>
        <w:tc>
          <w:tcPr>
            <w:tcW w:w="217" w:type="dxa"/>
          </w:tcPr>
          <w:p w14:paraId="660B29CF" w14:textId="77777777" w:rsidR="002C0FD9" w:rsidRPr="00CA25CF" w:rsidRDefault="002C0FD9" w:rsidP="00CA25CF">
            <w:pPr>
              <w:rPr>
                <w:rFonts w:cs="Arial"/>
                <w:color w:val="FF0000"/>
                <w:sz w:val="21"/>
                <w:szCs w:val="21"/>
              </w:rPr>
            </w:pPr>
          </w:p>
        </w:tc>
        <w:tc>
          <w:tcPr>
            <w:tcW w:w="217" w:type="dxa"/>
          </w:tcPr>
          <w:p w14:paraId="554FE4DB" w14:textId="77777777" w:rsidR="002C0FD9" w:rsidRPr="00CA25CF" w:rsidRDefault="002C0FD9" w:rsidP="00CA25CF">
            <w:pPr>
              <w:rPr>
                <w:rFonts w:cs="Arial"/>
                <w:color w:val="FF0000"/>
                <w:sz w:val="21"/>
                <w:szCs w:val="21"/>
              </w:rPr>
            </w:pPr>
          </w:p>
        </w:tc>
        <w:tc>
          <w:tcPr>
            <w:tcW w:w="217" w:type="dxa"/>
          </w:tcPr>
          <w:p w14:paraId="750B8CA8" w14:textId="77777777" w:rsidR="002C0FD9" w:rsidRPr="00CA25CF" w:rsidRDefault="002C0FD9" w:rsidP="00CA25CF">
            <w:pPr>
              <w:rPr>
                <w:rFonts w:cs="Arial"/>
                <w:color w:val="FF0000"/>
                <w:sz w:val="21"/>
                <w:szCs w:val="21"/>
              </w:rPr>
            </w:pPr>
          </w:p>
        </w:tc>
        <w:tc>
          <w:tcPr>
            <w:tcW w:w="217" w:type="dxa"/>
          </w:tcPr>
          <w:p w14:paraId="572006D6" w14:textId="77777777" w:rsidR="002C0FD9" w:rsidRPr="00CA25CF" w:rsidRDefault="002C0FD9" w:rsidP="00CA25CF">
            <w:pPr>
              <w:rPr>
                <w:rFonts w:cs="Arial"/>
                <w:color w:val="FF0000"/>
                <w:sz w:val="21"/>
                <w:szCs w:val="21"/>
              </w:rPr>
            </w:pPr>
          </w:p>
        </w:tc>
        <w:tc>
          <w:tcPr>
            <w:tcW w:w="217" w:type="dxa"/>
          </w:tcPr>
          <w:p w14:paraId="02B318B0" w14:textId="77777777" w:rsidR="002C0FD9" w:rsidRPr="00CA25CF" w:rsidRDefault="002C0FD9" w:rsidP="00CA25CF">
            <w:pPr>
              <w:rPr>
                <w:rFonts w:cs="Arial"/>
                <w:color w:val="FF0000"/>
                <w:sz w:val="21"/>
                <w:szCs w:val="21"/>
              </w:rPr>
            </w:pPr>
          </w:p>
        </w:tc>
        <w:tc>
          <w:tcPr>
            <w:tcW w:w="217" w:type="dxa"/>
          </w:tcPr>
          <w:p w14:paraId="2BC6BC5B" w14:textId="77777777" w:rsidR="002C0FD9" w:rsidRPr="00CA25CF" w:rsidRDefault="002C0FD9" w:rsidP="00CA25CF">
            <w:pPr>
              <w:rPr>
                <w:rFonts w:cs="Arial"/>
                <w:color w:val="FF0000"/>
                <w:sz w:val="21"/>
                <w:szCs w:val="21"/>
              </w:rPr>
            </w:pPr>
          </w:p>
        </w:tc>
        <w:tc>
          <w:tcPr>
            <w:tcW w:w="217" w:type="dxa"/>
          </w:tcPr>
          <w:p w14:paraId="0234AD2E" w14:textId="77777777" w:rsidR="002C0FD9" w:rsidRPr="00CA25CF" w:rsidRDefault="002C0FD9" w:rsidP="00CA25CF">
            <w:pPr>
              <w:rPr>
                <w:rFonts w:cs="Arial"/>
                <w:color w:val="FF0000"/>
                <w:sz w:val="21"/>
                <w:szCs w:val="21"/>
              </w:rPr>
            </w:pPr>
          </w:p>
        </w:tc>
        <w:tc>
          <w:tcPr>
            <w:tcW w:w="217" w:type="dxa"/>
          </w:tcPr>
          <w:p w14:paraId="39E47815" w14:textId="77777777" w:rsidR="002C0FD9" w:rsidRPr="00CA25CF" w:rsidRDefault="002C0FD9" w:rsidP="00CA25CF">
            <w:pPr>
              <w:rPr>
                <w:rFonts w:cs="Arial"/>
                <w:color w:val="FF0000"/>
                <w:sz w:val="21"/>
                <w:szCs w:val="21"/>
              </w:rPr>
            </w:pPr>
          </w:p>
        </w:tc>
        <w:tc>
          <w:tcPr>
            <w:tcW w:w="217" w:type="dxa"/>
          </w:tcPr>
          <w:p w14:paraId="0CDF8438" w14:textId="77777777" w:rsidR="002C0FD9" w:rsidRPr="00CA25CF" w:rsidRDefault="002C0FD9" w:rsidP="00CA25CF">
            <w:pPr>
              <w:rPr>
                <w:rFonts w:cs="Arial"/>
                <w:color w:val="FF0000"/>
                <w:sz w:val="21"/>
                <w:szCs w:val="21"/>
              </w:rPr>
            </w:pPr>
          </w:p>
        </w:tc>
      </w:tr>
      <w:tr w:rsidR="002C0FD9" w:rsidRPr="00A16219" w14:paraId="29B6ED06" w14:textId="77777777" w:rsidTr="002C0FD9">
        <w:trPr>
          <w:trHeight w:val="635"/>
        </w:trPr>
        <w:tc>
          <w:tcPr>
            <w:tcW w:w="515" w:type="dxa"/>
          </w:tcPr>
          <w:p w14:paraId="2D803C7E" w14:textId="77777777" w:rsidR="002C0FD9" w:rsidRPr="00CA25CF" w:rsidRDefault="002C0FD9" w:rsidP="00CA25CF">
            <w:pPr>
              <w:rPr>
                <w:rFonts w:cs="Arial"/>
                <w:color w:val="FF0000"/>
                <w:sz w:val="21"/>
                <w:szCs w:val="21"/>
              </w:rPr>
            </w:pPr>
          </w:p>
        </w:tc>
        <w:tc>
          <w:tcPr>
            <w:tcW w:w="217" w:type="dxa"/>
          </w:tcPr>
          <w:p w14:paraId="2B9D6958" w14:textId="77777777" w:rsidR="002C0FD9" w:rsidRPr="00CA25CF" w:rsidRDefault="002C0FD9" w:rsidP="00CA25CF">
            <w:pPr>
              <w:rPr>
                <w:rFonts w:cs="Arial"/>
                <w:color w:val="FF0000"/>
                <w:sz w:val="21"/>
                <w:szCs w:val="21"/>
              </w:rPr>
            </w:pPr>
          </w:p>
        </w:tc>
        <w:tc>
          <w:tcPr>
            <w:tcW w:w="217" w:type="dxa"/>
          </w:tcPr>
          <w:p w14:paraId="50DF17F4" w14:textId="77777777" w:rsidR="002C0FD9" w:rsidRPr="00CA25CF" w:rsidRDefault="002C0FD9" w:rsidP="00CA25CF">
            <w:pPr>
              <w:rPr>
                <w:rFonts w:cs="Arial"/>
                <w:color w:val="FF0000"/>
                <w:sz w:val="21"/>
                <w:szCs w:val="21"/>
              </w:rPr>
            </w:pPr>
          </w:p>
        </w:tc>
        <w:tc>
          <w:tcPr>
            <w:tcW w:w="217" w:type="dxa"/>
          </w:tcPr>
          <w:p w14:paraId="19A6D451" w14:textId="77777777" w:rsidR="002C0FD9" w:rsidRPr="00CA25CF" w:rsidRDefault="002C0FD9" w:rsidP="00CA25CF">
            <w:pPr>
              <w:rPr>
                <w:rFonts w:cs="Arial"/>
                <w:color w:val="FF0000"/>
                <w:sz w:val="21"/>
                <w:szCs w:val="21"/>
              </w:rPr>
            </w:pPr>
          </w:p>
        </w:tc>
        <w:tc>
          <w:tcPr>
            <w:tcW w:w="217" w:type="dxa"/>
          </w:tcPr>
          <w:p w14:paraId="302BF7C0" w14:textId="77777777" w:rsidR="002C0FD9" w:rsidRPr="00CA25CF" w:rsidRDefault="002C0FD9" w:rsidP="00CA25CF">
            <w:pPr>
              <w:rPr>
                <w:rFonts w:cs="Arial"/>
                <w:color w:val="FF0000"/>
                <w:sz w:val="21"/>
                <w:szCs w:val="21"/>
              </w:rPr>
            </w:pPr>
          </w:p>
        </w:tc>
        <w:tc>
          <w:tcPr>
            <w:tcW w:w="217" w:type="dxa"/>
          </w:tcPr>
          <w:p w14:paraId="21CC4FCD" w14:textId="77777777" w:rsidR="002C0FD9" w:rsidRPr="00CA25CF" w:rsidRDefault="002C0FD9" w:rsidP="00CA25CF">
            <w:pPr>
              <w:rPr>
                <w:rFonts w:cs="Arial"/>
                <w:color w:val="FF0000"/>
                <w:sz w:val="21"/>
                <w:szCs w:val="21"/>
              </w:rPr>
            </w:pPr>
          </w:p>
        </w:tc>
        <w:tc>
          <w:tcPr>
            <w:tcW w:w="217" w:type="dxa"/>
          </w:tcPr>
          <w:p w14:paraId="361E3727" w14:textId="77777777" w:rsidR="002C0FD9" w:rsidRPr="00CA25CF" w:rsidRDefault="002C0FD9" w:rsidP="00CA25CF">
            <w:pPr>
              <w:rPr>
                <w:rFonts w:cs="Arial"/>
                <w:color w:val="FF0000"/>
                <w:sz w:val="21"/>
                <w:szCs w:val="21"/>
              </w:rPr>
            </w:pPr>
          </w:p>
        </w:tc>
        <w:tc>
          <w:tcPr>
            <w:tcW w:w="217" w:type="dxa"/>
          </w:tcPr>
          <w:p w14:paraId="4036982D" w14:textId="77777777" w:rsidR="002C0FD9" w:rsidRPr="00CA25CF" w:rsidRDefault="002C0FD9" w:rsidP="00CA25CF">
            <w:pPr>
              <w:rPr>
                <w:rFonts w:cs="Arial"/>
                <w:color w:val="FF0000"/>
                <w:sz w:val="21"/>
                <w:szCs w:val="21"/>
              </w:rPr>
            </w:pPr>
          </w:p>
        </w:tc>
        <w:tc>
          <w:tcPr>
            <w:tcW w:w="217" w:type="dxa"/>
          </w:tcPr>
          <w:p w14:paraId="0978DB5B" w14:textId="77777777" w:rsidR="002C0FD9" w:rsidRPr="00CA25CF" w:rsidRDefault="002C0FD9" w:rsidP="00CA25CF">
            <w:pPr>
              <w:rPr>
                <w:rFonts w:cs="Arial"/>
                <w:color w:val="FF0000"/>
                <w:sz w:val="21"/>
                <w:szCs w:val="21"/>
              </w:rPr>
            </w:pPr>
          </w:p>
        </w:tc>
        <w:tc>
          <w:tcPr>
            <w:tcW w:w="217" w:type="dxa"/>
          </w:tcPr>
          <w:p w14:paraId="7C83DFD6" w14:textId="77777777" w:rsidR="002C0FD9" w:rsidRPr="00CA25CF" w:rsidRDefault="002C0FD9" w:rsidP="00CA25CF">
            <w:pPr>
              <w:rPr>
                <w:rFonts w:cs="Arial"/>
                <w:color w:val="FF0000"/>
                <w:sz w:val="21"/>
                <w:szCs w:val="21"/>
              </w:rPr>
            </w:pPr>
          </w:p>
        </w:tc>
        <w:tc>
          <w:tcPr>
            <w:tcW w:w="217" w:type="dxa"/>
          </w:tcPr>
          <w:p w14:paraId="6A2F1445" w14:textId="77777777" w:rsidR="002C0FD9" w:rsidRPr="00CA25CF" w:rsidRDefault="002C0FD9" w:rsidP="00CA25CF">
            <w:pPr>
              <w:rPr>
                <w:rFonts w:cs="Arial"/>
                <w:color w:val="FF0000"/>
                <w:sz w:val="21"/>
                <w:szCs w:val="21"/>
              </w:rPr>
            </w:pPr>
          </w:p>
        </w:tc>
        <w:tc>
          <w:tcPr>
            <w:tcW w:w="217" w:type="dxa"/>
          </w:tcPr>
          <w:p w14:paraId="2B297AC0" w14:textId="77777777" w:rsidR="002C0FD9" w:rsidRPr="00CA25CF" w:rsidRDefault="002C0FD9" w:rsidP="00CA25CF">
            <w:pPr>
              <w:rPr>
                <w:rFonts w:cs="Arial"/>
                <w:color w:val="FF0000"/>
                <w:sz w:val="21"/>
                <w:szCs w:val="21"/>
              </w:rPr>
            </w:pPr>
          </w:p>
        </w:tc>
        <w:tc>
          <w:tcPr>
            <w:tcW w:w="217" w:type="dxa"/>
          </w:tcPr>
          <w:p w14:paraId="7156EFDD" w14:textId="77777777" w:rsidR="002C0FD9" w:rsidRPr="00CA25CF" w:rsidRDefault="002C0FD9" w:rsidP="00CA25CF">
            <w:pPr>
              <w:rPr>
                <w:rFonts w:cs="Arial"/>
                <w:color w:val="FF0000"/>
                <w:sz w:val="21"/>
                <w:szCs w:val="21"/>
              </w:rPr>
            </w:pPr>
          </w:p>
        </w:tc>
        <w:tc>
          <w:tcPr>
            <w:tcW w:w="217" w:type="dxa"/>
          </w:tcPr>
          <w:p w14:paraId="2F3CE281" w14:textId="77777777" w:rsidR="002C0FD9" w:rsidRPr="00CA25CF" w:rsidRDefault="002C0FD9" w:rsidP="00CA25CF">
            <w:pPr>
              <w:rPr>
                <w:rFonts w:cs="Arial"/>
                <w:color w:val="FF0000"/>
                <w:sz w:val="21"/>
                <w:szCs w:val="21"/>
              </w:rPr>
            </w:pPr>
          </w:p>
        </w:tc>
        <w:tc>
          <w:tcPr>
            <w:tcW w:w="217" w:type="dxa"/>
          </w:tcPr>
          <w:p w14:paraId="4DCA3406" w14:textId="77777777" w:rsidR="002C0FD9" w:rsidRPr="00CA25CF" w:rsidRDefault="002C0FD9" w:rsidP="00CA25CF">
            <w:pPr>
              <w:rPr>
                <w:rFonts w:cs="Arial"/>
                <w:color w:val="FF0000"/>
                <w:sz w:val="21"/>
                <w:szCs w:val="21"/>
              </w:rPr>
            </w:pPr>
          </w:p>
        </w:tc>
        <w:tc>
          <w:tcPr>
            <w:tcW w:w="217" w:type="dxa"/>
          </w:tcPr>
          <w:p w14:paraId="613A96C1" w14:textId="77777777" w:rsidR="002C0FD9" w:rsidRPr="00CA25CF" w:rsidRDefault="002C0FD9" w:rsidP="00CA25CF">
            <w:pPr>
              <w:rPr>
                <w:rFonts w:cs="Arial"/>
                <w:color w:val="FF0000"/>
                <w:sz w:val="21"/>
                <w:szCs w:val="21"/>
              </w:rPr>
            </w:pPr>
          </w:p>
        </w:tc>
        <w:tc>
          <w:tcPr>
            <w:tcW w:w="217" w:type="dxa"/>
          </w:tcPr>
          <w:p w14:paraId="1FB65C62" w14:textId="77777777" w:rsidR="002C0FD9" w:rsidRPr="00CA25CF" w:rsidRDefault="002C0FD9" w:rsidP="00CA25CF">
            <w:pPr>
              <w:rPr>
                <w:rFonts w:cs="Arial"/>
                <w:color w:val="FF0000"/>
                <w:sz w:val="21"/>
                <w:szCs w:val="21"/>
              </w:rPr>
            </w:pPr>
          </w:p>
        </w:tc>
        <w:tc>
          <w:tcPr>
            <w:tcW w:w="217" w:type="dxa"/>
          </w:tcPr>
          <w:p w14:paraId="3202CF27" w14:textId="77777777" w:rsidR="002C0FD9" w:rsidRPr="00CA25CF" w:rsidRDefault="002C0FD9" w:rsidP="00CA25CF">
            <w:pPr>
              <w:rPr>
                <w:rFonts w:cs="Arial"/>
                <w:color w:val="FF0000"/>
                <w:sz w:val="21"/>
                <w:szCs w:val="21"/>
              </w:rPr>
            </w:pPr>
          </w:p>
        </w:tc>
        <w:tc>
          <w:tcPr>
            <w:tcW w:w="217" w:type="dxa"/>
          </w:tcPr>
          <w:p w14:paraId="30D1E3CF" w14:textId="77777777" w:rsidR="002C0FD9" w:rsidRPr="00CA25CF" w:rsidRDefault="002C0FD9" w:rsidP="00CA25CF">
            <w:pPr>
              <w:rPr>
                <w:rFonts w:cs="Arial"/>
                <w:color w:val="FF0000"/>
                <w:sz w:val="21"/>
                <w:szCs w:val="21"/>
              </w:rPr>
            </w:pPr>
          </w:p>
        </w:tc>
        <w:tc>
          <w:tcPr>
            <w:tcW w:w="217" w:type="dxa"/>
          </w:tcPr>
          <w:p w14:paraId="7F1D5177" w14:textId="77777777" w:rsidR="002C0FD9" w:rsidRPr="00CA25CF" w:rsidRDefault="002C0FD9" w:rsidP="00CA25CF">
            <w:pPr>
              <w:rPr>
                <w:rFonts w:cs="Arial"/>
                <w:color w:val="FF0000"/>
                <w:sz w:val="21"/>
                <w:szCs w:val="21"/>
              </w:rPr>
            </w:pPr>
          </w:p>
        </w:tc>
        <w:tc>
          <w:tcPr>
            <w:tcW w:w="217" w:type="dxa"/>
          </w:tcPr>
          <w:p w14:paraId="22CB3732" w14:textId="77777777" w:rsidR="002C0FD9" w:rsidRPr="00CA25CF" w:rsidRDefault="002C0FD9" w:rsidP="00CA25CF">
            <w:pPr>
              <w:rPr>
                <w:rFonts w:cs="Arial"/>
                <w:color w:val="FF0000"/>
                <w:sz w:val="21"/>
                <w:szCs w:val="21"/>
              </w:rPr>
            </w:pPr>
          </w:p>
        </w:tc>
        <w:tc>
          <w:tcPr>
            <w:tcW w:w="217" w:type="dxa"/>
          </w:tcPr>
          <w:p w14:paraId="69114178" w14:textId="77777777" w:rsidR="002C0FD9" w:rsidRPr="00CA25CF" w:rsidRDefault="002C0FD9" w:rsidP="00CA25CF">
            <w:pPr>
              <w:rPr>
                <w:rFonts w:cs="Arial"/>
                <w:color w:val="FF0000"/>
                <w:sz w:val="21"/>
                <w:szCs w:val="21"/>
              </w:rPr>
            </w:pPr>
          </w:p>
        </w:tc>
        <w:tc>
          <w:tcPr>
            <w:tcW w:w="217" w:type="dxa"/>
          </w:tcPr>
          <w:p w14:paraId="56097D4C" w14:textId="77777777" w:rsidR="002C0FD9" w:rsidRPr="00CA25CF" w:rsidRDefault="002C0FD9" w:rsidP="00CA25CF">
            <w:pPr>
              <w:rPr>
                <w:rFonts w:cs="Arial"/>
                <w:color w:val="FF0000"/>
                <w:sz w:val="21"/>
                <w:szCs w:val="21"/>
              </w:rPr>
            </w:pPr>
          </w:p>
        </w:tc>
        <w:tc>
          <w:tcPr>
            <w:tcW w:w="217" w:type="dxa"/>
          </w:tcPr>
          <w:p w14:paraId="4518AB3E" w14:textId="77777777" w:rsidR="002C0FD9" w:rsidRPr="00CA25CF" w:rsidRDefault="002C0FD9" w:rsidP="00CA25CF">
            <w:pPr>
              <w:rPr>
                <w:rFonts w:cs="Arial"/>
                <w:color w:val="FF0000"/>
                <w:sz w:val="21"/>
                <w:szCs w:val="21"/>
              </w:rPr>
            </w:pPr>
          </w:p>
        </w:tc>
        <w:tc>
          <w:tcPr>
            <w:tcW w:w="217" w:type="dxa"/>
          </w:tcPr>
          <w:p w14:paraId="5E6E532C" w14:textId="77777777" w:rsidR="002C0FD9" w:rsidRPr="00CA25CF" w:rsidRDefault="002C0FD9" w:rsidP="00CA25CF">
            <w:pPr>
              <w:rPr>
                <w:rFonts w:cs="Arial"/>
                <w:color w:val="FF0000"/>
                <w:sz w:val="21"/>
                <w:szCs w:val="21"/>
              </w:rPr>
            </w:pPr>
          </w:p>
        </w:tc>
        <w:tc>
          <w:tcPr>
            <w:tcW w:w="217" w:type="dxa"/>
          </w:tcPr>
          <w:p w14:paraId="49799D2B" w14:textId="77777777" w:rsidR="002C0FD9" w:rsidRPr="00CA25CF" w:rsidRDefault="002C0FD9" w:rsidP="00CA25CF">
            <w:pPr>
              <w:rPr>
                <w:rFonts w:cs="Arial"/>
                <w:color w:val="FF0000"/>
                <w:sz w:val="21"/>
                <w:szCs w:val="21"/>
              </w:rPr>
            </w:pPr>
          </w:p>
        </w:tc>
        <w:tc>
          <w:tcPr>
            <w:tcW w:w="217" w:type="dxa"/>
          </w:tcPr>
          <w:p w14:paraId="598F60D2" w14:textId="77777777" w:rsidR="002C0FD9" w:rsidRPr="00CA25CF" w:rsidRDefault="002C0FD9" w:rsidP="00CA25CF">
            <w:pPr>
              <w:rPr>
                <w:rFonts w:cs="Arial"/>
                <w:color w:val="FF0000"/>
                <w:sz w:val="21"/>
                <w:szCs w:val="21"/>
              </w:rPr>
            </w:pPr>
          </w:p>
        </w:tc>
        <w:tc>
          <w:tcPr>
            <w:tcW w:w="217" w:type="dxa"/>
          </w:tcPr>
          <w:p w14:paraId="6C824F33" w14:textId="77777777" w:rsidR="002C0FD9" w:rsidRPr="00CA25CF" w:rsidRDefault="002C0FD9" w:rsidP="00CA25CF">
            <w:pPr>
              <w:rPr>
                <w:rFonts w:cs="Arial"/>
                <w:color w:val="FF0000"/>
                <w:sz w:val="21"/>
                <w:szCs w:val="21"/>
              </w:rPr>
            </w:pPr>
          </w:p>
        </w:tc>
        <w:tc>
          <w:tcPr>
            <w:tcW w:w="217" w:type="dxa"/>
          </w:tcPr>
          <w:p w14:paraId="5E253B7B" w14:textId="77777777" w:rsidR="002C0FD9" w:rsidRPr="00CA25CF" w:rsidRDefault="002C0FD9" w:rsidP="00CA25CF">
            <w:pPr>
              <w:rPr>
                <w:rFonts w:cs="Arial"/>
                <w:color w:val="FF0000"/>
                <w:sz w:val="21"/>
                <w:szCs w:val="21"/>
              </w:rPr>
            </w:pPr>
          </w:p>
        </w:tc>
        <w:tc>
          <w:tcPr>
            <w:tcW w:w="217" w:type="dxa"/>
          </w:tcPr>
          <w:p w14:paraId="5567C35C" w14:textId="77777777" w:rsidR="002C0FD9" w:rsidRPr="00CA25CF" w:rsidRDefault="002C0FD9" w:rsidP="00CA25CF">
            <w:pPr>
              <w:rPr>
                <w:rFonts w:cs="Arial"/>
                <w:color w:val="FF0000"/>
                <w:sz w:val="21"/>
                <w:szCs w:val="21"/>
              </w:rPr>
            </w:pPr>
          </w:p>
        </w:tc>
        <w:tc>
          <w:tcPr>
            <w:tcW w:w="217" w:type="dxa"/>
          </w:tcPr>
          <w:p w14:paraId="08BE8CEC" w14:textId="77777777" w:rsidR="002C0FD9" w:rsidRPr="00CA25CF" w:rsidRDefault="002C0FD9" w:rsidP="00CA25CF">
            <w:pPr>
              <w:rPr>
                <w:rFonts w:cs="Arial"/>
                <w:color w:val="FF0000"/>
                <w:sz w:val="21"/>
                <w:szCs w:val="21"/>
              </w:rPr>
            </w:pPr>
          </w:p>
        </w:tc>
        <w:tc>
          <w:tcPr>
            <w:tcW w:w="217" w:type="dxa"/>
          </w:tcPr>
          <w:p w14:paraId="1130EDD0" w14:textId="77777777" w:rsidR="002C0FD9" w:rsidRPr="00CA25CF" w:rsidRDefault="002C0FD9" w:rsidP="00CA25CF">
            <w:pPr>
              <w:rPr>
                <w:rFonts w:cs="Arial"/>
                <w:color w:val="FF0000"/>
                <w:sz w:val="21"/>
                <w:szCs w:val="21"/>
              </w:rPr>
            </w:pPr>
          </w:p>
        </w:tc>
        <w:tc>
          <w:tcPr>
            <w:tcW w:w="217" w:type="dxa"/>
          </w:tcPr>
          <w:p w14:paraId="1D200142" w14:textId="77777777" w:rsidR="002C0FD9" w:rsidRPr="00CA25CF" w:rsidRDefault="002C0FD9" w:rsidP="00CA25CF">
            <w:pPr>
              <w:rPr>
                <w:rFonts w:cs="Arial"/>
                <w:color w:val="FF0000"/>
                <w:sz w:val="21"/>
                <w:szCs w:val="21"/>
              </w:rPr>
            </w:pPr>
          </w:p>
        </w:tc>
        <w:tc>
          <w:tcPr>
            <w:tcW w:w="217" w:type="dxa"/>
          </w:tcPr>
          <w:p w14:paraId="6FDCF965" w14:textId="77777777" w:rsidR="002C0FD9" w:rsidRPr="00CA25CF" w:rsidRDefault="002C0FD9" w:rsidP="00CA25CF">
            <w:pPr>
              <w:rPr>
                <w:rFonts w:cs="Arial"/>
                <w:color w:val="FF0000"/>
                <w:sz w:val="21"/>
                <w:szCs w:val="21"/>
              </w:rPr>
            </w:pPr>
          </w:p>
        </w:tc>
        <w:tc>
          <w:tcPr>
            <w:tcW w:w="217" w:type="dxa"/>
          </w:tcPr>
          <w:p w14:paraId="0B588F48" w14:textId="77777777" w:rsidR="002C0FD9" w:rsidRPr="00CA25CF" w:rsidRDefault="002C0FD9" w:rsidP="00CA25CF">
            <w:pPr>
              <w:rPr>
                <w:rFonts w:cs="Arial"/>
                <w:color w:val="FF0000"/>
                <w:sz w:val="21"/>
                <w:szCs w:val="21"/>
              </w:rPr>
            </w:pPr>
          </w:p>
        </w:tc>
        <w:tc>
          <w:tcPr>
            <w:tcW w:w="217" w:type="dxa"/>
          </w:tcPr>
          <w:p w14:paraId="5F7D6CBC" w14:textId="77777777" w:rsidR="002C0FD9" w:rsidRPr="00CA25CF" w:rsidRDefault="002C0FD9" w:rsidP="00CA25CF">
            <w:pPr>
              <w:rPr>
                <w:rFonts w:cs="Arial"/>
                <w:color w:val="FF0000"/>
                <w:sz w:val="21"/>
                <w:szCs w:val="21"/>
              </w:rPr>
            </w:pPr>
          </w:p>
        </w:tc>
        <w:tc>
          <w:tcPr>
            <w:tcW w:w="217" w:type="dxa"/>
          </w:tcPr>
          <w:p w14:paraId="69C14F3F" w14:textId="77777777" w:rsidR="002C0FD9" w:rsidRPr="00CA25CF" w:rsidRDefault="002C0FD9" w:rsidP="00CA25CF">
            <w:pPr>
              <w:rPr>
                <w:rFonts w:cs="Arial"/>
                <w:color w:val="FF0000"/>
                <w:sz w:val="21"/>
                <w:szCs w:val="21"/>
              </w:rPr>
            </w:pPr>
          </w:p>
        </w:tc>
        <w:tc>
          <w:tcPr>
            <w:tcW w:w="217" w:type="dxa"/>
          </w:tcPr>
          <w:p w14:paraId="380A13C1" w14:textId="77777777" w:rsidR="002C0FD9" w:rsidRPr="00CA25CF" w:rsidRDefault="002C0FD9" w:rsidP="00CA25CF">
            <w:pPr>
              <w:rPr>
                <w:rFonts w:cs="Arial"/>
                <w:color w:val="FF0000"/>
                <w:sz w:val="21"/>
                <w:szCs w:val="21"/>
              </w:rPr>
            </w:pPr>
          </w:p>
        </w:tc>
        <w:tc>
          <w:tcPr>
            <w:tcW w:w="217" w:type="dxa"/>
          </w:tcPr>
          <w:p w14:paraId="75A4B438" w14:textId="77777777" w:rsidR="002C0FD9" w:rsidRPr="00CA25CF" w:rsidRDefault="002C0FD9" w:rsidP="00CA25CF">
            <w:pPr>
              <w:rPr>
                <w:rFonts w:cs="Arial"/>
                <w:color w:val="FF0000"/>
                <w:sz w:val="21"/>
                <w:szCs w:val="21"/>
              </w:rPr>
            </w:pPr>
          </w:p>
        </w:tc>
        <w:tc>
          <w:tcPr>
            <w:tcW w:w="217" w:type="dxa"/>
          </w:tcPr>
          <w:p w14:paraId="4AA2B1C4" w14:textId="77777777" w:rsidR="002C0FD9" w:rsidRPr="00CA25CF" w:rsidRDefault="002C0FD9" w:rsidP="00CA25CF">
            <w:pPr>
              <w:rPr>
                <w:rFonts w:cs="Arial"/>
                <w:color w:val="FF0000"/>
                <w:sz w:val="21"/>
                <w:szCs w:val="21"/>
              </w:rPr>
            </w:pPr>
          </w:p>
        </w:tc>
        <w:tc>
          <w:tcPr>
            <w:tcW w:w="217" w:type="dxa"/>
          </w:tcPr>
          <w:p w14:paraId="5E8A9BEB" w14:textId="77777777" w:rsidR="002C0FD9" w:rsidRPr="00CA25CF" w:rsidRDefault="002C0FD9" w:rsidP="00CA25CF">
            <w:pPr>
              <w:rPr>
                <w:rFonts w:cs="Arial"/>
                <w:color w:val="FF0000"/>
                <w:sz w:val="21"/>
                <w:szCs w:val="21"/>
              </w:rPr>
            </w:pPr>
          </w:p>
        </w:tc>
        <w:tc>
          <w:tcPr>
            <w:tcW w:w="217" w:type="dxa"/>
          </w:tcPr>
          <w:p w14:paraId="068C7FE9" w14:textId="77777777" w:rsidR="002C0FD9" w:rsidRPr="00CA25CF" w:rsidRDefault="002C0FD9" w:rsidP="00CA25CF">
            <w:pPr>
              <w:rPr>
                <w:rFonts w:cs="Arial"/>
                <w:color w:val="FF0000"/>
                <w:sz w:val="21"/>
                <w:szCs w:val="21"/>
              </w:rPr>
            </w:pPr>
          </w:p>
        </w:tc>
        <w:tc>
          <w:tcPr>
            <w:tcW w:w="217" w:type="dxa"/>
          </w:tcPr>
          <w:p w14:paraId="5713B295" w14:textId="77777777" w:rsidR="002C0FD9" w:rsidRPr="00CA25CF" w:rsidRDefault="002C0FD9" w:rsidP="00CA25CF">
            <w:pPr>
              <w:rPr>
                <w:rFonts w:cs="Arial"/>
                <w:color w:val="FF0000"/>
                <w:sz w:val="21"/>
                <w:szCs w:val="21"/>
              </w:rPr>
            </w:pPr>
          </w:p>
        </w:tc>
      </w:tr>
      <w:tr w:rsidR="002C0FD9" w:rsidRPr="00A16219" w14:paraId="72353E7E" w14:textId="77777777" w:rsidTr="002C0FD9">
        <w:trPr>
          <w:trHeight w:val="635"/>
        </w:trPr>
        <w:tc>
          <w:tcPr>
            <w:tcW w:w="515" w:type="dxa"/>
          </w:tcPr>
          <w:p w14:paraId="69AFD26C" w14:textId="77777777" w:rsidR="002C0FD9" w:rsidRPr="00CA25CF" w:rsidRDefault="002C0FD9" w:rsidP="00CA25CF">
            <w:pPr>
              <w:rPr>
                <w:rFonts w:cs="Arial"/>
                <w:color w:val="FF0000"/>
                <w:sz w:val="21"/>
                <w:szCs w:val="21"/>
              </w:rPr>
            </w:pPr>
          </w:p>
        </w:tc>
        <w:tc>
          <w:tcPr>
            <w:tcW w:w="217" w:type="dxa"/>
          </w:tcPr>
          <w:p w14:paraId="192871DF" w14:textId="77777777" w:rsidR="002C0FD9" w:rsidRPr="00CA25CF" w:rsidRDefault="002C0FD9" w:rsidP="00CA25CF">
            <w:pPr>
              <w:rPr>
                <w:rFonts w:cs="Arial"/>
                <w:color w:val="FF0000"/>
                <w:sz w:val="21"/>
                <w:szCs w:val="21"/>
              </w:rPr>
            </w:pPr>
          </w:p>
        </w:tc>
        <w:tc>
          <w:tcPr>
            <w:tcW w:w="217" w:type="dxa"/>
          </w:tcPr>
          <w:p w14:paraId="3FA53C6C" w14:textId="77777777" w:rsidR="002C0FD9" w:rsidRPr="00CA25CF" w:rsidRDefault="002C0FD9" w:rsidP="00CA25CF">
            <w:pPr>
              <w:rPr>
                <w:rFonts w:cs="Arial"/>
                <w:color w:val="FF0000"/>
                <w:sz w:val="21"/>
                <w:szCs w:val="21"/>
              </w:rPr>
            </w:pPr>
          </w:p>
        </w:tc>
        <w:tc>
          <w:tcPr>
            <w:tcW w:w="217" w:type="dxa"/>
          </w:tcPr>
          <w:p w14:paraId="410BCEDB" w14:textId="77777777" w:rsidR="002C0FD9" w:rsidRPr="00CA25CF" w:rsidRDefault="002C0FD9" w:rsidP="00CA25CF">
            <w:pPr>
              <w:rPr>
                <w:rFonts w:cs="Arial"/>
                <w:color w:val="FF0000"/>
                <w:sz w:val="21"/>
                <w:szCs w:val="21"/>
              </w:rPr>
            </w:pPr>
          </w:p>
        </w:tc>
        <w:tc>
          <w:tcPr>
            <w:tcW w:w="217" w:type="dxa"/>
          </w:tcPr>
          <w:p w14:paraId="7D0B764E" w14:textId="77777777" w:rsidR="002C0FD9" w:rsidRPr="00CA25CF" w:rsidRDefault="002C0FD9" w:rsidP="00CA25CF">
            <w:pPr>
              <w:rPr>
                <w:rFonts w:cs="Arial"/>
                <w:color w:val="FF0000"/>
                <w:sz w:val="21"/>
                <w:szCs w:val="21"/>
              </w:rPr>
            </w:pPr>
          </w:p>
        </w:tc>
        <w:tc>
          <w:tcPr>
            <w:tcW w:w="217" w:type="dxa"/>
          </w:tcPr>
          <w:p w14:paraId="3BC68ADE" w14:textId="77777777" w:rsidR="002C0FD9" w:rsidRPr="00CA25CF" w:rsidRDefault="002C0FD9" w:rsidP="00CA25CF">
            <w:pPr>
              <w:rPr>
                <w:rFonts w:cs="Arial"/>
                <w:color w:val="FF0000"/>
                <w:sz w:val="21"/>
                <w:szCs w:val="21"/>
              </w:rPr>
            </w:pPr>
          </w:p>
        </w:tc>
        <w:tc>
          <w:tcPr>
            <w:tcW w:w="217" w:type="dxa"/>
          </w:tcPr>
          <w:p w14:paraId="4ACA3C24" w14:textId="77777777" w:rsidR="002C0FD9" w:rsidRPr="00CA25CF" w:rsidRDefault="002C0FD9" w:rsidP="00CA25CF">
            <w:pPr>
              <w:rPr>
                <w:rFonts w:cs="Arial"/>
                <w:color w:val="FF0000"/>
                <w:sz w:val="21"/>
                <w:szCs w:val="21"/>
              </w:rPr>
            </w:pPr>
          </w:p>
        </w:tc>
        <w:tc>
          <w:tcPr>
            <w:tcW w:w="217" w:type="dxa"/>
          </w:tcPr>
          <w:p w14:paraId="4B721495" w14:textId="77777777" w:rsidR="002C0FD9" w:rsidRPr="00CA25CF" w:rsidRDefault="002C0FD9" w:rsidP="00CA25CF">
            <w:pPr>
              <w:rPr>
                <w:rFonts w:cs="Arial"/>
                <w:color w:val="FF0000"/>
                <w:sz w:val="21"/>
                <w:szCs w:val="21"/>
              </w:rPr>
            </w:pPr>
          </w:p>
        </w:tc>
        <w:tc>
          <w:tcPr>
            <w:tcW w:w="217" w:type="dxa"/>
          </w:tcPr>
          <w:p w14:paraId="728C7A5B" w14:textId="77777777" w:rsidR="002C0FD9" w:rsidRPr="00CA25CF" w:rsidRDefault="002C0FD9" w:rsidP="00CA25CF">
            <w:pPr>
              <w:rPr>
                <w:rFonts w:cs="Arial"/>
                <w:color w:val="FF0000"/>
                <w:sz w:val="21"/>
                <w:szCs w:val="21"/>
              </w:rPr>
            </w:pPr>
          </w:p>
        </w:tc>
        <w:tc>
          <w:tcPr>
            <w:tcW w:w="217" w:type="dxa"/>
          </w:tcPr>
          <w:p w14:paraId="123EFA49" w14:textId="77777777" w:rsidR="002C0FD9" w:rsidRPr="00CA25CF" w:rsidRDefault="002C0FD9" w:rsidP="00CA25CF">
            <w:pPr>
              <w:rPr>
                <w:rFonts w:cs="Arial"/>
                <w:color w:val="FF0000"/>
                <w:sz w:val="21"/>
                <w:szCs w:val="21"/>
              </w:rPr>
            </w:pPr>
          </w:p>
        </w:tc>
        <w:tc>
          <w:tcPr>
            <w:tcW w:w="217" w:type="dxa"/>
          </w:tcPr>
          <w:p w14:paraId="1514745A" w14:textId="77777777" w:rsidR="002C0FD9" w:rsidRPr="00CA25CF" w:rsidRDefault="002C0FD9" w:rsidP="00CA25CF">
            <w:pPr>
              <w:rPr>
                <w:rFonts w:cs="Arial"/>
                <w:color w:val="FF0000"/>
                <w:sz w:val="21"/>
                <w:szCs w:val="21"/>
              </w:rPr>
            </w:pPr>
          </w:p>
        </w:tc>
        <w:tc>
          <w:tcPr>
            <w:tcW w:w="217" w:type="dxa"/>
          </w:tcPr>
          <w:p w14:paraId="4CC04C27" w14:textId="77777777" w:rsidR="002C0FD9" w:rsidRPr="00CA25CF" w:rsidRDefault="002C0FD9" w:rsidP="00CA25CF">
            <w:pPr>
              <w:rPr>
                <w:rFonts w:cs="Arial"/>
                <w:color w:val="FF0000"/>
                <w:sz w:val="21"/>
                <w:szCs w:val="21"/>
              </w:rPr>
            </w:pPr>
          </w:p>
        </w:tc>
        <w:tc>
          <w:tcPr>
            <w:tcW w:w="217" w:type="dxa"/>
          </w:tcPr>
          <w:p w14:paraId="08365B7F" w14:textId="77777777" w:rsidR="002C0FD9" w:rsidRPr="00CA25CF" w:rsidRDefault="002C0FD9" w:rsidP="00CA25CF">
            <w:pPr>
              <w:rPr>
                <w:rFonts w:cs="Arial"/>
                <w:color w:val="FF0000"/>
                <w:sz w:val="21"/>
                <w:szCs w:val="21"/>
              </w:rPr>
            </w:pPr>
          </w:p>
        </w:tc>
        <w:tc>
          <w:tcPr>
            <w:tcW w:w="217" w:type="dxa"/>
          </w:tcPr>
          <w:p w14:paraId="2860DD1F" w14:textId="77777777" w:rsidR="002C0FD9" w:rsidRPr="00CA25CF" w:rsidRDefault="002C0FD9" w:rsidP="00CA25CF">
            <w:pPr>
              <w:rPr>
                <w:rFonts w:cs="Arial"/>
                <w:color w:val="FF0000"/>
                <w:sz w:val="21"/>
                <w:szCs w:val="21"/>
              </w:rPr>
            </w:pPr>
          </w:p>
        </w:tc>
        <w:tc>
          <w:tcPr>
            <w:tcW w:w="217" w:type="dxa"/>
          </w:tcPr>
          <w:p w14:paraId="270FBAC4" w14:textId="77777777" w:rsidR="002C0FD9" w:rsidRPr="00CA25CF" w:rsidRDefault="002C0FD9" w:rsidP="00CA25CF">
            <w:pPr>
              <w:rPr>
                <w:rFonts w:cs="Arial"/>
                <w:color w:val="FF0000"/>
                <w:sz w:val="21"/>
                <w:szCs w:val="21"/>
              </w:rPr>
            </w:pPr>
          </w:p>
        </w:tc>
        <w:tc>
          <w:tcPr>
            <w:tcW w:w="217" w:type="dxa"/>
          </w:tcPr>
          <w:p w14:paraId="217CB624" w14:textId="77777777" w:rsidR="002C0FD9" w:rsidRPr="00CA25CF" w:rsidRDefault="002C0FD9" w:rsidP="00CA25CF">
            <w:pPr>
              <w:rPr>
                <w:rFonts w:cs="Arial"/>
                <w:color w:val="FF0000"/>
                <w:sz w:val="21"/>
                <w:szCs w:val="21"/>
              </w:rPr>
            </w:pPr>
          </w:p>
        </w:tc>
        <w:tc>
          <w:tcPr>
            <w:tcW w:w="217" w:type="dxa"/>
          </w:tcPr>
          <w:p w14:paraId="48643AC0" w14:textId="77777777" w:rsidR="002C0FD9" w:rsidRPr="00CA25CF" w:rsidRDefault="002C0FD9" w:rsidP="00CA25CF">
            <w:pPr>
              <w:rPr>
                <w:rFonts w:cs="Arial"/>
                <w:color w:val="FF0000"/>
                <w:sz w:val="21"/>
                <w:szCs w:val="21"/>
              </w:rPr>
            </w:pPr>
          </w:p>
        </w:tc>
        <w:tc>
          <w:tcPr>
            <w:tcW w:w="217" w:type="dxa"/>
          </w:tcPr>
          <w:p w14:paraId="482EB004" w14:textId="77777777" w:rsidR="002C0FD9" w:rsidRPr="00CA25CF" w:rsidRDefault="002C0FD9" w:rsidP="00CA25CF">
            <w:pPr>
              <w:rPr>
                <w:rFonts w:cs="Arial"/>
                <w:color w:val="FF0000"/>
                <w:sz w:val="21"/>
                <w:szCs w:val="21"/>
              </w:rPr>
            </w:pPr>
          </w:p>
        </w:tc>
        <w:tc>
          <w:tcPr>
            <w:tcW w:w="217" w:type="dxa"/>
          </w:tcPr>
          <w:p w14:paraId="4223623E" w14:textId="77777777" w:rsidR="002C0FD9" w:rsidRPr="00CA25CF" w:rsidRDefault="002C0FD9" w:rsidP="00CA25CF">
            <w:pPr>
              <w:rPr>
                <w:rFonts w:cs="Arial"/>
                <w:color w:val="FF0000"/>
                <w:sz w:val="21"/>
                <w:szCs w:val="21"/>
              </w:rPr>
            </w:pPr>
          </w:p>
        </w:tc>
        <w:tc>
          <w:tcPr>
            <w:tcW w:w="217" w:type="dxa"/>
          </w:tcPr>
          <w:p w14:paraId="627CC7BA" w14:textId="77777777" w:rsidR="002C0FD9" w:rsidRPr="00CA25CF" w:rsidRDefault="002C0FD9" w:rsidP="00CA25CF">
            <w:pPr>
              <w:rPr>
                <w:rFonts w:cs="Arial"/>
                <w:color w:val="FF0000"/>
                <w:sz w:val="21"/>
                <w:szCs w:val="21"/>
              </w:rPr>
            </w:pPr>
          </w:p>
        </w:tc>
        <w:tc>
          <w:tcPr>
            <w:tcW w:w="217" w:type="dxa"/>
          </w:tcPr>
          <w:p w14:paraId="6807174A" w14:textId="77777777" w:rsidR="002C0FD9" w:rsidRPr="00CA25CF" w:rsidRDefault="002C0FD9" w:rsidP="00CA25CF">
            <w:pPr>
              <w:rPr>
                <w:rFonts w:cs="Arial"/>
                <w:color w:val="FF0000"/>
                <w:sz w:val="21"/>
                <w:szCs w:val="21"/>
              </w:rPr>
            </w:pPr>
          </w:p>
        </w:tc>
        <w:tc>
          <w:tcPr>
            <w:tcW w:w="217" w:type="dxa"/>
          </w:tcPr>
          <w:p w14:paraId="73156139" w14:textId="77777777" w:rsidR="002C0FD9" w:rsidRPr="00CA25CF" w:rsidRDefault="002C0FD9" w:rsidP="00CA25CF">
            <w:pPr>
              <w:rPr>
                <w:rFonts w:cs="Arial"/>
                <w:color w:val="FF0000"/>
                <w:sz w:val="21"/>
                <w:szCs w:val="21"/>
              </w:rPr>
            </w:pPr>
          </w:p>
        </w:tc>
        <w:tc>
          <w:tcPr>
            <w:tcW w:w="217" w:type="dxa"/>
          </w:tcPr>
          <w:p w14:paraId="163FC4C4" w14:textId="77777777" w:rsidR="002C0FD9" w:rsidRPr="00CA25CF" w:rsidRDefault="002C0FD9" w:rsidP="00CA25CF">
            <w:pPr>
              <w:rPr>
                <w:rFonts w:cs="Arial"/>
                <w:color w:val="FF0000"/>
                <w:sz w:val="21"/>
                <w:szCs w:val="21"/>
              </w:rPr>
            </w:pPr>
          </w:p>
        </w:tc>
        <w:tc>
          <w:tcPr>
            <w:tcW w:w="217" w:type="dxa"/>
          </w:tcPr>
          <w:p w14:paraId="276C4CD3" w14:textId="77777777" w:rsidR="002C0FD9" w:rsidRPr="00CA25CF" w:rsidRDefault="002C0FD9" w:rsidP="00CA25CF">
            <w:pPr>
              <w:rPr>
                <w:rFonts w:cs="Arial"/>
                <w:color w:val="FF0000"/>
                <w:sz w:val="21"/>
                <w:szCs w:val="21"/>
              </w:rPr>
            </w:pPr>
          </w:p>
        </w:tc>
        <w:tc>
          <w:tcPr>
            <w:tcW w:w="217" w:type="dxa"/>
          </w:tcPr>
          <w:p w14:paraId="00CC0848" w14:textId="77777777" w:rsidR="002C0FD9" w:rsidRPr="00CA25CF" w:rsidRDefault="002C0FD9" w:rsidP="00CA25CF">
            <w:pPr>
              <w:rPr>
                <w:rFonts w:cs="Arial"/>
                <w:color w:val="FF0000"/>
                <w:sz w:val="21"/>
                <w:szCs w:val="21"/>
              </w:rPr>
            </w:pPr>
          </w:p>
        </w:tc>
        <w:tc>
          <w:tcPr>
            <w:tcW w:w="217" w:type="dxa"/>
          </w:tcPr>
          <w:p w14:paraId="2E666C87" w14:textId="77777777" w:rsidR="002C0FD9" w:rsidRPr="00CA25CF" w:rsidRDefault="002C0FD9" w:rsidP="00CA25CF">
            <w:pPr>
              <w:rPr>
                <w:rFonts w:cs="Arial"/>
                <w:color w:val="FF0000"/>
                <w:sz w:val="21"/>
                <w:szCs w:val="21"/>
              </w:rPr>
            </w:pPr>
          </w:p>
        </w:tc>
        <w:tc>
          <w:tcPr>
            <w:tcW w:w="217" w:type="dxa"/>
          </w:tcPr>
          <w:p w14:paraId="2A5E3DA1" w14:textId="77777777" w:rsidR="002C0FD9" w:rsidRPr="00CA25CF" w:rsidRDefault="002C0FD9" w:rsidP="00CA25CF">
            <w:pPr>
              <w:rPr>
                <w:rFonts w:cs="Arial"/>
                <w:color w:val="FF0000"/>
                <w:sz w:val="21"/>
                <w:szCs w:val="21"/>
              </w:rPr>
            </w:pPr>
          </w:p>
        </w:tc>
        <w:tc>
          <w:tcPr>
            <w:tcW w:w="217" w:type="dxa"/>
          </w:tcPr>
          <w:p w14:paraId="7C6F0C82" w14:textId="77777777" w:rsidR="002C0FD9" w:rsidRPr="00CA25CF" w:rsidRDefault="002C0FD9" w:rsidP="00CA25CF">
            <w:pPr>
              <w:rPr>
                <w:rFonts w:cs="Arial"/>
                <w:color w:val="FF0000"/>
                <w:sz w:val="21"/>
                <w:szCs w:val="21"/>
              </w:rPr>
            </w:pPr>
          </w:p>
        </w:tc>
        <w:tc>
          <w:tcPr>
            <w:tcW w:w="217" w:type="dxa"/>
          </w:tcPr>
          <w:p w14:paraId="4B3FD691" w14:textId="77777777" w:rsidR="002C0FD9" w:rsidRPr="00CA25CF" w:rsidRDefault="002C0FD9" w:rsidP="00CA25CF">
            <w:pPr>
              <w:rPr>
                <w:rFonts w:cs="Arial"/>
                <w:color w:val="FF0000"/>
                <w:sz w:val="21"/>
                <w:szCs w:val="21"/>
              </w:rPr>
            </w:pPr>
          </w:p>
        </w:tc>
        <w:tc>
          <w:tcPr>
            <w:tcW w:w="217" w:type="dxa"/>
          </w:tcPr>
          <w:p w14:paraId="6B175A28" w14:textId="77777777" w:rsidR="002C0FD9" w:rsidRPr="00CA25CF" w:rsidRDefault="002C0FD9" w:rsidP="00CA25CF">
            <w:pPr>
              <w:rPr>
                <w:rFonts w:cs="Arial"/>
                <w:color w:val="FF0000"/>
                <w:sz w:val="21"/>
                <w:szCs w:val="21"/>
              </w:rPr>
            </w:pPr>
          </w:p>
        </w:tc>
        <w:tc>
          <w:tcPr>
            <w:tcW w:w="217" w:type="dxa"/>
          </w:tcPr>
          <w:p w14:paraId="79EA966E" w14:textId="77777777" w:rsidR="002C0FD9" w:rsidRPr="00CA25CF" w:rsidRDefault="002C0FD9" w:rsidP="00CA25CF">
            <w:pPr>
              <w:rPr>
                <w:rFonts w:cs="Arial"/>
                <w:color w:val="FF0000"/>
                <w:sz w:val="21"/>
                <w:szCs w:val="21"/>
              </w:rPr>
            </w:pPr>
          </w:p>
        </w:tc>
        <w:tc>
          <w:tcPr>
            <w:tcW w:w="217" w:type="dxa"/>
          </w:tcPr>
          <w:p w14:paraId="3799FB5D" w14:textId="77777777" w:rsidR="002C0FD9" w:rsidRPr="00CA25CF" w:rsidRDefault="002C0FD9" w:rsidP="00CA25CF">
            <w:pPr>
              <w:rPr>
                <w:rFonts w:cs="Arial"/>
                <w:color w:val="FF0000"/>
                <w:sz w:val="21"/>
                <w:szCs w:val="21"/>
              </w:rPr>
            </w:pPr>
          </w:p>
        </w:tc>
        <w:tc>
          <w:tcPr>
            <w:tcW w:w="217" w:type="dxa"/>
          </w:tcPr>
          <w:p w14:paraId="294CECF0" w14:textId="77777777" w:rsidR="002C0FD9" w:rsidRPr="00CA25CF" w:rsidRDefault="002C0FD9" w:rsidP="00CA25CF">
            <w:pPr>
              <w:rPr>
                <w:rFonts w:cs="Arial"/>
                <w:color w:val="FF0000"/>
                <w:sz w:val="21"/>
                <w:szCs w:val="21"/>
              </w:rPr>
            </w:pPr>
          </w:p>
        </w:tc>
        <w:tc>
          <w:tcPr>
            <w:tcW w:w="217" w:type="dxa"/>
          </w:tcPr>
          <w:p w14:paraId="072A77FA" w14:textId="77777777" w:rsidR="002C0FD9" w:rsidRPr="00CA25CF" w:rsidRDefault="002C0FD9" w:rsidP="00CA25CF">
            <w:pPr>
              <w:rPr>
                <w:rFonts w:cs="Arial"/>
                <w:color w:val="FF0000"/>
                <w:sz w:val="21"/>
                <w:szCs w:val="21"/>
              </w:rPr>
            </w:pPr>
          </w:p>
        </w:tc>
        <w:tc>
          <w:tcPr>
            <w:tcW w:w="217" w:type="dxa"/>
          </w:tcPr>
          <w:p w14:paraId="03495B8F" w14:textId="77777777" w:rsidR="002C0FD9" w:rsidRPr="00CA25CF" w:rsidRDefault="002C0FD9" w:rsidP="00CA25CF">
            <w:pPr>
              <w:rPr>
                <w:rFonts w:cs="Arial"/>
                <w:color w:val="FF0000"/>
                <w:sz w:val="21"/>
                <w:szCs w:val="21"/>
              </w:rPr>
            </w:pPr>
          </w:p>
        </w:tc>
        <w:tc>
          <w:tcPr>
            <w:tcW w:w="217" w:type="dxa"/>
          </w:tcPr>
          <w:p w14:paraId="304A3718" w14:textId="77777777" w:rsidR="002C0FD9" w:rsidRPr="00CA25CF" w:rsidRDefault="002C0FD9" w:rsidP="00CA25CF">
            <w:pPr>
              <w:rPr>
                <w:rFonts w:cs="Arial"/>
                <w:color w:val="FF0000"/>
                <w:sz w:val="21"/>
                <w:szCs w:val="21"/>
              </w:rPr>
            </w:pPr>
          </w:p>
        </w:tc>
        <w:tc>
          <w:tcPr>
            <w:tcW w:w="217" w:type="dxa"/>
          </w:tcPr>
          <w:p w14:paraId="2A306BC3" w14:textId="77777777" w:rsidR="002C0FD9" w:rsidRPr="00CA25CF" w:rsidRDefault="002C0FD9" w:rsidP="00CA25CF">
            <w:pPr>
              <w:rPr>
                <w:rFonts w:cs="Arial"/>
                <w:color w:val="FF0000"/>
                <w:sz w:val="21"/>
                <w:szCs w:val="21"/>
              </w:rPr>
            </w:pPr>
          </w:p>
        </w:tc>
        <w:tc>
          <w:tcPr>
            <w:tcW w:w="217" w:type="dxa"/>
          </w:tcPr>
          <w:p w14:paraId="1EA2F2BB" w14:textId="77777777" w:rsidR="002C0FD9" w:rsidRPr="00CA25CF" w:rsidRDefault="002C0FD9" w:rsidP="00CA25CF">
            <w:pPr>
              <w:rPr>
                <w:rFonts w:cs="Arial"/>
                <w:color w:val="FF0000"/>
                <w:sz w:val="21"/>
                <w:szCs w:val="21"/>
              </w:rPr>
            </w:pPr>
          </w:p>
        </w:tc>
        <w:tc>
          <w:tcPr>
            <w:tcW w:w="217" w:type="dxa"/>
          </w:tcPr>
          <w:p w14:paraId="6C46B012" w14:textId="77777777" w:rsidR="002C0FD9" w:rsidRPr="00CA25CF" w:rsidRDefault="002C0FD9" w:rsidP="00CA25CF">
            <w:pPr>
              <w:rPr>
                <w:rFonts w:cs="Arial"/>
                <w:color w:val="FF0000"/>
                <w:sz w:val="21"/>
                <w:szCs w:val="21"/>
              </w:rPr>
            </w:pPr>
          </w:p>
        </w:tc>
        <w:tc>
          <w:tcPr>
            <w:tcW w:w="217" w:type="dxa"/>
          </w:tcPr>
          <w:p w14:paraId="6EDD8EF5" w14:textId="77777777" w:rsidR="002C0FD9" w:rsidRPr="00CA25CF" w:rsidRDefault="002C0FD9" w:rsidP="00CA25CF">
            <w:pPr>
              <w:rPr>
                <w:rFonts w:cs="Arial"/>
                <w:color w:val="FF0000"/>
                <w:sz w:val="21"/>
                <w:szCs w:val="21"/>
              </w:rPr>
            </w:pPr>
          </w:p>
        </w:tc>
        <w:tc>
          <w:tcPr>
            <w:tcW w:w="217" w:type="dxa"/>
          </w:tcPr>
          <w:p w14:paraId="44C246EA" w14:textId="77777777" w:rsidR="002C0FD9" w:rsidRPr="00CA25CF" w:rsidRDefault="002C0FD9" w:rsidP="00CA25CF">
            <w:pPr>
              <w:rPr>
                <w:rFonts w:cs="Arial"/>
                <w:color w:val="FF0000"/>
                <w:sz w:val="21"/>
                <w:szCs w:val="21"/>
              </w:rPr>
            </w:pPr>
          </w:p>
        </w:tc>
        <w:tc>
          <w:tcPr>
            <w:tcW w:w="217" w:type="dxa"/>
          </w:tcPr>
          <w:p w14:paraId="6C2746DD" w14:textId="77777777" w:rsidR="002C0FD9" w:rsidRPr="00CA25CF" w:rsidRDefault="002C0FD9" w:rsidP="00CA25CF">
            <w:pPr>
              <w:rPr>
                <w:rFonts w:cs="Arial"/>
                <w:color w:val="FF0000"/>
                <w:sz w:val="21"/>
                <w:szCs w:val="21"/>
              </w:rPr>
            </w:pPr>
          </w:p>
        </w:tc>
        <w:tc>
          <w:tcPr>
            <w:tcW w:w="217" w:type="dxa"/>
          </w:tcPr>
          <w:p w14:paraId="39D66D8B" w14:textId="77777777" w:rsidR="002C0FD9" w:rsidRPr="00CA25CF" w:rsidRDefault="002C0FD9" w:rsidP="00CA25CF">
            <w:pPr>
              <w:rPr>
                <w:rFonts w:cs="Arial"/>
                <w:color w:val="FF0000"/>
                <w:sz w:val="21"/>
                <w:szCs w:val="21"/>
              </w:rPr>
            </w:pPr>
          </w:p>
        </w:tc>
      </w:tr>
      <w:tr w:rsidR="002C0FD9" w:rsidRPr="00A16219" w14:paraId="12B60D85" w14:textId="77777777" w:rsidTr="002C0FD9">
        <w:trPr>
          <w:trHeight w:val="635"/>
        </w:trPr>
        <w:tc>
          <w:tcPr>
            <w:tcW w:w="515" w:type="dxa"/>
          </w:tcPr>
          <w:p w14:paraId="7FAB4F2C" w14:textId="77777777" w:rsidR="002C0FD9" w:rsidRPr="00CA25CF" w:rsidRDefault="002C0FD9" w:rsidP="00CA25CF">
            <w:pPr>
              <w:rPr>
                <w:rFonts w:cs="Arial"/>
                <w:color w:val="FF0000"/>
                <w:sz w:val="21"/>
                <w:szCs w:val="21"/>
              </w:rPr>
            </w:pPr>
          </w:p>
        </w:tc>
        <w:tc>
          <w:tcPr>
            <w:tcW w:w="217" w:type="dxa"/>
          </w:tcPr>
          <w:p w14:paraId="6A093E4C" w14:textId="77777777" w:rsidR="002C0FD9" w:rsidRPr="00CA25CF" w:rsidRDefault="002C0FD9" w:rsidP="00CA25CF">
            <w:pPr>
              <w:rPr>
                <w:rFonts w:cs="Arial"/>
                <w:color w:val="FF0000"/>
                <w:sz w:val="21"/>
                <w:szCs w:val="21"/>
              </w:rPr>
            </w:pPr>
          </w:p>
        </w:tc>
        <w:tc>
          <w:tcPr>
            <w:tcW w:w="217" w:type="dxa"/>
          </w:tcPr>
          <w:p w14:paraId="7FA7D86D" w14:textId="77777777" w:rsidR="002C0FD9" w:rsidRPr="00CA25CF" w:rsidRDefault="002C0FD9" w:rsidP="00CA25CF">
            <w:pPr>
              <w:rPr>
                <w:rFonts w:cs="Arial"/>
                <w:color w:val="FF0000"/>
                <w:sz w:val="21"/>
                <w:szCs w:val="21"/>
              </w:rPr>
            </w:pPr>
          </w:p>
        </w:tc>
        <w:tc>
          <w:tcPr>
            <w:tcW w:w="217" w:type="dxa"/>
          </w:tcPr>
          <w:p w14:paraId="6526C03C" w14:textId="77777777" w:rsidR="002C0FD9" w:rsidRPr="00CA25CF" w:rsidRDefault="002C0FD9" w:rsidP="00CA25CF">
            <w:pPr>
              <w:rPr>
                <w:rFonts w:cs="Arial"/>
                <w:color w:val="FF0000"/>
                <w:sz w:val="21"/>
                <w:szCs w:val="21"/>
              </w:rPr>
            </w:pPr>
          </w:p>
        </w:tc>
        <w:tc>
          <w:tcPr>
            <w:tcW w:w="217" w:type="dxa"/>
          </w:tcPr>
          <w:p w14:paraId="1AA9BA8E" w14:textId="77777777" w:rsidR="002C0FD9" w:rsidRPr="00CA25CF" w:rsidRDefault="002C0FD9" w:rsidP="00CA25CF">
            <w:pPr>
              <w:rPr>
                <w:rFonts w:cs="Arial"/>
                <w:color w:val="FF0000"/>
                <w:sz w:val="21"/>
                <w:szCs w:val="21"/>
              </w:rPr>
            </w:pPr>
          </w:p>
        </w:tc>
        <w:tc>
          <w:tcPr>
            <w:tcW w:w="217" w:type="dxa"/>
          </w:tcPr>
          <w:p w14:paraId="7C669D9E" w14:textId="77777777" w:rsidR="002C0FD9" w:rsidRPr="00CA25CF" w:rsidRDefault="002C0FD9" w:rsidP="00CA25CF">
            <w:pPr>
              <w:rPr>
                <w:rFonts w:cs="Arial"/>
                <w:color w:val="FF0000"/>
                <w:sz w:val="21"/>
                <w:szCs w:val="21"/>
              </w:rPr>
            </w:pPr>
          </w:p>
        </w:tc>
        <w:tc>
          <w:tcPr>
            <w:tcW w:w="217" w:type="dxa"/>
          </w:tcPr>
          <w:p w14:paraId="07B9B3E8" w14:textId="77777777" w:rsidR="002C0FD9" w:rsidRPr="00CA25CF" w:rsidRDefault="002C0FD9" w:rsidP="00CA25CF">
            <w:pPr>
              <w:rPr>
                <w:rFonts w:cs="Arial"/>
                <w:color w:val="FF0000"/>
                <w:sz w:val="21"/>
                <w:szCs w:val="21"/>
              </w:rPr>
            </w:pPr>
          </w:p>
        </w:tc>
        <w:tc>
          <w:tcPr>
            <w:tcW w:w="217" w:type="dxa"/>
          </w:tcPr>
          <w:p w14:paraId="7A378858" w14:textId="77777777" w:rsidR="002C0FD9" w:rsidRPr="00CA25CF" w:rsidRDefault="002C0FD9" w:rsidP="00CA25CF">
            <w:pPr>
              <w:rPr>
                <w:rFonts w:cs="Arial"/>
                <w:color w:val="FF0000"/>
                <w:sz w:val="21"/>
                <w:szCs w:val="21"/>
              </w:rPr>
            </w:pPr>
          </w:p>
        </w:tc>
        <w:tc>
          <w:tcPr>
            <w:tcW w:w="217" w:type="dxa"/>
          </w:tcPr>
          <w:p w14:paraId="3F769998" w14:textId="77777777" w:rsidR="002C0FD9" w:rsidRPr="00CA25CF" w:rsidRDefault="002C0FD9" w:rsidP="00CA25CF">
            <w:pPr>
              <w:rPr>
                <w:rFonts w:cs="Arial"/>
                <w:color w:val="FF0000"/>
                <w:sz w:val="21"/>
                <w:szCs w:val="21"/>
              </w:rPr>
            </w:pPr>
          </w:p>
        </w:tc>
        <w:tc>
          <w:tcPr>
            <w:tcW w:w="217" w:type="dxa"/>
          </w:tcPr>
          <w:p w14:paraId="43EF3F33" w14:textId="77777777" w:rsidR="002C0FD9" w:rsidRPr="00CA25CF" w:rsidRDefault="002C0FD9" w:rsidP="00CA25CF">
            <w:pPr>
              <w:rPr>
                <w:rFonts w:cs="Arial"/>
                <w:color w:val="FF0000"/>
                <w:sz w:val="21"/>
                <w:szCs w:val="21"/>
              </w:rPr>
            </w:pPr>
          </w:p>
        </w:tc>
        <w:tc>
          <w:tcPr>
            <w:tcW w:w="217" w:type="dxa"/>
          </w:tcPr>
          <w:p w14:paraId="4C585F58" w14:textId="77777777" w:rsidR="002C0FD9" w:rsidRPr="00CA25CF" w:rsidRDefault="002C0FD9" w:rsidP="00CA25CF">
            <w:pPr>
              <w:rPr>
                <w:rFonts w:cs="Arial"/>
                <w:color w:val="FF0000"/>
                <w:sz w:val="21"/>
                <w:szCs w:val="21"/>
              </w:rPr>
            </w:pPr>
          </w:p>
        </w:tc>
        <w:tc>
          <w:tcPr>
            <w:tcW w:w="217" w:type="dxa"/>
          </w:tcPr>
          <w:p w14:paraId="754E884F" w14:textId="77777777" w:rsidR="002C0FD9" w:rsidRPr="00CA25CF" w:rsidRDefault="002C0FD9" w:rsidP="00CA25CF">
            <w:pPr>
              <w:rPr>
                <w:rFonts w:cs="Arial"/>
                <w:color w:val="FF0000"/>
                <w:sz w:val="21"/>
                <w:szCs w:val="21"/>
              </w:rPr>
            </w:pPr>
          </w:p>
        </w:tc>
        <w:tc>
          <w:tcPr>
            <w:tcW w:w="217" w:type="dxa"/>
          </w:tcPr>
          <w:p w14:paraId="60D03AA1" w14:textId="77777777" w:rsidR="002C0FD9" w:rsidRPr="00CA25CF" w:rsidRDefault="002C0FD9" w:rsidP="00CA25CF">
            <w:pPr>
              <w:rPr>
                <w:rFonts w:cs="Arial"/>
                <w:color w:val="FF0000"/>
                <w:sz w:val="21"/>
                <w:szCs w:val="21"/>
              </w:rPr>
            </w:pPr>
          </w:p>
        </w:tc>
        <w:tc>
          <w:tcPr>
            <w:tcW w:w="217" w:type="dxa"/>
          </w:tcPr>
          <w:p w14:paraId="2F661CF6" w14:textId="77777777" w:rsidR="002C0FD9" w:rsidRPr="00CA25CF" w:rsidRDefault="002C0FD9" w:rsidP="00CA25CF">
            <w:pPr>
              <w:rPr>
                <w:rFonts w:cs="Arial"/>
                <w:color w:val="FF0000"/>
                <w:sz w:val="21"/>
                <w:szCs w:val="21"/>
              </w:rPr>
            </w:pPr>
          </w:p>
        </w:tc>
        <w:tc>
          <w:tcPr>
            <w:tcW w:w="217" w:type="dxa"/>
          </w:tcPr>
          <w:p w14:paraId="7B71E779" w14:textId="77777777" w:rsidR="002C0FD9" w:rsidRPr="00CA25CF" w:rsidRDefault="002C0FD9" w:rsidP="00CA25CF">
            <w:pPr>
              <w:rPr>
                <w:rFonts w:cs="Arial"/>
                <w:color w:val="FF0000"/>
                <w:sz w:val="21"/>
                <w:szCs w:val="21"/>
              </w:rPr>
            </w:pPr>
          </w:p>
        </w:tc>
        <w:tc>
          <w:tcPr>
            <w:tcW w:w="217" w:type="dxa"/>
          </w:tcPr>
          <w:p w14:paraId="5BCA128E" w14:textId="77777777" w:rsidR="002C0FD9" w:rsidRPr="00CA25CF" w:rsidRDefault="002C0FD9" w:rsidP="00CA25CF">
            <w:pPr>
              <w:rPr>
                <w:rFonts w:cs="Arial"/>
                <w:color w:val="FF0000"/>
                <w:sz w:val="21"/>
                <w:szCs w:val="21"/>
              </w:rPr>
            </w:pPr>
          </w:p>
        </w:tc>
        <w:tc>
          <w:tcPr>
            <w:tcW w:w="217" w:type="dxa"/>
          </w:tcPr>
          <w:p w14:paraId="7236A654" w14:textId="77777777" w:rsidR="002C0FD9" w:rsidRPr="00CA25CF" w:rsidRDefault="002C0FD9" w:rsidP="00CA25CF">
            <w:pPr>
              <w:rPr>
                <w:rFonts w:cs="Arial"/>
                <w:color w:val="FF0000"/>
                <w:sz w:val="21"/>
                <w:szCs w:val="21"/>
              </w:rPr>
            </w:pPr>
          </w:p>
        </w:tc>
        <w:tc>
          <w:tcPr>
            <w:tcW w:w="217" w:type="dxa"/>
          </w:tcPr>
          <w:p w14:paraId="3597CF11" w14:textId="77777777" w:rsidR="002C0FD9" w:rsidRPr="00CA25CF" w:rsidRDefault="002C0FD9" w:rsidP="00CA25CF">
            <w:pPr>
              <w:rPr>
                <w:rFonts w:cs="Arial"/>
                <w:color w:val="FF0000"/>
                <w:sz w:val="21"/>
                <w:szCs w:val="21"/>
              </w:rPr>
            </w:pPr>
          </w:p>
        </w:tc>
        <w:tc>
          <w:tcPr>
            <w:tcW w:w="217" w:type="dxa"/>
          </w:tcPr>
          <w:p w14:paraId="1BEF7DE5" w14:textId="77777777" w:rsidR="002C0FD9" w:rsidRPr="00CA25CF" w:rsidRDefault="002C0FD9" w:rsidP="00CA25CF">
            <w:pPr>
              <w:rPr>
                <w:rFonts w:cs="Arial"/>
                <w:color w:val="FF0000"/>
                <w:sz w:val="21"/>
                <w:szCs w:val="21"/>
              </w:rPr>
            </w:pPr>
          </w:p>
        </w:tc>
        <w:tc>
          <w:tcPr>
            <w:tcW w:w="217" w:type="dxa"/>
          </w:tcPr>
          <w:p w14:paraId="4DBD6EF1" w14:textId="77777777" w:rsidR="002C0FD9" w:rsidRPr="00CA25CF" w:rsidRDefault="002C0FD9" w:rsidP="00CA25CF">
            <w:pPr>
              <w:rPr>
                <w:rFonts w:cs="Arial"/>
                <w:color w:val="FF0000"/>
                <w:sz w:val="21"/>
                <w:szCs w:val="21"/>
              </w:rPr>
            </w:pPr>
          </w:p>
        </w:tc>
        <w:tc>
          <w:tcPr>
            <w:tcW w:w="217" w:type="dxa"/>
          </w:tcPr>
          <w:p w14:paraId="7755E897" w14:textId="77777777" w:rsidR="002C0FD9" w:rsidRPr="00CA25CF" w:rsidRDefault="002C0FD9" w:rsidP="00CA25CF">
            <w:pPr>
              <w:rPr>
                <w:rFonts w:cs="Arial"/>
                <w:color w:val="FF0000"/>
                <w:sz w:val="21"/>
                <w:szCs w:val="21"/>
              </w:rPr>
            </w:pPr>
          </w:p>
        </w:tc>
        <w:tc>
          <w:tcPr>
            <w:tcW w:w="217" w:type="dxa"/>
          </w:tcPr>
          <w:p w14:paraId="35C8EF47" w14:textId="77777777" w:rsidR="002C0FD9" w:rsidRPr="00CA25CF" w:rsidRDefault="002C0FD9" w:rsidP="00CA25CF">
            <w:pPr>
              <w:rPr>
                <w:rFonts w:cs="Arial"/>
                <w:color w:val="FF0000"/>
                <w:sz w:val="21"/>
                <w:szCs w:val="21"/>
              </w:rPr>
            </w:pPr>
          </w:p>
        </w:tc>
        <w:tc>
          <w:tcPr>
            <w:tcW w:w="217" w:type="dxa"/>
          </w:tcPr>
          <w:p w14:paraId="78904B62" w14:textId="77777777" w:rsidR="002C0FD9" w:rsidRPr="00CA25CF" w:rsidRDefault="002C0FD9" w:rsidP="00CA25CF">
            <w:pPr>
              <w:rPr>
                <w:rFonts w:cs="Arial"/>
                <w:color w:val="FF0000"/>
                <w:sz w:val="21"/>
                <w:szCs w:val="21"/>
              </w:rPr>
            </w:pPr>
          </w:p>
        </w:tc>
        <w:tc>
          <w:tcPr>
            <w:tcW w:w="217" w:type="dxa"/>
          </w:tcPr>
          <w:p w14:paraId="52A8F193" w14:textId="77777777" w:rsidR="002C0FD9" w:rsidRPr="00CA25CF" w:rsidRDefault="002C0FD9" w:rsidP="00CA25CF">
            <w:pPr>
              <w:rPr>
                <w:rFonts w:cs="Arial"/>
                <w:color w:val="FF0000"/>
                <w:sz w:val="21"/>
                <w:szCs w:val="21"/>
              </w:rPr>
            </w:pPr>
          </w:p>
        </w:tc>
        <w:tc>
          <w:tcPr>
            <w:tcW w:w="217" w:type="dxa"/>
          </w:tcPr>
          <w:p w14:paraId="364881B9" w14:textId="77777777" w:rsidR="002C0FD9" w:rsidRPr="00CA25CF" w:rsidRDefault="002C0FD9" w:rsidP="00CA25CF">
            <w:pPr>
              <w:rPr>
                <w:rFonts w:cs="Arial"/>
                <w:color w:val="FF0000"/>
                <w:sz w:val="21"/>
                <w:szCs w:val="21"/>
              </w:rPr>
            </w:pPr>
          </w:p>
        </w:tc>
        <w:tc>
          <w:tcPr>
            <w:tcW w:w="217" w:type="dxa"/>
          </w:tcPr>
          <w:p w14:paraId="16A57093" w14:textId="77777777" w:rsidR="002C0FD9" w:rsidRPr="00CA25CF" w:rsidRDefault="002C0FD9" w:rsidP="00CA25CF">
            <w:pPr>
              <w:rPr>
                <w:rFonts w:cs="Arial"/>
                <w:color w:val="FF0000"/>
                <w:sz w:val="21"/>
                <w:szCs w:val="21"/>
              </w:rPr>
            </w:pPr>
          </w:p>
        </w:tc>
        <w:tc>
          <w:tcPr>
            <w:tcW w:w="217" w:type="dxa"/>
          </w:tcPr>
          <w:p w14:paraId="63DC6D20" w14:textId="77777777" w:rsidR="002C0FD9" w:rsidRPr="00CA25CF" w:rsidRDefault="002C0FD9" w:rsidP="00CA25CF">
            <w:pPr>
              <w:rPr>
                <w:rFonts w:cs="Arial"/>
                <w:color w:val="FF0000"/>
                <w:sz w:val="21"/>
                <w:szCs w:val="21"/>
              </w:rPr>
            </w:pPr>
          </w:p>
        </w:tc>
        <w:tc>
          <w:tcPr>
            <w:tcW w:w="217" w:type="dxa"/>
          </w:tcPr>
          <w:p w14:paraId="1A534788" w14:textId="77777777" w:rsidR="002C0FD9" w:rsidRPr="00CA25CF" w:rsidRDefault="002C0FD9" w:rsidP="00CA25CF">
            <w:pPr>
              <w:rPr>
                <w:rFonts w:cs="Arial"/>
                <w:color w:val="FF0000"/>
                <w:sz w:val="21"/>
                <w:szCs w:val="21"/>
              </w:rPr>
            </w:pPr>
          </w:p>
        </w:tc>
        <w:tc>
          <w:tcPr>
            <w:tcW w:w="217" w:type="dxa"/>
          </w:tcPr>
          <w:p w14:paraId="07EBFD42" w14:textId="77777777" w:rsidR="002C0FD9" w:rsidRPr="00CA25CF" w:rsidRDefault="002C0FD9" w:rsidP="00CA25CF">
            <w:pPr>
              <w:rPr>
                <w:rFonts w:cs="Arial"/>
                <w:color w:val="FF0000"/>
                <w:sz w:val="21"/>
                <w:szCs w:val="21"/>
              </w:rPr>
            </w:pPr>
          </w:p>
        </w:tc>
        <w:tc>
          <w:tcPr>
            <w:tcW w:w="217" w:type="dxa"/>
          </w:tcPr>
          <w:p w14:paraId="035F8015" w14:textId="77777777" w:rsidR="002C0FD9" w:rsidRPr="00CA25CF" w:rsidRDefault="002C0FD9" w:rsidP="00CA25CF">
            <w:pPr>
              <w:rPr>
                <w:rFonts w:cs="Arial"/>
                <w:color w:val="FF0000"/>
                <w:sz w:val="21"/>
                <w:szCs w:val="21"/>
              </w:rPr>
            </w:pPr>
          </w:p>
        </w:tc>
        <w:tc>
          <w:tcPr>
            <w:tcW w:w="217" w:type="dxa"/>
          </w:tcPr>
          <w:p w14:paraId="01C15477" w14:textId="77777777" w:rsidR="002C0FD9" w:rsidRPr="00CA25CF" w:rsidRDefault="002C0FD9" w:rsidP="00CA25CF">
            <w:pPr>
              <w:rPr>
                <w:rFonts w:cs="Arial"/>
                <w:color w:val="FF0000"/>
                <w:sz w:val="21"/>
                <w:szCs w:val="21"/>
              </w:rPr>
            </w:pPr>
          </w:p>
        </w:tc>
        <w:tc>
          <w:tcPr>
            <w:tcW w:w="217" w:type="dxa"/>
          </w:tcPr>
          <w:p w14:paraId="70D1FA7F" w14:textId="77777777" w:rsidR="002C0FD9" w:rsidRPr="00CA25CF" w:rsidRDefault="002C0FD9" w:rsidP="00CA25CF">
            <w:pPr>
              <w:rPr>
                <w:rFonts w:cs="Arial"/>
                <w:color w:val="FF0000"/>
                <w:sz w:val="21"/>
                <w:szCs w:val="21"/>
              </w:rPr>
            </w:pPr>
          </w:p>
        </w:tc>
        <w:tc>
          <w:tcPr>
            <w:tcW w:w="217" w:type="dxa"/>
          </w:tcPr>
          <w:p w14:paraId="4283CCDB" w14:textId="77777777" w:rsidR="002C0FD9" w:rsidRPr="00CA25CF" w:rsidRDefault="002C0FD9" w:rsidP="00CA25CF">
            <w:pPr>
              <w:rPr>
                <w:rFonts w:cs="Arial"/>
                <w:color w:val="FF0000"/>
                <w:sz w:val="21"/>
                <w:szCs w:val="21"/>
              </w:rPr>
            </w:pPr>
          </w:p>
        </w:tc>
        <w:tc>
          <w:tcPr>
            <w:tcW w:w="217" w:type="dxa"/>
          </w:tcPr>
          <w:p w14:paraId="5556BB8F" w14:textId="77777777" w:rsidR="002C0FD9" w:rsidRPr="00CA25CF" w:rsidRDefault="002C0FD9" w:rsidP="00CA25CF">
            <w:pPr>
              <w:rPr>
                <w:rFonts w:cs="Arial"/>
                <w:color w:val="FF0000"/>
                <w:sz w:val="21"/>
                <w:szCs w:val="21"/>
              </w:rPr>
            </w:pPr>
          </w:p>
        </w:tc>
        <w:tc>
          <w:tcPr>
            <w:tcW w:w="217" w:type="dxa"/>
          </w:tcPr>
          <w:p w14:paraId="7B663A28" w14:textId="77777777" w:rsidR="002C0FD9" w:rsidRPr="00CA25CF" w:rsidRDefault="002C0FD9" w:rsidP="00CA25CF">
            <w:pPr>
              <w:rPr>
                <w:rFonts w:cs="Arial"/>
                <w:color w:val="FF0000"/>
                <w:sz w:val="21"/>
                <w:szCs w:val="21"/>
              </w:rPr>
            </w:pPr>
          </w:p>
        </w:tc>
        <w:tc>
          <w:tcPr>
            <w:tcW w:w="217" w:type="dxa"/>
          </w:tcPr>
          <w:p w14:paraId="1BD20F3D" w14:textId="77777777" w:rsidR="002C0FD9" w:rsidRPr="00CA25CF" w:rsidRDefault="002C0FD9" w:rsidP="00CA25CF">
            <w:pPr>
              <w:rPr>
                <w:rFonts w:cs="Arial"/>
                <w:color w:val="FF0000"/>
                <w:sz w:val="21"/>
                <w:szCs w:val="21"/>
              </w:rPr>
            </w:pPr>
          </w:p>
        </w:tc>
        <w:tc>
          <w:tcPr>
            <w:tcW w:w="217" w:type="dxa"/>
          </w:tcPr>
          <w:p w14:paraId="649F50A1" w14:textId="77777777" w:rsidR="002C0FD9" w:rsidRPr="00CA25CF" w:rsidRDefault="002C0FD9" w:rsidP="00CA25CF">
            <w:pPr>
              <w:rPr>
                <w:rFonts w:cs="Arial"/>
                <w:color w:val="FF0000"/>
                <w:sz w:val="21"/>
                <w:szCs w:val="21"/>
              </w:rPr>
            </w:pPr>
          </w:p>
        </w:tc>
        <w:tc>
          <w:tcPr>
            <w:tcW w:w="217" w:type="dxa"/>
          </w:tcPr>
          <w:p w14:paraId="4EE5168A" w14:textId="77777777" w:rsidR="002C0FD9" w:rsidRPr="00CA25CF" w:rsidRDefault="002C0FD9" w:rsidP="00CA25CF">
            <w:pPr>
              <w:rPr>
                <w:rFonts w:cs="Arial"/>
                <w:color w:val="FF0000"/>
                <w:sz w:val="21"/>
                <w:szCs w:val="21"/>
              </w:rPr>
            </w:pPr>
          </w:p>
        </w:tc>
        <w:tc>
          <w:tcPr>
            <w:tcW w:w="217" w:type="dxa"/>
          </w:tcPr>
          <w:p w14:paraId="459E951B" w14:textId="77777777" w:rsidR="002C0FD9" w:rsidRPr="00CA25CF" w:rsidRDefault="002C0FD9" w:rsidP="00CA25CF">
            <w:pPr>
              <w:rPr>
                <w:rFonts w:cs="Arial"/>
                <w:color w:val="FF0000"/>
                <w:sz w:val="21"/>
                <w:szCs w:val="21"/>
              </w:rPr>
            </w:pPr>
          </w:p>
        </w:tc>
        <w:tc>
          <w:tcPr>
            <w:tcW w:w="217" w:type="dxa"/>
          </w:tcPr>
          <w:p w14:paraId="6FCB1901" w14:textId="77777777" w:rsidR="002C0FD9" w:rsidRPr="00CA25CF" w:rsidRDefault="002C0FD9" w:rsidP="00CA25CF">
            <w:pPr>
              <w:rPr>
                <w:rFonts w:cs="Arial"/>
                <w:color w:val="FF0000"/>
                <w:sz w:val="21"/>
                <w:szCs w:val="21"/>
              </w:rPr>
            </w:pPr>
          </w:p>
        </w:tc>
        <w:tc>
          <w:tcPr>
            <w:tcW w:w="217" w:type="dxa"/>
          </w:tcPr>
          <w:p w14:paraId="5D8B204A" w14:textId="77777777" w:rsidR="002C0FD9" w:rsidRPr="00CA25CF" w:rsidRDefault="002C0FD9" w:rsidP="00CA25CF">
            <w:pPr>
              <w:rPr>
                <w:rFonts w:cs="Arial"/>
                <w:color w:val="FF0000"/>
                <w:sz w:val="21"/>
                <w:szCs w:val="21"/>
              </w:rPr>
            </w:pPr>
          </w:p>
        </w:tc>
        <w:tc>
          <w:tcPr>
            <w:tcW w:w="217" w:type="dxa"/>
          </w:tcPr>
          <w:p w14:paraId="3D62AA7F" w14:textId="77777777" w:rsidR="002C0FD9" w:rsidRPr="00CA25CF" w:rsidRDefault="002C0FD9" w:rsidP="00CA25CF">
            <w:pPr>
              <w:rPr>
                <w:rFonts w:cs="Arial"/>
                <w:color w:val="FF0000"/>
                <w:sz w:val="21"/>
                <w:szCs w:val="21"/>
              </w:rPr>
            </w:pPr>
          </w:p>
        </w:tc>
        <w:tc>
          <w:tcPr>
            <w:tcW w:w="217" w:type="dxa"/>
          </w:tcPr>
          <w:p w14:paraId="0D33AE65" w14:textId="77777777" w:rsidR="002C0FD9" w:rsidRPr="00CA25CF" w:rsidRDefault="002C0FD9" w:rsidP="00CA25CF">
            <w:pPr>
              <w:rPr>
                <w:rFonts w:cs="Arial"/>
                <w:color w:val="FF0000"/>
                <w:sz w:val="21"/>
                <w:szCs w:val="21"/>
              </w:rPr>
            </w:pPr>
          </w:p>
        </w:tc>
      </w:tr>
      <w:tr w:rsidR="002C0FD9" w:rsidRPr="00A16219" w14:paraId="72F725D2" w14:textId="77777777" w:rsidTr="002C0FD9">
        <w:trPr>
          <w:trHeight w:val="635"/>
        </w:trPr>
        <w:tc>
          <w:tcPr>
            <w:tcW w:w="515" w:type="dxa"/>
          </w:tcPr>
          <w:p w14:paraId="6D315CF6" w14:textId="77777777" w:rsidR="002C0FD9" w:rsidRPr="00CA25CF" w:rsidRDefault="002C0FD9" w:rsidP="00CA25CF">
            <w:pPr>
              <w:rPr>
                <w:rFonts w:cs="Arial"/>
                <w:color w:val="FF0000"/>
                <w:sz w:val="21"/>
                <w:szCs w:val="21"/>
              </w:rPr>
            </w:pPr>
          </w:p>
        </w:tc>
        <w:tc>
          <w:tcPr>
            <w:tcW w:w="217" w:type="dxa"/>
          </w:tcPr>
          <w:p w14:paraId="19C84BAC" w14:textId="77777777" w:rsidR="002C0FD9" w:rsidRPr="00CA25CF" w:rsidRDefault="002C0FD9" w:rsidP="00CA25CF">
            <w:pPr>
              <w:rPr>
                <w:rFonts w:cs="Arial"/>
                <w:color w:val="FF0000"/>
                <w:sz w:val="21"/>
                <w:szCs w:val="21"/>
              </w:rPr>
            </w:pPr>
          </w:p>
        </w:tc>
        <w:tc>
          <w:tcPr>
            <w:tcW w:w="217" w:type="dxa"/>
          </w:tcPr>
          <w:p w14:paraId="340BB42A" w14:textId="77777777" w:rsidR="002C0FD9" w:rsidRPr="00CA25CF" w:rsidRDefault="002C0FD9" w:rsidP="00CA25CF">
            <w:pPr>
              <w:rPr>
                <w:rFonts w:cs="Arial"/>
                <w:color w:val="FF0000"/>
                <w:sz w:val="21"/>
                <w:szCs w:val="21"/>
              </w:rPr>
            </w:pPr>
          </w:p>
        </w:tc>
        <w:tc>
          <w:tcPr>
            <w:tcW w:w="217" w:type="dxa"/>
          </w:tcPr>
          <w:p w14:paraId="400B8F51" w14:textId="77777777" w:rsidR="002C0FD9" w:rsidRPr="00CA25CF" w:rsidRDefault="002C0FD9" w:rsidP="00CA25CF">
            <w:pPr>
              <w:rPr>
                <w:rFonts w:cs="Arial"/>
                <w:color w:val="FF0000"/>
                <w:sz w:val="21"/>
                <w:szCs w:val="21"/>
              </w:rPr>
            </w:pPr>
          </w:p>
        </w:tc>
        <w:tc>
          <w:tcPr>
            <w:tcW w:w="217" w:type="dxa"/>
          </w:tcPr>
          <w:p w14:paraId="1685EB06" w14:textId="77777777" w:rsidR="002C0FD9" w:rsidRPr="00CA25CF" w:rsidRDefault="002C0FD9" w:rsidP="00CA25CF">
            <w:pPr>
              <w:rPr>
                <w:rFonts w:cs="Arial"/>
                <w:color w:val="FF0000"/>
                <w:sz w:val="21"/>
                <w:szCs w:val="21"/>
              </w:rPr>
            </w:pPr>
          </w:p>
        </w:tc>
        <w:tc>
          <w:tcPr>
            <w:tcW w:w="217" w:type="dxa"/>
          </w:tcPr>
          <w:p w14:paraId="2A95FB6E" w14:textId="77777777" w:rsidR="002C0FD9" w:rsidRPr="00CA25CF" w:rsidRDefault="002C0FD9" w:rsidP="00CA25CF">
            <w:pPr>
              <w:rPr>
                <w:rFonts w:cs="Arial"/>
                <w:color w:val="FF0000"/>
                <w:sz w:val="21"/>
                <w:szCs w:val="21"/>
              </w:rPr>
            </w:pPr>
          </w:p>
        </w:tc>
        <w:tc>
          <w:tcPr>
            <w:tcW w:w="217" w:type="dxa"/>
          </w:tcPr>
          <w:p w14:paraId="56DB71EB" w14:textId="77777777" w:rsidR="002C0FD9" w:rsidRPr="00CA25CF" w:rsidRDefault="002C0FD9" w:rsidP="00CA25CF">
            <w:pPr>
              <w:rPr>
                <w:rFonts w:cs="Arial"/>
                <w:color w:val="FF0000"/>
                <w:sz w:val="21"/>
                <w:szCs w:val="21"/>
              </w:rPr>
            </w:pPr>
          </w:p>
        </w:tc>
        <w:tc>
          <w:tcPr>
            <w:tcW w:w="217" w:type="dxa"/>
          </w:tcPr>
          <w:p w14:paraId="3BAE1EBC" w14:textId="77777777" w:rsidR="002C0FD9" w:rsidRPr="00CA25CF" w:rsidRDefault="002C0FD9" w:rsidP="00CA25CF">
            <w:pPr>
              <w:rPr>
                <w:rFonts w:cs="Arial"/>
                <w:color w:val="FF0000"/>
                <w:sz w:val="21"/>
                <w:szCs w:val="21"/>
              </w:rPr>
            </w:pPr>
          </w:p>
        </w:tc>
        <w:tc>
          <w:tcPr>
            <w:tcW w:w="217" w:type="dxa"/>
          </w:tcPr>
          <w:p w14:paraId="21DDEE63" w14:textId="77777777" w:rsidR="002C0FD9" w:rsidRPr="00CA25CF" w:rsidRDefault="002C0FD9" w:rsidP="00CA25CF">
            <w:pPr>
              <w:rPr>
                <w:rFonts w:cs="Arial"/>
                <w:color w:val="FF0000"/>
                <w:sz w:val="21"/>
                <w:szCs w:val="21"/>
              </w:rPr>
            </w:pPr>
          </w:p>
        </w:tc>
        <w:tc>
          <w:tcPr>
            <w:tcW w:w="217" w:type="dxa"/>
          </w:tcPr>
          <w:p w14:paraId="5A0F0881" w14:textId="77777777" w:rsidR="002C0FD9" w:rsidRPr="00CA25CF" w:rsidRDefault="002C0FD9" w:rsidP="00CA25CF">
            <w:pPr>
              <w:rPr>
                <w:rFonts w:cs="Arial"/>
                <w:color w:val="FF0000"/>
                <w:sz w:val="21"/>
                <w:szCs w:val="21"/>
              </w:rPr>
            </w:pPr>
          </w:p>
        </w:tc>
        <w:tc>
          <w:tcPr>
            <w:tcW w:w="217" w:type="dxa"/>
          </w:tcPr>
          <w:p w14:paraId="0DC63414" w14:textId="77777777" w:rsidR="002C0FD9" w:rsidRPr="00CA25CF" w:rsidRDefault="002C0FD9" w:rsidP="00CA25CF">
            <w:pPr>
              <w:rPr>
                <w:rFonts w:cs="Arial"/>
                <w:color w:val="FF0000"/>
                <w:sz w:val="21"/>
                <w:szCs w:val="21"/>
              </w:rPr>
            </w:pPr>
          </w:p>
        </w:tc>
        <w:tc>
          <w:tcPr>
            <w:tcW w:w="217" w:type="dxa"/>
          </w:tcPr>
          <w:p w14:paraId="07C8965F" w14:textId="77777777" w:rsidR="002C0FD9" w:rsidRPr="00CA25CF" w:rsidRDefault="002C0FD9" w:rsidP="00CA25CF">
            <w:pPr>
              <w:rPr>
                <w:rFonts w:cs="Arial"/>
                <w:color w:val="FF0000"/>
                <w:sz w:val="21"/>
                <w:szCs w:val="21"/>
              </w:rPr>
            </w:pPr>
          </w:p>
        </w:tc>
        <w:tc>
          <w:tcPr>
            <w:tcW w:w="217" w:type="dxa"/>
          </w:tcPr>
          <w:p w14:paraId="353D6958" w14:textId="77777777" w:rsidR="002C0FD9" w:rsidRPr="00CA25CF" w:rsidRDefault="002C0FD9" w:rsidP="00CA25CF">
            <w:pPr>
              <w:rPr>
                <w:rFonts w:cs="Arial"/>
                <w:color w:val="FF0000"/>
                <w:sz w:val="21"/>
                <w:szCs w:val="21"/>
              </w:rPr>
            </w:pPr>
          </w:p>
        </w:tc>
        <w:tc>
          <w:tcPr>
            <w:tcW w:w="217" w:type="dxa"/>
          </w:tcPr>
          <w:p w14:paraId="0FFF1C9A" w14:textId="77777777" w:rsidR="002C0FD9" w:rsidRPr="00CA25CF" w:rsidRDefault="002C0FD9" w:rsidP="00CA25CF">
            <w:pPr>
              <w:rPr>
                <w:rFonts w:cs="Arial"/>
                <w:color w:val="FF0000"/>
                <w:sz w:val="21"/>
                <w:szCs w:val="21"/>
              </w:rPr>
            </w:pPr>
          </w:p>
        </w:tc>
        <w:tc>
          <w:tcPr>
            <w:tcW w:w="217" w:type="dxa"/>
          </w:tcPr>
          <w:p w14:paraId="48F90C4C" w14:textId="77777777" w:rsidR="002C0FD9" w:rsidRPr="00CA25CF" w:rsidRDefault="002C0FD9" w:rsidP="00CA25CF">
            <w:pPr>
              <w:rPr>
                <w:rFonts w:cs="Arial"/>
                <w:color w:val="FF0000"/>
                <w:sz w:val="21"/>
                <w:szCs w:val="21"/>
              </w:rPr>
            </w:pPr>
          </w:p>
        </w:tc>
        <w:tc>
          <w:tcPr>
            <w:tcW w:w="217" w:type="dxa"/>
          </w:tcPr>
          <w:p w14:paraId="15599CF9" w14:textId="77777777" w:rsidR="002C0FD9" w:rsidRPr="00CA25CF" w:rsidRDefault="002C0FD9" w:rsidP="00CA25CF">
            <w:pPr>
              <w:rPr>
                <w:rFonts w:cs="Arial"/>
                <w:color w:val="FF0000"/>
                <w:sz w:val="21"/>
                <w:szCs w:val="21"/>
              </w:rPr>
            </w:pPr>
          </w:p>
        </w:tc>
        <w:tc>
          <w:tcPr>
            <w:tcW w:w="217" w:type="dxa"/>
          </w:tcPr>
          <w:p w14:paraId="29E7BC5F" w14:textId="77777777" w:rsidR="002C0FD9" w:rsidRPr="00CA25CF" w:rsidRDefault="002C0FD9" w:rsidP="00CA25CF">
            <w:pPr>
              <w:rPr>
                <w:rFonts w:cs="Arial"/>
                <w:color w:val="FF0000"/>
                <w:sz w:val="21"/>
                <w:szCs w:val="21"/>
              </w:rPr>
            </w:pPr>
          </w:p>
        </w:tc>
        <w:tc>
          <w:tcPr>
            <w:tcW w:w="217" w:type="dxa"/>
          </w:tcPr>
          <w:p w14:paraId="3A326007" w14:textId="77777777" w:rsidR="002C0FD9" w:rsidRPr="00CA25CF" w:rsidRDefault="002C0FD9" w:rsidP="00CA25CF">
            <w:pPr>
              <w:rPr>
                <w:rFonts w:cs="Arial"/>
                <w:color w:val="FF0000"/>
                <w:sz w:val="21"/>
                <w:szCs w:val="21"/>
              </w:rPr>
            </w:pPr>
          </w:p>
        </w:tc>
        <w:tc>
          <w:tcPr>
            <w:tcW w:w="217" w:type="dxa"/>
          </w:tcPr>
          <w:p w14:paraId="399ACC61" w14:textId="77777777" w:rsidR="002C0FD9" w:rsidRPr="00CA25CF" w:rsidRDefault="002C0FD9" w:rsidP="00CA25CF">
            <w:pPr>
              <w:rPr>
                <w:rFonts w:cs="Arial"/>
                <w:color w:val="FF0000"/>
                <w:sz w:val="21"/>
                <w:szCs w:val="21"/>
              </w:rPr>
            </w:pPr>
          </w:p>
        </w:tc>
        <w:tc>
          <w:tcPr>
            <w:tcW w:w="217" w:type="dxa"/>
          </w:tcPr>
          <w:p w14:paraId="029F64EE" w14:textId="77777777" w:rsidR="002C0FD9" w:rsidRPr="00CA25CF" w:rsidRDefault="002C0FD9" w:rsidP="00CA25CF">
            <w:pPr>
              <w:rPr>
                <w:rFonts w:cs="Arial"/>
                <w:color w:val="FF0000"/>
                <w:sz w:val="21"/>
                <w:szCs w:val="21"/>
              </w:rPr>
            </w:pPr>
          </w:p>
        </w:tc>
        <w:tc>
          <w:tcPr>
            <w:tcW w:w="217" w:type="dxa"/>
          </w:tcPr>
          <w:p w14:paraId="37EFC113" w14:textId="77777777" w:rsidR="002C0FD9" w:rsidRPr="00CA25CF" w:rsidRDefault="002C0FD9" w:rsidP="00CA25CF">
            <w:pPr>
              <w:rPr>
                <w:rFonts w:cs="Arial"/>
                <w:color w:val="FF0000"/>
                <w:sz w:val="21"/>
                <w:szCs w:val="21"/>
              </w:rPr>
            </w:pPr>
          </w:p>
        </w:tc>
        <w:tc>
          <w:tcPr>
            <w:tcW w:w="217" w:type="dxa"/>
          </w:tcPr>
          <w:p w14:paraId="03CEBBBE" w14:textId="77777777" w:rsidR="002C0FD9" w:rsidRPr="00CA25CF" w:rsidRDefault="002C0FD9" w:rsidP="00CA25CF">
            <w:pPr>
              <w:rPr>
                <w:rFonts w:cs="Arial"/>
                <w:color w:val="FF0000"/>
                <w:sz w:val="21"/>
                <w:szCs w:val="21"/>
              </w:rPr>
            </w:pPr>
          </w:p>
        </w:tc>
        <w:tc>
          <w:tcPr>
            <w:tcW w:w="217" w:type="dxa"/>
          </w:tcPr>
          <w:p w14:paraId="2D05173B" w14:textId="77777777" w:rsidR="002C0FD9" w:rsidRPr="00CA25CF" w:rsidRDefault="002C0FD9" w:rsidP="00CA25CF">
            <w:pPr>
              <w:rPr>
                <w:rFonts w:cs="Arial"/>
                <w:color w:val="FF0000"/>
                <w:sz w:val="21"/>
                <w:szCs w:val="21"/>
              </w:rPr>
            </w:pPr>
          </w:p>
        </w:tc>
        <w:tc>
          <w:tcPr>
            <w:tcW w:w="217" w:type="dxa"/>
          </w:tcPr>
          <w:p w14:paraId="3758F68B" w14:textId="77777777" w:rsidR="002C0FD9" w:rsidRPr="00CA25CF" w:rsidRDefault="002C0FD9" w:rsidP="00CA25CF">
            <w:pPr>
              <w:rPr>
                <w:rFonts w:cs="Arial"/>
                <w:color w:val="FF0000"/>
                <w:sz w:val="21"/>
                <w:szCs w:val="21"/>
              </w:rPr>
            </w:pPr>
          </w:p>
        </w:tc>
        <w:tc>
          <w:tcPr>
            <w:tcW w:w="217" w:type="dxa"/>
          </w:tcPr>
          <w:p w14:paraId="6AF7109B" w14:textId="77777777" w:rsidR="002C0FD9" w:rsidRPr="00CA25CF" w:rsidRDefault="002C0FD9" w:rsidP="00CA25CF">
            <w:pPr>
              <w:rPr>
                <w:rFonts w:cs="Arial"/>
                <w:color w:val="FF0000"/>
                <w:sz w:val="21"/>
                <w:szCs w:val="21"/>
              </w:rPr>
            </w:pPr>
          </w:p>
        </w:tc>
        <w:tc>
          <w:tcPr>
            <w:tcW w:w="217" w:type="dxa"/>
          </w:tcPr>
          <w:p w14:paraId="2344E98B" w14:textId="77777777" w:rsidR="002C0FD9" w:rsidRPr="00CA25CF" w:rsidRDefault="002C0FD9" w:rsidP="00CA25CF">
            <w:pPr>
              <w:rPr>
                <w:rFonts w:cs="Arial"/>
                <w:color w:val="FF0000"/>
                <w:sz w:val="21"/>
                <w:szCs w:val="21"/>
              </w:rPr>
            </w:pPr>
          </w:p>
        </w:tc>
        <w:tc>
          <w:tcPr>
            <w:tcW w:w="217" w:type="dxa"/>
          </w:tcPr>
          <w:p w14:paraId="25C04E3E" w14:textId="77777777" w:rsidR="002C0FD9" w:rsidRPr="00CA25CF" w:rsidRDefault="002C0FD9" w:rsidP="00CA25CF">
            <w:pPr>
              <w:rPr>
                <w:rFonts w:cs="Arial"/>
                <w:color w:val="FF0000"/>
                <w:sz w:val="21"/>
                <w:szCs w:val="21"/>
              </w:rPr>
            </w:pPr>
          </w:p>
        </w:tc>
        <w:tc>
          <w:tcPr>
            <w:tcW w:w="217" w:type="dxa"/>
          </w:tcPr>
          <w:p w14:paraId="5D8664B5" w14:textId="77777777" w:rsidR="002C0FD9" w:rsidRPr="00CA25CF" w:rsidRDefault="002C0FD9" w:rsidP="00CA25CF">
            <w:pPr>
              <w:rPr>
                <w:rFonts w:cs="Arial"/>
                <w:color w:val="FF0000"/>
                <w:sz w:val="21"/>
                <w:szCs w:val="21"/>
              </w:rPr>
            </w:pPr>
          </w:p>
        </w:tc>
        <w:tc>
          <w:tcPr>
            <w:tcW w:w="217" w:type="dxa"/>
          </w:tcPr>
          <w:p w14:paraId="07D258D6" w14:textId="77777777" w:rsidR="002C0FD9" w:rsidRPr="00CA25CF" w:rsidRDefault="002C0FD9" w:rsidP="00CA25CF">
            <w:pPr>
              <w:rPr>
                <w:rFonts w:cs="Arial"/>
                <w:color w:val="FF0000"/>
                <w:sz w:val="21"/>
                <w:szCs w:val="21"/>
              </w:rPr>
            </w:pPr>
          </w:p>
        </w:tc>
        <w:tc>
          <w:tcPr>
            <w:tcW w:w="217" w:type="dxa"/>
          </w:tcPr>
          <w:p w14:paraId="2BA6BE7E" w14:textId="77777777" w:rsidR="002C0FD9" w:rsidRPr="00CA25CF" w:rsidRDefault="002C0FD9" w:rsidP="00CA25CF">
            <w:pPr>
              <w:rPr>
                <w:rFonts w:cs="Arial"/>
                <w:color w:val="FF0000"/>
                <w:sz w:val="21"/>
                <w:szCs w:val="21"/>
              </w:rPr>
            </w:pPr>
          </w:p>
        </w:tc>
        <w:tc>
          <w:tcPr>
            <w:tcW w:w="217" w:type="dxa"/>
          </w:tcPr>
          <w:p w14:paraId="36E6BCD1" w14:textId="77777777" w:rsidR="002C0FD9" w:rsidRPr="00CA25CF" w:rsidRDefault="002C0FD9" w:rsidP="00CA25CF">
            <w:pPr>
              <w:rPr>
                <w:rFonts w:cs="Arial"/>
                <w:color w:val="FF0000"/>
                <w:sz w:val="21"/>
                <w:szCs w:val="21"/>
              </w:rPr>
            </w:pPr>
          </w:p>
        </w:tc>
        <w:tc>
          <w:tcPr>
            <w:tcW w:w="217" w:type="dxa"/>
          </w:tcPr>
          <w:p w14:paraId="4CE67DFC" w14:textId="77777777" w:rsidR="002C0FD9" w:rsidRPr="00CA25CF" w:rsidRDefault="002C0FD9" w:rsidP="00CA25CF">
            <w:pPr>
              <w:rPr>
                <w:rFonts w:cs="Arial"/>
                <w:color w:val="FF0000"/>
                <w:sz w:val="21"/>
                <w:szCs w:val="21"/>
              </w:rPr>
            </w:pPr>
          </w:p>
        </w:tc>
        <w:tc>
          <w:tcPr>
            <w:tcW w:w="217" w:type="dxa"/>
          </w:tcPr>
          <w:p w14:paraId="417C0124" w14:textId="77777777" w:rsidR="002C0FD9" w:rsidRPr="00CA25CF" w:rsidRDefault="002C0FD9" w:rsidP="00CA25CF">
            <w:pPr>
              <w:rPr>
                <w:rFonts w:cs="Arial"/>
                <w:color w:val="FF0000"/>
                <w:sz w:val="21"/>
                <w:szCs w:val="21"/>
              </w:rPr>
            </w:pPr>
          </w:p>
        </w:tc>
        <w:tc>
          <w:tcPr>
            <w:tcW w:w="217" w:type="dxa"/>
          </w:tcPr>
          <w:p w14:paraId="4D449EB0" w14:textId="77777777" w:rsidR="002C0FD9" w:rsidRPr="00CA25CF" w:rsidRDefault="002C0FD9" w:rsidP="00CA25CF">
            <w:pPr>
              <w:rPr>
                <w:rFonts w:cs="Arial"/>
                <w:color w:val="FF0000"/>
                <w:sz w:val="21"/>
                <w:szCs w:val="21"/>
              </w:rPr>
            </w:pPr>
          </w:p>
        </w:tc>
        <w:tc>
          <w:tcPr>
            <w:tcW w:w="217" w:type="dxa"/>
          </w:tcPr>
          <w:p w14:paraId="5C88B342" w14:textId="77777777" w:rsidR="002C0FD9" w:rsidRPr="00CA25CF" w:rsidRDefault="002C0FD9" w:rsidP="00CA25CF">
            <w:pPr>
              <w:rPr>
                <w:rFonts w:cs="Arial"/>
                <w:color w:val="FF0000"/>
                <w:sz w:val="21"/>
                <w:szCs w:val="21"/>
              </w:rPr>
            </w:pPr>
          </w:p>
        </w:tc>
        <w:tc>
          <w:tcPr>
            <w:tcW w:w="217" w:type="dxa"/>
          </w:tcPr>
          <w:p w14:paraId="0351C558" w14:textId="77777777" w:rsidR="002C0FD9" w:rsidRPr="00CA25CF" w:rsidRDefault="002C0FD9" w:rsidP="00CA25CF">
            <w:pPr>
              <w:rPr>
                <w:rFonts w:cs="Arial"/>
                <w:color w:val="FF0000"/>
                <w:sz w:val="21"/>
                <w:szCs w:val="21"/>
              </w:rPr>
            </w:pPr>
          </w:p>
        </w:tc>
        <w:tc>
          <w:tcPr>
            <w:tcW w:w="217" w:type="dxa"/>
          </w:tcPr>
          <w:p w14:paraId="730C76B1" w14:textId="77777777" w:rsidR="002C0FD9" w:rsidRPr="00CA25CF" w:rsidRDefault="002C0FD9" w:rsidP="00CA25CF">
            <w:pPr>
              <w:rPr>
                <w:rFonts w:cs="Arial"/>
                <w:color w:val="FF0000"/>
                <w:sz w:val="21"/>
                <w:szCs w:val="21"/>
              </w:rPr>
            </w:pPr>
          </w:p>
        </w:tc>
        <w:tc>
          <w:tcPr>
            <w:tcW w:w="217" w:type="dxa"/>
          </w:tcPr>
          <w:p w14:paraId="40324735" w14:textId="77777777" w:rsidR="002C0FD9" w:rsidRPr="00CA25CF" w:rsidRDefault="002C0FD9" w:rsidP="00CA25CF">
            <w:pPr>
              <w:rPr>
                <w:rFonts w:cs="Arial"/>
                <w:color w:val="FF0000"/>
                <w:sz w:val="21"/>
                <w:szCs w:val="21"/>
              </w:rPr>
            </w:pPr>
          </w:p>
        </w:tc>
        <w:tc>
          <w:tcPr>
            <w:tcW w:w="217" w:type="dxa"/>
          </w:tcPr>
          <w:p w14:paraId="63E2A407" w14:textId="77777777" w:rsidR="002C0FD9" w:rsidRPr="00CA25CF" w:rsidRDefault="002C0FD9" w:rsidP="00CA25CF">
            <w:pPr>
              <w:rPr>
                <w:rFonts w:cs="Arial"/>
                <w:color w:val="FF0000"/>
                <w:sz w:val="21"/>
                <w:szCs w:val="21"/>
              </w:rPr>
            </w:pPr>
          </w:p>
        </w:tc>
        <w:tc>
          <w:tcPr>
            <w:tcW w:w="217" w:type="dxa"/>
          </w:tcPr>
          <w:p w14:paraId="08BB9057" w14:textId="77777777" w:rsidR="002C0FD9" w:rsidRPr="00CA25CF" w:rsidRDefault="002C0FD9" w:rsidP="00CA25CF">
            <w:pPr>
              <w:rPr>
                <w:rFonts w:cs="Arial"/>
                <w:color w:val="FF0000"/>
                <w:sz w:val="21"/>
                <w:szCs w:val="21"/>
              </w:rPr>
            </w:pPr>
          </w:p>
        </w:tc>
        <w:tc>
          <w:tcPr>
            <w:tcW w:w="217" w:type="dxa"/>
          </w:tcPr>
          <w:p w14:paraId="1E9D0D62" w14:textId="77777777" w:rsidR="002C0FD9" w:rsidRPr="00CA25CF" w:rsidRDefault="002C0FD9" w:rsidP="00CA25CF">
            <w:pPr>
              <w:rPr>
                <w:rFonts w:cs="Arial"/>
                <w:color w:val="FF0000"/>
                <w:sz w:val="21"/>
                <w:szCs w:val="21"/>
              </w:rPr>
            </w:pPr>
          </w:p>
        </w:tc>
        <w:tc>
          <w:tcPr>
            <w:tcW w:w="217" w:type="dxa"/>
          </w:tcPr>
          <w:p w14:paraId="0A172FC9" w14:textId="77777777" w:rsidR="002C0FD9" w:rsidRPr="00CA25CF" w:rsidRDefault="002C0FD9" w:rsidP="00CA25CF">
            <w:pPr>
              <w:rPr>
                <w:rFonts w:cs="Arial"/>
                <w:color w:val="FF0000"/>
                <w:sz w:val="21"/>
                <w:szCs w:val="21"/>
              </w:rPr>
            </w:pPr>
          </w:p>
        </w:tc>
        <w:tc>
          <w:tcPr>
            <w:tcW w:w="217" w:type="dxa"/>
          </w:tcPr>
          <w:p w14:paraId="3690FAED" w14:textId="77777777" w:rsidR="002C0FD9" w:rsidRPr="00CA25CF" w:rsidRDefault="002C0FD9" w:rsidP="00CA25CF">
            <w:pPr>
              <w:rPr>
                <w:rFonts w:cs="Arial"/>
                <w:color w:val="FF0000"/>
                <w:sz w:val="21"/>
                <w:szCs w:val="21"/>
              </w:rPr>
            </w:pPr>
          </w:p>
        </w:tc>
      </w:tr>
      <w:tr w:rsidR="002C0FD9" w:rsidRPr="00A16219" w14:paraId="1D414D4D" w14:textId="77777777" w:rsidTr="002C0FD9">
        <w:trPr>
          <w:trHeight w:val="635"/>
        </w:trPr>
        <w:tc>
          <w:tcPr>
            <w:tcW w:w="515" w:type="dxa"/>
          </w:tcPr>
          <w:p w14:paraId="0E72CD52" w14:textId="77777777" w:rsidR="002C0FD9" w:rsidRPr="00CA25CF" w:rsidRDefault="002C0FD9" w:rsidP="00CA25CF">
            <w:pPr>
              <w:rPr>
                <w:rFonts w:cs="Arial"/>
                <w:color w:val="FF0000"/>
                <w:sz w:val="21"/>
                <w:szCs w:val="21"/>
              </w:rPr>
            </w:pPr>
          </w:p>
        </w:tc>
        <w:tc>
          <w:tcPr>
            <w:tcW w:w="217" w:type="dxa"/>
          </w:tcPr>
          <w:p w14:paraId="653B8925" w14:textId="77777777" w:rsidR="002C0FD9" w:rsidRPr="00CA25CF" w:rsidRDefault="002C0FD9" w:rsidP="00CA25CF">
            <w:pPr>
              <w:rPr>
                <w:rFonts w:cs="Arial"/>
                <w:color w:val="FF0000"/>
                <w:sz w:val="21"/>
                <w:szCs w:val="21"/>
              </w:rPr>
            </w:pPr>
          </w:p>
        </w:tc>
        <w:tc>
          <w:tcPr>
            <w:tcW w:w="217" w:type="dxa"/>
          </w:tcPr>
          <w:p w14:paraId="38093FC9" w14:textId="77777777" w:rsidR="002C0FD9" w:rsidRPr="00CA25CF" w:rsidRDefault="002C0FD9" w:rsidP="00CA25CF">
            <w:pPr>
              <w:rPr>
                <w:rFonts w:cs="Arial"/>
                <w:color w:val="FF0000"/>
                <w:sz w:val="21"/>
                <w:szCs w:val="21"/>
              </w:rPr>
            </w:pPr>
          </w:p>
        </w:tc>
        <w:tc>
          <w:tcPr>
            <w:tcW w:w="217" w:type="dxa"/>
          </w:tcPr>
          <w:p w14:paraId="55E0D8B6" w14:textId="77777777" w:rsidR="002C0FD9" w:rsidRPr="00CA25CF" w:rsidRDefault="002C0FD9" w:rsidP="00CA25CF">
            <w:pPr>
              <w:rPr>
                <w:rFonts w:cs="Arial"/>
                <w:color w:val="FF0000"/>
                <w:sz w:val="21"/>
                <w:szCs w:val="21"/>
              </w:rPr>
            </w:pPr>
          </w:p>
        </w:tc>
        <w:tc>
          <w:tcPr>
            <w:tcW w:w="217" w:type="dxa"/>
          </w:tcPr>
          <w:p w14:paraId="2DE69E07" w14:textId="77777777" w:rsidR="002C0FD9" w:rsidRPr="00CA25CF" w:rsidRDefault="002C0FD9" w:rsidP="00CA25CF">
            <w:pPr>
              <w:rPr>
                <w:rFonts w:cs="Arial"/>
                <w:color w:val="FF0000"/>
                <w:sz w:val="21"/>
                <w:szCs w:val="21"/>
              </w:rPr>
            </w:pPr>
          </w:p>
        </w:tc>
        <w:tc>
          <w:tcPr>
            <w:tcW w:w="217" w:type="dxa"/>
          </w:tcPr>
          <w:p w14:paraId="03493934" w14:textId="77777777" w:rsidR="002C0FD9" w:rsidRPr="00CA25CF" w:rsidRDefault="002C0FD9" w:rsidP="00CA25CF">
            <w:pPr>
              <w:rPr>
                <w:rFonts w:cs="Arial"/>
                <w:color w:val="FF0000"/>
                <w:sz w:val="21"/>
                <w:szCs w:val="21"/>
              </w:rPr>
            </w:pPr>
          </w:p>
        </w:tc>
        <w:tc>
          <w:tcPr>
            <w:tcW w:w="217" w:type="dxa"/>
          </w:tcPr>
          <w:p w14:paraId="2B243E62" w14:textId="77777777" w:rsidR="002C0FD9" w:rsidRPr="00CA25CF" w:rsidRDefault="002C0FD9" w:rsidP="00CA25CF">
            <w:pPr>
              <w:rPr>
                <w:rFonts w:cs="Arial"/>
                <w:color w:val="FF0000"/>
                <w:sz w:val="21"/>
                <w:szCs w:val="21"/>
              </w:rPr>
            </w:pPr>
          </w:p>
        </w:tc>
        <w:tc>
          <w:tcPr>
            <w:tcW w:w="217" w:type="dxa"/>
          </w:tcPr>
          <w:p w14:paraId="2879FBD0" w14:textId="77777777" w:rsidR="002C0FD9" w:rsidRPr="00CA25CF" w:rsidRDefault="002C0FD9" w:rsidP="00CA25CF">
            <w:pPr>
              <w:rPr>
                <w:rFonts w:cs="Arial"/>
                <w:color w:val="FF0000"/>
                <w:sz w:val="21"/>
                <w:szCs w:val="21"/>
              </w:rPr>
            </w:pPr>
          </w:p>
        </w:tc>
        <w:tc>
          <w:tcPr>
            <w:tcW w:w="217" w:type="dxa"/>
          </w:tcPr>
          <w:p w14:paraId="6ABE2C9B" w14:textId="77777777" w:rsidR="002C0FD9" w:rsidRPr="00CA25CF" w:rsidRDefault="002C0FD9" w:rsidP="00CA25CF">
            <w:pPr>
              <w:rPr>
                <w:rFonts w:cs="Arial"/>
                <w:color w:val="FF0000"/>
                <w:sz w:val="21"/>
                <w:szCs w:val="21"/>
              </w:rPr>
            </w:pPr>
          </w:p>
        </w:tc>
        <w:tc>
          <w:tcPr>
            <w:tcW w:w="217" w:type="dxa"/>
          </w:tcPr>
          <w:p w14:paraId="1CC2328B" w14:textId="77777777" w:rsidR="002C0FD9" w:rsidRPr="00CA25CF" w:rsidRDefault="002C0FD9" w:rsidP="00CA25CF">
            <w:pPr>
              <w:rPr>
                <w:rFonts w:cs="Arial"/>
                <w:color w:val="FF0000"/>
                <w:sz w:val="21"/>
                <w:szCs w:val="21"/>
              </w:rPr>
            </w:pPr>
          </w:p>
        </w:tc>
        <w:tc>
          <w:tcPr>
            <w:tcW w:w="217" w:type="dxa"/>
          </w:tcPr>
          <w:p w14:paraId="6119B81D" w14:textId="77777777" w:rsidR="002C0FD9" w:rsidRPr="00CA25CF" w:rsidRDefault="002C0FD9" w:rsidP="00CA25CF">
            <w:pPr>
              <w:rPr>
                <w:rFonts w:cs="Arial"/>
                <w:color w:val="FF0000"/>
                <w:sz w:val="21"/>
                <w:szCs w:val="21"/>
              </w:rPr>
            </w:pPr>
          </w:p>
        </w:tc>
        <w:tc>
          <w:tcPr>
            <w:tcW w:w="217" w:type="dxa"/>
          </w:tcPr>
          <w:p w14:paraId="32B92486" w14:textId="77777777" w:rsidR="002C0FD9" w:rsidRPr="00CA25CF" w:rsidRDefault="002C0FD9" w:rsidP="00CA25CF">
            <w:pPr>
              <w:rPr>
                <w:rFonts w:cs="Arial"/>
                <w:color w:val="FF0000"/>
                <w:sz w:val="21"/>
                <w:szCs w:val="21"/>
              </w:rPr>
            </w:pPr>
          </w:p>
        </w:tc>
        <w:tc>
          <w:tcPr>
            <w:tcW w:w="217" w:type="dxa"/>
          </w:tcPr>
          <w:p w14:paraId="03BB096B" w14:textId="77777777" w:rsidR="002C0FD9" w:rsidRPr="00CA25CF" w:rsidRDefault="002C0FD9" w:rsidP="00CA25CF">
            <w:pPr>
              <w:rPr>
                <w:rFonts w:cs="Arial"/>
                <w:color w:val="FF0000"/>
                <w:sz w:val="21"/>
                <w:szCs w:val="21"/>
              </w:rPr>
            </w:pPr>
          </w:p>
        </w:tc>
        <w:tc>
          <w:tcPr>
            <w:tcW w:w="217" w:type="dxa"/>
          </w:tcPr>
          <w:p w14:paraId="3964EE17" w14:textId="77777777" w:rsidR="002C0FD9" w:rsidRPr="00CA25CF" w:rsidRDefault="002C0FD9" w:rsidP="00CA25CF">
            <w:pPr>
              <w:rPr>
                <w:rFonts w:cs="Arial"/>
                <w:color w:val="FF0000"/>
                <w:sz w:val="21"/>
                <w:szCs w:val="21"/>
              </w:rPr>
            </w:pPr>
          </w:p>
        </w:tc>
        <w:tc>
          <w:tcPr>
            <w:tcW w:w="217" w:type="dxa"/>
          </w:tcPr>
          <w:p w14:paraId="700EC63D" w14:textId="77777777" w:rsidR="002C0FD9" w:rsidRPr="00CA25CF" w:rsidRDefault="002C0FD9" w:rsidP="00CA25CF">
            <w:pPr>
              <w:rPr>
                <w:rFonts w:cs="Arial"/>
                <w:color w:val="FF0000"/>
                <w:sz w:val="21"/>
                <w:szCs w:val="21"/>
              </w:rPr>
            </w:pPr>
          </w:p>
        </w:tc>
        <w:tc>
          <w:tcPr>
            <w:tcW w:w="217" w:type="dxa"/>
          </w:tcPr>
          <w:p w14:paraId="01D802DB" w14:textId="77777777" w:rsidR="002C0FD9" w:rsidRPr="00CA25CF" w:rsidRDefault="002C0FD9" w:rsidP="00CA25CF">
            <w:pPr>
              <w:rPr>
                <w:rFonts w:cs="Arial"/>
                <w:color w:val="FF0000"/>
                <w:sz w:val="21"/>
                <w:szCs w:val="21"/>
              </w:rPr>
            </w:pPr>
          </w:p>
        </w:tc>
        <w:tc>
          <w:tcPr>
            <w:tcW w:w="217" w:type="dxa"/>
          </w:tcPr>
          <w:p w14:paraId="56F2463A" w14:textId="77777777" w:rsidR="002C0FD9" w:rsidRPr="00CA25CF" w:rsidRDefault="002C0FD9" w:rsidP="00CA25CF">
            <w:pPr>
              <w:rPr>
                <w:rFonts w:cs="Arial"/>
                <w:color w:val="FF0000"/>
                <w:sz w:val="21"/>
                <w:szCs w:val="21"/>
              </w:rPr>
            </w:pPr>
          </w:p>
        </w:tc>
        <w:tc>
          <w:tcPr>
            <w:tcW w:w="217" w:type="dxa"/>
          </w:tcPr>
          <w:p w14:paraId="277D0188" w14:textId="77777777" w:rsidR="002C0FD9" w:rsidRPr="00CA25CF" w:rsidRDefault="002C0FD9" w:rsidP="00CA25CF">
            <w:pPr>
              <w:rPr>
                <w:rFonts w:cs="Arial"/>
                <w:color w:val="FF0000"/>
                <w:sz w:val="21"/>
                <w:szCs w:val="21"/>
              </w:rPr>
            </w:pPr>
          </w:p>
        </w:tc>
        <w:tc>
          <w:tcPr>
            <w:tcW w:w="217" w:type="dxa"/>
          </w:tcPr>
          <w:p w14:paraId="01B07C73" w14:textId="77777777" w:rsidR="002C0FD9" w:rsidRPr="00CA25CF" w:rsidRDefault="002C0FD9" w:rsidP="00CA25CF">
            <w:pPr>
              <w:rPr>
                <w:rFonts w:cs="Arial"/>
                <w:color w:val="FF0000"/>
                <w:sz w:val="21"/>
                <w:szCs w:val="21"/>
              </w:rPr>
            </w:pPr>
          </w:p>
        </w:tc>
        <w:tc>
          <w:tcPr>
            <w:tcW w:w="217" w:type="dxa"/>
          </w:tcPr>
          <w:p w14:paraId="6AA30A89" w14:textId="77777777" w:rsidR="002C0FD9" w:rsidRPr="00CA25CF" w:rsidRDefault="002C0FD9" w:rsidP="00CA25CF">
            <w:pPr>
              <w:rPr>
                <w:rFonts w:cs="Arial"/>
                <w:color w:val="FF0000"/>
                <w:sz w:val="21"/>
                <w:szCs w:val="21"/>
              </w:rPr>
            </w:pPr>
          </w:p>
        </w:tc>
        <w:tc>
          <w:tcPr>
            <w:tcW w:w="217" w:type="dxa"/>
          </w:tcPr>
          <w:p w14:paraId="0BD823E9" w14:textId="77777777" w:rsidR="002C0FD9" w:rsidRPr="00CA25CF" w:rsidRDefault="002C0FD9" w:rsidP="00CA25CF">
            <w:pPr>
              <w:rPr>
                <w:rFonts w:cs="Arial"/>
                <w:color w:val="FF0000"/>
                <w:sz w:val="21"/>
                <w:szCs w:val="21"/>
              </w:rPr>
            </w:pPr>
          </w:p>
        </w:tc>
        <w:tc>
          <w:tcPr>
            <w:tcW w:w="217" w:type="dxa"/>
          </w:tcPr>
          <w:p w14:paraId="7DE6489B" w14:textId="77777777" w:rsidR="002C0FD9" w:rsidRPr="00CA25CF" w:rsidRDefault="002C0FD9" w:rsidP="00CA25CF">
            <w:pPr>
              <w:rPr>
                <w:rFonts w:cs="Arial"/>
                <w:color w:val="FF0000"/>
                <w:sz w:val="21"/>
                <w:szCs w:val="21"/>
              </w:rPr>
            </w:pPr>
          </w:p>
        </w:tc>
        <w:tc>
          <w:tcPr>
            <w:tcW w:w="217" w:type="dxa"/>
          </w:tcPr>
          <w:p w14:paraId="067C4D89" w14:textId="77777777" w:rsidR="002C0FD9" w:rsidRPr="00CA25CF" w:rsidRDefault="002C0FD9" w:rsidP="00CA25CF">
            <w:pPr>
              <w:rPr>
                <w:rFonts w:cs="Arial"/>
                <w:color w:val="FF0000"/>
                <w:sz w:val="21"/>
                <w:szCs w:val="21"/>
              </w:rPr>
            </w:pPr>
          </w:p>
        </w:tc>
        <w:tc>
          <w:tcPr>
            <w:tcW w:w="217" w:type="dxa"/>
          </w:tcPr>
          <w:p w14:paraId="69B7318C" w14:textId="77777777" w:rsidR="002C0FD9" w:rsidRPr="00CA25CF" w:rsidRDefault="002C0FD9" w:rsidP="00CA25CF">
            <w:pPr>
              <w:rPr>
                <w:rFonts w:cs="Arial"/>
                <w:color w:val="FF0000"/>
                <w:sz w:val="21"/>
                <w:szCs w:val="21"/>
              </w:rPr>
            </w:pPr>
          </w:p>
        </w:tc>
        <w:tc>
          <w:tcPr>
            <w:tcW w:w="217" w:type="dxa"/>
          </w:tcPr>
          <w:p w14:paraId="33F4AB37" w14:textId="77777777" w:rsidR="002C0FD9" w:rsidRPr="00CA25CF" w:rsidRDefault="002C0FD9" w:rsidP="00CA25CF">
            <w:pPr>
              <w:rPr>
                <w:rFonts w:cs="Arial"/>
                <w:color w:val="FF0000"/>
                <w:sz w:val="21"/>
                <w:szCs w:val="21"/>
              </w:rPr>
            </w:pPr>
          </w:p>
        </w:tc>
        <w:tc>
          <w:tcPr>
            <w:tcW w:w="217" w:type="dxa"/>
          </w:tcPr>
          <w:p w14:paraId="4C593146" w14:textId="77777777" w:rsidR="002C0FD9" w:rsidRPr="00CA25CF" w:rsidRDefault="002C0FD9" w:rsidP="00CA25CF">
            <w:pPr>
              <w:rPr>
                <w:rFonts w:cs="Arial"/>
                <w:color w:val="FF0000"/>
                <w:sz w:val="21"/>
                <w:szCs w:val="21"/>
              </w:rPr>
            </w:pPr>
          </w:p>
        </w:tc>
        <w:tc>
          <w:tcPr>
            <w:tcW w:w="217" w:type="dxa"/>
          </w:tcPr>
          <w:p w14:paraId="14C43189" w14:textId="77777777" w:rsidR="002C0FD9" w:rsidRPr="00CA25CF" w:rsidRDefault="002C0FD9" w:rsidP="00CA25CF">
            <w:pPr>
              <w:rPr>
                <w:rFonts w:cs="Arial"/>
                <w:color w:val="FF0000"/>
                <w:sz w:val="21"/>
                <w:szCs w:val="21"/>
              </w:rPr>
            </w:pPr>
          </w:p>
        </w:tc>
        <w:tc>
          <w:tcPr>
            <w:tcW w:w="217" w:type="dxa"/>
          </w:tcPr>
          <w:p w14:paraId="45AD05D9" w14:textId="77777777" w:rsidR="002C0FD9" w:rsidRPr="00CA25CF" w:rsidRDefault="002C0FD9" w:rsidP="00CA25CF">
            <w:pPr>
              <w:rPr>
                <w:rFonts w:cs="Arial"/>
                <w:color w:val="FF0000"/>
                <w:sz w:val="21"/>
                <w:szCs w:val="21"/>
              </w:rPr>
            </w:pPr>
          </w:p>
        </w:tc>
        <w:tc>
          <w:tcPr>
            <w:tcW w:w="217" w:type="dxa"/>
          </w:tcPr>
          <w:p w14:paraId="19C62EB3" w14:textId="77777777" w:rsidR="002C0FD9" w:rsidRPr="00CA25CF" w:rsidRDefault="002C0FD9" w:rsidP="00CA25CF">
            <w:pPr>
              <w:rPr>
                <w:rFonts w:cs="Arial"/>
                <w:color w:val="FF0000"/>
                <w:sz w:val="21"/>
                <w:szCs w:val="21"/>
              </w:rPr>
            </w:pPr>
          </w:p>
        </w:tc>
        <w:tc>
          <w:tcPr>
            <w:tcW w:w="217" w:type="dxa"/>
          </w:tcPr>
          <w:p w14:paraId="62FA4CD6" w14:textId="77777777" w:rsidR="002C0FD9" w:rsidRPr="00CA25CF" w:rsidRDefault="002C0FD9" w:rsidP="00CA25CF">
            <w:pPr>
              <w:rPr>
                <w:rFonts w:cs="Arial"/>
                <w:color w:val="FF0000"/>
                <w:sz w:val="21"/>
                <w:szCs w:val="21"/>
              </w:rPr>
            </w:pPr>
          </w:p>
        </w:tc>
        <w:tc>
          <w:tcPr>
            <w:tcW w:w="217" w:type="dxa"/>
          </w:tcPr>
          <w:p w14:paraId="37629658" w14:textId="77777777" w:rsidR="002C0FD9" w:rsidRPr="00CA25CF" w:rsidRDefault="002C0FD9" w:rsidP="00CA25CF">
            <w:pPr>
              <w:rPr>
                <w:rFonts w:cs="Arial"/>
                <w:color w:val="FF0000"/>
                <w:sz w:val="21"/>
                <w:szCs w:val="21"/>
              </w:rPr>
            </w:pPr>
          </w:p>
        </w:tc>
        <w:tc>
          <w:tcPr>
            <w:tcW w:w="217" w:type="dxa"/>
          </w:tcPr>
          <w:p w14:paraId="5C2E7752" w14:textId="77777777" w:rsidR="002C0FD9" w:rsidRPr="00CA25CF" w:rsidRDefault="002C0FD9" w:rsidP="00CA25CF">
            <w:pPr>
              <w:rPr>
                <w:rFonts w:cs="Arial"/>
                <w:color w:val="FF0000"/>
                <w:sz w:val="21"/>
                <w:szCs w:val="21"/>
              </w:rPr>
            </w:pPr>
          </w:p>
        </w:tc>
        <w:tc>
          <w:tcPr>
            <w:tcW w:w="217" w:type="dxa"/>
          </w:tcPr>
          <w:p w14:paraId="7DA47E52" w14:textId="77777777" w:rsidR="002C0FD9" w:rsidRPr="00CA25CF" w:rsidRDefault="002C0FD9" w:rsidP="00CA25CF">
            <w:pPr>
              <w:rPr>
                <w:rFonts w:cs="Arial"/>
                <w:color w:val="FF0000"/>
                <w:sz w:val="21"/>
                <w:szCs w:val="21"/>
              </w:rPr>
            </w:pPr>
          </w:p>
        </w:tc>
        <w:tc>
          <w:tcPr>
            <w:tcW w:w="217" w:type="dxa"/>
          </w:tcPr>
          <w:p w14:paraId="2A8F0175" w14:textId="77777777" w:rsidR="002C0FD9" w:rsidRPr="00CA25CF" w:rsidRDefault="002C0FD9" w:rsidP="00CA25CF">
            <w:pPr>
              <w:rPr>
                <w:rFonts w:cs="Arial"/>
                <w:color w:val="FF0000"/>
                <w:sz w:val="21"/>
                <w:szCs w:val="21"/>
              </w:rPr>
            </w:pPr>
          </w:p>
        </w:tc>
        <w:tc>
          <w:tcPr>
            <w:tcW w:w="217" w:type="dxa"/>
          </w:tcPr>
          <w:p w14:paraId="4B37AE1C" w14:textId="77777777" w:rsidR="002C0FD9" w:rsidRPr="00CA25CF" w:rsidRDefault="002C0FD9" w:rsidP="00CA25CF">
            <w:pPr>
              <w:rPr>
                <w:rFonts w:cs="Arial"/>
                <w:color w:val="FF0000"/>
                <w:sz w:val="21"/>
                <w:szCs w:val="21"/>
              </w:rPr>
            </w:pPr>
          </w:p>
        </w:tc>
        <w:tc>
          <w:tcPr>
            <w:tcW w:w="217" w:type="dxa"/>
          </w:tcPr>
          <w:p w14:paraId="321F4263" w14:textId="77777777" w:rsidR="002C0FD9" w:rsidRPr="00CA25CF" w:rsidRDefault="002C0FD9" w:rsidP="00CA25CF">
            <w:pPr>
              <w:rPr>
                <w:rFonts w:cs="Arial"/>
                <w:color w:val="FF0000"/>
                <w:sz w:val="21"/>
                <w:szCs w:val="21"/>
              </w:rPr>
            </w:pPr>
          </w:p>
        </w:tc>
        <w:tc>
          <w:tcPr>
            <w:tcW w:w="217" w:type="dxa"/>
          </w:tcPr>
          <w:p w14:paraId="74429E1D" w14:textId="77777777" w:rsidR="002C0FD9" w:rsidRPr="00CA25CF" w:rsidRDefault="002C0FD9" w:rsidP="00CA25CF">
            <w:pPr>
              <w:rPr>
                <w:rFonts w:cs="Arial"/>
                <w:color w:val="FF0000"/>
                <w:sz w:val="21"/>
                <w:szCs w:val="21"/>
              </w:rPr>
            </w:pPr>
          </w:p>
        </w:tc>
        <w:tc>
          <w:tcPr>
            <w:tcW w:w="217" w:type="dxa"/>
          </w:tcPr>
          <w:p w14:paraId="3AB8A9AF" w14:textId="77777777" w:rsidR="002C0FD9" w:rsidRPr="00CA25CF" w:rsidRDefault="002C0FD9" w:rsidP="00CA25CF">
            <w:pPr>
              <w:rPr>
                <w:rFonts w:cs="Arial"/>
                <w:color w:val="FF0000"/>
                <w:sz w:val="21"/>
                <w:szCs w:val="21"/>
              </w:rPr>
            </w:pPr>
          </w:p>
        </w:tc>
        <w:tc>
          <w:tcPr>
            <w:tcW w:w="217" w:type="dxa"/>
          </w:tcPr>
          <w:p w14:paraId="59526EAC" w14:textId="77777777" w:rsidR="002C0FD9" w:rsidRPr="00CA25CF" w:rsidRDefault="002C0FD9" w:rsidP="00CA25CF">
            <w:pPr>
              <w:rPr>
                <w:rFonts w:cs="Arial"/>
                <w:color w:val="FF0000"/>
                <w:sz w:val="21"/>
                <w:szCs w:val="21"/>
              </w:rPr>
            </w:pPr>
          </w:p>
        </w:tc>
        <w:tc>
          <w:tcPr>
            <w:tcW w:w="217" w:type="dxa"/>
          </w:tcPr>
          <w:p w14:paraId="4A6C9CFE" w14:textId="77777777" w:rsidR="002C0FD9" w:rsidRPr="00CA25CF" w:rsidRDefault="002C0FD9" w:rsidP="00CA25CF">
            <w:pPr>
              <w:rPr>
                <w:rFonts w:cs="Arial"/>
                <w:color w:val="FF0000"/>
                <w:sz w:val="21"/>
                <w:szCs w:val="21"/>
              </w:rPr>
            </w:pPr>
          </w:p>
        </w:tc>
        <w:tc>
          <w:tcPr>
            <w:tcW w:w="217" w:type="dxa"/>
          </w:tcPr>
          <w:p w14:paraId="43CF9450" w14:textId="77777777" w:rsidR="002C0FD9" w:rsidRPr="00CA25CF" w:rsidRDefault="002C0FD9" w:rsidP="00CA25CF">
            <w:pPr>
              <w:rPr>
                <w:rFonts w:cs="Arial"/>
                <w:color w:val="FF0000"/>
                <w:sz w:val="21"/>
                <w:szCs w:val="21"/>
              </w:rPr>
            </w:pPr>
          </w:p>
        </w:tc>
        <w:tc>
          <w:tcPr>
            <w:tcW w:w="217" w:type="dxa"/>
          </w:tcPr>
          <w:p w14:paraId="0D79AB50" w14:textId="77777777" w:rsidR="002C0FD9" w:rsidRPr="00CA25CF" w:rsidRDefault="002C0FD9" w:rsidP="00CA25CF">
            <w:pPr>
              <w:rPr>
                <w:rFonts w:cs="Arial"/>
                <w:color w:val="FF0000"/>
                <w:sz w:val="21"/>
                <w:szCs w:val="21"/>
              </w:rPr>
            </w:pPr>
          </w:p>
        </w:tc>
        <w:tc>
          <w:tcPr>
            <w:tcW w:w="217" w:type="dxa"/>
          </w:tcPr>
          <w:p w14:paraId="0FADE545" w14:textId="77777777" w:rsidR="002C0FD9" w:rsidRPr="00CA25CF" w:rsidRDefault="002C0FD9" w:rsidP="00CA25CF">
            <w:pPr>
              <w:rPr>
                <w:rFonts w:cs="Arial"/>
                <w:color w:val="FF0000"/>
                <w:sz w:val="21"/>
                <w:szCs w:val="21"/>
              </w:rPr>
            </w:pPr>
          </w:p>
        </w:tc>
      </w:tr>
      <w:tr w:rsidR="002C0FD9" w:rsidRPr="00A16219" w14:paraId="3803F669" w14:textId="77777777" w:rsidTr="002C0FD9">
        <w:trPr>
          <w:trHeight w:val="635"/>
        </w:trPr>
        <w:tc>
          <w:tcPr>
            <w:tcW w:w="515" w:type="dxa"/>
          </w:tcPr>
          <w:p w14:paraId="6D3F5684" w14:textId="77777777" w:rsidR="002C0FD9" w:rsidRPr="00CA25CF" w:rsidRDefault="002C0FD9" w:rsidP="00CA25CF">
            <w:pPr>
              <w:rPr>
                <w:rFonts w:cs="Arial"/>
                <w:color w:val="FF0000"/>
                <w:sz w:val="21"/>
                <w:szCs w:val="21"/>
              </w:rPr>
            </w:pPr>
          </w:p>
        </w:tc>
        <w:tc>
          <w:tcPr>
            <w:tcW w:w="217" w:type="dxa"/>
          </w:tcPr>
          <w:p w14:paraId="31E6F419" w14:textId="77777777" w:rsidR="002C0FD9" w:rsidRPr="00CA25CF" w:rsidRDefault="002C0FD9" w:rsidP="00CA25CF">
            <w:pPr>
              <w:rPr>
                <w:rFonts w:cs="Arial"/>
                <w:color w:val="FF0000"/>
                <w:sz w:val="21"/>
                <w:szCs w:val="21"/>
              </w:rPr>
            </w:pPr>
          </w:p>
        </w:tc>
        <w:tc>
          <w:tcPr>
            <w:tcW w:w="217" w:type="dxa"/>
          </w:tcPr>
          <w:p w14:paraId="042F3D60" w14:textId="77777777" w:rsidR="002C0FD9" w:rsidRPr="00CA25CF" w:rsidRDefault="002C0FD9" w:rsidP="00CA25CF">
            <w:pPr>
              <w:rPr>
                <w:rFonts w:cs="Arial"/>
                <w:color w:val="FF0000"/>
                <w:sz w:val="21"/>
                <w:szCs w:val="21"/>
              </w:rPr>
            </w:pPr>
          </w:p>
        </w:tc>
        <w:tc>
          <w:tcPr>
            <w:tcW w:w="217" w:type="dxa"/>
          </w:tcPr>
          <w:p w14:paraId="23523AA2" w14:textId="77777777" w:rsidR="002C0FD9" w:rsidRPr="00CA25CF" w:rsidRDefault="002C0FD9" w:rsidP="00CA25CF">
            <w:pPr>
              <w:rPr>
                <w:rFonts w:cs="Arial"/>
                <w:color w:val="FF0000"/>
                <w:sz w:val="21"/>
                <w:szCs w:val="21"/>
              </w:rPr>
            </w:pPr>
          </w:p>
        </w:tc>
        <w:tc>
          <w:tcPr>
            <w:tcW w:w="217" w:type="dxa"/>
          </w:tcPr>
          <w:p w14:paraId="24A01984" w14:textId="77777777" w:rsidR="002C0FD9" w:rsidRPr="00CA25CF" w:rsidRDefault="002C0FD9" w:rsidP="00CA25CF">
            <w:pPr>
              <w:rPr>
                <w:rFonts w:cs="Arial"/>
                <w:color w:val="FF0000"/>
                <w:sz w:val="21"/>
                <w:szCs w:val="21"/>
              </w:rPr>
            </w:pPr>
          </w:p>
        </w:tc>
        <w:tc>
          <w:tcPr>
            <w:tcW w:w="217" w:type="dxa"/>
          </w:tcPr>
          <w:p w14:paraId="2CFFAD6D" w14:textId="77777777" w:rsidR="002C0FD9" w:rsidRPr="00CA25CF" w:rsidRDefault="002C0FD9" w:rsidP="00CA25CF">
            <w:pPr>
              <w:rPr>
                <w:rFonts w:cs="Arial"/>
                <w:color w:val="FF0000"/>
                <w:sz w:val="21"/>
                <w:szCs w:val="21"/>
              </w:rPr>
            </w:pPr>
          </w:p>
        </w:tc>
        <w:tc>
          <w:tcPr>
            <w:tcW w:w="217" w:type="dxa"/>
          </w:tcPr>
          <w:p w14:paraId="67AD0B95" w14:textId="77777777" w:rsidR="002C0FD9" w:rsidRPr="00CA25CF" w:rsidRDefault="002C0FD9" w:rsidP="00CA25CF">
            <w:pPr>
              <w:rPr>
                <w:rFonts w:cs="Arial"/>
                <w:color w:val="FF0000"/>
                <w:sz w:val="21"/>
                <w:szCs w:val="21"/>
              </w:rPr>
            </w:pPr>
          </w:p>
        </w:tc>
        <w:tc>
          <w:tcPr>
            <w:tcW w:w="217" w:type="dxa"/>
          </w:tcPr>
          <w:p w14:paraId="74A23CED" w14:textId="77777777" w:rsidR="002C0FD9" w:rsidRPr="00CA25CF" w:rsidRDefault="002C0FD9" w:rsidP="00CA25CF">
            <w:pPr>
              <w:rPr>
                <w:rFonts w:cs="Arial"/>
                <w:color w:val="FF0000"/>
                <w:sz w:val="21"/>
                <w:szCs w:val="21"/>
              </w:rPr>
            </w:pPr>
          </w:p>
        </w:tc>
        <w:tc>
          <w:tcPr>
            <w:tcW w:w="217" w:type="dxa"/>
          </w:tcPr>
          <w:p w14:paraId="0F083C39" w14:textId="77777777" w:rsidR="002C0FD9" w:rsidRPr="00CA25CF" w:rsidRDefault="002C0FD9" w:rsidP="00CA25CF">
            <w:pPr>
              <w:rPr>
                <w:rFonts w:cs="Arial"/>
                <w:color w:val="FF0000"/>
                <w:sz w:val="21"/>
                <w:szCs w:val="21"/>
              </w:rPr>
            </w:pPr>
          </w:p>
        </w:tc>
        <w:tc>
          <w:tcPr>
            <w:tcW w:w="217" w:type="dxa"/>
          </w:tcPr>
          <w:p w14:paraId="49FB0E61" w14:textId="77777777" w:rsidR="002C0FD9" w:rsidRPr="00CA25CF" w:rsidRDefault="002C0FD9" w:rsidP="00CA25CF">
            <w:pPr>
              <w:rPr>
                <w:rFonts w:cs="Arial"/>
                <w:color w:val="FF0000"/>
                <w:sz w:val="21"/>
                <w:szCs w:val="21"/>
              </w:rPr>
            </w:pPr>
          </w:p>
        </w:tc>
        <w:tc>
          <w:tcPr>
            <w:tcW w:w="217" w:type="dxa"/>
          </w:tcPr>
          <w:p w14:paraId="3F637781" w14:textId="77777777" w:rsidR="002C0FD9" w:rsidRPr="00CA25CF" w:rsidRDefault="002C0FD9" w:rsidP="00CA25CF">
            <w:pPr>
              <w:rPr>
                <w:rFonts w:cs="Arial"/>
                <w:color w:val="FF0000"/>
                <w:sz w:val="21"/>
                <w:szCs w:val="21"/>
              </w:rPr>
            </w:pPr>
          </w:p>
        </w:tc>
        <w:tc>
          <w:tcPr>
            <w:tcW w:w="217" w:type="dxa"/>
          </w:tcPr>
          <w:p w14:paraId="65EC68A7" w14:textId="77777777" w:rsidR="002C0FD9" w:rsidRPr="00CA25CF" w:rsidRDefault="002C0FD9" w:rsidP="00CA25CF">
            <w:pPr>
              <w:rPr>
                <w:rFonts w:cs="Arial"/>
                <w:color w:val="FF0000"/>
                <w:sz w:val="21"/>
                <w:szCs w:val="21"/>
              </w:rPr>
            </w:pPr>
          </w:p>
        </w:tc>
        <w:tc>
          <w:tcPr>
            <w:tcW w:w="217" w:type="dxa"/>
          </w:tcPr>
          <w:p w14:paraId="3977B1E0" w14:textId="77777777" w:rsidR="002C0FD9" w:rsidRPr="00CA25CF" w:rsidRDefault="002C0FD9" w:rsidP="00CA25CF">
            <w:pPr>
              <w:rPr>
                <w:rFonts w:cs="Arial"/>
                <w:color w:val="FF0000"/>
                <w:sz w:val="21"/>
                <w:szCs w:val="21"/>
              </w:rPr>
            </w:pPr>
          </w:p>
        </w:tc>
        <w:tc>
          <w:tcPr>
            <w:tcW w:w="217" w:type="dxa"/>
          </w:tcPr>
          <w:p w14:paraId="3FEFA4BC" w14:textId="77777777" w:rsidR="002C0FD9" w:rsidRPr="00CA25CF" w:rsidRDefault="002C0FD9" w:rsidP="00CA25CF">
            <w:pPr>
              <w:rPr>
                <w:rFonts w:cs="Arial"/>
                <w:color w:val="FF0000"/>
                <w:sz w:val="21"/>
                <w:szCs w:val="21"/>
              </w:rPr>
            </w:pPr>
          </w:p>
        </w:tc>
        <w:tc>
          <w:tcPr>
            <w:tcW w:w="217" w:type="dxa"/>
          </w:tcPr>
          <w:p w14:paraId="678F8946" w14:textId="77777777" w:rsidR="002C0FD9" w:rsidRPr="00CA25CF" w:rsidRDefault="002C0FD9" w:rsidP="00CA25CF">
            <w:pPr>
              <w:rPr>
                <w:rFonts w:cs="Arial"/>
                <w:color w:val="FF0000"/>
                <w:sz w:val="21"/>
                <w:szCs w:val="21"/>
              </w:rPr>
            </w:pPr>
          </w:p>
        </w:tc>
        <w:tc>
          <w:tcPr>
            <w:tcW w:w="217" w:type="dxa"/>
          </w:tcPr>
          <w:p w14:paraId="08923F7D" w14:textId="77777777" w:rsidR="002C0FD9" w:rsidRPr="00CA25CF" w:rsidRDefault="002C0FD9" w:rsidP="00CA25CF">
            <w:pPr>
              <w:rPr>
                <w:rFonts w:cs="Arial"/>
                <w:color w:val="FF0000"/>
                <w:sz w:val="21"/>
                <w:szCs w:val="21"/>
              </w:rPr>
            </w:pPr>
          </w:p>
        </w:tc>
        <w:tc>
          <w:tcPr>
            <w:tcW w:w="217" w:type="dxa"/>
          </w:tcPr>
          <w:p w14:paraId="6D9A57F4" w14:textId="77777777" w:rsidR="002C0FD9" w:rsidRPr="00CA25CF" w:rsidRDefault="002C0FD9" w:rsidP="00CA25CF">
            <w:pPr>
              <w:rPr>
                <w:rFonts w:cs="Arial"/>
                <w:color w:val="FF0000"/>
                <w:sz w:val="21"/>
                <w:szCs w:val="21"/>
              </w:rPr>
            </w:pPr>
          </w:p>
        </w:tc>
        <w:tc>
          <w:tcPr>
            <w:tcW w:w="217" w:type="dxa"/>
          </w:tcPr>
          <w:p w14:paraId="552D18A9" w14:textId="77777777" w:rsidR="002C0FD9" w:rsidRPr="00CA25CF" w:rsidRDefault="002C0FD9" w:rsidP="00CA25CF">
            <w:pPr>
              <w:rPr>
                <w:rFonts w:cs="Arial"/>
                <w:color w:val="FF0000"/>
                <w:sz w:val="21"/>
                <w:szCs w:val="21"/>
              </w:rPr>
            </w:pPr>
          </w:p>
        </w:tc>
        <w:tc>
          <w:tcPr>
            <w:tcW w:w="217" w:type="dxa"/>
          </w:tcPr>
          <w:p w14:paraId="3E17F053" w14:textId="77777777" w:rsidR="002C0FD9" w:rsidRPr="00CA25CF" w:rsidRDefault="002C0FD9" w:rsidP="00CA25CF">
            <w:pPr>
              <w:rPr>
                <w:rFonts w:cs="Arial"/>
                <w:color w:val="FF0000"/>
                <w:sz w:val="21"/>
                <w:szCs w:val="21"/>
              </w:rPr>
            </w:pPr>
          </w:p>
        </w:tc>
        <w:tc>
          <w:tcPr>
            <w:tcW w:w="217" w:type="dxa"/>
          </w:tcPr>
          <w:p w14:paraId="376B6D54" w14:textId="77777777" w:rsidR="002C0FD9" w:rsidRPr="00CA25CF" w:rsidRDefault="002C0FD9" w:rsidP="00CA25CF">
            <w:pPr>
              <w:rPr>
                <w:rFonts w:cs="Arial"/>
                <w:color w:val="FF0000"/>
                <w:sz w:val="21"/>
                <w:szCs w:val="21"/>
              </w:rPr>
            </w:pPr>
          </w:p>
        </w:tc>
        <w:tc>
          <w:tcPr>
            <w:tcW w:w="217" w:type="dxa"/>
          </w:tcPr>
          <w:p w14:paraId="2F4E0CCD" w14:textId="77777777" w:rsidR="002C0FD9" w:rsidRPr="00CA25CF" w:rsidRDefault="002C0FD9" w:rsidP="00CA25CF">
            <w:pPr>
              <w:rPr>
                <w:rFonts w:cs="Arial"/>
                <w:color w:val="FF0000"/>
                <w:sz w:val="21"/>
                <w:szCs w:val="21"/>
              </w:rPr>
            </w:pPr>
          </w:p>
        </w:tc>
        <w:tc>
          <w:tcPr>
            <w:tcW w:w="217" w:type="dxa"/>
          </w:tcPr>
          <w:p w14:paraId="604DF3C8" w14:textId="77777777" w:rsidR="002C0FD9" w:rsidRPr="00CA25CF" w:rsidRDefault="002C0FD9" w:rsidP="00CA25CF">
            <w:pPr>
              <w:rPr>
                <w:rFonts w:cs="Arial"/>
                <w:color w:val="FF0000"/>
                <w:sz w:val="21"/>
                <w:szCs w:val="21"/>
              </w:rPr>
            </w:pPr>
          </w:p>
        </w:tc>
        <w:tc>
          <w:tcPr>
            <w:tcW w:w="217" w:type="dxa"/>
          </w:tcPr>
          <w:p w14:paraId="298E1B4C" w14:textId="77777777" w:rsidR="002C0FD9" w:rsidRPr="00CA25CF" w:rsidRDefault="002C0FD9" w:rsidP="00CA25CF">
            <w:pPr>
              <w:rPr>
                <w:rFonts w:cs="Arial"/>
                <w:color w:val="FF0000"/>
                <w:sz w:val="21"/>
                <w:szCs w:val="21"/>
              </w:rPr>
            </w:pPr>
          </w:p>
        </w:tc>
        <w:tc>
          <w:tcPr>
            <w:tcW w:w="217" w:type="dxa"/>
          </w:tcPr>
          <w:p w14:paraId="4BB9EBB4" w14:textId="77777777" w:rsidR="002C0FD9" w:rsidRPr="00CA25CF" w:rsidRDefault="002C0FD9" w:rsidP="00CA25CF">
            <w:pPr>
              <w:rPr>
                <w:rFonts w:cs="Arial"/>
                <w:color w:val="FF0000"/>
                <w:sz w:val="21"/>
                <w:szCs w:val="21"/>
              </w:rPr>
            </w:pPr>
          </w:p>
        </w:tc>
        <w:tc>
          <w:tcPr>
            <w:tcW w:w="217" w:type="dxa"/>
          </w:tcPr>
          <w:p w14:paraId="369441F7" w14:textId="77777777" w:rsidR="002C0FD9" w:rsidRPr="00CA25CF" w:rsidRDefault="002C0FD9" w:rsidP="00CA25CF">
            <w:pPr>
              <w:rPr>
                <w:rFonts w:cs="Arial"/>
                <w:color w:val="FF0000"/>
                <w:sz w:val="21"/>
                <w:szCs w:val="21"/>
              </w:rPr>
            </w:pPr>
          </w:p>
        </w:tc>
        <w:tc>
          <w:tcPr>
            <w:tcW w:w="217" w:type="dxa"/>
          </w:tcPr>
          <w:p w14:paraId="70B377F2" w14:textId="77777777" w:rsidR="002C0FD9" w:rsidRPr="00CA25CF" w:rsidRDefault="002C0FD9" w:rsidP="00CA25CF">
            <w:pPr>
              <w:rPr>
                <w:rFonts w:cs="Arial"/>
                <w:color w:val="FF0000"/>
                <w:sz w:val="21"/>
                <w:szCs w:val="21"/>
              </w:rPr>
            </w:pPr>
          </w:p>
        </w:tc>
        <w:tc>
          <w:tcPr>
            <w:tcW w:w="217" w:type="dxa"/>
          </w:tcPr>
          <w:p w14:paraId="300D693D" w14:textId="77777777" w:rsidR="002C0FD9" w:rsidRPr="00CA25CF" w:rsidRDefault="002C0FD9" w:rsidP="00CA25CF">
            <w:pPr>
              <w:rPr>
                <w:rFonts w:cs="Arial"/>
                <w:color w:val="FF0000"/>
                <w:sz w:val="21"/>
                <w:szCs w:val="21"/>
              </w:rPr>
            </w:pPr>
          </w:p>
        </w:tc>
        <w:tc>
          <w:tcPr>
            <w:tcW w:w="217" w:type="dxa"/>
          </w:tcPr>
          <w:p w14:paraId="0D8B1969" w14:textId="77777777" w:rsidR="002C0FD9" w:rsidRPr="00CA25CF" w:rsidRDefault="002C0FD9" w:rsidP="00CA25CF">
            <w:pPr>
              <w:rPr>
                <w:rFonts w:cs="Arial"/>
                <w:color w:val="FF0000"/>
                <w:sz w:val="21"/>
                <w:szCs w:val="21"/>
              </w:rPr>
            </w:pPr>
          </w:p>
        </w:tc>
        <w:tc>
          <w:tcPr>
            <w:tcW w:w="217" w:type="dxa"/>
          </w:tcPr>
          <w:p w14:paraId="2C5A993A" w14:textId="77777777" w:rsidR="002C0FD9" w:rsidRPr="00CA25CF" w:rsidRDefault="002C0FD9" w:rsidP="00CA25CF">
            <w:pPr>
              <w:rPr>
                <w:rFonts w:cs="Arial"/>
                <w:color w:val="FF0000"/>
                <w:sz w:val="21"/>
                <w:szCs w:val="21"/>
              </w:rPr>
            </w:pPr>
          </w:p>
        </w:tc>
        <w:tc>
          <w:tcPr>
            <w:tcW w:w="217" w:type="dxa"/>
          </w:tcPr>
          <w:p w14:paraId="2AB515DF" w14:textId="77777777" w:rsidR="002C0FD9" w:rsidRPr="00CA25CF" w:rsidRDefault="002C0FD9" w:rsidP="00CA25CF">
            <w:pPr>
              <w:rPr>
                <w:rFonts w:cs="Arial"/>
                <w:color w:val="FF0000"/>
                <w:sz w:val="21"/>
                <w:szCs w:val="21"/>
              </w:rPr>
            </w:pPr>
          </w:p>
        </w:tc>
        <w:tc>
          <w:tcPr>
            <w:tcW w:w="217" w:type="dxa"/>
          </w:tcPr>
          <w:p w14:paraId="0014D0A6" w14:textId="77777777" w:rsidR="002C0FD9" w:rsidRPr="00CA25CF" w:rsidRDefault="002C0FD9" w:rsidP="00CA25CF">
            <w:pPr>
              <w:rPr>
                <w:rFonts w:cs="Arial"/>
                <w:color w:val="FF0000"/>
                <w:sz w:val="21"/>
                <w:szCs w:val="21"/>
              </w:rPr>
            </w:pPr>
          </w:p>
        </w:tc>
        <w:tc>
          <w:tcPr>
            <w:tcW w:w="217" w:type="dxa"/>
          </w:tcPr>
          <w:p w14:paraId="39953278" w14:textId="77777777" w:rsidR="002C0FD9" w:rsidRPr="00CA25CF" w:rsidRDefault="002C0FD9" w:rsidP="00CA25CF">
            <w:pPr>
              <w:rPr>
                <w:rFonts w:cs="Arial"/>
                <w:color w:val="FF0000"/>
                <w:sz w:val="21"/>
                <w:szCs w:val="21"/>
              </w:rPr>
            </w:pPr>
          </w:p>
        </w:tc>
        <w:tc>
          <w:tcPr>
            <w:tcW w:w="217" w:type="dxa"/>
          </w:tcPr>
          <w:p w14:paraId="2BBDE7FC" w14:textId="77777777" w:rsidR="002C0FD9" w:rsidRPr="00CA25CF" w:rsidRDefault="002C0FD9" w:rsidP="00CA25CF">
            <w:pPr>
              <w:rPr>
                <w:rFonts w:cs="Arial"/>
                <w:color w:val="FF0000"/>
                <w:sz w:val="21"/>
                <w:szCs w:val="21"/>
              </w:rPr>
            </w:pPr>
          </w:p>
        </w:tc>
        <w:tc>
          <w:tcPr>
            <w:tcW w:w="217" w:type="dxa"/>
          </w:tcPr>
          <w:p w14:paraId="2F796D1D" w14:textId="77777777" w:rsidR="002C0FD9" w:rsidRPr="00CA25CF" w:rsidRDefault="002C0FD9" w:rsidP="00CA25CF">
            <w:pPr>
              <w:rPr>
                <w:rFonts w:cs="Arial"/>
                <w:color w:val="FF0000"/>
                <w:sz w:val="21"/>
                <w:szCs w:val="21"/>
              </w:rPr>
            </w:pPr>
          </w:p>
        </w:tc>
        <w:tc>
          <w:tcPr>
            <w:tcW w:w="217" w:type="dxa"/>
          </w:tcPr>
          <w:p w14:paraId="605BBEB6" w14:textId="77777777" w:rsidR="002C0FD9" w:rsidRPr="00CA25CF" w:rsidRDefault="002C0FD9" w:rsidP="00CA25CF">
            <w:pPr>
              <w:rPr>
                <w:rFonts w:cs="Arial"/>
                <w:color w:val="FF0000"/>
                <w:sz w:val="21"/>
                <w:szCs w:val="21"/>
              </w:rPr>
            </w:pPr>
          </w:p>
        </w:tc>
        <w:tc>
          <w:tcPr>
            <w:tcW w:w="217" w:type="dxa"/>
          </w:tcPr>
          <w:p w14:paraId="3AB02967" w14:textId="77777777" w:rsidR="002C0FD9" w:rsidRPr="00CA25CF" w:rsidRDefault="002C0FD9" w:rsidP="00CA25CF">
            <w:pPr>
              <w:rPr>
                <w:rFonts w:cs="Arial"/>
                <w:color w:val="FF0000"/>
                <w:sz w:val="21"/>
                <w:szCs w:val="21"/>
              </w:rPr>
            </w:pPr>
          </w:p>
        </w:tc>
        <w:tc>
          <w:tcPr>
            <w:tcW w:w="217" w:type="dxa"/>
          </w:tcPr>
          <w:p w14:paraId="133133BB" w14:textId="77777777" w:rsidR="002C0FD9" w:rsidRPr="00CA25CF" w:rsidRDefault="002C0FD9" w:rsidP="00CA25CF">
            <w:pPr>
              <w:rPr>
                <w:rFonts w:cs="Arial"/>
                <w:color w:val="FF0000"/>
                <w:sz w:val="21"/>
                <w:szCs w:val="21"/>
              </w:rPr>
            </w:pPr>
          </w:p>
        </w:tc>
        <w:tc>
          <w:tcPr>
            <w:tcW w:w="217" w:type="dxa"/>
          </w:tcPr>
          <w:p w14:paraId="619A4235" w14:textId="77777777" w:rsidR="002C0FD9" w:rsidRPr="00CA25CF" w:rsidRDefault="002C0FD9" w:rsidP="00CA25CF">
            <w:pPr>
              <w:rPr>
                <w:rFonts w:cs="Arial"/>
                <w:color w:val="FF0000"/>
                <w:sz w:val="21"/>
                <w:szCs w:val="21"/>
              </w:rPr>
            </w:pPr>
          </w:p>
        </w:tc>
        <w:tc>
          <w:tcPr>
            <w:tcW w:w="217" w:type="dxa"/>
          </w:tcPr>
          <w:p w14:paraId="75EACAB6" w14:textId="77777777" w:rsidR="002C0FD9" w:rsidRPr="00CA25CF" w:rsidRDefault="002C0FD9" w:rsidP="00CA25CF">
            <w:pPr>
              <w:rPr>
                <w:rFonts w:cs="Arial"/>
                <w:color w:val="FF0000"/>
                <w:sz w:val="21"/>
                <w:szCs w:val="21"/>
              </w:rPr>
            </w:pPr>
          </w:p>
        </w:tc>
        <w:tc>
          <w:tcPr>
            <w:tcW w:w="217" w:type="dxa"/>
          </w:tcPr>
          <w:p w14:paraId="4B6F91B1" w14:textId="77777777" w:rsidR="002C0FD9" w:rsidRPr="00CA25CF" w:rsidRDefault="002C0FD9" w:rsidP="00CA25CF">
            <w:pPr>
              <w:rPr>
                <w:rFonts w:cs="Arial"/>
                <w:color w:val="FF0000"/>
                <w:sz w:val="21"/>
                <w:szCs w:val="21"/>
              </w:rPr>
            </w:pPr>
          </w:p>
        </w:tc>
        <w:tc>
          <w:tcPr>
            <w:tcW w:w="217" w:type="dxa"/>
          </w:tcPr>
          <w:p w14:paraId="12350A98" w14:textId="77777777" w:rsidR="002C0FD9" w:rsidRPr="00CA25CF" w:rsidRDefault="002C0FD9" w:rsidP="00CA25CF">
            <w:pPr>
              <w:rPr>
                <w:rFonts w:cs="Arial"/>
                <w:color w:val="FF0000"/>
                <w:sz w:val="21"/>
                <w:szCs w:val="21"/>
              </w:rPr>
            </w:pPr>
          </w:p>
        </w:tc>
        <w:tc>
          <w:tcPr>
            <w:tcW w:w="217" w:type="dxa"/>
          </w:tcPr>
          <w:p w14:paraId="17E43426" w14:textId="77777777" w:rsidR="002C0FD9" w:rsidRPr="00CA25CF" w:rsidRDefault="002C0FD9" w:rsidP="00CA25CF">
            <w:pPr>
              <w:rPr>
                <w:rFonts w:cs="Arial"/>
                <w:color w:val="FF0000"/>
                <w:sz w:val="21"/>
                <w:szCs w:val="21"/>
              </w:rPr>
            </w:pPr>
          </w:p>
        </w:tc>
        <w:tc>
          <w:tcPr>
            <w:tcW w:w="217" w:type="dxa"/>
          </w:tcPr>
          <w:p w14:paraId="28B161DC" w14:textId="77777777" w:rsidR="002C0FD9" w:rsidRPr="00CA25CF" w:rsidRDefault="002C0FD9" w:rsidP="00CA25CF">
            <w:pPr>
              <w:rPr>
                <w:rFonts w:cs="Arial"/>
                <w:color w:val="FF0000"/>
                <w:sz w:val="21"/>
                <w:szCs w:val="21"/>
              </w:rPr>
            </w:pPr>
          </w:p>
        </w:tc>
      </w:tr>
      <w:tr w:rsidR="002C0FD9" w:rsidRPr="00A16219" w14:paraId="3BDE79CF" w14:textId="77777777" w:rsidTr="002C0FD9">
        <w:trPr>
          <w:trHeight w:val="635"/>
        </w:trPr>
        <w:tc>
          <w:tcPr>
            <w:tcW w:w="515" w:type="dxa"/>
          </w:tcPr>
          <w:p w14:paraId="0B10EA8C" w14:textId="77777777" w:rsidR="002C0FD9" w:rsidRPr="00CA25CF" w:rsidRDefault="002C0FD9" w:rsidP="00CA25CF">
            <w:pPr>
              <w:rPr>
                <w:rFonts w:cs="Arial"/>
                <w:color w:val="FF0000"/>
                <w:sz w:val="21"/>
                <w:szCs w:val="21"/>
              </w:rPr>
            </w:pPr>
          </w:p>
        </w:tc>
        <w:tc>
          <w:tcPr>
            <w:tcW w:w="217" w:type="dxa"/>
          </w:tcPr>
          <w:p w14:paraId="2302AC84" w14:textId="77777777" w:rsidR="002C0FD9" w:rsidRPr="00CA25CF" w:rsidRDefault="002C0FD9" w:rsidP="00CA25CF">
            <w:pPr>
              <w:rPr>
                <w:rFonts w:cs="Arial"/>
                <w:color w:val="FF0000"/>
                <w:sz w:val="21"/>
                <w:szCs w:val="21"/>
              </w:rPr>
            </w:pPr>
          </w:p>
        </w:tc>
        <w:tc>
          <w:tcPr>
            <w:tcW w:w="217" w:type="dxa"/>
          </w:tcPr>
          <w:p w14:paraId="38A10B83" w14:textId="77777777" w:rsidR="002C0FD9" w:rsidRPr="00CA25CF" w:rsidRDefault="002C0FD9" w:rsidP="00CA25CF">
            <w:pPr>
              <w:rPr>
                <w:rFonts w:cs="Arial"/>
                <w:color w:val="FF0000"/>
                <w:sz w:val="21"/>
                <w:szCs w:val="21"/>
              </w:rPr>
            </w:pPr>
          </w:p>
        </w:tc>
        <w:tc>
          <w:tcPr>
            <w:tcW w:w="217" w:type="dxa"/>
          </w:tcPr>
          <w:p w14:paraId="154365FA" w14:textId="77777777" w:rsidR="002C0FD9" w:rsidRPr="00CA25CF" w:rsidRDefault="002C0FD9" w:rsidP="00CA25CF">
            <w:pPr>
              <w:rPr>
                <w:rFonts w:cs="Arial"/>
                <w:color w:val="FF0000"/>
                <w:sz w:val="21"/>
                <w:szCs w:val="21"/>
              </w:rPr>
            </w:pPr>
          </w:p>
        </w:tc>
        <w:tc>
          <w:tcPr>
            <w:tcW w:w="217" w:type="dxa"/>
          </w:tcPr>
          <w:p w14:paraId="55ABE2F0" w14:textId="77777777" w:rsidR="002C0FD9" w:rsidRPr="00CA25CF" w:rsidRDefault="002C0FD9" w:rsidP="00CA25CF">
            <w:pPr>
              <w:rPr>
                <w:rFonts w:cs="Arial"/>
                <w:color w:val="FF0000"/>
                <w:sz w:val="21"/>
                <w:szCs w:val="21"/>
              </w:rPr>
            </w:pPr>
          </w:p>
        </w:tc>
        <w:tc>
          <w:tcPr>
            <w:tcW w:w="217" w:type="dxa"/>
          </w:tcPr>
          <w:p w14:paraId="3E2DF717" w14:textId="77777777" w:rsidR="002C0FD9" w:rsidRPr="00CA25CF" w:rsidRDefault="002C0FD9" w:rsidP="00CA25CF">
            <w:pPr>
              <w:rPr>
                <w:rFonts w:cs="Arial"/>
                <w:color w:val="FF0000"/>
                <w:sz w:val="21"/>
                <w:szCs w:val="21"/>
              </w:rPr>
            </w:pPr>
          </w:p>
        </w:tc>
        <w:tc>
          <w:tcPr>
            <w:tcW w:w="217" w:type="dxa"/>
          </w:tcPr>
          <w:p w14:paraId="046D0866" w14:textId="77777777" w:rsidR="002C0FD9" w:rsidRPr="00CA25CF" w:rsidRDefault="002C0FD9" w:rsidP="00CA25CF">
            <w:pPr>
              <w:rPr>
                <w:rFonts w:cs="Arial"/>
                <w:color w:val="FF0000"/>
                <w:sz w:val="21"/>
                <w:szCs w:val="21"/>
              </w:rPr>
            </w:pPr>
          </w:p>
        </w:tc>
        <w:tc>
          <w:tcPr>
            <w:tcW w:w="217" w:type="dxa"/>
          </w:tcPr>
          <w:p w14:paraId="65E7D8C4" w14:textId="77777777" w:rsidR="002C0FD9" w:rsidRPr="00CA25CF" w:rsidRDefault="002C0FD9" w:rsidP="00CA25CF">
            <w:pPr>
              <w:rPr>
                <w:rFonts w:cs="Arial"/>
                <w:color w:val="FF0000"/>
                <w:sz w:val="21"/>
                <w:szCs w:val="21"/>
              </w:rPr>
            </w:pPr>
          </w:p>
        </w:tc>
        <w:tc>
          <w:tcPr>
            <w:tcW w:w="217" w:type="dxa"/>
          </w:tcPr>
          <w:p w14:paraId="0A73BB63" w14:textId="77777777" w:rsidR="002C0FD9" w:rsidRPr="00CA25CF" w:rsidRDefault="002C0FD9" w:rsidP="00CA25CF">
            <w:pPr>
              <w:rPr>
                <w:rFonts w:cs="Arial"/>
                <w:color w:val="FF0000"/>
                <w:sz w:val="21"/>
                <w:szCs w:val="21"/>
              </w:rPr>
            </w:pPr>
          </w:p>
        </w:tc>
        <w:tc>
          <w:tcPr>
            <w:tcW w:w="217" w:type="dxa"/>
          </w:tcPr>
          <w:p w14:paraId="14E872D3" w14:textId="77777777" w:rsidR="002C0FD9" w:rsidRPr="00CA25CF" w:rsidRDefault="002C0FD9" w:rsidP="00CA25CF">
            <w:pPr>
              <w:rPr>
                <w:rFonts w:cs="Arial"/>
                <w:color w:val="FF0000"/>
                <w:sz w:val="21"/>
                <w:szCs w:val="21"/>
              </w:rPr>
            </w:pPr>
          </w:p>
        </w:tc>
        <w:tc>
          <w:tcPr>
            <w:tcW w:w="217" w:type="dxa"/>
          </w:tcPr>
          <w:p w14:paraId="3489C26C" w14:textId="77777777" w:rsidR="002C0FD9" w:rsidRPr="00CA25CF" w:rsidRDefault="002C0FD9" w:rsidP="00CA25CF">
            <w:pPr>
              <w:rPr>
                <w:rFonts w:cs="Arial"/>
                <w:color w:val="FF0000"/>
                <w:sz w:val="21"/>
                <w:szCs w:val="21"/>
              </w:rPr>
            </w:pPr>
          </w:p>
        </w:tc>
        <w:tc>
          <w:tcPr>
            <w:tcW w:w="217" w:type="dxa"/>
          </w:tcPr>
          <w:p w14:paraId="23F484CC" w14:textId="77777777" w:rsidR="002C0FD9" w:rsidRPr="00CA25CF" w:rsidRDefault="002C0FD9" w:rsidP="00CA25CF">
            <w:pPr>
              <w:rPr>
                <w:rFonts w:cs="Arial"/>
                <w:color w:val="FF0000"/>
                <w:sz w:val="21"/>
                <w:szCs w:val="21"/>
              </w:rPr>
            </w:pPr>
          </w:p>
        </w:tc>
        <w:tc>
          <w:tcPr>
            <w:tcW w:w="217" w:type="dxa"/>
          </w:tcPr>
          <w:p w14:paraId="76975E99" w14:textId="77777777" w:rsidR="002C0FD9" w:rsidRPr="00CA25CF" w:rsidRDefault="002C0FD9" w:rsidP="00CA25CF">
            <w:pPr>
              <w:rPr>
                <w:rFonts w:cs="Arial"/>
                <w:color w:val="FF0000"/>
                <w:sz w:val="21"/>
                <w:szCs w:val="21"/>
              </w:rPr>
            </w:pPr>
          </w:p>
        </w:tc>
        <w:tc>
          <w:tcPr>
            <w:tcW w:w="217" w:type="dxa"/>
          </w:tcPr>
          <w:p w14:paraId="28150147" w14:textId="77777777" w:rsidR="002C0FD9" w:rsidRPr="00CA25CF" w:rsidRDefault="002C0FD9" w:rsidP="00CA25CF">
            <w:pPr>
              <w:rPr>
                <w:rFonts w:cs="Arial"/>
                <w:color w:val="FF0000"/>
                <w:sz w:val="21"/>
                <w:szCs w:val="21"/>
              </w:rPr>
            </w:pPr>
          </w:p>
        </w:tc>
        <w:tc>
          <w:tcPr>
            <w:tcW w:w="217" w:type="dxa"/>
          </w:tcPr>
          <w:p w14:paraId="48DED7A2" w14:textId="77777777" w:rsidR="002C0FD9" w:rsidRPr="00CA25CF" w:rsidRDefault="002C0FD9" w:rsidP="00CA25CF">
            <w:pPr>
              <w:rPr>
                <w:rFonts w:cs="Arial"/>
                <w:color w:val="FF0000"/>
                <w:sz w:val="21"/>
                <w:szCs w:val="21"/>
              </w:rPr>
            </w:pPr>
          </w:p>
        </w:tc>
        <w:tc>
          <w:tcPr>
            <w:tcW w:w="217" w:type="dxa"/>
          </w:tcPr>
          <w:p w14:paraId="28034FB3" w14:textId="77777777" w:rsidR="002C0FD9" w:rsidRPr="00CA25CF" w:rsidRDefault="002C0FD9" w:rsidP="00CA25CF">
            <w:pPr>
              <w:rPr>
                <w:rFonts w:cs="Arial"/>
                <w:color w:val="FF0000"/>
                <w:sz w:val="21"/>
                <w:szCs w:val="21"/>
              </w:rPr>
            </w:pPr>
          </w:p>
        </w:tc>
        <w:tc>
          <w:tcPr>
            <w:tcW w:w="217" w:type="dxa"/>
          </w:tcPr>
          <w:p w14:paraId="22154472" w14:textId="77777777" w:rsidR="002C0FD9" w:rsidRPr="00CA25CF" w:rsidRDefault="002C0FD9" w:rsidP="00CA25CF">
            <w:pPr>
              <w:rPr>
                <w:rFonts w:cs="Arial"/>
                <w:color w:val="FF0000"/>
                <w:sz w:val="21"/>
                <w:szCs w:val="21"/>
              </w:rPr>
            </w:pPr>
          </w:p>
        </w:tc>
        <w:tc>
          <w:tcPr>
            <w:tcW w:w="217" w:type="dxa"/>
          </w:tcPr>
          <w:p w14:paraId="24EF88A8" w14:textId="77777777" w:rsidR="002C0FD9" w:rsidRPr="00CA25CF" w:rsidRDefault="002C0FD9" w:rsidP="00CA25CF">
            <w:pPr>
              <w:rPr>
                <w:rFonts w:cs="Arial"/>
                <w:color w:val="FF0000"/>
                <w:sz w:val="21"/>
                <w:szCs w:val="21"/>
              </w:rPr>
            </w:pPr>
          </w:p>
        </w:tc>
        <w:tc>
          <w:tcPr>
            <w:tcW w:w="217" w:type="dxa"/>
          </w:tcPr>
          <w:p w14:paraId="145A5433" w14:textId="77777777" w:rsidR="002C0FD9" w:rsidRPr="00CA25CF" w:rsidRDefault="002C0FD9" w:rsidP="00CA25CF">
            <w:pPr>
              <w:rPr>
                <w:rFonts w:cs="Arial"/>
                <w:color w:val="FF0000"/>
                <w:sz w:val="21"/>
                <w:szCs w:val="21"/>
              </w:rPr>
            </w:pPr>
          </w:p>
        </w:tc>
        <w:tc>
          <w:tcPr>
            <w:tcW w:w="217" w:type="dxa"/>
          </w:tcPr>
          <w:p w14:paraId="685CE0B9" w14:textId="77777777" w:rsidR="002C0FD9" w:rsidRPr="00CA25CF" w:rsidRDefault="002C0FD9" w:rsidP="00CA25CF">
            <w:pPr>
              <w:rPr>
                <w:rFonts w:cs="Arial"/>
                <w:color w:val="FF0000"/>
                <w:sz w:val="21"/>
                <w:szCs w:val="21"/>
              </w:rPr>
            </w:pPr>
          </w:p>
        </w:tc>
        <w:tc>
          <w:tcPr>
            <w:tcW w:w="217" w:type="dxa"/>
          </w:tcPr>
          <w:p w14:paraId="4E25FBE3" w14:textId="77777777" w:rsidR="002C0FD9" w:rsidRPr="00CA25CF" w:rsidRDefault="002C0FD9" w:rsidP="00CA25CF">
            <w:pPr>
              <w:rPr>
                <w:rFonts w:cs="Arial"/>
                <w:color w:val="FF0000"/>
                <w:sz w:val="21"/>
                <w:szCs w:val="21"/>
              </w:rPr>
            </w:pPr>
          </w:p>
        </w:tc>
        <w:tc>
          <w:tcPr>
            <w:tcW w:w="217" w:type="dxa"/>
          </w:tcPr>
          <w:p w14:paraId="223D15C6" w14:textId="77777777" w:rsidR="002C0FD9" w:rsidRPr="00CA25CF" w:rsidRDefault="002C0FD9" w:rsidP="00CA25CF">
            <w:pPr>
              <w:rPr>
                <w:rFonts w:cs="Arial"/>
                <w:color w:val="FF0000"/>
                <w:sz w:val="21"/>
                <w:szCs w:val="21"/>
              </w:rPr>
            </w:pPr>
          </w:p>
        </w:tc>
        <w:tc>
          <w:tcPr>
            <w:tcW w:w="217" w:type="dxa"/>
          </w:tcPr>
          <w:p w14:paraId="1C790C65" w14:textId="77777777" w:rsidR="002C0FD9" w:rsidRPr="00CA25CF" w:rsidRDefault="002C0FD9" w:rsidP="00CA25CF">
            <w:pPr>
              <w:rPr>
                <w:rFonts w:cs="Arial"/>
                <w:color w:val="FF0000"/>
                <w:sz w:val="21"/>
                <w:szCs w:val="21"/>
              </w:rPr>
            </w:pPr>
          </w:p>
        </w:tc>
        <w:tc>
          <w:tcPr>
            <w:tcW w:w="217" w:type="dxa"/>
          </w:tcPr>
          <w:p w14:paraId="6ADD52C2" w14:textId="77777777" w:rsidR="002C0FD9" w:rsidRPr="00CA25CF" w:rsidRDefault="002C0FD9" w:rsidP="00CA25CF">
            <w:pPr>
              <w:rPr>
                <w:rFonts w:cs="Arial"/>
                <w:color w:val="FF0000"/>
                <w:sz w:val="21"/>
                <w:szCs w:val="21"/>
              </w:rPr>
            </w:pPr>
          </w:p>
        </w:tc>
        <w:tc>
          <w:tcPr>
            <w:tcW w:w="217" w:type="dxa"/>
          </w:tcPr>
          <w:p w14:paraId="47BCD509" w14:textId="77777777" w:rsidR="002C0FD9" w:rsidRPr="00CA25CF" w:rsidRDefault="002C0FD9" w:rsidP="00CA25CF">
            <w:pPr>
              <w:rPr>
                <w:rFonts w:cs="Arial"/>
                <w:color w:val="FF0000"/>
                <w:sz w:val="21"/>
                <w:szCs w:val="21"/>
              </w:rPr>
            </w:pPr>
          </w:p>
        </w:tc>
        <w:tc>
          <w:tcPr>
            <w:tcW w:w="217" w:type="dxa"/>
          </w:tcPr>
          <w:p w14:paraId="32459E26" w14:textId="77777777" w:rsidR="002C0FD9" w:rsidRPr="00CA25CF" w:rsidRDefault="002C0FD9" w:rsidP="00CA25CF">
            <w:pPr>
              <w:rPr>
                <w:rFonts w:cs="Arial"/>
                <w:color w:val="FF0000"/>
                <w:sz w:val="21"/>
                <w:szCs w:val="21"/>
              </w:rPr>
            </w:pPr>
          </w:p>
        </w:tc>
        <w:tc>
          <w:tcPr>
            <w:tcW w:w="217" w:type="dxa"/>
          </w:tcPr>
          <w:p w14:paraId="33D0F684" w14:textId="77777777" w:rsidR="002C0FD9" w:rsidRPr="00CA25CF" w:rsidRDefault="002C0FD9" w:rsidP="00CA25CF">
            <w:pPr>
              <w:rPr>
                <w:rFonts w:cs="Arial"/>
                <w:color w:val="FF0000"/>
                <w:sz w:val="21"/>
                <w:szCs w:val="21"/>
              </w:rPr>
            </w:pPr>
          </w:p>
        </w:tc>
        <w:tc>
          <w:tcPr>
            <w:tcW w:w="217" w:type="dxa"/>
          </w:tcPr>
          <w:p w14:paraId="728DF034" w14:textId="77777777" w:rsidR="002C0FD9" w:rsidRPr="00CA25CF" w:rsidRDefault="002C0FD9" w:rsidP="00CA25CF">
            <w:pPr>
              <w:rPr>
                <w:rFonts w:cs="Arial"/>
                <w:color w:val="FF0000"/>
                <w:sz w:val="21"/>
                <w:szCs w:val="21"/>
              </w:rPr>
            </w:pPr>
          </w:p>
        </w:tc>
        <w:tc>
          <w:tcPr>
            <w:tcW w:w="217" w:type="dxa"/>
          </w:tcPr>
          <w:p w14:paraId="4A44FB51" w14:textId="77777777" w:rsidR="002C0FD9" w:rsidRPr="00CA25CF" w:rsidRDefault="002C0FD9" w:rsidP="00CA25CF">
            <w:pPr>
              <w:rPr>
                <w:rFonts w:cs="Arial"/>
                <w:color w:val="FF0000"/>
                <w:sz w:val="21"/>
                <w:szCs w:val="21"/>
              </w:rPr>
            </w:pPr>
          </w:p>
        </w:tc>
        <w:tc>
          <w:tcPr>
            <w:tcW w:w="217" w:type="dxa"/>
          </w:tcPr>
          <w:p w14:paraId="536A3900" w14:textId="77777777" w:rsidR="002C0FD9" w:rsidRPr="00CA25CF" w:rsidRDefault="002C0FD9" w:rsidP="00CA25CF">
            <w:pPr>
              <w:rPr>
                <w:rFonts w:cs="Arial"/>
                <w:color w:val="FF0000"/>
                <w:sz w:val="21"/>
                <w:szCs w:val="21"/>
              </w:rPr>
            </w:pPr>
          </w:p>
        </w:tc>
        <w:tc>
          <w:tcPr>
            <w:tcW w:w="217" w:type="dxa"/>
          </w:tcPr>
          <w:p w14:paraId="2D19A864" w14:textId="77777777" w:rsidR="002C0FD9" w:rsidRPr="00CA25CF" w:rsidRDefault="002C0FD9" w:rsidP="00CA25CF">
            <w:pPr>
              <w:rPr>
                <w:rFonts w:cs="Arial"/>
                <w:color w:val="FF0000"/>
                <w:sz w:val="21"/>
                <w:szCs w:val="21"/>
              </w:rPr>
            </w:pPr>
          </w:p>
        </w:tc>
        <w:tc>
          <w:tcPr>
            <w:tcW w:w="217" w:type="dxa"/>
          </w:tcPr>
          <w:p w14:paraId="4C5DD3AD" w14:textId="77777777" w:rsidR="002C0FD9" w:rsidRPr="00CA25CF" w:rsidRDefault="002C0FD9" w:rsidP="00CA25CF">
            <w:pPr>
              <w:rPr>
                <w:rFonts w:cs="Arial"/>
                <w:color w:val="FF0000"/>
                <w:sz w:val="21"/>
                <w:szCs w:val="21"/>
              </w:rPr>
            </w:pPr>
          </w:p>
        </w:tc>
        <w:tc>
          <w:tcPr>
            <w:tcW w:w="217" w:type="dxa"/>
          </w:tcPr>
          <w:p w14:paraId="468E7B66" w14:textId="77777777" w:rsidR="002C0FD9" w:rsidRPr="00CA25CF" w:rsidRDefault="002C0FD9" w:rsidP="00CA25CF">
            <w:pPr>
              <w:rPr>
                <w:rFonts w:cs="Arial"/>
                <w:color w:val="FF0000"/>
                <w:sz w:val="21"/>
                <w:szCs w:val="21"/>
              </w:rPr>
            </w:pPr>
          </w:p>
        </w:tc>
        <w:tc>
          <w:tcPr>
            <w:tcW w:w="217" w:type="dxa"/>
          </w:tcPr>
          <w:p w14:paraId="6320D2F1" w14:textId="77777777" w:rsidR="002C0FD9" w:rsidRPr="00CA25CF" w:rsidRDefault="002C0FD9" w:rsidP="00CA25CF">
            <w:pPr>
              <w:rPr>
                <w:rFonts w:cs="Arial"/>
                <w:color w:val="FF0000"/>
                <w:sz w:val="21"/>
                <w:szCs w:val="21"/>
              </w:rPr>
            </w:pPr>
          </w:p>
        </w:tc>
        <w:tc>
          <w:tcPr>
            <w:tcW w:w="217" w:type="dxa"/>
          </w:tcPr>
          <w:p w14:paraId="7D494E0D" w14:textId="77777777" w:rsidR="002C0FD9" w:rsidRPr="00CA25CF" w:rsidRDefault="002C0FD9" w:rsidP="00CA25CF">
            <w:pPr>
              <w:rPr>
                <w:rFonts w:cs="Arial"/>
                <w:color w:val="FF0000"/>
                <w:sz w:val="21"/>
                <w:szCs w:val="21"/>
              </w:rPr>
            </w:pPr>
          </w:p>
        </w:tc>
        <w:tc>
          <w:tcPr>
            <w:tcW w:w="217" w:type="dxa"/>
          </w:tcPr>
          <w:p w14:paraId="00443526" w14:textId="77777777" w:rsidR="002C0FD9" w:rsidRPr="00CA25CF" w:rsidRDefault="002C0FD9" w:rsidP="00CA25CF">
            <w:pPr>
              <w:rPr>
                <w:rFonts w:cs="Arial"/>
                <w:color w:val="FF0000"/>
                <w:sz w:val="21"/>
                <w:szCs w:val="21"/>
              </w:rPr>
            </w:pPr>
          </w:p>
        </w:tc>
        <w:tc>
          <w:tcPr>
            <w:tcW w:w="217" w:type="dxa"/>
          </w:tcPr>
          <w:p w14:paraId="53B79FFC" w14:textId="77777777" w:rsidR="002C0FD9" w:rsidRPr="00CA25CF" w:rsidRDefault="002C0FD9" w:rsidP="00CA25CF">
            <w:pPr>
              <w:rPr>
                <w:rFonts w:cs="Arial"/>
                <w:color w:val="FF0000"/>
                <w:sz w:val="21"/>
                <w:szCs w:val="21"/>
              </w:rPr>
            </w:pPr>
          </w:p>
        </w:tc>
        <w:tc>
          <w:tcPr>
            <w:tcW w:w="217" w:type="dxa"/>
          </w:tcPr>
          <w:p w14:paraId="468174B1" w14:textId="77777777" w:rsidR="002C0FD9" w:rsidRPr="00CA25CF" w:rsidRDefault="002C0FD9" w:rsidP="00CA25CF">
            <w:pPr>
              <w:rPr>
                <w:rFonts w:cs="Arial"/>
                <w:color w:val="FF0000"/>
                <w:sz w:val="21"/>
                <w:szCs w:val="21"/>
              </w:rPr>
            </w:pPr>
          </w:p>
        </w:tc>
        <w:tc>
          <w:tcPr>
            <w:tcW w:w="217" w:type="dxa"/>
          </w:tcPr>
          <w:p w14:paraId="6F6692F9" w14:textId="77777777" w:rsidR="002C0FD9" w:rsidRPr="00CA25CF" w:rsidRDefault="002C0FD9" w:rsidP="00CA25CF">
            <w:pPr>
              <w:rPr>
                <w:rFonts w:cs="Arial"/>
                <w:color w:val="FF0000"/>
                <w:sz w:val="21"/>
                <w:szCs w:val="21"/>
              </w:rPr>
            </w:pPr>
          </w:p>
        </w:tc>
        <w:tc>
          <w:tcPr>
            <w:tcW w:w="217" w:type="dxa"/>
          </w:tcPr>
          <w:p w14:paraId="4D215125" w14:textId="77777777" w:rsidR="002C0FD9" w:rsidRPr="00CA25CF" w:rsidRDefault="002C0FD9" w:rsidP="00CA25CF">
            <w:pPr>
              <w:rPr>
                <w:rFonts w:cs="Arial"/>
                <w:color w:val="FF0000"/>
                <w:sz w:val="21"/>
                <w:szCs w:val="21"/>
              </w:rPr>
            </w:pPr>
          </w:p>
        </w:tc>
        <w:tc>
          <w:tcPr>
            <w:tcW w:w="217" w:type="dxa"/>
          </w:tcPr>
          <w:p w14:paraId="1232C77E" w14:textId="77777777" w:rsidR="002C0FD9" w:rsidRPr="00CA25CF" w:rsidRDefault="002C0FD9" w:rsidP="00CA25CF">
            <w:pPr>
              <w:rPr>
                <w:rFonts w:cs="Arial"/>
                <w:color w:val="FF0000"/>
                <w:sz w:val="21"/>
                <w:szCs w:val="21"/>
              </w:rPr>
            </w:pPr>
          </w:p>
        </w:tc>
        <w:tc>
          <w:tcPr>
            <w:tcW w:w="217" w:type="dxa"/>
          </w:tcPr>
          <w:p w14:paraId="411BF874" w14:textId="77777777" w:rsidR="002C0FD9" w:rsidRPr="00CA25CF" w:rsidRDefault="002C0FD9" w:rsidP="00CA25CF">
            <w:pPr>
              <w:rPr>
                <w:rFonts w:cs="Arial"/>
                <w:color w:val="FF0000"/>
                <w:sz w:val="21"/>
                <w:szCs w:val="21"/>
              </w:rPr>
            </w:pPr>
          </w:p>
        </w:tc>
        <w:tc>
          <w:tcPr>
            <w:tcW w:w="217" w:type="dxa"/>
          </w:tcPr>
          <w:p w14:paraId="69173F26" w14:textId="77777777" w:rsidR="002C0FD9" w:rsidRPr="00CA25CF" w:rsidRDefault="002C0FD9" w:rsidP="00CA25CF">
            <w:pPr>
              <w:rPr>
                <w:rFonts w:cs="Arial"/>
                <w:color w:val="FF0000"/>
                <w:sz w:val="21"/>
                <w:szCs w:val="21"/>
              </w:rPr>
            </w:pPr>
          </w:p>
        </w:tc>
      </w:tr>
      <w:tr w:rsidR="002C0FD9" w:rsidRPr="00A16219" w14:paraId="4DE0C053" w14:textId="77777777" w:rsidTr="002C0FD9">
        <w:trPr>
          <w:trHeight w:val="635"/>
        </w:trPr>
        <w:tc>
          <w:tcPr>
            <w:tcW w:w="515" w:type="dxa"/>
          </w:tcPr>
          <w:p w14:paraId="60F3CE58" w14:textId="77777777" w:rsidR="002C0FD9" w:rsidRPr="00CA25CF" w:rsidRDefault="002C0FD9" w:rsidP="00CA25CF">
            <w:pPr>
              <w:rPr>
                <w:rFonts w:cs="Arial"/>
                <w:color w:val="FF0000"/>
                <w:sz w:val="21"/>
                <w:szCs w:val="21"/>
              </w:rPr>
            </w:pPr>
          </w:p>
        </w:tc>
        <w:tc>
          <w:tcPr>
            <w:tcW w:w="217" w:type="dxa"/>
          </w:tcPr>
          <w:p w14:paraId="043FDF23" w14:textId="77777777" w:rsidR="002C0FD9" w:rsidRPr="00CA25CF" w:rsidRDefault="002C0FD9" w:rsidP="00CA25CF">
            <w:pPr>
              <w:rPr>
                <w:rFonts w:cs="Arial"/>
                <w:color w:val="FF0000"/>
                <w:sz w:val="21"/>
                <w:szCs w:val="21"/>
              </w:rPr>
            </w:pPr>
          </w:p>
        </w:tc>
        <w:tc>
          <w:tcPr>
            <w:tcW w:w="217" w:type="dxa"/>
          </w:tcPr>
          <w:p w14:paraId="215FFB0A" w14:textId="77777777" w:rsidR="002C0FD9" w:rsidRPr="00CA25CF" w:rsidRDefault="002C0FD9" w:rsidP="00CA25CF">
            <w:pPr>
              <w:rPr>
                <w:rFonts w:cs="Arial"/>
                <w:color w:val="FF0000"/>
                <w:sz w:val="21"/>
                <w:szCs w:val="21"/>
              </w:rPr>
            </w:pPr>
          </w:p>
        </w:tc>
        <w:tc>
          <w:tcPr>
            <w:tcW w:w="217" w:type="dxa"/>
          </w:tcPr>
          <w:p w14:paraId="7A2E6062" w14:textId="77777777" w:rsidR="002C0FD9" w:rsidRPr="00CA25CF" w:rsidRDefault="002C0FD9" w:rsidP="00CA25CF">
            <w:pPr>
              <w:rPr>
                <w:rFonts w:cs="Arial"/>
                <w:color w:val="FF0000"/>
                <w:sz w:val="21"/>
                <w:szCs w:val="21"/>
              </w:rPr>
            </w:pPr>
          </w:p>
        </w:tc>
        <w:tc>
          <w:tcPr>
            <w:tcW w:w="217" w:type="dxa"/>
          </w:tcPr>
          <w:p w14:paraId="603480D1" w14:textId="77777777" w:rsidR="002C0FD9" w:rsidRPr="00CA25CF" w:rsidRDefault="002C0FD9" w:rsidP="00CA25CF">
            <w:pPr>
              <w:rPr>
                <w:rFonts w:cs="Arial"/>
                <w:color w:val="FF0000"/>
                <w:sz w:val="21"/>
                <w:szCs w:val="21"/>
              </w:rPr>
            </w:pPr>
          </w:p>
        </w:tc>
        <w:tc>
          <w:tcPr>
            <w:tcW w:w="217" w:type="dxa"/>
          </w:tcPr>
          <w:p w14:paraId="593EBD72" w14:textId="77777777" w:rsidR="002C0FD9" w:rsidRPr="00CA25CF" w:rsidRDefault="002C0FD9" w:rsidP="00CA25CF">
            <w:pPr>
              <w:rPr>
                <w:rFonts w:cs="Arial"/>
                <w:color w:val="FF0000"/>
                <w:sz w:val="21"/>
                <w:szCs w:val="21"/>
              </w:rPr>
            </w:pPr>
          </w:p>
        </w:tc>
        <w:tc>
          <w:tcPr>
            <w:tcW w:w="217" w:type="dxa"/>
          </w:tcPr>
          <w:p w14:paraId="56F6B15A" w14:textId="77777777" w:rsidR="002C0FD9" w:rsidRPr="00CA25CF" w:rsidRDefault="002C0FD9" w:rsidP="00CA25CF">
            <w:pPr>
              <w:rPr>
                <w:rFonts w:cs="Arial"/>
                <w:color w:val="FF0000"/>
                <w:sz w:val="21"/>
                <w:szCs w:val="21"/>
              </w:rPr>
            </w:pPr>
          </w:p>
        </w:tc>
        <w:tc>
          <w:tcPr>
            <w:tcW w:w="217" w:type="dxa"/>
          </w:tcPr>
          <w:p w14:paraId="50FEBBF6" w14:textId="77777777" w:rsidR="002C0FD9" w:rsidRPr="00CA25CF" w:rsidRDefault="002C0FD9" w:rsidP="00CA25CF">
            <w:pPr>
              <w:rPr>
                <w:rFonts w:cs="Arial"/>
                <w:color w:val="FF0000"/>
                <w:sz w:val="21"/>
                <w:szCs w:val="21"/>
              </w:rPr>
            </w:pPr>
          </w:p>
        </w:tc>
        <w:tc>
          <w:tcPr>
            <w:tcW w:w="217" w:type="dxa"/>
          </w:tcPr>
          <w:p w14:paraId="577DA648" w14:textId="77777777" w:rsidR="002C0FD9" w:rsidRPr="00CA25CF" w:rsidRDefault="002C0FD9" w:rsidP="00CA25CF">
            <w:pPr>
              <w:rPr>
                <w:rFonts w:cs="Arial"/>
                <w:color w:val="FF0000"/>
                <w:sz w:val="21"/>
                <w:szCs w:val="21"/>
              </w:rPr>
            </w:pPr>
          </w:p>
        </w:tc>
        <w:tc>
          <w:tcPr>
            <w:tcW w:w="217" w:type="dxa"/>
          </w:tcPr>
          <w:p w14:paraId="0A60F0CD" w14:textId="77777777" w:rsidR="002C0FD9" w:rsidRPr="00CA25CF" w:rsidRDefault="002C0FD9" w:rsidP="00CA25CF">
            <w:pPr>
              <w:rPr>
                <w:rFonts w:cs="Arial"/>
                <w:color w:val="FF0000"/>
                <w:sz w:val="21"/>
                <w:szCs w:val="21"/>
              </w:rPr>
            </w:pPr>
          </w:p>
        </w:tc>
        <w:tc>
          <w:tcPr>
            <w:tcW w:w="217" w:type="dxa"/>
          </w:tcPr>
          <w:p w14:paraId="44029761" w14:textId="77777777" w:rsidR="002C0FD9" w:rsidRPr="00CA25CF" w:rsidRDefault="002C0FD9" w:rsidP="00CA25CF">
            <w:pPr>
              <w:rPr>
                <w:rFonts w:cs="Arial"/>
                <w:color w:val="FF0000"/>
                <w:sz w:val="21"/>
                <w:szCs w:val="21"/>
              </w:rPr>
            </w:pPr>
          </w:p>
        </w:tc>
        <w:tc>
          <w:tcPr>
            <w:tcW w:w="217" w:type="dxa"/>
          </w:tcPr>
          <w:p w14:paraId="327632D7" w14:textId="77777777" w:rsidR="002C0FD9" w:rsidRPr="00CA25CF" w:rsidRDefault="002C0FD9" w:rsidP="00CA25CF">
            <w:pPr>
              <w:rPr>
                <w:rFonts w:cs="Arial"/>
                <w:color w:val="FF0000"/>
                <w:sz w:val="21"/>
                <w:szCs w:val="21"/>
              </w:rPr>
            </w:pPr>
          </w:p>
        </w:tc>
        <w:tc>
          <w:tcPr>
            <w:tcW w:w="217" w:type="dxa"/>
          </w:tcPr>
          <w:p w14:paraId="7B892A55" w14:textId="77777777" w:rsidR="002C0FD9" w:rsidRPr="00CA25CF" w:rsidRDefault="002C0FD9" w:rsidP="00CA25CF">
            <w:pPr>
              <w:rPr>
                <w:rFonts w:cs="Arial"/>
                <w:color w:val="FF0000"/>
                <w:sz w:val="21"/>
                <w:szCs w:val="21"/>
              </w:rPr>
            </w:pPr>
          </w:p>
        </w:tc>
        <w:tc>
          <w:tcPr>
            <w:tcW w:w="217" w:type="dxa"/>
          </w:tcPr>
          <w:p w14:paraId="582A02FA" w14:textId="77777777" w:rsidR="002C0FD9" w:rsidRPr="00CA25CF" w:rsidRDefault="002C0FD9" w:rsidP="00CA25CF">
            <w:pPr>
              <w:rPr>
                <w:rFonts w:cs="Arial"/>
                <w:color w:val="FF0000"/>
                <w:sz w:val="21"/>
                <w:szCs w:val="21"/>
              </w:rPr>
            </w:pPr>
          </w:p>
        </w:tc>
        <w:tc>
          <w:tcPr>
            <w:tcW w:w="217" w:type="dxa"/>
          </w:tcPr>
          <w:p w14:paraId="5EC113A6" w14:textId="77777777" w:rsidR="002C0FD9" w:rsidRPr="00CA25CF" w:rsidRDefault="002C0FD9" w:rsidP="00CA25CF">
            <w:pPr>
              <w:rPr>
                <w:rFonts w:cs="Arial"/>
                <w:color w:val="FF0000"/>
                <w:sz w:val="21"/>
                <w:szCs w:val="21"/>
              </w:rPr>
            </w:pPr>
          </w:p>
        </w:tc>
        <w:tc>
          <w:tcPr>
            <w:tcW w:w="217" w:type="dxa"/>
          </w:tcPr>
          <w:p w14:paraId="301BB78C" w14:textId="77777777" w:rsidR="002C0FD9" w:rsidRPr="00CA25CF" w:rsidRDefault="002C0FD9" w:rsidP="00CA25CF">
            <w:pPr>
              <w:rPr>
                <w:rFonts w:cs="Arial"/>
                <w:color w:val="FF0000"/>
                <w:sz w:val="21"/>
                <w:szCs w:val="21"/>
              </w:rPr>
            </w:pPr>
          </w:p>
        </w:tc>
        <w:tc>
          <w:tcPr>
            <w:tcW w:w="217" w:type="dxa"/>
          </w:tcPr>
          <w:p w14:paraId="325D5372" w14:textId="77777777" w:rsidR="002C0FD9" w:rsidRPr="00CA25CF" w:rsidRDefault="002C0FD9" w:rsidP="00CA25CF">
            <w:pPr>
              <w:rPr>
                <w:rFonts w:cs="Arial"/>
                <w:color w:val="FF0000"/>
                <w:sz w:val="21"/>
                <w:szCs w:val="21"/>
              </w:rPr>
            </w:pPr>
          </w:p>
        </w:tc>
        <w:tc>
          <w:tcPr>
            <w:tcW w:w="217" w:type="dxa"/>
          </w:tcPr>
          <w:p w14:paraId="4157113C" w14:textId="77777777" w:rsidR="002C0FD9" w:rsidRPr="00CA25CF" w:rsidRDefault="002C0FD9" w:rsidP="00CA25CF">
            <w:pPr>
              <w:rPr>
                <w:rFonts w:cs="Arial"/>
                <w:color w:val="FF0000"/>
                <w:sz w:val="21"/>
                <w:szCs w:val="21"/>
              </w:rPr>
            </w:pPr>
          </w:p>
        </w:tc>
        <w:tc>
          <w:tcPr>
            <w:tcW w:w="217" w:type="dxa"/>
          </w:tcPr>
          <w:p w14:paraId="443CF5F3" w14:textId="77777777" w:rsidR="002C0FD9" w:rsidRPr="00CA25CF" w:rsidRDefault="002C0FD9" w:rsidP="00CA25CF">
            <w:pPr>
              <w:rPr>
                <w:rFonts w:cs="Arial"/>
                <w:color w:val="FF0000"/>
                <w:sz w:val="21"/>
                <w:szCs w:val="21"/>
              </w:rPr>
            </w:pPr>
          </w:p>
        </w:tc>
        <w:tc>
          <w:tcPr>
            <w:tcW w:w="217" w:type="dxa"/>
          </w:tcPr>
          <w:p w14:paraId="71B44C3B" w14:textId="77777777" w:rsidR="002C0FD9" w:rsidRPr="00CA25CF" w:rsidRDefault="002C0FD9" w:rsidP="00CA25CF">
            <w:pPr>
              <w:rPr>
                <w:rFonts w:cs="Arial"/>
                <w:color w:val="FF0000"/>
                <w:sz w:val="21"/>
                <w:szCs w:val="21"/>
              </w:rPr>
            </w:pPr>
          </w:p>
        </w:tc>
        <w:tc>
          <w:tcPr>
            <w:tcW w:w="217" w:type="dxa"/>
          </w:tcPr>
          <w:p w14:paraId="2CDD7549" w14:textId="77777777" w:rsidR="002C0FD9" w:rsidRPr="00CA25CF" w:rsidRDefault="002C0FD9" w:rsidP="00CA25CF">
            <w:pPr>
              <w:rPr>
                <w:rFonts w:cs="Arial"/>
                <w:color w:val="FF0000"/>
                <w:sz w:val="21"/>
                <w:szCs w:val="21"/>
              </w:rPr>
            </w:pPr>
          </w:p>
        </w:tc>
        <w:tc>
          <w:tcPr>
            <w:tcW w:w="217" w:type="dxa"/>
          </w:tcPr>
          <w:p w14:paraId="46E9431E" w14:textId="77777777" w:rsidR="002C0FD9" w:rsidRPr="00CA25CF" w:rsidRDefault="002C0FD9" w:rsidP="00CA25CF">
            <w:pPr>
              <w:rPr>
                <w:rFonts w:cs="Arial"/>
                <w:color w:val="FF0000"/>
                <w:sz w:val="21"/>
                <w:szCs w:val="21"/>
              </w:rPr>
            </w:pPr>
          </w:p>
        </w:tc>
        <w:tc>
          <w:tcPr>
            <w:tcW w:w="217" w:type="dxa"/>
          </w:tcPr>
          <w:p w14:paraId="7DC0A851" w14:textId="77777777" w:rsidR="002C0FD9" w:rsidRPr="00CA25CF" w:rsidRDefault="002C0FD9" w:rsidP="00CA25CF">
            <w:pPr>
              <w:rPr>
                <w:rFonts w:cs="Arial"/>
                <w:color w:val="FF0000"/>
                <w:sz w:val="21"/>
                <w:szCs w:val="21"/>
              </w:rPr>
            </w:pPr>
          </w:p>
        </w:tc>
        <w:tc>
          <w:tcPr>
            <w:tcW w:w="217" w:type="dxa"/>
          </w:tcPr>
          <w:p w14:paraId="63062422" w14:textId="77777777" w:rsidR="002C0FD9" w:rsidRPr="00CA25CF" w:rsidRDefault="002C0FD9" w:rsidP="00CA25CF">
            <w:pPr>
              <w:rPr>
                <w:rFonts w:cs="Arial"/>
                <w:color w:val="FF0000"/>
                <w:sz w:val="21"/>
                <w:szCs w:val="21"/>
              </w:rPr>
            </w:pPr>
          </w:p>
        </w:tc>
        <w:tc>
          <w:tcPr>
            <w:tcW w:w="217" w:type="dxa"/>
          </w:tcPr>
          <w:p w14:paraId="7DA51E2A" w14:textId="77777777" w:rsidR="002C0FD9" w:rsidRPr="00CA25CF" w:rsidRDefault="002C0FD9" w:rsidP="00CA25CF">
            <w:pPr>
              <w:rPr>
                <w:rFonts w:cs="Arial"/>
                <w:color w:val="FF0000"/>
                <w:sz w:val="21"/>
                <w:szCs w:val="21"/>
              </w:rPr>
            </w:pPr>
          </w:p>
        </w:tc>
        <w:tc>
          <w:tcPr>
            <w:tcW w:w="217" w:type="dxa"/>
          </w:tcPr>
          <w:p w14:paraId="42832E17" w14:textId="77777777" w:rsidR="002C0FD9" w:rsidRPr="00CA25CF" w:rsidRDefault="002C0FD9" w:rsidP="00CA25CF">
            <w:pPr>
              <w:rPr>
                <w:rFonts w:cs="Arial"/>
                <w:color w:val="FF0000"/>
                <w:sz w:val="21"/>
                <w:szCs w:val="21"/>
              </w:rPr>
            </w:pPr>
          </w:p>
        </w:tc>
        <w:tc>
          <w:tcPr>
            <w:tcW w:w="217" w:type="dxa"/>
          </w:tcPr>
          <w:p w14:paraId="3D8BF35C" w14:textId="77777777" w:rsidR="002C0FD9" w:rsidRPr="00CA25CF" w:rsidRDefault="002C0FD9" w:rsidP="00CA25CF">
            <w:pPr>
              <w:rPr>
                <w:rFonts w:cs="Arial"/>
                <w:color w:val="FF0000"/>
                <w:sz w:val="21"/>
                <w:szCs w:val="21"/>
              </w:rPr>
            </w:pPr>
          </w:p>
        </w:tc>
        <w:tc>
          <w:tcPr>
            <w:tcW w:w="217" w:type="dxa"/>
          </w:tcPr>
          <w:p w14:paraId="3D03E371" w14:textId="77777777" w:rsidR="002C0FD9" w:rsidRPr="00CA25CF" w:rsidRDefault="002C0FD9" w:rsidP="00CA25CF">
            <w:pPr>
              <w:rPr>
                <w:rFonts w:cs="Arial"/>
                <w:color w:val="FF0000"/>
                <w:sz w:val="21"/>
                <w:szCs w:val="21"/>
              </w:rPr>
            </w:pPr>
          </w:p>
        </w:tc>
        <w:tc>
          <w:tcPr>
            <w:tcW w:w="217" w:type="dxa"/>
          </w:tcPr>
          <w:p w14:paraId="593949C7" w14:textId="77777777" w:rsidR="002C0FD9" w:rsidRPr="00CA25CF" w:rsidRDefault="002C0FD9" w:rsidP="00CA25CF">
            <w:pPr>
              <w:rPr>
                <w:rFonts w:cs="Arial"/>
                <w:color w:val="FF0000"/>
                <w:sz w:val="21"/>
                <w:szCs w:val="21"/>
              </w:rPr>
            </w:pPr>
          </w:p>
        </w:tc>
        <w:tc>
          <w:tcPr>
            <w:tcW w:w="217" w:type="dxa"/>
          </w:tcPr>
          <w:p w14:paraId="05D04E6F" w14:textId="77777777" w:rsidR="002C0FD9" w:rsidRPr="00CA25CF" w:rsidRDefault="002C0FD9" w:rsidP="00CA25CF">
            <w:pPr>
              <w:rPr>
                <w:rFonts w:cs="Arial"/>
                <w:color w:val="FF0000"/>
                <w:sz w:val="21"/>
                <w:szCs w:val="21"/>
              </w:rPr>
            </w:pPr>
          </w:p>
        </w:tc>
        <w:tc>
          <w:tcPr>
            <w:tcW w:w="217" w:type="dxa"/>
          </w:tcPr>
          <w:p w14:paraId="235DA476" w14:textId="77777777" w:rsidR="002C0FD9" w:rsidRPr="00CA25CF" w:rsidRDefault="002C0FD9" w:rsidP="00CA25CF">
            <w:pPr>
              <w:rPr>
                <w:rFonts w:cs="Arial"/>
                <w:color w:val="FF0000"/>
                <w:sz w:val="21"/>
                <w:szCs w:val="21"/>
              </w:rPr>
            </w:pPr>
          </w:p>
        </w:tc>
        <w:tc>
          <w:tcPr>
            <w:tcW w:w="217" w:type="dxa"/>
          </w:tcPr>
          <w:p w14:paraId="5A7AF5D1" w14:textId="77777777" w:rsidR="002C0FD9" w:rsidRPr="00CA25CF" w:rsidRDefault="002C0FD9" w:rsidP="00CA25CF">
            <w:pPr>
              <w:rPr>
                <w:rFonts w:cs="Arial"/>
                <w:color w:val="FF0000"/>
                <w:sz w:val="21"/>
                <w:szCs w:val="21"/>
              </w:rPr>
            </w:pPr>
          </w:p>
        </w:tc>
        <w:tc>
          <w:tcPr>
            <w:tcW w:w="217" w:type="dxa"/>
          </w:tcPr>
          <w:p w14:paraId="3A35408C" w14:textId="77777777" w:rsidR="002C0FD9" w:rsidRPr="00CA25CF" w:rsidRDefault="002C0FD9" w:rsidP="00CA25CF">
            <w:pPr>
              <w:rPr>
                <w:rFonts w:cs="Arial"/>
                <w:color w:val="FF0000"/>
                <w:sz w:val="21"/>
                <w:szCs w:val="21"/>
              </w:rPr>
            </w:pPr>
          </w:p>
        </w:tc>
        <w:tc>
          <w:tcPr>
            <w:tcW w:w="217" w:type="dxa"/>
          </w:tcPr>
          <w:p w14:paraId="27FA0ABC" w14:textId="77777777" w:rsidR="002C0FD9" w:rsidRPr="00CA25CF" w:rsidRDefault="002C0FD9" w:rsidP="00CA25CF">
            <w:pPr>
              <w:rPr>
                <w:rFonts w:cs="Arial"/>
                <w:color w:val="FF0000"/>
                <w:sz w:val="21"/>
                <w:szCs w:val="21"/>
              </w:rPr>
            </w:pPr>
          </w:p>
        </w:tc>
        <w:tc>
          <w:tcPr>
            <w:tcW w:w="217" w:type="dxa"/>
          </w:tcPr>
          <w:p w14:paraId="3E7A99E6" w14:textId="77777777" w:rsidR="002C0FD9" w:rsidRPr="00CA25CF" w:rsidRDefault="002C0FD9" w:rsidP="00CA25CF">
            <w:pPr>
              <w:rPr>
                <w:rFonts w:cs="Arial"/>
                <w:color w:val="FF0000"/>
                <w:sz w:val="21"/>
                <w:szCs w:val="21"/>
              </w:rPr>
            </w:pPr>
          </w:p>
        </w:tc>
        <w:tc>
          <w:tcPr>
            <w:tcW w:w="217" w:type="dxa"/>
          </w:tcPr>
          <w:p w14:paraId="006EF0F6" w14:textId="77777777" w:rsidR="002C0FD9" w:rsidRPr="00CA25CF" w:rsidRDefault="002C0FD9" w:rsidP="00CA25CF">
            <w:pPr>
              <w:rPr>
                <w:rFonts w:cs="Arial"/>
                <w:color w:val="FF0000"/>
                <w:sz w:val="21"/>
                <w:szCs w:val="21"/>
              </w:rPr>
            </w:pPr>
          </w:p>
        </w:tc>
        <w:tc>
          <w:tcPr>
            <w:tcW w:w="217" w:type="dxa"/>
          </w:tcPr>
          <w:p w14:paraId="3B1ED021" w14:textId="77777777" w:rsidR="002C0FD9" w:rsidRPr="00CA25CF" w:rsidRDefault="002C0FD9" w:rsidP="00CA25CF">
            <w:pPr>
              <w:rPr>
                <w:rFonts w:cs="Arial"/>
                <w:color w:val="FF0000"/>
                <w:sz w:val="21"/>
                <w:szCs w:val="21"/>
              </w:rPr>
            </w:pPr>
          </w:p>
        </w:tc>
        <w:tc>
          <w:tcPr>
            <w:tcW w:w="217" w:type="dxa"/>
          </w:tcPr>
          <w:p w14:paraId="282355C3" w14:textId="77777777" w:rsidR="002C0FD9" w:rsidRPr="00CA25CF" w:rsidRDefault="002C0FD9" w:rsidP="00CA25CF">
            <w:pPr>
              <w:rPr>
                <w:rFonts w:cs="Arial"/>
                <w:color w:val="FF0000"/>
                <w:sz w:val="21"/>
                <w:szCs w:val="21"/>
              </w:rPr>
            </w:pPr>
          </w:p>
        </w:tc>
        <w:tc>
          <w:tcPr>
            <w:tcW w:w="217" w:type="dxa"/>
          </w:tcPr>
          <w:p w14:paraId="6E9DDBA0" w14:textId="77777777" w:rsidR="002C0FD9" w:rsidRPr="00CA25CF" w:rsidRDefault="002C0FD9" w:rsidP="00CA25CF">
            <w:pPr>
              <w:rPr>
                <w:rFonts w:cs="Arial"/>
                <w:color w:val="FF0000"/>
                <w:sz w:val="21"/>
                <w:szCs w:val="21"/>
              </w:rPr>
            </w:pPr>
          </w:p>
        </w:tc>
        <w:tc>
          <w:tcPr>
            <w:tcW w:w="217" w:type="dxa"/>
          </w:tcPr>
          <w:p w14:paraId="38FF7566" w14:textId="77777777" w:rsidR="002C0FD9" w:rsidRPr="00CA25CF" w:rsidRDefault="002C0FD9" w:rsidP="00CA25CF">
            <w:pPr>
              <w:rPr>
                <w:rFonts w:cs="Arial"/>
                <w:color w:val="FF0000"/>
                <w:sz w:val="21"/>
                <w:szCs w:val="21"/>
              </w:rPr>
            </w:pPr>
          </w:p>
        </w:tc>
        <w:tc>
          <w:tcPr>
            <w:tcW w:w="217" w:type="dxa"/>
          </w:tcPr>
          <w:p w14:paraId="3B478FAA" w14:textId="77777777" w:rsidR="002C0FD9" w:rsidRPr="00CA25CF" w:rsidRDefault="002C0FD9" w:rsidP="00CA25CF">
            <w:pPr>
              <w:rPr>
                <w:rFonts w:cs="Arial"/>
                <w:color w:val="FF0000"/>
                <w:sz w:val="21"/>
                <w:szCs w:val="21"/>
              </w:rPr>
            </w:pPr>
          </w:p>
        </w:tc>
        <w:tc>
          <w:tcPr>
            <w:tcW w:w="217" w:type="dxa"/>
          </w:tcPr>
          <w:p w14:paraId="435F3CC8" w14:textId="77777777" w:rsidR="002C0FD9" w:rsidRPr="00CA25CF" w:rsidRDefault="002C0FD9" w:rsidP="00CA25CF">
            <w:pPr>
              <w:rPr>
                <w:rFonts w:cs="Arial"/>
                <w:color w:val="FF0000"/>
                <w:sz w:val="21"/>
                <w:szCs w:val="21"/>
              </w:rPr>
            </w:pPr>
          </w:p>
        </w:tc>
        <w:tc>
          <w:tcPr>
            <w:tcW w:w="217" w:type="dxa"/>
          </w:tcPr>
          <w:p w14:paraId="37AB9E32" w14:textId="77777777" w:rsidR="002C0FD9" w:rsidRPr="00CA25CF" w:rsidRDefault="002C0FD9" w:rsidP="00CA25CF">
            <w:pPr>
              <w:rPr>
                <w:rFonts w:cs="Arial"/>
                <w:color w:val="FF0000"/>
                <w:sz w:val="21"/>
                <w:szCs w:val="21"/>
              </w:rPr>
            </w:pPr>
          </w:p>
        </w:tc>
      </w:tr>
      <w:tr w:rsidR="002C0FD9" w:rsidRPr="00A16219" w14:paraId="71AEC2B1" w14:textId="77777777" w:rsidTr="002C0FD9">
        <w:trPr>
          <w:trHeight w:val="635"/>
        </w:trPr>
        <w:tc>
          <w:tcPr>
            <w:tcW w:w="515" w:type="dxa"/>
          </w:tcPr>
          <w:p w14:paraId="423F1A07" w14:textId="77777777" w:rsidR="002C0FD9" w:rsidRPr="00CA25CF" w:rsidRDefault="002C0FD9" w:rsidP="00CA25CF">
            <w:pPr>
              <w:rPr>
                <w:rFonts w:cs="Arial"/>
                <w:color w:val="FF0000"/>
                <w:sz w:val="21"/>
                <w:szCs w:val="21"/>
              </w:rPr>
            </w:pPr>
          </w:p>
        </w:tc>
        <w:tc>
          <w:tcPr>
            <w:tcW w:w="217" w:type="dxa"/>
          </w:tcPr>
          <w:p w14:paraId="09D64B46" w14:textId="77777777" w:rsidR="002C0FD9" w:rsidRPr="00CA25CF" w:rsidRDefault="002C0FD9" w:rsidP="00CA25CF">
            <w:pPr>
              <w:rPr>
                <w:rFonts w:cs="Arial"/>
                <w:color w:val="FF0000"/>
                <w:sz w:val="21"/>
                <w:szCs w:val="21"/>
              </w:rPr>
            </w:pPr>
          </w:p>
        </w:tc>
        <w:tc>
          <w:tcPr>
            <w:tcW w:w="217" w:type="dxa"/>
          </w:tcPr>
          <w:p w14:paraId="7D126FE7" w14:textId="77777777" w:rsidR="002C0FD9" w:rsidRPr="00CA25CF" w:rsidRDefault="002C0FD9" w:rsidP="00CA25CF">
            <w:pPr>
              <w:rPr>
                <w:rFonts w:cs="Arial"/>
                <w:color w:val="FF0000"/>
                <w:sz w:val="21"/>
                <w:szCs w:val="21"/>
              </w:rPr>
            </w:pPr>
          </w:p>
        </w:tc>
        <w:tc>
          <w:tcPr>
            <w:tcW w:w="217" w:type="dxa"/>
          </w:tcPr>
          <w:p w14:paraId="475BE8F4" w14:textId="77777777" w:rsidR="002C0FD9" w:rsidRPr="00CA25CF" w:rsidRDefault="002C0FD9" w:rsidP="00CA25CF">
            <w:pPr>
              <w:rPr>
                <w:rFonts w:cs="Arial"/>
                <w:color w:val="FF0000"/>
                <w:sz w:val="21"/>
                <w:szCs w:val="21"/>
              </w:rPr>
            </w:pPr>
          </w:p>
        </w:tc>
        <w:tc>
          <w:tcPr>
            <w:tcW w:w="217" w:type="dxa"/>
          </w:tcPr>
          <w:p w14:paraId="2C04B208" w14:textId="77777777" w:rsidR="002C0FD9" w:rsidRPr="00CA25CF" w:rsidRDefault="002C0FD9" w:rsidP="00CA25CF">
            <w:pPr>
              <w:rPr>
                <w:rFonts w:cs="Arial"/>
                <w:color w:val="FF0000"/>
                <w:sz w:val="21"/>
                <w:szCs w:val="21"/>
              </w:rPr>
            </w:pPr>
          </w:p>
        </w:tc>
        <w:tc>
          <w:tcPr>
            <w:tcW w:w="217" w:type="dxa"/>
          </w:tcPr>
          <w:p w14:paraId="4B2EAB22" w14:textId="77777777" w:rsidR="002C0FD9" w:rsidRPr="00CA25CF" w:rsidRDefault="002C0FD9" w:rsidP="00CA25CF">
            <w:pPr>
              <w:rPr>
                <w:rFonts w:cs="Arial"/>
                <w:color w:val="FF0000"/>
                <w:sz w:val="21"/>
                <w:szCs w:val="21"/>
              </w:rPr>
            </w:pPr>
          </w:p>
        </w:tc>
        <w:tc>
          <w:tcPr>
            <w:tcW w:w="217" w:type="dxa"/>
          </w:tcPr>
          <w:p w14:paraId="5868031A" w14:textId="77777777" w:rsidR="002C0FD9" w:rsidRPr="00CA25CF" w:rsidRDefault="002C0FD9" w:rsidP="00CA25CF">
            <w:pPr>
              <w:rPr>
                <w:rFonts w:cs="Arial"/>
                <w:color w:val="FF0000"/>
                <w:sz w:val="21"/>
                <w:szCs w:val="21"/>
              </w:rPr>
            </w:pPr>
          </w:p>
        </w:tc>
        <w:tc>
          <w:tcPr>
            <w:tcW w:w="217" w:type="dxa"/>
          </w:tcPr>
          <w:p w14:paraId="294BEECA" w14:textId="77777777" w:rsidR="002C0FD9" w:rsidRPr="00CA25CF" w:rsidRDefault="002C0FD9" w:rsidP="00CA25CF">
            <w:pPr>
              <w:rPr>
                <w:rFonts w:cs="Arial"/>
                <w:color w:val="FF0000"/>
                <w:sz w:val="21"/>
                <w:szCs w:val="21"/>
              </w:rPr>
            </w:pPr>
          </w:p>
        </w:tc>
        <w:tc>
          <w:tcPr>
            <w:tcW w:w="217" w:type="dxa"/>
          </w:tcPr>
          <w:p w14:paraId="611475E6" w14:textId="77777777" w:rsidR="002C0FD9" w:rsidRPr="00CA25CF" w:rsidRDefault="002C0FD9" w:rsidP="00CA25CF">
            <w:pPr>
              <w:rPr>
                <w:rFonts w:cs="Arial"/>
                <w:color w:val="FF0000"/>
                <w:sz w:val="21"/>
                <w:szCs w:val="21"/>
              </w:rPr>
            </w:pPr>
          </w:p>
        </w:tc>
        <w:tc>
          <w:tcPr>
            <w:tcW w:w="217" w:type="dxa"/>
          </w:tcPr>
          <w:p w14:paraId="68FBF36F" w14:textId="77777777" w:rsidR="002C0FD9" w:rsidRPr="00CA25CF" w:rsidRDefault="002C0FD9" w:rsidP="00CA25CF">
            <w:pPr>
              <w:rPr>
                <w:rFonts w:cs="Arial"/>
                <w:color w:val="FF0000"/>
                <w:sz w:val="21"/>
                <w:szCs w:val="21"/>
              </w:rPr>
            </w:pPr>
          </w:p>
        </w:tc>
        <w:tc>
          <w:tcPr>
            <w:tcW w:w="217" w:type="dxa"/>
          </w:tcPr>
          <w:p w14:paraId="24B6E555" w14:textId="77777777" w:rsidR="002C0FD9" w:rsidRPr="00CA25CF" w:rsidRDefault="002C0FD9" w:rsidP="00CA25CF">
            <w:pPr>
              <w:rPr>
                <w:rFonts w:cs="Arial"/>
                <w:color w:val="FF0000"/>
                <w:sz w:val="21"/>
                <w:szCs w:val="21"/>
              </w:rPr>
            </w:pPr>
          </w:p>
        </w:tc>
        <w:tc>
          <w:tcPr>
            <w:tcW w:w="217" w:type="dxa"/>
          </w:tcPr>
          <w:p w14:paraId="1788B8F6" w14:textId="77777777" w:rsidR="002C0FD9" w:rsidRPr="00CA25CF" w:rsidRDefault="002C0FD9" w:rsidP="00CA25CF">
            <w:pPr>
              <w:rPr>
                <w:rFonts w:cs="Arial"/>
                <w:color w:val="FF0000"/>
                <w:sz w:val="21"/>
                <w:szCs w:val="21"/>
              </w:rPr>
            </w:pPr>
          </w:p>
        </w:tc>
        <w:tc>
          <w:tcPr>
            <w:tcW w:w="217" w:type="dxa"/>
          </w:tcPr>
          <w:p w14:paraId="732C68FD" w14:textId="77777777" w:rsidR="002C0FD9" w:rsidRPr="00CA25CF" w:rsidRDefault="002C0FD9" w:rsidP="00CA25CF">
            <w:pPr>
              <w:rPr>
                <w:rFonts w:cs="Arial"/>
                <w:color w:val="FF0000"/>
                <w:sz w:val="21"/>
                <w:szCs w:val="21"/>
              </w:rPr>
            </w:pPr>
          </w:p>
        </w:tc>
        <w:tc>
          <w:tcPr>
            <w:tcW w:w="217" w:type="dxa"/>
          </w:tcPr>
          <w:p w14:paraId="09C4B7E3" w14:textId="77777777" w:rsidR="002C0FD9" w:rsidRPr="00CA25CF" w:rsidRDefault="002C0FD9" w:rsidP="00CA25CF">
            <w:pPr>
              <w:rPr>
                <w:rFonts w:cs="Arial"/>
                <w:color w:val="FF0000"/>
                <w:sz w:val="21"/>
                <w:szCs w:val="21"/>
              </w:rPr>
            </w:pPr>
          </w:p>
        </w:tc>
        <w:tc>
          <w:tcPr>
            <w:tcW w:w="217" w:type="dxa"/>
          </w:tcPr>
          <w:p w14:paraId="5ACF2A3F" w14:textId="77777777" w:rsidR="002C0FD9" w:rsidRPr="00CA25CF" w:rsidRDefault="002C0FD9" w:rsidP="00CA25CF">
            <w:pPr>
              <w:rPr>
                <w:rFonts w:cs="Arial"/>
                <w:color w:val="FF0000"/>
                <w:sz w:val="21"/>
                <w:szCs w:val="21"/>
              </w:rPr>
            </w:pPr>
          </w:p>
        </w:tc>
        <w:tc>
          <w:tcPr>
            <w:tcW w:w="217" w:type="dxa"/>
          </w:tcPr>
          <w:p w14:paraId="5894A839" w14:textId="77777777" w:rsidR="002C0FD9" w:rsidRPr="00CA25CF" w:rsidRDefault="002C0FD9" w:rsidP="00CA25CF">
            <w:pPr>
              <w:rPr>
                <w:rFonts w:cs="Arial"/>
                <w:color w:val="FF0000"/>
                <w:sz w:val="21"/>
                <w:szCs w:val="21"/>
              </w:rPr>
            </w:pPr>
          </w:p>
        </w:tc>
        <w:tc>
          <w:tcPr>
            <w:tcW w:w="217" w:type="dxa"/>
          </w:tcPr>
          <w:p w14:paraId="5A067DC7" w14:textId="77777777" w:rsidR="002C0FD9" w:rsidRPr="00CA25CF" w:rsidRDefault="002C0FD9" w:rsidP="00CA25CF">
            <w:pPr>
              <w:rPr>
                <w:rFonts w:cs="Arial"/>
                <w:color w:val="FF0000"/>
                <w:sz w:val="21"/>
                <w:szCs w:val="21"/>
              </w:rPr>
            </w:pPr>
          </w:p>
        </w:tc>
        <w:tc>
          <w:tcPr>
            <w:tcW w:w="217" w:type="dxa"/>
          </w:tcPr>
          <w:p w14:paraId="46142AC9" w14:textId="77777777" w:rsidR="002C0FD9" w:rsidRPr="00CA25CF" w:rsidRDefault="002C0FD9" w:rsidP="00CA25CF">
            <w:pPr>
              <w:rPr>
                <w:rFonts w:cs="Arial"/>
                <w:color w:val="FF0000"/>
                <w:sz w:val="21"/>
                <w:szCs w:val="21"/>
              </w:rPr>
            </w:pPr>
          </w:p>
        </w:tc>
        <w:tc>
          <w:tcPr>
            <w:tcW w:w="217" w:type="dxa"/>
          </w:tcPr>
          <w:p w14:paraId="0EBA45A7" w14:textId="77777777" w:rsidR="002C0FD9" w:rsidRPr="00CA25CF" w:rsidRDefault="002C0FD9" w:rsidP="00CA25CF">
            <w:pPr>
              <w:rPr>
                <w:rFonts w:cs="Arial"/>
                <w:color w:val="FF0000"/>
                <w:sz w:val="21"/>
                <w:szCs w:val="21"/>
              </w:rPr>
            </w:pPr>
          </w:p>
        </w:tc>
        <w:tc>
          <w:tcPr>
            <w:tcW w:w="217" w:type="dxa"/>
          </w:tcPr>
          <w:p w14:paraId="1B0EC8F9" w14:textId="77777777" w:rsidR="002C0FD9" w:rsidRPr="00CA25CF" w:rsidRDefault="002C0FD9" w:rsidP="00CA25CF">
            <w:pPr>
              <w:rPr>
                <w:rFonts w:cs="Arial"/>
                <w:color w:val="FF0000"/>
                <w:sz w:val="21"/>
                <w:szCs w:val="21"/>
              </w:rPr>
            </w:pPr>
          </w:p>
        </w:tc>
        <w:tc>
          <w:tcPr>
            <w:tcW w:w="217" w:type="dxa"/>
          </w:tcPr>
          <w:p w14:paraId="2140BFDE" w14:textId="77777777" w:rsidR="002C0FD9" w:rsidRPr="00CA25CF" w:rsidRDefault="002C0FD9" w:rsidP="00CA25CF">
            <w:pPr>
              <w:rPr>
                <w:rFonts w:cs="Arial"/>
                <w:color w:val="FF0000"/>
                <w:sz w:val="21"/>
                <w:szCs w:val="21"/>
              </w:rPr>
            </w:pPr>
          </w:p>
        </w:tc>
        <w:tc>
          <w:tcPr>
            <w:tcW w:w="217" w:type="dxa"/>
          </w:tcPr>
          <w:p w14:paraId="4C0D5F18" w14:textId="77777777" w:rsidR="002C0FD9" w:rsidRPr="00CA25CF" w:rsidRDefault="002C0FD9" w:rsidP="00CA25CF">
            <w:pPr>
              <w:rPr>
                <w:rFonts w:cs="Arial"/>
                <w:color w:val="FF0000"/>
                <w:sz w:val="21"/>
                <w:szCs w:val="21"/>
              </w:rPr>
            </w:pPr>
          </w:p>
        </w:tc>
        <w:tc>
          <w:tcPr>
            <w:tcW w:w="217" w:type="dxa"/>
          </w:tcPr>
          <w:p w14:paraId="38060572" w14:textId="77777777" w:rsidR="002C0FD9" w:rsidRPr="00CA25CF" w:rsidRDefault="002C0FD9" w:rsidP="00CA25CF">
            <w:pPr>
              <w:rPr>
                <w:rFonts w:cs="Arial"/>
                <w:color w:val="FF0000"/>
                <w:sz w:val="21"/>
                <w:szCs w:val="21"/>
              </w:rPr>
            </w:pPr>
          </w:p>
        </w:tc>
        <w:tc>
          <w:tcPr>
            <w:tcW w:w="217" w:type="dxa"/>
          </w:tcPr>
          <w:p w14:paraId="5A0BA534" w14:textId="77777777" w:rsidR="002C0FD9" w:rsidRPr="00CA25CF" w:rsidRDefault="002C0FD9" w:rsidP="00CA25CF">
            <w:pPr>
              <w:rPr>
                <w:rFonts w:cs="Arial"/>
                <w:color w:val="FF0000"/>
                <w:sz w:val="21"/>
                <w:szCs w:val="21"/>
              </w:rPr>
            </w:pPr>
          </w:p>
        </w:tc>
        <w:tc>
          <w:tcPr>
            <w:tcW w:w="217" w:type="dxa"/>
          </w:tcPr>
          <w:p w14:paraId="0BCD9DFA" w14:textId="77777777" w:rsidR="002C0FD9" w:rsidRPr="00CA25CF" w:rsidRDefault="002C0FD9" w:rsidP="00CA25CF">
            <w:pPr>
              <w:rPr>
                <w:rFonts w:cs="Arial"/>
                <w:color w:val="FF0000"/>
                <w:sz w:val="21"/>
                <w:szCs w:val="21"/>
              </w:rPr>
            </w:pPr>
          </w:p>
        </w:tc>
        <w:tc>
          <w:tcPr>
            <w:tcW w:w="217" w:type="dxa"/>
          </w:tcPr>
          <w:p w14:paraId="6A322A61" w14:textId="77777777" w:rsidR="002C0FD9" w:rsidRPr="00CA25CF" w:rsidRDefault="002C0FD9" w:rsidP="00CA25CF">
            <w:pPr>
              <w:rPr>
                <w:rFonts w:cs="Arial"/>
                <w:color w:val="FF0000"/>
                <w:sz w:val="21"/>
                <w:szCs w:val="21"/>
              </w:rPr>
            </w:pPr>
          </w:p>
        </w:tc>
        <w:tc>
          <w:tcPr>
            <w:tcW w:w="217" w:type="dxa"/>
          </w:tcPr>
          <w:p w14:paraId="2190ABAC" w14:textId="77777777" w:rsidR="002C0FD9" w:rsidRPr="00CA25CF" w:rsidRDefault="002C0FD9" w:rsidP="00CA25CF">
            <w:pPr>
              <w:rPr>
                <w:rFonts w:cs="Arial"/>
                <w:color w:val="FF0000"/>
                <w:sz w:val="21"/>
                <w:szCs w:val="21"/>
              </w:rPr>
            </w:pPr>
          </w:p>
        </w:tc>
        <w:tc>
          <w:tcPr>
            <w:tcW w:w="217" w:type="dxa"/>
          </w:tcPr>
          <w:p w14:paraId="4616B68F" w14:textId="77777777" w:rsidR="002C0FD9" w:rsidRPr="00CA25CF" w:rsidRDefault="002C0FD9" w:rsidP="00CA25CF">
            <w:pPr>
              <w:rPr>
                <w:rFonts w:cs="Arial"/>
                <w:color w:val="FF0000"/>
                <w:sz w:val="21"/>
                <w:szCs w:val="21"/>
              </w:rPr>
            </w:pPr>
          </w:p>
        </w:tc>
        <w:tc>
          <w:tcPr>
            <w:tcW w:w="217" w:type="dxa"/>
          </w:tcPr>
          <w:p w14:paraId="706653F4" w14:textId="77777777" w:rsidR="002C0FD9" w:rsidRPr="00CA25CF" w:rsidRDefault="002C0FD9" w:rsidP="00CA25CF">
            <w:pPr>
              <w:rPr>
                <w:rFonts w:cs="Arial"/>
                <w:color w:val="FF0000"/>
                <w:sz w:val="21"/>
                <w:szCs w:val="21"/>
              </w:rPr>
            </w:pPr>
          </w:p>
        </w:tc>
        <w:tc>
          <w:tcPr>
            <w:tcW w:w="217" w:type="dxa"/>
          </w:tcPr>
          <w:p w14:paraId="20AFA6D6" w14:textId="77777777" w:rsidR="002C0FD9" w:rsidRPr="00CA25CF" w:rsidRDefault="002C0FD9" w:rsidP="00CA25CF">
            <w:pPr>
              <w:rPr>
                <w:rFonts w:cs="Arial"/>
                <w:color w:val="FF0000"/>
                <w:sz w:val="21"/>
                <w:szCs w:val="21"/>
              </w:rPr>
            </w:pPr>
          </w:p>
        </w:tc>
        <w:tc>
          <w:tcPr>
            <w:tcW w:w="217" w:type="dxa"/>
          </w:tcPr>
          <w:p w14:paraId="0DA02880" w14:textId="77777777" w:rsidR="002C0FD9" w:rsidRPr="00CA25CF" w:rsidRDefault="002C0FD9" w:rsidP="00CA25CF">
            <w:pPr>
              <w:rPr>
                <w:rFonts w:cs="Arial"/>
                <w:color w:val="FF0000"/>
                <w:sz w:val="21"/>
                <w:szCs w:val="21"/>
              </w:rPr>
            </w:pPr>
          </w:p>
        </w:tc>
        <w:tc>
          <w:tcPr>
            <w:tcW w:w="217" w:type="dxa"/>
          </w:tcPr>
          <w:p w14:paraId="543E7849" w14:textId="77777777" w:rsidR="002C0FD9" w:rsidRPr="00CA25CF" w:rsidRDefault="002C0FD9" w:rsidP="00CA25CF">
            <w:pPr>
              <w:rPr>
                <w:rFonts w:cs="Arial"/>
                <w:color w:val="FF0000"/>
                <w:sz w:val="21"/>
                <w:szCs w:val="21"/>
              </w:rPr>
            </w:pPr>
          </w:p>
        </w:tc>
        <w:tc>
          <w:tcPr>
            <w:tcW w:w="217" w:type="dxa"/>
          </w:tcPr>
          <w:p w14:paraId="7B9974CA" w14:textId="77777777" w:rsidR="002C0FD9" w:rsidRPr="00CA25CF" w:rsidRDefault="002C0FD9" w:rsidP="00CA25CF">
            <w:pPr>
              <w:rPr>
                <w:rFonts w:cs="Arial"/>
                <w:color w:val="FF0000"/>
                <w:sz w:val="21"/>
                <w:szCs w:val="21"/>
              </w:rPr>
            </w:pPr>
          </w:p>
        </w:tc>
        <w:tc>
          <w:tcPr>
            <w:tcW w:w="217" w:type="dxa"/>
          </w:tcPr>
          <w:p w14:paraId="49225548" w14:textId="77777777" w:rsidR="002C0FD9" w:rsidRPr="00CA25CF" w:rsidRDefault="002C0FD9" w:rsidP="00CA25CF">
            <w:pPr>
              <w:rPr>
                <w:rFonts w:cs="Arial"/>
                <w:color w:val="FF0000"/>
                <w:sz w:val="21"/>
                <w:szCs w:val="21"/>
              </w:rPr>
            </w:pPr>
          </w:p>
        </w:tc>
        <w:tc>
          <w:tcPr>
            <w:tcW w:w="217" w:type="dxa"/>
          </w:tcPr>
          <w:p w14:paraId="452E7436" w14:textId="77777777" w:rsidR="002C0FD9" w:rsidRPr="00CA25CF" w:rsidRDefault="002C0FD9" w:rsidP="00CA25CF">
            <w:pPr>
              <w:rPr>
                <w:rFonts w:cs="Arial"/>
                <w:color w:val="FF0000"/>
                <w:sz w:val="21"/>
                <w:szCs w:val="21"/>
              </w:rPr>
            </w:pPr>
          </w:p>
        </w:tc>
        <w:tc>
          <w:tcPr>
            <w:tcW w:w="217" w:type="dxa"/>
          </w:tcPr>
          <w:p w14:paraId="222D1948" w14:textId="77777777" w:rsidR="002C0FD9" w:rsidRPr="00CA25CF" w:rsidRDefault="002C0FD9" w:rsidP="00CA25CF">
            <w:pPr>
              <w:rPr>
                <w:rFonts w:cs="Arial"/>
                <w:color w:val="FF0000"/>
                <w:sz w:val="21"/>
                <w:szCs w:val="21"/>
              </w:rPr>
            </w:pPr>
          </w:p>
        </w:tc>
        <w:tc>
          <w:tcPr>
            <w:tcW w:w="217" w:type="dxa"/>
          </w:tcPr>
          <w:p w14:paraId="372F9495" w14:textId="77777777" w:rsidR="002C0FD9" w:rsidRPr="00CA25CF" w:rsidRDefault="002C0FD9" w:rsidP="00CA25CF">
            <w:pPr>
              <w:rPr>
                <w:rFonts w:cs="Arial"/>
                <w:color w:val="FF0000"/>
                <w:sz w:val="21"/>
                <w:szCs w:val="21"/>
              </w:rPr>
            </w:pPr>
          </w:p>
        </w:tc>
        <w:tc>
          <w:tcPr>
            <w:tcW w:w="217" w:type="dxa"/>
          </w:tcPr>
          <w:p w14:paraId="3763DF29" w14:textId="77777777" w:rsidR="002C0FD9" w:rsidRPr="00CA25CF" w:rsidRDefault="002C0FD9" w:rsidP="00CA25CF">
            <w:pPr>
              <w:rPr>
                <w:rFonts w:cs="Arial"/>
                <w:color w:val="FF0000"/>
                <w:sz w:val="21"/>
                <w:szCs w:val="21"/>
              </w:rPr>
            </w:pPr>
          </w:p>
        </w:tc>
        <w:tc>
          <w:tcPr>
            <w:tcW w:w="217" w:type="dxa"/>
          </w:tcPr>
          <w:p w14:paraId="0D75093B" w14:textId="77777777" w:rsidR="002C0FD9" w:rsidRPr="00CA25CF" w:rsidRDefault="002C0FD9" w:rsidP="00CA25CF">
            <w:pPr>
              <w:rPr>
                <w:rFonts w:cs="Arial"/>
                <w:color w:val="FF0000"/>
                <w:sz w:val="21"/>
                <w:szCs w:val="21"/>
              </w:rPr>
            </w:pPr>
          </w:p>
        </w:tc>
        <w:tc>
          <w:tcPr>
            <w:tcW w:w="217" w:type="dxa"/>
          </w:tcPr>
          <w:p w14:paraId="5DEFCE09" w14:textId="77777777" w:rsidR="002C0FD9" w:rsidRPr="00CA25CF" w:rsidRDefault="002C0FD9" w:rsidP="00CA25CF">
            <w:pPr>
              <w:rPr>
                <w:rFonts w:cs="Arial"/>
                <w:color w:val="FF0000"/>
                <w:sz w:val="21"/>
                <w:szCs w:val="21"/>
              </w:rPr>
            </w:pPr>
          </w:p>
        </w:tc>
        <w:tc>
          <w:tcPr>
            <w:tcW w:w="217" w:type="dxa"/>
          </w:tcPr>
          <w:p w14:paraId="53C0128C" w14:textId="77777777" w:rsidR="002C0FD9" w:rsidRPr="00CA25CF" w:rsidRDefault="002C0FD9" w:rsidP="00CA25CF">
            <w:pPr>
              <w:rPr>
                <w:rFonts w:cs="Arial"/>
                <w:color w:val="FF0000"/>
                <w:sz w:val="21"/>
                <w:szCs w:val="21"/>
              </w:rPr>
            </w:pPr>
          </w:p>
        </w:tc>
        <w:tc>
          <w:tcPr>
            <w:tcW w:w="217" w:type="dxa"/>
          </w:tcPr>
          <w:p w14:paraId="0A94788D" w14:textId="77777777" w:rsidR="002C0FD9" w:rsidRPr="00CA25CF" w:rsidRDefault="002C0FD9" w:rsidP="00CA25CF">
            <w:pPr>
              <w:rPr>
                <w:rFonts w:cs="Arial"/>
                <w:color w:val="FF0000"/>
                <w:sz w:val="21"/>
                <w:szCs w:val="21"/>
              </w:rPr>
            </w:pPr>
          </w:p>
        </w:tc>
        <w:tc>
          <w:tcPr>
            <w:tcW w:w="217" w:type="dxa"/>
          </w:tcPr>
          <w:p w14:paraId="7CE17E14" w14:textId="77777777" w:rsidR="002C0FD9" w:rsidRPr="00CA25CF" w:rsidRDefault="002C0FD9" w:rsidP="00CA25CF">
            <w:pPr>
              <w:rPr>
                <w:rFonts w:cs="Arial"/>
                <w:color w:val="FF0000"/>
                <w:sz w:val="21"/>
                <w:szCs w:val="21"/>
              </w:rPr>
            </w:pPr>
          </w:p>
        </w:tc>
      </w:tr>
      <w:tr w:rsidR="002C0FD9" w:rsidRPr="00A16219" w14:paraId="0D81EC97" w14:textId="77777777" w:rsidTr="002C0FD9">
        <w:trPr>
          <w:trHeight w:val="635"/>
        </w:trPr>
        <w:tc>
          <w:tcPr>
            <w:tcW w:w="515" w:type="dxa"/>
          </w:tcPr>
          <w:p w14:paraId="5870030D" w14:textId="77777777" w:rsidR="002C0FD9" w:rsidRPr="00CA25CF" w:rsidRDefault="002C0FD9" w:rsidP="00CA25CF">
            <w:pPr>
              <w:rPr>
                <w:rFonts w:cs="Arial"/>
                <w:color w:val="FF0000"/>
                <w:sz w:val="21"/>
                <w:szCs w:val="21"/>
              </w:rPr>
            </w:pPr>
          </w:p>
        </w:tc>
        <w:tc>
          <w:tcPr>
            <w:tcW w:w="217" w:type="dxa"/>
          </w:tcPr>
          <w:p w14:paraId="5C31E236" w14:textId="77777777" w:rsidR="002C0FD9" w:rsidRPr="00CA25CF" w:rsidRDefault="002C0FD9" w:rsidP="00CA25CF">
            <w:pPr>
              <w:rPr>
                <w:rFonts w:cs="Arial"/>
                <w:color w:val="FF0000"/>
                <w:sz w:val="21"/>
                <w:szCs w:val="21"/>
              </w:rPr>
            </w:pPr>
          </w:p>
        </w:tc>
        <w:tc>
          <w:tcPr>
            <w:tcW w:w="217" w:type="dxa"/>
          </w:tcPr>
          <w:p w14:paraId="00C01F51" w14:textId="77777777" w:rsidR="002C0FD9" w:rsidRPr="00CA25CF" w:rsidRDefault="002C0FD9" w:rsidP="00CA25CF">
            <w:pPr>
              <w:rPr>
                <w:rFonts w:cs="Arial"/>
                <w:color w:val="FF0000"/>
                <w:sz w:val="21"/>
                <w:szCs w:val="21"/>
              </w:rPr>
            </w:pPr>
          </w:p>
        </w:tc>
        <w:tc>
          <w:tcPr>
            <w:tcW w:w="217" w:type="dxa"/>
          </w:tcPr>
          <w:p w14:paraId="657E16E7" w14:textId="77777777" w:rsidR="002C0FD9" w:rsidRPr="00CA25CF" w:rsidRDefault="002C0FD9" w:rsidP="00CA25CF">
            <w:pPr>
              <w:rPr>
                <w:rFonts w:cs="Arial"/>
                <w:color w:val="FF0000"/>
                <w:sz w:val="21"/>
                <w:szCs w:val="21"/>
              </w:rPr>
            </w:pPr>
          </w:p>
        </w:tc>
        <w:tc>
          <w:tcPr>
            <w:tcW w:w="217" w:type="dxa"/>
          </w:tcPr>
          <w:p w14:paraId="314189C4" w14:textId="77777777" w:rsidR="002C0FD9" w:rsidRPr="00CA25CF" w:rsidRDefault="002C0FD9" w:rsidP="00CA25CF">
            <w:pPr>
              <w:rPr>
                <w:rFonts w:cs="Arial"/>
                <w:color w:val="FF0000"/>
                <w:sz w:val="21"/>
                <w:szCs w:val="21"/>
              </w:rPr>
            </w:pPr>
          </w:p>
        </w:tc>
        <w:tc>
          <w:tcPr>
            <w:tcW w:w="217" w:type="dxa"/>
          </w:tcPr>
          <w:p w14:paraId="3A4EEE15" w14:textId="77777777" w:rsidR="002C0FD9" w:rsidRPr="00CA25CF" w:rsidRDefault="002C0FD9" w:rsidP="00CA25CF">
            <w:pPr>
              <w:rPr>
                <w:rFonts w:cs="Arial"/>
                <w:color w:val="FF0000"/>
                <w:sz w:val="21"/>
                <w:szCs w:val="21"/>
              </w:rPr>
            </w:pPr>
          </w:p>
        </w:tc>
        <w:tc>
          <w:tcPr>
            <w:tcW w:w="217" w:type="dxa"/>
          </w:tcPr>
          <w:p w14:paraId="01107938" w14:textId="77777777" w:rsidR="002C0FD9" w:rsidRPr="00CA25CF" w:rsidRDefault="002C0FD9" w:rsidP="00CA25CF">
            <w:pPr>
              <w:rPr>
                <w:rFonts w:cs="Arial"/>
                <w:color w:val="FF0000"/>
                <w:sz w:val="21"/>
                <w:szCs w:val="21"/>
              </w:rPr>
            </w:pPr>
          </w:p>
        </w:tc>
        <w:tc>
          <w:tcPr>
            <w:tcW w:w="217" w:type="dxa"/>
          </w:tcPr>
          <w:p w14:paraId="700707CC" w14:textId="77777777" w:rsidR="002C0FD9" w:rsidRPr="00CA25CF" w:rsidRDefault="002C0FD9" w:rsidP="00CA25CF">
            <w:pPr>
              <w:rPr>
                <w:rFonts w:cs="Arial"/>
                <w:color w:val="FF0000"/>
                <w:sz w:val="21"/>
                <w:szCs w:val="21"/>
              </w:rPr>
            </w:pPr>
          </w:p>
        </w:tc>
        <w:tc>
          <w:tcPr>
            <w:tcW w:w="217" w:type="dxa"/>
          </w:tcPr>
          <w:p w14:paraId="58C30EA0" w14:textId="77777777" w:rsidR="002C0FD9" w:rsidRPr="00CA25CF" w:rsidRDefault="002C0FD9" w:rsidP="00CA25CF">
            <w:pPr>
              <w:rPr>
                <w:rFonts w:cs="Arial"/>
                <w:color w:val="FF0000"/>
                <w:sz w:val="21"/>
                <w:szCs w:val="21"/>
              </w:rPr>
            </w:pPr>
          </w:p>
        </w:tc>
        <w:tc>
          <w:tcPr>
            <w:tcW w:w="217" w:type="dxa"/>
          </w:tcPr>
          <w:p w14:paraId="4E14FC8C" w14:textId="77777777" w:rsidR="002C0FD9" w:rsidRPr="00CA25CF" w:rsidRDefault="002C0FD9" w:rsidP="00CA25CF">
            <w:pPr>
              <w:rPr>
                <w:rFonts w:cs="Arial"/>
                <w:color w:val="FF0000"/>
                <w:sz w:val="21"/>
                <w:szCs w:val="21"/>
              </w:rPr>
            </w:pPr>
          </w:p>
        </w:tc>
        <w:tc>
          <w:tcPr>
            <w:tcW w:w="217" w:type="dxa"/>
          </w:tcPr>
          <w:p w14:paraId="16295A55" w14:textId="77777777" w:rsidR="002C0FD9" w:rsidRPr="00CA25CF" w:rsidRDefault="002C0FD9" w:rsidP="00CA25CF">
            <w:pPr>
              <w:rPr>
                <w:rFonts w:cs="Arial"/>
                <w:color w:val="FF0000"/>
                <w:sz w:val="21"/>
                <w:szCs w:val="21"/>
              </w:rPr>
            </w:pPr>
          </w:p>
        </w:tc>
        <w:tc>
          <w:tcPr>
            <w:tcW w:w="217" w:type="dxa"/>
          </w:tcPr>
          <w:p w14:paraId="4B7B2FB1" w14:textId="77777777" w:rsidR="002C0FD9" w:rsidRPr="00CA25CF" w:rsidRDefault="002C0FD9" w:rsidP="00CA25CF">
            <w:pPr>
              <w:rPr>
                <w:rFonts w:cs="Arial"/>
                <w:color w:val="FF0000"/>
                <w:sz w:val="21"/>
                <w:szCs w:val="21"/>
              </w:rPr>
            </w:pPr>
          </w:p>
        </w:tc>
        <w:tc>
          <w:tcPr>
            <w:tcW w:w="217" w:type="dxa"/>
          </w:tcPr>
          <w:p w14:paraId="4FE177B6" w14:textId="77777777" w:rsidR="002C0FD9" w:rsidRPr="00CA25CF" w:rsidRDefault="002C0FD9" w:rsidP="00CA25CF">
            <w:pPr>
              <w:rPr>
                <w:rFonts w:cs="Arial"/>
                <w:color w:val="FF0000"/>
                <w:sz w:val="21"/>
                <w:szCs w:val="21"/>
              </w:rPr>
            </w:pPr>
          </w:p>
        </w:tc>
        <w:tc>
          <w:tcPr>
            <w:tcW w:w="217" w:type="dxa"/>
          </w:tcPr>
          <w:p w14:paraId="17BA55DD" w14:textId="77777777" w:rsidR="002C0FD9" w:rsidRPr="00CA25CF" w:rsidRDefault="002C0FD9" w:rsidP="00CA25CF">
            <w:pPr>
              <w:rPr>
                <w:rFonts w:cs="Arial"/>
                <w:color w:val="FF0000"/>
                <w:sz w:val="21"/>
                <w:szCs w:val="21"/>
              </w:rPr>
            </w:pPr>
          </w:p>
        </w:tc>
        <w:tc>
          <w:tcPr>
            <w:tcW w:w="217" w:type="dxa"/>
          </w:tcPr>
          <w:p w14:paraId="627CC378" w14:textId="77777777" w:rsidR="002C0FD9" w:rsidRPr="00CA25CF" w:rsidRDefault="002C0FD9" w:rsidP="00CA25CF">
            <w:pPr>
              <w:rPr>
                <w:rFonts w:cs="Arial"/>
                <w:color w:val="FF0000"/>
                <w:sz w:val="21"/>
                <w:szCs w:val="21"/>
              </w:rPr>
            </w:pPr>
          </w:p>
        </w:tc>
        <w:tc>
          <w:tcPr>
            <w:tcW w:w="217" w:type="dxa"/>
          </w:tcPr>
          <w:p w14:paraId="6763B7AC" w14:textId="77777777" w:rsidR="002C0FD9" w:rsidRPr="00CA25CF" w:rsidRDefault="002C0FD9" w:rsidP="00CA25CF">
            <w:pPr>
              <w:rPr>
                <w:rFonts w:cs="Arial"/>
                <w:color w:val="FF0000"/>
                <w:sz w:val="21"/>
                <w:szCs w:val="21"/>
              </w:rPr>
            </w:pPr>
          </w:p>
        </w:tc>
        <w:tc>
          <w:tcPr>
            <w:tcW w:w="217" w:type="dxa"/>
          </w:tcPr>
          <w:p w14:paraId="778A1C98" w14:textId="77777777" w:rsidR="002C0FD9" w:rsidRPr="00CA25CF" w:rsidRDefault="002C0FD9" w:rsidP="00CA25CF">
            <w:pPr>
              <w:rPr>
                <w:rFonts w:cs="Arial"/>
                <w:color w:val="FF0000"/>
                <w:sz w:val="21"/>
                <w:szCs w:val="21"/>
              </w:rPr>
            </w:pPr>
          </w:p>
        </w:tc>
        <w:tc>
          <w:tcPr>
            <w:tcW w:w="217" w:type="dxa"/>
          </w:tcPr>
          <w:p w14:paraId="0877EEA1" w14:textId="77777777" w:rsidR="002C0FD9" w:rsidRPr="00CA25CF" w:rsidRDefault="002C0FD9" w:rsidP="00CA25CF">
            <w:pPr>
              <w:rPr>
                <w:rFonts w:cs="Arial"/>
                <w:color w:val="FF0000"/>
                <w:sz w:val="21"/>
                <w:szCs w:val="21"/>
              </w:rPr>
            </w:pPr>
          </w:p>
        </w:tc>
        <w:tc>
          <w:tcPr>
            <w:tcW w:w="217" w:type="dxa"/>
          </w:tcPr>
          <w:p w14:paraId="7C0A5041" w14:textId="77777777" w:rsidR="002C0FD9" w:rsidRPr="00CA25CF" w:rsidRDefault="002C0FD9" w:rsidP="00CA25CF">
            <w:pPr>
              <w:rPr>
                <w:rFonts w:cs="Arial"/>
                <w:color w:val="FF0000"/>
                <w:sz w:val="21"/>
                <w:szCs w:val="21"/>
              </w:rPr>
            </w:pPr>
          </w:p>
        </w:tc>
        <w:tc>
          <w:tcPr>
            <w:tcW w:w="217" w:type="dxa"/>
          </w:tcPr>
          <w:p w14:paraId="32B5CF8A" w14:textId="77777777" w:rsidR="002C0FD9" w:rsidRPr="00CA25CF" w:rsidRDefault="002C0FD9" w:rsidP="00CA25CF">
            <w:pPr>
              <w:rPr>
                <w:rFonts w:cs="Arial"/>
                <w:color w:val="FF0000"/>
                <w:sz w:val="21"/>
                <w:szCs w:val="21"/>
              </w:rPr>
            </w:pPr>
          </w:p>
        </w:tc>
        <w:tc>
          <w:tcPr>
            <w:tcW w:w="217" w:type="dxa"/>
          </w:tcPr>
          <w:p w14:paraId="03E7B9A1" w14:textId="77777777" w:rsidR="002C0FD9" w:rsidRPr="00CA25CF" w:rsidRDefault="002C0FD9" w:rsidP="00CA25CF">
            <w:pPr>
              <w:rPr>
                <w:rFonts w:cs="Arial"/>
                <w:color w:val="FF0000"/>
                <w:sz w:val="21"/>
                <w:szCs w:val="21"/>
              </w:rPr>
            </w:pPr>
          </w:p>
        </w:tc>
        <w:tc>
          <w:tcPr>
            <w:tcW w:w="217" w:type="dxa"/>
          </w:tcPr>
          <w:p w14:paraId="6BC8F674" w14:textId="77777777" w:rsidR="002C0FD9" w:rsidRPr="00CA25CF" w:rsidRDefault="002C0FD9" w:rsidP="00CA25CF">
            <w:pPr>
              <w:rPr>
                <w:rFonts w:cs="Arial"/>
                <w:color w:val="FF0000"/>
                <w:sz w:val="21"/>
                <w:szCs w:val="21"/>
              </w:rPr>
            </w:pPr>
          </w:p>
        </w:tc>
        <w:tc>
          <w:tcPr>
            <w:tcW w:w="217" w:type="dxa"/>
          </w:tcPr>
          <w:p w14:paraId="17A3BD59" w14:textId="77777777" w:rsidR="002C0FD9" w:rsidRPr="00CA25CF" w:rsidRDefault="002C0FD9" w:rsidP="00CA25CF">
            <w:pPr>
              <w:rPr>
                <w:rFonts w:cs="Arial"/>
                <w:color w:val="FF0000"/>
                <w:sz w:val="21"/>
                <w:szCs w:val="21"/>
              </w:rPr>
            </w:pPr>
          </w:p>
        </w:tc>
        <w:tc>
          <w:tcPr>
            <w:tcW w:w="217" w:type="dxa"/>
          </w:tcPr>
          <w:p w14:paraId="7FA3C6E3" w14:textId="77777777" w:rsidR="002C0FD9" w:rsidRPr="00CA25CF" w:rsidRDefault="002C0FD9" w:rsidP="00CA25CF">
            <w:pPr>
              <w:rPr>
                <w:rFonts w:cs="Arial"/>
                <w:color w:val="FF0000"/>
                <w:sz w:val="21"/>
                <w:szCs w:val="21"/>
              </w:rPr>
            </w:pPr>
          </w:p>
        </w:tc>
        <w:tc>
          <w:tcPr>
            <w:tcW w:w="217" w:type="dxa"/>
          </w:tcPr>
          <w:p w14:paraId="4911DE36" w14:textId="77777777" w:rsidR="002C0FD9" w:rsidRPr="00CA25CF" w:rsidRDefault="002C0FD9" w:rsidP="00CA25CF">
            <w:pPr>
              <w:rPr>
                <w:rFonts w:cs="Arial"/>
                <w:color w:val="FF0000"/>
                <w:sz w:val="21"/>
                <w:szCs w:val="21"/>
              </w:rPr>
            </w:pPr>
          </w:p>
        </w:tc>
        <w:tc>
          <w:tcPr>
            <w:tcW w:w="217" w:type="dxa"/>
          </w:tcPr>
          <w:p w14:paraId="4D869F19" w14:textId="77777777" w:rsidR="002C0FD9" w:rsidRPr="00CA25CF" w:rsidRDefault="002C0FD9" w:rsidP="00CA25CF">
            <w:pPr>
              <w:rPr>
                <w:rFonts w:cs="Arial"/>
                <w:color w:val="FF0000"/>
                <w:sz w:val="21"/>
                <w:szCs w:val="21"/>
              </w:rPr>
            </w:pPr>
          </w:p>
        </w:tc>
        <w:tc>
          <w:tcPr>
            <w:tcW w:w="217" w:type="dxa"/>
          </w:tcPr>
          <w:p w14:paraId="409267FC" w14:textId="77777777" w:rsidR="002C0FD9" w:rsidRPr="00CA25CF" w:rsidRDefault="002C0FD9" w:rsidP="00CA25CF">
            <w:pPr>
              <w:rPr>
                <w:rFonts w:cs="Arial"/>
                <w:color w:val="FF0000"/>
                <w:sz w:val="21"/>
                <w:szCs w:val="21"/>
              </w:rPr>
            </w:pPr>
          </w:p>
        </w:tc>
        <w:tc>
          <w:tcPr>
            <w:tcW w:w="217" w:type="dxa"/>
          </w:tcPr>
          <w:p w14:paraId="4BAC0996" w14:textId="77777777" w:rsidR="002C0FD9" w:rsidRPr="00CA25CF" w:rsidRDefault="002C0FD9" w:rsidP="00CA25CF">
            <w:pPr>
              <w:rPr>
                <w:rFonts w:cs="Arial"/>
                <w:color w:val="FF0000"/>
                <w:sz w:val="21"/>
                <w:szCs w:val="21"/>
              </w:rPr>
            </w:pPr>
          </w:p>
        </w:tc>
        <w:tc>
          <w:tcPr>
            <w:tcW w:w="217" w:type="dxa"/>
          </w:tcPr>
          <w:p w14:paraId="21F88D92" w14:textId="77777777" w:rsidR="002C0FD9" w:rsidRPr="00CA25CF" w:rsidRDefault="002C0FD9" w:rsidP="00CA25CF">
            <w:pPr>
              <w:rPr>
                <w:rFonts w:cs="Arial"/>
                <w:color w:val="FF0000"/>
                <w:sz w:val="21"/>
                <w:szCs w:val="21"/>
              </w:rPr>
            </w:pPr>
          </w:p>
        </w:tc>
        <w:tc>
          <w:tcPr>
            <w:tcW w:w="217" w:type="dxa"/>
          </w:tcPr>
          <w:p w14:paraId="575BD7DB" w14:textId="77777777" w:rsidR="002C0FD9" w:rsidRPr="00CA25CF" w:rsidRDefault="002C0FD9" w:rsidP="00CA25CF">
            <w:pPr>
              <w:rPr>
                <w:rFonts w:cs="Arial"/>
                <w:color w:val="FF0000"/>
                <w:sz w:val="21"/>
                <w:szCs w:val="21"/>
              </w:rPr>
            </w:pPr>
          </w:p>
        </w:tc>
        <w:tc>
          <w:tcPr>
            <w:tcW w:w="217" w:type="dxa"/>
          </w:tcPr>
          <w:p w14:paraId="7974C0C6" w14:textId="77777777" w:rsidR="002C0FD9" w:rsidRPr="00CA25CF" w:rsidRDefault="002C0FD9" w:rsidP="00CA25CF">
            <w:pPr>
              <w:rPr>
                <w:rFonts w:cs="Arial"/>
                <w:color w:val="FF0000"/>
                <w:sz w:val="21"/>
                <w:szCs w:val="21"/>
              </w:rPr>
            </w:pPr>
          </w:p>
        </w:tc>
        <w:tc>
          <w:tcPr>
            <w:tcW w:w="217" w:type="dxa"/>
          </w:tcPr>
          <w:p w14:paraId="0F14726E" w14:textId="77777777" w:rsidR="002C0FD9" w:rsidRPr="00CA25CF" w:rsidRDefault="002C0FD9" w:rsidP="00CA25CF">
            <w:pPr>
              <w:rPr>
                <w:rFonts w:cs="Arial"/>
                <w:color w:val="FF0000"/>
                <w:sz w:val="21"/>
                <w:szCs w:val="21"/>
              </w:rPr>
            </w:pPr>
          </w:p>
        </w:tc>
        <w:tc>
          <w:tcPr>
            <w:tcW w:w="217" w:type="dxa"/>
          </w:tcPr>
          <w:p w14:paraId="1E769B3D" w14:textId="77777777" w:rsidR="002C0FD9" w:rsidRPr="00CA25CF" w:rsidRDefault="002C0FD9" w:rsidP="00CA25CF">
            <w:pPr>
              <w:rPr>
                <w:rFonts w:cs="Arial"/>
                <w:color w:val="FF0000"/>
                <w:sz w:val="21"/>
                <w:szCs w:val="21"/>
              </w:rPr>
            </w:pPr>
          </w:p>
        </w:tc>
        <w:tc>
          <w:tcPr>
            <w:tcW w:w="217" w:type="dxa"/>
          </w:tcPr>
          <w:p w14:paraId="472E2C41" w14:textId="77777777" w:rsidR="002C0FD9" w:rsidRPr="00CA25CF" w:rsidRDefault="002C0FD9" w:rsidP="00CA25CF">
            <w:pPr>
              <w:rPr>
                <w:rFonts w:cs="Arial"/>
                <w:color w:val="FF0000"/>
                <w:sz w:val="21"/>
                <w:szCs w:val="21"/>
              </w:rPr>
            </w:pPr>
          </w:p>
        </w:tc>
        <w:tc>
          <w:tcPr>
            <w:tcW w:w="217" w:type="dxa"/>
          </w:tcPr>
          <w:p w14:paraId="5164A330" w14:textId="77777777" w:rsidR="002C0FD9" w:rsidRPr="00CA25CF" w:rsidRDefault="002C0FD9" w:rsidP="00CA25CF">
            <w:pPr>
              <w:rPr>
                <w:rFonts w:cs="Arial"/>
                <w:color w:val="FF0000"/>
                <w:sz w:val="21"/>
                <w:szCs w:val="21"/>
              </w:rPr>
            </w:pPr>
          </w:p>
        </w:tc>
        <w:tc>
          <w:tcPr>
            <w:tcW w:w="217" w:type="dxa"/>
          </w:tcPr>
          <w:p w14:paraId="1CD53FA8" w14:textId="77777777" w:rsidR="002C0FD9" w:rsidRPr="00CA25CF" w:rsidRDefault="002C0FD9" w:rsidP="00CA25CF">
            <w:pPr>
              <w:rPr>
                <w:rFonts w:cs="Arial"/>
                <w:color w:val="FF0000"/>
                <w:sz w:val="21"/>
                <w:szCs w:val="21"/>
              </w:rPr>
            </w:pPr>
          </w:p>
        </w:tc>
        <w:tc>
          <w:tcPr>
            <w:tcW w:w="217" w:type="dxa"/>
          </w:tcPr>
          <w:p w14:paraId="3BF7D3FE" w14:textId="77777777" w:rsidR="002C0FD9" w:rsidRPr="00CA25CF" w:rsidRDefault="002C0FD9" w:rsidP="00CA25CF">
            <w:pPr>
              <w:rPr>
                <w:rFonts w:cs="Arial"/>
                <w:color w:val="FF0000"/>
                <w:sz w:val="21"/>
                <w:szCs w:val="21"/>
              </w:rPr>
            </w:pPr>
          </w:p>
        </w:tc>
        <w:tc>
          <w:tcPr>
            <w:tcW w:w="217" w:type="dxa"/>
          </w:tcPr>
          <w:p w14:paraId="2D8C8773" w14:textId="77777777" w:rsidR="002C0FD9" w:rsidRPr="00CA25CF" w:rsidRDefault="002C0FD9" w:rsidP="00CA25CF">
            <w:pPr>
              <w:rPr>
                <w:rFonts w:cs="Arial"/>
                <w:color w:val="FF0000"/>
                <w:sz w:val="21"/>
                <w:szCs w:val="21"/>
              </w:rPr>
            </w:pPr>
          </w:p>
        </w:tc>
        <w:tc>
          <w:tcPr>
            <w:tcW w:w="217" w:type="dxa"/>
          </w:tcPr>
          <w:p w14:paraId="033507E5" w14:textId="77777777" w:rsidR="002C0FD9" w:rsidRPr="00CA25CF" w:rsidRDefault="002C0FD9" w:rsidP="00CA25CF">
            <w:pPr>
              <w:rPr>
                <w:rFonts w:cs="Arial"/>
                <w:color w:val="FF0000"/>
                <w:sz w:val="21"/>
                <w:szCs w:val="21"/>
              </w:rPr>
            </w:pPr>
          </w:p>
        </w:tc>
        <w:tc>
          <w:tcPr>
            <w:tcW w:w="217" w:type="dxa"/>
          </w:tcPr>
          <w:p w14:paraId="247C89C0" w14:textId="77777777" w:rsidR="002C0FD9" w:rsidRPr="00CA25CF" w:rsidRDefault="002C0FD9" w:rsidP="00CA25CF">
            <w:pPr>
              <w:rPr>
                <w:rFonts w:cs="Arial"/>
                <w:color w:val="FF0000"/>
                <w:sz w:val="21"/>
                <w:szCs w:val="21"/>
              </w:rPr>
            </w:pPr>
          </w:p>
        </w:tc>
        <w:tc>
          <w:tcPr>
            <w:tcW w:w="217" w:type="dxa"/>
          </w:tcPr>
          <w:p w14:paraId="58BD4F03" w14:textId="77777777" w:rsidR="002C0FD9" w:rsidRPr="00CA25CF" w:rsidRDefault="002C0FD9" w:rsidP="00CA25CF">
            <w:pPr>
              <w:rPr>
                <w:rFonts w:cs="Arial"/>
                <w:color w:val="FF0000"/>
                <w:sz w:val="21"/>
                <w:szCs w:val="21"/>
              </w:rPr>
            </w:pPr>
          </w:p>
        </w:tc>
        <w:tc>
          <w:tcPr>
            <w:tcW w:w="217" w:type="dxa"/>
          </w:tcPr>
          <w:p w14:paraId="718D02C6" w14:textId="77777777" w:rsidR="002C0FD9" w:rsidRPr="00CA25CF" w:rsidRDefault="002C0FD9" w:rsidP="00CA25CF">
            <w:pPr>
              <w:rPr>
                <w:rFonts w:cs="Arial"/>
                <w:color w:val="FF0000"/>
                <w:sz w:val="21"/>
                <w:szCs w:val="21"/>
              </w:rPr>
            </w:pPr>
          </w:p>
        </w:tc>
        <w:tc>
          <w:tcPr>
            <w:tcW w:w="217" w:type="dxa"/>
          </w:tcPr>
          <w:p w14:paraId="49B05A38" w14:textId="77777777" w:rsidR="002C0FD9" w:rsidRPr="00CA25CF" w:rsidRDefault="002C0FD9" w:rsidP="00CA25CF">
            <w:pPr>
              <w:rPr>
                <w:rFonts w:cs="Arial"/>
                <w:color w:val="FF0000"/>
                <w:sz w:val="21"/>
                <w:szCs w:val="21"/>
              </w:rPr>
            </w:pPr>
          </w:p>
        </w:tc>
      </w:tr>
      <w:tr w:rsidR="002C0FD9" w:rsidRPr="00A16219" w14:paraId="3854BC35" w14:textId="77777777" w:rsidTr="002C0FD9">
        <w:trPr>
          <w:trHeight w:val="635"/>
        </w:trPr>
        <w:tc>
          <w:tcPr>
            <w:tcW w:w="515" w:type="dxa"/>
          </w:tcPr>
          <w:p w14:paraId="4C5E12F4" w14:textId="77777777" w:rsidR="002C0FD9" w:rsidRPr="00CA25CF" w:rsidRDefault="002C0FD9" w:rsidP="00CA25CF">
            <w:pPr>
              <w:rPr>
                <w:rFonts w:cs="Arial"/>
                <w:color w:val="FF0000"/>
                <w:sz w:val="21"/>
                <w:szCs w:val="21"/>
              </w:rPr>
            </w:pPr>
          </w:p>
        </w:tc>
        <w:tc>
          <w:tcPr>
            <w:tcW w:w="217" w:type="dxa"/>
          </w:tcPr>
          <w:p w14:paraId="5009FA06" w14:textId="77777777" w:rsidR="002C0FD9" w:rsidRPr="00CA25CF" w:rsidRDefault="002C0FD9" w:rsidP="00CA25CF">
            <w:pPr>
              <w:rPr>
                <w:rFonts w:cs="Arial"/>
                <w:color w:val="FF0000"/>
                <w:sz w:val="21"/>
                <w:szCs w:val="21"/>
              </w:rPr>
            </w:pPr>
          </w:p>
        </w:tc>
        <w:tc>
          <w:tcPr>
            <w:tcW w:w="217" w:type="dxa"/>
          </w:tcPr>
          <w:p w14:paraId="29C99AC9" w14:textId="77777777" w:rsidR="002C0FD9" w:rsidRPr="00CA25CF" w:rsidRDefault="002C0FD9" w:rsidP="00CA25CF">
            <w:pPr>
              <w:rPr>
                <w:rFonts w:cs="Arial"/>
                <w:color w:val="FF0000"/>
                <w:sz w:val="21"/>
                <w:szCs w:val="21"/>
              </w:rPr>
            </w:pPr>
          </w:p>
        </w:tc>
        <w:tc>
          <w:tcPr>
            <w:tcW w:w="217" w:type="dxa"/>
          </w:tcPr>
          <w:p w14:paraId="3643EC5C" w14:textId="77777777" w:rsidR="002C0FD9" w:rsidRPr="00CA25CF" w:rsidRDefault="002C0FD9" w:rsidP="00CA25CF">
            <w:pPr>
              <w:rPr>
                <w:rFonts w:cs="Arial"/>
                <w:color w:val="FF0000"/>
                <w:sz w:val="21"/>
                <w:szCs w:val="21"/>
              </w:rPr>
            </w:pPr>
          </w:p>
        </w:tc>
        <w:tc>
          <w:tcPr>
            <w:tcW w:w="217" w:type="dxa"/>
          </w:tcPr>
          <w:p w14:paraId="66CF4901" w14:textId="77777777" w:rsidR="002C0FD9" w:rsidRPr="00CA25CF" w:rsidRDefault="002C0FD9" w:rsidP="00CA25CF">
            <w:pPr>
              <w:rPr>
                <w:rFonts w:cs="Arial"/>
                <w:color w:val="FF0000"/>
                <w:sz w:val="21"/>
                <w:szCs w:val="21"/>
              </w:rPr>
            </w:pPr>
          </w:p>
        </w:tc>
        <w:tc>
          <w:tcPr>
            <w:tcW w:w="217" w:type="dxa"/>
          </w:tcPr>
          <w:p w14:paraId="3930A56C" w14:textId="77777777" w:rsidR="002C0FD9" w:rsidRPr="00CA25CF" w:rsidRDefault="002C0FD9" w:rsidP="00CA25CF">
            <w:pPr>
              <w:rPr>
                <w:rFonts w:cs="Arial"/>
                <w:color w:val="FF0000"/>
                <w:sz w:val="21"/>
                <w:szCs w:val="21"/>
              </w:rPr>
            </w:pPr>
          </w:p>
        </w:tc>
        <w:tc>
          <w:tcPr>
            <w:tcW w:w="217" w:type="dxa"/>
          </w:tcPr>
          <w:p w14:paraId="1A46F5F4" w14:textId="77777777" w:rsidR="002C0FD9" w:rsidRPr="00CA25CF" w:rsidRDefault="002C0FD9" w:rsidP="00CA25CF">
            <w:pPr>
              <w:rPr>
                <w:rFonts w:cs="Arial"/>
                <w:color w:val="FF0000"/>
                <w:sz w:val="21"/>
                <w:szCs w:val="21"/>
              </w:rPr>
            </w:pPr>
          </w:p>
        </w:tc>
        <w:tc>
          <w:tcPr>
            <w:tcW w:w="217" w:type="dxa"/>
          </w:tcPr>
          <w:p w14:paraId="2F5663B0" w14:textId="77777777" w:rsidR="002C0FD9" w:rsidRPr="00CA25CF" w:rsidRDefault="002C0FD9" w:rsidP="00CA25CF">
            <w:pPr>
              <w:rPr>
                <w:rFonts w:cs="Arial"/>
                <w:color w:val="FF0000"/>
                <w:sz w:val="21"/>
                <w:szCs w:val="21"/>
              </w:rPr>
            </w:pPr>
          </w:p>
        </w:tc>
        <w:tc>
          <w:tcPr>
            <w:tcW w:w="217" w:type="dxa"/>
          </w:tcPr>
          <w:p w14:paraId="203B2CCF" w14:textId="77777777" w:rsidR="002C0FD9" w:rsidRPr="00CA25CF" w:rsidRDefault="002C0FD9" w:rsidP="00CA25CF">
            <w:pPr>
              <w:rPr>
                <w:rFonts w:cs="Arial"/>
                <w:color w:val="FF0000"/>
                <w:sz w:val="21"/>
                <w:szCs w:val="21"/>
              </w:rPr>
            </w:pPr>
          </w:p>
        </w:tc>
        <w:tc>
          <w:tcPr>
            <w:tcW w:w="217" w:type="dxa"/>
          </w:tcPr>
          <w:p w14:paraId="1932BAD2" w14:textId="77777777" w:rsidR="002C0FD9" w:rsidRPr="00CA25CF" w:rsidRDefault="002C0FD9" w:rsidP="00CA25CF">
            <w:pPr>
              <w:rPr>
                <w:rFonts w:cs="Arial"/>
                <w:color w:val="FF0000"/>
                <w:sz w:val="21"/>
                <w:szCs w:val="21"/>
              </w:rPr>
            </w:pPr>
          </w:p>
        </w:tc>
        <w:tc>
          <w:tcPr>
            <w:tcW w:w="217" w:type="dxa"/>
          </w:tcPr>
          <w:p w14:paraId="4A35D7EA" w14:textId="77777777" w:rsidR="002C0FD9" w:rsidRPr="00CA25CF" w:rsidRDefault="002C0FD9" w:rsidP="00CA25CF">
            <w:pPr>
              <w:rPr>
                <w:rFonts w:cs="Arial"/>
                <w:color w:val="FF0000"/>
                <w:sz w:val="21"/>
                <w:szCs w:val="21"/>
              </w:rPr>
            </w:pPr>
          </w:p>
        </w:tc>
        <w:tc>
          <w:tcPr>
            <w:tcW w:w="217" w:type="dxa"/>
          </w:tcPr>
          <w:p w14:paraId="0EA90CBE" w14:textId="77777777" w:rsidR="002C0FD9" w:rsidRPr="00CA25CF" w:rsidRDefault="002C0FD9" w:rsidP="00CA25CF">
            <w:pPr>
              <w:rPr>
                <w:rFonts w:cs="Arial"/>
                <w:color w:val="FF0000"/>
                <w:sz w:val="21"/>
                <w:szCs w:val="21"/>
              </w:rPr>
            </w:pPr>
          </w:p>
        </w:tc>
        <w:tc>
          <w:tcPr>
            <w:tcW w:w="217" w:type="dxa"/>
          </w:tcPr>
          <w:p w14:paraId="065A9B9C" w14:textId="77777777" w:rsidR="002C0FD9" w:rsidRPr="00CA25CF" w:rsidRDefault="002C0FD9" w:rsidP="00CA25CF">
            <w:pPr>
              <w:rPr>
                <w:rFonts w:cs="Arial"/>
                <w:color w:val="FF0000"/>
                <w:sz w:val="21"/>
                <w:szCs w:val="21"/>
              </w:rPr>
            </w:pPr>
          </w:p>
        </w:tc>
        <w:tc>
          <w:tcPr>
            <w:tcW w:w="217" w:type="dxa"/>
          </w:tcPr>
          <w:p w14:paraId="5D106731" w14:textId="77777777" w:rsidR="002C0FD9" w:rsidRPr="00CA25CF" w:rsidRDefault="002C0FD9" w:rsidP="00CA25CF">
            <w:pPr>
              <w:rPr>
                <w:rFonts w:cs="Arial"/>
                <w:color w:val="FF0000"/>
                <w:sz w:val="21"/>
                <w:szCs w:val="21"/>
              </w:rPr>
            </w:pPr>
          </w:p>
        </w:tc>
        <w:tc>
          <w:tcPr>
            <w:tcW w:w="217" w:type="dxa"/>
          </w:tcPr>
          <w:p w14:paraId="5953B37E" w14:textId="77777777" w:rsidR="002C0FD9" w:rsidRPr="00CA25CF" w:rsidRDefault="002C0FD9" w:rsidP="00CA25CF">
            <w:pPr>
              <w:rPr>
                <w:rFonts w:cs="Arial"/>
                <w:color w:val="FF0000"/>
                <w:sz w:val="21"/>
                <w:szCs w:val="21"/>
              </w:rPr>
            </w:pPr>
          </w:p>
        </w:tc>
        <w:tc>
          <w:tcPr>
            <w:tcW w:w="217" w:type="dxa"/>
          </w:tcPr>
          <w:p w14:paraId="7B19C9CD" w14:textId="77777777" w:rsidR="002C0FD9" w:rsidRPr="00CA25CF" w:rsidRDefault="002C0FD9" w:rsidP="00CA25CF">
            <w:pPr>
              <w:rPr>
                <w:rFonts w:cs="Arial"/>
                <w:color w:val="FF0000"/>
                <w:sz w:val="21"/>
                <w:szCs w:val="21"/>
              </w:rPr>
            </w:pPr>
          </w:p>
        </w:tc>
        <w:tc>
          <w:tcPr>
            <w:tcW w:w="217" w:type="dxa"/>
          </w:tcPr>
          <w:p w14:paraId="275FC64B" w14:textId="77777777" w:rsidR="002C0FD9" w:rsidRPr="00CA25CF" w:rsidRDefault="002C0FD9" w:rsidP="00CA25CF">
            <w:pPr>
              <w:rPr>
                <w:rFonts w:cs="Arial"/>
                <w:color w:val="FF0000"/>
                <w:sz w:val="21"/>
                <w:szCs w:val="21"/>
              </w:rPr>
            </w:pPr>
          </w:p>
        </w:tc>
        <w:tc>
          <w:tcPr>
            <w:tcW w:w="217" w:type="dxa"/>
          </w:tcPr>
          <w:p w14:paraId="2046F8A6" w14:textId="77777777" w:rsidR="002C0FD9" w:rsidRPr="00CA25CF" w:rsidRDefault="002C0FD9" w:rsidP="00CA25CF">
            <w:pPr>
              <w:rPr>
                <w:rFonts w:cs="Arial"/>
                <w:color w:val="FF0000"/>
                <w:sz w:val="21"/>
                <w:szCs w:val="21"/>
              </w:rPr>
            </w:pPr>
          </w:p>
        </w:tc>
        <w:tc>
          <w:tcPr>
            <w:tcW w:w="217" w:type="dxa"/>
          </w:tcPr>
          <w:p w14:paraId="5DBDC421" w14:textId="77777777" w:rsidR="002C0FD9" w:rsidRPr="00CA25CF" w:rsidRDefault="002C0FD9" w:rsidP="00CA25CF">
            <w:pPr>
              <w:rPr>
                <w:rFonts w:cs="Arial"/>
                <w:color w:val="FF0000"/>
                <w:sz w:val="21"/>
                <w:szCs w:val="21"/>
              </w:rPr>
            </w:pPr>
          </w:p>
        </w:tc>
        <w:tc>
          <w:tcPr>
            <w:tcW w:w="217" w:type="dxa"/>
          </w:tcPr>
          <w:p w14:paraId="541A1F4C" w14:textId="77777777" w:rsidR="002C0FD9" w:rsidRPr="00CA25CF" w:rsidRDefault="002C0FD9" w:rsidP="00CA25CF">
            <w:pPr>
              <w:rPr>
                <w:rFonts w:cs="Arial"/>
                <w:color w:val="FF0000"/>
                <w:sz w:val="21"/>
                <w:szCs w:val="21"/>
              </w:rPr>
            </w:pPr>
          </w:p>
        </w:tc>
        <w:tc>
          <w:tcPr>
            <w:tcW w:w="217" w:type="dxa"/>
          </w:tcPr>
          <w:p w14:paraId="092F8360" w14:textId="77777777" w:rsidR="002C0FD9" w:rsidRPr="00CA25CF" w:rsidRDefault="002C0FD9" w:rsidP="00CA25CF">
            <w:pPr>
              <w:rPr>
                <w:rFonts w:cs="Arial"/>
                <w:color w:val="FF0000"/>
                <w:sz w:val="21"/>
                <w:szCs w:val="21"/>
              </w:rPr>
            </w:pPr>
          </w:p>
        </w:tc>
        <w:tc>
          <w:tcPr>
            <w:tcW w:w="217" w:type="dxa"/>
          </w:tcPr>
          <w:p w14:paraId="7ECFA867" w14:textId="77777777" w:rsidR="002C0FD9" w:rsidRPr="00CA25CF" w:rsidRDefault="002C0FD9" w:rsidP="00CA25CF">
            <w:pPr>
              <w:rPr>
                <w:rFonts w:cs="Arial"/>
                <w:color w:val="FF0000"/>
                <w:sz w:val="21"/>
                <w:szCs w:val="21"/>
              </w:rPr>
            </w:pPr>
          </w:p>
        </w:tc>
        <w:tc>
          <w:tcPr>
            <w:tcW w:w="217" w:type="dxa"/>
          </w:tcPr>
          <w:p w14:paraId="7F7C6FE6" w14:textId="77777777" w:rsidR="002C0FD9" w:rsidRPr="00CA25CF" w:rsidRDefault="002C0FD9" w:rsidP="00CA25CF">
            <w:pPr>
              <w:rPr>
                <w:rFonts w:cs="Arial"/>
                <w:color w:val="FF0000"/>
                <w:sz w:val="21"/>
                <w:szCs w:val="21"/>
              </w:rPr>
            </w:pPr>
          </w:p>
        </w:tc>
        <w:tc>
          <w:tcPr>
            <w:tcW w:w="217" w:type="dxa"/>
          </w:tcPr>
          <w:p w14:paraId="63DDCDC1" w14:textId="77777777" w:rsidR="002C0FD9" w:rsidRPr="00CA25CF" w:rsidRDefault="002C0FD9" w:rsidP="00CA25CF">
            <w:pPr>
              <w:rPr>
                <w:rFonts w:cs="Arial"/>
                <w:color w:val="FF0000"/>
                <w:sz w:val="21"/>
                <w:szCs w:val="21"/>
              </w:rPr>
            </w:pPr>
          </w:p>
        </w:tc>
        <w:tc>
          <w:tcPr>
            <w:tcW w:w="217" w:type="dxa"/>
          </w:tcPr>
          <w:p w14:paraId="4F2B410D" w14:textId="77777777" w:rsidR="002C0FD9" w:rsidRPr="00CA25CF" w:rsidRDefault="002C0FD9" w:rsidP="00CA25CF">
            <w:pPr>
              <w:rPr>
                <w:rFonts w:cs="Arial"/>
                <w:color w:val="FF0000"/>
                <w:sz w:val="21"/>
                <w:szCs w:val="21"/>
              </w:rPr>
            </w:pPr>
          </w:p>
        </w:tc>
        <w:tc>
          <w:tcPr>
            <w:tcW w:w="217" w:type="dxa"/>
          </w:tcPr>
          <w:p w14:paraId="496B64B1" w14:textId="77777777" w:rsidR="002C0FD9" w:rsidRPr="00CA25CF" w:rsidRDefault="002C0FD9" w:rsidP="00CA25CF">
            <w:pPr>
              <w:rPr>
                <w:rFonts w:cs="Arial"/>
                <w:color w:val="FF0000"/>
                <w:sz w:val="21"/>
                <w:szCs w:val="21"/>
              </w:rPr>
            </w:pPr>
          </w:p>
        </w:tc>
        <w:tc>
          <w:tcPr>
            <w:tcW w:w="217" w:type="dxa"/>
          </w:tcPr>
          <w:p w14:paraId="3802B364" w14:textId="77777777" w:rsidR="002C0FD9" w:rsidRPr="00CA25CF" w:rsidRDefault="002C0FD9" w:rsidP="00CA25CF">
            <w:pPr>
              <w:rPr>
                <w:rFonts w:cs="Arial"/>
                <w:color w:val="FF0000"/>
                <w:sz w:val="21"/>
                <w:szCs w:val="21"/>
              </w:rPr>
            </w:pPr>
          </w:p>
        </w:tc>
        <w:tc>
          <w:tcPr>
            <w:tcW w:w="217" w:type="dxa"/>
          </w:tcPr>
          <w:p w14:paraId="5AA8DC0B" w14:textId="77777777" w:rsidR="002C0FD9" w:rsidRPr="00CA25CF" w:rsidRDefault="002C0FD9" w:rsidP="00CA25CF">
            <w:pPr>
              <w:rPr>
                <w:rFonts w:cs="Arial"/>
                <w:color w:val="FF0000"/>
                <w:sz w:val="21"/>
                <w:szCs w:val="21"/>
              </w:rPr>
            </w:pPr>
          </w:p>
        </w:tc>
        <w:tc>
          <w:tcPr>
            <w:tcW w:w="217" w:type="dxa"/>
          </w:tcPr>
          <w:p w14:paraId="1B0E6E3C" w14:textId="77777777" w:rsidR="002C0FD9" w:rsidRPr="00CA25CF" w:rsidRDefault="002C0FD9" w:rsidP="00CA25CF">
            <w:pPr>
              <w:rPr>
                <w:rFonts w:cs="Arial"/>
                <w:color w:val="FF0000"/>
                <w:sz w:val="21"/>
                <w:szCs w:val="21"/>
              </w:rPr>
            </w:pPr>
          </w:p>
        </w:tc>
        <w:tc>
          <w:tcPr>
            <w:tcW w:w="217" w:type="dxa"/>
          </w:tcPr>
          <w:p w14:paraId="13A7BE47" w14:textId="77777777" w:rsidR="002C0FD9" w:rsidRPr="00CA25CF" w:rsidRDefault="002C0FD9" w:rsidP="00CA25CF">
            <w:pPr>
              <w:rPr>
                <w:rFonts w:cs="Arial"/>
                <w:color w:val="FF0000"/>
                <w:sz w:val="21"/>
                <w:szCs w:val="21"/>
              </w:rPr>
            </w:pPr>
          </w:p>
        </w:tc>
        <w:tc>
          <w:tcPr>
            <w:tcW w:w="217" w:type="dxa"/>
          </w:tcPr>
          <w:p w14:paraId="253B7267" w14:textId="77777777" w:rsidR="002C0FD9" w:rsidRPr="00CA25CF" w:rsidRDefault="002C0FD9" w:rsidP="00CA25CF">
            <w:pPr>
              <w:rPr>
                <w:rFonts w:cs="Arial"/>
                <w:color w:val="FF0000"/>
                <w:sz w:val="21"/>
                <w:szCs w:val="21"/>
              </w:rPr>
            </w:pPr>
          </w:p>
        </w:tc>
        <w:tc>
          <w:tcPr>
            <w:tcW w:w="217" w:type="dxa"/>
          </w:tcPr>
          <w:p w14:paraId="74A08D44" w14:textId="77777777" w:rsidR="002C0FD9" w:rsidRPr="00CA25CF" w:rsidRDefault="002C0FD9" w:rsidP="00CA25CF">
            <w:pPr>
              <w:rPr>
                <w:rFonts w:cs="Arial"/>
                <w:color w:val="FF0000"/>
                <w:sz w:val="21"/>
                <w:szCs w:val="21"/>
              </w:rPr>
            </w:pPr>
          </w:p>
        </w:tc>
        <w:tc>
          <w:tcPr>
            <w:tcW w:w="217" w:type="dxa"/>
          </w:tcPr>
          <w:p w14:paraId="4E585E37" w14:textId="77777777" w:rsidR="002C0FD9" w:rsidRPr="00CA25CF" w:rsidRDefault="002C0FD9" w:rsidP="00CA25CF">
            <w:pPr>
              <w:rPr>
                <w:rFonts w:cs="Arial"/>
                <w:color w:val="FF0000"/>
                <w:sz w:val="21"/>
                <w:szCs w:val="21"/>
              </w:rPr>
            </w:pPr>
          </w:p>
        </w:tc>
        <w:tc>
          <w:tcPr>
            <w:tcW w:w="217" w:type="dxa"/>
          </w:tcPr>
          <w:p w14:paraId="2F234F34" w14:textId="77777777" w:rsidR="002C0FD9" w:rsidRPr="00CA25CF" w:rsidRDefault="002C0FD9" w:rsidP="00CA25CF">
            <w:pPr>
              <w:rPr>
                <w:rFonts w:cs="Arial"/>
                <w:color w:val="FF0000"/>
                <w:sz w:val="21"/>
                <w:szCs w:val="21"/>
              </w:rPr>
            </w:pPr>
          </w:p>
        </w:tc>
        <w:tc>
          <w:tcPr>
            <w:tcW w:w="217" w:type="dxa"/>
          </w:tcPr>
          <w:p w14:paraId="78A254F4" w14:textId="77777777" w:rsidR="002C0FD9" w:rsidRPr="00CA25CF" w:rsidRDefault="002C0FD9" w:rsidP="00CA25CF">
            <w:pPr>
              <w:rPr>
                <w:rFonts w:cs="Arial"/>
                <w:color w:val="FF0000"/>
                <w:sz w:val="21"/>
                <w:szCs w:val="21"/>
              </w:rPr>
            </w:pPr>
          </w:p>
        </w:tc>
        <w:tc>
          <w:tcPr>
            <w:tcW w:w="217" w:type="dxa"/>
          </w:tcPr>
          <w:p w14:paraId="06A21765" w14:textId="77777777" w:rsidR="002C0FD9" w:rsidRPr="00CA25CF" w:rsidRDefault="002C0FD9" w:rsidP="00CA25CF">
            <w:pPr>
              <w:rPr>
                <w:rFonts w:cs="Arial"/>
                <w:color w:val="FF0000"/>
                <w:sz w:val="21"/>
                <w:szCs w:val="21"/>
              </w:rPr>
            </w:pPr>
          </w:p>
        </w:tc>
        <w:tc>
          <w:tcPr>
            <w:tcW w:w="217" w:type="dxa"/>
          </w:tcPr>
          <w:p w14:paraId="13682FD2" w14:textId="77777777" w:rsidR="002C0FD9" w:rsidRPr="00CA25CF" w:rsidRDefault="002C0FD9" w:rsidP="00CA25CF">
            <w:pPr>
              <w:rPr>
                <w:rFonts w:cs="Arial"/>
                <w:color w:val="FF0000"/>
                <w:sz w:val="21"/>
                <w:szCs w:val="21"/>
              </w:rPr>
            </w:pPr>
          </w:p>
        </w:tc>
        <w:tc>
          <w:tcPr>
            <w:tcW w:w="217" w:type="dxa"/>
          </w:tcPr>
          <w:p w14:paraId="1EFF52A0" w14:textId="77777777" w:rsidR="002C0FD9" w:rsidRPr="00CA25CF" w:rsidRDefault="002C0FD9" w:rsidP="00CA25CF">
            <w:pPr>
              <w:rPr>
                <w:rFonts w:cs="Arial"/>
                <w:color w:val="FF0000"/>
                <w:sz w:val="21"/>
                <w:szCs w:val="21"/>
              </w:rPr>
            </w:pPr>
          </w:p>
        </w:tc>
        <w:tc>
          <w:tcPr>
            <w:tcW w:w="217" w:type="dxa"/>
          </w:tcPr>
          <w:p w14:paraId="4411749B" w14:textId="77777777" w:rsidR="002C0FD9" w:rsidRPr="00CA25CF" w:rsidRDefault="002C0FD9" w:rsidP="00CA25CF">
            <w:pPr>
              <w:rPr>
                <w:rFonts w:cs="Arial"/>
                <w:color w:val="FF0000"/>
                <w:sz w:val="21"/>
                <w:szCs w:val="21"/>
              </w:rPr>
            </w:pPr>
          </w:p>
        </w:tc>
        <w:tc>
          <w:tcPr>
            <w:tcW w:w="217" w:type="dxa"/>
          </w:tcPr>
          <w:p w14:paraId="6CB325CA" w14:textId="77777777" w:rsidR="002C0FD9" w:rsidRPr="00CA25CF" w:rsidRDefault="002C0FD9" w:rsidP="00CA25CF">
            <w:pPr>
              <w:rPr>
                <w:rFonts w:cs="Arial"/>
                <w:color w:val="FF0000"/>
                <w:sz w:val="21"/>
                <w:szCs w:val="21"/>
              </w:rPr>
            </w:pPr>
          </w:p>
        </w:tc>
        <w:tc>
          <w:tcPr>
            <w:tcW w:w="217" w:type="dxa"/>
          </w:tcPr>
          <w:p w14:paraId="2FBD9B2A" w14:textId="77777777" w:rsidR="002C0FD9" w:rsidRPr="00CA25CF" w:rsidRDefault="002C0FD9" w:rsidP="00CA25CF">
            <w:pPr>
              <w:rPr>
                <w:rFonts w:cs="Arial"/>
                <w:color w:val="FF0000"/>
                <w:sz w:val="21"/>
                <w:szCs w:val="21"/>
              </w:rPr>
            </w:pPr>
          </w:p>
        </w:tc>
        <w:tc>
          <w:tcPr>
            <w:tcW w:w="217" w:type="dxa"/>
          </w:tcPr>
          <w:p w14:paraId="17F65993" w14:textId="77777777" w:rsidR="002C0FD9" w:rsidRPr="00CA25CF" w:rsidRDefault="002C0FD9" w:rsidP="00CA25CF">
            <w:pPr>
              <w:rPr>
                <w:rFonts w:cs="Arial"/>
                <w:color w:val="FF0000"/>
                <w:sz w:val="21"/>
                <w:szCs w:val="21"/>
              </w:rPr>
            </w:pPr>
          </w:p>
        </w:tc>
        <w:tc>
          <w:tcPr>
            <w:tcW w:w="217" w:type="dxa"/>
          </w:tcPr>
          <w:p w14:paraId="60D72289" w14:textId="77777777" w:rsidR="002C0FD9" w:rsidRPr="00CA25CF" w:rsidRDefault="002C0FD9" w:rsidP="00CA25CF">
            <w:pPr>
              <w:rPr>
                <w:rFonts w:cs="Arial"/>
                <w:color w:val="FF0000"/>
                <w:sz w:val="21"/>
                <w:szCs w:val="21"/>
              </w:rPr>
            </w:pPr>
          </w:p>
        </w:tc>
      </w:tr>
      <w:tr w:rsidR="002C0FD9" w:rsidRPr="00A16219" w14:paraId="30E597CF" w14:textId="77777777" w:rsidTr="002C0FD9">
        <w:trPr>
          <w:trHeight w:val="635"/>
        </w:trPr>
        <w:tc>
          <w:tcPr>
            <w:tcW w:w="515" w:type="dxa"/>
          </w:tcPr>
          <w:p w14:paraId="25C52050" w14:textId="77777777" w:rsidR="002C0FD9" w:rsidRPr="00CA25CF" w:rsidRDefault="002C0FD9" w:rsidP="00CA25CF">
            <w:pPr>
              <w:rPr>
                <w:rFonts w:cs="Arial"/>
                <w:color w:val="FF0000"/>
                <w:sz w:val="21"/>
                <w:szCs w:val="21"/>
              </w:rPr>
            </w:pPr>
          </w:p>
        </w:tc>
        <w:tc>
          <w:tcPr>
            <w:tcW w:w="217" w:type="dxa"/>
          </w:tcPr>
          <w:p w14:paraId="1675557D" w14:textId="77777777" w:rsidR="002C0FD9" w:rsidRPr="00CA25CF" w:rsidRDefault="002C0FD9" w:rsidP="00CA25CF">
            <w:pPr>
              <w:rPr>
                <w:rFonts w:cs="Arial"/>
                <w:color w:val="FF0000"/>
                <w:sz w:val="21"/>
                <w:szCs w:val="21"/>
              </w:rPr>
            </w:pPr>
          </w:p>
        </w:tc>
        <w:tc>
          <w:tcPr>
            <w:tcW w:w="217" w:type="dxa"/>
          </w:tcPr>
          <w:p w14:paraId="2E5D4745" w14:textId="77777777" w:rsidR="002C0FD9" w:rsidRPr="00CA25CF" w:rsidRDefault="002C0FD9" w:rsidP="00CA25CF">
            <w:pPr>
              <w:rPr>
                <w:rFonts w:cs="Arial"/>
                <w:color w:val="FF0000"/>
                <w:sz w:val="21"/>
                <w:szCs w:val="21"/>
              </w:rPr>
            </w:pPr>
          </w:p>
        </w:tc>
        <w:tc>
          <w:tcPr>
            <w:tcW w:w="217" w:type="dxa"/>
          </w:tcPr>
          <w:p w14:paraId="4B83F802" w14:textId="77777777" w:rsidR="002C0FD9" w:rsidRPr="00CA25CF" w:rsidRDefault="002C0FD9" w:rsidP="00CA25CF">
            <w:pPr>
              <w:rPr>
                <w:rFonts w:cs="Arial"/>
                <w:color w:val="FF0000"/>
                <w:sz w:val="21"/>
                <w:szCs w:val="21"/>
              </w:rPr>
            </w:pPr>
          </w:p>
        </w:tc>
        <w:tc>
          <w:tcPr>
            <w:tcW w:w="217" w:type="dxa"/>
          </w:tcPr>
          <w:p w14:paraId="20CE4BAE" w14:textId="77777777" w:rsidR="002C0FD9" w:rsidRPr="00CA25CF" w:rsidRDefault="002C0FD9" w:rsidP="00CA25CF">
            <w:pPr>
              <w:rPr>
                <w:rFonts w:cs="Arial"/>
                <w:color w:val="FF0000"/>
                <w:sz w:val="21"/>
                <w:szCs w:val="21"/>
              </w:rPr>
            </w:pPr>
          </w:p>
        </w:tc>
        <w:tc>
          <w:tcPr>
            <w:tcW w:w="217" w:type="dxa"/>
          </w:tcPr>
          <w:p w14:paraId="253A1BB8" w14:textId="77777777" w:rsidR="002C0FD9" w:rsidRPr="00CA25CF" w:rsidRDefault="002C0FD9" w:rsidP="00CA25CF">
            <w:pPr>
              <w:rPr>
                <w:rFonts w:cs="Arial"/>
                <w:color w:val="FF0000"/>
                <w:sz w:val="21"/>
                <w:szCs w:val="21"/>
              </w:rPr>
            </w:pPr>
          </w:p>
        </w:tc>
        <w:tc>
          <w:tcPr>
            <w:tcW w:w="217" w:type="dxa"/>
          </w:tcPr>
          <w:p w14:paraId="41461C96" w14:textId="77777777" w:rsidR="002C0FD9" w:rsidRPr="00CA25CF" w:rsidRDefault="002C0FD9" w:rsidP="00CA25CF">
            <w:pPr>
              <w:rPr>
                <w:rFonts w:cs="Arial"/>
                <w:color w:val="FF0000"/>
                <w:sz w:val="21"/>
                <w:szCs w:val="21"/>
              </w:rPr>
            </w:pPr>
          </w:p>
        </w:tc>
        <w:tc>
          <w:tcPr>
            <w:tcW w:w="217" w:type="dxa"/>
          </w:tcPr>
          <w:p w14:paraId="39C38FEB" w14:textId="77777777" w:rsidR="002C0FD9" w:rsidRPr="00CA25CF" w:rsidRDefault="002C0FD9" w:rsidP="00CA25CF">
            <w:pPr>
              <w:rPr>
                <w:rFonts w:cs="Arial"/>
                <w:color w:val="FF0000"/>
                <w:sz w:val="21"/>
                <w:szCs w:val="21"/>
              </w:rPr>
            </w:pPr>
          </w:p>
        </w:tc>
        <w:tc>
          <w:tcPr>
            <w:tcW w:w="217" w:type="dxa"/>
          </w:tcPr>
          <w:p w14:paraId="1E74F3A7" w14:textId="77777777" w:rsidR="002C0FD9" w:rsidRPr="00CA25CF" w:rsidRDefault="002C0FD9" w:rsidP="00CA25CF">
            <w:pPr>
              <w:rPr>
                <w:rFonts w:cs="Arial"/>
                <w:color w:val="FF0000"/>
                <w:sz w:val="21"/>
                <w:szCs w:val="21"/>
              </w:rPr>
            </w:pPr>
          </w:p>
        </w:tc>
        <w:tc>
          <w:tcPr>
            <w:tcW w:w="217" w:type="dxa"/>
          </w:tcPr>
          <w:p w14:paraId="07B419E0" w14:textId="77777777" w:rsidR="002C0FD9" w:rsidRPr="00CA25CF" w:rsidRDefault="002C0FD9" w:rsidP="00CA25CF">
            <w:pPr>
              <w:rPr>
                <w:rFonts w:cs="Arial"/>
                <w:color w:val="FF0000"/>
                <w:sz w:val="21"/>
                <w:szCs w:val="21"/>
              </w:rPr>
            </w:pPr>
          </w:p>
        </w:tc>
        <w:tc>
          <w:tcPr>
            <w:tcW w:w="217" w:type="dxa"/>
          </w:tcPr>
          <w:p w14:paraId="23514F70" w14:textId="77777777" w:rsidR="002C0FD9" w:rsidRPr="00CA25CF" w:rsidRDefault="002C0FD9" w:rsidP="00CA25CF">
            <w:pPr>
              <w:rPr>
                <w:rFonts w:cs="Arial"/>
                <w:color w:val="FF0000"/>
                <w:sz w:val="21"/>
                <w:szCs w:val="21"/>
              </w:rPr>
            </w:pPr>
          </w:p>
        </w:tc>
        <w:tc>
          <w:tcPr>
            <w:tcW w:w="217" w:type="dxa"/>
          </w:tcPr>
          <w:p w14:paraId="016143D9" w14:textId="77777777" w:rsidR="002C0FD9" w:rsidRPr="00CA25CF" w:rsidRDefault="002C0FD9" w:rsidP="00CA25CF">
            <w:pPr>
              <w:rPr>
                <w:rFonts w:cs="Arial"/>
                <w:color w:val="FF0000"/>
                <w:sz w:val="21"/>
                <w:szCs w:val="21"/>
              </w:rPr>
            </w:pPr>
          </w:p>
        </w:tc>
        <w:tc>
          <w:tcPr>
            <w:tcW w:w="217" w:type="dxa"/>
          </w:tcPr>
          <w:p w14:paraId="0B748C3D" w14:textId="77777777" w:rsidR="002C0FD9" w:rsidRPr="00CA25CF" w:rsidRDefault="002C0FD9" w:rsidP="00CA25CF">
            <w:pPr>
              <w:rPr>
                <w:rFonts w:cs="Arial"/>
                <w:color w:val="FF0000"/>
                <w:sz w:val="21"/>
                <w:szCs w:val="21"/>
              </w:rPr>
            </w:pPr>
          </w:p>
        </w:tc>
        <w:tc>
          <w:tcPr>
            <w:tcW w:w="217" w:type="dxa"/>
          </w:tcPr>
          <w:p w14:paraId="1134C0AE" w14:textId="77777777" w:rsidR="002C0FD9" w:rsidRPr="00CA25CF" w:rsidRDefault="002C0FD9" w:rsidP="00CA25CF">
            <w:pPr>
              <w:rPr>
                <w:rFonts w:cs="Arial"/>
                <w:color w:val="FF0000"/>
                <w:sz w:val="21"/>
                <w:szCs w:val="21"/>
              </w:rPr>
            </w:pPr>
          </w:p>
        </w:tc>
        <w:tc>
          <w:tcPr>
            <w:tcW w:w="217" w:type="dxa"/>
          </w:tcPr>
          <w:p w14:paraId="2FD07AE3" w14:textId="77777777" w:rsidR="002C0FD9" w:rsidRPr="00CA25CF" w:rsidRDefault="002C0FD9" w:rsidP="00CA25CF">
            <w:pPr>
              <w:rPr>
                <w:rFonts w:cs="Arial"/>
                <w:color w:val="FF0000"/>
                <w:sz w:val="21"/>
                <w:szCs w:val="21"/>
              </w:rPr>
            </w:pPr>
          </w:p>
        </w:tc>
        <w:tc>
          <w:tcPr>
            <w:tcW w:w="217" w:type="dxa"/>
          </w:tcPr>
          <w:p w14:paraId="6C0723FA" w14:textId="77777777" w:rsidR="002C0FD9" w:rsidRPr="00CA25CF" w:rsidRDefault="002C0FD9" w:rsidP="00CA25CF">
            <w:pPr>
              <w:rPr>
                <w:rFonts w:cs="Arial"/>
                <w:color w:val="FF0000"/>
                <w:sz w:val="21"/>
                <w:szCs w:val="21"/>
              </w:rPr>
            </w:pPr>
          </w:p>
        </w:tc>
        <w:tc>
          <w:tcPr>
            <w:tcW w:w="217" w:type="dxa"/>
          </w:tcPr>
          <w:p w14:paraId="68FC1748" w14:textId="77777777" w:rsidR="002C0FD9" w:rsidRPr="00CA25CF" w:rsidRDefault="002C0FD9" w:rsidP="00CA25CF">
            <w:pPr>
              <w:rPr>
                <w:rFonts w:cs="Arial"/>
                <w:color w:val="FF0000"/>
                <w:sz w:val="21"/>
                <w:szCs w:val="21"/>
              </w:rPr>
            </w:pPr>
          </w:p>
        </w:tc>
        <w:tc>
          <w:tcPr>
            <w:tcW w:w="217" w:type="dxa"/>
          </w:tcPr>
          <w:p w14:paraId="2A160524" w14:textId="77777777" w:rsidR="002C0FD9" w:rsidRPr="00CA25CF" w:rsidRDefault="002C0FD9" w:rsidP="00CA25CF">
            <w:pPr>
              <w:rPr>
                <w:rFonts w:cs="Arial"/>
                <w:color w:val="FF0000"/>
                <w:sz w:val="21"/>
                <w:szCs w:val="21"/>
              </w:rPr>
            </w:pPr>
          </w:p>
        </w:tc>
        <w:tc>
          <w:tcPr>
            <w:tcW w:w="217" w:type="dxa"/>
          </w:tcPr>
          <w:p w14:paraId="29D003B5" w14:textId="77777777" w:rsidR="002C0FD9" w:rsidRPr="00CA25CF" w:rsidRDefault="002C0FD9" w:rsidP="00CA25CF">
            <w:pPr>
              <w:rPr>
                <w:rFonts w:cs="Arial"/>
                <w:color w:val="FF0000"/>
                <w:sz w:val="21"/>
                <w:szCs w:val="21"/>
              </w:rPr>
            </w:pPr>
          </w:p>
        </w:tc>
        <w:tc>
          <w:tcPr>
            <w:tcW w:w="217" w:type="dxa"/>
          </w:tcPr>
          <w:p w14:paraId="2C2AF120" w14:textId="77777777" w:rsidR="002C0FD9" w:rsidRPr="00CA25CF" w:rsidRDefault="002C0FD9" w:rsidP="00CA25CF">
            <w:pPr>
              <w:rPr>
                <w:rFonts w:cs="Arial"/>
                <w:color w:val="FF0000"/>
                <w:sz w:val="21"/>
                <w:szCs w:val="21"/>
              </w:rPr>
            </w:pPr>
          </w:p>
        </w:tc>
        <w:tc>
          <w:tcPr>
            <w:tcW w:w="217" w:type="dxa"/>
          </w:tcPr>
          <w:p w14:paraId="06711F36" w14:textId="77777777" w:rsidR="002C0FD9" w:rsidRPr="00CA25CF" w:rsidRDefault="002C0FD9" w:rsidP="00CA25CF">
            <w:pPr>
              <w:rPr>
                <w:rFonts w:cs="Arial"/>
                <w:color w:val="FF0000"/>
                <w:sz w:val="21"/>
                <w:szCs w:val="21"/>
              </w:rPr>
            </w:pPr>
          </w:p>
        </w:tc>
        <w:tc>
          <w:tcPr>
            <w:tcW w:w="217" w:type="dxa"/>
          </w:tcPr>
          <w:p w14:paraId="3CC71224" w14:textId="77777777" w:rsidR="002C0FD9" w:rsidRPr="00CA25CF" w:rsidRDefault="002C0FD9" w:rsidP="00CA25CF">
            <w:pPr>
              <w:rPr>
                <w:rFonts w:cs="Arial"/>
                <w:color w:val="FF0000"/>
                <w:sz w:val="21"/>
                <w:szCs w:val="21"/>
              </w:rPr>
            </w:pPr>
          </w:p>
        </w:tc>
        <w:tc>
          <w:tcPr>
            <w:tcW w:w="217" w:type="dxa"/>
          </w:tcPr>
          <w:p w14:paraId="3C0FB968" w14:textId="77777777" w:rsidR="002C0FD9" w:rsidRPr="00CA25CF" w:rsidRDefault="002C0FD9" w:rsidP="00CA25CF">
            <w:pPr>
              <w:rPr>
                <w:rFonts w:cs="Arial"/>
                <w:color w:val="FF0000"/>
                <w:sz w:val="21"/>
                <w:szCs w:val="21"/>
              </w:rPr>
            </w:pPr>
          </w:p>
        </w:tc>
        <w:tc>
          <w:tcPr>
            <w:tcW w:w="217" w:type="dxa"/>
          </w:tcPr>
          <w:p w14:paraId="4248ABD0" w14:textId="77777777" w:rsidR="002C0FD9" w:rsidRPr="00CA25CF" w:rsidRDefault="002C0FD9" w:rsidP="00CA25CF">
            <w:pPr>
              <w:rPr>
                <w:rFonts w:cs="Arial"/>
                <w:color w:val="FF0000"/>
                <w:sz w:val="21"/>
                <w:szCs w:val="21"/>
              </w:rPr>
            </w:pPr>
          </w:p>
        </w:tc>
        <w:tc>
          <w:tcPr>
            <w:tcW w:w="217" w:type="dxa"/>
          </w:tcPr>
          <w:p w14:paraId="78F42D04" w14:textId="77777777" w:rsidR="002C0FD9" w:rsidRPr="00CA25CF" w:rsidRDefault="002C0FD9" w:rsidP="00CA25CF">
            <w:pPr>
              <w:rPr>
                <w:rFonts w:cs="Arial"/>
                <w:color w:val="FF0000"/>
                <w:sz w:val="21"/>
                <w:szCs w:val="21"/>
              </w:rPr>
            </w:pPr>
          </w:p>
        </w:tc>
        <w:tc>
          <w:tcPr>
            <w:tcW w:w="217" w:type="dxa"/>
          </w:tcPr>
          <w:p w14:paraId="4A6FE638" w14:textId="77777777" w:rsidR="002C0FD9" w:rsidRPr="00CA25CF" w:rsidRDefault="002C0FD9" w:rsidP="00CA25CF">
            <w:pPr>
              <w:rPr>
                <w:rFonts w:cs="Arial"/>
                <w:color w:val="FF0000"/>
                <w:sz w:val="21"/>
                <w:szCs w:val="21"/>
              </w:rPr>
            </w:pPr>
          </w:p>
        </w:tc>
        <w:tc>
          <w:tcPr>
            <w:tcW w:w="217" w:type="dxa"/>
          </w:tcPr>
          <w:p w14:paraId="41DFBE3F" w14:textId="77777777" w:rsidR="002C0FD9" w:rsidRPr="00CA25CF" w:rsidRDefault="002C0FD9" w:rsidP="00CA25CF">
            <w:pPr>
              <w:rPr>
                <w:rFonts w:cs="Arial"/>
                <w:color w:val="FF0000"/>
                <w:sz w:val="21"/>
                <w:szCs w:val="21"/>
              </w:rPr>
            </w:pPr>
          </w:p>
        </w:tc>
        <w:tc>
          <w:tcPr>
            <w:tcW w:w="217" w:type="dxa"/>
          </w:tcPr>
          <w:p w14:paraId="3F9250CD" w14:textId="77777777" w:rsidR="002C0FD9" w:rsidRPr="00CA25CF" w:rsidRDefault="002C0FD9" w:rsidP="00CA25CF">
            <w:pPr>
              <w:rPr>
                <w:rFonts w:cs="Arial"/>
                <w:color w:val="FF0000"/>
                <w:sz w:val="21"/>
                <w:szCs w:val="21"/>
              </w:rPr>
            </w:pPr>
          </w:p>
        </w:tc>
        <w:tc>
          <w:tcPr>
            <w:tcW w:w="217" w:type="dxa"/>
          </w:tcPr>
          <w:p w14:paraId="6B32A11C" w14:textId="77777777" w:rsidR="002C0FD9" w:rsidRPr="00CA25CF" w:rsidRDefault="002C0FD9" w:rsidP="00CA25CF">
            <w:pPr>
              <w:rPr>
                <w:rFonts w:cs="Arial"/>
                <w:color w:val="FF0000"/>
                <w:sz w:val="21"/>
                <w:szCs w:val="21"/>
              </w:rPr>
            </w:pPr>
          </w:p>
        </w:tc>
        <w:tc>
          <w:tcPr>
            <w:tcW w:w="217" w:type="dxa"/>
          </w:tcPr>
          <w:p w14:paraId="105BAACF" w14:textId="77777777" w:rsidR="002C0FD9" w:rsidRPr="00CA25CF" w:rsidRDefault="002C0FD9" w:rsidP="00CA25CF">
            <w:pPr>
              <w:rPr>
                <w:rFonts w:cs="Arial"/>
                <w:color w:val="FF0000"/>
                <w:sz w:val="21"/>
                <w:szCs w:val="21"/>
              </w:rPr>
            </w:pPr>
          </w:p>
        </w:tc>
        <w:tc>
          <w:tcPr>
            <w:tcW w:w="217" w:type="dxa"/>
          </w:tcPr>
          <w:p w14:paraId="27B46F70" w14:textId="77777777" w:rsidR="002C0FD9" w:rsidRPr="00CA25CF" w:rsidRDefault="002C0FD9" w:rsidP="00CA25CF">
            <w:pPr>
              <w:rPr>
                <w:rFonts w:cs="Arial"/>
                <w:color w:val="FF0000"/>
                <w:sz w:val="21"/>
                <w:szCs w:val="21"/>
              </w:rPr>
            </w:pPr>
          </w:p>
        </w:tc>
        <w:tc>
          <w:tcPr>
            <w:tcW w:w="217" w:type="dxa"/>
          </w:tcPr>
          <w:p w14:paraId="5023E3EB" w14:textId="77777777" w:rsidR="002C0FD9" w:rsidRPr="00CA25CF" w:rsidRDefault="002C0FD9" w:rsidP="00CA25CF">
            <w:pPr>
              <w:rPr>
                <w:rFonts w:cs="Arial"/>
                <w:color w:val="FF0000"/>
                <w:sz w:val="21"/>
                <w:szCs w:val="21"/>
              </w:rPr>
            </w:pPr>
          </w:p>
        </w:tc>
        <w:tc>
          <w:tcPr>
            <w:tcW w:w="217" w:type="dxa"/>
          </w:tcPr>
          <w:p w14:paraId="0BEB8C1C" w14:textId="77777777" w:rsidR="002C0FD9" w:rsidRPr="00CA25CF" w:rsidRDefault="002C0FD9" w:rsidP="00CA25CF">
            <w:pPr>
              <w:rPr>
                <w:rFonts w:cs="Arial"/>
                <w:color w:val="FF0000"/>
                <w:sz w:val="21"/>
                <w:szCs w:val="21"/>
              </w:rPr>
            </w:pPr>
          </w:p>
        </w:tc>
        <w:tc>
          <w:tcPr>
            <w:tcW w:w="217" w:type="dxa"/>
          </w:tcPr>
          <w:p w14:paraId="666ACA90" w14:textId="77777777" w:rsidR="002C0FD9" w:rsidRPr="00CA25CF" w:rsidRDefault="002C0FD9" w:rsidP="00CA25CF">
            <w:pPr>
              <w:rPr>
                <w:rFonts w:cs="Arial"/>
                <w:color w:val="FF0000"/>
                <w:sz w:val="21"/>
                <w:szCs w:val="21"/>
              </w:rPr>
            </w:pPr>
          </w:p>
        </w:tc>
        <w:tc>
          <w:tcPr>
            <w:tcW w:w="217" w:type="dxa"/>
          </w:tcPr>
          <w:p w14:paraId="29E9DF97" w14:textId="77777777" w:rsidR="002C0FD9" w:rsidRPr="00CA25CF" w:rsidRDefault="002C0FD9" w:rsidP="00CA25CF">
            <w:pPr>
              <w:rPr>
                <w:rFonts w:cs="Arial"/>
                <w:color w:val="FF0000"/>
                <w:sz w:val="21"/>
                <w:szCs w:val="21"/>
              </w:rPr>
            </w:pPr>
          </w:p>
        </w:tc>
        <w:tc>
          <w:tcPr>
            <w:tcW w:w="217" w:type="dxa"/>
          </w:tcPr>
          <w:p w14:paraId="0C335F34" w14:textId="77777777" w:rsidR="002C0FD9" w:rsidRPr="00CA25CF" w:rsidRDefault="002C0FD9" w:rsidP="00CA25CF">
            <w:pPr>
              <w:rPr>
                <w:rFonts w:cs="Arial"/>
                <w:color w:val="FF0000"/>
                <w:sz w:val="21"/>
                <w:szCs w:val="21"/>
              </w:rPr>
            </w:pPr>
          </w:p>
        </w:tc>
        <w:tc>
          <w:tcPr>
            <w:tcW w:w="217" w:type="dxa"/>
          </w:tcPr>
          <w:p w14:paraId="29D7FBF9" w14:textId="77777777" w:rsidR="002C0FD9" w:rsidRPr="00CA25CF" w:rsidRDefault="002C0FD9" w:rsidP="00CA25CF">
            <w:pPr>
              <w:rPr>
                <w:rFonts w:cs="Arial"/>
                <w:color w:val="FF0000"/>
                <w:sz w:val="21"/>
                <w:szCs w:val="21"/>
              </w:rPr>
            </w:pPr>
          </w:p>
        </w:tc>
        <w:tc>
          <w:tcPr>
            <w:tcW w:w="217" w:type="dxa"/>
          </w:tcPr>
          <w:p w14:paraId="5DEA4E21" w14:textId="77777777" w:rsidR="002C0FD9" w:rsidRPr="00CA25CF" w:rsidRDefault="002C0FD9" w:rsidP="00CA25CF">
            <w:pPr>
              <w:rPr>
                <w:rFonts w:cs="Arial"/>
                <w:color w:val="FF0000"/>
                <w:sz w:val="21"/>
                <w:szCs w:val="21"/>
              </w:rPr>
            </w:pPr>
          </w:p>
        </w:tc>
        <w:tc>
          <w:tcPr>
            <w:tcW w:w="217" w:type="dxa"/>
          </w:tcPr>
          <w:p w14:paraId="00C43D8E" w14:textId="77777777" w:rsidR="002C0FD9" w:rsidRPr="00CA25CF" w:rsidRDefault="002C0FD9" w:rsidP="00CA25CF">
            <w:pPr>
              <w:rPr>
                <w:rFonts w:cs="Arial"/>
                <w:color w:val="FF0000"/>
                <w:sz w:val="21"/>
                <w:szCs w:val="21"/>
              </w:rPr>
            </w:pPr>
          </w:p>
        </w:tc>
        <w:tc>
          <w:tcPr>
            <w:tcW w:w="217" w:type="dxa"/>
          </w:tcPr>
          <w:p w14:paraId="037A23D7" w14:textId="77777777" w:rsidR="002C0FD9" w:rsidRPr="00CA25CF" w:rsidRDefault="002C0FD9" w:rsidP="00CA25CF">
            <w:pPr>
              <w:rPr>
                <w:rFonts w:cs="Arial"/>
                <w:color w:val="FF0000"/>
                <w:sz w:val="21"/>
                <w:szCs w:val="21"/>
              </w:rPr>
            </w:pPr>
          </w:p>
        </w:tc>
        <w:tc>
          <w:tcPr>
            <w:tcW w:w="217" w:type="dxa"/>
          </w:tcPr>
          <w:p w14:paraId="7FBDABDF" w14:textId="77777777" w:rsidR="002C0FD9" w:rsidRPr="00CA25CF" w:rsidRDefault="002C0FD9" w:rsidP="00CA25CF">
            <w:pPr>
              <w:rPr>
                <w:rFonts w:cs="Arial"/>
                <w:color w:val="FF0000"/>
                <w:sz w:val="21"/>
                <w:szCs w:val="21"/>
              </w:rPr>
            </w:pPr>
          </w:p>
        </w:tc>
        <w:tc>
          <w:tcPr>
            <w:tcW w:w="217" w:type="dxa"/>
          </w:tcPr>
          <w:p w14:paraId="2A777B44" w14:textId="77777777" w:rsidR="002C0FD9" w:rsidRPr="00CA25CF" w:rsidRDefault="002C0FD9" w:rsidP="00CA25CF">
            <w:pPr>
              <w:rPr>
                <w:rFonts w:cs="Arial"/>
                <w:color w:val="FF0000"/>
                <w:sz w:val="21"/>
                <w:szCs w:val="21"/>
              </w:rPr>
            </w:pPr>
          </w:p>
        </w:tc>
        <w:tc>
          <w:tcPr>
            <w:tcW w:w="217" w:type="dxa"/>
          </w:tcPr>
          <w:p w14:paraId="44C0BB7E" w14:textId="77777777" w:rsidR="002C0FD9" w:rsidRPr="00CA25CF" w:rsidRDefault="002C0FD9" w:rsidP="00CA25CF">
            <w:pPr>
              <w:rPr>
                <w:rFonts w:cs="Arial"/>
                <w:color w:val="FF0000"/>
                <w:sz w:val="21"/>
                <w:szCs w:val="21"/>
              </w:rPr>
            </w:pPr>
          </w:p>
        </w:tc>
      </w:tr>
      <w:tr w:rsidR="002C0FD9" w:rsidRPr="00A16219" w14:paraId="0AC017C4" w14:textId="77777777" w:rsidTr="002C0FD9">
        <w:trPr>
          <w:trHeight w:val="635"/>
        </w:trPr>
        <w:tc>
          <w:tcPr>
            <w:tcW w:w="515" w:type="dxa"/>
          </w:tcPr>
          <w:p w14:paraId="72FD9B2A" w14:textId="77777777" w:rsidR="002C0FD9" w:rsidRPr="00CA25CF" w:rsidRDefault="002C0FD9" w:rsidP="00CA25CF">
            <w:pPr>
              <w:rPr>
                <w:rFonts w:cs="Arial"/>
                <w:color w:val="FF0000"/>
                <w:sz w:val="21"/>
                <w:szCs w:val="21"/>
              </w:rPr>
            </w:pPr>
          </w:p>
        </w:tc>
        <w:tc>
          <w:tcPr>
            <w:tcW w:w="217" w:type="dxa"/>
          </w:tcPr>
          <w:p w14:paraId="06369897" w14:textId="77777777" w:rsidR="002C0FD9" w:rsidRPr="00CA25CF" w:rsidRDefault="002C0FD9" w:rsidP="00CA25CF">
            <w:pPr>
              <w:rPr>
                <w:rFonts w:cs="Arial"/>
                <w:color w:val="FF0000"/>
                <w:sz w:val="21"/>
                <w:szCs w:val="21"/>
              </w:rPr>
            </w:pPr>
          </w:p>
        </w:tc>
        <w:tc>
          <w:tcPr>
            <w:tcW w:w="217" w:type="dxa"/>
          </w:tcPr>
          <w:p w14:paraId="778895C5" w14:textId="77777777" w:rsidR="002C0FD9" w:rsidRPr="00CA25CF" w:rsidRDefault="002C0FD9" w:rsidP="00CA25CF">
            <w:pPr>
              <w:rPr>
                <w:rFonts w:cs="Arial"/>
                <w:color w:val="FF0000"/>
                <w:sz w:val="21"/>
                <w:szCs w:val="21"/>
              </w:rPr>
            </w:pPr>
          </w:p>
        </w:tc>
        <w:tc>
          <w:tcPr>
            <w:tcW w:w="217" w:type="dxa"/>
          </w:tcPr>
          <w:p w14:paraId="4DE69A41" w14:textId="77777777" w:rsidR="002C0FD9" w:rsidRPr="00CA25CF" w:rsidRDefault="002C0FD9" w:rsidP="00CA25CF">
            <w:pPr>
              <w:rPr>
                <w:rFonts w:cs="Arial"/>
                <w:color w:val="FF0000"/>
                <w:sz w:val="21"/>
                <w:szCs w:val="21"/>
              </w:rPr>
            </w:pPr>
          </w:p>
        </w:tc>
        <w:tc>
          <w:tcPr>
            <w:tcW w:w="217" w:type="dxa"/>
          </w:tcPr>
          <w:p w14:paraId="22B89AD6" w14:textId="77777777" w:rsidR="002C0FD9" w:rsidRPr="00CA25CF" w:rsidRDefault="002C0FD9" w:rsidP="00CA25CF">
            <w:pPr>
              <w:rPr>
                <w:rFonts w:cs="Arial"/>
                <w:color w:val="FF0000"/>
                <w:sz w:val="21"/>
                <w:szCs w:val="21"/>
              </w:rPr>
            </w:pPr>
          </w:p>
        </w:tc>
        <w:tc>
          <w:tcPr>
            <w:tcW w:w="217" w:type="dxa"/>
          </w:tcPr>
          <w:p w14:paraId="1F18DAD0" w14:textId="77777777" w:rsidR="002C0FD9" w:rsidRPr="00CA25CF" w:rsidRDefault="002C0FD9" w:rsidP="00CA25CF">
            <w:pPr>
              <w:rPr>
                <w:rFonts w:cs="Arial"/>
                <w:color w:val="FF0000"/>
                <w:sz w:val="21"/>
                <w:szCs w:val="21"/>
              </w:rPr>
            </w:pPr>
          </w:p>
        </w:tc>
        <w:tc>
          <w:tcPr>
            <w:tcW w:w="217" w:type="dxa"/>
          </w:tcPr>
          <w:p w14:paraId="178F1397" w14:textId="77777777" w:rsidR="002C0FD9" w:rsidRPr="00CA25CF" w:rsidRDefault="002C0FD9" w:rsidP="00CA25CF">
            <w:pPr>
              <w:rPr>
                <w:rFonts w:cs="Arial"/>
                <w:color w:val="FF0000"/>
                <w:sz w:val="21"/>
                <w:szCs w:val="21"/>
              </w:rPr>
            </w:pPr>
          </w:p>
        </w:tc>
        <w:tc>
          <w:tcPr>
            <w:tcW w:w="217" w:type="dxa"/>
          </w:tcPr>
          <w:p w14:paraId="66EF39E8" w14:textId="77777777" w:rsidR="002C0FD9" w:rsidRPr="00CA25CF" w:rsidRDefault="002C0FD9" w:rsidP="00CA25CF">
            <w:pPr>
              <w:rPr>
                <w:rFonts w:cs="Arial"/>
                <w:color w:val="FF0000"/>
                <w:sz w:val="21"/>
                <w:szCs w:val="21"/>
              </w:rPr>
            </w:pPr>
          </w:p>
        </w:tc>
        <w:tc>
          <w:tcPr>
            <w:tcW w:w="217" w:type="dxa"/>
          </w:tcPr>
          <w:p w14:paraId="028D6003" w14:textId="77777777" w:rsidR="002C0FD9" w:rsidRPr="00CA25CF" w:rsidRDefault="002C0FD9" w:rsidP="00CA25CF">
            <w:pPr>
              <w:rPr>
                <w:rFonts w:cs="Arial"/>
                <w:color w:val="FF0000"/>
                <w:sz w:val="21"/>
                <w:szCs w:val="21"/>
              </w:rPr>
            </w:pPr>
          </w:p>
        </w:tc>
        <w:tc>
          <w:tcPr>
            <w:tcW w:w="217" w:type="dxa"/>
          </w:tcPr>
          <w:p w14:paraId="04A907B2" w14:textId="77777777" w:rsidR="002C0FD9" w:rsidRPr="00CA25CF" w:rsidRDefault="002C0FD9" w:rsidP="00CA25CF">
            <w:pPr>
              <w:rPr>
                <w:rFonts w:cs="Arial"/>
                <w:color w:val="FF0000"/>
                <w:sz w:val="21"/>
                <w:szCs w:val="21"/>
              </w:rPr>
            </w:pPr>
          </w:p>
        </w:tc>
        <w:tc>
          <w:tcPr>
            <w:tcW w:w="217" w:type="dxa"/>
          </w:tcPr>
          <w:p w14:paraId="6398D869" w14:textId="77777777" w:rsidR="002C0FD9" w:rsidRPr="00CA25CF" w:rsidRDefault="002C0FD9" w:rsidP="00CA25CF">
            <w:pPr>
              <w:rPr>
                <w:rFonts w:cs="Arial"/>
                <w:color w:val="FF0000"/>
                <w:sz w:val="21"/>
                <w:szCs w:val="21"/>
              </w:rPr>
            </w:pPr>
          </w:p>
        </w:tc>
        <w:tc>
          <w:tcPr>
            <w:tcW w:w="217" w:type="dxa"/>
          </w:tcPr>
          <w:p w14:paraId="79B30D14" w14:textId="77777777" w:rsidR="002C0FD9" w:rsidRPr="00CA25CF" w:rsidRDefault="002C0FD9" w:rsidP="00CA25CF">
            <w:pPr>
              <w:rPr>
                <w:rFonts w:cs="Arial"/>
                <w:color w:val="FF0000"/>
                <w:sz w:val="21"/>
                <w:szCs w:val="21"/>
              </w:rPr>
            </w:pPr>
          </w:p>
        </w:tc>
        <w:tc>
          <w:tcPr>
            <w:tcW w:w="217" w:type="dxa"/>
          </w:tcPr>
          <w:p w14:paraId="6509A1C3" w14:textId="77777777" w:rsidR="002C0FD9" w:rsidRPr="00CA25CF" w:rsidRDefault="002C0FD9" w:rsidP="00CA25CF">
            <w:pPr>
              <w:rPr>
                <w:rFonts w:cs="Arial"/>
                <w:color w:val="FF0000"/>
                <w:sz w:val="21"/>
                <w:szCs w:val="21"/>
              </w:rPr>
            </w:pPr>
          </w:p>
        </w:tc>
        <w:tc>
          <w:tcPr>
            <w:tcW w:w="217" w:type="dxa"/>
          </w:tcPr>
          <w:p w14:paraId="3D8FAC74" w14:textId="77777777" w:rsidR="002C0FD9" w:rsidRPr="00CA25CF" w:rsidRDefault="002C0FD9" w:rsidP="00CA25CF">
            <w:pPr>
              <w:rPr>
                <w:rFonts w:cs="Arial"/>
                <w:color w:val="FF0000"/>
                <w:sz w:val="21"/>
                <w:szCs w:val="21"/>
              </w:rPr>
            </w:pPr>
          </w:p>
        </w:tc>
        <w:tc>
          <w:tcPr>
            <w:tcW w:w="217" w:type="dxa"/>
          </w:tcPr>
          <w:p w14:paraId="4BD7A639" w14:textId="77777777" w:rsidR="002C0FD9" w:rsidRPr="00CA25CF" w:rsidRDefault="002C0FD9" w:rsidP="00CA25CF">
            <w:pPr>
              <w:rPr>
                <w:rFonts w:cs="Arial"/>
                <w:color w:val="FF0000"/>
                <w:sz w:val="21"/>
                <w:szCs w:val="21"/>
              </w:rPr>
            </w:pPr>
          </w:p>
        </w:tc>
        <w:tc>
          <w:tcPr>
            <w:tcW w:w="217" w:type="dxa"/>
          </w:tcPr>
          <w:p w14:paraId="2B10A882" w14:textId="77777777" w:rsidR="002C0FD9" w:rsidRPr="00CA25CF" w:rsidRDefault="002C0FD9" w:rsidP="00CA25CF">
            <w:pPr>
              <w:rPr>
                <w:rFonts w:cs="Arial"/>
                <w:color w:val="FF0000"/>
                <w:sz w:val="21"/>
                <w:szCs w:val="21"/>
              </w:rPr>
            </w:pPr>
          </w:p>
        </w:tc>
        <w:tc>
          <w:tcPr>
            <w:tcW w:w="217" w:type="dxa"/>
          </w:tcPr>
          <w:p w14:paraId="391D47DD" w14:textId="77777777" w:rsidR="002C0FD9" w:rsidRPr="00CA25CF" w:rsidRDefault="002C0FD9" w:rsidP="00CA25CF">
            <w:pPr>
              <w:rPr>
                <w:rFonts w:cs="Arial"/>
                <w:color w:val="FF0000"/>
                <w:sz w:val="21"/>
                <w:szCs w:val="21"/>
              </w:rPr>
            </w:pPr>
          </w:p>
        </w:tc>
        <w:tc>
          <w:tcPr>
            <w:tcW w:w="217" w:type="dxa"/>
          </w:tcPr>
          <w:p w14:paraId="335AAB73" w14:textId="77777777" w:rsidR="002C0FD9" w:rsidRPr="00CA25CF" w:rsidRDefault="002C0FD9" w:rsidP="00CA25CF">
            <w:pPr>
              <w:rPr>
                <w:rFonts w:cs="Arial"/>
                <w:color w:val="FF0000"/>
                <w:sz w:val="21"/>
                <w:szCs w:val="21"/>
              </w:rPr>
            </w:pPr>
          </w:p>
        </w:tc>
        <w:tc>
          <w:tcPr>
            <w:tcW w:w="217" w:type="dxa"/>
          </w:tcPr>
          <w:p w14:paraId="38701D2A" w14:textId="77777777" w:rsidR="002C0FD9" w:rsidRPr="00CA25CF" w:rsidRDefault="002C0FD9" w:rsidP="00CA25CF">
            <w:pPr>
              <w:rPr>
                <w:rFonts w:cs="Arial"/>
                <w:color w:val="FF0000"/>
                <w:sz w:val="21"/>
                <w:szCs w:val="21"/>
              </w:rPr>
            </w:pPr>
          </w:p>
        </w:tc>
        <w:tc>
          <w:tcPr>
            <w:tcW w:w="217" w:type="dxa"/>
          </w:tcPr>
          <w:p w14:paraId="401BAB8D" w14:textId="77777777" w:rsidR="002C0FD9" w:rsidRPr="00CA25CF" w:rsidRDefault="002C0FD9" w:rsidP="00CA25CF">
            <w:pPr>
              <w:rPr>
                <w:rFonts w:cs="Arial"/>
                <w:color w:val="FF0000"/>
                <w:sz w:val="21"/>
                <w:szCs w:val="21"/>
              </w:rPr>
            </w:pPr>
          </w:p>
        </w:tc>
        <w:tc>
          <w:tcPr>
            <w:tcW w:w="217" w:type="dxa"/>
          </w:tcPr>
          <w:p w14:paraId="00910B28" w14:textId="77777777" w:rsidR="002C0FD9" w:rsidRPr="00CA25CF" w:rsidRDefault="002C0FD9" w:rsidP="00CA25CF">
            <w:pPr>
              <w:rPr>
                <w:rFonts w:cs="Arial"/>
                <w:color w:val="FF0000"/>
                <w:sz w:val="21"/>
                <w:szCs w:val="21"/>
              </w:rPr>
            </w:pPr>
          </w:p>
        </w:tc>
        <w:tc>
          <w:tcPr>
            <w:tcW w:w="217" w:type="dxa"/>
          </w:tcPr>
          <w:p w14:paraId="5765A338" w14:textId="77777777" w:rsidR="002C0FD9" w:rsidRPr="00CA25CF" w:rsidRDefault="002C0FD9" w:rsidP="00CA25CF">
            <w:pPr>
              <w:rPr>
                <w:rFonts w:cs="Arial"/>
                <w:color w:val="FF0000"/>
                <w:sz w:val="21"/>
                <w:szCs w:val="21"/>
              </w:rPr>
            </w:pPr>
          </w:p>
        </w:tc>
        <w:tc>
          <w:tcPr>
            <w:tcW w:w="217" w:type="dxa"/>
          </w:tcPr>
          <w:p w14:paraId="71338331" w14:textId="77777777" w:rsidR="002C0FD9" w:rsidRPr="00CA25CF" w:rsidRDefault="002C0FD9" w:rsidP="00CA25CF">
            <w:pPr>
              <w:rPr>
                <w:rFonts w:cs="Arial"/>
                <w:color w:val="FF0000"/>
                <w:sz w:val="21"/>
                <w:szCs w:val="21"/>
              </w:rPr>
            </w:pPr>
          </w:p>
        </w:tc>
        <w:tc>
          <w:tcPr>
            <w:tcW w:w="217" w:type="dxa"/>
          </w:tcPr>
          <w:p w14:paraId="603CF106" w14:textId="77777777" w:rsidR="002C0FD9" w:rsidRPr="00CA25CF" w:rsidRDefault="002C0FD9" w:rsidP="00CA25CF">
            <w:pPr>
              <w:rPr>
                <w:rFonts w:cs="Arial"/>
                <w:color w:val="FF0000"/>
                <w:sz w:val="21"/>
                <w:szCs w:val="21"/>
              </w:rPr>
            </w:pPr>
          </w:p>
        </w:tc>
        <w:tc>
          <w:tcPr>
            <w:tcW w:w="217" w:type="dxa"/>
          </w:tcPr>
          <w:p w14:paraId="1CF7678C" w14:textId="77777777" w:rsidR="002C0FD9" w:rsidRPr="00CA25CF" w:rsidRDefault="002C0FD9" w:rsidP="00CA25CF">
            <w:pPr>
              <w:rPr>
                <w:rFonts w:cs="Arial"/>
                <w:color w:val="FF0000"/>
                <w:sz w:val="21"/>
                <w:szCs w:val="21"/>
              </w:rPr>
            </w:pPr>
          </w:p>
        </w:tc>
        <w:tc>
          <w:tcPr>
            <w:tcW w:w="217" w:type="dxa"/>
          </w:tcPr>
          <w:p w14:paraId="5A4C1CB5" w14:textId="77777777" w:rsidR="002C0FD9" w:rsidRPr="00CA25CF" w:rsidRDefault="002C0FD9" w:rsidP="00CA25CF">
            <w:pPr>
              <w:rPr>
                <w:rFonts w:cs="Arial"/>
                <w:color w:val="FF0000"/>
                <w:sz w:val="21"/>
                <w:szCs w:val="21"/>
              </w:rPr>
            </w:pPr>
          </w:p>
        </w:tc>
        <w:tc>
          <w:tcPr>
            <w:tcW w:w="217" w:type="dxa"/>
          </w:tcPr>
          <w:p w14:paraId="34F62418" w14:textId="77777777" w:rsidR="002C0FD9" w:rsidRPr="00CA25CF" w:rsidRDefault="002C0FD9" w:rsidP="00CA25CF">
            <w:pPr>
              <w:rPr>
                <w:rFonts w:cs="Arial"/>
                <w:color w:val="FF0000"/>
                <w:sz w:val="21"/>
                <w:szCs w:val="21"/>
              </w:rPr>
            </w:pPr>
          </w:p>
        </w:tc>
        <w:tc>
          <w:tcPr>
            <w:tcW w:w="217" w:type="dxa"/>
          </w:tcPr>
          <w:p w14:paraId="61D38C7A" w14:textId="77777777" w:rsidR="002C0FD9" w:rsidRPr="00CA25CF" w:rsidRDefault="002C0FD9" w:rsidP="00CA25CF">
            <w:pPr>
              <w:rPr>
                <w:rFonts w:cs="Arial"/>
                <w:color w:val="FF0000"/>
                <w:sz w:val="21"/>
                <w:szCs w:val="21"/>
              </w:rPr>
            </w:pPr>
          </w:p>
        </w:tc>
        <w:tc>
          <w:tcPr>
            <w:tcW w:w="217" w:type="dxa"/>
          </w:tcPr>
          <w:p w14:paraId="0BC10368" w14:textId="77777777" w:rsidR="002C0FD9" w:rsidRPr="00CA25CF" w:rsidRDefault="002C0FD9" w:rsidP="00CA25CF">
            <w:pPr>
              <w:rPr>
                <w:rFonts w:cs="Arial"/>
                <w:color w:val="FF0000"/>
                <w:sz w:val="21"/>
                <w:szCs w:val="21"/>
              </w:rPr>
            </w:pPr>
          </w:p>
        </w:tc>
        <w:tc>
          <w:tcPr>
            <w:tcW w:w="217" w:type="dxa"/>
          </w:tcPr>
          <w:p w14:paraId="06AC7384" w14:textId="77777777" w:rsidR="002C0FD9" w:rsidRPr="00CA25CF" w:rsidRDefault="002C0FD9" w:rsidP="00CA25CF">
            <w:pPr>
              <w:rPr>
                <w:rFonts w:cs="Arial"/>
                <w:color w:val="FF0000"/>
                <w:sz w:val="21"/>
                <w:szCs w:val="21"/>
              </w:rPr>
            </w:pPr>
          </w:p>
        </w:tc>
        <w:tc>
          <w:tcPr>
            <w:tcW w:w="217" w:type="dxa"/>
          </w:tcPr>
          <w:p w14:paraId="20D8546A" w14:textId="77777777" w:rsidR="002C0FD9" w:rsidRPr="00CA25CF" w:rsidRDefault="002C0FD9" w:rsidP="00CA25CF">
            <w:pPr>
              <w:rPr>
                <w:rFonts w:cs="Arial"/>
                <w:color w:val="FF0000"/>
                <w:sz w:val="21"/>
                <w:szCs w:val="21"/>
              </w:rPr>
            </w:pPr>
          </w:p>
        </w:tc>
        <w:tc>
          <w:tcPr>
            <w:tcW w:w="217" w:type="dxa"/>
          </w:tcPr>
          <w:p w14:paraId="262B2899" w14:textId="77777777" w:rsidR="002C0FD9" w:rsidRPr="00CA25CF" w:rsidRDefault="002C0FD9" w:rsidP="00CA25CF">
            <w:pPr>
              <w:rPr>
                <w:rFonts w:cs="Arial"/>
                <w:color w:val="FF0000"/>
                <w:sz w:val="21"/>
                <w:szCs w:val="21"/>
              </w:rPr>
            </w:pPr>
          </w:p>
        </w:tc>
        <w:tc>
          <w:tcPr>
            <w:tcW w:w="217" w:type="dxa"/>
          </w:tcPr>
          <w:p w14:paraId="60C13100" w14:textId="77777777" w:rsidR="002C0FD9" w:rsidRPr="00CA25CF" w:rsidRDefault="002C0FD9" w:rsidP="00CA25CF">
            <w:pPr>
              <w:rPr>
                <w:rFonts w:cs="Arial"/>
                <w:color w:val="FF0000"/>
                <w:sz w:val="21"/>
                <w:szCs w:val="21"/>
              </w:rPr>
            </w:pPr>
          </w:p>
        </w:tc>
        <w:tc>
          <w:tcPr>
            <w:tcW w:w="217" w:type="dxa"/>
          </w:tcPr>
          <w:p w14:paraId="6E81A869" w14:textId="77777777" w:rsidR="002C0FD9" w:rsidRPr="00CA25CF" w:rsidRDefault="002C0FD9" w:rsidP="00CA25CF">
            <w:pPr>
              <w:rPr>
                <w:rFonts w:cs="Arial"/>
                <w:color w:val="FF0000"/>
                <w:sz w:val="21"/>
                <w:szCs w:val="21"/>
              </w:rPr>
            </w:pPr>
          </w:p>
        </w:tc>
        <w:tc>
          <w:tcPr>
            <w:tcW w:w="217" w:type="dxa"/>
          </w:tcPr>
          <w:p w14:paraId="7F26B50F" w14:textId="77777777" w:rsidR="002C0FD9" w:rsidRPr="00CA25CF" w:rsidRDefault="002C0FD9" w:rsidP="00CA25CF">
            <w:pPr>
              <w:rPr>
                <w:rFonts w:cs="Arial"/>
                <w:color w:val="FF0000"/>
                <w:sz w:val="21"/>
                <w:szCs w:val="21"/>
              </w:rPr>
            </w:pPr>
          </w:p>
        </w:tc>
        <w:tc>
          <w:tcPr>
            <w:tcW w:w="217" w:type="dxa"/>
          </w:tcPr>
          <w:p w14:paraId="0AFCF677" w14:textId="77777777" w:rsidR="002C0FD9" w:rsidRPr="00CA25CF" w:rsidRDefault="002C0FD9" w:rsidP="00CA25CF">
            <w:pPr>
              <w:rPr>
                <w:rFonts w:cs="Arial"/>
                <w:color w:val="FF0000"/>
                <w:sz w:val="21"/>
                <w:szCs w:val="21"/>
              </w:rPr>
            </w:pPr>
          </w:p>
        </w:tc>
        <w:tc>
          <w:tcPr>
            <w:tcW w:w="217" w:type="dxa"/>
          </w:tcPr>
          <w:p w14:paraId="2587EA01" w14:textId="77777777" w:rsidR="002C0FD9" w:rsidRPr="00CA25CF" w:rsidRDefault="002C0FD9" w:rsidP="00CA25CF">
            <w:pPr>
              <w:rPr>
                <w:rFonts w:cs="Arial"/>
                <w:color w:val="FF0000"/>
                <w:sz w:val="21"/>
                <w:szCs w:val="21"/>
              </w:rPr>
            </w:pPr>
          </w:p>
        </w:tc>
        <w:tc>
          <w:tcPr>
            <w:tcW w:w="217" w:type="dxa"/>
          </w:tcPr>
          <w:p w14:paraId="6A28F9BC" w14:textId="77777777" w:rsidR="002C0FD9" w:rsidRPr="00CA25CF" w:rsidRDefault="002C0FD9" w:rsidP="00CA25CF">
            <w:pPr>
              <w:rPr>
                <w:rFonts w:cs="Arial"/>
                <w:color w:val="FF0000"/>
                <w:sz w:val="21"/>
                <w:szCs w:val="21"/>
              </w:rPr>
            </w:pPr>
          </w:p>
        </w:tc>
        <w:tc>
          <w:tcPr>
            <w:tcW w:w="217" w:type="dxa"/>
          </w:tcPr>
          <w:p w14:paraId="4101852D" w14:textId="77777777" w:rsidR="002C0FD9" w:rsidRPr="00CA25CF" w:rsidRDefault="002C0FD9" w:rsidP="00CA25CF">
            <w:pPr>
              <w:rPr>
                <w:rFonts w:cs="Arial"/>
                <w:color w:val="FF0000"/>
                <w:sz w:val="21"/>
                <w:szCs w:val="21"/>
              </w:rPr>
            </w:pPr>
          </w:p>
        </w:tc>
        <w:tc>
          <w:tcPr>
            <w:tcW w:w="217" w:type="dxa"/>
          </w:tcPr>
          <w:p w14:paraId="725EEE0E" w14:textId="77777777" w:rsidR="002C0FD9" w:rsidRPr="00CA25CF" w:rsidRDefault="002C0FD9" w:rsidP="00CA25CF">
            <w:pPr>
              <w:rPr>
                <w:rFonts w:cs="Arial"/>
                <w:color w:val="FF0000"/>
                <w:sz w:val="21"/>
                <w:szCs w:val="21"/>
              </w:rPr>
            </w:pPr>
          </w:p>
        </w:tc>
        <w:tc>
          <w:tcPr>
            <w:tcW w:w="217" w:type="dxa"/>
          </w:tcPr>
          <w:p w14:paraId="3EDF7FB4" w14:textId="77777777" w:rsidR="002C0FD9" w:rsidRPr="00CA25CF" w:rsidRDefault="002C0FD9" w:rsidP="00CA25CF">
            <w:pPr>
              <w:rPr>
                <w:rFonts w:cs="Arial"/>
                <w:color w:val="FF0000"/>
                <w:sz w:val="21"/>
                <w:szCs w:val="21"/>
              </w:rPr>
            </w:pPr>
          </w:p>
        </w:tc>
        <w:tc>
          <w:tcPr>
            <w:tcW w:w="217" w:type="dxa"/>
          </w:tcPr>
          <w:p w14:paraId="1F32F688" w14:textId="77777777" w:rsidR="002C0FD9" w:rsidRPr="00CA25CF" w:rsidRDefault="002C0FD9" w:rsidP="00CA25CF">
            <w:pPr>
              <w:rPr>
                <w:rFonts w:cs="Arial"/>
                <w:color w:val="FF0000"/>
                <w:sz w:val="21"/>
                <w:szCs w:val="21"/>
              </w:rPr>
            </w:pPr>
          </w:p>
        </w:tc>
        <w:tc>
          <w:tcPr>
            <w:tcW w:w="217" w:type="dxa"/>
          </w:tcPr>
          <w:p w14:paraId="01288698" w14:textId="77777777" w:rsidR="002C0FD9" w:rsidRPr="00CA25CF" w:rsidRDefault="002C0FD9" w:rsidP="00CA25CF">
            <w:pPr>
              <w:rPr>
                <w:rFonts w:cs="Arial"/>
                <w:color w:val="FF0000"/>
                <w:sz w:val="21"/>
                <w:szCs w:val="21"/>
              </w:rPr>
            </w:pPr>
          </w:p>
        </w:tc>
      </w:tr>
      <w:tr w:rsidR="002C0FD9" w:rsidRPr="00A16219" w14:paraId="714AB72C" w14:textId="77777777" w:rsidTr="002C0FD9">
        <w:trPr>
          <w:trHeight w:val="635"/>
        </w:trPr>
        <w:tc>
          <w:tcPr>
            <w:tcW w:w="515" w:type="dxa"/>
          </w:tcPr>
          <w:p w14:paraId="065C6392" w14:textId="77777777" w:rsidR="002C0FD9" w:rsidRPr="00CA25CF" w:rsidRDefault="002C0FD9" w:rsidP="00CA25CF">
            <w:pPr>
              <w:rPr>
                <w:rFonts w:cs="Arial"/>
                <w:color w:val="FF0000"/>
                <w:sz w:val="21"/>
                <w:szCs w:val="21"/>
              </w:rPr>
            </w:pPr>
          </w:p>
        </w:tc>
        <w:tc>
          <w:tcPr>
            <w:tcW w:w="217" w:type="dxa"/>
          </w:tcPr>
          <w:p w14:paraId="21647AD8" w14:textId="77777777" w:rsidR="002C0FD9" w:rsidRPr="00CA25CF" w:rsidRDefault="002C0FD9" w:rsidP="00CA25CF">
            <w:pPr>
              <w:rPr>
                <w:rFonts w:cs="Arial"/>
                <w:color w:val="FF0000"/>
                <w:sz w:val="21"/>
                <w:szCs w:val="21"/>
              </w:rPr>
            </w:pPr>
          </w:p>
        </w:tc>
        <w:tc>
          <w:tcPr>
            <w:tcW w:w="217" w:type="dxa"/>
          </w:tcPr>
          <w:p w14:paraId="26C98567" w14:textId="77777777" w:rsidR="002C0FD9" w:rsidRPr="00CA25CF" w:rsidRDefault="002C0FD9" w:rsidP="00CA25CF">
            <w:pPr>
              <w:rPr>
                <w:rFonts w:cs="Arial"/>
                <w:color w:val="FF0000"/>
                <w:sz w:val="21"/>
                <w:szCs w:val="21"/>
              </w:rPr>
            </w:pPr>
          </w:p>
        </w:tc>
        <w:tc>
          <w:tcPr>
            <w:tcW w:w="217" w:type="dxa"/>
          </w:tcPr>
          <w:p w14:paraId="1C0F82D8" w14:textId="77777777" w:rsidR="002C0FD9" w:rsidRPr="00CA25CF" w:rsidRDefault="002C0FD9" w:rsidP="00CA25CF">
            <w:pPr>
              <w:rPr>
                <w:rFonts w:cs="Arial"/>
                <w:color w:val="FF0000"/>
                <w:sz w:val="21"/>
                <w:szCs w:val="21"/>
              </w:rPr>
            </w:pPr>
          </w:p>
        </w:tc>
        <w:tc>
          <w:tcPr>
            <w:tcW w:w="217" w:type="dxa"/>
          </w:tcPr>
          <w:p w14:paraId="1A1B6011" w14:textId="77777777" w:rsidR="002C0FD9" w:rsidRPr="00CA25CF" w:rsidRDefault="002C0FD9" w:rsidP="00CA25CF">
            <w:pPr>
              <w:rPr>
                <w:rFonts w:cs="Arial"/>
                <w:color w:val="FF0000"/>
                <w:sz w:val="21"/>
                <w:szCs w:val="21"/>
              </w:rPr>
            </w:pPr>
          </w:p>
        </w:tc>
        <w:tc>
          <w:tcPr>
            <w:tcW w:w="217" w:type="dxa"/>
          </w:tcPr>
          <w:p w14:paraId="274121DD" w14:textId="77777777" w:rsidR="002C0FD9" w:rsidRPr="00CA25CF" w:rsidRDefault="002C0FD9" w:rsidP="00CA25CF">
            <w:pPr>
              <w:rPr>
                <w:rFonts w:cs="Arial"/>
                <w:color w:val="FF0000"/>
                <w:sz w:val="21"/>
                <w:szCs w:val="21"/>
              </w:rPr>
            </w:pPr>
          </w:p>
        </w:tc>
        <w:tc>
          <w:tcPr>
            <w:tcW w:w="217" w:type="dxa"/>
          </w:tcPr>
          <w:p w14:paraId="08BCE787" w14:textId="77777777" w:rsidR="002C0FD9" w:rsidRPr="00CA25CF" w:rsidRDefault="002C0FD9" w:rsidP="00CA25CF">
            <w:pPr>
              <w:rPr>
                <w:rFonts w:cs="Arial"/>
                <w:color w:val="FF0000"/>
                <w:sz w:val="21"/>
                <w:szCs w:val="21"/>
              </w:rPr>
            </w:pPr>
          </w:p>
        </w:tc>
        <w:tc>
          <w:tcPr>
            <w:tcW w:w="217" w:type="dxa"/>
          </w:tcPr>
          <w:p w14:paraId="520AE5C5" w14:textId="77777777" w:rsidR="002C0FD9" w:rsidRPr="00CA25CF" w:rsidRDefault="002C0FD9" w:rsidP="00CA25CF">
            <w:pPr>
              <w:rPr>
                <w:rFonts w:cs="Arial"/>
                <w:color w:val="FF0000"/>
                <w:sz w:val="21"/>
                <w:szCs w:val="21"/>
              </w:rPr>
            </w:pPr>
          </w:p>
        </w:tc>
        <w:tc>
          <w:tcPr>
            <w:tcW w:w="217" w:type="dxa"/>
          </w:tcPr>
          <w:p w14:paraId="071D8FD9" w14:textId="77777777" w:rsidR="002C0FD9" w:rsidRPr="00CA25CF" w:rsidRDefault="002C0FD9" w:rsidP="00CA25CF">
            <w:pPr>
              <w:rPr>
                <w:rFonts w:cs="Arial"/>
                <w:color w:val="FF0000"/>
                <w:sz w:val="21"/>
                <w:szCs w:val="21"/>
              </w:rPr>
            </w:pPr>
          </w:p>
        </w:tc>
        <w:tc>
          <w:tcPr>
            <w:tcW w:w="217" w:type="dxa"/>
          </w:tcPr>
          <w:p w14:paraId="14242877" w14:textId="77777777" w:rsidR="002C0FD9" w:rsidRPr="00CA25CF" w:rsidRDefault="002C0FD9" w:rsidP="00CA25CF">
            <w:pPr>
              <w:rPr>
                <w:rFonts w:cs="Arial"/>
                <w:color w:val="FF0000"/>
                <w:sz w:val="21"/>
                <w:szCs w:val="21"/>
              </w:rPr>
            </w:pPr>
          </w:p>
        </w:tc>
        <w:tc>
          <w:tcPr>
            <w:tcW w:w="217" w:type="dxa"/>
          </w:tcPr>
          <w:p w14:paraId="4A310C49" w14:textId="77777777" w:rsidR="002C0FD9" w:rsidRPr="00CA25CF" w:rsidRDefault="002C0FD9" w:rsidP="00CA25CF">
            <w:pPr>
              <w:rPr>
                <w:rFonts w:cs="Arial"/>
                <w:color w:val="FF0000"/>
                <w:sz w:val="21"/>
                <w:szCs w:val="21"/>
              </w:rPr>
            </w:pPr>
          </w:p>
        </w:tc>
        <w:tc>
          <w:tcPr>
            <w:tcW w:w="217" w:type="dxa"/>
          </w:tcPr>
          <w:p w14:paraId="56B1290E" w14:textId="77777777" w:rsidR="002C0FD9" w:rsidRPr="00CA25CF" w:rsidRDefault="002C0FD9" w:rsidP="00CA25CF">
            <w:pPr>
              <w:rPr>
                <w:rFonts w:cs="Arial"/>
                <w:color w:val="FF0000"/>
                <w:sz w:val="21"/>
                <w:szCs w:val="21"/>
              </w:rPr>
            </w:pPr>
          </w:p>
        </w:tc>
        <w:tc>
          <w:tcPr>
            <w:tcW w:w="217" w:type="dxa"/>
          </w:tcPr>
          <w:p w14:paraId="6580E470" w14:textId="77777777" w:rsidR="002C0FD9" w:rsidRPr="00CA25CF" w:rsidRDefault="002C0FD9" w:rsidP="00CA25CF">
            <w:pPr>
              <w:rPr>
                <w:rFonts w:cs="Arial"/>
                <w:color w:val="FF0000"/>
                <w:sz w:val="21"/>
                <w:szCs w:val="21"/>
              </w:rPr>
            </w:pPr>
          </w:p>
        </w:tc>
        <w:tc>
          <w:tcPr>
            <w:tcW w:w="217" w:type="dxa"/>
          </w:tcPr>
          <w:p w14:paraId="1CC87B2D" w14:textId="77777777" w:rsidR="002C0FD9" w:rsidRPr="00CA25CF" w:rsidRDefault="002C0FD9" w:rsidP="00CA25CF">
            <w:pPr>
              <w:rPr>
                <w:rFonts w:cs="Arial"/>
                <w:color w:val="FF0000"/>
                <w:sz w:val="21"/>
                <w:szCs w:val="21"/>
              </w:rPr>
            </w:pPr>
          </w:p>
        </w:tc>
        <w:tc>
          <w:tcPr>
            <w:tcW w:w="217" w:type="dxa"/>
          </w:tcPr>
          <w:p w14:paraId="522A22B2" w14:textId="77777777" w:rsidR="002C0FD9" w:rsidRPr="00CA25CF" w:rsidRDefault="002C0FD9" w:rsidP="00CA25CF">
            <w:pPr>
              <w:rPr>
                <w:rFonts w:cs="Arial"/>
                <w:color w:val="FF0000"/>
                <w:sz w:val="21"/>
                <w:szCs w:val="21"/>
              </w:rPr>
            </w:pPr>
          </w:p>
        </w:tc>
        <w:tc>
          <w:tcPr>
            <w:tcW w:w="217" w:type="dxa"/>
          </w:tcPr>
          <w:p w14:paraId="3581ED18" w14:textId="77777777" w:rsidR="002C0FD9" w:rsidRPr="00CA25CF" w:rsidRDefault="002C0FD9" w:rsidP="00CA25CF">
            <w:pPr>
              <w:rPr>
                <w:rFonts w:cs="Arial"/>
                <w:color w:val="FF0000"/>
                <w:sz w:val="21"/>
                <w:szCs w:val="21"/>
              </w:rPr>
            </w:pPr>
          </w:p>
        </w:tc>
        <w:tc>
          <w:tcPr>
            <w:tcW w:w="217" w:type="dxa"/>
          </w:tcPr>
          <w:p w14:paraId="547170CF" w14:textId="77777777" w:rsidR="002C0FD9" w:rsidRPr="00CA25CF" w:rsidRDefault="002C0FD9" w:rsidP="00CA25CF">
            <w:pPr>
              <w:rPr>
                <w:rFonts w:cs="Arial"/>
                <w:color w:val="FF0000"/>
                <w:sz w:val="21"/>
                <w:szCs w:val="21"/>
              </w:rPr>
            </w:pPr>
          </w:p>
        </w:tc>
        <w:tc>
          <w:tcPr>
            <w:tcW w:w="217" w:type="dxa"/>
          </w:tcPr>
          <w:p w14:paraId="1F018CCB" w14:textId="77777777" w:rsidR="002C0FD9" w:rsidRPr="00CA25CF" w:rsidRDefault="002C0FD9" w:rsidP="00CA25CF">
            <w:pPr>
              <w:rPr>
                <w:rFonts w:cs="Arial"/>
                <w:color w:val="FF0000"/>
                <w:sz w:val="21"/>
                <w:szCs w:val="21"/>
              </w:rPr>
            </w:pPr>
          </w:p>
        </w:tc>
        <w:tc>
          <w:tcPr>
            <w:tcW w:w="217" w:type="dxa"/>
          </w:tcPr>
          <w:p w14:paraId="19830830" w14:textId="77777777" w:rsidR="002C0FD9" w:rsidRPr="00CA25CF" w:rsidRDefault="002C0FD9" w:rsidP="00CA25CF">
            <w:pPr>
              <w:rPr>
                <w:rFonts w:cs="Arial"/>
                <w:color w:val="FF0000"/>
                <w:sz w:val="21"/>
                <w:szCs w:val="21"/>
              </w:rPr>
            </w:pPr>
          </w:p>
        </w:tc>
        <w:tc>
          <w:tcPr>
            <w:tcW w:w="217" w:type="dxa"/>
          </w:tcPr>
          <w:p w14:paraId="52DDD501" w14:textId="77777777" w:rsidR="002C0FD9" w:rsidRPr="00CA25CF" w:rsidRDefault="002C0FD9" w:rsidP="00CA25CF">
            <w:pPr>
              <w:rPr>
                <w:rFonts w:cs="Arial"/>
                <w:color w:val="FF0000"/>
                <w:sz w:val="21"/>
                <w:szCs w:val="21"/>
              </w:rPr>
            </w:pPr>
          </w:p>
        </w:tc>
        <w:tc>
          <w:tcPr>
            <w:tcW w:w="217" w:type="dxa"/>
          </w:tcPr>
          <w:p w14:paraId="234170B7" w14:textId="77777777" w:rsidR="002C0FD9" w:rsidRPr="00CA25CF" w:rsidRDefault="002C0FD9" w:rsidP="00CA25CF">
            <w:pPr>
              <w:rPr>
                <w:rFonts w:cs="Arial"/>
                <w:color w:val="FF0000"/>
                <w:sz w:val="21"/>
                <w:szCs w:val="21"/>
              </w:rPr>
            </w:pPr>
          </w:p>
        </w:tc>
        <w:tc>
          <w:tcPr>
            <w:tcW w:w="217" w:type="dxa"/>
          </w:tcPr>
          <w:p w14:paraId="208DDECB" w14:textId="77777777" w:rsidR="002C0FD9" w:rsidRPr="00CA25CF" w:rsidRDefault="002C0FD9" w:rsidP="00CA25CF">
            <w:pPr>
              <w:rPr>
                <w:rFonts w:cs="Arial"/>
                <w:color w:val="FF0000"/>
                <w:sz w:val="21"/>
                <w:szCs w:val="21"/>
              </w:rPr>
            </w:pPr>
          </w:p>
        </w:tc>
        <w:tc>
          <w:tcPr>
            <w:tcW w:w="217" w:type="dxa"/>
          </w:tcPr>
          <w:p w14:paraId="7DA8E211" w14:textId="77777777" w:rsidR="002C0FD9" w:rsidRPr="00CA25CF" w:rsidRDefault="002C0FD9" w:rsidP="00CA25CF">
            <w:pPr>
              <w:rPr>
                <w:rFonts w:cs="Arial"/>
                <w:color w:val="FF0000"/>
                <w:sz w:val="21"/>
                <w:szCs w:val="21"/>
              </w:rPr>
            </w:pPr>
          </w:p>
        </w:tc>
        <w:tc>
          <w:tcPr>
            <w:tcW w:w="217" w:type="dxa"/>
          </w:tcPr>
          <w:p w14:paraId="52F59B96" w14:textId="77777777" w:rsidR="002C0FD9" w:rsidRPr="00CA25CF" w:rsidRDefault="002C0FD9" w:rsidP="00CA25CF">
            <w:pPr>
              <w:rPr>
                <w:rFonts w:cs="Arial"/>
                <w:color w:val="FF0000"/>
                <w:sz w:val="21"/>
                <w:szCs w:val="21"/>
              </w:rPr>
            </w:pPr>
          </w:p>
        </w:tc>
        <w:tc>
          <w:tcPr>
            <w:tcW w:w="217" w:type="dxa"/>
          </w:tcPr>
          <w:p w14:paraId="335EBB9C" w14:textId="77777777" w:rsidR="002C0FD9" w:rsidRPr="00CA25CF" w:rsidRDefault="002C0FD9" w:rsidP="00CA25CF">
            <w:pPr>
              <w:rPr>
                <w:rFonts w:cs="Arial"/>
                <w:color w:val="FF0000"/>
                <w:sz w:val="21"/>
                <w:szCs w:val="21"/>
              </w:rPr>
            </w:pPr>
          </w:p>
        </w:tc>
        <w:tc>
          <w:tcPr>
            <w:tcW w:w="217" w:type="dxa"/>
          </w:tcPr>
          <w:p w14:paraId="54501BA6" w14:textId="77777777" w:rsidR="002C0FD9" w:rsidRPr="00CA25CF" w:rsidRDefault="002C0FD9" w:rsidP="00CA25CF">
            <w:pPr>
              <w:rPr>
                <w:rFonts w:cs="Arial"/>
                <w:color w:val="FF0000"/>
                <w:sz w:val="21"/>
                <w:szCs w:val="21"/>
              </w:rPr>
            </w:pPr>
          </w:p>
        </w:tc>
        <w:tc>
          <w:tcPr>
            <w:tcW w:w="217" w:type="dxa"/>
          </w:tcPr>
          <w:p w14:paraId="20419030" w14:textId="77777777" w:rsidR="002C0FD9" w:rsidRPr="00CA25CF" w:rsidRDefault="002C0FD9" w:rsidP="00CA25CF">
            <w:pPr>
              <w:rPr>
                <w:rFonts w:cs="Arial"/>
                <w:color w:val="FF0000"/>
                <w:sz w:val="21"/>
                <w:szCs w:val="21"/>
              </w:rPr>
            </w:pPr>
          </w:p>
        </w:tc>
        <w:tc>
          <w:tcPr>
            <w:tcW w:w="217" w:type="dxa"/>
          </w:tcPr>
          <w:p w14:paraId="0E4555F6" w14:textId="77777777" w:rsidR="002C0FD9" w:rsidRPr="00CA25CF" w:rsidRDefault="002C0FD9" w:rsidP="00CA25CF">
            <w:pPr>
              <w:rPr>
                <w:rFonts w:cs="Arial"/>
                <w:color w:val="FF0000"/>
                <w:sz w:val="21"/>
                <w:szCs w:val="21"/>
              </w:rPr>
            </w:pPr>
          </w:p>
        </w:tc>
        <w:tc>
          <w:tcPr>
            <w:tcW w:w="217" w:type="dxa"/>
          </w:tcPr>
          <w:p w14:paraId="14FF6DA6" w14:textId="77777777" w:rsidR="002C0FD9" w:rsidRPr="00CA25CF" w:rsidRDefault="002C0FD9" w:rsidP="00CA25CF">
            <w:pPr>
              <w:rPr>
                <w:rFonts w:cs="Arial"/>
                <w:color w:val="FF0000"/>
                <w:sz w:val="21"/>
                <w:szCs w:val="21"/>
              </w:rPr>
            </w:pPr>
          </w:p>
        </w:tc>
        <w:tc>
          <w:tcPr>
            <w:tcW w:w="217" w:type="dxa"/>
          </w:tcPr>
          <w:p w14:paraId="261E4462" w14:textId="77777777" w:rsidR="002C0FD9" w:rsidRPr="00CA25CF" w:rsidRDefault="002C0FD9" w:rsidP="00CA25CF">
            <w:pPr>
              <w:rPr>
                <w:rFonts w:cs="Arial"/>
                <w:color w:val="FF0000"/>
                <w:sz w:val="21"/>
                <w:szCs w:val="21"/>
              </w:rPr>
            </w:pPr>
          </w:p>
        </w:tc>
        <w:tc>
          <w:tcPr>
            <w:tcW w:w="217" w:type="dxa"/>
          </w:tcPr>
          <w:p w14:paraId="72323D96" w14:textId="77777777" w:rsidR="002C0FD9" w:rsidRPr="00CA25CF" w:rsidRDefault="002C0FD9" w:rsidP="00CA25CF">
            <w:pPr>
              <w:rPr>
                <w:rFonts w:cs="Arial"/>
                <w:color w:val="FF0000"/>
                <w:sz w:val="21"/>
                <w:szCs w:val="21"/>
              </w:rPr>
            </w:pPr>
          </w:p>
        </w:tc>
        <w:tc>
          <w:tcPr>
            <w:tcW w:w="217" w:type="dxa"/>
          </w:tcPr>
          <w:p w14:paraId="0C71A978" w14:textId="77777777" w:rsidR="002C0FD9" w:rsidRPr="00CA25CF" w:rsidRDefault="002C0FD9" w:rsidP="00CA25CF">
            <w:pPr>
              <w:rPr>
                <w:rFonts w:cs="Arial"/>
                <w:color w:val="FF0000"/>
                <w:sz w:val="21"/>
                <w:szCs w:val="21"/>
              </w:rPr>
            </w:pPr>
          </w:p>
        </w:tc>
        <w:tc>
          <w:tcPr>
            <w:tcW w:w="217" w:type="dxa"/>
          </w:tcPr>
          <w:p w14:paraId="7F7F0B60" w14:textId="77777777" w:rsidR="002C0FD9" w:rsidRPr="00CA25CF" w:rsidRDefault="002C0FD9" w:rsidP="00CA25CF">
            <w:pPr>
              <w:rPr>
                <w:rFonts w:cs="Arial"/>
                <w:color w:val="FF0000"/>
                <w:sz w:val="21"/>
                <w:szCs w:val="21"/>
              </w:rPr>
            </w:pPr>
          </w:p>
        </w:tc>
        <w:tc>
          <w:tcPr>
            <w:tcW w:w="217" w:type="dxa"/>
          </w:tcPr>
          <w:p w14:paraId="47E45736" w14:textId="77777777" w:rsidR="002C0FD9" w:rsidRPr="00CA25CF" w:rsidRDefault="002C0FD9" w:rsidP="00CA25CF">
            <w:pPr>
              <w:rPr>
                <w:rFonts w:cs="Arial"/>
                <w:color w:val="FF0000"/>
                <w:sz w:val="21"/>
                <w:szCs w:val="21"/>
              </w:rPr>
            </w:pPr>
          </w:p>
        </w:tc>
        <w:tc>
          <w:tcPr>
            <w:tcW w:w="217" w:type="dxa"/>
          </w:tcPr>
          <w:p w14:paraId="1DF29DB1" w14:textId="77777777" w:rsidR="002C0FD9" w:rsidRPr="00CA25CF" w:rsidRDefault="002C0FD9" w:rsidP="00CA25CF">
            <w:pPr>
              <w:rPr>
                <w:rFonts w:cs="Arial"/>
                <w:color w:val="FF0000"/>
                <w:sz w:val="21"/>
                <w:szCs w:val="21"/>
              </w:rPr>
            </w:pPr>
          </w:p>
        </w:tc>
        <w:tc>
          <w:tcPr>
            <w:tcW w:w="217" w:type="dxa"/>
          </w:tcPr>
          <w:p w14:paraId="7F98586D" w14:textId="77777777" w:rsidR="002C0FD9" w:rsidRPr="00CA25CF" w:rsidRDefault="002C0FD9" w:rsidP="00CA25CF">
            <w:pPr>
              <w:rPr>
                <w:rFonts w:cs="Arial"/>
                <w:color w:val="FF0000"/>
                <w:sz w:val="21"/>
                <w:szCs w:val="21"/>
              </w:rPr>
            </w:pPr>
          </w:p>
        </w:tc>
        <w:tc>
          <w:tcPr>
            <w:tcW w:w="217" w:type="dxa"/>
          </w:tcPr>
          <w:p w14:paraId="12855898" w14:textId="77777777" w:rsidR="002C0FD9" w:rsidRPr="00CA25CF" w:rsidRDefault="002C0FD9" w:rsidP="00CA25CF">
            <w:pPr>
              <w:rPr>
                <w:rFonts w:cs="Arial"/>
                <w:color w:val="FF0000"/>
                <w:sz w:val="21"/>
                <w:szCs w:val="21"/>
              </w:rPr>
            </w:pPr>
          </w:p>
        </w:tc>
        <w:tc>
          <w:tcPr>
            <w:tcW w:w="217" w:type="dxa"/>
          </w:tcPr>
          <w:p w14:paraId="20A47099" w14:textId="77777777" w:rsidR="002C0FD9" w:rsidRPr="00CA25CF" w:rsidRDefault="002C0FD9" w:rsidP="00CA25CF">
            <w:pPr>
              <w:rPr>
                <w:rFonts w:cs="Arial"/>
                <w:color w:val="FF0000"/>
                <w:sz w:val="21"/>
                <w:szCs w:val="21"/>
              </w:rPr>
            </w:pPr>
          </w:p>
        </w:tc>
        <w:tc>
          <w:tcPr>
            <w:tcW w:w="217" w:type="dxa"/>
          </w:tcPr>
          <w:p w14:paraId="5F806BF5" w14:textId="77777777" w:rsidR="002C0FD9" w:rsidRPr="00CA25CF" w:rsidRDefault="002C0FD9" w:rsidP="00CA25CF">
            <w:pPr>
              <w:rPr>
                <w:rFonts w:cs="Arial"/>
                <w:color w:val="FF0000"/>
                <w:sz w:val="21"/>
                <w:szCs w:val="21"/>
              </w:rPr>
            </w:pPr>
          </w:p>
        </w:tc>
        <w:tc>
          <w:tcPr>
            <w:tcW w:w="217" w:type="dxa"/>
          </w:tcPr>
          <w:p w14:paraId="5CBA6FB1" w14:textId="77777777" w:rsidR="002C0FD9" w:rsidRPr="00CA25CF" w:rsidRDefault="002C0FD9" w:rsidP="00CA25CF">
            <w:pPr>
              <w:rPr>
                <w:rFonts w:cs="Arial"/>
                <w:color w:val="FF0000"/>
                <w:sz w:val="21"/>
                <w:szCs w:val="21"/>
              </w:rPr>
            </w:pPr>
          </w:p>
        </w:tc>
        <w:tc>
          <w:tcPr>
            <w:tcW w:w="217" w:type="dxa"/>
          </w:tcPr>
          <w:p w14:paraId="775BC365" w14:textId="77777777" w:rsidR="002C0FD9" w:rsidRPr="00CA25CF" w:rsidRDefault="002C0FD9" w:rsidP="00CA25CF">
            <w:pPr>
              <w:rPr>
                <w:rFonts w:cs="Arial"/>
                <w:color w:val="FF0000"/>
                <w:sz w:val="21"/>
                <w:szCs w:val="21"/>
              </w:rPr>
            </w:pPr>
          </w:p>
        </w:tc>
        <w:tc>
          <w:tcPr>
            <w:tcW w:w="217" w:type="dxa"/>
          </w:tcPr>
          <w:p w14:paraId="166401B0" w14:textId="77777777" w:rsidR="002C0FD9" w:rsidRPr="00CA25CF" w:rsidRDefault="002C0FD9" w:rsidP="00CA25CF">
            <w:pPr>
              <w:rPr>
                <w:rFonts w:cs="Arial"/>
                <w:color w:val="FF0000"/>
                <w:sz w:val="21"/>
                <w:szCs w:val="21"/>
              </w:rPr>
            </w:pPr>
          </w:p>
        </w:tc>
        <w:tc>
          <w:tcPr>
            <w:tcW w:w="217" w:type="dxa"/>
          </w:tcPr>
          <w:p w14:paraId="15A18A7E" w14:textId="77777777" w:rsidR="002C0FD9" w:rsidRPr="00CA25CF" w:rsidRDefault="002C0FD9" w:rsidP="00CA25CF">
            <w:pPr>
              <w:rPr>
                <w:rFonts w:cs="Arial"/>
                <w:color w:val="FF0000"/>
                <w:sz w:val="21"/>
                <w:szCs w:val="21"/>
              </w:rPr>
            </w:pPr>
          </w:p>
        </w:tc>
      </w:tr>
      <w:tr w:rsidR="002C0FD9" w:rsidRPr="00A16219" w14:paraId="13F2CBF1" w14:textId="77777777" w:rsidTr="002C0FD9">
        <w:trPr>
          <w:trHeight w:val="635"/>
        </w:trPr>
        <w:tc>
          <w:tcPr>
            <w:tcW w:w="515" w:type="dxa"/>
          </w:tcPr>
          <w:p w14:paraId="5A62040D" w14:textId="77777777" w:rsidR="002C0FD9" w:rsidRPr="00CA25CF" w:rsidRDefault="002C0FD9" w:rsidP="00CA25CF">
            <w:pPr>
              <w:rPr>
                <w:rFonts w:cs="Arial"/>
                <w:color w:val="FF0000"/>
                <w:sz w:val="21"/>
                <w:szCs w:val="21"/>
              </w:rPr>
            </w:pPr>
          </w:p>
        </w:tc>
        <w:tc>
          <w:tcPr>
            <w:tcW w:w="217" w:type="dxa"/>
          </w:tcPr>
          <w:p w14:paraId="7D42444E" w14:textId="77777777" w:rsidR="002C0FD9" w:rsidRPr="00CA25CF" w:rsidRDefault="002C0FD9" w:rsidP="00CA25CF">
            <w:pPr>
              <w:rPr>
                <w:rFonts w:cs="Arial"/>
                <w:color w:val="FF0000"/>
                <w:sz w:val="21"/>
                <w:szCs w:val="21"/>
              </w:rPr>
            </w:pPr>
          </w:p>
        </w:tc>
        <w:tc>
          <w:tcPr>
            <w:tcW w:w="217" w:type="dxa"/>
          </w:tcPr>
          <w:p w14:paraId="72435F84" w14:textId="77777777" w:rsidR="002C0FD9" w:rsidRPr="00CA25CF" w:rsidRDefault="002C0FD9" w:rsidP="00CA25CF">
            <w:pPr>
              <w:rPr>
                <w:rFonts w:cs="Arial"/>
                <w:color w:val="FF0000"/>
                <w:sz w:val="21"/>
                <w:szCs w:val="21"/>
              </w:rPr>
            </w:pPr>
          </w:p>
        </w:tc>
        <w:tc>
          <w:tcPr>
            <w:tcW w:w="217" w:type="dxa"/>
          </w:tcPr>
          <w:p w14:paraId="1DB43C79" w14:textId="77777777" w:rsidR="002C0FD9" w:rsidRPr="00CA25CF" w:rsidRDefault="002C0FD9" w:rsidP="00CA25CF">
            <w:pPr>
              <w:rPr>
                <w:rFonts w:cs="Arial"/>
                <w:color w:val="FF0000"/>
                <w:sz w:val="21"/>
                <w:szCs w:val="21"/>
              </w:rPr>
            </w:pPr>
          </w:p>
        </w:tc>
        <w:tc>
          <w:tcPr>
            <w:tcW w:w="217" w:type="dxa"/>
          </w:tcPr>
          <w:p w14:paraId="2680A8A1" w14:textId="77777777" w:rsidR="002C0FD9" w:rsidRPr="00CA25CF" w:rsidRDefault="002C0FD9" w:rsidP="00CA25CF">
            <w:pPr>
              <w:rPr>
                <w:rFonts w:cs="Arial"/>
                <w:color w:val="FF0000"/>
                <w:sz w:val="21"/>
                <w:szCs w:val="21"/>
              </w:rPr>
            </w:pPr>
          </w:p>
        </w:tc>
        <w:tc>
          <w:tcPr>
            <w:tcW w:w="217" w:type="dxa"/>
          </w:tcPr>
          <w:p w14:paraId="30D1E495" w14:textId="77777777" w:rsidR="002C0FD9" w:rsidRPr="00CA25CF" w:rsidRDefault="002C0FD9" w:rsidP="00CA25CF">
            <w:pPr>
              <w:rPr>
                <w:rFonts w:cs="Arial"/>
                <w:color w:val="FF0000"/>
                <w:sz w:val="21"/>
                <w:szCs w:val="21"/>
              </w:rPr>
            </w:pPr>
          </w:p>
        </w:tc>
        <w:tc>
          <w:tcPr>
            <w:tcW w:w="217" w:type="dxa"/>
          </w:tcPr>
          <w:p w14:paraId="7F3AF587" w14:textId="77777777" w:rsidR="002C0FD9" w:rsidRPr="00CA25CF" w:rsidRDefault="002C0FD9" w:rsidP="00CA25CF">
            <w:pPr>
              <w:rPr>
                <w:rFonts w:cs="Arial"/>
                <w:color w:val="FF0000"/>
                <w:sz w:val="21"/>
                <w:szCs w:val="21"/>
              </w:rPr>
            </w:pPr>
          </w:p>
        </w:tc>
        <w:tc>
          <w:tcPr>
            <w:tcW w:w="217" w:type="dxa"/>
          </w:tcPr>
          <w:p w14:paraId="13EA2E3D" w14:textId="77777777" w:rsidR="002C0FD9" w:rsidRPr="00CA25CF" w:rsidRDefault="002C0FD9" w:rsidP="00CA25CF">
            <w:pPr>
              <w:rPr>
                <w:rFonts w:cs="Arial"/>
                <w:color w:val="FF0000"/>
                <w:sz w:val="21"/>
                <w:szCs w:val="21"/>
              </w:rPr>
            </w:pPr>
          </w:p>
        </w:tc>
        <w:tc>
          <w:tcPr>
            <w:tcW w:w="217" w:type="dxa"/>
          </w:tcPr>
          <w:p w14:paraId="19FC86BF" w14:textId="77777777" w:rsidR="002C0FD9" w:rsidRPr="00CA25CF" w:rsidRDefault="002C0FD9" w:rsidP="00CA25CF">
            <w:pPr>
              <w:rPr>
                <w:rFonts w:cs="Arial"/>
                <w:color w:val="FF0000"/>
                <w:sz w:val="21"/>
                <w:szCs w:val="21"/>
              </w:rPr>
            </w:pPr>
          </w:p>
        </w:tc>
        <w:tc>
          <w:tcPr>
            <w:tcW w:w="217" w:type="dxa"/>
          </w:tcPr>
          <w:p w14:paraId="07CA03CA" w14:textId="77777777" w:rsidR="002C0FD9" w:rsidRPr="00CA25CF" w:rsidRDefault="002C0FD9" w:rsidP="00CA25CF">
            <w:pPr>
              <w:rPr>
                <w:rFonts w:cs="Arial"/>
                <w:color w:val="FF0000"/>
                <w:sz w:val="21"/>
                <w:szCs w:val="21"/>
              </w:rPr>
            </w:pPr>
          </w:p>
        </w:tc>
        <w:tc>
          <w:tcPr>
            <w:tcW w:w="217" w:type="dxa"/>
          </w:tcPr>
          <w:p w14:paraId="6C000AE9" w14:textId="77777777" w:rsidR="002C0FD9" w:rsidRPr="00CA25CF" w:rsidRDefault="002C0FD9" w:rsidP="00CA25CF">
            <w:pPr>
              <w:rPr>
                <w:rFonts w:cs="Arial"/>
                <w:color w:val="FF0000"/>
                <w:sz w:val="21"/>
                <w:szCs w:val="21"/>
              </w:rPr>
            </w:pPr>
          </w:p>
        </w:tc>
        <w:tc>
          <w:tcPr>
            <w:tcW w:w="217" w:type="dxa"/>
          </w:tcPr>
          <w:p w14:paraId="58AF8521" w14:textId="77777777" w:rsidR="002C0FD9" w:rsidRPr="00CA25CF" w:rsidRDefault="002C0FD9" w:rsidP="00CA25CF">
            <w:pPr>
              <w:rPr>
                <w:rFonts w:cs="Arial"/>
                <w:color w:val="FF0000"/>
                <w:sz w:val="21"/>
                <w:szCs w:val="21"/>
              </w:rPr>
            </w:pPr>
          </w:p>
        </w:tc>
        <w:tc>
          <w:tcPr>
            <w:tcW w:w="217" w:type="dxa"/>
          </w:tcPr>
          <w:p w14:paraId="60931FD3" w14:textId="77777777" w:rsidR="002C0FD9" w:rsidRPr="00CA25CF" w:rsidRDefault="002C0FD9" w:rsidP="00CA25CF">
            <w:pPr>
              <w:rPr>
                <w:rFonts w:cs="Arial"/>
                <w:color w:val="FF0000"/>
                <w:sz w:val="21"/>
                <w:szCs w:val="21"/>
              </w:rPr>
            </w:pPr>
          </w:p>
        </w:tc>
        <w:tc>
          <w:tcPr>
            <w:tcW w:w="217" w:type="dxa"/>
          </w:tcPr>
          <w:p w14:paraId="0738BD85" w14:textId="77777777" w:rsidR="002C0FD9" w:rsidRPr="00CA25CF" w:rsidRDefault="002C0FD9" w:rsidP="00CA25CF">
            <w:pPr>
              <w:rPr>
                <w:rFonts w:cs="Arial"/>
                <w:color w:val="FF0000"/>
                <w:sz w:val="21"/>
                <w:szCs w:val="21"/>
              </w:rPr>
            </w:pPr>
          </w:p>
        </w:tc>
        <w:tc>
          <w:tcPr>
            <w:tcW w:w="217" w:type="dxa"/>
          </w:tcPr>
          <w:p w14:paraId="26CB3EF5" w14:textId="77777777" w:rsidR="002C0FD9" w:rsidRPr="00CA25CF" w:rsidRDefault="002C0FD9" w:rsidP="00CA25CF">
            <w:pPr>
              <w:rPr>
                <w:rFonts w:cs="Arial"/>
                <w:color w:val="FF0000"/>
                <w:sz w:val="21"/>
                <w:szCs w:val="21"/>
              </w:rPr>
            </w:pPr>
          </w:p>
        </w:tc>
        <w:tc>
          <w:tcPr>
            <w:tcW w:w="217" w:type="dxa"/>
          </w:tcPr>
          <w:p w14:paraId="5E3AF3DA" w14:textId="77777777" w:rsidR="002C0FD9" w:rsidRPr="00CA25CF" w:rsidRDefault="002C0FD9" w:rsidP="00CA25CF">
            <w:pPr>
              <w:rPr>
                <w:rFonts w:cs="Arial"/>
                <w:color w:val="FF0000"/>
                <w:sz w:val="21"/>
                <w:szCs w:val="21"/>
              </w:rPr>
            </w:pPr>
          </w:p>
        </w:tc>
        <w:tc>
          <w:tcPr>
            <w:tcW w:w="217" w:type="dxa"/>
          </w:tcPr>
          <w:p w14:paraId="16A9CA8A" w14:textId="77777777" w:rsidR="002C0FD9" w:rsidRPr="00CA25CF" w:rsidRDefault="002C0FD9" w:rsidP="00CA25CF">
            <w:pPr>
              <w:rPr>
                <w:rFonts w:cs="Arial"/>
                <w:color w:val="FF0000"/>
                <w:sz w:val="21"/>
                <w:szCs w:val="21"/>
              </w:rPr>
            </w:pPr>
          </w:p>
        </w:tc>
        <w:tc>
          <w:tcPr>
            <w:tcW w:w="217" w:type="dxa"/>
          </w:tcPr>
          <w:p w14:paraId="0ACBC988" w14:textId="77777777" w:rsidR="002C0FD9" w:rsidRPr="00CA25CF" w:rsidRDefault="002C0FD9" w:rsidP="00CA25CF">
            <w:pPr>
              <w:rPr>
                <w:rFonts w:cs="Arial"/>
                <w:color w:val="FF0000"/>
                <w:sz w:val="21"/>
                <w:szCs w:val="21"/>
              </w:rPr>
            </w:pPr>
          </w:p>
        </w:tc>
        <w:tc>
          <w:tcPr>
            <w:tcW w:w="217" w:type="dxa"/>
          </w:tcPr>
          <w:p w14:paraId="46FF1F20" w14:textId="77777777" w:rsidR="002C0FD9" w:rsidRPr="00CA25CF" w:rsidRDefault="002C0FD9" w:rsidP="00CA25CF">
            <w:pPr>
              <w:rPr>
                <w:rFonts w:cs="Arial"/>
                <w:color w:val="FF0000"/>
                <w:sz w:val="21"/>
                <w:szCs w:val="21"/>
              </w:rPr>
            </w:pPr>
          </w:p>
        </w:tc>
        <w:tc>
          <w:tcPr>
            <w:tcW w:w="217" w:type="dxa"/>
          </w:tcPr>
          <w:p w14:paraId="4459FBB8" w14:textId="77777777" w:rsidR="002C0FD9" w:rsidRPr="00CA25CF" w:rsidRDefault="002C0FD9" w:rsidP="00CA25CF">
            <w:pPr>
              <w:rPr>
                <w:rFonts w:cs="Arial"/>
                <w:color w:val="FF0000"/>
                <w:sz w:val="21"/>
                <w:szCs w:val="21"/>
              </w:rPr>
            </w:pPr>
          </w:p>
        </w:tc>
        <w:tc>
          <w:tcPr>
            <w:tcW w:w="217" w:type="dxa"/>
          </w:tcPr>
          <w:p w14:paraId="4B1AADAA" w14:textId="77777777" w:rsidR="002C0FD9" w:rsidRPr="00CA25CF" w:rsidRDefault="002C0FD9" w:rsidP="00CA25CF">
            <w:pPr>
              <w:rPr>
                <w:rFonts w:cs="Arial"/>
                <w:color w:val="FF0000"/>
                <w:sz w:val="21"/>
                <w:szCs w:val="21"/>
              </w:rPr>
            </w:pPr>
          </w:p>
        </w:tc>
        <w:tc>
          <w:tcPr>
            <w:tcW w:w="217" w:type="dxa"/>
          </w:tcPr>
          <w:p w14:paraId="59853B35" w14:textId="77777777" w:rsidR="002C0FD9" w:rsidRPr="00CA25CF" w:rsidRDefault="002C0FD9" w:rsidP="00CA25CF">
            <w:pPr>
              <w:rPr>
                <w:rFonts w:cs="Arial"/>
                <w:color w:val="FF0000"/>
                <w:sz w:val="21"/>
                <w:szCs w:val="21"/>
              </w:rPr>
            </w:pPr>
          </w:p>
        </w:tc>
        <w:tc>
          <w:tcPr>
            <w:tcW w:w="217" w:type="dxa"/>
          </w:tcPr>
          <w:p w14:paraId="673D4209" w14:textId="77777777" w:rsidR="002C0FD9" w:rsidRPr="00CA25CF" w:rsidRDefault="002C0FD9" w:rsidP="00CA25CF">
            <w:pPr>
              <w:rPr>
                <w:rFonts w:cs="Arial"/>
                <w:color w:val="FF0000"/>
                <w:sz w:val="21"/>
                <w:szCs w:val="21"/>
              </w:rPr>
            </w:pPr>
          </w:p>
        </w:tc>
        <w:tc>
          <w:tcPr>
            <w:tcW w:w="217" w:type="dxa"/>
          </w:tcPr>
          <w:p w14:paraId="341B2EAF" w14:textId="77777777" w:rsidR="002C0FD9" w:rsidRPr="00CA25CF" w:rsidRDefault="002C0FD9" w:rsidP="00CA25CF">
            <w:pPr>
              <w:rPr>
                <w:rFonts w:cs="Arial"/>
                <w:color w:val="FF0000"/>
                <w:sz w:val="21"/>
                <w:szCs w:val="21"/>
              </w:rPr>
            </w:pPr>
          </w:p>
        </w:tc>
        <w:tc>
          <w:tcPr>
            <w:tcW w:w="217" w:type="dxa"/>
          </w:tcPr>
          <w:p w14:paraId="11DABA22" w14:textId="77777777" w:rsidR="002C0FD9" w:rsidRPr="00CA25CF" w:rsidRDefault="002C0FD9" w:rsidP="00CA25CF">
            <w:pPr>
              <w:rPr>
                <w:rFonts w:cs="Arial"/>
                <w:color w:val="FF0000"/>
                <w:sz w:val="21"/>
                <w:szCs w:val="21"/>
              </w:rPr>
            </w:pPr>
          </w:p>
        </w:tc>
        <w:tc>
          <w:tcPr>
            <w:tcW w:w="217" w:type="dxa"/>
          </w:tcPr>
          <w:p w14:paraId="0F235391" w14:textId="77777777" w:rsidR="002C0FD9" w:rsidRPr="00CA25CF" w:rsidRDefault="002C0FD9" w:rsidP="00CA25CF">
            <w:pPr>
              <w:rPr>
                <w:rFonts w:cs="Arial"/>
                <w:color w:val="FF0000"/>
                <w:sz w:val="21"/>
                <w:szCs w:val="21"/>
              </w:rPr>
            </w:pPr>
          </w:p>
        </w:tc>
        <w:tc>
          <w:tcPr>
            <w:tcW w:w="217" w:type="dxa"/>
          </w:tcPr>
          <w:p w14:paraId="59499167" w14:textId="77777777" w:rsidR="002C0FD9" w:rsidRPr="00CA25CF" w:rsidRDefault="002C0FD9" w:rsidP="00CA25CF">
            <w:pPr>
              <w:rPr>
                <w:rFonts w:cs="Arial"/>
                <w:color w:val="FF0000"/>
                <w:sz w:val="21"/>
                <w:szCs w:val="21"/>
              </w:rPr>
            </w:pPr>
          </w:p>
        </w:tc>
        <w:tc>
          <w:tcPr>
            <w:tcW w:w="217" w:type="dxa"/>
          </w:tcPr>
          <w:p w14:paraId="765C114E" w14:textId="77777777" w:rsidR="002C0FD9" w:rsidRPr="00CA25CF" w:rsidRDefault="002C0FD9" w:rsidP="00CA25CF">
            <w:pPr>
              <w:rPr>
                <w:rFonts w:cs="Arial"/>
                <w:color w:val="FF0000"/>
                <w:sz w:val="21"/>
                <w:szCs w:val="21"/>
              </w:rPr>
            </w:pPr>
          </w:p>
        </w:tc>
        <w:tc>
          <w:tcPr>
            <w:tcW w:w="217" w:type="dxa"/>
          </w:tcPr>
          <w:p w14:paraId="4510C4F6" w14:textId="77777777" w:rsidR="002C0FD9" w:rsidRPr="00CA25CF" w:rsidRDefault="002C0FD9" w:rsidP="00CA25CF">
            <w:pPr>
              <w:rPr>
                <w:rFonts w:cs="Arial"/>
                <w:color w:val="FF0000"/>
                <w:sz w:val="21"/>
                <w:szCs w:val="21"/>
              </w:rPr>
            </w:pPr>
          </w:p>
        </w:tc>
        <w:tc>
          <w:tcPr>
            <w:tcW w:w="217" w:type="dxa"/>
          </w:tcPr>
          <w:p w14:paraId="2F60F34D" w14:textId="77777777" w:rsidR="002C0FD9" w:rsidRPr="00CA25CF" w:rsidRDefault="002C0FD9" w:rsidP="00CA25CF">
            <w:pPr>
              <w:rPr>
                <w:rFonts w:cs="Arial"/>
                <w:color w:val="FF0000"/>
                <w:sz w:val="21"/>
                <w:szCs w:val="21"/>
              </w:rPr>
            </w:pPr>
          </w:p>
        </w:tc>
        <w:tc>
          <w:tcPr>
            <w:tcW w:w="217" w:type="dxa"/>
          </w:tcPr>
          <w:p w14:paraId="356293F6" w14:textId="77777777" w:rsidR="002C0FD9" w:rsidRPr="00CA25CF" w:rsidRDefault="002C0FD9" w:rsidP="00CA25CF">
            <w:pPr>
              <w:rPr>
                <w:rFonts w:cs="Arial"/>
                <w:color w:val="FF0000"/>
                <w:sz w:val="21"/>
                <w:szCs w:val="21"/>
              </w:rPr>
            </w:pPr>
          </w:p>
        </w:tc>
        <w:tc>
          <w:tcPr>
            <w:tcW w:w="217" w:type="dxa"/>
          </w:tcPr>
          <w:p w14:paraId="21D306AE" w14:textId="77777777" w:rsidR="002C0FD9" w:rsidRPr="00CA25CF" w:rsidRDefault="002C0FD9" w:rsidP="00CA25CF">
            <w:pPr>
              <w:rPr>
                <w:rFonts w:cs="Arial"/>
                <w:color w:val="FF0000"/>
                <w:sz w:val="21"/>
                <w:szCs w:val="21"/>
              </w:rPr>
            </w:pPr>
          </w:p>
        </w:tc>
        <w:tc>
          <w:tcPr>
            <w:tcW w:w="217" w:type="dxa"/>
          </w:tcPr>
          <w:p w14:paraId="37B41189" w14:textId="77777777" w:rsidR="002C0FD9" w:rsidRPr="00CA25CF" w:rsidRDefault="002C0FD9" w:rsidP="00CA25CF">
            <w:pPr>
              <w:rPr>
                <w:rFonts w:cs="Arial"/>
                <w:color w:val="FF0000"/>
                <w:sz w:val="21"/>
                <w:szCs w:val="21"/>
              </w:rPr>
            </w:pPr>
          </w:p>
        </w:tc>
        <w:tc>
          <w:tcPr>
            <w:tcW w:w="217" w:type="dxa"/>
          </w:tcPr>
          <w:p w14:paraId="121183D2" w14:textId="77777777" w:rsidR="002C0FD9" w:rsidRPr="00CA25CF" w:rsidRDefault="002C0FD9" w:rsidP="00CA25CF">
            <w:pPr>
              <w:rPr>
                <w:rFonts w:cs="Arial"/>
                <w:color w:val="FF0000"/>
                <w:sz w:val="21"/>
                <w:szCs w:val="21"/>
              </w:rPr>
            </w:pPr>
          </w:p>
        </w:tc>
        <w:tc>
          <w:tcPr>
            <w:tcW w:w="217" w:type="dxa"/>
          </w:tcPr>
          <w:p w14:paraId="44FADAF7" w14:textId="77777777" w:rsidR="002C0FD9" w:rsidRPr="00CA25CF" w:rsidRDefault="002C0FD9" w:rsidP="00CA25CF">
            <w:pPr>
              <w:rPr>
                <w:rFonts w:cs="Arial"/>
                <w:color w:val="FF0000"/>
                <w:sz w:val="21"/>
                <w:szCs w:val="21"/>
              </w:rPr>
            </w:pPr>
          </w:p>
        </w:tc>
        <w:tc>
          <w:tcPr>
            <w:tcW w:w="217" w:type="dxa"/>
          </w:tcPr>
          <w:p w14:paraId="66AF211A" w14:textId="77777777" w:rsidR="002C0FD9" w:rsidRPr="00CA25CF" w:rsidRDefault="002C0FD9" w:rsidP="00CA25CF">
            <w:pPr>
              <w:rPr>
                <w:rFonts w:cs="Arial"/>
                <w:color w:val="FF0000"/>
                <w:sz w:val="21"/>
                <w:szCs w:val="21"/>
              </w:rPr>
            </w:pPr>
          </w:p>
        </w:tc>
        <w:tc>
          <w:tcPr>
            <w:tcW w:w="217" w:type="dxa"/>
          </w:tcPr>
          <w:p w14:paraId="6795C772" w14:textId="77777777" w:rsidR="002C0FD9" w:rsidRPr="00CA25CF" w:rsidRDefault="002C0FD9" w:rsidP="00CA25CF">
            <w:pPr>
              <w:rPr>
                <w:rFonts w:cs="Arial"/>
                <w:color w:val="FF0000"/>
                <w:sz w:val="21"/>
                <w:szCs w:val="21"/>
              </w:rPr>
            </w:pPr>
          </w:p>
        </w:tc>
        <w:tc>
          <w:tcPr>
            <w:tcW w:w="217" w:type="dxa"/>
          </w:tcPr>
          <w:p w14:paraId="78115AEB" w14:textId="77777777" w:rsidR="002C0FD9" w:rsidRPr="00CA25CF" w:rsidRDefault="002C0FD9" w:rsidP="00CA25CF">
            <w:pPr>
              <w:rPr>
                <w:rFonts w:cs="Arial"/>
                <w:color w:val="FF0000"/>
                <w:sz w:val="21"/>
                <w:szCs w:val="21"/>
              </w:rPr>
            </w:pPr>
          </w:p>
        </w:tc>
        <w:tc>
          <w:tcPr>
            <w:tcW w:w="217" w:type="dxa"/>
          </w:tcPr>
          <w:p w14:paraId="4CD9E8E6" w14:textId="77777777" w:rsidR="002C0FD9" w:rsidRPr="00CA25CF" w:rsidRDefault="002C0FD9" w:rsidP="00CA25CF">
            <w:pPr>
              <w:rPr>
                <w:rFonts w:cs="Arial"/>
                <w:color w:val="FF0000"/>
                <w:sz w:val="21"/>
                <w:szCs w:val="21"/>
              </w:rPr>
            </w:pPr>
          </w:p>
        </w:tc>
        <w:tc>
          <w:tcPr>
            <w:tcW w:w="217" w:type="dxa"/>
          </w:tcPr>
          <w:p w14:paraId="5EC89F3D" w14:textId="77777777" w:rsidR="002C0FD9" w:rsidRPr="00CA25CF" w:rsidRDefault="002C0FD9" w:rsidP="00CA25CF">
            <w:pPr>
              <w:rPr>
                <w:rFonts w:cs="Arial"/>
                <w:color w:val="FF0000"/>
                <w:sz w:val="21"/>
                <w:szCs w:val="21"/>
              </w:rPr>
            </w:pPr>
          </w:p>
        </w:tc>
        <w:tc>
          <w:tcPr>
            <w:tcW w:w="217" w:type="dxa"/>
          </w:tcPr>
          <w:p w14:paraId="5191BF46" w14:textId="77777777" w:rsidR="002C0FD9" w:rsidRPr="00CA25CF" w:rsidRDefault="002C0FD9" w:rsidP="00CA25CF">
            <w:pPr>
              <w:rPr>
                <w:rFonts w:cs="Arial"/>
                <w:color w:val="FF0000"/>
                <w:sz w:val="21"/>
                <w:szCs w:val="21"/>
              </w:rPr>
            </w:pPr>
          </w:p>
        </w:tc>
        <w:tc>
          <w:tcPr>
            <w:tcW w:w="217" w:type="dxa"/>
          </w:tcPr>
          <w:p w14:paraId="5F63D1A5" w14:textId="77777777" w:rsidR="002C0FD9" w:rsidRPr="00CA25CF" w:rsidRDefault="002C0FD9" w:rsidP="00CA25CF">
            <w:pPr>
              <w:rPr>
                <w:rFonts w:cs="Arial"/>
                <w:color w:val="FF0000"/>
                <w:sz w:val="21"/>
                <w:szCs w:val="21"/>
              </w:rPr>
            </w:pPr>
          </w:p>
        </w:tc>
        <w:tc>
          <w:tcPr>
            <w:tcW w:w="217" w:type="dxa"/>
          </w:tcPr>
          <w:p w14:paraId="136E9264" w14:textId="77777777" w:rsidR="002C0FD9" w:rsidRPr="00CA25CF" w:rsidRDefault="002C0FD9" w:rsidP="00CA25CF">
            <w:pPr>
              <w:rPr>
                <w:rFonts w:cs="Arial"/>
                <w:color w:val="FF0000"/>
                <w:sz w:val="21"/>
                <w:szCs w:val="21"/>
              </w:rPr>
            </w:pPr>
          </w:p>
        </w:tc>
      </w:tr>
      <w:tr w:rsidR="002C0FD9" w:rsidRPr="00A16219" w14:paraId="64E5F076" w14:textId="77777777" w:rsidTr="002C0FD9">
        <w:trPr>
          <w:trHeight w:val="635"/>
        </w:trPr>
        <w:tc>
          <w:tcPr>
            <w:tcW w:w="515" w:type="dxa"/>
          </w:tcPr>
          <w:p w14:paraId="64868636" w14:textId="77777777" w:rsidR="002C0FD9" w:rsidRPr="00CA25CF" w:rsidRDefault="002C0FD9" w:rsidP="00CA25CF">
            <w:pPr>
              <w:rPr>
                <w:rFonts w:cs="Arial"/>
                <w:color w:val="FF0000"/>
                <w:sz w:val="21"/>
                <w:szCs w:val="21"/>
              </w:rPr>
            </w:pPr>
          </w:p>
        </w:tc>
        <w:tc>
          <w:tcPr>
            <w:tcW w:w="217" w:type="dxa"/>
          </w:tcPr>
          <w:p w14:paraId="17D79F29" w14:textId="77777777" w:rsidR="002C0FD9" w:rsidRPr="00CA25CF" w:rsidRDefault="002C0FD9" w:rsidP="00CA25CF">
            <w:pPr>
              <w:rPr>
                <w:rFonts w:cs="Arial"/>
                <w:color w:val="FF0000"/>
                <w:sz w:val="21"/>
                <w:szCs w:val="21"/>
              </w:rPr>
            </w:pPr>
          </w:p>
        </w:tc>
        <w:tc>
          <w:tcPr>
            <w:tcW w:w="217" w:type="dxa"/>
          </w:tcPr>
          <w:p w14:paraId="46019DB1" w14:textId="77777777" w:rsidR="002C0FD9" w:rsidRPr="00CA25CF" w:rsidRDefault="002C0FD9" w:rsidP="00CA25CF">
            <w:pPr>
              <w:rPr>
                <w:rFonts w:cs="Arial"/>
                <w:color w:val="FF0000"/>
                <w:sz w:val="21"/>
                <w:szCs w:val="21"/>
              </w:rPr>
            </w:pPr>
          </w:p>
        </w:tc>
        <w:tc>
          <w:tcPr>
            <w:tcW w:w="217" w:type="dxa"/>
          </w:tcPr>
          <w:p w14:paraId="470B792D" w14:textId="77777777" w:rsidR="002C0FD9" w:rsidRPr="00CA25CF" w:rsidRDefault="002C0FD9" w:rsidP="00CA25CF">
            <w:pPr>
              <w:rPr>
                <w:rFonts w:cs="Arial"/>
                <w:color w:val="FF0000"/>
                <w:sz w:val="21"/>
                <w:szCs w:val="21"/>
              </w:rPr>
            </w:pPr>
          </w:p>
        </w:tc>
        <w:tc>
          <w:tcPr>
            <w:tcW w:w="217" w:type="dxa"/>
          </w:tcPr>
          <w:p w14:paraId="1E348014" w14:textId="77777777" w:rsidR="002C0FD9" w:rsidRPr="00CA25CF" w:rsidRDefault="002C0FD9" w:rsidP="00CA25CF">
            <w:pPr>
              <w:rPr>
                <w:rFonts w:cs="Arial"/>
                <w:color w:val="FF0000"/>
                <w:sz w:val="21"/>
                <w:szCs w:val="21"/>
              </w:rPr>
            </w:pPr>
          </w:p>
        </w:tc>
        <w:tc>
          <w:tcPr>
            <w:tcW w:w="217" w:type="dxa"/>
          </w:tcPr>
          <w:p w14:paraId="5F2232BD" w14:textId="77777777" w:rsidR="002C0FD9" w:rsidRPr="00CA25CF" w:rsidRDefault="002C0FD9" w:rsidP="00CA25CF">
            <w:pPr>
              <w:rPr>
                <w:rFonts w:cs="Arial"/>
                <w:color w:val="FF0000"/>
                <w:sz w:val="21"/>
                <w:szCs w:val="21"/>
              </w:rPr>
            </w:pPr>
          </w:p>
        </w:tc>
        <w:tc>
          <w:tcPr>
            <w:tcW w:w="217" w:type="dxa"/>
          </w:tcPr>
          <w:p w14:paraId="3E0174B2" w14:textId="77777777" w:rsidR="002C0FD9" w:rsidRPr="00CA25CF" w:rsidRDefault="002C0FD9" w:rsidP="00CA25CF">
            <w:pPr>
              <w:rPr>
                <w:rFonts w:cs="Arial"/>
                <w:color w:val="FF0000"/>
                <w:sz w:val="21"/>
                <w:szCs w:val="21"/>
              </w:rPr>
            </w:pPr>
          </w:p>
        </w:tc>
        <w:tc>
          <w:tcPr>
            <w:tcW w:w="217" w:type="dxa"/>
          </w:tcPr>
          <w:p w14:paraId="58E6AA0D" w14:textId="77777777" w:rsidR="002C0FD9" w:rsidRPr="00CA25CF" w:rsidRDefault="002C0FD9" w:rsidP="00CA25CF">
            <w:pPr>
              <w:rPr>
                <w:rFonts w:cs="Arial"/>
                <w:color w:val="FF0000"/>
                <w:sz w:val="21"/>
                <w:szCs w:val="21"/>
              </w:rPr>
            </w:pPr>
          </w:p>
        </w:tc>
        <w:tc>
          <w:tcPr>
            <w:tcW w:w="217" w:type="dxa"/>
          </w:tcPr>
          <w:p w14:paraId="2416A950" w14:textId="77777777" w:rsidR="002C0FD9" w:rsidRPr="00CA25CF" w:rsidRDefault="002C0FD9" w:rsidP="00CA25CF">
            <w:pPr>
              <w:rPr>
                <w:rFonts w:cs="Arial"/>
                <w:color w:val="FF0000"/>
                <w:sz w:val="21"/>
                <w:szCs w:val="21"/>
              </w:rPr>
            </w:pPr>
          </w:p>
        </w:tc>
        <w:tc>
          <w:tcPr>
            <w:tcW w:w="217" w:type="dxa"/>
          </w:tcPr>
          <w:p w14:paraId="146A2DD1" w14:textId="77777777" w:rsidR="002C0FD9" w:rsidRPr="00CA25CF" w:rsidRDefault="002C0FD9" w:rsidP="00CA25CF">
            <w:pPr>
              <w:rPr>
                <w:rFonts w:cs="Arial"/>
                <w:color w:val="FF0000"/>
                <w:sz w:val="21"/>
                <w:szCs w:val="21"/>
              </w:rPr>
            </w:pPr>
          </w:p>
        </w:tc>
        <w:tc>
          <w:tcPr>
            <w:tcW w:w="217" w:type="dxa"/>
          </w:tcPr>
          <w:p w14:paraId="486C76E7" w14:textId="77777777" w:rsidR="002C0FD9" w:rsidRPr="00CA25CF" w:rsidRDefault="002C0FD9" w:rsidP="00CA25CF">
            <w:pPr>
              <w:rPr>
                <w:rFonts w:cs="Arial"/>
                <w:color w:val="FF0000"/>
                <w:sz w:val="21"/>
                <w:szCs w:val="21"/>
              </w:rPr>
            </w:pPr>
          </w:p>
        </w:tc>
        <w:tc>
          <w:tcPr>
            <w:tcW w:w="217" w:type="dxa"/>
          </w:tcPr>
          <w:p w14:paraId="041A5CCE" w14:textId="77777777" w:rsidR="002C0FD9" w:rsidRPr="00CA25CF" w:rsidRDefault="002C0FD9" w:rsidP="00CA25CF">
            <w:pPr>
              <w:rPr>
                <w:rFonts w:cs="Arial"/>
                <w:color w:val="FF0000"/>
                <w:sz w:val="21"/>
                <w:szCs w:val="21"/>
              </w:rPr>
            </w:pPr>
          </w:p>
        </w:tc>
        <w:tc>
          <w:tcPr>
            <w:tcW w:w="217" w:type="dxa"/>
          </w:tcPr>
          <w:p w14:paraId="0266F8FF" w14:textId="77777777" w:rsidR="002C0FD9" w:rsidRPr="00CA25CF" w:rsidRDefault="002C0FD9" w:rsidP="00CA25CF">
            <w:pPr>
              <w:rPr>
                <w:rFonts w:cs="Arial"/>
                <w:color w:val="FF0000"/>
                <w:sz w:val="21"/>
                <w:szCs w:val="21"/>
              </w:rPr>
            </w:pPr>
          </w:p>
        </w:tc>
        <w:tc>
          <w:tcPr>
            <w:tcW w:w="217" w:type="dxa"/>
          </w:tcPr>
          <w:p w14:paraId="436AFDEB" w14:textId="77777777" w:rsidR="002C0FD9" w:rsidRPr="00CA25CF" w:rsidRDefault="002C0FD9" w:rsidP="00CA25CF">
            <w:pPr>
              <w:rPr>
                <w:rFonts w:cs="Arial"/>
                <w:color w:val="FF0000"/>
                <w:sz w:val="21"/>
                <w:szCs w:val="21"/>
              </w:rPr>
            </w:pPr>
          </w:p>
        </w:tc>
        <w:tc>
          <w:tcPr>
            <w:tcW w:w="217" w:type="dxa"/>
          </w:tcPr>
          <w:p w14:paraId="7A9BEB73" w14:textId="77777777" w:rsidR="002C0FD9" w:rsidRPr="00CA25CF" w:rsidRDefault="002C0FD9" w:rsidP="00CA25CF">
            <w:pPr>
              <w:rPr>
                <w:rFonts w:cs="Arial"/>
                <w:color w:val="FF0000"/>
                <w:sz w:val="21"/>
                <w:szCs w:val="21"/>
              </w:rPr>
            </w:pPr>
          </w:p>
        </w:tc>
        <w:tc>
          <w:tcPr>
            <w:tcW w:w="217" w:type="dxa"/>
          </w:tcPr>
          <w:p w14:paraId="4AA48BC5" w14:textId="77777777" w:rsidR="002C0FD9" w:rsidRPr="00CA25CF" w:rsidRDefault="002C0FD9" w:rsidP="00CA25CF">
            <w:pPr>
              <w:rPr>
                <w:rFonts w:cs="Arial"/>
                <w:color w:val="FF0000"/>
                <w:sz w:val="21"/>
                <w:szCs w:val="21"/>
              </w:rPr>
            </w:pPr>
          </w:p>
        </w:tc>
        <w:tc>
          <w:tcPr>
            <w:tcW w:w="217" w:type="dxa"/>
          </w:tcPr>
          <w:p w14:paraId="2592DB1C" w14:textId="77777777" w:rsidR="002C0FD9" w:rsidRPr="00CA25CF" w:rsidRDefault="002C0FD9" w:rsidP="00CA25CF">
            <w:pPr>
              <w:rPr>
                <w:rFonts w:cs="Arial"/>
                <w:color w:val="FF0000"/>
                <w:sz w:val="21"/>
                <w:szCs w:val="21"/>
              </w:rPr>
            </w:pPr>
          </w:p>
        </w:tc>
        <w:tc>
          <w:tcPr>
            <w:tcW w:w="217" w:type="dxa"/>
          </w:tcPr>
          <w:p w14:paraId="0DEC9326" w14:textId="77777777" w:rsidR="002C0FD9" w:rsidRPr="00CA25CF" w:rsidRDefault="002C0FD9" w:rsidP="00CA25CF">
            <w:pPr>
              <w:rPr>
                <w:rFonts w:cs="Arial"/>
                <w:color w:val="FF0000"/>
                <w:sz w:val="21"/>
                <w:szCs w:val="21"/>
              </w:rPr>
            </w:pPr>
          </w:p>
        </w:tc>
        <w:tc>
          <w:tcPr>
            <w:tcW w:w="217" w:type="dxa"/>
          </w:tcPr>
          <w:p w14:paraId="47D5C157" w14:textId="77777777" w:rsidR="002C0FD9" w:rsidRPr="00CA25CF" w:rsidRDefault="002C0FD9" w:rsidP="00CA25CF">
            <w:pPr>
              <w:rPr>
                <w:rFonts w:cs="Arial"/>
                <w:color w:val="FF0000"/>
                <w:sz w:val="21"/>
                <w:szCs w:val="21"/>
              </w:rPr>
            </w:pPr>
          </w:p>
        </w:tc>
        <w:tc>
          <w:tcPr>
            <w:tcW w:w="217" w:type="dxa"/>
          </w:tcPr>
          <w:p w14:paraId="6E670AB5" w14:textId="77777777" w:rsidR="002C0FD9" w:rsidRPr="00CA25CF" w:rsidRDefault="002C0FD9" w:rsidP="00CA25CF">
            <w:pPr>
              <w:rPr>
                <w:rFonts w:cs="Arial"/>
                <w:color w:val="FF0000"/>
                <w:sz w:val="21"/>
                <w:szCs w:val="21"/>
              </w:rPr>
            </w:pPr>
          </w:p>
        </w:tc>
        <w:tc>
          <w:tcPr>
            <w:tcW w:w="217" w:type="dxa"/>
          </w:tcPr>
          <w:p w14:paraId="0212B55F" w14:textId="77777777" w:rsidR="002C0FD9" w:rsidRPr="00CA25CF" w:rsidRDefault="002C0FD9" w:rsidP="00CA25CF">
            <w:pPr>
              <w:rPr>
                <w:rFonts w:cs="Arial"/>
                <w:color w:val="FF0000"/>
                <w:sz w:val="21"/>
                <w:szCs w:val="21"/>
              </w:rPr>
            </w:pPr>
          </w:p>
        </w:tc>
        <w:tc>
          <w:tcPr>
            <w:tcW w:w="217" w:type="dxa"/>
          </w:tcPr>
          <w:p w14:paraId="22C4BB7B" w14:textId="77777777" w:rsidR="002C0FD9" w:rsidRPr="00CA25CF" w:rsidRDefault="002C0FD9" w:rsidP="00CA25CF">
            <w:pPr>
              <w:rPr>
                <w:rFonts w:cs="Arial"/>
                <w:color w:val="FF0000"/>
                <w:sz w:val="21"/>
                <w:szCs w:val="21"/>
              </w:rPr>
            </w:pPr>
          </w:p>
        </w:tc>
        <w:tc>
          <w:tcPr>
            <w:tcW w:w="217" w:type="dxa"/>
          </w:tcPr>
          <w:p w14:paraId="7059197A" w14:textId="77777777" w:rsidR="002C0FD9" w:rsidRPr="00CA25CF" w:rsidRDefault="002C0FD9" w:rsidP="00CA25CF">
            <w:pPr>
              <w:rPr>
                <w:rFonts w:cs="Arial"/>
                <w:color w:val="FF0000"/>
                <w:sz w:val="21"/>
                <w:szCs w:val="21"/>
              </w:rPr>
            </w:pPr>
          </w:p>
        </w:tc>
        <w:tc>
          <w:tcPr>
            <w:tcW w:w="217" w:type="dxa"/>
          </w:tcPr>
          <w:p w14:paraId="25334C37" w14:textId="77777777" w:rsidR="002C0FD9" w:rsidRPr="00CA25CF" w:rsidRDefault="002C0FD9" w:rsidP="00CA25CF">
            <w:pPr>
              <w:rPr>
                <w:rFonts w:cs="Arial"/>
                <w:color w:val="FF0000"/>
                <w:sz w:val="21"/>
                <w:szCs w:val="21"/>
              </w:rPr>
            </w:pPr>
          </w:p>
        </w:tc>
        <w:tc>
          <w:tcPr>
            <w:tcW w:w="217" w:type="dxa"/>
          </w:tcPr>
          <w:p w14:paraId="3BFFAD3A" w14:textId="77777777" w:rsidR="002C0FD9" w:rsidRPr="00CA25CF" w:rsidRDefault="002C0FD9" w:rsidP="00CA25CF">
            <w:pPr>
              <w:rPr>
                <w:rFonts w:cs="Arial"/>
                <w:color w:val="FF0000"/>
                <w:sz w:val="21"/>
                <w:szCs w:val="21"/>
              </w:rPr>
            </w:pPr>
          </w:p>
        </w:tc>
        <w:tc>
          <w:tcPr>
            <w:tcW w:w="217" w:type="dxa"/>
          </w:tcPr>
          <w:p w14:paraId="5AA55C57" w14:textId="77777777" w:rsidR="002C0FD9" w:rsidRPr="00CA25CF" w:rsidRDefault="002C0FD9" w:rsidP="00CA25CF">
            <w:pPr>
              <w:rPr>
                <w:rFonts w:cs="Arial"/>
                <w:color w:val="FF0000"/>
                <w:sz w:val="21"/>
                <w:szCs w:val="21"/>
              </w:rPr>
            </w:pPr>
          </w:p>
        </w:tc>
        <w:tc>
          <w:tcPr>
            <w:tcW w:w="217" w:type="dxa"/>
          </w:tcPr>
          <w:p w14:paraId="14D46062" w14:textId="77777777" w:rsidR="002C0FD9" w:rsidRPr="00CA25CF" w:rsidRDefault="002C0FD9" w:rsidP="00CA25CF">
            <w:pPr>
              <w:rPr>
                <w:rFonts w:cs="Arial"/>
                <w:color w:val="FF0000"/>
                <w:sz w:val="21"/>
                <w:szCs w:val="21"/>
              </w:rPr>
            </w:pPr>
          </w:p>
        </w:tc>
        <w:tc>
          <w:tcPr>
            <w:tcW w:w="217" w:type="dxa"/>
          </w:tcPr>
          <w:p w14:paraId="32823CDC" w14:textId="77777777" w:rsidR="002C0FD9" w:rsidRPr="00CA25CF" w:rsidRDefault="002C0FD9" w:rsidP="00CA25CF">
            <w:pPr>
              <w:rPr>
                <w:rFonts w:cs="Arial"/>
                <w:color w:val="FF0000"/>
                <w:sz w:val="21"/>
                <w:szCs w:val="21"/>
              </w:rPr>
            </w:pPr>
          </w:p>
        </w:tc>
        <w:tc>
          <w:tcPr>
            <w:tcW w:w="217" w:type="dxa"/>
          </w:tcPr>
          <w:p w14:paraId="496592AC" w14:textId="77777777" w:rsidR="002C0FD9" w:rsidRPr="00CA25CF" w:rsidRDefault="002C0FD9" w:rsidP="00CA25CF">
            <w:pPr>
              <w:rPr>
                <w:rFonts w:cs="Arial"/>
                <w:color w:val="FF0000"/>
                <w:sz w:val="21"/>
                <w:szCs w:val="21"/>
              </w:rPr>
            </w:pPr>
          </w:p>
        </w:tc>
        <w:tc>
          <w:tcPr>
            <w:tcW w:w="217" w:type="dxa"/>
          </w:tcPr>
          <w:p w14:paraId="58B8A6A7" w14:textId="77777777" w:rsidR="002C0FD9" w:rsidRPr="00CA25CF" w:rsidRDefault="002C0FD9" w:rsidP="00CA25CF">
            <w:pPr>
              <w:rPr>
                <w:rFonts w:cs="Arial"/>
                <w:color w:val="FF0000"/>
                <w:sz w:val="21"/>
                <w:szCs w:val="21"/>
              </w:rPr>
            </w:pPr>
          </w:p>
        </w:tc>
        <w:tc>
          <w:tcPr>
            <w:tcW w:w="217" w:type="dxa"/>
          </w:tcPr>
          <w:p w14:paraId="3EDE2A29" w14:textId="77777777" w:rsidR="002C0FD9" w:rsidRPr="00CA25CF" w:rsidRDefault="002C0FD9" w:rsidP="00CA25CF">
            <w:pPr>
              <w:rPr>
                <w:rFonts w:cs="Arial"/>
                <w:color w:val="FF0000"/>
                <w:sz w:val="21"/>
                <w:szCs w:val="21"/>
              </w:rPr>
            </w:pPr>
          </w:p>
        </w:tc>
        <w:tc>
          <w:tcPr>
            <w:tcW w:w="217" w:type="dxa"/>
          </w:tcPr>
          <w:p w14:paraId="6C044A66" w14:textId="77777777" w:rsidR="002C0FD9" w:rsidRPr="00CA25CF" w:rsidRDefault="002C0FD9" w:rsidP="00CA25CF">
            <w:pPr>
              <w:rPr>
                <w:rFonts w:cs="Arial"/>
                <w:color w:val="FF0000"/>
                <w:sz w:val="21"/>
                <w:szCs w:val="21"/>
              </w:rPr>
            </w:pPr>
          </w:p>
        </w:tc>
        <w:tc>
          <w:tcPr>
            <w:tcW w:w="217" w:type="dxa"/>
          </w:tcPr>
          <w:p w14:paraId="7BA70D48" w14:textId="77777777" w:rsidR="002C0FD9" w:rsidRPr="00CA25CF" w:rsidRDefault="002C0FD9" w:rsidP="00CA25CF">
            <w:pPr>
              <w:rPr>
                <w:rFonts w:cs="Arial"/>
                <w:color w:val="FF0000"/>
                <w:sz w:val="21"/>
                <w:szCs w:val="21"/>
              </w:rPr>
            </w:pPr>
          </w:p>
        </w:tc>
        <w:tc>
          <w:tcPr>
            <w:tcW w:w="217" w:type="dxa"/>
          </w:tcPr>
          <w:p w14:paraId="52B58874" w14:textId="77777777" w:rsidR="002C0FD9" w:rsidRPr="00CA25CF" w:rsidRDefault="002C0FD9" w:rsidP="00CA25CF">
            <w:pPr>
              <w:rPr>
                <w:rFonts w:cs="Arial"/>
                <w:color w:val="FF0000"/>
                <w:sz w:val="21"/>
                <w:szCs w:val="21"/>
              </w:rPr>
            </w:pPr>
          </w:p>
        </w:tc>
        <w:tc>
          <w:tcPr>
            <w:tcW w:w="217" w:type="dxa"/>
          </w:tcPr>
          <w:p w14:paraId="1940A961" w14:textId="77777777" w:rsidR="002C0FD9" w:rsidRPr="00CA25CF" w:rsidRDefault="002C0FD9" w:rsidP="00CA25CF">
            <w:pPr>
              <w:rPr>
                <w:rFonts w:cs="Arial"/>
                <w:color w:val="FF0000"/>
                <w:sz w:val="21"/>
                <w:szCs w:val="21"/>
              </w:rPr>
            </w:pPr>
          </w:p>
        </w:tc>
        <w:tc>
          <w:tcPr>
            <w:tcW w:w="217" w:type="dxa"/>
          </w:tcPr>
          <w:p w14:paraId="60AE9C8B" w14:textId="77777777" w:rsidR="002C0FD9" w:rsidRPr="00CA25CF" w:rsidRDefault="002C0FD9" w:rsidP="00CA25CF">
            <w:pPr>
              <w:rPr>
                <w:rFonts w:cs="Arial"/>
                <w:color w:val="FF0000"/>
                <w:sz w:val="21"/>
                <w:szCs w:val="21"/>
              </w:rPr>
            </w:pPr>
          </w:p>
        </w:tc>
        <w:tc>
          <w:tcPr>
            <w:tcW w:w="217" w:type="dxa"/>
          </w:tcPr>
          <w:p w14:paraId="25B86414" w14:textId="77777777" w:rsidR="002C0FD9" w:rsidRPr="00CA25CF" w:rsidRDefault="002C0FD9" w:rsidP="00CA25CF">
            <w:pPr>
              <w:rPr>
                <w:rFonts w:cs="Arial"/>
                <w:color w:val="FF0000"/>
                <w:sz w:val="21"/>
                <w:szCs w:val="21"/>
              </w:rPr>
            </w:pPr>
          </w:p>
        </w:tc>
        <w:tc>
          <w:tcPr>
            <w:tcW w:w="217" w:type="dxa"/>
          </w:tcPr>
          <w:p w14:paraId="2DE4161A" w14:textId="77777777" w:rsidR="002C0FD9" w:rsidRPr="00CA25CF" w:rsidRDefault="002C0FD9" w:rsidP="00CA25CF">
            <w:pPr>
              <w:rPr>
                <w:rFonts w:cs="Arial"/>
                <w:color w:val="FF0000"/>
                <w:sz w:val="21"/>
                <w:szCs w:val="21"/>
              </w:rPr>
            </w:pPr>
          </w:p>
        </w:tc>
        <w:tc>
          <w:tcPr>
            <w:tcW w:w="217" w:type="dxa"/>
          </w:tcPr>
          <w:p w14:paraId="2230BE30" w14:textId="77777777" w:rsidR="002C0FD9" w:rsidRPr="00CA25CF" w:rsidRDefault="002C0FD9" w:rsidP="00CA25CF">
            <w:pPr>
              <w:rPr>
                <w:rFonts w:cs="Arial"/>
                <w:color w:val="FF0000"/>
                <w:sz w:val="21"/>
                <w:szCs w:val="21"/>
              </w:rPr>
            </w:pPr>
          </w:p>
        </w:tc>
        <w:tc>
          <w:tcPr>
            <w:tcW w:w="217" w:type="dxa"/>
          </w:tcPr>
          <w:p w14:paraId="42FCE9A4" w14:textId="77777777" w:rsidR="002C0FD9" w:rsidRPr="00CA25CF" w:rsidRDefault="002C0FD9" w:rsidP="00CA25CF">
            <w:pPr>
              <w:rPr>
                <w:rFonts w:cs="Arial"/>
                <w:color w:val="FF0000"/>
                <w:sz w:val="21"/>
                <w:szCs w:val="21"/>
              </w:rPr>
            </w:pPr>
          </w:p>
        </w:tc>
        <w:tc>
          <w:tcPr>
            <w:tcW w:w="217" w:type="dxa"/>
          </w:tcPr>
          <w:p w14:paraId="7B9C06E0" w14:textId="77777777" w:rsidR="002C0FD9" w:rsidRPr="00CA25CF" w:rsidRDefault="002C0FD9" w:rsidP="00CA25CF">
            <w:pPr>
              <w:rPr>
                <w:rFonts w:cs="Arial"/>
                <w:color w:val="FF0000"/>
                <w:sz w:val="21"/>
                <w:szCs w:val="21"/>
              </w:rPr>
            </w:pPr>
          </w:p>
        </w:tc>
        <w:tc>
          <w:tcPr>
            <w:tcW w:w="217" w:type="dxa"/>
          </w:tcPr>
          <w:p w14:paraId="2BC0B876" w14:textId="77777777" w:rsidR="002C0FD9" w:rsidRPr="00CA25CF" w:rsidRDefault="002C0FD9" w:rsidP="00CA25CF">
            <w:pPr>
              <w:rPr>
                <w:rFonts w:cs="Arial"/>
                <w:color w:val="FF0000"/>
                <w:sz w:val="21"/>
                <w:szCs w:val="21"/>
              </w:rPr>
            </w:pPr>
          </w:p>
        </w:tc>
        <w:tc>
          <w:tcPr>
            <w:tcW w:w="217" w:type="dxa"/>
          </w:tcPr>
          <w:p w14:paraId="1B714EBA" w14:textId="77777777" w:rsidR="002C0FD9" w:rsidRPr="00CA25CF" w:rsidRDefault="002C0FD9" w:rsidP="00CA25CF">
            <w:pPr>
              <w:rPr>
                <w:rFonts w:cs="Arial"/>
                <w:color w:val="FF0000"/>
                <w:sz w:val="21"/>
                <w:szCs w:val="21"/>
              </w:rPr>
            </w:pPr>
          </w:p>
        </w:tc>
      </w:tr>
      <w:tr w:rsidR="002C0FD9" w:rsidRPr="00A16219" w14:paraId="7272A21E" w14:textId="77777777" w:rsidTr="002C0FD9">
        <w:trPr>
          <w:trHeight w:val="635"/>
        </w:trPr>
        <w:tc>
          <w:tcPr>
            <w:tcW w:w="515" w:type="dxa"/>
          </w:tcPr>
          <w:p w14:paraId="6446D63A" w14:textId="77777777" w:rsidR="002C0FD9" w:rsidRPr="00CA25CF" w:rsidRDefault="002C0FD9" w:rsidP="00CA25CF">
            <w:pPr>
              <w:rPr>
                <w:rFonts w:cs="Arial"/>
                <w:color w:val="FF0000"/>
                <w:sz w:val="21"/>
                <w:szCs w:val="21"/>
              </w:rPr>
            </w:pPr>
          </w:p>
        </w:tc>
        <w:tc>
          <w:tcPr>
            <w:tcW w:w="217" w:type="dxa"/>
          </w:tcPr>
          <w:p w14:paraId="0C95567A" w14:textId="77777777" w:rsidR="002C0FD9" w:rsidRPr="00CA25CF" w:rsidRDefault="002C0FD9" w:rsidP="00CA25CF">
            <w:pPr>
              <w:rPr>
                <w:rFonts w:cs="Arial"/>
                <w:color w:val="FF0000"/>
                <w:sz w:val="21"/>
                <w:szCs w:val="21"/>
              </w:rPr>
            </w:pPr>
          </w:p>
        </w:tc>
        <w:tc>
          <w:tcPr>
            <w:tcW w:w="217" w:type="dxa"/>
          </w:tcPr>
          <w:p w14:paraId="58232CE8" w14:textId="77777777" w:rsidR="002C0FD9" w:rsidRPr="00CA25CF" w:rsidRDefault="002C0FD9" w:rsidP="00CA25CF">
            <w:pPr>
              <w:rPr>
                <w:rFonts w:cs="Arial"/>
                <w:color w:val="FF0000"/>
                <w:sz w:val="21"/>
                <w:szCs w:val="21"/>
              </w:rPr>
            </w:pPr>
          </w:p>
        </w:tc>
        <w:tc>
          <w:tcPr>
            <w:tcW w:w="217" w:type="dxa"/>
          </w:tcPr>
          <w:p w14:paraId="587EAF06" w14:textId="77777777" w:rsidR="002C0FD9" w:rsidRPr="00CA25CF" w:rsidRDefault="002C0FD9" w:rsidP="00CA25CF">
            <w:pPr>
              <w:rPr>
                <w:rFonts w:cs="Arial"/>
                <w:color w:val="FF0000"/>
                <w:sz w:val="21"/>
                <w:szCs w:val="21"/>
              </w:rPr>
            </w:pPr>
          </w:p>
        </w:tc>
        <w:tc>
          <w:tcPr>
            <w:tcW w:w="217" w:type="dxa"/>
          </w:tcPr>
          <w:p w14:paraId="0F0D64DB" w14:textId="77777777" w:rsidR="002C0FD9" w:rsidRPr="00CA25CF" w:rsidRDefault="002C0FD9" w:rsidP="00CA25CF">
            <w:pPr>
              <w:rPr>
                <w:rFonts w:cs="Arial"/>
                <w:color w:val="FF0000"/>
                <w:sz w:val="21"/>
                <w:szCs w:val="21"/>
              </w:rPr>
            </w:pPr>
          </w:p>
        </w:tc>
        <w:tc>
          <w:tcPr>
            <w:tcW w:w="217" w:type="dxa"/>
          </w:tcPr>
          <w:p w14:paraId="0FE2D9B6" w14:textId="77777777" w:rsidR="002C0FD9" w:rsidRPr="00CA25CF" w:rsidRDefault="002C0FD9" w:rsidP="00CA25CF">
            <w:pPr>
              <w:rPr>
                <w:rFonts w:cs="Arial"/>
                <w:color w:val="FF0000"/>
                <w:sz w:val="21"/>
                <w:szCs w:val="21"/>
              </w:rPr>
            </w:pPr>
          </w:p>
        </w:tc>
        <w:tc>
          <w:tcPr>
            <w:tcW w:w="217" w:type="dxa"/>
          </w:tcPr>
          <w:p w14:paraId="0CC6DEC8" w14:textId="77777777" w:rsidR="002C0FD9" w:rsidRPr="00CA25CF" w:rsidRDefault="002C0FD9" w:rsidP="00CA25CF">
            <w:pPr>
              <w:rPr>
                <w:rFonts w:cs="Arial"/>
                <w:color w:val="FF0000"/>
                <w:sz w:val="21"/>
                <w:szCs w:val="21"/>
              </w:rPr>
            </w:pPr>
          </w:p>
        </w:tc>
        <w:tc>
          <w:tcPr>
            <w:tcW w:w="217" w:type="dxa"/>
          </w:tcPr>
          <w:p w14:paraId="445D52F5" w14:textId="77777777" w:rsidR="002C0FD9" w:rsidRPr="00CA25CF" w:rsidRDefault="002C0FD9" w:rsidP="00CA25CF">
            <w:pPr>
              <w:rPr>
                <w:rFonts w:cs="Arial"/>
                <w:color w:val="FF0000"/>
                <w:sz w:val="21"/>
                <w:szCs w:val="21"/>
              </w:rPr>
            </w:pPr>
          </w:p>
        </w:tc>
        <w:tc>
          <w:tcPr>
            <w:tcW w:w="217" w:type="dxa"/>
          </w:tcPr>
          <w:p w14:paraId="4B44529A" w14:textId="77777777" w:rsidR="002C0FD9" w:rsidRPr="00CA25CF" w:rsidRDefault="002C0FD9" w:rsidP="00CA25CF">
            <w:pPr>
              <w:rPr>
                <w:rFonts w:cs="Arial"/>
                <w:color w:val="FF0000"/>
                <w:sz w:val="21"/>
                <w:szCs w:val="21"/>
              </w:rPr>
            </w:pPr>
          </w:p>
        </w:tc>
        <w:tc>
          <w:tcPr>
            <w:tcW w:w="217" w:type="dxa"/>
          </w:tcPr>
          <w:p w14:paraId="1721B05F" w14:textId="77777777" w:rsidR="002C0FD9" w:rsidRPr="00CA25CF" w:rsidRDefault="002C0FD9" w:rsidP="00CA25CF">
            <w:pPr>
              <w:rPr>
                <w:rFonts w:cs="Arial"/>
                <w:color w:val="FF0000"/>
                <w:sz w:val="21"/>
                <w:szCs w:val="21"/>
              </w:rPr>
            </w:pPr>
          </w:p>
        </w:tc>
        <w:tc>
          <w:tcPr>
            <w:tcW w:w="217" w:type="dxa"/>
          </w:tcPr>
          <w:p w14:paraId="0277D880" w14:textId="77777777" w:rsidR="002C0FD9" w:rsidRPr="00CA25CF" w:rsidRDefault="002C0FD9" w:rsidP="00CA25CF">
            <w:pPr>
              <w:rPr>
                <w:rFonts w:cs="Arial"/>
                <w:color w:val="FF0000"/>
                <w:sz w:val="21"/>
                <w:szCs w:val="21"/>
              </w:rPr>
            </w:pPr>
          </w:p>
        </w:tc>
        <w:tc>
          <w:tcPr>
            <w:tcW w:w="217" w:type="dxa"/>
          </w:tcPr>
          <w:p w14:paraId="4AB94B84" w14:textId="77777777" w:rsidR="002C0FD9" w:rsidRPr="00CA25CF" w:rsidRDefault="002C0FD9" w:rsidP="00CA25CF">
            <w:pPr>
              <w:rPr>
                <w:rFonts w:cs="Arial"/>
                <w:color w:val="FF0000"/>
                <w:sz w:val="21"/>
                <w:szCs w:val="21"/>
              </w:rPr>
            </w:pPr>
          </w:p>
        </w:tc>
        <w:tc>
          <w:tcPr>
            <w:tcW w:w="217" w:type="dxa"/>
          </w:tcPr>
          <w:p w14:paraId="4192D674" w14:textId="77777777" w:rsidR="002C0FD9" w:rsidRPr="00CA25CF" w:rsidRDefault="002C0FD9" w:rsidP="00CA25CF">
            <w:pPr>
              <w:rPr>
                <w:rFonts w:cs="Arial"/>
                <w:color w:val="FF0000"/>
                <w:sz w:val="21"/>
                <w:szCs w:val="21"/>
              </w:rPr>
            </w:pPr>
          </w:p>
        </w:tc>
        <w:tc>
          <w:tcPr>
            <w:tcW w:w="217" w:type="dxa"/>
          </w:tcPr>
          <w:p w14:paraId="393A0645" w14:textId="77777777" w:rsidR="002C0FD9" w:rsidRPr="00CA25CF" w:rsidRDefault="002C0FD9" w:rsidP="00CA25CF">
            <w:pPr>
              <w:rPr>
                <w:rFonts w:cs="Arial"/>
                <w:color w:val="FF0000"/>
                <w:sz w:val="21"/>
                <w:szCs w:val="21"/>
              </w:rPr>
            </w:pPr>
          </w:p>
        </w:tc>
        <w:tc>
          <w:tcPr>
            <w:tcW w:w="217" w:type="dxa"/>
          </w:tcPr>
          <w:p w14:paraId="020F4EA6" w14:textId="77777777" w:rsidR="002C0FD9" w:rsidRPr="00CA25CF" w:rsidRDefault="002C0FD9" w:rsidP="00CA25CF">
            <w:pPr>
              <w:rPr>
                <w:rFonts w:cs="Arial"/>
                <w:color w:val="FF0000"/>
                <w:sz w:val="21"/>
                <w:szCs w:val="21"/>
              </w:rPr>
            </w:pPr>
          </w:p>
        </w:tc>
        <w:tc>
          <w:tcPr>
            <w:tcW w:w="217" w:type="dxa"/>
          </w:tcPr>
          <w:p w14:paraId="2048F805" w14:textId="77777777" w:rsidR="002C0FD9" w:rsidRPr="00CA25CF" w:rsidRDefault="002C0FD9" w:rsidP="00CA25CF">
            <w:pPr>
              <w:rPr>
                <w:rFonts w:cs="Arial"/>
                <w:color w:val="FF0000"/>
                <w:sz w:val="21"/>
                <w:szCs w:val="21"/>
              </w:rPr>
            </w:pPr>
          </w:p>
        </w:tc>
        <w:tc>
          <w:tcPr>
            <w:tcW w:w="217" w:type="dxa"/>
          </w:tcPr>
          <w:p w14:paraId="2A5F96C3" w14:textId="77777777" w:rsidR="002C0FD9" w:rsidRPr="00CA25CF" w:rsidRDefault="002C0FD9" w:rsidP="00CA25CF">
            <w:pPr>
              <w:rPr>
                <w:rFonts w:cs="Arial"/>
                <w:color w:val="FF0000"/>
                <w:sz w:val="21"/>
                <w:szCs w:val="21"/>
              </w:rPr>
            </w:pPr>
          </w:p>
        </w:tc>
        <w:tc>
          <w:tcPr>
            <w:tcW w:w="217" w:type="dxa"/>
          </w:tcPr>
          <w:p w14:paraId="30277123" w14:textId="77777777" w:rsidR="002C0FD9" w:rsidRPr="00CA25CF" w:rsidRDefault="002C0FD9" w:rsidP="00CA25CF">
            <w:pPr>
              <w:rPr>
                <w:rFonts w:cs="Arial"/>
                <w:color w:val="FF0000"/>
                <w:sz w:val="21"/>
                <w:szCs w:val="21"/>
              </w:rPr>
            </w:pPr>
          </w:p>
        </w:tc>
        <w:tc>
          <w:tcPr>
            <w:tcW w:w="217" w:type="dxa"/>
          </w:tcPr>
          <w:p w14:paraId="742C0B53" w14:textId="77777777" w:rsidR="002C0FD9" w:rsidRPr="00CA25CF" w:rsidRDefault="002C0FD9" w:rsidP="00CA25CF">
            <w:pPr>
              <w:rPr>
                <w:rFonts w:cs="Arial"/>
                <w:color w:val="FF0000"/>
                <w:sz w:val="21"/>
                <w:szCs w:val="21"/>
              </w:rPr>
            </w:pPr>
          </w:p>
        </w:tc>
        <w:tc>
          <w:tcPr>
            <w:tcW w:w="217" w:type="dxa"/>
          </w:tcPr>
          <w:p w14:paraId="58BB7785" w14:textId="77777777" w:rsidR="002C0FD9" w:rsidRPr="00CA25CF" w:rsidRDefault="002C0FD9" w:rsidP="00CA25CF">
            <w:pPr>
              <w:rPr>
                <w:rFonts w:cs="Arial"/>
                <w:color w:val="FF0000"/>
                <w:sz w:val="21"/>
                <w:szCs w:val="21"/>
              </w:rPr>
            </w:pPr>
          </w:p>
        </w:tc>
        <w:tc>
          <w:tcPr>
            <w:tcW w:w="217" w:type="dxa"/>
          </w:tcPr>
          <w:p w14:paraId="2AE519A3" w14:textId="77777777" w:rsidR="002C0FD9" w:rsidRPr="00CA25CF" w:rsidRDefault="002C0FD9" w:rsidP="00CA25CF">
            <w:pPr>
              <w:rPr>
                <w:rFonts w:cs="Arial"/>
                <w:color w:val="FF0000"/>
                <w:sz w:val="21"/>
                <w:szCs w:val="21"/>
              </w:rPr>
            </w:pPr>
          </w:p>
        </w:tc>
        <w:tc>
          <w:tcPr>
            <w:tcW w:w="217" w:type="dxa"/>
          </w:tcPr>
          <w:p w14:paraId="32154068" w14:textId="77777777" w:rsidR="002C0FD9" w:rsidRPr="00CA25CF" w:rsidRDefault="002C0FD9" w:rsidP="00CA25CF">
            <w:pPr>
              <w:rPr>
                <w:rFonts w:cs="Arial"/>
                <w:color w:val="FF0000"/>
                <w:sz w:val="21"/>
                <w:szCs w:val="21"/>
              </w:rPr>
            </w:pPr>
          </w:p>
        </w:tc>
        <w:tc>
          <w:tcPr>
            <w:tcW w:w="217" w:type="dxa"/>
          </w:tcPr>
          <w:p w14:paraId="7454A67A" w14:textId="77777777" w:rsidR="002C0FD9" w:rsidRPr="00CA25CF" w:rsidRDefault="002C0FD9" w:rsidP="00CA25CF">
            <w:pPr>
              <w:rPr>
                <w:rFonts w:cs="Arial"/>
                <w:color w:val="FF0000"/>
                <w:sz w:val="21"/>
                <w:szCs w:val="21"/>
              </w:rPr>
            </w:pPr>
          </w:p>
        </w:tc>
        <w:tc>
          <w:tcPr>
            <w:tcW w:w="217" w:type="dxa"/>
          </w:tcPr>
          <w:p w14:paraId="6E838835" w14:textId="77777777" w:rsidR="002C0FD9" w:rsidRPr="00CA25CF" w:rsidRDefault="002C0FD9" w:rsidP="00CA25CF">
            <w:pPr>
              <w:rPr>
                <w:rFonts w:cs="Arial"/>
                <w:color w:val="FF0000"/>
                <w:sz w:val="21"/>
                <w:szCs w:val="21"/>
              </w:rPr>
            </w:pPr>
          </w:p>
        </w:tc>
        <w:tc>
          <w:tcPr>
            <w:tcW w:w="217" w:type="dxa"/>
          </w:tcPr>
          <w:p w14:paraId="470D5D0D" w14:textId="77777777" w:rsidR="002C0FD9" w:rsidRPr="00CA25CF" w:rsidRDefault="002C0FD9" w:rsidP="00CA25CF">
            <w:pPr>
              <w:rPr>
                <w:rFonts w:cs="Arial"/>
                <w:color w:val="FF0000"/>
                <w:sz w:val="21"/>
                <w:szCs w:val="21"/>
              </w:rPr>
            </w:pPr>
          </w:p>
        </w:tc>
        <w:tc>
          <w:tcPr>
            <w:tcW w:w="217" w:type="dxa"/>
          </w:tcPr>
          <w:p w14:paraId="66B7A90A" w14:textId="77777777" w:rsidR="002C0FD9" w:rsidRPr="00CA25CF" w:rsidRDefault="002C0FD9" w:rsidP="00CA25CF">
            <w:pPr>
              <w:rPr>
                <w:rFonts w:cs="Arial"/>
                <w:color w:val="FF0000"/>
                <w:sz w:val="21"/>
                <w:szCs w:val="21"/>
              </w:rPr>
            </w:pPr>
          </w:p>
        </w:tc>
        <w:tc>
          <w:tcPr>
            <w:tcW w:w="217" w:type="dxa"/>
          </w:tcPr>
          <w:p w14:paraId="2EDCE55C" w14:textId="77777777" w:rsidR="002C0FD9" w:rsidRPr="00CA25CF" w:rsidRDefault="002C0FD9" w:rsidP="00CA25CF">
            <w:pPr>
              <w:rPr>
                <w:rFonts w:cs="Arial"/>
                <w:color w:val="FF0000"/>
                <w:sz w:val="21"/>
                <w:szCs w:val="21"/>
              </w:rPr>
            </w:pPr>
          </w:p>
        </w:tc>
        <w:tc>
          <w:tcPr>
            <w:tcW w:w="217" w:type="dxa"/>
          </w:tcPr>
          <w:p w14:paraId="6B57D682" w14:textId="77777777" w:rsidR="002C0FD9" w:rsidRPr="00CA25CF" w:rsidRDefault="002C0FD9" w:rsidP="00CA25CF">
            <w:pPr>
              <w:rPr>
                <w:rFonts w:cs="Arial"/>
                <w:color w:val="FF0000"/>
                <w:sz w:val="21"/>
                <w:szCs w:val="21"/>
              </w:rPr>
            </w:pPr>
          </w:p>
        </w:tc>
        <w:tc>
          <w:tcPr>
            <w:tcW w:w="217" w:type="dxa"/>
          </w:tcPr>
          <w:p w14:paraId="23CD1C22" w14:textId="77777777" w:rsidR="002C0FD9" w:rsidRPr="00CA25CF" w:rsidRDefault="002C0FD9" w:rsidP="00CA25CF">
            <w:pPr>
              <w:rPr>
                <w:rFonts w:cs="Arial"/>
                <w:color w:val="FF0000"/>
                <w:sz w:val="21"/>
                <w:szCs w:val="21"/>
              </w:rPr>
            </w:pPr>
          </w:p>
        </w:tc>
        <w:tc>
          <w:tcPr>
            <w:tcW w:w="217" w:type="dxa"/>
          </w:tcPr>
          <w:p w14:paraId="0EBD1534" w14:textId="77777777" w:rsidR="002C0FD9" w:rsidRPr="00CA25CF" w:rsidRDefault="002C0FD9" w:rsidP="00CA25CF">
            <w:pPr>
              <w:rPr>
                <w:rFonts w:cs="Arial"/>
                <w:color w:val="FF0000"/>
                <w:sz w:val="21"/>
                <w:szCs w:val="21"/>
              </w:rPr>
            </w:pPr>
          </w:p>
        </w:tc>
        <w:tc>
          <w:tcPr>
            <w:tcW w:w="217" w:type="dxa"/>
          </w:tcPr>
          <w:p w14:paraId="06E31EFF" w14:textId="77777777" w:rsidR="002C0FD9" w:rsidRPr="00CA25CF" w:rsidRDefault="002C0FD9" w:rsidP="00CA25CF">
            <w:pPr>
              <w:rPr>
                <w:rFonts w:cs="Arial"/>
                <w:color w:val="FF0000"/>
                <w:sz w:val="21"/>
                <w:szCs w:val="21"/>
              </w:rPr>
            </w:pPr>
          </w:p>
        </w:tc>
        <w:tc>
          <w:tcPr>
            <w:tcW w:w="217" w:type="dxa"/>
          </w:tcPr>
          <w:p w14:paraId="5228CB77" w14:textId="77777777" w:rsidR="002C0FD9" w:rsidRPr="00CA25CF" w:rsidRDefault="002C0FD9" w:rsidP="00CA25CF">
            <w:pPr>
              <w:rPr>
                <w:rFonts w:cs="Arial"/>
                <w:color w:val="FF0000"/>
                <w:sz w:val="21"/>
                <w:szCs w:val="21"/>
              </w:rPr>
            </w:pPr>
          </w:p>
        </w:tc>
        <w:tc>
          <w:tcPr>
            <w:tcW w:w="217" w:type="dxa"/>
          </w:tcPr>
          <w:p w14:paraId="0212823B" w14:textId="77777777" w:rsidR="002C0FD9" w:rsidRPr="00CA25CF" w:rsidRDefault="002C0FD9" w:rsidP="00CA25CF">
            <w:pPr>
              <w:rPr>
                <w:rFonts w:cs="Arial"/>
                <w:color w:val="FF0000"/>
                <w:sz w:val="21"/>
                <w:szCs w:val="21"/>
              </w:rPr>
            </w:pPr>
          </w:p>
        </w:tc>
        <w:tc>
          <w:tcPr>
            <w:tcW w:w="217" w:type="dxa"/>
          </w:tcPr>
          <w:p w14:paraId="1B1AB76D" w14:textId="77777777" w:rsidR="002C0FD9" w:rsidRPr="00CA25CF" w:rsidRDefault="002C0FD9" w:rsidP="00CA25CF">
            <w:pPr>
              <w:rPr>
                <w:rFonts w:cs="Arial"/>
                <w:color w:val="FF0000"/>
                <w:sz w:val="21"/>
                <w:szCs w:val="21"/>
              </w:rPr>
            </w:pPr>
          </w:p>
        </w:tc>
        <w:tc>
          <w:tcPr>
            <w:tcW w:w="217" w:type="dxa"/>
          </w:tcPr>
          <w:p w14:paraId="6AFB8798" w14:textId="77777777" w:rsidR="002C0FD9" w:rsidRPr="00CA25CF" w:rsidRDefault="002C0FD9" w:rsidP="00CA25CF">
            <w:pPr>
              <w:rPr>
                <w:rFonts w:cs="Arial"/>
                <w:color w:val="FF0000"/>
                <w:sz w:val="21"/>
                <w:szCs w:val="21"/>
              </w:rPr>
            </w:pPr>
          </w:p>
        </w:tc>
        <w:tc>
          <w:tcPr>
            <w:tcW w:w="217" w:type="dxa"/>
          </w:tcPr>
          <w:p w14:paraId="4E8DCF80" w14:textId="77777777" w:rsidR="002C0FD9" w:rsidRPr="00CA25CF" w:rsidRDefault="002C0FD9" w:rsidP="00CA25CF">
            <w:pPr>
              <w:rPr>
                <w:rFonts w:cs="Arial"/>
                <w:color w:val="FF0000"/>
                <w:sz w:val="21"/>
                <w:szCs w:val="21"/>
              </w:rPr>
            </w:pPr>
          </w:p>
        </w:tc>
        <w:tc>
          <w:tcPr>
            <w:tcW w:w="217" w:type="dxa"/>
          </w:tcPr>
          <w:p w14:paraId="315E2FF3" w14:textId="77777777" w:rsidR="002C0FD9" w:rsidRPr="00CA25CF" w:rsidRDefault="002C0FD9" w:rsidP="00CA25CF">
            <w:pPr>
              <w:rPr>
                <w:rFonts w:cs="Arial"/>
                <w:color w:val="FF0000"/>
                <w:sz w:val="21"/>
                <w:szCs w:val="21"/>
              </w:rPr>
            </w:pPr>
          </w:p>
        </w:tc>
        <w:tc>
          <w:tcPr>
            <w:tcW w:w="217" w:type="dxa"/>
          </w:tcPr>
          <w:p w14:paraId="05625DF0" w14:textId="77777777" w:rsidR="002C0FD9" w:rsidRPr="00CA25CF" w:rsidRDefault="002C0FD9" w:rsidP="00CA25CF">
            <w:pPr>
              <w:rPr>
                <w:rFonts w:cs="Arial"/>
                <w:color w:val="FF0000"/>
                <w:sz w:val="21"/>
                <w:szCs w:val="21"/>
              </w:rPr>
            </w:pPr>
          </w:p>
        </w:tc>
        <w:tc>
          <w:tcPr>
            <w:tcW w:w="217" w:type="dxa"/>
          </w:tcPr>
          <w:p w14:paraId="29BA7FCE" w14:textId="77777777" w:rsidR="002C0FD9" w:rsidRPr="00CA25CF" w:rsidRDefault="002C0FD9" w:rsidP="00CA25CF">
            <w:pPr>
              <w:rPr>
                <w:rFonts w:cs="Arial"/>
                <w:color w:val="FF0000"/>
                <w:sz w:val="21"/>
                <w:szCs w:val="21"/>
              </w:rPr>
            </w:pPr>
          </w:p>
        </w:tc>
        <w:tc>
          <w:tcPr>
            <w:tcW w:w="217" w:type="dxa"/>
          </w:tcPr>
          <w:p w14:paraId="72C5BD7A" w14:textId="77777777" w:rsidR="002C0FD9" w:rsidRPr="00CA25CF" w:rsidRDefault="002C0FD9" w:rsidP="00CA25CF">
            <w:pPr>
              <w:rPr>
                <w:rFonts w:cs="Arial"/>
                <w:color w:val="FF0000"/>
                <w:sz w:val="21"/>
                <w:szCs w:val="21"/>
              </w:rPr>
            </w:pPr>
          </w:p>
        </w:tc>
        <w:tc>
          <w:tcPr>
            <w:tcW w:w="217" w:type="dxa"/>
          </w:tcPr>
          <w:p w14:paraId="2702E1A4" w14:textId="77777777" w:rsidR="002C0FD9" w:rsidRPr="00CA25CF" w:rsidRDefault="002C0FD9" w:rsidP="00CA25CF">
            <w:pPr>
              <w:rPr>
                <w:rFonts w:cs="Arial"/>
                <w:color w:val="FF0000"/>
                <w:sz w:val="21"/>
                <w:szCs w:val="21"/>
              </w:rPr>
            </w:pPr>
          </w:p>
        </w:tc>
        <w:tc>
          <w:tcPr>
            <w:tcW w:w="217" w:type="dxa"/>
          </w:tcPr>
          <w:p w14:paraId="34970ED8" w14:textId="77777777" w:rsidR="002C0FD9" w:rsidRPr="00CA25CF" w:rsidRDefault="002C0FD9" w:rsidP="00CA25CF">
            <w:pPr>
              <w:rPr>
                <w:rFonts w:cs="Arial"/>
                <w:color w:val="FF0000"/>
                <w:sz w:val="21"/>
                <w:szCs w:val="21"/>
              </w:rPr>
            </w:pPr>
          </w:p>
        </w:tc>
        <w:tc>
          <w:tcPr>
            <w:tcW w:w="217" w:type="dxa"/>
          </w:tcPr>
          <w:p w14:paraId="22214C23" w14:textId="77777777" w:rsidR="002C0FD9" w:rsidRPr="00CA25CF" w:rsidRDefault="002C0FD9" w:rsidP="00CA25CF">
            <w:pPr>
              <w:rPr>
                <w:rFonts w:cs="Arial"/>
                <w:color w:val="FF0000"/>
                <w:sz w:val="21"/>
                <w:szCs w:val="21"/>
              </w:rPr>
            </w:pPr>
          </w:p>
        </w:tc>
      </w:tr>
      <w:tr w:rsidR="002C0FD9" w:rsidRPr="00A16219" w14:paraId="45CCF877" w14:textId="77777777" w:rsidTr="002C0FD9">
        <w:trPr>
          <w:trHeight w:val="635"/>
        </w:trPr>
        <w:tc>
          <w:tcPr>
            <w:tcW w:w="515" w:type="dxa"/>
          </w:tcPr>
          <w:p w14:paraId="32C25D13" w14:textId="77777777" w:rsidR="002C0FD9" w:rsidRPr="00CA25CF" w:rsidRDefault="002C0FD9" w:rsidP="00CA25CF">
            <w:pPr>
              <w:rPr>
                <w:rFonts w:cs="Arial"/>
                <w:color w:val="FF0000"/>
                <w:sz w:val="21"/>
                <w:szCs w:val="21"/>
              </w:rPr>
            </w:pPr>
          </w:p>
        </w:tc>
        <w:tc>
          <w:tcPr>
            <w:tcW w:w="217" w:type="dxa"/>
          </w:tcPr>
          <w:p w14:paraId="65796543" w14:textId="77777777" w:rsidR="002C0FD9" w:rsidRPr="00CA25CF" w:rsidRDefault="002C0FD9" w:rsidP="00CA25CF">
            <w:pPr>
              <w:rPr>
                <w:rFonts w:cs="Arial"/>
                <w:color w:val="FF0000"/>
                <w:sz w:val="21"/>
                <w:szCs w:val="21"/>
              </w:rPr>
            </w:pPr>
          </w:p>
        </w:tc>
        <w:tc>
          <w:tcPr>
            <w:tcW w:w="217" w:type="dxa"/>
          </w:tcPr>
          <w:p w14:paraId="7D2EA07D" w14:textId="77777777" w:rsidR="002C0FD9" w:rsidRPr="00CA25CF" w:rsidRDefault="002C0FD9" w:rsidP="00CA25CF">
            <w:pPr>
              <w:rPr>
                <w:rFonts w:cs="Arial"/>
                <w:color w:val="FF0000"/>
                <w:sz w:val="21"/>
                <w:szCs w:val="21"/>
              </w:rPr>
            </w:pPr>
          </w:p>
        </w:tc>
        <w:tc>
          <w:tcPr>
            <w:tcW w:w="217" w:type="dxa"/>
          </w:tcPr>
          <w:p w14:paraId="00CFE3DC" w14:textId="77777777" w:rsidR="002C0FD9" w:rsidRPr="00CA25CF" w:rsidRDefault="002C0FD9" w:rsidP="00CA25CF">
            <w:pPr>
              <w:rPr>
                <w:rFonts w:cs="Arial"/>
                <w:color w:val="FF0000"/>
                <w:sz w:val="21"/>
                <w:szCs w:val="21"/>
              </w:rPr>
            </w:pPr>
          </w:p>
        </w:tc>
        <w:tc>
          <w:tcPr>
            <w:tcW w:w="217" w:type="dxa"/>
          </w:tcPr>
          <w:p w14:paraId="4265198E" w14:textId="77777777" w:rsidR="002C0FD9" w:rsidRPr="00CA25CF" w:rsidRDefault="002C0FD9" w:rsidP="00CA25CF">
            <w:pPr>
              <w:rPr>
                <w:rFonts w:cs="Arial"/>
                <w:color w:val="FF0000"/>
                <w:sz w:val="21"/>
                <w:szCs w:val="21"/>
              </w:rPr>
            </w:pPr>
          </w:p>
        </w:tc>
        <w:tc>
          <w:tcPr>
            <w:tcW w:w="217" w:type="dxa"/>
          </w:tcPr>
          <w:p w14:paraId="3B9243FD" w14:textId="77777777" w:rsidR="002C0FD9" w:rsidRPr="00CA25CF" w:rsidRDefault="002C0FD9" w:rsidP="00CA25CF">
            <w:pPr>
              <w:rPr>
                <w:rFonts w:cs="Arial"/>
                <w:color w:val="FF0000"/>
                <w:sz w:val="21"/>
                <w:szCs w:val="21"/>
              </w:rPr>
            </w:pPr>
          </w:p>
        </w:tc>
        <w:tc>
          <w:tcPr>
            <w:tcW w:w="217" w:type="dxa"/>
          </w:tcPr>
          <w:p w14:paraId="75471953" w14:textId="77777777" w:rsidR="002C0FD9" w:rsidRPr="00CA25CF" w:rsidRDefault="002C0FD9" w:rsidP="00CA25CF">
            <w:pPr>
              <w:rPr>
                <w:rFonts w:cs="Arial"/>
                <w:color w:val="FF0000"/>
                <w:sz w:val="21"/>
                <w:szCs w:val="21"/>
              </w:rPr>
            </w:pPr>
          </w:p>
        </w:tc>
        <w:tc>
          <w:tcPr>
            <w:tcW w:w="217" w:type="dxa"/>
          </w:tcPr>
          <w:p w14:paraId="43A36BE1" w14:textId="77777777" w:rsidR="002C0FD9" w:rsidRPr="00CA25CF" w:rsidRDefault="002C0FD9" w:rsidP="00CA25CF">
            <w:pPr>
              <w:rPr>
                <w:rFonts w:cs="Arial"/>
                <w:color w:val="FF0000"/>
                <w:sz w:val="21"/>
                <w:szCs w:val="21"/>
              </w:rPr>
            </w:pPr>
          </w:p>
        </w:tc>
        <w:tc>
          <w:tcPr>
            <w:tcW w:w="217" w:type="dxa"/>
          </w:tcPr>
          <w:p w14:paraId="6F6E71C6" w14:textId="77777777" w:rsidR="002C0FD9" w:rsidRPr="00CA25CF" w:rsidRDefault="002C0FD9" w:rsidP="00CA25CF">
            <w:pPr>
              <w:rPr>
                <w:rFonts w:cs="Arial"/>
                <w:color w:val="FF0000"/>
                <w:sz w:val="21"/>
                <w:szCs w:val="21"/>
              </w:rPr>
            </w:pPr>
          </w:p>
        </w:tc>
        <w:tc>
          <w:tcPr>
            <w:tcW w:w="217" w:type="dxa"/>
          </w:tcPr>
          <w:p w14:paraId="7B0FAD5D" w14:textId="77777777" w:rsidR="002C0FD9" w:rsidRPr="00CA25CF" w:rsidRDefault="002C0FD9" w:rsidP="00CA25CF">
            <w:pPr>
              <w:rPr>
                <w:rFonts w:cs="Arial"/>
                <w:color w:val="FF0000"/>
                <w:sz w:val="21"/>
                <w:szCs w:val="21"/>
              </w:rPr>
            </w:pPr>
          </w:p>
        </w:tc>
        <w:tc>
          <w:tcPr>
            <w:tcW w:w="217" w:type="dxa"/>
          </w:tcPr>
          <w:p w14:paraId="237AD354" w14:textId="77777777" w:rsidR="002C0FD9" w:rsidRPr="00CA25CF" w:rsidRDefault="002C0FD9" w:rsidP="00CA25CF">
            <w:pPr>
              <w:rPr>
                <w:rFonts w:cs="Arial"/>
                <w:color w:val="FF0000"/>
                <w:sz w:val="21"/>
                <w:szCs w:val="21"/>
              </w:rPr>
            </w:pPr>
          </w:p>
        </w:tc>
        <w:tc>
          <w:tcPr>
            <w:tcW w:w="217" w:type="dxa"/>
          </w:tcPr>
          <w:p w14:paraId="3A0A11D0" w14:textId="77777777" w:rsidR="002C0FD9" w:rsidRPr="00CA25CF" w:rsidRDefault="002C0FD9" w:rsidP="00CA25CF">
            <w:pPr>
              <w:rPr>
                <w:rFonts w:cs="Arial"/>
                <w:color w:val="FF0000"/>
                <w:sz w:val="21"/>
                <w:szCs w:val="21"/>
              </w:rPr>
            </w:pPr>
          </w:p>
        </w:tc>
        <w:tc>
          <w:tcPr>
            <w:tcW w:w="217" w:type="dxa"/>
          </w:tcPr>
          <w:p w14:paraId="2F5A194D" w14:textId="77777777" w:rsidR="002C0FD9" w:rsidRPr="00CA25CF" w:rsidRDefault="002C0FD9" w:rsidP="00CA25CF">
            <w:pPr>
              <w:rPr>
                <w:rFonts w:cs="Arial"/>
                <w:color w:val="FF0000"/>
                <w:sz w:val="21"/>
                <w:szCs w:val="21"/>
              </w:rPr>
            </w:pPr>
          </w:p>
        </w:tc>
        <w:tc>
          <w:tcPr>
            <w:tcW w:w="217" w:type="dxa"/>
          </w:tcPr>
          <w:p w14:paraId="2E89766A" w14:textId="77777777" w:rsidR="002C0FD9" w:rsidRPr="00CA25CF" w:rsidRDefault="002C0FD9" w:rsidP="00CA25CF">
            <w:pPr>
              <w:rPr>
                <w:rFonts w:cs="Arial"/>
                <w:color w:val="FF0000"/>
                <w:sz w:val="21"/>
                <w:szCs w:val="21"/>
              </w:rPr>
            </w:pPr>
          </w:p>
        </w:tc>
        <w:tc>
          <w:tcPr>
            <w:tcW w:w="217" w:type="dxa"/>
          </w:tcPr>
          <w:p w14:paraId="6A90995F" w14:textId="77777777" w:rsidR="002C0FD9" w:rsidRPr="00CA25CF" w:rsidRDefault="002C0FD9" w:rsidP="00CA25CF">
            <w:pPr>
              <w:rPr>
                <w:rFonts w:cs="Arial"/>
                <w:color w:val="FF0000"/>
                <w:sz w:val="21"/>
                <w:szCs w:val="21"/>
              </w:rPr>
            </w:pPr>
          </w:p>
        </w:tc>
        <w:tc>
          <w:tcPr>
            <w:tcW w:w="217" w:type="dxa"/>
          </w:tcPr>
          <w:p w14:paraId="4858BBAF" w14:textId="77777777" w:rsidR="002C0FD9" w:rsidRPr="00CA25CF" w:rsidRDefault="002C0FD9" w:rsidP="00CA25CF">
            <w:pPr>
              <w:rPr>
                <w:rFonts w:cs="Arial"/>
                <w:color w:val="FF0000"/>
                <w:sz w:val="21"/>
                <w:szCs w:val="21"/>
              </w:rPr>
            </w:pPr>
          </w:p>
        </w:tc>
        <w:tc>
          <w:tcPr>
            <w:tcW w:w="217" w:type="dxa"/>
          </w:tcPr>
          <w:p w14:paraId="0F25112D" w14:textId="77777777" w:rsidR="002C0FD9" w:rsidRPr="00CA25CF" w:rsidRDefault="002C0FD9" w:rsidP="00CA25CF">
            <w:pPr>
              <w:rPr>
                <w:rFonts w:cs="Arial"/>
                <w:color w:val="FF0000"/>
                <w:sz w:val="21"/>
                <w:szCs w:val="21"/>
              </w:rPr>
            </w:pPr>
          </w:p>
        </w:tc>
        <w:tc>
          <w:tcPr>
            <w:tcW w:w="217" w:type="dxa"/>
          </w:tcPr>
          <w:p w14:paraId="1C10B4B4" w14:textId="77777777" w:rsidR="002C0FD9" w:rsidRPr="00CA25CF" w:rsidRDefault="002C0FD9" w:rsidP="00CA25CF">
            <w:pPr>
              <w:rPr>
                <w:rFonts w:cs="Arial"/>
                <w:color w:val="FF0000"/>
                <w:sz w:val="21"/>
                <w:szCs w:val="21"/>
              </w:rPr>
            </w:pPr>
          </w:p>
        </w:tc>
        <w:tc>
          <w:tcPr>
            <w:tcW w:w="217" w:type="dxa"/>
          </w:tcPr>
          <w:p w14:paraId="47F13090" w14:textId="77777777" w:rsidR="002C0FD9" w:rsidRPr="00CA25CF" w:rsidRDefault="002C0FD9" w:rsidP="00CA25CF">
            <w:pPr>
              <w:rPr>
                <w:rFonts w:cs="Arial"/>
                <w:color w:val="FF0000"/>
                <w:sz w:val="21"/>
                <w:szCs w:val="21"/>
              </w:rPr>
            </w:pPr>
          </w:p>
        </w:tc>
        <w:tc>
          <w:tcPr>
            <w:tcW w:w="217" w:type="dxa"/>
          </w:tcPr>
          <w:p w14:paraId="0AE0CF9E" w14:textId="77777777" w:rsidR="002C0FD9" w:rsidRPr="00CA25CF" w:rsidRDefault="002C0FD9" w:rsidP="00CA25CF">
            <w:pPr>
              <w:rPr>
                <w:rFonts w:cs="Arial"/>
                <w:color w:val="FF0000"/>
                <w:sz w:val="21"/>
                <w:szCs w:val="21"/>
              </w:rPr>
            </w:pPr>
          </w:p>
        </w:tc>
        <w:tc>
          <w:tcPr>
            <w:tcW w:w="217" w:type="dxa"/>
          </w:tcPr>
          <w:p w14:paraId="6D89A8ED" w14:textId="77777777" w:rsidR="002C0FD9" w:rsidRPr="00CA25CF" w:rsidRDefault="002C0FD9" w:rsidP="00CA25CF">
            <w:pPr>
              <w:rPr>
                <w:rFonts w:cs="Arial"/>
                <w:color w:val="FF0000"/>
                <w:sz w:val="21"/>
                <w:szCs w:val="21"/>
              </w:rPr>
            </w:pPr>
          </w:p>
        </w:tc>
        <w:tc>
          <w:tcPr>
            <w:tcW w:w="217" w:type="dxa"/>
          </w:tcPr>
          <w:p w14:paraId="552285B5" w14:textId="77777777" w:rsidR="002C0FD9" w:rsidRPr="00CA25CF" w:rsidRDefault="002C0FD9" w:rsidP="00CA25CF">
            <w:pPr>
              <w:rPr>
                <w:rFonts w:cs="Arial"/>
                <w:color w:val="FF0000"/>
                <w:sz w:val="21"/>
                <w:szCs w:val="21"/>
              </w:rPr>
            </w:pPr>
          </w:p>
        </w:tc>
        <w:tc>
          <w:tcPr>
            <w:tcW w:w="217" w:type="dxa"/>
          </w:tcPr>
          <w:p w14:paraId="2870431A" w14:textId="77777777" w:rsidR="002C0FD9" w:rsidRPr="00CA25CF" w:rsidRDefault="002C0FD9" w:rsidP="00CA25CF">
            <w:pPr>
              <w:rPr>
                <w:rFonts w:cs="Arial"/>
                <w:color w:val="FF0000"/>
                <w:sz w:val="21"/>
                <w:szCs w:val="21"/>
              </w:rPr>
            </w:pPr>
          </w:p>
        </w:tc>
        <w:tc>
          <w:tcPr>
            <w:tcW w:w="217" w:type="dxa"/>
          </w:tcPr>
          <w:p w14:paraId="75CB07D2" w14:textId="77777777" w:rsidR="002C0FD9" w:rsidRPr="00CA25CF" w:rsidRDefault="002C0FD9" w:rsidP="00CA25CF">
            <w:pPr>
              <w:rPr>
                <w:rFonts w:cs="Arial"/>
                <w:color w:val="FF0000"/>
                <w:sz w:val="21"/>
                <w:szCs w:val="21"/>
              </w:rPr>
            </w:pPr>
          </w:p>
        </w:tc>
        <w:tc>
          <w:tcPr>
            <w:tcW w:w="217" w:type="dxa"/>
          </w:tcPr>
          <w:p w14:paraId="08F7F928" w14:textId="77777777" w:rsidR="002C0FD9" w:rsidRPr="00CA25CF" w:rsidRDefault="002C0FD9" w:rsidP="00CA25CF">
            <w:pPr>
              <w:rPr>
                <w:rFonts w:cs="Arial"/>
                <w:color w:val="FF0000"/>
                <w:sz w:val="21"/>
                <w:szCs w:val="21"/>
              </w:rPr>
            </w:pPr>
          </w:p>
        </w:tc>
        <w:tc>
          <w:tcPr>
            <w:tcW w:w="217" w:type="dxa"/>
          </w:tcPr>
          <w:p w14:paraId="2C1E1C5E" w14:textId="77777777" w:rsidR="002C0FD9" w:rsidRPr="00CA25CF" w:rsidRDefault="002C0FD9" w:rsidP="00CA25CF">
            <w:pPr>
              <w:rPr>
                <w:rFonts w:cs="Arial"/>
                <w:color w:val="FF0000"/>
                <w:sz w:val="21"/>
                <w:szCs w:val="21"/>
              </w:rPr>
            </w:pPr>
          </w:p>
        </w:tc>
        <w:tc>
          <w:tcPr>
            <w:tcW w:w="217" w:type="dxa"/>
          </w:tcPr>
          <w:p w14:paraId="1A331BC4" w14:textId="77777777" w:rsidR="002C0FD9" w:rsidRPr="00CA25CF" w:rsidRDefault="002C0FD9" w:rsidP="00CA25CF">
            <w:pPr>
              <w:rPr>
                <w:rFonts w:cs="Arial"/>
                <w:color w:val="FF0000"/>
                <w:sz w:val="21"/>
                <w:szCs w:val="21"/>
              </w:rPr>
            </w:pPr>
          </w:p>
        </w:tc>
        <w:tc>
          <w:tcPr>
            <w:tcW w:w="217" w:type="dxa"/>
          </w:tcPr>
          <w:p w14:paraId="35BCEAF9" w14:textId="77777777" w:rsidR="002C0FD9" w:rsidRPr="00CA25CF" w:rsidRDefault="002C0FD9" w:rsidP="00CA25CF">
            <w:pPr>
              <w:rPr>
                <w:rFonts w:cs="Arial"/>
                <w:color w:val="FF0000"/>
                <w:sz w:val="21"/>
                <w:szCs w:val="21"/>
              </w:rPr>
            </w:pPr>
          </w:p>
        </w:tc>
        <w:tc>
          <w:tcPr>
            <w:tcW w:w="217" w:type="dxa"/>
          </w:tcPr>
          <w:p w14:paraId="2B8F11D9" w14:textId="77777777" w:rsidR="002C0FD9" w:rsidRPr="00CA25CF" w:rsidRDefault="002C0FD9" w:rsidP="00CA25CF">
            <w:pPr>
              <w:rPr>
                <w:rFonts w:cs="Arial"/>
                <w:color w:val="FF0000"/>
                <w:sz w:val="21"/>
                <w:szCs w:val="21"/>
              </w:rPr>
            </w:pPr>
          </w:p>
        </w:tc>
        <w:tc>
          <w:tcPr>
            <w:tcW w:w="217" w:type="dxa"/>
          </w:tcPr>
          <w:p w14:paraId="2AAC7EEF" w14:textId="77777777" w:rsidR="002C0FD9" w:rsidRPr="00CA25CF" w:rsidRDefault="002C0FD9" w:rsidP="00CA25CF">
            <w:pPr>
              <w:rPr>
                <w:rFonts w:cs="Arial"/>
                <w:color w:val="FF0000"/>
                <w:sz w:val="21"/>
                <w:szCs w:val="21"/>
              </w:rPr>
            </w:pPr>
          </w:p>
        </w:tc>
        <w:tc>
          <w:tcPr>
            <w:tcW w:w="217" w:type="dxa"/>
          </w:tcPr>
          <w:p w14:paraId="368E6D24" w14:textId="77777777" w:rsidR="002C0FD9" w:rsidRPr="00CA25CF" w:rsidRDefault="002C0FD9" w:rsidP="00CA25CF">
            <w:pPr>
              <w:rPr>
                <w:rFonts w:cs="Arial"/>
                <w:color w:val="FF0000"/>
                <w:sz w:val="21"/>
                <w:szCs w:val="21"/>
              </w:rPr>
            </w:pPr>
          </w:p>
        </w:tc>
        <w:tc>
          <w:tcPr>
            <w:tcW w:w="217" w:type="dxa"/>
          </w:tcPr>
          <w:p w14:paraId="10FDE183" w14:textId="77777777" w:rsidR="002C0FD9" w:rsidRPr="00CA25CF" w:rsidRDefault="002C0FD9" w:rsidP="00CA25CF">
            <w:pPr>
              <w:rPr>
                <w:rFonts w:cs="Arial"/>
                <w:color w:val="FF0000"/>
                <w:sz w:val="21"/>
                <w:szCs w:val="21"/>
              </w:rPr>
            </w:pPr>
          </w:p>
        </w:tc>
        <w:tc>
          <w:tcPr>
            <w:tcW w:w="217" w:type="dxa"/>
          </w:tcPr>
          <w:p w14:paraId="76C1137C" w14:textId="77777777" w:rsidR="002C0FD9" w:rsidRPr="00CA25CF" w:rsidRDefault="002C0FD9" w:rsidP="00CA25CF">
            <w:pPr>
              <w:rPr>
                <w:rFonts w:cs="Arial"/>
                <w:color w:val="FF0000"/>
                <w:sz w:val="21"/>
                <w:szCs w:val="21"/>
              </w:rPr>
            </w:pPr>
          </w:p>
        </w:tc>
        <w:tc>
          <w:tcPr>
            <w:tcW w:w="217" w:type="dxa"/>
          </w:tcPr>
          <w:p w14:paraId="68158563" w14:textId="77777777" w:rsidR="002C0FD9" w:rsidRPr="00CA25CF" w:rsidRDefault="002C0FD9" w:rsidP="00CA25CF">
            <w:pPr>
              <w:rPr>
                <w:rFonts w:cs="Arial"/>
                <w:color w:val="FF0000"/>
                <w:sz w:val="21"/>
                <w:szCs w:val="21"/>
              </w:rPr>
            </w:pPr>
          </w:p>
        </w:tc>
        <w:tc>
          <w:tcPr>
            <w:tcW w:w="217" w:type="dxa"/>
          </w:tcPr>
          <w:p w14:paraId="1CAB2539" w14:textId="77777777" w:rsidR="002C0FD9" w:rsidRPr="00CA25CF" w:rsidRDefault="002C0FD9" w:rsidP="00CA25CF">
            <w:pPr>
              <w:rPr>
                <w:rFonts w:cs="Arial"/>
                <w:color w:val="FF0000"/>
                <w:sz w:val="21"/>
                <w:szCs w:val="21"/>
              </w:rPr>
            </w:pPr>
          </w:p>
        </w:tc>
        <w:tc>
          <w:tcPr>
            <w:tcW w:w="217" w:type="dxa"/>
          </w:tcPr>
          <w:p w14:paraId="6CBFB1A7" w14:textId="77777777" w:rsidR="002C0FD9" w:rsidRPr="00CA25CF" w:rsidRDefault="002C0FD9" w:rsidP="00CA25CF">
            <w:pPr>
              <w:rPr>
                <w:rFonts w:cs="Arial"/>
                <w:color w:val="FF0000"/>
                <w:sz w:val="21"/>
                <w:szCs w:val="21"/>
              </w:rPr>
            </w:pPr>
          </w:p>
        </w:tc>
        <w:tc>
          <w:tcPr>
            <w:tcW w:w="217" w:type="dxa"/>
          </w:tcPr>
          <w:p w14:paraId="110F4B7B" w14:textId="77777777" w:rsidR="002C0FD9" w:rsidRPr="00CA25CF" w:rsidRDefault="002C0FD9" w:rsidP="00CA25CF">
            <w:pPr>
              <w:rPr>
                <w:rFonts w:cs="Arial"/>
                <w:color w:val="FF0000"/>
                <w:sz w:val="21"/>
                <w:szCs w:val="21"/>
              </w:rPr>
            </w:pPr>
          </w:p>
        </w:tc>
        <w:tc>
          <w:tcPr>
            <w:tcW w:w="217" w:type="dxa"/>
          </w:tcPr>
          <w:p w14:paraId="12CF723F" w14:textId="77777777" w:rsidR="002C0FD9" w:rsidRPr="00CA25CF" w:rsidRDefault="002C0FD9" w:rsidP="00CA25CF">
            <w:pPr>
              <w:rPr>
                <w:rFonts w:cs="Arial"/>
                <w:color w:val="FF0000"/>
                <w:sz w:val="21"/>
                <w:szCs w:val="21"/>
              </w:rPr>
            </w:pPr>
          </w:p>
        </w:tc>
        <w:tc>
          <w:tcPr>
            <w:tcW w:w="217" w:type="dxa"/>
          </w:tcPr>
          <w:p w14:paraId="3B5E9615" w14:textId="77777777" w:rsidR="002C0FD9" w:rsidRPr="00CA25CF" w:rsidRDefault="002C0FD9" w:rsidP="00CA25CF">
            <w:pPr>
              <w:rPr>
                <w:rFonts w:cs="Arial"/>
                <w:color w:val="FF0000"/>
                <w:sz w:val="21"/>
                <w:szCs w:val="21"/>
              </w:rPr>
            </w:pPr>
          </w:p>
        </w:tc>
        <w:tc>
          <w:tcPr>
            <w:tcW w:w="217" w:type="dxa"/>
          </w:tcPr>
          <w:p w14:paraId="36B06A23" w14:textId="77777777" w:rsidR="002C0FD9" w:rsidRPr="00CA25CF" w:rsidRDefault="002C0FD9" w:rsidP="00CA25CF">
            <w:pPr>
              <w:rPr>
                <w:rFonts w:cs="Arial"/>
                <w:color w:val="FF0000"/>
                <w:sz w:val="21"/>
                <w:szCs w:val="21"/>
              </w:rPr>
            </w:pPr>
          </w:p>
        </w:tc>
        <w:tc>
          <w:tcPr>
            <w:tcW w:w="217" w:type="dxa"/>
          </w:tcPr>
          <w:p w14:paraId="28E497A2" w14:textId="77777777" w:rsidR="002C0FD9" w:rsidRPr="00CA25CF" w:rsidRDefault="002C0FD9" w:rsidP="00CA25CF">
            <w:pPr>
              <w:rPr>
                <w:rFonts w:cs="Arial"/>
                <w:color w:val="FF0000"/>
                <w:sz w:val="21"/>
                <w:szCs w:val="21"/>
              </w:rPr>
            </w:pPr>
          </w:p>
        </w:tc>
        <w:tc>
          <w:tcPr>
            <w:tcW w:w="217" w:type="dxa"/>
          </w:tcPr>
          <w:p w14:paraId="6499F04D" w14:textId="77777777" w:rsidR="002C0FD9" w:rsidRPr="00CA25CF" w:rsidRDefault="002C0FD9" w:rsidP="00CA25CF">
            <w:pPr>
              <w:rPr>
                <w:rFonts w:cs="Arial"/>
                <w:color w:val="FF0000"/>
                <w:sz w:val="21"/>
                <w:szCs w:val="21"/>
              </w:rPr>
            </w:pPr>
          </w:p>
        </w:tc>
        <w:tc>
          <w:tcPr>
            <w:tcW w:w="217" w:type="dxa"/>
          </w:tcPr>
          <w:p w14:paraId="00A49AA2" w14:textId="77777777" w:rsidR="002C0FD9" w:rsidRPr="00CA25CF" w:rsidRDefault="002C0FD9" w:rsidP="00CA25CF">
            <w:pPr>
              <w:rPr>
                <w:rFonts w:cs="Arial"/>
                <w:color w:val="FF0000"/>
                <w:sz w:val="21"/>
                <w:szCs w:val="21"/>
              </w:rPr>
            </w:pPr>
          </w:p>
        </w:tc>
      </w:tr>
      <w:tr w:rsidR="002C0FD9" w:rsidRPr="00A16219" w14:paraId="6E2D8813" w14:textId="77777777" w:rsidTr="002C0FD9">
        <w:trPr>
          <w:trHeight w:val="635"/>
        </w:trPr>
        <w:tc>
          <w:tcPr>
            <w:tcW w:w="515" w:type="dxa"/>
          </w:tcPr>
          <w:p w14:paraId="6364CF3C" w14:textId="77777777" w:rsidR="002C0FD9" w:rsidRPr="00CA25CF" w:rsidRDefault="002C0FD9" w:rsidP="00CA25CF">
            <w:pPr>
              <w:rPr>
                <w:rFonts w:cs="Arial"/>
                <w:color w:val="FF0000"/>
                <w:sz w:val="21"/>
                <w:szCs w:val="21"/>
              </w:rPr>
            </w:pPr>
          </w:p>
        </w:tc>
        <w:tc>
          <w:tcPr>
            <w:tcW w:w="217" w:type="dxa"/>
          </w:tcPr>
          <w:p w14:paraId="2D6F2C94" w14:textId="77777777" w:rsidR="002C0FD9" w:rsidRPr="00CA25CF" w:rsidRDefault="002C0FD9" w:rsidP="00CA25CF">
            <w:pPr>
              <w:rPr>
                <w:rFonts w:cs="Arial"/>
                <w:color w:val="FF0000"/>
                <w:sz w:val="21"/>
                <w:szCs w:val="21"/>
              </w:rPr>
            </w:pPr>
          </w:p>
        </w:tc>
        <w:tc>
          <w:tcPr>
            <w:tcW w:w="217" w:type="dxa"/>
          </w:tcPr>
          <w:p w14:paraId="1D0E064E" w14:textId="77777777" w:rsidR="002C0FD9" w:rsidRPr="00CA25CF" w:rsidRDefault="002C0FD9" w:rsidP="00CA25CF">
            <w:pPr>
              <w:rPr>
                <w:rFonts w:cs="Arial"/>
                <w:color w:val="FF0000"/>
                <w:sz w:val="21"/>
                <w:szCs w:val="21"/>
              </w:rPr>
            </w:pPr>
          </w:p>
        </w:tc>
        <w:tc>
          <w:tcPr>
            <w:tcW w:w="217" w:type="dxa"/>
          </w:tcPr>
          <w:p w14:paraId="3E149E53" w14:textId="77777777" w:rsidR="002C0FD9" w:rsidRPr="00CA25CF" w:rsidRDefault="002C0FD9" w:rsidP="00CA25CF">
            <w:pPr>
              <w:rPr>
                <w:rFonts w:cs="Arial"/>
                <w:color w:val="FF0000"/>
                <w:sz w:val="21"/>
                <w:szCs w:val="21"/>
              </w:rPr>
            </w:pPr>
          </w:p>
        </w:tc>
        <w:tc>
          <w:tcPr>
            <w:tcW w:w="217" w:type="dxa"/>
          </w:tcPr>
          <w:p w14:paraId="380AB4A3" w14:textId="77777777" w:rsidR="002C0FD9" w:rsidRPr="00CA25CF" w:rsidRDefault="002C0FD9" w:rsidP="00CA25CF">
            <w:pPr>
              <w:rPr>
                <w:rFonts w:cs="Arial"/>
                <w:color w:val="FF0000"/>
                <w:sz w:val="21"/>
                <w:szCs w:val="21"/>
              </w:rPr>
            </w:pPr>
          </w:p>
        </w:tc>
        <w:tc>
          <w:tcPr>
            <w:tcW w:w="217" w:type="dxa"/>
          </w:tcPr>
          <w:p w14:paraId="0DC0ACEE" w14:textId="77777777" w:rsidR="002C0FD9" w:rsidRPr="00CA25CF" w:rsidRDefault="002C0FD9" w:rsidP="00CA25CF">
            <w:pPr>
              <w:rPr>
                <w:rFonts w:cs="Arial"/>
                <w:color w:val="FF0000"/>
                <w:sz w:val="21"/>
                <w:szCs w:val="21"/>
              </w:rPr>
            </w:pPr>
          </w:p>
        </w:tc>
        <w:tc>
          <w:tcPr>
            <w:tcW w:w="217" w:type="dxa"/>
          </w:tcPr>
          <w:p w14:paraId="33B6E687" w14:textId="77777777" w:rsidR="002C0FD9" w:rsidRPr="00CA25CF" w:rsidRDefault="002C0FD9" w:rsidP="00CA25CF">
            <w:pPr>
              <w:rPr>
                <w:rFonts w:cs="Arial"/>
                <w:color w:val="FF0000"/>
                <w:sz w:val="21"/>
                <w:szCs w:val="21"/>
              </w:rPr>
            </w:pPr>
          </w:p>
        </w:tc>
        <w:tc>
          <w:tcPr>
            <w:tcW w:w="217" w:type="dxa"/>
          </w:tcPr>
          <w:p w14:paraId="0AB68823" w14:textId="77777777" w:rsidR="002C0FD9" w:rsidRPr="00CA25CF" w:rsidRDefault="002C0FD9" w:rsidP="00CA25CF">
            <w:pPr>
              <w:rPr>
                <w:rFonts w:cs="Arial"/>
                <w:color w:val="FF0000"/>
                <w:sz w:val="21"/>
                <w:szCs w:val="21"/>
              </w:rPr>
            </w:pPr>
          </w:p>
        </w:tc>
        <w:tc>
          <w:tcPr>
            <w:tcW w:w="217" w:type="dxa"/>
          </w:tcPr>
          <w:p w14:paraId="179157F2" w14:textId="77777777" w:rsidR="002C0FD9" w:rsidRPr="00CA25CF" w:rsidRDefault="002C0FD9" w:rsidP="00CA25CF">
            <w:pPr>
              <w:rPr>
                <w:rFonts w:cs="Arial"/>
                <w:color w:val="FF0000"/>
                <w:sz w:val="21"/>
                <w:szCs w:val="21"/>
              </w:rPr>
            </w:pPr>
          </w:p>
        </w:tc>
        <w:tc>
          <w:tcPr>
            <w:tcW w:w="217" w:type="dxa"/>
          </w:tcPr>
          <w:p w14:paraId="3DE79F5A" w14:textId="77777777" w:rsidR="002C0FD9" w:rsidRPr="00CA25CF" w:rsidRDefault="002C0FD9" w:rsidP="00CA25CF">
            <w:pPr>
              <w:rPr>
                <w:rFonts w:cs="Arial"/>
                <w:color w:val="FF0000"/>
                <w:sz w:val="21"/>
                <w:szCs w:val="21"/>
              </w:rPr>
            </w:pPr>
          </w:p>
        </w:tc>
        <w:tc>
          <w:tcPr>
            <w:tcW w:w="217" w:type="dxa"/>
          </w:tcPr>
          <w:p w14:paraId="79D921A0" w14:textId="77777777" w:rsidR="002C0FD9" w:rsidRPr="00CA25CF" w:rsidRDefault="002C0FD9" w:rsidP="00CA25CF">
            <w:pPr>
              <w:rPr>
                <w:rFonts w:cs="Arial"/>
                <w:color w:val="FF0000"/>
                <w:sz w:val="21"/>
                <w:szCs w:val="21"/>
              </w:rPr>
            </w:pPr>
          </w:p>
        </w:tc>
        <w:tc>
          <w:tcPr>
            <w:tcW w:w="217" w:type="dxa"/>
          </w:tcPr>
          <w:p w14:paraId="19EBE07A" w14:textId="77777777" w:rsidR="002C0FD9" w:rsidRPr="00CA25CF" w:rsidRDefault="002C0FD9" w:rsidP="00CA25CF">
            <w:pPr>
              <w:rPr>
                <w:rFonts w:cs="Arial"/>
                <w:color w:val="FF0000"/>
                <w:sz w:val="21"/>
                <w:szCs w:val="21"/>
              </w:rPr>
            </w:pPr>
          </w:p>
        </w:tc>
        <w:tc>
          <w:tcPr>
            <w:tcW w:w="217" w:type="dxa"/>
          </w:tcPr>
          <w:p w14:paraId="090F6AA3" w14:textId="77777777" w:rsidR="002C0FD9" w:rsidRPr="00CA25CF" w:rsidRDefault="002C0FD9" w:rsidP="00CA25CF">
            <w:pPr>
              <w:rPr>
                <w:rFonts w:cs="Arial"/>
                <w:color w:val="FF0000"/>
                <w:sz w:val="21"/>
                <w:szCs w:val="21"/>
              </w:rPr>
            </w:pPr>
          </w:p>
        </w:tc>
        <w:tc>
          <w:tcPr>
            <w:tcW w:w="217" w:type="dxa"/>
          </w:tcPr>
          <w:p w14:paraId="2F7A992D" w14:textId="77777777" w:rsidR="002C0FD9" w:rsidRPr="00CA25CF" w:rsidRDefault="002C0FD9" w:rsidP="00CA25CF">
            <w:pPr>
              <w:rPr>
                <w:rFonts w:cs="Arial"/>
                <w:color w:val="FF0000"/>
                <w:sz w:val="21"/>
                <w:szCs w:val="21"/>
              </w:rPr>
            </w:pPr>
          </w:p>
        </w:tc>
        <w:tc>
          <w:tcPr>
            <w:tcW w:w="217" w:type="dxa"/>
          </w:tcPr>
          <w:p w14:paraId="0D532267" w14:textId="77777777" w:rsidR="002C0FD9" w:rsidRPr="00CA25CF" w:rsidRDefault="002C0FD9" w:rsidP="00CA25CF">
            <w:pPr>
              <w:rPr>
                <w:rFonts w:cs="Arial"/>
                <w:color w:val="FF0000"/>
                <w:sz w:val="21"/>
                <w:szCs w:val="21"/>
              </w:rPr>
            </w:pPr>
          </w:p>
        </w:tc>
        <w:tc>
          <w:tcPr>
            <w:tcW w:w="217" w:type="dxa"/>
          </w:tcPr>
          <w:p w14:paraId="495B6EBB" w14:textId="77777777" w:rsidR="002C0FD9" w:rsidRPr="00CA25CF" w:rsidRDefault="002C0FD9" w:rsidP="00CA25CF">
            <w:pPr>
              <w:rPr>
                <w:rFonts w:cs="Arial"/>
                <w:color w:val="FF0000"/>
                <w:sz w:val="21"/>
                <w:szCs w:val="21"/>
              </w:rPr>
            </w:pPr>
          </w:p>
        </w:tc>
        <w:tc>
          <w:tcPr>
            <w:tcW w:w="217" w:type="dxa"/>
          </w:tcPr>
          <w:p w14:paraId="53B3E74E" w14:textId="77777777" w:rsidR="002C0FD9" w:rsidRPr="00CA25CF" w:rsidRDefault="002C0FD9" w:rsidP="00CA25CF">
            <w:pPr>
              <w:rPr>
                <w:rFonts w:cs="Arial"/>
                <w:color w:val="FF0000"/>
                <w:sz w:val="21"/>
                <w:szCs w:val="21"/>
              </w:rPr>
            </w:pPr>
          </w:p>
        </w:tc>
        <w:tc>
          <w:tcPr>
            <w:tcW w:w="217" w:type="dxa"/>
          </w:tcPr>
          <w:p w14:paraId="37BD8057" w14:textId="77777777" w:rsidR="002C0FD9" w:rsidRPr="00CA25CF" w:rsidRDefault="002C0FD9" w:rsidP="00CA25CF">
            <w:pPr>
              <w:rPr>
                <w:rFonts w:cs="Arial"/>
                <w:color w:val="FF0000"/>
                <w:sz w:val="21"/>
                <w:szCs w:val="21"/>
              </w:rPr>
            </w:pPr>
          </w:p>
        </w:tc>
        <w:tc>
          <w:tcPr>
            <w:tcW w:w="217" w:type="dxa"/>
          </w:tcPr>
          <w:p w14:paraId="7BF15DBF" w14:textId="77777777" w:rsidR="002C0FD9" w:rsidRPr="00CA25CF" w:rsidRDefault="002C0FD9" w:rsidP="00CA25CF">
            <w:pPr>
              <w:rPr>
                <w:rFonts w:cs="Arial"/>
                <w:color w:val="FF0000"/>
                <w:sz w:val="21"/>
                <w:szCs w:val="21"/>
              </w:rPr>
            </w:pPr>
          </w:p>
        </w:tc>
        <w:tc>
          <w:tcPr>
            <w:tcW w:w="217" w:type="dxa"/>
          </w:tcPr>
          <w:p w14:paraId="75A667E9" w14:textId="77777777" w:rsidR="002C0FD9" w:rsidRPr="00CA25CF" w:rsidRDefault="002C0FD9" w:rsidP="00CA25CF">
            <w:pPr>
              <w:rPr>
                <w:rFonts w:cs="Arial"/>
                <w:color w:val="FF0000"/>
                <w:sz w:val="21"/>
                <w:szCs w:val="21"/>
              </w:rPr>
            </w:pPr>
          </w:p>
        </w:tc>
        <w:tc>
          <w:tcPr>
            <w:tcW w:w="217" w:type="dxa"/>
          </w:tcPr>
          <w:p w14:paraId="0BED5BB2" w14:textId="77777777" w:rsidR="002C0FD9" w:rsidRPr="00CA25CF" w:rsidRDefault="002C0FD9" w:rsidP="00CA25CF">
            <w:pPr>
              <w:rPr>
                <w:rFonts w:cs="Arial"/>
                <w:color w:val="FF0000"/>
                <w:sz w:val="21"/>
                <w:szCs w:val="21"/>
              </w:rPr>
            </w:pPr>
          </w:p>
        </w:tc>
        <w:tc>
          <w:tcPr>
            <w:tcW w:w="217" w:type="dxa"/>
          </w:tcPr>
          <w:p w14:paraId="2BE36D7E" w14:textId="77777777" w:rsidR="002C0FD9" w:rsidRPr="00CA25CF" w:rsidRDefault="002C0FD9" w:rsidP="00CA25CF">
            <w:pPr>
              <w:rPr>
                <w:rFonts w:cs="Arial"/>
                <w:color w:val="FF0000"/>
                <w:sz w:val="21"/>
                <w:szCs w:val="21"/>
              </w:rPr>
            </w:pPr>
          </w:p>
        </w:tc>
        <w:tc>
          <w:tcPr>
            <w:tcW w:w="217" w:type="dxa"/>
          </w:tcPr>
          <w:p w14:paraId="4EEC4C98" w14:textId="77777777" w:rsidR="002C0FD9" w:rsidRPr="00CA25CF" w:rsidRDefault="002C0FD9" w:rsidP="00CA25CF">
            <w:pPr>
              <w:rPr>
                <w:rFonts w:cs="Arial"/>
                <w:color w:val="FF0000"/>
                <w:sz w:val="21"/>
                <w:szCs w:val="21"/>
              </w:rPr>
            </w:pPr>
          </w:p>
        </w:tc>
        <w:tc>
          <w:tcPr>
            <w:tcW w:w="217" w:type="dxa"/>
          </w:tcPr>
          <w:p w14:paraId="5A434A8B" w14:textId="77777777" w:rsidR="002C0FD9" w:rsidRPr="00CA25CF" w:rsidRDefault="002C0FD9" w:rsidP="00CA25CF">
            <w:pPr>
              <w:rPr>
                <w:rFonts w:cs="Arial"/>
                <w:color w:val="FF0000"/>
                <w:sz w:val="21"/>
                <w:szCs w:val="21"/>
              </w:rPr>
            </w:pPr>
          </w:p>
        </w:tc>
        <w:tc>
          <w:tcPr>
            <w:tcW w:w="217" w:type="dxa"/>
          </w:tcPr>
          <w:p w14:paraId="628FA2D7" w14:textId="77777777" w:rsidR="002C0FD9" w:rsidRPr="00CA25CF" w:rsidRDefault="002C0FD9" w:rsidP="00CA25CF">
            <w:pPr>
              <w:rPr>
                <w:rFonts w:cs="Arial"/>
                <w:color w:val="FF0000"/>
                <w:sz w:val="21"/>
                <w:szCs w:val="21"/>
              </w:rPr>
            </w:pPr>
          </w:p>
        </w:tc>
        <w:tc>
          <w:tcPr>
            <w:tcW w:w="217" w:type="dxa"/>
          </w:tcPr>
          <w:p w14:paraId="3B6704F9" w14:textId="77777777" w:rsidR="002C0FD9" w:rsidRPr="00CA25CF" w:rsidRDefault="002C0FD9" w:rsidP="00CA25CF">
            <w:pPr>
              <w:rPr>
                <w:rFonts w:cs="Arial"/>
                <w:color w:val="FF0000"/>
                <w:sz w:val="21"/>
                <w:szCs w:val="21"/>
              </w:rPr>
            </w:pPr>
          </w:p>
        </w:tc>
        <w:tc>
          <w:tcPr>
            <w:tcW w:w="217" w:type="dxa"/>
          </w:tcPr>
          <w:p w14:paraId="7A368963" w14:textId="77777777" w:rsidR="002C0FD9" w:rsidRPr="00CA25CF" w:rsidRDefault="002C0FD9" w:rsidP="00CA25CF">
            <w:pPr>
              <w:rPr>
                <w:rFonts w:cs="Arial"/>
                <w:color w:val="FF0000"/>
                <w:sz w:val="21"/>
                <w:szCs w:val="21"/>
              </w:rPr>
            </w:pPr>
          </w:p>
        </w:tc>
        <w:tc>
          <w:tcPr>
            <w:tcW w:w="217" w:type="dxa"/>
          </w:tcPr>
          <w:p w14:paraId="19419F5E" w14:textId="77777777" w:rsidR="002C0FD9" w:rsidRPr="00CA25CF" w:rsidRDefault="002C0FD9" w:rsidP="00CA25CF">
            <w:pPr>
              <w:rPr>
                <w:rFonts w:cs="Arial"/>
                <w:color w:val="FF0000"/>
                <w:sz w:val="21"/>
                <w:szCs w:val="21"/>
              </w:rPr>
            </w:pPr>
          </w:p>
        </w:tc>
        <w:tc>
          <w:tcPr>
            <w:tcW w:w="217" w:type="dxa"/>
          </w:tcPr>
          <w:p w14:paraId="058B8B21" w14:textId="77777777" w:rsidR="002C0FD9" w:rsidRPr="00CA25CF" w:rsidRDefault="002C0FD9" w:rsidP="00CA25CF">
            <w:pPr>
              <w:rPr>
                <w:rFonts w:cs="Arial"/>
                <w:color w:val="FF0000"/>
                <w:sz w:val="21"/>
                <w:szCs w:val="21"/>
              </w:rPr>
            </w:pPr>
          </w:p>
        </w:tc>
        <w:tc>
          <w:tcPr>
            <w:tcW w:w="217" w:type="dxa"/>
          </w:tcPr>
          <w:p w14:paraId="55652A62" w14:textId="77777777" w:rsidR="002C0FD9" w:rsidRPr="00CA25CF" w:rsidRDefault="002C0FD9" w:rsidP="00CA25CF">
            <w:pPr>
              <w:rPr>
                <w:rFonts w:cs="Arial"/>
                <w:color w:val="FF0000"/>
                <w:sz w:val="21"/>
                <w:szCs w:val="21"/>
              </w:rPr>
            </w:pPr>
          </w:p>
        </w:tc>
        <w:tc>
          <w:tcPr>
            <w:tcW w:w="217" w:type="dxa"/>
          </w:tcPr>
          <w:p w14:paraId="2517D0B0" w14:textId="77777777" w:rsidR="002C0FD9" w:rsidRPr="00CA25CF" w:rsidRDefault="002C0FD9" w:rsidP="00CA25CF">
            <w:pPr>
              <w:rPr>
                <w:rFonts w:cs="Arial"/>
                <w:color w:val="FF0000"/>
                <w:sz w:val="21"/>
                <w:szCs w:val="21"/>
              </w:rPr>
            </w:pPr>
          </w:p>
        </w:tc>
        <w:tc>
          <w:tcPr>
            <w:tcW w:w="217" w:type="dxa"/>
          </w:tcPr>
          <w:p w14:paraId="1DADB6AC" w14:textId="77777777" w:rsidR="002C0FD9" w:rsidRPr="00CA25CF" w:rsidRDefault="002C0FD9" w:rsidP="00CA25CF">
            <w:pPr>
              <w:rPr>
                <w:rFonts w:cs="Arial"/>
                <w:color w:val="FF0000"/>
                <w:sz w:val="21"/>
                <w:szCs w:val="21"/>
              </w:rPr>
            </w:pPr>
          </w:p>
        </w:tc>
        <w:tc>
          <w:tcPr>
            <w:tcW w:w="217" w:type="dxa"/>
          </w:tcPr>
          <w:p w14:paraId="2C45A9F2" w14:textId="77777777" w:rsidR="002C0FD9" w:rsidRPr="00CA25CF" w:rsidRDefault="002C0FD9" w:rsidP="00CA25CF">
            <w:pPr>
              <w:rPr>
                <w:rFonts w:cs="Arial"/>
                <w:color w:val="FF0000"/>
                <w:sz w:val="21"/>
                <w:szCs w:val="21"/>
              </w:rPr>
            </w:pPr>
          </w:p>
        </w:tc>
        <w:tc>
          <w:tcPr>
            <w:tcW w:w="217" w:type="dxa"/>
          </w:tcPr>
          <w:p w14:paraId="07956B01" w14:textId="77777777" w:rsidR="002C0FD9" w:rsidRPr="00CA25CF" w:rsidRDefault="002C0FD9" w:rsidP="00CA25CF">
            <w:pPr>
              <w:rPr>
                <w:rFonts w:cs="Arial"/>
                <w:color w:val="FF0000"/>
                <w:sz w:val="21"/>
                <w:szCs w:val="21"/>
              </w:rPr>
            </w:pPr>
          </w:p>
        </w:tc>
        <w:tc>
          <w:tcPr>
            <w:tcW w:w="217" w:type="dxa"/>
          </w:tcPr>
          <w:p w14:paraId="0A36C0C9" w14:textId="77777777" w:rsidR="002C0FD9" w:rsidRPr="00CA25CF" w:rsidRDefault="002C0FD9" w:rsidP="00CA25CF">
            <w:pPr>
              <w:rPr>
                <w:rFonts w:cs="Arial"/>
                <w:color w:val="FF0000"/>
                <w:sz w:val="21"/>
                <w:szCs w:val="21"/>
              </w:rPr>
            </w:pPr>
          </w:p>
        </w:tc>
        <w:tc>
          <w:tcPr>
            <w:tcW w:w="217" w:type="dxa"/>
          </w:tcPr>
          <w:p w14:paraId="718E9411" w14:textId="77777777" w:rsidR="002C0FD9" w:rsidRPr="00CA25CF" w:rsidRDefault="002C0FD9" w:rsidP="00CA25CF">
            <w:pPr>
              <w:rPr>
                <w:rFonts w:cs="Arial"/>
                <w:color w:val="FF0000"/>
                <w:sz w:val="21"/>
                <w:szCs w:val="21"/>
              </w:rPr>
            </w:pPr>
          </w:p>
        </w:tc>
        <w:tc>
          <w:tcPr>
            <w:tcW w:w="217" w:type="dxa"/>
          </w:tcPr>
          <w:p w14:paraId="05D34119" w14:textId="77777777" w:rsidR="002C0FD9" w:rsidRPr="00CA25CF" w:rsidRDefault="002C0FD9" w:rsidP="00CA25CF">
            <w:pPr>
              <w:rPr>
                <w:rFonts w:cs="Arial"/>
                <w:color w:val="FF0000"/>
                <w:sz w:val="21"/>
                <w:szCs w:val="21"/>
              </w:rPr>
            </w:pPr>
          </w:p>
        </w:tc>
        <w:tc>
          <w:tcPr>
            <w:tcW w:w="217" w:type="dxa"/>
          </w:tcPr>
          <w:p w14:paraId="1475055F" w14:textId="77777777" w:rsidR="002C0FD9" w:rsidRPr="00CA25CF" w:rsidRDefault="002C0FD9" w:rsidP="00CA25CF">
            <w:pPr>
              <w:rPr>
                <w:rFonts w:cs="Arial"/>
                <w:color w:val="FF0000"/>
                <w:sz w:val="21"/>
                <w:szCs w:val="21"/>
              </w:rPr>
            </w:pPr>
          </w:p>
        </w:tc>
        <w:tc>
          <w:tcPr>
            <w:tcW w:w="217" w:type="dxa"/>
          </w:tcPr>
          <w:p w14:paraId="685BC435" w14:textId="77777777" w:rsidR="002C0FD9" w:rsidRPr="00CA25CF" w:rsidRDefault="002C0FD9" w:rsidP="00CA25CF">
            <w:pPr>
              <w:rPr>
                <w:rFonts w:cs="Arial"/>
                <w:color w:val="FF0000"/>
                <w:sz w:val="21"/>
                <w:szCs w:val="21"/>
              </w:rPr>
            </w:pPr>
          </w:p>
        </w:tc>
        <w:tc>
          <w:tcPr>
            <w:tcW w:w="217" w:type="dxa"/>
          </w:tcPr>
          <w:p w14:paraId="23831606" w14:textId="77777777" w:rsidR="002C0FD9" w:rsidRPr="00CA25CF" w:rsidRDefault="002C0FD9" w:rsidP="00CA25CF">
            <w:pPr>
              <w:rPr>
                <w:rFonts w:cs="Arial"/>
                <w:color w:val="FF0000"/>
                <w:sz w:val="21"/>
                <w:szCs w:val="21"/>
              </w:rPr>
            </w:pPr>
          </w:p>
        </w:tc>
        <w:tc>
          <w:tcPr>
            <w:tcW w:w="217" w:type="dxa"/>
          </w:tcPr>
          <w:p w14:paraId="76F0A5D0" w14:textId="77777777" w:rsidR="002C0FD9" w:rsidRPr="00CA25CF" w:rsidRDefault="002C0FD9" w:rsidP="00CA25CF">
            <w:pPr>
              <w:rPr>
                <w:rFonts w:cs="Arial"/>
                <w:color w:val="FF0000"/>
                <w:sz w:val="21"/>
                <w:szCs w:val="21"/>
              </w:rPr>
            </w:pPr>
          </w:p>
        </w:tc>
        <w:tc>
          <w:tcPr>
            <w:tcW w:w="217" w:type="dxa"/>
          </w:tcPr>
          <w:p w14:paraId="09162144" w14:textId="77777777" w:rsidR="002C0FD9" w:rsidRPr="00CA25CF" w:rsidRDefault="002C0FD9" w:rsidP="00CA25CF">
            <w:pPr>
              <w:rPr>
                <w:rFonts w:cs="Arial"/>
                <w:color w:val="FF0000"/>
                <w:sz w:val="21"/>
                <w:szCs w:val="21"/>
              </w:rPr>
            </w:pPr>
          </w:p>
        </w:tc>
        <w:tc>
          <w:tcPr>
            <w:tcW w:w="217" w:type="dxa"/>
          </w:tcPr>
          <w:p w14:paraId="3106D531" w14:textId="77777777" w:rsidR="002C0FD9" w:rsidRPr="00CA25CF" w:rsidRDefault="002C0FD9" w:rsidP="00CA25CF">
            <w:pPr>
              <w:rPr>
                <w:rFonts w:cs="Arial"/>
                <w:color w:val="FF0000"/>
                <w:sz w:val="21"/>
                <w:szCs w:val="21"/>
              </w:rPr>
            </w:pPr>
          </w:p>
        </w:tc>
      </w:tr>
      <w:tr w:rsidR="002C0FD9" w:rsidRPr="00A16219" w14:paraId="75E8362D" w14:textId="77777777" w:rsidTr="002C0FD9">
        <w:trPr>
          <w:trHeight w:val="635"/>
        </w:trPr>
        <w:tc>
          <w:tcPr>
            <w:tcW w:w="515" w:type="dxa"/>
          </w:tcPr>
          <w:p w14:paraId="63CA217C" w14:textId="77777777" w:rsidR="002C0FD9" w:rsidRPr="00CA25CF" w:rsidRDefault="002C0FD9" w:rsidP="00CA25CF">
            <w:pPr>
              <w:rPr>
                <w:rFonts w:cs="Arial"/>
                <w:color w:val="FF0000"/>
                <w:sz w:val="21"/>
                <w:szCs w:val="21"/>
              </w:rPr>
            </w:pPr>
          </w:p>
        </w:tc>
        <w:tc>
          <w:tcPr>
            <w:tcW w:w="217" w:type="dxa"/>
          </w:tcPr>
          <w:p w14:paraId="5C737121" w14:textId="77777777" w:rsidR="002C0FD9" w:rsidRPr="00CA25CF" w:rsidRDefault="002C0FD9" w:rsidP="00CA25CF">
            <w:pPr>
              <w:rPr>
                <w:rFonts w:cs="Arial"/>
                <w:color w:val="FF0000"/>
                <w:sz w:val="21"/>
                <w:szCs w:val="21"/>
              </w:rPr>
            </w:pPr>
          </w:p>
        </w:tc>
        <w:tc>
          <w:tcPr>
            <w:tcW w:w="217" w:type="dxa"/>
          </w:tcPr>
          <w:p w14:paraId="53C7EC15" w14:textId="77777777" w:rsidR="002C0FD9" w:rsidRPr="00CA25CF" w:rsidRDefault="002C0FD9" w:rsidP="00CA25CF">
            <w:pPr>
              <w:rPr>
                <w:rFonts w:cs="Arial"/>
                <w:color w:val="FF0000"/>
                <w:sz w:val="21"/>
                <w:szCs w:val="21"/>
              </w:rPr>
            </w:pPr>
          </w:p>
        </w:tc>
        <w:tc>
          <w:tcPr>
            <w:tcW w:w="217" w:type="dxa"/>
          </w:tcPr>
          <w:p w14:paraId="37B8CD74" w14:textId="77777777" w:rsidR="002C0FD9" w:rsidRPr="00CA25CF" w:rsidRDefault="002C0FD9" w:rsidP="00CA25CF">
            <w:pPr>
              <w:rPr>
                <w:rFonts w:cs="Arial"/>
                <w:color w:val="FF0000"/>
                <w:sz w:val="21"/>
                <w:szCs w:val="21"/>
              </w:rPr>
            </w:pPr>
          </w:p>
        </w:tc>
        <w:tc>
          <w:tcPr>
            <w:tcW w:w="217" w:type="dxa"/>
          </w:tcPr>
          <w:p w14:paraId="47AE9D3A" w14:textId="77777777" w:rsidR="002C0FD9" w:rsidRPr="00CA25CF" w:rsidRDefault="002C0FD9" w:rsidP="00CA25CF">
            <w:pPr>
              <w:rPr>
                <w:rFonts w:cs="Arial"/>
                <w:color w:val="FF0000"/>
                <w:sz w:val="21"/>
                <w:szCs w:val="21"/>
              </w:rPr>
            </w:pPr>
          </w:p>
        </w:tc>
        <w:tc>
          <w:tcPr>
            <w:tcW w:w="217" w:type="dxa"/>
          </w:tcPr>
          <w:p w14:paraId="10D29BDB" w14:textId="77777777" w:rsidR="002C0FD9" w:rsidRPr="00CA25CF" w:rsidRDefault="002C0FD9" w:rsidP="00CA25CF">
            <w:pPr>
              <w:rPr>
                <w:rFonts w:cs="Arial"/>
                <w:color w:val="FF0000"/>
                <w:sz w:val="21"/>
                <w:szCs w:val="21"/>
              </w:rPr>
            </w:pPr>
          </w:p>
        </w:tc>
        <w:tc>
          <w:tcPr>
            <w:tcW w:w="217" w:type="dxa"/>
          </w:tcPr>
          <w:p w14:paraId="7AB1D59B" w14:textId="77777777" w:rsidR="002C0FD9" w:rsidRPr="00CA25CF" w:rsidRDefault="002C0FD9" w:rsidP="00CA25CF">
            <w:pPr>
              <w:rPr>
                <w:rFonts w:cs="Arial"/>
                <w:color w:val="FF0000"/>
                <w:sz w:val="21"/>
                <w:szCs w:val="21"/>
              </w:rPr>
            </w:pPr>
          </w:p>
        </w:tc>
        <w:tc>
          <w:tcPr>
            <w:tcW w:w="217" w:type="dxa"/>
          </w:tcPr>
          <w:p w14:paraId="135C8C3B" w14:textId="77777777" w:rsidR="002C0FD9" w:rsidRPr="00CA25CF" w:rsidRDefault="002C0FD9" w:rsidP="00CA25CF">
            <w:pPr>
              <w:rPr>
                <w:rFonts w:cs="Arial"/>
                <w:color w:val="FF0000"/>
                <w:sz w:val="21"/>
                <w:szCs w:val="21"/>
              </w:rPr>
            </w:pPr>
          </w:p>
        </w:tc>
        <w:tc>
          <w:tcPr>
            <w:tcW w:w="217" w:type="dxa"/>
          </w:tcPr>
          <w:p w14:paraId="607C5CB8" w14:textId="77777777" w:rsidR="002C0FD9" w:rsidRPr="00CA25CF" w:rsidRDefault="002C0FD9" w:rsidP="00CA25CF">
            <w:pPr>
              <w:rPr>
                <w:rFonts w:cs="Arial"/>
                <w:color w:val="FF0000"/>
                <w:sz w:val="21"/>
                <w:szCs w:val="21"/>
              </w:rPr>
            </w:pPr>
          </w:p>
        </w:tc>
        <w:tc>
          <w:tcPr>
            <w:tcW w:w="217" w:type="dxa"/>
          </w:tcPr>
          <w:p w14:paraId="1DFDDBE8" w14:textId="77777777" w:rsidR="002C0FD9" w:rsidRPr="00CA25CF" w:rsidRDefault="002C0FD9" w:rsidP="00CA25CF">
            <w:pPr>
              <w:rPr>
                <w:rFonts w:cs="Arial"/>
                <w:color w:val="FF0000"/>
                <w:sz w:val="21"/>
                <w:szCs w:val="21"/>
              </w:rPr>
            </w:pPr>
          </w:p>
        </w:tc>
        <w:tc>
          <w:tcPr>
            <w:tcW w:w="217" w:type="dxa"/>
          </w:tcPr>
          <w:p w14:paraId="2EEA1DB0" w14:textId="77777777" w:rsidR="002C0FD9" w:rsidRPr="00CA25CF" w:rsidRDefault="002C0FD9" w:rsidP="00CA25CF">
            <w:pPr>
              <w:rPr>
                <w:rFonts w:cs="Arial"/>
                <w:color w:val="FF0000"/>
                <w:sz w:val="21"/>
                <w:szCs w:val="21"/>
              </w:rPr>
            </w:pPr>
          </w:p>
        </w:tc>
        <w:tc>
          <w:tcPr>
            <w:tcW w:w="217" w:type="dxa"/>
          </w:tcPr>
          <w:p w14:paraId="6681AA93" w14:textId="77777777" w:rsidR="002C0FD9" w:rsidRPr="00CA25CF" w:rsidRDefault="002C0FD9" w:rsidP="00CA25CF">
            <w:pPr>
              <w:rPr>
                <w:rFonts w:cs="Arial"/>
                <w:color w:val="FF0000"/>
                <w:sz w:val="21"/>
                <w:szCs w:val="21"/>
              </w:rPr>
            </w:pPr>
          </w:p>
        </w:tc>
        <w:tc>
          <w:tcPr>
            <w:tcW w:w="217" w:type="dxa"/>
          </w:tcPr>
          <w:p w14:paraId="1779A7BD" w14:textId="77777777" w:rsidR="002C0FD9" w:rsidRPr="00CA25CF" w:rsidRDefault="002C0FD9" w:rsidP="00CA25CF">
            <w:pPr>
              <w:rPr>
                <w:rFonts w:cs="Arial"/>
                <w:color w:val="FF0000"/>
                <w:sz w:val="21"/>
                <w:szCs w:val="21"/>
              </w:rPr>
            </w:pPr>
          </w:p>
        </w:tc>
        <w:tc>
          <w:tcPr>
            <w:tcW w:w="217" w:type="dxa"/>
          </w:tcPr>
          <w:p w14:paraId="3124CB70" w14:textId="77777777" w:rsidR="002C0FD9" w:rsidRPr="00CA25CF" w:rsidRDefault="002C0FD9" w:rsidP="00CA25CF">
            <w:pPr>
              <w:rPr>
                <w:rFonts w:cs="Arial"/>
                <w:color w:val="FF0000"/>
                <w:sz w:val="21"/>
                <w:szCs w:val="21"/>
              </w:rPr>
            </w:pPr>
          </w:p>
        </w:tc>
        <w:tc>
          <w:tcPr>
            <w:tcW w:w="217" w:type="dxa"/>
          </w:tcPr>
          <w:p w14:paraId="6B9D4FFE" w14:textId="77777777" w:rsidR="002C0FD9" w:rsidRPr="00CA25CF" w:rsidRDefault="002C0FD9" w:rsidP="00CA25CF">
            <w:pPr>
              <w:rPr>
                <w:rFonts w:cs="Arial"/>
                <w:color w:val="FF0000"/>
                <w:sz w:val="21"/>
                <w:szCs w:val="21"/>
              </w:rPr>
            </w:pPr>
          </w:p>
        </w:tc>
        <w:tc>
          <w:tcPr>
            <w:tcW w:w="217" w:type="dxa"/>
          </w:tcPr>
          <w:p w14:paraId="0D12A7FB" w14:textId="77777777" w:rsidR="002C0FD9" w:rsidRPr="00CA25CF" w:rsidRDefault="002C0FD9" w:rsidP="00CA25CF">
            <w:pPr>
              <w:rPr>
                <w:rFonts w:cs="Arial"/>
                <w:color w:val="FF0000"/>
                <w:sz w:val="21"/>
                <w:szCs w:val="21"/>
              </w:rPr>
            </w:pPr>
          </w:p>
        </w:tc>
        <w:tc>
          <w:tcPr>
            <w:tcW w:w="217" w:type="dxa"/>
          </w:tcPr>
          <w:p w14:paraId="1FC30075" w14:textId="77777777" w:rsidR="002C0FD9" w:rsidRPr="00CA25CF" w:rsidRDefault="002C0FD9" w:rsidP="00CA25CF">
            <w:pPr>
              <w:rPr>
                <w:rFonts w:cs="Arial"/>
                <w:color w:val="FF0000"/>
                <w:sz w:val="21"/>
                <w:szCs w:val="21"/>
              </w:rPr>
            </w:pPr>
          </w:p>
        </w:tc>
        <w:tc>
          <w:tcPr>
            <w:tcW w:w="217" w:type="dxa"/>
          </w:tcPr>
          <w:p w14:paraId="16F54BCB" w14:textId="77777777" w:rsidR="002C0FD9" w:rsidRPr="00CA25CF" w:rsidRDefault="002C0FD9" w:rsidP="00CA25CF">
            <w:pPr>
              <w:rPr>
                <w:rFonts w:cs="Arial"/>
                <w:color w:val="FF0000"/>
                <w:sz w:val="21"/>
                <w:szCs w:val="21"/>
              </w:rPr>
            </w:pPr>
          </w:p>
        </w:tc>
        <w:tc>
          <w:tcPr>
            <w:tcW w:w="217" w:type="dxa"/>
          </w:tcPr>
          <w:p w14:paraId="5B696291" w14:textId="77777777" w:rsidR="002C0FD9" w:rsidRPr="00CA25CF" w:rsidRDefault="002C0FD9" w:rsidP="00CA25CF">
            <w:pPr>
              <w:rPr>
                <w:rFonts w:cs="Arial"/>
                <w:color w:val="FF0000"/>
                <w:sz w:val="21"/>
                <w:szCs w:val="21"/>
              </w:rPr>
            </w:pPr>
          </w:p>
        </w:tc>
        <w:tc>
          <w:tcPr>
            <w:tcW w:w="217" w:type="dxa"/>
          </w:tcPr>
          <w:p w14:paraId="74F73AE0" w14:textId="77777777" w:rsidR="002C0FD9" w:rsidRPr="00CA25CF" w:rsidRDefault="002C0FD9" w:rsidP="00CA25CF">
            <w:pPr>
              <w:rPr>
                <w:rFonts w:cs="Arial"/>
                <w:color w:val="FF0000"/>
                <w:sz w:val="21"/>
                <w:szCs w:val="21"/>
              </w:rPr>
            </w:pPr>
          </w:p>
        </w:tc>
        <w:tc>
          <w:tcPr>
            <w:tcW w:w="217" w:type="dxa"/>
          </w:tcPr>
          <w:p w14:paraId="4B9A9A49" w14:textId="77777777" w:rsidR="002C0FD9" w:rsidRPr="00CA25CF" w:rsidRDefault="002C0FD9" w:rsidP="00CA25CF">
            <w:pPr>
              <w:rPr>
                <w:rFonts w:cs="Arial"/>
                <w:color w:val="FF0000"/>
                <w:sz w:val="21"/>
                <w:szCs w:val="21"/>
              </w:rPr>
            </w:pPr>
          </w:p>
        </w:tc>
        <w:tc>
          <w:tcPr>
            <w:tcW w:w="217" w:type="dxa"/>
          </w:tcPr>
          <w:p w14:paraId="051DC68D" w14:textId="77777777" w:rsidR="002C0FD9" w:rsidRPr="00CA25CF" w:rsidRDefault="002C0FD9" w:rsidP="00CA25CF">
            <w:pPr>
              <w:rPr>
                <w:rFonts w:cs="Arial"/>
                <w:color w:val="FF0000"/>
                <w:sz w:val="21"/>
                <w:szCs w:val="21"/>
              </w:rPr>
            </w:pPr>
          </w:p>
        </w:tc>
        <w:tc>
          <w:tcPr>
            <w:tcW w:w="217" w:type="dxa"/>
          </w:tcPr>
          <w:p w14:paraId="6256D581" w14:textId="77777777" w:rsidR="002C0FD9" w:rsidRPr="00CA25CF" w:rsidRDefault="002C0FD9" w:rsidP="00CA25CF">
            <w:pPr>
              <w:rPr>
                <w:rFonts w:cs="Arial"/>
                <w:color w:val="FF0000"/>
                <w:sz w:val="21"/>
                <w:szCs w:val="21"/>
              </w:rPr>
            </w:pPr>
          </w:p>
        </w:tc>
        <w:tc>
          <w:tcPr>
            <w:tcW w:w="217" w:type="dxa"/>
          </w:tcPr>
          <w:p w14:paraId="38499E3D" w14:textId="77777777" w:rsidR="002C0FD9" w:rsidRPr="00CA25CF" w:rsidRDefault="002C0FD9" w:rsidP="00CA25CF">
            <w:pPr>
              <w:rPr>
                <w:rFonts w:cs="Arial"/>
                <w:color w:val="FF0000"/>
                <w:sz w:val="21"/>
                <w:szCs w:val="21"/>
              </w:rPr>
            </w:pPr>
          </w:p>
        </w:tc>
        <w:tc>
          <w:tcPr>
            <w:tcW w:w="217" w:type="dxa"/>
          </w:tcPr>
          <w:p w14:paraId="7B4864F8" w14:textId="77777777" w:rsidR="002C0FD9" w:rsidRPr="00CA25CF" w:rsidRDefault="002C0FD9" w:rsidP="00CA25CF">
            <w:pPr>
              <w:rPr>
                <w:rFonts w:cs="Arial"/>
                <w:color w:val="FF0000"/>
                <w:sz w:val="21"/>
                <w:szCs w:val="21"/>
              </w:rPr>
            </w:pPr>
          </w:p>
        </w:tc>
        <w:tc>
          <w:tcPr>
            <w:tcW w:w="217" w:type="dxa"/>
          </w:tcPr>
          <w:p w14:paraId="235683FE" w14:textId="77777777" w:rsidR="002C0FD9" w:rsidRPr="00CA25CF" w:rsidRDefault="002C0FD9" w:rsidP="00CA25CF">
            <w:pPr>
              <w:rPr>
                <w:rFonts w:cs="Arial"/>
                <w:color w:val="FF0000"/>
                <w:sz w:val="21"/>
                <w:szCs w:val="21"/>
              </w:rPr>
            </w:pPr>
          </w:p>
        </w:tc>
        <w:tc>
          <w:tcPr>
            <w:tcW w:w="217" w:type="dxa"/>
          </w:tcPr>
          <w:p w14:paraId="49127187" w14:textId="77777777" w:rsidR="002C0FD9" w:rsidRPr="00CA25CF" w:rsidRDefault="002C0FD9" w:rsidP="00CA25CF">
            <w:pPr>
              <w:rPr>
                <w:rFonts w:cs="Arial"/>
                <w:color w:val="FF0000"/>
                <w:sz w:val="21"/>
                <w:szCs w:val="21"/>
              </w:rPr>
            </w:pPr>
          </w:p>
        </w:tc>
        <w:tc>
          <w:tcPr>
            <w:tcW w:w="217" w:type="dxa"/>
          </w:tcPr>
          <w:p w14:paraId="639A221B" w14:textId="77777777" w:rsidR="002C0FD9" w:rsidRPr="00CA25CF" w:rsidRDefault="002C0FD9" w:rsidP="00CA25CF">
            <w:pPr>
              <w:rPr>
                <w:rFonts w:cs="Arial"/>
                <w:color w:val="FF0000"/>
                <w:sz w:val="21"/>
                <w:szCs w:val="21"/>
              </w:rPr>
            </w:pPr>
          </w:p>
        </w:tc>
        <w:tc>
          <w:tcPr>
            <w:tcW w:w="217" w:type="dxa"/>
          </w:tcPr>
          <w:p w14:paraId="2B1B4C63" w14:textId="77777777" w:rsidR="002C0FD9" w:rsidRPr="00CA25CF" w:rsidRDefault="002C0FD9" w:rsidP="00CA25CF">
            <w:pPr>
              <w:rPr>
                <w:rFonts w:cs="Arial"/>
                <w:color w:val="FF0000"/>
                <w:sz w:val="21"/>
                <w:szCs w:val="21"/>
              </w:rPr>
            </w:pPr>
          </w:p>
        </w:tc>
        <w:tc>
          <w:tcPr>
            <w:tcW w:w="217" w:type="dxa"/>
          </w:tcPr>
          <w:p w14:paraId="514E3EFE" w14:textId="77777777" w:rsidR="002C0FD9" w:rsidRPr="00CA25CF" w:rsidRDefault="002C0FD9" w:rsidP="00CA25CF">
            <w:pPr>
              <w:rPr>
                <w:rFonts w:cs="Arial"/>
                <w:color w:val="FF0000"/>
                <w:sz w:val="21"/>
                <w:szCs w:val="21"/>
              </w:rPr>
            </w:pPr>
          </w:p>
        </w:tc>
        <w:tc>
          <w:tcPr>
            <w:tcW w:w="217" w:type="dxa"/>
          </w:tcPr>
          <w:p w14:paraId="41D3659F" w14:textId="77777777" w:rsidR="002C0FD9" w:rsidRPr="00CA25CF" w:rsidRDefault="002C0FD9" w:rsidP="00CA25CF">
            <w:pPr>
              <w:rPr>
                <w:rFonts w:cs="Arial"/>
                <w:color w:val="FF0000"/>
                <w:sz w:val="21"/>
                <w:szCs w:val="21"/>
              </w:rPr>
            </w:pPr>
          </w:p>
        </w:tc>
        <w:tc>
          <w:tcPr>
            <w:tcW w:w="217" w:type="dxa"/>
          </w:tcPr>
          <w:p w14:paraId="65EE6C50" w14:textId="77777777" w:rsidR="002C0FD9" w:rsidRPr="00CA25CF" w:rsidRDefault="002C0FD9" w:rsidP="00CA25CF">
            <w:pPr>
              <w:rPr>
                <w:rFonts w:cs="Arial"/>
                <w:color w:val="FF0000"/>
                <w:sz w:val="21"/>
                <w:szCs w:val="21"/>
              </w:rPr>
            </w:pPr>
          </w:p>
        </w:tc>
        <w:tc>
          <w:tcPr>
            <w:tcW w:w="217" w:type="dxa"/>
          </w:tcPr>
          <w:p w14:paraId="06BE13F4" w14:textId="77777777" w:rsidR="002C0FD9" w:rsidRPr="00CA25CF" w:rsidRDefault="002C0FD9" w:rsidP="00CA25CF">
            <w:pPr>
              <w:rPr>
                <w:rFonts w:cs="Arial"/>
                <w:color w:val="FF0000"/>
                <w:sz w:val="21"/>
                <w:szCs w:val="21"/>
              </w:rPr>
            </w:pPr>
          </w:p>
        </w:tc>
        <w:tc>
          <w:tcPr>
            <w:tcW w:w="217" w:type="dxa"/>
          </w:tcPr>
          <w:p w14:paraId="451037C7" w14:textId="77777777" w:rsidR="002C0FD9" w:rsidRPr="00CA25CF" w:rsidRDefault="002C0FD9" w:rsidP="00CA25CF">
            <w:pPr>
              <w:rPr>
                <w:rFonts w:cs="Arial"/>
                <w:color w:val="FF0000"/>
                <w:sz w:val="21"/>
                <w:szCs w:val="21"/>
              </w:rPr>
            </w:pPr>
          </w:p>
        </w:tc>
        <w:tc>
          <w:tcPr>
            <w:tcW w:w="217" w:type="dxa"/>
          </w:tcPr>
          <w:p w14:paraId="1A38B9B8" w14:textId="77777777" w:rsidR="002C0FD9" w:rsidRPr="00CA25CF" w:rsidRDefault="002C0FD9" w:rsidP="00CA25CF">
            <w:pPr>
              <w:rPr>
                <w:rFonts w:cs="Arial"/>
                <w:color w:val="FF0000"/>
                <w:sz w:val="21"/>
                <w:szCs w:val="21"/>
              </w:rPr>
            </w:pPr>
          </w:p>
        </w:tc>
        <w:tc>
          <w:tcPr>
            <w:tcW w:w="217" w:type="dxa"/>
          </w:tcPr>
          <w:p w14:paraId="0D3974F4" w14:textId="77777777" w:rsidR="002C0FD9" w:rsidRPr="00CA25CF" w:rsidRDefault="002C0FD9" w:rsidP="00CA25CF">
            <w:pPr>
              <w:rPr>
                <w:rFonts w:cs="Arial"/>
                <w:color w:val="FF0000"/>
                <w:sz w:val="21"/>
                <w:szCs w:val="21"/>
              </w:rPr>
            </w:pPr>
          </w:p>
        </w:tc>
        <w:tc>
          <w:tcPr>
            <w:tcW w:w="217" w:type="dxa"/>
          </w:tcPr>
          <w:p w14:paraId="70487573" w14:textId="77777777" w:rsidR="002C0FD9" w:rsidRPr="00CA25CF" w:rsidRDefault="002C0FD9" w:rsidP="00CA25CF">
            <w:pPr>
              <w:rPr>
                <w:rFonts w:cs="Arial"/>
                <w:color w:val="FF0000"/>
                <w:sz w:val="21"/>
                <w:szCs w:val="21"/>
              </w:rPr>
            </w:pPr>
          </w:p>
        </w:tc>
        <w:tc>
          <w:tcPr>
            <w:tcW w:w="217" w:type="dxa"/>
          </w:tcPr>
          <w:p w14:paraId="26CEC18D" w14:textId="77777777" w:rsidR="002C0FD9" w:rsidRPr="00CA25CF" w:rsidRDefault="002C0FD9" w:rsidP="00CA25CF">
            <w:pPr>
              <w:rPr>
                <w:rFonts w:cs="Arial"/>
                <w:color w:val="FF0000"/>
                <w:sz w:val="21"/>
                <w:szCs w:val="21"/>
              </w:rPr>
            </w:pPr>
          </w:p>
        </w:tc>
        <w:tc>
          <w:tcPr>
            <w:tcW w:w="217" w:type="dxa"/>
          </w:tcPr>
          <w:p w14:paraId="64E412F7" w14:textId="77777777" w:rsidR="002C0FD9" w:rsidRPr="00CA25CF" w:rsidRDefault="002C0FD9" w:rsidP="00CA25CF">
            <w:pPr>
              <w:rPr>
                <w:rFonts w:cs="Arial"/>
                <w:color w:val="FF0000"/>
                <w:sz w:val="21"/>
                <w:szCs w:val="21"/>
              </w:rPr>
            </w:pPr>
          </w:p>
        </w:tc>
        <w:tc>
          <w:tcPr>
            <w:tcW w:w="217" w:type="dxa"/>
          </w:tcPr>
          <w:p w14:paraId="1CB87848" w14:textId="77777777" w:rsidR="002C0FD9" w:rsidRPr="00CA25CF" w:rsidRDefault="002C0FD9" w:rsidP="00CA25CF">
            <w:pPr>
              <w:rPr>
                <w:rFonts w:cs="Arial"/>
                <w:color w:val="FF0000"/>
                <w:sz w:val="21"/>
                <w:szCs w:val="21"/>
              </w:rPr>
            </w:pPr>
          </w:p>
        </w:tc>
        <w:tc>
          <w:tcPr>
            <w:tcW w:w="217" w:type="dxa"/>
          </w:tcPr>
          <w:p w14:paraId="6BEB20DE" w14:textId="77777777" w:rsidR="002C0FD9" w:rsidRPr="00CA25CF" w:rsidRDefault="002C0FD9" w:rsidP="00CA25CF">
            <w:pPr>
              <w:rPr>
                <w:rFonts w:cs="Arial"/>
                <w:color w:val="FF0000"/>
                <w:sz w:val="21"/>
                <w:szCs w:val="21"/>
              </w:rPr>
            </w:pPr>
          </w:p>
        </w:tc>
        <w:tc>
          <w:tcPr>
            <w:tcW w:w="217" w:type="dxa"/>
          </w:tcPr>
          <w:p w14:paraId="3658E620" w14:textId="77777777" w:rsidR="002C0FD9" w:rsidRPr="00CA25CF" w:rsidRDefault="002C0FD9" w:rsidP="00CA25CF">
            <w:pPr>
              <w:rPr>
                <w:rFonts w:cs="Arial"/>
                <w:color w:val="FF0000"/>
                <w:sz w:val="21"/>
                <w:szCs w:val="21"/>
              </w:rPr>
            </w:pPr>
          </w:p>
        </w:tc>
        <w:tc>
          <w:tcPr>
            <w:tcW w:w="217" w:type="dxa"/>
          </w:tcPr>
          <w:p w14:paraId="0B812EAC" w14:textId="77777777" w:rsidR="002C0FD9" w:rsidRPr="00CA25CF" w:rsidRDefault="002C0FD9" w:rsidP="00CA25CF">
            <w:pPr>
              <w:rPr>
                <w:rFonts w:cs="Arial"/>
                <w:color w:val="FF0000"/>
                <w:sz w:val="21"/>
                <w:szCs w:val="21"/>
              </w:rPr>
            </w:pPr>
          </w:p>
        </w:tc>
      </w:tr>
      <w:tr w:rsidR="002C0FD9" w:rsidRPr="00A16219" w14:paraId="2D96E584" w14:textId="77777777" w:rsidTr="002C0FD9">
        <w:trPr>
          <w:trHeight w:val="635"/>
        </w:trPr>
        <w:tc>
          <w:tcPr>
            <w:tcW w:w="515" w:type="dxa"/>
          </w:tcPr>
          <w:p w14:paraId="6873574E" w14:textId="77777777" w:rsidR="002C0FD9" w:rsidRPr="00CA25CF" w:rsidRDefault="002C0FD9" w:rsidP="00CA25CF">
            <w:pPr>
              <w:rPr>
                <w:rFonts w:cs="Arial"/>
                <w:color w:val="FF0000"/>
                <w:sz w:val="21"/>
                <w:szCs w:val="21"/>
              </w:rPr>
            </w:pPr>
          </w:p>
        </w:tc>
        <w:tc>
          <w:tcPr>
            <w:tcW w:w="217" w:type="dxa"/>
          </w:tcPr>
          <w:p w14:paraId="2BE92806" w14:textId="77777777" w:rsidR="002C0FD9" w:rsidRPr="00CA25CF" w:rsidRDefault="002C0FD9" w:rsidP="00CA25CF">
            <w:pPr>
              <w:rPr>
                <w:rFonts w:cs="Arial"/>
                <w:color w:val="FF0000"/>
                <w:sz w:val="21"/>
                <w:szCs w:val="21"/>
              </w:rPr>
            </w:pPr>
          </w:p>
        </w:tc>
        <w:tc>
          <w:tcPr>
            <w:tcW w:w="217" w:type="dxa"/>
          </w:tcPr>
          <w:p w14:paraId="2AB13C1B" w14:textId="77777777" w:rsidR="002C0FD9" w:rsidRPr="00CA25CF" w:rsidRDefault="002C0FD9" w:rsidP="00CA25CF">
            <w:pPr>
              <w:rPr>
                <w:rFonts w:cs="Arial"/>
                <w:color w:val="FF0000"/>
                <w:sz w:val="21"/>
                <w:szCs w:val="21"/>
              </w:rPr>
            </w:pPr>
          </w:p>
        </w:tc>
        <w:tc>
          <w:tcPr>
            <w:tcW w:w="217" w:type="dxa"/>
          </w:tcPr>
          <w:p w14:paraId="6C5BAE0C" w14:textId="77777777" w:rsidR="002C0FD9" w:rsidRPr="00CA25CF" w:rsidRDefault="002C0FD9" w:rsidP="00CA25CF">
            <w:pPr>
              <w:rPr>
                <w:rFonts w:cs="Arial"/>
                <w:color w:val="FF0000"/>
                <w:sz w:val="21"/>
                <w:szCs w:val="21"/>
              </w:rPr>
            </w:pPr>
          </w:p>
        </w:tc>
        <w:tc>
          <w:tcPr>
            <w:tcW w:w="217" w:type="dxa"/>
          </w:tcPr>
          <w:p w14:paraId="14310530" w14:textId="77777777" w:rsidR="002C0FD9" w:rsidRPr="00CA25CF" w:rsidRDefault="002C0FD9" w:rsidP="00CA25CF">
            <w:pPr>
              <w:rPr>
                <w:rFonts w:cs="Arial"/>
                <w:color w:val="FF0000"/>
                <w:sz w:val="21"/>
                <w:szCs w:val="21"/>
              </w:rPr>
            </w:pPr>
          </w:p>
        </w:tc>
        <w:tc>
          <w:tcPr>
            <w:tcW w:w="217" w:type="dxa"/>
          </w:tcPr>
          <w:p w14:paraId="37A0BB75" w14:textId="77777777" w:rsidR="002C0FD9" w:rsidRPr="00CA25CF" w:rsidRDefault="002C0FD9" w:rsidP="00CA25CF">
            <w:pPr>
              <w:rPr>
                <w:rFonts w:cs="Arial"/>
                <w:color w:val="FF0000"/>
                <w:sz w:val="21"/>
                <w:szCs w:val="21"/>
              </w:rPr>
            </w:pPr>
          </w:p>
        </w:tc>
        <w:tc>
          <w:tcPr>
            <w:tcW w:w="217" w:type="dxa"/>
          </w:tcPr>
          <w:p w14:paraId="2C445A1C" w14:textId="77777777" w:rsidR="002C0FD9" w:rsidRPr="00CA25CF" w:rsidRDefault="002C0FD9" w:rsidP="00CA25CF">
            <w:pPr>
              <w:rPr>
                <w:rFonts w:cs="Arial"/>
                <w:color w:val="FF0000"/>
                <w:sz w:val="21"/>
                <w:szCs w:val="21"/>
              </w:rPr>
            </w:pPr>
          </w:p>
        </w:tc>
        <w:tc>
          <w:tcPr>
            <w:tcW w:w="217" w:type="dxa"/>
          </w:tcPr>
          <w:p w14:paraId="5541BF82" w14:textId="77777777" w:rsidR="002C0FD9" w:rsidRPr="00CA25CF" w:rsidRDefault="002C0FD9" w:rsidP="00CA25CF">
            <w:pPr>
              <w:rPr>
                <w:rFonts w:cs="Arial"/>
                <w:color w:val="FF0000"/>
                <w:sz w:val="21"/>
                <w:szCs w:val="21"/>
              </w:rPr>
            </w:pPr>
          </w:p>
        </w:tc>
        <w:tc>
          <w:tcPr>
            <w:tcW w:w="217" w:type="dxa"/>
          </w:tcPr>
          <w:p w14:paraId="565CC82D" w14:textId="77777777" w:rsidR="002C0FD9" w:rsidRPr="00CA25CF" w:rsidRDefault="002C0FD9" w:rsidP="00CA25CF">
            <w:pPr>
              <w:rPr>
                <w:rFonts w:cs="Arial"/>
                <w:color w:val="FF0000"/>
                <w:sz w:val="21"/>
                <w:szCs w:val="21"/>
              </w:rPr>
            </w:pPr>
          </w:p>
        </w:tc>
        <w:tc>
          <w:tcPr>
            <w:tcW w:w="217" w:type="dxa"/>
          </w:tcPr>
          <w:p w14:paraId="40783A0B" w14:textId="77777777" w:rsidR="002C0FD9" w:rsidRPr="00CA25CF" w:rsidRDefault="002C0FD9" w:rsidP="00CA25CF">
            <w:pPr>
              <w:rPr>
                <w:rFonts w:cs="Arial"/>
                <w:color w:val="FF0000"/>
                <w:sz w:val="21"/>
                <w:szCs w:val="21"/>
              </w:rPr>
            </w:pPr>
          </w:p>
        </w:tc>
        <w:tc>
          <w:tcPr>
            <w:tcW w:w="217" w:type="dxa"/>
          </w:tcPr>
          <w:p w14:paraId="5F578DB6" w14:textId="77777777" w:rsidR="002C0FD9" w:rsidRPr="00CA25CF" w:rsidRDefault="002C0FD9" w:rsidP="00CA25CF">
            <w:pPr>
              <w:rPr>
                <w:rFonts w:cs="Arial"/>
                <w:color w:val="FF0000"/>
                <w:sz w:val="21"/>
                <w:szCs w:val="21"/>
              </w:rPr>
            </w:pPr>
          </w:p>
        </w:tc>
        <w:tc>
          <w:tcPr>
            <w:tcW w:w="217" w:type="dxa"/>
          </w:tcPr>
          <w:p w14:paraId="3CE47787" w14:textId="77777777" w:rsidR="002C0FD9" w:rsidRPr="00CA25CF" w:rsidRDefault="002C0FD9" w:rsidP="00CA25CF">
            <w:pPr>
              <w:rPr>
                <w:rFonts w:cs="Arial"/>
                <w:color w:val="FF0000"/>
                <w:sz w:val="21"/>
                <w:szCs w:val="21"/>
              </w:rPr>
            </w:pPr>
          </w:p>
        </w:tc>
        <w:tc>
          <w:tcPr>
            <w:tcW w:w="217" w:type="dxa"/>
          </w:tcPr>
          <w:p w14:paraId="23CA4BEA" w14:textId="77777777" w:rsidR="002C0FD9" w:rsidRPr="00CA25CF" w:rsidRDefault="002C0FD9" w:rsidP="00CA25CF">
            <w:pPr>
              <w:rPr>
                <w:rFonts w:cs="Arial"/>
                <w:color w:val="FF0000"/>
                <w:sz w:val="21"/>
                <w:szCs w:val="21"/>
              </w:rPr>
            </w:pPr>
          </w:p>
        </w:tc>
        <w:tc>
          <w:tcPr>
            <w:tcW w:w="217" w:type="dxa"/>
          </w:tcPr>
          <w:p w14:paraId="22CF09A1" w14:textId="77777777" w:rsidR="002C0FD9" w:rsidRPr="00CA25CF" w:rsidRDefault="002C0FD9" w:rsidP="00CA25CF">
            <w:pPr>
              <w:rPr>
                <w:rFonts w:cs="Arial"/>
                <w:color w:val="FF0000"/>
                <w:sz w:val="21"/>
                <w:szCs w:val="21"/>
              </w:rPr>
            </w:pPr>
          </w:p>
        </w:tc>
        <w:tc>
          <w:tcPr>
            <w:tcW w:w="217" w:type="dxa"/>
          </w:tcPr>
          <w:p w14:paraId="7BB1331C" w14:textId="77777777" w:rsidR="002C0FD9" w:rsidRPr="00CA25CF" w:rsidRDefault="002C0FD9" w:rsidP="00CA25CF">
            <w:pPr>
              <w:rPr>
                <w:rFonts w:cs="Arial"/>
                <w:color w:val="FF0000"/>
                <w:sz w:val="21"/>
                <w:szCs w:val="21"/>
              </w:rPr>
            </w:pPr>
          </w:p>
        </w:tc>
        <w:tc>
          <w:tcPr>
            <w:tcW w:w="217" w:type="dxa"/>
          </w:tcPr>
          <w:p w14:paraId="5802C044" w14:textId="77777777" w:rsidR="002C0FD9" w:rsidRPr="00CA25CF" w:rsidRDefault="002C0FD9" w:rsidP="00CA25CF">
            <w:pPr>
              <w:rPr>
                <w:rFonts w:cs="Arial"/>
                <w:color w:val="FF0000"/>
                <w:sz w:val="21"/>
                <w:szCs w:val="21"/>
              </w:rPr>
            </w:pPr>
          </w:p>
        </w:tc>
        <w:tc>
          <w:tcPr>
            <w:tcW w:w="217" w:type="dxa"/>
          </w:tcPr>
          <w:p w14:paraId="7C96DDB8" w14:textId="77777777" w:rsidR="002C0FD9" w:rsidRPr="00CA25CF" w:rsidRDefault="002C0FD9" w:rsidP="00CA25CF">
            <w:pPr>
              <w:rPr>
                <w:rFonts w:cs="Arial"/>
                <w:color w:val="FF0000"/>
                <w:sz w:val="21"/>
                <w:szCs w:val="21"/>
              </w:rPr>
            </w:pPr>
          </w:p>
        </w:tc>
        <w:tc>
          <w:tcPr>
            <w:tcW w:w="217" w:type="dxa"/>
          </w:tcPr>
          <w:p w14:paraId="42C4E710" w14:textId="77777777" w:rsidR="002C0FD9" w:rsidRPr="00CA25CF" w:rsidRDefault="002C0FD9" w:rsidP="00CA25CF">
            <w:pPr>
              <w:rPr>
                <w:rFonts w:cs="Arial"/>
                <w:color w:val="FF0000"/>
                <w:sz w:val="21"/>
                <w:szCs w:val="21"/>
              </w:rPr>
            </w:pPr>
          </w:p>
        </w:tc>
        <w:tc>
          <w:tcPr>
            <w:tcW w:w="217" w:type="dxa"/>
          </w:tcPr>
          <w:p w14:paraId="16E11706" w14:textId="77777777" w:rsidR="002C0FD9" w:rsidRPr="00CA25CF" w:rsidRDefault="002C0FD9" w:rsidP="00CA25CF">
            <w:pPr>
              <w:rPr>
                <w:rFonts w:cs="Arial"/>
                <w:color w:val="FF0000"/>
                <w:sz w:val="21"/>
                <w:szCs w:val="21"/>
              </w:rPr>
            </w:pPr>
          </w:p>
        </w:tc>
        <w:tc>
          <w:tcPr>
            <w:tcW w:w="217" w:type="dxa"/>
          </w:tcPr>
          <w:p w14:paraId="543CFC39" w14:textId="77777777" w:rsidR="002C0FD9" w:rsidRPr="00CA25CF" w:rsidRDefault="002C0FD9" w:rsidP="00CA25CF">
            <w:pPr>
              <w:rPr>
                <w:rFonts w:cs="Arial"/>
                <w:color w:val="FF0000"/>
                <w:sz w:val="21"/>
                <w:szCs w:val="21"/>
              </w:rPr>
            </w:pPr>
          </w:p>
        </w:tc>
        <w:tc>
          <w:tcPr>
            <w:tcW w:w="217" w:type="dxa"/>
          </w:tcPr>
          <w:p w14:paraId="42A4F5A4" w14:textId="77777777" w:rsidR="002C0FD9" w:rsidRPr="00CA25CF" w:rsidRDefault="002C0FD9" w:rsidP="00CA25CF">
            <w:pPr>
              <w:rPr>
                <w:rFonts w:cs="Arial"/>
                <w:color w:val="FF0000"/>
                <w:sz w:val="21"/>
                <w:szCs w:val="21"/>
              </w:rPr>
            </w:pPr>
          </w:p>
        </w:tc>
        <w:tc>
          <w:tcPr>
            <w:tcW w:w="217" w:type="dxa"/>
          </w:tcPr>
          <w:p w14:paraId="4D7073BD" w14:textId="77777777" w:rsidR="002C0FD9" w:rsidRPr="00CA25CF" w:rsidRDefault="002C0FD9" w:rsidP="00CA25CF">
            <w:pPr>
              <w:rPr>
                <w:rFonts w:cs="Arial"/>
                <w:color w:val="FF0000"/>
                <w:sz w:val="21"/>
                <w:szCs w:val="21"/>
              </w:rPr>
            </w:pPr>
          </w:p>
        </w:tc>
        <w:tc>
          <w:tcPr>
            <w:tcW w:w="217" w:type="dxa"/>
          </w:tcPr>
          <w:p w14:paraId="6E14E75C" w14:textId="77777777" w:rsidR="002C0FD9" w:rsidRPr="00CA25CF" w:rsidRDefault="002C0FD9" w:rsidP="00CA25CF">
            <w:pPr>
              <w:rPr>
                <w:rFonts w:cs="Arial"/>
                <w:color w:val="FF0000"/>
                <w:sz w:val="21"/>
                <w:szCs w:val="21"/>
              </w:rPr>
            </w:pPr>
          </w:p>
        </w:tc>
        <w:tc>
          <w:tcPr>
            <w:tcW w:w="217" w:type="dxa"/>
          </w:tcPr>
          <w:p w14:paraId="32FC9C20" w14:textId="77777777" w:rsidR="002C0FD9" w:rsidRPr="00CA25CF" w:rsidRDefault="002C0FD9" w:rsidP="00CA25CF">
            <w:pPr>
              <w:rPr>
                <w:rFonts w:cs="Arial"/>
                <w:color w:val="FF0000"/>
                <w:sz w:val="21"/>
                <w:szCs w:val="21"/>
              </w:rPr>
            </w:pPr>
          </w:p>
        </w:tc>
        <w:tc>
          <w:tcPr>
            <w:tcW w:w="217" w:type="dxa"/>
          </w:tcPr>
          <w:p w14:paraId="1FFE3A17" w14:textId="77777777" w:rsidR="002C0FD9" w:rsidRPr="00CA25CF" w:rsidRDefault="002C0FD9" w:rsidP="00CA25CF">
            <w:pPr>
              <w:rPr>
                <w:rFonts w:cs="Arial"/>
                <w:color w:val="FF0000"/>
                <w:sz w:val="21"/>
                <w:szCs w:val="21"/>
              </w:rPr>
            </w:pPr>
          </w:p>
        </w:tc>
        <w:tc>
          <w:tcPr>
            <w:tcW w:w="217" w:type="dxa"/>
          </w:tcPr>
          <w:p w14:paraId="77073C40" w14:textId="77777777" w:rsidR="002C0FD9" w:rsidRPr="00CA25CF" w:rsidRDefault="002C0FD9" w:rsidP="00CA25CF">
            <w:pPr>
              <w:rPr>
                <w:rFonts w:cs="Arial"/>
                <w:color w:val="FF0000"/>
                <w:sz w:val="21"/>
                <w:szCs w:val="21"/>
              </w:rPr>
            </w:pPr>
          </w:p>
        </w:tc>
        <w:tc>
          <w:tcPr>
            <w:tcW w:w="217" w:type="dxa"/>
          </w:tcPr>
          <w:p w14:paraId="6B9F506B" w14:textId="77777777" w:rsidR="002C0FD9" w:rsidRPr="00CA25CF" w:rsidRDefault="002C0FD9" w:rsidP="00CA25CF">
            <w:pPr>
              <w:rPr>
                <w:rFonts w:cs="Arial"/>
                <w:color w:val="FF0000"/>
                <w:sz w:val="21"/>
                <w:szCs w:val="21"/>
              </w:rPr>
            </w:pPr>
          </w:p>
        </w:tc>
        <w:tc>
          <w:tcPr>
            <w:tcW w:w="217" w:type="dxa"/>
          </w:tcPr>
          <w:p w14:paraId="59DD0BBC" w14:textId="77777777" w:rsidR="002C0FD9" w:rsidRPr="00CA25CF" w:rsidRDefault="002C0FD9" w:rsidP="00CA25CF">
            <w:pPr>
              <w:rPr>
                <w:rFonts w:cs="Arial"/>
                <w:color w:val="FF0000"/>
                <w:sz w:val="21"/>
                <w:szCs w:val="21"/>
              </w:rPr>
            </w:pPr>
          </w:p>
        </w:tc>
        <w:tc>
          <w:tcPr>
            <w:tcW w:w="217" w:type="dxa"/>
          </w:tcPr>
          <w:p w14:paraId="101816AC" w14:textId="77777777" w:rsidR="002C0FD9" w:rsidRPr="00CA25CF" w:rsidRDefault="002C0FD9" w:rsidP="00CA25CF">
            <w:pPr>
              <w:rPr>
                <w:rFonts w:cs="Arial"/>
                <w:color w:val="FF0000"/>
                <w:sz w:val="21"/>
                <w:szCs w:val="21"/>
              </w:rPr>
            </w:pPr>
          </w:p>
        </w:tc>
        <w:tc>
          <w:tcPr>
            <w:tcW w:w="217" w:type="dxa"/>
          </w:tcPr>
          <w:p w14:paraId="072A8321" w14:textId="77777777" w:rsidR="002C0FD9" w:rsidRPr="00CA25CF" w:rsidRDefault="002C0FD9" w:rsidP="00CA25CF">
            <w:pPr>
              <w:rPr>
                <w:rFonts w:cs="Arial"/>
                <w:color w:val="FF0000"/>
                <w:sz w:val="21"/>
                <w:szCs w:val="21"/>
              </w:rPr>
            </w:pPr>
          </w:p>
        </w:tc>
        <w:tc>
          <w:tcPr>
            <w:tcW w:w="217" w:type="dxa"/>
          </w:tcPr>
          <w:p w14:paraId="04F536C6" w14:textId="77777777" w:rsidR="002C0FD9" w:rsidRPr="00CA25CF" w:rsidRDefault="002C0FD9" w:rsidP="00CA25CF">
            <w:pPr>
              <w:rPr>
                <w:rFonts w:cs="Arial"/>
                <w:color w:val="FF0000"/>
                <w:sz w:val="21"/>
                <w:szCs w:val="21"/>
              </w:rPr>
            </w:pPr>
          </w:p>
        </w:tc>
        <w:tc>
          <w:tcPr>
            <w:tcW w:w="217" w:type="dxa"/>
          </w:tcPr>
          <w:p w14:paraId="4E42FCBB" w14:textId="77777777" w:rsidR="002C0FD9" w:rsidRPr="00CA25CF" w:rsidRDefault="002C0FD9" w:rsidP="00CA25CF">
            <w:pPr>
              <w:rPr>
                <w:rFonts w:cs="Arial"/>
                <w:color w:val="FF0000"/>
                <w:sz w:val="21"/>
                <w:szCs w:val="21"/>
              </w:rPr>
            </w:pPr>
          </w:p>
        </w:tc>
        <w:tc>
          <w:tcPr>
            <w:tcW w:w="217" w:type="dxa"/>
          </w:tcPr>
          <w:p w14:paraId="7AE6719D" w14:textId="77777777" w:rsidR="002C0FD9" w:rsidRPr="00CA25CF" w:rsidRDefault="002C0FD9" w:rsidP="00CA25CF">
            <w:pPr>
              <w:rPr>
                <w:rFonts w:cs="Arial"/>
                <w:color w:val="FF0000"/>
                <w:sz w:val="21"/>
                <w:szCs w:val="21"/>
              </w:rPr>
            </w:pPr>
          </w:p>
        </w:tc>
        <w:tc>
          <w:tcPr>
            <w:tcW w:w="217" w:type="dxa"/>
          </w:tcPr>
          <w:p w14:paraId="75A19283" w14:textId="77777777" w:rsidR="002C0FD9" w:rsidRPr="00CA25CF" w:rsidRDefault="002C0FD9" w:rsidP="00CA25CF">
            <w:pPr>
              <w:rPr>
                <w:rFonts w:cs="Arial"/>
                <w:color w:val="FF0000"/>
                <w:sz w:val="21"/>
                <w:szCs w:val="21"/>
              </w:rPr>
            </w:pPr>
          </w:p>
        </w:tc>
        <w:tc>
          <w:tcPr>
            <w:tcW w:w="217" w:type="dxa"/>
          </w:tcPr>
          <w:p w14:paraId="527E9CCE" w14:textId="77777777" w:rsidR="002C0FD9" w:rsidRPr="00CA25CF" w:rsidRDefault="002C0FD9" w:rsidP="00CA25CF">
            <w:pPr>
              <w:rPr>
                <w:rFonts w:cs="Arial"/>
                <w:color w:val="FF0000"/>
                <w:sz w:val="21"/>
                <w:szCs w:val="21"/>
              </w:rPr>
            </w:pPr>
          </w:p>
        </w:tc>
        <w:tc>
          <w:tcPr>
            <w:tcW w:w="217" w:type="dxa"/>
          </w:tcPr>
          <w:p w14:paraId="5E52765B" w14:textId="77777777" w:rsidR="002C0FD9" w:rsidRPr="00CA25CF" w:rsidRDefault="002C0FD9" w:rsidP="00CA25CF">
            <w:pPr>
              <w:rPr>
                <w:rFonts w:cs="Arial"/>
                <w:color w:val="FF0000"/>
                <w:sz w:val="21"/>
                <w:szCs w:val="21"/>
              </w:rPr>
            </w:pPr>
          </w:p>
        </w:tc>
        <w:tc>
          <w:tcPr>
            <w:tcW w:w="217" w:type="dxa"/>
          </w:tcPr>
          <w:p w14:paraId="1C937400" w14:textId="77777777" w:rsidR="002C0FD9" w:rsidRPr="00CA25CF" w:rsidRDefault="002C0FD9" w:rsidP="00CA25CF">
            <w:pPr>
              <w:rPr>
                <w:rFonts w:cs="Arial"/>
                <w:color w:val="FF0000"/>
                <w:sz w:val="21"/>
                <w:szCs w:val="21"/>
              </w:rPr>
            </w:pPr>
          </w:p>
        </w:tc>
        <w:tc>
          <w:tcPr>
            <w:tcW w:w="217" w:type="dxa"/>
          </w:tcPr>
          <w:p w14:paraId="5FD5EFE7" w14:textId="77777777" w:rsidR="002C0FD9" w:rsidRPr="00CA25CF" w:rsidRDefault="002C0FD9" w:rsidP="00CA25CF">
            <w:pPr>
              <w:rPr>
                <w:rFonts w:cs="Arial"/>
                <w:color w:val="FF0000"/>
                <w:sz w:val="21"/>
                <w:szCs w:val="21"/>
              </w:rPr>
            </w:pPr>
          </w:p>
        </w:tc>
        <w:tc>
          <w:tcPr>
            <w:tcW w:w="217" w:type="dxa"/>
          </w:tcPr>
          <w:p w14:paraId="2D614AD5" w14:textId="77777777" w:rsidR="002C0FD9" w:rsidRPr="00CA25CF" w:rsidRDefault="002C0FD9" w:rsidP="00CA25CF">
            <w:pPr>
              <w:rPr>
                <w:rFonts w:cs="Arial"/>
                <w:color w:val="FF0000"/>
                <w:sz w:val="21"/>
                <w:szCs w:val="21"/>
              </w:rPr>
            </w:pPr>
          </w:p>
        </w:tc>
        <w:tc>
          <w:tcPr>
            <w:tcW w:w="217" w:type="dxa"/>
          </w:tcPr>
          <w:p w14:paraId="0880A606" w14:textId="77777777" w:rsidR="002C0FD9" w:rsidRPr="00CA25CF" w:rsidRDefault="002C0FD9" w:rsidP="00CA25CF">
            <w:pPr>
              <w:rPr>
                <w:rFonts w:cs="Arial"/>
                <w:color w:val="FF0000"/>
                <w:sz w:val="21"/>
                <w:szCs w:val="21"/>
              </w:rPr>
            </w:pPr>
          </w:p>
        </w:tc>
        <w:tc>
          <w:tcPr>
            <w:tcW w:w="217" w:type="dxa"/>
          </w:tcPr>
          <w:p w14:paraId="4A6DE316" w14:textId="77777777" w:rsidR="002C0FD9" w:rsidRPr="00CA25CF" w:rsidRDefault="002C0FD9" w:rsidP="00CA25CF">
            <w:pPr>
              <w:rPr>
                <w:rFonts w:cs="Arial"/>
                <w:color w:val="FF0000"/>
                <w:sz w:val="21"/>
                <w:szCs w:val="21"/>
              </w:rPr>
            </w:pPr>
          </w:p>
        </w:tc>
        <w:tc>
          <w:tcPr>
            <w:tcW w:w="217" w:type="dxa"/>
          </w:tcPr>
          <w:p w14:paraId="74AD9197" w14:textId="77777777" w:rsidR="002C0FD9" w:rsidRPr="00CA25CF" w:rsidRDefault="002C0FD9" w:rsidP="00CA25CF">
            <w:pPr>
              <w:rPr>
                <w:rFonts w:cs="Arial"/>
                <w:color w:val="FF0000"/>
                <w:sz w:val="21"/>
                <w:szCs w:val="21"/>
              </w:rPr>
            </w:pPr>
          </w:p>
        </w:tc>
        <w:tc>
          <w:tcPr>
            <w:tcW w:w="217" w:type="dxa"/>
          </w:tcPr>
          <w:p w14:paraId="41B73C73" w14:textId="77777777" w:rsidR="002C0FD9" w:rsidRPr="00CA25CF" w:rsidRDefault="002C0FD9" w:rsidP="00CA25CF">
            <w:pPr>
              <w:rPr>
                <w:rFonts w:cs="Arial"/>
                <w:color w:val="FF0000"/>
                <w:sz w:val="21"/>
                <w:szCs w:val="21"/>
              </w:rPr>
            </w:pPr>
          </w:p>
        </w:tc>
      </w:tr>
      <w:tr w:rsidR="002C0FD9" w:rsidRPr="00A16219" w14:paraId="40536A4D" w14:textId="77777777" w:rsidTr="002C0FD9">
        <w:trPr>
          <w:trHeight w:val="635"/>
        </w:trPr>
        <w:tc>
          <w:tcPr>
            <w:tcW w:w="515" w:type="dxa"/>
          </w:tcPr>
          <w:p w14:paraId="10EFB559" w14:textId="77777777" w:rsidR="002C0FD9" w:rsidRPr="00CA25CF" w:rsidRDefault="002C0FD9" w:rsidP="00CA25CF">
            <w:pPr>
              <w:rPr>
                <w:rFonts w:cs="Arial"/>
                <w:color w:val="FF0000"/>
                <w:sz w:val="21"/>
                <w:szCs w:val="21"/>
              </w:rPr>
            </w:pPr>
          </w:p>
        </w:tc>
        <w:tc>
          <w:tcPr>
            <w:tcW w:w="217" w:type="dxa"/>
          </w:tcPr>
          <w:p w14:paraId="570CDA3E" w14:textId="77777777" w:rsidR="002C0FD9" w:rsidRPr="00CA25CF" w:rsidRDefault="002C0FD9" w:rsidP="00CA25CF">
            <w:pPr>
              <w:rPr>
                <w:rFonts w:cs="Arial"/>
                <w:color w:val="FF0000"/>
                <w:sz w:val="21"/>
                <w:szCs w:val="21"/>
              </w:rPr>
            </w:pPr>
          </w:p>
        </w:tc>
        <w:tc>
          <w:tcPr>
            <w:tcW w:w="217" w:type="dxa"/>
          </w:tcPr>
          <w:p w14:paraId="231D5E3B" w14:textId="77777777" w:rsidR="002C0FD9" w:rsidRPr="00CA25CF" w:rsidRDefault="002C0FD9" w:rsidP="00CA25CF">
            <w:pPr>
              <w:rPr>
                <w:rFonts w:cs="Arial"/>
                <w:color w:val="FF0000"/>
                <w:sz w:val="21"/>
                <w:szCs w:val="21"/>
              </w:rPr>
            </w:pPr>
          </w:p>
        </w:tc>
        <w:tc>
          <w:tcPr>
            <w:tcW w:w="217" w:type="dxa"/>
          </w:tcPr>
          <w:p w14:paraId="38B4D1E1" w14:textId="77777777" w:rsidR="002C0FD9" w:rsidRPr="00CA25CF" w:rsidRDefault="002C0FD9" w:rsidP="00CA25CF">
            <w:pPr>
              <w:rPr>
                <w:rFonts w:cs="Arial"/>
                <w:color w:val="FF0000"/>
                <w:sz w:val="21"/>
                <w:szCs w:val="21"/>
              </w:rPr>
            </w:pPr>
          </w:p>
        </w:tc>
        <w:tc>
          <w:tcPr>
            <w:tcW w:w="217" w:type="dxa"/>
          </w:tcPr>
          <w:p w14:paraId="0BE4736B" w14:textId="77777777" w:rsidR="002C0FD9" w:rsidRPr="00CA25CF" w:rsidRDefault="002C0FD9" w:rsidP="00CA25CF">
            <w:pPr>
              <w:rPr>
                <w:rFonts w:cs="Arial"/>
                <w:color w:val="FF0000"/>
                <w:sz w:val="21"/>
                <w:szCs w:val="21"/>
              </w:rPr>
            </w:pPr>
          </w:p>
        </w:tc>
        <w:tc>
          <w:tcPr>
            <w:tcW w:w="217" w:type="dxa"/>
          </w:tcPr>
          <w:p w14:paraId="562C78B5" w14:textId="77777777" w:rsidR="002C0FD9" w:rsidRPr="00CA25CF" w:rsidRDefault="002C0FD9" w:rsidP="00CA25CF">
            <w:pPr>
              <w:rPr>
                <w:rFonts w:cs="Arial"/>
                <w:color w:val="FF0000"/>
                <w:sz w:val="21"/>
                <w:szCs w:val="21"/>
              </w:rPr>
            </w:pPr>
          </w:p>
        </w:tc>
        <w:tc>
          <w:tcPr>
            <w:tcW w:w="217" w:type="dxa"/>
          </w:tcPr>
          <w:p w14:paraId="031F915F" w14:textId="77777777" w:rsidR="002C0FD9" w:rsidRPr="00CA25CF" w:rsidRDefault="002C0FD9" w:rsidP="00CA25CF">
            <w:pPr>
              <w:rPr>
                <w:rFonts w:cs="Arial"/>
                <w:color w:val="FF0000"/>
                <w:sz w:val="21"/>
                <w:szCs w:val="21"/>
              </w:rPr>
            </w:pPr>
          </w:p>
        </w:tc>
        <w:tc>
          <w:tcPr>
            <w:tcW w:w="217" w:type="dxa"/>
          </w:tcPr>
          <w:p w14:paraId="6D18A647" w14:textId="77777777" w:rsidR="002C0FD9" w:rsidRPr="00CA25CF" w:rsidRDefault="002C0FD9" w:rsidP="00CA25CF">
            <w:pPr>
              <w:rPr>
                <w:rFonts w:cs="Arial"/>
                <w:color w:val="FF0000"/>
                <w:sz w:val="21"/>
                <w:szCs w:val="21"/>
              </w:rPr>
            </w:pPr>
          </w:p>
        </w:tc>
        <w:tc>
          <w:tcPr>
            <w:tcW w:w="217" w:type="dxa"/>
          </w:tcPr>
          <w:p w14:paraId="65AFD78C" w14:textId="77777777" w:rsidR="002C0FD9" w:rsidRPr="00CA25CF" w:rsidRDefault="002C0FD9" w:rsidP="00CA25CF">
            <w:pPr>
              <w:rPr>
                <w:rFonts w:cs="Arial"/>
                <w:color w:val="FF0000"/>
                <w:sz w:val="21"/>
                <w:szCs w:val="21"/>
              </w:rPr>
            </w:pPr>
          </w:p>
        </w:tc>
        <w:tc>
          <w:tcPr>
            <w:tcW w:w="217" w:type="dxa"/>
          </w:tcPr>
          <w:p w14:paraId="25ECF9E4" w14:textId="77777777" w:rsidR="002C0FD9" w:rsidRPr="00CA25CF" w:rsidRDefault="002C0FD9" w:rsidP="00CA25CF">
            <w:pPr>
              <w:rPr>
                <w:rFonts w:cs="Arial"/>
                <w:color w:val="FF0000"/>
                <w:sz w:val="21"/>
                <w:szCs w:val="21"/>
              </w:rPr>
            </w:pPr>
          </w:p>
        </w:tc>
        <w:tc>
          <w:tcPr>
            <w:tcW w:w="217" w:type="dxa"/>
          </w:tcPr>
          <w:p w14:paraId="0F3B661D" w14:textId="77777777" w:rsidR="002C0FD9" w:rsidRPr="00CA25CF" w:rsidRDefault="002C0FD9" w:rsidP="00CA25CF">
            <w:pPr>
              <w:rPr>
                <w:rFonts w:cs="Arial"/>
                <w:color w:val="FF0000"/>
                <w:sz w:val="21"/>
                <w:szCs w:val="21"/>
              </w:rPr>
            </w:pPr>
          </w:p>
        </w:tc>
        <w:tc>
          <w:tcPr>
            <w:tcW w:w="217" w:type="dxa"/>
          </w:tcPr>
          <w:p w14:paraId="74C9288B" w14:textId="77777777" w:rsidR="002C0FD9" w:rsidRPr="00CA25CF" w:rsidRDefault="002C0FD9" w:rsidP="00CA25CF">
            <w:pPr>
              <w:rPr>
                <w:rFonts w:cs="Arial"/>
                <w:color w:val="FF0000"/>
                <w:sz w:val="21"/>
                <w:szCs w:val="21"/>
              </w:rPr>
            </w:pPr>
          </w:p>
        </w:tc>
        <w:tc>
          <w:tcPr>
            <w:tcW w:w="217" w:type="dxa"/>
          </w:tcPr>
          <w:p w14:paraId="64255DAC" w14:textId="77777777" w:rsidR="002C0FD9" w:rsidRPr="00CA25CF" w:rsidRDefault="002C0FD9" w:rsidP="00CA25CF">
            <w:pPr>
              <w:rPr>
                <w:rFonts w:cs="Arial"/>
                <w:color w:val="FF0000"/>
                <w:sz w:val="21"/>
                <w:szCs w:val="21"/>
              </w:rPr>
            </w:pPr>
          </w:p>
        </w:tc>
        <w:tc>
          <w:tcPr>
            <w:tcW w:w="217" w:type="dxa"/>
          </w:tcPr>
          <w:p w14:paraId="08876F06" w14:textId="77777777" w:rsidR="002C0FD9" w:rsidRPr="00CA25CF" w:rsidRDefault="002C0FD9" w:rsidP="00CA25CF">
            <w:pPr>
              <w:rPr>
                <w:rFonts w:cs="Arial"/>
                <w:color w:val="FF0000"/>
                <w:sz w:val="21"/>
                <w:szCs w:val="21"/>
              </w:rPr>
            </w:pPr>
          </w:p>
        </w:tc>
        <w:tc>
          <w:tcPr>
            <w:tcW w:w="217" w:type="dxa"/>
          </w:tcPr>
          <w:p w14:paraId="4EBADCFF" w14:textId="77777777" w:rsidR="002C0FD9" w:rsidRPr="00CA25CF" w:rsidRDefault="002C0FD9" w:rsidP="00CA25CF">
            <w:pPr>
              <w:rPr>
                <w:rFonts w:cs="Arial"/>
                <w:color w:val="FF0000"/>
                <w:sz w:val="21"/>
                <w:szCs w:val="21"/>
              </w:rPr>
            </w:pPr>
          </w:p>
        </w:tc>
        <w:tc>
          <w:tcPr>
            <w:tcW w:w="217" w:type="dxa"/>
          </w:tcPr>
          <w:p w14:paraId="71BCF5BB" w14:textId="77777777" w:rsidR="002C0FD9" w:rsidRPr="00CA25CF" w:rsidRDefault="002C0FD9" w:rsidP="00CA25CF">
            <w:pPr>
              <w:rPr>
                <w:rFonts w:cs="Arial"/>
                <w:color w:val="FF0000"/>
                <w:sz w:val="21"/>
                <w:szCs w:val="21"/>
              </w:rPr>
            </w:pPr>
          </w:p>
        </w:tc>
        <w:tc>
          <w:tcPr>
            <w:tcW w:w="217" w:type="dxa"/>
          </w:tcPr>
          <w:p w14:paraId="792BF1A1" w14:textId="77777777" w:rsidR="002C0FD9" w:rsidRPr="00CA25CF" w:rsidRDefault="002C0FD9" w:rsidP="00CA25CF">
            <w:pPr>
              <w:rPr>
                <w:rFonts w:cs="Arial"/>
                <w:color w:val="FF0000"/>
                <w:sz w:val="21"/>
                <w:szCs w:val="21"/>
              </w:rPr>
            </w:pPr>
          </w:p>
        </w:tc>
        <w:tc>
          <w:tcPr>
            <w:tcW w:w="217" w:type="dxa"/>
          </w:tcPr>
          <w:p w14:paraId="25E1A081" w14:textId="77777777" w:rsidR="002C0FD9" w:rsidRPr="00CA25CF" w:rsidRDefault="002C0FD9" w:rsidP="00CA25CF">
            <w:pPr>
              <w:rPr>
                <w:rFonts w:cs="Arial"/>
                <w:color w:val="FF0000"/>
                <w:sz w:val="21"/>
                <w:szCs w:val="21"/>
              </w:rPr>
            </w:pPr>
          </w:p>
        </w:tc>
        <w:tc>
          <w:tcPr>
            <w:tcW w:w="217" w:type="dxa"/>
          </w:tcPr>
          <w:p w14:paraId="5BD747CF" w14:textId="77777777" w:rsidR="002C0FD9" w:rsidRPr="00CA25CF" w:rsidRDefault="002C0FD9" w:rsidP="00CA25CF">
            <w:pPr>
              <w:rPr>
                <w:rFonts w:cs="Arial"/>
                <w:color w:val="FF0000"/>
                <w:sz w:val="21"/>
                <w:szCs w:val="21"/>
              </w:rPr>
            </w:pPr>
          </w:p>
        </w:tc>
        <w:tc>
          <w:tcPr>
            <w:tcW w:w="217" w:type="dxa"/>
          </w:tcPr>
          <w:p w14:paraId="6CEAACF5" w14:textId="77777777" w:rsidR="002C0FD9" w:rsidRPr="00CA25CF" w:rsidRDefault="002C0FD9" w:rsidP="00CA25CF">
            <w:pPr>
              <w:rPr>
                <w:rFonts w:cs="Arial"/>
                <w:color w:val="FF0000"/>
                <w:sz w:val="21"/>
                <w:szCs w:val="21"/>
              </w:rPr>
            </w:pPr>
          </w:p>
        </w:tc>
        <w:tc>
          <w:tcPr>
            <w:tcW w:w="217" w:type="dxa"/>
          </w:tcPr>
          <w:p w14:paraId="01FA2E44" w14:textId="77777777" w:rsidR="002C0FD9" w:rsidRPr="00CA25CF" w:rsidRDefault="002C0FD9" w:rsidP="00CA25CF">
            <w:pPr>
              <w:rPr>
                <w:rFonts w:cs="Arial"/>
                <w:color w:val="FF0000"/>
                <w:sz w:val="21"/>
                <w:szCs w:val="21"/>
              </w:rPr>
            </w:pPr>
          </w:p>
        </w:tc>
        <w:tc>
          <w:tcPr>
            <w:tcW w:w="217" w:type="dxa"/>
          </w:tcPr>
          <w:p w14:paraId="75CD9289" w14:textId="77777777" w:rsidR="002C0FD9" w:rsidRPr="00CA25CF" w:rsidRDefault="002C0FD9" w:rsidP="00CA25CF">
            <w:pPr>
              <w:rPr>
                <w:rFonts w:cs="Arial"/>
                <w:color w:val="FF0000"/>
                <w:sz w:val="21"/>
                <w:szCs w:val="21"/>
              </w:rPr>
            </w:pPr>
          </w:p>
        </w:tc>
        <w:tc>
          <w:tcPr>
            <w:tcW w:w="217" w:type="dxa"/>
          </w:tcPr>
          <w:p w14:paraId="6A7B7593" w14:textId="77777777" w:rsidR="002C0FD9" w:rsidRPr="00CA25CF" w:rsidRDefault="002C0FD9" w:rsidP="00CA25CF">
            <w:pPr>
              <w:rPr>
                <w:rFonts w:cs="Arial"/>
                <w:color w:val="FF0000"/>
                <w:sz w:val="21"/>
                <w:szCs w:val="21"/>
              </w:rPr>
            </w:pPr>
          </w:p>
        </w:tc>
        <w:tc>
          <w:tcPr>
            <w:tcW w:w="217" w:type="dxa"/>
          </w:tcPr>
          <w:p w14:paraId="1D5A7713" w14:textId="77777777" w:rsidR="002C0FD9" w:rsidRPr="00CA25CF" w:rsidRDefault="002C0FD9" w:rsidP="00CA25CF">
            <w:pPr>
              <w:rPr>
                <w:rFonts w:cs="Arial"/>
                <w:color w:val="FF0000"/>
                <w:sz w:val="21"/>
                <w:szCs w:val="21"/>
              </w:rPr>
            </w:pPr>
          </w:p>
        </w:tc>
        <w:tc>
          <w:tcPr>
            <w:tcW w:w="217" w:type="dxa"/>
          </w:tcPr>
          <w:p w14:paraId="3296D23E" w14:textId="77777777" w:rsidR="002C0FD9" w:rsidRPr="00CA25CF" w:rsidRDefault="002C0FD9" w:rsidP="00CA25CF">
            <w:pPr>
              <w:rPr>
                <w:rFonts w:cs="Arial"/>
                <w:color w:val="FF0000"/>
                <w:sz w:val="21"/>
                <w:szCs w:val="21"/>
              </w:rPr>
            </w:pPr>
          </w:p>
        </w:tc>
        <w:tc>
          <w:tcPr>
            <w:tcW w:w="217" w:type="dxa"/>
          </w:tcPr>
          <w:p w14:paraId="5F0C7328" w14:textId="77777777" w:rsidR="002C0FD9" w:rsidRPr="00CA25CF" w:rsidRDefault="002C0FD9" w:rsidP="00CA25CF">
            <w:pPr>
              <w:rPr>
                <w:rFonts w:cs="Arial"/>
                <w:color w:val="FF0000"/>
                <w:sz w:val="21"/>
                <w:szCs w:val="21"/>
              </w:rPr>
            </w:pPr>
          </w:p>
        </w:tc>
        <w:tc>
          <w:tcPr>
            <w:tcW w:w="217" w:type="dxa"/>
          </w:tcPr>
          <w:p w14:paraId="7BAAAF2D" w14:textId="77777777" w:rsidR="002C0FD9" w:rsidRPr="00CA25CF" w:rsidRDefault="002C0FD9" w:rsidP="00CA25CF">
            <w:pPr>
              <w:rPr>
                <w:rFonts w:cs="Arial"/>
                <w:color w:val="FF0000"/>
                <w:sz w:val="21"/>
                <w:szCs w:val="21"/>
              </w:rPr>
            </w:pPr>
          </w:p>
        </w:tc>
        <w:tc>
          <w:tcPr>
            <w:tcW w:w="217" w:type="dxa"/>
          </w:tcPr>
          <w:p w14:paraId="5E0F55E5" w14:textId="77777777" w:rsidR="002C0FD9" w:rsidRPr="00CA25CF" w:rsidRDefault="002C0FD9" w:rsidP="00CA25CF">
            <w:pPr>
              <w:rPr>
                <w:rFonts w:cs="Arial"/>
                <w:color w:val="FF0000"/>
                <w:sz w:val="21"/>
                <w:szCs w:val="21"/>
              </w:rPr>
            </w:pPr>
          </w:p>
        </w:tc>
        <w:tc>
          <w:tcPr>
            <w:tcW w:w="217" w:type="dxa"/>
          </w:tcPr>
          <w:p w14:paraId="0D5F1879" w14:textId="77777777" w:rsidR="002C0FD9" w:rsidRPr="00CA25CF" w:rsidRDefault="002C0FD9" w:rsidP="00CA25CF">
            <w:pPr>
              <w:rPr>
                <w:rFonts w:cs="Arial"/>
                <w:color w:val="FF0000"/>
                <w:sz w:val="21"/>
                <w:szCs w:val="21"/>
              </w:rPr>
            </w:pPr>
          </w:p>
        </w:tc>
        <w:tc>
          <w:tcPr>
            <w:tcW w:w="217" w:type="dxa"/>
          </w:tcPr>
          <w:p w14:paraId="143A8B1D" w14:textId="77777777" w:rsidR="002C0FD9" w:rsidRPr="00CA25CF" w:rsidRDefault="002C0FD9" w:rsidP="00CA25CF">
            <w:pPr>
              <w:rPr>
                <w:rFonts w:cs="Arial"/>
                <w:color w:val="FF0000"/>
                <w:sz w:val="21"/>
                <w:szCs w:val="21"/>
              </w:rPr>
            </w:pPr>
          </w:p>
        </w:tc>
        <w:tc>
          <w:tcPr>
            <w:tcW w:w="217" w:type="dxa"/>
          </w:tcPr>
          <w:p w14:paraId="24F79102" w14:textId="77777777" w:rsidR="002C0FD9" w:rsidRPr="00CA25CF" w:rsidRDefault="002C0FD9" w:rsidP="00CA25CF">
            <w:pPr>
              <w:rPr>
                <w:rFonts w:cs="Arial"/>
                <w:color w:val="FF0000"/>
                <w:sz w:val="21"/>
                <w:szCs w:val="21"/>
              </w:rPr>
            </w:pPr>
          </w:p>
        </w:tc>
        <w:tc>
          <w:tcPr>
            <w:tcW w:w="217" w:type="dxa"/>
          </w:tcPr>
          <w:p w14:paraId="4882B96A" w14:textId="77777777" w:rsidR="002C0FD9" w:rsidRPr="00CA25CF" w:rsidRDefault="002C0FD9" w:rsidP="00CA25CF">
            <w:pPr>
              <w:rPr>
                <w:rFonts w:cs="Arial"/>
                <w:color w:val="FF0000"/>
                <w:sz w:val="21"/>
                <w:szCs w:val="21"/>
              </w:rPr>
            </w:pPr>
          </w:p>
        </w:tc>
        <w:tc>
          <w:tcPr>
            <w:tcW w:w="217" w:type="dxa"/>
          </w:tcPr>
          <w:p w14:paraId="5A10007B" w14:textId="77777777" w:rsidR="002C0FD9" w:rsidRPr="00CA25CF" w:rsidRDefault="002C0FD9" w:rsidP="00CA25CF">
            <w:pPr>
              <w:rPr>
                <w:rFonts w:cs="Arial"/>
                <w:color w:val="FF0000"/>
                <w:sz w:val="21"/>
                <w:szCs w:val="21"/>
              </w:rPr>
            </w:pPr>
          </w:p>
        </w:tc>
        <w:tc>
          <w:tcPr>
            <w:tcW w:w="217" w:type="dxa"/>
          </w:tcPr>
          <w:p w14:paraId="32EF5AE2" w14:textId="77777777" w:rsidR="002C0FD9" w:rsidRPr="00CA25CF" w:rsidRDefault="002C0FD9" w:rsidP="00CA25CF">
            <w:pPr>
              <w:rPr>
                <w:rFonts w:cs="Arial"/>
                <w:color w:val="FF0000"/>
                <w:sz w:val="21"/>
                <w:szCs w:val="21"/>
              </w:rPr>
            </w:pPr>
          </w:p>
        </w:tc>
        <w:tc>
          <w:tcPr>
            <w:tcW w:w="217" w:type="dxa"/>
          </w:tcPr>
          <w:p w14:paraId="237E4EAB" w14:textId="77777777" w:rsidR="002C0FD9" w:rsidRPr="00CA25CF" w:rsidRDefault="002C0FD9" w:rsidP="00CA25CF">
            <w:pPr>
              <w:rPr>
                <w:rFonts w:cs="Arial"/>
                <w:color w:val="FF0000"/>
                <w:sz w:val="21"/>
                <w:szCs w:val="21"/>
              </w:rPr>
            </w:pPr>
          </w:p>
        </w:tc>
        <w:tc>
          <w:tcPr>
            <w:tcW w:w="217" w:type="dxa"/>
          </w:tcPr>
          <w:p w14:paraId="3F9CC34C" w14:textId="77777777" w:rsidR="002C0FD9" w:rsidRPr="00CA25CF" w:rsidRDefault="002C0FD9" w:rsidP="00CA25CF">
            <w:pPr>
              <w:rPr>
                <w:rFonts w:cs="Arial"/>
                <w:color w:val="FF0000"/>
                <w:sz w:val="21"/>
                <w:szCs w:val="21"/>
              </w:rPr>
            </w:pPr>
          </w:p>
        </w:tc>
        <w:tc>
          <w:tcPr>
            <w:tcW w:w="217" w:type="dxa"/>
          </w:tcPr>
          <w:p w14:paraId="7BFD17E4" w14:textId="77777777" w:rsidR="002C0FD9" w:rsidRPr="00CA25CF" w:rsidRDefault="002C0FD9" w:rsidP="00CA25CF">
            <w:pPr>
              <w:rPr>
                <w:rFonts w:cs="Arial"/>
                <w:color w:val="FF0000"/>
                <w:sz w:val="21"/>
                <w:szCs w:val="21"/>
              </w:rPr>
            </w:pPr>
          </w:p>
        </w:tc>
        <w:tc>
          <w:tcPr>
            <w:tcW w:w="217" w:type="dxa"/>
          </w:tcPr>
          <w:p w14:paraId="378A8B80" w14:textId="77777777" w:rsidR="002C0FD9" w:rsidRPr="00CA25CF" w:rsidRDefault="002C0FD9" w:rsidP="00CA25CF">
            <w:pPr>
              <w:rPr>
                <w:rFonts w:cs="Arial"/>
                <w:color w:val="FF0000"/>
                <w:sz w:val="21"/>
                <w:szCs w:val="21"/>
              </w:rPr>
            </w:pPr>
          </w:p>
        </w:tc>
        <w:tc>
          <w:tcPr>
            <w:tcW w:w="217" w:type="dxa"/>
          </w:tcPr>
          <w:p w14:paraId="59168923" w14:textId="77777777" w:rsidR="002C0FD9" w:rsidRPr="00CA25CF" w:rsidRDefault="002C0FD9" w:rsidP="00CA25CF">
            <w:pPr>
              <w:rPr>
                <w:rFonts w:cs="Arial"/>
                <w:color w:val="FF0000"/>
                <w:sz w:val="21"/>
                <w:szCs w:val="21"/>
              </w:rPr>
            </w:pPr>
          </w:p>
        </w:tc>
        <w:tc>
          <w:tcPr>
            <w:tcW w:w="217" w:type="dxa"/>
          </w:tcPr>
          <w:p w14:paraId="5097E32C" w14:textId="77777777" w:rsidR="002C0FD9" w:rsidRPr="00CA25CF" w:rsidRDefault="002C0FD9" w:rsidP="00CA25CF">
            <w:pPr>
              <w:rPr>
                <w:rFonts w:cs="Arial"/>
                <w:color w:val="FF0000"/>
                <w:sz w:val="21"/>
                <w:szCs w:val="21"/>
              </w:rPr>
            </w:pPr>
          </w:p>
        </w:tc>
        <w:tc>
          <w:tcPr>
            <w:tcW w:w="217" w:type="dxa"/>
          </w:tcPr>
          <w:p w14:paraId="6DF2F88E" w14:textId="77777777" w:rsidR="002C0FD9" w:rsidRPr="00CA25CF" w:rsidRDefault="002C0FD9" w:rsidP="00CA25CF">
            <w:pPr>
              <w:rPr>
                <w:rFonts w:cs="Arial"/>
                <w:color w:val="FF0000"/>
                <w:sz w:val="21"/>
                <w:szCs w:val="21"/>
              </w:rPr>
            </w:pPr>
          </w:p>
        </w:tc>
        <w:tc>
          <w:tcPr>
            <w:tcW w:w="217" w:type="dxa"/>
          </w:tcPr>
          <w:p w14:paraId="1D365D2B" w14:textId="77777777" w:rsidR="002C0FD9" w:rsidRPr="00CA25CF" w:rsidRDefault="002C0FD9" w:rsidP="00CA25CF">
            <w:pPr>
              <w:rPr>
                <w:rFonts w:cs="Arial"/>
                <w:color w:val="FF0000"/>
                <w:sz w:val="21"/>
                <w:szCs w:val="21"/>
              </w:rPr>
            </w:pPr>
          </w:p>
        </w:tc>
        <w:tc>
          <w:tcPr>
            <w:tcW w:w="217" w:type="dxa"/>
          </w:tcPr>
          <w:p w14:paraId="49A0FE95" w14:textId="77777777" w:rsidR="002C0FD9" w:rsidRPr="00CA25CF" w:rsidRDefault="002C0FD9" w:rsidP="00CA25CF">
            <w:pPr>
              <w:rPr>
                <w:rFonts w:cs="Arial"/>
                <w:color w:val="FF0000"/>
                <w:sz w:val="21"/>
                <w:szCs w:val="21"/>
              </w:rPr>
            </w:pPr>
          </w:p>
        </w:tc>
      </w:tr>
      <w:tr w:rsidR="002C0FD9" w:rsidRPr="00A16219" w14:paraId="151E7565" w14:textId="77777777" w:rsidTr="002C0FD9">
        <w:trPr>
          <w:trHeight w:val="635"/>
        </w:trPr>
        <w:tc>
          <w:tcPr>
            <w:tcW w:w="515" w:type="dxa"/>
          </w:tcPr>
          <w:p w14:paraId="5B21F373" w14:textId="77777777" w:rsidR="002C0FD9" w:rsidRPr="00CA25CF" w:rsidRDefault="002C0FD9" w:rsidP="00CA25CF">
            <w:pPr>
              <w:rPr>
                <w:rFonts w:cs="Arial"/>
                <w:color w:val="FF0000"/>
                <w:sz w:val="21"/>
                <w:szCs w:val="21"/>
              </w:rPr>
            </w:pPr>
          </w:p>
        </w:tc>
        <w:tc>
          <w:tcPr>
            <w:tcW w:w="217" w:type="dxa"/>
          </w:tcPr>
          <w:p w14:paraId="408556B3" w14:textId="77777777" w:rsidR="002C0FD9" w:rsidRPr="00CA25CF" w:rsidRDefault="002C0FD9" w:rsidP="00CA25CF">
            <w:pPr>
              <w:rPr>
                <w:rFonts w:cs="Arial"/>
                <w:color w:val="FF0000"/>
                <w:sz w:val="21"/>
                <w:szCs w:val="21"/>
              </w:rPr>
            </w:pPr>
          </w:p>
        </w:tc>
        <w:tc>
          <w:tcPr>
            <w:tcW w:w="217" w:type="dxa"/>
          </w:tcPr>
          <w:p w14:paraId="565BD549" w14:textId="77777777" w:rsidR="002C0FD9" w:rsidRPr="00CA25CF" w:rsidRDefault="002C0FD9" w:rsidP="00CA25CF">
            <w:pPr>
              <w:rPr>
                <w:rFonts w:cs="Arial"/>
                <w:color w:val="FF0000"/>
                <w:sz w:val="21"/>
                <w:szCs w:val="21"/>
              </w:rPr>
            </w:pPr>
          </w:p>
        </w:tc>
        <w:tc>
          <w:tcPr>
            <w:tcW w:w="217" w:type="dxa"/>
          </w:tcPr>
          <w:p w14:paraId="1C123D92" w14:textId="77777777" w:rsidR="002C0FD9" w:rsidRPr="00CA25CF" w:rsidRDefault="002C0FD9" w:rsidP="00CA25CF">
            <w:pPr>
              <w:rPr>
                <w:rFonts w:cs="Arial"/>
                <w:color w:val="FF0000"/>
                <w:sz w:val="21"/>
                <w:szCs w:val="21"/>
              </w:rPr>
            </w:pPr>
          </w:p>
        </w:tc>
        <w:tc>
          <w:tcPr>
            <w:tcW w:w="217" w:type="dxa"/>
          </w:tcPr>
          <w:p w14:paraId="02D0BAAC" w14:textId="77777777" w:rsidR="002C0FD9" w:rsidRPr="00CA25CF" w:rsidRDefault="002C0FD9" w:rsidP="00CA25CF">
            <w:pPr>
              <w:rPr>
                <w:rFonts w:cs="Arial"/>
                <w:color w:val="FF0000"/>
                <w:sz w:val="21"/>
                <w:szCs w:val="21"/>
              </w:rPr>
            </w:pPr>
          </w:p>
        </w:tc>
        <w:tc>
          <w:tcPr>
            <w:tcW w:w="217" w:type="dxa"/>
          </w:tcPr>
          <w:p w14:paraId="1C96078B" w14:textId="77777777" w:rsidR="002C0FD9" w:rsidRPr="00CA25CF" w:rsidRDefault="002C0FD9" w:rsidP="00CA25CF">
            <w:pPr>
              <w:rPr>
                <w:rFonts w:cs="Arial"/>
                <w:color w:val="FF0000"/>
                <w:sz w:val="21"/>
                <w:szCs w:val="21"/>
              </w:rPr>
            </w:pPr>
          </w:p>
        </w:tc>
        <w:tc>
          <w:tcPr>
            <w:tcW w:w="217" w:type="dxa"/>
          </w:tcPr>
          <w:p w14:paraId="42AC15AC" w14:textId="77777777" w:rsidR="002C0FD9" w:rsidRPr="00CA25CF" w:rsidRDefault="002C0FD9" w:rsidP="00CA25CF">
            <w:pPr>
              <w:rPr>
                <w:rFonts w:cs="Arial"/>
                <w:color w:val="FF0000"/>
                <w:sz w:val="21"/>
                <w:szCs w:val="21"/>
              </w:rPr>
            </w:pPr>
          </w:p>
        </w:tc>
        <w:tc>
          <w:tcPr>
            <w:tcW w:w="217" w:type="dxa"/>
          </w:tcPr>
          <w:p w14:paraId="5EC83E79" w14:textId="77777777" w:rsidR="002C0FD9" w:rsidRPr="00CA25CF" w:rsidRDefault="002C0FD9" w:rsidP="00CA25CF">
            <w:pPr>
              <w:rPr>
                <w:rFonts w:cs="Arial"/>
                <w:color w:val="FF0000"/>
                <w:sz w:val="21"/>
                <w:szCs w:val="21"/>
              </w:rPr>
            </w:pPr>
          </w:p>
        </w:tc>
        <w:tc>
          <w:tcPr>
            <w:tcW w:w="217" w:type="dxa"/>
          </w:tcPr>
          <w:p w14:paraId="4311A3BD" w14:textId="77777777" w:rsidR="002C0FD9" w:rsidRPr="00CA25CF" w:rsidRDefault="002C0FD9" w:rsidP="00CA25CF">
            <w:pPr>
              <w:rPr>
                <w:rFonts w:cs="Arial"/>
                <w:color w:val="FF0000"/>
                <w:sz w:val="21"/>
                <w:szCs w:val="21"/>
              </w:rPr>
            </w:pPr>
          </w:p>
        </w:tc>
        <w:tc>
          <w:tcPr>
            <w:tcW w:w="217" w:type="dxa"/>
          </w:tcPr>
          <w:p w14:paraId="16C36633" w14:textId="77777777" w:rsidR="002C0FD9" w:rsidRPr="00CA25CF" w:rsidRDefault="002C0FD9" w:rsidP="00CA25CF">
            <w:pPr>
              <w:rPr>
                <w:rFonts w:cs="Arial"/>
                <w:color w:val="FF0000"/>
                <w:sz w:val="21"/>
                <w:szCs w:val="21"/>
              </w:rPr>
            </w:pPr>
          </w:p>
        </w:tc>
        <w:tc>
          <w:tcPr>
            <w:tcW w:w="217" w:type="dxa"/>
          </w:tcPr>
          <w:p w14:paraId="61347284" w14:textId="77777777" w:rsidR="002C0FD9" w:rsidRPr="00CA25CF" w:rsidRDefault="002C0FD9" w:rsidP="00CA25CF">
            <w:pPr>
              <w:rPr>
                <w:rFonts w:cs="Arial"/>
                <w:color w:val="FF0000"/>
                <w:sz w:val="21"/>
                <w:szCs w:val="21"/>
              </w:rPr>
            </w:pPr>
          </w:p>
        </w:tc>
        <w:tc>
          <w:tcPr>
            <w:tcW w:w="217" w:type="dxa"/>
          </w:tcPr>
          <w:p w14:paraId="341A1070" w14:textId="77777777" w:rsidR="002C0FD9" w:rsidRPr="00CA25CF" w:rsidRDefault="002C0FD9" w:rsidP="00CA25CF">
            <w:pPr>
              <w:rPr>
                <w:rFonts w:cs="Arial"/>
                <w:color w:val="FF0000"/>
                <w:sz w:val="21"/>
                <w:szCs w:val="21"/>
              </w:rPr>
            </w:pPr>
          </w:p>
        </w:tc>
        <w:tc>
          <w:tcPr>
            <w:tcW w:w="217" w:type="dxa"/>
          </w:tcPr>
          <w:p w14:paraId="66F57466" w14:textId="77777777" w:rsidR="002C0FD9" w:rsidRPr="00CA25CF" w:rsidRDefault="002C0FD9" w:rsidP="00CA25CF">
            <w:pPr>
              <w:rPr>
                <w:rFonts w:cs="Arial"/>
                <w:color w:val="FF0000"/>
                <w:sz w:val="21"/>
                <w:szCs w:val="21"/>
              </w:rPr>
            </w:pPr>
          </w:p>
        </w:tc>
        <w:tc>
          <w:tcPr>
            <w:tcW w:w="217" w:type="dxa"/>
          </w:tcPr>
          <w:p w14:paraId="717F537B" w14:textId="77777777" w:rsidR="002C0FD9" w:rsidRPr="00CA25CF" w:rsidRDefault="002C0FD9" w:rsidP="00CA25CF">
            <w:pPr>
              <w:rPr>
                <w:rFonts w:cs="Arial"/>
                <w:color w:val="FF0000"/>
                <w:sz w:val="21"/>
                <w:szCs w:val="21"/>
              </w:rPr>
            </w:pPr>
          </w:p>
        </w:tc>
        <w:tc>
          <w:tcPr>
            <w:tcW w:w="217" w:type="dxa"/>
          </w:tcPr>
          <w:p w14:paraId="3CB27B23" w14:textId="77777777" w:rsidR="002C0FD9" w:rsidRPr="00CA25CF" w:rsidRDefault="002C0FD9" w:rsidP="00CA25CF">
            <w:pPr>
              <w:rPr>
                <w:rFonts w:cs="Arial"/>
                <w:color w:val="FF0000"/>
                <w:sz w:val="21"/>
                <w:szCs w:val="21"/>
              </w:rPr>
            </w:pPr>
          </w:p>
        </w:tc>
        <w:tc>
          <w:tcPr>
            <w:tcW w:w="217" w:type="dxa"/>
          </w:tcPr>
          <w:p w14:paraId="262AC54F" w14:textId="77777777" w:rsidR="002C0FD9" w:rsidRPr="00CA25CF" w:rsidRDefault="002C0FD9" w:rsidP="00CA25CF">
            <w:pPr>
              <w:rPr>
                <w:rFonts w:cs="Arial"/>
                <w:color w:val="FF0000"/>
                <w:sz w:val="21"/>
                <w:szCs w:val="21"/>
              </w:rPr>
            </w:pPr>
          </w:p>
        </w:tc>
        <w:tc>
          <w:tcPr>
            <w:tcW w:w="217" w:type="dxa"/>
          </w:tcPr>
          <w:p w14:paraId="51E02823" w14:textId="77777777" w:rsidR="002C0FD9" w:rsidRPr="00CA25CF" w:rsidRDefault="002C0FD9" w:rsidP="00CA25CF">
            <w:pPr>
              <w:rPr>
                <w:rFonts w:cs="Arial"/>
                <w:color w:val="FF0000"/>
                <w:sz w:val="21"/>
                <w:szCs w:val="21"/>
              </w:rPr>
            </w:pPr>
          </w:p>
        </w:tc>
        <w:tc>
          <w:tcPr>
            <w:tcW w:w="217" w:type="dxa"/>
          </w:tcPr>
          <w:p w14:paraId="1F70A8A6" w14:textId="77777777" w:rsidR="002C0FD9" w:rsidRPr="00CA25CF" w:rsidRDefault="002C0FD9" w:rsidP="00CA25CF">
            <w:pPr>
              <w:rPr>
                <w:rFonts w:cs="Arial"/>
                <w:color w:val="FF0000"/>
                <w:sz w:val="21"/>
                <w:szCs w:val="21"/>
              </w:rPr>
            </w:pPr>
          </w:p>
        </w:tc>
        <w:tc>
          <w:tcPr>
            <w:tcW w:w="217" w:type="dxa"/>
          </w:tcPr>
          <w:p w14:paraId="4002AB4A" w14:textId="77777777" w:rsidR="002C0FD9" w:rsidRPr="00CA25CF" w:rsidRDefault="002C0FD9" w:rsidP="00CA25CF">
            <w:pPr>
              <w:rPr>
                <w:rFonts w:cs="Arial"/>
                <w:color w:val="FF0000"/>
                <w:sz w:val="21"/>
                <w:szCs w:val="21"/>
              </w:rPr>
            </w:pPr>
          </w:p>
        </w:tc>
        <w:tc>
          <w:tcPr>
            <w:tcW w:w="217" w:type="dxa"/>
          </w:tcPr>
          <w:p w14:paraId="41721E8F" w14:textId="77777777" w:rsidR="002C0FD9" w:rsidRPr="00CA25CF" w:rsidRDefault="002C0FD9" w:rsidP="00CA25CF">
            <w:pPr>
              <w:rPr>
                <w:rFonts w:cs="Arial"/>
                <w:color w:val="FF0000"/>
                <w:sz w:val="21"/>
                <w:szCs w:val="21"/>
              </w:rPr>
            </w:pPr>
          </w:p>
        </w:tc>
        <w:tc>
          <w:tcPr>
            <w:tcW w:w="217" w:type="dxa"/>
          </w:tcPr>
          <w:p w14:paraId="520B2446" w14:textId="77777777" w:rsidR="002C0FD9" w:rsidRPr="00CA25CF" w:rsidRDefault="002C0FD9" w:rsidP="00CA25CF">
            <w:pPr>
              <w:rPr>
                <w:rFonts w:cs="Arial"/>
                <w:color w:val="FF0000"/>
                <w:sz w:val="21"/>
                <w:szCs w:val="21"/>
              </w:rPr>
            </w:pPr>
          </w:p>
        </w:tc>
        <w:tc>
          <w:tcPr>
            <w:tcW w:w="217" w:type="dxa"/>
          </w:tcPr>
          <w:p w14:paraId="107B607B" w14:textId="77777777" w:rsidR="002C0FD9" w:rsidRPr="00CA25CF" w:rsidRDefault="002C0FD9" w:rsidP="00CA25CF">
            <w:pPr>
              <w:rPr>
                <w:rFonts w:cs="Arial"/>
                <w:color w:val="FF0000"/>
                <w:sz w:val="21"/>
                <w:szCs w:val="21"/>
              </w:rPr>
            </w:pPr>
          </w:p>
        </w:tc>
        <w:tc>
          <w:tcPr>
            <w:tcW w:w="217" w:type="dxa"/>
          </w:tcPr>
          <w:p w14:paraId="68311A5C" w14:textId="77777777" w:rsidR="002C0FD9" w:rsidRPr="00CA25CF" w:rsidRDefault="002C0FD9" w:rsidP="00CA25CF">
            <w:pPr>
              <w:rPr>
                <w:rFonts w:cs="Arial"/>
                <w:color w:val="FF0000"/>
                <w:sz w:val="21"/>
                <w:szCs w:val="21"/>
              </w:rPr>
            </w:pPr>
          </w:p>
        </w:tc>
        <w:tc>
          <w:tcPr>
            <w:tcW w:w="217" w:type="dxa"/>
          </w:tcPr>
          <w:p w14:paraId="3ECD26CB" w14:textId="77777777" w:rsidR="002C0FD9" w:rsidRPr="00CA25CF" w:rsidRDefault="002C0FD9" w:rsidP="00CA25CF">
            <w:pPr>
              <w:rPr>
                <w:rFonts w:cs="Arial"/>
                <w:color w:val="FF0000"/>
                <w:sz w:val="21"/>
                <w:szCs w:val="21"/>
              </w:rPr>
            </w:pPr>
          </w:p>
        </w:tc>
        <w:tc>
          <w:tcPr>
            <w:tcW w:w="217" w:type="dxa"/>
          </w:tcPr>
          <w:p w14:paraId="5F561EBF" w14:textId="77777777" w:rsidR="002C0FD9" w:rsidRPr="00CA25CF" w:rsidRDefault="002C0FD9" w:rsidP="00CA25CF">
            <w:pPr>
              <w:rPr>
                <w:rFonts w:cs="Arial"/>
                <w:color w:val="FF0000"/>
                <w:sz w:val="21"/>
                <w:szCs w:val="21"/>
              </w:rPr>
            </w:pPr>
          </w:p>
        </w:tc>
        <w:tc>
          <w:tcPr>
            <w:tcW w:w="217" w:type="dxa"/>
          </w:tcPr>
          <w:p w14:paraId="05E67FE6" w14:textId="77777777" w:rsidR="002C0FD9" w:rsidRPr="00CA25CF" w:rsidRDefault="002C0FD9" w:rsidP="00CA25CF">
            <w:pPr>
              <w:rPr>
                <w:rFonts w:cs="Arial"/>
                <w:color w:val="FF0000"/>
                <w:sz w:val="21"/>
                <w:szCs w:val="21"/>
              </w:rPr>
            </w:pPr>
          </w:p>
        </w:tc>
        <w:tc>
          <w:tcPr>
            <w:tcW w:w="217" w:type="dxa"/>
          </w:tcPr>
          <w:p w14:paraId="76C54D5A" w14:textId="77777777" w:rsidR="002C0FD9" w:rsidRPr="00CA25CF" w:rsidRDefault="002C0FD9" w:rsidP="00CA25CF">
            <w:pPr>
              <w:rPr>
                <w:rFonts w:cs="Arial"/>
                <w:color w:val="FF0000"/>
                <w:sz w:val="21"/>
                <w:szCs w:val="21"/>
              </w:rPr>
            </w:pPr>
          </w:p>
        </w:tc>
        <w:tc>
          <w:tcPr>
            <w:tcW w:w="217" w:type="dxa"/>
          </w:tcPr>
          <w:p w14:paraId="0A357BBF" w14:textId="77777777" w:rsidR="002C0FD9" w:rsidRPr="00CA25CF" w:rsidRDefault="002C0FD9" w:rsidP="00CA25CF">
            <w:pPr>
              <w:rPr>
                <w:rFonts w:cs="Arial"/>
                <w:color w:val="FF0000"/>
                <w:sz w:val="21"/>
                <w:szCs w:val="21"/>
              </w:rPr>
            </w:pPr>
          </w:p>
        </w:tc>
        <w:tc>
          <w:tcPr>
            <w:tcW w:w="217" w:type="dxa"/>
          </w:tcPr>
          <w:p w14:paraId="40D90037" w14:textId="77777777" w:rsidR="002C0FD9" w:rsidRPr="00CA25CF" w:rsidRDefault="002C0FD9" w:rsidP="00CA25CF">
            <w:pPr>
              <w:rPr>
                <w:rFonts w:cs="Arial"/>
                <w:color w:val="FF0000"/>
                <w:sz w:val="21"/>
                <w:szCs w:val="21"/>
              </w:rPr>
            </w:pPr>
          </w:p>
        </w:tc>
        <w:tc>
          <w:tcPr>
            <w:tcW w:w="217" w:type="dxa"/>
          </w:tcPr>
          <w:p w14:paraId="5FEA0FCD" w14:textId="77777777" w:rsidR="002C0FD9" w:rsidRPr="00CA25CF" w:rsidRDefault="002C0FD9" w:rsidP="00CA25CF">
            <w:pPr>
              <w:rPr>
                <w:rFonts w:cs="Arial"/>
                <w:color w:val="FF0000"/>
                <w:sz w:val="21"/>
                <w:szCs w:val="21"/>
              </w:rPr>
            </w:pPr>
          </w:p>
        </w:tc>
        <w:tc>
          <w:tcPr>
            <w:tcW w:w="217" w:type="dxa"/>
          </w:tcPr>
          <w:p w14:paraId="316D12CD" w14:textId="77777777" w:rsidR="002C0FD9" w:rsidRPr="00CA25CF" w:rsidRDefault="002C0FD9" w:rsidP="00CA25CF">
            <w:pPr>
              <w:rPr>
                <w:rFonts w:cs="Arial"/>
                <w:color w:val="FF0000"/>
                <w:sz w:val="21"/>
                <w:szCs w:val="21"/>
              </w:rPr>
            </w:pPr>
          </w:p>
        </w:tc>
        <w:tc>
          <w:tcPr>
            <w:tcW w:w="217" w:type="dxa"/>
          </w:tcPr>
          <w:p w14:paraId="40770875" w14:textId="77777777" w:rsidR="002C0FD9" w:rsidRPr="00CA25CF" w:rsidRDefault="002C0FD9" w:rsidP="00CA25CF">
            <w:pPr>
              <w:rPr>
                <w:rFonts w:cs="Arial"/>
                <w:color w:val="FF0000"/>
                <w:sz w:val="21"/>
                <w:szCs w:val="21"/>
              </w:rPr>
            </w:pPr>
          </w:p>
        </w:tc>
        <w:tc>
          <w:tcPr>
            <w:tcW w:w="217" w:type="dxa"/>
          </w:tcPr>
          <w:p w14:paraId="318C3D02" w14:textId="77777777" w:rsidR="002C0FD9" w:rsidRPr="00CA25CF" w:rsidRDefault="002C0FD9" w:rsidP="00CA25CF">
            <w:pPr>
              <w:rPr>
                <w:rFonts w:cs="Arial"/>
                <w:color w:val="FF0000"/>
                <w:sz w:val="21"/>
                <w:szCs w:val="21"/>
              </w:rPr>
            </w:pPr>
          </w:p>
        </w:tc>
        <w:tc>
          <w:tcPr>
            <w:tcW w:w="217" w:type="dxa"/>
          </w:tcPr>
          <w:p w14:paraId="6C0D3AA9" w14:textId="77777777" w:rsidR="002C0FD9" w:rsidRPr="00CA25CF" w:rsidRDefault="002C0FD9" w:rsidP="00CA25CF">
            <w:pPr>
              <w:rPr>
                <w:rFonts w:cs="Arial"/>
                <w:color w:val="FF0000"/>
                <w:sz w:val="21"/>
                <w:szCs w:val="21"/>
              </w:rPr>
            </w:pPr>
          </w:p>
        </w:tc>
        <w:tc>
          <w:tcPr>
            <w:tcW w:w="217" w:type="dxa"/>
          </w:tcPr>
          <w:p w14:paraId="5290436E" w14:textId="77777777" w:rsidR="002C0FD9" w:rsidRPr="00CA25CF" w:rsidRDefault="002C0FD9" w:rsidP="00CA25CF">
            <w:pPr>
              <w:rPr>
                <w:rFonts w:cs="Arial"/>
                <w:color w:val="FF0000"/>
                <w:sz w:val="21"/>
                <w:szCs w:val="21"/>
              </w:rPr>
            </w:pPr>
          </w:p>
        </w:tc>
        <w:tc>
          <w:tcPr>
            <w:tcW w:w="217" w:type="dxa"/>
          </w:tcPr>
          <w:p w14:paraId="0377AB4E" w14:textId="77777777" w:rsidR="002C0FD9" w:rsidRPr="00CA25CF" w:rsidRDefault="002C0FD9" w:rsidP="00CA25CF">
            <w:pPr>
              <w:rPr>
                <w:rFonts w:cs="Arial"/>
                <w:color w:val="FF0000"/>
                <w:sz w:val="21"/>
                <w:szCs w:val="21"/>
              </w:rPr>
            </w:pPr>
          </w:p>
        </w:tc>
        <w:tc>
          <w:tcPr>
            <w:tcW w:w="217" w:type="dxa"/>
          </w:tcPr>
          <w:p w14:paraId="20F388BC" w14:textId="77777777" w:rsidR="002C0FD9" w:rsidRPr="00CA25CF" w:rsidRDefault="002C0FD9" w:rsidP="00CA25CF">
            <w:pPr>
              <w:rPr>
                <w:rFonts w:cs="Arial"/>
                <w:color w:val="FF0000"/>
                <w:sz w:val="21"/>
                <w:szCs w:val="21"/>
              </w:rPr>
            </w:pPr>
          </w:p>
        </w:tc>
        <w:tc>
          <w:tcPr>
            <w:tcW w:w="217" w:type="dxa"/>
          </w:tcPr>
          <w:p w14:paraId="39D14D05" w14:textId="77777777" w:rsidR="002C0FD9" w:rsidRPr="00CA25CF" w:rsidRDefault="002C0FD9" w:rsidP="00CA25CF">
            <w:pPr>
              <w:rPr>
                <w:rFonts w:cs="Arial"/>
                <w:color w:val="FF0000"/>
                <w:sz w:val="21"/>
                <w:szCs w:val="21"/>
              </w:rPr>
            </w:pPr>
          </w:p>
        </w:tc>
        <w:tc>
          <w:tcPr>
            <w:tcW w:w="217" w:type="dxa"/>
          </w:tcPr>
          <w:p w14:paraId="2D847F8D" w14:textId="77777777" w:rsidR="002C0FD9" w:rsidRPr="00CA25CF" w:rsidRDefault="002C0FD9" w:rsidP="00CA25CF">
            <w:pPr>
              <w:rPr>
                <w:rFonts w:cs="Arial"/>
                <w:color w:val="FF0000"/>
                <w:sz w:val="21"/>
                <w:szCs w:val="21"/>
              </w:rPr>
            </w:pPr>
          </w:p>
        </w:tc>
        <w:tc>
          <w:tcPr>
            <w:tcW w:w="217" w:type="dxa"/>
          </w:tcPr>
          <w:p w14:paraId="4F1E09AE" w14:textId="77777777" w:rsidR="002C0FD9" w:rsidRPr="00CA25CF" w:rsidRDefault="002C0FD9" w:rsidP="00CA25CF">
            <w:pPr>
              <w:rPr>
                <w:rFonts w:cs="Arial"/>
                <w:color w:val="FF0000"/>
                <w:sz w:val="21"/>
                <w:szCs w:val="21"/>
              </w:rPr>
            </w:pPr>
          </w:p>
        </w:tc>
        <w:tc>
          <w:tcPr>
            <w:tcW w:w="217" w:type="dxa"/>
          </w:tcPr>
          <w:p w14:paraId="4E6640A9" w14:textId="77777777" w:rsidR="002C0FD9" w:rsidRPr="00CA25CF" w:rsidRDefault="002C0FD9" w:rsidP="00CA25CF">
            <w:pPr>
              <w:rPr>
                <w:rFonts w:cs="Arial"/>
                <w:color w:val="FF0000"/>
                <w:sz w:val="21"/>
                <w:szCs w:val="21"/>
              </w:rPr>
            </w:pPr>
          </w:p>
        </w:tc>
        <w:tc>
          <w:tcPr>
            <w:tcW w:w="217" w:type="dxa"/>
          </w:tcPr>
          <w:p w14:paraId="43CB752D" w14:textId="77777777" w:rsidR="002C0FD9" w:rsidRPr="00CA25CF" w:rsidRDefault="002C0FD9" w:rsidP="00CA25CF">
            <w:pPr>
              <w:rPr>
                <w:rFonts w:cs="Arial"/>
                <w:color w:val="FF0000"/>
                <w:sz w:val="21"/>
                <w:szCs w:val="21"/>
              </w:rPr>
            </w:pPr>
          </w:p>
        </w:tc>
        <w:tc>
          <w:tcPr>
            <w:tcW w:w="217" w:type="dxa"/>
          </w:tcPr>
          <w:p w14:paraId="6F5B1AC2" w14:textId="77777777" w:rsidR="002C0FD9" w:rsidRPr="00CA25CF" w:rsidRDefault="002C0FD9" w:rsidP="00CA25CF">
            <w:pPr>
              <w:rPr>
                <w:rFonts w:cs="Arial"/>
                <w:color w:val="FF0000"/>
                <w:sz w:val="21"/>
                <w:szCs w:val="21"/>
              </w:rPr>
            </w:pPr>
          </w:p>
        </w:tc>
      </w:tr>
      <w:tr w:rsidR="002C0FD9" w:rsidRPr="00A16219" w14:paraId="5477A62D" w14:textId="77777777" w:rsidTr="002C0FD9">
        <w:trPr>
          <w:trHeight w:val="635"/>
        </w:trPr>
        <w:tc>
          <w:tcPr>
            <w:tcW w:w="515" w:type="dxa"/>
          </w:tcPr>
          <w:p w14:paraId="4C8A7357" w14:textId="77777777" w:rsidR="002C0FD9" w:rsidRPr="00CA25CF" w:rsidRDefault="002C0FD9" w:rsidP="00CA25CF">
            <w:pPr>
              <w:rPr>
                <w:rFonts w:cs="Arial"/>
                <w:color w:val="FF0000"/>
                <w:sz w:val="21"/>
                <w:szCs w:val="21"/>
              </w:rPr>
            </w:pPr>
          </w:p>
        </w:tc>
        <w:tc>
          <w:tcPr>
            <w:tcW w:w="217" w:type="dxa"/>
          </w:tcPr>
          <w:p w14:paraId="7677ADAA" w14:textId="77777777" w:rsidR="002C0FD9" w:rsidRPr="00CA25CF" w:rsidRDefault="002C0FD9" w:rsidP="00CA25CF">
            <w:pPr>
              <w:rPr>
                <w:rFonts w:cs="Arial"/>
                <w:color w:val="FF0000"/>
                <w:sz w:val="21"/>
                <w:szCs w:val="21"/>
              </w:rPr>
            </w:pPr>
          </w:p>
        </w:tc>
        <w:tc>
          <w:tcPr>
            <w:tcW w:w="217" w:type="dxa"/>
          </w:tcPr>
          <w:p w14:paraId="684E4386" w14:textId="77777777" w:rsidR="002C0FD9" w:rsidRPr="00CA25CF" w:rsidRDefault="002C0FD9" w:rsidP="00CA25CF">
            <w:pPr>
              <w:rPr>
                <w:rFonts w:cs="Arial"/>
                <w:color w:val="FF0000"/>
                <w:sz w:val="21"/>
                <w:szCs w:val="21"/>
              </w:rPr>
            </w:pPr>
          </w:p>
        </w:tc>
        <w:tc>
          <w:tcPr>
            <w:tcW w:w="217" w:type="dxa"/>
          </w:tcPr>
          <w:p w14:paraId="1D8153C2" w14:textId="77777777" w:rsidR="002C0FD9" w:rsidRPr="00CA25CF" w:rsidRDefault="002C0FD9" w:rsidP="00CA25CF">
            <w:pPr>
              <w:rPr>
                <w:rFonts w:cs="Arial"/>
                <w:color w:val="FF0000"/>
                <w:sz w:val="21"/>
                <w:szCs w:val="21"/>
              </w:rPr>
            </w:pPr>
          </w:p>
        </w:tc>
        <w:tc>
          <w:tcPr>
            <w:tcW w:w="217" w:type="dxa"/>
          </w:tcPr>
          <w:p w14:paraId="0576F86C" w14:textId="77777777" w:rsidR="002C0FD9" w:rsidRPr="00CA25CF" w:rsidRDefault="002C0FD9" w:rsidP="00CA25CF">
            <w:pPr>
              <w:rPr>
                <w:rFonts w:cs="Arial"/>
                <w:color w:val="FF0000"/>
                <w:sz w:val="21"/>
                <w:szCs w:val="21"/>
              </w:rPr>
            </w:pPr>
          </w:p>
        </w:tc>
        <w:tc>
          <w:tcPr>
            <w:tcW w:w="217" w:type="dxa"/>
          </w:tcPr>
          <w:p w14:paraId="4024EA87" w14:textId="77777777" w:rsidR="002C0FD9" w:rsidRPr="00CA25CF" w:rsidRDefault="002C0FD9" w:rsidP="00CA25CF">
            <w:pPr>
              <w:rPr>
                <w:rFonts w:cs="Arial"/>
                <w:color w:val="FF0000"/>
                <w:sz w:val="21"/>
                <w:szCs w:val="21"/>
              </w:rPr>
            </w:pPr>
          </w:p>
        </w:tc>
        <w:tc>
          <w:tcPr>
            <w:tcW w:w="217" w:type="dxa"/>
          </w:tcPr>
          <w:p w14:paraId="634605B9" w14:textId="77777777" w:rsidR="002C0FD9" w:rsidRPr="00CA25CF" w:rsidRDefault="002C0FD9" w:rsidP="00CA25CF">
            <w:pPr>
              <w:rPr>
                <w:rFonts w:cs="Arial"/>
                <w:color w:val="FF0000"/>
                <w:sz w:val="21"/>
                <w:szCs w:val="21"/>
              </w:rPr>
            </w:pPr>
          </w:p>
        </w:tc>
        <w:tc>
          <w:tcPr>
            <w:tcW w:w="217" w:type="dxa"/>
          </w:tcPr>
          <w:p w14:paraId="10566B64" w14:textId="77777777" w:rsidR="002C0FD9" w:rsidRPr="00CA25CF" w:rsidRDefault="002C0FD9" w:rsidP="00CA25CF">
            <w:pPr>
              <w:rPr>
                <w:rFonts w:cs="Arial"/>
                <w:color w:val="FF0000"/>
                <w:sz w:val="21"/>
                <w:szCs w:val="21"/>
              </w:rPr>
            </w:pPr>
          </w:p>
        </w:tc>
        <w:tc>
          <w:tcPr>
            <w:tcW w:w="217" w:type="dxa"/>
          </w:tcPr>
          <w:p w14:paraId="5E62A55B" w14:textId="77777777" w:rsidR="002C0FD9" w:rsidRPr="00CA25CF" w:rsidRDefault="002C0FD9" w:rsidP="00CA25CF">
            <w:pPr>
              <w:rPr>
                <w:rFonts w:cs="Arial"/>
                <w:color w:val="FF0000"/>
                <w:sz w:val="21"/>
                <w:szCs w:val="21"/>
              </w:rPr>
            </w:pPr>
          </w:p>
        </w:tc>
        <w:tc>
          <w:tcPr>
            <w:tcW w:w="217" w:type="dxa"/>
          </w:tcPr>
          <w:p w14:paraId="096E7F96" w14:textId="77777777" w:rsidR="002C0FD9" w:rsidRPr="00CA25CF" w:rsidRDefault="002C0FD9" w:rsidP="00CA25CF">
            <w:pPr>
              <w:rPr>
                <w:rFonts w:cs="Arial"/>
                <w:color w:val="FF0000"/>
                <w:sz w:val="21"/>
                <w:szCs w:val="21"/>
              </w:rPr>
            </w:pPr>
          </w:p>
        </w:tc>
        <w:tc>
          <w:tcPr>
            <w:tcW w:w="217" w:type="dxa"/>
          </w:tcPr>
          <w:p w14:paraId="6F2143B4" w14:textId="77777777" w:rsidR="002C0FD9" w:rsidRPr="00CA25CF" w:rsidRDefault="002C0FD9" w:rsidP="00CA25CF">
            <w:pPr>
              <w:rPr>
                <w:rFonts w:cs="Arial"/>
                <w:color w:val="FF0000"/>
                <w:sz w:val="21"/>
                <w:szCs w:val="21"/>
              </w:rPr>
            </w:pPr>
          </w:p>
        </w:tc>
        <w:tc>
          <w:tcPr>
            <w:tcW w:w="217" w:type="dxa"/>
          </w:tcPr>
          <w:p w14:paraId="6A2F42A7" w14:textId="77777777" w:rsidR="002C0FD9" w:rsidRPr="00CA25CF" w:rsidRDefault="002C0FD9" w:rsidP="00CA25CF">
            <w:pPr>
              <w:rPr>
                <w:rFonts w:cs="Arial"/>
                <w:color w:val="FF0000"/>
                <w:sz w:val="21"/>
                <w:szCs w:val="21"/>
              </w:rPr>
            </w:pPr>
          </w:p>
        </w:tc>
        <w:tc>
          <w:tcPr>
            <w:tcW w:w="217" w:type="dxa"/>
          </w:tcPr>
          <w:p w14:paraId="321D0105" w14:textId="77777777" w:rsidR="002C0FD9" w:rsidRPr="00CA25CF" w:rsidRDefault="002C0FD9" w:rsidP="00CA25CF">
            <w:pPr>
              <w:rPr>
                <w:rFonts w:cs="Arial"/>
                <w:color w:val="FF0000"/>
                <w:sz w:val="21"/>
                <w:szCs w:val="21"/>
              </w:rPr>
            </w:pPr>
          </w:p>
        </w:tc>
        <w:tc>
          <w:tcPr>
            <w:tcW w:w="217" w:type="dxa"/>
          </w:tcPr>
          <w:p w14:paraId="1DBCFC6D" w14:textId="77777777" w:rsidR="002C0FD9" w:rsidRPr="00CA25CF" w:rsidRDefault="002C0FD9" w:rsidP="00CA25CF">
            <w:pPr>
              <w:rPr>
                <w:rFonts w:cs="Arial"/>
                <w:color w:val="FF0000"/>
                <w:sz w:val="21"/>
                <w:szCs w:val="21"/>
              </w:rPr>
            </w:pPr>
          </w:p>
        </w:tc>
        <w:tc>
          <w:tcPr>
            <w:tcW w:w="217" w:type="dxa"/>
          </w:tcPr>
          <w:p w14:paraId="762CB2BE" w14:textId="77777777" w:rsidR="002C0FD9" w:rsidRPr="00CA25CF" w:rsidRDefault="002C0FD9" w:rsidP="00CA25CF">
            <w:pPr>
              <w:rPr>
                <w:rFonts w:cs="Arial"/>
                <w:color w:val="FF0000"/>
                <w:sz w:val="21"/>
                <w:szCs w:val="21"/>
              </w:rPr>
            </w:pPr>
          </w:p>
        </w:tc>
        <w:tc>
          <w:tcPr>
            <w:tcW w:w="217" w:type="dxa"/>
          </w:tcPr>
          <w:p w14:paraId="2BD2185D" w14:textId="77777777" w:rsidR="002C0FD9" w:rsidRPr="00CA25CF" w:rsidRDefault="002C0FD9" w:rsidP="00CA25CF">
            <w:pPr>
              <w:rPr>
                <w:rFonts w:cs="Arial"/>
                <w:color w:val="FF0000"/>
                <w:sz w:val="21"/>
                <w:szCs w:val="21"/>
              </w:rPr>
            </w:pPr>
          </w:p>
        </w:tc>
        <w:tc>
          <w:tcPr>
            <w:tcW w:w="217" w:type="dxa"/>
          </w:tcPr>
          <w:p w14:paraId="35FD6C7F" w14:textId="77777777" w:rsidR="002C0FD9" w:rsidRPr="00CA25CF" w:rsidRDefault="002C0FD9" w:rsidP="00CA25CF">
            <w:pPr>
              <w:rPr>
                <w:rFonts w:cs="Arial"/>
                <w:color w:val="FF0000"/>
                <w:sz w:val="21"/>
                <w:szCs w:val="21"/>
              </w:rPr>
            </w:pPr>
          </w:p>
        </w:tc>
        <w:tc>
          <w:tcPr>
            <w:tcW w:w="217" w:type="dxa"/>
          </w:tcPr>
          <w:p w14:paraId="56380D44" w14:textId="77777777" w:rsidR="002C0FD9" w:rsidRPr="00CA25CF" w:rsidRDefault="002C0FD9" w:rsidP="00CA25CF">
            <w:pPr>
              <w:rPr>
                <w:rFonts w:cs="Arial"/>
                <w:color w:val="FF0000"/>
                <w:sz w:val="21"/>
                <w:szCs w:val="21"/>
              </w:rPr>
            </w:pPr>
          </w:p>
        </w:tc>
        <w:tc>
          <w:tcPr>
            <w:tcW w:w="217" w:type="dxa"/>
          </w:tcPr>
          <w:p w14:paraId="3F61CE55" w14:textId="77777777" w:rsidR="002C0FD9" w:rsidRPr="00CA25CF" w:rsidRDefault="002C0FD9" w:rsidP="00CA25CF">
            <w:pPr>
              <w:rPr>
                <w:rFonts w:cs="Arial"/>
                <w:color w:val="FF0000"/>
                <w:sz w:val="21"/>
                <w:szCs w:val="21"/>
              </w:rPr>
            </w:pPr>
          </w:p>
        </w:tc>
        <w:tc>
          <w:tcPr>
            <w:tcW w:w="217" w:type="dxa"/>
          </w:tcPr>
          <w:p w14:paraId="26356A8C" w14:textId="77777777" w:rsidR="002C0FD9" w:rsidRPr="00CA25CF" w:rsidRDefault="002C0FD9" w:rsidP="00CA25CF">
            <w:pPr>
              <w:rPr>
                <w:rFonts w:cs="Arial"/>
                <w:color w:val="FF0000"/>
                <w:sz w:val="21"/>
                <w:szCs w:val="21"/>
              </w:rPr>
            </w:pPr>
          </w:p>
        </w:tc>
        <w:tc>
          <w:tcPr>
            <w:tcW w:w="217" w:type="dxa"/>
          </w:tcPr>
          <w:p w14:paraId="6A454444" w14:textId="77777777" w:rsidR="002C0FD9" w:rsidRPr="00CA25CF" w:rsidRDefault="002C0FD9" w:rsidP="00CA25CF">
            <w:pPr>
              <w:rPr>
                <w:rFonts w:cs="Arial"/>
                <w:color w:val="FF0000"/>
                <w:sz w:val="21"/>
                <w:szCs w:val="21"/>
              </w:rPr>
            </w:pPr>
          </w:p>
        </w:tc>
        <w:tc>
          <w:tcPr>
            <w:tcW w:w="217" w:type="dxa"/>
          </w:tcPr>
          <w:p w14:paraId="7E58C283" w14:textId="77777777" w:rsidR="002C0FD9" w:rsidRPr="00CA25CF" w:rsidRDefault="002C0FD9" w:rsidP="00CA25CF">
            <w:pPr>
              <w:rPr>
                <w:rFonts w:cs="Arial"/>
                <w:color w:val="FF0000"/>
                <w:sz w:val="21"/>
                <w:szCs w:val="21"/>
              </w:rPr>
            </w:pPr>
          </w:p>
        </w:tc>
        <w:tc>
          <w:tcPr>
            <w:tcW w:w="217" w:type="dxa"/>
          </w:tcPr>
          <w:p w14:paraId="2E2B0551" w14:textId="77777777" w:rsidR="002C0FD9" w:rsidRPr="00CA25CF" w:rsidRDefault="002C0FD9" w:rsidP="00CA25CF">
            <w:pPr>
              <w:rPr>
                <w:rFonts w:cs="Arial"/>
                <w:color w:val="FF0000"/>
                <w:sz w:val="21"/>
                <w:szCs w:val="21"/>
              </w:rPr>
            </w:pPr>
          </w:p>
        </w:tc>
        <w:tc>
          <w:tcPr>
            <w:tcW w:w="217" w:type="dxa"/>
          </w:tcPr>
          <w:p w14:paraId="4377B34A" w14:textId="77777777" w:rsidR="002C0FD9" w:rsidRPr="00CA25CF" w:rsidRDefault="002C0FD9" w:rsidP="00CA25CF">
            <w:pPr>
              <w:rPr>
                <w:rFonts w:cs="Arial"/>
                <w:color w:val="FF0000"/>
                <w:sz w:val="21"/>
                <w:szCs w:val="21"/>
              </w:rPr>
            </w:pPr>
          </w:p>
        </w:tc>
        <w:tc>
          <w:tcPr>
            <w:tcW w:w="217" w:type="dxa"/>
          </w:tcPr>
          <w:p w14:paraId="622606EE" w14:textId="77777777" w:rsidR="002C0FD9" w:rsidRPr="00CA25CF" w:rsidRDefault="002C0FD9" w:rsidP="00CA25CF">
            <w:pPr>
              <w:rPr>
                <w:rFonts w:cs="Arial"/>
                <w:color w:val="FF0000"/>
                <w:sz w:val="21"/>
                <w:szCs w:val="21"/>
              </w:rPr>
            </w:pPr>
          </w:p>
        </w:tc>
        <w:tc>
          <w:tcPr>
            <w:tcW w:w="217" w:type="dxa"/>
          </w:tcPr>
          <w:p w14:paraId="67E4CBA0" w14:textId="77777777" w:rsidR="002C0FD9" w:rsidRPr="00CA25CF" w:rsidRDefault="002C0FD9" w:rsidP="00CA25CF">
            <w:pPr>
              <w:rPr>
                <w:rFonts w:cs="Arial"/>
                <w:color w:val="FF0000"/>
                <w:sz w:val="21"/>
                <w:szCs w:val="21"/>
              </w:rPr>
            </w:pPr>
          </w:p>
        </w:tc>
        <w:tc>
          <w:tcPr>
            <w:tcW w:w="217" w:type="dxa"/>
          </w:tcPr>
          <w:p w14:paraId="4F6499EF" w14:textId="77777777" w:rsidR="002C0FD9" w:rsidRPr="00CA25CF" w:rsidRDefault="002C0FD9" w:rsidP="00CA25CF">
            <w:pPr>
              <w:rPr>
                <w:rFonts w:cs="Arial"/>
                <w:color w:val="FF0000"/>
                <w:sz w:val="21"/>
                <w:szCs w:val="21"/>
              </w:rPr>
            </w:pPr>
          </w:p>
        </w:tc>
        <w:tc>
          <w:tcPr>
            <w:tcW w:w="217" w:type="dxa"/>
          </w:tcPr>
          <w:p w14:paraId="61723360" w14:textId="77777777" w:rsidR="002C0FD9" w:rsidRPr="00CA25CF" w:rsidRDefault="002C0FD9" w:rsidP="00CA25CF">
            <w:pPr>
              <w:rPr>
                <w:rFonts w:cs="Arial"/>
                <w:color w:val="FF0000"/>
                <w:sz w:val="21"/>
                <w:szCs w:val="21"/>
              </w:rPr>
            </w:pPr>
          </w:p>
        </w:tc>
        <w:tc>
          <w:tcPr>
            <w:tcW w:w="217" w:type="dxa"/>
          </w:tcPr>
          <w:p w14:paraId="7529C3A3" w14:textId="77777777" w:rsidR="002C0FD9" w:rsidRPr="00CA25CF" w:rsidRDefault="002C0FD9" w:rsidP="00CA25CF">
            <w:pPr>
              <w:rPr>
                <w:rFonts w:cs="Arial"/>
                <w:color w:val="FF0000"/>
                <w:sz w:val="21"/>
                <w:szCs w:val="21"/>
              </w:rPr>
            </w:pPr>
          </w:p>
        </w:tc>
        <w:tc>
          <w:tcPr>
            <w:tcW w:w="217" w:type="dxa"/>
          </w:tcPr>
          <w:p w14:paraId="5E433548" w14:textId="77777777" w:rsidR="002C0FD9" w:rsidRPr="00CA25CF" w:rsidRDefault="002C0FD9" w:rsidP="00CA25CF">
            <w:pPr>
              <w:rPr>
                <w:rFonts w:cs="Arial"/>
                <w:color w:val="FF0000"/>
                <w:sz w:val="21"/>
                <w:szCs w:val="21"/>
              </w:rPr>
            </w:pPr>
          </w:p>
        </w:tc>
        <w:tc>
          <w:tcPr>
            <w:tcW w:w="217" w:type="dxa"/>
          </w:tcPr>
          <w:p w14:paraId="535FE8BE" w14:textId="77777777" w:rsidR="002C0FD9" w:rsidRPr="00CA25CF" w:rsidRDefault="002C0FD9" w:rsidP="00CA25CF">
            <w:pPr>
              <w:rPr>
                <w:rFonts w:cs="Arial"/>
                <w:color w:val="FF0000"/>
                <w:sz w:val="21"/>
                <w:szCs w:val="21"/>
              </w:rPr>
            </w:pPr>
          </w:p>
        </w:tc>
        <w:tc>
          <w:tcPr>
            <w:tcW w:w="217" w:type="dxa"/>
          </w:tcPr>
          <w:p w14:paraId="217095D8" w14:textId="77777777" w:rsidR="002C0FD9" w:rsidRPr="00CA25CF" w:rsidRDefault="002C0FD9" w:rsidP="00CA25CF">
            <w:pPr>
              <w:rPr>
                <w:rFonts w:cs="Arial"/>
                <w:color w:val="FF0000"/>
                <w:sz w:val="21"/>
                <w:szCs w:val="21"/>
              </w:rPr>
            </w:pPr>
          </w:p>
        </w:tc>
        <w:tc>
          <w:tcPr>
            <w:tcW w:w="217" w:type="dxa"/>
          </w:tcPr>
          <w:p w14:paraId="77314A9E" w14:textId="77777777" w:rsidR="002C0FD9" w:rsidRPr="00CA25CF" w:rsidRDefault="002C0FD9" w:rsidP="00CA25CF">
            <w:pPr>
              <w:rPr>
                <w:rFonts w:cs="Arial"/>
                <w:color w:val="FF0000"/>
                <w:sz w:val="21"/>
                <w:szCs w:val="21"/>
              </w:rPr>
            </w:pPr>
          </w:p>
        </w:tc>
        <w:tc>
          <w:tcPr>
            <w:tcW w:w="217" w:type="dxa"/>
          </w:tcPr>
          <w:p w14:paraId="390896B8" w14:textId="77777777" w:rsidR="002C0FD9" w:rsidRPr="00CA25CF" w:rsidRDefault="002C0FD9" w:rsidP="00CA25CF">
            <w:pPr>
              <w:rPr>
                <w:rFonts w:cs="Arial"/>
                <w:color w:val="FF0000"/>
                <w:sz w:val="21"/>
                <w:szCs w:val="21"/>
              </w:rPr>
            </w:pPr>
          </w:p>
        </w:tc>
        <w:tc>
          <w:tcPr>
            <w:tcW w:w="217" w:type="dxa"/>
          </w:tcPr>
          <w:p w14:paraId="198AEC55" w14:textId="77777777" w:rsidR="002C0FD9" w:rsidRPr="00CA25CF" w:rsidRDefault="002C0FD9" w:rsidP="00CA25CF">
            <w:pPr>
              <w:rPr>
                <w:rFonts w:cs="Arial"/>
                <w:color w:val="FF0000"/>
                <w:sz w:val="21"/>
                <w:szCs w:val="21"/>
              </w:rPr>
            </w:pPr>
          </w:p>
        </w:tc>
        <w:tc>
          <w:tcPr>
            <w:tcW w:w="217" w:type="dxa"/>
          </w:tcPr>
          <w:p w14:paraId="01994A68" w14:textId="77777777" w:rsidR="002C0FD9" w:rsidRPr="00CA25CF" w:rsidRDefault="002C0FD9" w:rsidP="00CA25CF">
            <w:pPr>
              <w:rPr>
                <w:rFonts w:cs="Arial"/>
                <w:color w:val="FF0000"/>
                <w:sz w:val="21"/>
                <w:szCs w:val="21"/>
              </w:rPr>
            </w:pPr>
          </w:p>
        </w:tc>
        <w:tc>
          <w:tcPr>
            <w:tcW w:w="217" w:type="dxa"/>
          </w:tcPr>
          <w:p w14:paraId="70C81CDE" w14:textId="77777777" w:rsidR="002C0FD9" w:rsidRPr="00CA25CF" w:rsidRDefault="002C0FD9" w:rsidP="00CA25CF">
            <w:pPr>
              <w:rPr>
                <w:rFonts w:cs="Arial"/>
                <w:color w:val="FF0000"/>
                <w:sz w:val="21"/>
                <w:szCs w:val="21"/>
              </w:rPr>
            </w:pPr>
          </w:p>
        </w:tc>
        <w:tc>
          <w:tcPr>
            <w:tcW w:w="217" w:type="dxa"/>
          </w:tcPr>
          <w:p w14:paraId="48086D7B" w14:textId="77777777" w:rsidR="002C0FD9" w:rsidRPr="00CA25CF" w:rsidRDefault="002C0FD9" w:rsidP="00CA25CF">
            <w:pPr>
              <w:rPr>
                <w:rFonts w:cs="Arial"/>
                <w:color w:val="FF0000"/>
                <w:sz w:val="21"/>
                <w:szCs w:val="21"/>
              </w:rPr>
            </w:pPr>
          </w:p>
        </w:tc>
        <w:tc>
          <w:tcPr>
            <w:tcW w:w="217" w:type="dxa"/>
          </w:tcPr>
          <w:p w14:paraId="065CDE3B" w14:textId="77777777" w:rsidR="002C0FD9" w:rsidRPr="00CA25CF" w:rsidRDefault="002C0FD9" w:rsidP="00CA25CF">
            <w:pPr>
              <w:rPr>
                <w:rFonts w:cs="Arial"/>
                <w:color w:val="FF0000"/>
                <w:sz w:val="21"/>
                <w:szCs w:val="21"/>
              </w:rPr>
            </w:pPr>
          </w:p>
        </w:tc>
        <w:tc>
          <w:tcPr>
            <w:tcW w:w="217" w:type="dxa"/>
          </w:tcPr>
          <w:p w14:paraId="33C6290B" w14:textId="77777777" w:rsidR="002C0FD9" w:rsidRPr="00CA25CF" w:rsidRDefault="002C0FD9" w:rsidP="00CA25CF">
            <w:pPr>
              <w:rPr>
                <w:rFonts w:cs="Arial"/>
                <w:color w:val="FF0000"/>
                <w:sz w:val="21"/>
                <w:szCs w:val="21"/>
              </w:rPr>
            </w:pPr>
          </w:p>
        </w:tc>
        <w:tc>
          <w:tcPr>
            <w:tcW w:w="217" w:type="dxa"/>
          </w:tcPr>
          <w:p w14:paraId="542159E5" w14:textId="77777777" w:rsidR="002C0FD9" w:rsidRPr="00CA25CF" w:rsidRDefault="002C0FD9" w:rsidP="00CA25CF">
            <w:pPr>
              <w:rPr>
                <w:rFonts w:cs="Arial"/>
                <w:color w:val="FF0000"/>
                <w:sz w:val="21"/>
                <w:szCs w:val="21"/>
              </w:rPr>
            </w:pPr>
          </w:p>
        </w:tc>
        <w:tc>
          <w:tcPr>
            <w:tcW w:w="217" w:type="dxa"/>
          </w:tcPr>
          <w:p w14:paraId="1E828A4C" w14:textId="77777777" w:rsidR="002C0FD9" w:rsidRPr="00CA25CF" w:rsidRDefault="002C0FD9" w:rsidP="00CA25CF">
            <w:pPr>
              <w:rPr>
                <w:rFonts w:cs="Arial"/>
                <w:color w:val="FF0000"/>
                <w:sz w:val="21"/>
                <w:szCs w:val="21"/>
              </w:rPr>
            </w:pPr>
          </w:p>
        </w:tc>
        <w:tc>
          <w:tcPr>
            <w:tcW w:w="217" w:type="dxa"/>
          </w:tcPr>
          <w:p w14:paraId="110052DD" w14:textId="77777777" w:rsidR="002C0FD9" w:rsidRPr="00CA25CF" w:rsidRDefault="002C0FD9" w:rsidP="00CA25CF">
            <w:pPr>
              <w:rPr>
                <w:rFonts w:cs="Arial"/>
                <w:color w:val="FF0000"/>
                <w:sz w:val="21"/>
                <w:szCs w:val="21"/>
              </w:rPr>
            </w:pPr>
          </w:p>
        </w:tc>
      </w:tr>
      <w:tr w:rsidR="002C0FD9" w:rsidRPr="00A16219" w14:paraId="5F2F8330" w14:textId="77777777" w:rsidTr="002C0FD9">
        <w:trPr>
          <w:trHeight w:val="635"/>
        </w:trPr>
        <w:tc>
          <w:tcPr>
            <w:tcW w:w="515" w:type="dxa"/>
          </w:tcPr>
          <w:p w14:paraId="0D2EE78A" w14:textId="77777777" w:rsidR="002C0FD9" w:rsidRPr="00CA25CF" w:rsidRDefault="002C0FD9" w:rsidP="00CA25CF">
            <w:pPr>
              <w:rPr>
                <w:rFonts w:cs="Arial"/>
                <w:color w:val="FF0000"/>
                <w:sz w:val="21"/>
                <w:szCs w:val="21"/>
              </w:rPr>
            </w:pPr>
          </w:p>
        </w:tc>
        <w:tc>
          <w:tcPr>
            <w:tcW w:w="217" w:type="dxa"/>
          </w:tcPr>
          <w:p w14:paraId="5B754EC8" w14:textId="77777777" w:rsidR="002C0FD9" w:rsidRPr="00CA25CF" w:rsidRDefault="002C0FD9" w:rsidP="00CA25CF">
            <w:pPr>
              <w:rPr>
                <w:rFonts w:cs="Arial"/>
                <w:color w:val="FF0000"/>
                <w:sz w:val="21"/>
                <w:szCs w:val="21"/>
              </w:rPr>
            </w:pPr>
          </w:p>
        </w:tc>
        <w:tc>
          <w:tcPr>
            <w:tcW w:w="217" w:type="dxa"/>
          </w:tcPr>
          <w:p w14:paraId="3E5C2A98" w14:textId="77777777" w:rsidR="002C0FD9" w:rsidRPr="00CA25CF" w:rsidRDefault="002C0FD9" w:rsidP="00CA25CF">
            <w:pPr>
              <w:rPr>
                <w:rFonts w:cs="Arial"/>
                <w:color w:val="FF0000"/>
                <w:sz w:val="21"/>
                <w:szCs w:val="21"/>
              </w:rPr>
            </w:pPr>
          </w:p>
        </w:tc>
        <w:tc>
          <w:tcPr>
            <w:tcW w:w="217" w:type="dxa"/>
          </w:tcPr>
          <w:p w14:paraId="70DADE2F" w14:textId="77777777" w:rsidR="002C0FD9" w:rsidRPr="00CA25CF" w:rsidRDefault="002C0FD9" w:rsidP="00CA25CF">
            <w:pPr>
              <w:rPr>
                <w:rFonts w:cs="Arial"/>
                <w:color w:val="FF0000"/>
                <w:sz w:val="21"/>
                <w:szCs w:val="21"/>
              </w:rPr>
            </w:pPr>
          </w:p>
        </w:tc>
        <w:tc>
          <w:tcPr>
            <w:tcW w:w="217" w:type="dxa"/>
          </w:tcPr>
          <w:p w14:paraId="178AB088" w14:textId="77777777" w:rsidR="002C0FD9" w:rsidRPr="00CA25CF" w:rsidRDefault="002C0FD9" w:rsidP="00CA25CF">
            <w:pPr>
              <w:rPr>
                <w:rFonts w:cs="Arial"/>
                <w:color w:val="FF0000"/>
                <w:sz w:val="21"/>
                <w:szCs w:val="21"/>
              </w:rPr>
            </w:pPr>
          </w:p>
        </w:tc>
        <w:tc>
          <w:tcPr>
            <w:tcW w:w="217" w:type="dxa"/>
          </w:tcPr>
          <w:p w14:paraId="3EA303D5" w14:textId="77777777" w:rsidR="002C0FD9" w:rsidRPr="00CA25CF" w:rsidRDefault="002C0FD9" w:rsidP="00CA25CF">
            <w:pPr>
              <w:rPr>
                <w:rFonts w:cs="Arial"/>
                <w:color w:val="FF0000"/>
                <w:sz w:val="21"/>
                <w:szCs w:val="21"/>
              </w:rPr>
            </w:pPr>
          </w:p>
        </w:tc>
        <w:tc>
          <w:tcPr>
            <w:tcW w:w="217" w:type="dxa"/>
          </w:tcPr>
          <w:p w14:paraId="0ED6E596" w14:textId="77777777" w:rsidR="002C0FD9" w:rsidRPr="00CA25CF" w:rsidRDefault="002C0FD9" w:rsidP="00CA25CF">
            <w:pPr>
              <w:rPr>
                <w:rFonts w:cs="Arial"/>
                <w:color w:val="FF0000"/>
                <w:sz w:val="21"/>
                <w:szCs w:val="21"/>
              </w:rPr>
            </w:pPr>
          </w:p>
        </w:tc>
        <w:tc>
          <w:tcPr>
            <w:tcW w:w="217" w:type="dxa"/>
          </w:tcPr>
          <w:p w14:paraId="653271D9" w14:textId="77777777" w:rsidR="002C0FD9" w:rsidRPr="00CA25CF" w:rsidRDefault="002C0FD9" w:rsidP="00CA25CF">
            <w:pPr>
              <w:rPr>
                <w:rFonts w:cs="Arial"/>
                <w:color w:val="FF0000"/>
                <w:sz w:val="21"/>
                <w:szCs w:val="21"/>
              </w:rPr>
            </w:pPr>
          </w:p>
        </w:tc>
        <w:tc>
          <w:tcPr>
            <w:tcW w:w="217" w:type="dxa"/>
          </w:tcPr>
          <w:p w14:paraId="5B46812D" w14:textId="77777777" w:rsidR="002C0FD9" w:rsidRPr="00CA25CF" w:rsidRDefault="002C0FD9" w:rsidP="00CA25CF">
            <w:pPr>
              <w:rPr>
                <w:rFonts w:cs="Arial"/>
                <w:color w:val="FF0000"/>
                <w:sz w:val="21"/>
                <w:szCs w:val="21"/>
              </w:rPr>
            </w:pPr>
          </w:p>
        </w:tc>
        <w:tc>
          <w:tcPr>
            <w:tcW w:w="217" w:type="dxa"/>
          </w:tcPr>
          <w:p w14:paraId="3AD6720A" w14:textId="77777777" w:rsidR="002C0FD9" w:rsidRPr="00CA25CF" w:rsidRDefault="002C0FD9" w:rsidP="00CA25CF">
            <w:pPr>
              <w:rPr>
                <w:rFonts w:cs="Arial"/>
                <w:color w:val="FF0000"/>
                <w:sz w:val="21"/>
                <w:szCs w:val="21"/>
              </w:rPr>
            </w:pPr>
          </w:p>
        </w:tc>
        <w:tc>
          <w:tcPr>
            <w:tcW w:w="217" w:type="dxa"/>
          </w:tcPr>
          <w:p w14:paraId="4FE1C98A" w14:textId="77777777" w:rsidR="002C0FD9" w:rsidRPr="00CA25CF" w:rsidRDefault="002C0FD9" w:rsidP="00CA25CF">
            <w:pPr>
              <w:rPr>
                <w:rFonts w:cs="Arial"/>
                <w:color w:val="FF0000"/>
                <w:sz w:val="21"/>
                <w:szCs w:val="21"/>
              </w:rPr>
            </w:pPr>
          </w:p>
        </w:tc>
        <w:tc>
          <w:tcPr>
            <w:tcW w:w="217" w:type="dxa"/>
          </w:tcPr>
          <w:p w14:paraId="23FDA028" w14:textId="77777777" w:rsidR="002C0FD9" w:rsidRPr="00CA25CF" w:rsidRDefault="002C0FD9" w:rsidP="00CA25CF">
            <w:pPr>
              <w:rPr>
                <w:rFonts w:cs="Arial"/>
                <w:color w:val="FF0000"/>
                <w:sz w:val="21"/>
                <w:szCs w:val="21"/>
              </w:rPr>
            </w:pPr>
          </w:p>
        </w:tc>
        <w:tc>
          <w:tcPr>
            <w:tcW w:w="217" w:type="dxa"/>
          </w:tcPr>
          <w:p w14:paraId="53F5DD05" w14:textId="77777777" w:rsidR="002C0FD9" w:rsidRPr="00CA25CF" w:rsidRDefault="002C0FD9" w:rsidP="00CA25CF">
            <w:pPr>
              <w:rPr>
                <w:rFonts w:cs="Arial"/>
                <w:color w:val="FF0000"/>
                <w:sz w:val="21"/>
                <w:szCs w:val="21"/>
              </w:rPr>
            </w:pPr>
          </w:p>
        </w:tc>
        <w:tc>
          <w:tcPr>
            <w:tcW w:w="217" w:type="dxa"/>
          </w:tcPr>
          <w:p w14:paraId="1A2CF564" w14:textId="77777777" w:rsidR="002C0FD9" w:rsidRPr="00CA25CF" w:rsidRDefault="002C0FD9" w:rsidP="00CA25CF">
            <w:pPr>
              <w:rPr>
                <w:rFonts w:cs="Arial"/>
                <w:color w:val="FF0000"/>
                <w:sz w:val="21"/>
                <w:szCs w:val="21"/>
              </w:rPr>
            </w:pPr>
          </w:p>
        </w:tc>
        <w:tc>
          <w:tcPr>
            <w:tcW w:w="217" w:type="dxa"/>
          </w:tcPr>
          <w:p w14:paraId="49CEB85F" w14:textId="77777777" w:rsidR="002C0FD9" w:rsidRPr="00CA25CF" w:rsidRDefault="002C0FD9" w:rsidP="00CA25CF">
            <w:pPr>
              <w:rPr>
                <w:rFonts w:cs="Arial"/>
                <w:color w:val="FF0000"/>
                <w:sz w:val="21"/>
                <w:szCs w:val="21"/>
              </w:rPr>
            </w:pPr>
          </w:p>
        </w:tc>
        <w:tc>
          <w:tcPr>
            <w:tcW w:w="217" w:type="dxa"/>
          </w:tcPr>
          <w:p w14:paraId="1A83F373" w14:textId="77777777" w:rsidR="002C0FD9" w:rsidRPr="00CA25CF" w:rsidRDefault="002C0FD9" w:rsidP="00CA25CF">
            <w:pPr>
              <w:rPr>
                <w:rFonts w:cs="Arial"/>
                <w:color w:val="FF0000"/>
                <w:sz w:val="21"/>
                <w:szCs w:val="21"/>
              </w:rPr>
            </w:pPr>
          </w:p>
        </w:tc>
        <w:tc>
          <w:tcPr>
            <w:tcW w:w="217" w:type="dxa"/>
          </w:tcPr>
          <w:p w14:paraId="531F3B92" w14:textId="77777777" w:rsidR="002C0FD9" w:rsidRPr="00CA25CF" w:rsidRDefault="002C0FD9" w:rsidP="00CA25CF">
            <w:pPr>
              <w:rPr>
                <w:rFonts w:cs="Arial"/>
                <w:color w:val="FF0000"/>
                <w:sz w:val="21"/>
                <w:szCs w:val="21"/>
              </w:rPr>
            </w:pPr>
          </w:p>
        </w:tc>
        <w:tc>
          <w:tcPr>
            <w:tcW w:w="217" w:type="dxa"/>
          </w:tcPr>
          <w:p w14:paraId="703D441A" w14:textId="77777777" w:rsidR="002C0FD9" w:rsidRPr="00CA25CF" w:rsidRDefault="002C0FD9" w:rsidP="00CA25CF">
            <w:pPr>
              <w:rPr>
                <w:rFonts w:cs="Arial"/>
                <w:color w:val="FF0000"/>
                <w:sz w:val="21"/>
                <w:szCs w:val="21"/>
              </w:rPr>
            </w:pPr>
          </w:p>
        </w:tc>
        <w:tc>
          <w:tcPr>
            <w:tcW w:w="217" w:type="dxa"/>
          </w:tcPr>
          <w:p w14:paraId="796A8125" w14:textId="77777777" w:rsidR="002C0FD9" w:rsidRPr="00CA25CF" w:rsidRDefault="002C0FD9" w:rsidP="00CA25CF">
            <w:pPr>
              <w:rPr>
                <w:rFonts w:cs="Arial"/>
                <w:color w:val="FF0000"/>
                <w:sz w:val="21"/>
                <w:szCs w:val="21"/>
              </w:rPr>
            </w:pPr>
          </w:p>
        </w:tc>
        <w:tc>
          <w:tcPr>
            <w:tcW w:w="217" w:type="dxa"/>
          </w:tcPr>
          <w:p w14:paraId="05E95145" w14:textId="77777777" w:rsidR="002C0FD9" w:rsidRPr="00CA25CF" w:rsidRDefault="002C0FD9" w:rsidP="00CA25CF">
            <w:pPr>
              <w:rPr>
                <w:rFonts w:cs="Arial"/>
                <w:color w:val="FF0000"/>
                <w:sz w:val="21"/>
                <w:szCs w:val="21"/>
              </w:rPr>
            </w:pPr>
          </w:p>
        </w:tc>
        <w:tc>
          <w:tcPr>
            <w:tcW w:w="217" w:type="dxa"/>
          </w:tcPr>
          <w:p w14:paraId="62DF7C09" w14:textId="77777777" w:rsidR="002C0FD9" w:rsidRPr="00CA25CF" w:rsidRDefault="002C0FD9" w:rsidP="00CA25CF">
            <w:pPr>
              <w:rPr>
                <w:rFonts w:cs="Arial"/>
                <w:color w:val="FF0000"/>
                <w:sz w:val="21"/>
                <w:szCs w:val="21"/>
              </w:rPr>
            </w:pPr>
          </w:p>
        </w:tc>
        <w:tc>
          <w:tcPr>
            <w:tcW w:w="217" w:type="dxa"/>
          </w:tcPr>
          <w:p w14:paraId="32A65969" w14:textId="77777777" w:rsidR="002C0FD9" w:rsidRPr="00CA25CF" w:rsidRDefault="002C0FD9" w:rsidP="00CA25CF">
            <w:pPr>
              <w:rPr>
                <w:rFonts w:cs="Arial"/>
                <w:color w:val="FF0000"/>
                <w:sz w:val="21"/>
                <w:szCs w:val="21"/>
              </w:rPr>
            </w:pPr>
          </w:p>
        </w:tc>
        <w:tc>
          <w:tcPr>
            <w:tcW w:w="217" w:type="dxa"/>
          </w:tcPr>
          <w:p w14:paraId="32C0D974" w14:textId="77777777" w:rsidR="002C0FD9" w:rsidRPr="00CA25CF" w:rsidRDefault="002C0FD9" w:rsidP="00CA25CF">
            <w:pPr>
              <w:rPr>
                <w:rFonts w:cs="Arial"/>
                <w:color w:val="FF0000"/>
                <w:sz w:val="21"/>
                <w:szCs w:val="21"/>
              </w:rPr>
            </w:pPr>
          </w:p>
        </w:tc>
        <w:tc>
          <w:tcPr>
            <w:tcW w:w="217" w:type="dxa"/>
          </w:tcPr>
          <w:p w14:paraId="2B62F57C" w14:textId="77777777" w:rsidR="002C0FD9" w:rsidRPr="00CA25CF" w:rsidRDefault="002C0FD9" w:rsidP="00CA25CF">
            <w:pPr>
              <w:rPr>
                <w:rFonts w:cs="Arial"/>
                <w:color w:val="FF0000"/>
                <w:sz w:val="21"/>
                <w:szCs w:val="21"/>
              </w:rPr>
            </w:pPr>
          </w:p>
        </w:tc>
        <w:tc>
          <w:tcPr>
            <w:tcW w:w="217" w:type="dxa"/>
          </w:tcPr>
          <w:p w14:paraId="0E704E52" w14:textId="77777777" w:rsidR="002C0FD9" w:rsidRPr="00CA25CF" w:rsidRDefault="002C0FD9" w:rsidP="00CA25CF">
            <w:pPr>
              <w:rPr>
                <w:rFonts w:cs="Arial"/>
                <w:color w:val="FF0000"/>
                <w:sz w:val="21"/>
                <w:szCs w:val="21"/>
              </w:rPr>
            </w:pPr>
          </w:p>
        </w:tc>
        <w:tc>
          <w:tcPr>
            <w:tcW w:w="217" w:type="dxa"/>
          </w:tcPr>
          <w:p w14:paraId="05796314" w14:textId="77777777" w:rsidR="002C0FD9" w:rsidRPr="00CA25CF" w:rsidRDefault="002C0FD9" w:rsidP="00CA25CF">
            <w:pPr>
              <w:rPr>
                <w:rFonts w:cs="Arial"/>
                <w:color w:val="FF0000"/>
                <w:sz w:val="21"/>
                <w:szCs w:val="21"/>
              </w:rPr>
            </w:pPr>
          </w:p>
        </w:tc>
        <w:tc>
          <w:tcPr>
            <w:tcW w:w="217" w:type="dxa"/>
          </w:tcPr>
          <w:p w14:paraId="1CDAAE17" w14:textId="77777777" w:rsidR="002C0FD9" w:rsidRPr="00CA25CF" w:rsidRDefault="002C0FD9" w:rsidP="00CA25CF">
            <w:pPr>
              <w:rPr>
                <w:rFonts w:cs="Arial"/>
                <w:color w:val="FF0000"/>
                <w:sz w:val="21"/>
                <w:szCs w:val="21"/>
              </w:rPr>
            </w:pPr>
          </w:p>
        </w:tc>
        <w:tc>
          <w:tcPr>
            <w:tcW w:w="217" w:type="dxa"/>
          </w:tcPr>
          <w:p w14:paraId="0C556833" w14:textId="77777777" w:rsidR="002C0FD9" w:rsidRPr="00CA25CF" w:rsidRDefault="002C0FD9" w:rsidP="00CA25CF">
            <w:pPr>
              <w:rPr>
                <w:rFonts w:cs="Arial"/>
                <w:color w:val="FF0000"/>
                <w:sz w:val="21"/>
                <w:szCs w:val="21"/>
              </w:rPr>
            </w:pPr>
          </w:p>
        </w:tc>
        <w:tc>
          <w:tcPr>
            <w:tcW w:w="217" w:type="dxa"/>
          </w:tcPr>
          <w:p w14:paraId="438B16B6" w14:textId="77777777" w:rsidR="002C0FD9" w:rsidRPr="00CA25CF" w:rsidRDefault="002C0FD9" w:rsidP="00CA25CF">
            <w:pPr>
              <w:rPr>
                <w:rFonts w:cs="Arial"/>
                <w:color w:val="FF0000"/>
                <w:sz w:val="21"/>
                <w:szCs w:val="21"/>
              </w:rPr>
            </w:pPr>
          </w:p>
        </w:tc>
        <w:tc>
          <w:tcPr>
            <w:tcW w:w="217" w:type="dxa"/>
          </w:tcPr>
          <w:p w14:paraId="49F32812" w14:textId="77777777" w:rsidR="002C0FD9" w:rsidRPr="00CA25CF" w:rsidRDefault="002C0FD9" w:rsidP="00CA25CF">
            <w:pPr>
              <w:rPr>
                <w:rFonts w:cs="Arial"/>
                <w:color w:val="FF0000"/>
                <w:sz w:val="21"/>
                <w:szCs w:val="21"/>
              </w:rPr>
            </w:pPr>
          </w:p>
        </w:tc>
        <w:tc>
          <w:tcPr>
            <w:tcW w:w="217" w:type="dxa"/>
          </w:tcPr>
          <w:p w14:paraId="10552038" w14:textId="77777777" w:rsidR="002C0FD9" w:rsidRPr="00CA25CF" w:rsidRDefault="002C0FD9" w:rsidP="00CA25CF">
            <w:pPr>
              <w:rPr>
                <w:rFonts w:cs="Arial"/>
                <w:color w:val="FF0000"/>
                <w:sz w:val="21"/>
                <w:szCs w:val="21"/>
              </w:rPr>
            </w:pPr>
          </w:p>
        </w:tc>
        <w:tc>
          <w:tcPr>
            <w:tcW w:w="217" w:type="dxa"/>
          </w:tcPr>
          <w:p w14:paraId="2CC1CA7A" w14:textId="77777777" w:rsidR="002C0FD9" w:rsidRPr="00CA25CF" w:rsidRDefault="002C0FD9" w:rsidP="00CA25CF">
            <w:pPr>
              <w:rPr>
                <w:rFonts w:cs="Arial"/>
                <w:color w:val="FF0000"/>
                <w:sz w:val="21"/>
                <w:szCs w:val="21"/>
              </w:rPr>
            </w:pPr>
          </w:p>
        </w:tc>
        <w:tc>
          <w:tcPr>
            <w:tcW w:w="217" w:type="dxa"/>
          </w:tcPr>
          <w:p w14:paraId="218184C3" w14:textId="77777777" w:rsidR="002C0FD9" w:rsidRPr="00CA25CF" w:rsidRDefault="002C0FD9" w:rsidP="00CA25CF">
            <w:pPr>
              <w:rPr>
                <w:rFonts w:cs="Arial"/>
                <w:color w:val="FF0000"/>
                <w:sz w:val="21"/>
                <w:szCs w:val="21"/>
              </w:rPr>
            </w:pPr>
          </w:p>
        </w:tc>
        <w:tc>
          <w:tcPr>
            <w:tcW w:w="217" w:type="dxa"/>
          </w:tcPr>
          <w:p w14:paraId="00CEE989" w14:textId="77777777" w:rsidR="002C0FD9" w:rsidRPr="00CA25CF" w:rsidRDefault="002C0FD9" w:rsidP="00CA25CF">
            <w:pPr>
              <w:rPr>
                <w:rFonts w:cs="Arial"/>
                <w:color w:val="FF0000"/>
                <w:sz w:val="21"/>
                <w:szCs w:val="21"/>
              </w:rPr>
            </w:pPr>
          </w:p>
        </w:tc>
        <w:tc>
          <w:tcPr>
            <w:tcW w:w="217" w:type="dxa"/>
          </w:tcPr>
          <w:p w14:paraId="1CE1E531" w14:textId="77777777" w:rsidR="002C0FD9" w:rsidRPr="00CA25CF" w:rsidRDefault="002C0FD9" w:rsidP="00CA25CF">
            <w:pPr>
              <w:rPr>
                <w:rFonts w:cs="Arial"/>
                <w:color w:val="FF0000"/>
                <w:sz w:val="21"/>
                <w:szCs w:val="21"/>
              </w:rPr>
            </w:pPr>
          </w:p>
        </w:tc>
        <w:tc>
          <w:tcPr>
            <w:tcW w:w="217" w:type="dxa"/>
          </w:tcPr>
          <w:p w14:paraId="21225A07" w14:textId="77777777" w:rsidR="002C0FD9" w:rsidRPr="00CA25CF" w:rsidRDefault="002C0FD9" w:rsidP="00CA25CF">
            <w:pPr>
              <w:rPr>
                <w:rFonts w:cs="Arial"/>
                <w:color w:val="FF0000"/>
                <w:sz w:val="21"/>
                <w:szCs w:val="21"/>
              </w:rPr>
            </w:pPr>
          </w:p>
        </w:tc>
        <w:tc>
          <w:tcPr>
            <w:tcW w:w="217" w:type="dxa"/>
          </w:tcPr>
          <w:p w14:paraId="3DE479A0" w14:textId="77777777" w:rsidR="002C0FD9" w:rsidRPr="00CA25CF" w:rsidRDefault="002C0FD9" w:rsidP="00CA25CF">
            <w:pPr>
              <w:rPr>
                <w:rFonts w:cs="Arial"/>
                <w:color w:val="FF0000"/>
                <w:sz w:val="21"/>
                <w:szCs w:val="21"/>
              </w:rPr>
            </w:pPr>
          </w:p>
        </w:tc>
        <w:tc>
          <w:tcPr>
            <w:tcW w:w="217" w:type="dxa"/>
          </w:tcPr>
          <w:p w14:paraId="011ABE5E" w14:textId="77777777" w:rsidR="002C0FD9" w:rsidRPr="00CA25CF" w:rsidRDefault="002C0FD9" w:rsidP="00CA25CF">
            <w:pPr>
              <w:rPr>
                <w:rFonts w:cs="Arial"/>
                <w:color w:val="FF0000"/>
                <w:sz w:val="21"/>
                <w:szCs w:val="21"/>
              </w:rPr>
            </w:pPr>
          </w:p>
        </w:tc>
        <w:tc>
          <w:tcPr>
            <w:tcW w:w="217" w:type="dxa"/>
          </w:tcPr>
          <w:p w14:paraId="7A05BFBC" w14:textId="77777777" w:rsidR="002C0FD9" w:rsidRPr="00CA25CF" w:rsidRDefault="002C0FD9" w:rsidP="00CA25CF">
            <w:pPr>
              <w:rPr>
                <w:rFonts w:cs="Arial"/>
                <w:color w:val="FF0000"/>
                <w:sz w:val="21"/>
                <w:szCs w:val="21"/>
              </w:rPr>
            </w:pPr>
          </w:p>
        </w:tc>
        <w:tc>
          <w:tcPr>
            <w:tcW w:w="217" w:type="dxa"/>
          </w:tcPr>
          <w:p w14:paraId="49999A37" w14:textId="77777777" w:rsidR="002C0FD9" w:rsidRPr="00CA25CF" w:rsidRDefault="002C0FD9" w:rsidP="00CA25CF">
            <w:pPr>
              <w:rPr>
                <w:rFonts w:cs="Arial"/>
                <w:color w:val="FF0000"/>
                <w:sz w:val="21"/>
                <w:szCs w:val="21"/>
              </w:rPr>
            </w:pPr>
          </w:p>
        </w:tc>
        <w:tc>
          <w:tcPr>
            <w:tcW w:w="217" w:type="dxa"/>
          </w:tcPr>
          <w:p w14:paraId="24BE0C38" w14:textId="77777777" w:rsidR="002C0FD9" w:rsidRPr="00CA25CF" w:rsidRDefault="002C0FD9" w:rsidP="00CA25CF">
            <w:pPr>
              <w:rPr>
                <w:rFonts w:cs="Arial"/>
                <w:color w:val="FF0000"/>
                <w:sz w:val="21"/>
                <w:szCs w:val="21"/>
              </w:rPr>
            </w:pPr>
          </w:p>
        </w:tc>
        <w:tc>
          <w:tcPr>
            <w:tcW w:w="217" w:type="dxa"/>
          </w:tcPr>
          <w:p w14:paraId="29E78AD3" w14:textId="77777777" w:rsidR="002C0FD9" w:rsidRPr="00CA25CF" w:rsidRDefault="002C0FD9" w:rsidP="00CA25CF">
            <w:pPr>
              <w:rPr>
                <w:rFonts w:cs="Arial"/>
                <w:color w:val="FF0000"/>
                <w:sz w:val="21"/>
                <w:szCs w:val="21"/>
              </w:rPr>
            </w:pPr>
          </w:p>
        </w:tc>
        <w:tc>
          <w:tcPr>
            <w:tcW w:w="217" w:type="dxa"/>
          </w:tcPr>
          <w:p w14:paraId="32C58942" w14:textId="77777777" w:rsidR="002C0FD9" w:rsidRPr="00CA25CF" w:rsidRDefault="002C0FD9" w:rsidP="00CA25CF">
            <w:pPr>
              <w:rPr>
                <w:rFonts w:cs="Arial"/>
                <w:color w:val="FF0000"/>
                <w:sz w:val="21"/>
                <w:szCs w:val="21"/>
              </w:rPr>
            </w:pPr>
          </w:p>
        </w:tc>
      </w:tr>
      <w:tr w:rsidR="002C0FD9" w:rsidRPr="00A16219" w14:paraId="07236C17" w14:textId="77777777" w:rsidTr="002C0FD9">
        <w:trPr>
          <w:trHeight w:val="635"/>
        </w:trPr>
        <w:tc>
          <w:tcPr>
            <w:tcW w:w="515" w:type="dxa"/>
          </w:tcPr>
          <w:p w14:paraId="3CC8BCF4" w14:textId="77777777" w:rsidR="002C0FD9" w:rsidRPr="00CA25CF" w:rsidRDefault="002C0FD9" w:rsidP="00CA25CF">
            <w:pPr>
              <w:rPr>
                <w:rFonts w:cs="Arial"/>
                <w:color w:val="FF0000"/>
                <w:sz w:val="21"/>
                <w:szCs w:val="21"/>
              </w:rPr>
            </w:pPr>
          </w:p>
        </w:tc>
        <w:tc>
          <w:tcPr>
            <w:tcW w:w="217" w:type="dxa"/>
          </w:tcPr>
          <w:p w14:paraId="7C05A16C" w14:textId="77777777" w:rsidR="002C0FD9" w:rsidRPr="00CA25CF" w:rsidRDefault="002C0FD9" w:rsidP="00CA25CF">
            <w:pPr>
              <w:rPr>
                <w:rFonts w:cs="Arial"/>
                <w:color w:val="FF0000"/>
                <w:sz w:val="21"/>
                <w:szCs w:val="21"/>
              </w:rPr>
            </w:pPr>
          </w:p>
        </w:tc>
        <w:tc>
          <w:tcPr>
            <w:tcW w:w="217" w:type="dxa"/>
          </w:tcPr>
          <w:p w14:paraId="7F0EA2B1" w14:textId="77777777" w:rsidR="002C0FD9" w:rsidRPr="00CA25CF" w:rsidRDefault="002C0FD9" w:rsidP="00CA25CF">
            <w:pPr>
              <w:rPr>
                <w:rFonts w:cs="Arial"/>
                <w:color w:val="FF0000"/>
                <w:sz w:val="21"/>
                <w:szCs w:val="21"/>
              </w:rPr>
            </w:pPr>
          </w:p>
        </w:tc>
        <w:tc>
          <w:tcPr>
            <w:tcW w:w="217" w:type="dxa"/>
          </w:tcPr>
          <w:p w14:paraId="6F84673E" w14:textId="77777777" w:rsidR="002C0FD9" w:rsidRPr="00CA25CF" w:rsidRDefault="002C0FD9" w:rsidP="00CA25CF">
            <w:pPr>
              <w:rPr>
                <w:rFonts w:cs="Arial"/>
                <w:color w:val="FF0000"/>
                <w:sz w:val="21"/>
                <w:szCs w:val="21"/>
              </w:rPr>
            </w:pPr>
          </w:p>
        </w:tc>
        <w:tc>
          <w:tcPr>
            <w:tcW w:w="217" w:type="dxa"/>
          </w:tcPr>
          <w:p w14:paraId="4579BAF9" w14:textId="77777777" w:rsidR="002C0FD9" w:rsidRPr="00CA25CF" w:rsidRDefault="002C0FD9" w:rsidP="00CA25CF">
            <w:pPr>
              <w:rPr>
                <w:rFonts w:cs="Arial"/>
                <w:color w:val="FF0000"/>
                <w:sz w:val="21"/>
                <w:szCs w:val="21"/>
              </w:rPr>
            </w:pPr>
          </w:p>
        </w:tc>
        <w:tc>
          <w:tcPr>
            <w:tcW w:w="217" w:type="dxa"/>
          </w:tcPr>
          <w:p w14:paraId="6A06A943" w14:textId="77777777" w:rsidR="002C0FD9" w:rsidRPr="00CA25CF" w:rsidRDefault="002C0FD9" w:rsidP="00CA25CF">
            <w:pPr>
              <w:rPr>
                <w:rFonts w:cs="Arial"/>
                <w:color w:val="FF0000"/>
                <w:sz w:val="21"/>
                <w:szCs w:val="21"/>
              </w:rPr>
            </w:pPr>
          </w:p>
        </w:tc>
        <w:tc>
          <w:tcPr>
            <w:tcW w:w="217" w:type="dxa"/>
          </w:tcPr>
          <w:p w14:paraId="1C986222" w14:textId="77777777" w:rsidR="002C0FD9" w:rsidRPr="00CA25CF" w:rsidRDefault="002C0FD9" w:rsidP="00CA25CF">
            <w:pPr>
              <w:rPr>
                <w:rFonts w:cs="Arial"/>
                <w:color w:val="FF0000"/>
                <w:sz w:val="21"/>
                <w:szCs w:val="21"/>
              </w:rPr>
            </w:pPr>
          </w:p>
        </w:tc>
        <w:tc>
          <w:tcPr>
            <w:tcW w:w="217" w:type="dxa"/>
          </w:tcPr>
          <w:p w14:paraId="1CF97052" w14:textId="77777777" w:rsidR="002C0FD9" w:rsidRPr="00CA25CF" w:rsidRDefault="002C0FD9" w:rsidP="00CA25CF">
            <w:pPr>
              <w:rPr>
                <w:rFonts w:cs="Arial"/>
                <w:color w:val="FF0000"/>
                <w:sz w:val="21"/>
                <w:szCs w:val="21"/>
              </w:rPr>
            </w:pPr>
          </w:p>
        </w:tc>
        <w:tc>
          <w:tcPr>
            <w:tcW w:w="217" w:type="dxa"/>
          </w:tcPr>
          <w:p w14:paraId="2856B595" w14:textId="77777777" w:rsidR="002C0FD9" w:rsidRPr="00CA25CF" w:rsidRDefault="002C0FD9" w:rsidP="00CA25CF">
            <w:pPr>
              <w:rPr>
                <w:rFonts w:cs="Arial"/>
                <w:color w:val="FF0000"/>
                <w:sz w:val="21"/>
                <w:szCs w:val="21"/>
              </w:rPr>
            </w:pPr>
          </w:p>
        </w:tc>
        <w:tc>
          <w:tcPr>
            <w:tcW w:w="217" w:type="dxa"/>
          </w:tcPr>
          <w:p w14:paraId="2180ED06" w14:textId="77777777" w:rsidR="002C0FD9" w:rsidRPr="00CA25CF" w:rsidRDefault="002C0FD9" w:rsidP="00CA25CF">
            <w:pPr>
              <w:rPr>
                <w:rFonts w:cs="Arial"/>
                <w:color w:val="FF0000"/>
                <w:sz w:val="21"/>
                <w:szCs w:val="21"/>
              </w:rPr>
            </w:pPr>
          </w:p>
        </w:tc>
        <w:tc>
          <w:tcPr>
            <w:tcW w:w="217" w:type="dxa"/>
          </w:tcPr>
          <w:p w14:paraId="6A11B520" w14:textId="77777777" w:rsidR="002C0FD9" w:rsidRPr="00CA25CF" w:rsidRDefault="002C0FD9" w:rsidP="00CA25CF">
            <w:pPr>
              <w:rPr>
                <w:rFonts w:cs="Arial"/>
                <w:color w:val="FF0000"/>
                <w:sz w:val="21"/>
                <w:szCs w:val="21"/>
              </w:rPr>
            </w:pPr>
          </w:p>
        </w:tc>
        <w:tc>
          <w:tcPr>
            <w:tcW w:w="217" w:type="dxa"/>
          </w:tcPr>
          <w:p w14:paraId="445E846F" w14:textId="77777777" w:rsidR="002C0FD9" w:rsidRPr="00CA25CF" w:rsidRDefault="002C0FD9" w:rsidP="00CA25CF">
            <w:pPr>
              <w:rPr>
                <w:rFonts w:cs="Arial"/>
                <w:color w:val="FF0000"/>
                <w:sz w:val="21"/>
                <w:szCs w:val="21"/>
              </w:rPr>
            </w:pPr>
          </w:p>
        </w:tc>
        <w:tc>
          <w:tcPr>
            <w:tcW w:w="217" w:type="dxa"/>
          </w:tcPr>
          <w:p w14:paraId="790B812B" w14:textId="77777777" w:rsidR="002C0FD9" w:rsidRPr="00CA25CF" w:rsidRDefault="002C0FD9" w:rsidP="00CA25CF">
            <w:pPr>
              <w:rPr>
                <w:rFonts w:cs="Arial"/>
                <w:color w:val="FF0000"/>
                <w:sz w:val="21"/>
                <w:szCs w:val="21"/>
              </w:rPr>
            </w:pPr>
          </w:p>
        </w:tc>
        <w:tc>
          <w:tcPr>
            <w:tcW w:w="217" w:type="dxa"/>
          </w:tcPr>
          <w:p w14:paraId="49674F93" w14:textId="77777777" w:rsidR="002C0FD9" w:rsidRPr="00CA25CF" w:rsidRDefault="002C0FD9" w:rsidP="00CA25CF">
            <w:pPr>
              <w:rPr>
                <w:rFonts w:cs="Arial"/>
                <w:color w:val="FF0000"/>
                <w:sz w:val="21"/>
                <w:szCs w:val="21"/>
              </w:rPr>
            </w:pPr>
          </w:p>
        </w:tc>
        <w:tc>
          <w:tcPr>
            <w:tcW w:w="217" w:type="dxa"/>
          </w:tcPr>
          <w:p w14:paraId="1B64851C" w14:textId="77777777" w:rsidR="002C0FD9" w:rsidRPr="00CA25CF" w:rsidRDefault="002C0FD9" w:rsidP="00CA25CF">
            <w:pPr>
              <w:rPr>
                <w:rFonts w:cs="Arial"/>
                <w:color w:val="FF0000"/>
                <w:sz w:val="21"/>
                <w:szCs w:val="21"/>
              </w:rPr>
            </w:pPr>
          </w:p>
        </w:tc>
        <w:tc>
          <w:tcPr>
            <w:tcW w:w="217" w:type="dxa"/>
          </w:tcPr>
          <w:p w14:paraId="7A533A51" w14:textId="77777777" w:rsidR="002C0FD9" w:rsidRPr="00CA25CF" w:rsidRDefault="002C0FD9" w:rsidP="00CA25CF">
            <w:pPr>
              <w:rPr>
                <w:rFonts w:cs="Arial"/>
                <w:color w:val="FF0000"/>
                <w:sz w:val="21"/>
                <w:szCs w:val="21"/>
              </w:rPr>
            </w:pPr>
          </w:p>
        </w:tc>
        <w:tc>
          <w:tcPr>
            <w:tcW w:w="217" w:type="dxa"/>
          </w:tcPr>
          <w:p w14:paraId="65F129A3" w14:textId="77777777" w:rsidR="002C0FD9" w:rsidRPr="00CA25CF" w:rsidRDefault="002C0FD9" w:rsidP="00CA25CF">
            <w:pPr>
              <w:rPr>
                <w:rFonts w:cs="Arial"/>
                <w:color w:val="FF0000"/>
                <w:sz w:val="21"/>
                <w:szCs w:val="21"/>
              </w:rPr>
            </w:pPr>
          </w:p>
        </w:tc>
        <w:tc>
          <w:tcPr>
            <w:tcW w:w="217" w:type="dxa"/>
          </w:tcPr>
          <w:p w14:paraId="6FD747ED" w14:textId="77777777" w:rsidR="002C0FD9" w:rsidRPr="00CA25CF" w:rsidRDefault="002C0FD9" w:rsidP="00CA25CF">
            <w:pPr>
              <w:rPr>
                <w:rFonts w:cs="Arial"/>
                <w:color w:val="FF0000"/>
                <w:sz w:val="21"/>
                <w:szCs w:val="21"/>
              </w:rPr>
            </w:pPr>
          </w:p>
        </w:tc>
        <w:tc>
          <w:tcPr>
            <w:tcW w:w="217" w:type="dxa"/>
          </w:tcPr>
          <w:p w14:paraId="30EF36A6" w14:textId="77777777" w:rsidR="002C0FD9" w:rsidRPr="00CA25CF" w:rsidRDefault="002C0FD9" w:rsidP="00CA25CF">
            <w:pPr>
              <w:rPr>
                <w:rFonts w:cs="Arial"/>
                <w:color w:val="FF0000"/>
                <w:sz w:val="21"/>
                <w:szCs w:val="21"/>
              </w:rPr>
            </w:pPr>
          </w:p>
        </w:tc>
        <w:tc>
          <w:tcPr>
            <w:tcW w:w="217" w:type="dxa"/>
          </w:tcPr>
          <w:p w14:paraId="64105931" w14:textId="77777777" w:rsidR="002C0FD9" w:rsidRPr="00CA25CF" w:rsidRDefault="002C0FD9" w:rsidP="00CA25CF">
            <w:pPr>
              <w:rPr>
                <w:rFonts w:cs="Arial"/>
                <w:color w:val="FF0000"/>
                <w:sz w:val="21"/>
                <w:szCs w:val="21"/>
              </w:rPr>
            </w:pPr>
          </w:p>
        </w:tc>
        <w:tc>
          <w:tcPr>
            <w:tcW w:w="217" w:type="dxa"/>
          </w:tcPr>
          <w:p w14:paraId="623A934D" w14:textId="77777777" w:rsidR="002C0FD9" w:rsidRPr="00CA25CF" w:rsidRDefault="002C0FD9" w:rsidP="00CA25CF">
            <w:pPr>
              <w:rPr>
                <w:rFonts w:cs="Arial"/>
                <w:color w:val="FF0000"/>
                <w:sz w:val="21"/>
                <w:szCs w:val="21"/>
              </w:rPr>
            </w:pPr>
          </w:p>
        </w:tc>
        <w:tc>
          <w:tcPr>
            <w:tcW w:w="217" w:type="dxa"/>
          </w:tcPr>
          <w:p w14:paraId="7C31DD64" w14:textId="77777777" w:rsidR="002C0FD9" w:rsidRPr="00CA25CF" w:rsidRDefault="002C0FD9" w:rsidP="00CA25CF">
            <w:pPr>
              <w:rPr>
                <w:rFonts w:cs="Arial"/>
                <w:color w:val="FF0000"/>
                <w:sz w:val="21"/>
                <w:szCs w:val="21"/>
              </w:rPr>
            </w:pPr>
          </w:p>
        </w:tc>
        <w:tc>
          <w:tcPr>
            <w:tcW w:w="217" w:type="dxa"/>
          </w:tcPr>
          <w:p w14:paraId="20073F2A" w14:textId="77777777" w:rsidR="002C0FD9" w:rsidRPr="00CA25CF" w:rsidRDefault="002C0FD9" w:rsidP="00CA25CF">
            <w:pPr>
              <w:rPr>
                <w:rFonts w:cs="Arial"/>
                <w:color w:val="FF0000"/>
                <w:sz w:val="21"/>
                <w:szCs w:val="21"/>
              </w:rPr>
            </w:pPr>
          </w:p>
        </w:tc>
        <w:tc>
          <w:tcPr>
            <w:tcW w:w="217" w:type="dxa"/>
          </w:tcPr>
          <w:p w14:paraId="510EEF12" w14:textId="77777777" w:rsidR="002C0FD9" w:rsidRPr="00CA25CF" w:rsidRDefault="002C0FD9" w:rsidP="00CA25CF">
            <w:pPr>
              <w:rPr>
                <w:rFonts w:cs="Arial"/>
                <w:color w:val="FF0000"/>
                <w:sz w:val="21"/>
                <w:szCs w:val="21"/>
              </w:rPr>
            </w:pPr>
          </w:p>
        </w:tc>
        <w:tc>
          <w:tcPr>
            <w:tcW w:w="217" w:type="dxa"/>
          </w:tcPr>
          <w:p w14:paraId="44F663F3" w14:textId="77777777" w:rsidR="002C0FD9" w:rsidRPr="00CA25CF" w:rsidRDefault="002C0FD9" w:rsidP="00CA25CF">
            <w:pPr>
              <w:rPr>
                <w:rFonts w:cs="Arial"/>
                <w:color w:val="FF0000"/>
                <w:sz w:val="21"/>
                <w:szCs w:val="21"/>
              </w:rPr>
            </w:pPr>
          </w:p>
        </w:tc>
        <w:tc>
          <w:tcPr>
            <w:tcW w:w="217" w:type="dxa"/>
          </w:tcPr>
          <w:p w14:paraId="3B653606" w14:textId="77777777" w:rsidR="002C0FD9" w:rsidRPr="00CA25CF" w:rsidRDefault="002C0FD9" w:rsidP="00CA25CF">
            <w:pPr>
              <w:rPr>
                <w:rFonts w:cs="Arial"/>
                <w:color w:val="FF0000"/>
                <w:sz w:val="21"/>
                <w:szCs w:val="21"/>
              </w:rPr>
            </w:pPr>
          </w:p>
        </w:tc>
        <w:tc>
          <w:tcPr>
            <w:tcW w:w="217" w:type="dxa"/>
          </w:tcPr>
          <w:p w14:paraId="34D6485E" w14:textId="77777777" w:rsidR="002C0FD9" w:rsidRPr="00CA25CF" w:rsidRDefault="002C0FD9" w:rsidP="00CA25CF">
            <w:pPr>
              <w:rPr>
                <w:rFonts w:cs="Arial"/>
                <w:color w:val="FF0000"/>
                <w:sz w:val="21"/>
                <w:szCs w:val="21"/>
              </w:rPr>
            </w:pPr>
          </w:p>
        </w:tc>
        <w:tc>
          <w:tcPr>
            <w:tcW w:w="217" w:type="dxa"/>
          </w:tcPr>
          <w:p w14:paraId="1BA2FCDE" w14:textId="77777777" w:rsidR="002C0FD9" w:rsidRPr="00CA25CF" w:rsidRDefault="002C0FD9" w:rsidP="00CA25CF">
            <w:pPr>
              <w:rPr>
                <w:rFonts w:cs="Arial"/>
                <w:color w:val="FF0000"/>
                <w:sz w:val="21"/>
                <w:szCs w:val="21"/>
              </w:rPr>
            </w:pPr>
          </w:p>
        </w:tc>
        <w:tc>
          <w:tcPr>
            <w:tcW w:w="217" w:type="dxa"/>
          </w:tcPr>
          <w:p w14:paraId="56CB8566" w14:textId="77777777" w:rsidR="002C0FD9" w:rsidRPr="00CA25CF" w:rsidRDefault="002C0FD9" w:rsidP="00CA25CF">
            <w:pPr>
              <w:rPr>
                <w:rFonts w:cs="Arial"/>
                <w:color w:val="FF0000"/>
                <w:sz w:val="21"/>
                <w:szCs w:val="21"/>
              </w:rPr>
            </w:pPr>
          </w:p>
        </w:tc>
        <w:tc>
          <w:tcPr>
            <w:tcW w:w="217" w:type="dxa"/>
          </w:tcPr>
          <w:p w14:paraId="58C96F19" w14:textId="77777777" w:rsidR="002C0FD9" w:rsidRPr="00CA25CF" w:rsidRDefault="002C0FD9" w:rsidP="00CA25CF">
            <w:pPr>
              <w:rPr>
                <w:rFonts w:cs="Arial"/>
                <w:color w:val="FF0000"/>
                <w:sz w:val="21"/>
                <w:szCs w:val="21"/>
              </w:rPr>
            </w:pPr>
          </w:p>
        </w:tc>
        <w:tc>
          <w:tcPr>
            <w:tcW w:w="217" w:type="dxa"/>
          </w:tcPr>
          <w:p w14:paraId="42B7F224" w14:textId="77777777" w:rsidR="002C0FD9" w:rsidRPr="00CA25CF" w:rsidRDefault="002C0FD9" w:rsidP="00CA25CF">
            <w:pPr>
              <w:rPr>
                <w:rFonts w:cs="Arial"/>
                <w:color w:val="FF0000"/>
                <w:sz w:val="21"/>
                <w:szCs w:val="21"/>
              </w:rPr>
            </w:pPr>
          </w:p>
        </w:tc>
        <w:tc>
          <w:tcPr>
            <w:tcW w:w="217" w:type="dxa"/>
          </w:tcPr>
          <w:p w14:paraId="25D123AD" w14:textId="77777777" w:rsidR="002C0FD9" w:rsidRPr="00CA25CF" w:rsidRDefault="002C0FD9" w:rsidP="00CA25CF">
            <w:pPr>
              <w:rPr>
                <w:rFonts w:cs="Arial"/>
                <w:color w:val="FF0000"/>
                <w:sz w:val="21"/>
                <w:szCs w:val="21"/>
              </w:rPr>
            </w:pPr>
          </w:p>
        </w:tc>
        <w:tc>
          <w:tcPr>
            <w:tcW w:w="217" w:type="dxa"/>
          </w:tcPr>
          <w:p w14:paraId="63525A18" w14:textId="77777777" w:rsidR="002C0FD9" w:rsidRPr="00CA25CF" w:rsidRDefault="002C0FD9" w:rsidP="00CA25CF">
            <w:pPr>
              <w:rPr>
                <w:rFonts w:cs="Arial"/>
                <w:color w:val="FF0000"/>
                <w:sz w:val="21"/>
                <w:szCs w:val="21"/>
              </w:rPr>
            </w:pPr>
          </w:p>
        </w:tc>
        <w:tc>
          <w:tcPr>
            <w:tcW w:w="217" w:type="dxa"/>
          </w:tcPr>
          <w:p w14:paraId="69573809" w14:textId="77777777" w:rsidR="002C0FD9" w:rsidRPr="00CA25CF" w:rsidRDefault="002C0FD9" w:rsidP="00CA25CF">
            <w:pPr>
              <w:rPr>
                <w:rFonts w:cs="Arial"/>
                <w:color w:val="FF0000"/>
                <w:sz w:val="21"/>
                <w:szCs w:val="21"/>
              </w:rPr>
            </w:pPr>
          </w:p>
        </w:tc>
        <w:tc>
          <w:tcPr>
            <w:tcW w:w="217" w:type="dxa"/>
          </w:tcPr>
          <w:p w14:paraId="520DB1FF" w14:textId="77777777" w:rsidR="002C0FD9" w:rsidRPr="00CA25CF" w:rsidRDefault="002C0FD9" w:rsidP="00CA25CF">
            <w:pPr>
              <w:rPr>
                <w:rFonts w:cs="Arial"/>
                <w:color w:val="FF0000"/>
                <w:sz w:val="21"/>
                <w:szCs w:val="21"/>
              </w:rPr>
            </w:pPr>
          </w:p>
        </w:tc>
        <w:tc>
          <w:tcPr>
            <w:tcW w:w="217" w:type="dxa"/>
          </w:tcPr>
          <w:p w14:paraId="72725FB9" w14:textId="77777777" w:rsidR="002C0FD9" w:rsidRPr="00CA25CF" w:rsidRDefault="002C0FD9" w:rsidP="00CA25CF">
            <w:pPr>
              <w:rPr>
                <w:rFonts w:cs="Arial"/>
                <w:color w:val="FF0000"/>
                <w:sz w:val="21"/>
                <w:szCs w:val="21"/>
              </w:rPr>
            </w:pPr>
          </w:p>
        </w:tc>
        <w:tc>
          <w:tcPr>
            <w:tcW w:w="217" w:type="dxa"/>
          </w:tcPr>
          <w:p w14:paraId="28CF1F1D" w14:textId="77777777" w:rsidR="002C0FD9" w:rsidRPr="00CA25CF" w:rsidRDefault="002C0FD9" w:rsidP="00CA25CF">
            <w:pPr>
              <w:rPr>
                <w:rFonts w:cs="Arial"/>
                <w:color w:val="FF0000"/>
                <w:sz w:val="21"/>
                <w:szCs w:val="21"/>
              </w:rPr>
            </w:pPr>
          </w:p>
        </w:tc>
        <w:tc>
          <w:tcPr>
            <w:tcW w:w="217" w:type="dxa"/>
          </w:tcPr>
          <w:p w14:paraId="2CE96C62" w14:textId="77777777" w:rsidR="002C0FD9" w:rsidRPr="00CA25CF" w:rsidRDefault="002C0FD9" w:rsidP="00CA25CF">
            <w:pPr>
              <w:rPr>
                <w:rFonts w:cs="Arial"/>
                <w:color w:val="FF0000"/>
                <w:sz w:val="21"/>
                <w:szCs w:val="21"/>
              </w:rPr>
            </w:pPr>
          </w:p>
        </w:tc>
        <w:tc>
          <w:tcPr>
            <w:tcW w:w="217" w:type="dxa"/>
          </w:tcPr>
          <w:p w14:paraId="11EFC512" w14:textId="77777777" w:rsidR="002C0FD9" w:rsidRPr="00CA25CF" w:rsidRDefault="002C0FD9" w:rsidP="00CA25CF">
            <w:pPr>
              <w:rPr>
                <w:rFonts w:cs="Arial"/>
                <w:color w:val="FF0000"/>
                <w:sz w:val="21"/>
                <w:szCs w:val="21"/>
              </w:rPr>
            </w:pPr>
          </w:p>
        </w:tc>
        <w:tc>
          <w:tcPr>
            <w:tcW w:w="217" w:type="dxa"/>
          </w:tcPr>
          <w:p w14:paraId="3667F25F" w14:textId="77777777" w:rsidR="002C0FD9" w:rsidRPr="00CA25CF" w:rsidRDefault="002C0FD9" w:rsidP="00CA25CF">
            <w:pPr>
              <w:rPr>
                <w:rFonts w:cs="Arial"/>
                <w:color w:val="FF0000"/>
                <w:sz w:val="21"/>
                <w:szCs w:val="21"/>
              </w:rPr>
            </w:pPr>
          </w:p>
        </w:tc>
        <w:tc>
          <w:tcPr>
            <w:tcW w:w="217" w:type="dxa"/>
          </w:tcPr>
          <w:p w14:paraId="4CC9EE25" w14:textId="77777777" w:rsidR="002C0FD9" w:rsidRPr="00CA25CF" w:rsidRDefault="002C0FD9" w:rsidP="00CA25CF">
            <w:pPr>
              <w:rPr>
                <w:rFonts w:cs="Arial"/>
                <w:color w:val="FF0000"/>
                <w:sz w:val="21"/>
                <w:szCs w:val="21"/>
              </w:rPr>
            </w:pPr>
          </w:p>
        </w:tc>
        <w:tc>
          <w:tcPr>
            <w:tcW w:w="217" w:type="dxa"/>
          </w:tcPr>
          <w:p w14:paraId="79C1CDCA" w14:textId="77777777" w:rsidR="002C0FD9" w:rsidRPr="00CA25CF" w:rsidRDefault="002C0FD9" w:rsidP="00CA25CF">
            <w:pPr>
              <w:rPr>
                <w:rFonts w:cs="Arial"/>
                <w:color w:val="FF0000"/>
                <w:sz w:val="21"/>
                <w:szCs w:val="21"/>
              </w:rPr>
            </w:pPr>
          </w:p>
        </w:tc>
        <w:tc>
          <w:tcPr>
            <w:tcW w:w="217" w:type="dxa"/>
          </w:tcPr>
          <w:p w14:paraId="1B00C21C" w14:textId="77777777" w:rsidR="002C0FD9" w:rsidRPr="00CA25CF" w:rsidRDefault="002C0FD9" w:rsidP="00CA25CF">
            <w:pPr>
              <w:rPr>
                <w:rFonts w:cs="Arial"/>
                <w:color w:val="FF0000"/>
                <w:sz w:val="21"/>
                <w:szCs w:val="21"/>
              </w:rPr>
            </w:pPr>
          </w:p>
        </w:tc>
      </w:tr>
      <w:tr w:rsidR="002C0FD9" w:rsidRPr="00A16219" w14:paraId="59869F07" w14:textId="77777777" w:rsidTr="002C0FD9">
        <w:trPr>
          <w:trHeight w:val="635"/>
        </w:trPr>
        <w:tc>
          <w:tcPr>
            <w:tcW w:w="515" w:type="dxa"/>
          </w:tcPr>
          <w:p w14:paraId="74F65F81" w14:textId="77777777" w:rsidR="002C0FD9" w:rsidRPr="00CA25CF" w:rsidRDefault="002C0FD9" w:rsidP="00CA25CF">
            <w:pPr>
              <w:rPr>
                <w:rFonts w:cs="Arial"/>
                <w:color w:val="FF0000"/>
                <w:sz w:val="21"/>
                <w:szCs w:val="21"/>
              </w:rPr>
            </w:pPr>
          </w:p>
        </w:tc>
        <w:tc>
          <w:tcPr>
            <w:tcW w:w="217" w:type="dxa"/>
          </w:tcPr>
          <w:p w14:paraId="2ABADE10" w14:textId="77777777" w:rsidR="002C0FD9" w:rsidRPr="00CA25CF" w:rsidRDefault="002C0FD9" w:rsidP="00CA25CF">
            <w:pPr>
              <w:rPr>
                <w:rFonts w:cs="Arial"/>
                <w:color w:val="FF0000"/>
                <w:sz w:val="21"/>
                <w:szCs w:val="21"/>
              </w:rPr>
            </w:pPr>
          </w:p>
        </w:tc>
        <w:tc>
          <w:tcPr>
            <w:tcW w:w="217" w:type="dxa"/>
          </w:tcPr>
          <w:p w14:paraId="5DE5CB93" w14:textId="77777777" w:rsidR="002C0FD9" w:rsidRPr="00CA25CF" w:rsidRDefault="002C0FD9" w:rsidP="00CA25CF">
            <w:pPr>
              <w:rPr>
                <w:rFonts w:cs="Arial"/>
                <w:color w:val="FF0000"/>
                <w:sz w:val="21"/>
                <w:szCs w:val="21"/>
              </w:rPr>
            </w:pPr>
          </w:p>
        </w:tc>
        <w:tc>
          <w:tcPr>
            <w:tcW w:w="217" w:type="dxa"/>
          </w:tcPr>
          <w:p w14:paraId="53BFB658" w14:textId="77777777" w:rsidR="002C0FD9" w:rsidRPr="00CA25CF" w:rsidRDefault="002C0FD9" w:rsidP="00CA25CF">
            <w:pPr>
              <w:rPr>
                <w:rFonts w:cs="Arial"/>
                <w:color w:val="FF0000"/>
                <w:sz w:val="21"/>
                <w:szCs w:val="21"/>
              </w:rPr>
            </w:pPr>
          </w:p>
        </w:tc>
        <w:tc>
          <w:tcPr>
            <w:tcW w:w="217" w:type="dxa"/>
          </w:tcPr>
          <w:p w14:paraId="7CC3360A" w14:textId="77777777" w:rsidR="002C0FD9" w:rsidRPr="00CA25CF" w:rsidRDefault="002C0FD9" w:rsidP="00CA25CF">
            <w:pPr>
              <w:rPr>
                <w:rFonts w:cs="Arial"/>
                <w:color w:val="FF0000"/>
                <w:sz w:val="21"/>
                <w:szCs w:val="21"/>
              </w:rPr>
            </w:pPr>
          </w:p>
        </w:tc>
        <w:tc>
          <w:tcPr>
            <w:tcW w:w="217" w:type="dxa"/>
          </w:tcPr>
          <w:p w14:paraId="67FD294C" w14:textId="77777777" w:rsidR="002C0FD9" w:rsidRPr="00CA25CF" w:rsidRDefault="002C0FD9" w:rsidP="00CA25CF">
            <w:pPr>
              <w:rPr>
                <w:rFonts w:cs="Arial"/>
                <w:color w:val="FF0000"/>
                <w:sz w:val="21"/>
                <w:szCs w:val="21"/>
              </w:rPr>
            </w:pPr>
          </w:p>
        </w:tc>
        <w:tc>
          <w:tcPr>
            <w:tcW w:w="217" w:type="dxa"/>
          </w:tcPr>
          <w:p w14:paraId="762638A0" w14:textId="77777777" w:rsidR="002C0FD9" w:rsidRPr="00CA25CF" w:rsidRDefault="002C0FD9" w:rsidP="00CA25CF">
            <w:pPr>
              <w:rPr>
                <w:rFonts w:cs="Arial"/>
                <w:color w:val="FF0000"/>
                <w:sz w:val="21"/>
                <w:szCs w:val="21"/>
              </w:rPr>
            </w:pPr>
          </w:p>
        </w:tc>
        <w:tc>
          <w:tcPr>
            <w:tcW w:w="217" w:type="dxa"/>
          </w:tcPr>
          <w:p w14:paraId="3357412B" w14:textId="77777777" w:rsidR="002C0FD9" w:rsidRPr="00CA25CF" w:rsidRDefault="002C0FD9" w:rsidP="00CA25CF">
            <w:pPr>
              <w:rPr>
                <w:rFonts w:cs="Arial"/>
                <w:color w:val="FF0000"/>
                <w:sz w:val="21"/>
                <w:szCs w:val="21"/>
              </w:rPr>
            </w:pPr>
          </w:p>
        </w:tc>
        <w:tc>
          <w:tcPr>
            <w:tcW w:w="217" w:type="dxa"/>
          </w:tcPr>
          <w:p w14:paraId="356BEFCE" w14:textId="77777777" w:rsidR="002C0FD9" w:rsidRPr="00CA25CF" w:rsidRDefault="002C0FD9" w:rsidP="00CA25CF">
            <w:pPr>
              <w:rPr>
                <w:rFonts w:cs="Arial"/>
                <w:color w:val="FF0000"/>
                <w:sz w:val="21"/>
                <w:szCs w:val="21"/>
              </w:rPr>
            </w:pPr>
          </w:p>
        </w:tc>
        <w:tc>
          <w:tcPr>
            <w:tcW w:w="217" w:type="dxa"/>
          </w:tcPr>
          <w:p w14:paraId="08DB7BDE" w14:textId="77777777" w:rsidR="002C0FD9" w:rsidRPr="00CA25CF" w:rsidRDefault="002C0FD9" w:rsidP="00CA25CF">
            <w:pPr>
              <w:rPr>
                <w:rFonts w:cs="Arial"/>
                <w:color w:val="FF0000"/>
                <w:sz w:val="21"/>
                <w:szCs w:val="21"/>
              </w:rPr>
            </w:pPr>
          </w:p>
        </w:tc>
        <w:tc>
          <w:tcPr>
            <w:tcW w:w="217" w:type="dxa"/>
          </w:tcPr>
          <w:p w14:paraId="672BB8CE" w14:textId="77777777" w:rsidR="002C0FD9" w:rsidRPr="00CA25CF" w:rsidRDefault="002C0FD9" w:rsidP="00CA25CF">
            <w:pPr>
              <w:rPr>
                <w:rFonts w:cs="Arial"/>
                <w:color w:val="FF0000"/>
                <w:sz w:val="21"/>
                <w:szCs w:val="21"/>
              </w:rPr>
            </w:pPr>
          </w:p>
        </w:tc>
        <w:tc>
          <w:tcPr>
            <w:tcW w:w="217" w:type="dxa"/>
          </w:tcPr>
          <w:p w14:paraId="135DA9C7" w14:textId="77777777" w:rsidR="002C0FD9" w:rsidRPr="00CA25CF" w:rsidRDefault="002C0FD9" w:rsidP="00CA25CF">
            <w:pPr>
              <w:rPr>
                <w:rFonts w:cs="Arial"/>
                <w:color w:val="FF0000"/>
                <w:sz w:val="21"/>
                <w:szCs w:val="21"/>
              </w:rPr>
            </w:pPr>
          </w:p>
        </w:tc>
        <w:tc>
          <w:tcPr>
            <w:tcW w:w="217" w:type="dxa"/>
          </w:tcPr>
          <w:p w14:paraId="0B470333" w14:textId="77777777" w:rsidR="002C0FD9" w:rsidRPr="00CA25CF" w:rsidRDefault="002C0FD9" w:rsidP="00CA25CF">
            <w:pPr>
              <w:rPr>
                <w:rFonts w:cs="Arial"/>
                <w:color w:val="FF0000"/>
                <w:sz w:val="21"/>
                <w:szCs w:val="21"/>
              </w:rPr>
            </w:pPr>
          </w:p>
        </w:tc>
        <w:tc>
          <w:tcPr>
            <w:tcW w:w="217" w:type="dxa"/>
          </w:tcPr>
          <w:p w14:paraId="3E526F14" w14:textId="77777777" w:rsidR="002C0FD9" w:rsidRPr="00CA25CF" w:rsidRDefault="002C0FD9" w:rsidP="00CA25CF">
            <w:pPr>
              <w:rPr>
                <w:rFonts w:cs="Arial"/>
                <w:color w:val="FF0000"/>
                <w:sz w:val="21"/>
                <w:szCs w:val="21"/>
              </w:rPr>
            </w:pPr>
          </w:p>
        </w:tc>
        <w:tc>
          <w:tcPr>
            <w:tcW w:w="217" w:type="dxa"/>
          </w:tcPr>
          <w:p w14:paraId="7B7C2AE7" w14:textId="77777777" w:rsidR="002C0FD9" w:rsidRPr="00CA25CF" w:rsidRDefault="002C0FD9" w:rsidP="00CA25CF">
            <w:pPr>
              <w:rPr>
                <w:rFonts w:cs="Arial"/>
                <w:color w:val="FF0000"/>
                <w:sz w:val="21"/>
                <w:szCs w:val="21"/>
              </w:rPr>
            </w:pPr>
          </w:p>
        </w:tc>
        <w:tc>
          <w:tcPr>
            <w:tcW w:w="217" w:type="dxa"/>
          </w:tcPr>
          <w:p w14:paraId="6586DB8C" w14:textId="77777777" w:rsidR="002C0FD9" w:rsidRPr="00CA25CF" w:rsidRDefault="002C0FD9" w:rsidP="00CA25CF">
            <w:pPr>
              <w:rPr>
                <w:rFonts w:cs="Arial"/>
                <w:color w:val="FF0000"/>
                <w:sz w:val="21"/>
                <w:szCs w:val="21"/>
              </w:rPr>
            </w:pPr>
          </w:p>
        </w:tc>
        <w:tc>
          <w:tcPr>
            <w:tcW w:w="217" w:type="dxa"/>
          </w:tcPr>
          <w:p w14:paraId="01A17ED4" w14:textId="77777777" w:rsidR="002C0FD9" w:rsidRPr="00CA25CF" w:rsidRDefault="002C0FD9" w:rsidP="00CA25CF">
            <w:pPr>
              <w:rPr>
                <w:rFonts w:cs="Arial"/>
                <w:color w:val="FF0000"/>
                <w:sz w:val="21"/>
                <w:szCs w:val="21"/>
              </w:rPr>
            </w:pPr>
          </w:p>
        </w:tc>
        <w:tc>
          <w:tcPr>
            <w:tcW w:w="217" w:type="dxa"/>
          </w:tcPr>
          <w:p w14:paraId="2B8B2CE3" w14:textId="77777777" w:rsidR="002C0FD9" w:rsidRPr="00CA25CF" w:rsidRDefault="002C0FD9" w:rsidP="00CA25CF">
            <w:pPr>
              <w:rPr>
                <w:rFonts w:cs="Arial"/>
                <w:color w:val="FF0000"/>
                <w:sz w:val="21"/>
                <w:szCs w:val="21"/>
              </w:rPr>
            </w:pPr>
          </w:p>
        </w:tc>
        <w:tc>
          <w:tcPr>
            <w:tcW w:w="217" w:type="dxa"/>
          </w:tcPr>
          <w:p w14:paraId="1545B7D7" w14:textId="77777777" w:rsidR="002C0FD9" w:rsidRPr="00CA25CF" w:rsidRDefault="002C0FD9" w:rsidP="00CA25CF">
            <w:pPr>
              <w:rPr>
                <w:rFonts w:cs="Arial"/>
                <w:color w:val="FF0000"/>
                <w:sz w:val="21"/>
                <w:szCs w:val="21"/>
              </w:rPr>
            </w:pPr>
          </w:p>
        </w:tc>
        <w:tc>
          <w:tcPr>
            <w:tcW w:w="217" w:type="dxa"/>
          </w:tcPr>
          <w:p w14:paraId="2EAA7B00" w14:textId="77777777" w:rsidR="002C0FD9" w:rsidRPr="00CA25CF" w:rsidRDefault="002C0FD9" w:rsidP="00CA25CF">
            <w:pPr>
              <w:rPr>
                <w:rFonts w:cs="Arial"/>
                <w:color w:val="FF0000"/>
                <w:sz w:val="21"/>
                <w:szCs w:val="21"/>
              </w:rPr>
            </w:pPr>
          </w:p>
        </w:tc>
        <w:tc>
          <w:tcPr>
            <w:tcW w:w="217" w:type="dxa"/>
          </w:tcPr>
          <w:p w14:paraId="5D3D808F" w14:textId="77777777" w:rsidR="002C0FD9" w:rsidRPr="00CA25CF" w:rsidRDefault="002C0FD9" w:rsidP="00CA25CF">
            <w:pPr>
              <w:rPr>
                <w:rFonts w:cs="Arial"/>
                <w:color w:val="FF0000"/>
                <w:sz w:val="21"/>
                <w:szCs w:val="21"/>
              </w:rPr>
            </w:pPr>
          </w:p>
        </w:tc>
        <w:tc>
          <w:tcPr>
            <w:tcW w:w="217" w:type="dxa"/>
          </w:tcPr>
          <w:p w14:paraId="1B79D012" w14:textId="77777777" w:rsidR="002C0FD9" w:rsidRPr="00CA25CF" w:rsidRDefault="002C0FD9" w:rsidP="00CA25CF">
            <w:pPr>
              <w:rPr>
                <w:rFonts w:cs="Arial"/>
                <w:color w:val="FF0000"/>
                <w:sz w:val="21"/>
                <w:szCs w:val="21"/>
              </w:rPr>
            </w:pPr>
          </w:p>
        </w:tc>
        <w:tc>
          <w:tcPr>
            <w:tcW w:w="217" w:type="dxa"/>
          </w:tcPr>
          <w:p w14:paraId="2B3003CE" w14:textId="77777777" w:rsidR="002C0FD9" w:rsidRPr="00CA25CF" w:rsidRDefault="002C0FD9" w:rsidP="00CA25CF">
            <w:pPr>
              <w:rPr>
                <w:rFonts w:cs="Arial"/>
                <w:color w:val="FF0000"/>
                <w:sz w:val="21"/>
                <w:szCs w:val="21"/>
              </w:rPr>
            </w:pPr>
          </w:p>
        </w:tc>
        <w:tc>
          <w:tcPr>
            <w:tcW w:w="217" w:type="dxa"/>
          </w:tcPr>
          <w:p w14:paraId="6C0EB154" w14:textId="77777777" w:rsidR="002C0FD9" w:rsidRPr="00CA25CF" w:rsidRDefault="002C0FD9" w:rsidP="00CA25CF">
            <w:pPr>
              <w:rPr>
                <w:rFonts w:cs="Arial"/>
                <w:color w:val="FF0000"/>
                <w:sz w:val="21"/>
                <w:szCs w:val="21"/>
              </w:rPr>
            </w:pPr>
          </w:p>
        </w:tc>
        <w:tc>
          <w:tcPr>
            <w:tcW w:w="217" w:type="dxa"/>
          </w:tcPr>
          <w:p w14:paraId="0AB5C5E6" w14:textId="77777777" w:rsidR="002C0FD9" w:rsidRPr="00CA25CF" w:rsidRDefault="002C0FD9" w:rsidP="00CA25CF">
            <w:pPr>
              <w:rPr>
                <w:rFonts w:cs="Arial"/>
                <w:color w:val="FF0000"/>
                <w:sz w:val="21"/>
                <w:szCs w:val="21"/>
              </w:rPr>
            </w:pPr>
          </w:p>
        </w:tc>
        <w:tc>
          <w:tcPr>
            <w:tcW w:w="217" w:type="dxa"/>
          </w:tcPr>
          <w:p w14:paraId="7A75CF0F" w14:textId="77777777" w:rsidR="002C0FD9" w:rsidRPr="00CA25CF" w:rsidRDefault="002C0FD9" w:rsidP="00CA25CF">
            <w:pPr>
              <w:rPr>
                <w:rFonts w:cs="Arial"/>
                <w:color w:val="FF0000"/>
                <w:sz w:val="21"/>
                <w:szCs w:val="21"/>
              </w:rPr>
            </w:pPr>
          </w:p>
        </w:tc>
        <w:tc>
          <w:tcPr>
            <w:tcW w:w="217" w:type="dxa"/>
          </w:tcPr>
          <w:p w14:paraId="14956FBB" w14:textId="77777777" w:rsidR="002C0FD9" w:rsidRPr="00CA25CF" w:rsidRDefault="002C0FD9" w:rsidP="00CA25CF">
            <w:pPr>
              <w:rPr>
                <w:rFonts w:cs="Arial"/>
                <w:color w:val="FF0000"/>
                <w:sz w:val="21"/>
                <w:szCs w:val="21"/>
              </w:rPr>
            </w:pPr>
          </w:p>
        </w:tc>
        <w:tc>
          <w:tcPr>
            <w:tcW w:w="217" w:type="dxa"/>
          </w:tcPr>
          <w:p w14:paraId="43EC2762" w14:textId="77777777" w:rsidR="002C0FD9" w:rsidRPr="00CA25CF" w:rsidRDefault="002C0FD9" w:rsidP="00CA25CF">
            <w:pPr>
              <w:rPr>
                <w:rFonts w:cs="Arial"/>
                <w:color w:val="FF0000"/>
                <w:sz w:val="21"/>
                <w:szCs w:val="21"/>
              </w:rPr>
            </w:pPr>
          </w:p>
        </w:tc>
        <w:tc>
          <w:tcPr>
            <w:tcW w:w="217" w:type="dxa"/>
          </w:tcPr>
          <w:p w14:paraId="55AFBB42" w14:textId="77777777" w:rsidR="002C0FD9" w:rsidRPr="00CA25CF" w:rsidRDefault="002C0FD9" w:rsidP="00CA25CF">
            <w:pPr>
              <w:rPr>
                <w:rFonts w:cs="Arial"/>
                <w:color w:val="FF0000"/>
                <w:sz w:val="21"/>
                <w:szCs w:val="21"/>
              </w:rPr>
            </w:pPr>
          </w:p>
        </w:tc>
        <w:tc>
          <w:tcPr>
            <w:tcW w:w="217" w:type="dxa"/>
          </w:tcPr>
          <w:p w14:paraId="51AFB8F4" w14:textId="77777777" w:rsidR="002C0FD9" w:rsidRPr="00CA25CF" w:rsidRDefault="002C0FD9" w:rsidP="00CA25CF">
            <w:pPr>
              <w:rPr>
                <w:rFonts w:cs="Arial"/>
                <w:color w:val="FF0000"/>
                <w:sz w:val="21"/>
                <w:szCs w:val="21"/>
              </w:rPr>
            </w:pPr>
          </w:p>
        </w:tc>
        <w:tc>
          <w:tcPr>
            <w:tcW w:w="217" w:type="dxa"/>
          </w:tcPr>
          <w:p w14:paraId="5D574AA5" w14:textId="77777777" w:rsidR="002C0FD9" w:rsidRPr="00CA25CF" w:rsidRDefault="002C0FD9" w:rsidP="00CA25CF">
            <w:pPr>
              <w:rPr>
                <w:rFonts w:cs="Arial"/>
                <w:color w:val="FF0000"/>
                <w:sz w:val="21"/>
                <w:szCs w:val="21"/>
              </w:rPr>
            </w:pPr>
          </w:p>
        </w:tc>
        <w:tc>
          <w:tcPr>
            <w:tcW w:w="217" w:type="dxa"/>
          </w:tcPr>
          <w:p w14:paraId="78D78C41" w14:textId="77777777" w:rsidR="002C0FD9" w:rsidRPr="00CA25CF" w:rsidRDefault="002C0FD9" w:rsidP="00CA25CF">
            <w:pPr>
              <w:rPr>
                <w:rFonts w:cs="Arial"/>
                <w:color w:val="FF0000"/>
                <w:sz w:val="21"/>
                <w:szCs w:val="21"/>
              </w:rPr>
            </w:pPr>
          </w:p>
        </w:tc>
        <w:tc>
          <w:tcPr>
            <w:tcW w:w="217" w:type="dxa"/>
          </w:tcPr>
          <w:p w14:paraId="002CA489" w14:textId="77777777" w:rsidR="002C0FD9" w:rsidRPr="00CA25CF" w:rsidRDefault="002C0FD9" w:rsidP="00CA25CF">
            <w:pPr>
              <w:rPr>
                <w:rFonts w:cs="Arial"/>
                <w:color w:val="FF0000"/>
                <w:sz w:val="21"/>
                <w:szCs w:val="21"/>
              </w:rPr>
            </w:pPr>
          </w:p>
        </w:tc>
        <w:tc>
          <w:tcPr>
            <w:tcW w:w="217" w:type="dxa"/>
          </w:tcPr>
          <w:p w14:paraId="4BB0C61B" w14:textId="77777777" w:rsidR="002C0FD9" w:rsidRPr="00CA25CF" w:rsidRDefault="002C0FD9" w:rsidP="00CA25CF">
            <w:pPr>
              <w:rPr>
                <w:rFonts w:cs="Arial"/>
                <w:color w:val="FF0000"/>
                <w:sz w:val="21"/>
                <w:szCs w:val="21"/>
              </w:rPr>
            </w:pPr>
          </w:p>
        </w:tc>
        <w:tc>
          <w:tcPr>
            <w:tcW w:w="217" w:type="dxa"/>
          </w:tcPr>
          <w:p w14:paraId="57ACC556" w14:textId="77777777" w:rsidR="002C0FD9" w:rsidRPr="00CA25CF" w:rsidRDefault="002C0FD9" w:rsidP="00CA25CF">
            <w:pPr>
              <w:rPr>
                <w:rFonts w:cs="Arial"/>
                <w:color w:val="FF0000"/>
                <w:sz w:val="21"/>
                <w:szCs w:val="21"/>
              </w:rPr>
            </w:pPr>
          </w:p>
        </w:tc>
        <w:tc>
          <w:tcPr>
            <w:tcW w:w="217" w:type="dxa"/>
          </w:tcPr>
          <w:p w14:paraId="27412E44" w14:textId="77777777" w:rsidR="002C0FD9" w:rsidRPr="00CA25CF" w:rsidRDefault="002C0FD9" w:rsidP="00CA25CF">
            <w:pPr>
              <w:rPr>
                <w:rFonts w:cs="Arial"/>
                <w:color w:val="FF0000"/>
                <w:sz w:val="21"/>
                <w:szCs w:val="21"/>
              </w:rPr>
            </w:pPr>
          </w:p>
        </w:tc>
        <w:tc>
          <w:tcPr>
            <w:tcW w:w="217" w:type="dxa"/>
          </w:tcPr>
          <w:p w14:paraId="0A98A220" w14:textId="77777777" w:rsidR="002C0FD9" w:rsidRPr="00CA25CF" w:rsidRDefault="002C0FD9" w:rsidP="00CA25CF">
            <w:pPr>
              <w:rPr>
                <w:rFonts w:cs="Arial"/>
                <w:color w:val="FF0000"/>
                <w:sz w:val="21"/>
                <w:szCs w:val="21"/>
              </w:rPr>
            </w:pPr>
          </w:p>
        </w:tc>
        <w:tc>
          <w:tcPr>
            <w:tcW w:w="217" w:type="dxa"/>
          </w:tcPr>
          <w:p w14:paraId="1C905AAD" w14:textId="77777777" w:rsidR="002C0FD9" w:rsidRPr="00CA25CF" w:rsidRDefault="002C0FD9" w:rsidP="00CA25CF">
            <w:pPr>
              <w:rPr>
                <w:rFonts w:cs="Arial"/>
                <w:color w:val="FF0000"/>
                <w:sz w:val="21"/>
                <w:szCs w:val="21"/>
              </w:rPr>
            </w:pPr>
          </w:p>
        </w:tc>
        <w:tc>
          <w:tcPr>
            <w:tcW w:w="217" w:type="dxa"/>
          </w:tcPr>
          <w:p w14:paraId="68F36966" w14:textId="77777777" w:rsidR="002C0FD9" w:rsidRPr="00CA25CF" w:rsidRDefault="002C0FD9" w:rsidP="00CA25CF">
            <w:pPr>
              <w:rPr>
                <w:rFonts w:cs="Arial"/>
                <w:color w:val="FF0000"/>
                <w:sz w:val="21"/>
                <w:szCs w:val="21"/>
              </w:rPr>
            </w:pPr>
          </w:p>
        </w:tc>
        <w:tc>
          <w:tcPr>
            <w:tcW w:w="217" w:type="dxa"/>
          </w:tcPr>
          <w:p w14:paraId="5D1F63FE" w14:textId="77777777" w:rsidR="002C0FD9" w:rsidRPr="00CA25CF" w:rsidRDefault="002C0FD9" w:rsidP="00CA25CF">
            <w:pPr>
              <w:rPr>
                <w:rFonts w:cs="Arial"/>
                <w:color w:val="FF0000"/>
                <w:sz w:val="21"/>
                <w:szCs w:val="21"/>
              </w:rPr>
            </w:pPr>
          </w:p>
        </w:tc>
        <w:tc>
          <w:tcPr>
            <w:tcW w:w="217" w:type="dxa"/>
          </w:tcPr>
          <w:p w14:paraId="184BDD5E" w14:textId="77777777" w:rsidR="002C0FD9" w:rsidRPr="00CA25CF" w:rsidRDefault="002C0FD9" w:rsidP="00CA25CF">
            <w:pPr>
              <w:rPr>
                <w:rFonts w:cs="Arial"/>
                <w:color w:val="FF0000"/>
                <w:sz w:val="21"/>
                <w:szCs w:val="21"/>
              </w:rPr>
            </w:pPr>
          </w:p>
        </w:tc>
        <w:tc>
          <w:tcPr>
            <w:tcW w:w="217" w:type="dxa"/>
          </w:tcPr>
          <w:p w14:paraId="31782DAD" w14:textId="77777777" w:rsidR="002C0FD9" w:rsidRPr="00CA25CF" w:rsidRDefault="002C0FD9" w:rsidP="00CA25CF">
            <w:pPr>
              <w:rPr>
                <w:rFonts w:cs="Arial"/>
                <w:color w:val="FF0000"/>
                <w:sz w:val="21"/>
                <w:szCs w:val="21"/>
              </w:rPr>
            </w:pPr>
          </w:p>
        </w:tc>
        <w:tc>
          <w:tcPr>
            <w:tcW w:w="217" w:type="dxa"/>
          </w:tcPr>
          <w:p w14:paraId="6A7D071C" w14:textId="77777777" w:rsidR="002C0FD9" w:rsidRPr="00CA25CF" w:rsidRDefault="002C0FD9" w:rsidP="00CA25CF">
            <w:pPr>
              <w:rPr>
                <w:rFonts w:cs="Arial"/>
                <w:color w:val="FF0000"/>
                <w:sz w:val="21"/>
                <w:szCs w:val="21"/>
              </w:rPr>
            </w:pPr>
          </w:p>
        </w:tc>
      </w:tr>
      <w:tr w:rsidR="002C0FD9" w:rsidRPr="00A16219" w14:paraId="6BB0E563" w14:textId="77777777" w:rsidTr="002C0FD9">
        <w:trPr>
          <w:trHeight w:val="635"/>
        </w:trPr>
        <w:tc>
          <w:tcPr>
            <w:tcW w:w="515" w:type="dxa"/>
          </w:tcPr>
          <w:p w14:paraId="1C8FB1ED" w14:textId="77777777" w:rsidR="002C0FD9" w:rsidRPr="00CA25CF" w:rsidRDefault="002C0FD9" w:rsidP="00CA25CF">
            <w:pPr>
              <w:rPr>
                <w:rFonts w:cs="Arial"/>
                <w:color w:val="FF0000"/>
                <w:sz w:val="21"/>
                <w:szCs w:val="21"/>
              </w:rPr>
            </w:pPr>
          </w:p>
        </w:tc>
        <w:tc>
          <w:tcPr>
            <w:tcW w:w="217" w:type="dxa"/>
          </w:tcPr>
          <w:p w14:paraId="4FA99788" w14:textId="77777777" w:rsidR="002C0FD9" w:rsidRPr="00CA25CF" w:rsidRDefault="002C0FD9" w:rsidP="00CA25CF">
            <w:pPr>
              <w:rPr>
                <w:rFonts w:cs="Arial"/>
                <w:color w:val="FF0000"/>
                <w:sz w:val="21"/>
                <w:szCs w:val="21"/>
              </w:rPr>
            </w:pPr>
          </w:p>
        </w:tc>
        <w:tc>
          <w:tcPr>
            <w:tcW w:w="217" w:type="dxa"/>
          </w:tcPr>
          <w:p w14:paraId="38270C5B" w14:textId="77777777" w:rsidR="002C0FD9" w:rsidRPr="00CA25CF" w:rsidRDefault="002C0FD9" w:rsidP="00CA25CF">
            <w:pPr>
              <w:rPr>
                <w:rFonts w:cs="Arial"/>
                <w:color w:val="FF0000"/>
                <w:sz w:val="21"/>
                <w:szCs w:val="21"/>
              </w:rPr>
            </w:pPr>
          </w:p>
        </w:tc>
        <w:tc>
          <w:tcPr>
            <w:tcW w:w="217" w:type="dxa"/>
          </w:tcPr>
          <w:p w14:paraId="4D11D1A1" w14:textId="77777777" w:rsidR="002C0FD9" w:rsidRPr="00CA25CF" w:rsidRDefault="002C0FD9" w:rsidP="00CA25CF">
            <w:pPr>
              <w:rPr>
                <w:rFonts w:cs="Arial"/>
                <w:color w:val="FF0000"/>
                <w:sz w:val="21"/>
                <w:szCs w:val="21"/>
              </w:rPr>
            </w:pPr>
          </w:p>
        </w:tc>
        <w:tc>
          <w:tcPr>
            <w:tcW w:w="217" w:type="dxa"/>
          </w:tcPr>
          <w:p w14:paraId="3FA3EDC5" w14:textId="77777777" w:rsidR="002C0FD9" w:rsidRPr="00CA25CF" w:rsidRDefault="002C0FD9" w:rsidP="00CA25CF">
            <w:pPr>
              <w:rPr>
                <w:rFonts w:cs="Arial"/>
                <w:color w:val="FF0000"/>
                <w:sz w:val="21"/>
                <w:szCs w:val="21"/>
              </w:rPr>
            </w:pPr>
          </w:p>
        </w:tc>
        <w:tc>
          <w:tcPr>
            <w:tcW w:w="217" w:type="dxa"/>
          </w:tcPr>
          <w:p w14:paraId="0EE58812" w14:textId="77777777" w:rsidR="002C0FD9" w:rsidRPr="00CA25CF" w:rsidRDefault="002C0FD9" w:rsidP="00CA25CF">
            <w:pPr>
              <w:rPr>
                <w:rFonts w:cs="Arial"/>
                <w:color w:val="FF0000"/>
                <w:sz w:val="21"/>
                <w:szCs w:val="21"/>
              </w:rPr>
            </w:pPr>
          </w:p>
        </w:tc>
        <w:tc>
          <w:tcPr>
            <w:tcW w:w="217" w:type="dxa"/>
          </w:tcPr>
          <w:p w14:paraId="16A1C46D" w14:textId="77777777" w:rsidR="002C0FD9" w:rsidRPr="00CA25CF" w:rsidRDefault="002C0FD9" w:rsidP="00CA25CF">
            <w:pPr>
              <w:rPr>
                <w:rFonts w:cs="Arial"/>
                <w:color w:val="FF0000"/>
                <w:sz w:val="21"/>
                <w:szCs w:val="21"/>
              </w:rPr>
            </w:pPr>
          </w:p>
        </w:tc>
        <w:tc>
          <w:tcPr>
            <w:tcW w:w="217" w:type="dxa"/>
          </w:tcPr>
          <w:p w14:paraId="56F951AD" w14:textId="77777777" w:rsidR="002C0FD9" w:rsidRPr="00CA25CF" w:rsidRDefault="002C0FD9" w:rsidP="00CA25CF">
            <w:pPr>
              <w:rPr>
                <w:rFonts w:cs="Arial"/>
                <w:color w:val="FF0000"/>
                <w:sz w:val="21"/>
                <w:szCs w:val="21"/>
              </w:rPr>
            </w:pPr>
          </w:p>
        </w:tc>
        <w:tc>
          <w:tcPr>
            <w:tcW w:w="217" w:type="dxa"/>
          </w:tcPr>
          <w:p w14:paraId="35BF5003" w14:textId="77777777" w:rsidR="002C0FD9" w:rsidRPr="00CA25CF" w:rsidRDefault="002C0FD9" w:rsidP="00CA25CF">
            <w:pPr>
              <w:rPr>
                <w:rFonts w:cs="Arial"/>
                <w:color w:val="FF0000"/>
                <w:sz w:val="21"/>
                <w:szCs w:val="21"/>
              </w:rPr>
            </w:pPr>
          </w:p>
        </w:tc>
        <w:tc>
          <w:tcPr>
            <w:tcW w:w="217" w:type="dxa"/>
          </w:tcPr>
          <w:p w14:paraId="076D47BA" w14:textId="77777777" w:rsidR="002C0FD9" w:rsidRPr="00CA25CF" w:rsidRDefault="002C0FD9" w:rsidP="00CA25CF">
            <w:pPr>
              <w:rPr>
                <w:rFonts w:cs="Arial"/>
                <w:color w:val="FF0000"/>
                <w:sz w:val="21"/>
                <w:szCs w:val="21"/>
              </w:rPr>
            </w:pPr>
          </w:p>
        </w:tc>
        <w:tc>
          <w:tcPr>
            <w:tcW w:w="217" w:type="dxa"/>
          </w:tcPr>
          <w:p w14:paraId="06656CBC" w14:textId="77777777" w:rsidR="002C0FD9" w:rsidRPr="00CA25CF" w:rsidRDefault="002C0FD9" w:rsidP="00CA25CF">
            <w:pPr>
              <w:rPr>
                <w:rFonts w:cs="Arial"/>
                <w:color w:val="FF0000"/>
                <w:sz w:val="21"/>
                <w:szCs w:val="21"/>
              </w:rPr>
            </w:pPr>
          </w:p>
        </w:tc>
        <w:tc>
          <w:tcPr>
            <w:tcW w:w="217" w:type="dxa"/>
          </w:tcPr>
          <w:p w14:paraId="7C092AAE" w14:textId="77777777" w:rsidR="002C0FD9" w:rsidRPr="00CA25CF" w:rsidRDefault="002C0FD9" w:rsidP="00CA25CF">
            <w:pPr>
              <w:rPr>
                <w:rFonts w:cs="Arial"/>
                <w:color w:val="FF0000"/>
                <w:sz w:val="21"/>
                <w:szCs w:val="21"/>
              </w:rPr>
            </w:pPr>
          </w:p>
        </w:tc>
        <w:tc>
          <w:tcPr>
            <w:tcW w:w="217" w:type="dxa"/>
          </w:tcPr>
          <w:p w14:paraId="06B752DF" w14:textId="77777777" w:rsidR="002C0FD9" w:rsidRPr="00CA25CF" w:rsidRDefault="002C0FD9" w:rsidP="00CA25CF">
            <w:pPr>
              <w:rPr>
                <w:rFonts w:cs="Arial"/>
                <w:color w:val="FF0000"/>
                <w:sz w:val="21"/>
                <w:szCs w:val="21"/>
              </w:rPr>
            </w:pPr>
          </w:p>
        </w:tc>
        <w:tc>
          <w:tcPr>
            <w:tcW w:w="217" w:type="dxa"/>
          </w:tcPr>
          <w:p w14:paraId="41F2D9A7" w14:textId="77777777" w:rsidR="002C0FD9" w:rsidRPr="00CA25CF" w:rsidRDefault="002C0FD9" w:rsidP="00CA25CF">
            <w:pPr>
              <w:rPr>
                <w:rFonts w:cs="Arial"/>
                <w:color w:val="FF0000"/>
                <w:sz w:val="21"/>
                <w:szCs w:val="21"/>
              </w:rPr>
            </w:pPr>
          </w:p>
        </w:tc>
        <w:tc>
          <w:tcPr>
            <w:tcW w:w="217" w:type="dxa"/>
          </w:tcPr>
          <w:p w14:paraId="1C94AEB1" w14:textId="77777777" w:rsidR="002C0FD9" w:rsidRPr="00CA25CF" w:rsidRDefault="002C0FD9" w:rsidP="00CA25CF">
            <w:pPr>
              <w:rPr>
                <w:rFonts w:cs="Arial"/>
                <w:color w:val="FF0000"/>
                <w:sz w:val="21"/>
                <w:szCs w:val="21"/>
              </w:rPr>
            </w:pPr>
          </w:p>
        </w:tc>
        <w:tc>
          <w:tcPr>
            <w:tcW w:w="217" w:type="dxa"/>
          </w:tcPr>
          <w:p w14:paraId="0EFE79AC" w14:textId="77777777" w:rsidR="002C0FD9" w:rsidRPr="00CA25CF" w:rsidRDefault="002C0FD9" w:rsidP="00CA25CF">
            <w:pPr>
              <w:rPr>
                <w:rFonts w:cs="Arial"/>
                <w:color w:val="FF0000"/>
                <w:sz w:val="21"/>
                <w:szCs w:val="21"/>
              </w:rPr>
            </w:pPr>
          </w:p>
        </w:tc>
        <w:tc>
          <w:tcPr>
            <w:tcW w:w="217" w:type="dxa"/>
          </w:tcPr>
          <w:p w14:paraId="538E65E5" w14:textId="77777777" w:rsidR="002C0FD9" w:rsidRPr="00CA25CF" w:rsidRDefault="002C0FD9" w:rsidP="00CA25CF">
            <w:pPr>
              <w:rPr>
                <w:rFonts w:cs="Arial"/>
                <w:color w:val="FF0000"/>
                <w:sz w:val="21"/>
                <w:szCs w:val="21"/>
              </w:rPr>
            </w:pPr>
          </w:p>
        </w:tc>
        <w:tc>
          <w:tcPr>
            <w:tcW w:w="217" w:type="dxa"/>
          </w:tcPr>
          <w:p w14:paraId="18E7D4B1" w14:textId="77777777" w:rsidR="002C0FD9" w:rsidRPr="00CA25CF" w:rsidRDefault="002C0FD9" w:rsidP="00CA25CF">
            <w:pPr>
              <w:rPr>
                <w:rFonts w:cs="Arial"/>
                <w:color w:val="FF0000"/>
                <w:sz w:val="21"/>
                <w:szCs w:val="21"/>
              </w:rPr>
            </w:pPr>
          </w:p>
        </w:tc>
        <w:tc>
          <w:tcPr>
            <w:tcW w:w="217" w:type="dxa"/>
          </w:tcPr>
          <w:p w14:paraId="10D73D41" w14:textId="77777777" w:rsidR="002C0FD9" w:rsidRPr="00CA25CF" w:rsidRDefault="002C0FD9" w:rsidP="00CA25CF">
            <w:pPr>
              <w:rPr>
                <w:rFonts w:cs="Arial"/>
                <w:color w:val="FF0000"/>
                <w:sz w:val="21"/>
                <w:szCs w:val="21"/>
              </w:rPr>
            </w:pPr>
          </w:p>
        </w:tc>
        <w:tc>
          <w:tcPr>
            <w:tcW w:w="217" w:type="dxa"/>
          </w:tcPr>
          <w:p w14:paraId="2C55ADDF" w14:textId="77777777" w:rsidR="002C0FD9" w:rsidRPr="00CA25CF" w:rsidRDefault="002C0FD9" w:rsidP="00CA25CF">
            <w:pPr>
              <w:rPr>
                <w:rFonts w:cs="Arial"/>
                <w:color w:val="FF0000"/>
                <w:sz w:val="21"/>
                <w:szCs w:val="21"/>
              </w:rPr>
            </w:pPr>
          </w:p>
        </w:tc>
        <w:tc>
          <w:tcPr>
            <w:tcW w:w="217" w:type="dxa"/>
          </w:tcPr>
          <w:p w14:paraId="6DFC13E2" w14:textId="77777777" w:rsidR="002C0FD9" w:rsidRPr="00CA25CF" w:rsidRDefault="002C0FD9" w:rsidP="00CA25CF">
            <w:pPr>
              <w:rPr>
                <w:rFonts w:cs="Arial"/>
                <w:color w:val="FF0000"/>
                <w:sz w:val="21"/>
                <w:szCs w:val="21"/>
              </w:rPr>
            </w:pPr>
          </w:p>
        </w:tc>
        <w:tc>
          <w:tcPr>
            <w:tcW w:w="217" w:type="dxa"/>
          </w:tcPr>
          <w:p w14:paraId="7A93B710" w14:textId="77777777" w:rsidR="002C0FD9" w:rsidRPr="00CA25CF" w:rsidRDefault="002C0FD9" w:rsidP="00CA25CF">
            <w:pPr>
              <w:rPr>
                <w:rFonts w:cs="Arial"/>
                <w:color w:val="FF0000"/>
                <w:sz w:val="21"/>
                <w:szCs w:val="21"/>
              </w:rPr>
            </w:pPr>
          </w:p>
        </w:tc>
        <w:tc>
          <w:tcPr>
            <w:tcW w:w="217" w:type="dxa"/>
          </w:tcPr>
          <w:p w14:paraId="0FE2EBA8" w14:textId="77777777" w:rsidR="002C0FD9" w:rsidRPr="00CA25CF" w:rsidRDefault="002C0FD9" w:rsidP="00CA25CF">
            <w:pPr>
              <w:rPr>
                <w:rFonts w:cs="Arial"/>
                <w:color w:val="FF0000"/>
                <w:sz w:val="21"/>
                <w:szCs w:val="21"/>
              </w:rPr>
            </w:pPr>
          </w:p>
        </w:tc>
        <w:tc>
          <w:tcPr>
            <w:tcW w:w="217" w:type="dxa"/>
          </w:tcPr>
          <w:p w14:paraId="0F7755D7" w14:textId="77777777" w:rsidR="002C0FD9" w:rsidRPr="00CA25CF" w:rsidRDefault="002C0FD9" w:rsidP="00CA25CF">
            <w:pPr>
              <w:rPr>
                <w:rFonts w:cs="Arial"/>
                <w:color w:val="FF0000"/>
                <w:sz w:val="21"/>
                <w:szCs w:val="21"/>
              </w:rPr>
            </w:pPr>
          </w:p>
        </w:tc>
        <w:tc>
          <w:tcPr>
            <w:tcW w:w="217" w:type="dxa"/>
          </w:tcPr>
          <w:p w14:paraId="7024C95B" w14:textId="77777777" w:rsidR="002C0FD9" w:rsidRPr="00CA25CF" w:rsidRDefault="002C0FD9" w:rsidP="00CA25CF">
            <w:pPr>
              <w:rPr>
                <w:rFonts w:cs="Arial"/>
                <w:color w:val="FF0000"/>
                <w:sz w:val="21"/>
                <w:szCs w:val="21"/>
              </w:rPr>
            </w:pPr>
          </w:p>
        </w:tc>
        <w:tc>
          <w:tcPr>
            <w:tcW w:w="217" w:type="dxa"/>
          </w:tcPr>
          <w:p w14:paraId="4E4DA75C" w14:textId="77777777" w:rsidR="002C0FD9" w:rsidRPr="00CA25CF" w:rsidRDefault="002C0FD9" w:rsidP="00CA25CF">
            <w:pPr>
              <w:rPr>
                <w:rFonts w:cs="Arial"/>
                <w:color w:val="FF0000"/>
                <w:sz w:val="21"/>
                <w:szCs w:val="21"/>
              </w:rPr>
            </w:pPr>
          </w:p>
        </w:tc>
        <w:tc>
          <w:tcPr>
            <w:tcW w:w="217" w:type="dxa"/>
          </w:tcPr>
          <w:p w14:paraId="141A65A4" w14:textId="77777777" w:rsidR="002C0FD9" w:rsidRPr="00CA25CF" w:rsidRDefault="002C0FD9" w:rsidP="00CA25CF">
            <w:pPr>
              <w:rPr>
                <w:rFonts w:cs="Arial"/>
                <w:color w:val="FF0000"/>
                <w:sz w:val="21"/>
                <w:szCs w:val="21"/>
              </w:rPr>
            </w:pPr>
          </w:p>
        </w:tc>
        <w:tc>
          <w:tcPr>
            <w:tcW w:w="217" w:type="dxa"/>
          </w:tcPr>
          <w:p w14:paraId="53BA09A9" w14:textId="77777777" w:rsidR="002C0FD9" w:rsidRPr="00CA25CF" w:rsidRDefault="002C0FD9" w:rsidP="00CA25CF">
            <w:pPr>
              <w:rPr>
                <w:rFonts w:cs="Arial"/>
                <w:color w:val="FF0000"/>
                <w:sz w:val="21"/>
                <w:szCs w:val="21"/>
              </w:rPr>
            </w:pPr>
          </w:p>
        </w:tc>
        <w:tc>
          <w:tcPr>
            <w:tcW w:w="217" w:type="dxa"/>
          </w:tcPr>
          <w:p w14:paraId="2311845E" w14:textId="77777777" w:rsidR="002C0FD9" w:rsidRPr="00CA25CF" w:rsidRDefault="002C0FD9" w:rsidP="00CA25CF">
            <w:pPr>
              <w:rPr>
                <w:rFonts w:cs="Arial"/>
                <w:color w:val="FF0000"/>
                <w:sz w:val="21"/>
                <w:szCs w:val="21"/>
              </w:rPr>
            </w:pPr>
          </w:p>
        </w:tc>
        <w:tc>
          <w:tcPr>
            <w:tcW w:w="217" w:type="dxa"/>
          </w:tcPr>
          <w:p w14:paraId="720FDA2B" w14:textId="77777777" w:rsidR="002C0FD9" w:rsidRPr="00CA25CF" w:rsidRDefault="002C0FD9" w:rsidP="00CA25CF">
            <w:pPr>
              <w:rPr>
                <w:rFonts w:cs="Arial"/>
                <w:color w:val="FF0000"/>
                <w:sz w:val="21"/>
                <w:szCs w:val="21"/>
              </w:rPr>
            </w:pPr>
          </w:p>
        </w:tc>
        <w:tc>
          <w:tcPr>
            <w:tcW w:w="217" w:type="dxa"/>
          </w:tcPr>
          <w:p w14:paraId="6531A386" w14:textId="77777777" w:rsidR="002C0FD9" w:rsidRPr="00CA25CF" w:rsidRDefault="002C0FD9" w:rsidP="00CA25CF">
            <w:pPr>
              <w:rPr>
                <w:rFonts w:cs="Arial"/>
                <w:color w:val="FF0000"/>
                <w:sz w:val="21"/>
                <w:szCs w:val="21"/>
              </w:rPr>
            </w:pPr>
          </w:p>
        </w:tc>
        <w:tc>
          <w:tcPr>
            <w:tcW w:w="217" w:type="dxa"/>
          </w:tcPr>
          <w:p w14:paraId="3C5B27EB" w14:textId="77777777" w:rsidR="002C0FD9" w:rsidRPr="00CA25CF" w:rsidRDefault="002C0FD9" w:rsidP="00CA25CF">
            <w:pPr>
              <w:rPr>
                <w:rFonts w:cs="Arial"/>
                <w:color w:val="FF0000"/>
                <w:sz w:val="21"/>
                <w:szCs w:val="21"/>
              </w:rPr>
            </w:pPr>
          </w:p>
        </w:tc>
        <w:tc>
          <w:tcPr>
            <w:tcW w:w="217" w:type="dxa"/>
          </w:tcPr>
          <w:p w14:paraId="10172CDA" w14:textId="77777777" w:rsidR="002C0FD9" w:rsidRPr="00CA25CF" w:rsidRDefault="002C0FD9" w:rsidP="00CA25CF">
            <w:pPr>
              <w:rPr>
                <w:rFonts w:cs="Arial"/>
                <w:color w:val="FF0000"/>
                <w:sz w:val="21"/>
                <w:szCs w:val="21"/>
              </w:rPr>
            </w:pPr>
          </w:p>
        </w:tc>
        <w:tc>
          <w:tcPr>
            <w:tcW w:w="217" w:type="dxa"/>
          </w:tcPr>
          <w:p w14:paraId="64206FCD" w14:textId="77777777" w:rsidR="002C0FD9" w:rsidRPr="00CA25CF" w:rsidRDefault="002C0FD9" w:rsidP="00CA25CF">
            <w:pPr>
              <w:rPr>
                <w:rFonts w:cs="Arial"/>
                <w:color w:val="FF0000"/>
                <w:sz w:val="21"/>
                <w:szCs w:val="21"/>
              </w:rPr>
            </w:pPr>
          </w:p>
        </w:tc>
        <w:tc>
          <w:tcPr>
            <w:tcW w:w="217" w:type="dxa"/>
          </w:tcPr>
          <w:p w14:paraId="4B6DE5B0" w14:textId="77777777" w:rsidR="002C0FD9" w:rsidRPr="00CA25CF" w:rsidRDefault="002C0FD9" w:rsidP="00CA25CF">
            <w:pPr>
              <w:rPr>
                <w:rFonts w:cs="Arial"/>
                <w:color w:val="FF0000"/>
                <w:sz w:val="21"/>
                <w:szCs w:val="21"/>
              </w:rPr>
            </w:pPr>
          </w:p>
        </w:tc>
        <w:tc>
          <w:tcPr>
            <w:tcW w:w="217" w:type="dxa"/>
          </w:tcPr>
          <w:p w14:paraId="52115F16" w14:textId="77777777" w:rsidR="002C0FD9" w:rsidRPr="00CA25CF" w:rsidRDefault="002C0FD9" w:rsidP="00CA25CF">
            <w:pPr>
              <w:rPr>
                <w:rFonts w:cs="Arial"/>
                <w:color w:val="FF0000"/>
                <w:sz w:val="21"/>
                <w:szCs w:val="21"/>
              </w:rPr>
            </w:pPr>
          </w:p>
        </w:tc>
        <w:tc>
          <w:tcPr>
            <w:tcW w:w="217" w:type="dxa"/>
          </w:tcPr>
          <w:p w14:paraId="7F79BA23" w14:textId="77777777" w:rsidR="002C0FD9" w:rsidRPr="00CA25CF" w:rsidRDefault="002C0FD9" w:rsidP="00CA25CF">
            <w:pPr>
              <w:rPr>
                <w:rFonts w:cs="Arial"/>
                <w:color w:val="FF0000"/>
                <w:sz w:val="21"/>
                <w:szCs w:val="21"/>
              </w:rPr>
            </w:pPr>
          </w:p>
        </w:tc>
        <w:tc>
          <w:tcPr>
            <w:tcW w:w="217" w:type="dxa"/>
          </w:tcPr>
          <w:p w14:paraId="7BE6C72C" w14:textId="77777777" w:rsidR="002C0FD9" w:rsidRPr="00CA25CF" w:rsidRDefault="002C0FD9" w:rsidP="00CA25CF">
            <w:pPr>
              <w:rPr>
                <w:rFonts w:cs="Arial"/>
                <w:color w:val="FF0000"/>
                <w:sz w:val="21"/>
                <w:szCs w:val="21"/>
              </w:rPr>
            </w:pPr>
          </w:p>
        </w:tc>
        <w:tc>
          <w:tcPr>
            <w:tcW w:w="217" w:type="dxa"/>
          </w:tcPr>
          <w:p w14:paraId="5F73E9EE" w14:textId="77777777" w:rsidR="002C0FD9" w:rsidRPr="00CA25CF" w:rsidRDefault="002C0FD9" w:rsidP="00CA25CF">
            <w:pPr>
              <w:rPr>
                <w:rFonts w:cs="Arial"/>
                <w:color w:val="FF0000"/>
                <w:sz w:val="21"/>
                <w:szCs w:val="21"/>
              </w:rPr>
            </w:pPr>
          </w:p>
        </w:tc>
        <w:tc>
          <w:tcPr>
            <w:tcW w:w="217" w:type="dxa"/>
          </w:tcPr>
          <w:p w14:paraId="7CE22E8B" w14:textId="77777777" w:rsidR="002C0FD9" w:rsidRPr="00CA25CF" w:rsidRDefault="002C0FD9" w:rsidP="00CA25CF">
            <w:pPr>
              <w:rPr>
                <w:rFonts w:cs="Arial"/>
                <w:color w:val="FF0000"/>
                <w:sz w:val="21"/>
                <w:szCs w:val="21"/>
              </w:rPr>
            </w:pPr>
          </w:p>
        </w:tc>
        <w:tc>
          <w:tcPr>
            <w:tcW w:w="217" w:type="dxa"/>
          </w:tcPr>
          <w:p w14:paraId="0C207798" w14:textId="77777777" w:rsidR="002C0FD9" w:rsidRPr="00CA25CF" w:rsidRDefault="002C0FD9" w:rsidP="00CA25CF">
            <w:pPr>
              <w:rPr>
                <w:rFonts w:cs="Arial"/>
                <w:color w:val="FF0000"/>
                <w:sz w:val="21"/>
                <w:szCs w:val="21"/>
              </w:rPr>
            </w:pPr>
          </w:p>
        </w:tc>
        <w:tc>
          <w:tcPr>
            <w:tcW w:w="217" w:type="dxa"/>
          </w:tcPr>
          <w:p w14:paraId="5498C7AD" w14:textId="77777777" w:rsidR="002C0FD9" w:rsidRPr="00CA25CF" w:rsidRDefault="002C0FD9" w:rsidP="00CA25CF">
            <w:pPr>
              <w:rPr>
                <w:rFonts w:cs="Arial"/>
                <w:color w:val="FF0000"/>
                <w:sz w:val="21"/>
                <w:szCs w:val="21"/>
              </w:rPr>
            </w:pPr>
          </w:p>
        </w:tc>
        <w:tc>
          <w:tcPr>
            <w:tcW w:w="217" w:type="dxa"/>
          </w:tcPr>
          <w:p w14:paraId="0431204D" w14:textId="77777777" w:rsidR="002C0FD9" w:rsidRPr="00CA25CF" w:rsidRDefault="002C0FD9" w:rsidP="00CA25CF">
            <w:pPr>
              <w:rPr>
                <w:rFonts w:cs="Arial"/>
                <w:color w:val="FF0000"/>
                <w:sz w:val="21"/>
                <w:szCs w:val="21"/>
              </w:rPr>
            </w:pPr>
          </w:p>
        </w:tc>
      </w:tr>
      <w:tr w:rsidR="002C0FD9" w:rsidRPr="00A16219" w14:paraId="6EF1F817" w14:textId="77777777" w:rsidTr="002C0FD9">
        <w:trPr>
          <w:trHeight w:val="635"/>
        </w:trPr>
        <w:tc>
          <w:tcPr>
            <w:tcW w:w="515" w:type="dxa"/>
          </w:tcPr>
          <w:p w14:paraId="7C5D08BD" w14:textId="77777777" w:rsidR="002C0FD9" w:rsidRPr="00CA25CF" w:rsidRDefault="002C0FD9" w:rsidP="00CA25CF">
            <w:pPr>
              <w:rPr>
                <w:rFonts w:cs="Arial"/>
                <w:color w:val="FF0000"/>
                <w:sz w:val="21"/>
                <w:szCs w:val="21"/>
              </w:rPr>
            </w:pPr>
          </w:p>
        </w:tc>
        <w:tc>
          <w:tcPr>
            <w:tcW w:w="217" w:type="dxa"/>
          </w:tcPr>
          <w:p w14:paraId="18252B94" w14:textId="77777777" w:rsidR="002C0FD9" w:rsidRPr="00CA25CF" w:rsidRDefault="002C0FD9" w:rsidP="00CA25CF">
            <w:pPr>
              <w:rPr>
                <w:rFonts w:cs="Arial"/>
                <w:color w:val="FF0000"/>
                <w:sz w:val="21"/>
                <w:szCs w:val="21"/>
              </w:rPr>
            </w:pPr>
          </w:p>
        </w:tc>
        <w:tc>
          <w:tcPr>
            <w:tcW w:w="217" w:type="dxa"/>
          </w:tcPr>
          <w:p w14:paraId="65059C6A" w14:textId="77777777" w:rsidR="002C0FD9" w:rsidRPr="00CA25CF" w:rsidRDefault="002C0FD9" w:rsidP="00CA25CF">
            <w:pPr>
              <w:rPr>
                <w:rFonts w:cs="Arial"/>
                <w:color w:val="FF0000"/>
                <w:sz w:val="21"/>
                <w:szCs w:val="21"/>
              </w:rPr>
            </w:pPr>
          </w:p>
        </w:tc>
        <w:tc>
          <w:tcPr>
            <w:tcW w:w="217" w:type="dxa"/>
          </w:tcPr>
          <w:p w14:paraId="234E6B92" w14:textId="77777777" w:rsidR="002C0FD9" w:rsidRPr="00CA25CF" w:rsidRDefault="002C0FD9" w:rsidP="00CA25CF">
            <w:pPr>
              <w:rPr>
                <w:rFonts w:cs="Arial"/>
                <w:color w:val="FF0000"/>
                <w:sz w:val="21"/>
                <w:szCs w:val="21"/>
              </w:rPr>
            </w:pPr>
          </w:p>
        </w:tc>
        <w:tc>
          <w:tcPr>
            <w:tcW w:w="217" w:type="dxa"/>
          </w:tcPr>
          <w:p w14:paraId="12818A72" w14:textId="77777777" w:rsidR="002C0FD9" w:rsidRPr="00CA25CF" w:rsidRDefault="002C0FD9" w:rsidP="00CA25CF">
            <w:pPr>
              <w:rPr>
                <w:rFonts w:cs="Arial"/>
                <w:color w:val="FF0000"/>
                <w:sz w:val="21"/>
                <w:szCs w:val="21"/>
              </w:rPr>
            </w:pPr>
          </w:p>
        </w:tc>
        <w:tc>
          <w:tcPr>
            <w:tcW w:w="217" w:type="dxa"/>
          </w:tcPr>
          <w:p w14:paraId="0EA8F90E" w14:textId="77777777" w:rsidR="002C0FD9" w:rsidRPr="00CA25CF" w:rsidRDefault="002C0FD9" w:rsidP="00CA25CF">
            <w:pPr>
              <w:rPr>
                <w:rFonts w:cs="Arial"/>
                <w:color w:val="FF0000"/>
                <w:sz w:val="21"/>
                <w:szCs w:val="21"/>
              </w:rPr>
            </w:pPr>
          </w:p>
        </w:tc>
        <w:tc>
          <w:tcPr>
            <w:tcW w:w="217" w:type="dxa"/>
          </w:tcPr>
          <w:p w14:paraId="03674610" w14:textId="77777777" w:rsidR="002C0FD9" w:rsidRPr="00CA25CF" w:rsidRDefault="002C0FD9" w:rsidP="00CA25CF">
            <w:pPr>
              <w:rPr>
                <w:rFonts w:cs="Arial"/>
                <w:color w:val="FF0000"/>
                <w:sz w:val="21"/>
                <w:szCs w:val="21"/>
              </w:rPr>
            </w:pPr>
          </w:p>
        </w:tc>
        <w:tc>
          <w:tcPr>
            <w:tcW w:w="217" w:type="dxa"/>
          </w:tcPr>
          <w:p w14:paraId="2BF77B3A" w14:textId="77777777" w:rsidR="002C0FD9" w:rsidRPr="00CA25CF" w:rsidRDefault="002C0FD9" w:rsidP="00CA25CF">
            <w:pPr>
              <w:rPr>
                <w:rFonts w:cs="Arial"/>
                <w:color w:val="FF0000"/>
                <w:sz w:val="21"/>
                <w:szCs w:val="21"/>
              </w:rPr>
            </w:pPr>
          </w:p>
        </w:tc>
        <w:tc>
          <w:tcPr>
            <w:tcW w:w="217" w:type="dxa"/>
          </w:tcPr>
          <w:p w14:paraId="503F2860" w14:textId="77777777" w:rsidR="002C0FD9" w:rsidRPr="00CA25CF" w:rsidRDefault="002C0FD9" w:rsidP="00CA25CF">
            <w:pPr>
              <w:rPr>
                <w:rFonts w:cs="Arial"/>
                <w:color w:val="FF0000"/>
                <w:sz w:val="21"/>
                <w:szCs w:val="21"/>
              </w:rPr>
            </w:pPr>
          </w:p>
        </w:tc>
        <w:tc>
          <w:tcPr>
            <w:tcW w:w="217" w:type="dxa"/>
          </w:tcPr>
          <w:p w14:paraId="21FCCF95" w14:textId="77777777" w:rsidR="002C0FD9" w:rsidRPr="00CA25CF" w:rsidRDefault="002C0FD9" w:rsidP="00CA25CF">
            <w:pPr>
              <w:rPr>
                <w:rFonts w:cs="Arial"/>
                <w:color w:val="FF0000"/>
                <w:sz w:val="21"/>
                <w:szCs w:val="21"/>
              </w:rPr>
            </w:pPr>
          </w:p>
        </w:tc>
        <w:tc>
          <w:tcPr>
            <w:tcW w:w="217" w:type="dxa"/>
          </w:tcPr>
          <w:p w14:paraId="7AB43F66" w14:textId="77777777" w:rsidR="002C0FD9" w:rsidRPr="00CA25CF" w:rsidRDefault="002C0FD9" w:rsidP="00CA25CF">
            <w:pPr>
              <w:rPr>
                <w:rFonts w:cs="Arial"/>
                <w:color w:val="FF0000"/>
                <w:sz w:val="21"/>
                <w:szCs w:val="21"/>
              </w:rPr>
            </w:pPr>
          </w:p>
        </w:tc>
        <w:tc>
          <w:tcPr>
            <w:tcW w:w="217" w:type="dxa"/>
          </w:tcPr>
          <w:p w14:paraId="6FF115B3" w14:textId="77777777" w:rsidR="002C0FD9" w:rsidRPr="00CA25CF" w:rsidRDefault="002C0FD9" w:rsidP="00CA25CF">
            <w:pPr>
              <w:rPr>
                <w:rFonts w:cs="Arial"/>
                <w:color w:val="FF0000"/>
                <w:sz w:val="21"/>
                <w:szCs w:val="21"/>
              </w:rPr>
            </w:pPr>
          </w:p>
        </w:tc>
        <w:tc>
          <w:tcPr>
            <w:tcW w:w="217" w:type="dxa"/>
          </w:tcPr>
          <w:p w14:paraId="0EDA7894" w14:textId="77777777" w:rsidR="002C0FD9" w:rsidRPr="00CA25CF" w:rsidRDefault="002C0FD9" w:rsidP="00CA25CF">
            <w:pPr>
              <w:rPr>
                <w:rFonts w:cs="Arial"/>
                <w:color w:val="FF0000"/>
                <w:sz w:val="21"/>
                <w:szCs w:val="21"/>
              </w:rPr>
            </w:pPr>
          </w:p>
        </w:tc>
        <w:tc>
          <w:tcPr>
            <w:tcW w:w="217" w:type="dxa"/>
          </w:tcPr>
          <w:p w14:paraId="6E5085AD" w14:textId="77777777" w:rsidR="002C0FD9" w:rsidRPr="00CA25CF" w:rsidRDefault="002C0FD9" w:rsidP="00CA25CF">
            <w:pPr>
              <w:rPr>
                <w:rFonts w:cs="Arial"/>
                <w:color w:val="FF0000"/>
                <w:sz w:val="21"/>
                <w:szCs w:val="21"/>
              </w:rPr>
            </w:pPr>
          </w:p>
        </w:tc>
        <w:tc>
          <w:tcPr>
            <w:tcW w:w="217" w:type="dxa"/>
          </w:tcPr>
          <w:p w14:paraId="22253BBB" w14:textId="77777777" w:rsidR="002C0FD9" w:rsidRPr="00CA25CF" w:rsidRDefault="002C0FD9" w:rsidP="00CA25CF">
            <w:pPr>
              <w:rPr>
                <w:rFonts w:cs="Arial"/>
                <w:color w:val="FF0000"/>
                <w:sz w:val="21"/>
                <w:szCs w:val="21"/>
              </w:rPr>
            </w:pPr>
          </w:p>
        </w:tc>
        <w:tc>
          <w:tcPr>
            <w:tcW w:w="217" w:type="dxa"/>
          </w:tcPr>
          <w:p w14:paraId="09712E68" w14:textId="77777777" w:rsidR="002C0FD9" w:rsidRPr="00CA25CF" w:rsidRDefault="002C0FD9" w:rsidP="00CA25CF">
            <w:pPr>
              <w:rPr>
                <w:rFonts w:cs="Arial"/>
                <w:color w:val="FF0000"/>
                <w:sz w:val="21"/>
                <w:szCs w:val="21"/>
              </w:rPr>
            </w:pPr>
          </w:p>
        </w:tc>
        <w:tc>
          <w:tcPr>
            <w:tcW w:w="217" w:type="dxa"/>
          </w:tcPr>
          <w:p w14:paraId="560E0B78" w14:textId="77777777" w:rsidR="002C0FD9" w:rsidRPr="00CA25CF" w:rsidRDefault="002C0FD9" w:rsidP="00CA25CF">
            <w:pPr>
              <w:rPr>
                <w:rFonts w:cs="Arial"/>
                <w:color w:val="FF0000"/>
                <w:sz w:val="21"/>
                <w:szCs w:val="21"/>
              </w:rPr>
            </w:pPr>
          </w:p>
        </w:tc>
        <w:tc>
          <w:tcPr>
            <w:tcW w:w="217" w:type="dxa"/>
          </w:tcPr>
          <w:p w14:paraId="73DAE391" w14:textId="77777777" w:rsidR="002C0FD9" w:rsidRPr="00CA25CF" w:rsidRDefault="002C0FD9" w:rsidP="00CA25CF">
            <w:pPr>
              <w:rPr>
                <w:rFonts w:cs="Arial"/>
                <w:color w:val="FF0000"/>
                <w:sz w:val="21"/>
                <w:szCs w:val="21"/>
              </w:rPr>
            </w:pPr>
          </w:p>
        </w:tc>
        <w:tc>
          <w:tcPr>
            <w:tcW w:w="217" w:type="dxa"/>
          </w:tcPr>
          <w:p w14:paraId="2F591DE0" w14:textId="77777777" w:rsidR="002C0FD9" w:rsidRPr="00CA25CF" w:rsidRDefault="002C0FD9" w:rsidP="00CA25CF">
            <w:pPr>
              <w:rPr>
                <w:rFonts w:cs="Arial"/>
                <w:color w:val="FF0000"/>
                <w:sz w:val="21"/>
                <w:szCs w:val="21"/>
              </w:rPr>
            </w:pPr>
          </w:p>
        </w:tc>
        <w:tc>
          <w:tcPr>
            <w:tcW w:w="217" w:type="dxa"/>
          </w:tcPr>
          <w:p w14:paraId="08DBD8F2" w14:textId="77777777" w:rsidR="002C0FD9" w:rsidRPr="00CA25CF" w:rsidRDefault="002C0FD9" w:rsidP="00CA25CF">
            <w:pPr>
              <w:rPr>
                <w:rFonts w:cs="Arial"/>
                <w:color w:val="FF0000"/>
                <w:sz w:val="21"/>
                <w:szCs w:val="21"/>
              </w:rPr>
            </w:pPr>
          </w:p>
        </w:tc>
        <w:tc>
          <w:tcPr>
            <w:tcW w:w="217" w:type="dxa"/>
          </w:tcPr>
          <w:p w14:paraId="751E62B9" w14:textId="77777777" w:rsidR="002C0FD9" w:rsidRPr="00CA25CF" w:rsidRDefault="002C0FD9" w:rsidP="00CA25CF">
            <w:pPr>
              <w:rPr>
                <w:rFonts w:cs="Arial"/>
                <w:color w:val="FF0000"/>
                <w:sz w:val="21"/>
                <w:szCs w:val="21"/>
              </w:rPr>
            </w:pPr>
          </w:p>
        </w:tc>
        <w:tc>
          <w:tcPr>
            <w:tcW w:w="217" w:type="dxa"/>
          </w:tcPr>
          <w:p w14:paraId="29BE56DC" w14:textId="77777777" w:rsidR="002C0FD9" w:rsidRPr="00CA25CF" w:rsidRDefault="002C0FD9" w:rsidP="00CA25CF">
            <w:pPr>
              <w:rPr>
                <w:rFonts w:cs="Arial"/>
                <w:color w:val="FF0000"/>
                <w:sz w:val="21"/>
                <w:szCs w:val="21"/>
              </w:rPr>
            </w:pPr>
          </w:p>
        </w:tc>
        <w:tc>
          <w:tcPr>
            <w:tcW w:w="217" w:type="dxa"/>
          </w:tcPr>
          <w:p w14:paraId="0616EEF2" w14:textId="77777777" w:rsidR="002C0FD9" w:rsidRPr="00CA25CF" w:rsidRDefault="002C0FD9" w:rsidP="00CA25CF">
            <w:pPr>
              <w:rPr>
                <w:rFonts w:cs="Arial"/>
                <w:color w:val="FF0000"/>
                <w:sz w:val="21"/>
                <w:szCs w:val="21"/>
              </w:rPr>
            </w:pPr>
          </w:p>
        </w:tc>
        <w:tc>
          <w:tcPr>
            <w:tcW w:w="217" w:type="dxa"/>
          </w:tcPr>
          <w:p w14:paraId="38D97628" w14:textId="77777777" w:rsidR="002C0FD9" w:rsidRPr="00CA25CF" w:rsidRDefault="002C0FD9" w:rsidP="00CA25CF">
            <w:pPr>
              <w:rPr>
                <w:rFonts w:cs="Arial"/>
                <w:color w:val="FF0000"/>
                <w:sz w:val="21"/>
                <w:szCs w:val="21"/>
              </w:rPr>
            </w:pPr>
          </w:p>
        </w:tc>
        <w:tc>
          <w:tcPr>
            <w:tcW w:w="217" w:type="dxa"/>
          </w:tcPr>
          <w:p w14:paraId="0996B7DF" w14:textId="77777777" w:rsidR="002C0FD9" w:rsidRPr="00CA25CF" w:rsidRDefault="002C0FD9" w:rsidP="00CA25CF">
            <w:pPr>
              <w:rPr>
                <w:rFonts w:cs="Arial"/>
                <w:color w:val="FF0000"/>
                <w:sz w:val="21"/>
                <w:szCs w:val="21"/>
              </w:rPr>
            </w:pPr>
          </w:p>
        </w:tc>
        <w:tc>
          <w:tcPr>
            <w:tcW w:w="217" w:type="dxa"/>
          </w:tcPr>
          <w:p w14:paraId="7618A998" w14:textId="77777777" w:rsidR="002C0FD9" w:rsidRPr="00CA25CF" w:rsidRDefault="002C0FD9" w:rsidP="00CA25CF">
            <w:pPr>
              <w:rPr>
                <w:rFonts w:cs="Arial"/>
                <w:color w:val="FF0000"/>
                <w:sz w:val="21"/>
                <w:szCs w:val="21"/>
              </w:rPr>
            </w:pPr>
          </w:p>
        </w:tc>
        <w:tc>
          <w:tcPr>
            <w:tcW w:w="217" w:type="dxa"/>
          </w:tcPr>
          <w:p w14:paraId="2B2F2647" w14:textId="77777777" w:rsidR="002C0FD9" w:rsidRPr="00CA25CF" w:rsidRDefault="002C0FD9" w:rsidP="00CA25CF">
            <w:pPr>
              <w:rPr>
                <w:rFonts w:cs="Arial"/>
                <w:color w:val="FF0000"/>
                <w:sz w:val="21"/>
                <w:szCs w:val="21"/>
              </w:rPr>
            </w:pPr>
          </w:p>
        </w:tc>
        <w:tc>
          <w:tcPr>
            <w:tcW w:w="217" w:type="dxa"/>
          </w:tcPr>
          <w:p w14:paraId="4ADC4796" w14:textId="77777777" w:rsidR="002C0FD9" w:rsidRPr="00CA25CF" w:rsidRDefault="002C0FD9" w:rsidP="00CA25CF">
            <w:pPr>
              <w:rPr>
                <w:rFonts w:cs="Arial"/>
                <w:color w:val="FF0000"/>
                <w:sz w:val="21"/>
                <w:szCs w:val="21"/>
              </w:rPr>
            </w:pPr>
          </w:p>
        </w:tc>
        <w:tc>
          <w:tcPr>
            <w:tcW w:w="217" w:type="dxa"/>
          </w:tcPr>
          <w:p w14:paraId="7FB31E81" w14:textId="77777777" w:rsidR="002C0FD9" w:rsidRPr="00CA25CF" w:rsidRDefault="002C0FD9" w:rsidP="00CA25CF">
            <w:pPr>
              <w:rPr>
                <w:rFonts w:cs="Arial"/>
                <w:color w:val="FF0000"/>
                <w:sz w:val="21"/>
                <w:szCs w:val="21"/>
              </w:rPr>
            </w:pPr>
          </w:p>
        </w:tc>
        <w:tc>
          <w:tcPr>
            <w:tcW w:w="217" w:type="dxa"/>
          </w:tcPr>
          <w:p w14:paraId="15A632FA" w14:textId="77777777" w:rsidR="002C0FD9" w:rsidRPr="00CA25CF" w:rsidRDefault="002C0FD9" w:rsidP="00CA25CF">
            <w:pPr>
              <w:rPr>
                <w:rFonts w:cs="Arial"/>
                <w:color w:val="FF0000"/>
                <w:sz w:val="21"/>
                <w:szCs w:val="21"/>
              </w:rPr>
            </w:pPr>
          </w:p>
        </w:tc>
        <w:tc>
          <w:tcPr>
            <w:tcW w:w="217" w:type="dxa"/>
          </w:tcPr>
          <w:p w14:paraId="23FE5AE4" w14:textId="77777777" w:rsidR="002C0FD9" w:rsidRPr="00CA25CF" w:rsidRDefault="002C0FD9" w:rsidP="00CA25CF">
            <w:pPr>
              <w:rPr>
                <w:rFonts w:cs="Arial"/>
                <w:color w:val="FF0000"/>
                <w:sz w:val="21"/>
                <w:szCs w:val="21"/>
              </w:rPr>
            </w:pPr>
          </w:p>
        </w:tc>
        <w:tc>
          <w:tcPr>
            <w:tcW w:w="217" w:type="dxa"/>
          </w:tcPr>
          <w:p w14:paraId="6FF1ADE6" w14:textId="77777777" w:rsidR="002C0FD9" w:rsidRPr="00CA25CF" w:rsidRDefault="002C0FD9" w:rsidP="00CA25CF">
            <w:pPr>
              <w:rPr>
                <w:rFonts w:cs="Arial"/>
                <w:color w:val="FF0000"/>
                <w:sz w:val="21"/>
                <w:szCs w:val="21"/>
              </w:rPr>
            </w:pPr>
          </w:p>
        </w:tc>
        <w:tc>
          <w:tcPr>
            <w:tcW w:w="217" w:type="dxa"/>
          </w:tcPr>
          <w:p w14:paraId="25A93EED" w14:textId="77777777" w:rsidR="002C0FD9" w:rsidRPr="00CA25CF" w:rsidRDefault="002C0FD9" w:rsidP="00CA25CF">
            <w:pPr>
              <w:rPr>
                <w:rFonts w:cs="Arial"/>
                <w:color w:val="FF0000"/>
                <w:sz w:val="21"/>
                <w:szCs w:val="21"/>
              </w:rPr>
            </w:pPr>
          </w:p>
        </w:tc>
        <w:tc>
          <w:tcPr>
            <w:tcW w:w="217" w:type="dxa"/>
          </w:tcPr>
          <w:p w14:paraId="68DFD300" w14:textId="77777777" w:rsidR="002C0FD9" w:rsidRPr="00CA25CF" w:rsidRDefault="002C0FD9" w:rsidP="00CA25CF">
            <w:pPr>
              <w:rPr>
                <w:rFonts w:cs="Arial"/>
                <w:color w:val="FF0000"/>
                <w:sz w:val="21"/>
                <w:szCs w:val="21"/>
              </w:rPr>
            </w:pPr>
          </w:p>
        </w:tc>
        <w:tc>
          <w:tcPr>
            <w:tcW w:w="217" w:type="dxa"/>
          </w:tcPr>
          <w:p w14:paraId="6DAE9D16" w14:textId="77777777" w:rsidR="002C0FD9" w:rsidRPr="00CA25CF" w:rsidRDefault="002C0FD9" w:rsidP="00CA25CF">
            <w:pPr>
              <w:rPr>
                <w:rFonts w:cs="Arial"/>
                <w:color w:val="FF0000"/>
                <w:sz w:val="21"/>
                <w:szCs w:val="21"/>
              </w:rPr>
            </w:pPr>
          </w:p>
        </w:tc>
        <w:tc>
          <w:tcPr>
            <w:tcW w:w="217" w:type="dxa"/>
          </w:tcPr>
          <w:p w14:paraId="5ECD3905" w14:textId="77777777" w:rsidR="002C0FD9" w:rsidRPr="00CA25CF" w:rsidRDefault="002C0FD9" w:rsidP="00CA25CF">
            <w:pPr>
              <w:rPr>
                <w:rFonts w:cs="Arial"/>
                <w:color w:val="FF0000"/>
                <w:sz w:val="21"/>
                <w:szCs w:val="21"/>
              </w:rPr>
            </w:pPr>
          </w:p>
        </w:tc>
        <w:tc>
          <w:tcPr>
            <w:tcW w:w="217" w:type="dxa"/>
          </w:tcPr>
          <w:p w14:paraId="0211618B" w14:textId="77777777" w:rsidR="002C0FD9" w:rsidRPr="00CA25CF" w:rsidRDefault="002C0FD9" w:rsidP="00CA25CF">
            <w:pPr>
              <w:rPr>
                <w:rFonts w:cs="Arial"/>
                <w:color w:val="FF0000"/>
                <w:sz w:val="21"/>
                <w:szCs w:val="21"/>
              </w:rPr>
            </w:pPr>
          </w:p>
        </w:tc>
        <w:tc>
          <w:tcPr>
            <w:tcW w:w="217" w:type="dxa"/>
          </w:tcPr>
          <w:p w14:paraId="6FD7B41C" w14:textId="77777777" w:rsidR="002C0FD9" w:rsidRPr="00CA25CF" w:rsidRDefault="002C0FD9" w:rsidP="00CA25CF">
            <w:pPr>
              <w:rPr>
                <w:rFonts w:cs="Arial"/>
                <w:color w:val="FF0000"/>
                <w:sz w:val="21"/>
                <w:szCs w:val="21"/>
              </w:rPr>
            </w:pPr>
          </w:p>
        </w:tc>
        <w:tc>
          <w:tcPr>
            <w:tcW w:w="217" w:type="dxa"/>
          </w:tcPr>
          <w:p w14:paraId="4125933B" w14:textId="77777777" w:rsidR="002C0FD9" w:rsidRPr="00CA25CF" w:rsidRDefault="002C0FD9" w:rsidP="00CA25CF">
            <w:pPr>
              <w:rPr>
                <w:rFonts w:cs="Arial"/>
                <w:color w:val="FF0000"/>
                <w:sz w:val="21"/>
                <w:szCs w:val="21"/>
              </w:rPr>
            </w:pPr>
          </w:p>
        </w:tc>
        <w:tc>
          <w:tcPr>
            <w:tcW w:w="217" w:type="dxa"/>
          </w:tcPr>
          <w:p w14:paraId="598E0EFB" w14:textId="77777777" w:rsidR="002C0FD9" w:rsidRPr="00CA25CF" w:rsidRDefault="002C0FD9" w:rsidP="00CA25CF">
            <w:pPr>
              <w:rPr>
                <w:rFonts w:cs="Arial"/>
                <w:color w:val="FF0000"/>
                <w:sz w:val="21"/>
                <w:szCs w:val="21"/>
              </w:rPr>
            </w:pPr>
          </w:p>
        </w:tc>
        <w:tc>
          <w:tcPr>
            <w:tcW w:w="217" w:type="dxa"/>
          </w:tcPr>
          <w:p w14:paraId="39E19723" w14:textId="77777777" w:rsidR="002C0FD9" w:rsidRPr="00CA25CF" w:rsidRDefault="002C0FD9" w:rsidP="00CA25CF">
            <w:pPr>
              <w:rPr>
                <w:rFonts w:cs="Arial"/>
                <w:color w:val="FF0000"/>
                <w:sz w:val="21"/>
                <w:szCs w:val="21"/>
              </w:rPr>
            </w:pPr>
          </w:p>
        </w:tc>
        <w:tc>
          <w:tcPr>
            <w:tcW w:w="217" w:type="dxa"/>
          </w:tcPr>
          <w:p w14:paraId="1E6FFF65" w14:textId="77777777" w:rsidR="002C0FD9" w:rsidRPr="00CA25CF" w:rsidRDefault="002C0FD9" w:rsidP="00CA25CF">
            <w:pPr>
              <w:rPr>
                <w:rFonts w:cs="Arial"/>
                <w:color w:val="FF0000"/>
                <w:sz w:val="21"/>
                <w:szCs w:val="21"/>
              </w:rPr>
            </w:pPr>
          </w:p>
        </w:tc>
        <w:tc>
          <w:tcPr>
            <w:tcW w:w="217" w:type="dxa"/>
          </w:tcPr>
          <w:p w14:paraId="49A58BD3" w14:textId="77777777" w:rsidR="002C0FD9" w:rsidRPr="00CA25CF" w:rsidRDefault="002C0FD9" w:rsidP="00CA25CF">
            <w:pPr>
              <w:rPr>
                <w:rFonts w:cs="Arial"/>
                <w:color w:val="FF0000"/>
                <w:sz w:val="21"/>
                <w:szCs w:val="21"/>
              </w:rPr>
            </w:pPr>
          </w:p>
        </w:tc>
      </w:tr>
      <w:tr w:rsidR="002C0FD9" w:rsidRPr="00A16219" w14:paraId="66DCF492" w14:textId="77777777" w:rsidTr="002C0FD9">
        <w:trPr>
          <w:trHeight w:val="635"/>
        </w:trPr>
        <w:tc>
          <w:tcPr>
            <w:tcW w:w="515" w:type="dxa"/>
          </w:tcPr>
          <w:p w14:paraId="53C76D69" w14:textId="77777777" w:rsidR="002C0FD9" w:rsidRPr="00CA25CF" w:rsidRDefault="002C0FD9" w:rsidP="00CA25CF">
            <w:pPr>
              <w:rPr>
                <w:rFonts w:cs="Arial"/>
                <w:color w:val="FF0000"/>
                <w:sz w:val="21"/>
                <w:szCs w:val="21"/>
              </w:rPr>
            </w:pPr>
          </w:p>
        </w:tc>
        <w:tc>
          <w:tcPr>
            <w:tcW w:w="217" w:type="dxa"/>
          </w:tcPr>
          <w:p w14:paraId="24BD33EE" w14:textId="77777777" w:rsidR="002C0FD9" w:rsidRPr="00CA25CF" w:rsidRDefault="002C0FD9" w:rsidP="00CA25CF">
            <w:pPr>
              <w:rPr>
                <w:rFonts w:cs="Arial"/>
                <w:color w:val="FF0000"/>
                <w:sz w:val="21"/>
                <w:szCs w:val="21"/>
              </w:rPr>
            </w:pPr>
          </w:p>
        </w:tc>
        <w:tc>
          <w:tcPr>
            <w:tcW w:w="217" w:type="dxa"/>
          </w:tcPr>
          <w:p w14:paraId="097E02B0" w14:textId="77777777" w:rsidR="002C0FD9" w:rsidRPr="00CA25CF" w:rsidRDefault="002C0FD9" w:rsidP="00CA25CF">
            <w:pPr>
              <w:rPr>
                <w:rFonts w:cs="Arial"/>
                <w:color w:val="FF0000"/>
                <w:sz w:val="21"/>
                <w:szCs w:val="21"/>
              </w:rPr>
            </w:pPr>
          </w:p>
        </w:tc>
        <w:tc>
          <w:tcPr>
            <w:tcW w:w="217" w:type="dxa"/>
          </w:tcPr>
          <w:p w14:paraId="4239C984" w14:textId="77777777" w:rsidR="002C0FD9" w:rsidRPr="00CA25CF" w:rsidRDefault="002C0FD9" w:rsidP="00CA25CF">
            <w:pPr>
              <w:rPr>
                <w:rFonts w:cs="Arial"/>
                <w:color w:val="FF0000"/>
                <w:sz w:val="21"/>
                <w:szCs w:val="21"/>
              </w:rPr>
            </w:pPr>
          </w:p>
        </w:tc>
        <w:tc>
          <w:tcPr>
            <w:tcW w:w="217" w:type="dxa"/>
          </w:tcPr>
          <w:p w14:paraId="3DF4B3E8" w14:textId="77777777" w:rsidR="002C0FD9" w:rsidRPr="00CA25CF" w:rsidRDefault="002C0FD9" w:rsidP="00CA25CF">
            <w:pPr>
              <w:rPr>
                <w:rFonts w:cs="Arial"/>
                <w:color w:val="FF0000"/>
                <w:sz w:val="21"/>
                <w:szCs w:val="21"/>
              </w:rPr>
            </w:pPr>
          </w:p>
        </w:tc>
        <w:tc>
          <w:tcPr>
            <w:tcW w:w="217" w:type="dxa"/>
          </w:tcPr>
          <w:p w14:paraId="6FA694C9" w14:textId="77777777" w:rsidR="002C0FD9" w:rsidRPr="00CA25CF" w:rsidRDefault="002C0FD9" w:rsidP="00CA25CF">
            <w:pPr>
              <w:rPr>
                <w:rFonts w:cs="Arial"/>
                <w:color w:val="FF0000"/>
                <w:sz w:val="21"/>
                <w:szCs w:val="21"/>
              </w:rPr>
            </w:pPr>
          </w:p>
        </w:tc>
        <w:tc>
          <w:tcPr>
            <w:tcW w:w="217" w:type="dxa"/>
          </w:tcPr>
          <w:p w14:paraId="64A6C420" w14:textId="77777777" w:rsidR="002C0FD9" w:rsidRPr="00CA25CF" w:rsidRDefault="002C0FD9" w:rsidP="00CA25CF">
            <w:pPr>
              <w:rPr>
                <w:rFonts w:cs="Arial"/>
                <w:color w:val="FF0000"/>
                <w:sz w:val="21"/>
                <w:szCs w:val="21"/>
              </w:rPr>
            </w:pPr>
          </w:p>
        </w:tc>
        <w:tc>
          <w:tcPr>
            <w:tcW w:w="217" w:type="dxa"/>
          </w:tcPr>
          <w:p w14:paraId="6CBEE90C" w14:textId="77777777" w:rsidR="002C0FD9" w:rsidRPr="00CA25CF" w:rsidRDefault="002C0FD9" w:rsidP="00CA25CF">
            <w:pPr>
              <w:rPr>
                <w:rFonts w:cs="Arial"/>
                <w:color w:val="FF0000"/>
                <w:sz w:val="21"/>
                <w:szCs w:val="21"/>
              </w:rPr>
            </w:pPr>
          </w:p>
        </w:tc>
        <w:tc>
          <w:tcPr>
            <w:tcW w:w="217" w:type="dxa"/>
          </w:tcPr>
          <w:p w14:paraId="72FF6100" w14:textId="77777777" w:rsidR="002C0FD9" w:rsidRPr="00CA25CF" w:rsidRDefault="002C0FD9" w:rsidP="00CA25CF">
            <w:pPr>
              <w:rPr>
                <w:rFonts w:cs="Arial"/>
                <w:color w:val="FF0000"/>
                <w:sz w:val="21"/>
                <w:szCs w:val="21"/>
              </w:rPr>
            </w:pPr>
          </w:p>
        </w:tc>
        <w:tc>
          <w:tcPr>
            <w:tcW w:w="217" w:type="dxa"/>
          </w:tcPr>
          <w:p w14:paraId="4A392F91" w14:textId="77777777" w:rsidR="002C0FD9" w:rsidRPr="00CA25CF" w:rsidRDefault="002C0FD9" w:rsidP="00CA25CF">
            <w:pPr>
              <w:rPr>
                <w:rFonts w:cs="Arial"/>
                <w:color w:val="FF0000"/>
                <w:sz w:val="21"/>
                <w:szCs w:val="21"/>
              </w:rPr>
            </w:pPr>
          </w:p>
        </w:tc>
        <w:tc>
          <w:tcPr>
            <w:tcW w:w="217" w:type="dxa"/>
          </w:tcPr>
          <w:p w14:paraId="0EE29D2E" w14:textId="77777777" w:rsidR="002C0FD9" w:rsidRPr="00CA25CF" w:rsidRDefault="002C0FD9" w:rsidP="00CA25CF">
            <w:pPr>
              <w:rPr>
                <w:rFonts w:cs="Arial"/>
                <w:color w:val="FF0000"/>
                <w:sz w:val="21"/>
                <w:szCs w:val="21"/>
              </w:rPr>
            </w:pPr>
          </w:p>
        </w:tc>
        <w:tc>
          <w:tcPr>
            <w:tcW w:w="217" w:type="dxa"/>
          </w:tcPr>
          <w:p w14:paraId="26B49679" w14:textId="77777777" w:rsidR="002C0FD9" w:rsidRPr="00CA25CF" w:rsidRDefault="002C0FD9" w:rsidP="00CA25CF">
            <w:pPr>
              <w:rPr>
                <w:rFonts w:cs="Arial"/>
                <w:color w:val="FF0000"/>
                <w:sz w:val="21"/>
                <w:szCs w:val="21"/>
              </w:rPr>
            </w:pPr>
          </w:p>
        </w:tc>
        <w:tc>
          <w:tcPr>
            <w:tcW w:w="217" w:type="dxa"/>
          </w:tcPr>
          <w:p w14:paraId="78FD729A" w14:textId="77777777" w:rsidR="002C0FD9" w:rsidRPr="00CA25CF" w:rsidRDefault="002C0FD9" w:rsidP="00CA25CF">
            <w:pPr>
              <w:rPr>
                <w:rFonts w:cs="Arial"/>
                <w:color w:val="FF0000"/>
                <w:sz w:val="21"/>
                <w:szCs w:val="21"/>
              </w:rPr>
            </w:pPr>
          </w:p>
        </w:tc>
        <w:tc>
          <w:tcPr>
            <w:tcW w:w="217" w:type="dxa"/>
          </w:tcPr>
          <w:p w14:paraId="2E226533" w14:textId="77777777" w:rsidR="002C0FD9" w:rsidRPr="00CA25CF" w:rsidRDefault="002C0FD9" w:rsidP="00CA25CF">
            <w:pPr>
              <w:rPr>
                <w:rFonts w:cs="Arial"/>
                <w:color w:val="FF0000"/>
                <w:sz w:val="21"/>
                <w:szCs w:val="21"/>
              </w:rPr>
            </w:pPr>
          </w:p>
        </w:tc>
        <w:tc>
          <w:tcPr>
            <w:tcW w:w="217" w:type="dxa"/>
          </w:tcPr>
          <w:p w14:paraId="7891148A" w14:textId="77777777" w:rsidR="002C0FD9" w:rsidRPr="00CA25CF" w:rsidRDefault="002C0FD9" w:rsidP="00CA25CF">
            <w:pPr>
              <w:rPr>
                <w:rFonts w:cs="Arial"/>
                <w:color w:val="FF0000"/>
                <w:sz w:val="21"/>
                <w:szCs w:val="21"/>
              </w:rPr>
            </w:pPr>
          </w:p>
        </w:tc>
        <w:tc>
          <w:tcPr>
            <w:tcW w:w="217" w:type="dxa"/>
          </w:tcPr>
          <w:p w14:paraId="70CDE91E" w14:textId="77777777" w:rsidR="002C0FD9" w:rsidRPr="00CA25CF" w:rsidRDefault="002C0FD9" w:rsidP="00CA25CF">
            <w:pPr>
              <w:rPr>
                <w:rFonts w:cs="Arial"/>
                <w:color w:val="FF0000"/>
                <w:sz w:val="21"/>
                <w:szCs w:val="21"/>
              </w:rPr>
            </w:pPr>
          </w:p>
        </w:tc>
        <w:tc>
          <w:tcPr>
            <w:tcW w:w="217" w:type="dxa"/>
          </w:tcPr>
          <w:p w14:paraId="26750ED3" w14:textId="77777777" w:rsidR="002C0FD9" w:rsidRPr="00CA25CF" w:rsidRDefault="002C0FD9" w:rsidP="00CA25CF">
            <w:pPr>
              <w:rPr>
                <w:rFonts w:cs="Arial"/>
                <w:color w:val="FF0000"/>
                <w:sz w:val="21"/>
                <w:szCs w:val="21"/>
              </w:rPr>
            </w:pPr>
          </w:p>
        </w:tc>
        <w:tc>
          <w:tcPr>
            <w:tcW w:w="217" w:type="dxa"/>
          </w:tcPr>
          <w:p w14:paraId="73C66FEB" w14:textId="77777777" w:rsidR="002C0FD9" w:rsidRPr="00CA25CF" w:rsidRDefault="002C0FD9" w:rsidP="00CA25CF">
            <w:pPr>
              <w:rPr>
                <w:rFonts w:cs="Arial"/>
                <w:color w:val="FF0000"/>
                <w:sz w:val="21"/>
                <w:szCs w:val="21"/>
              </w:rPr>
            </w:pPr>
          </w:p>
        </w:tc>
        <w:tc>
          <w:tcPr>
            <w:tcW w:w="217" w:type="dxa"/>
          </w:tcPr>
          <w:p w14:paraId="1EC07E36" w14:textId="77777777" w:rsidR="002C0FD9" w:rsidRPr="00CA25CF" w:rsidRDefault="002C0FD9" w:rsidP="00CA25CF">
            <w:pPr>
              <w:rPr>
                <w:rFonts w:cs="Arial"/>
                <w:color w:val="FF0000"/>
                <w:sz w:val="21"/>
                <w:szCs w:val="21"/>
              </w:rPr>
            </w:pPr>
          </w:p>
        </w:tc>
        <w:tc>
          <w:tcPr>
            <w:tcW w:w="217" w:type="dxa"/>
          </w:tcPr>
          <w:p w14:paraId="59B6B069" w14:textId="77777777" w:rsidR="002C0FD9" w:rsidRPr="00CA25CF" w:rsidRDefault="002C0FD9" w:rsidP="00CA25CF">
            <w:pPr>
              <w:rPr>
                <w:rFonts w:cs="Arial"/>
                <w:color w:val="FF0000"/>
                <w:sz w:val="21"/>
                <w:szCs w:val="21"/>
              </w:rPr>
            </w:pPr>
          </w:p>
        </w:tc>
        <w:tc>
          <w:tcPr>
            <w:tcW w:w="217" w:type="dxa"/>
          </w:tcPr>
          <w:p w14:paraId="509AA155" w14:textId="77777777" w:rsidR="002C0FD9" w:rsidRPr="00CA25CF" w:rsidRDefault="002C0FD9" w:rsidP="00CA25CF">
            <w:pPr>
              <w:rPr>
                <w:rFonts w:cs="Arial"/>
                <w:color w:val="FF0000"/>
                <w:sz w:val="21"/>
                <w:szCs w:val="21"/>
              </w:rPr>
            </w:pPr>
          </w:p>
        </w:tc>
        <w:tc>
          <w:tcPr>
            <w:tcW w:w="217" w:type="dxa"/>
          </w:tcPr>
          <w:p w14:paraId="572C1704" w14:textId="77777777" w:rsidR="002C0FD9" w:rsidRPr="00CA25CF" w:rsidRDefault="002C0FD9" w:rsidP="00CA25CF">
            <w:pPr>
              <w:rPr>
                <w:rFonts w:cs="Arial"/>
                <w:color w:val="FF0000"/>
                <w:sz w:val="21"/>
                <w:szCs w:val="21"/>
              </w:rPr>
            </w:pPr>
          </w:p>
        </w:tc>
        <w:tc>
          <w:tcPr>
            <w:tcW w:w="217" w:type="dxa"/>
          </w:tcPr>
          <w:p w14:paraId="517BC5D3" w14:textId="77777777" w:rsidR="002C0FD9" w:rsidRPr="00CA25CF" w:rsidRDefault="002C0FD9" w:rsidP="00CA25CF">
            <w:pPr>
              <w:rPr>
                <w:rFonts w:cs="Arial"/>
                <w:color w:val="FF0000"/>
                <w:sz w:val="21"/>
                <w:szCs w:val="21"/>
              </w:rPr>
            </w:pPr>
          </w:p>
        </w:tc>
        <w:tc>
          <w:tcPr>
            <w:tcW w:w="217" w:type="dxa"/>
          </w:tcPr>
          <w:p w14:paraId="14611389" w14:textId="77777777" w:rsidR="002C0FD9" w:rsidRPr="00CA25CF" w:rsidRDefault="002C0FD9" w:rsidP="00CA25CF">
            <w:pPr>
              <w:rPr>
                <w:rFonts w:cs="Arial"/>
                <w:color w:val="FF0000"/>
                <w:sz w:val="21"/>
                <w:szCs w:val="21"/>
              </w:rPr>
            </w:pPr>
          </w:p>
        </w:tc>
        <w:tc>
          <w:tcPr>
            <w:tcW w:w="217" w:type="dxa"/>
          </w:tcPr>
          <w:p w14:paraId="6B37271D" w14:textId="77777777" w:rsidR="002C0FD9" w:rsidRPr="00CA25CF" w:rsidRDefault="002C0FD9" w:rsidP="00CA25CF">
            <w:pPr>
              <w:rPr>
                <w:rFonts w:cs="Arial"/>
                <w:color w:val="FF0000"/>
                <w:sz w:val="21"/>
                <w:szCs w:val="21"/>
              </w:rPr>
            </w:pPr>
          </w:p>
        </w:tc>
        <w:tc>
          <w:tcPr>
            <w:tcW w:w="217" w:type="dxa"/>
          </w:tcPr>
          <w:p w14:paraId="3DE47427" w14:textId="77777777" w:rsidR="002C0FD9" w:rsidRPr="00CA25CF" w:rsidRDefault="002C0FD9" w:rsidP="00CA25CF">
            <w:pPr>
              <w:rPr>
                <w:rFonts w:cs="Arial"/>
                <w:color w:val="FF0000"/>
                <w:sz w:val="21"/>
                <w:szCs w:val="21"/>
              </w:rPr>
            </w:pPr>
          </w:p>
        </w:tc>
        <w:tc>
          <w:tcPr>
            <w:tcW w:w="217" w:type="dxa"/>
          </w:tcPr>
          <w:p w14:paraId="0048D650" w14:textId="77777777" w:rsidR="002C0FD9" w:rsidRPr="00CA25CF" w:rsidRDefault="002C0FD9" w:rsidP="00CA25CF">
            <w:pPr>
              <w:rPr>
                <w:rFonts w:cs="Arial"/>
                <w:color w:val="FF0000"/>
                <w:sz w:val="21"/>
                <w:szCs w:val="21"/>
              </w:rPr>
            </w:pPr>
          </w:p>
        </w:tc>
        <w:tc>
          <w:tcPr>
            <w:tcW w:w="217" w:type="dxa"/>
          </w:tcPr>
          <w:p w14:paraId="05525BE3" w14:textId="77777777" w:rsidR="002C0FD9" w:rsidRPr="00CA25CF" w:rsidRDefault="002C0FD9" w:rsidP="00CA25CF">
            <w:pPr>
              <w:rPr>
                <w:rFonts w:cs="Arial"/>
                <w:color w:val="FF0000"/>
                <w:sz w:val="21"/>
                <w:szCs w:val="21"/>
              </w:rPr>
            </w:pPr>
          </w:p>
        </w:tc>
        <w:tc>
          <w:tcPr>
            <w:tcW w:w="217" w:type="dxa"/>
          </w:tcPr>
          <w:p w14:paraId="439BB602" w14:textId="77777777" w:rsidR="002C0FD9" w:rsidRPr="00CA25CF" w:rsidRDefault="002C0FD9" w:rsidP="00CA25CF">
            <w:pPr>
              <w:rPr>
                <w:rFonts w:cs="Arial"/>
                <w:color w:val="FF0000"/>
                <w:sz w:val="21"/>
                <w:szCs w:val="21"/>
              </w:rPr>
            </w:pPr>
          </w:p>
        </w:tc>
        <w:tc>
          <w:tcPr>
            <w:tcW w:w="217" w:type="dxa"/>
          </w:tcPr>
          <w:p w14:paraId="47A248D3" w14:textId="77777777" w:rsidR="002C0FD9" w:rsidRPr="00CA25CF" w:rsidRDefault="002C0FD9" w:rsidP="00CA25CF">
            <w:pPr>
              <w:rPr>
                <w:rFonts w:cs="Arial"/>
                <w:color w:val="FF0000"/>
                <w:sz w:val="21"/>
                <w:szCs w:val="21"/>
              </w:rPr>
            </w:pPr>
          </w:p>
        </w:tc>
        <w:tc>
          <w:tcPr>
            <w:tcW w:w="217" w:type="dxa"/>
          </w:tcPr>
          <w:p w14:paraId="37D08F09" w14:textId="77777777" w:rsidR="002C0FD9" w:rsidRPr="00CA25CF" w:rsidRDefault="002C0FD9" w:rsidP="00CA25CF">
            <w:pPr>
              <w:rPr>
                <w:rFonts w:cs="Arial"/>
                <w:color w:val="FF0000"/>
                <w:sz w:val="21"/>
                <w:szCs w:val="21"/>
              </w:rPr>
            </w:pPr>
          </w:p>
        </w:tc>
        <w:tc>
          <w:tcPr>
            <w:tcW w:w="217" w:type="dxa"/>
          </w:tcPr>
          <w:p w14:paraId="570C1194" w14:textId="77777777" w:rsidR="002C0FD9" w:rsidRPr="00CA25CF" w:rsidRDefault="002C0FD9" w:rsidP="00CA25CF">
            <w:pPr>
              <w:rPr>
                <w:rFonts w:cs="Arial"/>
                <w:color w:val="FF0000"/>
                <w:sz w:val="21"/>
                <w:szCs w:val="21"/>
              </w:rPr>
            </w:pPr>
          </w:p>
        </w:tc>
        <w:tc>
          <w:tcPr>
            <w:tcW w:w="217" w:type="dxa"/>
          </w:tcPr>
          <w:p w14:paraId="050B3548" w14:textId="77777777" w:rsidR="002C0FD9" w:rsidRPr="00CA25CF" w:rsidRDefault="002C0FD9" w:rsidP="00CA25CF">
            <w:pPr>
              <w:rPr>
                <w:rFonts w:cs="Arial"/>
                <w:color w:val="FF0000"/>
                <w:sz w:val="21"/>
                <w:szCs w:val="21"/>
              </w:rPr>
            </w:pPr>
          </w:p>
        </w:tc>
        <w:tc>
          <w:tcPr>
            <w:tcW w:w="217" w:type="dxa"/>
          </w:tcPr>
          <w:p w14:paraId="1A07CED2" w14:textId="77777777" w:rsidR="002C0FD9" w:rsidRPr="00CA25CF" w:rsidRDefault="002C0FD9" w:rsidP="00CA25CF">
            <w:pPr>
              <w:rPr>
                <w:rFonts w:cs="Arial"/>
                <w:color w:val="FF0000"/>
                <w:sz w:val="21"/>
                <w:szCs w:val="21"/>
              </w:rPr>
            </w:pPr>
          </w:p>
        </w:tc>
        <w:tc>
          <w:tcPr>
            <w:tcW w:w="217" w:type="dxa"/>
          </w:tcPr>
          <w:p w14:paraId="38960297" w14:textId="77777777" w:rsidR="002C0FD9" w:rsidRPr="00CA25CF" w:rsidRDefault="002C0FD9" w:rsidP="00CA25CF">
            <w:pPr>
              <w:rPr>
                <w:rFonts w:cs="Arial"/>
                <w:color w:val="FF0000"/>
                <w:sz w:val="21"/>
                <w:szCs w:val="21"/>
              </w:rPr>
            </w:pPr>
          </w:p>
        </w:tc>
        <w:tc>
          <w:tcPr>
            <w:tcW w:w="217" w:type="dxa"/>
          </w:tcPr>
          <w:p w14:paraId="6DEE2C73" w14:textId="77777777" w:rsidR="002C0FD9" w:rsidRPr="00CA25CF" w:rsidRDefault="002C0FD9" w:rsidP="00CA25CF">
            <w:pPr>
              <w:rPr>
                <w:rFonts w:cs="Arial"/>
                <w:color w:val="FF0000"/>
                <w:sz w:val="21"/>
                <w:szCs w:val="21"/>
              </w:rPr>
            </w:pPr>
          </w:p>
        </w:tc>
        <w:tc>
          <w:tcPr>
            <w:tcW w:w="217" w:type="dxa"/>
          </w:tcPr>
          <w:p w14:paraId="652C308F" w14:textId="77777777" w:rsidR="002C0FD9" w:rsidRPr="00CA25CF" w:rsidRDefault="002C0FD9" w:rsidP="00CA25CF">
            <w:pPr>
              <w:rPr>
                <w:rFonts w:cs="Arial"/>
                <w:color w:val="FF0000"/>
                <w:sz w:val="21"/>
                <w:szCs w:val="21"/>
              </w:rPr>
            </w:pPr>
          </w:p>
        </w:tc>
        <w:tc>
          <w:tcPr>
            <w:tcW w:w="217" w:type="dxa"/>
          </w:tcPr>
          <w:p w14:paraId="6B4FD6A8" w14:textId="77777777" w:rsidR="002C0FD9" w:rsidRPr="00CA25CF" w:rsidRDefault="002C0FD9" w:rsidP="00CA25CF">
            <w:pPr>
              <w:rPr>
                <w:rFonts w:cs="Arial"/>
                <w:color w:val="FF0000"/>
                <w:sz w:val="21"/>
                <w:szCs w:val="21"/>
              </w:rPr>
            </w:pPr>
          </w:p>
        </w:tc>
        <w:tc>
          <w:tcPr>
            <w:tcW w:w="217" w:type="dxa"/>
          </w:tcPr>
          <w:p w14:paraId="70EADCC5" w14:textId="77777777" w:rsidR="002C0FD9" w:rsidRPr="00CA25CF" w:rsidRDefault="002C0FD9" w:rsidP="00CA25CF">
            <w:pPr>
              <w:rPr>
                <w:rFonts w:cs="Arial"/>
                <w:color w:val="FF0000"/>
                <w:sz w:val="21"/>
                <w:szCs w:val="21"/>
              </w:rPr>
            </w:pPr>
          </w:p>
        </w:tc>
        <w:tc>
          <w:tcPr>
            <w:tcW w:w="217" w:type="dxa"/>
          </w:tcPr>
          <w:p w14:paraId="7D24676D" w14:textId="77777777" w:rsidR="002C0FD9" w:rsidRPr="00CA25CF" w:rsidRDefault="002C0FD9" w:rsidP="00CA25CF">
            <w:pPr>
              <w:rPr>
                <w:rFonts w:cs="Arial"/>
                <w:color w:val="FF0000"/>
                <w:sz w:val="21"/>
                <w:szCs w:val="21"/>
              </w:rPr>
            </w:pPr>
          </w:p>
        </w:tc>
        <w:tc>
          <w:tcPr>
            <w:tcW w:w="217" w:type="dxa"/>
          </w:tcPr>
          <w:p w14:paraId="78A0B628" w14:textId="77777777" w:rsidR="002C0FD9" w:rsidRPr="00CA25CF" w:rsidRDefault="002C0FD9" w:rsidP="00CA25CF">
            <w:pPr>
              <w:rPr>
                <w:rFonts w:cs="Arial"/>
                <w:color w:val="FF0000"/>
                <w:sz w:val="21"/>
                <w:szCs w:val="21"/>
              </w:rPr>
            </w:pPr>
          </w:p>
        </w:tc>
        <w:tc>
          <w:tcPr>
            <w:tcW w:w="217" w:type="dxa"/>
          </w:tcPr>
          <w:p w14:paraId="48791C95" w14:textId="77777777" w:rsidR="002C0FD9" w:rsidRPr="00CA25CF" w:rsidRDefault="002C0FD9" w:rsidP="00CA25CF">
            <w:pPr>
              <w:rPr>
                <w:rFonts w:cs="Arial"/>
                <w:color w:val="FF0000"/>
                <w:sz w:val="21"/>
                <w:szCs w:val="21"/>
              </w:rPr>
            </w:pPr>
          </w:p>
        </w:tc>
        <w:tc>
          <w:tcPr>
            <w:tcW w:w="217" w:type="dxa"/>
          </w:tcPr>
          <w:p w14:paraId="694A6A4D" w14:textId="77777777" w:rsidR="002C0FD9" w:rsidRPr="00CA25CF" w:rsidRDefault="002C0FD9" w:rsidP="00CA25CF">
            <w:pPr>
              <w:rPr>
                <w:rFonts w:cs="Arial"/>
                <w:color w:val="FF0000"/>
                <w:sz w:val="21"/>
                <w:szCs w:val="21"/>
              </w:rPr>
            </w:pPr>
          </w:p>
        </w:tc>
      </w:tr>
      <w:tr w:rsidR="002C0FD9" w:rsidRPr="00A16219" w14:paraId="4CC1C07A" w14:textId="77777777" w:rsidTr="002C0FD9">
        <w:trPr>
          <w:trHeight w:val="635"/>
        </w:trPr>
        <w:tc>
          <w:tcPr>
            <w:tcW w:w="515" w:type="dxa"/>
          </w:tcPr>
          <w:p w14:paraId="459F74C2" w14:textId="77777777" w:rsidR="002C0FD9" w:rsidRPr="00CA25CF" w:rsidRDefault="002C0FD9" w:rsidP="00CA25CF">
            <w:pPr>
              <w:rPr>
                <w:rFonts w:cs="Arial"/>
                <w:color w:val="FF0000"/>
                <w:sz w:val="21"/>
                <w:szCs w:val="21"/>
              </w:rPr>
            </w:pPr>
          </w:p>
        </w:tc>
        <w:tc>
          <w:tcPr>
            <w:tcW w:w="217" w:type="dxa"/>
          </w:tcPr>
          <w:p w14:paraId="114F09A6" w14:textId="77777777" w:rsidR="002C0FD9" w:rsidRPr="00CA25CF" w:rsidRDefault="002C0FD9" w:rsidP="00CA25CF">
            <w:pPr>
              <w:rPr>
                <w:rFonts w:cs="Arial"/>
                <w:color w:val="FF0000"/>
                <w:sz w:val="21"/>
                <w:szCs w:val="21"/>
              </w:rPr>
            </w:pPr>
          </w:p>
        </w:tc>
        <w:tc>
          <w:tcPr>
            <w:tcW w:w="217" w:type="dxa"/>
          </w:tcPr>
          <w:p w14:paraId="2031F09C" w14:textId="77777777" w:rsidR="002C0FD9" w:rsidRPr="00CA25CF" w:rsidRDefault="002C0FD9" w:rsidP="00CA25CF">
            <w:pPr>
              <w:rPr>
                <w:rFonts w:cs="Arial"/>
                <w:color w:val="FF0000"/>
                <w:sz w:val="21"/>
                <w:szCs w:val="21"/>
              </w:rPr>
            </w:pPr>
          </w:p>
        </w:tc>
        <w:tc>
          <w:tcPr>
            <w:tcW w:w="217" w:type="dxa"/>
          </w:tcPr>
          <w:p w14:paraId="36E85934" w14:textId="77777777" w:rsidR="002C0FD9" w:rsidRPr="00CA25CF" w:rsidRDefault="002C0FD9" w:rsidP="00CA25CF">
            <w:pPr>
              <w:rPr>
                <w:rFonts w:cs="Arial"/>
                <w:color w:val="FF0000"/>
                <w:sz w:val="21"/>
                <w:szCs w:val="21"/>
              </w:rPr>
            </w:pPr>
          </w:p>
        </w:tc>
        <w:tc>
          <w:tcPr>
            <w:tcW w:w="217" w:type="dxa"/>
          </w:tcPr>
          <w:p w14:paraId="0AB2F324" w14:textId="77777777" w:rsidR="002C0FD9" w:rsidRPr="00CA25CF" w:rsidRDefault="002C0FD9" w:rsidP="00CA25CF">
            <w:pPr>
              <w:rPr>
                <w:rFonts w:cs="Arial"/>
                <w:color w:val="FF0000"/>
                <w:sz w:val="21"/>
                <w:szCs w:val="21"/>
              </w:rPr>
            </w:pPr>
          </w:p>
        </w:tc>
        <w:tc>
          <w:tcPr>
            <w:tcW w:w="217" w:type="dxa"/>
          </w:tcPr>
          <w:p w14:paraId="0E2657FD" w14:textId="77777777" w:rsidR="002C0FD9" w:rsidRPr="00CA25CF" w:rsidRDefault="002C0FD9" w:rsidP="00CA25CF">
            <w:pPr>
              <w:rPr>
                <w:rFonts w:cs="Arial"/>
                <w:color w:val="FF0000"/>
                <w:sz w:val="21"/>
                <w:szCs w:val="21"/>
              </w:rPr>
            </w:pPr>
          </w:p>
        </w:tc>
        <w:tc>
          <w:tcPr>
            <w:tcW w:w="217" w:type="dxa"/>
          </w:tcPr>
          <w:p w14:paraId="700A4951" w14:textId="77777777" w:rsidR="002C0FD9" w:rsidRPr="00CA25CF" w:rsidRDefault="002C0FD9" w:rsidP="00CA25CF">
            <w:pPr>
              <w:rPr>
                <w:rFonts w:cs="Arial"/>
                <w:color w:val="FF0000"/>
                <w:sz w:val="21"/>
                <w:szCs w:val="21"/>
              </w:rPr>
            </w:pPr>
          </w:p>
        </w:tc>
        <w:tc>
          <w:tcPr>
            <w:tcW w:w="217" w:type="dxa"/>
          </w:tcPr>
          <w:p w14:paraId="55ABA268" w14:textId="77777777" w:rsidR="002C0FD9" w:rsidRPr="00CA25CF" w:rsidRDefault="002C0FD9" w:rsidP="00CA25CF">
            <w:pPr>
              <w:rPr>
                <w:rFonts w:cs="Arial"/>
                <w:color w:val="FF0000"/>
                <w:sz w:val="21"/>
                <w:szCs w:val="21"/>
              </w:rPr>
            </w:pPr>
          </w:p>
        </w:tc>
        <w:tc>
          <w:tcPr>
            <w:tcW w:w="217" w:type="dxa"/>
          </w:tcPr>
          <w:p w14:paraId="348264E5" w14:textId="77777777" w:rsidR="002C0FD9" w:rsidRPr="00CA25CF" w:rsidRDefault="002C0FD9" w:rsidP="00CA25CF">
            <w:pPr>
              <w:rPr>
                <w:rFonts w:cs="Arial"/>
                <w:color w:val="FF0000"/>
                <w:sz w:val="21"/>
                <w:szCs w:val="21"/>
              </w:rPr>
            </w:pPr>
          </w:p>
        </w:tc>
        <w:tc>
          <w:tcPr>
            <w:tcW w:w="217" w:type="dxa"/>
          </w:tcPr>
          <w:p w14:paraId="09657B5D" w14:textId="77777777" w:rsidR="002C0FD9" w:rsidRPr="00CA25CF" w:rsidRDefault="002C0FD9" w:rsidP="00CA25CF">
            <w:pPr>
              <w:rPr>
                <w:rFonts w:cs="Arial"/>
                <w:color w:val="FF0000"/>
                <w:sz w:val="21"/>
                <w:szCs w:val="21"/>
              </w:rPr>
            </w:pPr>
          </w:p>
        </w:tc>
        <w:tc>
          <w:tcPr>
            <w:tcW w:w="217" w:type="dxa"/>
          </w:tcPr>
          <w:p w14:paraId="153A4DEB" w14:textId="77777777" w:rsidR="002C0FD9" w:rsidRPr="00CA25CF" w:rsidRDefault="002C0FD9" w:rsidP="00CA25CF">
            <w:pPr>
              <w:rPr>
                <w:rFonts w:cs="Arial"/>
                <w:color w:val="FF0000"/>
                <w:sz w:val="21"/>
                <w:szCs w:val="21"/>
              </w:rPr>
            </w:pPr>
          </w:p>
        </w:tc>
        <w:tc>
          <w:tcPr>
            <w:tcW w:w="217" w:type="dxa"/>
          </w:tcPr>
          <w:p w14:paraId="78CBED82" w14:textId="77777777" w:rsidR="002C0FD9" w:rsidRPr="00CA25CF" w:rsidRDefault="002C0FD9" w:rsidP="00CA25CF">
            <w:pPr>
              <w:rPr>
                <w:rFonts w:cs="Arial"/>
                <w:color w:val="FF0000"/>
                <w:sz w:val="21"/>
                <w:szCs w:val="21"/>
              </w:rPr>
            </w:pPr>
          </w:p>
        </w:tc>
        <w:tc>
          <w:tcPr>
            <w:tcW w:w="217" w:type="dxa"/>
          </w:tcPr>
          <w:p w14:paraId="42639CD2" w14:textId="77777777" w:rsidR="002C0FD9" w:rsidRPr="00CA25CF" w:rsidRDefault="002C0FD9" w:rsidP="00CA25CF">
            <w:pPr>
              <w:rPr>
                <w:rFonts w:cs="Arial"/>
                <w:color w:val="FF0000"/>
                <w:sz w:val="21"/>
                <w:szCs w:val="21"/>
              </w:rPr>
            </w:pPr>
          </w:p>
        </w:tc>
        <w:tc>
          <w:tcPr>
            <w:tcW w:w="217" w:type="dxa"/>
          </w:tcPr>
          <w:p w14:paraId="0284033A" w14:textId="77777777" w:rsidR="002C0FD9" w:rsidRPr="00CA25CF" w:rsidRDefault="002C0FD9" w:rsidP="00CA25CF">
            <w:pPr>
              <w:rPr>
                <w:rFonts w:cs="Arial"/>
                <w:color w:val="FF0000"/>
                <w:sz w:val="21"/>
                <w:szCs w:val="21"/>
              </w:rPr>
            </w:pPr>
          </w:p>
        </w:tc>
        <w:tc>
          <w:tcPr>
            <w:tcW w:w="217" w:type="dxa"/>
          </w:tcPr>
          <w:p w14:paraId="1D7C80DE" w14:textId="77777777" w:rsidR="002C0FD9" w:rsidRPr="00CA25CF" w:rsidRDefault="002C0FD9" w:rsidP="00CA25CF">
            <w:pPr>
              <w:rPr>
                <w:rFonts w:cs="Arial"/>
                <w:color w:val="FF0000"/>
                <w:sz w:val="21"/>
                <w:szCs w:val="21"/>
              </w:rPr>
            </w:pPr>
          </w:p>
        </w:tc>
        <w:tc>
          <w:tcPr>
            <w:tcW w:w="217" w:type="dxa"/>
          </w:tcPr>
          <w:p w14:paraId="4C68925A" w14:textId="77777777" w:rsidR="002C0FD9" w:rsidRPr="00CA25CF" w:rsidRDefault="002C0FD9" w:rsidP="00CA25CF">
            <w:pPr>
              <w:rPr>
                <w:rFonts w:cs="Arial"/>
                <w:color w:val="FF0000"/>
                <w:sz w:val="21"/>
                <w:szCs w:val="21"/>
              </w:rPr>
            </w:pPr>
          </w:p>
        </w:tc>
        <w:tc>
          <w:tcPr>
            <w:tcW w:w="217" w:type="dxa"/>
          </w:tcPr>
          <w:p w14:paraId="62C35F09" w14:textId="77777777" w:rsidR="002C0FD9" w:rsidRPr="00CA25CF" w:rsidRDefault="002C0FD9" w:rsidP="00CA25CF">
            <w:pPr>
              <w:rPr>
                <w:rFonts w:cs="Arial"/>
                <w:color w:val="FF0000"/>
                <w:sz w:val="21"/>
                <w:szCs w:val="21"/>
              </w:rPr>
            </w:pPr>
          </w:p>
        </w:tc>
        <w:tc>
          <w:tcPr>
            <w:tcW w:w="217" w:type="dxa"/>
          </w:tcPr>
          <w:p w14:paraId="7C21BC06" w14:textId="77777777" w:rsidR="002C0FD9" w:rsidRPr="00CA25CF" w:rsidRDefault="002C0FD9" w:rsidP="00CA25CF">
            <w:pPr>
              <w:rPr>
                <w:rFonts w:cs="Arial"/>
                <w:color w:val="FF0000"/>
                <w:sz w:val="21"/>
                <w:szCs w:val="21"/>
              </w:rPr>
            </w:pPr>
          </w:p>
        </w:tc>
        <w:tc>
          <w:tcPr>
            <w:tcW w:w="217" w:type="dxa"/>
          </w:tcPr>
          <w:p w14:paraId="353737A1" w14:textId="77777777" w:rsidR="002C0FD9" w:rsidRPr="00CA25CF" w:rsidRDefault="002C0FD9" w:rsidP="00CA25CF">
            <w:pPr>
              <w:rPr>
                <w:rFonts w:cs="Arial"/>
                <w:color w:val="FF0000"/>
                <w:sz w:val="21"/>
                <w:szCs w:val="21"/>
              </w:rPr>
            </w:pPr>
          </w:p>
        </w:tc>
        <w:tc>
          <w:tcPr>
            <w:tcW w:w="217" w:type="dxa"/>
          </w:tcPr>
          <w:p w14:paraId="225DE24C" w14:textId="77777777" w:rsidR="002C0FD9" w:rsidRPr="00CA25CF" w:rsidRDefault="002C0FD9" w:rsidP="00CA25CF">
            <w:pPr>
              <w:rPr>
                <w:rFonts w:cs="Arial"/>
                <w:color w:val="FF0000"/>
                <w:sz w:val="21"/>
                <w:szCs w:val="21"/>
              </w:rPr>
            </w:pPr>
          </w:p>
        </w:tc>
        <w:tc>
          <w:tcPr>
            <w:tcW w:w="217" w:type="dxa"/>
          </w:tcPr>
          <w:p w14:paraId="06BF4A0A" w14:textId="77777777" w:rsidR="002C0FD9" w:rsidRPr="00CA25CF" w:rsidRDefault="002C0FD9" w:rsidP="00CA25CF">
            <w:pPr>
              <w:rPr>
                <w:rFonts w:cs="Arial"/>
                <w:color w:val="FF0000"/>
                <w:sz w:val="21"/>
                <w:szCs w:val="21"/>
              </w:rPr>
            </w:pPr>
          </w:p>
        </w:tc>
        <w:tc>
          <w:tcPr>
            <w:tcW w:w="217" w:type="dxa"/>
          </w:tcPr>
          <w:p w14:paraId="73881F98" w14:textId="77777777" w:rsidR="002C0FD9" w:rsidRPr="00CA25CF" w:rsidRDefault="002C0FD9" w:rsidP="00CA25CF">
            <w:pPr>
              <w:rPr>
                <w:rFonts w:cs="Arial"/>
                <w:color w:val="FF0000"/>
                <w:sz w:val="21"/>
                <w:szCs w:val="21"/>
              </w:rPr>
            </w:pPr>
          </w:p>
        </w:tc>
        <w:tc>
          <w:tcPr>
            <w:tcW w:w="217" w:type="dxa"/>
          </w:tcPr>
          <w:p w14:paraId="483112BD" w14:textId="77777777" w:rsidR="002C0FD9" w:rsidRPr="00CA25CF" w:rsidRDefault="002C0FD9" w:rsidP="00CA25CF">
            <w:pPr>
              <w:rPr>
                <w:rFonts w:cs="Arial"/>
                <w:color w:val="FF0000"/>
                <w:sz w:val="21"/>
                <w:szCs w:val="21"/>
              </w:rPr>
            </w:pPr>
          </w:p>
        </w:tc>
        <w:tc>
          <w:tcPr>
            <w:tcW w:w="217" w:type="dxa"/>
          </w:tcPr>
          <w:p w14:paraId="1DA8B48E" w14:textId="77777777" w:rsidR="002C0FD9" w:rsidRPr="00CA25CF" w:rsidRDefault="002C0FD9" w:rsidP="00CA25CF">
            <w:pPr>
              <w:rPr>
                <w:rFonts w:cs="Arial"/>
                <w:color w:val="FF0000"/>
                <w:sz w:val="21"/>
                <w:szCs w:val="21"/>
              </w:rPr>
            </w:pPr>
          </w:p>
        </w:tc>
        <w:tc>
          <w:tcPr>
            <w:tcW w:w="217" w:type="dxa"/>
          </w:tcPr>
          <w:p w14:paraId="6C236188" w14:textId="77777777" w:rsidR="002C0FD9" w:rsidRPr="00CA25CF" w:rsidRDefault="002C0FD9" w:rsidP="00CA25CF">
            <w:pPr>
              <w:rPr>
                <w:rFonts w:cs="Arial"/>
                <w:color w:val="FF0000"/>
                <w:sz w:val="21"/>
                <w:szCs w:val="21"/>
              </w:rPr>
            </w:pPr>
          </w:p>
        </w:tc>
        <w:tc>
          <w:tcPr>
            <w:tcW w:w="217" w:type="dxa"/>
          </w:tcPr>
          <w:p w14:paraId="24619638" w14:textId="77777777" w:rsidR="002C0FD9" w:rsidRPr="00CA25CF" w:rsidRDefault="002C0FD9" w:rsidP="00CA25CF">
            <w:pPr>
              <w:rPr>
                <w:rFonts w:cs="Arial"/>
                <w:color w:val="FF0000"/>
                <w:sz w:val="21"/>
                <w:szCs w:val="21"/>
              </w:rPr>
            </w:pPr>
          </w:p>
        </w:tc>
        <w:tc>
          <w:tcPr>
            <w:tcW w:w="217" w:type="dxa"/>
          </w:tcPr>
          <w:p w14:paraId="4ECCA6E7" w14:textId="77777777" w:rsidR="002C0FD9" w:rsidRPr="00CA25CF" w:rsidRDefault="002C0FD9" w:rsidP="00CA25CF">
            <w:pPr>
              <w:rPr>
                <w:rFonts w:cs="Arial"/>
                <w:color w:val="FF0000"/>
                <w:sz w:val="21"/>
                <w:szCs w:val="21"/>
              </w:rPr>
            </w:pPr>
          </w:p>
        </w:tc>
        <w:tc>
          <w:tcPr>
            <w:tcW w:w="217" w:type="dxa"/>
          </w:tcPr>
          <w:p w14:paraId="1C2BCD7A" w14:textId="77777777" w:rsidR="002C0FD9" w:rsidRPr="00CA25CF" w:rsidRDefault="002C0FD9" w:rsidP="00CA25CF">
            <w:pPr>
              <w:rPr>
                <w:rFonts w:cs="Arial"/>
                <w:color w:val="FF0000"/>
                <w:sz w:val="21"/>
                <w:szCs w:val="21"/>
              </w:rPr>
            </w:pPr>
          </w:p>
        </w:tc>
        <w:tc>
          <w:tcPr>
            <w:tcW w:w="217" w:type="dxa"/>
          </w:tcPr>
          <w:p w14:paraId="577687D4" w14:textId="77777777" w:rsidR="002C0FD9" w:rsidRPr="00CA25CF" w:rsidRDefault="002C0FD9" w:rsidP="00CA25CF">
            <w:pPr>
              <w:rPr>
                <w:rFonts w:cs="Arial"/>
                <w:color w:val="FF0000"/>
                <w:sz w:val="21"/>
                <w:szCs w:val="21"/>
              </w:rPr>
            </w:pPr>
          </w:p>
        </w:tc>
        <w:tc>
          <w:tcPr>
            <w:tcW w:w="217" w:type="dxa"/>
          </w:tcPr>
          <w:p w14:paraId="7945A6EE" w14:textId="77777777" w:rsidR="002C0FD9" w:rsidRPr="00CA25CF" w:rsidRDefault="002C0FD9" w:rsidP="00CA25CF">
            <w:pPr>
              <w:rPr>
                <w:rFonts w:cs="Arial"/>
                <w:color w:val="FF0000"/>
                <w:sz w:val="21"/>
                <w:szCs w:val="21"/>
              </w:rPr>
            </w:pPr>
          </w:p>
        </w:tc>
        <w:tc>
          <w:tcPr>
            <w:tcW w:w="217" w:type="dxa"/>
          </w:tcPr>
          <w:p w14:paraId="0021ED47" w14:textId="77777777" w:rsidR="002C0FD9" w:rsidRPr="00CA25CF" w:rsidRDefault="002C0FD9" w:rsidP="00CA25CF">
            <w:pPr>
              <w:rPr>
                <w:rFonts w:cs="Arial"/>
                <w:color w:val="FF0000"/>
                <w:sz w:val="21"/>
                <w:szCs w:val="21"/>
              </w:rPr>
            </w:pPr>
          </w:p>
        </w:tc>
        <w:tc>
          <w:tcPr>
            <w:tcW w:w="217" w:type="dxa"/>
          </w:tcPr>
          <w:p w14:paraId="3098772A" w14:textId="77777777" w:rsidR="002C0FD9" w:rsidRPr="00CA25CF" w:rsidRDefault="002C0FD9" w:rsidP="00CA25CF">
            <w:pPr>
              <w:rPr>
                <w:rFonts w:cs="Arial"/>
                <w:color w:val="FF0000"/>
                <w:sz w:val="21"/>
                <w:szCs w:val="21"/>
              </w:rPr>
            </w:pPr>
          </w:p>
        </w:tc>
        <w:tc>
          <w:tcPr>
            <w:tcW w:w="217" w:type="dxa"/>
          </w:tcPr>
          <w:p w14:paraId="64204CD7" w14:textId="77777777" w:rsidR="002C0FD9" w:rsidRPr="00CA25CF" w:rsidRDefault="002C0FD9" w:rsidP="00CA25CF">
            <w:pPr>
              <w:rPr>
                <w:rFonts w:cs="Arial"/>
                <w:color w:val="FF0000"/>
                <w:sz w:val="21"/>
                <w:szCs w:val="21"/>
              </w:rPr>
            </w:pPr>
          </w:p>
        </w:tc>
        <w:tc>
          <w:tcPr>
            <w:tcW w:w="217" w:type="dxa"/>
          </w:tcPr>
          <w:p w14:paraId="4630C060" w14:textId="77777777" w:rsidR="002C0FD9" w:rsidRPr="00CA25CF" w:rsidRDefault="002C0FD9" w:rsidP="00CA25CF">
            <w:pPr>
              <w:rPr>
                <w:rFonts w:cs="Arial"/>
                <w:color w:val="FF0000"/>
                <w:sz w:val="21"/>
                <w:szCs w:val="21"/>
              </w:rPr>
            </w:pPr>
          </w:p>
        </w:tc>
        <w:tc>
          <w:tcPr>
            <w:tcW w:w="217" w:type="dxa"/>
          </w:tcPr>
          <w:p w14:paraId="57510EC5" w14:textId="77777777" w:rsidR="002C0FD9" w:rsidRPr="00CA25CF" w:rsidRDefault="002C0FD9" w:rsidP="00CA25CF">
            <w:pPr>
              <w:rPr>
                <w:rFonts w:cs="Arial"/>
                <w:color w:val="FF0000"/>
                <w:sz w:val="21"/>
                <w:szCs w:val="21"/>
              </w:rPr>
            </w:pPr>
          </w:p>
        </w:tc>
        <w:tc>
          <w:tcPr>
            <w:tcW w:w="217" w:type="dxa"/>
          </w:tcPr>
          <w:p w14:paraId="5BB08AFC" w14:textId="77777777" w:rsidR="002C0FD9" w:rsidRPr="00CA25CF" w:rsidRDefault="002C0FD9" w:rsidP="00CA25CF">
            <w:pPr>
              <w:rPr>
                <w:rFonts w:cs="Arial"/>
                <w:color w:val="FF0000"/>
                <w:sz w:val="21"/>
                <w:szCs w:val="21"/>
              </w:rPr>
            </w:pPr>
          </w:p>
        </w:tc>
        <w:tc>
          <w:tcPr>
            <w:tcW w:w="217" w:type="dxa"/>
          </w:tcPr>
          <w:p w14:paraId="1ED0C336" w14:textId="77777777" w:rsidR="002C0FD9" w:rsidRPr="00CA25CF" w:rsidRDefault="002C0FD9" w:rsidP="00CA25CF">
            <w:pPr>
              <w:rPr>
                <w:rFonts w:cs="Arial"/>
                <w:color w:val="FF0000"/>
                <w:sz w:val="21"/>
                <w:szCs w:val="21"/>
              </w:rPr>
            </w:pPr>
          </w:p>
        </w:tc>
        <w:tc>
          <w:tcPr>
            <w:tcW w:w="217" w:type="dxa"/>
          </w:tcPr>
          <w:p w14:paraId="49DDA40A" w14:textId="77777777" w:rsidR="002C0FD9" w:rsidRPr="00CA25CF" w:rsidRDefault="002C0FD9" w:rsidP="00CA25CF">
            <w:pPr>
              <w:rPr>
                <w:rFonts w:cs="Arial"/>
                <w:color w:val="FF0000"/>
                <w:sz w:val="21"/>
                <w:szCs w:val="21"/>
              </w:rPr>
            </w:pPr>
          </w:p>
        </w:tc>
        <w:tc>
          <w:tcPr>
            <w:tcW w:w="217" w:type="dxa"/>
          </w:tcPr>
          <w:p w14:paraId="56EB0107" w14:textId="77777777" w:rsidR="002C0FD9" w:rsidRPr="00CA25CF" w:rsidRDefault="002C0FD9" w:rsidP="00CA25CF">
            <w:pPr>
              <w:rPr>
                <w:rFonts w:cs="Arial"/>
                <w:color w:val="FF0000"/>
                <w:sz w:val="21"/>
                <w:szCs w:val="21"/>
              </w:rPr>
            </w:pPr>
          </w:p>
        </w:tc>
        <w:tc>
          <w:tcPr>
            <w:tcW w:w="217" w:type="dxa"/>
          </w:tcPr>
          <w:p w14:paraId="10934AE1" w14:textId="77777777" w:rsidR="002C0FD9" w:rsidRPr="00CA25CF" w:rsidRDefault="002C0FD9" w:rsidP="00CA25CF">
            <w:pPr>
              <w:rPr>
                <w:rFonts w:cs="Arial"/>
                <w:color w:val="FF0000"/>
                <w:sz w:val="21"/>
                <w:szCs w:val="21"/>
              </w:rPr>
            </w:pPr>
          </w:p>
        </w:tc>
        <w:tc>
          <w:tcPr>
            <w:tcW w:w="217" w:type="dxa"/>
          </w:tcPr>
          <w:p w14:paraId="7DAC4B56" w14:textId="77777777" w:rsidR="002C0FD9" w:rsidRPr="00CA25CF" w:rsidRDefault="002C0FD9" w:rsidP="00CA25CF">
            <w:pPr>
              <w:rPr>
                <w:rFonts w:cs="Arial"/>
                <w:color w:val="FF0000"/>
                <w:sz w:val="21"/>
                <w:szCs w:val="21"/>
              </w:rPr>
            </w:pPr>
          </w:p>
        </w:tc>
        <w:tc>
          <w:tcPr>
            <w:tcW w:w="217" w:type="dxa"/>
          </w:tcPr>
          <w:p w14:paraId="55D32BE2" w14:textId="77777777" w:rsidR="002C0FD9" w:rsidRPr="00CA25CF" w:rsidRDefault="002C0FD9" w:rsidP="00CA25CF">
            <w:pPr>
              <w:rPr>
                <w:rFonts w:cs="Arial"/>
                <w:color w:val="FF0000"/>
                <w:sz w:val="21"/>
                <w:szCs w:val="21"/>
              </w:rPr>
            </w:pPr>
          </w:p>
        </w:tc>
        <w:tc>
          <w:tcPr>
            <w:tcW w:w="217" w:type="dxa"/>
          </w:tcPr>
          <w:p w14:paraId="214770DE" w14:textId="77777777" w:rsidR="002C0FD9" w:rsidRPr="00CA25CF" w:rsidRDefault="002C0FD9" w:rsidP="00CA25CF">
            <w:pPr>
              <w:rPr>
                <w:rFonts w:cs="Arial"/>
                <w:color w:val="FF0000"/>
                <w:sz w:val="21"/>
                <w:szCs w:val="21"/>
              </w:rPr>
            </w:pPr>
          </w:p>
        </w:tc>
      </w:tr>
      <w:tr w:rsidR="002C0FD9" w:rsidRPr="00A16219" w14:paraId="3374DED2" w14:textId="77777777" w:rsidTr="002C0FD9">
        <w:trPr>
          <w:trHeight w:val="635"/>
        </w:trPr>
        <w:tc>
          <w:tcPr>
            <w:tcW w:w="515" w:type="dxa"/>
          </w:tcPr>
          <w:p w14:paraId="4001DB44" w14:textId="77777777" w:rsidR="002C0FD9" w:rsidRPr="00CA25CF" w:rsidRDefault="002C0FD9" w:rsidP="00CA25CF">
            <w:pPr>
              <w:rPr>
                <w:rFonts w:cs="Arial"/>
                <w:color w:val="FF0000"/>
                <w:sz w:val="21"/>
                <w:szCs w:val="21"/>
              </w:rPr>
            </w:pPr>
          </w:p>
        </w:tc>
        <w:tc>
          <w:tcPr>
            <w:tcW w:w="217" w:type="dxa"/>
          </w:tcPr>
          <w:p w14:paraId="22459C77" w14:textId="77777777" w:rsidR="002C0FD9" w:rsidRPr="00CA25CF" w:rsidRDefault="002C0FD9" w:rsidP="00CA25CF">
            <w:pPr>
              <w:rPr>
                <w:rFonts w:cs="Arial"/>
                <w:color w:val="FF0000"/>
                <w:sz w:val="21"/>
                <w:szCs w:val="21"/>
              </w:rPr>
            </w:pPr>
          </w:p>
        </w:tc>
        <w:tc>
          <w:tcPr>
            <w:tcW w:w="217" w:type="dxa"/>
          </w:tcPr>
          <w:p w14:paraId="6390561F" w14:textId="77777777" w:rsidR="002C0FD9" w:rsidRPr="00CA25CF" w:rsidRDefault="002C0FD9" w:rsidP="00CA25CF">
            <w:pPr>
              <w:rPr>
                <w:rFonts w:cs="Arial"/>
                <w:color w:val="FF0000"/>
                <w:sz w:val="21"/>
                <w:szCs w:val="21"/>
              </w:rPr>
            </w:pPr>
          </w:p>
        </w:tc>
        <w:tc>
          <w:tcPr>
            <w:tcW w:w="217" w:type="dxa"/>
          </w:tcPr>
          <w:p w14:paraId="3344DBBF" w14:textId="77777777" w:rsidR="002C0FD9" w:rsidRPr="00CA25CF" w:rsidRDefault="002C0FD9" w:rsidP="00CA25CF">
            <w:pPr>
              <w:rPr>
                <w:rFonts w:cs="Arial"/>
                <w:color w:val="FF0000"/>
                <w:sz w:val="21"/>
                <w:szCs w:val="21"/>
              </w:rPr>
            </w:pPr>
          </w:p>
        </w:tc>
        <w:tc>
          <w:tcPr>
            <w:tcW w:w="217" w:type="dxa"/>
          </w:tcPr>
          <w:p w14:paraId="73AF0B38" w14:textId="77777777" w:rsidR="002C0FD9" w:rsidRPr="00CA25CF" w:rsidRDefault="002C0FD9" w:rsidP="00CA25CF">
            <w:pPr>
              <w:rPr>
                <w:rFonts w:cs="Arial"/>
                <w:color w:val="FF0000"/>
                <w:sz w:val="21"/>
                <w:szCs w:val="21"/>
              </w:rPr>
            </w:pPr>
          </w:p>
        </w:tc>
        <w:tc>
          <w:tcPr>
            <w:tcW w:w="217" w:type="dxa"/>
          </w:tcPr>
          <w:p w14:paraId="1D4E6592" w14:textId="77777777" w:rsidR="002C0FD9" w:rsidRPr="00CA25CF" w:rsidRDefault="002C0FD9" w:rsidP="00CA25CF">
            <w:pPr>
              <w:rPr>
                <w:rFonts w:cs="Arial"/>
                <w:color w:val="FF0000"/>
                <w:sz w:val="21"/>
                <w:szCs w:val="21"/>
              </w:rPr>
            </w:pPr>
          </w:p>
        </w:tc>
        <w:tc>
          <w:tcPr>
            <w:tcW w:w="217" w:type="dxa"/>
          </w:tcPr>
          <w:p w14:paraId="639B600A" w14:textId="77777777" w:rsidR="002C0FD9" w:rsidRPr="00CA25CF" w:rsidRDefault="002C0FD9" w:rsidP="00CA25CF">
            <w:pPr>
              <w:rPr>
                <w:rFonts w:cs="Arial"/>
                <w:color w:val="FF0000"/>
                <w:sz w:val="21"/>
                <w:szCs w:val="21"/>
              </w:rPr>
            </w:pPr>
          </w:p>
        </w:tc>
        <w:tc>
          <w:tcPr>
            <w:tcW w:w="217" w:type="dxa"/>
          </w:tcPr>
          <w:p w14:paraId="5AC03CD8" w14:textId="77777777" w:rsidR="002C0FD9" w:rsidRPr="00CA25CF" w:rsidRDefault="002C0FD9" w:rsidP="00CA25CF">
            <w:pPr>
              <w:rPr>
                <w:rFonts w:cs="Arial"/>
                <w:color w:val="FF0000"/>
                <w:sz w:val="21"/>
                <w:szCs w:val="21"/>
              </w:rPr>
            </w:pPr>
          </w:p>
        </w:tc>
        <w:tc>
          <w:tcPr>
            <w:tcW w:w="217" w:type="dxa"/>
          </w:tcPr>
          <w:p w14:paraId="1BEB02D0" w14:textId="77777777" w:rsidR="002C0FD9" w:rsidRPr="00CA25CF" w:rsidRDefault="002C0FD9" w:rsidP="00CA25CF">
            <w:pPr>
              <w:rPr>
                <w:rFonts w:cs="Arial"/>
                <w:color w:val="FF0000"/>
                <w:sz w:val="21"/>
                <w:szCs w:val="21"/>
              </w:rPr>
            </w:pPr>
          </w:p>
        </w:tc>
        <w:tc>
          <w:tcPr>
            <w:tcW w:w="217" w:type="dxa"/>
          </w:tcPr>
          <w:p w14:paraId="21D79EF6" w14:textId="77777777" w:rsidR="002C0FD9" w:rsidRPr="00CA25CF" w:rsidRDefault="002C0FD9" w:rsidP="00CA25CF">
            <w:pPr>
              <w:rPr>
                <w:rFonts w:cs="Arial"/>
                <w:color w:val="FF0000"/>
                <w:sz w:val="21"/>
                <w:szCs w:val="21"/>
              </w:rPr>
            </w:pPr>
          </w:p>
        </w:tc>
        <w:tc>
          <w:tcPr>
            <w:tcW w:w="217" w:type="dxa"/>
          </w:tcPr>
          <w:p w14:paraId="67F9FC16" w14:textId="77777777" w:rsidR="002C0FD9" w:rsidRPr="00CA25CF" w:rsidRDefault="002C0FD9" w:rsidP="00CA25CF">
            <w:pPr>
              <w:rPr>
                <w:rFonts w:cs="Arial"/>
                <w:color w:val="FF0000"/>
                <w:sz w:val="21"/>
                <w:szCs w:val="21"/>
              </w:rPr>
            </w:pPr>
          </w:p>
        </w:tc>
        <w:tc>
          <w:tcPr>
            <w:tcW w:w="217" w:type="dxa"/>
          </w:tcPr>
          <w:p w14:paraId="7C48C516" w14:textId="77777777" w:rsidR="002C0FD9" w:rsidRPr="00CA25CF" w:rsidRDefault="002C0FD9" w:rsidP="00CA25CF">
            <w:pPr>
              <w:rPr>
                <w:rFonts w:cs="Arial"/>
                <w:color w:val="FF0000"/>
                <w:sz w:val="21"/>
                <w:szCs w:val="21"/>
              </w:rPr>
            </w:pPr>
          </w:p>
        </w:tc>
        <w:tc>
          <w:tcPr>
            <w:tcW w:w="217" w:type="dxa"/>
          </w:tcPr>
          <w:p w14:paraId="0EBDC8D1" w14:textId="77777777" w:rsidR="002C0FD9" w:rsidRPr="00CA25CF" w:rsidRDefault="002C0FD9" w:rsidP="00CA25CF">
            <w:pPr>
              <w:rPr>
                <w:rFonts w:cs="Arial"/>
                <w:color w:val="FF0000"/>
                <w:sz w:val="21"/>
                <w:szCs w:val="21"/>
              </w:rPr>
            </w:pPr>
          </w:p>
        </w:tc>
        <w:tc>
          <w:tcPr>
            <w:tcW w:w="217" w:type="dxa"/>
          </w:tcPr>
          <w:p w14:paraId="21CDBC17" w14:textId="77777777" w:rsidR="002C0FD9" w:rsidRPr="00CA25CF" w:rsidRDefault="002C0FD9" w:rsidP="00CA25CF">
            <w:pPr>
              <w:rPr>
                <w:rFonts w:cs="Arial"/>
                <w:color w:val="FF0000"/>
                <w:sz w:val="21"/>
                <w:szCs w:val="21"/>
              </w:rPr>
            </w:pPr>
          </w:p>
        </w:tc>
        <w:tc>
          <w:tcPr>
            <w:tcW w:w="217" w:type="dxa"/>
          </w:tcPr>
          <w:p w14:paraId="6CB580BD" w14:textId="77777777" w:rsidR="002C0FD9" w:rsidRPr="00CA25CF" w:rsidRDefault="002C0FD9" w:rsidP="00CA25CF">
            <w:pPr>
              <w:rPr>
                <w:rFonts w:cs="Arial"/>
                <w:color w:val="FF0000"/>
                <w:sz w:val="21"/>
                <w:szCs w:val="21"/>
              </w:rPr>
            </w:pPr>
          </w:p>
        </w:tc>
        <w:tc>
          <w:tcPr>
            <w:tcW w:w="217" w:type="dxa"/>
          </w:tcPr>
          <w:p w14:paraId="0A18D052" w14:textId="77777777" w:rsidR="002C0FD9" w:rsidRPr="00CA25CF" w:rsidRDefault="002C0FD9" w:rsidP="00CA25CF">
            <w:pPr>
              <w:rPr>
                <w:rFonts w:cs="Arial"/>
                <w:color w:val="FF0000"/>
                <w:sz w:val="21"/>
                <w:szCs w:val="21"/>
              </w:rPr>
            </w:pPr>
          </w:p>
        </w:tc>
        <w:tc>
          <w:tcPr>
            <w:tcW w:w="217" w:type="dxa"/>
          </w:tcPr>
          <w:p w14:paraId="74FC7E6D" w14:textId="77777777" w:rsidR="002C0FD9" w:rsidRPr="00CA25CF" w:rsidRDefault="002C0FD9" w:rsidP="00CA25CF">
            <w:pPr>
              <w:rPr>
                <w:rFonts w:cs="Arial"/>
                <w:color w:val="FF0000"/>
                <w:sz w:val="21"/>
                <w:szCs w:val="21"/>
              </w:rPr>
            </w:pPr>
          </w:p>
        </w:tc>
        <w:tc>
          <w:tcPr>
            <w:tcW w:w="217" w:type="dxa"/>
          </w:tcPr>
          <w:p w14:paraId="158B14FC" w14:textId="77777777" w:rsidR="002C0FD9" w:rsidRPr="00CA25CF" w:rsidRDefault="002C0FD9" w:rsidP="00CA25CF">
            <w:pPr>
              <w:rPr>
                <w:rFonts w:cs="Arial"/>
                <w:color w:val="FF0000"/>
                <w:sz w:val="21"/>
                <w:szCs w:val="21"/>
              </w:rPr>
            </w:pPr>
          </w:p>
        </w:tc>
        <w:tc>
          <w:tcPr>
            <w:tcW w:w="217" w:type="dxa"/>
          </w:tcPr>
          <w:p w14:paraId="13B0C4EB" w14:textId="77777777" w:rsidR="002C0FD9" w:rsidRPr="00CA25CF" w:rsidRDefault="002C0FD9" w:rsidP="00CA25CF">
            <w:pPr>
              <w:rPr>
                <w:rFonts w:cs="Arial"/>
                <w:color w:val="FF0000"/>
                <w:sz w:val="21"/>
                <w:szCs w:val="21"/>
              </w:rPr>
            </w:pPr>
          </w:p>
        </w:tc>
        <w:tc>
          <w:tcPr>
            <w:tcW w:w="217" w:type="dxa"/>
          </w:tcPr>
          <w:p w14:paraId="7F7F15C7" w14:textId="77777777" w:rsidR="002C0FD9" w:rsidRPr="00CA25CF" w:rsidRDefault="002C0FD9" w:rsidP="00CA25CF">
            <w:pPr>
              <w:rPr>
                <w:rFonts w:cs="Arial"/>
                <w:color w:val="FF0000"/>
                <w:sz w:val="21"/>
                <w:szCs w:val="21"/>
              </w:rPr>
            </w:pPr>
          </w:p>
        </w:tc>
        <w:tc>
          <w:tcPr>
            <w:tcW w:w="217" w:type="dxa"/>
          </w:tcPr>
          <w:p w14:paraId="49736C27" w14:textId="77777777" w:rsidR="002C0FD9" w:rsidRPr="00CA25CF" w:rsidRDefault="002C0FD9" w:rsidP="00CA25CF">
            <w:pPr>
              <w:rPr>
                <w:rFonts w:cs="Arial"/>
                <w:color w:val="FF0000"/>
                <w:sz w:val="21"/>
                <w:szCs w:val="21"/>
              </w:rPr>
            </w:pPr>
          </w:p>
        </w:tc>
        <w:tc>
          <w:tcPr>
            <w:tcW w:w="217" w:type="dxa"/>
          </w:tcPr>
          <w:p w14:paraId="6C08ED8E" w14:textId="77777777" w:rsidR="002C0FD9" w:rsidRPr="00CA25CF" w:rsidRDefault="002C0FD9" w:rsidP="00CA25CF">
            <w:pPr>
              <w:rPr>
                <w:rFonts w:cs="Arial"/>
                <w:color w:val="FF0000"/>
                <w:sz w:val="21"/>
                <w:szCs w:val="21"/>
              </w:rPr>
            </w:pPr>
          </w:p>
        </w:tc>
        <w:tc>
          <w:tcPr>
            <w:tcW w:w="217" w:type="dxa"/>
          </w:tcPr>
          <w:p w14:paraId="2D8E552D" w14:textId="77777777" w:rsidR="002C0FD9" w:rsidRPr="00CA25CF" w:rsidRDefault="002C0FD9" w:rsidP="00CA25CF">
            <w:pPr>
              <w:rPr>
                <w:rFonts w:cs="Arial"/>
                <w:color w:val="FF0000"/>
                <w:sz w:val="21"/>
                <w:szCs w:val="21"/>
              </w:rPr>
            </w:pPr>
          </w:p>
        </w:tc>
        <w:tc>
          <w:tcPr>
            <w:tcW w:w="217" w:type="dxa"/>
          </w:tcPr>
          <w:p w14:paraId="48666B1A" w14:textId="77777777" w:rsidR="002C0FD9" w:rsidRPr="00CA25CF" w:rsidRDefault="002C0FD9" w:rsidP="00CA25CF">
            <w:pPr>
              <w:rPr>
                <w:rFonts w:cs="Arial"/>
                <w:color w:val="FF0000"/>
                <w:sz w:val="21"/>
                <w:szCs w:val="21"/>
              </w:rPr>
            </w:pPr>
          </w:p>
        </w:tc>
        <w:tc>
          <w:tcPr>
            <w:tcW w:w="217" w:type="dxa"/>
          </w:tcPr>
          <w:p w14:paraId="1C27906D" w14:textId="77777777" w:rsidR="002C0FD9" w:rsidRPr="00CA25CF" w:rsidRDefault="002C0FD9" w:rsidP="00CA25CF">
            <w:pPr>
              <w:rPr>
                <w:rFonts w:cs="Arial"/>
                <w:color w:val="FF0000"/>
                <w:sz w:val="21"/>
                <w:szCs w:val="21"/>
              </w:rPr>
            </w:pPr>
          </w:p>
        </w:tc>
        <w:tc>
          <w:tcPr>
            <w:tcW w:w="217" w:type="dxa"/>
          </w:tcPr>
          <w:p w14:paraId="34DC601E" w14:textId="77777777" w:rsidR="002C0FD9" w:rsidRPr="00CA25CF" w:rsidRDefault="002C0FD9" w:rsidP="00CA25CF">
            <w:pPr>
              <w:rPr>
                <w:rFonts w:cs="Arial"/>
                <w:color w:val="FF0000"/>
                <w:sz w:val="21"/>
                <w:szCs w:val="21"/>
              </w:rPr>
            </w:pPr>
          </w:p>
        </w:tc>
        <w:tc>
          <w:tcPr>
            <w:tcW w:w="217" w:type="dxa"/>
          </w:tcPr>
          <w:p w14:paraId="0560336C" w14:textId="77777777" w:rsidR="002C0FD9" w:rsidRPr="00CA25CF" w:rsidRDefault="002C0FD9" w:rsidP="00CA25CF">
            <w:pPr>
              <w:rPr>
                <w:rFonts w:cs="Arial"/>
                <w:color w:val="FF0000"/>
                <w:sz w:val="21"/>
                <w:szCs w:val="21"/>
              </w:rPr>
            </w:pPr>
          </w:p>
        </w:tc>
        <w:tc>
          <w:tcPr>
            <w:tcW w:w="217" w:type="dxa"/>
          </w:tcPr>
          <w:p w14:paraId="56A16583" w14:textId="77777777" w:rsidR="002C0FD9" w:rsidRPr="00CA25CF" w:rsidRDefault="002C0FD9" w:rsidP="00CA25CF">
            <w:pPr>
              <w:rPr>
                <w:rFonts w:cs="Arial"/>
                <w:color w:val="FF0000"/>
                <w:sz w:val="21"/>
                <w:szCs w:val="21"/>
              </w:rPr>
            </w:pPr>
          </w:p>
        </w:tc>
        <w:tc>
          <w:tcPr>
            <w:tcW w:w="217" w:type="dxa"/>
          </w:tcPr>
          <w:p w14:paraId="08C04409" w14:textId="77777777" w:rsidR="002C0FD9" w:rsidRPr="00CA25CF" w:rsidRDefault="002C0FD9" w:rsidP="00CA25CF">
            <w:pPr>
              <w:rPr>
                <w:rFonts w:cs="Arial"/>
                <w:color w:val="FF0000"/>
                <w:sz w:val="21"/>
                <w:szCs w:val="21"/>
              </w:rPr>
            </w:pPr>
          </w:p>
        </w:tc>
        <w:tc>
          <w:tcPr>
            <w:tcW w:w="217" w:type="dxa"/>
          </w:tcPr>
          <w:p w14:paraId="52FEC0E5" w14:textId="77777777" w:rsidR="002C0FD9" w:rsidRPr="00CA25CF" w:rsidRDefault="002C0FD9" w:rsidP="00CA25CF">
            <w:pPr>
              <w:rPr>
                <w:rFonts w:cs="Arial"/>
                <w:color w:val="FF0000"/>
                <w:sz w:val="21"/>
                <w:szCs w:val="21"/>
              </w:rPr>
            </w:pPr>
          </w:p>
        </w:tc>
        <w:tc>
          <w:tcPr>
            <w:tcW w:w="217" w:type="dxa"/>
          </w:tcPr>
          <w:p w14:paraId="123AF0CE" w14:textId="77777777" w:rsidR="002C0FD9" w:rsidRPr="00CA25CF" w:rsidRDefault="002C0FD9" w:rsidP="00CA25CF">
            <w:pPr>
              <w:rPr>
                <w:rFonts w:cs="Arial"/>
                <w:color w:val="FF0000"/>
                <w:sz w:val="21"/>
                <w:szCs w:val="21"/>
              </w:rPr>
            </w:pPr>
          </w:p>
        </w:tc>
        <w:tc>
          <w:tcPr>
            <w:tcW w:w="217" w:type="dxa"/>
          </w:tcPr>
          <w:p w14:paraId="7A34B99E" w14:textId="77777777" w:rsidR="002C0FD9" w:rsidRPr="00CA25CF" w:rsidRDefault="002C0FD9" w:rsidP="00CA25CF">
            <w:pPr>
              <w:rPr>
                <w:rFonts w:cs="Arial"/>
                <w:color w:val="FF0000"/>
                <w:sz w:val="21"/>
                <w:szCs w:val="21"/>
              </w:rPr>
            </w:pPr>
          </w:p>
        </w:tc>
        <w:tc>
          <w:tcPr>
            <w:tcW w:w="217" w:type="dxa"/>
          </w:tcPr>
          <w:p w14:paraId="53C1D7BC" w14:textId="77777777" w:rsidR="002C0FD9" w:rsidRPr="00CA25CF" w:rsidRDefault="002C0FD9" w:rsidP="00CA25CF">
            <w:pPr>
              <w:rPr>
                <w:rFonts w:cs="Arial"/>
                <w:color w:val="FF0000"/>
                <w:sz w:val="21"/>
                <w:szCs w:val="21"/>
              </w:rPr>
            </w:pPr>
          </w:p>
        </w:tc>
        <w:tc>
          <w:tcPr>
            <w:tcW w:w="217" w:type="dxa"/>
          </w:tcPr>
          <w:p w14:paraId="4E7E325E" w14:textId="77777777" w:rsidR="002C0FD9" w:rsidRPr="00CA25CF" w:rsidRDefault="002C0FD9" w:rsidP="00CA25CF">
            <w:pPr>
              <w:rPr>
                <w:rFonts w:cs="Arial"/>
                <w:color w:val="FF0000"/>
                <w:sz w:val="21"/>
                <w:szCs w:val="21"/>
              </w:rPr>
            </w:pPr>
          </w:p>
        </w:tc>
        <w:tc>
          <w:tcPr>
            <w:tcW w:w="217" w:type="dxa"/>
          </w:tcPr>
          <w:p w14:paraId="5A5F2FA4" w14:textId="77777777" w:rsidR="002C0FD9" w:rsidRPr="00CA25CF" w:rsidRDefault="002C0FD9" w:rsidP="00CA25CF">
            <w:pPr>
              <w:rPr>
                <w:rFonts w:cs="Arial"/>
                <w:color w:val="FF0000"/>
                <w:sz w:val="21"/>
                <w:szCs w:val="21"/>
              </w:rPr>
            </w:pPr>
          </w:p>
        </w:tc>
        <w:tc>
          <w:tcPr>
            <w:tcW w:w="217" w:type="dxa"/>
          </w:tcPr>
          <w:p w14:paraId="10B38B36" w14:textId="77777777" w:rsidR="002C0FD9" w:rsidRPr="00CA25CF" w:rsidRDefault="002C0FD9" w:rsidP="00CA25CF">
            <w:pPr>
              <w:rPr>
                <w:rFonts w:cs="Arial"/>
                <w:color w:val="FF0000"/>
                <w:sz w:val="21"/>
                <w:szCs w:val="21"/>
              </w:rPr>
            </w:pPr>
          </w:p>
        </w:tc>
        <w:tc>
          <w:tcPr>
            <w:tcW w:w="217" w:type="dxa"/>
          </w:tcPr>
          <w:p w14:paraId="52F047EB" w14:textId="77777777" w:rsidR="002C0FD9" w:rsidRPr="00CA25CF" w:rsidRDefault="002C0FD9" w:rsidP="00CA25CF">
            <w:pPr>
              <w:rPr>
                <w:rFonts w:cs="Arial"/>
                <w:color w:val="FF0000"/>
                <w:sz w:val="21"/>
                <w:szCs w:val="21"/>
              </w:rPr>
            </w:pPr>
          </w:p>
        </w:tc>
        <w:tc>
          <w:tcPr>
            <w:tcW w:w="217" w:type="dxa"/>
          </w:tcPr>
          <w:p w14:paraId="6703F024" w14:textId="77777777" w:rsidR="002C0FD9" w:rsidRPr="00CA25CF" w:rsidRDefault="002C0FD9" w:rsidP="00CA25CF">
            <w:pPr>
              <w:rPr>
                <w:rFonts w:cs="Arial"/>
                <w:color w:val="FF0000"/>
                <w:sz w:val="21"/>
                <w:szCs w:val="21"/>
              </w:rPr>
            </w:pPr>
          </w:p>
        </w:tc>
        <w:tc>
          <w:tcPr>
            <w:tcW w:w="217" w:type="dxa"/>
          </w:tcPr>
          <w:p w14:paraId="1D2072E4" w14:textId="77777777" w:rsidR="002C0FD9" w:rsidRPr="00CA25CF" w:rsidRDefault="002C0FD9" w:rsidP="00CA25CF">
            <w:pPr>
              <w:rPr>
                <w:rFonts w:cs="Arial"/>
                <w:color w:val="FF0000"/>
                <w:sz w:val="21"/>
                <w:szCs w:val="21"/>
              </w:rPr>
            </w:pPr>
          </w:p>
        </w:tc>
        <w:tc>
          <w:tcPr>
            <w:tcW w:w="217" w:type="dxa"/>
          </w:tcPr>
          <w:p w14:paraId="00E45831" w14:textId="77777777" w:rsidR="002C0FD9" w:rsidRPr="00CA25CF" w:rsidRDefault="002C0FD9" w:rsidP="00CA25CF">
            <w:pPr>
              <w:rPr>
                <w:rFonts w:cs="Arial"/>
                <w:color w:val="FF0000"/>
                <w:sz w:val="21"/>
                <w:szCs w:val="21"/>
              </w:rPr>
            </w:pPr>
          </w:p>
        </w:tc>
        <w:tc>
          <w:tcPr>
            <w:tcW w:w="217" w:type="dxa"/>
          </w:tcPr>
          <w:p w14:paraId="53180E97" w14:textId="77777777" w:rsidR="002C0FD9" w:rsidRPr="00CA25CF" w:rsidRDefault="002C0FD9" w:rsidP="00CA25CF">
            <w:pPr>
              <w:rPr>
                <w:rFonts w:cs="Arial"/>
                <w:color w:val="FF0000"/>
                <w:sz w:val="21"/>
                <w:szCs w:val="21"/>
              </w:rPr>
            </w:pPr>
          </w:p>
        </w:tc>
        <w:tc>
          <w:tcPr>
            <w:tcW w:w="217" w:type="dxa"/>
          </w:tcPr>
          <w:p w14:paraId="5CF498F0" w14:textId="77777777" w:rsidR="002C0FD9" w:rsidRPr="00CA25CF" w:rsidRDefault="002C0FD9" w:rsidP="00CA25CF">
            <w:pPr>
              <w:rPr>
                <w:rFonts w:cs="Arial"/>
                <w:color w:val="FF0000"/>
                <w:sz w:val="21"/>
                <w:szCs w:val="21"/>
              </w:rPr>
            </w:pPr>
          </w:p>
        </w:tc>
        <w:tc>
          <w:tcPr>
            <w:tcW w:w="217" w:type="dxa"/>
          </w:tcPr>
          <w:p w14:paraId="2E9C0B93" w14:textId="77777777" w:rsidR="002C0FD9" w:rsidRPr="00CA25CF" w:rsidRDefault="002C0FD9" w:rsidP="00CA25CF">
            <w:pPr>
              <w:rPr>
                <w:rFonts w:cs="Arial"/>
                <w:color w:val="FF0000"/>
                <w:sz w:val="21"/>
                <w:szCs w:val="21"/>
              </w:rPr>
            </w:pPr>
          </w:p>
        </w:tc>
      </w:tr>
      <w:tr w:rsidR="002C0FD9" w:rsidRPr="00A16219" w14:paraId="5FD45D2A" w14:textId="77777777" w:rsidTr="002C0FD9">
        <w:trPr>
          <w:trHeight w:val="635"/>
        </w:trPr>
        <w:tc>
          <w:tcPr>
            <w:tcW w:w="515" w:type="dxa"/>
          </w:tcPr>
          <w:p w14:paraId="2594DEA8" w14:textId="77777777" w:rsidR="002C0FD9" w:rsidRPr="00CA25CF" w:rsidRDefault="002C0FD9" w:rsidP="00CA25CF">
            <w:pPr>
              <w:rPr>
                <w:rFonts w:cs="Arial"/>
                <w:color w:val="FF0000"/>
                <w:sz w:val="21"/>
                <w:szCs w:val="21"/>
              </w:rPr>
            </w:pPr>
          </w:p>
        </w:tc>
        <w:tc>
          <w:tcPr>
            <w:tcW w:w="217" w:type="dxa"/>
          </w:tcPr>
          <w:p w14:paraId="5B2E87A1" w14:textId="77777777" w:rsidR="002C0FD9" w:rsidRPr="00CA25CF" w:rsidRDefault="002C0FD9" w:rsidP="00CA25CF">
            <w:pPr>
              <w:rPr>
                <w:rFonts w:cs="Arial"/>
                <w:color w:val="FF0000"/>
                <w:sz w:val="21"/>
                <w:szCs w:val="21"/>
              </w:rPr>
            </w:pPr>
          </w:p>
        </w:tc>
        <w:tc>
          <w:tcPr>
            <w:tcW w:w="217" w:type="dxa"/>
          </w:tcPr>
          <w:p w14:paraId="231618F6" w14:textId="77777777" w:rsidR="002C0FD9" w:rsidRPr="00CA25CF" w:rsidRDefault="002C0FD9" w:rsidP="00CA25CF">
            <w:pPr>
              <w:rPr>
                <w:rFonts w:cs="Arial"/>
                <w:color w:val="FF0000"/>
                <w:sz w:val="21"/>
                <w:szCs w:val="21"/>
              </w:rPr>
            </w:pPr>
          </w:p>
        </w:tc>
        <w:tc>
          <w:tcPr>
            <w:tcW w:w="217" w:type="dxa"/>
          </w:tcPr>
          <w:p w14:paraId="21C8574E" w14:textId="77777777" w:rsidR="002C0FD9" w:rsidRPr="00CA25CF" w:rsidRDefault="002C0FD9" w:rsidP="00CA25CF">
            <w:pPr>
              <w:rPr>
                <w:rFonts w:cs="Arial"/>
                <w:color w:val="FF0000"/>
                <w:sz w:val="21"/>
                <w:szCs w:val="21"/>
              </w:rPr>
            </w:pPr>
          </w:p>
        </w:tc>
        <w:tc>
          <w:tcPr>
            <w:tcW w:w="217" w:type="dxa"/>
          </w:tcPr>
          <w:p w14:paraId="1DCA1F2F" w14:textId="77777777" w:rsidR="002C0FD9" w:rsidRPr="00CA25CF" w:rsidRDefault="002C0FD9" w:rsidP="00CA25CF">
            <w:pPr>
              <w:rPr>
                <w:rFonts w:cs="Arial"/>
                <w:color w:val="FF0000"/>
                <w:sz w:val="21"/>
                <w:szCs w:val="21"/>
              </w:rPr>
            </w:pPr>
          </w:p>
        </w:tc>
        <w:tc>
          <w:tcPr>
            <w:tcW w:w="217" w:type="dxa"/>
          </w:tcPr>
          <w:p w14:paraId="6E1B0B5D" w14:textId="77777777" w:rsidR="002C0FD9" w:rsidRPr="00CA25CF" w:rsidRDefault="002C0FD9" w:rsidP="00CA25CF">
            <w:pPr>
              <w:rPr>
                <w:rFonts w:cs="Arial"/>
                <w:color w:val="FF0000"/>
                <w:sz w:val="21"/>
                <w:szCs w:val="21"/>
              </w:rPr>
            </w:pPr>
          </w:p>
        </w:tc>
        <w:tc>
          <w:tcPr>
            <w:tcW w:w="217" w:type="dxa"/>
          </w:tcPr>
          <w:p w14:paraId="1E8FDEF5" w14:textId="77777777" w:rsidR="002C0FD9" w:rsidRPr="00CA25CF" w:rsidRDefault="002C0FD9" w:rsidP="00CA25CF">
            <w:pPr>
              <w:rPr>
                <w:rFonts w:cs="Arial"/>
                <w:color w:val="FF0000"/>
                <w:sz w:val="21"/>
                <w:szCs w:val="21"/>
              </w:rPr>
            </w:pPr>
          </w:p>
        </w:tc>
        <w:tc>
          <w:tcPr>
            <w:tcW w:w="217" w:type="dxa"/>
          </w:tcPr>
          <w:p w14:paraId="10690D56" w14:textId="77777777" w:rsidR="002C0FD9" w:rsidRPr="00CA25CF" w:rsidRDefault="002C0FD9" w:rsidP="00CA25CF">
            <w:pPr>
              <w:rPr>
                <w:rFonts w:cs="Arial"/>
                <w:color w:val="FF0000"/>
                <w:sz w:val="21"/>
                <w:szCs w:val="21"/>
              </w:rPr>
            </w:pPr>
          </w:p>
        </w:tc>
        <w:tc>
          <w:tcPr>
            <w:tcW w:w="217" w:type="dxa"/>
          </w:tcPr>
          <w:p w14:paraId="293155CA" w14:textId="77777777" w:rsidR="002C0FD9" w:rsidRPr="00CA25CF" w:rsidRDefault="002C0FD9" w:rsidP="00CA25CF">
            <w:pPr>
              <w:rPr>
                <w:rFonts w:cs="Arial"/>
                <w:color w:val="FF0000"/>
                <w:sz w:val="21"/>
                <w:szCs w:val="21"/>
              </w:rPr>
            </w:pPr>
          </w:p>
        </w:tc>
        <w:tc>
          <w:tcPr>
            <w:tcW w:w="217" w:type="dxa"/>
          </w:tcPr>
          <w:p w14:paraId="64B4ED0A" w14:textId="77777777" w:rsidR="002C0FD9" w:rsidRPr="00CA25CF" w:rsidRDefault="002C0FD9" w:rsidP="00CA25CF">
            <w:pPr>
              <w:rPr>
                <w:rFonts w:cs="Arial"/>
                <w:color w:val="FF0000"/>
                <w:sz w:val="21"/>
                <w:szCs w:val="21"/>
              </w:rPr>
            </w:pPr>
          </w:p>
        </w:tc>
        <w:tc>
          <w:tcPr>
            <w:tcW w:w="217" w:type="dxa"/>
          </w:tcPr>
          <w:p w14:paraId="0BF67D7D" w14:textId="77777777" w:rsidR="002C0FD9" w:rsidRPr="00CA25CF" w:rsidRDefault="002C0FD9" w:rsidP="00CA25CF">
            <w:pPr>
              <w:rPr>
                <w:rFonts w:cs="Arial"/>
                <w:color w:val="FF0000"/>
                <w:sz w:val="21"/>
                <w:szCs w:val="21"/>
              </w:rPr>
            </w:pPr>
          </w:p>
        </w:tc>
        <w:tc>
          <w:tcPr>
            <w:tcW w:w="217" w:type="dxa"/>
          </w:tcPr>
          <w:p w14:paraId="0A38EA9F" w14:textId="77777777" w:rsidR="002C0FD9" w:rsidRPr="00CA25CF" w:rsidRDefault="002C0FD9" w:rsidP="00CA25CF">
            <w:pPr>
              <w:rPr>
                <w:rFonts w:cs="Arial"/>
                <w:color w:val="FF0000"/>
                <w:sz w:val="21"/>
                <w:szCs w:val="21"/>
              </w:rPr>
            </w:pPr>
          </w:p>
        </w:tc>
        <w:tc>
          <w:tcPr>
            <w:tcW w:w="217" w:type="dxa"/>
          </w:tcPr>
          <w:p w14:paraId="448D90CE" w14:textId="77777777" w:rsidR="002C0FD9" w:rsidRPr="00CA25CF" w:rsidRDefault="002C0FD9" w:rsidP="00CA25CF">
            <w:pPr>
              <w:rPr>
                <w:rFonts w:cs="Arial"/>
                <w:color w:val="FF0000"/>
                <w:sz w:val="21"/>
                <w:szCs w:val="21"/>
              </w:rPr>
            </w:pPr>
          </w:p>
        </w:tc>
        <w:tc>
          <w:tcPr>
            <w:tcW w:w="217" w:type="dxa"/>
          </w:tcPr>
          <w:p w14:paraId="05F90DC6" w14:textId="77777777" w:rsidR="002C0FD9" w:rsidRPr="00CA25CF" w:rsidRDefault="002C0FD9" w:rsidP="00CA25CF">
            <w:pPr>
              <w:rPr>
                <w:rFonts w:cs="Arial"/>
                <w:color w:val="FF0000"/>
                <w:sz w:val="21"/>
                <w:szCs w:val="21"/>
              </w:rPr>
            </w:pPr>
          </w:p>
        </w:tc>
        <w:tc>
          <w:tcPr>
            <w:tcW w:w="217" w:type="dxa"/>
          </w:tcPr>
          <w:p w14:paraId="3E921DBA" w14:textId="77777777" w:rsidR="002C0FD9" w:rsidRPr="00CA25CF" w:rsidRDefault="002C0FD9" w:rsidP="00CA25CF">
            <w:pPr>
              <w:rPr>
                <w:rFonts w:cs="Arial"/>
                <w:color w:val="FF0000"/>
                <w:sz w:val="21"/>
                <w:szCs w:val="21"/>
              </w:rPr>
            </w:pPr>
          </w:p>
        </w:tc>
        <w:tc>
          <w:tcPr>
            <w:tcW w:w="217" w:type="dxa"/>
          </w:tcPr>
          <w:p w14:paraId="068B3646" w14:textId="77777777" w:rsidR="002C0FD9" w:rsidRPr="00CA25CF" w:rsidRDefault="002C0FD9" w:rsidP="00CA25CF">
            <w:pPr>
              <w:rPr>
                <w:rFonts w:cs="Arial"/>
                <w:color w:val="FF0000"/>
                <w:sz w:val="21"/>
                <w:szCs w:val="21"/>
              </w:rPr>
            </w:pPr>
          </w:p>
        </w:tc>
        <w:tc>
          <w:tcPr>
            <w:tcW w:w="217" w:type="dxa"/>
          </w:tcPr>
          <w:p w14:paraId="25ADDCC5" w14:textId="77777777" w:rsidR="002C0FD9" w:rsidRPr="00CA25CF" w:rsidRDefault="002C0FD9" w:rsidP="00CA25CF">
            <w:pPr>
              <w:rPr>
                <w:rFonts w:cs="Arial"/>
                <w:color w:val="FF0000"/>
                <w:sz w:val="21"/>
                <w:szCs w:val="21"/>
              </w:rPr>
            </w:pPr>
          </w:p>
        </w:tc>
        <w:tc>
          <w:tcPr>
            <w:tcW w:w="217" w:type="dxa"/>
          </w:tcPr>
          <w:p w14:paraId="19FB3408" w14:textId="77777777" w:rsidR="002C0FD9" w:rsidRPr="00CA25CF" w:rsidRDefault="002C0FD9" w:rsidP="00CA25CF">
            <w:pPr>
              <w:rPr>
                <w:rFonts w:cs="Arial"/>
                <w:color w:val="FF0000"/>
                <w:sz w:val="21"/>
                <w:szCs w:val="21"/>
              </w:rPr>
            </w:pPr>
          </w:p>
        </w:tc>
        <w:tc>
          <w:tcPr>
            <w:tcW w:w="217" w:type="dxa"/>
          </w:tcPr>
          <w:p w14:paraId="5507CECD" w14:textId="77777777" w:rsidR="002C0FD9" w:rsidRPr="00CA25CF" w:rsidRDefault="002C0FD9" w:rsidP="00CA25CF">
            <w:pPr>
              <w:rPr>
                <w:rFonts w:cs="Arial"/>
                <w:color w:val="FF0000"/>
                <w:sz w:val="21"/>
                <w:szCs w:val="21"/>
              </w:rPr>
            </w:pPr>
          </w:p>
        </w:tc>
        <w:tc>
          <w:tcPr>
            <w:tcW w:w="217" w:type="dxa"/>
          </w:tcPr>
          <w:p w14:paraId="27957BA5" w14:textId="77777777" w:rsidR="002C0FD9" w:rsidRPr="00CA25CF" w:rsidRDefault="002C0FD9" w:rsidP="00CA25CF">
            <w:pPr>
              <w:rPr>
                <w:rFonts w:cs="Arial"/>
                <w:color w:val="FF0000"/>
                <w:sz w:val="21"/>
                <w:szCs w:val="21"/>
              </w:rPr>
            </w:pPr>
          </w:p>
        </w:tc>
        <w:tc>
          <w:tcPr>
            <w:tcW w:w="217" w:type="dxa"/>
          </w:tcPr>
          <w:p w14:paraId="2CB5355F" w14:textId="77777777" w:rsidR="002C0FD9" w:rsidRPr="00CA25CF" w:rsidRDefault="002C0FD9" w:rsidP="00CA25CF">
            <w:pPr>
              <w:rPr>
                <w:rFonts w:cs="Arial"/>
                <w:color w:val="FF0000"/>
                <w:sz w:val="21"/>
                <w:szCs w:val="21"/>
              </w:rPr>
            </w:pPr>
          </w:p>
        </w:tc>
        <w:tc>
          <w:tcPr>
            <w:tcW w:w="217" w:type="dxa"/>
          </w:tcPr>
          <w:p w14:paraId="3ECD3B7A" w14:textId="77777777" w:rsidR="002C0FD9" w:rsidRPr="00CA25CF" w:rsidRDefault="002C0FD9" w:rsidP="00CA25CF">
            <w:pPr>
              <w:rPr>
                <w:rFonts w:cs="Arial"/>
                <w:color w:val="FF0000"/>
                <w:sz w:val="21"/>
                <w:szCs w:val="21"/>
              </w:rPr>
            </w:pPr>
          </w:p>
        </w:tc>
        <w:tc>
          <w:tcPr>
            <w:tcW w:w="217" w:type="dxa"/>
          </w:tcPr>
          <w:p w14:paraId="626F9979" w14:textId="77777777" w:rsidR="002C0FD9" w:rsidRPr="00CA25CF" w:rsidRDefault="002C0FD9" w:rsidP="00CA25CF">
            <w:pPr>
              <w:rPr>
                <w:rFonts w:cs="Arial"/>
                <w:color w:val="FF0000"/>
                <w:sz w:val="21"/>
                <w:szCs w:val="21"/>
              </w:rPr>
            </w:pPr>
          </w:p>
        </w:tc>
        <w:tc>
          <w:tcPr>
            <w:tcW w:w="217" w:type="dxa"/>
          </w:tcPr>
          <w:p w14:paraId="6E5FB535" w14:textId="77777777" w:rsidR="002C0FD9" w:rsidRPr="00CA25CF" w:rsidRDefault="002C0FD9" w:rsidP="00CA25CF">
            <w:pPr>
              <w:rPr>
                <w:rFonts w:cs="Arial"/>
                <w:color w:val="FF0000"/>
                <w:sz w:val="21"/>
                <w:szCs w:val="21"/>
              </w:rPr>
            </w:pPr>
          </w:p>
        </w:tc>
        <w:tc>
          <w:tcPr>
            <w:tcW w:w="217" w:type="dxa"/>
          </w:tcPr>
          <w:p w14:paraId="68B7B4ED" w14:textId="77777777" w:rsidR="002C0FD9" w:rsidRPr="00CA25CF" w:rsidRDefault="002C0FD9" w:rsidP="00CA25CF">
            <w:pPr>
              <w:rPr>
                <w:rFonts w:cs="Arial"/>
                <w:color w:val="FF0000"/>
                <w:sz w:val="21"/>
                <w:szCs w:val="21"/>
              </w:rPr>
            </w:pPr>
          </w:p>
        </w:tc>
        <w:tc>
          <w:tcPr>
            <w:tcW w:w="217" w:type="dxa"/>
          </w:tcPr>
          <w:p w14:paraId="6AA4DFE8" w14:textId="77777777" w:rsidR="002C0FD9" w:rsidRPr="00CA25CF" w:rsidRDefault="002C0FD9" w:rsidP="00CA25CF">
            <w:pPr>
              <w:rPr>
                <w:rFonts w:cs="Arial"/>
                <w:color w:val="FF0000"/>
                <w:sz w:val="21"/>
                <w:szCs w:val="21"/>
              </w:rPr>
            </w:pPr>
          </w:p>
        </w:tc>
        <w:tc>
          <w:tcPr>
            <w:tcW w:w="217" w:type="dxa"/>
          </w:tcPr>
          <w:p w14:paraId="522EB221" w14:textId="77777777" w:rsidR="002C0FD9" w:rsidRPr="00CA25CF" w:rsidRDefault="002C0FD9" w:rsidP="00CA25CF">
            <w:pPr>
              <w:rPr>
                <w:rFonts w:cs="Arial"/>
                <w:color w:val="FF0000"/>
                <w:sz w:val="21"/>
                <w:szCs w:val="21"/>
              </w:rPr>
            </w:pPr>
          </w:p>
        </w:tc>
        <w:tc>
          <w:tcPr>
            <w:tcW w:w="217" w:type="dxa"/>
          </w:tcPr>
          <w:p w14:paraId="64747693" w14:textId="77777777" w:rsidR="002C0FD9" w:rsidRPr="00CA25CF" w:rsidRDefault="002C0FD9" w:rsidP="00CA25CF">
            <w:pPr>
              <w:rPr>
                <w:rFonts w:cs="Arial"/>
                <w:color w:val="FF0000"/>
                <w:sz w:val="21"/>
                <w:szCs w:val="21"/>
              </w:rPr>
            </w:pPr>
          </w:p>
        </w:tc>
        <w:tc>
          <w:tcPr>
            <w:tcW w:w="217" w:type="dxa"/>
          </w:tcPr>
          <w:p w14:paraId="62F5D664" w14:textId="77777777" w:rsidR="002C0FD9" w:rsidRPr="00CA25CF" w:rsidRDefault="002C0FD9" w:rsidP="00CA25CF">
            <w:pPr>
              <w:rPr>
                <w:rFonts w:cs="Arial"/>
                <w:color w:val="FF0000"/>
                <w:sz w:val="21"/>
                <w:szCs w:val="21"/>
              </w:rPr>
            </w:pPr>
          </w:p>
        </w:tc>
        <w:tc>
          <w:tcPr>
            <w:tcW w:w="217" w:type="dxa"/>
          </w:tcPr>
          <w:p w14:paraId="0C2EB73D" w14:textId="77777777" w:rsidR="002C0FD9" w:rsidRPr="00CA25CF" w:rsidRDefault="002C0FD9" w:rsidP="00CA25CF">
            <w:pPr>
              <w:rPr>
                <w:rFonts w:cs="Arial"/>
                <w:color w:val="FF0000"/>
                <w:sz w:val="21"/>
                <w:szCs w:val="21"/>
              </w:rPr>
            </w:pPr>
          </w:p>
        </w:tc>
        <w:tc>
          <w:tcPr>
            <w:tcW w:w="217" w:type="dxa"/>
          </w:tcPr>
          <w:p w14:paraId="77384AC4" w14:textId="77777777" w:rsidR="002C0FD9" w:rsidRPr="00CA25CF" w:rsidRDefault="002C0FD9" w:rsidP="00CA25CF">
            <w:pPr>
              <w:rPr>
                <w:rFonts w:cs="Arial"/>
                <w:color w:val="FF0000"/>
                <w:sz w:val="21"/>
                <w:szCs w:val="21"/>
              </w:rPr>
            </w:pPr>
          </w:p>
        </w:tc>
        <w:tc>
          <w:tcPr>
            <w:tcW w:w="217" w:type="dxa"/>
          </w:tcPr>
          <w:p w14:paraId="45993677" w14:textId="77777777" w:rsidR="002C0FD9" w:rsidRPr="00CA25CF" w:rsidRDefault="002C0FD9" w:rsidP="00CA25CF">
            <w:pPr>
              <w:rPr>
                <w:rFonts w:cs="Arial"/>
                <w:color w:val="FF0000"/>
                <w:sz w:val="21"/>
                <w:szCs w:val="21"/>
              </w:rPr>
            </w:pPr>
          </w:p>
        </w:tc>
        <w:tc>
          <w:tcPr>
            <w:tcW w:w="217" w:type="dxa"/>
          </w:tcPr>
          <w:p w14:paraId="21CB5769" w14:textId="77777777" w:rsidR="002C0FD9" w:rsidRPr="00CA25CF" w:rsidRDefault="002C0FD9" w:rsidP="00CA25CF">
            <w:pPr>
              <w:rPr>
                <w:rFonts w:cs="Arial"/>
                <w:color w:val="FF0000"/>
                <w:sz w:val="21"/>
                <w:szCs w:val="21"/>
              </w:rPr>
            </w:pPr>
          </w:p>
        </w:tc>
        <w:tc>
          <w:tcPr>
            <w:tcW w:w="217" w:type="dxa"/>
          </w:tcPr>
          <w:p w14:paraId="10E52B5E" w14:textId="77777777" w:rsidR="002C0FD9" w:rsidRPr="00CA25CF" w:rsidRDefault="002C0FD9" w:rsidP="00CA25CF">
            <w:pPr>
              <w:rPr>
                <w:rFonts w:cs="Arial"/>
                <w:color w:val="FF0000"/>
                <w:sz w:val="21"/>
                <w:szCs w:val="21"/>
              </w:rPr>
            </w:pPr>
          </w:p>
        </w:tc>
        <w:tc>
          <w:tcPr>
            <w:tcW w:w="217" w:type="dxa"/>
          </w:tcPr>
          <w:p w14:paraId="42BD6EEB" w14:textId="77777777" w:rsidR="002C0FD9" w:rsidRPr="00CA25CF" w:rsidRDefault="002C0FD9" w:rsidP="00CA25CF">
            <w:pPr>
              <w:rPr>
                <w:rFonts w:cs="Arial"/>
                <w:color w:val="FF0000"/>
                <w:sz w:val="21"/>
                <w:szCs w:val="21"/>
              </w:rPr>
            </w:pPr>
          </w:p>
        </w:tc>
        <w:tc>
          <w:tcPr>
            <w:tcW w:w="217" w:type="dxa"/>
          </w:tcPr>
          <w:p w14:paraId="785508EE" w14:textId="77777777" w:rsidR="002C0FD9" w:rsidRPr="00CA25CF" w:rsidRDefault="002C0FD9" w:rsidP="00CA25CF">
            <w:pPr>
              <w:rPr>
                <w:rFonts w:cs="Arial"/>
                <w:color w:val="FF0000"/>
                <w:sz w:val="21"/>
                <w:szCs w:val="21"/>
              </w:rPr>
            </w:pPr>
          </w:p>
        </w:tc>
        <w:tc>
          <w:tcPr>
            <w:tcW w:w="217" w:type="dxa"/>
          </w:tcPr>
          <w:p w14:paraId="71449150" w14:textId="77777777" w:rsidR="002C0FD9" w:rsidRPr="00CA25CF" w:rsidRDefault="002C0FD9" w:rsidP="00CA25CF">
            <w:pPr>
              <w:rPr>
                <w:rFonts w:cs="Arial"/>
                <w:color w:val="FF0000"/>
                <w:sz w:val="21"/>
                <w:szCs w:val="21"/>
              </w:rPr>
            </w:pPr>
          </w:p>
        </w:tc>
        <w:tc>
          <w:tcPr>
            <w:tcW w:w="217" w:type="dxa"/>
          </w:tcPr>
          <w:p w14:paraId="6E8797D4" w14:textId="77777777" w:rsidR="002C0FD9" w:rsidRPr="00CA25CF" w:rsidRDefault="002C0FD9" w:rsidP="00CA25CF">
            <w:pPr>
              <w:rPr>
                <w:rFonts w:cs="Arial"/>
                <w:color w:val="FF0000"/>
                <w:sz w:val="21"/>
                <w:szCs w:val="21"/>
              </w:rPr>
            </w:pPr>
          </w:p>
        </w:tc>
        <w:tc>
          <w:tcPr>
            <w:tcW w:w="217" w:type="dxa"/>
          </w:tcPr>
          <w:p w14:paraId="62D8A443" w14:textId="77777777" w:rsidR="002C0FD9" w:rsidRPr="00CA25CF" w:rsidRDefault="002C0FD9" w:rsidP="00CA25CF">
            <w:pPr>
              <w:rPr>
                <w:rFonts w:cs="Arial"/>
                <w:color w:val="FF0000"/>
                <w:sz w:val="21"/>
                <w:szCs w:val="21"/>
              </w:rPr>
            </w:pPr>
          </w:p>
        </w:tc>
        <w:tc>
          <w:tcPr>
            <w:tcW w:w="217" w:type="dxa"/>
          </w:tcPr>
          <w:p w14:paraId="2C228F1C" w14:textId="77777777" w:rsidR="002C0FD9" w:rsidRPr="00CA25CF" w:rsidRDefault="002C0FD9" w:rsidP="00CA25CF">
            <w:pPr>
              <w:rPr>
                <w:rFonts w:cs="Arial"/>
                <w:color w:val="FF0000"/>
                <w:sz w:val="21"/>
                <w:szCs w:val="21"/>
              </w:rPr>
            </w:pPr>
          </w:p>
        </w:tc>
        <w:tc>
          <w:tcPr>
            <w:tcW w:w="217" w:type="dxa"/>
          </w:tcPr>
          <w:p w14:paraId="44D8E6CF" w14:textId="77777777" w:rsidR="002C0FD9" w:rsidRPr="00CA25CF" w:rsidRDefault="002C0FD9" w:rsidP="00CA25CF">
            <w:pPr>
              <w:rPr>
                <w:rFonts w:cs="Arial"/>
                <w:color w:val="FF0000"/>
                <w:sz w:val="21"/>
                <w:szCs w:val="21"/>
              </w:rPr>
            </w:pPr>
          </w:p>
        </w:tc>
        <w:tc>
          <w:tcPr>
            <w:tcW w:w="217" w:type="dxa"/>
          </w:tcPr>
          <w:p w14:paraId="501B7189" w14:textId="77777777" w:rsidR="002C0FD9" w:rsidRPr="00CA25CF" w:rsidRDefault="002C0FD9" w:rsidP="00CA25CF">
            <w:pPr>
              <w:rPr>
                <w:rFonts w:cs="Arial"/>
                <w:color w:val="FF0000"/>
                <w:sz w:val="21"/>
                <w:szCs w:val="21"/>
              </w:rPr>
            </w:pPr>
          </w:p>
        </w:tc>
        <w:tc>
          <w:tcPr>
            <w:tcW w:w="217" w:type="dxa"/>
          </w:tcPr>
          <w:p w14:paraId="47DF628C" w14:textId="77777777" w:rsidR="002C0FD9" w:rsidRPr="00CA25CF" w:rsidRDefault="002C0FD9" w:rsidP="00CA25CF">
            <w:pPr>
              <w:rPr>
                <w:rFonts w:cs="Arial"/>
                <w:color w:val="FF0000"/>
                <w:sz w:val="21"/>
                <w:szCs w:val="21"/>
              </w:rPr>
            </w:pPr>
          </w:p>
        </w:tc>
      </w:tr>
      <w:tr w:rsidR="002C0FD9" w:rsidRPr="00A16219" w14:paraId="786D6438" w14:textId="77777777" w:rsidTr="002C0FD9">
        <w:trPr>
          <w:trHeight w:val="635"/>
        </w:trPr>
        <w:tc>
          <w:tcPr>
            <w:tcW w:w="515" w:type="dxa"/>
          </w:tcPr>
          <w:p w14:paraId="7106F8F5" w14:textId="77777777" w:rsidR="002C0FD9" w:rsidRPr="00CA25CF" w:rsidRDefault="002C0FD9" w:rsidP="00CA25CF">
            <w:pPr>
              <w:rPr>
                <w:rFonts w:cs="Arial"/>
                <w:color w:val="FF0000"/>
                <w:sz w:val="21"/>
                <w:szCs w:val="21"/>
              </w:rPr>
            </w:pPr>
          </w:p>
        </w:tc>
        <w:tc>
          <w:tcPr>
            <w:tcW w:w="217" w:type="dxa"/>
          </w:tcPr>
          <w:p w14:paraId="3389D401" w14:textId="77777777" w:rsidR="002C0FD9" w:rsidRPr="00CA25CF" w:rsidRDefault="002C0FD9" w:rsidP="00CA25CF">
            <w:pPr>
              <w:rPr>
                <w:rFonts w:cs="Arial"/>
                <w:color w:val="FF0000"/>
                <w:sz w:val="21"/>
                <w:szCs w:val="21"/>
              </w:rPr>
            </w:pPr>
          </w:p>
        </w:tc>
        <w:tc>
          <w:tcPr>
            <w:tcW w:w="217" w:type="dxa"/>
          </w:tcPr>
          <w:p w14:paraId="4996EDB9" w14:textId="77777777" w:rsidR="002C0FD9" w:rsidRPr="00CA25CF" w:rsidRDefault="002C0FD9" w:rsidP="00CA25CF">
            <w:pPr>
              <w:rPr>
                <w:rFonts w:cs="Arial"/>
                <w:color w:val="FF0000"/>
                <w:sz w:val="21"/>
                <w:szCs w:val="21"/>
              </w:rPr>
            </w:pPr>
          </w:p>
        </w:tc>
        <w:tc>
          <w:tcPr>
            <w:tcW w:w="217" w:type="dxa"/>
          </w:tcPr>
          <w:p w14:paraId="3E2AB75C" w14:textId="77777777" w:rsidR="002C0FD9" w:rsidRPr="00CA25CF" w:rsidRDefault="002C0FD9" w:rsidP="00CA25CF">
            <w:pPr>
              <w:rPr>
                <w:rFonts w:cs="Arial"/>
                <w:color w:val="FF0000"/>
                <w:sz w:val="21"/>
                <w:szCs w:val="21"/>
              </w:rPr>
            </w:pPr>
          </w:p>
        </w:tc>
        <w:tc>
          <w:tcPr>
            <w:tcW w:w="217" w:type="dxa"/>
          </w:tcPr>
          <w:p w14:paraId="07C92682" w14:textId="77777777" w:rsidR="002C0FD9" w:rsidRPr="00CA25CF" w:rsidRDefault="002C0FD9" w:rsidP="00CA25CF">
            <w:pPr>
              <w:rPr>
                <w:rFonts w:cs="Arial"/>
                <w:color w:val="FF0000"/>
                <w:sz w:val="21"/>
                <w:szCs w:val="21"/>
              </w:rPr>
            </w:pPr>
          </w:p>
        </w:tc>
        <w:tc>
          <w:tcPr>
            <w:tcW w:w="217" w:type="dxa"/>
          </w:tcPr>
          <w:p w14:paraId="4AD6F3C9" w14:textId="77777777" w:rsidR="002C0FD9" w:rsidRPr="00CA25CF" w:rsidRDefault="002C0FD9" w:rsidP="00CA25CF">
            <w:pPr>
              <w:rPr>
                <w:rFonts w:cs="Arial"/>
                <w:color w:val="FF0000"/>
                <w:sz w:val="21"/>
                <w:szCs w:val="21"/>
              </w:rPr>
            </w:pPr>
          </w:p>
        </w:tc>
        <w:tc>
          <w:tcPr>
            <w:tcW w:w="217" w:type="dxa"/>
          </w:tcPr>
          <w:p w14:paraId="33534674" w14:textId="77777777" w:rsidR="002C0FD9" w:rsidRPr="00CA25CF" w:rsidRDefault="002C0FD9" w:rsidP="00CA25CF">
            <w:pPr>
              <w:rPr>
                <w:rFonts w:cs="Arial"/>
                <w:color w:val="FF0000"/>
                <w:sz w:val="21"/>
                <w:szCs w:val="21"/>
              </w:rPr>
            </w:pPr>
          </w:p>
        </w:tc>
        <w:tc>
          <w:tcPr>
            <w:tcW w:w="217" w:type="dxa"/>
          </w:tcPr>
          <w:p w14:paraId="1CC2A137" w14:textId="77777777" w:rsidR="002C0FD9" w:rsidRPr="00CA25CF" w:rsidRDefault="002C0FD9" w:rsidP="00CA25CF">
            <w:pPr>
              <w:rPr>
                <w:rFonts w:cs="Arial"/>
                <w:color w:val="FF0000"/>
                <w:sz w:val="21"/>
                <w:szCs w:val="21"/>
              </w:rPr>
            </w:pPr>
          </w:p>
        </w:tc>
        <w:tc>
          <w:tcPr>
            <w:tcW w:w="217" w:type="dxa"/>
          </w:tcPr>
          <w:p w14:paraId="71AF82FC" w14:textId="77777777" w:rsidR="002C0FD9" w:rsidRPr="00CA25CF" w:rsidRDefault="002C0FD9" w:rsidP="00CA25CF">
            <w:pPr>
              <w:rPr>
                <w:rFonts w:cs="Arial"/>
                <w:color w:val="FF0000"/>
                <w:sz w:val="21"/>
                <w:szCs w:val="21"/>
              </w:rPr>
            </w:pPr>
          </w:p>
        </w:tc>
        <w:tc>
          <w:tcPr>
            <w:tcW w:w="217" w:type="dxa"/>
          </w:tcPr>
          <w:p w14:paraId="7540ECBD" w14:textId="77777777" w:rsidR="002C0FD9" w:rsidRPr="00CA25CF" w:rsidRDefault="002C0FD9" w:rsidP="00CA25CF">
            <w:pPr>
              <w:rPr>
                <w:rFonts w:cs="Arial"/>
                <w:color w:val="FF0000"/>
                <w:sz w:val="21"/>
                <w:szCs w:val="21"/>
              </w:rPr>
            </w:pPr>
          </w:p>
        </w:tc>
        <w:tc>
          <w:tcPr>
            <w:tcW w:w="217" w:type="dxa"/>
          </w:tcPr>
          <w:p w14:paraId="56C6FDC7" w14:textId="77777777" w:rsidR="002C0FD9" w:rsidRPr="00CA25CF" w:rsidRDefault="002C0FD9" w:rsidP="00CA25CF">
            <w:pPr>
              <w:rPr>
                <w:rFonts w:cs="Arial"/>
                <w:color w:val="FF0000"/>
                <w:sz w:val="21"/>
                <w:szCs w:val="21"/>
              </w:rPr>
            </w:pPr>
          </w:p>
        </w:tc>
        <w:tc>
          <w:tcPr>
            <w:tcW w:w="217" w:type="dxa"/>
          </w:tcPr>
          <w:p w14:paraId="2B02A385" w14:textId="77777777" w:rsidR="002C0FD9" w:rsidRPr="00CA25CF" w:rsidRDefault="002C0FD9" w:rsidP="00CA25CF">
            <w:pPr>
              <w:rPr>
                <w:rFonts w:cs="Arial"/>
                <w:color w:val="FF0000"/>
                <w:sz w:val="21"/>
                <w:szCs w:val="21"/>
              </w:rPr>
            </w:pPr>
          </w:p>
        </w:tc>
        <w:tc>
          <w:tcPr>
            <w:tcW w:w="217" w:type="dxa"/>
          </w:tcPr>
          <w:p w14:paraId="1F47F232" w14:textId="77777777" w:rsidR="002C0FD9" w:rsidRPr="00CA25CF" w:rsidRDefault="002C0FD9" w:rsidP="00CA25CF">
            <w:pPr>
              <w:rPr>
                <w:rFonts w:cs="Arial"/>
                <w:color w:val="FF0000"/>
                <w:sz w:val="21"/>
                <w:szCs w:val="21"/>
              </w:rPr>
            </w:pPr>
          </w:p>
        </w:tc>
        <w:tc>
          <w:tcPr>
            <w:tcW w:w="217" w:type="dxa"/>
          </w:tcPr>
          <w:p w14:paraId="26232994" w14:textId="77777777" w:rsidR="002C0FD9" w:rsidRPr="00CA25CF" w:rsidRDefault="002C0FD9" w:rsidP="00CA25CF">
            <w:pPr>
              <w:rPr>
                <w:rFonts w:cs="Arial"/>
                <w:color w:val="FF0000"/>
                <w:sz w:val="21"/>
                <w:szCs w:val="21"/>
              </w:rPr>
            </w:pPr>
          </w:p>
        </w:tc>
        <w:tc>
          <w:tcPr>
            <w:tcW w:w="217" w:type="dxa"/>
          </w:tcPr>
          <w:p w14:paraId="2DFEDC32" w14:textId="77777777" w:rsidR="002C0FD9" w:rsidRPr="00CA25CF" w:rsidRDefault="002C0FD9" w:rsidP="00CA25CF">
            <w:pPr>
              <w:rPr>
                <w:rFonts w:cs="Arial"/>
                <w:color w:val="FF0000"/>
                <w:sz w:val="21"/>
                <w:szCs w:val="21"/>
              </w:rPr>
            </w:pPr>
          </w:p>
        </w:tc>
        <w:tc>
          <w:tcPr>
            <w:tcW w:w="217" w:type="dxa"/>
          </w:tcPr>
          <w:p w14:paraId="2552444E" w14:textId="77777777" w:rsidR="002C0FD9" w:rsidRPr="00CA25CF" w:rsidRDefault="002C0FD9" w:rsidP="00CA25CF">
            <w:pPr>
              <w:rPr>
                <w:rFonts w:cs="Arial"/>
                <w:color w:val="FF0000"/>
                <w:sz w:val="21"/>
                <w:szCs w:val="21"/>
              </w:rPr>
            </w:pPr>
          </w:p>
        </w:tc>
        <w:tc>
          <w:tcPr>
            <w:tcW w:w="217" w:type="dxa"/>
          </w:tcPr>
          <w:p w14:paraId="60132B84" w14:textId="77777777" w:rsidR="002C0FD9" w:rsidRPr="00CA25CF" w:rsidRDefault="002C0FD9" w:rsidP="00CA25CF">
            <w:pPr>
              <w:rPr>
                <w:rFonts w:cs="Arial"/>
                <w:color w:val="FF0000"/>
                <w:sz w:val="21"/>
                <w:szCs w:val="21"/>
              </w:rPr>
            </w:pPr>
          </w:p>
        </w:tc>
        <w:tc>
          <w:tcPr>
            <w:tcW w:w="217" w:type="dxa"/>
          </w:tcPr>
          <w:p w14:paraId="5A795638" w14:textId="77777777" w:rsidR="002C0FD9" w:rsidRPr="00CA25CF" w:rsidRDefault="002C0FD9" w:rsidP="00CA25CF">
            <w:pPr>
              <w:rPr>
                <w:rFonts w:cs="Arial"/>
                <w:color w:val="FF0000"/>
                <w:sz w:val="21"/>
                <w:szCs w:val="21"/>
              </w:rPr>
            </w:pPr>
          </w:p>
        </w:tc>
        <w:tc>
          <w:tcPr>
            <w:tcW w:w="217" w:type="dxa"/>
          </w:tcPr>
          <w:p w14:paraId="7BED986D" w14:textId="77777777" w:rsidR="002C0FD9" w:rsidRPr="00CA25CF" w:rsidRDefault="002C0FD9" w:rsidP="00CA25CF">
            <w:pPr>
              <w:rPr>
                <w:rFonts w:cs="Arial"/>
                <w:color w:val="FF0000"/>
                <w:sz w:val="21"/>
                <w:szCs w:val="21"/>
              </w:rPr>
            </w:pPr>
          </w:p>
        </w:tc>
        <w:tc>
          <w:tcPr>
            <w:tcW w:w="217" w:type="dxa"/>
          </w:tcPr>
          <w:p w14:paraId="64FD97FD" w14:textId="77777777" w:rsidR="002C0FD9" w:rsidRPr="00CA25CF" w:rsidRDefault="002C0FD9" w:rsidP="00CA25CF">
            <w:pPr>
              <w:rPr>
                <w:rFonts w:cs="Arial"/>
                <w:color w:val="FF0000"/>
                <w:sz w:val="21"/>
                <w:szCs w:val="21"/>
              </w:rPr>
            </w:pPr>
          </w:p>
        </w:tc>
        <w:tc>
          <w:tcPr>
            <w:tcW w:w="217" w:type="dxa"/>
          </w:tcPr>
          <w:p w14:paraId="6FBCB1A1" w14:textId="77777777" w:rsidR="002C0FD9" w:rsidRPr="00CA25CF" w:rsidRDefault="002C0FD9" w:rsidP="00CA25CF">
            <w:pPr>
              <w:rPr>
                <w:rFonts w:cs="Arial"/>
                <w:color w:val="FF0000"/>
                <w:sz w:val="21"/>
                <w:szCs w:val="21"/>
              </w:rPr>
            </w:pPr>
          </w:p>
        </w:tc>
        <w:tc>
          <w:tcPr>
            <w:tcW w:w="217" w:type="dxa"/>
          </w:tcPr>
          <w:p w14:paraId="34F75CD5" w14:textId="77777777" w:rsidR="002C0FD9" w:rsidRPr="00CA25CF" w:rsidRDefault="002C0FD9" w:rsidP="00CA25CF">
            <w:pPr>
              <w:rPr>
                <w:rFonts w:cs="Arial"/>
                <w:color w:val="FF0000"/>
                <w:sz w:val="21"/>
                <w:szCs w:val="21"/>
              </w:rPr>
            </w:pPr>
          </w:p>
        </w:tc>
        <w:tc>
          <w:tcPr>
            <w:tcW w:w="217" w:type="dxa"/>
          </w:tcPr>
          <w:p w14:paraId="10B12E13" w14:textId="77777777" w:rsidR="002C0FD9" w:rsidRPr="00CA25CF" w:rsidRDefault="002C0FD9" w:rsidP="00CA25CF">
            <w:pPr>
              <w:rPr>
                <w:rFonts w:cs="Arial"/>
                <w:color w:val="FF0000"/>
                <w:sz w:val="21"/>
                <w:szCs w:val="21"/>
              </w:rPr>
            </w:pPr>
          </w:p>
        </w:tc>
        <w:tc>
          <w:tcPr>
            <w:tcW w:w="217" w:type="dxa"/>
          </w:tcPr>
          <w:p w14:paraId="78414872" w14:textId="77777777" w:rsidR="002C0FD9" w:rsidRPr="00CA25CF" w:rsidRDefault="002C0FD9" w:rsidP="00CA25CF">
            <w:pPr>
              <w:rPr>
                <w:rFonts w:cs="Arial"/>
                <w:color w:val="FF0000"/>
                <w:sz w:val="21"/>
                <w:szCs w:val="21"/>
              </w:rPr>
            </w:pPr>
          </w:p>
        </w:tc>
        <w:tc>
          <w:tcPr>
            <w:tcW w:w="217" w:type="dxa"/>
          </w:tcPr>
          <w:p w14:paraId="7B852A6E" w14:textId="77777777" w:rsidR="002C0FD9" w:rsidRPr="00CA25CF" w:rsidRDefault="002C0FD9" w:rsidP="00CA25CF">
            <w:pPr>
              <w:rPr>
                <w:rFonts w:cs="Arial"/>
                <w:color w:val="FF0000"/>
                <w:sz w:val="21"/>
                <w:szCs w:val="21"/>
              </w:rPr>
            </w:pPr>
          </w:p>
        </w:tc>
        <w:tc>
          <w:tcPr>
            <w:tcW w:w="217" w:type="dxa"/>
          </w:tcPr>
          <w:p w14:paraId="3EB9C941" w14:textId="77777777" w:rsidR="002C0FD9" w:rsidRPr="00CA25CF" w:rsidRDefault="002C0FD9" w:rsidP="00CA25CF">
            <w:pPr>
              <w:rPr>
                <w:rFonts w:cs="Arial"/>
                <w:color w:val="FF0000"/>
                <w:sz w:val="21"/>
                <w:szCs w:val="21"/>
              </w:rPr>
            </w:pPr>
          </w:p>
        </w:tc>
        <w:tc>
          <w:tcPr>
            <w:tcW w:w="217" w:type="dxa"/>
          </w:tcPr>
          <w:p w14:paraId="786A8FDC" w14:textId="77777777" w:rsidR="002C0FD9" w:rsidRPr="00CA25CF" w:rsidRDefault="002C0FD9" w:rsidP="00CA25CF">
            <w:pPr>
              <w:rPr>
                <w:rFonts w:cs="Arial"/>
                <w:color w:val="FF0000"/>
                <w:sz w:val="21"/>
                <w:szCs w:val="21"/>
              </w:rPr>
            </w:pPr>
          </w:p>
        </w:tc>
        <w:tc>
          <w:tcPr>
            <w:tcW w:w="217" w:type="dxa"/>
          </w:tcPr>
          <w:p w14:paraId="2B1DF58A" w14:textId="77777777" w:rsidR="002C0FD9" w:rsidRPr="00CA25CF" w:rsidRDefault="002C0FD9" w:rsidP="00CA25CF">
            <w:pPr>
              <w:rPr>
                <w:rFonts w:cs="Arial"/>
                <w:color w:val="FF0000"/>
                <w:sz w:val="21"/>
                <w:szCs w:val="21"/>
              </w:rPr>
            </w:pPr>
          </w:p>
        </w:tc>
        <w:tc>
          <w:tcPr>
            <w:tcW w:w="217" w:type="dxa"/>
          </w:tcPr>
          <w:p w14:paraId="37618A52" w14:textId="77777777" w:rsidR="002C0FD9" w:rsidRPr="00CA25CF" w:rsidRDefault="002C0FD9" w:rsidP="00CA25CF">
            <w:pPr>
              <w:rPr>
                <w:rFonts w:cs="Arial"/>
                <w:color w:val="FF0000"/>
                <w:sz w:val="21"/>
                <w:szCs w:val="21"/>
              </w:rPr>
            </w:pPr>
          </w:p>
        </w:tc>
        <w:tc>
          <w:tcPr>
            <w:tcW w:w="217" w:type="dxa"/>
          </w:tcPr>
          <w:p w14:paraId="340447CD" w14:textId="77777777" w:rsidR="002C0FD9" w:rsidRPr="00CA25CF" w:rsidRDefault="002C0FD9" w:rsidP="00CA25CF">
            <w:pPr>
              <w:rPr>
                <w:rFonts w:cs="Arial"/>
                <w:color w:val="FF0000"/>
                <w:sz w:val="21"/>
                <w:szCs w:val="21"/>
              </w:rPr>
            </w:pPr>
          </w:p>
        </w:tc>
        <w:tc>
          <w:tcPr>
            <w:tcW w:w="217" w:type="dxa"/>
          </w:tcPr>
          <w:p w14:paraId="23435F69" w14:textId="77777777" w:rsidR="002C0FD9" w:rsidRPr="00CA25CF" w:rsidRDefault="002C0FD9" w:rsidP="00CA25CF">
            <w:pPr>
              <w:rPr>
                <w:rFonts w:cs="Arial"/>
                <w:color w:val="FF0000"/>
                <w:sz w:val="21"/>
                <w:szCs w:val="21"/>
              </w:rPr>
            </w:pPr>
          </w:p>
        </w:tc>
        <w:tc>
          <w:tcPr>
            <w:tcW w:w="217" w:type="dxa"/>
          </w:tcPr>
          <w:p w14:paraId="6AB0141C" w14:textId="77777777" w:rsidR="002C0FD9" w:rsidRPr="00CA25CF" w:rsidRDefault="002C0FD9" w:rsidP="00CA25CF">
            <w:pPr>
              <w:rPr>
                <w:rFonts w:cs="Arial"/>
                <w:color w:val="FF0000"/>
                <w:sz w:val="21"/>
                <w:szCs w:val="21"/>
              </w:rPr>
            </w:pPr>
          </w:p>
        </w:tc>
        <w:tc>
          <w:tcPr>
            <w:tcW w:w="217" w:type="dxa"/>
          </w:tcPr>
          <w:p w14:paraId="000075A1" w14:textId="77777777" w:rsidR="002C0FD9" w:rsidRPr="00CA25CF" w:rsidRDefault="002C0FD9" w:rsidP="00CA25CF">
            <w:pPr>
              <w:rPr>
                <w:rFonts w:cs="Arial"/>
                <w:color w:val="FF0000"/>
                <w:sz w:val="21"/>
                <w:szCs w:val="21"/>
              </w:rPr>
            </w:pPr>
          </w:p>
        </w:tc>
        <w:tc>
          <w:tcPr>
            <w:tcW w:w="217" w:type="dxa"/>
          </w:tcPr>
          <w:p w14:paraId="2CAD53D7" w14:textId="77777777" w:rsidR="002C0FD9" w:rsidRPr="00CA25CF" w:rsidRDefault="002C0FD9" w:rsidP="00CA25CF">
            <w:pPr>
              <w:rPr>
                <w:rFonts w:cs="Arial"/>
                <w:color w:val="FF0000"/>
                <w:sz w:val="21"/>
                <w:szCs w:val="21"/>
              </w:rPr>
            </w:pPr>
          </w:p>
        </w:tc>
        <w:tc>
          <w:tcPr>
            <w:tcW w:w="217" w:type="dxa"/>
          </w:tcPr>
          <w:p w14:paraId="10763B59" w14:textId="77777777" w:rsidR="002C0FD9" w:rsidRPr="00CA25CF" w:rsidRDefault="002C0FD9" w:rsidP="00CA25CF">
            <w:pPr>
              <w:rPr>
                <w:rFonts w:cs="Arial"/>
                <w:color w:val="FF0000"/>
                <w:sz w:val="21"/>
                <w:szCs w:val="21"/>
              </w:rPr>
            </w:pPr>
          </w:p>
        </w:tc>
        <w:tc>
          <w:tcPr>
            <w:tcW w:w="217" w:type="dxa"/>
          </w:tcPr>
          <w:p w14:paraId="22CF773D" w14:textId="77777777" w:rsidR="002C0FD9" w:rsidRPr="00CA25CF" w:rsidRDefault="002C0FD9" w:rsidP="00CA25CF">
            <w:pPr>
              <w:rPr>
                <w:rFonts w:cs="Arial"/>
                <w:color w:val="FF0000"/>
                <w:sz w:val="21"/>
                <w:szCs w:val="21"/>
              </w:rPr>
            </w:pPr>
          </w:p>
        </w:tc>
        <w:tc>
          <w:tcPr>
            <w:tcW w:w="217" w:type="dxa"/>
          </w:tcPr>
          <w:p w14:paraId="0C1E1197" w14:textId="77777777" w:rsidR="002C0FD9" w:rsidRPr="00CA25CF" w:rsidRDefault="002C0FD9" w:rsidP="00CA25CF">
            <w:pPr>
              <w:rPr>
                <w:rFonts w:cs="Arial"/>
                <w:color w:val="FF0000"/>
                <w:sz w:val="21"/>
                <w:szCs w:val="21"/>
              </w:rPr>
            </w:pPr>
          </w:p>
        </w:tc>
        <w:tc>
          <w:tcPr>
            <w:tcW w:w="217" w:type="dxa"/>
          </w:tcPr>
          <w:p w14:paraId="78958AB2" w14:textId="77777777" w:rsidR="002C0FD9" w:rsidRPr="00CA25CF" w:rsidRDefault="002C0FD9" w:rsidP="00CA25CF">
            <w:pPr>
              <w:rPr>
                <w:rFonts w:cs="Arial"/>
                <w:color w:val="FF0000"/>
                <w:sz w:val="21"/>
                <w:szCs w:val="21"/>
              </w:rPr>
            </w:pPr>
          </w:p>
        </w:tc>
        <w:tc>
          <w:tcPr>
            <w:tcW w:w="217" w:type="dxa"/>
          </w:tcPr>
          <w:p w14:paraId="1BF6BB63" w14:textId="77777777" w:rsidR="002C0FD9" w:rsidRPr="00CA25CF" w:rsidRDefault="002C0FD9" w:rsidP="00CA25CF">
            <w:pPr>
              <w:rPr>
                <w:rFonts w:cs="Arial"/>
                <w:color w:val="FF0000"/>
                <w:sz w:val="21"/>
                <w:szCs w:val="21"/>
              </w:rPr>
            </w:pPr>
          </w:p>
        </w:tc>
        <w:tc>
          <w:tcPr>
            <w:tcW w:w="217" w:type="dxa"/>
          </w:tcPr>
          <w:p w14:paraId="637F8E05" w14:textId="77777777" w:rsidR="002C0FD9" w:rsidRPr="00CA25CF" w:rsidRDefault="002C0FD9" w:rsidP="00CA25CF">
            <w:pPr>
              <w:rPr>
                <w:rFonts w:cs="Arial"/>
                <w:color w:val="FF0000"/>
                <w:sz w:val="21"/>
                <w:szCs w:val="21"/>
              </w:rPr>
            </w:pPr>
          </w:p>
        </w:tc>
        <w:tc>
          <w:tcPr>
            <w:tcW w:w="217" w:type="dxa"/>
          </w:tcPr>
          <w:p w14:paraId="2F78337A" w14:textId="77777777" w:rsidR="002C0FD9" w:rsidRPr="00CA25CF" w:rsidRDefault="002C0FD9" w:rsidP="00CA25CF">
            <w:pPr>
              <w:rPr>
                <w:rFonts w:cs="Arial"/>
                <w:color w:val="FF0000"/>
                <w:sz w:val="21"/>
                <w:szCs w:val="21"/>
              </w:rPr>
            </w:pPr>
          </w:p>
        </w:tc>
        <w:tc>
          <w:tcPr>
            <w:tcW w:w="217" w:type="dxa"/>
          </w:tcPr>
          <w:p w14:paraId="315BAB1C" w14:textId="77777777" w:rsidR="002C0FD9" w:rsidRPr="00CA25CF" w:rsidRDefault="002C0FD9" w:rsidP="00CA25CF">
            <w:pPr>
              <w:rPr>
                <w:rFonts w:cs="Arial"/>
                <w:color w:val="FF0000"/>
                <w:sz w:val="21"/>
                <w:szCs w:val="21"/>
              </w:rPr>
            </w:pPr>
          </w:p>
        </w:tc>
        <w:tc>
          <w:tcPr>
            <w:tcW w:w="217" w:type="dxa"/>
          </w:tcPr>
          <w:p w14:paraId="24C01835" w14:textId="77777777" w:rsidR="002C0FD9" w:rsidRPr="00CA25CF" w:rsidRDefault="002C0FD9" w:rsidP="00CA25CF">
            <w:pPr>
              <w:rPr>
                <w:rFonts w:cs="Arial"/>
                <w:color w:val="FF0000"/>
                <w:sz w:val="21"/>
                <w:szCs w:val="21"/>
              </w:rPr>
            </w:pPr>
          </w:p>
        </w:tc>
      </w:tr>
      <w:tr w:rsidR="002C0FD9" w:rsidRPr="00A16219" w14:paraId="2C96DFC0" w14:textId="77777777" w:rsidTr="002C0FD9">
        <w:trPr>
          <w:trHeight w:val="635"/>
        </w:trPr>
        <w:tc>
          <w:tcPr>
            <w:tcW w:w="515" w:type="dxa"/>
          </w:tcPr>
          <w:p w14:paraId="17AAB6AD" w14:textId="77777777" w:rsidR="002C0FD9" w:rsidRPr="00CA25CF" w:rsidRDefault="002C0FD9" w:rsidP="00CA25CF">
            <w:pPr>
              <w:rPr>
                <w:rFonts w:cs="Arial"/>
                <w:color w:val="FF0000"/>
                <w:sz w:val="21"/>
                <w:szCs w:val="21"/>
              </w:rPr>
            </w:pPr>
          </w:p>
        </w:tc>
        <w:tc>
          <w:tcPr>
            <w:tcW w:w="217" w:type="dxa"/>
          </w:tcPr>
          <w:p w14:paraId="0B2EC7C5" w14:textId="77777777" w:rsidR="002C0FD9" w:rsidRPr="00CA25CF" w:rsidRDefault="002C0FD9" w:rsidP="00CA25CF">
            <w:pPr>
              <w:rPr>
                <w:rFonts w:cs="Arial"/>
                <w:color w:val="FF0000"/>
                <w:sz w:val="21"/>
                <w:szCs w:val="21"/>
              </w:rPr>
            </w:pPr>
          </w:p>
        </w:tc>
        <w:tc>
          <w:tcPr>
            <w:tcW w:w="217" w:type="dxa"/>
          </w:tcPr>
          <w:p w14:paraId="1CB27788" w14:textId="77777777" w:rsidR="002C0FD9" w:rsidRPr="00CA25CF" w:rsidRDefault="002C0FD9" w:rsidP="00CA25CF">
            <w:pPr>
              <w:rPr>
                <w:rFonts w:cs="Arial"/>
                <w:color w:val="FF0000"/>
                <w:sz w:val="21"/>
                <w:szCs w:val="21"/>
              </w:rPr>
            </w:pPr>
          </w:p>
        </w:tc>
        <w:tc>
          <w:tcPr>
            <w:tcW w:w="217" w:type="dxa"/>
          </w:tcPr>
          <w:p w14:paraId="05A06145" w14:textId="77777777" w:rsidR="002C0FD9" w:rsidRPr="00CA25CF" w:rsidRDefault="002C0FD9" w:rsidP="00CA25CF">
            <w:pPr>
              <w:rPr>
                <w:rFonts w:cs="Arial"/>
                <w:color w:val="FF0000"/>
                <w:sz w:val="21"/>
                <w:szCs w:val="21"/>
              </w:rPr>
            </w:pPr>
          </w:p>
        </w:tc>
        <w:tc>
          <w:tcPr>
            <w:tcW w:w="217" w:type="dxa"/>
          </w:tcPr>
          <w:p w14:paraId="74C044C4" w14:textId="77777777" w:rsidR="002C0FD9" w:rsidRPr="00CA25CF" w:rsidRDefault="002C0FD9" w:rsidP="00CA25CF">
            <w:pPr>
              <w:rPr>
                <w:rFonts w:cs="Arial"/>
                <w:color w:val="FF0000"/>
                <w:sz w:val="21"/>
                <w:szCs w:val="21"/>
              </w:rPr>
            </w:pPr>
          </w:p>
        </w:tc>
        <w:tc>
          <w:tcPr>
            <w:tcW w:w="217" w:type="dxa"/>
          </w:tcPr>
          <w:p w14:paraId="0F1B15F5" w14:textId="77777777" w:rsidR="002C0FD9" w:rsidRPr="00CA25CF" w:rsidRDefault="002C0FD9" w:rsidP="00CA25CF">
            <w:pPr>
              <w:rPr>
                <w:rFonts w:cs="Arial"/>
                <w:color w:val="FF0000"/>
                <w:sz w:val="21"/>
                <w:szCs w:val="21"/>
              </w:rPr>
            </w:pPr>
          </w:p>
        </w:tc>
        <w:tc>
          <w:tcPr>
            <w:tcW w:w="217" w:type="dxa"/>
          </w:tcPr>
          <w:p w14:paraId="1D260A22" w14:textId="77777777" w:rsidR="002C0FD9" w:rsidRPr="00CA25CF" w:rsidRDefault="002C0FD9" w:rsidP="00CA25CF">
            <w:pPr>
              <w:rPr>
                <w:rFonts w:cs="Arial"/>
                <w:color w:val="FF0000"/>
                <w:sz w:val="21"/>
                <w:szCs w:val="21"/>
              </w:rPr>
            </w:pPr>
          </w:p>
        </w:tc>
        <w:tc>
          <w:tcPr>
            <w:tcW w:w="217" w:type="dxa"/>
          </w:tcPr>
          <w:p w14:paraId="575F81AF" w14:textId="77777777" w:rsidR="002C0FD9" w:rsidRPr="00CA25CF" w:rsidRDefault="002C0FD9" w:rsidP="00CA25CF">
            <w:pPr>
              <w:rPr>
                <w:rFonts w:cs="Arial"/>
                <w:color w:val="FF0000"/>
                <w:sz w:val="21"/>
                <w:szCs w:val="21"/>
              </w:rPr>
            </w:pPr>
          </w:p>
        </w:tc>
        <w:tc>
          <w:tcPr>
            <w:tcW w:w="217" w:type="dxa"/>
          </w:tcPr>
          <w:p w14:paraId="05FEED6C" w14:textId="77777777" w:rsidR="002C0FD9" w:rsidRPr="00CA25CF" w:rsidRDefault="002C0FD9" w:rsidP="00CA25CF">
            <w:pPr>
              <w:rPr>
                <w:rFonts w:cs="Arial"/>
                <w:color w:val="FF0000"/>
                <w:sz w:val="21"/>
                <w:szCs w:val="21"/>
              </w:rPr>
            </w:pPr>
          </w:p>
        </w:tc>
        <w:tc>
          <w:tcPr>
            <w:tcW w:w="217" w:type="dxa"/>
          </w:tcPr>
          <w:p w14:paraId="1FE6E95B" w14:textId="77777777" w:rsidR="002C0FD9" w:rsidRPr="00CA25CF" w:rsidRDefault="002C0FD9" w:rsidP="00CA25CF">
            <w:pPr>
              <w:rPr>
                <w:rFonts w:cs="Arial"/>
                <w:color w:val="FF0000"/>
                <w:sz w:val="21"/>
                <w:szCs w:val="21"/>
              </w:rPr>
            </w:pPr>
          </w:p>
        </w:tc>
        <w:tc>
          <w:tcPr>
            <w:tcW w:w="217" w:type="dxa"/>
          </w:tcPr>
          <w:p w14:paraId="78930679" w14:textId="77777777" w:rsidR="002C0FD9" w:rsidRPr="00CA25CF" w:rsidRDefault="002C0FD9" w:rsidP="00CA25CF">
            <w:pPr>
              <w:rPr>
                <w:rFonts w:cs="Arial"/>
                <w:color w:val="FF0000"/>
                <w:sz w:val="21"/>
                <w:szCs w:val="21"/>
              </w:rPr>
            </w:pPr>
          </w:p>
        </w:tc>
        <w:tc>
          <w:tcPr>
            <w:tcW w:w="217" w:type="dxa"/>
          </w:tcPr>
          <w:p w14:paraId="3B6C358F" w14:textId="77777777" w:rsidR="002C0FD9" w:rsidRPr="00CA25CF" w:rsidRDefault="002C0FD9" w:rsidP="00CA25CF">
            <w:pPr>
              <w:rPr>
                <w:rFonts w:cs="Arial"/>
                <w:color w:val="FF0000"/>
                <w:sz w:val="21"/>
                <w:szCs w:val="21"/>
              </w:rPr>
            </w:pPr>
          </w:p>
        </w:tc>
        <w:tc>
          <w:tcPr>
            <w:tcW w:w="217" w:type="dxa"/>
          </w:tcPr>
          <w:p w14:paraId="414F947A" w14:textId="77777777" w:rsidR="002C0FD9" w:rsidRPr="00CA25CF" w:rsidRDefault="002C0FD9" w:rsidP="00CA25CF">
            <w:pPr>
              <w:rPr>
                <w:rFonts w:cs="Arial"/>
                <w:color w:val="FF0000"/>
                <w:sz w:val="21"/>
                <w:szCs w:val="21"/>
              </w:rPr>
            </w:pPr>
          </w:p>
        </w:tc>
        <w:tc>
          <w:tcPr>
            <w:tcW w:w="217" w:type="dxa"/>
          </w:tcPr>
          <w:p w14:paraId="24FFEAE2" w14:textId="77777777" w:rsidR="002C0FD9" w:rsidRPr="00CA25CF" w:rsidRDefault="002C0FD9" w:rsidP="00CA25CF">
            <w:pPr>
              <w:rPr>
                <w:rFonts w:cs="Arial"/>
                <w:color w:val="FF0000"/>
                <w:sz w:val="21"/>
                <w:szCs w:val="21"/>
              </w:rPr>
            </w:pPr>
          </w:p>
        </w:tc>
        <w:tc>
          <w:tcPr>
            <w:tcW w:w="217" w:type="dxa"/>
          </w:tcPr>
          <w:p w14:paraId="08E29C6C" w14:textId="77777777" w:rsidR="002C0FD9" w:rsidRPr="00CA25CF" w:rsidRDefault="002C0FD9" w:rsidP="00CA25CF">
            <w:pPr>
              <w:rPr>
                <w:rFonts w:cs="Arial"/>
                <w:color w:val="FF0000"/>
                <w:sz w:val="21"/>
                <w:szCs w:val="21"/>
              </w:rPr>
            </w:pPr>
          </w:p>
        </w:tc>
        <w:tc>
          <w:tcPr>
            <w:tcW w:w="217" w:type="dxa"/>
          </w:tcPr>
          <w:p w14:paraId="7897972D" w14:textId="77777777" w:rsidR="002C0FD9" w:rsidRPr="00CA25CF" w:rsidRDefault="002C0FD9" w:rsidP="00CA25CF">
            <w:pPr>
              <w:rPr>
                <w:rFonts w:cs="Arial"/>
                <w:color w:val="FF0000"/>
                <w:sz w:val="21"/>
                <w:szCs w:val="21"/>
              </w:rPr>
            </w:pPr>
          </w:p>
        </w:tc>
        <w:tc>
          <w:tcPr>
            <w:tcW w:w="217" w:type="dxa"/>
          </w:tcPr>
          <w:p w14:paraId="6A8F7F2C" w14:textId="77777777" w:rsidR="002C0FD9" w:rsidRPr="00CA25CF" w:rsidRDefault="002C0FD9" w:rsidP="00CA25CF">
            <w:pPr>
              <w:rPr>
                <w:rFonts w:cs="Arial"/>
                <w:color w:val="FF0000"/>
                <w:sz w:val="21"/>
                <w:szCs w:val="21"/>
              </w:rPr>
            </w:pPr>
          </w:p>
        </w:tc>
        <w:tc>
          <w:tcPr>
            <w:tcW w:w="217" w:type="dxa"/>
          </w:tcPr>
          <w:p w14:paraId="1E0EB57F" w14:textId="77777777" w:rsidR="002C0FD9" w:rsidRPr="00CA25CF" w:rsidRDefault="002C0FD9" w:rsidP="00CA25CF">
            <w:pPr>
              <w:rPr>
                <w:rFonts w:cs="Arial"/>
                <w:color w:val="FF0000"/>
                <w:sz w:val="21"/>
                <w:szCs w:val="21"/>
              </w:rPr>
            </w:pPr>
          </w:p>
        </w:tc>
        <w:tc>
          <w:tcPr>
            <w:tcW w:w="217" w:type="dxa"/>
          </w:tcPr>
          <w:p w14:paraId="35557BF0" w14:textId="77777777" w:rsidR="002C0FD9" w:rsidRPr="00CA25CF" w:rsidRDefault="002C0FD9" w:rsidP="00CA25CF">
            <w:pPr>
              <w:rPr>
                <w:rFonts w:cs="Arial"/>
                <w:color w:val="FF0000"/>
                <w:sz w:val="21"/>
                <w:szCs w:val="21"/>
              </w:rPr>
            </w:pPr>
          </w:p>
        </w:tc>
        <w:tc>
          <w:tcPr>
            <w:tcW w:w="217" w:type="dxa"/>
          </w:tcPr>
          <w:p w14:paraId="2B8085DF" w14:textId="77777777" w:rsidR="002C0FD9" w:rsidRPr="00CA25CF" w:rsidRDefault="002C0FD9" w:rsidP="00CA25CF">
            <w:pPr>
              <w:rPr>
                <w:rFonts w:cs="Arial"/>
                <w:color w:val="FF0000"/>
                <w:sz w:val="21"/>
                <w:szCs w:val="21"/>
              </w:rPr>
            </w:pPr>
          </w:p>
        </w:tc>
        <w:tc>
          <w:tcPr>
            <w:tcW w:w="217" w:type="dxa"/>
          </w:tcPr>
          <w:p w14:paraId="7C9C9420" w14:textId="77777777" w:rsidR="002C0FD9" w:rsidRPr="00CA25CF" w:rsidRDefault="002C0FD9" w:rsidP="00CA25CF">
            <w:pPr>
              <w:rPr>
                <w:rFonts w:cs="Arial"/>
                <w:color w:val="FF0000"/>
                <w:sz w:val="21"/>
                <w:szCs w:val="21"/>
              </w:rPr>
            </w:pPr>
          </w:p>
        </w:tc>
        <w:tc>
          <w:tcPr>
            <w:tcW w:w="217" w:type="dxa"/>
          </w:tcPr>
          <w:p w14:paraId="1DEB80D8" w14:textId="77777777" w:rsidR="002C0FD9" w:rsidRPr="00CA25CF" w:rsidRDefault="002C0FD9" w:rsidP="00CA25CF">
            <w:pPr>
              <w:rPr>
                <w:rFonts w:cs="Arial"/>
                <w:color w:val="FF0000"/>
                <w:sz w:val="21"/>
                <w:szCs w:val="21"/>
              </w:rPr>
            </w:pPr>
          </w:p>
        </w:tc>
        <w:tc>
          <w:tcPr>
            <w:tcW w:w="217" w:type="dxa"/>
          </w:tcPr>
          <w:p w14:paraId="6EBAA3A0" w14:textId="77777777" w:rsidR="002C0FD9" w:rsidRPr="00CA25CF" w:rsidRDefault="002C0FD9" w:rsidP="00CA25CF">
            <w:pPr>
              <w:rPr>
                <w:rFonts w:cs="Arial"/>
                <w:color w:val="FF0000"/>
                <w:sz w:val="21"/>
                <w:szCs w:val="21"/>
              </w:rPr>
            </w:pPr>
          </w:p>
        </w:tc>
        <w:tc>
          <w:tcPr>
            <w:tcW w:w="217" w:type="dxa"/>
          </w:tcPr>
          <w:p w14:paraId="09242412" w14:textId="77777777" w:rsidR="002C0FD9" w:rsidRPr="00CA25CF" w:rsidRDefault="002C0FD9" w:rsidP="00CA25CF">
            <w:pPr>
              <w:rPr>
                <w:rFonts w:cs="Arial"/>
                <w:color w:val="FF0000"/>
                <w:sz w:val="21"/>
                <w:szCs w:val="21"/>
              </w:rPr>
            </w:pPr>
          </w:p>
        </w:tc>
        <w:tc>
          <w:tcPr>
            <w:tcW w:w="217" w:type="dxa"/>
          </w:tcPr>
          <w:p w14:paraId="4A886C14" w14:textId="77777777" w:rsidR="002C0FD9" w:rsidRPr="00CA25CF" w:rsidRDefault="002C0FD9" w:rsidP="00CA25CF">
            <w:pPr>
              <w:rPr>
                <w:rFonts w:cs="Arial"/>
                <w:color w:val="FF0000"/>
                <w:sz w:val="21"/>
                <w:szCs w:val="21"/>
              </w:rPr>
            </w:pPr>
          </w:p>
        </w:tc>
        <w:tc>
          <w:tcPr>
            <w:tcW w:w="217" w:type="dxa"/>
          </w:tcPr>
          <w:p w14:paraId="6EA7152D" w14:textId="77777777" w:rsidR="002C0FD9" w:rsidRPr="00CA25CF" w:rsidRDefault="002C0FD9" w:rsidP="00CA25CF">
            <w:pPr>
              <w:rPr>
                <w:rFonts w:cs="Arial"/>
                <w:color w:val="FF0000"/>
                <w:sz w:val="21"/>
                <w:szCs w:val="21"/>
              </w:rPr>
            </w:pPr>
          </w:p>
        </w:tc>
        <w:tc>
          <w:tcPr>
            <w:tcW w:w="217" w:type="dxa"/>
          </w:tcPr>
          <w:p w14:paraId="1AE45E5B" w14:textId="77777777" w:rsidR="002C0FD9" w:rsidRPr="00CA25CF" w:rsidRDefault="002C0FD9" w:rsidP="00CA25CF">
            <w:pPr>
              <w:rPr>
                <w:rFonts w:cs="Arial"/>
                <w:color w:val="FF0000"/>
                <w:sz w:val="21"/>
                <w:szCs w:val="21"/>
              </w:rPr>
            </w:pPr>
          </w:p>
        </w:tc>
        <w:tc>
          <w:tcPr>
            <w:tcW w:w="217" w:type="dxa"/>
          </w:tcPr>
          <w:p w14:paraId="4604780A" w14:textId="77777777" w:rsidR="002C0FD9" w:rsidRPr="00CA25CF" w:rsidRDefault="002C0FD9" w:rsidP="00CA25CF">
            <w:pPr>
              <w:rPr>
                <w:rFonts w:cs="Arial"/>
                <w:color w:val="FF0000"/>
                <w:sz w:val="21"/>
                <w:szCs w:val="21"/>
              </w:rPr>
            </w:pPr>
          </w:p>
        </w:tc>
        <w:tc>
          <w:tcPr>
            <w:tcW w:w="217" w:type="dxa"/>
          </w:tcPr>
          <w:p w14:paraId="347DED34" w14:textId="77777777" w:rsidR="002C0FD9" w:rsidRPr="00CA25CF" w:rsidRDefault="002C0FD9" w:rsidP="00CA25CF">
            <w:pPr>
              <w:rPr>
                <w:rFonts w:cs="Arial"/>
                <w:color w:val="FF0000"/>
                <w:sz w:val="21"/>
                <w:szCs w:val="21"/>
              </w:rPr>
            </w:pPr>
          </w:p>
        </w:tc>
        <w:tc>
          <w:tcPr>
            <w:tcW w:w="217" w:type="dxa"/>
          </w:tcPr>
          <w:p w14:paraId="5E01A800" w14:textId="77777777" w:rsidR="002C0FD9" w:rsidRPr="00CA25CF" w:rsidRDefault="002C0FD9" w:rsidP="00CA25CF">
            <w:pPr>
              <w:rPr>
                <w:rFonts w:cs="Arial"/>
                <w:color w:val="FF0000"/>
                <w:sz w:val="21"/>
                <w:szCs w:val="21"/>
              </w:rPr>
            </w:pPr>
          </w:p>
        </w:tc>
        <w:tc>
          <w:tcPr>
            <w:tcW w:w="217" w:type="dxa"/>
          </w:tcPr>
          <w:p w14:paraId="0096E61D" w14:textId="77777777" w:rsidR="002C0FD9" w:rsidRPr="00CA25CF" w:rsidRDefault="002C0FD9" w:rsidP="00CA25CF">
            <w:pPr>
              <w:rPr>
                <w:rFonts w:cs="Arial"/>
                <w:color w:val="FF0000"/>
                <w:sz w:val="21"/>
                <w:szCs w:val="21"/>
              </w:rPr>
            </w:pPr>
          </w:p>
        </w:tc>
        <w:tc>
          <w:tcPr>
            <w:tcW w:w="217" w:type="dxa"/>
          </w:tcPr>
          <w:p w14:paraId="38069F68" w14:textId="77777777" w:rsidR="002C0FD9" w:rsidRPr="00CA25CF" w:rsidRDefault="002C0FD9" w:rsidP="00CA25CF">
            <w:pPr>
              <w:rPr>
                <w:rFonts w:cs="Arial"/>
                <w:color w:val="FF0000"/>
                <w:sz w:val="21"/>
                <w:szCs w:val="21"/>
              </w:rPr>
            </w:pPr>
          </w:p>
        </w:tc>
        <w:tc>
          <w:tcPr>
            <w:tcW w:w="217" w:type="dxa"/>
          </w:tcPr>
          <w:p w14:paraId="711E2D73" w14:textId="77777777" w:rsidR="002C0FD9" w:rsidRPr="00CA25CF" w:rsidRDefault="002C0FD9" w:rsidP="00CA25CF">
            <w:pPr>
              <w:rPr>
                <w:rFonts w:cs="Arial"/>
                <w:color w:val="FF0000"/>
                <w:sz w:val="21"/>
                <w:szCs w:val="21"/>
              </w:rPr>
            </w:pPr>
          </w:p>
        </w:tc>
        <w:tc>
          <w:tcPr>
            <w:tcW w:w="217" w:type="dxa"/>
          </w:tcPr>
          <w:p w14:paraId="2DC283D3" w14:textId="77777777" w:rsidR="002C0FD9" w:rsidRPr="00CA25CF" w:rsidRDefault="002C0FD9" w:rsidP="00CA25CF">
            <w:pPr>
              <w:rPr>
                <w:rFonts w:cs="Arial"/>
                <w:color w:val="FF0000"/>
                <w:sz w:val="21"/>
                <w:szCs w:val="21"/>
              </w:rPr>
            </w:pPr>
          </w:p>
        </w:tc>
        <w:tc>
          <w:tcPr>
            <w:tcW w:w="217" w:type="dxa"/>
          </w:tcPr>
          <w:p w14:paraId="1A47F079" w14:textId="77777777" w:rsidR="002C0FD9" w:rsidRPr="00CA25CF" w:rsidRDefault="002C0FD9" w:rsidP="00CA25CF">
            <w:pPr>
              <w:rPr>
                <w:rFonts w:cs="Arial"/>
                <w:color w:val="FF0000"/>
                <w:sz w:val="21"/>
                <w:szCs w:val="21"/>
              </w:rPr>
            </w:pPr>
          </w:p>
        </w:tc>
        <w:tc>
          <w:tcPr>
            <w:tcW w:w="217" w:type="dxa"/>
          </w:tcPr>
          <w:p w14:paraId="54E11BFC" w14:textId="77777777" w:rsidR="002C0FD9" w:rsidRPr="00CA25CF" w:rsidRDefault="002C0FD9" w:rsidP="00CA25CF">
            <w:pPr>
              <w:rPr>
                <w:rFonts w:cs="Arial"/>
                <w:color w:val="FF0000"/>
                <w:sz w:val="21"/>
                <w:szCs w:val="21"/>
              </w:rPr>
            </w:pPr>
          </w:p>
        </w:tc>
        <w:tc>
          <w:tcPr>
            <w:tcW w:w="217" w:type="dxa"/>
          </w:tcPr>
          <w:p w14:paraId="5AFB7E11" w14:textId="77777777" w:rsidR="002C0FD9" w:rsidRPr="00CA25CF" w:rsidRDefault="002C0FD9" w:rsidP="00CA25CF">
            <w:pPr>
              <w:rPr>
                <w:rFonts w:cs="Arial"/>
                <w:color w:val="FF0000"/>
                <w:sz w:val="21"/>
                <w:szCs w:val="21"/>
              </w:rPr>
            </w:pPr>
          </w:p>
        </w:tc>
        <w:tc>
          <w:tcPr>
            <w:tcW w:w="217" w:type="dxa"/>
          </w:tcPr>
          <w:p w14:paraId="7D20451D" w14:textId="77777777" w:rsidR="002C0FD9" w:rsidRPr="00CA25CF" w:rsidRDefault="002C0FD9" w:rsidP="00CA25CF">
            <w:pPr>
              <w:rPr>
                <w:rFonts w:cs="Arial"/>
                <w:color w:val="FF0000"/>
                <w:sz w:val="21"/>
                <w:szCs w:val="21"/>
              </w:rPr>
            </w:pPr>
          </w:p>
        </w:tc>
        <w:tc>
          <w:tcPr>
            <w:tcW w:w="217" w:type="dxa"/>
          </w:tcPr>
          <w:p w14:paraId="5A085BCD" w14:textId="77777777" w:rsidR="002C0FD9" w:rsidRPr="00CA25CF" w:rsidRDefault="002C0FD9" w:rsidP="00CA25CF">
            <w:pPr>
              <w:rPr>
                <w:rFonts w:cs="Arial"/>
                <w:color w:val="FF0000"/>
                <w:sz w:val="21"/>
                <w:szCs w:val="21"/>
              </w:rPr>
            </w:pPr>
          </w:p>
        </w:tc>
        <w:tc>
          <w:tcPr>
            <w:tcW w:w="217" w:type="dxa"/>
          </w:tcPr>
          <w:p w14:paraId="0DB6A177" w14:textId="77777777" w:rsidR="002C0FD9" w:rsidRPr="00CA25CF" w:rsidRDefault="002C0FD9" w:rsidP="00CA25CF">
            <w:pPr>
              <w:rPr>
                <w:rFonts w:cs="Arial"/>
                <w:color w:val="FF0000"/>
                <w:sz w:val="21"/>
                <w:szCs w:val="21"/>
              </w:rPr>
            </w:pPr>
          </w:p>
        </w:tc>
        <w:tc>
          <w:tcPr>
            <w:tcW w:w="217" w:type="dxa"/>
          </w:tcPr>
          <w:p w14:paraId="325D0B7A" w14:textId="77777777" w:rsidR="002C0FD9" w:rsidRPr="00CA25CF" w:rsidRDefault="002C0FD9" w:rsidP="00CA25CF">
            <w:pPr>
              <w:rPr>
                <w:rFonts w:cs="Arial"/>
                <w:color w:val="FF0000"/>
                <w:sz w:val="21"/>
                <w:szCs w:val="21"/>
              </w:rPr>
            </w:pPr>
          </w:p>
        </w:tc>
        <w:tc>
          <w:tcPr>
            <w:tcW w:w="217" w:type="dxa"/>
          </w:tcPr>
          <w:p w14:paraId="368E1878" w14:textId="77777777" w:rsidR="002C0FD9" w:rsidRPr="00CA25CF" w:rsidRDefault="002C0FD9" w:rsidP="00CA25CF">
            <w:pPr>
              <w:rPr>
                <w:rFonts w:cs="Arial"/>
                <w:color w:val="FF0000"/>
                <w:sz w:val="21"/>
                <w:szCs w:val="21"/>
              </w:rPr>
            </w:pPr>
          </w:p>
        </w:tc>
        <w:tc>
          <w:tcPr>
            <w:tcW w:w="217" w:type="dxa"/>
          </w:tcPr>
          <w:p w14:paraId="044D8292" w14:textId="77777777" w:rsidR="002C0FD9" w:rsidRPr="00CA25CF" w:rsidRDefault="002C0FD9" w:rsidP="00CA25CF">
            <w:pPr>
              <w:rPr>
                <w:rFonts w:cs="Arial"/>
                <w:color w:val="FF0000"/>
                <w:sz w:val="21"/>
                <w:szCs w:val="21"/>
              </w:rPr>
            </w:pPr>
          </w:p>
        </w:tc>
      </w:tr>
      <w:tr w:rsidR="002C0FD9" w:rsidRPr="00A16219" w14:paraId="74A11C66" w14:textId="77777777" w:rsidTr="002C0FD9">
        <w:trPr>
          <w:trHeight w:val="635"/>
        </w:trPr>
        <w:tc>
          <w:tcPr>
            <w:tcW w:w="515" w:type="dxa"/>
          </w:tcPr>
          <w:p w14:paraId="331291E2" w14:textId="77777777" w:rsidR="002C0FD9" w:rsidRPr="00CA25CF" w:rsidRDefault="002C0FD9" w:rsidP="00CA25CF">
            <w:pPr>
              <w:rPr>
                <w:rFonts w:cs="Arial"/>
                <w:color w:val="FF0000"/>
                <w:sz w:val="21"/>
                <w:szCs w:val="21"/>
              </w:rPr>
            </w:pPr>
          </w:p>
        </w:tc>
        <w:tc>
          <w:tcPr>
            <w:tcW w:w="217" w:type="dxa"/>
          </w:tcPr>
          <w:p w14:paraId="6A73495D" w14:textId="77777777" w:rsidR="002C0FD9" w:rsidRPr="00CA25CF" w:rsidRDefault="002C0FD9" w:rsidP="00CA25CF">
            <w:pPr>
              <w:rPr>
                <w:rFonts w:cs="Arial"/>
                <w:color w:val="FF0000"/>
                <w:sz w:val="21"/>
                <w:szCs w:val="21"/>
              </w:rPr>
            </w:pPr>
          </w:p>
        </w:tc>
        <w:tc>
          <w:tcPr>
            <w:tcW w:w="217" w:type="dxa"/>
          </w:tcPr>
          <w:p w14:paraId="63D272D0" w14:textId="77777777" w:rsidR="002C0FD9" w:rsidRPr="00CA25CF" w:rsidRDefault="002C0FD9" w:rsidP="00CA25CF">
            <w:pPr>
              <w:rPr>
                <w:rFonts w:cs="Arial"/>
                <w:color w:val="FF0000"/>
                <w:sz w:val="21"/>
                <w:szCs w:val="21"/>
              </w:rPr>
            </w:pPr>
          </w:p>
        </w:tc>
        <w:tc>
          <w:tcPr>
            <w:tcW w:w="217" w:type="dxa"/>
          </w:tcPr>
          <w:p w14:paraId="1B8B8356" w14:textId="77777777" w:rsidR="002C0FD9" w:rsidRPr="00CA25CF" w:rsidRDefault="002C0FD9" w:rsidP="00CA25CF">
            <w:pPr>
              <w:rPr>
                <w:rFonts w:cs="Arial"/>
                <w:color w:val="FF0000"/>
                <w:sz w:val="21"/>
                <w:szCs w:val="21"/>
              </w:rPr>
            </w:pPr>
          </w:p>
        </w:tc>
        <w:tc>
          <w:tcPr>
            <w:tcW w:w="217" w:type="dxa"/>
          </w:tcPr>
          <w:p w14:paraId="523A31B0" w14:textId="77777777" w:rsidR="002C0FD9" w:rsidRPr="00CA25CF" w:rsidRDefault="002C0FD9" w:rsidP="00CA25CF">
            <w:pPr>
              <w:rPr>
                <w:rFonts w:cs="Arial"/>
                <w:color w:val="FF0000"/>
                <w:sz w:val="21"/>
                <w:szCs w:val="21"/>
              </w:rPr>
            </w:pPr>
          </w:p>
        </w:tc>
        <w:tc>
          <w:tcPr>
            <w:tcW w:w="217" w:type="dxa"/>
          </w:tcPr>
          <w:p w14:paraId="1D9116AA" w14:textId="77777777" w:rsidR="002C0FD9" w:rsidRPr="00CA25CF" w:rsidRDefault="002C0FD9" w:rsidP="00CA25CF">
            <w:pPr>
              <w:rPr>
                <w:rFonts w:cs="Arial"/>
                <w:color w:val="FF0000"/>
                <w:sz w:val="21"/>
                <w:szCs w:val="21"/>
              </w:rPr>
            </w:pPr>
          </w:p>
        </w:tc>
        <w:tc>
          <w:tcPr>
            <w:tcW w:w="217" w:type="dxa"/>
          </w:tcPr>
          <w:p w14:paraId="621F368C" w14:textId="77777777" w:rsidR="002C0FD9" w:rsidRPr="00CA25CF" w:rsidRDefault="002C0FD9" w:rsidP="00CA25CF">
            <w:pPr>
              <w:rPr>
                <w:rFonts w:cs="Arial"/>
                <w:color w:val="FF0000"/>
                <w:sz w:val="21"/>
                <w:szCs w:val="21"/>
              </w:rPr>
            </w:pPr>
          </w:p>
        </w:tc>
        <w:tc>
          <w:tcPr>
            <w:tcW w:w="217" w:type="dxa"/>
          </w:tcPr>
          <w:p w14:paraId="627C7AF0" w14:textId="77777777" w:rsidR="002C0FD9" w:rsidRPr="00CA25CF" w:rsidRDefault="002C0FD9" w:rsidP="00CA25CF">
            <w:pPr>
              <w:rPr>
                <w:rFonts w:cs="Arial"/>
                <w:color w:val="FF0000"/>
                <w:sz w:val="21"/>
                <w:szCs w:val="21"/>
              </w:rPr>
            </w:pPr>
          </w:p>
        </w:tc>
        <w:tc>
          <w:tcPr>
            <w:tcW w:w="217" w:type="dxa"/>
          </w:tcPr>
          <w:p w14:paraId="5C854079" w14:textId="77777777" w:rsidR="002C0FD9" w:rsidRPr="00CA25CF" w:rsidRDefault="002C0FD9" w:rsidP="00CA25CF">
            <w:pPr>
              <w:rPr>
                <w:rFonts w:cs="Arial"/>
                <w:color w:val="FF0000"/>
                <w:sz w:val="21"/>
                <w:szCs w:val="21"/>
              </w:rPr>
            </w:pPr>
          </w:p>
        </w:tc>
        <w:tc>
          <w:tcPr>
            <w:tcW w:w="217" w:type="dxa"/>
          </w:tcPr>
          <w:p w14:paraId="7F074263" w14:textId="77777777" w:rsidR="002C0FD9" w:rsidRPr="00CA25CF" w:rsidRDefault="002C0FD9" w:rsidP="00CA25CF">
            <w:pPr>
              <w:rPr>
                <w:rFonts w:cs="Arial"/>
                <w:color w:val="FF0000"/>
                <w:sz w:val="21"/>
                <w:szCs w:val="21"/>
              </w:rPr>
            </w:pPr>
          </w:p>
        </w:tc>
        <w:tc>
          <w:tcPr>
            <w:tcW w:w="217" w:type="dxa"/>
          </w:tcPr>
          <w:p w14:paraId="548AC766" w14:textId="77777777" w:rsidR="002C0FD9" w:rsidRPr="00CA25CF" w:rsidRDefault="002C0FD9" w:rsidP="00CA25CF">
            <w:pPr>
              <w:rPr>
                <w:rFonts w:cs="Arial"/>
                <w:color w:val="FF0000"/>
                <w:sz w:val="21"/>
                <w:szCs w:val="21"/>
              </w:rPr>
            </w:pPr>
          </w:p>
        </w:tc>
        <w:tc>
          <w:tcPr>
            <w:tcW w:w="217" w:type="dxa"/>
          </w:tcPr>
          <w:p w14:paraId="6B10826C" w14:textId="77777777" w:rsidR="002C0FD9" w:rsidRPr="00CA25CF" w:rsidRDefault="002C0FD9" w:rsidP="00CA25CF">
            <w:pPr>
              <w:rPr>
                <w:rFonts w:cs="Arial"/>
                <w:color w:val="FF0000"/>
                <w:sz w:val="21"/>
                <w:szCs w:val="21"/>
              </w:rPr>
            </w:pPr>
          </w:p>
        </w:tc>
        <w:tc>
          <w:tcPr>
            <w:tcW w:w="217" w:type="dxa"/>
          </w:tcPr>
          <w:p w14:paraId="7368586D" w14:textId="77777777" w:rsidR="002C0FD9" w:rsidRPr="00CA25CF" w:rsidRDefault="002C0FD9" w:rsidP="00CA25CF">
            <w:pPr>
              <w:rPr>
                <w:rFonts w:cs="Arial"/>
                <w:color w:val="FF0000"/>
                <w:sz w:val="21"/>
                <w:szCs w:val="21"/>
              </w:rPr>
            </w:pPr>
          </w:p>
        </w:tc>
        <w:tc>
          <w:tcPr>
            <w:tcW w:w="217" w:type="dxa"/>
          </w:tcPr>
          <w:p w14:paraId="05153CB8" w14:textId="77777777" w:rsidR="002C0FD9" w:rsidRPr="00CA25CF" w:rsidRDefault="002C0FD9" w:rsidP="00CA25CF">
            <w:pPr>
              <w:rPr>
                <w:rFonts w:cs="Arial"/>
                <w:color w:val="FF0000"/>
                <w:sz w:val="21"/>
                <w:szCs w:val="21"/>
              </w:rPr>
            </w:pPr>
          </w:p>
        </w:tc>
        <w:tc>
          <w:tcPr>
            <w:tcW w:w="217" w:type="dxa"/>
          </w:tcPr>
          <w:p w14:paraId="1AC720B5" w14:textId="77777777" w:rsidR="002C0FD9" w:rsidRPr="00CA25CF" w:rsidRDefault="002C0FD9" w:rsidP="00CA25CF">
            <w:pPr>
              <w:rPr>
                <w:rFonts w:cs="Arial"/>
                <w:color w:val="FF0000"/>
                <w:sz w:val="21"/>
                <w:szCs w:val="21"/>
              </w:rPr>
            </w:pPr>
          </w:p>
        </w:tc>
        <w:tc>
          <w:tcPr>
            <w:tcW w:w="217" w:type="dxa"/>
          </w:tcPr>
          <w:p w14:paraId="643E8CA1" w14:textId="77777777" w:rsidR="002C0FD9" w:rsidRPr="00CA25CF" w:rsidRDefault="002C0FD9" w:rsidP="00CA25CF">
            <w:pPr>
              <w:rPr>
                <w:rFonts w:cs="Arial"/>
                <w:color w:val="FF0000"/>
                <w:sz w:val="21"/>
                <w:szCs w:val="21"/>
              </w:rPr>
            </w:pPr>
          </w:p>
        </w:tc>
        <w:tc>
          <w:tcPr>
            <w:tcW w:w="217" w:type="dxa"/>
          </w:tcPr>
          <w:p w14:paraId="4EA5E443" w14:textId="77777777" w:rsidR="002C0FD9" w:rsidRPr="00CA25CF" w:rsidRDefault="002C0FD9" w:rsidP="00CA25CF">
            <w:pPr>
              <w:rPr>
                <w:rFonts w:cs="Arial"/>
                <w:color w:val="FF0000"/>
                <w:sz w:val="21"/>
                <w:szCs w:val="21"/>
              </w:rPr>
            </w:pPr>
          </w:p>
        </w:tc>
        <w:tc>
          <w:tcPr>
            <w:tcW w:w="217" w:type="dxa"/>
          </w:tcPr>
          <w:p w14:paraId="4D32CE22" w14:textId="77777777" w:rsidR="002C0FD9" w:rsidRPr="00CA25CF" w:rsidRDefault="002C0FD9" w:rsidP="00CA25CF">
            <w:pPr>
              <w:rPr>
                <w:rFonts w:cs="Arial"/>
                <w:color w:val="FF0000"/>
                <w:sz w:val="21"/>
                <w:szCs w:val="21"/>
              </w:rPr>
            </w:pPr>
          </w:p>
        </w:tc>
        <w:tc>
          <w:tcPr>
            <w:tcW w:w="217" w:type="dxa"/>
          </w:tcPr>
          <w:p w14:paraId="311AC87E" w14:textId="77777777" w:rsidR="002C0FD9" w:rsidRPr="00CA25CF" w:rsidRDefault="002C0FD9" w:rsidP="00CA25CF">
            <w:pPr>
              <w:rPr>
                <w:rFonts w:cs="Arial"/>
                <w:color w:val="FF0000"/>
                <w:sz w:val="21"/>
                <w:szCs w:val="21"/>
              </w:rPr>
            </w:pPr>
          </w:p>
        </w:tc>
        <w:tc>
          <w:tcPr>
            <w:tcW w:w="217" w:type="dxa"/>
          </w:tcPr>
          <w:p w14:paraId="6B8A50F4" w14:textId="77777777" w:rsidR="002C0FD9" w:rsidRPr="00CA25CF" w:rsidRDefault="002C0FD9" w:rsidP="00CA25CF">
            <w:pPr>
              <w:rPr>
                <w:rFonts w:cs="Arial"/>
                <w:color w:val="FF0000"/>
                <w:sz w:val="21"/>
                <w:szCs w:val="21"/>
              </w:rPr>
            </w:pPr>
          </w:p>
        </w:tc>
        <w:tc>
          <w:tcPr>
            <w:tcW w:w="217" w:type="dxa"/>
          </w:tcPr>
          <w:p w14:paraId="34508FE9" w14:textId="77777777" w:rsidR="002C0FD9" w:rsidRPr="00CA25CF" w:rsidRDefault="002C0FD9" w:rsidP="00CA25CF">
            <w:pPr>
              <w:rPr>
                <w:rFonts w:cs="Arial"/>
                <w:color w:val="FF0000"/>
                <w:sz w:val="21"/>
                <w:szCs w:val="21"/>
              </w:rPr>
            </w:pPr>
          </w:p>
        </w:tc>
        <w:tc>
          <w:tcPr>
            <w:tcW w:w="217" w:type="dxa"/>
          </w:tcPr>
          <w:p w14:paraId="11ADAD72" w14:textId="77777777" w:rsidR="002C0FD9" w:rsidRPr="00CA25CF" w:rsidRDefault="002C0FD9" w:rsidP="00CA25CF">
            <w:pPr>
              <w:rPr>
                <w:rFonts w:cs="Arial"/>
                <w:color w:val="FF0000"/>
                <w:sz w:val="21"/>
                <w:szCs w:val="21"/>
              </w:rPr>
            </w:pPr>
          </w:p>
        </w:tc>
        <w:tc>
          <w:tcPr>
            <w:tcW w:w="217" w:type="dxa"/>
          </w:tcPr>
          <w:p w14:paraId="4EE3B30C" w14:textId="77777777" w:rsidR="002C0FD9" w:rsidRPr="00CA25CF" w:rsidRDefault="002C0FD9" w:rsidP="00CA25CF">
            <w:pPr>
              <w:rPr>
                <w:rFonts w:cs="Arial"/>
                <w:color w:val="FF0000"/>
                <w:sz w:val="21"/>
                <w:szCs w:val="21"/>
              </w:rPr>
            </w:pPr>
          </w:p>
        </w:tc>
        <w:tc>
          <w:tcPr>
            <w:tcW w:w="217" w:type="dxa"/>
          </w:tcPr>
          <w:p w14:paraId="1058BBE3" w14:textId="77777777" w:rsidR="002C0FD9" w:rsidRPr="00CA25CF" w:rsidRDefault="002C0FD9" w:rsidP="00CA25CF">
            <w:pPr>
              <w:rPr>
                <w:rFonts w:cs="Arial"/>
                <w:color w:val="FF0000"/>
                <w:sz w:val="21"/>
                <w:szCs w:val="21"/>
              </w:rPr>
            </w:pPr>
          </w:p>
        </w:tc>
        <w:tc>
          <w:tcPr>
            <w:tcW w:w="217" w:type="dxa"/>
          </w:tcPr>
          <w:p w14:paraId="372CB5DA" w14:textId="77777777" w:rsidR="002C0FD9" w:rsidRPr="00CA25CF" w:rsidRDefault="002C0FD9" w:rsidP="00CA25CF">
            <w:pPr>
              <w:rPr>
                <w:rFonts w:cs="Arial"/>
                <w:color w:val="FF0000"/>
                <w:sz w:val="21"/>
                <w:szCs w:val="21"/>
              </w:rPr>
            </w:pPr>
          </w:p>
        </w:tc>
        <w:tc>
          <w:tcPr>
            <w:tcW w:w="217" w:type="dxa"/>
          </w:tcPr>
          <w:p w14:paraId="4949437D" w14:textId="77777777" w:rsidR="002C0FD9" w:rsidRPr="00CA25CF" w:rsidRDefault="002C0FD9" w:rsidP="00CA25CF">
            <w:pPr>
              <w:rPr>
                <w:rFonts w:cs="Arial"/>
                <w:color w:val="FF0000"/>
                <w:sz w:val="21"/>
                <w:szCs w:val="21"/>
              </w:rPr>
            </w:pPr>
          </w:p>
        </w:tc>
        <w:tc>
          <w:tcPr>
            <w:tcW w:w="217" w:type="dxa"/>
          </w:tcPr>
          <w:p w14:paraId="1AAEDD57" w14:textId="77777777" w:rsidR="002C0FD9" w:rsidRPr="00CA25CF" w:rsidRDefault="002C0FD9" w:rsidP="00CA25CF">
            <w:pPr>
              <w:rPr>
                <w:rFonts w:cs="Arial"/>
                <w:color w:val="FF0000"/>
                <w:sz w:val="21"/>
                <w:szCs w:val="21"/>
              </w:rPr>
            </w:pPr>
          </w:p>
        </w:tc>
        <w:tc>
          <w:tcPr>
            <w:tcW w:w="217" w:type="dxa"/>
          </w:tcPr>
          <w:p w14:paraId="416E1EA8" w14:textId="77777777" w:rsidR="002C0FD9" w:rsidRPr="00CA25CF" w:rsidRDefault="002C0FD9" w:rsidP="00CA25CF">
            <w:pPr>
              <w:rPr>
                <w:rFonts w:cs="Arial"/>
                <w:color w:val="FF0000"/>
                <w:sz w:val="21"/>
                <w:szCs w:val="21"/>
              </w:rPr>
            </w:pPr>
          </w:p>
        </w:tc>
        <w:tc>
          <w:tcPr>
            <w:tcW w:w="217" w:type="dxa"/>
          </w:tcPr>
          <w:p w14:paraId="389AFAE2" w14:textId="77777777" w:rsidR="002C0FD9" w:rsidRPr="00CA25CF" w:rsidRDefault="002C0FD9" w:rsidP="00CA25CF">
            <w:pPr>
              <w:rPr>
                <w:rFonts w:cs="Arial"/>
                <w:color w:val="FF0000"/>
                <w:sz w:val="21"/>
                <w:szCs w:val="21"/>
              </w:rPr>
            </w:pPr>
          </w:p>
        </w:tc>
        <w:tc>
          <w:tcPr>
            <w:tcW w:w="217" w:type="dxa"/>
          </w:tcPr>
          <w:p w14:paraId="2C978080" w14:textId="77777777" w:rsidR="002C0FD9" w:rsidRPr="00CA25CF" w:rsidRDefault="002C0FD9" w:rsidP="00CA25CF">
            <w:pPr>
              <w:rPr>
                <w:rFonts w:cs="Arial"/>
                <w:color w:val="FF0000"/>
                <w:sz w:val="21"/>
                <w:szCs w:val="21"/>
              </w:rPr>
            </w:pPr>
          </w:p>
        </w:tc>
        <w:tc>
          <w:tcPr>
            <w:tcW w:w="217" w:type="dxa"/>
          </w:tcPr>
          <w:p w14:paraId="4B298484" w14:textId="77777777" w:rsidR="002C0FD9" w:rsidRPr="00CA25CF" w:rsidRDefault="002C0FD9" w:rsidP="00CA25CF">
            <w:pPr>
              <w:rPr>
                <w:rFonts w:cs="Arial"/>
                <w:color w:val="FF0000"/>
                <w:sz w:val="21"/>
                <w:szCs w:val="21"/>
              </w:rPr>
            </w:pPr>
          </w:p>
        </w:tc>
        <w:tc>
          <w:tcPr>
            <w:tcW w:w="217" w:type="dxa"/>
          </w:tcPr>
          <w:p w14:paraId="12CDA9E0" w14:textId="77777777" w:rsidR="002C0FD9" w:rsidRPr="00CA25CF" w:rsidRDefault="002C0FD9" w:rsidP="00CA25CF">
            <w:pPr>
              <w:rPr>
                <w:rFonts w:cs="Arial"/>
                <w:color w:val="FF0000"/>
                <w:sz w:val="21"/>
                <w:szCs w:val="21"/>
              </w:rPr>
            </w:pPr>
          </w:p>
        </w:tc>
        <w:tc>
          <w:tcPr>
            <w:tcW w:w="217" w:type="dxa"/>
          </w:tcPr>
          <w:p w14:paraId="76FABBC1" w14:textId="77777777" w:rsidR="002C0FD9" w:rsidRPr="00CA25CF" w:rsidRDefault="002C0FD9" w:rsidP="00CA25CF">
            <w:pPr>
              <w:rPr>
                <w:rFonts w:cs="Arial"/>
                <w:color w:val="FF0000"/>
                <w:sz w:val="21"/>
                <w:szCs w:val="21"/>
              </w:rPr>
            </w:pPr>
          </w:p>
        </w:tc>
        <w:tc>
          <w:tcPr>
            <w:tcW w:w="217" w:type="dxa"/>
          </w:tcPr>
          <w:p w14:paraId="0C01E2F6" w14:textId="77777777" w:rsidR="002C0FD9" w:rsidRPr="00CA25CF" w:rsidRDefault="002C0FD9" w:rsidP="00CA25CF">
            <w:pPr>
              <w:rPr>
                <w:rFonts w:cs="Arial"/>
                <w:color w:val="FF0000"/>
                <w:sz w:val="21"/>
                <w:szCs w:val="21"/>
              </w:rPr>
            </w:pPr>
          </w:p>
        </w:tc>
        <w:tc>
          <w:tcPr>
            <w:tcW w:w="217" w:type="dxa"/>
          </w:tcPr>
          <w:p w14:paraId="3F6CB6FB" w14:textId="77777777" w:rsidR="002C0FD9" w:rsidRPr="00CA25CF" w:rsidRDefault="002C0FD9" w:rsidP="00CA25CF">
            <w:pPr>
              <w:rPr>
                <w:rFonts w:cs="Arial"/>
                <w:color w:val="FF0000"/>
                <w:sz w:val="21"/>
                <w:szCs w:val="21"/>
              </w:rPr>
            </w:pPr>
          </w:p>
        </w:tc>
        <w:tc>
          <w:tcPr>
            <w:tcW w:w="217" w:type="dxa"/>
          </w:tcPr>
          <w:p w14:paraId="48B49D31" w14:textId="77777777" w:rsidR="002C0FD9" w:rsidRPr="00CA25CF" w:rsidRDefault="002C0FD9" w:rsidP="00CA25CF">
            <w:pPr>
              <w:rPr>
                <w:rFonts w:cs="Arial"/>
                <w:color w:val="FF0000"/>
                <w:sz w:val="21"/>
                <w:szCs w:val="21"/>
              </w:rPr>
            </w:pPr>
          </w:p>
        </w:tc>
        <w:tc>
          <w:tcPr>
            <w:tcW w:w="217" w:type="dxa"/>
          </w:tcPr>
          <w:p w14:paraId="53FF2AC1" w14:textId="77777777" w:rsidR="002C0FD9" w:rsidRPr="00CA25CF" w:rsidRDefault="002C0FD9" w:rsidP="00CA25CF">
            <w:pPr>
              <w:rPr>
                <w:rFonts w:cs="Arial"/>
                <w:color w:val="FF0000"/>
                <w:sz w:val="21"/>
                <w:szCs w:val="21"/>
              </w:rPr>
            </w:pPr>
          </w:p>
        </w:tc>
        <w:tc>
          <w:tcPr>
            <w:tcW w:w="217" w:type="dxa"/>
          </w:tcPr>
          <w:p w14:paraId="7F1812AA" w14:textId="77777777" w:rsidR="002C0FD9" w:rsidRPr="00CA25CF" w:rsidRDefault="002C0FD9" w:rsidP="00CA25CF">
            <w:pPr>
              <w:rPr>
                <w:rFonts w:cs="Arial"/>
                <w:color w:val="FF0000"/>
                <w:sz w:val="21"/>
                <w:szCs w:val="21"/>
              </w:rPr>
            </w:pPr>
          </w:p>
        </w:tc>
        <w:tc>
          <w:tcPr>
            <w:tcW w:w="217" w:type="dxa"/>
          </w:tcPr>
          <w:p w14:paraId="5990FAD1" w14:textId="77777777" w:rsidR="002C0FD9" w:rsidRPr="00CA25CF" w:rsidRDefault="002C0FD9" w:rsidP="00CA25CF">
            <w:pPr>
              <w:rPr>
                <w:rFonts w:cs="Arial"/>
                <w:color w:val="FF0000"/>
                <w:sz w:val="21"/>
                <w:szCs w:val="21"/>
              </w:rPr>
            </w:pPr>
          </w:p>
        </w:tc>
        <w:tc>
          <w:tcPr>
            <w:tcW w:w="217" w:type="dxa"/>
          </w:tcPr>
          <w:p w14:paraId="29F315E5" w14:textId="77777777" w:rsidR="002C0FD9" w:rsidRPr="00CA25CF" w:rsidRDefault="002C0FD9" w:rsidP="00CA25CF">
            <w:pPr>
              <w:rPr>
                <w:rFonts w:cs="Arial"/>
                <w:color w:val="FF0000"/>
                <w:sz w:val="21"/>
                <w:szCs w:val="21"/>
              </w:rPr>
            </w:pPr>
          </w:p>
        </w:tc>
        <w:tc>
          <w:tcPr>
            <w:tcW w:w="217" w:type="dxa"/>
          </w:tcPr>
          <w:p w14:paraId="6D9BB03B" w14:textId="77777777" w:rsidR="002C0FD9" w:rsidRPr="00CA25CF" w:rsidRDefault="002C0FD9" w:rsidP="00CA25CF">
            <w:pPr>
              <w:rPr>
                <w:rFonts w:cs="Arial"/>
                <w:color w:val="FF0000"/>
                <w:sz w:val="21"/>
                <w:szCs w:val="21"/>
              </w:rPr>
            </w:pPr>
          </w:p>
        </w:tc>
        <w:tc>
          <w:tcPr>
            <w:tcW w:w="217" w:type="dxa"/>
          </w:tcPr>
          <w:p w14:paraId="08C4B090" w14:textId="77777777" w:rsidR="002C0FD9" w:rsidRPr="00CA25CF" w:rsidRDefault="002C0FD9" w:rsidP="00CA25CF">
            <w:pPr>
              <w:rPr>
                <w:rFonts w:cs="Arial"/>
                <w:color w:val="FF0000"/>
                <w:sz w:val="21"/>
                <w:szCs w:val="21"/>
              </w:rPr>
            </w:pPr>
          </w:p>
        </w:tc>
        <w:tc>
          <w:tcPr>
            <w:tcW w:w="217" w:type="dxa"/>
          </w:tcPr>
          <w:p w14:paraId="7CB631CA" w14:textId="77777777" w:rsidR="002C0FD9" w:rsidRPr="00CA25CF" w:rsidRDefault="002C0FD9" w:rsidP="00CA25CF">
            <w:pPr>
              <w:rPr>
                <w:rFonts w:cs="Arial"/>
                <w:color w:val="FF0000"/>
                <w:sz w:val="21"/>
                <w:szCs w:val="21"/>
              </w:rPr>
            </w:pPr>
          </w:p>
        </w:tc>
      </w:tr>
      <w:tr w:rsidR="002C0FD9" w:rsidRPr="00A16219" w14:paraId="79DFEC53" w14:textId="77777777" w:rsidTr="002C0FD9">
        <w:trPr>
          <w:trHeight w:val="635"/>
        </w:trPr>
        <w:tc>
          <w:tcPr>
            <w:tcW w:w="515" w:type="dxa"/>
          </w:tcPr>
          <w:p w14:paraId="63CB6538" w14:textId="77777777" w:rsidR="002C0FD9" w:rsidRPr="00CA25CF" w:rsidRDefault="002C0FD9" w:rsidP="00CA25CF">
            <w:pPr>
              <w:rPr>
                <w:rFonts w:cs="Arial"/>
                <w:color w:val="FF0000"/>
                <w:sz w:val="21"/>
                <w:szCs w:val="21"/>
              </w:rPr>
            </w:pPr>
          </w:p>
        </w:tc>
        <w:tc>
          <w:tcPr>
            <w:tcW w:w="217" w:type="dxa"/>
          </w:tcPr>
          <w:p w14:paraId="0CF71267" w14:textId="77777777" w:rsidR="002C0FD9" w:rsidRPr="00CA25CF" w:rsidRDefault="002C0FD9" w:rsidP="00CA25CF">
            <w:pPr>
              <w:rPr>
                <w:rFonts w:cs="Arial"/>
                <w:color w:val="FF0000"/>
                <w:sz w:val="21"/>
                <w:szCs w:val="21"/>
              </w:rPr>
            </w:pPr>
          </w:p>
        </w:tc>
        <w:tc>
          <w:tcPr>
            <w:tcW w:w="217" w:type="dxa"/>
          </w:tcPr>
          <w:p w14:paraId="7D89B2F6" w14:textId="77777777" w:rsidR="002C0FD9" w:rsidRPr="00CA25CF" w:rsidRDefault="002C0FD9" w:rsidP="00CA25CF">
            <w:pPr>
              <w:rPr>
                <w:rFonts w:cs="Arial"/>
                <w:color w:val="FF0000"/>
                <w:sz w:val="21"/>
                <w:szCs w:val="21"/>
              </w:rPr>
            </w:pPr>
          </w:p>
        </w:tc>
        <w:tc>
          <w:tcPr>
            <w:tcW w:w="217" w:type="dxa"/>
          </w:tcPr>
          <w:p w14:paraId="26A37464" w14:textId="77777777" w:rsidR="002C0FD9" w:rsidRPr="00CA25CF" w:rsidRDefault="002C0FD9" w:rsidP="00CA25CF">
            <w:pPr>
              <w:rPr>
                <w:rFonts w:cs="Arial"/>
                <w:color w:val="FF0000"/>
                <w:sz w:val="21"/>
                <w:szCs w:val="21"/>
              </w:rPr>
            </w:pPr>
          </w:p>
        </w:tc>
        <w:tc>
          <w:tcPr>
            <w:tcW w:w="217" w:type="dxa"/>
          </w:tcPr>
          <w:p w14:paraId="67B4DEE4" w14:textId="77777777" w:rsidR="002C0FD9" w:rsidRPr="00CA25CF" w:rsidRDefault="002C0FD9" w:rsidP="00CA25CF">
            <w:pPr>
              <w:rPr>
                <w:rFonts w:cs="Arial"/>
                <w:color w:val="FF0000"/>
                <w:sz w:val="21"/>
                <w:szCs w:val="21"/>
              </w:rPr>
            </w:pPr>
          </w:p>
        </w:tc>
        <w:tc>
          <w:tcPr>
            <w:tcW w:w="217" w:type="dxa"/>
          </w:tcPr>
          <w:p w14:paraId="20D7C45F" w14:textId="77777777" w:rsidR="002C0FD9" w:rsidRPr="00CA25CF" w:rsidRDefault="002C0FD9" w:rsidP="00CA25CF">
            <w:pPr>
              <w:rPr>
                <w:rFonts w:cs="Arial"/>
                <w:color w:val="FF0000"/>
                <w:sz w:val="21"/>
                <w:szCs w:val="21"/>
              </w:rPr>
            </w:pPr>
          </w:p>
        </w:tc>
        <w:tc>
          <w:tcPr>
            <w:tcW w:w="217" w:type="dxa"/>
          </w:tcPr>
          <w:p w14:paraId="10952770" w14:textId="77777777" w:rsidR="002C0FD9" w:rsidRPr="00CA25CF" w:rsidRDefault="002C0FD9" w:rsidP="00CA25CF">
            <w:pPr>
              <w:rPr>
                <w:rFonts w:cs="Arial"/>
                <w:color w:val="FF0000"/>
                <w:sz w:val="21"/>
                <w:szCs w:val="21"/>
              </w:rPr>
            </w:pPr>
          </w:p>
        </w:tc>
        <w:tc>
          <w:tcPr>
            <w:tcW w:w="217" w:type="dxa"/>
          </w:tcPr>
          <w:p w14:paraId="4516ACA2" w14:textId="77777777" w:rsidR="002C0FD9" w:rsidRPr="00CA25CF" w:rsidRDefault="002C0FD9" w:rsidP="00CA25CF">
            <w:pPr>
              <w:rPr>
                <w:rFonts w:cs="Arial"/>
                <w:color w:val="FF0000"/>
                <w:sz w:val="21"/>
                <w:szCs w:val="21"/>
              </w:rPr>
            </w:pPr>
          </w:p>
        </w:tc>
        <w:tc>
          <w:tcPr>
            <w:tcW w:w="217" w:type="dxa"/>
          </w:tcPr>
          <w:p w14:paraId="11E99E7E" w14:textId="77777777" w:rsidR="002C0FD9" w:rsidRPr="00CA25CF" w:rsidRDefault="002C0FD9" w:rsidP="00CA25CF">
            <w:pPr>
              <w:rPr>
                <w:rFonts w:cs="Arial"/>
                <w:color w:val="FF0000"/>
                <w:sz w:val="21"/>
                <w:szCs w:val="21"/>
              </w:rPr>
            </w:pPr>
          </w:p>
        </w:tc>
        <w:tc>
          <w:tcPr>
            <w:tcW w:w="217" w:type="dxa"/>
          </w:tcPr>
          <w:p w14:paraId="4A7200DE" w14:textId="77777777" w:rsidR="002C0FD9" w:rsidRPr="00CA25CF" w:rsidRDefault="002C0FD9" w:rsidP="00CA25CF">
            <w:pPr>
              <w:rPr>
                <w:rFonts w:cs="Arial"/>
                <w:color w:val="FF0000"/>
                <w:sz w:val="21"/>
                <w:szCs w:val="21"/>
              </w:rPr>
            </w:pPr>
          </w:p>
        </w:tc>
        <w:tc>
          <w:tcPr>
            <w:tcW w:w="217" w:type="dxa"/>
          </w:tcPr>
          <w:p w14:paraId="12982E3A" w14:textId="77777777" w:rsidR="002C0FD9" w:rsidRPr="00CA25CF" w:rsidRDefault="002C0FD9" w:rsidP="00CA25CF">
            <w:pPr>
              <w:rPr>
                <w:rFonts w:cs="Arial"/>
                <w:color w:val="FF0000"/>
                <w:sz w:val="21"/>
                <w:szCs w:val="21"/>
              </w:rPr>
            </w:pPr>
          </w:p>
        </w:tc>
        <w:tc>
          <w:tcPr>
            <w:tcW w:w="217" w:type="dxa"/>
          </w:tcPr>
          <w:p w14:paraId="733217EC" w14:textId="77777777" w:rsidR="002C0FD9" w:rsidRPr="00CA25CF" w:rsidRDefault="002C0FD9" w:rsidP="00CA25CF">
            <w:pPr>
              <w:rPr>
                <w:rFonts w:cs="Arial"/>
                <w:color w:val="FF0000"/>
                <w:sz w:val="21"/>
                <w:szCs w:val="21"/>
              </w:rPr>
            </w:pPr>
          </w:p>
        </w:tc>
        <w:tc>
          <w:tcPr>
            <w:tcW w:w="217" w:type="dxa"/>
          </w:tcPr>
          <w:p w14:paraId="63CCA30E" w14:textId="77777777" w:rsidR="002C0FD9" w:rsidRPr="00CA25CF" w:rsidRDefault="002C0FD9" w:rsidP="00CA25CF">
            <w:pPr>
              <w:rPr>
                <w:rFonts w:cs="Arial"/>
                <w:color w:val="FF0000"/>
                <w:sz w:val="21"/>
                <w:szCs w:val="21"/>
              </w:rPr>
            </w:pPr>
          </w:p>
        </w:tc>
        <w:tc>
          <w:tcPr>
            <w:tcW w:w="217" w:type="dxa"/>
          </w:tcPr>
          <w:p w14:paraId="3C9846B3" w14:textId="77777777" w:rsidR="002C0FD9" w:rsidRPr="00CA25CF" w:rsidRDefault="002C0FD9" w:rsidP="00CA25CF">
            <w:pPr>
              <w:rPr>
                <w:rFonts w:cs="Arial"/>
                <w:color w:val="FF0000"/>
                <w:sz w:val="21"/>
                <w:szCs w:val="21"/>
              </w:rPr>
            </w:pPr>
          </w:p>
        </w:tc>
        <w:tc>
          <w:tcPr>
            <w:tcW w:w="217" w:type="dxa"/>
          </w:tcPr>
          <w:p w14:paraId="38DD091C" w14:textId="77777777" w:rsidR="002C0FD9" w:rsidRPr="00CA25CF" w:rsidRDefault="002C0FD9" w:rsidP="00CA25CF">
            <w:pPr>
              <w:rPr>
                <w:rFonts w:cs="Arial"/>
                <w:color w:val="FF0000"/>
                <w:sz w:val="21"/>
                <w:szCs w:val="21"/>
              </w:rPr>
            </w:pPr>
          </w:p>
        </w:tc>
        <w:tc>
          <w:tcPr>
            <w:tcW w:w="217" w:type="dxa"/>
          </w:tcPr>
          <w:p w14:paraId="12B346F9" w14:textId="77777777" w:rsidR="002C0FD9" w:rsidRPr="00CA25CF" w:rsidRDefault="002C0FD9" w:rsidP="00CA25CF">
            <w:pPr>
              <w:rPr>
                <w:rFonts w:cs="Arial"/>
                <w:color w:val="FF0000"/>
                <w:sz w:val="21"/>
                <w:szCs w:val="21"/>
              </w:rPr>
            </w:pPr>
          </w:p>
        </w:tc>
        <w:tc>
          <w:tcPr>
            <w:tcW w:w="217" w:type="dxa"/>
          </w:tcPr>
          <w:p w14:paraId="02B68318" w14:textId="77777777" w:rsidR="002C0FD9" w:rsidRPr="00CA25CF" w:rsidRDefault="002C0FD9" w:rsidP="00CA25CF">
            <w:pPr>
              <w:rPr>
                <w:rFonts w:cs="Arial"/>
                <w:color w:val="FF0000"/>
                <w:sz w:val="21"/>
                <w:szCs w:val="21"/>
              </w:rPr>
            </w:pPr>
          </w:p>
        </w:tc>
        <w:tc>
          <w:tcPr>
            <w:tcW w:w="217" w:type="dxa"/>
          </w:tcPr>
          <w:p w14:paraId="2ECFF1E2" w14:textId="77777777" w:rsidR="002C0FD9" w:rsidRPr="00CA25CF" w:rsidRDefault="002C0FD9" w:rsidP="00CA25CF">
            <w:pPr>
              <w:rPr>
                <w:rFonts w:cs="Arial"/>
                <w:color w:val="FF0000"/>
                <w:sz w:val="21"/>
                <w:szCs w:val="21"/>
              </w:rPr>
            </w:pPr>
          </w:p>
        </w:tc>
        <w:tc>
          <w:tcPr>
            <w:tcW w:w="217" w:type="dxa"/>
          </w:tcPr>
          <w:p w14:paraId="7A7F2D7D" w14:textId="77777777" w:rsidR="002C0FD9" w:rsidRPr="00CA25CF" w:rsidRDefault="002C0FD9" w:rsidP="00CA25CF">
            <w:pPr>
              <w:rPr>
                <w:rFonts w:cs="Arial"/>
                <w:color w:val="FF0000"/>
                <w:sz w:val="21"/>
                <w:szCs w:val="21"/>
              </w:rPr>
            </w:pPr>
          </w:p>
        </w:tc>
        <w:tc>
          <w:tcPr>
            <w:tcW w:w="217" w:type="dxa"/>
          </w:tcPr>
          <w:p w14:paraId="7C0102B4" w14:textId="77777777" w:rsidR="002C0FD9" w:rsidRPr="00CA25CF" w:rsidRDefault="002C0FD9" w:rsidP="00CA25CF">
            <w:pPr>
              <w:rPr>
                <w:rFonts w:cs="Arial"/>
                <w:color w:val="FF0000"/>
                <w:sz w:val="21"/>
                <w:szCs w:val="21"/>
              </w:rPr>
            </w:pPr>
          </w:p>
        </w:tc>
        <w:tc>
          <w:tcPr>
            <w:tcW w:w="217" w:type="dxa"/>
          </w:tcPr>
          <w:p w14:paraId="4DD19B9E" w14:textId="77777777" w:rsidR="002C0FD9" w:rsidRPr="00CA25CF" w:rsidRDefault="002C0FD9" w:rsidP="00CA25CF">
            <w:pPr>
              <w:rPr>
                <w:rFonts w:cs="Arial"/>
                <w:color w:val="FF0000"/>
                <w:sz w:val="21"/>
                <w:szCs w:val="21"/>
              </w:rPr>
            </w:pPr>
          </w:p>
        </w:tc>
        <w:tc>
          <w:tcPr>
            <w:tcW w:w="217" w:type="dxa"/>
          </w:tcPr>
          <w:p w14:paraId="7D4BC959" w14:textId="77777777" w:rsidR="002C0FD9" w:rsidRPr="00CA25CF" w:rsidRDefault="002C0FD9" w:rsidP="00CA25CF">
            <w:pPr>
              <w:rPr>
                <w:rFonts w:cs="Arial"/>
                <w:color w:val="FF0000"/>
                <w:sz w:val="21"/>
                <w:szCs w:val="21"/>
              </w:rPr>
            </w:pPr>
          </w:p>
        </w:tc>
        <w:tc>
          <w:tcPr>
            <w:tcW w:w="217" w:type="dxa"/>
          </w:tcPr>
          <w:p w14:paraId="5F784A13" w14:textId="77777777" w:rsidR="002C0FD9" w:rsidRPr="00CA25CF" w:rsidRDefault="002C0FD9" w:rsidP="00CA25CF">
            <w:pPr>
              <w:rPr>
                <w:rFonts w:cs="Arial"/>
                <w:color w:val="FF0000"/>
                <w:sz w:val="21"/>
                <w:szCs w:val="21"/>
              </w:rPr>
            </w:pPr>
          </w:p>
        </w:tc>
        <w:tc>
          <w:tcPr>
            <w:tcW w:w="217" w:type="dxa"/>
          </w:tcPr>
          <w:p w14:paraId="24BEA694" w14:textId="77777777" w:rsidR="002C0FD9" w:rsidRPr="00CA25CF" w:rsidRDefault="002C0FD9" w:rsidP="00CA25CF">
            <w:pPr>
              <w:rPr>
                <w:rFonts w:cs="Arial"/>
                <w:color w:val="FF0000"/>
                <w:sz w:val="21"/>
                <w:szCs w:val="21"/>
              </w:rPr>
            </w:pPr>
          </w:p>
        </w:tc>
        <w:tc>
          <w:tcPr>
            <w:tcW w:w="217" w:type="dxa"/>
          </w:tcPr>
          <w:p w14:paraId="41092FEA" w14:textId="77777777" w:rsidR="002C0FD9" w:rsidRPr="00CA25CF" w:rsidRDefault="002C0FD9" w:rsidP="00CA25CF">
            <w:pPr>
              <w:rPr>
                <w:rFonts w:cs="Arial"/>
                <w:color w:val="FF0000"/>
                <w:sz w:val="21"/>
                <w:szCs w:val="21"/>
              </w:rPr>
            </w:pPr>
          </w:p>
        </w:tc>
        <w:tc>
          <w:tcPr>
            <w:tcW w:w="217" w:type="dxa"/>
          </w:tcPr>
          <w:p w14:paraId="18800E09" w14:textId="77777777" w:rsidR="002C0FD9" w:rsidRPr="00CA25CF" w:rsidRDefault="002C0FD9" w:rsidP="00CA25CF">
            <w:pPr>
              <w:rPr>
                <w:rFonts w:cs="Arial"/>
                <w:color w:val="FF0000"/>
                <w:sz w:val="21"/>
                <w:szCs w:val="21"/>
              </w:rPr>
            </w:pPr>
          </w:p>
        </w:tc>
        <w:tc>
          <w:tcPr>
            <w:tcW w:w="217" w:type="dxa"/>
          </w:tcPr>
          <w:p w14:paraId="03A72393" w14:textId="77777777" w:rsidR="002C0FD9" w:rsidRPr="00CA25CF" w:rsidRDefault="002C0FD9" w:rsidP="00CA25CF">
            <w:pPr>
              <w:rPr>
                <w:rFonts w:cs="Arial"/>
                <w:color w:val="FF0000"/>
                <w:sz w:val="21"/>
                <w:szCs w:val="21"/>
              </w:rPr>
            </w:pPr>
          </w:p>
        </w:tc>
        <w:tc>
          <w:tcPr>
            <w:tcW w:w="217" w:type="dxa"/>
          </w:tcPr>
          <w:p w14:paraId="3E0C69A3" w14:textId="77777777" w:rsidR="002C0FD9" w:rsidRPr="00CA25CF" w:rsidRDefault="002C0FD9" w:rsidP="00CA25CF">
            <w:pPr>
              <w:rPr>
                <w:rFonts w:cs="Arial"/>
                <w:color w:val="FF0000"/>
                <w:sz w:val="21"/>
                <w:szCs w:val="21"/>
              </w:rPr>
            </w:pPr>
          </w:p>
        </w:tc>
        <w:tc>
          <w:tcPr>
            <w:tcW w:w="217" w:type="dxa"/>
          </w:tcPr>
          <w:p w14:paraId="7D3D64A2" w14:textId="77777777" w:rsidR="002C0FD9" w:rsidRPr="00CA25CF" w:rsidRDefault="002C0FD9" w:rsidP="00CA25CF">
            <w:pPr>
              <w:rPr>
                <w:rFonts w:cs="Arial"/>
                <w:color w:val="FF0000"/>
                <w:sz w:val="21"/>
                <w:szCs w:val="21"/>
              </w:rPr>
            </w:pPr>
          </w:p>
        </w:tc>
        <w:tc>
          <w:tcPr>
            <w:tcW w:w="217" w:type="dxa"/>
          </w:tcPr>
          <w:p w14:paraId="374A9390" w14:textId="77777777" w:rsidR="002C0FD9" w:rsidRPr="00CA25CF" w:rsidRDefault="002C0FD9" w:rsidP="00CA25CF">
            <w:pPr>
              <w:rPr>
                <w:rFonts w:cs="Arial"/>
                <w:color w:val="FF0000"/>
                <w:sz w:val="21"/>
                <w:szCs w:val="21"/>
              </w:rPr>
            </w:pPr>
          </w:p>
        </w:tc>
        <w:tc>
          <w:tcPr>
            <w:tcW w:w="217" w:type="dxa"/>
          </w:tcPr>
          <w:p w14:paraId="430BC6C4" w14:textId="77777777" w:rsidR="002C0FD9" w:rsidRPr="00CA25CF" w:rsidRDefault="002C0FD9" w:rsidP="00CA25CF">
            <w:pPr>
              <w:rPr>
                <w:rFonts w:cs="Arial"/>
                <w:color w:val="FF0000"/>
                <w:sz w:val="21"/>
                <w:szCs w:val="21"/>
              </w:rPr>
            </w:pPr>
          </w:p>
        </w:tc>
        <w:tc>
          <w:tcPr>
            <w:tcW w:w="217" w:type="dxa"/>
          </w:tcPr>
          <w:p w14:paraId="35D523AC" w14:textId="77777777" w:rsidR="002C0FD9" w:rsidRPr="00CA25CF" w:rsidRDefault="002C0FD9" w:rsidP="00CA25CF">
            <w:pPr>
              <w:rPr>
                <w:rFonts w:cs="Arial"/>
                <w:color w:val="FF0000"/>
                <w:sz w:val="21"/>
                <w:szCs w:val="21"/>
              </w:rPr>
            </w:pPr>
          </w:p>
        </w:tc>
        <w:tc>
          <w:tcPr>
            <w:tcW w:w="217" w:type="dxa"/>
          </w:tcPr>
          <w:p w14:paraId="4CC6487D" w14:textId="77777777" w:rsidR="002C0FD9" w:rsidRPr="00CA25CF" w:rsidRDefault="002C0FD9" w:rsidP="00CA25CF">
            <w:pPr>
              <w:rPr>
                <w:rFonts w:cs="Arial"/>
                <w:color w:val="FF0000"/>
                <w:sz w:val="21"/>
                <w:szCs w:val="21"/>
              </w:rPr>
            </w:pPr>
          </w:p>
        </w:tc>
        <w:tc>
          <w:tcPr>
            <w:tcW w:w="217" w:type="dxa"/>
          </w:tcPr>
          <w:p w14:paraId="6DD7B66E" w14:textId="77777777" w:rsidR="002C0FD9" w:rsidRPr="00CA25CF" w:rsidRDefault="002C0FD9" w:rsidP="00CA25CF">
            <w:pPr>
              <w:rPr>
                <w:rFonts w:cs="Arial"/>
                <w:color w:val="FF0000"/>
                <w:sz w:val="21"/>
                <w:szCs w:val="21"/>
              </w:rPr>
            </w:pPr>
          </w:p>
        </w:tc>
        <w:tc>
          <w:tcPr>
            <w:tcW w:w="217" w:type="dxa"/>
          </w:tcPr>
          <w:p w14:paraId="077E7DB2" w14:textId="77777777" w:rsidR="002C0FD9" w:rsidRPr="00CA25CF" w:rsidRDefault="002C0FD9" w:rsidP="00CA25CF">
            <w:pPr>
              <w:rPr>
                <w:rFonts w:cs="Arial"/>
                <w:color w:val="FF0000"/>
                <w:sz w:val="21"/>
                <w:szCs w:val="21"/>
              </w:rPr>
            </w:pPr>
          </w:p>
        </w:tc>
        <w:tc>
          <w:tcPr>
            <w:tcW w:w="217" w:type="dxa"/>
          </w:tcPr>
          <w:p w14:paraId="1AA8C027" w14:textId="77777777" w:rsidR="002C0FD9" w:rsidRPr="00CA25CF" w:rsidRDefault="002C0FD9" w:rsidP="00CA25CF">
            <w:pPr>
              <w:rPr>
                <w:rFonts w:cs="Arial"/>
                <w:color w:val="FF0000"/>
                <w:sz w:val="21"/>
                <w:szCs w:val="21"/>
              </w:rPr>
            </w:pPr>
          </w:p>
        </w:tc>
        <w:tc>
          <w:tcPr>
            <w:tcW w:w="217" w:type="dxa"/>
          </w:tcPr>
          <w:p w14:paraId="56E04B45" w14:textId="77777777" w:rsidR="002C0FD9" w:rsidRPr="00CA25CF" w:rsidRDefault="002C0FD9" w:rsidP="00CA25CF">
            <w:pPr>
              <w:rPr>
                <w:rFonts w:cs="Arial"/>
                <w:color w:val="FF0000"/>
                <w:sz w:val="21"/>
                <w:szCs w:val="21"/>
              </w:rPr>
            </w:pPr>
          </w:p>
        </w:tc>
        <w:tc>
          <w:tcPr>
            <w:tcW w:w="217" w:type="dxa"/>
          </w:tcPr>
          <w:p w14:paraId="75B46B42" w14:textId="77777777" w:rsidR="002C0FD9" w:rsidRPr="00CA25CF" w:rsidRDefault="002C0FD9" w:rsidP="00CA25CF">
            <w:pPr>
              <w:rPr>
                <w:rFonts w:cs="Arial"/>
                <w:color w:val="FF0000"/>
                <w:sz w:val="21"/>
                <w:szCs w:val="21"/>
              </w:rPr>
            </w:pPr>
          </w:p>
        </w:tc>
        <w:tc>
          <w:tcPr>
            <w:tcW w:w="217" w:type="dxa"/>
          </w:tcPr>
          <w:p w14:paraId="2583B0F9" w14:textId="77777777" w:rsidR="002C0FD9" w:rsidRPr="00CA25CF" w:rsidRDefault="002C0FD9" w:rsidP="00CA25CF">
            <w:pPr>
              <w:rPr>
                <w:rFonts w:cs="Arial"/>
                <w:color w:val="FF0000"/>
                <w:sz w:val="21"/>
                <w:szCs w:val="21"/>
              </w:rPr>
            </w:pPr>
          </w:p>
        </w:tc>
        <w:tc>
          <w:tcPr>
            <w:tcW w:w="217" w:type="dxa"/>
          </w:tcPr>
          <w:p w14:paraId="48290CCF" w14:textId="77777777" w:rsidR="002C0FD9" w:rsidRPr="00CA25CF" w:rsidRDefault="002C0FD9" w:rsidP="00CA25CF">
            <w:pPr>
              <w:rPr>
                <w:rFonts w:cs="Arial"/>
                <w:color w:val="FF0000"/>
                <w:sz w:val="21"/>
                <w:szCs w:val="21"/>
              </w:rPr>
            </w:pPr>
          </w:p>
        </w:tc>
        <w:tc>
          <w:tcPr>
            <w:tcW w:w="217" w:type="dxa"/>
          </w:tcPr>
          <w:p w14:paraId="69DD3E8F" w14:textId="77777777" w:rsidR="002C0FD9" w:rsidRPr="00CA25CF" w:rsidRDefault="002C0FD9" w:rsidP="00CA25CF">
            <w:pPr>
              <w:rPr>
                <w:rFonts w:cs="Arial"/>
                <w:color w:val="FF0000"/>
                <w:sz w:val="21"/>
                <w:szCs w:val="21"/>
              </w:rPr>
            </w:pPr>
          </w:p>
        </w:tc>
        <w:tc>
          <w:tcPr>
            <w:tcW w:w="217" w:type="dxa"/>
          </w:tcPr>
          <w:p w14:paraId="67B5DA39" w14:textId="77777777" w:rsidR="002C0FD9" w:rsidRPr="00CA25CF" w:rsidRDefault="002C0FD9" w:rsidP="00CA25CF">
            <w:pPr>
              <w:rPr>
                <w:rFonts w:cs="Arial"/>
                <w:color w:val="FF0000"/>
                <w:sz w:val="21"/>
                <w:szCs w:val="21"/>
              </w:rPr>
            </w:pPr>
          </w:p>
        </w:tc>
        <w:tc>
          <w:tcPr>
            <w:tcW w:w="217" w:type="dxa"/>
          </w:tcPr>
          <w:p w14:paraId="4681BA96" w14:textId="77777777" w:rsidR="002C0FD9" w:rsidRPr="00CA25CF" w:rsidRDefault="002C0FD9" w:rsidP="00CA25CF">
            <w:pPr>
              <w:rPr>
                <w:rFonts w:cs="Arial"/>
                <w:color w:val="FF0000"/>
                <w:sz w:val="21"/>
                <w:szCs w:val="21"/>
              </w:rPr>
            </w:pPr>
          </w:p>
        </w:tc>
      </w:tr>
      <w:tr w:rsidR="002C0FD9" w:rsidRPr="00A16219" w14:paraId="53588145" w14:textId="77777777" w:rsidTr="002C0FD9">
        <w:trPr>
          <w:trHeight w:val="635"/>
        </w:trPr>
        <w:tc>
          <w:tcPr>
            <w:tcW w:w="515" w:type="dxa"/>
          </w:tcPr>
          <w:p w14:paraId="1E7A1235" w14:textId="77777777" w:rsidR="002C0FD9" w:rsidRPr="00CA25CF" w:rsidRDefault="002C0FD9" w:rsidP="00CA25CF">
            <w:pPr>
              <w:rPr>
                <w:rFonts w:cs="Arial"/>
                <w:color w:val="FF0000"/>
                <w:sz w:val="21"/>
                <w:szCs w:val="21"/>
              </w:rPr>
            </w:pPr>
          </w:p>
        </w:tc>
        <w:tc>
          <w:tcPr>
            <w:tcW w:w="217" w:type="dxa"/>
          </w:tcPr>
          <w:p w14:paraId="4C193DDD" w14:textId="77777777" w:rsidR="002C0FD9" w:rsidRPr="00CA25CF" w:rsidRDefault="002C0FD9" w:rsidP="00CA25CF">
            <w:pPr>
              <w:rPr>
                <w:rFonts w:cs="Arial"/>
                <w:color w:val="FF0000"/>
                <w:sz w:val="21"/>
                <w:szCs w:val="21"/>
              </w:rPr>
            </w:pPr>
          </w:p>
        </w:tc>
        <w:tc>
          <w:tcPr>
            <w:tcW w:w="217" w:type="dxa"/>
          </w:tcPr>
          <w:p w14:paraId="7F67337A" w14:textId="77777777" w:rsidR="002C0FD9" w:rsidRPr="00CA25CF" w:rsidRDefault="002C0FD9" w:rsidP="00CA25CF">
            <w:pPr>
              <w:rPr>
                <w:rFonts w:cs="Arial"/>
                <w:color w:val="FF0000"/>
                <w:sz w:val="21"/>
                <w:szCs w:val="21"/>
              </w:rPr>
            </w:pPr>
          </w:p>
        </w:tc>
        <w:tc>
          <w:tcPr>
            <w:tcW w:w="217" w:type="dxa"/>
          </w:tcPr>
          <w:p w14:paraId="352EDA9D" w14:textId="77777777" w:rsidR="002C0FD9" w:rsidRPr="00CA25CF" w:rsidRDefault="002C0FD9" w:rsidP="00CA25CF">
            <w:pPr>
              <w:rPr>
                <w:rFonts w:cs="Arial"/>
                <w:color w:val="FF0000"/>
                <w:sz w:val="21"/>
                <w:szCs w:val="21"/>
              </w:rPr>
            </w:pPr>
          </w:p>
        </w:tc>
        <w:tc>
          <w:tcPr>
            <w:tcW w:w="217" w:type="dxa"/>
          </w:tcPr>
          <w:p w14:paraId="61858649" w14:textId="77777777" w:rsidR="002C0FD9" w:rsidRPr="00CA25CF" w:rsidRDefault="002C0FD9" w:rsidP="00CA25CF">
            <w:pPr>
              <w:rPr>
                <w:rFonts w:cs="Arial"/>
                <w:color w:val="FF0000"/>
                <w:sz w:val="21"/>
                <w:szCs w:val="21"/>
              </w:rPr>
            </w:pPr>
          </w:p>
        </w:tc>
        <w:tc>
          <w:tcPr>
            <w:tcW w:w="217" w:type="dxa"/>
          </w:tcPr>
          <w:p w14:paraId="5A7D82C6" w14:textId="77777777" w:rsidR="002C0FD9" w:rsidRPr="00CA25CF" w:rsidRDefault="002C0FD9" w:rsidP="00CA25CF">
            <w:pPr>
              <w:rPr>
                <w:rFonts w:cs="Arial"/>
                <w:color w:val="FF0000"/>
                <w:sz w:val="21"/>
                <w:szCs w:val="21"/>
              </w:rPr>
            </w:pPr>
          </w:p>
        </w:tc>
        <w:tc>
          <w:tcPr>
            <w:tcW w:w="217" w:type="dxa"/>
          </w:tcPr>
          <w:p w14:paraId="1C0EC11F" w14:textId="77777777" w:rsidR="002C0FD9" w:rsidRPr="00CA25CF" w:rsidRDefault="002C0FD9" w:rsidP="00CA25CF">
            <w:pPr>
              <w:rPr>
                <w:rFonts w:cs="Arial"/>
                <w:color w:val="FF0000"/>
                <w:sz w:val="21"/>
                <w:szCs w:val="21"/>
              </w:rPr>
            </w:pPr>
          </w:p>
        </w:tc>
        <w:tc>
          <w:tcPr>
            <w:tcW w:w="217" w:type="dxa"/>
          </w:tcPr>
          <w:p w14:paraId="7D1377E8" w14:textId="77777777" w:rsidR="002C0FD9" w:rsidRPr="00CA25CF" w:rsidRDefault="002C0FD9" w:rsidP="00CA25CF">
            <w:pPr>
              <w:rPr>
                <w:rFonts w:cs="Arial"/>
                <w:color w:val="FF0000"/>
                <w:sz w:val="21"/>
                <w:szCs w:val="21"/>
              </w:rPr>
            </w:pPr>
          </w:p>
        </w:tc>
        <w:tc>
          <w:tcPr>
            <w:tcW w:w="217" w:type="dxa"/>
          </w:tcPr>
          <w:p w14:paraId="6EEC0194" w14:textId="77777777" w:rsidR="002C0FD9" w:rsidRPr="00CA25CF" w:rsidRDefault="002C0FD9" w:rsidP="00CA25CF">
            <w:pPr>
              <w:rPr>
                <w:rFonts w:cs="Arial"/>
                <w:color w:val="FF0000"/>
                <w:sz w:val="21"/>
                <w:szCs w:val="21"/>
              </w:rPr>
            </w:pPr>
          </w:p>
        </w:tc>
        <w:tc>
          <w:tcPr>
            <w:tcW w:w="217" w:type="dxa"/>
          </w:tcPr>
          <w:p w14:paraId="6F05862C" w14:textId="77777777" w:rsidR="002C0FD9" w:rsidRPr="00CA25CF" w:rsidRDefault="002C0FD9" w:rsidP="00CA25CF">
            <w:pPr>
              <w:rPr>
                <w:rFonts w:cs="Arial"/>
                <w:color w:val="FF0000"/>
                <w:sz w:val="21"/>
                <w:szCs w:val="21"/>
              </w:rPr>
            </w:pPr>
          </w:p>
        </w:tc>
        <w:tc>
          <w:tcPr>
            <w:tcW w:w="217" w:type="dxa"/>
          </w:tcPr>
          <w:p w14:paraId="41F9261E" w14:textId="77777777" w:rsidR="002C0FD9" w:rsidRPr="00CA25CF" w:rsidRDefault="002C0FD9" w:rsidP="00CA25CF">
            <w:pPr>
              <w:rPr>
                <w:rFonts w:cs="Arial"/>
                <w:color w:val="FF0000"/>
                <w:sz w:val="21"/>
                <w:szCs w:val="21"/>
              </w:rPr>
            </w:pPr>
          </w:p>
        </w:tc>
        <w:tc>
          <w:tcPr>
            <w:tcW w:w="217" w:type="dxa"/>
          </w:tcPr>
          <w:p w14:paraId="0E38288A" w14:textId="77777777" w:rsidR="002C0FD9" w:rsidRPr="00CA25CF" w:rsidRDefault="002C0FD9" w:rsidP="00CA25CF">
            <w:pPr>
              <w:rPr>
                <w:rFonts w:cs="Arial"/>
                <w:color w:val="FF0000"/>
                <w:sz w:val="21"/>
                <w:szCs w:val="21"/>
              </w:rPr>
            </w:pPr>
          </w:p>
        </w:tc>
        <w:tc>
          <w:tcPr>
            <w:tcW w:w="217" w:type="dxa"/>
          </w:tcPr>
          <w:p w14:paraId="1B77EF3B" w14:textId="77777777" w:rsidR="002C0FD9" w:rsidRPr="00CA25CF" w:rsidRDefault="002C0FD9" w:rsidP="00CA25CF">
            <w:pPr>
              <w:rPr>
                <w:rFonts w:cs="Arial"/>
                <w:color w:val="FF0000"/>
                <w:sz w:val="21"/>
                <w:szCs w:val="21"/>
              </w:rPr>
            </w:pPr>
          </w:p>
        </w:tc>
        <w:tc>
          <w:tcPr>
            <w:tcW w:w="217" w:type="dxa"/>
          </w:tcPr>
          <w:p w14:paraId="63216DA4" w14:textId="77777777" w:rsidR="002C0FD9" w:rsidRPr="00CA25CF" w:rsidRDefault="002C0FD9" w:rsidP="00CA25CF">
            <w:pPr>
              <w:rPr>
                <w:rFonts w:cs="Arial"/>
                <w:color w:val="FF0000"/>
                <w:sz w:val="21"/>
                <w:szCs w:val="21"/>
              </w:rPr>
            </w:pPr>
          </w:p>
        </w:tc>
        <w:tc>
          <w:tcPr>
            <w:tcW w:w="217" w:type="dxa"/>
          </w:tcPr>
          <w:p w14:paraId="14782A29" w14:textId="77777777" w:rsidR="002C0FD9" w:rsidRPr="00CA25CF" w:rsidRDefault="002C0FD9" w:rsidP="00CA25CF">
            <w:pPr>
              <w:rPr>
                <w:rFonts w:cs="Arial"/>
                <w:color w:val="FF0000"/>
                <w:sz w:val="21"/>
                <w:szCs w:val="21"/>
              </w:rPr>
            </w:pPr>
          </w:p>
        </w:tc>
        <w:tc>
          <w:tcPr>
            <w:tcW w:w="217" w:type="dxa"/>
          </w:tcPr>
          <w:p w14:paraId="60F62ADA" w14:textId="77777777" w:rsidR="002C0FD9" w:rsidRPr="00CA25CF" w:rsidRDefault="002C0FD9" w:rsidP="00CA25CF">
            <w:pPr>
              <w:rPr>
                <w:rFonts w:cs="Arial"/>
                <w:color w:val="FF0000"/>
                <w:sz w:val="21"/>
                <w:szCs w:val="21"/>
              </w:rPr>
            </w:pPr>
          </w:p>
        </w:tc>
        <w:tc>
          <w:tcPr>
            <w:tcW w:w="217" w:type="dxa"/>
          </w:tcPr>
          <w:p w14:paraId="5ED6E3BB" w14:textId="77777777" w:rsidR="002C0FD9" w:rsidRPr="00CA25CF" w:rsidRDefault="002C0FD9" w:rsidP="00CA25CF">
            <w:pPr>
              <w:rPr>
                <w:rFonts w:cs="Arial"/>
                <w:color w:val="FF0000"/>
                <w:sz w:val="21"/>
                <w:szCs w:val="21"/>
              </w:rPr>
            </w:pPr>
          </w:p>
        </w:tc>
        <w:tc>
          <w:tcPr>
            <w:tcW w:w="217" w:type="dxa"/>
          </w:tcPr>
          <w:p w14:paraId="74EB6468" w14:textId="77777777" w:rsidR="002C0FD9" w:rsidRPr="00CA25CF" w:rsidRDefault="002C0FD9" w:rsidP="00CA25CF">
            <w:pPr>
              <w:rPr>
                <w:rFonts w:cs="Arial"/>
                <w:color w:val="FF0000"/>
                <w:sz w:val="21"/>
                <w:szCs w:val="21"/>
              </w:rPr>
            </w:pPr>
          </w:p>
        </w:tc>
        <w:tc>
          <w:tcPr>
            <w:tcW w:w="217" w:type="dxa"/>
          </w:tcPr>
          <w:p w14:paraId="0577E411" w14:textId="77777777" w:rsidR="002C0FD9" w:rsidRPr="00CA25CF" w:rsidRDefault="002C0FD9" w:rsidP="00CA25CF">
            <w:pPr>
              <w:rPr>
                <w:rFonts w:cs="Arial"/>
                <w:color w:val="FF0000"/>
                <w:sz w:val="21"/>
                <w:szCs w:val="21"/>
              </w:rPr>
            </w:pPr>
          </w:p>
        </w:tc>
        <w:tc>
          <w:tcPr>
            <w:tcW w:w="217" w:type="dxa"/>
          </w:tcPr>
          <w:p w14:paraId="6375246F" w14:textId="77777777" w:rsidR="002C0FD9" w:rsidRPr="00CA25CF" w:rsidRDefault="002C0FD9" w:rsidP="00CA25CF">
            <w:pPr>
              <w:rPr>
                <w:rFonts w:cs="Arial"/>
                <w:color w:val="FF0000"/>
                <w:sz w:val="21"/>
                <w:szCs w:val="21"/>
              </w:rPr>
            </w:pPr>
          </w:p>
        </w:tc>
        <w:tc>
          <w:tcPr>
            <w:tcW w:w="217" w:type="dxa"/>
          </w:tcPr>
          <w:p w14:paraId="2003A260" w14:textId="77777777" w:rsidR="002C0FD9" w:rsidRPr="00CA25CF" w:rsidRDefault="002C0FD9" w:rsidP="00CA25CF">
            <w:pPr>
              <w:rPr>
                <w:rFonts w:cs="Arial"/>
                <w:color w:val="FF0000"/>
                <w:sz w:val="21"/>
                <w:szCs w:val="21"/>
              </w:rPr>
            </w:pPr>
          </w:p>
        </w:tc>
        <w:tc>
          <w:tcPr>
            <w:tcW w:w="217" w:type="dxa"/>
          </w:tcPr>
          <w:p w14:paraId="4678ED81" w14:textId="77777777" w:rsidR="002C0FD9" w:rsidRPr="00CA25CF" w:rsidRDefault="002C0FD9" w:rsidP="00CA25CF">
            <w:pPr>
              <w:rPr>
                <w:rFonts w:cs="Arial"/>
                <w:color w:val="FF0000"/>
                <w:sz w:val="21"/>
                <w:szCs w:val="21"/>
              </w:rPr>
            </w:pPr>
          </w:p>
        </w:tc>
        <w:tc>
          <w:tcPr>
            <w:tcW w:w="217" w:type="dxa"/>
          </w:tcPr>
          <w:p w14:paraId="283C4349" w14:textId="77777777" w:rsidR="002C0FD9" w:rsidRPr="00CA25CF" w:rsidRDefault="002C0FD9" w:rsidP="00CA25CF">
            <w:pPr>
              <w:rPr>
                <w:rFonts w:cs="Arial"/>
                <w:color w:val="FF0000"/>
                <w:sz w:val="21"/>
                <w:szCs w:val="21"/>
              </w:rPr>
            </w:pPr>
          </w:p>
        </w:tc>
        <w:tc>
          <w:tcPr>
            <w:tcW w:w="217" w:type="dxa"/>
          </w:tcPr>
          <w:p w14:paraId="2AEDFDB2" w14:textId="77777777" w:rsidR="002C0FD9" w:rsidRPr="00CA25CF" w:rsidRDefault="002C0FD9" w:rsidP="00CA25CF">
            <w:pPr>
              <w:rPr>
                <w:rFonts w:cs="Arial"/>
                <w:color w:val="FF0000"/>
                <w:sz w:val="21"/>
                <w:szCs w:val="21"/>
              </w:rPr>
            </w:pPr>
          </w:p>
        </w:tc>
        <w:tc>
          <w:tcPr>
            <w:tcW w:w="217" w:type="dxa"/>
          </w:tcPr>
          <w:p w14:paraId="072A55A8" w14:textId="77777777" w:rsidR="002C0FD9" w:rsidRPr="00CA25CF" w:rsidRDefault="002C0FD9" w:rsidP="00CA25CF">
            <w:pPr>
              <w:rPr>
                <w:rFonts w:cs="Arial"/>
                <w:color w:val="FF0000"/>
                <w:sz w:val="21"/>
                <w:szCs w:val="21"/>
              </w:rPr>
            </w:pPr>
          </w:p>
        </w:tc>
        <w:tc>
          <w:tcPr>
            <w:tcW w:w="217" w:type="dxa"/>
          </w:tcPr>
          <w:p w14:paraId="7E24C626" w14:textId="77777777" w:rsidR="002C0FD9" w:rsidRPr="00CA25CF" w:rsidRDefault="002C0FD9" w:rsidP="00CA25CF">
            <w:pPr>
              <w:rPr>
                <w:rFonts w:cs="Arial"/>
                <w:color w:val="FF0000"/>
                <w:sz w:val="21"/>
                <w:szCs w:val="21"/>
              </w:rPr>
            </w:pPr>
          </w:p>
        </w:tc>
        <w:tc>
          <w:tcPr>
            <w:tcW w:w="217" w:type="dxa"/>
          </w:tcPr>
          <w:p w14:paraId="63D2A1E1" w14:textId="77777777" w:rsidR="002C0FD9" w:rsidRPr="00CA25CF" w:rsidRDefault="002C0FD9" w:rsidP="00CA25CF">
            <w:pPr>
              <w:rPr>
                <w:rFonts w:cs="Arial"/>
                <w:color w:val="FF0000"/>
                <w:sz w:val="21"/>
                <w:szCs w:val="21"/>
              </w:rPr>
            </w:pPr>
          </w:p>
        </w:tc>
        <w:tc>
          <w:tcPr>
            <w:tcW w:w="217" w:type="dxa"/>
          </w:tcPr>
          <w:p w14:paraId="22991B2B" w14:textId="77777777" w:rsidR="002C0FD9" w:rsidRPr="00CA25CF" w:rsidRDefault="002C0FD9" w:rsidP="00CA25CF">
            <w:pPr>
              <w:rPr>
                <w:rFonts w:cs="Arial"/>
                <w:color w:val="FF0000"/>
                <w:sz w:val="21"/>
                <w:szCs w:val="21"/>
              </w:rPr>
            </w:pPr>
          </w:p>
        </w:tc>
        <w:tc>
          <w:tcPr>
            <w:tcW w:w="217" w:type="dxa"/>
          </w:tcPr>
          <w:p w14:paraId="66B3FFB5" w14:textId="77777777" w:rsidR="002C0FD9" w:rsidRPr="00CA25CF" w:rsidRDefault="002C0FD9" w:rsidP="00CA25CF">
            <w:pPr>
              <w:rPr>
                <w:rFonts w:cs="Arial"/>
                <w:color w:val="FF0000"/>
                <w:sz w:val="21"/>
                <w:szCs w:val="21"/>
              </w:rPr>
            </w:pPr>
          </w:p>
        </w:tc>
        <w:tc>
          <w:tcPr>
            <w:tcW w:w="217" w:type="dxa"/>
          </w:tcPr>
          <w:p w14:paraId="2265C0B6" w14:textId="77777777" w:rsidR="002C0FD9" w:rsidRPr="00CA25CF" w:rsidRDefault="002C0FD9" w:rsidP="00CA25CF">
            <w:pPr>
              <w:rPr>
                <w:rFonts w:cs="Arial"/>
                <w:color w:val="FF0000"/>
                <w:sz w:val="21"/>
                <w:szCs w:val="21"/>
              </w:rPr>
            </w:pPr>
          </w:p>
        </w:tc>
        <w:tc>
          <w:tcPr>
            <w:tcW w:w="217" w:type="dxa"/>
          </w:tcPr>
          <w:p w14:paraId="349EC68E" w14:textId="77777777" w:rsidR="002C0FD9" w:rsidRPr="00CA25CF" w:rsidRDefault="002C0FD9" w:rsidP="00CA25CF">
            <w:pPr>
              <w:rPr>
                <w:rFonts w:cs="Arial"/>
                <w:color w:val="FF0000"/>
                <w:sz w:val="21"/>
                <w:szCs w:val="21"/>
              </w:rPr>
            </w:pPr>
          </w:p>
        </w:tc>
        <w:tc>
          <w:tcPr>
            <w:tcW w:w="217" w:type="dxa"/>
          </w:tcPr>
          <w:p w14:paraId="4A341784" w14:textId="77777777" w:rsidR="002C0FD9" w:rsidRPr="00CA25CF" w:rsidRDefault="002C0FD9" w:rsidP="00CA25CF">
            <w:pPr>
              <w:rPr>
                <w:rFonts w:cs="Arial"/>
                <w:color w:val="FF0000"/>
                <w:sz w:val="21"/>
                <w:szCs w:val="21"/>
              </w:rPr>
            </w:pPr>
          </w:p>
        </w:tc>
        <w:tc>
          <w:tcPr>
            <w:tcW w:w="217" w:type="dxa"/>
          </w:tcPr>
          <w:p w14:paraId="4B770C4D" w14:textId="77777777" w:rsidR="002C0FD9" w:rsidRPr="00CA25CF" w:rsidRDefault="002C0FD9" w:rsidP="00CA25CF">
            <w:pPr>
              <w:rPr>
                <w:rFonts w:cs="Arial"/>
                <w:color w:val="FF0000"/>
                <w:sz w:val="21"/>
                <w:szCs w:val="21"/>
              </w:rPr>
            </w:pPr>
          </w:p>
        </w:tc>
        <w:tc>
          <w:tcPr>
            <w:tcW w:w="217" w:type="dxa"/>
          </w:tcPr>
          <w:p w14:paraId="311FCEA6" w14:textId="77777777" w:rsidR="002C0FD9" w:rsidRPr="00CA25CF" w:rsidRDefault="002C0FD9" w:rsidP="00CA25CF">
            <w:pPr>
              <w:rPr>
                <w:rFonts w:cs="Arial"/>
                <w:color w:val="FF0000"/>
                <w:sz w:val="21"/>
                <w:szCs w:val="21"/>
              </w:rPr>
            </w:pPr>
          </w:p>
        </w:tc>
        <w:tc>
          <w:tcPr>
            <w:tcW w:w="217" w:type="dxa"/>
          </w:tcPr>
          <w:p w14:paraId="2C4786A1" w14:textId="77777777" w:rsidR="002C0FD9" w:rsidRPr="00CA25CF" w:rsidRDefault="002C0FD9" w:rsidP="00CA25CF">
            <w:pPr>
              <w:rPr>
                <w:rFonts w:cs="Arial"/>
                <w:color w:val="FF0000"/>
                <w:sz w:val="21"/>
                <w:szCs w:val="21"/>
              </w:rPr>
            </w:pPr>
          </w:p>
        </w:tc>
        <w:tc>
          <w:tcPr>
            <w:tcW w:w="217" w:type="dxa"/>
          </w:tcPr>
          <w:p w14:paraId="4F049D89" w14:textId="77777777" w:rsidR="002C0FD9" w:rsidRPr="00CA25CF" w:rsidRDefault="002C0FD9" w:rsidP="00CA25CF">
            <w:pPr>
              <w:rPr>
                <w:rFonts w:cs="Arial"/>
                <w:color w:val="FF0000"/>
                <w:sz w:val="21"/>
                <w:szCs w:val="21"/>
              </w:rPr>
            </w:pPr>
          </w:p>
        </w:tc>
        <w:tc>
          <w:tcPr>
            <w:tcW w:w="217" w:type="dxa"/>
          </w:tcPr>
          <w:p w14:paraId="7F1C82CF" w14:textId="77777777" w:rsidR="002C0FD9" w:rsidRPr="00CA25CF" w:rsidRDefault="002C0FD9" w:rsidP="00CA25CF">
            <w:pPr>
              <w:rPr>
                <w:rFonts w:cs="Arial"/>
                <w:color w:val="FF0000"/>
                <w:sz w:val="21"/>
                <w:szCs w:val="21"/>
              </w:rPr>
            </w:pPr>
          </w:p>
        </w:tc>
        <w:tc>
          <w:tcPr>
            <w:tcW w:w="217" w:type="dxa"/>
          </w:tcPr>
          <w:p w14:paraId="03D32A93" w14:textId="77777777" w:rsidR="002C0FD9" w:rsidRPr="00CA25CF" w:rsidRDefault="002C0FD9" w:rsidP="00CA25CF">
            <w:pPr>
              <w:rPr>
                <w:rFonts w:cs="Arial"/>
                <w:color w:val="FF0000"/>
                <w:sz w:val="21"/>
                <w:szCs w:val="21"/>
              </w:rPr>
            </w:pPr>
          </w:p>
        </w:tc>
        <w:tc>
          <w:tcPr>
            <w:tcW w:w="217" w:type="dxa"/>
          </w:tcPr>
          <w:p w14:paraId="5715081E" w14:textId="77777777" w:rsidR="002C0FD9" w:rsidRPr="00CA25CF" w:rsidRDefault="002C0FD9" w:rsidP="00CA25CF">
            <w:pPr>
              <w:rPr>
                <w:rFonts w:cs="Arial"/>
                <w:color w:val="FF0000"/>
                <w:sz w:val="21"/>
                <w:szCs w:val="21"/>
              </w:rPr>
            </w:pPr>
          </w:p>
        </w:tc>
        <w:tc>
          <w:tcPr>
            <w:tcW w:w="217" w:type="dxa"/>
          </w:tcPr>
          <w:p w14:paraId="5CE54203" w14:textId="77777777" w:rsidR="002C0FD9" w:rsidRPr="00CA25CF" w:rsidRDefault="002C0FD9" w:rsidP="00CA25CF">
            <w:pPr>
              <w:rPr>
                <w:rFonts w:cs="Arial"/>
                <w:color w:val="FF0000"/>
                <w:sz w:val="21"/>
                <w:szCs w:val="21"/>
              </w:rPr>
            </w:pPr>
          </w:p>
        </w:tc>
        <w:tc>
          <w:tcPr>
            <w:tcW w:w="217" w:type="dxa"/>
          </w:tcPr>
          <w:p w14:paraId="62224222" w14:textId="77777777" w:rsidR="002C0FD9" w:rsidRPr="00CA25CF" w:rsidRDefault="002C0FD9" w:rsidP="00CA25CF">
            <w:pPr>
              <w:rPr>
                <w:rFonts w:cs="Arial"/>
                <w:color w:val="FF0000"/>
                <w:sz w:val="21"/>
                <w:szCs w:val="21"/>
              </w:rPr>
            </w:pPr>
          </w:p>
        </w:tc>
        <w:tc>
          <w:tcPr>
            <w:tcW w:w="217" w:type="dxa"/>
          </w:tcPr>
          <w:p w14:paraId="574FF269" w14:textId="77777777" w:rsidR="002C0FD9" w:rsidRPr="00CA25CF" w:rsidRDefault="002C0FD9" w:rsidP="00CA25CF">
            <w:pPr>
              <w:rPr>
                <w:rFonts w:cs="Arial"/>
                <w:color w:val="FF0000"/>
                <w:sz w:val="21"/>
                <w:szCs w:val="21"/>
              </w:rPr>
            </w:pPr>
          </w:p>
        </w:tc>
        <w:tc>
          <w:tcPr>
            <w:tcW w:w="217" w:type="dxa"/>
          </w:tcPr>
          <w:p w14:paraId="31137ABD" w14:textId="77777777" w:rsidR="002C0FD9" w:rsidRPr="00CA25CF" w:rsidRDefault="002C0FD9" w:rsidP="00CA25CF">
            <w:pPr>
              <w:rPr>
                <w:rFonts w:cs="Arial"/>
                <w:color w:val="FF0000"/>
                <w:sz w:val="21"/>
                <w:szCs w:val="21"/>
              </w:rPr>
            </w:pPr>
          </w:p>
        </w:tc>
      </w:tr>
      <w:tr w:rsidR="002C0FD9" w:rsidRPr="00A16219" w14:paraId="19B61D22" w14:textId="77777777" w:rsidTr="002C0FD9">
        <w:trPr>
          <w:trHeight w:val="635"/>
        </w:trPr>
        <w:tc>
          <w:tcPr>
            <w:tcW w:w="515" w:type="dxa"/>
          </w:tcPr>
          <w:p w14:paraId="05642164" w14:textId="77777777" w:rsidR="002C0FD9" w:rsidRPr="00CA25CF" w:rsidRDefault="002C0FD9" w:rsidP="00CA25CF">
            <w:pPr>
              <w:rPr>
                <w:rFonts w:cs="Arial"/>
                <w:color w:val="FF0000"/>
                <w:sz w:val="21"/>
                <w:szCs w:val="21"/>
              </w:rPr>
            </w:pPr>
          </w:p>
        </w:tc>
        <w:tc>
          <w:tcPr>
            <w:tcW w:w="217" w:type="dxa"/>
          </w:tcPr>
          <w:p w14:paraId="6D61AD53" w14:textId="77777777" w:rsidR="002C0FD9" w:rsidRPr="00CA25CF" w:rsidRDefault="002C0FD9" w:rsidP="00CA25CF">
            <w:pPr>
              <w:rPr>
                <w:rFonts w:cs="Arial"/>
                <w:color w:val="FF0000"/>
                <w:sz w:val="21"/>
                <w:szCs w:val="21"/>
              </w:rPr>
            </w:pPr>
          </w:p>
        </w:tc>
        <w:tc>
          <w:tcPr>
            <w:tcW w:w="217" w:type="dxa"/>
          </w:tcPr>
          <w:p w14:paraId="57434B9A" w14:textId="77777777" w:rsidR="002C0FD9" w:rsidRPr="00CA25CF" w:rsidRDefault="002C0FD9" w:rsidP="00CA25CF">
            <w:pPr>
              <w:rPr>
                <w:rFonts w:cs="Arial"/>
                <w:color w:val="FF0000"/>
                <w:sz w:val="21"/>
                <w:szCs w:val="21"/>
              </w:rPr>
            </w:pPr>
          </w:p>
        </w:tc>
        <w:tc>
          <w:tcPr>
            <w:tcW w:w="217" w:type="dxa"/>
          </w:tcPr>
          <w:p w14:paraId="4BB835ED" w14:textId="77777777" w:rsidR="002C0FD9" w:rsidRPr="00CA25CF" w:rsidRDefault="002C0FD9" w:rsidP="00CA25CF">
            <w:pPr>
              <w:rPr>
                <w:rFonts w:cs="Arial"/>
                <w:color w:val="FF0000"/>
                <w:sz w:val="21"/>
                <w:szCs w:val="21"/>
              </w:rPr>
            </w:pPr>
          </w:p>
        </w:tc>
        <w:tc>
          <w:tcPr>
            <w:tcW w:w="217" w:type="dxa"/>
          </w:tcPr>
          <w:p w14:paraId="74F99CE9" w14:textId="77777777" w:rsidR="002C0FD9" w:rsidRPr="00CA25CF" w:rsidRDefault="002C0FD9" w:rsidP="00CA25CF">
            <w:pPr>
              <w:rPr>
                <w:rFonts w:cs="Arial"/>
                <w:color w:val="FF0000"/>
                <w:sz w:val="21"/>
                <w:szCs w:val="21"/>
              </w:rPr>
            </w:pPr>
          </w:p>
        </w:tc>
        <w:tc>
          <w:tcPr>
            <w:tcW w:w="217" w:type="dxa"/>
          </w:tcPr>
          <w:p w14:paraId="2705925A" w14:textId="77777777" w:rsidR="002C0FD9" w:rsidRPr="00CA25CF" w:rsidRDefault="002C0FD9" w:rsidP="00CA25CF">
            <w:pPr>
              <w:rPr>
                <w:rFonts w:cs="Arial"/>
                <w:color w:val="FF0000"/>
                <w:sz w:val="21"/>
                <w:szCs w:val="21"/>
              </w:rPr>
            </w:pPr>
          </w:p>
        </w:tc>
        <w:tc>
          <w:tcPr>
            <w:tcW w:w="217" w:type="dxa"/>
          </w:tcPr>
          <w:p w14:paraId="1BCC5C57" w14:textId="77777777" w:rsidR="002C0FD9" w:rsidRPr="00CA25CF" w:rsidRDefault="002C0FD9" w:rsidP="00CA25CF">
            <w:pPr>
              <w:rPr>
                <w:rFonts w:cs="Arial"/>
                <w:color w:val="FF0000"/>
                <w:sz w:val="21"/>
                <w:szCs w:val="21"/>
              </w:rPr>
            </w:pPr>
          </w:p>
        </w:tc>
        <w:tc>
          <w:tcPr>
            <w:tcW w:w="217" w:type="dxa"/>
          </w:tcPr>
          <w:p w14:paraId="09FF40B0" w14:textId="77777777" w:rsidR="002C0FD9" w:rsidRPr="00CA25CF" w:rsidRDefault="002C0FD9" w:rsidP="00CA25CF">
            <w:pPr>
              <w:rPr>
                <w:rFonts w:cs="Arial"/>
                <w:color w:val="FF0000"/>
                <w:sz w:val="21"/>
                <w:szCs w:val="21"/>
              </w:rPr>
            </w:pPr>
          </w:p>
        </w:tc>
        <w:tc>
          <w:tcPr>
            <w:tcW w:w="217" w:type="dxa"/>
          </w:tcPr>
          <w:p w14:paraId="20615391" w14:textId="77777777" w:rsidR="002C0FD9" w:rsidRPr="00CA25CF" w:rsidRDefault="002C0FD9" w:rsidP="00CA25CF">
            <w:pPr>
              <w:rPr>
                <w:rFonts w:cs="Arial"/>
                <w:color w:val="FF0000"/>
                <w:sz w:val="21"/>
                <w:szCs w:val="21"/>
              </w:rPr>
            </w:pPr>
          </w:p>
        </w:tc>
        <w:tc>
          <w:tcPr>
            <w:tcW w:w="217" w:type="dxa"/>
          </w:tcPr>
          <w:p w14:paraId="50CF9AEC" w14:textId="77777777" w:rsidR="002C0FD9" w:rsidRPr="00CA25CF" w:rsidRDefault="002C0FD9" w:rsidP="00CA25CF">
            <w:pPr>
              <w:rPr>
                <w:rFonts w:cs="Arial"/>
                <w:color w:val="FF0000"/>
                <w:sz w:val="21"/>
                <w:szCs w:val="21"/>
              </w:rPr>
            </w:pPr>
          </w:p>
        </w:tc>
        <w:tc>
          <w:tcPr>
            <w:tcW w:w="217" w:type="dxa"/>
          </w:tcPr>
          <w:p w14:paraId="477720E2" w14:textId="77777777" w:rsidR="002C0FD9" w:rsidRPr="00CA25CF" w:rsidRDefault="002C0FD9" w:rsidP="00CA25CF">
            <w:pPr>
              <w:rPr>
                <w:rFonts w:cs="Arial"/>
                <w:color w:val="FF0000"/>
                <w:sz w:val="21"/>
                <w:szCs w:val="21"/>
              </w:rPr>
            </w:pPr>
          </w:p>
        </w:tc>
        <w:tc>
          <w:tcPr>
            <w:tcW w:w="217" w:type="dxa"/>
          </w:tcPr>
          <w:p w14:paraId="40354D14" w14:textId="77777777" w:rsidR="002C0FD9" w:rsidRPr="00CA25CF" w:rsidRDefault="002C0FD9" w:rsidP="00CA25CF">
            <w:pPr>
              <w:rPr>
                <w:rFonts w:cs="Arial"/>
                <w:color w:val="FF0000"/>
                <w:sz w:val="21"/>
                <w:szCs w:val="21"/>
              </w:rPr>
            </w:pPr>
          </w:p>
        </w:tc>
        <w:tc>
          <w:tcPr>
            <w:tcW w:w="217" w:type="dxa"/>
          </w:tcPr>
          <w:p w14:paraId="57DABCF9" w14:textId="77777777" w:rsidR="002C0FD9" w:rsidRPr="00CA25CF" w:rsidRDefault="002C0FD9" w:rsidP="00CA25CF">
            <w:pPr>
              <w:rPr>
                <w:rFonts w:cs="Arial"/>
                <w:color w:val="FF0000"/>
                <w:sz w:val="21"/>
                <w:szCs w:val="21"/>
              </w:rPr>
            </w:pPr>
          </w:p>
        </w:tc>
        <w:tc>
          <w:tcPr>
            <w:tcW w:w="217" w:type="dxa"/>
          </w:tcPr>
          <w:p w14:paraId="7D908BF2" w14:textId="77777777" w:rsidR="002C0FD9" w:rsidRPr="00CA25CF" w:rsidRDefault="002C0FD9" w:rsidP="00CA25CF">
            <w:pPr>
              <w:rPr>
                <w:rFonts w:cs="Arial"/>
                <w:color w:val="FF0000"/>
                <w:sz w:val="21"/>
                <w:szCs w:val="21"/>
              </w:rPr>
            </w:pPr>
          </w:p>
        </w:tc>
        <w:tc>
          <w:tcPr>
            <w:tcW w:w="217" w:type="dxa"/>
          </w:tcPr>
          <w:p w14:paraId="2D55CDE8" w14:textId="77777777" w:rsidR="002C0FD9" w:rsidRPr="00CA25CF" w:rsidRDefault="002C0FD9" w:rsidP="00CA25CF">
            <w:pPr>
              <w:rPr>
                <w:rFonts w:cs="Arial"/>
                <w:color w:val="FF0000"/>
                <w:sz w:val="21"/>
                <w:szCs w:val="21"/>
              </w:rPr>
            </w:pPr>
          </w:p>
        </w:tc>
        <w:tc>
          <w:tcPr>
            <w:tcW w:w="217" w:type="dxa"/>
          </w:tcPr>
          <w:p w14:paraId="4FC91506" w14:textId="77777777" w:rsidR="002C0FD9" w:rsidRPr="00CA25CF" w:rsidRDefault="002C0FD9" w:rsidP="00CA25CF">
            <w:pPr>
              <w:rPr>
                <w:rFonts w:cs="Arial"/>
                <w:color w:val="FF0000"/>
                <w:sz w:val="21"/>
                <w:szCs w:val="21"/>
              </w:rPr>
            </w:pPr>
          </w:p>
        </w:tc>
        <w:tc>
          <w:tcPr>
            <w:tcW w:w="217" w:type="dxa"/>
          </w:tcPr>
          <w:p w14:paraId="7038558D" w14:textId="77777777" w:rsidR="002C0FD9" w:rsidRPr="00CA25CF" w:rsidRDefault="002C0FD9" w:rsidP="00CA25CF">
            <w:pPr>
              <w:rPr>
                <w:rFonts w:cs="Arial"/>
                <w:color w:val="FF0000"/>
                <w:sz w:val="21"/>
                <w:szCs w:val="21"/>
              </w:rPr>
            </w:pPr>
          </w:p>
        </w:tc>
        <w:tc>
          <w:tcPr>
            <w:tcW w:w="217" w:type="dxa"/>
          </w:tcPr>
          <w:p w14:paraId="3C370247" w14:textId="77777777" w:rsidR="002C0FD9" w:rsidRPr="00CA25CF" w:rsidRDefault="002C0FD9" w:rsidP="00CA25CF">
            <w:pPr>
              <w:rPr>
                <w:rFonts w:cs="Arial"/>
                <w:color w:val="FF0000"/>
                <w:sz w:val="21"/>
                <w:szCs w:val="21"/>
              </w:rPr>
            </w:pPr>
          </w:p>
        </w:tc>
        <w:tc>
          <w:tcPr>
            <w:tcW w:w="217" w:type="dxa"/>
          </w:tcPr>
          <w:p w14:paraId="255F219B" w14:textId="77777777" w:rsidR="002C0FD9" w:rsidRPr="00CA25CF" w:rsidRDefault="002C0FD9" w:rsidP="00CA25CF">
            <w:pPr>
              <w:rPr>
                <w:rFonts w:cs="Arial"/>
                <w:color w:val="FF0000"/>
                <w:sz w:val="21"/>
                <w:szCs w:val="21"/>
              </w:rPr>
            </w:pPr>
          </w:p>
        </w:tc>
        <w:tc>
          <w:tcPr>
            <w:tcW w:w="217" w:type="dxa"/>
          </w:tcPr>
          <w:p w14:paraId="4D98F98B" w14:textId="77777777" w:rsidR="002C0FD9" w:rsidRPr="00CA25CF" w:rsidRDefault="002C0FD9" w:rsidP="00CA25CF">
            <w:pPr>
              <w:rPr>
                <w:rFonts w:cs="Arial"/>
                <w:color w:val="FF0000"/>
                <w:sz w:val="21"/>
                <w:szCs w:val="21"/>
              </w:rPr>
            </w:pPr>
          </w:p>
        </w:tc>
        <w:tc>
          <w:tcPr>
            <w:tcW w:w="217" w:type="dxa"/>
          </w:tcPr>
          <w:p w14:paraId="00AA3938" w14:textId="77777777" w:rsidR="002C0FD9" w:rsidRPr="00CA25CF" w:rsidRDefault="002C0FD9" w:rsidP="00CA25CF">
            <w:pPr>
              <w:rPr>
                <w:rFonts w:cs="Arial"/>
                <w:color w:val="FF0000"/>
                <w:sz w:val="21"/>
                <w:szCs w:val="21"/>
              </w:rPr>
            </w:pPr>
          </w:p>
        </w:tc>
        <w:tc>
          <w:tcPr>
            <w:tcW w:w="217" w:type="dxa"/>
          </w:tcPr>
          <w:p w14:paraId="1D61C627" w14:textId="77777777" w:rsidR="002C0FD9" w:rsidRPr="00CA25CF" w:rsidRDefault="002C0FD9" w:rsidP="00CA25CF">
            <w:pPr>
              <w:rPr>
                <w:rFonts w:cs="Arial"/>
                <w:color w:val="FF0000"/>
                <w:sz w:val="21"/>
                <w:szCs w:val="21"/>
              </w:rPr>
            </w:pPr>
          </w:p>
        </w:tc>
        <w:tc>
          <w:tcPr>
            <w:tcW w:w="217" w:type="dxa"/>
          </w:tcPr>
          <w:p w14:paraId="4AFB9179" w14:textId="77777777" w:rsidR="002C0FD9" w:rsidRPr="00CA25CF" w:rsidRDefault="002C0FD9" w:rsidP="00CA25CF">
            <w:pPr>
              <w:rPr>
                <w:rFonts w:cs="Arial"/>
                <w:color w:val="FF0000"/>
                <w:sz w:val="21"/>
                <w:szCs w:val="21"/>
              </w:rPr>
            </w:pPr>
          </w:p>
        </w:tc>
        <w:tc>
          <w:tcPr>
            <w:tcW w:w="217" w:type="dxa"/>
          </w:tcPr>
          <w:p w14:paraId="3008A2FE" w14:textId="77777777" w:rsidR="002C0FD9" w:rsidRPr="00CA25CF" w:rsidRDefault="002C0FD9" w:rsidP="00CA25CF">
            <w:pPr>
              <w:rPr>
                <w:rFonts w:cs="Arial"/>
                <w:color w:val="FF0000"/>
                <w:sz w:val="21"/>
                <w:szCs w:val="21"/>
              </w:rPr>
            </w:pPr>
          </w:p>
        </w:tc>
        <w:tc>
          <w:tcPr>
            <w:tcW w:w="217" w:type="dxa"/>
          </w:tcPr>
          <w:p w14:paraId="5661A5D7" w14:textId="77777777" w:rsidR="002C0FD9" w:rsidRPr="00CA25CF" w:rsidRDefault="002C0FD9" w:rsidP="00CA25CF">
            <w:pPr>
              <w:rPr>
                <w:rFonts w:cs="Arial"/>
                <w:color w:val="FF0000"/>
                <w:sz w:val="21"/>
                <w:szCs w:val="21"/>
              </w:rPr>
            </w:pPr>
          </w:p>
        </w:tc>
        <w:tc>
          <w:tcPr>
            <w:tcW w:w="217" w:type="dxa"/>
          </w:tcPr>
          <w:p w14:paraId="7B241274" w14:textId="77777777" w:rsidR="002C0FD9" w:rsidRPr="00CA25CF" w:rsidRDefault="002C0FD9" w:rsidP="00CA25CF">
            <w:pPr>
              <w:rPr>
                <w:rFonts w:cs="Arial"/>
                <w:color w:val="FF0000"/>
                <w:sz w:val="21"/>
                <w:szCs w:val="21"/>
              </w:rPr>
            </w:pPr>
          </w:p>
        </w:tc>
        <w:tc>
          <w:tcPr>
            <w:tcW w:w="217" w:type="dxa"/>
          </w:tcPr>
          <w:p w14:paraId="31E4D4D1" w14:textId="77777777" w:rsidR="002C0FD9" w:rsidRPr="00CA25CF" w:rsidRDefault="002C0FD9" w:rsidP="00CA25CF">
            <w:pPr>
              <w:rPr>
                <w:rFonts w:cs="Arial"/>
                <w:color w:val="FF0000"/>
                <w:sz w:val="21"/>
                <w:szCs w:val="21"/>
              </w:rPr>
            </w:pPr>
          </w:p>
        </w:tc>
        <w:tc>
          <w:tcPr>
            <w:tcW w:w="217" w:type="dxa"/>
          </w:tcPr>
          <w:p w14:paraId="32C52653" w14:textId="77777777" w:rsidR="002C0FD9" w:rsidRPr="00CA25CF" w:rsidRDefault="002C0FD9" w:rsidP="00CA25CF">
            <w:pPr>
              <w:rPr>
                <w:rFonts w:cs="Arial"/>
                <w:color w:val="FF0000"/>
                <w:sz w:val="21"/>
                <w:szCs w:val="21"/>
              </w:rPr>
            </w:pPr>
          </w:p>
        </w:tc>
        <w:tc>
          <w:tcPr>
            <w:tcW w:w="217" w:type="dxa"/>
          </w:tcPr>
          <w:p w14:paraId="505C142B" w14:textId="77777777" w:rsidR="002C0FD9" w:rsidRPr="00CA25CF" w:rsidRDefault="002C0FD9" w:rsidP="00CA25CF">
            <w:pPr>
              <w:rPr>
                <w:rFonts w:cs="Arial"/>
                <w:color w:val="FF0000"/>
                <w:sz w:val="21"/>
                <w:szCs w:val="21"/>
              </w:rPr>
            </w:pPr>
          </w:p>
        </w:tc>
        <w:tc>
          <w:tcPr>
            <w:tcW w:w="217" w:type="dxa"/>
          </w:tcPr>
          <w:p w14:paraId="777EA38A" w14:textId="77777777" w:rsidR="002C0FD9" w:rsidRPr="00CA25CF" w:rsidRDefault="002C0FD9" w:rsidP="00CA25CF">
            <w:pPr>
              <w:rPr>
                <w:rFonts w:cs="Arial"/>
                <w:color w:val="FF0000"/>
                <w:sz w:val="21"/>
                <w:szCs w:val="21"/>
              </w:rPr>
            </w:pPr>
          </w:p>
        </w:tc>
        <w:tc>
          <w:tcPr>
            <w:tcW w:w="217" w:type="dxa"/>
          </w:tcPr>
          <w:p w14:paraId="5054D0E1" w14:textId="77777777" w:rsidR="002C0FD9" w:rsidRPr="00CA25CF" w:rsidRDefault="002C0FD9" w:rsidP="00CA25CF">
            <w:pPr>
              <w:rPr>
                <w:rFonts w:cs="Arial"/>
                <w:color w:val="FF0000"/>
                <w:sz w:val="21"/>
                <w:szCs w:val="21"/>
              </w:rPr>
            </w:pPr>
          </w:p>
        </w:tc>
        <w:tc>
          <w:tcPr>
            <w:tcW w:w="217" w:type="dxa"/>
          </w:tcPr>
          <w:p w14:paraId="60DE2938" w14:textId="77777777" w:rsidR="002C0FD9" w:rsidRPr="00CA25CF" w:rsidRDefault="002C0FD9" w:rsidP="00CA25CF">
            <w:pPr>
              <w:rPr>
                <w:rFonts w:cs="Arial"/>
                <w:color w:val="FF0000"/>
                <w:sz w:val="21"/>
                <w:szCs w:val="21"/>
              </w:rPr>
            </w:pPr>
          </w:p>
        </w:tc>
        <w:tc>
          <w:tcPr>
            <w:tcW w:w="217" w:type="dxa"/>
          </w:tcPr>
          <w:p w14:paraId="45E02F3F" w14:textId="77777777" w:rsidR="002C0FD9" w:rsidRPr="00CA25CF" w:rsidRDefault="002C0FD9" w:rsidP="00CA25CF">
            <w:pPr>
              <w:rPr>
                <w:rFonts w:cs="Arial"/>
                <w:color w:val="FF0000"/>
                <w:sz w:val="21"/>
                <w:szCs w:val="21"/>
              </w:rPr>
            </w:pPr>
          </w:p>
        </w:tc>
        <w:tc>
          <w:tcPr>
            <w:tcW w:w="217" w:type="dxa"/>
          </w:tcPr>
          <w:p w14:paraId="44815EED" w14:textId="77777777" w:rsidR="002C0FD9" w:rsidRPr="00CA25CF" w:rsidRDefault="002C0FD9" w:rsidP="00CA25CF">
            <w:pPr>
              <w:rPr>
                <w:rFonts w:cs="Arial"/>
                <w:color w:val="FF0000"/>
                <w:sz w:val="21"/>
                <w:szCs w:val="21"/>
              </w:rPr>
            </w:pPr>
          </w:p>
        </w:tc>
        <w:tc>
          <w:tcPr>
            <w:tcW w:w="217" w:type="dxa"/>
          </w:tcPr>
          <w:p w14:paraId="3223782D" w14:textId="77777777" w:rsidR="002C0FD9" w:rsidRPr="00CA25CF" w:rsidRDefault="002C0FD9" w:rsidP="00CA25CF">
            <w:pPr>
              <w:rPr>
                <w:rFonts w:cs="Arial"/>
                <w:color w:val="FF0000"/>
                <w:sz w:val="21"/>
                <w:szCs w:val="21"/>
              </w:rPr>
            </w:pPr>
          </w:p>
        </w:tc>
        <w:tc>
          <w:tcPr>
            <w:tcW w:w="217" w:type="dxa"/>
          </w:tcPr>
          <w:p w14:paraId="15C6142B" w14:textId="77777777" w:rsidR="002C0FD9" w:rsidRPr="00CA25CF" w:rsidRDefault="002C0FD9" w:rsidP="00CA25CF">
            <w:pPr>
              <w:rPr>
                <w:rFonts w:cs="Arial"/>
                <w:color w:val="FF0000"/>
                <w:sz w:val="21"/>
                <w:szCs w:val="21"/>
              </w:rPr>
            </w:pPr>
          </w:p>
        </w:tc>
        <w:tc>
          <w:tcPr>
            <w:tcW w:w="217" w:type="dxa"/>
          </w:tcPr>
          <w:p w14:paraId="6B00637A" w14:textId="77777777" w:rsidR="002C0FD9" w:rsidRPr="00CA25CF" w:rsidRDefault="002C0FD9" w:rsidP="00CA25CF">
            <w:pPr>
              <w:rPr>
                <w:rFonts w:cs="Arial"/>
                <w:color w:val="FF0000"/>
                <w:sz w:val="21"/>
                <w:szCs w:val="21"/>
              </w:rPr>
            </w:pPr>
          </w:p>
        </w:tc>
        <w:tc>
          <w:tcPr>
            <w:tcW w:w="217" w:type="dxa"/>
          </w:tcPr>
          <w:p w14:paraId="08F51F75" w14:textId="77777777" w:rsidR="002C0FD9" w:rsidRPr="00CA25CF" w:rsidRDefault="002C0FD9" w:rsidP="00CA25CF">
            <w:pPr>
              <w:rPr>
                <w:rFonts w:cs="Arial"/>
                <w:color w:val="FF0000"/>
                <w:sz w:val="21"/>
                <w:szCs w:val="21"/>
              </w:rPr>
            </w:pPr>
          </w:p>
        </w:tc>
        <w:tc>
          <w:tcPr>
            <w:tcW w:w="217" w:type="dxa"/>
          </w:tcPr>
          <w:p w14:paraId="3EC480C7" w14:textId="77777777" w:rsidR="002C0FD9" w:rsidRPr="00CA25CF" w:rsidRDefault="002C0FD9" w:rsidP="00CA25CF">
            <w:pPr>
              <w:rPr>
                <w:rFonts w:cs="Arial"/>
                <w:color w:val="FF0000"/>
                <w:sz w:val="21"/>
                <w:szCs w:val="21"/>
              </w:rPr>
            </w:pPr>
          </w:p>
        </w:tc>
        <w:tc>
          <w:tcPr>
            <w:tcW w:w="217" w:type="dxa"/>
          </w:tcPr>
          <w:p w14:paraId="138D31C1" w14:textId="77777777" w:rsidR="002C0FD9" w:rsidRPr="00CA25CF" w:rsidRDefault="002C0FD9" w:rsidP="00CA25CF">
            <w:pPr>
              <w:rPr>
                <w:rFonts w:cs="Arial"/>
                <w:color w:val="FF0000"/>
                <w:sz w:val="21"/>
                <w:szCs w:val="21"/>
              </w:rPr>
            </w:pPr>
          </w:p>
        </w:tc>
        <w:tc>
          <w:tcPr>
            <w:tcW w:w="217" w:type="dxa"/>
          </w:tcPr>
          <w:p w14:paraId="2ABA7C53" w14:textId="77777777" w:rsidR="002C0FD9" w:rsidRPr="00CA25CF" w:rsidRDefault="002C0FD9" w:rsidP="00CA25CF">
            <w:pPr>
              <w:rPr>
                <w:rFonts w:cs="Arial"/>
                <w:color w:val="FF0000"/>
                <w:sz w:val="21"/>
                <w:szCs w:val="21"/>
              </w:rPr>
            </w:pPr>
          </w:p>
        </w:tc>
        <w:tc>
          <w:tcPr>
            <w:tcW w:w="217" w:type="dxa"/>
          </w:tcPr>
          <w:p w14:paraId="4F40535E" w14:textId="77777777" w:rsidR="002C0FD9" w:rsidRPr="00CA25CF" w:rsidRDefault="002C0FD9" w:rsidP="00CA25CF">
            <w:pPr>
              <w:rPr>
                <w:rFonts w:cs="Arial"/>
                <w:color w:val="FF0000"/>
                <w:sz w:val="21"/>
                <w:szCs w:val="21"/>
              </w:rPr>
            </w:pPr>
          </w:p>
        </w:tc>
        <w:tc>
          <w:tcPr>
            <w:tcW w:w="217" w:type="dxa"/>
          </w:tcPr>
          <w:p w14:paraId="71CB2778" w14:textId="77777777" w:rsidR="002C0FD9" w:rsidRPr="00CA25CF" w:rsidRDefault="002C0FD9" w:rsidP="00CA25CF">
            <w:pPr>
              <w:rPr>
                <w:rFonts w:cs="Arial"/>
                <w:color w:val="FF0000"/>
                <w:sz w:val="21"/>
                <w:szCs w:val="21"/>
              </w:rPr>
            </w:pPr>
          </w:p>
        </w:tc>
      </w:tr>
      <w:tr w:rsidR="002C0FD9" w:rsidRPr="00A16219" w14:paraId="4B8E9345" w14:textId="77777777" w:rsidTr="002C0FD9">
        <w:trPr>
          <w:trHeight w:val="635"/>
        </w:trPr>
        <w:tc>
          <w:tcPr>
            <w:tcW w:w="515" w:type="dxa"/>
          </w:tcPr>
          <w:p w14:paraId="7A886276" w14:textId="77777777" w:rsidR="002C0FD9" w:rsidRPr="00CA25CF" w:rsidRDefault="002C0FD9" w:rsidP="00CA25CF">
            <w:pPr>
              <w:rPr>
                <w:rFonts w:cs="Arial"/>
                <w:color w:val="FF0000"/>
                <w:sz w:val="21"/>
                <w:szCs w:val="21"/>
              </w:rPr>
            </w:pPr>
          </w:p>
        </w:tc>
        <w:tc>
          <w:tcPr>
            <w:tcW w:w="217" w:type="dxa"/>
          </w:tcPr>
          <w:p w14:paraId="5D364326" w14:textId="77777777" w:rsidR="002C0FD9" w:rsidRPr="00CA25CF" w:rsidRDefault="002C0FD9" w:rsidP="00CA25CF">
            <w:pPr>
              <w:rPr>
                <w:rFonts w:cs="Arial"/>
                <w:color w:val="FF0000"/>
                <w:sz w:val="21"/>
                <w:szCs w:val="21"/>
              </w:rPr>
            </w:pPr>
          </w:p>
        </w:tc>
        <w:tc>
          <w:tcPr>
            <w:tcW w:w="217" w:type="dxa"/>
          </w:tcPr>
          <w:p w14:paraId="05BAF36E" w14:textId="77777777" w:rsidR="002C0FD9" w:rsidRPr="00CA25CF" w:rsidRDefault="002C0FD9" w:rsidP="00CA25CF">
            <w:pPr>
              <w:rPr>
                <w:rFonts w:cs="Arial"/>
                <w:color w:val="FF0000"/>
                <w:sz w:val="21"/>
                <w:szCs w:val="21"/>
              </w:rPr>
            </w:pPr>
          </w:p>
        </w:tc>
        <w:tc>
          <w:tcPr>
            <w:tcW w:w="217" w:type="dxa"/>
          </w:tcPr>
          <w:p w14:paraId="701988A4" w14:textId="77777777" w:rsidR="002C0FD9" w:rsidRPr="00CA25CF" w:rsidRDefault="002C0FD9" w:rsidP="00CA25CF">
            <w:pPr>
              <w:rPr>
                <w:rFonts w:cs="Arial"/>
                <w:color w:val="FF0000"/>
                <w:sz w:val="21"/>
                <w:szCs w:val="21"/>
              </w:rPr>
            </w:pPr>
          </w:p>
        </w:tc>
        <w:tc>
          <w:tcPr>
            <w:tcW w:w="217" w:type="dxa"/>
          </w:tcPr>
          <w:p w14:paraId="1E9BF8EF" w14:textId="77777777" w:rsidR="002C0FD9" w:rsidRPr="00CA25CF" w:rsidRDefault="002C0FD9" w:rsidP="00CA25CF">
            <w:pPr>
              <w:rPr>
                <w:rFonts w:cs="Arial"/>
                <w:color w:val="FF0000"/>
                <w:sz w:val="21"/>
                <w:szCs w:val="21"/>
              </w:rPr>
            </w:pPr>
          </w:p>
        </w:tc>
        <w:tc>
          <w:tcPr>
            <w:tcW w:w="217" w:type="dxa"/>
          </w:tcPr>
          <w:p w14:paraId="60A9BE51" w14:textId="77777777" w:rsidR="002C0FD9" w:rsidRPr="00CA25CF" w:rsidRDefault="002C0FD9" w:rsidP="00CA25CF">
            <w:pPr>
              <w:rPr>
                <w:rFonts w:cs="Arial"/>
                <w:color w:val="FF0000"/>
                <w:sz w:val="21"/>
                <w:szCs w:val="21"/>
              </w:rPr>
            </w:pPr>
          </w:p>
        </w:tc>
        <w:tc>
          <w:tcPr>
            <w:tcW w:w="217" w:type="dxa"/>
          </w:tcPr>
          <w:p w14:paraId="6AF70CEE" w14:textId="77777777" w:rsidR="002C0FD9" w:rsidRPr="00CA25CF" w:rsidRDefault="002C0FD9" w:rsidP="00CA25CF">
            <w:pPr>
              <w:rPr>
                <w:rFonts w:cs="Arial"/>
                <w:color w:val="FF0000"/>
                <w:sz w:val="21"/>
                <w:szCs w:val="21"/>
              </w:rPr>
            </w:pPr>
          </w:p>
        </w:tc>
        <w:tc>
          <w:tcPr>
            <w:tcW w:w="217" w:type="dxa"/>
          </w:tcPr>
          <w:p w14:paraId="22B7E8B2" w14:textId="77777777" w:rsidR="002C0FD9" w:rsidRPr="00CA25CF" w:rsidRDefault="002C0FD9" w:rsidP="00CA25CF">
            <w:pPr>
              <w:rPr>
                <w:rFonts w:cs="Arial"/>
                <w:color w:val="FF0000"/>
                <w:sz w:val="21"/>
                <w:szCs w:val="21"/>
              </w:rPr>
            </w:pPr>
          </w:p>
        </w:tc>
        <w:tc>
          <w:tcPr>
            <w:tcW w:w="217" w:type="dxa"/>
          </w:tcPr>
          <w:p w14:paraId="0466AD3D" w14:textId="77777777" w:rsidR="002C0FD9" w:rsidRPr="00CA25CF" w:rsidRDefault="002C0FD9" w:rsidP="00CA25CF">
            <w:pPr>
              <w:rPr>
                <w:rFonts w:cs="Arial"/>
                <w:color w:val="FF0000"/>
                <w:sz w:val="21"/>
                <w:szCs w:val="21"/>
              </w:rPr>
            </w:pPr>
          </w:p>
        </w:tc>
        <w:tc>
          <w:tcPr>
            <w:tcW w:w="217" w:type="dxa"/>
          </w:tcPr>
          <w:p w14:paraId="7210B5F4" w14:textId="77777777" w:rsidR="002C0FD9" w:rsidRPr="00CA25CF" w:rsidRDefault="002C0FD9" w:rsidP="00CA25CF">
            <w:pPr>
              <w:rPr>
                <w:rFonts w:cs="Arial"/>
                <w:color w:val="FF0000"/>
                <w:sz w:val="21"/>
                <w:szCs w:val="21"/>
              </w:rPr>
            </w:pPr>
          </w:p>
        </w:tc>
        <w:tc>
          <w:tcPr>
            <w:tcW w:w="217" w:type="dxa"/>
          </w:tcPr>
          <w:p w14:paraId="062145B5" w14:textId="77777777" w:rsidR="002C0FD9" w:rsidRPr="00CA25CF" w:rsidRDefault="002C0FD9" w:rsidP="00CA25CF">
            <w:pPr>
              <w:rPr>
                <w:rFonts w:cs="Arial"/>
                <w:color w:val="FF0000"/>
                <w:sz w:val="21"/>
                <w:szCs w:val="21"/>
              </w:rPr>
            </w:pPr>
          </w:p>
        </w:tc>
        <w:tc>
          <w:tcPr>
            <w:tcW w:w="217" w:type="dxa"/>
          </w:tcPr>
          <w:p w14:paraId="457BF22B" w14:textId="77777777" w:rsidR="002C0FD9" w:rsidRPr="00CA25CF" w:rsidRDefault="002C0FD9" w:rsidP="00CA25CF">
            <w:pPr>
              <w:rPr>
                <w:rFonts w:cs="Arial"/>
                <w:color w:val="FF0000"/>
                <w:sz w:val="21"/>
                <w:szCs w:val="21"/>
              </w:rPr>
            </w:pPr>
          </w:p>
        </w:tc>
        <w:tc>
          <w:tcPr>
            <w:tcW w:w="217" w:type="dxa"/>
          </w:tcPr>
          <w:p w14:paraId="3F06250D" w14:textId="77777777" w:rsidR="002C0FD9" w:rsidRPr="00CA25CF" w:rsidRDefault="002C0FD9" w:rsidP="00CA25CF">
            <w:pPr>
              <w:rPr>
                <w:rFonts w:cs="Arial"/>
                <w:color w:val="FF0000"/>
                <w:sz w:val="21"/>
                <w:szCs w:val="21"/>
              </w:rPr>
            </w:pPr>
          </w:p>
        </w:tc>
        <w:tc>
          <w:tcPr>
            <w:tcW w:w="217" w:type="dxa"/>
          </w:tcPr>
          <w:p w14:paraId="69C83DDC" w14:textId="77777777" w:rsidR="002C0FD9" w:rsidRPr="00CA25CF" w:rsidRDefault="002C0FD9" w:rsidP="00CA25CF">
            <w:pPr>
              <w:rPr>
                <w:rFonts w:cs="Arial"/>
                <w:color w:val="FF0000"/>
                <w:sz w:val="21"/>
                <w:szCs w:val="21"/>
              </w:rPr>
            </w:pPr>
          </w:p>
        </w:tc>
        <w:tc>
          <w:tcPr>
            <w:tcW w:w="217" w:type="dxa"/>
          </w:tcPr>
          <w:p w14:paraId="41FA0E78" w14:textId="77777777" w:rsidR="002C0FD9" w:rsidRPr="00CA25CF" w:rsidRDefault="002C0FD9" w:rsidP="00CA25CF">
            <w:pPr>
              <w:rPr>
                <w:rFonts w:cs="Arial"/>
                <w:color w:val="FF0000"/>
                <w:sz w:val="21"/>
                <w:szCs w:val="21"/>
              </w:rPr>
            </w:pPr>
          </w:p>
        </w:tc>
        <w:tc>
          <w:tcPr>
            <w:tcW w:w="217" w:type="dxa"/>
          </w:tcPr>
          <w:p w14:paraId="3109DA80" w14:textId="77777777" w:rsidR="002C0FD9" w:rsidRPr="00CA25CF" w:rsidRDefault="002C0FD9" w:rsidP="00CA25CF">
            <w:pPr>
              <w:rPr>
                <w:rFonts w:cs="Arial"/>
                <w:color w:val="FF0000"/>
                <w:sz w:val="21"/>
                <w:szCs w:val="21"/>
              </w:rPr>
            </w:pPr>
          </w:p>
        </w:tc>
        <w:tc>
          <w:tcPr>
            <w:tcW w:w="217" w:type="dxa"/>
          </w:tcPr>
          <w:p w14:paraId="62103039" w14:textId="77777777" w:rsidR="002C0FD9" w:rsidRPr="00CA25CF" w:rsidRDefault="002C0FD9" w:rsidP="00CA25CF">
            <w:pPr>
              <w:rPr>
                <w:rFonts w:cs="Arial"/>
                <w:color w:val="FF0000"/>
                <w:sz w:val="21"/>
                <w:szCs w:val="21"/>
              </w:rPr>
            </w:pPr>
          </w:p>
        </w:tc>
        <w:tc>
          <w:tcPr>
            <w:tcW w:w="217" w:type="dxa"/>
          </w:tcPr>
          <w:p w14:paraId="2216DEBD" w14:textId="77777777" w:rsidR="002C0FD9" w:rsidRPr="00CA25CF" w:rsidRDefault="002C0FD9" w:rsidP="00CA25CF">
            <w:pPr>
              <w:rPr>
                <w:rFonts w:cs="Arial"/>
                <w:color w:val="FF0000"/>
                <w:sz w:val="21"/>
                <w:szCs w:val="21"/>
              </w:rPr>
            </w:pPr>
          </w:p>
        </w:tc>
        <w:tc>
          <w:tcPr>
            <w:tcW w:w="217" w:type="dxa"/>
          </w:tcPr>
          <w:p w14:paraId="626BBEF1" w14:textId="77777777" w:rsidR="002C0FD9" w:rsidRPr="00CA25CF" w:rsidRDefault="002C0FD9" w:rsidP="00CA25CF">
            <w:pPr>
              <w:rPr>
                <w:rFonts w:cs="Arial"/>
                <w:color w:val="FF0000"/>
                <w:sz w:val="21"/>
                <w:szCs w:val="21"/>
              </w:rPr>
            </w:pPr>
          </w:p>
        </w:tc>
        <w:tc>
          <w:tcPr>
            <w:tcW w:w="217" w:type="dxa"/>
          </w:tcPr>
          <w:p w14:paraId="5A890BED" w14:textId="77777777" w:rsidR="002C0FD9" w:rsidRPr="00CA25CF" w:rsidRDefault="002C0FD9" w:rsidP="00CA25CF">
            <w:pPr>
              <w:rPr>
                <w:rFonts w:cs="Arial"/>
                <w:color w:val="FF0000"/>
                <w:sz w:val="21"/>
                <w:szCs w:val="21"/>
              </w:rPr>
            </w:pPr>
          </w:p>
        </w:tc>
        <w:tc>
          <w:tcPr>
            <w:tcW w:w="217" w:type="dxa"/>
          </w:tcPr>
          <w:p w14:paraId="569B5DE9" w14:textId="77777777" w:rsidR="002C0FD9" w:rsidRPr="00CA25CF" w:rsidRDefault="002C0FD9" w:rsidP="00CA25CF">
            <w:pPr>
              <w:rPr>
                <w:rFonts w:cs="Arial"/>
                <w:color w:val="FF0000"/>
                <w:sz w:val="21"/>
                <w:szCs w:val="21"/>
              </w:rPr>
            </w:pPr>
          </w:p>
        </w:tc>
        <w:tc>
          <w:tcPr>
            <w:tcW w:w="217" w:type="dxa"/>
          </w:tcPr>
          <w:p w14:paraId="216E932E" w14:textId="77777777" w:rsidR="002C0FD9" w:rsidRPr="00CA25CF" w:rsidRDefault="002C0FD9" w:rsidP="00CA25CF">
            <w:pPr>
              <w:rPr>
                <w:rFonts w:cs="Arial"/>
                <w:color w:val="FF0000"/>
                <w:sz w:val="21"/>
                <w:szCs w:val="21"/>
              </w:rPr>
            </w:pPr>
          </w:p>
        </w:tc>
        <w:tc>
          <w:tcPr>
            <w:tcW w:w="217" w:type="dxa"/>
          </w:tcPr>
          <w:p w14:paraId="2A1115E4" w14:textId="77777777" w:rsidR="002C0FD9" w:rsidRPr="00CA25CF" w:rsidRDefault="002C0FD9" w:rsidP="00CA25CF">
            <w:pPr>
              <w:rPr>
                <w:rFonts w:cs="Arial"/>
                <w:color w:val="FF0000"/>
                <w:sz w:val="21"/>
                <w:szCs w:val="21"/>
              </w:rPr>
            </w:pPr>
          </w:p>
        </w:tc>
        <w:tc>
          <w:tcPr>
            <w:tcW w:w="217" w:type="dxa"/>
          </w:tcPr>
          <w:p w14:paraId="6C819EEC" w14:textId="77777777" w:rsidR="002C0FD9" w:rsidRPr="00CA25CF" w:rsidRDefault="002C0FD9" w:rsidP="00CA25CF">
            <w:pPr>
              <w:rPr>
                <w:rFonts w:cs="Arial"/>
                <w:color w:val="FF0000"/>
                <w:sz w:val="21"/>
                <w:szCs w:val="21"/>
              </w:rPr>
            </w:pPr>
          </w:p>
        </w:tc>
        <w:tc>
          <w:tcPr>
            <w:tcW w:w="217" w:type="dxa"/>
          </w:tcPr>
          <w:p w14:paraId="43BAAE6F" w14:textId="77777777" w:rsidR="002C0FD9" w:rsidRPr="00CA25CF" w:rsidRDefault="002C0FD9" w:rsidP="00CA25CF">
            <w:pPr>
              <w:rPr>
                <w:rFonts w:cs="Arial"/>
                <w:color w:val="FF0000"/>
                <w:sz w:val="21"/>
                <w:szCs w:val="21"/>
              </w:rPr>
            </w:pPr>
          </w:p>
        </w:tc>
        <w:tc>
          <w:tcPr>
            <w:tcW w:w="217" w:type="dxa"/>
          </w:tcPr>
          <w:p w14:paraId="6BC2A4F9" w14:textId="77777777" w:rsidR="002C0FD9" w:rsidRPr="00CA25CF" w:rsidRDefault="002C0FD9" w:rsidP="00CA25CF">
            <w:pPr>
              <w:rPr>
                <w:rFonts w:cs="Arial"/>
                <w:color w:val="FF0000"/>
                <w:sz w:val="21"/>
                <w:szCs w:val="21"/>
              </w:rPr>
            </w:pPr>
          </w:p>
        </w:tc>
        <w:tc>
          <w:tcPr>
            <w:tcW w:w="217" w:type="dxa"/>
          </w:tcPr>
          <w:p w14:paraId="253FDDB1" w14:textId="77777777" w:rsidR="002C0FD9" w:rsidRPr="00CA25CF" w:rsidRDefault="002C0FD9" w:rsidP="00CA25CF">
            <w:pPr>
              <w:rPr>
                <w:rFonts w:cs="Arial"/>
                <w:color w:val="FF0000"/>
                <w:sz w:val="21"/>
                <w:szCs w:val="21"/>
              </w:rPr>
            </w:pPr>
          </w:p>
        </w:tc>
        <w:tc>
          <w:tcPr>
            <w:tcW w:w="217" w:type="dxa"/>
          </w:tcPr>
          <w:p w14:paraId="1E28A519" w14:textId="77777777" w:rsidR="002C0FD9" w:rsidRPr="00CA25CF" w:rsidRDefault="002C0FD9" w:rsidP="00CA25CF">
            <w:pPr>
              <w:rPr>
                <w:rFonts w:cs="Arial"/>
                <w:color w:val="FF0000"/>
                <w:sz w:val="21"/>
                <w:szCs w:val="21"/>
              </w:rPr>
            </w:pPr>
          </w:p>
        </w:tc>
        <w:tc>
          <w:tcPr>
            <w:tcW w:w="217" w:type="dxa"/>
          </w:tcPr>
          <w:p w14:paraId="185262BC" w14:textId="77777777" w:rsidR="002C0FD9" w:rsidRPr="00CA25CF" w:rsidRDefault="002C0FD9" w:rsidP="00CA25CF">
            <w:pPr>
              <w:rPr>
                <w:rFonts w:cs="Arial"/>
                <w:color w:val="FF0000"/>
                <w:sz w:val="21"/>
                <w:szCs w:val="21"/>
              </w:rPr>
            </w:pPr>
          </w:p>
        </w:tc>
        <w:tc>
          <w:tcPr>
            <w:tcW w:w="217" w:type="dxa"/>
          </w:tcPr>
          <w:p w14:paraId="2BA2980C" w14:textId="77777777" w:rsidR="002C0FD9" w:rsidRPr="00CA25CF" w:rsidRDefault="002C0FD9" w:rsidP="00CA25CF">
            <w:pPr>
              <w:rPr>
                <w:rFonts w:cs="Arial"/>
                <w:color w:val="FF0000"/>
                <w:sz w:val="21"/>
                <w:szCs w:val="21"/>
              </w:rPr>
            </w:pPr>
          </w:p>
        </w:tc>
        <w:tc>
          <w:tcPr>
            <w:tcW w:w="217" w:type="dxa"/>
          </w:tcPr>
          <w:p w14:paraId="17AFBE5B" w14:textId="77777777" w:rsidR="002C0FD9" w:rsidRPr="00CA25CF" w:rsidRDefault="002C0FD9" w:rsidP="00CA25CF">
            <w:pPr>
              <w:rPr>
                <w:rFonts w:cs="Arial"/>
                <w:color w:val="FF0000"/>
                <w:sz w:val="21"/>
                <w:szCs w:val="21"/>
              </w:rPr>
            </w:pPr>
          </w:p>
        </w:tc>
        <w:tc>
          <w:tcPr>
            <w:tcW w:w="217" w:type="dxa"/>
          </w:tcPr>
          <w:p w14:paraId="4C26732A" w14:textId="77777777" w:rsidR="002C0FD9" w:rsidRPr="00CA25CF" w:rsidRDefault="002C0FD9" w:rsidP="00CA25CF">
            <w:pPr>
              <w:rPr>
                <w:rFonts w:cs="Arial"/>
                <w:color w:val="FF0000"/>
                <w:sz w:val="21"/>
                <w:szCs w:val="21"/>
              </w:rPr>
            </w:pPr>
          </w:p>
        </w:tc>
        <w:tc>
          <w:tcPr>
            <w:tcW w:w="217" w:type="dxa"/>
          </w:tcPr>
          <w:p w14:paraId="7A1CDE62" w14:textId="77777777" w:rsidR="002C0FD9" w:rsidRPr="00CA25CF" w:rsidRDefault="002C0FD9" w:rsidP="00CA25CF">
            <w:pPr>
              <w:rPr>
                <w:rFonts w:cs="Arial"/>
                <w:color w:val="FF0000"/>
                <w:sz w:val="21"/>
                <w:szCs w:val="21"/>
              </w:rPr>
            </w:pPr>
          </w:p>
        </w:tc>
        <w:tc>
          <w:tcPr>
            <w:tcW w:w="217" w:type="dxa"/>
          </w:tcPr>
          <w:p w14:paraId="408C446C" w14:textId="77777777" w:rsidR="002C0FD9" w:rsidRPr="00CA25CF" w:rsidRDefault="002C0FD9" w:rsidP="00CA25CF">
            <w:pPr>
              <w:rPr>
                <w:rFonts w:cs="Arial"/>
                <w:color w:val="FF0000"/>
                <w:sz w:val="21"/>
                <w:szCs w:val="21"/>
              </w:rPr>
            </w:pPr>
          </w:p>
        </w:tc>
        <w:tc>
          <w:tcPr>
            <w:tcW w:w="217" w:type="dxa"/>
          </w:tcPr>
          <w:p w14:paraId="6029AF96" w14:textId="77777777" w:rsidR="002C0FD9" w:rsidRPr="00CA25CF" w:rsidRDefault="002C0FD9" w:rsidP="00CA25CF">
            <w:pPr>
              <w:rPr>
                <w:rFonts w:cs="Arial"/>
                <w:color w:val="FF0000"/>
                <w:sz w:val="21"/>
                <w:szCs w:val="21"/>
              </w:rPr>
            </w:pPr>
          </w:p>
        </w:tc>
        <w:tc>
          <w:tcPr>
            <w:tcW w:w="217" w:type="dxa"/>
          </w:tcPr>
          <w:p w14:paraId="3A41EADA" w14:textId="77777777" w:rsidR="002C0FD9" w:rsidRPr="00CA25CF" w:rsidRDefault="002C0FD9" w:rsidP="00CA25CF">
            <w:pPr>
              <w:rPr>
                <w:rFonts w:cs="Arial"/>
                <w:color w:val="FF0000"/>
                <w:sz w:val="21"/>
                <w:szCs w:val="21"/>
              </w:rPr>
            </w:pPr>
          </w:p>
        </w:tc>
        <w:tc>
          <w:tcPr>
            <w:tcW w:w="217" w:type="dxa"/>
          </w:tcPr>
          <w:p w14:paraId="0DDB937A" w14:textId="77777777" w:rsidR="002C0FD9" w:rsidRPr="00CA25CF" w:rsidRDefault="002C0FD9" w:rsidP="00CA25CF">
            <w:pPr>
              <w:rPr>
                <w:rFonts w:cs="Arial"/>
                <w:color w:val="FF0000"/>
                <w:sz w:val="21"/>
                <w:szCs w:val="21"/>
              </w:rPr>
            </w:pPr>
          </w:p>
        </w:tc>
        <w:tc>
          <w:tcPr>
            <w:tcW w:w="217" w:type="dxa"/>
          </w:tcPr>
          <w:p w14:paraId="3BB56079" w14:textId="77777777" w:rsidR="002C0FD9" w:rsidRPr="00CA25CF" w:rsidRDefault="002C0FD9" w:rsidP="00CA25CF">
            <w:pPr>
              <w:rPr>
                <w:rFonts w:cs="Arial"/>
                <w:color w:val="FF0000"/>
                <w:sz w:val="21"/>
                <w:szCs w:val="21"/>
              </w:rPr>
            </w:pPr>
          </w:p>
        </w:tc>
        <w:tc>
          <w:tcPr>
            <w:tcW w:w="217" w:type="dxa"/>
          </w:tcPr>
          <w:p w14:paraId="3842E1CB" w14:textId="77777777" w:rsidR="002C0FD9" w:rsidRPr="00CA25CF" w:rsidRDefault="002C0FD9" w:rsidP="00CA25CF">
            <w:pPr>
              <w:rPr>
                <w:rFonts w:cs="Arial"/>
                <w:color w:val="FF0000"/>
                <w:sz w:val="21"/>
                <w:szCs w:val="21"/>
              </w:rPr>
            </w:pPr>
          </w:p>
        </w:tc>
        <w:tc>
          <w:tcPr>
            <w:tcW w:w="217" w:type="dxa"/>
          </w:tcPr>
          <w:p w14:paraId="78DCE86F" w14:textId="77777777" w:rsidR="002C0FD9" w:rsidRPr="00CA25CF" w:rsidRDefault="002C0FD9" w:rsidP="00CA25CF">
            <w:pPr>
              <w:rPr>
                <w:rFonts w:cs="Arial"/>
                <w:color w:val="FF0000"/>
                <w:sz w:val="21"/>
                <w:szCs w:val="21"/>
              </w:rPr>
            </w:pPr>
          </w:p>
        </w:tc>
        <w:tc>
          <w:tcPr>
            <w:tcW w:w="217" w:type="dxa"/>
          </w:tcPr>
          <w:p w14:paraId="4DCDD34C" w14:textId="77777777" w:rsidR="002C0FD9" w:rsidRPr="00CA25CF" w:rsidRDefault="002C0FD9" w:rsidP="00CA25CF">
            <w:pPr>
              <w:rPr>
                <w:rFonts w:cs="Arial"/>
                <w:color w:val="FF0000"/>
                <w:sz w:val="21"/>
                <w:szCs w:val="21"/>
              </w:rPr>
            </w:pPr>
          </w:p>
        </w:tc>
        <w:tc>
          <w:tcPr>
            <w:tcW w:w="217" w:type="dxa"/>
          </w:tcPr>
          <w:p w14:paraId="6C2FF6E1" w14:textId="77777777" w:rsidR="002C0FD9" w:rsidRPr="00CA25CF" w:rsidRDefault="002C0FD9" w:rsidP="00CA25CF">
            <w:pPr>
              <w:rPr>
                <w:rFonts w:cs="Arial"/>
                <w:color w:val="FF0000"/>
                <w:sz w:val="21"/>
                <w:szCs w:val="21"/>
              </w:rPr>
            </w:pPr>
          </w:p>
        </w:tc>
        <w:tc>
          <w:tcPr>
            <w:tcW w:w="217" w:type="dxa"/>
          </w:tcPr>
          <w:p w14:paraId="071F01A4" w14:textId="77777777" w:rsidR="002C0FD9" w:rsidRPr="00CA25CF" w:rsidRDefault="002C0FD9" w:rsidP="00CA25CF">
            <w:pPr>
              <w:rPr>
                <w:rFonts w:cs="Arial"/>
                <w:color w:val="FF0000"/>
                <w:sz w:val="21"/>
                <w:szCs w:val="21"/>
              </w:rPr>
            </w:pPr>
          </w:p>
        </w:tc>
      </w:tr>
      <w:tr w:rsidR="002C0FD9" w:rsidRPr="00A16219" w14:paraId="6F48EA11" w14:textId="77777777" w:rsidTr="002C0FD9">
        <w:trPr>
          <w:trHeight w:val="635"/>
        </w:trPr>
        <w:tc>
          <w:tcPr>
            <w:tcW w:w="515" w:type="dxa"/>
          </w:tcPr>
          <w:p w14:paraId="37B49BBA" w14:textId="77777777" w:rsidR="002C0FD9" w:rsidRPr="00CA25CF" w:rsidRDefault="002C0FD9" w:rsidP="00CA25CF">
            <w:pPr>
              <w:rPr>
                <w:rFonts w:cs="Arial"/>
                <w:color w:val="FF0000"/>
                <w:sz w:val="21"/>
                <w:szCs w:val="21"/>
              </w:rPr>
            </w:pPr>
          </w:p>
        </w:tc>
        <w:tc>
          <w:tcPr>
            <w:tcW w:w="217" w:type="dxa"/>
          </w:tcPr>
          <w:p w14:paraId="26C70A5C" w14:textId="77777777" w:rsidR="002C0FD9" w:rsidRPr="00CA25CF" w:rsidRDefault="002C0FD9" w:rsidP="00CA25CF">
            <w:pPr>
              <w:rPr>
                <w:rFonts w:cs="Arial"/>
                <w:color w:val="FF0000"/>
                <w:sz w:val="21"/>
                <w:szCs w:val="21"/>
              </w:rPr>
            </w:pPr>
          </w:p>
        </w:tc>
        <w:tc>
          <w:tcPr>
            <w:tcW w:w="217" w:type="dxa"/>
          </w:tcPr>
          <w:p w14:paraId="3CE53274" w14:textId="77777777" w:rsidR="002C0FD9" w:rsidRPr="00CA25CF" w:rsidRDefault="002C0FD9" w:rsidP="00CA25CF">
            <w:pPr>
              <w:rPr>
                <w:rFonts w:cs="Arial"/>
                <w:color w:val="FF0000"/>
                <w:sz w:val="21"/>
                <w:szCs w:val="21"/>
              </w:rPr>
            </w:pPr>
          </w:p>
        </w:tc>
        <w:tc>
          <w:tcPr>
            <w:tcW w:w="217" w:type="dxa"/>
          </w:tcPr>
          <w:p w14:paraId="3FCD6D79" w14:textId="77777777" w:rsidR="002C0FD9" w:rsidRPr="00CA25CF" w:rsidRDefault="002C0FD9" w:rsidP="00CA25CF">
            <w:pPr>
              <w:rPr>
                <w:rFonts w:cs="Arial"/>
                <w:color w:val="FF0000"/>
                <w:sz w:val="21"/>
                <w:szCs w:val="21"/>
              </w:rPr>
            </w:pPr>
          </w:p>
        </w:tc>
        <w:tc>
          <w:tcPr>
            <w:tcW w:w="217" w:type="dxa"/>
          </w:tcPr>
          <w:p w14:paraId="46ED92EC" w14:textId="77777777" w:rsidR="002C0FD9" w:rsidRPr="00CA25CF" w:rsidRDefault="002C0FD9" w:rsidP="00CA25CF">
            <w:pPr>
              <w:rPr>
                <w:rFonts w:cs="Arial"/>
                <w:color w:val="FF0000"/>
                <w:sz w:val="21"/>
                <w:szCs w:val="21"/>
              </w:rPr>
            </w:pPr>
          </w:p>
        </w:tc>
        <w:tc>
          <w:tcPr>
            <w:tcW w:w="217" w:type="dxa"/>
          </w:tcPr>
          <w:p w14:paraId="232A4B04" w14:textId="77777777" w:rsidR="002C0FD9" w:rsidRPr="00CA25CF" w:rsidRDefault="002C0FD9" w:rsidP="00CA25CF">
            <w:pPr>
              <w:rPr>
                <w:rFonts w:cs="Arial"/>
                <w:color w:val="FF0000"/>
                <w:sz w:val="21"/>
                <w:szCs w:val="21"/>
              </w:rPr>
            </w:pPr>
          </w:p>
        </w:tc>
        <w:tc>
          <w:tcPr>
            <w:tcW w:w="217" w:type="dxa"/>
          </w:tcPr>
          <w:p w14:paraId="288CA5C8" w14:textId="77777777" w:rsidR="002C0FD9" w:rsidRPr="00CA25CF" w:rsidRDefault="002C0FD9" w:rsidP="00CA25CF">
            <w:pPr>
              <w:rPr>
                <w:rFonts w:cs="Arial"/>
                <w:color w:val="FF0000"/>
                <w:sz w:val="21"/>
                <w:szCs w:val="21"/>
              </w:rPr>
            </w:pPr>
          </w:p>
        </w:tc>
        <w:tc>
          <w:tcPr>
            <w:tcW w:w="217" w:type="dxa"/>
          </w:tcPr>
          <w:p w14:paraId="36C0AE84" w14:textId="77777777" w:rsidR="002C0FD9" w:rsidRPr="00CA25CF" w:rsidRDefault="002C0FD9" w:rsidP="00CA25CF">
            <w:pPr>
              <w:rPr>
                <w:rFonts w:cs="Arial"/>
                <w:color w:val="FF0000"/>
                <w:sz w:val="21"/>
                <w:szCs w:val="21"/>
              </w:rPr>
            </w:pPr>
          </w:p>
        </w:tc>
        <w:tc>
          <w:tcPr>
            <w:tcW w:w="217" w:type="dxa"/>
          </w:tcPr>
          <w:p w14:paraId="18F3D506" w14:textId="77777777" w:rsidR="002C0FD9" w:rsidRPr="00CA25CF" w:rsidRDefault="002C0FD9" w:rsidP="00CA25CF">
            <w:pPr>
              <w:rPr>
                <w:rFonts w:cs="Arial"/>
                <w:color w:val="FF0000"/>
                <w:sz w:val="21"/>
                <w:szCs w:val="21"/>
              </w:rPr>
            </w:pPr>
          </w:p>
        </w:tc>
        <w:tc>
          <w:tcPr>
            <w:tcW w:w="217" w:type="dxa"/>
          </w:tcPr>
          <w:p w14:paraId="5D3FFD34" w14:textId="77777777" w:rsidR="002C0FD9" w:rsidRPr="00CA25CF" w:rsidRDefault="002C0FD9" w:rsidP="00CA25CF">
            <w:pPr>
              <w:rPr>
                <w:rFonts w:cs="Arial"/>
                <w:color w:val="FF0000"/>
                <w:sz w:val="21"/>
                <w:szCs w:val="21"/>
              </w:rPr>
            </w:pPr>
          </w:p>
        </w:tc>
        <w:tc>
          <w:tcPr>
            <w:tcW w:w="217" w:type="dxa"/>
          </w:tcPr>
          <w:p w14:paraId="7AE18C4E" w14:textId="77777777" w:rsidR="002C0FD9" w:rsidRPr="00CA25CF" w:rsidRDefault="002C0FD9" w:rsidP="00CA25CF">
            <w:pPr>
              <w:rPr>
                <w:rFonts w:cs="Arial"/>
                <w:color w:val="FF0000"/>
                <w:sz w:val="21"/>
                <w:szCs w:val="21"/>
              </w:rPr>
            </w:pPr>
          </w:p>
        </w:tc>
        <w:tc>
          <w:tcPr>
            <w:tcW w:w="217" w:type="dxa"/>
          </w:tcPr>
          <w:p w14:paraId="39D07310" w14:textId="77777777" w:rsidR="002C0FD9" w:rsidRPr="00CA25CF" w:rsidRDefault="002C0FD9" w:rsidP="00CA25CF">
            <w:pPr>
              <w:rPr>
                <w:rFonts w:cs="Arial"/>
                <w:color w:val="FF0000"/>
                <w:sz w:val="21"/>
                <w:szCs w:val="21"/>
              </w:rPr>
            </w:pPr>
          </w:p>
        </w:tc>
        <w:tc>
          <w:tcPr>
            <w:tcW w:w="217" w:type="dxa"/>
          </w:tcPr>
          <w:p w14:paraId="0CDB07DB" w14:textId="77777777" w:rsidR="002C0FD9" w:rsidRPr="00CA25CF" w:rsidRDefault="002C0FD9" w:rsidP="00CA25CF">
            <w:pPr>
              <w:rPr>
                <w:rFonts w:cs="Arial"/>
                <w:color w:val="FF0000"/>
                <w:sz w:val="21"/>
                <w:szCs w:val="21"/>
              </w:rPr>
            </w:pPr>
          </w:p>
        </w:tc>
        <w:tc>
          <w:tcPr>
            <w:tcW w:w="217" w:type="dxa"/>
          </w:tcPr>
          <w:p w14:paraId="49C90445" w14:textId="77777777" w:rsidR="002C0FD9" w:rsidRPr="00CA25CF" w:rsidRDefault="002C0FD9" w:rsidP="00CA25CF">
            <w:pPr>
              <w:rPr>
                <w:rFonts w:cs="Arial"/>
                <w:color w:val="FF0000"/>
                <w:sz w:val="21"/>
                <w:szCs w:val="21"/>
              </w:rPr>
            </w:pPr>
          </w:p>
        </w:tc>
        <w:tc>
          <w:tcPr>
            <w:tcW w:w="217" w:type="dxa"/>
          </w:tcPr>
          <w:p w14:paraId="3FB5AF3F" w14:textId="77777777" w:rsidR="002C0FD9" w:rsidRPr="00CA25CF" w:rsidRDefault="002C0FD9" w:rsidP="00CA25CF">
            <w:pPr>
              <w:rPr>
                <w:rFonts w:cs="Arial"/>
                <w:color w:val="FF0000"/>
                <w:sz w:val="21"/>
                <w:szCs w:val="21"/>
              </w:rPr>
            </w:pPr>
          </w:p>
        </w:tc>
        <w:tc>
          <w:tcPr>
            <w:tcW w:w="217" w:type="dxa"/>
          </w:tcPr>
          <w:p w14:paraId="3810D81B" w14:textId="77777777" w:rsidR="002C0FD9" w:rsidRPr="00CA25CF" w:rsidRDefault="002C0FD9" w:rsidP="00CA25CF">
            <w:pPr>
              <w:rPr>
                <w:rFonts w:cs="Arial"/>
                <w:color w:val="FF0000"/>
                <w:sz w:val="21"/>
                <w:szCs w:val="21"/>
              </w:rPr>
            </w:pPr>
          </w:p>
        </w:tc>
        <w:tc>
          <w:tcPr>
            <w:tcW w:w="217" w:type="dxa"/>
          </w:tcPr>
          <w:p w14:paraId="793F63F0" w14:textId="77777777" w:rsidR="002C0FD9" w:rsidRPr="00CA25CF" w:rsidRDefault="002C0FD9" w:rsidP="00CA25CF">
            <w:pPr>
              <w:rPr>
                <w:rFonts w:cs="Arial"/>
                <w:color w:val="FF0000"/>
                <w:sz w:val="21"/>
                <w:szCs w:val="21"/>
              </w:rPr>
            </w:pPr>
          </w:p>
        </w:tc>
        <w:tc>
          <w:tcPr>
            <w:tcW w:w="217" w:type="dxa"/>
          </w:tcPr>
          <w:p w14:paraId="0FE9F01E" w14:textId="77777777" w:rsidR="002C0FD9" w:rsidRPr="00CA25CF" w:rsidRDefault="002C0FD9" w:rsidP="00CA25CF">
            <w:pPr>
              <w:rPr>
                <w:rFonts w:cs="Arial"/>
                <w:color w:val="FF0000"/>
                <w:sz w:val="21"/>
                <w:szCs w:val="21"/>
              </w:rPr>
            </w:pPr>
          </w:p>
        </w:tc>
        <w:tc>
          <w:tcPr>
            <w:tcW w:w="217" w:type="dxa"/>
          </w:tcPr>
          <w:p w14:paraId="1CAD6107" w14:textId="77777777" w:rsidR="002C0FD9" w:rsidRPr="00CA25CF" w:rsidRDefault="002C0FD9" w:rsidP="00CA25CF">
            <w:pPr>
              <w:rPr>
                <w:rFonts w:cs="Arial"/>
                <w:color w:val="FF0000"/>
                <w:sz w:val="21"/>
                <w:szCs w:val="21"/>
              </w:rPr>
            </w:pPr>
          </w:p>
        </w:tc>
        <w:tc>
          <w:tcPr>
            <w:tcW w:w="217" w:type="dxa"/>
          </w:tcPr>
          <w:p w14:paraId="427010E0" w14:textId="77777777" w:rsidR="002C0FD9" w:rsidRPr="00CA25CF" w:rsidRDefault="002C0FD9" w:rsidP="00CA25CF">
            <w:pPr>
              <w:rPr>
                <w:rFonts w:cs="Arial"/>
                <w:color w:val="FF0000"/>
                <w:sz w:val="21"/>
                <w:szCs w:val="21"/>
              </w:rPr>
            </w:pPr>
          </w:p>
        </w:tc>
        <w:tc>
          <w:tcPr>
            <w:tcW w:w="217" w:type="dxa"/>
          </w:tcPr>
          <w:p w14:paraId="60443837" w14:textId="77777777" w:rsidR="002C0FD9" w:rsidRPr="00CA25CF" w:rsidRDefault="002C0FD9" w:rsidP="00CA25CF">
            <w:pPr>
              <w:rPr>
                <w:rFonts w:cs="Arial"/>
                <w:color w:val="FF0000"/>
                <w:sz w:val="21"/>
                <w:szCs w:val="21"/>
              </w:rPr>
            </w:pPr>
          </w:p>
        </w:tc>
        <w:tc>
          <w:tcPr>
            <w:tcW w:w="217" w:type="dxa"/>
          </w:tcPr>
          <w:p w14:paraId="342D83D4" w14:textId="77777777" w:rsidR="002C0FD9" w:rsidRPr="00CA25CF" w:rsidRDefault="002C0FD9" w:rsidP="00CA25CF">
            <w:pPr>
              <w:rPr>
                <w:rFonts w:cs="Arial"/>
                <w:color w:val="FF0000"/>
                <w:sz w:val="21"/>
                <w:szCs w:val="21"/>
              </w:rPr>
            </w:pPr>
          </w:p>
        </w:tc>
        <w:tc>
          <w:tcPr>
            <w:tcW w:w="217" w:type="dxa"/>
          </w:tcPr>
          <w:p w14:paraId="51271A6E" w14:textId="77777777" w:rsidR="002C0FD9" w:rsidRPr="00CA25CF" w:rsidRDefault="002C0FD9" w:rsidP="00CA25CF">
            <w:pPr>
              <w:rPr>
                <w:rFonts w:cs="Arial"/>
                <w:color w:val="FF0000"/>
                <w:sz w:val="21"/>
                <w:szCs w:val="21"/>
              </w:rPr>
            </w:pPr>
          </w:p>
        </w:tc>
        <w:tc>
          <w:tcPr>
            <w:tcW w:w="217" w:type="dxa"/>
          </w:tcPr>
          <w:p w14:paraId="642DD390" w14:textId="77777777" w:rsidR="002C0FD9" w:rsidRPr="00CA25CF" w:rsidRDefault="002C0FD9" w:rsidP="00CA25CF">
            <w:pPr>
              <w:rPr>
                <w:rFonts w:cs="Arial"/>
                <w:color w:val="FF0000"/>
                <w:sz w:val="21"/>
                <w:szCs w:val="21"/>
              </w:rPr>
            </w:pPr>
          </w:p>
        </w:tc>
        <w:tc>
          <w:tcPr>
            <w:tcW w:w="217" w:type="dxa"/>
          </w:tcPr>
          <w:p w14:paraId="4D1A20D7" w14:textId="77777777" w:rsidR="002C0FD9" w:rsidRPr="00CA25CF" w:rsidRDefault="002C0FD9" w:rsidP="00CA25CF">
            <w:pPr>
              <w:rPr>
                <w:rFonts w:cs="Arial"/>
                <w:color w:val="FF0000"/>
                <w:sz w:val="21"/>
                <w:szCs w:val="21"/>
              </w:rPr>
            </w:pPr>
          </w:p>
        </w:tc>
        <w:tc>
          <w:tcPr>
            <w:tcW w:w="217" w:type="dxa"/>
          </w:tcPr>
          <w:p w14:paraId="7E6AB6A9" w14:textId="77777777" w:rsidR="002C0FD9" w:rsidRPr="00CA25CF" w:rsidRDefault="002C0FD9" w:rsidP="00CA25CF">
            <w:pPr>
              <w:rPr>
                <w:rFonts w:cs="Arial"/>
                <w:color w:val="FF0000"/>
                <w:sz w:val="21"/>
                <w:szCs w:val="21"/>
              </w:rPr>
            </w:pPr>
          </w:p>
        </w:tc>
        <w:tc>
          <w:tcPr>
            <w:tcW w:w="217" w:type="dxa"/>
          </w:tcPr>
          <w:p w14:paraId="5EEE7A70" w14:textId="77777777" w:rsidR="002C0FD9" w:rsidRPr="00CA25CF" w:rsidRDefault="002C0FD9" w:rsidP="00CA25CF">
            <w:pPr>
              <w:rPr>
                <w:rFonts w:cs="Arial"/>
                <w:color w:val="FF0000"/>
                <w:sz w:val="21"/>
                <w:szCs w:val="21"/>
              </w:rPr>
            </w:pPr>
          </w:p>
        </w:tc>
        <w:tc>
          <w:tcPr>
            <w:tcW w:w="217" w:type="dxa"/>
          </w:tcPr>
          <w:p w14:paraId="7DDBFD11" w14:textId="77777777" w:rsidR="002C0FD9" w:rsidRPr="00CA25CF" w:rsidRDefault="002C0FD9" w:rsidP="00CA25CF">
            <w:pPr>
              <w:rPr>
                <w:rFonts w:cs="Arial"/>
                <w:color w:val="FF0000"/>
                <w:sz w:val="21"/>
                <w:szCs w:val="21"/>
              </w:rPr>
            </w:pPr>
          </w:p>
        </w:tc>
        <w:tc>
          <w:tcPr>
            <w:tcW w:w="217" w:type="dxa"/>
          </w:tcPr>
          <w:p w14:paraId="7B8861F8" w14:textId="77777777" w:rsidR="002C0FD9" w:rsidRPr="00CA25CF" w:rsidRDefault="002C0FD9" w:rsidP="00CA25CF">
            <w:pPr>
              <w:rPr>
                <w:rFonts w:cs="Arial"/>
                <w:color w:val="FF0000"/>
                <w:sz w:val="21"/>
                <w:szCs w:val="21"/>
              </w:rPr>
            </w:pPr>
          </w:p>
        </w:tc>
        <w:tc>
          <w:tcPr>
            <w:tcW w:w="217" w:type="dxa"/>
          </w:tcPr>
          <w:p w14:paraId="3A235D68" w14:textId="77777777" w:rsidR="002C0FD9" w:rsidRPr="00CA25CF" w:rsidRDefault="002C0FD9" w:rsidP="00CA25CF">
            <w:pPr>
              <w:rPr>
                <w:rFonts w:cs="Arial"/>
                <w:color w:val="FF0000"/>
                <w:sz w:val="21"/>
                <w:szCs w:val="21"/>
              </w:rPr>
            </w:pPr>
          </w:p>
        </w:tc>
        <w:tc>
          <w:tcPr>
            <w:tcW w:w="217" w:type="dxa"/>
          </w:tcPr>
          <w:p w14:paraId="79C3316D" w14:textId="77777777" w:rsidR="002C0FD9" w:rsidRPr="00CA25CF" w:rsidRDefault="002C0FD9" w:rsidP="00CA25CF">
            <w:pPr>
              <w:rPr>
                <w:rFonts w:cs="Arial"/>
                <w:color w:val="FF0000"/>
                <w:sz w:val="21"/>
                <w:szCs w:val="21"/>
              </w:rPr>
            </w:pPr>
          </w:p>
        </w:tc>
        <w:tc>
          <w:tcPr>
            <w:tcW w:w="217" w:type="dxa"/>
          </w:tcPr>
          <w:p w14:paraId="504C09D9" w14:textId="77777777" w:rsidR="002C0FD9" w:rsidRPr="00CA25CF" w:rsidRDefault="002C0FD9" w:rsidP="00CA25CF">
            <w:pPr>
              <w:rPr>
                <w:rFonts w:cs="Arial"/>
                <w:color w:val="FF0000"/>
                <w:sz w:val="21"/>
                <w:szCs w:val="21"/>
              </w:rPr>
            </w:pPr>
          </w:p>
        </w:tc>
        <w:tc>
          <w:tcPr>
            <w:tcW w:w="217" w:type="dxa"/>
          </w:tcPr>
          <w:p w14:paraId="1022AF37" w14:textId="77777777" w:rsidR="002C0FD9" w:rsidRPr="00CA25CF" w:rsidRDefault="002C0FD9" w:rsidP="00CA25CF">
            <w:pPr>
              <w:rPr>
                <w:rFonts w:cs="Arial"/>
                <w:color w:val="FF0000"/>
                <w:sz w:val="21"/>
                <w:szCs w:val="21"/>
              </w:rPr>
            </w:pPr>
          </w:p>
        </w:tc>
        <w:tc>
          <w:tcPr>
            <w:tcW w:w="217" w:type="dxa"/>
          </w:tcPr>
          <w:p w14:paraId="1DA87B3E" w14:textId="77777777" w:rsidR="002C0FD9" w:rsidRPr="00CA25CF" w:rsidRDefault="002C0FD9" w:rsidP="00CA25CF">
            <w:pPr>
              <w:rPr>
                <w:rFonts w:cs="Arial"/>
                <w:color w:val="FF0000"/>
                <w:sz w:val="21"/>
                <w:szCs w:val="21"/>
              </w:rPr>
            </w:pPr>
          </w:p>
        </w:tc>
        <w:tc>
          <w:tcPr>
            <w:tcW w:w="217" w:type="dxa"/>
          </w:tcPr>
          <w:p w14:paraId="638CBE15" w14:textId="77777777" w:rsidR="002C0FD9" w:rsidRPr="00CA25CF" w:rsidRDefault="002C0FD9" w:rsidP="00CA25CF">
            <w:pPr>
              <w:rPr>
                <w:rFonts w:cs="Arial"/>
                <w:color w:val="FF0000"/>
                <w:sz w:val="21"/>
                <w:szCs w:val="21"/>
              </w:rPr>
            </w:pPr>
          </w:p>
        </w:tc>
        <w:tc>
          <w:tcPr>
            <w:tcW w:w="217" w:type="dxa"/>
          </w:tcPr>
          <w:p w14:paraId="29650D30" w14:textId="77777777" w:rsidR="002C0FD9" w:rsidRPr="00CA25CF" w:rsidRDefault="002C0FD9" w:rsidP="00CA25CF">
            <w:pPr>
              <w:rPr>
                <w:rFonts w:cs="Arial"/>
                <w:color w:val="FF0000"/>
                <w:sz w:val="21"/>
                <w:szCs w:val="21"/>
              </w:rPr>
            </w:pPr>
          </w:p>
        </w:tc>
        <w:tc>
          <w:tcPr>
            <w:tcW w:w="217" w:type="dxa"/>
          </w:tcPr>
          <w:p w14:paraId="24B7B0F2" w14:textId="77777777" w:rsidR="002C0FD9" w:rsidRPr="00CA25CF" w:rsidRDefault="002C0FD9" w:rsidP="00CA25CF">
            <w:pPr>
              <w:rPr>
                <w:rFonts w:cs="Arial"/>
                <w:color w:val="FF0000"/>
                <w:sz w:val="21"/>
                <w:szCs w:val="21"/>
              </w:rPr>
            </w:pPr>
          </w:p>
        </w:tc>
        <w:tc>
          <w:tcPr>
            <w:tcW w:w="217" w:type="dxa"/>
          </w:tcPr>
          <w:p w14:paraId="360C0AD5" w14:textId="77777777" w:rsidR="002C0FD9" w:rsidRPr="00CA25CF" w:rsidRDefault="002C0FD9" w:rsidP="00CA25CF">
            <w:pPr>
              <w:rPr>
                <w:rFonts w:cs="Arial"/>
                <w:color w:val="FF0000"/>
                <w:sz w:val="21"/>
                <w:szCs w:val="21"/>
              </w:rPr>
            </w:pPr>
          </w:p>
        </w:tc>
        <w:tc>
          <w:tcPr>
            <w:tcW w:w="217" w:type="dxa"/>
          </w:tcPr>
          <w:p w14:paraId="07085BD5" w14:textId="77777777" w:rsidR="002C0FD9" w:rsidRPr="00CA25CF" w:rsidRDefault="002C0FD9" w:rsidP="00CA25CF">
            <w:pPr>
              <w:rPr>
                <w:rFonts w:cs="Arial"/>
                <w:color w:val="FF0000"/>
                <w:sz w:val="21"/>
                <w:szCs w:val="21"/>
              </w:rPr>
            </w:pPr>
          </w:p>
        </w:tc>
        <w:tc>
          <w:tcPr>
            <w:tcW w:w="217" w:type="dxa"/>
          </w:tcPr>
          <w:p w14:paraId="66B7B4AC" w14:textId="77777777" w:rsidR="002C0FD9" w:rsidRPr="00CA25CF" w:rsidRDefault="002C0FD9" w:rsidP="00CA25CF">
            <w:pPr>
              <w:rPr>
                <w:rFonts w:cs="Arial"/>
                <w:color w:val="FF0000"/>
                <w:sz w:val="21"/>
                <w:szCs w:val="21"/>
              </w:rPr>
            </w:pPr>
          </w:p>
        </w:tc>
        <w:tc>
          <w:tcPr>
            <w:tcW w:w="217" w:type="dxa"/>
          </w:tcPr>
          <w:p w14:paraId="309B1077" w14:textId="77777777" w:rsidR="002C0FD9" w:rsidRPr="00CA25CF" w:rsidRDefault="002C0FD9" w:rsidP="00CA25CF">
            <w:pPr>
              <w:rPr>
                <w:rFonts w:cs="Arial"/>
                <w:color w:val="FF0000"/>
                <w:sz w:val="21"/>
                <w:szCs w:val="21"/>
              </w:rPr>
            </w:pPr>
          </w:p>
        </w:tc>
        <w:tc>
          <w:tcPr>
            <w:tcW w:w="217" w:type="dxa"/>
          </w:tcPr>
          <w:p w14:paraId="47D360E0" w14:textId="77777777" w:rsidR="002C0FD9" w:rsidRPr="00CA25CF" w:rsidRDefault="002C0FD9" w:rsidP="00CA25CF">
            <w:pPr>
              <w:rPr>
                <w:rFonts w:cs="Arial"/>
                <w:color w:val="FF0000"/>
                <w:sz w:val="21"/>
                <w:szCs w:val="21"/>
              </w:rPr>
            </w:pPr>
          </w:p>
        </w:tc>
        <w:tc>
          <w:tcPr>
            <w:tcW w:w="217" w:type="dxa"/>
          </w:tcPr>
          <w:p w14:paraId="13383B55" w14:textId="77777777" w:rsidR="002C0FD9" w:rsidRPr="00CA25CF" w:rsidRDefault="002C0FD9" w:rsidP="00CA25CF">
            <w:pPr>
              <w:rPr>
                <w:rFonts w:cs="Arial"/>
                <w:color w:val="FF0000"/>
                <w:sz w:val="21"/>
                <w:szCs w:val="21"/>
              </w:rPr>
            </w:pPr>
          </w:p>
        </w:tc>
      </w:tr>
      <w:tr w:rsidR="002C0FD9" w:rsidRPr="00A16219" w14:paraId="53A3CF53" w14:textId="77777777" w:rsidTr="002C0FD9">
        <w:trPr>
          <w:trHeight w:val="635"/>
        </w:trPr>
        <w:tc>
          <w:tcPr>
            <w:tcW w:w="515" w:type="dxa"/>
          </w:tcPr>
          <w:p w14:paraId="5B48853C" w14:textId="77777777" w:rsidR="002C0FD9" w:rsidRPr="00CA25CF" w:rsidRDefault="002C0FD9" w:rsidP="00CA25CF">
            <w:pPr>
              <w:rPr>
                <w:rFonts w:cs="Arial"/>
                <w:color w:val="FF0000"/>
                <w:sz w:val="21"/>
                <w:szCs w:val="21"/>
              </w:rPr>
            </w:pPr>
          </w:p>
        </w:tc>
        <w:tc>
          <w:tcPr>
            <w:tcW w:w="217" w:type="dxa"/>
          </w:tcPr>
          <w:p w14:paraId="082C40C4" w14:textId="77777777" w:rsidR="002C0FD9" w:rsidRPr="00CA25CF" w:rsidRDefault="002C0FD9" w:rsidP="00CA25CF">
            <w:pPr>
              <w:rPr>
                <w:rFonts w:cs="Arial"/>
                <w:color w:val="FF0000"/>
                <w:sz w:val="21"/>
                <w:szCs w:val="21"/>
              </w:rPr>
            </w:pPr>
          </w:p>
        </w:tc>
        <w:tc>
          <w:tcPr>
            <w:tcW w:w="217" w:type="dxa"/>
          </w:tcPr>
          <w:p w14:paraId="24BD5D3F" w14:textId="77777777" w:rsidR="002C0FD9" w:rsidRPr="00CA25CF" w:rsidRDefault="002C0FD9" w:rsidP="00CA25CF">
            <w:pPr>
              <w:rPr>
                <w:rFonts w:cs="Arial"/>
                <w:color w:val="FF0000"/>
                <w:sz w:val="21"/>
                <w:szCs w:val="21"/>
              </w:rPr>
            </w:pPr>
          </w:p>
        </w:tc>
        <w:tc>
          <w:tcPr>
            <w:tcW w:w="217" w:type="dxa"/>
          </w:tcPr>
          <w:p w14:paraId="0FAEFCA7" w14:textId="77777777" w:rsidR="002C0FD9" w:rsidRPr="00CA25CF" w:rsidRDefault="002C0FD9" w:rsidP="00CA25CF">
            <w:pPr>
              <w:rPr>
                <w:rFonts w:cs="Arial"/>
                <w:color w:val="FF0000"/>
                <w:sz w:val="21"/>
                <w:szCs w:val="21"/>
              </w:rPr>
            </w:pPr>
          </w:p>
        </w:tc>
        <w:tc>
          <w:tcPr>
            <w:tcW w:w="217" w:type="dxa"/>
          </w:tcPr>
          <w:p w14:paraId="471F4013" w14:textId="77777777" w:rsidR="002C0FD9" w:rsidRPr="00CA25CF" w:rsidRDefault="002C0FD9" w:rsidP="00CA25CF">
            <w:pPr>
              <w:rPr>
                <w:rFonts w:cs="Arial"/>
                <w:color w:val="FF0000"/>
                <w:sz w:val="21"/>
                <w:szCs w:val="21"/>
              </w:rPr>
            </w:pPr>
          </w:p>
        </w:tc>
        <w:tc>
          <w:tcPr>
            <w:tcW w:w="217" w:type="dxa"/>
          </w:tcPr>
          <w:p w14:paraId="14E9F597" w14:textId="77777777" w:rsidR="002C0FD9" w:rsidRPr="00CA25CF" w:rsidRDefault="002C0FD9" w:rsidP="00CA25CF">
            <w:pPr>
              <w:rPr>
                <w:rFonts w:cs="Arial"/>
                <w:color w:val="FF0000"/>
                <w:sz w:val="21"/>
                <w:szCs w:val="21"/>
              </w:rPr>
            </w:pPr>
          </w:p>
        </w:tc>
        <w:tc>
          <w:tcPr>
            <w:tcW w:w="217" w:type="dxa"/>
          </w:tcPr>
          <w:p w14:paraId="6E7F6FC7" w14:textId="77777777" w:rsidR="002C0FD9" w:rsidRPr="00CA25CF" w:rsidRDefault="002C0FD9" w:rsidP="00CA25CF">
            <w:pPr>
              <w:rPr>
                <w:rFonts w:cs="Arial"/>
                <w:color w:val="FF0000"/>
                <w:sz w:val="21"/>
                <w:szCs w:val="21"/>
              </w:rPr>
            </w:pPr>
          </w:p>
        </w:tc>
        <w:tc>
          <w:tcPr>
            <w:tcW w:w="217" w:type="dxa"/>
          </w:tcPr>
          <w:p w14:paraId="29F021E7" w14:textId="77777777" w:rsidR="002C0FD9" w:rsidRPr="00CA25CF" w:rsidRDefault="002C0FD9" w:rsidP="00CA25CF">
            <w:pPr>
              <w:rPr>
                <w:rFonts w:cs="Arial"/>
                <w:color w:val="FF0000"/>
                <w:sz w:val="21"/>
                <w:szCs w:val="21"/>
              </w:rPr>
            </w:pPr>
          </w:p>
        </w:tc>
        <w:tc>
          <w:tcPr>
            <w:tcW w:w="217" w:type="dxa"/>
          </w:tcPr>
          <w:p w14:paraId="7C515116" w14:textId="77777777" w:rsidR="002C0FD9" w:rsidRPr="00CA25CF" w:rsidRDefault="002C0FD9" w:rsidP="00CA25CF">
            <w:pPr>
              <w:rPr>
                <w:rFonts w:cs="Arial"/>
                <w:color w:val="FF0000"/>
                <w:sz w:val="21"/>
                <w:szCs w:val="21"/>
              </w:rPr>
            </w:pPr>
          </w:p>
        </w:tc>
        <w:tc>
          <w:tcPr>
            <w:tcW w:w="217" w:type="dxa"/>
          </w:tcPr>
          <w:p w14:paraId="56A0C5B5" w14:textId="77777777" w:rsidR="002C0FD9" w:rsidRPr="00CA25CF" w:rsidRDefault="002C0FD9" w:rsidP="00CA25CF">
            <w:pPr>
              <w:rPr>
                <w:rFonts w:cs="Arial"/>
                <w:color w:val="FF0000"/>
                <w:sz w:val="21"/>
                <w:szCs w:val="21"/>
              </w:rPr>
            </w:pPr>
          </w:p>
        </w:tc>
        <w:tc>
          <w:tcPr>
            <w:tcW w:w="217" w:type="dxa"/>
          </w:tcPr>
          <w:p w14:paraId="70CD8F3C" w14:textId="77777777" w:rsidR="002C0FD9" w:rsidRPr="00CA25CF" w:rsidRDefault="002C0FD9" w:rsidP="00CA25CF">
            <w:pPr>
              <w:rPr>
                <w:rFonts w:cs="Arial"/>
                <w:color w:val="FF0000"/>
                <w:sz w:val="21"/>
                <w:szCs w:val="21"/>
              </w:rPr>
            </w:pPr>
          </w:p>
        </w:tc>
        <w:tc>
          <w:tcPr>
            <w:tcW w:w="217" w:type="dxa"/>
          </w:tcPr>
          <w:p w14:paraId="18FCF2E0" w14:textId="77777777" w:rsidR="002C0FD9" w:rsidRPr="00CA25CF" w:rsidRDefault="002C0FD9" w:rsidP="00CA25CF">
            <w:pPr>
              <w:rPr>
                <w:rFonts w:cs="Arial"/>
                <w:color w:val="FF0000"/>
                <w:sz w:val="21"/>
                <w:szCs w:val="21"/>
              </w:rPr>
            </w:pPr>
          </w:p>
        </w:tc>
        <w:tc>
          <w:tcPr>
            <w:tcW w:w="217" w:type="dxa"/>
          </w:tcPr>
          <w:p w14:paraId="3AFE3B70" w14:textId="77777777" w:rsidR="002C0FD9" w:rsidRPr="00CA25CF" w:rsidRDefault="002C0FD9" w:rsidP="00CA25CF">
            <w:pPr>
              <w:rPr>
                <w:rFonts w:cs="Arial"/>
                <w:color w:val="FF0000"/>
                <w:sz w:val="21"/>
                <w:szCs w:val="21"/>
              </w:rPr>
            </w:pPr>
          </w:p>
        </w:tc>
        <w:tc>
          <w:tcPr>
            <w:tcW w:w="217" w:type="dxa"/>
          </w:tcPr>
          <w:p w14:paraId="463B1D24" w14:textId="77777777" w:rsidR="002C0FD9" w:rsidRPr="00CA25CF" w:rsidRDefault="002C0FD9" w:rsidP="00CA25CF">
            <w:pPr>
              <w:rPr>
                <w:rFonts w:cs="Arial"/>
                <w:color w:val="FF0000"/>
                <w:sz w:val="21"/>
                <w:szCs w:val="21"/>
              </w:rPr>
            </w:pPr>
          </w:p>
        </w:tc>
        <w:tc>
          <w:tcPr>
            <w:tcW w:w="217" w:type="dxa"/>
          </w:tcPr>
          <w:p w14:paraId="64D9C5AB" w14:textId="77777777" w:rsidR="002C0FD9" w:rsidRPr="00CA25CF" w:rsidRDefault="002C0FD9" w:rsidP="00CA25CF">
            <w:pPr>
              <w:rPr>
                <w:rFonts w:cs="Arial"/>
                <w:color w:val="FF0000"/>
                <w:sz w:val="21"/>
                <w:szCs w:val="21"/>
              </w:rPr>
            </w:pPr>
          </w:p>
        </w:tc>
        <w:tc>
          <w:tcPr>
            <w:tcW w:w="217" w:type="dxa"/>
          </w:tcPr>
          <w:p w14:paraId="118117ED" w14:textId="77777777" w:rsidR="002C0FD9" w:rsidRPr="00CA25CF" w:rsidRDefault="002C0FD9" w:rsidP="00CA25CF">
            <w:pPr>
              <w:rPr>
                <w:rFonts w:cs="Arial"/>
                <w:color w:val="FF0000"/>
                <w:sz w:val="21"/>
                <w:szCs w:val="21"/>
              </w:rPr>
            </w:pPr>
          </w:p>
        </w:tc>
        <w:tc>
          <w:tcPr>
            <w:tcW w:w="217" w:type="dxa"/>
          </w:tcPr>
          <w:p w14:paraId="207F9AAB" w14:textId="77777777" w:rsidR="002C0FD9" w:rsidRPr="00CA25CF" w:rsidRDefault="002C0FD9" w:rsidP="00CA25CF">
            <w:pPr>
              <w:rPr>
                <w:rFonts w:cs="Arial"/>
                <w:color w:val="FF0000"/>
                <w:sz w:val="21"/>
                <w:szCs w:val="21"/>
              </w:rPr>
            </w:pPr>
          </w:p>
        </w:tc>
        <w:tc>
          <w:tcPr>
            <w:tcW w:w="217" w:type="dxa"/>
          </w:tcPr>
          <w:p w14:paraId="5A5D551B" w14:textId="77777777" w:rsidR="002C0FD9" w:rsidRPr="00CA25CF" w:rsidRDefault="002C0FD9" w:rsidP="00CA25CF">
            <w:pPr>
              <w:rPr>
                <w:rFonts w:cs="Arial"/>
                <w:color w:val="FF0000"/>
                <w:sz w:val="21"/>
                <w:szCs w:val="21"/>
              </w:rPr>
            </w:pPr>
          </w:p>
        </w:tc>
        <w:tc>
          <w:tcPr>
            <w:tcW w:w="217" w:type="dxa"/>
          </w:tcPr>
          <w:p w14:paraId="4996D57C" w14:textId="77777777" w:rsidR="002C0FD9" w:rsidRPr="00CA25CF" w:rsidRDefault="002C0FD9" w:rsidP="00CA25CF">
            <w:pPr>
              <w:rPr>
                <w:rFonts w:cs="Arial"/>
                <w:color w:val="FF0000"/>
                <w:sz w:val="21"/>
                <w:szCs w:val="21"/>
              </w:rPr>
            </w:pPr>
          </w:p>
        </w:tc>
        <w:tc>
          <w:tcPr>
            <w:tcW w:w="217" w:type="dxa"/>
          </w:tcPr>
          <w:p w14:paraId="3A88C65F" w14:textId="77777777" w:rsidR="002C0FD9" w:rsidRPr="00CA25CF" w:rsidRDefault="002C0FD9" w:rsidP="00CA25CF">
            <w:pPr>
              <w:rPr>
                <w:rFonts w:cs="Arial"/>
                <w:color w:val="FF0000"/>
                <w:sz w:val="21"/>
                <w:szCs w:val="21"/>
              </w:rPr>
            </w:pPr>
          </w:p>
        </w:tc>
        <w:tc>
          <w:tcPr>
            <w:tcW w:w="217" w:type="dxa"/>
          </w:tcPr>
          <w:p w14:paraId="2C2EF990" w14:textId="77777777" w:rsidR="002C0FD9" w:rsidRPr="00CA25CF" w:rsidRDefault="002C0FD9" w:rsidP="00CA25CF">
            <w:pPr>
              <w:rPr>
                <w:rFonts w:cs="Arial"/>
                <w:color w:val="FF0000"/>
                <w:sz w:val="21"/>
                <w:szCs w:val="21"/>
              </w:rPr>
            </w:pPr>
          </w:p>
        </w:tc>
        <w:tc>
          <w:tcPr>
            <w:tcW w:w="217" w:type="dxa"/>
          </w:tcPr>
          <w:p w14:paraId="2128D4FE" w14:textId="77777777" w:rsidR="002C0FD9" w:rsidRPr="00CA25CF" w:rsidRDefault="002C0FD9" w:rsidP="00CA25CF">
            <w:pPr>
              <w:rPr>
                <w:rFonts w:cs="Arial"/>
                <w:color w:val="FF0000"/>
                <w:sz w:val="21"/>
                <w:szCs w:val="21"/>
              </w:rPr>
            </w:pPr>
          </w:p>
        </w:tc>
        <w:tc>
          <w:tcPr>
            <w:tcW w:w="217" w:type="dxa"/>
          </w:tcPr>
          <w:p w14:paraId="367FD949" w14:textId="77777777" w:rsidR="002C0FD9" w:rsidRPr="00CA25CF" w:rsidRDefault="002C0FD9" w:rsidP="00CA25CF">
            <w:pPr>
              <w:rPr>
                <w:rFonts w:cs="Arial"/>
                <w:color w:val="FF0000"/>
                <w:sz w:val="21"/>
                <w:szCs w:val="21"/>
              </w:rPr>
            </w:pPr>
          </w:p>
        </w:tc>
        <w:tc>
          <w:tcPr>
            <w:tcW w:w="217" w:type="dxa"/>
          </w:tcPr>
          <w:p w14:paraId="61BF8428" w14:textId="77777777" w:rsidR="002C0FD9" w:rsidRPr="00CA25CF" w:rsidRDefault="002C0FD9" w:rsidP="00CA25CF">
            <w:pPr>
              <w:rPr>
                <w:rFonts w:cs="Arial"/>
                <w:color w:val="FF0000"/>
                <w:sz w:val="21"/>
                <w:szCs w:val="21"/>
              </w:rPr>
            </w:pPr>
          </w:p>
        </w:tc>
        <w:tc>
          <w:tcPr>
            <w:tcW w:w="217" w:type="dxa"/>
          </w:tcPr>
          <w:p w14:paraId="0B3DED0B" w14:textId="77777777" w:rsidR="002C0FD9" w:rsidRPr="00CA25CF" w:rsidRDefault="002C0FD9" w:rsidP="00CA25CF">
            <w:pPr>
              <w:rPr>
                <w:rFonts w:cs="Arial"/>
                <w:color w:val="FF0000"/>
                <w:sz w:val="21"/>
                <w:szCs w:val="21"/>
              </w:rPr>
            </w:pPr>
          </w:p>
        </w:tc>
        <w:tc>
          <w:tcPr>
            <w:tcW w:w="217" w:type="dxa"/>
          </w:tcPr>
          <w:p w14:paraId="61BB71CC" w14:textId="77777777" w:rsidR="002C0FD9" w:rsidRPr="00CA25CF" w:rsidRDefault="002C0FD9" w:rsidP="00CA25CF">
            <w:pPr>
              <w:rPr>
                <w:rFonts w:cs="Arial"/>
                <w:color w:val="FF0000"/>
                <w:sz w:val="21"/>
                <w:szCs w:val="21"/>
              </w:rPr>
            </w:pPr>
          </w:p>
        </w:tc>
        <w:tc>
          <w:tcPr>
            <w:tcW w:w="217" w:type="dxa"/>
          </w:tcPr>
          <w:p w14:paraId="6F097ECA" w14:textId="77777777" w:rsidR="002C0FD9" w:rsidRPr="00CA25CF" w:rsidRDefault="002C0FD9" w:rsidP="00CA25CF">
            <w:pPr>
              <w:rPr>
                <w:rFonts w:cs="Arial"/>
                <w:color w:val="FF0000"/>
                <w:sz w:val="21"/>
                <w:szCs w:val="21"/>
              </w:rPr>
            </w:pPr>
          </w:p>
        </w:tc>
        <w:tc>
          <w:tcPr>
            <w:tcW w:w="217" w:type="dxa"/>
          </w:tcPr>
          <w:p w14:paraId="5A5209DC" w14:textId="77777777" w:rsidR="002C0FD9" w:rsidRPr="00CA25CF" w:rsidRDefault="002C0FD9" w:rsidP="00CA25CF">
            <w:pPr>
              <w:rPr>
                <w:rFonts w:cs="Arial"/>
                <w:color w:val="FF0000"/>
                <w:sz w:val="21"/>
                <w:szCs w:val="21"/>
              </w:rPr>
            </w:pPr>
          </w:p>
        </w:tc>
        <w:tc>
          <w:tcPr>
            <w:tcW w:w="217" w:type="dxa"/>
          </w:tcPr>
          <w:p w14:paraId="18512E24" w14:textId="77777777" w:rsidR="002C0FD9" w:rsidRPr="00CA25CF" w:rsidRDefault="002C0FD9" w:rsidP="00CA25CF">
            <w:pPr>
              <w:rPr>
                <w:rFonts w:cs="Arial"/>
                <w:color w:val="FF0000"/>
                <w:sz w:val="21"/>
                <w:szCs w:val="21"/>
              </w:rPr>
            </w:pPr>
          </w:p>
        </w:tc>
        <w:tc>
          <w:tcPr>
            <w:tcW w:w="217" w:type="dxa"/>
          </w:tcPr>
          <w:p w14:paraId="7D63E029" w14:textId="77777777" w:rsidR="002C0FD9" w:rsidRPr="00CA25CF" w:rsidRDefault="002C0FD9" w:rsidP="00CA25CF">
            <w:pPr>
              <w:rPr>
                <w:rFonts w:cs="Arial"/>
                <w:color w:val="FF0000"/>
                <w:sz w:val="21"/>
                <w:szCs w:val="21"/>
              </w:rPr>
            </w:pPr>
          </w:p>
        </w:tc>
        <w:tc>
          <w:tcPr>
            <w:tcW w:w="217" w:type="dxa"/>
          </w:tcPr>
          <w:p w14:paraId="7B9B70DD" w14:textId="77777777" w:rsidR="002C0FD9" w:rsidRPr="00CA25CF" w:rsidRDefault="002C0FD9" w:rsidP="00CA25CF">
            <w:pPr>
              <w:rPr>
                <w:rFonts w:cs="Arial"/>
                <w:color w:val="FF0000"/>
                <w:sz w:val="21"/>
                <w:szCs w:val="21"/>
              </w:rPr>
            </w:pPr>
          </w:p>
        </w:tc>
        <w:tc>
          <w:tcPr>
            <w:tcW w:w="217" w:type="dxa"/>
          </w:tcPr>
          <w:p w14:paraId="1545C4C0" w14:textId="77777777" w:rsidR="002C0FD9" w:rsidRPr="00CA25CF" w:rsidRDefault="002C0FD9" w:rsidP="00CA25CF">
            <w:pPr>
              <w:rPr>
                <w:rFonts w:cs="Arial"/>
                <w:color w:val="FF0000"/>
                <w:sz w:val="21"/>
                <w:szCs w:val="21"/>
              </w:rPr>
            </w:pPr>
          </w:p>
        </w:tc>
        <w:tc>
          <w:tcPr>
            <w:tcW w:w="217" w:type="dxa"/>
          </w:tcPr>
          <w:p w14:paraId="3099B3F8" w14:textId="77777777" w:rsidR="002C0FD9" w:rsidRPr="00CA25CF" w:rsidRDefault="002C0FD9" w:rsidP="00CA25CF">
            <w:pPr>
              <w:rPr>
                <w:rFonts w:cs="Arial"/>
                <w:color w:val="FF0000"/>
                <w:sz w:val="21"/>
                <w:szCs w:val="21"/>
              </w:rPr>
            </w:pPr>
          </w:p>
        </w:tc>
        <w:tc>
          <w:tcPr>
            <w:tcW w:w="217" w:type="dxa"/>
          </w:tcPr>
          <w:p w14:paraId="139A101B" w14:textId="77777777" w:rsidR="002C0FD9" w:rsidRPr="00CA25CF" w:rsidRDefault="002C0FD9" w:rsidP="00CA25CF">
            <w:pPr>
              <w:rPr>
                <w:rFonts w:cs="Arial"/>
                <w:color w:val="FF0000"/>
                <w:sz w:val="21"/>
                <w:szCs w:val="21"/>
              </w:rPr>
            </w:pPr>
          </w:p>
        </w:tc>
        <w:tc>
          <w:tcPr>
            <w:tcW w:w="217" w:type="dxa"/>
          </w:tcPr>
          <w:p w14:paraId="18689B93" w14:textId="77777777" w:rsidR="002C0FD9" w:rsidRPr="00CA25CF" w:rsidRDefault="002C0FD9" w:rsidP="00CA25CF">
            <w:pPr>
              <w:rPr>
                <w:rFonts w:cs="Arial"/>
                <w:color w:val="FF0000"/>
                <w:sz w:val="21"/>
                <w:szCs w:val="21"/>
              </w:rPr>
            </w:pPr>
          </w:p>
        </w:tc>
        <w:tc>
          <w:tcPr>
            <w:tcW w:w="217" w:type="dxa"/>
          </w:tcPr>
          <w:p w14:paraId="00251FFC" w14:textId="77777777" w:rsidR="002C0FD9" w:rsidRPr="00CA25CF" w:rsidRDefault="002C0FD9" w:rsidP="00CA25CF">
            <w:pPr>
              <w:rPr>
                <w:rFonts w:cs="Arial"/>
                <w:color w:val="FF0000"/>
                <w:sz w:val="21"/>
                <w:szCs w:val="21"/>
              </w:rPr>
            </w:pPr>
          </w:p>
        </w:tc>
        <w:tc>
          <w:tcPr>
            <w:tcW w:w="217" w:type="dxa"/>
          </w:tcPr>
          <w:p w14:paraId="2B48C843" w14:textId="77777777" w:rsidR="002C0FD9" w:rsidRPr="00CA25CF" w:rsidRDefault="002C0FD9" w:rsidP="00CA25CF">
            <w:pPr>
              <w:rPr>
                <w:rFonts w:cs="Arial"/>
                <w:color w:val="FF0000"/>
                <w:sz w:val="21"/>
                <w:szCs w:val="21"/>
              </w:rPr>
            </w:pPr>
          </w:p>
        </w:tc>
        <w:tc>
          <w:tcPr>
            <w:tcW w:w="217" w:type="dxa"/>
          </w:tcPr>
          <w:p w14:paraId="22377149" w14:textId="77777777" w:rsidR="002C0FD9" w:rsidRPr="00CA25CF" w:rsidRDefault="002C0FD9" w:rsidP="00CA25CF">
            <w:pPr>
              <w:rPr>
                <w:rFonts w:cs="Arial"/>
                <w:color w:val="FF0000"/>
                <w:sz w:val="21"/>
                <w:szCs w:val="21"/>
              </w:rPr>
            </w:pPr>
          </w:p>
        </w:tc>
        <w:tc>
          <w:tcPr>
            <w:tcW w:w="217" w:type="dxa"/>
          </w:tcPr>
          <w:p w14:paraId="4401AF32" w14:textId="77777777" w:rsidR="002C0FD9" w:rsidRPr="00CA25CF" w:rsidRDefault="002C0FD9" w:rsidP="00CA25CF">
            <w:pPr>
              <w:rPr>
                <w:rFonts w:cs="Arial"/>
                <w:color w:val="FF0000"/>
                <w:sz w:val="21"/>
                <w:szCs w:val="21"/>
              </w:rPr>
            </w:pPr>
          </w:p>
        </w:tc>
        <w:tc>
          <w:tcPr>
            <w:tcW w:w="217" w:type="dxa"/>
          </w:tcPr>
          <w:p w14:paraId="0FAAFB6A" w14:textId="77777777" w:rsidR="002C0FD9" w:rsidRPr="00CA25CF" w:rsidRDefault="002C0FD9" w:rsidP="00CA25CF">
            <w:pPr>
              <w:rPr>
                <w:rFonts w:cs="Arial"/>
                <w:color w:val="FF0000"/>
                <w:sz w:val="21"/>
                <w:szCs w:val="21"/>
              </w:rPr>
            </w:pPr>
          </w:p>
        </w:tc>
        <w:tc>
          <w:tcPr>
            <w:tcW w:w="217" w:type="dxa"/>
          </w:tcPr>
          <w:p w14:paraId="2D7BDAB7" w14:textId="77777777" w:rsidR="002C0FD9" w:rsidRPr="00CA25CF" w:rsidRDefault="002C0FD9" w:rsidP="00CA25CF">
            <w:pPr>
              <w:rPr>
                <w:rFonts w:cs="Arial"/>
                <w:color w:val="FF0000"/>
                <w:sz w:val="21"/>
                <w:szCs w:val="21"/>
              </w:rPr>
            </w:pPr>
          </w:p>
        </w:tc>
        <w:tc>
          <w:tcPr>
            <w:tcW w:w="217" w:type="dxa"/>
          </w:tcPr>
          <w:p w14:paraId="038263B8" w14:textId="77777777" w:rsidR="002C0FD9" w:rsidRPr="00CA25CF" w:rsidRDefault="002C0FD9" w:rsidP="00CA25CF">
            <w:pPr>
              <w:rPr>
                <w:rFonts w:cs="Arial"/>
                <w:color w:val="FF0000"/>
                <w:sz w:val="21"/>
                <w:szCs w:val="21"/>
              </w:rPr>
            </w:pPr>
          </w:p>
        </w:tc>
        <w:tc>
          <w:tcPr>
            <w:tcW w:w="217" w:type="dxa"/>
          </w:tcPr>
          <w:p w14:paraId="3C383707" w14:textId="77777777" w:rsidR="002C0FD9" w:rsidRPr="00CA25CF" w:rsidRDefault="002C0FD9" w:rsidP="00CA25CF">
            <w:pPr>
              <w:rPr>
                <w:rFonts w:cs="Arial"/>
                <w:color w:val="FF0000"/>
                <w:sz w:val="21"/>
                <w:szCs w:val="21"/>
              </w:rPr>
            </w:pPr>
          </w:p>
        </w:tc>
      </w:tr>
      <w:tr w:rsidR="002C0FD9" w:rsidRPr="00A16219" w14:paraId="33489764" w14:textId="77777777" w:rsidTr="002C0FD9">
        <w:trPr>
          <w:trHeight w:val="635"/>
        </w:trPr>
        <w:tc>
          <w:tcPr>
            <w:tcW w:w="515" w:type="dxa"/>
          </w:tcPr>
          <w:p w14:paraId="4E557D71" w14:textId="77777777" w:rsidR="002C0FD9" w:rsidRPr="00CA25CF" w:rsidRDefault="002C0FD9" w:rsidP="00CA25CF">
            <w:pPr>
              <w:rPr>
                <w:rFonts w:cs="Arial"/>
                <w:color w:val="FF0000"/>
                <w:sz w:val="21"/>
                <w:szCs w:val="21"/>
              </w:rPr>
            </w:pPr>
          </w:p>
        </w:tc>
        <w:tc>
          <w:tcPr>
            <w:tcW w:w="217" w:type="dxa"/>
          </w:tcPr>
          <w:p w14:paraId="40BA2D2B" w14:textId="77777777" w:rsidR="002C0FD9" w:rsidRPr="00CA25CF" w:rsidRDefault="002C0FD9" w:rsidP="00CA25CF">
            <w:pPr>
              <w:rPr>
                <w:rFonts w:cs="Arial"/>
                <w:color w:val="FF0000"/>
                <w:sz w:val="21"/>
                <w:szCs w:val="21"/>
              </w:rPr>
            </w:pPr>
          </w:p>
        </w:tc>
        <w:tc>
          <w:tcPr>
            <w:tcW w:w="217" w:type="dxa"/>
          </w:tcPr>
          <w:p w14:paraId="4163B1A6" w14:textId="77777777" w:rsidR="002C0FD9" w:rsidRPr="00CA25CF" w:rsidRDefault="002C0FD9" w:rsidP="00CA25CF">
            <w:pPr>
              <w:rPr>
                <w:rFonts w:cs="Arial"/>
                <w:color w:val="FF0000"/>
                <w:sz w:val="21"/>
                <w:szCs w:val="21"/>
              </w:rPr>
            </w:pPr>
          </w:p>
        </w:tc>
        <w:tc>
          <w:tcPr>
            <w:tcW w:w="217" w:type="dxa"/>
          </w:tcPr>
          <w:p w14:paraId="28A2FDC8" w14:textId="77777777" w:rsidR="002C0FD9" w:rsidRPr="00CA25CF" w:rsidRDefault="002C0FD9" w:rsidP="00CA25CF">
            <w:pPr>
              <w:rPr>
                <w:rFonts w:cs="Arial"/>
                <w:color w:val="FF0000"/>
                <w:sz w:val="21"/>
                <w:szCs w:val="21"/>
              </w:rPr>
            </w:pPr>
          </w:p>
        </w:tc>
        <w:tc>
          <w:tcPr>
            <w:tcW w:w="217" w:type="dxa"/>
          </w:tcPr>
          <w:p w14:paraId="0FEE9848" w14:textId="77777777" w:rsidR="002C0FD9" w:rsidRPr="00CA25CF" w:rsidRDefault="002C0FD9" w:rsidP="00CA25CF">
            <w:pPr>
              <w:rPr>
                <w:rFonts w:cs="Arial"/>
                <w:color w:val="FF0000"/>
                <w:sz w:val="21"/>
                <w:szCs w:val="21"/>
              </w:rPr>
            </w:pPr>
          </w:p>
        </w:tc>
        <w:tc>
          <w:tcPr>
            <w:tcW w:w="217" w:type="dxa"/>
          </w:tcPr>
          <w:p w14:paraId="4F54C597" w14:textId="77777777" w:rsidR="002C0FD9" w:rsidRPr="00CA25CF" w:rsidRDefault="002C0FD9" w:rsidP="00CA25CF">
            <w:pPr>
              <w:rPr>
                <w:rFonts w:cs="Arial"/>
                <w:color w:val="FF0000"/>
                <w:sz w:val="21"/>
                <w:szCs w:val="21"/>
              </w:rPr>
            </w:pPr>
          </w:p>
        </w:tc>
        <w:tc>
          <w:tcPr>
            <w:tcW w:w="217" w:type="dxa"/>
          </w:tcPr>
          <w:p w14:paraId="022D1DFB" w14:textId="77777777" w:rsidR="002C0FD9" w:rsidRPr="00CA25CF" w:rsidRDefault="002C0FD9" w:rsidP="00CA25CF">
            <w:pPr>
              <w:rPr>
                <w:rFonts w:cs="Arial"/>
                <w:color w:val="FF0000"/>
                <w:sz w:val="21"/>
                <w:szCs w:val="21"/>
              </w:rPr>
            </w:pPr>
          </w:p>
        </w:tc>
        <w:tc>
          <w:tcPr>
            <w:tcW w:w="217" w:type="dxa"/>
          </w:tcPr>
          <w:p w14:paraId="17E3DDC8" w14:textId="77777777" w:rsidR="002C0FD9" w:rsidRPr="00CA25CF" w:rsidRDefault="002C0FD9" w:rsidP="00CA25CF">
            <w:pPr>
              <w:rPr>
                <w:rFonts w:cs="Arial"/>
                <w:color w:val="FF0000"/>
                <w:sz w:val="21"/>
                <w:szCs w:val="21"/>
              </w:rPr>
            </w:pPr>
          </w:p>
        </w:tc>
        <w:tc>
          <w:tcPr>
            <w:tcW w:w="217" w:type="dxa"/>
          </w:tcPr>
          <w:p w14:paraId="1BC012F5" w14:textId="77777777" w:rsidR="002C0FD9" w:rsidRPr="00CA25CF" w:rsidRDefault="002C0FD9" w:rsidP="00CA25CF">
            <w:pPr>
              <w:rPr>
                <w:rFonts w:cs="Arial"/>
                <w:color w:val="FF0000"/>
                <w:sz w:val="21"/>
                <w:szCs w:val="21"/>
              </w:rPr>
            </w:pPr>
          </w:p>
        </w:tc>
        <w:tc>
          <w:tcPr>
            <w:tcW w:w="217" w:type="dxa"/>
          </w:tcPr>
          <w:p w14:paraId="32A40E8E" w14:textId="77777777" w:rsidR="002C0FD9" w:rsidRPr="00CA25CF" w:rsidRDefault="002C0FD9" w:rsidP="00CA25CF">
            <w:pPr>
              <w:rPr>
                <w:rFonts w:cs="Arial"/>
                <w:color w:val="FF0000"/>
                <w:sz w:val="21"/>
                <w:szCs w:val="21"/>
              </w:rPr>
            </w:pPr>
          </w:p>
        </w:tc>
        <w:tc>
          <w:tcPr>
            <w:tcW w:w="217" w:type="dxa"/>
          </w:tcPr>
          <w:p w14:paraId="5ACF3759" w14:textId="77777777" w:rsidR="002C0FD9" w:rsidRPr="00CA25CF" w:rsidRDefault="002C0FD9" w:rsidP="00CA25CF">
            <w:pPr>
              <w:rPr>
                <w:rFonts w:cs="Arial"/>
                <w:color w:val="FF0000"/>
                <w:sz w:val="21"/>
                <w:szCs w:val="21"/>
              </w:rPr>
            </w:pPr>
          </w:p>
        </w:tc>
        <w:tc>
          <w:tcPr>
            <w:tcW w:w="217" w:type="dxa"/>
          </w:tcPr>
          <w:p w14:paraId="5A8B4266" w14:textId="77777777" w:rsidR="002C0FD9" w:rsidRPr="00CA25CF" w:rsidRDefault="002C0FD9" w:rsidP="00CA25CF">
            <w:pPr>
              <w:rPr>
                <w:rFonts w:cs="Arial"/>
                <w:color w:val="FF0000"/>
                <w:sz w:val="21"/>
                <w:szCs w:val="21"/>
              </w:rPr>
            </w:pPr>
          </w:p>
        </w:tc>
        <w:tc>
          <w:tcPr>
            <w:tcW w:w="217" w:type="dxa"/>
          </w:tcPr>
          <w:p w14:paraId="2B7F2091" w14:textId="77777777" w:rsidR="002C0FD9" w:rsidRPr="00CA25CF" w:rsidRDefault="002C0FD9" w:rsidP="00CA25CF">
            <w:pPr>
              <w:rPr>
                <w:rFonts w:cs="Arial"/>
                <w:color w:val="FF0000"/>
                <w:sz w:val="21"/>
                <w:szCs w:val="21"/>
              </w:rPr>
            </w:pPr>
          </w:p>
        </w:tc>
        <w:tc>
          <w:tcPr>
            <w:tcW w:w="217" w:type="dxa"/>
          </w:tcPr>
          <w:p w14:paraId="47112887" w14:textId="77777777" w:rsidR="002C0FD9" w:rsidRPr="00CA25CF" w:rsidRDefault="002C0FD9" w:rsidP="00CA25CF">
            <w:pPr>
              <w:rPr>
                <w:rFonts w:cs="Arial"/>
                <w:color w:val="FF0000"/>
                <w:sz w:val="21"/>
                <w:szCs w:val="21"/>
              </w:rPr>
            </w:pPr>
          </w:p>
        </w:tc>
        <w:tc>
          <w:tcPr>
            <w:tcW w:w="217" w:type="dxa"/>
          </w:tcPr>
          <w:p w14:paraId="784C9250" w14:textId="77777777" w:rsidR="002C0FD9" w:rsidRPr="00CA25CF" w:rsidRDefault="002C0FD9" w:rsidP="00CA25CF">
            <w:pPr>
              <w:rPr>
                <w:rFonts w:cs="Arial"/>
                <w:color w:val="FF0000"/>
                <w:sz w:val="21"/>
                <w:szCs w:val="21"/>
              </w:rPr>
            </w:pPr>
          </w:p>
        </w:tc>
        <w:tc>
          <w:tcPr>
            <w:tcW w:w="217" w:type="dxa"/>
          </w:tcPr>
          <w:p w14:paraId="2C960E03" w14:textId="77777777" w:rsidR="002C0FD9" w:rsidRPr="00CA25CF" w:rsidRDefault="002C0FD9" w:rsidP="00CA25CF">
            <w:pPr>
              <w:rPr>
                <w:rFonts w:cs="Arial"/>
                <w:color w:val="FF0000"/>
                <w:sz w:val="21"/>
                <w:szCs w:val="21"/>
              </w:rPr>
            </w:pPr>
          </w:p>
        </w:tc>
        <w:tc>
          <w:tcPr>
            <w:tcW w:w="217" w:type="dxa"/>
          </w:tcPr>
          <w:p w14:paraId="13A441D0" w14:textId="77777777" w:rsidR="002C0FD9" w:rsidRPr="00CA25CF" w:rsidRDefault="002C0FD9" w:rsidP="00CA25CF">
            <w:pPr>
              <w:rPr>
                <w:rFonts w:cs="Arial"/>
                <w:color w:val="FF0000"/>
                <w:sz w:val="21"/>
                <w:szCs w:val="21"/>
              </w:rPr>
            </w:pPr>
          </w:p>
        </w:tc>
        <w:tc>
          <w:tcPr>
            <w:tcW w:w="217" w:type="dxa"/>
          </w:tcPr>
          <w:p w14:paraId="1F7D8F4C" w14:textId="77777777" w:rsidR="002C0FD9" w:rsidRPr="00CA25CF" w:rsidRDefault="002C0FD9" w:rsidP="00CA25CF">
            <w:pPr>
              <w:rPr>
                <w:rFonts w:cs="Arial"/>
                <w:color w:val="FF0000"/>
                <w:sz w:val="21"/>
                <w:szCs w:val="21"/>
              </w:rPr>
            </w:pPr>
          </w:p>
        </w:tc>
        <w:tc>
          <w:tcPr>
            <w:tcW w:w="217" w:type="dxa"/>
          </w:tcPr>
          <w:p w14:paraId="2EEF1C12" w14:textId="77777777" w:rsidR="002C0FD9" w:rsidRPr="00CA25CF" w:rsidRDefault="002C0FD9" w:rsidP="00CA25CF">
            <w:pPr>
              <w:rPr>
                <w:rFonts w:cs="Arial"/>
                <w:color w:val="FF0000"/>
                <w:sz w:val="21"/>
                <w:szCs w:val="21"/>
              </w:rPr>
            </w:pPr>
          </w:p>
        </w:tc>
        <w:tc>
          <w:tcPr>
            <w:tcW w:w="217" w:type="dxa"/>
          </w:tcPr>
          <w:p w14:paraId="2614A0A1" w14:textId="77777777" w:rsidR="002C0FD9" w:rsidRPr="00CA25CF" w:rsidRDefault="002C0FD9" w:rsidP="00CA25CF">
            <w:pPr>
              <w:rPr>
                <w:rFonts w:cs="Arial"/>
                <w:color w:val="FF0000"/>
                <w:sz w:val="21"/>
                <w:szCs w:val="21"/>
              </w:rPr>
            </w:pPr>
          </w:p>
        </w:tc>
        <w:tc>
          <w:tcPr>
            <w:tcW w:w="217" w:type="dxa"/>
          </w:tcPr>
          <w:p w14:paraId="0062FBE9" w14:textId="77777777" w:rsidR="002C0FD9" w:rsidRPr="00CA25CF" w:rsidRDefault="002C0FD9" w:rsidP="00CA25CF">
            <w:pPr>
              <w:rPr>
                <w:rFonts w:cs="Arial"/>
                <w:color w:val="FF0000"/>
                <w:sz w:val="21"/>
                <w:szCs w:val="21"/>
              </w:rPr>
            </w:pPr>
          </w:p>
        </w:tc>
        <w:tc>
          <w:tcPr>
            <w:tcW w:w="217" w:type="dxa"/>
          </w:tcPr>
          <w:p w14:paraId="7066CEB1" w14:textId="77777777" w:rsidR="002C0FD9" w:rsidRPr="00CA25CF" w:rsidRDefault="002C0FD9" w:rsidP="00CA25CF">
            <w:pPr>
              <w:rPr>
                <w:rFonts w:cs="Arial"/>
                <w:color w:val="FF0000"/>
                <w:sz w:val="21"/>
                <w:szCs w:val="21"/>
              </w:rPr>
            </w:pPr>
          </w:p>
        </w:tc>
        <w:tc>
          <w:tcPr>
            <w:tcW w:w="217" w:type="dxa"/>
          </w:tcPr>
          <w:p w14:paraId="33144D38" w14:textId="77777777" w:rsidR="002C0FD9" w:rsidRPr="00CA25CF" w:rsidRDefault="002C0FD9" w:rsidP="00CA25CF">
            <w:pPr>
              <w:rPr>
                <w:rFonts w:cs="Arial"/>
                <w:color w:val="FF0000"/>
                <w:sz w:val="21"/>
                <w:szCs w:val="21"/>
              </w:rPr>
            </w:pPr>
          </w:p>
        </w:tc>
        <w:tc>
          <w:tcPr>
            <w:tcW w:w="217" w:type="dxa"/>
          </w:tcPr>
          <w:p w14:paraId="2CE33B3B" w14:textId="77777777" w:rsidR="002C0FD9" w:rsidRPr="00CA25CF" w:rsidRDefault="002C0FD9" w:rsidP="00CA25CF">
            <w:pPr>
              <w:rPr>
                <w:rFonts w:cs="Arial"/>
                <w:color w:val="FF0000"/>
                <w:sz w:val="21"/>
                <w:szCs w:val="21"/>
              </w:rPr>
            </w:pPr>
          </w:p>
        </w:tc>
        <w:tc>
          <w:tcPr>
            <w:tcW w:w="217" w:type="dxa"/>
          </w:tcPr>
          <w:p w14:paraId="246410C4" w14:textId="77777777" w:rsidR="002C0FD9" w:rsidRPr="00CA25CF" w:rsidRDefault="002C0FD9" w:rsidP="00CA25CF">
            <w:pPr>
              <w:rPr>
                <w:rFonts w:cs="Arial"/>
                <w:color w:val="FF0000"/>
                <w:sz w:val="21"/>
                <w:szCs w:val="21"/>
              </w:rPr>
            </w:pPr>
          </w:p>
        </w:tc>
        <w:tc>
          <w:tcPr>
            <w:tcW w:w="217" w:type="dxa"/>
          </w:tcPr>
          <w:p w14:paraId="2DE3E9E0" w14:textId="77777777" w:rsidR="002C0FD9" w:rsidRPr="00CA25CF" w:rsidRDefault="002C0FD9" w:rsidP="00CA25CF">
            <w:pPr>
              <w:rPr>
                <w:rFonts w:cs="Arial"/>
                <w:color w:val="FF0000"/>
                <w:sz w:val="21"/>
                <w:szCs w:val="21"/>
              </w:rPr>
            </w:pPr>
          </w:p>
        </w:tc>
        <w:tc>
          <w:tcPr>
            <w:tcW w:w="217" w:type="dxa"/>
          </w:tcPr>
          <w:p w14:paraId="1B8FF278" w14:textId="77777777" w:rsidR="002C0FD9" w:rsidRPr="00CA25CF" w:rsidRDefault="002C0FD9" w:rsidP="00CA25CF">
            <w:pPr>
              <w:rPr>
                <w:rFonts w:cs="Arial"/>
                <w:color w:val="FF0000"/>
                <w:sz w:val="21"/>
                <w:szCs w:val="21"/>
              </w:rPr>
            </w:pPr>
          </w:p>
        </w:tc>
        <w:tc>
          <w:tcPr>
            <w:tcW w:w="217" w:type="dxa"/>
          </w:tcPr>
          <w:p w14:paraId="7C55B2FE" w14:textId="77777777" w:rsidR="002C0FD9" w:rsidRPr="00CA25CF" w:rsidRDefault="002C0FD9" w:rsidP="00CA25CF">
            <w:pPr>
              <w:rPr>
                <w:rFonts w:cs="Arial"/>
                <w:color w:val="FF0000"/>
                <w:sz w:val="21"/>
                <w:szCs w:val="21"/>
              </w:rPr>
            </w:pPr>
          </w:p>
        </w:tc>
        <w:tc>
          <w:tcPr>
            <w:tcW w:w="217" w:type="dxa"/>
          </w:tcPr>
          <w:p w14:paraId="7EC0AC76" w14:textId="77777777" w:rsidR="002C0FD9" w:rsidRPr="00CA25CF" w:rsidRDefault="002C0FD9" w:rsidP="00CA25CF">
            <w:pPr>
              <w:rPr>
                <w:rFonts w:cs="Arial"/>
                <w:color w:val="FF0000"/>
                <w:sz w:val="21"/>
                <w:szCs w:val="21"/>
              </w:rPr>
            </w:pPr>
          </w:p>
        </w:tc>
        <w:tc>
          <w:tcPr>
            <w:tcW w:w="217" w:type="dxa"/>
          </w:tcPr>
          <w:p w14:paraId="40A5242D" w14:textId="77777777" w:rsidR="002C0FD9" w:rsidRPr="00CA25CF" w:rsidRDefault="002C0FD9" w:rsidP="00CA25CF">
            <w:pPr>
              <w:rPr>
                <w:rFonts w:cs="Arial"/>
                <w:color w:val="FF0000"/>
                <w:sz w:val="21"/>
                <w:szCs w:val="21"/>
              </w:rPr>
            </w:pPr>
          </w:p>
        </w:tc>
        <w:tc>
          <w:tcPr>
            <w:tcW w:w="217" w:type="dxa"/>
          </w:tcPr>
          <w:p w14:paraId="1A69AF30" w14:textId="77777777" w:rsidR="002C0FD9" w:rsidRPr="00CA25CF" w:rsidRDefault="002C0FD9" w:rsidP="00CA25CF">
            <w:pPr>
              <w:rPr>
                <w:rFonts w:cs="Arial"/>
                <w:color w:val="FF0000"/>
                <w:sz w:val="21"/>
                <w:szCs w:val="21"/>
              </w:rPr>
            </w:pPr>
          </w:p>
        </w:tc>
        <w:tc>
          <w:tcPr>
            <w:tcW w:w="217" w:type="dxa"/>
          </w:tcPr>
          <w:p w14:paraId="637279EF" w14:textId="77777777" w:rsidR="002C0FD9" w:rsidRPr="00CA25CF" w:rsidRDefault="002C0FD9" w:rsidP="00CA25CF">
            <w:pPr>
              <w:rPr>
                <w:rFonts w:cs="Arial"/>
                <w:color w:val="FF0000"/>
                <w:sz w:val="21"/>
                <w:szCs w:val="21"/>
              </w:rPr>
            </w:pPr>
          </w:p>
        </w:tc>
        <w:tc>
          <w:tcPr>
            <w:tcW w:w="217" w:type="dxa"/>
          </w:tcPr>
          <w:p w14:paraId="39BCBA30" w14:textId="77777777" w:rsidR="002C0FD9" w:rsidRPr="00CA25CF" w:rsidRDefault="002C0FD9" w:rsidP="00CA25CF">
            <w:pPr>
              <w:rPr>
                <w:rFonts w:cs="Arial"/>
                <w:color w:val="FF0000"/>
                <w:sz w:val="21"/>
                <w:szCs w:val="21"/>
              </w:rPr>
            </w:pPr>
          </w:p>
        </w:tc>
        <w:tc>
          <w:tcPr>
            <w:tcW w:w="217" w:type="dxa"/>
          </w:tcPr>
          <w:p w14:paraId="183FA0A7" w14:textId="77777777" w:rsidR="002C0FD9" w:rsidRPr="00CA25CF" w:rsidRDefault="002C0FD9" w:rsidP="00CA25CF">
            <w:pPr>
              <w:rPr>
                <w:rFonts w:cs="Arial"/>
                <w:color w:val="FF0000"/>
                <w:sz w:val="21"/>
                <w:szCs w:val="21"/>
              </w:rPr>
            </w:pPr>
          </w:p>
        </w:tc>
        <w:tc>
          <w:tcPr>
            <w:tcW w:w="217" w:type="dxa"/>
          </w:tcPr>
          <w:p w14:paraId="5C02D8A5" w14:textId="77777777" w:rsidR="002C0FD9" w:rsidRPr="00CA25CF" w:rsidRDefault="002C0FD9" w:rsidP="00CA25CF">
            <w:pPr>
              <w:rPr>
                <w:rFonts w:cs="Arial"/>
                <w:color w:val="FF0000"/>
                <w:sz w:val="21"/>
                <w:szCs w:val="21"/>
              </w:rPr>
            </w:pPr>
          </w:p>
        </w:tc>
        <w:tc>
          <w:tcPr>
            <w:tcW w:w="217" w:type="dxa"/>
          </w:tcPr>
          <w:p w14:paraId="743E11B2" w14:textId="77777777" w:rsidR="002C0FD9" w:rsidRPr="00CA25CF" w:rsidRDefault="002C0FD9" w:rsidP="00CA25CF">
            <w:pPr>
              <w:rPr>
                <w:rFonts w:cs="Arial"/>
                <w:color w:val="FF0000"/>
                <w:sz w:val="21"/>
                <w:szCs w:val="21"/>
              </w:rPr>
            </w:pPr>
          </w:p>
        </w:tc>
        <w:tc>
          <w:tcPr>
            <w:tcW w:w="217" w:type="dxa"/>
          </w:tcPr>
          <w:p w14:paraId="0C39DF1D" w14:textId="77777777" w:rsidR="002C0FD9" w:rsidRPr="00CA25CF" w:rsidRDefault="002C0FD9" w:rsidP="00CA25CF">
            <w:pPr>
              <w:rPr>
                <w:rFonts w:cs="Arial"/>
                <w:color w:val="FF0000"/>
                <w:sz w:val="21"/>
                <w:szCs w:val="21"/>
              </w:rPr>
            </w:pPr>
          </w:p>
        </w:tc>
        <w:tc>
          <w:tcPr>
            <w:tcW w:w="217" w:type="dxa"/>
          </w:tcPr>
          <w:p w14:paraId="23312258" w14:textId="77777777" w:rsidR="002C0FD9" w:rsidRPr="00CA25CF" w:rsidRDefault="002C0FD9" w:rsidP="00CA25CF">
            <w:pPr>
              <w:rPr>
                <w:rFonts w:cs="Arial"/>
                <w:color w:val="FF0000"/>
                <w:sz w:val="21"/>
                <w:szCs w:val="21"/>
              </w:rPr>
            </w:pPr>
          </w:p>
        </w:tc>
        <w:tc>
          <w:tcPr>
            <w:tcW w:w="217" w:type="dxa"/>
          </w:tcPr>
          <w:p w14:paraId="2EFF5666" w14:textId="77777777" w:rsidR="002C0FD9" w:rsidRPr="00CA25CF" w:rsidRDefault="002C0FD9" w:rsidP="00CA25CF">
            <w:pPr>
              <w:rPr>
                <w:rFonts w:cs="Arial"/>
                <w:color w:val="FF0000"/>
                <w:sz w:val="21"/>
                <w:szCs w:val="21"/>
              </w:rPr>
            </w:pPr>
          </w:p>
        </w:tc>
        <w:tc>
          <w:tcPr>
            <w:tcW w:w="217" w:type="dxa"/>
          </w:tcPr>
          <w:p w14:paraId="14A24506" w14:textId="77777777" w:rsidR="002C0FD9" w:rsidRPr="00CA25CF" w:rsidRDefault="002C0FD9" w:rsidP="00CA25CF">
            <w:pPr>
              <w:rPr>
                <w:rFonts w:cs="Arial"/>
                <w:color w:val="FF0000"/>
                <w:sz w:val="21"/>
                <w:szCs w:val="21"/>
              </w:rPr>
            </w:pPr>
          </w:p>
        </w:tc>
        <w:tc>
          <w:tcPr>
            <w:tcW w:w="217" w:type="dxa"/>
          </w:tcPr>
          <w:p w14:paraId="303EB2F9" w14:textId="77777777" w:rsidR="002C0FD9" w:rsidRPr="00CA25CF" w:rsidRDefault="002C0FD9" w:rsidP="00CA25CF">
            <w:pPr>
              <w:rPr>
                <w:rFonts w:cs="Arial"/>
                <w:color w:val="FF0000"/>
                <w:sz w:val="21"/>
                <w:szCs w:val="21"/>
              </w:rPr>
            </w:pPr>
          </w:p>
        </w:tc>
        <w:tc>
          <w:tcPr>
            <w:tcW w:w="217" w:type="dxa"/>
          </w:tcPr>
          <w:p w14:paraId="7064D258" w14:textId="77777777" w:rsidR="002C0FD9" w:rsidRPr="00CA25CF" w:rsidRDefault="002C0FD9" w:rsidP="00CA25CF">
            <w:pPr>
              <w:rPr>
                <w:rFonts w:cs="Arial"/>
                <w:color w:val="FF0000"/>
                <w:sz w:val="21"/>
                <w:szCs w:val="21"/>
              </w:rPr>
            </w:pPr>
          </w:p>
        </w:tc>
        <w:tc>
          <w:tcPr>
            <w:tcW w:w="217" w:type="dxa"/>
          </w:tcPr>
          <w:p w14:paraId="66E67CA4" w14:textId="77777777" w:rsidR="002C0FD9" w:rsidRPr="00CA25CF" w:rsidRDefault="002C0FD9" w:rsidP="00CA25CF">
            <w:pPr>
              <w:rPr>
                <w:rFonts w:cs="Arial"/>
                <w:color w:val="FF0000"/>
                <w:sz w:val="21"/>
                <w:szCs w:val="21"/>
              </w:rPr>
            </w:pPr>
          </w:p>
        </w:tc>
      </w:tr>
      <w:tr w:rsidR="002C0FD9" w:rsidRPr="00A16219" w14:paraId="3BB583E8" w14:textId="77777777" w:rsidTr="002C0FD9">
        <w:trPr>
          <w:trHeight w:val="635"/>
        </w:trPr>
        <w:tc>
          <w:tcPr>
            <w:tcW w:w="515" w:type="dxa"/>
          </w:tcPr>
          <w:p w14:paraId="02E49BD1" w14:textId="77777777" w:rsidR="002C0FD9" w:rsidRPr="00CA25CF" w:rsidRDefault="002C0FD9" w:rsidP="00CA25CF">
            <w:pPr>
              <w:rPr>
                <w:rFonts w:cs="Arial"/>
                <w:color w:val="FF0000"/>
                <w:sz w:val="21"/>
                <w:szCs w:val="21"/>
              </w:rPr>
            </w:pPr>
          </w:p>
        </w:tc>
        <w:tc>
          <w:tcPr>
            <w:tcW w:w="217" w:type="dxa"/>
          </w:tcPr>
          <w:p w14:paraId="173A5527" w14:textId="77777777" w:rsidR="002C0FD9" w:rsidRPr="00CA25CF" w:rsidRDefault="002C0FD9" w:rsidP="00CA25CF">
            <w:pPr>
              <w:rPr>
                <w:rFonts w:cs="Arial"/>
                <w:color w:val="FF0000"/>
                <w:sz w:val="21"/>
                <w:szCs w:val="21"/>
              </w:rPr>
            </w:pPr>
          </w:p>
        </w:tc>
        <w:tc>
          <w:tcPr>
            <w:tcW w:w="217" w:type="dxa"/>
          </w:tcPr>
          <w:p w14:paraId="33E183CD" w14:textId="77777777" w:rsidR="002C0FD9" w:rsidRPr="00CA25CF" w:rsidRDefault="002C0FD9" w:rsidP="00CA25CF">
            <w:pPr>
              <w:rPr>
                <w:rFonts w:cs="Arial"/>
                <w:color w:val="FF0000"/>
                <w:sz w:val="21"/>
                <w:szCs w:val="21"/>
              </w:rPr>
            </w:pPr>
          </w:p>
        </w:tc>
        <w:tc>
          <w:tcPr>
            <w:tcW w:w="217" w:type="dxa"/>
          </w:tcPr>
          <w:p w14:paraId="6D8A16A7" w14:textId="77777777" w:rsidR="002C0FD9" w:rsidRPr="00CA25CF" w:rsidRDefault="002C0FD9" w:rsidP="00CA25CF">
            <w:pPr>
              <w:rPr>
                <w:rFonts w:cs="Arial"/>
                <w:color w:val="FF0000"/>
                <w:sz w:val="21"/>
                <w:szCs w:val="21"/>
              </w:rPr>
            </w:pPr>
          </w:p>
        </w:tc>
        <w:tc>
          <w:tcPr>
            <w:tcW w:w="217" w:type="dxa"/>
          </w:tcPr>
          <w:p w14:paraId="6593F3EF" w14:textId="77777777" w:rsidR="002C0FD9" w:rsidRPr="00CA25CF" w:rsidRDefault="002C0FD9" w:rsidP="00CA25CF">
            <w:pPr>
              <w:rPr>
                <w:rFonts w:cs="Arial"/>
                <w:color w:val="FF0000"/>
                <w:sz w:val="21"/>
                <w:szCs w:val="21"/>
              </w:rPr>
            </w:pPr>
          </w:p>
        </w:tc>
        <w:tc>
          <w:tcPr>
            <w:tcW w:w="217" w:type="dxa"/>
          </w:tcPr>
          <w:p w14:paraId="78020DFC" w14:textId="77777777" w:rsidR="002C0FD9" w:rsidRPr="00CA25CF" w:rsidRDefault="002C0FD9" w:rsidP="00CA25CF">
            <w:pPr>
              <w:rPr>
                <w:rFonts w:cs="Arial"/>
                <w:color w:val="FF0000"/>
                <w:sz w:val="21"/>
                <w:szCs w:val="21"/>
              </w:rPr>
            </w:pPr>
          </w:p>
        </w:tc>
        <w:tc>
          <w:tcPr>
            <w:tcW w:w="217" w:type="dxa"/>
          </w:tcPr>
          <w:p w14:paraId="01DF678C" w14:textId="77777777" w:rsidR="002C0FD9" w:rsidRPr="00CA25CF" w:rsidRDefault="002C0FD9" w:rsidP="00CA25CF">
            <w:pPr>
              <w:rPr>
                <w:rFonts w:cs="Arial"/>
                <w:color w:val="FF0000"/>
                <w:sz w:val="21"/>
                <w:szCs w:val="21"/>
              </w:rPr>
            </w:pPr>
          </w:p>
        </w:tc>
        <w:tc>
          <w:tcPr>
            <w:tcW w:w="217" w:type="dxa"/>
          </w:tcPr>
          <w:p w14:paraId="72942805" w14:textId="77777777" w:rsidR="002C0FD9" w:rsidRPr="00CA25CF" w:rsidRDefault="002C0FD9" w:rsidP="00CA25CF">
            <w:pPr>
              <w:rPr>
                <w:rFonts w:cs="Arial"/>
                <w:color w:val="FF0000"/>
                <w:sz w:val="21"/>
                <w:szCs w:val="21"/>
              </w:rPr>
            </w:pPr>
          </w:p>
        </w:tc>
        <w:tc>
          <w:tcPr>
            <w:tcW w:w="217" w:type="dxa"/>
          </w:tcPr>
          <w:p w14:paraId="38D03092" w14:textId="77777777" w:rsidR="002C0FD9" w:rsidRPr="00CA25CF" w:rsidRDefault="002C0FD9" w:rsidP="00CA25CF">
            <w:pPr>
              <w:rPr>
                <w:rFonts w:cs="Arial"/>
                <w:color w:val="FF0000"/>
                <w:sz w:val="21"/>
                <w:szCs w:val="21"/>
              </w:rPr>
            </w:pPr>
          </w:p>
        </w:tc>
        <w:tc>
          <w:tcPr>
            <w:tcW w:w="217" w:type="dxa"/>
          </w:tcPr>
          <w:p w14:paraId="25E418E6" w14:textId="77777777" w:rsidR="002C0FD9" w:rsidRPr="00CA25CF" w:rsidRDefault="002C0FD9" w:rsidP="00CA25CF">
            <w:pPr>
              <w:rPr>
                <w:rFonts w:cs="Arial"/>
                <w:color w:val="FF0000"/>
                <w:sz w:val="21"/>
                <w:szCs w:val="21"/>
              </w:rPr>
            </w:pPr>
          </w:p>
        </w:tc>
        <w:tc>
          <w:tcPr>
            <w:tcW w:w="217" w:type="dxa"/>
          </w:tcPr>
          <w:p w14:paraId="3A9BEA73" w14:textId="77777777" w:rsidR="002C0FD9" w:rsidRPr="00CA25CF" w:rsidRDefault="002C0FD9" w:rsidP="00CA25CF">
            <w:pPr>
              <w:rPr>
                <w:rFonts w:cs="Arial"/>
                <w:color w:val="FF0000"/>
                <w:sz w:val="21"/>
                <w:szCs w:val="21"/>
              </w:rPr>
            </w:pPr>
          </w:p>
        </w:tc>
        <w:tc>
          <w:tcPr>
            <w:tcW w:w="217" w:type="dxa"/>
          </w:tcPr>
          <w:p w14:paraId="0A7E0EC7" w14:textId="77777777" w:rsidR="002C0FD9" w:rsidRPr="00CA25CF" w:rsidRDefault="002C0FD9" w:rsidP="00CA25CF">
            <w:pPr>
              <w:rPr>
                <w:rFonts w:cs="Arial"/>
                <w:color w:val="FF0000"/>
                <w:sz w:val="21"/>
                <w:szCs w:val="21"/>
              </w:rPr>
            </w:pPr>
          </w:p>
        </w:tc>
        <w:tc>
          <w:tcPr>
            <w:tcW w:w="217" w:type="dxa"/>
          </w:tcPr>
          <w:p w14:paraId="2109A955" w14:textId="77777777" w:rsidR="002C0FD9" w:rsidRPr="00CA25CF" w:rsidRDefault="002C0FD9" w:rsidP="00CA25CF">
            <w:pPr>
              <w:rPr>
                <w:rFonts w:cs="Arial"/>
                <w:color w:val="FF0000"/>
                <w:sz w:val="21"/>
                <w:szCs w:val="21"/>
              </w:rPr>
            </w:pPr>
          </w:p>
        </w:tc>
        <w:tc>
          <w:tcPr>
            <w:tcW w:w="217" w:type="dxa"/>
          </w:tcPr>
          <w:p w14:paraId="0AB1EED5" w14:textId="77777777" w:rsidR="002C0FD9" w:rsidRPr="00CA25CF" w:rsidRDefault="002C0FD9" w:rsidP="00CA25CF">
            <w:pPr>
              <w:rPr>
                <w:rFonts w:cs="Arial"/>
                <w:color w:val="FF0000"/>
                <w:sz w:val="21"/>
                <w:szCs w:val="21"/>
              </w:rPr>
            </w:pPr>
          </w:p>
        </w:tc>
        <w:tc>
          <w:tcPr>
            <w:tcW w:w="217" w:type="dxa"/>
          </w:tcPr>
          <w:p w14:paraId="672429C2" w14:textId="77777777" w:rsidR="002C0FD9" w:rsidRPr="00CA25CF" w:rsidRDefault="002C0FD9" w:rsidP="00CA25CF">
            <w:pPr>
              <w:rPr>
                <w:rFonts w:cs="Arial"/>
                <w:color w:val="FF0000"/>
                <w:sz w:val="21"/>
                <w:szCs w:val="21"/>
              </w:rPr>
            </w:pPr>
          </w:p>
        </w:tc>
        <w:tc>
          <w:tcPr>
            <w:tcW w:w="217" w:type="dxa"/>
          </w:tcPr>
          <w:p w14:paraId="7162E325" w14:textId="77777777" w:rsidR="002C0FD9" w:rsidRPr="00CA25CF" w:rsidRDefault="002C0FD9" w:rsidP="00CA25CF">
            <w:pPr>
              <w:rPr>
                <w:rFonts w:cs="Arial"/>
                <w:color w:val="FF0000"/>
                <w:sz w:val="21"/>
                <w:szCs w:val="21"/>
              </w:rPr>
            </w:pPr>
          </w:p>
        </w:tc>
        <w:tc>
          <w:tcPr>
            <w:tcW w:w="217" w:type="dxa"/>
          </w:tcPr>
          <w:p w14:paraId="79B10351" w14:textId="77777777" w:rsidR="002C0FD9" w:rsidRPr="00CA25CF" w:rsidRDefault="002C0FD9" w:rsidP="00CA25CF">
            <w:pPr>
              <w:rPr>
                <w:rFonts w:cs="Arial"/>
                <w:color w:val="FF0000"/>
                <w:sz w:val="21"/>
                <w:szCs w:val="21"/>
              </w:rPr>
            </w:pPr>
          </w:p>
        </w:tc>
        <w:tc>
          <w:tcPr>
            <w:tcW w:w="217" w:type="dxa"/>
          </w:tcPr>
          <w:p w14:paraId="16D92474" w14:textId="77777777" w:rsidR="002C0FD9" w:rsidRPr="00CA25CF" w:rsidRDefault="002C0FD9" w:rsidP="00CA25CF">
            <w:pPr>
              <w:rPr>
                <w:rFonts w:cs="Arial"/>
                <w:color w:val="FF0000"/>
                <w:sz w:val="21"/>
                <w:szCs w:val="21"/>
              </w:rPr>
            </w:pPr>
          </w:p>
        </w:tc>
        <w:tc>
          <w:tcPr>
            <w:tcW w:w="217" w:type="dxa"/>
          </w:tcPr>
          <w:p w14:paraId="23582A85" w14:textId="77777777" w:rsidR="002C0FD9" w:rsidRPr="00CA25CF" w:rsidRDefault="002C0FD9" w:rsidP="00CA25CF">
            <w:pPr>
              <w:rPr>
                <w:rFonts w:cs="Arial"/>
                <w:color w:val="FF0000"/>
                <w:sz w:val="21"/>
                <w:szCs w:val="21"/>
              </w:rPr>
            </w:pPr>
          </w:p>
        </w:tc>
        <w:tc>
          <w:tcPr>
            <w:tcW w:w="217" w:type="dxa"/>
          </w:tcPr>
          <w:p w14:paraId="0863E286" w14:textId="77777777" w:rsidR="002C0FD9" w:rsidRPr="00CA25CF" w:rsidRDefault="002C0FD9" w:rsidP="00CA25CF">
            <w:pPr>
              <w:rPr>
                <w:rFonts w:cs="Arial"/>
                <w:color w:val="FF0000"/>
                <w:sz w:val="21"/>
                <w:szCs w:val="21"/>
              </w:rPr>
            </w:pPr>
          </w:p>
        </w:tc>
        <w:tc>
          <w:tcPr>
            <w:tcW w:w="217" w:type="dxa"/>
          </w:tcPr>
          <w:p w14:paraId="7AF5D69D" w14:textId="77777777" w:rsidR="002C0FD9" w:rsidRPr="00CA25CF" w:rsidRDefault="002C0FD9" w:rsidP="00CA25CF">
            <w:pPr>
              <w:rPr>
                <w:rFonts w:cs="Arial"/>
                <w:color w:val="FF0000"/>
                <w:sz w:val="21"/>
                <w:szCs w:val="21"/>
              </w:rPr>
            </w:pPr>
          </w:p>
        </w:tc>
        <w:tc>
          <w:tcPr>
            <w:tcW w:w="217" w:type="dxa"/>
          </w:tcPr>
          <w:p w14:paraId="44373E1F" w14:textId="77777777" w:rsidR="002C0FD9" w:rsidRPr="00CA25CF" w:rsidRDefault="002C0FD9" w:rsidP="00CA25CF">
            <w:pPr>
              <w:rPr>
                <w:rFonts w:cs="Arial"/>
                <w:color w:val="FF0000"/>
                <w:sz w:val="21"/>
                <w:szCs w:val="21"/>
              </w:rPr>
            </w:pPr>
          </w:p>
        </w:tc>
        <w:tc>
          <w:tcPr>
            <w:tcW w:w="217" w:type="dxa"/>
          </w:tcPr>
          <w:p w14:paraId="1656F31F" w14:textId="77777777" w:rsidR="002C0FD9" w:rsidRPr="00CA25CF" w:rsidRDefault="002C0FD9" w:rsidP="00CA25CF">
            <w:pPr>
              <w:rPr>
                <w:rFonts w:cs="Arial"/>
                <w:color w:val="FF0000"/>
                <w:sz w:val="21"/>
                <w:szCs w:val="21"/>
              </w:rPr>
            </w:pPr>
          </w:p>
        </w:tc>
        <w:tc>
          <w:tcPr>
            <w:tcW w:w="217" w:type="dxa"/>
          </w:tcPr>
          <w:p w14:paraId="20B9A728" w14:textId="77777777" w:rsidR="002C0FD9" w:rsidRPr="00CA25CF" w:rsidRDefault="002C0FD9" w:rsidP="00CA25CF">
            <w:pPr>
              <w:rPr>
                <w:rFonts w:cs="Arial"/>
                <w:color w:val="FF0000"/>
                <w:sz w:val="21"/>
                <w:szCs w:val="21"/>
              </w:rPr>
            </w:pPr>
          </w:p>
        </w:tc>
        <w:tc>
          <w:tcPr>
            <w:tcW w:w="217" w:type="dxa"/>
          </w:tcPr>
          <w:p w14:paraId="0D4E7A88" w14:textId="77777777" w:rsidR="002C0FD9" w:rsidRPr="00CA25CF" w:rsidRDefault="002C0FD9" w:rsidP="00CA25CF">
            <w:pPr>
              <w:rPr>
                <w:rFonts w:cs="Arial"/>
                <w:color w:val="FF0000"/>
                <w:sz w:val="21"/>
                <w:szCs w:val="21"/>
              </w:rPr>
            </w:pPr>
          </w:p>
        </w:tc>
        <w:tc>
          <w:tcPr>
            <w:tcW w:w="217" w:type="dxa"/>
          </w:tcPr>
          <w:p w14:paraId="16BF7472" w14:textId="77777777" w:rsidR="002C0FD9" w:rsidRPr="00CA25CF" w:rsidRDefault="002C0FD9" w:rsidP="00CA25CF">
            <w:pPr>
              <w:rPr>
                <w:rFonts w:cs="Arial"/>
                <w:color w:val="FF0000"/>
                <w:sz w:val="21"/>
                <w:szCs w:val="21"/>
              </w:rPr>
            </w:pPr>
          </w:p>
        </w:tc>
        <w:tc>
          <w:tcPr>
            <w:tcW w:w="217" w:type="dxa"/>
          </w:tcPr>
          <w:p w14:paraId="49E3065D" w14:textId="77777777" w:rsidR="002C0FD9" w:rsidRPr="00CA25CF" w:rsidRDefault="002C0FD9" w:rsidP="00CA25CF">
            <w:pPr>
              <w:rPr>
                <w:rFonts w:cs="Arial"/>
                <w:color w:val="FF0000"/>
                <w:sz w:val="21"/>
                <w:szCs w:val="21"/>
              </w:rPr>
            </w:pPr>
          </w:p>
        </w:tc>
        <w:tc>
          <w:tcPr>
            <w:tcW w:w="217" w:type="dxa"/>
          </w:tcPr>
          <w:p w14:paraId="25780C88" w14:textId="77777777" w:rsidR="002C0FD9" w:rsidRPr="00CA25CF" w:rsidRDefault="002C0FD9" w:rsidP="00CA25CF">
            <w:pPr>
              <w:rPr>
                <w:rFonts w:cs="Arial"/>
                <w:color w:val="FF0000"/>
                <w:sz w:val="21"/>
                <w:szCs w:val="21"/>
              </w:rPr>
            </w:pPr>
          </w:p>
        </w:tc>
        <w:tc>
          <w:tcPr>
            <w:tcW w:w="217" w:type="dxa"/>
          </w:tcPr>
          <w:p w14:paraId="098582B8" w14:textId="77777777" w:rsidR="002C0FD9" w:rsidRPr="00CA25CF" w:rsidRDefault="002C0FD9" w:rsidP="00CA25CF">
            <w:pPr>
              <w:rPr>
                <w:rFonts w:cs="Arial"/>
                <w:color w:val="FF0000"/>
                <w:sz w:val="21"/>
                <w:szCs w:val="21"/>
              </w:rPr>
            </w:pPr>
          </w:p>
        </w:tc>
        <w:tc>
          <w:tcPr>
            <w:tcW w:w="217" w:type="dxa"/>
          </w:tcPr>
          <w:p w14:paraId="61F480FE" w14:textId="77777777" w:rsidR="002C0FD9" w:rsidRPr="00CA25CF" w:rsidRDefault="002C0FD9" w:rsidP="00CA25CF">
            <w:pPr>
              <w:rPr>
                <w:rFonts w:cs="Arial"/>
                <w:color w:val="FF0000"/>
                <w:sz w:val="21"/>
                <w:szCs w:val="21"/>
              </w:rPr>
            </w:pPr>
          </w:p>
        </w:tc>
        <w:tc>
          <w:tcPr>
            <w:tcW w:w="217" w:type="dxa"/>
          </w:tcPr>
          <w:p w14:paraId="7C057A4B" w14:textId="77777777" w:rsidR="002C0FD9" w:rsidRPr="00CA25CF" w:rsidRDefault="002C0FD9" w:rsidP="00CA25CF">
            <w:pPr>
              <w:rPr>
                <w:rFonts w:cs="Arial"/>
                <w:color w:val="FF0000"/>
                <w:sz w:val="21"/>
                <w:szCs w:val="21"/>
              </w:rPr>
            </w:pPr>
          </w:p>
        </w:tc>
        <w:tc>
          <w:tcPr>
            <w:tcW w:w="217" w:type="dxa"/>
          </w:tcPr>
          <w:p w14:paraId="79319045" w14:textId="77777777" w:rsidR="002C0FD9" w:rsidRPr="00CA25CF" w:rsidRDefault="002C0FD9" w:rsidP="00CA25CF">
            <w:pPr>
              <w:rPr>
                <w:rFonts w:cs="Arial"/>
                <w:color w:val="FF0000"/>
                <w:sz w:val="21"/>
                <w:szCs w:val="21"/>
              </w:rPr>
            </w:pPr>
          </w:p>
        </w:tc>
        <w:tc>
          <w:tcPr>
            <w:tcW w:w="217" w:type="dxa"/>
          </w:tcPr>
          <w:p w14:paraId="7D789F06" w14:textId="77777777" w:rsidR="002C0FD9" w:rsidRPr="00CA25CF" w:rsidRDefault="002C0FD9" w:rsidP="00CA25CF">
            <w:pPr>
              <w:rPr>
                <w:rFonts w:cs="Arial"/>
                <w:color w:val="FF0000"/>
                <w:sz w:val="21"/>
                <w:szCs w:val="21"/>
              </w:rPr>
            </w:pPr>
          </w:p>
        </w:tc>
        <w:tc>
          <w:tcPr>
            <w:tcW w:w="217" w:type="dxa"/>
          </w:tcPr>
          <w:p w14:paraId="1779A20B" w14:textId="77777777" w:rsidR="002C0FD9" w:rsidRPr="00CA25CF" w:rsidRDefault="002C0FD9" w:rsidP="00CA25CF">
            <w:pPr>
              <w:rPr>
                <w:rFonts w:cs="Arial"/>
                <w:color w:val="FF0000"/>
                <w:sz w:val="21"/>
                <w:szCs w:val="21"/>
              </w:rPr>
            </w:pPr>
          </w:p>
        </w:tc>
        <w:tc>
          <w:tcPr>
            <w:tcW w:w="217" w:type="dxa"/>
          </w:tcPr>
          <w:p w14:paraId="304A3306" w14:textId="77777777" w:rsidR="002C0FD9" w:rsidRPr="00CA25CF" w:rsidRDefault="002C0FD9" w:rsidP="00CA25CF">
            <w:pPr>
              <w:rPr>
                <w:rFonts w:cs="Arial"/>
                <w:color w:val="FF0000"/>
                <w:sz w:val="21"/>
                <w:szCs w:val="21"/>
              </w:rPr>
            </w:pPr>
          </w:p>
        </w:tc>
        <w:tc>
          <w:tcPr>
            <w:tcW w:w="217" w:type="dxa"/>
          </w:tcPr>
          <w:p w14:paraId="29943B68" w14:textId="77777777" w:rsidR="002C0FD9" w:rsidRPr="00CA25CF" w:rsidRDefault="002C0FD9" w:rsidP="00CA25CF">
            <w:pPr>
              <w:rPr>
                <w:rFonts w:cs="Arial"/>
                <w:color w:val="FF0000"/>
                <w:sz w:val="21"/>
                <w:szCs w:val="21"/>
              </w:rPr>
            </w:pPr>
          </w:p>
        </w:tc>
        <w:tc>
          <w:tcPr>
            <w:tcW w:w="217" w:type="dxa"/>
          </w:tcPr>
          <w:p w14:paraId="36B7D089" w14:textId="77777777" w:rsidR="002C0FD9" w:rsidRPr="00CA25CF" w:rsidRDefault="002C0FD9" w:rsidP="00CA25CF">
            <w:pPr>
              <w:rPr>
                <w:rFonts w:cs="Arial"/>
                <w:color w:val="FF0000"/>
                <w:sz w:val="21"/>
                <w:szCs w:val="21"/>
              </w:rPr>
            </w:pPr>
          </w:p>
        </w:tc>
        <w:tc>
          <w:tcPr>
            <w:tcW w:w="217" w:type="dxa"/>
          </w:tcPr>
          <w:p w14:paraId="44C7E3BF" w14:textId="77777777" w:rsidR="002C0FD9" w:rsidRPr="00CA25CF" w:rsidRDefault="002C0FD9" w:rsidP="00CA25CF">
            <w:pPr>
              <w:rPr>
                <w:rFonts w:cs="Arial"/>
                <w:color w:val="FF0000"/>
                <w:sz w:val="21"/>
                <w:szCs w:val="21"/>
              </w:rPr>
            </w:pPr>
          </w:p>
        </w:tc>
        <w:tc>
          <w:tcPr>
            <w:tcW w:w="217" w:type="dxa"/>
          </w:tcPr>
          <w:p w14:paraId="4378F745" w14:textId="77777777" w:rsidR="002C0FD9" w:rsidRPr="00CA25CF" w:rsidRDefault="002C0FD9" w:rsidP="00CA25CF">
            <w:pPr>
              <w:rPr>
                <w:rFonts w:cs="Arial"/>
                <w:color w:val="FF0000"/>
                <w:sz w:val="21"/>
                <w:szCs w:val="21"/>
              </w:rPr>
            </w:pPr>
          </w:p>
        </w:tc>
        <w:tc>
          <w:tcPr>
            <w:tcW w:w="217" w:type="dxa"/>
          </w:tcPr>
          <w:p w14:paraId="12B2E697" w14:textId="77777777" w:rsidR="002C0FD9" w:rsidRPr="00CA25CF" w:rsidRDefault="002C0FD9" w:rsidP="00CA25CF">
            <w:pPr>
              <w:rPr>
                <w:rFonts w:cs="Arial"/>
                <w:color w:val="FF0000"/>
                <w:sz w:val="21"/>
                <w:szCs w:val="21"/>
              </w:rPr>
            </w:pPr>
          </w:p>
        </w:tc>
        <w:tc>
          <w:tcPr>
            <w:tcW w:w="217" w:type="dxa"/>
          </w:tcPr>
          <w:p w14:paraId="7444DE22" w14:textId="77777777" w:rsidR="002C0FD9" w:rsidRPr="00CA25CF" w:rsidRDefault="002C0FD9" w:rsidP="00CA25CF">
            <w:pPr>
              <w:rPr>
                <w:rFonts w:cs="Arial"/>
                <w:color w:val="FF0000"/>
                <w:sz w:val="21"/>
                <w:szCs w:val="21"/>
              </w:rPr>
            </w:pPr>
          </w:p>
        </w:tc>
        <w:tc>
          <w:tcPr>
            <w:tcW w:w="217" w:type="dxa"/>
          </w:tcPr>
          <w:p w14:paraId="110AAFCC" w14:textId="77777777" w:rsidR="002C0FD9" w:rsidRPr="00CA25CF" w:rsidRDefault="002C0FD9" w:rsidP="00CA25CF">
            <w:pPr>
              <w:rPr>
                <w:rFonts w:cs="Arial"/>
                <w:color w:val="FF0000"/>
                <w:sz w:val="21"/>
                <w:szCs w:val="21"/>
              </w:rPr>
            </w:pPr>
          </w:p>
        </w:tc>
        <w:tc>
          <w:tcPr>
            <w:tcW w:w="217" w:type="dxa"/>
          </w:tcPr>
          <w:p w14:paraId="6206D8BC" w14:textId="77777777" w:rsidR="002C0FD9" w:rsidRPr="00CA25CF" w:rsidRDefault="002C0FD9" w:rsidP="00CA25CF">
            <w:pPr>
              <w:rPr>
                <w:rFonts w:cs="Arial"/>
                <w:color w:val="FF0000"/>
                <w:sz w:val="21"/>
                <w:szCs w:val="21"/>
              </w:rPr>
            </w:pPr>
          </w:p>
        </w:tc>
      </w:tr>
      <w:tr w:rsidR="002C0FD9" w:rsidRPr="00A16219" w14:paraId="63CAA803" w14:textId="77777777" w:rsidTr="002C0FD9">
        <w:trPr>
          <w:trHeight w:val="635"/>
        </w:trPr>
        <w:tc>
          <w:tcPr>
            <w:tcW w:w="515" w:type="dxa"/>
          </w:tcPr>
          <w:p w14:paraId="3D922C6E" w14:textId="77777777" w:rsidR="002C0FD9" w:rsidRPr="00CA25CF" w:rsidRDefault="002C0FD9" w:rsidP="00CA25CF">
            <w:pPr>
              <w:rPr>
                <w:rFonts w:cs="Arial"/>
                <w:color w:val="FF0000"/>
                <w:sz w:val="21"/>
                <w:szCs w:val="21"/>
              </w:rPr>
            </w:pPr>
          </w:p>
        </w:tc>
        <w:tc>
          <w:tcPr>
            <w:tcW w:w="217" w:type="dxa"/>
          </w:tcPr>
          <w:p w14:paraId="2BBF46F0" w14:textId="77777777" w:rsidR="002C0FD9" w:rsidRPr="00CA25CF" w:rsidRDefault="002C0FD9" w:rsidP="00CA25CF">
            <w:pPr>
              <w:rPr>
                <w:rFonts w:cs="Arial"/>
                <w:color w:val="FF0000"/>
                <w:sz w:val="21"/>
                <w:szCs w:val="21"/>
              </w:rPr>
            </w:pPr>
          </w:p>
        </w:tc>
        <w:tc>
          <w:tcPr>
            <w:tcW w:w="217" w:type="dxa"/>
          </w:tcPr>
          <w:p w14:paraId="641129E5" w14:textId="77777777" w:rsidR="002C0FD9" w:rsidRPr="00CA25CF" w:rsidRDefault="002C0FD9" w:rsidP="00CA25CF">
            <w:pPr>
              <w:rPr>
                <w:rFonts w:cs="Arial"/>
                <w:color w:val="FF0000"/>
                <w:sz w:val="21"/>
                <w:szCs w:val="21"/>
              </w:rPr>
            </w:pPr>
          </w:p>
        </w:tc>
        <w:tc>
          <w:tcPr>
            <w:tcW w:w="217" w:type="dxa"/>
          </w:tcPr>
          <w:p w14:paraId="018125B0" w14:textId="77777777" w:rsidR="002C0FD9" w:rsidRPr="00CA25CF" w:rsidRDefault="002C0FD9" w:rsidP="00CA25CF">
            <w:pPr>
              <w:rPr>
                <w:rFonts w:cs="Arial"/>
                <w:color w:val="FF0000"/>
                <w:sz w:val="21"/>
                <w:szCs w:val="21"/>
              </w:rPr>
            </w:pPr>
          </w:p>
        </w:tc>
        <w:tc>
          <w:tcPr>
            <w:tcW w:w="217" w:type="dxa"/>
          </w:tcPr>
          <w:p w14:paraId="528F8F34" w14:textId="77777777" w:rsidR="002C0FD9" w:rsidRPr="00CA25CF" w:rsidRDefault="002C0FD9" w:rsidP="00CA25CF">
            <w:pPr>
              <w:rPr>
                <w:rFonts w:cs="Arial"/>
                <w:color w:val="FF0000"/>
                <w:sz w:val="21"/>
                <w:szCs w:val="21"/>
              </w:rPr>
            </w:pPr>
          </w:p>
        </w:tc>
        <w:tc>
          <w:tcPr>
            <w:tcW w:w="217" w:type="dxa"/>
          </w:tcPr>
          <w:p w14:paraId="6875958E" w14:textId="77777777" w:rsidR="002C0FD9" w:rsidRPr="00CA25CF" w:rsidRDefault="002C0FD9" w:rsidP="00CA25CF">
            <w:pPr>
              <w:rPr>
                <w:rFonts w:cs="Arial"/>
                <w:color w:val="FF0000"/>
                <w:sz w:val="21"/>
                <w:szCs w:val="21"/>
              </w:rPr>
            </w:pPr>
          </w:p>
        </w:tc>
        <w:tc>
          <w:tcPr>
            <w:tcW w:w="217" w:type="dxa"/>
          </w:tcPr>
          <w:p w14:paraId="01F761D3" w14:textId="77777777" w:rsidR="002C0FD9" w:rsidRPr="00CA25CF" w:rsidRDefault="002C0FD9" w:rsidP="00CA25CF">
            <w:pPr>
              <w:rPr>
                <w:rFonts w:cs="Arial"/>
                <w:color w:val="FF0000"/>
                <w:sz w:val="21"/>
                <w:szCs w:val="21"/>
              </w:rPr>
            </w:pPr>
          </w:p>
        </w:tc>
        <w:tc>
          <w:tcPr>
            <w:tcW w:w="217" w:type="dxa"/>
          </w:tcPr>
          <w:p w14:paraId="0A708B16" w14:textId="77777777" w:rsidR="002C0FD9" w:rsidRPr="00CA25CF" w:rsidRDefault="002C0FD9" w:rsidP="00CA25CF">
            <w:pPr>
              <w:rPr>
                <w:rFonts w:cs="Arial"/>
                <w:color w:val="FF0000"/>
                <w:sz w:val="21"/>
                <w:szCs w:val="21"/>
              </w:rPr>
            </w:pPr>
          </w:p>
        </w:tc>
        <w:tc>
          <w:tcPr>
            <w:tcW w:w="217" w:type="dxa"/>
          </w:tcPr>
          <w:p w14:paraId="1A947DA6" w14:textId="77777777" w:rsidR="002C0FD9" w:rsidRPr="00CA25CF" w:rsidRDefault="002C0FD9" w:rsidP="00CA25CF">
            <w:pPr>
              <w:rPr>
                <w:rFonts w:cs="Arial"/>
                <w:color w:val="FF0000"/>
                <w:sz w:val="21"/>
                <w:szCs w:val="21"/>
              </w:rPr>
            </w:pPr>
          </w:p>
        </w:tc>
        <w:tc>
          <w:tcPr>
            <w:tcW w:w="217" w:type="dxa"/>
          </w:tcPr>
          <w:p w14:paraId="4DA50BAE" w14:textId="77777777" w:rsidR="002C0FD9" w:rsidRPr="00CA25CF" w:rsidRDefault="002C0FD9" w:rsidP="00CA25CF">
            <w:pPr>
              <w:rPr>
                <w:rFonts w:cs="Arial"/>
                <w:color w:val="FF0000"/>
                <w:sz w:val="21"/>
                <w:szCs w:val="21"/>
              </w:rPr>
            </w:pPr>
          </w:p>
        </w:tc>
        <w:tc>
          <w:tcPr>
            <w:tcW w:w="217" w:type="dxa"/>
          </w:tcPr>
          <w:p w14:paraId="4FBE009E" w14:textId="77777777" w:rsidR="002C0FD9" w:rsidRPr="00CA25CF" w:rsidRDefault="002C0FD9" w:rsidP="00CA25CF">
            <w:pPr>
              <w:rPr>
                <w:rFonts w:cs="Arial"/>
                <w:color w:val="FF0000"/>
                <w:sz w:val="21"/>
                <w:szCs w:val="21"/>
              </w:rPr>
            </w:pPr>
          </w:p>
        </w:tc>
        <w:tc>
          <w:tcPr>
            <w:tcW w:w="217" w:type="dxa"/>
          </w:tcPr>
          <w:p w14:paraId="472A8CEF" w14:textId="77777777" w:rsidR="002C0FD9" w:rsidRPr="00CA25CF" w:rsidRDefault="002C0FD9" w:rsidP="00CA25CF">
            <w:pPr>
              <w:rPr>
                <w:rFonts w:cs="Arial"/>
                <w:color w:val="FF0000"/>
                <w:sz w:val="21"/>
                <w:szCs w:val="21"/>
              </w:rPr>
            </w:pPr>
          </w:p>
        </w:tc>
        <w:tc>
          <w:tcPr>
            <w:tcW w:w="217" w:type="dxa"/>
          </w:tcPr>
          <w:p w14:paraId="466D7701" w14:textId="77777777" w:rsidR="002C0FD9" w:rsidRPr="00CA25CF" w:rsidRDefault="002C0FD9" w:rsidP="00CA25CF">
            <w:pPr>
              <w:rPr>
                <w:rFonts w:cs="Arial"/>
                <w:color w:val="FF0000"/>
                <w:sz w:val="21"/>
                <w:szCs w:val="21"/>
              </w:rPr>
            </w:pPr>
          </w:p>
        </w:tc>
        <w:tc>
          <w:tcPr>
            <w:tcW w:w="217" w:type="dxa"/>
          </w:tcPr>
          <w:p w14:paraId="707B3475" w14:textId="77777777" w:rsidR="002C0FD9" w:rsidRPr="00CA25CF" w:rsidRDefault="002C0FD9" w:rsidP="00CA25CF">
            <w:pPr>
              <w:rPr>
                <w:rFonts w:cs="Arial"/>
                <w:color w:val="FF0000"/>
                <w:sz w:val="21"/>
                <w:szCs w:val="21"/>
              </w:rPr>
            </w:pPr>
          </w:p>
        </w:tc>
        <w:tc>
          <w:tcPr>
            <w:tcW w:w="217" w:type="dxa"/>
          </w:tcPr>
          <w:p w14:paraId="41985734" w14:textId="77777777" w:rsidR="002C0FD9" w:rsidRPr="00CA25CF" w:rsidRDefault="002C0FD9" w:rsidP="00CA25CF">
            <w:pPr>
              <w:rPr>
                <w:rFonts w:cs="Arial"/>
                <w:color w:val="FF0000"/>
                <w:sz w:val="21"/>
                <w:szCs w:val="21"/>
              </w:rPr>
            </w:pPr>
          </w:p>
        </w:tc>
        <w:tc>
          <w:tcPr>
            <w:tcW w:w="217" w:type="dxa"/>
          </w:tcPr>
          <w:p w14:paraId="0C56328C" w14:textId="77777777" w:rsidR="002C0FD9" w:rsidRPr="00CA25CF" w:rsidRDefault="002C0FD9" w:rsidP="00CA25CF">
            <w:pPr>
              <w:rPr>
                <w:rFonts w:cs="Arial"/>
                <w:color w:val="FF0000"/>
                <w:sz w:val="21"/>
                <w:szCs w:val="21"/>
              </w:rPr>
            </w:pPr>
          </w:p>
        </w:tc>
        <w:tc>
          <w:tcPr>
            <w:tcW w:w="217" w:type="dxa"/>
          </w:tcPr>
          <w:p w14:paraId="61DDD15D" w14:textId="77777777" w:rsidR="002C0FD9" w:rsidRPr="00CA25CF" w:rsidRDefault="002C0FD9" w:rsidP="00CA25CF">
            <w:pPr>
              <w:rPr>
                <w:rFonts w:cs="Arial"/>
                <w:color w:val="FF0000"/>
                <w:sz w:val="21"/>
                <w:szCs w:val="21"/>
              </w:rPr>
            </w:pPr>
          </w:p>
        </w:tc>
        <w:tc>
          <w:tcPr>
            <w:tcW w:w="217" w:type="dxa"/>
          </w:tcPr>
          <w:p w14:paraId="15B5D8F2" w14:textId="77777777" w:rsidR="002C0FD9" w:rsidRPr="00CA25CF" w:rsidRDefault="002C0FD9" w:rsidP="00CA25CF">
            <w:pPr>
              <w:rPr>
                <w:rFonts w:cs="Arial"/>
                <w:color w:val="FF0000"/>
                <w:sz w:val="21"/>
                <w:szCs w:val="21"/>
              </w:rPr>
            </w:pPr>
          </w:p>
        </w:tc>
        <w:tc>
          <w:tcPr>
            <w:tcW w:w="217" w:type="dxa"/>
          </w:tcPr>
          <w:p w14:paraId="7C506E90" w14:textId="77777777" w:rsidR="002C0FD9" w:rsidRPr="00CA25CF" w:rsidRDefault="002C0FD9" w:rsidP="00CA25CF">
            <w:pPr>
              <w:rPr>
                <w:rFonts w:cs="Arial"/>
                <w:color w:val="FF0000"/>
                <w:sz w:val="21"/>
                <w:szCs w:val="21"/>
              </w:rPr>
            </w:pPr>
          </w:p>
        </w:tc>
        <w:tc>
          <w:tcPr>
            <w:tcW w:w="217" w:type="dxa"/>
          </w:tcPr>
          <w:p w14:paraId="34AE826C" w14:textId="77777777" w:rsidR="002C0FD9" w:rsidRPr="00CA25CF" w:rsidRDefault="002C0FD9" w:rsidP="00CA25CF">
            <w:pPr>
              <w:rPr>
                <w:rFonts w:cs="Arial"/>
                <w:color w:val="FF0000"/>
                <w:sz w:val="21"/>
                <w:szCs w:val="21"/>
              </w:rPr>
            </w:pPr>
          </w:p>
        </w:tc>
        <w:tc>
          <w:tcPr>
            <w:tcW w:w="217" w:type="dxa"/>
          </w:tcPr>
          <w:p w14:paraId="25CE49AB" w14:textId="77777777" w:rsidR="002C0FD9" w:rsidRPr="00CA25CF" w:rsidRDefault="002C0FD9" w:rsidP="00CA25CF">
            <w:pPr>
              <w:rPr>
                <w:rFonts w:cs="Arial"/>
                <w:color w:val="FF0000"/>
                <w:sz w:val="21"/>
                <w:szCs w:val="21"/>
              </w:rPr>
            </w:pPr>
          </w:p>
        </w:tc>
        <w:tc>
          <w:tcPr>
            <w:tcW w:w="217" w:type="dxa"/>
          </w:tcPr>
          <w:p w14:paraId="75ECF631" w14:textId="77777777" w:rsidR="002C0FD9" w:rsidRPr="00CA25CF" w:rsidRDefault="002C0FD9" w:rsidP="00CA25CF">
            <w:pPr>
              <w:rPr>
                <w:rFonts w:cs="Arial"/>
                <w:color w:val="FF0000"/>
                <w:sz w:val="21"/>
                <w:szCs w:val="21"/>
              </w:rPr>
            </w:pPr>
          </w:p>
        </w:tc>
        <w:tc>
          <w:tcPr>
            <w:tcW w:w="217" w:type="dxa"/>
          </w:tcPr>
          <w:p w14:paraId="1EADA42C" w14:textId="77777777" w:rsidR="002C0FD9" w:rsidRPr="00CA25CF" w:rsidRDefault="002C0FD9" w:rsidP="00CA25CF">
            <w:pPr>
              <w:rPr>
                <w:rFonts w:cs="Arial"/>
                <w:color w:val="FF0000"/>
                <w:sz w:val="21"/>
                <w:szCs w:val="21"/>
              </w:rPr>
            </w:pPr>
          </w:p>
        </w:tc>
        <w:tc>
          <w:tcPr>
            <w:tcW w:w="217" w:type="dxa"/>
          </w:tcPr>
          <w:p w14:paraId="067FF4E5" w14:textId="77777777" w:rsidR="002C0FD9" w:rsidRPr="00CA25CF" w:rsidRDefault="002C0FD9" w:rsidP="00CA25CF">
            <w:pPr>
              <w:rPr>
                <w:rFonts w:cs="Arial"/>
                <w:color w:val="FF0000"/>
                <w:sz w:val="21"/>
                <w:szCs w:val="21"/>
              </w:rPr>
            </w:pPr>
          </w:p>
        </w:tc>
        <w:tc>
          <w:tcPr>
            <w:tcW w:w="217" w:type="dxa"/>
          </w:tcPr>
          <w:p w14:paraId="75E29E8D" w14:textId="77777777" w:rsidR="002C0FD9" w:rsidRPr="00CA25CF" w:rsidRDefault="002C0FD9" w:rsidP="00CA25CF">
            <w:pPr>
              <w:rPr>
                <w:rFonts w:cs="Arial"/>
                <w:color w:val="FF0000"/>
                <w:sz w:val="21"/>
                <w:szCs w:val="21"/>
              </w:rPr>
            </w:pPr>
          </w:p>
        </w:tc>
        <w:tc>
          <w:tcPr>
            <w:tcW w:w="217" w:type="dxa"/>
          </w:tcPr>
          <w:p w14:paraId="11E96B41" w14:textId="77777777" w:rsidR="002C0FD9" w:rsidRPr="00CA25CF" w:rsidRDefault="002C0FD9" w:rsidP="00CA25CF">
            <w:pPr>
              <w:rPr>
                <w:rFonts w:cs="Arial"/>
                <w:color w:val="FF0000"/>
                <w:sz w:val="21"/>
                <w:szCs w:val="21"/>
              </w:rPr>
            </w:pPr>
          </w:p>
        </w:tc>
        <w:tc>
          <w:tcPr>
            <w:tcW w:w="217" w:type="dxa"/>
          </w:tcPr>
          <w:p w14:paraId="42C462F9" w14:textId="77777777" w:rsidR="002C0FD9" w:rsidRPr="00CA25CF" w:rsidRDefault="002C0FD9" w:rsidP="00CA25CF">
            <w:pPr>
              <w:rPr>
                <w:rFonts w:cs="Arial"/>
                <w:color w:val="FF0000"/>
                <w:sz w:val="21"/>
                <w:szCs w:val="21"/>
              </w:rPr>
            </w:pPr>
          </w:p>
        </w:tc>
        <w:tc>
          <w:tcPr>
            <w:tcW w:w="217" w:type="dxa"/>
          </w:tcPr>
          <w:p w14:paraId="0315B371" w14:textId="77777777" w:rsidR="002C0FD9" w:rsidRPr="00CA25CF" w:rsidRDefault="002C0FD9" w:rsidP="00CA25CF">
            <w:pPr>
              <w:rPr>
                <w:rFonts w:cs="Arial"/>
                <w:color w:val="FF0000"/>
                <w:sz w:val="21"/>
                <w:szCs w:val="21"/>
              </w:rPr>
            </w:pPr>
          </w:p>
        </w:tc>
        <w:tc>
          <w:tcPr>
            <w:tcW w:w="217" w:type="dxa"/>
          </w:tcPr>
          <w:p w14:paraId="7291A660" w14:textId="77777777" w:rsidR="002C0FD9" w:rsidRPr="00CA25CF" w:rsidRDefault="002C0FD9" w:rsidP="00CA25CF">
            <w:pPr>
              <w:rPr>
                <w:rFonts w:cs="Arial"/>
                <w:color w:val="FF0000"/>
                <w:sz w:val="21"/>
                <w:szCs w:val="21"/>
              </w:rPr>
            </w:pPr>
          </w:p>
        </w:tc>
        <w:tc>
          <w:tcPr>
            <w:tcW w:w="217" w:type="dxa"/>
          </w:tcPr>
          <w:p w14:paraId="58A8B726" w14:textId="77777777" w:rsidR="002C0FD9" w:rsidRPr="00CA25CF" w:rsidRDefault="002C0FD9" w:rsidP="00CA25CF">
            <w:pPr>
              <w:rPr>
                <w:rFonts w:cs="Arial"/>
                <w:color w:val="FF0000"/>
                <w:sz w:val="21"/>
                <w:szCs w:val="21"/>
              </w:rPr>
            </w:pPr>
          </w:p>
        </w:tc>
        <w:tc>
          <w:tcPr>
            <w:tcW w:w="217" w:type="dxa"/>
          </w:tcPr>
          <w:p w14:paraId="5B870A64" w14:textId="77777777" w:rsidR="002C0FD9" w:rsidRPr="00CA25CF" w:rsidRDefault="002C0FD9" w:rsidP="00CA25CF">
            <w:pPr>
              <w:rPr>
                <w:rFonts w:cs="Arial"/>
                <w:color w:val="FF0000"/>
                <w:sz w:val="21"/>
                <w:szCs w:val="21"/>
              </w:rPr>
            </w:pPr>
          </w:p>
        </w:tc>
        <w:tc>
          <w:tcPr>
            <w:tcW w:w="217" w:type="dxa"/>
          </w:tcPr>
          <w:p w14:paraId="66A67325" w14:textId="77777777" w:rsidR="002C0FD9" w:rsidRPr="00CA25CF" w:rsidRDefault="002C0FD9" w:rsidP="00CA25CF">
            <w:pPr>
              <w:rPr>
                <w:rFonts w:cs="Arial"/>
                <w:color w:val="FF0000"/>
                <w:sz w:val="21"/>
                <w:szCs w:val="21"/>
              </w:rPr>
            </w:pPr>
          </w:p>
        </w:tc>
        <w:tc>
          <w:tcPr>
            <w:tcW w:w="217" w:type="dxa"/>
          </w:tcPr>
          <w:p w14:paraId="1A9C43F6" w14:textId="77777777" w:rsidR="002C0FD9" w:rsidRPr="00CA25CF" w:rsidRDefault="002C0FD9" w:rsidP="00CA25CF">
            <w:pPr>
              <w:rPr>
                <w:rFonts w:cs="Arial"/>
                <w:color w:val="FF0000"/>
                <w:sz w:val="21"/>
                <w:szCs w:val="21"/>
              </w:rPr>
            </w:pPr>
          </w:p>
        </w:tc>
        <w:tc>
          <w:tcPr>
            <w:tcW w:w="217" w:type="dxa"/>
          </w:tcPr>
          <w:p w14:paraId="77E7EEF5" w14:textId="77777777" w:rsidR="002C0FD9" w:rsidRPr="00CA25CF" w:rsidRDefault="002C0FD9" w:rsidP="00CA25CF">
            <w:pPr>
              <w:rPr>
                <w:rFonts w:cs="Arial"/>
                <w:color w:val="FF0000"/>
                <w:sz w:val="21"/>
                <w:szCs w:val="21"/>
              </w:rPr>
            </w:pPr>
          </w:p>
        </w:tc>
        <w:tc>
          <w:tcPr>
            <w:tcW w:w="217" w:type="dxa"/>
          </w:tcPr>
          <w:p w14:paraId="17C72EDB" w14:textId="77777777" w:rsidR="002C0FD9" w:rsidRPr="00CA25CF" w:rsidRDefault="002C0FD9" w:rsidP="00CA25CF">
            <w:pPr>
              <w:rPr>
                <w:rFonts w:cs="Arial"/>
                <w:color w:val="FF0000"/>
                <w:sz w:val="21"/>
                <w:szCs w:val="21"/>
              </w:rPr>
            </w:pPr>
          </w:p>
        </w:tc>
        <w:tc>
          <w:tcPr>
            <w:tcW w:w="217" w:type="dxa"/>
          </w:tcPr>
          <w:p w14:paraId="4F5D5928" w14:textId="77777777" w:rsidR="002C0FD9" w:rsidRPr="00CA25CF" w:rsidRDefault="002C0FD9" w:rsidP="00CA25CF">
            <w:pPr>
              <w:rPr>
                <w:rFonts w:cs="Arial"/>
                <w:color w:val="FF0000"/>
                <w:sz w:val="21"/>
                <w:szCs w:val="21"/>
              </w:rPr>
            </w:pPr>
          </w:p>
        </w:tc>
        <w:tc>
          <w:tcPr>
            <w:tcW w:w="217" w:type="dxa"/>
          </w:tcPr>
          <w:p w14:paraId="4B3225F4" w14:textId="77777777" w:rsidR="002C0FD9" w:rsidRPr="00CA25CF" w:rsidRDefault="002C0FD9" w:rsidP="00CA25CF">
            <w:pPr>
              <w:rPr>
                <w:rFonts w:cs="Arial"/>
                <w:color w:val="FF0000"/>
                <w:sz w:val="21"/>
                <w:szCs w:val="21"/>
              </w:rPr>
            </w:pPr>
          </w:p>
        </w:tc>
        <w:tc>
          <w:tcPr>
            <w:tcW w:w="217" w:type="dxa"/>
          </w:tcPr>
          <w:p w14:paraId="5DE6D3FC" w14:textId="77777777" w:rsidR="002C0FD9" w:rsidRPr="00CA25CF" w:rsidRDefault="002C0FD9" w:rsidP="00CA25CF">
            <w:pPr>
              <w:rPr>
                <w:rFonts w:cs="Arial"/>
                <w:color w:val="FF0000"/>
                <w:sz w:val="21"/>
                <w:szCs w:val="21"/>
              </w:rPr>
            </w:pPr>
          </w:p>
        </w:tc>
        <w:tc>
          <w:tcPr>
            <w:tcW w:w="217" w:type="dxa"/>
          </w:tcPr>
          <w:p w14:paraId="7B5F5C49" w14:textId="77777777" w:rsidR="002C0FD9" w:rsidRPr="00CA25CF" w:rsidRDefault="002C0FD9" w:rsidP="00CA25CF">
            <w:pPr>
              <w:rPr>
                <w:rFonts w:cs="Arial"/>
                <w:color w:val="FF0000"/>
                <w:sz w:val="21"/>
                <w:szCs w:val="21"/>
              </w:rPr>
            </w:pPr>
          </w:p>
        </w:tc>
        <w:tc>
          <w:tcPr>
            <w:tcW w:w="217" w:type="dxa"/>
          </w:tcPr>
          <w:p w14:paraId="14645262" w14:textId="77777777" w:rsidR="002C0FD9" w:rsidRPr="00CA25CF" w:rsidRDefault="002C0FD9" w:rsidP="00CA25CF">
            <w:pPr>
              <w:rPr>
                <w:rFonts w:cs="Arial"/>
                <w:color w:val="FF0000"/>
                <w:sz w:val="21"/>
                <w:szCs w:val="21"/>
              </w:rPr>
            </w:pPr>
          </w:p>
        </w:tc>
        <w:tc>
          <w:tcPr>
            <w:tcW w:w="217" w:type="dxa"/>
          </w:tcPr>
          <w:p w14:paraId="67B948CC" w14:textId="77777777" w:rsidR="002C0FD9" w:rsidRPr="00CA25CF" w:rsidRDefault="002C0FD9" w:rsidP="00CA25CF">
            <w:pPr>
              <w:rPr>
                <w:rFonts w:cs="Arial"/>
                <w:color w:val="FF0000"/>
                <w:sz w:val="21"/>
                <w:szCs w:val="21"/>
              </w:rPr>
            </w:pPr>
          </w:p>
        </w:tc>
        <w:tc>
          <w:tcPr>
            <w:tcW w:w="217" w:type="dxa"/>
          </w:tcPr>
          <w:p w14:paraId="4A2ABA16" w14:textId="77777777" w:rsidR="002C0FD9" w:rsidRPr="00CA25CF" w:rsidRDefault="002C0FD9" w:rsidP="00CA25CF">
            <w:pPr>
              <w:rPr>
                <w:rFonts w:cs="Arial"/>
                <w:color w:val="FF0000"/>
                <w:sz w:val="21"/>
                <w:szCs w:val="21"/>
              </w:rPr>
            </w:pPr>
          </w:p>
        </w:tc>
        <w:tc>
          <w:tcPr>
            <w:tcW w:w="217" w:type="dxa"/>
          </w:tcPr>
          <w:p w14:paraId="6431C11F" w14:textId="77777777" w:rsidR="002C0FD9" w:rsidRPr="00CA25CF" w:rsidRDefault="002C0FD9" w:rsidP="00CA25CF">
            <w:pPr>
              <w:rPr>
                <w:rFonts w:cs="Arial"/>
                <w:color w:val="FF0000"/>
                <w:sz w:val="21"/>
                <w:szCs w:val="21"/>
              </w:rPr>
            </w:pPr>
          </w:p>
        </w:tc>
      </w:tr>
      <w:tr w:rsidR="002C0FD9" w:rsidRPr="00A16219" w14:paraId="2A6F56F5" w14:textId="77777777" w:rsidTr="002C0FD9">
        <w:trPr>
          <w:trHeight w:val="635"/>
        </w:trPr>
        <w:tc>
          <w:tcPr>
            <w:tcW w:w="515" w:type="dxa"/>
          </w:tcPr>
          <w:p w14:paraId="709C6E8D" w14:textId="77777777" w:rsidR="002C0FD9" w:rsidRPr="00CA25CF" w:rsidRDefault="002C0FD9" w:rsidP="00CA25CF">
            <w:pPr>
              <w:rPr>
                <w:rFonts w:cs="Arial"/>
                <w:color w:val="FF0000"/>
                <w:sz w:val="21"/>
                <w:szCs w:val="21"/>
              </w:rPr>
            </w:pPr>
          </w:p>
        </w:tc>
        <w:tc>
          <w:tcPr>
            <w:tcW w:w="217" w:type="dxa"/>
          </w:tcPr>
          <w:p w14:paraId="3C4A13E7" w14:textId="77777777" w:rsidR="002C0FD9" w:rsidRPr="00CA25CF" w:rsidRDefault="002C0FD9" w:rsidP="00CA25CF">
            <w:pPr>
              <w:rPr>
                <w:rFonts w:cs="Arial"/>
                <w:color w:val="FF0000"/>
                <w:sz w:val="21"/>
                <w:szCs w:val="21"/>
              </w:rPr>
            </w:pPr>
          </w:p>
        </w:tc>
        <w:tc>
          <w:tcPr>
            <w:tcW w:w="217" w:type="dxa"/>
          </w:tcPr>
          <w:p w14:paraId="00EA685A" w14:textId="77777777" w:rsidR="002C0FD9" w:rsidRPr="00CA25CF" w:rsidRDefault="002C0FD9" w:rsidP="00CA25CF">
            <w:pPr>
              <w:rPr>
                <w:rFonts w:cs="Arial"/>
                <w:color w:val="FF0000"/>
                <w:sz w:val="21"/>
                <w:szCs w:val="21"/>
              </w:rPr>
            </w:pPr>
          </w:p>
        </w:tc>
        <w:tc>
          <w:tcPr>
            <w:tcW w:w="217" w:type="dxa"/>
          </w:tcPr>
          <w:p w14:paraId="3BB1F998" w14:textId="77777777" w:rsidR="002C0FD9" w:rsidRPr="00CA25CF" w:rsidRDefault="002C0FD9" w:rsidP="00CA25CF">
            <w:pPr>
              <w:rPr>
                <w:rFonts w:cs="Arial"/>
                <w:color w:val="FF0000"/>
                <w:sz w:val="21"/>
                <w:szCs w:val="21"/>
              </w:rPr>
            </w:pPr>
          </w:p>
        </w:tc>
        <w:tc>
          <w:tcPr>
            <w:tcW w:w="217" w:type="dxa"/>
          </w:tcPr>
          <w:p w14:paraId="35C11F33" w14:textId="77777777" w:rsidR="002C0FD9" w:rsidRPr="00CA25CF" w:rsidRDefault="002C0FD9" w:rsidP="00CA25CF">
            <w:pPr>
              <w:rPr>
                <w:rFonts w:cs="Arial"/>
                <w:color w:val="FF0000"/>
                <w:sz w:val="21"/>
                <w:szCs w:val="21"/>
              </w:rPr>
            </w:pPr>
          </w:p>
        </w:tc>
        <w:tc>
          <w:tcPr>
            <w:tcW w:w="217" w:type="dxa"/>
          </w:tcPr>
          <w:p w14:paraId="4CD6CACF" w14:textId="77777777" w:rsidR="002C0FD9" w:rsidRPr="00CA25CF" w:rsidRDefault="002C0FD9" w:rsidP="00CA25CF">
            <w:pPr>
              <w:rPr>
                <w:rFonts w:cs="Arial"/>
                <w:color w:val="FF0000"/>
                <w:sz w:val="21"/>
                <w:szCs w:val="21"/>
              </w:rPr>
            </w:pPr>
          </w:p>
        </w:tc>
        <w:tc>
          <w:tcPr>
            <w:tcW w:w="217" w:type="dxa"/>
          </w:tcPr>
          <w:p w14:paraId="672F3486" w14:textId="77777777" w:rsidR="002C0FD9" w:rsidRPr="00CA25CF" w:rsidRDefault="002C0FD9" w:rsidP="00CA25CF">
            <w:pPr>
              <w:rPr>
                <w:rFonts w:cs="Arial"/>
                <w:color w:val="FF0000"/>
                <w:sz w:val="21"/>
                <w:szCs w:val="21"/>
              </w:rPr>
            </w:pPr>
          </w:p>
        </w:tc>
        <w:tc>
          <w:tcPr>
            <w:tcW w:w="217" w:type="dxa"/>
          </w:tcPr>
          <w:p w14:paraId="18FEE3E8" w14:textId="77777777" w:rsidR="002C0FD9" w:rsidRPr="00CA25CF" w:rsidRDefault="002C0FD9" w:rsidP="00CA25CF">
            <w:pPr>
              <w:rPr>
                <w:rFonts w:cs="Arial"/>
                <w:color w:val="FF0000"/>
                <w:sz w:val="21"/>
                <w:szCs w:val="21"/>
              </w:rPr>
            </w:pPr>
          </w:p>
        </w:tc>
        <w:tc>
          <w:tcPr>
            <w:tcW w:w="217" w:type="dxa"/>
          </w:tcPr>
          <w:p w14:paraId="0579EBFD" w14:textId="77777777" w:rsidR="002C0FD9" w:rsidRPr="00CA25CF" w:rsidRDefault="002C0FD9" w:rsidP="00CA25CF">
            <w:pPr>
              <w:rPr>
                <w:rFonts w:cs="Arial"/>
                <w:color w:val="FF0000"/>
                <w:sz w:val="21"/>
                <w:szCs w:val="21"/>
              </w:rPr>
            </w:pPr>
          </w:p>
        </w:tc>
        <w:tc>
          <w:tcPr>
            <w:tcW w:w="217" w:type="dxa"/>
          </w:tcPr>
          <w:p w14:paraId="315EFEEF" w14:textId="77777777" w:rsidR="002C0FD9" w:rsidRPr="00CA25CF" w:rsidRDefault="002C0FD9" w:rsidP="00CA25CF">
            <w:pPr>
              <w:rPr>
                <w:rFonts w:cs="Arial"/>
                <w:color w:val="FF0000"/>
                <w:sz w:val="21"/>
                <w:szCs w:val="21"/>
              </w:rPr>
            </w:pPr>
          </w:p>
        </w:tc>
        <w:tc>
          <w:tcPr>
            <w:tcW w:w="217" w:type="dxa"/>
          </w:tcPr>
          <w:p w14:paraId="2466EF3E" w14:textId="77777777" w:rsidR="002C0FD9" w:rsidRPr="00CA25CF" w:rsidRDefault="002C0FD9" w:rsidP="00CA25CF">
            <w:pPr>
              <w:rPr>
                <w:rFonts w:cs="Arial"/>
                <w:color w:val="FF0000"/>
                <w:sz w:val="21"/>
                <w:szCs w:val="21"/>
              </w:rPr>
            </w:pPr>
          </w:p>
        </w:tc>
        <w:tc>
          <w:tcPr>
            <w:tcW w:w="217" w:type="dxa"/>
          </w:tcPr>
          <w:p w14:paraId="1BF4DDE4" w14:textId="77777777" w:rsidR="002C0FD9" w:rsidRPr="00CA25CF" w:rsidRDefault="002C0FD9" w:rsidP="00CA25CF">
            <w:pPr>
              <w:rPr>
                <w:rFonts w:cs="Arial"/>
                <w:color w:val="FF0000"/>
                <w:sz w:val="21"/>
                <w:szCs w:val="21"/>
              </w:rPr>
            </w:pPr>
          </w:p>
        </w:tc>
        <w:tc>
          <w:tcPr>
            <w:tcW w:w="217" w:type="dxa"/>
          </w:tcPr>
          <w:p w14:paraId="1BF1286E" w14:textId="77777777" w:rsidR="002C0FD9" w:rsidRPr="00CA25CF" w:rsidRDefault="002C0FD9" w:rsidP="00CA25CF">
            <w:pPr>
              <w:rPr>
                <w:rFonts w:cs="Arial"/>
                <w:color w:val="FF0000"/>
                <w:sz w:val="21"/>
                <w:szCs w:val="21"/>
              </w:rPr>
            </w:pPr>
          </w:p>
        </w:tc>
        <w:tc>
          <w:tcPr>
            <w:tcW w:w="217" w:type="dxa"/>
          </w:tcPr>
          <w:p w14:paraId="0DA8CB12" w14:textId="77777777" w:rsidR="002C0FD9" w:rsidRPr="00CA25CF" w:rsidRDefault="002C0FD9" w:rsidP="00CA25CF">
            <w:pPr>
              <w:rPr>
                <w:rFonts w:cs="Arial"/>
                <w:color w:val="FF0000"/>
                <w:sz w:val="21"/>
                <w:szCs w:val="21"/>
              </w:rPr>
            </w:pPr>
          </w:p>
        </w:tc>
        <w:tc>
          <w:tcPr>
            <w:tcW w:w="217" w:type="dxa"/>
          </w:tcPr>
          <w:p w14:paraId="1F83337A" w14:textId="77777777" w:rsidR="002C0FD9" w:rsidRPr="00CA25CF" w:rsidRDefault="002C0FD9" w:rsidP="00CA25CF">
            <w:pPr>
              <w:rPr>
                <w:rFonts w:cs="Arial"/>
                <w:color w:val="FF0000"/>
                <w:sz w:val="21"/>
                <w:szCs w:val="21"/>
              </w:rPr>
            </w:pPr>
          </w:p>
        </w:tc>
        <w:tc>
          <w:tcPr>
            <w:tcW w:w="217" w:type="dxa"/>
          </w:tcPr>
          <w:p w14:paraId="075AA32B" w14:textId="77777777" w:rsidR="002C0FD9" w:rsidRPr="00CA25CF" w:rsidRDefault="002C0FD9" w:rsidP="00CA25CF">
            <w:pPr>
              <w:rPr>
                <w:rFonts w:cs="Arial"/>
                <w:color w:val="FF0000"/>
                <w:sz w:val="21"/>
                <w:szCs w:val="21"/>
              </w:rPr>
            </w:pPr>
          </w:p>
        </w:tc>
        <w:tc>
          <w:tcPr>
            <w:tcW w:w="217" w:type="dxa"/>
          </w:tcPr>
          <w:p w14:paraId="3B3265EA" w14:textId="77777777" w:rsidR="002C0FD9" w:rsidRPr="00CA25CF" w:rsidRDefault="002C0FD9" w:rsidP="00CA25CF">
            <w:pPr>
              <w:rPr>
                <w:rFonts w:cs="Arial"/>
                <w:color w:val="FF0000"/>
                <w:sz w:val="21"/>
                <w:szCs w:val="21"/>
              </w:rPr>
            </w:pPr>
          </w:p>
        </w:tc>
        <w:tc>
          <w:tcPr>
            <w:tcW w:w="217" w:type="dxa"/>
          </w:tcPr>
          <w:p w14:paraId="177C8BD1" w14:textId="77777777" w:rsidR="002C0FD9" w:rsidRPr="00CA25CF" w:rsidRDefault="002C0FD9" w:rsidP="00CA25CF">
            <w:pPr>
              <w:rPr>
                <w:rFonts w:cs="Arial"/>
                <w:color w:val="FF0000"/>
                <w:sz w:val="21"/>
                <w:szCs w:val="21"/>
              </w:rPr>
            </w:pPr>
          </w:p>
        </w:tc>
        <w:tc>
          <w:tcPr>
            <w:tcW w:w="217" w:type="dxa"/>
          </w:tcPr>
          <w:p w14:paraId="200C812F" w14:textId="77777777" w:rsidR="002C0FD9" w:rsidRPr="00CA25CF" w:rsidRDefault="002C0FD9" w:rsidP="00CA25CF">
            <w:pPr>
              <w:rPr>
                <w:rFonts w:cs="Arial"/>
                <w:color w:val="FF0000"/>
                <w:sz w:val="21"/>
                <w:szCs w:val="21"/>
              </w:rPr>
            </w:pPr>
          </w:p>
        </w:tc>
        <w:tc>
          <w:tcPr>
            <w:tcW w:w="217" w:type="dxa"/>
          </w:tcPr>
          <w:p w14:paraId="1AC49AA7" w14:textId="77777777" w:rsidR="002C0FD9" w:rsidRPr="00CA25CF" w:rsidRDefault="002C0FD9" w:rsidP="00CA25CF">
            <w:pPr>
              <w:rPr>
                <w:rFonts w:cs="Arial"/>
                <w:color w:val="FF0000"/>
                <w:sz w:val="21"/>
                <w:szCs w:val="21"/>
              </w:rPr>
            </w:pPr>
          </w:p>
        </w:tc>
        <w:tc>
          <w:tcPr>
            <w:tcW w:w="217" w:type="dxa"/>
          </w:tcPr>
          <w:p w14:paraId="036DC373" w14:textId="77777777" w:rsidR="002C0FD9" w:rsidRPr="00CA25CF" w:rsidRDefault="002C0FD9" w:rsidP="00CA25CF">
            <w:pPr>
              <w:rPr>
                <w:rFonts w:cs="Arial"/>
                <w:color w:val="FF0000"/>
                <w:sz w:val="21"/>
                <w:szCs w:val="21"/>
              </w:rPr>
            </w:pPr>
          </w:p>
        </w:tc>
        <w:tc>
          <w:tcPr>
            <w:tcW w:w="217" w:type="dxa"/>
          </w:tcPr>
          <w:p w14:paraId="24EFD0E5" w14:textId="77777777" w:rsidR="002C0FD9" w:rsidRPr="00CA25CF" w:rsidRDefault="002C0FD9" w:rsidP="00CA25CF">
            <w:pPr>
              <w:rPr>
                <w:rFonts w:cs="Arial"/>
                <w:color w:val="FF0000"/>
                <w:sz w:val="21"/>
                <w:szCs w:val="21"/>
              </w:rPr>
            </w:pPr>
          </w:p>
        </w:tc>
        <w:tc>
          <w:tcPr>
            <w:tcW w:w="217" w:type="dxa"/>
          </w:tcPr>
          <w:p w14:paraId="1F2DAAEC" w14:textId="77777777" w:rsidR="002C0FD9" w:rsidRPr="00CA25CF" w:rsidRDefault="002C0FD9" w:rsidP="00CA25CF">
            <w:pPr>
              <w:rPr>
                <w:rFonts w:cs="Arial"/>
                <w:color w:val="FF0000"/>
                <w:sz w:val="21"/>
                <w:szCs w:val="21"/>
              </w:rPr>
            </w:pPr>
          </w:p>
        </w:tc>
        <w:tc>
          <w:tcPr>
            <w:tcW w:w="217" w:type="dxa"/>
          </w:tcPr>
          <w:p w14:paraId="3602EF62" w14:textId="77777777" w:rsidR="002C0FD9" w:rsidRPr="00CA25CF" w:rsidRDefault="002C0FD9" w:rsidP="00CA25CF">
            <w:pPr>
              <w:rPr>
                <w:rFonts w:cs="Arial"/>
                <w:color w:val="FF0000"/>
                <w:sz w:val="21"/>
                <w:szCs w:val="21"/>
              </w:rPr>
            </w:pPr>
          </w:p>
        </w:tc>
        <w:tc>
          <w:tcPr>
            <w:tcW w:w="217" w:type="dxa"/>
          </w:tcPr>
          <w:p w14:paraId="29A65FAA" w14:textId="77777777" w:rsidR="002C0FD9" w:rsidRPr="00CA25CF" w:rsidRDefault="002C0FD9" w:rsidP="00CA25CF">
            <w:pPr>
              <w:rPr>
                <w:rFonts w:cs="Arial"/>
                <w:color w:val="FF0000"/>
                <w:sz w:val="21"/>
                <w:szCs w:val="21"/>
              </w:rPr>
            </w:pPr>
          </w:p>
        </w:tc>
        <w:tc>
          <w:tcPr>
            <w:tcW w:w="217" w:type="dxa"/>
          </w:tcPr>
          <w:p w14:paraId="6EB0C729" w14:textId="77777777" w:rsidR="002C0FD9" w:rsidRPr="00CA25CF" w:rsidRDefault="002C0FD9" w:rsidP="00CA25CF">
            <w:pPr>
              <w:rPr>
                <w:rFonts w:cs="Arial"/>
                <w:color w:val="FF0000"/>
                <w:sz w:val="21"/>
                <w:szCs w:val="21"/>
              </w:rPr>
            </w:pPr>
          </w:p>
        </w:tc>
        <w:tc>
          <w:tcPr>
            <w:tcW w:w="217" w:type="dxa"/>
          </w:tcPr>
          <w:p w14:paraId="0ED557E6" w14:textId="77777777" w:rsidR="002C0FD9" w:rsidRPr="00CA25CF" w:rsidRDefault="002C0FD9" w:rsidP="00CA25CF">
            <w:pPr>
              <w:rPr>
                <w:rFonts w:cs="Arial"/>
                <w:color w:val="FF0000"/>
                <w:sz w:val="21"/>
                <w:szCs w:val="21"/>
              </w:rPr>
            </w:pPr>
          </w:p>
        </w:tc>
        <w:tc>
          <w:tcPr>
            <w:tcW w:w="217" w:type="dxa"/>
          </w:tcPr>
          <w:p w14:paraId="2999CA87" w14:textId="77777777" w:rsidR="002C0FD9" w:rsidRPr="00CA25CF" w:rsidRDefault="002C0FD9" w:rsidP="00CA25CF">
            <w:pPr>
              <w:rPr>
                <w:rFonts w:cs="Arial"/>
                <w:color w:val="FF0000"/>
                <w:sz w:val="21"/>
                <w:szCs w:val="21"/>
              </w:rPr>
            </w:pPr>
          </w:p>
        </w:tc>
        <w:tc>
          <w:tcPr>
            <w:tcW w:w="217" w:type="dxa"/>
          </w:tcPr>
          <w:p w14:paraId="0BFB6AD2" w14:textId="77777777" w:rsidR="002C0FD9" w:rsidRPr="00CA25CF" w:rsidRDefault="002C0FD9" w:rsidP="00CA25CF">
            <w:pPr>
              <w:rPr>
                <w:rFonts w:cs="Arial"/>
                <w:color w:val="FF0000"/>
                <w:sz w:val="21"/>
                <w:szCs w:val="21"/>
              </w:rPr>
            </w:pPr>
          </w:p>
        </w:tc>
        <w:tc>
          <w:tcPr>
            <w:tcW w:w="217" w:type="dxa"/>
          </w:tcPr>
          <w:p w14:paraId="473DC298" w14:textId="77777777" w:rsidR="002C0FD9" w:rsidRPr="00CA25CF" w:rsidRDefault="002C0FD9" w:rsidP="00CA25CF">
            <w:pPr>
              <w:rPr>
                <w:rFonts w:cs="Arial"/>
                <w:color w:val="FF0000"/>
                <w:sz w:val="21"/>
                <w:szCs w:val="21"/>
              </w:rPr>
            </w:pPr>
          </w:p>
        </w:tc>
        <w:tc>
          <w:tcPr>
            <w:tcW w:w="217" w:type="dxa"/>
          </w:tcPr>
          <w:p w14:paraId="275F25ED" w14:textId="77777777" w:rsidR="002C0FD9" w:rsidRPr="00CA25CF" w:rsidRDefault="002C0FD9" w:rsidP="00CA25CF">
            <w:pPr>
              <w:rPr>
                <w:rFonts w:cs="Arial"/>
                <w:color w:val="FF0000"/>
                <w:sz w:val="21"/>
                <w:szCs w:val="21"/>
              </w:rPr>
            </w:pPr>
          </w:p>
        </w:tc>
        <w:tc>
          <w:tcPr>
            <w:tcW w:w="217" w:type="dxa"/>
          </w:tcPr>
          <w:p w14:paraId="083EAD5F" w14:textId="77777777" w:rsidR="002C0FD9" w:rsidRPr="00CA25CF" w:rsidRDefault="002C0FD9" w:rsidP="00CA25CF">
            <w:pPr>
              <w:rPr>
                <w:rFonts w:cs="Arial"/>
                <w:color w:val="FF0000"/>
                <w:sz w:val="21"/>
                <w:szCs w:val="21"/>
              </w:rPr>
            </w:pPr>
          </w:p>
        </w:tc>
        <w:tc>
          <w:tcPr>
            <w:tcW w:w="217" w:type="dxa"/>
          </w:tcPr>
          <w:p w14:paraId="678DD8CC" w14:textId="77777777" w:rsidR="002C0FD9" w:rsidRPr="00CA25CF" w:rsidRDefault="002C0FD9" w:rsidP="00CA25CF">
            <w:pPr>
              <w:rPr>
                <w:rFonts w:cs="Arial"/>
                <w:color w:val="FF0000"/>
                <w:sz w:val="21"/>
                <w:szCs w:val="21"/>
              </w:rPr>
            </w:pPr>
          </w:p>
        </w:tc>
        <w:tc>
          <w:tcPr>
            <w:tcW w:w="217" w:type="dxa"/>
          </w:tcPr>
          <w:p w14:paraId="47C2E84B" w14:textId="77777777" w:rsidR="002C0FD9" w:rsidRPr="00CA25CF" w:rsidRDefault="002C0FD9" w:rsidP="00CA25CF">
            <w:pPr>
              <w:rPr>
                <w:rFonts w:cs="Arial"/>
                <w:color w:val="FF0000"/>
                <w:sz w:val="21"/>
                <w:szCs w:val="21"/>
              </w:rPr>
            </w:pPr>
          </w:p>
        </w:tc>
        <w:tc>
          <w:tcPr>
            <w:tcW w:w="217" w:type="dxa"/>
          </w:tcPr>
          <w:p w14:paraId="1B566B73" w14:textId="77777777" w:rsidR="002C0FD9" w:rsidRPr="00CA25CF" w:rsidRDefault="002C0FD9" w:rsidP="00CA25CF">
            <w:pPr>
              <w:rPr>
                <w:rFonts w:cs="Arial"/>
                <w:color w:val="FF0000"/>
                <w:sz w:val="21"/>
                <w:szCs w:val="21"/>
              </w:rPr>
            </w:pPr>
          </w:p>
        </w:tc>
        <w:tc>
          <w:tcPr>
            <w:tcW w:w="217" w:type="dxa"/>
          </w:tcPr>
          <w:p w14:paraId="5D64EB53" w14:textId="77777777" w:rsidR="002C0FD9" w:rsidRPr="00CA25CF" w:rsidRDefault="002C0FD9" w:rsidP="00CA25CF">
            <w:pPr>
              <w:rPr>
                <w:rFonts w:cs="Arial"/>
                <w:color w:val="FF0000"/>
                <w:sz w:val="21"/>
                <w:szCs w:val="21"/>
              </w:rPr>
            </w:pPr>
          </w:p>
        </w:tc>
        <w:tc>
          <w:tcPr>
            <w:tcW w:w="217" w:type="dxa"/>
          </w:tcPr>
          <w:p w14:paraId="03A4B31C" w14:textId="77777777" w:rsidR="002C0FD9" w:rsidRPr="00CA25CF" w:rsidRDefault="002C0FD9" w:rsidP="00CA25CF">
            <w:pPr>
              <w:rPr>
                <w:rFonts w:cs="Arial"/>
                <w:color w:val="FF0000"/>
                <w:sz w:val="21"/>
                <w:szCs w:val="21"/>
              </w:rPr>
            </w:pPr>
          </w:p>
        </w:tc>
        <w:tc>
          <w:tcPr>
            <w:tcW w:w="217" w:type="dxa"/>
          </w:tcPr>
          <w:p w14:paraId="6077F87C" w14:textId="77777777" w:rsidR="002C0FD9" w:rsidRPr="00CA25CF" w:rsidRDefault="002C0FD9" w:rsidP="00CA25CF">
            <w:pPr>
              <w:rPr>
                <w:rFonts w:cs="Arial"/>
                <w:color w:val="FF0000"/>
                <w:sz w:val="21"/>
                <w:szCs w:val="21"/>
              </w:rPr>
            </w:pPr>
          </w:p>
        </w:tc>
        <w:tc>
          <w:tcPr>
            <w:tcW w:w="217" w:type="dxa"/>
          </w:tcPr>
          <w:p w14:paraId="7584998A" w14:textId="77777777" w:rsidR="002C0FD9" w:rsidRPr="00CA25CF" w:rsidRDefault="002C0FD9" w:rsidP="00CA25CF">
            <w:pPr>
              <w:rPr>
                <w:rFonts w:cs="Arial"/>
                <w:color w:val="FF0000"/>
                <w:sz w:val="21"/>
                <w:szCs w:val="21"/>
              </w:rPr>
            </w:pPr>
          </w:p>
        </w:tc>
        <w:tc>
          <w:tcPr>
            <w:tcW w:w="217" w:type="dxa"/>
          </w:tcPr>
          <w:p w14:paraId="7B0343EE" w14:textId="77777777" w:rsidR="002C0FD9" w:rsidRPr="00CA25CF" w:rsidRDefault="002C0FD9" w:rsidP="00CA25CF">
            <w:pPr>
              <w:rPr>
                <w:rFonts w:cs="Arial"/>
                <w:color w:val="FF0000"/>
                <w:sz w:val="21"/>
                <w:szCs w:val="21"/>
              </w:rPr>
            </w:pPr>
          </w:p>
        </w:tc>
        <w:tc>
          <w:tcPr>
            <w:tcW w:w="217" w:type="dxa"/>
          </w:tcPr>
          <w:p w14:paraId="47520AF4" w14:textId="77777777" w:rsidR="002C0FD9" w:rsidRPr="00CA25CF" w:rsidRDefault="002C0FD9" w:rsidP="00CA25CF">
            <w:pPr>
              <w:rPr>
                <w:rFonts w:cs="Arial"/>
                <w:color w:val="FF0000"/>
                <w:sz w:val="21"/>
                <w:szCs w:val="21"/>
              </w:rPr>
            </w:pPr>
          </w:p>
        </w:tc>
        <w:tc>
          <w:tcPr>
            <w:tcW w:w="217" w:type="dxa"/>
          </w:tcPr>
          <w:p w14:paraId="317B1878" w14:textId="77777777" w:rsidR="002C0FD9" w:rsidRPr="00CA25CF" w:rsidRDefault="002C0FD9" w:rsidP="00CA25CF">
            <w:pPr>
              <w:rPr>
                <w:rFonts w:cs="Arial"/>
                <w:color w:val="FF0000"/>
                <w:sz w:val="21"/>
                <w:szCs w:val="21"/>
              </w:rPr>
            </w:pPr>
          </w:p>
        </w:tc>
        <w:tc>
          <w:tcPr>
            <w:tcW w:w="217" w:type="dxa"/>
          </w:tcPr>
          <w:p w14:paraId="5A6687A9" w14:textId="77777777" w:rsidR="002C0FD9" w:rsidRPr="00CA25CF" w:rsidRDefault="002C0FD9" w:rsidP="00CA25CF">
            <w:pPr>
              <w:rPr>
                <w:rFonts w:cs="Arial"/>
                <w:color w:val="FF0000"/>
                <w:sz w:val="21"/>
                <w:szCs w:val="21"/>
              </w:rPr>
            </w:pPr>
          </w:p>
        </w:tc>
      </w:tr>
      <w:tr w:rsidR="002C0FD9" w:rsidRPr="00A16219" w14:paraId="3FC92F38" w14:textId="77777777" w:rsidTr="002C0FD9">
        <w:trPr>
          <w:trHeight w:val="635"/>
        </w:trPr>
        <w:tc>
          <w:tcPr>
            <w:tcW w:w="515" w:type="dxa"/>
          </w:tcPr>
          <w:p w14:paraId="0C67B273" w14:textId="77777777" w:rsidR="002C0FD9" w:rsidRPr="00CA25CF" w:rsidRDefault="002C0FD9" w:rsidP="00CA25CF">
            <w:pPr>
              <w:rPr>
                <w:rFonts w:cs="Arial"/>
                <w:color w:val="FF0000"/>
                <w:sz w:val="21"/>
                <w:szCs w:val="21"/>
              </w:rPr>
            </w:pPr>
          </w:p>
        </w:tc>
        <w:tc>
          <w:tcPr>
            <w:tcW w:w="217" w:type="dxa"/>
          </w:tcPr>
          <w:p w14:paraId="01359729" w14:textId="77777777" w:rsidR="002C0FD9" w:rsidRPr="00CA25CF" w:rsidRDefault="002C0FD9" w:rsidP="00CA25CF">
            <w:pPr>
              <w:rPr>
                <w:rFonts w:cs="Arial"/>
                <w:color w:val="FF0000"/>
                <w:sz w:val="21"/>
                <w:szCs w:val="21"/>
              </w:rPr>
            </w:pPr>
          </w:p>
        </w:tc>
        <w:tc>
          <w:tcPr>
            <w:tcW w:w="217" w:type="dxa"/>
          </w:tcPr>
          <w:p w14:paraId="7FF4A7E7" w14:textId="77777777" w:rsidR="002C0FD9" w:rsidRPr="00CA25CF" w:rsidRDefault="002C0FD9" w:rsidP="00CA25CF">
            <w:pPr>
              <w:rPr>
                <w:rFonts w:cs="Arial"/>
                <w:color w:val="FF0000"/>
                <w:sz w:val="21"/>
                <w:szCs w:val="21"/>
              </w:rPr>
            </w:pPr>
          </w:p>
        </w:tc>
        <w:tc>
          <w:tcPr>
            <w:tcW w:w="217" w:type="dxa"/>
          </w:tcPr>
          <w:p w14:paraId="67DA48F8" w14:textId="77777777" w:rsidR="002C0FD9" w:rsidRPr="00CA25CF" w:rsidRDefault="002C0FD9" w:rsidP="00CA25CF">
            <w:pPr>
              <w:rPr>
                <w:rFonts w:cs="Arial"/>
                <w:color w:val="FF0000"/>
                <w:sz w:val="21"/>
                <w:szCs w:val="21"/>
              </w:rPr>
            </w:pPr>
          </w:p>
        </w:tc>
        <w:tc>
          <w:tcPr>
            <w:tcW w:w="217" w:type="dxa"/>
          </w:tcPr>
          <w:p w14:paraId="3C2E47A8" w14:textId="77777777" w:rsidR="002C0FD9" w:rsidRPr="00CA25CF" w:rsidRDefault="002C0FD9" w:rsidP="00CA25CF">
            <w:pPr>
              <w:rPr>
                <w:rFonts w:cs="Arial"/>
                <w:color w:val="FF0000"/>
                <w:sz w:val="21"/>
                <w:szCs w:val="21"/>
              </w:rPr>
            </w:pPr>
          </w:p>
        </w:tc>
        <w:tc>
          <w:tcPr>
            <w:tcW w:w="217" w:type="dxa"/>
          </w:tcPr>
          <w:p w14:paraId="567FD1A5" w14:textId="77777777" w:rsidR="002C0FD9" w:rsidRPr="00CA25CF" w:rsidRDefault="002C0FD9" w:rsidP="00CA25CF">
            <w:pPr>
              <w:rPr>
                <w:rFonts w:cs="Arial"/>
                <w:color w:val="FF0000"/>
                <w:sz w:val="21"/>
                <w:szCs w:val="21"/>
              </w:rPr>
            </w:pPr>
          </w:p>
        </w:tc>
        <w:tc>
          <w:tcPr>
            <w:tcW w:w="217" w:type="dxa"/>
          </w:tcPr>
          <w:p w14:paraId="009A8A13" w14:textId="77777777" w:rsidR="002C0FD9" w:rsidRPr="00CA25CF" w:rsidRDefault="002C0FD9" w:rsidP="00CA25CF">
            <w:pPr>
              <w:rPr>
                <w:rFonts w:cs="Arial"/>
                <w:color w:val="FF0000"/>
                <w:sz w:val="21"/>
                <w:szCs w:val="21"/>
              </w:rPr>
            </w:pPr>
          </w:p>
        </w:tc>
        <w:tc>
          <w:tcPr>
            <w:tcW w:w="217" w:type="dxa"/>
          </w:tcPr>
          <w:p w14:paraId="43AFBA4B" w14:textId="77777777" w:rsidR="002C0FD9" w:rsidRPr="00CA25CF" w:rsidRDefault="002C0FD9" w:rsidP="00CA25CF">
            <w:pPr>
              <w:rPr>
                <w:rFonts w:cs="Arial"/>
                <w:color w:val="FF0000"/>
                <w:sz w:val="21"/>
                <w:szCs w:val="21"/>
              </w:rPr>
            </w:pPr>
          </w:p>
        </w:tc>
        <w:tc>
          <w:tcPr>
            <w:tcW w:w="217" w:type="dxa"/>
          </w:tcPr>
          <w:p w14:paraId="478A9C59" w14:textId="77777777" w:rsidR="002C0FD9" w:rsidRPr="00CA25CF" w:rsidRDefault="002C0FD9" w:rsidP="00CA25CF">
            <w:pPr>
              <w:rPr>
                <w:rFonts w:cs="Arial"/>
                <w:color w:val="FF0000"/>
                <w:sz w:val="21"/>
                <w:szCs w:val="21"/>
              </w:rPr>
            </w:pPr>
          </w:p>
        </w:tc>
        <w:tc>
          <w:tcPr>
            <w:tcW w:w="217" w:type="dxa"/>
          </w:tcPr>
          <w:p w14:paraId="2B9CE41D" w14:textId="77777777" w:rsidR="002C0FD9" w:rsidRPr="00CA25CF" w:rsidRDefault="002C0FD9" w:rsidP="00CA25CF">
            <w:pPr>
              <w:rPr>
                <w:rFonts w:cs="Arial"/>
                <w:color w:val="FF0000"/>
                <w:sz w:val="21"/>
                <w:szCs w:val="21"/>
              </w:rPr>
            </w:pPr>
          </w:p>
        </w:tc>
        <w:tc>
          <w:tcPr>
            <w:tcW w:w="217" w:type="dxa"/>
          </w:tcPr>
          <w:p w14:paraId="3CE807F3" w14:textId="77777777" w:rsidR="002C0FD9" w:rsidRPr="00CA25CF" w:rsidRDefault="002C0FD9" w:rsidP="00CA25CF">
            <w:pPr>
              <w:rPr>
                <w:rFonts w:cs="Arial"/>
                <w:color w:val="FF0000"/>
                <w:sz w:val="21"/>
                <w:szCs w:val="21"/>
              </w:rPr>
            </w:pPr>
          </w:p>
        </w:tc>
        <w:tc>
          <w:tcPr>
            <w:tcW w:w="217" w:type="dxa"/>
          </w:tcPr>
          <w:p w14:paraId="2C85BFD5" w14:textId="77777777" w:rsidR="002C0FD9" w:rsidRPr="00CA25CF" w:rsidRDefault="002C0FD9" w:rsidP="00CA25CF">
            <w:pPr>
              <w:rPr>
                <w:rFonts w:cs="Arial"/>
                <w:color w:val="FF0000"/>
                <w:sz w:val="21"/>
                <w:szCs w:val="21"/>
              </w:rPr>
            </w:pPr>
          </w:p>
        </w:tc>
        <w:tc>
          <w:tcPr>
            <w:tcW w:w="217" w:type="dxa"/>
          </w:tcPr>
          <w:p w14:paraId="221D1DF4" w14:textId="77777777" w:rsidR="002C0FD9" w:rsidRPr="00CA25CF" w:rsidRDefault="002C0FD9" w:rsidP="00CA25CF">
            <w:pPr>
              <w:rPr>
                <w:rFonts w:cs="Arial"/>
                <w:color w:val="FF0000"/>
                <w:sz w:val="21"/>
                <w:szCs w:val="21"/>
              </w:rPr>
            </w:pPr>
          </w:p>
        </w:tc>
        <w:tc>
          <w:tcPr>
            <w:tcW w:w="217" w:type="dxa"/>
          </w:tcPr>
          <w:p w14:paraId="5212EFBC" w14:textId="77777777" w:rsidR="002C0FD9" w:rsidRPr="00CA25CF" w:rsidRDefault="002C0FD9" w:rsidP="00CA25CF">
            <w:pPr>
              <w:rPr>
                <w:rFonts w:cs="Arial"/>
                <w:color w:val="FF0000"/>
                <w:sz w:val="21"/>
                <w:szCs w:val="21"/>
              </w:rPr>
            </w:pPr>
          </w:p>
        </w:tc>
        <w:tc>
          <w:tcPr>
            <w:tcW w:w="217" w:type="dxa"/>
          </w:tcPr>
          <w:p w14:paraId="3B83CDD3" w14:textId="77777777" w:rsidR="002C0FD9" w:rsidRPr="00CA25CF" w:rsidRDefault="002C0FD9" w:rsidP="00CA25CF">
            <w:pPr>
              <w:rPr>
                <w:rFonts w:cs="Arial"/>
                <w:color w:val="FF0000"/>
                <w:sz w:val="21"/>
                <w:szCs w:val="21"/>
              </w:rPr>
            </w:pPr>
          </w:p>
        </w:tc>
        <w:tc>
          <w:tcPr>
            <w:tcW w:w="217" w:type="dxa"/>
          </w:tcPr>
          <w:p w14:paraId="4A7BD8EA" w14:textId="77777777" w:rsidR="002C0FD9" w:rsidRPr="00CA25CF" w:rsidRDefault="002C0FD9" w:rsidP="00CA25CF">
            <w:pPr>
              <w:rPr>
                <w:rFonts w:cs="Arial"/>
                <w:color w:val="FF0000"/>
                <w:sz w:val="21"/>
                <w:szCs w:val="21"/>
              </w:rPr>
            </w:pPr>
          </w:p>
        </w:tc>
        <w:tc>
          <w:tcPr>
            <w:tcW w:w="217" w:type="dxa"/>
          </w:tcPr>
          <w:p w14:paraId="0C3D6ADE" w14:textId="77777777" w:rsidR="002C0FD9" w:rsidRPr="00CA25CF" w:rsidRDefault="002C0FD9" w:rsidP="00CA25CF">
            <w:pPr>
              <w:rPr>
                <w:rFonts w:cs="Arial"/>
                <w:color w:val="FF0000"/>
                <w:sz w:val="21"/>
                <w:szCs w:val="21"/>
              </w:rPr>
            </w:pPr>
          </w:p>
        </w:tc>
        <w:tc>
          <w:tcPr>
            <w:tcW w:w="217" w:type="dxa"/>
          </w:tcPr>
          <w:p w14:paraId="2B3982AB" w14:textId="77777777" w:rsidR="002C0FD9" w:rsidRPr="00CA25CF" w:rsidRDefault="002C0FD9" w:rsidP="00CA25CF">
            <w:pPr>
              <w:rPr>
                <w:rFonts w:cs="Arial"/>
                <w:color w:val="FF0000"/>
                <w:sz w:val="21"/>
                <w:szCs w:val="21"/>
              </w:rPr>
            </w:pPr>
          </w:p>
        </w:tc>
        <w:tc>
          <w:tcPr>
            <w:tcW w:w="217" w:type="dxa"/>
          </w:tcPr>
          <w:p w14:paraId="5856A08D" w14:textId="77777777" w:rsidR="002C0FD9" w:rsidRPr="00CA25CF" w:rsidRDefault="002C0FD9" w:rsidP="00CA25CF">
            <w:pPr>
              <w:rPr>
                <w:rFonts w:cs="Arial"/>
                <w:color w:val="FF0000"/>
                <w:sz w:val="21"/>
                <w:szCs w:val="21"/>
              </w:rPr>
            </w:pPr>
          </w:p>
        </w:tc>
        <w:tc>
          <w:tcPr>
            <w:tcW w:w="217" w:type="dxa"/>
          </w:tcPr>
          <w:p w14:paraId="0E5A378A" w14:textId="77777777" w:rsidR="002C0FD9" w:rsidRPr="00CA25CF" w:rsidRDefault="002C0FD9" w:rsidP="00CA25CF">
            <w:pPr>
              <w:rPr>
                <w:rFonts w:cs="Arial"/>
                <w:color w:val="FF0000"/>
                <w:sz w:val="21"/>
                <w:szCs w:val="21"/>
              </w:rPr>
            </w:pPr>
          </w:p>
        </w:tc>
        <w:tc>
          <w:tcPr>
            <w:tcW w:w="217" w:type="dxa"/>
          </w:tcPr>
          <w:p w14:paraId="36115557" w14:textId="77777777" w:rsidR="002C0FD9" w:rsidRPr="00CA25CF" w:rsidRDefault="002C0FD9" w:rsidP="00CA25CF">
            <w:pPr>
              <w:rPr>
                <w:rFonts w:cs="Arial"/>
                <w:color w:val="FF0000"/>
                <w:sz w:val="21"/>
                <w:szCs w:val="21"/>
              </w:rPr>
            </w:pPr>
          </w:p>
        </w:tc>
        <w:tc>
          <w:tcPr>
            <w:tcW w:w="217" w:type="dxa"/>
          </w:tcPr>
          <w:p w14:paraId="5203CAE3" w14:textId="77777777" w:rsidR="002C0FD9" w:rsidRPr="00CA25CF" w:rsidRDefault="002C0FD9" w:rsidP="00CA25CF">
            <w:pPr>
              <w:rPr>
                <w:rFonts w:cs="Arial"/>
                <w:color w:val="FF0000"/>
                <w:sz w:val="21"/>
                <w:szCs w:val="21"/>
              </w:rPr>
            </w:pPr>
          </w:p>
        </w:tc>
        <w:tc>
          <w:tcPr>
            <w:tcW w:w="217" w:type="dxa"/>
          </w:tcPr>
          <w:p w14:paraId="768B4FF6" w14:textId="77777777" w:rsidR="002C0FD9" w:rsidRPr="00CA25CF" w:rsidRDefault="002C0FD9" w:rsidP="00CA25CF">
            <w:pPr>
              <w:rPr>
                <w:rFonts w:cs="Arial"/>
                <w:color w:val="FF0000"/>
                <w:sz w:val="21"/>
                <w:szCs w:val="21"/>
              </w:rPr>
            </w:pPr>
          </w:p>
        </w:tc>
        <w:tc>
          <w:tcPr>
            <w:tcW w:w="217" w:type="dxa"/>
          </w:tcPr>
          <w:p w14:paraId="598786FA" w14:textId="77777777" w:rsidR="002C0FD9" w:rsidRPr="00CA25CF" w:rsidRDefault="002C0FD9" w:rsidP="00CA25CF">
            <w:pPr>
              <w:rPr>
                <w:rFonts w:cs="Arial"/>
                <w:color w:val="FF0000"/>
                <w:sz w:val="21"/>
                <w:szCs w:val="21"/>
              </w:rPr>
            </w:pPr>
          </w:p>
        </w:tc>
        <w:tc>
          <w:tcPr>
            <w:tcW w:w="217" w:type="dxa"/>
          </w:tcPr>
          <w:p w14:paraId="3F521357" w14:textId="77777777" w:rsidR="002C0FD9" w:rsidRPr="00CA25CF" w:rsidRDefault="002C0FD9" w:rsidP="00CA25CF">
            <w:pPr>
              <w:rPr>
                <w:rFonts w:cs="Arial"/>
                <w:color w:val="FF0000"/>
                <w:sz w:val="21"/>
                <w:szCs w:val="21"/>
              </w:rPr>
            </w:pPr>
          </w:p>
        </w:tc>
        <w:tc>
          <w:tcPr>
            <w:tcW w:w="217" w:type="dxa"/>
          </w:tcPr>
          <w:p w14:paraId="4ABCC75F" w14:textId="77777777" w:rsidR="002C0FD9" w:rsidRPr="00CA25CF" w:rsidRDefault="002C0FD9" w:rsidP="00CA25CF">
            <w:pPr>
              <w:rPr>
                <w:rFonts w:cs="Arial"/>
                <w:color w:val="FF0000"/>
                <w:sz w:val="21"/>
                <w:szCs w:val="21"/>
              </w:rPr>
            </w:pPr>
          </w:p>
        </w:tc>
        <w:tc>
          <w:tcPr>
            <w:tcW w:w="217" w:type="dxa"/>
          </w:tcPr>
          <w:p w14:paraId="47396E63" w14:textId="77777777" w:rsidR="002C0FD9" w:rsidRPr="00CA25CF" w:rsidRDefault="002C0FD9" w:rsidP="00CA25CF">
            <w:pPr>
              <w:rPr>
                <w:rFonts w:cs="Arial"/>
                <w:color w:val="FF0000"/>
                <w:sz w:val="21"/>
                <w:szCs w:val="21"/>
              </w:rPr>
            </w:pPr>
          </w:p>
        </w:tc>
        <w:tc>
          <w:tcPr>
            <w:tcW w:w="217" w:type="dxa"/>
          </w:tcPr>
          <w:p w14:paraId="014CB4DE" w14:textId="77777777" w:rsidR="002C0FD9" w:rsidRPr="00CA25CF" w:rsidRDefault="002C0FD9" w:rsidP="00CA25CF">
            <w:pPr>
              <w:rPr>
                <w:rFonts w:cs="Arial"/>
                <w:color w:val="FF0000"/>
                <w:sz w:val="21"/>
                <w:szCs w:val="21"/>
              </w:rPr>
            </w:pPr>
          </w:p>
        </w:tc>
        <w:tc>
          <w:tcPr>
            <w:tcW w:w="217" w:type="dxa"/>
          </w:tcPr>
          <w:p w14:paraId="76C36783" w14:textId="77777777" w:rsidR="002C0FD9" w:rsidRPr="00CA25CF" w:rsidRDefault="002C0FD9" w:rsidP="00CA25CF">
            <w:pPr>
              <w:rPr>
                <w:rFonts w:cs="Arial"/>
                <w:color w:val="FF0000"/>
                <w:sz w:val="21"/>
                <w:szCs w:val="21"/>
              </w:rPr>
            </w:pPr>
          </w:p>
        </w:tc>
        <w:tc>
          <w:tcPr>
            <w:tcW w:w="217" w:type="dxa"/>
          </w:tcPr>
          <w:p w14:paraId="4166F5A4" w14:textId="77777777" w:rsidR="002C0FD9" w:rsidRPr="00CA25CF" w:rsidRDefault="002C0FD9" w:rsidP="00CA25CF">
            <w:pPr>
              <w:rPr>
                <w:rFonts w:cs="Arial"/>
                <w:color w:val="FF0000"/>
                <w:sz w:val="21"/>
                <w:szCs w:val="21"/>
              </w:rPr>
            </w:pPr>
          </w:p>
        </w:tc>
        <w:tc>
          <w:tcPr>
            <w:tcW w:w="217" w:type="dxa"/>
          </w:tcPr>
          <w:p w14:paraId="25EA6CEC" w14:textId="77777777" w:rsidR="002C0FD9" w:rsidRPr="00CA25CF" w:rsidRDefault="002C0FD9" w:rsidP="00CA25CF">
            <w:pPr>
              <w:rPr>
                <w:rFonts w:cs="Arial"/>
                <w:color w:val="FF0000"/>
                <w:sz w:val="21"/>
                <w:szCs w:val="21"/>
              </w:rPr>
            </w:pPr>
          </w:p>
        </w:tc>
        <w:tc>
          <w:tcPr>
            <w:tcW w:w="217" w:type="dxa"/>
          </w:tcPr>
          <w:p w14:paraId="2D615322" w14:textId="77777777" w:rsidR="002C0FD9" w:rsidRPr="00CA25CF" w:rsidRDefault="002C0FD9" w:rsidP="00CA25CF">
            <w:pPr>
              <w:rPr>
                <w:rFonts w:cs="Arial"/>
                <w:color w:val="FF0000"/>
                <w:sz w:val="21"/>
                <w:szCs w:val="21"/>
              </w:rPr>
            </w:pPr>
          </w:p>
        </w:tc>
        <w:tc>
          <w:tcPr>
            <w:tcW w:w="217" w:type="dxa"/>
          </w:tcPr>
          <w:p w14:paraId="09BEF813" w14:textId="77777777" w:rsidR="002C0FD9" w:rsidRPr="00CA25CF" w:rsidRDefault="002C0FD9" w:rsidP="00CA25CF">
            <w:pPr>
              <w:rPr>
                <w:rFonts w:cs="Arial"/>
                <w:color w:val="FF0000"/>
                <w:sz w:val="21"/>
                <w:szCs w:val="21"/>
              </w:rPr>
            </w:pPr>
          </w:p>
        </w:tc>
        <w:tc>
          <w:tcPr>
            <w:tcW w:w="217" w:type="dxa"/>
          </w:tcPr>
          <w:p w14:paraId="7E3FB7A2" w14:textId="77777777" w:rsidR="002C0FD9" w:rsidRPr="00CA25CF" w:rsidRDefault="002C0FD9" w:rsidP="00CA25CF">
            <w:pPr>
              <w:rPr>
                <w:rFonts w:cs="Arial"/>
                <w:color w:val="FF0000"/>
                <w:sz w:val="21"/>
                <w:szCs w:val="21"/>
              </w:rPr>
            </w:pPr>
          </w:p>
        </w:tc>
        <w:tc>
          <w:tcPr>
            <w:tcW w:w="217" w:type="dxa"/>
          </w:tcPr>
          <w:p w14:paraId="6D74ADAC" w14:textId="77777777" w:rsidR="002C0FD9" w:rsidRPr="00CA25CF" w:rsidRDefault="002C0FD9" w:rsidP="00CA25CF">
            <w:pPr>
              <w:rPr>
                <w:rFonts w:cs="Arial"/>
                <w:color w:val="FF0000"/>
                <w:sz w:val="21"/>
                <w:szCs w:val="21"/>
              </w:rPr>
            </w:pPr>
          </w:p>
        </w:tc>
        <w:tc>
          <w:tcPr>
            <w:tcW w:w="217" w:type="dxa"/>
          </w:tcPr>
          <w:p w14:paraId="30378803" w14:textId="77777777" w:rsidR="002C0FD9" w:rsidRPr="00CA25CF" w:rsidRDefault="002C0FD9" w:rsidP="00CA25CF">
            <w:pPr>
              <w:rPr>
                <w:rFonts w:cs="Arial"/>
                <w:color w:val="FF0000"/>
                <w:sz w:val="21"/>
                <w:szCs w:val="21"/>
              </w:rPr>
            </w:pPr>
          </w:p>
        </w:tc>
        <w:tc>
          <w:tcPr>
            <w:tcW w:w="217" w:type="dxa"/>
          </w:tcPr>
          <w:p w14:paraId="5D699D8D" w14:textId="77777777" w:rsidR="002C0FD9" w:rsidRPr="00CA25CF" w:rsidRDefault="002C0FD9" w:rsidP="00CA25CF">
            <w:pPr>
              <w:rPr>
                <w:rFonts w:cs="Arial"/>
                <w:color w:val="FF0000"/>
                <w:sz w:val="21"/>
                <w:szCs w:val="21"/>
              </w:rPr>
            </w:pPr>
          </w:p>
        </w:tc>
        <w:tc>
          <w:tcPr>
            <w:tcW w:w="217" w:type="dxa"/>
          </w:tcPr>
          <w:p w14:paraId="37CE087C" w14:textId="77777777" w:rsidR="002C0FD9" w:rsidRPr="00CA25CF" w:rsidRDefault="002C0FD9" w:rsidP="00CA25CF">
            <w:pPr>
              <w:rPr>
                <w:rFonts w:cs="Arial"/>
                <w:color w:val="FF0000"/>
                <w:sz w:val="21"/>
                <w:szCs w:val="21"/>
              </w:rPr>
            </w:pPr>
          </w:p>
        </w:tc>
        <w:tc>
          <w:tcPr>
            <w:tcW w:w="217" w:type="dxa"/>
          </w:tcPr>
          <w:p w14:paraId="762843DA" w14:textId="77777777" w:rsidR="002C0FD9" w:rsidRPr="00CA25CF" w:rsidRDefault="002C0FD9" w:rsidP="00CA25CF">
            <w:pPr>
              <w:rPr>
                <w:rFonts w:cs="Arial"/>
                <w:color w:val="FF0000"/>
                <w:sz w:val="21"/>
                <w:szCs w:val="21"/>
              </w:rPr>
            </w:pPr>
          </w:p>
        </w:tc>
        <w:tc>
          <w:tcPr>
            <w:tcW w:w="217" w:type="dxa"/>
          </w:tcPr>
          <w:p w14:paraId="01BFF4FD" w14:textId="77777777" w:rsidR="002C0FD9" w:rsidRPr="00CA25CF" w:rsidRDefault="002C0FD9" w:rsidP="00CA25CF">
            <w:pPr>
              <w:rPr>
                <w:rFonts w:cs="Arial"/>
                <w:color w:val="FF0000"/>
                <w:sz w:val="21"/>
                <w:szCs w:val="21"/>
              </w:rPr>
            </w:pPr>
          </w:p>
        </w:tc>
        <w:tc>
          <w:tcPr>
            <w:tcW w:w="217" w:type="dxa"/>
          </w:tcPr>
          <w:p w14:paraId="3C264BE0" w14:textId="77777777" w:rsidR="002C0FD9" w:rsidRPr="00CA25CF" w:rsidRDefault="002C0FD9" w:rsidP="00CA25CF">
            <w:pPr>
              <w:rPr>
                <w:rFonts w:cs="Arial"/>
                <w:color w:val="FF0000"/>
                <w:sz w:val="21"/>
                <w:szCs w:val="21"/>
              </w:rPr>
            </w:pPr>
          </w:p>
        </w:tc>
        <w:tc>
          <w:tcPr>
            <w:tcW w:w="217" w:type="dxa"/>
          </w:tcPr>
          <w:p w14:paraId="2439B289" w14:textId="77777777" w:rsidR="002C0FD9" w:rsidRPr="00CA25CF" w:rsidRDefault="002C0FD9" w:rsidP="00CA25CF">
            <w:pPr>
              <w:rPr>
                <w:rFonts w:cs="Arial"/>
                <w:color w:val="FF0000"/>
                <w:sz w:val="21"/>
                <w:szCs w:val="21"/>
              </w:rPr>
            </w:pPr>
          </w:p>
        </w:tc>
        <w:tc>
          <w:tcPr>
            <w:tcW w:w="217" w:type="dxa"/>
          </w:tcPr>
          <w:p w14:paraId="5482FA4D" w14:textId="77777777" w:rsidR="002C0FD9" w:rsidRPr="00CA25CF" w:rsidRDefault="002C0FD9" w:rsidP="00CA25CF">
            <w:pPr>
              <w:rPr>
                <w:rFonts w:cs="Arial"/>
                <w:color w:val="FF0000"/>
                <w:sz w:val="21"/>
                <w:szCs w:val="21"/>
              </w:rPr>
            </w:pPr>
          </w:p>
        </w:tc>
      </w:tr>
      <w:tr w:rsidR="002C0FD9" w:rsidRPr="00A16219" w14:paraId="38BBC6C5" w14:textId="77777777" w:rsidTr="002C0FD9">
        <w:trPr>
          <w:trHeight w:val="635"/>
        </w:trPr>
        <w:tc>
          <w:tcPr>
            <w:tcW w:w="515" w:type="dxa"/>
          </w:tcPr>
          <w:p w14:paraId="2425499E" w14:textId="77777777" w:rsidR="002C0FD9" w:rsidRPr="00CA25CF" w:rsidRDefault="002C0FD9" w:rsidP="00CA25CF">
            <w:pPr>
              <w:rPr>
                <w:rFonts w:cs="Arial"/>
                <w:color w:val="FF0000"/>
                <w:sz w:val="21"/>
                <w:szCs w:val="21"/>
              </w:rPr>
            </w:pPr>
          </w:p>
        </w:tc>
        <w:tc>
          <w:tcPr>
            <w:tcW w:w="217" w:type="dxa"/>
          </w:tcPr>
          <w:p w14:paraId="4585F6CF" w14:textId="77777777" w:rsidR="002C0FD9" w:rsidRPr="00CA25CF" w:rsidRDefault="002C0FD9" w:rsidP="00CA25CF">
            <w:pPr>
              <w:rPr>
                <w:rFonts w:cs="Arial"/>
                <w:color w:val="FF0000"/>
                <w:sz w:val="21"/>
                <w:szCs w:val="21"/>
              </w:rPr>
            </w:pPr>
          </w:p>
        </w:tc>
        <w:tc>
          <w:tcPr>
            <w:tcW w:w="217" w:type="dxa"/>
          </w:tcPr>
          <w:p w14:paraId="3F5A36D2" w14:textId="77777777" w:rsidR="002C0FD9" w:rsidRPr="00CA25CF" w:rsidRDefault="002C0FD9" w:rsidP="00CA25CF">
            <w:pPr>
              <w:rPr>
                <w:rFonts w:cs="Arial"/>
                <w:color w:val="FF0000"/>
                <w:sz w:val="21"/>
                <w:szCs w:val="21"/>
              </w:rPr>
            </w:pPr>
          </w:p>
        </w:tc>
        <w:tc>
          <w:tcPr>
            <w:tcW w:w="217" w:type="dxa"/>
          </w:tcPr>
          <w:p w14:paraId="02F5E50B" w14:textId="77777777" w:rsidR="002C0FD9" w:rsidRPr="00CA25CF" w:rsidRDefault="002C0FD9" w:rsidP="00CA25CF">
            <w:pPr>
              <w:rPr>
                <w:rFonts w:cs="Arial"/>
                <w:color w:val="FF0000"/>
                <w:sz w:val="21"/>
                <w:szCs w:val="21"/>
              </w:rPr>
            </w:pPr>
          </w:p>
        </w:tc>
        <w:tc>
          <w:tcPr>
            <w:tcW w:w="217" w:type="dxa"/>
          </w:tcPr>
          <w:p w14:paraId="2E6086CD" w14:textId="77777777" w:rsidR="002C0FD9" w:rsidRPr="00CA25CF" w:rsidRDefault="002C0FD9" w:rsidP="00CA25CF">
            <w:pPr>
              <w:rPr>
                <w:rFonts w:cs="Arial"/>
                <w:color w:val="FF0000"/>
                <w:sz w:val="21"/>
                <w:szCs w:val="21"/>
              </w:rPr>
            </w:pPr>
          </w:p>
        </w:tc>
        <w:tc>
          <w:tcPr>
            <w:tcW w:w="217" w:type="dxa"/>
          </w:tcPr>
          <w:p w14:paraId="48203BF8" w14:textId="77777777" w:rsidR="002C0FD9" w:rsidRPr="00CA25CF" w:rsidRDefault="002C0FD9" w:rsidP="00CA25CF">
            <w:pPr>
              <w:rPr>
                <w:rFonts w:cs="Arial"/>
                <w:color w:val="FF0000"/>
                <w:sz w:val="21"/>
                <w:szCs w:val="21"/>
              </w:rPr>
            </w:pPr>
          </w:p>
        </w:tc>
        <w:tc>
          <w:tcPr>
            <w:tcW w:w="217" w:type="dxa"/>
          </w:tcPr>
          <w:p w14:paraId="17A96D3E" w14:textId="77777777" w:rsidR="002C0FD9" w:rsidRPr="00CA25CF" w:rsidRDefault="002C0FD9" w:rsidP="00CA25CF">
            <w:pPr>
              <w:rPr>
                <w:rFonts w:cs="Arial"/>
                <w:color w:val="FF0000"/>
                <w:sz w:val="21"/>
                <w:szCs w:val="21"/>
              </w:rPr>
            </w:pPr>
          </w:p>
        </w:tc>
        <w:tc>
          <w:tcPr>
            <w:tcW w:w="217" w:type="dxa"/>
          </w:tcPr>
          <w:p w14:paraId="59D09653" w14:textId="77777777" w:rsidR="002C0FD9" w:rsidRPr="00CA25CF" w:rsidRDefault="002C0FD9" w:rsidP="00CA25CF">
            <w:pPr>
              <w:rPr>
                <w:rFonts w:cs="Arial"/>
                <w:color w:val="FF0000"/>
                <w:sz w:val="21"/>
                <w:szCs w:val="21"/>
              </w:rPr>
            </w:pPr>
          </w:p>
        </w:tc>
        <w:tc>
          <w:tcPr>
            <w:tcW w:w="217" w:type="dxa"/>
          </w:tcPr>
          <w:p w14:paraId="3223CDD6" w14:textId="77777777" w:rsidR="002C0FD9" w:rsidRPr="00CA25CF" w:rsidRDefault="002C0FD9" w:rsidP="00CA25CF">
            <w:pPr>
              <w:rPr>
                <w:rFonts w:cs="Arial"/>
                <w:color w:val="FF0000"/>
                <w:sz w:val="21"/>
                <w:szCs w:val="21"/>
              </w:rPr>
            </w:pPr>
          </w:p>
        </w:tc>
        <w:tc>
          <w:tcPr>
            <w:tcW w:w="217" w:type="dxa"/>
          </w:tcPr>
          <w:p w14:paraId="229C62DC" w14:textId="77777777" w:rsidR="002C0FD9" w:rsidRPr="00CA25CF" w:rsidRDefault="002C0FD9" w:rsidP="00CA25CF">
            <w:pPr>
              <w:rPr>
                <w:rFonts w:cs="Arial"/>
                <w:color w:val="FF0000"/>
                <w:sz w:val="21"/>
                <w:szCs w:val="21"/>
              </w:rPr>
            </w:pPr>
          </w:p>
        </w:tc>
        <w:tc>
          <w:tcPr>
            <w:tcW w:w="217" w:type="dxa"/>
          </w:tcPr>
          <w:p w14:paraId="64895CC6" w14:textId="77777777" w:rsidR="002C0FD9" w:rsidRPr="00CA25CF" w:rsidRDefault="002C0FD9" w:rsidP="00CA25CF">
            <w:pPr>
              <w:rPr>
                <w:rFonts w:cs="Arial"/>
                <w:color w:val="FF0000"/>
                <w:sz w:val="21"/>
                <w:szCs w:val="21"/>
              </w:rPr>
            </w:pPr>
          </w:p>
        </w:tc>
        <w:tc>
          <w:tcPr>
            <w:tcW w:w="217" w:type="dxa"/>
          </w:tcPr>
          <w:p w14:paraId="04B90361" w14:textId="77777777" w:rsidR="002C0FD9" w:rsidRPr="00CA25CF" w:rsidRDefault="002C0FD9" w:rsidP="00CA25CF">
            <w:pPr>
              <w:rPr>
                <w:rFonts w:cs="Arial"/>
                <w:color w:val="FF0000"/>
                <w:sz w:val="21"/>
                <w:szCs w:val="21"/>
              </w:rPr>
            </w:pPr>
          </w:p>
        </w:tc>
        <w:tc>
          <w:tcPr>
            <w:tcW w:w="217" w:type="dxa"/>
          </w:tcPr>
          <w:p w14:paraId="48C365D9" w14:textId="77777777" w:rsidR="002C0FD9" w:rsidRPr="00CA25CF" w:rsidRDefault="002C0FD9" w:rsidP="00CA25CF">
            <w:pPr>
              <w:rPr>
                <w:rFonts w:cs="Arial"/>
                <w:color w:val="FF0000"/>
                <w:sz w:val="21"/>
                <w:szCs w:val="21"/>
              </w:rPr>
            </w:pPr>
          </w:p>
        </w:tc>
        <w:tc>
          <w:tcPr>
            <w:tcW w:w="217" w:type="dxa"/>
          </w:tcPr>
          <w:p w14:paraId="0B2705DC" w14:textId="77777777" w:rsidR="002C0FD9" w:rsidRPr="00CA25CF" w:rsidRDefault="002C0FD9" w:rsidP="00CA25CF">
            <w:pPr>
              <w:rPr>
                <w:rFonts w:cs="Arial"/>
                <w:color w:val="FF0000"/>
                <w:sz w:val="21"/>
                <w:szCs w:val="21"/>
              </w:rPr>
            </w:pPr>
          </w:p>
        </w:tc>
        <w:tc>
          <w:tcPr>
            <w:tcW w:w="217" w:type="dxa"/>
          </w:tcPr>
          <w:p w14:paraId="73187C18" w14:textId="77777777" w:rsidR="002C0FD9" w:rsidRPr="00CA25CF" w:rsidRDefault="002C0FD9" w:rsidP="00CA25CF">
            <w:pPr>
              <w:rPr>
                <w:rFonts w:cs="Arial"/>
                <w:color w:val="FF0000"/>
                <w:sz w:val="21"/>
                <w:szCs w:val="21"/>
              </w:rPr>
            </w:pPr>
          </w:p>
        </w:tc>
        <w:tc>
          <w:tcPr>
            <w:tcW w:w="217" w:type="dxa"/>
          </w:tcPr>
          <w:p w14:paraId="0D5DA73F" w14:textId="77777777" w:rsidR="002C0FD9" w:rsidRPr="00CA25CF" w:rsidRDefault="002C0FD9" w:rsidP="00CA25CF">
            <w:pPr>
              <w:rPr>
                <w:rFonts w:cs="Arial"/>
                <w:color w:val="FF0000"/>
                <w:sz w:val="21"/>
                <w:szCs w:val="21"/>
              </w:rPr>
            </w:pPr>
          </w:p>
        </w:tc>
        <w:tc>
          <w:tcPr>
            <w:tcW w:w="217" w:type="dxa"/>
          </w:tcPr>
          <w:p w14:paraId="5CE5DF65" w14:textId="77777777" w:rsidR="002C0FD9" w:rsidRPr="00CA25CF" w:rsidRDefault="002C0FD9" w:rsidP="00CA25CF">
            <w:pPr>
              <w:rPr>
                <w:rFonts w:cs="Arial"/>
                <w:color w:val="FF0000"/>
                <w:sz w:val="21"/>
                <w:szCs w:val="21"/>
              </w:rPr>
            </w:pPr>
          </w:p>
        </w:tc>
        <w:tc>
          <w:tcPr>
            <w:tcW w:w="217" w:type="dxa"/>
          </w:tcPr>
          <w:p w14:paraId="79B818C7" w14:textId="77777777" w:rsidR="002C0FD9" w:rsidRPr="00CA25CF" w:rsidRDefault="002C0FD9" w:rsidP="00CA25CF">
            <w:pPr>
              <w:rPr>
                <w:rFonts w:cs="Arial"/>
                <w:color w:val="FF0000"/>
                <w:sz w:val="21"/>
                <w:szCs w:val="21"/>
              </w:rPr>
            </w:pPr>
          </w:p>
        </w:tc>
        <w:tc>
          <w:tcPr>
            <w:tcW w:w="217" w:type="dxa"/>
          </w:tcPr>
          <w:p w14:paraId="269B8A7F" w14:textId="77777777" w:rsidR="002C0FD9" w:rsidRPr="00CA25CF" w:rsidRDefault="002C0FD9" w:rsidP="00CA25CF">
            <w:pPr>
              <w:rPr>
                <w:rFonts w:cs="Arial"/>
                <w:color w:val="FF0000"/>
                <w:sz w:val="21"/>
                <w:szCs w:val="21"/>
              </w:rPr>
            </w:pPr>
          </w:p>
        </w:tc>
        <w:tc>
          <w:tcPr>
            <w:tcW w:w="217" w:type="dxa"/>
          </w:tcPr>
          <w:p w14:paraId="381CFBE2" w14:textId="77777777" w:rsidR="002C0FD9" w:rsidRPr="00CA25CF" w:rsidRDefault="002C0FD9" w:rsidP="00CA25CF">
            <w:pPr>
              <w:rPr>
                <w:rFonts w:cs="Arial"/>
                <w:color w:val="FF0000"/>
                <w:sz w:val="21"/>
                <w:szCs w:val="21"/>
              </w:rPr>
            </w:pPr>
          </w:p>
        </w:tc>
        <w:tc>
          <w:tcPr>
            <w:tcW w:w="217" w:type="dxa"/>
          </w:tcPr>
          <w:p w14:paraId="4AF7ED76" w14:textId="77777777" w:rsidR="002C0FD9" w:rsidRPr="00CA25CF" w:rsidRDefault="002C0FD9" w:rsidP="00CA25CF">
            <w:pPr>
              <w:rPr>
                <w:rFonts w:cs="Arial"/>
                <w:color w:val="FF0000"/>
                <w:sz w:val="21"/>
                <w:szCs w:val="21"/>
              </w:rPr>
            </w:pPr>
          </w:p>
        </w:tc>
        <w:tc>
          <w:tcPr>
            <w:tcW w:w="217" w:type="dxa"/>
          </w:tcPr>
          <w:p w14:paraId="245D91F9" w14:textId="77777777" w:rsidR="002C0FD9" w:rsidRPr="00CA25CF" w:rsidRDefault="002C0FD9" w:rsidP="00CA25CF">
            <w:pPr>
              <w:rPr>
                <w:rFonts w:cs="Arial"/>
                <w:color w:val="FF0000"/>
                <w:sz w:val="21"/>
                <w:szCs w:val="21"/>
              </w:rPr>
            </w:pPr>
          </w:p>
        </w:tc>
        <w:tc>
          <w:tcPr>
            <w:tcW w:w="217" w:type="dxa"/>
          </w:tcPr>
          <w:p w14:paraId="34B5C996" w14:textId="77777777" w:rsidR="002C0FD9" w:rsidRPr="00CA25CF" w:rsidRDefault="002C0FD9" w:rsidP="00CA25CF">
            <w:pPr>
              <w:rPr>
                <w:rFonts w:cs="Arial"/>
                <w:color w:val="FF0000"/>
                <w:sz w:val="21"/>
                <w:szCs w:val="21"/>
              </w:rPr>
            </w:pPr>
          </w:p>
        </w:tc>
        <w:tc>
          <w:tcPr>
            <w:tcW w:w="217" w:type="dxa"/>
          </w:tcPr>
          <w:p w14:paraId="3D0347F3" w14:textId="77777777" w:rsidR="002C0FD9" w:rsidRPr="00CA25CF" w:rsidRDefault="002C0FD9" w:rsidP="00CA25CF">
            <w:pPr>
              <w:rPr>
                <w:rFonts w:cs="Arial"/>
                <w:color w:val="FF0000"/>
                <w:sz w:val="21"/>
                <w:szCs w:val="21"/>
              </w:rPr>
            </w:pPr>
          </w:p>
        </w:tc>
        <w:tc>
          <w:tcPr>
            <w:tcW w:w="217" w:type="dxa"/>
          </w:tcPr>
          <w:p w14:paraId="41EC018E" w14:textId="77777777" w:rsidR="002C0FD9" w:rsidRPr="00CA25CF" w:rsidRDefault="002C0FD9" w:rsidP="00CA25CF">
            <w:pPr>
              <w:rPr>
                <w:rFonts w:cs="Arial"/>
                <w:color w:val="FF0000"/>
                <w:sz w:val="21"/>
                <w:szCs w:val="21"/>
              </w:rPr>
            </w:pPr>
          </w:p>
        </w:tc>
        <w:tc>
          <w:tcPr>
            <w:tcW w:w="217" w:type="dxa"/>
          </w:tcPr>
          <w:p w14:paraId="16047AFB" w14:textId="77777777" w:rsidR="002C0FD9" w:rsidRPr="00CA25CF" w:rsidRDefault="002C0FD9" w:rsidP="00CA25CF">
            <w:pPr>
              <w:rPr>
                <w:rFonts w:cs="Arial"/>
                <w:color w:val="FF0000"/>
                <w:sz w:val="21"/>
                <w:szCs w:val="21"/>
              </w:rPr>
            </w:pPr>
          </w:p>
        </w:tc>
        <w:tc>
          <w:tcPr>
            <w:tcW w:w="217" w:type="dxa"/>
          </w:tcPr>
          <w:p w14:paraId="44EEB338" w14:textId="77777777" w:rsidR="002C0FD9" w:rsidRPr="00CA25CF" w:rsidRDefault="002C0FD9" w:rsidP="00CA25CF">
            <w:pPr>
              <w:rPr>
                <w:rFonts w:cs="Arial"/>
                <w:color w:val="FF0000"/>
                <w:sz w:val="21"/>
                <w:szCs w:val="21"/>
              </w:rPr>
            </w:pPr>
          </w:p>
        </w:tc>
        <w:tc>
          <w:tcPr>
            <w:tcW w:w="217" w:type="dxa"/>
          </w:tcPr>
          <w:p w14:paraId="145E427D" w14:textId="77777777" w:rsidR="002C0FD9" w:rsidRPr="00CA25CF" w:rsidRDefault="002C0FD9" w:rsidP="00CA25CF">
            <w:pPr>
              <w:rPr>
                <w:rFonts w:cs="Arial"/>
                <w:color w:val="FF0000"/>
                <w:sz w:val="21"/>
                <w:szCs w:val="21"/>
              </w:rPr>
            </w:pPr>
          </w:p>
        </w:tc>
        <w:tc>
          <w:tcPr>
            <w:tcW w:w="217" w:type="dxa"/>
          </w:tcPr>
          <w:p w14:paraId="7F297266" w14:textId="77777777" w:rsidR="002C0FD9" w:rsidRPr="00CA25CF" w:rsidRDefault="002C0FD9" w:rsidP="00CA25CF">
            <w:pPr>
              <w:rPr>
                <w:rFonts w:cs="Arial"/>
                <w:color w:val="FF0000"/>
                <w:sz w:val="21"/>
                <w:szCs w:val="21"/>
              </w:rPr>
            </w:pPr>
          </w:p>
        </w:tc>
        <w:tc>
          <w:tcPr>
            <w:tcW w:w="217" w:type="dxa"/>
          </w:tcPr>
          <w:p w14:paraId="7416ADB6" w14:textId="77777777" w:rsidR="002C0FD9" w:rsidRPr="00CA25CF" w:rsidRDefault="002C0FD9" w:rsidP="00CA25CF">
            <w:pPr>
              <w:rPr>
                <w:rFonts w:cs="Arial"/>
                <w:color w:val="FF0000"/>
                <w:sz w:val="21"/>
                <w:szCs w:val="21"/>
              </w:rPr>
            </w:pPr>
          </w:p>
        </w:tc>
        <w:tc>
          <w:tcPr>
            <w:tcW w:w="217" w:type="dxa"/>
          </w:tcPr>
          <w:p w14:paraId="2513064C" w14:textId="77777777" w:rsidR="002C0FD9" w:rsidRPr="00CA25CF" w:rsidRDefault="002C0FD9" w:rsidP="00CA25CF">
            <w:pPr>
              <w:rPr>
                <w:rFonts w:cs="Arial"/>
                <w:color w:val="FF0000"/>
                <w:sz w:val="21"/>
                <w:szCs w:val="21"/>
              </w:rPr>
            </w:pPr>
          </w:p>
        </w:tc>
        <w:tc>
          <w:tcPr>
            <w:tcW w:w="217" w:type="dxa"/>
          </w:tcPr>
          <w:p w14:paraId="65E549BB" w14:textId="77777777" w:rsidR="002C0FD9" w:rsidRPr="00CA25CF" w:rsidRDefault="002C0FD9" w:rsidP="00CA25CF">
            <w:pPr>
              <w:rPr>
                <w:rFonts w:cs="Arial"/>
                <w:color w:val="FF0000"/>
                <w:sz w:val="21"/>
                <w:szCs w:val="21"/>
              </w:rPr>
            </w:pPr>
          </w:p>
        </w:tc>
        <w:tc>
          <w:tcPr>
            <w:tcW w:w="217" w:type="dxa"/>
          </w:tcPr>
          <w:p w14:paraId="284A66A6" w14:textId="77777777" w:rsidR="002C0FD9" w:rsidRPr="00CA25CF" w:rsidRDefault="002C0FD9" w:rsidP="00CA25CF">
            <w:pPr>
              <w:rPr>
                <w:rFonts w:cs="Arial"/>
                <w:color w:val="FF0000"/>
                <w:sz w:val="21"/>
                <w:szCs w:val="21"/>
              </w:rPr>
            </w:pPr>
          </w:p>
        </w:tc>
        <w:tc>
          <w:tcPr>
            <w:tcW w:w="217" w:type="dxa"/>
          </w:tcPr>
          <w:p w14:paraId="4950AE5E" w14:textId="77777777" w:rsidR="002C0FD9" w:rsidRPr="00CA25CF" w:rsidRDefault="002C0FD9" w:rsidP="00CA25CF">
            <w:pPr>
              <w:rPr>
                <w:rFonts w:cs="Arial"/>
                <w:color w:val="FF0000"/>
                <w:sz w:val="21"/>
                <w:szCs w:val="21"/>
              </w:rPr>
            </w:pPr>
          </w:p>
        </w:tc>
        <w:tc>
          <w:tcPr>
            <w:tcW w:w="217" w:type="dxa"/>
          </w:tcPr>
          <w:p w14:paraId="373E319A" w14:textId="77777777" w:rsidR="002C0FD9" w:rsidRPr="00CA25CF" w:rsidRDefault="002C0FD9" w:rsidP="00CA25CF">
            <w:pPr>
              <w:rPr>
                <w:rFonts w:cs="Arial"/>
                <w:color w:val="FF0000"/>
                <w:sz w:val="21"/>
                <w:szCs w:val="21"/>
              </w:rPr>
            </w:pPr>
          </w:p>
        </w:tc>
        <w:tc>
          <w:tcPr>
            <w:tcW w:w="217" w:type="dxa"/>
          </w:tcPr>
          <w:p w14:paraId="6801B889" w14:textId="77777777" w:rsidR="002C0FD9" w:rsidRPr="00CA25CF" w:rsidRDefault="002C0FD9" w:rsidP="00CA25CF">
            <w:pPr>
              <w:rPr>
                <w:rFonts w:cs="Arial"/>
                <w:color w:val="FF0000"/>
                <w:sz w:val="21"/>
                <w:szCs w:val="21"/>
              </w:rPr>
            </w:pPr>
          </w:p>
        </w:tc>
        <w:tc>
          <w:tcPr>
            <w:tcW w:w="217" w:type="dxa"/>
          </w:tcPr>
          <w:p w14:paraId="25114693" w14:textId="77777777" w:rsidR="002C0FD9" w:rsidRPr="00CA25CF" w:rsidRDefault="002C0FD9" w:rsidP="00CA25CF">
            <w:pPr>
              <w:rPr>
                <w:rFonts w:cs="Arial"/>
                <w:color w:val="FF0000"/>
                <w:sz w:val="21"/>
                <w:szCs w:val="21"/>
              </w:rPr>
            </w:pPr>
          </w:p>
        </w:tc>
        <w:tc>
          <w:tcPr>
            <w:tcW w:w="217" w:type="dxa"/>
          </w:tcPr>
          <w:p w14:paraId="22CD30F9" w14:textId="77777777" w:rsidR="002C0FD9" w:rsidRPr="00CA25CF" w:rsidRDefault="002C0FD9" w:rsidP="00CA25CF">
            <w:pPr>
              <w:rPr>
                <w:rFonts w:cs="Arial"/>
                <w:color w:val="FF0000"/>
                <w:sz w:val="21"/>
                <w:szCs w:val="21"/>
              </w:rPr>
            </w:pPr>
          </w:p>
        </w:tc>
        <w:tc>
          <w:tcPr>
            <w:tcW w:w="217" w:type="dxa"/>
          </w:tcPr>
          <w:p w14:paraId="34DC8372" w14:textId="77777777" w:rsidR="002C0FD9" w:rsidRPr="00CA25CF" w:rsidRDefault="002C0FD9" w:rsidP="00CA25CF">
            <w:pPr>
              <w:rPr>
                <w:rFonts w:cs="Arial"/>
                <w:color w:val="FF0000"/>
                <w:sz w:val="21"/>
                <w:szCs w:val="21"/>
              </w:rPr>
            </w:pPr>
          </w:p>
        </w:tc>
        <w:tc>
          <w:tcPr>
            <w:tcW w:w="217" w:type="dxa"/>
          </w:tcPr>
          <w:p w14:paraId="0AAB6EBB" w14:textId="77777777" w:rsidR="002C0FD9" w:rsidRPr="00CA25CF" w:rsidRDefault="002C0FD9" w:rsidP="00CA25CF">
            <w:pPr>
              <w:rPr>
                <w:rFonts w:cs="Arial"/>
                <w:color w:val="FF0000"/>
                <w:sz w:val="21"/>
                <w:szCs w:val="21"/>
              </w:rPr>
            </w:pPr>
          </w:p>
        </w:tc>
        <w:tc>
          <w:tcPr>
            <w:tcW w:w="217" w:type="dxa"/>
          </w:tcPr>
          <w:p w14:paraId="6DC3A5E4" w14:textId="77777777" w:rsidR="002C0FD9" w:rsidRPr="00CA25CF" w:rsidRDefault="002C0FD9" w:rsidP="00CA25CF">
            <w:pPr>
              <w:rPr>
                <w:rFonts w:cs="Arial"/>
                <w:color w:val="FF0000"/>
                <w:sz w:val="21"/>
                <w:szCs w:val="21"/>
              </w:rPr>
            </w:pPr>
          </w:p>
        </w:tc>
        <w:tc>
          <w:tcPr>
            <w:tcW w:w="217" w:type="dxa"/>
          </w:tcPr>
          <w:p w14:paraId="05C0113F" w14:textId="77777777" w:rsidR="002C0FD9" w:rsidRPr="00CA25CF" w:rsidRDefault="002C0FD9" w:rsidP="00CA25CF">
            <w:pPr>
              <w:rPr>
                <w:rFonts w:cs="Arial"/>
                <w:color w:val="FF0000"/>
                <w:sz w:val="21"/>
                <w:szCs w:val="21"/>
              </w:rPr>
            </w:pPr>
          </w:p>
        </w:tc>
        <w:tc>
          <w:tcPr>
            <w:tcW w:w="217" w:type="dxa"/>
          </w:tcPr>
          <w:p w14:paraId="34624347" w14:textId="77777777" w:rsidR="002C0FD9" w:rsidRPr="00CA25CF" w:rsidRDefault="002C0FD9" w:rsidP="00CA25CF">
            <w:pPr>
              <w:rPr>
                <w:rFonts w:cs="Arial"/>
                <w:color w:val="FF0000"/>
                <w:sz w:val="21"/>
                <w:szCs w:val="21"/>
              </w:rPr>
            </w:pPr>
          </w:p>
        </w:tc>
      </w:tr>
      <w:tr w:rsidR="002C0FD9" w:rsidRPr="00A16219" w14:paraId="56A54397" w14:textId="77777777" w:rsidTr="002C0FD9">
        <w:trPr>
          <w:trHeight w:val="635"/>
        </w:trPr>
        <w:tc>
          <w:tcPr>
            <w:tcW w:w="515" w:type="dxa"/>
          </w:tcPr>
          <w:p w14:paraId="16C55474" w14:textId="77777777" w:rsidR="002C0FD9" w:rsidRPr="00CA25CF" w:rsidRDefault="002C0FD9" w:rsidP="00CA25CF">
            <w:pPr>
              <w:rPr>
                <w:rFonts w:cs="Arial"/>
                <w:color w:val="FF0000"/>
                <w:sz w:val="21"/>
                <w:szCs w:val="21"/>
              </w:rPr>
            </w:pPr>
          </w:p>
        </w:tc>
        <w:tc>
          <w:tcPr>
            <w:tcW w:w="217" w:type="dxa"/>
          </w:tcPr>
          <w:p w14:paraId="2B45944C" w14:textId="77777777" w:rsidR="002C0FD9" w:rsidRPr="00CA25CF" w:rsidRDefault="002C0FD9" w:rsidP="00CA25CF">
            <w:pPr>
              <w:rPr>
                <w:rFonts w:cs="Arial"/>
                <w:color w:val="FF0000"/>
                <w:sz w:val="21"/>
                <w:szCs w:val="21"/>
              </w:rPr>
            </w:pPr>
          </w:p>
        </w:tc>
        <w:tc>
          <w:tcPr>
            <w:tcW w:w="217" w:type="dxa"/>
          </w:tcPr>
          <w:p w14:paraId="2756FD41" w14:textId="77777777" w:rsidR="002C0FD9" w:rsidRPr="00CA25CF" w:rsidRDefault="002C0FD9" w:rsidP="00CA25CF">
            <w:pPr>
              <w:rPr>
                <w:rFonts w:cs="Arial"/>
                <w:color w:val="FF0000"/>
                <w:sz w:val="21"/>
                <w:szCs w:val="21"/>
              </w:rPr>
            </w:pPr>
          </w:p>
        </w:tc>
        <w:tc>
          <w:tcPr>
            <w:tcW w:w="217" w:type="dxa"/>
          </w:tcPr>
          <w:p w14:paraId="4F3E71B1" w14:textId="77777777" w:rsidR="002C0FD9" w:rsidRPr="00CA25CF" w:rsidRDefault="002C0FD9" w:rsidP="00CA25CF">
            <w:pPr>
              <w:rPr>
                <w:rFonts w:cs="Arial"/>
                <w:color w:val="FF0000"/>
                <w:sz w:val="21"/>
                <w:szCs w:val="21"/>
              </w:rPr>
            </w:pPr>
          </w:p>
        </w:tc>
        <w:tc>
          <w:tcPr>
            <w:tcW w:w="217" w:type="dxa"/>
          </w:tcPr>
          <w:p w14:paraId="299C6D4B" w14:textId="77777777" w:rsidR="002C0FD9" w:rsidRPr="00CA25CF" w:rsidRDefault="002C0FD9" w:rsidP="00CA25CF">
            <w:pPr>
              <w:rPr>
                <w:rFonts w:cs="Arial"/>
                <w:color w:val="FF0000"/>
                <w:sz w:val="21"/>
                <w:szCs w:val="21"/>
              </w:rPr>
            </w:pPr>
          </w:p>
        </w:tc>
        <w:tc>
          <w:tcPr>
            <w:tcW w:w="217" w:type="dxa"/>
          </w:tcPr>
          <w:p w14:paraId="71198F7D" w14:textId="77777777" w:rsidR="002C0FD9" w:rsidRPr="00CA25CF" w:rsidRDefault="002C0FD9" w:rsidP="00CA25CF">
            <w:pPr>
              <w:rPr>
                <w:rFonts w:cs="Arial"/>
                <w:color w:val="FF0000"/>
                <w:sz w:val="21"/>
                <w:szCs w:val="21"/>
              </w:rPr>
            </w:pPr>
          </w:p>
        </w:tc>
        <w:tc>
          <w:tcPr>
            <w:tcW w:w="217" w:type="dxa"/>
          </w:tcPr>
          <w:p w14:paraId="7CA2A5EB" w14:textId="77777777" w:rsidR="002C0FD9" w:rsidRPr="00CA25CF" w:rsidRDefault="002C0FD9" w:rsidP="00CA25CF">
            <w:pPr>
              <w:rPr>
                <w:rFonts w:cs="Arial"/>
                <w:color w:val="FF0000"/>
                <w:sz w:val="21"/>
                <w:szCs w:val="21"/>
              </w:rPr>
            </w:pPr>
          </w:p>
        </w:tc>
        <w:tc>
          <w:tcPr>
            <w:tcW w:w="217" w:type="dxa"/>
          </w:tcPr>
          <w:p w14:paraId="06C41DCA" w14:textId="77777777" w:rsidR="002C0FD9" w:rsidRPr="00CA25CF" w:rsidRDefault="002C0FD9" w:rsidP="00CA25CF">
            <w:pPr>
              <w:rPr>
                <w:rFonts w:cs="Arial"/>
                <w:color w:val="FF0000"/>
                <w:sz w:val="21"/>
                <w:szCs w:val="21"/>
              </w:rPr>
            </w:pPr>
          </w:p>
        </w:tc>
        <w:tc>
          <w:tcPr>
            <w:tcW w:w="217" w:type="dxa"/>
          </w:tcPr>
          <w:p w14:paraId="2CB773C6" w14:textId="77777777" w:rsidR="002C0FD9" w:rsidRPr="00CA25CF" w:rsidRDefault="002C0FD9" w:rsidP="00CA25CF">
            <w:pPr>
              <w:rPr>
                <w:rFonts w:cs="Arial"/>
                <w:color w:val="FF0000"/>
                <w:sz w:val="21"/>
                <w:szCs w:val="21"/>
              </w:rPr>
            </w:pPr>
          </w:p>
        </w:tc>
        <w:tc>
          <w:tcPr>
            <w:tcW w:w="217" w:type="dxa"/>
          </w:tcPr>
          <w:p w14:paraId="14E13EE9" w14:textId="77777777" w:rsidR="002C0FD9" w:rsidRPr="00CA25CF" w:rsidRDefault="002C0FD9" w:rsidP="00CA25CF">
            <w:pPr>
              <w:rPr>
                <w:rFonts w:cs="Arial"/>
                <w:color w:val="FF0000"/>
                <w:sz w:val="21"/>
                <w:szCs w:val="21"/>
              </w:rPr>
            </w:pPr>
          </w:p>
        </w:tc>
        <w:tc>
          <w:tcPr>
            <w:tcW w:w="217" w:type="dxa"/>
          </w:tcPr>
          <w:p w14:paraId="20372B2A" w14:textId="77777777" w:rsidR="002C0FD9" w:rsidRPr="00CA25CF" w:rsidRDefault="002C0FD9" w:rsidP="00CA25CF">
            <w:pPr>
              <w:rPr>
                <w:rFonts w:cs="Arial"/>
                <w:color w:val="FF0000"/>
                <w:sz w:val="21"/>
                <w:szCs w:val="21"/>
              </w:rPr>
            </w:pPr>
          </w:p>
        </w:tc>
        <w:tc>
          <w:tcPr>
            <w:tcW w:w="217" w:type="dxa"/>
          </w:tcPr>
          <w:p w14:paraId="7F7FBEC6" w14:textId="77777777" w:rsidR="002C0FD9" w:rsidRPr="00CA25CF" w:rsidRDefault="002C0FD9" w:rsidP="00CA25CF">
            <w:pPr>
              <w:rPr>
                <w:rFonts w:cs="Arial"/>
                <w:color w:val="FF0000"/>
                <w:sz w:val="21"/>
                <w:szCs w:val="21"/>
              </w:rPr>
            </w:pPr>
          </w:p>
        </w:tc>
        <w:tc>
          <w:tcPr>
            <w:tcW w:w="217" w:type="dxa"/>
          </w:tcPr>
          <w:p w14:paraId="62C6ADEF" w14:textId="77777777" w:rsidR="002C0FD9" w:rsidRPr="00CA25CF" w:rsidRDefault="002C0FD9" w:rsidP="00CA25CF">
            <w:pPr>
              <w:rPr>
                <w:rFonts w:cs="Arial"/>
                <w:color w:val="FF0000"/>
                <w:sz w:val="21"/>
                <w:szCs w:val="21"/>
              </w:rPr>
            </w:pPr>
          </w:p>
        </w:tc>
        <w:tc>
          <w:tcPr>
            <w:tcW w:w="217" w:type="dxa"/>
          </w:tcPr>
          <w:p w14:paraId="7B0B9B56" w14:textId="77777777" w:rsidR="002C0FD9" w:rsidRPr="00CA25CF" w:rsidRDefault="002C0FD9" w:rsidP="00CA25CF">
            <w:pPr>
              <w:rPr>
                <w:rFonts w:cs="Arial"/>
                <w:color w:val="FF0000"/>
                <w:sz w:val="21"/>
                <w:szCs w:val="21"/>
              </w:rPr>
            </w:pPr>
          </w:p>
        </w:tc>
        <w:tc>
          <w:tcPr>
            <w:tcW w:w="217" w:type="dxa"/>
          </w:tcPr>
          <w:p w14:paraId="07533991" w14:textId="77777777" w:rsidR="002C0FD9" w:rsidRPr="00CA25CF" w:rsidRDefault="002C0FD9" w:rsidP="00CA25CF">
            <w:pPr>
              <w:rPr>
                <w:rFonts w:cs="Arial"/>
                <w:color w:val="FF0000"/>
                <w:sz w:val="21"/>
                <w:szCs w:val="21"/>
              </w:rPr>
            </w:pPr>
          </w:p>
        </w:tc>
        <w:tc>
          <w:tcPr>
            <w:tcW w:w="217" w:type="dxa"/>
          </w:tcPr>
          <w:p w14:paraId="1ED424CD" w14:textId="77777777" w:rsidR="002C0FD9" w:rsidRPr="00CA25CF" w:rsidRDefault="002C0FD9" w:rsidP="00CA25CF">
            <w:pPr>
              <w:rPr>
                <w:rFonts w:cs="Arial"/>
                <w:color w:val="FF0000"/>
                <w:sz w:val="21"/>
                <w:szCs w:val="21"/>
              </w:rPr>
            </w:pPr>
          </w:p>
        </w:tc>
        <w:tc>
          <w:tcPr>
            <w:tcW w:w="217" w:type="dxa"/>
          </w:tcPr>
          <w:p w14:paraId="4B949DFF" w14:textId="77777777" w:rsidR="002C0FD9" w:rsidRPr="00CA25CF" w:rsidRDefault="002C0FD9" w:rsidP="00CA25CF">
            <w:pPr>
              <w:rPr>
                <w:rFonts w:cs="Arial"/>
                <w:color w:val="FF0000"/>
                <w:sz w:val="21"/>
                <w:szCs w:val="21"/>
              </w:rPr>
            </w:pPr>
          </w:p>
        </w:tc>
        <w:tc>
          <w:tcPr>
            <w:tcW w:w="217" w:type="dxa"/>
          </w:tcPr>
          <w:p w14:paraId="1F7E0B18" w14:textId="77777777" w:rsidR="002C0FD9" w:rsidRPr="00CA25CF" w:rsidRDefault="002C0FD9" w:rsidP="00CA25CF">
            <w:pPr>
              <w:rPr>
                <w:rFonts w:cs="Arial"/>
                <w:color w:val="FF0000"/>
                <w:sz w:val="21"/>
                <w:szCs w:val="21"/>
              </w:rPr>
            </w:pPr>
          </w:p>
        </w:tc>
        <w:tc>
          <w:tcPr>
            <w:tcW w:w="217" w:type="dxa"/>
          </w:tcPr>
          <w:p w14:paraId="417C47D3" w14:textId="77777777" w:rsidR="002C0FD9" w:rsidRPr="00CA25CF" w:rsidRDefault="002C0FD9" w:rsidP="00CA25CF">
            <w:pPr>
              <w:rPr>
                <w:rFonts w:cs="Arial"/>
                <w:color w:val="FF0000"/>
                <w:sz w:val="21"/>
                <w:szCs w:val="21"/>
              </w:rPr>
            </w:pPr>
          </w:p>
        </w:tc>
        <w:tc>
          <w:tcPr>
            <w:tcW w:w="217" w:type="dxa"/>
          </w:tcPr>
          <w:p w14:paraId="57DC34A8" w14:textId="77777777" w:rsidR="002C0FD9" w:rsidRPr="00CA25CF" w:rsidRDefault="002C0FD9" w:rsidP="00CA25CF">
            <w:pPr>
              <w:rPr>
                <w:rFonts w:cs="Arial"/>
                <w:color w:val="FF0000"/>
                <w:sz w:val="21"/>
                <w:szCs w:val="21"/>
              </w:rPr>
            </w:pPr>
          </w:p>
        </w:tc>
        <w:tc>
          <w:tcPr>
            <w:tcW w:w="217" w:type="dxa"/>
          </w:tcPr>
          <w:p w14:paraId="35DCE40E" w14:textId="77777777" w:rsidR="002C0FD9" w:rsidRPr="00CA25CF" w:rsidRDefault="002C0FD9" w:rsidP="00CA25CF">
            <w:pPr>
              <w:rPr>
                <w:rFonts w:cs="Arial"/>
                <w:color w:val="FF0000"/>
                <w:sz w:val="21"/>
                <w:szCs w:val="21"/>
              </w:rPr>
            </w:pPr>
          </w:p>
        </w:tc>
        <w:tc>
          <w:tcPr>
            <w:tcW w:w="217" w:type="dxa"/>
          </w:tcPr>
          <w:p w14:paraId="7625AA73" w14:textId="77777777" w:rsidR="002C0FD9" w:rsidRPr="00CA25CF" w:rsidRDefault="002C0FD9" w:rsidP="00CA25CF">
            <w:pPr>
              <w:rPr>
                <w:rFonts w:cs="Arial"/>
                <w:color w:val="FF0000"/>
                <w:sz w:val="21"/>
                <w:szCs w:val="21"/>
              </w:rPr>
            </w:pPr>
          </w:p>
        </w:tc>
        <w:tc>
          <w:tcPr>
            <w:tcW w:w="217" w:type="dxa"/>
          </w:tcPr>
          <w:p w14:paraId="1E08F4EA" w14:textId="77777777" w:rsidR="002C0FD9" w:rsidRPr="00CA25CF" w:rsidRDefault="002C0FD9" w:rsidP="00CA25CF">
            <w:pPr>
              <w:rPr>
                <w:rFonts w:cs="Arial"/>
                <w:color w:val="FF0000"/>
                <w:sz w:val="21"/>
                <w:szCs w:val="21"/>
              </w:rPr>
            </w:pPr>
          </w:p>
        </w:tc>
        <w:tc>
          <w:tcPr>
            <w:tcW w:w="217" w:type="dxa"/>
          </w:tcPr>
          <w:p w14:paraId="58A88781" w14:textId="77777777" w:rsidR="002C0FD9" w:rsidRPr="00CA25CF" w:rsidRDefault="002C0FD9" w:rsidP="00CA25CF">
            <w:pPr>
              <w:rPr>
                <w:rFonts w:cs="Arial"/>
                <w:color w:val="FF0000"/>
                <w:sz w:val="21"/>
                <w:szCs w:val="21"/>
              </w:rPr>
            </w:pPr>
          </w:p>
        </w:tc>
        <w:tc>
          <w:tcPr>
            <w:tcW w:w="217" w:type="dxa"/>
          </w:tcPr>
          <w:p w14:paraId="5463392D" w14:textId="77777777" w:rsidR="002C0FD9" w:rsidRPr="00CA25CF" w:rsidRDefault="002C0FD9" w:rsidP="00CA25CF">
            <w:pPr>
              <w:rPr>
                <w:rFonts w:cs="Arial"/>
                <w:color w:val="FF0000"/>
                <w:sz w:val="21"/>
                <w:szCs w:val="21"/>
              </w:rPr>
            </w:pPr>
          </w:p>
        </w:tc>
        <w:tc>
          <w:tcPr>
            <w:tcW w:w="217" w:type="dxa"/>
          </w:tcPr>
          <w:p w14:paraId="7D9560F7" w14:textId="77777777" w:rsidR="002C0FD9" w:rsidRPr="00CA25CF" w:rsidRDefault="002C0FD9" w:rsidP="00CA25CF">
            <w:pPr>
              <w:rPr>
                <w:rFonts w:cs="Arial"/>
                <w:color w:val="FF0000"/>
                <w:sz w:val="21"/>
                <w:szCs w:val="21"/>
              </w:rPr>
            </w:pPr>
          </w:p>
        </w:tc>
        <w:tc>
          <w:tcPr>
            <w:tcW w:w="217" w:type="dxa"/>
          </w:tcPr>
          <w:p w14:paraId="66B5D9F7" w14:textId="77777777" w:rsidR="002C0FD9" w:rsidRPr="00CA25CF" w:rsidRDefault="002C0FD9" w:rsidP="00CA25CF">
            <w:pPr>
              <w:rPr>
                <w:rFonts w:cs="Arial"/>
                <w:color w:val="FF0000"/>
                <w:sz w:val="21"/>
                <w:szCs w:val="21"/>
              </w:rPr>
            </w:pPr>
          </w:p>
        </w:tc>
        <w:tc>
          <w:tcPr>
            <w:tcW w:w="217" w:type="dxa"/>
          </w:tcPr>
          <w:p w14:paraId="6977CAB2" w14:textId="77777777" w:rsidR="002C0FD9" w:rsidRPr="00CA25CF" w:rsidRDefault="002C0FD9" w:rsidP="00CA25CF">
            <w:pPr>
              <w:rPr>
                <w:rFonts w:cs="Arial"/>
                <w:color w:val="FF0000"/>
                <w:sz w:val="21"/>
                <w:szCs w:val="21"/>
              </w:rPr>
            </w:pPr>
          </w:p>
        </w:tc>
        <w:tc>
          <w:tcPr>
            <w:tcW w:w="217" w:type="dxa"/>
          </w:tcPr>
          <w:p w14:paraId="33A7F312" w14:textId="77777777" w:rsidR="002C0FD9" w:rsidRPr="00CA25CF" w:rsidRDefault="002C0FD9" w:rsidP="00CA25CF">
            <w:pPr>
              <w:rPr>
                <w:rFonts w:cs="Arial"/>
                <w:color w:val="FF0000"/>
                <w:sz w:val="21"/>
                <w:szCs w:val="21"/>
              </w:rPr>
            </w:pPr>
          </w:p>
        </w:tc>
        <w:tc>
          <w:tcPr>
            <w:tcW w:w="217" w:type="dxa"/>
          </w:tcPr>
          <w:p w14:paraId="4D24BC4D" w14:textId="77777777" w:rsidR="002C0FD9" w:rsidRPr="00CA25CF" w:rsidRDefault="002C0FD9" w:rsidP="00CA25CF">
            <w:pPr>
              <w:rPr>
                <w:rFonts w:cs="Arial"/>
                <w:color w:val="FF0000"/>
                <w:sz w:val="21"/>
                <w:szCs w:val="21"/>
              </w:rPr>
            </w:pPr>
          </w:p>
        </w:tc>
        <w:tc>
          <w:tcPr>
            <w:tcW w:w="217" w:type="dxa"/>
          </w:tcPr>
          <w:p w14:paraId="1558A9BF" w14:textId="77777777" w:rsidR="002C0FD9" w:rsidRPr="00CA25CF" w:rsidRDefault="002C0FD9" w:rsidP="00CA25CF">
            <w:pPr>
              <w:rPr>
                <w:rFonts w:cs="Arial"/>
                <w:color w:val="FF0000"/>
                <w:sz w:val="21"/>
                <w:szCs w:val="21"/>
              </w:rPr>
            </w:pPr>
          </w:p>
        </w:tc>
        <w:tc>
          <w:tcPr>
            <w:tcW w:w="217" w:type="dxa"/>
          </w:tcPr>
          <w:p w14:paraId="0574BAB7" w14:textId="77777777" w:rsidR="002C0FD9" w:rsidRPr="00CA25CF" w:rsidRDefault="002C0FD9" w:rsidP="00CA25CF">
            <w:pPr>
              <w:rPr>
                <w:rFonts w:cs="Arial"/>
                <w:color w:val="FF0000"/>
                <w:sz w:val="21"/>
                <w:szCs w:val="21"/>
              </w:rPr>
            </w:pPr>
          </w:p>
        </w:tc>
        <w:tc>
          <w:tcPr>
            <w:tcW w:w="217" w:type="dxa"/>
          </w:tcPr>
          <w:p w14:paraId="6A2BA60A" w14:textId="77777777" w:rsidR="002C0FD9" w:rsidRPr="00CA25CF" w:rsidRDefault="002C0FD9" w:rsidP="00CA25CF">
            <w:pPr>
              <w:rPr>
                <w:rFonts w:cs="Arial"/>
                <w:color w:val="FF0000"/>
                <w:sz w:val="21"/>
                <w:szCs w:val="21"/>
              </w:rPr>
            </w:pPr>
          </w:p>
        </w:tc>
        <w:tc>
          <w:tcPr>
            <w:tcW w:w="217" w:type="dxa"/>
          </w:tcPr>
          <w:p w14:paraId="278DCA3E" w14:textId="77777777" w:rsidR="002C0FD9" w:rsidRPr="00CA25CF" w:rsidRDefault="002C0FD9" w:rsidP="00CA25CF">
            <w:pPr>
              <w:rPr>
                <w:rFonts w:cs="Arial"/>
                <w:color w:val="FF0000"/>
                <w:sz w:val="21"/>
                <w:szCs w:val="21"/>
              </w:rPr>
            </w:pPr>
          </w:p>
        </w:tc>
        <w:tc>
          <w:tcPr>
            <w:tcW w:w="217" w:type="dxa"/>
          </w:tcPr>
          <w:p w14:paraId="059462A0" w14:textId="77777777" w:rsidR="002C0FD9" w:rsidRPr="00CA25CF" w:rsidRDefault="002C0FD9" w:rsidP="00CA25CF">
            <w:pPr>
              <w:rPr>
                <w:rFonts w:cs="Arial"/>
                <w:color w:val="FF0000"/>
                <w:sz w:val="21"/>
                <w:szCs w:val="21"/>
              </w:rPr>
            </w:pPr>
          </w:p>
        </w:tc>
        <w:tc>
          <w:tcPr>
            <w:tcW w:w="217" w:type="dxa"/>
          </w:tcPr>
          <w:p w14:paraId="28984D26" w14:textId="77777777" w:rsidR="002C0FD9" w:rsidRPr="00CA25CF" w:rsidRDefault="002C0FD9" w:rsidP="00CA25CF">
            <w:pPr>
              <w:rPr>
                <w:rFonts w:cs="Arial"/>
                <w:color w:val="FF0000"/>
                <w:sz w:val="21"/>
                <w:szCs w:val="21"/>
              </w:rPr>
            </w:pPr>
          </w:p>
        </w:tc>
        <w:tc>
          <w:tcPr>
            <w:tcW w:w="217" w:type="dxa"/>
          </w:tcPr>
          <w:p w14:paraId="75D4670B" w14:textId="77777777" w:rsidR="002C0FD9" w:rsidRPr="00CA25CF" w:rsidRDefault="002C0FD9" w:rsidP="00CA25CF">
            <w:pPr>
              <w:rPr>
                <w:rFonts w:cs="Arial"/>
                <w:color w:val="FF0000"/>
                <w:sz w:val="21"/>
                <w:szCs w:val="21"/>
              </w:rPr>
            </w:pPr>
          </w:p>
        </w:tc>
        <w:tc>
          <w:tcPr>
            <w:tcW w:w="217" w:type="dxa"/>
          </w:tcPr>
          <w:p w14:paraId="708212B2" w14:textId="77777777" w:rsidR="002C0FD9" w:rsidRPr="00CA25CF" w:rsidRDefault="002C0FD9" w:rsidP="00CA25CF">
            <w:pPr>
              <w:rPr>
                <w:rFonts w:cs="Arial"/>
                <w:color w:val="FF0000"/>
                <w:sz w:val="21"/>
                <w:szCs w:val="21"/>
              </w:rPr>
            </w:pPr>
          </w:p>
        </w:tc>
        <w:tc>
          <w:tcPr>
            <w:tcW w:w="217" w:type="dxa"/>
          </w:tcPr>
          <w:p w14:paraId="491420B0" w14:textId="77777777" w:rsidR="002C0FD9" w:rsidRPr="00CA25CF" w:rsidRDefault="002C0FD9" w:rsidP="00CA25CF">
            <w:pPr>
              <w:rPr>
                <w:rFonts w:cs="Arial"/>
                <w:color w:val="FF0000"/>
                <w:sz w:val="21"/>
                <w:szCs w:val="21"/>
              </w:rPr>
            </w:pPr>
          </w:p>
        </w:tc>
        <w:tc>
          <w:tcPr>
            <w:tcW w:w="217" w:type="dxa"/>
          </w:tcPr>
          <w:p w14:paraId="2436DAAD" w14:textId="77777777" w:rsidR="002C0FD9" w:rsidRPr="00CA25CF" w:rsidRDefault="002C0FD9" w:rsidP="00CA25CF">
            <w:pPr>
              <w:rPr>
                <w:rFonts w:cs="Arial"/>
                <w:color w:val="FF0000"/>
                <w:sz w:val="21"/>
                <w:szCs w:val="21"/>
              </w:rPr>
            </w:pPr>
          </w:p>
        </w:tc>
        <w:tc>
          <w:tcPr>
            <w:tcW w:w="217" w:type="dxa"/>
          </w:tcPr>
          <w:p w14:paraId="676FF769" w14:textId="77777777" w:rsidR="002C0FD9" w:rsidRPr="00CA25CF" w:rsidRDefault="002C0FD9" w:rsidP="00CA25CF">
            <w:pPr>
              <w:rPr>
                <w:rFonts w:cs="Arial"/>
                <w:color w:val="FF0000"/>
                <w:sz w:val="21"/>
                <w:szCs w:val="21"/>
              </w:rPr>
            </w:pPr>
          </w:p>
        </w:tc>
        <w:tc>
          <w:tcPr>
            <w:tcW w:w="217" w:type="dxa"/>
          </w:tcPr>
          <w:p w14:paraId="4D736BCF" w14:textId="77777777" w:rsidR="002C0FD9" w:rsidRPr="00CA25CF" w:rsidRDefault="002C0FD9" w:rsidP="00CA25CF">
            <w:pPr>
              <w:rPr>
                <w:rFonts w:cs="Arial"/>
                <w:color w:val="FF0000"/>
                <w:sz w:val="21"/>
                <w:szCs w:val="21"/>
              </w:rPr>
            </w:pPr>
          </w:p>
        </w:tc>
        <w:tc>
          <w:tcPr>
            <w:tcW w:w="217" w:type="dxa"/>
          </w:tcPr>
          <w:p w14:paraId="5FFBB6EB" w14:textId="77777777" w:rsidR="002C0FD9" w:rsidRPr="00CA25CF" w:rsidRDefault="002C0FD9" w:rsidP="00CA25CF">
            <w:pPr>
              <w:rPr>
                <w:rFonts w:cs="Arial"/>
                <w:color w:val="FF0000"/>
                <w:sz w:val="21"/>
                <w:szCs w:val="21"/>
              </w:rPr>
            </w:pPr>
          </w:p>
        </w:tc>
      </w:tr>
      <w:tr w:rsidR="002C0FD9" w:rsidRPr="00A16219" w14:paraId="282709BE" w14:textId="77777777" w:rsidTr="002C0FD9">
        <w:trPr>
          <w:trHeight w:val="635"/>
        </w:trPr>
        <w:tc>
          <w:tcPr>
            <w:tcW w:w="515" w:type="dxa"/>
          </w:tcPr>
          <w:p w14:paraId="1D1ED91D" w14:textId="77777777" w:rsidR="002C0FD9" w:rsidRPr="00CA25CF" w:rsidRDefault="002C0FD9" w:rsidP="00CA25CF">
            <w:pPr>
              <w:rPr>
                <w:rFonts w:cs="Arial"/>
                <w:color w:val="FF0000"/>
                <w:sz w:val="21"/>
                <w:szCs w:val="21"/>
              </w:rPr>
            </w:pPr>
          </w:p>
        </w:tc>
        <w:tc>
          <w:tcPr>
            <w:tcW w:w="217" w:type="dxa"/>
          </w:tcPr>
          <w:p w14:paraId="437BFE88" w14:textId="77777777" w:rsidR="002C0FD9" w:rsidRPr="00CA25CF" w:rsidRDefault="002C0FD9" w:rsidP="00CA25CF">
            <w:pPr>
              <w:rPr>
                <w:rFonts w:cs="Arial"/>
                <w:color w:val="FF0000"/>
                <w:sz w:val="21"/>
                <w:szCs w:val="21"/>
              </w:rPr>
            </w:pPr>
          </w:p>
        </w:tc>
        <w:tc>
          <w:tcPr>
            <w:tcW w:w="217" w:type="dxa"/>
          </w:tcPr>
          <w:p w14:paraId="06E08ED0" w14:textId="77777777" w:rsidR="002C0FD9" w:rsidRPr="00CA25CF" w:rsidRDefault="002C0FD9" w:rsidP="00CA25CF">
            <w:pPr>
              <w:rPr>
                <w:rFonts w:cs="Arial"/>
                <w:color w:val="FF0000"/>
                <w:sz w:val="21"/>
                <w:szCs w:val="21"/>
              </w:rPr>
            </w:pPr>
          </w:p>
        </w:tc>
        <w:tc>
          <w:tcPr>
            <w:tcW w:w="217" w:type="dxa"/>
          </w:tcPr>
          <w:p w14:paraId="6FD36826" w14:textId="77777777" w:rsidR="002C0FD9" w:rsidRPr="00CA25CF" w:rsidRDefault="002C0FD9" w:rsidP="00CA25CF">
            <w:pPr>
              <w:rPr>
                <w:rFonts w:cs="Arial"/>
                <w:color w:val="FF0000"/>
                <w:sz w:val="21"/>
                <w:szCs w:val="21"/>
              </w:rPr>
            </w:pPr>
          </w:p>
        </w:tc>
        <w:tc>
          <w:tcPr>
            <w:tcW w:w="217" w:type="dxa"/>
          </w:tcPr>
          <w:p w14:paraId="1C4F688D" w14:textId="77777777" w:rsidR="002C0FD9" w:rsidRPr="00CA25CF" w:rsidRDefault="002C0FD9" w:rsidP="00CA25CF">
            <w:pPr>
              <w:rPr>
                <w:rFonts w:cs="Arial"/>
                <w:color w:val="FF0000"/>
                <w:sz w:val="21"/>
                <w:szCs w:val="21"/>
              </w:rPr>
            </w:pPr>
          </w:p>
        </w:tc>
        <w:tc>
          <w:tcPr>
            <w:tcW w:w="217" w:type="dxa"/>
          </w:tcPr>
          <w:p w14:paraId="2D6AAE88" w14:textId="77777777" w:rsidR="002C0FD9" w:rsidRPr="00CA25CF" w:rsidRDefault="002C0FD9" w:rsidP="00CA25CF">
            <w:pPr>
              <w:rPr>
                <w:rFonts w:cs="Arial"/>
                <w:color w:val="FF0000"/>
                <w:sz w:val="21"/>
                <w:szCs w:val="21"/>
              </w:rPr>
            </w:pPr>
          </w:p>
        </w:tc>
        <w:tc>
          <w:tcPr>
            <w:tcW w:w="217" w:type="dxa"/>
          </w:tcPr>
          <w:p w14:paraId="70B671EB" w14:textId="77777777" w:rsidR="002C0FD9" w:rsidRPr="00CA25CF" w:rsidRDefault="002C0FD9" w:rsidP="00CA25CF">
            <w:pPr>
              <w:rPr>
                <w:rFonts w:cs="Arial"/>
                <w:color w:val="FF0000"/>
                <w:sz w:val="21"/>
                <w:szCs w:val="21"/>
              </w:rPr>
            </w:pPr>
          </w:p>
        </w:tc>
        <w:tc>
          <w:tcPr>
            <w:tcW w:w="217" w:type="dxa"/>
          </w:tcPr>
          <w:p w14:paraId="223D2E66" w14:textId="77777777" w:rsidR="002C0FD9" w:rsidRPr="00CA25CF" w:rsidRDefault="002C0FD9" w:rsidP="00CA25CF">
            <w:pPr>
              <w:rPr>
                <w:rFonts w:cs="Arial"/>
                <w:color w:val="FF0000"/>
                <w:sz w:val="21"/>
                <w:szCs w:val="21"/>
              </w:rPr>
            </w:pPr>
          </w:p>
        </w:tc>
        <w:tc>
          <w:tcPr>
            <w:tcW w:w="217" w:type="dxa"/>
          </w:tcPr>
          <w:p w14:paraId="2029B36F" w14:textId="77777777" w:rsidR="002C0FD9" w:rsidRPr="00CA25CF" w:rsidRDefault="002C0FD9" w:rsidP="00CA25CF">
            <w:pPr>
              <w:rPr>
                <w:rFonts w:cs="Arial"/>
                <w:color w:val="FF0000"/>
                <w:sz w:val="21"/>
                <w:szCs w:val="21"/>
              </w:rPr>
            </w:pPr>
          </w:p>
        </w:tc>
        <w:tc>
          <w:tcPr>
            <w:tcW w:w="217" w:type="dxa"/>
          </w:tcPr>
          <w:p w14:paraId="7AD55B86" w14:textId="77777777" w:rsidR="002C0FD9" w:rsidRPr="00CA25CF" w:rsidRDefault="002C0FD9" w:rsidP="00CA25CF">
            <w:pPr>
              <w:rPr>
                <w:rFonts w:cs="Arial"/>
                <w:color w:val="FF0000"/>
                <w:sz w:val="21"/>
                <w:szCs w:val="21"/>
              </w:rPr>
            </w:pPr>
          </w:p>
        </w:tc>
        <w:tc>
          <w:tcPr>
            <w:tcW w:w="217" w:type="dxa"/>
          </w:tcPr>
          <w:p w14:paraId="66251857" w14:textId="77777777" w:rsidR="002C0FD9" w:rsidRPr="00CA25CF" w:rsidRDefault="002C0FD9" w:rsidP="00CA25CF">
            <w:pPr>
              <w:rPr>
                <w:rFonts w:cs="Arial"/>
                <w:color w:val="FF0000"/>
                <w:sz w:val="21"/>
                <w:szCs w:val="21"/>
              </w:rPr>
            </w:pPr>
          </w:p>
        </w:tc>
        <w:tc>
          <w:tcPr>
            <w:tcW w:w="217" w:type="dxa"/>
          </w:tcPr>
          <w:p w14:paraId="3823BAC4" w14:textId="77777777" w:rsidR="002C0FD9" w:rsidRPr="00CA25CF" w:rsidRDefault="002C0FD9" w:rsidP="00CA25CF">
            <w:pPr>
              <w:rPr>
                <w:rFonts w:cs="Arial"/>
                <w:color w:val="FF0000"/>
                <w:sz w:val="21"/>
                <w:szCs w:val="21"/>
              </w:rPr>
            </w:pPr>
          </w:p>
        </w:tc>
        <w:tc>
          <w:tcPr>
            <w:tcW w:w="217" w:type="dxa"/>
          </w:tcPr>
          <w:p w14:paraId="4DC0C007" w14:textId="77777777" w:rsidR="002C0FD9" w:rsidRPr="00CA25CF" w:rsidRDefault="002C0FD9" w:rsidP="00CA25CF">
            <w:pPr>
              <w:rPr>
                <w:rFonts w:cs="Arial"/>
                <w:color w:val="FF0000"/>
                <w:sz w:val="21"/>
                <w:szCs w:val="21"/>
              </w:rPr>
            </w:pPr>
          </w:p>
        </w:tc>
        <w:tc>
          <w:tcPr>
            <w:tcW w:w="217" w:type="dxa"/>
          </w:tcPr>
          <w:p w14:paraId="7693A9AD" w14:textId="77777777" w:rsidR="002C0FD9" w:rsidRPr="00CA25CF" w:rsidRDefault="002C0FD9" w:rsidP="00CA25CF">
            <w:pPr>
              <w:rPr>
                <w:rFonts w:cs="Arial"/>
                <w:color w:val="FF0000"/>
                <w:sz w:val="21"/>
                <w:szCs w:val="21"/>
              </w:rPr>
            </w:pPr>
          </w:p>
        </w:tc>
        <w:tc>
          <w:tcPr>
            <w:tcW w:w="217" w:type="dxa"/>
          </w:tcPr>
          <w:p w14:paraId="19E14996" w14:textId="77777777" w:rsidR="002C0FD9" w:rsidRPr="00CA25CF" w:rsidRDefault="002C0FD9" w:rsidP="00CA25CF">
            <w:pPr>
              <w:rPr>
                <w:rFonts w:cs="Arial"/>
                <w:color w:val="FF0000"/>
                <w:sz w:val="21"/>
                <w:szCs w:val="21"/>
              </w:rPr>
            </w:pPr>
          </w:p>
        </w:tc>
        <w:tc>
          <w:tcPr>
            <w:tcW w:w="217" w:type="dxa"/>
          </w:tcPr>
          <w:p w14:paraId="72D0BD01" w14:textId="77777777" w:rsidR="002C0FD9" w:rsidRPr="00CA25CF" w:rsidRDefault="002C0FD9" w:rsidP="00CA25CF">
            <w:pPr>
              <w:rPr>
                <w:rFonts w:cs="Arial"/>
                <w:color w:val="FF0000"/>
                <w:sz w:val="21"/>
                <w:szCs w:val="21"/>
              </w:rPr>
            </w:pPr>
          </w:p>
        </w:tc>
        <w:tc>
          <w:tcPr>
            <w:tcW w:w="217" w:type="dxa"/>
          </w:tcPr>
          <w:p w14:paraId="4CEFD46F" w14:textId="77777777" w:rsidR="002C0FD9" w:rsidRPr="00CA25CF" w:rsidRDefault="002C0FD9" w:rsidP="00CA25CF">
            <w:pPr>
              <w:rPr>
                <w:rFonts w:cs="Arial"/>
                <w:color w:val="FF0000"/>
                <w:sz w:val="21"/>
                <w:szCs w:val="21"/>
              </w:rPr>
            </w:pPr>
          </w:p>
        </w:tc>
        <w:tc>
          <w:tcPr>
            <w:tcW w:w="217" w:type="dxa"/>
          </w:tcPr>
          <w:p w14:paraId="27B596F1" w14:textId="77777777" w:rsidR="002C0FD9" w:rsidRPr="00CA25CF" w:rsidRDefault="002C0FD9" w:rsidP="00CA25CF">
            <w:pPr>
              <w:rPr>
                <w:rFonts w:cs="Arial"/>
                <w:color w:val="FF0000"/>
                <w:sz w:val="21"/>
                <w:szCs w:val="21"/>
              </w:rPr>
            </w:pPr>
          </w:p>
        </w:tc>
        <w:tc>
          <w:tcPr>
            <w:tcW w:w="217" w:type="dxa"/>
          </w:tcPr>
          <w:p w14:paraId="7C6C759C" w14:textId="77777777" w:rsidR="002C0FD9" w:rsidRPr="00CA25CF" w:rsidRDefault="002C0FD9" w:rsidP="00CA25CF">
            <w:pPr>
              <w:rPr>
                <w:rFonts w:cs="Arial"/>
                <w:color w:val="FF0000"/>
                <w:sz w:val="21"/>
                <w:szCs w:val="21"/>
              </w:rPr>
            </w:pPr>
          </w:p>
        </w:tc>
        <w:tc>
          <w:tcPr>
            <w:tcW w:w="217" w:type="dxa"/>
          </w:tcPr>
          <w:p w14:paraId="67E8EE9C" w14:textId="77777777" w:rsidR="002C0FD9" w:rsidRPr="00CA25CF" w:rsidRDefault="002C0FD9" w:rsidP="00CA25CF">
            <w:pPr>
              <w:rPr>
                <w:rFonts w:cs="Arial"/>
                <w:color w:val="FF0000"/>
                <w:sz w:val="21"/>
                <w:szCs w:val="21"/>
              </w:rPr>
            </w:pPr>
          </w:p>
        </w:tc>
        <w:tc>
          <w:tcPr>
            <w:tcW w:w="217" w:type="dxa"/>
          </w:tcPr>
          <w:p w14:paraId="6E16CA22" w14:textId="77777777" w:rsidR="002C0FD9" w:rsidRPr="00CA25CF" w:rsidRDefault="002C0FD9" w:rsidP="00CA25CF">
            <w:pPr>
              <w:rPr>
                <w:rFonts w:cs="Arial"/>
                <w:color w:val="FF0000"/>
                <w:sz w:val="21"/>
                <w:szCs w:val="21"/>
              </w:rPr>
            </w:pPr>
          </w:p>
        </w:tc>
        <w:tc>
          <w:tcPr>
            <w:tcW w:w="217" w:type="dxa"/>
          </w:tcPr>
          <w:p w14:paraId="7B557707" w14:textId="77777777" w:rsidR="002C0FD9" w:rsidRPr="00CA25CF" w:rsidRDefault="002C0FD9" w:rsidP="00CA25CF">
            <w:pPr>
              <w:rPr>
                <w:rFonts w:cs="Arial"/>
                <w:color w:val="FF0000"/>
                <w:sz w:val="21"/>
                <w:szCs w:val="21"/>
              </w:rPr>
            </w:pPr>
          </w:p>
        </w:tc>
        <w:tc>
          <w:tcPr>
            <w:tcW w:w="217" w:type="dxa"/>
          </w:tcPr>
          <w:p w14:paraId="18C45157" w14:textId="77777777" w:rsidR="002C0FD9" w:rsidRPr="00CA25CF" w:rsidRDefault="002C0FD9" w:rsidP="00CA25CF">
            <w:pPr>
              <w:rPr>
                <w:rFonts w:cs="Arial"/>
                <w:color w:val="FF0000"/>
                <w:sz w:val="21"/>
                <w:szCs w:val="21"/>
              </w:rPr>
            </w:pPr>
          </w:p>
        </w:tc>
        <w:tc>
          <w:tcPr>
            <w:tcW w:w="217" w:type="dxa"/>
          </w:tcPr>
          <w:p w14:paraId="3E712B95" w14:textId="77777777" w:rsidR="002C0FD9" w:rsidRPr="00CA25CF" w:rsidRDefault="002C0FD9" w:rsidP="00CA25CF">
            <w:pPr>
              <w:rPr>
                <w:rFonts w:cs="Arial"/>
                <w:color w:val="FF0000"/>
                <w:sz w:val="21"/>
                <w:szCs w:val="21"/>
              </w:rPr>
            </w:pPr>
          </w:p>
        </w:tc>
        <w:tc>
          <w:tcPr>
            <w:tcW w:w="217" w:type="dxa"/>
          </w:tcPr>
          <w:p w14:paraId="16A1B6B8" w14:textId="77777777" w:rsidR="002C0FD9" w:rsidRPr="00CA25CF" w:rsidRDefault="002C0FD9" w:rsidP="00CA25CF">
            <w:pPr>
              <w:rPr>
                <w:rFonts w:cs="Arial"/>
                <w:color w:val="FF0000"/>
                <w:sz w:val="21"/>
                <w:szCs w:val="21"/>
              </w:rPr>
            </w:pPr>
          </w:p>
        </w:tc>
        <w:tc>
          <w:tcPr>
            <w:tcW w:w="217" w:type="dxa"/>
          </w:tcPr>
          <w:p w14:paraId="54EB5E2D" w14:textId="77777777" w:rsidR="002C0FD9" w:rsidRPr="00CA25CF" w:rsidRDefault="002C0FD9" w:rsidP="00CA25CF">
            <w:pPr>
              <w:rPr>
                <w:rFonts w:cs="Arial"/>
                <w:color w:val="FF0000"/>
                <w:sz w:val="21"/>
                <w:szCs w:val="21"/>
              </w:rPr>
            </w:pPr>
          </w:p>
        </w:tc>
        <w:tc>
          <w:tcPr>
            <w:tcW w:w="217" w:type="dxa"/>
          </w:tcPr>
          <w:p w14:paraId="6488BA10" w14:textId="77777777" w:rsidR="002C0FD9" w:rsidRPr="00CA25CF" w:rsidRDefault="002C0FD9" w:rsidP="00CA25CF">
            <w:pPr>
              <w:rPr>
                <w:rFonts w:cs="Arial"/>
                <w:color w:val="FF0000"/>
                <w:sz w:val="21"/>
                <w:szCs w:val="21"/>
              </w:rPr>
            </w:pPr>
          </w:p>
        </w:tc>
        <w:tc>
          <w:tcPr>
            <w:tcW w:w="217" w:type="dxa"/>
          </w:tcPr>
          <w:p w14:paraId="6C56F038" w14:textId="77777777" w:rsidR="002C0FD9" w:rsidRPr="00CA25CF" w:rsidRDefault="002C0FD9" w:rsidP="00CA25CF">
            <w:pPr>
              <w:rPr>
                <w:rFonts w:cs="Arial"/>
                <w:color w:val="FF0000"/>
                <w:sz w:val="21"/>
                <w:szCs w:val="21"/>
              </w:rPr>
            </w:pPr>
          </w:p>
        </w:tc>
        <w:tc>
          <w:tcPr>
            <w:tcW w:w="217" w:type="dxa"/>
          </w:tcPr>
          <w:p w14:paraId="5E4A9093" w14:textId="77777777" w:rsidR="002C0FD9" w:rsidRPr="00CA25CF" w:rsidRDefault="002C0FD9" w:rsidP="00CA25CF">
            <w:pPr>
              <w:rPr>
                <w:rFonts w:cs="Arial"/>
                <w:color w:val="FF0000"/>
                <w:sz w:val="21"/>
                <w:szCs w:val="21"/>
              </w:rPr>
            </w:pPr>
          </w:p>
        </w:tc>
        <w:tc>
          <w:tcPr>
            <w:tcW w:w="217" w:type="dxa"/>
          </w:tcPr>
          <w:p w14:paraId="6D993762" w14:textId="77777777" w:rsidR="002C0FD9" w:rsidRPr="00CA25CF" w:rsidRDefault="002C0FD9" w:rsidP="00CA25CF">
            <w:pPr>
              <w:rPr>
                <w:rFonts w:cs="Arial"/>
                <w:color w:val="FF0000"/>
                <w:sz w:val="21"/>
                <w:szCs w:val="21"/>
              </w:rPr>
            </w:pPr>
          </w:p>
        </w:tc>
        <w:tc>
          <w:tcPr>
            <w:tcW w:w="217" w:type="dxa"/>
          </w:tcPr>
          <w:p w14:paraId="29EE9E98" w14:textId="77777777" w:rsidR="002C0FD9" w:rsidRPr="00CA25CF" w:rsidRDefault="002C0FD9" w:rsidP="00CA25CF">
            <w:pPr>
              <w:rPr>
                <w:rFonts w:cs="Arial"/>
                <w:color w:val="FF0000"/>
                <w:sz w:val="21"/>
                <w:szCs w:val="21"/>
              </w:rPr>
            </w:pPr>
          </w:p>
        </w:tc>
        <w:tc>
          <w:tcPr>
            <w:tcW w:w="217" w:type="dxa"/>
          </w:tcPr>
          <w:p w14:paraId="4246E797" w14:textId="77777777" w:rsidR="002C0FD9" w:rsidRPr="00CA25CF" w:rsidRDefault="002C0FD9" w:rsidP="00CA25CF">
            <w:pPr>
              <w:rPr>
                <w:rFonts w:cs="Arial"/>
                <w:color w:val="FF0000"/>
                <w:sz w:val="21"/>
                <w:szCs w:val="21"/>
              </w:rPr>
            </w:pPr>
          </w:p>
        </w:tc>
        <w:tc>
          <w:tcPr>
            <w:tcW w:w="217" w:type="dxa"/>
          </w:tcPr>
          <w:p w14:paraId="352F5270" w14:textId="77777777" w:rsidR="002C0FD9" w:rsidRPr="00CA25CF" w:rsidRDefault="002C0FD9" w:rsidP="00CA25CF">
            <w:pPr>
              <w:rPr>
                <w:rFonts w:cs="Arial"/>
                <w:color w:val="FF0000"/>
                <w:sz w:val="21"/>
                <w:szCs w:val="21"/>
              </w:rPr>
            </w:pPr>
          </w:p>
        </w:tc>
        <w:tc>
          <w:tcPr>
            <w:tcW w:w="217" w:type="dxa"/>
          </w:tcPr>
          <w:p w14:paraId="737A7092" w14:textId="77777777" w:rsidR="002C0FD9" w:rsidRPr="00CA25CF" w:rsidRDefault="002C0FD9" w:rsidP="00CA25CF">
            <w:pPr>
              <w:rPr>
                <w:rFonts w:cs="Arial"/>
                <w:color w:val="FF0000"/>
                <w:sz w:val="21"/>
                <w:szCs w:val="21"/>
              </w:rPr>
            </w:pPr>
          </w:p>
        </w:tc>
        <w:tc>
          <w:tcPr>
            <w:tcW w:w="217" w:type="dxa"/>
          </w:tcPr>
          <w:p w14:paraId="3B3D81BB" w14:textId="77777777" w:rsidR="002C0FD9" w:rsidRPr="00CA25CF" w:rsidRDefault="002C0FD9" w:rsidP="00CA25CF">
            <w:pPr>
              <w:rPr>
                <w:rFonts w:cs="Arial"/>
                <w:color w:val="FF0000"/>
                <w:sz w:val="21"/>
                <w:szCs w:val="21"/>
              </w:rPr>
            </w:pPr>
          </w:p>
        </w:tc>
        <w:tc>
          <w:tcPr>
            <w:tcW w:w="217" w:type="dxa"/>
          </w:tcPr>
          <w:p w14:paraId="41A6C3F7" w14:textId="77777777" w:rsidR="002C0FD9" w:rsidRPr="00CA25CF" w:rsidRDefault="002C0FD9" w:rsidP="00CA25CF">
            <w:pPr>
              <w:rPr>
                <w:rFonts w:cs="Arial"/>
                <w:color w:val="FF0000"/>
                <w:sz w:val="21"/>
                <w:szCs w:val="21"/>
              </w:rPr>
            </w:pPr>
          </w:p>
        </w:tc>
        <w:tc>
          <w:tcPr>
            <w:tcW w:w="217" w:type="dxa"/>
          </w:tcPr>
          <w:p w14:paraId="35B8BD30" w14:textId="77777777" w:rsidR="002C0FD9" w:rsidRPr="00CA25CF" w:rsidRDefault="002C0FD9" w:rsidP="00CA25CF">
            <w:pPr>
              <w:rPr>
                <w:rFonts w:cs="Arial"/>
                <w:color w:val="FF0000"/>
                <w:sz w:val="21"/>
                <w:szCs w:val="21"/>
              </w:rPr>
            </w:pPr>
          </w:p>
        </w:tc>
        <w:tc>
          <w:tcPr>
            <w:tcW w:w="217" w:type="dxa"/>
          </w:tcPr>
          <w:p w14:paraId="0B3EA7D8" w14:textId="77777777" w:rsidR="002C0FD9" w:rsidRPr="00CA25CF" w:rsidRDefault="002C0FD9" w:rsidP="00CA25CF">
            <w:pPr>
              <w:rPr>
                <w:rFonts w:cs="Arial"/>
                <w:color w:val="FF0000"/>
                <w:sz w:val="21"/>
                <w:szCs w:val="21"/>
              </w:rPr>
            </w:pPr>
          </w:p>
        </w:tc>
        <w:tc>
          <w:tcPr>
            <w:tcW w:w="217" w:type="dxa"/>
          </w:tcPr>
          <w:p w14:paraId="7DB9AEEE" w14:textId="77777777" w:rsidR="002C0FD9" w:rsidRPr="00CA25CF" w:rsidRDefault="002C0FD9" w:rsidP="00CA25CF">
            <w:pPr>
              <w:rPr>
                <w:rFonts w:cs="Arial"/>
                <w:color w:val="FF0000"/>
                <w:sz w:val="21"/>
                <w:szCs w:val="21"/>
              </w:rPr>
            </w:pPr>
          </w:p>
        </w:tc>
        <w:tc>
          <w:tcPr>
            <w:tcW w:w="217" w:type="dxa"/>
          </w:tcPr>
          <w:p w14:paraId="5778D9C5" w14:textId="77777777" w:rsidR="002C0FD9" w:rsidRPr="00CA25CF" w:rsidRDefault="002C0FD9" w:rsidP="00CA25CF">
            <w:pPr>
              <w:rPr>
                <w:rFonts w:cs="Arial"/>
                <w:color w:val="FF0000"/>
                <w:sz w:val="21"/>
                <w:szCs w:val="21"/>
              </w:rPr>
            </w:pPr>
          </w:p>
        </w:tc>
        <w:tc>
          <w:tcPr>
            <w:tcW w:w="217" w:type="dxa"/>
          </w:tcPr>
          <w:p w14:paraId="52473767" w14:textId="77777777" w:rsidR="002C0FD9" w:rsidRPr="00CA25CF" w:rsidRDefault="002C0FD9" w:rsidP="00CA25CF">
            <w:pPr>
              <w:rPr>
                <w:rFonts w:cs="Arial"/>
                <w:color w:val="FF0000"/>
                <w:sz w:val="21"/>
                <w:szCs w:val="21"/>
              </w:rPr>
            </w:pPr>
          </w:p>
        </w:tc>
        <w:tc>
          <w:tcPr>
            <w:tcW w:w="217" w:type="dxa"/>
          </w:tcPr>
          <w:p w14:paraId="11254649" w14:textId="77777777" w:rsidR="002C0FD9" w:rsidRPr="00CA25CF" w:rsidRDefault="002C0FD9" w:rsidP="00CA25CF">
            <w:pPr>
              <w:rPr>
                <w:rFonts w:cs="Arial"/>
                <w:color w:val="FF0000"/>
                <w:sz w:val="21"/>
                <w:szCs w:val="21"/>
              </w:rPr>
            </w:pPr>
          </w:p>
        </w:tc>
        <w:tc>
          <w:tcPr>
            <w:tcW w:w="217" w:type="dxa"/>
          </w:tcPr>
          <w:p w14:paraId="5E060628" w14:textId="77777777" w:rsidR="002C0FD9" w:rsidRPr="00CA25CF" w:rsidRDefault="002C0FD9" w:rsidP="00CA25CF">
            <w:pPr>
              <w:rPr>
                <w:rFonts w:cs="Arial"/>
                <w:color w:val="FF0000"/>
                <w:sz w:val="21"/>
                <w:szCs w:val="21"/>
              </w:rPr>
            </w:pPr>
          </w:p>
        </w:tc>
      </w:tr>
      <w:tr w:rsidR="002C0FD9" w:rsidRPr="00A16219" w14:paraId="7D9D011E" w14:textId="77777777" w:rsidTr="002C0FD9">
        <w:trPr>
          <w:trHeight w:val="635"/>
        </w:trPr>
        <w:tc>
          <w:tcPr>
            <w:tcW w:w="515" w:type="dxa"/>
          </w:tcPr>
          <w:p w14:paraId="7CAD965C" w14:textId="77777777" w:rsidR="002C0FD9" w:rsidRPr="00CA25CF" w:rsidRDefault="002C0FD9" w:rsidP="00CA25CF">
            <w:pPr>
              <w:rPr>
                <w:rFonts w:cs="Arial"/>
                <w:color w:val="FF0000"/>
                <w:sz w:val="21"/>
                <w:szCs w:val="21"/>
              </w:rPr>
            </w:pPr>
          </w:p>
        </w:tc>
        <w:tc>
          <w:tcPr>
            <w:tcW w:w="217" w:type="dxa"/>
          </w:tcPr>
          <w:p w14:paraId="2A6E4D8C" w14:textId="77777777" w:rsidR="002C0FD9" w:rsidRPr="00CA25CF" w:rsidRDefault="002C0FD9" w:rsidP="00CA25CF">
            <w:pPr>
              <w:rPr>
                <w:rFonts w:cs="Arial"/>
                <w:color w:val="FF0000"/>
                <w:sz w:val="21"/>
                <w:szCs w:val="21"/>
              </w:rPr>
            </w:pPr>
          </w:p>
        </w:tc>
        <w:tc>
          <w:tcPr>
            <w:tcW w:w="217" w:type="dxa"/>
          </w:tcPr>
          <w:p w14:paraId="64A1AC94" w14:textId="77777777" w:rsidR="002C0FD9" w:rsidRPr="00CA25CF" w:rsidRDefault="002C0FD9" w:rsidP="00CA25CF">
            <w:pPr>
              <w:rPr>
                <w:rFonts w:cs="Arial"/>
                <w:color w:val="FF0000"/>
                <w:sz w:val="21"/>
                <w:szCs w:val="21"/>
              </w:rPr>
            </w:pPr>
          </w:p>
        </w:tc>
        <w:tc>
          <w:tcPr>
            <w:tcW w:w="217" w:type="dxa"/>
          </w:tcPr>
          <w:p w14:paraId="296696DD" w14:textId="77777777" w:rsidR="002C0FD9" w:rsidRPr="00CA25CF" w:rsidRDefault="002C0FD9" w:rsidP="00CA25CF">
            <w:pPr>
              <w:rPr>
                <w:rFonts w:cs="Arial"/>
                <w:color w:val="FF0000"/>
                <w:sz w:val="21"/>
                <w:szCs w:val="21"/>
              </w:rPr>
            </w:pPr>
          </w:p>
        </w:tc>
        <w:tc>
          <w:tcPr>
            <w:tcW w:w="217" w:type="dxa"/>
          </w:tcPr>
          <w:p w14:paraId="5FB661BE" w14:textId="77777777" w:rsidR="002C0FD9" w:rsidRPr="00CA25CF" w:rsidRDefault="002C0FD9" w:rsidP="00CA25CF">
            <w:pPr>
              <w:rPr>
                <w:rFonts w:cs="Arial"/>
                <w:color w:val="FF0000"/>
                <w:sz w:val="21"/>
                <w:szCs w:val="21"/>
              </w:rPr>
            </w:pPr>
          </w:p>
        </w:tc>
        <w:tc>
          <w:tcPr>
            <w:tcW w:w="217" w:type="dxa"/>
          </w:tcPr>
          <w:p w14:paraId="72D09E78" w14:textId="77777777" w:rsidR="002C0FD9" w:rsidRPr="00CA25CF" w:rsidRDefault="002C0FD9" w:rsidP="00CA25CF">
            <w:pPr>
              <w:rPr>
                <w:rFonts w:cs="Arial"/>
                <w:color w:val="FF0000"/>
                <w:sz w:val="21"/>
                <w:szCs w:val="21"/>
              </w:rPr>
            </w:pPr>
          </w:p>
        </w:tc>
        <w:tc>
          <w:tcPr>
            <w:tcW w:w="217" w:type="dxa"/>
          </w:tcPr>
          <w:p w14:paraId="485C69BD" w14:textId="77777777" w:rsidR="002C0FD9" w:rsidRPr="00CA25CF" w:rsidRDefault="002C0FD9" w:rsidP="00CA25CF">
            <w:pPr>
              <w:rPr>
                <w:rFonts w:cs="Arial"/>
                <w:color w:val="FF0000"/>
                <w:sz w:val="21"/>
                <w:szCs w:val="21"/>
              </w:rPr>
            </w:pPr>
          </w:p>
        </w:tc>
        <w:tc>
          <w:tcPr>
            <w:tcW w:w="217" w:type="dxa"/>
          </w:tcPr>
          <w:p w14:paraId="1C515326" w14:textId="77777777" w:rsidR="002C0FD9" w:rsidRPr="00CA25CF" w:rsidRDefault="002C0FD9" w:rsidP="00CA25CF">
            <w:pPr>
              <w:rPr>
                <w:rFonts w:cs="Arial"/>
                <w:color w:val="FF0000"/>
                <w:sz w:val="21"/>
                <w:szCs w:val="21"/>
              </w:rPr>
            </w:pPr>
          </w:p>
        </w:tc>
        <w:tc>
          <w:tcPr>
            <w:tcW w:w="217" w:type="dxa"/>
          </w:tcPr>
          <w:p w14:paraId="76EFAA53" w14:textId="77777777" w:rsidR="002C0FD9" w:rsidRPr="00CA25CF" w:rsidRDefault="002C0FD9" w:rsidP="00CA25CF">
            <w:pPr>
              <w:rPr>
                <w:rFonts w:cs="Arial"/>
                <w:color w:val="FF0000"/>
                <w:sz w:val="21"/>
                <w:szCs w:val="21"/>
              </w:rPr>
            </w:pPr>
          </w:p>
        </w:tc>
        <w:tc>
          <w:tcPr>
            <w:tcW w:w="217" w:type="dxa"/>
          </w:tcPr>
          <w:p w14:paraId="636623F7" w14:textId="77777777" w:rsidR="002C0FD9" w:rsidRPr="00CA25CF" w:rsidRDefault="002C0FD9" w:rsidP="00CA25CF">
            <w:pPr>
              <w:rPr>
                <w:rFonts w:cs="Arial"/>
                <w:color w:val="FF0000"/>
                <w:sz w:val="21"/>
                <w:szCs w:val="21"/>
              </w:rPr>
            </w:pPr>
          </w:p>
        </w:tc>
        <w:tc>
          <w:tcPr>
            <w:tcW w:w="217" w:type="dxa"/>
          </w:tcPr>
          <w:p w14:paraId="607EB7A2" w14:textId="77777777" w:rsidR="002C0FD9" w:rsidRPr="00CA25CF" w:rsidRDefault="002C0FD9" w:rsidP="00CA25CF">
            <w:pPr>
              <w:rPr>
                <w:rFonts w:cs="Arial"/>
                <w:color w:val="FF0000"/>
                <w:sz w:val="21"/>
                <w:szCs w:val="21"/>
              </w:rPr>
            </w:pPr>
          </w:p>
        </w:tc>
        <w:tc>
          <w:tcPr>
            <w:tcW w:w="217" w:type="dxa"/>
          </w:tcPr>
          <w:p w14:paraId="7857BA2F" w14:textId="77777777" w:rsidR="002C0FD9" w:rsidRPr="00CA25CF" w:rsidRDefault="002C0FD9" w:rsidP="00CA25CF">
            <w:pPr>
              <w:rPr>
                <w:rFonts w:cs="Arial"/>
                <w:color w:val="FF0000"/>
                <w:sz w:val="21"/>
                <w:szCs w:val="21"/>
              </w:rPr>
            </w:pPr>
          </w:p>
        </w:tc>
        <w:tc>
          <w:tcPr>
            <w:tcW w:w="217" w:type="dxa"/>
          </w:tcPr>
          <w:p w14:paraId="588E9256" w14:textId="77777777" w:rsidR="002C0FD9" w:rsidRPr="00CA25CF" w:rsidRDefault="002C0FD9" w:rsidP="00CA25CF">
            <w:pPr>
              <w:rPr>
                <w:rFonts w:cs="Arial"/>
                <w:color w:val="FF0000"/>
                <w:sz w:val="21"/>
                <w:szCs w:val="21"/>
              </w:rPr>
            </w:pPr>
          </w:p>
        </w:tc>
        <w:tc>
          <w:tcPr>
            <w:tcW w:w="217" w:type="dxa"/>
          </w:tcPr>
          <w:p w14:paraId="7090D16B" w14:textId="77777777" w:rsidR="002C0FD9" w:rsidRPr="00CA25CF" w:rsidRDefault="002C0FD9" w:rsidP="00CA25CF">
            <w:pPr>
              <w:rPr>
                <w:rFonts w:cs="Arial"/>
                <w:color w:val="FF0000"/>
                <w:sz w:val="21"/>
                <w:szCs w:val="21"/>
              </w:rPr>
            </w:pPr>
          </w:p>
        </w:tc>
        <w:tc>
          <w:tcPr>
            <w:tcW w:w="217" w:type="dxa"/>
          </w:tcPr>
          <w:p w14:paraId="7EBEF073" w14:textId="77777777" w:rsidR="002C0FD9" w:rsidRPr="00CA25CF" w:rsidRDefault="002C0FD9" w:rsidP="00CA25CF">
            <w:pPr>
              <w:rPr>
                <w:rFonts w:cs="Arial"/>
                <w:color w:val="FF0000"/>
                <w:sz w:val="21"/>
                <w:szCs w:val="21"/>
              </w:rPr>
            </w:pPr>
          </w:p>
        </w:tc>
        <w:tc>
          <w:tcPr>
            <w:tcW w:w="217" w:type="dxa"/>
          </w:tcPr>
          <w:p w14:paraId="7E1B7245" w14:textId="77777777" w:rsidR="002C0FD9" w:rsidRPr="00CA25CF" w:rsidRDefault="002C0FD9" w:rsidP="00CA25CF">
            <w:pPr>
              <w:rPr>
                <w:rFonts w:cs="Arial"/>
                <w:color w:val="FF0000"/>
                <w:sz w:val="21"/>
                <w:szCs w:val="21"/>
              </w:rPr>
            </w:pPr>
          </w:p>
        </w:tc>
        <w:tc>
          <w:tcPr>
            <w:tcW w:w="217" w:type="dxa"/>
          </w:tcPr>
          <w:p w14:paraId="7DFBC310" w14:textId="77777777" w:rsidR="002C0FD9" w:rsidRPr="00CA25CF" w:rsidRDefault="002C0FD9" w:rsidP="00CA25CF">
            <w:pPr>
              <w:rPr>
                <w:rFonts w:cs="Arial"/>
                <w:color w:val="FF0000"/>
                <w:sz w:val="21"/>
                <w:szCs w:val="21"/>
              </w:rPr>
            </w:pPr>
          </w:p>
        </w:tc>
        <w:tc>
          <w:tcPr>
            <w:tcW w:w="217" w:type="dxa"/>
          </w:tcPr>
          <w:p w14:paraId="3E7742B6" w14:textId="77777777" w:rsidR="002C0FD9" w:rsidRPr="00CA25CF" w:rsidRDefault="002C0FD9" w:rsidP="00CA25CF">
            <w:pPr>
              <w:rPr>
                <w:rFonts w:cs="Arial"/>
                <w:color w:val="FF0000"/>
                <w:sz w:val="21"/>
                <w:szCs w:val="21"/>
              </w:rPr>
            </w:pPr>
          </w:p>
        </w:tc>
        <w:tc>
          <w:tcPr>
            <w:tcW w:w="217" w:type="dxa"/>
          </w:tcPr>
          <w:p w14:paraId="00470A60" w14:textId="77777777" w:rsidR="002C0FD9" w:rsidRPr="00CA25CF" w:rsidRDefault="002C0FD9" w:rsidP="00CA25CF">
            <w:pPr>
              <w:rPr>
                <w:rFonts w:cs="Arial"/>
                <w:color w:val="FF0000"/>
                <w:sz w:val="21"/>
                <w:szCs w:val="21"/>
              </w:rPr>
            </w:pPr>
          </w:p>
        </w:tc>
        <w:tc>
          <w:tcPr>
            <w:tcW w:w="217" w:type="dxa"/>
          </w:tcPr>
          <w:p w14:paraId="4065B893" w14:textId="77777777" w:rsidR="002C0FD9" w:rsidRPr="00CA25CF" w:rsidRDefault="002C0FD9" w:rsidP="00CA25CF">
            <w:pPr>
              <w:rPr>
                <w:rFonts w:cs="Arial"/>
                <w:color w:val="FF0000"/>
                <w:sz w:val="21"/>
                <w:szCs w:val="21"/>
              </w:rPr>
            </w:pPr>
          </w:p>
        </w:tc>
        <w:tc>
          <w:tcPr>
            <w:tcW w:w="217" w:type="dxa"/>
          </w:tcPr>
          <w:p w14:paraId="1966C5FC" w14:textId="77777777" w:rsidR="002C0FD9" w:rsidRPr="00CA25CF" w:rsidRDefault="002C0FD9" w:rsidP="00CA25CF">
            <w:pPr>
              <w:rPr>
                <w:rFonts w:cs="Arial"/>
                <w:color w:val="FF0000"/>
                <w:sz w:val="21"/>
                <w:szCs w:val="21"/>
              </w:rPr>
            </w:pPr>
          </w:p>
        </w:tc>
        <w:tc>
          <w:tcPr>
            <w:tcW w:w="217" w:type="dxa"/>
          </w:tcPr>
          <w:p w14:paraId="16C60999" w14:textId="77777777" w:rsidR="002C0FD9" w:rsidRPr="00CA25CF" w:rsidRDefault="002C0FD9" w:rsidP="00CA25CF">
            <w:pPr>
              <w:rPr>
                <w:rFonts w:cs="Arial"/>
                <w:color w:val="FF0000"/>
                <w:sz w:val="21"/>
                <w:szCs w:val="21"/>
              </w:rPr>
            </w:pPr>
          </w:p>
        </w:tc>
        <w:tc>
          <w:tcPr>
            <w:tcW w:w="217" w:type="dxa"/>
          </w:tcPr>
          <w:p w14:paraId="466AFD23" w14:textId="77777777" w:rsidR="002C0FD9" w:rsidRPr="00CA25CF" w:rsidRDefault="002C0FD9" w:rsidP="00CA25CF">
            <w:pPr>
              <w:rPr>
                <w:rFonts w:cs="Arial"/>
                <w:color w:val="FF0000"/>
                <w:sz w:val="21"/>
                <w:szCs w:val="21"/>
              </w:rPr>
            </w:pPr>
          </w:p>
        </w:tc>
        <w:tc>
          <w:tcPr>
            <w:tcW w:w="217" w:type="dxa"/>
          </w:tcPr>
          <w:p w14:paraId="117DF74B" w14:textId="77777777" w:rsidR="002C0FD9" w:rsidRPr="00CA25CF" w:rsidRDefault="002C0FD9" w:rsidP="00CA25CF">
            <w:pPr>
              <w:rPr>
                <w:rFonts w:cs="Arial"/>
                <w:color w:val="FF0000"/>
                <w:sz w:val="21"/>
                <w:szCs w:val="21"/>
              </w:rPr>
            </w:pPr>
          </w:p>
        </w:tc>
        <w:tc>
          <w:tcPr>
            <w:tcW w:w="217" w:type="dxa"/>
          </w:tcPr>
          <w:p w14:paraId="2884A7FA" w14:textId="77777777" w:rsidR="002C0FD9" w:rsidRPr="00CA25CF" w:rsidRDefault="002C0FD9" w:rsidP="00CA25CF">
            <w:pPr>
              <w:rPr>
                <w:rFonts w:cs="Arial"/>
                <w:color w:val="FF0000"/>
                <w:sz w:val="21"/>
                <w:szCs w:val="21"/>
              </w:rPr>
            </w:pPr>
          </w:p>
        </w:tc>
        <w:tc>
          <w:tcPr>
            <w:tcW w:w="217" w:type="dxa"/>
          </w:tcPr>
          <w:p w14:paraId="042CF059" w14:textId="77777777" w:rsidR="002C0FD9" w:rsidRPr="00CA25CF" w:rsidRDefault="002C0FD9" w:rsidP="00CA25CF">
            <w:pPr>
              <w:rPr>
                <w:rFonts w:cs="Arial"/>
                <w:color w:val="FF0000"/>
                <w:sz w:val="21"/>
                <w:szCs w:val="21"/>
              </w:rPr>
            </w:pPr>
          </w:p>
        </w:tc>
        <w:tc>
          <w:tcPr>
            <w:tcW w:w="217" w:type="dxa"/>
          </w:tcPr>
          <w:p w14:paraId="4B0D4798" w14:textId="77777777" w:rsidR="002C0FD9" w:rsidRPr="00CA25CF" w:rsidRDefault="002C0FD9" w:rsidP="00CA25CF">
            <w:pPr>
              <w:rPr>
                <w:rFonts w:cs="Arial"/>
                <w:color w:val="FF0000"/>
                <w:sz w:val="21"/>
                <w:szCs w:val="21"/>
              </w:rPr>
            </w:pPr>
          </w:p>
        </w:tc>
        <w:tc>
          <w:tcPr>
            <w:tcW w:w="217" w:type="dxa"/>
          </w:tcPr>
          <w:p w14:paraId="57807413" w14:textId="77777777" w:rsidR="002C0FD9" w:rsidRPr="00CA25CF" w:rsidRDefault="002C0FD9" w:rsidP="00CA25CF">
            <w:pPr>
              <w:rPr>
                <w:rFonts w:cs="Arial"/>
                <w:color w:val="FF0000"/>
                <w:sz w:val="21"/>
                <w:szCs w:val="21"/>
              </w:rPr>
            </w:pPr>
          </w:p>
        </w:tc>
        <w:tc>
          <w:tcPr>
            <w:tcW w:w="217" w:type="dxa"/>
          </w:tcPr>
          <w:p w14:paraId="75F1DF48" w14:textId="77777777" w:rsidR="002C0FD9" w:rsidRPr="00CA25CF" w:rsidRDefault="002C0FD9" w:rsidP="00CA25CF">
            <w:pPr>
              <w:rPr>
                <w:rFonts w:cs="Arial"/>
                <w:color w:val="FF0000"/>
                <w:sz w:val="21"/>
                <w:szCs w:val="21"/>
              </w:rPr>
            </w:pPr>
          </w:p>
        </w:tc>
        <w:tc>
          <w:tcPr>
            <w:tcW w:w="217" w:type="dxa"/>
          </w:tcPr>
          <w:p w14:paraId="5B0FB9F3" w14:textId="77777777" w:rsidR="002C0FD9" w:rsidRPr="00CA25CF" w:rsidRDefault="002C0FD9" w:rsidP="00CA25CF">
            <w:pPr>
              <w:rPr>
                <w:rFonts w:cs="Arial"/>
                <w:color w:val="FF0000"/>
                <w:sz w:val="21"/>
                <w:szCs w:val="21"/>
              </w:rPr>
            </w:pPr>
          </w:p>
        </w:tc>
        <w:tc>
          <w:tcPr>
            <w:tcW w:w="217" w:type="dxa"/>
          </w:tcPr>
          <w:p w14:paraId="055D9598" w14:textId="77777777" w:rsidR="002C0FD9" w:rsidRPr="00CA25CF" w:rsidRDefault="002C0FD9" w:rsidP="00CA25CF">
            <w:pPr>
              <w:rPr>
                <w:rFonts w:cs="Arial"/>
                <w:color w:val="FF0000"/>
                <w:sz w:val="21"/>
                <w:szCs w:val="21"/>
              </w:rPr>
            </w:pPr>
          </w:p>
        </w:tc>
        <w:tc>
          <w:tcPr>
            <w:tcW w:w="217" w:type="dxa"/>
          </w:tcPr>
          <w:p w14:paraId="7240946C" w14:textId="77777777" w:rsidR="002C0FD9" w:rsidRPr="00CA25CF" w:rsidRDefault="002C0FD9" w:rsidP="00CA25CF">
            <w:pPr>
              <w:rPr>
                <w:rFonts w:cs="Arial"/>
                <w:color w:val="FF0000"/>
                <w:sz w:val="21"/>
                <w:szCs w:val="21"/>
              </w:rPr>
            </w:pPr>
          </w:p>
        </w:tc>
        <w:tc>
          <w:tcPr>
            <w:tcW w:w="217" w:type="dxa"/>
          </w:tcPr>
          <w:p w14:paraId="328AF9E2" w14:textId="77777777" w:rsidR="002C0FD9" w:rsidRPr="00CA25CF" w:rsidRDefault="002C0FD9" w:rsidP="00CA25CF">
            <w:pPr>
              <w:rPr>
                <w:rFonts w:cs="Arial"/>
                <w:color w:val="FF0000"/>
                <w:sz w:val="21"/>
                <w:szCs w:val="21"/>
              </w:rPr>
            </w:pPr>
          </w:p>
        </w:tc>
        <w:tc>
          <w:tcPr>
            <w:tcW w:w="217" w:type="dxa"/>
          </w:tcPr>
          <w:p w14:paraId="18A11651" w14:textId="77777777" w:rsidR="002C0FD9" w:rsidRPr="00CA25CF" w:rsidRDefault="002C0FD9" w:rsidP="00CA25CF">
            <w:pPr>
              <w:rPr>
                <w:rFonts w:cs="Arial"/>
                <w:color w:val="FF0000"/>
                <w:sz w:val="21"/>
                <w:szCs w:val="21"/>
              </w:rPr>
            </w:pPr>
          </w:p>
        </w:tc>
        <w:tc>
          <w:tcPr>
            <w:tcW w:w="217" w:type="dxa"/>
          </w:tcPr>
          <w:p w14:paraId="76E1D247" w14:textId="77777777" w:rsidR="002C0FD9" w:rsidRPr="00CA25CF" w:rsidRDefault="002C0FD9" w:rsidP="00CA25CF">
            <w:pPr>
              <w:rPr>
                <w:rFonts w:cs="Arial"/>
                <w:color w:val="FF0000"/>
                <w:sz w:val="21"/>
                <w:szCs w:val="21"/>
              </w:rPr>
            </w:pPr>
          </w:p>
        </w:tc>
        <w:tc>
          <w:tcPr>
            <w:tcW w:w="217" w:type="dxa"/>
          </w:tcPr>
          <w:p w14:paraId="504CD81E" w14:textId="77777777" w:rsidR="002C0FD9" w:rsidRPr="00CA25CF" w:rsidRDefault="002C0FD9" w:rsidP="00CA25CF">
            <w:pPr>
              <w:rPr>
                <w:rFonts w:cs="Arial"/>
                <w:color w:val="FF0000"/>
                <w:sz w:val="21"/>
                <w:szCs w:val="21"/>
              </w:rPr>
            </w:pPr>
          </w:p>
        </w:tc>
        <w:tc>
          <w:tcPr>
            <w:tcW w:w="217" w:type="dxa"/>
          </w:tcPr>
          <w:p w14:paraId="2F0BC726" w14:textId="77777777" w:rsidR="002C0FD9" w:rsidRPr="00CA25CF" w:rsidRDefault="002C0FD9" w:rsidP="00CA25CF">
            <w:pPr>
              <w:rPr>
                <w:rFonts w:cs="Arial"/>
                <w:color w:val="FF0000"/>
                <w:sz w:val="21"/>
                <w:szCs w:val="21"/>
              </w:rPr>
            </w:pPr>
          </w:p>
        </w:tc>
        <w:tc>
          <w:tcPr>
            <w:tcW w:w="217" w:type="dxa"/>
          </w:tcPr>
          <w:p w14:paraId="71E3C4E2" w14:textId="77777777" w:rsidR="002C0FD9" w:rsidRPr="00CA25CF" w:rsidRDefault="002C0FD9" w:rsidP="00CA25CF">
            <w:pPr>
              <w:rPr>
                <w:rFonts w:cs="Arial"/>
                <w:color w:val="FF0000"/>
                <w:sz w:val="21"/>
                <w:szCs w:val="21"/>
              </w:rPr>
            </w:pPr>
          </w:p>
        </w:tc>
        <w:tc>
          <w:tcPr>
            <w:tcW w:w="217" w:type="dxa"/>
          </w:tcPr>
          <w:p w14:paraId="4A050843" w14:textId="77777777" w:rsidR="002C0FD9" w:rsidRPr="00CA25CF" w:rsidRDefault="002C0FD9" w:rsidP="00CA25CF">
            <w:pPr>
              <w:rPr>
                <w:rFonts w:cs="Arial"/>
                <w:color w:val="FF0000"/>
                <w:sz w:val="21"/>
                <w:szCs w:val="21"/>
              </w:rPr>
            </w:pPr>
          </w:p>
        </w:tc>
        <w:tc>
          <w:tcPr>
            <w:tcW w:w="217" w:type="dxa"/>
          </w:tcPr>
          <w:p w14:paraId="3E1ADD6A" w14:textId="77777777" w:rsidR="002C0FD9" w:rsidRPr="00CA25CF" w:rsidRDefault="002C0FD9" w:rsidP="00CA25CF">
            <w:pPr>
              <w:rPr>
                <w:rFonts w:cs="Arial"/>
                <w:color w:val="FF0000"/>
                <w:sz w:val="21"/>
                <w:szCs w:val="21"/>
              </w:rPr>
            </w:pPr>
          </w:p>
        </w:tc>
        <w:tc>
          <w:tcPr>
            <w:tcW w:w="217" w:type="dxa"/>
          </w:tcPr>
          <w:p w14:paraId="27ACF4A4" w14:textId="77777777" w:rsidR="002C0FD9" w:rsidRPr="00CA25CF" w:rsidRDefault="002C0FD9" w:rsidP="00CA25CF">
            <w:pPr>
              <w:rPr>
                <w:rFonts w:cs="Arial"/>
                <w:color w:val="FF0000"/>
                <w:sz w:val="21"/>
                <w:szCs w:val="21"/>
              </w:rPr>
            </w:pPr>
          </w:p>
        </w:tc>
        <w:tc>
          <w:tcPr>
            <w:tcW w:w="217" w:type="dxa"/>
          </w:tcPr>
          <w:p w14:paraId="3131F5D8" w14:textId="77777777" w:rsidR="002C0FD9" w:rsidRPr="00CA25CF" w:rsidRDefault="002C0FD9" w:rsidP="00CA25CF">
            <w:pPr>
              <w:rPr>
                <w:rFonts w:cs="Arial"/>
                <w:color w:val="FF0000"/>
                <w:sz w:val="21"/>
                <w:szCs w:val="21"/>
              </w:rPr>
            </w:pPr>
          </w:p>
        </w:tc>
        <w:tc>
          <w:tcPr>
            <w:tcW w:w="217" w:type="dxa"/>
          </w:tcPr>
          <w:p w14:paraId="64B13722" w14:textId="77777777" w:rsidR="002C0FD9" w:rsidRPr="00CA25CF" w:rsidRDefault="002C0FD9" w:rsidP="00CA25CF">
            <w:pPr>
              <w:rPr>
                <w:rFonts w:cs="Arial"/>
                <w:color w:val="FF0000"/>
                <w:sz w:val="21"/>
                <w:szCs w:val="21"/>
              </w:rPr>
            </w:pPr>
          </w:p>
        </w:tc>
      </w:tr>
      <w:tr w:rsidR="002C0FD9" w:rsidRPr="00A16219" w14:paraId="2AE222DE" w14:textId="77777777" w:rsidTr="002C0FD9">
        <w:trPr>
          <w:trHeight w:val="635"/>
        </w:trPr>
        <w:tc>
          <w:tcPr>
            <w:tcW w:w="515" w:type="dxa"/>
          </w:tcPr>
          <w:p w14:paraId="0B40E013" w14:textId="77777777" w:rsidR="002C0FD9" w:rsidRPr="00CA25CF" w:rsidRDefault="002C0FD9" w:rsidP="00CA25CF">
            <w:pPr>
              <w:rPr>
                <w:rFonts w:cs="Arial"/>
                <w:color w:val="FF0000"/>
                <w:sz w:val="21"/>
                <w:szCs w:val="21"/>
              </w:rPr>
            </w:pPr>
          </w:p>
        </w:tc>
        <w:tc>
          <w:tcPr>
            <w:tcW w:w="217" w:type="dxa"/>
          </w:tcPr>
          <w:p w14:paraId="52E0FC43" w14:textId="77777777" w:rsidR="002C0FD9" w:rsidRPr="00CA25CF" w:rsidRDefault="002C0FD9" w:rsidP="00CA25CF">
            <w:pPr>
              <w:rPr>
                <w:rFonts w:cs="Arial"/>
                <w:color w:val="FF0000"/>
                <w:sz w:val="21"/>
                <w:szCs w:val="21"/>
              </w:rPr>
            </w:pPr>
          </w:p>
        </w:tc>
        <w:tc>
          <w:tcPr>
            <w:tcW w:w="217" w:type="dxa"/>
          </w:tcPr>
          <w:p w14:paraId="1C3A7B7F" w14:textId="77777777" w:rsidR="002C0FD9" w:rsidRPr="00CA25CF" w:rsidRDefault="002C0FD9" w:rsidP="00CA25CF">
            <w:pPr>
              <w:rPr>
                <w:rFonts w:cs="Arial"/>
                <w:color w:val="FF0000"/>
                <w:sz w:val="21"/>
                <w:szCs w:val="21"/>
              </w:rPr>
            </w:pPr>
          </w:p>
        </w:tc>
        <w:tc>
          <w:tcPr>
            <w:tcW w:w="217" w:type="dxa"/>
          </w:tcPr>
          <w:p w14:paraId="0AA072DC" w14:textId="77777777" w:rsidR="002C0FD9" w:rsidRPr="00CA25CF" w:rsidRDefault="002C0FD9" w:rsidP="00CA25CF">
            <w:pPr>
              <w:rPr>
                <w:rFonts w:cs="Arial"/>
                <w:color w:val="FF0000"/>
                <w:sz w:val="21"/>
                <w:szCs w:val="21"/>
              </w:rPr>
            </w:pPr>
          </w:p>
        </w:tc>
        <w:tc>
          <w:tcPr>
            <w:tcW w:w="217" w:type="dxa"/>
          </w:tcPr>
          <w:p w14:paraId="48630C7B" w14:textId="77777777" w:rsidR="002C0FD9" w:rsidRPr="00CA25CF" w:rsidRDefault="002C0FD9" w:rsidP="00CA25CF">
            <w:pPr>
              <w:rPr>
                <w:rFonts w:cs="Arial"/>
                <w:color w:val="FF0000"/>
                <w:sz w:val="21"/>
                <w:szCs w:val="21"/>
              </w:rPr>
            </w:pPr>
          </w:p>
        </w:tc>
        <w:tc>
          <w:tcPr>
            <w:tcW w:w="217" w:type="dxa"/>
          </w:tcPr>
          <w:p w14:paraId="1AE2AB1E" w14:textId="77777777" w:rsidR="002C0FD9" w:rsidRPr="00CA25CF" w:rsidRDefault="002C0FD9" w:rsidP="00CA25CF">
            <w:pPr>
              <w:rPr>
                <w:rFonts w:cs="Arial"/>
                <w:color w:val="FF0000"/>
                <w:sz w:val="21"/>
                <w:szCs w:val="21"/>
              </w:rPr>
            </w:pPr>
          </w:p>
        </w:tc>
        <w:tc>
          <w:tcPr>
            <w:tcW w:w="217" w:type="dxa"/>
          </w:tcPr>
          <w:p w14:paraId="04CB6EFA" w14:textId="77777777" w:rsidR="002C0FD9" w:rsidRPr="00CA25CF" w:rsidRDefault="002C0FD9" w:rsidP="00CA25CF">
            <w:pPr>
              <w:rPr>
                <w:rFonts w:cs="Arial"/>
                <w:color w:val="FF0000"/>
                <w:sz w:val="21"/>
                <w:szCs w:val="21"/>
              </w:rPr>
            </w:pPr>
          </w:p>
        </w:tc>
        <w:tc>
          <w:tcPr>
            <w:tcW w:w="217" w:type="dxa"/>
          </w:tcPr>
          <w:p w14:paraId="0B6D0E77" w14:textId="77777777" w:rsidR="002C0FD9" w:rsidRPr="00CA25CF" w:rsidRDefault="002C0FD9" w:rsidP="00CA25CF">
            <w:pPr>
              <w:rPr>
                <w:rFonts w:cs="Arial"/>
                <w:color w:val="FF0000"/>
                <w:sz w:val="21"/>
                <w:szCs w:val="21"/>
              </w:rPr>
            </w:pPr>
          </w:p>
        </w:tc>
        <w:tc>
          <w:tcPr>
            <w:tcW w:w="217" w:type="dxa"/>
          </w:tcPr>
          <w:p w14:paraId="71D0B40F" w14:textId="77777777" w:rsidR="002C0FD9" w:rsidRPr="00CA25CF" w:rsidRDefault="002C0FD9" w:rsidP="00CA25CF">
            <w:pPr>
              <w:rPr>
                <w:rFonts w:cs="Arial"/>
                <w:color w:val="FF0000"/>
                <w:sz w:val="21"/>
                <w:szCs w:val="21"/>
              </w:rPr>
            </w:pPr>
          </w:p>
        </w:tc>
        <w:tc>
          <w:tcPr>
            <w:tcW w:w="217" w:type="dxa"/>
          </w:tcPr>
          <w:p w14:paraId="6E989291" w14:textId="77777777" w:rsidR="002C0FD9" w:rsidRPr="00CA25CF" w:rsidRDefault="002C0FD9" w:rsidP="00CA25CF">
            <w:pPr>
              <w:rPr>
                <w:rFonts w:cs="Arial"/>
                <w:color w:val="FF0000"/>
                <w:sz w:val="21"/>
                <w:szCs w:val="21"/>
              </w:rPr>
            </w:pPr>
          </w:p>
        </w:tc>
        <w:tc>
          <w:tcPr>
            <w:tcW w:w="217" w:type="dxa"/>
          </w:tcPr>
          <w:p w14:paraId="6E3BACE6" w14:textId="77777777" w:rsidR="002C0FD9" w:rsidRPr="00CA25CF" w:rsidRDefault="002C0FD9" w:rsidP="00CA25CF">
            <w:pPr>
              <w:rPr>
                <w:rFonts w:cs="Arial"/>
                <w:color w:val="FF0000"/>
                <w:sz w:val="21"/>
                <w:szCs w:val="21"/>
              </w:rPr>
            </w:pPr>
          </w:p>
        </w:tc>
        <w:tc>
          <w:tcPr>
            <w:tcW w:w="217" w:type="dxa"/>
          </w:tcPr>
          <w:p w14:paraId="0264E6E0" w14:textId="77777777" w:rsidR="002C0FD9" w:rsidRPr="00CA25CF" w:rsidRDefault="002C0FD9" w:rsidP="00CA25CF">
            <w:pPr>
              <w:rPr>
                <w:rFonts w:cs="Arial"/>
                <w:color w:val="FF0000"/>
                <w:sz w:val="21"/>
                <w:szCs w:val="21"/>
              </w:rPr>
            </w:pPr>
          </w:p>
        </w:tc>
        <w:tc>
          <w:tcPr>
            <w:tcW w:w="217" w:type="dxa"/>
          </w:tcPr>
          <w:p w14:paraId="73F9C177" w14:textId="77777777" w:rsidR="002C0FD9" w:rsidRPr="00CA25CF" w:rsidRDefault="002C0FD9" w:rsidP="00CA25CF">
            <w:pPr>
              <w:rPr>
                <w:rFonts w:cs="Arial"/>
                <w:color w:val="FF0000"/>
                <w:sz w:val="21"/>
                <w:szCs w:val="21"/>
              </w:rPr>
            </w:pPr>
          </w:p>
        </w:tc>
        <w:tc>
          <w:tcPr>
            <w:tcW w:w="217" w:type="dxa"/>
          </w:tcPr>
          <w:p w14:paraId="4F7FE4DF" w14:textId="77777777" w:rsidR="002C0FD9" w:rsidRPr="00CA25CF" w:rsidRDefault="002C0FD9" w:rsidP="00CA25CF">
            <w:pPr>
              <w:rPr>
                <w:rFonts w:cs="Arial"/>
                <w:color w:val="FF0000"/>
                <w:sz w:val="21"/>
                <w:szCs w:val="21"/>
              </w:rPr>
            </w:pPr>
          </w:p>
        </w:tc>
        <w:tc>
          <w:tcPr>
            <w:tcW w:w="217" w:type="dxa"/>
          </w:tcPr>
          <w:p w14:paraId="787C2C54" w14:textId="77777777" w:rsidR="002C0FD9" w:rsidRPr="00CA25CF" w:rsidRDefault="002C0FD9" w:rsidP="00CA25CF">
            <w:pPr>
              <w:rPr>
                <w:rFonts w:cs="Arial"/>
                <w:color w:val="FF0000"/>
                <w:sz w:val="21"/>
                <w:szCs w:val="21"/>
              </w:rPr>
            </w:pPr>
          </w:p>
        </w:tc>
        <w:tc>
          <w:tcPr>
            <w:tcW w:w="217" w:type="dxa"/>
          </w:tcPr>
          <w:p w14:paraId="4EBD933E" w14:textId="77777777" w:rsidR="002C0FD9" w:rsidRPr="00CA25CF" w:rsidRDefault="002C0FD9" w:rsidP="00CA25CF">
            <w:pPr>
              <w:rPr>
                <w:rFonts w:cs="Arial"/>
                <w:color w:val="FF0000"/>
                <w:sz w:val="21"/>
                <w:szCs w:val="21"/>
              </w:rPr>
            </w:pPr>
          </w:p>
        </w:tc>
        <w:tc>
          <w:tcPr>
            <w:tcW w:w="217" w:type="dxa"/>
          </w:tcPr>
          <w:p w14:paraId="59C68D9C" w14:textId="77777777" w:rsidR="002C0FD9" w:rsidRPr="00CA25CF" w:rsidRDefault="002C0FD9" w:rsidP="00CA25CF">
            <w:pPr>
              <w:rPr>
                <w:rFonts w:cs="Arial"/>
                <w:color w:val="FF0000"/>
                <w:sz w:val="21"/>
                <w:szCs w:val="21"/>
              </w:rPr>
            </w:pPr>
          </w:p>
        </w:tc>
        <w:tc>
          <w:tcPr>
            <w:tcW w:w="217" w:type="dxa"/>
          </w:tcPr>
          <w:p w14:paraId="31337C94" w14:textId="77777777" w:rsidR="002C0FD9" w:rsidRPr="00CA25CF" w:rsidRDefault="002C0FD9" w:rsidP="00CA25CF">
            <w:pPr>
              <w:rPr>
                <w:rFonts w:cs="Arial"/>
                <w:color w:val="FF0000"/>
                <w:sz w:val="21"/>
                <w:szCs w:val="21"/>
              </w:rPr>
            </w:pPr>
          </w:p>
        </w:tc>
        <w:tc>
          <w:tcPr>
            <w:tcW w:w="217" w:type="dxa"/>
          </w:tcPr>
          <w:p w14:paraId="1F3F0A9E" w14:textId="77777777" w:rsidR="002C0FD9" w:rsidRPr="00CA25CF" w:rsidRDefault="002C0FD9" w:rsidP="00CA25CF">
            <w:pPr>
              <w:rPr>
                <w:rFonts w:cs="Arial"/>
                <w:color w:val="FF0000"/>
                <w:sz w:val="21"/>
                <w:szCs w:val="21"/>
              </w:rPr>
            </w:pPr>
          </w:p>
        </w:tc>
        <w:tc>
          <w:tcPr>
            <w:tcW w:w="217" w:type="dxa"/>
          </w:tcPr>
          <w:p w14:paraId="50870280" w14:textId="77777777" w:rsidR="002C0FD9" w:rsidRPr="00CA25CF" w:rsidRDefault="002C0FD9" w:rsidP="00CA25CF">
            <w:pPr>
              <w:rPr>
                <w:rFonts w:cs="Arial"/>
                <w:color w:val="FF0000"/>
                <w:sz w:val="21"/>
                <w:szCs w:val="21"/>
              </w:rPr>
            </w:pPr>
          </w:p>
        </w:tc>
        <w:tc>
          <w:tcPr>
            <w:tcW w:w="217" w:type="dxa"/>
          </w:tcPr>
          <w:p w14:paraId="6677BDB1" w14:textId="77777777" w:rsidR="002C0FD9" w:rsidRPr="00CA25CF" w:rsidRDefault="002C0FD9" w:rsidP="00CA25CF">
            <w:pPr>
              <w:rPr>
                <w:rFonts w:cs="Arial"/>
                <w:color w:val="FF0000"/>
                <w:sz w:val="21"/>
                <w:szCs w:val="21"/>
              </w:rPr>
            </w:pPr>
          </w:p>
        </w:tc>
        <w:tc>
          <w:tcPr>
            <w:tcW w:w="217" w:type="dxa"/>
          </w:tcPr>
          <w:p w14:paraId="1AB51D4C" w14:textId="77777777" w:rsidR="002C0FD9" w:rsidRPr="00CA25CF" w:rsidRDefault="002C0FD9" w:rsidP="00CA25CF">
            <w:pPr>
              <w:rPr>
                <w:rFonts w:cs="Arial"/>
                <w:color w:val="FF0000"/>
                <w:sz w:val="21"/>
                <w:szCs w:val="21"/>
              </w:rPr>
            </w:pPr>
          </w:p>
        </w:tc>
        <w:tc>
          <w:tcPr>
            <w:tcW w:w="217" w:type="dxa"/>
          </w:tcPr>
          <w:p w14:paraId="3131B8F6" w14:textId="77777777" w:rsidR="002C0FD9" w:rsidRPr="00CA25CF" w:rsidRDefault="002C0FD9" w:rsidP="00CA25CF">
            <w:pPr>
              <w:rPr>
                <w:rFonts w:cs="Arial"/>
                <w:color w:val="FF0000"/>
                <w:sz w:val="21"/>
                <w:szCs w:val="21"/>
              </w:rPr>
            </w:pPr>
          </w:p>
        </w:tc>
        <w:tc>
          <w:tcPr>
            <w:tcW w:w="217" w:type="dxa"/>
          </w:tcPr>
          <w:p w14:paraId="5B9192BA" w14:textId="77777777" w:rsidR="002C0FD9" w:rsidRPr="00CA25CF" w:rsidRDefault="002C0FD9" w:rsidP="00CA25CF">
            <w:pPr>
              <w:rPr>
                <w:rFonts w:cs="Arial"/>
                <w:color w:val="FF0000"/>
                <w:sz w:val="21"/>
                <w:szCs w:val="21"/>
              </w:rPr>
            </w:pPr>
          </w:p>
        </w:tc>
        <w:tc>
          <w:tcPr>
            <w:tcW w:w="217" w:type="dxa"/>
          </w:tcPr>
          <w:p w14:paraId="7AB6CFD8" w14:textId="77777777" w:rsidR="002C0FD9" w:rsidRPr="00CA25CF" w:rsidRDefault="002C0FD9" w:rsidP="00CA25CF">
            <w:pPr>
              <w:rPr>
                <w:rFonts w:cs="Arial"/>
                <w:color w:val="FF0000"/>
                <w:sz w:val="21"/>
                <w:szCs w:val="21"/>
              </w:rPr>
            </w:pPr>
          </w:p>
        </w:tc>
        <w:tc>
          <w:tcPr>
            <w:tcW w:w="217" w:type="dxa"/>
          </w:tcPr>
          <w:p w14:paraId="52508F59" w14:textId="77777777" w:rsidR="002C0FD9" w:rsidRPr="00CA25CF" w:rsidRDefault="002C0FD9" w:rsidP="00CA25CF">
            <w:pPr>
              <w:rPr>
                <w:rFonts w:cs="Arial"/>
                <w:color w:val="FF0000"/>
                <w:sz w:val="21"/>
                <w:szCs w:val="21"/>
              </w:rPr>
            </w:pPr>
          </w:p>
        </w:tc>
        <w:tc>
          <w:tcPr>
            <w:tcW w:w="217" w:type="dxa"/>
          </w:tcPr>
          <w:p w14:paraId="7798292A" w14:textId="77777777" w:rsidR="002C0FD9" w:rsidRPr="00CA25CF" w:rsidRDefault="002C0FD9" w:rsidP="00CA25CF">
            <w:pPr>
              <w:rPr>
                <w:rFonts w:cs="Arial"/>
                <w:color w:val="FF0000"/>
                <w:sz w:val="21"/>
                <w:szCs w:val="21"/>
              </w:rPr>
            </w:pPr>
          </w:p>
        </w:tc>
        <w:tc>
          <w:tcPr>
            <w:tcW w:w="217" w:type="dxa"/>
          </w:tcPr>
          <w:p w14:paraId="23701650" w14:textId="77777777" w:rsidR="002C0FD9" w:rsidRPr="00CA25CF" w:rsidRDefault="002C0FD9" w:rsidP="00CA25CF">
            <w:pPr>
              <w:rPr>
                <w:rFonts w:cs="Arial"/>
                <w:color w:val="FF0000"/>
                <w:sz w:val="21"/>
                <w:szCs w:val="21"/>
              </w:rPr>
            </w:pPr>
          </w:p>
        </w:tc>
        <w:tc>
          <w:tcPr>
            <w:tcW w:w="217" w:type="dxa"/>
          </w:tcPr>
          <w:p w14:paraId="1E14BDAD" w14:textId="77777777" w:rsidR="002C0FD9" w:rsidRPr="00CA25CF" w:rsidRDefault="002C0FD9" w:rsidP="00CA25CF">
            <w:pPr>
              <w:rPr>
                <w:rFonts w:cs="Arial"/>
                <w:color w:val="FF0000"/>
                <w:sz w:val="21"/>
                <w:szCs w:val="21"/>
              </w:rPr>
            </w:pPr>
          </w:p>
        </w:tc>
        <w:tc>
          <w:tcPr>
            <w:tcW w:w="217" w:type="dxa"/>
          </w:tcPr>
          <w:p w14:paraId="1CBD5BAF" w14:textId="77777777" w:rsidR="002C0FD9" w:rsidRPr="00CA25CF" w:rsidRDefault="002C0FD9" w:rsidP="00CA25CF">
            <w:pPr>
              <w:rPr>
                <w:rFonts w:cs="Arial"/>
                <w:color w:val="FF0000"/>
                <w:sz w:val="21"/>
                <w:szCs w:val="21"/>
              </w:rPr>
            </w:pPr>
          </w:p>
        </w:tc>
        <w:tc>
          <w:tcPr>
            <w:tcW w:w="217" w:type="dxa"/>
          </w:tcPr>
          <w:p w14:paraId="27730724" w14:textId="77777777" w:rsidR="002C0FD9" w:rsidRPr="00CA25CF" w:rsidRDefault="002C0FD9" w:rsidP="00CA25CF">
            <w:pPr>
              <w:rPr>
                <w:rFonts w:cs="Arial"/>
                <w:color w:val="FF0000"/>
                <w:sz w:val="21"/>
                <w:szCs w:val="21"/>
              </w:rPr>
            </w:pPr>
          </w:p>
        </w:tc>
        <w:tc>
          <w:tcPr>
            <w:tcW w:w="217" w:type="dxa"/>
          </w:tcPr>
          <w:p w14:paraId="02E5BD42" w14:textId="77777777" w:rsidR="002C0FD9" w:rsidRPr="00CA25CF" w:rsidRDefault="002C0FD9" w:rsidP="00CA25CF">
            <w:pPr>
              <w:rPr>
                <w:rFonts w:cs="Arial"/>
                <w:color w:val="FF0000"/>
                <w:sz w:val="21"/>
                <w:szCs w:val="21"/>
              </w:rPr>
            </w:pPr>
          </w:p>
        </w:tc>
        <w:tc>
          <w:tcPr>
            <w:tcW w:w="217" w:type="dxa"/>
          </w:tcPr>
          <w:p w14:paraId="429A43E6" w14:textId="77777777" w:rsidR="002C0FD9" w:rsidRPr="00CA25CF" w:rsidRDefault="002C0FD9" w:rsidP="00CA25CF">
            <w:pPr>
              <w:rPr>
                <w:rFonts w:cs="Arial"/>
                <w:color w:val="FF0000"/>
                <w:sz w:val="21"/>
                <w:szCs w:val="21"/>
              </w:rPr>
            </w:pPr>
          </w:p>
        </w:tc>
        <w:tc>
          <w:tcPr>
            <w:tcW w:w="217" w:type="dxa"/>
          </w:tcPr>
          <w:p w14:paraId="332BADDE" w14:textId="77777777" w:rsidR="002C0FD9" w:rsidRPr="00CA25CF" w:rsidRDefault="002C0FD9" w:rsidP="00CA25CF">
            <w:pPr>
              <w:rPr>
                <w:rFonts w:cs="Arial"/>
                <w:color w:val="FF0000"/>
                <w:sz w:val="21"/>
                <w:szCs w:val="21"/>
              </w:rPr>
            </w:pPr>
          </w:p>
        </w:tc>
        <w:tc>
          <w:tcPr>
            <w:tcW w:w="217" w:type="dxa"/>
          </w:tcPr>
          <w:p w14:paraId="2DB9E9ED" w14:textId="77777777" w:rsidR="002C0FD9" w:rsidRPr="00CA25CF" w:rsidRDefault="002C0FD9" w:rsidP="00CA25CF">
            <w:pPr>
              <w:rPr>
                <w:rFonts w:cs="Arial"/>
                <w:color w:val="FF0000"/>
                <w:sz w:val="21"/>
                <w:szCs w:val="21"/>
              </w:rPr>
            </w:pPr>
          </w:p>
        </w:tc>
        <w:tc>
          <w:tcPr>
            <w:tcW w:w="217" w:type="dxa"/>
          </w:tcPr>
          <w:p w14:paraId="504FFF7D" w14:textId="77777777" w:rsidR="002C0FD9" w:rsidRPr="00CA25CF" w:rsidRDefault="002C0FD9" w:rsidP="00CA25CF">
            <w:pPr>
              <w:rPr>
                <w:rFonts w:cs="Arial"/>
                <w:color w:val="FF0000"/>
                <w:sz w:val="21"/>
                <w:szCs w:val="21"/>
              </w:rPr>
            </w:pPr>
          </w:p>
        </w:tc>
        <w:tc>
          <w:tcPr>
            <w:tcW w:w="217" w:type="dxa"/>
          </w:tcPr>
          <w:p w14:paraId="280948CF" w14:textId="77777777" w:rsidR="002C0FD9" w:rsidRPr="00CA25CF" w:rsidRDefault="002C0FD9" w:rsidP="00CA25CF">
            <w:pPr>
              <w:rPr>
                <w:rFonts w:cs="Arial"/>
                <w:color w:val="FF0000"/>
                <w:sz w:val="21"/>
                <w:szCs w:val="21"/>
              </w:rPr>
            </w:pPr>
          </w:p>
        </w:tc>
        <w:tc>
          <w:tcPr>
            <w:tcW w:w="217" w:type="dxa"/>
          </w:tcPr>
          <w:p w14:paraId="073B0458" w14:textId="77777777" w:rsidR="002C0FD9" w:rsidRPr="00CA25CF" w:rsidRDefault="002C0FD9" w:rsidP="00CA25CF">
            <w:pPr>
              <w:rPr>
                <w:rFonts w:cs="Arial"/>
                <w:color w:val="FF0000"/>
                <w:sz w:val="21"/>
                <w:szCs w:val="21"/>
              </w:rPr>
            </w:pPr>
          </w:p>
        </w:tc>
        <w:tc>
          <w:tcPr>
            <w:tcW w:w="217" w:type="dxa"/>
          </w:tcPr>
          <w:p w14:paraId="7E2260F5" w14:textId="77777777" w:rsidR="002C0FD9" w:rsidRPr="00CA25CF" w:rsidRDefault="002C0FD9" w:rsidP="00CA25CF">
            <w:pPr>
              <w:rPr>
                <w:rFonts w:cs="Arial"/>
                <w:color w:val="FF0000"/>
                <w:sz w:val="21"/>
                <w:szCs w:val="21"/>
              </w:rPr>
            </w:pPr>
          </w:p>
        </w:tc>
        <w:tc>
          <w:tcPr>
            <w:tcW w:w="217" w:type="dxa"/>
          </w:tcPr>
          <w:p w14:paraId="07EE91AA" w14:textId="77777777" w:rsidR="002C0FD9" w:rsidRPr="00CA25CF" w:rsidRDefault="002C0FD9" w:rsidP="00CA25CF">
            <w:pPr>
              <w:rPr>
                <w:rFonts w:cs="Arial"/>
                <w:color w:val="FF0000"/>
                <w:sz w:val="21"/>
                <w:szCs w:val="21"/>
              </w:rPr>
            </w:pPr>
          </w:p>
        </w:tc>
        <w:tc>
          <w:tcPr>
            <w:tcW w:w="217" w:type="dxa"/>
          </w:tcPr>
          <w:p w14:paraId="6656E792" w14:textId="77777777" w:rsidR="002C0FD9" w:rsidRPr="00CA25CF" w:rsidRDefault="002C0FD9" w:rsidP="00CA25CF">
            <w:pPr>
              <w:rPr>
                <w:rFonts w:cs="Arial"/>
                <w:color w:val="FF0000"/>
                <w:sz w:val="21"/>
                <w:szCs w:val="21"/>
              </w:rPr>
            </w:pPr>
          </w:p>
        </w:tc>
        <w:tc>
          <w:tcPr>
            <w:tcW w:w="217" w:type="dxa"/>
          </w:tcPr>
          <w:p w14:paraId="2EFEAA73" w14:textId="77777777" w:rsidR="002C0FD9" w:rsidRPr="00CA25CF" w:rsidRDefault="002C0FD9" w:rsidP="00CA25CF">
            <w:pPr>
              <w:rPr>
                <w:rFonts w:cs="Arial"/>
                <w:color w:val="FF0000"/>
                <w:sz w:val="21"/>
                <w:szCs w:val="21"/>
              </w:rPr>
            </w:pPr>
          </w:p>
        </w:tc>
        <w:tc>
          <w:tcPr>
            <w:tcW w:w="217" w:type="dxa"/>
          </w:tcPr>
          <w:p w14:paraId="7ADDD285" w14:textId="77777777" w:rsidR="002C0FD9" w:rsidRPr="00CA25CF" w:rsidRDefault="002C0FD9" w:rsidP="00CA25CF">
            <w:pPr>
              <w:rPr>
                <w:rFonts w:cs="Arial"/>
                <w:color w:val="FF0000"/>
                <w:sz w:val="21"/>
                <w:szCs w:val="21"/>
              </w:rPr>
            </w:pPr>
          </w:p>
        </w:tc>
      </w:tr>
      <w:tr w:rsidR="002C0FD9" w:rsidRPr="00A16219" w14:paraId="04EF5EF5" w14:textId="77777777" w:rsidTr="002C0FD9">
        <w:trPr>
          <w:trHeight w:val="635"/>
        </w:trPr>
        <w:tc>
          <w:tcPr>
            <w:tcW w:w="515" w:type="dxa"/>
          </w:tcPr>
          <w:p w14:paraId="40605D5D" w14:textId="77777777" w:rsidR="002C0FD9" w:rsidRPr="00CA25CF" w:rsidRDefault="002C0FD9" w:rsidP="00CA25CF">
            <w:pPr>
              <w:rPr>
                <w:rFonts w:cs="Arial"/>
                <w:color w:val="FF0000"/>
                <w:sz w:val="21"/>
                <w:szCs w:val="21"/>
              </w:rPr>
            </w:pPr>
          </w:p>
        </w:tc>
        <w:tc>
          <w:tcPr>
            <w:tcW w:w="217" w:type="dxa"/>
          </w:tcPr>
          <w:p w14:paraId="4BEA93E6" w14:textId="77777777" w:rsidR="002C0FD9" w:rsidRPr="00CA25CF" w:rsidRDefault="002C0FD9" w:rsidP="00CA25CF">
            <w:pPr>
              <w:rPr>
                <w:rFonts w:cs="Arial"/>
                <w:color w:val="FF0000"/>
                <w:sz w:val="21"/>
                <w:szCs w:val="21"/>
              </w:rPr>
            </w:pPr>
          </w:p>
        </w:tc>
        <w:tc>
          <w:tcPr>
            <w:tcW w:w="217" w:type="dxa"/>
          </w:tcPr>
          <w:p w14:paraId="0138B39A" w14:textId="77777777" w:rsidR="002C0FD9" w:rsidRPr="00CA25CF" w:rsidRDefault="002C0FD9" w:rsidP="00CA25CF">
            <w:pPr>
              <w:rPr>
                <w:rFonts w:cs="Arial"/>
                <w:color w:val="FF0000"/>
                <w:sz w:val="21"/>
                <w:szCs w:val="21"/>
              </w:rPr>
            </w:pPr>
          </w:p>
        </w:tc>
        <w:tc>
          <w:tcPr>
            <w:tcW w:w="217" w:type="dxa"/>
          </w:tcPr>
          <w:p w14:paraId="774ED4A3" w14:textId="77777777" w:rsidR="002C0FD9" w:rsidRPr="00CA25CF" w:rsidRDefault="002C0FD9" w:rsidP="00CA25CF">
            <w:pPr>
              <w:rPr>
                <w:rFonts w:cs="Arial"/>
                <w:color w:val="FF0000"/>
                <w:sz w:val="21"/>
                <w:szCs w:val="21"/>
              </w:rPr>
            </w:pPr>
          </w:p>
        </w:tc>
        <w:tc>
          <w:tcPr>
            <w:tcW w:w="217" w:type="dxa"/>
          </w:tcPr>
          <w:p w14:paraId="26406C2D" w14:textId="77777777" w:rsidR="002C0FD9" w:rsidRPr="00CA25CF" w:rsidRDefault="002C0FD9" w:rsidP="00CA25CF">
            <w:pPr>
              <w:rPr>
                <w:rFonts w:cs="Arial"/>
                <w:color w:val="FF0000"/>
                <w:sz w:val="21"/>
                <w:szCs w:val="21"/>
              </w:rPr>
            </w:pPr>
          </w:p>
        </w:tc>
        <w:tc>
          <w:tcPr>
            <w:tcW w:w="217" w:type="dxa"/>
          </w:tcPr>
          <w:p w14:paraId="1082BC10" w14:textId="77777777" w:rsidR="002C0FD9" w:rsidRPr="00CA25CF" w:rsidRDefault="002C0FD9" w:rsidP="00CA25CF">
            <w:pPr>
              <w:rPr>
                <w:rFonts w:cs="Arial"/>
                <w:color w:val="FF0000"/>
                <w:sz w:val="21"/>
                <w:szCs w:val="21"/>
              </w:rPr>
            </w:pPr>
          </w:p>
        </w:tc>
        <w:tc>
          <w:tcPr>
            <w:tcW w:w="217" w:type="dxa"/>
          </w:tcPr>
          <w:p w14:paraId="027570C2" w14:textId="77777777" w:rsidR="002C0FD9" w:rsidRPr="00CA25CF" w:rsidRDefault="002C0FD9" w:rsidP="00CA25CF">
            <w:pPr>
              <w:rPr>
                <w:rFonts w:cs="Arial"/>
                <w:color w:val="FF0000"/>
                <w:sz w:val="21"/>
                <w:szCs w:val="21"/>
              </w:rPr>
            </w:pPr>
          </w:p>
        </w:tc>
        <w:tc>
          <w:tcPr>
            <w:tcW w:w="217" w:type="dxa"/>
          </w:tcPr>
          <w:p w14:paraId="6E7365C4" w14:textId="77777777" w:rsidR="002C0FD9" w:rsidRPr="00CA25CF" w:rsidRDefault="002C0FD9" w:rsidP="00CA25CF">
            <w:pPr>
              <w:rPr>
                <w:rFonts w:cs="Arial"/>
                <w:color w:val="FF0000"/>
                <w:sz w:val="21"/>
                <w:szCs w:val="21"/>
              </w:rPr>
            </w:pPr>
          </w:p>
        </w:tc>
        <w:tc>
          <w:tcPr>
            <w:tcW w:w="217" w:type="dxa"/>
          </w:tcPr>
          <w:p w14:paraId="5C13FF3F" w14:textId="77777777" w:rsidR="002C0FD9" w:rsidRPr="00CA25CF" w:rsidRDefault="002C0FD9" w:rsidP="00CA25CF">
            <w:pPr>
              <w:rPr>
                <w:rFonts w:cs="Arial"/>
                <w:color w:val="FF0000"/>
                <w:sz w:val="21"/>
                <w:szCs w:val="21"/>
              </w:rPr>
            </w:pPr>
          </w:p>
        </w:tc>
        <w:tc>
          <w:tcPr>
            <w:tcW w:w="217" w:type="dxa"/>
          </w:tcPr>
          <w:p w14:paraId="06340C00" w14:textId="77777777" w:rsidR="002C0FD9" w:rsidRPr="00CA25CF" w:rsidRDefault="002C0FD9" w:rsidP="00CA25CF">
            <w:pPr>
              <w:rPr>
                <w:rFonts w:cs="Arial"/>
                <w:color w:val="FF0000"/>
                <w:sz w:val="21"/>
                <w:szCs w:val="21"/>
              </w:rPr>
            </w:pPr>
          </w:p>
        </w:tc>
        <w:tc>
          <w:tcPr>
            <w:tcW w:w="217" w:type="dxa"/>
          </w:tcPr>
          <w:p w14:paraId="15BD15FF" w14:textId="77777777" w:rsidR="002C0FD9" w:rsidRPr="00CA25CF" w:rsidRDefault="002C0FD9" w:rsidP="00CA25CF">
            <w:pPr>
              <w:rPr>
                <w:rFonts w:cs="Arial"/>
                <w:color w:val="FF0000"/>
                <w:sz w:val="21"/>
                <w:szCs w:val="21"/>
              </w:rPr>
            </w:pPr>
          </w:p>
        </w:tc>
        <w:tc>
          <w:tcPr>
            <w:tcW w:w="217" w:type="dxa"/>
          </w:tcPr>
          <w:p w14:paraId="1201A1BE" w14:textId="77777777" w:rsidR="002C0FD9" w:rsidRPr="00CA25CF" w:rsidRDefault="002C0FD9" w:rsidP="00CA25CF">
            <w:pPr>
              <w:rPr>
                <w:rFonts w:cs="Arial"/>
                <w:color w:val="FF0000"/>
                <w:sz w:val="21"/>
                <w:szCs w:val="21"/>
              </w:rPr>
            </w:pPr>
          </w:p>
        </w:tc>
        <w:tc>
          <w:tcPr>
            <w:tcW w:w="217" w:type="dxa"/>
          </w:tcPr>
          <w:p w14:paraId="63A6C226" w14:textId="77777777" w:rsidR="002C0FD9" w:rsidRPr="00CA25CF" w:rsidRDefault="002C0FD9" w:rsidP="00CA25CF">
            <w:pPr>
              <w:rPr>
                <w:rFonts w:cs="Arial"/>
                <w:color w:val="FF0000"/>
                <w:sz w:val="21"/>
                <w:szCs w:val="21"/>
              </w:rPr>
            </w:pPr>
          </w:p>
        </w:tc>
        <w:tc>
          <w:tcPr>
            <w:tcW w:w="217" w:type="dxa"/>
          </w:tcPr>
          <w:p w14:paraId="0F731AA0" w14:textId="77777777" w:rsidR="002C0FD9" w:rsidRPr="00CA25CF" w:rsidRDefault="002C0FD9" w:rsidP="00CA25CF">
            <w:pPr>
              <w:rPr>
                <w:rFonts w:cs="Arial"/>
                <w:color w:val="FF0000"/>
                <w:sz w:val="21"/>
                <w:szCs w:val="21"/>
              </w:rPr>
            </w:pPr>
          </w:p>
        </w:tc>
        <w:tc>
          <w:tcPr>
            <w:tcW w:w="217" w:type="dxa"/>
          </w:tcPr>
          <w:p w14:paraId="4DD13867" w14:textId="77777777" w:rsidR="002C0FD9" w:rsidRPr="00CA25CF" w:rsidRDefault="002C0FD9" w:rsidP="00CA25CF">
            <w:pPr>
              <w:rPr>
                <w:rFonts w:cs="Arial"/>
                <w:color w:val="FF0000"/>
                <w:sz w:val="21"/>
                <w:szCs w:val="21"/>
              </w:rPr>
            </w:pPr>
          </w:p>
        </w:tc>
        <w:tc>
          <w:tcPr>
            <w:tcW w:w="217" w:type="dxa"/>
          </w:tcPr>
          <w:p w14:paraId="6E6D9DCF" w14:textId="77777777" w:rsidR="002C0FD9" w:rsidRPr="00CA25CF" w:rsidRDefault="002C0FD9" w:rsidP="00CA25CF">
            <w:pPr>
              <w:rPr>
                <w:rFonts w:cs="Arial"/>
                <w:color w:val="FF0000"/>
                <w:sz w:val="21"/>
                <w:szCs w:val="21"/>
              </w:rPr>
            </w:pPr>
          </w:p>
        </w:tc>
        <w:tc>
          <w:tcPr>
            <w:tcW w:w="217" w:type="dxa"/>
          </w:tcPr>
          <w:p w14:paraId="7E4BF898" w14:textId="77777777" w:rsidR="002C0FD9" w:rsidRPr="00CA25CF" w:rsidRDefault="002C0FD9" w:rsidP="00CA25CF">
            <w:pPr>
              <w:rPr>
                <w:rFonts w:cs="Arial"/>
                <w:color w:val="FF0000"/>
                <w:sz w:val="21"/>
                <w:szCs w:val="21"/>
              </w:rPr>
            </w:pPr>
          </w:p>
        </w:tc>
        <w:tc>
          <w:tcPr>
            <w:tcW w:w="217" w:type="dxa"/>
          </w:tcPr>
          <w:p w14:paraId="438CDCB9" w14:textId="77777777" w:rsidR="002C0FD9" w:rsidRPr="00CA25CF" w:rsidRDefault="002C0FD9" w:rsidP="00CA25CF">
            <w:pPr>
              <w:rPr>
                <w:rFonts w:cs="Arial"/>
                <w:color w:val="FF0000"/>
                <w:sz w:val="21"/>
                <w:szCs w:val="21"/>
              </w:rPr>
            </w:pPr>
          </w:p>
        </w:tc>
        <w:tc>
          <w:tcPr>
            <w:tcW w:w="217" w:type="dxa"/>
          </w:tcPr>
          <w:p w14:paraId="0DFC88A4" w14:textId="77777777" w:rsidR="002C0FD9" w:rsidRPr="00CA25CF" w:rsidRDefault="002C0FD9" w:rsidP="00CA25CF">
            <w:pPr>
              <w:rPr>
                <w:rFonts w:cs="Arial"/>
                <w:color w:val="FF0000"/>
                <w:sz w:val="21"/>
                <w:szCs w:val="21"/>
              </w:rPr>
            </w:pPr>
          </w:p>
        </w:tc>
        <w:tc>
          <w:tcPr>
            <w:tcW w:w="217" w:type="dxa"/>
          </w:tcPr>
          <w:p w14:paraId="2C12B07B" w14:textId="77777777" w:rsidR="002C0FD9" w:rsidRPr="00CA25CF" w:rsidRDefault="002C0FD9" w:rsidP="00CA25CF">
            <w:pPr>
              <w:rPr>
                <w:rFonts w:cs="Arial"/>
                <w:color w:val="FF0000"/>
                <w:sz w:val="21"/>
                <w:szCs w:val="21"/>
              </w:rPr>
            </w:pPr>
          </w:p>
        </w:tc>
        <w:tc>
          <w:tcPr>
            <w:tcW w:w="217" w:type="dxa"/>
          </w:tcPr>
          <w:p w14:paraId="64091B4C" w14:textId="77777777" w:rsidR="002C0FD9" w:rsidRPr="00CA25CF" w:rsidRDefault="002C0FD9" w:rsidP="00CA25CF">
            <w:pPr>
              <w:rPr>
                <w:rFonts w:cs="Arial"/>
                <w:color w:val="FF0000"/>
                <w:sz w:val="21"/>
                <w:szCs w:val="21"/>
              </w:rPr>
            </w:pPr>
          </w:p>
        </w:tc>
        <w:tc>
          <w:tcPr>
            <w:tcW w:w="217" w:type="dxa"/>
          </w:tcPr>
          <w:p w14:paraId="4C6930CA" w14:textId="77777777" w:rsidR="002C0FD9" w:rsidRPr="00CA25CF" w:rsidRDefault="002C0FD9" w:rsidP="00CA25CF">
            <w:pPr>
              <w:rPr>
                <w:rFonts w:cs="Arial"/>
                <w:color w:val="FF0000"/>
                <w:sz w:val="21"/>
                <w:szCs w:val="21"/>
              </w:rPr>
            </w:pPr>
          </w:p>
        </w:tc>
        <w:tc>
          <w:tcPr>
            <w:tcW w:w="217" w:type="dxa"/>
          </w:tcPr>
          <w:p w14:paraId="7A818AB9" w14:textId="77777777" w:rsidR="002C0FD9" w:rsidRPr="00CA25CF" w:rsidRDefault="002C0FD9" w:rsidP="00CA25CF">
            <w:pPr>
              <w:rPr>
                <w:rFonts w:cs="Arial"/>
                <w:color w:val="FF0000"/>
                <w:sz w:val="21"/>
                <w:szCs w:val="21"/>
              </w:rPr>
            </w:pPr>
          </w:p>
        </w:tc>
        <w:tc>
          <w:tcPr>
            <w:tcW w:w="217" w:type="dxa"/>
          </w:tcPr>
          <w:p w14:paraId="56B3D723" w14:textId="77777777" w:rsidR="002C0FD9" w:rsidRPr="00CA25CF" w:rsidRDefault="002C0FD9" w:rsidP="00CA25CF">
            <w:pPr>
              <w:rPr>
                <w:rFonts w:cs="Arial"/>
                <w:color w:val="FF0000"/>
                <w:sz w:val="21"/>
                <w:szCs w:val="21"/>
              </w:rPr>
            </w:pPr>
          </w:p>
        </w:tc>
        <w:tc>
          <w:tcPr>
            <w:tcW w:w="217" w:type="dxa"/>
          </w:tcPr>
          <w:p w14:paraId="4C514430" w14:textId="77777777" w:rsidR="002C0FD9" w:rsidRPr="00CA25CF" w:rsidRDefault="002C0FD9" w:rsidP="00CA25CF">
            <w:pPr>
              <w:rPr>
                <w:rFonts w:cs="Arial"/>
                <w:color w:val="FF0000"/>
                <w:sz w:val="21"/>
                <w:szCs w:val="21"/>
              </w:rPr>
            </w:pPr>
          </w:p>
        </w:tc>
        <w:tc>
          <w:tcPr>
            <w:tcW w:w="217" w:type="dxa"/>
          </w:tcPr>
          <w:p w14:paraId="64B1C38C" w14:textId="77777777" w:rsidR="002C0FD9" w:rsidRPr="00CA25CF" w:rsidRDefault="002C0FD9" w:rsidP="00CA25CF">
            <w:pPr>
              <w:rPr>
                <w:rFonts w:cs="Arial"/>
                <w:color w:val="FF0000"/>
                <w:sz w:val="21"/>
                <w:szCs w:val="21"/>
              </w:rPr>
            </w:pPr>
          </w:p>
        </w:tc>
        <w:tc>
          <w:tcPr>
            <w:tcW w:w="217" w:type="dxa"/>
          </w:tcPr>
          <w:p w14:paraId="12A7B119" w14:textId="77777777" w:rsidR="002C0FD9" w:rsidRPr="00CA25CF" w:rsidRDefault="002C0FD9" w:rsidP="00CA25CF">
            <w:pPr>
              <w:rPr>
                <w:rFonts w:cs="Arial"/>
                <w:color w:val="FF0000"/>
                <w:sz w:val="21"/>
                <w:szCs w:val="21"/>
              </w:rPr>
            </w:pPr>
          </w:p>
        </w:tc>
        <w:tc>
          <w:tcPr>
            <w:tcW w:w="217" w:type="dxa"/>
          </w:tcPr>
          <w:p w14:paraId="4641BA63" w14:textId="77777777" w:rsidR="002C0FD9" w:rsidRPr="00CA25CF" w:rsidRDefault="002C0FD9" w:rsidP="00CA25CF">
            <w:pPr>
              <w:rPr>
                <w:rFonts w:cs="Arial"/>
                <w:color w:val="FF0000"/>
                <w:sz w:val="21"/>
                <w:szCs w:val="21"/>
              </w:rPr>
            </w:pPr>
          </w:p>
        </w:tc>
        <w:tc>
          <w:tcPr>
            <w:tcW w:w="217" w:type="dxa"/>
          </w:tcPr>
          <w:p w14:paraId="62984B8B" w14:textId="77777777" w:rsidR="002C0FD9" w:rsidRPr="00CA25CF" w:rsidRDefault="002C0FD9" w:rsidP="00CA25CF">
            <w:pPr>
              <w:rPr>
                <w:rFonts w:cs="Arial"/>
                <w:color w:val="FF0000"/>
                <w:sz w:val="21"/>
                <w:szCs w:val="21"/>
              </w:rPr>
            </w:pPr>
          </w:p>
        </w:tc>
        <w:tc>
          <w:tcPr>
            <w:tcW w:w="217" w:type="dxa"/>
          </w:tcPr>
          <w:p w14:paraId="0796FCB3" w14:textId="77777777" w:rsidR="002C0FD9" w:rsidRPr="00CA25CF" w:rsidRDefault="002C0FD9" w:rsidP="00CA25CF">
            <w:pPr>
              <w:rPr>
                <w:rFonts w:cs="Arial"/>
                <w:color w:val="FF0000"/>
                <w:sz w:val="21"/>
                <w:szCs w:val="21"/>
              </w:rPr>
            </w:pPr>
          </w:p>
        </w:tc>
        <w:tc>
          <w:tcPr>
            <w:tcW w:w="217" w:type="dxa"/>
          </w:tcPr>
          <w:p w14:paraId="46691367" w14:textId="77777777" w:rsidR="002C0FD9" w:rsidRPr="00CA25CF" w:rsidRDefault="002C0FD9" w:rsidP="00CA25CF">
            <w:pPr>
              <w:rPr>
                <w:rFonts w:cs="Arial"/>
                <w:color w:val="FF0000"/>
                <w:sz w:val="21"/>
                <w:szCs w:val="21"/>
              </w:rPr>
            </w:pPr>
          </w:p>
        </w:tc>
        <w:tc>
          <w:tcPr>
            <w:tcW w:w="217" w:type="dxa"/>
          </w:tcPr>
          <w:p w14:paraId="481A2EFC" w14:textId="77777777" w:rsidR="002C0FD9" w:rsidRPr="00CA25CF" w:rsidRDefault="002C0FD9" w:rsidP="00CA25CF">
            <w:pPr>
              <w:rPr>
                <w:rFonts w:cs="Arial"/>
                <w:color w:val="FF0000"/>
                <w:sz w:val="21"/>
                <w:szCs w:val="21"/>
              </w:rPr>
            </w:pPr>
          </w:p>
        </w:tc>
        <w:tc>
          <w:tcPr>
            <w:tcW w:w="217" w:type="dxa"/>
          </w:tcPr>
          <w:p w14:paraId="2F8947D9" w14:textId="77777777" w:rsidR="002C0FD9" w:rsidRPr="00CA25CF" w:rsidRDefault="002C0FD9" w:rsidP="00CA25CF">
            <w:pPr>
              <w:rPr>
                <w:rFonts w:cs="Arial"/>
                <w:color w:val="FF0000"/>
                <w:sz w:val="21"/>
                <w:szCs w:val="21"/>
              </w:rPr>
            </w:pPr>
          </w:p>
        </w:tc>
        <w:tc>
          <w:tcPr>
            <w:tcW w:w="217" w:type="dxa"/>
          </w:tcPr>
          <w:p w14:paraId="4096228E" w14:textId="77777777" w:rsidR="002C0FD9" w:rsidRPr="00CA25CF" w:rsidRDefault="002C0FD9" w:rsidP="00CA25CF">
            <w:pPr>
              <w:rPr>
                <w:rFonts w:cs="Arial"/>
                <w:color w:val="FF0000"/>
                <w:sz w:val="21"/>
                <w:szCs w:val="21"/>
              </w:rPr>
            </w:pPr>
          </w:p>
        </w:tc>
        <w:tc>
          <w:tcPr>
            <w:tcW w:w="217" w:type="dxa"/>
          </w:tcPr>
          <w:p w14:paraId="5AB86971" w14:textId="77777777" w:rsidR="002C0FD9" w:rsidRPr="00CA25CF" w:rsidRDefault="002C0FD9" w:rsidP="00CA25CF">
            <w:pPr>
              <w:rPr>
                <w:rFonts w:cs="Arial"/>
                <w:color w:val="FF0000"/>
                <w:sz w:val="21"/>
                <w:szCs w:val="21"/>
              </w:rPr>
            </w:pPr>
          </w:p>
        </w:tc>
        <w:tc>
          <w:tcPr>
            <w:tcW w:w="217" w:type="dxa"/>
          </w:tcPr>
          <w:p w14:paraId="6FB1F54E" w14:textId="77777777" w:rsidR="002C0FD9" w:rsidRPr="00CA25CF" w:rsidRDefault="002C0FD9" w:rsidP="00CA25CF">
            <w:pPr>
              <w:rPr>
                <w:rFonts w:cs="Arial"/>
                <w:color w:val="FF0000"/>
                <w:sz w:val="21"/>
                <w:szCs w:val="21"/>
              </w:rPr>
            </w:pPr>
          </w:p>
        </w:tc>
        <w:tc>
          <w:tcPr>
            <w:tcW w:w="217" w:type="dxa"/>
          </w:tcPr>
          <w:p w14:paraId="191CA8B3" w14:textId="77777777" w:rsidR="002C0FD9" w:rsidRPr="00CA25CF" w:rsidRDefault="002C0FD9" w:rsidP="00CA25CF">
            <w:pPr>
              <w:rPr>
                <w:rFonts w:cs="Arial"/>
                <w:color w:val="FF0000"/>
                <w:sz w:val="21"/>
                <w:szCs w:val="21"/>
              </w:rPr>
            </w:pPr>
          </w:p>
        </w:tc>
        <w:tc>
          <w:tcPr>
            <w:tcW w:w="217" w:type="dxa"/>
          </w:tcPr>
          <w:p w14:paraId="7B809C23" w14:textId="77777777" w:rsidR="002C0FD9" w:rsidRPr="00CA25CF" w:rsidRDefault="002C0FD9" w:rsidP="00CA25CF">
            <w:pPr>
              <w:rPr>
                <w:rFonts w:cs="Arial"/>
                <w:color w:val="FF0000"/>
                <w:sz w:val="21"/>
                <w:szCs w:val="21"/>
              </w:rPr>
            </w:pPr>
          </w:p>
        </w:tc>
        <w:tc>
          <w:tcPr>
            <w:tcW w:w="217" w:type="dxa"/>
          </w:tcPr>
          <w:p w14:paraId="0FF2E500" w14:textId="77777777" w:rsidR="002C0FD9" w:rsidRPr="00CA25CF" w:rsidRDefault="002C0FD9" w:rsidP="00CA25CF">
            <w:pPr>
              <w:rPr>
                <w:rFonts w:cs="Arial"/>
                <w:color w:val="FF0000"/>
                <w:sz w:val="21"/>
                <w:szCs w:val="21"/>
              </w:rPr>
            </w:pPr>
          </w:p>
        </w:tc>
        <w:tc>
          <w:tcPr>
            <w:tcW w:w="217" w:type="dxa"/>
          </w:tcPr>
          <w:p w14:paraId="7447F542" w14:textId="77777777" w:rsidR="002C0FD9" w:rsidRPr="00CA25CF" w:rsidRDefault="002C0FD9" w:rsidP="00CA25CF">
            <w:pPr>
              <w:rPr>
                <w:rFonts w:cs="Arial"/>
                <w:color w:val="FF0000"/>
                <w:sz w:val="21"/>
                <w:szCs w:val="21"/>
              </w:rPr>
            </w:pPr>
          </w:p>
        </w:tc>
        <w:tc>
          <w:tcPr>
            <w:tcW w:w="217" w:type="dxa"/>
          </w:tcPr>
          <w:p w14:paraId="0798D107" w14:textId="77777777" w:rsidR="002C0FD9" w:rsidRPr="00CA25CF" w:rsidRDefault="002C0FD9" w:rsidP="00CA25CF">
            <w:pPr>
              <w:rPr>
                <w:rFonts w:cs="Arial"/>
                <w:color w:val="FF0000"/>
                <w:sz w:val="21"/>
                <w:szCs w:val="21"/>
              </w:rPr>
            </w:pPr>
          </w:p>
        </w:tc>
        <w:tc>
          <w:tcPr>
            <w:tcW w:w="217" w:type="dxa"/>
          </w:tcPr>
          <w:p w14:paraId="0C97AA2D" w14:textId="77777777" w:rsidR="002C0FD9" w:rsidRPr="00CA25CF" w:rsidRDefault="002C0FD9" w:rsidP="00CA25CF">
            <w:pPr>
              <w:rPr>
                <w:rFonts w:cs="Arial"/>
                <w:color w:val="FF0000"/>
                <w:sz w:val="21"/>
                <w:szCs w:val="21"/>
              </w:rPr>
            </w:pPr>
          </w:p>
        </w:tc>
        <w:tc>
          <w:tcPr>
            <w:tcW w:w="217" w:type="dxa"/>
          </w:tcPr>
          <w:p w14:paraId="31682F67" w14:textId="77777777" w:rsidR="002C0FD9" w:rsidRPr="00CA25CF" w:rsidRDefault="002C0FD9" w:rsidP="00CA25CF">
            <w:pPr>
              <w:rPr>
                <w:rFonts w:cs="Arial"/>
                <w:color w:val="FF0000"/>
                <w:sz w:val="21"/>
                <w:szCs w:val="21"/>
              </w:rPr>
            </w:pPr>
          </w:p>
        </w:tc>
      </w:tr>
      <w:tr w:rsidR="002C0FD9" w:rsidRPr="00A16219" w14:paraId="3E60A7AE" w14:textId="77777777" w:rsidTr="002C0FD9">
        <w:trPr>
          <w:trHeight w:val="635"/>
        </w:trPr>
        <w:tc>
          <w:tcPr>
            <w:tcW w:w="515" w:type="dxa"/>
          </w:tcPr>
          <w:p w14:paraId="6E1A9CFD" w14:textId="77777777" w:rsidR="002C0FD9" w:rsidRPr="00CA25CF" w:rsidRDefault="002C0FD9" w:rsidP="00CA25CF">
            <w:pPr>
              <w:rPr>
                <w:rFonts w:cs="Arial"/>
                <w:color w:val="FF0000"/>
                <w:sz w:val="21"/>
                <w:szCs w:val="21"/>
              </w:rPr>
            </w:pPr>
          </w:p>
        </w:tc>
        <w:tc>
          <w:tcPr>
            <w:tcW w:w="217" w:type="dxa"/>
          </w:tcPr>
          <w:p w14:paraId="0E059AC3" w14:textId="77777777" w:rsidR="002C0FD9" w:rsidRPr="00CA25CF" w:rsidRDefault="002C0FD9" w:rsidP="00CA25CF">
            <w:pPr>
              <w:rPr>
                <w:rFonts w:cs="Arial"/>
                <w:color w:val="FF0000"/>
                <w:sz w:val="21"/>
                <w:szCs w:val="21"/>
              </w:rPr>
            </w:pPr>
          </w:p>
        </w:tc>
        <w:tc>
          <w:tcPr>
            <w:tcW w:w="217" w:type="dxa"/>
          </w:tcPr>
          <w:p w14:paraId="080EE044" w14:textId="77777777" w:rsidR="002C0FD9" w:rsidRPr="00CA25CF" w:rsidRDefault="002C0FD9" w:rsidP="00CA25CF">
            <w:pPr>
              <w:rPr>
                <w:rFonts w:cs="Arial"/>
                <w:color w:val="FF0000"/>
                <w:sz w:val="21"/>
                <w:szCs w:val="21"/>
              </w:rPr>
            </w:pPr>
          </w:p>
        </w:tc>
        <w:tc>
          <w:tcPr>
            <w:tcW w:w="217" w:type="dxa"/>
          </w:tcPr>
          <w:p w14:paraId="3DBE57BC" w14:textId="77777777" w:rsidR="002C0FD9" w:rsidRPr="00CA25CF" w:rsidRDefault="002C0FD9" w:rsidP="00CA25CF">
            <w:pPr>
              <w:rPr>
                <w:rFonts w:cs="Arial"/>
                <w:color w:val="FF0000"/>
                <w:sz w:val="21"/>
                <w:szCs w:val="21"/>
              </w:rPr>
            </w:pPr>
          </w:p>
        </w:tc>
        <w:tc>
          <w:tcPr>
            <w:tcW w:w="217" w:type="dxa"/>
          </w:tcPr>
          <w:p w14:paraId="4A38A8A1" w14:textId="77777777" w:rsidR="002C0FD9" w:rsidRPr="00CA25CF" w:rsidRDefault="002C0FD9" w:rsidP="00CA25CF">
            <w:pPr>
              <w:rPr>
                <w:rFonts w:cs="Arial"/>
                <w:color w:val="FF0000"/>
                <w:sz w:val="21"/>
                <w:szCs w:val="21"/>
              </w:rPr>
            </w:pPr>
          </w:p>
        </w:tc>
        <w:tc>
          <w:tcPr>
            <w:tcW w:w="217" w:type="dxa"/>
          </w:tcPr>
          <w:p w14:paraId="7AAA0073" w14:textId="77777777" w:rsidR="002C0FD9" w:rsidRPr="00CA25CF" w:rsidRDefault="002C0FD9" w:rsidP="00CA25CF">
            <w:pPr>
              <w:rPr>
                <w:rFonts w:cs="Arial"/>
                <w:color w:val="FF0000"/>
                <w:sz w:val="21"/>
                <w:szCs w:val="21"/>
              </w:rPr>
            </w:pPr>
          </w:p>
        </w:tc>
        <w:tc>
          <w:tcPr>
            <w:tcW w:w="217" w:type="dxa"/>
          </w:tcPr>
          <w:p w14:paraId="66E0456B" w14:textId="77777777" w:rsidR="002C0FD9" w:rsidRPr="00CA25CF" w:rsidRDefault="002C0FD9" w:rsidP="00CA25CF">
            <w:pPr>
              <w:rPr>
                <w:rFonts w:cs="Arial"/>
                <w:color w:val="FF0000"/>
                <w:sz w:val="21"/>
                <w:szCs w:val="21"/>
              </w:rPr>
            </w:pPr>
          </w:p>
        </w:tc>
        <w:tc>
          <w:tcPr>
            <w:tcW w:w="217" w:type="dxa"/>
          </w:tcPr>
          <w:p w14:paraId="44D40DA3" w14:textId="77777777" w:rsidR="002C0FD9" w:rsidRPr="00CA25CF" w:rsidRDefault="002C0FD9" w:rsidP="00CA25CF">
            <w:pPr>
              <w:rPr>
                <w:rFonts w:cs="Arial"/>
                <w:color w:val="FF0000"/>
                <w:sz w:val="21"/>
                <w:szCs w:val="21"/>
              </w:rPr>
            </w:pPr>
          </w:p>
        </w:tc>
        <w:tc>
          <w:tcPr>
            <w:tcW w:w="217" w:type="dxa"/>
          </w:tcPr>
          <w:p w14:paraId="161BF20C" w14:textId="77777777" w:rsidR="002C0FD9" w:rsidRPr="00CA25CF" w:rsidRDefault="002C0FD9" w:rsidP="00CA25CF">
            <w:pPr>
              <w:rPr>
                <w:rFonts w:cs="Arial"/>
                <w:color w:val="FF0000"/>
                <w:sz w:val="21"/>
                <w:szCs w:val="21"/>
              </w:rPr>
            </w:pPr>
          </w:p>
        </w:tc>
        <w:tc>
          <w:tcPr>
            <w:tcW w:w="217" w:type="dxa"/>
          </w:tcPr>
          <w:p w14:paraId="492162F1" w14:textId="77777777" w:rsidR="002C0FD9" w:rsidRPr="00CA25CF" w:rsidRDefault="002C0FD9" w:rsidP="00CA25CF">
            <w:pPr>
              <w:rPr>
                <w:rFonts w:cs="Arial"/>
                <w:color w:val="FF0000"/>
                <w:sz w:val="21"/>
                <w:szCs w:val="21"/>
              </w:rPr>
            </w:pPr>
          </w:p>
        </w:tc>
        <w:tc>
          <w:tcPr>
            <w:tcW w:w="217" w:type="dxa"/>
          </w:tcPr>
          <w:p w14:paraId="20DD9450" w14:textId="77777777" w:rsidR="002C0FD9" w:rsidRPr="00CA25CF" w:rsidRDefault="002C0FD9" w:rsidP="00CA25CF">
            <w:pPr>
              <w:rPr>
                <w:rFonts w:cs="Arial"/>
                <w:color w:val="FF0000"/>
                <w:sz w:val="21"/>
                <w:szCs w:val="21"/>
              </w:rPr>
            </w:pPr>
          </w:p>
        </w:tc>
        <w:tc>
          <w:tcPr>
            <w:tcW w:w="217" w:type="dxa"/>
          </w:tcPr>
          <w:p w14:paraId="6F8F95F4" w14:textId="77777777" w:rsidR="002C0FD9" w:rsidRPr="00CA25CF" w:rsidRDefault="002C0FD9" w:rsidP="00CA25CF">
            <w:pPr>
              <w:rPr>
                <w:rFonts w:cs="Arial"/>
                <w:color w:val="FF0000"/>
                <w:sz w:val="21"/>
                <w:szCs w:val="21"/>
              </w:rPr>
            </w:pPr>
          </w:p>
        </w:tc>
        <w:tc>
          <w:tcPr>
            <w:tcW w:w="217" w:type="dxa"/>
          </w:tcPr>
          <w:p w14:paraId="7278AA1F" w14:textId="77777777" w:rsidR="002C0FD9" w:rsidRPr="00CA25CF" w:rsidRDefault="002C0FD9" w:rsidP="00CA25CF">
            <w:pPr>
              <w:rPr>
                <w:rFonts w:cs="Arial"/>
                <w:color w:val="FF0000"/>
                <w:sz w:val="21"/>
                <w:szCs w:val="21"/>
              </w:rPr>
            </w:pPr>
          </w:p>
        </w:tc>
        <w:tc>
          <w:tcPr>
            <w:tcW w:w="217" w:type="dxa"/>
          </w:tcPr>
          <w:p w14:paraId="1A236A77" w14:textId="77777777" w:rsidR="002C0FD9" w:rsidRPr="00CA25CF" w:rsidRDefault="002C0FD9" w:rsidP="00CA25CF">
            <w:pPr>
              <w:rPr>
                <w:rFonts w:cs="Arial"/>
                <w:color w:val="FF0000"/>
                <w:sz w:val="21"/>
                <w:szCs w:val="21"/>
              </w:rPr>
            </w:pPr>
          </w:p>
        </w:tc>
        <w:tc>
          <w:tcPr>
            <w:tcW w:w="217" w:type="dxa"/>
          </w:tcPr>
          <w:p w14:paraId="5BB80CCE" w14:textId="77777777" w:rsidR="002C0FD9" w:rsidRPr="00CA25CF" w:rsidRDefault="002C0FD9" w:rsidP="00CA25CF">
            <w:pPr>
              <w:rPr>
                <w:rFonts w:cs="Arial"/>
                <w:color w:val="FF0000"/>
                <w:sz w:val="21"/>
                <w:szCs w:val="21"/>
              </w:rPr>
            </w:pPr>
          </w:p>
        </w:tc>
        <w:tc>
          <w:tcPr>
            <w:tcW w:w="217" w:type="dxa"/>
          </w:tcPr>
          <w:p w14:paraId="3ED00FCE" w14:textId="77777777" w:rsidR="002C0FD9" w:rsidRPr="00CA25CF" w:rsidRDefault="002C0FD9" w:rsidP="00CA25CF">
            <w:pPr>
              <w:rPr>
                <w:rFonts w:cs="Arial"/>
                <w:color w:val="FF0000"/>
                <w:sz w:val="21"/>
                <w:szCs w:val="21"/>
              </w:rPr>
            </w:pPr>
          </w:p>
        </w:tc>
        <w:tc>
          <w:tcPr>
            <w:tcW w:w="217" w:type="dxa"/>
          </w:tcPr>
          <w:p w14:paraId="4EFB2AED" w14:textId="77777777" w:rsidR="002C0FD9" w:rsidRPr="00CA25CF" w:rsidRDefault="002C0FD9" w:rsidP="00CA25CF">
            <w:pPr>
              <w:rPr>
                <w:rFonts w:cs="Arial"/>
                <w:color w:val="FF0000"/>
                <w:sz w:val="21"/>
                <w:szCs w:val="21"/>
              </w:rPr>
            </w:pPr>
          </w:p>
        </w:tc>
        <w:tc>
          <w:tcPr>
            <w:tcW w:w="217" w:type="dxa"/>
          </w:tcPr>
          <w:p w14:paraId="14AA9ED1" w14:textId="77777777" w:rsidR="002C0FD9" w:rsidRPr="00CA25CF" w:rsidRDefault="002C0FD9" w:rsidP="00CA25CF">
            <w:pPr>
              <w:rPr>
                <w:rFonts w:cs="Arial"/>
                <w:color w:val="FF0000"/>
                <w:sz w:val="21"/>
                <w:szCs w:val="21"/>
              </w:rPr>
            </w:pPr>
          </w:p>
        </w:tc>
        <w:tc>
          <w:tcPr>
            <w:tcW w:w="217" w:type="dxa"/>
          </w:tcPr>
          <w:p w14:paraId="709B6DCC" w14:textId="77777777" w:rsidR="002C0FD9" w:rsidRPr="00CA25CF" w:rsidRDefault="002C0FD9" w:rsidP="00CA25CF">
            <w:pPr>
              <w:rPr>
                <w:rFonts w:cs="Arial"/>
                <w:color w:val="FF0000"/>
                <w:sz w:val="21"/>
                <w:szCs w:val="21"/>
              </w:rPr>
            </w:pPr>
          </w:p>
        </w:tc>
        <w:tc>
          <w:tcPr>
            <w:tcW w:w="217" w:type="dxa"/>
          </w:tcPr>
          <w:p w14:paraId="15D01BF4" w14:textId="77777777" w:rsidR="002C0FD9" w:rsidRPr="00CA25CF" w:rsidRDefault="002C0FD9" w:rsidP="00CA25CF">
            <w:pPr>
              <w:rPr>
                <w:rFonts w:cs="Arial"/>
                <w:color w:val="FF0000"/>
                <w:sz w:val="21"/>
                <w:szCs w:val="21"/>
              </w:rPr>
            </w:pPr>
          </w:p>
        </w:tc>
        <w:tc>
          <w:tcPr>
            <w:tcW w:w="217" w:type="dxa"/>
          </w:tcPr>
          <w:p w14:paraId="6BCD283E" w14:textId="77777777" w:rsidR="002C0FD9" w:rsidRPr="00CA25CF" w:rsidRDefault="002C0FD9" w:rsidP="00CA25CF">
            <w:pPr>
              <w:rPr>
                <w:rFonts w:cs="Arial"/>
                <w:color w:val="FF0000"/>
                <w:sz w:val="21"/>
                <w:szCs w:val="21"/>
              </w:rPr>
            </w:pPr>
          </w:p>
        </w:tc>
        <w:tc>
          <w:tcPr>
            <w:tcW w:w="217" w:type="dxa"/>
          </w:tcPr>
          <w:p w14:paraId="388DD31A" w14:textId="77777777" w:rsidR="002C0FD9" w:rsidRPr="00CA25CF" w:rsidRDefault="002C0FD9" w:rsidP="00CA25CF">
            <w:pPr>
              <w:rPr>
                <w:rFonts w:cs="Arial"/>
                <w:color w:val="FF0000"/>
                <w:sz w:val="21"/>
                <w:szCs w:val="21"/>
              </w:rPr>
            </w:pPr>
          </w:p>
        </w:tc>
        <w:tc>
          <w:tcPr>
            <w:tcW w:w="217" w:type="dxa"/>
          </w:tcPr>
          <w:p w14:paraId="33E85A99" w14:textId="77777777" w:rsidR="002C0FD9" w:rsidRPr="00CA25CF" w:rsidRDefault="002C0FD9" w:rsidP="00CA25CF">
            <w:pPr>
              <w:rPr>
                <w:rFonts w:cs="Arial"/>
                <w:color w:val="FF0000"/>
                <w:sz w:val="21"/>
                <w:szCs w:val="21"/>
              </w:rPr>
            </w:pPr>
          </w:p>
        </w:tc>
        <w:tc>
          <w:tcPr>
            <w:tcW w:w="217" w:type="dxa"/>
          </w:tcPr>
          <w:p w14:paraId="73E8645D" w14:textId="77777777" w:rsidR="002C0FD9" w:rsidRPr="00CA25CF" w:rsidRDefault="002C0FD9" w:rsidP="00CA25CF">
            <w:pPr>
              <w:rPr>
                <w:rFonts w:cs="Arial"/>
                <w:color w:val="FF0000"/>
                <w:sz w:val="21"/>
                <w:szCs w:val="21"/>
              </w:rPr>
            </w:pPr>
          </w:p>
        </w:tc>
        <w:tc>
          <w:tcPr>
            <w:tcW w:w="217" w:type="dxa"/>
          </w:tcPr>
          <w:p w14:paraId="355F3A3F" w14:textId="77777777" w:rsidR="002C0FD9" w:rsidRPr="00CA25CF" w:rsidRDefault="002C0FD9" w:rsidP="00CA25CF">
            <w:pPr>
              <w:rPr>
                <w:rFonts w:cs="Arial"/>
                <w:color w:val="FF0000"/>
                <w:sz w:val="21"/>
                <w:szCs w:val="21"/>
              </w:rPr>
            </w:pPr>
          </w:p>
        </w:tc>
        <w:tc>
          <w:tcPr>
            <w:tcW w:w="217" w:type="dxa"/>
          </w:tcPr>
          <w:p w14:paraId="214A6379" w14:textId="77777777" w:rsidR="002C0FD9" w:rsidRPr="00CA25CF" w:rsidRDefault="002C0FD9" w:rsidP="00CA25CF">
            <w:pPr>
              <w:rPr>
                <w:rFonts w:cs="Arial"/>
                <w:color w:val="FF0000"/>
                <w:sz w:val="21"/>
                <w:szCs w:val="21"/>
              </w:rPr>
            </w:pPr>
          </w:p>
        </w:tc>
        <w:tc>
          <w:tcPr>
            <w:tcW w:w="217" w:type="dxa"/>
          </w:tcPr>
          <w:p w14:paraId="3DD6D19A" w14:textId="77777777" w:rsidR="002C0FD9" w:rsidRPr="00CA25CF" w:rsidRDefault="002C0FD9" w:rsidP="00CA25CF">
            <w:pPr>
              <w:rPr>
                <w:rFonts w:cs="Arial"/>
                <w:color w:val="FF0000"/>
                <w:sz w:val="21"/>
                <w:szCs w:val="21"/>
              </w:rPr>
            </w:pPr>
          </w:p>
        </w:tc>
        <w:tc>
          <w:tcPr>
            <w:tcW w:w="217" w:type="dxa"/>
          </w:tcPr>
          <w:p w14:paraId="7533E712" w14:textId="77777777" w:rsidR="002C0FD9" w:rsidRPr="00CA25CF" w:rsidRDefault="002C0FD9" w:rsidP="00CA25CF">
            <w:pPr>
              <w:rPr>
                <w:rFonts w:cs="Arial"/>
                <w:color w:val="FF0000"/>
                <w:sz w:val="21"/>
                <w:szCs w:val="21"/>
              </w:rPr>
            </w:pPr>
          </w:p>
        </w:tc>
        <w:tc>
          <w:tcPr>
            <w:tcW w:w="217" w:type="dxa"/>
          </w:tcPr>
          <w:p w14:paraId="63348D7B" w14:textId="77777777" w:rsidR="002C0FD9" w:rsidRPr="00CA25CF" w:rsidRDefault="002C0FD9" w:rsidP="00CA25CF">
            <w:pPr>
              <w:rPr>
                <w:rFonts w:cs="Arial"/>
                <w:color w:val="FF0000"/>
                <w:sz w:val="21"/>
                <w:szCs w:val="21"/>
              </w:rPr>
            </w:pPr>
          </w:p>
        </w:tc>
        <w:tc>
          <w:tcPr>
            <w:tcW w:w="217" w:type="dxa"/>
          </w:tcPr>
          <w:p w14:paraId="72248FC2" w14:textId="77777777" w:rsidR="002C0FD9" w:rsidRPr="00CA25CF" w:rsidRDefault="002C0FD9" w:rsidP="00CA25CF">
            <w:pPr>
              <w:rPr>
                <w:rFonts w:cs="Arial"/>
                <w:color w:val="FF0000"/>
                <w:sz w:val="21"/>
                <w:szCs w:val="21"/>
              </w:rPr>
            </w:pPr>
          </w:p>
        </w:tc>
        <w:tc>
          <w:tcPr>
            <w:tcW w:w="217" w:type="dxa"/>
          </w:tcPr>
          <w:p w14:paraId="7FABEAC7" w14:textId="77777777" w:rsidR="002C0FD9" w:rsidRPr="00CA25CF" w:rsidRDefault="002C0FD9" w:rsidP="00CA25CF">
            <w:pPr>
              <w:rPr>
                <w:rFonts w:cs="Arial"/>
                <w:color w:val="FF0000"/>
                <w:sz w:val="21"/>
                <w:szCs w:val="21"/>
              </w:rPr>
            </w:pPr>
          </w:p>
        </w:tc>
        <w:tc>
          <w:tcPr>
            <w:tcW w:w="217" w:type="dxa"/>
          </w:tcPr>
          <w:p w14:paraId="015AC451" w14:textId="77777777" w:rsidR="002C0FD9" w:rsidRPr="00CA25CF" w:rsidRDefault="002C0FD9" w:rsidP="00CA25CF">
            <w:pPr>
              <w:rPr>
                <w:rFonts w:cs="Arial"/>
                <w:color w:val="FF0000"/>
                <w:sz w:val="21"/>
                <w:szCs w:val="21"/>
              </w:rPr>
            </w:pPr>
          </w:p>
        </w:tc>
        <w:tc>
          <w:tcPr>
            <w:tcW w:w="217" w:type="dxa"/>
          </w:tcPr>
          <w:p w14:paraId="1229F9D2" w14:textId="77777777" w:rsidR="002C0FD9" w:rsidRPr="00CA25CF" w:rsidRDefault="002C0FD9" w:rsidP="00CA25CF">
            <w:pPr>
              <w:rPr>
                <w:rFonts w:cs="Arial"/>
                <w:color w:val="FF0000"/>
                <w:sz w:val="21"/>
                <w:szCs w:val="21"/>
              </w:rPr>
            </w:pPr>
          </w:p>
        </w:tc>
        <w:tc>
          <w:tcPr>
            <w:tcW w:w="217" w:type="dxa"/>
          </w:tcPr>
          <w:p w14:paraId="6F61AF13" w14:textId="77777777" w:rsidR="002C0FD9" w:rsidRPr="00CA25CF" w:rsidRDefault="002C0FD9" w:rsidP="00CA25CF">
            <w:pPr>
              <w:rPr>
                <w:rFonts w:cs="Arial"/>
                <w:color w:val="FF0000"/>
                <w:sz w:val="21"/>
                <w:szCs w:val="21"/>
              </w:rPr>
            </w:pPr>
          </w:p>
        </w:tc>
        <w:tc>
          <w:tcPr>
            <w:tcW w:w="217" w:type="dxa"/>
          </w:tcPr>
          <w:p w14:paraId="118663AE" w14:textId="77777777" w:rsidR="002C0FD9" w:rsidRPr="00CA25CF" w:rsidRDefault="002C0FD9" w:rsidP="00CA25CF">
            <w:pPr>
              <w:rPr>
                <w:rFonts w:cs="Arial"/>
                <w:color w:val="FF0000"/>
                <w:sz w:val="21"/>
                <w:szCs w:val="21"/>
              </w:rPr>
            </w:pPr>
          </w:p>
        </w:tc>
        <w:tc>
          <w:tcPr>
            <w:tcW w:w="217" w:type="dxa"/>
          </w:tcPr>
          <w:p w14:paraId="6BAAB7FD" w14:textId="77777777" w:rsidR="002C0FD9" w:rsidRPr="00CA25CF" w:rsidRDefault="002C0FD9" w:rsidP="00CA25CF">
            <w:pPr>
              <w:rPr>
                <w:rFonts w:cs="Arial"/>
                <w:color w:val="FF0000"/>
                <w:sz w:val="21"/>
                <w:szCs w:val="21"/>
              </w:rPr>
            </w:pPr>
          </w:p>
        </w:tc>
        <w:tc>
          <w:tcPr>
            <w:tcW w:w="217" w:type="dxa"/>
          </w:tcPr>
          <w:p w14:paraId="0F616471" w14:textId="77777777" w:rsidR="002C0FD9" w:rsidRPr="00CA25CF" w:rsidRDefault="002C0FD9" w:rsidP="00CA25CF">
            <w:pPr>
              <w:rPr>
                <w:rFonts w:cs="Arial"/>
                <w:color w:val="FF0000"/>
                <w:sz w:val="21"/>
                <w:szCs w:val="21"/>
              </w:rPr>
            </w:pPr>
          </w:p>
        </w:tc>
        <w:tc>
          <w:tcPr>
            <w:tcW w:w="217" w:type="dxa"/>
          </w:tcPr>
          <w:p w14:paraId="2656FC5F" w14:textId="77777777" w:rsidR="002C0FD9" w:rsidRPr="00CA25CF" w:rsidRDefault="002C0FD9" w:rsidP="00CA25CF">
            <w:pPr>
              <w:rPr>
                <w:rFonts w:cs="Arial"/>
                <w:color w:val="FF0000"/>
                <w:sz w:val="21"/>
                <w:szCs w:val="21"/>
              </w:rPr>
            </w:pPr>
          </w:p>
        </w:tc>
        <w:tc>
          <w:tcPr>
            <w:tcW w:w="217" w:type="dxa"/>
          </w:tcPr>
          <w:p w14:paraId="721CA0A0" w14:textId="77777777" w:rsidR="002C0FD9" w:rsidRPr="00CA25CF" w:rsidRDefault="002C0FD9" w:rsidP="00CA25CF">
            <w:pPr>
              <w:rPr>
                <w:rFonts w:cs="Arial"/>
                <w:color w:val="FF0000"/>
                <w:sz w:val="21"/>
                <w:szCs w:val="21"/>
              </w:rPr>
            </w:pPr>
          </w:p>
        </w:tc>
        <w:tc>
          <w:tcPr>
            <w:tcW w:w="217" w:type="dxa"/>
          </w:tcPr>
          <w:p w14:paraId="4F4B0B57" w14:textId="77777777" w:rsidR="002C0FD9" w:rsidRPr="00CA25CF" w:rsidRDefault="002C0FD9" w:rsidP="00CA25CF">
            <w:pPr>
              <w:rPr>
                <w:rFonts w:cs="Arial"/>
                <w:color w:val="FF0000"/>
                <w:sz w:val="21"/>
                <w:szCs w:val="21"/>
              </w:rPr>
            </w:pPr>
          </w:p>
        </w:tc>
        <w:tc>
          <w:tcPr>
            <w:tcW w:w="217" w:type="dxa"/>
          </w:tcPr>
          <w:p w14:paraId="0CFEF422" w14:textId="77777777" w:rsidR="002C0FD9" w:rsidRPr="00CA25CF" w:rsidRDefault="002C0FD9" w:rsidP="00CA25CF">
            <w:pPr>
              <w:rPr>
                <w:rFonts w:cs="Arial"/>
                <w:color w:val="FF0000"/>
                <w:sz w:val="21"/>
                <w:szCs w:val="21"/>
              </w:rPr>
            </w:pPr>
          </w:p>
        </w:tc>
        <w:tc>
          <w:tcPr>
            <w:tcW w:w="217" w:type="dxa"/>
          </w:tcPr>
          <w:p w14:paraId="2BE86291" w14:textId="77777777" w:rsidR="002C0FD9" w:rsidRPr="00CA25CF" w:rsidRDefault="002C0FD9" w:rsidP="00CA25CF">
            <w:pPr>
              <w:rPr>
                <w:rFonts w:cs="Arial"/>
                <w:color w:val="FF0000"/>
                <w:sz w:val="21"/>
                <w:szCs w:val="21"/>
              </w:rPr>
            </w:pPr>
          </w:p>
        </w:tc>
        <w:tc>
          <w:tcPr>
            <w:tcW w:w="217" w:type="dxa"/>
          </w:tcPr>
          <w:p w14:paraId="0D1A2095" w14:textId="77777777" w:rsidR="002C0FD9" w:rsidRPr="00CA25CF" w:rsidRDefault="002C0FD9" w:rsidP="00CA25CF">
            <w:pPr>
              <w:rPr>
                <w:rFonts w:cs="Arial"/>
                <w:color w:val="FF0000"/>
                <w:sz w:val="21"/>
                <w:szCs w:val="21"/>
              </w:rPr>
            </w:pPr>
          </w:p>
        </w:tc>
      </w:tr>
      <w:tr w:rsidR="002C0FD9" w:rsidRPr="00A16219" w14:paraId="185B2165" w14:textId="77777777" w:rsidTr="002C0FD9">
        <w:trPr>
          <w:trHeight w:val="635"/>
        </w:trPr>
        <w:tc>
          <w:tcPr>
            <w:tcW w:w="515" w:type="dxa"/>
          </w:tcPr>
          <w:p w14:paraId="1D0D96DB" w14:textId="77777777" w:rsidR="002C0FD9" w:rsidRPr="00CA25CF" w:rsidRDefault="002C0FD9" w:rsidP="00CA25CF">
            <w:pPr>
              <w:rPr>
                <w:rFonts w:cs="Arial"/>
                <w:color w:val="FF0000"/>
                <w:sz w:val="21"/>
                <w:szCs w:val="21"/>
              </w:rPr>
            </w:pPr>
          </w:p>
        </w:tc>
        <w:tc>
          <w:tcPr>
            <w:tcW w:w="217" w:type="dxa"/>
          </w:tcPr>
          <w:p w14:paraId="2D60FE77" w14:textId="77777777" w:rsidR="002C0FD9" w:rsidRPr="00CA25CF" w:rsidRDefault="002C0FD9" w:rsidP="00CA25CF">
            <w:pPr>
              <w:rPr>
                <w:rFonts w:cs="Arial"/>
                <w:color w:val="FF0000"/>
                <w:sz w:val="21"/>
                <w:szCs w:val="21"/>
              </w:rPr>
            </w:pPr>
          </w:p>
        </w:tc>
        <w:tc>
          <w:tcPr>
            <w:tcW w:w="217" w:type="dxa"/>
          </w:tcPr>
          <w:p w14:paraId="7D0EE9D4" w14:textId="77777777" w:rsidR="002C0FD9" w:rsidRPr="00CA25CF" w:rsidRDefault="002C0FD9" w:rsidP="00CA25CF">
            <w:pPr>
              <w:rPr>
                <w:rFonts w:cs="Arial"/>
                <w:color w:val="FF0000"/>
                <w:sz w:val="21"/>
                <w:szCs w:val="21"/>
              </w:rPr>
            </w:pPr>
          </w:p>
        </w:tc>
        <w:tc>
          <w:tcPr>
            <w:tcW w:w="217" w:type="dxa"/>
          </w:tcPr>
          <w:p w14:paraId="402D589C" w14:textId="77777777" w:rsidR="002C0FD9" w:rsidRPr="00CA25CF" w:rsidRDefault="002C0FD9" w:rsidP="00CA25CF">
            <w:pPr>
              <w:rPr>
                <w:rFonts w:cs="Arial"/>
                <w:color w:val="FF0000"/>
                <w:sz w:val="21"/>
                <w:szCs w:val="21"/>
              </w:rPr>
            </w:pPr>
          </w:p>
        </w:tc>
        <w:tc>
          <w:tcPr>
            <w:tcW w:w="217" w:type="dxa"/>
          </w:tcPr>
          <w:p w14:paraId="26AD3669" w14:textId="77777777" w:rsidR="002C0FD9" w:rsidRPr="00CA25CF" w:rsidRDefault="002C0FD9" w:rsidP="00CA25CF">
            <w:pPr>
              <w:rPr>
                <w:rFonts w:cs="Arial"/>
                <w:color w:val="FF0000"/>
                <w:sz w:val="21"/>
                <w:szCs w:val="21"/>
              </w:rPr>
            </w:pPr>
          </w:p>
        </w:tc>
        <w:tc>
          <w:tcPr>
            <w:tcW w:w="217" w:type="dxa"/>
          </w:tcPr>
          <w:p w14:paraId="5E0D1689" w14:textId="77777777" w:rsidR="002C0FD9" w:rsidRPr="00CA25CF" w:rsidRDefault="002C0FD9" w:rsidP="00CA25CF">
            <w:pPr>
              <w:rPr>
                <w:rFonts w:cs="Arial"/>
                <w:color w:val="FF0000"/>
                <w:sz w:val="21"/>
                <w:szCs w:val="21"/>
              </w:rPr>
            </w:pPr>
          </w:p>
        </w:tc>
        <w:tc>
          <w:tcPr>
            <w:tcW w:w="217" w:type="dxa"/>
          </w:tcPr>
          <w:p w14:paraId="37266F0B" w14:textId="77777777" w:rsidR="002C0FD9" w:rsidRPr="00CA25CF" w:rsidRDefault="002C0FD9" w:rsidP="00CA25CF">
            <w:pPr>
              <w:rPr>
                <w:rFonts w:cs="Arial"/>
                <w:color w:val="FF0000"/>
                <w:sz w:val="21"/>
                <w:szCs w:val="21"/>
              </w:rPr>
            </w:pPr>
          </w:p>
        </w:tc>
        <w:tc>
          <w:tcPr>
            <w:tcW w:w="217" w:type="dxa"/>
          </w:tcPr>
          <w:p w14:paraId="587EDAB4" w14:textId="77777777" w:rsidR="002C0FD9" w:rsidRPr="00CA25CF" w:rsidRDefault="002C0FD9" w:rsidP="00CA25CF">
            <w:pPr>
              <w:rPr>
                <w:rFonts w:cs="Arial"/>
                <w:color w:val="FF0000"/>
                <w:sz w:val="21"/>
                <w:szCs w:val="21"/>
              </w:rPr>
            </w:pPr>
          </w:p>
        </w:tc>
        <w:tc>
          <w:tcPr>
            <w:tcW w:w="217" w:type="dxa"/>
          </w:tcPr>
          <w:p w14:paraId="1598FFD6" w14:textId="77777777" w:rsidR="002C0FD9" w:rsidRPr="00CA25CF" w:rsidRDefault="002C0FD9" w:rsidP="00CA25CF">
            <w:pPr>
              <w:rPr>
                <w:rFonts w:cs="Arial"/>
                <w:color w:val="FF0000"/>
                <w:sz w:val="21"/>
                <w:szCs w:val="21"/>
              </w:rPr>
            </w:pPr>
          </w:p>
        </w:tc>
        <w:tc>
          <w:tcPr>
            <w:tcW w:w="217" w:type="dxa"/>
          </w:tcPr>
          <w:p w14:paraId="299B836B" w14:textId="77777777" w:rsidR="002C0FD9" w:rsidRPr="00CA25CF" w:rsidRDefault="002C0FD9" w:rsidP="00CA25CF">
            <w:pPr>
              <w:rPr>
                <w:rFonts w:cs="Arial"/>
                <w:color w:val="FF0000"/>
                <w:sz w:val="21"/>
                <w:szCs w:val="21"/>
              </w:rPr>
            </w:pPr>
          </w:p>
        </w:tc>
        <w:tc>
          <w:tcPr>
            <w:tcW w:w="217" w:type="dxa"/>
          </w:tcPr>
          <w:p w14:paraId="4E0D6F12" w14:textId="77777777" w:rsidR="002C0FD9" w:rsidRPr="00CA25CF" w:rsidRDefault="002C0FD9" w:rsidP="00CA25CF">
            <w:pPr>
              <w:rPr>
                <w:rFonts w:cs="Arial"/>
                <w:color w:val="FF0000"/>
                <w:sz w:val="21"/>
                <w:szCs w:val="21"/>
              </w:rPr>
            </w:pPr>
          </w:p>
        </w:tc>
        <w:tc>
          <w:tcPr>
            <w:tcW w:w="217" w:type="dxa"/>
          </w:tcPr>
          <w:p w14:paraId="746ADF27" w14:textId="77777777" w:rsidR="002C0FD9" w:rsidRPr="00CA25CF" w:rsidRDefault="002C0FD9" w:rsidP="00CA25CF">
            <w:pPr>
              <w:rPr>
                <w:rFonts w:cs="Arial"/>
                <w:color w:val="FF0000"/>
                <w:sz w:val="21"/>
                <w:szCs w:val="21"/>
              </w:rPr>
            </w:pPr>
          </w:p>
        </w:tc>
        <w:tc>
          <w:tcPr>
            <w:tcW w:w="217" w:type="dxa"/>
          </w:tcPr>
          <w:p w14:paraId="42FFBE4C" w14:textId="77777777" w:rsidR="002C0FD9" w:rsidRPr="00CA25CF" w:rsidRDefault="002C0FD9" w:rsidP="00CA25CF">
            <w:pPr>
              <w:rPr>
                <w:rFonts w:cs="Arial"/>
                <w:color w:val="FF0000"/>
                <w:sz w:val="21"/>
                <w:szCs w:val="21"/>
              </w:rPr>
            </w:pPr>
          </w:p>
        </w:tc>
        <w:tc>
          <w:tcPr>
            <w:tcW w:w="217" w:type="dxa"/>
          </w:tcPr>
          <w:p w14:paraId="68344F6F" w14:textId="77777777" w:rsidR="002C0FD9" w:rsidRPr="00CA25CF" w:rsidRDefault="002C0FD9" w:rsidP="00CA25CF">
            <w:pPr>
              <w:rPr>
                <w:rFonts w:cs="Arial"/>
                <w:color w:val="FF0000"/>
                <w:sz w:val="21"/>
                <w:szCs w:val="21"/>
              </w:rPr>
            </w:pPr>
          </w:p>
        </w:tc>
        <w:tc>
          <w:tcPr>
            <w:tcW w:w="217" w:type="dxa"/>
          </w:tcPr>
          <w:p w14:paraId="39D84FC2" w14:textId="77777777" w:rsidR="002C0FD9" w:rsidRPr="00CA25CF" w:rsidRDefault="002C0FD9" w:rsidP="00CA25CF">
            <w:pPr>
              <w:rPr>
                <w:rFonts w:cs="Arial"/>
                <w:color w:val="FF0000"/>
                <w:sz w:val="21"/>
                <w:szCs w:val="21"/>
              </w:rPr>
            </w:pPr>
          </w:p>
        </w:tc>
        <w:tc>
          <w:tcPr>
            <w:tcW w:w="217" w:type="dxa"/>
          </w:tcPr>
          <w:p w14:paraId="3A7897AC" w14:textId="77777777" w:rsidR="002C0FD9" w:rsidRPr="00CA25CF" w:rsidRDefault="002C0FD9" w:rsidP="00CA25CF">
            <w:pPr>
              <w:rPr>
                <w:rFonts w:cs="Arial"/>
                <w:color w:val="FF0000"/>
                <w:sz w:val="21"/>
                <w:szCs w:val="21"/>
              </w:rPr>
            </w:pPr>
          </w:p>
        </w:tc>
        <w:tc>
          <w:tcPr>
            <w:tcW w:w="217" w:type="dxa"/>
          </w:tcPr>
          <w:p w14:paraId="3F5F854A" w14:textId="77777777" w:rsidR="002C0FD9" w:rsidRPr="00CA25CF" w:rsidRDefault="002C0FD9" w:rsidP="00CA25CF">
            <w:pPr>
              <w:rPr>
                <w:rFonts w:cs="Arial"/>
                <w:color w:val="FF0000"/>
                <w:sz w:val="21"/>
                <w:szCs w:val="21"/>
              </w:rPr>
            </w:pPr>
          </w:p>
        </w:tc>
        <w:tc>
          <w:tcPr>
            <w:tcW w:w="217" w:type="dxa"/>
          </w:tcPr>
          <w:p w14:paraId="4E893FA0" w14:textId="77777777" w:rsidR="002C0FD9" w:rsidRPr="00CA25CF" w:rsidRDefault="002C0FD9" w:rsidP="00CA25CF">
            <w:pPr>
              <w:rPr>
                <w:rFonts w:cs="Arial"/>
                <w:color w:val="FF0000"/>
                <w:sz w:val="21"/>
                <w:szCs w:val="21"/>
              </w:rPr>
            </w:pPr>
          </w:p>
        </w:tc>
        <w:tc>
          <w:tcPr>
            <w:tcW w:w="217" w:type="dxa"/>
          </w:tcPr>
          <w:p w14:paraId="025AAB81" w14:textId="77777777" w:rsidR="002C0FD9" w:rsidRPr="00CA25CF" w:rsidRDefault="002C0FD9" w:rsidP="00CA25CF">
            <w:pPr>
              <w:rPr>
                <w:rFonts w:cs="Arial"/>
                <w:color w:val="FF0000"/>
                <w:sz w:val="21"/>
                <w:szCs w:val="21"/>
              </w:rPr>
            </w:pPr>
          </w:p>
        </w:tc>
        <w:tc>
          <w:tcPr>
            <w:tcW w:w="217" w:type="dxa"/>
          </w:tcPr>
          <w:p w14:paraId="6B722730" w14:textId="77777777" w:rsidR="002C0FD9" w:rsidRPr="00CA25CF" w:rsidRDefault="002C0FD9" w:rsidP="00CA25CF">
            <w:pPr>
              <w:rPr>
                <w:rFonts w:cs="Arial"/>
                <w:color w:val="FF0000"/>
                <w:sz w:val="21"/>
                <w:szCs w:val="21"/>
              </w:rPr>
            </w:pPr>
          </w:p>
        </w:tc>
        <w:tc>
          <w:tcPr>
            <w:tcW w:w="217" w:type="dxa"/>
          </w:tcPr>
          <w:p w14:paraId="1556468B" w14:textId="77777777" w:rsidR="002C0FD9" w:rsidRPr="00CA25CF" w:rsidRDefault="002C0FD9" w:rsidP="00CA25CF">
            <w:pPr>
              <w:rPr>
                <w:rFonts w:cs="Arial"/>
                <w:color w:val="FF0000"/>
                <w:sz w:val="21"/>
                <w:szCs w:val="21"/>
              </w:rPr>
            </w:pPr>
          </w:p>
        </w:tc>
        <w:tc>
          <w:tcPr>
            <w:tcW w:w="217" w:type="dxa"/>
          </w:tcPr>
          <w:p w14:paraId="29DCEE55" w14:textId="77777777" w:rsidR="002C0FD9" w:rsidRPr="00CA25CF" w:rsidRDefault="002C0FD9" w:rsidP="00CA25CF">
            <w:pPr>
              <w:rPr>
                <w:rFonts w:cs="Arial"/>
                <w:color w:val="FF0000"/>
                <w:sz w:val="21"/>
                <w:szCs w:val="21"/>
              </w:rPr>
            </w:pPr>
          </w:p>
        </w:tc>
        <w:tc>
          <w:tcPr>
            <w:tcW w:w="217" w:type="dxa"/>
          </w:tcPr>
          <w:p w14:paraId="1BAFF053" w14:textId="77777777" w:rsidR="002C0FD9" w:rsidRPr="00CA25CF" w:rsidRDefault="002C0FD9" w:rsidP="00CA25CF">
            <w:pPr>
              <w:rPr>
                <w:rFonts w:cs="Arial"/>
                <w:color w:val="FF0000"/>
                <w:sz w:val="21"/>
                <w:szCs w:val="21"/>
              </w:rPr>
            </w:pPr>
          </w:p>
        </w:tc>
        <w:tc>
          <w:tcPr>
            <w:tcW w:w="217" w:type="dxa"/>
          </w:tcPr>
          <w:p w14:paraId="47A35188" w14:textId="77777777" w:rsidR="002C0FD9" w:rsidRPr="00CA25CF" w:rsidRDefault="002C0FD9" w:rsidP="00CA25CF">
            <w:pPr>
              <w:rPr>
                <w:rFonts w:cs="Arial"/>
                <w:color w:val="FF0000"/>
                <w:sz w:val="21"/>
                <w:szCs w:val="21"/>
              </w:rPr>
            </w:pPr>
          </w:p>
        </w:tc>
        <w:tc>
          <w:tcPr>
            <w:tcW w:w="217" w:type="dxa"/>
          </w:tcPr>
          <w:p w14:paraId="5F7B9CC8" w14:textId="77777777" w:rsidR="002C0FD9" w:rsidRPr="00CA25CF" w:rsidRDefault="002C0FD9" w:rsidP="00CA25CF">
            <w:pPr>
              <w:rPr>
                <w:rFonts w:cs="Arial"/>
                <w:color w:val="FF0000"/>
                <w:sz w:val="21"/>
                <w:szCs w:val="21"/>
              </w:rPr>
            </w:pPr>
          </w:p>
        </w:tc>
        <w:tc>
          <w:tcPr>
            <w:tcW w:w="217" w:type="dxa"/>
          </w:tcPr>
          <w:p w14:paraId="243A7E59" w14:textId="77777777" w:rsidR="002C0FD9" w:rsidRPr="00CA25CF" w:rsidRDefault="002C0FD9" w:rsidP="00CA25CF">
            <w:pPr>
              <w:rPr>
                <w:rFonts w:cs="Arial"/>
                <w:color w:val="FF0000"/>
                <w:sz w:val="21"/>
                <w:szCs w:val="21"/>
              </w:rPr>
            </w:pPr>
          </w:p>
        </w:tc>
        <w:tc>
          <w:tcPr>
            <w:tcW w:w="217" w:type="dxa"/>
          </w:tcPr>
          <w:p w14:paraId="730DE010" w14:textId="77777777" w:rsidR="002C0FD9" w:rsidRPr="00CA25CF" w:rsidRDefault="002C0FD9" w:rsidP="00CA25CF">
            <w:pPr>
              <w:rPr>
                <w:rFonts w:cs="Arial"/>
                <w:color w:val="FF0000"/>
                <w:sz w:val="21"/>
                <w:szCs w:val="21"/>
              </w:rPr>
            </w:pPr>
          </w:p>
        </w:tc>
        <w:tc>
          <w:tcPr>
            <w:tcW w:w="217" w:type="dxa"/>
          </w:tcPr>
          <w:p w14:paraId="7659CDCE" w14:textId="77777777" w:rsidR="002C0FD9" w:rsidRPr="00CA25CF" w:rsidRDefault="002C0FD9" w:rsidP="00CA25CF">
            <w:pPr>
              <w:rPr>
                <w:rFonts w:cs="Arial"/>
                <w:color w:val="FF0000"/>
                <w:sz w:val="21"/>
                <w:szCs w:val="21"/>
              </w:rPr>
            </w:pPr>
          </w:p>
        </w:tc>
        <w:tc>
          <w:tcPr>
            <w:tcW w:w="217" w:type="dxa"/>
          </w:tcPr>
          <w:p w14:paraId="6E394BBF" w14:textId="77777777" w:rsidR="002C0FD9" w:rsidRPr="00CA25CF" w:rsidRDefault="002C0FD9" w:rsidP="00CA25CF">
            <w:pPr>
              <w:rPr>
                <w:rFonts w:cs="Arial"/>
                <w:color w:val="FF0000"/>
                <w:sz w:val="21"/>
                <w:szCs w:val="21"/>
              </w:rPr>
            </w:pPr>
          </w:p>
        </w:tc>
        <w:tc>
          <w:tcPr>
            <w:tcW w:w="217" w:type="dxa"/>
          </w:tcPr>
          <w:p w14:paraId="271BDE97" w14:textId="77777777" w:rsidR="002C0FD9" w:rsidRPr="00CA25CF" w:rsidRDefault="002C0FD9" w:rsidP="00CA25CF">
            <w:pPr>
              <w:rPr>
                <w:rFonts w:cs="Arial"/>
                <w:color w:val="FF0000"/>
                <w:sz w:val="21"/>
                <w:szCs w:val="21"/>
              </w:rPr>
            </w:pPr>
          </w:p>
        </w:tc>
        <w:tc>
          <w:tcPr>
            <w:tcW w:w="217" w:type="dxa"/>
          </w:tcPr>
          <w:p w14:paraId="73371899" w14:textId="77777777" w:rsidR="002C0FD9" w:rsidRPr="00CA25CF" w:rsidRDefault="002C0FD9" w:rsidP="00CA25CF">
            <w:pPr>
              <w:rPr>
                <w:rFonts w:cs="Arial"/>
                <w:color w:val="FF0000"/>
                <w:sz w:val="21"/>
                <w:szCs w:val="21"/>
              </w:rPr>
            </w:pPr>
          </w:p>
        </w:tc>
        <w:tc>
          <w:tcPr>
            <w:tcW w:w="217" w:type="dxa"/>
          </w:tcPr>
          <w:p w14:paraId="23B7AC4E" w14:textId="77777777" w:rsidR="002C0FD9" w:rsidRPr="00CA25CF" w:rsidRDefault="002C0FD9" w:rsidP="00CA25CF">
            <w:pPr>
              <w:rPr>
                <w:rFonts w:cs="Arial"/>
                <w:color w:val="FF0000"/>
                <w:sz w:val="21"/>
                <w:szCs w:val="21"/>
              </w:rPr>
            </w:pPr>
          </w:p>
        </w:tc>
        <w:tc>
          <w:tcPr>
            <w:tcW w:w="217" w:type="dxa"/>
          </w:tcPr>
          <w:p w14:paraId="5859F670" w14:textId="77777777" w:rsidR="002C0FD9" w:rsidRPr="00CA25CF" w:rsidRDefault="002C0FD9" w:rsidP="00CA25CF">
            <w:pPr>
              <w:rPr>
                <w:rFonts w:cs="Arial"/>
                <w:color w:val="FF0000"/>
                <w:sz w:val="21"/>
                <w:szCs w:val="21"/>
              </w:rPr>
            </w:pPr>
          </w:p>
        </w:tc>
        <w:tc>
          <w:tcPr>
            <w:tcW w:w="217" w:type="dxa"/>
          </w:tcPr>
          <w:p w14:paraId="0E50192E" w14:textId="77777777" w:rsidR="002C0FD9" w:rsidRPr="00CA25CF" w:rsidRDefault="002C0FD9" w:rsidP="00CA25CF">
            <w:pPr>
              <w:rPr>
                <w:rFonts w:cs="Arial"/>
                <w:color w:val="FF0000"/>
                <w:sz w:val="21"/>
                <w:szCs w:val="21"/>
              </w:rPr>
            </w:pPr>
          </w:p>
        </w:tc>
        <w:tc>
          <w:tcPr>
            <w:tcW w:w="217" w:type="dxa"/>
          </w:tcPr>
          <w:p w14:paraId="31E2C22B" w14:textId="77777777" w:rsidR="002C0FD9" w:rsidRPr="00CA25CF" w:rsidRDefault="002C0FD9" w:rsidP="00CA25CF">
            <w:pPr>
              <w:rPr>
                <w:rFonts w:cs="Arial"/>
                <w:color w:val="FF0000"/>
                <w:sz w:val="21"/>
                <w:szCs w:val="21"/>
              </w:rPr>
            </w:pPr>
          </w:p>
        </w:tc>
        <w:tc>
          <w:tcPr>
            <w:tcW w:w="217" w:type="dxa"/>
          </w:tcPr>
          <w:p w14:paraId="633FB7E5" w14:textId="77777777" w:rsidR="002C0FD9" w:rsidRPr="00CA25CF" w:rsidRDefault="002C0FD9" w:rsidP="00CA25CF">
            <w:pPr>
              <w:rPr>
                <w:rFonts w:cs="Arial"/>
                <w:color w:val="FF0000"/>
                <w:sz w:val="21"/>
                <w:szCs w:val="21"/>
              </w:rPr>
            </w:pPr>
          </w:p>
        </w:tc>
        <w:tc>
          <w:tcPr>
            <w:tcW w:w="217" w:type="dxa"/>
          </w:tcPr>
          <w:p w14:paraId="1E7EC8F3" w14:textId="77777777" w:rsidR="002C0FD9" w:rsidRPr="00CA25CF" w:rsidRDefault="002C0FD9" w:rsidP="00CA25CF">
            <w:pPr>
              <w:rPr>
                <w:rFonts w:cs="Arial"/>
                <w:color w:val="FF0000"/>
                <w:sz w:val="21"/>
                <w:szCs w:val="21"/>
              </w:rPr>
            </w:pPr>
          </w:p>
        </w:tc>
        <w:tc>
          <w:tcPr>
            <w:tcW w:w="217" w:type="dxa"/>
          </w:tcPr>
          <w:p w14:paraId="00EFD651" w14:textId="77777777" w:rsidR="002C0FD9" w:rsidRPr="00CA25CF" w:rsidRDefault="002C0FD9" w:rsidP="00CA25CF">
            <w:pPr>
              <w:rPr>
                <w:rFonts w:cs="Arial"/>
                <w:color w:val="FF0000"/>
                <w:sz w:val="21"/>
                <w:szCs w:val="21"/>
              </w:rPr>
            </w:pPr>
          </w:p>
        </w:tc>
        <w:tc>
          <w:tcPr>
            <w:tcW w:w="217" w:type="dxa"/>
          </w:tcPr>
          <w:p w14:paraId="0BFD9235" w14:textId="77777777" w:rsidR="002C0FD9" w:rsidRPr="00CA25CF" w:rsidRDefault="002C0FD9" w:rsidP="00CA25CF">
            <w:pPr>
              <w:rPr>
                <w:rFonts w:cs="Arial"/>
                <w:color w:val="FF0000"/>
                <w:sz w:val="21"/>
                <w:szCs w:val="21"/>
              </w:rPr>
            </w:pPr>
          </w:p>
        </w:tc>
        <w:tc>
          <w:tcPr>
            <w:tcW w:w="217" w:type="dxa"/>
          </w:tcPr>
          <w:p w14:paraId="19DEB840" w14:textId="77777777" w:rsidR="002C0FD9" w:rsidRPr="00CA25CF" w:rsidRDefault="002C0FD9" w:rsidP="00CA25CF">
            <w:pPr>
              <w:rPr>
                <w:rFonts w:cs="Arial"/>
                <w:color w:val="FF0000"/>
                <w:sz w:val="21"/>
                <w:szCs w:val="21"/>
              </w:rPr>
            </w:pPr>
          </w:p>
        </w:tc>
        <w:tc>
          <w:tcPr>
            <w:tcW w:w="217" w:type="dxa"/>
          </w:tcPr>
          <w:p w14:paraId="104F28B0" w14:textId="77777777" w:rsidR="002C0FD9" w:rsidRPr="00CA25CF" w:rsidRDefault="002C0FD9" w:rsidP="00CA25CF">
            <w:pPr>
              <w:rPr>
                <w:rFonts w:cs="Arial"/>
                <w:color w:val="FF0000"/>
                <w:sz w:val="21"/>
                <w:szCs w:val="21"/>
              </w:rPr>
            </w:pPr>
          </w:p>
        </w:tc>
        <w:tc>
          <w:tcPr>
            <w:tcW w:w="217" w:type="dxa"/>
          </w:tcPr>
          <w:p w14:paraId="47D890F6" w14:textId="77777777" w:rsidR="002C0FD9" w:rsidRPr="00CA25CF" w:rsidRDefault="002C0FD9" w:rsidP="00CA25CF">
            <w:pPr>
              <w:rPr>
                <w:rFonts w:cs="Arial"/>
                <w:color w:val="FF0000"/>
                <w:sz w:val="21"/>
                <w:szCs w:val="21"/>
              </w:rPr>
            </w:pPr>
          </w:p>
        </w:tc>
        <w:tc>
          <w:tcPr>
            <w:tcW w:w="217" w:type="dxa"/>
          </w:tcPr>
          <w:p w14:paraId="5A3E0538" w14:textId="77777777" w:rsidR="002C0FD9" w:rsidRPr="00CA25CF" w:rsidRDefault="002C0FD9" w:rsidP="00CA25CF">
            <w:pPr>
              <w:rPr>
                <w:rFonts w:cs="Arial"/>
                <w:color w:val="FF0000"/>
                <w:sz w:val="21"/>
                <w:szCs w:val="21"/>
              </w:rPr>
            </w:pPr>
          </w:p>
        </w:tc>
      </w:tr>
      <w:tr w:rsidR="002C0FD9" w:rsidRPr="00A16219" w14:paraId="45DD93D4" w14:textId="77777777" w:rsidTr="002C0FD9">
        <w:trPr>
          <w:trHeight w:val="635"/>
        </w:trPr>
        <w:tc>
          <w:tcPr>
            <w:tcW w:w="515" w:type="dxa"/>
          </w:tcPr>
          <w:p w14:paraId="7B1CD051" w14:textId="77777777" w:rsidR="002C0FD9" w:rsidRPr="00CA25CF" w:rsidRDefault="002C0FD9" w:rsidP="00CA25CF">
            <w:pPr>
              <w:rPr>
                <w:rFonts w:cs="Arial"/>
                <w:color w:val="FF0000"/>
                <w:sz w:val="21"/>
                <w:szCs w:val="21"/>
              </w:rPr>
            </w:pPr>
          </w:p>
        </w:tc>
        <w:tc>
          <w:tcPr>
            <w:tcW w:w="217" w:type="dxa"/>
          </w:tcPr>
          <w:p w14:paraId="1B70AF36" w14:textId="77777777" w:rsidR="002C0FD9" w:rsidRPr="00CA25CF" w:rsidRDefault="002C0FD9" w:rsidP="00CA25CF">
            <w:pPr>
              <w:rPr>
                <w:rFonts w:cs="Arial"/>
                <w:color w:val="FF0000"/>
                <w:sz w:val="21"/>
                <w:szCs w:val="21"/>
              </w:rPr>
            </w:pPr>
          </w:p>
        </w:tc>
        <w:tc>
          <w:tcPr>
            <w:tcW w:w="217" w:type="dxa"/>
          </w:tcPr>
          <w:p w14:paraId="4CFE60CA" w14:textId="77777777" w:rsidR="002C0FD9" w:rsidRPr="00CA25CF" w:rsidRDefault="002C0FD9" w:rsidP="00CA25CF">
            <w:pPr>
              <w:rPr>
                <w:rFonts w:cs="Arial"/>
                <w:color w:val="FF0000"/>
                <w:sz w:val="21"/>
                <w:szCs w:val="21"/>
              </w:rPr>
            </w:pPr>
          </w:p>
        </w:tc>
        <w:tc>
          <w:tcPr>
            <w:tcW w:w="217" w:type="dxa"/>
          </w:tcPr>
          <w:p w14:paraId="55D40BBC" w14:textId="77777777" w:rsidR="002C0FD9" w:rsidRPr="00CA25CF" w:rsidRDefault="002C0FD9" w:rsidP="00CA25CF">
            <w:pPr>
              <w:rPr>
                <w:rFonts w:cs="Arial"/>
                <w:color w:val="FF0000"/>
                <w:sz w:val="21"/>
                <w:szCs w:val="21"/>
              </w:rPr>
            </w:pPr>
          </w:p>
        </w:tc>
        <w:tc>
          <w:tcPr>
            <w:tcW w:w="217" w:type="dxa"/>
          </w:tcPr>
          <w:p w14:paraId="42D309C8" w14:textId="77777777" w:rsidR="002C0FD9" w:rsidRPr="00CA25CF" w:rsidRDefault="002C0FD9" w:rsidP="00CA25CF">
            <w:pPr>
              <w:rPr>
                <w:rFonts w:cs="Arial"/>
                <w:color w:val="FF0000"/>
                <w:sz w:val="21"/>
                <w:szCs w:val="21"/>
              </w:rPr>
            </w:pPr>
          </w:p>
        </w:tc>
        <w:tc>
          <w:tcPr>
            <w:tcW w:w="217" w:type="dxa"/>
          </w:tcPr>
          <w:p w14:paraId="352B195F" w14:textId="77777777" w:rsidR="002C0FD9" w:rsidRPr="00CA25CF" w:rsidRDefault="002C0FD9" w:rsidP="00CA25CF">
            <w:pPr>
              <w:rPr>
                <w:rFonts w:cs="Arial"/>
                <w:color w:val="FF0000"/>
                <w:sz w:val="21"/>
                <w:szCs w:val="21"/>
              </w:rPr>
            </w:pPr>
          </w:p>
        </w:tc>
        <w:tc>
          <w:tcPr>
            <w:tcW w:w="217" w:type="dxa"/>
          </w:tcPr>
          <w:p w14:paraId="51791193" w14:textId="77777777" w:rsidR="002C0FD9" w:rsidRPr="00CA25CF" w:rsidRDefault="002C0FD9" w:rsidP="00CA25CF">
            <w:pPr>
              <w:rPr>
                <w:rFonts w:cs="Arial"/>
                <w:color w:val="FF0000"/>
                <w:sz w:val="21"/>
                <w:szCs w:val="21"/>
              </w:rPr>
            </w:pPr>
          </w:p>
        </w:tc>
        <w:tc>
          <w:tcPr>
            <w:tcW w:w="217" w:type="dxa"/>
          </w:tcPr>
          <w:p w14:paraId="2CA419DB" w14:textId="77777777" w:rsidR="002C0FD9" w:rsidRPr="00CA25CF" w:rsidRDefault="002C0FD9" w:rsidP="00CA25CF">
            <w:pPr>
              <w:rPr>
                <w:rFonts w:cs="Arial"/>
                <w:color w:val="FF0000"/>
                <w:sz w:val="21"/>
                <w:szCs w:val="21"/>
              </w:rPr>
            </w:pPr>
          </w:p>
        </w:tc>
        <w:tc>
          <w:tcPr>
            <w:tcW w:w="217" w:type="dxa"/>
          </w:tcPr>
          <w:p w14:paraId="2E80BE27" w14:textId="77777777" w:rsidR="002C0FD9" w:rsidRPr="00CA25CF" w:rsidRDefault="002C0FD9" w:rsidP="00CA25CF">
            <w:pPr>
              <w:rPr>
                <w:rFonts w:cs="Arial"/>
                <w:color w:val="FF0000"/>
                <w:sz w:val="21"/>
                <w:szCs w:val="21"/>
              </w:rPr>
            </w:pPr>
          </w:p>
        </w:tc>
        <w:tc>
          <w:tcPr>
            <w:tcW w:w="217" w:type="dxa"/>
          </w:tcPr>
          <w:p w14:paraId="1C0B9E9C" w14:textId="77777777" w:rsidR="002C0FD9" w:rsidRPr="00CA25CF" w:rsidRDefault="002C0FD9" w:rsidP="00CA25CF">
            <w:pPr>
              <w:rPr>
                <w:rFonts w:cs="Arial"/>
                <w:color w:val="FF0000"/>
                <w:sz w:val="21"/>
                <w:szCs w:val="21"/>
              </w:rPr>
            </w:pPr>
          </w:p>
        </w:tc>
        <w:tc>
          <w:tcPr>
            <w:tcW w:w="217" w:type="dxa"/>
          </w:tcPr>
          <w:p w14:paraId="04D0823E" w14:textId="77777777" w:rsidR="002C0FD9" w:rsidRPr="00CA25CF" w:rsidRDefault="002C0FD9" w:rsidP="00CA25CF">
            <w:pPr>
              <w:rPr>
                <w:rFonts w:cs="Arial"/>
                <w:color w:val="FF0000"/>
                <w:sz w:val="21"/>
                <w:szCs w:val="21"/>
              </w:rPr>
            </w:pPr>
          </w:p>
        </w:tc>
        <w:tc>
          <w:tcPr>
            <w:tcW w:w="217" w:type="dxa"/>
          </w:tcPr>
          <w:p w14:paraId="4E214782" w14:textId="77777777" w:rsidR="002C0FD9" w:rsidRPr="00CA25CF" w:rsidRDefault="002C0FD9" w:rsidP="00CA25CF">
            <w:pPr>
              <w:rPr>
                <w:rFonts w:cs="Arial"/>
                <w:color w:val="FF0000"/>
                <w:sz w:val="21"/>
                <w:szCs w:val="21"/>
              </w:rPr>
            </w:pPr>
          </w:p>
        </w:tc>
        <w:tc>
          <w:tcPr>
            <w:tcW w:w="217" w:type="dxa"/>
          </w:tcPr>
          <w:p w14:paraId="6DC12EE6" w14:textId="77777777" w:rsidR="002C0FD9" w:rsidRPr="00CA25CF" w:rsidRDefault="002C0FD9" w:rsidP="00CA25CF">
            <w:pPr>
              <w:rPr>
                <w:rFonts w:cs="Arial"/>
                <w:color w:val="FF0000"/>
                <w:sz w:val="21"/>
                <w:szCs w:val="21"/>
              </w:rPr>
            </w:pPr>
          </w:p>
        </w:tc>
        <w:tc>
          <w:tcPr>
            <w:tcW w:w="217" w:type="dxa"/>
          </w:tcPr>
          <w:p w14:paraId="2731243E" w14:textId="77777777" w:rsidR="002C0FD9" w:rsidRPr="00CA25CF" w:rsidRDefault="002C0FD9" w:rsidP="00CA25CF">
            <w:pPr>
              <w:rPr>
                <w:rFonts w:cs="Arial"/>
                <w:color w:val="FF0000"/>
                <w:sz w:val="21"/>
                <w:szCs w:val="21"/>
              </w:rPr>
            </w:pPr>
          </w:p>
        </w:tc>
        <w:tc>
          <w:tcPr>
            <w:tcW w:w="217" w:type="dxa"/>
          </w:tcPr>
          <w:p w14:paraId="23482D93" w14:textId="77777777" w:rsidR="002C0FD9" w:rsidRPr="00CA25CF" w:rsidRDefault="002C0FD9" w:rsidP="00CA25CF">
            <w:pPr>
              <w:rPr>
                <w:rFonts w:cs="Arial"/>
                <w:color w:val="FF0000"/>
                <w:sz w:val="21"/>
                <w:szCs w:val="21"/>
              </w:rPr>
            </w:pPr>
          </w:p>
        </w:tc>
        <w:tc>
          <w:tcPr>
            <w:tcW w:w="217" w:type="dxa"/>
          </w:tcPr>
          <w:p w14:paraId="23092C15" w14:textId="77777777" w:rsidR="002C0FD9" w:rsidRPr="00CA25CF" w:rsidRDefault="002C0FD9" w:rsidP="00CA25CF">
            <w:pPr>
              <w:rPr>
                <w:rFonts w:cs="Arial"/>
                <w:color w:val="FF0000"/>
                <w:sz w:val="21"/>
                <w:szCs w:val="21"/>
              </w:rPr>
            </w:pPr>
          </w:p>
        </w:tc>
        <w:tc>
          <w:tcPr>
            <w:tcW w:w="217" w:type="dxa"/>
          </w:tcPr>
          <w:p w14:paraId="31ECE6A4" w14:textId="77777777" w:rsidR="002C0FD9" w:rsidRPr="00CA25CF" w:rsidRDefault="002C0FD9" w:rsidP="00CA25CF">
            <w:pPr>
              <w:rPr>
                <w:rFonts w:cs="Arial"/>
                <w:color w:val="FF0000"/>
                <w:sz w:val="21"/>
                <w:szCs w:val="21"/>
              </w:rPr>
            </w:pPr>
          </w:p>
        </w:tc>
        <w:tc>
          <w:tcPr>
            <w:tcW w:w="217" w:type="dxa"/>
          </w:tcPr>
          <w:p w14:paraId="6858E037" w14:textId="77777777" w:rsidR="002C0FD9" w:rsidRPr="00CA25CF" w:rsidRDefault="002C0FD9" w:rsidP="00CA25CF">
            <w:pPr>
              <w:rPr>
                <w:rFonts w:cs="Arial"/>
                <w:color w:val="FF0000"/>
                <w:sz w:val="21"/>
                <w:szCs w:val="21"/>
              </w:rPr>
            </w:pPr>
          </w:p>
        </w:tc>
        <w:tc>
          <w:tcPr>
            <w:tcW w:w="217" w:type="dxa"/>
          </w:tcPr>
          <w:p w14:paraId="349E987D" w14:textId="77777777" w:rsidR="002C0FD9" w:rsidRPr="00CA25CF" w:rsidRDefault="002C0FD9" w:rsidP="00CA25CF">
            <w:pPr>
              <w:rPr>
                <w:rFonts w:cs="Arial"/>
                <w:color w:val="FF0000"/>
                <w:sz w:val="21"/>
                <w:szCs w:val="21"/>
              </w:rPr>
            </w:pPr>
          </w:p>
        </w:tc>
        <w:tc>
          <w:tcPr>
            <w:tcW w:w="217" w:type="dxa"/>
          </w:tcPr>
          <w:p w14:paraId="434CCC93" w14:textId="77777777" w:rsidR="002C0FD9" w:rsidRPr="00CA25CF" w:rsidRDefault="002C0FD9" w:rsidP="00CA25CF">
            <w:pPr>
              <w:rPr>
                <w:rFonts w:cs="Arial"/>
                <w:color w:val="FF0000"/>
                <w:sz w:val="21"/>
                <w:szCs w:val="21"/>
              </w:rPr>
            </w:pPr>
          </w:p>
        </w:tc>
        <w:tc>
          <w:tcPr>
            <w:tcW w:w="217" w:type="dxa"/>
          </w:tcPr>
          <w:p w14:paraId="74510315" w14:textId="77777777" w:rsidR="002C0FD9" w:rsidRPr="00CA25CF" w:rsidRDefault="002C0FD9" w:rsidP="00CA25CF">
            <w:pPr>
              <w:rPr>
                <w:rFonts w:cs="Arial"/>
                <w:color w:val="FF0000"/>
                <w:sz w:val="21"/>
                <w:szCs w:val="21"/>
              </w:rPr>
            </w:pPr>
          </w:p>
        </w:tc>
        <w:tc>
          <w:tcPr>
            <w:tcW w:w="217" w:type="dxa"/>
          </w:tcPr>
          <w:p w14:paraId="62F03B1B" w14:textId="77777777" w:rsidR="002C0FD9" w:rsidRPr="00CA25CF" w:rsidRDefault="002C0FD9" w:rsidP="00CA25CF">
            <w:pPr>
              <w:rPr>
                <w:rFonts w:cs="Arial"/>
                <w:color w:val="FF0000"/>
                <w:sz w:val="21"/>
                <w:szCs w:val="21"/>
              </w:rPr>
            </w:pPr>
          </w:p>
        </w:tc>
        <w:tc>
          <w:tcPr>
            <w:tcW w:w="217" w:type="dxa"/>
          </w:tcPr>
          <w:p w14:paraId="35186C07" w14:textId="77777777" w:rsidR="002C0FD9" w:rsidRPr="00CA25CF" w:rsidRDefault="002C0FD9" w:rsidP="00CA25CF">
            <w:pPr>
              <w:rPr>
                <w:rFonts w:cs="Arial"/>
                <w:color w:val="FF0000"/>
                <w:sz w:val="21"/>
                <w:szCs w:val="21"/>
              </w:rPr>
            </w:pPr>
          </w:p>
        </w:tc>
        <w:tc>
          <w:tcPr>
            <w:tcW w:w="217" w:type="dxa"/>
          </w:tcPr>
          <w:p w14:paraId="04F50DA1" w14:textId="77777777" w:rsidR="002C0FD9" w:rsidRPr="00CA25CF" w:rsidRDefault="002C0FD9" w:rsidP="00CA25CF">
            <w:pPr>
              <w:rPr>
                <w:rFonts w:cs="Arial"/>
                <w:color w:val="FF0000"/>
                <w:sz w:val="21"/>
                <w:szCs w:val="21"/>
              </w:rPr>
            </w:pPr>
          </w:p>
        </w:tc>
        <w:tc>
          <w:tcPr>
            <w:tcW w:w="217" w:type="dxa"/>
          </w:tcPr>
          <w:p w14:paraId="48189F19" w14:textId="77777777" w:rsidR="002C0FD9" w:rsidRPr="00CA25CF" w:rsidRDefault="002C0FD9" w:rsidP="00CA25CF">
            <w:pPr>
              <w:rPr>
                <w:rFonts w:cs="Arial"/>
                <w:color w:val="FF0000"/>
                <w:sz w:val="21"/>
                <w:szCs w:val="21"/>
              </w:rPr>
            </w:pPr>
          </w:p>
        </w:tc>
        <w:tc>
          <w:tcPr>
            <w:tcW w:w="217" w:type="dxa"/>
          </w:tcPr>
          <w:p w14:paraId="739C521A" w14:textId="77777777" w:rsidR="002C0FD9" w:rsidRPr="00CA25CF" w:rsidRDefault="002C0FD9" w:rsidP="00CA25CF">
            <w:pPr>
              <w:rPr>
                <w:rFonts w:cs="Arial"/>
                <w:color w:val="FF0000"/>
                <w:sz w:val="21"/>
                <w:szCs w:val="21"/>
              </w:rPr>
            </w:pPr>
          </w:p>
        </w:tc>
        <w:tc>
          <w:tcPr>
            <w:tcW w:w="217" w:type="dxa"/>
          </w:tcPr>
          <w:p w14:paraId="4F06AF59" w14:textId="77777777" w:rsidR="002C0FD9" w:rsidRPr="00CA25CF" w:rsidRDefault="002C0FD9" w:rsidP="00CA25CF">
            <w:pPr>
              <w:rPr>
                <w:rFonts w:cs="Arial"/>
                <w:color w:val="FF0000"/>
                <w:sz w:val="21"/>
                <w:szCs w:val="21"/>
              </w:rPr>
            </w:pPr>
          </w:p>
        </w:tc>
        <w:tc>
          <w:tcPr>
            <w:tcW w:w="217" w:type="dxa"/>
          </w:tcPr>
          <w:p w14:paraId="4E81C591" w14:textId="77777777" w:rsidR="002C0FD9" w:rsidRPr="00CA25CF" w:rsidRDefault="002C0FD9" w:rsidP="00CA25CF">
            <w:pPr>
              <w:rPr>
                <w:rFonts w:cs="Arial"/>
                <w:color w:val="FF0000"/>
                <w:sz w:val="21"/>
                <w:szCs w:val="21"/>
              </w:rPr>
            </w:pPr>
          </w:p>
        </w:tc>
        <w:tc>
          <w:tcPr>
            <w:tcW w:w="217" w:type="dxa"/>
          </w:tcPr>
          <w:p w14:paraId="63853C84" w14:textId="77777777" w:rsidR="002C0FD9" w:rsidRPr="00CA25CF" w:rsidRDefault="002C0FD9" w:rsidP="00CA25CF">
            <w:pPr>
              <w:rPr>
                <w:rFonts w:cs="Arial"/>
                <w:color w:val="FF0000"/>
                <w:sz w:val="21"/>
                <w:szCs w:val="21"/>
              </w:rPr>
            </w:pPr>
          </w:p>
        </w:tc>
        <w:tc>
          <w:tcPr>
            <w:tcW w:w="217" w:type="dxa"/>
          </w:tcPr>
          <w:p w14:paraId="096F82ED" w14:textId="77777777" w:rsidR="002C0FD9" w:rsidRPr="00CA25CF" w:rsidRDefault="002C0FD9" w:rsidP="00CA25CF">
            <w:pPr>
              <w:rPr>
                <w:rFonts w:cs="Arial"/>
                <w:color w:val="FF0000"/>
                <w:sz w:val="21"/>
                <w:szCs w:val="21"/>
              </w:rPr>
            </w:pPr>
          </w:p>
        </w:tc>
        <w:tc>
          <w:tcPr>
            <w:tcW w:w="217" w:type="dxa"/>
          </w:tcPr>
          <w:p w14:paraId="15FE71F3" w14:textId="77777777" w:rsidR="002C0FD9" w:rsidRPr="00CA25CF" w:rsidRDefault="002C0FD9" w:rsidP="00CA25CF">
            <w:pPr>
              <w:rPr>
                <w:rFonts w:cs="Arial"/>
                <w:color w:val="FF0000"/>
                <w:sz w:val="21"/>
                <w:szCs w:val="21"/>
              </w:rPr>
            </w:pPr>
          </w:p>
        </w:tc>
        <w:tc>
          <w:tcPr>
            <w:tcW w:w="217" w:type="dxa"/>
          </w:tcPr>
          <w:p w14:paraId="5D66456D" w14:textId="77777777" w:rsidR="002C0FD9" w:rsidRPr="00CA25CF" w:rsidRDefault="002C0FD9" w:rsidP="00CA25CF">
            <w:pPr>
              <w:rPr>
                <w:rFonts w:cs="Arial"/>
                <w:color w:val="FF0000"/>
                <w:sz w:val="21"/>
                <w:szCs w:val="21"/>
              </w:rPr>
            </w:pPr>
          </w:p>
        </w:tc>
        <w:tc>
          <w:tcPr>
            <w:tcW w:w="217" w:type="dxa"/>
          </w:tcPr>
          <w:p w14:paraId="378251BF" w14:textId="77777777" w:rsidR="002C0FD9" w:rsidRPr="00CA25CF" w:rsidRDefault="002C0FD9" w:rsidP="00CA25CF">
            <w:pPr>
              <w:rPr>
                <w:rFonts w:cs="Arial"/>
                <w:color w:val="FF0000"/>
                <w:sz w:val="21"/>
                <w:szCs w:val="21"/>
              </w:rPr>
            </w:pPr>
          </w:p>
        </w:tc>
        <w:tc>
          <w:tcPr>
            <w:tcW w:w="217" w:type="dxa"/>
          </w:tcPr>
          <w:p w14:paraId="1D86DC7D" w14:textId="77777777" w:rsidR="002C0FD9" w:rsidRPr="00CA25CF" w:rsidRDefault="002C0FD9" w:rsidP="00CA25CF">
            <w:pPr>
              <w:rPr>
                <w:rFonts w:cs="Arial"/>
                <w:color w:val="FF0000"/>
                <w:sz w:val="21"/>
                <w:szCs w:val="21"/>
              </w:rPr>
            </w:pPr>
          </w:p>
        </w:tc>
        <w:tc>
          <w:tcPr>
            <w:tcW w:w="217" w:type="dxa"/>
          </w:tcPr>
          <w:p w14:paraId="59C5618E" w14:textId="77777777" w:rsidR="002C0FD9" w:rsidRPr="00CA25CF" w:rsidRDefault="002C0FD9" w:rsidP="00CA25CF">
            <w:pPr>
              <w:rPr>
                <w:rFonts w:cs="Arial"/>
                <w:color w:val="FF0000"/>
                <w:sz w:val="21"/>
                <w:szCs w:val="21"/>
              </w:rPr>
            </w:pPr>
          </w:p>
        </w:tc>
        <w:tc>
          <w:tcPr>
            <w:tcW w:w="217" w:type="dxa"/>
          </w:tcPr>
          <w:p w14:paraId="043C5CA1" w14:textId="77777777" w:rsidR="002C0FD9" w:rsidRPr="00CA25CF" w:rsidRDefault="002C0FD9" w:rsidP="00CA25CF">
            <w:pPr>
              <w:rPr>
                <w:rFonts w:cs="Arial"/>
                <w:color w:val="FF0000"/>
                <w:sz w:val="21"/>
                <w:szCs w:val="21"/>
              </w:rPr>
            </w:pPr>
          </w:p>
        </w:tc>
        <w:tc>
          <w:tcPr>
            <w:tcW w:w="217" w:type="dxa"/>
          </w:tcPr>
          <w:p w14:paraId="1ABA5060" w14:textId="77777777" w:rsidR="002C0FD9" w:rsidRPr="00CA25CF" w:rsidRDefault="002C0FD9" w:rsidP="00CA25CF">
            <w:pPr>
              <w:rPr>
                <w:rFonts w:cs="Arial"/>
                <w:color w:val="FF0000"/>
                <w:sz w:val="21"/>
                <w:szCs w:val="21"/>
              </w:rPr>
            </w:pPr>
          </w:p>
        </w:tc>
        <w:tc>
          <w:tcPr>
            <w:tcW w:w="217" w:type="dxa"/>
          </w:tcPr>
          <w:p w14:paraId="78AA3C14" w14:textId="77777777" w:rsidR="002C0FD9" w:rsidRPr="00CA25CF" w:rsidRDefault="002C0FD9" w:rsidP="00CA25CF">
            <w:pPr>
              <w:rPr>
                <w:rFonts w:cs="Arial"/>
                <w:color w:val="FF0000"/>
                <w:sz w:val="21"/>
                <w:szCs w:val="21"/>
              </w:rPr>
            </w:pPr>
          </w:p>
        </w:tc>
        <w:tc>
          <w:tcPr>
            <w:tcW w:w="217" w:type="dxa"/>
          </w:tcPr>
          <w:p w14:paraId="35CFB6DD" w14:textId="77777777" w:rsidR="002C0FD9" w:rsidRPr="00CA25CF" w:rsidRDefault="002C0FD9" w:rsidP="00CA25CF">
            <w:pPr>
              <w:rPr>
                <w:rFonts w:cs="Arial"/>
                <w:color w:val="FF0000"/>
                <w:sz w:val="21"/>
                <w:szCs w:val="21"/>
              </w:rPr>
            </w:pPr>
          </w:p>
        </w:tc>
        <w:tc>
          <w:tcPr>
            <w:tcW w:w="217" w:type="dxa"/>
          </w:tcPr>
          <w:p w14:paraId="7CA70FD4" w14:textId="77777777" w:rsidR="002C0FD9" w:rsidRPr="00CA25CF" w:rsidRDefault="002C0FD9" w:rsidP="00CA25CF">
            <w:pPr>
              <w:rPr>
                <w:rFonts w:cs="Arial"/>
                <w:color w:val="FF0000"/>
                <w:sz w:val="21"/>
                <w:szCs w:val="21"/>
              </w:rPr>
            </w:pPr>
          </w:p>
        </w:tc>
        <w:tc>
          <w:tcPr>
            <w:tcW w:w="217" w:type="dxa"/>
          </w:tcPr>
          <w:p w14:paraId="30172629" w14:textId="77777777" w:rsidR="002C0FD9" w:rsidRPr="00CA25CF" w:rsidRDefault="002C0FD9" w:rsidP="00CA25CF">
            <w:pPr>
              <w:rPr>
                <w:rFonts w:cs="Arial"/>
                <w:color w:val="FF0000"/>
                <w:sz w:val="21"/>
                <w:szCs w:val="21"/>
              </w:rPr>
            </w:pPr>
          </w:p>
        </w:tc>
        <w:tc>
          <w:tcPr>
            <w:tcW w:w="217" w:type="dxa"/>
          </w:tcPr>
          <w:p w14:paraId="031FCD30" w14:textId="77777777" w:rsidR="002C0FD9" w:rsidRPr="00CA25CF" w:rsidRDefault="002C0FD9" w:rsidP="00CA25CF">
            <w:pPr>
              <w:rPr>
                <w:rFonts w:cs="Arial"/>
                <w:color w:val="FF0000"/>
                <w:sz w:val="21"/>
                <w:szCs w:val="21"/>
              </w:rPr>
            </w:pPr>
          </w:p>
        </w:tc>
        <w:tc>
          <w:tcPr>
            <w:tcW w:w="217" w:type="dxa"/>
          </w:tcPr>
          <w:p w14:paraId="760F5931" w14:textId="77777777" w:rsidR="002C0FD9" w:rsidRPr="00CA25CF" w:rsidRDefault="002C0FD9" w:rsidP="00CA25CF">
            <w:pPr>
              <w:rPr>
                <w:rFonts w:cs="Arial"/>
                <w:color w:val="FF0000"/>
                <w:sz w:val="21"/>
                <w:szCs w:val="21"/>
              </w:rPr>
            </w:pPr>
          </w:p>
        </w:tc>
      </w:tr>
      <w:tr w:rsidR="002C0FD9" w:rsidRPr="00A16219" w14:paraId="46E5A303" w14:textId="77777777" w:rsidTr="002C0FD9">
        <w:trPr>
          <w:trHeight w:val="635"/>
        </w:trPr>
        <w:tc>
          <w:tcPr>
            <w:tcW w:w="515" w:type="dxa"/>
          </w:tcPr>
          <w:p w14:paraId="607D137D" w14:textId="77777777" w:rsidR="002C0FD9" w:rsidRPr="00CA25CF" w:rsidRDefault="002C0FD9" w:rsidP="00CA25CF">
            <w:pPr>
              <w:rPr>
                <w:rFonts w:cs="Arial"/>
                <w:color w:val="FF0000"/>
                <w:sz w:val="21"/>
                <w:szCs w:val="21"/>
              </w:rPr>
            </w:pPr>
          </w:p>
        </w:tc>
        <w:tc>
          <w:tcPr>
            <w:tcW w:w="217" w:type="dxa"/>
          </w:tcPr>
          <w:p w14:paraId="39619CB2" w14:textId="77777777" w:rsidR="002C0FD9" w:rsidRPr="00CA25CF" w:rsidRDefault="002C0FD9" w:rsidP="00CA25CF">
            <w:pPr>
              <w:rPr>
                <w:rFonts w:cs="Arial"/>
                <w:color w:val="FF0000"/>
                <w:sz w:val="21"/>
                <w:szCs w:val="21"/>
              </w:rPr>
            </w:pPr>
          </w:p>
        </w:tc>
        <w:tc>
          <w:tcPr>
            <w:tcW w:w="217" w:type="dxa"/>
          </w:tcPr>
          <w:p w14:paraId="70C51CEC" w14:textId="77777777" w:rsidR="002C0FD9" w:rsidRPr="00CA25CF" w:rsidRDefault="002C0FD9" w:rsidP="00CA25CF">
            <w:pPr>
              <w:rPr>
                <w:rFonts w:cs="Arial"/>
                <w:color w:val="FF0000"/>
                <w:sz w:val="21"/>
                <w:szCs w:val="21"/>
              </w:rPr>
            </w:pPr>
          </w:p>
        </w:tc>
        <w:tc>
          <w:tcPr>
            <w:tcW w:w="217" w:type="dxa"/>
          </w:tcPr>
          <w:p w14:paraId="54F375C8" w14:textId="77777777" w:rsidR="002C0FD9" w:rsidRPr="00CA25CF" w:rsidRDefault="002C0FD9" w:rsidP="00CA25CF">
            <w:pPr>
              <w:rPr>
                <w:rFonts w:cs="Arial"/>
                <w:color w:val="FF0000"/>
                <w:sz w:val="21"/>
                <w:szCs w:val="21"/>
              </w:rPr>
            </w:pPr>
          </w:p>
        </w:tc>
        <w:tc>
          <w:tcPr>
            <w:tcW w:w="217" w:type="dxa"/>
          </w:tcPr>
          <w:p w14:paraId="1AFA50A7" w14:textId="77777777" w:rsidR="002C0FD9" w:rsidRPr="00CA25CF" w:rsidRDefault="002C0FD9" w:rsidP="00CA25CF">
            <w:pPr>
              <w:rPr>
                <w:rFonts w:cs="Arial"/>
                <w:color w:val="FF0000"/>
                <w:sz w:val="21"/>
                <w:szCs w:val="21"/>
              </w:rPr>
            </w:pPr>
          </w:p>
        </w:tc>
        <w:tc>
          <w:tcPr>
            <w:tcW w:w="217" w:type="dxa"/>
          </w:tcPr>
          <w:p w14:paraId="0FF4C5BA" w14:textId="77777777" w:rsidR="002C0FD9" w:rsidRPr="00CA25CF" w:rsidRDefault="002C0FD9" w:rsidP="00CA25CF">
            <w:pPr>
              <w:rPr>
                <w:rFonts w:cs="Arial"/>
                <w:color w:val="FF0000"/>
                <w:sz w:val="21"/>
                <w:szCs w:val="21"/>
              </w:rPr>
            </w:pPr>
          </w:p>
        </w:tc>
        <w:tc>
          <w:tcPr>
            <w:tcW w:w="217" w:type="dxa"/>
          </w:tcPr>
          <w:p w14:paraId="3C5226BE" w14:textId="77777777" w:rsidR="002C0FD9" w:rsidRPr="00CA25CF" w:rsidRDefault="002C0FD9" w:rsidP="00CA25CF">
            <w:pPr>
              <w:rPr>
                <w:rFonts w:cs="Arial"/>
                <w:color w:val="FF0000"/>
                <w:sz w:val="21"/>
                <w:szCs w:val="21"/>
              </w:rPr>
            </w:pPr>
          </w:p>
        </w:tc>
        <w:tc>
          <w:tcPr>
            <w:tcW w:w="217" w:type="dxa"/>
          </w:tcPr>
          <w:p w14:paraId="36A52D60" w14:textId="77777777" w:rsidR="002C0FD9" w:rsidRPr="00CA25CF" w:rsidRDefault="002C0FD9" w:rsidP="00CA25CF">
            <w:pPr>
              <w:rPr>
                <w:rFonts w:cs="Arial"/>
                <w:color w:val="FF0000"/>
                <w:sz w:val="21"/>
                <w:szCs w:val="21"/>
              </w:rPr>
            </w:pPr>
          </w:p>
        </w:tc>
        <w:tc>
          <w:tcPr>
            <w:tcW w:w="217" w:type="dxa"/>
          </w:tcPr>
          <w:p w14:paraId="79CA9A5B" w14:textId="77777777" w:rsidR="002C0FD9" w:rsidRPr="00CA25CF" w:rsidRDefault="002C0FD9" w:rsidP="00CA25CF">
            <w:pPr>
              <w:rPr>
                <w:rFonts w:cs="Arial"/>
                <w:color w:val="FF0000"/>
                <w:sz w:val="21"/>
                <w:szCs w:val="21"/>
              </w:rPr>
            </w:pPr>
          </w:p>
        </w:tc>
        <w:tc>
          <w:tcPr>
            <w:tcW w:w="217" w:type="dxa"/>
          </w:tcPr>
          <w:p w14:paraId="6C909722" w14:textId="77777777" w:rsidR="002C0FD9" w:rsidRPr="00CA25CF" w:rsidRDefault="002C0FD9" w:rsidP="00CA25CF">
            <w:pPr>
              <w:rPr>
                <w:rFonts w:cs="Arial"/>
                <w:color w:val="FF0000"/>
                <w:sz w:val="21"/>
                <w:szCs w:val="21"/>
              </w:rPr>
            </w:pPr>
          </w:p>
        </w:tc>
        <w:tc>
          <w:tcPr>
            <w:tcW w:w="217" w:type="dxa"/>
          </w:tcPr>
          <w:p w14:paraId="0202D9C8" w14:textId="77777777" w:rsidR="002C0FD9" w:rsidRPr="00CA25CF" w:rsidRDefault="002C0FD9" w:rsidP="00CA25CF">
            <w:pPr>
              <w:rPr>
                <w:rFonts w:cs="Arial"/>
                <w:color w:val="FF0000"/>
                <w:sz w:val="21"/>
                <w:szCs w:val="21"/>
              </w:rPr>
            </w:pPr>
          </w:p>
        </w:tc>
        <w:tc>
          <w:tcPr>
            <w:tcW w:w="217" w:type="dxa"/>
          </w:tcPr>
          <w:p w14:paraId="42698CD2" w14:textId="77777777" w:rsidR="002C0FD9" w:rsidRPr="00CA25CF" w:rsidRDefault="002C0FD9" w:rsidP="00CA25CF">
            <w:pPr>
              <w:rPr>
                <w:rFonts w:cs="Arial"/>
                <w:color w:val="FF0000"/>
                <w:sz w:val="21"/>
                <w:szCs w:val="21"/>
              </w:rPr>
            </w:pPr>
          </w:p>
        </w:tc>
        <w:tc>
          <w:tcPr>
            <w:tcW w:w="217" w:type="dxa"/>
          </w:tcPr>
          <w:p w14:paraId="664C32D9" w14:textId="77777777" w:rsidR="002C0FD9" w:rsidRPr="00CA25CF" w:rsidRDefault="002C0FD9" w:rsidP="00CA25CF">
            <w:pPr>
              <w:rPr>
                <w:rFonts w:cs="Arial"/>
                <w:color w:val="FF0000"/>
                <w:sz w:val="21"/>
                <w:szCs w:val="21"/>
              </w:rPr>
            </w:pPr>
          </w:p>
        </w:tc>
        <w:tc>
          <w:tcPr>
            <w:tcW w:w="217" w:type="dxa"/>
          </w:tcPr>
          <w:p w14:paraId="1447A885" w14:textId="77777777" w:rsidR="002C0FD9" w:rsidRPr="00CA25CF" w:rsidRDefault="002C0FD9" w:rsidP="00CA25CF">
            <w:pPr>
              <w:rPr>
                <w:rFonts w:cs="Arial"/>
                <w:color w:val="FF0000"/>
                <w:sz w:val="21"/>
                <w:szCs w:val="21"/>
              </w:rPr>
            </w:pPr>
          </w:p>
        </w:tc>
        <w:tc>
          <w:tcPr>
            <w:tcW w:w="217" w:type="dxa"/>
          </w:tcPr>
          <w:p w14:paraId="1C18A932" w14:textId="77777777" w:rsidR="002C0FD9" w:rsidRPr="00CA25CF" w:rsidRDefault="002C0FD9" w:rsidP="00CA25CF">
            <w:pPr>
              <w:rPr>
                <w:rFonts w:cs="Arial"/>
                <w:color w:val="FF0000"/>
                <w:sz w:val="21"/>
                <w:szCs w:val="21"/>
              </w:rPr>
            </w:pPr>
          </w:p>
        </w:tc>
        <w:tc>
          <w:tcPr>
            <w:tcW w:w="217" w:type="dxa"/>
          </w:tcPr>
          <w:p w14:paraId="791FA373" w14:textId="77777777" w:rsidR="002C0FD9" w:rsidRPr="00CA25CF" w:rsidRDefault="002C0FD9" w:rsidP="00CA25CF">
            <w:pPr>
              <w:rPr>
                <w:rFonts w:cs="Arial"/>
                <w:color w:val="FF0000"/>
                <w:sz w:val="21"/>
                <w:szCs w:val="21"/>
              </w:rPr>
            </w:pPr>
          </w:p>
        </w:tc>
        <w:tc>
          <w:tcPr>
            <w:tcW w:w="217" w:type="dxa"/>
          </w:tcPr>
          <w:p w14:paraId="4DCE6D22" w14:textId="77777777" w:rsidR="002C0FD9" w:rsidRPr="00CA25CF" w:rsidRDefault="002C0FD9" w:rsidP="00CA25CF">
            <w:pPr>
              <w:rPr>
                <w:rFonts w:cs="Arial"/>
                <w:color w:val="FF0000"/>
                <w:sz w:val="21"/>
                <w:szCs w:val="21"/>
              </w:rPr>
            </w:pPr>
          </w:p>
        </w:tc>
        <w:tc>
          <w:tcPr>
            <w:tcW w:w="217" w:type="dxa"/>
          </w:tcPr>
          <w:p w14:paraId="033DA306" w14:textId="77777777" w:rsidR="002C0FD9" w:rsidRPr="00CA25CF" w:rsidRDefault="002C0FD9" w:rsidP="00CA25CF">
            <w:pPr>
              <w:rPr>
                <w:rFonts w:cs="Arial"/>
                <w:color w:val="FF0000"/>
                <w:sz w:val="21"/>
                <w:szCs w:val="21"/>
              </w:rPr>
            </w:pPr>
          </w:p>
        </w:tc>
        <w:tc>
          <w:tcPr>
            <w:tcW w:w="217" w:type="dxa"/>
          </w:tcPr>
          <w:p w14:paraId="6EA3BF58" w14:textId="77777777" w:rsidR="002C0FD9" w:rsidRPr="00CA25CF" w:rsidRDefault="002C0FD9" w:rsidP="00CA25CF">
            <w:pPr>
              <w:rPr>
                <w:rFonts w:cs="Arial"/>
                <w:color w:val="FF0000"/>
                <w:sz w:val="21"/>
                <w:szCs w:val="21"/>
              </w:rPr>
            </w:pPr>
          </w:p>
        </w:tc>
        <w:tc>
          <w:tcPr>
            <w:tcW w:w="217" w:type="dxa"/>
          </w:tcPr>
          <w:p w14:paraId="1AF08C95" w14:textId="77777777" w:rsidR="002C0FD9" w:rsidRPr="00CA25CF" w:rsidRDefault="002C0FD9" w:rsidP="00CA25CF">
            <w:pPr>
              <w:rPr>
                <w:rFonts w:cs="Arial"/>
                <w:color w:val="FF0000"/>
                <w:sz w:val="21"/>
                <w:szCs w:val="21"/>
              </w:rPr>
            </w:pPr>
          </w:p>
        </w:tc>
        <w:tc>
          <w:tcPr>
            <w:tcW w:w="217" w:type="dxa"/>
          </w:tcPr>
          <w:p w14:paraId="194DF30B" w14:textId="77777777" w:rsidR="002C0FD9" w:rsidRPr="00CA25CF" w:rsidRDefault="002C0FD9" w:rsidP="00CA25CF">
            <w:pPr>
              <w:rPr>
                <w:rFonts w:cs="Arial"/>
                <w:color w:val="FF0000"/>
                <w:sz w:val="21"/>
                <w:szCs w:val="21"/>
              </w:rPr>
            </w:pPr>
          </w:p>
        </w:tc>
        <w:tc>
          <w:tcPr>
            <w:tcW w:w="217" w:type="dxa"/>
          </w:tcPr>
          <w:p w14:paraId="5E71A856" w14:textId="77777777" w:rsidR="002C0FD9" w:rsidRPr="00CA25CF" w:rsidRDefault="002C0FD9" w:rsidP="00CA25CF">
            <w:pPr>
              <w:rPr>
                <w:rFonts w:cs="Arial"/>
                <w:color w:val="FF0000"/>
                <w:sz w:val="21"/>
                <w:szCs w:val="21"/>
              </w:rPr>
            </w:pPr>
          </w:p>
        </w:tc>
        <w:tc>
          <w:tcPr>
            <w:tcW w:w="217" w:type="dxa"/>
          </w:tcPr>
          <w:p w14:paraId="4953E60D" w14:textId="77777777" w:rsidR="002C0FD9" w:rsidRPr="00CA25CF" w:rsidRDefault="002C0FD9" w:rsidP="00CA25CF">
            <w:pPr>
              <w:rPr>
                <w:rFonts w:cs="Arial"/>
                <w:color w:val="FF0000"/>
                <w:sz w:val="21"/>
                <w:szCs w:val="21"/>
              </w:rPr>
            </w:pPr>
          </w:p>
        </w:tc>
        <w:tc>
          <w:tcPr>
            <w:tcW w:w="217" w:type="dxa"/>
          </w:tcPr>
          <w:p w14:paraId="32AD4F66" w14:textId="77777777" w:rsidR="002C0FD9" w:rsidRPr="00CA25CF" w:rsidRDefault="002C0FD9" w:rsidP="00CA25CF">
            <w:pPr>
              <w:rPr>
                <w:rFonts w:cs="Arial"/>
                <w:color w:val="FF0000"/>
                <w:sz w:val="21"/>
                <w:szCs w:val="21"/>
              </w:rPr>
            </w:pPr>
          </w:p>
        </w:tc>
        <w:tc>
          <w:tcPr>
            <w:tcW w:w="217" w:type="dxa"/>
          </w:tcPr>
          <w:p w14:paraId="3DCBCB41" w14:textId="77777777" w:rsidR="002C0FD9" w:rsidRPr="00CA25CF" w:rsidRDefault="002C0FD9" w:rsidP="00CA25CF">
            <w:pPr>
              <w:rPr>
                <w:rFonts w:cs="Arial"/>
                <w:color w:val="FF0000"/>
                <w:sz w:val="21"/>
                <w:szCs w:val="21"/>
              </w:rPr>
            </w:pPr>
          </w:p>
        </w:tc>
        <w:tc>
          <w:tcPr>
            <w:tcW w:w="217" w:type="dxa"/>
          </w:tcPr>
          <w:p w14:paraId="4E41563A" w14:textId="77777777" w:rsidR="002C0FD9" w:rsidRPr="00CA25CF" w:rsidRDefault="002C0FD9" w:rsidP="00CA25CF">
            <w:pPr>
              <w:rPr>
                <w:rFonts w:cs="Arial"/>
                <w:color w:val="FF0000"/>
                <w:sz w:val="21"/>
                <w:szCs w:val="21"/>
              </w:rPr>
            </w:pPr>
          </w:p>
        </w:tc>
        <w:tc>
          <w:tcPr>
            <w:tcW w:w="217" w:type="dxa"/>
          </w:tcPr>
          <w:p w14:paraId="3B95D233" w14:textId="77777777" w:rsidR="002C0FD9" w:rsidRPr="00CA25CF" w:rsidRDefault="002C0FD9" w:rsidP="00CA25CF">
            <w:pPr>
              <w:rPr>
                <w:rFonts w:cs="Arial"/>
                <w:color w:val="FF0000"/>
                <w:sz w:val="21"/>
                <w:szCs w:val="21"/>
              </w:rPr>
            </w:pPr>
          </w:p>
        </w:tc>
        <w:tc>
          <w:tcPr>
            <w:tcW w:w="217" w:type="dxa"/>
          </w:tcPr>
          <w:p w14:paraId="7DADD447" w14:textId="77777777" w:rsidR="002C0FD9" w:rsidRPr="00CA25CF" w:rsidRDefault="002C0FD9" w:rsidP="00CA25CF">
            <w:pPr>
              <w:rPr>
                <w:rFonts w:cs="Arial"/>
                <w:color w:val="FF0000"/>
                <w:sz w:val="21"/>
                <w:szCs w:val="21"/>
              </w:rPr>
            </w:pPr>
          </w:p>
        </w:tc>
        <w:tc>
          <w:tcPr>
            <w:tcW w:w="217" w:type="dxa"/>
          </w:tcPr>
          <w:p w14:paraId="10B59B43" w14:textId="77777777" w:rsidR="002C0FD9" w:rsidRPr="00CA25CF" w:rsidRDefault="002C0FD9" w:rsidP="00CA25CF">
            <w:pPr>
              <w:rPr>
                <w:rFonts w:cs="Arial"/>
                <w:color w:val="FF0000"/>
                <w:sz w:val="21"/>
                <w:szCs w:val="21"/>
              </w:rPr>
            </w:pPr>
          </w:p>
        </w:tc>
        <w:tc>
          <w:tcPr>
            <w:tcW w:w="217" w:type="dxa"/>
          </w:tcPr>
          <w:p w14:paraId="2212095F" w14:textId="77777777" w:rsidR="002C0FD9" w:rsidRPr="00CA25CF" w:rsidRDefault="002C0FD9" w:rsidP="00CA25CF">
            <w:pPr>
              <w:rPr>
                <w:rFonts w:cs="Arial"/>
                <w:color w:val="FF0000"/>
                <w:sz w:val="21"/>
                <w:szCs w:val="21"/>
              </w:rPr>
            </w:pPr>
          </w:p>
        </w:tc>
        <w:tc>
          <w:tcPr>
            <w:tcW w:w="217" w:type="dxa"/>
          </w:tcPr>
          <w:p w14:paraId="28FE458C" w14:textId="77777777" w:rsidR="002C0FD9" w:rsidRPr="00CA25CF" w:rsidRDefault="002C0FD9" w:rsidP="00CA25CF">
            <w:pPr>
              <w:rPr>
                <w:rFonts w:cs="Arial"/>
                <w:color w:val="FF0000"/>
                <w:sz w:val="21"/>
                <w:szCs w:val="21"/>
              </w:rPr>
            </w:pPr>
          </w:p>
        </w:tc>
        <w:tc>
          <w:tcPr>
            <w:tcW w:w="217" w:type="dxa"/>
          </w:tcPr>
          <w:p w14:paraId="3DBEE300" w14:textId="77777777" w:rsidR="002C0FD9" w:rsidRPr="00CA25CF" w:rsidRDefault="002C0FD9" w:rsidP="00CA25CF">
            <w:pPr>
              <w:rPr>
                <w:rFonts w:cs="Arial"/>
                <w:color w:val="FF0000"/>
                <w:sz w:val="21"/>
                <w:szCs w:val="21"/>
              </w:rPr>
            </w:pPr>
          </w:p>
        </w:tc>
        <w:tc>
          <w:tcPr>
            <w:tcW w:w="217" w:type="dxa"/>
          </w:tcPr>
          <w:p w14:paraId="5F175A5A" w14:textId="77777777" w:rsidR="002C0FD9" w:rsidRPr="00CA25CF" w:rsidRDefault="002C0FD9" w:rsidP="00CA25CF">
            <w:pPr>
              <w:rPr>
                <w:rFonts w:cs="Arial"/>
                <w:color w:val="FF0000"/>
                <w:sz w:val="21"/>
                <w:szCs w:val="21"/>
              </w:rPr>
            </w:pPr>
          </w:p>
        </w:tc>
        <w:tc>
          <w:tcPr>
            <w:tcW w:w="217" w:type="dxa"/>
          </w:tcPr>
          <w:p w14:paraId="1DF2295B" w14:textId="77777777" w:rsidR="002C0FD9" w:rsidRPr="00CA25CF" w:rsidRDefault="002C0FD9" w:rsidP="00CA25CF">
            <w:pPr>
              <w:rPr>
                <w:rFonts w:cs="Arial"/>
                <w:color w:val="FF0000"/>
                <w:sz w:val="21"/>
                <w:szCs w:val="21"/>
              </w:rPr>
            </w:pPr>
          </w:p>
        </w:tc>
        <w:tc>
          <w:tcPr>
            <w:tcW w:w="217" w:type="dxa"/>
          </w:tcPr>
          <w:p w14:paraId="6E2948CB" w14:textId="77777777" w:rsidR="002C0FD9" w:rsidRPr="00CA25CF" w:rsidRDefault="002C0FD9" w:rsidP="00CA25CF">
            <w:pPr>
              <w:rPr>
                <w:rFonts w:cs="Arial"/>
                <w:color w:val="FF0000"/>
                <w:sz w:val="21"/>
                <w:szCs w:val="21"/>
              </w:rPr>
            </w:pPr>
          </w:p>
        </w:tc>
        <w:tc>
          <w:tcPr>
            <w:tcW w:w="217" w:type="dxa"/>
          </w:tcPr>
          <w:p w14:paraId="40DA918D" w14:textId="77777777" w:rsidR="002C0FD9" w:rsidRPr="00CA25CF" w:rsidRDefault="002C0FD9" w:rsidP="00CA25CF">
            <w:pPr>
              <w:rPr>
                <w:rFonts w:cs="Arial"/>
                <w:color w:val="FF0000"/>
                <w:sz w:val="21"/>
                <w:szCs w:val="21"/>
              </w:rPr>
            </w:pPr>
          </w:p>
        </w:tc>
        <w:tc>
          <w:tcPr>
            <w:tcW w:w="217" w:type="dxa"/>
          </w:tcPr>
          <w:p w14:paraId="1C0EA72A" w14:textId="77777777" w:rsidR="002C0FD9" w:rsidRPr="00CA25CF" w:rsidRDefault="002C0FD9" w:rsidP="00CA25CF">
            <w:pPr>
              <w:rPr>
                <w:rFonts w:cs="Arial"/>
                <w:color w:val="FF0000"/>
                <w:sz w:val="21"/>
                <w:szCs w:val="21"/>
              </w:rPr>
            </w:pPr>
          </w:p>
        </w:tc>
        <w:tc>
          <w:tcPr>
            <w:tcW w:w="217" w:type="dxa"/>
          </w:tcPr>
          <w:p w14:paraId="792FC108" w14:textId="77777777" w:rsidR="002C0FD9" w:rsidRPr="00CA25CF" w:rsidRDefault="002C0FD9" w:rsidP="00CA25CF">
            <w:pPr>
              <w:rPr>
                <w:rFonts w:cs="Arial"/>
                <w:color w:val="FF0000"/>
                <w:sz w:val="21"/>
                <w:szCs w:val="21"/>
              </w:rPr>
            </w:pPr>
          </w:p>
        </w:tc>
        <w:tc>
          <w:tcPr>
            <w:tcW w:w="217" w:type="dxa"/>
          </w:tcPr>
          <w:p w14:paraId="380D5AC0" w14:textId="77777777" w:rsidR="002C0FD9" w:rsidRPr="00CA25CF" w:rsidRDefault="002C0FD9" w:rsidP="00CA25CF">
            <w:pPr>
              <w:rPr>
                <w:rFonts w:cs="Arial"/>
                <w:color w:val="FF0000"/>
                <w:sz w:val="21"/>
                <w:szCs w:val="21"/>
              </w:rPr>
            </w:pPr>
          </w:p>
        </w:tc>
        <w:tc>
          <w:tcPr>
            <w:tcW w:w="217" w:type="dxa"/>
          </w:tcPr>
          <w:p w14:paraId="735F418D" w14:textId="77777777" w:rsidR="002C0FD9" w:rsidRPr="00CA25CF" w:rsidRDefault="002C0FD9" w:rsidP="00CA25CF">
            <w:pPr>
              <w:rPr>
                <w:rFonts w:cs="Arial"/>
                <w:color w:val="FF0000"/>
                <w:sz w:val="21"/>
                <w:szCs w:val="21"/>
              </w:rPr>
            </w:pPr>
          </w:p>
        </w:tc>
        <w:tc>
          <w:tcPr>
            <w:tcW w:w="217" w:type="dxa"/>
          </w:tcPr>
          <w:p w14:paraId="2862BB34" w14:textId="77777777" w:rsidR="002C0FD9" w:rsidRPr="00CA25CF" w:rsidRDefault="002C0FD9" w:rsidP="00CA25CF">
            <w:pPr>
              <w:rPr>
                <w:rFonts w:cs="Arial"/>
                <w:color w:val="FF0000"/>
                <w:sz w:val="21"/>
                <w:szCs w:val="21"/>
              </w:rPr>
            </w:pPr>
          </w:p>
        </w:tc>
        <w:tc>
          <w:tcPr>
            <w:tcW w:w="217" w:type="dxa"/>
          </w:tcPr>
          <w:p w14:paraId="6EB492D4" w14:textId="77777777" w:rsidR="002C0FD9" w:rsidRPr="00CA25CF" w:rsidRDefault="002C0FD9" w:rsidP="00CA25CF">
            <w:pPr>
              <w:rPr>
                <w:rFonts w:cs="Arial"/>
                <w:color w:val="FF0000"/>
                <w:sz w:val="21"/>
                <w:szCs w:val="21"/>
              </w:rPr>
            </w:pPr>
          </w:p>
        </w:tc>
        <w:tc>
          <w:tcPr>
            <w:tcW w:w="217" w:type="dxa"/>
          </w:tcPr>
          <w:p w14:paraId="2071C029" w14:textId="77777777" w:rsidR="002C0FD9" w:rsidRPr="00CA25CF" w:rsidRDefault="002C0FD9" w:rsidP="00CA25CF">
            <w:pPr>
              <w:rPr>
                <w:rFonts w:cs="Arial"/>
                <w:color w:val="FF0000"/>
                <w:sz w:val="21"/>
                <w:szCs w:val="21"/>
              </w:rPr>
            </w:pPr>
          </w:p>
        </w:tc>
      </w:tr>
      <w:tr w:rsidR="002C0FD9" w:rsidRPr="00A16219" w14:paraId="1FAC2966" w14:textId="77777777" w:rsidTr="002C0FD9">
        <w:trPr>
          <w:trHeight w:val="635"/>
        </w:trPr>
        <w:tc>
          <w:tcPr>
            <w:tcW w:w="515" w:type="dxa"/>
          </w:tcPr>
          <w:p w14:paraId="72AB73D1" w14:textId="77777777" w:rsidR="002C0FD9" w:rsidRPr="00CA25CF" w:rsidRDefault="002C0FD9" w:rsidP="00CA25CF">
            <w:pPr>
              <w:rPr>
                <w:rFonts w:cs="Arial"/>
                <w:color w:val="FF0000"/>
                <w:sz w:val="21"/>
                <w:szCs w:val="21"/>
              </w:rPr>
            </w:pPr>
          </w:p>
        </w:tc>
        <w:tc>
          <w:tcPr>
            <w:tcW w:w="217" w:type="dxa"/>
          </w:tcPr>
          <w:p w14:paraId="36870EF0" w14:textId="77777777" w:rsidR="002C0FD9" w:rsidRPr="00CA25CF" w:rsidRDefault="002C0FD9" w:rsidP="00CA25CF">
            <w:pPr>
              <w:rPr>
                <w:rFonts w:cs="Arial"/>
                <w:color w:val="FF0000"/>
                <w:sz w:val="21"/>
                <w:szCs w:val="21"/>
              </w:rPr>
            </w:pPr>
          </w:p>
        </w:tc>
        <w:tc>
          <w:tcPr>
            <w:tcW w:w="217" w:type="dxa"/>
          </w:tcPr>
          <w:p w14:paraId="7654EA52" w14:textId="77777777" w:rsidR="002C0FD9" w:rsidRPr="00CA25CF" w:rsidRDefault="002C0FD9" w:rsidP="00CA25CF">
            <w:pPr>
              <w:rPr>
                <w:rFonts w:cs="Arial"/>
                <w:color w:val="FF0000"/>
                <w:sz w:val="21"/>
                <w:szCs w:val="21"/>
              </w:rPr>
            </w:pPr>
          </w:p>
        </w:tc>
        <w:tc>
          <w:tcPr>
            <w:tcW w:w="217" w:type="dxa"/>
          </w:tcPr>
          <w:p w14:paraId="32AE4387" w14:textId="77777777" w:rsidR="002C0FD9" w:rsidRPr="00CA25CF" w:rsidRDefault="002C0FD9" w:rsidP="00CA25CF">
            <w:pPr>
              <w:rPr>
                <w:rFonts w:cs="Arial"/>
                <w:color w:val="FF0000"/>
                <w:sz w:val="21"/>
                <w:szCs w:val="21"/>
              </w:rPr>
            </w:pPr>
          </w:p>
        </w:tc>
        <w:tc>
          <w:tcPr>
            <w:tcW w:w="217" w:type="dxa"/>
          </w:tcPr>
          <w:p w14:paraId="62614F8F" w14:textId="77777777" w:rsidR="002C0FD9" w:rsidRPr="00CA25CF" w:rsidRDefault="002C0FD9" w:rsidP="00CA25CF">
            <w:pPr>
              <w:rPr>
                <w:rFonts w:cs="Arial"/>
                <w:color w:val="FF0000"/>
                <w:sz w:val="21"/>
                <w:szCs w:val="21"/>
              </w:rPr>
            </w:pPr>
          </w:p>
        </w:tc>
        <w:tc>
          <w:tcPr>
            <w:tcW w:w="217" w:type="dxa"/>
          </w:tcPr>
          <w:p w14:paraId="4A35FFA9" w14:textId="77777777" w:rsidR="002C0FD9" w:rsidRPr="00CA25CF" w:rsidRDefault="002C0FD9" w:rsidP="00CA25CF">
            <w:pPr>
              <w:rPr>
                <w:rFonts w:cs="Arial"/>
                <w:color w:val="FF0000"/>
                <w:sz w:val="21"/>
                <w:szCs w:val="21"/>
              </w:rPr>
            </w:pPr>
          </w:p>
        </w:tc>
        <w:tc>
          <w:tcPr>
            <w:tcW w:w="217" w:type="dxa"/>
          </w:tcPr>
          <w:p w14:paraId="149DC0A7" w14:textId="77777777" w:rsidR="002C0FD9" w:rsidRPr="00CA25CF" w:rsidRDefault="002C0FD9" w:rsidP="00CA25CF">
            <w:pPr>
              <w:rPr>
                <w:rFonts w:cs="Arial"/>
                <w:color w:val="FF0000"/>
                <w:sz w:val="21"/>
                <w:szCs w:val="21"/>
              </w:rPr>
            </w:pPr>
          </w:p>
        </w:tc>
        <w:tc>
          <w:tcPr>
            <w:tcW w:w="217" w:type="dxa"/>
          </w:tcPr>
          <w:p w14:paraId="02F47A5F" w14:textId="77777777" w:rsidR="002C0FD9" w:rsidRPr="00CA25CF" w:rsidRDefault="002C0FD9" w:rsidP="00CA25CF">
            <w:pPr>
              <w:rPr>
                <w:rFonts w:cs="Arial"/>
                <w:color w:val="FF0000"/>
                <w:sz w:val="21"/>
                <w:szCs w:val="21"/>
              </w:rPr>
            </w:pPr>
          </w:p>
        </w:tc>
        <w:tc>
          <w:tcPr>
            <w:tcW w:w="217" w:type="dxa"/>
          </w:tcPr>
          <w:p w14:paraId="78074EB9" w14:textId="77777777" w:rsidR="002C0FD9" w:rsidRPr="00CA25CF" w:rsidRDefault="002C0FD9" w:rsidP="00CA25CF">
            <w:pPr>
              <w:rPr>
                <w:rFonts w:cs="Arial"/>
                <w:color w:val="FF0000"/>
                <w:sz w:val="21"/>
                <w:szCs w:val="21"/>
              </w:rPr>
            </w:pPr>
          </w:p>
        </w:tc>
        <w:tc>
          <w:tcPr>
            <w:tcW w:w="217" w:type="dxa"/>
          </w:tcPr>
          <w:p w14:paraId="4B640299" w14:textId="77777777" w:rsidR="002C0FD9" w:rsidRPr="00CA25CF" w:rsidRDefault="002C0FD9" w:rsidP="00CA25CF">
            <w:pPr>
              <w:rPr>
                <w:rFonts w:cs="Arial"/>
                <w:color w:val="FF0000"/>
                <w:sz w:val="21"/>
                <w:szCs w:val="21"/>
              </w:rPr>
            </w:pPr>
          </w:p>
        </w:tc>
        <w:tc>
          <w:tcPr>
            <w:tcW w:w="217" w:type="dxa"/>
          </w:tcPr>
          <w:p w14:paraId="56C48DDC" w14:textId="77777777" w:rsidR="002C0FD9" w:rsidRPr="00CA25CF" w:rsidRDefault="002C0FD9" w:rsidP="00CA25CF">
            <w:pPr>
              <w:rPr>
                <w:rFonts w:cs="Arial"/>
                <w:color w:val="FF0000"/>
                <w:sz w:val="21"/>
                <w:szCs w:val="21"/>
              </w:rPr>
            </w:pPr>
          </w:p>
        </w:tc>
        <w:tc>
          <w:tcPr>
            <w:tcW w:w="217" w:type="dxa"/>
          </w:tcPr>
          <w:p w14:paraId="4D830870" w14:textId="77777777" w:rsidR="002C0FD9" w:rsidRPr="00CA25CF" w:rsidRDefault="002C0FD9" w:rsidP="00CA25CF">
            <w:pPr>
              <w:rPr>
                <w:rFonts w:cs="Arial"/>
                <w:color w:val="FF0000"/>
                <w:sz w:val="21"/>
                <w:szCs w:val="21"/>
              </w:rPr>
            </w:pPr>
          </w:p>
        </w:tc>
        <w:tc>
          <w:tcPr>
            <w:tcW w:w="217" w:type="dxa"/>
          </w:tcPr>
          <w:p w14:paraId="36E79086" w14:textId="77777777" w:rsidR="002C0FD9" w:rsidRPr="00CA25CF" w:rsidRDefault="002C0FD9" w:rsidP="00CA25CF">
            <w:pPr>
              <w:rPr>
                <w:rFonts w:cs="Arial"/>
                <w:color w:val="FF0000"/>
                <w:sz w:val="21"/>
                <w:szCs w:val="21"/>
              </w:rPr>
            </w:pPr>
          </w:p>
        </w:tc>
        <w:tc>
          <w:tcPr>
            <w:tcW w:w="217" w:type="dxa"/>
          </w:tcPr>
          <w:p w14:paraId="6CA0245E" w14:textId="77777777" w:rsidR="002C0FD9" w:rsidRPr="00CA25CF" w:rsidRDefault="002C0FD9" w:rsidP="00CA25CF">
            <w:pPr>
              <w:rPr>
                <w:rFonts w:cs="Arial"/>
                <w:color w:val="FF0000"/>
                <w:sz w:val="21"/>
                <w:szCs w:val="21"/>
              </w:rPr>
            </w:pPr>
          </w:p>
        </w:tc>
        <w:tc>
          <w:tcPr>
            <w:tcW w:w="217" w:type="dxa"/>
          </w:tcPr>
          <w:p w14:paraId="56A0131F" w14:textId="77777777" w:rsidR="002C0FD9" w:rsidRPr="00CA25CF" w:rsidRDefault="002C0FD9" w:rsidP="00CA25CF">
            <w:pPr>
              <w:rPr>
                <w:rFonts w:cs="Arial"/>
                <w:color w:val="FF0000"/>
                <w:sz w:val="21"/>
                <w:szCs w:val="21"/>
              </w:rPr>
            </w:pPr>
          </w:p>
        </w:tc>
        <w:tc>
          <w:tcPr>
            <w:tcW w:w="217" w:type="dxa"/>
          </w:tcPr>
          <w:p w14:paraId="560A7888" w14:textId="77777777" w:rsidR="002C0FD9" w:rsidRPr="00CA25CF" w:rsidRDefault="002C0FD9" w:rsidP="00CA25CF">
            <w:pPr>
              <w:rPr>
                <w:rFonts w:cs="Arial"/>
                <w:color w:val="FF0000"/>
                <w:sz w:val="21"/>
                <w:szCs w:val="21"/>
              </w:rPr>
            </w:pPr>
          </w:p>
        </w:tc>
        <w:tc>
          <w:tcPr>
            <w:tcW w:w="217" w:type="dxa"/>
          </w:tcPr>
          <w:p w14:paraId="6ABEE54D" w14:textId="77777777" w:rsidR="002C0FD9" w:rsidRPr="00CA25CF" w:rsidRDefault="002C0FD9" w:rsidP="00CA25CF">
            <w:pPr>
              <w:rPr>
                <w:rFonts w:cs="Arial"/>
                <w:color w:val="FF0000"/>
                <w:sz w:val="21"/>
                <w:szCs w:val="21"/>
              </w:rPr>
            </w:pPr>
          </w:p>
        </w:tc>
        <w:tc>
          <w:tcPr>
            <w:tcW w:w="217" w:type="dxa"/>
          </w:tcPr>
          <w:p w14:paraId="386FAA64" w14:textId="77777777" w:rsidR="002C0FD9" w:rsidRPr="00CA25CF" w:rsidRDefault="002C0FD9" w:rsidP="00CA25CF">
            <w:pPr>
              <w:rPr>
                <w:rFonts w:cs="Arial"/>
                <w:color w:val="FF0000"/>
                <w:sz w:val="21"/>
                <w:szCs w:val="21"/>
              </w:rPr>
            </w:pPr>
          </w:p>
        </w:tc>
        <w:tc>
          <w:tcPr>
            <w:tcW w:w="217" w:type="dxa"/>
          </w:tcPr>
          <w:p w14:paraId="2EE89BFD" w14:textId="77777777" w:rsidR="002C0FD9" w:rsidRPr="00CA25CF" w:rsidRDefault="002C0FD9" w:rsidP="00CA25CF">
            <w:pPr>
              <w:rPr>
                <w:rFonts w:cs="Arial"/>
                <w:color w:val="FF0000"/>
                <w:sz w:val="21"/>
                <w:szCs w:val="21"/>
              </w:rPr>
            </w:pPr>
          </w:p>
        </w:tc>
        <w:tc>
          <w:tcPr>
            <w:tcW w:w="217" w:type="dxa"/>
          </w:tcPr>
          <w:p w14:paraId="2CB514B3" w14:textId="77777777" w:rsidR="002C0FD9" w:rsidRPr="00CA25CF" w:rsidRDefault="002C0FD9" w:rsidP="00CA25CF">
            <w:pPr>
              <w:rPr>
                <w:rFonts w:cs="Arial"/>
                <w:color w:val="FF0000"/>
                <w:sz w:val="21"/>
                <w:szCs w:val="21"/>
              </w:rPr>
            </w:pPr>
          </w:p>
        </w:tc>
        <w:tc>
          <w:tcPr>
            <w:tcW w:w="217" w:type="dxa"/>
          </w:tcPr>
          <w:p w14:paraId="39E7DE0F" w14:textId="77777777" w:rsidR="002C0FD9" w:rsidRPr="00CA25CF" w:rsidRDefault="002C0FD9" w:rsidP="00CA25CF">
            <w:pPr>
              <w:rPr>
                <w:rFonts w:cs="Arial"/>
                <w:color w:val="FF0000"/>
                <w:sz w:val="21"/>
                <w:szCs w:val="21"/>
              </w:rPr>
            </w:pPr>
          </w:p>
        </w:tc>
        <w:tc>
          <w:tcPr>
            <w:tcW w:w="217" w:type="dxa"/>
          </w:tcPr>
          <w:p w14:paraId="0F3EC6C9" w14:textId="77777777" w:rsidR="002C0FD9" w:rsidRPr="00CA25CF" w:rsidRDefault="002C0FD9" w:rsidP="00CA25CF">
            <w:pPr>
              <w:rPr>
                <w:rFonts w:cs="Arial"/>
                <w:color w:val="FF0000"/>
                <w:sz w:val="21"/>
                <w:szCs w:val="21"/>
              </w:rPr>
            </w:pPr>
          </w:p>
        </w:tc>
        <w:tc>
          <w:tcPr>
            <w:tcW w:w="217" w:type="dxa"/>
          </w:tcPr>
          <w:p w14:paraId="765CBE9E" w14:textId="77777777" w:rsidR="002C0FD9" w:rsidRPr="00CA25CF" w:rsidRDefault="002C0FD9" w:rsidP="00CA25CF">
            <w:pPr>
              <w:rPr>
                <w:rFonts w:cs="Arial"/>
                <w:color w:val="FF0000"/>
                <w:sz w:val="21"/>
                <w:szCs w:val="21"/>
              </w:rPr>
            </w:pPr>
          </w:p>
        </w:tc>
        <w:tc>
          <w:tcPr>
            <w:tcW w:w="217" w:type="dxa"/>
          </w:tcPr>
          <w:p w14:paraId="5F09BD0A" w14:textId="77777777" w:rsidR="002C0FD9" w:rsidRPr="00CA25CF" w:rsidRDefault="002C0FD9" w:rsidP="00CA25CF">
            <w:pPr>
              <w:rPr>
                <w:rFonts w:cs="Arial"/>
                <w:color w:val="FF0000"/>
                <w:sz w:val="21"/>
                <w:szCs w:val="21"/>
              </w:rPr>
            </w:pPr>
          </w:p>
        </w:tc>
        <w:tc>
          <w:tcPr>
            <w:tcW w:w="217" w:type="dxa"/>
          </w:tcPr>
          <w:p w14:paraId="13A61C66" w14:textId="77777777" w:rsidR="002C0FD9" w:rsidRPr="00CA25CF" w:rsidRDefault="002C0FD9" w:rsidP="00CA25CF">
            <w:pPr>
              <w:rPr>
                <w:rFonts w:cs="Arial"/>
                <w:color w:val="FF0000"/>
                <w:sz w:val="21"/>
                <w:szCs w:val="21"/>
              </w:rPr>
            </w:pPr>
          </w:p>
        </w:tc>
        <w:tc>
          <w:tcPr>
            <w:tcW w:w="217" w:type="dxa"/>
          </w:tcPr>
          <w:p w14:paraId="669C40E1" w14:textId="77777777" w:rsidR="002C0FD9" w:rsidRPr="00CA25CF" w:rsidRDefault="002C0FD9" w:rsidP="00CA25CF">
            <w:pPr>
              <w:rPr>
                <w:rFonts w:cs="Arial"/>
                <w:color w:val="FF0000"/>
                <w:sz w:val="21"/>
                <w:szCs w:val="21"/>
              </w:rPr>
            </w:pPr>
          </w:p>
        </w:tc>
        <w:tc>
          <w:tcPr>
            <w:tcW w:w="217" w:type="dxa"/>
          </w:tcPr>
          <w:p w14:paraId="1371F10D" w14:textId="77777777" w:rsidR="002C0FD9" w:rsidRPr="00CA25CF" w:rsidRDefault="002C0FD9" w:rsidP="00CA25CF">
            <w:pPr>
              <w:rPr>
                <w:rFonts w:cs="Arial"/>
                <w:color w:val="FF0000"/>
                <w:sz w:val="21"/>
                <w:szCs w:val="21"/>
              </w:rPr>
            </w:pPr>
          </w:p>
        </w:tc>
        <w:tc>
          <w:tcPr>
            <w:tcW w:w="217" w:type="dxa"/>
          </w:tcPr>
          <w:p w14:paraId="15393620" w14:textId="77777777" w:rsidR="002C0FD9" w:rsidRPr="00CA25CF" w:rsidRDefault="002C0FD9" w:rsidP="00CA25CF">
            <w:pPr>
              <w:rPr>
                <w:rFonts w:cs="Arial"/>
                <w:color w:val="FF0000"/>
                <w:sz w:val="21"/>
                <w:szCs w:val="21"/>
              </w:rPr>
            </w:pPr>
          </w:p>
        </w:tc>
        <w:tc>
          <w:tcPr>
            <w:tcW w:w="217" w:type="dxa"/>
          </w:tcPr>
          <w:p w14:paraId="4EDE1828" w14:textId="77777777" w:rsidR="002C0FD9" w:rsidRPr="00CA25CF" w:rsidRDefault="002C0FD9" w:rsidP="00CA25CF">
            <w:pPr>
              <w:rPr>
                <w:rFonts w:cs="Arial"/>
                <w:color w:val="FF0000"/>
                <w:sz w:val="21"/>
                <w:szCs w:val="21"/>
              </w:rPr>
            </w:pPr>
          </w:p>
        </w:tc>
        <w:tc>
          <w:tcPr>
            <w:tcW w:w="217" w:type="dxa"/>
          </w:tcPr>
          <w:p w14:paraId="395188A7" w14:textId="77777777" w:rsidR="002C0FD9" w:rsidRPr="00CA25CF" w:rsidRDefault="002C0FD9" w:rsidP="00CA25CF">
            <w:pPr>
              <w:rPr>
                <w:rFonts w:cs="Arial"/>
                <w:color w:val="FF0000"/>
                <w:sz w:val="21"/>
                <w:szCs w:val="21"/>
              </w:rPr>
            </w:pPr>
          </w:p>
        </w:tc>
        <w:tc>
          <w:tcPr>
            <w:tcW w:w="217" w:type="dxa"/>
          </w:tcPr>
          <w:p w14:paraId="07F44B82" w14:textId="77777777" w:rsidR="002C0FD9" w:rsidRPr="00CA25CF" w:rsidRDefault="002C0FD9" w:rsidP="00CA25CF">
            <w:pPr>
              <w:rPr>
                <w:rFonts w:cs="Arial"/>
                <w:color w:val="FF0000"/>
                <w:sz w:val="21"/>
                <w:szCs w:val="21"/>
              </w:rPr>
            </w:pPr>
          </w:p>
        </w:tc>
        <w:tc>
          <w:tcPr>
            <w:tcW w:w="217" w:type="dxa"/>
          </w:tcPr>
          <w:p w14:paraId="42016FBA" w14:textId="77777777" w:rsidR="002C0FD9" w:rsidRPr="00CA25CF" w:rsidRDefault="002C0FD9" w:rsidP="00CA25CF">
            <w:pPr>
              <w:rPr>
                <w:rFonts w:cs="Arial"/>
                <w:color w:val="FF0000"/>
                <w:sz w:val="21"/>
                <w:szCs w:val="21"/>
              </w:rPr>
            </w:pPr>
          </w:p>
        </w:tc>
        <w:tc>
          <w:tcPr>
            <w:tcW w:w="217" w:type="dxa"/>
          </w:tcPr>
          <w:p w14:paraId="4C280092" w14:textId="77777777" w:rsidR="002C0FD9" w:rsidRPr="00CA25CF" w:rsidRDefault="002C0FD9" w:rsidP="00CA25CF">
            <w:pPr>
              <w:rPr>
                <w:rFonts w:cs="Arial"/>
                <w:color w:val="FF0000"/>
                <w:sz w:val="21"/>
                <w:szCs w:val="21"/>
              </w:rPr>
            </w:pPr>
          </w:p>
        </w:tc>
        <w:tc>
          <w:tcPr>
            <w:tcW w:w="217" w:type="dxa"/>
          </w:tcPr>
          <w:p w14:paraId="35AABE40" w14:textId="77777777" w:rsidR="002C0FD9" w:rsidRPr="00CA25CF" w:rsidRDefault="002C0FD9" w:rsidP="00CA25CF">
            <w:pPr>
              <w:rPr>
                <w:rFonts w:cs="Arial"/>
                <w:color w:val="FF0000"/>
                <w:sz w:val="21"/>
                <w:szCs w:val="21"/>
              </w:rPr>
            </w:pPr>
          </w:p>
        </w:tc>
        <w:tc>
          <w:tcPr>
            <w:tcW w:w="217" w:type="dxa"/>
          </w:tcPr>
          <w:p w14:paraId="72517596" w14:textId="77777777" w:rsidR="002C0FD9" w:rsidRPr="00CA25CF" w:rsidRDefault="002C0FD9" w:rsidP="00CA25CF">
            <w:pPr>
              <w:rPr>
                <w:rFonts w:cs="Arial"/>
                <w:color w:val="FF0000"/>
                <w:sz w:val="21"/>
                <w:szCs w:val="21"/>
              </w:rPr>
            </w:pPr>
          </w:p>
        </w:tc>
        <w:tc>
          <w:tcPr>
            <w:tcW w:w="217" w:type="dxa"/>
          </w:tcPr>
          <w:p w14:paraId="3A19019D" w14:textId="77777777" w:rsidR="002C0FD9" w:rsidRPr="00CA25CF" w:rsidRDefault="002C0FD9" w:rsidP="00CA25CF">
            <w:pPr>
              <w:rPr>
                <w:rFonts w:cs="Arial"/>
                <w:color w:val="FF0000"/>
                <w:sz w:val="21"/>
                <w:szCs w:val="21"/>
              </w:rPr>
            </w:pPr>
          </w:p>
        </w:tc>
        <w:tc>
          <w:tcPr>
            <w:tcW w:w="217" w:type="dxa"/>
          </w:tcPr>
          <w:p w14:paraId="6C5FC31E" w14:textId="77777777" w:rsidR="002C0FD9" w:rsidRPr="00CA25CF" w:rsidRDefault="002C0FD9" w:rsidP="00CA25CF">
            <w:pPr>
              <w:rPr>
                <w:rFonts w:cs="Arial"/>
                <w:color w:val="FF0000"/>
                <w:sz w:val="21"/>
                <w:szCs w:val="21"/>
              </w:rPr>
            </w:pPr>
          </w:p>
        </w:tc>
        <w:tc>
          <w:tcPr>
            <w:tcW w:w="217" w:type="dxa"/>
          </w:tcPr>
          <w:p w14:paraId="30CD42FF" w14:textId="77777777" w:rsidR="002C0FD9" w:rsidRPr="00CA25CF" w:rsidRDefault="002C0FD9" w:rsidP="00CA25CF">
            <w:pPr>
              <w:rPr>
                <w:rFonts w:cs="Arial"/>
                <w:color w:val="FF0000"/>
                <w:sz w:val="21"/>
                <w:szCs w:val="21"/>
              </w:rPr>
            </w:pPr>
          </w:p>
        </w:tc>
        <w:tc>
          <w:tcPr>
            <w:tcW w:w="217" w:type="dxa"/>
          </w:tcPr>
          <w:p w14:paraId="4D8FF618" w14:textId="77777777" w:rsidR="002C0FD9" w:rsidRPr="00CA25CF" w:rsidRDefault="002C0FD9" w:rsidP="00CA25CF">
            <w:pPr>
              <w:rPr>
                <w:rFonts w:cs="Arial"/>
                <w:color w:val="FF0000"/>
                <w:sz w:val="21"/>
                <w:szCs w:val="21"/>
              </w:rPr>
            </w:pPr>
          </w:p>
        </w:tc>
        <w:tc>
          <w:tcPr>
            <w:tcW w:w="217" w:type="dxa"/>
          </w:tcPr>
          <w:p w14:paraId="26E0DF2C" w14:textId="77777777" w:rsidR="002C0FD9" w:rsidRPr="00CA25CF" w:rsidRDefault="002C0FD9" w:rsidP="00CA25CF">
            <w:pPr>
              <w:rPr>
                <w:rFonts w:cs="Arial"/>
                <w:color w:val="FF0000"/>
                <w:sz w:val="21"/>
                <w:szCs w:val="21"/>
              </w:rPr>
            </w:pPr>
          </w:p>
        </w:tc>
        <w:tc>
          <w:tcPr>
            <w:tcW w:w="217" w:type="dxa"/>
          </w:tcPr>
          <w:p w14:paraId="1BDE5668" w14:textId="77777777" w:rsidR="002C0FD9" w:rsidRPr="00CA25CF" w:rsidRDefault="002C0FD9" w:rsidP="00CA25CF">
            <w:pPr>
              <w:rPr>
                <w:rFonts w:cs="Arial"/>
                <w:color w:val="FF0000"/>
                <w:sz w:val="21"/>
                <w:szCs w:val="21"/>
              </w:rPr>
            </w:pPr>
          </w:p>
        </w:tc>
        <w:tc>
          <w:tcPr>
            <w:tcW w:w="217" w:type="dxa"/>
          </w:tcPr>
          <w:p w14:paraId="3BA588D5" w14:textId="77777777" w:rsidR="002C0FD9" w:rsidRPr="00CA25CF" w:rsidRDefault="002C0FD9" w:rsidP="00CA25CF">
            <w:pPr>
              <w:rPr>
                <w:rFonts w:cs="Arial"/>
                <w:color w:val="FF0000"/>
                <w:sz w:val="21"/>
                <w:szCs w:val="21"/>
              </w:rPr>
            </w:pPr>
          </w:p>
        </w:tc>
        <w:tc>
          <w:tcPr>
            <w:tcW w:w="217" w:type="dxa"/>
          </w:tcPr>
          <w:p w14:paraId="587F1DEE" w14:textId="77777777" w:rsidR="002C0FD9" w:rsidRPr="00CA25CF" w:rsidRDefault="002C0FD9" w:rsidP="00CA25CF">
            <w:pPr>
              <w:rPr>
                <w:rFonts w:cs="Arial"/>
                <w:color w:val="FF0000"/>
                <w:sz w:val="21"/>
                <w:szCs w:val="21"/>
              </w:rPr>
            </w:pPr>
          </w:p>
        </w:tc>
      </w:tr>
      <w:tr w:rsidR="002C0FD9" w:rsidRPr="00A16219" w14:paraId="5E4910B2" w14:textId="77777777" w:rsidTr="002C0FD9">
        <w:trPr>
          <w:trHeight w:val="635"/>
        </w:trPr>
        <w:tc>
          <w:tcPr>
            <w:tcW w:w="515" w:type="dxa"/>
          </w:tcPr>
          <w:p w14:paraId="2ABD0426" w14:textId="77777777" w:rsidR="002C0FD9" w:rsidRPr="00CA25CF" w:rsidRDefault="002C0FD9" w:rsidP="00CA25CF">
            <w:pPr>
              <w:rPr>
                <w:rFonts w:cs="Arial"/>
                <w:color w:val="FF0000"/>
                <w:sz w:val="21"/>
                <w:szCs w:val="21"/>
              </w:rPr>
            </w:pPr>
          </w:p>
        </w:tc>
        <w:tc>
          <w:tcPr>
            <w:tcW w:w="217" w:type="dxa"/>
          </w:tcPr>
          <w:p w14:paraId="3054F455" w14:textId="77777777" w:rsidR="002C0FD9" w:rsidRPr="00CA25CF" w:rsidRDefault="002C0FD9" w:rsidP="00CA25CF">
            <w:pPr>
              <w:rPr>
                <w:rFonts w:cs="Arial"/>
                <w:color w:val="FF0000"/>
                <w:sz w:val="21"/>
                <w:szCs w:val="21"/>
              </w:rPr>
            </w:pPr>
          </w:p>
        </w:tc>
        <w:tc>
          <w:tcPr>
            <w:tcW w:w="217" w:type="dxa"/>
          </w:tcPr>
          <w:p w14:paraId="462E2224" w14:textId="77777777" w:rsidR="002C0FD9" w:rsidRPr="00CA25CF" w:rsidRDefault="002C0FD9" w:rsidP="00CA25CF">
            <w:pPr>
              <w:rPr>
                <w:rFonts w:cs="Arial"/>
                <w:color w:val="FF0000"/>
                <w:sz w:val="21"/>
                <w:szCs w:val="21"/>
              </w:rPr>
            </w:pPr>
          </w:p>
        </w:tc>
        <w:tc>
          <w:tcPr>
            <w:tcW w:w="217" w:type="dxa"/>
          </w:tcPr>
          <w:p w14:paraId="72E0A0EF" w14:textId="77777777" w:rsidR="002C0FD9" w:rsidRPr="00CA25CF" w:rsidRDefault="002C0FD9" w:rsidP="00CA25CF">
            <w:pPr>
              <w:rPr>
                <w:rFonts w:cs="Arial"/>
                <w:color w:val="FF0000"/>
                <w:sz w:val="21"/>
                <w:szCs w:val="21"/>
              </w:rPr>
            </w:pPr>
          </w:p>
        </w:tc>
        <w:tc>
          <w:tcPr>
            <w:tcW w:w="217" w:type="dxa"/>
          </w:tcPr>
          <w:p w14:paraId="2E8AD335" w14:textId="77777777" w:rsidR="002C0FD9" w:rsidRPr="00CA25CF" w:rsidRDefault="002C0FD9" w:rsidP="00CA25CF">
            <w:pPr>
              <w:rPr>
                <w:rFonts w:cs="Arial"/>
                <w:color w:val="FF0000"/>
                <w:sz w:val="21"/>
                <w:szCs w:val="21"/>
              </w:rPr>
            </w:pPr>
          </w:p>
        </w:tc>
        <w:tc>
          <w:tcPr>
            <w:tcW w:w="217" w:type="dxa"/>
          </w:tcPr>
          <w:p w14:paraId="1ED55EC4" w14:textId="77777777" w:rsidR="002C0FD9" w:rsidRPr="00CA25CF" w:rsidRDefault="002C0FD9" w:rsidP="00CA25CF">
            <w:pPr>
              <w:rPr>
                <w:rFonts w:cs="Arial"/>
                <w:color w:val="FF0000"/>
                <w:sz w:val="21"/>
                <w:szCs w:val="21"/>
              </w:rPr>
            </w:pPr>
          </w:p>
        </w:tc>
        <w:tc>
          <w:tcPr>
            <w:tcW w:w="217" w:type="dxa"/>
          </w:tcPr>
          <w:p w14:paraId="7AA135C1" w14:textId="77777777" w:rsidR="002C0FD9" w:rsidRPr="00CA25CF" w:rsidRDefault="002C0FD9" w:rsidP="00CA25CF">
            <w:pPr>
              <w:rPr>
                <w:rFonts w:cs="Arial"/>
                <w:color w:val="FF0000"/>
                <w:sz w:val="21"/>
                <w:szCs w:val="21"/>
              </w:rPr>
            </w:pPr>
          </w:p>
        </w:tc>
        <w:tc>
          <w:tcPr>
            <w:tcW w:w="217" w:type="dxa"/>
          </w:tcPr>
          <w:p w14:paraId="159821EE" w14:textId="77777777" w:rsidR="002C0FD9" w:rsidRPr="00CA25CF" w:rsidRDefault="002C0FD9" w:rsidP="00CA25CF">
            <w:pPr>
              <w:rPr>
                <w:rFonts w:cs="Arial"/>
                <w:color w:val="FF0000"/>
                <w:sz w:val="21"/>
                <w:szCs w:val="21"/>
              </w:rPr>
            </w:pPr>
          </w:p>
        </w:tc>
        <w:tc>
          <w:tcPr>
            <w:tcW w:w="217" w:type="dxa"/>
          </w:tcPr>
          <w:p w14:paraId="085A61D5" w14:textId="77777777" w:rsidR="002C0FD9" w:rsidRPr="00CA25CF" w:rsidRDefault="002C0FD9" w:rsidP="00CA25CF">
            <w:pPr>
              <w:rPr>
                <w:rFonts w:cs="Arial"/>
                <w:color w:val="FF0000"/>
                <w:sz w:val="21"/>
                <w:szCs w:val="21"/>
              </w:rPr>
            </w:pPr>
          </w:p>
        </w:tc>
        <w:tc>
          <w:tcPr>
            <w:tcW w:w="217" w:type="dxa"/>
          </w:tcPr>
          <w:p w14:paraId="0E67EEF7" w14:textId="77777777" w:rsidR="002C0FD9" w:rsidRPr="00CA25CF" w:rsidRDefault="002C0FD9" w:rsidP="00CA25CF">
            <w:pPr>
              <w:rPr>
                <w:rFonts w:cs="Arial"/>
                <w:color w:val="FF0000"/>
                <w:sz w:val="21"/>
                <w:szCs w:val="21"/>
              </w:rPr>
            </w:pPr>
          </w:p>
        </w:tc>
        <w:tc>
          <w:tcPr>
            <w:tcW w:w="217" w:type="dxa"/>
          </w:tcPr>
          <w:p w14:paraId="44473141" w14:textId="77777777" w:rsidR="002C0FD9" w:rsidRPr="00CA25CF" w:rsidRDefault="002C0FD9" w:rsidP="00CA25CF">
            <w:pPr>
              <w:rPr>
                <w:rFonts w:cs="Arial"/>
                <w:color w:val="FF0000"/>
                <w:sz w:val="21"/>
                <w:szCs w:val="21"/>
              </w:rPr>
            </w:pPr>
          </w:p>
        </w:tc>
        <w:tc>
          <w:tcPr>
            <w:tcW w:w="217" w:type="dxa"/>
          </w:tcPr>
          <w:p w14:paraId="7A3954F0" w14:textId="77777777" w:rsidR="002C0FD9" w:rsidRPr="00CA25CF" w:rsidRDefault="002C0FD9" w:rsidP="00CA25CF">
            <w:pPr>
              <w:rPr>
                <w:rFonts w:cs="Arial"/>
                <w:color w:val="FF0000"/>
                <w:sz w:val="21"/>
                <w:szCs w:val="21"/>
              </w:rPr>
            </w:pPr>
          </w:p>
        </w:tc>
        <w:tc>
          <w:tcPr>
            <w:tcW w:w="217" w:type="dxa"/>
          </w:tcPr>
          <w:p w14:paraId="047C8296" w14:textId="77777777" w:rsidR="002C0FD9" w:rsidRPr="00CA25CF" w:rsidRDefault="002C0FD9" w:rsidP="00CA25CF">
            <w:pPr>
              <w:rPr>
                <w:rFonts w:cs="Arial"/>
                <w:color w:val="FF0000"/>
                <w:sz w:val="21"/>
                <w:szCs w:val="21"/>
              </w:rPr>
            </w:pPr>
          </w:p>
        </w:tc>
        <w:tc>
          <w:tcPr>
            <w:tcW w:w="217" w:type="dxa"/>
          </w:tcPr>
          <w:p w14:paraId="37AA70A9" w14:textId="77777777" w:rsidR="002C0FD9" w:rsidRPr="00CA25CF" w:rsidRDefault="002C0FD9" w:rsidP="00CA25CF">
            <w:pPr>
              <w:rPr>
                <w:rFonts w:cs="Arial"/>
                <w:color w:val="FF0000"/>
                <w:sz w:val="21"/>
                <w:szCs w:val="21"/>
              </w:rPr>
            </w:pPr>
          </w:p>
        </w:tc>
        <w:tc>
          <w:tcPr>
            <w:tcW w:w="217" w:type="dxa"/>
          </w:tcPr>
          <w:p w14:paraId="20B0D7C4" w14:textId="77777777" w:rsidR="002C0FD9" w:rsidRPr="00CA25CF" w:rsidRDefault="002C0FD9" w:rsidP="00CA25CF">
            <w:pPr>
              <w:rPr>
                <w:rFonts w:cs="Arial"/>
                <w:color w:val="FF0000"/>
                <w:sz w:val="21"/>
                <w:szCs w:val="21"/>
              </w:rPr>
            </w:pPr>
          </w:p>
        </w:tc>
        <w:tc>
          <w:tcPr>
            <w:tcW w:w="217" w:type="dxa"/>
          </w:tcPr>
          <w:p w14:paraId="3B5241E9" w14:textId="77777777" w:rsidR="002C0FD9" w:rsidRPr="00CA25CF" w:rsidRDefault="002C0FD9" w:rsidP="00CA25CF">
            <w:pPr>
              <w:rPr>
                <w:rFonts w:cs="Arial"/>
                <w:color w:val="FF0000"/>
                <w:sz w:val="21"/>
                <w:szCs w:val="21"/>
              </w:rPr>
            </w:pPr>
          </w:p>
        </w:tc>
        <w:tc>
          <w:tcPr>
            <w:tcW w:w="217" w:type="dxa"/>
          </w:tcPr>
          <w:p w14:paraId="5DB75AF7" w14:textId="77777777" w:rsidR="002C0FD9" w:rsidRPr="00CA25CF" w:rsidRDefault="002C0FD9" w:rsidP="00CA25CF">
            <w:pPr>
              <w:rPr>
                <w:rFonts w:cs="Arial"/>
                <w:color w:val="FF0000"/>
                <w:sz w:val="21"/>
                <w:szCs w:val="21"/>
              </w:rPr>
            </w:pPr>
          </w:p>
        </w:tc>
        <w:tc>
          <w:tcPr>
            <w:tcW w:w="217" w:type="dxa"/>
          </w:tcPr>
          <w:p w14:paraId="5E298EF8" w14:textId="77777777" w:rsidR="002C0FD9" w:rsidRPr="00CA25CF" w:rsidRDefault="002C0FD9" w:rsidP="00CA25CF">
            <w:pPr>
              <w:rPr>
                <w:rFonts w:cs="Arial"/>
                <w:color w:val="FF0000"/>
                <w:sz w:val="21"/>
                <w:szCs w:val="21"/>
              </w:rPr>
            </w:pPr>
          </w:p>
        </w:tc>
        <w:tc>
          <w:tcPr>
            <w:tcW w:w="217" w:type="dxa"/>
          </w:tcPr>
          <w:p w14:paraId="7B5EA6BE" w14:textId="77777777" w:rsidR="002C0FD9" w:rsidRPr="00CA25CF" w:rsidRDefault="002C0FD9" w:rsidP="00CA25CF">
            <w:pPr>
              <w:rPr>
                <w:rFonts w:cs="Arial"/>
                <w:color w:val="FF0000"/>
                <w:sz w:val="21"/>
                <w:szCs w:val="21"/>
              </w:rPr>
            </w:pPr>
          </w:p>
        </w:tc>
        <w:tc>
          <w:tcPr>
            <w:tcW w:w="217" w:type="dxa"/>
          </w:tcPr>
          <w:p w14:paraId="792FC161" w14:textId="77777777" w:rsidR="002C0FD9" w:rsidRPr="00CA25CF" w:rsidRDefault="002C0FD9" w:rsidP="00CA25CF">
            <w:pPr>
              <w:rPr>
                <w:rFonts w:cs="Arial"/>
                <w:color w:val="FF0000"/>
                <w:sz w:val="21"/>
                <w:szCs w:val="21"/>
              </w:rPr>
            </w:pPr>
          </w:p>
        </w:tc>
        <w:tc>
          <w:tcPr>
            <w:tcW w:w="217" w:type="dxa"/>
          </w:tcPr>
          <w:p w14:paraId="381A97E8" w14:textId="77777777" w:rsidR="002C0FD9" w:rsidRPr="00CA25CF" w:rsidRDefault="002C0FD9" w:rsidP="00CA25CF">
            <w:pPr>
              <w:rPr>
                <w:rFonts w:cs="Arial"/>
                <w:color w:val="FF0000"/>
                <w:sz w:val="21"/>
                <w:szCs w:val="21"/>
              </w:rPr>
            </w:pPr>
          </w:p>
        </w:tc>
        <w:tc>
          <w:tcPr>
            <w:tcW w:w="217" w:type="dxa"/>
          </w:tcPr>
          <w:p w14:paraId="6F4267E2" w14:textId="77777777" w:rsidR="002C0FD9" w:rsidRPr="00CA25CF" w:rsidRDefault="002C0FD9" w:rsidP="00CA25CF">
            <w:pPr>
              <w:rPr>
                <w:rFonts w:cs="Arial"/>
                <w:color w:val="FF0000"/>
                <w:sz w:val="21"/>
                <w:szCs w:val="21"/>
              </w:rPr>
            </w:pPr>
          </w:p>
        </w:tc>
        <w:tc>
          <w:tcPr>
            <w:tcW w:w="217" w:type="dxa"/>
          </w:tcPr>
          <w:p w14:paraId="619849AD" w14:textId="77777777" w:rsidR="002C0FD9" w:rsidRPr="00CA25CF" w:rsidRDefault="002C0FD9" w:rsidP="00CA25CF">
            <w:pPr>
              <w:rPr>
                <w:rFonts w:cs="Arial"/>
                <w:color w:val="FF0000"/>
                <w:sz w:val="21"/>
                <w:szCs w:val="21"/>
              </w:rPr>
            </w:pPr>
          </w:p>
        </w:tc>
        <w:tc>
          <w:tcPr>
            <w:tcW w:w="217" w:type="dxa"/>
          </w:tcPr>
          <w:p w14:paraId="2A4F665D" w14:textId="77777777" w:rsidR="002C0FD9" w:rsidRPr="00CA25CF" w:rsidRDefault="002C0FD9" w:rsidP="00CA25CF">
            <w:pPr>
              <w:rPr>
                <w:rFonts w:cs="Arial"/>
                <w:color w:val="FF0000"/>
                <w:sz w:val="21"/>
                <w:szCs w:val="21"/>
              </w:rPr>
            </w:pPr>
          </w:p>
        </w:tc>
        <w:tc>
          <w:tcPr>
            <w:tcW w:w="217" w:type="dxa"/>
          </w:tcPr>
          <w:p w14:paraId="4316C292" w14:textId="77777777" w:rsidR="002C0FD9" w:rsidRPr="00CA25CF" w:rsidRDefault="002C0FD9" w:rsidP="00CA25CF">
            <w:pPr>
              <w:rPr>
                <w:rFonts w:cs="Arial"/>
                <w:color w:val="FF0000"/>
                <w:sz w:val="21"/>
                <w:szCs w:val="21"/>
              </w:rPr>
            </w:pPr>
          </w:p>
        </w:tc>
        <w:tc>
          <w:tcPr>
            <w:tcW w:w="217" w:type="dxa"/>
          </w:tcPr>
          <w:p w14:paraId="5B332B23" w14:textId="77777777" w:rsidR="002C0FD9" w:rsidRPr="00CA25CF" w:rsidRDefault="002C0FD9" w:rsidP="00CA25CF">
            <w:pPr>
              <w:rPr>
                <w:rFonts w:cs="Arial"/>
                <w:color w:val="FF0000"/>
                <w:sz w:val="21"/>
                <w:szCs w:val="21"/>
              </w:rPr>
            </w:pPr>
          </w:p>
        </w:tc>
        <w:tc>
          <w:tcPr>
            <w:tcW w:w="217" w:type="dxa"/>
          </w:tcPr>
          <w:p w14:paraId="550ABE39" w14:textId="77777777" w:rsidR="002C0FD9" w:rsidRPr="00CA25CF" w:rsidRDefault="002C0FD9" w:rsidP="00CA25CF">
            <w:pPr>
              <w:rPr>
                <w:rFonts w:cs="Arial"/>
                <w:color w:val="FF0000"/>
                <w:sz w:val="21"/>
                <w:szCs w:val="21"/>
              </w:rPr>
            </w:pPr>
          </w:p>
        </w:tc>
        <w:tc>
          <w:tcPr>
            <w:tcW w:w="217" w:type="dxa"/>
          </w:tcPr>
          <w:p w14:paraId="183068C0" w14:textId="77777777" w:rsidR="002C0FD9" w:rsidRPr="00CA25CF" w:rsidRDefault="002C0FD9" w:rsidP="00CA25CF">
            <w:pPr>
              <w:rPr>
                <w:rFonts w:cs="Arial"/>
                <w:color w:val="FF0000"/>
                <w:sz w:val="21"/>
                <w:szCs w:val="21"/>
              </w:rPr>
            </w:pPr>
          </w:p>
        </w:tc>
        <w:tc>
          <w:tcPr>
            <w:tcW w:w="217" w:type="dxa"/>
          </w:tcPr>
          <w:p w14:paraId="142F51A3" w14:textId="77777777" w:rsidR="002C0FD9" w:rsidRPr="00CA25CF" w:rsidRDefault="002C0FD9" w:rsidP="00CA25CF">
            <w:pPr>
              <w:rPr>
                <w:rFonts w:cs="Arial"/>
                <w:color w:val="FF0000"/>
                <w:sz w:val="21"/>
                <w:szCs w:val="21"/>
              </w:rPr>
            </w:pPr>
          </w:p>
        </w:tc>
        <w:tc>
          <w:tcPr>
            <w:tcW w:w="217" w:type="dxa"/>
          </w:tcPr>
          <w:p w14:paraId="765BA36B" w14:textId="77777777" w:rsidR="002C0FD9" w:rsidRPr="00CA25CF" w:rsidRDefault="002C0FD9" w:rsidP="00CA25CF">
            <w:pPr>
              <w:rPr>
                <w:rFonts w:cs="Arial"/>
                <w:color w:val="FF0000"/>
                <w:sz w:val="21"/>
                <w:szCs w:val="21"/>
              </w:rPr>
            </w:pPr>
          </w:p>
        </w:tc>
        <w:tc>
          <w:tcPr>
            <w:tcW w:w="217" w:type="dxa"/>
          </w:tcPr>
          <w:p w14:paraId="34992B78" w14:textId="77777777" w:rsidR="002C0FD9" w:rsidRPr="00CA25CF" w:rsidRDefault="002C0FD9" w:rsidP="00CA25CF">
            <w:pPr>
              <w:rPr>
                <w:rFonts w:cs="Arial"/>
                <w:color w:val="FF0000"/>
                <w:sz w:val="21"/>
                <w:szCs w:val="21"/>
              </w:rPr>
            </w:pPr>
          </w:p>
        </w:tc>
        <w:tc>
          <w:tcPr>
            <w:tcW w:w="217" w:type="dxa"/>
          </w:tcPr>
          <w:p w14:paraId="73256E23" w14:textId="77777777" w:rsidR="002C0FD9" w:rsidRPr="00CA25CF" w:rsidRDefault="002C0FD9" w:rsidP="00CA25CF">
            <w:pPr>
              <w:rPr>
                <w:rFonts w:cs="Arial"/>
                <w:color w:val="FF0000"/>
                <w:sz w:val="21"/>
                <w:szCs w:val="21"/>
              </w:rPr>
            </w:pPr>
          </w:p>
        </w:tc>
        <w:tc>
          <w:tcPr>
            <w:tcW w:w="217" w:type="dxa"/>
          </w:tcPr>
          <w:p w14:paraId="7DFF22DB" w14:textId="77777777" w:rsidR="002C0FD9" w:rsidRPr="00CA25CF" w:rsidRDefault="002C0FD9" w:rsidP="00CA25CF">
            <w:pPr>
              <w:rPr>
                <w:rFonts w:cs="Arial"/>
                <w:color w:val="FF0000"/>
                <w:sz w:val="21"/>
                <w:szCs w:val="21"/>
              </w:rPr>
            </w:pPr>
          </w:p>
        </w:tc>
        <w:tc>
          <w:tcPr>
            <w:tcW w:w="217" w:type="dxa"/>
          </w:tcPr>
          <w:p w14:paraId="3FE92C36" w14:textId="77777777" w:rsidR="002C0FD9" w:rsidRPr="00CA25CF" w:rsidRDefault="002C0FD9" w:rsidP="00CA25CF">
            <w:pPr>
              <w:rPr>
                <w:rFonts w:cs="Arial"/>
                <w:color w:val="FF0000"/>
                <w:sz w:val="21"/>
                <w:szCs w:val="21"/>
              </w:rPr>
            </w:pPr>
          </w:p>
        </w:tc>
        <w:tc>
          <w:tcPr>
            <w:tcW w:w="217" w:type="dxa"/>
          </w:tcPr>
          <w:p w14:paraId="6F51E8CF" w14:textId="77777777" w:rsidR="002C0FD9" w:rsidRPr="00CA25CF" w:rsidRDefault="002C0FD9" w:rsidP="00CA25CF">
            <w:pPr>
              <w:rPr>
                <w:rFonts w:cs="Arial"/>
                <w:color w:val="FF0000"/>
                <w:sz w:val="21"/>
                <w:szCs w:val="21"/>
              </w:rPr>
            </w:pPr>
          </w:p>
        </w:tc>
        <w:tc>
          <w:tcPr>
            <w:tcW w:w="217" w:type="dxa"/>
          </w:tcPr>
          <w:p w14:paraId="345D3B32" w14:textId="77777777" w:rsidR="002C0FD9" w:rsidRPr="00CA25CF" w:rsidRDefault="002C0FD9" w:rsidP="00CA25CF">
            <w:pPr>
              <w:rPr>
                <w:rFonts w:cs="Arial"/>
                <w:color w:val="FF0000"/>
                <w:sz w:val="21"/>
                <w:szCs w:val="21"/>
              </w:rPr>
            </w:pPr>
          </w:p>
        </w:tc>
        <w:tc>
          <w:tcPr>
            <w:tcW w:w="217" w:type="dxa"/>
          </w:tcPr>
          <w:p w14:paraId="77B4B983" w14:textId="77777777" w:rsidR="002C0FD9" w:rsidRPr="00CA25CF" w:rsidRDefault="002C0FD9" w:rsidP="00CA25CF">
            <w:pPr>
              <w:rPr>
                <w:rFonts w:cs="Arial"/>
                <w:color w:val="FF0000"/>
                <w:sz w:val="21"/>
                <w:szCs w:val="21"/>
              </w:rPr>
            </w:pPr>
          </w:p>
        </w:tc>
        <w:tc>
          <w:tcPr>
            <w:tcW w:w="217" w:type="dxa"/>
          </w:tcPr>
          <w:p w14:paraId="6B3DDA50" w14:textId="77777777" w:rsidR="002C0FD9" w:rsidRPr="00CA25CF" w:rsidRDefault="002C0FD9" w:rsidP="00CA25CF">
            <w:pPr>
              <w:rPr>
                <w:rFonts w:cs="Arial"/>
                <w:color w:val="FF0000"/>
                <w:sz w:val="21"/>
                <w:szCs w:val="21"/>
              </w:rPr>
            </w:pPr>
          </w:p>
        </w:tc>
        <w:tc>
          <w:tcPr>
            <w:tcW w:w="217" w:type="dxa"/>
          </w:tcPr>
          <w:p w14:paraId="3EED1557" w14:textId="77777777" w:rsidR="002C0FD9" w:rsidRPr="00CA25CF" w:rsidRDefault="002C0FD9" w:rsidP="00CA25CF">
            <w:pPr>
              <w:rPr>
                <w:rFonts w:cs="Arial"/>
                <w:color w:val="FF0000"/>
                <w:sz w:val="21"/>
                <w:szCs w:val="21"/>
              </w:rPr>
            </w:pPr>
          </w:p>
        </w:tc>
        <w:tc>
          <w:tcPr>
            <w:tcW w:w="217" w:type="dxa"/>
          </w:tcPr>
          <w:p w14:paraId="28588233" w14:textId="77777777" w:rsidR="002C0FD9" w:rsidRPr="00CA25CF" w:rsidRDefault="002C0FD9" w:rsidP="00CA25CF">
            <w:pPr>
              <w:rPr>
                <w:rFonts w:cs="Arial"/>
                <w:color w:val="FF0000"/>
                <w:sz w:val="21"/>
                <w:szCs w:val="21"/>
              </w:rPr>
            </w:pPr>
          </w:p>
        </w:tc>
        <w:tc>
          <w:tcPr>
            <w:tcW w:w="217" w:type="dxa"/>
          </w:tcPr>
          <w:p w14:paraId="66879EF7" w14:textId="77777777" w:rsidR="002C0FD9" w:rsidRPr="00CA25CF" w:rsidRDefault="002C0FD9" w:rsidP="00CA25CF">
            <w:pPr>
              <w:rPr>
                <w:rFonts w:cs="Arial"/>
                <w:color w:val="FF0000"/>
                <w:sz w:val="21"/>
                <w:szCs w:val="21"/>
              </w:rPr>
            </w:pPr>
          </w:p>
        </w:tc>
        <w:tc>
          <w:tcPr>
            <w:tcW w:w="217" w:type="dxa"/>
          </w:tcPr>
          <w:p w14:paraId="7BEA4BA9" w14:textId="77777777" w:rsidR="002C0FD9" w:rsidRPr="00CA25CF" w:rsidRDefault="002C0FD9" w:rsidP="00CA25CF">
            <w:pPr>
              <w:rPr>
                <w:rFonts w:cs="Arial"/>
                <w:color w:val="FF0000"/>
                <w:sz w:val="21"/>
                <w:szCs w:val="21"/>
              </w:rPr>
            </w:pPr>
          </w:p>
        </w:tc>
        <w:tc>
          <w:tcPr>
            <w:tcW w:w="217" w:type="dxa"/>
          </w:tcPr>
          <w:p w14:paraId="66657BBE" w14:textId="77777777" w:rsidR="002C0FD9" w:rsidRPr="00CA25CF" w:rsidRDefault="002C0FD9" w:rsidP="00CA25CF">
            <w:pPr>
              <w:rPr>
                <w:rFonts w:cs="Arial"/>
                <w:color w:val="FF0000"/>
                <w:sz w:val="21"/>
                <w:szCs w:val="21"/>
              </w:rPr>
            </w:pPr>
          </w:p>
        </w:tc>
      </w:tr>
      <w:tr w:rsidR="002C0FD9" w:rsidRPr="00A16219" w14:paraId="0F48A000" w14:textId="77777777" w:rsidTr="002C0FD9">
        <w:trPr>
          <w:trHeight w:val="635"/>
        </w:trPr>
        <w:tc>
          <w:tcPr>
            <w:tcW w:w="515" w:type="dxa"/>
          </w:tcPr>
          <w:p w14:paraId="3412735A" w14:textId="77777777" w:rsidR="002C0FD9" w:rsidRPr="00CA25CF" w:rsidRDefault="002C0FD9" w:rsidP="00CA25CF">
            <w:pPr>
              <w:rPr>
                <w:rFonts w:cs="Arial"/>
                <w:color w:val="FF0000"/>
                <w:sz w:val="21"/>
                <w:szCs w:val="21"/>
              </w:rPr>
            </w:pPr>
          </w:p>
        </w:tc>
        <w:tc>
          <w:tcPr>
            <w:tcW w:w="217" w:type="dxa"/>
          </w:tcPr>
          <w:p w14:paraId="42E012BF" w14:textId="77777777" w:rsidR="002C0FD9" w:rsidRPr="00CA25CF" w:rsidRDefault="002C0FD9" w:rsidP="00CA25CF">
            <w:pPr>
              <w:rPr>
                <w:rFonts w:cs="Arial"/>
                <w:color w:val="FF0000"/>
                <w:sz w:val="21"/>
                <w:szCs w:val="21"/>
              </w:rPr>
            </w:pPr>
          </w:p>
        </w:tc>
        <w:tc>
          <w:tcPr>
            <w:tcW w:w="217" w:type="dxa"/>
          </w:tcPr>
          <w:p w14:paraId="293BF511" w14:textId="77777777" w:rsidR="002C0FD9" w:rsidRPr="00CA25CF" w:rsidRDefault="002C0FD9" w:rsidP="00CA25CF">
            <w:pPr>
              <w:rPr>
                <w:rFonts w:cs="Arial"/>
                <w:color w:val="FF0000"/>
                <w:sz w:val="21"/>
                <w:szCs w:val="21"/>
              </w:rPr>
            </w:pPr>
          </w:p>
        </w:tc>
        <w:tc>
          <w:tcPr>
            <w:tcW w:w="217" w:type="dxa"/>
          </w:tcPr>
          <w:p w14:paraId="7C35522E" w14:textId="77777777" w:rsidR="002C0FD9" w:rsidRPr="00CA25CF" w:rsidRDefault="002C0FD9" w:rsidP="00CA25CF">
            <w:pPr>
              <w:rPr>
                <w:rFonts w:cs="Arial"/>
                <w:color w:val="FF0000"/>
                <w:sz w:val="21"/>
                <w:szCs w:val="21"/>
              </w:rPr>
            </w:pPr>
          </w:p>
        </w:tc>
        <w:tc>
          <w:tcPr>
            <w:tcW w:w="217" w:type="dxa"/>
          </w:tcPr>
          <w:p w14:paraId="249EBA14" w14:textId="77777777" w:rsidR="002C0FD9" w:rsidRPr="00CA25CF" w:rsidRDefault="002C0FD9" w:rsidP="00CA25CF">
            <w:pPr>
              <w:rPr>
                <w:rFonts w:cs="Arial"/>
                <w:color w:val="FF0000"/>
                <w:sz w:val="21"/>
                <w:szCs w:val="21"/>
              </w:rPr>
            </w:pPr>
          </w:p>
        </w:tc>
        <w:tc>
          <w:tcPr>
            <w:tcW w:w="217" w:type="dxa"/>
          </w:tcPr>
          <w:p w14:paraId="78556568" w14:textId="77777777" w:rsidR="002C0FD9" w:rsidRPr="00CA25CF" w:rsidRDefault="002C0FD9" w:rsidP="00CA25CF">
            <w:pPr>
              <w:rPr>
                <w:rFonts w:cs="Arial"/>
                <w:color w:val="FF0000"/>
                <w:sz w:val="21"/>
                <w:szCs w:val="21"/>
              </w:rPr>
            </w:pPr>
          </w:p>
        </w:tc>
        <w:tc>
          <w:tcPr>
            <w:tcW w:w="217" w:type="dxa"/>
          </w:tcPr>
          <w:p w14:paraId="7F20464E" w14:textId="77777777" w:rsidR="002C0FD9" w:rsidRPr="00CA25CF" w:rsidRDefault="002C0FD9" w:rsidP="00CA25CF">
            <w:pPr>
              <w:rPr>
                <w:rFonts w:cs="Arial"/>
                <w:color w:val="FF0000"/>
                <w:sz w:val="21"/>
                <w:szCs w:val="21"/>
              </w:rPr>
            </w:pPr>
          </w:p>
        </w:tc>
        <w:tc>
          <w:tcPr>
            <w:tcW w:w="217" w:type="dxa"/>
          </w:tcPr>
          <w:p w14:paraId="14362463" w14:textId="77777777" w:rsidR="002C0FD9" w:rsidRPr="00CA25CF" w:rsidRDefault="002C0FD9" w:rsidP="00CA25CF">
            <w:pPr>
              <w:rPr>
                <w:rFonts w:cs="Arial"/>
                <w:color w:val="FF0000"/>
                <w:sz w:val="21"/>
                <w:szCs w:val="21"/>
              </w:rPr>
            </w:pPr>
          </w:p>
        </w:tc>
        <w:tc>
          <w:tcPr>
            <w:tcW w:w="217" w:type="dxa"/>
          </w:tcPr>
          <w:p w14:paraId="7C1E9BCA" w14:textId="77777777" w:rsidR="002C0FD9" w:rsidRPr="00CA25CF" w:rsidRDefault="002C0FD9" w:rsidP="00CA25CF">
            <w:pPr>
              <w:rPr>
                <w:rFonts w:cs="Arial"/>
                <w:color w:val="FF0000"/>
                <w:sz w:val="21"/>
                <w:szCs w:val="21"/>
              </w:rPr>
            </w:pPr>
          </w:p>
        </w:tc>
        <w:tc>
          <w:tcPr>
            <w:tcW w:w="217" w:type="dxa"/>
          </w:tcPr>
          <w:p w14:paraId="3D4B8C91" w14:textId="77777777" w:rsidR="002C0FD9" w:rsidRPr="00CA25CF" w:rsidRDefault="002C0FD9" w:rsidP="00CA25CF">
            <w:pPr>
              <w:rPr>
                <w:rFonts w:cs="Arial"/>
                <w:color w:val="FF0000"/>
                <w:sz w:val="21"/>
                <w:szCs w:val="21"/>
              </w:rPr>
            </w:pPr>
          </w:p>
        </w:tc>
        <w:tc>
          <w:tcPr>
            <w:tcW w:w="217" w:type="dxa"/>
          </w:tcPr>
          <w:p w14:paraId="165C7E01" w14:textId="77777777" w:rsidR="002C0FD9" w:rsidRPr="00CA25CF" w:rsidRDefault="002C0FD9" w:rsidP="00CA25CF">
            <w:pPr>
              <w:rPr>
                <w:rFonts w:cs="Arial"/>
                <w:color w:val="FF0000"/>
                <w:sz w:val="21"/>
                <w:szCs w:val="21"/>
              </w:rPr>
            </w:pPr>
          </w:p>
        </w:tc>
        <w:tc>
          <w:tcPr>
            <w:tcW w:w="217" w:type="dxa"/>
          </w:tcPr>
          <w:p w14:paraId="755AB258" w14:textId="77777777" w:rsidR="002C0FD9" w:rsidRPr="00CA25CF" w:rsidRDefault="002C0FD9" w:rsidP="00CA25CF">
            <w:pPr>
              <w:rPr>
                <w:rFonts w:cs="Arial"/>
                <w:color w:val="FF0000"/>
                <w:sz w:val="21"/>
                <w:szCs w:val="21"/>
              </w:rPr>
            </w:pPr>
          </w:p>
        </w:tc>
        <w:tc>
          <w:tcPr>
            <w:tcW w:w="217" w:type="dxa"/>
          </w:tcPr>
          <w:p w14:paraId="3378CCD6" w14:textId="77777777" w:rsidR="002C0FD9" w:rsidRPr="00CA25CF" w:rsidRDefault="002C0FD9" w:rsidP="00CA25CF">
            <w:pPr>
              <w:rPr>
                <w:rFonts w:cs="Arial"/>
                <w:color w:val="FF0000"/>
                <w:sz w:val="21"/>
                <w:szCs w:val="21"/>
              </w:rPr>
            </w:pPr>
          </w:p>
        </w:tc>
        <w:tc>
          <w:tcPr>
            <w:tcW w:w="217" w:type="dxa"/>
          </w:tcPr>
          <w:p w14:paraId="3C56F2C0" w14:textId="77777777" w:rsidR="002C0FD9" w:rsidRPr="00CA25CF" w:rsidRDefault="002C0FD9" w:rsidP="00CA25CF">
            <w:pPr>
              <w:rPr>
                <w:rFonts w:cs="Arial"/>
                <w:color w:val="FF0000"/>
                <w:sz w:val="21"/>
                <w:szCs w:val="21"/>
              </w:rPr>
            </w:pPr>
          </w:p>
        </w:tc>
        <w:tc>
          <w:tcPr>
            <w:tcW w:w="217" w:type="dxa"/>
          </w:tcPr>
          <w:p w14:paraId="6EAB94C0" w14:textId="77777777" w:rsidR="002C0FD9" w:rsidRPr="00CA25CF" w:rsidRDefault="002C0FD9" w:rsidP="00CA25CF">
            <w:pPr>
              <w:rPr>
                <w:rFonts w:cs="Arial"/>
                <w:color w:val="FF0000"/>
                <w:sz w:val="21"/>
                <w:szCs w:val="21"/>
              </w:rPr>
            </w:pPr>
          </w:p>
        </w:tc>
        <w:tc>
          <w:tcPr>
            <w:tcW w:w="217" w:type="dxa"/>
          </w:tcPr>
          <w:p w14:paraId="47768442" w14:textId="77777777" w:rsidR="002C0FD9" w:rsidRPr="00CA25CF" w:rsidRDefault="002C0FD9" w:rsidP="00CA25CF">
            <w:pPr>
              <w:rPr>
                <w:rFonts w:cs="Arial"/>
                <w:color w:val="FF0000"/>
                <w:sz w:val="21"/>
                <w:szCs w:val="21"/>
              </w:rPr>
            </w:pPr>
          </w:p>
        </w:tc>
        <w:tc>
          <w:tcPr>
            <w:tcW w:w="217" w:type="dxa"/>
          </w:tcPr>
          <w:p w14:paraId="28BCB138" w14:textId="77777777" w:rsidR="002C0FD9" w:rsidRPr="00CA25CF" w:rsidRDefault="002C0FD9" w:rsidP="00CA25CF">
            <w:pPr>
              <w:rPr>
                <w:rFonts w:cs="Arial"/>
                <w:color w:val="FF0000"/>
                <w:sz w:val="21"/>
                <w:szCs w:val="21"/>
              </w:rPr>
            </w:pPr>
          </w:p>
        </w:tc>
        <w:tc>
          <w:tcPr>
            <w:tcW w:w="217" w:type="dxa"/>
          </w:tcPr>
          <w:p w14:paraId="69E771A1" w14:textId="77777777" w:rsidR="002C0FD9" w:rsidRPr="00CA25CF" w:rsidRDefault="002C0FD9" w:rsidP="00CA25CF">
            <w:pPr>
              <w:rPr>
                <w:rFonts w:cs="Arial"/>
                <w:color w:val="FF0000"/>
                <w:sz w:val="21"/>
                <w:szCs w:val="21"/>
              </w:rPr>
            </w:pPr>
          </w:p>
        </w:tc>
        <w:tc>
          <w:tcPr>
            <w:tcW w:w="217" w:type="dxa"/>
          </w:tcPr>
          <w:p w14:paraId="6EFF27D8" w14:textId="77777777" w:rsidR="002C0FD9" w:rsidRPr="00CA25CF" w:rsidRDefault="002C0FD9" w:rsidP="00CA25CF">
            <w:pPr>
              <w:rPr>
                <w:rFonts w:cs="Arial"/>
                <w:color w:val="FF0000"/>
                <w:sz w:val="21"/>
                <w:szCs w:val="21"/>
              </w:rPr>
            </w:pPr>
          </w:p>
        </w:tc>
        <w:tc>
          <w:tcPr>
            <w:tcW w:w="217" w:type="dxa"/>
          </w:tcPr>
          <w:p w14:paraId="4DA87B0F" w14:textId="77777777" w:rsidR="002C0FD9" w:rsidRPr="00CA25CF" w:rsidRDefault="002C0FD9" w:rsidP="00CA25CF">
            <w:pPr>
              <w:rPr>
                <w:rFonts w:cs="Arial"/>
                <w:color w:val="FF0000"/>
                <w:sz w:val="21"/>
                <w:szCs w:val="21"/>
              </w:rPr>
            </w:pPr>
          </w:p>
        </w:tc>
        <w:tc>
          <w:tcPr>
            <w:tcW w:w="217" w:type="dxa"/>
          </w:tcPr>
          <w:p w14:paraId="5385D660" w14:textId="77777777" w:rsidR="002C0FD9" w:rsidRPr="00CA25CF" w:rsidRDefault="002C0FD9" w:rsidP="00CA25CF">
            <w:pPr>
              <w:rPr>
                <w:rFonts w:cs="Arial"/>
                <w:color w:val="FF0000"/>
                <w:sz w:val="21"/>
                <w:szCs w:val="21"/>
              </w:rPr>
            </w:pPr>
          </w:p>
        </w:tc>
        <w:tc>
          <w:tcPr>
            <w:tcW w:w="217" w:type="dxa"/>
          </w:tcPr>
          <w:p w14:paraId="507DF83E" w14:textId="77777777" w:rsidR="002C0FD9" w:rsidRPr="00CA25CF" w:rsidRDefault="002C0FD9" w:rsidP="00CA25CF">
            <w:pPr>
              <w:rPr>
                <w:rFonts w:cs="Arial"/>
                <w:color w:val="FF0000"/>
                <w:sz w:val="21"/>
                <w:szCs w:val="21"/>
              </w:rPr>
            </w:pPr>
          </w:p>
        </w:tc>
        <w:tc>
          <w:tcPr>
            <w:tcW w:w="217" w:type="dxa"/>
          </w:tcPr>
          <w:p w14:paraId="0BA9346C" w14:textId="77777777" w:rsidR="002C0FD9" w:rsidRPr="00CA25CF" w:rsidRDefault="002C0FD9" w:rsidP="00CA25CF">
            <w:pPr>
              <w:rPr>
                <w:rFonts w:cs="Arial"/>
                <w:color w:val="FF0000"/>
                <w:sz w:val="21"/>
                <w:szCs w:val="21"/>
              </w:rPr>
            </w:pPr>
          </w:p>
        </w:tc>
        <w:tc>
          <w:tcPr>
            <w:tcW w:w="217" w:type="dxa"/>
          </w:tcPr>
          <w:p w14:paraId="754CDB2A" w14:textId="77777777" w:rsidR="002C0FD9" w:rsidRPr="00CA25CF" w:rsidRDefault="002C0FD9" w:rsidP="00CA25CF">
            <w:pPr>
              <w:rPr>
                <w:rFonts w:cs="Arial"/>
                <w:color w:val="FF0000"/>
                <w:sz w:val="21"/>
                <w:szCs w:val="21"/>
              </w:rPr>
            </w:pPr>
          </w:p>
        </w:tc>
        <w:tc>
          <w:tcPr>
            <w:tcW w:w="217" w:type="dxa"/>
          </w:tcPr>
          <w:p w14:paraId="2080C27C" w14:textId="77777777" w:rsidR="002C0FD9" w:rsidRPr="00CA25CF" w:rsidRDefault="002C0FD9" w:rsidP="00CA25CF">
            <w:pPr>
              <w:rPr>
                <w:rFonts w:cs="Arial"/>
                <w:color w:val="FF0000"/>
                <w:sz w:val="21"/>
                <w:szCs w:val="21"/>
              </w:rPr>
            </w:pPr>
          </w:p>
        </w:tc>
        <w:tc>
          <w:tcPr>
            <w:tcW w:w="217" w:type="dxa"/>
          </w:tcPr>
          <w:p w14:paraId="06B1DC01" w14:textId="77777777" w:rsidR="002C0FD9" w:rsidRPr="00CA25CF" w:rsidRDefault="002C0FD9" w:rsidP="00CA25CF">
            <w:pPr>
              <w:rPr>
                <w:rFonts w:cs="Arial"/>
                <w:color w:val="FF0000"/>
                <w:sz w:val="21"/>
                <w:szCs w:val="21"/>
              </w:rPr>
            </w:pPr>
          </w:p>
        </w:tc>
        <w:tc>
          <w:tcPr>
            <w:tcW w:w="217" w:type="dxa"/>
          </w:tcPr>
          <w:p w14:paraId="7051B461" w14:textId="77777777" w:rsidR="002C0FD9" w:rsidRPr="00CA25CF" w:rsidRDefault="002C0FD9" w:rsidP="00CA25CF">
            <w:pPr>
              <w:rPr>
                <w:rFonts w:cs="Arial"/>
                <w:color w:val="FF0000"/>
                <w:sz w:val="21"/>
                <w:szCs w:val="21"/>
              </w:rPr>
            </w:pPr>
          </w:p>
        </w:tc>
        <w:tc>
          <w:tcPr>
            <w:tcW w:w="217" w:type="dxa"/>
          </w:tcPr>
          <w:p w14:paraId="0981D8EA" w14:textId="77777777" w:rsidR="002C0FD9" w:rsidRPr="00CA25CF" w:rsidRDefault="002C0FD9" w:rsidP="00CA25CF">
            <w:pPr>
              <w:rPr>
                <w:rFonts w:cs="Arial"/>
                <w:color w:val="FF0000"/>
                <w:sz w:val="21"/>
                <w:szCs w:val="21"/>
              </w:rPr>
            </w:pPr>
          </w:p>
        </w:tc>
        <w:tc>
          <w:tcPr>
            <w:tcW w:w="217" w:type="dxa"/>
          </w:tcPr>
          <w:p w14:paraId="556B3D3B" w14:textId="77777777" w:rsidR="002C0FD9" w:rsidRPr="00CA25CF" w:rsidRDefault="002C0FD9" w:rsidP="00CA25CF">
            <w:pPr>
              <w:rPr>
                <w:rFonts w:cs="Arial"/>
                <w:color w:val="FF0000"/>
                <w:sz w:val="21"/>
                <w:szCs w:val="21"/>
              </w:rPr>
            </w:pPr>
          </w:p>
        </w:tc>
        <w:tc>
          <w:tcPr>
            <w:tcW w:w="217" w:type="dxa"/>
          </w:tcPr>
          <w:p w14:paraId="0E18F16E" w14:textId="77777777" w:rsidR="002C0FD9" w:rsidRPr="00CA25CF" w:rsidRDefault="002C0FD9" w:rsidP="00CA25CF">
            <w:pPr>
              <w:rPr>
                <w:rFonts w:cs="Arial"/>
                <w:color w:val="FF0000"/>
                <w:sz w:val="21"/>
                <w:szCs w:val="21"/>
              </w:rPr>
            </w:pPr>
          </w:p>
        </w:tc>
        <w:tc>
          <w:tcPr>
            <w:tcW w:w="217" w:type="dxa"/>
          </w:tcPr>
          <w:p w14:paraId="6DF2B923" w14:textId="77777777" w:rsidR="002C0FD9" w:rsidRPr="00CA25CF" w:rsidRDefault="002C0FD9" w:rsidP="00CA25CF">
            <w:pPr>
              <w:rPr>
                <w:rFonts w:cs="Arial"/>
                <w:color w:val="FF0000"/>
                <w:sz w:val="21"/>
                <w:szCs w:val="21"/>
              </w:rPr>
            </w:pPr>
          </w:p>
        </w:tc>
        <w:tc>
          <w:tcPr>
            <w:tcW w:w="217" w:type="dxa"/>
          </w:tcPr>
          <w:p w14:paraId="13B56C0D" w14:textId="77777777" w:rsidR="002C0FD9" w:rsidRPr="00CA25CF" w:rsidRDefault="002C0FD9" w:rsidP="00CA25CF">
            <w:pPr>
              <w:rPr>
                <w:rFonts w:cs="Arial"/>
                <w:color w:val="FF0000"/>
                <w:sz w:val="21"/>
                <w:szCs w:val="21"/>
              </w:rPr>
            </w:pPr>
          </w:p>
        </w:tc>
        <w:tc>
          <w:tcPr>
            <w:tcW w:w="217" w:type="dxa"/>
          </w:tcPr>
          <w:p w14:paraId="31FEFDA0" w14:textId="77777777" w:rsidR="002C0FD9" w:rsidRPr="00CA25CF" w:rsidRDefault="002C0FD9" w:rsidP="00CA25CF">
            <w:pPr>
              <w:rPr>
                <w:rFonts w:cs="Arial"/>
                <w:color w:val="FF0000"/>
                <w:sz w:val="21"/>
                <w:szCs w:val="21"/>
              </w:rPr>
            </w:pPr>
          </w:p>
        </w:tc>
        <w:tc>
          <w:tcPr>
            <w:tcW w:w="217" w:type="dxa"/>
          </w:tcPr>
          <w:p w14:paraId="1E54A0DE" w14:textId="77777777" w:rsidR="002C0FD9" w:rsidRPr="00CA25CF" w:rsidRDefault="002C0FD9" w:rsidP="00CA25CF">
            <w:pPr>
              <w:rPr>
                <w:rFonts w:cs="Arial"/>
                <w:color w:val="FF0000"/>
                <w:sz w:val="21"/>
                <w:szCs w:val="21"/>
              </w:rPr>
            </w:pPr>
          </w:p>
        </w:tc>
        <w:tc>
          <w:tcPr>
            <w:tcW w:w="217" w:type="dxa"/>
          </w:tcPr>
          <w:p w14:paraId="2FAC31E7" w14:textId="77777777" w:rsidR="002C0FD9" w:rsidRPr="00CA25CF" w:rsidRDefault="002C0FD9" w:rsidP="00CA25CF">
            <w:pPr>
              <w:rPr>
                <w:rFonts w:cs="Arial"/>
                <w:color w:val="FF0000"/>
                <w:sz w:val="21"/>
                <w:szCs w:val="21"/>
              </w:rPr>
            </w:pPr>
          </w:p>
        </w:tc>
        <w:tc>
          <w:tcPr>
            <w:tcW w:w="217" w:type="dxa"/>
          </w:tcPr>
          <w:p w14:paraId="7C0328CE" w14:textId="77777777" w:rsidR="002C0FD9" w:rsidRPr="00CA25CF" w:rsidRDefault="002C0FD9" w:rsidP="00CA25CF">
            <w:pPr>
              <w:rPr>
                <w:rFonts w:cs="Arial"/>
                <w:color w:val="FF0000"/>
                <w:sz w:val="21"/>
                <w:szCs w:val="21"/>
              </w:rPr>
            </w:pPr>
          </w:p>
        </w:tc>
        <w:tc>
          <w:tcPr>
            <w:tcW w:w="217" w:type="dxa"/>
          </w:tcPr>
          <w:p w14:paraId="20416864" w14:textId="77777777" w:rsidR="002C0FD9" w:rsidRPr="00CA25CF" w:rsidRDefault="002C0FD9" w:rsidP="00CA25CF">
            <w:pPr>
              <w:rPr>
                <w:rFonts w:cs="Arial"/>
                <w:color w:val="FF0000"/>
                <w:sz w:val="21"/>
                <w:szCs w:val="21"/>
              </w:rPr>
            </w:pPr>
          </w:p>
        </w:tc>
        <w:tc>
          <w:tcPr>
            <w:tcW w:w="217" w:type="dxa"/>
          </w:tcPr>
          <w:p w14:paraId="084E7A0E" w14:textId="77777777" w:rsidR="002C0FD9" w:rsidRPr="00CA25CF" w:rsidRDefault="002C0FD9" w:rsidP="00CA25CF">
            <w:pPr>
              <w:rPr>
                <w:rFonts w:cs="Arial"/>
                <w:color w:val="FF0000"/>
                <w:sz w:val="21"/>
                <w:szCs w:val="21"/>
              </w:rPr>
            </w:pPr>
          </w:p>
        </w:tc>
        <w:tc>
          <w:tcPr>
            <w:tcW w:w="217" w:type="dxa"/>
          </w:tcPr>
          <w:p w14:paraId="45AD27A1" w14:textId="77777777" w:rsidR="002C0FD9" w:rsidRPr="00CA25CF" w:rsidRDefault="002C0FD9" w:rsidP="00CA25CF">
            <w:pPr>
              <w:rPr>
                <w:rFonts w:cs="Arial"/>
                <w:color w:val="FF0000"/>
                <w:sz w:val="21"/>
                <w:szCs w:val="21"/>
              </w:rPr>
            </w:pPr>
          </w:p>
        </w:tc>
        <w:tc>
          <w:tcPr>
            <w:tcW w:w="217" w:type="dxa"/>
          </w:tcPr>
          <w:p w14:paraId="1ED61C57" w14:textId="77777777" w:rsidR="002C0FD9" w:rsidRPr="00CA25CF" w:rsidRDefault="002C0FD9" w:rsidP="00CA25CF">
            <w:pPr>
              <w:rPr>
                <w:rFonts w:cs="Arial"/>
                <w:color w:val="FF0000"/>
                <w:sz w:val="21"/>
                <w:szCs w:val="21"/>
              </w:rPr>
            </w:pPr>
          </w:p>
        </w:tc>
        <w:tc>
          <w:tcPr>
            <w:tcW w:w="217" w:type="dxa"/>
          </w:tcPr>
          <w:p w14:paraId="1709E8B6" w14:textId="77777777" w:rsidR="002C0FD9" w:rsidRPr="00CA25CF" w:rsidRDefault="002C0FD9" w:rsidP="00CA25CF">
            <w:pPr>
              <w:rPr>
                <w:rFonts w:cs="Arial"/>
                <w:color w:val="FF0000"/>
                <w:sz w:val="21"/>
                <w:szCs w:val="21"/>
              </w:rPr>
            </w:pPr>
          </w:p>
        </w:tc>
        <w:tc>
          <w:tcPr>
            <w:tcW w:w="217" w:type="dxa"/>
          </w:tcPr>
          <w:p w14:paraId="72313CF2" w14:textId="77777777" w:rsidR="002C0FD9" w:rsidRPr="00CA25CF" w:rsidRDefault="002C0FD9" w:rsidP="00CA25CF">
            <w:pPr>
              <w:rPr>
                <w:rFonts w:cs="Arial"/>
                <w:color w:val="FF0000"/>
                <w:sz w:val="21"/>
                <w:szCs w:val="21"/>
              </w:rPr>
            </w:pPr>
          </w:p>
        </w:tc>
        <w:tc>
          <w:tcPr>
            <w:tcW w:w="217" w:type="dxa"/>
          </w:tcPr>
          <w:p w14:paraId="65FBFDE8" w14:textId="77777777" w:rsidR="002C0FD9" w:rsidRPr="00CA25CF" w:rsidRDefault="002C0FD9" w:rsidP="00CA25CF">
            <w:pPr>
              <w:rPr>
                <w:rFonts w:cs="Arial"/>
                <w:color w:val="FF0000"/>
                <w:sz w:val="21"/>
                <w:szCs w:val="21"/>
              </w:rPr>
            </w:pPr>
          </w:p>
        </w:tc>
      </w:tr>
      <w:tr w:rsidR="002C0FD9" w:rsidRPr="00A16219" w14:paraId="3813E1D8" w14:textId="77777777" w:rsidTr="002C0FD9">
        <w:trPr>
          <w:trHeight w:val="635"/>
        </w:trPr>
        <w:tc>
          <w:tcPr>
            <w:tcW w:w="515" w:type="dxa"/>
          </w:tcPr>
          <w:p w14:paraId="702ED6FF" w14:textId="77777777" w:rsidR="002C0FD9" w:rsidRPr="00CA25CF" w:rsidRDefault="002C0FD9" w:rsidP="00CA25CF">
            <w:pPr>
              <w:rPr>
                <w:rFonts w:cs="Arial"/>
                <w:color w:val="FF0000"/>
                <w:sz w:val="21"/>
                <w:szCs w:val="21"/>
              </w:rPr>
            </w:pPr>
          </w:p>
        </w:tc>
        <w:tc>
          <w:tcPr>
            <w:tcW w:w="217" w:type="dxa"/>
          </w:tcPr>
          <w:p w14:paraId="4FFADAEA" w14:textId="77777777" w:rsidR="002C0FD9" w:rsidRPr="00CA25CF" w:rsidRDefault="002C0FD9" w:rsidP="00CA25CF">
            <w:pPr>
              <w:rPr>
                <w:rFonts w:cs="Arial"/>
                <w:color w:val="FF0000"/>
                <w:sz w:val="21"/>
                <w:szCs w:val="21"/>
              </w:rPr>
            </w:pPr>
          </w:p>
        </w:tc>
        <w:tc>
          <w:tcPr>
            <w:tcW w:w="217" w:type="dxa"/>
          </w:tcPr>
          <w:p w14:paraId="65AD1A99" w14:textId="77777777" w:rsidR="002C0FD9" w:rsidRPr="00CA25CF" w:rsidRDefault="002C0FD9" w:rsidP="00CA25CF">
            <w:pPr>
              <w:rPr>
                <w:rFonts w:cs="Arial"/>
                <w:color w:val="FF0000"/>
                <w:sz w:val="21"/>
                <w:szCs w:val="21"/>
              </w:rPr>
            </w:pPr>
          </w:p>
        </w:tc>
        <w:tc>
          <w:tcPr>
            <w:tcW w:w="217" w:type="dxa"/>
          </w:tcPr>
          <w:p w14:paraId="3CE24662" w14:textId="77777777" w:rsidR="002C0FD9" w:rsidRPr="00CA25CF" w:rsidRDefault="002C0FD9" w:rsidP="00CA25CF">
            <w:pPr>
              <w:rPr>
                <w:rFonts w:cs="Arial"/>
                <w:color w:val="FF0000"/>
                <w:sz w:val="21"/>
                <w:szCs w:val="21"/>
              </w:rPr>
            </w:pPr>
          </w:p>
        </w:tc>
        <w:tc>
          <w:tcPr>
            <w:tcW w:w="217" w:type="dxa"/>
          </w:tcPr>
          <w:p w14:paraId="4FB2FF88" w14:textId="77777777" w:rsidR="002C0FD9" w:rsidRPr="00CA25CF" w:rsidRDefault="002C0FD9" w:rsidP="00CA25CF">
            <w:pPr>
              <w:rPr>
                <w:rFonts w:cs="Arial"/>
                <w:color w:val="FF0000"/>
                <w:sz w:val="21"/>
                <w:szCs w:val="21"/>
              </w:rPr>
            </w:pPr>
          </w:p>
        </w:tc>
        <w:tc>
          <w:tcPr>
            <w:tcW w:w="217" w:type="dxa"/>
          </w:tcPr>
          <w:p w14:paraId="2101EDC2" w14:textId="77777777" w:rsidR="002C0FD9" w:rsidRPr="00CA25CF" w:rsidRDefault="002C0FD9" w:rsidP="00CA25CF">
            <w:pPr>
              <w:rPr>
                <w:rFonts w:cs="Arial"/>
                <w:color w:val="FF0000"/>
                <w:sz w:val="21"/>
                <w:szCs w:val="21"/>
              </w:rPr>
            </w:pPr>
          </w:p>
        </w:tc>
        <w:tc>
          <w:tcPr>
            <w:tcW w:w="217" w:type="dxa"/>
          </w:tcPr>
          <w:p w14:paraId="620AEDC9" w14:textId="77777777" w:rsidR="002C0FD9" w:rsidRPr="00CA25CF" w:rsidRDefault="002C0FD9" w:rsidP="00CA25CF">
            <w:pPr>
              <w:rPr>
                <w:rFonts w:cs="Arial"/>
                <w:color w:val="FF0000"/>
                <w:sz w:val="21"/>
                <w:szCs w:val="21"/>
              </w:rPr>
            </w:pPr>
          </w:p>
        </w:tc>
        <w:tc>
          <w:tcPr>
            <w:tcW w:w="217" w:type="dxa"/>
          </w:tcPr>
          <w:p w14:paraId="58512EB4" w14:textId="77777777" w:rsidR="002C0FD9" w:rsidRPr="00CA25CF" w:rsidRDefault="002C0FD9" w:rsidP="00CA25CF">
            <w:pPr>
              <w:rPr>
                <w:rFonts w:cs="Arial"/>
                <w:color w:val="FF0000"/>
                <w:sz w:val="21"/>
                <w:szCs w:val="21"/>
              </w:rPr>
            </w:pPr>
          </w:p>
        </w:tc>
        <w:tc>
          <w:tcPr>
            <w:tcW w:w="217" w:type="dxa"/>
          </w:tcPr>
          <w:p w14:paraId="3D79A4CE" w14:textId="77777777" w:rsidR="002C0FD9" w:rsidRPr="00CA25CF" w:rsidRDefault="002C0FD9" w:rsidP="00CA25CF">
            <w:pPr>
              <w:rPr>
                <w:rFonts w:cs="Arial"/>
                <w:color w:val="FF0000"/>
                <w:sz w:val="21"/>
                <w:szCs w:val="21"/>
              </w:rPr>
            </w:pPr>
          </w:p>
        </w:tc>
        <w:tc>
          <w:tcPr>
            <w:tcW w:w="217" w:type="dxa"/>
          </w:tcPr>
          <w:p w14:paraId="7EB43E83" w14:textId="77777777" w:rsidR="002C0FD9" w:rsidRPr="00CA25CF" w:rsidRDefault="002C0FD9" w:rsidP="00CA25CF">
            <w:pPr>
              <w:rPr>
                <w:rFonts w:cs="Arial"/>
                <w:color w:val="FF0000"/>
                <w:sz w:val="21"/>
                <w:szCs w:val="21"/>
              </w:rPr>
            </w:pPr>
          </w:p>
        </w:tc>
        <w:tc>
          <w:tcPr>
            <w:tcW w:w="217" w:type="dxa"/>
          </w:tcPr>
          <w:p w14:paraId="63CF12F6" w14:textId="77777777" w:rsidR="002C0FD9" w:rsidRPr="00CA25CF" w:rsidRDefault="002C0FD9" w:rsidP="00CA25CF">
            <w:pPr>
              <w:rPr>
                <w:rFonts w:cs="Arial"/>
                <w:color w:val="FF0000"/>
                <w:sz w:val="21"/>
                <w:szCs w:val="21"/>
              </w:rPr>
            </w:pPr>
          </w:p>
        </w:tc>
        <w:tc>
          <w:tcPr>
            <w:tcW w:w="217" w:type="dxa"/>
          </w:tcPr>
          <w:p w14:paraId="1A174C73" w14:textId="77777777" w:rsidR="002C0FD9" w:rsidRPr="00CA25CF" w:rsidRDefault="002C0FD9" w:rsidP="00CA25CF">
            <w:pPr>
              <w:rPr>
                <w:rFonts w:cs="Arial"/>
                <w:color w:val="FF0000"/>
                <w:sz w:val="21"/>
                <w:szCs w:val="21"/>
              </w:rPr>
            </w:pPr>
          </w:p>
        </w:tc>
        <w:tc>
          <w:tcPr>
            <w:tcW w:w="217" w:type="dxa"/>
          </w:tcPr>
          <w:p w14:paraId="0ADC8C88" w14:textId="77777777" w:rsidR="002C0FD9" w:rsidRPr="00CA25CF" w:rsidRDefault="002C0FD9" w:rsidP="00CA25CF">
            <w:pPr>
              <w:rPr>
                <w:rFonts w:cs="Arial"/>
                <w:color w:val="FF0000"/>
                <w:sz w:val="21"/>
                <w:szCs w:val="21"/>
              </w:rPr>
            </w:pPr>
          </w:p>
        </w:tc>
        <w:tc>
          <w:tcPr>
            <w:tcW w:w="217" w:type="dxa"/>
          </w:tcPr>
          <w:p w14:paraId="4A07EC16" w14:textId="77777777" w:rsidR="002C0FD9" w:rsidRPr="00CA25CF" w:rsidRDefault="002C0FD9" w:rsidP="00CA25CF">
            <w:pPr>
              <w:rPr>
                <w:rFonts w:cs="Arial"/>
                <w:color w:val="FF0000"/>
                <w:sz w:val="21"/>
                <w:szCs w:val="21"/>
              </w:rPr>
            </w:pPr>
          </w:p>
        </w:tc>
        <w:tc>
          <w:tcPr>
            <w:tcW w:w="217" w:type="dxa"/>
          </w:tcPr>
          <w:p w14:paraId="2CF8E80D" w14:textId="77777777" w:rsidR="002C0FD9" w:rsidRPr="00CA25CF" w:rsidRDefault="002C0FD9" w:rsidP="00CA25CF">
            <w:pPr>
              <w:rPr>
                <w:rFonts w:cs="Arial"/>
                <w:color w:val="FF0000"/>
                <w:sz w:val="21"/>
                <w:szCs w:val="21"/>
              </w:rPr>
            </w:pPr>
          </w:p>
        </w:tc>
        <w:tc>
          <w:tcPr>
            <w:tcW w:w="217" w:type="dxa"/>
          </w:tcPr>
          <w:p w14:paraId="63EB0F51" w14:textId="77777777" w:rsidR="002C0FD9" w:rsidRPr="00CA25CF" w:rsidRDefault="002C0FD9" w:rsidP="00CA25CF">
            <w:pPr>
              <w:rPr>
                <w:rFonts w:cs="Arial"/>
                <w:color w:val="FF0000"/>
                <w:sz w:val="21"/>
                <w:szCs w:val="21"/>
              </w:rPr>
            </w:pPr>
          </w:p>
        </w:tc>
        <w:tc>
          <w:tcPr>
            <w:tcW w:w="217" w:type="dxa"/>
          </w:tcPr>
          <w:p w14:paraId="4BB77309" w14:textId="77777777" w:rsidR="002C0FD9" w:rsidRPr="00CA25CF" w:rsidRDefault="002C0FD9" w:rsidP="00CA25CF">
            <w:pPr>
              <w:rPr>
                <w:rFonts w:cs="Arial"/>
                <w:color w:val="FF0000"/>
                <w:sz w:val="21"/>
                <w:szCs w:val="21"/>
              </w:rPr>
            </w:pPr>
          </w:p>
        </w:tc>
        <w:tc>
          <w:tcPr>
            <w:tcW w:w="217" w:type="dxa"/>
          </w:tcPr>
          <w:p w14:paraId="57C50D97" w14:textId="77777777" w:rsidR="002C0FD9" w:rsidRPr="00CA25CF" w:rsidRDefault="002C0FD9" w:rsidP="00CA25CF">
            <w:pPr>
              <w:rPr>
                <w:rFonts w:cs="Arial"/>
                <w:color w:val="FF0000"/>
                <w:sz w:val="21"/>
                <w:szCs w:val="21"/>
              </w:rPr>
            </w:pPr>
          </w:p>
        </w:tc>
        <w:tc>
          <w:tcPr>
            <w:tcW w:w="217" w:type="dxa"/>
          </w:tcPr>
          <w:p w14:paraId="3DA73438" w14:textId="77777777" w:rsidR="002C0FD9" w:rsidRPr="00CA25CF" w:rsidRDefault="002C0FD9" w:rsidP="00CA25CF">
            <w:pPr>
              <w:rPr>
                <w:rFonts w:cs="Arial"/>
                <w:color w:val="FF0000"/>
                <w:sz w:val="21"/>
                <w:szCs w:val="21"/>
              </w:rPr>
            </w:pPr>
          </w:p>
        </w:tc>
        <w:tc>
          <w:tcPr>
            <w:tcW w:w="217" w:type="dxa"/>
          </w:tcPr>
          <w:p w14:paraId="528B246E" w14:textId="77777777" w:rsidR="002C0FD9" w:rsidRPr="00CA25CF" w:rsidRDefault="002C0FD9" w:rsidP="00CA25CF">
            <w:pPr>
              <w:rPr>
                <w:rFonts w:cs="Arial"/>
                <w:color w:val="FF0000"/>
                <w:sz w:val="21"/>
                <w:szCs w:val="21"/>
              </w:rPr>
            </w:pPr>
          </w:p>
        </w:tc>
        <w:tc>
          <w:tcPr>
            <w:tcW w:w="217" w:type="dxa"/>
          </w:tcPr>
          <w:p w14:paraId="3F0172DE" w14:textId="77777777" w:rsidR="002C0FD9" w:rsidRPr="00CA25CF" w:rsidRDefault="002C0FD9" w:rsidP="00CA25CF">
            <w:pPr>
              <w:rPr>
                <w:rFonts w:cs="Arial"/>
                <w:color w:val="FF0000"/>
                <w:sz w:val="21"/>
                <w:szCs w:val="21"/>
              </w:rPr>
            </w:pPr>
          </w:p>
        </w:tc>
        <w:tc>
          <w:tcPr>
            <w:tcW w:w="217" w:type="dxa"/>
          </w:tcPr>
          <w:p w14:paraId="35A07F7F" w14:textId="77777777" w:rsidR="002C0FD9" w:rsidRPr="00CA25CF" w:rsidRDefault="002C0FD9" w:rsidP="00CA25CF">
            <w:pPr>
              <w:rPr>
                <w:rFonts w:cs="Arial"/>
                <w:color w:val="FF0000"/>
                <w:sz w:val="21"/>
                <w:szCs w:val="21"/>
              </w:rPr>
            </w:pPr>
          </w:p>
        </w:tc>
        <w:tc>
          <w:tcPr>
            <w:tcW w:w="217" w:type="dxa"/>
          </w:tcPr>
          <w:p w14:paraId="69480499" w14:textId="77777777" w:rsidR="002C0FD9" w:rsidRPr="00CA25CF" w:rsidRDefault="002C0FD9" w:rsidP="00CA25CF">
            <w:pPr>
              <w:rPr>
                <w:rFonts w:cs="Arial"/>
                <w:color w:val="FF0000"/>
                <w:sz w:val="21"/>
                <w:szCs w:val="21"/>
              </w:rPr>
            </w:pPr>
          </w:p>
        </w:tc>
        <w:tc>
          <w:tcPr>
            <w:tcW w:w="217" w:type="dxa"/>
          </w:tcPr>
          <w:p w14:paraId="0AE55D24" w14:textId="77777777" w:rsidR="002C0FD9" w:rsidRPr="00CA25CF" w:rsidRDefault="002C0FD9" w:rsidP="00CA25CF">
            <w:pPr>
              <w:rPr>
                <w:rFonts w:cs="Arial"/>
                <w:color w:val="FF0000"/>
                <w:sz w:val="21"/>
                <w:szCs w:val="21"/>
              </w:rPr>
            </w:pPr>
          </w:p>
        </w:tc>
        <w:tc>
          <w:tcPr>
            <w:tcW w:w="217" w:type="dxa"/>
          </w:tcPr>
          <w:p w14:paraId="1C32F5B6" w14:textId="77777777" w:rsidR="002C0FD9" w:rsidRPr="00CA25CF" w:rsidRDefault="002C0FD9" w:rsidP="00CA25CF">
            <w:pPr>
              <w:rPr>
                <w:rFonts w:cs="Arial"/>
                <w:color w:val="FF0000"/>
                <w:sz w:val="21"/>
                <w:szCs w:val="21"/>
              </w:rPr>
            </w:pPr>
          </w:p>
        </w:tc>
        <w:tc>
          <w:tcPr>
            <w:tcW w:w="217" w:type="dxa"/>
          </w:tcPr>
          <w:p w14:paraId="6A091378" w14:textId="77777777" w:rsidR="002C0FD9" w:rsidRPr="00CA25CF" w:rsidRDefault="002C0FD9" w:rsidP="00CA25CF">
            <w:pPr>
              <w:rPr>
                <w:rFonts w:cs="Arial"/>
                <w:color w:val="FF0000"/>
                <w:sz w:val="21"/>
                <w:szCs w:val="21"/>
              </w:rPr>
            </w:pPr>
          </w:p>
        </w:tc>
        <w:tc>
          <w:tcPr>
            <w:tcW w:w="217" w:type="dxa"/>
          </w:tcPr>
          <w:p w14:paraId="793CBFF4" w14:textId="77777777" w:rsidR="002C0FD9" w:rsidRPr="00CA25CF" w:rsidRDefault="002C0FD9" w:rsidP="00CA25CF">
            <w:pPr>
              <w:rPr>
                <w:rFonts w:cs="Arial"/>
                <w:color w:val="FF0000"/>
                <w:sz w:val="21"/>
                <w:szCs w:val="21"/>
              </w:rPr>
            </w:pPr>
          </w:p>
        </w:tc>
        <w:tc>
          <w:tcPr>
            <w:tcW w:w="217" w:type="dxa"/>
          </w:tcPr>
          <w:p w14:paraId="2A9CD9EB" w14:textId="77777777" w:rsidR="002C0FD9" w:rsidRPr="00CA25CF" w:rsidRDefault="002C0FD9" w:rsidP="00CA25CF">
            <w:pPr>
              <w:rPr>
                <w:rFonts w:cs="Arial"/>
                <w:color w:val="FF0000"/>
                <w:sz w:val="21"/>
                <w:szCs w:val="21"/>
              </w:rPr>
            </w:pPr>
          </w:p>
        </w:tc>
        <w:tc>
          <w:tcPr>
            <w:tcW w:w="217" w:type="dxa"/>
          </w:tcPr>
          <w:p w14:paraId="5E60E3F6" w14:textId="77777777" w:rsidR="002C0FD9" w:rsidRPr="00CA25CF" w:rsidRDefault="002C0FD9" w:rsidP="00CA25CF">
            <w:pPr>
              <w:rPr>
                <w:rFonts w:cs="Arial"/>
                <w:color w:val="FF0000"/>
                <w:sz w:val="21"/>
                <w:szCs w:val="21"/>
              </w:rPr>
            </w:pPr>
          </w:p>
        </w:tc>
        <w:tc>
          <w:tcPr>
            <w:tcW w:w="217" w:type="dxa"/>
          </w:tcPr>
          <w:p w14:paraId="46163B2B" w14:textId="77777777" w:rsidR="002C0FD9" w:rsidRPr="00CA25CF" w:rsidRDefault="002C0FD9" w:rsidP="00CA25CF">
            <w:pPr>
              <w:rPr>
                <w:rFonts w:cs="Arial"/>
                <w:color w:val="FF0000"/>
                <w:sz w:val="21"/>
                <w:szCs w:val="21"/>
              </w:rPr>
            </w:pPr>
          </w:p>
        </w:tc>
        <w:tc>
          <w:tcPr>
            <w:tcW w:w="217" w:type="dxa"/>
          </w:tcPr>
          <w:p w14:paraId="5DE8C28D" w14:textId="77777777" w:rsidR="002C0FD9" w:rsidRPr="00CA25CF" w:rsidRDefault="002C0FD9" w:rsidP="00CA25CF">
            <w:pPr>
              <w:rPr>
                <w:rFonts w:cs="Arial"/>
                <w:color w:val="FF0000"/>
                <w:sz w:val="21"/>
                <w:szCs w:val="21"/>
              </w:rPr>
            </w:pPr>
          </w:p>
        </w:tc>
        <w:tc>
          <w:tcPr>
            <w:tcW w:w="217" w:type="dxa"/>
          </w:tcPr>
          <w:p w14:paraId="457C8492" w14:textId="77777777" w:rsidR="002C0FD9" w:rsidRPr="00CA25CF" w:rsidRDefault="002C0FD9" w:rsidP="00CA25CF">
            <w:pPr>
              <w:rPr>
                <w:rFonts w:cs="Arial"/>
                <w:color w:val="FF0000"/>
                <w:sz w:val="21"/>
                <w:szCs w:val="21"/>
              </w:rPr>
            </w:pPr>
          </w:p>
        </w:tc>
        <w:tc>
          <w:tcPr>
            <w:tcW w:w="217" w:type="dxa"/>
          </w:tcPr>
          <w:p w14:paraId="54F6BDB7" w14:textId="77777777" w:rsidR="002C0FD9" w:rsidRPr="00CA25CF" w:rsidRDefault="002C0FD9" w:rsidP="00CA25CF">
            <w:pPr>
              <w:rPr>
                <w:rFonts w:cs="Arial"/>
                <w:color w:val="FF0000"/>
                <w:sz w:val="21"/>
                <w:szCs w:val="21"/>
              </w:rPr>
            </w:pPr>
          </w:p>
        </w:tc>
        <w:tc>
          <w:tcPr>
            <w:tcW w:w="217" w:type="dxa"/>
          </w:tcPr>
          <w:p w14:paraId="18D8E5CE" w14:textId="77777777" w:rsidR="002C0FD9" w:rsidRPr="00CA25CF" w:rsidRDefault="002C0FD9" w:rsidP="00CA25CF">
            <w:pPr>
              <w:rPr>
                <w:rFonts w:cs="Arial"/>
                <w:color w:val="FF0000"/>
                <w:sz w:val="21"/>
                <w:szCs w:val="21"/>
              </w:rPr>
            </w:pPr>
          </w:p>
        </w:tc>
        <w:tc>
          <w:tcPr>
            <w:tcW w:w="217" w:type="dxa"/>
          </w:tcPr>
          <w:p w14:paraId="53F4DEE2" w14:textId="77777777" w:rsidR="002C0FD9" w:rsidRPr="00CA25CF" w:rsidRDefault="002C0FD9" w:rsidP="00CA25CF">
            <w:pPr>
              <w:rPr>
                <w:rFonts w:cs="Arial"/>
                <w:color w:val="FF0000"/>
                <w:sz w:val="21"/>
                <w:szCs w:val="21"/>
              </w:rPr>
            </w:pPr>
          </w:p>
        </w:tc>
        <w:tc>
          <w:tcPr>
            <w:tcW w:w="217" w:type="dxa"/>
          </w:tcPr>
          <w:p w14:paraId="74177624" w14:textId="77777777" w:rsidR="002C0FD9" w:rsidRPr="00CA25CF" w:rsidRDefault="002C0FD9" w:rsidP="00CA25CF">
            <w:pPr>
              <w:rPr>
                <w:rFonts w:cs="Arial"/>
                <w:color w:val="FF0000"/>
                <w:sz w:val="21"/>
                <w:szCs w:val="21"/>
              </w:rPr>
            </w:pPr>
          </w:p>
        </w:tc>
        <w:tc>
          <w:tcPr>
            <w:tcW w:w="217" w:type="dxa"/>
          </w:tcPr>
          <w:p w14:paraId="431C2E73" w14:textId="77777777" w:rsidR="002C0FD9" w:rsidRPr="00CA25CF" w:rsidRDefault="002C0FD9" w:rsidP="00CA25CF">
            <w:pPr>
              <w:rPr>
                <w:rFonts w:cs="Arial"/>
                <w:color w:val="FF0000"/>
                <w:sz w:val="21"/>
                <w:szCs w:val="21"/>
              </w:rPr>
            </w:pPr>
          </w:p>
        </w:tc>
        <w:tc>
          <w:tcPr>
            <w:tcW w:w="217" w:type="dxa"/>
          </w:tcPr>
          <w:p w14:paraId="2B2ED6DB" w14:textId="77777777" w:rsidR="002C0FD9" w:rsidRPr="00CA25CF" w:rsidRDefault="002C0FD9" w:rsidP="00CA25CF">
            <w:pPr>
              <w:rPr>
                <w:rFonts w:cs="Arial"/>
                <w:color w:val="FF0000"/>
                <w:sz w:val="21"/>
                <w:szCs w:val="21"/>
              </w:rPr>
            </w:pPr>
          </w:p>
        </w:tc>
        <w:tc>
          <w:tcPr>
            <w:tcW w:w="217" w:type="dxa"/>
          </w:tcPr>
          <w:p w14:paraId="3EF56AAC" w14:textId="77777777" w:rsidR="002C0FD9" w:rsidRPr="00CA25CF" w:rsidRDefault="002C0FD9" w:rsidP="00CA25CF">
            <w:pPr>
              <w:rPr>
                <w:rFonts w:cs="Arial"/>
                <w:color w:val="FF0000"/>
                <w:sz w:val="21"/>
                <w:szCs w:val="21"/>
              </w:rPr>
            </w:pPr>
          </w:p>
        </w:tc>
        <w:tc>
          <w:tcPr>
            <w:tcW w:w="217" w:type="dxa"/>
          </w:tcPr>
          <w:p w14:paraId="680A1D87" w14:textId="77777777" w:rsidR="002C0FD9" w:rsidRPr="00CA25CF" w:rsidRDefault="002C0FD9" w:rsidP="00CA25CF">
            <w:pPr>
              <w:rPr>
                <w:rFonts w:cs="Arial"/>
                <w:color w:val="FF0000"/>
                <w:sz w:val="21"/>
                <w:szCs w:val="21"/>
              </w:rPr>
            </w:pPr>
          </w:p>
        </w:tc>
        <w:tc>
          <w:tcPr>
            <w:tcW w:w="217" w:type="dxa"/>
          </w:tcPr>
          <w:p w14:paraId="671BA419" w14:textId="77777777" w:rsidR="002C0FD9" w:rsidRPr="00CA25CF" w:rsidRDefault="002C0FD9" w:rsidP="00CA25CF">
            <w:pPr>
              <w:rPr>
                <w:rFonts w:cs="Arial"/>
                <w:color w:val="FF0000"/>
                <w:sz w:val="21"/>
                <w:szCs w:val="21"/>
              </w:rPr>
            </w:pPr>
          </w:p>
        </w:tc>
        <w:tc>
          <w:tcPr>
            <w:tcW w:w="217" w:type="dxa"/>
          </w:tcPr>
          <w:p w14:paraId="2A734E0A" w14:textId="77777777" w:rsidR="002C0FD9" w:rsidRPr="00CA25CF" w:rsidRDefault="002C0FD9" w:rsidP="00CA25CF">
            <w:pPr>
              <w:rPr>
                <w:rFonts w:cs="Arial"/>
                <w:color w:val="FF0000"/>
                <w:sz w:val="21"/>
                <w:szCs w:val="21"/>
              </w:rPr>
            </w:pPr>
          </w:p>
        </w:tc>
        <w:tc>
          <w:tcPr>
            <w:tcW w:w="217" w:type="dxa"/>
          </w:tcPr>
          <w:p w14:paraId="2485B23F" w14:textId="77777777" w:rsidR="002C0FD9" w:rsidRPr="00CA25CF" w:rsidRDefault="002C0FD9" w:rsidP="00CA25CF">
            <w:pPr>
              <w:rPr>
                <w:rFonts w:cs="Arial"/>
                <w:color w:val="FF0000"/>
                <w:sz w:val="21"/>
                <w:szCs w:val="21"/>
              </w:rPr>
            </w:pPr>
          </w:p>
        </w:tc>
      </w:tr>
      <w:tr w:rsidR="002C0FD9" w:rsidRPr="00A16219" w14:paraId="2EFCA260" w14:textId="77777777" w:rsidTr="002C0FD9">
        <w:trPr>
          <w:trHeight w:val="635"/>
        </w:trPr>
        <w:tc>
          <w:tcPr>
            <w:tcW w:w="515" w:type="dxa"/>
          </w:tcPr>
          <w:p w14:paraId="6DCBF5D4" w14:textId="77777777" w:rsidR="002C0FD9" w:rsidRPr="00CA25CF" w:rsidRDefault="002C0FD9" w:rsidP="00CA25CF">
            <w:pPr>
              <w:rPr>
                <w:rFonts w:cs="Arial"/>
                <w:color w:val="FF0000"/>
                <w:sz w:val="21"/>
                <w:szCs w:val="21"/>
              </w:rPr>
            </w:pPr>
          </w:p>
        </w:tc>
        <w:tc>
          <w:tcPr>
            <w:tcW w:w="217" w:type="dxa"/>
          </w:tcPr>
          <w:p w14:paraId="44A2C877" w14:textId="77777777" w:rsidR="002C0FD9" w:rsidRPr="00CA25CF" w:rsidRDefault="002C0FD9" w:rsidP="00CA25CF">
            <w:pPr>
              <w:rPr>
                <w:rFonts w:cs="Arial"/>
                <w:color w:val="FF0000"/>
                <w:sz w:val="21"/>
                <w:szCs w:val="21"/>
              </w:rPr>
            </w:pPr>
          </w:p>
        </w:tc>
        <w:tc>
          <w:tcPr>
            <w:tcW w:w="217" w:type="dxa"/>
          </w:tcPr>
          <w:p w14:paraId="33F16036" w14:textId="77777777" w:rsidR="002C0FD9" w:rsidRPr="00CA25CF" w:rsidRDefault="002C0FD9" w:rsidP="00CA25CF">
            <w:pPr>
              <w:rPr>
                <w:rFonts w:cs="Arial"/>
                <w:color w:val="FF0000"/>
                <w:sz w:val="21"/>
                <w:szCs w:val="21"/>
              </w:rPr>
            </w:pPr>
          </w:p>
        </w:tc>
        <w:tc>
          <w:tcPr>
            <w:tcW w:w="217" w:type="dxa"/>
          </w:tcPr>
          <w:p w14:paraId="4E04CF6F" w14:textId="77777777" w:rsidR="002C0FD9" w:rsidRPr="00CA25CF" w:rsidRDefault="002C0FD9" w:rsidP="00CA25CF">
            <w:pPr>
              <w:rPr>
                <w:rFonts w:cs="Arial"/>
                <w:color w:val="FF0000"/>
                <w:sz w:val="21"/>
                <w:szCs w:val="21"/>
              </w:rPr>
            </w:pPr>
          </w:p>
        </w:tc>
        <w:tc>
          <w:tcPr>
            <w:tcW w:w="217" w:type="dxa"/>
          </w:tcPr>
          <w:p w14:paraId="2996AAAB" w14:textId="77777777" w:rsidR="002C0FD9" w:rsidRPr="00CA25CF" w:rsidRDefault="002C0FD9" w:rsidP="00CA25CF">
            <w:pPr>
              <w:rPr>
                <w:rFonts w:cs="Arial"/>
                <w:color w:val="FF0000"/>
                <w:sz w:val="21"/>
                <w:szCs w:val="21"/>
              </w:rPr>
            </w:pPr>
          </w:p>
        </w:tc>
        <w:tc>
          <w:tcPr>
            <w:tcW w:w="217" w:type="dxa"/>
          </w:tcPr>
          <w:p w14:paraId="141E37B1" w14:textId="77777777" w:rsidR="002C0FD9" w:rsidRPr="00CA25CF" w:rsidRDefault="002C0FD9" w:rsidP="00CA25CF">
            <w:pPr>
              <w:rPr>
                <w:rFonts w:cs="Arial"/>
                <w:color w:val="FF0000"/>
                <w:sz w:val="21"/>
                <w:szCs w:val="21"/>
              </w:rPr>
            </w:pPr>
          </w:p>
        </w:tc>
        <w:tc>
          <w:tcPr>
            <w:tcW w:w="217" w:type="dxa"/>
          </w:tcPr>
          <w:p w14:paraId="664B4569" w14:textId="77777777" w:rsidR="002C0FD9" w:rsidRPr="00CA25CF" w:rsidRDefault="002C0FD9" w:rsidP="00CA25CF">
            <w:pPr>
              <w:rPr>
                <w:rFonts w:cs="Arial"/>
                <w:color w:val="FF0000"/>
                <w:sz w:val="21"/>
                <w:szCs w:val="21"/>
              </w:rPr>
            </w:pPr>
          </w:p>
        </w:tc>
        <w:tc>
          <w:tcPr>
            <w:tcW w:w="217" w:type="dxa"/>
          </w:tcPr>
          <w:p w14:paraId="70B2AB40" w14:textId="77777777" w:rsidR="002C0FD9" w:rsidRPr="00CA25CF" w:rsidRDefault="002C0FD9" w:rsidP="00CA25CF">
            <w:pPr>
              <w:rPr>
                <w:rFonts w:cs="Arial"/>
                <w:color w:val="FF0000"/>
                <w:sz w:val="21"/>
                <w:szCs w:val="21"/>
              </w:rPr>
            </w:pPr>
          </w:p>
        </w:tc>
        <w:tc>
          <w:tcPr>
            <w:tcW w:w="217" w:type="dxa"/>
          </w:tcPr>
          <w:p w14:paraId="1160BBDA" w14:textId="77777777" w:rsidR="002C0FD9" w:rsidRPr="00CA25CF" w:rsidRDefault="002C0FD9" w:rsidP="00CA25CF">
            <w:pPr>
              <w:rPr>
                <w:rFonts w:cs="Arial"/>
                <w:color w:val="FF0000"/>
                <w:sz w:val="21"/>
                <w:szCs w:val="21"/>
              </w:rPr>
            </w:pPr>
          </w:p>
        </w:tc>
        <w:tc>
          <w:tcPr>
            <w:tcW w:w="217" w:type="dxa"/>
          </w:tcPr>
          <w:p w14:paraId="47134893" w14:textId="77777777" w:rsidR="002C0FD9" w:rsidRPr="00CA25CF" w:rsidRDefault="002C0FD9" w:rsidP="00CA25CF">
            <w:pPr>
              <w:rPr>
                <w:rFonts w:cs="Arial"/>
                <w:color w:val="FF0000"/>
                <w:sz w:val="21"/>
                <w:szCs w:val="21"/>
              </w:rPr>
            </w:pPr>
          </w:p>
        </w:tc>
        <w:tc>
          <w:tcPr>
            <w:tcW w:w="217" w:type="dxa"/>
          </w:tcPr>
          <w:p w14:paraId="49D419F3" w14:textId="77777777" w:rsidR="002C0FD9" w:rsidRPr="00CA25CF" w:rsidRDefault="002C0FD9" w:rsidP="00CA25CF">
            <w:pPr>
              <w:rPr>
                <w:rFonts w:cs="Arial"/>
                <w:color w:val="FF0000"/>
                <w:sz w:val="21"/>
                <w:szCs w:val="21"/>
              </w:rPr>
            </w:pPr>
          </w:p>
        </w:tc>
        <w:tc>
          <w:tcPr>
            <w:tcW w:w="217" w:type="dxa"/>
          </w:tcPr>
          <w:p w14:paraId="68F4645A" w14:textId="77777777" w:rsidR="002C0FD9" w:rsidRPr="00CA25CF" w:rsidRDefault="002C0FD9" w:rsidP="00CA25CF">
            <w:pPr>
              <w:rPr>
                <w:rFonts w:cs="Arial"/>
                <w:color w:val="FF0000"/>
                <w:sz w:val="21"/>
                <w:szCs w:val="21"/>
              </w:rPr>
            </w:pPr>
          </w:p>
        </w:tc>
        <w:tc>
          <w:tcPr>
            <w:tcW w:w="217" w:type="dxa"/>
          </w:tcPr>
          <w:p w14:paraId="02BAD22D" w14:textId="77777777" w:rsidR="002C0FD9" w:rsidRPr="00CA25CF" w:rsidRDefault="002C0FD9" w:rsidP="00CA25CF">
            <w:pPr>
              <w:rPr>
                <w:rFonts w:cs="Arial"/>
                <w:color w:val="FF0000"/>
                <w:sz w:val="21"/>
                <w:szCs w:val="21"/>
              </w:rPr>
            </w:pPr>
          </w:p>
        </w:tc>
        <w:tc>
          <w:tcPr>
            <w:tcW w:w="217" w:type="dxa"/>
          </w:tcPr>
          <w:p w14:paraId="541DB707" w14:textId="77777777" w:rsidR="002C0FD9" w:rsidRPr="00CA25CF" w:rsidRDefault="002C0FD9" w:rsidP="00CA25CF">
            <w:pPr>
              <w:rPr>
                <w:rFonts w:cs="Arial"/>
                <w:color w:val="FF0000"/>
                <w:sz w:val="21"/>
                <w:szCs w:val="21"/>
              </w:rPr>
            </w:pPr>
          </w:p>
        </w:tc>
        <w:tc>
          <w:tcPr>
            <w:tcW w:w="217" w:type="dxa"/>
          </w:tcPr>
          <w:p w14:paraId="1303679B" w14:textId="77777777" w:rsidR="002C0FD9" w:rsidRPr="00CA25CF" w:rsidRDefault="002C0FD9" w:rsidP="00CA25CF">
            <w:pPr>
              <w:rPr>
                <w:rFonts w:cs="Arial"/>
                <w:color w:val="FF0000"/>
                <w:sz w:val="21"/>
                <w:szCs w:val="21"/>
              </w:rPr>
            </w:pPr>
          </w:p>
        </w:tc>
        <w:tc>
          <w:tcPr>
            <w:tcW w:w="217" w:type="dxa"/>
          </w:tcPr>
          <w:p w14:paraId="04AA6A8C" w14:textId="77777777" w:rsidR="002C0FD9" w:rsidRPr="00CA25CF" w:rsidRDefault="002C0FD9" w:rsidP="00CA25CF">
            <w:pPr>
              <w:rPr>
                <w:rFonts w:cs="Arial"/>
                <w:color w:val="FF0000"/>
                <w:sz w:val="21"/>
                <w:szCs w:val="21"/>
              </w:rPr>
            </w:pPr>
          </w:p>
        </w:tc>
        <w:tc>
          <w:tcPr>
            <w:tcW w:w="217" w:type="dxa"/>
          </w:tcPr>
          <w:p w14:paraId="18C62A0B" w14:textId="77777777" w:rsidR="002C0FD9" w:rsidRPr="00CA25CF" w:rsidRDefault="002C0FD9" w:rsidP="00CA25CF">
            <w:pPr>
              <w:rPr>
                <w:rFonts w:cs="Arial"/>
                <w:color w:val="FF0000"/>
                <w:sz w:val="21"/>
                <w:szCs w:val="21"/>
              </w:rPr>
            </w:pPr>
          </w:p>
        </w:tc>
        <w:tc>
          <w:tcPr>
            <w:tcW w:w="217" w:type="dxa"/>
          </w:tcPr>
          <w:p w14:paraId="0547AFC8" w14:textId="77777777" w:rsidR="002C0FD9" w:rsidRPr="00CA25CF" w:rsidRDefault="002C0FD9" w:rsidP="00CA25CF">
            <w:pPr>
              <w:rPr>
                <w:rFonts w:cs="Arial"/>
                <w:color w:val="FF0000"/>
                <w:sz w:val="21"/>
                <w:szCs w:val="21"/>
              </w:rPr>
            </w:pPr>
          </w:p>
        </w:tc>
        <w:tc>
          <w:tcPr>
            <w:tcW w:w="217" w:type="dxa"/>
          </w:tcPr>
          <w:p w14:paraId="2A2F3F95" w14:textId="77777777" w:rsidR="002C0FD9" w:rsidRPr="00CA25CF" w:rsidRDefault="002C0FD9" w:rsidP="00CA25CF">
            <w:pPr>
              <w:rPr>
                <w:rFonts w:cs="Arial"/>
                <w:color w:val="FF0000"/>
                <w:sz w:val="21"/>
                <w:szCs w:val="21"/>
              </w:rPr>
            </w:pPr>
          </w:p>
        </w:tc>
        <w:tc>
          <w:tcPr>
            <w:tcW w:w="217" w:type="dxa"/>
          </w:tcPr>
          <w:p w14:paraId="71A70C3F" w14:textId="77777777" w:rsidR="002C0FD9" w:rsidRPr="00CA25CF" w:rsidRDefault="002C0FD9" w:rsidP="00CA25CF">
            <w:pPr>
              <w:rPr>
                <w:rFonts w:cs="Arial"/>
                <w:color w:val="FF0000"/>
                <w:sz w:val="21"/>
                <w:szCs w:val="21"/>
              </w:rPr>
            </w:pPr>
          </w:p>
        </w:tc>
        <w:tc>
          <w:tcPr>
            <w:tcW w:w="217" w:type="dxa"/>
          </w:tcPr>
          <w:p w14:paraId="308DB3EA" w14:textId="77777777" w:rsidR="002C0FD9" w:rsidRPr="00CA25CF" w:rsidRDefault="002C0FD9" w:rsidP="00CA25CF">
            <w:pPr>
              <w:rPr>
                <w:rFonts w:cs="Arial"/>
                <w:color w:val="FF0000"/>
                <w:sz w:val="21"/>
                <w:szCs w:val="21"/>
              </w:rPr>
            </w:pPr>
          </w:p>
        </w:tc>
        <w:tc>
          <w:tcPr>
            <w:tcW w:w="217" w:type="dxa"/>
          </w:tcPr>
          <w:p w14:paraId="473BE88E" w14:textId="77777777" w:rsidR="002C0FD9" w:rsidRPr="00CA25CF" w:rsidRDefault="002C0FD9" w:rsidP="00CA25CF">
            <w:pPr>
              <w:rPr>
                <w:rFonts w:cs="Arial"/>
                <w:color w:val="FF0000"/>
                <w:sz w:val="21"/>
                <w:szCs w:val="21"/>
              </w:rPr>
            </w:pPr>
          </w:p>
        </w:tc>
        <w:tc>
          <w:tcPr>
            <w:tcW w:w="217" w:type="dxa"/>
          </w:tcPr>
          <w:p w14:paraId="6055738A" w14:textId="77777777" w:rsidR="002C0FD9" w:rsidRPr="00CA25CF" w:rsidRDefault="002C0FD9" w:rsidP="00CA25CF">
            <w:pPr>
              <w:rPr>
                <w:rFonts w:cs="Arial"/>
                <w:color w:val="FF0000"/>
                <w:sz w:val="21"/>
                <w:szCs w:val="21"/>
              </w:rPr>
            </w:pPr>
          </w:p>
        </w:tc>
        <w:tc>
          <w:tcPr>
            <w:tcW w:w="217" w:type="dxa"/>
          </w:tcPr>
          <w:p w14:paraId="493E5ACF" w14:textId="77777777" w:rsidR="002C0FD9" w:rsidRPr="00CA25CF" w:rsidRDefault="002C0FD9" w:rsidP="00CA25CF">
            <w:pPr>
              <w:rPr>
                <w:rFonts w:cs="Arial"/>
                <w:color w:val="FF0000"/>
                <w:sz w:val="21"/>
                <w:szCs w:val="21"/>
              </w:rPr>
            </w:pPr>
          </w:p>
        </w:tc>
        <w:tc>
          <w:tcPr>
            <w:tcW w:w="217" w:type="dxa"/>
          </w:tcPr>
          <w:p w14:paraId="782EA3B1" w14:textId="77777777" w:rsidR="002C0FD9" w:rsidRPr="00CA25CF" w:rsidRDefault="002C0FD9" w:rsidP="00CA25CF">
            <w:pPr>
              <w:rPr>
                <w:rFonts w:cs="Arial"/>
                <w:color w:val="FF0000"/>
                <w:sz w:val="21"/>
                <w:szCs w:val="21"/>
              </w:rPr>
            </w:pPr>
          </w:p>
        </w:tc>
        <w:tc>
          <w:tcPr>
            <w:tcW w:w="217" w:type="dxa"/>
          </w:tcPr>
          <w:p w14:paraId="304ABE1B" w14:textId="77777777" w:rsidR="002C0FD9" w:rsidRPr="00CA25CF" w:rsidRDefault="002C0FD9" w:rsidP="00CA25CF">
            <w:pPr>
              <w:rPr>
                <w:rFonts w:cs="Arial"/>
                <w:color w:val="FF0000"/>
                <w:sz w:val="21"/>
                <w:szCs w:val="21"/>
              </w:rPr>
            </w:pPr>
          </w:p>
        </w:tc>
        <w:tc>
          <w:tcPr>
            <w:tcW w:w="217" w:type="dxa"/>
          </w:tcPr>
          <w:p w14:paraId="3E6BCE93" w14:textId="77777777" w:rsidR="002C0FD9" w:rsidRPr="00CA25CF" w:rsidRDefault="002C0FD9" w:rsidP="00CA25CF">
            <w:pPr>
              <w:rPr>
                <w:rFonts w:cs="Arial"/>
                <w:color w:val="FF0000"/>
                <w:sz w:val="21"/>
                <w:szCs w:val="21"/>
              </w:rPr>
            </w:pPr>
          </w:p>
        </w:tc>
        <w:tc>
          <w:tcPr>
            <w:tcW w:w="217" w:type="dxa"/>
          </w:tcPr>
          <w:p w14:paraId="48E0C328" w14:textId="77777777" w:rsidR="002C0FD9" w:rsidRPr="00CA25CF" w:rsidRDefault="002C0FD9" w:rsidP="00CA25CF">
            <w:pPr>
              <w:rPr>
                <w:rFonts w:cs="Arial"/>
                <w:color w:val="FF0000"/>
                <w:sz w:val="21"/>
                <w:szCs w:val="21"/>
              </w:rPr>
            </w:pPr>
          </w:p>
        </w:tc>
        <w:tc>
          <w:tcPr>
            <w:tcW w:w="217" w:type="dxa"/>
          </w:tcPr>
          <w:p w14:paraId="71ABA2A1" w14:textId="77777777" w:rsidR="002C0FD9" w:rsidRPr="00CA25CF" w:rsidRDefault="002C0FD9" w:rsidP="00CA25CF">
            <w:pPr>
              <w:rPr>
                <w:rFonts w:cs="Arial"/>
                <w:color w:val="FF0000"/>
                <w:sz w:val="21"/>
                <w:szCs w:val="21"/>
              </w:rPr>
            </w:pPr>
          </w:p>
        </w:tc>
        <w:tc>
          <w:tcPr>
            <w:tcW w:w="217" w:type="dxa"/>
          </w:tcPr>
          <w:p w14:paraId="608AF72B" w14:textId="77777777" w:rsidR="002C0FD9" w:rsidRPr="00CA25CF" w:rsidRDefault="002C0FD9" w:rsidP="00CA25CF">
            <w:pPr>
              <w:rPr>
                <w:rFonts w:cs="Arial"/>
                <w:color w:val="FF0000"/>
                <w:sz w:val="21"/>
                <w:szCs w:val="21"/>
              </w:rPr>
            </w:pPr>
          </w:p>
        </w:tc>
        <w:tc>
          <w:tcPr>
            <w:tcW w:w="217" w:type="dxa"/>
          </w:tcPr>
          <w:p w14:paraId="4E39100D" w14:textId="77777777" w:rsidR="002C0FD9" w:rsidRPr="00CA25CF" w:rsidRDefault="002C0FD9" w:rsidP="00CA25CF">
            <w:pPr>
              <w:rPr>
                <w:rFonts w:cs="Arial"/>
                <w:color w:val="FF0000"/>
                <w:sz w:val="21"/>
                <w:szCs w:val="21"/>
              </w:rPr>
            </w:pPr>
          </w:p>
        </w:tc>
        <w:tc>
          <w:tcPr>
            <w:tcW w:w="217" w:type="dxa"/>
          </w:tcPr>
          <w:p w14:paraId="7E299DFB" w14:textId="77777777" w:rsidR="002C0FD9" w:rsidRPr="00CA25CF" w:rsidRDefault="002C0FD9" w:rsidP="00CA25CF">
            <w:pPr>
              <w:rPr>
                <w:rFonts w:cs="Arial"/>
                <w:color w:val="FF0000"/>
                <w:sz w:val="21"/>
                <w:szCs w:val="21"/>
              </w:rPr>
            </w:pPr>
          </w:p>
        </w:tc>
        <w:tc>
          <w:tcPr>
            <w:tcW w:w="217" w:type="dxa"/>
          </w:tcPr>
          <w:p w14:paraId="1D9EAF88" w14:textId="77777777" w:rsidR="002C0FD9" w:rsidRPr="00CA25CF" w:rsidRDefault="002C0FD9" w:rsidP="00CA25CF">
            <w:pPr>
              <w:rPr>
                <w:rFonts w:cs="Arial"/>
                <w:color w:val="FF0000"/>
                <w:sz w:val="21"/>
                <w:szCs w:val="21"/>
              </w:rPr>
            </w:pPr>
          </w:p>
        </w:tc>
        <w:tc>
          <w:tcPr>
            <w:tcW w:w="217" w:type="dxa"/>
          </w:tcPr>
          <w:p w14:paraId="6BC0A5EE" w14:textId="77777777" w:rsidR="002C0FD9" w:rsidRPr="00CA25CF" w:rsidRDefault="002C0FD9" w:rsidP="00CA25CF">
            <w:pPr>
              <w:rPr>
                <w:rFonts w:cs="Arial"/>
                <w:color w:val="FF0000"/>
                <w:sz w:val="21"/>
                <w:szCs w:val="21"/>
              </w:rPr>
            </w:pPr>
          </w:p>
        </w:tc>
        <w:tc>
          <w:tcPr>
            <w:tcW w:w="217" w:type="dxa"/>
          </w:tcPr>
          <w:p w14:paraId="58AA9E22" w14:textId="77777777" w:rsidR="002C0FD9" w:rsidRPr="00CA25CF" w:rsidRDefault="002C0FD9" w:rsidP="00CA25CF">
            <w:pPr>
              <w:rPr>
                <w:rFonts w:cs="Arial"/>
                <w:color w:val="FF0000"/>
                <w:sz w:val="21"/>
                <w:szCs w:val="21"/>
              </w:rPr>
            </w:pPr>
          </w:p>
        </w:tc>
        <w:tc>
          <w:tcPr>
            <w:tcW w:w="217" w:type="dxa"/>
          </w:tcPr>
          <w:p w14:paraId="2481762A" w14:textId="77777777" w:rsidR="002C0FD9" w:rsidRPr="00CA25CF" w:rsidRDefault="002C0FD9" w:rsidP="00CA25CF">
            <w:pPr>
              <w:rPr>
                <w:rFonts w:cs="Arial"/>
                <w:color w:val="FF0000"/>
                <w:sz w:val="21"/>
                <w:szCs w:val="21"/>
              </w:rPr>
            </w:pPr>
          </w:p>
        </w:tc>
        <w:tc>
          <w:tcPr>
            <w:tcW w:w="217" w:type="dxa"/>
          </w:tcPr>
          <w:p w14:paraId="159EEDBF" w14:textId="77777777" w:rsidR="002C0FD9" w:rsidRPr="00CA25CF" w:rsidRDefault="002C0FD9" w:rsidP="00CA25CF">
            <w:pPr>
              <w:rPr>
                <w:rFonts w:cs="Arial"/>
                <w:color w:val="FF0000"/>
                <w:sz w:val="21"/>
                <w:szCs w:val="21"/>
              </w:rPr>
            </w:pPr>
          </w:p>
        </w:tc>
        <w:tc>
          <w:tcPr>
            <w:tcW w:w="217" w:type="dxa"/>
          </w:tcPr>
          <w:p w14:paraId="0D136C9D" w14:textId="77777777" w:rsidR="002C0FD9" w:rsidRPr="00CA25CF" w:rsidRDefault="002C0FD9" w:rsidP="00CA25CF">
            <w:pPr>
              <w:rPr>
                <w:rFonts w:cs="Arial"/>
                <w:color w:val="FF0000"/>
                <w:sz w:val="21"/>
                <w:szCs w:val="21"/>
              </w:rPr>
            </w:pPr>
          </w:p>
        </w:tc>
        <w:tc>
          <w:tcPr>
            <w:tcW w:w="217" w:type="dxa"/>
          </w:tcPr>
          <w:p w14:paraId="3D3A8DAA" w14:textId="77777777" w:rsidR="002C0FD9" w:rsidRPr="00CA25CF" w:rsidRDefault="002C0FD9" w:rsidP="00CA25CF">
            <w:pPr>
              <w:rPr>
                <w:rFonts w:cs="Arial"/>
                <w:color w:val="FF0000"/>
                <w:sz w:val="21"/>
                <w:szCs w:val="21"/>
              </w:rPr>
            </w:pPr>
          </w:p>
        </w:tc>
        <w:tc>
          <w:tcPr>
            <w:tcW w:w="217" w:type="dxa"/>
          </w:tcPr>
          <w:p w14:paraId="0A59894E" w14:textId="77777777" w:rsidR="002C0FD9" w:rsidRPr="00CA25CF" w:rsidRDefault="002C0FD9" w:rsidP="00CA25CF">
            <w:pPr>
              <w:rPr>
                <w:rFonts w:cs="Arial"/>
                <w:color w:val="FF0000"/>
                <w:sz w:val="21"/>
                <w:szCs w:val="21"/>
              </w:rPr>
            </w:pPr>
          </w:p>
        </w:tc>
        <w:tc>
          <w:tcPr>
            <w:tcW w:w="217" w:type="dxa"/>
          </w:tcPr>
          <w:p w14:paraId="27F520F2" w14:textId="77777777" w:rsidR="002C0FD9" w:rsidRPr="00CA25CF" w:rsidRDefault="002C0FD9" w:rsidP="00CA25CF">
            <w:pPr>
              <w:rPr>
                <w:rFonts w:cs="Arial"/>
                <w:color w:val="FF0000"/>
                <w:sz w:val="21"/>
                <w:szCs w:val="21"/>
              </w:rPr>
            </w:pPr>
          </w:p>
        </w:tc>
        <w:tc>
          <w:tcPr>
            <w:tcW w:w="217" w:type="dxa"/>
          </w:tcPr>
          <w:p w14:paraId="01FDB2D1" w14:textId="77777777" w:rsidR="002C0FD9" w:rsidRPr="00CA25CF" w:rsidRDefault="002C0FD9" w:rsidP="00CA25CF">
            <w:pPr>
              <w:rPr>
                <w:rFonts w:cs="Arial"/>
                <w:color w:val="FF0000"/>
                <w:sz w:val="21"/>
                <w:szCs w:val="21"/>
              </w:rPr>
            </w:pPr>
          </w:p>
        </w:tc>
        <w:tc>
          <w:tcPr>
            <w:tcW w:w="217" w:type="dxa"/>
          </w:tcPr>
          <w:p w14:paraId="7CC1B9AA" w14:textId="77777777" w:rsidR="002C0FD9" w:rsidRPr="00CA25CF" w:rsidRDefault="002C0FD9" w:rsidP="00CA25CF">
            <w:pPr>
              <w:rPr>
                <w:rFonts w:cs="Arial"/>
                <w:color w:val="FF0000"/>
                <w:sz w:val="21"/>
                <w:szCs w:val="21"/>
              </w:rPr>
            </w:pPr>
          </w:p>
        </w:tc>
      </w:tr>
      <w:tr w:rsidR="002C0FD9" w:rsidRPr="00A16219" w14:paraId="23ACA453" w14:textId="77777777" w:rsidTr="002C0FD9">
        <w:trPr>
          <w:trHeight w:val="635"/>
        </w:trPr>
        <w:tc>
          <w:tcPr>
            <w:tcW w:w="515" w:type="dxa"/>
          </w:tcPr>
          <w:p w14:paraId="2CEE11C5" w14:textId="77777777" w:rsidR="002C0FD9" w:rsidRPr="00CA25CF" w:rsidRDefault="002C0FD9" w:rsidP="00CA25CF">
            <w:pPr>
              <w:rPr>
                <w:rFonts w:cs="Arial"/>
                <w:color w:val="FF0000"/>
                <w:sz w:val="21"/>
                <w:szCs w:val="21"/>
              </w:rPr>
            </w:pPr>
          </w:p>
        </w:tc>
        <w:tc>
          <w:tcPr>
            <w:tcW w:w="217" w:type="dxa"/>
          </w:tcPr>
          <w:p w14:paraId="442C84B0" w14:textId="77777777" w:rsidR="002C0FD9" w:rsidRPr="00CA25CF" w:rsidRDefault="002C0FD9" w:rsidP="00CA25CF">
            <w:pPr>
              <w:rPr>
                <w:rFonts w:cs="Arial"/>
                <w:color w:val="FF0000"/>
                <w:sz w:val="21"/>
                <w:szCs w:val="21"/>
              </w:rPr>
            </w:pPr>
          </w:p>
        </w:tc>
        <w:tc>
          <w:tcPr>
            <w:tcW w:w="217" w:type="dxa"/>
          </w:tcPr>
          <w:p w14:paraId="7AEB30C5" w14:textId="77777777" w:rsidR="002C0FD9" w:rsidRPr="00CA25CF" w:rsidRDefault="002C0FD9" w:rsidP="00CA25CF">
            <w:pPr>
              <w:rPr>
                <w:rFonts w:cs="Arial"/>
                <w:color w:val="FF0000"/>
                <w:sz w:val="21"/>
                <w:szCs w:val="21"/>
              </w:rPr>
            </w:pPr>
          </w:p>
        </w:tc>
        <w:tc>
          <w:tcPr>
            <w:tcW w:w="217" w:type="dxa"/>
          </w:tcPr>
          <w:p w14:paraId="2BBAF7CB" w14:textId="77777777" w:rsidR="002C0FD9" w:rsidRPr="00CA25CF" w:rsidRDefault="002C0FD9" w:rsidP="00CA25CF">
            <w:pPr>
              <w:rPr>
                <w:rFonts w:cs="Arial"/>
                <w:color w:val="FF0000"/>
                <w:sz w:val="21"/>
                <w:szCs w:val="21"/>
              </w:rPr>
            </w:pPr>
          </w:p>
        </w:tc>
        <w:tc>
          <w:tcPr>
            <w:tcW w:w="217" w:type="dxa"/>
          </w:tcPr>
          <w:p w14:paraId="3EC0F4BF" w14:textId="77777777" w:rsidR="002C0FD9" w:rsidRPr="00CA25CF" w:rsidRDefault="002C0FD9" w:rsidP="00CA25CF">
            <w:pPr>
              <w:rPr>
                <w:rFonts w:cs="Arial"/>
                <w:color w:val="FF0000"/>
                <w:sz w:val="21"/>
                <w:szCs w:val="21"/>
              </w:rPr>
            </w:pPr>
          </w:p>
        </w:tc>
        <w:tc>
          <w:tcPr>
            <w:tcW w:w="217" w:type="dxa"/>
          </w:tcPr>
          <w:p w14:paraId="0B7A209A" w14:textId="77777777" w:rsidR="002C0FD9" w:rsidRPr="00CA25CF" w:rsidRDefault="002C0FD9" w:rsidP="00CA25CF">
            <w:pPr>
              <w:rPr>
                <w:rFonts w:cs="Arial"/>
                <w:color w:val="FF0000"/>
                <w:sz w:val="21"/>
                <w:szCs w:val="21"/>
              </w:rPr>
            </w:pPr>
          </w:p>
        </w:tc>
        <w:tc>
          <w:tcPr>
            <w:tcW w:w="217" w:type="dxa"/>
          </w:tcPr>
          <w:p w14:paraId="674165EC" w14:textId="77777777" w:rsidR="002C0FD9" w:rsidRPr="00CA25CF" w:rsidRDefault="002C0FD9" w:rsidP="00CA25CF">
            <w:pPr>
              <w:rPr>
                <w:rFonts w:cs="Arial"/>
                <w:color w:val="FF0000"/>
                <w:sz w:val="21"/>
                <w:szCs w:val="21"/>
              </w:rPr>
            </w:pPr>
          </w:p>
        </w:tc>
        <w:tc>
          <w:tcPr>
            <w:tcW w:w="217" w:type="dxa"/>
          </w:tcPr>
          <w:p w14:paraId="52EFEE7E" w14:textId="77777777" w:rsidR="002C0FD9" w:rsidRPr="00CA25CF" w:rsidRDefault="002C0FD9" w:rsidP="00CA25CF">
            <w:pPr>
              <w:rPr>
                <w:rFonts w:cs="Arial"/>
                <w:color w:val="FF0000"/>
                <w:sz w:val="21"/>
                <w:szCs w:val="21"/>
              </w:rPr>
            </w:pPr>
          </w:p>
        </w:tc>
        <w:tc>
          <w:tcPr>
            <w:tcW w:w="217" w:type="dxa"/>
          </w:tcPr>
          <w:p w14:paraId="599D36DB" w14:textId="77777777" w:rsidR="002C0FD9" w:rsidRPr="00CA25CF" w:rsidRDefault="002C0FD9" w:rsidP="00CA25CF">
            <w:pPr>
              <w:rPr>
                <w:rFonts w:cs="Arial"/>
                <w:color w:val="FF0000"/>
                <w:sz w:val="21"/>
                <w:szCs w:val="21"/>
              </w:rPr>
            </w:pPr>
          </w:p>
        </w:tc>
        <w:tc>
          <w:tcPr>
            <w:tcW w:w="217" w:type="dxa"/>
          </w:tcPr>
          <w:p w14:paraId="7F4E5CA7" w14:textId="77777777" w:rsidR="002C0FD9" w:rsidRPr="00CA25CF" w:rsidRDefault="002C0FD9" w:rsidP="00CA25CF">
            <w:pPr>
              <w:rPr>
                <w:rFonts w:cs="Arial"/>
                <w:color w:val="FF0000"/>
                <w:sz w:val="21"/>
                <w:szCs w:val="21"/>
              </w:rPr>
            </w:pPr>
          </w:p>
        </w:tc>
        <w:tc>
          <w:tcPr>
            <w:tcW w:w="217" w:type="dxa"/>
          </w:tcPr>
          <w:p w14:paraId="7C455E7D" w14:textId="77777777" w:rsidR="002C0FD9" w:rsidRPr="00CA25CF" w:rsidRDefault="002C0FD9" w:rsidP="00CA25CF">
            <w:pPr>
              <w:rPr>
                <w:rFonts w:cs="Arial"/>
                <w:color w:val="FF0000"/>
                <w:sz w:val="21"/>
                <w:szCs w:val="21"/>
              </w:rPr>
            </w:pPr>
          </w:p>
        </w:tc>
        <w:tc>
          <w:tcPr>
            <w:tcW w:w="217" w:type="dxa"/>
          </w:tcPr>
          <w:p w14:paraId="0C46C9F0" w14:textId="77777777" w:rsidR="002C0FD9" w:rsidRPr="00CA25CF" w:rsidRDefault="002C0FD9" w:rsidP="00CA25CF">
            <w:pPr>
              <w:rPr>
                <w:rFonts w:cs="Arial"/>
                <w:color w:val="FF0000"/>
                <w:sz w:val="21"/>
                <w:szCs w:val="21"/>
              </w:rPr>
            </w:pPr>
          </w:p>
        </w:tc>
        <w:tc>
          <w:tcPr>
            <w:tcW w:w="217" w:type="dxa"/>
          </w:tcPr>
          <w:p w14:paraId="12BDBEA7" w14:textId="77777777" w:rsidR="002C0FD9" w:rsidRPr="00CA25CF" w:rsidRDefault="002C0FD9" w:rsidP="00CA25CF">
            <w:pPr>
              <w:rPr>
                <w:rFonts w:cs="Arial"/>
                <w:color w:val="FF0000"/>
                <w:sz w:val="21"/>
                <w:szCs w:val="21"/>
              </w:rPr>
            </w:pPr>
          </w:p>
        </w:tc>
        <w:tc>
          <w:tcPr>
            <w:tcW w:w="217" w:type="dxa"/>
          </w:tcPr>
          <w:p w14:paraId="1447C491" w14:textId="77777777" w:rsidR="002C0FD9" w:rsidRPr="00CA25CF" w:rsidRDefault="002C0FD9" w:rsidP="00CA25CF">
            <w:pPr>
              <w:rPr>
                <w:rFonts w:cs="Arial"/>
                <w:color w:val="FF0000"/>
                <w:sz w:val="21"/>
                <w:szCs w:val="21"/>
              </w:rPr>
            </w:pPr>
          </w:p>
        </w:tc>
        <w:tc>
          <w:tcPr>
            <w:tcW w:w="217" w:type="dxa"/>
          </w:tcPr>
          <w:p w14:paraId="204CB57C" w14:textId="77777777" w:rsidR="002C0FD9" w:rsidRPr="00CA25CF" w:rsidRDefault="002C0FD9" w:rsidP="00CA25CF">
            <w:pPr>
              <w:rPr>
                <w:rFonts w:cs="Arial"/>
                <w:color w:val="FF0000"/>
                <w:sz w:val="21"/>
                <w:szCs w:val="21"/>
              </w:rPr>
            </w:pPr>
          </w:p>
        </w:tc>
        <w:tc>
          <w:tcPr>
            <w:tcW w:w="217" w:type="dxa"/>
          </w:tcPr>
          <w:p w14:paraId="39DB2279" w14:textId="77777777" w:rsidR="002C0FD9" w:rsidRPr="00CA25CF" w:rsidRDefault="002C0FD9" w:rsidP="00CA25CF">
            <w:pPr>
              <w:rPr>
                <w:rFonts w:cs="Arial"/>
                <w:color w:val="FF0000"/>
                <w:sz w:val="21"/>
                <w:szCs w:val="21"/>
              </w:rPr>
            </w:pPr>
          </w:p>
        </w:tc>
        <w:tc>
          <w:tcPr>
            <w:tcW w:w="217" w:type="dxa"/>
          </w:tcPr>
          <w:p w14:paraId="26C6604A" w14:textId="77777777" w:rsidR="002C0FD9" w:rsidRPr="00CA25CF" w:rsidRDefault="002C0FD9" w:rsidP="00CA25CF">
            <w:pPr>
              <w:rPr>
                <w:rFonts w:cs="Arial"/>
                <w:color w:val="FF0000"/>
                <w:sz w:val="21"/>
                <w:szCs w:val="21"/>
              </w:rPr>
            </w:pPr>
          </w:p>
        </w:tc>
        <w:tc>
          <w:tcPr>
            <w:tcW w:w="217" w:type="dxa"/>
          </w:tcPr>
          <w:p w14:paraId="2368B2AD" w14:textId="77777777" w:rsidR="002C0FD9" w:rsidRPr="00CA25CF" w:rsidRDefault="002C0FD9" w:rsidP="00CA25CF">
            <w:pPr>
              <w:rPr>
                <w:rFonts w:cs="Arial"/>
                <w:color w:val="FF0000"/>
                <w:sz w:val="21"/>
                <w:szCs w:val="21"/>
              </w:rPr>
            </w:pPr>
          </w:p>
        </w:tc>
        <w:tc>
          <w:tcPr>
            <w:tcW w:w="217" w:type="dxa"/>
          </w:tcPr>
          <w:p w14:paraId="029B6EBE" w14:textId="77777777" w:rsidR="002C0FD9" w:rsidRPr="00CA25CF" w:rsidRDefault="002C0FD9" w:rsidP="00CA25CF">
            <w:pPr>
              <w:rPr>
                <w:rFonts w:cs="Arial"/>
                <w:color w:val="FF0000"/>
                <w:sz w:val="21"/>
                <w:szCs w:val="21"/>
              </w:rPr>
            </w:pPr>
          </w:p>
        </w:tc>
        <w:tc>
          <w:tcPr>
            <w:tcW w:w="217" w:type="dxa"/>
          </w:tcPr>
          <w:p w14:paraId="1FF424F9" w14:textId="77777777" w:rsidR="002C0FD9" w:rsidRPr="00CA25CF" w:rsidRDefault="002C0FD9" w:rsidP="00CA25CF">
            <w:pPr>
              <w:rPr>
                <w:rFonts w:cs="Arial"/>
                <w:color w:val="FF0000"/>
                <w:sz w:val="21"/>
                <w:szCs w:val="21"/>
              </w:rPr>
            </w:pPr>
          </w:p>
        </w:tc>
        <w:tc>
          <w:tcPr>
            <w:tcW w:w="217" w:type="dxa"/>
          </w:tcPr>
          <w:p w14:paraId="743B35E7" w14:textId="77777777" w:rsidR="002C0FD9" w:rsidRPr="00CA25CF" w:rsidRDefault="002C0FD9" w:rsidP="00CA25CF">
            <w:pPr>
              <w:rPr>
                <w:rFonts w:cs="Arial"/>
                <w:color w:val="FF0000"/>
                <w:sz w:val="21"/>
                <w:szCs w:val="21"/>
              </w:rPr>
            </w:pPr>
          </w:p>
        </w:tc>
        <w:tc>
          <w:tcPr>
            <w:tcW w:w="217" w:type="dxa"/>
          </w:tcPr>
          <w:p w14:paraId="1E8FE0C5" w14:textId="77777777" w:rsidR="002C0FD9" w:rsidRPr="00CA25CF" w:rsidRDefault="002C0FD9" w:rsidP="00CA25CF">
            <w:pPr>
              <w:rPr>
                <w:rFonts w:cs="Arial"/>
                <w:color w:val="FF0000"/>
                <w:sz w:val="21"/>
                <w:szCs w:val="21"/>
              </w:rPr>
            </w:pPr>
          </w:p>
        </w:tc>
        <w:tc>
          <w:tcPr>
            <w:tcW w:w="217" w:type="dxa"/>
          </w:tcPr>
          <w:p w14:paraId="10AEB72B" w14:textId="77777777" w:rsidR="002C0FD9" w:rsidRPr="00CA25CF" w:rsidRDefault="002C0FD9" w:rsidP="00CA25CF">
            <w:pPr>
              <w:rPr>
                <w:rFonts w:cs="Arial"/>
                <w:color w:val="FF0000"/>
                <w:sz w:val="21"/>
                <w:szCs w:val="21"/>
              </w:rPr>
            </w:pPr>
          </w:p>
        </w:tc>
        <w:tc>
          <w:tcPr>
            <w:tcW w:w="217" w:type="dxa"/>
          </w:tcPr>
          <w:p w14:paraId="19B598AE" w14:textId="77777777" w:rsidR="002C0FD9" w:rsidRPr="00CA25CF" w:rsidRDefault="002C0FD9" w:rsidP="00CA25CF">
            <w:pPr>
              <w:rPr>
                <w:rFonts w:cs="Arial"/>
                <w:color w:val="FF0000"/>
                <w:sz w:val="21"/>
                <w:szCs w:val="21"/>
              </w:rPr>
            </w:pPr>
          </w:p>
        </w:tc>
        <w:tc>
          <w:tcPr>
            <w:tcW w:w="217" w:type="dxa"/>
          </w:tcPr>
          <w:p w14:paraId="66AF1D8E" w14:textId="77777777" w:rsidR="002C0FD9" w:rsidRPr="00CA25CF" w:rsidRDefault="002C0FD9" w:rsidP="00CA25CF">
            <w:pPr>
              <w:rPr>
                <w:rFonts w:cs="Arial"/>
                <w:color w:val="FF0000"/>
                <w:sz w:val="21"/>
                <w:szCs w:val="21"/>
              </w:rPr>
            </w:pPr>
          </w:p>
        </w:tc>
        <w:tc>
          <w:tcPr>
            <w:tcW w:w="217" w:type="dxa"/>
          </w:tcPr>
          <w:p w14:paraId="670DC253" w14:textId="77777777" w:rsidR="002C0FD9" w:rsidRPr="00CA25CF" w:rsidRDefault="002C0FD9" w:rsidP="00CA25CF">
            <w:pPr>
              <w:rPr>
                <w:rFonts w:cs="Arial"/>
                <w:color w:val="FF0000"/>
                <w:sz w:val="21"/>
                <w:szCs w:val="21"/>
              </w:rPr>
            </w:pPr>
          </w:p>
        </w:tc>
        <w:tc>
          <w:tcPr>
            <w:tcW w:w="217" w:type="dxa"/>
          </w:tcPr>
          <w:p w14:paraId="15E4E004" w14:textId="77777777" w:rsidR="002C0FD9" w:rsidRPr="00CA25CF" w:rsidRDefault="002C0FD9" w:rsidP="00CA25CF">
            <w:pPr>
              <w:rPr>
                <w:rFonts w:cs="Arial"/>
                <w:color w:val="FF0000"/>
                <w:sz w:val="21"/>
                <w:szCs w:val="21"/>
              </w:rPr>
            </w:pPr>
          </w:p>
        </w:tc>
        <w:tc>
          <w:tcPr>
            <w:tcW w:w="217" w:type="dxa"/>
          </w:tcPr>
          <w:p w14:paraId="0872C895" w14:textId="77777777" w:rsidR="002C0FD9" w:rsidRPr="00CA25CF" w:rsidRDefault="002C0FD9" w:rsidP="00CA25CF">
            <w:pPr>
              <w:rPr>
                <w:rFonts w:cs="Arial"/>
                <w:color w:val="FF0000"/>
                <w:sz w:val="21"/>
                <w:szCs w:val="21"/>
              </w:rPr>
            </w:pPr>
          </w:p>
        </w:tc>
        <w:tc>
          <w:tcPr>
            <w:tcW w:w="217" w:type="dxa"/>
          </w:tcPr>
          <w:p w14:paraId="3685A86A" w14:textId="77777777" w:rsidR="002C0FD9" w:rsidRPr="00CA25CF" w:rsidRDefault="002C0FD9" w:rsidP="00CA25CF">
            <w:pPr>
              <w:rPr>
                <w:rFonts w:cs="Arial"/>
                <w:color w:val="FF0000"/>
                <w:sz w:val="21"/>
                <w:szCs w:val="21"/>
              </w:rPr>
            </w:pPr>
          </w:p>
        </w:tc>
        <w:tc>
          <w:tcPr>
            <w:tcW w:w="217" w:type="dxa"/>
          </w:tcPr>
          <w:p w14:paraId="409AAB65" w14:textId="77777777" w:rsidR="002C0FD9" w:rsidRPr="00CA25CF" w:rsidRDefault="002C0FD9" w:rsidP="00CA25CF">
            <w:pPr>
              <w:rPr>
                <w:rFonts w:cs="Arial"/>
                <w:color w:val="FF0000"/>
                <w:sz w:val="21"/>
                <w:szCs w:val="21"/>
              </w:rPr>
            </w:pPr>
          </w:p>
        </w:tc>
        <w:tc>
          <w:tcPr>
            <w:tcW w:w="217" w:type="dxa"/>
          </w:tcPr>
          <w:p w14:paraId="08AE2713" w14:textId="77777777" w:rsidR="002C0FD9" w:rsidRPr="00CA25CF" w:rsidRDefault="002C0FD9" w:rsidP="00CA25CF">
            <w:pPr>
              <w:rPr>
                <w:rFonts w:cs="Arial"/>
                <w:color w:val="FF0000"/>
                <w:sz w:val="21"/>
                <w:szCs w:val="21"/>
              </w:rPr>
            </w:pPr>
          </w:p>
        </w:tc>
        <w:tc>
          <w:tcPr>
            <w:tcW w:w="217" w:type="dxa"/>
          </w:tcPr>
          <w:p w14:paraId="1C1DAE2A" w14:textId="77777777" w:rsidR="002C0FD9" w:rsidRPr="00CA25CF" w:rsidRDefault="002C0FD9" w:rsidP="00CA25CF">
            <w:pPr>
              <w:rPr>
                <w:rFonts w:cs="Arial"/>
                <w:color w:val="FF0000"/>
                <w:sz w:val="21"/>
                <w:szCs w:val="21"/>
              </w:rPr>
            </w:pPr>
          </w:p>
        </w:tc>
        <w:tc>
          <w:tcPr>
            <w:tcW w:w="217" w:type="dxa"/>
          </w:tcPr>
          <w:p w14:paraId="39AF45D1" w14:textId="77777777" w:rsidR="002C0FD9" w:rsidRPr="00CA25CF" w:rsidRDefault="002C0FD9" w:rsidP="00CA25CF">
            <w:pPr>
              <w:rPr>
                <w:rFonts w:cs="Arial"/>
                <w:color w:val="FF0000"/>
                <w:sz w:val="21"/>
                <w:szCs w:val="21"/>
              </w:rPr>
            </w:pPr>
          </w:p>
        </w:tc>
        <w:tc>
          <w:tcPr>
            <w:tcW w:w="217" w:type="dxa"/>
          </w:tcPr>
          <w:p w14:paraId="1416447C" w14:textId="77777777" w:rsidR="002C0FD9" w:rsidRPr="00CA25CF" w:rsidRDefault="002C0FD9" w:rsidP="00CA25CF">
            <w:pPr>
              <w:rPr>
                <w:rFonts w:cs="Arial"/>
                <w:color w:val="FF0000"/>
                <w:sz w:val="21"/>
                <w:szCs w:val="21"/>
              </w:rPr>
            </w:pPr>
          </w:p>
        </w:tc>
        <w:tc>
          <w:tcPr>
            <w:tcW w:w="217" w:type="dxa"/>
          </w:tcPr>
          <w:p w14:paraId="354E0F8E" w14:textId="77777777" w:rsidR="002C0FD9" w:rsidRPr="00CA25CF" w:rsidRDefault="002C0FD9" w:rsidP="00CA25CF">
            <w:pPr>
              <w:rPr>
                <w:rFonts w:cs="Arial"/>
                <w:color w:val="FF0000"/>
                <w:sz w:val="21"/>
                <w:szCs w:val="21"/>
              </w:rPr>
            </w:pPr>
          </w:p>
        </w:tc>
        <w:tc>
          <w:tcPr>
            <w:tcW w:w="217" w:type="dxa"/>
          </w:tcPr>
          <w:p w14:paraId="0EB79182" w14:textId="77777777" w:rsidR="002C0FD9" w:rsidRPr="00CA25CF" w:rsidRDefault="002C0FD9" w:rsidP="00CA25CF">
            <w:pPr>
              <w:rPr>
                <w:rFonts w:cs="Arial"/>
                <w:color w:val="FF0000"/>
                <w:sz w:val="21"/>
                <w:szCs w:val="21"/>
              </w:rPr>
            </w:pPr>
          </w:p>
        </w:tc>
        <w:tc>
          <w:tcPr>
            <w:tcW w:w="217" w:type="dxa"/>
          </w:tcPr>
          <w:p w14:paraId="3355D050" w14:textId="77777777" w:rsidR="002C0FD9" w:rsidRPr="00CA25CF" w:rsidRDefault="002C0FD9" w:rsidP="00CA25CF">
            <w:pPr>
              <w:rPr>
                <w:rFonts w:cs="Arial"/>
                <w:color w:val="FF0000"/>
                <w:sz w:val="21"/>
                <w:szCs w:val="21"/>
              </w:rPr>
            </w:pPr>
          </w:p>
        </w:tc>
        <w:tc>
          <w:tcPr>
            <w:tcW w:w="217" w:type="dxa"/>
          </w:tcPr>
          <w:p w14:paraId="7E256DB7" w14:textId="77777777" w:rsidR="002C0FD9" w:rsidRPr="00CA25CF" w:rsidRDefault="002C0FD9" w:rsidP="00CA25CF">
            <w:pPr>
              <w:rPr>
                <w:rFonts w:cs="Arial"/>
                <w:color w:val="FF0000"/>
                <w:sz w:val="21"/>
                <w:szCs w:val="21"/>
              </w:rPr>
            </w:pPr>
          </w:p>
        </w:tc>
        <w:tc>
          <w:tcPr>
            <w:tcW w:w="217" w:type="dxa"/>
          </w:tcPr>
          <w:p w14:paraId="7CEF11D1" w14:textId="77777777" w:rsidR="002C0FD9" w:rsidRPr="00CA25CF" w:rsidRDefault="002C0FD9" w:rsidP="00CA25CF">
            <w:pPr>
              <w:rPr>
                <w:rFonts w:cs="Arial"/>
                <w:color w:val="FF0000"/>
                <w:sz w:val="21"/>
                <w:szCs w:val="21"/>
              </w:rPr>
            </w:pPr>
          </w:p>
        </w:tc>
        <w:tc>
          <w:tcPr>
            <w:tcW w:w="217" w:type="dxa"/>
          </w:tcPr>
          <w:p w14:paraId="7A8B875E" w14:textId="77777777" w:rsidR="002C0FD9" w:rsidRPr="00CA25CF" w:rsidRDefault="002C0FD9" w:rsidP="00CA25CF">
            <w:pPr>
              <w:rPr>
                <w:rFonts w:cs="Arial"/>
                <w:color w:val="FF0000"/>
                <w:sz w:val="21"/>
                <w:szCs w:val="21"/>
              </w:rPr>
            </w:pPr>
          </w:p>
        </w:tc>
        <w:tc>
          <w:tcPr>
            <w:tcW w:w="217" w:type="dxa"/>
          </w:tcPr>
          <w:p w14:paraId="55D51882" w14:textId="77777777" w:rsidR="002C0FD9" w:rsidRPr="00CA25CF" w:rsidRDefault="002C0FD9" w:rsidP="00CA25CF">
            <w:pPr>
              <w:rPr>
                <w:rFonts w:cs="Arial"/>
                <w:color w:val="FF0000"/>
                <w:sz w:val="21"/>
                <w:szCs w:val="21"/>
              </w:rPr>
            </w:pPr>
          </w:p>
        </w:tc>
        <w:tc>
          <w:tcPr>
            <w:tcW w:w="217" w:type="dxa"/>
          </w:tcPr>
          <w:p w14:paraId="6B1A1AB3" w14:textId="77777777" w:rsidR="002C0FD9" w:rsidRPr="00CA25CF" w:rsidRDefault="002C0FD9" w:rsidP="00CA25CF">
            <w:pPr>
              <w:rPr>
                <w:rFonts w:cs="Arial"/>
                <w:color w:val="FF0000"/>
                <w:sz w:val="21"/>
                <w:szCs w:val="21"/>
              </w:rPr>
            </w:pPr>
          </w:p>
        </w:tc>
        <w:tc>
          <w:tcPr>
            <w:tcW w:w="217" w:type="dxa"/>
          </w:tcPr>
          <w:p w14:paraId="637F3F4F" w14:textId="77777777" w:rsidR="002C0FD9" w:rsidRPr="00CA25CF" w:rsidRDefault="002C0FD9" w:rsidP="00CA25CF">
            <w:pPr>
              <w:rPr>
                <w:rFonts w:cs="Arial"/>
                <w:color w:val="FF0000"/>
                <w:sz w:val="21"/>
                <w:szCs w:val="21"/>
              </w:rPr>
            </w:pPr>
          </w:p>
        </w:tc>
      </w:tr>
      <w:tr w:rsidR="002C0FD9" w:rsidRPr="00A16219" w14:paraId="75F1F810" w14:textId="77777777" w:rsidTr="002C0FD9">
        <w:trPr>
          <w:trHeight w:val="635"/>
        </w:trPr>
        <w:tc>
          <w:tcPr>
            <w:tcW w:w="515" w:type="dxa"/>
          </w:tcPr>
          <w:p w14:paraId="3128C9D6" w14:textId="77777777" w:rsidR="002C0FD9" w:rsidRPr="00CA25CF" w:rsidRDefault="002C0FD9" w:rsidP="00CA25CF">
            <w:pPr>
              <w:rPr>
                <w:rFonts w:cs="Arial"/>
                <w:color w:val="FF0000"/>
                <w:sz w:val="21"/>
                <w:szCs w:val="21"/>
              </w:rPr>
            </w:pPr>
          </w:p>
        </w:tc>
        <w:tc>
          <w:tcPr>
            <w:tcW w:w="217" w:type="dxa"/>
          </w:tcPr>
          <w:p w14:paraId="04D3EDBD" w14:textId="77777777" w:rsidR="002C0FD9" w:rsidRPr="00CA25CF" w:rsidRDefault="002C0FD9" w:rsidP="00CA25CF">
            <w:pPr>
              <w:rPr>
                <w:rFonts w:cs="Arial"/>
                <w:color w:val="FF0000"/>
                <w:sz w:val="21"/>
                <w:szCs w:val="21"/>
              </w:rPr>
            </w:pPr>
          </w:p>
        </w:tc>
        <w:tc>
          <w:tcPr>
            <w:tcW w:w="217" w:type="dxa"/>
          </w:tcPr>
          <w:p w14:paraId="51541AB7" w14:textId="77777777" w:rsidR="002C0FD9" w:rsidRPr="00CA25CF" w:rsidRDefault="002C0FD9" w:rsidP="00CA25CF">
            <w:pPr>
              <w:rPr>
                <w:rFonts w:cs="Arial"/>
                <w:color w:val="FF0000"/>
                <w:sz w:val="21"/>
                <w:szCs w:val="21"/>
              </w:rPr>
            </w:pPr>
          </w:p>
        </w:tc>
        <w:tc>
          <w:tcPr>
            <w:tcW w:w="217" w:type="dxa"/>
          </w:tcPr>
          <w:p w14:paraId="2291BB05" w14:textId="77777777" w:rsidR="002C0FD9" w:rsidRPr="00CA25CF" w:rsidRDefault="002C0FD9" w:rsidP="00CA25CF">
            <w:pPr>
              <w:rPr>
                <w:rFonts w:cs="Arial"/>
                <w:color w:val="FF0000"/>
                <w:sz w:val="21"/>
                <w:szCs w:val="21"/>
              </w:rPr>
            </w:pPr>
          </w:p>
        </w:tc>
        <w:tc>
          <w:tcPr>
            <w:tcW w:w="217" w:type="dxa"/>
          </w:tcPr>
          <w:p w14:paraId="4BC06ECE" w14:textId="77777777" w:rsidR="002C0FD9" w:rsidRPr="00CA25CF" w:rsidRDefault="002C0FD9" w:rsidP="00CA25CF">
            <w:pPr>
              <w:rPr>
                <w:rFonts w:cs="Arial"/>
                <w:color w:val="FF0000"/>
                <w:sz w:val="21"/>
                <w:szCs w:val="21"/>
              </w:rPr>
            </w:pPr>
          </w:p>
        </w:tc>
        <w:tc>
          <w:tcPr>
            <w:tcW w:w="217" w:type="dxa"/>
          </w:tcPr>
          <w:p w14:paraId="3067B352" w14:textId="77777777" w:rsidR="002C0FD9" w:rsidRPr="00CA25CF" w:rsidRDefault="002C0FD9" w:rsidP="00CA25CF">
            <w:pPr>
              <w:rPr>
                <w:rFonts w:cs="Arial"/>
                <w:color w:val="FF0000"/>
                <w:sz w:val="21"/>
                <w:szCs w:val="21"/>
              </w:rPr>
            </w:pPr>
          </w:p>
        </w:tc>
        <w:tc>
          <w:tcPr>
            <w:tcW w:w="217" w:type="dxa"/>
          </w:tcPr>
          <w:p w14:paraId="15572C81" w14:textId="77777777" w:rsidR="002C0FD9" w:rsidRPr="00CA25CF" w:rsidRDefault="002C0FD9" w:rsidP="00CA25CF">
            <w:pPr>
              <w:rPr>
                <w:rFonts w:cs="Arial"/>
                <w:color w:val="FF0000"/>
                <w:sz w:val="21"/>
                <w:szCs w:val="21"/>
              </w:rPr>
            </w:pPr>
          </w:p>
        </w:tc>
        <w:tc>
          <w:tcPr>
            <w:tcW w:w="217" w:type="dxa"/>
          </w:tcPr>
          <w:p w14:paraId="4C5310ED" w14:textId="77777777" w:rsidR="002C0FD9" w:rsidRPr="00CA25CF" w:rsidRDefault="002C0FD9" w:rsidP="00CA25CF">
            <w:pPr>
              <w:rPr>
                <w:rFonts w:cs="Arial"/>
                <w:color w:val="FF0000"/>
                <w:sz w:val="21"/>
                <w:szCs w:val="21"/>
              </w:rPr>
            </w:pPr>
          </w:p>
        </w:tc>
        <w:tc>
          <w:tcPr>
            <w:tcW w:w="217" w:type="dxa"/>
          </w:tcPr>
          <w:p w14:paraId="29BD398D" w14:textId="77777777" w:rsidR="002C0FD9" w:rsidRPr="00CA25CF" w:rsidRDefault="002C0FD9" w:rsidP="00CA25CF">
            <w:pPr>
              <w:rPr>
                <w:rFonts w:cs="Arial"/>
                <w:color w:val="FF0000"/>
                <w:sz w:val="21"/>
                <w:szCs w:val="21"/>
              </w:rPr>
            </w:pPr>
          </w:p>
        </w:tc>
        <w:tc>
          <w:tcPr>
            <w:tcW w:w="217" w:type="dxa"/>
          </w:tcPr>
          <w:p w14:paraId="5B55ADD0" w14:textId="77777777" w:rsidR="002C0FD9" w:rsidRPr="00CA25CF" w:rsidRDefault="002C0FD9" w:rsidP="00CA25CF">
            <w:pPr>
              <w:rPr>
                <w:rFonts w:cs="Arial"/>
                <w:color w:val="FF0000"/>
                <w:sz w:val="21"/>
                <w:szCs w:val="21"/>
              </w:rPr>
            </w:pPr>
          </w:p>
        </w:tc>
        <w:tc>
          <w:tcPr>
            <w:tcW w:w="217" w:type="dxa"/>
          </w:tcPr>
          <w:p w14:paraId="00F9EB5E" w14:textId="77777777" w:rsidR="002C0FD9" w:rsidRPr="00CA25CF" w:rsidRDefault="002C0FD9" w:rsidP="00CA25CF">
            <w:pPr>
              <w:rPr>
                <w:rFonts w:cs="Arial"/>
                <w:color w:val="FF0000"/>
                <w:sz w:val="21"/>
                <w:szCs w:val="21"/>
              </w:rPr>
            </w:pPr>
          </w:p>
        </w:tc>
        <w:tc>
          <w:tcPr>
            <w:tcW w:w="217" w:type="dxa"/>
          </w:tcPr>
          <w:p w14:paraId="0EC730B8" w14:textId="77777777" w:rsidR="002C0FD9" w:rsidRPr="00CA25CF" w:rsidRDefault="002C0FD9" w:rsidP="00CA25CF">
            <w:pPr>
              <w:rPr>
                <w:rFonts w:cs="Arial"/>
                <w:color w:val="FF0000"/>
                <w:sz w:val="21"/>
                <w:szCs w:val="21"/>
              </w:rPr>
            </w:pPr>
          </w:p>
        </w:tc>
        <w:tc>
          <w:tcPr>
            <w:tcW w:w="217" w:type="dxa"/>
          </w:tcPr>
          <w:p w14:paraId="0AA4C5D6" w14:textId="77777777" w:rsidR="002C0FD9" w:rsidRPr="00CA25CF" w:rsidRDefault="002C0FD9" w:rsidP="00CA25CF">
            <w:pPr>
              <w:rPr>
                <w:rFonts w:cs="Arial"/>
                <w:color w:val="FF0000"/>
                <w:sz w:val="21"/>
                <w:szCs w:val="21"/>
              </w:rPr>
            </w:pPr>
          </w:p>
        </w:tc>
        <w:tc>
          <w:tcPr>
            <w:tcW w:w="217" w:type="dxa"/>
          </w:tcPr>
          <w:p w14:paraId="6E464A30" w14:textId="77777777" w:rsidR="002C0FD9" w:rsidRPr="00CA25CF" w:rsidRDefault="002C0FD9" w:rsidP="00CA25CF">
            <w:pPr>
              <w:rPr>
                <w:rFonts w:cs="Arial"/>
                <w:color w:val="FF0000"/>
                <w:sz w:val="21"/>
                <w:szCs w:val="21"/>
              </w:rPr>
            </w:pPr>
          </w:p>
        </w:tc>
        <w:tc>
          <w:tcPr>
            <w:tcW w:w="217" w:type="dxa"/>
          </w:tcPr>
          <w:p w14:paraId="199918C6" w14:textId="77777777" w:rsidR="002C0FD9" w:rsidRPr="00CA25CF" w:rsidRDefault="002C0FD9" w:rsidP="00CA25CF">
            <w:pPr>
              <w:rPr>
                <w:rFonts w:cs="Arial"/>
                <w:color w:val="FF0000"/>
                <w:sz w:val="21"/>
                <w:szCs w:val="21"/>
              </w:rPr>
            </w:pPr>
          </w:p>
        </w:tc>
        <w:tc>
          <w:tcPr>
            <w:tcW w:w="217" w:type="dxa"/>
          </w:tcPr>
          <w:p w14:paraId="2158336E" w14:textId="77777777" w:rsidR="002C0FD9" w:rsidRPr="00CA25CF" w:rsidRDefault="002C0FD9" w:rsidP="00CA25CF">
            <w:pPr>
              <w:rPr>
                <w:rFonts w:cs="Arial"/>
                <w:color w:val="FF0000"/>
                <w:sz w:val="21"/>
                <w:szCs w:val="21"/>
              </w:rPr>
            </w:pPr>
          </w:p>
        </w:tc>
        <w:tc>
          <w:tcPr>
            <w:tcW w:w="217" w:type="dxa"/>
          </w:tcPr>
          <w:p w14:paraId="4FB9D216" w14:textId="77777777" w:rsidR="002C0FD9" w:rsidRPr="00CA25CF" w:rsidRDefault="002C0FD9" w:rsidP="00CA25CF">
            <w:pPr>
              <w:rPr>
                <w:rFonts w:cs="Arial"/>
                <w:color w:val="FF0000"/>
                <w:sz w:val="21"/>
                <w:szCs w:val="21"/>
              </w:rPr>
            </w:pPr>
          </w:p>
        </w:tc>
        <w:tc>
          <w:tcPr>
            <w:tcW w:w="217" w:type="dxa"/>
          </w:tcPr>
          <w:p w14:paraId="26BD68A4" w14:textId="77777777" w:rsidR="002C0FD9" w:rsidRPr="00CA25CF" w:rsidRDefault="002C0FD9" w:rsidP="00CA25CF">
            <w:pPr>
              <w:rPr>
                <w:rFonts w:cs="Arial"/>
                <w:color w:val="FF0000"/>
                <w:sz w:val="21"/>
                <w:szCs w:val="21"/>
              </w:rPr>
            </w:pPr>
          </w:p>
        </w:tc>
        <w:tc>
          <w:tcPr>
            <w:tcW w:w="217" w:type="dxa"/>
          </w:tcPr>
          <w:p w14:paraId="4B641C77" w14:textId="77777777" w:rsidR="002C0FD9" w:rsidRPr="00CA25CF" w:rsidRDefault="002C0FD9" w:rsidP="00CA25CF">
            <w:pPr>
              <w:rPr>
                <w:rFonts w:cs="Arial"/>
                <w:color w:val="FF0000"/>
                <w:sz w:val="21"/>
                <w:szCs w:val="21"/>
              </w:rPr>
            </w:pPr>
          </w:p>
        </w:tc>
        <w:tc>
          <w:tcPr>
            <w:tcW w:w="217" w:type="dxa"/>
          </w:tcPr>
          <w:p w14:paraId="5AA4E69B" w14:textId="77777777" w:rsidR="002C0FD9" w:rsidRPr="00CA25CF" w:rsidRDefault="002C0FD9" w:rsidP="00CA25CF">
            <w:pPr>
              <w:rPr>
                <w:rFonts w:cs="Arial"/>
                <w:color w:val="FF0000"/>
                <w:sz w:val="21"/>
                <w:szCs w:val="21"/>
              </w:rPr>
            </w:pPr>
          </w:p>
        </w:tc>
        <w:tc>
          <w:tcPr>
            <w:tcW w:w="217" w:type="dxa"/>
          </w:tcPr>
          <w:p w14:paraId="032FBF4C" w14:textId="77777777" w:rsidR="002C0FD9" w:rsidRPr="00CA25CF" w:rsidRDefault="002C0FD9" w:rsidP="00CA25CF">
            <w:pPr>
              <w:rPr>
                <w:rFonts w:cs="Arial"/>
                <w:color w:val="FF0000"/>
                <w:sz w:val="21"/>
                <w:szCs w:val="21"/>
              </w:rPr>
            </w:pPr>
          </w:p>
        </w:tc>
        <w:tc>
          <w:tcPr>
            <w:tcW w:w="217" w:type="dxa"/>
          </w:tcPr>
          <w:p w14:paraId="59CA8B2B" w14:textId="77777777" w:rsidR="002C0FD9" w:rsidRPr="00CA25CF" w:rsidRDefault="002C0FD9" w:rsidP="00CA25CF">
            <w:pPr>
              <w:rPr>
                <w:rFonts w:cs="Arial"/>
                <w:color w:val="FF0000"/>
                <w:sz w:val="21"/>
                <w:szCs w:val="21"/>
              </w:rPr>
            </w:pPr>
          </w:p>
        </w:tc>
        <w:tc>
          <w:tcPr>
            <w:tcW w:w="217" w:type="dxa"/>
          </w:tcPr>
          <w:p w14:paraId="4A49D22E" w14:textId="77777777" w:rsidR="002C0FD9" w:rsidRPr="00CA25CF" w:rsidRDefault="002C0FD9" w:rsidP="00CA25CF">
            <w:pPr>
              <w:rPr>
                <w:rFonts w:cs="Arial"/>
                <w:color w:val="FF0000"/>
                <w:sz w:val="21"/>
                <w:szCs w:val="21"/>
              </w:rPr>
            </w:pPr>
          </w:p>
        </w:tc>
        <w:tc>
          <w:tcPr>
            <w:tcW w:w="217" w:type="dxa"/>
          </w:tcPr>
          <w:p w14:paraId="0D110C3A" w14:textId="77777777" w:rsidR="002C0FD9" w:rsidRPr="00CA25CF" w:rsidRDefault="002C0FD9" w:rsidP="00CA25CF">
            <w:pPr>
              <w:rPr>
                <w:rFonts w:cs="Arial"/>
                <w:color w:val="FF0000"/>
                <w:sz w:val="21"/>
                <w:szCs w:val="21"/>
              </w:rPr>
            </w:pPr>
          </w:p>
        </w:tc>
        <w:tc>
          <w:tcPr>
            <w:tcW w:w="217" w:type="dxa"/>
          </w:tcPr>
          <w:p w14:paraId="620EB48E" w14:textId="77777777" w:rsidR="002C0FD9" w:rsidRPr="00CA25CF" w:rsidRDefault="002C0FD9" w:rsidP="00CA25CF">
            <w:pPr>
              <w:rPr>
                <w:rFonts w:cs="Arial"/>
                <w:color w:val="FF0000"/>
                <w:sz w:val="21"/>
                <w:szCs w:val="21"/>
              </w:rPr>
            </w:pPr>
          </w:p>
        </w:tc>
        <w:tc>
          <w:tcPr>
            <w:tcW w:w="217" w:type="dxa"/>
          </w:tcPr>
          <w:p w14:paraId="6931A139" w14:textId="77777777" w:rsidR="002C0FD9" w:rsidRPr="00CA25CF" w:rsidRDefault="002C0FD9" w:rsidP="00CA25CF">
            <w:pPr>
              <w:rPr>
                <w:rFonts w:cs="Arial"/>
                <w:color w:val="FF0000"/>
                <w:sz w:val="21"/>
                <w:szCs w:val="21"/>
              </w:rPr>
            </w:pPr>
          </w:p>
        </w:tc>
        <w:tc>
          <w:tcPr>
            <w:tcW w:w="217" w:type="dxa"/>
          </w:tcPr>
          <w:p w14:paraId="3002E84A" w14:textId="77777777" w:rsidR="002C0FD9" w:rsidRPr="00CA25CF" w:rsidRDefault="002C0FD9" w:rsidP="00CA25CF">
            <w:pPr>
              <w:rPr>
                <w:rFonts w:cs="Arial"/>
                <w:color w:val="FF0000"/>
                <w:sz w:val="21"/>
                <w:szCs w:val="21"/>
              </w:rPr>
            </w:pPr>
          </w:p>
        </w:tc>
        <w:tc>
          <w:tcPr>
            <w:tcW w:w="217" w:type="dxa"/>
          </w:tcPr>
          <w:p w14:paraId="7A963DE3" w14:textId="77777777" w:rsidR="002C0FD9" w:rsidRPr="00CA25CF" w:rsidRDefault="002C0FD9" w:rsidP="00CA25CF">
            <w:pPr>
              <w:rPr>
                <w:rFonts w:cs="Arial"/>
                <w:color w:val="FF0000"/>
                <w:sz w:val="21"/>
                <w:szCs w:val="21"/>
              </w:rPr>
            </w:pPr>
          </w:p>
        </w:tc>
        <w:tc>
          <w:tcPr>
            <w:tcW w:w="217" w:type="dxa"/>
          </w:tcPr>
          <w:p w14:paraId="70D139F4" w14:textId="77777777" w:rsidR="002C0FD9" w:rsidRPr="00CA25CF" w:rsidRDefault="002C0FD9" w:rsidP="00CA25CF">
            <w:pPr>
              <w:rPr>
                <w:rFonts w:cs="Arial"/>
                <w:color w:val="FF0000"/>
                <w:sz w:val="21"/>
                <w:szCs w:val="21"/>
              </w:rPr>
            </w:pPr>
          </w:p>
        </w:tc>
        <w:tc>
          <w:tcPr>
            <w:tcW w:w="217" w:type="dxa"/>
          </w:tcPr>
          <w:p w14:paraId="25A935A9" w14:textId="77777777" w:rsidR="002C0FD9" w:rsidRPr="00CA25CF" w:rsidRDefault="002C0FD9" w:rsidP="00CA25CF">
            <w:pPr>
              <w:rPr>
                <w:rFonts w:cs="Arial"/>
                <w:color w:val="FF0000"/>
                <w:sz w:val="21"/>
                <w:szCs w:val="21"/>
              </w:rPr>
            </w:pPr>
          </w:p>
        </w:tc>
        <w:tc>
          <w:tcPr>
            <w:tcW w:w="217" w:type="dxa"/>
          </w:tcPr>
          <w:p w14:paraId="677C5D26" w14:textId="77777777" w:rsidR="002C0FD9" w:rsidRPr="00CA25CF" w:rsidRDefault="002C0FD9" w:rsidP="00CA25CF">
            <w:pPr>
              <w:rPr>
                <w:rFonts w:cs="Arial"/>
                <w:color w:val="FF0000"/>
                <w:sz w:val="21"/>
                <w:szCs w:val="21"/>
              </w:rPr>
            </w:pPr>
          </w:p>
        </w:tc>
        <w:tc>
          <w:tcPr>
            <w:tcW w:w="217" w:type="dxa"/>
          </w:tcPr>
          <w:p w14:paraId="290E62F5" w14:textId="77777777" w:rsidR="002C0FD9" w:rsidRPr="00CA25CF" w:rsidRDefault="002C0FD9" w:rsidP="00CA25CF">
            <w:pPr>
              <w:rPr>
                <w:rFonts w:cs="Arial"/>
                <w:color w:val="FF0000"/>
                <w:sz w:val="21"/>
                <w:szCs w:val="21"/>
              </w:rPr>
            </w:pPr>
          </w:p>
        </w:tc>
        <w:tc>
          <w:tcPr>
            <w:tcW w:w="217" w:type="dxa"/>
          </w:tcPr>
          <w:p w14:paraId="27F716EA" w14:textId="77777777" w:rsidR="002C0FD9" w:rsidRPr="00CA25CF" w:rsidRDefault="002C0FD9" w:rsidP="00CA25CF">
            <w:pPr>
              <w:rPr>
                <w:rFonts w:cs="Arial"/>
                <w:color w:val="FF0000"/>
                <w:sz w:val="21"/>
                <w:szCs w:val="21"/>
              </w:rPr>
            </w:pPr>
          </w:p>
        </w:tc>
        <w:tc>
          <w:tcPr>
            <w:tcW w:w="217" w:type="dxa"/>
          </w:tcPr>
          <w:p w14:paraId="4D36D48A" w14:textId="77777777" w:rsidR="002C0FD9" w:rsidRPr="00CA25CF" w:rsidRDefault="002C0FD9" w:rsidP="00CA25CF">
            <w:pPr>
              <w:rPr>
                <w:rFonts w:cs="Arial"/>
                <w:color w:val="FF0000"/>
                <w:sz w:val="21"/>
                <w:szCs w:val="21"/>
              </w:rPr>
            </w:pPr>
          </w:p>
        </w:tc>
        <w:tc>
          <w:tcPr>
            <w:tcW w:w="217" w:type="dxa"/>
          </w:tcPr>
          <w:p w14:paraId="4B84A18D" w14:textId="77777777" w:rsidR="002C0FD9" w:rsidRPr="00CA25CF" w:rsidRDefault="002C0FD9" w:rsidP="00CA25CF">
            <w:pPr>
              <w:rPr>
                <w:rFonts w:cs="Arial"/>
                <w:color w:val="FF0000"/>
                <w:sz w:val="21"/>
                <w:szCs w:val="21"/>
              </w:rPr>
            </w:pPr>
          </w:p>
        </w:tc>
        <w:tc>
          <w:tcPr>
            <w:tcW w:w="217" w:type="dxa"/>
          </w:tcPr>
          <w:p w14:paraId="3A367BE2" w14:textId="77777777" w:rsidR="002C0FD9" w:rsidRPr="00CA25CF" w:rsidRDefault="002C0FD9" w:rsidP="00CA25CF">
            <w:pPr>
              <w:rPr>
                <w:rFonts w:cs="Arial"/>
                <w:color w:val="FF0000"/>
                <w:sz w:val="21"/>
                <w:szCs w:val="21"/>
              </w:rPr>
            </w:pPr>
          </w:p>
        </w:tc>
        <w:tc>
          <w:tcPr>
            <w:tcW w:w="217" w:type="dxa"/>
          </w:tcPr>
          <w:p w14:paraId="573B68E3" w14:textId="77777777" w:rsidR="002C0FD9" w:rsidRPr="00CA25CF" w:rsidRDefault="002C0FD9" w:rsidP="00CA25CF">
            <w:pPr>
              <w:rPr>
                <w:rFonts w:cs="Arial"/>
                <w:color w:val="FF0000"/>
                <w:sz w:val="21"/>
                <w:szCs w:val="21"/>
              </w:rPr>
            </w:pPr>
          </w:p>
        </w:tc>
        <w:tc>
          <w:tcPr>
            <w:tcW w:w="217" w:type="dxa"/>
          </w:tcPr>
          <w:p w14:paraId="1D33B9DD" w14:textId="77777777" w:rsidR="002C0FD9" w:rsidRPr="00CA25CF" w:rsidRDefault="002C0FD9" w:rsidP="00CA25CF">
            <w:pPr>
              <w:rPr>
                <w:rFonts w:cs="Arial"/>
                <w:color w:val="FF0000"/>
                <w:sz w:val="21"/>
                <w:szCs w:val="21"/>
              </w:rPr>
            </w:pPr>
          </w:p>
        </w:tc>
        <w:tc>
          <w:tcPr>
            <w:tcW w:w="217" w:type="dxa"/>
          </w:tcPr>
          <w:p w14:paraId="646E0E40" w14:textId="77777777" w:rsidR="002C0FD9" w:rsidRPr="00CA25CF" w:rsidRDefault="002C0FD9" w:rsidP="00CA25CF">
            <w:pPr>
              <w:rPr>
                <w:rFonts w:cs="Arial"/>
                <w:color w:val="FF0000"/>
                <w:sz w:val="21"/>
                <w:szCs w:val="21"/>
              </w:rPr>
            </w:pPr>
          </w:p>
        </w:tc>
        <w:tc>
          <w:tcPr>
            <w:tcW w:w="217" w:type="dxa"/>
          </w:tcPr>
          <w:p w14:paraId="6D25AB94" w14:textId="77777777" w:rsidR="002C0FD9" w:rsidRPr="00CA25CF" w:rsidRDefault="002C0FD9" w:rsidP="00CA25CF">
            <w:pPr>
              <w:rPr>
                <w:rFonts w:cs="Arial"/>
                <w:color w:val="FF0000"/>
                <w:sz w:val="21"/>
                <w:szCs w:val="21"/>
              </w:rPr>
            </w:pPr>
          </w:p>
        </w:tc>
        <w:tc>
          <w:tcPr>
            <w:tcW w:w="217" w:type="dxa"/>
          </w:tcPr>
          <w:p w14:paraId="5934300B" w14:textId="77777777" w:rsidR="002C0FD9" w:rsidRPr="00CA25CF" w:rsidRDefault="002C0FD9" w:rsidP="00CA25CF">
            <w:pPr>
              <w:rPr>
                <w:rFonts w:cs="Arial"/>
                <w:color w:val="FF0000"/>
                <w:sz w:val="21"/>
                <w:szCs w:val="21"/>
              </w:rPr>
            </w:pPr>
          </w:p>
        </w:tc>
        <w:tc>
          <w:tcPr>
            <w:tcW w:w="217" w:type="dxa"/>
          </w:tcPr>
          <w:p w14:paraId="422409C3" w14:textId="77777777" w:rsidR="002C0FD9" w:rsidRPr="00CA25CF" w:rsidRDefault="002C0FD9" w:rsidP="00CA25CF">
            <w:pPr>
              <w:rPr>
                <w:rFonts w:cs="Arial"/>
                <w:color w:val="FF0000"/>
                <w:sz w:val="21"/>
                <w:szCs w:val="21"/>
              </w:rPr>
            </w:pPr>
          </w:p>
        </w:tc>
        <w:tc>
          <w:tcPr>
            <w:tcW w:w="217" w:type="dxa"/>
          </w:tcPr>
          <w:p w14:paraId="7B9749AA" w14:textId="77777777" w:rsidR="002C0FD9" w:rsidRPr="00CA25CF" w:rsidRDefault="002C0FD9" w:rsidP="00CA25CF">
            <w:pPr>
              <w:rPr>
                <w:rFonts w:cs="Arial"/>
                <w:color w:val="FF0000"/>
                <w:sz w:val="21"/>
                <w:szCs w:val="21"/>
              </w:rPr>
            </w:pPr>
          </w:p>
        </w:tc>
      </w:tr>
      <w:tr w:rsidR="002C0FD9" w:rsidRPr="00A16219" w14:paraId="62F2B53A" w14:textId="77777777" w:rsidTr="002C0FD9">
        <w:trPr>
          <w:trHeight w:val="635"/>
        </w:trPr>
        <w:tc>
          <w:tcPr>
            <w:tcW w:w="515" w:type="dxa"/>
          </w:tcPr>
          <w:p w14:paraId="5EC68103" w14:textId="77777777" w:rsidR="002C0FD9" w:rsidRPr="00CA25CF" w:rsidRDefault="002C0FD9" w:rsidP="00CA25CF">
            <w:pPr>
              <w:rPr>
                <w:rFonts w:cs="Arial"/>
                <w:color w:val="FF0000"/>
                <w:sz w:val="21"/>
                <w:szCs w:val="21"/>
              </w:rPr>
            </w:pPr>
          </w:p>
        </w:tc>
        <w:tc>
          <w:tcPr>
            <w:tcW w:w="217" w:type="dxa"/>
          </w:tcPr>
          <w:p w14:paraId="00502C08" w14:textId="77777777" w:rsidR="002C0FD9" w:rsidRPr="00CA25CF" w:rsidRDefault="002C0FD9" w:rsidP="00CA25CF">
            <w:pPr>
              <w:rPr>
                <w:rFonts w:cs="Arial"/>
                <w:color w:val="FF0000"/>
                <w:sz w:val="21"/>
                <w:szCs w:val="21"/>
              </w:rPr>
            </w:pPr>
          </w:p>
        </w:tc>
        <w:tc>
          <w:tcPr>
            <w:tcW w:w="217" w:type="dxa"/>
          </w:tcPr>
          <w:p w14:paraId="1EB5DD84" w14:textId="77777777" w:rsidR="002C0FD9" w:rsidRPr="00CA25CF" w:rsidRDefault="002C0FD9" w:rsidP="00CA25CF">
            <w:pPr>
              <w:rPr>
                <w:rFonts w:cs="Arial"/>
                <w:color w:val="FF0000"/>
                <w:sz w:val="21"/>
                <w:szCs w:val="21"/>
              </w:rPr>
            </w:pPr>
          </w:p>
        </w:tc>
        <w:tc>
          <w:tcPr>
            <w:tcW w:w="217" w:type="dxa"/>
          </w:tcPr>
          <w:p w14:paraId="41FFC3AE" w14:textId="77777777" w:rsidR="002C0FD9" w:rsidRPr="00CA25CF" w:rsidRDefault="002C0FD9" w:rsidP="00CA25CF">
            <w:pPr>
              <w:rPr>
                <w:rFonts w:cs="Arial"/>
                <w:color w:val="FF0000"/>
                <w:sz w:val="21"/>
                <w:szCs w:val="21"/>
              </w:rPr>
            </w:pPr>
          </w:p>
        </w:tc>
        <w:tc>
          <w:tcPr>
            <w:tcW w:w="217" w:type="dxa"/>
          </w:tcPr>
          <w:p w14:paraId="0C02D151" w14:textId="77777777" w:rsidR="002C0FD9" w:rsidRPr="00CA25CF" w:rsidRDefault="002C0FD9" w:rsidP="00CA25CF">
            <w:pPr>
              <w:rPr>
                <w:rFonts w:cs="Arial"/>
                <w:color w:val="FF0000"/>
                <w:sz w:val="21"/>
                <w:szCs w:val="21"/>
              </w:rPr>
            </w:pPr>
          </w:p>
        </w:tc>
        <w:tc>
          <w:tcPr>
            <w:tcW w:w="217" w:type="dxa"/>
          </w:tcPr>
          <w:p w14:paraId="6324C181" w14:textId="77777777" w:rsidR="002C0FD9" w:rsidRPr="00CA25CF" w:rsidRDefault="002C0FD9" w:rsidP="00CA25CF">
            <w:pPr>
              <w:rPr>
                <w:rFonts w:cs="Arial"/>
                <w:color w:val="FF0000"/>
                <w:sz w:val="21"/>
                <w:szCs w:val="21"/>
              </w:rPr>
            </w:pPr>
          </w:p>
        </w:tc>
        <w:tc>
          <w:tcPr>
            <w:tcW w:w="217" w:type="dxa"/>
          </w:tcPr>
          <w:p w14:paraId="14204ABB" w14:textId="77777777" w:rsidR="002C0FD9" w:rsidRPr="00CA25CF" w:rsidRDefault="002C0FD9" w:rsidP="00CA25CF">
            <w:pPr>
              <w:rPr>
                <w:rFonts w:cs="Arial"/>
                <w:color w:val="FF0000"/>
                <w:sz w:val="21"/>
                <w:szCs w:val="21"/>
              </w:rPr>
            </w:pPr>
          </w:p>
        </w:tc>
        <w:tc>
          <w:tcPr>
            <w:tcW w:w="217" w:type="dxa"/>
          </w:tcPr>
          <w:p w14:paraId="35DFABBF" w14:textId="77777777" w:rsidR="002C0FD9" w:rsidRPr="00CA25CF" w:rsidRDefault="002C0FD9" w:rsidP="00CA25CF">
            <w:pPr>
              <w:rPr>
                <w:rFonts w:cs="Arial"/>
                <w:color w:val="FF0000"/>
                <w:sz w:val="21"/>
                <w:szCs w:val="21"/>
              </w:rPr>
            </w:pPr>
          </w:p>
        </w:tc>
        <w:tc>
          <w:tcPr>
            <w:tcW w:w="217" w:type="dxa"/>
          </w:tcPr>
          <w:p w14:paraId="60CC809F" w14:textId="77777777" w:rsidR="002C0FD9" w:rsidRPr="00CA25CF" w:rsidRDefault="002C0FD9" w:rsidP="00CA25CF">
            <w:pPr>
              <w:rPr>
                <w:rFonts w:cs="Arial"/>
                <w:color w:val="FF0000"/>
                <w:sz w:val="21"/>
                <w:szCs w:val="21"/>
              </w:rPr>
            </w:pPr>
          </w:p>
        </w:tc>
        <w:tc>
          <w:tcPr>
            <w:tcW w:w="217" w:type="dxa"/>
          </w:tcPr>
          <w:p w14:paraId="206F437B" w14:textId="77777777" w:rsidR="002C0FD9" w:rsidRPr="00CA25CF" w:rsidRDefault="002C0FD9" w:rsidP="00CA25CF">
            <w:pPr>
              <w:rPr>
                <w:rFonts w:cs="Arial"/>
                <w:color w:val="FF0000"/>
                <w:sz w:val="21"/>
                <w:szCs w:val="21"/>
              </w:rPr>
            </w:pPr>
          </w:p>
        </w:tc>
        <w:tc>
          <w:tcPr>
            <w:tcW w:w="217" w:type="dxa"/>
          </w:tcPr>
          <w:p w14:paraId="677C98DA" w14:textId="77777777" w:rsidR="002C0FD9" w:rsidRPr="00CA25CF" w:rsidRDefault="002C0FD9" w:rsidP="00CA25CF">
            <w:pPr>
              <w:rPr>
                <w:rFonts w:cs="Arial"/>
                <w:color w:val="FF0000"/>
                <w:sz w:val="21"/>
                <w:szCs w:val="21"/>
              </w:rPr>
            </w:pPr>
          </w:p>
        </w:tc>
        <w:tc>
          <w:tcPr>
            <w:tcW w:w="217" w:type="dxa"/>
          </w:tcPr>
          <w:p w14:paraId="3200D4DD" w14:textId="77777777" w:rsidR="002C0FD9" w:rsidRPr="00CA25CF" w:rsidRDefault="002C0FD9" w:rsidP="00CA25CF">
            <w:pPr>
              <w:rPr>
                <w:rFonts w:cs="Arial"/>
                <w:color w:val="FF0000"/>
                <w:sz w:val="21"/>
                <w:szCs w:val="21"/>
              </w:rPr>
            </w:pPr>
          </w:p>
        </w:tc>
        <w:tc>
          <w:tcPr>
            <w:tcW w:w="217" w:type="dxa"/>
          </w:tcPr>
          <w:p w14:paraId="64F2EAD0" w14:textId="77777777" w:rsidR="002C0FD9" w:rsidRPr="00CA25CF" w:rsidRDefault="002C0FD9" w:rsidP="00CA25CF">
            <w:pPr>
              <w:rPr>
                <w:rFonts w:cs="Arial"/>
                <w:color w:val="FF0000"/>
                <w:sz w:val="21"/>
                <w:szCs w:val="21"/>
              </w:rPr>
            </w:pPr>
          </w:p>
        </w:tc>
        <w:tc>
          <w:tcPr>
            <w:tcW w:w="217" w:type="dxa"/>
          </w:tcPr>
          <w:p w14:paraId="5627272C" w14:textId="77777777" w:rsidR="002C0FD9" w:rsidRPr="00CA25CF" w:rsidRDefault="002C0FD9" w:rsidP="00CA25CF">
            <w:pPr>
              <w:rPr>
                <w:rFonts w:cs="Arial"/>
                <w:color w:val="FF0000"/>
                <w:sz w:val="21"/>
                <w:szCs w:val="21"/>
              </w:rPr>
            </w:pPr>
          </w:p>
        </w:tc>
        <w:tc>
          <w:tcPr>
            <w:tcW w:w="217" w:type="dxa"/>
          </w:tcPr>
          <w:p w14:paraId="37169542" w14:textId="77777777" w:rsidR="002C0FD9" w:rsidRPr="00CA25CF" w:rsidRDefault="002C0FD9" w:rsidP="00CA25CF">
            <w:pPr>
              <w:rPr>
                <w:rFonts w:cs="Arial"/>
                <w:color w:val="FF0000"/>
                <w:sz w:val="21"/>
                <w:szCs w:val="21"/>
              </w:rPr>
            </w:pPr>
          </w:p>
        </w:tc>
        <w:tc>
          <w:tcPr>
            <w:tcW w:w="217" w:type="dxa"/>
          </w:tcPr>
          <w:p w14:paraId="7868C962" w14:textId="77777777" w:rsidR="002C0FD9" w:rsidRPr="00CA25CF" w:rsidRDefault="002C0FD9" w:rsidP="00CA25CF">
            <w:pPr>
              <w:rPr>
                <w:rFonts w:cs="Arial"/>
                <w:color w:val="FF0000"/>
                <w:sz w:val="21"/>
                <w:szCs w:val="21"/>
              </w:rPr>
            </w:pPr>
          </w:p>
        </w:tc>
        <w:tc>
          <w:tcPr>
            <w:tcW w:w="217" w:type="dxa"/>
          </w:tcPr>
          <w:p w14:paraId="6702AE95" w14:textId="77777777" w:rsidR="002C0FD9" w:rsidRPr="00CA25CF" w:rsidRDefault="002C0FD9" w:rsidP="00CA25CF">
            <w:pPr>
              <w:rPr>
                <w:rFonts w:cs="Arial"/>
                <w:color w:val="FF0000"/>
                <w:sz w:val="21"/>
                <w:szCs w:val="21"/>
              </w:rPr>
            </w:pPr>
          </w:p>
        </w:tc>
        <w:tc>
          <w:tcPr>
            <w:tcW w:w="217" w:type="dxa"/>
          </w:tcPr>
          <w:p w14:paraId="6CF07F3D" w14:textId="77777777" w:rsidR="002C0FD9" w:rsidRPr="00CA25CF" w:rsidRDefault="002C0FD9" w:rsidP="00CA25CF">
            <w:pPr>
              <w:rPr>
                <w:rFonts w:cs="Arial"/>
                <w:color w:val="FF0000"/>
                <w:sz w:val="21"/>
                <w:szCs w:val="21"/>
              </w:rPr>
            </w:pPr>
          </w:p>
        </w:tc>
        <w:tc>
          <w:tcPr>
            <w:tcW w:w="217" w:type="dxa"/>
          </w:tcPr>
          <w:p w14:paraId="614E43B0" w14:textId="77777777" w:rsidR="002C0FD9" w:rsidRPr="00CA25CF" w:rsidRDefault="002C0FD9" w:rsidP="00CA25CF">
            <w:pPr>
              <w:rPr>
                <w:rFonts w:cs="Arial"/>
                <w:color w:val="FF0000"/>
                <w:sz w:val="21"/>
                <w:szCs w:val="21"/>
              </w:rPr>
            </w:pPr>
          </w:p>
        </w:tc>
        <w:tc>
          <w:tcPr>
            <w:tcW w:w="217" w:type="dxa"/>
          </w:tcPr>
          <w:p w14:paraId="1287B2CC" w14:textId="77777777" w:rsidR="002C0FD9" w:rsidRPr="00CA25CF" w:rsidRDefault="002C0FD9" w:rsidP="00CA25CF">
            <w:pPr>
              <w:rPr>
                <w:rFonts w:cs="Arial"/>
                <w:color w:val="FF0000"/>
                <w:sz w:val="21"/>
                <w:szCs w:val="21"/>
              </w:rPr>
            </w:pPr>
          </w:p>
        </w:tc>
        <w:tc>
          <w:tcPr>
            <w:tcW w:w="217" w:type="dxa"/>
          </w:tcPr>
          <w:p w14:paraId="7AE2F93F" w14:textId="77777777" w:rsidR="002C0FD9" w:rsidRPr="00CA25CF" w:rsidRDefault="002C0FD9" w:rsidP="00CA25CF">
            <w:pPr>
              <w:rPr>
                <w:rFonts w:cs="Arial"/>
                <w:color w:val="FF0000"/>
                <w:sz w:val="21"/>
                <w:szCs w:val="21"/>
              </w:rPr>
            </w:pPr>
          </w:p>
        </w:tc>
        <w:tc>
          <w:tcPr>
            <w:tcW w:w="217" w:type="dxa"/>
          </w:tcPr>
          <w:p w14:paraId="7080EE7A" w14:textId="77777777" w:rsidR="002C0FD9" w:rsidRPr="00CA25CF" w:rsidRDefault="002C0FD9" w:rsidP="00CA25CF">
            <w:pPr>
              <w:rPr>
                <w:rFonts w:cs="Arial"/>
                <w:color w:val="FF0000"/>
                <w:sz w:val="21"/>
                <w:szCs w:val="21"/>
              </w:rPr>
            </w:pPr>
          </w:p>
        </w:tc>
        <w:tc>
          <w:tcPr>
            <w:tcW w:w="217" w:type="dxa"/>
          </w:tcPr>
          <w:p w14:paraId="1D49C39F" w14:textId="77777777" w:rsidR="002C0FD9" w:rsidRPr="00CA25CF" w:rsidRDefault="002C0FD9" w:rsidP="00CA25CF">
            <w:pPr>
              <w:rPr>
                <w:rFonts w:cs="Arial"/>
                <w:color w:val="FF0000"/>
                <w:sz w:val="21"/>
                <w:szCs w:val="21"/>
              </w:rPr>
            </w:pPr>
          </w:p>
        </w:tc>
        <w:tc>
          <w:tcPr>
            <w:tcW w:w="217" w:type="dxa"/>
          </w:tcPr>
          <w:p w14:paraId="31E263A2" w14:textId="77777777" w:rsidR="002C0FD9" w:rsidRPr="00CA25CF" w:rsidRDefault="002C0FD9" w:rsidP="00CA25CF">
            <w:pPr>
              <w:rPr>
                <w:rFonts w:cs="Arial"/>
                <w:color w:val="FF0000"/>
                <w:sz w:val="21"/>
                <w:szCs w:val="21"/>
              </w:rPr>
            </w:pPr>
          </w:p>
        </w:tc>
        <w:tc>
          <w:tcPr>
            <w:tcW w:w="217" w:type="dxa"/>
          </w:tcPr>
          <w:p w14:paraId="55151285" w14:textId="77777777" w:rsidR="002C0FD9" w:rsidRPr="00CA25CF" w:rsidRDefault="002C0FD9" w:rsidP="00CA25CF">
            <w:pPr>
              <w:rPr>
                <w:rFonts w:cs="Arial"/>
                <w:color w:val="FF0000"/>
                <w:sz w:val="21"/>
                <w:szCs w:val="21"/>
              </w:rPr>
            </w:pPr>
          </w:p>
        </w:tc>
        <w:tc>
          <w:tcPr>
            <w:tcW w:w="217" w:type="dxa"/>
          </w:tcPr>
          <w:p w14:paraId="24745BE6" w14:textId="77777777" w:rsidR="002C0FD9" w:rsidRPr="00CA25CF" w:rsidRDefault="002C0FD9" w:rsidP="00CA25CF">
            <w:pPr>
              <w:rPr>
                <w:rFonts w:cs="Arial"/>
                <w:color w:val="FF0000"/>
                <w:sz w:val="21"/>
                <w:szCs w:val="21"/>
              </w:rPr>
            </w:pPr>
          </w:p>
        </w:tc>
        <w:tc>
          <w:tcPr>
            <w:tcW w:w="217" w:type="dxa"/>
          </w:tcPr>
          <w:p w14:paraId="1EF64965" w14:textId="77777777" w:rsidR="002C0FD9" w:rsidRPr="00CA25CF" w:rsidRDefault="002C0FD9" w:rsidP="00CA25CF">
            <w:pPr>
              <w:rPr>
                <w:rFonts w:cs="Arial"/>
                <w:color w:val="FF0000"/>
                <w:sz w:val="21"/>
                <w:szCs w:val="21"/>
              </w:rPr>
            </w:pPr>
          </w:p>
        </w:tc>
        <w:tc>
          <w:tcPr>
            <w:tcW w:w="217" w:type="dxa"/>
          </w:tcPr>
          <w:p w14:paraId="696A5C10" w14:textId="77777777" w:rsidR="002C0FD9" w:rsidRPr="00CA25CF" w:rsidRDefault="002C0FD9" w:rsidP="00CA25CF">
            <w:pPr>
              <w:rPr>
                <w:rFonts w:cs="Arial"/>
                <w:color w:val="FF0000"/>
                <w:sz w:val="21"/>
                <w:szCs w:val="21"/>
              </w:rPr>
            </w:pPr>
          </w:p>
        </w:tc>
        <w:tc>
          <w:tcPr>
            <w:tcW w:w="217" w:type="dxa"/>
          </w:tcPr>
          <w:p w14:paraId="305AD0BE" w14:textId="77777777" w:rsidR="002C0FD9" w:rsidRPr="00CA25CF" w:rsidRDefault="002C0FD9" w:rsidP="00CA25CF">
            <w:pPr>
              <w:rPr>
                <w:rFonts w:cs="Arial"/>
                <w:color w:val="FF0000"/>
                <w:sz w:val="21"/>
                <w:szCs w:val="21"/>
              </w:rPr>
            </w:pPr>
          </w:p>
        </w:tc>
        <w:tc>
          <w:tcPr>
            <w:tcW w:w="217" w:type="dxa"/>
          </w:tcPr>
          <w:p w14:paraId="2706D753" w14:textId="77777777" w:rsidR="002C0FD9" w:rsidRPr="00CA25CF" w:rsidRDefault="002C0FD9" w:rsidP="00CA25CF">
            <w:pPr>
              <w:rPr>
                <w:rFonts w:cs="Arial"/>
                <w:color w:val="FF0000"/>
                <w:sz w:val="21"/>
                <w:szCs w:val="21"/>
              </w:rPr>
            </w:pPr>
          </w:p>
        </w:tc>
        <w:tc>
          <w:tcPr>
            <w:tcW w:w="217" w:type="dxa"/>
          </w:tcPr>
          <w:p w14:paraId="4C7F5DDF" w14:textId="77777777" w:rsidR="002C0FD9" w:rsidRPr="00CA25CF" w:rsidRDefault="002C0FD9" w:rsidP="00CA25CF">
            <w:pPr>
              <w:rPr>
                <w:rFonts w:cs="Arial"/>
                <w:color w:val="FF0000"/>
                <w:sz w:val="21"/>
                <w:szCs w:val="21"/>
              </w:rPr>
            </w:pPr>
          </w:p>
        </w:tc>
        <w:tc>
          <w:tcPr>
            <w:tcW w:w="217" w:type="dxa"/>
          </w:tcPr>
          <w:p w14:paraId="4D41223B" w14:textId="77777777" w:rsidR="002C0FD9" w:rsidRPr="00CA25CF" w:rsidRDefault="002C0FD9" w:rsidP="00CA25CF">
            <w:pPr>
              <w:rPr>
                <w:rFonts w:cs="Arial"/>
                <w:color w:val="FF0000"/>
                <w:sz w:val="21"/>
                <w:szCs w:val="21"/>
              </w:rPr>
            </w:pPr>
          </w:p>
        </w:tc>
        <w:tc>
          <w:tcPr>
            <w:tcW w:w="217" w:type="dxa"/>
          </w:tcPr>
          <w:p w14:paraId="56CB12B0" w14:textId="77777777" w:rsidR="002C0FD9" w:rsidRPr="00CA25CF" w:rsidRDefault="002C0FD9" w:rsidP="00CA25CF">
            <w:pPr>
              <w:rPr>
                <w:rFonts w:cs="Arial"/>
                <w:color w:val="FF0000"/>
                <w:sz w:val="21"/>
                <w:szCs w:val="21"/>
              </w:rPr>
            </w:pPr>
          </w:p>
        </w:tc>
        <w:tc>
          <w:tcPr>
            <w:tcW w:w="217" w:type="dxa"/>
          </w:tcPr>
          <w:p w14:paraId="4798E14C" w14:textId="77777777" w:rsidR="002C0FD9" w:rsidRPr="00CA25CF" w:rsidRDefault="002C0FD9" w:rsidP="00CA25CF">
            <w:pPr>
              <w:rPr>
                <w:rFonts w:cs="Arial"/>
                <w:color w:val="FF0000"/>
                <w:sz w:val="21"/>
                <w:szCs w:val="21"/>
              </w:rPr>
            </w:pPr>
          </w:p>
        </w:tc>
        <w:tc>
          <w:tcPr>
            <w:tcW w:w="217" w:type="dxa"/>
          </w:tcPr>
          <w:p w14:paraId="4F080803" w14:textId="77777777" w:rsidR="002C0FD9" w:rsidRPr="00CA25CF" w:rsidRDefault="002C0FD9" w:rsidP="00CA25CF">
            <w:pPr>
              <w:rPr>
                <w:rFonts w:cs="Arial"/>
                <w:color w:val="FF0000"/>
                <w:sz w:val="21"/>
                <w:szCs w:val="21"/>
              </w:rPr>
            </w:pPr>
          </w:p>
        </w:tc>
        <w:tc>
          <w:tcPr>
            <w:tcW w:w="217" w:type="dxa"/>
          </w:tcPr>
          <w:p w14:paraId="0228280C" w14:textId="77777777" w:rsidR="002C0FD9" w:rsidRPr="00CA25CF" w:rsidRDefault="002C0FD9" w:rsidP="00CA25CF">
            <w:pPr>
              <w:rPr>
                <w:rFonts w:cs="Arial"/>
                <w:color w:val="FF0000"/>
                <w:sz w:val="21"/>
                <w:szCs w:val="21"/>
              </w:rPr>
            </w:pPr>
          </w:p>
        </w:tc>
        <w:tc>
          <w:tcPr>
            <w:tcW w:w="217" w:type="dxa"/>
          </w:tcPr>
          <w:p w14:paraId="5994F660" w14:textId="77777777" w:rsidR="002C0FD9" w:rsidRPr="00CA25CF" w:rsidRDefault="002C0FD9" w:rsidP="00CA25CF">
            <w:pPr>
              <w:rPr>
                <w:rFonts w:cs="Arial"/>
                <w:color w:val="FF0000"/>
                <w:sz w:val="21"/>
                <w:szCs w:val="21"/>
              </w:rPr>
            </w:pPr>
          </w:p>
        </w:tc>
        <w:tc>
          <w:tcPr>
            <w:tcW w:w="217" w:type="dxa"/>
          </w:tcPr>
          <w:p w14:paraId="42BCAC8D" w14:textId="77777777" w:rsidR="002C0FD9" w:rsidRPr="00CA25CF" w:rsidRDefault="002C0FD9" w:rsidP="00CA25CF">
            <w:pPr>
              <w:rPr>
                <w:rFonts w:cs="Arial"/>
                <w:color w:val="FF0000"/>
                <w:sz w:val="21"/>
                <w:szCs w:val="21"/>
              </w:rPr>
            </w:pPr>
          </w:p>
        </w:tc>
        <w:tc>
          <w:tcPr>
            <w:tcW w:w="217" w:type="dxa"/>
          </w:tcPr>
          <w:p w14:paraId="5B346860" w14:textId="77777777" w:rsidR="002C0FD9" w:rsidRPr="00CA25CF" w:rsidRDefault="002C0FD9" w:rsidP="00CA25CF">
            <w:pPr>
              <w:rPr>
                <w:rFonts w:cs="Arial"/>
                <w:color w:val="FF0000"/>
                <w:sz w:val="21"/>
                <w:szCs w:val="21"/>
              </w:rPr>
            </w:pPr>
          </w:p>
        </w:tc>
        <w:tc>
          <w:tcPr>
            <w:tcW w:w="217" w:type="dxa"/>
          </w:tcPr>
          <w:p w14:paraId="04950BD6" w14:textId="77777777" w:rsidR="002C0FD9" w:rsidRPr="00CA25CF" w:rsidRDefault="002C0FD9" w:rsidP="00CA25CF">
            <w:pPr>
              <w:rPr>
                <w:rFonts w:cs="Arial"/>
                <w:color w:val="FF0000"/>
                <w:sz w:val="21"/>
                <w:szCs w:val="21"/>
              </w:rPr>
            </w:pPr>
          </w:p>
        </w:tc>
        <w:tc>
          <w:tcPr>
            <w:tcW w:w="217" w:type="dxa"/>
          </w:tcPr>
          <w:p w14:paraId="64F3C5DD" w14:textId="77777777" w:rsidR="002C0FD9" w:rsidRPr="00CA25CF" w:rsidRDefault="002C0FD9" w:rsidP="00CA25CF">
            <w:pPr>
              <w:rPr>
                <w:rFonts w:cs="Arial"/>
                <w:color w:val="FF0000"/>
                <w:sz w:val="21"/>
                <w:szCs w:val="21"/>
              </w:rPr>
            </w:pPr>
          </w:p>
        </w:tc>
        <w:tc>
          <w:tcPr>
            <w:tcW w:w="217" w:type="dxa"/>
          </w:tcPr>
          <w:p w14:paraId="76FAA72B" w14:textId="77777777" w:rsidR="002C0FD9" w:rsidRPr="00CA25CF" w:rsidRDefault="002C0FD9" w:rsidP="00CA25CF">
            <w:pPr>
              <w:rPr>
                <w:rFonts w:cs="Arial"/>
                <w:color w:val="FF0000"/>
                <w:sz w:val="21"/>
                <w:szCs w:val="21"/>
              </w:rPr>
            </w:pPr>
          </w:p>
        </w:tc>
        <w:tc>
          <w:tcPr>
            <w:tcW w:w="217" w:type="dxa"/>
          </w:tcPr>
          <w:p w14:paraId="08EC0E71" w14:textId="77777777" w:rsidR="002C0FD9" w:rsidRPr="00CA25CF" w:rsidRDefault="002C0FD9" w:rsidP="00CA25CF">
            <w:pPr>
              <w:rPr>
                <w:rFonts w:cs="Arial"/>
                <w:color w:val="FF0000"/>
                <w:sz w:val="21"/>
                <w:szCs w:val="21"/>
              </w:rPr>
            </w:pPr>
          </w:p>
        </w:tc>
      </w:tr>
      <w:tr w:rsidR="002C0FD9" w:rsidRPr="00A16219" w14:paraId="4BA78801" w14:textId="77777777" w:rsidTr="002C0FD9">
        <w:trPr>
          <w:trHeight w:val="635"/>
        </w:trPr>
        <w:tc>
          <w:tcPr>
            <w:tcW w:w="515" w:type="dxa"/>
          </w:tcPr>
          <w:p w14:paraId="141F6A68" w14:textId="77777777" w:rsidR="002C0FD9" w:rsidRPr="00CA25CF" w:rsidRDefault="002C0FD9" w:rsidP="00CA25CF">
            <w:pPr>
              <w:rPr>
                <w:rFonts w:cs="Arial"/>
                <w:color w:val="FF0000"/>
                <w:sz w:val="21"/>
                <w:szCs w:val="21"/>
              </w:rPr>
            </w:pPr>
          </w:p>
        </w:tc>
        <w:tc>
          <w:tcPr>
            <w:tcW w:w="217" w:type="dxa"/>
          </w:tcPr>
          <w:p w14:paraId="1441E6AF" w14:textId="77777777" w:rsidR="002C0FD9" w:rsidRPr="00CA25CF" w:rsidRDefault="002C0FD9" w:rsidP="00CA25CF">
            <w:pPr>
              <w:rPr>
                <w:rFonts w:cs="Arial"/>
                <w:color w:val="FF0000"/>
                <w:sz w:val="21"/>
                <w:szCs w:val="21"/>
              </w:rPr>
            </w:pPr>
          </w:p>
        </w:tc>
        <w:tc>
          <w:tcPr>
            <w:tcW w:w="217" w:type="dxa"/>
          </w:tcPr>
          <w:p w14:paraId="3F3B8551" w14:textId="77777777" w:rsidR="002C0FD9" w:rsidRPr="00CA25CF" w:rsidRDefault="002C0FD9" w:rsidP="00CA25CF">
            <w:pPr>
              <w:rPr>
                <w:rFonts w:cs="Arial"/>
                <w:color w:val="FF0000"/>
                <w:sz w:val="21"/>
                <w:szCs w:val="21"/>
              </w:rPr>
            </w:pPr>
          </w:p>
        </w:tc>
        <w:tc>
          <w:tcPr>
            <w:tcW w:w="217" w:type="dxa"/>
          </w:tcPr>
          <w:p w14:paraId="697641AD" w14:textId="77777777" w:rsidR="002C0FD9" w:rsidRPr="00CA25CF" w:rsidRDefault="002C0FD9" w:rsidP="00CA25CF">
            <w:pPr>
              <w:rPr>
                <w:rFonts w:cs="Arial"/>
                <w:color w:val="FF0000"/>
                <w:sz w:val="21"/>
                <w:szCs w:val="21"/>
              </w:rPr>
            </w:pPr>
          </w:p>
        </w:tc>
        <w:tc>
          <w:tcPr>
            <w:tcW w:w="217" w:type="dxa"/>
          </w:tcPr>
          <w:p w14:paraId="78C26E19" w14:textId="77777777" w:rsidR="002C0FD9" w:rsidRPr="00CA25CF" w:rsidRDefault="002C0FD9" w:rsidP="00CA25CF">
            <w:pPr>
              <w:rPr>
                <w:rFonts w:cs="Arial"/>
                <w:color w:val="FF0000"/>
                <w:sz w:val="21"/>
                <w:szCs w:val="21"/>
              </w:rPr>
            </w:pPr>
          </w:p>
        </w:tc>
        <w:tc>
          <w:tcPr>
            <w:tcW w:w="217" w:type="dxa"/>
          </w:tcPr>
          <w:p w14:paraId="5606B6A2" w14:textId="77777777" w:rsidR="002C0FD9" w:rsidRPr="00CA25CF" w:rsidRDefault="002C0FD9" w:rsidP="00CA25CF">
            <w:pPr>
              <w:rPr>
                <w:rFonts w:cs="Arial"/>
                <w:color w:val="FF0000"/>
                <w:sz w:val="21"/>
                <w:szCs w:val="21"/>
              </w:rPr>
            </w:pPr>
          </w:p>
        </w:tc>
        <w:tc>
          <w:tcPr>
            <w:tcW w:w="217" w:type="dxa"/>
          </w:tcPr>
          <w:p w14:paraId="5A9940F0" w14:textId="77777777" w:rsidR="002C0FD9" w:rsidRPr="00CA25CF" w:rsidRDefault="002C0FD9" w:rsidP="00CA25CF">
            <w:pPr>
              <w:rPr>
                <w:rFonts w:cs="Arial"/>
                <w:color w:val="FF0000"/>
                <w:sz w:val="21"/>
                <w:szCs w:val="21"/>
              </w:rPr>
            </w:pPr>
          </w:p>
        </w:tc>
        <w:tc>
          <w:tcPr>
            <w:tcW w:w="217" w:type="dxa"/>
          </w:tcPr>
          <w:p w14:paraId="445D1A18" w14:textId="77777777" w:rsidR="002C0FD9" w:rsidRPr="00CA25CF" w:rsidRDefault="002C0FD9" w:rsidP="00CA25CF">
            <w:pPr>
              <w:rPr>
                <w:rFonts w:cs="Arial"/>
                <w:color w:val="FF0000"/>
                <w:sz w:val="21"/>
                <w:szCs w:val="21"/>
              </w:rPr>
            </w:pPr>
          </w:p>
        </w:tc>
        <w:tc>
          <w:tcPr>
            <w:tcW w:w="217" w:type="dxa"/>
          </w:tcPr>
          <w:p w14:paraId="42BEDB91" w14:textId="77777777" w:rsidR="002C0FD9" w:rsidRPr="00CA25CF" w:rsidRDefault="002C0FD9" w:rsidP="00CA25CF">
            <w:pPr>
              <w:rPr>
                <w:rFonts w:cs="Arial"/>
                <w:color w:val="FF0000"/>
                <w:sz w:val="21"/>
                <w:szCs w:val="21"/>
              </w:rPr>
            </w:pPr>
          </w:p>
        </w:tc>
        <w:tc>
          <w:tcPr>
            <w:tcW w:w="217" w:type="dxa"/>
          </w:tcPr>
          <w:p w14:paraId="2EFA2324" w14:textId="77777777" w:rsidR="002C0FD9" w:rsidRPr="00CA25CF" w:rsidRDefault="002C0FD9" w:rsidP="00CA25CF">
            <w:pPr>
              <w:rPr>
                <w:rFonts w:cs="Arial"/>
                <w:color w:val="FF0000"/>
                <w:sz w:val="21"/>
                <w:szCs w:val="21"/>
              </w:rPr>
            </w:pPr>
          </w:p>
        </w:tc>
        <w:tc>
          <w:tcPr>
            <w:tcW w:w="217" w:type="dxa"/>
          </w:tcPr>
          <w:p w14:paraId="4D22F145" w14:textId="77777777" w:rsidR="002C0FD9" w:rsidRPr="00CA25CF" w:rsidRDefault="002C0FD9" w:rsidP="00CA25CF">
            <w:pPr>
              <w:rPr>
                <w:rFonts w:cs="Arial"/>
                <w:color w:val="FF0000"/>
                <w:sz w:val="21"/>
                <w:szCs w:val="21"/>
              </w:rPr>
            </w:pPr>
          </w:p>
        </w:tc>
        <w:tc>
          <w:tcPr>
            <w:tcW w:w="217" w:type="dxa"/>
          </w:tcPr>
          <w:p w14:paraId="508ED20F" w14:textId="77777777" w:rsidR="002C0FD9" w:rsidRPr="00CA25CF" w:rsidRDefault="002C0FD9" w:rsidP="00CA25CF">
            <w:pPr>
              <w:rPr>
                <w:rFonts w:cs="Arial"/>
                <w:color w:val="FF0000"/>
                <w:sz w:val="21"/>
                <w:szCs w:val="21"/>
              </w:rPr>
            </w:pPr>
          </w:p>
        </w:tc>
        <w:tc>
          <w:tcPr>
            <w:tcW w:w="217" w:type="dxa"/>
          </w:tcPr>
          <w:p w14:paraId="121D7C2B" w14:textId="77777777" w:rsidR="002C0FD9" w:rsidRPr="00CA25CF" w:rsidRDefault="002C0FD9" w:rsidP="00CA25CF">
            <w:pPr>
              <w:rPr>
                <w:rFonts w:cs="Arial"/>
                <w:color w:val="FF0000"/>
                <w:sz w:val="21"/>
                <w:szCs w:val="21"/>
              </w:rPr>
            </w:pPr>
          </w:p>
        </w:tc>
        <w:tc>
          <w:tcPr>
            <w:tcW w:w="217" w:type="dxa"/>
          </w:tcPr>
          <w:p w14:paraId="1031349F" w14:textId="77777777" w:rsidR="002C0FD9" w:rsidRPr="00CA25CF" w:rsidRDefault="002C0FD9" w:rsidP="00CA25CF">
            <w:pPr>
              <w:rPr>
                <w:rFonts w:cs="Arial"/>
                <w:color w:val="FF0000"/>
                <w:sz w:val="21"/>
                <w:szCs w:val="21"/>
              </w:rPr>
            </w:pPr>
          </w:p>
        </w:tc>
        <w:tc>
          <w:tcPr>
            <w:tcW w:w="217" w:type="dxa"/>
          </w:tcPr>
          <w:p w14:paraId="4ABC77AD" w14:textId="77777777" w:rsidR="002C0FD9" w:rsidRPr="00CA25CF" w:rsidRDefault="002C0FD9" w:rsidP="00CA25CF">
            <w:pPr>
              <w:rPr>
                <w:rFonts w:cs="Arial"/>
                <w:color w:val="FF0000"/>
                <w:sz w:val="21"/>
                <w:szCs w:val="21"/>
              </w:rPr>
            </w:pPr>
          </w:p>
        </w:tc>
        <w:tc>
          <w:tcPr>
            <w:tcW w:w="217" w:type="dxa"/>
          </w:tcPr>
          <w:p w14:paraId="3B47FF5D" w14:textId="77777777" w:rsidR="002C0FD9" w:rsidRPr="00CA25CF" w:rsidRDefault="002C0FD9" w:rsidP="00CA25CF">
            <w:pPr>
              <w:rPr>
                <w:rFonts w:cs="Arial"/>
                <w:color w:val="FF0000"/>
                <w:sz w:val="21"/>
                <w:szCs w:val="21"/>
              </w:rPr>
            </w:pPr>
          </w:p>
        </w:tc>
        <w:tc>
          <w:tcPr>
            <w:tcW w:w="217" w:type="dxa"/>
          </w:tcPr>
          <w:p w14:paraId="541C729E" w14:textId="77777777" w:rsidR="002C0FD9" w:rsidRPr="00CA25CF" w:rsidRDefault="002C0FD9" w:rsidP="00CA25CF">
            <w:pPr>
              <w:rPr>
                <w:rFonts w:cs="Arial"/>
                <w:color w:val="FF0000"/>
                <w:sz w:val="21"/>
                <w:szCs w:val="21"/>
              </w:rPr>
            </w:pPr>
          </w:p>
        </w:tc>
        <w:tc>
          <w:tcPr>
            <w:tcW w:w="217" w:type="dxa"/>
          </w:tcPr>
          <w:p w14:paraId="6265FD73" w14:textId="77777777" w:rsidR="002C0FD9" w:rsidRPr="00CA25CF" w:rsidRDefault="002C0FD9" w:rsidP="00CA25CF">
            <w:pPr>
              <w:rPr>
                <w:rFonts w:cs="Arial"/>
                <w:color w:val="FF0000"/>
                <w:sz w:val="21"/>
                <w:szCs w:val="21"/>
              </w:rPr>
            </w:pPr>
          </w:p>
        </w:tc>
        <w:tc>
          <w:tcPr>
            <w:tcW w:w="217" w:type="dxa"/>
          </w:tcPr>
          <w:p w14:paraId="7DB90DC0" w14:textId="77777777" w:rsidR="002C0FD9" w:rsidRPr="00CA25CF" w:rsidRDefault="002C0FD9" w:rsidP="00CA25CF">
            <w:pPr>
              <w:rPr>
                <w:rFonts w:cs="Arial"/>
                <w:color w:val="FF0000"/>
                <w:sz w:val="21"/>
                <w:szCs w:val="21"/>
              </w:rPr>
            </w:pPr>
          </w:p>
        </w:tc>
        <w:tc>
          <w:tcPr>
            <w:tcW w:w="217" w:type="dxa"/>
          </w:tcPr>
          <w:p w14:paraId="3F516AF2" w14:textId="77777777" w:rsidR="002C0FD9" w:rsidRPr="00CA25CF" w:rsidRDefault="002C0FD9" w:rsidP="00CA25CF">
            <w:pPr>
              <w:rPr>
                <w:rFonts w:cs="Arial"/>
                <w:color w:val="FF0000"/>
                <w:sz w:val="21"/>
                <w:szCs w:val="21"/>
              </w:rPr>
            </w:pPr>
          </w:p>
        </w:tc>
        <w:tc>
          <w:tcPr>
            <w:tcW w:w="217" w:type="dxa"/>
          </w:tcPr>
          <w:p w14:paraId="3180AAD8" w14:textId="77777777" w:rsidR="002C0FD9" w:rsidRPr="00CA25CF" w:rsidRDefault="002C0FD9" w:rsidP="00CA25CF">
            <w:pPr>
              <w:rPr>
                <w:rFonts w:cs="Arial"/>
                <w:color w:val="FF0000"/>
                <w:sz w:val="21"/>
                <w:szCs w:val="21"/>
              </w:rPr>
            </w:pPr>
          </w:p>
        </w:tc>
        <w:tc>
          <w:tcPr>
            <w:tcW w:w="217" w:type="dxa"/>
          </w:tcPr>
          <w:p w14:paraId="3026EDA5" w14:textId="77777777" w:rsidR="002C0FD9" w:rsidRPr="00CA25CF" w:rsidRDefault="002C0FD9" w:rsidP="00CA25CF">
            <w:pPr>
              <w:rPr>
                <w:rFonts w:cs="Arial"/>
                <w:color w:val="FF0000"/>
                <w:sz w:val="21"/>
                <w:szCs w:val="21"/>
              </w:rPr>
            </w:pPr>
          </w:p>
        </w:tc>
        <w:tc>
          <w:tcPr>
            <w:tcW w:w="217" w:type="dxa"/>
          </w:tcPr>
          <w:p w14:paraId="6077B03A" w14:textId="77777777" w:rsidR="002C0FD9" w:rsidRPr="00CA25CF" w:rsidRDefault="002C0FD9" w:rsidP="00CA25CF">
            <w:pPr>
              <w:rPr>
                <w:rFonts w:cs="Arial"/>
                <w:color w:val="FF0000"/>
                <w:sz w:val="21"/>
                <w:szCs w:val="21"/>
              </w:rPr>
            </w:pPr>
          </w:p>
        </w:tc>
        <w:tc>
          <w:tcPr>
            <w:tcW w:w="217" w:type="dxa"/>
          </w:tcPr>
          <w:p w14:paraId="6AB08060" w14:textId="77777777" w:rsidR="002C0FD9" w:rsidRPr="00CA25CF" w:rsidRDefault="002C0FD9" w:rsidP="00CA25CF">
            <w:pPr>
              <w:rPr>
                <w:rFonts w:cs="Arial"/>
                <w:color w:val="FF0000"/>
                <w:sz w:val="21"/>
                <w:szCs w:val="21"/>
              </w:rPr>
            </w:pPr>
          </w:p>
        </w:tc>
        <w:tc>
          <w:tcPr>
            <w:tcW w:w="217" w:type="dxa"/>
          </w:tcPr>
          <w:p w14:paraId="1039E4E1" w14:textId="77777777" w:rsidR="002C0FD9" w:rsidRPr="00CA25CF" w:rsidRDefault="002C0FD9" w:rsidP="00CA25CF">
            <w:pPr>
              <w:rPr>
                <w:rFonts w:cs="Arial"/>
                <w:color w:val="FF0000"/>
                <w:sz w:val="21"/>
                <w:szCs w:val="21"/>
              </w:rPr>
            </w:pPr>
          </w:p>
        </w:tc>
        <w:tc>
          <w:tcPr>
            <w:tcW w:w="217" w:type="dxa"/>
          </w:tcPr>
          <w:p w14:paraId="180E44D6" w14:textId="77777777" w:rsidR="002C0FD9" w:rsidRPr="00CA25CF" w:rsidRDefault="002C0FD9" w:rsidP="00CA25CF">
            <w:pPr>
              <w:rPr>
                <w:rFonts w:cs="Arial"/>
                <w:color w:val="FF0000"/>
                <w:sz w:val="21"/>
                <w:szCs w:val="21"/>
              </w:rPr>
            </w:pPr>
          </w:p>
        </w:tc>
        <w:tc>
          <w:tcPr>
            <w:tcW w:w="217" w:type="dxa"/>
          </w:tcPr>
          <w:p w14:paraId="767388F3" w14:textId="77777777" w:rsidR="002C0FD9" w:rsidRPr="00CA25CF" w:rsidRDefault="002C0FD9" w:rsidP="00CA25CF">
            <w:pPr>
              <w:rPr>
                <w:rFonts w:cs="Arial"/>
                <w:color w:val="FF0000"/>
                <w:sz w:val="21"/>
                <w:szCs w:val="21"/>
              </w:rPr>
            </w:pPr>
          </w:p>
        </w:tc>
        <w:tc>
          <w:tcPr>
            <w:tcW w:w="217" w:type="dxa"/>
          </w:tcPr>
          <w:p w14:paraId="4959CFDB" w14:textId="77777777" w:rsidR="002C0FD9" w:rsidRPr="00CA25CF" w:rsidRDefault="002C0FD9" w:rsidP="00CA25CF">
            <w:pPr>
              <w:rPr>
                <w:rFonts w:cs="Arial"/>
                <w:color w:val="FF0000"/>
                <w:sz w:val="21"/>
                <w:szCs w:val="21"/>
              </w:rPr>
            </w:pPr>
          </w:p>
        </w:tc>
        <w:tc>
          <w:tcPr>
            <w:tcW w:w="217" w:type="dxa"/>
          </w:tcPr>
          <w:p w14:paraId="1587EEE2" w14:textId="77777777" w:rsidR="002C0FD9" w:rsidRPr="00CA25CF" w:rsidRDefault="002C0FD9" w:rsidP="00CA25CF">
            <w:pPr>
              <w:rPr>
                <w:rFonts w:cs="Arial"/>
                <w:color w:val="FF0000"/>
                <w:sz w:val="21"/>
                <w:szCs w:val="21"/>
              </w:rPr>
            </w:pPr>
          </w:p>
        </w:tc>
        <w:tc>
          <w:tcPr>
            <w:tcW w:w="217" w:type="dxa"/>
          </w:tcPr>
          <w:p w14:paraId="1AE42447" w14:textId="77777777" w:rsidR="002C0FD9" w:rsidRPr="00CA25CF" w:rsidRDefault="002C0FD9" w:rsidP="00CA25CF">
            <w:pPr>
              <w:rPr>
                <w:rFonts w:cs="Arial"/>
                <w:color w:val="FF0000"/>
                <w:sz w:val="21"/>
                <w:szCs w:val="21"/>
              </w:rPr>
            </w:pPr>
          </w:p>
        </w:tc>
        <w:tc>
          <w:tcPr>
            <w:tcW w:w="217" w:type="dxa"/>
          </w:tcPr>
          <w:p w14:paraId="3D5078E8" w14:textId="77777777" w:rsidR="002C0FD9" w:rsidRPr="00CA25CF" w:rsidRDefault="002C0FD9" w:rsidP="00CA25CF">
            <w:pPr>
              <w:rPr>
                <w:rFonts w:cs="Arial"/>
                <w:color w:val="FF0000"/>
                <w:sz w:val="21"/>
                <w:szCs w:val="21"/>
              </w:rPr>
            </w:pPr>
          </w:p>
        </w:tc>
        <w:tc>
          <w:tcPr>
            <w:tcW w:w="217" w:type="dxa"/>
          </w:tcPr>
          <w:p w14:paraId="533B3033" w14:textId="77777777" w:rsidR="002C0FD9" w:rsidRPr="00CA25CF" w:rsidRDefault="002C0FD9" w:rsidP="00CA25CF">
            <w:pPr>
              <w:rPr>
                <w:rFonts w:cs="Arial"/>
                <w:color w:val="FF0000"/>
                <w:sz w:val="21"/>
                <w:szCs w:val="21"/>
              </w:rPr>
            </w:pPr>
          </w:p>
        </w:tc>
        <w:tc>
          <w:tcPr>
            <w:tcW w:w="217" w:type="dxa"/>
          </w:tcPr>
          <w:p w14:paraId="20B4FF27" w14:textId="77777777" w:rsidR="002C0FD9" w:rsidRPr="00CA25CF" w:rsidRDefault="002C0FD9" w:rsidP="00CA25CF">
            <w:pPr>
              <w:rPr>
                <w:rFonts w:cs="Arial"/>
                <w:color w:val="FF0000"/>
                <w:sz w:val="21"/>
                <w:szCs w:val="21"/>
              </w:rPr>
            </w:pPr>
          </w:p>
        </w:tc>
        <w:tc>
          <w:tcPr>
            <w:tcW w:w="217" w:type="dxa"/>
          </w:tcPr>
          <w:p w14:paraId="5AAD40DA" w14:textId="77777777" w:rsidR="002C0FD9" w:rsidRPr="00CA25CF" w:rsidRDefault="002C0FD9" w:rsidP="00CA25CF">
            <w:pPr>
              <w:rPr>
                <w:rFonts w:cs="Arial"/>
                <w:color w:val="FF0000"/>
                <w:sz w:val="21"/>
                <w:szCs w:val="21"/>
              </w:rPr>
            </w:pPr>
          </w:p>
        </w:tc>
        <w:tc>
          <w:tcPr>
            <w:tcW w:w="217" w:type="dxa"/>
          </w:tcPr>
          <w:p w14:paraId="439DC230" w14:textId="77777777" w:rsidR="002C0FD9" w:rsidRPr="00CA25CF" w:rsidRDefault="002C0FD9" w:rsidP="00CA25CF">
            <w:pPr>
              <w:rPr>
                <w:rFonts w:cs="Arial"/>
                <w:color w:val="FF0000"/>
                <w:sz w:val="21"/>
                <w:szCs w:val="21"/>
              </w:rPr>
            </w:pPr>
          </w:p>
        </w:tc>
        <w:tc>
          <w:tcPr>
            <w:tcW w:w="217" w:type="dxa"/>
          </w:tcPr>
          <w:p w14:paraId="162F80DC" w14:textId="77777777" w:rsidR="002C0FD9" w:rsidRPr="00CA25CF" w:rsidRDefault="002C0FD9" w:rsidP="00CA25CF">
            <w:pPr>
              <w:rPr>
                <w:rFonts w:cs="Arial"/>
                <w:color w:val="FF0000"/>
                <w:sz w:val="21"/>
                <w:szCs w:val="21"/>
              </w:rPr>
            </w:pPr>
          </w:p>
        </w:tc>
        <w:tc>
          <w:tcPr>
            <w:tcW w:w="217" w:type="dxa"/>
          </w:tcPr>
          <w:p w14:paraId="376F2E19" w14:textId="77777777" w:rsidR="002C0FD9" w:rsidRPr="00CA25CF" w:rsidRDefault="002C0FD9" w:rsidP="00CA25CF">
            <w:pPr>
              <w:rPr>
                <w:rFonts w:cs="Arial"/>
                <w:color w:val="FF0000"/>
                <w:sz w:val="21"/>
                <w:szCs w:val="21"/>
              </w:rPr>
            </w:pPr>
          </w:p>
        </w:tc>
        <w:tc>
          <w:tcPr>
            <w:tcW w:w="217" w:type="dxa"/>
          </w:tcPr>
          <w:p w14:paraId="3F483512" w14:textId="77777777" w:rsidR="002C0FD9" w:rsidRPr="00CA25CF" w:rsidRDefault="002C0FD9" w:rsidP="00CA25CF">
            <w:pPr>
              <w:rPr>
                <w:rFonts w:cs="Arial"/>
                <w:color w:val="FF0000"/>
                <w:sz w:val="21"/>
                <w:szCs w:val="21"/>
              </w:rPr>
            </w:pPr>
          </w:p>
        </w:tc>
        <w:tc>
          <w:tcPr>
            <w:tcW w:w="217" w:type="dxa"/>
          </w:tcPr>
          <w:p w14:paraId="5028D206" w14:textId="77777777" w:rsidR="002C0FD9" w:rsidRPr="00CA25CF" w:rsidRDefault="002C0FD9" w:rsidP="00CA25CF">
            <w:pPr>
              <w:rPr>
                <w:rFonts w:cs="Arial"/>
                <w:color w:val="FF0000"/>
                <w:sz w:val="21"/>
                <w:szCs w:val="21"/>
              </w:rPr>
            </w:pPr>
          </w:p>
        </w:tc>
        <w:tc>
          <w:tcPr>
            <w:tcW w:w="217" w:type="dxa"/>
          </w:tcPr>
          <w:p w14:paraId="490E0BE4" w14:textId="77777777" w:rsidR="002C0FD9" w:rsidRPr="00CA25CF" w:rsidRDefault="002C0FD9" w:rsidP="00CA25CF">
            <w:pPr>
              <w:rPr>
                <w:rFonts w:cs="Arial"/>
                <w:color w:val="FF0000"/>
                <w:sz w:val="21"/>
                <w:szCs w:val="21"/>
              </w:rPr>
            </w:pPr>
          </w:p>
        </w:tc>
        <w:tc>
          <w:tcPr>
            <w:tcW w:w="217" w:type="dxa"/>
          </w:tcPr>
          <w:p w14:paraId="3AEB1041" w14:textId="77777777" w:rsidR="002C0FD9" w:rsidRPr="00CA25CF" w:rsidRDefault="002C0FD9" w:rsidP="00CA25CF">
            <w:pPr>
              <w:rPr>
                <w:rFonts w:cs="Arial"/>
                <w:color w:val="FF0000"/>
                <w:sz w:val="21"/>
                <w:szCs w:val="21"/>
              </w:rPr>
            </w:pPr>
          </w:p>
        </w:tc>
        <w:tc>
          <w:tcPr>
            <w:tcW w:w="217" w:type="dxa"/>
          </w:tcPr>
          <w:p w14:paraId="66DB7310" w14:textId="77777777" w:rsidR="002C0FD9" w:rsidRPr="00CA25CF" w:rsidRDefault="002C0FD9" w:rsidP="00CA25CF">
            <w:pPr>
              <w:rPr>
                <w:rFonts w:cs="Arial"/>
                <w:color w:val="FF0000"/>
                <w:sz w:val="21"/>
                <w:szCs w:val="21"/>
              </w:rPr>
            </w:pPr>
          </w:p>
        </w:tc>
        <w:tc>
          <w:tcPr>
            <w:tcW w:w="217" w:type="dxa"/>
          </w:tcPr>
          <w:p w14:paraId="0BDA2AC5" w14:textId="77777777" w:rsidR="002C0FD9" w:rsidRPr="00CA25CF" w:rsidRDefault="002C0FD9" w:rsidP="00CA25CF">
            <w:pPr>
              <w:rPr>
                <w:rFonts w:cs="Arial"/>
                <w:color w:val="FF0000"/>
                <w:sz w:val="21"/>
                <w:szCs w:val="21"/>
              </w:rPr>
            </w:pPr>
          </w:p>
        </w:tc>
      </w:tr>
      <w:tr w:rsidR="002C0FD9" w:rsidRPr="00A16219" w14:paraId="4AF9A9D2" w14:textId="77777777" w:rsidTr="002C0FD9">
        <w:trPr>
          <w:trHeight w:val="635"/>
        </w:trPr>
        <w:tc>
          <w:tcPr>
            <w:tcW w:w="515" w:type="dxa"/>
          </w:tcPr>
          <w:p w14:paraId="7519704B" w14:textId="77777777" w:rsidR="002C0FD9" w:rsidRPr="00CA25CF" w:rsidRDefault="002C0FD9" w:rsidP="00CA25CF">
            <w:pPr>
              <w:rPr>
                <w:rFonts w:cs="Arial"/>
                <w:color w:val="FF0000"/>
                <w:sz w:val="21"/>
                <w:szCs w:val="21"/>
              </w:rPr>
            </w:pPr>
          </w:p>
        </w:tc>
        <w:tc>
          <w:tcPr>
            <w:tcW w:w="217" w:type="dxa"/>
          </w:tcPr>
          <w:p w14:paraId="6BF5D698" w14:textId="77777777" w:rsidR="002C0FD9" w:rsidRPr="00CA25CF" w:rsidRDefault="002C0FD9" w:rsidP="00CA25CF">
            <w:pPr>
              <w:rPr>
                <w:rFonts w:cs="Arial"/>
                <w:color w:val="FF0000"/>
                <w:sz w:val="21"/>
                <w:szCs w:val="21"/>
              </w:rPr>
            </w:pPr>
          </w:p>
        </w:tc>
        <w:tc>
          <w:tcPr>
            <w:tcW w:w="217" w:type="dxa"/>
          </w:tcPr>
          <w:p w14:paraId="51366DE5" w14:textId="77777777" w:rsidR="002C0FD9" w:rsidRPr="00CA25CF" w:rsidRDefault="002C0FD9" w:rsidP="00CA25CF">
            <w:pPr>
              <w:rPr>
                <w:rFonts w:cs="Arial"/>
                <w:color w:val="FF0000"/>
                <w:sz w:val="21"/>
                <w:szCs w:val="21"/>
              </w:rPr>
            </w:pPr>
          </w:p>
        </w:tc>
        <w:tc>
          <w:tcPr>
            <w:tcW w:w="217" w:type="dxa"/>
          </w:tcPr>
          <w:p w14:paraId="3022BA97" w14:textId="77777777" w:rsidR="002C0FD9" w:rsidRPr="00CA25CF" w:rsidRDefault="002C0FD9" w:rsidP="00CA25CF">
            <w:pPr>
              <w:rPr>
                <w:rFonts w:cs="Arial"/>
                <w:color w:val="FF0000"/>
                <w:sz w:val="21"/>
                <w:szCs w:val="21"/>
              </w:rPr>
            </w:pPr>
          </w:p>
        </w:tc>
        <w:tc>
          <w:tcPr>
            <w:tcW w:w="217" w:type="dxa"/>
          </w:tcPr>
          <w:p w14:paraId="3F5D08E0" w14:textId="77777777" w:rsidR="002C0FD9" w:rsidRPr="00CA25CF" w:rsidRDefault="002C0FD9" w:rsidP="00CA25CF">
            <w:pPr>
              <w:rPr>
                <w:rFonts w:cs="Arial"/>
                <w:color w:val="FF0000"/>
                <w:sz w:val="21"/>
                <w:szCs w:val="21"/>
              </w:rPr>
            </w:pPr>
          </w:p>
        </w:tc>
        <w:tc>
          <w:tcPr>
            <w:tcW w:w="217" w:type="dxa"/>
          </w:tcPr>
          <w:p w14:paraId="6F2A40EE" w14:textId="77777777" w:rsidR="002C0FD9" w:rsidRPr="00CA25CF" w:rsidRDefault="002C0FD9" w:rsidP="00CA25CF">
            <w:pPr>
              <w:rPr>
                <w:rFonts w:cs="Arial"/>
                <w:color w:val="FF0000"/>
                <w:sz w:val="21"/>
                <w:szCs w:val="21"/>
              </w:rPr>
            </w:pPr>
          </w:p>
        </w:tc>
        <w:tc>
          <w:tcPr>
            <w:tcW w:w="217" w:type="dxa"/>
          </w:tcPr>
          <w:p w14:paraId="4309D635" w14:textId="77777777" w:rsidR="002C0FD9" w:rsidRPr="00CA25CF" w:rsidRDefault="002C0FD9" w:rsidP="00CA25CF">
            <w:pPr>
              <w:rPr>
                <w:rFonts w:cs="Arial"/>
                <w:color w:val="FF0000"/>
                <w:sz w:val="21"/>
                <w:szCs w:val="21"/>
              </w:rPr>
            </w:pPr>
          </w:p>
        </w:tc>
        <w:tc>
          <w:tcPr>
            <w:tcW w:w="217" w:type="dxa"/>
          </w:tcPr>
          <w:p w14:paraId="6B6B90BC" w14:textId="77777777" w:rsidR="002C0FD9" w:rsidRPr="00CA25CF" w:rsidRDefault="002C0FD9" w:rsidP="00CA25CF">
            <w:pPr>
              <w:rPr>
                <w:rFonts w:cs="Arial"/>
                <w:color w:val="FF0000"/>
                <w:sz w:val="21"/>
                <w:szCs w:val="21"/>
              </w:rPr>
            </w:pPr>
          </w:p>
        </w:tc>
        <w:tc>
          <w:tcPr>
            <w:tcW w:w="217" w:type="dxa"/>
          </w:tcPr>
          <w:p w14:paraId="189C6234" w14:textId="77777777" w:rsidR="002C0FD9" w:rsidRPr="00CA25CF" w:rsidRDefault="002C0FD9" w:rsidP="00CA25CF">
            <w:pPr>
              <w:rPr>
                <w:rFonts w:cs="Arial"/>
                <w:color w:val="FF0000"/>
                <w:sz w:val="21"/>
                <w:szCs w:val="21"/>
              </w:rPr>
            </w:pPr>
          </w:p>
        </w:tc>
        <w:tc>
          <w:tcPr>
            <w:tcW w:w="217" w:type="dxa"/>
          </w:tcPr>
          <w:p w14:paraId="42701991" w14:textId="77777777" w:rsidR="002C0FD9" w:rsidRPr="00CA25CF" w:rsidRDefault="002C0FD9" w:rsidP="00CA25CF">
            <w:pPr>
              <w:rPr>
                <w:rFonts w:cs="Arial"/>
                <w:color w:val="FF0000"/>
                <w:sz w:val="21"/>
                <w:szCs w:val="21"/>
              </w:rPr>
            </w:pPr>
          </w:p>
        </w:tc>
        <w:tc>
          <w:tcPr>
            <w:tcW w:w="217" w:type="dxa"/>
          </w:tcPr>
          <w:p w14:paraId="61919DC0" w14:textId="77777777" w:rsidR="002C0FD9" w:rsidRPr="00CA25CF" w:rsidRDefault="002C0FD9" w:rsidP="00CA25CF">
            <w:pPr>
              <w:rPr>
                <w:rFonts w:cs="Arial"/>
                <w:color w:val="FF0000"/>
                <w:sz w:val="21"/>
                <w:szCs w:val="21"/>
              </w:rPr>
            </w:pPr>
          </w:p>
        </w:tc>
        <w:tc>
          <w:tcPr>
            <w:tcW w:w="217" w:type="dxa"/>
          </w:tcPr>
          <w:p w14:paraId="2A5DB2EE" w14:textId="77777777" w:rsidR="002C0FD9" w:rsidRPr="00CA25CF" w:rsidRDefault="002C0FD9" w:rsidP="00CA25CF">
            <w:pPr>
              <w:rPr>
                <w:rFonts w:cs="Arial"/>
                <w:color w:val="FF0000"/>
                <w:sz w:val="21"/>
                <w:szCs w:val="21"/>
              </w:rPr>
            </w:pPr>
          </w:p>
        </w:tc>
        <w:tc>
          <w:tcPr>
            <w:tcW w:w="217" w:type="dxa"/>
          </w:tcPr>
          <w:p w14:paraId="67A628AE" w14:textId="77777777" w:rsidR="002C0FD9" w:rsidRPr="00CA25CF" w:rsidRDefault="002C0FD9" w:rsidP="00CA25CF">
            <w:pPr>
              <w:rPr>
                <w:rFonts w:cs="Arial"/>
                <w:color w:val="FF0000"/>
                <w:sz w:val="21"/>
                <w:szCs w:val="21"/>
              </w:rPr>
            </w:pPr>
          </w:p>
        </w:tc>
        <w:tc>
          <w:tcPr>
            <w:tcW w:w="217" w:type="dxa"/>
          </w:tcPr>
          <w:p w14:paraId="6C737B57" w14:textId="77777777" w:rsidR="002C0FD9" w:rsidRPr="00CA25CF" w:rsidRDefault="002C0FD9" w:rsidP="00CA25CF">
            <w:pPr>
              <w:rPr>
                <w:rFonts w:cs="Arial"/>
                <w:color w:val="FF0000"/>
                <w:sz w:val="21"/>
                <w:szCs w:val="21"/>
              </w:rPr>
            </w:pPr>
          </w:p>
        </w:tc>
        <w:tc>
          <w:tcPr>
            <w:tcW w:w="217" w:type="dxa"/>
          </w:tcPr>
          <w:p w14:paraId="254FBA88" w14:textId="77777777" w:rsidR="002C0FD9" w:rsidRPr="00CA25CF" w:rsidRDefault="002C0FD9" w:rsidP="00CA25CF">
            <w:pPr>
              <w:rPr>
                <w:rFonts w:cs="Arial"/>
                <w:color w:val="FF0000"/>
                <w:sz w:val="21"/>
                <w:szCs w:val="21"/>
              </w:rPr>
            </w:pPr>
          </w:p>
        </w:tc>
        <w:tc>
          <w:tcPr>
            <w:tcW w:w="217" w:type="dxa"/>
          </w:tcPr>
          <w:p w14:paraId="7EB3CBE5" w14:textId="77777777" w:rsidR="002C0FD9" w:rsidRPr="00CA25CF" w:rsidRDefault="002C0FD9" w:rsidP="00CA25CF">
            <w:pPr>
              <w:rPr>
                <w:rFonts w:cs="Arial"/>
                <w:color w:val="FF0000"/>
                <w:sz w:val="21"/>
                <w:szCs w:val="21"/>
              </w:rPr>
            </w:pPr>
          </w:p>
        </w:tc>
        <w:tc>
          <w:tcPr>
            <w:tcW w:w="217" w:type="dxa"/>
          </w:tcPr>
          <w:p w14:paraId="52A1FDE3" w14:textId="77777777" w:rsidR="002C0FD9" w:rsidRPr="00CA25CF" w:rsidRDefault="002C0FD9" w:rsidP="00CA25CF">
            <w:pPr>
              <w:rPr>
                <w:rFonts w:cs="Arial"/>
                <w:color w:val="FF0000"/>
                <w:sz w:val="21"/>
                <w:szCs w:val="21"/>
              </w:rPr>
            </w:pPr>
          </w:p>
        </w:tc>
        <w:tc>
          <w:tcPr>
            <w:tcW w:w="217" w:type="dxa"/>
          </w:tcPr>
          <w:p w14:paraId="2B95C44F" w14:textId="77777777" w:rsidR="002C0FD9" w:rsidRPr="00CA25CF" w:rsidRDefault="002C0FD9" w:rsidP="00CA25CF">
            <w:pPr>
              <w:rPr>
                <w:rFonts w:cs="Arial"/>
                <w:color w:val="FF0000"/>
                <w:sz w:val="21"/>
                <w:szCs w:val="21"/>
              </w:rPr>
            </w:pPr>
          </w:p>
        </w:tc>
        <w:tc>
          <w:tcPr>
            <w:tcW w:w="217" w:type="dxa"/>
          </w:tcPr>
          <w:p w14:paraId="2B98D22F" w14:textId="77777777" w:rsidR="002C0FD9" w:rsidRPr="00CA25CF" w:rsidRDefault="002C0FD9" w:rsidP="00CA25CF">
            <w:pPr>
              <w:rPr>
                <w:rFonts w:cs="Arial"/>
                <w:color w:val="FF0000"/>
                <w:sz w:val="21"/>
                <w:szCs w:val="21"/>
              </w:rPr>
            </w:pPr>
          </w:p>
        </w:tc>
        <w:tc>
          <w:tcPr>
            <w:tcW w:w="217" w:type="dxa"/>
          </w:tcPr>
          <w:p w14:paraId="20C4137E" w14:textId="77777777" w:rsidR="002C0FD9" w:rsidRPr="00CA25CF" w:rsidRDefault="002C0FD9" w:rsidP="00CA25CF">
            <w:pPr>
              <w:rPr>
                <w:rFonts w:cs="Arial"/>
                <w:color w:val="FF0000"/>
                <w:sz w:val="21"/>
                <w:szCs w:val="21"/>
              </w:rPr>
            </w:pPr>
          </w:p>
        </w:tc>
        <w:tc>
          <w:tcPr>
            <w:tcW w:w="217" w:type="dxa"/>
          </w:tcPr>
          <w:p w14:paraId="1D2C8804" w14:textId="77777777" w:rsidR="002C0FD9" w:rsidRPr="00CA25CF" w:rsidRDefault="002C0FD9" w:rsidP="00CA25CF">
            <w:pPr>
              <w:rPr>
                <w:rFonts w:cs="Arial"/>
                <w:color w:val="FF0000"/>
                <w:sz w:val="21"/>
                <w:szCs w:val="21"/>
              </w:rPr>
            </w:pPr>
          </w:p>
        </w:tc>
        <w:tc>
          <w:tcPr>
            <w:tcW w:w="217" w:type="dxa"/>
          </w:tcPr>
          <w:p w14:paraId="506AC09E" w14:textId="77777777" w:rsidR="002C0FD9" w:rsidRPr="00CA25CF" w:rsidRDefault="002C0FD9" w:rsidP="00CA25CF">
            <w:pPr>
              <w:rPr>
                <w:rFonts w:cs="Arial"/>
                <w:color w:val="FF0000"/>
                <w:sz w:val="21"/>
                <w:szCs w:val="21"/>
              </w:rPr>
            </w:pPr>
          </w:p>
        </w:tc>
        <w:tc>
          <w:tcPr>
            <w:tcW w:w="217" w:type="dxa"/>
          </w:tcPr>
          <w:p w14:paraId="2A6C4BF6" w14:textId="77777777" w:rsidR="002C0FD9" w:rsidRPr="00CA25CF" w:rsidRDefault="002C0FD9" w:rsidP="00CA25CF">
            <w:pPr>
              <w:rPr>
                <w:rFonts w:cs="Arial"/>
                <w:color w:val="FF0000"/>
                <w:sz w:val="21"/>
                <w:szCs w:val="21"/>
              </w:rPr>
            </w:pPr>
          </w:p>
        </w:tc>
        <w:tc>
          <w:tcPr>
            <w:tcW w:w="217" w:type="dxa"/>
          </w:tcPr>
          <w:p w14:paraId="17AAD8B0" w14:textId="77777777" w:rsidR="002C0FD9" w:rsidRPr="00CA25CF" w:rsidRDefault="002C0FD9" w:rsidP="00CA25CF">
            <w:pPr>
              <w:rPr>
                <w:rFonts w:cs="Arial"/>
                <w:color w:val="FF0000"/>
                <w:sz w:val="21"/>
                <w:szCs w:val="21"/>
              </w:rPr>
            </w:pPr>
          </w:p>
        </w:tc>
        <w:tc>
          <w:tcPr>
            <w:tcW w:w="217" w:type="dxa"/>
          </w:tcPr>
          <w:p w14:paraId="104793E2" w14:textId="77777777" w:rsidR="002C0FD9" w:rsidRPr="00CA25CF" w:rsidRDefault="002C0FD9" w:rsidP="00CA25CF">
            <w:pPr>
              <w:rPr>
                <w:rFonts w:cs="Arial"/>
                <w:color w:val="FF0000"/>
                <w:sz w:val="21"/>
                <w:szCs w:val="21"/>
              </w:rPr>
            </w:pPr>
          </w:p>
        </w:tc>
        <w:tc>
          <w:tcPr>
            <w:tcW w:w="217" w:type="dxa"/>
          </w:tcPr>
          <w:p w14:paraId="25010491" w14:textId="77777777" w:rsidR="002C0FD9" w:rsidRPr="00CA25CF" w:rsidRDefault="002C0FD9" w:rsidP="00CA25CF">
            <w:pPr>
              <w:rPr>
                <w:rFonts w:cs="Arial"/>
                <w:color w:val="FF0000"/>
                <w:sz w:val="21"/>
                <w:szCs w:val="21"/>
              </w:rPr>
            </w:pPr>
          </w:p>
        </w:tc>
        <w:tc>
          <w:tcPr>
            <w:tcW w:w="217" w:type="dxa"/>
          </w:tcPr>
          <w:p w14:paraId="331902BF" w14:textId="77777777" w:rsidR="002C0FD9" w:rsidRPr="00CA25CF" w:rsidRDefault="002C0FD9" w:rsidP="00CA25CF">
            <w:pPr>
              <w:rPr>
                <w:rFonts w:cs="Arial"/>
                <w:color w:val="FF0000"/>
                <w:sz w:val="21"/>
                <w:szCs w:val="21"/>
              </w:rPr>
            </w:pPr>
          </w:p>
        </w:tc>
        <w:tc>
          <w:tcPr>
            <w:tcW w:w="217" w:type="dxa"/>
          </w:tcPr>
          <w:p w14:paraId="618B2B95" w14:textId="77777777" w:rsidR="002C0FD9" w:rsidRPr="00CA25CF" w:rsidRDefault="002C0FD9" w:rsidP="00CA25CF">
            <w:pPr>
              <w:rPr>
                <w:rFonts w:cs="Arial"/>
                <w:color w:val="FF0000"/>
                <w:sz w:val="21"/>
                <w:szCs w:val="21"/>
              </w:rPr>
            </w:pPr>
          </w:p>
        </w:tc>
        <w:tc>
          <w:tcPr>
            <w:tcW w:w="217" w:type="dxa"/>
          </w:tcPr>
          <w:p w14:paraId="3313D6EF" w14:textId="77777777" w:rsidR="002C0FD9" w:rsidRPr="00CA25CF" w:rsidRDefault="002C0FD9" w:rsidP="00CA25CF">
            <w:pPr>
              <w:rPr>
                <w:rFonts w:cs="Arial"/>
                <w:color w:val="FF0000"/>
                <w:sz w:val="21"/>
                <w:szCs w:val="21"/>
              </w:rPr>
            </w:pPr>
          </w:p>
        </w:tc>
        <w:tc>
          <w:tcPr>
            <w:tcW w:w="217" w:type="dxa"/>
          </w:tcPr>
          <w:p w14:paraId="1B296691" w14:textId="77777777" w:rsidR="002C0FD9" w:rsidRPr="00CA25CF" w:rsidRDefault="002C0FD9" w:rsidP="00CA25CF">
            <w:pPr>
              <w:rPr>
                <w:rFonts w:cs="Arial"/>
                <w:color w:val="FF0000"/>
                <w:sz w:val="21"/>
                <w:szCs w:val="21"/>
              </w:rPr>
            </w:pPr>
          </w:p>
        </w:tc>
        <w:tc>
          <w:tcPr>
            <w:tcW w:w="217" w:type="dxa"/>
          </w:tcPr>
          <w:p w14:paraId="1E50970E" w14:textId="77777777" w:rsidR="002C0FD9" w:rsidRPr="00CA25CF" w:rsidRDefault="002C0FD9" w:rsidP="00CA25CF">
            <w:pPr>
              <w:rPr>
                <w:rFonts w:cs="Arial"/>
                <w:color w:val="FF0000"/>
                <w:sz w:val="21"/>
                <w:szCs w:val="21"/>
              </w:rPr>
            </w:pPr>
          </w:p>
        </w:tc>
        <w:tc>
          <w:tcPr>
            <w:tcW w:w="217" w:type="dxa"/>
          </w:tcPr>
          <w:p w14:paraId="14BFA76A" w14:textId="77777777" w:rsidR="002C0FD9" w:rsidRPr="00CA25CF" w:rsidRDefault="002C0FD9" w:rsidP="00CA25CF">
            <w:pPr>
              <w:rPr>
                <w:rFonts w:cs="Arial"/>
                <w:color w:val="FF0000"/>
                <w:sz w:val="21"/>
                <w:szCs w:val="21"/>
              </w:rPr>
            </w:pPr>
          </w:p>
        </w:tc>
        <w:tc>
          <w:tcPr>
            <w:tcW w:w="217" w:type="dxa"/>
          </w:tcPr>
          <w:p w14:paraId="1786513F" w14:textId="77777777" w:rsidR="002C0FD9" w:rsidRPr="00CA25CF" w:rsidRDefault="002C0FD9" w:rsidP="00CA25CF">
            <w:pPr>
              <w:rPr>
                <w:rFonts w:cs="Arial"/>
                <w:color w:val="FF0000"/>
                <w:sz w:val="21"/>
                <w:szCs w:val="21"/>
              </w:rPr>
            </w:pPr>
          </w:p>
        </w:tc>
        <w:tc>
          <w:tcPr>
            <w:tcW w:w="217" w:type="dxa"/>
          </w:tcPr>
          <w:p w14:paraId="16E79928" w14:textId="77777777" w:rsidR="002C0FD9" w:rsidRPr="00CA25CF" w:rsidRDefault="002C0FD9" w:rsidP="00CA25CF">
            <w:pPr>
              <w:rPr>
                <w:rFonts w:cs="Arial"/>
                <w:color w:val="FF0000"/>
                <w:sz w:val="21"/>
                <w:szCs w:val="21"/>
              </w:rPr>
            </w:pPr>
          </w:p>
        </w:tc>
        <w:tc>
          <w:tcPr>
            <w:tcW w:w="217" w:type="dxa"/>
          </w:tcPr>
          <w:p w14:paraId="4DEB6102" w14:textId="77777777" w:rsidR="002C0FD9" w:rsidRPr="00CA25CF" w:rsidRDefault="002C0FD9" w:rsidP="00CA25CF">
            <w:pPr>
              <w:rPr>
                <w:rFonts w:cs="Arial"/>
                <w:color w:val="FF0000"/>
                <w:sz w:val="21"/>
                <w:szCs w:val="21"/>
              </w:rPr>
            </w:pPr>
          </w:p>
        </w:tc>
        <w:tc>
          <w:tcPr>
            <w:tcW w:w="217" w:type="dxa"/>
          </w:tcPr>
          <w:p w14:paraId="59F55C85" w14:textId="77777777" w:rsidR="002C0FD9" w:rsidRPr="00CA25CF" w:rsidRDefault="002C0FD9" w:rsidP="00CA25CF">
            <w:pPr>
              <w:rPr>
                <w:rFonts w:cs="Arial"/>
                <w:color w:val="FF0000"/>
                <w:sz w:val="21"/>
                <w:szCs w:val="21"/>
              </w:rPr>
            </w:pPr>
          </w:p>
        </w:tc>
        <w:tc>
          <w:tcPr>
            <w:tcW w:w="217" w:type="dxa"/>
          </w:tcPr>
          <w:p w14:paraId="34EB4F81" w14:textId="77777777" w:rsidR="002C0FD9" w:rsidRPr="00CA25CF" w:rsidRDefault="002C0FD9" w:rsidP="00CA25CF">
            <w:pPr>
              <w:rPr>
                <w:rFonts w:cs="Arial"/>
                <w:color w:val="FF0000"/>
                <w:sz w:val="21"/>
                <w:szCs w:val="21"/>
              </w:rPr>
            </w:pPr>
          </w:p>
        </w:tc>
        <w:tc>
          <w:tcPr>
            <w:tcW w:w="217" w:type="dxa"/>
          </w:tcPr>
          <w:p w14:paraId="4255E500" w14:textId="77777777" w:rsidR="002C0FD9" w:rsidRPr="00CA25CF" w:rsidRDefault="002C0FD9" w:rsidP="00CA25CF">
            <w:pPr>
              <w:rPr>
                <w:rFonts w:cs="Arial"/>
                <w:color w:val="FF0000"/>
                <w:sz w:val="21"/>
                <w:szCs w:val="21"/>
              </w:rPr>
            </w:pPr>
          </w:p>
        </w:tc>
        <w:tc>
          <w:tcPr>
            <w:tcW w:w="217" w:type="dxa"/>
          </w:tcPr>
          <w:p w14:paraId="743F025F" w14:textId="77777777" w:rsidR="002C0FD9" w:rsidRPr="00CA25CF" w:rsidRDefault="002C0FD9" w:rsidP="00CA25CF">
            <w:pPr>
              <w:rPr>
                <w:rFonts w:cs="Arial"/>
                <w:color w:val="FF0000"/>
                <w:sz w:val="21"/>
                <w:szCs w:val="21"/>
              </w:rPr>
            </w:pPr>
          </w:p>
        </w:tc>
        <w:tc>
          <w:tcPr>
            <w:tcW w:w="217" w:type="dxa"/>
          </w:tcPr>
          <w:p w14:paraId="304ADA64" w14:textId="77777777" w:rsidR="002C0FD9" w:rsidRPr="00CA25CF" w:rsidRDefault="002C0FD9" w:rsidP="00CA25CF">
            <w:pPr>
              <w:rPr>
                <w:rFonts w:cs="Arial"/>
                <w:color w:val="FF0000"/>
                <w:sz w:val="21"/>
                <w:szCs w:val="21"/>
              </w:rPr>
            </w:pPr>
          </w:p>
        </w:tc>
        <w:tc>
          <w:tcPr>
            <w:tcW w:w="217" w:type="dxa"/>
          </w:tcPr>
          <w:p w14:paraId="42A90D1D" w14:textId="77777777" w:rsidR="002C0FD9" w:rsidRPr="00CA25CF" w:rsidRDefault="002C0FD9" w:rsidP="00CA25CF">
            <w:pPr>
              <w:rPr>
                <w:rFonts w:cs="Arial"/>
                <w:color w:val="FF0000"/>
                <w:sz w:val="21"/>
                <w:szCs w:val="21"/>
              </w:rPr>
            </w:pPr>
          </w:p>
        </w:tc>
        <w:tc>
          <w:tcPr>
            <w:tcW w:w="217" w:type="dxa"/>
          </w:tcPr>
          <w:p w14:paraId="6A68E2C1" w14:textId="77777777" w:rsidR="002C0FD9" w:rsidRPr="00CA25CF" w:rsidRDefault="002C0FD9" w:rsidP="00CA25CF">
            <w:pPr>
              <w:rPr>
                <w:rFonts w:cs="Arial"/>
                <w:color w:val="FF0000"/>
                <w:sz w:val="21"/>
                <w:szCs w:val="21"/>
              </w:rPr>
            </w:pPr>
          </w:p>
        </w:tc>
        <w:tc>
          <w:tcPr>
            <w:tcW w:w="217" w:type="dxa"/>
          </w:tcPr>
          <w:p w14:paraId="54D0026B" w14:textId="77777777" w:rsidR="002C0FD9" w:rsidRPr="00CA25CF" w:rsidRDefault="002C0FD9" w:rsidP="00CA25CF">
            <w:pPr>
              <w:rPr>
                <w:rFonts w:cs="Arial"/>
                <w:color w:val="FF0000"/>
                <w:sz w:val="21"/>
                <w:szCs w:val="21"/>
              </w:rPr>
            </w:pPr>
          </w:p>
        </w:tc>
      </w:tr>
      <w:tr w:rsidR="002C0FD9" w:rsidRPr="00A16219" w14:paraId="61504280" w14:textId="77777777" w:rsidTr="002C0FD9">
        <w:trPr>
          <w:trHeight w:val="635"/>
        </w:trPr>
        <w:tc>
          <w:tcPr>
            <w:tcW w:w="515" w:type="dxa"/>
          </w:tcPr>
          <w:p w14:paraId="66F4CD28" w14:textId="77777777" w:rsidR="002C0FD9" w:rsidRPr="00CA25CF" w:rsidRDefault="002C0FD9" w:rsidP="00CA25CF">
            <w:pPr>
              <w:rPr>
                <w:rFonts w:cs="Arial"/>
                <w:color w:val="FF0000"/>
                <w:sz w:val="21"/>
                <w:szCs w:val="21"/>
              </w:rPr>
            </w:pPr>
          </w:p>
        </w:tc>
        <w:tc>
          <w:tcPr>
            <w:tcW w:w="217" w:type="dxa"/>
          </w:tcPr>
          <w:p w14:paraId="586F58A3" w14:textId="77777777" w:rsidR="002C0FD9" w:rsidRPr="00CA25CF" w:rsidRDefault="002C0FD9" w:rsidP="00CA25CF">
            <w:pPr>
              <w:rPr>
                <w:rFonts w:cs="Arial"/>
                <w:color w:val="FF0000"/>
                <w:sz w:val="21"/>
                <w:szCs w:val="21"/>
              </w:rPr>
            </w:pPr>
          </w:p>
        </w:tc>
        <w:tc>
          <w:tcPr>
            <w:tcW w:w="217" w:type="dxa"/>
          </w:tcPr>
          <w:p w14:paraId="42A84EA4" w14:textId="77777777" w:rsidR="002C0FD9" w:rsidRPr="00CA25CF" w:rsidRDefault="002C0FD9" w:rsidP="00CA25CF">
            <w:pPr>
              <w:rPr>
                <w:rFonts w:cs="Arial"/>
                <w:color w:val="FF0000"/>
                <w:sz w:val="21"/>
                <w:szCs w:val="21"/>
              </w:rPr>
            </w:pPr>
          </w:p>
        </w:tc>
        <w:tc>
          <w:tcPr>
            <w:tcW w:w="217" w:type="dxa"/>
          </w:tcPr>
          <w:p w14:paraId="4DDDB2DC" w14:textId="77777777" w:rsidR="002C0FD9" w:rsidRPr="00CA25CF" w:rsidRDefault="002C0FD9" w:rsidP="00CA25CF">
            <w:pPr>
              <w:rPr>
                <w:rFonts w:cs="Arial"/>
                <w:color w:val="FF0000"/>
                <w:sz w:val="21"/>
                <w:szCs w:val="21"/>
              </w:rPr>
            </w:pPr>
          </w:p>
        </w:tc>
        <w:tc>
          <w:tcPr>
            <w:tcW w:w="217" w:type="dxa"/>
          </w:tcPr>
          <w:p w14:paraId="4D236E20" w14:textId="77777777" w:rsidR="002C0FD9" w:rsidRPr="00CA25CF" w:rsidRDefault="002C0FD9" w:rsidP="00CA25CF">
            <w:pPr>
              <w:rPr>
                <w:rFonts w:cs="Arial"/>
                <w:color w:val="FF0000"/>
                <w:sz w:val="21"/>
                <w:szCs w:val="21"/>
              </w:rPr>
            </w:pPr>
          </w:p>
        </w:tc>
        <w:tc>
          <w:tcPr>
            <w:tcW w:w="217" w:type="dxa"/>
          </w:tcPr>
          <w:p w14:paraId="6344910C" w14:textId="77777777" w:rsidR="002C0FD9" w:rsidRPr="00CA25CF" w:rsidRDefault="002C0FD9" w:rsidP="00CA25CF">
            <w:pPr>
              <w:rPr>
                <w:rFonts w:cs="Arial"/>
                <w:color w:val="FF0000"/>
                <w:sz w:val="21"/>
                <w:szCs w:val="21"/>
              </w:rPr>
            </w:pPr>
          </w:p>
        </w:tc>
        <w:tc>
          <w:tcPr>
            <w:tcW w:w="217" w:type="dxa"/>
          </w:tcPr>
          <w:p w14:paraId="587D67E1" w14:textId="77777777" w:rsidR="002C0FD9" w:rsidRPr="00CA25CF" w:rsidRDefault="002C0FD9" w:rsidP="00CA25CF">
            <w:pPr>
              <w:rPr>
                <w:rFonts w:cs="Arial"/>
                <w:color w:val="FF0000"/>
                <w:sz w:val="21"/>
                <w:szCs w:val="21"/>
              </w:rPr>
            </w:pPr>
          </w:p>
        </w:tc>
        <w:tc>
          <w:tcPr>
            <w:tcW w:w="217" w:type="dxa"/>
          </w:tcPr>
          <w:p w14:paraId="5E06F981" w14:textId="77777777" w:rsidR="002C0FD9" w:rsidRPr="00CA25CF" w:rsidRDefault="002C0FD9" w:rsidP="00CA25CF">
            <w:pPr>
              <w:rPr>
                <w:rFonts w:cs="Arial"/>
                <w:color w:val="FF0000"/>
                <w:sz w:val="21"/>
                <w:szCs w:val="21"/>
              </w:rPr>
            </w:pPr>
          </w:p>
        </w:tc>
        <w:tc>
          <w:tcPr>
            <w:tcW w:w="217" w:type="dxa"/>
          </w:tcPr>
          <w:p w14:paraId="4C9EB0BD" w14:textId="77777777" w:rsidR="002C0FD9" w:rsidRPr="00CA25CF" w:rsidRDefault="002C0FD9" w:rsidP="00CA25CF">
            <w:pPr>
              <w:rPr>
                <w:rFonts w:cs="Arial"/>
                <w:color w:val="FF0000"/>
                <w:sz w:val="21"/>
                <w:szCs w:val="21"/>
              </w:rPr>
            </w:pPr>
          </w:p>
        </w:tc>
        <w:tc>
          <w:tcPr>
            <w:tcW w:w="217" w:type="dxa"/>
          </w:tcPr>
          <w:p w14:paraId="7EEF2B8E" w14:textId="77777777" w:rsidR="002C0FD9" w:rsidRPr="00CA25CF" w:rsidRDefault="002C0FD9" w:rsidP="00CA25CF">
            <w:pPr>
              <w:rPr>
                <w:rFonts w:cs="Arial"/>
                <w:color w:val="FF0000"/>
                <w:sz w:val="21"/>
                <w:szCs w:val="21"/>
              </w:rPr>
            </w:pPr>
          </w:p>
        </w:tc>
        <w:tc>
          <w:tcPr>
            <w:tcW w:w="217" w:type="dxa"/>
          </w:tcPr>
          <w:p w14:paraId="3866F22E" w14:textId="77777777" w:rsidR="002C0FD9" w:rsidRPr="00CA25CF" w:rsidRDefault="002C0FD9" w:rsidP="00CA25CF">
            <w:pPr>
              <w:rPr>
                <w:rFonts w:cs="Arial"/>
                <w:color w:val="FF0000"/>
                <w:sz w:val="21"/>
                <w:szCs w:val="21"/>
              </w:rPr>
            </w:pPr>
          </w:p>
        </w:tc>
        <w:tc>
          <w:tcPr>
            <w:tcW w:w="217" w:type="dxa"/>
          </w:tcPr>
          <w:p w14:paraId="60659178" w14:textId="77777777" w:rsidR="002C0FD9" w:rsidRPr="00CA25CF" w:rsidRDefault="002C0FD9" w:rsidP="00CA25CF">
            <w:pPr>
              <w:rPr>
                <w:rFonts w:cs="Arial"/>
                <w:color w:val="FF0000"/>
                <w:sz w:val="21"/>
                <w:szCs w:val="21"/>
              </w:rPr>
            </w:pPr>
          </w:p>
        </w:tc>
        <w:tc>
          <w:tcPr>
            <w:tcW w:w="217" w:type="dxa"/>
          </w:tcPr>
          <w:p w14:paraId="338AA2BA" w14:textId="77777777" w:rsidR="002C0FD9" w:rsidRPr="00CA25CF" w:rsidRDefault="002C0FD9" w:rsidP="00CA25CF">
            <w:pPr>
              <w:rPr>
                <w:rFonts w:cs="Arial"/>
                <w:color w:val="FF0000"/>
                <w:sz w:val="21"/>
                <w:szCs w:val="21"/>
              </w:rPr>
            </w:pPr>
          </w:p>
        </w:tc>
        <w:tc>
          <w:tcPr>
            <w:tcW w:w="217" w:type="dxa"/>
          </w:tcPr>
          <w:p w14:paraId="68919641" w14:textId="77777777" w:rsidR="002C0FD9" w:rsidRPr="00CA25CF" w:rsidRDefault="002C0FD9" w:rsidP="00CA25CF">
            <w:pPr>
              <w:rPr>
                <w:rFonts w:cs="Arial"/>
                <w:color w:val="FF0000"/>
                <w:sz w:val="21"/>
                <w:szCs w:val="21"/>
              </w:rPr>
            </w:pPr>
          </w:p>
        </w:tc>
        <w:tc>
          <w:tcPr>
            <w:tcW w:w="217" w:type="dxa"/>
          </w:tcPr>
          <w:p w14:paraId="343E2FE7" w14:textId="77777777" w:rsidR="002C0FD9" w:rsidRPr="00CA25CF" w:rsidRDefault="002C0FD9" w:rsidP="00CA25CF">
            <w:pPr>
              <w:rPr>
                <w:rFonts w:cs="Arial"/>
                <w:color w:val="FF0000"/>
                <w:sz w:val="21"/>
                <w:szCs w:val="21"/>
              </w:rPr>
            </w:pPr>
          </w:p>
        </w:tc>
        <w:tc>
          <w:tcPr>
            <w:tcW w:w="217" w:type="dxa"/>
          </w:tcPr>
          <w:p w14:paraId="50C08729" w14:textId="77777777" w:rsidR="002C0FD9" w:rsidRPr="00CA25CF" w:rsidRDefault="002C0FD9" w:rsidP="00CA25CF">
            <w:pPr>
              <w:rPr>
                <w:rFonts w:cs="Arial"/>
                <w:color w:val="FF0000"/>
                <w:sz w:val="21"/>
                <w:szCs w:val="21"/>
              </w:rPr>
            </w:pPr>
          </w:p>
        </w:tc>
        <w:tc>
          <w:tcPr>
            <w:tcW w:w="217" w:type="dxa"/>
          </w:tcPr>
          <w:p w14:paraId="050E0C5C" w14:textId="77777777" w:rsidR="002C0FD9" w:rsidRPr="00CA25CF" w:rsidRDefault="002C0FD9" w:rsidP="00CA25CF">
            <w:pPr>
              <w:rPr>
                <w:rFonts w:cs="Arial"/>
                <w:color w:val="FF0000"/>
                <w:sz w:val="21"/>
                <w:szCs w:val="21"/>
              </w:rPr>
            </w:pPr>
          </w:p>
        </w:tc>
        <w:tc>
          <w:tcPr>
            <w:tcW w:w="217" w:type="dxa"/>
          </w:tcPr>
          <w:p w14:paraId="06FCDE72" w14:textId="77777777" w:rsidR="002C0FD9" w:rsidRPr="00CA25CF" w:rsidRDefault="002C0FD9" w:rsidP="00CA25CF">
            <w:pPr>
              <w:rPr>
                <w:rFonts w:cs="Arial"/>
                <w:color w:val="FF0000"/>
                <w:sz w:val="21"/>
                <w:szCs w:val="21"/>
              </w:rPr>
            </w:pPr>
          </w:p>
        </w:tc>
        <w:tc>
          <w:tcPr>
            <w:tcW w:w="217" w:type="dxa"/>
          </w:tcPr>
          <w:p w14:paraId="2DEE77A8" w14:textId="77777777" w:rsidR="002C0FD9" w:rsidRPr="00CA25CF" w:rsidRDefault="002C0FD9" w:rsidP="00CA25CF">
            <w:pPr>
              <w:rPr>
                <w:rFonts w:cs="Arial"/>
                <w:color w:val="FF0000"/>
                <w:sz w:val="21"/>
                <w:szCs w:val="21"/>
              </w:rPr>
            </w:pPr>
          </w:p>
        </w:tc>
        <w:tc>
          <w:tcPr>
            <w:tcW w:w="217" w:type="dxa"/>
          </w:tcPr>
          <w:p w14:paraId="3071435F" w14:textId="77777777" w:rsidR="002C0FD9" w:rsidRPr="00CA25CF" w:rsidRDefault="002C0FD9" w:rsidP="00CA25CF">
            <w:pPr>
              <w:rPr>
                <w:rFonts w:cs="Arial"/>
                <w:color w:val="FF0000"/>
                <w:sz w:val="21"/>
                <w:szCs w:val="21"/>
              </w:rPr>
            </w:pPr>
          </w:p>
        </w:tc>
        <w:tc>
          <w:tcPr>
            <w:tcW w:w="217" w:type="dxa"/>
          </w:tcPr>
          <w:p w14:paraId="0432571A" w14:textId="77777777" w:rsidR="002C0FD9" w:rsidRPr="00CA25CF" w:rsidRDefault="002C0FD9" w:rsidP="00CA25CF">
            <w:pPr>
              <w:rPr>
                <w:rFonts w:cs="Arial"/>
                <w:color w:val="FF0000"/>
                <w:sz w:val="21"/>
                <w:szCs w:val="21"/>
              </w:rPr>
            </w:pPr>
          </w:p>
        </w:tc>
        <w:tc>
          <w:tcPr>
            <w:tcW w:w="217" w:type="dxa"/>
          </w:tcPr>
          <w:p w14:paraId="1A442DC8" w14:textId="77777777" w:rsidR="002C0FD9" w:rsidRPr="00CA25CF" w:rsidRDefault="002C0FD9" w:rsidP="00CA25CF">
            <w:pPr>
              <w:rPr>
                <w:rFonts w:cs="Arial"/>
                <w:color w:val="FF0000"/>
                <w:sz w:val="21"/>
                <w:szCs w:val="21"/>
              </w:rPr>
            </w:pPr>
          </w:p>
        </w:tc>
        <w:tc>
          <w:tcPr>
            <w:tcW w:w="217" w:type="dxa"/>
          </w:tcPr>
          <w:p w14:paraId="449D0103" w14:textId="77777777" w:rsidR="002C0FD9" w:rsidRPr="00CA25CF" w:rsidRDefault="002C0FD9" w:rsidP="00CA25CF">
            <w:pPr>
              <w:rPr>
                <w:rFonts w:cs="Arial"/>
                <w:color w:val="FF0000"/>
                <w:sz w:val="21"/>
                <w:szCs w:val="21"/>
              </w:rPr>
            </w:pPr>
          </w:p>
        </w:tc>
        <w:tc>
          <w:tcPr>
            <w:tcW w:w="217" w:type="dxa"/>
          </w:tcPr>
          <w:p w14:paraId="563CA223" w14:textId="77777777" w:rsidR="002C0FD9" w:rsidRPr="00CA25CF" w:rsidRDefault="002C0FD9" w:rsidP="00CA25CF">
            <w:pPr>
              <w:rPr>
                <w:rFonts w:cs="Arial"/>
                <w:color w:val="FF0000"/>
                <w:sz w:val="21"/>
                <w:szCs w:val="21"/>
              </w:rPr>
            </w:pPr>
          </w:p>
        </w:tc>
        <w:tc>
          <w:tcPr>
            <w:tcW w:w="217" w:type="dxa"/>
          </w:tcPr>
          <w:p w14:paraId="6F24EE95" w14:textId="77777777" w:rsidR="002C0FD9" w:rsidRPr="00CA25CF" w:rsidRDefault="002C0FD9" w:rsidP="00CA25CF">
            <w:pPr>
              <w:rPr>
                <w:rFonts w:cs="Arial"/>
                <w:color w:val="FF0000"/>
                <w:sz w:val="21"/>
                <w:szCs w:val="21"/>
              </w:rPr>
            </w:pPr>
          </w:p>
        </w:tc>
        <w:tc>
          <w:tcPr>
            <w:tcW w:w="217" w:type="dxa"/>
          </w:tcPr>
          <w:p w14:paraId="76E1AA1C" w14:textId="77777777" w:rsidR="002C0FD9" w:rsidRPr="00CA25CF" w:rsidRDefault="002C0FD9" w:rsidP="00CA25CF">
            <w:pPr>
              <w:rPr>
                <w:rFonts w:cs="Arial"/>
                <w:color w:val="FF0000"/>
                <w:sz w:val="21"/>
                <w:szCs w:val="21"/>
              </w:rPr>
            </w:pPr>
          </w:p>
        </w:tc>
        <w:tc>
          <w:tcPr>
            <w:tcW w:w="217" w:type="dxa"/>
          </w:tcPr>
          <w:p w14:paraId="4A47E83C" w14:textId="77777777" w:rsidR="002C0FD9" w:rsidRPr="00CA25CF" w:rsidRDefault="002C0FD9" w:rsidP="00CA25CF">
            <w:pPr>
              <w:rPr>
                <w:rFonts w:cs="Arial"/>
                <w:color w:val="FF0000"/>
                <w:sz w:val="21"/>
                <w:szCs w:val="21"/>
              </w:rPr>
            </w:pPr>
          </w:p>
        </w:tc>
        <w:tc>
          <w:tcPr>
            <w:tcW w:w="217" w:type="dxa"/>
          </w:tcPr>
          <w:p w14:paraId="43A52D93" w14:textId="77777777" w:rsidR="002C0FD9" w:rsidRPr="00CA25CF" w:rsidRDefault="002C0FD9" w:rsidP="00CA25CF">
            <w:pPr>
              <w:rPr>
                <w:rFonts w:cs="Arial"/>
                <w:color w:val="FF0000"/>
                <w:sz w:val="21"/>
                <w:szCs w:val="21"/>
              </w:rPr>
            </w:pPr>
          </w:p>
        </w:tc>
        <w:tc>
          <w:tcPr>
            <w:tcW w:w="217" w:type="dxa"/>
          </w:tcPr>
          <w:p w14:paraId="32D229D5" w14:textId="77777777" w:rsidR="002C0FD9" w:rsidRPr="00CA25CF" w:rsidRDefault="002C0FD9" w:rsidP="00CA25CF">
            <w:pPr>
              <w:rPr>
                <w:rFonts w:cs="Arial"/>
                <w:color w:val="FF0000"/>
                <w:sz w:val="21"/>
                <w:szCs w:val="21"/>
              </w:rPr>
            </w:pPr>
          </w:p>
        </w:tc>
        <w:tc>
          <w:tcPr>
            <w:tcW w:w="217" w:type="dxa"/>
          </w:tcPr>
          <w:p w14:paraId="439BAA85" w14:textId="77777777" w:rsidR="002C0FD9" w:rsidRPr="00CA25CF" w:rsidRDefault="002C0FD9" w:rsidP="00CA25CF">
            <w:pPr>
              <w:rPr>
                <w:rFonts w:cs="Arial"/>
                <w:color w:val="FF0000"/>
                <w:sz w:val="21"/>
                <w:szCs w:val="21"/>
              </w:rPr>
            </w:pPr>
          </w:p>
        </w:tc>
        <w:tc>
          <w:tcPr>
            <w:tcW w:w="217" w:type="dxa"/>
          </w:tcPr>
          <w:p w14:paraId="45E97780" w14:textId="77777777" w:rsidR="002C0FD9" w:rsidRPr="00CA25CF" w:rsidRDefault="002C0FD9" w:rsidP="00CA25CF">
            <w:pPr>
              <w:rPr>
                <w:rFonts w:cs="Arial"/>
                <w:color w:val="FF0000"/>
                <w:sz w:val="21"/>
                <w:szCs w:val="21"/>
              </w:rPr>
            </w:pPr>
          </w:p>
        </w:tc>
        <w:tc>
          <w:tcPr>
            <w:tcW w:w="217" w:type="dxa"/>
          </w:tcPr>
          <w:p w14:paraId="289A3268" w14:textId="77777777" w:rsidR="002C0FD9" w:rsidRPr="00CA25CF" w:rsidRDefault="002C0FD9" w:rsidP="00CA25CF">
            <w:pPr>
              <w:rPr>
                <w:rFonts w:cs="Arial"/>
                <w:color w:val="FF0000"/>
                <w:sz w:val="21"/>
                <w:szCs w:val="21"/>
              </w:rPr>
            </w:pPr>
          </w:p>
        </w:tc>
        <w:tc>
          <w:tcPr>
            <w:tcW w:w="217" w:type="dxa"/>
          </w:tcPr>
          <w:p w14:paraId="3E8C8F81" w14:textId="77777777" w:rsidR="002C0FD9" w:rsidRPr="00CA25CF" w:rsidRDefault="002C0FD9" w:rsidP="00CA25CF">
            <w:pPr>
              <w:rPr>
                <w:rFonts w:cs="Arial"/>
                <w:color w:val="FF0000"/>
                <w:sz w:val="21"/>
                <w:szCs w:val="21"/>
              </w:rPr>
            </w:pPr>
          </w:p>
        </w:tc>
        <w:tc>
          <w:tcPr>
            <w:tcW w:w="217" w:type="dxa"/>
          </w:tcPr>
          <w:p w14:paraId="316A2BE5" w14:textId="77777777" w:rsidR="002C0FD9" w:rsidRPr="00CA25CF" w:rsidRDefault="002C0FD9" w:rsidP="00CA25CF">
            <w:pPr>
              <w:rPr>
                <w:rFonts w:cs="Arial"/>
                <w:color w:val="FF0000"/>
                <w:sz w:val="21"/>
                <w:szCs w:val="21"/>
              </w:rPr>
            </w:pPr>
          </w:p>
        </w:tc>
        <w:tc>
          <w:tcPr>
            <w:tcW w:w="217" w:type="dxa"/>
          </w:tcPr>
          <w:p w14:paraId="5122B679" w14:textId="77777777" w:rsidR="002C0FD9" w:rsidRPr="00CA25CF" w:rsidRDefault="002C0FD9" w:rsidP="00CA25CF">
            <w:pPr>
              <w:rPr>
                <w:rFonts w:cs="Arial"/>
                <w:color w:val="FF0000"/>
                <w:sz w:val="21"/>
                <w:szCs w:val="21"/>
              </w:rPr>
            </w:pPr>
          </w:p>
        </w:tc>
        <w:tc>
          <w:tcPr>
            <w:tcW w:w="217" w:type="dxa"/>
          </w:tcPr>
          <w:p w14:paraId="3BBF2855" w14:textId="77777777" w:rsidR="002C0FD9" w:rsidRPr="00CA25CF" w:rsidRDefault="002C0FD9" w:rsidP="00CA25CF">
            <w:pPr>
              <w:rPr>
                <w:rFonts w:cs="Arial"/>
                <w:color w:val="FF0000"/>
                <w:sz w:val="21"/>
                <w:szCs w:val="21"/>
              </w:rPr>
            </w:pPr>
          </w:p>
        </w:tc>
        <w:tc>
          <w:tcPr>
            <w:tcW w:w="217" w:type="dxa"/>
          </w:tcPr>
          <w:p w14:paraId="2F7B1FB1" w14:textId="77777777" w:rsidR="002C0FD9" w:rsidRPr="00CA25CF" w:rsidRDefault="002C0FD9" w:rsidP="00CA25CF">
            <w:pPr>
              <w:rPr>
                <w:rFonts w:cs="Arial"/>
                <w:color w:val="FF0000"/>
                <w:sz w:val="21"/>
                <w:szCs w:val="21"/>
              </w:rPr>
            </w:pPr>
          </w:p>
        </w:tc>
        <w:tc>
          <w:tcPr>
            <w:tcW w:w="217" w:type="dxa"/>
          </w:tcPr>
          <w:p w14:paraId="217BA8D6" w14:textId="77777777" w:rsidR="002C0FD9" w:rsidRPr="00CA25CF" w:rsidRDefault="002C0FD9" w:rsidP="00CA25CF">
            <w:pPr>
              <w:rPr>
                <w:rFonts w:cs="Arial"/>
                <w:color w:val="FF0000"/>
                <w:sz w:val="21"/>
                <w:szCs w:val="21"/>
              </w:rPr>
            </w:pPr>
          </w:p>
        </w:tc>
        <w:tc>
          <w:tcPr>
            <w:tcW w:w="217" w:type="dxa"/>
          </w:tcPr>
          <w:p w14:paraId="2008E3EC" w14:textId="77777777" w:rsidR="002C0FD9" w:rsidRPr="00CA25CF" w:rsidRDefault="002C0FD9" w:rsidP="00CA25CF">
            <w:pPr>
              <w:rPr>
                <w:rFonts w:cs="Arial"/>
                <w:color w:val="FF0000"/>
                <w:sz w:val="21"/>
                <w:szCs w:val="21"/>
              </w:rPr>
            </w:pPr>
          </w:p>
        </w:tc>
        <w:tc>
          <w:tcPr>
            <w:tcW w:w="217" w:type="dxa"/>
          </w:tcPr>
          <w:p w14:paraId="101CA7D5" w14:textId="77777777" w:rsidR="002C0FD9" w:rsidRPr="00CA25CF" w:rsidRDefault="002C0FD9" w:rsidP="00CA25CF">
            <w:pPr>
              <w:rPr>
                <w:rFonts w:cs="Arial"/>
                <w:color w:val="FF0000"/>
                <w:sz w:val="21"/>
                <w:szCs w:val="21"/>
              </w:rPr>
            </w:pPr>
          </w:p>
        </w:tc>
        <w:tc>
          <w:tcPr>
            <w:tcW w:w="217" w:type="dxa"/>
          </w:tcPr>
          <w:p w14:paraId="365F5AB7" w14:textId="77777777" w:rsidR="002C0FD9" w:rsidRPr="00CA25CF" w:rsidRDefault="002C0FD9" w:rsidP="00CA25CF">
            <w:pPr>
              <w:rPr>
                <w:rFonts w:cs="Arial"/>
                <w:color w:val="FF0000"/>
                <w:sz w:val="21"/>
                <w:szCs w:val="21"/>
              </w:rPr>
            </w:pPr>
          </w:p>
        </w:tc>
        <w:tc>
          <w:tcPr>
            <w:tcW w:w="217" w:type="dxa"/>
          </w:tcPr>
          <w:p w14:paraId="0327EB23" w14:textId="77777777" w:rsidR="002C0FD9" w:rsidRPr="00CA25CF" w:rsidRDefault="002C0FD9" w:rsidP="00CA25CF">
            <w:pPr>
              <w:rPr>
                <w:rFonts w:cs="Arial"/>
                <w:color w:val="FF0000"/>
                <w:sz w:val="21"/>
                <w:szCs w:val="21"/>
              </w:rPr>
            </w:pPr>
          </w:p>
        </w:tc>
        <w:tc>
          <w:tcPr>
            <w:tcW w:w="217" w:type="dxa"/>
          </w:tcPr>
          <w:p w14:paraId="2D744A39" w14:textId="77777777" w:rsidR="002C0FD9" w:rsidRPr="00CA25CF" w:rsidRDefault="002C0FD9" w:rsidP="00CA25CF">
            <w:pPr>
              <w:rPr>
                <w:rFonts w:cs="Arial"/>
                <w:color w:val="FF0000"/>
                <w:sz w:val="21"/>
                <w:szCs w:val="21"/>
              </w:rPr>
            </w:pPr>
          </w:p>
        </w:tc>
      </w:tr>
      <w:tr w:rsidR="002C0FD9" w:rsidRPr="00A16219" w14:paraId="3B481F0E" w14:textId="77777777" w:rsidTr="002C0FD9">
        <w:trPr>
          <w:trHeight w:val="635"/>
        </w:trPr>
        <w:tc>
          <w:tcPr>
            <w:tcW w:w="515" w:type="dxa"/>
          </w:tcPr>
          <w:p w14:paraId="5F141884" w14:textId="77777777" w:rsidR="002C0FD9" w:rsidRPr="00CA25CF" w:rsidRDefault="002C0FD9" w:rsidP="00CA25CF">
            <w:pPr>
              <w:rPr>
                <w:rFonts w:cs="Arial"/>
                <w:color w:val="FF0000"/>
                <w:sz w:val="21"/>
                <w:szCs w:val="21"/>
              </w:rPr>
            </w:pPr>
          </w:p>
        </w:tc>
        <w:tc>
          <w:tcPr>
            <w:tcW w:w="217" w:type="dxa"/>
          </w:tcPr>
          <w:p w14:paraId="20FD6F00" w14:textId="77777777" w:rsidR="002C0FD9" w:rsidRPr="00CA25CF" w:rsidRDefault="002C0FD9" w:rsidP="00CA25CF">
            <w:pPr>
              <w:rPr>
                <w:rFonts w:cs="Arial"/>
                <w:color w:val="FF0000"/>
                <w:sz w:val="21"/>
                <w:szCs w:val="21"/>
              </w:rPr>
            </w:pPr>
          </w:p>
        </w:tc>
        <w:tc>
          <w:tcPr>
            <w:tcW w:w="217" w:type="dxa"/>
          </w:tcPr>
          <w:p w14:paraId="35980DD2" w14:textId="77777777" w:rsidR="002C0FD9" w:rsidRPr="00CA25CF" w:rsidRDefault="002C0FD9" w:rsidP="00CA25CF">
            <w:pPr>
              <w:rPr>
                <w:rFonts w:cs="Arial"/>
                <w:color w:val="FF0000"/>
                <w:sz w:val="21"/>
                <w:szCs w:val="21"/>
              </w:rPr>
            </w:pPr>
          </w:p>
        </w:tc>
        <w:tc>
          <w:tcPr>
            <w:tcW w:w="217" w:type="dxa"/>
          </w:tcPr>
          <w:p w14:paraId="2556FB52" w14:textId="77777777" w:rsidR="002C0FD9" w:rsidRPr="00CA25CF" w:rsidRDefault="002C0FD9" w:rsidP="00CA25CF">
            <w:pPr>
              <w:rPr>
                <w:rFonts w:cs="Arial"/>
                <w:color w:val="FF0000"/>
                <w:sz w:val="21"/>
                <w:szCs w:val="21"/>
              </w:rPr>
            </w:pPr>
          </w:p>
        </w:tc>
        <w:tc>
          <w:tcPr>
            <w:tcW w:w="217" w:type="dxa"/>
          </w:tcPr>
          <w:p w14:paraId="14F43DF3" w14:textId="77777777" w:rsidR="002C0FD9" w:rsidRPr="00CA25CF" w:rsidRDefault="002C0FD9" w:rsidP="00CA25CF">
            <w:pPr>
              <w:rPr>
                <w:rFonts w:cs="Arial"/>
                <w:color w:val="FF0000"/>
                <w:sz w:val="21"/>
                <w:szCs w:val="21"/>
              </w:rPr>
            </w:pPr>
          </w:p>
        </w:tc>
        <w:tc>
          <w:tcPr>
            <w:tcW w:w="217" w:type="dxa"/>
          </w:tcPr>
          <w:p w14:paraId="78F95FDA" w14:textId="77777777" w:rsidR="002C0FD9" w:rsidRPr="00CA25CF" w:rsidRDefault="002C0FD9" w:rsidP="00CA25CF">
            <w:pPr>
              <w:rPr>
                <w:rFonts w:cs="Arial"/>
                <w:color w:val="FF0000"/>
                <w:sz w:val="21"/>
                <w:szCs w:val="21"/>
              </w:rPr>
            </w:pPr>
          </w:p>
        </w:tc>
        <w:tc>
          <w:tcPr>
            <w:tcW w:w="217" w:type="dxa"/>
          </w:tcPr>
          <w:p w14:paraId="11DF2077" w14:textId="77777777" w:rsidR="002C0FD9" w:rsidRPr="00CA25CF" w:rsidRDefault="002C0FD9" w:rsidP="00CA25CF">
            <w:pPr>
              <w:rPr>
                <w:rFonts w:cs="Arial"/>
                <w:color w:val="FF0000"/>
                <w:sz w:val="21"/>
                <w:szCs w:val="21"/>
              </w:rPr>
            </w:pPr>
          </w:p>
        </w:tc>
        <w:tc>
          <w:tcPr>
            <w:tcW w:w="217" w:type="dxa"/>
          </w:tcPr>
          <w:p w14:paraId="37ED28DB" w14:textId="77777777" w:rsidR="002C0FD9" w:rsidRPr="00CA25CF" w:rsidRDefault="002C0FD9" w:rsidP="00CA25CF">
            <w:pPr>
              <w:rPr>
                <w:rFonts w:cs="Arial"/>
                <w:color w:val="FF0000"/>
                <w:sz w:val="21"/>
                <w:szCs w:val="21"/>
              </w:rPr>
            </w:pPr>
          </w:p>
        </w:tc>
        <w:tc>
          <w:tcPr>
            <w:tcW w:w="217" w:type="dxa"/>
          </w:tcPr>
          <w:p w14:paraId="2045392B" w14:textId="77777777" w:rsidR="002C0FD9" w:rsidRPr="00CA25CF" w:rsidRDefault="002C0FD9" w:rsidP="00CA25CF">
            <w:pPr>
              <w:rPr>
                <w:rFonts w:cs="Arial"/>
                <w:color w:val="FF0000"/>
                <w:sz w:val="21"/>
                <w:szCs w:val="21"/>
              </w:rPr>
            </w:pPr>
          </w:p>
        </w:tc>
        <w:tc>
          <w:tcPr>
            <w:tcW w:w="217" w:type="dxa"/>
          </w:tcPr>
          <w:p w14:paraId="1AAEF7C5" w14:textId="77777777" w:rsidR="002C0FD9" w:rsidRPr="00CA25CF" w:rsidRDefault="002C0FD9" w:rsidP="00CA25CF">
            <w:pPr>
              <w:rPr>
                <w:rFonts w:cs="Arial"/>
                <w:color w:val="FF0000"/>
                <w:sz w:val="21"/>
                <w:szCs w:val="21"/>
              </w:rPr>
            </w:pPr>
          </w:p>
        </w:tc>
        <w:tc>
          <w:tcPr>
            <w:tcW w:w="217" w:type="dxa"/>
          </w:tcPr>
          <w:p w14:paraId="45640F8A" w14:textId="77777777" w:rsidR="002C0FD9" w:rsidRPr="00CA25CF" w:rsidRDefault="002C0FD9" w:rsidP="00CA25CF">
            <w:pPr>
              <w:rPr>
                <w:rFonts w:cs="Arial"/>
                <w:color w:val="FF0000"/>
                <w:sz w:val="21"/>
                <w:szCs w:val="21"/>
              </w:rPr>
            </w:pPr>
          </w:p>
        </w:tc>
        <w:tc>
          <w:tcPr>
            <w:tcW w:w="217" w:type="dxa"/>
          </w:tcPr>
          <w:p w14:paraId="2AB50C35" w14:textId="77777777" w:rsidR="002C0FD9" w:rsidRPr="00CA25CF" w:rsidRDefault="002C0FD9" w:rsidP="00CA25CF">
            <w:pPr>
              <w:rPr>
                <w:rFonts w:cs="Arial"/>
                <w:color w:val="FF0000"/>
                <w:sz w:val="21"/>
                <w:szCs w:val="21"/>
              </w:rPr>
            </w:pPr>
          </w:p>
        </w:tc>
        <w:tc>
          <w:tcPr>
            <w:tcW w:w="217" w:type="dxa"/>
          </w:tcPr>
          <w:p w14:paraId="7EA21661" w14:textId="77777777" w:rsidR="002C0FD9" w:rsidRPr="00CA25CF" w:rsidRDefault="002C0FD9" w:rsidP="00CA25CF">
            <w:pPr>
              <w:rPr>
                <w:rFonts w:cs="Arial"/>
                <w:color w:val="FF0000"/>
                <w:sz w:val="21"/>
                <w:szCs w:val="21"/>
              </w:rPr>
            </w:pPr>
          </w:p>
        </w:tc>
        <w:tc>
          <w:tcPr>
            <w:tcW w:w="217" w:type="dxa"/>
          </w:tcPr>
          <w:p w14:paraId="2B41923B" w14:textId="77777777" w:rsidR="002C0FD9" w:rsidRPr="00CA25CF" w:rsidRDefault="002C0FD9" w:rsidP="00CA25CF">
            <w:pPr>
              <w:rPr>
                <w:rFonts w:cs="Arial"/>
                <w:color w:val="FF0000"/>
                <w:sz w:val="21"/>
                <w:szCs w:val="21"/>
              </w:rPr>
            </w:pPr>
          </w:p>
        </w:tc>
        <w:tc>
          <w:tcPr>
            <w:tcW w:w="217" w:type="dxa"/>
          </w:tcPr>
          <w:p w14:paraId="0D93B92E" w14:textId="77777777" w:rsidR="002C0FD9" w:rsidRPr="00CA25CF" w:rsidRDefault="002C0FD9" w:rsidP="00CA25CF">
            <w:pPr>
              <w:rPr>
                <w:rFonts w:cs="Arial"/>
                <w:color w:val="FF0000"/>
                <w:sz w:val="21"/>
                <w:szCs w:val="21"/>
              </w:rPr>
            </w:pPr>
          </w:p>
        </w:tc>
        <w:tc>
          <w:tcPr>
            <w:tcW w:w="217" w:type="dxa"/>
          </w:tcPr>
          <w:p w14:paraId="7733C1B8" w14:textId="77777777" w:rsidR="002C0FD9" w:rsidRPr="00CA25CF" w:rsidRDefault="002C0FD9" w:rsidP="00CA25CF">
            <w:pPr>
              <w:rPr>
                <w:rFonts w:cs="Arial"/>
                <w:color w:val="FF0000"/>
                <w:sz w:val="21"/>
                <w:szCs w:val="21"/>
              </w:rPr>
            </w:pPr>
          </w:p>
        </w:tc>
        <w:tc>
          <w:tcPr>
            <w:tcW w:w="217" w:type="dxa"/>
          </w:tcPr>
          <w:p w14:paraId="179BAFE6" w14:textId="77777777" w:rsidR="002C0FD9" w:rsidRPr="00CA25CF" w:rsidRDefault="002C0FD9" w:rsidP="00CA25CF">
            <w:pPr>
              <w:rPr>
                <w:rFonts w:cs="Arial"/>
                <w:color w:val="FF0000"/>
                <w:sz w:val="21"/>
                <w:szCs w:val="21"/>
              </w:rPr>
            </w:pPr>
          </w:p>
        </w:tc>
        <w:tc>
          <w:tcPr>
            <w:tcW w:w="217" w:type="dxa"/>
          </w:tcPr>
          <w:p w14:paraId="4AB7CE5D" w14:textId="77777777" w:rsidR="002C0FD9" w:rsidRPr="00CA25CF" w:rsidRDefault="002C0FD9" w:rsidP="00CA25CF">
            <w:pPr>
              <w:rPr>
                <w:rFonts w:cs="Arial"/>
                <w:color w:val="FF0000"/>
                <w:sz w:val="21"/>
                <w:szCs w:val="21"/>
              </w:rPr>
            </w:pPr>
          </w:p>
        </w:tc>
        <w:tc>
          <w:tcPr>
            <w:tcW w:w="217" w:type="dxa"/>
          </w:tcPr>
          <w:p w14:paraId="0874AE64" w14:textId="77777777" w:rsidR="002C0FD9" w:rsidRPr="00CA25CF" w:rsidRDefault="002C0FD9" w:rsidP="00CA25CF">
            <w:pPr>
              <w:rPr>
                <w:rFonts w:cs="Arial"/>
                <w:color w:val="FF0000"/>
                <w:sz w:val="21"/>
                <w:szCs w:val="21"/>
              </w:rPr>
            </w:pPr>
          </w:p>
        </w:tc>
        <w:tc>
          <w:tcPr>
            <w:tcW w:w="217" w:type="dxa"/>
          </w:tcPr>
          <w:p w14:paraId="7F52D551" w14:textId="77777777" w:rsidR="002C0FD9" w:rsidRPr="00CA25CF" w:rsidRDefault="002C0FD9" w:rsidP="00CA25CF">
            <w:pPr>
              <w:rPr>
                <w:rFonts w:cs="Arial"/>
                <w:color w:val="FF0000"/>
                <w:sz w:val="21"/>
                <w:szCs w:val="21"/>
              </w:rPr>
            </w:pPr>
          </w:p>
        </w:tc>
        <w:tc>
          <w:tcPr>
            <w:tcW w:w="217" w:type="dxa"/>
          </w:tcPr>
          <w:p w14:paraId="27CE7DF6" w14:textId="77777777" w:rsidR="002C0FD9" w:rsidRPr="00CA25CF" w:rsidRDefault="002C0FD9" w:rsidP="00CA25CF">
            <w:pPr>
              <w:rPr>
                <w:rFonts w:cs="Arial"/>
                <w:color w:val="FF0000"/>
                <w:sz w:val="21"/>
                <w:szCs w:val="21"/>
              </w:rPr>
            </w:pPr>
          </w:p>
        </w:tc>
        <w:tc>
          <w:tcPr>
            <w:tcW w:w="217" w:type="dxa"/>
          </w:tcPr>
          <w:p w14:paraId="37C311AC" w14:textId="77777777" w:rsidR="002C0FD9" w:rsidRPr="00CA25CF" w:rsidRDefault="002C0FD9" w:rsidP="00CA25CF">
            <w:pPr>
              <w:rPr>
                <w:rFonts w:cs="Arial"/>
                <w:color w:val="FF0000"/>
                <w:sz w:val="21"/>
                <w:szCs w:val="21"/>
              </w:rPr>
            </w:pPr>
          </w:p>
        </w:tc>
        <w:tc>
          <w:tcPr>
            <w:tcW w:w="217" w:type="dxa"/>
          </w:tcPr>
          <w:p w14:paraId="5189BC04" w14:textId="77777777" w:rsidR="002C0FD9" w:rsidRPr="00CA25CF" w:rsidRDefault="002C0FD9" w:rsidP="00CA25CF">
            <w:pPr>
              <w:rPr>
                <w:rFonts w:cs="Arial"/>
                <w:color w:val="FF0000"/>
                <w:sz w:val="21"/>
                <w:szCs w:val="21"/>
              </w:rPr>
            </w:pPr>
          </w:p>
        </w:tc>
        <w:tc>
          <w:tcPr>
            <w:tcW w:w="217" w:type="dxa"/>
          </w:tcPr>
          <w:p w14:paraId="2BFEB8B3" w14:textId="77777777" w:rsidR="002C0FD9" w:rsidRPr="00CA25CF" w:rsidRDefault="002C0FD9" w:rsidP="00CA25CF">
            <w:pPr>
              <w:rPr>
                <w:rFonts w:cs="Arial"/>
                <w:color w:val="FF0000"/>
                <w:sz w:val="21"/>
                <w:szCs w:val="21"/>
              </w:rPr>
            </w:pPr>
          </w:p>
        </w:tc>
        <w:tc>
          <w:tcPr>
            <w:tcW w:w="217" w:type="dxa"/>
          </w:tcPr>
          <w:p w14:paraId="66007D4C" w14:textId="77777777" w:rsidR="002C0FD9" w:rsidRPr="00CA25CF" w:rsidRDefault="002C0FD9" w:rsidP="00CA25CF">
            <w:pPr>
              <w:rPr>
                <w:rFonts w:cs="Arial"/>
                <w:color w:val="FF0000"/>
                <w:sz w:val="21"/>
                <w:szCs w:val="21"/>
              </w:rPr>
            </w:pPr>
          </w:p>
        </w:tc>
        <w:tc>
          <w:tcPr>
            <w:tcW w:w="217" w:type="dxa"/>
          </w:tcPr>
          <w:p w14:paraId="3BD3B762" w14:textId="77777777" w:rsidR="002C0FD9" w:rsidRPr="00CA25CF" w:rsidRDefault="002C0FD9" w:rsidP="00CA25CF">
            <w:pPr>
              <w:rPr>
                <w:rFonts w:cs="Arial"/>
                <w:color w:val="FF0000"/>
                <w:sz w:val="21"/>
                <w:szCs w:val="21"/>
              </w:rPr>
            </w:pPr>
          </w:p>
        </w:tc>
        <w:tc>
          <w:tcPr>
            <w:tcW w:w="217" w:type="dxa"/>
          </w:tcPr>
          <w:p w14:paraId="442EFE39" w14:textId="77777777" w:rsidR="002C0FD9" w:rsidRPr="00CA25CF" w:rsidRDefault="002C0FD9" w:rsidP="00CA25CF">
            <w:pPr>
              <w:rPr>
                <w:rFonts w:cs="Arial"/>
                <w:color w:val="FF0000"/>
                <w:sz w:val="21"/>
                <w:szCs w:val="21"/>
              </w:rPr>
            </w:pPr>
          </w:p>
        </w:tc>
        <w:tc>
          <w:tcPr>
            <w:tcW w:w="217" w:type="dxa"/>
          </w:tcPr>
          <w:p w14:paraId="59DB9F75" w14:textId="77777777" w:rsidR="002C0FD9" w:rsidRPr="00CA25CF" w:rsidRDefault="002C0FD9" w:rsidP="00CA25CF">
            <w:pPr>
              <w:rPr>
                <w:rFonts w:cs="Arial"/>
                <w:color w:val="FF0000"/>
                <w:sz w:val="21"/>
                <w:szCs w:val="21"/>
              </w:rPr>
            </w:pPr>
          </w:p>
        </w:tc>
        <w:tc>
          <w:tcPr>
            <w:tcW w:w="217" w:type="dxa"/>
          </w:tcPr>
          <w:p w14:paraId="598121AC" w14:textId="77777777" w:rsidR="002C0FD9" w:rsidRPr="00CA25CF" w:rsidRDefault="002C0FD9" w:rsidP="00CA25CF">
            <w:pPr>
              <w:rPr>
                <w:rFonts w:cs="Arial"/>
                <w:color w:val="FF0000"/>
                <w:sz w:val="21"/>
                <w:szCs w:val="21"/>
              </w:rPr>
            </w:pPr>
          </w:p>
        </w:tc>
        <w:tc>
          <w:tcPr>
            <w:tcW w:w="217" w:type="dxa"/>
          </w:tcPr>
          <w:p w14:paraId="49F598FA" w14:textId="77777777" w:rsidR="002C0FD9" w:rsidRPr="00CA25CF" w:rsidRDefault="002C0FD9" w:rsidP="00CA25CF">
            <w:pPr>
              <w:rPr>
                <w:rFonts w:cs="Arial"/>
                <w:color w:val="FF0000"/>
                <w:sz w:val="21"/>
                <w:szCs w:val="21"/>
              </w:rPr>
            </w:pPr>
          </w:p>
        </w:tc>
        <w:tc>
          <w:tcPr>
            <w:tcW w:w="217" w:type="dxa"/>
          </w:tcPr>
          <w:p w14:paraId="6DFA9253" w14:textId="77777777" w:rsidR="002C0FD9" w:rsidRPr="00CA25CF" w:rsidRDefault="002C0FD9" w:rsidP="00CA25CF">
            <w:pPr>
              <w:rPr>
                <w:rFonts w:cs="Arial"/>
                <w:color w:val="FF0000"/>
                <w:sz w:val="21"/>
                <w:szCs w:val="21"/>
              </w:rPr>
            </w:pPr>
          </w:p>
        </w:tc>
        <w:tc>
          <w:tcPr>
            <w:tcW w:w="217" w:type="dxa"/>
          </w:tcPr>
          <w:p w14:paraId="40CC5C62" w14:textId="77777777" w:rsidR="002C0FD9" w:rsidRPr="00CA25CF" w:rsidRDefault="002C0FD9" w:rsidP="00CA25CF">
            <w:pPr>
              <w:rPr>
                <w:rFonts w:cs="Arial"/>
                <w:color w:val="FF0000"/>
                <w:sz w:val="21"/>
                <w:szCs w:val="21"/>
              </w:rPr>
            </w:pPr>
          </w:p>
        </w:tc>
        <w:tc>
          <w:tcPr>
            <w:tcW w:w="217" w:type="dxa"/>
          </w:tcPr>
          <w:p w14:paraId="7B00FA88" w14:textId="77777777" w:rsidR="002C0FD9" w:rsidRPr="00CA25CF" w:rsidRDefault="002C0FD9" w:rsidP="00CA25CF">
            <w:pPr>
              <w:rPr>
                <w:rFonts w:cs="Arial"/>
                <w:color w:val="FF0000"/>
                <w:sz w:val="21"/>
                <w:szCs w:val="21"/>
              </w:rPr>
            </w:pPr>
          </w:p>
        </w:tc>
        <w:tc>
          <w:tcPr>
            <w:tcW w:w="217" w:type="dxa"/>
          </w:tcPr>
          <w:p w14:paraId="6F9838ED" w14:textId="77777777" w:rsidR="002C0FD9" w:rsidRPr="00CA25CF" w:rsidRDefault="002C0FD9" w:rsidP="00CA25CF">
            <w:pPr>
              <w:rPr>
                <w:rFonts w:cs="Arial"/>
                <w:color w:val="FF0000"/>
                <w:sz w:val="21"/>
                <w:szCs w:val="21"/>
              </w:rPr>
            </w:pPr>
          </w:p>
        </w:tc>
        <w:tc>
          <w:tcPr>
            <w:tcW w:w="217" w:type="dxa"/>
          </w:tcPr>
          <w:p w14:paraId="3DCCD029" w14:textId="77777777" w:rsidR="002C0FD9" w:rsidRPr="00CA25CF" w:rsidRDefault="002C0FD9" w:rsidP="00CA25CF">
            <w:pPr>
              <w:rPr>
                <w:rFonts w:cs="Arial"/>
                <w:color w:val="FF0000"/>
                <w:sz w:val="21"/>
                <w:szCs w:val="21"/>
              </w:rPr>
            </w:pPr>
          </w:p>
        </w:tc>
        <w:tc>
          <w:tcPr>
            <w:tcW w:w="217" w:type="dxa"/>
          </w:tcPr>
          <w:p w14:paraId="755A9CAB" w14:textId="77777777" w:rsidR="002C0FD9" w:rsidRPr="00CA25CF" w:rsidRDefault="002C0FD9" w:rsidP="00CA25CF">
            <w:pPr>
              <w:rPr>
                <w:rFonts w:cs="Arial"/>
                <w:color w:val="FF0000"/>
                <w:sz w:val="21"/>
                <w:szCs w:val="21"/>
              </w:rPr>
            </w:pPr>
          </w:p>
        </w:tc>
        <w:tc>
          <w:tcPr>
            <w:tcW w:w="217" w:type="dxa"/>
          </w:tcPr>
          <w:p w14:paraId="30393BEA" w14:textId="77777777" w:rsidR="002C0FD9" w:rsidRPr="00CA25CF" w:rsidRDefault="002C0FD9" w:rsidP="00CA25CF">
            <w:pPr>
              <w:rPr>
                <w:rFonts w:cs="Arial"/>
                <w:color w:val="FF0000"/>
                <w:sz w:val="21"/>
                <w:szCs w:val="21"/>
              </w:rPr>
            </w:pPr>
          </w:p>
        </w:tc>
        <w:tc>
          <w:tcPr>
            <w:tcW w:w="217" w:type="dxa"/>
          </w:tcPr>
          <w:p w14:paraId="1EBC5A26" w14:textId="77777777" w:rsidR="002C0FD9" w:rsidRPr="00CA25CF" w:rsidRDefault="002C0FD9" w:rsidP="00CA25CF">
            <w:pPr>
              <w:rPr>
                <w:rFonts w:cs="Arial"/>
                <w:color w:val="FF0000"/>
                <w:sz w:val="21"/>
                <w:szCs w:val="21"/>
              </w:rPr>
            </w:pPr>
          </w:p>
        </w:tc>
        <w:tc>
          <w:tcPr>
            <w:tcW w:w="217" w:type="dxa"/>
          </w:tcPr>
          <w:p w14:paraId="3ADB2AFD" w14:textId="77777777" w:rsidR="002C0FD9" w:rsidRPr="00CA25CF" w:rsidRDefault="002C0FD9" w:rsidP="00CA25CF">
            <w:pPr>
              <w:rPr>
                <w:rFonts w:cs="Arial"/>
                <w:color w:val="FF0000"/>
                <w:sz w:val="21"/>
                <w:szCs w:val="21"/>
              </w:rPr>
            </w:pPr>
          </w:p>
        </w:tc>
        <w:tc>
          <w:tcPr>
            <w:tcW w:w="217" w:type="dxa"/>
          </w:tcPr>
          <w:p w14:paraId="050CF4D2" w14:textId="77777777" w:rsidR="002C0FD9" w:rsidRPr="00CA25CF" w:rsidRDefault="002C0FD9" w:rsidP="00CA25CF">
            <w:pPr>
              <w:rPr>
                <w:rFonts w:cs="Arial"/>
                <w:color w:val="FF0000"/>
                <w:sz w:val="21"/>
                <w:szCs w:val="21"/>
              </w:rPr>
            </w:pPr>
          </w:p>
        </w:tc>
        <w:tc>
          <w:tcPr>
            <w:tcW w:w="217" w:type="dxa"/>
          </w:tcPr>
          <w:p w14:paraId="5D18C5A6" w14:textId="77777777" w:rsidR="002C0FD9" w:rsidRPr="00CA25CF" w:rsidRDefault="002C0FD9" w:rsidP="00CA25CF">
            <w:pPr>
              <w:rPr>
                <w:rFonts w:cs="Arial"/>
                <w:color w:val="FF0000"/>
                <w:sz w:val="21"/>
                <w:szCs w:val="21"/>
              </w:rPr>
            </w:pPr>
          </w:p>
        </w:tc>
        <w:tc>
          <w:tcPr>
            <w:tcW w:w="217" w:type="dxa"/>
          </w:tcPr>
          <w:p w14:paraId="1A635556" w14:textId="77777777" w:rsidR="002C0FD9" w:rsidRPr="00CA25CF" w:rsidRDefault="002C0FD9" w:rsidP="00CA25CF">
            <w:pPr>
              <w:rPr>
                <w:rFonts w:cs="Arial"/>
                <w:color w:val="FF0000"/>
                <w:sz w:val="21"/>
                <w:szCs w:val="21"/>
              </w:rPr>
            </w:pPr>
          </w:p>
        </w:tc>
        <w:tc>
          <w:tcPr>
            <w:tcW w:w="217" w:type="dxa"/>
          </w:tcPr>
          <w:p w14:paraId="6FCD8A86" w14:textId="77777777" w:rsidR="002C0FD9" w:rsidRPr="00CA25CF" w:rsidRDefault="002C0FD9" w:rsidP="00CA25CF">
            <w:pPr>
              <w:rPr>
                <w:rFonts w:cs="Arial"/>
                <w:color w:val="FF0000"/>
                <w:sz w:val="21"/>
                <w:szCs w:val="21"/>
              </w:rPr>
            </w:pPr>
          </w:p>
        </w:tc>
      </w:tr>
      <w:tr w:rsidR="002C0FD9" w:rsidRPr="00A16219" w14:paraId="12FC7A97" w14:textId="77777777" w:rsidTr="002C0FD9">
        <w:trPr>
          <w:trHeight w:val="635"/>
        </w:trPr>
        <w:tc>
          <w:tcPr>
            <w:tcW w:w="515" w:type="dxa"/>
          </w:tcPr>
          <w:p w14:paraId="58DC36F9" w14:textId="77777777" w:rsidR="002C0FD9" w:rsidRPr="00CA25CF" w:rsidRDefault="002C0FD9" w:rsidP="00CA25CF">
            <w:pPr>
              <w:rPr>
                <w:rFonts w:cs="Arial"/>
                <w:color w:val="FF0000"/>
                <w:sz w:val="21"/>
                <w:szCs w:val="21"/>
              </w:rPr>
            </w:pPr>
          </w:p>
        </w:tc>
        <w:tc>
          <w:tcPr>
            <w:tcW w:w="217" w:type="dxa"/>
          </w:tcPr>
          <w:p w14:paraId="1335D4F6" w14:textId="77777777" w:rsidR="002C0FD9" w:rsidRPr="00CA25CF" w:rsidRDefault="002C0FD9" w:rsidP="00CA25CF">
            <w:pPr>
              <w:rPr>
                <w:rFonts w:cs="Arial"/>
                <w:color w:val="FF0000"/>
                <w:sz w:val="21"/>
                <w:szCs w:val="21"/>
              </w:rPr>
            </w:pPr>
          </w:p>
        </w:tc>
        <w:tc>
          <w:tcPr>
            <w:tcW w:w="217" w:type="dxa"/>
          </w:tcPr>
          <w:p w14:paraId="1337A76E" w14:textId="77777777" w:rsidR="002C0FD9" w:rsidRPr="00CA25CF" w:rsidRDefault="002C0FD9" w:rsidP="00CA25CF">
            <w:pPr>
              <w:rPr>
                <w:rFonts w:cs="Arial"/>
                <w:color w:val="FF0000"/>
                <w:sz w:val="21"/>
                <w:szCs w:val="21"/>
              </w:rPr>
            </w:pPr>
          </w:p>
        </w:tc>
        <w:tc>
          <w:tcPr>
            <w:tcW w:w="217" w:type="dxa"/>
          </w:tcPr>
          <w:p w14:paraId="591ED411" w14:textId="77777777" w:rsidR="002C0FD9" w:rsidRPr="00CA25CF" w:rsidRDefault="002C0FD9" w:rsidP="00CA25CF">
            <w:pPr>
              <w:rPr>
                <w:rFonts w:cs="Arial"/>
                <w:color w:val="FF0000"/>
                <w:sz w:val="21"/>
                <w:szCs w:val="21"/>
              </w:rPr>
            </w:pPr>
          </w:p>
        </w:tc>
        <w:tc>
          <w:tcPr>
            <w:tcW w:w="217" w:type="dxa"/>
          </w:tcPr>
          <w:p w14:paraId="0EBA775B" w14:textId="77777777" w:rsidR="002C0FD9" w:rsidRPr="00CA25CF" w:rsidRDefault="002C0FD9" w:rsidP="00CA25CF">
            <w:pPr>
              <w:rPr>
                <w:rFonts w:cs="Arial"/>
                <w:color w:val="FF0000"/>
                <w:sz w:val="21"/>
                <w:szCs w:val="21"/>
              </w:rPr>
            </w:pPr>
          </w:p>
        </w:tc>
        <w:tc>
          <w:tcPr>
            <w:tcW w:w="217" w:type="dxa"/>
          </w:tcPr>
          <w:p w14:paraId="2281961B" w14:textId="77777777" w:rsidR="002C0FD9" w:rsidRPr="00CA25CF" w:rsidRDefault="002C0FD9" w:rsidP="00CA25CF">
            <w:pPr>
              <w:rPr>
                <w:rFonts w:cs="Arial"/>
                <w:color w:val="FF0000"/>
                <w:sz w:val="21"/>
                <w:szCs w:val="21"/>
              </w:rPr>
            </w:pPr>
          </w:p>
        </w:tc>
        <w:tc>
          <w:tcPr>
            <w:tcW w:w="217" w:type="dxa"/>
          </w:tcPr>
          <w:p w14:paraId="60685E8D" w14:textId="77777777" w:rsidR="002C0FD9" w:rsidRPr="00CA25CF" w:rsidRDefault="002C0FD9" w:rsidP="00CA25CF">
            <w:pPr>
              <w:rPr>
                <w:rFonts w:cs="Arial"/>
                <w:color w:val="FF0000"/>
                <w:sz w:val="21"/>
                <w:szCs w:val="21"/>
              </w:rPr>
            </w:pPr>
          </w:p>
        </w:tc>
        <w:tc>
          <w:tcPr>
            <w:tcW w:w="217" w:type="dxa"/>
          </w:tcPr>
          <w:p w14:paraId="1F0031C6" w14:textId="77777777" w:rsidR="002C0FD9" w:rsidRPr="00CA25CF" w:rsidRDefault="002C0FD9" w:rsidP="00CA25CF">
            <w:pPr>
              <w:rPr>
                <w:rFonts w:cs="Arial"/>
                <w:color w:val="FF0000"/>
                <w:sz w:val="21"/>
                <w:szCs w:val="21"/>
              </w:rPr>
            </w:pPr>
          </w:p>
        </w:tc>
        <w:tc>
          <w:tcPr>
            <w:tcW w:w="217" w:type="dxa"/>
          </w:tcPr>
          <w:p w14:paraId="658237A5" w14:textId="77777777" w:rsidR="002C0FD9" w:rsidRPr="00CA25CF" w:rsidRDefault="002C0FD9" w:rsidP="00CA25CF">
            <w:pPr>
              <w:rPr>
                <w:rFonts w:cs="Arial"/>
                <w:color w:val="FF0000"/>
                <w:sz w:val="21"/>
                <w:szCs w:val="21"/>
              </w:rPr>
            </w:pPr>
          </w:p>
        </w:tc>
        <w:tc>
          <w:tcPr>
            <w:tcW w:w="217" w:type="dxa"/>
          </w:tcPr>
          <w:p w14:paraId="4F9D900E" w14:textId="77777777" w:rsidR="002C0FD9" w:rsidRPr="00CA25CF" w:rsidRDefault="002C0FD9" w:rsidP="00CA25CF">
            <w:pPr>
              <w:rPr>
                <w:rFonts w:cs="Arial"/>
                <w:color w:val="FF0000"/>
                <w:sz w:val="21"/>
                <w:szCs w:val="21"/>
              </w:rPr>
            </w:pPr>
          </w:p>
        </w:tc>
        <w:tc>
          <w:tcPr>
            <w:tcW w:w="217" w:type="dxa"/>
          </w:tcPr>
          <w:p w14:paraId="6AAC3E21" w14:textId="77777777" w:rsidR="002C0FD9" w:rsidRPr="00CA25CF" w:rsidRDefault="002C0FD9" w:rsidP="00CA25CF">
            <w:pPr>
              <w:rPr>
                <w:rFonts w:cs="Arial"/>
                <w:color w:val="FF0000"/>
                <w:sz w:val="21"/>
                <w:szCs w:val="21"/>
              </w:rPr>
            </w:pPr>
          </w:p>
        </w:tc>
        <w:tc>
          <w:tcPr>
            <w:tcW w:w="217" w:type="dxa"/>
          </w:tcPr>
          <w:p w14:paraId="6CD8580B" w14:textId="77777777" w:rsidR="002C0FD9" w:rsidRPr="00CA25CF" w:rsidRDefault="002C0FD9" w:rsidP="00CA25CF">
            <w:pPr>
              <w:rPr>
                <w:rFonts w:cs="Arial"/>
                <w:color w:val="FF0000"/>
                <w:sz w:val="21"/>
                <w:szCs w:val="21"/>
              </w:rPr>
            </w:pPr>
          </w:p>
        </w:tc>
        <w:tc>
          <w:tcPr>
            <w:tcW w:w="217" w:type="dxa"/>
          </w:tcPr>
          <w:p w14:paraId="42B698F4" w14:textId="77777777" w:rsidR="002C0FD9" w:rsidRPr="00CA25CF" w:rsidRDefault="002C0FD9" w:rsidP="00CA25CF">
            <w:pPr>
              <w:rPr>
                <w:rFonts w:cs="Arial"/>
                <w:color w:val="FF0000"/>
                <w:sz w:val="21"/>
                <w:szCs w:val="21"/>
              </w:rPr>
            </w:pPr>
          </w:p>
        </w:tc>
        <w:tc>
          <w:tcPr>
            <w:tcW w:w="217" w:type="dxa"/>
          </w:tcPr>
          <w:p w14:paraId="7216A553" w14:textId="77777777" w:rsidR="002C0FD9" w:rsidRPr="00CA25CF" w:rsidRDefault="002C0FD9" w:rsidP="00CA25CF">
            <w:pPr>
              <w:rPr>
                <w:rFonts w:cs="Arial"/>
                <w:color w:val="FF0000"/>
                <w:sz w:val="21"/>
                <w:szCs w:val="21"/>
              </w:rPr>
            </w:pPr>
          </w:p>
        </w:tc>
        <w:tc>
          <w:tcPr>
            <w:tcW w:w="217" w:type="dxa"/>
          </w:tcPr>
          <w:p w14:paraId="69D15570" w14:textId="77777777" w:rsidR="002C0FD9" w:rsidRPr="00CA25CF" w:rsidRDefault="002C0FD9" w:rsidP="00CA25CF">
            <w:pPr>
              <w:rPr>
                <w:rFonts w:cs="Arial"/>
                <w:color w:val="FF0000"/>
                <w:sz w:val="21"/>
                <w:szCs w:val="21"/>
              </w:rPr>
            </w:pPr>
          </w:p>
        </w:tc>
        <w:tc>
          <w:tcPr>
            <w:tcW w:w="217" w:type="dxa"/>
          </w:tcPr>
          <w:p w14:paraId="1EC7A64C" w14:textId="77777777" w:rsidR="002C0FD9" w:rsidRPr="00CA25CF" w:rsidRDefault="002C0FD9" w:rsidP="00CA25CF">
            <w:pPr>
              <w:rPr>
                <w:rFonts w:cs="Arial"/>
                <w:color w:val="FF0000"/>
                <w:sz w:val="21"/>
                <w:szCs w:val="21"/>
              </w:rPr>
            </w:pPr>
          </w:p>
        </w:tc>
        <w:tc>
          <w:tcPr>
            <w:tcW w:w="217" w:type="dxa"/>
          </w:tcPr>
          <w:p w14:paraId="6C4367B5" w14:textId="77777777" w:rsidR="002C0FD9" w:rsidRPr="00CA25CF" w:rsidRDefault="002C0FD9" w:rsidP="00CA25CF">
            <w:pPr>
              <w:rPr>
                <w:rFonts w:cs="Arial"/>
                <w:color w:val="FF0000"/>
                <w:sz w:val="21"/>
                <w:szCs w:val="21"/>
              </w:rPr>
            </w:pPr>
          </w:p>
        </w:tc>
        <w:tc>
          <w:tcPr>
            <w:tcW w:w="217" w:type="dxa"/>
          </w:tcPr>
          <w:p w14:paraId="70EE6A23" w14:textId="77777777" w:rsidR="002C0FD9" w:rsidRPr="00CA25CF" w:rsidRDefault="002C0FD9" w:rsidP="00CA25CF">
            <w:pPr>
              <w:rPr>
                <w:rFonts w:cs="Arial"/>
                <w:color w:val="FF0000"/>
                <w:sz w:val="21"/>
                <w:szCs w:val="21"/>
              </w:rPr>
            </w:pPr>
          </w:p>
        </w:tc>
        <w:tc>
          <w:tcPr>
            <w:tcW w:w="217" w:type="dxa"/>
          </w:tcPr>
          <w:p w14:paraId="056AA366" w14:textId="77777777" w:rsidR="002C0FD9" w:rsidRPr="00CA25CF" w:rsidRDefault="002C0FD9" w:rsidP="00CA25CF">
            <w:pPr>
              <w:rPr>
                <w:rFonts w:cs="Arial"/>
                <w:color w:val="FF0000"/>
                <w:sz w:val="21"/>
                <w:szCs w:val="21"/>
              </w:rPr>
            </w:pPr>
          </w:p>
        </w:tc>
        <w:tc>
          <w:tcPr>
            <w:tcW w:w="217" w:type="dxa"/>
          </w:tcPr>
          <w:p w14:paraId="670B3C12" w14:textId="77777777" w:rsidR="002C0FD9" w:rsidRPr="00CA25CF" w:rsidRDefault="002C0FD9" w:rsidP="00CA25CF">
            <w:pPr>
              <w:rPr>
                <w:rFonts w:cs="Arial"/>
                <w:color w:val="FF0000"/>
                <w:sz w:val="21"/>
                <w:szCs w:val="21"/>
              </w:rPr>
            </w:pPr>
          </w:p>
        </w:tc>
        <w:tc>
          <w:tcPr>
            <w:tcW w:w="217" w:type="dxa"/>
          </w:tcPr>
          <w:p w14:paraId="350C6B56" w14:textId="77777777" w:rsidR="002C0FD9" w:rsidRPr="00CA25CF" w:rsidRDefault="002C0FD9" w:rsidP="00CA25CF">
            <w:pPr>
              <w:rPr>
                <w:rFonts w:cs="Arial"/>
                <w:color w:val="FF0000"/>
                <w:sz w:val="21"/>
                <w:szCs w:val="21"/>
              </w:rPr>
            </w:pPr>
          </w:p>
        </w:tc>
        <w:tc>
          <w:tcPr>
            <w:tcW w:w="217" w:type="dxa"/>
          </w:tcPr>
          <w:p w14:paraId="387E9231" w14:textId="77777777" w:rsidR="002C0FD9" w:rsidRPr="00CA25CF" w:rsidRDefault="002C0FD9" w:rsidP="00CA25CF">
            <w:pPr>
              <w:rPr>
                <w:rFonts w:cs="Arial"/>
                <w:color w:val="FF0000"/>
                <w:sz w:val="21"/>
                <w:szCs w:val="21"/>
              </w:rPr>
            </w:pPr>
          </w:p>
        </w:tc>
        <w:tc>
          <w:tcPr>
            <w:tcW w:w="217" w:type="dxa"/>
          </w:tcPr>
          <w:p w14:paraId="6ABB345F" w14:textId="77777777" w:rsidR="002C0FD9" w:rsidRPr="00CA25CF" w:rsidRDefault="002C0FD9" w:rsidP="00CA25CF">
            <w:pPr>
              <w:rPr>
                <w:rFonts w:cs="Arial"/>
                <w:color w:val="FF0000"/>
                <w:sz w:val="21"/>
                <w:szCs w:val="21"/>
              </w:rPr>
            </w:pPr>
          </w:p>
        </w:tc>
        <w:tc>
          <w:tcPr>
            <w:tcW w:w="217" w:type="dxa"/>
          </w:tcPr>
          <w:p w14:paraId="2AD500CC" w14:textId="77777777" w:rsidR="002C0FD9" w:rsidRPr="00CA25CF" w:rsidRDefault="002C0FD9" w:rsidP="00CA25CF">
            <w:pPr>
              <w:rPr>
                <w:rFonts w:cs="Arial"/>
                <w:color w:val="FF0000"/>
                <w:sz w:val="21"/>
                <w:szCs w:val="21"/>
              </w:rPr>
            </w:pPr>
          </w:p>
        </w:tc>
        <w:tc>
          <w:tcPr>
            <w:tcW w:w="217" w:type="dxa"/>
          </w:tcPr>
          <w:p w14:paraId="488C553F" w14:textId="77777777" w:rsidR="002C0FD9" w:rsidRPr="00CA25CF" w:rsidRDefault="002C0FD9" w:rsidP="00CA25CF">
            <w:pPr>
              <w:rPr>
                <w:rFonts w:cs="Arial"/>
                <w:color w:val="FF0000"/>
                <w:sz w:val="21"/>
                <w:szCs w:val="21"/>
              </w:rPr>
            </w:pPr>
          </w:p>
        </w:tc>
        <w:tc>
          <w:tcPr>
            <w:tcW w:w="217" w:type="dxa"/>
          </w:tcPr>
          <w:p w14:paraId="4AAF2222" w14:textId="77777777" w:rsidR="002C0FD9" w:rsidRPr="00CA25CF" w:rsidRDefault="002C0FD9" w:rsidP="00CA25CF">
            <w:pPr>
              <w:rPr>
                <w:rFonts w:cs="Arial"/>
                <w:color w:val="FF0000"/>
                <w:sz w:val="21"/>
                <w:szCs w:val="21"/>
              </w:rPr>
            </w:pPr>
          </w:p>
        </w:tc>
        <w:tc>
          <w:tcPr>
            <w:tcW w:w="217" w:type="dxa"/>
          </w:tcPr>
          <w:p w14:paraId="3BBD60CC" w14:textId="77777777" w:rsidR="002C0FD9" w:rsidRPr="00CA25CF" w:rsidRDefault="002C0FD9" w:rsidP="00CA25CF">
            <w:pPr>
              <w:rPr>
                <w:rFonts w:cs="Arial"/>
                <w:color w:val="FF0000"/>
                <w:sz w:val="21"/>
                <w:szCs w:val="21"/>
              </w:rPr>
            </w:pPr>
          </w:p>
        </w:tc>
        <w:tc>
          <w:tcPr>
            <w:tcW w:w="217" w:type="dxa"/>
          </w:tcPr>
          <w:p w14:paraId="6B3741E8" w14:textId="77777777" w:rsidR="002C0FD9" w:rsidRPr="00CA25CF" w:rsidRDefault="002C0FD9" w:rsidP="00CA25CF">
            <w:pPr>
              <w:rPr>
                <w:rFonts w:cs="Arial"/>
                <w:color w:val="FF0000"/>
                <w:sz w:val="21"/>
                <w:szCs w:val="21"/>
              </w:rPr>
            </w:pPr>
          </w:p>
        </w:tc>
        <w:tc>
          <w:tcPr>
            <w:tcW w:w="217" w:type="dxa"/>
          </w:tcPr>
          <w:p w14:paraId="41E84C47" w14:textId="77777777" w:rsidR="002C0FD9" w:rsidRPr="00CA25CF" w:rsidRDefault="002C0FD9" w:rsidP="00CA25CF">
            <w:pPr>
              <w:rPr>
                <w:rFonts w:cs="Arial"/>
                <w:color w:val="FF0000"/>
                <w:sz w:val="21"/>
                <w:szCs w:val="21"/>
              </w:rPr>
            </w:pPr>
          </w:p>
        </w:tc>
        <w:tc>
          <w:tcPr>
            <w:tcW w:w="217" w:type="dxa"/>
          </w:tcPr>
          <w:p w14:paraId="07C32852" w14:textId="77777777" w:rsidR="002C0FD9" w:rsidRPr="00CA25CF" w:rsidRDefault="002C0FD9" w:rsidP="00CA25CF">
            <w:pPr>
              <w:rPr>
                <w:rFonts w:cs="Arial"/>
                <w:color w:val="FF0000"/>
                <w:sz w:val="21"/>
                <w:szCs w:val="21"/>
              </w:rPr>
            </w:pPr>
          </w:p>
        </w:tc>
        <w:tc>
          <w:tcPr>
            <w:tcW w:w="217" w:type="dxa"/>
          </w:tcPr>
          <w:p w14:paraId="64EE942C" w14:textId="77777777" w:rsidR="002C0FD9" w:rsidRPr="00CA25CF" w:rsidRDefault="002C0FD9" w:rsidP="00CA25CF">
            <w:pPr>
              <w:rPr>
                <w:rFonts w:cs="Arial"/>
                <w:color w:val="FF0000"/>
                <w:sz w:val="21"/>
                <w:szCs w:val="21"/>
              </w:rPr>
            </w:pPr>
          </w:p>
        </w:tc>
        <w:tc>
          <w:tcPr>
            <w:tcW w:w="217" w:type="dxa"/>
          </w:tcPr>
          <w:p w14:paraId="2FB759A4" w14:textId="77777777" w:rsidR="002C0FD9" w:rsidRPr="00CA25CF" w:rsidRDefault="002C0FD9" w:rsidP="00CA25CF">
            <w:pPr>
              <w:rPr>
                <w:rFonts w:cs="Arial"/>
                <w:color w:val="FF0000"/>
                <w:sz w:val="21"/>
                <w:szCs w:val="21"/>
              </w:rPr>
            </w:pPr>
          </w:p>
        </w:tc>
        <w:tc>
          <w:tcPr>
            <w:tcW w:w="217" w:type="dxa"/>
          </w:tcPr>
          <w:p w14:paraId="27F6B382" w14:textId="77777777" w:rsidR="002C0FD9" w:rsidRPr="00CA25CF" w:rsidRDefault="002C0FD9" w:rsidP="00CA25CF">
            <w:pPr>
              <w:rPr>
                <w:rFonts w:cs="Arial"/>
                <w:color w:val="FF0000"/>
                <w:sz w:val="21"/>
                <w:szCs w:val="21"/>
              </w:rPr>
            </w:pPr>
          </w:p>
        </w:tc>
        <w:tc>
          <w:tcPr>
            <w:tcW w:w="217" w:type="dxa"/>
          </w:tcPr>
          <w:p w14:paraId="3E514E47" w14:textId="77777777" w:rsidR="002C0FD9" w:rsidRPr="00CA25CF" w:rsidRDefault="002C0FD9" w:rsidP="00CA25CF">
            <w:pPr>
              <w:rPr>
                <w:rFonts w:cs="Arial"/>
                <w:color w:val="FF0000"/>
                <w:sz w:val="21"/>
                <w:szCs w:val="21"/>
              </w:rPr>
            </w:pPr>
          </w:p>
        </w:tc>
        <w:tc>
          <w:tcPr>
            <w:tcW w:w="217" w:type="dxa"/>
          </w:tcPr>
          <w:p w14:paraId="5034E1A5" w14:textId="77777777" w:rsidR="002C0FD9" w:rsidRPr="00CA25CF" w:rsidRDefault="002C0FD9" w:rsidP="00CA25CF">
            <w:pPr>
              <w:rPr>
                <w:rFonts w:cs="Arial"/>
                <w:color w:val="FF0000"/>
                <w:sz w:val="21"/>
                <w:szCs w:val="21"/>
              </w:rPr>
            </w:pPr>
          </w:p>
        </w:tc>
        <w:tc>
          <w:tcPr>
            <w:tcW w:w="217" w:type="dxa"/>
          </w:tcPr>
          <w:p w14:paraId="17C14758" w14:textId="77777777" w:rsidR="002C0FD9" w:rsidRPr="00CA25CF" w:rsidRDefault="002C0FD9" w:rsidP="00CA25CF">
            <w:pPr>
              <w:rPr>
                <w:rFonts w:cs="Arial"/>
                <w:color w:val="FF0000"/>
                <w:sz w:val="21"/>
                <w:szCs w:val="21"/>
              </w:rPr>
            </w:pPr>
          </w:p>
        </w:tc>
        <w:tc>
          <w:tcPr>
            <w:tcW w:w="217" w:type="dxa"/>
          </w:tcPr>
          <w:p w14:paraId="6CDAAA9F" w14:textId="77777777" w:rsidR="002C0FD9" w:rsidRPr="00CA25CF" w:rsidRDefault="002C0FD9" w:rsidP="00CA25CF">
            <w:pPr>
              <w:rPr>
                <w:rFonts w:cs="Arial"/>
                <w:color w:val="FF0000"/>
                <w:sz w:val="21"/>
                <w:szCs w:val="21"/>
              </w:rPr>
            </w:pPr>
          </w:p>
        </w:tc>
        <w:tc>
          <w:tcPr>
            <w:tcW w:w="217" w:type="dxa"/>
          </w:tcPr>
          <w:p w14:paraId="1BD083AF" w14:textId="77777777" w:rsidR="002C0FD9" w:rsidRPr="00CA25CF" w:rsidRDefault="002C0FD9" w:rsidP="00CA25CF">
            <w:pPr>
              <w:rPr>
                <w:rFonts w:cs="Arial"/>
                <w:color w:val="FF0000"/>
                <w:sz w:val="21"/>
                <w:szCs w:val="21"/>
              </w:rPr>
            </w:pPr>
          </w:p>
        </w:tc>
        <w:tc>
          <w:tcPr>
            <w:tcW w:w="217" w:type="dxa"/>
          </w:tcPr>
          <w:p w14:paraId="29589609" w14:textId="77777777" w:rsidR="002C0FD9" w:rsidRPr="00CA25CF" w:rsidRDefault="002C0FD9" w:rsidP="00CA25CF">
            <w:pPr>
              <w:rPr>
                <w:rFonts w:cs="Arial"/>
                <w:color w:val="FF0000"/>
                <w:sz w:val="21"/>
                <w:szCs w:val="21"/>
              </w:rPr>
            </w:pPr>
          </w:p>
        </w:tc>
        <w:tc>
          <w:tcPr>
            <w:tcW w:w="217" w:type="dxa"/>
          </w:tcPr>
          <w:p w14:paraId="4680995B" w14:textId="77777777" w:rsidR="002C0FD9" w:rsidRPr="00CA25CF" w:rsidRDefault="002C0FD9" w:rsidP="00CA25CF">
            <w:pPr>
              <w:rPr>
                <w:rFonts w:cs="Arial"/>
                <w:color w:val="FF0000"/>
                <w:sz w:val="21"/>
                <w:szCs w:val="21"/>
              </w:rPr>
            </w:pPr>
          </w:p>
        </w:tc>
        <w:tc>
          <w:tcPr>
            <w:tcW w:w="217" w:type="dxa"/>
          </w:tcPr>
          <w:p w14:paraId="4E8819D7" w14:textId="77777777" w:rsidR="002C0FD9" w:rsidRPr="00CA25CF" w:rsidRDefault="002C0FD9" w:rsidP="00CA25CF">
            <w:pPr>
              <w:rPr>
                <w:rFonts w:cs="Arial"/>
                <w:color w:val="FF0000"/>
                <w:sz w:val="21"/>
                <w:szCs w:val="21"/>
              </w:rPr>
            </w:pPr>
          </w:p>
        </w:tc>
        <w:tc>
          <w:tcPr>
            <w:tcW w:w="217" w:type="dxa"/>
          </w:tcPr>
          <w:p w14:paraId="56542884" w14:textId="77777777" w:rsidR="002C0FD9" w:rsidRPr="00CA25CF" w:rsidRDefault="002C0FD9" w:rsidP="00CA25CF">
            <w:pPr>
              <w:rPr>
                <w:rFonts w:cs="Arial"/>
                <w:color w:val="FF0000"/>
                <w:sz w:val="21"/>
                <w:szCs w:val="21"/>
              </w:rPr>
            </w:pPr>
          </w:p>
        </w:tc>
        <w:tc>
          <w:tcPr>
            <w:tcW w:w="217" w:type="dxa"/>
          </w:tcPr>
          <w:p w14:paraId="75A340DE" w14:textId="77777777" w:rsidR="002C0FD9" w:rsidRPr="00CA25CF" w:rsidRDefault="002C0FD9" w:rsidP="00CA25CF">
            <w:pPr>
              <w:rPr>
                <w:rFonts w:cs="Arial"/>
                <w:color w:val="FF0000"/>
                <w:sz w:val="21"/>
                <w:szCs w:val="21"/>
              </w:rPr>
            </w:pPr>
          </w:p>
        </w:tc>
      </w:tr>
      <w:tr w:rsidR="002C0FD9" w:rsidRPr="00A16219" w14:paraId="234C60D7" w14:textId="77777777" w:rsidTr="002C0FD9">
        <w:trPr>
          <w:trHeight w:val="635"/>
        </w:trPr>
        <w:tc>
          <w:tcPr>
            <w:tcW w:w="515" w:type="dxa"/>
          </w:tcPr>
          <w:p w14:paraId="7AF7A295" w14:textId="77777777" w:rsidR="002C0FD9" w:rsidRPr="00CA25CF" w:rsidRDefault="002C0FD9" w:rsidP="00CA25CF">
            <w:pPr>
              <w:rPr>
                <w:rFonts w:cs="Arial"/>
                <w:color w:val="FF0000"/>
                <w:sz w:val="21"/>
                <w:szCs w:val="21"/>
              </w:rPr>
            </w:pPr>
          </w:p>
        </w:tc>
        <w:tc>
          <w:tcPr>
            <w:tcW w:w="217" w:type="dxa"/>
          </w:tcPr>
          <w:p w14:paraId="09252305" w14:textId="77777777" w:rsidR="002C0FD9" w:rsidRPr="00CA25CF" w:rsidRDefault="002C0FD9" w:rsidP="00CA25CF">
            <w:pPr>
              <w:rPr>
                <w:rFonts w:cs="Arial"/>
                <w:color w:val="FF0000"/>
                <w:sz w:val="21"/>
                <w:szCs w:val="21"/>
              </w:rPr>
            </w:pPr>
          </w:p>
        </w:tc>
        <w:tc>
          <w:tcPr>
            <w:tcW w:w="217" w:type="dxa"/>
          </w:tcPr>
          <w:p w14:paraId="70BD3814" w14:textId="77777777" w:rsidR="002C0FD9" w:rsidRPr="00CA25CF" w:rsidRDefault="002C0FD9" w:rsidP="00CA25CF">
            <w:pPr>
              <w:rPr>
                <w:rFonts w:cs="Arial"/>
                <w:color w:val="FF0000"/>
                <w:sz w:val="21"/>
                <w:szCs w:val="21"/>
              </w:rPr>
            </w:pPr>
          </w:p>
        </w:tc>
        <w:tc>
          <w:tcPr>
            <w:tcW w:w="217" w:type="dxa"/>
          </w:tcPr>
          <w:p w14:paraId="261D3920" w14:textId="77777777" w:rsidR="002C0FD9" w:rsidRPr="00CA25CF" w:rsidRDefault="002C0FD9" w:rsidP="00CA25CF">
            <w:pPr>
              <w:rPr>
                <w:rFonts w:cs="Arial"/>
                <w:color w:val="FF0000"/>
                <w:sz w:val="21"/>
                <w:szCs w:val="21"/>
              </w:rPr>
            </w:pPr>
          </w:p>
        </w:tc>
        <w:tc>
          <w:tcPr>
            <w:tcW w:w="217" w:type="dxa"/>
          </w:tcPr>
          <w:p w14:paraId="4A253CA4" w14:textId="77777777" w:rsidR="002C0FD9" w:rsidRPr="00CA25CF" w:rsidRDefault="002C0FD9" w:rsidP="00CA25CF">
            <w:pPr>
              <w:rPr>
                <w:rFonts w:cs="Arial"/>
                <w:color w:val="FF0000"/>
                <w:sz w:val="21"/>
                <w:szCs w:val="21"/>
              </w:rPr>
            </w:pPr>
          </w:p>
        </w:tc>
        <w:tc>
          <w:tcPr>
            <w:tcW w:w="217" w:type="dxa"/>
          </w:tcPr>
          <w:p w14:paraId="11944C61" w14:textId="77777777" w:rsidR="002C0FD9" w:rsidRPr="00CA25CF" w:rsidRDefault="002C0FD9" w:rsidP="00CA25CF">
            <w:pPr>
              <w:rPr>
                <w:rFonts w:cs="Arial"/>
                <w:color w:val="FF0000"/>
                <w:sz w:val="21"/>
                <w:szCs w:val="21"/>
              </w:rPr>
            </w:pPr>
          </w:p>
        </w:tc>
        <w:tc>
          <w:tcPr>
            <w:tcW w:w="217" w:type="dxa"/>
          </w:tcPr>
          <w:p w14:paraId="0142CED4" w14:textId="77777777" w:rsidR="002C0FD9" w:rsidRPr="00CA25CF" w:rsidRDefault="002C0FD9" w:rsidP="00CA25CF">
            <w:pPr>
              <w:rPr>
                <w:rFonts w:cs="Arial"/>
                <w:color w:val="FF0000"/>
                <w:sz w:val="21"/>
                <w:szCs w:val="21"/>
              </w:rPr>
            </w:pPr>
          </w:p>
        </w:tc>
        <w:tc>
          <w:tcPr>
            <w:tcW w:w="217" w:type="dxa"/>
          </w:tcPr>
          <w:p w14:paraId="7B054738" w14:textId="77777777" w:rsidR="002C0FD9" w:rsidRPr="00CA25CF" w:rsidRDefault="002C0FD9" w:rsidP="00CA25CF">
            <w:pPr>
              <w:rPr>
                <w:rFonts w:cs="Arial"/>
                <w:color w:val="FF0000"/>
                <w:sz w:val="21"/>
                <w:szCs w:val="21"/>
              </w:rPr>
            </w:pPr>
          </w:p>
        </w:tc>
        <w:tc>
          <w:tcPr>
            <w:tcW w:w="217" w:type="dxa"/>
          </w:tcPr>
          <w:p w14:paraId="148A35FE" w14:textId="77777777" w:rsidR="002C0FD9" w:rsidRPr="00CA25CF" w:rsidRDefault="002C0FD9" w:rsidP="00CA25CF">
            <w:pPr>
              <w:rPr>
                <w:rFonts w:cs="Arial"/>
                <w:color w:val="FF0000"/>
                <w:sz w:val="21"/>
                <w:szCs w:val="21"/>
              </w:rPr>
            </w:pPr>
          </w:p>
        </w:tc>
        <w:tc>
          <w:tcPr>
            <w:tcW w:w="217" w:type="dxa"/>
          </w:tcPr>
          <w:p w14:paraId="15461FE0" w14:textId="77777777" w:rsidR="002C0FD9" w:rsidRPr="00CA25CF" w:rsidRDefault="002C0FD9" w:rsidP="00CA25CF">
            <w:pPr>
              <w:rPr>
                <w:rFonts w:cs="Arial"/>
                <w:color w:val="FF0000"/>
                <w:sz w:val="21"/>
                <w:szCs w:val="21"/>
              </w:rPr>
            </w:pPr>
          </w:p>
        </w:tc>
        <w:tc>
          <w:tcPr>
            <w:tcW w:w="217" w:type="dxa"/>
          </w:tcPr>
          <w:p w14:paraId="3E419C9B" w14:textId="77777777" w:rsidR="002C0FD9" w:rsidRPr="00CA25CF" w:rsidRDefault="002C0FD9" w:rsidP="00CA25CF">
            <w:pPr>
              <w:rPr>
                <w:rFonts w:cs="Arial"/>
                <w:color w:val="FF0000"/>
                <w:sz w:val="21"/>
                <w:szCs w:val="21"/>
              </w:rPr>
            </w:pPr>
          </w:p>
        </w:tc>
        <w:tc>
          <w:tcPr>
            <w:tcW w:w="217" w:type="dxa"/>
          </w:tcPr>
          <w:p w14:paraId="7621C40A" w14:textId="77777777" w:rsidR="002C0FD9" w:rsidRPr="00CA25CF" w:rsidRDefault="002C0FD9" w:rsidP="00CA25CF">
            <w:pPr>
              <w:rPr>
                <w:rFonts w:cs="Arial"/>
                <w:color w:val="FF0000"/>
                <w:sz w:val="21"/>
                <w:szCs w:val="21"/>
              </w:rPr>
            </w:pPr>
          </w:p>
        </w:tc>
        <w:tc>
          <w:tcPr>
            <w:tcW w:w="217" w:type="dxa"/>
          </w:tcPr>
          <w:p w14:paraId="086ABCC1" w14:textId="77777777" w:rsidR="002C0FD9" w:rsidRPr="00CA25CF" w:rsidRDefault="002C0FD9" w:rsidP="00CA25CF">
            <w:pPr>
              <w:rPr>
                <w:rFonts w:cs="Arial"/>
                <w:color w:val="FF0000"/>
                <w:sz w:val="21"/>
                <w:szCs w:val="21"/>
              </w:rPr>
            </w:pPr>
          </w:p>
        </w:tc>
        <w:tc>
          <w:tcPr>
            <w:tcW w:w="217" w:type="dxa"/>
          </w:tcPr>
          <w:p w14:paraId="01D7FB07" w14:textId="77777777" w:rsidR="002C0FD9" w:rsidRPr="00CA25CF" w:rsidRDefault="002C0FD9" w:rsidP="00CA25CF">
            <w:pPr>
              <w:rPr>
                <w:rFonts w:cs="Arial"/>
                <w:color w:val="FF0000"/>
                <w:sz w:val="21"/>
                <w:szCs w:val="21"/>
              </w:rPr>
            </w:pPr>
          </w:p>
        </w:tc>
        <w:tc>
          <w:tcPr>
            <w:tcW w:w="217" w:type="dxa"/>
          </w:tcPr>
          <w:p w14:paraId="55C5F6E3" w14:textId="77777777" w:rsidR="002C0FD9" w:rsidRPr="00CA25CF" w:rsidRDefault="002C0FD9" w:rsidP="00CA25CF">
            <w:pPr>
              <w:rPr>
                <w:rFonts w:cs="Arial"/>
                <w:color w:val="FF0000"/>
                <w:sz w:val="21"/>
                <w:szCs w:val="21"/>
              </w:rPr>
            </w:pPr>
          </w:p>
        </w:tc>
        <w:tc>
          <w:tcPr>
            <w:tcW w:w="217" w:type="dxa"/>
          </w:tcPr>
          <w:p w14:paraId="269D36EA" w14:textId="77777777" w:rsidR="002C0FD9" w:rsidRPr="00CA25CF" w:rsidRDefault="002C0FD9" w:rsidP="00CA25CF">
            <w:pPr>
              <w:rPr>
                <w:rFonts w:cs="Arial"/>
                <w:color w:val="FF0000"/>
                <w:sz w:val="21"/>
                <w:szCs w:val="21"/>
              </w:rPr>
            </w:pPr>
          </w:p>
        </w:tc>
        <w:tc>
          <w:tcPr>
            <w:tcW w:w="217" w:type="dxa"/>
          </w:tcPr>
          <w:p w14:paraId="78506E52" w14:textId="77777777" w:rsidR="002C0FD9" w:rsidRPr="00CA25CF" w:rsidRDefault="002C0FD9" w:rsidP="00CA25CF">
            <w:pPr>
              <w:rPr>
                <w:rFonts w:cs="Arial"/>
                <w:color w:val="FF0000"/>
                <w:sz w:val="21"/>
                <w:szCs w:val="21"/>
              </w:rPr>
            </w:pPr>
          </w:p>
        </w:tc>
        <w:tc>
          <w:tcPr>
            <w:tcW w:w="217" w:type="dxa"/>
          </w:tcPr>
          <w:p w14:paraId="40A52C49" w14:textId="77777777" w:rsidR="002C0FD9" w:rsidRPr="00CA25CF" w:rsidRDefault="002C0FD9" w:rsidP="00CA25CF">
            <w:pPr>
              <w:rPr>
                <w:rFonts w:cs="Arial"/>
                <w:color w:val="FF0000"/>
                <w:sz w:val="21"/>
                <w:szCs w:val="21"/>
              </w:rPr>
            </w:pPr>
          </w:p>
        </w:tc>
        <w:tc>
          <w:tcPr>
            <w:tcW w:w="217" w:type="dxa"/>
          </w:tcPr>
          <w:p w14:paraId="1BA0C6F6" w14:textId="77777777" w:rsidR="002C0FD9" w:rsidRPr="00CA25CF" w:rsidRDefault="002C0FD9" w:rsidP="00CA25CF">
            <w:pPr>
              <w:rPr>
                <w:rFonts w:cs="Arial"/>
                <w:color w:val="FF0000"/>
                <w:sz w:val="21"/>
                <w:szCs w:val="21"/>
              </w:rPr>
            </w:pPr>
          </w:p>
        </w:tc>
        <w:tc>
          <w:tcPr>
            <w:tcW w:w="217" w:type="dxa"/>
          </w:tcPr>
          <w:p w14:paraId="01FD8810" w14:textId="77777777" w:rsidR="002C0FD9" w:rsidRPr="00CA25CF" w:rsidRDefault="002C0FD9" w:rsidP="00CA25CF">
            <w:pPr>
              <w:rPr>
                <w:rFonts w:cs="Arial"/>
                <w:color w:val="FF0000"/>
                <w:sz w:val="21"/>
                <w:szCs w:val="21"/>
              </w:rPr>
            </w:pPr>
          </w:p>
        </w:tc>
        <w:tc>
          <w:tcPr>
            <w:tcW w:w="217" w:type="dxa"/>
          </w:tcPr>
          <w:p w14:paraId="7659863B" w14:textId="77777777" w:rsidR="002C0FD9" w:rsidRPr="00CA25CF" w:rsidRDefault="002C0FD9" w:rsidP="00CA25CF">
            <w:pPr>
              <w:rPr>
                <w:rFonts w:cs="Arial"/>
                <w:color w:val="FF0000"/>
                <w:sz w:val="21"/>
                <w:szCs w:val="21"/>
              </w:rPr>
            </w:pPr>
          </w:p>
        </w:tc>
        <w:tc>
          <w:tcPr>
            <w:tcW w:w="217" w:type="dxa"/>
          </w:tcPr>
          <w:p w14:paraId="637F7D05" w14:textId="77777777" w:rsidR="002C0FD9" w:rsidRPr="00CA25CF" w:rsidRDefault="002C0FD9" w:rsidP="00CA25CF">
            <w:pPr>
              <w:rPr>
                <w:rFonts w:cs="Arial"/>
                <w:color w:val="FF0000"/>
                <w:sz w:val="21"/>
                <w:szCs w:val="21"/>
              </w:rPr>
            </w:pPr>
          </w:p>
        </w:tc>
        <w:tc>
          <w:tcPr>
            <w:tcW w:w="217" w:type="dxa"/>
          </w:tcPr>
          <w:p w14:paraId="2CEC15B0" w14:textId="77777777" w:rsidR="002C0FD9" w:rsidRPr="00CA25CF" w:rsidRDefault="002C0FD9" w:rsidP="00CA25CF">
            <w:pPr>
              <w:rPr>
                <w:rFonts w:cs="Arial"/>
                <w:color w:val="FF0000"/>
                <w:sz w:val="21"/>
                <w:szCs w:val="21"/>
              </w:rPr>
            </w:pPr>
          </w:p>
        </w:tc>
        <w:tc>
          <w:tcPr>
            <w:tcW w:w="217" w:type="dxa"/>
          </w:tcPr>
          <w:p w14:paraId="7808D7DA" w14:textId="77777777" w:rsidR="002C0FD9" w:rsidRPr="00CA25CF" w:rsidRDefault="002C0FD9" w:rsidP="00CA25CF">
            <w:pPr>
              <w:rPr>
                <w:rFonts w:cs="Arial"/>
                <w:color w:val="FF0000"/>
                <w:sz w:val="21"/>
                <w:szCs w:val="21"/>
              </w:rPr>
            </w:pPr>
          </w:p>
        </w:tc>
        <w:tc>
          <w:tcPr>
            <w:tcW w:w="217" w:type="dxa"/>
          </w:tcPr>
          <w:p w14:paraId="064DBB03" w14:textId="77777777" w:rsidR="002C0FD9" w:rsidRPr="00CA25CF" w:rsidRDefault="002C0FD9" w:rsidP="00CA25CF">
            <w:pPr>
              <w:rPr>
                <w:rFonts w:cs="Arial"/>
                <w:color w:val="FF0000"/>
                <w:sz w:val="21"/>
                <w:szCs w:val="21"/>
              </w:rPr>
            </w:pPr>
          </w:p>
        </w:tc>
        <w:tc>
          <w:tcPr>
            <w:tcW w:w="217" w:type="dxa"/>
          </w:tcPr>
          <w:p w14:paraId="6F0C1C75" w14:textId="77777777" w:rsidR="002C0FD9" w:rsidRPr="00CA25CF" w:rsidRDefault="002C0FD9" w:rsidP="00CA25CF">
            <w:pPr>
              <w:rPr>
                <w:rFonts w:cs="Arial"/>
                <w:color w:val="FF0000"/>
                <w:sz w:val="21"/>
                <w:szCs w:val="21"/>
              </w:rPr>
            </w:pPr>
          </w:p>
        </w:tc>
        <w:tc>
          <w:tcPr>
            <w:tcW w:w="217" w:type="dxa"/>
          </w:tcPr>
          <w:p w14:paraId="3EACA173" w14:textId="77777777" w:rsidR="002C0FD9" w:rsidRPr="00CA25CF" w:rsidRDefault="002C0FD9" w:rsidP="00CA25CF">
            <w:pPr>
              <w:rPr>
                <w:rFonts w:cs="Arial"/>
                <w:color w:val="FF0000"/>
                <w:sz w:val="21"/>
                <w:szCs w:val="21"/>
              </w:rPr>
            </w:pPr>
          </w:p>
        </w:tc>
        <w:tc>
          <w:tcPr>
            <w:tcW w:w="217" w:type="dxa"/>
          </w:tcPr>
          <w:p w14:paraId="7FBA96A9" w14:textId="77777777" w:rsidR="002C0FD9" w:rsidRPr="00CA25CF" w:rsidRDefault="002C0FD9" w:rsidP="00CA25CF">
            <w:pPr>
              <w:rPr>
                <w:rFonts w:cs="Arial"/>
                <w:color w:val="FF0000"/>
                <w:sz w:val="21"/>
                <w:szCs w:val="21"/>
              </w:rPr>
            </w:pPr>
          </w:p>
        </w:tc>
        <w:tc>
          <w:tcPr>
            <w:tcW w:w="217" w:type="dxa"/>
          </w:tcPr>
          <w:p w14:paraId="3432C216" w14:textId="77777777" w:rsidR="002C0FD9" w:rsidRPr="00CA25CF" w:rsidRDefault="002C0FD9" w:rsidP="00CA25CF">
            <w:pPr>
              <w:rPr>
                <w:rFonts w:cs="Arial"/>
                <w:color w:val="FF0000"/>
                <w:sz w:val="21"/>
                <w:szCs w:val="21"/>
              </w:rPr>
            </w:pPr>
          </w:p>
        </w:tc>
        <w:tc>
          <w:tcPr>
            <w:tcW w:w="217" w:type="dxa"/>
          </w:tcPr>
          <w:p w14:paraId="1A4CA707" w14:textId="77777777" w:rsidR="002C0FD9" w:rsidRPr="00CA25CF" w:rsidRDefault="002C0FD9" w:rsidP="00CA25CF">
            <w:pPr>
              <w:rPr>
                <w:rFonts w:cs="Arial"/>
                <w:color w:val="FF0000"/>
                <w:sz w:val="21"/>
                <w:szCs w:val="21"/>
              </w:rPr>
            </w:pPr>
          </w:p>
        </w:tc>
        <w:tc>
          <w:tcPr>
            <w:tcW w:w="217" w:type="dxa"/>
          </w:tcPr>
          <w:p w14:paraId="09B073A4" w14:textId="77777777" w:rsidR="002C0FD9" w:rsidRPr="00CA25CF" w:rsidRDefault="002C0FD9" w:rsidP="00CA25CF">
            <w:pPr>
              <w:rPr>
                <w:rFonts w:cs="Arial"/>
                <w:color w:val="FF0000"/>
                <w:sz w:val="21"/>
                <w:szCs w:val="21"/>
              </w:rPr>
            </w:pPr>
          </w:p>
        </w:tc>
        <w:tc>
          <w:tcPr>
            <w:tcW w:w="217" w:type="dxa"/>
          </w:tcPr>
          <w:p w14:paraId="5151019D" w14:textId="77777777" w:rsidR="002C0FD9" w:rsidRPr="00CA25CF" w:rsidRDefault="002C0FD9" w:rsidP="00CA25CF">
            <w:pPr>
              <w:rPr>
                <w:rFonts w:cs="Arial"/>
                <w:color w:val="FF0000"/>
                <w:sz w:val="21"/>
                <w:szCs w:val="21"/>
              </w:rPr>
            </w:pPr>
          </w:p>
        </w:tc>
        <w:tc>
          <w:tcPr>
            <w:tcW w:w="217" w:type="dxa"/>
          </w:tcPr>
          <w:p w14:paraId="2BB7D63A" w14:textId="77777777" w:rsidR="002C0FD9" w:rsidRPr="00CA25CF" w:rsidRDefault="002C0FD9" w:rsidP="00CA25CF">
            <w:pPr>
              <w:rPr>
                <w:rFonts w:cs="Arial"/>
                <w:color w:val="FF0000"/>
                <w:sz w:val="21"/>
                <w:szCs w:val="21"/>
              </w:rPr>
            </w:pPr>
          </w:p>
        </w:tc>
        <w:tc>
          <w:tcPr>
            <w:tcW w:w="217" w:type="dxa"/>
          </w:tcPr>
          <w:p w14:paraId="46A24204" w14:textId="77777777" w:rsidR="002C0FD9" w:rsidRPr="00CA25CF" w:rsidRDefault="002C0FD9" w:rsidP="00CA25CF">
            <w:pPr>
              <w:rPr>
                <w:rFonts w:cs="Arial"/>
                <w:color w:val="FF0000"/>
                <w:sz w:val="21"/>
                <w:szCs w:val="21"/>
              </w:rPr>
            </w:pPr>
          </w:p>
        </w:tc>
        <w:tc>
          <w:tcPr>
            <w:tcW w:w="217" w:type="dxa"/>
          </w:tcPr>
          <w:p w14:paraId="59CB7037" w14:textId="77777777" w:rsidR="002C0FD9" w:rsidRPr="00CA25CF" w:rsidRDefault="002C0FD9" w:rsidP="00CA25CF">
            <w:pPr>
              <w:rPr>
                <w:rFonts w:cs="Arial"/>
                <w:color w:val="FF0000"/>
                <w:sz w:val="21"/>
                <w:szCs w:val="21"/>
              </w:rPr>
            </w:pPr>
          </w:p>
        </w:tc>
        <w:tc>
          <w:tcPr>
            <w:tcW w:w="217" w:type="dxa"/>
          </w:tcPr>
          <w:p w14:paraId="6C9CC2DF" w14:textId="77777777" w:rsidR="002C0FD9" w:rsidRPr="00CA25CF" w:rsidRDefault="002C0FD9" w:rsidP="00CA25CF">
            <w:pPr>
              <w:rPr>
                <w:rFonts w:cs="Arial"/>
                <w:color w:val="FF0000"/>
                <w:sz w:val="21"/>
                <w:szCs w:val="21"/>
              </w:rPr>
            </w:pPr>
          </w:p>
        </w:tc>
        <w:tc>
          <w:tcPr>
            <w:tcW w:w="217" w:type="dxa"/>
          </w:tcPr>
          <w:p w14:paraId="54ECDD7F" w14:textId="77777777" w:rsidR="002C0FD9" w:rsidRPr="00CA25CF" w:rsidRDefault="002C0FD9" w:rsidP="00CA25CF">
            <w:pPr>
              <w:rPr>
                <w:rFonts w:cs="Arial"/>
                <w:color w:val="FF0000"/>
                <w:sz w:val="21"/>
                <w:szCs w:val="21"/>
              </w:rPr>
            </w:pPr>
          </w:p>
        </w:tc>
        <w:tc>
          <w:tcPr>
            <w:tcW w:w="217" w:type="dxa"/>
          </w:tcPr>
          <w:p w14:paraId="1DFA2DFA" w14:textId="77777777" w:rsidR="002C0FD9" w:rsidRPr="00CA25CF" w:rsidRDefault="002C0FD9" w:rsidP="00CA25CF">
            <w:pPr>
              <w:rPr>
                <w:rFonts w:cs="Arial"/>
                <w:color w:val="FF0000"/>
                <w:sz w:val="21"/>
                <w:szCs w:val="21"/>
              </w:rPr>
            </w:pPr>
          </w:p>
        </w:tc>
        <w:tc>
          <w:tcPr>
            <w:tcW w:w="217" w:type="dxa"/>
          </w:tcPr>
          <w:p w14:paraId="21C28552" w14:textId="77777777" w:rsidR="002C0FD9" w:rsidRPr="00CA25CF" w:rsidRDefault="002C0FD9" w:rsidP="00CA25CF">
            <w:pPr>
              <w:rPr>
                <w:rFonts w:cs="Arial"/>
                <w:color w:val="FF0000"/>
                <w:sz w:val="21"/>
                <w:szCs w:val="21"/>
              </w:rPr>
            </w:pPr>
          </w:p>
        </w:tc>
        <w:tc>
          <w:tcPr>
            <w:tcW w:w="217" w:type="dxa"/>
          </w:tcPr>
          <w:p w14:paraId="3E8168CA" w14:textId="77777777" w:rsidR="002C0FD9" w:rsidRPr="00CA25CF" w:rsidRDefault="002C0FD9" w:rsidP="00CA25CF">
            <w:pPr>
              <w:rPr>
                <w:rFonts w:cs="Arial"/>
                <w:color w:val="FF0000"/>
                <w:sz w:val="21"/>
                <w:szCs w:val="21"/>
              </w:rPr>
            </w:pPr>
          </w:p>
        </w:tc>
        <w:tc>
          <w:tcPr>
            <w:tcW w:w="217" w:type="dxa"/>
          </w:tcPr>
          <w:p w14:paraId="059DEA99" w14:textId="77777777" w:rsidR="002C0FD9" w:rsidRPr="00CA25CF" w:rsidRDefault="002C0FD9" w:rsidP="00CA25CF">
            <w:pPr>
              <w:rPr>
                <w:rFonts w:cs="Arial"/>
                <w:color w:val="FF0000"/>
                <w:sz w:val="21"/>
                <w:szCs w:val="21"/>
              </w:rPr>
            </w:pPr>
          </w:p>
        </w:tc>
        <w:tc>
          <w:tcPr>
            <w:tcW w:w="217" w:type="dxa"/>
          </w:tcPr>
          <w:p w14:paraId="163DA190" w14:textId="77777777" w:rsidR="002C0FD9" w:rsidRPr="00CA25CF" w:rsidRDefault="002C0FD9" w:rsidP="00CA25CF">
            <w:pPr>
              <w:rPr>
                <w:rFonts w:cs="Arial"/>
                <w:color w:val="FF0000"/>
                <w:sz w:val="21"/>
                <w:szCs w:val="21"/>
              </w:rPr>
            </w:pPr>
          </w:p>
        </w:tc>
        <w:tc>
          <w:tcPr>
            <w:tcW w:w="217" w:type="dxa"/>
          </w:tcPr>
          <w:p w14:paraId="556BCAB5" w14:textId="77777777" w:rsidR="002C0FD9" w:rsidRPr="00CA25CF" w:rsidRDefault="002C0FD9" w:rsidP="00CA25CF">
            <w:pPr>
              <w:rPr>
                <w:rFonts w:cs="Arial"/>
                <w:color w:val="FF0000"/>
                <w:sz w:val="21"/>
                <w:szCs w:val="21"/>
              </w:rPr>
            </w:pPr>
          </w:p>
        </w:tc>
      </w:tr>
      <w:tr w:rsidR="002C0FD9" w:rsidRPr="00A16219" w14:paraId="1212B2F1" w14:textId="77777777" w:rsidTr="002C0FD9">
        <w:trPr>
          <w:trHeight w:val="635"/>
        </w:trPr>
        <w:tc>
          <w:tcPr>
            <w:tcW w:w="515" w:type="dxa"/>
          </w:tcPr>
          <w:p w14:paraId="442BDED6" w14:textId="77777777" w:rsidR="002C0FD9" w:rsidRPr="00CA25CF" w:rsidRDefault="002C0FD9" w:rsidP="00CA25CF">
            <w:pPr>
              <w:rPr>
                <w:rFonts w:cs="Arial"/>
                <w:color w:val="FF0000"/>
                <w:sz w:val="21"/>
                <w:szCs w:val="21"/>
              </w:rPr>
            </w:pPr>
          </w:p>
        </w:tc>
        <w:tc>
          <w:tcPr>
            <w:tcW w:w="217" w:type="dxa"/>
          </w:tcPr>
          <w:p w14:paraId="6210A390" w14:textId="77777777" w:rsidR="002C0FD9" w:rsidRPr="00CA25CF" w:rsidRDefault="002C0FD9" w:rsidP="00CA25CF">
            <w:pPr>
              <w:rPr>
                <w:rFonts w:cs="Arial"/>
                <w:color w:val="FF0000"/>
                <w:sz w:val="21"/>
                <w:szCs w:val="21"/>
              </w:rPr>
            </w:pPr>
          </w:p>
        </w:tc>
        <w:tc>
          <w:tcPr>
            <w:tcW w:w="217" w:type="dxa"/>
          </w:tcPr>
          <w:p w14:paraId="335FB3C3" w14:textId="77777777" w:rsidR="002C0FD9" w:rsidRPr="00CA25CF" w:rsidRDefault="002C0FD9" w:rsidP="00CA25CF">
            <w:pPr>
              <w:rPr>
                <w:rFonts w:cs="Arial"/>
                <w:color w:val="FF0000"/>
                <w:sz w:val="21"/>
                <w:szCs w:val="21"/>
              </w:rPr>
            </w:pPr>
          </w:p>
        </w:tc>
        <w:tc>
          <w:tcPr>
            <w:tcW w:w="217" w:type="dxa"/>
          </w:tcPr>
          <w:p w14:paraId="7980219E" w14:textId="77777777" w:rsidR="002C0FD9" w:rsidRPr="00CA25CF" w:rsidRDefault="002C0FD9" w:rsidP="00CA25CF">
            <w:pPr>
              <w:rPr>
                <w:rFonts w:cs="Arial"/>
                <w:color w:val="FF0000"/>
                <w:sz w:val="21"/>
                <w:szCs w:val="21"/>
              </w:rPr>
            </w:pPr>
          </w:p>
        </w:tc>
        <w:tc>
          <w:tcPr>
            <w:tcW w:w="217" w:type="dxa"/>
          </w:tcPr>
          <w:p w14:paraId="4396AC2D" w14:textId="77777777" w:rsidR="002C0FD9" w:rsidRPr="00CA25CF" w:rsidRDefault="002C0FD9" w:rsidP="00CA25CF">
            <w:pPr>
              <w:rPr>
                <w:rFonts w:cs="Arial"/>
                <w:color w:val="FF0000"/>
                <w:sz w:val="21"/>
                <w:szCs w:val="21"/>
              </w:rPr>
            </w:pPr>
          </w:p>
        </w:tc>
        <w:tc>
          <w:tcPr>
            <w:tcW w:w="217" w:type="dxa"/>
          </w:tcPr>
          <w:p w14:paraId="065804E8" w14:textId="77777777" w:rsidR="002C0FD9" w:rsidRPr="00CA25CF" w:rsidRDefault="002C0FD9" w:rsidP="00CA25CF">
            <w:pPr>
              <w:rPr>
                <w:rFonts w:cs="Arial"/>
                <w:color w:val="FF0000"/>
                <w:sz w:val="21"/>
                <w:szCs w:val="21"/>
              </w:rPr>
            </w:pPr>
          </w:p>
        </w:tc>
        <w:tc>
          <w:tcPr>
            <w:tcW w:w="217" w:type="dxa"/>
          </w:tcPr>
          <w:p w14:paraId="79C0E17D" w14:textId="77777777" w:rsidR="002C0FD9" w:rsidRPr="00CA25CF" w:rsidRDefault="002C0FD9" w:rsidP="00CA25CF">
            <w:pPr>
              <w:rPr>
                <w:rFonts w:cs="Arial"/>
                <w:color w:val="FF0000"/>
                <w:sz w:val="21"/>
                <w:szCs w:val="21"/>
              </w:rPr>
            </w:pPr>
          </w:p>
        </w:tc>
        <w:tc>
          <w:tcPr>
            <w:tcW w:w="217" w:type="dxa"/>
          </w:tcPr>
          <w:p w14:paraId="779774DD" w14:textId="77777777" w:rsidR="002C0FD9" w:rsidRPr="00CA25CF" w:rsidRDefault="002C0FD9" w:rsidP="00CA25CF">
            <w:pPr>
              <w:rPr>
                <w:rFonts w:cs="Arial"/>
                <w:color w:val="FF0000"/>
                <w:sz w:val="21"/>
                <w:szCs w:val="21"/>
              </w:rPr>
            </w:pPr>
          </w:p>
        </w:tc>
        <w:tc>
          <w:tcPr>
            <w:tcW w:w="217" w:type="dxa"/>
          </w:tcPr>
          <w:p w14:paraId="086B3740" w14:textId="77777777" w:rsidR="002C0FD9" w:rsidRPr="00CA25CF" w:rsidRDefault="002C0FD9" w:rsidP="00CA25CF">
            <w:pPr>
              <w:rPr>
                <w:rFonts w:cs="Arial"/>
                <w:color w:val="FF0000"/>
                <w:sz w:val="21"/>
                <w:szCs w:val="21"/>
              </w:rPr>
            </w:pPr>
          </w:p>
        </w:tc>
        <w:tc>
          <w:tcPr>
            <w:tcW w:w="217" w:type="dxa"/>
          </w:tcPr>
          <w:p w14:paraId="14335A8F" w14:textId="77777777" w:rsidR="002C0FD9" w:rsidRPr="00CA25CF" w:rsidRDefault="002C0FD9" w:rsidP="00CA25CF">
            <w:pPr>
              <w:rPr>
                <w:rFonts w:cs="Arial"/>
                <w:color w:val="FF0000"/>
                <w:sz w:val="21"/>
                <w:szCs w:val="21"/>
              </w:rPr>
            </w:pPr>
          </w:p>
        </w:tc>
        <w:tc>
          <w:tcPr>
            <w:tcW w:w="217" w:type="dxa"/>
          </w:tcPr>
          <w:p w14:paraId="1125DE4B" w14:textId="77777777" w:rsidR="002C0FD9" w:rsidRPr="00CA25CF" w:rsidRDefault="002C0FD9" w:rsidP="00CA25CF">
            <w:pPr>
              <w:rPr>
                <w:rFonts w:cs="Arial"/>
                <w:color w:val="FF0000"/>
                <w:sz w:val="21"/>
                <w:szCs w:val="21"/>
              </w:rPr>
            </w:pPr>
          </w:p>
        </w:tc>
        <w:tc>
          <w:tcPr>
            <w:tcW w:w="217" w:type="dxa"/>
          </w:tcPr>
          <w:p w14:paraId="74CD9B84" w14:textId="77777777" w:rsidR="002C0FD9" w:rsidRPr="00CA25CF" w:rsidRDefault="002C0FD9" w:rsidP="00CA25CF">
            <w:pPr>
              <w:rPr>
                <w:rFonts w:cs="Arial"/>
                <w:color w:val="FF0000"/>
                <w:sz w:val="21"/>
                <w:szCs w:val="21"/>
              </w:rPr>
            </w:pPr>
          </w:p>
        </w:tc>
        <w:tc>
          <w:tcPr>
            <w:tcW w:w="217" w:type="dxa"/>
          </w:tcPr>
          <w:p w14:paraId="0ED4009B" w14:textId="77777777" w:rsidR="002C0FD9" w:rsidRPr="00CA25CF" w:rsidRDefault="002C0FD9" w:rsidP="00CA25CF">
            <w:pPr>
              <w:rPr>
                <w:rFonts w:cs="Arial"/>
                <w:color w:val="FF0000"/>
                <w:sz w:val="21"/>
                <w:szCs w:val="21"/>
              </w:rPr>
            </w:pPr>
          </w:p>
        </w:tc>
        <w:tc>
          <w:tcPr>
            <w:tcW w:w="217" w:type="dxa"/>
          </w:tcPr>
          <w:p w14:paraId="7627F221" w14:textId="77777777" w:rsidR="002C0FD9" w:rsidRPr="00CA25CF" w:rsidRDefault="002C0FD9" w:rsidP="00CA25CF">
            <w:pPr>
              <w:rPr>
                <w:rFonts w:cs="Arial"/>
                <w:color w:val="FF0000"/>
                <w:sz w:val="21"/>
                <w:szCs w:val="21"/>
              </w:rPr>
            </w:pPr>
          </w:p>
        </w:tc>
        <w:tc>
          <w:tcPr>
            <w:tcW w:w="217" w:type="dxa"/>
          </w:tcPr>
          <w:p w14:paraId="7580C230" w14:textId="77777777" w:rsidR="002C0FD9" w:rsidRPr="00CA25CF" w:rsidRDefault="002C0FD9" w:rsidP="00CA25CF">
            <w:pPr>
              <w:rPr>
                <w:rFonts w:cs="Arial"/>
                <w:color w:val="FF0000"/>
                <w:sz w:val="21"/>
                <w:szCs w:val="21"/>
              </w:rPr>
            </w:pPr>
          </w:p>
        </w:tc>
        <w:tc>
          <w:tcPr>
            <w:tcW w:w="217" w:type="dxa"/>
          </w:tcPr>
          <w:p w14:paraId="67A6A259" w14:textId="77777777" w:rsidR="002C0FD9" w:rsidRPr="00CA25CF" w:rsidRDefault="002C0FD9" w:rsidP="00CA25CF">
            <w:pPr>
              <w:rPr>
                <w:rFonts w:cs="Arial"/>
                <w:color w:val="FF0000"/>
                <w:sz w:val="21"/>
                <w:szCs w:val="21"/>
              </w:rPr>
            </w:pPr>
          </w:p>
        </w:tc>
        <w:tc>
          <w:tcPr>
            <w:tcW w:w="217" w:type="dxa"/>
          </w:tcPr>
          <w:p w14:paraId="7EAF145C" w14:textId="77777777" w:rsidR="002C0FD9" w:rsidRPr="00CA25CF" w:rsidRDefault="002C0FD9" w:rsidP="00CA25CF">
            <w:pPr>
              <w:rPr>
                <w:rFonts w:cs="Arial"/>
                <w:color w:val="FF0000"/>
                <w:sz w:val="21"/>
                <w:szCs w:val="21"/>
              </w:rPr>
            </w:pPr>
          </w:p>
        </w:tc>
        <w:tc>
          <w:tcPr>
            <w:tcW w:w="217" w:type="dxa"/>
          </w:tcPr>
          <w:p w14:paraId="1DACFA12" w14:textId="77777777" w:rsidR="002C0FD9" w:rsidRPr="00CA25CF" w:rsidRDefault="002C0FD9" w:rsidP="00CA25CF">
            <w:pPr>
              <w:rPr>
                <w:rFonts w:cs="Arial"/>
                <w:color w:val="FF0000"/>
                <w:sz w:val="21"/>
                <w:szCs w:val="21"/>
              </w:rPr>
            </w:pPr>
          </w:p>
        </w:tc>
        <w:tc>
          <w:tcPr>
            <w:tcW w:w="217" w:type="dxa"/>
          </w:tcPr>
          <w:p w14:paraId="1002468E" w14:textId="77777777" w:rsidR="002C0FD9" w:rsidRPr="00CA25CF" w:rsidRDefault="002C0FD9" w:rsidP="00CA25CF">
            <w:pPr>
              <w:rPr>
                <w:rFonts w:cs="Arial"/>
                <w:color w:val="FF0000"/>
                <w:sz w:val="21"/>
                <w:szCs w:val="21"/>
              </w:rPr>
            </w:pPr>
          </w:p>
        </w:tc>
        <w:tc>
          <w:tcPr>
            <w:tcW w:w="217" w:type="dxa"/>
          </w:tcPr>
          <w:p w14:paraId="42596A09" w14:textId="77777777" w:rsidR="002C0FD9" w:rsidRPr="00CA25CF" w:rsidRDefault="002C0FD9" w:rsidP="00CA25CF">
            <w:pPr>
              <w:rPr>
                <w:rFonts w:cs="Arial"/>
                <w:color w:val="FF0000"/>
                <w:sz w:val="21"/>
                <w:szCs w:val="21"/>
              </w:rPr>
            </w:pPr>
          </w:p>
        </w:tc>
        <w:tc>
          <w:tcPr>
            <w:tcW w:w="217" w:type="dxa"/>
          </w:tcPr>
          <w:p w14:paraId="7B45BACD" w14:textId="77777777" w:rsidR="002C0FD9" w:rsidRPr="00CA25CF" w:rsidRDefault="002C0FD9" w:rsidP="00CA25CF">
            <w:pPr>
              <w:rPr>
                <w:rFonts w:cs="Arial"/>
                <w:color w:val="FF0000"/>
                <w:sz w:val="21"/>
                <w:szCs w:val="21"/>
              </w:rPr>
            </w:pPr>
          </w:p>
        </w:tc>
        <w:tc>
          <w:tcPr>
            <w:tcW w:w="217" w:type="dxa"/>
          </w:tcPr>
          <w:p w14:paraId="3D1C3B04" w14:textId="77777777" w:rsidR="002C0FD9" w:rsidRPr="00CA25CF" w:rsidRDefault="002C0FD9" w:rsidP="00CA25CF">
            <w:pPr>
              <w:rPr>
                <w:rFonts w:cs="Arial"/>
                <w:color w:val="FF0000"/>
                <w:sz w:val="21"/>
                <w:szCs w:val="21"/>
              </w:rPr>
            </w:pPr>
          </w:p>
        </w:tc>
        <w:tc>
          <w:tcPr>
            <w:tcW w:w="217" w:type="dxa"/>
          </w:tcPr>
          <w:p w14:paraId="7F10DB8C" w14:textId="77777777" w:rsidR="002C0FD9" w:rsidRPr="00CA25CF" w:rsidRDefault="002C0FD9" w:rsidP="00CA25CF">
            <w:pPr>
              <w:rPr>
                <w:rFonts w:cs="Arial"/>
                <w:color w:val="FF0000"/>
                <w:sz w:val="21"/>
                <w:szCs w:val="21"/>
              </w:rPr>
            </w:pPr>
          </w:p>
        </w:tc>
        <w:tc>
          <w:tcPr>
            <w:tcW w:w="217" w:type="dxa"/>
          </w:tcPr>
          <w:p w14:paraId="44C3748F" w14:textId="77777777" w:rsidR="002C0FD9" w:rsidRPr="00CA25CF" w:rsidRDefault="002C0FD9" w:rsidP="00CA25CF">
            <w:pPr>
              <w:rPr>
                <w:rFonts w:cs="Arial"/>
                <w:color w:val="FF0000"/>
                <w:sz w:val="21"/>
                <w:szCs w:val="21"/>
              </w:rPr>
            </w:pPr>
          </w:p>
        </w:tc>
        <w:tc>
          <w:tcPr>
            <w:tcW w:w="217" w:type="dxa"/>
          </w:tcPr>
          <w:p w14:paraId="195B5E9B" w14:textId="77777777" w:rsidR="002C0FD9" w:rsidRPr="00CA25CF" w:rsidRDefault="002C0FD9" w:rsidP="00CA25CF">
            <w:pPr>
              <w:rPr>
                <w:rFonts w:cs="Arial"/>
                <w:color w:val="FF0000"/>
                <w:sz w:val="21"/>
                <w:szCs w:val="21"/>
              </w:rPr>
            </w:pPr>
          </w:p>
        </w:tc>
        <w:tc>
          <w:tcPr>
            <w:tcW w:w="217" w:type="dxa"/>
          </w:tcPr>
          <w:p w14:paraId="61490CD0" w14:textId="77777777" w:rsidR="002C0FD9" w:rsidRPr="00CA25CF" w:rsidRDefault="002C0FD9" w:rsidP="00CA25CF">
            <w:pPr>
              <w:rPr>
                <w:rFonts w:cs="Arial"/>
                <w:color w:val="FF0000"/>
                <w:sz w:val="21"/>
                <w:szCs w:val="21"/>
              </w:rPr>
            </w:pPr>
          </w:p>
        </w:tc>
        <w:tc>
          <w:tcPr>
            <w:tcW w:w="217" w:type="dxa"/>
          </w:tcPr>
          <w:p w14:paraId="4A7D83B8" w14:textId="77777777" w:rsidR="002C0FD9" w:rsidRPr="00CA25CF" w:rsidRDefault="002C0FD9" w:rsidP="00CA25CF">
            <w:pPr>
              <w:rPr>
                <w:rFonts w:cs="Arial"/>
                <w:color w:val="FF0000"/>
                <w:sz w:val="21"/>
                <w:szCs w:val="21"/>
              </w:rPr>
            </w:pPr>
          </w:p>
        </w:tc>
        <w:tc>
          <w:tcPr>
            <w:tcW w:w="217" w:type="dxa"/>
          </w:tcPr>
          <w:p w14:paraId="4C3302DC" w14:textId="77777777" w:rsidR="002C0FD9" w:rsidRPr="00CA25CF" w:rsidRDefault="002C0FD9" w:rsidP="00CA25CF">
            <w:pPr>
              <w:rPr>
                <w:rFonts w:cs="Arial"/>
                <w:color w:val="FF0000"/>
                <w:sz w:val="21"/>
                <w:szCs w:val="21"/>
              </w:rPr>
            </w:pPr>
          </w:p>
        </w:tc>
        <w:tc>
          <w:tcPr>
            <w:tcW w:w="217" w:type="dxa"/>
          </w:tcPr>
          <w:p w14:paraId="5C0183AB" w14:textId="77777777" w:rsidR="002C0FD9" w:rsidRPr="00CA25CF" w:rsidRDefault="002C0FD9" w:rsidP="00CA25CF">
            <w:pPr>
              <w:rPr>
                <w:rFonts w:cs="Arial"/>
                <w:color w:val="FF0000"/>
                <w:sz w:val="21"/>
                <w:szCs w:val="21"/>
              </w:rPr>
            </w:pPr>
          </w:p>
        </w:tc>
        <w:tc>
          <w:tcPr>
            <w:tcW w:w="217" w:type="dxa"/>
          </w:tcPr>
          <w:p w14:paraId="4125177B" w14:textId="77777777" w:rsidR="002C0FD9" w:rsidRPr="00CA25CF" w:rsidRDefault="002C0FD9" w:rsidP="00CA25CF">
            <w:pPr>
              <w:rPr>
                <w:rFonts w:cs="Arial"/>
                <w:color w:val="FF0000"/>
                <w:sz w:val="21"/>
                <w:szCs w:val="21"/>
              </w:rPr>
            </w:pPr>
          </w:p>
        </w:tc>
        <w:tc>
          <w:tcPr>
            <w:tcW w:w="217" w:type="dxa"/>
          </w:tcPr>
          <w:p w14:paraId="470293CA" w14:textId="77777777" w:rsidR="002C0FD9" w:rsidRPr="00CA25CF" w:rsidRDefault="002C0FD9" w:rsidP="00CA25CF">
            <w:pPr>
              <w:rPr>
                <w:rFonts w:cs="Arial"/>
                <w:color w:val="FF0000"/>
                <w:sz w:val="21"/>
                <w:szCs w:val="21"/>
              </w:rPr>
            </w:pPr>
          </w:p>
        </w:tc>
        <w:tc>
          <w:tcPr>
            <w:tcW w:w="217" w:type="dxa"/>
          </w:tcPr>
          <w:p w14:paraId="48EC7882" w14:textId="77777777" w:rsidR="002C0FD9" w:rsidRPr="00CA25CF" w:rsidRDefault="002C0FD9" w:rsidP="00CA25CF">
            <w:pPr>
              <w:rPr>
                <w:rFonts w:cs="Arial"/>
                <w:color w:val="FF0000"/>
                <w:sz w:val="21"/>
                <w:szCs w:val="21"/>
              </w:rPr>
            </w:pPr>
          </w:p>
        </w:tc>
        <w:tc>
          <w:tcPr>
            <w:tcW w:w="217" w:type="dxa"/>
          </w:tcPr>
          <w:p w14:paraId="32D8020C" w14:textId="77777777" w:rsidR="002C0FD9" w:rsidRPr="00CA25CF" w:rsidRDefault="002C0FD9" w:rsidP="00CA25CF">
            <w:pPr>
              <w:rPr>
                <w:rFonts w:cs="Arial"/>
                <w:color w:val="FF0000"/>
                <w:sz w:val="21"/>
                <w:szCs w:val="21"/>
              </w:rPr>
            </w:pPr>
          </w:p>
        </w:tc>
        <w:tc>
          <w:tcPr>
            <w:tcW w:w="217" w:type="dxa"/>
          </w:tcPr>
          <w:p w14:paraId="23D352A3" w14:textId="77777777" w:rsidR="002C0FD9" w:rsidRPr="00CA25CF" w:rsidRDefault="002C0FD9" w:rsidP="00CA25CF">
            <w:pPr>
              <w:rPr>
                <w:rFonts w:cs="Arial"/>
                <w:color w:val="FF0000"/>
                <w:sz w:val="21"/>
                <w:szCs w:val="21"/>
              </w:rPr>
            </w:pPr>
          </w:p>
        </w:tc>
        <w:tc>
          <w:tcPr>
            <w:tcW w:w="217" w:type="dxa"/>
          </w:tcPr>
          <w:p w14:paraId="7D160D9B" w14:textId="77777777" w:rsidR="002C0FD9" w:rsidRPr="00CA25CF" w:rsidRDefault="002C0FD9" w:rsidP="00CA25CF">
            <w:pPr>
              <w:rPr>
                <w:rFonts w:cs="Arial"/>
                <w:color w:val="FF0000"/>
                <w:sz w:val="21"/>
                <w:szCs w:val="21"/>
              </w:rPr>
            </w:pPr>
          </w:p>
        </w:tc>
        <w:tc>
          <w:tcPr>
            <w:tcW w:w="217" w:type="dxa"/>
          </w:tcPr>
          <w:p w14:paraId="5214DDB5" w14:textId="77777777" w:rsidR="002C0FD9" w:rsidRPr="00CA25CF" w:rsidRDefault="002C0FD9" w:rsidP="00CA25CF">
            <w:pPr>
              <w:rPr>
                <w:rFonts w:cs="Arial"/>
                <w:color w:val="FF0000"/>
                <w:sz w:val="21"/>
                <w:szCs w:val="21"/>
              </w:rPr>
            </w:pPr>
          </w:p>
        </w:tc>
        <w:tc>
          <w:tcPr>
            <w:tcW w:w="217" w:type="dxa"/>
          </w:tcPr>
          <w:p w14:paraId="058A3FE6" w14:textId="77777777" w:rsidR="002C0FD9" w:rsidRPr="00CA25CF" w:rsidRDefault="002C0FD9" w:rsidP="00CA25CF">
            <w:pPr>
              <w:rPr>
                <w:rFonts w:cs="Arial"/>
                <w:color w:val="FF0000"/>
                <w:sz w:val="21"/>
                <w:szCs w:val="21"/>
              </w:rPr>
            </w:pPr>
          </w:p>
        </w:tc>
        <w:tc>
          <w:tcPr>
            <w:tcW w:w="217" w:type="dxa"/>
          </w:tcPr>
          <w:p w14:paraId="23C2178C" w14:textId="77777777" w:rsidR="002C0FD9" w:rsidRPr="00CA25CF" w:rsidRDefault="002C0FD9" w:rsidP="00CA25CF">
            <w:pPr>
              <w:rPr>
                <w:rFonts w:cs="Arial"/>
                <w:color w:val="FF0000"/>
                <w:sz w:val="21"/>
                <w:szCs w:val="21"/>
              </w:rPr>
            </w:pPr>
          </w:p>
        </w:tc>
        <w:tc>
          <w:tcPr>
            <w:tcW w:w="217" w:type="dxa"/>
          </w:tcPr>
          <w:p w14:paraId="680E2A27" w14:textId="77777777" w:rsidR="002C0FD9" w:rsidRPr="00CA25CF" w:rsidRDefault="002C0FD9" w:rsidP="00CA25CF">
            <w:pPr>
              <w:rPr>
                <w:rFonts w:cs="Arial"/>
                <w:color w:val="FF0000"/>
                <w:sz w:val="21"/>
                <w:szCs w:val="21"/>
              </w:rPr>
            </w:pPr>
          </w:p>
        </w:tc>
        <w:tc>
          <w:tcPr>
            <w:tcW w:w="217" w:type="dxa"/>
          </w:tcPr>
          <w:p w14:paraId="02740146" w14:textId="77777777" w:rsidR="002C0FD9" w:rsidRPr="00CA25CF" w:rsidRDefault="002C0FD9" w:rsidP="00CA25CF">
            <w:pPr>
              <w:rPr>
                <w:rFonts w:cs="Arial"/>
                <w:color w:val="FF0000"/>
                <w:sz w:val="21"/>
                <w:szCs w:val="21"/>
              </w:rPr>
            </w:pPr>
          </w:p>
        </w:tc>
        <w:tc>
          <w:tcPr>
            <w:tcW w:w="217" w:type="dxa"/>
          </w:tcPr>
          <w:p w14:paraId="37618B82" w14:textId="77777777" w:rsidR="002C0FD9" w:rsidRPr="00CA25CF" w:rsidRDefault="002C0FD9" w:rsidP="00CA25CF">
            <w:pPr>
              <w:rPr>
                <w:rFonts w:cs="Arial"/>
                <w:color w:val="FF0000"/>
                <w:sz w:val="21"/>
                <w:szCs w:val="21"/>
              </w:rPr>
            </w:pPr>
          </w:p>
        </w:tc>
        <w:tc>
          <w:tcPr>
            <w:tcW w:w="217" w:type="dxa"/>
          </w:tcPr>
          <w:p w14:paraId="3431D318" w14:textId="77777777" w:rsidR="002C0FD9" w:rsidRPr="00CA25CF" w:rsidRDefault="002C0FD9" w:rsidP="00CA25CF">
            <w:pPr>
              <w:rPr>
                <w:rFonts w:cs="Arial"/>
                <w:color w:val="FF0000"/>
                <w:sz w:val="21"/>
                <w:szCs w:val="21"/>
              </w:rPr>
            </w:pPr>
          </w:p>
        </w:tc>
        <w:tc>
          <w:tcPr>
            <w:tcW w:w="217" w:type="dxa"/>
          </w:tcPr>
          <w:p w14:paraId="767C1A87" w14:textId="77777777" w:rsidR="002C0FD9" w:rsidRPr="00CA25CF" w:rsidRDefault="002C0FD9" w:rsidP="00CA25CF">
            <w:pPr>
              <w:rPr>
                <w:rFonts w:cs="Arial"/>
                <w:color w:val="FF0000"/>
                <w:sz w:val="21"/>
                <w:szCs w:val="21"/>
              </w:rPr>
            </w:pPr>
          </w:p>
        </w:tc>
      </w:tr>
      <w:tr w:rsidR="002C0FD9" w:rsidRPr="00A16219" w14:paraId="3915C9B3" w14:textId="77777777" w:rsidTr="002C0FD9">
        <w:trPr>
          <w:trHeight w:val="635"/>
        </w:trPr>
        <w:tc>
          <w:tcPr>
            <w:tcW w:w="515" w:type="dxa"/>
          </w:tcPr>
          <w:p w14:paraId="726791CD" w14:textId="77777777" w:rsidR="002C0FD9" w:rsidRPr="00CA25CF" w:rsidRDefault="002C0FD9" w:rsidP="00CA25CF">
            <w:pPr>
              <w:rPr>
                <w:rFonts w:cs="Arial"/>
                <w:color w:val="FF0000"/>
                <w:sz w:val="21"/>
                <w:szCs w:val="21"/>
              </w:rPr>
            </w:pPr>
          </w:p>
        </w:tc>
        <w:tc>
          <w:tcPr>
            <w:tcW w:w="217" w:type="dxa"/>
          </w:tcPr>
          <w:p w14:paraId="0A5165E7" w14:textId="77777777" w:rsidR="002C0FD9" w:rsidRPr="00CA25CF" w:rsidRDefault="002C0FD9" w:rsidP="00CA25CF">
            <w:pPr>
              <w:rPr>
                <w:rFonts w:cs="Arial"/>
                <w:color w:val="FF0000"/>
                <w:sz w:val="21"/>
                <w:szCs w:val="21"/>
              </w:rPr>
            </w:pPr>
          </w:p>
        </w:tc>
        <w:tc>
          <w:tcPr>
            <w:tcW w:w="217" w:type="dxa"/>
          </w:tcPr>
          <w:p w14:paraId="6FBF0F21" w14:textId="77777777" w:rsidR="002C0FD9" w:rsidRPr="00CA25CF" w:rsidRDefault="002C0FD9" w:rsidP="00CA25CF">
            <w:pPr>
              <w:rPr>
                <w:rFonts w:cs="Arial"/>
                <w:color w:val="FF0000"/>
                <w:sz w:val="21"/>
                <w:szCs w:val="21"/>
              </w:rPr>
            </w:pPr>
          </w:p>
        </w:tc>
        <w:tc>
          <w:tcPr>
            <w:tcW w:w="217" w:type="dxa"/>
          </w:tcPr>
          <w:p w14:paraId="0FB45862" w14:textId="77777777" w:rsidR="002C0FD9" w:rsidRPr="00CA25CF" w:rsidRDefault="002C0FD9" w:rsidP="00CA25CF">
            <w:pPr>
              <w:rPr>
                <w:rFonts w:cs="Arial"/>
                <w:color w:val="FF0000"/>
                <w:sz w:val="21"/>
                <w:szCs w:val="21"/>
              </w:rPr>
            </w:pPr>
          </w:p>
        </w:tc>
        <w:tc>
          <w:tcPr>
            <w:tcW w:w="217" w:type="dxa"/>
          </w:tcPr>
          <w:p w14:paraId="14AF5097" w14:textId="77777777" w:rsidR="002C0FD9" w:rsidRPr="00CA25CF" w:rsidRDefault="002C0FD9" w:rsidP="00CA25CF">
            <w:pPr>
              <w:rPr>
                <w:rFonts w:cs="Arial"/>
                <w:color w:val="FF0000"/>
                <w:sz w:val="21"/>
                <w:szCs w:val="21"/>
              </w:rPr>
            </w:pPr>
          </w:p>
        </w:tc>
        <w:tc>
          <w:tcPr>
            <w:tcW w:w="217" w:type="dxa"/>
          </w:tcPr>
          <w:p w14:paraId="24B3720C" w14:textId="77777777" w:rsidR="002C0FD9" w:rsidRPr="00CA25CF" w:rsidRDefault="002C0FD9" w:rsidP="00CA25CF">
            <w:pPr>
              <w:rPr>
                <w:rFonts w:cs="Arial"/>
                <w:color w:val="FF0000"/>
                <w:sz w:val="21"/>
                <w:szCs w:val="21"/>
              </w:rPr>
            </w:pPr>
          </w:p>
        </w:tc>
        <w:tc>
          <w:tcPr>
            <w:tcW w:w="217" w:type="dxa"/>
          </w:tcPr>
          <w:p w14:paraId="132AEAE3" w14:textId="77777777" w:rsidR="002C0FD9" w:rsidRPr="00CA25CF" w:rsidRDefault="002C0FD9" w:rsidP="00CA25CF">
            <w:pPr>
              <w:rPr>
                <w:rFonts w:cs="Arial"/>
                <w:color w:val="FF0000"/>
                <w:sz w:val="21"/>
                <w:szCs w:val="21"/>
              </w:rPr>
            </w:pPr>
          </w:p>
        </w:tc>
        <w:tc>
          <w:tcPr>
            <w:tcW w:w="217" w:type="dxa"/>
          </w:tcPr>
          <w:p w14:paraId="7081C69A" w14:textId="77777777" w:rsidR="002C0FD9" w:rsidRPr="00CA25CF" w:rsidRDefault="002C0FD9" w:rsidP="00CA25CF">
            <w:pPr>
              <w:rPr>
                <w:rFonts w:cs="Arial"/>
                <w:color w:val="FF0000"/>
                <w:sz w:val="21"/>
                <w:szCs w:val="21"/>
              </w:rPr>
            </w:pPr>
          </w:p>
        </w:tc>
        <w:tc>
          <w:tcPr>
            <w:tcW w:w="217" w:type="dxa"/>
          </w:tcPr>
          <w:p w14:paraId="3DACEE5E" w14:textId="77777777" w:rsidR="002C0FD9" w:rsidRPr="00CA25CF" w:rsidRDefault="002C0FD9" w:rsidP="00CA25CF">
            <w:pPr>
              <w:rPr>
                <w:rFonts w:cs="Arial"/>
                <w:color w:val="FF0000"/>
                <w:sz w:val="21"/>
                <w:szCs w:val="21"/>
              </w:rPr>
            </w:pPr>
          </w:p>
        </w:tc>
        <w:tc>
          <w:tcPr>
            <w:tcW w:w="217" w:type="dxa"/>
          </w:tcPr>
          <w:p w14:paraId="2E415FB2" w14:textId="77777777" w:rsidR="002C0FD9" w:rsidRPr="00CA25CF" w:rsidRDefault="002C0FD9" w:rsidP="00CA25CF">
            <w:pPr>
              <w:rPr>
                <w:rFonts w:cs="Arial"/>
                <w:color w:val="FF0000"/>
                <w:sz w:val="21"/>
                <w:szCs w:val="21"/>
              </w:rPr>
            </w:pPr>
          </w:p>
        </w:tc>
        <w:tc>
          <w:tcPr>
            <w:tcW w:w="217" w:type="dxa"/>
          </w:tcPr>
          <w:p w14:paraId="1D00F773" w14:textId="77777777" w:rsidR="002C0FD9" w:rsidRPr="00CA25CF" w:rsidRDefault="002C0FD9" w:rsidP="00CA25CF">
            <w:pPr>
              <w:rPr>
                <w:rFonts w:cs="Arial"/>
                <w:color w:val="FF0000"/>
                <w:sz w:val="21"/>
                <w:szCs w:val="21"/>
              </w:rPr>
            </w:pPr>
          </w:p>
        </w:tc>
        <w:tc>
          <w:tcPr>
            <w:tcW w:w="217" w:type="dxa"/>
          </w:tcPr>
          <w:p w14:paraId="4921AAB4" w14:textId="77777777" w:rsidR="002C0FD9" w:rsidRPr="00CA25CF" w:rsidRDefault="002C0FD9" w:rsidP="00CA25CF">
            <w:pPr>
              <w:rPr>
                <w:rFonts w:cs="Arial"/>
                <w:color w:val="FF0000"/>
                <w:sz w:val="21"/>
                <w:szCs w:val="21"/>
              </w:rPr>
            </w:pPr>
          </w:p>
        </w:tc>
        <w:tc>
          <w:tcPr>
            <w:tcW w:w="217" w:type="dxa"/>
          </w:tcPr>
          <w:p w14:paraId="2B9E9083" w14:textId="77777777" w:rsidR="002C0FD9" w:rsidRPr="00CA25CF" w:rsidRDefault="002C0FD9" w:rsidP="00CA25CF">
            <w:pPr>
              <w:rPr>
                <w:rFonts w:cs="Arial"/>
                <w:color w:val="FF0000"/>
                <w:sz w:val="21"/>
                <w:szCs w:val="21"/>
              </w:rPr>
            </w:pPr>
          </w:p>
        </w:tc>
        <w:tc>
          <w:tcPr>
            <w:tcW w:w="217" w:type="dxa"/>
          </w:tcPr>
          <w:p w14:paraId="7D1AB240" w14:textId="77777777" w:rsidR="002C0FD9" w:rsidRPr="00CA25CF" w:rsidRDefault="002C0FD9" w:rsidP="00CA25CF">
            <w:pPr>
              <w:rPr>
                <w:rFonts w:cs="Arial"/>
                <w:color w:val="FF0000"/>
                <w:sz w:val="21"/>
                <w:szCs w:val="21"/>
              </w:rPr>
            </w:pPr>
          </w:p>
        </w:tc>
        <w:tc>
          <w:tcPr>
            <w:tcW w:w="217" w:type="dxa"/>
          </w:tcPr>
          <w:p w14:paraId="04353817" w14:textId="77777777" w:rsidR="002C0FD9" w:rsidRPr="00CA25CF" w:rsidRDefault="002C0FD9" w:rsidP="00CA25CF">
            <w:pPr>
              <w:rPr>
                <w:rFonts w:cs="Arial"/>
                <w:color w:val="FF0000"/>
                <w:sz w:val="21"/>
                <w:szCs w:val="21"/>
              </w:rPr>
            </w:pPr>
          </w:p>
        </w:tc>
        <w:tc>
          <w:tcPr>
            <w:tcW w:w="217" w:type="dxa"/>
          </w:tcPr>
          <w:p w14:paraId="08B580FB" w14:textId="77777777" w:rsidR="002C0FD9" w:rsidRPr="00CA25CF" w:rsidRDefault="002C0FD9" w:rsidP="00CA25CF">
            <w:pPr>
              <w:rPr>
                <w:rFonts w:cs="Arial"/>
                <w:color w:val="FF0000"/>
                <w:sz w:val="21"/>
                <w:szCs w:val="21"/>
              </w:rPr>
            </w:pPr>
          </w:p>
        </w:tc>
        <w:tc>
          <w:tcPr>
            <w:tcW w:w="217" w:type="dxa"/>
          </w:tcPr>
          <w:p w14:paraId="3621E09F" w14:textId="77777777" w:rsidR="002C0FD9" w:rsidRPr="00CA25CF" w:rsidRDefault="002C0FD9" w:rsidP="00CA25CF">
            <w:pPr>
              <w:rPr>
                <w:rFonts w:cs="Arial"/>
                <w:color w:val="FF0000"/>
                <w:sz w:val="21"/>
                <w:szCs w:val="21"/>
              </w:rPr>
            </w:pPr>
          </w:p>
        </w:tc>
        <w:tc>
          <w:tcPr>
            <w:tcW w:w="217" w:type="dxa"/>
          </w:tcPr>
          <w:p w14:paraId="4CB2F985" w14:textId="77777777" w:rsidR="002C0FD9" w:rsidRPr="00CA25CF" w:rsidRDefault="002C0FD9" w:rsidP="00CA25CF">
            <w:pPr>
              <w:rPr>
                <w:rFonts w:cs="Arial"/>
                <w:color w:val="FF0000"/>
                <w:sz w:val="21"/>
                <w:szCs w:val="21"/>
              </w:rPr>
            </w:pPr>
          </w:p>
        </w:tc>
        <w:tc>
          <w:tcPr>
            <w:tcW w:w="217" w:type="dxa"/>
          </w:tcPr>
          <w:p w14:paraId="091B4148" w14:textId="77777777" w:rsidR="002C0FD9" w:rsidRPr="00CA25CF" w:rsidRDefault="002C0FD9" w:rsidP="00CA25CF">
            <w:pPr>
              <w:rPr>
                <w:rFonts w:cs="Arial"/>
                <w:color w:val="FF0000"/>
                <w:sz w:val="21"/>
                <w:szCs w:val="21"/>
              </w:rPr>
            </w:pPr>
          </w:p>
        </w:tc>
        <w:tc>
          <w:tcPr>
            <w:tcW w:w="217" w:type="dxa"/>
          </w:tcPr>
          <w:p w14:paraId="75A41216" w14:textId="77777777" w:rsidR="002C0FD9" w:rsidRPr="00CA25CF" w:rsidRDefault="002C0FD9" w:rsidP="00CA25CF">
            <w:pPr>
              <w:rPr>
                <w:rFonts w:cs="Arial"/>
                <w:color w:val="FF0000"/>
                <w:sz w:val="21"/>
                <w:szCs w:val="21"/>
              </w:rPr>
            </w:pPr>
          </w:p>
        </w:tc>
        <w:tc>
          <w:tcPr>
            <w:tcW w:w="217" w:type="dxa"/>
          </w:tcPr>
          <w:p w14:paraId="3256D945" w14:textId="77777777" w:rsidR="002C0FD9" w:rsidRPr="00CA25CF" w:rsidRDefault="002C0FD9" w:rsidP="00CA25CF">
            <w:pPr>
              <w:rPr>
                <w:rFonts w:cs="Arial"/>
                <w:color w:val="FF0000"/>
                <w:sz w:val="21"/>
                <w:szCs w:val="21"/>
              </w:rPr>
            </w:pPr>
          </w:p>
        </w:tc>
        <w:tc>
          <w:tcPr>
            <w:tcW w:w="217" w:type="dxa"/>
          </w:tcPr>
          <w:p w14:paraId="48D9E889" w14:textId="77777777" w:rsidR="002C0FD9" w:rsidRPr="00CA25CF" w:rsidRDefault="002C0FD9" w:rsidP="00CA25CF">
            <w:pPr>
              <w:rPr>
                <w:rFonts w:cs="Arial"/>
                <w:color w:val="FF0000"/>
                <w:sz w:val="21"/>
                <w:szCs w:val="21"/>
              </w:rPr>
            </w:pPr>
          </w:p>
        </w:tc>
        <w:tc>
          <w:tcPr>
            <w:tcW w:w="217" w:type="dxa"/>
          </w:tcPr>
          <w:p w14:paraId="6ABA99A6" w14:textId="77777777" w:rsidR="002C0FD9" w:rsidRPr="00CA25CF" w:rsidRDefault="002C0FD9" w:rsidP="00CA25CF">
            <w:pPr>
              <w:rPr>
                <w:rFonts w:cs="Arial"/>
                <w:color w:val="FF0000"/>
                <w:sz w:val="21"/>
                <w:szCs w:val="21"/>
              </w:rPr>
            </w:pPr>
          </w:p>
        </w:tc>
        <w:tc>
          <w:tcPr>
            <w:tcW w:w="217" w:type="dxa"/>
          </w:tcPr>
          <w:p w14:paraId="13A552E5" w14:textId="77777777" w:rsidR="002C0FD9" w:rsidRPr="00CA25CF" w:rsidRDefault="002C0FD9" w:rsidP="00CA25CF">
            <w:pPr>
              <w:rPr>
                <w:rFonts w:cs="Arial"/>
                <w:color w:val="FF0000"/>
                <w:sz w:val="21"/>
                <w:szCs w:val="21"/>
              </w:rPr>
            </w:pPr>
          </w:p>
        </w:tc>
        <w:tc>
          <w:tcPr>
            <w:tcW w:w="217" w:type="dxa"/>
          </w:tcPr>
          <w:p w14:paraId="4869C9A6" w14:textId="77777777" w:rsidR="002C0FD9" w:rsidRPr="00CA25CF" w:rsidRDefault="002C0FD9" w:rsidP="00CA25CF">
            <w:pPr>
              <w:rPr>
                <w:rFonts w:cs="Arial"/>
                <w:color w:val="FF0000"/>
                <w:sz w:val="21"/>
                <w:szCs w:val="21"/>
              </w:rPr>
            </w:pPr>
          </w:p>
        </w:tc>
        <w:tc>
          <w:tcPr>
            <w:tcW w:w="217" w:type="dxa"/>
          </w:tcPr>
          <w:p w14:paraId="1D69B076" w14:textId="77777777" w:rsidR="002C0FD9" w:rsidRPr="00CA25CF" w:rsidRDefault="002C0FD9" w:rsidP="00CA25CF">
            <w:pPr>
              <w:rPr>
                <w:rFonts w:cs="Arial"/>
                <w:color w:val="FF0000"/>
                <w:sz w:val="21"/>
                <w:szCs w:val="21"/>
              </w:rPr>
            </w:pPr>
          </w:p>
        </w:tc>
        <w:tc>
          <w:tcPr>
            <w:tcW w:w="217" w:type="dxa"/>
          </w:tcPr>
          <w:p w14:paraId="7AA35975" w14:textId="77777777" w:rsidR="002C0FD9" w:rsidRPr="00CA25CF" w:rsidRDefault="002C0FD9" w:rsidP="00CA25CF">
            <w:pPr>
              <w:rPr>
                <w:rFonts w:cs="Arial"/>
                <w:color w:val="FF0000"/>
                <w:sz w:val="21"/>
                <w:szCs w:val="21"/>
              </w:rPr>
            </w:pPr>
          </w:p>
        </w:tc>
        <w:tc>
          <w:tcPr>
            <w:tcW w:w="217" w:type="dxa"/>
          </w:tcPr>
          <w:p w14:paraId="67ABDF5A" w14:textId="77777777" w:rsidR="002C0FD9" w:rsidRPr="00CA25CF" w:rsidRDefault="002C0FD9" w:rsidP="00CA25CF">
            <w:pPr>
              <w:rPr>
                <w:rFonts w:cs="Arial"/>
                <w:color w:val="FF0000"/>
                <w:sz w:val="21"/>
                <w:szCs w:val="21"/>
              </w:rPr>
            </w:pPr>
          </w:p>
        </w:tc>
        <w:tc>
          <w:tcPr>
            <w:tcW w:w="217" w:type="dxa"/>
          </w:tcPr>
          <w:p w14:paraId="47A477A8" w14:textId="77777777" w:rsidR="002C0FD9" w:rsidRPr="00CA25CF" w:rsidRDefault="002C0FD9" w:rsidP="00CA25CF">
            <w:pPr>
              <w:rPr>
                <w:rFonts w:cs="Arial"/>
                <w:color w:val="FF0000"/>
                <w:sz w:val="21"/>
                <w:szCs w:val="21"/>
              </w:rPr>
            </w:pPr>
          </w:p>
        </w:tc>
        <w:tc>
          <w:tcPr>
            <w:tcW w:w="217" w:type="dxa"/>
          </w:tcPr>
          <w:p w14:paraId="0B8F3A75" w14:textId="77777777" w:rsidR="002C0FD9" w:rsidRPr="00CA25CF" w:rsidRDefault="002C0FD9" w:rsidP="00CA25CF">
            <w:pPr>
              <w:rPr>
                <w:rFonts w:cs="Arial"/>
                <w:color w:val="FF0000"/>
                <w:sz w:val="21"/>
                <w:szCs w:val="21"/>
              </w:rPr>
            </w:pPr>
          </w:p>
        </w:tc>
        <w:tc>
          <w:tcPr>
            <w:tcW w:w="217" w:type="dxa"/>
          </w:tcPr>
          <w:p w14:paraId="10C2467D" w14:textId="77777777" w:rsidR="002C0FD9" w:rsidRPr="00CA25CF" w:rsidRDefault="002C0FD9" w:rsidP="00CA25CF">
            <w:pPr>
              <w:rPr>
                <w:rFonts w:cs="Arial"/>
                <w:color w:val="FF0000"/>
                <w:sz w:val="21"/>
                <w:szCs w:val="21"/>
              </w:rPr>
            </w:pPr>
          </w:p>
        </w:tc>
        <w:tc>
          <w:tcPr>
            <w:tcW w:w="217" w:type="dxa"/>
          </w:tcPr>
          <w:p w14:paraId="0816F4CB" w14:textId="77777777" w:rsidR="002C0FD9" w:rsidRPr="00CA25CF" w:rsidRDefault="002C0FD9" w:rsidP="00CA25CF">
            <w:pPr>
              <w:rPr>
                <w:rFonts w:cs="Arial"/>
                <w:color w:val="FF0000"/>
                <w:sz w:val="21"/>
                <w:szCs w:val="21"/>
              </w:rPr>
            </w:pPr>
          </w:p>
        </w:tc>
        <w:tc>
          <w:tcPr>
            <w:tcW w:w="217" w:type="dxa"/>
          </w:tcPr>
          <w:p w14:paraId="73B9B8E1" w14:textId="77777777" w:rsidR="002C0FD9" w:rsidRPr="00CA25CF" w:rsidRDefault="002C0FD9" w:rsidP="00CA25CF">
            <w:pPr>
              <w:rPr>
                <w:rFonts w:cs="Arial"/>
                <w:color w:val="FF0000"/>
                <w:sz w:val="21"/>
                <w:szCs w:val="21"/>
              </w:rPr>
            </w:pPr>
          </w:p>
        </w:tc>
        <w:tc>
          <w:tcPr>
            <w:tcW w:w="217" w:type="dxa"/>
          </w:tcPr>
          <w:p w14:paraId="36F6853A" w14:textId="77777777" w:rsidR="002C0FD9" w:rsidRPr="00CA25CF" w:rsidRDefault="002C0FD9" w:rsidP="00CA25CF">
            <w:pPr>
              <w:rPr>
                <w:rFonts w:cs="Arial"/>
                <w:color w:val="FF0000"/>
                <w:sz w:val="21"/>
                <w:szCs w:val="21"/>
              </w:rPr>
            </w:pPr>
          </w:p>
        </w:tc>
        <w:tc>
          <w:tcPr>
            <w:tcW w:w="217" w:type="dxa"/>
          </w:tcPr>
          <w:p w14:paraId="2A61D4B8" w14:textId="77777777" w:rsidR="002C0FD9" w:rsidRPr="00CA25CF" w:rsidRDefault="002C0FD9" w:rsidP="00CA25CF">
            <w:pPr>
              <w:rPr>
                <w:rFonts w:cs="Arial"/>
                <w:color w:val="FF0000"/>
                <w:sz w:val="21"/>
                <w:szCs w:val="21"/>
              </w:rPr>
            </w:pPr>
          </w:p>
        </w:tc>
        <w:tc>
          <w:tcPr>
            <w:tcW w:w="217" w:type="dxa"/>
          </w:tcPr>
          <w:p w14:paraId="062A57BC" w14:textId="77777777" w:rsidR="002C0FD9" w:rsidRPr="00CA25CF" w:rsidRDefault="002C0FD9" w:rsidP="00CA25CF">
            <w:pPr>
              <w:rPr>
                <w:rFonts w:cs="Arial"/>
                <w:color w:val="FF0000"/>
                <w:sz w:val="21"/>
                <w:szCs w:val="21"/>
              </w:rPr>
            </w:pPr>
          </w:p>
        </w:tc>
        <w:tc>
          <w:tcPr>
            <w:tcW w:w="217" w:type="dxa"/>
          </w:tcPr>
          <w:p w14:paraId="21748650" w14:textId="77777777" w:rsidR="002C0FD9" w:rsidRPr="00CA25CF" w:rsidRDefault="002C0FD9" w:rsidP="00CA25CF">
            <w:pPr>
              <w:rPr>
                <w:rFonts w:cs="Arial"/>
                <w:color w:val="FF0000"/>
                <w:sz w:val="21"/>
                <w:szCs w:val="21"/>
              </w:rPr>
            </w:pPr>
          </w:p>
        </w:tc>
        <w:tc>
          <w:tcPr>
            <w:tcW w:w="217" w:type="dxa"/>
          </w:tcPr>
          <w:p w14:paraId="0E517BB0" w14:textId="77777777" w:rsidR="002C0FD9" w:rsidRPr="00CA25CF" w:rsidRDefault="002C0FD9" w:rsidP="00CA25CF">
            <w:pPr>
              <w:rPr>
                <w:rFonts w:cs="Arial"/>
                <w:color w:val="FF0000"/>
                <w:sz w:val="21"/>
                <w:szCs w:val="21"/>
              </w:rPr>
            </w:pPr>
          </w:p>
        </w:tc>
        <w:tc>
          <w:tcPr>
            <w:tcW w:w="217" w:type="dxa"/>
          </w:tcPr>
          <w:p w14:paraId="6702D37F" w14:textId="77777777" w:rsidR="002C0FD9" w:rsidRPr="00CA25CF" w:rsidRDefault="002C0FD9" w:rsidP="00CA25CF">
            <w:pPr>
              <w:rPr>
                <w:rFonts w:cs="Arial"/>
                <w:color w:val="FF0000"/>
                <w:sz w:val="21"/>
                <w:szCs w:val="21"/>
              </w:rPr>
            </w:pPr>
          </w:p>
        </w:tc>
        <w:tc>
          <w:tcPr>
            <w:tcW w:w="217" w:type="dxa"/>
          </w:tcPr>
          <w:p w14:paraId="727890B1" w14:textId="77777777" w:rsidR="002C0FD9" w:rsidRPr="00CA25CF" w:rsidRDefault="002C0FD9" w:rsidP="00CA25CF">
            <w:pPr>
              <w:rPr>
                <w:rFonts w:cs="Arial"/>
                <w:color w:val="FF0000"/>
                <w:sz w:val="21"/>
                <w:szCs w:val="21"/>
              </w:rPr>
            </w:pPr>
          </w:p>
        </w:tc>
        <w:tc>
          <w:tcPr>
            <w:tcW w:w="217" w:type="dxa"/>
          </w:tcPr>
          <w:p w14:paraId="1653C32D" w14:textId="77777777" w:rsidR="002C0FD9" w:rsidRPr="00CA25CF" w:rsidRDefault="002C0FD9" w:rsidP="00CA25CF">
            <w:pPr>
              <w:rPr>
                <w:rFonts w:cs="Arial"/>
                <w:color w:val="FF0000"/>
                <w:sz w:val="21"/>
                <w:szCs w:val="21"/>
              </w:rPr>
            </w:pPr>
          </w:p>
        </w:tc>
        <w:tc>
          <w:tcPr>
            <w:tcW w:w="217" w:type="dxa"/>
          </w:tcPr>
          <w:p w14:paraId="267345FA" w14:textId="77777777" w:rsidR="002C0FD9" w:rsidRPr="00CA25CF" w:rsidRDefault="002C0FD9" w:rsidP="00CA25CF">
            <w:pPr>
              <w:rPr>
                <w:rFonts w:cs="Arial"/>
                <w:color w:val="FF0000"/>
                <w:sz w:val="21"/>
                <w:szCs w:val="21"/>
              </w:rPr>
            </w:pPr>
          </w:p>
        </w:tc>
        <w:tc>
          <w:tcPr>
            <w:tcW w:w="217" w:type="dxa"/>
          </w:tcPr>
          <w:p w14:paraId="2F505D3D" w14:textId="77777777" w:rsidR="002C0FD9" w:rsidRPr="00CA25CF" w:rsidRDefault="002C0FD9" w:rsidP="00CA25CF">
            <w:pPr>
              <w:rPr>
                <w:rFonts w:cs="Arial"/>
                <w:color w:val="FF0000"/>
                <w:sz w:val="21"/>
                <w:szCs w:val="21"/>
              </w:rPr>
            </w:pPr>
          </w:p>
        </w:tc>
      </w:tr>
      <w:tr w:rsidR="002C0FD9" w:rsidRPr="00A16219" w14:paraId="2F75E1C8" w14:textId="77777777" w:rsidTr="002C0FD9">
        <w:trPr>
          <w:trHeight w:val="635"/>
        </w:trPr>
        <w:tc>
          <w:tcPr>
            <w:tcW w:w="515" w:type="dxa"/>
          </w:tcPr>
          <w:p w14:paraId="13E79805" w14:textId="77777777" w:rsidR="002C0FD9" w:rsidRPr="00CA25CF" w:rsidRDefault="002C0FD9" w:rsidP="00CA25CF">
            <w:pPr>
              <w:rPr>
                <w:rFonts w:cs="Arial"/>
                <w:color w:val="FF0000"/>
                <w:sz w:val="21"/>
                <w:szCs w:val="21"/>
              </w:rPr>
            </w:pPr>
          </w:p>
        </w:tc>
        <w:tc>
          <w:tcPr>
            <w:tcW w:w="217" w:type="dxa"/>
          </w:tcPr>
          <w:p w14:paraId="36BFAFF0" w14:textId="77777777" w:rsidR="002C0FD9" w:rsidRPr="00CA25CF" w:rsidRDefault="002C0FD9" w:rsidP="00CA25CF">
            <w:pPr>
              <w:rPr>
                <w:rFonts w:cs="Arial"/>
                <w:color w:val="FF0000"/>
                <w:sz w:val="21"/>
                <w:szCs w:val="21"/>
              </w:rPr>
            </w:pPr>
          </w:p>
        </w:tc>
        <w:tc>
          <w:tcPr>
            <w:tcW w:w="217" w:type="dxa"/>
          </w:tcPr>
          <w:p w14:paraId="72CD65E6" w14:textId="77777777" w:rsidR="002C0FD9" w:rsidRPr="00CA25CF" w:rsidRDefault="002C0FD9" w:rsidP="00CA25CF">
            <w:pPr>
              <w:rPr>
                <w:rFonts w:cs="Arial"/>
                <w:color w:val="FF0000"/>
                <w:sz w:val="21"/>
                <w:szCs w:val="21"/>
              </w:rPr>
            </w:pPr>
          </w:p>
        </w:tc>
        <w:tc>
          <w:tcPr>
            <w:tcW w:w="217" w:type="dxa"/>
          </w:tcPr>
          <w:p w14:paraId="4CCB0EFB" w14:textId="77777777" w:rsidR="002C0FD9" w:rsidRPr="00CA25CF" w:rsidRDefault="002C0FD9" w:rsidP="00CA25CF">
            <w:pPr>
              <w:rPr>
                <w:rFonts w:cs="Arial"/>
                <w:color w:val="FF0000"/>
                <w:sz w:val="21"/>
                <w:szCs w:val="21"/>
              </w:rPr>
            </w:pPr>
          </w:p>
        </w:tc>
        <w:tc>
          <w:tcPr>
            <w:tcW w:w="217" w:type="dxa"/>
          </w:tcPr>
          <w:p w14:paraId="250A98B7" w14:textId="77777777" w:rsidR="002C0FD9" w:rsidRPr="00CA25CF" w:rsidRDefault="002C0FD9" w:rsidP="00CA25CF">
            <w:pPr>
              <w:rPr>
                <w:rFonts w:cs="Arial"/>
                <w:color w:val="FF0000"/>
                <w:sz w:val="21"/>
                <w:szCs w:val="21"/>
              </w:rPr>
            </w:pPr>
          </w:p>
        </w:tc>
        <w:tc>
          <w:tcPr>
            <w:tcW w:w="217" w:type="dxa"/>
          </w:tcPr>
          <w:p w14:paraId="22915CAE" w14:textId="77777777" w:rsidR="002C0FD9" w:rsidRPr="00CA25CF" w:rsidRDefault="002C0FD9" w:rsidP="00CA25CF">
            <w:pPr>
              <w:rPr>
                <w:rFonts w:cs="Arial"/>
                <w:color w:val="FF0000"/>
                <w:sz w:val="21"/>
                <w:szCs w:val="21"/>
              </w:rPr>
            </w:pPr>
          </w:p>
        </w:tc>
        <w:tc>
          <w:tcPr>
            <w:tcW w:w="217" w:type="dxa"/>
          </w:tcPr>
          <w:p w14:paraId="3D9D3B87" w14:textId="77777777" w:rsidR="002C0FD9" w:rsidRPr="00CA25CF" w:rsidRDefault="002C0FD9" w:rsidP="00CA25CF">
            <w:pPr>
              <w:rPr>
                <w:rFonts w:cs="Arial"/>
                <w:color w:val="FF0000"/>
                <w:sz w:val="21"/>
                <w:szCs w:val="21"/>
              </w:rPr>
            </w:pPr>
          </w:p>
        </w:tc>
        <w:tc>
          <w:tcPr>
            <w:tcW w:w="217" w:type="dxa"/>
          </w:tcPr>
          <w:p w14:paraId="54018C59" w14:textId="77777777" w:rsidR="002C0FD9" w:rsidRPr="00CA25CF" w:rsidRDefault="002C0FD9" w:rsidP="00CA25CF">
            <w:pPr>
              <w:rPr>
                <w:rFonts w:cs="Arial"/>
                <w:color w:val="FF0000"/>
                <w:sz w:val="21"/>
                <w:szCs w:val="21"/>
              </w:rPr>
            </w:pPr>
          </w:p>
        </w:tc>
        <w:tc>
          <w:tcPr>
            <w:tcW w:w="217" w:type="dxa"/>
          </w:tcPr>
          <w:p w14:paraId="5A721829" w14:textId="77777777" w:rsidR="002C0FD9" w:rsidRPr="00CA25CF" w:rsidRDefault="002C0FD9" w:rsidP="00CA25CF">
            <w:pPr>
              <w:rPr>
                <w:rFonts w:cs="Arial"/>
                <w:color w:val="FF0000"/>
                <w:sz w:val="21"/>
                <w:szCs w:val="21"/>
              </w:rPr>
            </w:pPr>
          </w:p>
        </w:tc>
        <w:tc>
          <w:tcPr>
            <w:tcW w:w="217" w:type="dxa"/>
          </w:tcPr>
          <w:p w14:paraId="6615B0F6" w14:textId="77777777" w:rsidR="002C0FD9" w:rsidRPr="00CA25CF" w:rsidRDefault="002C0FD9" w:rsidP="00CA25CF">
            <w:pPr>
              <w:rPr>
                <w:rFonts w:cs="Arial"/>
                <w:color w:val="FF0000"/>
                <w:sz w:val="21"/>
                <w:szCs w:val="21"/>
              </w:rPr>
            </w:pPr>
          </w:p>
        </w:tc>
        <w:tc>
          <w:tcPr>
            <w:tcW w:w="217" w:type="dxa"/>
          </w:tcPr>
          <w:p w14:paraId="6932C5ED" w14:textId="77777777" w:rsidR="002C0FD9" w:rsidRPr="00CA25CF" w:rsidRDefault="002C0FD9" w:rsidP="00CA25CF">
            <w:pPr>
              <w:rPr>
                <w:rFonts w:cs="Arial"/>
                <w:color w:val="FF0000"/>
                <w:sz w:val="21"/>
                <w:szCs w:val="21"/>
              </w:rPr>
            </w:pPr>
          </w:p>
        </w:tc>
        <w:tc>
          <w:tcPr>
            <w:tcW w:w="217" w:type="dxa"/>
          </w:tcPr>
          <w:p w14:paraId="5BDFF8E7" w14:textId="77777777" w:rsidR="002C0FD9" w:rsidRPr="00CA25CF" w:rsidRDefault="002C0FD9" w:rsidP="00CA25CF">
            <w:pPr>
              <w:rPr>
                <w:rFonts w:cs="Arial"/>
                <w:color w:val="FF0000"/>
                <w:sz w:val="21"/>
                <w:szCs w:val="21"/>
              </w:rPr>
            </w:pPr>
          </w:p>
        </w:tc>
        <w:tc>
          <w:tcPr>
            <w:tcW w:w="217" w:type="dxa"/>
          </w:tcPr>
          <w:p w14:paraId="3A5C8DA9" w14:textId="77777777" w:rsidR="002C0FD9" w:rsidRPr="00CA25CF" w:rsidRDefault="002C0FD9" w:rsidP="00CA25CF">
            <w:pPr>
              <w:rPr>
                <w:rFonts w:cs="Arial"/>
                <w:color w:val="FF0000"/>
                <w:sz w:val="21"/>
                <w:szCs w:val="21"/>
              </w:rPr>
            </w:pPr>
          </w:p>
        </w:tc>
        <w:tc>
          <w:tcPr>
            <w:tcW w:w="217" w:type="dxa"/>
          </w:tcPr>
          <w:p w14:paraId="0BB35AC6" w14:textId="77777777" w:rsidR="002C0FD9" w:rsidRPr="00CA25CF" w:rsidRDefault="002C0FD9" w:rsidP="00CA25CF">
            <w:pPr>
              <w:rPr>
                <w:rFonts w:cs="Arial"/>
                <w:color w:val="FF0000"/>
                <w:sz w:val="21"/>
                <w:szCs w:val="21"/>
              </w:rPr>
            </w:pPr>
          </w:p>
        </w:tc>
        <w:tc>
          <w:tcPr>
            <w:tcW w:w="217" w:type="dxa"/>
          </w:tcPr>
          <w:p w14:paraId="7AAE1141" w14:textId="77777777" w:rsidR="002C0FD9" w:rsidRPr="00CA25CF" w:rsidRDefault="002C0FD9" w:rsidP="00CA25CF">
            <w:pPr>
              <w:rPr>
                <w:rFonts w:cs="Arial"/>
                <w:color w:val="FF0000"/>
                <w:sz w:val="21"/>
                <w:szCs w:val="21"/>
              </w:rPr>
            </w:pPr>
          </w:p>
        </w:tc>
        <w:tc>
          <w:tcPr>
            <w:tcW w:w="217" w:type="dxa"/>
          </w:tcPr>
          <w:p w14:paraId="02D8D4B7" w14:textId="77777777" w:rsidR="002C0FD9" w:rsidRPr="00CA25CF" w:rsidRDefault="002C0FD9" w:rsidP="00CA25CF">
            <w:pPr>
              <w:rPr>
                <w:rFonts w:cs="Arial"/>
                <w:color w:val="FF0000"/>
                <w:sz w:val="21"/>
                <w:szCs w:val="21"/>
              </w:rPr>
            </w:pPr>
          </w:p>
        </w:tc>
        <w:tc>
          <w:tcPr>
            <w:tcW w:w="217" w:type="dxa"/>
          </w:tcPr>
          <w:p w14:paraId="53652BBF" w14:textId="77777777" w:rsidR="002C0FD9" w:rsidRPr="00CA25CF" w:rsidRDefault="002C0FD9" w:rsidP="00CA25CF">
            <w:pPr>
              <w:rPr>
                <w:rFonts w:cs="Arial"/>
                <w:color w:val="FF0000"/>
                <w:sz w:val="21"/>
                <w:szCs w:val="21"/>
              </w:rPr>
            </w:pPr>
          </w:p>
        </w:tc>
        <w:tc>
          <w:tcPr>
            <w:tcW w:w="217" w:type="dxa"/>
          </w:tcPr>
          <w:p w14:paraId="6B4C323A" w14:textId="77777777" w:rsidR="002C0FD9" w:rsidRPr="00CA25CF" w:rsidRDefault="002C0FD9" w:rsidP="00CA25CF">
            <w:pPr>
              <w:rPr>
                <w:rFonts w:cs="Arial"/>
                <w:color w:val="FF0000"/>
                <w:sz w:val="21"/>
                <w:szCs w:val="21"/>
              </w:rPr>
            </w:pPr>
          </w:p>
        </w:tc>
        <w:tc>
          <w:tcPr>
            <w:tcW w:w="217" w:type="dxa"/>
          </w:tcPr>
          <w:p w14:paraId="652FC4DE" w14:textId="77777777" w:rsidR="002C0FD9" w:rsidRPr="00CA25CF" w:rsidRDefault="002C0FD9" w:rsidP="00CA25CF">
            <w:pPr>
              <w:rPr>
                <w:rFonts w:cs="Arial"/>
                <w:color w:val="FF0000"/>
                <w:sz w:val="21"/>
                <w:szCs w:val="21"/>
              </w:rPr>
            </w:pPr>
          </w:p>
        </w:tc>
        <w:tc>
          <w:tcPr>
            <w:tcW w:w="217" w:type="dxa"/>
          </w:tcPr>
          <w:p w14:paraId="74A064C4" w14:textId="77777777" w:rsidR="002C0FD9" w:rsidRPr="00CA25CF" w:rsidRDefault="002C0FD9" w:rsidP="00CA25CF">
            <w:pPr>
              <w:rPr>
                <w:rFonts w:cs="Arial"/>
                <w:color w:val="FF0000"/>
                <w:sz w:val="21"/>
                <w:szCs w:val="21"/>
              </w:rPr>
            </w:pPr>
          </w:p>
        </w:tc>
        <w:tc>
          <w:tcPr>
            <w:tcW w:w="217" w:type="dxa"/>
          </w:tcPr>
          <w:p w14:paraId="4846B787" w14:textId="77777777" w:rsidR="002C0FD9" w:rsidRPr="00CA25CF" w:rsidRDefault="002C0FD9" w:rsidP="00CA25CF">
            <w:pPr>
              <w:rPr>
                <w:rFonts w:cs="Arial"/>
                <w:color w:val="FF0000"/>
                <w:sz w:val="21"/>
                <w:szCs w:val="21"/>
              </w:rPr>
            </w:pPr>
          </w:p>
        </w:tc>
        <w:tc>
          <w:tcPr>
            <w:tcW w:w="217" w:type="dxa"/>
          </w:tcPr>
          <w:p w14:paraId="5BFB8757" w14:textId="77777777" w:rsidR="002C0FD9" w:rsidRPr="00CA25CF" w:rsidRDefault="002C0FD9" w:rsidP="00CA25CF">
            <w:pPr>
              <w:rPr>
                <w:rFonts w:cs="Arial"/>
                <w:color w:val="FF0000"/>
                <w:sz w:val="21"/>
                <w:szCs w:val="21"/>
              </w:rPr>
            </w:pPr>
          </w:p>
        </w:tc>
        <w:tc>
          <w:tcPr>
            <w:tcW w:w="217" w:type="dxa"/>
          </w:tcPr>
          <w:p w14:paraId="5B83F184" w14:textId="77777777" w:rsidR="002C0FD9" w:rsidRPr="00CA25CF" w:rsidRDefault="002C0FD9" w:rsidP="00CA25CF">
            <w:pPr>
              <w:rPr>
                <w:rFonts w:cs="Arial"/>
                <w:color w:val="FF0000"/>
                <w:sz w:val="21"/>
                <w:szCs w:val="21"/>
              </w:rPr>
            </w:pPr>
          </w:p>
        </w:tc>
        <w:tc>
          <w:tcPr>
            <w:tcW w:w="217" w:type="dxa"/>
          </w:tcPr>
          <w:p w14:paraId="6FD537C8" w14:textId="77777777" w:rsidR="002C0FD9" w:rsidRPr="00CA25CF" w:rsidRDefault="002C0FD9" w:rsidP="00CA25CF">
            <w:pPr>
              <w:rPr>
                <w:rFonts w:cs="Arial"/>
                <w:color w:val="FF0000"/>
                <w:sz w:val="21"/>
                <w:szCs w:val="21"/>
              </w:rPr>
            </w:pPr>
          </w:p>
        </w:tc>
        <w:tc>
          <w:tcPr>
            <w:tcW w:w="217" w:type="dxa"/>
          </w:tcPr>
          <w:p w14:paraId="61C9E3E6" w14:textId="77777777" w:rsidR="002C0FD9" w:rsidRPr="00CA25CF" w:rsidRDefault="002C0FD9" w:rsidP="00CA25CF">
            <w:pPr>
              <w:rPr>
                <w:rFonts w:cs="Arial"/>
                <w:color w:val="FF0000"/>
                <w:sz w:val="21"/>
                <w:szCs w:val="21"/>
              </w:rPr>
            </w:pPr>
          </w:p>
        </w:tc>
        <w:tc>
          <w:tcPr>
            <w:tcW w:w="217" w:type="dxa"/>
          </w:tcPr>
          <w:p w14:paraId="1938CC25" w14:textId="77777777" w:rsidR="002C0FD9" w:rsidRPr="00CA25CF" w:rsidRDefault="002C0FD9" w:rsidP="00CA25CF">
            <w:pPr>
              <w:rPr>
                <w:rFonts w:cs="Arial"/>
                <w:color w:val="FF0000"/>
                <w:sz w:val="21"/>
                <w:szCs w:val="21"/>
              </w:rPr>
            </w:pPr>
          </w:p>
        </w:tc>
        <w:tc>
          <w:tcPr>
            <w:tcW w:w="217" w:type="dxa"/>
          </w:tcPr>
          <w:p w14:paraId="32FC55E6" w14:textId="77777777" w:rsidR="002C0FD9" w:rsidRPr="00CA25CF" w:rsidRDefault="002C0FD9" w:rsidP="00CA25CF">
            <w:pPr>
              <w:rPr>
                <w:rFonts w:cs="Arial"/>
                <w:color w:val="FF0000"/>
                <w:sz w:val="21"/>
                <w:szCs w:val="21"/>
              </w:rPr>
            </w:pPr>
          </w:p>
        </w:tc>
        <w:tc>
          <w:tcPr>
            <w:tcW w:w="217" w:type="dxa"/>
          </w:tcPr>
          <w:p w14:paraId="157823B6" w14:textId="77777777" w:rsidR="002C0FD9" w:rsidRPr="00CA25CF" w:rsidRDefault="002C0FD9" w:rsidP="00CA25CF">
            <w:pPr>
              <w:rPr>
                <w:rFonts w:cs="Arial"/>
                <w:color w:val="FF0000"/>
                <w:sz w:val="21"/>
                <w:szCs w:val="21"/>
              </w:rPr>
            </w:pPr>
          </w:p>
        </w:tc>
        <w:tc>
          <w:tcPr>
            <w:tcW w:w="217" w:type="dxa"/>
          </w:tcPr>
          <w:p w14:paraId="3CFEB7B6" w14:textId="77777777" w:rsidR="002C0FD9" w:rsidRPr="00CA25CF" w:rsidRDefault="002C0FD9" w:rsidP="00CA25CF">
            <w:pPr>
              <w:rPr>
                <w:rFonts w:cs="Arial"/>
                <w:color w:val="FF0000"/>
                <w:sz w:val="21"/>
                <w:szCs w:val="21"/>
              </w:rPr>
            </w:pPr>
          </w:p>
        </w:tc>
        <w:tc>
          <w:tcPr>
            <w:tcW w:w="217" w:type="dxa"/>
          </w:tcPr>
          <w:p w14:paraId="12DA9C9C" w14:textId="77777777" w:rsidR="002C0FD9" w:rsidRPr="00CA25CF" w:rsidRDefault="002C0FD9" w:rsidP="00CA25CF">
            <w:pPr>
              <w:rPr>
                <w:rFonts w:cs="Arial"/>
                <w:color w:val="FF0000"/>
                <w:sz w:val="21"/>
                <w:szCs w:val="21"/>
              </w:rPr>
            </w:pPr>
          </w:p>
        </w:tc>
        <w:tc>
          <w:tcPr>
            <w:tcW w:w="217" w:type="dxa"/>
          </w:tcPr>
          <w:p w14:paraId="67B6B7D4" w14:textId="77777777" w:rsidR="002C0FD9" w:rsidRPr="00CA25CF" w:rsidRDefault="002C0FD9" w:rsidP="00CA25CF">
            <w:pPr>
              <w:rPr>
                <w:rFonts w:cs="Arial"/>
                <w:color w:val="FF0000"/>
                <w:sz w:val="21"/>
                <w:szCs w:val="21"/>
              </w:rPr>
            </w:pPr>
          </w:p>
        </w:tc>
        <w:tc>
          <w:tcPr>
            <w:tcW w:w="217" w:type="dxa"/>
          </w:tcPr>
          <w:p w14:paraId="67B731D4" w14:textId="77777777" w:rsidR="002C0FD9" w:rsidRPr="00CA25CF" w:rsidRDefault="002C0FD9" w:rsidP="00CA25CF">
            <w:pPr>
              <w:rPr>
                <w:rFonts w:cs="Arial"/>
                <w:color w:val="FF0000"/>
                <w:sz w:val="21"/>
                <w:szCs w:val="21"/>
              </w:rPr>
            </w:pPr>
          </w:p>
        </w:tc>
        <w:tc>
          <w:tcPr>
            <w:tcW w:w="217" w:type="dxa"/>
          </w:tcPr>
          <w:p w14:paraId="79FF8ED8" w14:textId="77777777" w:rsidR="002C0FD9" w:rsidRPr="00CA25CF" w:rsidRDefault="002C0FD9" w:rsidP="00CA25CF">
            <w:pPr>
              <w:rPr>
                <w:rFonts w:cs="Arial"/>
                <w:color w:val="FF0000"/>
                <w:sz w:val="21"/>
                <w:szCs w:val="21"/>
              </w:rPr>
            </w:pPr>
          </w:p>
        </w:tc>
        <w:tc>
          <w:tcPr>
            <w:tcW w:w="217" w:type="dxa"/>
          </w:tcPr>
          <w:p w14:paraId="5C17E5D5" w14:textId="77777777" w:rsidR="002C0FD9" w:rsidRPr="00CA25CF" w:rsidRDefault="002C0FD9" w:rsidP="00CA25CF">
            <w:pPr>
              <w:rPr>
                <w:rFonts w:cs="Arial"/>
                <w:color w:val="FF0000"/>
                <w:sz w:val="21"/>
                <w:szCs w:val="21"/>
              </w:rPr>
            </w:pPr>
          </w:p>
        </w:tc>
        <w:tc>
          <w:tcPr>
            <w:tcW w:w="217" w:type="dxa"/>
          </w:tcPr>
          <w:p w14:paraId="1BD915D7" w14:textId="77777777" w:rsidR="002C0FD9" w:rsidRPr="00CA25CF" w:rsidRDefault="002C0FD9" w:rsidP="00CA25CF">
            <w:pPr>
              <w:rPr>
                <w:rFonts w:cs="Arial"/>
                <w:color w:val="FF0000"/>
                <w:sz w:val="21"/>
                <w:szCs w:val="21"/>
              </w:rPr>
            </w:pPr>
          </w:p>
        </w:tc>
        <w:tc>
          <w:tcPr>
            <w:tcW w:w="217" w:type="dxa"/>
          </w:tcPr>
          <w:p w14:paraId="72279D70" w14:textId="77777777" w:rsidR="002C0FD9" w:rsidRPr="00CA25CF" w:rsidRDefault="002C0FD9" w:rsidP="00CA25CF">
            <w:pPr>
              <w:rPr>
                <w:rFonts w:cs="Arial"/>
                <w:color w:val="FF0000"/>
                <w:sz w:val="21"/>
                <w:szCs w:val="21"/>
              </w:rPr>
            </w:pPr>
          </w:p>
        </w:tc>
        <w:tc>
          <w:tcPr>
            <w:tcW w:w="217" w:type="dxa"/>
          </w:tcPr>
          <w:p w14:paraId="74CFC4B3" w14:textId="77777777" w:rsidR="002C0FD9" w:rsidRPr="00CA25CF" w:rsidRDefault="002C0FD9" w:rsidP="00CA25CF">
            <w:pPr>
              <w:rPr>
                <w:rFonts w:cs="Arial"/>
                <w:color w:val="FF0000"/>
                <w:sz w:val="21"/>
                <w:szCs w:val="21"/>
              </w:rPr>
            </w:pPr>
          </w:p>
        </w:tc>
        <w:tc>
          <w:tcPr>
            <w:tcW w:w="217" w:type="dxa"/>
          </w:tcPr>
          <w:p w14:paraId="61BA0056" w14:textId="77777777" w:rsidR="002C0FD9" w:rsidRPr="00CA25CF" w:rsidRDefault="002C0FD9" w:rsidP="00CA25CF">
            <w:pPr>
              <w:rPr>
                <w:rFonts w:cs="Arial"/>
                <w:color w:val="FF0000"/>
                <w:sz w:val="21"/>
                <w:szCs w:val="21"/>
              </w:rPr>
            </w:pPr>
          </w:p>
        </w:tc>
        <w:tc>
          <w:tcPr>
            <w:tcW w:w="217" w:type="dxa"/>
          </w:tcPr>
          <w:p w14:paraId="37ABC014" w14:textId="77777777" w:rsidR="002C0FD9" w:rsidRPr="00CA25CF" w:rsidRDefault="002C0FD9" w:rsidP="00CA25CF">
            <w:pPr>
              <w:rPr>
                <w:rFonts w:cs="Arial"/>
                <w:color w:val="FF0000"/>
                <w:sz w:val="21"/>
                <w:szCs w:val="21"/>
              </w:rPr>
            </w:pPr>
          </w:p>
        </w:tc>
        <w:tc>
          <w:tcPr>
            <w:tcW w:w="217" w:type="dxa"/>
          </w:tcPr>
          <w:p w14:paraId="52F49B20" w14:textId="77777777" w:rsidR="002C0FD9" w:rsidRPr="00CA25CF" w:rsidRDefault="002C0FD9" w:rsidP="00CA25CF">
            <w:pPr>
              <w:rPr>
                <w:rFonts w:cs="Arial"/>
                <w:color w:val="FF0000"/>
                <w:sz w:val="21"/>
                <w:szCs w:val="21"/>
              </w:rPr>
            </w:pPr>
          </w:p>
        </w:tc>
        <w:tc>
          <w:tcPr>
            <w:tcW w:w="217" w:type="dxa"/>
          </w:tcPr>
          <w:p w14:paraId="0CF00EFE" w14:textId="77777777" w:rsidR="002C0FD9" w:rsidRPr="00CA25CF" w:rsidRDefault="002C0FD9" w:rsidP="00CA25CF">
            <w:pPr>
              <w:rPr>
                <w:rFonts w:cs="Arial"/>
                <w:color w:val="FF0000"/>
                <w:sz w:val="21"/>
                <w:szCs w:val="21"/>
              </w:rPr>
            </w:pPr>
          </w:p>
        </w:tc>
        <w:tc>
          <w:tcPr>
            <w:tcW w:w="217" w:type="dxa"/>
          </w:tcPr>
          <w:p w14:paraId="707BDD1E" w14:textId="77777777" w:rsidR="002C0FD9" w:rsidRPr="00CA25CF" w:rsidRDefault="002C0FD9" w:rsidP="00CA25CF">
            <w:pPr>
              <w:rPr>
                <w:rFonts w:cs="Arial"/>
                <w:color w:val="FF0000"/>
                <w:sz w:val="21"/>
                <w:szCs w:val="21"/>
              </w:rPr>
            </w:pPr>
          </w:p>
        </w:tc>
        <w:tc>
          <w:tcPr>
            <w:tcW w:w="217" w:type="dxa"/>
          </w:tcPr>
          <w:p w14:paraId="5ADEC69A" w14:textId="77777777" w:rsidR="002C0FD9" w:rsidRPr="00CA25CF" w:rsidRDefault="002C0FD9" w:rsidP="00CA25CF">
            <w:pPr>
              <w:rPr>
                <w:rFonts w:cs="Arial"/>
                <w:color w:val="FF0000"/>
                <w:sz w:val="21"/>
                <w:szCs w:val="21"/>
              </w:rPr>
            </w:pPr>
          </w:p>
        </w:tc>
      </w:tr>
      <w:tr w:rsidR="002C0FD9" w:rsidRPr="00A16219" w14:paraId="709621F8" w14:textId="77777777" w:rsidTr="002C0FD9">
        <w:trPr>
          <w:trHeight w:val="635"/>
        </w:trPr>
        <w:tc>
          <w:tcPr>
            <w:tcW w:w="515" w:type="dxa"/>
          </w:tcPr>
          <w:p w14:paraId="58637558" w14:textId="77777777" w:rsidR="002C0FD9" w:rsidRPr="00CA25CF" w:rsidRDefault="002C0FD9" w:rsidP="00CA25CF">
            <w:pPr>
              <w:rPr>
                <w:rFonts w:cs="Arial"/>
                <w:color w:val="FF0000"/>
                <w:sz w:val="21"/>
                <w:szCs w:val="21"/>
              </w:rPr>
            </w:pPr>
          </w:p>
        </w:tc>
        <w:tc>
          <w:tcPr>
            <w:tcW w:w="217" w:type="dxa"/>
          </w:tcPr>
          <w:p w14:paraId="7A9999F1" w14:textId="77777777" w:rsidR="002C0FD9" w:rsidRPr="00CA25CF" w:rsidRDefault="002C0FD9" w:rsidP="00CA25CF">
            <w:pPr>
              <w:rPr>
                <w:rFonts w:cs="Arial"/>
                <w:color w:val="FF0000"/>
                <w:sz w:val="21"/>
                <w:szCs w:val="21"/>
              </w:rPr>
            </w:pPr>
          </w:p>
        </w:tc>
        <w:tc>
          <w:tcPr>
            <w:tcW w:w="217" w:type="dxa"/>
          </w:tcPr>
          <w:p w14:paraId="71B39EBF" w14:textId="77777777" w:rsidR="002C0FD9" w:rsidRPr="00CA25CF" w:rsidRDefault="002C0FD9" w:rsidP="00CA25CF">
            <w:pPr>
              <w:rPr>
                <w:rFonts w:cs="Arial"/>
                <w:color w:val="FF0000"/>
                <w:sz w:val="21"/>
                <w:szCs w:val="21"/>
              </w:rPr>
            </w:pPr>
          </w:p>
        </w:tc>
        <w:tc>
          <w:tcPr>
            <w:tcW w:w="217" w:type="dxa"/>
          </w:tcPr>
          <w:p w14:paraId="12DDEA51" w14:textId="77777777" w:rsidR="002C0FD9" w:rsidRPr="00CA25CF" w:rsidRDefault="002C0FD9" w:rsidP="00CA25CF">
            <w:pPr>
              <w:rPr>
                <w:rFonts w:cs="Arial"/>
                <w:color w:val="FF0000"/>
                <w:sz w:val="21"/>
                <w:szCs w:val="21"/>
              </w:rPr>
            </w:pPr>
          </w:p>
        </w:tc>
        <w:tc>
          <w:tcPr>
            <w:tcW w:w="217" w:type="dxa"/>
          </w:tcPr>
          <w:p w14:paraId="6672F2AD" w14:textId="77777777" w:rsidR="002C0FD9" w:rsidRPr="00CA25CF" w:rsidRDefault="002C0FD9" w:rsidP="00CA25CF">
            <w:pPr>
              <w:rPr>
                <w:rFonts w:cs="Arial"/>
                <w:color w:val="FF0000"/>
                <w:sz w:val="21"/>
                <w:szCs w:val="21"/>
              </w:rPr>
            </w:pPr>
          </w:p>
        </w:tc>
        <w:tc>
          <w:tcPr>
            <w:tcW w:w="217" w:type="dxa"/>
          </w:tcPr>
          <w:p w14:paraId="62D4BB1A" w14:textId="77777777" w:rsidR="002C0FD9" w:rsidRPr="00CA25CF" w:rsidRDefault="002C0FD9" w:rsidP="00CA25CF">
            <w:pPr>
              <w:rPr>
                <w:rFonts w:cs="Arial"/>
                <w:color w:val="FF0000"/>
                <w:sz w:val="21"/>
                <w:szCs w:val="21"/>
              </w:rPr>
            </w:pPr>
          </w:p>
        </w:tc>
        <w:tc>
          <w:tcPr>
            <w:tcW w:w="217" w:type="dxa"/>
          </w:tcPr>
          <w:p w14:paraId="161AAFA3" w14:textId="77777777" w:rsidR="002C0FD9" w:rsidRPr="00CA25CF" w:rsidRDefault="002C0FD9" w:rsidP="00CA25CF">
            <w:pPr>
              <w:rPr>
                <w:rFonts w:cs="Arial"/>
                <w:color w:val="FF0000"/>
                <w:sz w:val="21"/>
                <w:szCs w:val="21"/>
              </w:rPr>
            </w:pPr>
          </w:p>
        </w:tc>
        <w:tc>
          <w:tcPr>
            <w:tcW w:w="217" w:type="dxa"/>
          </w:tcPr>
          <w:p w14:paraId="18D0B5DE" w14:textId="77777777" w:rsidR="002C0FD9" w:rsidRPr="00CA25CF" w:rsidRDefault="002C0FD9" w:rsidP="00CA25CF">
            <w:pPr>
              <w:rPr>
                <w:rFonts w:cs="Arial"/>
                <w:color w:val="FF0000"/>
                <w:sz w:val="21"/>
                <w:szCs w:val="21"/>
              </w:rPr>
            </w:pPr>
          </w:p>
        </w:tc>
        <w:tc>
          <w:tcPr>
            <w:tcW w:w="217" w:type="dxa"/>
          </w:tcPr>
          <w:p w14:paraId="19DDBB3A" w14:textId="77777777" w:rsidR="002C0FD9" w:rsidRPr="00CA25CF" w:rsidRDefault="002C0FD9" w:rsidP="00CA25CF">
            <w:pPr>
              <w:rPr>
                <w:rFonts w:cs="Arial"/>
                <w:color w:val="FF0000"/>
                <w:sz w:val="21"/>
                <w:szCs w:val="21"/>
              </w:rPr>
            </w:pPr>
          </w:p>
        </w:tc>
        <w:tc>
          <w:tcPr>
            <w:tcW w:w="217" w:type="dxa"/>
          </w:tcPr>
          <w:p w14:paraId="6A644EAC" w14:textId="77777777" w:rsidR="002C0FD9" w:rsidRPr="00CA25CF" w:rsidRDefault="002C0FD9" w:rsidP="00CA25CF">
            <w:pPr>
              <w:rPr>
                <w:rFonts w:cs="Arial"/>
                <w:color w:val="FF0000"/>
                <w:sz w:val="21"/>
                <w:szCs w:val="21"/>
              </w:rPr>
            </w:pPr>
          </w:p>
        </w:tc>
        <w:tc>
          <w:tcPr>
            <w:tcW w:w="217" w:type="dxa"/>
          </w:tcPr>
          <w:p w14:paraId="252B1BF0" w14:textId="77777777" w:rsidR="002C0FD9" w:rsidRPr="00CA25CF" w:rsidRDefault="002C0FD9" w:rsidP="00CA25CF">
            <w:pPr>
              <w:rPr>
                <w:rFonts w:cs="Arial"/>
                <w:color w:val="FF0000"/>
                <w:sz w:val="21"/>
                <w:szCs w:val="21"/>
              </w:rPr>
            </w:pPr>
          </w:p>
        </w:tc>
        <w:tc>
          <w:tcPr>
            <w:tcW w:w="217" w:type="dxa"/>
          </w:tcPr>
          <w:p w14:paraId="01DB9EE8" w14:textId="77777777" w:rsidR="002C0FD9" w:rsidRPr="00CA25CF" w:rsidRDefault="002C0FD9" w:rsidP="00CA25CF">
            <w:pPr>
              <w:rPr>
                <w:rFonts w:cs="Arial"/>
                <w:color w:val="FF0000"/>
                <w:sz w:val="21"/>
                <w:szCs w:val="21"/>
              </w:rPr>
            </w:pPr>
          </w:p>
        </w:tc>
        <w:tc>
          <w:tcPr>
            <w:tcW w:w="217" w:type="dxa"/>
          </w:tcPr>
          <w:p w14:paraId="616BE027" w14:textId="77777777" w:rsidR="002C0FD9" w:rsidRPr="00CA25CF" w:rsidRDefault="002C0FD9" w:rsidP="00CA25CF">
            <w:pPr>
              <w:rPr>
                <w:rFonts w:cs="Arial"/>
                <w:color w:val="FF0000"/>
                <w:sz w:val="21"/>
                <w:szCs w:val="21"/>
              </w:rPr>
            </w:pPr>
          </w:p>
        </w:tc>
        <w:tc>
          <w:tcPr>
            <w:tcW w:w="217" w:type="dxa"/>
          </w:tcPr>
          <w:p w14:paraId="02832904" w14:textId="77777777" w:rsidR="002C0FD9" w:rsidRPr="00CA25CF" w:rsidRDefault="002C0FD9" w:rsidP="00CA25CF">
            <w:pPr>
              <w:rPr>
                <w:rFonts w:cs="Arial"/>
                <w:color w:val="FF0000"/>
                <w:sz w:val="21"/>
                <w:szCs w:val="21"/>
              </w:rPr>
            </w:pPr>
          </w:p>
        </w:tc>
        <w:tc>
          <w:tcPr>
            <w:tcW w:w="217" w:type="dxa"/>
          </w:tcPr>
          <w:p w14:paraId="7CC937B2" w14:textId="77777777" w:rsidR="002C0FD9" w:rsidRPr="00CA25CF" w:rsidRDefault="002C0FD9" w:rsidP="00CA25CF">
            <w:pPr>
              <w:rPr>
                <w:rFonts w:cs="Arial"/>
                <w:color w:val="FF0000"/>
                <w:sz w:val="21"/>
                <w:szCs w:val="21"/>
              </w:rPr>
            </w:pPr>
          </w:p>
        </w:tc>
        <w:tc>
          <w:tcPr>
            <w:tcW w:w="217" w:type="dxa"/>
          </w:tcPr>
          <w:p w14:paraId="4E6A9F2D" w14:textId="77777777" w:rsidR="002C0FD9" w:rsidRPr="00CA25CF" w:rsidRDefault="002C0FD9" w:rsidP="00CA25CF">
            <w:pPr>
              <w:rPr>
                <w:rFonts w:cs="Arial"/>
                <w:color w:val="FF0000"/>
                <w:sz w:val="21"/>
                <w:szCs w:val="21"/>
              </w:rPr>
            </w:pPr>
          </w:p>
        </w:tc>
        <w:tc>
          <w:tcPr>
            <w:tcW w:w="217" w:type="dxa"/>
          </w:tcPr>
          <w:p w14:paraId="6B696753" w14:textId="77777777" w:rsidR="002C0FD9" w:rsidRPr="00CA25CF" w:rsidRDefault="002C0FD9" w:rsidP="00CA25CF">
            <w:pPr>
              <w:rPr>
                <w:rFonts w:cs="Arial"/>
                <w:color w:val="FF0000"/>
                <w:sz w:val="21"/>
                <w:szCs w:val="21"/>
              </w:rPr>
            </w:pPr>
          </w:p>
        </w:tc>
        <w:tc>
          <w:tcPr>
            <w:tcW w:w="217" w:type="dxa"/>
          </w:tcPr>
          <w:p w14:paraId="45ADBD29" w14:textId="77777777" w:rsidR="002C0FD9" w:rsidRPr="00CA25CF" w:rsidRDefault="002C0FD9" w:rsidP="00CA25CF">
            <w:pPr>
              <w:rPr>
                <w:rFonts w:cs="Arial"/>
                <w:color w:val="FF0000"/>
                <w:sz w:val="21"/>
                <w:szCs w:val="21"/>
              </w:rPr>
            </w:pPr>
          </w:p>
        </w:tc>
        <w:tc>
          <w:tcPr>
            <w:tcW w:w="217" w:type="dxa"/>
          </w:tcPr>
          <w:p w14:paraId="353E97DA" w14:textId="77777777" w:rsidR="002C0FD9" w:rsidRPr="00CA25CF" w:rsidRDefault="002C0FD9" w:rsidP="00CA25CF">
            <w:pPr>
              <w:rPr>
                <w:rFonts w:cs="Arial"/>
                <w:color w:val="FF0000"/>
                <w:sz w:val="21"/>
                <w:szCs w:val="21"/>
              </w:rPr>
            </w:pPr>
          </w:p>
        </w:tc>
        <w:tc>
          <w:tcPr>
            <w:tcW w:w="217" w:type="dxa"/>
          </w:tcPr>
          <w:p w14:paraId="3D544463" w14:textId="77777777" w:rsidR="002C0FD9" w:rsidRPr="00CA25CF" w:rsidRDefault="002C0FD9" w:rsidP="00CA25CF">
            <w:pPr>
              <w:rPr>
                <w:rFonts w:cs="Arial"/>
                <w:color w:val="FF0000"/>
                <w:sz w:val="21"/>
                <w:szCs w:val="21"/>
              </w:rPr>
            </w:pPr>
          </w:p>
        </w:tc>
        <w:tc>
          <w:tcPr>
            <w:tcW w:w="217" w:type="dxa"/>
          </w:tcPr>
          <w:p w14:paraId="64D05AA9" w14:textId="77777777" w:rsidR="002C0FD9" w:rsidRPr="00CA25CF" w:rsidRDefault="002C0FD9" w:rsidP="00CA25CF">
            <w:pPr>
              <w:rPr>
                <w:rFonts w:cs="Arial"/>
                <w:color w:val="FF0000"/>
                <w:sz w:val="21"/>
                <w:szCs w:val="21"/>
              </w:rPr>
            </w:pPr>
          </w:p>
        </w:tc>
        <w:tc>
          <w:tcPr>
            <w:tcW w:w="217" w:type="dxa"/>
          </w:tcPr>
          <w:p w14:paraId="2832F74A" w14:textId="77777777" w:rsidR="002C0FD9" w:rsidRPr="00CA25CF" w:rsidRDefault="002C0FD9" w:rsidP="00CA25CF">
            <w:pPr>
              <w:rPr>
                <w:rFonts w:cs="Arial"/>
                <w:color w:val="FF0000"/>
                <w:sz w:val="21"/>
                <w:szCs w:val="21"/>
              </w:rPr>
            </w:pPr>
          </w:p>
        </w:tc>
        <w:tc>
          <w:tcPr>
            <w:tcW w:w="217" w:type="dxa"/>
          </w:tcPr>
          <w:p w14:paraId="464588F4" w14:textId="77777777" w:rsidR="002C0FD9" w:rsidRPr="00CA25CF" w:rsidRDefault="002C0FD9" w:rsidP="00CA25CF">
            <w:pPr>
              <w:rPr>
                <w:rFonts w:cs="Arial"/>
                <w:color w:val="FF0000"/>
                <w:sz w:val="21"/>
                <w:szCs w:val="21"/>
              </w:rPr>
            </w:pPr>
          </w:p>
        </w:tc>
        <w:tc>
          <w:tcPr>
            <w:tcW w:w="217" w:type="dxa"/>
          </w:tcPr>
          <w:p w14:paraId="74A3E5E2" w14:textId="77777777" w:rsidR="002C0FD9" w:rsidRPr="00CA25CF" w:rsidRDefault="002C0FD9" w:rsidP="00CA25CF">
            <w:pPr>
              <w:rPr>
                <w:rFonts w:cs="Arial"/>
                <w:color w:val="FF0000"/>
                <w:sz w:val="21"/>
                <w:szCs w:val="21"/>
              </w:rPr>
            </w:pPr>
          </w:p>
        </w:tc>
        <w:tc>
          <w:tcPr>
            <w:tcW w:w="217" w:type="dxa"/>
          </w:tcPr>
          <w:p w14:paraId="4EB708DC" w14:textId="77777777" w:rsidR="002C0FD9" w:rsidRPr="00CA25CF" w:rsidRDefault="002C0FD9" w:rsidP="00CA25CF">
            <w:pPr>
              <w:rPr>
                <w:rFonts w:cs="Arial"/>
                <w:color w:val="FF0000"/>
                <w:sz w:val="21"/>
                <w:szCs w:val="21"/>
              </w:rPr>
            </w:pPr>
          </w:p>
        </w:tc>
        <w:tc>
          <w:tcPr>
            <w:tcW w:w="217" w:type="dxa"/>
          </w:tcPr>
          <w:p w14:paraId="5EDBC034" w14:textId="77777777" w:rsidR="002C0FD9" w:rsidRPr="00CA25CF" w:rsidRDefault="002C0FD9" w:rsidP="00CA25CF">
            <w:pPr>
              <w:rPr>
                <w:rFonts w:cs="Arial"/>
                <w:color w:val="FF0000"/>
                <w:sz w:val="21"/>
                <w:szCs w:val="21"/>
              </w:rPr>
            </w:pPr>
          </w:p>
        </w:tc>
        <w:tc>
          <w:tcPr>
            <w:tcW w:w="217" w:type="dxa"/>
          </w:tcPr>
          <w:p w14:paraId="2F697464" w14:textId="77777777" w:rsidR="002C0FD9" w:rsidRPr="00CA25CF" w:rsidRDefault="002C0FD9" w:rsidP="00CA25CF">
            <w:pPr>
              <w:rPr>
                <w:rFonts w:cs="Arial"/>
                <w:color w:val="FF0000"/>
                <w:sz w:val="21"/>
                <w:szCs w:val="21"/>
              </w:rPr>
            </w:pPr>
          </w:p>
        </w:tc>
        <w:tc>
          <w:tcPr>
            <w:tcW w:w="217" w:type="dxa"/>
          </w:tcPr>
          <w:p w14:paraId="7BA2F093" w14:textId="77777777" w:rsidR="002C0FD9" w:rsidRPr="00CA25CF" w:rsidRDefault="002C0FD9" w:rsidP="00CA25CF">
            <w:pPr>
              <w:rPr>
                <w:rFonts w:cs="Arial"/>
                <w:color w:val="FF0000"/>
                <w:sz w:val="21"/>
                <w:szCs w:val="21"/>
              </w:rPr>
            </w:pPr>
          </w:p>
        </w:tc>
        <w:tc>
          <w:tcPr>
            <w:tcW w:w="217" w:type="dxa"/>
          </w:tcPr>
          <w:p w14:paraId="34F425D9" w14:textId="77777777" w:rsidR="002C0FD9" w:rsidRPr="00CA25CF" w:rsidRDefault="002C0FD9" w:rsidP="00CA25CF">
            <w:pPr>
              <w:rPr>
                <w:rFonts w:cs="Arial"/>
                <w:color w:val="FF0000"/>
                <w:sz w:val="21"/>
                <w:szCs w:val="21"/>
              </w:rPr>
            </w:pPr>
          </w:p>
        </w:tc>
        <w:tc>
          <w:tcPr>
            <w:tcW w:w="217" w:type="dxa"/>
          </w:tcPr>
          <w:p w14:paraId="155CC5A2" w14:textId="77777777" w:rsidR="002C0FD9" w:rsidRPr="00CA25CF" w:rsidRDefault="002C0FD9" w:rsidP="00CA25CF">
            <w:pPr>
              <w:rPr>
                <w:rFonts w:cs="Arial"/>
                <w:color w:val="FF0000"/>
                <w:sz w:val="21"/>
                <w:szCs w:val="21"/>
              </w:rPr>
            </w:pPr>
          </w:p>
        </w:tc>
        <w:tc>
          <w:tcPr>
            <w:tcW w:w="217" w:type="dxa"/>
          </w:tcPr>
          <w:p w14:paraId="23169C7D" w14:textId="77777777" w:rsidR="002C0FD9" w:rsidRPr="00CA25CF" w:rsidRDefault="002C0FD9" w:rsidP="00CA25CF">
            <w:pPr>
              <w:rPr>
                <w:rFonts w:cs="Arial"/>
                <w:color w:val="FF0000"/>
                <w:sz w:val="21"/>
                <w:szCs w:val="21"/>
              </w:rPr>
            </w:pPr>
          </w:p>
        </w:tc>
        <w:tc>
          <w:tcPr>
            <w:tcW w:w="217" w:type="dxa"/>
          </w:tcPr>
          <w:p w14:paraId="357E2993" w14:textId="77777777" w:rsidR="002C0FD9" w:rsidRPr="00CA25CF" w:rsidRDefault="002C0FD9" w:rsidP="00CA25CF">
            <w:pPr>
              <w:rPr>
                <w:rFonts w:cs="Arial"/>
                <w:color w:val="FF0000"/>
                <w:sz w:val="21"/>
                <w:szCs w:val="21"/>
              </w:rPr>
            </w:pPr>
          </w:p>
        </w:tc>
        <w:tc>
          <w:tcPr>
            <w:tcW w:w="217" w:type="dxa"/>
          </w:tcPr>
          <w:p w14:paraId="440DAECA" w14:textId="77777777" w:rsidR="002C0FD9" w:rsidRPr="00CA25CF" w:rsidRDefault="002C0FD9" w:rsidP="00CA25CF">
            <w:pPr>
              <w:rPr>
                <w:rFonts w:cs="Arial"/>
                <w:color w:val="FF0000"/>
                <w:sz w:val="21"/>
                <w:szCs w:val="21"/>
              </w:rPr>
            </w:pPr>
          </w:p>
        </w:tc>
        <w:tc>
          <w:tcPr>
            <w:tcW w:w="217" w:type="dxa"/>
          </w:tcPr>
          <w:p w14:paraId="5BF752AC" w14:textId="77777777" w:rsidR="002C0FD9" w:rsidRPr="00CA25CF" w:rsidRDefault="002C0FD9" w:rsidP="00CA25CF">
            <w:pPr>
              <w:rPr>
                <w:rFonts w:cs="Arial"/>
                <w:color w:val="FF0000"/>
                <w:sz w:val="21"/>
                <w:szCs w:val="21"/>
              </w:rPr>
            </w:pPr>
          </w:p>
        </w:tc>
        <w:tc>
          <w:tcPr>
            <w:tcW w:w="217" w:type="dxa"/>
          </w:tcPr>
          <w:p w14:paraId="3A2B81C7" w14:textId="77777777" w:rsidR="002C0FD9" w:rsidRPr="00CA25CF" w:rsidRDefault="002C0FD9" w:rsidP="00CA25CF">
            <w:pPr>
              <w:rPr>
                <w:rFonts w:cs="Arial"/>
                <w:color w:val="FF0000"/>
                <w:sz w:val="21"/>
                <w:szCs w:val="21"/>
              </w:rPr>
            </w:pPr>
          </w:p>
        </w:tc>
        <w:tc>
          <w:tcPr>
            <w:tcW w:w="217" w:type="dxa"/>
          </w:tcPr>
          <w:p w14:paraId="321E7B59" w14:textId="77777777" w:rsidR="002C0FD9" w:rsidRPr="00CA25CF" w:rsidRDefault="002C0FD9" w:rsidP="00CA25CF">
            <w:pPr>
              <w:rPr>
                <w:rFonts w:cs="Arial"/>
                <w:color w:val="FF0000"/>
                <w:sz w:val="21"/>
                <w:szCs w:val="21"/>
              </w:rPr>
            </w:pPr>
          </w:p>
        </w:tc>
        <w:tc>
          <w:tcPr>
            <w:tcW w:w="217" w:type="dxa"/>
          </w:tcPr>
          <w:p w14:paraId="566EC6D1" w14:textId="77777777" w:rsidR="002C0FD9" w:rsidRPr="00CA25CF" w:rsidRDefault="002C0FD9" w:rsidP="00CA25CF">
            <w:pPr>
              <w:rPr>
                <w:rFonts w:cs="Arial"/>
                <w:color w:val="FF0000"/>
                <w:sz w:val="21"/>
                <w:szCs w:val="21"/>
              </w:rPr>
            </w:pPr>
          </w:p>
        </w:tc>
        <w:tc>
          <w:tcPr>
            <w:tcW w:w="217" w:type="dxa"/>
          </w:tcPr>
          <w:p w14:paraId="72CE36AF" w14:textId="77777777" w:rsidR="002C0FD9" w:rsidRPr="00CA25CF" w:rsidRDefault="002C0FD9" w:rsidP="00CA25CF">
            <w:pPr>
              <w:rPr>
                <w:rFonts w:cs="Arial"/>
                <w:color w:val="FF0000"/>
                <w:sz w:val="21"/>
                <w:szCs w:val="21"/>
              </w:rPr>
            </w:pPr>
          </w:p>
        </w:tc>
        <w:tc>
          <w:tcPr>
            <w:tcW w:w="217" w:type="dxa"/>
          </w:tcPr>
          <w:p w14:paraId="6C14D3F4" w14:textId="77777777" w:rsidR="002C0FD9" w:rsidRPr="00CA25CF" w:rsidRDefault="002C0FD9" w:rsidP="00CA25CF">
            <w:pPr>
              <w:rPr>
                <w:rFonts w:cs="Arial"/>
                <w:color w:val="FF0000"/>
                <w:sz w:val="21"/>
                <w:szCs w:val="21"/>
              </w:rPr>
            </w:pPr>
          </w:p>
        </w:tc>
        <w:tc>
          <w:tcPr>
            <w:tcW w:w="217" w:type="dxa"/>
          </w:tcPr>
          <w:p w14:paraId="7614258F" w14:textId="77777777" w:rsidR="002C0FD9" w:rsidRPr="00CA25CF" w:rsidRDefault="002C0FD9" w:rsidP="00CA25CF">
            <w:pPr>
              <w:rPr>
                <w:rFonts w:cs="Arial"/>
                <w:color w:val="FF0000"/>
                <w:sz w:val="21"/>
                <w:szCs w:val="21"/>
              </w:rPr>
            </w:pPr>
          </w:p>
        </w:tc>
        <w:tc>
          <w:tcPr>
            <w:tcW w:w="217" w:type="dxa"/>
          </w:tcPr>
          <w:p w14:paraId="7DF1CAC5" w14:textId="77777777" w:rsidR="002C0FD9" w:rsidRPr="00CA25CF" w:rsidRDefault="002C0FD9" w:rsidP="00CA25CF">
            <w:pPr>
              <w:rPr>
                <w:rFonts w:cs="Arial"/>
                <w:color w:val="FF0000"/>
                <w:sz w:val="21"/>
                <w:szCs w:val="21"/>
              </w:rPr>
            </w:pPr>
          </w:p>
        </w:tc>
        <w:tc>
          <w:tcPr>
            <w:tcW w:w="217" w:type="dxa"/>
          </w:tcPr>
          <w:p w14:paraId="3FFCD017" w14:textId="77777777" w:rsidR="002C0FD9" w:rsidRPr="00CA25CF" w:rsidRDefault="002C0FD9" w:rsidP="00CA25CF">
            <w:pPr>
              <w:rPr>
                <w:rFonts w:cs="Arial"/>
                <w:color w:val="FF0000"/>
                <w:sz w:val="21"/>
                <w:szCs w:val="21"/>
              </w:rPr>
            </w:pPr>
          </w:p>
        </w:tc>
        <w:tc>
          <w:tcPr>
            <w:tcW w:w="217" w:type="dxa"/>
          </w:tcPr>
          <w:p w14:paraId="60C7EB2E" w14:textId="77777777" w:rsidR="002C0FD9" w:rsidRPr="00CA25CF" w:rsidRDefault="002C0FD9" w:rsidP="00CA25CF">
            <w:pPr>
              <w:rPr>
                <w:rFonts w:cs="Arial"/>
                <w:color w:val="FF0000"/>
                <w:sz w:val="21"/>
                <w:szCs w:val="21"/>
              </w:rPr>
            </w:pPr>
          </w:p>
        </w:tc>
      </w:tr>
      <w:tr w:rsidR="002C0FD9" w:rsidRPr="00A16219" w14:paraId="4A85164A" w14:textId="77777777" w:rsidTr="002C0FD9">
        <w:trPr>
          <w:trHeight w:val="635"/>
        </w:trPr>
        <w:tc>
          <w:tcPr>
            <w:tcW w:w="515" w:type="dxa"/>
          </w:tcPr>
          <w:p w14:paraId="4AA21444" w14:textId="77777777" w:rsidR="002C0FD9" w:rsidRPr="00CA25CF" w:rsidRDefault="002C0FD9" w:rsidP="00CA25CF">
            <w:pPr>
              <w:rPr>
                <w:rFonts w:cs="Arial"/>
                <w:color w:val="FF0000"/>
                <w:sz w:val="21"/>
                <w:szCs w:val="21"/>
              </w:rPr>
            </w:pPr>
          </w:p>
        </w:tc>
        <w:tc>
          <w:tcPr>
            <w:tcW w:w="217" w:type="dxa"/>
          </w:tcPr>
          <w:p w14:paraId="46F04134" w14:textId="77777777" w:rsidR="002C0FD9" w:rsidRPr="00CA25CF" w:rsidRDefault="002C0FD9" w:rsidP="00CA25CF">
            <w:pPr>
              <w:rPr>
                <w:rFonts w:cs="Arial"/>
                <w:color w:val="FF0000"/>
                <w:sz w:val="21"/>
                <w:szCs w:val="21"/>
              </w:rPr>
            </w:pPr>
          </w:p>
        </w:tc>
        <w:tc>
          <w:tcPr>
            <w:tcW w:w="217" w:type="dxa"/>
          </w:tcPr>
          <w:p w14:paraId="0A025331" w14:textId="77777777" w:rsidR="002C0FD9" w:rsidRPr="00CA25CF" w:rsidRDefault="002C0FD9" w:rsidP="00CA25CF">
            <w:pPr>
              <w:rPr>
                <w:rFonts w:cs="Arial"/>
                <w:color w:val="FF0000"/>
                <w:sz w:val="21"/>
                <w:szCs w:val="21"/>
              </w:rPr>
            </w:pPr>
          </w:p>
        </w:tc>
        <w:tc>
          <w:tcPr>
            <w:tcW w:w="217" w:type="dxa"/>
          </w:tcPr>
          <w:p w14:paraId="163E367A" w14:textId="77777777" w:rsidR="002C0FD9" w:rsidRPr="00CA25CF" w:rsidRDefault="002C0FD9" w:rsidP="00CA25CF">
            <w:pPr>
              <w:rPr>
                <w:rFonts w:cs="Arial"/>
                <w:color w:val="FF0000"/>
                <w:sz w:val="21"/>
                <w:szCs w:val="21"/>
              </w:rPr>
            </w:pPr>
          </w:p>
        </w:tc>
        <w:tc>
          <w:tcPr>
            <w:tcW w:w="217" w:type="dxa"/>
          </w:tcPr>
          <w:p w14:paraId="6BBC9838" w14:textId="77777777" w:rsidR="002C0FD9" w:rsidRPr="00CA25CF" w:rsidRDefault="002C0FD9" w:rsidP="00CA25CF">
            <w:pPr>
              <w:rPr>
                <w:rFonts w:cs="Arial"/>
                <w:color w:val="FF0000"/>
                <w:sz w:val="21"/>
                <w:szCs w:val="21"/>
              </w:rPr>
            </w:pPr>
          </w:p>
        </w:tc>
        <w:tc>
          <w:tcPr>
            <w:tcW w:w="217" w:type="dxa"/>
          </w:tcPr>
          <w:p w14:paraId="3D289B7F" w14:textId="77777777" w:rsidR="002C0FD9" w:rsidRPr="00CA25CF" w:rsidRDefault="002C0FD9" w:rsidP="00CA25CF">
            <w:pPr>
              <w:rPr>
                <w:rFonts w:cs="Arial"/>
                <w:color w:val="FF0000"/>
                <w:sz w:val="21"/>
                <w:szCs w:val="21"/>
              </w:rPr>
            </w:pPr>
          </w:p>
        </w:tc>
        <w:tc>
          <w:tcPr>
            <w:tcW w:w="217" w:type="dxa"/>
          </w:tcPr>
          <w:p w14:paraId="59E23A6A" w14:textId="77777777" w:rsidR="002C0FD9" w:rsidRPr="00CA25CF" w:rsidRDefault="002C0FD9" w:rsidP="00CA25CF">
            <w:pPr>
              <w:rPr>
                <w:rFonts w:cs="Arial"/>
                <w:color w:val="FF0000"/>
                <w:sz w:val="21"/>
                <w:szCs w:val="21"/>
              </w:rPr>
            </w:pPr>
          </w:p>
        </w:tc>
        <w:tc>
          <w:tcPr>
            <w:tcW w:w="217" w:type="dxa"/>
          </w:tcPr>
          <w:p w14:paraId="56E7E832" w14:textId="77777777" w:rsidR="002C0FD9" w:rsidRPr="00CA25CF" w:rsidRDefault="002C0FD9" w:rsidP="00CA25CF">
            <w:pPr>
              <w:rPr>
                <w:rFonts w:cs="Arial"/>
                <w:color w:val="FF0000"/>
                <w:sz w:val="21"/>
                <w:szCs w:val="21"/>
              </w:rPr>
            </w:pPr>
          </w:p>
        </w:tc>
        <w:tc>
          <w:tcPr>
            <w:tcW w:w="217" w:type="dxa"/>
          </w:tcPr>
          <w:p w14:paraId="19C3B164" w14:textId="77777777" w:rsidR="002C0FD9" w:rsidRPr="00CA25CF" w:rsidRDefault="002C0FD9" w:rsidP="00CA25CF">
            <w:pPr>
              <w:rPr>
                <w:rFonts w:cs="Arial"/>
                <w:color w:val="FF0000"/>
                <w:sz w:val="21"/>
                <w:szCs w:val="21"/>
              </w:rPr>
            </w:pPr>
          </w:p>
        </w:tc>
        <w:tc>
          <w:tcPr>
            <w:tcW w:w="217" w:type="dxa"/>
          </w:tcPr>
          <w:p w14:paraId="0378FA09" w14:textId="77777777" w:rsidR="002C0FD9" w:rsidRPr="00CA25CF" w:rsidRDefault="002C0FD9" w:rsidP="00CA25CF">
            <w:pPr>
              <w:rPr>
                <w:rFonts w:cs="Arial"/>
                <w:color w:val="FF0000"/>
                <w:sz w:val="21"/>
                <w:szCs w:val="21"/>
              </w:rPr>
            </w:pPr>
          </w:p>
        </w:tc>
        <w:tc>
          <w:tcPr>
            <w:tcW w:w="217" w:type="dxa"/>
          </w:tcPr>
          <w:p w14:paraId="531CE14B" w14:textId="77777777" w:rsidR="002C0FD9" w:rsidRPr="00CA25CF" w:rsidRDefault="002C0FD9" w:rsidP="00CA25CF">
            <w:pPr>
              <w:rPr>
                <w:rFonts w:cs="Arial"/>
                <w:color w:val="FF0000"/>
                <w:sz w:val="21"/>
                <w:szCs w:val="21"/>
              </w:rPr>
            </w:pPr>
          </w:p>
        </w:tc>
        <w:tc>
          <w:tcPr>
            <w:tcW w:w="217" w:type="dxa"/>
          </w:tcPr>
          <w:p w14:paraId="15FBD2AA" w14:textId="77777777" w:rsidR="002C0FD9" w:rsidRPr="00CA25CF" w:rsidRDefault="002C0FD9" w:rsidP="00CA25CF">
            <w:pPr>
              <w:rPr>
                <w:rFonts w:cs="Arial"/>
                <w:color w:val="FF0000"/>
                <w:sz w:val="21"/>
                <w:szCs w:val="21"/>
              </w:rPr>
            </w:pPr>
          </w:p>
        </w:tc>
        <w:tc>
          <w:tcPr>
            <w:tcW w:w="217" w:type="dxa"/>
          </w:tcPr>
          <w:p w14:paraId="78CD841E" w14:textId="77777777" w:rsidR="002C0FD9" w:rsidRPr="00CA25CF" w:rsidRDefault="002C0FD9" w:rsidP="00CA25CF">
            <w:pPr>
              <w:rPr>
                <w:rFonts w:cs="Arial"/>
                <w:color w:val="FF0000"/>
                <w:sz w:val="21"/>
                <w:szCs w:val="21"/>
              </w:rPr>
            </w:pPr>
          </w:p>
        </w:tc>
        <w:tc>
          <w:tcPr>
            <w:tcW w:w="217" w:type="dxa"/>
          </w:tcPr>
          <w:p w14:paraId="7F527439" w14:textId="77777777" w:rsidR="002C0FD9" w:rsidRPr="00CA25CF" w:rsidRDefault="002C0FD9" w:rsidP="00CA25CF">
            <w:pPr>
              <w:rPr>
                <w:rFonts w:cs="Arial"/>
                <w:color w:val="FF0000"/>
                <w:sz w:val="21"/>
                <w:szCs w:val="21"/>
              </w:rPr>
            </w:pPr>
          </w:p>
        </w:tc>
        <w:tc>
          <w:tcPr>
            <w:tcW w:w="217" w:type="dxa"/>
          </w:tcPr>
          <w:p w14:paraId="19419C2E" w14:textId="77777777" w:rsidR="002C0FD9" w:rsidRPr="00CA25CF" w:rsidRDefault="002C0FD9" w:rsidP="00CA25CF">
            <w:pPr>
              <w:rPr>
                <w:rFonts w:cs="Arial"/>
                <w:color w:val="FF0000"/>
                <w:sz w:val="21"/>
                <w:szCs w:val="21"/>
              </w:rPr>
            </w:pPr>
          </w:p>
        </w:tc>
        <w:tc>
          <w:tcPr>
            <w:tcW w:w="217" w:type="dxa"/>
          </w:tcPr>
          <w:p w14:paraId="051152BA" w14:textId="77777777" w:rsidR="002C0FD9" w:rsidRPr="00CA25CF" w:rsidRDefault="002C0FD9" w:rsidP="00CA25CF">
            <w:pPr>
              <w:rPr>
                <w:rFonts w:cs="Arial"/>
                <w:color w:val="FF0000"/>
                <w:sz w:val="21"/>
                <w:szCs w:val="21"/>
              </w:rPr>
            </w:pPr>
          </w:p>
        </w:tc>
        <w:tc>
          <w:tcPr>
            <w:tcW w:w="217" w:type="dxa"/>
          </w:tcPr>
          <w:p w14:paraId="049F5E06" w14:textId="77777777" w:rsidR="002C0FD9" w:rsidRPr="00CA25CF" w:rsidRDefault="002C0FD9" w:rsidP="00CA25CF">
            <w:pPr>
              <w:rPr>
                <w:rFonts w:cs="Arial"/>
                <w:color w:val="FF0000"/>
                <w:sz w:val="21"/>
                <w:szCs w:val="21"/>
              </w:rPr>
            </w:pPr>
          </w:p>
        </w:tc>
        <w:tc>
          <w:tcPr>
            <w:tcW w:w="217" w:type="dxa"/>
          </w:tcPr>
          <w:p w14:paraId="70E6C559" w14:textId="77777777" w:rsidR="002C0FD9" w:rsidRPr="00CA25CF" w:rsidRDefault="002C0FD9" w:rsidP="00CA25CF">
            <w:pPr>
              <w:rPr>
                <w:rFonts w:cs="Arial"/>
                <w:color w:val="FF0000"/>
                <w:sz w:val="21"/>
                <w:szCs w:val="21"/>
              </w:rPr>
            </w:pPr>
          </w:p>
        </w:tc>
        <w:tc>
          <w:tcPr>
            <w:tcW w:w="217" w:type="dxa"/>
          </w:tcPr>
          <w:p w14:paraId="602DD7DF" w14:textId="77777777" w:rsidR="002C0FD9" w:rsidRPr="00CA25CF" w:rsidRDefault="002C0FD9" w:rsidP="00CA25CF">
            <w:pPr>
              <w:rPr>
                <w:rFonts w:cs="Arial"/>
                <w:color w:val="FF0000"/>
                <w:sz w:val="21"/>
                <w:szCs w:val="21"/>
              </w:rPr>
            </w:pPr>
          </w:p>
        </w:tc>
        <w:tc>
          <w:tcPr>
            <w:tcW w:w="217" w:type="dxa"/>
          </w:tcPr>
          <w:p w14:paraId="59BF7F78" w14:textId="77777777" w:rsidR="002C0FD9" w:rsidRPr="00CA25CF" w:rsidRDefault="002C0FD9" w:rsidP="00CA25CF">
            <w:pPr>
              <w:rPr>
                <w:rFonts w:cs="Arial"/>
                <w:color w:val="FF0000"/>
                <w:sz w:val="21"/>
                <w:szCs w:val="21"/>
              </w:rPr>
            </w:pPr>
          </w:p>
        </w:tc>
        <w:tc>
          <w:tcPr>
            <w:tcW w:w="217" w:type="dxa"/>
          </w:tcPr>
          <w:p w14:paraId="228A094B" w14:textId="77777777" w:rsidR="002C0FD9" w:rsidRPr="00CA25CF" w:rsidRDefault="002C0FD9" w:rsidP="00CA25CF">
            <w:pPr>
              <w:rPr>
                <w:rFonts w:cs="Arial"/>
                <w:color w:val="FF0000"/>
                <w:sz w:val="21"/>
                <w:szCs w:val="21"/>
              </w:rPr>
            </w:pPr>
          </w:p>
        </w:tc>
        <w:tc>
          <w:tcPr>
            <w:tcW w:w="217" w:type="dxa"/>
          </w:tcPr>
          <w:p w14:paraId="24934EE6" w14:textId="77777777" w:rsidR="002C0FD9" w:rsidRPr="00CA25CF" w:rsidRDefault="002C0FD9" w:rsidP="00CA25CF">
            <w:pPr>
              <w:rPr>
                <w:rFonts w:cs="Arial"/>
                <w:color w:val="FF0000"/>
                <w:sz w:val="21"/>
                <w:szCs w:val="21"/>
              </w:rPr>
            </w:pPr>
          </w:p>
        </w:tc>
        <w:tc>
          <w:tcPr>
            <w:tcW w:w="217" w:type="dxa"/>
          </w:tcPr>
          <w:p w14:paraId="4246A06D" w14:textId="77777777" w:rsidR="002C0FD9" w:rsidRPr="00CA25CF" w:rsidRDefault="002C0FD9" w:rsidP="00CA25CF">
            <w:pPr>
              <w:rPr>
                <w:rFonts w:cs="Arial"/>
                <w:color w:val="FF0000"/>
                <w:sz w:val="21"/>
                <w:szCs w:val="21"/>
              </w:rPr>
            </w:pPr>
          </w:p>
        </w:tc>
        <w:tc>
          <w:tcPr>
            <w:tcW w:w="217" w:type="dxa"/>
          </w:tcPr>
          <w:p w14:paraId="2A854B64" w14:textId="77777777" w:rsidR="002C0FD9" w:rsidRPr="00CA25CF" w:rsidRDefault="002C0FD9" w:rsidP="00CA25CF">
            <w:pPr>
              <w:rPr>
                <w:rFonts w:cs="Arial"/>
                <w:color w:val="FF0000"/>
                <w:sz w:val="21"/>
                <w:szCs w:val="21"/>
              </w:rPr>
            </w:pPr>
          </w:p>
        </w:tc>
        <w:tc>
          <w:tcPr>
            <w:tcW w:w="217" w:type="dxa"/>
          </w:tcPr>
          <w:p w14:paraId="56AA1458" w14:textId="77777777" w:rsidR="002C0FD9" w:rsidRPr="00CA25CF" w:rsidRDefault="002C0FD9" w:rsidP="00CA25CF">
            <w:pPr>
              <w:rPr>
                <w:rFonts w:cs="Arial"/>
                <w:color w:val="FF0000"/>
                <w:sz w:val="21"/>
                <w:szCs w:val="21"/>
              </w:rPr>
            </w:pPr>
          </w:p>
        </w:tc>
        <w:tc>
          <w:tcPr>
            <w:tcW w:w="217" w:type="dxa"/>
          </w:tcPr>
          <w:p w14:paraId="55DB45B7" w14:textId="77777777" w:rsidR="002C0FD9" w:rsidRPr="00CA25CF" w:rsidRDefault="002C0FD9" w:rsidP="00CA25CF">
            <w:pPr>
              <w:rPr>
                <w:rFonts w:cs="Arial"/>
                <w:color w:val="FF0000"/>
                <w:sz w:val="21"/>
                <w:szCs w:val="21"/>
              </w:rPr>
            </w:pPr>
          </w:p>
        </w:tc>
        <w:tc>
          <w:tcPr>
            <w:tcW w:w="217" w:type="dxa"/>
          </w:tcPr>
          <w:p w14:paraId="580E5DD6" w14:textId="77777777" w:rsidR="002C0FD9" w:rsidRPr="00CA25CF" w:rsidRDefault="002C0FD9" w:rsidP="00CA25CF">
            <w:pPr>
              <w:rPr>
                <w:rFonts w:cs="Arial"/>
                <w:color w:val="FF0000"/>
                <w:sz w:val="21"/>
                <w:szCs w:val="21"/>
              </w:rPr>
            </w:pPr>
          </w:p>
        </w:tc>
        <w:tc>
          <w:tcPr>
            <w:tcW w:w="217" w:type="dxa"/>
          </w:tcPr>
          <w:p w14:paraId="3A32CB36" w14:textId="77777777" w:rsidR="002C0FD9" w:rsidRPr="00CA25CF" w:rsidRDefault="002C0FD9" w:rsidP="00CA25CF">
            <w:pPr>
              <w:rPr>
                <w:rFonts w:cs="Arial"/>
                <w:color w:val="FF0000"/>
                <w:sz w:val="21"/>
                <w:szCs w:val="21"/>
              </w:rPr>
            </w:pPr>
          </w:p>
        </w:tc>
        <w:tc>
          <w:tcPr>
            <w:tcW w:w="217" w:type="dxa"/>
          </w:tcPr>
          <w:p w14:paraId="49AAA2BE" w14:textId="77777777" w:rsidR="002C0FD9" w:rsidRPr="00CA25CF" w:rsidRDefault="002C0FD9" w:rsidP="00CA25CF">
            <w:pPr>
              <w:rPr>
                <w:rFonts w:cs="Arial"/>
                <w:color w:val="FF0000"/>
                <w:sz w:val="21"/>
                <w:szCs w:val="21"/>
              </w:rPr>
            </w:pPr>
          </w:p>
        </w:tc>
        <w:tc>
          <w:tcPr>
            <w:tcW w:w="217" w:type="dxa"/>
          </w:tcPr>
          <w:p w14:paraId="323241D8" w14:textId="77777777" w:rsidR="002C0FD9" w:rsidRPr="00CA25CF" w:rsidRDefault="002C0FD9" w:rsidP="00CA25CF">
            <w:pPr>
              <w:rPr>
                <w:rFonts w:cs="Arial"/>
                <w:color w:val="FF0000"/>
                <w:sz w:val="21"/>
                <w:szCs w:val="21"/>
              </w:rPr>
            </w:pPr>
          </w:p>
        </w:tc>
        <w:tc>
          <w:tcPr>
            <w:tcW w:w="217" w:type="dxa"/>
          </w:tcPr>
          <w:p w14:paraId="4D14C7BF" w14:textId="77777777" w:rsidR="002C0FD9" w:rsidRPr="00CA25CF" w:rsidRDefault="002C0FD9" w:rsidP="00CA25CF">
            <w:pPr>
              <w:rPr>
                <w:rFonts w:cs="Arial"/>
                <w:color w:val="FF0000"/>
                <w:sz w:val="21"/>
                <w:szCs w:val="21"/>
              </w:rPr>
            </w:pPr>
          </w:p>
        </w:tc>
        <w:tc>
          <w:tcPr>
            <w:tcW w:w="217" w:type="dxa"/>
          </w:tcPr>
          <w:p w14:paraId="313FC0C8" w14:textId="77777777" w:rsidR="002C0FD9" w:rsidRPr="00CA25CF" w:rsidRDefault="002C0FD9" w:rsidP="00CA25CF">
            <w:pPr>
              <w:rPr>
                <w:rFonts w:cs="Arial"/>
                <w:color w:val="FF0000"/>
                <w:sz w:val="21"/>
                <w:szCs w:val="21"/>
              </w:rPr>
            </w:pPr>
          </w:p>
        </w:tc>
        <w:tc>
          <w:tcPr>
            <w:tcW w:w="217" w:type="dxa"/>
          </w:tcPr>
          <w:p w14:paraId="75D37CB0" w14:textId="77777777" w:rsidR="002C0FD9" w:rsidRPr="00CA25CF" w:rsidRDefault="002C0FD9" w:rsidP="00CA25CF">
            <w:pPr>
              <w:rPr>
                <w:rFonts w:cs="Arial"/>
                <w:color w:val="FF0000"/>
                <w:sz w:val="21"/>
                <w:szCs w:val="21"/>
              </w:rPr>
            </w:pPr>
          </w:p>
        </w:tc>
        <w:tc>
          <w:tcPr>
            <w:tcW w:w="217" w:type="dxa"/>
          </w:tcPr>
          <w:p w14:paraId="4D636971" w14:textId="77777777" w:rsidR="002C0FD9" w:rsidRPr="00CA25CF" w:rsidRDefault="002C0FD9" w:rsidP="00CA25CF">
            <w:pPr>
              <w:rPr>
                <w:rFonts w:cs="Arial"/>
                <w:color w:val="FF0000"/>
                <w:sz w:val="21"/>
                <w:szCs w:val="21"/>
              </w:rPr>
            </w:pPr>
          </w:p>
        </w:tc>
        <w:tc>
          <w:tcPr>
            <w:tcW w:w="217" w:type="dxa"/>
          </w:tcPr>
          <w:p w14:paraId="79D0F77A" w14:textId="77777777" w:rsidR="002C0FD9" w:rsidRPr="00CA25CF" w:rsidRDefault="002C0FD9" w:rsidP="00CA25CF">
            <w:pPr>
              <w:rPr>
                <w:rFonts w:cs="Arial"/>
                <w:color w:val="FF0000"/>
                <w:sz w:val="21"/>
                <w:szCs w:val="21"/>
              </w:rPr>
            </w:pPr>
          </w:p>
        </w:tc>
        <w:tc>
          <w:tcPr>
            <w:tcW w:w="217" w:type="dxa"/>
          </w:tcPr>
          <w:p w14:paraId="60B304F2" w14:textId="77777777" w:rsidR="002C0FD9" w:rsidRPr="00CA25CF" w:rsidRDefault="002C0FD9" w:rsidP="00CA25CF">
            <w:pPr>
              <w:rPr>
                <w:rFonts w:cs="Arial"/>
                <w:color w:val="FF0000"/>
                <w:sz w:val="21"/>
                <w:szCs w:val="21"/>
              </w:rPr>
            </w:pPr>
          </w:p>
        </w:tc>
        <w:tc>
          <w:tcPr>
            <w:tcW w:w="217" w:type="dxa"/>
          </w:tcPr>
          <w:p w14:paraId="4ED19AE5" w14:textId="77777777" w:rsidR="002C0FD9" w:rsidRPr="00CA25CF" w:rsidRDefault="002C0FD9" w:rsidP="00CA25CF">
            <w:pPr>
              <w:rPr>
                <w:rFonts w:cs="Arial"/>
                <w:color w:val="FF0000"/>
                <w:sz w:val="21"/>
                <w:szCs w:val="21"/>
              </w:rPr>
            </w:pPr>
          </w:p>
        </w:tc>
        <w:tc>
          <w:tcPr>
            <w:tcW w:w="217" w:type="dxa"/>
          </w:tcPr>
          <w:p w14:paraId="5A301B02" w14:textId="77777777" w:rsidR="002C0FD9" w:rsidRPr="00CA25CF" w:rsidRDefault="002C0FD9" w:rsidP="00CA25CF">
            <w:pPr>
              <w:rPr>
                <w:rFonts w:cs="Arial"/>
                <w:color w:val="FF0000"/>
                <w:sz w:val="21"/>
                <w:szCs w:val="21"/>
              </w:rPr>
            </w:pPr>
          </w:p>
        </w:tc>
        <w:tc>
          <w:tcPr>
            <w:tcW w:w="217" w:type="dxa"/>
          </w:tcPr>
          <w:p w14:paraId="0288F113" w14:textId="77777777" w:rsidR="002C0FD9" w:rsidRPr="00CA25CF" w:rsidRDefault="002C0FD9" w:rsidP="00CA25CF">
            <w:pPr>
              <w:rPr>
                <w:rFonts w:cs="Arial"/>
                <w:color w:val="FF0000"/>
                <w:sz w:val="21"/>
                <w:szCs w:val="21"/>
              </w:rPr>
            </w:pPr>
          </w:p>
        </w:tc>
        <w:tc>
          <w:tcPr>
            <w:tcW w:w="217" w:type="dxa"/>
          </w:tcPr>
          <w:p w14:paraId="5A95151B" w14:textId="77777777" w:rsidR="002C0FD9" w:rsidRPr="00CA25CF" w:rsidRDefault="002C0FD9" w:rsidP="00CA25CF">
            <w:pPr>
              <w:rPr>
                <w:rFonts w:cs="Arial"/>
                <w:color w:val="FF0000"/>
                <w:sz w:val="21"/>
                <w:szCs w:val="21"/>
              </w:rPr>
            </w:pPr>
          </w:p>
        </w:tc>
        <w:tc>
          <w:tcPr>
            <w:tcW w:w="217" w:type="dxa"/>
          </w:tcPr>
          <w:p w14:paraId="24579749" w14:textId="77777777" w:rsidR="002C0FD9" w:rsidRPr="00CA25CF" w:rsidRDefault="002C0FD9" w:rsidP="00CA25CF">
            <w:pPr>
              <w:rPr>
                <w:rFonts w:cs="Arial"/>
                <w:color w:val="FF0000"/>
                <w:sz w:val="21"/>
                <w:szCs w:val="21"/>
              </w:rPr>
            </w:pPr>
          </w:p>
        </w:tc>
        <w:tc>
          <w:tcPr>
            <w:tcW w:w="217" w:type="dxa"/>
          </w:tcPr>
          <w:p w14:paraId="4F539A45" w14:textId="77777777" w:rsidR="002C0FD9" w:rsidRPr="00CA25CF" w:rsidRDefault="002C0FD9" w:rsidP="00CA25CF">
            <w:pPr>
              <w:rPr>
                <w:rFonts w:cs="Arial"/>
                <w:color w:val="FF0000"/>
                <w:sz w:val="21"/>
                <w:szCs w:val="21"/>
              </w:rPr>
            </w:pPr>
          </w:p>
        </w:tc>
        <w:tc>
          <w:tcPr>
            <w:tcW w:w="217" w:type="dxa"/>
          </w:tcPr>
          <w:p w14:paraId="55521F3C" w14:textId="77777777" w:rsidR="002C0FD9" w:rsidRPr="00CA25CF" w:rsidRDefault="002C0FD9" w:rsidP="00CA25CF">
            <w:pPr>
              <w:rPr>
                <w:rFonts w:cs="Arial"/>
                <w:color w:val="FF0000"/>
                <w:sz w:val="21"/>
                <w:szCs w:val="21"/>
              </w:rPr>
            </w:pPr>
          </w:p>
        </w:tc>
      </w:tr>
      <w:tr w:rsidR="002C0FD9" w:rsidRPr="00A16219" w14:paraId="14974A92" w14:textId="77777777" w:rsidTr="002C0FD9">
        <w:trPr>
          <w:trHeight w:val="635"/>
        </w:trPr>
        <w:tc>
          <w:tcPr>
            <w:tcW w:w="515" w:type="dxa"/>
          </w:tcPr>
          <w:p w14:paraId="6EB4F863" w14:textId="77777777" w:rsidR="002C0FD9" w:rsidRPr="00CA25CF" w:rsidRDefault="002C0FD9" w:rsidP="00CA25CF">
            <w:pPr>
              <w:rPr>
                <w:rFonts w:cs="Arial"/>
                <w:color w:val="FF0000"/>
                <w:sz w:val="21"/>
                <w:szCs w:val="21"/>
              </w:rPr>
            </w:pPr>
          </w:p>
        </w:tc>
        <w:tc>
          <w:tcPr>
            <w:tcW w:w="217" w:type="dxa"/>
          </w:tcPr>
          <w:p w14:paraId="2FA9D032" w14:textId="77777777" w:rsidR="002C0FD9" w:rsidRPr="00CA25CF" w:rsidRDefault="002C0FD9" w:rsidP="00CA25CF">
            <w:pPr>
              <w:rPr>
                <w:rFonts w:cs="Arial"/>
                <w:color w:val="FF0000"/>
                <w:sz w:val="21"/>
                <w:szCs w:val="21"/>
              </w:rPr>
            </w:pPr>
          </w:p>
        </w:tc>
        <w:tc>
          <w:tcPr>
            <w:tcW w:w="217" w:type="dxa"/>
          </w:tcPr>
          <w:p w14:paraId="20A4ED1A" w14:textId="77777777" w:rsidR="002C0FD9" w:rsidRPr="00CA25CF" w:rsidRDefault="002C0FD9" w:rsidP="00CA25CF">
            <w:pPr>
              <w:rPr>
                <w:rFonts w:cs="Arial"/>
                <w:color w:val="FF0000"/>
                <w:sz w:val="21"/>
                <w:szCs w:val="21"/>
              </w:rPr>
            </w:pPr>
          </w:p>
        </w:tc>
        <w:tc>
          <w:tcPr>
            <w:tcW w:w="217" w:type="dxa"/>
          </w:tcPr>
          <w:p w14:paraId="7228B73D" w14:textId="77777777" w:rsidR="002C0FD9" w:rsidRPr="00CA25CF" w:rsidRDefault="002C0FD9" w:rsidP="00CA25CF">
            <w:pPr>
              <w:rPr>
                <w:rFonts w:cs="Arial"/>
                <w:color w:val="FF0000"/>
                <w:sz w:val="21"/>
                <w:szCs w:val="21"/>
              </w:rPr>
            </w:pPr>
          </w:p>
        </w:tc>
        <w:tc>
          <w:tcPr>
            <w:tcW w:w="217" w:type="dxa"/>
          </w:tcPr>
          <w:p w14:paraId="1F0A933A" w14:textId="77777777" w:rsidR="002C0FD9" w:rsidRPr="00CA25CF" w:rsidRDefault="002C0FD9" w:rsidP="00CA25CF">
            <w:pPr>
              <w:rPr>
                <w:rFonts w:cs="Arial"/>
                <w:color w:val="FF0000"/>
                <w:sz w:val="21"/>
                <w:szCs w:val="21"/>
              </w:rPr>
            </w:pPr>
          </w:p>
        </w:tc>
        <w:tc>
          <w:tcPr>
            <w:tcW w:w="217" w:type="dxa"/>
          </w:tcPr>
          <w:p w14:paraId="73BED97B" w14:textId="77777777" w:rsidR="002C0FD9" w:rsidRPr="00CA25CF" w:rsidRDefault="002C0FD9" w:rsidP="00CA25CF">
            <w:pPr>
              <w:rPr>
                <w:rFonts w:cs="Arial"/>
                <w:color w:val="FF0000"/>
                <w:sz w:val="21"/>
                <w:szCs w:val="21"/>
              </w:rPr>
            </w:pPr>
          </w:p>
        </w:tc>
        <w:tc>
          <w:tcPr>
            <w:tcW w:w="217" w:type="dxa"/>
          </w:tcPr>
          <w:p w14:paraId="7BAA3379" w14:textId="77777777" w:rsidR="002C0FD9" w:rsidRPr="00CA25CF" w:rsidRDefault="002C0FD9" w:rsidP="00CA25CF">
            <w:pPr>
              <w:rPr>
                <w:rFonts w:cs="Arial"/>
                <w:color w:val="FF0000"/>
                <w:sz w:val="21"/>
                <w:szCs w:val="21"/>
              </w:rPr>
            </w:pPr>
          </w:p>
        </w:tc>
        <w:tc>
          <w:tcPr>
            <w:tcW w:w="217" w:type="dxa"/>
          </w:tcPr>
          <w:p w14:paraId="4B85A975" w14:textId="77777777" w:rsidR="002C0FD9" w:rsidRPr="00CA25CF" w:rsidRDefault="002C0FD9" w:rsidP="00CA25CF">
            <w:pPr>
              <w:rPr>
                <w:rFonts w:cs="Arial"/>
                <w:color w:val="FF0000"/>
                <w:sz w:val="21"/>
                <w:szCs w:val="21"/>
              </w:rPr>
            </w:pPr>
          </w:p>
        </w:tc>
        <w:tc>
          <w:tcPr>
            <w:tcW w:w="217" w:type="dxa"/>
          </w:tcPr>
          <w:p w14:paraId="61C2DB1F" w14:textId="77777777" w:rsidR="002C0FD9" w:rsidRPr="00CA25CF" w:rsidRDefault="002C0FD9" w:rsidP="00CA25CF">
            <w:pPr>
              <w:rPr>
                <w:rFonts w:cs="Arial"/>
                <w:color w:val="FF0000"/>
                <w:sz w:val="21"/>
                <w:szCs w:val="21"/>
              </w:rPr>
            </w:pPr>
          </w:p>
        </w:tc>
        <w:tc>
          <w:tcPr>
            <w:tcW w:w="217" w:type="dxa"/>
          </w:tcPr>
          <w:p w14:paraId="0B5D2A81" w14:textId="77777777" w:rsidR="002C0FD9" w:rsidRPr="00CA25CF" w:rsidRDefault="002C0FD9" w:rsidP="00CA25CF">
            <w:pPr>
              <w:rPr>
                <w:rFonts w:cs="Arial"/>
                <w:color w:val="FF0000"/>
                <w:sz w:val="21"/>
                <w:szCs w:val="21"/>
              </w:rPr>
            </w:pPr>
          </w:p>
        </w:tc>
        <w:tc>
          <w:tcPr>
            <w:tcW w:w="217" w:type="dxa"/>
          </w:tcPr>
          <w:p w14:paraId="10343C1B" w14:textId="77777777" w:rsidR="002C0FD9" w:rsidRPr="00CA25CF" w:rsidRDefault="002C0FD9" w:rsidP="00CA25CF">
            <w:pPr>
              <w:rPr>
                <w:rFonts w:cs="Arial"/>
                <w:color w:val="FF0000"/>
                <w:sz w:val="21"/>
                <w:szCs w:val="21"/>
              </w:rPr>
            </w:pPr>
          </w:p>
        </w:tc>
        <w:tc>
          <w:tcPr>
            <w:tcW w:w="217" w:type="dxa"/>
          </w:tcPr>
          <w:p w14:paraId="3EF295DA" w14:textId="77777777" w:rsidR="002C0FD9" w:rsidRPr="00CA25CF" w:rsidRDefault="002C0FD9" w:rsidP="00CA25CF">
            <w:pPr>
              <w:rPr>
                <w:rFonts w:cs="Arial"/>
                <w:color w:val="FF0000"/>
                <w:sz w:val="21"/>
                <w:szCs w:val="21"/>
              </w:rPr>
            </w:pPr>
          </w:p>
        </w:tc>
        <w:tc>
          <w:tcPr>
            <w:tcW w:w="217" w:type="dxa"/>
          </w:tcPr>
          <w:p w14:paraId="7B6B8EF4" w14:textId="77777777" w:rsidR="002C0FD9" w:rsidRPr="00CA25CF" w:rsidRDefault="002C0FD9" w:rsidP="00CA25CF">
            <w:pPr>
              <w:rPr>
                <w:rFonts w:cs="Arial"/>
                <w:color w:val="FF0000"/>
                <w:sz w:val="21"/>
                <w:szCs w:val="21"/>
              </w:rPr>
            </w:pPr>
          </w:p>
        </w:tc>
        <w:tc>
          <w:tcPr>
            <w:tcW w:w="217" w:type="dxa"/>
          </w:tcPr>
          <w:p w14:paraId="685820C6" w14:textId="77777777" w:rsidR="002C0FD9" w:rsidRPr="00CA25CF" w:rsidRDefault="002C0FD9" w:rsidP="00CA25CF">
            <w:pPr>
              <w:rPr>
                <w:rFonts w:cs="Arial"/>
                <w:color w:val="FF0000"/>
                <w:sz w:val="21"/>
                <w:szCs w:val="21"/>
              </w:rPr>
            </w:pPr>
          </w:p>
        </w:tc>
        <w:tc>
          <w:tcPr>
            <w:tcW w:w="217" w:type="dxa"/>
          </w:tcPr>
          <w:p w14:paraId="17EE289E" w14:textId="77777777" w:rsidR="002C0FD9" w:rsidRPr="00CA25CF" w:rsidRDefault="002C0FD9" w:rsidP="00CA25CF">
            <w:pPr>
              <w:rPr>
                <w:rFonts w:cs="Arial"/>
                <w:color w:val="FF0000"/>
                <w:sz w:val="21"/>
                <w:szCs w:val="21"/>
              </w:rPr>
            </w:pPr>
          </w:p>
        </w:tc>
        <w:tc>
          <w:tcPr>
            <w:tcW w:w="217" w:type="dxa"/>
          </w:tcPr>
          <w:p w14:paraId="26990353" w14:textId="77777777" w:rsidR="002C0FD9" w:rsidRPr="00CA25CF" w:rsidRDefault="002C0FD9" w:rsidP="00CA25CF">
            <w:pPr>
              <w:rPr>
                <w:rFonts w:cs="Arial"/>
                <w:color w:val="FF0000"/>
                <w:sz w:val="21"/>
                <w:szCs w:val="21"/>
              </w:rPr>
            </w:pPr>
          </w:p>
        </w:tc>
        <w:tc>
          <w:tcPr>
            <w:tcW w:w="217" w:type="dxa"/>
          </w:tcPr>
          <w:p w14:paraId="57215D65" w14:textId="77777777" w:rsidR="002C0FD9" w:rsidRPr="00CA25CF" w:rsidRDefault="002C0FD9" w:rsidP="00CA25CF">
            <w:pPr>
              <w:rPr>
                <w:rFonts w:cs="Arial"/>
                <w:color w:val="FF0000"/>
                <w:sz w:val="21"/>
                <w:szCs w:val="21"/>
              </w:rPr>
            </w:pPr>
          </w:p>
        </w:tc>
        <w:tc>
          <w:tcPr>
            <w:tcW w:w="217" w:type="dxa"/>
          </w:tcPr>
          <w:p w14:paraId="3608C827" w14:textId="77777777" w:rsidR="002C0FD9" w:rsidRPr="00CA25CF" w:rsidRDefault="002C0FD9" w:rsidP="00CA25CF">
            <w:pPr>
              <w:rPr>
                <w:rFonts w:cs="Arial"/>
                <w:color w:val="FF0000"/>
                <w:sz w:val="21"/>
                <w:szCs w:val="21"/>
              </w:rPr>
            </w:pPr>
          </w:p>
        </w:tc>
        <w:tc>
          <w:tcPr>
            <w:tcW w:w="217" w:type="dxa"/>
          </w:tcPr>
          <w:p w14:paraId="09F35F8E" w14:textId="77777777" w:rsidR="002C0FD9" w:rsidRPr="00CA25CF" w:rsidRDefault="002C0FD9" w:rsidP="00CA25CF">
            <w:pPr>
              <w:rPr>
                <w:rFonts w:cs="Arial"/>
                <w:color w:val="FF0000"/>
                <w:sz w:val="21"/>
                <w:szCs w:val="21"/>
              </w:rPr>
            </w:pPr>
          </w:p>
        </w:tc>
        <w:tc>
          <w:tcPr>
            <w:tcW w:w="217" w:type="dxa"/>
          </w:tcPr>
          <w:p w14:paraId="58A586D4" w14:textId="77777777" w:rsidR="002C0FD9" w:rsidRPr="00CA25CF" w:rsidRDefault="002C0FD9" w:rsidP="00CA25CF">
            <w:pPr>
              <w:rPr>
                <w:rFonts w:cs="Arial"/>
                <w:color w:val="FF0000"/>
                <w:sz w:val="21"/>
                <w:szCs w:val="21"/>
              </w:rPr>
            </w:pPr>
          </w:p>
        </w:tc>
        <w:tc>
          <w:tcPr>
            <w:tcW w:w="217" w:type="dxa"/>
          </w:tcPr>
          <w:p w14:paraId="61324E5A" w14:textId="77777777" w:rsidR="002C0FD9" w:rsidRPr="00CA25CF" w:rsidRDefault="002C0FD9" w:rsidP="00CA25CF">
            <w:pPr>
              <w:rPr>
                <w:rFonts w:cs="Arial"/>
                <w:color w:val="FF0000"/>
                <w:sz w:val="21"/>
                <w:szCs w:val="21"/>
              </w:rPr>
            </w:pPr>
          </w:p>
        </w:tc>
        <w:tc>
          <w:tcPr>
            <w:tcW w:w="217" w:type="dxa"/>
          </w:tcPr>
          <w:p w14:paraId="61F4BCA4" w14:textId="77777777" w:rsidR="002C0FD9" w:rsidRPr="00CA25CF" w:rsidRDefault="002C0FD9" w:rsidP="00CA25CF">
            <w:pPr>
              <w:rPr>
                <w:rFonts w:cs="Arial"/>
                <w:color w:val="FF0000"/>
                <w:sz w:val="21"/>
                <w:szCs w:val="21"/>
              </w:rPr>
            </w:pPr>
          </w:p>
        </w:tc>
        <w:tc>
          <w:tcPr>
            <w:tcW w:w="217" w:type="dxa"/>
          </w:tcPr>
          <w:p w14:paraId="04F5D9A4" w14:textId="77777777" w:rsidR="002C0FD9" w:rsidRPr="00CA25CF" w:rsidRDefault="002C0FD9" w:rsidP="00CA25CF">
            <w:pPr>
              <w:rPr>
                <w:rFonts w:cs="Arial"/>
                <w:color w:val="FF0000"/>
                <w:sz w:val="21"/>
                <w:szCs w:val="21"/>
              </w:rPr>
            </w:pPr>
          </w:p>
        </w:tc>
        <w:tc>
          <w:tcPr>
            <w:tcW w:w="217" w:type="dxa"/>
          </w:tcPr>
          <w:p w14:paraId="66AB17EE" w14:textId="77777777" w:rsidR="002C0FD9" w:rsidRPr="00CA25CF" w:rsidRDefault="002C0FD9" w:rsidP="00CA25CF">
            <w:pPr>
              <w:rPr>
                <w:rFonts w:cs="Arial"/>
                <w:color w:val="FF0000"/>
                <w:sz w:val="21"/>
                <w:szCs w:val="21"/>
              </w:rPr>
            </w:pPr>
          </w:p>
        </w:tc>
        <w:tc>
          <w:tcPr>
            <w:tcW w:w="217" w:type="dxa"/>
          </w:tcPr>
          <w:p w14:paraId="4CC1FDDF" w14:textId="77777777" w:rsidR="002C0FD9" w:rsidRPr="00CA25CF" w:rsidRDefault="002C0FD9" w:rsidP="00CA25CF">
            <w:pPr>
              <w:rPr>
                <w:rFonts w:cs="Arial"/>
                <w:color w:val="FF0000"/>
                <w:sz w:val="21"/>
                <w:szCs w:val="21"/>
              </w:rPr>
            </w:pPr>
          </w:p>
        </w:tc>
        <w:tc>
          <w:tcPr>
            <w:tcW w:w="217" w:type="dxa"/>
          </w:tcPr>
          <w:p w14:paraId="493529E1" w14:textId="77777777" w:rsidR="002C0FD9" w:rsidRPr="00CA25CF" w:rsidRDefault="002C0FD9" w:rsidP="00CA25CF">
            <w:pPr>
              <w:rPr>
                <w:rFonts w:cs="Arial"/>
                <w:color w:val="FF0000"/>
                <w:sz w:val="21"/>
                <w:szCs w:val="21"/>
              </w:rPr>
            </w:pPr>
          </w:p>
        </w:tc>
        <w:tc>
          <w:tcPr>
            <w:tcW w:w="217" w:type="dxa"/>
          </w:tcPr>
          <w:p w14:paraId="17947CB9" w14:textId="77777777" w:rsidR="002C0FD9" w:rsidRPr="00CA25CF" w:rsidRDefault="002C0FD9" w:rsidP="00CA25CF">
            <w:pPr>
              <w:rPr>
                <w:rFonts w:cs="Arial"/>
                <w:color w:val="FF0000"/>
                <w:sz w:val="21"/>
                <w:szCs w:val="21"/>
              </w:rPr>
            </w:pPr>
          </w:p>
        </w:tc>
        <w:tc>
          <w:tcPr>
            <w:tcW w:w="217" w:type="dxa"/>
          </w:tcPr>
          <w:p w14:paraId="368192D5" w14:textId="77777777" w:rsidR="002C0FD9" w:rsidRPr="00CA25CF" w:rsidRDefault="002C0FD9" w:rsidP="00CA25CF">
            <w:pPr>
              <w:rPr>
                <w:rFonts w:cs="Arial"/>
                <w:color w:val="FF0000"/>
                <w:sz w:val="21"/>
                <w:szCs w:val="21"/>
              </w:rPr>
            </w:pPr>
          </w:p>
        </w:tc>
        <w:tc>
          <w:tcPr>
            <w:tcW w:w="217" w:type="dxa"/>
          </w:tcPr>
          <w:p w14:paraId="23EAD61D" w14:textId="77777777" w:rsidR="002C0FD9" w:rsidRPr="00CA25CF" w:rsidRDefault="002C0FD9" w:rsidP="00CA25CF">
            <w:pPr>
              <w:rPr>
                <w:rFonts w:cs="Arial"/>
                <w:color w:val="FF0000"/>
                <w:sz w:val="21"/>
                <w:szCs w:val="21"/>
              </w:rPr>
            </w:pPr>
          </w:p>
        </w:tc>
        <w:tc>
          <w:tcPr>
            <w:tcW w:w="217" w:type="dxa"/>
          </w:tcPr>
          <w:p w14:paraId="0324DD1F" w14:textId="77777777" w:rsidR="002C0FD9" w:rsidRPr="00CA25CF" w:rsidRDefault="002C0FD9" w:rsidP="00CA25CF">
            <w:pPr>
              <w:rPr>
                <w:rFonts w:cs="Arial"/>
                <w:color w:val="FF0000"/>
                <w:sz w:val="21"/>
                <w:szCs w:val="21"/>
              </w:rPr>
            </w:pPr>
          </w:p>
        </w:tc>
        <w:tc>
          <w:tcPr>
            <w:tcW w:w="217" w:type="dxa"/>
          </w:tcPr>
          <w:p w14:paraId="3843A5C9" w14:textId="77777777" w:rsidR="002C0FD9" w:rsidRPr="00CA25CF" w:rsidRDefault="002C0FD9" w:rsidP="00CA25CF">
            <w:pPr>
              <w:rPr>
                <w:rFonts w:cs="Arial"/>
                <w:color w:val="FF0000"/>
                <w:sz w:val="21"/>
                <w:szCs w:val="21"/>
              </w:rPr>
            </w:pPr>
          </w:p>
        </w:tc>
        <w:tc>
          <w:tcPr>
            <w:tcW w:w="217" w:type="dxa"/>
          </w:tcPr>
          <w:p w14:paraId="163BDA5B" w14:textId="77777777" w:rsidR="002C0FD9" w:rsidRPr="00CA25CF" w:rsidRDefault="002C0FD9" w:rsidP="00CA25CF">
            <w:pPr>
              <w:rPr>
                <w:rFonts w:cs="Arial"/>
                <w:color w:val="FF0000"/>
                <w:sz w:val="21"/>
                <w:szCs w:val="21"/>
              </w:rPr>
            </w:pPr>
          </w:p>
        </w:tc>
        <w:tc>
          <w:tcPr>
            <w:tcW w:w="217" w:type="dxa"/>
          </w:tcPr>
          <w:p w14:paraId="1134805F" w14:textId="77777777" w:rsidR="002C0FD9" w:rsidRPr="00CA25CF" w:rsidRDefault="002C0FD9" w:rsidP="00CA25CF">
            <w:pPr>
              <w:rPr>
                <w:rFonts w:cs="Arial"/>
                <w:color w:val="FF0000"/>
                <w:sz w:val="21"/>
                <w:szCs w:val="21"/>
              </w:rPr>
            </w:pPr>
          </w:p>
        </w:tc>
        <w:tc>
          <w:tcPr>
            <w:tcW w:w="217" w:type="dxa"/>
          </w:tcPr>
          <w:p w14:paraId="262D6F8A" w14:textId="77777777" w:rsidR="002C0FD9" w:rsidRPr="00CA25CF" w:rsidRDefault="002C0FD9" w:rsidP="00CA25CF">
            <w:pPr>
              <w:rPr>
                <w:rFonts w:cs="Arial"/>
                <w:color w:val="FF0000"/>
                <w:sz w:val="21"/>
                <w:szCs w:val="21"/>
              </w:rPr>
            </w:pPr>
          </w:p>
        </w:tc>
        <w:tc>
          <w:tcPr>
            <w:tcW w:w="217" w:type="dxa"/>
          </w:tcPr>
          <w:p w14:paraId="381CCF5C" w14:textId="77777777" w:rsidR="002C0FD9" w:rsidRPr="00CA25CF" w:rsidRDefault="002C0FD9" w:rsidP="00CA25CF">
            <w:pPr>
              <w:rPr>
                <w:rFonts w:cs="Arial"/>
                <w:color w:val="FF0000"/>
                <w:sz w:val="21"/>
                <w:szCs w:val="21"/>
              </w:rPr>
            </w:pPr>
          </w:p>
        </w:tc>
        <w:tc>
          <w:tcPr>
            <w:tcW w:w="217" w:type="dxa"/>
          </w:tcPr>
          <w:p w14:paraId="444BC82D" w14:textId="77777777" w:rsidR="002C0FD9" w:rsidRPr="00CA25CF" w:rsidRDefault="002C0FD9" w:rsidP="00CA25CF">
            <w:pPr>
              <w:rPr>
                <w:rFonts w:cs="Arial"/>
                <w:color w:val="FF0000"/>
                <w:sz w:val="21"/>
                <w:szCs w:val="21"/>
              </w:rPr>
            </w:pPr>
          </w:p>
        </w:tc>
        <w:tc>
          <w:tcPr>
            <w:tcW w:w="217" w:type="dxa"/>
          </w:tcPr>
          <w:p w14:paraId="2A4B3254" w14:textId="77777777" w:rsidR="002C0FD9" w:rsidRPr="00CA25CF" w:rsidRDefault="002C0FD9" w:rsidP="00CA25CF">
            <w:pPr>
              <w:rPr>
                <w:rFonts w:cs="Arial"/>
                <w:color w:val="FF0000"/>
                <w:sz w:val="21"/>
                <w:szCs w:val="21"/>
              </w:rPr>
            </w:pPr>
          </w:p>
        </w:tc>
        <w:tc>
          <w:tcPr>
            <w:tcW w:w="217" w:type="dxa"/>
          </w:tcPr>
          <w:p w14:paraId="21D67B09" w14:textId="77777777" w:rsidR="002C0FD9" w:rsidRPr="00CA25CF" w:rsidRDefault="002C0FD9" w:rsidP="00CA25CF">
            <w:pPr>
              <w:rPr>
                <w:rFonts w:cs="Arial"/>
                <w:color w:val="FF0000"/>
                <w:sz w:val="21"/>
                <w:szCs w:val="21"/>
              </w:rPr>
            </w:pPr>
          </w:p>
        </w:tc>
        <w:tc>
          <w:tcPr>
            <w:tcW w:w="217" w:type="dxa"/>
          </w:tcPr>
          <w:p w14:paraId="3C3ADCCA" w14:textId="77777777" w:rsidR="002C0FD9" w:rsidRPr="00CA25CF" w:rsidRDefault="002C0FD9" w:rsidP="00CA25CF">
            <w:pPr>
              <w:rPr>
                <w:rFonts w:cs="Arial"/>
                <w:color w:val="FF0000"/>
                <w:sz w:val="21"/>
                <w:szCs w:val="21"/>
              </w:rPr>
            </w:pPr>
          </w:p>
        </w:tc>
        <w:tc>
          <w:tcPr>
            <w:tcW w:w="217" w:type="dxa"/>
          </w:tcPr>
          <w:p w14:paraId="39350707" w14:textId="77777777" w:rsidR="002C0FD9" w:rsidRPr="00CA25CF" w:rsidRDefault="002C0FD9" w:rsidP="00CA25CF">
            <w:pPr>
              <w:rPr>
                <w:rFonts w:cs="Arial"/>
                <w:color w:val="FF0000"/>
                <w:sz w:val="21"/>
                <w:szCs w:val="21"/>
              </w:rPr>
            </w:pPr>
          </w:p>
        </w:tc>
        <w:tc>
          <w:tcPr>
            <w:tcW w:w="217" w:type="dxa"/>
          </w:tcPr>
          <w:p w14:paraId="425B629F" w14:textId="77777777" w:rsidR="002C0FD9" w:rsidRPr="00CA25CF" w:rsidRDefault="002C0FD9" w:rsidP="00CA25CF">
            <w:pPr>
              <w:rPr>
                <w:rFonts w:cs="Arial"/>
                <w:color w:val="FF0000"/>
                <w:sz w:val="21"/>
                <w:szCs w:val="21"/>
              </w:rPr>
            </w:pPr>
          </w:p>
        </w:tc>
        <w:tc>
          <w:tcPr>
            <w:tcW w:w="217" w:type="dxa"/>
          </w:tcPr>
          <w:p w14:paraId="46E347C0" w14:textId="77777777" w:rsidR="002C0FD9" w:rsidRPr="00CA25CF" w:rsidRDefault="002C0FD9" w:rsidP="00CA25CF">
            <w:pPr>
              <w:rPr>
                <w:rFonts w:cs="Arial"/>
                <w:color w:val="FF0000"/>
                <w:sz w:val="21"/>
                <w:szCs w:val="21"/>
              </w:rPr>
            </w:pPr>
          </w:p>
        </w:tc>
        <w:tc>
          <w:tcPr>
            <w:tcW w:w="217" w:type="dxa"/>
          </w:tcPr>
          <w:p w14:paraId="1844705C" w14:textId="77777777" w:rsidR="002C0FD9" w:rsidRPr="00CA25CF" w:rsidRDefault="002C0FD9" w:rsidP="00CA25CF">
            <w:pPr>
              <w:rPr>
                <w:rFonts w:cs="Arial"/>
                <w:color w:val="FF0000"/>
                <w:sz w:val="21"/>
                <w:szCs w:val="21"/>
              </w:rPr>
            </w:pPr>
          </w:p>
        </w:tc>
      </w:tr>
      <w:tr w:rsidR="002C0FD9" w:rsidRPr="00A16219" w14:paraId="1DCDD8B5" w14:textId="77777777" w:rsidTr="002C0FD9">
        <w:trPr>
          <w:trHeight w:val="635"/>
        </w:trPr>
        <w:tc>
          <w:tcPr>
            <w:tcW w:w="515" w:type="dxa"/>
          </w:tcPr>
          <w:p w14:paraId="0B149204" w14:textId="77777777" w:rsidR="002C0FD9" w:rsidRPr="00CA25CF" w:rsidRDefault="002C0FD9" w:rsidP="00CA25CF">
            <w:pPr>
              <w:rPr>
                <w:rFonts w:cs="Arial"/>
                <w:color w:val="FF0000"/>
                <w:sz w:val="21"/>
                <w:szCs w:val="21"/>
              </w:rPr>
            </w:pPr>
          </w:p>
        </w:tc>
        <w:tc>
          <w:tcPr>
            <w:tcW w:w="217" w:type="dxa"/>
          </w:tcPr>
          <w:p w14:paraId="2F32682A" w14:textId="77777777" w:rsidR="002C0FD9" w:rsidRPr="00CA25CF" w:rsidRDefault="002C0FD9" w:rsidP="00CA25CF">
            <w:pPr>
              <w:rPr>
                <w:rFonts w:cs="Arial"/>
                <w:color w:val="FF0000"/>
                <w:sz w:val="21"/>
                <w:szCs w:val="21"/>
              </w:rPr>
            </w:pPr>
          </w:p>
        </w:tc>
        <w:tc>
          <w:tcPr>
            <w:tcW w:w="217" w:type="dxa"/>
          </w:tcPr>
          <w:p w14:paraId="3BD2DC63" w14:textId="77777777" w:rsidR="002C0FD9" w:rsidRPr="00CA25CF" w:rsidRDefault="002C0FD9" w:rsidP="00CA25CF">
            <w:pPr>
              <w:rPr>
                <w:rFonts w:cs="Arial"/>
                <w:color w:val="FF0000"/>
                <w:sz w:val="21"/>
                <w:szCs w:val="21"/>
              </w:rPr>
            </w:pPr>
          </w:p>
        </w:tc>
        <w:tc>
          <w:tcPr>
            <w:tcW w:w="217" w:type="dxa"/>
          </w:tcPr>
          <w:p w14:paraId="235DA698" w14:textId="77777777" w:rsidR="002C0FD9" w:rsidRPr="00CA25CF" w:rsidRDefault="002C0FD9" w:rsidP="00CA25CF">
            <w:pPr>
              <w:rPr>
                <w:rFonts w:cs="Arial"/>
                <w:color w:val="FF0000"/>
                <w:sz w:val="21"/>
                <w:szCs w:val="21"/>
              </w:rPr>
            </w:pPr>
          </w:p>
        </w:tc>
        <w:tc>
          <w:tcPr>
            <w:tcW w:w="217" w:type="dxa"/>
          </w:tcPr>
          <w:p w14:paraId="5ACCECE2" w14:textId="77777777" w:rsidR="002C0FD9" w:rsidRPr="00CA25CF" w:rsidRDefault="002C0FD9" w:rsidP="00CA25CF">
            <w:pPr>
              <w:rPr>
                <w:rFonts w:cs="Arial"/>
                <w:color w:val="FF0000"/>
                <w:sz w:val="21"/>
                <w:szCs w:val="21"/>
              </w:rPr>
            </w:pPr>
          </w:p>
        </w:tc>
        <w:tc>
          <w:tcPr>
            <w:tcW w:w="217" w:type="dxa"/>
          </w:tcPr>
          <w:p w14:paraId="02A887E0" w14:textId="77777777" w:rsidR="002C0FD9" w:rsidRPr="00CA25CF" w:rsidRDefault="002C0FD9" w:rsidP="00CA25CF">
            <w:pPr>
              <w:rPr>
                <w:rFonts w:cs="Arial"/>
                <w:color w:val="FF0000"/>
                <w:sz w:val="21"/>
                <w:szCs w:val="21"/>
              </w:rPr>
            </w:pPr>
          </w:p>
        </w:tc>
        <w:tc>
          <w:tcPr>
            <w:tcW w:w="217" w:type="dxa"/>
          </w:tcPr>
          <w:p w14:paraId="167153D3" w14:textId="77777777" w:rsidR="002C0FD9" w:rsidRPr="00CA25CF" w:rsidRDefault="002C0FD9" w:rsidP="00CA25CF">
            <w:pPr>
              <w:rPr>
                <w:rFonts w:cs="Arial"/>
                <w:color w:val="FF0000"/>
                <w:sz w:val="21"/>
                <w:szCs w:val="21"/>
              </w:rPr>
            </w:pPr>
          </w:p>
        </w:tc>
        <w:tc>
          <w:tcPr>
            <w:tcW w:w="217" w:type="dxa"/>
          </w:tcPr>
          <w:p w14:paraId="14A98905" w14:textId="77777777" w:rsidR="002C0FD9" w:rsidRPr="00CA25CF" w:rsidRDefault="002C0FD9" w:rsidP="00CA25CF">
            <w:pPr>
              <w:rPr>
                <w:rFonts w:cs="Arial"/>
                <w:color w:val="FF0000"/>
                <w:sz w:val="21"/>
                <w:szCs w:val="21"/>
              </w:rPr>
            </w:pPr>
          </w:p>
        </w:tc>
        <w:tc>
          <w:tcPr>
            <w:tcW w:w="217" w:type="dxa"/>
          </w:tcPr>
          <w:p w14:paraId="46FA343F" w14:textId="77777777" w:rsidR="002C0FD9" w:rsidRPr="00CA25CF" w:rsidRDefault="002C0FD9" w:rsidP="00CA25CF">
            <w:pPr>
              <w:rPr>
                <w:rFonts w:cs="Arial"/>
                <w:color w:val="FF0000"/>
                <w:sz w:val="21"/>
                <w:szCs w:val="21"/>
              </w:rPr>
            </w:pPr>
          </w:p>
        </w:tc>
        <w:tc>
          <w:tcPr>
            <w:tcW w:w="217" w:type="dxa"/>
          </w:tcPr>
          <w:p w14:paraId="07B32DE8" w14:textId="77777777" w:rsidR="002C0FD9" w:rsidRPr="00CA25CF" w:rsidRDefault="002C0FD9" w:rsidP="00CA25CF">
            <w:pPr>
              <w:rPr>
                <w:rFonts w:cs="Arial"/>
                <w:color w:val="FF0000"/>
                <w:sz w:val="21"/>
                <w:szCs w:val="21"/>
              </w:rPr>
            </w:pPr>
          </w:p>
        </w:tc>
        <w:tc>
          <w:tcPr>
            <w:tcW w:w="217" w:type="dxa"/>
          </w:tcPr>
          <w:p w14:paraId="7FF4C8A9" w14:textId="77777777" w:rsidR="002C0FD9" w:rsidRPr="00CA25CF" w:rsidRDefault="002C0FD9" w:rsidP="00CA25CF">
            <w:pPr>
              <w:rPr>
                <w:rFonts w:cs="Arial"/>
                <w:color w:val="FF0000"/>
                <w:sz w:val="21"/>
                <w:szCs w:val="21"/>
              </w:rPr>
            </w:pPr>
          </w:p>
        </w:tc>
        <w:tc>
          <w:tcPr>
            <w:tcW w:w="217" w:type="dxa"/>
          </w:tcPr>
          <w:p w14:paraId="6CC3021D" w14:textId="77777777" w:rsidR="002C0FD9" w:rsidRPr="00CA25CF" w:rsidRDefault="002C0FD9" w:rsidP="00CA25CF">
            <w:pPr>
              <w:rPr>
                <w:rFonts w:cs="Arial"/>
                <w:color w:val="FF0000"/>
                <w:sz w:val="21"/>
                <w:szCs w:val="21"/>
              </w:rPr>
            </w:pPr>
          </w:p>
        </w:tc>
        <w:tc>
          <w:tcPr>
            <w:tcW w:w="217" w:type="dxa"/>
          </w:tcPr>
          <w:p w14:paraId="10350301" w14:textId="77777777" w:rsidR="002C0FD9" w:rsidRPr="00CA25CF" w:rsidRDefault="002C0FD9" w:rsidP="00CA25CF">
            <w:pPr>
              <w:rPr>
                <w:rFonts w:cs="Arial"/>
                <w:color w:val="FF0000"/>
                <w:sz w:val="21"/>
                <w:szCs w:val="21"/>
              </w:rPr>
            </w:pPr>
          </w:p>
        </w:tc>
        <w:tc>
          <w:tcPr>
            <w:tcW w:w="217" w:type="dxa"/>
          </w:tcPr>
          <w:p w14:paraId="5CC10990" w14:textId="77777777" w:rsidR="002C0FD9" w:rsidRPr="00CA25CF" w:rsidRDefault="002C0FD9" w:rsidP="00CA25CF">
            <w:pPr>
              <w:rPr>
                <w:rFonts w:cs="Arial"/>
                <w:color w:val="FF0000"/>
                <w:sz w:val="21"/>
                <w:szCs w:val="21"/>
              </w:rPr>
            </w:pPr>
          </w:p>
        </w:tc>
        <w:tc>
          <w:tcPr>
            <w:tcW w:w="217" w:type="dxa"/>
          </w:tcPr>
          <w:p w14:paraId="7498CF19" w14:textId="77777777" w:rsidR="002C0FD9" w:rsidRPr="00CA25CF" w:rsidRDefault="002C0FD9" w:rsidP="00CA25CF">
            <w:pPr>
              <w:rPr>
                <w:rFonts w:cs="Arial"/>
                <w:color w:val="FF0000"/>
                <w:sz w:val="21"/>
                <w:szCs w:val="21"/>
              </w:rPr>
            </w:pPr>
          </w:p>
        </w:tc>
        <w:tc>
          <w:tcPr>
            <w:tcW w:w="217" w:type="dxa"/>
          </w:tcPr>
          <w:p w14:paraId="254DE09A" w14:textId="77777777" w:rsidR="002C0FD9" w:rsidRPr="00CA25CF" w:rsidRDefault="002C0FD9" w:rsidP="00CA25CF">
            <w:pPr>
              <w:rPr>
                <w:rFonts w:cs="Arial"/>
                <w:color w:val="FF0000"/>
                <w:sz w:val="21"/>
                <w:szCs w:val="21"/>
              </w:rPr>
            </w:pPr>
          </w:p>
        </w:tc>
        <w:tc>
          <w:tcPr>
            <w:tcW w:w="217" w:type="dxa"/>
          </w:tcPr>
          <w:p w14:paraId="37AE4ACA" w14:textId="77777777" w:rsidR="002C0FD9" w:rsidRPr="00CA25CF" w:rsidRDefault="002C0FD9" w:rsidP="00CA25CF">
            <w:pPr>
              <w:rPr>
                <w:rFonts w:cs="Arial"/>
                <w:color w:val="FF0000"/>
                <w:sz w:val="21"/>
                <w:szCs w:val="21"/>
              </w:rPr>
            </w:pPr>
          </w:p>
        </w:tc>
        <w:tc>
          <w:tcPr>
            <w:tcW w:w="217" w:type="dxa"/>
          </w:tcPr>
          <w:p w14:paraId="3477EEDE" w14:textId="77777777" w:rsidR="002C0FD9" w:rsidRPr="00CA25CF" w:rsidRDefault="002C0FD9" w:rsidP="00CA25CF">
            <w:pPr>
              <w:rPr>
                <w:rFonts w:cs="Arial"/>
                <w:color w:val="FF0000"/>
                <w:sz w:val="21"/>
                <w:szCs w:val="21"/>
              </w:rPr>
            </w:pPr>
          </w:p>
        </w:tc>
        <w:tc>
          <w:tcPr>
            <w:tcW w:w="217" w:type="dxa"/>
          </w:tcPr>
          <w:p w14:paraId="78137910" w14:textId="77777777" w:rsidR="002C0FD9" w:rsidRPr="00CA25CF" w:rsidRDefault="002C0FD9" w:rsidP="00CA25CF">
            <w:pPr>
              <w:rPr>
                <w:rFonts w:cs="Arial"/>
                <w:color w:val="FF0000"/>
                <w:sz w:val="21"/>
                <w:szCs w:val="21"/>
              </w:rPr>
            </w:pPr>
          </w:p>
        </w:tc>
        <w:tc>
          <w:tcPr>
            <w:tcW w:w="217" w:type="dxa"/>
          </w:tcPr>
          <w:p w14:paraId="1E18406B" w14:textId="77777777" w:rsidR="002C0FD9" w:rsidRPr="00CA25CF" w:rsidRDefault="002C0FD9" w:rsidP="00CA25CF">
            <w:pPr>
              <w:rPr>
                <w:rFonts w:cs="Arial"/>
                <w:color w:val="FF0000"/>
                <w:sz w:val="21"/>
                <w:szCs w:val="21"/>
              </w:rPr>
            </w:pPr>
          </w:p>
        </w:tc>
        <w:tc>
          <w:tcPr>
            <w:tcW w:w="217" w:type="dxa"/>
          </w:tcPr>
          <w:p w14:paraId="236C080A" w14:textId="77777777" w:rsidR="002C0FD9" w:rsidRPr="00CA25CF" w:rsidRDefault="002C0FD9" w:rsidP="00CA25CF">
            <w:pPr>
              <w:rPr>
                <w:rFonts w:cs="Arial"/>
                <w:color w:val="FF0000"/>
                <w:sz w:val="21"/>
                <w:szCs w:val="21"/>
              </w:rPr>
            </w:pPr>
          </w:p>
        </w:tc>
        <w:tc>
          <w:tcPr>
            <w:tcW w:w="217" w:type="dxa"/>
          </w:tcPr>
          <w:p w14:paraId="027D1FD5" w14:textId="77777777" w:rsidR="002C0FD9" w:rsidRPr="00CA25CF" w:rsidRDefault="002C0FD9" w:rsidP="00CA25CF">
            <w:pPr>
              <w:rPr>
                <w:rFonts w:cs="Arial"/>
                <w:color w:val="FF0000"/>
                <w:sz w:val="21"/>
                <w:szCs w:val="21"/>
              </w:rPr>
            </w:pPr>
          </w:p>
        </w:tc>
        <w:tc>
          <w:tcPr>
            <w:tcW w:w="217" w:type="dxa"/>
          </w:tcPr>
          <w:p w14:paraId="153AEAB3" w14:textId="77777777" w:rsidR="002C0FD9" w:rsidRPr="00CA25CF" w:rsidRDefault="002C0FD9" w:rsidP="00CA25CF">
            <w:pPr>
              <w:rPr>
                <w:rFonts w:cs="Arial"/>
                <w:color w:val="FF0000"/>
                <w:sz w:val="21"/>
                <w:szCs w:val="21"/>
              </w:rPr>
            </w:pPr>
          </w:p>
        </w:tc>
        <w:tc>
          <w:tcPr>
            <w:tcW w:w="217" w:type="dxa"/>
          </w:tcPr>
          <w:p w14:paraId="104A90FA" w14:textId="77777777" w:rsidR="002C0FD9" w:rsidRPr="00CA25CF" w:rsidRDefault="002C0FD9" w:rsidP="00CA25CF">
            <w:pPr>
              <w:rPr>
                <w:rFonts w:cs="Arial"/>
                <w:color w:val="FF0000"/>
                <w:sz w:val="21"/>
                <w:szCs w:val="21"/>
              </w:rPr>
            </w:pPr>
          </w:p>
        </w:tc>
        <w:tc>
          <w:tcPr>
            <w:tcW w:w="217" w:type="dxa"/>
          </w:tcPr>
          <w:p w14:paraId="17A876ED" w14:textId="77777777" w:rsidR="002C0FD9" w:rsidRPr="00CA25CF" w:rsidRDefault="002C0FD9" w:rsidP="00CA25CF">
            <w:pPr>
              <w:rPr>
                <w:rFonts w:cs="Arial"/>
                <w:color w:val="FF0000"/>
                <w:sz w:val="21"/>
                <w:szCs w:val="21"/>
              </w:rPr>
            </w:pPr>
          </w:p>
        </w:tc>
        <w:tc>
          <w:tcPr>
            <w:tcW w:w="217" w:type="dxa"/>
          </w:tcPr>
          <w:p w14:paraId="34E72D1A" w14:textId="77777777" w:rsidR="002C0FD9" w:rsidRPr="00CA25CF" w:rsidRDefault="002C0FD9" w:rsidP="00CA25CF">
            <w:pPr>
              <w:rPr>
                <w:rFonts w:cs="Arial"/>
                <w:color w:val="FF0000"/>
                <w:sz w:val="21"/>
                <w:szCs w:val="21"/>
              </w:rPr>
            </w:pPr>
          </w:p>
        </w:tc>
        <w:tc>
          <w:tcPr>
            <w:tcW w:w="217" w:type="dxa"/>
          </w:tcPr>
          <w:p w14:paraId="23BA1178" w14:textId="77777777" w:rsidR="002C0FD9" w:rsidRPr="00CA25CF" w:rsidRDefault="002C0FD9" w:rsidP="00CA25CF">
            <w:pPr>
              <w:rPr>
                <w:rFonts w:cs="Arial"/>
                <w:color w:val="FF0000"/>
                <w:sz w:val="21"/>
                <w:szCs w:val="21"/>
              </w:rPr>
            </w:pPr>
          </w:p>
        </w:tc>
        <w:tc>
          <w:tcPr>
            <w:tcW w:w="217" w:type="dxa"/>
          </w:tcPr>
          <w:p w14:paraId="343CE5F6" w14:textId="77777777" w:rsidR="002C0FD9" w:rsidRPr="00CA25CF" w:rsidRDefault="002C0FD9" w:rsidP="00CA25CF">
            <w:pPr>
              <w:rPr>
                <w:rFonts w:cs="Arial"/>
                <w:color w:val="FF0000"/>
                <w:sz w:val="21"/>
                <w:szCs w:val="21"/>
              </w:rPr>
            </w:pPr>
          </w:p>
        </w:tc>
        <w:tc>
          <w:tcPr>
            <w:tcW w:w="217" w:type="dxa"/>
          </w:tcPr>
          <w:p w14:paraId="1F4EDF24" w14:textId="77777777" w:rsidR="002C0FD9" w:rsidRPr="00CA25CF" w:rsidRDefault="002C0FD9" w:rsidP="00CA25CF">
            <w:pPr>
              <w:rPr>
                <w:rFonts w:cs="Arial"/>
                <w:color w:val="FF0000"/>
                <w:sz w:val="21"/>
                <w:szCs w:val="21"/>
              </w:rPr>
            </w:pPr>
          </w:p>
        </w:tc>
        <w:tc>
          <w:tcPr>
            <w:tcW w:w="217" w:type="dxa"/>
          </w:tcPr>
          <w:p w14:paraId="2FD33A93" w14:textId="77777777" w:rsidR="002C0FD9" w:rsidRPr="00CA25CF" w:rsidRDefault="002C0FD9" w:rsidP="00CA25CF">
            <w:pPr>
              <w:rPr>
                <w:rFonts w:cs="Arial"/>
                <w:color w:val="FF0000"/>
                <w:sz w:val="21"/>
                <w:szCs w:val="21"/>
              </w:rPr>
            </w:pPr>
          </w:p>
        </w:tc>
        <w:tc>
          <w:tcPr>
            <w:tcW w:w="217" w:type="dxa"/>
          </w:tcPr>
          <w:p w14:paraId="557AF2B7" w14:textId="77777777" w:rsidR="002C0FD9" w:rsidRPr="00CA25CF" w:rsidRDefault="002C0FD9" w:rsidP="00CA25CF">
            <w:pPr>
              <w:rPr>
                <w:rFonts w:cs="Arial"/>
                <w:color w:val="FF0000"/>
                <w:sz w:val="21"/>
                <w:szCs w:val="21"/>
              </w:rPr>
            </w:pPr>
          </w:p>
        </w:tc>
        <w:tc>
          <w:tcPr>
            <w:tcW w:w="217" w:type="dxa"/>
          </w:tcPr>
          <w:p w14:paraId="68BE4419" w14:textId="77777777" w:rsidR="002C0FD9" w:rsidRPr="00CA25CF" w:rsidRDefault="002C0FD9" w:rsidP="00CA25CF">
            <w:pPr>
              <w:rPr>
                <w:rFonts w:cs="Arial"/>
                <w:color w:val="FF0000"/>
                <w:sz w:val="21"/>
                <w:szCs w:val="21"/>
              </w:rPr>
            </w:pPr>
          </w:p>
        </w:tc>
        <w:tc>
          <w:tcPr>
            <w:tcW w:w="217" w:type="dxa"/>
          </w:tcPr>
          <w:p w14:paraId="66476951" w14:textId="77777777" w:rsidR="002C0FD9" w:rsidRPr="00CA25CF" w:rsidRDefault="002C0FD9" w:rsidP="00CA25CF">
            <w:pPr>
              <w:rPr>
                <w:rFonts w:cs="Arial"/>
                <w:color w:val="FF0000"/>
                <w:sz w:val="21"/>
                <w:szCs w:val="21"/>
              </w:rPr>
            </w:pPr>
          </w:p>
        </w:tc>
        <w:tc>
          <w:tcPr>
            <w:tcW w:w="217" w:type="dxa"/>
          </w:tcPr>
          <w:p w14:paraId="5CA03A64" w14:textId="77777777" w:rsidR="002C0FD9" w:rsidRPr="00CA25CF" w:rsidRDefault="002C0FD9" w:rsidP="00CA25CF">
            <w:pPr>
              <w:rPr>
                <w:rFonts w:cs="Arial"/>
                <w:color w:val="FF0000"/>
                <w:sz w:val="21"/>
                <w:szCs w:val="21"/>
              </w:rPr>
            </w:pPr>
          </w:p>
        </w:tc>
        <w:tc>
          <w:tcPr>
            <w:tcW w:w="217" w:type="dxa"/>
          </w:tcPr>
          <w:p w14:paraId="09ECF2BC" w14:textId="77777777" w:rsidR="002C0FD9" w:rsidRPr="00CA25CF" w:rsidRDefault="002C0FD9" w:rsidP="00CA25CF">
            <w:pPr>
              <w:rPr>
                <w:rFonts w:cs="Arial"/>
                <w:color w:val="FF0000"/>
                <w:sz w:val="21"/>
                <w:szCs w:val="21"/>
              </w:rPr>
            </w:pPr>
          </w:p>
        </w:tc>
        <w:tc>
          <w:tcPr>
            <w:tcW w:w="217" w:type="dxa"/>
          </w:tcPr>
          <w:p w14:paraId="6228D90E" w14:textId="77777777" w:rsidR="002C0FD9" w:rsidRPr="00CA25CF" w:rsidRDefault="002C0FD9" w:rsidP="00CA25CF">
            <w:pPr>
              <w:rPr>
                <w:rFonts w:cs="Arial"/>
                <w:color w:val="FF0000"/>
                <w:sz w:val="21"/>
                <w:szCs w:val="21"/>
              </w:rPr>
            </w:pPr>
          </w:p>
        </w:tc>
        <w:tc>
          <w:tcPr>
            <w:tcW w:w="217" w:type="dxa"/>
          </w:tcPr>
          <w:p w14:paraId="541BE838" w14:textId="77777777" w:rsidR="002C0FD9" w:rsidRPr="00CA25CF" w:rsidRDefault="002C0FD9" w:rsidP="00CA25CF">
            <w:pPr>
              <w:rPr>
                <w:rFonts w:cs="Arial"/>
                <w:color w:val="FF0000"/>
                <w:sz w:val="21"/>
                <w:szCs w:val="21"/>
              </w:rPr>
            </w:pPr>
          </w:p>
        </w:tc>
        <w:tc>
          <w:tcPr>
            <w:tcW w:w="217" w:type="dxa"/>
          </w:tcPr>
          <w:p w14:paraId="4DA88908" w14:textId="77777777" w:rsidR="002C0FD9" w:rsidRPr="00CA25CF" w:rsidRDefault="002C0FD9" w:rsidP="00CA25CF">
            <w:pPr>
              <w:rPr>
                <w:rFonts w:cs="Arial"/>
                <w:color w:val="FF0000"/>
                <w:sz w:val="21"/>
                <w:szCs w:val="21"/>
              </w:rPr>
            </w:pPr>
          </w:p>
        </w:tc>
        <w:tc>
          <w:tcPr>
            <w:tcW w:w="217" w:type="dxa"/>
          </w:tcPr>
          <w:p w14:paraId="559DC5D5" w14:textId="77777777" w:rsidR="002C0FD9" w:rsidRPr="00CA25CF" w:rsidRDefault="002C0FD9" w:rsidP="00CA25CF">
            <w:pPr>
              <w:rPr>
                <w:rFonts w:cs="Arial"/>
                <w:color w:val="FF0000"/>
                <w:sz w:val="21"/>
                <w:szCs w:val="21"/>
              </w:rPr>
            </w:pPr>
          </w:p>
        </w:tc>
        <w:tc>
          <w:tcPr>
            <w:tcW w:w="217" w:type="dxa"/>
          </w:tcPr>
          <w:p w14:paraId="20BB52A0" w14:textId="77777777" w:rsidR="002C0FD9" w:rsidRPr="00CA25CF" w:rsidRDefault="002C0FD9" w:rsidP="00CA25CF">
            <w:pPr>
              <w:rPr>
                <w:rFonts w:cs="Arial"/>
                <w:color w:val="FF0000"/>
                <w:sz w:val="21"/>
                <w:szCs w:val="21"/>
              </w:rPr>
            </w:pPr>
          </w:p>
        </w:tc>
        <w:tc>
          <w:tcPr>
            <w:tcW w:w="217" w:type="dxa"/>
          </w:tcPr>
          <w:p w14:paraId="4D5D7A39" w14:textId="77777777" w:rsidR="002C0FD9" w:rsidRPr="00CA25CF" w:rsidRDefault="002C0FD9" w:rsidP="00CA25CF">
            <w:pPr>
              <w:rPr>
                <w:rFonts w:cs="Arial"/>
                <w:color w:val="FF0000"/>
                <w:sz w:val="21"/>
                <w:szCs w:val="21"/>
              </w:rPr>
            </w:pPr>
          </w:p>
        </w:tc>
        <w:tc>
          <w:tcPr>
            <w:tcW w:w="217" w:type="dxa"/>
          </w:tcPr>
          <w:p w14:paraId="1626BC18" w14:textId="77777777" w:rsidR="002C0FD9" w:rsidRPr="00CA25CF" w:rsidRDefault="002C0FD9" w:rsidP="00CA25CF">
            <w:pPr>
              <w:rPr>
                <w:rFonts w:cs="Arial"/>
                <w:color w:val="FF0000"/>
                <w:sz w:val="21"/>
                <w:szCs w:val="21"/>
              </w:rPr>
            </w:pPr>
          </w:p>
        </w:tc>
        <w:tc>
          <w:tcPr>
            <w:tcW w:w="217" w:type="dxa"/>
          </w:tcPr>
          <w:p w14:paraId="670AA0F6" w14:textId="77777777" w:rsidR="002C0FD9" w:rsidRPr="00CA25CF" w:rsidRDefault="002C0FD9" w:rsidP="00CA25CF">
            <w:pPr>
              <w:rPr>
                <w:rFonts w:cs="Arial"/>
                <w:color w:val="FF0000"/>
                <w:sz w:val="21"/>
                <w:szCs w:val="21"/>
              </w:rPr>
            </w:pPr>
          </w:p>
        </w:tc>
      </w:tr>
      <w:tr w:rsidR="002C0FD9" w:rsidRPr="00A16219" w14:paraId="6086A532" w14:textId="77777777" w:rsidTr="002C0FD9">
        <w:trPr>
          <w:trHeight w:val="635"/>
        </w:trPr>
        <w:tc>
          <w:tcPr>
            <w:tcW w:w="515" w:type="dxa"/>
          </w:tcPr>
          <w:p w14:paraId="7CFF5B56" w14:textId="77777777" w:rsidR="002C0FD9" w:rsidRPr="00CA25CF" w:rsidRDefault="002C0FD9" w:rsidP="00CA25CF">
            <w:pPr>
              <w:rPr>
                <w:rFonts w:cs="Arial"/>
                <w:color w:val="FF0000"/>
                <w:sz w:val="21"/>
                <w:szCs w:val="21"/>
              </w:rPr>
            </w:pPr>
          </w:p>
        </w:tc>
        <w:tc>
          <w:tcPr>
            <w:tcW w:w="217" w:type="dxa"/>
          </w:tcPr>
          <w:p w14:paraId="6B5FEC4C" w14:textId="77777777" w:rsidR="002C0FD9" w:rsidRPr="00CA25CF" w:rsidRDefault="002C0FD9" w:rsidP="00CA25CF">
            <w:pPr>
              <w:rPr>
                <w:rFonts w:cs="Arial"/>
                <w:color w:val="FF0000"/>
                <w:sz w:val="21"/>
                <w:szCs w:val="21"/>
              </w:rPr>
            </w:pPr>
          </w:p>
        </w:tc>
        <w:tc>
          <w:tcPr>
            <w:tcW w:w="217" w:type="dxa"/>
          </w:tcPr>
          <w:p w14:paraId="59F91BC4" w14:textId="77777777" w:rsidR="002C0FD9" w:rsidRPr="00CA25CF" w:rsidRDefault="002C0FD9" w:rsidP="00CA25CF">
            <w:pPr>
              <w:rPr>
                <w:rFonts w:cs="Arial"/>
                <w:color w:val="FF0000"/>
                <w:sz w:val="21"/>
                <w:szCs w:val="21"/>
              </w:rPr>
            </w:pPr>
          </w:p>
        </w:tc>
        <w:tc>
          <w:tcPr>
            <w:tcW w:w="217" w:type="dxa"/>
          </w:tcPr>
          <w:p w14:paraId="44AB074B" w14:textId="77777777" w:rsidR="002C0FD9" w:rsidRPr="00CA25CF" w:rsidRDefault="002C0FD9" w:rsidP="00CA25CF">
            <w:pPr>
              <w:rPr>
                <w:rFonts w:cs="Arial"/>
                <w:color w:val="FF0000"/>
                <w:sz w:val="21"/>
                <w:szCs w:val="21"/>
              </w:rPr>
            </w:pPr>
          </w:p>
        </w:tc>
        <w:tc>
          <w:tcPr>
            <w:tcW w:w="217" w:type="dxa"/>
          </w:tcPr>
          <w:p w14:paraId="7043A0F5" w14:textId="77777777" w:rsidR="002C0FD9" w:rsidRPr="00CA25CF" w:rsidRDefault="002C0FD9" w:rsidP="00CA25CF">
            <w:pPr>
              <w:rPr>
                <w:rFonts w:cs="Arial"/>
                <w:color w:val="FF0000"/>
                <w:sz w:val="21"/>
                <w:szCs w:val="21"/>
              </w:rPr>
            </w:pPr>
          </w:p>
        </w:tc>
        <w:tc>
          <w:tcPr>
            <w:tcW w:w="217" w:type="dxa"/>
          </w:tcPr>
          <w:p w14:paraId="6D82D99A" w14:textId="77777777" w:rsidR="002C0FD9" w:rsidRPr="00CA25CF" w:rsidRDefault="002C0FD9" w:rsidP="00CA25CF">
            <w:pPr>
              <w:rPr>
                <w:rFonts w:cs="Arial"/>
                <w:color w:val="FF0000"/>
                <w:sz w:val="21"/>
                <w:szCs w:val="21"/>
              </w:rPr>
            </w:pPr>
          </w:p>
        </w:tc>
        <w:tc>
          <w:tcPr>
            <w:tcW w:w="217" w:type="dxa"/>
          </w:tcPr>
          <w:p w14:paraId="4FE2D9DD" w14:textId="77777777" w:rsidR="002C0FD9" w:rsidRPr="00CA25CF" w:rsidRDefault="002C0FD9" w:rsidP="00CA25CF">
            <w:pPr>
              <w:rPr>
                <w:rFonts w:cs="Arial"/>
                <w:color w:val="FF0000"/>
                <w:sz w:val="21"/>
                <w:szCs w:val="21"/>
              </w:rPr>
            </w:pPr>
          </w:p>
        </w:tc>
        <w:tc>
          <w:tcPr>
            <w:tcW w:w="217" w:type="dxa"/>
          </w:tcPr>
          <w:p w14:paraId="4CCCC2EF" w14:textId="77777777" w:rsidR="002C0FD9" w:rsidRPr="00CA25CF" w:rsidRDefault="002C0FD9" w:rsidP="00CA25CF">
            <w:pPr>
              <w:rPr>
                <w:rFonts w:cs="Arial"/>
                <w:color w:val="FF0000"/>
                <w:sz w:val="21"/>
                <w:szCs w:val="21"/>
              </w:rPr>
            </w:pPr>
          </w:p>
        </w:tc>
        <w:tc>
          <w:tcPr>
            <w:tcW w:w="217" w:type="dxa"/>
          </w:tcPr>
          <w:p w14:paraId="665F27E2" w14:textId="77777777" w:rsidR="002C0FD9" w:rsidRPr="00CA25CF" w:rsidRDefault="002C0FD9" w:rsidP="00CA25CF">
            <w:pPr>
              <w:rPr>
                <w:rFonts w:cs="Arial"/>
                <w:color w:val="FF0000"/>
                <w:sz w:val="21"/>
                <w:szCs w:val="21"/>
              </w:rPr>
            </w:pPr>
          </w:p>
        </w:tc>
        <w:tc>
          <w:tcPr>
            <w:tcW w:w="217" w:type="dxa"/>
          </w:tcPr>
          <w:p w14:paraId="6B89F9DE" w14:textId="77777777" w:rsidR="002C0FD9" w:rsidRPr="00CA25CF" w:rsidRDefault="002C0FD9" w:rsidP="00CA25CF">
            <w:pPr>
              <w:rPr>
                <w:rFonts w:cs="Arial"/>
                <w:color w:val="FF0000"/>
                <w:sz w:val="21"/>
                <w:szCs w:val="21"/>
              </w:rPr>
            </w:pPr>
          </w:p>
        </w:tc>
        <w:tc>
          <w:tcPr>
            <w:tcW w:w="217" w:type="dxa"/>
          </w:tcPr>
          <w:p w14:paraId="2743A1A7" w14:textId="77777777" w:rsidR="002C0FD9" w:rsidRPr="00CA25CF" w:rsidRDefault="002C0FD9" w:rsidP="00CA25CF">
            <w:pPr>
              <w:rPr>
                <w:rFonts w:cs="Arial"/>
                <w:color w:val="FF0000"/>
                <w:sz w:val="21"/>
                <w:szCs w:val="21"/>
              </w:rPr>
            </w:pPr>
          </w:p>
        </w:tc>
        <w:tc>
          <w:tcPr>
            <w:tcW w:w="217" w:type="dxa"/>
          </w:tcPr>
          <w:p w14:paraId="689D3BA3" w14:textId="77777777" w:rsidR="002C0FD9" w:rsidRPr="00CA25CF" w:rsidRDefault="002C0FD9" w:rsidP="00CA25CF">
            <w:pPr>
              <w:rPr>
                <w:rFonts w:cs="Arial"/>
                <w:color w:val="FF0000"/>
                <w:sz w:val="21"/>
                <w:szCs w:val="21"/>
              </w:rPr>
            </w:pPr>
          </w:p>
        </w:tc>
        <w:tc>
          <w:tcPr>
            <w:tcW w:w="217" w:type="dxa"/>
          </w:tcPr>
          <w:p w14:paraId="7305D05A" w14:textId="77777777" w:rsidR="002C0FD9" w:rsidRPr="00CA25CF" w:rsidRDefault="002C0FD9" w:rsidP="00CA25CF">
            <w:pPr>
              <w:rPr>
                <w:rFonts w:cs="Arial"/>
                <w:color w:val="FF0000"/>
                <w:sz w:val="21"/>
                <w:szCs w:val="21"/>
              </w:rPr>
            </w:pPr>
          </w:p>
        </w:tc>
        <w:tc>
          <w:tcPr>
            <w:tcW w:w="217" w:type="dxa"/>
          </w:tcPr>
          <w:p w14:paraId="4116FB5D" w14:textId="77777777" w:rsidR="002C0FD9" w:rsidRPr="00CA25CF" w:rsidRDefault="002C0FD9" w:rsidP="00CA25CF">
            <w:pPr>
              <w:rPr>
                <w:rFonts w:cs="Arial"/>
                <w:color w:val="FF0000"/>
                <w:sz w:val="21"/>
                <w:szCs w:val="21"/>
              </w:rPr>
            </w:pPr>
          </w:p>
        </w:tc>
        <w:tc>
          <w:tcPr>
            <w:tcW w:w="217" w:type="dxa"/>
          </w:tcPr>
          <w:p w14:paraId="29B60391" w14:textId="77777777" w:rsidR="002C0FD9" w:rsidRPr="00CA25CF" w:rsidRDefault="002C0FD9" w:rsidP="00CA25CF">
            <w:pPr>
              <w:rPr>
                <w:rFonts w:cs="Arial"/>
                <w:color w:val="FF0000"/>
                <w:sz w:val="21"/>
                <w:szCs w:val="21"/>
              </w:rPr>
            </w:pPr>
          </w:p>
        </w:tc>
        <w:tc>
          <w:tcPr>
            <w:tcW w:w="217" w:type="dxa"/>
          </w:tcPr>
          <w:p w14:paraId="46B390EA" w14:textId="77777777" w:rsidR="002C0FD9" w:rsidRPr="00CA25CF" w:rsidRDefault="002C0FD9" w:rsidP="00CA25CF">
            <w:pPr>
              <w:rPr>
                <w:rFonts w:cs="Arial"/>
                <w:color w:val="FF0000"/>
                <w:sz w:val="21"/>
                <w:szCs w:val="21"/>
              </w:rPr>
            </w:pPr>
          </w:p>
        </w:tc>
        <w:tc>
          <w:tcPr>
            <w:tcW w:w="217" w:type="dxa"/>
          </w:tcPr>
          <w:p w14:paraId="71CB4688" w14:textId="77777777" w:rsidR="002C0FD9" w:rsidRPr="00CA25CF" w:rsidRDefault="002C0FD9" w:rsidP="00CA25CF">
            <w:pPr>
              <w:rPr>
                <w:rFonts w:cs="Arial"/>
                <w:color w:val="FF0000"/>
                <w:sz w:val="21"/>
                <w:szCs w:val="21"/>
              </w:rPr>
            </w:pPr>
          </w:p>
        </w:tc>
        <w:tc>
          <w:tcPr>
            <w:tcW w:w="217" w:type="dxa"/>
          </w:tcPr>
          <w:p w14:paraId="1E5DD455" w14:textId="77777777" w:rsidR="002C0FD9" w:rsidRPr="00CA25CF" w:rsidRDefault="002C0FD9" w:rsidP="00CA25CF">
            <w:pPr>
              <w:rPr>
                <w:rFonts w:cs="Arial"/>
                <w:color w:val="FF0000"/>
                <w:sz w:val="21"/>
                <w:szCs w:val="21"/>
              </w:rPr>
            </w:pPr>
          </w:p>
        </w:tc>
        <w:tc>
          <w:tcPr>
            <w:tcW w:w="217" w:type="dxa"/>
          </w:tcPr>
          <w:p w14:paraId="10A77D33" w14:textId="77777777" w:rsidR="002C0FD9" w:rsidRPr="00CA25CF" w:rsidRDefault="002C0FD9" w:rsidP="00CA25CF">
            <w:pPr>
              <w:rPr>
                <w:rFonts w:cs="Arial"/>
                <w:color w:val="FF0000"/>
                <w:sz w:val="21"/>
                <w:szCs w:val="21"/>
              </w:rPr>
            </w:pPr>
          </w:p>
        </w:tc>
        <w:tc>
          <w:tcPr>
            <w:tcW w:w="217" w:type="dxa"/>
          </w:tcPr>
          <w:p w14:paraId="047AC979" w14:textId="77777777" w:rsidR="002C0FD9" w:rsidRPr="00CA25CF" w:rsidRDefault="002C0FD9" w:rsidP="00CA25CF">
            <w:pPr>
              <w:rPr>
                <w:rFonts w:cs="Arial"/>
                <w:color w:val="FF0000"/>
                <w:sz w:val="21"/>
                <w:szCs w:val="21"/>
              </w:rPr>
            </w:pPr>
          </w:p>
        </w:tc>
        <w:tc>
          <w:tcPr>
            <w:tcW w:w="217" w:type="dxa"/>
          </w:tcPr>
          <w:p w14:paraId="758FE66B" w14:textId="77777777" w:rsidR="002C0FD9" w:rsidRPr="00CA25CF" w:rsidRDefault="002C0FD9" w:rsidP="00CA25CF">
            <w:pPr>
              <w:rPr>
                <w:rFonts w:cs="Arial"/>
                <w:color w:val="FF0000"/>
                <w:sz w:val="21"/>
                <w:szCs w:val="21"/>
              </w:rPr>
            </w:pPr>
          </w:p>
        </w:tc>
        <w:tc>
          <w:tcPr>
            <w:tcW w:w="217" w:type="dxa"/>
          </w:tcPr>
          <w:p w14:paraId="2C87914E" w14:textId="77777777" w:rsidR="002C0FD9" w:rsidRPr="00CA25CF" w:rsidRDefault="002C0FD9" w:rsidP="00CA25CF">
            <w:pPr>
              <w:rPr>
                <w:rFonts w:cs="Arial"/>
                <w:color w:val="FF0000"/>
                <w:sz w:val="21"/>
                <w:szCs w:val="21"/>
              </w:rPr>
            </w:pPr>
          </w:p>
        </w:tc>
        <w:tc>
          <w:tcPr>
            <w:tcW w:w="217" w:type="dxa"/>
          </w:tcPr>
          <w:p w14:paraId="67DE2F88" w14:textId="77777777" w:rsidR="002C0FD9" w:rsidRPr="00CA25CF" w:rsidRDefault="002C0FD9" w:rsidP="00CA25CF">
            <w:pPr>
              <w:rPr>
                <w:rFonts w:cs="Arial"/>
                <w:color w:val="FF0000"/>
                <w:sz w:val="21"/>
                <w:szCs w:val="21"/>
              </w:rPr>
            </w:pPr>
          </w:p>
        </w:tc>
        <w:tc>
          <w:tcPr>
            <w:tcW w:w="217" w:type="dxa"/>
          </w:tcPr>
          <w:p w14:paraId="51D25836" w14:textId="77777777" w:rsidR="002C0FD9" w:rsidRPr="00CA25CF" w:rsidRDefault="002C0FD9" w:rsidP="00CA25CF">
            <w:pPr>
              <w:rPr>
                <w:rFonts w:cs="Arial"/>
                <w:color w:val="FF0000"/>
                <w:sz w:val="21"/>
                <w:szCs w:val="21"/>
              </w:rPr>
            </w:pPr>
          </w:p>
        </w:tc>
        <w:tc>
          <w:tcPr>
            <w:tcW w:w="217" w:type="dxa"/>
          </w:tcPr>
          <w:p w14:paraId="0D8EE75D" w14:textId="77777777" w:rsidR="002C0FD9" w:rsidRPr="00CA25CF" w:rsidRDefault="002C0FD9" w:rsidP="00CA25CF">
            <w:pPr>
              <w:rPr>
                <w:rFonts w:cs="Arial"/>
                <w:color w:val="FF0000"/>
                <w:sz w:val="21"/>
                <w:szCs w:val="21"/>
              </w:rPr>
            </w:pPr>
          </w:p>
        </w:tc>
        <w:tc>
          <w:tcPr>
            <w:tcW w:w="217" w:type="dxa"/>
          </w:tcPr>
          <w:p w14:paraId="3E4E82CC" w14:textId="77777777" w:rsidR="002C0FD9" w:rsidRPr="00CA25CF" w:rsidRDefault="002C0FD9" w:rsidP="00CA25CF">
            <w:pPr>
              <w:rPr>
                <w:rFonts w:cs="Arial"/>
                <w:color w:val="FF0000"/>
                <w:sz w:val="21"/>
                <w:szCs w:val="21"/>
              </w:rPr>
            </w:pPr>
          </w:p>
        </w:tc>
        <w:tc>
          <w:tcPr>
            <w:tcW w:w="217" w:type="dxa"/>
          </w:tcPr>
          <w:p w14:paraId="64FCA5CC" w14:textId="77777777" w:rsidR="002C0FD9" w:rsidRPr="00CA25CF" w:rsidRDefault="002C0FD9" w:rsidP="00CA25CF">
            <w:pPr>
              <w:rPr>
                <w:rFonts w:cs="Arial"/>
                <w:color w:val="FF0000"/>
                <w:sz w:val="21"/>
                <w:szCs w:val="21"/>
              </w:rPr>
            </w:pPr>
          </w:p>
        </w:tc>
        <w:tc>
          <w:tcPr>
            <w:tcW w:w="217" w:type="dxa"/>
          </w:tcPr>
          <w:p w14:paraId="4B716D35" w14:textId="77777777" w:rsidR="002C0FD9" w:rsidRPr="00CA25CF" w:rsidRDefault="002C0FD9" w:rsidP="00CA25CF">
            <w:pPr>
              <w:rPr>
                <w:rFonts w:cs="Arial"/>
                <w:color w:val="FF0000"/>
                <w:sz w:val="21"/>
                <w:szCs w:val="21"/>
              </w:rPr>
            </w:pPr>
          </w:p>
        </w:tc>
        <w:tc>
          <w:tcPr>
            <w:tcW w:w="217" w:type="dxa"/>
          </w:tcPr>
          <w:p w14:paraId="59776BE2" w14:textId="77777777" w:rsidR="002C0FD9" w:rsidRPr="00CA25CF" w:rsidRDefault="002C0FD9" w:rsidP="00CA25CF">
            <w:pPr>
              <w:rPr>
                <w:rFonts w:cs="Arial"/>
                <w:color w:val="FF0000"/>
                <w:sz w:val="21"/>
                <w:szCs w:val="21"/>
              </w:rPr>
            </w:pPr>
          </w:p>
        </w:tc>
        <w:tc>
          <w:tcPr>
            <w:tcW w:w="217" w:type="dxa"/>
          </w:tcPr>
          <w:p w14:paraId="5572B0F1" w14:textId="77777777" w:rsidR="002C0FD9" w:rsidRPr="00CA25CF" w:rsidRDefault="002C0FD9" w:rsidP="00CA25CF">
            <w:pPr>
              <w:rPr>
                <w:rFonts w:cs="Arial"/>
                <w:color w:val="FF0000"/>
                <w:sz w:val="21"/>
                <w:szCs w:val="21"/>
              </w:rPr>
            </w:pPr>
          </w:p>
        </w:tc>
        <w:tc>
          <w:tcPr>
            <w:tcW w:w="217" w:type="dxa"/>
          </w:tcPr>
          <w:p w14:paraId="2BFAE059" w14:textId="77777777" w:rsidR="002C0FD9" w:rsidRPr="00CA25CF" w:rsidRDefault="002C0FD9" w:rsidP="00CA25CF">
            <w:pPr>
              <w:rPr>
                <w:rFonts w:cs="Arial"/>
                <w:color w:val="FF0000"/>
                <w:sz w:val="21"/>
                <w:szCs w:val="21"/>
              </w:rPr>
            </w:pPr>
          </w:p>
        </w:tc>
        <w:tc>
          <w:tcPr>
            <w:tcW w:w="217" w:type="dxa"/>
          </w:tcPr>
          <w:p w14:paraId="527D8528" w14:textId="77777777" w:rsidR="002C0FD9" w:rsidRPr="00CA25CF" w:rsidRDefault="002C0FD9" w:rsidP="00CA25CF">
            <w:pPr>
              <w:rPr>
                <w:rFonts w:cs="Arial"/>
                <w:color w:val="FF0000"/>
                <w:sz w:val="21"/>
                <w:szCs w:val="21"/>
              </w:rPr>
            </w:pPr>
          </w:p>
        </w:tc>
        <w:tc>
          <w:tcPr>
            <w:tcW w:w="217" w:type="dxa"/>
          </w:tcPr>
          <w:p w14:paraId="346A2CAB" w14:textId="77777777" w:rsidR="002C0FD9" w:rsidRPr="00CA25CF" w:rsidRDefault="002C0FD9" w:rsidP="00CA25CF">
            <w:pPr>
              <w:rPr>
                <w:rFonts w:cs="Arial"/>
                <w:color w:val="FF0000"/>
                <w:sz w:val="21"/>
                <w:szCs w:val="21"/>
              </w:rPr>
            </w:pPr>
          </w:p>
        </w:tc>
        <w:tc>
          <w:tcPr>
            <w:tcW w:w="217" w:type="dxa"/>
          </w:tcPr>
          <w:p w14:paraId="68406D7E" w14:textId="77777777" w:rsidR="002C0FD9" w:rsidRPr="00CA25CF" w:rsidRDefault="002C0FD9" w:rsidP="00CA25CF">
            <w:pPr>
              <w:rPr>
                <w:rFonts w:cs="Arial"/>
                <w:color w:val="FF0000"/>
                <w:sz w:val="21"/>
                <w:szCs w:val="21"/>
              </w:rPr>
            </w:pPr>
          </w:p>
        </w:tc>
        <w:tc>
          <w:tcPr>
            <w:tcW w:w="217" w:type="dxa"/>
          </w:tcPr>
          <w:p w14:paraId="0AB55EA8" w14:textId="77777777" w:rsidR="002C0FD9" w:rsidRPr="00CA25CF" w:rsidRDefault="002C0FD9" w:rsidP="00CA25CF">
            <w:pPr>
              <w:rPr>
                <w:rFonts w:cs="Arial"/>
                <w:color w:val="FF0000"/>
                <w:sz w:val="21"/>
                <w:szCs w:val="21"/>
              </w:rPr>
            </w:pPr>
          </w:p>
        </w:tc>
        <w:tc>
          <w:tcPr>
            <w:tcW w:w="217" w:type="dxa"/>
          </w:tcPr>
          <w:p w14:paraId="6AFD0B60" w14:textId="77777777" w:rsidR="002C0FD9" w:rsidRPr="00CA25CF" w:rsidRDefault="002C0FD9" w:rsidP="00CA25CF">
            <w:pPr>
              <w:rPr>
                <w:rFonts w:cs="Arial"/>
                <w:color w:val="FF0000"/>
                <w:sz w:val="21"/>
                <w:szCs w:val="21"/>
              </w:rPr>
            </w:pPr>
          </w:p>
        </w:tc>
        <w:tc>
          <w:tcPr>
            <w:tcW w:w="217" w:type="dxa"/>
          </w:tcPr>
          <w:p w14:paraId="08AA527F" w14:textId="77777777" w:rsidR="002C0FD9" w:rsidRPr="00CA25CF" w:rsidRDefault="002C0FD9" w:rsidP="00CA25CF">
            <w:pPr>
              <w:rPr>
                <w:rFonts w:cs="Arial"/>
                <w:color w:val="FF0000"/>
                <w:sz w:val="21"/>
                <w:szCs w:val="21"/>
              </w:rPr>
            </w:pPr>
          </w:p>
        </w:tc>
        <w:tc>
          <w:tcPr>
            <w:tcW w:w="217" w:type="dxa"/>
          </w:tcPr>
          <w:p w14:paraId="092B85EA" w14:textId="77777777" w:rsidR="002C0FD9" w:rsidRPr="00CA25CF" w:rsidRDefault="002C0FD9" w:rsidP="00CA25CF">
            <w:pPr>
              <w:rPr>
                <w:rFonts w:cs="Arial"/>
                <w:color w:val="FF0000"/>
                <w:sz w:val="21"/>
                <w:szCs w:val="21"/>
              </w:rPr>
            </w:pPr>
          </w:p>
        </w:tc>
        <w:tc>
          <w:tcPr>
            <w:tcW w:w="217" w:type="dxa"/>
          </w:tcPr>
          <w:p w14:paraId="65BD2930" w14:textId="77777777" w:rsidR="002C0FD9" w:rsidRPr="00CA25CF" w:rsidRDefault="002C0FD9" w:rsidP="00CA25CF">
            <w:pPr>
              <w:rPr>
                <w:rFonts w:cs="Arial"/>
                <w:color w:val="FF0000"/>
                <w:sz w:val="21"/>
                <w:szCs w:val="21"/>
              </w:rPr>
            </w:pPr>
          </w:p>
        </w:tc>
        <w:tc>
          <w:tcPr>
            <w:tcW w:w="217" w:type="dxa"/>
          </w:tcPr>
          <w:p w14:paraId="24E205B5" w14:textId="77777777" w:rsidR="002C0FD9" w:rsidRPr="00CA25CF" w:rsidRDefault="002C0FD9" w:rsidP="00CA25CF">
            <w:pPr>
              <w:rPr>
                <w:rFonts w:cs="Arial"/>
                <w:color w:val="FF0000"/>
                <w:sz w:val="21"/>
                <w:szCs w:val="21"/>
              </w:rPr>
            </w:pPr>
          </w:p>
        </w:tc>
        <w:tc>
          <w:tcPr>
            <w:tcW w:w="217" w:type="dxa"/>
          </w:tcPr>
          <w:p w14:paraId="0E01C07B" w14:textId="77777777" w:rsidR="002C0FD9" w:rsidRPr="00CA25CF" w:rsidRDefault="002C0FD9" w:rsidP="00CA25CF">
            <w:pPr>
              <w:rPr>
                <w:rFonts w:cs="Arial"/>
                <w:color w:val="FF0000"/>
                <w:sz w:val="21"/>
                <w:szCs w:val="21"/>
              </w:rPr>
            </w:pPr>
          </w:p>
        </w:tc>
        <w:tc>
          <w:tcPr>
            <w:tcW w:w="217" w:type="dxa"/>
          </w:tcPr>
          <w:p w14:paraId="7441EC59" w14:textId="77777777" w:rsidR="002C0FD9" w:rsidRPr="00CA25CF" w:rsidRDefault="002C0FD9" w:rsidP="00CA25CF">
            <w:pPr>
              <w:rPr>
                <w:rFonts w:cs="Arial"/>
                <w:color w:val="FF0000"/>
                <w:sz w:val="21"/>
                <w:szCs w:val="21"/>
              </w:rPr>
            </w:pPr>
          </w:p>
        </w:tc>
        <w:tc>
          <w:tcPr>
            <w:tcW w:w="217" w:type="dxa"/>
          </w:tcPr>
          <w:p w14:paraId="2014FEFB" w14:textId="77777777" w:rsidR="002C0FD9" w:rsidRPr="00CA25CF" w:rsidRDefault="002C0FD9" w:rsidP="00CA25CF">
            <w:pPr>
              <w:rPr>
                <w:rFonts w:cs="Arial"/>
                <w:color w:val="FF0000"/>
                <w:sz w:val="21"/>
                <w:szCs w:val="21"/>
              </w:rPr>
            </w:pPr>
          </w:p>
        </w:tc>
      </w:tr>
      <w:tr w:rsidR="002C0FD9" w:rsidRPr="00A16219" w14:paraId="12886E0F" w14:textId="77777777" w:rsidTr="002C0FD9">
        <w:trPr>
          <w:trHeight w:val="635"/>
        </w:trPr>
        <w:tc>
          <w:tcPr>
            <w:tcW w:w="515" w:type="dxa"/>
          </w:tcPr>
          <w:p w14:paraId="287C49FB" w14:textId="77777777" w:rsidR="002C0FD9" w:rsidRPr="00CA25CF" w:rsidRDefault="002C0FD9" w:rsidP="00CA25CF">
            <w:pPr>
              <w:rPr>
                <w:rFonts w:cs="Arial"/>
                <w:color w:val="FF0000"/>
                <w:sz w:val="21"/>
                <w:szCs w:val="21"/>
              </w:rPr>
            </w:pPr>
          </w:p>
        </w:tc>
        <w:tc>
          <w:tcPr>
            <w:tcW w:w="217" w:type="dxa"/>
          </w:tcPr>
          <w:p w14:paraId="432EDB5B" w14:textId="77777777" w:rsidR="002C0FD9" w:rsidRPr="00CA25CF" w:rsidRDefault="002C0FD9" w:rsidP="00CA25CF">
            <w:pPr>
              <w:rPr>
                <w:rFonts w:cs="Arial"/>
                <w:color w:val="FF0000"/>
                <w:sz w:val="21"/>
                <w:szCs w:val="21"/>
              </w:rPr>
            </w:pPr>
          </w:p>
        </w:tc>
        <w:tc>
          <w:tcPr>
            <w:tcW w:w="217" w:type="dxa"/>
          </w:tcPr>
          <w:p w14:paraId="77A1FC3C" w14:textId="77777777" w:rsidR="002C0FD9" w:rsidRPr="00CA25CF" w:rsidRDefault="002C0FD9" w:rsidP="00CA25CF">
            <w:pPr>
              <w:rPr>
                <w:rFonts w:cs="Arial"/>
                <w:color w:val="FF0000"/>
                <w:sz w:val="21"/>
                <w:szCs w:val="21"/>
              </w:rPr>
            </w:pPr>
          </w:p>
        </w:tc>
        <w:tc>
          <w:tcPr>
            <w:tcW w:w="217" w:type="dxa"/>
          </w:tcPr>
          <w:p w14:paraId="1C568342" w14:textId="77777777" w:rsidR="002C0FD9" w:rsidRPr="00CA25CF" w:rsidRDefault="002C0FD9" w:rsidP="00CA25CF">
            <w:pPr>
              <w:rPr>
                <w:rFonts w:cs="Arial"/>
                <w:color w:val="FF0000"/>
                <w:sz w:val="21"/>
                <w:szCs w:val="21"/>
              </w:rPr>
            </w:pPr>
          </w:p>
        </w:tc>
        <w:tc>
          <w:tcPr>
            <w:tcW w:w="217" w:type="dxa"/>
          </w:tcPr>
          <w:p w14:paraId="3DF63F63" w14:textId="77777777" w:rsidR="002C0FD9" w:rsidRPr="00CA25CF" w:rsidRDefault="002C0FD9" w:rsidP="00CA25CF">
            <w:pPr>
              <w:rPr>
                <w:rFonts w:cs="Arial"/>
                <w:color w:val="FF0000"/>
                <w:sz w:val="21"/>
                <w:szCs w:val="21"/>
              </w:rPr>
            </w:pPr>
          </w:p>
        </w:tc>
        <w:tc>
          <w:tcPr>
            <w:tcW w:w="217" w:type="dxa"/>
          </w:tcPr>
          <w:p w14:paraId="2AEA8C96" w14:textId="77777777" w:rsidR="002C0FD9" w:rsidRPr="00CA25CF" w:rsidRDefault="002C0FD9" w:rsidP="00CA25CF">
            <w:pPr>
              <w:rPr>
                <w:rFonts w:cs="Arial"/>
                <w:color w:val="FF0000"/>
                <w:sz w:val="21"/>
                <w:szCs w:val="21"/>
              </w:rPr>
            </w:pPr>
          </w:p>
        </w:tc>
        <w:tc>
          <w:tcPr>
            <w:tcW w:w="217" w:type="dxa"/>
          </w:tcPr>
          <w:p w14:paraId="0320253F" w14:textId="77777777" w:rsidR="002C0FD9" w:rsidRPr="00CA25CF" w:rsidRDefault="002C0FD9" w:rsidP="00CA25CF">
            <w:pPr>
              <w:rPr>
                <w:rFonts w:cs="Arial"/>
                <w:color w:val="FF0000"/>
                <w:sz w:val="21"/>
                <w:szCs w:val="21"/>
              </w:rPr>
            </w:pPr>
          </w:p>
        </w:tc>
        <w:tc>
          <w:tcPr>
            <w:tcW w:w="217" w:type="dxa"/>
          </w:tcPr>
          <w:p w14:paraId="034191B2" w14:textId="77777777" w:rsidR="002C0FD9" w:rsidRPr="00CA25CF" w:rsidRDefault="002C0FD9" w:rsidP="00CA25CF">
            <w:pPr>
              <w:rPr>
                <w:rFonts w:cs="Arial"/>
                <w:color w:val="FF0000"/>
                <w:sz w:val="21"/>
                <w:szCs w:val="21"/>
              </w:rPr>
            </w:pPr>
          </w:p>
        </w:tc>
        <w:tc>
          <w:tcPr>
            <w:tcW w:w="217" w:type="dxa"/>
          </w:tcPr>
          <w:p w14:paraId="057F08CD" w14:textId="77777777" w:rsidR="002C0FD9" w:rsidRPr="00CA25CF" w:rsidRDefault="002C0FD9" w:rsidP="00CA25CF">
            <w:pPr>
              <w:rPr>
                <w:rFonts w:cs="Arial"/>
                <w:color w:val="FF0000"/>
                <w:sz w:val="21"/>
                <w:szCs w:val="21"/>
              </w:rPr>
            </w:pPr>
          </w:p>
        </w:tc>
        <w:tc>
          <w:tcPr>
            <w:tcW w:w="217" w:type="dxa"/>
          </w:tcPr>
          <w:p w14:paraId="75814E3F" w14:textId="77777777" w:rsidR="002C0FD9" w:rsidRPr="00CA25CF" w:rsidRDefault="002C0FD9" w:rsidP="00CA25CF">
            <w:pPr>
              <w:rPr>
                <w:rFonts w:cs="Arial"/>
                <w:color w:val="FF0000"/>
                <w:sz w:val="21"/>
                <w:szCs w:val="21"/>
              </w:rPr>
            </w:pPr>
          </w:p>
        </w:tc>
        <w:tc>
          <w:tcPr>
            <w:tcW w:w="217" w:type="dxa"/>
          </w:tcPr>
          <w:p w14:paraId="7CA3BEC8" w14:textId="77777777" w:rsidR="002C0FD9" w:rsidRPr="00CA25CF" w:rsidRDefault="002C0FD9" w:rsidP="00CA25CF">
            <w:pPr>
              <w:rPr>
                <w:rFonts w:cs="Arial"/>
                <w:color w:val="FF0000"/>
                <w:sz w:val="21"/>
                <w:szCs w:val="21"/>
              </w:rPr>
            </w:pPr>
          </w:p>
        </w:tc>
        <w:tc>
          <w:tcPr>
            <w:tcW w:w="217" w:type="dxa"/>
          </w:tcPr>
          <w:p w14:paraId="30DB0767" w14:textId="77777777" w:rsidR="002C0FD9" w:rsidRPr="00CA25CF" w:rsidRDefault="002C0FD9" w:rsidP="00CA25CF">
            <w:pPr>
              <w:rPr>
                <w:rFonts w:cs="Arial"/>
                <w:color w:val="FF0000"/>
                <w:sz w:val="21"/>
                <w:szCs w:val="21"/>
              </w:rPr>
            </w:pPr>
          </w:p>
        </w:tc>
        <w:tc>
          <w:tcPr>
            <w:tcW w:w="217" w:type="dxa"/>
          </w:tcPr>
          <w:p w14:paraId="5DB7C0ED" w14:textId="77777777" w:rsidR="002C0FD9" w:rsidRPr="00CA25CF" w:rsidRDefault="002C0FD9" w:rsidP="00CA25CF">
            <w:pPr>
              <w:rPr>
                <w:rFonts w:cs="Arial"/>
                <w:color w:val="FF0000"/>
                <w:sz w:val="21"/>
                <w:szCs w:val="21"/>
              </w:rPr>
            </w:pPr>
          </w:p>
        </w:tc>
        <w:tc>
          <w:tcPr>
            <w:tcW w:w="217" w:type="dxa"/>
          </w:tcPr>
          <w:p w14:paraId="6D711B03" w14:textId="77777777" w:rsidR="002C0FD9" w:rsidRPr="00CA25CF" w:rsidRDefault="002C0FD9" w:rsidP="00CA25CF">
            <w:pPr>
              <w:rPr>
                <w:rFonts w:cs="Arial"/>
                <w:color w:val="FF0000"/>
                <w:sz w:val="21"/>
                <w:szCs w:val="21"/>
              </w:rPr>
            </w:pPr>
          </w:p>
        </w:tc>
        <w:tc>
          <w:tcPr>
            <w:tcW w:w="217" w:type="dxa"/>
          </w:tcPr>
          <w:p w14:paraId="272636E8" w14:textId="77777777" w:rsidR="002C0FD9" w:rsidRPr="00CA25CF" w:rsidRDefault="002C0FD9" w:rsidP="00CA25CF">
            <w:pPr>
              <w:rPr>
                <w:rFonts w:cs="Arial"/>
                <w:color w:val="FF0000"/>
                <w:sz w:val="21"/>
                <w:szCs w:val="21"/>
              </w:rPr>
            </w:pPr>
          </w:p>
        </w:tc>
        <w:tc>
          <w:tcPr>
            <w:tcW w:w="217" w:type="dxa"/>
          </w:tcPr>
          <w:p w14:paraId="00151CA8" w14:textId="77777777" w:rsidR="002C0FD9" w:rsidRPr="00CA25CF" w:rsidRDefault="002C0FD9" w:rsidP="00CA25CF">
            <w:pPr>
              <w:rPr>
                <w:rFonts w:cs="Arial"/>
                <w:color w:val="FF0000"/>
                <w:sz w:val="21"/>
                <w:szCs w:val="21"/>
              </w:rPr>
            </w:pPr>
          </w:p>
        </w:tc>
        <w:tc>
          <w:tcPr>
            <w:tcW w:w="217" w:type="dxa"/>
          </w:tcPr>
          <w:p w14:paraId="44F8F940" w14:textId="77777777" w:rsidR="002C0FD9" w:rsidRPr="00CA25CF" w:rsidRDefault="002C0FD9" w:rsidP="00CA25CF">
            <w:pPr>
              <w:rPr>
                <w:rFonts w:cs="Arial"/>
                <w:color w:val="FF0000"/>
                <w:sz w:val="21"/>
                <w:szCs w:val="21"/>
              </w:rPr>
            </w:pPr>
          </w:p>
        </w:tc>
        <w:tc>
          <w:tcPr>
            <w:tcW w:w="217" w:type="dxa"/>
          </w:tcPr>
          <w:p w14:paraId="1E7EEA24" w14:textId="77777777" w:rsidR="002C0FD9" w:rsidRPr="00CA25CF" w:rsidRDefault="002C0FD9" w:rsidP="00CA25CF">
            <w:pPr>
              <w:rPr>
                <w:rFonts w:cs="Arial"/>
                <w:color w:val="FF0000"/>
                <w:sz w:val="21"/>
                <w:szCs w:val="21"/>
              </w:rPr>
            </w:pPr>
          </w:p>
        </w:tc>
        <w:tc>
          <w:tcPr>
            <w:tcW w:w="217" w:type="dxa"/>
          </w:tcPr>
          <w:p w14:paraId="05E918AF" w14:textId="77777777" w:rsidR="002C0FD9" w:rsidRPr="00CA25CF" w:rsidRDefault="002C0FD9" w:rsidP="00CA25CF">
            <w:pPr>
              <w:rPr>
                <w:rFonts w:cs="Arial"/>
                <w:color w:val="FF0000"/>
                <w:sz w:val="21"/>
                <w:szCs w:val="21"/>
              </w:rPr>
            </w:pPr>
          </w:p>
        </w:tc>
        <w:tc>
          <w:tcPr>
            <w:tcW w:w="217" w:type="dxa"/>
          </w:tcPr>
          <w:p w14:paraId="5A64AE7D" w14:textId="77777777" w:rsidR="002C0FD9" w:rsidRPr="00CA25CF" w:rsidRDefault="002C0FD9" w:rsidP="00CA25CF">
            <w:pPr>
              <w:rPr>
                <w:rFonts w:cs="Arial"/>
                <w:color w:val="FF0000"/>
                <w:sz w:val="21"/>
                <w:szCs w:val="21"/>
              </w:rPr>
            </w:pPr>
          </w:p>
        </w:tc>
        <w:tc>
          <w:tcPr>
            <w:tcW w:w="217" w:type="dxa"/>
          </w:tcPr>
          <w:p w14:paraId="6386E519" w14:textId="77777777" w:rsidR="002C0FD9" w:rsidRPr="00CA25CF" w:rsidRDefault="002C0FD9" w:rsidP="00CA25CF">
            <w:pPr>
              <w:rPr>
                <w:rFonts w:cs="Arial"/>
                <w:color w:val="FF0000"/>
                <w:sz w:val="21"/>
                <w:szCs w:val="21"/>
              </w:rPr>
            </w:pPr>
          </w:p>
        </w:tc>
        <w:tc>
          <w:tcPr>
            <w:tcW w:w="217" w:type="dxa"/>
          </w:tcPr>
          <w:p w14:paraId="490FDB4E" w14:textId="77777777" w:rsidR="002C0FD9" w:rsidRPr="00CA25CF" w:rsidRDefault="002C0FD9" w:rsidP="00CA25CF">
            <w:pPr>
              <w:rPr>
                <w:rFonts w:cs="Arial"/>
                <w:color w:val="FF0000"/>
                <w:sz w:val="21"/>
                <w:szCs w:val="21"/>
              </w:rPr>
            </w:pPr>
          </w:p>
        </w:tc>
        <w:tc>
          <w:tcPr>
            <w:tcW w:w="217" w:type="dxa"/>
          </w:tcPr>
          <w:p w14:paraId="005D1668" w14:textId="77777777" w:rsidR="002C0FD9" w:rsidRPr="00CA25CF" w:rsidRDefault="002C0FD9" w:rsidP="00CA25CF">
            <w:pPr>
              <w:rPr>
                <w:rFonts w:cs="Arial"/>
                <w:color w:val="FF0000"/>
                <w:sz w:val="21"/>
                <w:szCs w:val="21"/>
              </w:rPr>
            </w:pPr>
          </w:p>
        </w:tc>
        <w:tc>
          <w:tcPr>
            <w:tcW w:w="217" w:type="dxa"/>
          </w:tcPr>
          <w:p w14:paraId="0E3149CF" w14:textId="77777777" w:rsidR="002C0FD9" w:rsidRPr="00CA25CF" w:rsidRDefault="002C0FD9" w:rsidP="00CA25CF">
            <w:pPr>
              <w:rPr>
                <w:rFonts w:cs="Arial"/>
                <w:color w:val="FF0000"/>
                <w:sz w:val="21"/>
                <w:szCs w:val="21"/>
              </w:rPr>
            </w:pPr>
          </w:p>
        </w:tc>
        <w:tc>
          <w:tcPr>
            <w:tcW w:w="217" w:type="dxa"/>
          </w:tcPr>
          <w:p w14:paraId="13E93C41" w14:textId="77777777" w:rsidR="002C0FD9" w:rsidRPr="00CA25CF" w:rsidRDefault="002C0FD9" w:rsidP="00CA25CF">
            <w:pPr>
              <w:rPr>
                <w:rFonts w:cs="Arial"/>
                <w:color w:val="FF0000"/>
                <w:sz w:val="21"/>
                <w:szCs w:val="21"/>
              </w:rPr>
            </w:pPr>
          </w:p>
        </w:tc>
        <w:tc>
          <w:tcPr>
            <w:tcW w:w="217" w:type="dxa"/>
          </w:tcPr>
          <w:p w14:paraId="75B95857" w14:textId="77777777" w:rsidR="002C0FD9" w:rsidRPr="00CA25CF" w:rsidRDefault="002C0FD9" w:rsidP="00CA25CF">
            <w:pPr>
              <w:rPr>
                <w:rFonts w:cs="Arial"/>
                <w:color w:val="FF0000"/>
                <w:sz w:val="21"/>
                <w:szCs w:val="21"/>
              </w:rPr>
            </w:pPr>
          </w:p>
        </w:tc>
        <w:tc>
          <w:tcPr>
            <w:tcW w:w="217" w:type="dxa"/>
          </w:tcPr>
          <w:p w14:paraId="627F05FC" w14:textId="77777777" w:rsidR="002C0FD9" w:rsidRPr="00CA25CF" w:rsidRDefault="002C0FD9" w:rsidP="00CA25CF">
            <w:pPr>
              <w:rPr>
                <w:rFonts w:cs="Arial"/>
                <w:color w:val="FF0000"/>
                <w:sz w:val="21"/>
                <w:szCs w:val="21"/>
              </w:rPr>
            </w:pPr>
          </w:p>
        </w:tc>
        <w:tc>
          <w:tcPr>
            <w:tcW w:w="217" w:type="dxa"/>
          </w:tcPr>
          <w:p w14:paraId="3E1574AE" w14:textId="77777777" w:rsidR="002C0FD9" w:rsidRPr="00CA25CF" w:rsidRDefault="002C0FD9" w:rsidP="00CA25CF">
            <w:pPr>
              <w:rPr>
                <w:rFonts w:cs="Arial"/>
                <w:color w:val="FF0000"/>
                <w:sz w:val="21"/>
                <w:szCs w:val="21"/>
              </w:rPr>
            </w:pPr>
          </w:p>
        </w:tc>
        <w:tc>
          <w:tcPr>
            <w:tcW w:w="217" w:type="dxa"/>
          </w:tcPr>
          <w:p w14:paraId="582A12C6" w14:textId="77777777" w:rsidR="002C0FD9" w:rsidRPr="00CA25CF" w:rsidRDefault="002C0FD9" w:rsidP="00CA25CF">
            <w:pPr>
              <w:rPr>
                <w:rFonts w:cs="Arial"/>
                <w:color w:val="FF0000"/>
                <w:sz w:val="21"/>
                <w:szCs w:val="21"/>
              </w:rPr>
            </w:pPr>
          </w:p>
        </w:tc>
        <w:tc>
          <w:tcPr>
            <w:tcW w:w="217" w:type="dxa"/>
          </w:tcPr>
          <w:p w14:paraId="611F0E6B" w14:textId="77777777" w:rsidR="002C0FD9" w:rsidRPr="00CA25CF" w:rsidRDefault="002C0FD9" w:rsidP="00CA25CF">
            <w:pPr>
              <w:rPr>
                <w:rFonts w:cs="Arial"/>
                <w:color w:val="FF0000"/>
                <w:sz w:val="21"/>
                <w:szCs w:val="21"/>
              </w:rPr>
            </w:pPr>
          </w:p>
        </w:tc>
        <w:tc>
          <w:tcPr>
            <w:tcW w:w="217" w:type="dxa"/>
          </w:tcPr>
          <w:p w14:paraId="7F790C90" w14:textId="77777777" w:rsidR="002C0FD9" w:rsidRPr="00CA25CF" w:rsidRDefault="002C0FD9" w:rsidP="00CA25CF">
            <w:pPr>
              <w:rPr>
                <w:rFonts w:cs="Arial"/>
                <w:color w:val="FF0000"/>
                <w:sz w:val="21"/>
                <w:szCs w:val="21"/>
              </w:rPr>
            </w:pPr>
          </w:p>
        </w:tc>
        <w:tc>
          <w:tcPr>
            <w:tcW w:w="217" w:type="dxa"/>
          </w:tcPr>
          <w:p w14:paraId="61E3ED84" w14:textId="77777777" w:rsidR="002C0FD9" w:rsidRPr="00CA25CF" w:rsidRDefault="002C0FD9" w:rsidP="00CA25CF">
            <w:pPr>
              <w:rPr>
                <w:rFonts w:cs="Arial"/>
                <w:color w:val="FF0000"/>
                <w:sz w:val="21"/>
                <w:szCs w:val="21"/>
              </w:rPr>
            </w:pPr>
          </w:p>
        </w:tc>
        <w:tc>
          <w:tcPr>
            <w:tcW w:w="217" w:type="dxa"/>
          </w:tcPr>
          <w:p w14:paraId="001BCEE1" w14:textId="77777777" w:rsidR="002C0FD9" w:rsidRPr="00CA25CF" w:rsidRDefault="002C0FD9" w:rsidP="00CA25CF">
            <w:pPr>
              <w:rPr>
                <w:rFonts w:cs="Arial"/>
                <w:color w:val="FF0000"/>
                <w:sz w:val="21"/>
                <w:szCs w:val="21"/>
              </w:rPr>
            </w:pPr>
          </w:p>
        </w:tc>
        <w:tc>
          <w:tcPr>
            <w:tcW w:w="217" w:type="dxa"/>
          </w:tcPr>
          <w:p w14:paraId="45DC2CC2" w14:textId="77777777" w:rsidR="002C0FD9" w:rsidRPr="00CA25CF" w:rsidRDefault="002C0FD9" w:rsidP="00CA25CF">
            <w:pPr>
              <w:rPr>
                <w:rFonts w:cs="Arial"/>
                <w:color w:val="FF0000"/>
                <w:sz w:val="21"/>
                <w:szCs w:val="21"/>
              </w:rPr>
            </w:pPr>
          </w:p>
        </w:tc>
        <w:tc>
          <w:tcPr>
            <w:tcW w:w="217" w:type="dxa"/>
          </w:tcPr>
          <w:p w14:paraId="2AADEFF6" w14:textId="77777777" w:rsidR="002C0FD9" w:rsidRPr="00CA25CF" w:rsidRDefault="002C0FD9" w:rsidP="00CA25CF">
            <w:pPr>
              <w:rPr>
                <w:rFonts w:cs="Arial"/>
                <w:color w:val="FF0000"/>
                <w:sz w:val="21"/>
                <w:szCs w:val="21"/>
              </w:rPr>
            </w:pPr>
          </w:p>
        </w:tc>
        <w:tc>
          <w:tcPr>
            <w:tcW w:w="217" w:type="dxa"/>
          </w:tcPr>
          <w:p w14:paraId="6DDB7E4A" w14:textId="77777777" w:rsidR="002C0FD9" w:rsidRPr="00CA25CF" w:rsidRDefault="002C0FD9" w:rsidP="00CA25CF">
            <w:pPr>
              <w:rPr>
                <w:rFonts w:cs="Arial"/>
                <w:color w:val="FF0000"/>
                <w:sz w:val="21"/>
                <w:szCs w:val="21"/>
              </w:rPr>
            </w:pPr>
          </w:p>
        </w:tc>
        <w:tc>
          <w:tcPr>
            <w:tcW w:w="217" w:type="dxa"/>
          </w:tcPr>
          <w:p w14:paraId="1888D97E" w14:textId="77777777" w:rsidR="002C0FD9" w:rsidRPr="00CA25CF" w:rsidRDefault="002C0FD9" w:rsidP="00CA25CF">
            <w:pPr>
              <w:rPr>
                <w:rFonts w:cs="Arial"/>
                <w:color w:val="FF0000"/>
                <w:sz w:val="21"/>
                <w:szCs w:val="21"/>
              </w:rPr>
            </w:pPr>
          </w:p>
        </w:tc>
        <w:tc>
          <w:tcPr>
            <w:tcW w:w="217" w:type="dxa"/>
          </w:tcPr>
          <w:p w14:paraId="550C6CF2" w14:textId="77777777" w:rsidR="002C0FD9" w:rsidRPr="00CA25CF" w:rsidRDefault="002C0FD9" w:rsidP="00CA25CF">
            <w:pPr>
              <w:rPr>
                <w:rFonts w:cs="Arial"/>
                <w:color w:val="FF0000"/>
                <w:sz w:val="21"/>
                <w:szCs w:val="21"/>
              </w:rPr>
            </w:pPr>
          </w:p>
        </w:tc>
        <w:tc>
          <w:tcPr>
            <w:tcW w:w="217" w:type="dxa"/>
          </w:tcPr>
          <w:p w14:paraId="58BC6644" w14:textId="77777777" w:rsidR="002C0FD9" w:rsidRPr="00CA25CF" w:rsidRDefault="002C0FD9" w:rsidP="00CA25CF">
            <w:pPr>
              <w:rPr>
                <w:rFonts w:cs="Arial"/>
                <w:color w:val="FF0000"/>
                <w:sz w:val="21"/>
                <w:szCs w:val="21"/>
              </w:rPr>
            </w:pPr>
          </w:p>
        </w:tc>
        <w:tc>
          <w:tcPr>
            <w:tcW w:w="217" w:type="dxa"/>
          </w:tcPr>
          <w:p w14:paraId="4EAC1D30" w14:textId="77777777" w:rsidR="002C0FD9" w:rsidRPr="00CA25CF" w:rsidRDefault="002C0FD9" w:rsidP="00CA25CF">
            <w:pPr>
              <w:rPr>
                <w:rFonts w:cs="Arial"/>
                <w:color w:val="FF0000"/>
                <w:sz w:val="21"/>
                <w:szCs w:val="21"/>
              </w:rPr>
            </w:pPr>
          </w:p>
        </w:tc>
        <w:tc>
          <w:tcPr>
            <w:tcW w:w="217" w:type="dxa"/>
          </w:tcPr>
          <w:p w14:paraId="3BE89626" w14:textId="77777777" w:rsidR="002C0FD9" w:rsidRPr="00CA25CF" w:rsidRDefault="002C0FD9" w:rsidP="00CA25CF">
            <w:pPr>
              <w:rPr>
                <w:rFonts w:cs="Arial"/>
                <w:color w:val="FF0000"/>
                <w:sz w:val="21"/>
                <w:szCs w:val="21"/>
              </w:rPr>
            </w:pPr>
          </w:p>
        </w:tc>
        <w:tc>
          <w:tcPr>
            <w:tcW w:w="217" w:type="dxa"/>
          </w:tcPr>
          <w:p w14:paraId="64D5163B" w14:textId="77777777" w:rsidR="002C0FD9" w:rsidRPr="00CA25CF" w:rsidRDefault="002C0FD9" w:rsidP="00CA25CF">
            <w:pPr>
              <w:rPr>
                <w:rFonts w:cs="Arial"/>
                <w:color w:val="FF0000"/>
                <w:sz w:val="21"/>
                <w:szCs w:val="21"/>
              </w:rPr>
            </w:pPr>
          </w:p>
        </w:tc>
        <w:tc>
          <w:tcPr>
            <w:tcW w:w="217" w:type="dxa"/>
          </w:tcPr>
          <w:p w14:paraId="5DC2BAE3" w14:textId="77777777" w:rsidR="002C0FD9" w:rsidRPr="00CA25CF" w:rsidRDefault="002C0FD9" w:rsidP="00CA25CF">
            <w:pPr>
              <w:rPr>
                <w:rFonts w:cs="Arial"/>
                <w:color w:val="FF0000"/>
                <w:sz w:val="21"/>
                <w:szCs w:val="21"/>
              </w:rPr>
            </w:pPr>
          </w:p>
        </w:tc>
      </w:tr>
      <w:tr w:rsidR="002C0FD9" w:rsidRPr="00A16219" w14:paraId="420E7DE2" w14:textId="77777777" w:rsidTr="002C0FD9">
        <w:trPr>
          <w:trHeight w:val="635"/>
        </w:trPr>
        <w:tc>
          <w:tcPr>
            <w:tcW w:w="515" w:type="dxa"/>
          </w:tcPr>
          <w:p w14:paraId="16F2F5E4" w14:textId="77777777" w:rsidR="002C0FD9" w:rsidRPr="00CA25CF" w:rsidRDefault="002C0FD9" w:rsidP="00CA25CF">
            <w:pPr>
              <w:rPr>
                <w:rFonts w:cs="Arial"/>
                <w:color w:val="FF0000"/>
                <w:sz w:val="21"/>
                <w:szCs w:val="21"/>
              </w:rPr>
            </w:pPr>
          </w:p>
        </w:tc>
        <w:tc>
          <w:tcPr>
            <w:tcW w:w="217" w:type="dxa"/>
          </w:tcPr>
          <w:p w14:paraId="01CFE766" w14:textId="77777777" w:rsidR="002C0FD9" w:rsidRPr="00CA25CF" w:rsidRDefault="002C0FD9" w:rsidP="00CA25CF">
            <w:pPr>
              <w:rPr>
                <w:rFonts w:cs="Arial"/>
                <w:color w:val="FF0000"/>
                <w:sz w:val="21"/>
                <w:szCs w:val="21"/>
              </w:rPr>
            </w:pPr>
          </w:p>
        </w:tc>
        <w:tc>
          <w:tcPr>
            <w:tcW w:w="217" w:type="dxa"/>
          </w:tcPr>
          <w:p w14:paraId="1FECF70B" w14:textId="77777777" w:rsidR="002C0FD9" w:rsidRPr="00CA25CF" w:rsidRDefault="002C0FD9" w:rsidP="00CA25CF">
            <w:pPr>
              <w:rPr>
                <w:rFonts w:cs="Arial"/>
                <w:color w:val="FF0000"/>
                <w:sz w:val="21"/>
                <w:szCs w:val="21"/>
              </w:rPr>
            </w:pPr>
          </w:p>
        </w:tc>
        <w:tc>
          <w:tcPr>
            <w:tcW w:w="217" w:type="dxa"/>
          </w:tcPr>
          <w:p w14:paraId="60CE234F" w14:textId="77777777" w:rsidR="002C0FD9" w:rsidRPr="00CA25CF" w:rsidRDefault="002C0FD9" w:rsidP="00CA25CF">
            <w:pPr>
              <w:rPr>
                <w:rFonts w:cs="Arial"/>
                <w:color w:val="FF0000"/>
                <w:sz w:val="21"/>
                <w:szCs w:val="21"/>
              </w:rPr>
            </w:pPr>
          </w:p>
        </w:tc>
        <w:tc>
          <w:tcPr>
            <w:tcW w:w="217" w:type="dxa"/>
          </w:tcPr>
          <w:p w14:paraId="5F2D7506" w14:textId="77777777" w:rsidR="002C0FD9" w:rsidRPr="00CA25CF" w:rsidRDefault="002C0FD9" w:rsidP="00CA25CF">
            <w:pPr>
              <w:rPr>
                <w:rFonts w:cs="Arial"/>
                <w:color w:val="FF0000"/>
                <w:sz w:val="21"/>
                <w:szCs w:val="21"/>
              </w:rPr>
            </w:pPr>
          </w:p>
        </w:tc>
        <w:tc>
          <w:tcPr>
            <w:tcW w:w="217" w:type="dxa"/>
          </w:tcPr>
          <w:p w14:paraId="6DEF5386" w14:textId="77777777" w:rsidR="002C0FD9" w:rsidRPr="00CA25CF" w:rsidRDefault="002C0FD9" w:rsidP="00CA25CF">
            <w:pPr>
              <w:rPr>
                <w:rFonts w:cs="Arial"/>
                <w:color w:val="FF0000"/>
                <w:sz w:val="21"/>
                <w:szCs w:val="21"/>
              </w:rPr>
            </w:pPr>
          </w:p>
        </w:tc>
        <w:tc>
          <w:tcPr>
            <w:tcW w:w="217" w:type="dxa"/>
          </w:tcPr>
          <w:p w14:paraId="11642E8C" w14:textId="77777777" w:rsidR="002C0FD9" w:rsidRPr="00CA25CF" w:rsidRDefault="002C0FD9" w:rsidP="00CA25CF">
            <w:pPr>
              <w:rPr>
                <w:rFonts w:cs="Arial"/>
                <w:color w:val="FF0000"/>
                <w:sz w:val="21"/>
                <w:szCs w:val="21"/>
              </w:rPr>
            </w:pPr>
          </w:p>
        </w:tc>
        <w:tc>
          <w:tcPr>
            <w:tcW w:w="217" w:type="dxa"/>
          </w:tcPr>
          <w:p w14:paraId="4B5A75DE" w14:textId="77777777" w:rsidR="002C0FD9" w:rsidRPr="00CA25CF" w:rsidRDefault="002C0FD9" w:rsidP="00CA25CF">
            <w:pPr>
              <w:rPr>
                <w:rFonts w:cs="Arial"/>
                <w:color w:val="FF0000"/>
                <w:sz w:val="21"/>
                <w:szCs w:val="21"/>
              </w:rPr>
            </w:pPr>
          </w:p>
        </w:tc>
        <w:tc>
          <w:tcPr>
            <w:tcW w:w="217" w:type="dxa"/>
          </w:tcPr>
          <w:p w14:paraId="6868AAA6" w14:textId="77777777" w:rsidR="002C0FD9" w:rsidRPr="00CA25CF" w:rsidRDefault="002C0FD9" w:rsidP="00CA25CF">
            <w:pPr>
              <w:rPr>
                <w:rFonts w:cs="Arial"/>
                <w:color w:val="FF0000"/>
                <w:sz w:val="21"/>
                <w:szCs w:val="21"/>
              </w:rPr>
            </w:pPr>
          </w:p>
        </w:tc>
        <w:tc>
          <w:tcPr>
            <w:tcW w:w="217" w:type="dxa"/>
          </w:tcPr>
          <w:p w14:paraId="12679CD1" w14:textId="77777777" w:rsidR="002C0FD9" w:rsidRPr="00CA25CF" w:rsidRDefault="002C0FD9" w:rsidP="00CA25CF">
            <w:pPr>
              <w:rPr>
                <w:rFonts w:cs="Arial"/>
                <w:color w:val="FF0000"/>
                <w:sz w:val="21"/>
                <w:szCs w:val="21"/>
              </w:rPr>
            </w:pPr>
          </w:p>
        </w:tc>
        <w:tc>
          <w:tcPr>
            <w:tcW w:w="217" w:type="dxa"/>
          </w:tcPr>
          <w:p w14:paraId="2BF7B0BB" w14:textId="77777777" w:rsidR="002C0FD9" w:rsidRPr="00CA25CF" w:rsidRDefault="002C0FD9" w:rsidP="00CA25CF">
            <w:pPr>
              <w:rPr>
                <w:rFonts w:cs="Arial"/>
                <w:color w:val="FF0000"/>
                <w:sz w:val="21"/>
                <w:szCs w:val="21"/>
              </w:rPr>
            </w:pPr>
          </w:p>
        </w:tc>
        <w:tc>
          <w:tcPr>
            <w:tcW w:w="217" w:type="dxa"/>
          </w:tcPr>
          <w:p w14:paraId="5843AF41" w14:textId="77777777" w:rsidR="002C0FD9" w:rsidRPr="00CA25CF" w:rsidRDefault="002C0FD9" w:rsidP="00CA25CF">
            <w:pPr>
              <w:rPr>
                <w:rFonts w:cs="Arial"/>
                <w:color w:val="FF0000"/>
                <w:sz w:val="21"/>
                <w:szCs w:val="21"/>
              </w:rPr>
            </w:pPr>
          </w:p>
        </w:tc>
        <w:tc>
          <w:tcPr>
            <w:tcW w:w="217" w:type="dxa"/>
          </w:tcPr>
          <w:p w14:paraId="37A728BB" w14:textId="77777777" w:rsidR="002C0FD9" w:rsidRPr="00CA25CF" w:rsidRDefault="002C0FD9" w:rsidP="00CA25CF">
            <w:pPr>
              <w:rPr>
                <w:rFonts w:cs="Arial"/>
                <w:color w:val="FF0000"/>
                <w:sz w:val="21"/>
                <w:szCs w:val="21"/>
              </w:rPr>
            </w:pPr>
          </w:p>
        </w:tc>
        <w:tc>
          <w:tcPr>
            <w:tcW w:w="217" w:type="dxa"/>
          </w:tcPr>
          <w:p w14:paraId="22D258CA" w14:textId="77777777" w:rsidR="002C0FD9" w:rsidRPr="00CA25CF" w:rsidRDefault="002C0FD9" w:rsidP="00CA25CF">
            <w:pPr>
              <w:rPr>
                <w:rFonts w:cs="Arial"/>
                <w:color w:val="FF0000"/>
                <w:sz w:val="21"/>
                <w:szCs w:val="21"/>
              </w:rPr>
            </w:pPr>
          </w:p>
        </w:tc>
        <w:tc>
          <w:tcPr>
            <w:tcW w:w="217" w:type="dxa"/>
          </w:tcPr>
          <w:p w14:paraId="7AA50277" w14:textId="77777777" w:rsidR="002C0FD9" w:rsidRPr="00CA25CF" w:rsidRDefault="002C0FD9" w:rsidP="00CA25CF">
            <w:pPr>
              <w:rPr>
                <w:rFonts w:cs="Arial"/>
                <w:color w:val="FF0000"/>
                <w:sz w:val="21"/>
                <w:szCs w:val="21"/>
              </w:rPr>
            </w:pPr>
          </w:p>
        </w:tc>
        <w:tc>
          <w:tcPr>
            <w:tcW w:w="217" w:type="dxa"/>
          </w:tcPr>
          <w:p w14:paraId="275C7B34" w14:textId="77777777" w:rsidR="002C0FD9" w:rsidRPr="00CA25CF" w:rsidRDefault="002C0FD9" w:rsidP="00CA25CF">
            <w:pPr>
              <w:rPr>
                <w:rFonts w:cs="Arial"/>
                <w:color w:val="FF0000"/>
                <w:sz w:val="21"/>
                <w:szCs w:val="21"/>
              </w:rPr>
            </w:pPr>
          </w:p>
        </w:tc>
        <w:tc>
          <w:tcPr>
            <w:tcW w:w="217" w:type="dxa"/>
          </w:tcPr>
          <w:p w14:paraId="21EF49FE" w14:textId="77777777" w:rsidR="002C0FD9" w:rsidRPr="00CA25CF" w:rsidRDefault="002C0FD9" w:rsidP="00CA25CF">
            <w:pPr>
              <w:rPr>
                <w:rFonts w:cs="Arial"/>
                <w:color w:val="FF0000"/>
                <w:sz w:val="21"/>
                <w:szCs w:val="21"/>
              </w:rPr>
            </w:pPr>
          </w:p>
        </w:tc>
        <w:tc>
          <w:tcPr>
            <w:tcW w:w="217" w:type="dxa"/>
          </w:tcPr>
          <w:p w14:paraId="73F64F6A" w14:textId="77777777" w:rsidR="002C0FD9" w:rsidRPr="00CA25CF" w:rsidRDefault="002C0FD9" w:rsidP="00CA25CF">
            <w:pPr>
              <w:rPr>
                <w:rFonts w:cs="Arial"/>
                <w:color w:val="FF0000"/>
                <w:sz w:val="21"/>
                <w:szCs w:val="21"/>
              </w:rPr>
            </w:pPr>
          </w:p>
        </w:tc>
        <w:tc>
          <w:tcPr>
            <w:tcW w:w="217" w:type="dxa"/>
          </w:tcPr>
          <w:p w14:paraId="4B5193E9" w14:textId="77777777" w:rsidR="002C0FD9" w:rsidRPr="00CA25CF" w:rsidRDefault="002C0FD9" w:rsidP="00CA25CF">
            <w:pPr>
              <w:rPr>
                <w:rFonts w:cs="Arial"/>
                <w:color w:val="FF0000"/>
                <w:sz w:val="21"/>
                <w:szCs w:val="21"/>
              </w:rPr>
            </w:pPr>
          </w:p>
        </w:tc>
        <w:tc>
          <w:tcPr>
            <w:tcW w:w="217" w:type="dxa"/>
          </w:tcPr>
          <w:p w14:paraId="13A43BF9" w14:textId="77777777" w:rsidR="002C0FD9" w:rsidRPr="00CA25CF" w:rsidRDefault="002C0FD9" w:rsidP="00CA25CF">
            <w:pPr>
              <w:rPr>
                <w:rFonts w:cs="Arial"/>
                <w:color w:val="FF0000"/>
                <w:sz w:val="21"/>
                <w:szCs w:val="21"/>
              </w:rPr>
            </w:pPr>
          </w:p>
        </w:tc>
        <w:tc>
          <w:tcPr>
            <w:tcW w:w="217" w:type="dxa"/>
          </w:tcPr>
          <w:p w14:paraId="1E9D6945" w14:textId="77777777" w:rsidR="002C0FD9" w:rsidRPr="00CA25CF" w:rsidRDefault="002C0FD9" w:rsidP="00CA25CF">
            <w:pPr>
              <w:rPr>
                <w:rFonts w:cs="Arial"/>
                <w:color w:val="FF0000"/>
                <w:sz w:val="21"/>
                <w:szCs w:val="21"/>
              </w:rPr>
            </w:pPr>
          </w:p>
        </w:tc>
        <w:tc>
          <w:tcPr>
            <w:tcW w:w="217" w:type="dxa"/>
          </w:tcPr>
          <w:p w14:paraId="17DC3D2F" w14:textId="77777777" w:rsidR="002C0FD9" w:rsidRPr="00CA25CF" w:rsidRDefault="002C0FD9" w:rsidP="00CA25CF">
            <w:pPr>
              <w:rPr>
                <w:rFonts w:cs="Arial"/>
                <w:color w:val="FF0000"/>
                <w:sz w:val="21"/>
                <w:szCs w:val="21"/>
              </w:rPr>
            </w:pPr>
          </w:p>
        </w:tc>
        <w:tc>
          <w:tcPr>
            <w:tcW w:w="217" w:type="dxa"/>
          </w:tcPr>
          <w:p w14:paraId="7723E1A1" w14:textId="77777777" w:rsidR="002C0FD9" w:rsidRPr="00CA25CF" w:rsidRDefault="002C0FD9" w:rsidP="00CA25CF">
            <w:pPr>
              <w:rPr>
                <w:rFonts w:cs="Arial"/>
                <w:color w:val="FF0000"/>
                <w:sz w:val="21"/>
                <w:szCs w:val="21"/>
              </w:rPr>
            </w:pPr>
          </w:p>
        </w:tc>
        <w:tc>
          <w:tcPr>
            <w:tcW w:w="217" w:type="dxa"/>
          </w:tcPr>
          <w:p w14:paraId="3693C81D" w14:textId="77777777" w:rsidR="002C0FD9" w:rsidRPr="00CA25CF" w:rsidRDefault="002C0FD9" w:rsidP="00CA25CF">
            <w:pPr>
              <w:rPr>
                <w:rFonts w:cs="Arial"/>
                <w:color w:val="FF0000"/>
                <w:sz w:val="21"/>
                <w:szCs w:val="21"/>
              </w:rPr>
            </w:pPr>
          </w:p>
        </w:tc>
        <w:tc>
          <w:tcPr>
            <w:tcW w:w="217" w:type="dxa"/>
          </w:tcPr>
          <w:p w14:paraId="5E70C64B" w14:textId="77777777" w:rsidR="002C0FD9" w:rsidRPr="00CA25CF" w:rsidRDefault="002C0FD9" w:rsidP="00CA25CF">
            <w:pPr>
              <w:rPr>
                <w:rFonts w:cs="Arial"/>
                <w:color w:val="FF0000"/>
                <w:sz w:val="21"/>
                <w:szCs w:val="21"/>
              </w:rPr>
            </w:pPr>
          </w:p>
        </w:tc>
        <w:tc>
          <w:tcPr>
            <w:tcW w:w="217" w:type="dxa"/>
          </w:tcPr>
          <w:p w14:paraId="27740935" w14:textId="77777777" w:rsidR="002C0FD9" w:rsidRPr="00CA25CF" w:rsidRDefault="002C0FD9" w:rsidP="00CA25CF">
            <w:pPr>
              <w:rPr>
                <w:rFonts w:cs="Arial"/>
                <w:color w:val="FF0000"/>
                <w:sz w:val="21"/>
                <w:szCs w:val="21"/>
              </w:rPr>
            </w:pPr>
          </w:p>
        </w:tc>
        <w:tc>
          <w:tcPr>
            <w:tcW w:w="217" w:type="dxa"/>
          </w:tcPr>
          <w:p w14:paraId="2992078E" w14:textId="77777777" w:rsidR="002C0FD9" w:rsidRPr="00CA25CF" w:rsidRDefault="002C0FD9" w:rsidP="00CA25CF">
            <w:pPr>
              <w:rPr>
                <w:rFonts w:cs="Arial"/>
                <w:color w:val="FF0000"/>
                <w:sz w:val="21"/>
                <w:szCs w:val="21"/>
              </w:rPr>
            </w:pPr>
          </w:p>
        </w:tc>
        <w:tc>
          <w:tcPr>
            <w:tcW w:w="217" w:type="dxa"/>
          </w:tcPr>
          <w:p w14:paraId="62388922" w14:textId="77777777" w:rsidR="002C0FD9" w:rsidRPr="00CA25CF" w:rsidRDefault="002C0FD9" w:rsidP="00CA25CF">
            <w:pPr>
              <w:rPr>
                <w:rFonts w:cs="Arial"/>
                <w:color w:val="FF0000"/>
                <w:sz w:val="21"/>
                <w:szCs w:val="21"/>
              </w:rPr>
            </w:pPr>
          </w:p>
        </w:tc>
        <w:tc>
          <w:tcPr>
            <w:tcW w:w="217" w:type="dxa"/>
          </w:tcPr>
          <w:p w14:paraId="2DF1C02F" w14:textId="77777777" w:rsidR="002C0FD9" w:rsidRPr="00CA25CF" w:rsidRDefault="002C0FD9" w:rsidP="00CA25CF">
            <w:pPr>
              <w:rPr>
                <w:rFonts w:cs="Arial"/>
                <w:color w:val="FF0000"/>
                <w:sz w:val="21"/>
                <w:szCs w:val="21"/>
              </w:rPr>
            </w:pPr>
          </w:p>
        </w:tc>
        <w:tc>
          <w:tcPr>
            <w:tcW w:w="217" w:type="dxa"/>
          </w:tcPr>
          <w:p w14:paraId="2E6694F4" w14:textId="77777777" w:rsidR="002C0FD9" w:rsidRPr="00CA25CF" w:rsidRDefault="002C0FD9" w:rsidP="00CA25CF">
            <w:pPr>
              <w:rPr>
                <w:rFonts w:cs="Arial"/>
                <w:color w:val="FF0000"/>
                <w:sz w:val="21"/>
                <w:szCs w:val="21"/>
              </w:rPr>
            </w:pPr>
          </w:p>
        </w:tc>
        <w:tc>
          <w:tcPr>
            <w:tcW w:w="217" w:type="dxa"/>
          </w:tcPr>
          <w:p w14:paraId="306D323A" w14:textId="77777777" w:rsidR="002C0FD9" w:rsidRPr="00CA25CF" w:rsidRDefault="002C0FD9" w:rsidP="00CA25CF">
            <w:pPr>
              <w:rPr>
                <w:rFonts w:cs="Arial"/>
                <w:color w:val="FF0000"/>
                <w:sz w:val="21"/>
                <w:szCs w:val="21"/>
              </w:rPr>
            </w:pPr>
          </w:p>
        </w:tc>
        <w:tc>
          <w:tcPr>
            <w:tcW w:w="217" w:type="dxa"/>
          </w:tcPr>
          <w:p w14:paraId="682CAFE3" w14:textId="77777777" w:rsidR="002C0FD9" w:rsidRPr="00CA25CF" w:rsidRDefault="002C0FD9" w:rsidP="00CA25CF">
            <w:pPr>
              <w:rPr>
                <w:rFonts w:cs="Arial"/>
                <w:color w:val="FF0000"/>
                <w:sz w:val="21"/>
                <w:szCs w:val="21"/>
              </w:rPr>
            </w:pPr>
          </w:p>
        </w:tc>
        <w:tc>
          <w:tcPr>
            <w:tcW w:w="217" w:type="dxa"/>
          </w:tcPr>
          <w:p w14:paraId="156488FC" w14:textId="77777777" w:rsidR="002C0FD9" w:rsidRPr="00CA25CF" w:rsidRDefault="002C0FD9" w:rsidP="00CA25CF">
            <w:pPr>
              <w:rPr>
                <w:rFonts w:cs="Arial"/>
                <w:color w:val="FF0000"/>
                <w:sz w:val="21"/>
                <w:szCs w:val="21"/>
              </w:rPr>
            </w:pPr>
          </w:p>
        </w:tc>
        <w:tc>
          <w:tcPr>
            <w:tcW w:w="217" w:type="dxa"/>
          </w:tcPr>
          <w:p w14:paraId="4CE7E624" w14:textId="77777777" w:rsidR="002C0FD9" w:rsidRPr="00CA25CF" w:rsidRDefault="002C0FD9" w:rsidP="00CA25CF">
            <w:pPr>
              <w:rPr>
                <w:rFonts w:cs="Arial"/>
                <w:color w:val="FF0000"/>
                <w:sz w:val="21"/>
                <w:szCs w:val="21"/>
              </w:rPr>
            </w:pPr>
          </w:p>
        </w:tc>
        <w:tc>
          <w:tcPr>
            <w:tcW w:w="217" w:type="dxa"/>
          </w:tcPr>
          <w:p w14:paraId="7774CE90" w14:textId="77777777" w:rsidR="002C0FD9" w:rsidRPr="00CA25CF" w:rsidRDefault="002C0FD9" w:rsidP="00CA25CF">
            <w:pPr>
              <w:rPr>
                <w:rFonts w:cs="Arial"/>
                <w:color w:val="FF0000"/>
                <w:sz w:val="21"/>
                <w:szCs w:val="21"/>
              </w:rPr>
            </w:pPr>
          </w:p>
        </w:tc>
        <w:tc>
          <w:tcPr>
            <w:tcW w:w="217" w:type="dxa"/>
          </w:tcPr>
          <w:p w14:paraId="57256232" w14:textId="77777777" w:rsidR="002C0FD9" w:rsidRPr="00CA25CF" w:rsidRDefault="002C0FD9" w:rsidP="00CA25CF">
            <w:pPr>
              <w:rPr>
                <w:rFonts w:cs="Arial"/>
                <w:color w:val="FF0000"/>
                <w:sz w:val="21"/>
                <w:szCs w:val="21"/>
              </w:rPr>
            </w:pPr>
          </w:p>
        </w:tc>
        <w:tc>
          <w:tcPr>
            <w:tcW w:w="217" w:type="dxa"/>
          </w:tcPr>
          <w:p w14:paraId="503509FB" w14:textId="77777777" w:rsidR="002C0FD9" w:rsidRPr="00CA25CF" w:rsidRDefault="002C0FD9" w:rsidP="00CA25CF">
            <w:pPr>
              <w:rPr>
                <w:rFonts w:cs="Arial"/>
                <w:color w:val="FF0000"/>
                <w:sz w:val="21"/>
                <w:szCs w:val="21"/>
              </w:rPr>
            </w:pPr>
          </w:p>
        </w:tc>
        <w:tc>
          <w:tcPr>
            <w:tcW w:w="217" w:type="dxa"/>
          </w:tcPr>
          <w:p w14:paraId="1DCCB8A7" w14:textId="77777777" w:rsidR="002C0FD9" w:rsidRPr="00CA25CF" w:rsidRDefault="002C0FD9" w:rsidP="00CA25CF">
            <w:pPr>
              <w:rPr>
                <w:rFonts w:cs="Arial"/>
                <w:color w:val="FF0000"/>
                <w:sz w:val="21"/>
                <w:szCs w:val="21"/>
              </w:rPr>
            </w:pPr>
          </w:p>
        </w:tc>
        <w:tc>
          <w:tcPr>
            <w:tcW w:w="217" w:type="dxa"/>
          </w:tcPr>
          <w:p w14:paraId="51D4A9AC" w14:textId="77777777" w:rsidR="002C0FD9" w:rsidRPr="00CA25CF" w:rsidRDefault="002C0FD9" w:rsidP="00CA25CF">
            <w:pPr>
              <w:rPr>
                <w:rFonts w:cs="Arial"/>
                <w:color w:val="FF0000"/>
                <w:sz w:val="21"/>
                <w:szCs w:val="21"/>
              </w:rPr>
            </w:pPr>
          </w:p>
        </w:tc>
        <w:tc>
          <w:tcPr>
            <w:tcW w:w="217" w:type="dxa"/>
          </w:tcPr>
          <w:p w14:paraId="667DFE81" w14:textId="77777777" w:rsidR="002C0FD9" w:rsidRPr="00CA25CF" w:rsidRDefault="002C0FD9" w:rsidP="00CA25CF">
            <w:pPr>
              <w:rPr>
                <w:rFonts w:cs="Arial"/>
                <w:color w:val="FF0000"/>
                <w:sz w:val="21"/>
                <w:szCs w:val="21"/>
              </w:rPr>
            </w:pPr>
          </w:p>
        </w:tc>
        <w:tc>
          <w:tcPr>
            <w:tcW w:w="217" w:type="dxa"/>
          </w:tcPr>
          <w:p w14:paraId="0A997E99" w14:textId="77777777" w:rsidR="002C0FD9" w:rsidRPr="00CA25CF" w:rsidRDefault="002C0FD9" w:rsidP="00CA25CF">
            <w:pPr>
              <w:rPr>
                <w:rFonts w:cs="Arial"/>
                <w:color w:val="FF0000"/>
                <w:sz w:val="21"/>
                <w:szCs w:val="21"/>
              </w:rPr>
            </w:pPr>
          </w:p>
        </w:tc>
        <w:tc>
          <w:tcPr>
            <w:tcW w:w="217" w:type="dxa"/>
          </w:tcPr>
          <w:p w14:paraId="3D9A5DFE" w14:textId="77777777" w:rsidR="002C0FD9" w:rsidRPr="00CA25CF" w:rsidRDefault="002C0FD9" w:rsidP="00CA25CF">
            <w:pPr>
              <w:rPr>
                <w:rFonts w:cs="Arial"/>
                <w:color w:val="FF0000"/>
                <w:sz w:val="21"/>
                <w:szCs w:val="21"/>
              </w:rPr>
            </w:pPr>
          </w:p>
        </w:tc>
        <w:tc>
          <w:tcPr>
            <w:tcW w:w="217" w:type="dxa"/>
          </w:tcPr>
          <w:p w14:paraId="6614ABC4" w14:textId="77777777" w:rsidR="002C0FD9" w:rsidRPr="00CA25CF" w:rsidRDefault="002C0FD9" w:rsidP="00CA25CF">
            <w:pPr>
              <w:rPr>
                <w:rFonts w:cs="Arial"/>
                <w:color w:val="FF0000"/>
                <w:sz w:val="21"/>
                <w:szCs w:val="21"/>
              </w:rPr>
            </w:pPr>
          </w:p>
        </w:tc>
      </w:tr>
      <w:tr w:rsidR="002C0FD9" w:rsidRPr="00A16219" w14:paraId="384A6EFC" w14:textId="77777777" w:rsidTr="002C0FD9">
        <w:trPr>
          <w:trHeight w:val="635"/>
        </w:trPr>
        <w:tc>
          <w:tcPr>
            <w:tcW w:w="515" w:type="dxa"/>
          </w:tcPr>
          <w:p w14:paraId="41000E5C" w14:textId="77777777" w:rsidR="002C0FD9" w:rsidRPr="00CA25CF" w:rsidRDefault="002C0FD9" w:rsidP="00CA25CF">
            <w:pPr>
              <w:rPr>
                <w:rFonts w:cs="Arial"/>
                <w:color w:val="FF0000"/>
                <w:sz w:val="21"/>
                <w:szCs w:val="21"/>
              </w:rPr>
            </w:pPr>
          </w:p>
        </w:tc>
        <w:tc>
          <w:tcPr>
            <w:tcW w:w="217" w:type="dxa"/>
          </w:tcPr>
          <w:p w14:paraId="3A33AF4C" w14:textId="77777777" w:rsidR="002C0FD9" w:rsidRPr="00CA25CF" w:rsidRDefault="002C0FD9" w:rsidP="00CA25CF">
            <w:pPr>
              <w:rPr>
                <w:rFonts w:cs="Arial"/>
                <w:color w:val="FF0000"/>
                <w:sz w:val="21"/>
                <w:szCs w:val="21"/>
              </w:rPr>
            </w:pPr>
          </w:p>
        </w:tc>
        <w:tc>
          <w:tcPr>
            <w:tcW w:w="217" w:type="dxa"/>
          </w:tcPr>
          <w:p w14:paraId="6BD8C236" w14:textId="77777777" w:rsidR="002C0FD9" w:rsidRPr="00CA25CF" w:rsidRDefault="002C0FD9" w:rsidP="00CA25CF">
            <w:pPr>
              <w:rPr>
                <w:rFonts w:cs="Arial"/>
                <w:color w:val="FF0000"/>
                <w:sz w:val="21"/>
                <w:szCs w:val="21"/>
              </w:rPr>
            </w:pPr>
          </w:p>
        </w:tc>
        <w:tc>
          <w:tcPr>
            <w:tcW w:w="217" w:type="dxa"/>
          </w:tcPr>
          <w:p w14:paraId="759F7605" w14:textId="77777777" w:rsidR="002C0FD9" w:rsidRPr="00CA25CF" w:rsidRDefault="002C0FD9" w:rsidP="00CA25CF">
            <w:pPr>
              <w:rPr>
                <w:rFonts w:cs="Arial"/>
                <w:color w:val="FF0000"/>
                <w:sz w:val="21"/>
                <w:szCs w:val="21"/>
              </w:rPr>
            </w:pPr>
          </w:p>
        </w:tc>
        <w:tc>
          <w:tcPr>
            <w:tcW w:w="217" w:type="dxa"/>
          </w:tcPr>
          <w:p w14:paraId="017F86F2" w14:textId="77777777" w:rsidR="002C0FD9" w:rsidRPr="00CA25CF" w:rsidRDefault="002C0FD9" w:rsidP="00CA25CF">
            <w:pPr>
              <w:rPr>
                <w:rFonts w:cs="Arial"/>
                <w:color w:val="FF0000"/>
                <w:sz w:val="21"/>
                <w:szCs w:val="21"/>
              </w:rPr>
            </w:pPr>
          </w:p>
        </w:tc>
        <w:tc>
          <w:tcPr>
            <w:tcW w:w="217" w:type="dxa"/>
          </w:tcPr>
          <w:p w14:paraId="14689F66" w14:textId="77777777" w:rsidR="002C0FD9" w:rsidRPr="00CA25CF" w:rsidRDefault="002C0FD9" w:rsidP="00CA25CF">
            <w:pPr>
              <w:rPr>
                <w:rFonts w:cs="Arial"/>
                <w:color w:val="FF0000"/>
                <w:sz w:val="21"/>
                <w:szCs w:val="21"/>
              </w:rPr>
            </w:pPr>
          </w:p>
        </w:tc>
        <w:tc>
          <w:tcPr>
            <w:tcW w:w="217" w:type="dxa"/>
          </w:tcPr>
          <w:p w14:paraId="0CB7C95A" w14:textId="77777777" w:rsidR="002C0FD9" w:rsidRPr="00CA25CF" w:rsidRDefault="002C0FD9" w:rsidP="00CA25CF">
            <w:pPr>
              <w:rPr>
                <w:rFonts w:cs="Arial"/>
                <w:color w:val="FF0000"/>
                <w:sz w:val="21"/>
                <w:szCs w:val="21"/>
              </w:rPr>
            </w:pPr>
          </w:p>
        </w:tc>
        <w:tc>
          <w:tcPr>
            <w:tcW w:w="217" w:type="dxa"/>
          </w:tcPr>
          <w:p w14:paraId="01B430A4" w14:textId="77777777" w:rsidR="002C0FD9" w:rsidRPr="00CA25CF" w:rsidRDefault="002C0FD9" w:rsidP="00CA25CF">
            <w:pPr>
              <w:rPr>
                <w:rFonts w:cs="Arial"/>
                <w:color w:val="FF0000"/>
                <w:sz w:val="21"/>
                <w:szCs w:val="21"/>
              </w:rPr>
            </w:pPr>
          </w:p>
        </w:tc>
        <w:tc>
          <w:tcPr>
            <w:tcW w:w="217" w:type="dxa"/>
          </w:tcPr>
          <w:p w14:paraId="78BAC27A" w14:textId="77777777" w:rsidR="002C0FD9" w:rsidRPr="00CA25CF" w:rsidRDefault="002C0FD9" w:rsidP="00CA25CF">
            <w:pPr>
              <w:rPr>
                <w:rFonts w:cs="Arial"/>
                <w:color w:val="FF0000"/>
                <w:sz w:val="21"/>
                <w:szCs w:val="21"/>
              </w:rPr>
            </w:pPr>
          </w:p>
        </w:tc>
        <w:tc>
          <w:tcPr>
            <w:tcW w:w="217" w:type="dxa"/>
          </w:tcPr>
          <w:p w14:paraId="2FC3C20A" w14:textId="77777777" w:rsidR="002C0FD9" w:rsidRPr="00CA25CF" w:rsidRDefault="002C0FD9" w:rsidP="00CA25CF">
            <w:pPr>
              <w:rPr>
                <w:rFonts w:cs="Arial"/>
                <w:color w:val="FF0000"/>
                <w:sz w:val="21"/>
                <w:szCs w:val="21"/>
              </w:rPr>
            </w:pPr>
          </w:p>
        </w:tc>
        <w:tc>
          <w:tcPr>
            <w:tcW w:w="217" w:type="dxa"/>
          </w:tcPr>
          <w:p w14:paraId="03F7C83D" w14:textId="77777777" w:rsidR="002C0FD9" w:rsidRPr="00CA25CF" w:rsidRDefault="002C0FD9" w:rsidP="00CA25CF">
            <w:pPr>
              <w:rPr>
                <w:rFonts w:cs="Arial"/>
                <w:color w:val="FF0000"/>
                <w:sz w:val="21"/>
                <w:szCs w:val="21"/>
              </w:rPr>
            </w:pPr>
          </w:p>
        </w:tc>
        <w:tc>
          <w:tcPr>
            <w:tcW w:w="217" w:type="dxa"/>
          </w:tcPr>
          <w:p w14:paraId="53C96E07" w14:textId="77777777" w:rsidR="002C0FD9" w:rsidRPr="00CA25CF" w:rsidRDefault="002C0FD9" w:rsidP="00CA25CF">
            <w:pPr>
              <w:rPr>
                <w:rFonts w:cs="Arial"/>
                <w:color w:val="FF0000"/>
                <w:sz w:val="21"/>
                <w:szCs w:val="21"/>
              </w:rPr>
            </w:pPr>
          </w:p>
        </w:tc>
        <w:tc>
          <w:tcPr>
            <w:tcW w:w="217" w:type="dxa"/>
          </w:tcPr>
          <w:p w14:paraId="718EE047" w14:textId="77777777" w:rsidR="002C0FD9" w:rsidRPr="00CA25CF" w:rsidRDefault="002C0FD9" w:rsidP="00CA25CF">
            <w:pPr>
              <w:rPr>
                <w:rFonts w:cs="Arial"/>
                <w:color w:val="FF0000"/>
                <w:sz w:val="21"/>
                <w:szCs w:val="21"/>
              </w:rPr>
            </w:pPr>
          </w:p>
        </w:tc>
        <w:tc>
          <w:tcPr>
            <w:tcW w:w="217" w:type="dxa"/>
          </w:tcPr>
          <w:p w14:paraId="113EE68D" w14:textId="77777777" w:rsidR="002C0FD9" w:rsidRPr="00CA25CF" w:rsidRDefault="002C0FD9" w:rsidP="00CA25CF">
            <w:pPr>
              <w:rPr>
                <w:rFonts w:cs="Arial"/>
                <w:color w:val="FF0000"/>
                <w:sz w:val="21"/>
                <w:szCs w:val="21"/>
              </w:rPr>
            </w:pPr>
          </w:p>
        </w:tc>
        <w:tc>
          <w:tcPr>
            <w:tcW w:w="217" w:type="dxa"/>
          </w:tcPr>
          <w:p w14:paraId="351F7222" w14:textId="77777777" w:rsidR="002C0FD9" w:rsidRPr="00CA25CF" w:rsidRDefault="002C0FD9" w:rsidP="00CA25CF">
            <w:pPr>
              <w:rPr>
                <w:rFonts w:cs="Arial"/>
                <w:color w:val="FF0000"/>
                <w:sz w:val="21"/>
                <w:szCs w:val="21"/>
              </w:rPr>
            </w:pPr>
          </w:p>
        </w:tc>
        <w:tc>
          <w:tcPr>
            <w:tcW w:w="217" w:type="dxa"/>
          </w:tcPr>
          <w:p w14:paraId="126A6410" w14:textId="77777777" w:rsidR="002C0FD9" w:rsidRPr="00CA25CF" w:rsidRDefault="002C0FD9" w:rsidP="00CA25CF">
            <w:pPr>
              <w:rPr>
                <w:rFonts w:cs="Arial"/>
                <w:color w:val="FF0000"/>
                <w:sz w:val="21"/>
                <w:szCs w:val="21"/>
              </w:rPr>
            </w:pPr>
          </w:p>
        </w:tc>
        <w:tc>
          <w:tcPr>
            <w:tcW w:w="217" w:type="dxa"/>
          </w:tcPr>
          <w:p w14:paraId="168D67E5" w14:textId="77777777" w:rsidR="002C0FD9" w:rsidRPr="00CA25CF" w:rsidRDefault="002C0FD9" w:rsidP="00CA25CF">
            <w:pPr>
              <w:rPr>
                <w:rFonts w:cs="Arial"/>
                <w:color w:val="FF0000"/>
                <w:sz w:val="21"/>
                <w:szCs w:val="21"/>
              </w:rPr>
            </w:pPr>
          </w:p>
        </w:tc>
        <w:tc>
          <w:tcPr>
            <w:tcW w:w="217" w:type="dxa"/>
          </w:tcPr>
          <w:p w14:paraId="49D78ADE" w14:textId="77777777" w:rsidR="002C0FD9" w:rsidRPr="00CA25CF" w:rsidRDefault="002C0FD9" w:rsidP="00CA25CF">
            <w:pPr>
              <w:rPr>
                <w:rFonts w:cs="Arial"/>
                <w:color w:val="FF0000"/>
                <w:sz w:val="21"/>
                <w:szCs w:val="21"/>
              </w:rPr>
            </w:pPr>
          </w:p>
        </w:tc>
        <w:tc>
          <w:tcPr>
            <w:tcW w:w="217" w:type="dxa"/>
          </w:tcPr>
          <w:p w14:paraId="6CF735D8" w14:textId="77777777" w:rsidR="002C0FD9" w:rsidRPr="00CA25CF" w:rsidRDefault="002C0FD9" w:rsidP="00CA25CF">
            <w:pPr>
              <w:rPr>
                <w:rFonts w:cs="Arial"/>
                <w:color w:val="FF0000"/>
                <w:sz w:val="21"/>
                <w:szCs w:val="21"/>
              </w:rPr>
            </w:pPr>
          </w:p>
        </w:tc>
        <w:tc>
          <w:tcPr>
            <w:tcW w:w="217" w:type="dxa"/>
          </w:tcPr>
          <w:p w14:paraId="62D99F72" w14:textId="77777777" w:rsidR="002C0FD9" w:rsidRPr="00CA25CF" w:rsidRDefault="002C0FD9" w:rsidP="00CA25CF">
            <w:pPr>
              <w:rPr>
                <w:rFonts w:cs="Arial"/>
                <w:color w:val="FF0000"/>
                <w:sz w:val="21"/>
                <w:szCs w:val="21"/>
              </w:rPr>
            </w:pPr>
          </w:p>
        </w:tc>
        <w:tc>
          <w:tcPr>
            <w:tcW w:w="217" w:type="dxa"/>
          </w:tcPr>
          <w:p w14:paraId="51C6BB8B" w14:textId="77777777" w:rsidR="002C0FD9" w:rsidRPr="00CA25CF" w:rsidRDefault="002C0FD9" w:rsidP="00CA25CF">
            <w:pPr>
              <w:rPr>
                <w:rFonts w:cs="Arial"/>
                <w:color w:val="FF0000"/>
                <w:sz w:val="21"/>
                <w:szCs w:val="21"/>
              </w:rPr>
            </w:pPr>
          </w:p>
        </w:tc>
        <w:tc>
          <w:tcPr>
            <w:tcW w:w="217" w:type="dxa"/>
          </w:tcPr>
          <w:p w14:paraId="5015A940" w14:textId="77777777" w:rsidR="002C0FD9" w:rsidRPr="00CA25CF" w:rsidRDefault="002C0FD9" w:rsidP="00CA25CF">
            <w:pPr>
              <w:rPr>
                <w:rFonts w:cs="Arial"/>
                <w:color w:val="FF0000"/>
                <w:sz w:val="21"/>
                <w:szCs w:val="21"/>
              </w:rPr>
            </w:pPr>
          </w:p>
        </w:tc>
        <w:tc>
          <w:tcPr>
            <w:tcW w:w="217" w:type="dxa"/>
          </w:tcPr>
          <w:p w14:paraId="6A0AC959" w14:textId="77777777" w:rsidR="002C0FD9" w:rsidRPr="00CA25CF" w:rsidRDefault="002C0FD9" w:rsidP="00CA25CF">
            <w:pPr>
              <w:rPr>
                <w:rFonts w:cs="Arial"/>
                <w:color w:val="FF0000"/>
                <w:sz w:val="21"/>
                <w:szCs w:val="21"/>
              </w:rPr>
            </w:pPr>
          </w:p>
        </w:tc>
        <w:tc>
          <w:tcPr>
            <w:tcW w:w="217" w:type="dxa"/>
          </w:tcPr>
          <w:p w14:paraId="3ADB5803" w14:textId="77777777" w:rsidR="002C0FD9" w:rsidRPr="00CA25CF" w:rsidRDefault="002C0FD9" w:rsidP="00CA25CF">
            <w:pPr>
              <w:rPr>
                <w:rFonts w:cs="Arial"/>
                <w:color w:val="FF0000"/>
                <w:sz w:val="21"/>
                <w:szCs w:val="21"/>
              </w:rPr>
            </w:pPr>
          </w:p>
        </w:tc>
        <w:tc>
          <w:tcPr>
            <w:tcW w:w="217" w:type="dxa"/>
          </w:tcPr>
          <w:p w14:paraId="0BCC4E86" w14:textId="77777777" w:rsidR="002C0FD9" w:rsidRPr="00CA25CF" w:rsidRDefault="002C0FD9" w:rsidP="00CA25CF">
            <w:pPr>
              <w:rPr>
                <w:rFonts w:cs="Arial"/>
                <w:color w:val="FF0000"/>
                <w:sz w:val="21"/>
                <w:szCs w:val="21"/>
              </w:rPr>
            </w:pPr>
          </w:p>
        </w:tc>
        <w:tc>
          <w:tcPr>
            <w:tcW w:w="217" w:type="dxa"/>
          </w:tcPr>
          <w:p w14:paraId="37ED1F94" w14:textId="77777777" w:rsidR="002C0FD9" w:rsidRPr="00CA25CF" w:rsidRDefault="002C0FD9" w:rsidP="00CA25CF">
            <w:pPr>
              <w:rPr>
                <w:rFonts w:cs="Arial"/>
                <w:color w:val="FF0000"/>
                <w:sz w:val="21"/>
                <w:szCs w:val="21"/>
              </w:rPr>
            </w:pPr>
          </w:p>
        </w:tc>
        <w:tc>
          <w:tcPr>
            <w:tcW w:w="217" w:type="dxa"/>
          </w:tcPr>
          <w:p w14:paraId="1EE153C0" w14:textId="77777777" w:rsidR="002C0FD9" w:rsidRPr="00CA25CF" w:rsidRDefault="002C0FD9" w:rsidP="00CA25CF">
            <w:pPr>
              <w:rPr>
                <w:rFonts w:cs="Arial"/>
                <w:color w:val="FF0000"/>
                <w:sz w:val="21"/>
                <w:szCs w:val="21"/>
              </w:rPr>
            </w:pPr>
          </w:p>
        </w:tc>
        <w:tc>
          <w:tcPr>
            <w:tcW w:w="217" w:type="dxa"/>
          </w:tcPr>
          <w:p w14:paraId="45569E34" w14:textId="77777777" w:rsidR="002C0FD9" w:rsidRPr="00CA25CF" w:rsidRDefault="002C0FD9" w:rsidP="00CA25CF">
            <w:pPr>
              <w:rPr>
                <w:rFonts w:cs="Arial"/>
                <w:color w:val="FF0000"/>
                <w:sz w:val="21"/>
                <w:szCs w:val="21"/>
              </w:rPr>
            </w:pPr>
          </w:p>
        </w:tc>
        <w:tc>
          <w:tcPr>
            <w:tcW w:w="217" w:type="dxa"/>
          </w:tcPr>
          <w:p w14:paraId="2700063C" w14:textId="77777777" w:rsidR="002C0FD9" w:rsidRPr="00CA25CF" w:rsidRDefault="002C0FD9" w:rsidP="00CA25CF">
            <w:pPr>
              <w:rPr>
                <w:rFonts w:cs="Arial"/>
                <w:color w:val="FF0000"/>
                <w:sz w:val="21"/>
                <w:szCs w:val="21"/>
              </w:rPr>
            </w:pPr>
          </w:p>
        </w:tc>
        <w:tc>
          <w:tcPr>
            <w:tcW w:w="217" w:type="dxa"/>
          </w:tcPr>
          <w:p w14:paraId="46FC015D" w14:textId="77777777" w:rsidR="002C0FD9" w:rsidRPr="00CA25CF" w:rsidRDefault="002C0FD9" w:rsidP="00CA25CF">
            <w:pPr>
              <w:rPr>
                <w:rFonts w:cs="Arial"/>
                <w:color w:val="FF0000"/>
                <w:sz w:val="21"/>
                <w:szCs w:val="21"/>
              </w:rPr>
            </w:pPr>
          </w:p>
        </w:tc>
        <w:tc>
          <w:tcPr>
            <w:tcW w:w="217" w:type="dxa"/>
          </w:tcPr>
          <w:p w14:paraId="4CCD3742" w14:textId="77777777" w:rsidR="002C0FD9" w:rsidRPr="00CA25CF" w:rsidRDefault="002C0FD9" w:rsidP="00CA25CF">
            <w:pPr>
              <w:rPr>
                <w:rFonts w:cs="Arial"/>
                <w:color w:val="FF0000"/>
                <w:sz w:val="21"/>
                <w:szCs w:val="21"/>
              </w:rPr>
            </w:pPr>
          </w:p>
        </w:tc>
        <w:tc>
          <w:tcPr>
            <w:tcW w:w="217" w:type="dxa"/>
          </w:tcPr>
          <w:p w14:paraId="77CDBD15" w14:textId="77777777" w:rsidR="002C0FD9" w:rsidRPr="00CA25CF" w:rsidRDefault="002C0FD9" w:rsidP="00CA25CF">
            <w:pPr>
              <w:rPr>
                <w:rFonts w:cs="Arial"/>
                <w:color w:val="FF0000"/>
                <w:sz w:val="21"/>
                <w:szCs w:val="21"/>
              </w:rPr>
            </w:pPr>
          </w:p>
        </w:tc>
        <w:tc>
          <w:tcPr>
            <w:tcW w:w="217" w:type="dxa"/>
          </w:tcPr>
          <w:p w14:paraId="2ADBD43A" w14:textId="77777777" w:rsidR="002C0FD9" w:rsidRPr="00CA25CF" w:rsidRDefault="002C0FD9" w:rsidP="00CA25CF">
            <w:pPr>
              <w:rPr>
                <w:rFonts w:cs="Arial"/>
                <w:color w:val="FF0000"/>
                <w:sz w:val="21"/>
                <w:szCs w:val="21"/>
              </w:rPr>
            </w:pPr>
          </w:p>
        </w:tc>
        <w:tc>
          <w:tcPr>
            <w:tcW w:w="217" w:type="dxa"/>
          </w:tcPr>
          <w:p w14:paraId="4E6989D0" w14:textId="77777777" w:rsidR="002C0FD9" w:rsidRPr="00CA25CF" w:rsidRDefault="002C0FD9" w:rsidP="00CA25CF">
            <w:pPr>
              <w:rPr>
                <w:rFonts w:cs="Arial"/>
                <w:color w:val="FF0000"/>
                <w:sz w:val="21"/>
                <w:szCs w:val="21"/>
              </w:rPr>
            </w:pPr>
          </w:p>
        </w:tc>
        <w:tc>
          <w:tcPr>
            <w:tcW w:w="217" w:type="dxa"/>
          </w:tcPr>
          <w:p w14:paraId="41D8DB1C" w14:textId="77777777" w:rsidR="002C0FD9" w:rsidRPr="00CA25CF" w:rsidRDefault="002C0FD9" w:rsidP="00CA25CF">
            <w:pPr>
              <w:rPr>
                <w:rFonts w:cs="Arial"/>
                <w:color w:val="FF0000"/>
                <w:sz w:val="21"/>
                <w:szCs w:val="21"/>
              </w:rPr>
            </w:pPr>
          </w:p>
        </w:tc>
        <w:tc>
          <w:tcPr>
            <w:tcW w:w="217" w:type="dxa"/>
          </w:tcPr>
          <w:p w14:paraId="375AA640" w14:textId="77777777" w:rsidR="002C0FD9" w:rsidRPr="00CA25CF" w:rsidRDefault="002C0FD9" w:rsidP="00CA25CF">
            <w:pPr>
              <w:rPr>
                <w:rFonts w:cs="Arial"/>
                <w:color w:val="FF0000"/>
                <w:sz w:val="21"/>
                <w:szCs w:val="21"/>
              </w:rPr>
            </w:pPr>
          </w:p>
        </w:tc>
        <w:tc>
          <w:tcPr>
            <w:tcW w:w="217" w:type="dxa"/>
          </w:tcPr>
          <w:p w14:paraId="2BA8C05D" w14:textId="77777777" w:rsidR="002C0FD9" w:rsidRPr="00CA25CF" w:rsidRDefault="002C0FD9" w:rsidP="00CA25CF">
            <w:pPr>
              <w:rPr>
                <w:rFonts w:cs="Arial"/>
                <w:color w:val="FF0000"/>
                <w:sz w:val="21"/>
                <w:szCs w:val="21"/>
              </w:rPr>
            </w:pPr>
          </w:p>
        </w:tc>
        <w:tc>
          <w:tcPr>
            <w:tcW w:w="217" w:type="dxa"/>
          </w:tcPr>
          <w:p w14:paraId="03E884D5" w14:textId="77777777" w:rsidR="002C0FD9" w:rsidRPr="00CA25CF" w:rsidRDefault="002C0FD9" w:rsidP="00CA25CF">
            <w:pPr>
              <w:rPr>
                <w:rFonts w:cs="Arial"/>
                <w:color w:val="FF0000"/>
                <w:sz w:val="21"/>
                <w:szCs w:val="21"/>
              </w:rPr>
            </w:pPr>
          </w:p>
        </w:tc>
        <w:tc>
          <w:tcPr>
            <w:tcW w:w="217" w:type="dxa"/>
          </w:tcPr>
          <w:p w14:paraId="0A3C9914" w14:textId="77777777" w:rsidR="002C0FD9" w:rsidRPr="00CA25CF" w:rsidRDefault="002C0FD9" w:rsidP="00CA25CF">
            <w:pPr>
              <w:rPr>
                <w:rFonts w:cs="Arial"/>
                <w:color w:val="FF0000"/>
                <w:sz w:val="21"/>
                <w:szCs w:val="21"/>
              </w:rPr>
            </w:pPr>
          </w:p>
        </w:tc>
        <w:tc>
          <w:tcPr>
            <w:tcW w:w="217" w:type="dxa"/>
          </w:tcPr>
          <w:p w14:paraId="51C9427F" w14:textId="77777777" w:rsidR="002C0FD9" w:rsidRPr="00CA25CF" w:rsidRDefault="002C0FD9" w:rsidP="00CA25CF">
            <w:pPr>
              <w:rPr>
                <w:rFonts w:cs="Arial"/>
                <w:color w:val="FF0000"/>
                <w:sz w:val="21"/>
                <w:szCs w:val="21"/>
              </w:rPr>
            </w:pPr>
          </w:p>
        </w:tc>
        <w:tc>
          <w:tcPr>
            <w:tcW w:w="217" w:type="dxa"/>
          </w:tcPr>
          <w:p w14:paraId="3108DEC0" w14:textId="77777777" w:rsidR="002C0FD9" w:rsidRPr="00CA25CF" w:rsidRDefault="002C0FD9" w:rsidP="00CA25CF">
            <w:pPr>
              <w:rPr>
                <w:rFonts w:cs="Arial"/>
                <w:color w:val="FF0000"/>
                <w:sz w:val="21"/>
                <w:szCs w:val="21"/>
              </w:rPr>
            </w:pPr>
          </w:p>
        </w:tc>
        <w:tc>
          <w:tcPr>
            <w:tcW w:w="217" w:type="dxa"/>
          </w:tcPr>
          <w:p w14:paraId="3C5632B5" w14:textId="77777777" w:rsidR="002C0FD9" w:rsidRPr="00CA25CF" w:rsidRDefault="002C0FD9" w:rsidP="00CA25CF">
            <w:pPr>
              <w:rPr>
                <w:rFonts w:cs="Arial"/>
                <w:color w:val="FF0000"/>
                <w:sz w:val="21"/>
                <w:szCs w:val="21"/>
              </w:rPr>
            </w:pPr>
          </w:p>
        </w:tc>
        <w:tc>
          <w:tcPr>
            <w:tcW w:w="217" w:type="dxa"/>
          </w:tcPr>
          <w:p w14:paraId="51E4241E" w14:textId="77777777" w:rsidR="002C0FD9" w:rsidRPr="00CA25CF" w:rsidRDefault="002C0FD9" w:rsidP="00CA25CF">
            <w:pPr>
              <w:rPr>
                <w:rFonts w:cs="Arial"/>
                <w:color w:val="FF0000"/>
                <w:sz w:val="21"/>
                <w:szCs w:val="21"/>
              </w:rPr>
            </w:pPr>
          </w:p>
        </w:tc>
      </w:tr>
      <w:tr w:rsidR="002C0FD9" w:rsidRPr="00A16219" w14:paraId="1898ECE9" w14:textId="77777777" w:rsidTr="002C0FD9">
        <w:trPr>
          <w:trHeight w:val="635"/>
        </w:trPr>
        <w:tc>
          <w:tcPr>
            <w:tcW w:w="515" w:type="dxa"/>
          </w:tcPr>
          <w:p w14:paraId="1A909C74" w14:textId="77777777" w:rsidR="002C0FD9" w:rsidRPr="00CA25CF" w:rsidRDefault="002C0FD9" w:rsidP="00CA25CF">
            <w:pPr>
              <w:rPr>
                <w:rFonts w:cs="Arial"/>
                <w:color w:val="FF0000"/>
                <w:sz w:val="21"/>
                <w:szCs w:val="21"/>
              </w:rPr>
            </w:pPr>
          </w:p>
        </w:tc>
        <w:tc>
          <w:tcPr>
            <w:tcW w:w="217" w:type="dxa"/>
          </w:tcPr>
          <w:p w14:paraId="38CEDEFD" w14:textId="77777777" w:rsidR="002C0FD9" w:rsidRPr="00CA25CF" w:rsidRDefault="002C0FD9" w:rsidP="00CA25CF">
            <w:pPr>
              <w:rPr>
                <w:rFonts w:cs="Arial"/>
                <w:color w:val="FF0000"/>
                <w:sz w:val="21"/>
                <w:szCs w:val="21"/>
              </w:rPr>
            </w:pPr>
          </w:p>
        </w:tc>
        <w:tc>
          <w:tcPr>
            <w:tcW w:w="217" w:type="dxa"/>
          </w:tcPr>
          <w:p w14:paraId="734D695F" w14:textId="77777777" w:rsidR="002C0FD9" w:rsidRPr="00CA25CF" w:rsidRDefault="002C0FD9" w:rsidP="00CA25CF">
            <w:pPr>
              <w:rPr>
                <w:rFonts w:cs="Arial"/>
                <w:color w:val="FF0000"/>
                <w:sz w:val="21"/>
                <w:szCs w:val="21"/>
              </w:rPr>
            </w:pPr>
          </w:p>
        </w:tc>
        <w:tc>
          <w:tcPr>
            <w:tcW w:w="217" w:type="dxa"/>
          </w:tcPr>
          <w:p w14:paraId="7BD05D11" w14:textId="77777777" w:rsidR="002C0FD9" w:rsidRPr="00CA25CF" w:rsidRDefault="002C0FD9" w:rsidP="00CA25CF">
            <w:pPr>
              <w:rPr>
                <w:rFonts w:cs="Arial"/>
                <w:color w:val="FF0000"/>
                <w:sz w:val="21"/>
                <w:szCs w:val="21"/>
              </w:rPr>
            </w:pPr>
          </w:p>
        </w:tc>
        <w:tc>
          <w:tcPr>
            <w:tcW w:w="217" w:type="dxa"/>
          </w:tcPr>
          <w:p w14:paraId="038F4340" w14:textId="77777777" w:rsidR="002C0FD9" w:rsidRPr="00CA25CF" w:rsidRDefault="002C0FD9" w:rsidP="00CA25CF">
            <w:pPr>
              <w:rPr>
                <w:rFonts w:cs="Arial"/>
                <w:color w:val="FF0000"/>
                <w:sz w:val="21"/>
                <w:szCs w:val="21"/>
              </w:rPr>
            </w:pPr>
          </w:p>
        </w:tc>
        <w:tc>
          <w:tcPr>
            <w:tcW w:w="217" w:type="dxa"/>
          </w:tcPr>
          <w:p w14:paraId="2A139B49" w14:textId="77777777" w:rsidR="002C0FD9" w:rsidRPr="00CA25CF" w:rsidRDefault="002C0FD9" w:rsidP="00CA25CF">
            <w:pPr>
              <w:rPr>
                <w:rFonts w:cs="Arial"/>
                <w:color w:val="FF0000"/>
                <w:sz w:val="21"/>
                <w:szCs w:val="21"/>
              </w:rPr>
            </w:pPr>
          </w:p>
        </w:tc>
        <w:tc>
          <w:tcPr>
            <w:tcW w:w="217" w:type="dxa"/>
          </w:tcPr>
          <w:p w14:paraId="4D38F95D" w14:textId="77777777" w:rsidR="002C0FD9" w:rsidRPr="00CA25CF" w:rsidRDefault="002C0FD9" w:rsidP="00CA25CF">
            <w:pPr>
              <w:rPr>
                <w:rFonts w:cs="Arial"/>
                <w:color w:val="FF0000"/>
                <w:sz w:val="21"/>
                <w:szCs w:val="21"/>
              </w:rPr>
            </w:pPr>
          </w:p>
        </w:tc>
        <w:tc>
          <w:tcPr>
            <w:tcW w:w="217" w:type="dxa"/>
          </w:tcPr>
          <w:p w14:paraId="1DC34751" w14:textId="77777777" w:rsidR="002C0FD9" w:rsidRPr="00CA25CF" w:rsidRDefault="002C0FD9" w:rsidP="00CA25CF">
            <w:pPr>
              <w:rPr>
                <w:rFonts w:cs="Arial"/>
                <w:color w:val="FF0000"/>
                <w:sz w:val="21"/>
                <w:szCs w:val="21"/>
              </w:rPr>
            </w:pPr>
          </w:p>
        </w:tc>
        <w:tc>
          <w:tcPr>
            <w:tcW w:w="217" w:type="dxa"/>
          </w:tcPr>
          <w:p w14:paraId="6793C2CB" w14:textId="77777777" w:rsidR="002C0FD9" w:rsidRPr="00CA25CF" w:rsidRDefault="002C0FD9" w:rsidP="00CA25CF">
            <w:pPr>
              <w:rPr>
                <w:rFonts w:cs="Arial"/>
                <w:color w:val="FF0000"/>
                <w:sz w:val="21"/>
                <w:szCs w:val="21"/>
              </w:rPr>
            </w:pPr>
          </w:p>
        </w:tc>
        <w:tc>
          <w:tcPr>
            <w:tcW w:w="217" w:type="dxa"/>
          </w:tcPr>
          <w:p w14:paraId="2AA4D3D1" w14:textId="77777777" w:rsidR="002C0FD9" w:rsidRPr="00CA25CF" w:rsidRDefault="002C0FD9" w:rsidP="00CA25CF">
            <w:pPr>
              <w:rPr>
                <w:rFonts w:cs="Arial"/>
                <w:color w:val="FF0000"/>
                <w:sz w:val="21"/>
                <w:szCs w:val="21"/>
              </w:rPr>
            </w:pPr>
          </w:p>
        </w:tc>
        <w:tc>
          <w:tcPr>
            <w:tcW w:w="217" w:type="dxa"/>
          </w:tcPr>
          <w:p w14:paraId="105ECC40" w14:textId="77777777" w:rsidR="002C0FD9" w:rsidRPr="00CA25CF" w:rsidRDefault="002C0FD9" w:rsidP="00CA25CF">
            <w:pPr>
              <w:rPr>
                <w:rFonts w:cs="Arial"/>
                <w:color w:val="FF0000"/>
                <w:sz w:val="21"/>
                <w:szCs w:val="21"/>
              </w:rPr>
            </w:pPr>
          </w:p>
        </w:tc>
        <w:tc>
          <w:tcPr>
            <w:tcW w:w="217" w:type="dxa"/>
          </w:tcPr>
          <w:p w14:paraId="1FCE6621" w14:textId="77777777" w:rsidR="002C0FD9" w:rsidRPr="00CA25CF" w:rsidRDefault="002C0FD9" w:rsidP="00CA25CF">
            <w:pPr>
              <w:rPr>
                <w:rFonts w:cs="Arial"/>
                <w:color w:val="FF0000"/>
                <w:sz w:val="21"/>
                <w:szCs w:val="21"/>
              </w:rPr>
            </w:pPr>
          </w:p>
        </w:tc>
        <w:tc>
          <w:tcPr>
            <w:tcW w:w="217" w:type="dxa"/>
          </w:tcPr>
          <w:p w14:paraId="4C30C047" w14:textId="77777777" w:rsidR="002C0FD9" w:rsidRPr="00CA25CF" w:rsidRDefault="002C0FD9" w:rsidP="00CA25CF">
            <w:pPr>
              <w:rPr>
                <w:rFonts w:cs="Arial"/>
                <w:color w:val="FF0000"/>
                <w:sz w:val="21"/>
                <w:szCs w:val="21"/>
              </w:rPr>
            </w:pPr>
          </w:p>
        </w:tc>
        <w:tc>
          <w:tcPr>
            <w:tcW w:w="217" w:type="dxa"/>
          </w:tcPr>
          <w:p w14:paraId="054D37CB" w14:textId="77777777" w:rsidR="002C0FD9" w:rsidRPr="00CA25CF" w:rsidRDefault="002C0FD9" w:rsidP="00CA25CF">
            <w:pPr>
              <w:rPr>
                <w:rFonts w:cs="Arial"/>
                <w:color w:val="FF0000"/>
                <w:sz w:val="21"/>
                <w:szCs w:val="21"/>
              </w:rPr>
            </w:pPr>
          </w:p>
        </w:tc>
        <w:tc>
          <w:tcPr>
            <w:tcW w:w="217" w:type="dxa"/>
          </w:tcPr>
          <w:p w14:paraId="7E620B9B" w14:textId="77777777" w:rsidR="002C0FD9" w:rsidRPr="00CA25CF" w:rsidRDefault="002C0FD9" w:rsidP="00CA25CF">
            <w:pPr>
              <w:rPr>
                <w:rFonts w:cs="Arial"/>
                <w:color w:val="FF0000"/>
                <w:sz w:val="21"/>
                <w:szCs w:val="21"/>
              </w:rPr>
            </w:pPr>
          </w:p>
        </w:tc>
        <w:tc>
          <w:tcPr>
            <w:tcW w:w="217" w:type="dxa"/>
          </w:tcPr>
          <w:p w14:paraId="1264479A" w14:textId="77777777" w:rsidR="002C0FD9" w:rsidRPr="00CA25CF" w:rsidRDefault="002C0FD9" w:rsidP="00CA25CF">
            <w:pPr>
              <w:rPr>
                <w:rFonts w:cs="Arial"/>
                <w:color w:val="FF0000"/>
                <w:sz w:val="21"/>
                <w:szCs w:val="21"/>
              </w:rPr>
            </w:pPr>
          </w:p>
        </w:tc>
        <w:tc>
          <w:tcPr>
            <w:tcW w:w="217" w:type="dxa"/>
          </w:tcPr>
          <w:p w14:paraId="2C1B9006" w14:textId="77777777" w:rsidR="002C0FD9" w:rsidRPr="00CA25CF" w:rsidRDefault="002C0FD9" w:rsidP="00CA25CF">
            <w:pPr>
              <w:rPr>
                <w:rFonts w:cs="Arial"/>
                <w:color w:val="FF0000"/>
                <w:sz w:val="21"/>
                <w:szCs w:val="21"/>
              </w:rPr>
            </w:pPr>
          </w:p>
        </w:tc>
        <w:tc>
          <w:tcPr>
            <w:tcW w:w="217" w:type="dxa"/>
          </w:tcPr>
          <w:p w14:paraId="38710F0C" w14:textId="77777777" w:rsidR="002C0FD9" w:rsidRPr="00CA25CF" w:rsidRDefault="002C0FD9" w:rsidP="00CA25CF">
            <w:pPr>
              <w:rPr>
                <w:rFonts w:cs="Arial"/>
                <w:color w:val="FF0000"/>
                <w:sz w:val="21"/>
                <w:szCs w:val="21"/>
              </w:rPr>
            </w:pPr>
          </w:p>
        </w:tc>
        <w:tc>
          <w:tcPr>
            <w:tcW w:w="217" w:type="dxa"/>
          </w:tcPr>
          <w:p w14:paraId="645B032B" w14:textId="77777777" w:rsidR="002C0FD9" w:rsidRPr="00CA25CF" w:rsidRDefault="002C0FD9" w:rsidP="00CA25CF">
            <w:pPr>
              <w:rPr>
                <w:rFonts w:cs="Arial"/>
                <w:color w:val="FF0000"/>
                <w:sz w:val="21"/>
                <w:szCs w:val="21"/>
              </w:rPr>
            </w:pPr>
          </w:p>
        </w:tc>
        <w:tc>
          <w:tcPr>
            <w:tcW w:w="217" w:type="dxa"/>
          </w:tcPr>
          <w:p w14:paraId="12957139" w14:textId="77777777" w:rsidR="002C0FD9" w:rsidRPr="00CA25CF" w:rsidRDefault="002C0FD9" w:rsidP="00CA25CF">
            <w:pPr>
              <w:rPr>
                <w:rFonts w:cs="Arial"/>
                <w:color w:val="FF0000"/>
                <w:sz w:val="21"/>
                <w:szCs w:val="21"/>
              </w:rPr>
            </w:pPr>
          </w:p>
        </w:tc>
        <w:tc>
          <w:tcPr>
            <w:tcW w:w="217" w:type="dxa"/>
          </w:tcPr>
          <w:p w14:paraId="0A256111" w14:textId="77777777" w:rsidR="002C0FD9" w:rsidRPr="00CA25CF" w:rsidRDefault="002C0FD9" w:rsidP="00CA25CF">
            <w:pPr>
              <w:rPr>
                <w:rFonts w:cs="Arial"/>
                <w:color w:val="FF0000"/>
                <w:sz w:val="21"/>
                <w:szCs w:val="21"/>
              </w:rPr>
            </w:pPr>
          </w:p>
        </w:tc>
        <w:tc>
          <w:tcPr>
            <w:tcW w:w="217" w:type="dxa"/>
          </w:tcPr>
          <w:p w14:paraId="570975FB" w14:textId="77777777" w:rsidR="002C0FD9" w:rsidRPr="00CA25CF" w:rsidRDefault="002C0FD9" w:rsidP="00CA25CF">
            <w:pPr>
              <w:rPr>
                <w:rFonts w:cs="Arial"/>
                <w:color w:val="FF0000"/>
                <w:sz w:val="21"/>
                <w:szCs w:val="21"/>
              </w:rPr>
            </w:pPr>
          </w:p>
        </w:tc>
        <w:tc>
          <w:tcPr>
            <w:tcW w:w="217" w:type="dxa"/>
          </w:tcPr>
          <w:p w14:paraId="21000FDA" w14:textId="77777777" w:rsidR="002C0FD9" w:rsidRPr="00CA25CF" w:rsidRDefault="002C0FD9" w:rsidP="00CA25CF">
            <w:pPr>
              <w:rPr>
                <w:rFonts w:cs="Arial"/>
                <w:color w:val="FF0000"/>
                <w:sz w:val="21"/>
                <w:szCs w:val="21"/>
              </w:rPr>
            </w:pPr>
          </w:p>
        </w:tc>
        <w:tc>
          <w:tcPr>
            <w:tcW w:w="217" w:type="dxa"/>
          </w:tcPr>
          <w:p w14:paraId="1A6CE6BB" w14:textId="77777777" w:rsidR="002C0FD9" w:rsidRPr="00CA25CF" w:rsidRDefault="002C0FD9" w:rsidP="00CA25CF">
            <w:pPr>
              <w:rPr>
                <w:rFonts w:cs="Arial"/>
                <w:color w:val="FF0000"/>
                <w:sz w:val="21"/>
                <w:szCs w:val="21"/>
              </w:rPr>
            </w:pPr>
          </w:p>
        </w:tc>
        <w:tc>
          <w:tcPr>
            <w:tcW w:w="217" w:type="dxa"/>
          </w:tcPr>
          <w:p w14:paraId="5EDC40D0" w14:textId="77777777" w:rsidR="002C0FD9" w:rsidRPr="00CA25CF" w:rsidRDefault="002C0FD9" w:rsidP="00CA25CF">
            <w:pPr>
              <w:rPr>
                <w:rFonts w:cs="Arial"/>
                <w:color w:val="FF0000"/>
                <w:sz w:val="21"/>
                <w:szCs w:val="21"/>
              </w:rPr>
            </w:pPr>
          </w:p>
        </w:tc>
        <w:tc>
          <w:tcPr>
            <w:tcW w:w="217" w:type="dxa"/>
          </w:tcPr>
          <w:p w14:paraId="42AF6432" w14:textId="77777777" w:rsidR="002C0FD9" w:rsidRPr="00CA25CF" w:rsidRDefault="002C0FD9" w:rsidP="00CA25CF">
            <w:pPr>
              <w:rPr>
                <w:rFonts w:cs="Arial"/>
                <w:color w:val="FF0000"/>
                <w:sz w:val="21"/>
                <w:szCs w:val="21"/>
              </w:rPr>
            </w:pPr>
          </w:p>
        </w:tc>
        <w:tc>
          <w:tcPr>
            <w:tcW w:w="217" w:type="dxa"/>
          </w:tcPr>
          <w:p w14:paraId="5DA3BCEF" w14:textId="77777777" w:rsidR="002C0FD9" w:rsidRPr="00CA25CF" w:rsidRDefault="002C0FD9" w:rsidP="00CA25CF">
            <w:pPr>
              <w:rPr>
                <w:rFonts w:cs="Arial"/>
                <w:color w:val="FF0000"/>
                <w:sz w:val="21"/>
                <w:szCs w:val="21"/>
              </w:rPr>
            </w:pPr>
          </w:p>
        </w:tc>
        <w:tc>
          <w:tcPr>
            <w:tcW w:w="217" w:type="dxa"/>
          </w:tcPr>
          <w:p w14:paraId="6D9416CE" w14:textId="77777777" w:rsidR="002C0FD9" w:rsidRPr="00CA25CF" w:rsidRDefault="002C0FD9" w:rsidP="00CA25CF">
            <w:pPr>
              <w:rPr>
                <w:rFonts w:cs="Arial"/>
                <w:color w:val="FF0000"/>
                <w:sz w:val="21"/>
                <w:szCs w:val="21"/>
              </w:rPr>
            </w:pPr>
          </w:p>
        </w:tc>
        <w:tc>
          <w:tcPr>
            <w:tcW w:w="217" w:type="dxa"/>
          </w:tcPr>
          <w:p w14:paraId="653BD1F2" w14:textId="77777777" w:rsidR="002C0FD9" w:rsidRPr="00CA25CF" w:rsidRDefault="002C0FD9" w:rsidP="00CA25CF">
            <w:pPr>
              <w:rPr>
                <w:rFonts w:cs="Arial"/>
                <w:color w:val="FF0000"/>
                <w:sz w:val="21"/>
                <w:szCs w:val="21"/>
              </w:rPr>
            </w:pPr>
          </w:p>
        </w:tc>
        <w:tc>
          <w:tcPr>
            <w:tcW w:w="217" w:type="dxa"/>
          </w:tcPr>
          <w:p w14:paraId="42F22D85" w14:textId="77777777" w:rsidR="002C0FD9" w:rsidRPr="00CA25CF" w:rsidRDefault="002C0FD9" w:rsidP="00CA25CF">
            <w:pPr>
              <w:rPr>
                <w:rFonts w:cs="Arial"/>
                <w:color w:val="FF0000"/>
                <w:sz w:val="21"/>
                <w:szCs w:val="21"/>
              </w:rPr>
            </w:pPr>
          </w:p>
        </w:tc>
        <w:tc>
          <w:tcPr>
            <w:tcW w:w="217" w:type="dxa"/>
          </w:tcPr>
          <w:p w14:paraId="5FC923C7" w14:textId="77777777" w:rsidR="002C0FD9" w:rsidRPr="00CA25CF" w:rsidRDefault="002C0FD9" w:rsidP="00CA25CF">
            <w:pPr>
              <w:rPr>
                <w:rFonts w:cs="Arial"/>
                <w:color w:val="FF0000"/>
                <w:sz w:val="21"/>
                <w:szCs w:val="21"/>
              </w:rPr>
            </w:pPr>
          </w:p>
        </w:tc>
        <w:tc>
          <w:tcPr>
            <w:tcW w:w="217" w:type="dxa"/>
          </w:tcPr>
          <w:p w14:paraId="426E68AD" w14:textId="77777777" w:rsidR="002C0FD9" w:rsidRPr="00CA25CF" w:rsidRDefault="002C0FD9" w:rsidP="00CA25CF">
            <w:pPr>
              <w:rPr>
                <w:rFonts w:cs="Arial"/>
                <w:color w:val="FF0000"/>
                <w:sz w:val="21"/>
                <w:szCs w:val="21"/>
              </w:rPr>
            </w:pPr>
          </w:p>
        </w:tc>
        <w:tc>
          <w:tcPr>
            <w:tcW w:w="217" w:type="dxa"/>
          </w:tcPr>
          <w:p w14:paraId="20B29775" w14:textId="77777777" w:rsidR="002C0FD9" w:rsidRPr="00CA25CF" w:rsidRDefault="002C0FD9" w:rsidP="00CA25CF">
            <w:pPr>
              <w:rPr>
                <w:rFonts w:cs="Arial"/>
                <w:color w:val="FF0000"/>
                <w:sz w:val="21"/>
                <w:szCs w:val="21"/>
              </w:rPr>
            </w:pPr>
          </w:p>
        </w:tc>
        <w:tc>
          <w:tcPr>
            <w:tcW w:w="217" w:type="dxa"/>
          </w:tcPr>
          <w:p w14:paraId="7E69187A" w14:textId="77777777" w:rsidR="002C0FD9" w:rsidRPr="00CA25CF" w:rsidRDefault="002C0FD9" w:rsidP="00CA25CF">
            <w:pPr>
              <w:rPr>
                <w:rFonts w:cs="Arial"/>
                <w:color w:val="FF0000"/>
                <w:sz w:val="21"/>
                <w:szCs w:val="21"/>
              </w:rPr>
            </w:pPr>
          </w:p>
        </w:tc>
        <w:tc>
          <w:tcPr>
            <w:tcW w:w="217" w:type="dxa"/>
          </w:tcPr>
          <w:p w14:paraId="20DCEA45" w14:textId="77777777" w:rsidR="002C0FD9" w:rsidRPr="00CA25CF" w:rsidRDefault="002C0FD9" w:rsidP="00CA25CF">
            <w:pPr>
              <w:rPr>
                <w:rFonts w:cs="Arial"/>
                <w:color w:val="FF0000"/>
                <w:sz w:val="21"/>
                <w:szCs w:val="21"/>
              </w:rPr>
            </w:pPr>
          </w:p>
        </w:tc>
        <w:tc>
          <w:tcPr>
            <w:tcW w:w="217" w:type="dxa"/>
          </w:tcPr>
          <w:p w14:paraId="56142CC3" w14:textId="77777777" w:rsidR="002C0FD9" w:rsidRPr="00CA25CF" w:rsidRDefault="002C0FD9" w:rsidP="00CA25CF">
            <w:pPr>
              <w:rPr>
                <w:rFonts w:cs="Arial"/>
                <w:color w:val="FF0000"/>
                <w:sz w:val="21"/>
                <w:szCs w:val="21"/>
              </w:rPr>
            </w:pPr>
          </w:p>
        </w:tc>
        <w:tc>
          <w:tcPr>
            <w:tcW w:w="217" w:type="dxa"/>
          </w:tcPr>
          <w:p w14:paraId="5F060A8E" w14:textId="77777777" w:rsidR="002C0FD9" w:rsidRPr="00CA25CF" w:rsidRDefault="002C0FD9" w:rsidP="00CA25CF">
            <w:pPr>
              <w:rPr>
                <w:rFonts w:cs="Arial"/>
                <w:color w:val="FF0000"/>
                <w:sz w:val="21"/>
                <w:szCs w:val="21"/>
              </w:rPr>
            </w:pPr>
          </w:p>
        </w:tc>
        <w:tc>
          <w:tcPr>
            <w:tcW w:w="217" w:type="dxa"/>
          </w:tcPr>
          <w:p w14:paraId="05CFE200" w14:textId="77777777" w:rsidR="002C0FD9" w:rsidRPr="00CA25CF" w:rsidRDefault="002C0FD9" w:rsidP="00CA25CF">
            <w:pPr>
              <w:rPr>
                <w:rFonts w:cs="Arial"/>
                <w:color w:val="FF0000"/>
                <w:sz w:val="21"/>
                <w:szCs w:val="21"/>
              </w:rPr>
            </w:pPr>
          </w:p>
        </w:tc>
        <w:tc>
          <w:tcPr>
            <w:tcW w:w="217" w:type="dxa"/>
          </w:tcPr>
          <w:p w14:paraId="131DC982" w14:textId="77777777" w:rsidR="002C0FD9" w:rsidRPr="00CA25CF" w:rsidRDefault="002C0FD9" w:rsidP="00CA25CF">
            <w:pPr>
              <w:rPr>
                <w:rFonts w:cs="Arial"/>
                <w:color w:val="FF0000"/>
                <w:sz w:val="21"/>
                <w:szCs w:val="21"/>
              </w:rPr>
            </w:pPr>
          </w:p>
        </w:tc>
        <w:tc>
          <w:tcPr>
            <w:tcW w:w="217" w:type="dxa"/>
          </w:tcPr>
          <w:p w14:paraId="78C839D8" w14:textId="77777777" w:rsidR="002C0FD9" w:rsidRPr="00CA25CF" w:rsidRDefault="002C0FD9" w:rsidP="00CA25CF">
            <w:pPr>
              <w:rPr>
                <w:rFonts w:cs="Arial"/>
                <w:color w:val="FF0000"/>
                <w:sz w:val="21"/>
                <w:szCs w:val="21"/>
              </w:rPr>
            </w:pPr>
          </w:p>
        </w:tc>
        <w:tc>
          <w:tcPr>
            <w:tcW w:w="217" w:type="dxa"/>
          </w:tcPr>
          <w:p w14:paraId="34600775" w14:textId="77777777" w:rsidR="002C0FD9" w:rsidRPr="00CA25CF" w:rsidRDefault="002C0FD9" w:rsidP="00CA25CF">
            <w:pPr>
              <w:rPr>
                <w:rFonts w:cs="Arial"/>
                <w:color w:val="FF0000"/>
                <w:sz w:val="21"/>
                <w:szCs w:val="21"/>
              </w:rPr>
            </w:pPr>
          </w:p>
        </w:tc>
        <w:tc>
          <w:tcPr>
            <w:tcW w:w="217" w:type="dxa"/>
          </w:tcPr>
          <w:p w14:paraId="630AF43C" w14:textId="77777777" w:rsidR="002C0FD9" w:rsidRPr="00CA25CF" w:rsidRDefault="002C0FD9" w:rsidP="00CA25CF">
            <w:pPr>
              <w:rPr>
                <w:rFonts w:cs="Arial"/>
                <w:color w:val="FF0000"/>
                <w:sz w:val="21"/>
                <w:szCs w:val="21"/>
              </w:rPr>
            </w:pPr>
          </w:p>
        </w:tc>
        <w:tc>
          <w:tcPr>
            <w:tcW w:w="217" w:type="dxa"/>
          </w:tcPr>
          <w:p w14:paraId="36488EBE" w14:textId="77777777" w:rsidR="002C0FD9" w:rsidRPr="00CA25CF" w:rsidRDefault="002C0FD9" w:rsidP="00CA25CF">
            <w:pPr>
              <w:rPr>
                <w:rFonts w:cs="Arial"/>
                <w:color w:val="FF0000"/>
                <w:sz w:val="21"/>
                <w:szCs w:val="21"/>
              </w:rPr>
            </w:pPr>
          </w:p>
        </w:tc>
      </w:tr>
      <w:tr w:rsidR="002C0FD9" w:rsidRPr="00A16219" w14:paraId="496FB2E8" w14:textId="77777777" w:rsidTr="002C0FD9">
        <w:trPr>
          <w:trHeight w:val="635"/>
        </w:trPr>
        <w:tc>
          <w:tcPr>
            <w:tcW w:w="515" w:type="dxa"/>
          </w:tcPr>
          <w:p w14:paraId="3DC570F9" w14:textId="77777777" w:rsidR="002C0FD9" w:rsidRPr="00CA25CF" w:rsidRDefault="002C0FD9" w:rsidP="00CA25CF">
            <w:pPr>
              <w:rPr>
                <w:rFonts w:cs="Arial"/>
                <w:color w:val="FF0000"/>
                <w:sz w:val="21"/>
                <w:szCs w:val="21"/>
              </w:rPr>
            </w:pPr>
          </w:p>
        </w:tc>
        <w:tc>
          <w:tcPr>
            <w:tcW w:w="217" w:type="dxa"/>
          </w:tcPr>
          <w:p w14:paraId="5A8BE17D" w14:textId="77777777" w:rsidR="002C0FD9" w:rsidRPr="00CA25CF" w:rsidRDefault="002C0FD9" w:rsidP="00CA25CF">
            <w:pPr>
              <w:rPr>
                <w:rFonts w:cs="Arial"/>
                <w:color w:val="FF0000"/>
                <w:sz w:val="21"/>
                <w:szCs w:val="21"/>
              </w:rPr>
            </w:pPr>
          </w:p>
        </w:tc>
        <w:tc>
          <w:tcPr>
            <w:tcW w:w="217" w:type="dxa"/>
          </w:tcPr>
          <w:p w14:paraId="43565ADE" w14:textId="77777777" w:rsidR="002C0FD9" w:rsidRPr="00CA25CF" w:rsidRDefault="002C0FD9" w:rsidP="00CA25CF">
            <w:pPr>
              <w:rPr>
                <w:rFonts w:cs="Arial"/>
                <w:color w:val="FF0000"/>
                <w:sz w:val="21"/>
                <w:szCs w:val="21"/>
              </w:rPr>
            </w:pPr>
          </w:p>
        </w:tc>
        <w:tc>
          <w:tcPr>
            <w:tcW w:w="217" w:type="dxa"/>
          </w:tcPr>
          <w:p w14:paraId="62E8C40C" w14:textId="77777777" w:rsidR="002C0FD9" w:rsidRPr="00CA25CF" w:rsidRDefault="002C0FD9" w:rsidP="00CA25CF">
            <w:pPr>
              <w:rPr>
                <w:rFonts w:cs="Arial"/>
                <w:color w:val="FF0000"/>
                <w:sz w:val="21"/>
                <w:szCs w:val="21"/>
              </w:rPr>
            </w:pPr>
          </w:p>
        </w:tc>
        <w:tc>
          <w:tcPr>
            <w:tcW w:w="217" w:type="dxa"/>
          </w:tcPr>
          <w:p w14:paraId="16B5F28E" w14:textId="77777777" w:rsidR="002C0FD9" w:rsidRPr="00CA25CF" w:rsidRDefault="002C0FD9" w:rsidP="00CA25CF">
            <w:pPr>
              <w:rPr>
                <w:rFonts w:cs="Arial"/>
                <w:color w:val="FF0000"/>
                <w:sz w:val="21"/>
                <w:szCs w:val="21"/>
              </w:rPr>
            </w:pPr>
          </w:p>
        </w:tc>
        <w:tc>
          <w:tcPr>
            <w:tcW w:w="217" w:type="dxa"/>
          </w:tcPr>
          <w:p w14:paraId="5D26DE2B" w14:textId="77777777" w:rsidR="002C0FD9" w:rsidRPr="00CA25CF" w:rsidRDefault="002C0FD9" w:rsidP="00CA25CF">
            <w:pPr>
              <w:rPr>
                <w:rFonts w:cs="Arial"/>
                <w:color w:val="FF0000"/>
                <w:sz w:val="21"/>
                <w:szCs w:val="21"/>
              </w:rPr>
            </w:pPr>
          </w:p>
        </w:tc>
        <w:tc>
          <w:tcPr>
            <w:tcW w:w="217" w:type="dxa"/>
          </w:tcPr>
          <w:p w14:paraId="3725F462" w14:textId="77777777" w:rsidR="002C0FD9" w:rsidRPr="00CA25CF" w:rsidRDefault="002C0FD9" w:rsidP="00CA25CF">
            <w:pPr>
              <w:rPr>
                <w:rFonts w:cs="Arial"/>
                <w:color w:val="FF0000"/>
                <w:sz w:val="21"/>
                <w:szCs w:val="21"/>
              </w:rPr>
            </w:pPr>
          </w:p>
        </w:tc>
        <w:tc>
          <w:tcPr>
            <w:tcW w:w="217" w:type="dxa"/>
          </w:tcPr>
          <w:p w14:paraId="461D287F" w14:textId="77777777" w:rsidR="002C0FD9" w:rsidRPr="00CA25CF" w:rsidRDefault="002C0FD9" w:rsidP="00CA25CF">
            <w:pPr>
              <w:rPr>
                <w:rFonts w:cs="Arial"/>
                <w:color w:val="FF0000"/>
                <w:sz w:val="21"/>
                <w:szCs w:val="21"/>
              </w:rPr>
            </w:pPr>
          </w:p>
        </w:tc>
        <w:tc>
          <w:tcPr>
            <w:tcW w:w="217" w:type="dxa"/>
          </w:tcPr>
          <w:p w14:paraId="67A76242" w14:textId="77777777" w:rsidR="002C0FD9" w:rsidRPr="00CA25CF" w:rsidRDefault="002C0FD9" w:rsidP="00CA25CF">
            <w:pPr>
              <w:rPr>
                <w:rFonts w:cs="Arial"/>
                <w:color w:val="FF0000"/>
                <w:sz w:val="21"/>
                <w:szCs w:val="21"/>
              </w:rPr>
            </w:pPr>
          </w:p>
        </w:tc>
        <w:tc>
          <w:tcPr>
            <w:tcW w:w="217" w:type="dxa"/>
          </w:tcPr>
          <w:p w14:paraId="1B715AD1" w14:textId="77777777" w:rsidR="002C0FD9" w:rsidRPr="00CA25CF" w:rsidRDefault="002C0FD9" w:rsidP="00CA25CF">
            <w:pPr>
              <w:rPr>
                <w:rFonts w:cs="Arial"/>
                <w:color w:val="FF0000"/>
                <w:sz w:val="21"/>
                <w:szCs w:val="21"/>
              </w:rPr>
            </w:pPr>
          </w:p>
        </w:tc>
        <w:tc>
          <w:tcPr>
            <w:tcW w:w="217" w:type="dxa"/>
          </w:tcPr>
          <w:p w14:paraId="66B5B96C" w14:textId="77777777" w:rsidR="002C0FD9" w:rsidRPr="00CA25CF" w:rsidRDefault="002C0FD9" w:rsidP="00CA25CF">
            <w:pPr>
              <w:rPr>
                <w:rFonts w:cs="Arial"/>
                <w:color w:val="FF0000"/>
                <w:sz w:val="21"/>
                <w:szCs w:val="21"/>
              </w:rPr>
            </w:pPr>
          </w:p>
        </w:tc>
        <w:tc>
          <w:tcPr>
            <w:tcW w:w="217" w:type="dxa"/>
          </w:tcPr>
          <w:p w14:paraId="64975899" w14:textId="77777777" w:rsidR="002C0FD9" w:rsidRPr="00CA25CF" w:rsidRDefault="002C0FD9" w:rsidP="00CA25CF">
            <w:pPr>
              <w:rPr>
                <w:rFonts w:cs="Arial"/>
                <w:color w:val="FF0000"/>
                <w:sz w:val="21"/>
                <w:szCs w:val="21"/>
              </w:rPr>
            </w:pPr>
          </w:p>
        </w:tc>
        <w:tc>
          <w:tcPr>
            <w:tcW w:w="217" w:type="dxa"/>
          </w:tcPr>
          <w:p w14:paraId="1D2EC2CC" w14:textId="77777777" w:rsidR="002C0FD9" w:rsidRPr="00CA25CF" w:rsidRDefault="002C0FD9" w:rsidP="00CA25CF">
            <w:pPr>
              <w:rPr>
                <w:rFonts w:cs="Arial"/>
                <w:color w:val="FF0000"/>
                <w:sz w:val="21"/>
                <w:szCs w:val="21"/>
              </w:rPr>
            </w:pPr>
          </w:p>
        </w:tc>
        <w:tc>
          <w:tcPr>
            <w:tcW w:w="217" w:type="dxa"/>
          </w:tcPr>
          <w:p w14:paraId="25F3BE17" w14:textId="77777777" w:rsidR="002C0FD9" w:rsidRPr="00CA25CF" w:rsidRDefault="002C0FD9" w:rsidP="00CA25CF">
            <w:pPr>
              <w:rPr>
                <w:rFonts w:cs="Arial"/>
                <w:color w:val="FF0000"/>
                <w:sz w:val="21"/>
                <w:szCs w:val="21"/>
              </w:rPr>
            </w:pPr>
          </w:p>
        </w:tc>
        <w:tc>
          <w:tcPr>
            <w:tcW w:w="217" w:type="dxa"/>
          </w:tcPr>
          <w:p w14:paraId="12D031C1" w14:textId="77777777" w:rsidR="002C0FD9" w:rsidRPr="00CA25CF" w:rsidRDefault="002C0FD9" w:rsidP="00CA25CF">
            <w:pPr>
              <w:rPr>
                <w:rFonts w:cs="Arial"/>
                <w:color w:val="FF0000"/>
                <w:sz w:val="21"/>
                <w:szCs w:val="21"/>
              </w:rPr>
            </w:pPr>
          </w:p>
        </w:tc>
        <w:tc>
          <w:tcPr>
            <w:tcW w:w="217" w:type="dxa"/>
          </w:tcPr>
          <w:p w14:paraId="581171D5" w14:textId="77777777" w:rsidR="002C0FD9" w:rsidRPr="00CA25CF" w:rsidRDefault="002C0FD9" w:rsidP="00CA25CF">
            <w:pPr>
              <w:rPr>
                <w:rFonts w:cs="Arial"/>
                <w:color w:val="FF0000"/>
                <w:sz w:val="21"/>
                <w:szCs w:val="21"/>
              </w:rPr>
            </w:pPr>
          </w:p>
        </w:tc>
        <w:tc>
          <w:tcPr>
            <w:tcW w:w="217" w:type="dxa"/>
          </w:tcPr>
          <w:p w14:paraId="3048E57A" w14:textId="77777777" w:rsidR="002C0FD9" w:rsidRPr="00CA25CF" w:rsidRDefault="002C0FD9" w:rsidP="00CA25CF">
            <w:pPr>
              <w:rPr>
                <w:rFonts w:cs="Arial"/>
                <w:color w:val="FF0000"/>
                <w:sz w:val="21"/>
                <w:szCs w:val="21"/>
              </w:rPr>
            </w:pPr>
          </w:p>
        </w:tc>
        <w:tc>
          <w:tcPr>
            <w:tcW w:w="217" w:type="dxa"/>
          </w:tcPr>
          <w:p w14:paraId="77983EC7" w14:textId="77777777" w:rsidR="002C0FD9" w:rsidRPr="00CA25CF" w:rsidRDefault="002C0FD9" w:rsidP="00CA25CF">
            <w:pPr>
              <w:rPr>
                <w:rFonts w:cs="Arial"/>
                <w:color w:val="FF0000"/>
                <w:sz w:val="21"/>
                <w:szCs w:val="21"/>
              </w:rPr>
            </w:pPr>
          </w:p>
        </w:tc>
        <w:tc>
          <w:tcPr>
            <w:tcW w:w="217" w:type="dxa"/>
          </w:tcPr>
          <w:p w14:paraId="26AD40BF" w14:textId="77777777" w:rsidR="002C0FD9" w:rsidRPr="00CA25CF" w:rsidRDefault="002C0FD9" w:rsidP="00CA25CF">
            <w:pPr>
              <w:rPr>
                <w:rFonts w:cs="Arial"/>
                <w:color w:val="FF0000"/>
                <w:sz w:val="21"/>
                <w:szCs w:val="21"/>
              </w:rPr>
            </w:pPr>
          </w:p>
        </w:tc>
        <w:tc>
          <w:tcPr>
            <w:tcW w:w="217" w:type="dxa"/>
          </w:tcPr>
          <w:p w14:paraId="5F999ACE" w14:textId="77777777" w:rsidR="002C0FD9" w:rsidRPr="00CA25CF" w:rsidRDefault="002C0FD9" w:rsidP="00CA25CF">
            <w:pPr>
              <w:rPr>
                <w:rFonts w:cs="Arial"/>
                <w:color w:val="FF0000"/>
                <w:sz w:val="21"/>
                <w:szCs w:val="21"/>
              </w:rPr>
            </w:pPr>
          </w:p>
        </w:tc>
        <w:tc>
          <w:tcPr>
            <w:tcW w:w="217" w:type="dxa"/>
          </w:tcPr>
          <w:p w14:paraId="22D4AC40" w14:textId="77777777" w:rsidR="002C0FD9" w:rsidRPr="00CA25CF" w:rsidRDefault="002C0FD9" w:rsidP="00CA25CF">
            <w:pPr>
              <w:rPr>
                <w:rFonts w:cs="Arial"/>
                <w:color w:val="FF0000"/>
                <w:sz w:val="21"/>
                <w:szCs w:val="21"/>
              </w:rPr>
            </w:pPr>
          </w:p>
        </w:tc>
        <w:tc>
          <w:tcPr>
            <w:tcW w:w="217" w:type="dxa"/>
          </w:tcPr>
          <w:p w14:paraId="53E0DDCE" w14:textId="77777777" w:rsidR="002C0FD9" w:rsidRPr="00CA25CF" w:rsidRDefault="002C0FD9" w:rsidP="00CA25CF">
            <w:pPr>
              <w:rPr>
                <w:rFonts w:cs="Arial"/>
                <w:color w:val="FF0000"/>
                <w:sz w:val="21"/>
                <w:szCs w:val="21"/>
              </w:rPr>
            </w:pPr>
          </w:p>
        </w:tc>
        <w:tc>
          <w:tcPr>
            <w:tcW w:w="217" w:type="dxa"/>
          </w:tcPr>
          <w:p w14:paraId="74A9F768" w14:textId="77777777" w:rsidR="002C0FD9" w:rsidRPr="00CA25CF" w:rsidRDefault="002C0FD9" w:rsidP="00CA25CF">
            <w:pPr>
              <w:rPr>
                <w:rFonts w:cs="Arial"/>
                <w:color w:val="FF0000"/>
                <w:sz w:val="21"/>
                <w:szCs w:val="21"/>
              </w:rPr>
            </w:pPr>
          </w:p>
        </w:tc>
        <w:tc>
          <w:tcPr>
            <w:tcW w:w="217" w:type="dxa"/>
          </w:tcPr>
          <w:p w14:paraId="37854D3D" w14:textId="77777777" w:rsidR="002C0FD9" w:rsidRPr="00CA25CF" w:rsidRDefault="002C0FD9" w:rsidP="00CA25CF">
            <w:pPr>
              <w:rPr>
                <w:rFonts w:cs="Arial"/>
                <w:color w:val="FF0000"/>
                <w:sz w:val="21"/>
                <w:szCs w:val="21"/>
              </w:rPr>
            </w:pPr>
          </w:p>
        </w:tc>
        <w:tc>
          <w:tcPr>
            <w:tcW w:w="217" w:type="dxa"/>
          </w:tcPr>
          <w:p w14:paraId="0FF0EBC3" w14:textId="77777777" w:rsidR="002C0FD9" w:rsidRPr="00CA25CF" w:rsidRDefault="002C0FD9" w:rsidP="00CA25CF">
            <w:pPr>
              <w:rPr>
                <w:rFonts w:cs="Arial"/>
                <w:color w:val="FF0000"/>
                <w:sz w:val="21"/>
                <w:szCs w:val="21"/>
              </w:rPr>
            </w:pPr>
          </w:p>
        </w:tc>
        <w:tc>
          <w:tcPr>
            <w:tcW w:w="217" w:type="dxa"/>
          </w:tcPr>
          <w:p w14:paraId="28916013" w14:textId="77777777" w:rsidR="002C0FD9" w:rsidRPr="00CA25CF" w:rsidRDefault="002C0FD9" w:rsidP="00CA25CF">
            <w:pPr>
              <w:rPr>
                <w:rFonts w:cs="Arial"/>
                <w:color w:val="FF0000"/>
                <w:sz w:val="21"/>
                <w:szCs w:val="21"/>
              </w:rPr>
            </w:pPr>
          </w:p>
        </w:tc>
        <w:tc>
          <w:tcPr>
            <w:tcW w:w="217" w:type="dxa"/>
          </w:tcPr>
          <w:p w14:paraId="6C1F7046" w14:textId="77777777" w:rsidR="002C0FD9" w:rsidRPr="00CA25CF" w:rsidRDefault="002C0FD9" w:rsidP="00CA25CF">
            <w:pPr>
              <w:rPr>
                <w:rFonts w:cs="Arial"/>
                <w:color w:val="FF0000"/>
                <w:sz w:val="21"/>
                <w:szCs w:val="21"/>
              </w:rPr>
            </w:pPr>
          </w:p>
        </w:tc>
        <w:tc>
          <w:tcPr>
            <w:tcW w:w="217" w:type="dxa"/>
          </w:tcPr>
          <w:p w14:paraId="0D231030" w14:textId="77777777" w:rsidR="002C0FD9" w:rsidRPr="00CA25CF" w:rsidRDefault="002C0FD9" w:rsidP="00CA25CF">
            <w:pPr>
              <w:rPr>
                <w:rFonts w:cs="Arial"/>
                <w:color w:val="FF0000"/>
                <w:sz w:val="21"/>
                <w:szCs w:val="21"/>
              </w:rPr>
            </w:pPr>
          </w:p>
        </w:tc>
        <w:tc>
          <w:tcPr>
            <w:tcW w:w="217" w:type="dxa"/>
          </w:tcPr>
          <w:p w14:paraId="1530C45A" w14:textId="77777777" w:rsidR="002C0FD9" w:rsidRPr="00CA25CF" w:rsidRDefault="002C0FD9" w:rsidP="00CA25CF">
            <w:pPr>
              <w:rPr>
                <w:rFonts w:cs="Arial"/>
                <w:color w:val="FF0000"/>
                <w:sz w:val="21"/>
                <w:szCs w:val="21"/>
              </w:rPr>
            </w:pPr>
          </w:p>
        </w:tc>
        <w:tc>
          <w:tcPr>
            <w:tcW w:w="217" w:type="dxa"/>
          </w:tcPr>
          <w:p w14:paraId="0AE96C0B" w14:textId="77777777" w:rsidR="002C0FD9" w:rsidRPr="00CA25CF" w:rsidRDefault="002C0FD9" w:rsidP="00CA25CF">
            <w:pPr>
              <w:rPr>
                <w:rFonts w:cs="Arial"/>
                <w:color w:val="FF0000"/>
                <w:sz w:val="21"/>
                <w:szCs w:val="21"/>
              </w:rPr>
            </w:pPr>
          </w:p>
        </w:tc>
        <w:tc>
          <w:tcPr>
            <w:tcW w:w="217" w:type="dxa"/>
          </w:tcPr>
          <w:p w14:paraId="37E29014" w14:textId="77777777" w:rsidR="002C0FD9" w:rsidRPr="00CA25CF" w:rsidRDefault="002C0FD9" w:rsidP="00CA25CF">
            <w:pPr>
              <w:rPr>
                <w:rFonts w:cs="Arial"/>
                <w:color w:val="FF0000"/>
                <w:sz w:val="21"/>
                <w:szCs w:val="21"/>
              </w:rPr>
            </w:pPr>
          </w:p>
        </w:tc>
        <w:tc>
          <w:tcPr>
            <w:tcW w:w="217" w:type="dxa"/>
          </w:tcPr>
          <w:p w14:paraId="09BE1DF2" w14:textId="77777777" w:rsidR="002C0FD9" w:rsidRPr="00CA25CF" w:rsidRDefault="002C0FD9" w:rsidP="00CA25CF">
            <w:pPr>
              <w:rPr>
                <w:rFonts w:cs="Arial"/>
                <w:color w:val="FF0000"/>
                <w:sz w:val="21"/>
                <w:szCs w:val="21"/>
              </w:rPr>
            </w:pPr>
          </w:p>
        </w:tc>
        <w:tc>
          <w:tcPr>
            <w:tcW w:w="217" w:type="dxa"/>
          </w:tcPr>
          <w:p w14:paraId="5D8F75C0" w14:textId="77777777" w:rsidR="002C0FD9" w:rsidRPr="00CA25CF" w:rsidRDefault="002C0FD9" w:rsidP="00CA25CF">
            <w:pPr>
              <w:rPr>
                <w:rFonts w:cs="Arial"/>
                <w:color w:val="FF0000"/>
                <w:sz w:val="21"/>
                <w:szCs w:val="21"/>
              </w:rPr>
            </w:pPr>
          </w:p>
        </w:tc>
        <w:tc>
          <w:tcPr>
            <w:tcW w:w="217" w:type="dxa"/>
          </w:tcPr>
          <w:p w14:paraId="63A5205D" w14:textId="77777777" w:rsidR="002C0FD9" w:rsidRPr="00CA25CF" w:rsidRDefault="002C0FD9" w:rsidP="00CA25CF">
            <w:pPr>
              <w:rPr>
                <w:rFonts w:cs="Arial"/>
                <w:color w:val="FF0000"/>
                <w:sz w:val="21"/>
                <w:szCs w:val="21"/>
              </w:rPr>
            </w:pPr>
          </w:p>
        </w:tc>
        <w:tc>
          <w:tcPr>
            <w:tcW w:w="217" w:type="dxa"/>
          </w:tcPr>
          <w:p w14:paraId="50D772EA" w14:textId="77777777" w:rsidR="002C0FD9" w:rsidRPr="00CA25CF" w:rsidRDefault="002C0FD9" w:rsidP="00CA25CF">
            <w:pPr>
              <w:rPr>
                <w:rFonts w:cs="Arial"/>
                <w:color w:val="FF0000"/>
                <w:sz w:val="21"/>
                <w:szCs w:val="21"/>
              </w:rPr>
            </w:pPr>
          </w:p>
        </w:tc>
        <w:tc>
          <w:tcPr>
            <w:tcW w:w="217" w:type="dxa"/>
          </w:tcPr>
          <w:p w14:paraId="746060C2" w14:textId="77777777" w:rsidR="002C0FD9" w:rsidRPr="00CA25CF" w:rsidRDefault="002C0FD9" w:rsidP="00CA25CF">
            <w:pPr>
              <w:rPr>
                <w:rFonts w:cs="Arial"/>
                <w:color w:val="FF0000"/>
                <w:sz w:val="21"/>
                <w:szCs w:val="21"/>
              </w:rPr>
            </w:pPr>
          </w:p>
        </w:tc>
        <w:tc>
          <w:tcPr>
            <w:tcW w:w="217" w:type="dxa"/>
          </w:tcPr>
          <w:p w14:paraId="306CE5F1" w14:textId="77777777" w:rsidR="002C0FD9" w:rsidRPr="00CA25CF" w:rsidRDefault="002C0FD9" w:rsidP="00CA25CF">
            <w:pPr>
              <w:rPr>
                <w:rFonts w:cs="Arial"/>
                <w:color w:val="FF0000"/>
                <w:sz w:val="21"/>
                <w:szCs w:val="21"/>
              </w:rPr>
            </w:pPr>
          </w:p>
        </w:tc>
        <w:tc>
          <w:tcPr>
            <w:tcW w:w="217" w:type="dxa"/>
          </w:tcPr>
          <w:p w14:paraId="5CBE24F1" w14:textId="77777777" w:rsidR="002C0FD9" w:rsidRPr="00CA25CF" w:rsidRDefault="002C0FD9" w:rsidP="00CA25CF">
            <w:pPr>
              <w:rPr>
                <w:rFonts w:cs="Arial"/>
                <w:color w:val="FF0000"/>
                <w:sz w:val="21"/>
                <w:szCs w:val="21"/>
              </w:rPr>
            </w:pPr>
          </w:p>
        </w:tc>
        <w:tc>
          <w:tcPr>
            <w:tcW w:w="217" w:type="dxa"/>
          </w:tcPr>
          <w:p w14:paraId="059C1BF4" w14:textId="77777777" w:rsidR="002C0FD9" w:rsidRPr="00CA25CF" w:rsidRDefault="002C0FD9" w:rsidP="00CA25CF">
            <w:pPr>
              <w:rPr>
                <w:rFonts w:cs="Arial"/>
                <w:color w:val="FF0000"/>
                <w:sz w:val="21"/>
                <w:szCs w:val="21"/>
              </w:rPr>
            </w:pPr>
          </w:p>
        </w:tc>
        <w:tc>
          <w:tcPr>
            <w:tcW w:w="217" w:type="dxa"/>
          </w:tcPr>
          <w:p w14:paraId="50E9106B" w14:textId="77777777" w:rsidR="002C0FD9" w:rsidRPr="00CA25CF" w:rsidRDefault="002C0FD9" w:rsidP="00CA25CF">
            <w:pPr>
              <w:rPr>
                <w:rFonts w:cs="Arial"/>
                <w:color w:val="FF0000"/>
                <w:sz w:val="21"/>
                <w:szCs w:val="21"/>
              </w:rPr>
            </w:pPr>
          </w:p>
        </w:tc>
        <w:tc>
          <w:tcPr>
            <w:tcW w:w="217" w:type="dxa"/>
          </w:tcPr>
          <w:p w14:paraId="1827BC3B" w14:textId="77777777" w:rsidR="002C0FD9" w:rsidRPr="00CA25CF" w:rsidRDefault="002C0FD9" w:rsidP="00CA25CF">
            <w:pPr>
              <w:rPr>
                <w:rFonts w:cs="Arial"/>
                <w:color w:val="FF0000"/>
                <w:sz w:val="21"/>
                <w:szCs w:val="21"/>
              </w:rPr>
            </w:pPr>
          </w:p>
        </w:tc>
        <w:tc>
          <w:tcPr>
            <w:tcW w:w="217" w:type="dxa"/>
          </w:tcPr>
          <w:p w14:paraId="476CD15D" w14:textId="77777777" w:rsidR="002C0FD9" w:rsidRPr="00CA25CF" w:rsidRDefault="002C0FD9" w:rsidP="00CA25CF">
            <w:pPr>
              <w:rPr>
                <w:rFonts w:cs="Arial"/>
                <w:color w:val="FF0000"/>
                <w:sz w:val="21"/>
                <w:szCs w:val="21"/>
              </w:rPr>
            </w:pPr>
          </w:p>
        </w:tc>
        <w:tc>
          <w:tcPr>
            <w:tcW w:w="217" w:type="dxa"/>
          </w:tcPr>
          <w:p w14:paraId="34A8C3E3" w14:textId="77777777" w:rsidR="002C0FD9" w:rsidRPr="00CA25CF" w:rsidRDefault="002C0FD9" w:rsidP="00CA25CF">
            <w:pPr>
              <w:rPr>
                <w:rFonts w:cs="Arial"/>
                <w:color w:val="FF0000"/>
                <w:sz w:val="21"/>
                <w:szCs w:val="21"/>
              </w:rPr>
            </w:pPr>
          </w:p>
        </w:tc>
      </w:tr>
      <w:tr w:rsidR="002C0FD9" w:rsidRPr="00A16219" w14:paraId="0AAA4B9E" w14:textId="77777777" w:rsidTr="002C0FD9">
        <w:trPr>
          <w:trHeight w:val="635"/>
        </w:trPr>
        <w:tc>
          <w:tcPr>
            <w:tcW w:w="515" w:type="dxa"/>
          </w:tcPr>
          <w:p w14:paraId="5D2F4725" w14:textId="77777777" w:rsidR="002C0FD9" w:rsidRPr="00CA25CF" w:rsidRDefault="002C0FD9" w:rsidP="00CA25CF">
            <w:pPr>
              <w:rPr>
                <w:rFonts w:cs="Arial"/>
                <w:color w:val="FF0000"/>
                <w:sz w:val="21"/>
                <w:szCs w:val="21"/>
              </w:rPr>
            </w:pPr>
          </w:p>
        </w:tc>
        <w:tc>
          <w:tcPr>
            <w:tcW w:w="217" w:type="dxa"/>
          </w:tcPr>
          <w:p w14:paraId="79C9409D" w14:textId="77777777" w:rsidR="002C0FD9" w:rsidRPr="00CA25CF" w:rsidRDefault="002C0FD9" w:rsidP="00CA25CF">
            <w:pPr>
              <w:rPr>
                <w:rFonts w:cs="Arial"/>
                <w:color w:val="FF0000"/>
                <w:sz w:val="21"/>
                <w:szCs w:val="21"/>
              </w:rPr>
            </w:pPr>
          </w:p>
        </w:tc>
        <w:tc>
          <w:tcPr>
            <w:tcW w:w="217" w:type="dxa"/>
          </w:tcPr>
          <w:p w14:paraId="38C0AFA3" w14:textId="77777777" w:rsidR="002C0FD9" w:rsidRPr="00CA25CF" w:rsidRDefault="002C0FD9" w:rsidP="00CA25CF">
            <w:pPr>
              <w:rPr>
                <w:rFonts w:cs="Arial"/>
                <w:color w:val="FF0000"/>
                <w:sz w:val="21"/>
                <w:szCs w:val="21"/>
              </w:rPr>
            </w:pPr>
          </w:p>
        </w:tc>
        <w:tc>
          <w:tcPr>
            <w:tcW w:w="217" w:type="dxa"/>
          </w:tcPr>
          <w:p w14:paraId="531EC992" w14:textId="77777777" w:rsidR="002C0FD9" w:rsidRPr="00CA25CF" w:rsidRDefault="002C0FD9" w:rsidP="00CA25CF">
            <w:pPr>
              <w:rPr>
                <w:rFonts w:cs="Arial"/>
                <w:color w:val="FF0000"/>
                <w:sz w:val="21"/>
                <w:szCs w:val="21"/>
              </w:rPr>
            </w:pPr>
          </w:p>
        </w:tc>
        <w:tc>
          <w:tcPr>
            <w:tcW w:w="217" w:type="dxa"/>
          </w:tcPr>
          <w:p w14:paraId="5F27B935" w14:textId="77777777" w:rsidR="002C0FD9" w:rsidRPr="00CA25CF" w:rsidRDefault="002C0FD9" w:rsidP="00CA25CF">
            <w:pPr>
              <w:rPr>
                <w:rFonts w:cs="Arial"/>
                <w:color w:val="FF0000"/>
                <w:sz w:val="21"/>
                <w:szCs w:val="21"/>
              </w:rPr>
            </w:pPr>
          </w:p>
        </w:tc>
        <w:tc>
          <w:tcPr>
            <w:tcW w:w="217" w:type="dxa"/>
          </w:tcPr>
          <w:p w14:paraId="11F917EC" w14:textId="77777777" w:rsidR="002C0FD9" w:rsidRPr="00CA25CF" w:rsidRDefault="002C0FD9" w:rsidP="00CA25CF">
            <w:pPr>
              <w:rPr>
                <w:rFonts w:cs="Arial"/>
                <w:color w:val="FF0000"/>
                <w:sz w:val="21"/>
                <w:szCs w:val="21"/>
              </w:rPr>
            </w:pPr>
          </w:p>
        </w:tc>
        <w:tc>
          <w:tcPr>
            <w:tcW w:w="217" w:type="dxa"/>
          </w:tcPr>
          <w:p w14:paraId="1C178144" w14:textId="77777777" w:rsidR="002C0FD9" w:rsidRPr="00CA25CF" w:rsidRDefault="002C0FD9" w:rsidP="00CA25CF">
            <w:pPr>
              <w:rPr>
                <w:rFonts w:cs="Arial"/>
                <w:color w:val="FF0000"/>
                <w:sz w:val="21"/>
                <w:szCs w:val="21"/>
              </w:rPr>
            </w:pPr>
          </w:p>
        </w:tc>
        <w:tc>
          <w:tcPr>
            <w:tcW w:w="217" w:type="dxa"/>
          </w:tcPr>
          <w:p w14:paraId="4CC6E0F3" w14:textId="77777777" w:rsidR="002C0FD9" w:rsidRPr="00CA25CF" w:rsidRDefault="002C0FD9" w:rsidP="00CA25CF">
            <w:pPr>
              <w:rPr>
                <w:rFonts w:cs="Arial"/>
                <w:color w:val="FF0000"/>
                <w:sz w:val="21"/>
                <w:szCs w:val="21"/>
              </w:rPr>
            </w:pPr>
          </w:p>
        </w:tc>
        <w:tc>
          <w:tcPr>
            <w:tcW w:w="217" w:type="dxa"/>
          </w:tcPr>
          <w:p w14:paraId="04B09C8D" w14:textId="77777777" w:rsidR="002C0FD9" w:rsidRPr="00CA25CF" w:rsidRDefault="002C0FD9" w:rsidP="00CA25CF">
            <w:pPr>
              <w:rPr>
                <w:rFonts w:cs="Arial"/>
                <w:color w:val="FF0000"/>
                <w:sz w:val="21"/>
                <w:szCs w:val="21"/>
              </w:rPr>
            </w:pPr>
          </w:p>
        </w:tc>
        <w:tc>
          <w:tcPr>
            <w:tcW w:w="217" w:type="dxa"/>
          </w:tcPr>
          <w:p w14:paraId="067291A3" w14:textId="77777777" w:rsidR="002C0FD9" w:rsidRPr="00CA25CF" w:rsidRDefault="002C0FD9" w:rsidP="00CA25CF">
            <w:pPr>
              <w:rPr>
                <w:rFonts w:cs="Arial"/>
                <w:color w:val="FF0000"/>
                <w:sz w:val="21"/>
                <w:szCs w:val="21"/>
              </w:rPr>
            </w:pPr>
          </w:p>
        </w:tc>
        <w:tc>
          <w:tcPr>
            <w:tcW w:w="217" w:type="dxa"/>
          </w:tcPr>
          <w:p w14:paraId="7449C778" w14:textId="77777777" w:rsidR="002C0FD9" w:rsidRPr="00CA25CF" w:rsidRDefault="002C0FD9" w:rsidP="00CA25CF">
            <w:pPr>
              <w:rPr>
                <w:rFonts w:cs="Arial"/>
                <w:color w:val="FF0000"/>
                <w:sz w:val="21"/>
                <w:szCs w:val="21"/>
              </w:rPr>
            </w:pPr>
          </w:p>
        </w:tc>
        <w:tc>
          <w:tcPr>
            <w:tcW w:w="217" w:type="dxa"/>
          </w:tcPr>
          <w:p w14:paraId="4D763BB5" w14:textId="77777777" w:rsidR="002C0FD9" w:rsidRPr="00CA25CF" w:rsidRDefault="002C0FD9" w:rsidP="00CA25CF">
            <w:pPr>
              <w:rPr>
                <w:rFonts w:cs="Arial"/>
                <w:color w:val="FF0000"/>
                <w:sz w:val="21"/>
                <w:szCs w:val="21"/>
              </w:rPr>
            </w:pPr>
          </w:p>
        </w:tc>
        <w:tc>
          <w:tcPr>
            <w:tcW w:w="217" w:type="dxa"/>
          </w:tcPr>
          <w:p w14:paraId="4BDD64FF" w14:textId="77777777" w:rsidR="002C0FD9" w:rsidRPr="00CA25CF" w:rsidRDefault="002C0FD9" w:rsidP="00CA25CF">
            <w:pPr>
              <w:rPr>
                <w:rFonts w:cs="Arial"/>
                <w:color w:val="FF0000"/>
                <w:sz w:val="21"/>
                <w:szCs w:val="21"/>
              </w:rPr>
            </w:pPr>
          </w:p>
        </w:tc>
        <w:tc>
          <w:tcPr>
            <w:tcW w:w="217" w:type="dxa"/>
          </w:tcPr>
          <w:p w14:paraId="0778671A" w14:textId="77777777" w:rsidR="002C0FD9" w:rsidRPr="00CA25CF" w:rsidRDefault="002C0FD9" w:rsidP="00CA25CF">
            <w:pPr>
              <w:rPr>
                <w:rFonts w:cs="Arial"/>
                <w:color w:val="FF0000"/>
                <w:sz w:val="21"/>
                <w:szCs w:val="21"/>
              </w:rPr>
            </w:pPr>
          </w:p>
        </w:tc>
        <w:tc>
          <w:tcPr>
            <w:tcW w:w="217" w:type="dxa"/>
          </w:tcPr>
          <w:p w14:paraId="31180978" w14:textId="77777777" w:rsidR="002C0FD9" w:rsidRPr="00CA25CF" w:rsidRDefault="002C0FD9" w:rsidP="00CA25CF">
            <w:pPr>
              <w:rPr>
                <w:rFonts w:cs="Arial"/>
                <w:color w:val="FF0000"/>
                <w:sz w:val="21"/>
                <w:szCs w:val="21"/>
              </w:rPr>
            </w:pPr>
          </w:p>
        </w:tc>
        <w:tc>
          <w:tcPr>
            <w:tcW w:w="217" w:type="dxa"/>
          </w:tcPr>
          <w:p w14:paraId="022FFCD7" w14:textId="77777777" w:rsidR="002C0FD9" w:rsidRPr="00CA25CF" w:rsidRDefault="002C0FD9" w:rsidP="00CA25CF">
            <w:pPr>
              <w:rPr>
                <w:rFonts w:cs="Arial"/>
                <w:color w:val="FF0000"/>
                <w:sz w:val="21"/>
                <w:szCs w:val="21"/>
              </w:rPr>
            </w:pPr>
          </w:p>
        </w:tc>
        <w:tc>
          <w:tcPr>
            <w:tcW w:w="217" w:type="dxa"/>
          </w:tcPr>
          <w:p w14:paraId="06037915" w14:textId="77777777" w:rsidR="002C0FD9" w:rsidRPr="00CA25CF" w:rsidRDefault="002C0FD9" w:rsidP="00CA25CF">
            <w:pPr>
              <w:rPr>
                <w:rFonts w:cs="Arial"/>
                <w:color w:val="FF0000"/>
                <w:sz w:val="21"/>
                <w:szCs w:val="21"/>
              </w:rPr>
            </w:pPr>
          </w:p>
        </w:tc>
        <w:tc>
          <w:tcPr>
            <w:tcW w:w="217" w:type="dxa"/>
          </w:tcPr>
          <w:p w14:paraId="4E48DE37" w14:textId="77777777" w:rsidR="002C0FD9" w:rsidRPr="00CA25CF" w:rsidRDefault="002C0FD9" w:rsidP="00CA25CF">
            <w:pPr>
              <w:rPr>
                <w:rFonts w:cs="Arial"/>
                <w:color w:val="FF0000"/>
                <w:sz w:val="21"/>
                <w:szCs w:val="21"/>
              </w:rPr>
            </w:pPr>
          </w:p>
        </w:tc>
        <w:tc>
          <w:tcPr>
            <w:tcW w:w="217" w:type="dxa"/>
          </w:tcPr>
          <w:p w14:paraId="5C81CEAC" w14:textId="77777777" w:rsidR="002C0FD9" w:rsidRPr="00CA25CF" w:rsidRDefault="002C0FD9" w:rsidP="00CA25CF">
            <w:pPr>
              <w:rPr>
                <w:rFonts w:cs="Arial"/>
                <w:color w:val="FF0000"/>
                <w:sz w:val="21"/>
                <w:szCs w:val="21"/>
              </w:rPr>
            </w:pPr>
          </w:p>
        </w:tc>
        <w:tc>
          <w:tcPr>
            <w:tcW w:w="217" w:type="dxa"/>
          </w:tcPr>
          <w:p w14:paraId="7AE287DA" w14:textId="77777777" w:rsidR="002C0FD9" w:rsidRPr="00CA25CF" w:rsidRDefault="002C0FD9" w:rsidP="00CA25CF">
            <w:pPr>
              <w:rPr>
                <w:rFonts w:cs="Arial"/>
                <w:color w:val="FF0000"/>
                <w:sz w:val="21"/>
                <w:szCs w:val="21"/>
              </w:rPr>
            </w:pPr>
          </w:p>
        </w:tc>
        <w:tc>
          <w:tcPr>
            <w:tcW w:w="217" w:type="dxa"/>
          </w:tcPr>
          <w:p w14:paraId="5F82C18F" w14:textId="77777777" w:rsidR="002C0FD9" w:rsidRPr="00CA25CF" w:rsidRDefault="002C0FD9" w:rsidP="00CA25CF">
            <w:pPr>
              <w:rPr>
                <w:rFonts w:cs="Arial"/>
                <w:color w:val="FF0000"/>
                <w:sz w:val="21"/>
                <w:szCs w:val="21"/>
              </w:rPr>
            </w:pPr>
          </w:p>
        </w:tc>
        <w:tc>
          <w:tcPr>
            <w:tcW w:w="217" w:type="dxa"/>
          </w:tcPr>
          <w:p w14:paraId="36488575" w14:textId="77777777" w:rsidR="002C0FD9" w:rsidRPr="00CA25CF" w:rsidRDefault="002C0FD9" w:rsidP="00CA25CF">
            <w:pPr>
              <w:rPr>
                <w:rFonts w:cs="Arial"/>
                <w:color w:val="FF0000"/>
                <w:sz w:val="21"/>
                <w:szCs w:val="21"/>
              </w:rPr>
            </w:pPr>
          </w:p>
        </w:tc>
        <w:tc>
          <w:tcPr>
            <w:tcW w:w="217" w:type="dxa"/>
          </w:tcPr>
          <w:p w14:paraId="1734B2AC" w14:textId="77777777" w:rsidR="002C0FD9" w:rsidRPr="00CA25CF" w:rsidRDefault="002C0FD9" w:rsidP="00CA25CF">
            <w:pPr>
              <w:rPr>
                <w:rFonts w:cs="Arial"/>
                <w:color w:val="FF0000"/>
                <w:sz w:val="21"/>
                <w:szCs w:val="21"/>
              </w:rPr>
            </w:pPr>
          </w:p>
        </w:tc>
        <w:tc>
          <w:tcPr>
            <w:tcW w:w="217" w:type="dxa"/>
          </w:tcPr>
          <w:p w14:paraId="5BB729CE" w14:textId="77777777" w:rsidR="002C0FD9" w:rsidRPr="00CA25CF" w:rsidRDefault="002C0FD9" w:rsidP="00CA25CF">
            <w:pPr>
              <w:rPr>
                <w:rFonts w:cs="Arial"/>
                <w:color w:val="FF0000"/>
                <w:sz w:val="21"/>
                <w:szCs w:val="21"/>
              </w:rPr>
            </w:pPr>
          </w:p>
        </w:tc>
        <w:tc>
          <w:tcPr>
            <w:tcW w:w="217" w:type="dxa"/>
          </w:tcPr>
          <w:p w14:paraId="1CCB9BF4" w14:textId="77777777" w:rsidR="002C0FD9" w:rsidRPr="00CA25CF" w:rsidRDefault="002C0FD9" w:rsidP="00CA25CF">
            <w:pPr>
              <w:rPr>
                <w:rFonts w:cs="Arial"/>
                <w:color w:val="FF0000"/>
                <w:sz w:val="21"/>
                <w:szCs w:val="21"/>
              </w:rPr>
            </w:pPr>
          </w:p>
        </w:tc>
        <w:tc>
          <w:tcPr>
            <w:tcW w:w="217" w:type="dxa"/>
          </w:tcPr>
          <w:p w14:paraId="4A2AAA7E" w14:textId="77777777" w:rsidR="002C0FD9" w:rsidRPr="00CA25CF" w:rsidRDefault="002C0FD9" w:rsidP="00CA25CF">
            <w:pPr>
              <w:rPr>
                <w:rFonts w:cs="Arial"/>
                <w:color w:val="FF0000"/>
                <w:sz w:val="21"/>
                <w:szCs w:val="21"/>
              </w:rPr>
            </w:pPr>
          </w:p>
        </w:tc>
        <w:tc>
          <w:tcPr>
            <w:tcW w:w="217" w:type="dxa"/>
          </w:tcPr>
          <w:p w14:paraId="61DB8F38" w14:textId="77777777" w:rsidR="002C0FD9" w:rsidRPr="00CA25CF" w:rsidRDefault="002C0FD9" w:rsidP="00CA25CF">
            <w:pPr>
              <w:rPr>
                <w:rFonts w:cs="Arial"/>
                <w:color w:val="FF0000"/>
                <w:sz w:val="21"/>
                <w:szCs w:val="21"/>
              </w:rPr>
            </w:pPr>
          </w:p>
        </w:tc>
        <w:tc>
          <w:tcPr>
            <w:tcW w:w="217" w:type="dxa"/>
          </w:tcPr>
          <w:p w14:paraId="3F124351" w14:textId="77777777" w:rsidR="002C0FD9" w:rsidRPr="00CA25CF" w:rsidRDefault="002C0FD9" w:rsidP="00CA25CF">
            <w:pPr>
              <w:rPr>
                <w:rFonts w:cs="Arial"/>
                <w:color w:val="FF0000"/>
                <w:sz w:val="21"/>
                <w:szCs w:val="21"/>
              </w:rPr>
            </w:pPr>
          </w:p>
        </w:tc>
        <w:tc>
          <w:tcPr>
            <w:tcW w:w="217" w:type="dxa"/>
          </w:tcPr>
          <w:p w14:paraId="3AAD4A73" w14:textId="77777777" w:rsidR="002C0FD9" w:rsidRPr="00CA25CF" w:rsidRDefault="002C0FD9" w:rsidP="00CA25CF">
            <w:pPr>
              <w:rPr>
                <w:rFonts w:cs="Arial"/>
                <w:color w:val="FF0000"/>
                <w:sz w:val="21"/>
                <w:szCs w:val="21"/>
              </w:rPr>
            </w:pPr>
          </w:p>
        </w:tc>
        <w:tc>
          <w:tcPr>
            <w:tcW w:w="217" w:type="dxa"/>
          </w:tcPr>
          <w:p w14:paraId="250DF752" w14:textId="77777777" w:rsidR="002C0FD9" w:rsidRPr="00CA25CF" w:rsidRDefault="002C0FD9" w:rsidP="00CA25CF">
            <w:pPr>
              <w:rPr>
                <w:rFonts w:cs="Arial"/>
                <w:color w:val="FF0000"/>
                <w:sz w:val="21"/>
                <w:szCs w:val="21"/>
              </w:rPr>
            </w:pPr>
          </w:p>
        </w:tc>
        <w:tc>
          <w:tcPr>
            <w:tcW w:w="217" w:type="dxa"/>
          </w:tcPr>
          <w:p w14:paraId="23D5BA97" w14:textId="77777777" w:rsidR="002C0FD9" w:rsidRPr="00CA25CF" w:rsidRDefault="002C0FD9" w:rsidP="00CA25CF">
            <w:pPr>
              <w:rPr>
                <w:rFonts w:cs="Arial"/>
                <w:color w:val="FF0000"/>
                <w:sz w:val="21"/>
                <w:szCs w:val="21"/>
              </w:rPr>
            </w:pPr>
          </w:p>
        </w:tc>
        <w:tc>
          <w:tcPr>
            <w:tcW w:w="217" w:type="dxa"/>
          </w:tcPr>
          <w:p w14:paraId="5963F65D" w14:textId="77777777" w:rsidR="002C0FD9" w:rsidRPr="00CA25CF" w:rsidRDefault="002C0FD9" w:rsidP="00CA25CF">
            <w:pPr>
              <w:rPr>
                <w:rFonts w:cs="Arial"/>
                <w:color w:val="FF0000"/>
                <w:sz w:val="21"/>
                <w:szCs w:val="21"/>
              </w:rPr>
            </w:pPr>
          </w:p>
        </w:tc>
        <w:tc>
          <w:tcPr>
            <w:tcW w:w="217" w:type="dxa"/>
          </w:tcPr>
          <w:p w14:paraId="6AEF40DF" w14:textId="77777777" w:rsidR="002C0FD9" w:rsidRPr="00CA25CF" w:rsidRDefault="002C0FD9" w:rsidP="00CA25CF">
            <w:pPr>
              <w:rPr>
                <w:rFonts w:cs="Arial"/>
                <w:color w:val="FF0000"/>
                <w:sz w:val="21"/>
                <w:szCs w:val="21"/>
              </w:rPr>
            </w:pPr>
          </w:p>
        </w:tc>
        <w:tc>
          <w:tcPr>
            <w:tcW w:w="217" w:type="dxa"/>
          </w:tcPr>
          <w:p w14:paraId="7798AB36" w14:textId="77777777" w:rsidR="002C0FD9" w:rsidRPr="00CA25CF" w:rsidRDefault="002C0FD9" w:rsidP="00CA25CF">
            <w:pPr>
              <w:rPr>
                <w:rFonts w:cs="Arial"/>
                <w:color w:val="FF0000"/>
                <w:sz w:val="21"/>
                <w:szCs w:val="21"/>
              </w:rPr>
            </w:pPr>
          </w:p>
        </w:tc>
        <w:tc>
          <w:tcPr>
            <w:tcW w:w="217" w:type="dxa"/>
          </w:tcPr>
          <w:p w14:paraId="36ED2EBA" w14:textId="77777777" w:rsidR="002C0FD9" w:rsidRPr="00CA25CF" w:rsidRDefault="002C0FD9" w:rsidP="00CA25CF">
            <w:pPr>
              <w:rPr>
                <w:rFonts w:cs="Arial"/>
                <w:color w:val="FF0000"/>
                <w:sz w:val="21"/>
                <w:szCs w:val="21"/>
              </w:rPr>
            </w:pPr>
          </w:p>
        </w:tc>
        <w:tc>
          <w:tcPr>
            <w:tcW w:w="217" w:type="dxa"/>
          </w:tcPr>
          <w:p w14:paraId="44267601" w14:textId="77777777" w:rsidR="002C0FD9" w:rsidRPr="00CA25CF" w:rsidRDefault="002C0FD9" w:rsidP="00CA25CF">
            <w:pPr>
              <w:rPr>
                <w:rFonts w:cs="Arial"/>
                <w:color w:val="FF0000"/>
                <w:sz w:val="21"/>
                <w:szCs w:val="21"/>
              </w:rPr>
            </w:pPr>
          </w:p>
        </w:tc>
        <w:tc>
          <w:tcPr>
            <w:tcW w:w="217" w:type="dxa"/>
          </w:tcPr>
          <w:p w14:paraId="1289D570" w14:textId="77777777" w:rsidR="002C0FD9" w:rsidRPr="00CA25CF" w:rsidRDefault="002C0FD9" w:rsidP="00CA25CF">
            <w:pPr>
              <w:rPr>
                <w:rFonts w:cs="Arial"/>
                <w:color w:val="FF0000"/>
                <w:sz w:val="21"/>
                <w:szCs w:val="21"/>
              </w:rPr>
            </w:pPr>
          </w:p>
        </w:tc>
        <w:tc>
          <w:tcPr>
            <w:tcW w:w="217" w:type="dxa"/>
          </w:tcPr>
          <w:p w14:paraId="4CCDF1B1" w14:textId="77777777" w:rsidR="002C0FD9" w:rsidRPr="00CA25CF" w:rsidRDefault="002C0FD9" w:rsidP="00CA25CF">
            <w:pPr>
              <w:rPr>
                <w:rFonts w:cs="Arial"/>
                <w:color w:val="FF0000"/>
                <w:sz w:val="21"/>
                <w:szCs w:val="21"/>
              </w:rPr>
            </w:pPr>
          </w:p>
        </w:tc>
        <w:tc>
          <w:tcPr>
            <w:tcW w:w="217" w:type="dxa"/>
          </w:tcPr>
          <w:p w14:paraId="13BE027F" w14:textId="77777777" w:rsidR="002C0FD9" w:rsidRPr="00CA25CF" w:rsidRDefault="002C0FD9" w:rsidP="00CA25CF">
            <w:pPr>
              <w:rPr>
                <w:rFonts w:cs="Arial"/>
                <w:color w:val="FF0000"/>
                <w:sz w:val="21"/>
                <w:szCs w:val="21"/>
              </w:rPr>
            </w:pPr>
          </w:p>
        </w:tc>
        <w:tc>
          <w:tcPr>
            <w:tcW w:w="217" w:type="dxa"/>
          </w:tcPr>
          <w:p w14:paraId="7B728AE4" w14:textId="77777777" w:rsidR="002C0FD9" w:rsidRPr="00CA25CF" w:rsidRDefault="002C0FD9" w:rsidP="00CA25CF">
            <w:pPr>
              <w:rPr>
                <w:rFonts w:cs="Arial"/>
                <w:color w:val="FF0000"/>
                <w:sz w:val="21"/>
                <w:szCs w:val="21"/>
              </w:rPr>
            </w:pPr>
          </w:p>
        </w:tc>
        <w:tc>
          <w:tcPr>
            <w:tcW w:w="217" w:type="dxa"/>
          </w:tcPr>
          <w:p w14:paraId="744734FA" w14:textId="77777777" w:rsidR="002C0FD9" w:rsidRPr="00CA25CF" w:rsidRDefault="002C0FD9" w:rsidP="00CA25CF">
            <w:pPr>
              <w:rPr>
                <w:rFonts w:cs="Arial"/>
                <w:color w:val="FF0000"/>
                <w:sz w:val="21"/>
                <w:szCs w:val="21"/>
              </w:rPr>
            </w:pPr>
          </w:p>
        </w:tc>
        <w:tc>
          <w:tcPr>
            <w:tcW w:w="217" w:type="dxa"/>
          </w:tcPr>
          <w:p w14:paraId="6AC84717" w14:textId="77777777" w:rsidR="002C0FD9" w:rsidRPr="00CA25CF" w:rsidRDefault="002C0FD9" w:rsidP="00CA25CF">
            <w:pPr>
              <w:rPr>
                <w:rFonts w:cs="Arial"/>
                <w:color w:val="FF0000"/>
                <w:sz w:val="21"/>
                <w:szCs w:val="21"/>
              </w:rPr>
            </w:pPr>
          </w:p>
        </w:tc>
        <w:tc>
          <w:tcPr>
            <w:tcW w:w="217" w:type="dxa"/>
          </w:tcPr>
          <w:p w14:paraId="205C2954" w14:textId="77777777" w:rsidR="002C0FD9" w:rsidRPr="00CA25CF" w:rsidRDefault="002C0FD9" w:rsidP="00CA25CF">
            <w:pPr>
              <w:rPr>
                <w:rFonts w:cs="Arial"/>
                <w:color w:val="FF0000"/>
                <w:sz w:val="21"/>
                <w:szCs w:val="21"/>
              </w:rPr>
            </w:pPr>
          </w:p>
        </w:tc>
      </w:tr>
      <w:tr w:rsidR="002C0FD9" w:rsidRPr="00A16219" w14:paraId="3203605F" w14:textId="77777777" w:rsidTr="002C0FD9">
        <w:trPr>
          <w:trHeight w:val="635"/>
        </w:trPr>
        <w:tc>
          <w:tcPr>
            <w:tcW w:w="515" w:type="dxa"/>
          </w:tcPr>
          <w:p w14:paraId="4223A68B" w14:textId="77777777" w:rsidR="002C0FD9" w:rsidRPr="00CA25CF" w:rsidRDefault="002C0FD9" w:rsidP="00CA25CF">
            <w:pPr>
              <w:rPr>
                <w:rFonts w:cs="Arial"/>
                <w:color w:val="FF0000"/>
                <w:sz w:val="21"/>
                <w:szCs w:val="21"/>
              </w:rPr>
            </w:pPr>
          </w:p>
        </w:tc>
        <w:tc>
          <w:tcPr>
            <w:tcW w:w="217" w:type="dxa"/>
          </w:tcPr>
          <w:p w14:paraId="6CB8FA89" w14:textId="77777777" w:rsidR="002C0FD9" w:rsidRPr="00CA25CF" w:rsidRDefault="002C0FD9" w:rsidP="00CA25CF">
            <w:pPr>
              <w:rPr>
                <w:rFonts w:cs="Arial"/>
                <w:color w:val="FF0000"/>
                <w:sz w:val="21"/>
                <w:szCs w:val="21"/>
              </w:rPr>
            </w:pPr>
          </w:p>
        </w:tc>
        <w:tc>
          <w:tcPr>
            <w:tcW w:w="217" w:type="dxa"/>
          </w:tcPr>
          <w:p w14:paraId="0F704405" w14:textId="77777777" w:rsidR="002C0FD9" w:rsidRPr="00CA25CF" w:rsidRDefault="002C0FD9" w:rsidP="00CA25CF">
            <w:pPr>
              <w:rPr>
                <w:rFonts w:cs="Arial"/>
                <w:color w:val="FF0000"/>
                <w:sz w:val="21"/>
                <w:szCs w:val="21"/>
              </w:rPr>
            </w:pPr>
          </w:p>
        </w:tc>
        <w:tc>
          <w:tcPr>
            <w:tcW w:w="217" w:type="dxa"/>
          </w:tcPr>
          <w:p w14:paraId="60EE3D05" w14:textId="77777777" w:rsidR="002C0FD9" w:rsidRPr="00CA25CF" w:rsidRDefault="002C0FD9" w:rsidP="00CA25CF">
            <w:pPr>
              <w:rPr>
                <w:rFonts w:cs="Arial"/>
                <w:color w:val="FF0000"/>
                <w:sz w:val="21"/>
                <w:szCs w:val="21"/>
              </w:rPr>
            </w:pPr>
          </w:p>
        </w:tc>
        <w:tc>
          <w:tcPr>
            <w:tcW w:w="217" w:type="dxa"/>
          </w:tcPr>
          <w:p w14:paraId="2EA7D46A" w14:textId="77777777" w:rsidR="002C0FD9" w:rsidRPr="00CA25CF" w:rsidRDefault="002C0FD9" w:rsidP="00CA25CF">
            <w:pPr>
              <w:rPr>
                <w:rFonts w:cs="Arial"/>
                <w:color w:val="FF0000"/>
                <w:sz w:val="21"/>
                <w:szCs w:val="21"/>
              </w:rPr>
            </w:pPr>
          </w:p>
        </w:tc>
        <w:tc>
          <w:tcPr>
            <w:tcW w:w="217" w:type="dxa"/>
          </w:tcPr>
          <w:p w14:paraId="778CBA0D" w14:textId="77777777" w:rsidR="002C0FD9" w:rsidRPr="00CA25CF" w:rsidRDefault="002C0FD9" w:rsidP="00CA25CF">
            <w:pPr>
              <w:rPr>
                <w:rFonts w:cs="Arial"/>
                <w:color w:val="FF0000"/>
                <w:sz w:val="21"/>
                <w:szCs w:val="21"/>
              </w:rPr>
            </w:pPr>
          </w:p>
        </w:tc>
        <w:tc>
          <w:tcPr>
            <w:tcW w:w="217" w:type="dxa"/>
          </w:tcPr>
          <w:p w14:paraId="6CCA72DD" w14:textId="77777777" w:rsidR="002C0FD9" w:rsidRPr="00CA25CF" w:rsidRDefault="002C0FD9" w:rsidP="00CA25CF">
            <w:pPr>
              <w:rPr>
                <w:rFonts w:cs="Arial"/>
                <w:color w:val="FF0000"/>
                <w:sz w:val="21"/>
                <w:szCs w:val="21"/>
              </w:rPr>
            </w:pPr>
          </w:p>
        </w:tc>
        <w:tc>
          <w:tcPr>
            <w:tcW w:w="217" w:type="dxa"/>
          </w:tcPr>
          <w:p w14:paraId="2DA588F0" w14:textId="77777777" w:rsidR="002C0FD9" w:rsidRPr="00CA25CF" w:rsidRDefault="002C0FD9" w:rsidP="00CA25CF">
            <w:pPr>
              <w:rPr>
                <w:rFonts w:cs="Arial"/>
                <w:color w:val="FF0000"/>
                <w:sz w:val="21"/>
                <w:szCs w:val="21"/>
              </w:rPr>
            </w:pPr>
          </w:p>
        </w:tc>
        <w:tc>
          <w:tcPr>
            <w:tcW w:w="217" w:type="dxa"/>
          </w:tcPr>
          <w:p w14:paraId="42833462" w14:textId="77777777" w:rsidR="002C0FD9" w:rsidRPr="00CA25CF" w:rsidRDefault="002C0FD9" w:rsidP="00CA25CF">
            <w:pPr>
              <w:rPr>
                <w:rFonts w:cs="Arial"/>
                <w:color w:val="FF0000"/>
                <w:sz w:val="21"/>
                <w:szCs w:val="21"/>
              </w:rPr>
            </w:pPr>
          </w:p>
        </w:tc>
        <w:tc>
          <w:tcPr>
            <w:tcW w:w="217" w:type="dxa"/>
          </w:tcPr>
          <w:p w14:paraId="3E7D5B3C" w14:textId="77777777" w:rsidR="002C0FD9" w:rsidRPr="00CA25CF" w:rsidRDefault="002C0FD9" w:rsidP="00CA25CF">
            <w:pPr>
              <w:rPr>
                <w:rFonts w:cs="Arial"/>
                <w:color w:val="FF0000"/>
                <w:sz w:val="21"/>
                <w:szCs w:val="21"/>
              </w:rPr>
            </w:pPr>
          </w:p>
        </w:tc>
        <w:tc>
          <w:tcPr>
            <w:tcW w:w="217" w:type="dxa"/>
          </w:tcPr>
          <w:p w14:paraId="6A21D926" w14:textId="77777777" w:rsidR="002C0FD9" w:rsidRPr="00CA25CF" w:rsidRDefault="002C0FD9" w:rsidP="00CA25CF">
            <w:pPr>
              <w:rPr>
                <w:rFonts w:cs="Arial"/>
                <w:color w:val="FF0000"/>
                <w:sz w:val="21"/>
                <w:szCs w:val="21"/>
              </w:rPr>
            </w:pPr>
          </w:p>
        </w:tc>
        <w:tc>
          <w:tcPr>
            <w:tcW w:w="217" w:type="dxa"/>
          </w:tcPr>
          <w:p w14:paraId="2F94642B" w14:textId="77777777" w:rsidR="002C0FD9" w:rsidRPr="00CA25CF" w:rsidRDefault="002C0FD9" w:rsidP="00CA25CF">
            <w:pPr>
              <w:rPr>
                <w:rFonts w:cs="Arial"/>
                <w:color w:val="FF0000"/>
                <w:sz w:val="21"/>
                <w:szCs w:val="21"/>
              </w:rPr>
            </w:pPr>
          </w:p>
        </w:tc>
        <w:tc>
          <w:tcPr>
            <w:tcW w:w="217" w:type="dxa"/>
          </w:tcPr>
          <w:p w14:paraId="6AD38588" w14:textId="77777777" w:rsidR="002C0FD9" w:rsidRPr="00CA25CF" w:rsidRDefault="002C0FD9" w:rsidP="00CA25CF">
            <w:pPr>
              <w:rPr>
                <w:rFonts w:cs="Arial"/>
                <w:color w:val="FF0000"/>
                <w:sz w:val="21"/>
                <w:szCs w:val="21"/>
              </w:rPr>
            </w:pPr>
          </w:p>
        </w:tc>
        <w:tc>
          <w:tcPr>
            <w:tcW w:w="217" w:type="dxa"/>
          </w:tcPr>
          <w:p w14:paraId="4FB6B049" w14:textId="77777777" w:rsidR="002C0FD9" w:rsidRPr="00CA25CF" w:rsidRDefault="002C0FD9" w:rsidP="00CA25CF">
            <w:pPr>
              <w:rPr>
                <w:rFonts w:cs="Arial"/>
                <w:color w:val="FF0000"/>
                <w:sz w:val="21"/>
                <w:szCs w:val="21"/>
              </w:rPr>
            </w:pPr>
          </w:p>
        </w:tc>
        <w:tc>
          <w:tcPr>
            <w:tcW w:w="217" w:type="dxa"/>
          </w:tcPr>
          <w:p w14:paraId="2E95C05B" w14:textId="77777777" w:rsidR="002C0FD9" w:rsidRPr="00CA25CF" w:rsidRDefault="002C0FD9" w:rsidP="00CA25CF">
            <w:pPr>
              <w:rPr>
                <w:rFonts w:cs="Arial"/>
                <w:color w:val="FF0000"/>
                <w:sz w:val="21"/>
                <w:szCs w:val="21"/>
              </w:rPr>
            </w:pPr>
          </w:p>
        </w:tc>
        <w:tc>
          <w:tcPr>
            <w:tcW w:w="217" w:type="dxa"/>
          </w:tcPr>
          <w:p w14:paraId="420122BF" w14:textId="77777777" w:rsidR="002C0FD9" w:rsidRPr="00CA25CF" w:rsidRDefault="002C0FD9" w:rsidP="00CA25CF">
            <w:pPr>
              <w:rPr>
                <w:rFonts w:cs="Arial"/>
                <w:color w:val="FF0000"/>
                <w:sz w:val="21"/>
                <w:szCs w:val="21"/>
              </w:rPr>
            </w:pPr>
          </w:p>
        </w:tc>
        <w:tc>
          <w:tcPr>
            <w:tcW w:w="217" w:type="dxa"/>
          </w:tcPr>
          <w:p w14:paraId="409EE25D" w14:textId="77777777" w:rsidR="002C0FD9" w:rsidRPr="00CA25CF" w:rsidRDefault="002C0FD9" w:rsidP="00CA25CF">
            <w:pPr>
              <w:rPr>
                <w:rFonts w:cs="Arial"/>
                <w:color w:val="FF0000"/>
                <w:sz w:val="21"/>
                <w:szCs w:val="21"/>
              </w:rPr>
            </w:pPr>
          </w:p>
        </w:tc>
        <w:tc>
          <w:tcPr>
            <w:tcW w:w="217" w:type="dxa"/>
          </w:tcPr>
          <w:p w14:paraId="2A5ECF9F" w14:textId="77777777" w:rsidR="002C0FD9" w:rsidRPr="00CA25CF" w:rsidRDefault="002C0FD9" w:rsidP="00CA25CF">
            <w:pPr>
              <w:rPr>
                <w:rFonts w:cs="Arial"/>
                <w:color w:val="FF0000"/>
                <w:sz w:val="21"/>
                <w:szCs w:val="21"/>
              </w:rPr>
            </w:pPr>
          </w:p>
        </w:tc>
        <w:tc>
          <w:tcPr>
            <w:tcW w:w="217" w:type="dxa"/>
          </w:tcPr>
          <w:p w14:paraId="124FC554" w14:textId="77777777" w:rsidR="002C0FD9" w:rsidRPr="00CA25CF" w:rsidRDefault="002C0FD9" w:rsidP="00CA25CF">
            <w:pPr>
              <w:rPr>
                <w:rFonts w:cs="Arial"/>
                <w:color w:val="FF0000"/>
                <w:sz w:val="21"/>
                <w:szCs w:val="21"/>
              </w:rPr>
            </w:pPr>
          </w:p>
        </w:tc>
        <w:tc>
          <w:tcPr>
            <w:tcW w:w="217" w:type="dxa"/>
          </w:tcPr>
          <w:p w14:paraId="1951F4B2" w14:textId="77777777" w:rsidR="002C0FD9" w:rsidRPr="00CA25CF" w:rsidRDefault="002C0FD9" w:rsidP="00CA25CF">
            <w:pPr>
              <w:rPr>
                <w:rFonts w:cs="Arial"/>
                <w:color w:val="FF0000"/>
                <w:sz w:val="21"/>
                <w:szCs w:val="21"/>
              </w:rPr>
            </w:pPr>
          </w:p>
        </w:tc>
        <w:tc>
          <w:tcPr>
            <w:tcW w:w="217" w:type="dxa"/>
          </w:tcPr>
          <w:p w14:paraId="78250795" w14:textId="77777777" w:rsidR="002C0FD9" w:rsidRPr="00CA25CF" w:rsidRDefault="002C0FD9" w:rsidP="00CA25CF">
            <w:pPr>
              <w:rPr>
                <w:rFonts w:cs="Arial"/>
                <w:color w:val="FF0000"/>
                <w:sz w:val="21"/>
                <w:szCs w:val="21"/>
              </w:rPr>
            </w:pPr>
          </w:p>
        </w:tc>
        <w:tc>
          <w:tcPr>
            <w:tcW w:w="217" w:type="dxa"/>
          </w:tcPr>
          <w:p w14:paraId="3FA0E4CD" w14:textId="77777777" w:rsidR="002C0FD9" w:rsidRPr="00CA25CF" w:rsidRDefault="002C0FD9" w:rsidP="00CA25CF">
            <w:pPr>
              <w:rPr>
                <w:rFonts w:cs="Arial"/>
                <w:color w:val="FF0000"/>
                <w:sz w:val="21"/>
                <w:szCs w:val="21"/>
              </w:rPr>
            </w:pPr>
          </w:p>
        </w:tc>
        <w:tc>
          <w:tcPr>
            <w:tcW w:w="217" w:type="dxa"/>
          </w:tcPr>
          <w:p w14:paraId="1A76681D" w14:textId="77777777" w:rsidR="002C0FD9" w:rsidRPr="00CA25CF" w:rsidRDefault="002C0FD9" w:rsidP="00CA25CF">
            <w:pPr>
              <w:rPr>
                <w:rFonts w:cs="Arial"/>
                <w:color w:val="FF0000"/>
                <w:sz w:val="21"/>
                <w:szCs w:val="21"/>
              </w:rPr>
            </w:pPr>
          </w:p>
        </w:tc>
        <w:tc>
          <w:tcPr>
            <w:tcW w:w="217" w:type="dxa"/>
          </w:tcPr>
          <w:p w14:paraId="4B84D9A1" w14:textId="77777777" w:rsidR="002C0FD9" w:rsidRPr="00CA25CF" w:rsidRDefault="002C0FD9" w:rsidP="00CA25CF">
            <w:pPr>
              <w:rPr>
                <w:rFonts w:cs="Arial"/>
                <w:color w:val="FF0000"/>
                <w:sz w:val="21"/>
                <w:szCs w:val="21"/>
              </w:rPr>
            </w:pPr>
          </w:p>
        </w:tc>
        <w:tc>
          <w:tcPr>
            <w:tcW w:w="217" w:type="dxa"/>
          </w:tcPr>
          <w:p w14:paraId="429DDF10" w14:textId="77777777" w:rsidR="002C0FD9" w:rsidRPr="00CA25CF" w:rsidRDefault="002C0FD9" w:rsidP="00CA25CF">
            <w:pPr>
              <w:rPr>
                <w:rFonts w:cs="Arial"/>
                <w:color w:val="FF0000"/>
                <w:sz w:val="21"/>
                <w:szCs w:val="21"/>
              </w:rPr>
            </w:pPr>
          </w:p>
        </w:tc>
        <w:tc>
          <w:tcPr>
            <w:tcW w:w="217" w:type="dxa"/>
          </w:tcPr>
          <w:p w14:paraId="3D834008" w14:textId="77777777" w:rsidR="002C0FD9" w:rsidRPr="00CA25CF" w:rsidRDefault="002C0FD9" w:rsidP="00CA25CF">
            <w:pPr>
              <w:rPr>
                <w:rFonts w:cs="Arial"/>
                <w:color w:val="FF0000"/>
                <w:sz w:val="21"/>
                <w:szCs w:val="21"/>
              </w:rPr>
            </w:pPr>
          </w:p>
        </w:tc>
        <w:tc>
          <w:tcPr>
            <w:tcW w:w="217" w:type="dxa"/>
          </w:tcPr>
          <w:p w14:paraId="6F3C36DD" w14:textId="77777777" w:rsidR="002C0FD9" w:rsidRPr="00CA25CF" w:rsidRDefault="002C0FD9" w:rsidP="00CA25CF">
            <w:pPr>
              <w:rPr>
                <w:rFonts w:cs="Arial"/>
                <w:color w:val="FF0000"/>
                <w:sz w:val="21"/>
                <w:szCs w:val="21"/>
              </w:rPr>
            </w:pPr>
          </w:p>
        </w:tc>
        <w:tc>
          <w:tcPr>
            <w:tcW w:w="217" w:type="dxa"/>
          </w:tcPr>
          <w:p w14:paraId="7411B2D2" w14:textId="77777777" w:rsidR="002C0FD9" w:rsidRPr="00CA25CF" w:rsidRDefault="002C0FD9" w:rsidP="00CA25CF">
            <w:pPr>
              <w:rPr>
                <w:rFonts w:cs="Arial"/>
                <w:color w:val="FF0000"/>
                <w:sz w:val="21"/>
                <w:szCs w:val="21"/>
              </w:rPr>
            </w:pPr>
          </w:p>
        </w:tc>
        <w:tc>
          <w:tcPr>
            <w:tcW w:w="217" w:type="dxa"/>
          </w:tcPr>
          <w:p w14:paraId="660609C3" w14:textId="77777777" w:rsidR="002C0FD9" w:rsidRPr="00CA25CF" w:rsidRDefault="002C0FD9" w:rsidP="00CA25CF">
            <w:pPr>
              <w:rPr>
                <w:rFonts w:cs="Arial"/>
                <w:color w:val="FF0000"/>
                <w:sz w:val="21"/>
                <w:szCs w:val="21"/>
              </w:rPr>
            </w:pPr>
          </w:p>
        </w:tc>
        <w:tc>
          <w:tcPr>
            <w:tcW w:w="217" w:type="dxa"/>
          </w:tcPr>
          <w:p w14:paraId="10B17833" w14:textId="77777777" w:rsidR="002C0FD9" w:rsidRPr="00CA25CF" w:rsidRDefault="002C0FD9" w:rsidP="00CA25CF">
            <w:pPr>
              <w:rPr>
                <w:rFonts w:cs="Arial"/>
                <w:color w:val="FF0000"/>
                <w:sz w:val="21"/>
                <w:szCs w:val="21"/>
              </w:rPr>
            </w:pPr>
          </w:p>
        </w:tc>
        <w:tc>
          <w:tcPr>
            <w:tcW w:w="217" w:type="dxa"/>
          </w:tcPr>
          <w:p w14:paraId="035D07C2" w14:textId="77777777" w:rsidR="002C0FD9" w:rsidRPr="00CA25CF" w:rsidRDefault="002C0FD9" w:rsidP="00CA25CF">
            <w:pPr>
              <w:rPr>
                <w:rFonts w:cs="Arial"/>
                <w:color w:val="FF0000"/>
                <w:sz w:val="21"/>
                <w:szCs w:val="21"/>
              </w:rPr>
            </w:pPr>
          </w:p>
        </w:tc>
        <w:tc>
          <w:tcPr>
            <w:tcW w:w="217" w:type="dxa"/>
          </w:tcPr>
          <w:p w14:paraId="22FF5F0A" w14:textId="77777777" w:rsidR="002C0FD9" w:rsidRPr="00CA25CF" w:rsidRDefault="002C0FD9" w:rsidP="00CA25CF">
            <w:pPr>
              <w:rPr>
                <w:rFonts w:cs="Arial"/>
                <w:color w:val="FF0000"/>
                <w:sz w:val="21"/>
                <w:szCs w:val="21"/>
              </w:rPr>
            </w:pPr>
          </w:p>
        </w:tc>
        <w:tc>
          <w:tcPr>
            <w:tcW w:w="217" w:type="dxa"/>
          </w:tcPr>
          <w:p w14:paraId="39EDDA00" w14:textId="77777777" w:rsidR="002C0FD9" w:rsidRPr="00CA25CF" w:rsidRDefault="002C0FD9" w:rsidP="00CA25CF">
            <w:pPr>
              <w:rPr>
                <w:rFonts w:cs="Arial"/>
                <w:color w:val="FF0000"/>
                <w:sz w:val="21"/>
                <w:szCs w:val="21"/>
              </w:rPr>
            </w:pPr>
          </w:p>
        </w:tc>
        <w:tc>
          <w:tcPr>
            <w:tcW w:w="217" w:type="dxa"/>
          </w:tcPr>
          <w:p w14:paraId="74D103E5" w14:textId="77777777" w:rsidR="002C0FD9" w:rsidRPr="00CA25CF" w:rsidRDefault="002C0FD9" w:rsidP="00CA25CF">
            <w:pPr>
              <w:rPr>
                <w:rFonts w:cs="Arial"/>
                <w:color w:val="FF0000"/>
                <w:sz w:val="21"/>
                <w:szCs w:val="21"/>
              </w:rPr>
            </w:pPr>
          </w:p>
        </w:tc>
        <w:tc>
          <w:tcPr>
            <w:tcW w:w="217" w:type="dxa"/>
          </w:tcPr>
          <w:p w14:paraId="118F567D" w14:textId="77777777" w:rsidR="002C0FD9" w:rsidRPr="00CA25CF" w:rsidRDefault="002C0FD9" w:rsidP="00CA25CF">
            <w:pPr>
              <w:rPr>
                <w:rFonts w:cs="Arial"/>
                <w:color w:val="FF0000"/>
                <w:sz w:val="21"/>
                <w:szCs w:val="21"/>
              </w:rPr>
            </w:pPr>
          </w:p>
        </w:tc>
        <w:tc>
          <w:tcPr>
            <w:tcW w:w="217" w:type="dxa"/>
          </w:tcPr>
          <w:p w14:paraId="42F5BB46" w14:textId="77777777" w:rsidR="002C0FD9" w:rsidRPr="00CA25CF" w:rsidRDefault="002C0FD9" w:rsidP="00CA25CF">
            <w:pPr>
              <w:rPr>
                <w:rFonts w:cs="Arial"/>
                <w:color w:val="FF0000"/>
                <w:sz w:val="21"/>
                <w:szCs w:val="21"/>
              </w:rPr>
            </w:pPr>
          </w:p>
        </w:tc>
        <w:tc>
          <w:tcPr>
            <w:tcW w:w="217" w:type="dxa"/>
          </w:tcPr>
          <w:p w14:paraId="681E394E" w14:textId="77777777" w:rsidR="002C0FD9" w:rsidRPr="00CA25CF" w:rsidRDefault="002C0FD9" w:rsidP="00CA25CF">
            <w:pPr>
              <w:rPr>
                <w:rFonts w:cs="Arial"/>
                <w:color w:val="FF0000"/>
                <w:sz w:val="21"/>
                <w:szCs w:val="21"/>
              </w:rPr>
            </w:pPr>
          </w:p>
        </w:tc>
        <w:tc>
          <w:tcPr>
            <w:tcW w:w="217" w:type="dxa"/>
          </w:tcPr>
          <w:p w14:paraId="6A894D1C" w14:textId="77777777" w:rsidR="002C0FD9" w:rsidRPr="00CA25CF" w:rsidRDefault="002C0FD9" w:rsidP="00CA25CF">
            <w:pPr>
              <w:rPr>
                <w:rFonts w:cs="Arial"/>
                <w:color w:val="FF0000"/>
                <w:sz w:val="21"/>
                <w:szCs w:val="21"/>
              </w:rPr>
            </w:pPr>
          </w:p>
        </w:tc>
        <w:tc>
          <w:tcPr>
            <w:tcW w:w="217" w:type="dxa"/>
          </w:tcPr>
          <w:p w14:paraId="30601AF7" w14:textId="77777777" w:rsidR="002C0FD9" w:rsidRPr="00CA25CF" w:rsidRDefault="002C0FD9" w:rsidP="00CA25CF">
            <w:pPr>
              <w:rPr>
                <w:rFonts w:cs="Arial"/>
                <w:color w:val="FF0000"/>
                <w:sz w:val="21"/>
                <w:szCs w:val="21"/>
              </w:rPr>
            </w:pPr>
          </w:p>
        </w:tc>
        <w:tc>
          <w:tcPr>
            <w:tcW w:w="217" w:type="dxa"/>
          </w:tcPr>
          <w:p w14:paraId="71F74FDE" w14:textId="77777777" w:rsidR="002C0FD9" w:rsidRPr="00CA25CF" w:rsidRDefault="002C0FD9" w:rsidP="00CA25CF">
            <w:pPr>
              <w:rPr>
                <w:rFonts w:cs="Arial"/>
                <w:color w:val="FF0000"/>
                <w:sz w:val="21"/>
                <w:szCs w:val="21"/>
              </w:rPr>
            </w:pPr>
          </w:p>
        </w:tc>
        <w:tc>
          <w:tcPr>
            <w:tcW w:w="217" w:type="dxa"/>
          </w:tcPr>
          <w:p w14:paraId="37BFE532" w14:textId="77777777" w:rsidR="002C0FD9" w:rsidRPr="00CA25CF" w:rsidRDefault="002C0FD9" w:rsidP="00CA25CF">
            <w:pPr>
              <w:rPr>
                <w:rFonts w:cs="Arial"/>
                <w:color w:val="FF0000"/>
                <w:sz w:val="21"/>
                <w:szCs w:val="21"/>
              </w:rPr>
            </w:pPr>
          </w:p>
        </w:tc>
        <w:tc>
          <w:tcPr>
            <w:tcW w:w="217" w:type="dxa"/>
          </w:tcPr>
          <w:p w14:paraId="57C87811" w14:textId="77777777" w:rsidR="002C0FD9" w:rsidRPr="00CA25CF" w:rsidRDefault="002C0FD9" w:rsidP="00CA25CF">
            <w:pPr>
              <w:rPr>
                <w:rFonts w:cs="Arial"/>
                <w:color w:val="FF0000"/>
                <w:sz w:val="21"/>
                <w:szCs w:val="21"/>
              </w:rPr>
            </w:pPr>
          </w:p>
        </w:tc>
        <w:tc>
          <w:tcPr>
            <w:tcW w:w="217" w:type="dxa"/>
          </w:tcPr>
          <w:p w14:paraId="40B31A43" w14:textId="77777777" w:rsidR="002C0FD9" w:rsidRPr="00CA25CF" w:rsidRDefault="002C0FD9" w:rsidP="00CA25CF">
            <w:pPr>
              <w:rPr>
                <w:rFonts w:cs="Arial"/>
                <w:color w:val="FF0000"/>
                <w:sz w:val="21"/>
                <w:szCs w:val="21"/>
              </w:rPr>
            </w:pPr>
          </w:p>
        </w:tc>
      </w:tr>
      <w:tr w:rsidR="002C0FD9" w:rsidRPr="00A16219" w14:paraId="1CA46741" w14:textId="77777777" w:rsidTr="002C0FD9">
        <w:trPr>
          <w:trHeight w:val="635"/>
        </w:trPr>
        <w:tc>
          <w:tcPr>
            <w:tcW w:w="515" w:type="dxa"/>
          </w:tcPr>
          <w:p w14:paraId="4694E2CB" w14:textId="77777777" w:rsidR="002C0FD9" w:rsidRPr="00CA25CF" w:rsidRDefault="002C0FD9" w:rsidP="00CA25CF">
            <w:pPr>
              <w:rPr>
                <w:rFonts w:cs="Arial"/>
                <w:color w:val="FF0000"/>
                <w:sz w:val="21"/>
                <w:szCs w:val="21"/>
              </w:rPr>
            </w:pPr>
          </w:p>
        </w:tc>
        <w:tc>
          <w:tcPr>
            <w:tcW w:w="217" w:type="dxa"/>
          </w:tcPr>
          <w:p w14:paraId="58CD6E1F" w14:textId="77777777" w:rsidR="002C0FD9" w:rsidRPr="00CA25CF" w:rsidRDefault="002C0FD9" w:rsidP="00CA25CF">
            <w:pPr>
              <w:rPr>
                <w:rFonts w:cs="Arial"/>
                <w:color w:val="FF0000"/>
                <w:sz w:val="21"/>
                <w:szCs w:val="21"/>
              </w:rPr>
            </w:pPr>
          </w:p>
        </w:tc>
        <w:tc>
          <w:tcPr>
            <w:tcW w:w="217" w:type="dxa"/>
          </w:tcPr>
          <w:p w14:paraId="5C067613" w14:textId="77777777" w:rsidR="002C0FD9" w:rsidRPr="00CA25CF" w:rsidRDefault="002C0FD9" w:rsidP="00CA25CF">
            <w:pPr>
              <w:rPr>
                <w:rFonts w:cs="Arial"/>
                <w:color w:val="FF0000"/>
                <w:sz w:val="21"/>
                <w:szCs w:val="21"/>
              </w:rPr>
            </w:pPr>
          </w:p>
        </w:tc>
        <w:tc>
          <w:tcPr>
            <w:tcW w:w="217" w:type="dxa"/>
          </w:tcPr>
          <w:p w14:paraId="7EEC966F" w14:textId="77777777" w:rsidR="002C0FD9" w:rsidRPr="00CA25CF" w:rsidRDefault="002C0FD9" w:rsidP="00CA25CF">
            <w:pPr>
              <w:rPr>
                <w:rFonts w:cs="Arial"/>
                <w:color w:val="FF0000"/>
                <w:sz w:val="21"/>
                <w:szCs w:val="21"/>
              </w:rPr>
            </w:pPr>
          </w:p>
        </w:tc>
        <w:tc>
          <w:tcPr>
            <w:tcW w:w="217" w:type="dxa"/>
          </w:tcPr>
          <w:p w14:paraId="555410DE" w14:textId="77777777" w:rsidR="002C0FD9" w:rsidRPr="00CA25CF" w:rsidRDefault="002C0FD9" w:rsidP="00CA25CF">
            <w:pPr>
              <w:rPr>
                <w:rFonts w:cs="Arial"/>
                <w:color w:val="FF0000"/>
                <w:sz w:val="21"/>
                <w:szCs w:val="21"/>
              </w:rPr>
            </w:pPr>
          </w:p>
        </w:tc>
        <w:tc>
          <w:tcPr>
            <w:tcW w:w="217" w:type="dxa"/>
          </w:tcPr>
          <w:p w14:paraId="1517E7BF" w14:textId="77777777" w:rsidR="002C0FD9" w:rsidRPr="00CA25CF" w:rsidRDefault="002C0FD9" w:rsidP="00CA25CF">
            <w:pPr>
              <w:rPr>
                <w:rFonts w:cs="Arial"/>
                <w:color w:val="FF0000"/>
                <w:sz w:val="21"/>
                <w:szCs w:val="21"/>
              </w:rPr>
            </w:pPr>
          </w:p>
        </w:tc>
        <w:tc>
          <w:tcPr>
            <w:tcW w:w="217" w:type="dxa"/>
          </w:tcPr>
          <w:p w14:paraId="51224EB8" w14:textId="77777777" w:rsidR="002C0FD9" w:rsidRPr="00CA25CF" w:rsidRDefault="002C0FD9" w:rsidP="00CA25CF">
            <w:pPr>
              <w:rPr>
                <w:rFonts w:cs="Arial"/>
                <w:color w:val="FF0000"/>
                <w:sz w:val="21"/>
                <w:szCs w:val="21"/>
              </w:rPr>
            </w:pPr>
          </w:p>
        </w:tc>
        <w:tc>
          <w:tcPr>
            <w:tcW w:w="217" w:type="dxa"/>
          </w:tcPr>
          <w:p w14:paraId="2C32DBDC" w14:textId="77777777" w:rsidR="002C0FD9" w:rsidRPr="00CA25CF" w:rsidRDefault="002C0FD9" w:rsidP="00CA25CF">
            <w:pPr>
              <w:rPr>
                <w:rFonts w:cs="Arial"/>
                <w:color w:val="FF0000"/>
                <w:sz w:val="21"/>
                <w:szCs w:val="21"/>
              </w:rPr>
            </w:pPr>
          </w:p>
        </w:tc>
        <w:tc>
          <w:tcPr>
            <w:tcW w:w="217" w:type="dxa"/>
          </w:tcPr>
          <w:p w14:paraId="362959CB" w14:textId="77777777" w:rsidR="002C0FD9" w:rsidRPr="00CA25CF" w:rsidRDefault="002C0FD9" w:rsidP="00CA25CF">
            <w:pPr>
              <w:rPr>
                <w:rFonts w:cs="Arial"/>
                <w:color w:val="FF0000"/>
                <w:sz w:val="21"/>
                <w:szCs w:val="21"/>
              </w:rPr>
            </w:pPr>
          </w:p>
        </w:tc>
        <w:tc>
          <w:tcPr>
            <w:tcW w:w="217" w:type="dxa"/>
          </w:tcPr>
          <w:p w14:paraId="6B669689" w14:textId="77777777" w:rsidR="002C0FD9" w:rsidRPr="00CA25CF" w:rsidRDefault="002C0FD9" w:rsidP="00CA25CF">
            <w:pPr>
              <w:rPr>
                <w:rFonts w:cs="Arial"/>
                <w:color w:val="FF0000"/>
                <w:sz w:val="21"/>
                <w:szCs w:val="21"/>
              </w:rPr>
            </w:pPr>
          </w:p>
        </w:tc>
        <w:tc>
          <w:tcPr>
            <w:tcW w:w="217" w:type="dxa"/>
          </w:tcPr>
          <w:p w14:paraId="59AA0525" w14:textId="77777777" w:rsidR="002C0FD9" w:rsidRPr="00CA25CF" w:rsidRDefault="002C0FD9" w:rsidP="00CA25CF">
            <w:pPr>
              <w:rPr>
                <w:rFonts w:cs="Arial"/>
                <w:color w:val="FF0000"/>
                <w:sz w:val="21"/>
                <w:szCs w:val="21"/>
              </w:rPr>
            </w:pPr>
          </w:p>
        </w:tc>
        <w:tc>
          <w:tcPr>
            <w:tcW w:w="217" w:type="dxa"/>
          </w:tcPr>
          <w:p w14:paraId="6A94548D" w14:textId="77777777" w:rsidR="002C0FD9" w:rsidRPr="00CA25CF" w:rsidRDefault="002C0FD9" w:rsidP="00CA25CF">
            <w:pPr>
              <w:rPr>
                <w:rFonts w:cs="Arial"/>
                <w:color w:val="FF0000"/>
                <w:sz w:val="21"/>
                <w:szCs w:val="21"/>
              </w:rPr>
            </w:pPr>
          </w:p>
        </w:tc>
        <w:tc>
          <w:tcPr>
            <w:tcW w:w="217" w:type="dxa"/>
          </w:tcPr>
          <w:p w14:paraId="577C8594" w14:textId="77777777" w:rsidR="002C0FD9" w:rsidRPr="00CA25CF" w:rsidRDefault="002C0FD9" w:rsidP="00CA25CF">
            <w:pPr>
              <w:rPr>
                <w:rFonts w:cs="Arial"/>
                <w:color w:val="FF0000"/>
                <w:sz w:val="21"/>
                <w:szCs w:val="21"/>
              </w:rPr>
            </w:pPr>
          </w:p>
        </w:tc>
        <w:tc>
          <w:tcPr>
            <w:tcW w:w="217" w:type="dxa"/>
          </w:tcPr>
          <w:p w14:paraId="5F1D6F3B" w14:textId="77777777" w:rsidR="002C0FD9" w:rsidRPr="00CA25CF" w:rsidRDefault="002C0FD9" w:rsidP="00CA25CF">
            <w:pPr>
              <w:rPr>
                <w:rFonts w:cs="Arial"/>
                <w:color w:val="FF0000"/>
                <w:sz w:val="21"/>
                <w:szCs w:val="21"/>
              </w:rPr>
            </w:pPr>
          </w:p>
        </w:tc>
        <w:tc>
          <w:tcPr>
            <w:tcW w:w="217" w:type="dxa"/>
          </w:tcPr>
          <w:p w14:paraId="07411CEE" w14:textId="77777777" w:rsidR="002C0FD9" w:rsidRPr="00CA25CF" w:rsidRDefault="002C0FD9" w:rsidP="00CA25CF">
            <w:pPr>
              <w:rPr>
                <w:rFonts w:cs="Arial"/>
                <w:color w:val="FF0000"/>
                <w:sz w:val="21"/>
                <w:szCs w:val="21"/>
              </w:rPr>
            </w:pPr>
          </w:p>
        </w:tc>
        <w:tc>
          <w:tcPr>
            <w:tcW w:w="217" w:type="dxa"/>
          </w:tcPr>
          <w:p w14:paraId="67FF788D" w14:textId="77777777" w:rsidR="002C0FD9" w:rsidRPr="00CA25CF" w:rsidRDefault="002C0FD9" w:rsidP="00CA25CF">
            <w:pPr>
              <w:rPr>
                <w:rFonts w:cs="Arial"/>
                <w:color w:val="FF0000"/>
                <w:sz w:val="21"/>
                <w:szCs w:val="21"/>
              </w:rPr>
            </w:pPr>
          </w:p>
        </w:tc>
        <w:tc>
          <w:tcPr>
            <w:tcW w:w="217" w:type="dxa"/>
          </w:tcPr>
          <w:p w14:paraId="4EC0ABDD" w14:textId="77777777" w:rsidR="002C0FD9" w:rsidRPr="00CA25CF" w:rsidRDefault="002C0FD9" w:rsidP="00CA25CF">
            <w:pPr>
              <w:rPr>
                <w:rFonts w:cs="Arial"/>
                <w:color w:val="FF0000"/>
                <w:sz w:val="21"/>
                <w:szCs w:val="21"/>
              </w:rPr>
            </w:pPr>
          </w:p>
        </w:tc>
        <w:tc>
          <w:tcPr>
            <w:tcW w:w="217" w:type="dxa"/>
          </w:tcPr>
          <w:p w14:paraId="508E13AD" w14:textId="77777777" w:rsidR="002C0FD9" w:rsidRPr="00CA25CF" w:rsidRDefault="002C0FD9" w:rsidP="00CA25CF">
            <w:pPr>
              <w:rPr>
                <w:rFonts w:cs="Arial"/>
                <w:color w:val="FF0000"/>
                <w:sz w:val="21"/>
                <w:szCs w:val="21"/>
              </w:rPr>
            </w:pPr>
          </w:p>
        </w:tc>
        <w:tc>
          <w:tcPr>
            <w:tcW w:w="217" w:type="dxa"/>
          </w:tcPr>
          <w:p w14:paraId="7595BE3E" w14:textId="77777777" w:rsidR="002C0FD9" w:rsidRPr="00CA25CF" w:rsidRDefault="002C0FD9" w:rsidP="00CA25CF">
            <w:pPr>
              <w:rPr>
                <w:rFonts w:cs="Arial"/>
                <w:color w:val="FF0000"/>
                <w:sz w:val="21"/>
                <w:szCs w:val="21"/>
              </w:rPr>
            </w:pPr>
          </w:p>
        </w:tc>
        <w:tc>
          <w:tcPr>
            <w:tcW w:w="217" w:type="dxa"/>
          </w:tcPr>
          <w:p w14:paraId="0CB04E08" w14:textId="77777777" w:rsidR="002C0FD9" w:rsidRPr="00CA25CF" w:rsidRDefault="002C0FD9" w:rsidP="00CA25CF">
            <w:pPr>
              <w:rPr>
                <w:rFonts w:cs="Arial"/>
                <w:color w:val="FF0000"/>
                <w:sz w:val="21"/>
                <w:szCs w:val="21"/>
              </w:rPr>
            </w:pPr>
          </w:p>
        </w:tc>
        <w:tc>
          <w:tcPr>
            <w:tcW w:w="217" w:type="dxa"/>
          </w:tcPr>
          <w:p w14:paraId="62AE45F9" w14:textId="77777777" w:rsidR="002C0FD9" w:rsidRPr="00CA25CF" w:rsidRDefault="002C0FD9" w:rsidP="00CA25CF">
            <w:pPr>
              <w:rPr>
                <w:rFonts w:cs="Arial"/>
                <w:color w:val="FF0000"/>
                <w:sz w:val="21"/>
                <w:szCs w:val="21"/>
              </w:rPr>
            </w:pPr>
          </w:p>
        </w:tc>
        <w:tc>
          <w:tcPr>
            <w:tcW w:w="217" w:type="dxa"/>
          </w:tcPr>
          <w:p w14:paraId="52BF3CB8" w14:textId="77777777" w:rsidR="002C0FD9" w:rsidRPr="00CA25CF" w:rsidRDefault="002C0FD9" w:rsidP="00CA25CF">
            <w:pPr>
              <w:rPr>
                <w:rFonts w:cs="Arial"/>
                <w:color w:val="FF0000"/>
                <w:sz w:val="21"/>
                <w:szCs w:val="21"/>
              </w:rPr>
            </w:pPr>
          </w:p>
        </w:tc>
        <w:tc>
          <w:tcPr>
            <w:tcW w:w="217" w:type="dxa"/>
          </w:tcPr>
          <w:p w14:paraId="0D8941D4" w14:textId="77777777" w:rsidR="002C0FD9" w:rsidRPr="00CA25CF" w:rsidRDefault="002C0FD9" w:rsidP="00CA25CF">
            <w:pPr>
              <w:rPr>
                <w:rFonts w:cs="Arial"/>
                <w:color w:val="FF0000"/>
                <w:sz w:val="21"/>
                <w:szCs w:val="21"/>
              </w:rPr>
            </w:pPr>
          </w:p>
        </w:tc>
        <w:tc>
          <w:tcPr>
            <w:tcW w:w="217" w:type="dxa"/>
          </w:tcPr>
          <w:p w14:paraId="65AF1377" w14:textId="77777777" w:rsidR="002C0FD9" w:rsidRPr="00CA25CF" w:rsidRDefault="002C0FD9" w:rsidP="00CA25CF">
            <w:pPr>
              <w:rPr>
                <w:rFonts w:cs="Arial"/>
                <w:color w:val="FF0000"/>
                <w:sz w:val="21"/>
                <w:szCs w:val="21"/>
              </w:rPr>
            </w:pPr>
          </w:p>
        </w:tc>
        <w:tc>
          <w:tcPr>
            <w:tcW w:w="217" w:type="dxa"/>
          </w:tcPr>
          <w:p w14:paraId="088AB7F1" w14:textId="77777777" w:rsidR="002C0FD9" w:rsidRPr="00CA25CF" w:rsidRDefault="002C0FD9" w:rsidP="00CA25CF">
            <w:pPr>
              <w:rPr>
                <w:rFonts w:cs="Arial"/>
                <w:color w:val="FF0000"/>
                <w:sz w:val="21"/>
                <w:szCs w:val="21"/>
              </w:rPr>
            </w:pPr>
          </w:p>
        </w:tc>
        <w:tc>
          <w:tcPr>
            <w:tcW w:w="217" w:type="dxa"/>
          </w:tcPr>
          <w:p w14:paraId="4CBF47C1" w14:textId="77777777" w:rsidR="002C0FD9" w:rsidRPr="00CA25CF" w:rsidRDefault="002C0FD9" w:rsidP="00CA25CF">
            <w:pPr>
              <w:rPr>
                <w:rFonts w:cs="Arial"/>
                <w:color w:val="FF0000"/>
                <w:sz w:val="21"/>
                <w:szCs w:val="21"/>
              </w:rPr>
            </w:pPr>
          </w:p>
        </w:tc>
        <w:tc>
          <w:tcPr>
            <w:tcW w:w="217" w:type="dxa"/>
          </w:tcPr>
          <w:p w14:paraId="6130A196" w14:textId="77777777" w:rsidR="002C0FD9" w:rsidRPr="00CA25CF" w:rsidRDefault="002C0FD9" w:rsidP="00CA25CF">
            <w:pPr>
              <w:rPr>
                <w:rFonts w:cs="Arial"/>
                <w:color w:val="FF0000"/>
                <w:sz w:val="21"/>
                <w:szCs w:val="21"/>
              </w:rPr>
            </w:pPr>
          </w:p>
        </w:tc>
        <w:tc>
          <w:tcPr>
            <w:tcW w:w="217" w:type="dxa"/>
          </w:tcPr>
          <w:p w14:paraId="21B3D59B" w14:textId="77777777" w:rsidR="002C0FD9" w:rsidRPr="00CA25CF" w:rsidRDefault="002C0FD9" w:rsidP="00CA25CF">
            <w:pPr>
              <w:rPr>
                <w:rFonts w:cs="Arial"/>
                <w:color w:val="FF0000"/>
                <w:sz w:val="21"/>
                <w:szCs w:val="21"/>
              </w:rPr>
            </w:pPr>
          </w:p>
        </w:tc>
        <w:tc>
          <w:tcPr>
            <w:tcW w:w="217" w:type="dxa"/>
          </w:tcPr>
          <w:p w14:paraId="0B16542F" w14:textId="77777777" w:rsidR="002C0FD9" w:rsidRPr="00CA25CF" w:rsidRDefault="002C0FD9" w:rsidP="00CA25CF">
            <w:pPr>
              <w:rPr>
                <w:rFonts w:cs="Arial"/>
                <w:color w:val="FF0000"/>
                <w:sz w:val="21"/>
                <w:szCs w:val="21"/>
              </w:rPr>
            </w:pPr>
          </w:p>
        </w:tc>
        <w:tc>
          <w:tcPr>
            <w:tcW w:w="217" w:type="dxa"/>
          </w:tcPr>
          <w:p w14:paraId="72A83D61" w14:textId="77777777" w:rsidR="002C0FD9" w:rsidRPr="00CA25CF" w:rsidRDefault="002C0FD9" w:rsidP="00CA25CF">
            <w:pPr>
              <w:rPr>
                <w:rFonts w:cs="Arial"/>
                <w:color w:val="FF0000"/>
                <w:sz w:val="21"/>
                <w:szCs w:val="21"/>
              </w:rPr>
            </w:pPr>
          </w:p>
        </w:tc>
        <w:tc>
          <w:tcPr>
            <w:tcW w:w="217" w:type="dxa"/>
          </w:tcPr>
          <w:p w14:paraId="3B4795D2" w14:textId="77777777" w:rsidR="002C0FD9" w:rsidRPr="00CA25CF" w:rsidRDefault="002C0FD9" w:rsidP="00CA25CF">
            <w:pPr>
              <w:rPr>
                <w:rFonts w:cs="Arial"/>
                <w:color w:val="FF0000"/>
                <w:sz w:val="21"/>
                <w:szCs w:val="21"/>
              </w:rPr>
            </w:pPr>
          </w:p>
        </w:tc>
        <w:tc>
          <w:tcPr>
            <w:tcW w:w="217" w:type="dxa"/>
          </w:tcPr>
          <w:p w14:paraId="444B5C33" w14:textId="77777777" w:rsidR="002C0FD9" w:rsidRPr="00CA25CF" w:rsidRDefault="002C0FD9" w:rsidP="00CA25CF">
            <w:pPr>
              <w:rPr>
                <w:rFonts w:cs="Arial"/>
                <w:color w:val="FF0000"/>
                <w:sz w:val="21"/>
                <w:szCs w:val="21"/>
              </w:rPr>
            </w:pPr>
          </w:p>
        </w:tc>
        <w:tc>
          <w:tcPr>
            <w:tcW w:w="217" w:type="dxa"/>
          </w:tcPr>
          <w:p w14:paraId="1A1CF23D" w14:textId="77777777" w:rsidR="002C0FD9" w:rsidRPr="00CA25CF" w:rsidRDefault="002C0FD9" w:rsidP="00CA25CF">
            <w:pPr>
              <w:rPr>
                <w:rFonts w:cs="Arial"/>
                <w:color w:val="FF0000"/>
                <w:sz w:val="21"/>
                <w:szCs w:val="21"/>
              </w:rPr>
            </w:pPr>
          </w:p>
        </w:tc>
        <w:tc>
          <w:tcPr>
            <w:tcW w:w="217" w:type="dxa"/>
          </w:tcPr>
          <w:p w14:paraId="6385BC3D" w14:textId="77777777" w:rsidR="002C0FD9" w:rsidRPr="00CA25CF" w:rsidRDefault="002C0FD9" w:rsidP="00CA25CF">
            <w:pPr>
              <w:rPr>
                <w:rFonts w:cs="Arial"/>
                <w:color w:val="FF0000"/>
                <w:sz w:val="21"/>
                <w:szCs w:val="21"/>
              </w:rPr>
            </w:pPr>
          </w:p>
        </w:tc>
        <w:tc>
          <w:tcPr>
            <w:tcW w:w="217" w:type="dxa"/>
          </w:tcPr>
          <w:p w14:paraId="1C936533" w14:textId="77777777" w:rsidR="002C0FD9" w:rsidRPr="00CA25CF" w:rsidRDefault="002C0FD9" w:rsidP="00CA25CF">
            <w:pPr>
              <w:rPr>
                <w:rFonts w:cs="Arial"/>
                <w:color w:val="FF0000"/>
                <w:sz w:val="21"/>
                <w:szCs w:val="21"/>
              </w:rPr>
            </w:pPr>
          </w:p>
        </w:tc>
        <w:tc>
          <w:tcPr>
            <w:tcW w:w="217" w:type="dxa"/>
          </w:tcPr>
          <w:p w14:paraId="5D9E24BA" w14:textId="77777777" w:rsidR="002C0FD9" w:rsidRPr="00CA25CF" w:rsidRDefault="002C0FD9" w:rsidP="00CA25CF">
            <w:pPr>
              <w:rPr>
                <w:rFonts w:cs="Arial"/>
                <w:color w:val="FF0000"/>
                <w:sz w:val="21"/>
                <w:szCs w:val="21"/>
              </w:rPr>
            </w:pPr>
          </w:p>
        </w:tc>
        <w:tc>
          <w:tcPr>
            <w:tcW w:w="217" w:type="dxa"/>
          </w:tcPr>
          <w:p w14:paraId="16F3CD30" w14:textId="77777777" w:rsidR="002C0FD9" w:rsidRPr="00CA25CF" w:rsidRDefault="002C0FD9" w:rsidP="00CA25CF">
            <w:pPr>
              <w:rPr>
                <w:rFonts w:cs="Arial"/>
                <w:color w:val="FF0000"/>
                <w:sz w:val="21"/>
                <w:szCs w:val="21"/>
              </w:rPr>
            </w:pPr>
          </w:p>
        </w:tc>
        <w:tc>
          <w:tcPr>
            <w:tcW w:w="217" w:type="dxa"/>
          </w:tcPr>
          <w:p w14:paraId="22136735" w14:textId="77777777" w:rsidR="002C0FD9" w:rsidRPr="00CA25CF" w:rsidRDefault="002C0FD9" w:rsidP="00CA25CF">
            <w:pPr>
              <w:rPr>
                <w:rFonts w:cs="Arial"/>
                <w:color w:val="FF0000"/>
                <w:sz w:val="21"/>
                <w:szCs w:val="21"/>
              </w:rPr>
            </w:pPr>
          </w:p>
        </w:tc>
        <w:tc>
          <w:tcPr>
            <w:tcW w:w="217" w:type="dxa"/>
          </w:tcPr>
          <w:p w14:paraId="5D6B1BA4" w14:textId="77777777" w:rsidR="002C0FD9" w:rsidRPr="00CA25CF" w:rsidRDefault="002C0FD9" w:rsidP="00CA25CF">
            <w:pPr>
              <w:rPr>
                <w:rFonts w:cs="Arial"/>
                <w:color w:val="FF0000"/>
                <w:sz w:val="21"/>
                <w:szCs w:val="21"/>
              </w:rPr>
            </w:pPr>
          </w:p>
        </w:tc>
        <w:tc>
          <w:tcPr>
            <w:tcW w:w="217" w:type="dxa"/>
          </w:tcPr>
          <w:p w14:paraId="7110560A" w14:textId="77777777" w:rsidR="002C0FD9" w:rsidRPr="00CA25CF" w:rsidRDefault="002C0FD9" w:rsidP="00CA25CF">
            <w:pPr>
              <w:rPr>
                <w:rFonts w:cs="Arial"/>
                <w:color w:val="FF0000"/>
                <w:sz w:val="21"/>
                <w:szCs w:val="21"/>
              </w:rPr>
            </w:pPr>
          </w:p>
        </w:tc>
        <w:tc>
          <w:tcPr>
            <w:tcW w:w="217" w:type="dxa"/>
          </w:tcPr>
          <w:p w14:paraId="1AC1BA51" w14:textId="77777777" w:rsidR="002C0FD9" w:rsidRPr="00CA25CF" w:rsidRDefault="002C0FD9" w:rsidP="00CA25CF">
            <w:pPr>
              <w:rPr>
                <w:rFonts w:cs="Arial"/>
                <w:color w:val="FF0000"/>
                <w:sz w:val="21"/>
                <w:szCs w:val="21"/>
              </w:rPr>
            </w:pPr>
          </w:p>
        </w:tc>
        <w:tc>
          <w:tcPr>
            <w:tcW w:w="217" w:type="dxa"/>
          </w:tcPr>
          <w:p w14:paraId="1515727F" w14:textId="77777777" w:rsidR="002C0FD9" w:rsidRPr="00CA25CF" w:rsidRDefault="002C0FD9" w:rsidP="00CA25CF">
            <w:pPr>
              <w:rPr>
                <w:rFonts w:cs="Arial"/>
                <w:color w:val="FF0000"/>
                <w:sz w:val="21"/>
                <w:szCs w:val="21"/>
              </w:rPr>
            </w:pPr>
          </w:p>
        </w:tc>
        <w:tc>
          <w:tcPr>
            <w:tcW w:w="217" w:type="dxa"/>
          </w:tcPr>
          <w:p w14:paraId="72D62709" w14:textId="77777777" w:rsidR="002C0FD9" w:rsidRPr="00CA25CF" w:rsidRDefault="002C0FD9" w:rsidP="00CA25CF">
            <w:pPr>
              <w:rPr>
                <w:rFonts w:cs="Arial"/>
                <w:color w:val="FF0000"/>
                <w:sz w:val="21"/>
                <w:szCs w:val="21"/>
              </w:rPr>
            </w:pPr>
          </w:p>
        </w:tc>
      </w:tr>
      <w:tr w:rsidR="002C0FD9" w:rsidRPr="00A16219" w14:paraId="1008FD20" w14:textId="77777777" w:rsidTr="002C0FD9">
        <w:trPr>
          <w:trHeight w:val="635"/>
        </w:trPr>
        <w:tc>
          <w:tcPr>
            <w:tcW w:w="515" w:type="dxa"/>
          </w:tcPr>
          <w:p w14:paraId="6A19DA23" w14:textId="77777777" w:rsidR="002C0FD9" w:rsidRPr="00CA25CF" w:rsidRDefault="002C0FD9" w:rsidP="00CA25CF">
            <w:pPr>
              <w:rPr>
                <w:rFonts w:cs="Arial"/>
                <w:color w:val="FF0000"/>
                <w:sz w:val="21"/>
                <w:szCs w:val="21"/>
              </w:rPr>
            </w:pPr>
          </w:p>
        </w:tc>
        <w:tc>
          <w:tcPr>
            <w:tcW w:w="217" w:type="dxa"/>
          </w:tcPr>
          <w:p w14:paraId="7CD27363" w14:textId="77777777" w:rsidR="002C0FD9" w:rsidRPr="00CA25CF" w:rsidRDefault="002C0FD9" w:rsidP="00CA25CF">
            <w:pPr>
              <w:rPr>
                <w:rFonts w:cs="Arial"/>
                <w:color w:val="FF0000"/>
                <w:sz w:val="21"/>
                <w:szCs w:val="21"/>
              </w:rPr>
            </w:pPr>
          </w:p>
        </w:tc>
        <w:tc>
          <w:tcPr>
            <w:tcW w:w="217" w:type="dxa"/>
          </w:tcPr>
          <w:p w14:paraId="30A194C7" w14:textId="77777777" w:rsidR="002C0FD9" w:rsidRPr="00CA25CF" w:rsidRDefault="002C0FD9" w:rsidP="00CA25CF">
            <w:pPr>
              <w:rPr>
                <w:rFonts w:cs="Arial"/>
                <w:color w:val="FF0000"/>
                <w:sz w:val="21"/>
                <w:szCs w:val="21"/>
              </w:rPr>
            </w:pPr>
          </w:p>
        </w:tc>
        <w:tc>
          <w:tcPr>
            <w:tcW w:w="217" w:type="dxa"/>
          </w:tcPr>
          <w:p w14:paraId="41D55ADA" w14:textId="77777777" w:rsidR="002C0FD9" w:rsidRPr="00CA25CF" w:rsidRDefault="002C0FD9" w:rsidP="00CA25CF">
            <w:pPr>
              <w:rPr>
                <w:rFonts w:cs="Arial"/>
                <w:color w:val="FF0000"/>
                <w:sz w:val="21"/>
                <w:szCs w:val="21"/>
              </w:rPr>
            </w:pPr>
          </w:p>
        </w:tc>
        <w:tc>
          <w:tcPr>
            <w:tcW w:w="217" w:type="dxa"/>
          </w:tcPr>
          <w:p w14:paraId="310B3EC1" w14:textId="77777777" w:rsidR="002C0FD9" w:rsidRPr="00CA25CF" w:rsidRDefault="002C0FD9" w:rsidP="00CA25CF">
            <w:pPr>
              <w:rPr>
                <w:rFonts w:cs="Arial"/>
                <w:color w:val="FF0000"/>
                <w:sz w:val="21"/>
                <w:szCs w:val="21"/>
              </w:rPr>
            </w:pPr>
          </w:p>
        </w:tc>
        <w:tc>
          <w:tcPr>
            <w:tcW w:w="217" w:type="dxa"/>
          </w:tcPr>
          <w:p w14:paraId="177338A0" w14:textId="77777777" w:rsidR="002C0FD9" w:rsidRPr="00CA25CF" w:rsidRDefault="002C0FD9" w:rsidP="00CA25CF">
            <w:pPr>
              <w:rPr>
                <w:rFonts w:cs="Arial"/>
                <w:color w:val="FF0000"/>
                <w:sz w:val="21"/>
                <w:szCs w:val="21"/>
              </w:rPr>
            </w:pPr>
          </w:p>
        </w:tc>
        <w:tc>
          <w:tcPr>
            <w:tcW w:w="217" w:type="dxa"/>
          </w:tcPr>
          <w:p w14:paraId="3A5002AE" w14:textId="77777777" w:rsidR="002C0FD9" w:rsidRPr="00CA25CF" w:rsidRDefault="002C0FD9" w:rsidP="00CA25CF">
            <w:pPr>
              <w:rPr>
                <w:rFonts w:cs="Arial"/>
                <w:color w:val="FF0000"/>
                <w:sz w:val="21"/>
                <w:szCs w:val="21"/>
              </w:rPr>
            </w:pPr>
          </w:p>
        </w:tc>
        <w:tc>
          <w:tcPr>
            <w:tcW w:w="217" w:type="dxa"/>
          </w:tcPr>
          <w:p w14:paraId="2A839BAA" w14:textId="77777777" w:rsidR="002C0FD9" w:rsidRPr="00CA25CF" w:rsidRDefault="002C0FD9" w:rsidP="00CA25CF">
            <w:pPr>
              <w:rPr>
                <w:rFonts w:cs="Arial"/>
                <w:color w:val="FF0000"/>
                <w:sz w:val="21"/>
                <w:szCs w:val="21"/>
              </w:rPr>
            </w:pPr>
          </w:p>
        </w:tc>
        <w:tc>
          <w:tcPr>
            <w:tcW w:w="217" w:type="dxa"/>
          </w:tcPr>
          <w:p w14:paraId="15F7830E" w14:textId="77777777" w:rsidR="002C0FD9" w:rsidRPr="00CA25CF" w:rsidRDefault="002C0FD9" w:rsidP="00CA25CF">
            <w:pPr>
              <w:rPr>
                <w:rFonts w:cs="Arial"/>
                <w:color w:val="FF0000"/>
                <w:sz w:val="21"/>
                <w:szCs w:val="21"/>
              </w:rPr>
            </w:pPr>
          </w:p>
        </w:tc>
        <w:tc>
          <w:tcPr>
            <w:tcW w:w="217" w:type="dxa"/>
          </w:tcPr>
          <w:p w14:paraId="536B6FB3" w14:textId="77777777" w:rsidR="002C0FD9" w:rsidRPr="00CA25CF" w:rsidRDefault="002C0FD9" w:rsidP="00CA25CF">
            <w:pPr>
              <w:rPr>
                <w:rFonts w:cs="Arial"/>
                <w:color w:val="FF0000"/>
                <w:sz w:val="21"/>
                <w:szCs w:val="21"/>
              </w:rPr>
            </w:pPr>
          </w:p>
        </w:tc>
        <w:tc>
          <w:tcPr>
            <w:tcW w:w="217" w:type="dxa"/>
          </w:tcPr>
          <w:p w14:paraId="5BA90808" w14:textId="77777777" w:rsidR="002C0FD9" w:rsidRPr="00CA25CF" w:rsidRDefault="002C0FD9" w:rsidP="00CA25CF">
            <w:pPr>
              <w:rPr>
                <w:rFonts w:cs="Arial"/>
                <w:color w:val="FF0000"/>
                <w:sz w:val="21"/>
                <w:szCs w:val="21"/>
              </w:rPr>
            </w:pPr>
          </w:p>
        </w:tc>
        <w:tc>
          <w:tcPr>
            <w:tcW w:w="217" w:type="dxa"/>
          </w:tcPr>
          <w:p w14:paraId="7EA60B38" w14:textId="77777777" w:rsidR="002C0FD9" w:rsidRPr="00CA25CF" w:rsidRDefault="002C0FD9" w:rsidP="00CA25CF">
            <w:pPr>
              <w:rPr>
                <w:rFonts w:cs="Arial"/>
                <w:color w:val="FF0000"/>
                <w:sz w:val="21"/>
                <w:szCs w:val="21"/>
              </w:rPr>
            </w:pPr>
          </w:p>
        </w:tc>
        <w:tc>
          <w:tcPr>
            <w:tcW w:w="217" w:type="dxa"/>
          </w:tcPr>
          <w:p w14:paraId="43096E43" w14:textId="77777777" w:rsidR="002C0FD9" w:rsidRPr="00CA25CF" w:rsidRDefault="002C0FD9" w:rsidP="00CA25CF">
            <w:pPr>
              <w:rPr>
                <w:rFonts w:cs="Arial"/>
                <w:color w:val="FF0000"/>
                <w:sz w:val="21"/>
                <w:szCs w:val="21"/>
              </w:rPr>
            </w:pPr>
          </w:p>
        </w:tc>
        <w:tc>
          <w:tcPr>
            <w:tcW w:w="217" w:type="dxa"/>
          </w:tcPr>
          <w:p w14:paraId="5BD7D109" w14:textId="77777777" w:rsidR="002C0FD9" w:rsidRPr="00CA25CF" w:rsidRDefault="002C0FD9" w:rsidP="00CA25CF">
            <w:pPr>
              <w:rPr>
                <w:rFonts w:cs="Arial"/>
                <w:color w:val="FF0000"/>
                <w:sz w:val="21"/>
                <w:szCs w:val="21"/>
              </w:rPr>
            </w:pPr>
          </w:p>
        </w:tc>
        <w:tc>
          <w:tcPr>
            <w:tcW w:w="217" w:type="dxa"/>
          </w:tcPr>
          <w:p w14:paraId="017B382A" w14:textId="77777777" w:rsidR="002C0FD9" w:rsidRPr="00CA25CF" w:rsidRDefault="002C0FD9" w:rsidP="00CA25CF">
            <w:pPr>
              <w:rPr>
                <w:rFonts w:cs="Arial"/>
                <w:color w:val="FF0000"/>
                <w:sz w:val="21"/>
                <w:szCs w:val="21"/>
              </w:rPr>
            </w:pPr>
          </w:p>
        </w:tc>
        <w:tc>
          <w:tcPr>
            <w:tcW w:w="217" w:type="dxa"/>
          </w:tcPr>
          <w:p w14:paraId="6F265A54" w14:textId="77777777" w:rsidR="002C0FD9" w:rsidRPr="00CA25CF" w:rsidRDefault="002C0FD9" w:rsidP="00CA25CF">
            <w:pPr>
              <w:rPr>
                <w:rFonts w:cs="Arial"/>
                <w:color w:val="FF0000"/>
                <w:sz w:val="21"/>
                <w:szCs w:val="21"/>
              </w:rPr>
            </w:pPr>
          </w:p>
        </w:tc>
        <w:tc>
          <w:tcPr>
            <w:tcW w:w="217" w:type="dxa"/>
          </w:tcPr>
          <w:p w14:paraId="2D6435C4" w14:textId="77777777" w:rsidR="002C0FD9" w:rsidRPr="00CA25CF" w:rsidRDefault="002C0FD9" w:rsidP="00CA25CF">
            <w:pPr>
              <w:rPr>
                <w:rFonts w:cs="Arial"/>
                <w:color w:val="FF0000"/>
                <w:sz w:val="21"/>
                <w:szCs w:val="21"/>
              </w:rPr>
            </w:pPr>
          </w:p>
        </w:tc>
        <w:tc>
          <w:tcPr>
            <w:tcW w:w="217" w:type="dxa"/>
          </w:tcPr>
          <w:p w14:paraId="786F58C5" w14:textId="77777777" w:rsidR="002C0FD9" w:rsidRPr="00CA25CF" w:rsidRDefault="002C0FD9" w:rsidP="00CA25CF">
            <w:pPr>
              <w:rPr>
                <w:rFonts w:cs="Arial"/>
                <w:color w:val="FF0000"/>
                <w:sz w:val="21"/>
                <w:szCs w:val="21"/>
              </w:rPr>
            </w:pPr>
          </w:p>
        </w:tc>
        <w:tc>
          <w:tcPr>
            <w:tcW w:w="217" w:type="dxa"/>
          </w:tcPr>
          <w:p w14:paraId="62AD8316" w14:textId="77777777" w:rsidR="002C0FD9" w:rsidRPr="00CA25CF" w:rsidRDefault="002C0FD9" w:rsidP="00CA25CF">
            <w:pPr>
              <w:rPr>
                <w:rFonts w:cs="Arial"/>
                <w:color w:val="FF0000"/>
                <w:sz w:val="21"/>
                <w:szCs w:val="21"/>
              </w:rPr>
            </w:pPr>
          </w:p>
        </w:tc>
        <w:tc>
          <w:tcPr>
            <w:tcW w:w="217" w:type="dxa"/>
          </w:tcPr>
          <w:p w14:paraId="358AD70F" w14:textId="77777777" w:rsidR="002C0FD9" w:rsidRPr="00CA25CF" w:rsidRDefault="002C0FD9" w:rsidP="00CA25CF">
            <w:pPr>
              <w:rPr>
                <w:rFonts w:cs="Arial"/>
                <w:color w:val="FF0000"/>
                <w:sz w:val="21"/>
                <w:szCs w:val="21"/>
              </w:rPr>
            </w:pPr>
          </w:p>
        </w:tc>
        <w:tc>
          <w:tcPr>
            <w:tcW w:w="217" w:type="dxa"/>
          </w:tcPr>
          <w:p w14:paraId="2A691BCA" w14:textId="77777777" w:rsidR="002C0FD9" w:rsidRPr="00CA25CF" w:rsidRDefault="002C0FD9" w:rsidP="00CA25CF">
            <w:pPr>
              <w:rPr>
                <w:rFonts w:cs="Arial"/>
                <w:color w:val="FF0000"/>
                <w:sz w:val="21"/>
                <w:szCs w:val="21"/>
              </w:rPr>
            </w:pPr>
          </w:p>
        </w:tc>
        <w:tc>
          <w:tcPr>
            <w:tcW w:w="217" w:type="dxa"/>
          </w:tcPr>
          <w:p w14:paraId="1D5BD6D9" w14:textId="77777777" w:rsidR="002C0FD9" w:rsidRPr="00CA25CF" w:rsidRDefault="002C0FD9" w:rsidP="00CA25CF">
            <w:pPr>
              <w:rPr>
                <w:rFonts w:cs="Arial"/>
                <w:color w:val="FF0000"/>
                <w:sz w:val="21"/>
                <w:szCs w:val="21"/>
              </w:rPr>
            </w:pPr>
          </w:p>
        </w:tc>
        <w:tc>
          <w:tcPr>
            <w:tcW w:w="217" w:type="dxa"/>
          </w:tcPr>
          <w:p w14:paraId="674DFABA" w14:textId="77777777" w:rsidR="002C0FD9" w:rsidRPr="00CA25CF" w:rsidRDefault="002C0FD9" w:rsidP="00CA25CF">
            <w:pPr>
              <w:rPr>
                <w:rFonts w:cs="Arial"/>
                <w:color w:val="FF0000"/>
                <w:sz w:val="21"/>
                <w:szCs w:val="21"/>
              </w:rPr>
            </w:pPr>
          </w:p>
        </w:tc>
        <w:tc>
          <w:tcPr>
            <w:tcW w:w="217" w:type="dxa"/>
          </w:tcPr>
          <w:p w14:paraId="35989EBE" w14:textId="77777777" w:rsidR="002C0FD9" w:rsidRPr="00CA25CF" w:rsidRDefault="002C0FD9" w:rsidP="00CA25CF">
            <w:pPr>
              <w:rPr>
                <w:rFonts w:cs="Arial"/>
                <w:color w:val="FF0000"/>
                <w:sz w:val="21"/>
                <w:szCs w:val="21"/>
              </w:rPr>
            </w:pPr>
          </w:p>
        </w:tc>
        <w:tc>
          <w:tcPr>
            <w:tcW w:w="217" w:type="dxa"/>
          </w:tcPr>
          <w:p w14:paraId="3B0EAB73" w14:textId="77777777" w:rsidR="002C0FD9" w:rsidRPr="00CA25CF" w:rsidRDefault="002C0FD9" w:rsidP="00CA25CF">
            <w:pPr>
              <w:rPr>
                <w:rFonts w:cs="Arial"/>
                <w:color w:val="FF0000"/>
                <w:sz w:val="21"/>
                <w:szCs w:val="21"/>
              </w:rPr>
            </w:pPr>
          </w:p>
        </w:tc>
        <w:tc>
          <w:tcPr>
            <w:tcW w:w="217" w:type="dxa"/>
          </w:tcPr>
          <w:p w14:paraId="3CD43F1B" w14:textId="77777777" w:rsidR="002C0FD9" w:rsidRPr="00CA25CF" w:rsidRDefault="002C0FD9" w:rsidP="00CA25CF">
            <w:pPr>
              <w:rPr>
                <w:rFonts w:cs="Arial"/>
                <w:color w:val="FF0000"/>
                <w:sz w:val="21"/>
                <w:szCs w:val="21"/>
              </w:rPr>
            </w:pPr>
          </w:p>
        </w:tc>
        <w:tc>
          <w:tcPr>
            <w:tcW w:w="217" w:type="dxa"/>
          </w:tcPr>
          <w:p w14:paraId="3585D0F7" w14:textId="77777777" w:rsidR="002C0FD9" w:rsidRPr="00CA25CF" w:rsidRDefault="002C0FD9" w:rsidP="00CA25CF">
            <w:pPr>
              <w:rPr>
                <w:rFonts w:cs="Arial"/>
                <w:color w:val="FF0000"/>
                <w:sz w:val="21"/>
                <w:szCs w:val="21"/>
              </w:rPr>
            </w:pPr>
          </w:p>
        </w:tc>
        <w:tc>
          <w:tcPr>
            <w:tcW w:w="217" w:type="dxa"/>
          </w:tcPr>
          <w:p w14:paraId="69AE6B9E" w14:textId="77777777" w:rsidR="002C0FD9" w:rsidRPr="00CA25CF" w:rsidRDefault="002C0FD9" w:rsidP="00CA25CF">
            <w:pPr>
              <w:rPr>
                <w:rFonts w:cs="Arial"/>
                <w:color w:val="FF0000"/>
                <w:sz w:val="21"/>
                <w:szCs w:val="21"/>
              </w:rPr>
            </w:pPr>
          </w:p>
        </w:tc>
        <w:tc>
          <w:tcPr>
            <w:tcW w:w="217" w:type="dxa"/>
          </w:tcPr>
          <w:p w14:paraId="63638F12" w14:textId="77777777" w:rsidR="002C0FD9" w:rsidRPr="00CA25CF" w:rsidRDefault="002C0FD9" w:rsidP="00CA25CF">
            <w:pPr>
              <w:rPr>
                <w:rFonts w:cs="Arial"/>
                <w:color w:val="FF0000"/>
                <w:sz w:val="21"/>
                <w:szCs w:val="21"/>
              </w:rPr>
            </w:pPr>
          </w:p>
        </w:tc>
        <w:tc>
          <w:tcPr>
            <w:tcW w:w="217" w:type="dxa"/>
          </w:tcPr>
          <w:p w14:paraId="7D749D59" w14:textId="77777777" w:rsidR="002C0FD9" w:rsidRPr="00CA25CF" w:rsidRDefault="002C0FD9" w:rsidP="00CA25CF">
            <w:pPr>
              <w:rPr>
                <w:rFonts w:cs="Arial"/>
                <w:color w:val="FF0000"/>
                <w:sz w:val="21"/>
                <w:szCs w:val="21"/>
              </w:rPr>
            </w:pPr>
          </w:p>
        </w:tc>
        <w:tc>
          <w:tcPr>
            <w:tcW w:w="217" w:type="dxa"/>
          </w:tcPr>
          <w:p w14:paraId="7DC54A2D" w14:textId="77777777" w:rsidR="002C0FD9" w:rsidRPr="00CA25CF" w:rsidRDefault="002C0FD9" w:rsidP="00CA25CF">
            <w:pPr>
              <w:rPr>
                <w:rFonts w:cs="Arial"/>
                <w:color w:val="FF0000"/>
                <w:sz w:val="21"/>
                <w:szCs w:val="21"/>
              </w:rPr>
            </w:pPr>
          </w:p>
        </w:tc>
        <w:tc>
          <w:tcPr>
            <w:tcW w:w="217" w:type="dxa"/>
          </w:tcPr>
          <w:p w14:paraId="14BBA14D" w14:textId="77777777" w:rsidR="002C0FD9" w:rsidRPr="00CA25CF" w:rsidRDefault="002C0FD9" w:rsidP="00CA25CF">
            <w:pPr>
              <w:rPr>
                <w:rFonts w:cs="Arial"/>
                <w:color w:val="FF0000"/>
                <w:sz w:val="21"/>
                <w:szCs w:val="21"/>
              </w:rPr>
            </w:pPr>
          </w:p>
        </w:tc>
        <w:tc>
          <w:tcPr>
            <w:tcW w:w="217" w:type="dxa"/>
          </w:tcPr>
          <w:p w14:paraId="7D27D1AC" w14:textId="77777777" w:rsidR="002C0FD9" w:rsidRPr="00CA25CF" w:rsidRDefault="002C0FD9" w:rsidP="00CA25CF">
            <w:pPr>
              <w:rPr>
                <w:rFonts w:cs="Arial"/>
                <w:color w:val="FF0000"/>
                <w:sz w:val="21"/>
                <w:szCs w:val="21"/>
              </w:rPr>
            </w:pPr>
          </w:p>
        </w:tc>
        <w:tc>
          <w:tcPr>
            <w:tcW w:w="217" w:type="dxa"/>
          </w:tcPr>
          <w:p w14:paraId="7BA3B75B" w14:textId="77777777" w:rsidR="002C0FD9" w:rsidRPr="00CA25CF" w:rsidRDefault="002C0FD9" w:rsidP="00CA25CF">
            <w:pPr>
              <w:rPr>
                <w:rFonts w:cs="Arial"/>
                <w:color w:val="FF0000"/>
                <w:sz w:val="21"/>
                <w:szCs w:val="21"/>
              </w:rPr>
            </w:pPr>
          </w:p>
        </w:tc>
        <w:tc>
          <w:tcPr>
            <w:tcW w:w="217" w:type="dxa"/>
          </w:tcPr>
          <w:p w14:paraId="52BE1246" w14:textId="77777777" w:rsidR="002C0FD9" w:rsidRPr="00CA25CF" w:rsidRDefault="002C0FD9" w:rsidP="00CA25CF">
            <w:pPr>
              <w:rPr>
                <w:rFonts w:cs="Arial"/>
                <w:color w:val="FF0000"/>
                <w:sz w:val="21"/>
                <w:szCs w:val="21"/>
              </w:rPr>
            </w:pPr>
          </w:p>
        </w:tc>
        <w:tc>
          <w:tcPr>
            <w:tcW w:w="217" w:type="dxa"/>
          </w:tcPr>
          <w:p w14:paraId="60CFD6C7" w14:textId="77777777" w:rsidR="002C0FD9" w:rsidRPr="00CA25CF" w:rsidRDefault="002C0FD9" w:rsidP="00CA25CF">
            <w:pPr>
              <w:rPr>
                <w:rFonts w:cs="Arial"/>
                <w:color w:val="FF0000"/>
                <w:sz w:val="21"/>
                <w:szCs w:val="21"/>
              </w:rPr>
            </w:pPr>
          </w:p>
        </w:tc>
        <w:tc>
          <w:tcPr>
            <w:tcW w:w="217" w:type="dxa"/>
          </w:tcPr>
          <w:p w14:paraId="206F77D9" w14:textId="77777777" w:rsidR="002C0FD9" w:rsidRPr="00CA25CF" w:rsidRDefault="002C0FD9" w:rsidP="00CA25CF">
            <w:pPr>
              <w:rPr>
                <w:rFonts w:cs="Arial"/>
                <w:color w:val="FF0000"/>
                <w:sz w:val="21"/>
                <w:szCs w:val="21"/>
              </w:rPr>
            </w:pPr>
          </w:p>
        </w:tc>
        <w:tc>
          <w:tcPr>
            <w:tcW w:w="217" w:type="dxa"/>
          </w:tcPr>
          <w:p w14:paraId="6F55745B" w14:textId="77777777" w:rsidR="002C0FD9" w:rsidRPr="00CA25CF" w:rsidRDefault="002C0FD9" w:rsidP="00CA25CF">
            <w:pPr>
              <w:rPr>
                <w:rFonts w:cs="Arial"/>
                <w:color w:val="FF0000"/>
                <w:sz w:val="21"/>
                <w:szCs w:val="21"/>
              </w:rPr>
            </w:pPr>
          </w:p>
        </w:tc>
        <w:tc>
          <w:tcPr>
            <w:tcW w:w="217" w:type="dxa"/>
          </w:tcPr>
          <w:p w14:paraId="3C5DAD90" w14:textId="77777777" w:rsidR="002C0FD9" w:rsidRPr="00CA25CF" w:rsidRDefault="002C0FD9" w:rsidP="00CA25CF">
            <w:pPr>
              <w:rPr>
                <w:rFonts w:cs="Arial"/>
                <w:color w:val="FF0000"/>
                <w:sz w:val="21"/>
                <w:szCs w:val="21"/>
              </w:rPr>
            </w:pPr>
          </w:p>
        </w:tc>
        <w:tc>
          <w:tcPr>
            <w:tcW w:w="217" w:type="dxa"/>
          </w:tcPr>
          <w:p w14:paraId="70D8335E" w14:textId="77777777" w:rsidR="002C0FD9" w:rsidRPr="00CA25CF" w:rsidRDefault="002C0FD9" w:rsidP="00CA25CF">
            <w:pPr>
              <w:rPr>
                <w:rFonts w:cs="Arial"/>
                <w:color w:val="FF0000"/>
                <w:sz w:val="21"/>
                <w:szCs w:val="21"/>
              </w:rPr>
            </w:pPr>
          </w:p>
        </w:tc>
        <w:tc>
          <w:tcPr>
            <w:tcW w:w="217" w:type="dxa"/>
          </w:tcPr>
          <w:p w14:paraId="313796FC" w14:textId="77777777" w:rsidR="002C0FD9" w:rsidRPr="00CA25CF" w:rsidRDefault="002C0FD9" w:rsidP="00CA25CF">
            <w:pPr>
              <w:rPr>
                <w:rFonts w:cs="Arial"/>
                <w:color w:val="FF0000"/>
                <w:sz w:val="21"/>
                <w:szCs w:val="21"/>
              </w:rPr>
            </w:pPr>
          </w:p>
        </w:tc>
        <w:tc>
          <w:tcPr>
            <w:tcW w:w="217" w:type="dxa"/>
          </w:tcPr>
          <w:p w14:paraId="3CA8025C" w14:textId="77777777" w:rsidR="002C0FD9" w:rsidRPr="00CA25CF" w:rsidRDefault="002C0FD9" w:rsidP="00CA25CF">
            <w:pPr>
              <w:rPr>
                <w:rFonts w:cs="Arial"/>
                <w:color w:val="FF0000"/>
                <w:sz w:val="21"/>
                <w:szCs w:val="21"/>
              </w:rPr>
            </w:pPr>
          </w:p>
        </w:tc>
        <w:tc>
          <w:tcPr>
            <w:tcW w:w="217" w:type="dxa"/>
          </w:tcPr>
          <w:p w14:paraId="146F61D6" w14:textId="77777777" w:rsidR="002C0FD9" w:rsidRPr="00CA25CF" w:rsidRDefault="002C0FD9" w:rsidP="00CA25CF">
            <w:pPr>
              <w:rPr>
                <w:rFonts w:cs="Arial"/>
                <w:color w:val="FF0000"/>
                <w:sz w:val="21"/>
                <w:szCs w:val="21"/>
              </w:rPr>
            </w:pPr>
          </w:p>
        </w:tc>
      </w:tr>
      <w:tr w:rsidR="002C0FD9" w:rsidRPr="00A16219" w14:paraId="74CE2773" w14:textId="77777777" w:rsidTr="002C0FD9">
        <w:trPr>
          <w:trHeight w:val="635"/>
        </w:trPr>
        <w:tc>
          <w:tcPr>
            <w:tcW w:w="515" w:type="dxa"/>
          </w:tcPr>
          <w:p w14:paraId="43E378CF" w14:textId="77777777" w:rsidR="002C0FD9" w:rsidRPr="00CA25CF" w:rsidRDefault="002C0FD9" w:rsidP="00CA25CF">
            <w:pPr>
              <w:rPr>
                <w:rFonts w:cs="Arial"/>
                <w:color w:val="FF0000"/>
                <w:sz w:val="21"/>
                <w:szCs w:val="21"/>
              </w:rPr>
            </w:pPr>
          </w:p>
        </w:tc>
        <w:tc>
          <w:tcPr>
            <w:tcW w:w="217" w:type="dxa"/>
          </w:tcPr>
          <w:p w14:paraId="089E8248" w14:textId="77777777" w:rsidR="002C0FD9" w:rsidRPr="00CA25CF" w:rsidRDefault="002C0FD9" w:rsidP="00CA25CF">
            <w:pPr>
              <w:rPr>
                <w:rFonts w:cs="Arial"/>
                <w:color w:val="FF0000"/>
                <w:sz w:val="21"/>
                <w:szCs w:val="21"/>
              </w:rPr>
            </w:pPr>
          </w:p>
        </w:tc>
        <w:tc>
          <w:tcPr>
            <w:tcW w:w="217" w:type="dxa"/>
          </w:tcPr>
          <w:p w14:paraId="43F8B8E8" w14:textId="77777777" w:rsidR="002C0FD9" w:rsidRPr="00CA25CF" w:rsidRDefault="002C0FD9" w:rsidP="00CA25CF">
            <w:pPr>
              <w:rPr>
                <w:rFonts w:cs="Arial"/>
                <w:color w:val="FF0000"/>
                <w:sz w:val="21"/>
                <w:szCs w:val="21"/>
              </w:rPr>
            </w:pPr>
          </w:p>
        </w:tc>
        <w:tc>
          <w:tcPr>
            <w:tcW w:w="217" w:type="dxa"/>
          </w:tcPr>
          <w:p w14:paraId="37DA7153" w14:textId="77777777" w:rsidR="002C0FD9" w:rsidRPr="00CA25CF" w:rsidRDefault="002C0FD9" w:rsidP="00CA25CF">
            <w:pPr>
              <w:rPr>
                <w:rFonts w:cs="Arial"/>
                <w:color w:val="FF0000"/>
                <w:sz w:val="21"/>
                <w:szCs w:val="21"/>
              </w:rPr>
            </w:pPr>
          </w:p>
        </w:tc>
        <w:tc>
          <w:tcPr>
            <w:tcW w:w="217" w:type="dxa"/>
          </w:tcPr>
          <w:p w14:paraId="523A5D36" w14:textId="77777777" w:rsidR="002C0FD9" w:rsidRPr="00CA25CF" w:rsidRDefault="002C0FD9" w:rsidP="00CA25CF">
            <w:pPr>
              <w:rPr>
                <w:rFonts w:cs="Arial"/>
                <w:color w:val="FF0000"/>
                <w:sz w:val="21"/>
                <w:szCs w:val="21"/>
              </w:rPr>
            </w:pPr>
          </w:p>
        </w:tc>
        <w:tc>
          <w:tcPr>
            <w:tcW w:w="217" w:type="dxa"/>
          </w:tcPr>
          <w:p w14:paraId="2416B537" w14:textId="77777777" w:rsidR="002C0FD9" w:rsidRPr="00CA25CF" w:rsidRDefault="002C0FD9" w:rsidP="00CA25CF">
            <w:pPr>
              <w:rPr>
                <w:rFonts w:cs="Arial"/>
                <w:color w:val="FF0000"/>
                <w:sz w:val="21"/>
                <w:szCs w:val="21"/>
              </w:rPr>
            </w:pPr>
          </w:p>
        </w:tc>
        <w:tc>
          <w:tcPr>
            <w:tcW w:w="217" w:type="dxa"/>
          </w:tcPr>
          <w:p w14:paraId="1632B53B" w14:textId="77777777" w:rsidR="002C0FD9" w:rsidRPr="00CA25CF" w:rsidRDefault="002C0FD9" w:rsidP="00CA25CF">
            <w:pPr>
              <w:rPr>
                <w:rFonts w:cs="Arial"/>
                <w:color w:val="FF0000"/>
                <w:sz w:val="21"/>
                <w:szCs w:val="21"/>
              </w:rPr>
            </w:pPr>
          </w:p>
        </w:tc>
        <w:tc>
          <w:tcPr>
            <w:tcW w:w="217" w:type="dxa"/>
          </w:tcPr>
          <w:p w14:paraId="325F5F64" w14:textId="77777777" w:rsidR="002C0FD9" w:rsidRPr="00CA25CF" w:rsidRDefault="002C0FD9" w:rsidP="00CA25CF">
            <w:pPr>
              <w:rPr>
                <w:rFonts w:cs="Arial"/>
                <w:color w:val="FF0000"/>
                <w:sz w:val="21"/>
                <w:szCs w:val="21"/>
              </w:rPr>
            </w:pPr>
          </w:p>
        </w:tc>
        <w:tc>
          <w:tcPr>
            <w:tcW w:w="217" w:type="dxa"/>
          </w:tcPr>
          <w:p w14:paraId="0FDB59B2" w14:textId="77777777" w:rsidR="002C0FD9" w:rsidRPr="00CA25CF" w:rsidRDefault="002C0FD9" w:rsidP="00CA25CF">
            <w:pPr>
              <w:rPr>
                <w:rFonts w:cs="Arial"/>
                <w:color w:val="FF0000"/>
                <w:sz w:val="21"/>
                <w:szCs w:val="21"/>
              </w:rPr>
            </w:pPr>
          </w:p>
        </w:tc>
        <w:tc>
          <w:tcPr>
            <w:tcW w:w="217" w:type="dxa"/>
          </w:tcPr>
          <w:p w14:paraId="6D0CB763" w14:textId="77777777" w:rsidR="002C0FD9" w:rsidRPr="00CA25CF" w:rsidRDefault="002C0FD9" w:rsidP="00CA25CF">
            <w:pPr>
              <w:rPr>
                <w:rFonts w:cs="Arial"/>
                <w:color w:val="FF0000"/>
                <w:sz w:val="21"/>
                <w:szCs w:val="21"/>
              </w:rPr>
            </w:pPr>
          </w:p>
        </w:tc>
        <w:tc>
          <w:tcPr>
            <w:tcW w:w="217" w:type="dxa"/>
          </w:tcPr>
          <w:p w14:paraId="1BE433DF" w14:textId="77777777" w:rsidR="002C0FD9" w:rsidRPr="00CA25CF" w:rsidRDefault="002C0FD9" w:rsidP="00CA25CF">
            <w:pPr>
              <w:rPr>
                <w:rFonts w:cs="Arial"/>
                <w:color w:val="FF0000"/>
                <w:sz w:val="21"/>
                <w:szCs w:val="21"/>
              </w:rPr>
            </w:pPr>
          </w:p>
        </w:tc>
        <w:tc>
          <w:tcPr>
            <w:tcW w:w="217" w:type="dxa"/>
          </w:tcPr>
          <w:p w14:paraId="1CA6C2DD" w14:textId="77777777" w:rsidR="002C0FD9" w:rsidRPr="00CA25CF" w:rsidRDefault="002C0FD9" w:rsidP="00CA25CF">
            <w:pPr>
              <w:rPr>
                <w:rFonts w:cs="Arial"/>
                <w:color w:val="FF0000"/>
                <w:sz w:val="21"/>
                <w:szCs w:val="21"/>
              </w:rPr>
            </w:pPr>
          </w:p>
        </w:tc>
        <w:tc>
          <w:tcPr>
            <w:tcW w:w="217" w:type="dxa"/>
          </w:tcPr>
          <w:p w14:paraId="448E4B63" w14:textId="77777777" w:rsidR="002C0FD9" w:rsidRPr="00CA25CF" w:rsidRDefault="002C0FD9" w:rsidP="00CA25CF">
            <w:pPr>
              <w:rPr>
                <w:rFonts w:cs="Arial"/>
                <w:color w:val="FF0000"/>
                <w:sz w:val="21"/>
                <w:szCs w:val="21"/>
              </w:rPr>
            </w:pPr>
          </w:p>
        </w:tc>
        <w:tc>
          <w:tcPr>
            <w:tcW w:w="217" w:type="dxa"/>
          </w:tcPr>
          <w:p w14:paraId="21EEEA29" w14:textId="77777777" w:rsidR="002C0FD9" w:rsidRPr="00CA25CF" w:rsidRDefault="002C0FD9" w:rsidP="00CA25CF">
            <w:pPr>
              <w:rPr>
                <w:rFonts w:cs="Arial"/>
                <w:color w:val="FF0000"/>
                <w:sz w:val="21"/>
                <w:szCs w:val="21"/>
              </w:rPr>
            </w:pPr>
          </w:p>
        </w:tc>
        <w:tc>
          <w:tcPr>
            <w:tcW w:w="217" w:type="dxa"/>
          </w:tcPr>
          <w:p w14:paraId="6599EE86" w14:textId="77777777" w:rsidR="002C0FD9" w:rsidRPr="00CA25CF" w:rsidRDefault="002C0FD9" w:rsidP="00CA25CF">
            <w:pPr>
              <w:rPr>
                <w:rFonts w:cs="Arial"/>
                <w:color w:val="FF0000"/>
                <w:sz w:val="21"/>
                <w:szCs w:val="21"/>
              </w:rPr>
            </w:pPr>
          </w:p>
        </w:tc>
        <w:tc>
          <w:tcPr>
            <w:tcW w:w="217" w:type="dxa"/>
          </w:tcPr>
          <w:p w14:paraId="5D607D65" w14:textId="77777777" w:rsidR="002C0FD9" w:rsidRPr="00CA25CF" w:rsidRDefault="002C0FD9" w:rsidP="00CA25CF">
            <w:pPr>
              <w:rPr>
                <w:rFonts w:cs="Arial"/>
                <w:color w:val="FF0000"/>
                <w:sz w:val="21"/>
                <w:szCs w:val="21"/>
              </w:rPr>
            </w:pPr>
          </w:p>
        </w:tc>
        <w:tc>
          <w:tcPr>
            <w:tcW w:w="217" w:type="dxa"/>
          </w:tcPr>
          <w:p w14:paraId="59B7690D" w14:textId="77777777" w:rsidR="002C0FD9" w:rsidRPr="00CA25CF" w:rsidRDefault="002C0FD9" w:rsidP="00CA25CF">
            <w:pPr>
              <w:rPr>
                <w:rFonts w:cs="Arial"/>
                <w:color w:val="FF0000"/>
                <w:sz w:val="21"/>
                <w:szCs w:val="21"/>
              </w:rPr>
            </w:pPr>
          </w:p>
        </w:tc>
        <w:tc>
          <w:tcPr>
            <w:tcW w:w="217" w:type="dxa"/>
          </w:tcPr>
          <w:p w14:paraId="6C45FDFF" w14:textId="77777777" w:rsidR="002C0FD9" w:rsidRPr="00CA25CF" w:rsidRDefault="002C0FD9" w:rsidP="00CA25CF">
            <w:pPr>
              <w:rPr>
                <w:rFonts w:cs="Arial"/>
                <w:color w:val="FF0000"/>
                <w:sz w:val="21"/>
                <w:szCs w:val="21"/>
              </w:rPr>
            </w:pPr>
          </w:p>
        </w:tc>
        <w:tc>
          <w:tcPr>
            <w:tcW w:w="217" w:type="dxa"/>
          </w:tcPr>
          <w:p w14:paraId="542E1D84" w14:textId="77777777" w:rsidR="002C0FD9" w:rsidRPr="00CA25CF" w:rsidRDefault="002C0FD9" w:rsidP="00CA25CF">
            <w:pPr>
              <w:rPr>
                <w:rFonts w:cs="Arial"/>
                <w:color w:val="FF0000"/>
                <w:sz w:val="21"/>
                <w:szCs w:val="21"/>
              </w:rPr>
            </w:pPr>
          </w:p>
        </w:tc>
        <w:tc>
          <w:tcPr>
            <w:tcW w:w="217" w:type="dxa"/>
          </w:tcPr>
          <w:p w14:paraId="082F30CA" w14:textId="77777777" w:rsidR="002C0FD9" w:rsidRPr="00CA25CF" w:rsidRDefault="002C0FD9" w:rsidP="00CA25CF">
            <w:pPr>
              <w:rPr>
                <w:rFonts w:cs="Arial"/>
                <w:color w:val="FF0000"/>
                <w:sz w:val="21"/>
                <w:szCs w:val="21"/>
              </w:rPr>
            </w:pPr>
          </w:p>
        </w:tc>
        <w:tc>
          <w:tcPr>
            <w:tcW w:w="217" w:type="dxa"/>
          </w:tcPr>
          <w:p w14:paraId="156F7513" w14:textId="77777777" w:rsidR="002C0FD9" w:rsidRPr="00CA25CF" w:rsidRDefault="002C0FD9" w:rsidP="00CA25CF">
            <w:pPr>
              <w:rPr>
                <w:rFonts w:cs="Arial"/>
                <w:color w:val="FF0000"/>
                <w:sz w:val="21"/>
                <w:szCs w:val="21"/>
              </w:rPr>
            </w:pPr>
          </w:p>
        </w:tc>
        <w:tc>
          <w:tcPr>
            <w:tcW w:w="217" w:type="dxa"/>
          </w:tcPr>
          <w:p w14:paraId="6FEB1C83" w14:textId="77777777" w:rsidR="002C0FD9" w:rsidRPr="00CA25CF" w:rsidRDefault="002C0FD9" w:rsidP="00CA25CF">
            <w:pPr>
              <w:rPr>
                <w:rFonts w:cs="Arial"/>
                <w:color w:val="FF0000"/>
                <w:sz w:val="21"/>
                <w:szCs w:val="21"/>
              </w:rPr>
            </w:pPr>
          </w:p>
        </w:tc>
        <w:tc>
          <w:tcPr>
            <w:tcW w:w="217" w:type="dxa"/>
          </w:tcPr>
          <w:p w14:paraId="29B1B9CA" w14:textId="77777777" w:rsidR="002C0FD9" w:rsidRPr="00CA25CF" w:rsidRDefault="002C0FD9" w:rsidP="00CA25CF">
            <w:pPr>
              <w:rPr>
                <w:rFonts w:cs="Arial"/>
                <w:color w:val="FF0000"/>
                <w:sz w:val="21"/>
                <w:szCs w:val="21"/>
              </w:rPr>
            </w:pPr>
          </w:p>
        </w:tc>
        <w:tc>
          <w:tcPr>
            <w:tcW w:w="217" w:type="dxa"/>
          </w:tcPr>
          <w:p w14:paraId="223138F3" w14:textId="77777777" w:rsidR="002C0FD9" w:rsidRPr="00CA25CF" w:rsidRDefault="002C0FD9" w:rsidP="00CA25CF">
            <w:pPr>
              <w:rPr>
                <w:rFonts w:cs="Arial"/>
                <w:color w:val="FF0000"/>
                <w:sz w:val="21"/>
                <w:szCs w:val="21"/>
              </w:rPr>
            </w:pPr>
          </w:p>
        </w:tc>
        <w:tc>
          <w:tcPr>
            <w:tcW w:w="217" w:type="dxa"/>
          </w:tcPr>
          <w:p w14:paraId="55628F74" w14:textId="77777777" w:rsidR="002C0FD9" w:rsidRPr="00CA25CF" w:rsidRDefault="002C0FD9" w:rsidP="00CA25CF">
            <w:pPr>
              <w:rPr>
                <w:rFonts w:cs="Arial"/>
                <w:color w:val="FF0000"/>
                <w:sz w:val="21"/>
                <w:szCs w:val="21"/>
              </w:rPr>
            </w:pPr>
          </w:p>
        </w:tc>
        <w:tc>
          <w:tcPr>
            <w:tcW w:w="217" w:type="dxa"/>
          </w:tcPr>
          <w:p w14:paraId="4126326D" w14:textId="77777777" w:rsidR="002C0FD9" w:rsidRPr="00CA25CF" w:rsidRDefault="002C0FD9" w:rsidP="00CA25CF">
            <w:pPr>
              <w:rPr>
                <w:rFonts w:cs="Arial"/>
                <w:color w:val="FF0000"/>
                <w:sz w:val="21"/>
                <w:szCs w:val="21"/>
              </w:rPr>
            </w:pPr>
          </w:p>
        </w:tc>
        <w:tc>
          <w:tcPr>
            <w:tcW w:w="217" w:type="dxa"/>
          </w:tcPr>
          <w:p w14:paraId="71695EE7" w14:textId="77777777" w:rsidR="002C0FD9" w:rsidRPr="00CA25CF" w:rsidRDefault="002C0FD9" w:rsidP="00CA25CF">
            <w:pPr>
              <w:rPr>
                <w:rFonts w:cs="Arial"/>
                <w:color w:val="FF0000"/>
                <w:sz w:val="21"/>
                <w:szCs w:val="21"/>
              </w:rPr>
            </w:pPr>
          </w:p>
        </w:tc>
        <w:tc>
          <w:tcPr>
            <w:tcW w:w="217" w:type="dxa"/>
          </w:tcPr>
          <w:p w14:paraId="726AC5EA" w14:textId="77777777" w:rsidR="002C0FD9" w:rsidRPr="00CA25CF" w:rsidRDefault="002C0FD9" w:rsidP="00CA25CF">
            <w:pPr>
              <w:rPr>
                <w:rFonts w:cs="Arial"/>
                <w:color w:val="FF0000"/>
                <w:sz w:val="21"/>
                <w:szCs w:val="21"/>
              </w:rPr>
            </w:pPr>
          </w:p>
        </w:tc>
        <w:tc>
          <w:tcPr>
            <w:tcW w:w="217" w:type="dxa"/>
          </w:tcPr>
          <w:p w14:paraId="0537A7E9" w14:textId="77777777" w:rsidR="002C0FD9" w:rsidRPr="00CA25CF" w:rsidRDefault="002C0FD9" w:rsidP="00CA25CF">
            <w:pPr>
              <w:rPr>
                <w:rFonts w:cs="Arial"/>
                <w:color w:val="FF0000"/>
                <w:sz w:val="21"/>
                <w:szCs w:val="21"/>
              </w:rPr>
            </w:pPr>
          </w:p>
        </w:tc>
        <w:tc>
          <w:tcPr>
            <w:tcW w:w="217" w:type="dxa"/>
          </w:tcPr>
          <w:p w14:paraId="43313989" w14:textId="77777777" w:rsidR="002C0FD9" w:rsidRPr="00CA25CF" w:rsidRDefault="002C0FD9" w:rsidP="00CA25CF">
            <w:pPr>
              <w:rPr>
                <w:rFonts w:cs="Arial"/>
                <w:color w:val="FF0000"/>
                <w:sz w:val="21"/>
                <w:szCs w:val="21"/>
              </w:rPr>
            </w:pPr>
          </w:p>
        </w:tc>
        <w:tc>
          <w:tcPr>
            <w:tcW w:w="217" w:type="dxa"/>
          </w:tcPr>
          <w:p w14:paraId="527916D5" w14:textId="77777777" w:rsidR="002C0FD9" w:rsidRPr="00CA25CF" w:rsidRDefault="002C0FD9" w:rsidP="00CA25CF">
            <w:pPr>
              <w:rPr>
                <w:rFonts w:cs="Arial"/>
                <w:color w:val="FF0000"/>
                <w:sz w:val="21"/>
                <w:szCs w:val="21"/>
              </w:rPr>
            </w:pPr>
          </w:p>
        </w:tc>
        <w:tc>
          <w:tcPr>
            <w:tcW w:w="217" w:type="dxa"/>
          </w:tcPr>
          <w:p w14:paraId="0A6DCFF6" w14:textId="77777777" w:rsidR="002C0FD9" w:rsidRPr="00CA25CF" w:rsidRDefault="002C0FD9" w:rsidP="00CA25CF">
            <w:pPr>
              <w:rPr>
                <w:rFonts w:cs="Arial"/>
                <w:color w:val="FF0000"/>
                <w:sz w:val="21"/>
                <w:szCs w:val="21"/>
              </w:rPr>
            </w:pPr>
          </w:p>
        </w:tc>
        <w:tc>
          <w:tcPr>
            <w:tcW w:w="217" w:type="dxa"/>
          </w:tcPr>
          <w:p w14:paraId="31CFB708" w14:textId="77777777" w:rsidR="002C0FD9" w:rsidRPr="00CA25CF" w:rsidRDefault="002C0FD9" w:rsidP="00CA25CF">
            <w:pPr>
              <w:rPr>
                <w:rFonts w:cs="Arial"/>
                <w:color w:val="FF0000"/>
                <w:sz w:val="21"/>
                <w:szCs w:val="21"/>
              </w:rPr>
            </w:pPr>
          </w:p>
        </w:tc>
        <w:tc>
          <w:tcPr>
            <w:tcW w:w="217" w:type="dxa"/>
          </w:tcPr>
          <w:p w14:paraId="08AD7D42" w14:textId="77777777" w:rsidR="002C0FD9" w:rsidRPr="00CA25CF" w:rsidRDefault="002C0FD9" w:rsidP="00CA25CF">
            <w:pPr>
              <w:rPr>
                <w:rFonts w:cs="Arial"/>
                <w:color w:val="FF0000"/>
                <w:sz w:val="21"/>
                <w:szCs w:val="21"/>
              </w:rPr>
            </w:pPr>
          </w:p>
        </w:tc>
        <w:tc>
          <w:tcPr>
            <w:tcW w:w="217" w:type="dxa"/>
          </w:tcPr>
          <w:p w14:paraId="02AB0E2B" w14:textId="77777777" w:rsidR="002C0FD9" w:rsidRPr="00CA25CF" w:rsidRDefault="002C0FD9" w:rsidP="00CA25CF">
            <w:pPr>
              <w:rPr>
                <w:rFonts w:cs="Arial"/>
                <w:color w:val="FF0000"/>
                <w:sz w:val="21"/>
                <w:szCs w:val="21"/>
              </w:rPr>
            </w:pPr>
          </w:p>
        </w:tc>
        <w:tc>
          <w:tcPr>
            <w:tcW w:w="217" w:type="dxa"/>
          </w:tcPr>
          <w:p w14:paraId="774B3C25" w14:textId="77777777" w:rsidR="002C0FD9" w:rsidRPr="00CA25CF" w:rsidRDefault="002C0FD9" w:rsidP="00CA25CF">
            <w:pPr>
              <w:rPr>
                <w:rFonts w:cs="Arial"/>
                <w:color w:val="FF0000"/>
                <w:sz w:val="21"/>
                <w:szCs w:val="21"/>
              </w:rPr>
            </w:pPr>
          </w:p>
        </w:tc>
        <w:tc>
          <w:tcPr>
            <w:tcW w:w="217" w:type="dxa"/>
          </w:tcPr>
          <w:p w14:paraId="1C4F3DF3" w14:textId="77777777" w:rsidR="002C0FD9" w:rsidRPr="00CA25CF" w:rsidRDefault="002C0FD9" w:rsidP="00CA25CF">
            <w:pPr>
              <w:rPr>
                <w:rFonts w:cs="Arial"/>
                <w:color w:val="FF0000"/>
                <w:sz w:val="21"/>
                <w:szCs w:val="21"/>
              </w:rPr>
            </w:pPr>
          </w:p>
        </w:tc>
        <w:tc>
          <w:tcPr>
            <w:tcW w:w="217" w:type="dxa"/>
          </w:tcPr>
          <w:p w14:paraId="270849E7" w14:textId="77777777" w:rsidR="002C0FD9" w:rsidRPr="00CA25CF" w:rsidRDefault="002C0FD9" w:rsidP="00CA25CF">
            <w:pPr>
              <w:rPr>
                <w:rFonts w:cs="Arial"/>
                <w:color w:val="FF0000"/>
                <w:sz w:val="21"/>
                <w:szCs w:val="21"/>
              </w:rPr>
            </w:pPr>
          </w:p>
        </w:tc>
        <w:tc>
          <w:tcPr>
            <w:tcW w:w="217" w:type="dxa"/>
          </w:tcPr>
          <w:p w14:paraId="0407E65B" w14:textId="77777777" w:rsidR="002C0FD9" w:rsidRPr="00CA25CF" w:rsidRDefault="002C0FD9" w:rsidP="00CA25CF">
            <w:pPr>
              <w:rPr>
                <w:rFonts w:cs="Arial"/>
                <w:color w:val="FF0000"/>
                <w:sz w:val="21"/>
                <w:szCs w:val="21"/>
              </w:rPr>
            </w:pPr>
          </w:p>
        </w:tc>
        <w:tc>
          <w:tcPr>
            <w:tcW w:w="217" w:type="dxa"/>
          </w:tcPr>
          <w:p w14:paraId="3E1CF6D1" w14:textId="77777777" w:rsidR="002C0FD9" w:rsidRPr="00CA25CF" w:rsidRDefault="002C0FD9" w:rsidP="00CA25CF">
            <w:pPr>
              <w:rPr>
                <w:rFonts w:cs="Arial"/>
                <w:color w:val="FF0000"/>
                <w:sz w:val="21"/>
                <w:szCs w:val="21"/>
              </w:rPr>
            </w:pPr>
          </w:p>
        </w:tc>
        <w:tc>
          <w:tcPr>
            <w:tcW w:w="217" w:type="dxa"/>
          </w:tcPr>
          <w:p w14:paraId="78358DE2" w14:textId="77777777" w:rsidR="002C0FD9" w:rsidRPr="00CA25CF" w:rsidRDefault="002C0FD9" w:rsidP="00CA25CF">
            <w:pPr>
              <w:rPr>
                <w:rFonts w:cs="Arial"/>
                <w:color w:val="FF0000"/>
                <w:sz w:val="21"/>
                <w:szCs w:val="21"/>
              </w:rPr>
            </w:pPr>
          </w:p>
        </w:tc>
        <w:tc>
          <w:tcPr>
            <w:tcW w:w="217" w:type="dxa"/>
          </w:tcPr>
          <w:p w14:paraId="39910EC3" w14:textId="77777777" w:rsidR="002C0FD9" w:rsidRPr="00CA25CF" w:rsidRDefault="002C0FD9" w:rsidP="00CA25CF">
            <w:pPr>
              <w:rPr>
                <w:rFonts w:cs="Arial"/>
                <w:color w:val="FF0000"/>
                <w:sz w:val="21"/>
                <w:szCs w:val="21"/>
              </w:rPr>
            </w:pPr>
          </w:p>
        </w:tc>
        <w:tc>
          <w:tcPr>
            <w:tcW w:w="217" w:type="dxa"/>
          </w:tcPr>
          <w:p w14:paraId="0CF02BD4" w14:textId="77777777" w:rsidR="002C0FD9" w:rsidRPr="00CA25CF" w:rsidRDefault="002C0FD9" w:rsidP="00CA25CF">
            <w:pPr>
              <w:rPr>
                <w:rFonts w:cs="Arial"/>
                <w:color w:val="FF0000"/>
                <w:sz w:val="21"/>
                <w:szCs w:val="21"/>
              </w:rPr>
            </w:pPr>
          </w:p>
        </w:tc>
      </w:tr>
      <w:tr w:rsidR="002C0FD9" w:rsidRPr="00A16219" w14:paraId="2A5AD43D" w14:textId="77777777" w:rsidTr="002C0FD9">
        <w:trPr>
          <w:trHeight w:val="635"/>
        </w:trPr>
        <w:tc>
          <w:tcPr>
            <w:tcW w:w="515" w:type="dxa"/>
          </w:tcPr>
          <w:p w14:paraId="23CC52E7" w14:textId="77777777" w:rsidR="002C0FD9" w:rsidRPr="00CA25CF" w:rsidRDefault="002C0FD9" w:rsidP="00CA25CF">
            <w:pPr>
              <w:rPr>
                <w:rFonts w:cs="Arial"/>
                <w:color w:val="FF0000"/>
                <w:sz w:val="21"/>
                <w:szCs w:val="21"/>
              </w:rPr>
            </w:pPr>
          </w:p>
        </w:tc>
        <w:tc>
          <w:tcPr>
            <w:tcW w:w="217" w:type="dxa"/>
          </w:tcPr>
          <w:p w14:paraId="70951F96" w14:textId="77777777" w:rsidR="002C0FD9" w:rsidRPr="00CA25CF" w:rsidRDefault="002C0FD9" w:rsidP="00CA25CF">
            <w:pPr>
              <w:rPr>
                <w:rFonts w:cs="Arial"/>
                <w:color w:val="FF0000"/>
                <w:sz w:val="21"/>
                <w:szCs w:val="21"/>
              </w:rPr>
            </w:pPr>
          </w:p>
        </w:tc>
        <w:tc>
          <w:tcPr>
            <w:tcW w:w="217" w:type="dxa"/>
          </w:tcPr>
          <w:p w14:paraId="23E9BC1F" w14:textId="77777777" w:rsidR="002C0FD9" w:rsidRPr="00CA25CF" w:rsidRDefault="002C0FD9" w:rsidP="00CA25CF">
            <w:pPr>
              <w:rPr>
                <w:rFonts w:cs="Arial"/>
                <w:color w:val="FF0000"/>
                <w:sz w:val="21"/>
                <w:szCs w:val="21"/>
              </w:rPr>
            </w:pPr>
          </w:p>
        </w:tc>
        <w:tc>
          <w:tcPr>
            <w:tcW w:w="217" w:type="dxa"/>
          </w:tcPr>
          <w:p w14:paraId="58E2CA0D" w14:textId="77777777" w:rsidR="002C0FD9" w:rsidRPr="00CA25CF" w:rsidRDefault="002C0FD9" w:rsidP="00CA25CF">
            <w:pPr>
              <w:rPr>
                <w:rFonts w:cs="Arial"/>
                <w:color w:val="FF0000"/>
                <w:sz w:val="21"/>
                <w:szCs w:val="21"/>
              </w:rPr>
            </w:pPr>
          </w:p>
        </w:tc>
        <w:tc>
          <w:tcPr>
            <w:tcW w:w="217" w:type="dxa"/>
          </w:tcPr>
          <w:p w14:paraId="0F6E37EE" w14:textId="77777777" w:rsidR="002C0FD9" w:rsidRPr="00CA25CF" w:rsidRDefault="002C0FD9" w:rsidP="00CA25CF">
            <w:pPr>
              <w:rPr>
                <w:rFonts w:cs="Arial"/>
                <w:color w:val="FF0000"/>
                <w:sz w:val="21"/>
                <w:szCs w:val="21"/>
              </w:rPr>
            </w:pPr>
          </w:p>
        </w:tc>
        <w:tc>
          <w:tcPr>
            <w:tcW w:w="217" w:type="dxa"/>
          </w:tcPr>
          <w:p w14:paraId="12646BD2" w14:textId="77777777" w:rsidR="002C0FD9" w:rsidRPr="00CA25CF" w:rsidRDefault="002C0FD9" w:rsidP="00CA25CF">
            <w:pPr>
              <w:rPr>
                <w:rFonts w:cs="Arial"/>
                <w:color w:val="FF0000"/>
                <w:sz w:val="21"/>
                <w:szCs w:val="21"/>
              </w:rPr>
            </w:pPr>
          </w:p>
        </w:tc>
        <w:tc>
          <w:tcPr>
            <w:tcW w:w="217" w:type="dxa"/>
          </w:tcPr>
          <w:p w14:paraId="31892045" w14:textId="77777777" w:rsidR="002C0FD9" w:rsidRPr="00CA25CF" w:rsidRDefault="002C0FD9" w:rsidP="00CA25CF">
            <w:pPr>
              <w:rPr>
                <w:rFonts w:cs="Arial"/>
                <w:color w:val="FF0000"/>
                <w:sz w:val="21"/>
                <w:szCs w:val="21"/>
              </w:rPr>
            </w:pPr>
          </w:p>
        </w:tc>
        <w:tc>
          <w:tcPr>
            <w:tcW w:w="217" w:type="dxa"/>
          </w:tcPr>
          <w:p w14:paraId="74A7CDC1" w14:textId="77777777" w:rsidR="002C0FD9" w:rsidRPr="00CA25CF" w:rsidRDefault="002C0FD9" w:rsidP="00CA25CF">
            <w:pPr>
              <w:rPr>
                <w:rFonts w:cs="Arial"/>
                <w:color w:val="FF0000"/>
                <w:sz w:val="21"/>
                <w:szCs w:val="21"/>
              </w:rPr>
            </w:pPr>
          </w:p>
        </w:tc>
        <w:tc>
          <w:tcPr>
            <w:tcW w:w="217" w:type="dxa"/>
          </w:tcPr>
          <w:p w14:paraId="648D6B62" w14:textId="77777777" w:rsidR="002C0FD9" w:rsidRPr="00CA25CF" w:rsidRDefault="002C0FD9" w:rsidP="00CA25CF">
            <w:pPr>
              <w:rPr>
                <w:rFonts w:cs="Arial"/>
                <w:color w:val="FF0000"/>
                <w:sz w:val="21"/>
                <w:szCs w:val="21"/>
              </w:rPr>
            </w:pPr>
          </w:p>
        </w:tc>
        <w:tc>
          <w:tcPr>
            <w:tcW w:w="217" w:type="dxa"/>
          </w:tcPr>
          <w:p w14:paraId="205D7BA0" w14:textId="77777777" w:rsidR="002C0FD9" w:rsidRPr="00CA25CF" w:rsidRDefault="002C0FD9" w:rsidP="00CA25CF">
            <w:pPr>
              <w:rPr>
                <w:rFonts w:cs="Arial"/>
                <w:color w:val="FF0000"/>
                <w:sz w:val="21"/>
                <w:szCs w:val="21"/>
              </w:rPr>
            </w:pPr>
          </w:p>
        </w:tc>
        <w:tc>
          <w:tcPr>
            <w:tcW w:w="217" w:type="dxa"/>
          </w:tcPr>
          <w:p w14:paraId="3D5C679E" w14:textId="77777777" w:rsidR="002C0FD9" w:rsidRPr="00CA25CF" w:rsidRDefault="002C0FD9" w:rsidP="00CA25CF">
            <w:pPr>
              <w:rPr>
                <w:rFonts w:cs="Arial"/>
                <w:color w:val="FF0000"/>
                <w:sz w:val="21"/>
                <w:szCs w:val="21"/>
              </w:rPr>
            </w:pPr>
          </w:p>
        </w:tc>
        <w:tc>
          <w:tcPr>
            <w:tcW w:w="217" w:type="dxa"/>
          </w:tcPr>
          <w:p w14:paraId="1CFFDE9C" w14:textId="77777777" w:rsidR="002C0FD9" w:rsidRPr="00CA25CF" w:rsidRDefault="002C0FD9" w:rsidP="00CA25CF">
            <w:pPr>
              <w:rPr>
                <w:rFonts w:cs="Arial"/>
                <w:color w:val="FF0000"/>
                <w:sz w:val="21"/>
                <w:szCs w:val="21"/>
              </w:rPr>
            </w:pPr>
          </w:p>
        </w:tc>
        <w:tc>
          <w:tcPr>
            <w:tcW w:w="217" w:type="dxa"/>
          </w:tcPr>
          <w:p w14:paraId="1F0BC1B8" w14:textId="77777777" w:rsidR="002C0FD9" w:rsidRPr="00CA25CF" w:rsidRDefault="002C0FD9" w:rsidP="00CA25CF">
            <w:pPr>
              <w:rPr>
                <w:rFonts w:cs="Arial"/>
                <w:color w:val="FF0000"/>
                <w:sz w:val="21"/>
                <w:szCs w:val="21"/>
              </w:rPr>
            </w:pPr>
          </w:p>
        </w:tc>
        <w:tc>
          <w:tcPr>
            <w:tcW w:w="217" w:type="dxa"/>
          </w:tcPr>
          <w:p w14:paraId="2113686B" w14:textId="77777777" w:rsidR="002C0FD9" w:rsidRPr="00CA25CF" w:rsidRDefault="002C0FD9" w:rsidP="00CA25CF">
            <w:pPr>
              <w:rPr>
                <w:rFonts w:cs="Arial"/>
                <w:color w:val="FF0000"/>
                <w:sz w:val="21"/>
                <w:szCs w:val="21"/>
              </w:rPr>
            </w:pPr>
          </w:p>
        </w:tc>
        <w:tc>
          <w:tcPr>
            <w:tcW w:w="217" w:type="dxa"/>
          </w:tcPr>
          <w:p w14:paraId="009989AC" w14:textId="77777777" w:rsidR="002C0FD9" w:rsidRPr="00CA25CF" w:rsidRDefault="002C0FD9" w:rsidP="00CA25CF">
            <w:pPr>
              <w:rPr>
                <w:rFonts w:cs="Arial"/>
                <w:color w:val="FF0000"/>
                <w:sz w:val="21"/>
                <w:szCs w:val="21"/>
              </w:rPr>
            </w:pPr>
          </w:p>
        </w:tc>
        <w:tc>
          <w:tcPr>
            <w:tcW w:w="217" w:type="dxa"/>
          </w:tcPr>
          <w:p w14:paraId="1D4332D3" w14:textId="77777777" w:rsidR="002C0FD9" w:rsidRPr="00CA25CF" w:rsidRDefault="002C0FD9" w:rsidP="00CA25CF">
            <w:pPr>
              <w:rPr>
                <w:rFonts w:cs="Arial"/>
                <w:color w:val="FF0000"/>
                <w:sz w:val="21"/>
                <w:szCs w:val="21"/>
              </w:rPr>
            </w:pPr>
          </w:p>
        </w:tc>
        <w:tc>
          <w:tcPr>
            <w:tcW w:w="217" w:type="dxa"/>
          </w:tcPr>
          <w:p w14:paraId="360189FE" w14:textId="77777777" w:rsidR="002C0FD9" w:rsidRPr="00CA25CF" w:rsidRDefault="002C0FD9" w:rsidP="00CA25CF">
            <w:pPr>
              <w:rPr>
                <w:rFonts w:cs="Arial"/>
                <w:color w:val="FF0000"/>
                <w:sz w:val="21"/>
                <w:szCs w:val="21"/>
              </w:rPr>
            </w:pPr>
          </w:p>
        </w:tc>
        <w:tc>
          <w:tcPr>
            <w:tcW w:w="217" w:type="dxa"/>
          </w:tcPr>
          <w:p w14:paraId="7417A33C" w14:textId="77777777" w:rsidR="002C0FD9" w:rsidRPr="00CA25CF" w:rsidRDefault="002C0FD9" w:rsidP="00CA25CF">
            <w:pPr>
              <w:rPr>
                <w:rFonts w:cs="Arial"/>
                <w:color w:val="FF0000"/>
                <w:sz w:val="21"/>
                <w:szCs w:val="21"/>
              </w:rPr>
            </w:pPr>
          </w:p>
        </w:tc>
        <w:tc>
          <w:tcPr>
            <w:tcW w:w="217" w:type="dxa"/>
          </w:tcPr>
          <w:p w14:paraId="49DE21BE" w14:textId="77777777" w:rsidR="002C0FD9" w:rsidRPr="00CA25CF" w:rsidRDefault="002C0FD9" w:rsidP="00CA25CF">
            <w:pPr>
              <w:rPr>
                <w:rFonts w:cs="Arial"/>
                <w:color w:val="FF0000"/>
                <w:sz w:val="21"/>
                <w:szCs w:val="21"/>
              </w:rPr>
            </w:pPr>
          </w:p>
        </w:tc>
        <w:tc>
          <w:tcPr>
            <w:tcW w:w="217" w:type="dxa"/>
          </w:tcPr>
          <w:p w14:paraId="69C153E8" w14:textId="77777777" w:rsidR="002C0FD9" w:rsidRPr="00CA25CF" w:rsidRDefault="002C0FD9" w:rsidP="00CA25CF">
            <w:pPr>
              <w:rPr>
                <w:rFonts w:cs="Arial"/>
                <w:color w:val="FF0000"/>
                <w:sz w:val="21"/>
                <w:szCs w:val="21"/>
              </w:rPr>
            </w:pPr>
          </w:p>
        </w:tc>
        <w:tc>
          <w:tcPr>
            <w:tcW w:w="217" w:type="dxa"/>
          </w:tcPr>
          <w:p w14:paraId="38BCDBF9" w14:textId="77777777" w:rsidR="002C0FD9" w:rsidRPr="00CA25CF" w:rsidRDefault="002C0FD9" w:rsidP="00CA25CF">
            <w:pPr>
              <w:rPr>
                <w:rFonts w:cs="Arial"/>
                <w:color w:val="FF0000"/>
                <w:sz w:val="21"/>
                <w:szCs w:val="21"/>
              </w:rPr>
            </w:pPr>
          </w:p>
        </w:tc>
        <w:tc>
          <w:tcPr>
            <w:tcW w:w="217" w:type="dxa"/>
          </w:tcPr>
          <w:p w14:paraId="404FC07D" w14:textId="77777777" w:rsidR="002C0FD9" w:rsidRPr="00CA25CF" w:rsidRDefault="002C0FD9" w:rsidP="00CA25CF">
            <w:pPr>
              <w:rPr>
                <w:rFonts w:cs="Arial"/>
                <w:color w:val="FF0000"/>
                <w:sz w:val="21"/>
                <w:szCs w:val="21"/>
              </w:rPr>
            </w:pPr>
          </w:p>
        </w:tc>
        <w:tc>
          <w:tcPr>
            <w:tcW w:w="217" w:type="dxa"/>
          </w:tcPr>
          <w:p w14:paraId="4E985DDE" w14:textId="77777777" w:rsidR="002C0FD9" w:rsidRPr="00CA25CF" w:rsidRDefault="002C0FD9" w:rsidP="00CA25CF">
            <w:pPr>
              <w:rPr>
                <w:rFonts w:cs="Arial"/>
                <w:color w:val="FF0000"/>
                <w:sz w:val="21"/>
                <w:szCs w:val="21"/>
              </w:rPr>
            </w:pPr>
          </w:p>
        </w:tc>
        <w:tc>
          <w:tcPr>
            <w:tcW w:w="217" w:type="dxa"/>
          </w:tcPr>
          <w:p w14:paraId="4655DB0D" w14:textId="77777777" w:rsidR="002C0FD9" w:rsidRPr="00CA25CF" w:rsidRDefault="002C0FD9" w:rsidP="00CA25CF">
            <w:pPr>
              <w:rPr>
                <w:rFonts w:cs="Arial"/>
                <w:color w:val="FF0000"/>
                <w:sz w:val="21"/>
                <w:szCs w:val="21"/>
              </w:rPr>
            </w:pPr>
          </w:p>
        </w:tc>
        <w:tc>
          <w:tcPr>
            <w:tcW w:w="217" w:type="dxa"/>
          </w:tcPr>
          <w:p w14:paraId="66C14D8C" w14:textId="77777777" w:rsidR="002C0FD9" w:rsidRPr="00CA25CF" w:rsidRDefault="002C0FD9" w:rsidP="00CA25CF">
            <w:pPr>
              <w:rPr>
                <w:rFonts w:cs="Arial"/>
                <w:color w:val="FF0000"/>
                <w:sz w:val="21"/>
                <w:szCs w:val="21"/>
              </w:rPr>
            </w:pPr>
          </w:p>
        </w:tc>
        <w:tc>
          <w:tcPr>
            <w:tcW w:w="217" w:type="dxa"/>
          </w:tcPr>
          <w:p w14:paraId="20C8ED2C" w14:textId="77777777" w:rsidR="002C0FD9" w:rsidRPr="00CA25CF" w:rsidRDefault="002C0FD9" w:rsidP="00CA25CF">
            <w:pPr>
              <w:rPr>
                <w:rFonts w:cs="Arial"/>
                <w:color w:val="FF0000"/>
                <w:sz w:val="21"/>
                <w:szCs w:val="21"/>
              </w:rPr>
            </w:pPr>
          </w:p>
        </w:tc>
        <w:tc>
          <w:tcPr>
            <w:tcW w:w="217" w:type="dxa"/>
          </w:tcPr>
          <w:p w14:paraId="573F6762" w14:textId="77777777" w:rsidR="002C0FD9" w:rsidRPr="00CA25CF" w:rsidRDefault="002C0FD9" w:rsidP="00CA25CF">
            <w:pPr>
              <w:rPr>
                <w:rFonts w:cs="Arial"/>
                <w:color w:val="FF0000"/>
                <w:sz w:val="21"/>
                <w:szCs w:val="21"/>
              </w:rPr>
            </w:pPr>
          </w:p>
        </w:tc>
        <w:tc>
          <w:tcPr>
            <w:tcW w:w="217" w:type="dxa"/>
          </w:tcPr>
          <w:p w14:paraId="366DEF7F" w14:textId="77777777" w:rsidR="002C0FD9" w:rsidRPr="00CA25CF" w:rsidRDefault="002C0FD9" w:rsidP="00CA25CF">
            <w:pPr>
              <w:rPr>
                <w:rFonts w:cs="Arial"/>
                <w:color w:val="FF0000"/>
                <w:sz w:val="21"/>
                <w:szCs w:val="21"/>
              </w:rPr>
            </w:pPr>
          </w:p>
        </w:tc>
        <w:tc>
          <w:tcPr>
            <w:tcW w:w="217" w:type="dxa"/>
          </w:tcPr>
          <w:p w14:paraId="3289AD42" w14:textId="77777777" w:rsidR="002C0FD9" w:rsidRPr="00CA25CF" w:rsidRDefault="002C0FD9" w:rsidP="00CA25CF">
            <w:pPr>
              <w:rPr>
                <w:rFonts w:cs="Arial"/>
                <w:color w:val="FF0000"/>
                <w:sz w:val="21"/>
                <w:szCs w:val="21"/>
              </w:rPr>
            </w:pPr>
          </w:p>
        </w:tc>
        <w:tc>
          <w:tcPr>
            <w:tcW w:w="217" w:type="dxa"/>
          </w:tcPr>
          <w:p w14:paraId="66C899D0" w14:textId="77777777" w:rsidR="002C0FD9" w:rsidRPr="00CA25CF" w:rsidRDefault="002C0FD9" w:rsidP="00CA25CF">
            <w:pPr>
              <w:rPr>
                <w:rFonts w:cs="Arial"/>
                <w:color w:val="FF0000"/>
                <w:sz w:val="21"/>
                <w:szCs w:val="21"/>
              </w:rPr>
            </w:pPr>
          </w:p>
        </w:tc>
        <w:tc>
          <w:tcPr>
            <w:tcW w:w="217" w:type="dxa"/>
          </w:tcPr>
          <w:p w14:paraId="38C19C6D" w14:textId="77777777" w:rsidR="002C0FD9" w:rsidRPr="00CA25CF" w:rsidRDefault="002C0FD9" w:rsidP="00CA25CF">
            <w:pPr>
              <w:rPr>
                <w:rFonts w:cs="Arial"/>
                <w:color w:val="FF0000"/>
                <w:sz w:val="21"/>
                <w:szCs w:val="21"/>
              </w:rPr>
            </w:pPr>
          </w:p>
        </w:tc>
        <w:tc>
          <w:tcPr>
            <w:tcW w:w="217" w:type="dxa"/>
          </w:tcPr>
          <w:p w14:paraId="769ACF98" w14:textId="77777777" w:rsidR="002C0FD9" w:rsidRPr="00CA25CF" w:rsidRDefault="002C0FD9" w:rsidP="00CA25CF">
            <w:pPr>
              <w:rPr>
                <w:rFonts w:cs="Arial"/>
                <w:color w:val="FF0000"/>
                <w:sz w:val="21"/>
                <w:szCs w:val="21"/>
              </w:rPr>
            </w:pPr>
          </w:p>
        </w:tc>
        <w:tc>
          <w:tcPr>
            <w:tcW w:w="217" w:type="dxa"/>
          </w:tcPr>
          <w:p w14:paraId="2C1AFDCB" w14:textId="77777777" w:rsidR="002C0FD9" w:rsidRPr="00CA25CF" w:rsidRDefault="002C0FD9" w:rsidP="00CA25CF">
            <w:pPr>
              <w:rPr>
                <w:rFonts w:cs="Arial"/>
                <w:color w:val="FF0000"/>
                <w:sz w:val="21"/>
                <w:szCs w:val="21"/>
              </w:rPr>
            </w:pPr>
          </w:p>
        </w:tc>
        <w:tc>
          <w:tcPr>
            <w:tcW w:w="217" w:type="dxa"/>
          </w:tcPr>
          <w:p w14:paraId="22872D17" w14:textId="77777777" w:rsidR="002C0FD9" w:rsidRPr="00CA25CF" w:rsidRDefault="002C0FD9" w:rsidP="00CA25CF">
            <w:pPr>
              <w:rPr>
                <w:rFonts w:cs="Arial"/>
                <w:color w:val="FF0000"/>
                <w:sz w:val="21"/>
                <w:szCs w:val="21"/>
              </w:rPr>
            </w:pPr>
          </w:p>
        </w:tc>
        <w:tc>
          <w:tcPr>
            <w:tcW w:w="217" w:type="dxa"/>
          </w:tcPr>
          <w:p w14:paraId="36D984C0" w14:textId="77777777" w:rsidR="002C0FD9" w:rsidRPr="00CA25CF" w:rsidRDefault="002C0FD9" w:rsidP="00CA25CF">
            <w:pPr>
              <w:rPr>
                <w:rFonts w:cs="Arial"/>
                <w:color w:val="FF0000"/>
                <w:sz w:val="21"/>
                <w:szCs w:val="21"/>
              </w:rPr>
            </w:pPr>
          </w:p>
        </w:tc>
        <w:tc>
          <w:tcPr>
            <w:tcW w:w="217" w:type="dxa"/>
          </w:tcPr>
          <w:p w14:paraId="51C698D5" w14:textId="77777777" w:rsidR="002C0FD9" w:rsidRPr="00CA25CF" w:rsidRDefault="002C0FD9" w:rsidP="00CA25CF">
            <w:pPr>
              <w:rPr>
                <w:rFonts w:cs="Arial"/>
                <w:color w:val="FF0000"/>
                <w:sz w:val="21"/>
                <w:szCs w:val="21"/>
              </w:rPr>
            </w:pPr>
          </w:p>
        </w:tc>
        <w:tc>
          <w:tcPr>
            <w:tcW w:w="217" w:type="dxa"/>
          </w:tcPr>
          <w:p w14:paraId="4AE21079" w14:textId="77777777" w:rsidR="002C0FD9" w:rsidRPr="00CA25CF" w:rsidRDefault="002C0FD9" w:rsidP="00CA25CF">
            <w:pPr>
              <w:rPr>
                <w:rFonts w:cs="Arial"/>
                <w:color w:val="FF0000"/>
                <w:sz w:val="21"/>
                <w:szCs w:val="21"/>
              </w:rPr>
            </w:pPr>
          </w:p>
        </w:tc>
        <w:tc>
          <w:tcPr>
            <w:tcW w:w="217" w:type="dxa"/>
          </w:tcPr>
          <w:p w14:paraId="5D9EDDC7" w14:textId="77777777" w:rsidR="002C0FD9" w:rsidRPr="00CA25CF" w:rsidRDefault="002C0FD9" w:rsidP="00CA25CF">
            <w:pPr>
              <w:rPr>
                <w:rFonts w:cs="Arial"/>
                <w:color w:val="FF0000"/>
                <w:sz w:val="21"/>
                <w:szCs w:val="21"/>
              </w:rPr>
            </w:pPr>
          </w:p>
        </w:tc>
        <w:tc>
          <w:tcPr>
            <w:tcW w:w="217" w:type="dxa"/>
          </w:tcPr>
          <w:p w14:paraId="32AF03BF" w14:textId="77777777" w:rsidR="002C0FD9" w:rsidRPr="00CA25CF" w:rsidRDefault="002C0FD9" w:rsidP="00CA25CF">
            <w:pPr>
              <w:rPr>
                <w:rFonts w:cs="Arial"/>
                <w:color w:val="FF0000"/>
                <w:sz w:val="21"/>
                <w:szCs w:val="21"/>
              </w:rPr>
            </w:pPr>
          </w:p>
        </w:tc>
        <w:tc>
          <w:tcPr>
            <w:tcW w:w="217" w:type="dxa"/>
          </w:tcPr>
          <w:p w14:paraId="7F2F71CD" w14:textId="77777777" w:rsidR="002C0FD9" w:rsidRPr="00CA25CF" w:rsidRDefault="002C0FD9" w:rsidP="00CA25CF">
            <w:pPr>
              <w:rPr>
                <w:rFonts w:cs="Arial"/>
                <w:color w:val="FF0000"/>
                <w:sz w:val="21"/>
                <w:szCs w:val="21"/>
              </w:rPr>
            </w:pPr>
          </w:p>
        </w:tc>
        <w:tc>
          <w:tcPr>
            <w:tcW w:w="217" w:type="dxa"/>
          </w:tcPr>
          <w:p w14:paraId="5A2DC73F" w14:textId="77777777" w:rsidR="002C0FD9" w:rsidRPr="00CA25CF" w:rsidRDefault="002C0FD9" w:rsidP="00CA25CF">
            <w:pPr>
              <w:rPr>
                <w:rFonts w:cs="Arial"/>
                <w:color w:val="FF0000"/>
                <w:sz w:val="21"/>
                <w:szCs w:val="21"/>
              </w:rPr>
            </w:pPr>
          </w:p>
        </w:tc>
        <w:tc>
          <w:tcPr>
            <w:tcW w:w="217" w:type="dxa"/>
          </w:tcPr>
          <w:p w14:paraId="2941ACCE" w14:textId="77777777" w:rsidR="002C0FD9" w:rsidRPr="00CA25CF" w:rsidRDefault="002C0FD9" w:rsidP="00CA25CF">
            <w:pPr>
              <w:rPr>
                <w:rFonts w:cs="Arial"/>
                <w:color w:val="FF0000"/>
                <w:sz w:val="21"/>
                <w:szCs w:val="21"/>
              </w:rPr>
            </w:pPr>
          </w:p>
        </w:tc>
        <w:tc>
          <w:tcPr>
            <w:tcW w:w="217" w:type="dxa"/>
          </w:tcPr>
          <w:p w14:paraId="578F2A69" w14:textId="77777777" w:rsidR="002C0FD9" w:rsidRPr="00CA25CF" w:rsidRDefault="002C0FD9" w:rsidP="00CA25CF">
            <w:pPr>
              <w:rPr>
                <w:rFonts w:cs="Arial"/>
                <w:color w:val="FF0000"/>
                <w:sz w:val="21"/>
                <w:szCs w:val="21"/>
              </w:rPr>
            </w:pPr>
          </w:p>
        </w:tc>
      </w:tr>
      <w:tr w:rsidR="002C0FD9" w:rsidRPr="00A16219" w14:paraId="4F870339" w14:textId="77777777" w:rsidTr="002C0FD9">
        <w:trPr>
          <w:trHeight w:val="635"/>
        </w:trPr>
        <w:tc>
          <w:tcPr>
            <w:tcW w:w="515" w:type="dxa"/>
          </w:tcPr>
          <w:p w14:paraId="798CF6AF" w14:textId="77777777" w:rsidR="002C0FD9" w:rsidRPr="00CA25CF" w:rsidRDefault="002C0FD9" w:rsidP="00CA25CF">
            <w:pPr>
              <w:rPr>
                <w:rFonts w:cs="Arial"/>
                <w:color w:val="FF0000"/>
                <w:sz w:val="21"/>
                <w:szCs w:val="21"/>
              </w:rPr>
            </w:pPr>
          </w:p>
        </w:tc>
        <w:tc>
          <w:tcPr>
            <w:tcW w:w="217" w:type="dxa"/>
          </w:tcPr>
          <w:p w14:paraId="2FE07F34" w14:textId="77777777" w:rsidR="002C0FD9" w:rsidRPr="00CA25CF" w:rsidRDefault="002C0FD9" w:rsidP="00CA25CF">
            <w:pPr>
              <w:rPr>
                <w:rFonts w:cs="Arial"/>
                <w:color w:val="FF0000"/>
                <w:sz w:val="21"/>
                <w:szCs w:val="21"/>
              </w:rPr>
            </w:pPr>
          </w:p>
        </w:tc>
        <w:tc>
          <w:tcPr>
            <w:tcW w:w="217" w:type="dxa"/>
          </w:tcPr>
          <w:p w14:paraId="527CA975" w14:textId="77777777" w:rsidR="002C0FD9" w:rsidRPr="00CA25CF" w:rsidRDefault="002C0FD9" w:rsidP="00CA25CF">
            <w:pPr>
              <w:rPr>
                <w:rFonts w:cs="Arial"/>
                <w:color w:val="FF0000"/>
                <w:sz w:val="21"/>
                <w:szCs w:val="21"/>
              </w:rPr>
            </w:pPr>
          </w:p>
        </w:tc>
        <w:tc>
          <w:tcPr>
            <w:tcW w:w="217" w:type="dxa"/>
          </w:tcPr>
          <w:p w14:paraId="137DD6DB" w14:textId="77777777" w:rsidR="002C0FD9" w:rsidRPr="00CA25CF" w:rsidRDefault="002C0FD9" w:rsidP="00CA25CF">
            <w:pPr>
              <w:rPr>
                <w:rFonts w:cs="Arial"/>
                <w:color w:val="FF0000"/>
                <w:sz w:val="21"/>
                <w:szCs w:val="21"/>
              </w:rPr>
            </w:pPr>
          </w:p>
        </w:tc>
        <w:tc>
          <w:tcPr>
            <w:tcW w:w="217" w:type="dxa"/>
          </w:tcPr>
          <w:p w14:paraId="5DA851DE" w14:textId="77777777" w:rsidR="002C0FD9" w:rsidRPr="00CA25CF" w:rsidRDefault="002C0FD9" w:rsidP="00CA25CF">
            <w:pPr>
              <w:rPr>
                <w:rFonts w:cs="Arial"/>
                <w:color w:val="FF0000"/>
                <w:sz w:val="21"/>
                <w:szCs w:val="21"/>
              </w:rPr>
            </w:pPr>
          </w:p>
        </w:tc>
        <w:tc>
          <w:tcPr>
            <w:tcW w:w="217" w:type="dxa"/>
          </w:tcPr>
          <w:p w14:paraId="1D59A856" w14:textId="77777777" w:rsidR="002C0FD9" w:rsidRPr="00CA25CF" w:rsidRDefault="002C0FD9" w:rsidP="00CA25CF">
            <w:pPr>
              <w:rPr>
                <w:rFonts w:cs="Arial"/>
                <w:color w:val="FF0000"/>
                <w:sz w:val="21"/>
                <w:szCs w:val="21"/>
              </w:rPr>
            </w:pPr>
          </w:p>
        </w:tc>
        <w:tc>
          <w:tcPr>
            <w:tcW w:w="217" w:type="dxa"/>
          </w:tcPr>
          <w:p w14:paraId="139BBA4B" w14:textId="77777777" w:rsidR="002C0FD9" w:rsidRPr="00CA25CF" w:rsidRDefault="002C0FD9" w:rsidP="00CA25CF">
            <w:pPr>
              <w:rPr>
                <w:rFonts w:cs="Arial"/>
                <w:color w:val="FF0000"/>
                <w:sz w:val="21"/>
                <w:szCs w:val="21"/>
              </w:rPr>
            </w:pPr>
          </w:p>
        </w:tc>
        <w:tc>
          <w:tcPr>
            <w:tcW w:w="217" w:type="dxa"/>
          </w:tcPr>
          <w:p w14:paraId="58469AEC" w14:textId="77777777" w:rsidR="002C0FD9" w:rsidRPr="00CA25CF" w:rsidRDefault="002C0FD9" w:rsidP="00CA25CF">
            <w:pPr>
              <w:rPr>
                <w:rFonts w:cs="Arial"/>
                <w:color w:val="FF0000"/>
                <w:sz w:val="21"/>
                <w:szCs w:val="21"/>
              </w:rPr>
            </w:pPr>
          </w:p>
        </w:tc>
        <w:tc>
          <w:tcPr>
            <w:tcW w:w="217" w:type="dxa"/>
          </w:tcPr>
          <w:p w14:paraId="27B23B1C" w14:textId="77777777" w:rsidR="002C0FD9" w:rsidRPr="00CA25CF" w:rsidRDefault="002C0FD9" w:rsidP="00CA25CF">
            <w:pPr>
              <w:rPr>
                <w:rFonts w:cs="Arial"/>
                <w:color w:val="FF0000"/>
                <w:sz w:val="21"/>
                <w:szCs w:val="21"/>
              </w:rPr>
            </w:pPr>
          </w:p>
        </w:tc>
        <w:tc>
          <w:tcPr>
            <w:tcW w:w="217" w:type="dxa"/>
          </w:tcPr>
          <w:p w14:paraId="7B925FCF" w14:textId="77777777" w:rsidR="002C0FD9" w:rsidRPr="00CA25CF" w:rsidRDefault="002C0FD9" w:rsidP="00CA25CF">
            <w:pPr>
              <w:rPr>
                <w:rFonts w:cs="Arial"/>
                <w:color w:val="FF0000"/>
                <w:sz w:val="21"/>
                <w:szCs w:val="21"/>
              </w:rPr>
            </w:pPr>
          </w:p>
        </w:tc>
        <w:tc>
          <w:tcPr>
            <w:tcW w:w="217" w:type="dxa"/>
          </w:tcPr>
          <w:p w14:paraId="397282B5" w14:textId="77777777" w:rsidR="002C0FD9" w:rsidRPr="00CA25CF" w:rsidRDefault="002C0FD9" w:rsidP="00CA25CF">
            <w:pPr>
              <w:rPr>
                <w:rFonts w:cs="Arial"/>
                <w:color w:val="FF0000"/>
                <w:sz w:val="21"/>
                <w:szCs w:val="21"/>
              </w:rPr>
            </w:pPr>
          </w:p>
        </w:tc>
        <w:tc>
          <w:tcPr>
            <w:tcW w:w="217" w:type="dxa"/>
          </w:tcPr>
          <w:p w14:paraId="790D32FE" w14:textId="77777777" w:rsidR="002C0FD9" w:rsidRPr="00CA25CF" w:rsidRDefault="002C0FD9" w:rsidP="00CA25CF">
            <w:pPr>
              <w:rPr>
                <w:rFonts w:cs="Arial"/>
                <w:color w:val="FF0000"/>
                <w:sz w:val="21"/>
                <w:szCs w:val="21"/>
              </w:rPr>
            </w:pPr>
          </w:p>
        </w:tc>
        <w:tc>
          <w:tcPr>
            <w:tcW w:w="217" w:type="dxa"/>
          </w:tcPr>
          <w:p w14:paraId="0A6A20EE" w14:textId="77777777" w:rsidR="002C0FD9" w:rsidRPr="00CA25CF" w:rsidRDefault="002C0FD9" w:rsidP="00CA25CF">
            <w:pPr>
              <w:rPr>
                <w:rFonts w:cs="Arial"/>
                <w:color w:val="FF0000"/>
                <w:sz w:val="21"/>
                <w:szCs w:val="21"/>
              </w:rPr>
            </w:pPr>
          </w:p>
        </w:tc>
        <w:tc>
          <w:tcPr>
            <w:tcW w:w="217" w:type="dxa"/>
          </w:tcPr>
          <w:p w14:paraId="247DF818" w14:textId="77777777" w:rsidR="002C0FD9" w:rsidRPr="00CA25CF" w:rsidRDefault="002C0FD9" w:rsidP="00CA25CF">
            <w:pPr>
              <w:rPr>
                <w:rFonts w:cs="Arial"/>
                <w:color w:val="FF0000"/>
                <w:sz w:val="21"/>
                <w:szCs w:val="21"/>
              </w:rPr>
            </w:pPr>
          </w:p>
        </w:tc>
        <w:tc>
          <w:tcPr>
            <w:tcW w:w="217" w:type="dxa"/>
          </w:tcPr>
          <w:p w14:paraId="0FA37BF3" w14:textId="77777777" w:rsidR="002C0FD9" w:rsidRPr="00CA25CF" w:rsidRDefault="002C0FD9" w:rsidP="00CA25CF">
            <w:pPr>
              <w:rPr>
                <w:rFonts w:cs="Arial"/>
                <w:color w:val="FF0000"/>
                <w:sz w:val="21"/>
                <w:szCs w:val="21"/>
              </w:rPr>
            </w:pPr>
          </w:p>
        </w:tc>
        <w:tc>
          <w:tcPr>
            <w:tcW w:w="217" w:type="dxa"/>
          </w:tcPr>
          <w:p w14:paraId="0DD6DAD8" w14:textId="77777777" w:rsidR="002C0FD9" w:rsidRPr="00CA25CF" w:rsidRDefault="002C0FD9" w:rsidP="00CA25CF">
            <w:pPr>
              <w:rPr>
                <w:rFonts w:cs="Arial"/>
                <w:color w:val="FF0000"/>
                <w:sz w:val="21"/>
                <w:szCs w:val="21"/>
              </w:rPr>
            </w:pPr>
          </w:p>
        </w:tc>
        <w:tc>
          <w:tcPr>
            <w:tcW w:w="217" w:type="dxa"/>
          </w:tcPr>
          <w:p w14:paraId="0696417A" w14:textId="77777777" w:rsidR="002C0FD9" w:rsidRPr="00CA25CF" w:rsidRDefault="002C0FD9" w:rsidP="00CA25CF">
            <w:pPr>
              <w:rPr>
                <w:rFonts w:cs="Arial"/>
                <w:color w:val="FF0000"/>
                <w:sz w:val="21"/>
                <w:szCs w:val="21"/>
              </w:rPr>
            </w:pPr>
          </w:p>
        </w:tc>
        <w:tc>
          <w:tcPr>
            <w:tcW w:w="217" w:type="dxa"/>
          </w:tcPr>
          <w:p w14:paraId="4D5A90DA" w14:textId="77777777" w:rsidR="002C0FD9" w:rsidRPr="00CA25CF" w:rsidRDefault="002C0FD9" w:rsidP="00CA25CF">
            <w:pPr>
              <w:rPr>
                <w:rFonts w:cs="Arial"/>
                <w:color w:val="FF0000"/>
                <w:sz w:val="21"/>
                <w:szCs w:val="21"/>
              </w:rPr>
            </w:pPr>
          </w:p>
        </w:tc>
        <w:tc>
          <w:tcPr>
            <w:tcW w:w="217" w:type="dxa"/>
          </w:tcPr>
          <w:p w14:paraId="2673E97E" w14:textId="77777777" w:rsidR="002C0FD9" w:rsidRPr="00CA25CF" w:rsidRDefault="002C0FD9" w:rsidP="00CA25CF">
            <w:pPr>
              <w:rPr>
                <w:rFonts w:cs="Arial"/>
                <w:color w:val="FF0000"/>
                <w:sz w:val="21"/>
                <w:szCs w:val="21"/>
              </w:rPr>
            </w:pPr>
          </w:p>
        </w:tc>
        <w:tc>
          <w:tcPr>
            <w:tcW w:w="217" w:type="dxa"/>
          </w:tcPr>
          <w:p w14:paraId="47D148A3" w14:textId="77777777" w:rsidR="002C0FD9" w:rsidRPr="00CA25CF" w:rsidRDefault="002C0FD9" w:rsidP="00CA25CF">
            <w:pPr>
              <w:rPr>
                <w:rFonts w:cs="Arial"/>
                <w:color w:val="FF0000"/>
                <w:sz w:val="21"/>
                <w:szCs w:val="21"/>
              </w:rPr>
            </w:pPr>
          </w:p>
        </w:tc>
        <w:tc>
          <w:tcPr>
            <w:tcW w:w="217" w:type="dxa"/>
          </w:tcPr>
          <w:p w14:paraId="42DC6217" w14:textId="77777777" w:rsidR="002C0FD9" w:rsidRPr="00CA25CF" w:rsidRDefault="002C0FD9" w:rsidP="00CA25CF">
            <w:pPr>
              <w:rPr>
                <w:rFonts w:cs="Arial"/>
                <w:color w:val="FF0000"/>
                <w:sz w:val="21"/>
                <w:szCs w:val="21"/>
              </w:rPr>
            </w:pPr>
          </w:p>
        </w:tc>
        <w:tc>
          <w:tcPr>
            <w:tcW w:w="217" w:type="dxa"/>
          </w:tcPr>
          <w:p w14:paraId="1BABF422" w14:textId="77777777" w:rsidR="002C0FD9" w:rsidRPr="00CA25CF" w:rsidRDefault="002C0FD9" w:rsidP="00CA25CF">
            <w:pPr>
              <w:rPr>
                <w:rFonts w:cs="Arial"/>
                <w:color w:val="FF0000"/>
                <w:sz w:val="21"/>
                <w:szCs w:val="21"/>
              </w:rPr>
            </w:pPr>
          </w:p>
        </w:tc>
        <w:tc>
          <w:tcPr>
            <w:tcW w:w="217" w:type="dxa"/>
          </w:tcPr>
          <w:p w14:paraId="2EC185C8" w14:textId="77777777" w:rsidR="002C0FD9" w:rsidRPr="00CA25CF" w:rsidRDefault="002C0FD9" w:rsidP="00CA25CF">
            <w:pPr>
              <w:rPr>
                <w:rFonts w:cs="Arial"/>
                <w:color w:val="FF0000"/>
                <w:sz w:val="21"/>
                <w:szCs w:val="21"/>
              </w:rPr>
            </w:pPr>
          </w:p>
        </w:tc>
        <w:tc>
          <w:tcPr>
            <w:tcW w:w="217" w:type="dxa"/>
          </w:tcPr>
          <w:p w14:paraId="513623CB" w14:textId="77777777" w:rsidR="002C0FD9" w:rsidRPr="00CA25CF" w:rsidRDefault="002C0FD9" w:rsidP="00CA25CF">
            <w:pPr>
              <w:rPr>
                <w:rFonts w:cs="Arial"/>
                <w:color w:val="FF0000"/>
                <w:sz w:val="21"/>
                <w:szCs w:val="21"/>
              </w:rPr>
            </w:pPr>
          </w:p>
        </w:tc>
        <w:tc>
          <w:tcPr>
            <w:tcW w:w="217" w:type="dxa"/>
          </w:tcPr>
          <w:p w14:paraId="2508104B" w14:textId="77777777" w:rsidR="002C0FD9" w:rsidRPr="00CA25CF" w:rsidRDefault="002C0FD9" w:rsidP="00CA25CF">
            <w:pPr>
              <w:rPr>
                <w:rFonts w:cs="Arial"/>
                <w:color w:val="FF0000"/>
                <w:sz w:val="21"/>
                <w:szCs w:val="21"/>
              </w:rPr>
            </w:pPr>
          </w:p>
        </w:tc>
        <w:tc>
          <w:tcPr>
            <w:tcW w:w="217" w:type="dxa"/>
          </w:tcPr>
          <w:p w14:paraId="4165D627" w14:textId="77777777" w:rsidR="002C0FD9" w:rsidRPr="00CA25CF" w:rsidRDefault="002C0FD9" w:rsidP="00CA25CF">
            <w:pPr>
              <w:rPr>
                <w:rFonts w:cs="Arial"/>
                <w:color w:val="FF0000"/>
                <w:sz w:val="21"/>
                <w:szCs w:val="21"/>
              </w:rPr>
            </w:pPr>
          </w:p>
        </w:tc>
        <w:tc>
          <w:tcPr>
            <w:tcW w:w="217" w:type="dxa"/>
          </w:tcPr>
          <w:p w14:paraId="7AD565E3" w14:textId="77777777" w:rsidR="002C0FD9" w:rsidRPr="00CA25CF" w:rsidRDefault="002C0FD9" w:rsidP="00CA25CF">
            <w:pPr>
              <w:rPr>
                <w:rFonts w:cs="Arial"/>
                <w:color w:val="FF0000"/>
                <w:sz w:val="21"/>
                <w:szCs w:val="21"/>
              </w:rPr>
            </w:pPr>
          </w:p>
        </w:tc>
        <w:tc>
          <w:tcPr>
            <w:tcW w:w="217" w:type="dxa"/>
          </w:tcPr>
          <w:p w14:paraId="67B2BFDB" w14:textId="77777777" w:rsidR="002C0FD9" w:rsidRPr="00CA25CF" w:rsidRDefault="002C0FD9" w:rsidP="00CA25CF">
            <w:pPr>
              <w:rPr>
                <w:rFonts w:cs="Arial"/>
                <w:color w:val="FF0000"/>
                <w:sz w:val="21"/>
                <w:szCs w:val="21"/>
              </w:rPr>
            </w:pPr>
          </w:p>
        </w:tc>
        <w:tc>
          <w:tcPr>
            <w:tcW w:w="217" w:type="dxa"/>
          </w:tcPr>
          <w:p w14:paraId="4F772147" w14:textId="77777777" w:rsidR="002C0FD9" w:rsidRPr="00CA25CF" w:rsidRDefault="002C0FD9" w:rsidP="00CA25CF">
            <w:pPr>
              <w:rPr>
                <w:rFonts w:cs="Arial"/>
                <w:color w:val="FF0000"/>
                <w:sz w:val="21"/>
                <w:szCs w:val="21"/>
              </w:rPr>
            </w:pPr>
          </w:p>
        </w:tc>
        <w:tc>
          <w:tcPr>
            <w:tcW w:w="217" w:type="dxa"/>
          </w:tcPr>
          <w:p w14:paraId="28449023" w14:textId="77777777" w:rsidR="002C0FD9" w:rsidRPr="00CA25CF" w:rsidRDefault="002C0FD9" w:rsidP="00CA25CF">
            <w:pPr>
              <w:rPr>
                <w:rFonts w:cs="Arial"/>
                <w:color w:val="FF0000"/>
                <w:sz w:val="21"/>
                <w:szCs w:val="21"/>
              </w:rPr>
            </w:pPr>
          </w:p>
        </w:tc>
        <w:tc>
          <w:tcPr>
            <w:tcW w:w="217" w:type="dxa"/>
          </w:tcPr>
          <w:p w14:paraId="695A6568" w14:textId="77777777" w:rsidR="002C0FD9" w:rsidRPr="00CA25CF" w:rsidRDefault="002C0FD9" w:rsidP="00CA25CF">
            <w:pPr>
              <w:rPr>
                <w:rFonts w:cs="Arial"/>
                <w:color w:val="FF0000"/>
                <w:sz w:val="21"/>
                <w:szCs w:val="21"/>
              </w:rPr>
            </w:pPr>
          </w:p>
        </w:tc>
        <w:tc>
          <w:tcPr>
            <w:tcW w:w="217" w:type="dxa"/>
          </w:tcPr>
          <w:p w14:paraId="4BF126B0" w14:textId="77777777" w:rsidR="002C0FD9" w:rsidRPr="00CA25CF" w:rsidRDefault="002C0FD9" w:rsidP="00CA25CF">
            <w:pPr>
              <w:rPr>
                <w:rFonts w:cs="Arial"/>
                <w:color w:val="FF0000"/>
                <w:sz w:val="21"/>
                <w:szCs w:val="21"/>
              </w:rPr>
            </w:pPr>
          </w:p>
        </w:tc>
        <w:tc>
          <w:tcPr>
            <w:tcW w:w="217" w:type="dxa"/>
          </w:tcPr>
          <w:p w14:paraId="7D661AF4" w14:textId="77777777" w:rsidR="002C0FD9" w:rsidRPr="00CA25CF" w:rsidRDefault="002C0FD9" w:rsidP="00CA25CF">
            <w:pPr>
              <w:rPr>
                <w:rFonts w:cs="Arial"/>
                <w:color w:val="FF0000"/>
                <w:sz w:val="21"/>
                <w:szCs w:val="21"/>
              </w:rPr>
            </w:pPr>
          </w:p>
        </w:tc>
        <w:tc>
          <w:tcPr>
            <w:tcW w:w="217" w:type="dxa"/>
          </w:tcPr>
          <w:p w14:paraId="51250DDB" w14:textId="77777777" w:rsidR="002C0FD9" w:rsidRPr="00CA25CF" w:rsidRDefault="002C0FD9" w:rsidP="00CA25CF">
            <w:pPr>
              <w:rPr>
                <w:rFonts w:cs="Arial"/>
                <w:color w:val="FF0000"/>
                <w:sz w:val="21"/>
                <w:szCs w:val="21"/>
              </w:rPr>
            </w:pPr>
          </w:p>
        </w:tc>
        <w:tc>
          <w:tcPr>
            <w:tcW w:w="217" w:type="dxa"/>
          </w:tcPr>
          <w:p w14:paraId="15917722" w14:textId="77777777" w:rsidR="002C0FD9" w:rsidRPr="00CA25CF" w:rsidRDefault="002C0FD9" w:rsidP="00CA25CF">
            <w:pPr>
              <w:rPr>
                <w:rFonts w:cs="Arial"/>
                <w:color w:val="FF0000"/>
                <w:sz w:val="21"/>
                <w:szCs w:val="21"/>
              </w:rPr>
            </w:pPr>
          </w:p>
        </w:tc>
        <w:tc>
          <w:tcPr>
            <w:tcW w:w="217" w:type="dxa"/>
          </w:tcPr>
          <w:p w14:paraId="08940E66" w14:textId="77777777" w:rsidR="002C0FD9" w:rsidRPr="00CA25CF" w:rsidRDefault="002C0FD9" w:rsidP="00CA25CF">
            <w:pPr>
              <w:rPr>
                <w:rFonts w:cs="Arial"/>
                <w:color w:val="FF0000"/>
                <w:sz w:val="21"/>
                <w:szCs w:val="21"/>
              </w:rPr>
            </w:pPr>
          </w:p>
        </w:tc>
        <w:tc>
          <w:tcPr>
            <w:tcW w:w="217" w:type="dxa"/>
          </w:tcPr>
          <w:p w14:paraId="32F917A0" w14:textId="77777777" w:rsidR="002C0FD9" w:rsidRPr="00CA25CF" w:rsidRDefault="002C0FD9" w:rsidP="00CA25CF">
            <w:pPr>
              <w:rPr>
                <w:rFonts w:cs="Arial"/>
                <w:color w:val="FF0000"/>
                <w:sz w:val="21"/>
                <w:szCs w:val="21"/>
              </w:rPr>
            </w:pPr>
          </w:p>
        </w:tc>
        <w:tc>
          <w:tcPr>
            <w:tcW w:w="217" w:type="dxa"/>
          </w:tcPr>
          <w:p w14:paraId="190C3449" w14:textId="77777777" w:rsidR="002C0FD9" w:rsidRPr="00CA25CF" w:rsidRDefault="002C0FD9" w:rsidP="00CA25CF">
            <w:pPr>
              <w:rPr>
                <w:rFonts w:cs="Arial"/>
                <w:color w:val="FF0000"/>
                <w:sz w:val="21"/>
                <w:szCs w:val="21"/>
              </w:rPr>
            </w:pPr>
          </w:p>
        </w:tc>
        <w:tc>
          <w:tcPr>
            <w:tcW w:w="217" w:type="dxa"/>
          </w:tcPr>
          <w:p w14:paraId="043EA239" w14:textId="77777777" w:rsidR="002C0FD9" w:rsidRPr="00CA25CF" w:rsidRDefault="002C0FD9" w:rsidP="00CA25CF">
            <w:pPr>
              <w:rPr>
                <w:rFonts w:cs="Arial"/>
                <w:color w:val="FF0000"/>
                <w:sz w:val="21"/>
                <w:szCs w:val="21"/>
              </w:rPr>
            </w:pPr>
          </w:p>
        </w:tc>
        <w:tc>
          <w:tcPr>
            <w:tcW w:w="217" w:type="dxa"/>
          </w:tcPr>
          <w:p w14:paraId="71E2260B" w14:textId="77777777" w:rsidR="002C0FD9" w:rsidRPr="00CA25CF" w:rsidRDefault="002C0FD9" w:rsidP="00CA25CF">
            <w:pPr>
              <w:rPr>
                <w:rFonts w:cs="Arial"/>
                <w:color w:val="FF0000"/>
                <w:sz w:val="21"/>
                <w:szCs w:val="21"/>
              </w:rPr>
            </w:pPr>
          </w:p>
        </w:tc>
        <w:tc>
          <w:tcPr>
            <w:tcW w:w="217" w:type="dxa"/>
          </w:tcPr>
          <w:p w14:paraId="0BDA5CD3" w14:textId="77777777" w:rsidR="002C0FD9" w:rsidRPr="00CA25CF" w:rsidRDefault="002C0FD9" w:rsidP="00CA25CF">
            <w:pPr>
              <w:rPr>
                <w:rFonts w:cs="Arial"/>
                <w:color w:val="FF0000"/>
                <w:sz w:val="21"/>
                <w:szCs w:val="21"/>
              </w:rPr>
            </w:pPr>
          </w:p>
        </w:tc>
        <w:tc>
          <w:tcPr>
            <w:tcW w:w="217" w:type="dxa"/>
          </w:tcPr>
          <w:p w14:paraId="5327C29F" w14:textId="77777777" w:rsidR="002C0FD9" w:rsidRPr="00CA25CF" w:rsidRDefault="002C0FD9" w:rsidP="00CA25CF">
            <w:pPr>
              <w:rPr>
                <w:rFonts w:cs="Arial"/>
                <w:color w:val="FF0000"/>
                <w:sz w:val="21"/>
                <w:szCs w:val="21"/>
              </w:rPr>
            </w:pPr>
          </w:p>
        </w:tc>
        <w:tc>
          <w:tcPr>
            <w:tcW w:w="217" w:type="dxa"/>
          </w:tcPr>
          <w:p w14:paraId="376241E7" w14:textId="77777777" w:rsidR="002C0FD9" w:rsidRPr="00CA25CF" w:rsidRDefault="002C0FD9" w:rsidP="00CA25CF">
            <w:pPr>
              <w:rPr>
                <w:rFonts w:cs="Arial"/>
                <w:color w:val="FF0000"/>
                <w:sz w:val="21"/>
                <w:szCs w:val="21"/>
              </w:rPr>
            </w:pPr>
          </w:p>
        </w:tc>
      </w:tr>
      <w:tr w:rsidR="002C0FD9" w:rsidRPr="00A16219" w14:paraId="3983748E" w14:textId="77777777" w:rsidTr="002C0FD9">
        <w:trPr>
          <w:trHeight w:val="635"/>
        </w:trPr>
        <w:tc>
          <w:tcPr>
            <w:tcW w:w="515" w:type="dxa"/>
          </w:tcPr>
          <w:p w14:paraId="0993866A" w14:textId="77777777" w:rsidR="002C0FD9" w:rsidRPr="00CA25CF" w:rsidRDefault="002C0FD9" w:rsidP="00CA25CF">
            <w:pPr>
              <w:rPr>
                <w:rFonts w:cs="Arial"/>
                <w:color w:val="FF0000"/>
                <w:sz w:val="21"/>
                <w:szCs w:val="21"/>
              </w:rPr>
            </w:pPr>
          </w:p>
        </w:tc>
        <w:tc>
          <w:tcPr>
            <w:tcW w:w="217" w:type="dxa"/>
          </w:tcPr>
          <w:p w14:paraId="7B9848C7" w14:textId="77777777" w:rsidR="002C0FD9" w:rsidRPr="00CA25CF" w:rsidRDefault="002C0FD9" w:rsidP="00CA25CF">
            <w:pPr>
              <w:rPr>
                <w:rFonts w:cs="Arial"/>
                <w:color w:val="FF0000"/>
                <w:sz w:val="21"/>
                <w:szCs w:val="21"/>
              </w:rPr>
            </w:pPr>
          </w:p>
        </w:tc>
        <w:tc>
          <w:tcPr>
            <w:tcW w:w="217" w:type="dxa"/>
          </w:tcPr>
          <w:p w14:paraId="1C2CE3F2" w14:textId="77777777" w:rsidR="002C0FD9" w:rsidRPr="00CA25CF" w:rsidRDefault="002C0FD9" w:rsidP="00CA25CF">
            <w:pPr>
              <w:rPr>
                <w:rFonts w:cs="Arial"/>
                <w:color w:val="FF0000"/>
                <w:sz w:val="21"/>
                <w:szCs w:val="21"/>
              </w:rPr>
            </w:pPr>
          </w:p>
        </w:tc>
        <w:tc>
          <w:tcPr>
            <w:tcW w:w="217" w:type="dxa"/>
          </w:tcPr>
          <w:p w14:paraId="013172BD" w14:textId="77777777" w:rsidR="002C0FD9" w:rsidRPr="00CA25CF" w:rsidRDefault="002C0FD9" w:rsidP="00CA25CF">
            <w:pPr>
              <w:rPr>
                <w:rFonts w:cs="Arial"/>
                <w:color w:val="FF0000"/>
                <w:sz w:val="21"/>
                <w:szCs w:val="21"/>
              </w:rPr>
            </w:pPr>
          </w:p>
        </w:tc>
        <w:tc>
          <w:tcPr>
            <w:tcW w:w="217" w:type="dxa"/>
          </w:tcPr>
          <w:p w14:paraId="610B7C7F" w14:textId="77777777" w:rsidR="002C0FD9" w:rsidRPr="00CA25CF" w:rsidRDefault="002C0FD9" w:rsidP="00CA25CF">
            <w:pPr>
              <w:rPr>
                <w:rFonts w:cs="Arial"/>
                <w:color w:val="FF0000"/>
                <w:sz w:val="21"/>
                <w:szCs w:val="21"/>
              </w:rPr>
            </w:pPr>
          </w:p>
        </w:tc>
        <w:tc>
          <w:tcPr>
            <w:tcW w:w="217" w:type="dxa"/>
          </w:tcPr>
          <w:p w14:paraId="10B40B0D" w14:textId="77777777" w:rsidR="002C0FD9" w:rsidRPr="00CA25CF" w:rsidRDefault="002C0FD9" w:rsidP="00CA25CF">
            <w:pPr>
              <w:rPr>
                <w:rFonts w:cs="Arial"/>
                <w:color w:val="FF0000"/>
                <w:sz w:val="21"/>
                <w:szCs w:val="21"/>
              </w:rPr>
            </w:pPr>
          </w:p>
        </w:tc>
        <w:tc>
          <w:tcPr>
            <w:tcW w:w="217" w:type="dxa"/>
          </w:tcPr>
          <w:p w14:paraId="6618BAC7" w14:textId="77777777" w:rsidR="002C0FD9" w:rsidRPr="00CA25CF" w:rsidRDefault="002C0FD9" w:rsidP="00CA25CF">
            <w:pPr>
              <w:rPr>
                <w:rFonts w:cs="Arial"/>
                <w:color w:val="FF0000"/>
                <w:sz w:val="21"/>
                <w:szCs w:val="21"/>
              </w:rPr>
            </w:pPr>
          </w:p>
        </w:tc>
        <w:tc>
          <w:tcPr>
            <w:tcW w:w="217" w:type="dxa"/>
          </w:tcPr>
          <w:p w14:paraId="5DC241F4" w14:textId="77777777" w:rsidR="002C0FD9" w:rsidRPr="00CA25CF" w:rsidRDefault="002C0FD9" w:rsidP="00CA25CF">
            <w:pPr>
              <w:rPr>
                <w:rFonts w:cs="Arial"/>
                <w:color w:val="FF0000"/>
                <w:sz w:val="21"/>
                <w:szCs w:val="21"/>
              </w:rPr>
            </w:pPr>
          </w:p>
        </w:tc>
        <w:tc>
          <w:tcPr>
            <w:tcW w:w="217" w:type="dxa"/>
          </w:tcPr>
          <w:p w14:paraId="0069096F" w14:textId="77777777" w:rsidR="002C0FD9" w:rsidRPr="00CA25CF" w:rsidRDefault="002C0FD9" w:rsidP="00CA25CF">
            <w:pPr>
              <w:rPr>
                <w:rFonts w:cs="Arial"/>
                <w:color w:val="FF0000"/>
                <w:sz w:val="21"/>
                <w:szCs w:val="21"/>
              </w:rPr>
            </w:pPr>
          </w:p>
        </w:tc>
        <w:tc>
          <w:tcPr>
            <w:tcW w:w="217" w:type="dxa"/>
          </w:tcPr>
          <w:p w14:paraId="589B87FE" w14:textId="77777777" w:rsidR="002C0FD9" w:rsidRPr="00CA25CF" w:rsidRDefault="002C0FD9" w:rsidP="00CA25CF">
            <w:pPr>
              <w:rPr>
                <w:rFonts w:cs="Arial"/>
                <w:color w:val="FF0000"/>
                <w:sz w:val="21"/>
                <w:szCs w:val="21"/>
              </w:rPr>
            </w:pPr>
          </w:p>
        </w:tc>
        <w:tc>
          <w:tcPr>
            <w:tcW w:w="217" w:type="dxa"/>
          </w:tcPr>
          <w:p w14:paraId="61BCFC9B" w14:textId="77777777" w:rsidR="002C0FD9" w:rsidRPr="00CA25CF" w:rsidRDefault="002C0FD9" w:rsidP="00CA25CF">
            <w:pPr>
              <w:rPr>
                <w:rFonts w:cs="Arial"/>
                <w:color w:val="FF0000"/>
                <w:sz w:val="21"/>
                <w:szCs w:val="21"/>
              </w:rPr>
            </w:pPr>
          </w:p>
        </w:tc>
        <w:tc>
          <w:tcPr>
            <w:tcW w:w="217" w:type="dxa"/>
          </w:tcPr>
          <w:p w14:paraId="2A33ACAA" w14:textId="77777777" w:rsidR="002C0FD9" w:rsidRPr="00CA25CF" w:rsidRDefault="002C0FD9" w:rsidP="00CA25CF">
            <w:pPr>
              <w:rPr>
                <w:rFonts w:cs="Arial"/>
                <w:color w:val="FF0000"/>
                <w:sz w:val="21"/>
                <w:szCs w:val="21"/>
              </w:rPr>
            </w:pPr>
          </w:p>
        </w:tc>
        <w:tc>
          <w:tcPr>
            <w:tcW w:w="217" w:type="dxa"/>
          </w:tcPr>
          <w:p w14:paraId="1B73ADE2" w14:textId="77777777" w:rsidR="002C0FD9" w:rsidRPr="00CA25CF" w:rsidRDefault="002C0FD9" w:rsidP="00CA25CF">
            <w:pPr>
              <w:rPr>
                <w:rFonts w:cs="Arial"/>
                <w:color w:val="FF0000"/>
                <w:sz w:val="21"/>
                <w:szCs w:val="21"/>
              </w:rPr>
            </w:pPr>
          </w:p>
        </w:tc>
        <w:tc>
          <w:tcPr>
            <w:tcW w:w="217" w:type="dxa"/>
          </w:tcPr>
          <w:p w14:paraId="3FE26C73" w14:textId="77777777" w:rsidR="002C0FD9" w:rsidRPr="00CA25CF" w:rsidRDefault="002C0FD9" w:rsidP="00CA25CF">
            <w:pPr>
              <w:rPr>
                <w:rFonts w:cs="Arial"/>
                <w:color w:val="FF0000"/>
                <w:sz w:val="21"/>
                <w:szCs w:val="21"/>
              </w:rPr>
            </w:pPr>
          </w:p>
        </w:tc>
        <w:tc>
          <w:tcPr>
            <w:tcW w:w="217" w:type="dxa"/>
          </w:tcPr>
          <w:p w14:paraId="6C675E34" w14:textId="77777777" w:rsidR="002C0FD9" w:rsidRPr="00CA25CF" w:rsidRDefault="002C0FD9" w:rsidP="00CA25CF">
            <w:pPr>
              <w:rPr>
                <w:rFonts w:cs="Arial"/>
                <w:color w:val="FF0000"/>
                <w:sz w:val="21"/>
                <w:szCs w:val="21"/>
              </w:rPr>
            </w:pPr>
          </w:p>
        </w:tc>
        <w:tc>
          <w:tcPr>
            <w:tcW w:w="217" w:type="dxa"/>
          </w:tcPr>
          <w:p w14:paraId="5495D658" w14:textId="77777777" w:rsidR="002C0FD9" w:rsidRPr="00CA25CF" w:rsidRDefault="002C0FD9" w:rsidP="00CA25CF">
            <w:pPr>
              <w:rPr>
                <w:rFonts w:cs="Arial"/>
                <w:color w:val="FF0000"/>
                <w:sz w:val="21"/>
                <w:szCs w:val="21"/>
              </w:rPr>
            </w:pPr>
          </w:p>
        </w:tc>
        <w:tc>
          <w:tcPr>
            <w:tcW w:w="217" w:type="dxa"/>
          </w:tcPr>
          <w:p w14:paraId="134CC590" w14:textId="77777777" w:rsidR="002C0FD9" w:rsidRPr="00CA25CF" w:rsidRDefault="002C0FD9" w:rsidP="00CA25CF">
            <w:pPr>
              <w:rPr>
                <w:rFonts w:cs="Arial"/>
                <w:color w:val="FF0000"/>
                <w:sz w:val="21"/>
                <w:szCs w:val="21"/>
              </w:rPr>
            </w:pPr>
          </w:p>
        </w:tc>
        <w:tc>
          <w:tcPr>
            <w:tcW w:w="217" w:type="dxa"/>
          </w:tcPr>
          <w:p w14:paraId="0343E5C1" w14:textId="77777777" w:rsidR="002C0FD9" w:rsidRPr="00CA25CF" w:rsidRDefault="002C0FD9" w:rsidP="00CA25CF">
            <w:pPr>
              <w:rPr>
                <w:rFonts w:cs="Arial"/>
                <w:color w:val="FF0000"/>
                <w:sz w:val="21"/>
                <w:szCs w:val="21"/>
              </w:rPr>
            </w:pPr>
          </w:p>
        </w:tc>
        <w:tc>
          <w:tcPr>
            <w:tcW w:w="217" w:type="dxa"/>
          </w:tcPr>
          <w:p w14:paraId="5ED1D8AE" w14:textId="77777777" w:rsidR="002C0FD9" w:rsidRPr="00CA25CF" w:rsidRDefault="002C0FD9" w:rsidP="00CA25CF">
            <w:pPr>
              <w:rPr>
                <w:rFonts w:cs="Arial"/>
                <w:color w:val="FF0000"/>
                <w:sz w:val="21"/>
                <w:szCs w:val="21"/>
              </w:rPr>
            </w:pPr>
          </w:p>
        </w:tc>
        <w:tc>
          <w:tcPr>
            <w:tcW w:w="217" w:type="dxa"/>
          </w:tcPr>
          <w:p w14:paraId="33727490" w14:textId="77777777" w:rsidR="002C0FD9" w:rsidRPr="00CA25CF" w:rsidRDefault="002C0FD9" w:rsidP="00CA25CF">
            <w:pPr>
              <w:rPr>
                <w:rFonts w:cs="Arial"/>
                <w:color w:val="FF0000"/>
                <w:sz w:val="21"/>
                <w:szCs w:val="21"/>
              </w:rPr>
            </w:pPr>
          </w:p>
        </w:tc>
        <w:tc>
          <w:tcPr>
            <w:tcW w:w="217" w:type="dxa"/>
          </w:tcPr>
          <w:p w14:paraId="48EE91A0" w14:textId="77777777" w:rsidR="002C0FD9" w:rsidRPr="00CA25CF" w:rsidRDefault="002C0FD9" w:rsidP="00CA25CF">
            <w:pPr>
              <w:rPr>
                <w:rFonts w:cs="Arial"/>
                <w:color w:val="FF0000"/>
                <w:sz w:val="21"/>
                <w:szCs w:val="21"/>
              </w:rPr>
            </w:pPr>
          </w:p>
        </w:tc>
        <w:tc>
          <w:tcPr>
            <w:tcW w:w="217" w:type="dxa"/>
          </w:tcPr>
          <w:p w14:paraId="035594C0" w14:textId="77777777" w:rsidR="002C0FD9" w:rsidRPr="00CA25CF" w:rsidRDefault="002C0FD9" w:rsidP="00CA25CF">
            <w:pPr>
              <w:rPr>
                <w:rFonts w:cs="Arial"/>
                <w:color w:val="FF0000"/>
                <w:sz w:val="21"/>
                <w:szCs w:val="21"/>
              </w:rPr>
            </w:pPr>
          </w:p>
        </w:tc>
        <w:tc>
          <w:tcPr>
            <w:tcW w:w="217" w:type="dxa"/>
          </w:tcPr>
          <w:p w14:paraId="05383344" w14:textId="77777777" w:rsidR="002C0FD9" w:rsidRPr="00CA25CF" w:rsidRDefault="002C0FD9" w:rsidP="00CA25CF">
            <w:pPr>
              <w:rPr>
                <w:rFonts w:cs="Arial"/>
                <w:color w:val="FF0000"/>
                <w:sz w:val="21"/>
                <w:szCs w:val="21"/>
              </w:rPr>
            </w:pPr>
          </w:p>
        </w:tc>
        <w:tc>
          <w:tcPr>
            <w:tcW w:w="217" w:type="dxa"/>
          </w:tcPr>
          <w:p w14:paraId="58135CF1" w14:textId="77777777" w:rsidR="002C0FD9" w:rsidRPr="00CA25CF" w:rsidRDefault="002C0FD9" w:rsidP="00CA25CF">
            <w:pPr>
              <w:rPr>
                <w:rFonts w:cs="Arial"/>
                <w:color w:val="FF0000"/>
                <w:sz w:val="21"/>
                <w:szCs w:val="21"/>
              </w:rPr>
            </w:pPr>
          </w:p>
        </w:tc>
        <w:tc>
          <w:tcPr>
            <w:tcW w:w="217" w:type="dxa"/>
          </w:tcPr>
          <w:p w14:paraId="79E16DF4" w14:textId="77777777" w:rsidR="002C0FD9" w:rsidRPr="00CA25CF" w:rsidRDefault="002C0FD9" w:rsidP="00CA25CF">
            <w:pPr>
              <w:rPr>
                <w:rFonts w:cs="Arial"/>
                <w:color w:val="FF0000"/>
                <w:sz w:val="21"/>
                <w:szCs w:val="21"/>
              </w:rPr>
            </w:pPr>
          </w:p>
        </w:tc>
        <w:tc>
          <w:tcPr>
            <w:tcW w:w="217" w:type="dxa"/>
          </w:tcPr>
          <w:p w14:paraId="584412C4" w14:textId="77777777" w:rsidR="002C0FD9" w:rsidRPr="00CA25CF" w:rsidRDefault="002C0FD9" w:rsidP="00CA25CF">
            <w:pPr>
              <w:rPr>
                <w:rFonts w:cs="Arial"/>
                <w:color w:val="FF0000"/>
                <w:sz w:val="21"/>
                <w:szCs w:val="21"/>
              </w:rPr>
            </w:pPr>
          </w:p>
        </w:tc>
        <w:tc>
          <w:tcPr>
            <w:tcW w:w="217" w:type="dxa"/>
          </w:tcPr>
          <w:p w14:paraId="4690BD0C" w14:textId="77777777" w:rsidR="002C0FD9" w:rsidRPr="00CA25CF" w:rsidRDefault="002C0FD9" w:rsidP="00CA25CF">
            <w:pPr>
              <w:rPr>
                <w:rFonts w:cs="Arial"/>
                <w:color w:val="FF0000"/>
                <w:sz w:val="21"/>
                <w:szCs w:val="21"/>
              </w:rPr>
            </w:pPr>
          </w:p>
        </w:tc>
        <w:tc>
          <w:tcPr>
            <w:tcW w:w="217" w:type="dxa"/>
          </w:tcPr>
          <w:p w14:paraId="39B15904" w14:textId="77777777" w:rsidR="002C0FD9" w:rsidRPr="00CA25CF" w:rsidRDefault="002C0FD9" w:rsidP="00CA25CF">
            <w:pPr>
              <w:rPr>
                <w:rFonts w:cs="Arial"/>
                <w:color w:val="FF0000"/>
                <w:sz w:val="21"/>
                <w:szCs w:val="21"/>
              </w:rPr>
            </w:pPr>
          </w:p>
        </w:tc>
        <w:tc>
          <w:tcPr>
            <w:tcW w:w="217" w:type="dxa"/>
          </w:tcPr>
          <w:p w14:paraId="63B0B841" w14:textId="77777777" w:rsidR="002C0FD9" w:rsidRPr="00CA25CF" w:rsidRDefault="002C0FD9" w:rsidP="00CA25CF">
            <w:pPr>
              <w:rPr>
                <w:rFonts w:cs="Arial"/>
                <w:color w:val="FF0000"/>
                <w:sz w:val="21"/>
                <w:szCs w:val="21"/>
              </w:rPr>
            </w:pPr>
          </w:p>
        </w:tc>
        <w:tc>
          <w:tcPr>
            <w:tcW w:w="217" w:type="dxa"/>
          </w:tcPr>
          <w:p w14:paraId="0D999299" w14:textId="77777777" w:rsidR="002C0FD9" w:rsidRPr="00CA25CF" w:rsidRDefault="002C0FD9" w:rsidP="00CA25CF">
            <w:pPr>
              <w:rPr>
                <w:rFonts w:cs="Arial"/>
                <w:color w:val="FF0000"/>
                <w:sz w:val="21"/>
                <w:szCs w:val="21"/>
              </w:rPr>
            </w:pPr>
          </w:p>
        </w:tc>
        <w:tc>
          <w:tcPr>
            <w:tcW w:w="217" w:type="dxa"/>
          </w:tcPr>
          <w:p w14:paraId="5799AA28" w14:textId="77777777" w:rsidR="002C0FD9" w:rsidRPr="00CA25CF" w:rsidRDefault="002C0FD9" w:rsidP="00CA25CF">
            <w:pPr>
              <w:rPr>
                <w:rFonts w:cs="Arial"/>
                <w:color w:val="FF0000"/>
                <w:sz w:val="21"/>
                <w:szCs w:val="21"/>
              </w:rPr>
            </w:pPr>
          </w:p>
        </w:tc>
        <w:tc>
          <w:tcPr>
            <w:tcW w:w="217" w:type="dxa"/>
          </w:tcPr>
          <w:p w14:paraId="3D21B1AC" w14:textId="77777777" w:rsidR="002C0FD9" w:rsidRPr="00CA25CF" w:rsidRDefault="002C0FD9" w:rsidP="00CA25CF">
            <w:pPr>
              <w:rPr>
                <w:rFonts w:cs="Arial"/>
                <w:color w:val="FF0000"/>
                <w:sz w:val="21"/>
                <w:szCs w:val="21"/>
              </w:rPr>
            </w:pPr>
          </w:p>
        </w:tc>
        <w:tc>
          <w:tcPr>
            <w:tcW w:w="217" w:type="dxa"/>
          </w:tcPr>
          <w:p w14:paraId="50A9F7F6" w14:textId="77777777" w:rsidR="002C0FD9" w:rsidRPr="00CA25CF" w:rsidRDefault="002C0FD9" w:rsidP="00CA25CF">
            <w:pPr>
              <w:rPr>
                <w:rFonts w:cs="Arial"/>
                <w:color w:val="FF0000"/>
                <w:sz w:val="21"/>
                <w:szCs w:val="21"/>
              </w:rPr>
            </w:pPr>
          </w:p>
        </w:tc>
        <w:tc>
          <w:tcPr>
            <w:tcW w:w="217" w:type="dxa"/>
          </w:tcPr>
          <w:p w14:paraId="239A8876" w14:textId="77777777" w:rsidR="002C0FD9" w:rsidRPr="00CA25CF" w:rsidRDefault="002C0FD9" w:rsidP="00CA25CF">
            <w:pPr>
              <w:rPr>
                <w:rFonts w:cs="Arial"/>
                <w:color w:val="FF0000"/>
                <w:sz w:val="21"/>
                <w:szCs w:val="21"/>
              </w:rPr>
            </w:pPr>
          </w:p>
        </w:tc>
        <w:tc>
          <w:tcPr>
            <w:tcW w:w="217" w:type="dxa"/>
          </w:tcPr>
          <w:p w14:paraId="7A71E683" w14:textId="77777777" w:rsidR="002C0FD9" w:rsidRPr="00CA25CF" w:rsidRDefault="002C0FD9" w:rsidP="00CA25CF">
            <w:pPr>
              <w:rPr>
                <w:rFonts w:cs="Arial"/>
                <w:color w:val="FF0000"/>
                <w:sz w:val="21"/>
                <w:szCs w:val="21"/>
              </w:rPr>
            </w:pPr>
          </w:p>
        </w:tc>
        <w:tc>
          <w:tcPr>
            <w:tcW w:w="217" w:type="dxa"/>
          </w:tcPr>
          <w:p w14:paraId="7EA53303" w14:textId="77777777" w:rsidR="002C0FD9" w:rsidRPr="00CA25CF" w:rsidRDefault="002C0FD9" w:rsidP="00CA25CF">
            <w:pPr>
              <w:rPr>
                <w:rFonts w:cs="Arial"/>
                <w:color w:val="FF0000"/>
                <w:sz w:val="21"/>
                <w:szCs w:val="21"/>
              </w:rPr>
            </w:pPr>
          </w:p>
        </w:tc>
        <w:tc>
          <w:tcPr>
            <w:tcW w:w="217" w:type="dxa"/>
          </w:tcPr>
          <w:p w14:paraId="22A2EADC" w14:textId="77777777" w:rsidR="002C0FD9" w:rsidRPr="00CA25CF" w:rsidRDefault="002C0FD9" w:rsidP="00CA25CF">
            <w:pPr>
              <w:rPr>
                <w:rFonts w:cs="Arial"/>
                <w:color w:val="FF0000"/>
                <w:sz w:val="21"/>
                <w:szCs w:val="21"/>
              </w:rPr>
            </w:pPr>
          </w:p>
        </w:tc>
        <w:tc>
          <w:tcPr>
            <w:tcW w:w="217" w:type="dxa"/>
          </w:tcPr>
          <w:p w14:paraId="5F18BBA2" w14:textId="77777777" w:rsidR="002C0FD9" w:rsidRPr="00CA25CF" w:rsidRDefault="002C0FD9" w:rsidP="00CA25CF">
            <w:pPr>
              <w:rPr>
                <w:rFonts w:cs="Arial"/>
                <w:color w:val="FF0000"/>
                <w:sz w:val="21"/>
                <w:szCs w:val="21"/>
              </w:rPr>
            </w:pPr>
          </w:p>
        </w:tc>
        <w:tc>
          <w:tcPr>
            <w:tcW w:w="217" w:type="dxa"/>
          </w:tcPr>
          <w:p w14:paraId="52E31B27" w14:textId="77777777" w:rsidR="002C0FD9" w:rsidRPr="00CA25CF" w:rsidRDefault="002C0FD9" w:rsidP="00CA25CF">
            <w:pPr>
              <w:rPr>
                <w:rFonts w:cs="Arial"/>
                <w:color w:val="FF0000"/>
                <w:sz w:val="21"/>
                <w:szCs w:val="21"/>
              </w:rPr>
            </w:pPr>
          </w:p>
        </w:tc>
        <w:tc>
          <w:tcPr>
            <w:tcW w:w="217" w:type="dxa"/>
          </w:tcPr>
          <w:p w14:paraId="6D95972F" w14:textId="77777777" w:rsidR="002C0FD9" w:rsidRPr="00CA25CF" w:rsidRDefault="002C0FD9" w:rsidP="00CA25CF">
            <w:pPr>
              <w:rPr>
                <w:rFonts w:cs="Arial"/>
                <w:color w:val="FF0000"/>
                <w:sz w:val="21"/>
                <w:szCs w:val="21"/>
              </w:rPr>
            </w:pPr>
          </w:p>
        </w:tc>
        <w:tc>
          <w:tcPr>
            <w:tcW w:w="217" w:type="dxa"/>
          </w:tcPr>
          <w:p w14:paraId="1ED5D51F" w14:textId="77777777" w:rsidR="002C0FD9" w:rsidRPr="00CA25CF" w:rsidRDefault="002C0FD9" w:rsidP="00CA25CF">
            <w:pPr>
              <w:rPr>
                <w:rFonts w:cs="Arial"/>
                <w:color w:val="FF0000"/>
                <w:sz w:val="21"/>
                <w:szCs w:val="21"/>
              </w:rPr>
            </w:pPr>
          </w:p>
        </w:tc>
        <w:tc>
          <w:tcPr>
            <w:tcW w:w="217" w:type="dxa"/>
          </w:tcPr>
          <w:p w14:paraId="0C5DC115" w14:textId="77777777" w:rsidR="002C0FD9" w:rsidRPr="00CA25CF" w:rsidRDefault="002C0FD9" w:rsidP="00CA25CF">
            <w:pPr>
              <w:rPr>
                <w:rFonts w:cs="Arial"/>
                <w:color w:val="FF0000"/>
                <w:sz w:val="21"/>
                <w:szCs w:val="21"/>
              </w:rPr>
            </w:pPr>
          </w:p>
        </w:tc>
        <w:tc>
          <w:tcPr>
            <w:tcW w:w="217" w:type="dxa"/>
          </w:tcPr>
          <w:p w14:paraId="03C50CA9" w14:textId="77777777" w:rsidR="002C0FD9" w:rsidRPr="00CA25CF" w:rsidRDefault="002C0FD9" w:rsidP="00CA25CF">
            <w:pPr>
              <w:rPr>
                <w:rFonts w:cs="Arial"/>
                <w:color w:val="FF0000"/>
                <w:sz w:val="21"/>
                <w:szCs w:val="21"/>
              </w:rPr>
            </w:pPr>
          </w:p>
        </w:tc>
      </w:tr>
      <w:tr w:rsidR="002C0FD9" w:rsidRPr="00A16219" w14:paraId="2CBAB7C3" w14:textId="77777777" w:rsidTr="002C0FD9">
        <w:trPr>
          <w:trHeight w:val="635"/>
        </w:trPr>
        <w:tc>
          <w:tcPr>
            <w:tcW w:w="515" w:type="dxa"/>
          </w:tcPr>
          <w:p w14:paraId="031B382B" w14:textId="77777777" w:rsidR="002C0FD9" w:rsidRPr="00CA25CF" w:rsidRDefault="002C0FD9" w:rsidP="00CA25CF">
            <w:pPr>
              <w:rPr>
                <w:rFonts w:cs="Arial"/>
                <w:color w:val="FF0000"/>
                <w:sz w:val="21"/>
                <w:szCs w:val="21"/>
              </w:rPr>
            </w:pPr>
          </w:p>
        </w:tc>
        <w:tc>
          <w:tcPr>
            <w:tcW w:w="217" w:type="dxa"/>
          </w:tcPr>
          <w:p w14:paraId="46466F29" w14:textId="77777777" w:rsidR="002C0FD9" w:rsidRPr="00CA25CF" w:rsidRDefault="002C0FD9" w:rsidP="00CA25CF">
            <w:pPr>
              <w:rPr>
                <w:rFonts w:cs="Arial"/>
                <w:color w:val="FF0000"/>
                <w:sz w:val="21"/>
                <w:szCs w:val="21"/>
              </w:rPr>
            </w:pPr>
          </w:p>
        </w:tc>
        <w:tc>
          <w:tcPr>
            <w:tcW w:w="217" w:type="dxa"/>
          </w:tcPr>
          <w:p w14:paraId="172351D0" w14:textId="77777777" w:rsidR="002C0FD9" w:rsidRPr="00CA25CF" w:rsidRDefault="002C0FD9" w:rsidP="00CA25CF">
            <w:pPr>
              <w:rPr>
                <w:rFonts w:cs="Arial"/>
                <w:color w:val="FF0000"/>
                <w:sz w:val="21"/>
                <w:szCs w:val="21"/>
              </w:rPr>
            </w:pPr>
          </w:p>
        </w:tc>
        <w:tc>
          <w:tcPr>
            <w:tcW w:w="217" w:type="dxa"/>
          </w:tcPr>
          <w:p w14:paraId="410661D8" w14:textId="77777777" w:rsidR="002C0FD9" w:rsidRPr="00CA25CF" w:rsidRDefault="002C0FD9" w:rsidP="00CA25CF">
            <w:pPr>
              <w:rPr>
                <w:rFonts w:cs="Arial"/>
                <w:color w:val="FF0000"/>
                <w:sz w:val="21"/>
                <w:szCs w:val="21"/>
              </w:rPr>
            </w:pPr>
          </w:p>
        </w:tc>
        <w:tc>
          <w:tcPr>
            <w:tcW w:w="217" w:type="dxa"/>
          </w:tcPr>
          <w:p w14:paraId="2CE467AC" w14:textId="77777777" w:rsidR="002C0FD9" w:rsidRPr="00CA25CF" w:rsidRDefault="002C0FD9" w:rsidP="00CA25CF">
            <w:pPr>
              <w:rPr>
                <w:rFonts w:cs="Arial"/>
                <w:color w:val="FF0000"/>
                <w:sz w:val="21"/>
                <w:szCs w:val="21"/>
              </w:rPr>
            </w:pPr>
          </w:p>
        </w:tc>
        <w:tc>
          <w:tcPr>
            <w:tcW w:w="217" w:type="dxa"/>
          </w:tcPr>
          <w:p w14:paraId="516A00E8" w14:textId="77777777" w:rsidR="002C0FD9" w:rsidRPr="00CA25CF" w:rsidRDefault="002C0FD9" w:rsidP="00CA25CF">
            <w:pPr>
              <w:rPr>
                <w:rFonts w:cs="Arial"/>
                <w:color w:val="FF0000"/>
                <w:sz w:val="21"/>
                <w:szCs w:val="21"/>
              </w:rPr>
            </w:pPr>
          </w:p>
        </w:tc>
        <w:tc>
          <w:tcPr>
            <w:tcW w:w="217" w:type="dxa"/>
          </w:tcPr>
          <w:p w14:paraId="6AB1B2CC" w14:textId="77777777" w:rsidR="002C0FD9" w:rsidRPr="00CA25CF" w:rsidRDefault="002C0FD9" w:rsidP="00CA25CF">
            <w:pPr>
              <w:rPr>
                <w:rFonts w:cs="Arial"/>
                <w:color w:val="FF0000"/>
                <w:sz w:val="21"/>
                <w:szCs w:val="21"/>
              </w:rPr>
            </w:pPr>
          </w:p>
        </w:tc>
        <w:tc>
          <w:tcPr>
            <w:tcW w:w="217" w:type="dxa"/>
          </w:tcPr>
          <w:p w14:paraId="3E25393D" w14:textId="77777777" w:rsidR="002C0FD9" w:rsidRPr="00CA25CF" w:rsidRDefault="002C0FD9" w:rsidP="00CA25CF">
            <w:pPr>
              <w:rPr>
                <w:rFonts w:cs="Arial"/>
                <w:color w:val="FF0000"/>
                <w:sz w:val="21"/>
                <w:szCs w:val="21"/>
              </w:rPr>
            </w:pPr>
          </w:p>
        </w:tc>
        <w:tc>
          <w:tcPr>
            <w:tcW w:w="217" w:type="dxa"/>
          </w:tcPr>
          <w:p w14:paraId="3511C00A" w14:textId="77777777" w:rsidR="002C0FD9" w:rsidRPr="00CA25CF" w:rsidRDefault="002C0FD9" w:rsidP="00CA25CF">
            <w:pPr>
              <w:rPr>
                <w:rFonts w:cs="Arial"/>
                <w:color w:val="FF0000"/>
                <w:sz w:val="21"/>
                <w:szCs w:val="21"/>
              </w:rPr>
            </w:pPr>
          </w:p>
        </w:tc>
        <w:tc>
          <w:tcPr>
            <w:tcW w:w="217" w:type="dxa"/>
          </w:tcPr>
          <w:p w14:paraId="0501022C" w14:textId="77777777" w:rsidR="002C0FD9" w:rsidRPr="00CA25CF" w:rsidRDefault="002C0FD9" w:rsidP="00CA25CF">
            <w:pPr>
              <w:rPr>
                <w:rFonts w:cs="Arial"/>
                <w:color w:val="FF0000"/>
                <w:sz w:val="21"/>
                <w:szCs w:val="21"/>
              </w:rPr>
            </w:pPr>
          </w:p>
        </w:tc>
        <w:tc>
          <w:tcPr>
            <w:tcW w:w="217" w:type="dxa"/>
          </w:tcPr>
          <w:p w14:paraId="12BD10DA" w14:textId="77777777" w:rsidR="002C0FD9" w:rsidRPr="00CA25CF" w:rsidRDefault="002C0FD9" w:rsidP="00CA25CF">
            <w:pPr>
              <w:rPr>
                <w:rFonts w:cs="Arial"/>
                <w:color w:val="FF0000"/>
                <w:sz w:val="21"/>
                <w:szCs w:val="21"/>
              </w:rPr>
            </w:pPr>
          </w:p>
        </w:tc>
        <w:tc>
          <w:tcPr>
            <w:tcW w:w="217" w:type="dxa"/>
          </w:tcPr>
          <w:p w14:paraId="7A3C3DE1" w14:textId="77777777" w:rsidR="002C0FD9" w:rsidRPr="00CA25CF" w:rsidRDefault="002C0FD9" w:rsidP="00CA25CF">
            <w:pPr>
              <w:rPr>
                <w:rFonts w:cs="Arial"/>
                <w:color w:val="FF0000"/>
                <w:sz w:val="21"/>
                <w:szCs w:val="21"/>
              </w:rPr>
            </w:pPr>
          </w:p>
        </w:tc>
        <w:tc>
          <w:tcPr>
            <w:tcW w:w="217" w:type="dxa"/>
          </w:tcPr>
          <w:p w14:paraId="741ED3E6" w14:textId="77777777" w:rsidR="002C0FD9" w:rsidRPr="00CA25CF" w:rsidRDefault="002C0FD9" w:rsidP="00CA25CF">
            <w:pPr>
              <w:rPr>
                <w:rFonts w:cs="Arial"/>
                <w:color w:val="FF0000"/>
                <w:sz w:val="21"/>
                <w:szCs w:val="21"/>
              </w:rPr>
            </w:pPr>
          </w:p>
        </w:tc>
        <w:tc>
          <w:tcPr>
            <w:tcW w:w="217" w:type="dxa"/>
          </w:tcPr>
          <w:p w14:paraId="5DB425CC" w14:textId="77777777" w:rsidR="002C0FD9" w:rsidRPr="00CA25CF" w:rsidRDefault="002C0FD9" w:rsidP="00CA25CF">
            <w:pPr>
              <w:rPr>
                <w:rFonts w:cs="Arial"/>
                <w:color w:val="FF0000"/>
                <w:sz w:val="21"/>
                <w:szCs w:val="21"/>
              </w:rPr>
            </w:pPr>
          </w:p>
        </w:tc>
        <w:tc>
          <w:tcPr>
            <w:tcW w:w="217" w:type="dxa"/>
          </w:tcPr>
          <w:p w14:paraId="631AFE11" w14:textId="77777777" w:rsidR="002C0FD9" w:rsidRPr="00CA25CF" w:rsidRDefault="002C0FD9" w:rsidP="00CA25CF">
            <w:pPr>
              <w:rPr>
                <w:rFonts w:cs="Arial"/>
                <w:color w:val="FF0000"/>
                <w:sz w:val="21"/>
                <w:szCs w:val="21"/>
              </w:rPr>
            </w:pPr>
          </w:p>
        </w:tc>
        <w:tc>
          <w:tcPr>
            <w:tcW w:w="217" w:type="dxa"/>
          </w:tcPr>
          <w:p w14:paraId="1D91AECA" w14:textId="77777777" w:rsidR="002C0FD9" w:rsidRPr="00CA25CF" w:rsidRDefault="002C0FD9" w:rsidP="00CA25CF">
            <w:pPr>
              <w:rPr>
                <w:rFonts w:cs="Arial"/>
                <w:color w:val="FF0000"/>
                <w:sz w:val="21"/>
                <w:szCs w:val="21"/>
              </w:rPr>
            </w:pPr>
          </w:p>
        </w:tc>
        <w:tc>
          <w:tcPr>
            <w:tcW w:w="217" w:type="dxa"/>
          </w:tcPr>
          <w:p w14:paraId="78EB4256" w14:textId="77777777" w:rsidR="002C0FD9" w:rsidRPr="00CA25CF" w:rsidRDefault="002C0FD9" w:rsidP="00CA25CF">
            <w:pPr>
              <w:rPr>
                <w:rFonts w:cs="Arial"/>
                <w:color w:val="FF0000"/>
                <w:sz w:val="21"/>
                <w:szCs w:val="21"/>
              </w:rPr>
            </w:pPr>
          </w:p>
        </w:tc>
        <w:tc>
          <w:tcPr>
            <w:tcW w:w="217" w:type="dxa"/>
          </w:tcPr>
          <w:p w14:paraId="745CDDF7" w14:textId="77777777" w:rsidR="002C0FD9" w:rsidRPr="00CA25CF" w:rsidRDefault="002C0FD9" w:rsidP="00CA25CF">
            <w:pPr>
              <w:rPr>
                <w:rFonts w:cs="Arial"/>
                <w:color w:val="FF0000"/>
                <w:sz w:val="21"/>
                <w:szCs w:val="21"/>
              </w:rPr>
            </w:pPr>
          </w:p>
        </w:tc>
        <w:tc>
          <w:tcPr>
            <w:tcW w:w="217" w:type="dxa"/>
          </w:tcPr>
          <w:p w14:paraId="29BC4F2F" w14:textId="77777777" w:rsidR="002C0FD9" w:rsidRPr="00CA25CF" w:rsidRDefault="002C0FD9" w:rsidP="00CA25CF">
            <w:pPr>
              <w:rPr>
                <w:rFonts w:cs="Arial"/>
                <w:color w:val="FF0000"/>
                <w:sz w:val="21"/>
                <w:szCs w:val="21"/>
              </w:rPr>
            </w:pPr>
          </w:p>
        </w:tc>
        <w:tc>
          <w:tcPr>
            <w:tcW w:w="217" w:type="dxa"/>
          </w:tcPr>
          <w:p w14:paraId="38367AB1" w14:textId="77777777" w:rsidR="002C0FD9" w:rsidRPr="00CA25CF" w:rsidRDefault="002C0FD9" w:rsidP="00CA25CF">
            <w:pPr>
              <w:rPr>
                <w:rFonts w:cs="Arial"/>
                <w:color w:val="FF0000"/>
                <w:sz w:val="21"/>
                <w:szCs w:val="21"/>
              </w:rPr>
            </w:pPr>
          </w:p>
        </w:tc>
        <w:tc>
          <w:tcPr>
            <w:tcW w:w="217" w:type="dxa"/>
          </w:tcPr>
          <w:p w14:paraId="1D0DB01F" w14:textId="77777777" w:rsidR="002C0FD9" w:rsidRPr="00CA25CF" w:rsidRDefault="002C0FD9" w:rsidP="00CA25CF">
            <w:pPr>
              <w:rPr>
                <w:rFonts w:cs="Arial"/>
                <w:color w:val="FF0000"/>
                <w:sz w:val="21"/>
                <w:szCs w:val="21"/>
              </w:rPr>
            </w:pPr>
          </w:p>
        </w:tc>
        <w:tc>
          <w:tcPr>
            <w:tcW w:w="217" w:type="dxa"/>
          </w:tcPr>
          <w:p w14:paraId="312A443E" w14:textId="77777777" w:rsidR="002C0FD9" w:rsidRPr="00CA25CF" w:rsidRDefault="002C0FD9" w:rsidP="00CA25CF">
            <w:pPr>
              <w:rPr>
                <w:rFonts w:cs="Arial"/>
                <w:color w:val="FF0000"/>
                <w:sz w:val="21"/>
                <w:szCs w:val="21"/>
              </w:rPr>
            </w:pPr>
          </w:p>
        </w:tc>
        <w:tc>
          <w:tcPr>
            <w:tcW w:w="217" w:type="dxa"/>
          </w:tcPr>
          <w:p w14:paraId="3D88D418" w14:textId="77777777" w:rsidR="002C0FD9" w:rsidRPr="00CA25CF" w:rsidRDefault="002C0FD9" w:rsidP="00CA25CF">
            <w:pPr>
              <w:rPr>
                <w:rFonts w:cs="Arial"/>
                <w:color w:val="FF0000"/>
                <w:sz w:val="21"/>
                <w:szCs w:val="21"/>
              </w:rPr>
            </w:pPr>
          </w:p>
        </w:tc>
        <w:tc>
          <w:tcPr>
            <w:tcW w:w="217" w:type="dxa"/>
          </w:tcPr>
          <w:p w14:paraId="453D60D4" w14:textId="77777777" w:rsidR="002C0FD9" w:rsidRPr="00CA25CF" w:rsidRDefault="002C0FD9" w:rsidP="00CA25CF">
            <w:pPr>
              <w:rPr>
                <w:rFonts w:cs="Arial"/>
                <w:color w:val="FF0000"/>
                <w:sz w:val="21"/>
                <w:szCs w:val="21"/>
              </w:rPr>
            </w:pPr>
          </w:p>
        </w:tc>
        <w:tc>
          <w:tcPr>
            <w:tcW w:w="217" w:type="dxa"/>
          </w:tcPr>
          <w:p w14:paraId="5EB88320" w14:textId="77777777" w:rsidR="002C0FD9" w:rsidRPr="00CA25CF" w:rsidRDefault="002C0FD9" w:rsidP="00CA25CF">
            <w:pPr>
              <w:rPr>
                <w:rFonts w:cs="Arial"/>
                <w:color w:val="FF0000"/>
                <w:sz w:val="21"/>
                <w:szCs w:val="21"/>
              </w:rPr>
            </w:pPr>
          </w:p>
        </w:tc>
        <w:tc>
          <w:tcPr>
            <w:tcW w:w="217" w:type="dxa"/>
          </w:tcPr>
          <w:p w14:paraId="678B41DB" w14:textId="77777777" w:rsidR="002C0FD9" w:rsidRPr="00CA25CF" w:rsidRDefault="002C0FD9" w:rsidP="00CA25CF">
            <w:pPr>
              <w:rPr>
                <w:rFonts w:cs="Arial"/>
                <w:color w:val="FF0000"/>
                <w:sz w:val="21"/>
                <w:szCs w:val="21"/>
              </w:rPr>
            </w:pPr>
          </w:p>
        </w:tc>
        <w:tc>
          <w:tcPr>
            <w:tcW w:w="217" w:type="dxa"/>
          </w:tcPr>
          <w:p w14:paraId="646A6997" w14:textId="77777777" w:rsidR="002C0FD9" w:rsidRPr="00CA25CF" w:rsidRDefault="002C0FD9" w:rsidP="00CA25CF">
            <w:pPr>
              <w:rPr>
                <w:rFonts w:cs="Arial"/>
                <w:color w:val="FF0000"/>
                <w:sz w:val="21"/>
                <w:szCs w:val="21"/>
              </w:rPr>
            </w:pPr>
          </w:p>
        </w:tc>
        <w:tc>
          <w:tcPr>
            <w:tcW w:w="217" w:type="dxa"/>
          </w:tcPr>
          <w:p w14:paraId="6161A96F" w14:textId="77777777" w:rsidR="002C0FD9" w:rsidRPr="00CA25CF" w:rsidRDefault="002C0FD9" w:rsidP="00CA25CF">
            <w:pPr>
              <w:rPr>
                <w:rFonts w:cs="Arial"/>
                <w:color w:val="FF0000"/>
                <w:sz w:val="21"/>
                <w:szCs w:val="21"/>
              </w:rPr>
            </w:pPr>
          </w:p>
        </w:tc>
        <w:tc>
          <w:tcPr>
            <w:tcW w:w="217" w:type="dxa"/>
          </w:tcPr>
          <w:p w14:paraId="7AADF085" w14:textId="77777777" w:rsidR="002C0FD9" w:rsidRPr="00CA25CF" w:rsidRDefault="002C0FD9" w:rsidP="00CA25CF">
            <w:pPr>
              <w:rPr>
                <w:rFonts w:cs="Arial"/>
                <w:color w:val="FF0000"/>
                <w:sz w:val="21"/>
                <w:szCs w:val="21"/>
              </w:rPr>
            </w:pPr>
          </w:p>
        </w:tc>
        <w:tc>
          <w:tcPr>
            <w:tcW w:w="217" w:type="dxa"/>
          </w:tcPr>
          <w:p w14:paraId="7DF11F6A" w14:textId="77777777" w:rsidR="002C0FD9" w:rsidRPr="00CA25CF" w:rsidRDefault="002C0FD9" w:rsidP="00CA25CF">
            <w:pPr>
              <w:rPr>
                <w:rFonts w:cs="Arial"/>
                <w:color w:val="FF0000"/>
                <w:sz w:val="21"/>
                <w:szCs w:val="21"/>
              </w:rPr>
            </w:pPr>
          </w:p>
        </w:tc>
        <w:tc>
          <w:tcPr>
            <w:tcW w:w="217" w:type="dxa"/>
          </w:tcPr>
          <w:p w14:paraId="264F2483" w14:textId="77777777" w:rsidR="002C0FD9" w:rsidRPr="00CA25CF" w:rsidRDefault="002C0FD9" w:rsidP="00CA25CF">
            <w:pPr>
              <w:rPr>
                <w:rFonts w:cs="Arial"/>
                <w:color w:val="FF0000"/>
                <w:sz w:val="21"/>
                <w:szCs w:val="21"/>
              </w:rPr>
            </w:pPr>
          </w:p>
        </w:tc>
        <w:tc>
          <w:tcPr>
            <w:tcW w:w="217" w:type="dxa"/>
          </w:tcPr>
          <w:p w14:paraId="45388AEF" w14:textId="77777777" w:rsidR="002C0FD9" w:rsidRPr="00CA25CF" w:rsidRDefault="002C0FD9" w:rsidP="00CA25CF">
            <w:pPr>
              <w:rPr>
                <w:rFonts w:cs="Arial"/>
                <w:color w:val="FF0000"/>
                <w:sz w:val="21"/>
                <w:szCs w:val="21"/>
              </w:rPr>
            </w:pPr>
          </w:p>
        </w:tc>
        <w:tc>
          <w:tcPr>
            <w:tcW w:w="217" w:type="dxa"/>
          </w:tcPr>
          <w:p w14:paraId="2536C865" w14:textId="77777777" w:rsidR="002C0FD9" w:rsidRPr="00CA25CF" w:rsidRDefault="002C0FD9" w:rsidP="00CA25CF">
            <w:pPr>
              <w:rPr>
                <w:rFonts w:cs="Arial"/>
                <w:color w:val="FF0000"/>
                <w:sz w:val="21"/>
                <w:szCs w:val="21"/>
              </w:rPr>
            </w:pPr>
          </w:p>
        </w:tc>
        <w:tc>
          <w:tcPr>
            <w:tcW w:w="217" w:type="dxa"/>
          </w:tcPr>
          <w:p w14:paraId="41B28ECD" w14:textId="77777777" w:rsidR="002C0FD9" w:rsidRPr="00CA25CF" w:rsidRDefault="002C0FD9" w:rsidP="00CA25CF">
            <w:pPr>
              <w:rPr>
                <w:rFonts w:cs="Arial"/>
                <w:color w:val="FF0000"/>
                <w:sz w:val="21"/>
                <w:szCs w:val="21"/>
              </w:rPr>
            </w:pPr>
          </w:p>
        </w:tc>
        <w:tc>
          <w:tcPr>
            <w:tcW w:w="217" w:type="dxa"/>
          </w:tcPr>
          <w:p w14:paraId="7A1D2C94" w14:textId="77777777" w:rsidR="002C0FD9" w:rsidRPr="00CA25CF" w:rsidRDefault="002C0FD9" w:rsidP="00CA25CF">
            <w:pPr>
              <w:rPr>
                <w:rFonts w:cs="Arial"/>
                <w:color w:val="FF0000"/>
                <w:sz w:val="21"/>
                <w:szCs w:val="21"/>
              </w:rPr>
            </w:pPr>
          </w:p>
        </w:tc>
        <w:tc>
          <w:tcPr>
            <w:tcW w:w="217" w:type="dxa"/>
          </w:tcPr>
          <w:p w14:paraId="4C442F5D" w14:textId="77777777" w:rsidR="002C0FD9" w:rsidRPr="00CA25CF" w:rsidRDefault="002C0FD9" w:rsidP="00CA25CF">
            <w:pPr>
              <w:rPr>
                <w:rFonts w:cs="Arial"/>
                <w:color w:val="FF0000"/>
                <w:sz w:val="21"/>
                <w:szCs w:val="21"/>
              </w:rPr>
            </w:pPr>
          </w:p>
        </w:tc>
        <w:tc>
          <w:tcPr>
            <w:tcW w:w="217" w:type="dxa"/>
          </w:tcPr>
          <w:p w14:paraId="6ED9D787" w14:textId="77777777" w:rsidR="002C0FD9" w:rsidRPr="00CA25CF" w:rsidRDefault="002C0FD9" w:rsidP="00CA25CF">
            <w:pPr>
              <w:rPr>
                <w:rFonts w:cs="Arial"/>
                <w:color w:val="FF0000"/>
                <w:sz w:val="21"/>
                <w:szCs w:val="21"/>
              </w:rPr>
            </w:pPr>
          </w:p>
        </w:tc>
        <w:tc>
          <w:tcPr>
            <w:tcW w:w="217" w:type="dxa"/>
          </w:tcPr>
          <w:p w14:paraId="362E4098" w14:textId="77777777" w:rsidR="002C0FD9" w:rsidRPr="00CA25CF" w:rsidRDefault="002C0FD9" w:rsidP="00CA25CF">
            <w:pPr>
              <w:rPr>
                <w:rFonts w:cs="Arial"/>
                <w:color w:val="FF0000"/>
                <w:sz w:val="21"/>
                <w:szCs w:val="21"/>
              </w:rPr>
            </w:pPr>
          </w:p>
        </w:tc>
        <w:tc>
          <w:tcPr>
            <w:tcW w:w="217" w:type="dxa"/>
          </w:tcPr>
          <w:p w14:paraId="2770C5F0" w14:textId="77777777" w:rsidR="002C0FD9" w:rsidRPr="00CA25CF" w:rsidRDefault="002C0FD9" w:rsidP="00CA25CF">
            <w:pPr>
              <w:rPr>
                <w:rFonts w:cs="Arial"/>
                <w:color w:val="FF0000"/>
                <w:sz w:val="21"/>
                <w:szCs w:val="21"/>
              </w:rPr>
            </w:pPr>
          </w:p>
        </w:tc>
        <w:tc>
          <w:tcPr>
            <w:tcW w:w="217" w:type="dxa"/>
          </w:tcPr>
          <w:p w14:paraId="2C663CF0" w14:textId="77777777" w:rsidR="002C0FD9" w:rsidRPr="00CA25CF" w:rsidRDefault="002C0FD9" w:rsidP="00CA25CF">
            <w:pPr>
              <w:rPr>
                <w:rFonts w:cs="Arial"/>
                <w:color w:val="FF0000"/>
                <w:sz w:val="21"/>
                <w:szCs w:val="21"/>
              </w:rPr>
            </w:pPr>
          </w:p>
        </w:tc>
        <w:tc>
          <w:tcPr>
            <w:tcW w:w="217" w:type="dxa"/>
          </w:tcPr>
          <w:p w14:paraId="693C983B" w14:textId="77777777" w:rsidR="002C0FD9" w:rsidRPr="00CA25CF" w:rsidRDefault="002C0FD9" w:rsidP="00CA25CF">
            <w:pPr>
              <w:rPr>
                <w:rFonts w:cs="Arial"/>
                <w:color w:val="FF0000"/>
                <w:sz w:val="21"/>
                <w:szCs w:val="21"/>
              </w:rPr>
            </w:pPr>
          </w:p>
        </w:tc>
        <w:tc>
          <w:tcPr>
            <w:tcW w:w="217" w:type="dxa"/>
          </w:tcPr>
          <w:p w14:paraId="54A8EF7E" w14:textId="77777777" w:rsidR="002C0FD9" w:rsidRPr="00CA25CF" w:rsidRDefault="002C0FD9" w:rsidP="00CA25CF">
            <w:pPr>
              <w:rPr>
                <w:rFonts w:cs="Arial"/>
                <w:color w:val="FF0000"/>
                <w:sz w:val="21"/>
                <w:szCs w:val="21"/>
              </w:rPr>
            </w:pPr>
          </w:p>
        </w:tc>
        <w:tc>
          <w:tcPr>
            <w:tcW w:w="217" w:type="dxa"/>
          </w:tcPr>
          <w:p w14:paraId="6FF8895D" w14:textId="77777777" w:rsidR="002C0FD9" w:rsidRPr="00CA25CF" w:rsidRDefault="002C0FD9" w:rsidP="00CA25CF">
            <w:pPr>
              <w:rPr>
                <w:rFonts w:cs="Arial"/>
                <w:color w:val="FF0000"/>
                <w:sz w:val="21"/>
                <w:szCs w:val="21"/>
              </w:rPr>
            </w:pPr>
          </w:p>
        </w:tc>
      </w:tr>
      <w:tr w:rsidR="002C0FD9" w:rsidRPr="00A16219" w14:paraId="58C54446" w14:textId="77777777" w:rsidTr="002C0FD9">
        <w:trPr>
          <w:trHeight w:val="635"/>
        </w:trPr>
        <w:tc>
          <w:tcPr>
            <w:tcW w:w="515" w:type="dxa"/>
          </w:tcPr>
          <w:p w14:paraId="12287ACD" w14:textId="77777777" w:rsidR="002C0FD9" w:rsidRPr="00CA25CF" w:rsidRDefault="002C0FD9" w:rsidP="00CA25CF">
            <w:pPr>
              <w:rPr>
                <w:rFonts w:cs="Arial"/>
                <w:color w:val="FF0000"/>
                <w:sz w:val="21"/>
                <w:szCs w:val="21"/>
              </w:rPr>
            </w:pPr>
          </w:p>
        </w:tc>
        <w:tc>
          <w:tcPr>
            <w:tcW w:w="217" w:type="dxa"/>
          </w:tcPr>
          <w:p w14:paraId="35FBBE79" w14:textId="77777777" w:rsidR="002C0FD9" w:rsidRPr="00CA25CF" w:rsidRDefault="002C0FD9" w:rsidP="00CA25CF">
            <w:pPr>
              <w:rPr>
                <w:rFonts w:cs="Arial"/>
                <w:color w:val="FF0000"/>
                <w:sz w:val="21"/>
                <w:szCs w:val="21"/>
              </w:rPr>
            </w:pPr>
          </w:p>
        </w:tc>
        <w:tc>
          <w:tcPr>
            <w:tcW w:w="217" w:type="dxa"/>
          </w:tcPr>
          <w:p w14:paraId="15C7040C" w14:textId="77777777" w:rsidR="002C0FD9" w:rsidRPr="00CA25CF" w:rsidRDefault="002C0FD9" w:rsidP="00CA25CF">
            <w:pPr>
              <w:rPr>
                <w:rFonts w:cs="Arial"/>
                <w:color w:val="FF0000"/>
                <w:sz w:val="21"/>
                <w:szCs w:val="21"/>
              </w:rPr>
            </w:pPr>
          </w:p>
        </w:tc>
        <w:tc>
          <w:tcPr>
            <w:tcW w:w="217" w:type="dxa"/>
          </w:tcPr>
          <w:p w14:paraId="0EF2FCE8" w14:textId="77777777" w:rsidR="002C0FD9" w:rsidRPr="00CA25CF" w:rsidRDefault="002C0FD9" w:rsidP="00CA25CF">
            <w:pPr>
              <w:rPr>
                <w:rFonts w:cs="Arial"/>
                <w:color w:val="FF0000"/>
                <w:sz w:val="21"/>
                <w:szCs w:val="21"/>
              </w:rPr>
            </w:pPr>
          </w:p>
        </w:tc>
        <w:tc>
          <w:tcPr>
            <w:tcW w:w="217" w:type="dxa"/>
          </w:tcPr>
          <w:p w14:paraId="1ADCFAC5" w14:textId="77777777" w:rsidR="002C0FD9" w:rsidRPr="00CA25CF" w:rsidRDefault="002C0FD9" w:rsidP="00CA25CF">
            <w:pPr>
              <w:rPr>
                <w:rFonts w:cs="Arial"/>
                <w:color w:val="FF0000"/>
                <w:sz w:val="21"/>
                <w:szCs w:val="21"/>
              </w:rPr>
            </w:pPr>
          </w:p>
        </w:tc>
        <w:tc>
          <w:tcPr>
            <w:tcW w:w="217" w:type="dxa"/>
          </w:tcPr>
          <w:p w14:paraId="2A8D0AAB" w14:textId="77777777" w:rsidR="002C0FD9" w:rsidRPr="00CA25CF" w:rsidRDefault="002C0FD9" w:rsidP="00CA25CF">
            <w:pPr>
              <w:rPr>
                <w:rFonts w:cs="Arial"/>
                <w:color w:val="FF0000"/>
                <w:sz w:val="21"/>
                <w:szCs w:val="21"/>
              </w:rPr>
            </w:pPr>
          </w:p>
        </w:tc>
        <w:tc>
          <w:tcPr>
            <w:tcW w:w="217" w:type="dxa"/>
          </w:tcPr>
          <w:p w14:paraId="7FDF1750" w14:textId="77777777" w:rsidR="002C0FD9" w:rsidRPr="00CA25CF" w:rsidRDefault="002C0FD9" w:rsidP="00CA25CF">
            <w:pPr>
              <w:rPr>
                <w:rFonts w:cs="Arial"/>
                <w:color w:val="FF0000"/>
                <w:sz w:val="21"/>
                <w:szCs w:val="21"/>
              </w:rPr>
            </w:pPr>
          </w:p>
        </w:tc>
        <w:tc>
          <w:tcPr>
            <w:tcW w:w="217" w:type="dxa"/>
          </w:tcPr>
          <w:p w14:paraId="2C8E460F" w14:textId="77777777" w:rsidR="002C0FD9" w:rsidRPr="00CA25CF" w:rsidRDefault="002C0FD9" w:rsidP="00CA25CF">
            <w:pPr>
              <w:rPr>
                <w:rFonts w:cs="Arial"/>
                <w:color w:val="FF0000"/>
                <w:sz w:val="21"/>
                <w:szCs w:val="21"/>
              </w:rPr>
            </w:pPr>
          </w:p>
        </w:tc>
        <w:tc>
          <w:tcPr>
            <w:tcW w:w="217" w:type="dxa"/>
          </w:tcPr>
          <w:p w14:paraId="692279CD" w14:textId="77777777" w:rsidR="002C0FD9" w:rsidRPr="00CA25CF" w:rsidRDefault="002C0FD9" w:rsidP="00CA25CF">
            <w:pPr>
              <w:rPr>
                <w:rFonts w:cs="Arial"/>
                <w:color w:val="FF0000"/>
                <w:sz w:val="21"/>
                <w:szCs w:val="21"/>
              </w:rPr>
            </w:pPr>
          </w:p>
        </w:tc>
        <w:tc>
          <w:tcPr>
            <w:tcW w:w="217" w:type="dxa"/>
          </w:tcPr>
          <w:p w14:paraId="6AA78AD5" w14:textId="77777777" w:rsidR="002C0FD9" w:rsidRPr="00CA25CF" w:rsidRDefault="002C0FD9" w:rsidP="00CA25CF">
            <w:pPr>
              <w:rPr>
                <w:rFonts w:cs="Arial"/>
                <w:color w:val="FF0000"/>
                <w:sz w:val="21"/>
                <w:szCs w:val="21"/>
              </w:rPr>
            </w:pPr>
          </w:p>
        </w:tc>
        <w:tc>
          <w:tcPr>
            <w:tcW w:w="217" w:type="dxa"/>
          </w:tcPr>
          <w:p w14:paraId="3885F3A8" w14:textId="77777777" w:rsidR="002C0FD9" w:rsidRPr="00CA25CF" w:rsidRDefault="002C0FD9" w:rsidP="00CA25CF">
            <w:pPr>
              <w:rPr>
                <w:rFonts w:cs="Arial"/>
                <w:color w:val="FF0000"/>
                <w:sz w:val="21"/>
                <w:szCs w:val="21"/>
              </w:rPr>
            </w:pPr>
          </w:p>
        </w:tc>
        <w:tc>
          <w:tcPr>
            <w:tcW w:w="217" w:type="dxa"/>
          </w:tcPr>
          <w:p w14:paraId="05E14B8D" w14:textId="77777777" w:rsidR="002C0FD9" w:rsidRPr="00CA25CF" w:rsidRDefault="002C0FD9" w:rsidP="00CA25CF">
            <w:pPr>
              <w:rPr>
                <w:rFonts w:cs="Arial"/>
                <w:color w:val="FF0000"/>
                <w:sz w:val="21"/>
                <w:szCs w:val="21"/>
              </w:rPr>
            </w:pPr>
          </w:p>
        </w:tc>
        <w:tc>
          <w:tcPr>
            <w:tcW w:w="217" w:type="dxa"/>
          </w:tcPr>
          <w:p w14:paraId="2F1C19B2" w14:textId="77777777" w:rsidR="002C0FD9" w:rsidRPr="00CA25CF" w:rsidRDefault="002C0FD9" w:rsidP="00CA25CF">
            <w:pPr>
              <w:rPr>
                <w:rFonts w:cs="Arial"/>
                <w:color w:val="FF0000"/>
                <w:sz w:val="21"/>
                <w:szCs w:val="21"/>
              </w:rPr>
            </w:pPr>
          </w:p>
        </w:tc>
        <w:tc>
          <w:tcPr>
            <w:tcW w:w="217" w:type="dxa"/>
          </w:tcPr>
          <w:p w14:paraId="6412815A" w14:textId="77777777" w:rsidR="002C0FD9" w:rsidRPr="00CA25CF" w:rsidRDefault="002C0FD9" w:rsidP="00CA25CF">
            <w:pPr>
              <w:rPr>
                <w:rFonts w:cs="Arial"/>
                <w:color w:val="FF0000"/>
                <w:sz w:val="21"/>
                <w:szCs w:val="21"/>
              </w:rPr>
            </w:pPr>
          </w:p>
        </w:tc>
        <w:tc>
          <w:tcPr>
            <w:tcW w:w="217" w:type="dxa"/>
          </w:tcPr>
          <w:p w14:paraId="34F942AC" w14:textId="77777777" w:rsidR="002C0FD9" w:rsidRPr="00CA25CF" w:rsidRDefault="002C0FD9" w:rsidP="00CA25CF">
            <w:pPr>
              <w:rPr>
                <w:rFonts w:cs="Arial"/>
                <w:color w:val="FF0000"/>
                <w:sz w:val="21"/>
                <w:szCs w:val="21"/>
              </w:rPr>
            </w:pPr>
          </w:p>
        </w:tc>
        <w:tc>
          <w:tcPr>
            <w:tcW w:w="217" w:type="dxa"/>
          </w:tcPr>
          <w:p w14:paraId="597F8651" w14:textId="77777777" w:rsidR="002C0FD9" w:rsidRPr="00CA25CF" w:rsidRDefault="002C0FD9" w:rsidP="00CA25CF">
            <w:pPr>
              <w:rPr>
                <w:rFonts w:cs="Arial"/>
                <w:color w:val="FF0000"/>
                <w:sz w:val="21"/>
                <w:szCs w:val="21"/>
              </w:rPr>
            </w:pPr>
          </w:p>
        </w:tc>
        <w:tc>
          <w:tcPr>
            <w:tcW w:w="217" w:type="dxa"/>
          </w:tcPr>
          <w:p w14:paraId="0C50B65C" w14:textId="77777777" w:rsidR="002C0FD9" w:rsidRPr="00CA25CF" w:rsidRDefault="002C0FD9" w:rsidP="00CA25CF">
            <w:pPr>
              <w:rPr>
                <w:rFonts w:cs="Arial"/>
                <w:color w:val="FF0000"/>
                <w:sz w:val="21"/>
                <w:szCs w:val="21"/>
              </w:rPr>
            </w:pPr>
          </w:p>
        </w:tc>
        <w:tc>
          <w:tcPr>
            <w:tcW w:w="217" w:type="dxa"/>
          </w:tcPr>
          <w:p w14:paraId="0F708E3D" w14:textId="77777777" w:rsidR="002C0FD9" w:rsidRPr="00CA25CF" w:rsidRDefault="002C0FD9" w:rsidP="00CA25CF">
            <w:pPr>
              <w:rPr>
                <w:rFonts w:cs="Arial"/>
                <w:color w:val="FF0000"/>
                <w:sz w:val="21"/>
                <w:szCs w:val="21"/>
              </w:rPr>
            </w:pPr>
          </w:p>
        </w:tc>
        <w:tc>
          <w:tcPr>
            <w:tcW w:w="217" w:type="dxa"/>
          </w:tcPr>
          <w:p w14:paraId="6C0D7115" w14:textId="77777777" w:rsidR="002C0FD9" w:rsidRPr="00CA25CF" w:rsidRDefault="002C0FD9" w:rsidP="00CA25CF">
            <w:pPr>
              <w:rPr>
                <w:rFonts w:cs="Arial"/>
                <w:color w:val="FF0000"/>
                <w:sz w:val="21"/>
                <w:szCs w:val="21"/>
              </w:rPr>
            </w:pPr>
          </w:p>
        </w:tc>
        <w:tc>
          <w:tcPr>
            <w:tcW w:w="217" w:type="dxa"/>
          </w:tcPr>
          <w:p w14:paraId="5AB811F0" w14:textId="77777777" w:rsidR="002C0FD9" w:rsidRPr="00CA25CF" w:rsidRDefault="002C0FD9" w:rsidP="00CA25CF">
            <w:pPr>
              <w:rPr>
                <w:rFonts w:cs="Arial"/>
                <w:color w:val="FF0000"/>
                <w:sz w:val="21"/>
                <w:szCs w:val="21"/>
              </w:rPr>
            </w:pPr>
          </w:p>
        </w:tc>
        <w:tc>
          <w:tcPr>
            <w:tcW w:w="217" w:type="dxa"/>
          </w:tcPr>
          <w:p w14:paraId="6294FFD3" w14:textId="77777777" w:rsidR="002C0FD9" w:rsidRPr="00CA25CF" w:rsidRDefault="002C0FD9" w:rsidP="00CA25CF">
            <w:pPr>
              <w:rPr>
                <w:rFonts w:cs="Arial"/>
                <w:color w:val="FF0000"/>
                <w:sz w:val="21"/>
                <w:szCs w:val="21"/>
              </w:rPr>
            </w:pPr>
          </w:p>
        </w:tc>
        <w:tc>
          <w:tcPr>
            <w:tcW w:w="217" w:type="dxa"/>
          </w:tcPr>
          <w:p w14:paraId="0927211D" w14:textId="77777777" w:rsidR="002C0FD9" w:rsidRPr="00CA25CF" w:rsidRDefault="002C0FD9" w:rsidP="00CA25CF">
            <w:pPr>
              <w:rPr>
                <w:rFonts w:cs="Arial"/>
                <w:color w:val="FF0000"/>
                <w:sz w:val="21"/>
                <w:szCs w:val="21"/>
              </w:rPr>
            </w:pPr>
          </w:p>
        </w:tc>
        <w:tc>
          <w:tcPr>
            <w:tcW w:w="217" w:type="dxa"/>
          </w:tcPr>
          <w:p w14:paraId="3D2E18BF" w14:textId="77777777" w:rsidR="002C0FD9" w:rsidRPr="00CA25CF" w:rsidRDefault="002C0FD9" w:rsidP="00CA25CF">
            <w:pPr>
              <w:rPr>
                <w:rFonts w:cs="Arial"/>
                <w:color w:val="FF0000"/>
                <w:sz w:val="21"/>
                <w:szCs w:val="21"/>
              </w:rPr>
            </w:pPr>
          </w:p>
        </w:tc>
        <w:tc>
          <w:tcPr>
            <w:tcW w:w="217" w:type="dxa"/>
          </w:tcPr>
          <w:p w14:paraId="2C782E9B" w14:textId="77777777" w:rsidR="002C0FD9" w:rsidRPr="00CA25CF" w:rsidRDefault="002C0FD9" w:rsidP="00CA25CF">
            <w:pPr>
              <w:rPr>
                <w:rFonts w:cs="Arial"/>
                <w:color w:val="FF0000"/>
                <w:sz w:val="21"/>
                <w:szCs w:val="21"/>
              </w:rPr>
            </w:pPr>
          </w:p>
        </w:tc>
        <w:tc>
          <w:tcPr>
            <w:tcW w:w="217" w:type="dxa"/>
          </w:tcPr>
          <w:p w14:paraId="19A0B445" w14:textId="77777777" w:rsidR="002C0FD9" w:rsidRPr="00CA25CF" w:rsidRDefault="002C0FD9" w:rsidP="00CA25CF">
            <w:pPr>
              <w:rPr>
                <w:rFonts w:cs="Arial"/>
                <w:color w:val="FF0000"/>
                <w:sz w:val="21"/>
                <w:szCs w:val="21"/>
              </w:rPr>
            </w:pPr>
          </w:p>
        </w:tc>
        <w:tc>
          <w:tcPr>
            <w:tcW w:w="217" w:type="dxa"/>
          </w:tcPr>
          <w:p w14:paraId="45308B3D" w14:textId="77777777" w:rsidR="002C0FD9" w:rsidRPr="00CA25CF" w:rsidRDefault="002C0FD9" w:rsidP="00CA25CF">
            <w:pPr>
              <w:rPr>
                <w:rFonts w:cs="Arial"/>
                <w:color w:val="FF0000"/>
                <w:sz w:val="21"/>
                <w:szCs w:val="21"/>
              </w:rPr>
            </w:pPr>
          </w:p>
        </w:tc>
        <w:tc>
          <w:tcPr>
            <w:tcW w:w="217" w:type="dxa"/>
          </w:tcPr>
          <w:p w14:paraId="725A8AA2" w14:textId="77777777" w:rsidR="002C0FD9" w:rsidRPr="00CA25CF" w:rsidRDefault="002C0FD9" w:rsidP="00CA25CF">
            <w:pPr>
              <w:rPr>
                <w:rFonts w:cs="Arial"/>
                <w:color w:val="FF0000"/>
                <w:sz w:val="21"/>
                <w:szCs w:val="21"/>
              </w:rPr>
            </w:pPr>
          </w:p>
        </w:tc>
        <w:tc>
          <w:tcPr>
            <w:tcW w:w="217" w:type="dxa"/>
          </w:tcPr>
          <w:p w14:paraId="16856323" w14:textId="77777777" w:rsidR="002C0FD9" w:rsidRPr="00CA25CF" w:rsidRDefault="002C0FD9" w:rsidP="00CA25CF">
            <w:pPr>
              <w:rPr>
                <w:rFonts w:cs="Arial"/>
                <w:color w:val="FF0000"/>
                <w:sz w:val="21"/>
                <w:szCs w:val="21"/>
              </w:rPr>
            </w:pPr>
          </w:p>
        </w:tc>
        <w:tc>
          <w:tcPr>
            <w:tcW w:w="217" w:type="dxa"/>
          </w:tcPr>
          <w:p w14:paraId="1638F9FA" w14:textId="77777777" w:rsidR="002C0FD9" w:rsidRPr="00CA25CF" w:rsidRDefault="002C0FD9" w:rsidP="00CA25CF">
            <w:pPr>
              <w:rPr>
                <w:rFonts w:cs="Arial"/>
                <w:color w:val="FF0000"/>
                <w:sz w:val="21"/>
                <w:szCs w:val="21"/>
              </w:rPr>
            </w:pPr>
          </w:p>
        </w:tc>
        <w:tc>
          <w:tcPr>
            <w:tcW w:w="217" w:type="dxa"/>
          </w:tcPr>
          <w:p w14:paraId="22DAB181" w14:textId="77777777" w:rsidR="002C0FD9" w:rsidRPr="00CA25CF" w:rsidRDefault="002C0FD9" w:rsidP="00CA25CF">
            <w:pPr>
              <w:rPr>
                <w:rFonts w:cs="Arial"/>
                <w:color w:val="FF0000"/>
                <w:sz w:val="21"/>
                <w:szCs w:val="21"/>
              </w:rPr>
            </w:pPr>
          </w:p>
        </w:tc>
        <w:tc>
          <w:tcPr>
            <w:tcW w:w="217" w:type="dxa"/>
          </w:tcPr>
          <w:p w14:paraId="3AD878DB" w14:textId="77777777" w:rsidR="002C0FD9" w:rsidRPr="00CA25CF" w:rsidRDefault="002C0FD9" w:rsidP="00CA25CF">
            <w:pPr>
              <w:rPr>
                <w:rFonts w:cs="Arial"/>
                <w:color w:val="FF0000"/>
                <w:sz w:val="21"/>
                <w:szCs w:val="21"/>
              </w:rPr>
            </w:pPr>
          </w:p>
        </w:tc>
        <w:tc>
          <w:tcPr>
            <w:tcW w:w="217" w:type="dxa"/>
          </w:tcPr>
          <w:p w14:paraId="1DA13EFB" w14:textId="77777777" w:rsidR="002C0FD9" w:rsidRPr="00CA25CF" w:rsidRDefault="002C0FD9" w:rsidP="00CA25CF">
            <w:pPr>
              <w:rPr>
                <w:rFonts w:cs="Arial"/>
                <w:color w:val="FF0000"/>
                <w:sz w:val="21"/>
                <w:szCs w:val="21"/>
              </w:rPr>
            </w:pPr>
          </w:p>
        </w:tc>
        <w:tc>
          <w:tcPr>
            <w:tcW w:w="217" w:type="dxa"/>
          </w:tcPr>
          <w:p w14:paraId="4DF9D95B" w14:textId="77777777" w:rsidR="002C0FD9" w:rsidRPr="00CA25CF" w:rsidRDefault="002C0FD9" w:rsidP="00CA25CF">
            <w:pPr>
              <w:rPr>
                <w:rFonts w:cs="Arial"/>
                <w:color w:val="FF0000"/>
                <w:sz w:val="21"/>
                <w:szCs w:val="21"/>
              </w:rPr>
            </w:pPr>
          </w:p>
        </w:tc>
        <w:tc>
          <w:tcPr>
            <w:tcW w:w="217" w:type="dxa"/>
          </w:tcPr>
          <w:p w14:paraId="05145E6A" w14:textId="77777777" w:rsidR="002C0FD9" w:rsidRPr="00CA25CF" w:rsidRDefault="002C0FD9" w:rsidP="00CA25CF">
            <w:pPr>
              <w:rPr>
                <w:rFonts w:cs="Arial"/>
                <w:color w:val="FF0000"/>
                <w:sz w:val="21"/>
                <w:szCs w:val="21"/>
              </w:rPr>
            </w:pPr>
          </w:p>
        </w:tc>
        <w:tc>
          <w:tcPr>
            <w:tcW w:w="217" w:type="dxa"/>
          </w:tcPr>
          <w:p w14:paraId="7976C0A0" w14:textId="77777777" w:rsidR="002C0FD9" w:rsidRPr="00CA25CF" w:rsidRDefault="002C0FD9" w:rsidP="00CA25CF">
            <w:pPr>
              <w:rPr>
                <w:rFonts w:cs="Arial"/>
                <w:color w:val="FF0000"/>
                <w:sz w:val="21"/>
                <w:szCs w:val="21"/>
              </w:rPr>
            </w:pPr>
          </w:p>
        </w:tc>
        <w:tc>
          <w:tcPr>
            <w:tcW w:w="217" w:type="dxa"/>
          </w:tcPr>
          <w:p w14:paraId="5BC8BC33" w14:textId="77777777" w:rsidR="002C0FD9" w:rsidRPr="00CA25CF" w:rsidRDefault="002C0FD9" w:rsidP="00CA25CF">
            <w:pPr>
              <w:rPr>
                <w:rFonts w:cs="Arial"/>
                <w:color w:val="FF0000"/>
                <w:sz w:val="21"/>
                <w:szCs w:val="21"/>
              </w:rPr>
            </w:pPr>
          </w:p>
        </w:tc>
        <w:tc>
          <w:tcPr>
            <w:tcW w:w="217" w:type="dxa"/>
          </w:tcPr>
          <w:p w14:paraId="3EE8D6F4" w14:textId="77777777" w:rsidR="002C0FD9" w:rsidRPr="00CA25CF" w:rsidRDefault="002C0FD9" w:rsidP="00CA25CF">
            <w:pPr>
              <w:rPr>
                <w:rFonts w:cs="Arial"/>
                <w:color w:val="FF0000"/>
                <w:sz w:val="21"/>
                <w:szCs w:val="21"/>
              </w:rPr>
            </w:pPr>
          </w:p>
        </w:tc>
        <w:tc>
          <w:tcPr>
            <w:tcW w:w="217" w:type="dxa"/>
          </w:tcPr>
          <w:p w14:paraId="058B3419" w14:textId="77777777" w:rsidR="002C0FD9" w:rsidRPr="00CA25CF" w:rsidRDefault="002C0FD9" w:rsidP="00CA25CF">
            <w:pPr>
              <w:rPr>
                <w:rFonts w:cs="Arial"/>
                <w:color w:val="FF0000"/>
                <w:sz w:val="21"/>
                <w:szCs w:val="21"/>
              </w:rPr>
            </w:pPr>
          </w:p>
        </w:tc>
        <w:tc>
          <w:tcPr>
            <w:tcW w:w="217" w:type="dxa"/>
          </w:tcPr>
          <w:p w14:paraId="485A544F" w14:textId="77777777" w:rsidR="002C0FD9" w:rsidRPr="00CA25CF" w:rsidRDefault="002C0FD9" w:rsidP="00CA25CF">
            <w:pPr>
              <w:rPr>
                <w:rFonts w:cs="Arial"/>
                <w:color w:val="FF0000"/>
                <w:sz w:val="21"/>
                <w:szCs w:val="21"/>
              </w:rPr>
            </w:pPr>
          </w:p>
        </w:tc>
        <w:tc>
          <w:tcPr>
            <w:tcW w:w="217" w:type="dxa"/>
          </w:tcPr>
          <w:p w14:paraId="4C614180" w14:textId="77777777" w:rsidR="002C0FD9" w:rsidRPr="00CA25CF" w:rsidRDefault="002C0FD9" w:rsidP="00CA25CF">
            <w:pPr>
              <w:rPr>
                <w:rFonts w:cs="Arial"/>
                <w:color w:val="FF0000"/>
                <w:sz w:val="21"/>
                <w:szCs w:val="21"/>
              </w:rPr>
            </w:pPr>
          </w:p>
        </w:tc>
        <w:tc>
          <w:tcPr>
            <w:tcW w:w="217" w:type="dxa"/>
          </w:tcPr>
          <w:p w14:paraId="4A1AAD6E" w14:textId="77777777" w:rsidR="002C0FD9" w:rsidRPr="00CA25CF" w:rsidRDefault="002C0FD9" w:rsidP="00CA25CF">
            <w:pPr>
              <w:rPr>
                <w:rFonts w:cs="Arial"/>
                <w:color w:val="FF0000"/>
                <w:sz w:val="21"/>
                <w:szCs w:val="21"/>
              </w:rPr>
            </w:pPr>
          </w:p>
        </w:tc>
        <w:tc>
          <w:tcPr>
            <w:tcW w:w="217" w:type="dxa"/>
          </w:tcPr>
          <w:p w14:paraId="7C7C3E4F" w14:textId="77777777" w:rsidR="002C0FD9" w:rsidRPr="00CA25CF" w:rsidRDefault="002C0FD9" w:rsidP="00CA25CF">
            <w:pPr>
              <w:rPr>
                <w:rFonts w:cs="Arial"/>
                <w:color w:val="FF0000"/>
                <w:sz w:val="21"/>
                <w:szCs w:val="21"/>
              </w:rPr>
            </w:pPr>
          </w:p>
        </w:tc>
        <w:tc>
          <w:tcPr>
            <w:tcW w:w="217" w:type="dxa"/>
          </w:tcPr>
          <w:p w14:paraId="456F4560" w14:textId="77777777" w:rsidR="002C0FD9" w:rsidRPr="00CA25CF" w:rsidRDefault="002C0FD9" w:rsidP="00CA25CF">
            <w:pPr>
              <w:rPr>
                <w:rFonts w:cs="Arial"/>
                <w:color w:val="FF0000"/>
                <w:sz w:val="21"/>
                <w:szCs w:val="21"/>
              </w:rPr>
            </w:pPr>
          </w:p>
        </w:tc>
      </w:tr>
      <w:tr w:rsidR="002C0FD9" w:rsidRPr="00A16219" w14:paraId="2AF91660" w14:textId="77777777" w:rsidTr="002C0FD9">
        <w:trPr>
          <w:trHeight w:val="635"/>
        </w:trPr>
        <w:tc>
          <w:tcPr>
            <w:tcW w:w="515" w:type="dxa"/>
          </w:tcPr>
          <w:p w14:paraId="22D90773" w14:textId="77777777" w:rsidR="002C0FD9" w:rsidRPr="00CA25CF" w:rsidRDefault="002C0FD9" w:rsidP="00CA25CF">
            <w:pPr>
              <w:rPr>
                <w:rFonts w:cs="Arial"/>
                <w:color w:val="FF0000"/>
                <w:sz w:val="21"/>
                <w:szCs w:val="21"/>
              </w:rPr>
            </w:pPr>
          </w:p>
        </w:tc>
        <w:tc>
          <w:tcPr>
            <w:tcW w:w="217" w:type="dxa"/>
          </w:tcPr>
          <w:p w14:paraId="7AFF8E55" w14:textId="77777777" w:rsidR="002C0FD9" w:rsidRPr="00CA25CF" w:rsidRDefault="002C0FD9" w:rsidP="00CA25CF">
            <w:pPr>
              <w:rPr>
                <w:rFonts w:cs="Arial"/>
                <w:color w:val="FF0000"/>
                <w:sz w:val="21"/>
                <w:szCs w:val="21"/>
              </w:rPr>
            </w:pPr>
          </w:p>
        </w:tc>
        <w:tc>
          <w:tcPr>
            <w:tcW w:w="217" w:type="dxa"/>
          </w:tcPr>
          <w:p w14:paraId="39043EA0" w14:textId="77777777" w:rsidR="002C0FD9" w:rsidRPr="00CA25CF" w:rsidRDefault="002C0FD9" w:rsidP="00CA25CF">
            <w:pPr>
              <w:rPr>
                <w:rFonts w:cs="Arial"/>
                <w:color w:val="FF0000"/>
                <w:sz w:val="21"/>
                <w:szCs w:val="21"/>
              </w:rPr>
            </w:pPr>
          </w:p>
        </w:tc>
        <w:tc>
          <w:tcPr>
            <w:tcW w:w="217" w:type="dxa"/>
          </w:tcPr>
          <w:p w14:paraId="72E3619B" w14:textId="77777777" w:rsidR="002C0FD9" w:rsidRPr="00CA25CF" w:rsidRDefault="002C0FD9" w:rsidP="00CA25CF">
            <w:pPr>
              <w:rPr>
                <w:rFonts w:cs="Arial"/>
                <w:color w:val="FF0000"/>
                <w:sz w:val="21"/>
                <w:szCs w:val="21"/>
              </w:rPr>
            </w:pPr>
          </w:p>
        </w:tc>
        <w:tc>
          <w:tcPr>
            <w:tcW w:w="217" w:type="dxa"/>
          </w:tcPr>
          <w:p w14:paraId="18245D37" w14:textId="77777777" w:rsidR="002C0FD9" w:rsidRPr="00CA25CF" w:rsidRDefault="002C0FD9" w:rsidP="00CA25CF">
            <w:pPr>
              <w:rPr>
                <w:rFonts w:cs="Arial"/>
                <w:color w:val="FF0000"/>
                <w:sz w:val="21"/>
                <w:szCs w:val="21"/>
              </w:rPr>
            </w:pPr>
          </w:p>
        </w:tc>
        <w:tc>
          <w:tcPr>
            <w:tcW w:w="217" w:type="dxa"/>
          </w:tcPr>
          <w:p w14:paraId="4618BBA8" w14:textId="77777777" w:rsidR="002C0FD9" w:rsidRPr="00CA25CF" w:rsidRDefault="002C0FD9" w:rsidP="00CA25CF">
            <w:pPr>
              <w:rPr>
                <w:rFonts w:cs="Arial"/>
                <w:color w:val="FF0000"/>
                <w:sz w:val="21"/>
                <w:szCs w:val="21"/>
              </w:rPr>
            </w:pPr>
          </w:p>
        </w:tc>
        <w:tc>
          <w:tcPr>
            <w:tcW w:w="217" w:type="dxa"/>
          </w:tcPr>
          <w:p w14:paraId="3DE3EA1B" w14:textId="77777777" w:rsidR="002C0FD9" w:rsidRPr="00CA25CF" w:rsidRDefault="002C0FD9" w:rsidP="00CA25CF">
            <w:pPr>
              <w:rPr>
                <w:rFonts w:cs="Arial"/>
                <w:color w:val="FF0000"/>
                <w:sz w:val="21"/>
                <w:szCs w:val="21"/>
              </w:rPr>
            </w:pPr>
          </w:p>
        </w:tc>
        <w:tc>
          <w:tcPr>
            <w:tcW w:w="217" w:type="dxa"/>
          </w:tcPr>
          <w:p w14:paraId="6B98F1FC" w14:textId="77777777" w:rsidR="002C0FD9" w:rsidRPr="00CA25CF" w:rsidRDefault="002C0FD9" w:rsidP="00CA25CF">
            <w:pPr>
              <w:rPr>
                <w:rFonts w:cs="Arial"/>
                <w:color w:val="FF0000"/>
                <w:sz w:val="21"/>
                <w:szCs w:val="21"/>
              </w:rPr>
            </w:pPr>
          </w:p>
        </w:tc>
        <w:tc>
          <w:tcPr>
            <w:tcW w:w="217" w:type="dxa"/>
          </w:tcPr>
          <w:p w14:paraId="65884B21" w14:textId="77777777" w:rsidR="002C0FD9" w:rsidRPr="00CA25CF" w:rsidRDefault="002C0FD9" w:rsidP="00CA25CF">
            <w:pPr>
              <w:rPr>
                <w:rFonts w:cs="Arial"/>
                <w:color w:val="FF0000"/>
                <w:sz w:val="21"/>
                <w:szCs w:val="21"/>
              </w:rPr>
            </w:pPr>
          </w:p>
        </w:tc>
        <w:tc>
          <w:tcPr>
            <w:tcW w:w="217" w:type="dxa"/>
          </w:tcPr>
          <w:p w14:paraId="38B7111F" w14:textId="77777777" w:rsidR="002C0FD9" w:rsidRPr="00CA25CF" w:rsidRDefault="002C0FD9" w:rsidP="00CA25CF">
            <w:pPr>
              <w:rPr>
                <w:rFonts w:cs="Arial"/>
                <w:color w:val="FF0000"/>
                <w:sz w:val="21"/>
                <w:szCs w:val="21"/>
              </w:rPr>
            </w:pPr>
          </w:p>
        </w:tc>
        <w:tc>
          <w:tcPr>
            <w:tcW w:w="217" w:type="dxa"/>
          </w:tcPr>
          <w:p w14:paraId="6218ADD3" w14:textId="77777777" w:rsidR="002C0FD9" w:rsidRPr="00CA25CF" w:rsidRDefault="002C0FD9" w:rsidP="00CA25CF">
            <w:pPr>
              <w:rPr>
                <w:rFonts w:cs="Arial"/>
                <w:color w:val="FF0000"/>
                <w:sz w:val="21"/>
                <w:szCs w:val="21"/>
              </w:rPr>
            </w:pPr>
          </w:p>
        </w:tc>
        <w:tc>
          <w:tcPr>
            <w:tcW w:w="217" w:type="dxa"/>
          </w:tcPr>
          <w:p w14:paraId="67D15024" w14:textId="77777777" w:rsidR="002C0FD9" w:rsidRPr="00CA25CF" w:rsidRDefault="002C0FD9" w:rsidP="00CA25CF">
            <w:pPr>
              <w:rPr>
                <w:rFonts w:cs="Arial"/>
                <w:color w:val="FF0000"/>
                <w:sz w:val="21"/>
                <w:szCs w:val="21"/>
              </w:rPr>
            </w:pPr>
          </w:p>
        </w:tc>
        <w:tc>
          <w:tcPr>
            <w:tcW w:w="217" w:type="dxa"/>
          </w:tcPr>
          <w:p w14:paraId="63FC62C5" w14:textId="77777777" w:rsidR="002C0FD9" w:rsidRPr="00CA25CF" w:rsidRDefault="002C0FD9" w:rsidP="00CA25CF">
            <w:pPr>
              <w:rPr>
                <w:rFonts w:cs="Arial"/>
                <w:color w:val="FF0000"/>
                <w:sz w:val="21"/>
                <w:szCs w:val="21"/>
              </w:rPr>
            </w:pPr>
          </w:p>
        </w:tc>
        <w:tc>
          <w:tcPr>
            <w:tcW w:w="217" w:type="dxa"/>
          </w:tcPr>
          <w:p w14:paraId="64661CC5" w14:textId="77777777" w:rsidR="002C0FD9" w:rsidRPr="00CA25CF" w:rsidRDefault="002C0FD9" w:rsidP="00CA25CF">
            <w:pPr>
              <w:rPr>
                <w:rFonts w:cs="Arial"/>
                <w:color w:val="FF0000"/>
                <w:sz w:val="21"/>
                <w:szCs w:val="21"/>
              </w:rPr>
            </w:pPr>
          </w:p>
        </w:tc>
        <w:tc>
          <w:tcPr>
            <w:tcW w:w="217" w:type="dxa"/>
          </w:tcPr>
          <w:p w14:paraId="3C6A9F69" w14:textId="77777777" w:rsidR="002C0FD9" w:rsidRPr="00CA25CF" w:rsidRDefault="002C0FD9" w:rsidP="00CA25CF">
            <w:pPr>
              <w:rPr>
                <w:rFonts w:cs="Arial"/>
                <w:color w:val="FF0000"/>
                <w:sz w:val="21"/>
                <w:szCs w:val="21"/>
              </w:rPr>
            </w:pPr>
          </w:p>
        </w:tc>
        <w:tc>
          <w:tcPr>
            <w:tcW w:w="217" w:type="dxa"/>
          </w:tcPr>
          <w:p w14:paraId="617263EC" w14:textId="77777777" w:rsidR="002C0FD9" w:rsidRPr="00CA25CF" w:rsidRDefault="002C0FD9" w:rsidP="00CA25CF">
            <w:pPr>
              <w:rPr>
                <w:rFonts w:cs="Arial"/>
                <w:color w:val="FF0000"/>
                <w:sz w:val="21"/>
                <w:szCs w:val="21"/>
              </w:rPr>
            </w:pPr>
          </w:p>
        </w:tc>
        <w:tc>
          <w:tcPr>
            <w:tcW w:w="217" w:type="dxa"/>
          </w:tcPr>
          <w:p w14:paraId="7C703A55" w14:textId="77777777" w:rsidR="002C0FD9" w:rsidRPr="00CA25CF" w:rsidRDefault="002C0FD9" w:rsidP="00CA25CF">
            <w:pPr>
              <w:rPr>
                <w:rFonts w:cs="Arial"/>
                <w:color w:val="FF0000"/>
                <w:sz w:val="21"/>
                <w:szCs w:val="21"/>
              </w:rPr>
            </w:pPr>
          </w:p>
        </w:tc>
        <w:tc>
          <w:tcPr>
            <w:tcW w:w="217" w:type="dxa"/>
          </w:tcPr>
          <w:p w14:paraId="787ADAC4" w14:textId="77777777" w:rsidR="002C0FD9" w:rsidRPr="00CA25CF" w:rsidRDefault="002C0FD9" w:rsidP="00CA25CF">
            <w:pPr>
              <w:rPr>
                <w:rFonts w:cs="Arial"/>
                <w:color w:val="FF0000"/>
                <w:sz w:val="21"/>
                <w:szCs w:val="21"/>
              </w:rPr>
            </w:pPr>
          </w:p>
        </w:tc>
        <w:tc>
          <w:tcPr>
            <w:tcW w:w="217" w:type="dxa"/>
          </w:tcPr>
          <w:p w14:paraId="1C279634" w14:textId="77777777" w:rsidR="002C0FD9" w:rsidRPr="00CA25CF" w:rsidRDefault="002C0FD9" w:rsidP="00CA25CF">
            <w:pPr>
              <w:rPr>
                <w:rFonts w:cs="Arial"/>
                <w:color w:val="FF0000"/>
                <w:sz w:val="21"/>
                <w:szCs w:val="21"/>
              </w:rPr>
            </w:pPr>
          </w:p>
        </w:tc>
        <w:tc>
          <w:tcPr>
            <w:tcW w:w="217" w:type="dxa"/>
          </w:tcPr>
          <w:p w14:paraId="35BA0C41" w14:textId="77777777" w:rsidR="002C0FD9" w:rsidRPr="00CA25CF" w:rsidRDefault="002C0FD9" w:rsidP="00CA25CF">
            <w:pPr>
              <w:rPr>
                <w:rFonts w:cs="Arial"/>
                <w:color w:val="FF0000"/>
                <w:sz w:val="21"/>
                <w:szCs w:val="21"/>
              </w:rPr>
            </w:pPr>
          </w:p>
        </w:tc>
        <w:tc>
          <w:tcPr>
            <w:tcW w:w="217" w:type="dxa"/>
          </w:tcPr>
          <w:p w14:paraId="3D74D867" w14:textId="77777777" w:rsidR="002C0FD9" w:rsidRPr="00CA25CF" w:rsidRDefault="002C0FD9" w:rsidP="00CA25CF">
            <w:pPr>
              <w:rPr>
                <w:rFonts w:cs="Arial"/>
                <w:color w:val="FF0000"/>
                <w:sz w:val="21"/>
                <w:szCs w:val="21"/>
              </w:rPr>
            </w:pPr>
          </w:p>
        </w:tc>
        <w:tc>
          <w:tcPr>
            <w:tcW w:w="217" w:type="dxa"/>
          </w:tcPr>
          <w:p w14:paraId="469EC980" w14:textId="77777777" w:rsidR="002C0FD9" w:rsidRPr="00CA25CF" w:rsidRDefault="002C0FD9" w:rsidP="00CA25CF">
            <w:pPr>
              <w:rPr>
                <w:rFonts w:cs="Arial"/>
                <w:color w:val="FF0000"/>
                <w:sz w:val="21"/>
                <w:szCs w:val="21"/>
              </w:rPr>
            </w:pPr>
          </w:p>
        </w:tc>
        <w:tc>
          <w:tcPr>
            <w:tcW w:w="217" w:type="dxa"/>
          </w:tcPr>
          <w:p w14:paraId="54A5046C" w14:textId="77777777" w:rsidR="002C0FD9" w:rsidRPr="00CA25CF" w:rsidRDefault="002C0FD9" w:rsidP="00CA25CF">
            <w:pPr>
              <w:rPr>
                <w:rFonts w:cs="Arial"/>
                <w:color w:val="FF0000"/>
                <w:sz w:val="21"/>
                <w:szCs w:val="21"/>
              </w:rPr>
            </w:pPr>
          </w:p>
        </w:tc>
        <w:tc>
          <w:tcPr>
            <w:tcW w:w="217" w:type="dxa"/>
          </w:tcPr>
          <w:p w14:paraId="59A783AA" w14:textId="77777777" w:rsidR="002C0FD9" w:rsidRPr="00CA25CF" w:rsidRDefault="002C0FD9" w:rsidP="00CA25CF">
            <w:pPr>
              <w:rPr>
                <w:rFonts w:cs="Arial"/>
                <w:color w:val="FF0000"/>
                <w:sz w:val="21"/>
                <w:szCs w:val="21"/>
              </w:rPr>
            </w:pPr>
          </w:p>
        </w:tc>
        <w:tc>
          <w:tcPr>
            <w:tcW w:w="217" w:type="dxa"/>
          </w:tcPr>
          <w:p w14:paraId="0A730832" w14:textId="77777777" w:rsidR="002C0FD9" w:rsidRPr="00CA25CF" w:rsidRDefault="002C0FD9" w:rsidP="00CA25CF">
            <w:pPr>
              <w:rPr>
                <w:rFonts w:cs="Arial"/>
                <w:color w:val="FF0000"/>
                <w:sz w:val="21"/>
                <w:szCs w:val="21"/>
              </w:rPr>
            </w:pPr>
          </w:p>
        </w:tc>
        <w:tc>
          <w:tcPr>
            <w:tcW w:w="217" w:type="dxa"/>
          </w:tcPr>
          <w:p w14:paraId="7A0E2E2B" w14:textId="77777777" w:rsidR="002C0FD9" w:rsidRPr="00CA25CF" w:rsidRDefault="002C0FD9" w:rsidP="00CA25CF">
            <w:pPr>
              <w:rPr>
                <w:rFonts w:cs="Arial"/>
                <w:color w:val="FF0000"/>
                <w:sz w:val="21"/>
                <w:szCs w:val="21"/>
              </w:rPr>
            </w:pPr>
          </w:p>
        </w:tc>
        <w:tc>
          <w:tcPr>
            <w:tcW w:w="217" w:type="dxa"/>
          </w:tcPr>
          <w:p w14:paraId="0D0E16D1" w14:textId="77777777" w:rsidR="002C0FD9" w:rsidRPr="00CA25CF" w:rsidRDefault="002C0FD9" w:rsidP="00CA25CF">
            <w:pPr>
              <w:rPr>
                <w:rFonts w:cs="Arial"/>
                <w:color w:val="FF0000"/>
                <w:sz w:val="21"/>
                <w:szCs w:val="21"/>
              </w:rPr>
            </w:pPr>
          </w:p>
        </w:tc>
        <w:tc>
          <w:tcPr>
            <w:tcW w:w="217" w:type="dxa"/>
          </w:tcPr>
          <w:p w14:paraId="708E18AE" w14:textId="77777777" w:rsidR="002C0FD9" w:rsidRPr="00CA25CF" w:rsidRDefault="002C0FD9" w:rsidP="00CA25CF">
            <w:pPr>
              <w:rPr>
                <w:rFonts w:cs="Arial"/>
                <w:color w:val="FF0000"/>
                <w:sz w:val="21"/>
                <w:szCs w:val="21"/>
              </w:rPr>
            </w:pPr>
          </w:p>
        </w:tc>
        <w:tc>
          <w:tcPr>
            <w:tcW w:w="217" w:type="dxa"/>
          </w:tcPr>
          <w:p w14:paraId="1655B35D" w14:textId="77777777" w:rsidR="002C0FD9" w:rsidRPr="00CA25CF" w:rsidRDefault="002C0FD9" w:rsidP="00CA25CF">
            <w:pPr>
              <w:rPr>
                <w:rFonts w:cs="Arial"/>
                <w:color w:val="FF0000"/>
                <w:sz w:val="21"/>
                <w:szCs w:val="21"/>
              </w:rPr>
            </w:pPr>
          </w:p>
        </w:tc>
        <w:tc>
          <w:tcPr>
            <w:tcW w:w="217" w:type="dxa"/>
          </w:tcPr>
          <w:p w14:paraId="70CEBCB1" w14:textId="77777777" w:rsidR="002C0FD9" w:rsidRPr="00CA25CF" w:rsidRDefault="002C0FD9" w:rsidP="00CA25CF">
            <w:pPr>
              <w:rPr>
                <w:rFonts w:cs="Arial"/>
                <w:color w:val="FF0000"/>
                <w:sz w:val="21"/>
                <w:szCs w:val="21"/>
              </w:rPr>
            </w:pPr>
          </w:p>
        </w:tc>
        <w:tc>
          <w:tcPr>
            <w:tcW w:w="217" w:type="dxa"/>
          </w:tcPr>
          <w:p w14:paraId="4629BE33" w14:textId="77777777" w:rsidR="002C0FD9" w:rsidRPr="00CA25CF" w:rsidRDefault="002C0FD9" w:rsidP="00CA25CF">
            <w:pPr>
              <w:rPr>
                <w:rFonts w:cs="Arial"/>
                <w:color w:val="FF0000"/>
                <w:sz w:val="21"/>
                <w:szCs w:val="21"/>
              </w:rPr>
            </w:pPr>
          </w:p>
        </w:tc>
        <w:tc>
          <w:tcPr>
            <w:tcW w:w="217" w:type="dxa"/>
          </w:tcPr>
          <w:p w14:paraId="4A727395" w14:textId="77777777" w:rsidR="002C0FD9" w:rsidRPr="00CA25CF" w:rsidRDefault="002C0FD9" w:rsidP="00CA25CF">
            <w:pPr>
              <w:rPr>
                <w:rFonts w:cs="Arial"/>
                <w:color w:val="FF0000"/>
                <w:sz w:val="21"/>
                <w:szCs w:val="21"/>
              </w:rPr>
            </w:pPr>
          </w:p>
        </w:tc>
        <w:tc>
          <w:tcPr>
            <w:tcW w:w="217" w:type="dxa"/>
          </w:tcPr>
          <w:p w14:paraId="23C8F8CB" w14:textId="77777777" w:rsidR="002C0FD9" w:rsidRPr="00CA25CF" w:rsidRDefault="002C0FD9" w:rsidP="00CA25CF">
            <w:pPr>
              <w:rPr>
                <w:rFonts w:cs="Arial"/>
                <w:color w:val="FF0000"/>
                <w:sz w:val="21"/>
                <w:szCs w:val="21"/>
              </w:rPr>
            </w:pPr>
          </w:p>
        </w:tc>
        <w:tc>
          <w:tcPr>
            <w:tcW w:w="217" w:type="dxa"/>
          </w:tcPr>
          <w:p w14:paraId="6FFD392B" w14:textId="77777777" w:rsidR="002C0FD9" w:rsidRPr="00CA25CF" w:rsidRDefault="002C0FD9" w:rsidP="00CA25CF">
            <w:pPr>
              <w:rPr>
                <w:rFonts w:cs="Arial"/>
                <w:color w:val="FF0000"/>
                <w:sz w:val="21"/>
                <w:szCs w:val="21"/>
              </w:rPr>
            </w:pPr>
          </w:p>
        </w:tc>
        <w:tc>
          <w:tcPr>
            <w:tcW w:w="217" w:type="dxa"/>
          </w:tcPr>
          <w:p w14:paraId="60871404" w14:textId="77777777" w:rsidR="002C0FD9" w:rsidRPr="00CA25CF" w:rsidRDefault="002C0FD9" w:rsidP="00CA25CF">
            <w:pPr>
              <w:rPr>
                <w:rFonts w:cs="Arial"/>
                <w:color w:val="FF0000"/>
                <w:sz w:val="21"/>
                <w:szCs w:val="21"/>
              </w:rPr>
            </w:pPr>
          </w:p>
        </w:tc>
        <w:tc>
          <w:tcPr>
            <w:tcW w:w="217" w:type="dxa"/>
          </w:tcPr>
          <w:p w14:paraId="3917BEC9" w14:textId="77777777" w:rsidR="002C0FD9" w:rsidRPr="00CA25CF" w:rsidRDefault="002C0FD9" w:rsidP="00CA25CF">
            <w:pPr>
              <w:rPr>
                <w:rFonts w:cs="Arial"/>
                <w:color w:val="FF0000"/>
                <w:sz w:val="21"/>
                <w:szCs w:val="21"/>
              </w:rPr>
            </w:pPr>
          </w:p>
        </w:tc>
        <w:tc>
          <w:tcPr>
            <w:tcW w:w="217" w:type="dxa"/>
          </w:tcPr>
          <w:p w14:paraId="5EFEFCFC" w14:textId="77777777" w:rsidR="002C0FD9" w:rsidRPr="00CA25CF" w:rsidRDefault="002C0FD9" w:rsidP="00CA25CF">
            <w:pPr>
              <w:rPr>
                <w:rFonts w:cs="Arial"/>
                <w:color w:val="FF0000"/>
                <w:sz w:val="21"/>
                <w:szCs w:val="21"/>
              </w:rPr>
            </w:pPr>
          </w:p>
        </w:tc>
        <w:tc>
          <w:tcPr>
            <w:tcW w:w="217" w:type="dxa"/>
          </w:tcPr>
          <w:p w14:paraId="773C32D3" w14:textId="77777777" w:rsidR="002C0FD9" w:rsidRPr="00CA25CF" w:rsidRDefault="002C0FD9" w:rsidP="00CA25CF">
            <w:pPr>
              <w:rPr>
                <w:rFonts w:cs="Arial"/>
                <w:color w:val="FF0000"/>
                <w:sz w:val="21"/>
                <w:szCs w:val="21"/>
              </w:rPr>
            </w:pPr>
          </w:p>
        </w:tc>
        <w:tc>
          <w:tcPr>
            <w:tcW w:w="217" w:type="dxa"/>
          </w:tcPr>
          <w:p w14:paraId="5B76BC57" w14:textId="77777777" w:rsidR="002C0FD9" w:rsidRPr="00CA25CF" w:rsidRDefault="002C0FD9" w:rsidP="00CA25CF">
            <w:pPr>
              <w:rPr>
                <w:rFonts w:cs="Arial"/>
                <w:color w:val="FF0000"/>
                <w:sz w:val="21"/>
                <w:szCs w:val="21"/>
              </w:rPr>
            </w:pPr>
          </w:p>
        </w:tc>
        <w:tc>
          <w:tcPr>
            <w:tcW w:w="217" w:type="dxa"/>
          </w:tcPr>
          <w:p w14:paraId="752440D3" w14:textId="77777777" w:rsidR="002C0FD9" w:rsidRPr="00CA25CF" w:rsidRDefault="002C0FD9" w:rsidP="00CA25CF">
            <w:pPr>
              <w:rPr>
                <w:rFonts w:cs="Arial"/>
                <w:color w:val="FF0000"/>
                <w:sz w:val="21"/>
                <w:szCs w:val="21"/>
              </w:rPr>
            </w:pPr>
          </w:p>
        </w:tc>
        <w:tc>
          <w:tcPr>
            <w:tcW w:w="217" w:type="dxa"/>
          </w:tcPr>
          <w:p w14:paraId="0AD7DC16" w14:textId="77777777" w:rsidR="002C0FD9" w:rsidRPr="00CA25CF" w:rsidRDefault="002C0FD9" w:rsidP="00CA25CF">
            <w:pPr>
              <w:rPr>
                <w:rFonts w:cs="Arial"/>
                <w:color w:val="FF0000"/>
                <w:sz w:val="21"/>
                <w:szCs w:val="21"/>
              </w:rPr>
            </w:pPr>
          </w:p>
        </w:tc>
        <w:tc>
          <w:tcPr>
            <w:tcW w:w="217" w:type="dxa"/>
          </w:tcPr>
          <w:p w14:paraId="1622EE05" w14:textId="77777777" w:rsidR="002C0FD9" w:rsidRPr="00CA25CF" w:rsidRDefault="002C0FD9" w:rsidP="00CA25CF">
            <w:pPr>
              <w:rPr>
                <w:rFonts w:cs="Arial"/>
                <w:color w:val="FF0000"/>
                <w:sz w:val="21"/>
                <w:szCs w:val="21"/>
              </w:rPr>
            </w:pPr>
          </w:p>
        </w:tc>
        <w:tc>
          <w:tcPr>
            <w:tcW w:w="217" w:type="dxa"/>
          </w:tcPr>
          <w:p w14:paraId="5511E7DE" w14:textId="77777777" w:rsidR="002C0FD9" w:rsidRPr="00CA25CF" w:rsidRDefault="002C0FD9" w:rsidP="00CA25CF">
            <w:pPr>
              <w:rPr>
                <w:rFonts w:cs="Arial"/>
                <w:color w:val="FF0000"/>
                <w:sz w:val="21"/>
                <w:szCs w:val="21"/>
              </w:rPr>
            </w:pPr>
          </w:p>
        </w:tc>
      </w:tr>
      <w:tr w:rsidR="002C0FD9" w:rsidRPr="00A16219" w14:paraId="6AC22229" w14:textId="77777777" w:rsidTr="002C0FD9">
        <w:trPr>
          <w:trHeight w:val="635"/>
        </w:trPr>
        <w:tc>
          <w:tcPr>
            <w:tcW w:w="515" w:type="dxa"/>
          </w:tcPr>
          <w:p w14:paraId="30DC3BD7" w14:textId="77777777" w:rsidR="002C0FD9" w:rsidRPr="00CA25CF" w:rsidRDefault="002C0FD9" w:rsidP="00CA25CF">
            <w:pPr>
              <w:rPr>
                <w:rFonts w:cs="Arial"/>
                <w:color w:val="FF0000"/>
                <w:sz w:val="21"/>
                <w:szCs w:val="21"/>
              </w:rPr>
            </w:pPr>
          </w:p>
        </w:tc>
        <w:tc>
          <w:tcPr>
            <w:tcW w:w="217" w:type="dxa"/>
          </w:tcPr>
          <w:p w14:paraId="0BF06E37" w14:textId="77777777" w:rsidR="002C0FD9" w:rsidRPr="00CA25CF" w:rsidRDefault="002C0FD9" w:rsidP="00CA25CF">
            <w:pPr>
              <w:rPr>
                <w:rFonts w:cs="Arial"/>
                <w:color w:val="FF0000"/>
                <w:sz w:val="21"/>
                <w:szCs w:val="21"/>
              </w:rPr>
            </w:pPr>
          </w:p>
        </w:tc>
        <w:tc>
          <w:tcPr>
            <w:tcW w:w="217" w:type="dxa"/>
          </w:tcPr>
          <w:p w14:paraId="21C0F5EB" w14:textId="77777777" w:rsidR="002C0FD9" w:rsidRPr="00CA25CF" w:rsidRDefault="002C0FD9" w:rsidP="00CA25CF">
            <w:pPr>
              <w:rPr>
                <w:rFonts w:cs="Arial"/>
                <w:color w:val="FF0000"/>
                <w:sz w:val="21"/>
                <w:szCs w:val="21"/>
              </w:rPr>
            </w:pPr>
          </w:p>
        </w:tc>
        <w:tc>
          <w:tcPr>
            <w:tcW w:w="217" w:type="dxa"/>
          </w:tcPr>
          <w:p w14:paraId="02A70C38" w14:textId="77777777" w:rsidR="002C0FD9" w:rsidRPr="00CA25CF" w:rsidRDefault="002C0FD9" w:rsidP="00CA25CF">
            <w:pPr>
              <w:rPr>
                <w:rFonts w:cs="Arial"/>
                <w:color w:val="FF0000"/>
                <w:sz w:val="21"/>
                <w:szCs w:val="21"/>
              </w:rPr>
            </w:pPr>
          </w:p>
        </w:tc>
        <w:tc>
          <w:tcPr>
            <w:tcW w:w="217" w:type="dxa"/>
          </w:tcPr>
          <w:p w14:paraId="5D8C7DA2" w14:textId="77777777" w:rsidR="002C0FD9" w:rsidRPr="00CA25CF" w:rsidRDefault="002C0FD9" w:rsidP="00CA25CF">
            <w:pPr>
              <w:rPr>
                <w:rFonts w:cs="Arial"/>
                <w:color w:val="FF0000"/>
                <w:sz w:val="21"/>
                <w:szCs w:val="21"/>
              </w:rPr>
            </w:pPr>
          </w:p>
        </w:tc>
        <w:tc>
          <w:tcPr>
            <w:tcW w:w="217" w:type="dxa"/>
          </w:tcPr>
          <w:p w14:paraId="71BCA005" w14:textId="77777777" w:rsidR="002C0FD9" w:rsidRPr="00CA25CF" w:rsidRDefault="002C0FD9" w:rsidP="00CA25CF">
            <w:pPr>
              <w:rPr>
                <w:rFonts w:cs="Arial"/>
                <w:color w:val="FF0000"/>
                <w:sz w:val="21"/>
                <w:szCs w:val="21"/>
              </w:rPr>
            </w:pPr>
          </w:p>
        </w:tc>
        <w:tc>
          <w:tcPr>
            <w:tcW w:w="217" w:type="dxa"/>
          </w:tcPr>
          <w:p w14:paraId="6C53CD6F" w14:textId="77777777" w:rsidR="002C0FD9" w:rsidRPr="00CA25CF" w:rsidRDefault="002C0FD9" w:rsidP="00CA25CF">
            <w:pPr>
              <w:rPr>
                <w:rFonts w:cs="Arial"/>
                <w:color w:val="FF0000"/>
                <w:sz w:val="21"/>
                <w:szCs w:val="21"/>
              </w:rPr>
            </w:pPr>
          </w:p>
        </w:tc>
        <w:tc>
          <w:tcPr>
            <w:tcW w:w="217" w:type="dxa"/>
          </w:tcPr>
          <w:p w14:paraId="65FD11A2" w14:textId="77777777" w:rsidR="002C0FD9" w:rsidRPr="00CA25CF" w:rsidRDefault="002C0FD9" w:rsidP="00CA25CF">
            <w:pPr>
              <w:rPr>
                <w:rFonts w:cs="Arial"/>
                <w:color w:val="FF0000"/>
                <w:sz w:val="21"/>
                <w:szCs w:val="21"/>
              </w:rPr>
            </w:pPr>
          </w:p>
        </w:tc>
        <w:tc>
          <w:tcPr>
            <w:tcW w:w="217" w:type="dxa"/>
          </w:tcPr>
          <w:p w14:paraId="389A6CDD" w14:textId="77777777" w:rsidR="002C0FD9" w:rsidRPr="00CA25CF" w:rsidRDefault="002C0FD9" w:rsidP="00CA25CF">
            <w:pPr>
              <w:rPr>
                <w:rFonts w:cs="Arial"/>
                <w:color w:val="FF0000"/>
                <w:sz w:val="21"/>
                <w:szCs w:val="21"/>
              </w:rPr>
            </w:pPr>
          </w:p>
        </w:tc>
        <w:tc>
          <w:tcPr>
            <w:tcW w:w="217" w:type="dxa"/>
          </w:tcPr>
          <w:p w14:paraId="174F1B2D" w14:textId="77777777" w:rsidR="002C0FD9" w:rsidRPr="00CA25CF" w:rsidRDefault="002C0FD9" w:rsidP="00CA25CF">
            <w:pPr>
              <w:rPr>
                <w:rFonts w:cs="Arial"/>
                <w:color w:val="FF0000"/>
                <w:sz w:val="21"/>
                <w:szCs w:val="21"/>
              </w:rPr>
            </w:pPr>
          </w:p>
        </w:tc>
        <w:tc>
          <w:tcPr>
            <w:tcW w:w="217" w:type="dxa"/>
          </w:tcPr>
          <w:p w14:paraId="50D24C5D" w14:textId="77777777" w:rsidR="002C0FD9" w:rsidRPr="00CA25CF" w:rsidRDefault="002C0FD9" w:rsidP="00CA25CF">
            <w:pPr>
              <w:rPr>
                <w:rFonts w:cs="Arial"/>
                <w:color w:val="FF0000"/>
                <w:sz w:val="21"/>
                <w:szCs w:val="21"/>
              </w:rPr>
            </w:pPr>
          </w:p>
        </w:tc>
        <w:tc>
          <w:tcPr>
            <w:tcW w:w="217" w:type="dxa"/>
          </w:tcPr>
          <w:p w14:paraId="2EC85C69" w14:textId="77777777" w:rsidR="002C0FD9" w:rsidRPr="00CA25CF" w:rsidRDefault="002C0FD9" w:rsidP="00CA25CF">
            <w:pPr>
              <w:rPr>
                <w:rFonts w:cs="Arial"/>
                <w:color w:val="FF0000"/>
                <w:sz w:val="21"/>
                <w:szCs w:val="21"/>
              </w:rPr>
            </w:pPr>
          </w:p>
        </w:tc>
        <w:tc>
          <w:tcPr>
            <w:tcW w:w="217" w:type="dxa"/>
          </w:tcPr>
          <w:p w14:paraId="578DECB4" w14:textId="77777777" w:rsidR="002C0FD9" w:rsidRPr="00CA25CF" w:rsidRDefault="002C0FD9" w:rsidP="00CA25CF">
            <w:pPr>
              <w:rPr>
                <w:rFonts w:cs="Arial"/>
                <w:color w:val="FF0000"/>
                <w:sz w:val="21"/>
                <w:szCs w:val="21"/>
              </w:rPr>
            </w:pPr>
          </w:p>
        </w:tc>
        <w:tc>
          <w:tcPr>
            <w:tcW w:w="217" w:type="dxa"/>
          </w:tcPr>
          <w:p w14:paraId="7ABE96F2" w14:textId="77777777" w:rsidR="002C0FD9" w:rsidRPr="00CA25CF" w:rsidRDefault="002C0FD9" w:rsidP="00CA25CF">
            <w:pPr>
              <w:rPr>
                <w:rFonts w:cs="Arial"/>
                <w:color w:val="FF0000"/>
                <w:sz w:val="21"/>
                <w:szCs w:val="21"/>
              </w:rPr>
            </w:pPr>
          </w:p>
        </w:tc>
        <w:tc>
          <w:tcPr>
            <w:tcW w:w="217" w:type="dxa"/>
          </w:tcPr>
          <w:p w14:paraId="7CB1AEC8" w14:textId="77777777" w:rsidR="002C0FD9" w:rsidRPr="00CA25CF" w:rsidRDefault="002C0FD9" w:rsidP="00CA25CF">
            <w:pPr>
              <w:rPr>
                <w:rFonts w:cs="Arial"/>
                <w:color w:val="FF0000"/>
                <w:sz w:val="21"/>
                <w:szCs w:val="21"/>
              </w:rPr>
            </w:pPr>
          </w:p>
        </w:tc>
        <w:tc>
          <w:tcPr>
            <w:tcW w:w="217" w:type="dxa"/>
          </w:tcPr>
          <w:p w14:paraId="478B2C03" w14:textId="77777777" w:rsidR="002C0FD9" w:rsidRPr="00CA25CF" w:rsidRDefault="002C0FD9" w:rsidP="00CA25CF">
            <w:pPr>
              <w:rPr>
                <w:rFonts w:cs="Arial"/>
                <w:color w:val="FF0000"/>
                <w:sz w:val="21"/>
                <w:szCs w:val="21"/>
              </w:rPr>
            </w:pPr>
          </w:p>
        </w:tc>
        <w:tc>
          <w:tcPr>
            <w:tcW w:w="217" w:type="dxa"/>
          </w:tcPr>
          <w:p w14:paraId="41244495" w14:textId="77777777" w:rsidR="002C0FD9" w:rsidRPr="00CA25CF" w:rsidRDefault="002C0FD9" w:rsidP="00CA25CF">
            <w:pPr>
              <w:rPr>
                <w:rFonts w:cs="Arial"/>
                <w:color w:val="FF0000"/>
                <w:sz w:val="21"/>
                <w:szCs w:val="21"/>
              </w:rPr>
            </w:pPr>
          </w:p>
        </w:tc>
        <w:tc>
          <w:tcPr>
            <w:tcW w:w="217" w:type="dxa"/>
          </w:tcPr>
          <w:p w14:paraId="2767EBA3" w14:textId="77777777" w:rsidR="002C0FD9" w:rsidRPr="00CA25CF" w:rsidRDefault="002C0FD9" w:rsidP="00CA25CF">
            <w:pPr>
              <w:rPr>
                <w:rFonts w:cs="Arial"/>
                <w:color w:val="FF0000"/>
                <w:sz w:val="21"/>
                <w:szCs w:val="21"/>
              </w:rPr>
            </w:pPr>
          </w:p>
        </w:tc>
        <w:tc>
          <w:tcPr>
            <w:tcW w:w="217" w:type="dxa"/>
          </w:tcPr>
          <w:p w14:paraId="58C78815" w14:textId="77777777" w:rsidR="002C0FD9" w:rsidRPr="00CA25CF" w:rsidRDefault="002C0FD9" w:rsidP="00CA25CF">
            <w:pPr>
              <w:rPr>
                <w:rFonts w:cs="Arial"/>
                <w:color w:val="FF0000"/>
                <w:sz w:val="21"/>
                <w:szCs w:val="21"/>
              </w:rPr>
            </w:pPr>
          </w:p>
        </w:tc>
        <w:tc>
          <w:tcPr>
            <w:tcW w:w="217" w:type="dxa"/>
          </w:tcPr>
          <w:p w14:paraId="79BC6C7C" w14:textId="77777777" w:rsidR="002C0FD9" w:rsidRPr="00CA25CF" w:rsidRDefault="002C0FD9" w:rsidP="00CA25CF">
            <w:pPr>
              <w:rPr>
                <w:rFonts w:cs="Arial"/>
                <w:color w:val="FF0000"/>
                <w:sz w:val="21"/>
                <w:szCs w:val="21"/>
              </w:rPr>
            </w:pPr>
          </w:p>
        </w:tc>
        <w:tc>
          <w:tcPr>
            <w:tcW w:w="217" w:type="dxa"/>
          </w:tcPr>
          <w:p w14:paraId="4C9ACF9A" w14:textId="77777777" w:rsidR="002C0FD9" w:rsidRPr="00CA25CF" w:rsidRDefault="002C0FD9" w:rsidP="00CA25CF">
            <w:pPr>
              <w:rPr>
                <w:rFonts w:cs="Arial"/>
                <w:color w:val="FF0000"/>
                <w:sz w:val="21"/>
                <w:szCs w:val="21"/>
              </w:rPr>
            </w:pPr>
          </w:p>
        </w:tc>
        <w:tc>
          <w:tcPr>
            <w:tcW w:w="217" w:type="dxa"/>
          </w:tcPr>
          <w:p w14:paraId="6A1B18D7" w14:textId="77777777" w:rsidR="002C0FD9" w:rsidRPr="00CA25CF" w:rsidRDefault="002C0FD9" w:rsidP="00CA25CF">
            <w:pPr>
              <w:rPr>
                <w:rFonts w:cs="Arial"/>
                <w:color w:val="FF0000"/>
                <w:sz w:val="21"/>
                <w:szCs w:val="21"/>
              </w:rPr>
            </w:pPr>
          </w:p>
        </w:tc>
        <w:tc>
          <w:tcPr>
            <w:tcW w:w="217" w:type="dxa"/>
          </w:tcPr>
          <w:p w14:paraId="2C94DE67" w14:textId="77777777" w:rsidR="002C0FD9" w:rsidRPr="00CA25CF" w:rsidRDefault="002C0FD9" w:rsidP="00CA25CF">
            <w:pPr>
              <w:rPr>
                <w:rFonts w:cs="Arial"/>
                <w:color w:val="FF0000"/>
                <w:sz w:val="21"/>
                <w:szCs w:val="21"/>
              </w:rPr>
            </w:pPr>
          </w:p>
        </w:tc>
        <w:tc>
          <w:tcPr>
            <w:tcW w:w="217" w:type="dxa"/>
          </w:tcPr>
          <w:p w14:paraId="6624D747" w14:textId="77777777" w:rsidR="002C0FD9" w:rsidRPr="00CA25CF" w:rsidRDefault="002C0FD9" w:rsidP="00CA25CF">
            <w:pPr>
              <w:rPr>
                <w:rFonts w:cs="Arial"/>
                <w:color w:val="FF0000"/>
                <w:sz w:val="21"/>
                <w:szCs w:val="21"/>
              </w:rPr>
            </w:pPr>
          </w:p>
        </w:tc>
        <w:tc>
          <w:tcPr>
            <w:tcW w:w="217" w:type="dxa"/>
          </w:tcPr>
          <w:p w14:paraId="2E63B209" w14:textId="77777777" w:rsidR="002C0FD9" w:rsidRPr="00CA25CF" w:rsidRDefault="002C0FD9" w:rsidP="00CA25CF">
            <w:pPr>
              <w:rPr>
                <w:rFonts w:cs="Arial"/>
                <w:color w:val="FF0000"/>
                <w:sz w:val="21"/>
                <w:szCs w:val="21"/>
              </w:rPr>
            </w:pPr>
          </w:p>
        </w:tc>
        <w:tc>
          <w:tcPr>
            <w:tcW w:w="217" w:type="dxa"/>
          </w:tcPr>
          <w:p w14:paraId="41B1C4AF" w14:textId="77777777" w:rsidR="002C0FD9" w:rsidRPr="00CA25CF" w:rsidRDefault="002C0FD9" w:rsidP="00CA25CF">
            <w:pPr>
              <w:rPr>
                <w:rFonts w:cs="Arial"/>
                <w:color w:val="FF0000"/>
                <w:sz w:val="21"/>
                <w:szCs w:val="21"/>
              </w:rPr>
            </w:pPr>
          </w:p>
        </w:tc>
        <w:tc>
          <w:tcPr>
            <w:tcW w:w="217" w:type="dxa"/>
          </w:tcPr>
          <w:p w14:paraId="5BD33701" w14:textId="77777777" w:rsidR="002C0FD9" w:rsidRPr="00CA25CF" w:rsidRDefault="002C0FD9" w:rsidP="00CA25CF">
            <w:pPr>
              <w:rPr>
                <w:rFonts w:cs="Arial"/>
                <w:color w:val="FF0000"/>
                <w:sz w:val="21"/>
                <w:szCs w:val="21"/>
              </w:rPr>
            </w:pPr>
          </w:p>
        </w:tc>
        <w:tc>
          <w:tcPr>
            <w:tcW w:w="217" w:type="dxa"/>
          </w:tcPr>
          <w:p w14:paraId="50F1FB80" w14:textId="77777777" w:rsidR="002C0FD9" w:rsidRPr="00CA25CF" w:rsidRDefault="002C0FD9" w:rsidP="00CA25CF">
            <w:pPr>
              <w:rPr>
                <w:rFonts w:cs="Arial"/>
                <w:color w:val="FF0000"/>
                <w:sz w:val="21"/>
                <w:szCs w:val="21"/>
              </w:rPr>
            </w:pPr>
          </w:p>
        </w:tc>
        <w:tc>
          <w:tcPr>
            <w:tcW w:w="217" w:type="dxa"/>
          </w:tcPr>
          <w:p w14:paraId="6E4A4B0B" w14:textId="77777777" w:rsidR="002C0FD9" w:rsidRPr="00CA25CF" w:rsidRDefault="002C0FD9" w:rsidP="00CA25CF">
            <w:pPr>
              <w:rPr>
                <w:rFonts w:cs="Arial"/>
                <w:color w:val="FF0000"/>
                <w:sz w:val="21"/>
                <w:szCs w:val="21"/>
              </w:rPr>
            </w:pPr>
          </w:p>
        </w:tc>
        <w:tc>
          <w:tcPr>
            <w:tcW w:w="217" w:type="dxa"/>
          </w:tcPr>
          <w:p w14:paraId="332DD444" w14:textId="77777777" w:rsidR="002C0FD9" w:rsidRPr="00CA25CF" w:rsidRDefault="002C0FD9" w:rsidP="00CA25CF">
            <w:pPr>
              <w:rPr>
                <w:rFonts w:cs="Arial"/>
                <w:color w:val="FF0000"/>
                <w:sz w:val="21"/>
                <w:szCs w:val="21"/>
              </w:rPr>
            </w:pPr>
          </w:p>
        </w:tc>
        <w:tc>
          <w:tcPr>
            <w:tcW w:w="217" w:type="dxa"/>
          </w:tcPr>
          <w:p w14:paraId="00350482" w14:textId="77777777" w:rsidR="002C0FD9" w:rsidRPr="00CA25CF" w:rsidRDefault="002C0FD9" w:rsidP="00CA25CF">
            <w:pPr>
              <w:rPr>
                <w:rFonts w:cs="Arial"/>
                <w:color w:val="FF0000"/>
                <w:sz w:val="21"/>
                <w:szCs w:val="21"/>
              </w:rPr>
            </w:pPr>
          </w:p>
        </w:tc>
        <w:tc>
          <w:tcPr>
            <w:tcW w:w="217" w:type="dxa"/>
          </w:tcPr>
          <w:p w14:paraId="0CFA8D80" w14:textId="77777777" w:rsidR="002C0FD9" w:rsidRPr="00CA25CF" w:rsidRDefault="002C0FD9" w:rsidP="00CA25CF">
            <w:pPr>
              <w:rPr>
                <w:rFonts w:cs="Arial"/>
                <w:color w:val="FF0000"/>
                <w:sz w:val="21"/>
                <w:szCs w:val="21"/>
              </w:rPr>
            </w:pPr>
          </w:p>
        </w:tc>
        <w:tc>
          <w:tcPr>
            <w:tcW w:w="217" w:type="dxa"/>
          </w:tcPr>
          <w:p w14:paraId="031329AB" w14:textId="77777777" w:rsidR="002C0FD9" w:rsidRPr="00CA25CF" w:rsidRDefault="002C0FD9" w:rsidP="00CA25CF">
            <w:pPr>
              <w:rPr>
                <w:rFonts w:cs="Arial"/>
                <w:color w:val="FF0000"/>
                <w:sz w:val="21"/>
                <w:szCs w:val="21"/>
              </w:rPr>
            </w:pPr>
          </w:p>
        </w:tc>
        <w:tc>
          <w:tcPr>
            <w:tcW w:w="217" w:type="dxa"/>
          </w:tcPr>
          <w:p w14:paraId="11322F86" w14:textId="77777777" w:rsidR="002C0FD9" w:rsidRPr="00CA25CF" w:rsidRDefault="002C0FD9" w:rsidP="00CA25CF">
            <w:pPr>
              <w:rPr>
                <w:rFonts w:cs="Arial"/>
                <w:color w:val="FF0000"/>
                <w:sz w:val="21"/>
                <w:szCs w:val="21"/>
              </w:rPr>
            </w:pPr>
          </w:p>
        </w:tc>
        <w:tc>
          <w:tcPr>
            <w:tcW w:w="217" w:type="dxa"/>
          </w:tcPr>
          <w:p w14:paraId="4D55EAEC" w14:textId="77777777" w:rsidR="002C0FD9" w:rsidRPr="00CA25CF" w:rsidRDefault="002C0FD9" w:rsidP="00CA25CF">
            <w:pPr>
              <w:rPr>
                <w:rFonts w:cs="Arial"/>
                <w:color w:val="FF0000"/>
                <w:sz w:val="21"/>
                <w:szCs w:val="21"/>
              </w:rPr>
            </w:pPr>
          </w:p>
        </w:tc>
        <w:tc>
          <w:tcPr>
            <w:tcW w:w="217" w:type="dxa"/>
          </w:tcPr>
          <w:p w14:paraId="74222EFD" w14:textId="77777777" w:rsidR="002C0FD9" w:rsidRPr="00CA25CF" w:rsidRDefault="002C0FD9" w:rsidP="00CA25CF">
            <w:pPr>
              <w:rPr>
                <w:rFonts w:cs="Arial"/>
                <w:color w:val="FF0000"/>
                <w:sz w:val="21"/>
                <w:szCs w:val="21"/>
              </w:rPr>
            </w:pPr>
          </w:p>
        </w:tc>
        <w:tc>
          <w:tcPr>
            <w:tcW w:w="217" w:type="dxa"/>
          </w:tcPr>
          <w:p w14:paraId="5E71885C" w14:textId="77777777" w:rsidR="002C0FD9" w:rsidRPr="00CA25CF" w:rsidRDefault="002C0FD9" w:rsidP="00CA25CF">
            <w:pPr>
              <w:rPr>
                <w:rFonts w:cs="Arial"/>
                <w:color w:val="FF0000"/>
                <w:sz w:val="21"/>
                <w:szCs w:val="21"/>
              </w:rPr>
            </w:pPr>
          </w:p>
        </w:tc>
        <w:tc>
          <w:tcPr>
            <w:tcW w:w="217" w:type="dxa"/>
          </w:tcPr>
          <w:p w14:paraId="44891334" w14:textId="77777777" w:rsidR="002C0FD9" w:rsidRPr="00CA25CF" w:rsidRDefault="002C0FD9" w:rsidP="00CA25CF">
            <w:pPr>
              <w:rPr>
                <w:rFonts w:cs="Arial"/>
                <w:color w:val="FF0000"/>
                <w:sz w:val="21"/>
                <w:szCs w:val="21"/>
              </w:rPr>
            </w:pPr>
          </w:p>
        </w:tc>
        <w:tc>
          <w:tcPr>
            <w:tcW w:w="217" w:type="dxa"/>
          </w:tcPr>
          <w:p w14:paraId="59B28D4D" w14:textId="77777777" w:rsidR="002C0FD9" w:rsidRPr="00CA25CF" w:rsidRDefault="002C0FD9" w:rsidP="00CA25CF">
            <w:pPr>
              <w:rPr>
                <w:rFonts w:cs="Arial"/>
                <w:color w:val="FF0000"/>
                <w:sz w:val="21"/>
                <w:szCs w:val="21"/>
              </w:rPr>
            </w:pPr>
          </w:p>
        </w:tc>
        <w:tc>
          <w:tcPr>
            <w:tcW w:w="217" w:type="dxa"/>
          </w:tcPr>
          <w:p w14:paraId="31E3B3E4" w14:textId="77777777" w:rsidR="002C0FD9" w:rsidRPr="00CA25CF" w:rsidRDefault="002C0FD9" w:rsidP="00CA25CF">
            <w:pPr>
              <w:rPr>
                <w:rFonts w:cs="Arial"/>
                <w:color w:val="FF0000"/>
                <w:sz w:val="21"/>
                <w:szCs w:val="21"/>
              </w:rPr>
            </w:pPr>
          </w:p>
        </w:tc>
        <w:tc>
          <w:tcPr>
            <w:tcW w:w="217" w:type="dxa"/>
          </w:tcPr>
          <w:p w14:paraId="07790168" w14:textId="77777777" w:rsidR="002C0FD9" w:rsidRPr="00CA25CF" w:rsidRDefault="002C0FD9" w:rsidP="00CA25CF">
            <w:pPr>
              <w:rPr>
                <w:rFonts w:cs="Arial"/>
                <w:color w:val="FF0000"/>
                <w:sz w:val="21"/>
                <w:szCs w:val="21"/>
              </w:rPr>
            </w:pPr>
          </w:p>
        </w:tc>
        <w:tc>
          <w:tcPr>
            <w:tcW w:w="217" w:type="dxa"/>
          </w:tcPr>
          <w:p w14:paraId="4837A283" w14:textId="77777777" w:rsidR="002C0FD9" w:rsidRPr="00CA25CF" w:rsidRDefault="002C0FD9" w:rsidP="00CA25CF">
            <w:pPr>
              <w:rPr>
                <w:rFonts w:cs="Arial"/>
                <w:color w:val="FF0000"/>
                <w:sz w:val="21"/>
                <w:szCs w:val="21"/>
              </w:rPr>
            </w:pPr>
          </w:p>
        </w:tc>
        <w:tc>
          <w:tcPr>
            <w:tcW w:w="217" w:type="dxa"/>
          </w:tcPr>
          <w:p w14:paraId="19624A1E" w14:textId="77777777" w:rsidR="002C0FD9" w:rsidRPr="00CA25CF" w:rsidRDefault="002C0FD9" w:rsidP="00CA25CF">
            <w:pPr>
              <w:rPr>
                <w:rFonts w:cs="Arial"/>
                <w:color w:val="FF0000"/>
                <w:sz w:val="21"/>
                <w:szCs w:val="21"/>
              </w:rPr>
            </w:pPr>
          </w:p>
        </w:tc>
      </w:tr>
      <w:tr w:rsidR="002C0FD9" w:rsidRPr="00A16219" w14:paraId="158B8599" w14:textId="77777777" w:rsidTr="002C0FD9">
        <w:trPr>
          <w:trHeight w:val="635"/>
        </w:trPr>
        <w:tc>
          <w:tcPr>
            <w:tcW w:w="515" w:type="dxa"/>
          </w:tcPr>
          <w:p w14:paraId="34A560C0" w14:textId="77777777" w:rsidR="002C0FD9" w:rsidRPr="00CA25CF" w:rsidRDefault="002C0FD9" w:rsidP="00CA25CF">
            <w:pPr>
              <w:rPr>
                <w:rFonts w:cs="Arial"/>
                <w:color w:val="FF0000"/>
                <w:sz w:val="21"/>
                <w:szCs w:val="21"/>
              </w:rPr>
            </w:pPr>
          </w:p>
        </w:tc>
        <w:tc>
          <w:tcPr>
            <w:tcW w:w="217" w:type="dxa"/>
          </w:tcPr>
          <w:p w14:paraId="477D8821" w14:textId="77777777" w:rsidR="002C0FD9" w:rsidRPr="00CA25CF" w:rsidRDefault="002C0FD9" w:rsidP="00CA25CF">
            <w:pPr>
              <w:rPr>
                <w:rFonts w:cs="Arial"/>
                <w:color w:val="FF0000"/>
                <w:sz w:val="21"/>
                <w:szCs w:val="21"/>
              </w:rPr>
            </w:pPr>
          </w:p>
        </w:tc>
        <w:tc>
          <w:tcPr>
            <w:tcW w:w="217" w:type="dxa"/>
          </w:tcPr>
          <w:p w14:paraId="35DC46C9" w14:textId="77777777" w:rsidR="002C0FD9" w:rsidRPr="00CA25CF" w:rsidRDefault="002C0FD9" w:rsidP="00CA25CF">
            <w:pPr>
              <w:rPr>
                <w:rFonts w:cs="Arial"/>
                <w:color w:val="FF0000"/>
                <w:sz w:val="21"/>
                <w:szCs w:val="21"/>
              </w:rPr>
            </w:pPr>
          </w:p>
        </w:tc>
        <w:tc>
          <w:tcPr>
            <w:tcW w:w="217" w:type="dxa"/>
          </w:tcPr>
          <w:p w14:paraId="5E945CF7" w14:textId="77777777" w:rsidR="002C0FD9" w:rsidRPr="00CA25CF" w:rsidRDefault="002C0FD9" w:rsidP="00CA25CF">
            <w:pPr>
              <w:rPr>
                <w:rFonts w:cs="Arial"/>
                <w:color w:val="FF0000"/>
                <w:sz w:val="21"/>
                <w:szCs w:val="21"/>
              </w:rPr>
            </w:pPr>
          </w:p>
        </w:tc>
        <w:tc>
          <w:tcPr>
            <w:tcW w:w="217" w:type="dxa"/>
          </w:tcPr>
          <w:p w14:paraId="7CBF68A9" w14:textId="77777777" w:rsidR="002C0FD9" w:rsidRPr="00CA25CF" w:rsidRDefault="002C0FD9" w:rsidP="00CA25CF">
            <w:pPr>
              <w:rPr>
                <w:rFonts w:cs="Arial"/>
                <w:color w:val="FF0000"/>
                <w:sz w:val="21"/>
                <w:szCs w:val="21"/>
              </w:rPr>
            </w:pPr>
          </w:p>
        </w:tc>
        <w:tc>
          <w:tcPr>
            <w:tcW w:w="217" w:type="dxa"/>
          </w:tcPr>
          <w:p w14:paraId="561F220A" w14:textId="77777777" w:rsidR="002C0FD9" w:rsidRPr="00CA25CF" w:rsidRDefault="002C0FD9" w:rsidP="00CA25CF">
            <w:pPr>
              <w:rPr>
                <w:rFonts w:cs="Arial"/>
                <w:color w:val="FF0000"/>
                <w:sz w:val="21"/>
                <w:szCs w:val="21"/>
              </w:rPr>
            </w:pPr>
          </w:p>
        </w:tc>
        <w:tc>
          <w:tcPr>
            <w:tcW w:w="217" w:type="dxa"/>
          </w:tcPr>
          <w:p w14:paraId="0369C336" w14:textId="77777777" w:rsidR="002C0FD9" w:rsidRPr="00CA25CF" w:rsidRDefault="002C0FD9" w:rsidP="00CA25CF">
            <w:pPr>
              <w:rPr>
                <w:rFonts w:cs="Arial"/>
                <w:color w:val="FF0000"/>
                <w:sz w:val="21"/>
                <w:szCs w:val="21"/>
              </w:rPr>
            </w:pPr>
          </w:p>
        </w:tc>
        <w:tc>
          <w:tcPr>
            <w:tcW w:w="217" w:type="dxa"/>
          </w:tcPr>
          <w:p w14:paraId="0B729F79" w14:textId="77777777" w:rsidR="002C0FD9" w:rsidRPr="00CA25CF" w:rsidRDefault="002C0FD9" w:rsidP="00CA25CF">
            <w:pPr>
              <w:rPr>
                <w:rFonts w:cs="Arial"/>
                <w:color w:val="FF0000"/>
                <w:sz w:val="21"/>
                <w:szCs w:val="21"/>
              </w:rPr>
            </w:pPr>
          </w:p>
        </w:tc>
        <w:tc>
          <w:tcPr>
            <w:tcW w:w="217" w:type="dxa"/>
          </w:tcPr>
          <w:p w14:paraId="475CA8EB" w14:textId="77777777" w:rsidR="002C0FD9" w:rsidRPr="00CA25CF" w:rsidRDefault="002C0FD9" w:rsidP="00CA25CF">
            <w:pPr>
              <w:rPr>
                <w:rFonts w:cs="Arial"/>
                <w:color w:val="FF0000"/>
                <w:sz w:val="21"/>
                <w:szCs w:val="21"/>
              </w:rPr>
            </w:pPr>
          </w:p>
        </w:tc>
        <w:tc>
          <w:tcPr>
            <w:tcW w:w="217" w:type="dxa"/>
          </w:tcPr>
          <w:p w14:paraId="48C90F8B" w14:textId="77777777" w:rsidR="002C0FD9" w:rsidRPr="00CA25CF" w:rsidRDefault="002C0FD9" w:rsidP="00CA25CF">
            <w:pPr>
              <w:rPr>
                <w:rFonts w:cs="Arial"/>
                <w:color w:val="FF0000"/>
                <w:sz w:val="21"/>
                <w:szCs w:val="21"/>
              </w:rPr>
            </w:pPr>
          </w:p>
        </w:tc>
        <w:tc>
          <w:tcPr>
            <w:tcW w:w="217" w:type="dxa"/>
          </w:tcPr>
          <w:p w14:paraId="64662EF8" w14:textId="77777777" w:rsidR="002C0FD9" w:rsidRPr="00CA25CF" w:rsidRDefault="002C0FD9" w:rsidP="00CA25CF">
            <w:pPr>
              <w:rPr>
                <w:rFonts w:cs="Arial"/>
                <w:color w:val="FF0000"/>
                <w:sz w:val="21"/>
                <w:szCs w:val="21"/>
              </w:rPr>
            </w:pPr>
          </w:p>
        </w:tc>
        <w:tc>
          <w:tcPr>
            <w:tcW w:w="217" w:type="dxa"/>
          </w:tcPr>
          <w:p w14:paraId="3F24DA61" w14:textId="77777777" w:rsidR="002C0FD9" w:rsidRPr="00CA25CF" w:rsidRDefault="002C0FD9" w:rsidP="00CA25CF">
            <w:pPr>
              <w:rPr>
                <w:rFonts w:cs="Arial"/>
                <w:color w:val="FF0000"/>
                <w:sz w:val="21"/>
                <w:szCs w:val="21"/>
              </w:rPr>
            </w:pPr>
          </w:p>
        </w:tc>
        <w:tc>
          <w:tcPr>
            <w:tcW w:w="217" w:type="dxa"/>
          </w:tcPr>
          <w:p w14:paraId="03DA7F81" w14:textId="77777777" w:rsidR="002C0FD9" w:rsidRPr="00CA25CF" w:rsidRDefault="002C0FD9" w:rsidP="00CA25CF">
            <w:pPr>
              <w:rPr>
                <w:rFonts w:cs="Arial"/>
                <w:color w:val="FF0000"/>
                <w:sz w:val="21"/>
                <w:szCs w:val="21"/>
              </w:rPr>
            </w:pPr>
          </w:p>
        </w:tc>
        <w:tc>
          <w:tcPr>
            <w:tcW w:w="217" w:type="dxa"/>
          </w:tcPr>
          <w:p w14:paraId="705A172E" w14:textId="77777777" w:rsidR="002C0FD9" w:rsidRPr="00CA25CF" w:rsidRDefault="002C0FD9" w:rsidP="00CA25CF">
            <w:pPr>
              <w:rPr>
                <w:rFonts w:cs="Arial"/>
                <w:color w:val="FF0000"/>
                <w:sz w:val="21"/>
                <w:szCs w:val="21"/>
              </w:rPr>
            </w:pPr>
          </w:p>
        </w:tc>
        <w:tc>
          <w:tcPr>
            <w:tcW w:w="217" w:type="dxa"/>
          </w:tcPr>
          <w:p w14:paraId="4B383D11" w14:textId="77777777" w:rsidR="002C0FD9" w:rsidRPr="00CA25CF" w:rsidRDefault="002C0FD9" w:rsidP="00CA25CF">
            <w:pPr>
              <w:rPr>
                <w:rFonts w:cs="Arial"/>
                <w:color w:val="FF0000"/>
                <w:sz w:val="21"/>
                <w:szCs w:val="21"/>
              </w:rPr>
            </w:pPr>
          </w:p>
        </w:tc>
        <w:tc>
          <w:tcPr>
            <w:tcW w:w="217" w:type="dxa"/>
          </w:tcPr>
          <w:p w14:paraId="478B8AAB" w14:textId="77777777" w:rsidR="002C0FD9" w:rsidRPr="00CA25CF" w:rsidRDefault="002C0FD9" w:rsidP="00CA25CF">
            <w:pPr>
              <w:rPr>
                <w:rFonts w:cs="Arial"/>
                <w:color w:val="FF0000"/>
                <w:sz w:val="21"/>
                <w:szCs w:val="21"/>
              </w:rPr>
            </w:pPr>
          </w:p>
        </w:tc>
        <w:tc>
          <w:tcPr>
            <w:tcW w:w="217" w:type="dxa"/>
          </w:tcPr>
          <w:p w14:paraId="4F53A5A0" w14:textId="77777777" w:rsidR="002C0FD9" w:rsidRPr="00CA25CF" w:rsidRDefault="002C0FD9" w:rsidP="00CA25CF">
            <w:pPr>
              <w:rPr>
                <w:rFonts w:cs="Arial"/>
                <w:color w:val="FF0000"/>
                <w:sz w:val="21"/>
                <w:szCs w:val="21"/>
              </w:rPr>
            </w:pPr>
          </w:p>
        </w:tc>
        <w:tc>
          <w:tcPr>
            <w:tcW w:w="217" w:type="dxa"/>
          </w:tcPr>
          <w:p w14:paraId="5705CD5B" w14:textId="77777777" w:rsidR="002C0FD9" w:rsidRPr="00CA25CF" w:rsidRDefault="002C0FD9" w:rsidP="00CA25CF">
            <w:pPr>
              <w:rPr>
                <w:rFonts w:cs="Arial"/>
                <w:color w:val="FF0000"/>
                <w:sz w:val="21"/>
                <w:szCs w:val="21"/>
              </w:rPr>
            </w:pPr>
          </w:p>
        </w:tc>
        <w:tc>
          <w:tcPr>
            <w:tcW w:w="217" w:type="dxa"/>
          </w:tcPr>
          <w:p w14:paraId="14A3FAEC" w14:textId="77777777" w:rsidR="002C0FD9" w:rsidRPr="00CA25CF" w:rsidRDefault="002C0FD9" w:rsidP="00CA25CF">
            <w:pPr>
              <w:rPr>
                <w:rFonts w:cs="Arial"/>
                <w:color w:val="FF0000"/>
                <w:sz w:val="21"/>
                <w:szCs w:val="21"/>
              </w:rPr>
            </w:pPr>
          </w:p>
        </w:tc>
        <w:tc>
          <w:tcPr>
            <w:tcW w:w="217" w:type="dxa"/>
          </w:tcPr>
          <w:p w14:paraId="71DDE18F" w14:textId="77777777" w:rsidR="002C0FD9" w:rsidRPr="00CA25CF" w:rsidRDefault="002C0FD9" w:rsidP="00CA25CF">
            <w:pPr>
              <w:rPr>
                <w:rFonts w:cs="Arial"/>
                <w:color w:val="FF0000"/>
                <w:sz w:val="21"/>
                <w:szCs w:val="21"/>
              </w:rPr>
            </w:pPr>
          </w:p>
        </w:tc>
        <w:tc>
          <w:tcPr>
            <w:tcW w:w="217" w:type="dxa"/>
          </w:tcPr>
          <w:p w14:paraId="68232322" w14:textId="77777777" w:rsidR="002C0FD9" w:rsidRPr="00CA25CF" w:rsidRDefault="002C0FD9" w:rsidP="00CA25CF">
            <w:pPr>
              <w:rPr>
                <w:rFonts w:cs="Arial"/>
                <w:color w:val="FF0000"/>
                <w:sz w:val="21"/>
                <w:szCs w:val="21"/>
              </w:rPr>
            </w:pPr>
          </w:p>
        </w:tc>
        <w:tc>
          <w:tcPr>
            <w:tcW w:w="217" w:type="dxa"/>
          </w:tcPr>
          <w:p w14:paraId="2707B6AE" w14:textId="77777777" w:rsidR="002C0FD9" w:rsidRPr="00CA25CF" w:rsidRDefault="002C0FD9" w:rsidP="00CA25CF">
            <w:pPr>
              <w:rPr>
                <w:rFonts w:cs="Arial"/>
                <w:color w:val="FF0000"/>
                <w:sz w:val="21"/>
                <w:szCs w:val="21"/>
              </w:rPr>
            </w:pPr>
          </w:p>
        </w:tc>
        <w:tc>
          <w:tcPr>
            <w:tcW w:w="217" w:type="dxa"/>
          </w:tcPr>
          <w:p w14:paraId="6DF7F731" w14:textId="77777777" w:rsidR="002C0FD9" w:rsidRPr="00CA25CF" w:rsidRDefault="002C0FD9" w:rsidP="00CA25CF">
            <w:pPr>
              <w:rPr>
                <w:rFonts w:cs="Arial"/>
                <w:color w:val="FF0000"/>
                <w:sz w:val="21"/>
                <w:szCs w:val="21"/>
              </w:rPr>
            </w:pPr>
          </w:p>
        </w:tc>
        <w:tc>
          <w:tcPr>
            <w:tcW w:w="217" w:type="dxa"/>
          </w:tcPr>
          <w:p w14:paraId="5CD305AA" w14:textId="77777777" w:rsidR="002C0FD9" w:rsidRPr="00CA25CF" w:rsidRDefault="002C0FD9" w:rsidP="00CA25CF">
            <w:pPr>
              <w:rPr>
                <w:rFonts w:cs="Arial"/>
                <w:color w:val="FF0000"/>
                <w:sz w:val="21"/>
                <w:szCs w:val="21"/>
              </w:rPr>
            </w:pPr>
          </w:p>
        </w:tc>
        <w:tc>
          <w:tcPr>
            <w:tcW w:w="217" w:type="dxa"/>
          </w:tcPr>
          <w:p w14:paraId="268D3622" w14:textId="77777777" w:rsidR="002C0FD9" w:rsidRPr="00CA25CF" w:rsidRDefault="002C0FD9" w:rsidP="00CA25CF">
            <w:pPr>
              <w:rPr>
                <w:rFonts w:cs="Arial"/>
                <w:color w:val="FF0000"/>
                <w:sz w:val="21"/>
                <w:szCs w:val="21"/>
              </w:rPr>
            </w:pPr>
          </w:p>
        </w:tc>
        <w:tc>
          <w:tcPr>
            <w:tcW w:w="217" w:type="dxa"/>
          </w:tcPr>
          <w:p w14:paraId="126274FF" w14:textId="77777777" w:rsidR="002C0FD9" w:rsidRPr="00CA25CF" w:rsidRDefault="002C0FD9" w:rsidP="00CA25CF">
            <w:pPr>
              <w:rPr>
                <w:rFonts w:cs="Arial"/>
                <w:color w:val="FF0000"/>
                <w:sz w:val="21"/>
                <w:szCs w:val="21"/>
              </w:rPr>
            </w:pPr>
          </w:p>
        </w:tc>
        <w:tc>
          <w:tcPr>
            <w:tcW w:w="217" w:type="dxa"/>
          </w:tcPr>
          <w:p w14:paraId="662F086A" w14:textId="77777777" w:rsidR="002C0FD9" w:rsidRPr="00CA25CF" w:rsidRDefault="002C0FD9" w:rsidP="00CA25CF">
            <w:pPr>
              <w:rPr>
                <w:rFonts w:cs="Arial"/>
                <w:color w:val="FF0000"/>
                <w:sz w:val="21"/>
                <w:szCs w:val="21"/>
              </w:rPr>
            </w:pPr>
          </w:p>
        </w:tc>
        <w:tc>
          <w:tcPr>
            <w:tcW w:w="217" w:type="dxa"/>
          </w:tcPr>
          <w:p w14:paraId="3562CA09" w14:textId="77777777" w:rsidR="002C0FD9" w:rsidRPr="00CA25CF" w:rsidRDefault="002C0FD9" w:rsidP="00CA25CF">
            <w:pPr>
              <w:rPr>
                <w:rFonts w:cs="Arial"/>
                <w:color w:val="FF0000"/>
                <w:sz w:val="21"/>
                <w:szCs w:val="21"/>
              </w:rPr>
            </w:pPr>
          </w:p>
        </w:tc>
        <w:tc>
          <w:tcPr>
            <w:tcW w:w="217" w:type="dxa"/>
          </w:tcPr>
          <w:p w14:paraId="29ED9AF4" w14:textId="77777777" w:rsidR="002C0FD9" w:rsidRPr="00CA25CF" w:rsidRDefault="002C0FD9" w:rsidP="00CA25CF">
            <w:pPr>
              <w:rPr>
                <w:rFonts w:cs="Arial"/>
                <w:color w:val="FF0000"/>
                <w:sz w:val="21"/>
                <w:szCs w:val="21"/>
              </w:rPr>
            </w:pPr>
          </w:p>
        </w:tc>
        <w:tc>
          <w:tcPr>
            <w:tcW w:w="217" w:type="dxa"/>
          </w:tcPr>
          <w:p w14:paraId="1B5E5AC2" w14:textId="77777777" w:rsidR="002C0FD9" w:rsidRPr="00CA25CF" w:rsidRDefault="002C0FD9" w:rsidP="00CA25CF">
            <w:pPr>
              <w:rPr>
                <w:rFonts w:cs="Arial"/>
                <w:color w:val="FF0000"/>
                <w:sz w:val="21"/>
                <w:szCs w:val="21"/>
              </w:rPr>
            </w:pPr>
          </w:p>
        </w:tc>
        <w:tc>
          <w:tcPr>
            <w:tcW w:w="217" w:type="dxa"/>
          </w:tcPr>
          <w:p w14:paraId="0DCC8F55" w14:textId="77777777" w:rsidR="002C0FD9" w:rsidRPr="00CA25CF" w:rsidRDefault="002C0FD9" w:rsidP="00CA25CF">
            <w:pPr>
              <w:rPr>
                <w:rFonts w:cs="Arial"/>
                <w:color w:val="FF0000"/>
                <w:sz w:val="21"/>
                <w:szCs w:val="21"/>
              </w:rPr>
            </w:pPr>
          </w:p>
        </w:tc>
        <w:tc>
          <w:tcPr>
            <w:tcW w:w="217" w:type="dxa"/>
          </w:tcPr>
          <w:p w14:paraId="7BA374F6" w14:textId="77777777" w:rsidR="002C0FD9" w:rsidRPr="00CA25CF" w:rsidRDefault="002C0FD9" w:rsidP="00CA25CF">
            <w:pPr>
              <w:rPr>
                <w:rFonts w:cs="Arial"/>
                <w:color w:val="FF0000"/>
                <w:sz w:val="21"/>
                <w:szCs w:val="21"/>
              </w:rPr>
            </w:pPr>
          </w:p>
        </w:tc>
        <w:tc>
          <w:tcPr>
            <w:tcW w:w="217" w:type="dxa"/>
          </w:tcPr>
          <w:p w14:paraId="48CAED57" w14:textId="77777777" w:rsidR="002C0FD9" w:rsidRPr="00CA25CF" w:rsidRDefault="002C0FD9" w:rsidP="00CA25CF">
            <w:pPr>
              <w:rPr>
                <w:rFonts w:cs="Arial"/>
                <w:color w:val="FF0000"/>
                <w:sz w:val="21"/>
                <w:szCs w:val="21"/>
              </w:rPr>
            </w:pPr>
          </w:p>
        </w:tc>
        <w:tc>
          <w:tcPr>
            <w:tcW w:w="217" w:type="dxa"/>
          </w:tcPr>
          <w:p w14:paraId="2BFFF2B5" w14:textId="77777777" w:rsidR="002C0FD9" w:rsidRPr="00CA25CF" w:rsidRDefault="002C0FD9" w:rsidP="00CA25CF">
            <w:pPr>
              <w:rPr>
                <w:rFonts w:cs="Arial"/>
                <w:color w:val="FF0000"/>
                <w:sz w:val="21"/>
                <w:szCs w:val="21"/>
              </w:rPr>
            </w:pPr>
          </w:p>
        </w:tc>
        <w:tc>
          <w:tcPr>
            <w:tcW w:w="217" w:type="dxa"/>
          </w:tcPr>
          <w:p w14:paraId="150EC3E7" w14:textId="77777777" w:rsidR="002C0FD9" w:rsidRPr="00CA25CF" w:rsidRDefault="002C0FD9" w:rsidP="00CA25CF">
            <w:pPr>
              <w:rPr>
                <w:rFonts w:cs="Arial"/>
                <w:color w:val="FF0000"/>
                <w:sz w:val="21"/>
                <w:szCs w:val="21"/>
              </w:rPr>
            </w:pPr>
          </w:p>
        </w:tc>
        <w:tc>
          <w:tcPr>
            <w:tcW w:w="217" w:type="dxa"/>
          </w:tcPr>
          <w:p w14:paraId="727E2698" w14:textId="77777777" w:rsidR="002C0FD9" w:rsidRPr="00CA25CF" w:rsidRDefault="002C0FD9" w:rsidP="00CA25CF">
            <w:pPr>
              <w:rPr>
                <w:rFonts w:cs="Arial"/>
                <w:color w:val="FF0000"/>
                <w:sz w:val="21"/>
                <w:szCs w:val="21"/>
              </w:rPr>
            </w:pPr>
          </w:p>
        </w:tc>
        <w:tc>
          <w:tcPr>
            <w:tcW w:w="217" w:type="dxa"/>
          </w:tcPr>
          <w:p w14:paraId="6C9B7F77" w14:textId="77777777" w:rsidR="002C0FD9" w:rsidRPr="00CA25CF" w:rsidRDefault="002C0FD9" w:rsidP="00CA25CF">
            <w:pPr>
              <w:rPr>
                <w:rFonts w:cs="Arial"/>
                <w:color w:val="FF0000"/>
                <w:sz w:val="21"/>
                <w:szCs w:val="21"/>
              </w:rPr>
            </w:pPr>
          </w:p>
        </w:tc>
        <w:tc>
          <w:tcPr>
            <w:tcW w:w="217" w:type="dxa"/>
          </w:tcPr>
          <w:p w14:paraId="2475E7CD" w14:textId="77777777" w:rsidR="002C0FD9" w:rsidRPr="00CA25CF" w:rsidRDefault="002C0FD9" w:rsidP="00CA25CF">
            <w:pPr>
              <w:rPr>
                <w:rFonts w:cs="Arial"/>
                <w:color w:val="FF0000"/>
                <w:sz w:val="21"/>
                <w:szCs w:val="21"/>
              </w:rPr>
            </w:pPr>
          </w:p>
        </w:tc>
        <w:tc>
          <w:tcPr>
            <w:tcW w:w="217" w:type="dxa"/>
          </w:tcPr>
          <w:p w14:paraId="5A4A68C8" w14:textId="77777777" w:rsidR="002C0FD9" w:rsidRPr="00CA25CF" w:rsidRDefault="002C0FD9" w:rsidP="00CA25CF">
            <w:pPr>
              <w:rPr>
                <w:rFonts w:cs="Arial"/>
                <w:color w:val="FF0000"/>
                <w:sz w:val="21"/>
                <w:szCs w:val="21"/>
              </w:rPr>
            </w:pPr>
          </w:p>
        </w:tc>
        <w:tc>
          <w:tcPr>
            <w:tcW w:w="217" w:type="dxa"/>
          </w:tcPr>
          <w:p w14:paraId="73A29B2B" w14:textId="77777777" w:rsidR="002C0FD9" w:rsidRPr="00CA25CF" w:rsidRDefault="002C0FD9" w:rsidP="00CA25CF">
            <w:pPr>
              <w:rPr>
                <w:rFonts w:cs="Arial"/>
                <w:color w:val="FF0000"/>
                <w:sz w:val="21"/>
                <w:szCs w:val="21"/>
              </w:rPr>
            </w:pPr>
          </w:p>
        </w:tc>
        <w:tc>
          <w:tcPr>
            <w:tcW w:w="217" w:type="dxa"/>
          </w:tcPr>
          <w:p w14:paraId="4027AAA5" w14:textId="77777777" w:rsidR="002C0FD9" w:rsidRPr="00CA25CF" w:rsidRDefault="002C0FD9" w:rsidP="00CA25CF">
            <w:pPr>
              <w:rPr>
                <w:rFonts w:cs="Arial"/>
                <w:color w:val="FF0000"/>
                <w:sz w:val="21"/>
                <w:szCs w:val="21"/>
              </w:rPr>
            </w:pPr>
          </w:p>
        </w:tc>
        <w:tc>
          <w:tcPr>
            <w:tcW w:w="217" w:type="dxa"/>
          </w:tcPr>
          <w:p w14:paraId="4CCA56AE" w14:textId="77777777" w:rsidR="002C0FD9" w:rsidRPr="00CA25CF" w:rsidRDefault="002C0FD9" w:rsidP="00CA25CF">
            <w:pPr>
              <w:rPr>
                <w:rFonts w:cs="Arial"/>
                <w:color w:val="FF0000"/>
                <w:sz w:val="21"/>
                <w:szCs w:val="21"/>
              </w:rPr>
            </w:pPr>
          </w:p>
        </w:tc>
        <w:tc>
          <w:tcPr>
            <w:tcW w:w="217" w:type="dxa"/>
          </w:tcPr>
          <w:p w14:paraId="096C29C8" w14:textId="77777777" w:rsidR="002C0FD9" w:rsidRPr="00CA25CF" w:rsidRDefault="002C0FD9" w:rsidP="00CA25CF">
            <w:pPr>
              <w:rPr>
                <w:rFonts w:cs="Arial"/>
                <w:color w:val="FF0000"/>
                <w:sz w:val="21"/>
                <w:szCs w:val="21"/>
              </w:rPr>
            </w:pPr>
          </w:p>
        </w:tc>
      </w:tr>
      <w:tr w:rsidR="002C0FD9" w:rsidRPr="00A16219" w14:paraId="7F1951D0" w14:textId="77777777" w:rsidTr="002C0FD9">
        <w:trPr>
          <w:trHeight w:val="635"/>
        </w:trPr>
        <w:tc>
          <w:tcPr>
            <w:tcW w:w="515" w:type="dxa"/>
          </w:tcPr>
          <w:p w14:paraId="2490EAF1" w14:textId="77777777" w:rsidR="002C0FD9" w:rsidRPr="00CA25CF" w:rsidRDefault="002C0FD9" w:rsidP="00CA25CF">
            <w:pPr>
              <w:rPr>
                <w:rFonts w:cs="Arial"/>
                <w:color w:val="FF0000"/>
                <w:sz w:val="21"/>
                <w:szCs w:val="21"/>
              </w:rPr>
            </w:pPr>
          </w:p>
        </w:tc>
        <w:tc>
          <w:tcPr>
            <w:tcW w:w="217" w:type="dxa"/>
          </w:tcPr>
          <w:p w14:paraId="6691E768" w14:textId="77777777" w:rsidR="002C0FD9" w:rsidRPr="00CA25CF" w:rsidRDefault="002C0FD9" w:rsidP="00CA25CF">
            <w:pPr>
              <w:rPr>
                <w:rFonts w:cs="Arial"/>
                <w:color w:val="FF0000"/>
                <w:sz w:val="21"/>
                <w:szCs w:val="21"/>
              </w:rPr>
            </w:pPr>
          </w:p>
        </w:tc>
        <w:tc>
          <w:tcPr>
            <w:tcW w:w="217" w:type="dxa"/>
          </w:tcPr>
          <w:p w14:paraId="0667620B" w14:textId="77777777" w:rsidR="002C0FD9" w:rsidRPr="00CA25CF" w:rsidRDefault="002C0FD9" w:rsidP="00CA25CF">
            <w:pPr>
              <w:rPr>
                <w:rFonts w:cs="Arial"/>
                <w:color w:val="FF0000"/>
                <w:sz w:val="21"/>
                <w:szCs w:val="21"/>
              </w:rPr>
            </w:pPr>
          </w:p>
        </w:tc>
        <w:tc>
          <w:tcPr>
            <w:tcW w:w="217" w:type="dxa"/>
          </w:tcPr>
          <w:p w14:paraId="4728EAA1" w14:textId="77777777" w:rsidR="002C0FD9" w:rsidRPr="00CA25CF" w:rsidRDefault="002C0FD9" w:rsidP="00CA25CF">
            <w:pPr>
              <w:rPr>
                <w:rFonts w:cs="Arial"/>
                <w:color w:val="FF0000"/>
                <w:sz w:val="21"/>
                <w:szCs w:val="21"/>
              </w:rPr>
            </w:pPr>
          </w:p>
        </w:tc>
        <w:tc>
          <w:tcPr>
            <w:tcW w:w="217" w:type="dxa"/>
          </w:tcPr>
          <w:p w14:paraId="07BE09E5" w14:textId="77777777" w:rsidR="002C0FD9" w:rsidRPr="00CA25CF" w:rsidRDefault="002C0FD9" w:rsidP="00CA25CF">
            <w:pPr>
              <w:rPr>
                <w:rFonts w:cs="Arial"/>
                <w:color w:val="FF0000"/>
                <w:sz w:val="21"/>
                <w:szCs w:val="21"/>
              </w:rPr>
            </w:pPr>
          </w:p>
        </w:tc>
        <w:tc>
          <w:tcPr>
            <w:tcW w:w="217" w:type="dxa"/>
          </w:tcPr>
          <w:p w14:paraId="208E3CC8" w14:textId="77777777" w:rsidR="002C0FD9" w:rsidRPr="00CA25CF" w:rsidRDefault="002C0FD9" w:rsidP="00CA25CF">
            <w:pPr>
              <w:rPr>
                <w:rFonts w:cs="Arial"/>
                <w:color w:val="FF0000"/>
                <w:sz w:val="21"/>
                <w:szCs w:val="21"/>
              </w:rPr>
            </w:pPr>
          </w:p>
        </w:tc>
        <w:tc>
          <w:tcPr>
            <w:tcW w:w="217" w:type="dxa"/>
          </w:tcPr>
          <w:p w14:paraId="0BBE8D0A" w14:textId="77777777" w:rsidR="002C0FD9" w:rsidRPr="00CA25CF" w:rsidRDefault="002C0FD9" w:rsidP="00CA25CF">
            <w:pPr>
              <w:rPr>
                <w:rFonts w:cs="Arial"/>
                <w:color w:val="FF0000"/>
                <w:sz w:val="21"/>
                <w:szCs w:val="21"/>
              </w:rPr>
            </w:pPr>
          </w:p>
        </w:tc>
        <w:tc>
          <w:tcPr>
            <w:tcW w:w="217" w:type="dxa"/>
          </w:tcPr>
          <w:p w14:paraId="28357DF1" w14:textId="77777777" w:rsidR="002C0FD9" w:rsidRPr="00CA25CF" w:rsidRDefault="002C0FD9" w:rsidP="00CA25CF">
            <w:pPr>
              <w:rPr>
                <w:rFonts w:cs="Arial"/>
                <w:color w:val="FF0000"/>
                <w:sz w:val="21"/>
                <w:szCs w:val="21"/>
              </w:rPr>
            </w:pPr>
          </w:p>
        </w:tc>
        <w:tc>
          <w:tcPr>
            <w:tcW w:w="217" w:type="dxa"/>
          </w:tcPr>
          <w:p w14:paraId="272D6111" w14:textId="77777777" w:rsidR="002C0FD9" w:rsidRPr="00CA25CF" w:rsidRDefault="002C0FD9" w:rsidP="00CA25CF">
            <w:pPr>
              <w:rPr>
                <w:rFonts w:cs="Arial"/>
                <w:color w:val="FF0000"/>
                <w:sz w:val="21"/>
                <w:szCs w:val="21"/>
              </w:rPr>
            </w:pPr>
          </w:p>
        </w:tc>
        <w:tc>
          <w:tcPr>
            <w:tcW w:w="217" w:type="dxa"/>
          </w:tcPr>
          <w:p w14:paraId="12F18CD7" w14:textId="77777777" w:rsidR="002C0FD9" w:rsidRPr="00CA25CF" w:rsidRDefault="002C0FD9" w:rsidP="00CA25CF">
            <w:pPr>
              <w:rPr>
                <w:rFonts w:cs="Arial"/>
                <w:color w:val="FF0000"/>
                <w:sz w:val="21"/>
                <w:szCs w:val="21"/>
              </w:rPr>
            </w:pPr>
          </w:p>
        </w:tc>
        <w:tc>
          <w:tcPr>
            <w:tcW w:w="217" w:type="dxa"/>
          </w:tcPr>
          <w:p w14:paraId="57B4C868" w14:textId="77777777" w:rsidR="002C0FD9" w:rsidRPr="00CA25CF" w:rsidRDefault="002C0FD9" w:rsidP="00CA25CF">
            <w:pPr>
              <w:rPr>
                <w:rFonts w:cs="Arial"/>
                <w:color w:val="FF0000"/>
                <w:sz w:val="21"/>
                <w:szCs w:val="21"/>
              </w:rPr>
            </w:pPr>
          </w:p>
        </w:tc>
        <w:tc>
          <w:tcPr>
            <w:tcW w:w="217" w:type="dxa"/>
          </w:tcPr>
          <w:p w14:paraId="4D790F61" w14:textId="77777777" w:rsidR="002C0FD9" w:rsidRPr="00CA25CF" w:rsidRDefault="002C0FD9" w:rsidP="00CA25CF">
            <w:pPr>
              <w:rPr>
                <w:rFonts w:cs="Arial"/>
                <w:color w:val="FF0000"/>
                <w:sz w:val="21"/>
                <w:szCs w:val="21"/>
              </w:rPr>
            </w:pPr>
          </w:p>
        </w:tc>
        <w:tc>
          <w:tcPr>
            <w:tcW w:w="217" w:type="dxa"/>
          </w:tcPr>
          <w:p w14:paraId="384FCEA9" w14:textId="77777777" w:rsidR="002C0FD9" w:rsidRPr="00CA25CF" w:rsidRDefault="002C0FD9" w:rsidP="00CA25CF">
            <w:pPr>
              <w:rPr>
                <w:rFonts w:cs="Arial"/>
                <w:color w:val="FF0000"/>
                <w:sz w:val="21"/>
                <w:szCs w:val="21"/>
              </w:rPr>
            </w:pPr>
          </w:p>
        </w:tc>
        <w:tc>
          <w:tcPr>
            <w:tcW w:w="217" w:type="dxa"/>
          </w:tcPr>
          <w:p w14:paraId="68B7FBBD" w14:textId="77777777" w:rsidR="002C0FD9" w:rsidRPr="00CA25CF" w:rsidRDefault="002C0FD9" w:rsidP="00CA25CF">
            <w:pPr>
              <w:rPr>
                <w:rFonts w:cs="Arial"/>
                <w:color w:val="FF0000"/>
                <w:sz w:val="21"/>
                <w:szCs w:val="21"/>
              </w:rPr>
            </w:pPr>
          </w:p>
        </w:tc>
        <w:tc>
          <w:tcPr>
            <w:tcW w:w="217" w:type="dxa"/>
          </w:tcPr>
          <w:p w14:paraId="75417366" w14:textId="77777777" w:rsidR="002C0FD9" w:rsidRPr="00CA25CF" w:rsidRDefault="002C0FD9" w:rsidP="00CA25CF">
            <w:pPr>
              <w:rPr>
                <w:rFonts w:cs="Arial"/>
                <w:color w:val="FF0000"/>
                <w:sz w:val="21"/>
                <w:szCs w:val="21"/>
              </w:rPr>
            </w:pPr>
          </w:p>
        </w:tc>
        <w:tc>
          <w:tcPr>
            <w:tcW w:w="217" w:type="dxa"/>
          </w:tcPr>
          <w:p w14:paraId="6AF505EA" w14:textId="77777777" w:rsidR="002C0FD9" w:rsidRPr="00CA25CF" w:rsidRDefault="002C0FD9" w:rsidP="00CA25CF">
            <w:pPr>
              <w:rPr>
                <w:rFonts w:cs="Arial"/>
                <w:color w:val="FF0000"/>
                <w:sz w:val="21"/>
                <w:szCs w:val="21"/>
              </w:rPr>
            </w:pPr>
          </w:p>
        </w:tc>
        <w:tc>
          <w:tcPr>
            <w:tcW w:w="217" w:type="dxa"/>
          </w:tcPr>
          <w:p w14:paraId="54F0D792" w14:textId="77777777" w:rsidR="002C0FD9" w:rsidRPr="00CA25CF" w:rsidRDefault="002C0FD9" w:rsidP="00CA25CF">
            <w:pPr>
              <w:rPr>
                <w:rFonts w:cs="Arial"/>
                <w:color w:val="FF0000"/>
                <w:sz w:val="21"/>
                <w:szCs w:val="21"/>
              </w:rPr>
            </w:pPr>
          </w:p>
        </w:tc>
        <w:tc>
          <w:tcPr>
            <w:tcW w:w="217" w:type="dxa"/>
          </w:tcPr>
          <w:p w14:paraId="368AD5BB" w14:textId="77777777" w:rsidR="002C0FD9" w:rsidRPr="00CA25CF" w:rsidRDefault="002C0FD9" w:rsidP="00CA25CF">
            <w:pPr>
              <w:rPr>
                <w:rFonts w:cs="Arial"/>
                <w:color w:val="FF0000"/>
                <w:sz w:val="21"/>
                <w:szCs w:val="21"/>
              </w:rPr>
            </w:pPr>
          </w:p>
        </w:tc>
        <w:tc>
          <w:tcPr>
            <w:tcW w:w="217" w:type="dxa"/>
          </w:tcPr>
          <w:p w14:paraId="07362AAC" w14:textId="77777777" w:rsidR="002C0FD9" w:rsidRPr="00CA25CF" w:rsidRDefault="002C0FD9" w:rsidP="00CA25CF">
            <w:pPr>
              <w:rPr>
                <w:rFonts w:cs="Arial"/>
                <w:color w:val="FF0000"/>
                <w:sz w:val="21"/>
                <w:szCs w:val="21"/>
              </w:rPr>
            </w:pPr>
          </w:p>
        </w:tc>
        <w:tc>
          <w:tcPr>
            <w:tcW w:w="217" w:type="dxa"/>
          </w:tcPr>
          <w:p w14:paraId="440FC3C1" w14:textId="77777777" w:rsidR="002C0FD9" w:rsidRPr="00CA25CF" w:rsidRDefault="002C0FD9" w:rsidP="00CA25CF">
            <w:pPr>
              <w:rPr>
                <w:rFonts w:cs="Arial"/>
                <w:color w:val="FF0000"/>
                <w:sz w:val="21"/>
                <w:szCs w:val="21"/>
              </w:rPr>
            </w:pPr>
          </w:p>
        </w:tc>
        <w:tc>
          <w:tcPr>
            <w:tcW w:w="217" w:type="dxa"/>
          </w:tcPr>
          <w:p w14:paraId="2BD59097" w14:textId="77777777" w:rsidR="002C0FD9" w:rsidRPr="00CA25CF" w:rsidRDefault="002C0FD9" w:rsidP="00CA25CF">
            <w:pPr>
              <w:rPr>
                <w:rFonts w:cs="Arial"/>
                <w:color w:val="FF0000"/>
                <w:sz w:val="21"/>
                <w:szCs w:val="21"/>
              </w:rPr>
            </w:pPr>
          </w:p>
        </w:tc>
        <w:tc>
          <w:tcPr>
            <w:tcW w:w="217" w:type="dxa"/>
          </w:tcPr>
          <w:p w14:paraId="3B18C3A7" w14:textId="77777777" w:rsidR="002C0FD9" w:rsidRPr="00CA25CF" w:rsidRDefault="002C0FD9" w:rsidP="00CA25CF">
            <w:pPr>
              <w:rPr>
                <w:rFonts w:cs="Arial"/>
                <w:color w:val="FF0000"/>
                <w:sz w:val="21"/>
                <w:szCs w:val="21"/>
              </w:rPr>
            </w:pPr>
          </w:p>
        </w:tc>
        <w:tc>
          <w:tcPr>
            <w:tcW w:w="217" w:type="dxa"/>
          </w:tcPr>
          <w:p w14:paraId="4016AC7E" w14:textId="77777777" w:rsidR="002C0FD9" w:rsidRPr="00CA25CF" w:rsidRDefault="002C0FD9" w:rsidP="00CA25CF">
            <w:pPr>
              <w:rPr>
                <w:rFonts w:cs="Arial"/>
                <w:color w:val="FF0000"/>
                <w:sz w:val="21"/>
                <w:szCs w:val="21"/>
              </w:rPr>
            </w:pPr>
          </w:p>
        </w:tc>
        <w:tc>
          <w:tcPr>
            <w:tcW w:w="217" w:type="dxa"/>
          </w:tcPr>
          <w:p w14:paraId="40E43AE9" w14:textId="77777777" w:rsidR="002C0FD9" w:rsidRPr="00CA25CF" w:rsidRDefault="002C0FD9" w:rsidP="00CA25CF">
            <w:pPr>
              <w:rPr>
                <w:rFonts w:cs="Arial"/>
                <w:color w:val="FF0000"/>
                <w:sz w:val="21"/>
                <w:szCs w:val="21"/>
              </w:rPr>
            </w:pPr>
          </w:p>
        </w:tc>
        <w:tc>
          <w:tcPr>
            <w:tcW w:w="217" w:type="dxa"/>
          </w:tcPr>
          <w:p w14:paraId="0EB4CE05" w14:textId="77777777" w:rsidR="002C0FD9" w:rsidRPr="00CA25CF" w:rsidRDefault="002C0FD9" w:rsidP="00CA25CF">
            <w:pPr>
              <w:rPr>
                <w:rFonts w:cs="Arial"/>
                <w:color w:val="FF0000"/>
                <w:sz w:val="21"/>
                <w:szCs w:val="21"/>
              </w:rPr>
            </w:pPr>
          </w:p>
        </w:tc>
        <w:tc>
          <w:tcPr>
            <w:tcW w:w="217" w:type="dxa"/>
          </w:tcPr>
          <w:p w14:paraId="49505355" w14:textId="77777777" w:rsidR="002C0FD9" w:rsidRPr="00CA25CF" w:rsidRDefault="002C0FD9" w:rsidP="00CA25CF">
            <w:pPr>
              <w:rPr>
                <w:rFonts w:cs="Arial"/>
                <w:color w:val="FF0000"/>
                <w:sz w:val="21"/>
                <w:szCs w:val="21"/>
              </w:rPr>
            </w:pPr>
          </w:p>
        </w:tc>
        <w:tc>
          <w:tcPr>
            <w:tcW w:w="217" w:type="dxa"/>
          </w:tcPr>
          <w:p w14:paraId="2999C297" w14:textId="77777777" w:rsidR="002C0FD9" w:rsidRPr="00CA25CF" w:rsidRDefault="002C0FD9" w:rsidP="00CA25CF">
            <w:pPr>
              <w:rPr>
                <w:rFonts w:cs="Arial"/>
                <w:color w:val="FF0000"/>
                <w:sz w:val="21"/>
                <w:szCs w:val="21"/>
              </w:rPr>
            </w:pPr>
          </w:p>
        </w:tc>
        <w:tc>
          <w:tcPr>
            <w:tcW w:w="217" w:type="dxa"/>
          </w:tcPr>
          <w:p w14:paraId="0ACAE51D" w14:textId="77777777" w:rsidR="002C0FD9" w:rsidRPr="00CA25CF" w:rsidRDefault="002C0FD9" w:rsidP="00CA25CF">
            <w:pPr>
              <w:rPr>
                <w:rFonts w:cs="Arial"/>
                <w:color w:val="FF0000"/>
                <w:sz w:val="21"/>
                <w:szCs w:val="21"/>
              </w:rPr>
            </w:pPr>
          </w:p>
        </w:tc>
        <w:tc>
          <w:tcPr>
            <w:tcW w:w="217" w:type="dxa"/>
          </w:tcPr>
          <w:p w14:paraId="24C43D3D" w14:textId="77777777" w:rsidR="002C0FD9" w:rsidRPr="00CA25CF" w:rsidRDefault="002C0FD9" w:rsidP="00CA25CF">
            <w:pPr>
              <w:rPr>
                <w:rFonts w:cs="Arial"/>
                <w:color w:val="FF0000"/>
                <w:sz w:val="21"/>
                <w:szCs w:val="21"/>
              </w:rPr>
            </w:pPr>
          </w:p>
        </w:tc>
        <w:tc>
          <w:tcPr>
            <w:tcW w:w="217" w:type="dxa"/>
          </w:tcPr>
          <w:p w14:paraId="176E0D60" w14:textId="77777777" w:rsidR="002C0FD9" w:rsidRPr="00CA25CF" w:rsidRDefault="002C0FD9" w:rsidP="00CA25CF">
            <w:pPr>
              <w:rPr>
                <w:rFonts w:cs="Arial"/>
                <w:color w:val="FF0000"/>
                <w:sz w:val="21"/>
                <w:szCs w:val="21"/>
              </w:rPr>
            </w:pPr>
          </w:p>
        </w:tc>
        <w:tc>
          <w:tcPr>
            <w:tcW w:w="217" w:type="dxa"/>
          </w:tcPr>
          <w:p w14:paraId="7403E8E6" w14:textId="77777777" w:rsidR="002C0FD9" w:rsidRPr="00CA25CF" w:rsidRDefault="002C0FD9" w:rsidP="00CA25CF">
            <w:pPr>
              <w:rPr>
                <w:rFonts w:cs="Arial"/>
                <w:color w:val="FF0000"/>
                <w:sz w:val="21"/>
                <w:szCs w:val="21"/>
              </w:rPr>
            </w:pPr>
          </w:p>
        </w:tc>
        <w:tc>
          <w:tcPr>
            <w:tcW w:w="217" w:type="dxa"/>
          </w:tcPr>
          <w:p w14:paraId="550AB544" w14:textId="77777777" w:rsidR="002C0FD9" w:rsidRPr="00CA25CF" w:rsidRDefault="002C0FD9" w:rsidP="00CA25CF">
            <w:pPr>
              <w:rPr>
                <w:rFonts w:cs="Arial"/>
                <w:color w:val="FF0000"/>
                <w:sz w:val="21"/>
                <w:szCs w:val="21"/>
              </w:rPr>
            </w:pPr>
          </w:p>
        </w:tc>
        <w:tc>
          <w:tcPr>
            <w:tcW w:w="217" w:type="dxa"/>
          </w:tcPr>
          <w:p w14:paraId="16D8D955" w14:textId="77777777" w:rsidR="002C0FD9" w:rsidRPr="00CA25CF" w:rsidRDefault="002C0FD9" w:rsidP="00CA25CF">
            <w:pPr>
              <w:rPr>
                <w:rFonts w:cs="Arial"/>
                <w:color w:val="FF0000"/>
                <w:sz w:val="21"/>
                <w:szCs w:val="21"/>
              </w:rPr>
            </w:pPr>
          </w:p>
        </w:tc>
        <w:tc>
          <w:tcPr>
            <w:tcW w:w="217" w:type="dxa"/>
          </w:tcPr>
          <w:p w14:paraId="18164D60" w14:textId="77777777" w:rsidR="002C0FD9" w:rsidRPr="00CA25CF" w:rsidRDefault="002C0FD9" w:rsidP="00CA25CF">
            <w:pPr>
              <w:rPr>
                <w:rFonts w:cs="Arial"/>
                <w:color w:val="FF0000"/>
                <w:sz w:val="21"/>
                <w:szCs w:val="21"/>
              </w:rPr>
            </w:pPr>
          </w:p>
        </w:tc>
        <w:tc>
          <w:tcPr>
            <w:tcW w:w="217" w:type="dxa"/>
          </w:tcPr>
          <w:p w14:paraId="2AA317E5" w14:textId="77777777" w:rsidR="002C0FD9" w:rsidRPr="00CA25CF" w:rsidRDefault="002C0FD9" w:rsidP="00CA25CF">
            <w:pPr>
              <w:rPr>
                <w:rFonts w:cs="Arial"/>
                <w:color w:val="FF0000"/>
                <w:sz w:val="21"/>
                <w:szCs w:val="21"/>
              </w:rPr>
            </w:pPr>
          </w:p>
        </w:tc>
        <w:tc>
          <w:tcPr>
            <w:tcW w:w="217" w:type="dxa"/>
          </w:tcPr>
          <w:p w14:paraId="4DD872A0" w14:textId="77777777" w:rsidR="002C0FD9" w:rsidRPr="00CA25CF" w:rsidRDefault="002C0FD9" w:rsidP="00CA25CF">
            <w:pPr>
              <w:rPr>
                <w:rFonts w:cs="Arial"/>
                <w:color w:val="FF0000"/>
                <w:sz w:val="21"/>
                <w:szCs w:val="21"/>
              </w:rPr>
            </w:pPr>
          </w:p>
        </w:tc>
        <w:tc>
          <w:tcPr>
            <w:tcW w:w="217" w:type="dxa"/>
          </w:tcPr>
          <w:p w14:paraId="03B23414" w14:textId="77777777" w:rsidR="002C0FD9" w:rsidRPr="00CA25CF" w:rsidRDefault="002C0FD9" w:rsidP="00CA25CF">
            <w:pPr>
              <w:rPr>
                <w:rFonts w:cs="Arial"/>
                <w:color w:val="FF0000"/>
                <w:sz w:val="21"/>
                <w:szCs w:val="21"/>
              </w:rPr>
            </w:pPr>
          </w:p>
        </w:tc>
        <w:tc>
          <w:tcPr>
            <w:tcW w:w="217" w:type="dxa"/>
          </w:tcPr>
          <w:p w14:paraId="66848F79" w14:textId="77777777" w:rsidR="002C0FD9" w:rsidRPr="00CA25CF" w:rsidRDefault="002C0FD9" w:rsidP="00CA25CF">
            <w:pPr>
              <w:rPr>
                <w:rFonts w:cs="Arial"/>
                <w:color w:val="FF0000"/>
                <w:sz w:val="21"/>
                <w:szCs w:val="21"/>
              </w:rPr>
            </w:pPr>
          </w:p>
        </w:tc>
        <w:tc>
          <w:tcPr>
            <w:tcW w:w="217" w:type="dxa"/>
          </w:tcPr>
          <w:p w14:paraId="0680F53E" w14:textId="77777777" w:rsidR="002C0FD9" w:rsidRPr="00CA25CF" w:rsidRDefault="002C0FD9" w:rsidP="00CA25CF">
            <w:pPr>
              <w:rPr>
                <w:rFonts w:cs="Arial"/>
                <w:color w:val="FF0000"/>
                <w:sz w:val="21"/>
                <w:szCs w:val="21"/>
              </w:rPr>
            </w:pPr>
          </w:p>
        </w:tc>
        <w:tc>
          <w:tcPr>
            <w:tcW w:w="217" w:type="dxa"/>
          </w:tcPr>
          <w:p w14:paraId="1C4D0EA9" w14:textId="77777777" w:rsidR="002C0FD9" w:rsidRPr="00CA25CF" w:rsidRDefault="002C0FD9" w:rsidP="00CA25CF">
            <w:pPr>
              <w:rPr>
                <w:rFonts w:cs="Arial"/>
                <w:color w:val="FF0000"/>
                <w:sz w:val="21"/>
                <w:szCs w:val="21"/>
              </w:rPr>
            </w:pPr>
          </w:p>
        </w:tc>
        <w:tc>
          <w:tcPr>
            <w:tcW w:w="217" w:type="dxa"/>
          </w:tcPr>
          <w:p w14:paraId="533839A4" w14:textId="77777777" w:rsidR="002C0FD9" w:rsidRPr="00CA25CF" w:rsidRDefault="002C0FD9" w:rsidP="00CA25CF">
            <w:pPr>
              <w:rPr>
                <w:rFonts w:cs="Arial"/>
                <w:color w:val="FF0000"/>
                <w:sz w:val="21"/>
                <w:szCs w:val="21"/>
              </w:rPr>
            </w:pPr>
          </w:p>
        </w:tc>
        <w:tc>
          <w:tcPr>
            <w:tcW w:w="217" w:type="dxa"/>
          </w:tcPr>
          <w:p w14:paraId="2F083706" w14:textId="77777777" w:rsidR="002C0FD9" w:rsidRPr="00CA25CF" w:rsidRDefault="002C0FD9" w:rsidP="00CA25CF">
            <w:pPr>
              <w:rPr>
                <w:rFonts w:cs="Arial"/>
                <w:color w:val="FF0000"/>
                <w:sz w:val="21"/>
                <w:szCs w:val="21"/>
              </w:rPr>
            </w:pPr>
          </w:p>
        </w:tc>
        <w:tc>
          <w:tcPr>
            <w:tcW w:w="217" w:type="dxa"/>
          </w:tcPr>
          <w:p w14:paraId="6933B0FA" w14:textId="77777777" w:rsidR="002C0FD9" w:rsidRPr="00CA25CF" w:rsidRDefault="002C0FD9" w:rsidP="00CA25CF">
            <w:pPr>
              <w:rPr>
                <w:rFonts w:cs="Arial"/>
                <w:color w:val="FF0000"/>
                <w:sz w:val="21"/>
                <w:szCs w:val="21"/>
              </w:rPr>
            </w:pPr>
          </w:p>
        </w:tc>
      </w:tr>
      <w:tr w:rsidR="002C0FD9" w:rsidRPr="00A16219" w14:paraId="2411A865" w14:textId="77777777" w:rsidTr="002C0FD9">
        <w:trPr>
          <w:trHeight w:val="635"/>
        </w:trPr>
        <w:tc>
          <w:tcPr>
            <w:tcW w:w="515" w:type="dxa"/>
          </w:tcPr>
          <w:p w14:paraId="0964A774" w14:textId="77777777" w:rsidR="002C0FD9" w:rsidRPr="00CA25CF" w:rsidRDefault="002C0FD9" w:rsidP="00CA25CF">
            <w:pPr>
              <w:rPr>
                <w:rFonts w:cs="Arial"/>
                <w:color w:val="FF0000"/>
                <w:sz w:val="21"/>
                <w:szCs w:val="21"/>
              </w:rPr>
            </w:pPr>
          </w:p>
        </w:tc>
        <w:tc>
          <w:tcPr>
            <w:tcW w:w="217" w:type="dxa"/>
          </w:tcPr>
          <w:p w14:paraId="7578CF99" w14:textId="77777777" w:rsidR="002C0FD9" w:rsidRPr="00CA25CF" w:rsidRDefault="002C0FD9" w:rsidP="00CA25CF">
            <w:pPr>
              <w:rPr>
                <w:rFonts w:cs="Arial"/>
                <w:color w:val="FF0000"/>
                <w:sz w:val="21"/>
                <w:szCs w:val="21"/>
              </w:rPr>
            </w:pPr>
          </w:p>
        </w:tc>
        <w:tc>
          <w:tcPr>
            <w:tcW w:w="217" w:type="dxa"/>
          </w:tcPr>
          <w:p w14:paraId="36C12535" w14:textId="77777777" w:rsidR="002C0FD9" w:rsidRPr="00CA25CF" w:rsidRDefault="002C0FD9" w:rsidP="00CA25CF">
            <w:pPr>
              <w:rPr>
                <w:rFonts w:cs="Arial"/>
                <w:color w:val="FF0000"/>
                <w:sz w:val="21"/>
                <w:szCs w:val="21"/>
              </w:rPr>
            </w:pPr>
          </w:p>
        </w:tc>
        <w:tc>
          <w:tcPr>
            <w:tcW w:w="217" w:type="dxa"/>
          </w:tcPr>
          <w:p w14:paraId="2ABD2910" w14:textId="77777777" w:rsidR="002C0FD9" w:rsidRPr="00CA25CF" w:rsidRDefault="002C0FD9" w:rsidP="00CA25CF">
            <w:pPr>
              <w:rPr>
                <w:rFonts w:cs="Arial"/>
                <w:color w:val="FF0000"/>
                <w:sz w:val="21"/>
                <w:szCs w:val="21"/>
              </w:rPr>
            </w:pPr>
          </w:p>
        </w:tc>
        <w:tc>
          <w:tcPr>
            <w:tcW w:w="217" w:type="dxa"/>
          </w:tcPr>
          <w:p w14:paraId="35DD173E" w14:textId="77777777" w:rsidR="002C0FD9" w:rsidRPr="00CA25CF" w:rsidRDefault="002C0FD9" w:rsidP="00CA25CF">
            <w:pPr>
              <w:rPr>
                <w:rFonts w:cs="Arial"/>
                <w:color w:val="FF0000"/>
                <w:sz w:val="21"/>
                <w:szCs w:val="21"/>
              </w:rPr>
            </w:pPr>
          </w:p>
        </w:tc>
        <w:tc>
          <w:tcPr>
            <w:tcW w:w="217" w:type="dxa"/>
          </w:tcPr>
          <w:p w14:paraId="7DD1637C" w14:textId="77777777" w:rsidR="002C0FD9" w:rsidRPr="00CA25CF" w:rsidRDefault="002C0FD9" w:rsidP="00CA25CF">
            <w:pPr>
              <w:rPr>
                <w:rFonts w:cs="Arial"/>
                <w:color w:val="FF0000"/>
                <w:sz w:val="21"/>
                <w:szCs w:val="21"/>
              </w:rPr>
            </w:pPr>
          </w:p>
        </w:tc>
        <w:tc>
          <w:tcPr>
            <w:tcW w:w="217" w:type="dxa"/>
          </w:tcPr>
          <w:p w14:paraId="64E29490" w14:textId="77777777" w:rsidR="002C0FD9" w:rsidRPr="00CA25CF" w:rsidRDefault="002C0FD9" w:rsidP="00CA25CF">
            <w:pPr>
              <w:rPr>
                <w:rFonts w:cs="Arial"/>
                <w:color w:val="FF0000"/>
                <w:sz w:val="21"/>
                <w:szCs w:val="21"/>
              </w:rPr>
            </w:pPr>
          </w:p>
        </w:tc>
        <w:tc>
          <w:tcPr>
            <w:tcW w:w="217" w:type="dxa"/>
          </w:tcPr>
          <w:p w14:paraId="636A5691" w14:textId="77777777" w:rsidR="002C0FD9" w:rsidRPr="00CA25CF" w:rsidRDefault="002C0FD9" w:rsidP="00CA25CF">
            <w:pPr>
              <w:rPr>
                <w:rFonts w:cs="Arial"/>
                <w:color w:val="FF0000"/>
                <w:sz w:val="21"/>
                <w:szCs w:val="21"/>
              </w:rPr>
            </w:pPr>
          </w:p>
        </w:tc>
        <w:tc>
          <w:tcPr>
            <w:tcW w:w="217" w:type="dxa"/>
          </w:tcPr>
          <w:p w14:paraId="0187D4FE" w14:textId="77777777" w:rsidR="002C0FD9" w:rsidRPr="00CA25CF" w:rsidRDefault="002C0FD9" w:rsidP="00CA25CF">
            <w:pPr>
              <w:rPr>
                <w:rFonts w:cs="Arial"/>
                <w:color w:val="FF0000"/>
                <w:sz w:val="21"/>
                <w:szCs w:val="21"/>
              </w:rPr>
            </w:pPr>
          </w:p>
        </w:tc>
        <w:tc>
          <w:tcPr>
            <w:tcW w:w="217" w:type="dxa"/>
          </w:tcPr>
          <w:p w14:paraId="5302BF5B" w14:textId="77777777" w:rsidR="002C0FD9" w:rsidRPr="00CA25CF" w:rsidRDefault="002C0FD9" w:rsidP="00CA25CF">
            <w:pPr>
              <w:rPr>
                <w:rFonts w:cs="Arial"/>
                <w:color w:val="FF0000"/>
                <w:sz w:val="21"/>
                <w:szCs w:val="21"/>
              </w:rPr>
            </w:pPr>
          </w:p>
        </w:tc>
        <w:tc>
          <w:tcPr>
            <w:tcW w:w="217" w:type="dxa"/>
          </w:tcPr>
          <w:p w14:paraId="2B73F0E9" w14:textId="77777777" w:rsidR="002C0FD9" w:rsidRPr="00CA25CF" w:rsidRDefault="002C0FD9" w:rsidP="00CA25CF">
            <w:pPr>
              <w:rPr>
                <w:rFonts w:cs="Arial"/>
                <w:color w:val="FF0000"/>
                <w:sz w:val="21"/>
                <w:szCs w:val="21"/>
              </w:rPr>
            </w:pPr>
          </w:p>
        </w:tc>
        <w:tc>
          <w:tcPr>
            <w:tcW w:w="217" w:type="dxa"/>
          </w:tcPr>
          <w:p w14:paraId="19EDDA56" w14:textId="77777777" w:rsidR="002C0FD9" w:rsidRPr="00CA25CF" w:rsidRDefault="002C0FD9" w:rsidP="00CA25CF">
            <w:pPr>
              <w:rPr>
                <w:rFonts w:cs="Arial"/>
                <w:color w:val="FF0000"/>
                <w:sz w:val="21"/>
                <w:szCs w:val="21"/>
              </w:rPr>
            </w:pPr>
          </w:p>
        </w:tc>
        <w:tc>
          <w:tcPr>
            <w:tcW w:w="217" w:type="dxa"/>
          </w:tcPr>
          <w:p w14:paraId="54DDD7DA" w14:textId="77777777" w:rsidR="002C0FD9" w:rsidRPr="00CA25CF" w:rsidRDefault="002C0FD9" w:rsidP="00CA25CF">
            <w:pPr>
              <w:rPr>
                <w:rFonts w:cs="Arial"/>
                <w:color w:val="FF0000"/>
                <w:sz w:val="21"/>
                <w:szCs w:val="21"/>
              </w:rPr>
            </w:pPr>
          </w:p>
        </w:tc>
        <w:tc>
          <w:tcPr>
            <w:tcW w:w="217" w:type="dxa"/>
          </w:tcPr>
          <w:p w14:paraId="5DAEB264" w14:textId="77777777" w:rsidR="002C0FD9" w:rsidRPr="00CA25CF" w:rsidRDefault="002C0FD9" w:rsidP="00CA25CF">
            <w:pPr>
              <w:rPr>
                <w:rFonts w:cs="Arial"/>
                <w:color w:val="FF0000"/>
                <w:sz w:val="21"/>
                <w:szCs w:val="21"/>
              </w:rPr>
            </w:pPr>
          </w:p>
        </w:tc>
        <w:tc>
          <w:tcPr>
            <w:tcW w:w="217" w:type="dxa"/>
          </w:tcPr>
          <w:p w14:paraId="11FE8B42" w14:textId="77777777" w:rsidR="002C0FD9" w:rsidRPr="00CA25CF" w:rsidRDefault="002C0FD9" w:rsidP="00CA25CF">
            <w:pPr>
              <w:rPr>
                <w:rFonts w:cs="Arial"/>
                <w:color w:val="FF0000"/>
                <w:sz w:val="21"/>
                <w:szCs w:val="21"/>
              </w:rPr>
            </w:pPr>
          </w:p>
        </w:tc>
        <w:tc>
          <w:tcPr>
            <w:tcW w:w="217" w:type="dxa"/>
          </w:tcPr>
          <w:p w14:paraId="6D313026" w14:textId="77777777" w:rsidR="002C0FD9" w:rsidRPr="00CA25CF" w:rsidRDefault="002C0FD9" w:rsidP="00CA25CF">
            <w:pPr>
              <w:rPr>
                <w:rFonts w:cs="Arial"/>
                <w:color w:val="FF0000"/>
                <w:sz w:val="21"/>
                <w:szCs w:val="21"/>
              </w:rPr>
            </w:pPr>
          </w:p>
        </w:tc>
        <w:tc>
          <w:tcPr>
            <w:tcW w:w="217" w:type="dxa"/>
          </w:tcPr>
          <w:p w14:paraId="13112575" w14:textId="77777777" w:rsidR="002C0FD9" w:rsidRPr="00CA25CF" w:rsidRDefault="002C0FD9" w:rsidP="00CA25CF">
            <w:pPr>
              <w:rPr>
                <w:rFonts w:cs="Arial"/>
                <w:color w:val="FF0000"/>
                <w:sz w:val="21"/>
                <w:szCs w:val="21"/>
              </w:rPr>
            </w:pPr>
          </w:p>
        </w:tc>
        <w:tc>
          <w:tcPr>
            <w:tcW w:w="217" w:type="dxa"/>
          </w:tcPr>
          <w:p w14:paraId="13D6B287" w14:textId="77777777" w:rsidR="002C0FD9" w:rsidRPr="00CA25CF" w:rsidRDefault="002C0FD9" w:rsidP="00CA25CF">
            <w:pPr>
              <w:rPr>
                <w:rFonts w:cs="Arial"/>
                <w:color w:val="FF0000"/>
                <w:sz w:val="21"/>
                <w:szCs w:val="21"/>
              </w:rPr>
            </w:pPr>
          </w:p>
        </w:tc>
        <w:tc>
          <w:tcPr>
            <w:tcW w:w="217" w:type="dxa"/>
          </w:tcPr>
          <w:p w14:paraId="2E8BA149" w14:textId="77777777" w:rsidR="002C0FD9" w:rsidRPr="00CA25CF" w:rsidRDefault="002C0FD9" w:rsidP="00CA25CF">
            <w:pPr>
              <w:rPr>
                <w:rFonts w:cs="Arial"/>
                <w:color w:val="FF0000"/>
                <w:sz w:val="21"/>
                <w:szCs w:val="21"/>
              </w:rPr>
            </w:pPr>
          </w:p>
        </w:tc>
        <w:tc>
          <w:tcPr>
            <w:tcW w:w="217" w:type="dxa"/>
          </w:tcPr>
          <w:p w14:paraId="3DB748DC" w14:textId="77777777" w:rsidR="002C0FD9" w:rsidRPr="00CA25CF" w:rsidRDefault="002C0FD9" w:rsidP="00CA25CF">
            <w:pPr>
              <w:rPr>
                <w:rFonts w:cs="Arial"/>
                <w:color w:val="FF0000"/>
                <w:sz w:val="21"/>
                <w:szCs w:val="21"/>
              </w:rPr>
            </w:pPr>
          </w:p>
        </w:tc>
        <w:tc>
          <w:tcPr>
            <w:tcW w:w="217" w:type="dxa"/>
          </w:tcPr>
          <w:p w14:paraId="3B72E382" w14:textId="77777777" w:rsidR="002C0FD9" w:rsidRPr="00CA25CF" w:rsidRDefault="002C0FD9" w:rsidP="00CA25CF">
            <w:pPr>
              <w:rPr>
                <w:rFonts w:cs="Arial"/>
                <w:color w:val="FF0000"/>
                <w:sz w:val="21"/>
                <w:szCs w:val="21"/>
              </w:rPr>
            </w:pPr>
          </w:p>
        </w:tc>
        <w:tc>
          <w:tcPr>
            <w:tcW w:w="217" w:type="dxa"/>
          </w:tcPr>
          <w:p w14:paraId="418EC5EC" w14:textId="77777777" w:rsidR="002C0FD9" w:rsidRPr="00CA25CF" w:rsidRDefault="002C0FD9" w:rsidP="00CA25CF">
            <w:pPr>
              <w:rPr>
                <w:rFonts w:cs="Arial"/>
                <w:color w:val="FF0000"/>
                <w:sz w:val="21"/>
                <w:szCs w:val="21"/>
              </w:rPr>
            </w:pPr>
          </w:p>
        </w:tc>
        <w:tc>
          <w:tcPr>
            <w:tcW w:w="217" w:type="dxa"/>
          </w:tcPr>
          <w:p w14:paraId="1D4BC474" w14:textId="77777777" w:rsidR="002C0FD9" w:rsidRPr="00CA25CF" w:rsidRDefault="002C0FD9" w:rsidP="00CA25CF">
            <w:pPr>
              <w:rPr>
                <w:rFonts w:cs="Arial"/>
                <w:color w:val="FF0000"/>
                <w:sz w:val="21"/>
                <w:szCs w:val="21"/>
              </w:rPr>
            </w:pPr>
          </w:p>
        </w:tc>
        <w:tc>
          <w:tcPr>
            <w:tcW w:w="217" w:type="dxa"/>
          </w:tcPr>
          <w:p w14:paraId="7EBC682F" w14:textId="77777777" w:rsidR="002C0FD9" w:rsidRPr="00CA25CF" w:rsidRDefault="002C0FD9" w:rsidP="00CA25CF">
            <w:pPr>
              <w:rPr>
                <w:rFonts w:cs="Arial"/>
                <w:color w:val="FF0000"/>
                <w:sz w:val="21"/>
                <w:szCs w:val="21"/>
              </w:rPr>
            </w:pPr>
          </w:p>
        </w:tc>
        <w:tc>
          <w:tcPr>
            <w:tcW w:w="217" w:type="dxa"/>
          </w:tcPr>
          <w:p w14:paraId="1CF5CF4F" w14:textId="77777777" w:rsidR="002C0FD9" w:rsidRPr="00CA25CF" w:rsidRDefault="002C0FD9" w:rsidP="00CA25CF">
            <w:pPr>
              <w:rPr>
                <w:rFonts w:cs="Arial"/>
                <w:color w:val="FF0000"/>
                <w:sz w:val="21"/>
                <w:szCs w:val="21"/>
              </w:rPr>
            </w:pPr>
          </w:p>
        </w:tc>
        <w:tc>
          <w:tcPr>
            <w:tcW w:w="217" w:type="dxa"/>
          </w:tcPr>
          <w:p w14:paraId="1D1EC352" w14:textId="77777777" w:rsidR="002C0FD9" w:rsidRPr="00CA25CF" w:rsidRDefault="002C0FD9" w:rsidP="00CA25CF">
            <w:pPr>
              <w:rPr>
                <w:rFonts w:cs="Arial"/>
                <w:color w:val="FF0000"/>
                <w:sz w:val="21"/>
                <w:szCs w:val="21"/>
              </w:rPr>
            </w:pPr>
          </w:p>
        </w:tc>
        <w:tc>
          <w:tcPr>
            <w:tcW w:w="217" w:type="dxa"/>
          </w:tcPr>
          <w:p w14:paraId="4037EE6A" w14:textId="77777777" w:rsidR="002C0FD9" w:rsidRPr="00CA25CF" w:rsidRDefault="002C0FD9" w:rsidP="00CA25CF">
            <w:pPr>
              <w:rPr>
                <w:rFonts w:cs="Arial"/>
                <w:color w:val="FF0000"/>
                <w:sz w:val="21"/>
                <w:szCs w:val="21"/>
              </w:rPr>
            </w:pPr>
          </w:p>
        </w:tc>
        <w:tc>
          <w:tcPr>
            <w:tcW w:w="217" w:type="dxa"/>
          </w:tcPr>
          <w:p w14:paraId="3CC2393E" w14:textId="77777777" w:rsidR="002C0FD9" w:rsidRPr="00CA25CF" w:rsidRDefault="002C0FD9" w:rsidP="00CA25CF">
            <w:pPr>
              <w:rPr>
                <w:rFonts w:cs="Arial"/>
                <w:color w:val="FF0000"/>
                <w:sz w:val="21"/>
                <w:szCs w:val="21"/>
              </w:rPr>
            </w:pPr>
          </w:p>
        </w:tc>
        <w:tc>
          <w:tcPr>
            <w:tcW w:w="217" w:type="dxa"/>
          </w:tcPr>
          <w:p w14:paraId="021AC61C" w14:textId="77777777" w:rsidR="002C0FD9" w:rsidRPr="00CA25CF" w:rsidRDefault="002C0FD9" w:rsidP="00CA25CF">
            <w:pPr>
              <w:rPr>
                <w:rFonts w:cs="Arial"/>
                <w:color w:val="FF0000"/>
                <w:sz w:val="21"/>
                <w:szCs w:val="21"/>
              </w:rPr>
            </w:pPr>
          </w:p>
        </w:tc>
        <w:tc>
          <w:tcPr>
            <w:tcW w:w="217" w:type="dxa"/>
          </w:tcPr>
          <w:p w14:paraId="582ED7B1" w14:textId="77777777" w:rsidR="002C0FD9" w:rsidRPr="00CA25CF" w:rsidRDefault="002C0FD9" w:rsidP="00CA25CF">
            <w:pPr>
              <w:rPr>
                <w:rFonts w:cs="Arial"/>
                <w:color w:val="FF0000"/>
                <w:sz w:val="21"/>
                <w:szCs w:val="21"/>
              </w:rPr>
            </w:pPr>
          </w:p>
        </w:tc>
        <w:tc>
          <w:tcPr>
            <w:tcW w:w="217" w:type="dxa"/>
          </w:tcPr>
          <w:p w14:paraId="181591FF" w14:textId="77777777" w:rsidR="002C0FD9" w:rsidRPr="00CA25CF" w:rsidRDefault="002C0FD9" w:rsidP="00CA25CF">
            <w:pPr>
              <w:rPr>
                <w:rFonts w:cs="Arial"/>
                <w:color w:val="FF0000"/>
                <w:sz w:val="21"/>
                <w:szCs w:val="21"/>
              </w:rPr>
            </w:pPr>
          </w:p>
        </w:tc>
        <w:tc>
          <w:tcPr>
            <w:tcW w:w="217" w:type="dxa"/>
          </w:tcPr>
          <w:p w14:paraId="0E8EB550" w14:textId="77777777" w:rsidR="002C0FD9" w:rsidRPr="00CA25CF" w:rsidRDefault="002C0FD9" w:rsidP="00CA25CF">
            <w:pPr>
              <w:rPr>
                <w:rFonts w:cs="Arial"/>
                <w:color w:val="FF0000"/>
                <w:sz w:val="21"/>
                <w:szCs w:val="21"/>
              </w:rPr>
            </w:pPr>
          </w:p>
        </w:tc>
        <w:tc>
          <w:tcPr>
            <w:tcW w:w="217" w:type="dxa"/>
          </w:tcPr>
          <w:p w14:paraId="13CE7117" w14:textId="77777777" w:rsidR="002C0FD9" w:rsidRPr="00CA25CF" w:rsidRDefault="002C0FD9" w:rsidP="00CA25CF">
            <w:pPr>
              <w:rPr>
                <w:rFonts w:cs="Arial"/>
                <w:color w:val="FF0000"/>
                <w:sz w:val="21"/>
                <w:szCs w:val="21"/>
              </w:rPr>
            </w:pPr>
          </w:p>
        </w:tc>
        <w:tc>
          <w:tcPr>
            <w:tcW w:w="217" w:type="dxa"/>
          </w:tcPr>
          <w:p w14:paraId="71D54D94" w14:textId="77777777" w:rsidR="002C0FD9" w:rsidRPr="00CA25CF" w:rsidRDefault="002C0FD9" w:rsidP="00CA25CF">
            <w:pPr>
              <w:rPr>
                <w:rFonts w:cs="Arial"/>
                <w:color w:val="FF0000"/>
                <w:sz w:val="21"/>
                <w:szCs w:val="21"/>
              </w:rPr>
            </w:pPr>
          </w:p>
        </w:tc>
        <w:tc>
          <w:tcPr>
            <w:tcW w:w="217" w:type="dxa"/>
          </w:tcPr>
          <w:p w14:paraId="1F0E18E2" w14:textId="77777777" w:rsidR="002C0FD9" w:rsidRPr="00CA25CF" w:rsidRDefault="002C0FD9" w:rsidP="00CA25CF">
            <w:pPr>
              <w:rPr>
                <w:rFonts w:cs="Arial"/>
                <w:color w:val="FF0000"/>
                <w:sz w:val="21"/>
                <w:szCs w:val="21"/>
              </w:rPr>
            </w:pPr>
          </w:p>
        </w:tc>
        <w:tc>
          <w:tcPr>
            <w:tcW w:w="217" w:type="dxa"/>
          </w:tcPr>
          <w:p w14:paraId="7ADD6227" w14:textId="77777777" w:rsidR="002C0FD9" w:rsidRPr="00CA25CF" w:rsidRDefault="002C0FD9" w:rsidP="00CA25CF">
            <w:pPr>
              <w:rPr>
                <w:rFonts w:cs="Arial"/>
                <w:color w:val="FF0000"/>
                <w:sz w:val="21"/>
                <w:szCs w:val="21"/>
              </w:rPr>
            </w:pPr>
          </w:p>
        </w:tc>
        <w:tc>
          <w:tcPr>
            <w:tcW w:w="217" w:type="dxa"/>
          </w:tcPr>
          <w:p w14:paraId="1A0B5A05" w14:textId="77777777" w:rsidR="002C0FD9" w:rsidRPr="00CA25CF" w:rsidRDefault="002C0FD9" w:rsidP="00CA25CF">
            <w:pPr>
              <w:rPr>
                <w:rFonts w:cs="Arial"/>
                <w:color w:val="FF0000"/>
                <w:sz w:val="21"/>
                <w:szCs w:val="21"/>
              </w:rPr>
            </w:pPr>
          </w:p>
        </w:tc>
        <w:tc>
          <w:tcPr>
            <w:tcW w:w="217" w:type="dxa"/>
          </w:tcPr>
          <w:p w14:paraId="40894237" w14:textId="77777777" w:rsidR="002C0FD9" w:rsidRPr="00CA25CF" w:rsidRDefault="002C0FD9" w:rsidP="00CA25CF">
            <w:pPr>
              <w:rPr>
                <w:rFonts w:cs="Arial"/>
                <w:color w:val="FF0000"/>
                <w:sz w:val="21"/>
                <w:szCs w:val="21"/>
              </w:rPr>
            </w:pPr>
          </w:p>
        </w:tc>
        <w:tc>
          <w:tcPr>
            <w:tcW w:w="217" w:type="dxa"/>
          </w:tcPr>
          <w:p w14:paraId="6CBE0DFF" w14:textId="77777777" w:rsidR="002C0FD9" w:rsidRPr="00CA25CF" w:rsidRDefault="002C0FD9" w:rsidP="00CA25CF">
            <w:pPr>
              <w:rPr>
                <w:rFonts w:cs="Arial"/>
                <w:color w:val="FF0000"/>
                <w:sz w:val="21"/>
                <w:szCs w:val="21"/>
              </w:rPr>
            </w:pPr>
          </w:p>
        </w:tc>
        <w:tc>
          <w:tcPr>
            <w:tcW w:w="217" w:type="dxa"/>
          </w:tcPr>
          <w:p w14:paraId="522BDD8E" w14:textId="77777777" w:rsidR="002C0FD9" w:rsidRPr="00CA25CF" w:rsidRDefault="002C0FD9" w:rsidP="00CA25CF">
            <w:pPr>
              <w:rPr>
                <w:rFonts w:cs="Arial"/>
                <w:color w:val="FF0000"/>
                <w:sz w:val="21"/>
                <w:szCs w:val="21"/>
              </w:rPr>
            </w:pPr>
          </w:p>
        </w:tc>
        <w:tc>
          <w:tcPr>
            <w:tcW w:w="217" w:type="dxa"/>
          </w:tcPr>
          <w:p w14:paraId="77DF7C68" w14:textId="77777777" w:rsidR="002C0FD9" w:rsidRPr="00CA25CF" w:rsidRDefault="002C0FD9" w:rsidP="00CA25CF">
            <w:pPr>
              <w:rPr>
                <w:rFonts w:cs="Arial"/>
                <w:color w:val="FF0000"/>
                <w:sz w:val="21"/>
                <w:szCs w:val="21"/>
              </w:rPr>
            </w:pPr>
          </w:p>
        </w:tc>
        <w:tc>
          <w:tcPr>
            <w:tcW w:w="217" w:type="dxa"/>
          </w:tcPr>
          <w:p w14:paraId="53B48A3B" w14:textId="77777777" w:rsidR="002C0FD9" w:rsidRPr="00CA25CF" w:rsidRDefault="002C0FD9" w:rsidP="00CA25CF">
            <w:pPr>
              <w:rPr>
                <w:rFonts w:cs="Arial"/>
                <w:color w:val="FF0000"/>
                <w:sz w:val="21"/>
                <w:szCs w:val="21"/>
              </w:rPr>
            </w:pPr>
          </w:p>
        </w:tc>
        <w:tc>
          <w:tcPr>
            <w:tcW w:w="217" w:type="dxa"/>
          </w:tcPr>
          <w:p w14:paraId="5027DB37" w14:textId="77777777" w:rsidR="002C0FD9" w:rsidRPr="00CA25CF" w:rsidRDefault="002C0FD9" w:rsidP="00CA25CF">
            <w:pPr>
              <w:rPr>
                <w:rFonts w:cs="Arial"/>
                <w:color w:val="FF0000"/>
                <w:sz w:val="21"/>
                <w:szCs w:val="21"/>
              </w:rPr>
            </w:pPr>
          </w:p>
        </w:tc>
      </w:tr>
      <w:tr w:rsidR="002C0FD9" w:rsidRPr="00A16219" w14:paraId="3BFF583D" w14:textId="77777777" w:rsidTr="002C0FD9">
        <w:trPr>
          <w:trHeight w:val="635"/>
        </w:trPr>
        <w:tc>
          <w:tcPr>
            <w:tcW w:w="515" w:type="dxa"/>
          </w:tcPr>
          <w:p w14:paraId="5475F53E" w14:textId="77777777" w:rsidR="002C0FD9" w:rsidRPr="00CA25CF" w:rsidRDefault="002C0FD9" w:rsidP="00CA25CF">
            <w:pPr>
              <w:rPr>
                <w:rFonts w:cs="Arial"/>
                <w:color w:val="FF0000"/>
                <w:sz w:val="21"/>
                <w:szCs w:val="21"/>
              </w:rPr>
            </w:pPr>
          </w:p>
        </w:tc>
        <w:tc>
          <w:tcPr>
            <w:tcW w:w="217" w:type="dxa"/>
          </w:tcPr>
          <w:p w14:paraId="4C4E4176" w14:textId="77777777" w:rsidR="002C0FD9" w:rsidRPr="00CA25CF" w:rsidRDefault="002C0FD9" w:rsidP="00CA25CF">
            <w:pPr>
              <w:rPr>
                <w:rFonts w:cs="Arial"/>
                <w:color w:val="FF0000"/>
                <w:sz w:val="21"/>
                <w:szCs w:val="21"/>
              </w:rPr>
            </w:pPr>
          </w:p>
        </w:tc>
        <w:tc>
          <w:tcPr>
            <w:tcW w:w="217" w:type="dxa"/>
          </w:tcPr>
          <w:p w14:paraId="713221F5" w14:textId="77777777" w:rsidR="002C0FD9" w:rsidRPr="00CA25CF" w:rsidRDefault="002C0FD9" w:rsidP="00CA25CF">
            <w:pPr>
              <w:rPr>
                <w:rFonts w:cs="Arial"/>
                <w:color w:val="FF0000"/>
                <w:sz w:val="21"/>
                <w:szCs w:val="21"/>
              </w:rPr>
            </w:pPr>
          </w:p>
        </w:tc>
        <w:tc>
          <w:tcPr>
            <w:tcW w:w="217" w:type="dxa"/>
          </w:tcPr>
          <w:p w14:paraId="2B4DA8E5" w14:textId="77777777" w:rsidR="002C0FD9" w:rsidRPr="00CA25CF" w:rsidRDefault="002C0FD9" w:rsidP="00CA25CF">
            <w:pPr>
              <w:rPr>
                <w:rFonts w:cs="Arial"/>
                <w:color w:val="FF0000"/>
                <w:sz w:val="21"/>
                <w:szCs w:val="21"/>
              </w:rPr>
            </w:pPr>
          </w:p>
        </w:tc>
        <w:tc>
          <w:tcPr>
            <w:tcW w:w="217" w:type="dxa"/>
          </w:tcPr>
          <w:p w14:paraId="5D551A74" w14:textId="77777777" w:rsidR="002C0FD9" w:rsidRPr="00CA25CF" w:rsidRDefault="002C0FD9" w:rsidP="00CA25CF">
            <w:pPr>
              <w:rPr>
                <w:rFonts w:cs="Arial"/>
                <w:color w:val="FF0000"/>
                <w:sz w:val="21"/>
                <w:szCs w:val="21"/>
              </w:rPr>
            </w:pPr>
          </w:p>
        </w:tc>
        <w:tc>
          <w:tcPr>
            <w:tcW w:w="217" w:type="dxa"/>
          </w:tcPr>
          <w:p w14:paraId="24E4B600" w14:textId="77777777" w:rsidR="002C0FD9" w:rsidRPr="00CA25CF" w:rsidRDefault="002C0FD9" w:rsidP="00CA25CF">
            <w:pPr>
              <w:rPr>
                <w:rFonts w:cs="Arial"/>
                <w:color w:val="FF0000"/>
                <w:sz w:val="21"/>
                <w:szCs w:val="21"/>
              </w:rPr>
            </w:pPr>
          </w:p>
        </w:tc>
        <w:tc>
          <w:tcPr>
            <w:tcW w:w="217" w:type="dxa"/>
          </w:tcPr>
          <w:p w14:paraId="7526DA04" w14:textId="77777777" w:rsidR="002C0FD9" w:rsidRPr="00CA25CF" w:rsidRDefault="002C0FD9" w:rsidP="00CA25CF">
            <w:pPr>
              <w:rPr>
                <w:rFonts w:cs="Arial"/>
                <w:color w:val="FF0000"/>
                <w:sz w:val="21"/>
                <w:szCs w:val="21"/>
              </w:rPr>
            </w:pPr>
          </w:p>
        </w:tc>
        <w:tc>
          <w:tcPr>
            <w:tcW w:w="217" w:type="dxa"/>
          </w:tcPr>
          <w:p w14:paraId="6E86B83F" w14:textId="77777777" w:rsidR="002C0FD9" w:rsidRPr="00CA25CF" w:rsidRDefault="002C0FD9" w:rsidP="00CA25CF">
            <w:pPr>
              <w:rPr>
                <w:rFonts w:cs="Arial"/>
                <w:color w:val="FF0000"/>
                <w:sz w:val="21"/>
                <w:szCs w:val="21"/>
              </w:rPr>
            </w:pPr>
          </w:p>
        </w:tc>
        <w:tc>
          <w:tcPr>
            <w:tcW w:w="217" w:type="dxa"/>
          </w:tcPr>
          <w:p w14:paraId="41573F33" w14:textId="77777777" w:rsidR="002C0FD9" w:rsidRPr="00CA25CF" w:rsidRDefault="002C0FD9" w:rsidP="00CA25CF">
            <w:pPr>
              <w:rPr>
                <w:rFonts w:cs="Arial"/>
                <w:color w:val="FF0000"/>
                <w:sz w:val="21"/>
                <w:szCs w:val="21"/>
              </w:rPr>
            </w:pPr>
          </w:p>
        </w:tc>
        <w:tc>
          <w:tcPr>
            <w:tcW w:w="217" w:type="dxa"/>
          </w:tcPr>
          <w:p w14:paraId="4B205A2C" w14:textId="77777777" w:rsidR="002C0FD9" w:rsidRPr="00CA25CF" w:rsidRDefault="002C0FD9" w:rsidP="00CA25CF">
            <w:pPr>
              <w:rPr>
                <w:rFonts w:cs="Arial"/>
                <w:color w:val="FF0000"/>
                <w:sz w:val="21"/>
                <w:szCs w:val="21"/>
              </w:rPr>
            </w:pPr>
          </w:p>
        </w:tc>
        <w:tc>
          <w:tcPr>
            <w:tcW w:w="217" w:type="dxa"/>
          </w:tcPr>
          <w:p w14:paraId="3330313D" w14:textId="77777777" w:rsidR="002C0FD9" w:rsidRPr="00CA25CF" w:rsidRDefault="002C0FD9" w:rsidP="00CA25CF">
            <w:pPr>
              <w:rPr>
                <w:rFonts w:cs="Arial"/>
                <w:color w:val="FF0000"/>
                <w:sz w:val="21"/>
                <w:szCs w:val="21"/>
              </w:rPr>
            </w:pPr>
          </w:p>
        </w:tc>
        <w:tc>
          <w:tcPr>
            <w:tcW w:w="217" w:type="dxa"/>
          </w:tcPr>
          <w:p w14:paraId="5ADDB02C" w14:textId="77777777" w:rsidR="002C0FD9" w:rsidRPr="00CA25CF" w:rsidRDefault="002C0FD9" w:rsidP="00CA25CF">
            <w:pPr>
              <w:rPr>
                <w:rFonts w:cs="Arial"/>
                <w:color w:val="FF0000"/>
                <w:sz w:val="21"/>
                <w:szCs w:val="21"/>
              </w:rPr>
            </w:pPr>
          </w:p>
        </w:tc>
        <w:tc>
          <w:tcPr>
            <w:tcW w:w="217" w:type="dxa"/>
          </w:tcPr>
          <w:p w14:paraId="05BC7EF9" w14:textId="77777777" w:rsidR="002C0FD9" w:rsidRPr="00CA25CF" w:rsidRDefault="002C0FD9" w:rsidP="00CA25CF">
            <w:pPr>
              <w:rPr>
                <w:rFonts w:cs="Arial"/>
                <w:color w:val="FF0000"/>
                <w:sz w:val="21"/>
                <w:szCs w:val="21"/>
              </w:rPr>
            </w:pPr>
          </w:p>
        </w:tc>
        <w:tc>
          <w:tcPr>
            <w:tcW w:w="217" w:type="dxa"/>
          </w:tcPr>
          <w:p w14:paraId="2B5FDB05" w14:textId="77777777" w:rsidR="002C0FD9" w:rsidRPr="00CA25CF" w:rsidRDefault="002C0FD9" w:rsidP="00CA25CF">
            <w:pPr>
              <w:rPr>
                <w:rFonts w:cs="Arial"/>
                <w:color w:val="FF0000"/>
                <w:sz w:val="21"/>
                <w:szCs w:val="21"/>
              </w:rPr>
            </w:pPr>
          </w:p>
        </w:tc>
        <w:tc>
          <w:tcPr>
            <w:tcW w:w="217" w:type="dxa"/>
          </w:tcPr>
          <w:p w14:paraId="17620A03" w14:textId="77777777" w:rsidR="002C0FD9" w:rsidRPr="00CA25CF" w:rsidRDefault="002C0FD9" w:rsidP="00CA25CF">
            <w:pPr>
              <w:rPr>
                <w:rFonts w:cs="Arial"/>
                <w:color w:val="FF0000"/>
                <w:sz w:val="21"/>
                <w:szCs w:val="21"/>
              </w:rPr>
            </w:pPr>
          </w:p>
        </w:tc>
        <w:tc>
          <w:tcPr>
            <w:tcW w:w="217" w:type="dxa"/>
          </w:tcPr>
          <w:p w14:paraId="2726DB99" w14:textId="77777777" w:rsidR="002C0FD9" w:rsidRPr="00CA25CF" w:rsidRDefault="002C0FD9" w:rsidP="00CA25CF">
            <w:pPr>
              <w:rPr>
                <w:rFonts w:cs="Arial"/>
                <w:color w:val="FF0000"/>
                <w:sz w:val="21"/>
                <w:szCs w:val="21"/>
              </w:rPr>
            </w:pPr>
          </w:p>
        </w:tc>
        <w:tc>
          <w:tcPr>
            <w:tcW w:w="217" w:type="dxa"/>
          </w:tcPr>
          <w:p w14:paraId="18C35380" w14:textId="77777777" w:rsidR="002C0FD9" w:rsidRPr="00CA25CF" w:rsidRDefault="002C0FD9" w:rsidP="00CA25CF">
            <w:pPr>
              <w:rPr>
                <w:rFonts w:cs="Arial"/>
                <w:color w:val="FF0000"/>
                <w:sz w:val="21"/>
                <w:szCs w:val="21"/>
              </w:rPr>
            </w:pPr>
          </w:p>
        </w:tc>
        <w:tc>
          <w:tcPr>
            <w:tcW w:w="217" w:type="dxa"/>
          </w:tcPr>
          <w:p w14:paraId="186723F4" w14:textId="77777777" w:rsidR="002C0FD9" w:rsidRPr="00CA25CF" w:rsidRDefault="002C0FD9" w:rsidP="00CA25CF">
            <w:pPr>
              <w:rPr>
                <w:rFonts w:cs="Arial"/>
                <w:color w:val="FF0000"/>
                <w:sz w:val="21"/>
                <w:szCs w:val="21"/>
              </w:rPr>
            </w:pPr>
          </w:p>
        </w:tc>
        <w:tc>
          <w:tcPr>
            <w:tcW w:w="217" w:type="dxa"/>
          </w:tcPr>
          <w:p w14:paraId="47DB01EF" w14:textId="77777777" w:rsidR="002C0FD9" w:rsidRPr="00CA25CF" w:rsidRDefault="002C0FD9" w:rsidP="00CA25CF">
            <w:pPr>
              <w:rPr>
                <w:rFonts w:cs="Arial"/>
                <w:color w:val="FF0000"/>
                <w:sz w:val="21"/>
                <w:szCs w:val="21"/>
              </w:rPr>
            </w:pPr>
          </w:p>
        </w:tc>
        <w:tc>
          <w:tcPr>
            <w:tcW w:w="217" w:type="dxa"/>
          </w:tcPr>
          <w:p w14:paraId="37E613CD" w14:textId="77777777" w:rsidR="002C0FD9" w:rsidRPr="00CA25CF" w:rsidRDefault="002C0FD9" w:rsidP="00CA25CF">
            <w:pPr>
              <w:rPr>
                <w:rFonts w:cs="Arial"/>
                <w:color w:val="FF0000"/>
                <w:sz w:val="21"/>
                <w:szCs w:val="21"/>
              </w:rPr>
            </w:pPr>
          </w:p>
        </w:tc>
        <w:tc>
          <w:tcPr>
            <w:tcW w:w="217" w:type="dxa"/>
          </w:tcPr>
          <w:p w14:paraId="1092817B" w14:textId="77777777" w:rsidR="002C0FD9" w:rsidRPr="00CA25CF" w:rsidRDefault="002C0FD9" w:rsidP="00CA25CF">
            <w:pPr>
              <w:rPr>
                <w:rFonts w:cs="Arial"/>
                <w:color w:val="FF0000"/>
                <w:sz w:val="21"/>
                <w:szCs w:val="21"/>
              </w:rPr>
            </w:pPr>
          </w:p>
        </w:tc>
        <w:tc>
          <w:tcPr>
            <w:tcW w:w="217" w:type="dxa"/>
          </w:tcPr>
          <w:p w14:paraId="5F7E15A3" w14:textId="77777777" w:rsidR="002C0FD9" w:rsidRPr="00CA25CF" w:rsidRDefault="002C0FD9" w:rsidP="00CA25CF">
            <w:pPr>
              <w:rPr>
                <w:rFonts w:cs="Arial"/>
                <w:color w:val="FF0000"/>
                <w:sz w:val="21"/>
                <w:szCs w:val="21"/>
              </w:rPr>
            </w:pPr>
          </w:p>
        </w:tc>
        <w:tc>
          <w:tcPr>
            <w:tcW w:w="217" w:type="dxa"/>
          </w:tcPr>
          <w:p w14:paraId="0310F2C6" w14:textId="77777777" w:rsidR="002C0FD9" w:rsidRPr="00CA25CF" w:rsidRDefault="002C0FD9" w:rsidP="00CA25CF">
            <w:pPr>
              <w:rPr>
                <w:rFonts w:cs="Arial"/>
                <w:color w:val="FF0000"/>
                <w:sz w:val="21"/>
                <w:szCs w:val="21"/>
              </w:rPr>
            </w:pPr>
          </w:p>
        </w:tc>
        <w:tc>
          <w:tcPr>
            <w:tcW w:w="217" w:type="dxa"/>
          </w:tcPr>
          <w:p w14:paraId="3C3E4044" w14:textId="77777777" w:rsidR="002C0FD9" w:rsidRPr="00CA25CF" w:rsidRDefault="002C0FD9" w:rsidP="00CA25CF">
            <w:pPr>
              <w:rPr>
                <w:rFonts w:cs="Arial"/>
                <w:color w:val="FF0000"/>
                <w:sz w:val="21"/>
                <w:szCs w:val="21"/>
              </w:rPr>
            </w:pPr>
          </w:p>
        </w:tc>
        <w:tc>
          <w:tcPr>
            <w:tcW w:w="217" w:type="dxa"/>
          </w:tcPr>
          <w:p w14:paraId="3B343C3C" w14:textId="77777777" w:rsidR="002C0FD9" w:rsidRPr="00CA25CF" w:rsidRDefault="002C0FD9" w:rsidP="00CA25CF">
            <w:pPr>
              <w:rPr>
                <w:rFonts w:cs="Arial"/>
                <w:color w:val="FF0000"/>
                <w:sz w:val="21"/>
                <w:szCs w:val="21"/>
              </w:rPr>
            </w:pPr>
          </w:p>
        </w:tc>
        <w:tc>
          <w:tcPr>
            <w:tcW w:w="217" w:type="dxa"/>
          </w:tcPr>
          <w:p w14:paraId="5DF797DF" w14:textId="77777777" w:rsidR="002C0FD9" w:rsidRPr="00CA25CF" w:rsidRDefault="002C0FD9" w:rsidP="00CA25CF">
            <w:pPr>
              <w:rPr>
                <w:rFonts w:cs="Arial"/>
                <w:color w:val="FF0000"/>
                <w:sz w:val="21"/>
                <w:szCs w:val="21"/>
              </w:rPr>
            </w:pPr>
          </w:p>
        </w:tc>
        <w:tc>
          <w:tcPr>
            <w:tcW w:w="217" w:type="dxa"/>
          </w:tcPr>
          <w:p w14:paraId="7E8A2A30" w14:textId="77777777" w:rsidR="002C0FD9" w:rsidRPr="00CA25CF" w:rsidRDefault="002C0FD9" w:rsidP="00CA25CF">
            <w:pPr>
              <w:rPr>
                <w:rFonts w:cs="Arial"/>
                <w:color w:val="FF0000"/>
                <w:sz w:val="21"/>
                <w:szCs w:val="21"/>
              </w:rPr>
            </w:pPr>
          </w:p>
        </w:tc>
        <w:tc>
          <w:tcPr>
            <w:tcW w:w="217" w:type="dxa"/>
          </w:tcPr>
          <w:p w14:paraId="15816E06" w14:textId="77777777" w:rsidR="002C0FD9" w:rsidRPr="00CA25CF" w:rsidRDefault="002C0FD9" w:rsidP="00CA25CF">
            <w:pPr>
              <w:rPr>
                <w:rFonts w:cs="Arial"/>
                <w:color w:val="FF0000"/>
                <w:sz w:val="21"/>
                <w:szCs w:val="21"/>
              </w:rPr>
            </w:pPr>
          </w:p>
        </w:tc>
        <w:tc>
          <w:tcPr>
            <w:tcW w:w="217" w:type="dxa"/>
          </w:tcPr>
          <w:p w14:paraId="216695F4" w14:textId="77777777" w:rsidR="002C0FD9" w:rsidRPr="00CA25CF" w:rsidRDefault="002C0FD9" w:rsidP="00CA25CF">
            <w:pPr>
              <w:rPr>
                <w:rFonts w:cs="Arial"/>
                <w:color w:val="FF0000"/>
                <w:sz w:val="21"/>
                <w:szCs w:val="21"/>
              </w:rPr>
            </w:pPr>
          </w:p>
        </w:tc>
        <w:tc>
          <w:tcPr>
            <w:tcW w:w="217" w:type="dxa"/>
          </w:tcPr>
          <w:p w14:paraId="779366D6" w14:textId="77777777" w:rsidR="002C0FD9" w:rsidRPr="00CA25CF" w:rsidRDefault="002C0FD9" w:rsidP="00CA25CF">
            <w:pPr>
              <w:rPr>
                <w:rFonts w:cs="Arial"/>
                <w:color w:val="FF0000"/>
                <w:sz w:val="21"/>
                <w:szCs w:val="21"/>
              </w:rPr>
            </w:pPr>
          </w:p>
        </w:tc>
        <w:tc>
          <w:tcPr>
            <w:tcW w:w="217" w:type="dxa"/>
          </w:tcPr>
          <w:p w14:paraId="6CDD1E98" w14:textId="77777777" w:rsidR="002C0FD9" w:rsidRPr="00CA25CF" w:rsidRDefault="002C0FD9" w:rsidP="00CA25CF">
            <w:pPr>
              <w:rPr>
                <w:rFonts w:cs="Arial"/>
                <w:color w:val="FF0000"/>
                <w:sz w:val="21"/>
                <w:szCs w:val="21"/>
              </w:rPr>
            </w:pPr>
          </w:p>
        </w:tc>
        <w:tc>
          <w:tcPr>
            <w:tcW w:w="217" w:type="dxa"/>
          </w:tcPr>
          <w:p w14:paraId="79EB9AFC" w14:textId="77777777" w:rsidR="002C0FD9" w:rsidRPr="00CA25CF" w:rsidRDefault="002C0FD9" w:rsidP="00CA25CF">
            <w:pPr>
              <w:rPr>
                <w:rFonts w:cs="Arial"/>
                <w:color w:val="FF0000"/>
                <w:sz w:val="21"/>
                <w:szCs w:val="21"/>
              </w:rPr>
            </w:pPr>
          </w:p>
        </w:tc>
        <w:tc>
          <w:tcPr>
            <w:tcW w:w="217" w:type="dxa"/>
          </w:tcPr>
          <w:p w14:paraId="5EA5B9CB" w14:textId="77777777" w:rsidR="002C0FD9" w:rsidRPr="00CA25CF" w:rsidRDefault="002C0FD9" w:rsidP="00CA25CF">
            <w:pPr>
              <w:rPr>
                <w:rFonts w:cs="Arial"/>
                <w:color w:val="FF0000"/>
                <w:sz w:val="21"/>
                <w:szCs w:val="21"/>
              </w:rPr>
            </w:pPr>
          </w:p>
        </w:tc>
        <w:tc>
          <w:tcPr>
            <w:tcW w:w="217" w:type="dxa"/>
          </w:tcPr>
          <w:p w14:paraId="16D59184" w14:textId="77777777" w:rsidR="002C0FD9" w:rsidRPr="00CA25CF" w:rsidRDefault="002C0FD9" w:rsidP="00CA25CF">
            <w:pPr>
              <w:rPr>
                <w:rFonts w:cs="Arial"/>
                <w:color w:val="FF0000"/>
                <w:sz w:val="21"/>
                <w:szCs w:val="21"/>
              </w:rPr>
            </w:pPr>
          </w:p>
        </w:tc>
        <w:tc>
          <w:tcPr>
            <w:tcW w:w="217" w:type="dxa"/>
          </w:tcPr>
          <w:p w14:paraId="1A3C3698" w14:textId="77777777" w:rsidR="002C0FD9" w:rsidRPr="00CA25CF" w:rsidRDefault="002C0FD9" w:rsidP="00CA25CF">
            <w:pPr>
              <w:rPr>
                <w:rFonts w:cs="Arial"/>
                <w:color w:val="FF0000"/>
                <w:sz w:val="21"/>
                <w:szCs w:val="21"/>
              </w:rPr>
            </w:pPr>
          </w:p>
        </w:tc>
        <w:tc>
          <w:tcPr>
            <w:tcW w:w="217" w:type="dxa"/>
          </w:tcPr>
          <w:p w14:paraId="13071D31" w14:textId="77777777" w:rsidR="002C0FD9" w:rsidRPr="00CA25CF" w:rsidRDefault="002C0FD9" w:rsidP="00CA25CF">
            <w:pPr>
              <w:rPr>
                <w:rFonts w:cs="Arial"/>
                <w:color w:val="FF0000"/>
                <w:sz w:val="21"/>
                <w:szCs w:val="21"/>
              </w:rPr>
            </w:pPr>
          </w:p>
        </w:tc>
        <w:tc>
          <w:tcPr>
            <w:tcW w:w="217" w:type="dxa"/>
          </w:tcPr>
          <w:p w14:paraId="12F7AE94" w14:textId="77777777" w:rsidR="002C0FD9" w:rsidRPr="00CA25CF" w:rsidRDefault="002C0FD9" w:rsidP="00CA25CF">
            <w:pPr>
              <w:rPr>
                <w:rFonts w:cs="Arial"/>
                <w:color w:val="FF0000"/>
                <w:sz w:val="21"/>
                <w:szCs w:val="21"/>
              </w:rPr>
            </w:pPr>
          </w:p>
        </w:tc>
        <w:tc>
          <w:tcPr>
            <w:tcW w:w="217" w:type="dxa"/>
          </w:tcPr>
          <w:p w14:paraId="42F12C12" w14:textId="77777777" w:rsidR="002C0FD9" w:rsidRPr="00CA25CF" w:rsidRDefault="002C0FD9" w:rsidP="00CA25CF">
            <w:pPr>
              <w:rPr>
                <w:rFonts w:cs="Arial"/>
                <w:color w:val="FF0000"/>
                <w:sz w:val="21"/>
                <w:szCs w:val="21"/>
              </w:rPr>
            </w:pPr>
          </w:p>
        </w:tc>
        <w:tc>
          <w:tcPr>
            <w:tcW w:w="217" w:type="dxa"/>
          </w:tcPr>
          <w:p w14:paraId="3934933E" w14:textId="77777777" w:rsidR="002C0FD9" w:rsidRPr="00CA25CF" w:rsidRDefault="002C0FD9" w:rsidP="00CA25CF">
            <w:pPr>
              <w:rPr>
                <w:rFonts w:cs="Arial"/>
                <w:color w:val="FF0000"/>
                <w:sz w:val="21"/>
                <w:szCs w:val="21"/>
              </w:rPr>
            </w:pPr>
          </w:p>
        </w:tc>
        <w:tc>
          <w:tcPr>
            <w:tcW w:w="217" w:type="dxa"/>
          </w:tcPr>
          <w:p w14:paraId="31019029" w14:textId="77777777" w:rsidR="002C0FD9" w:rsidRPr="00CA25CF" w:rsidRDefault="002C0FD9" w:rsidP="00CA25CF">
            <w:pPr>
              <w:rPr>
                <w:rFonts w:cs="Arial"/>
                <w:color w:val="FF0000"/>
                <w:sz w:val="21"/>
                <w:szCs w:val="21"/>
              </w:rPr>
            </w:pPr>
          </w:p>
        </w:tc>
        <w:tc>
          <w:tcPr>
            <w:tcW w:w="217" w:type="dxa"/>
          </w:tcPr>
          <w:p w14:paraId="2404382F" w14:textId="77777777" w:rsidR="002C0FD9" w:rsidRPr="00CA25CF" w:rsidRDefault="002C0FD9" w:rsidP="00CA25CF">
            <w:pPr>
              <w:rPr>
                <w:rFonts w:cs="Arial"/>
                <w:color w:val="FF0000"/>
                <w:sz w:val="21"/>
                <w:szCs w:val="21"/>
              </w:rPr>
            </w:pPr>
          </w:p>
        </w:tc>
        <w:tc>
          <w:tcPr>
            <w:tcW w:w="217" w:type="dxa"/>
          </w:tcPr>
          <w:p w14:paraId="50EC1AE5" w14:textId="77777777" w:rsidR="002C0FD9" w:rsidRPr="00CA25CF" w:rsidRDefault="002C0FD9" w:rsidP="00CA25CF">
            <w:pPr>
              <w:rPr>
                <w:rFonts w:cs="Arial"/>
                <w:color w:val="FF0000"/>
                <w:sz w:val="21"/>
                <w:szCs w:val="21"/>
              </w:rPr>
            </w:pPr>
          </w:p>
        </w:tc>
        <w:tc>
          <w:tcPr>
            <w:tcW w:w="217" w:type="dxa"/>
          </w:tcPr>
          <w:p w14:paraId="0CD0A966" w14:textId="77777777" w:rsidR="002C0FD9" w:rsidRPr="00CA25CF" w:rsidRDefault="002C0FD9" w:rsidP="00CA25CF">
            <w:pPr>
              <w:rPr>
                <w:rFonts w:cs="Arial"/>
                <w:color w:val="FF0000"/>
                <w:sz w:val="21"/>
                <w:szCs w:val="21"/>
              </w:rPr>
            </w:pPr>
          </w:p>
        </w:tc>
      </w:tr>
      <w:tr w:rsidR="002C0FD9" w:rsidRPr="00A16219" w14:paraId="3A19E033" w14:textId="77777777" w:rsidTr="002C0FD9">
        <w:trPr>
          <w:trHeight w:val="635"/>
        </w:trPr>
        <w:tc>
          <w:tcPr>
            <w:tcW w:w="515" w:type="dxa"/>
          </w:tcPr>
          <w:p w14:paraId="4DE9001D" w14:textId="77777777" w:rsidR="002C0FD9" w:rsidRPr="00CA25CF" w:rsidRDefault="002C0FD9" w:rsidP="00CA25CF">
            <w:pPr>
              <w:rPr>
                <w:rFonts w:cs="Arial"/>
                <w:color w:val="FF0000"/>
                <w:sz w:val="21"/>
                <w:szCs w:val="21"/>
              </w:rPr>
            </w:pPr>
          </w:p>
        </w:tc>
        <w:tc>
          <w:tcPr>
            <w:tcW w:w="217" w:type="dxa"/>
          </w:tcPr>
          <w:p w14:paraId="7EB63E36" w14:textId="77777777" w:rsidR="002C0FD9" w:rsidRPr="00CA25CF" w:rsidRDefault="002C0FD9" w:rsidP="00CA25CF">
            <w:pPr>
              <w:rPr>
                <w:rFonts w:cs="Arial"/>
                <w:color w:val="FF0000"/>
                <w:sz w:val="21"/>
                <w:szCs w:val="21"/>
              </w:rPr>
            </w:pPr>
          </w:p>
        </w:tc>
        <w:tc>
          <w:tcPr>
            <w:tcW w:w="217" w:type="dxa"/>
          </w:tcPr>
          <w:p w14:paraId="307D8A1D" w14:textId="77777777" w:rsidR="002C0FD9" w:rsidRPr="00CA25CF" w:rsidRDefault="002C0FD9" w:rsidP="00CA25CF">
            <w:pPr>
              <w:rPr>
                <w:rFonts w:cs="Arial"/>
                <w:color w:val="FF0000"/>
                <w:sz w:val="21"/>
                <w:szCs w:val="21"/>
              </w:rPr>
            </w:pPr>
          </w:p>
        </w:tc>
        <w:tc>
          <w:tcPr>
            <w:tcW w:w="217" w:type="dxa"/>
          </w:tcPr>
          <w:p w14:paraId="5B2854F9" w14:textId="77777777" w:rsidR="002C0FD9" w:rsidRPr="00CA25CF" w:rsidRDefault="002C0FD9" w:rsidP="00CA25CF">
            <w:pPr>
              <w:rPr>
                <w:rFonts w:cs="Arial"/>
                <w:color w:val="FF0000"/>
                <w:sz w:val="21"/>
                <w:szCs w:val="21"/>
              </w:rPr>
            </w:pPr>
          </w:p>
        </w:tc>
        <w:tc>
          <w:tcPr>
            <w:tcW w:w="217" w:type="dxa"/>
          </w:tcPr>
          <w:p w14:paraId="3550B783" w14:textId="77777777" w:rsidR="002C0FD9" w:rsidRPr="00CA25CF" w:rsidRDefault="002C0FD9" w:rsidP="00CA25CF">
            <w:pPr>
              <w:rPr>
                <w:rFonts w:cs="Arial"/>
                <w:color w:val="FF0000"/>
                <w:sz w:val="21"/>
                <w:szCs w:val="21"/>
              </w:rPr>
            </w:pPr>
          </w:p>
        </w:tc>
        <w:tc>
          <w:tcPr>
            <w:tcW w:w="217" w:type="dxa"/>
          </w:tcPr>
          <w:p w14:paraId="749CFB5F" w14:textId="77777777" w:rsidR="002C0FD9" w:rsidRPr="00CA25CF" w:rsidRDefault="002C0FD9" w:rsidP="00CA25CF">
            <w:pPr>
              <w:rPr>
                <w:rFonts w:cs="Arial"/>
                <w:color w:val="FF0000"/>
                <w:sz w:val="21"/>
                <w:szCs w:val="21"/>
              </w:rPr>
            </w:pPr>
          </w:p>
        </w:tc>
        <w:tc>
          <w:tcPr>
            <w:tcW w:w="217" w:type="dxa"/>
          </w:tcPr>
          <w:p w14:paraId="45646319" w14:textId="77777777" w:rsidR="002C0FD9" w:rsidRPr="00CA25CF" w:rsidRDefault="002C0FD9" w:rsidP="00CA25CF">
            <w:pPr>
              <w:rPr>
                <w:rFonts w:cs="Arial"/>
                <w:color w:val="FF0000"/>
                <w:sz w:val="21"/>
                <w:szCs w:val="21"/>
              </w:rPr>
            </w:pPr>
          </w:p>
        </w:tc>
        <w:tc>
          <w:tcPr>
            <w:tcW w:w="217" w:type="dxa"/>
          </w:tcPr>
          <w:p w14:paraId="373A8C07" w14:textId="77777777" w:rsidR="002C0FD9" w:rsidRPr="00CA25CF" w:rsidRDefault="002C0FD9" w:rsidP="00CA25CF">
            <w:pPr>
              <w:rPr>
                <w:rFonts w:cs="Arial"/>
                <w:color w:val="FF0000"/>
                <w:sz w:val="21"/>
                <w:szCs w:val="21"/>
              </w:rPr>
            </w:pPr>
          </w:p>
        </w:tc>
        <w:tc>
          <w:tcPr>
            <w:tcW w:w="217" w:type="dxa"/>
          </w:tcPr>
          <w:p w14:paraId="5C1AA921" w14:textId="77777777" w:rsidR="002C0FD9" w:rsidRPr="00CA25CF" w:rsidRDefault="002C0FD9" w:rsidP="00CA25CF">
            <w:pPr>
              <w:rPr>
                <w:rFonts w:cs="Arial"/>
                <w:color w:val="FF0000"/>
                <w:sz w:val="21"/>
                <w:szCs w:val="21"/>
              </w:rPr>
            </w:pPr>
          </w:p>
        </w:tc>
        <w:tc>
          <w:tcPr>
            <w:tcW w:w="217" w:type="dxa"/>
          </w:tcPr>
          <w:p w14:paraId="05D746DC" w14:textId="77777777" w:rsidR="002C0FD9" w:rsidRPr="00CA25CF" w:rsidRDefault="002C0FD9" w:rsidP="00CA25CF">
            <w:pPr>
              <w:rPr>
                <w:rFonts w:cs="Arial"/>
                <w:color w:val="FF0000"/>
                <w:sz w:val="21"/>
                <w:szCs w:val="21"/>
              </w:rPr>
            </w:pPr>
          </w:p>
        </w:tc>
        <w:tc>
          <w:tcPr>
            <w:tcW w:w="217" w:type="dxa"/>
          </w:tcPr>
          <w:p w14:paraId="2EC620AB" w14:textId="77777777" w:rsidR="002C0FD9" w:rsidRPr="00CA25CF" w:rsidRDefault="002C0FD9" w:rsidP="00CA25CF">
            <w:pPr>
              <w:rPr>
                <w:rFonts w:cs="Arial"/>
                <w:color w:val="FF0000"/>
                <w:sz w:val="21"/>
                <w:szCs w:val="21"/>
              </w:rPr>
            </w:pPr>
          </w:p>
        </w:tc>
        <w:tc>
          <w:tcPr>
            <w:tcW w:w="217" w:type="dxa"/>
          </w:tcPr>
          <w:p w14:paraId="01E00330" w14:textId="77777777" w:rsidR="002C0FD9" w:rsidRPr="00CA25CF" w:rsidRDefault="002C0FD9" w:rsidP="00CA25CF">
            <w:pPr>
              <w:rPr>
                <w:rFonts w:cs="Arial"/>
                <w:color w:val="FF0000"/>
                <w:sz w:val="21"/>
                <w:szCs w:val="21"/>
              </w:rPr>
            </w:pPr>
          </w:p>
        </w:tc>
        <w:tc>
          <w:tcPr>
            <w:tcW w:w="217" w:type="dxa"/>
          </w:tcPr>
          <w:p w14:paraId="09E6EB5C" w14:textId="77777777" w:rsidR="002C0FD9" w:rsidRPr="00CA25CF" w:rsidRDefault="002C0FD9" w:rsidP="00CA25CF">
            <w:pPr>
              <w:rPr>
                <w:rFonts w:cs="Arial"/>
                <w:color w:val="FF0000"/>
                <w:sz w:val="21"/>
                <w:szCs w:val="21"/>
              </w:rPr>
            </w:pPr>
          </w:p>
        </w:tc>
        <w:tc>
          <w:tcPr>
            <w:tcW w:w="217" w:type="dxa"/>
          </w:tcPr>
          <w:p w14:paraId="7ADFCE42" w14:textId="77777777" w:rsidR="002C0FD9" w:rsidRPr="00CA25CF" w:rsidRDefault="002C0FD9" w:rsidP="00CA25CF">
            <w:pPr>
              <w:rPr>
                <w:rFonts w:cs="Arial"/>
                <w:color w:val="FF0000"/>
                <w:sz w:val="21"/>
                <w:szCs w:val="21"/>
              </w:rPr>
            </w:pPr>
          </w:p>
        </w:tc>
        <w:tc>
          <w:tcPr>
            <w:tcW w:w="217" w:type="dxa"/>
          </w:tcPr>
          <w:p w14:paraId="76F8C6C1" w14:textId="77777777" w:rsidR="002C0FD9" w:rsidRPr="00CA25CF" w:rsidRDefault="002C0FD9" w:rsidP="00CA25CF">
            <w:pPr>
              <w:rPr>
                <w:rFonts w:cs="Arial"/>
                <w:color w:val="FF0000"/>
                <w:sz w:val="21"/>
                <w:szCs w:val="21"/>
              </w:rPr>
            </w:pPr>
          </w:p>
        </w:tc>
        <w:tc>
          <w:tcPr>
            <w:tcW w:w="217" w:type="dxa"/>
          </w:tcPr>
          <w:p w14:paraId="40EDD6B8" w14:textId="77777777" w:rsidR="002C0FD9" w:rsidRPr="00CA25CF" w:rsidRDefault="002C0FD9" w:rsidP="00CA25CF">
            <w:pPr>
              <w:rPr>
                <w:rFonts w:cs="Arial"/>
                <w:color w:val="FF0000"/>
                <w:sz w:val="21"/>
                <w:szCs w:val="21"/>
              </w:rPr>
            </w:pPr>
          </w:p>
        </w:tc>
        <w:tc>
          <w:tcPr>
            <w:tcW w:w="217" w:type="dxa"/>
          </w:tcPr>
          <w:p w14:paraId="7F532D60" w14:textId="77777777" w:rsidR="002C0FD9" w:rsidRPr="00CA25CF" w:rsidRDefault="002C0FD9" w:rsidP="00CA25CF">
            <w:pPr>
              <w:rPr>
                <w:rFonts w:cs="Arial"/>
                <w:color w:val="FF0000"/>
                <w:sz w:val="21"/>
                <w:szCs w:val="21"/>
              </w:rPr>
            </w:pPr>
          </w:p>
        </w:tc>
        <w:tc>
          <w:tcPr>
            <w:tcW w:w="217" w:type="dxa"/>
          </w:tcPr>
          <w:p w14:paraId="3500C897" w14:textId="77777777" w:rsidR="002C0FD9" w:rsidRPr="00CA25CF" w:rsidRDefault="002C0FD9" w:rsidP="00CA25CF">
            <w:pPr>
              <w:rPr>
                <w:rFonts w:cs="Arial"/>
                <w:color w:val="FF0000"/>
                <w:sz w:val="21"/>
                <w:szCs w:val="21"/>
              </w:rPr>
            </w:pPr>
          </w:p>
        </w:tc>
        <w:tc>
          <w:tcPr>
            <w:tcW w:w="217" w:type="dxa"/>
          </w:tcPr>
          <w:p w14:paraId="7A1C2756" w14:textId="77777777" w:rsidR="002C0FD9" w:rsidRPr="00CA25CF" w:rsidRDefault="002C0FD9" w:rsidP="00CA25CF">
            <w:pPr>
              <w:rPr>
                <w:rFonts w:cs="Arial"/>
                <w:color w:val="FF0000"/>
                <w:sz w:val="21"/>
                <w:szCs w:val="21"/>
              </w:rPr>
            </w:pPr>
          </w:p>
        </w:tc>
        <w:tc>
          <w:tcPr>
            <w:tcW w:w="217" w:type="dxa"/>
          </w:tcPr>
          <w:p w14:paraId="251E1052" w14:textId="77777777" w:rsidR="002C0FD9" w:rsidRPr="00CA25CF" w:rsidRDefault="002C0FD9" w:rsidP="00CA25CF">
            <w:pPr>
              <w:rPr>
                <w:rFonts w:cs="Arial"/>
                <w:color w:val="FF0000"/>
                <w:sz w:val="21"/>
                <w:szCs w:val="21"/>
              </w:rPr>
            </w:pPr>
          </w:p>
        </w:tc>
        <w:tc>
          <w:tcPr>
            <w:tcW w:w="217" w:type="dxa"/>
          </w:tcPr>
          <w:p w14:paraId="0D64D9DB" w14:textId="77777777" w:rsidR="002C0FD9" w:rsidRPr="00CA25CF" w:rsidRDefault="002C0FD9" w:rsidP="00CA25CF">
            <w:pPr>
              <w:rPr>
                <w:rFonts w:cs="Arial"/>
                <w:color w:val="FF0000"/>
                <w:sz w:val="21"/>
                <w:szCs w:val="21"/>
              </w:rPr>
            </w:pPr>
          </w:p>
        </w:tc>
        <w:tc>
          <w:tcPr>
            <w:tcW w:w="217" w:type="dxa"/>
          </w:tcPr>
          <w:p w14:paraId="710665A5" w14:textId="77777777" w:rsidR="002C0FD9" w:rsidRPr="00CA25CF" w:rsidRDefault="002C0FD9" w:rsidP="00CA25CF">
            <w:pPr>
              <w:rPr>
                <w:rFonts w:cs="Arial"/>
                <w:color w:val="FF0000"/>
                <w:sz w:val="21"/>
                <w:szCs w:val="21"/>
              </w:rPr>
            </w:pPr>
          </w:p>
        </w:tc>
        <w:tc>
          <w:tcPr>
            <w:tcW w:w="217" w:type="dxa"/>
          </w:tcPr>
          <w:p w14:paraId="1D7668E6" w14:textId="77777777" w:rsidR="002C0FD9" w:rsidRPr="00CA25CF" w:rsidRDefault="002C0FD9" w:rsidP="00CA25CF">
            <w:pPr>
              <w:rPr>
                <w:rFonts w:cs="Arial"/>
                <w:color w:val="FF0000"/>
                <w:sz w:val="21"/>
                <w:szCs w:val="21"/>
              </w:rPr>
            </w:pPr>
          </w:p>
        </w:tc>
        <w:tc>
          <w:tcPr>
            <w:tcW w:w="217" w:type="dxa"/>
          </w:tcPr>
          <w:p w14:paraId="62A30011" w14:textId="77777777" w:rsidR="002C0FD9" w:rsidRPr="00CA25CF" w:rsidRDefault="002C0FD9" w:rsidP="00CA25CF">
            <w:pPr>
              <w:rPr>
                <w:rFonts w:cs="Arial"/>
                <w:color w:val="FF0000"/>
                <w:sz w:val="21"/>
                <w:szCs w:val="21"/>
              </w:rPr>
            </w:pPr>
          </w:p>
        </w:tc>
        <w:tc>
          <w:tcPr>
            <w:tcW w:w="217" w:type="dxa"/>
          </w:tcPr>
          <w:p w14:paraId="22467514" w14:textId="77777777" w:rsidR="002C0FD9" w:rsidRPr="00CA25CF" w:rsidRDefault="002C0FD9" w:rsidP="00CA25CF">
            <w:pPr>
              <w:rPr>
                <w:rFonts w:cs="Arial"/>
                <w:color w:val="FF0000"/>
                <w:sz w:val="21"/>
                <w:szCs w:val="21"/>
              </w:rPr>
            </w:pPr>
          </w:p>
        </w:tc>
        <w:tc>
          <w:tcPr>
            <w:tcW w:w="217" w:type="dxa"/>
          </w:tcPr>
          <w:p w14:paraId="04063F22" w14:textId="77777777" w:rsidR="002C0FD9" w:rsidRPr="00CA25CF" w:rsidRDefault="002C0FD9" w:rsidP="00CA25CF">
            <w:pPr>
              <w:rPr>
                <w:rFonts w:cs="Arial"/>
                <w:color w:val="FF0000"/>
                <w:sz w:val="21"/>
                <w:szCs w:val="21"/>
              </w:rPr>
            </w:pPr>
          </w:p>
        </w:tc>
        <w:tc>
          <w:tcPr>
            <w:tcW w:w="217" w:type="dxa"/>
          </w:tcPr>
          <w:p w14:paraId="7EB0BE09" w14:textId="77777777" w:rsidR="002C0FD9" w:rsidRPr="00CA25CF" w:rsidRDefault="002C0FD9" w:rsidP="00CA25CF">
            <w:pPr>
              <w:rPr>
                <w:rFonts w:cs="Arial"/>
                <w:color w:val="FF0000"/>
                <w:sz w:val="21"/>
                <w:szCs w:val="21"/>
              </w:rPr>
            </w:pPr>
          </w:p>
        </w:tc>
        <w:tc>
          <w:tcPr>
            <w:tcW w:w="217" w:type="dxa"/>
          </w:tcPr>
          <w:p w14:paraId="5D77526F" w14:textId="77777777" w:rsidR="002C0FD9" w:rsidRPr="00CA25CF" w:rsidRDefault="002C0FD9" w:rsidP="00CA25CF">
            <w:pPr>
              <w:rPr>
                <w:rFonts w:cs="Arial"/>
                <w:color w:val="FF0000"/>
                <w:sz w:val="21"/>
                <w:szCs w:val="21"/>
              </w:rPr>
            </w:pPr>
          </w:p>
        </w:tc>
        <w:tc>
          <w:tcPr>
            <w:tcW w:w="217" w:type="dxa"/>
          </w:tcPr>
          <w:p w14:paraId="45A24D35" w14:textId="77777777" w:rsidR="002C0FD9" w:rsidRPr="00CA25CF" w:rsidRDefault="002C0FD9" w:rsidP="00CA25CF">
            <w:pPr>
              <w:rPr>
                <w:rFonts w:cs="Arial"/>
                <w:color w:val="FF0000"/>
                <w:sz w:val="21"/>
                <w:szCs w:val="21"/>
              </w:rPr>
            </w:pPr>
          </w:p>
        </w:tc>
        <w:tc>
          <w:tcPr>
            <w:tcW w:w="217" w:type="dxa"/>
          </w:tcPr>
          <w:p w14:paraId="7E78BEC5" w14:textId="77777777" w:rsidR="002C0FD9" w:rsidRPr="00CA25CF" w:rsidRDefault="002C0FD9" w:rsidP="00CA25CF">
            <w:pPr>
              <w:rPr>
                <w:rFonts w:cs="Arial"/>
                <w:color w:val="FF0000"/>
                <w:sz w:val="21"/>
                <w:szCs w:val="21"/>
              </w:rPr>
            </w:pPr>
          </w:p>
        </w:tc>
        <w:tc>
          <w:tcPr>
            <w:tcW w:w="217" w:type="dxa"/>
          </w:tcPr>
          <w:p w14:paraId="793B8792" w14:textId="77777777" w:rsidR="002C0FD9" w:rsidRPr="00CA25CF" w:rsidRDefault="002C0FD9" w:rsidP="00CA25CF">
            <w:pPr>
              <w:rPr>
                <w:rFonts w:cs="Arial"/>
                <w:color w:val="FF0000"/>
                <w:sz w:val="21"/>
                <w:szCs w:val="21"/>
              </w:rPr>
            </w:pPr>
          </w:p>
        </w:tc>
        <w:tc>
          <w:tcPr>
            <w:tcW w:w="217" w:type="dxa"/>
          </w:tcPr>
          <w:p w14:paraId="7BCCDD8D" w14:textId="77777777" w:rsidR="002C0FD9" w:rsidRPr="00CA25CF" w:rsidRDefault="002C0FD9" w:rsidP="00CA25CF">
            <w:pPr>
              <w:rPr>
                <w:rFonts w:cs="Arial"/>
                <w:color w:val="FF0000"/>
                <w:sz w:val="21"/>
                <w:szCs w:val="21"/>
              </w:rPr>
            </w:pPr>
          </w:p>
        </w:tc>
        <w:tc>
          <w:tcPr>
            <w:tcW w:w="217" w:type="dxa"/>
          </w:tcPr>
          <w:p w14:paraId="7D5C719D" w14:textId="77777777" w:rsidR="002C0FD9" w:rsidRPr="00CA25CF" w:rsidRDefault="002C0FD9" w:rsidP="00CA25CF">
            <w:pPr>
              <w:rPr>
                <w:rFonts w:cs="Arial"/>
                <w:color w:val="FF0000"/>
                <w:sz w:val="21"/>
                <w:szCs w:val="21"/>
              </w:rPr>
            </w:pPr>
          </w:p>
        </w:tc>
        <w:tc>
          <w:tcPr>
            <w:tcW w:w="217" w:type="dxa"/>
          </w:tcPr>
          <w:p w14:paraId="5E7F9CED" w14:textId="77777777" w:rsidR="002C0FD9" w:rsidRPr="00CA25CF" w:rsidRDefault="002C0FD9" w:rsidP="00CA25CF">
            <w:pPr>
              <w:rPr>
                <w:rFonts w:cs="Arial"/>
                <w:color w:val="FF0000"/>
                <w:sz w:val="21"/>
                <w:szCs w:val="21"/>
              </w:rPr>
            </w:pPr>
          </w:p>
        </w:tc>
        <w:tc>
          <w:tcPr>
            <w:tcW w:w="217" w:type="dxa"/>
          </w:tcPr>
          <w:p w14:paraId="60B42AE7" w14:textId="77777777" w:rsidR="002C0FD9" w:rsidRPr="00CA25CF" w:rsidRDefault="002C0FD9" w:rsidP="00CA25CF">
            <w:pPr>
              <w:rPr>
                <w:rFonts w:cs="Arial"/>
                <w:color w:val="FF0000"/>
                <w:sz w:val="21"/>
                <w:szCs w:val="21"/>
              </w:rPr>
            </w:pPr>
          </w:p>
        </w:tc>
        <w:tc>
          <w:tcPr>
            <w:tcW w:w="217" w:type="dxa"/>
          </w:tcPr>
          <w:p w14:paraId="7ADED4F4" w14:textId="77777777" w:rsidR="002C0FD9" w:rsidRPr="00CA25CF" w:rsidRDefault="002C0FD9" w:rsidP="00CA25CF">
            <w:pPr>
              <w:rPr>
                <w:rFonts w:cs="Arial"/>
                <w:color w:val="FF0000"/>
                <w:sz w:val="21"/>
                <w:szCs w:val="21"/>
              </w:rPr>
            </w:pPr>
          </w:p>
        </w:tc>
        <w:tc>
          <w:tcPr>
            <w:tcW w:w="217" w:type="dxa"/>
          </w:tcPr>
          <w:p w14:paraId="519C8A34" w14:textId="77777777" w:rsidR="002C0FD9" w:rsidRPr="00CA25CF" w:rsidRDefault="002C0FD9" w:rsidP="00CA25CF">
            <w:pPr>
              <w:rPr>
                <w:rFonts w:cs="Arial"/>
                <w:color w:val="FF0000"/>
                <w:sz w:val="21"/>
                <w:szCs w:val="21"/>
              </w:rPr>
            </w:pPr>
          </w:p>
        </w:tc>
        <w:tc>
          <w:tcPr>
            <w:tcW w:w="217" w:type="dxa"/>
          </w:tcPr>
          <w:p w14:paraId="7D6EC694" w14:textId="77777777" w:rsidR="002C0FD9" w:rsidRPr="00CA25CF" w:rsidRDefault="002C0FD9" w:rsidP="00CA25CF">
            <w:pPr>
              <w:rPr>
                <w:rFonts w:cs="Arial"/>
                <w:color w:val="FF0000"/>
                <w:sz w:val="21"/>
                <w:szCs w:val="21"/>
              </w:rPr>
            </w:pPr>
          </w:p>
        </w:tc>
        <w:tc>
          <w:tcPr>
            <w:tcW w:w="217" w:type="dxa"/>
          </w:tcPr>
          <w:p w14:paraId="1DC505DE" w14:textId="77777777" w:rsidR="002C0FD9" w:rsidRPr="00CA25CF" w:rsidRDefault="002C0FD9" w:rsidP="00CA25CF">
            <w:pPr>
              <w:rPr>
                <w:rFonts w:cs="Arial"/>
                <w:color w:val="FF0000"/>
                <w:sz w:val="21"/>
                <w:szCs w:val="21"/>
              </w:rPr>
            </w:pPr>
          </w:p>
        </w:tc>
        <w:tc>
          <w:tcPr>
            <w:tcW w:w="217" w:type="dxa"/>
          </w:tcPr>
          <w:p w14:paraId="2A7ED0EB" w14:textId="77777777" w:rsidR="002C0FD9" w:rsidRPr="00CA25CF" w:rsidRDefault="002C0FD9" w:rsidP="00CA25CF">
            <w:pPr>
              <w:rPr>
                <w:rFonts w:cs="Arial"/>
                <w:color w:val="FF0000"/>
                <w:sz w:val="21"/>
                <w:szCs w:val="21"/>
              </w:rPr>
            </w:pPr>
          </w:p>
        </w:tc>
        <w:tc>
          <w:tcPr>
            <w:tcW w:w="217" w:type="dxa"/>
          </w:tcPr>
          <w:p w14:paraId="5E2194D8" w14:textId="77777777" w:rsidR="002C0FD9" w:rsidRPr="00CA25CF" w:rsidRDefault="002C0FD9" w:rsidP="00CA25CF">
            <w:pPr>
              <w:rPr>
                <w:rFonts w:cs="Arial"/>
                <w:color w:val="FF0000"/>
                <w:sz w:val="21"/>
                <w:szCs w:val="21"/>
              </w:rPr>
            </w:pPr>
          </w:p>
        </w:tc>
        <w:tc>
          <w:tcPr>
            <w:tcW w:w="217" w:type="dxa"/>
          </w:tcPr>
          <w:p w14:paraId="49581BA1" w14:textId="77777777" w:rsidR="002C0FD9" w:rsidRPr="00CA25CF" w:rsidRDefault="002C0FD9" w:rsidP="00CA25CF">
            <w:pPr>
              <w:rPr>
                <w:rFonts w:cs="Arial"/>
                <w:color w:val="FF0000"/>
                <w:sz w:val="21"/>
                <w:szCs w:val="21"/>
              </w:rPr>
            </w:pPr>
          </w:p>
        </w:tc>
        <w:tc>
          <w:tcPr>
            <w:tcW w:w="217" w:type="dxa"/>
          </w:tcPr>
          <w:p w14:paraId="5428BE50" w14:textId="77777777" w:rsidR="002C0FD9" w:rsidRPr="00CA25CF" w:rsidRDefault="002C0FD9" w:rsidP="00CA25CF">
            <w:pPr>
              <w:rPr>
                <w:rFonts w:cs="Arial"/>
                <w:color w:val="FF0000"/>
                <w:sz w:val="21"/>
                <w:szCs w:val="21"/>
              </w:rPr>
            </w:pPr>
          </w:p>
        </w:tc>
      </w:tr>
      <w:tr w:rsidR="002C0FD9" w:rsidRPr="00A16219" w14:paraId="4BC646E1" w14:textId="77777777" w:rsidTr="002C0FD9">
        <w:trPr>
          <w:trHeight w:val="635"/>
        </w:trPr>
        <w:tc>
          <w:tcPr>
            <w:tcW w:w="515" w:type="dxa"/>
          </w:tcPr>
          <w:p w14:paraId="0DBAD5E7" w14:textId="77777777" w:rsidR="002C0FD9" w:rsidRPr="00CA25CF" w:rsidRDefault="002C0FD9" w:rsidP="00CA25CF">
            <w:pPr>
              <w:rPr>
                <w:rFonts w:cs="Arial"/>
                <w:color w:val="FF0000"/>
                <w:sz w:val="21"/>
                <w:szCs w:val="21"/>
              </w:rPr>
            </w:pPr>
          </w:p>
        </w:tc>
        <w:tc>
          <w:tcPr>
            <w:tcW w:w="217" w:type="dxa"/>
          </w:tcPr>
          <w:p w14:paraId="53ACBC6F" w14:textId="77777777" w:rsidR="002C0FD9" w:rsidRPr="00CA25CF" w:rsidRDefault="002C0FD9" w:rsidP="00CA25CF">
            <w:pPr>
              <w:rPr>
                <w:rFonts w:cs="Arial"/>
                <w:color w:val="FF0000"/>
                <w:sz w:val="21"/>
                <w:szCs w:val="21"/>
              </w:rPr>
            </w:pPr>
          </w:p>
        </w:tc>
        <w:tc>
          <w:tcPr>
            <w:tcW w:w="217" w:type="dxa"/>
          </w:tcPr>
          <w:p w14:paraId="24C5CD09" w14:textId="77777777" w:rsidR="002C0FD9" w:rsidRPr="00CA25CF" w:rsidRDefault="002C0FD9" w:rsidP="00CA25CF">
            <w:pPr>
              <w:rPr>
                <w:rFonts w:cs="Arial"/>
                <w:color w:val="FF0000"/>
                <w:sz w:val="21"/>
                <w:szCs w:val="21"/>
              </w:rPr>
            </w:pPr>
          </w:p>
        </w:tc>
        <w:tc>
          <w:tcPr>
            <w:tcW w:w="217" w:type="dxa"/>
          </w:tcPr>
          <w:p w14:paraId="53579C86" w14:textId="77777777" w:rsidR="002C0FD9" w:rsidRPr="00CA25CF" w:rsidRDefault="002C0FD9" w:rsidP="00CA25CF">
            <w:pPr>
              <w:rPr>
                <w:rFonts w:cs="Arial"/>
                <w:color w:val="FF0000"/>
                <w:sz w:val="21"/>
                <w:szCs w:val="21"/>
              </w:rPr>
            </w:pPr>
          </w:p>
        </w:tc>
        <w:tc>
          <w:tcPr>
            <w:tcW w:w="217" w:type="dxa"/>
          </w:tcPr>
          <w:p w14:paraId="631C9ABE" w14:textId="77777777" w:rsidR="002C0FD9" w:rsidRPr="00CA25CF" w:rsidRDefault="002C0FD9" w:rsidP="00CA25CF">
            <w:pPr>
              <w:rPr>
                <w:rFonts w:cs="Arial"/>
                <w:color w:val="FF0000"/>
                <w:sz w:val="21"/>
                <w:szCs w:val="21"/>
              </w:rPr>
            </w:pPr>
          </w:p>
        </w:tc>
        <w:tc>
          <w:tcPr>
            <w:tcW w:w="217" w:type="dxa"/>
          </w:tcPr>
          <w:p w14:paraId="5B695199" w14:textId="77777777" w:rsidR="002C0FD9" w:rsidRPr="00CA25CF" w:rsidRDefault="002C0FD9" w:rsidP="00CA25CF">
            <w:pPr>
              <w:rPr>
                <w:rFonts w:cs="Arial"/>
                <w:color w:val="FF0000"/>
                <w:sz w:val="21"/>
                <w:szCs w:val="21"/>
              </w:rPr>
            </w:pPr>
          </w:p>
        </w:tc>
        <w:tc>
          <w:tcPr>
            <w:tcW w:w="217" w:type="dxa"/>
          </w:tcPr>
          <w:p w14:paraId="726C4DF8" w14:textId="77777777" w:rsidR="002C0FD9" w:rsidRPr="00CA25CF" w:rsidRDefault="002C0FD9" w:rsidP="00CA25CF">
            <w:pPr>
              <w:rPr>
                <w:rFonts w:cs="Arial"/>
                <w:color w:val="FF0000"/>
                <w:sz w:val="21"/>
                <w:szCs w:val="21"/>
              </w:rPr>
            </w:pPr>
          </w:p>
        </w:tc>
        <w:tc>
          <w:tcPr>
            <w:tcW w:w="217" w:type="dxa"/>
          </w:tcPr>
          <w:p w14:paraId="3FF818CE" w14:textId="77777777" w:rsidR="002C0FD9" w:rsidRPr="00CA25CF" w:rsidRDefault="002C0FD9" w:rsidP="00CA25CF">
            <w:pPr>
              <w:rPr>
                <w:rFonts w:cs="Arial"/>
                <w:color w:val="FF0000"/>
                <w:sz w:val="21"/>
                <w:szCs w:val="21"/>
              </w:rPr>
            </w:pPr>
          </w:p>
        </w:tc>
        <w:tc>
          <w:tcPr>
            <w:tcW w:w="217" w:type="dxa"/>
          </w:tcPr>
          <w:p w14:paraId="2BDC7E77" w14:textId="77777777" w:rsidR="002C0FD9" w:rsidRPr="00CA25CF" w:rsidRDefault="002C0FD9" w:rsidP="00CA25CF">
            <w:pPr>
              <w:rPr>
                <w:rFonts w:cs="Arial"/>
                <w:color w:val="FF0000"/>
                <w:sz w:val="21"/>
                <w:szCs w:val="21"/>
              </w:rPr>
            </w:pPr>
          </w:p>
        </w:tc>
        <w:tc>
          <w:tcPr>
            <w:tcW w:w="217" w:type="dxa"/>
          </w:tcPr>
          <w:p w14:paraId="44EC56B9" w14:textId="77777777" w:rsidR="002C0FD9" w:rsidRPr="00CA25CF" w:rsidRDefault="002C0FD9" w:rsidP="00CA25CF">
            <w:pPr>
              <w:rPr>
                <w:rFonts w:cs="Arial"/>
                <w:color w:val="FF0000"/>
                <w:sz w:val="21"/>
                <w:szCs w:val="21"/>
              </w:rPr>
            </w:pPr>
          </w:p>
        </w:tc>
        <w:tc>
          <w:tcPr>
            <w:tcW w:w="217" w:type="dxa"/>
          </w:tcPr>
          <w:p w14:paraId="39C7D997" w14:textId="77777777" w:rsidR="002C0FD9" w:rsidRPr="00CA25CF" w:rsidRDefault="002C0FD9" w:rsidP="00CA25CF">
            <w:pPr>
              <w:rPr>
                <w:rFonts w:cs="Arial"/>
                <w:color w:val="FF0000"/>
                <w:sz w:val="21"/>
                <w:szCs w:val="21"/>
              </w:rPr>
            </w:pPr>
          </w:p>
        </w:tc>
        <w:tc>
          <w:tcPr>
            <w:tcW w:w="217" w:type="dxa"/>
          </w:tcPr>
          <w:p w14:paraId="42F33C4A" w14:textId="77777777" w:rsidR="002C0FD9" w:rsidRPr="00CA25CF" w:rsidRDefault="002C0FD9" w:rsidP="00CA25CF">
            <w:pPr>
              <w:rPr>
                <w:rFonts w:cs="Arial"/>
                <w:color w:val="FF0000"/>
                <w:sz w:val="21"/>
                <w:szCs w:val="21"/>
              </w:rPr>
            </w:pPr>
          </w:p>
        </w:tc>
        <w:tc>
          <w:tcPr>
            <w:tcW w:w="217" w:type="dxa"/>
          </w:tcPr>
          <w:p w14:paraId="085CB2D6" w14:textId="77777777" w:rsidR="002C0FD9" w:rsidRPr="00CA25CF" w:rsidRDefault="002C0FD9" w:rsidP="00CA25CF">
            <w:pPr>
              <w:rPr>
                <w:rFonts w:cs="Arial"/>
                <w:color w:val="FF0000"/>
                <w:sz w:val="21"/>
                <w:szCs w:val="21"/>
              </w:rPr>
            </w:pPr>
          </w:p>
        </w:tc>
        <w:tc>
          <w:tcPr>
            <w:tcW w:w="217" w:type="dxa"/>
          </w:tcPr>
          <w:p w14:paraId="674567F3" w14:textId="77777777" w:rsidR="002C0FD9" w:rsidRPr="00CA25CF" w:rsidRDefault="002C0FD9" w:rsidP="00CA25CF">
            <w:pPr>
              <w:rPr>
                <w:rFonts w:cs="Arial"/>
                <w:color w:val="FF0000"/>
                <w:sz w:val="21"/>
                <w:szCs w:val="21"/>
              </w:rPr>
            </w:pPr>
          </w:p>
        </w:tc>
        <w:tc>
          <w:tcPr>
            <w:tcW w:w="217" w:type="dxa"/>
          </w:tcPr>
          <w:p w14:paraId="6CB1B58F" w14:textId="77777777" w:rsidR="002C0FD9" w:rsidRPr="00CA25CF" w:rsidRDefault="002C0FD9" w:rsidP="00CA25CF">
            <w:pPr>
              <w:rPr>
                <w:rFonts w:cs="Arial"/>
                <w:color w:val="FF0000"/>
                <w:sz w:val="21"/>
                <w:szCs w:val="21"/>
              </w:rPr>
            </w:pPr>
          </w:p>
        </w:tc>
        <w:tc>
          <w:tcPr>
            <w:tcW w:w="217" w:type="dxa"/>
          </w:tcPr>
          <w:p w14:paraId="788F1872" w14:textId="77777777" w:rsidR="002C0FD9" w:rsidRPr="00CA25CF" w:rsidRDefault="002C0FD9" w:rsidP="00CA25CF">
            <w:pPr>
              <w:rPr>
                <w:rFonts w:cs="Arial"/>
                <w:color w:val="FF0000"/>
                <w:sz w:val="21"/>
                <w:szCs w:val="21"/>
              </w:rPr>
            </w:pPr>
          </w:p>
        </w:tc>
        <w:tc>
          <w:tcPr>
            <w:tcW w:w="217" w:type="dxa"/>
          </w:tcPr>
          <w:p w14:paraId="24A9C407" w14:textId="77777777" w:rsidR="002C0FD9" w:rsidRPr="00CA25CF" w:rsidRDefault="002C0FD9" w:rsidP="00CA25CF">
            <w:pPr>
              <w:rPr>
                <w:rFonts w:cs="Arial"/>
                <w:color w:val="FF0000"/>
                <w:sz w:val="21"/>
                <w:szCs w:val="21"/>
              </w:rPr>
            </w:pPr>
          </w:p>
        </w:tc>
        <w:tc>
          <w:tcPr>
            <w:tcW w:w="217" w:type="dxa"/>
          </w:tcPr>
          <w:p w14:paraId="1FD208B4" w14:textId="77777777" w:rsidR="002C0FD9" w:rsidRPr="00CA25CF" w:rsidRDefault="002C0FD9" w:rsidP="00CA25CF">
            <w:pPr>
              <w:rPr>
                <w:rFonts w:cs="Arial"/>
                <w:color w:val="FF0000"/>
                <w:sz w:val="21"/>
                <w:szCs w:val="21"/>
              </w:rPr>
            </w:pPr>
          </w:p>
        </w:tc>
        <w:tc>
          <w:tcPr>
            <w:tcW w:w="217" w:type="dxa"/>
          </w:tcPr>
          <w:p w14:paraId="57A491CB" w14:textId="77777777" w:rsidR="002C0FD9" w:rsidRPr="00CA25CF" w:rsidRDefault="002C0FD9" w:rsidP="00CA25CF">
            <w:pPr>
              <w:rPr>
                <w:rFonts w:cs="Arial"/>
                <w:color w:val="FF0000"/>
                <w:sz w:val="21"/>
                <w:szCs w:val="21"/>
              </w:rPr>
            </w:pPr>
          </w:p>
        </w:tc>
        <w:tc>
          <w:tcPr>
            <w:tcW w:w="217" w:type="dxa"/>
          </w:tcPr>
          <w:p w14:paraId="5F79FF9F" w14:textId="77777777" w:rsidR="002C0FD9" w:rsidRPr="00CA25CF" w:rsidRDefault="002C0FD9" w:rsidP="00CA25CF">
            <w:pPr>
              <w:rPr>
                <w:rFonts w:cs="Arial"/>
                <w:color w:val="FF0000"/>
                <w:sz w:val="21"/>
                <w:szCs w:val="21"/>
              </w:rPr>
            </w:pPr>
          </w:p>
        </w:tc>
        <w:tc>
          <w:tcPr>
            <w:tcW w:w="217" w:type="dxa"/>
          </w:tcPr>
          <w:p w14:paraId="66505FA9" w14:textId="77777777" w:rsidR="002C0FD9" w:rsidRPr="00CA25CF" w:rsidRDefault="002C0FD9" w:rsidP="00CA25CF">
            <w:pPr>
              <w:rPr>
                <w:rFonts w:cs="Arial"/>
                <w:color w:val="FF0000"/>
                <w:sz w:val="21"/>
                <w:szCs w:val="21"/>
              </w:rPr>
            </w:pPr>
          </w:p>
        </w:tc>
        <w:tc>
          <w:tcPr>
            <w:tcW w:w="217" w:type="dxa"/>
          </w:tcPr>
          <w:p w14:paraId="3472BBA0" w14:textId="77777777" w:rsidR="002C0FD9" w:rsidRPr="00CA25CF" w:rsidRDefault="002C0FD9" w:rsidP="00CA25CF">
            <w:pPr>
              <w:rPr>
                <w:rFonts w:cs="Arial"/>
                <w:color w:val="FF0000"/>
                <w:sz w:val="21"/>
                <w:szCs w:val="21"/>
              </w:rPr>
            </w:pPr>
          </w:p>
        </w:tc>
        <w:tc>
          <w:tcPr>
            <w:tcW w:w="217" w:type="dxa"/>
          </w:tcPr>
          <w:p w14:paraId="3094ABD0" w14:textId="77777777" w:rsidR="002C0FD9" w:rsidRPr="00CA25CF" w:rsidRDefault="002C0FD9" w:rsidP="00CA25CF">
            <w:pPr>
              <w:rPr>
                <w:rFonts w:cs="Arial"/>
                <w:color w:val="FF0000"/>
                <w:sz w:val="21"/>
                <w:szCs w:val="21"/>
              </w:rPr>
            </w:pPr>
          </w:p>
        </w:tc>
        <w:tc>
          <w:tcPr>
            <w:tcW w:w="217" w:type="dxa"/>
          </w:tcPr>
          <w:p w14:paraId="5290175D" w14:textId="77777777" w:rsidR="002C0FD9" w:rsidRPr="00CA25CF" w:rsidRDefault="002C0FD9" w:rsidP="00CA25CF">
            <w:pPr>
              <w:rPr>
                <w:rFonts w:cs="Arial"/>
                <w:color w:val="FF0000"/>
                <w:sz w:val="21"/>
                <w:szCs w:val="21"/>
              </w:rPr>
            </w:pPr>
          </w:p>
        </w:tc>
        <w:tc>
          <w:tcPr>
            <w:tcW w:w="217" w:type="dxa"/>
          </w:tcPr>
          <w:p w14:paraId="7CDD2B97" w14:textId="77777777" w:rsidR="002C0FD9" w:rsidRPr="00CA25CF" w:rsidRDefault="002C0FD9" w:rsidP="00CA25CF">
            <w:pPr>
              <w:rPr>
                <w:rFonts w:cs="Arial"/>
                <w:color w:val="FF0000"/>
                <w:sz w:val="21"/>
                <w:szCs w:val="21"/>
              </w:rPr>
            </w:pPr>
          </w:p>
        </w:tc>
        <w:tc>
          <w:tcPr>
            <w:tcW w:w="217" w:type="dxa"/>
          </w:tcPr>
          <w:p w14:paraId="4BDE33C5" w14:textId="77777777" w:rsidR="002C0FD9" w:rsidRPr="00CA25CF" w:rsidRDefault="002C0FD9" w:rsidP="00CA25CF">
            <w:pPr>
              <w:rPr>
                <w:rFonts w:cs="Arial"/>
                <w:color w:val="FF0000"/>
                <w:sz w:val="21"/>
                <w:szCs w:val="21"/>
              </w:rPr>
            </w:pPr>
          </w:p>
        </w:tc>
        <w:tc>
          <w:tcPr>
            <w:tcW w:w="217" w:type="dxa"/>
          </w:tcPr>
          <w:p w14:paraId="2674E668" w14:textId="77777777" w:rsidR="002C0FD9" w:rsidRPr="00CA25CF" w:rsidRDefault="002C0FD9" w:rsidP="00CA25CF">
            <w:pPr>
              <w:rPr>
                <w:rFonts w:cs="Arial"/>
                <w:color w:val="FF0000"/>
                <w:sz w:val="21"/>
                <w:szCs w:val="21"/>
              </w:rPr>
            </w:pPr>
          </w:p>
        </w:tc>
        <w:tc>
          <w:tcPr>
            <w:tcW w:w="217" w:type="dxa"/>
          </w:tcPr>
          <w:p w14:paraId="6DB7F573" w14:textId="77777777" w:rsidR="002C0FD9" w:rsidRPr="00CA25CF" w:rsidRDefault="002C0FD9" w:rsidP="00CA25CF">
            <w:pPr>
              <w:rPr>
                <w:rFonts w:cs="Arial"/>
                <w:color w:val="FF0000"/>
                <w:sz w:val="21"/>
                <w:szCs w:val="21"/>
              </w:rPr>
            </w:pPr>
          </w:p>
        </w:tc>
        <w:tc>
          <w:tcPr>
            <w:tcW w:w="217" w:type="dxa"/>
          </w:tcPr>
          <w:p w14:paraId="45503C88" w14:textId="77777777" w:rsidR="002C0FD9" w:rsidRPr="00CA25CF" w:rsidRDefault="002C0FD9" w:rsidP="00CA25CF">
            <w:pPr>
              <w:rPr>
                <w:rFonts w:cs="Arial"/>
                <w:color w:val="FF0000"/>
                <w:sz w:val="21"/>
                <w:szCs w:val="21"/>
              </w:rPr>
            </w:pPr>
          </w:p>
        </w:tc>
        <w:tc>
          <w:tcPr>
            <w:tcW w:w="217" w:type="dxa"/>
          </w:tcPr>
          <w:p w14:paraId="322EFBB5" w14:textId="77777777" w:rsidR="002C0FD9" w:rsidRPr="00CA25CF" w:rsidRDefault="002C0FD9" w:rsidP="00CA25CF">
            <w:pPr>
              <w:rPr>
                <w:rFonts w:cs="Arial"/>
                <w:color w:val="FF0000"/>
                <w:sz w:val="21"/>
                <w:szCs w:val="21"/>
              </w:rPr>
            </w:pPr>
          </w:p>
        </w:tc>
        <w:tc>
          <w:tcPr>
            <w:tcW w:w="217" w:type="dxa"/>
          </w:tcPr>
          <w:p w14:paraId="4F7B2179" w14:textId="77777777" w:rsidR="002C0FD9" w:rsidRPr="00CA25CF" w:rsidRDefault="002C0FD9" w:rsidP="00CA25CF">
            <w:pPr>
              <w:rPr>
                <w:rFonts w:cs="Arial"/>
                <w:color w:val="FF0000"/>
                <w:sz w:val="21"/>
                <w:szCs w:val="21"/>
              </w:rPr>
            </w:pPr>
          </w:p>
        </w:tc>
        <w:tc>
          <w:tcPr>
            <w:tcW w:w="217" w:type="dxa"/>
          </w:tcPr>
          <w:p w14:paraId="41C00D2D" w14:textId="77777777" w:rsidR="002C0FD9" w:rsidRPr="00CA25CF" w:rsidRDefault="002C0FD9" w:rsidP="00CA25CF">
            <w:pPr>
              <w:rPr>
                <w:rFonts w:cs="Arial"/>
                <w:color w:val="FF0000"/>
                <w:sz w:val="21"/>
                <w:szCs w:val="21"/>
              </w:rPr>
            </w:pPr>
          </w:p>
        </w:tc>
        <w:tc>
          <w:tcPr>
            <w:tcW w:w="217" w:type="dxa"/>
          </w:tcPr>
          <w:p w14:paraId="7FC6589A" w14:textId="77777777" w:rsidR="002C0FD9" w:rsidRPr="00CA25CF" w:rsidRDefault="002C0FD9" w:rsidP="00CA25CF">
            <w:pPr>
              <w:rPr>
                <w:rFonts w:cs="Arial"/>
                <w:color w:val="FF0000"/>
                <w:sz w:val="21"/>
                <w:szCs w:val="21"/>
              </w:rPr>
            </w:pPr>
          </w:p>
        </w:tc>
        <w:tc>
          <w:tcPr>
            <w:tcW w:w="217" w:type="dxa"/>
          </w:tcPr>
          <w:p w14:paraId="7742034E" w14:textId="77777777" w:rsidR="002C0FD9" w:rsidRPr="00CA25CF" w:rsidRDefault="002C0FD9" w:rsidP="00CA25CF">
            <w:pPr>
              <w:rPr>
                <w:rFonts w:cs="Arial"/>
                <w:color w:val="FF0000"/>
                <w:sz w:val="21"/>
                <w:szCs w:val="21"/>
              </w:rPr>
            </w:pPr>
          </w:p>
        </w:tc>
        <w:tc>
          <w:tcPr>
            <w:tcW w:w="217" w:type="dxa"/>
          </w:tcPr>
          <w:p w14:paraId="3A85AED0" w14:textId="77777777" w:rsidR="002C0FD9" w:rsidRPr="00CA25CF" w:rsidRDefault="002C0FD9" w:rsidP="00CA25CF">
            <w:pPr>
              <w:rPr>
                <w:rFonts w:cs="Arial"/>
                <w:color w:val="FF0000"/>
                <w:sz w:val="21"/>
                <w:szCs w:val="21"/>
              </w:rPr>
            </w:pPr>
          </w:p>
        </w:tc>
        <w:tc>
          <w:tcPr>
            <w:tcW w:w="217" w:type="dxa"/>
          </w:tcPr>
          <w:p w14:paraId="3590358F" w14:textId="77777777" w:rsidR="002C0FD9" w:rsidRPr="00CA25CF" w:rsidRDefault="002C0FD9" w:rsidP="00CA25CF">
            <w:pPr>
              <w:rPr>
                <w:rFonts w:cs="Arial"/>
                <w:color w:val="FF0000"/>
                <w:sz w:val="21"/>
                <w:szCs w:val="21"/>
              </w:rPr>
            </w:pPr>
          </w:p>
        </w:tc>
        <w:tc>
          <w:tcPr>
            <w:tcW w:w="217" w:type="dxa"/>
          </w:tcPr>
          <w:p w14:paraId="78637A2D" w14:textId="77777777" w:rsidR="002C0FD9" w:rsidRPr="00CA25CF" w:rsidRDefault="002C0FD9" w:rsidP="00CA25CF">
            <w:pPr>
              <w:rPr>
                <w:rFonts w:cs="Arial"/>
                <w:color w:val="FF0000"/>
                <w:sz w:val="21"/>
                <w:szCs w:val="21"/>
              </w:rPr>
            </w:pPr>
          </w:p>
        </w:tc>
        <w:tc>
          <w:tcPr>
            <w:tcW w:w="217" w:type="dxa"/>
          </w:tcPr>
          <w:p w14:paraId="1B52F847" w14:textId="77777777" w:rsidR="002C0FD9" w:rsidRPr="00CA25CF" w:rsidRDefault="002C0FD9" w:rsidP="00CA25CF">
            <w:pPr>
              <w:rPr>
                <w:rFonts w:cs="Arial"/>
                <w:color w:val="FF0000"/>
                <w:sz w:val="21"/>
                <w:szCs w:val="21"/>
              </w:rPr>
            </w:pPr>
          </w:p>
        </w:tc>
        <w:tc>
          <w:tcPr>
            <w:tcW w:w="217" w:type="dxa"/>
          </w:tcPr>
          <w:p w14:paraId="590B6CDF" w14:textId="77777777" w:rsidR="002C0FD9" w:rsidRPr="00CA25CF" w:rsidRDefault="002C0FD9" w:rsidP="00CA25CF">
            <w:pPr>
              <w:rPr>
                <w:rFonts w:cs="Arial"/>
                <w:color w:val="FF0000"/>
                <w:sz w:val="21"/>
                <w:szCs w:val="21"/>
              </w:rPr>
            </w:pPr>
          </w:p>
        </w:tc>
        <w:tc>
          <w:tcPr>
            <w:tcW w:w="217" w:type="dxa"/>
          </w:tcPr>
          <w:p w14:paraId="265C7FE1" w14:textId="77777777" w:rsidR="002C0FD9" w:rsidRPr="00CA25CF" w:rsidRDefault="002C0FD9" w:rsidP="00CA25CF">
            <w:pPr>
              <w:rPr>
                <w:rFonts w:cs="Arial"/>
                <w:color w:val="FF0000"/>
                <w:sz w:val="21"/>
                <w:szCs w:val="21"/>
              </w:rPr>
            </w:pPr>
          </w:p>
        </w:tc>
        <w:tc>
          <w:tcPr>
            <w:tcW w:w="217" w:type="dxa"/>
          </w:tcPr>
          <w:p w14:paraId="45A29E8C" w14:textId="77777777" w:rsidR="002C0FD9" w:rsidRPr="00CA25CF" w:rsidRDefault="002C0FD9" w:rsidP="00CA25CF">
            <w:pPr>
              <w:rPr>
                <w:rFonts w:cs="Arial"/>
                <w:color w:val="FF0000"/>
                <w:sz w:val="21"/>
                <w:szCs w:val="21"/>
              </w:rPr>
            </w:pPr>
          </w:p>
        </w:tc>
        <w:tc>
          <w:tcPr>
            <w:tcW w:w="217" w:type="dxa"/>
          </w:tcPr>
          <w:p w14:paraId="0AA94976" w14:textId="77777777" w:rsidR="002C0FD9" w:rsidRPr="00CA25CF" w:rsidRDefault="002C0FD9" w:rsidP="00CA25CF">
            <w:pPr>
              <w:rPr>
                <w:rFonts w:cs="Arial"/>
                <w:color w:val="FF0000"/>
                <w:sz w:val="21"/>
                <w:szCs w:val="21"/>
              </w:rPr>
            </w:pPr>
          </w:p>
        </w:tc>
        <w:tc>
          <w:tcPr>
            <w:tcW w:w="217" w:type="dxa"/>
          </w:tcPr>
          <w:p w14:paraId="1B73FD39" w14:textId="77777777" w:rsidR="002C0FD9" w:rsidRPr="00CA25CF" w:rsidRDefault="002C0FD9" w:rsidP="00CA25CF">
            <w:pPr>
              <w:rPr>
                <w:rFonts w:cs="Arial"/>
                <w:color w:val="FF0000"/>
                <w:sz w:val="21"/>
                <w:szCs w:val="21"/>
              </w:rPr>
            </w:pPr>
          </w:p>
        </w:tc>
      </w:tr>
      <w:tr w:rsidR="002C0FD9" w:rsidRPr="00A16219" w14:paraId="48C135F0" w14:textId="77777777" w:rsidTr="002C0FD9">
        <w:trPr>
          <w:trHeight w:val="635"/>
        </w:trPr>
        <w:tc>
          <w:tcPr>
            <w:tcW w:w="515" w:type="dxa"/>
          </w:tcPr>
          <w:p w14:paraId="1099F10B" w14:textId="77777777" w:rsidR="002C0FD9" w:rsidRPr="00CA25CF" w:rsidRDefault="002C0FD9" w:rsidP="00CA25CF">
            <w:pPr>
              <w:rPr>
                <w:rFonts w:cs="Arial"/>
                <w:color w:val="FF0000"/>
                <w:sz w:val="21"/>
                <w:szCs w:val="21"/>
              </w:rPr>
            </w:pPr>
          </w:p>
        </w:tc>
        <w:tc>
          <w:tcPr>
            <w:tcW w:w="217" w:type="dxa"/>
          </w:tcPr>
          <w:p w14:paraId="7CC0FB86" w14:textId="77777777" w:rsidR="002C0FD9" w:rsidRPr="00CA25CF" w:rsidRDefault="002C0FD9" w:rsidP="00CA25CF">
            <w:pPr>
              <w:rPr>
                <w:rFonts w:cs="Arial"/>
                <w:color w:val="FF0000"/>
                <w:sz w:val="21"/>
                <w:szCs w:val="21"/>
              </w:rPr>
            </w:pPr>
          </w:p>
        </w:tc>
        <w:tc>
          <w:tcPr>
            <w:tcW w:w="217" w:type="dxa"/>
          </w:tcPr>
          <w:p w14:paraId="127E3D4B" w14:textId="77777777" w:rsidR="002C0FD9" w:rsidRPr="00CA25CF" w:rsidRDefault="002C0FD9" w:rsidP="00CA25CF">
            <w:pPr>
              <w:rPr>
                <w:rFonts w:cs="Arial"/>
                <w:color w:val="FF0000"/>
                <w:sz w:val="21"/>
                <w:szCs w:val="21"/>
              </w:rPr>
            </w:pPr>
          </w:p>
        </w:tc>
        <w:tc>
          <w:tcPr>
            <w:tcW w:w="217" w:type="dxa"/>
          </w:tcPr>
          <w:p w14:paraId="1002123B" w14:textId="77777777" w:rsidR="002C0FD9" w:rsidRPr="00CA25CF" w:rsidRDefault="002C0FD9" w:rsidP="00CA25CF">
            <w:pPr>
              <w:rPr>
                <w:rFonts w:cs="Arial"/>
                <w:color w:val="FF0000"/>
                <w:sz w:val="21"/>
                <w:szCs w:val="21"/>
              </w:rPr>
            </w:pPr>
          </w:p>
        </w:tc>
        <w:tc>
          <w:tcPr>
            <w:tcW w:w="217" w:type="dxa"/>
          </w:tcPr>
          <w:p w14:paraId="3A822CD0" w14:textId="77777777" w:rsidR="002C0FD9" w:rsidRPr="00CA25CF" w:rsidRDefault="002C0FD9" w:rsidP="00CA25CF">
            <w:pPr>
              <w:rPr>
                <w:rFonts w:cs="Arial"/>
                <w:color w:val="FF0000"/>
                <w:sz w:val="21"/>
                <w:szCs w:val="21"/>
              </w:rPr>
            </w:pPr>
          </w:p>
        </w:tc>
        <w:tc>
          <w:tcPr>
            <w:tcW w:w="217" w:type="dxa"/>
          </w:tcPr>
          <w:p w14:paraId="2EFDF710" w14:textId="77777777" w:rsidR="002C0FD9" w:rsidRPr="00CA25CF" w:rsidRDefault="002C0FD9" w:rsidP="00CA25CF">
            <w:pPr>
              <w:rPr>
                <w:rFonts w:cs="Arial"/>
                <w:color w:val="FF0000"/>
                <w:sz w:val="21"/>
                <w:szCs w:val="21"/>
              </w:rPr>
            </w:pPr>
          </w:p>
        </w:tc>
        <w:tc>
          <w:tcPr>
            <w:tcW w:w="217" w:type="dxa"/>
          </w:tcPr>
          <w:p w14:paraId="5FFBEFEF" w14:textId="77777777" w:rsidR="002C0FD9" w:rsidRPr="00CA25CF" w:rsidRDefault="002C0FD9" w:rsidP="00CA25CF">
            <w:pPr>
              <w:rPr>
                <w:rFonts w:cs="Arial"/>
                <w:color w:val="FF0000"/>
                <w:sz w:val="21"/>
                <w:szCs w:val="21"/>
              </w:rPr>
            </w:pPr>
          </w:p>
        </w:tc>
        <w:tc>
          <w:tcPr>
            <w:tcW w:w="217" w:type="dxa"/>
          </w:tcPr>
          <w:p w14:paraId="5F309CD5" w14:textId="77777777" w:rsidR="002C0FD9" w:rsidRPr="00CA25CF" w:rsidRDefault="002C0FD9" w:rsidP="00CA25CF">
            <w:pPr>
              <w:rPr>
                <w:rFonts w:cs="Arial"/>
                <w:color w:val="FF0000"/>
                <w:sz w:val="21"/>
                <w:szCs w:val="21"/>
              </w:rPr>
            </w:pPr>
          </w:p>
        </w:tc>
        <w:tc>
          <w:tcPr>
            <w:tcW w:w="217" w:type="dxa"/>
          </w:tcPr>
          <w:p w14:paraId="66FD7EA1" w14:textId="77777777" w:rsidR="002C0FD9" w:rsidRPr="00CA25CF" w:rsidRDefault="002C0FD9" w:rsidP="00CA25CF">
            <w:pPr>
              <w:rPr>
                <w:rFonts w:cs="Arial"/>
                <w:color w:val="FF0000"/>
                <w:sz w:val="21"/>
                <w:szCs w:val="21"/>
              </w:rPr>
            </w:pPr>
          </w:p>
        </w:tc>
        <w:tc>
          <w:tcPr>
            <w:tcW w:w="217" w:type="dxa"/>
          </w:tcPr>
          <w:p w14:paraId="25EFCBDE" w14:textId="77777777" w:rsidR="002C0FD9" w:rsidRPr="00CA25CF" w:rsidRDefault="002C0FD9" w:rsidP="00CA25CF">
            <w:pPr>
              <w:rPr>
                <w:rFonts w:cs="Arial"/>
                <w:color w:val="FF0000"/>
                <w:sz w:val="21"/>
                <w:szCs w:val="21"/>
              </w:rPr>
            </w:pPr>
          </w:p>
        </w:tc>
        <w:tc>
          <w:tcPr>
            <w:tcW w:w="217" w:type="dxa"/>
          </w:tcPr>
          <w:p w14:paraId="7B6CD445" w14:textId="77777777" w:rsidR="002C0FD9" w:rsidRPr="00CA25CF" w:rsidRDefault="002C0FD9" w:rsidP="00CA25CF">
            <w:pPr>
              <w:rPr>
                <w:rFonts w:cs="Arial"/>
                <w:color w:val="FF0000"/>
                <w:sz w:val="21"/>
                <w:szCs w:val="21"/>
              </w:rPr>
            </w:pPr>
          </w:p>
        </w:tc>
        <w:tc>
          <w:tcPr>
            <w:tcW w:w="217" w:type="dxa"/>
          </w:tcPr>
          <w:p w14:paraId="191845FE" w14:textId="77777777" w:rsidR="002C0FD9" w:rsidRPr="00CA25CF" w:rsidRDefault="002C0FD9" w:rsidP="00CA25CF">
            <w:pPr>
              <w:rPr>
                <w:rFonts w:cs="Arial"/>
                <w:color w:val="FF0000"/>
                <w:sz w:val="21"/>
                <w:szCs w:val="21"/>
              </w:rPr>
            </w:pPr>
          </w:p>
        </w:tc>
        <w:tc>
          <w:tcPr>
            <w:tcW w:w="217" w:type="dxa"/>
          </w:tcPr>
          <w:p w14:paraId="5341DC8A" w14:textId="77777777" w:rsidR="002C0FD9" w:rsidRPr="00CA25CF" w:rsidRDefault="002C0FD9" w:rsidP="00CA25CF">
            <w:pPr>
              <w:rPr>
                <w:rFonts w:cs="Arial"/>
                <w:color w:val="FF0000"/>
                <w:sz w:val="21"/>
                <w:szCs w:val="21"/>
              </w:rPr>
            </w:pPr>
          </w:p>
        </w:tc>
        <w:tc>
          <w:tcPr>
            <w:tcW w:w="217" w:type="dxa"/>
          </w:tcPr>
          <w:p w14:paraId="20B68DF9" w14:textId="77777777" w:rsidR="002C0FD9" w:rsidRPr="00CA25CF" w:rsidRDefault="002C0FD9" w:rsidP="00CA25CF">
            <w:pPr>
              <w:rPr>
                <w:rFonts w:cs="Arial"/>
                <w:color w:val="FF0000"/>
                <w:sz w:val="21"/>
                <w:szCs w:val="21"/>
              </w:rPr>
            </w:pPr>
          </w:p>
        </w:tc>
        <w:tc>
          <w:tcPr>
            <w:tcW w:w="217" w:type="dxa"/>
          </w:tcPr>
          <w:p w14:paraId="16715C41" w14:textId="77777777" w:rsidR="002C0FD9" w:rsidRPr="00CA25CF" w:rsidRDefault="002C0FD9" w:rsidP="00CA25CF">
            <w:pPr>
              <w:rPr>
                <w:rFonts w:cs="Arial"/>
                <w:color w:val="FF0000"/>
                <w:sz w:val="21"/>
                <w:szCs w:val="21"/>
              </w:rPr>
            </w:pPr>
          </w:p>
        </w:tc>
        <w:tc>
          <w:tcPr>
            <w:tcW w:w="217" w:type="dxa"/>
          </w:tcPr>
          <w:p w14:paraId="15ECF871" w14:textId="77777777" w:rsidR="002C0FD9" w:rsidRPr="00CA25CF" w:rsidRDefault="002C0FD9" w:rsidP="00CA25CF">
            <w:pPr>
              <w:rPr>
                <w:rFonts w:cs="Arial"/>
                <w:color w:val="FF0000"/>
                <w:sz w:val="21"/>
                <w:szCs w:val="21"/>
              </w:rPr>
            </w:pPr>
          </w:p>
        </w:tc>
        <w:tc>
          <w:tcPr>
            <w:tcW w:w="217" w:type="dxa"/>
          </w:tcPr>
          <w:p w14:paraId="3F03BDD3" w14:textId="77777777" w:rsidR="002C0FD9" w:rsidRPr="00CA25CF" w:rsidRDefault="002C0FD9" w:rsidP="00CA25CF">
            <w:pPr>
              <w:rPr>
                <w:rFonts w:cs="Arial"/>
                <w:color w:val="FF0000"/>
                <w:sz w:val="21"/>
                <w:szCs w:val="21"/>
              </w:rPr>
            </w:pPr>
          </w:p>
        </w:tc>
        <w:tc>
          <w:tcPr>
            <w:tcW w:w="217" w:type="dxa"/>
          </w:tcPr>
          <w:p w14:paraId="0D961907" w14:textId="77777777" w:rsidR="002C0FD9" w:rsidRPr="00CA25CF" w:rsidRDefault="002C0FD9" w:rsidP="00CA25CF">
            <w:pPr>
              <w:rPr>
                <w:rFonts w:cs="Arial"/>
                <w:color w:val="FF0000"/>
                <w:sz w:val="21"/>
                <w:szCs w:val="21"/>
              </w:rPr>
            </w:pPr>
          </w:p>
        </w:tc>
        <w:tc>
          <w:tcPr>
            <w:tcW w:w="217" w:type="dxa"/>
          </w:tcPr>
          <w:p w14:paraId="524ADF0F" w14:textId="77777777" w:rsidR="002C0FD9" w:rsidRPr="00CA25CF" w:rsidRDefault="002C0FD9" w:rsidP="00CA25CF">
            <w:pPr>
              <w:rPr>
                <w:rFonts w:cs="Arial"/>
                <w:color w:val="FF0000"/>
                <w:sz w:val="21"/>
                <w:szCs w:val="21"/>
              </w:rPr>
            </w:pPr>
          </w:p>
        </w:tc>
        <w:tc>
          <w:tcPr>
            <w:tcW w:w="217" w:type="dxa"/>
          </w:tcPr>
          <w:p w14:paraId="1D5C2129" w14:textId="77777777" w:rsidR="002C0FD9" w:rsidRPr="00CA25CF" w:rsidRDefault="002C0FD9" w:rsidP="00CA25CF">
            <w:pPr>
              <w:rPr>
                <w:rFonts w:cs="Arial"/>
                <w:color w:val="FF0000"/>
                <w:sz w:val="21"/>
                <w:szCs w:val="21"/>
              </w:rPr>
            </w:pPr>
          </w:p>
        </w:tc>
        <w:tc>
          <w:tcPr>
            <w:tcW w:w="217" w:type="dxa"/>
          </w:tcPr>
          <w:p w14:paraId="7270EC25" w14:textId="77777777" w:rsidR="002C0FD9" w:rsidRPr="00CA25CF" w:rsidRDefault="002C0FD9" w:rsidP="00CA25CF">
            <w:pPr>
              <w:rPr>
                <w:rFonts w:cs="Arial"/>
                <w:color w:val="FF0000"/>
                <w:sz w:val="21"/>
                <w:szCs w:val="21"/>
              </w:rPr>
            </w:pPr>
          </w:p>
        </w:tc>
        <w:tc>
          <w:tcPr>
            <w:tcW w:w="217" w:type="dxa"/>
          </w:tcPr>
          <w:p w14:paraId="712047DE" w14:textId="77777777" w:rsidR="002C0FD9" w:rsidRPr="00CA25CF" w:rsidRDefault="002C0FD9" w:rsidP="00CA25CF">
            <w:pPr>
              <w:rPr>
                <w:rFonts w:cs="Arial"/>
                <w:color w:val="FF0000"/>
                <w:sz w:val="21"/>
                <w:szCs w:val="21"/>
              </w:rPr>
            </w:pPr>
          </w:p>
        </w:tc>
        <w:tc>
          <w:tcPr>
            <w:tcW w:w="217" w:type="dxa"/>
          </w:tcPr>
          <w:p w14:paraId="7E71F639" w14:textId="77777777" w:rsidR="002C0FD9" w:rsidRPr="00CA25CF" w:rsidRDefault="002C0FD9" w:rsidP="00CA25CF">
            <w:pPr>
              <w:rPr>
                <w:rFonts w:cs="Arial"/>
                <w:color w:val="FF0000"/>
                <w:sz w:val="21"/>
                <w:szCs w:val="21"/>
              </w:rPr>
            </w:pPr>
          </w:p>
        </w:tc>
        <w:tc>
          <w:tcPr>
            <w:tcW w:w="217" w:type="dxa"/>
          </w:tcPr>
          <w:p w14:paraId="74FFDC2B" w14:textId="77777777" w:rsidR="002C0FD9" w:rsidRPr="00CA25CF" w:rsidRDefault="002C0FD9" w:rsidP="00CA25CF">
            <w:pPr>
              <w:rPr>
                <w:rFonts w:cs="Arial"/>
                <w:color w:val="FF0000"/>
                <w:sz w:val="21"/>
                <w:szCs w:val="21"/>
              </w:rPr>
            </w:pPr>
          </w:p>
        </w:tc>
        <w:tc>
          <w:tcPr>
            <w:tcW w:w="217" w:type="dxa"/>
          </w:tcPr>
          <w:p w14:paraId="16AE5A61" w14:textId="77777777" w:rsidR="002C0FD9" w:rsidRPr="00CA25CF" w:rsidRDefault="002C0FD9" w:rsidP="00CA25CF">
            <w:pPr>
              <w:rPr>
                <w:rFonts w:cs="Arial"/>
                <w:color w:val="FF0000"/>
                <w:sz w:val="21"/>
                <w:szCs w:val="21"/>
              </w:rPr>
            </w:pPr>
          </w:p>
        </w:tc>
        <w:tc>
          <w:tcPr>
            <w:tcW w:w="217" w:type="dxa"/>
          </w:tcPr>
          <w:p w14:paraId="39CDFF59" w14:textId="77777777" w:rsidR="002C0FD9" w:rsidRPr="00CA25CF" w:rsidRDefault="002C0FD9" w:rsidP="00CA25CF">
            <w:pPr>
              <w:rPr>
                <w:rFonts w:cs="Arial"/>
                <w:color w:val="FF0000"/>
                <w:sz w:val="21"/>
                <w:szCs w:val="21"/>
              </w:rPr>
            </w:pPr>
          </w:p>
        </w:tc>
        <w:tc>
          <w:tcPr>
            <w:tcW w:w="217" w:type="dxa"/>
          </w:tcPr>
          <w:p w14:paraId="2EC9D771" w14:textId="77777777" w:rsidR="002C0FD9" w:rsidRPr="00CA25CF" w:rsidRDefault="002C0FD9" w:rsidP="00CA25CF">
            <w:pPr>
              <w:rPr>
                <w:rFonts w:cs="Arial"/>
                <w:color w:val="FF0000"/>
                <w:sz w:val="21"/>
                <w:szCs w:val="21"/>
              </w:rPr>
            </w:pPr>
          </w:p>
        </w:tc>
        <w:tc>
          <w:tcPr>
            <w:tcW w:w="217" w:type="dxa"/>
          </w:tcPr>
          <w:p w14:paraId="105AE94A" w14:textId="77777777" w:rsidR="002C0FD9" w:rsidRPr="00CA25CF" w:rsidRDefault="002C0FD9" w:rsidP="00CA25CF">
            <w:pPr>
              <w:rPr>
                <w:rFonts w:cs="Arial"/>
                <w:color w:val="FF0000"/>
                <w:sz w:val="21"/>
                <w:szCs w:val="21"/>
              </w:rPr>
            </w:pPr>
          </w:p>
        </w:tc>
        <w:tc>
          <w:tcPr>
            <w:tcW w:w="217" w:type="dxa"/>
          </w:tcPr>
          <w:p w14:paraId="0AB46A31" w14:textId="77777777" w:rsidR="002C0FD9" w:rsidRPr="00CA25CF" w:rsidRDefault="002C0FD9" w:rsidP="00CA25CF">
            <w:pPr>
              <w:rPr>
                <w:rFonts w:cs="Arial"/>
                <w:color w:val="FF0000"/>
                <w:sz w:val="21"/>
                <w:szCs w:val="21"/>
              </w:rPr>
            </w:pPr>
          </w:p>
        </w:tc>
        <w:tc>
          <w:tcPr>
            <w:tcW w:w="217" w:type="dxa"/>
          </w:tcPr>
          <w:p w14:paraId="465A9704" w14:textId="77777777" w:rsidR="002C0FD9" w:rsidRPr="00CA25CF" w:rsidRDefault="002C0FD9" w:rsidP="00CA25CF">
            <w:pPr>
              <w:rPr>
                <w:rFonts w:cs="Arial"/>
                <w:color w:val="FF0000"/>
                <w:sz w:val="21"/>
                <w:szCs w:val="21"/>
              </w:rPr>
            </w:pPr>
          </w:p>
        </w:tc>
        <w:tc>
          <w:tcPr>
            <w:tcW w:w="217" w:type="dxa"/>
          </w:tcPr>
          <w:p w14:paraId="1C605DA8" w14:textId="77777777" w:rsidR="002C0FD9" w:rsidRPr="00CA25CF" w:rsidRDefault="002C0FD9" w:rsidP="00CA25CF">
            <w:pPr>
              <w:rPr>
                <w:rFonts w:cs="Arial"/>
                <w:color w:val="FF0000"/>
                <w:sz w:val="21"/>
                <w:szCs w:val="21"/>
              </w:rPr>
            </w:pPr>
          </w:p>
        </w:tc>
        <w:tc>
          <w:tcPr>
            <w:tcW w:w="217" w:type="dxa"/>
          </w:tcPr>
          <w:p w14:paraId="37F5AA68" w14:textId="77777777" w:rsidR="002C0FD9" w:rsidRPr="00CA25CF" w:rsidRDefault="002C0FD9" w:rsidP="00CA25CF">
            <w:pPr>
              <w:rPr>
                <w:rFonts w:cs="Arial"/>
                <w:color w:val="FF0000"/>
                <w:sz w:val="21"/>
                <w:szCs w:val="21"/>
              </w:rPr>
            </w:pPr>
          </w:p>
        </w:tc>
        <w:tc>
          <w:tcPr>
            <w:tcW w:w="217" w:type="dxa"/>
          </w:tcPr>
          <w:p w14:paraId="66973058" w14:textId="77777777" w:rsidR="002C0FD9" w:rsidRPr="00CA25CF" w:rsidRDefault="002C0FD9" w:rsidP="00CA25CF">
            <w:pPr>
              <w:rPr>
                <w:rFonts w:cs="Arial"/>
                <w:color w:val="FF0000"/>
                <w:sz w:val="21"/>
                <w:szCs w:val="21"/>
              </w:rPr>
            </w:pPr>
          </w:p>
        </w:tc>
        <w:tc>
          <w:tcPr>
            <w:tcW w:w="217" w:type="dxa"/>
          </w:tcPr>
          <w:p w14:paraId="512694A2" w14:textId="77777777" w:rsidR="002C0FD9" w:rsidRPr="00CA25CF" w:rsidRDefault="002C0FD9" w:rsidP="00CA25CF">
            <w:pPr>
              <w:rPr>
                <w:rFonts w:cs="Arial"/>
                <w:color w:val="FF0000"/>
                <w:sz w:val="21"/>
                <w:szCs w:val="21"/>
              </w:rPr>
            </w:pPr>
          </w:p>
        </w:tc>
        <w:tc>
          <w:tcPr>
            <w:tcW w:w="217" w:type="dxa"/>
          </w:tcPr>
          <w:p w14:paraId="5020DD92" w14:textId="77777777" w:rsidR="002C0FD9" w:rsidRPr="00CA25CF" w:rsidRDefault="002C0FD9" w:rsidP="00CA25CF">
            <w:pPr>
              <w:rPr>
                <w:rFonts w:cs="Arial"/>
                <w:color w:val="FF0000"/>
                <w:sz w:val="21"/>
                <w:szCs w:val="21"/>
              </w:rPr>
            </w:pPr>
          </w:p>
        </w:tc>
        <w:tc>
          <w:tcPr>
            <w:tcW w:w="217" w:type="dxa"/>
          </w:tcPr>
          <w:p w14:paraId="17E11843" w14:textId="77777777" w:rsidR="002C0FD9" w:rsidRPr="00CA25CF" w:rsidRDefault="002C0FD9" w:rsidP="00CA25CF">
            <w:pPr>
              <w:rPr>
                <w:rFonts w:cs="Arial"/>
                <w:color w:val="FF0000"/>
                <w:sz w:val="21"/>
                <w:szCs w:val="21"/>
              </w:rPr>
            </w:pPr>
          </w:p>
        </w:tc>
        <w:tc>
          <w:tcPr>
            <w:tcW w:w="217" w:type="dxa"/>
          </w:tcPr>
          <w:p w14:paraId="316C7D3C" w14:textId="77777777" w:rsidR="002C0FD9" w:rsidRPr="00CA25CF" w:rsidRDefault="002C0FD9" w:rsidP="00CA25CF">
            <w:pPr>
              <w:rPr>
                <w:rFonts w:cs="Arial"/>
                <w:color w:val="FF0000"/>
                <w:sz w:val="21"/>
                <w:szCs w:val="21"/>
              </w:rPr>
            </w:pPr>
          </w:p>
        </w:tc>
        <w:tc>
          <w:tcPr>
            <w:tcW w:w="217" w:type="dxa"/>
          </w:tcPr>
          <w:p w14:paraId="2A0D37CC" w14:textId="77777777" w:rsidR="002C0FD9" w:rsidRPr="00CA25CF" w:rsidRDefault="002C0FD9" w:rsidP="00CA25CF">
            <w:pPr>
              <w:rPr>
                <w:rFonts w:cs="Arial"/>
                <w:color w:val="FF0000"/>
                <w:sz w:val="21"/>
                <w:szCs w:val="21"/>
              </w:rPr>
            </w:pPr>
          </w:p>
        </w:tc>
        <w:tc>
          <w:tcPr>
            <w:tcW w:w="217" w:type="dxa"/>
          </w:tcPr>
          <w:p w14:paraId="58224E25" w14:textId="77777777" w:rsidR="002C0FD9" w:rsidRPr="00CA25CF" w:rsidRDefault="002C0FD9" w:rsidP="00CA25CF">
            <w:pPr>
              <w:rPr>
                <w:rFonts w:cs="Arial"/>
                <w:color w:val="FF0000"/>
                <w:sz w:val="21"/>
                <w:szCs w:val="21"/>
              </w:rPr>
            </w:pPr>
          </w:p>
        </w:tc>
        <w:tc>
          <w:tcPr>
            <w:tcW w:w="217" w:type="dxa"/>
          </w:tcPr>
          <w:p w14:paraId="371CD4C2" w14:textId="77777777" w:rsidR="002C0FD9" w:rsidRPr="00CA25CF" w:rsidRDefault="002C0FD9" w:rsidP="00CA25CF">
            <w:pPr>
              <w:rPr>
                <w:rFonts w:cs="Arial"/>
                <w:color w:val="FF0000"/>
                <w:sz w:val="21"/>
                <w:szCs w:val="21"/>
              </w:rPr>
            </w:pPr>
          </w:p>
        </w:tc>
        <w:tc>
          <w:tcPr>
            <w:tcW w:w="217" w:type="dxa"/>
          </w:tcPr>
          <w:p w14:paraId="681ADEDB" w14:textId="77777777" w:rsidR="002C0FD9" w:rsidRPr="00CA25CF" w:rsidRDefault="002C0FD9" w:rsidP="00CA25CF">
            <w:pPr>
              <w:rPr>
                <w:rFonts w:cs="Arial"/>
                <w:color w:val="FF0000"/>
                <w:sz w:val="21"/>
                <w:szCs w:val="21"/>
              </w:rPr>
            </w:pPr>
          </w:p>
        </w:tc>
        <w:tc>
          <w:tcPr>
            <w:tcW w:w="217" w:type="dxa"/>
          </w:tcPr>
          <w:p w14:paraId="69E4633A" w14:textId="77777777" w:rsidR="002C0FD9" w:rsidRPr="00CA25CF" w:rsidRDefault="002C0FD9" w:rsidP="00CA25CF">
            <w:pPr>
              <w:rPr>
                <w:rFonts w:cs="Arial"/>
                <w:color w:val="FF0000"/>
                <w:sz w:val="21"/>
                <w:szCs w:val="21"/>
              </w:rPr>
            </w:pPr>
          </w:p>
        </w:tc>
        <w:tc>
          <w:tcPr>
            <w:tcW w:w="217" w:type="dxa"/>
          </w:tcPr>
          <w:p w14:paraId="79BFA8F2" w14:textId="77777777" w:rsidR="002C0FD9" w:rsidRPr="00CA25CF" w:rsidRDefault="002C0FD9" w:rsidP="00CA25CF">
            <w:pPr>
              <w:rPr>
                <w:rFonts w:cs="Arial"/>
                <w:color w:val="FF0000"/>
                <w:sz w:val="21"/>
                <w:szCs w:val="21"/>
              </w:rPr>
            </w:pPr>
          </w:p>
        </w:tc>
      </w:tr>
      <w:tr w:rsidR="002C0FD9" w:rsidRPr="00A16219" w14:paraId="6C904A16" w14:textId="77777777" w:rsidTr="002C0FD9">
        <w:trPr>
          <w:trHeight w:val="635"/>
        </w:trPr>
        <w:tc>
          <w:tcPr>
            <w:tcW w:w="515" w:type="dxa"/>
          </w:tcPr>
          <w:p w14:paraId="373F12ED" w14:textId="77777777" w:rsidR="002C0FD9" w:rsidRPr="00CA25CF" w:rsidRDefault="002C0FD9" w:rsidP="00CA25CF">
            <w:pPr>
              <w:rPr>
                <w:rFonts w:cs="Arial"/>
                <w:color w:val="FF0000"/>
                <w:sz w:val="21"/>
                <w:szCs w:val="21"/>
              </w:rPr>
            </w:pPr>
          </w:p>
        </w:tc>
        <w:tc>
          <w:tcPr>
            <w:tcW w:w="217" w:type="dxa"/>
          </w:tcPr>
          <w:p w14:paraId="09C5E6AB" w14:textId="77777777" w:rsidR="002C0FD9" w:rsidRPr="00CA25CF" w:rsidRDefault="002C0FD9" w:rsidP="00CA25CF">
            <w:pPr>
              <w:rPr>
                <w:rFonts w:cs="Arial"/>
                <w:color w:val="FF0000"/>
                <w:sz w:val="21"/>
                <w:szCs w:val="21"/>
              </w:rPr>
            </w:pPr>
          </w:p>
        </w:tc>
        <w:tc>
          <w:tcPr>
            <w:tcW w:w="217" w:type="dxa"/>
          </w:tcPr>
          <w:p w14:paraId="082ED610" w14:textId="77777777" w:rsidR="002C0FD9" w:rsidRPr="00CA25CF" w:rsidRDefault="002C0FD9" w:rsidP="00CA25CF">
            <w:pPr>
              <w:rPr>
                <w:rFonts w:cs="Arial"/>
                <w:color w:val="FF0000"/>
                <w:sz w:val="21"/>
                <w:szCs w:val="21"/>
              </w:rPr>
            </w:pPr>
          </w:p>
        </w:tc>
        <w:tc>
          <w:tcPr>
            <w:tcW w:w="217" w:type="dxa"/>
          </w:tcPr>
          <w:p w14:paraId="07D6D02C" w14:textId="77777777" w:rsidR="002C0FD9" w:rsidRPr="00CA25CF" w:rsidRDefault="002C0FD9" w:rsidP="00CA25CF">
            <w:pPr>
              <w:rPr>
                <w:rFonts w:cs="Arial"/>
                <w:color w:val="FF0000"/>
                <w:sz w:val="21"/>
                <w:szCs w:val="21"/>
              </w:rPr>
            </w:pPr>
          </w:p>
        </w:tc>
        <w:tc>
          <w:tcPr>
            <w:tcW w:w="217" w:type="dxa"/>
          </w:tcPr>
          <w:p w14:paraId="56FCEFD7" w14:textId="77777777" w:rsidR="002C0FD9" w:rsidRPr="00CA25CF" w:rsidRDefault="002C0FD9" w:rsidP="00CA25CF">
            <w:pPr>
              <w:rPr>
                <w:rFonts w:cs="Arial"/>
                <w:color w:val="FF0000"/>
                <w:sz w:val="21"/>
                <w:szCs w:val="21"/>
              </w:rPr>
            </w:pPr>
          </w:p>
        </w:tc>
        <w:tc>
          <w:tcPr>
            <w:tcW w:w="217" w:type="dxa"/>
          </w:tcPr>
          <w:p w14:paraId="4089EC5D" w14:textId="77777777" w:rsidR="002C0FD9" w:rsidRPr="00CA25CF" w:rsidRDefault="002C0FD9" w:rsidP="00CA25CF">
            <w:pPr>
              <w:rPr>
                <w:rFonts w:cs="Arial"/>
                <w:color w:val="FF0000"/>
                <w:sz w:val="21"/>
                <w:szCs w:val="21"/>
              </w:rPr>
            </w:pPr>
          </w:p>
        </w:tc>
        <w:tc>
          <w:tcPr>
            <w:tcW w:w="217" w:type="dxa"/>
          </w:tcPr>
          <w:p w14:paraId="063D7CC9" w14:textId="77777777" w:rsidR="002C0FD9" w:rsidRPr="00CA25CF" w:rsidRDefault="002C0FD9" w:rsidP="00CA25CF">
            <w:pPr>
              <w:rPr>
                <w:rFonts w:cs="Arial"/>
                <w:color w:val="FF0000"/>
                <w:sz w:val="21"/>
                <w:szCs w:val="21"/>
              </w:rPr>
            </w:pPr>
          </w:p>
        </w:tc>
        <w:tc>
          <w:tcPr>
            <w:tcW w:w="217" w:type="dxa"/>
          </w:tcPr>
          <w:p w14:paraId="7FE8EC0E" w14:textId="77777777" w:rsidR="002C0FD9" w:rsidRPr="00CA25CF" w:rsidRDefault="002C0FD9" w:rsidP="00CA25CF">
            <w:pPr>
              <w:rPr>
                <w:rFonts w:cs="Arial"/>
                <w:color w:val="FF0000"/>
                <w:sz w:val="21"/>
                <w:szCs w:val="21"/>
              </w:rPr>
            </w:pPr>
          </w:p>
        </w:tc>
        <w:tc>
          <w:tcPr>
            <w:tcW w:w="217" w:type="dxa"/>
          </w:tcPr>
          <w:p w14:paraId="25B4C867" w14:textId="77777777" w:rsidR="002C0FD9" w:rsidRPr="00CA25CF" w:rsidRDefault="002C0FD9" w:rsidP="00CA25CF">
            <w:pPr>
              <w:rPr>
                <w:rFonts w:cs="Arial"/>
                <w:color w:val="FF0000"/>
                <w:sz w:val="21"/>
                <w:szCs w:val="21"/>
              </w:rPr>
            </w:pPr>
          </w:p>
        </w:tc>
        <w:tc>
          <w:tcPr>
            <w:tcW w:w="217" w:type="dxa"/>
          </w:tcPr>
          <w:p w14:paraId="2378DFE0" w14:textId="77777777" w:rsidR="002C0FD9" w:rsidRPr="00CA25CF" w:rsidRDefault="002C0FD9" w:rsidP="00CA25CF">
            <w:pPr>
              <w:rPr>
                <w:rFonts w:cs="Arial"/>
                <w:color w:val="FF0000"/>
                <w:sz w:val="21"/>
                <w:szCs w:val="21"/>
              </w:rPr>
            </w:pPr>
          </w:p>
        </w:tc>
        <w:tc>
          <w:tcPr>
            <w:tcW w:w="217" w:type="dxa"/>
          </w:tcPr>
          <w:p w14:paraId="6F3160A6" w14:textId="77777777" w:rsidR="002C0FD9" w:rsidRPr="00CA25CF" w:rsidRDefault="002C0FD9" w:rsidP="00CA25CF">
            <w:pPr>
              <w:rPr>
                <w:rFonts w:cs="Arial"/>
                <w:color w:val="FF0000"/>
                <w:sz w:val="21"/>
                <w:szCs w:val="21"/>
              </w:rPr>
            </w:pPr>
          </w:p>
        </w:tc>
        <w:tc>
          <w:tcPr>
            <w:tcW w:w="217" w:type="dxa"/>
          </w:tcPr>
          <w:p w14:paraId="5455BD0F" w14:textId="77777777" w:rsidR="002C0FD9" w:rsidRPr="00CA25CF" w:rsidRDefault="002C0FD9" w:rsidP="00CA25CF">
            <w:pPr>
              <w:rPr>
                <w:rFonts w:cs="Arial"/>
                <w:color w:val="FF0000"/>
                <w:sz w:val="21"/>
                <w:szCs w:val="21"/>
              </w:rPr>
            </w:pPr>
          </w:p>
        </w:tc>
        <w:tc>
          <w:tcPr>
            <w:tcW w:w="217" w:type="dxa"/>
          </w:tcPr>
          <w:p w14:paraId="7842D2EB" w14:textId="77777777" w:rsidR="002C0FD9" w:rsidRPr="00CA25CF" w:rsidRDefault="002C0FD9" w:rsidP="00CA25CF">
            <w:pPr>
              <w:rPr>
                <w:rFonts w:cs="Arial"/>
                <w:color w:val="FF0000"/>
                <w:sz w:val="21"/>
                <w:szCs w:val="21"/>
              </w:rPr>
            </w:pPr>
          </w:p>
        </w:tc>
        <w:tc>
          <w:tcPr>
            <w:tcW w:w="217" w:type="dxa"/>
          </w:tcPr>
          <w:p w14:paraId="36A285D8" w14:textId="77777777" w:rsidR="002C0FD9" w:rsidRPr="00CA25CF" w:rsidRDefault="002C0FD9" w:rsidP="00CA25CF">
            <w:pPr>
              <w:rPr>
                <w:rFonts w:cs="Arial"/>
                <w:color w:val="FF0000"/>
                <w:sz w:val="21"/>
                <w:szCs w:val="21"/>
              </w:rPr>
            </w:pPr>
          </w:p>
        </w:tc>
        <w:tc>
          <w:tcPr>
            <w:tcW w:w="217" w:type="dxa"/>
          </w:tcPr>
          <w:p w14:paraId="13F58EB5" w14:textId="77777777" w:rsidR="002C0FD9" w:rsidRPr="00CA25CF" w:rsidRDefault="002C0FD9" w:rsidP="00CA25CF">
            <w:pPr>
              <w:rPr>
                <w:rFonts w:cs="Arial"/>
                <w:color w:val="FF0000"/>
                <w:sz w:val="21"/>
                <w:szCs w:val="21"/>
              </w:rPr>
            </w:pPr>
          </w:p>
        </w:tc>
        <w:tc>
          <w:tcPr>
            <w:tcW w:w="217" w:type="dxa"/>
          </w:tcPr>
          <w:p w14:paraId="4E70640F" w14:textId="77777777" w:rsidR="002C0FD9" w:rsidRPr="00CA25CF" w:rsidRDefault="002C0FD9" w:rsidP="00CA25CF">
            <w:pPr>
              <w:rPr>
                <w:rFonts w:cs="Arial"/>
                <w:color w:val="FF0000"/>
                <w:sz w:val="21"/>
                <w:szCs w:val="21"/>
              </w:rPr>
            </w:pPr>
          </w:p>
        </w:tc>
        <w:tc>
          <w:tcPr>
            <w:tcW w:w="217" w:type="dxa"/>
          </w:tcPr>
          <w:p w14:paraId="48BB7707" w14:textId="77777777" w:rsidR="002C0FD9" w:rsidRPr="00CA25CF" w:rsidRDefault="002C0FD9" w:rsidP="00CA25CF">
            <w:pPr>
              <w:rPr>
                <w:rFonts w:cs="Arial"/>
                <w:color w:val="FF0000"/>
                <w:sz w:val="21"/>
                <w:szCs w:val="21"/>
              </w:rPr>
            </w:pPr>
          </w:p>
        </w:tc>
        <w:tc>
          <w:tcPr>
            <w:tcW w:w="217" w:type="dxa"/>
          </w:tcPr>
          <w:p w14:paraId="5AD230BE" w14:textId="77777777" w:rsidR="002C0FD9" w:rsidRPr="00CA25CF" w:rsidRDefault="002C0FD9" w:rsidP="00CA25CF">
            <w:pPr>
              <w:rPr>
                <w:rFonts w:cs="Arial"/>
                <w:color w:val="FF0000"/>
                <w:sz w:val="21"/>
                <w:szCs w:val="21"/>
              </w:rPr>
            </w:pPr>
          </w:p>
        </w:tc>
        <w:tc>
          <w:tcPr>
            <w:tcW w:w="217" w:type="dxa"/>
          </w:tcPr>
          <w:p w14:paraId="4CA4C3C3" w14:textId="77777777" w:rsidR="002C0FD9" w:rsidRPr="00CA25CF" w:rsidRDefault="002C0FD9" w:rsidP="00CA25CF">
            <w:pPr>
              <w:rPr>
                <w:rFonts w:cs="Arial"/>
                <w:color w:val="FF0000"/>
                <w:sz w:val="21"/>
                <w:szCs w:val="21"/>
              </w:rPr>
            </w:pPr>
          </w:p>
        </w:tc>
        <w:tc>
          <w:tcPr>
            <w:tcW w:w="217" w:type="dxa"/>
          </w:tcPr>
          <w:p w14:paraId="67F6E867" w14:textId="77777777" w:rsidR="002C0FD9" w:rsidRPr="00CA25CF" w:rsidRDefault="002C0FD9" w:rsidP="00CA25CF">
            <w:pPr>
              <w:rPr>
                <w:rFonts w:cs="Arial"/>
                <w:color w:val="FF0000"/>
                <w:sz w:val="21"/>
                <w:szCs w:val="21"/>
              </w:rPr>
            </w:pPr>
          </w:p>
        </w:tc>
        <w:tc>
          <w:tcPr>
            <w:tcW w:w="217" w:type="dxa"/>
          </w:tcPr>
          <w:p w14:paraId="063EAC16" w14:textId="77777777" w:rsidR="002C0FD9" w:rsidRPr="00CA25CF" w:rsidRDefault="002C0FD9" w:rsidP="00CA25CF">
            <w:pPr>
              <w:rPr>
                <w:rFonts w:cs="Arial"/>
                <w:color w:val="FF0000"/>
                <w:sz w:val="21"/>
                <w:szCs w:val="21"/>
              </w:rPr>
            </w:pPr>
          </w:p>
        </w:tc>
        <w:tc>
          <w:tcPr>
            <w:tcW w:w="217" w:type="dxa"/>
          </w:tcPr>
          <w:p w14:paraId="2D5C745A" w14:textId="77777777" w:rsidR="002C0FD9" w:rsidRPr="00CA25CF" w:rsidRDefault="002C0FD9" w:rsidP="00CA25CF">
            <w:pPr>
              <w:rPr>
                <w:rFonts w:cs="Arial"/>
                <w:color w:val="FF0000"/>
                <w:sz w:val="21"/>
                <w:szCs w:val="21"/>
              </w:rPr>
            </w:pPr>
          </w:p>
        </w:tc>
        <w:tc>
          <w:tcPr>
            <w:tcW w:w="217" w:type="dxa"/>
          </w:tcPr>
          <w:p w14:paraId="4EE8688D" w14:textId="77777777" w:rsidR="002C0FD9" w:rsidRPr="00CA25CF" w:rsidRDefault="002C0FD9" w:rsidP="00CA25CF">
            <w:pPr>
              <w:rPr>
                <w:rFonts w:cs="Arial"/>
                <w:color w:val="FF0000"/>
                <w:sz w:val="21"/>
                <w:szCs w:val="21"/>
              </w:rPr>
            </w:pPr>
          </w:p>
        </w:tc>
        <w:tc>
          <w:tcPr>
            <w:tcW w:w="217" w:type="dxa"/>
          </w:tcPr>
          <w:p w14:paraId="44FFCA7B" w14:textId="77777777" w:rsidR="002C0FD9" w:rsidRPr="00CA25CF" w:rsidRDefault="002C0FD9" w:rsidP="00CA25CF">
            <w:pPr>
              <w:rPr>
                <w:rFonts w:cs="Arial"/>
                <w:color w:val="FF0000"/>
                <w:sz w:val="21"/>
                <w:szCs w:val="21"/>
              </w:rPr>
            </w:pPr>
          </w:p>
        </w:tc>
        <w:tc>
          <w:tcPr>
            <w:tcW w:w="217" w:type="dxa"/>
          </w:tcPr>
          <w:p w14:paraId="2407A1AF" w14:textId="77777777" w:rsidR="002C0FD9" w:rsidRPr="00CA25CF" w:rsidRDefault="002C0FD9" w:rsidP="00CA25CF">
            <w:pPr>
              <w:rPr>
                <w:rFonts w:cs="Arial"/>
                <w:color w:val="FF0000"/>
                <w:sz w:val="21"/>
                <w:szCs w:val="21"/>
              </w:rPr>
            </w:pPr>
          </w:p>
        </w:tc>
        <w:tc>
          <w:tcPr>
            <w:tcW w:w="217" w:type="dxa"/>
          </w:tcPr>
          <w:p w14:paraId="53D2779C" w14:textId="77777777" w:rsidR="002C0FD9" w:rsidRPr="00CA25CF" w:rsidRDefault="002C0FD9" w:rsidP="00CA25CF">
            <w:pPr>
              <w:rPr>
                <w:rFonts w:cs="Arial"/>
                <w:color w:val="FF0000"/>
                <w:sz w:val="21"/>
                <w:szCs w:val="21"/>
              </w:rPr>
            </w:pPr>
          </w:p>
        </w:tc>
        <w:tc>
          <w:tcPr>
            <w:tcW w:w="217" w:type="dxa"/>
          </w:tcPr>
          <w:p w14:paraId="4C438EFC" w14:textId="77777777" w:rsidR="002C0FD9" w:rsidRPr="00CA25CF" w:rsidRDefault="002C0FD9" w:rsidP="00CA25CF">
            <w:pPr>
              <w:rPr>
                <w:rFonts w:cs="Arial"/>
                <w:color w:val="FF0000"/>
                <w:sz w:val="21"/>
                <w:szCs w:val="21"/>
              </w:rPr>
            </w:pPr>
          </w:p>
        </w:tc>
        <w:tc>
          <w:tcPr>
            <w:tcW w:w="217" w:type="dxa"/>
          </w:tcPr>
          <w:p w14:paraId="56D1484A" w14:textId="77777777" w:rsidR="002C0FD9" w:rsidRPr="00CA25CF" w:rsidRDefault="002C0FD9" w:rsidP="00CA25CF">
            <w:pPr>
              <w:rPr>
                <w:rFonts w:cs="Arial"/>
                <w:color w:val="FF0000"/>
                <w:sz w:val="21"/>
                <w:szCs w:val="21"/>
              </w:rPr>
            </w:pPr>
          </w:p>
        </w:tc>
        <w:tc>
          <w:tcPr>
            <w:tcW w:w="217" w:type="dxa"/>
          </w:tcPr>
          <w:p w14:paraId="35CF2A8E" w14:textId="77777777" w:rsidR="002C0FD9" w:rsidRPr="00CA25CF" w:rsidRDefault="002C0FD9" w:rsidP="00CA25CF">
            <w:pPr>
              <w:rPr>
                <w:rFonts w:cs="Arial"/>
                <w:color w:val="FF0000"/>
                <w:sz w:val="21"/>
                <w:szCs w:val="21"/>
              </w:rPr>
            </w:pPr>
          </w:p>
        </w:tc>
        <w:tc>
          <w:tcPr>
            <w:tcW w:w="217" w:type="dxa"/>
          </w:tcPr>
          <w:p w14:paraId="67A06419" w14:textId="77777777" w:rsidR="002C0FD9" w:rsidRPr="00CA25CF" w:rsidRDefault="002C0FD9" w:rsidP="00CA25CF">
            <w:pPr>
              <w:rPr>
                <w:rFonts w:cs="Arial"/>
                <w:color w:val="FF0000"/>
                <w:sz w:val="21"/>
                <w:szCs w:val="21"/>
              </w:rPr>
            </w:pPr>
          </w:p>
        </w:tc>
        <w:tc>
          <w:tcPr>
            <w:tcW w:w="217" w:type="dxa"/>
          </w:tcPr>
          <w:p w14:paraId="0F2CFD1C" w14:textId="77777777" w:rsidR="002C0FD9" w:rsidRPr="00CA25CF" w:rsidRDefault="002C0FD9" w:rsidP="00CA25CF">
            <w:pPr>
              <w:rPr>
                <w:rFonts w:cs="Arial"/>
                <w:color w:val="FF0000"/>
                <w:sz w:val="21"/>
                <w:szCs w:val="21"/>
              </w:rPr>
            </w:pPr>
          </w:p>
        </w:tc>
        <w:tc>
          <w:tcPr>
            <w:tcW w:w="217" w:type="dxa"/>
          </w:tcPr>
          <w:p w14:paraId="4BF6CF79" w14:textId="77777777" w:rsidR="002C0FD9" w:rsidRPr="00CA25CF" w:rsidRDefault="002C0FD9" w:rsidP="00CA25CF">
            <w:pPr>
              <w:rPr>
                <w:rFonts w:cs="Arial"/>
                <w:color w:val="FF0000"/>
                <w:sz w:val="21"/>
                <w:szCs w:val="21"/>
              </w:rPr>
            </w:pPr>
          </w:p>
        </w:tc>
        <w:tc>
          <w:tcPr>
            <w:tcW w:w="217" w:type="dxa"/>
          </w:tcPr>
          <w:p w14:paraId="5682268E" w14:textId="77777777" w:rsidR="002C0FD9" w:rsidRPr="00CA25CF" w:rsidRDefault="002C0FD9" w:rsidP="00CA25CF">
            <w:pPr>
              <w:rPr>
                <w:rFonts w:cs="Arial"/>
                <w:color w:val="FF0000"/>
                <w:sz w:val="21"/>
                <w:szCs w:val="21"/>
              </w:rPr>
            </w:pPr>
          </w:p>
        </w:tc>
        <w:tc>
          <w:tcPr>
            <w:tcW w:w="217" w:type="dxa"/>
          </w:tcPr>
          <w:p w14:paraId="5A0DE801" w14:textId="77777777" w:rsidR="002C0FD9" w:rsidRPr="00CA25CF" w:rsidRDefault="002C0FD9" w:rsidP="00CA25CF">
            <w:pPr>
              <w:rPr>
                <w:rFonts w:cs="Arial"/>
                <w:color w:val="FF0000"/>
                <w:sz w:val="21"/>
                <w:szCs w:val="21"/>
              </w:rPr>
            </w:pPr>
          </w:p>
        </w:tc>
        <w:tc>
          <w:tcPr>
            <w:tcW w:w="217" w:type="dxa"/>
          </w:tcPr>
          <w:p w14:paraId="628A6712" w14:textId="77777777" w:rsidR="002C0FD9" w:rsidRPr="00CA25CF" w:rsidRDefault="002C0FD9" w:rsidP="00CA25CF">
            <w:pPr>
              <w:rPr>
                <w:rFonts w:cs="Arial"/>
                <w:color w:val="FF0000"/>
                <w:sz w:val="21"/>
                <w:szCs w:val="21"/>
              </w:rPr>
            </w:pPr>
          </w:p>
        </w:tc>
        <w:tc>
          <w:tcPr>
            <w:tcW w:w="217" w:type="dxa"/>
          </w:tcPr>
          <w:p w14:paraId="72A10F47" w14:textId="77777777" w:rsidR="002C0FD9" w:rsidRPr="00CA25CF" w:rsidRDefault="002C0FD9" w:rsidP="00CA25CF">
            <w:pPr>
              <w:rPr>
                <w:rFonts w:cs="Arial"/>
                <w:color w:val="FF0000"/>
                <w:sz w:val="21"/>
                <w:szCs w:val="21"/>
              </w:rPr>
            </w:pPr>
          </w:p>
        </w:tc>
        <w:tc>
          <w:tcPr>
            <w:tcW w:w="217" w:type="dxa"/>
          </w:tcPr>
          <w:p w14:paraId="27D40CA8" w14:textId="77777777" w:rsidR="002C0FD9" w:rsidRPr="00CA25CF" w:rsidRDefault="002C0FD9" w:rsidP="00CA25CF">
            <w:pPr>
              <w:rPr>
                <w:rFonts w:cs="Arial"/>
                <w:color w:val="FF0000"/>
                <w:sz w:val="21"/>
                <w:szCs w:val="21"/>
              </w:rPr>
            </w:pPr>
          </w:p>
        </w:tc>
        <w:tc>
          <w:tcPr>
            <w:tcW w:w="217" w:type="dxa"/>
          </w:tcPr>
          <w:p w14:paraId="0CF6583C" w14:textId="77777777" w:rsidR="002C0FD9" w:rsidRPr="00CA25CF" w:rsidRDefault="002C0FD9" w:rsidP="00CA25CF">
            <w:pPr>
              <w:rPr>
                <w:rFonts w:cs="Arial"/>
                <w:color w:val="FF0000"/>
                <w:sz w:val="21"/>
                <w:szCs w:val="21"/>
              </w:rPr>
            </w:pPr>
          </w:p>
        </w:tc>
        <w:tc>
          <w:tcPr>
            <w:tcW w:w="217" w:type="dxa"/>
          </w:tcPr>
          <w:p w14:paraId="61A3A90C" w14:textId="77777777" w:rsidR="002C0FD9" w:rsidRPr="00CA25CF" w:rsidRDefault="002C0FD9" w:rsidP="00CA25CF">
            <w:pPr>
              <w:rPr>
                <w:rFonts w:cs="Arial"/>
                <w:color w:val="FF0000"/>
                <w:sz w:val="21"/>
                <w:szCs w:val="21"/>
              </w:rPr>
            </w:pPr>
          </w:p>
        </w:tc>
        <w:tc>
          <w:tcPr>
            <w:tcW w:w="217" w:type="dxa"/>
          </w:tcPr>
          <w:p w14:paraId="5E99147D" w14:textId="77777777" w:rsidR="002C0FD9" w:rsidRPr="00CA25CF" w:rsidRDefault="002C0FD9" w:rsidP="00CA25CF">
            <w:pPr>
              <w:rPr>
                <w:rFonts w:cs="Arial"/>
                <w:color w:val="FF0000"/>
                <w:sz w:val="21"/>
                <w:szCs w:val="21"/>
              </w:rPr>
            </w:pPr>
          </w:p>
        </w:tc>
        <w:tc>
          <w:tcPr>
            <w:tcW w:w="217" w:type="dxa"/>
          </w:tcPr>
          <w:p w14:paraId="31B3E52A" w14:textId="77777777" w:rsidR="002C0FD9" w:rsidRPr="00CA25CF" w:rsidRDefault="002C0FD9" w:rsidP="00CA25CF">
            <w:pPr>
              <w:rPr>
                <w:rFonts w:cs="Arial"/>
                <w:color w:val="FF0000"/>
                <w:sz w:val="21"/>
                <w:szCs w:val="21"/>
              </w:rPr>
            </w:pPr>
          </w:p>
        </w:tc>
        <w:tc>
          <w:tcPr>
            <w:tcW w:w="217" w:type="dxa"/>
          </w:tcPr>
          <w:p w14:paraId="5D6B495C" w14:textId="77777777" w:rsidR="002C0FD9" w:rsidRPr="00CA25CF" w:rsidRDefault="002C0FD9" w:rsidP="00CA25CF">
            <w:pPr>
              <w:rPr>
                <w:rFonts w:cs="Arial"/>
                <w:color w:val="FF0000"/>
                <w:sz w:val="21"/>
                <w:szCs w:val="21"/>
              </w:rPr>
            </w:pPr>
          </w:p>
        </w:tc>
        <w:tc>
          <w:tcPr>
            <w:tcW w:w="217" w:type="dxa"/>
          </w:tcPr>
          <w:p w14:paraId="77EA24BC" w14:textId="77777777" w:rsidR="002C0FD9" w:rsidRPr="00CA25CF" w:rsidRDefault="002C0FD9" w:rsidP="00CA25CF">
            <w:pPr>
              <w:rPr>
                <w:rFonts w:cs="Arial"/>
                <w:color w:val="FF0000"/>
                <w:sz w:val="21"/>
                <w:szCs w:val="21"/>
              </w:rPr>
            </w:pPr>
          </w:p>
        </w:tc>
      </w:tr>
      <w:tr w:rsidR="002C0FD9" w:rsidRPr="00A16219" w14:paraId="425D6727" w14:textId="77777777" w:rsidTr="002C0FD9">
        <w:trPr>
          <w:trHeight w:val="635"/>
        </w:trPr>
        <w:tc>
          <w:tcPr>
            <w:tcW w:w="515" w:type="dxa"/>
          </w:tcPr>
          <w:p w14:paraId="76772FB1" w14:textId="77777777" w:rsidR="002C0FD9" w:rsidRPr="00CA25CF" w:rsidRDefault="002C0FD9" w:rsidP="00CA25CF">
            <w:pPr>
              <w:rPr>
                <w:rFonts w:cs="Arial"/>
                <w:color w:val="FF0000"/>
                <w:sz w:val="21"/>
                <w:szCs w:val="21"/>
              </w:rPr>
            </w:pPr>
          </w:p>
        </w:tc>
        <w:tc>
          <w:tcPr>
            <w:tcW w:w="217" w:type="dxa"/>
          </w:tcPr>
          <w:p w14:paraId="556D8353" w14:textId="77777777" w:rsidR="002C0FD9" w:rsidRPr="00CA25CF" w:rsidRDefault="002C0FD9" w:rsidP="00CA25CF">
            <w:pPr>
              <w:rPr>
                <w:rFonts w:cs="Arial"/>
                <w:color w:val="FF0000"/>
                <w:sz w:val="21"/>
                <w:szCs w:val="21"/>
              </w:rPr>
            </w:pPr>
          </w:p>
        </w:tc>
        <w:tc>
          <w:tcPr>
            <w:tcW w:w="217" w:type="dxa"/>
          </w:tcPr>
          <w:p w14:paraId="6553E1E3" w14:textId="77777777" w:rsidR="002C0FD9" w:rsidRPr="00CA25CF" w:rsidRDefault="002C0FD9" w:rsidP="00CA25CF">
            <w:pPr>
              <w:rPr>
                <w:rFonts w:cs="Arial"/>
                <w:color w:val="FF0000"/>
                <w:sz w:val="21"/>
                <w:szCs w:val="21"/>
              </w:rPr>
            </w:pPr>
          </w:p>
        </w:tc>
        <w:tc>
          <w:tcPr>
            <w:tcW w:w="217" w:type="dxa"/>
          </w:tcPr>
          <w:p w14:paraId="5E0DC064" w14:textId="77777777" w:rsidR="002C0FD9" w:rsidRPr="00CA25CF" w:rsidRDefault="002C0FD9" w:rsidP="00CA25CF">
            <w:pPr>
              <w:rPr>
                <w:rFonts w:cs="Arial"/>
                <w:color w:val="FF0000"/>
                <w:sz w:val="21"/>
                <w:szCs w:val="21"/>
              </w:rPr>
            </w:pPr>
          </w:p>
        </w:tc>
        <w:tc>
          <w:tcPr>
            <w:tcW w:w="217" w:type="dxa"/>
          </w:tcPr>
          <w:p w14:paraId="509AB0FE" w14:textId="77777777" w:rsidR="002C0FD9" w:rsidRPr="00CA25CF" w:rsidRDefault="002C0FD9" w:rsidP="00CA25CF">
            <w:pPr>
              <w:rPr>
                <w:rFonts w:cs="Arial"/>
                <w:color w:val="FF0000"/>
                <w:sz w:val="21"/>
                <w:szCs w:val="21"/>
              </w:rPr>
            </w:pPr>
          </w:p>
        </w:tc>
        <w:tc>
          <w:tcPr>
            <w:tcW w:w="217" w:type="dxa"/>
          </w:tcPr>
          <w:p w14:paraId="5984D2FE" w14:textId="77777777" w:rsidR="002C0FD9" w:rsidRPr="00CA25CF" w:rsidRDefault="002C0FD9" w:rsidP="00CA25CF">
            <w:pPr>
              <w:rPr>
                <w:rFonts w:cs="Arial"/>
                <w:color w:val="FF0000"/>
                <w:sz w:val="21"/>
                <w:szCs w:val="21"/>
              </w:rPr>
            </w:pPr>
          </w:p>
        </w:tc>
        <w:tc>
          <w:tcPr>
            <w:tcW w:w="217" w:type="dxa"/>
          </w:tcPr>
          <w:p w14:paraId="579F487E" w14:textId="77777777" w:rsidR="002C0FD9" w:rsidRPr="00CA25CF" w:rsidRDefault="002C0FD9" w:rsidP="00CA25CF">
            <w:pPr>
              <w:rPr>
                <w:rFonts w:cs="Arial"/>
                <w:color w:val="FF0000"/>
                <w:sz w:val="21"/>
                <w:szCs w:val="21"/>
              </w:rPr>
            </w:pPr>
          </w:p>
        </w:tc>
        <w:tc>
          <w:tcPr>
            <w:tcW w:w="217" w:type="dxa"/>
          </w:tcPr>
          <w:p w14:paraId="14ACEB09" w14:textId="77777777" w:rsidR="002C0FD9" w:rsidRPr="00CA25CF" w:rsidRDefault="002C0FD9" w:rsidP="00CA25CF">
            <w:pPr>
              <w:rPr>
                <w:rFonts w:cs="Arial"/>
                <w:color w:val="FF0000"/>
                <w:sz w:val="21"/>
                <w:szCs w:val="21"/>
              </w:rPr>
            </w:pPr>
          </w:p>
        </w:tc>
        <w:tc>
          <w:tcPr>
            <w:tcW w:w="217" w:type="dxa"/>
          </w:tcPr>
          <w:p w14:paraId="48C162E7" w14:textId="77777777" w:rsidR="002C0FD9" w:rsidRPr="00CA25CF" w:rsidRDefault="002C0FD9" w:rsidP="00CA25CF">
            <w:pPr>
              <w:rPr>
                <w:rFonts w:cs="Arial"/>
                <w:color w:val="FF0000"/>
                <w:sz w:val="21"/>
                <w:szCs w:val="21"/>
              </w:rPr>
            </w:pPr>
          </w:p>
        </w:tc>
        <w:tc>
          <w:tcPr>
            <w:tcW w:w="217" w:type="dxa"/>
          </w:tcPr>
          <w:p w14:paraId="3DFC1F52" w14:textId="77777777" w:rsidR="002C0FD9" w:rsidRPr="00CA25CF" w:rsidRDefault="002C0FD9" w:rsidP="00CA25CF">
            <w:pPr>
              <w:rPr>
                <w:rFonts w:cs="Arial"/>
                <w:color w:val="FF0000"/>
                <w:sz w:val="21"/>
                <w:szCs w:val="21"/>
              </w:rPr>
            </w:pPr>
          </w:p>
        </w:tc>
        <w:tc>
          <w:tcPr>
            <w:tcW w:w="217" w:type="dxa"/>
          </w:tcPr>
          <w:p w14:paraId="0C4A59BE" w14:textId="77777777" w:rsidR="002C0FD9" w:rsidRPr="00CA25CF" w:rsidRDefault="002C0FD9" w:rsidP="00CA25CF">
            <w:pPr>
              <w:rPr>
                <w:rFonts w:cs="Arial"/>
                <w:color w:val="FF0000"/>
                <w:sz w:val="21"/>
                <w:szCs w:val="21"/>
              </w:rPr>
            </w:pPr>
          </w:p>
        </w:tc>
        <w:tc>
          <w:tcPr>
            <w:tcW w:w="217" w:type="dxa"/>
          </w:tcPr>
          <w:p w14:paraId="1B619668" w14:textId="77777777" w:rsidR="002C0FD9" w:rsidRPr="00CA25CF" w:rsidRDefault="002C0FD9" w:rsidP="00CA25CF">
            <w:pPr>
              <w:rPr>
                <w:rFonts w:cs="Arial"/>
                <w:color w:val="FF0000"/>
                <w:sz w:val="21"/>
                <w:szCs w:val="21"/>
              </w:rPr>
            </w:pPr>
          </w:p>
        </w:tc>
        <w:tc>
          <w:tcPr>
            <w:tcW w:w="217" w:type="dxa"/>
          </w:tcPr>
          <w:p w14:paraId="09D3D918" w14:textId="77777777" w:rsidR="002C0FD9" w:rsidRPr="00CA25CF" w:rsidRDefault="002C0FD9" w:rsidP="00CA25CF">
            <w:pPr>
              <w:rPr>
                <w:rFonts w:cs="Arial"/>
                <w:color w:val="FF0000"/>
                <w:sz w:val="21"/>
                <w:szCs w:val="21"/>
              </w:rPr>
            </w:pPr>
          </w:p>
        </w:tc>
        <w:tc>
          <w:tcPr>
            <w:tcW w:w="217" w:type="dxa"/>
          </w:tcPr>
          <w:p w14:paraId="1F3C21DF" w14:textId="77777777" w:rsidR="002C0FD9" w:rsidRPr="00CA25CF" w:rsidRDefault="002C0FD9" w:rsidP="00CA25CF">
            <w:pPr>
              <w:rPr>
                <w:rFonts w:cs="Arial"/>
                <w:color w:val="FF0000"/>
                <w:sz w:val="21"/>
                <w:szCs w:val="21"/>
              </w:rPr>
            </w:pPr>
          </w:p>
        </w:tc>
        <w:tc>
          <w:tcPr>
            <w:tcW w:w="217" w:type="dxa"/>
          </w:tcPr>
          <w:p w14:paraId="60EC2BAC" w14:textId="77777777" w:rsidR="002C0FD9" w:rsidRPr="00CA25CF" w:rsidRDefault="002C0FD9" w:rsidP="00CA25CF">
            <w:pPr>
              <w:rPr>
                <w:rFonts w:cs="Arial"/>
                <w:color w:val="FF0000"/>
                <w:sz w:val="21"/>
                <w:szCs w:val="21"/>
              </w:rPr>
            </w:pPr>
          </w:p>
        </w:tc>
        <w:tc>
          <w:tcPr>
            <w:tcW w:w="217" w:type="dxa"/>
          </w:tcPr>
          <w:p w14:paraId="5F544025" w14:textId="77777777" w:rsidR="002C0FD9" w:rsidRPr="00CA25CF" w:rsidRDefault="002C0FD9" w:rsidP="00CA25CF">
            <w:pPr>
              <w:rPr>
                <w:rFonts w:cs="Arial"/>
                <w:color w:val="FF0000"/>
                <w:sz w:val="21"/>
                <w:szCs w:val="21"/>
              </w:rPr>
            </w:pPr>
          </w:p>
        </w:tc>
        <w:tc>
          <w:tcPr>
            <w:tcW w:w="217" w:type="dxa"/>
          </w:tcPr>
          <w:p w14:paraId="3E2DC367" w14:textId="77777777" w:rsidR="002C0FD9" w:rsidRPr="00CA25CF" w:rsidRDefault="002C0FD9" w:rsidP="00CA25CF">
            <w:pPr>
              <w:rPr>
                <w:rFonts w:cs="Arial"/>
                <w:color w:val="FF0000"/>
                <w:sz w:val="21"/>
                <w:szCs w:val="21"/>
              </w:rPr>
            </w:pPr>
          </w:p>
        </w:tc>
        <w:tc>
          <w:tcPr>
            <w:tcW w:w="217" w:type="dxa"/>
          </w:tcPr>
          <w:p w14:paraId="7CAE18D6" w14:textId="77777777" w:rsidR="002C0FD9" w:rsidRPr="00CA25CF" w:rsidRDefault="002C0FD9" w:rsidP="00CA25CF">
            <w:pPr>
              <w:rPr>
                <w:rFonts w:cs="Arial"/>
                <w:color w:val="FF0000"/>
                <w:sz w:val="21"/>
                <w:szCs w:val="21"/>
              </w:rPr>
            </w:pPr>
          </w:p>
        </w:tc>
        <w:tc>
          <w:tcPr>
            <w:tcW w:w="217" w:type="dxa"/>
          </w:tcPr>
          <w:p w14:paraId="3DFBC274" w14:textId="77777777" w:rsidR="002C0FD9" w:rsidRPr="00CA25CF" w:rsidRDefault="002C0FD9" w:rsidP="00CA25CF">
            <w:pPr>
              <w:rPr>
                <w:rFonts w:cs="Arial"/>
                <w:color w:val="FF0000"/>
                <w:sz w:val="21"/>
                <w:szCs w:val="21"/>
              </w:rPr>
            </w:pPr>
          </w:p>
        </w:tc>
        <w:tc>
          <w:tcPr>
            <w:tcW w:w="217" w:type="dxa"/>
          </w:tcPr>
          <w:p w14:paraId="7E5FA797" w14:textId="77777777" w:rsidR="002C0FD9" w:rsidRPr="00CA25CF" w:rsidRDefault="002C0FD9" w:rsidP="00CA25CF">
            <w:pPr>
              <w:rPr>
                <w:rFonts w:cs="Arial"/>
                <w:color w:val="FF0000"/>
                <w:sz w:val="21"/>
                <w:szCs w:val="21"/>
              </w:rPr>
            </w:pPr>
          </w:p>
        </w:tc>
        <w:tc>
          <w:tcPr>
            <w:tcW w:w="217" w:type="dxa"/>
          </w:tcPr>
          <w:p w14:paraId="36AD48B0" w14:textId="77777777" w:rsidR="002C0FD9" w:rsidRPr="00CA25CF" w:rsidRDefault="002C0FD9" w:rsidP="00CA25CF">
            <w:pPr>
              <w:rPr>
                <w:rFonts w:cs="Arial"/>
                <w:color w:val="FF0000"/>
                <w:sz w:val="21"/>
                <w:szCs w:val="21"/>
              </w:rPr>
            </w:pPr>
          </w:p>
        </w:tc>
        <w:tc>
          <w:tcPr>
            <w:tcW w:w="217" w:type="dxa"/>
          </w:tcPr>
          <w:p w14:paraId="30CA52F1" w14:textId="77777777" w:rsidR="002C0FD9" w:rsidRPr="00CA25CF" w:rsidRDefault="002C0FD9" w:rsidP="00CA25CF">
            <w:pPr>
              <w:rPr>
                <w:rFonts w:cs="Arial"/>
                <w:color w:val="FF0000"/>
                <w:sz w:val="21"/>
                <w:szCs w:val="21"/>
              </w:rPr>
            </w:pPr>
          </w:p>
        </w:tc>
        <w:tc>
          <w:tcPr>
            <w:tcW w:w="217" w:type="dxa"/>
          </w:tcPr>
          <w:p w14:paraId="5CDCBA92" w14:textId="77777777" w:rsidR="002C0FD9" w:rsidRPr="00CA25CF" w:rsidRDefault="002C0FD9" w:rsidP="00CA25CF">
            <w:pPr>
              <w:rPr>
                <w:rFonts w:cs="Arial"/>
                <w:color w:val="FF0000"/>
                <w:sz w:val="21"/>
                <w:szCs w:val="21"/>
              </w:rPr>
            </w:pPr>
          </w:p>
        </w:tc>
        <w:tc>
          <w:tcPr>
            <w:tcW w:w="217" w:type="dxa"/>
          </w:tcPr>
          <w:p w14:paraId="1AEE56C5" w14:textId="77777777" w:rsidR="002C0FD9" w:rsidRPr="00CA25CF" w:rsidRDefault="002C0FD9" w:rsidP="00CA25CF">
            <w:pPr>
              <w:rPr>
                <w:rFonts w:cs="Arial"/>
                <w:color w:val="FF0000"/>
                <w:sz w:val="21"/>
                <w:szCs w:val="21"/>
              </w:rPr>
            </w:pPr>
          </w:p>
        </w:tc>
        <w:tc>
          <w:tcPr>
            <w:tcW w:w="217" w:type="dxa"/>
          </w:tcPr>
          <w:p w14:paraId="44839457" w14:textId="77777777" w:rsidR="002C0FD9" w:rsidRPr="00CA25CF" w:rsidRDefault="002C0FD9" w:rsidP="00CA25CF">
            <w:pPr>
              <w:rPr>
                <w:rFonts w:cs="Arial"/>
                <w:color w:val="FF0000"/>
                <w:sz w:val="21"/>
                <w:szCs w:val="21"/>
              </w:rPr>
            </w:pPr>
          </w:p>
        </w:tc>
        <w:tc>
          <w:tcPr>
            <w:tcW w:w="217" w:type="dxa"/>
          </w:tcPr>
          <w:p w14:paraId="06DEA01B" w14:textId="77777777" w:rsidR="002C0FD9" w:rsidRPr="00CA25CF" w:rsidRDefault="002C0FD9" w:rsidP="00CA25CF">
            <w:pPr>
              <w:rPr>
                <w:rFonts w:cs="Arial"/>
                <w:color w:val="FF0000"/>
                <w:sz w:val="21"/>
                <w:szCs w:val="21"/>
              </w:rPr>
            </w:pPr>
          </w:p>
        </w:tc>
        <w:tc>
          <w:tcPr>
            <w:tcW w:w="217" w:type="dxa"/>
          </w:tcPr>
          <w:p w14:paraId="25B0DEC3" w14:textId="77777777" w:rsidR="002C0FD9" w:rsidRPr="00CA25CF" w:rsidRDefault="002C0FD9" w:rsidP="00CA25CF">
            <w:pPr>
              <w:rPr>
                <w:rFonts w:cs="Arial"/>
                <w:color w:val="FF0000"/>
                <w:sz w:val="21"/>
                <w:szCs w:val="21"/>
              </w:rPr>
            </w:pPr>
          </w:p>
        </w:tc>
        <w:tc>
          <w:tcPr>
            <w:tcW w:w="217" w:type="dxa"/>
          </w:tcPr>
          <w:p w14:paraId="0D5EA61A" w14:textId="77777777" w:rsidR="002C0FD9" w:rsidRPr="00CA25CF" w:rsidRDefault="002C0FD9" w:rsidP="00CA25CF">
            <w:pPr>
              <w:rPr>
                <w:rFonts w:cs="Arial"/>
                <w:color w:val="FF0000"/>
                <w:sz w:val="21"/>
                <w:szCs w:val="21"/>
              </w:rPr>
            </w:pPr>
          </w:p>
        </w:tc>
        <w:tc>
          <w:tcPr>
            <w:tcW w:w="217" w:type="dxa"/>
          </w:tcPr>
          <w:p w14:paraId="0316DCF6" w14:textId="77777777" w:rsidR="002C0FD9" w:rsidRPr="00CA25CF" w:rsidRDefault="002C0FD9" w:rsidP="00CA25CF">
            <w:pPr>
              <w:rPr>
                <w:rFonts w:cs="Arial"/>
                <w:color w:val="FF0000"/>
                <w:sz w:val="21"/>
                <w:szCs w:val="21"/>
              </w:rPr>
            </w:pPr>
          </w:p>
        </w:tc>
        <w:tc>
          <w:tcPr>
            <w:tcW w:w="217" w:type="dxa"/>
          </w:tcPr>
          <w:p w14:paraId="1F276E9C" w14:textId="77777777" w:rsidR="002C0FD9" w:rsidRPr="00CA25CF" w:rsidRDefault="002C0FD9" w:rsidP="00CA25CF">
            <w:pPr>
              <w:rPr>
                <w:rFonts w:cs="Arial"/>
                <w:color w:val="FF0000"/>
                <w:sz w:val="21"/>
                <w:szCs w:val="21"/>
              </w:rPr>
            </w:pPr>
          </w:p>
        </w:tc>
        <w:tc>
          <w:tcPr>
            <w:tcW w:w="217" w:type="dxa"/>
          </w:tcPr>
          <w:p w14:paraId="46CB14B7" w14:textId="77777777" w:rsidR="002C0FD9" w:rsidRPr="00CA25CF" w:rsidRDefault="002C0FD9" w:rsidP="00CA25CF">
            <w:pPr>
              <w:rPr>
                <w:rFonts w:cs="Arial"/>
                <w:color w:val="FF0000"/>
                <w:sz w:val="21"/>
                <w:szCs w:val="21"/>
              </w:rPr>
            </w:pPr>
          </w:p>
        </w:tc>
        <w:tc>
          <w:tcPr>
            <w:tcW w:w="217" w:type="dxa"/>
          </w:tcPr>
          <w:p w14:paraId="77E68A3E" w14:textId="77777777" w:rsidR="002C0FD9" w:rsidRPr="00CA25CF" w:rsidRDefault="002C0FD9" w:rsidP="00CA25CF">
            <w:pPr>
              <w:rPr>
                <w:rFonts w:cs="Arial"/>
                <w:color w:val="FF0000"/>
                <w:sz w:val="21"/>
                <w:szCs w:val="21"/>
              </w:rPr>
            </w:pPr>
          </w:p>
        </w:tc>
        <w:tc>
          <w:tcPr>
            <w:tcW w:w="217" w:type="dxa"/>
          </w:tcPr>
          <w:p w14:paraId="62525D97" w14:textId="77777777" w:rsidR="002C0FD9" w:rsidRPr="00CA25CF" w:rsidRDefault="002C0FD9" w:rsidP="00CA25CF">
            <w:pPr>
              <w:rPr>
                <w:rFonts w:cs="Arial"/>
                <w:color w:val="FF0000"/>
                <w:sz w:val="21"/>
                <w:szCs w:val="21"/>
              </w:rPr>
            </w:pPr>
          </w:p>
        </w:tc>
        <w:tc>
          <w:tcPr>
            <w:tcW w:w="217" w:type="dxa"/>
          </w:tcPr>
          <w:p w14:paraId="0CDD4772" w14:textId="77777777" w:rsidR="002C0FD9" w:rsidRPr="00CA25CF" w:rsidRDefault="002C0FD9" w:rsidP="00CA25CF">
            <w:pPr>
              <w:rPr>
                <w:rFonts w:cs="Arial"/>
                <w:color w:val="FF0000"/>
                <w:sz w:val="21"/>
                <w:szCs w:val="21"/>
              </w:rPr>
            </w:pPr>
          </w:p>
        </w:tc>
        <w:tc>
          <w:tcPr>
            <w:tcW w:w="217" w:type="dxa"/>
          </w:tcPr>
          <w:p w14:paraId="200A8EDF" w14:textId="77777777" w:rsidR="002C0FD9" w:rsidRPr="00CA25CF" w:rsidRDefault="002C0FD9" w:rsidP="00CA25CF">
            <w:pPr>
              <w:rPr>
                <w:rFonts w:cs="Arial"/>
                <w:color w:val="FF0000"/>
                <w:sz w:val="21"/>
                <w:szCs w:val="21"/>
              </w:rPr>
            </w:pPr>
          </w:p>
        </w:tc>
        <w:tc>
          <w:tcPr>
            <w:tcW w:w="217" w:type="dxa"/>
          </w:tcPr>
          <w:p w14:paraId="5017CC2A" w14:textId="77777777" w:rsidR="002C0FD9" w:rsidRPr="00CA25CF" w:rsidRDefault="002C0FD9" w:rsidP="00CA25CF">
            <w:pPr>
              <w:rPr>
                <w:rFonts w:cs="Arial"/>
                <w:color w:val="FF0000"/>
                <w:sz w:val="21"/>
                <w:szCs w:val="21"/>
              </w:rPr>
            </w:pPr>
          </w:p>
        </w:tc>
        <w:tc>
          <w:tcPr>
            <w:tcW w:w="217" w:type="dxa"/>
          </w:tcPr>
          <w:p w14:paraId="3C004837" w14:textId="77777777" w:rsidR="002C0FD9" w:rsidRPr="00CA25CF" w:rsidRDefault="002C0FD9" w:rsidP="00CA25CF">
            <w:pPr>
              <w:rPr>
                <w:rFonts w:cs="Arial"/>
                <w:color w:val="FF0000"/>
                <w:sz w:val="21"/>
                <w:szCs w:val="21"/>
              </w:rPr>
            </w:pPr>
          </w:p>
        </w:tc>
        <w:tc>
          <w:tcPr>
            <w:tcW w:w="217" w:type="dxa"/>
          </w:tcPr>
          <w:p w14:paraId="71DF4177" w14:textId="77777777" w:rsidR="002C0FD9" w:rsidRPr="00CA25CF" w:rsidRDefault="002C0FD9" w:rsidP="00CA25CF">
            <w:pPr>
              <w:rPr>
                <w:rFonts w:cs="Arial"/>
                <w:color w:val="FF0000"/>
                <w:sz w:val="21"/>
                <w:szCs w:val="21"/>
              </w:rPr>
            </w:pPr>
          </w:p>
        </w:tc>
        <w:tc>
          <w:tcPr>
            <w:tcW w:w="217" w:type="dxa"/>
          </w:tcPr>
          <w:p w14:paraId="1CDF6A1E" w14:textId="77777777" w:rsidR="002C0FD9" w:rsidRPr="00CA25CF" w:rsidRDefault="002C0FD9" w:rsidP="00CA25CF">
            <w:pPr>
              <w:rPr>
                <w:rFonts w:cs="Arial"/>
                <w:color w:val="FF0000"/>
                <w:sz w:val="21"/>
                <w:szCs w:val="21"/>
              </w:rPr>
            </w:pPr>
          </w:p>
        </w:tc>
        <w:tc>
          <w:tcPr>
            <w:tcW w:w="217" w:type="dxa"/>
          </w:tcPr>
          <w:p w14:paraId="41F6CC5A" w14:textId="77777777" w:rsidR="002C0FD9" w:rsidRPr="00CA25CF" w:rsidRDefault="002C0FD9" w:rsidP="00CA25CF">
            <w:pPr>
              <w:rPr>
                <w:rFonts w:cs="Arial"/>
                <w:color w:val="FF0000"/>
                <w:sz w:val="21"/>
                <w:szCs w:val="21"/>
              </w:rPr>
            </w:pPr>
          </w:p>
        </w:tc>
        <w:tc>
          <w:tcPr>
            <w:tcW w:w="217" w:type="dxa"/>
          </w:tcPr>
          <w:p w14:paraId="340A6F2A" w14:textId="77777777" w:rsidR="002C0FD9" w:rsidRPr="00CA25CF" w:rsidRDefault="002C0FD9" w:rsidP="00CA25CF">
            <w:pPr>
              <w:rPr>
                <w:rFonts w:cs="Arial"/>
                <w:color w:val="FF0000"/>
                <w:sz w:val="21"/>
                <w:szCs w:val="21"/>
              </w:rPr>
            </w:pPr>
          </w:p>
        </w:tc>
        <w:tc>
          <w:tcPr>
            <w:tcW w:w="217" w:type="dxa"/>
          </w:tcPr>
          <w:p w14:paraId="0F576944" w14:textId="77777777" w:rsidR="002C0FD9" w:rsidRPr="00CA25CF" w:rsidRDefault="002C0FD9" w:rsidP="00CA25CF">
            <w:pPr>
              <w:rPr>
                <w:rFonts w:cs="Arial"/>
                <w:color w:val="FF0000"/>
                <w:sz w:val="21"/>
                <w:szCs w:val="21"/>
              </w:rPr>
            </w:pPr>
          </w:p>
        </w:tc>
        <w:tc>
          <w:tcPr>
            <w:tcW w:w="217" w:type="dxa"/>
          </w:tcPr>
          <w:p w14:paraId="276E025D" w14:textId="77777777" w:rsidR="002C0FD9" w:rsidRPr="00CA25CF" w:rsidRDefault="002C0FD9" w:rsidP="00CA25CF">
            <w:pPr>
              <w:rPr>
                <w:rFonts w:cs="Arial"/>
                <w:color w:val="FF0000"/>
                <w:sz w:val="21"/>
                <w:szCs w:val="21"/>
              </w:rPr>
            </w:pPr>
          </w:p>
        </w:tc>
      </w:tr>
      <w:tr w:rsidR="002C0FD9" w:rsidRPr="00A16219" w14:paraId="33AA6FB7" w14:textId="77777777" w:rsidTr="002C0FD9">
        <w:trPr>
          <w:trHeight w:val="635"/>
        </w:trPr>
        <w:tc>
          <w:tcPr>
            <w:tcW w:w="515" w:type="dxa"/>
          </w:tcPr>
          <w:p w14:paraId="144B13F2" w14:textId="77777777" w:rsidR="002C0FD9" w:rsidRPr="00CA25CF" w:rsidRDefault="002C0FD9" w:rsidP="00CA25CF">
            <w:pPr>
              <w:rPr>
                <w:rFonts w:cs="Arial"/>
                <w:color w:val="FF0000"/>
                <w:sz w:val="21"/>
                <w:szCs w:val="21"/>
              </w:rPr>
            </w:pPr>
          </w:p>
        </w:tc>
        <w:tc>
          <w:tcPr>
            <w:tcW w:w="217" w:type="dxa"/>
          </w:tcPr>
          <w:p w14:paraId="1F48D70D" w14:textId="77777777" w:rsidR="002C0FD9" w:rsidRPr="00CA25CF" w:rsidRDefault="002C0FD9" w:rsidP="00CA25CF">
            <w:pPr>
              <w:rPr>
                <w:rFonts w:cs="Arial"/>
                <w:color w:val="FF0000"/>
                <w:sz w:val="21"/>
                <w:szCs w:val="21"/>
              </w:rPr>
            </w:pPr>
          </w:p>
        </w:tc>
        <w:tc>
          <w:tcPr>
            <w:tcW w:w="217" w:type="dxa"/>
          </w:tcPr>
          <w:p w14:paraId="486EC0AC" w14:textId="77777777" w:rsidR="002C0FD9" w:rsidRPr="00CA25CF" w:rsidRDefault="002C0FD9" w:rsidP="00CA25CF">
            <w:pPr>
              <w:rPr>
                <w:rFonts w:cs="Arial"/>
                <w:color w:val="FF0000"/>
                <w:sz w:val="21"/>
                <w:szCs w:val="21"/>
              </w:rPr>
            </w:pPr>
          </w:p>
        </w:tc>
        <w:tc>
          <w:tcPr>
            <w:tcW w:w="217" w:type="dxa"/>
          </w:tcPr>
          <w:p w14:paraId="5BE2741A" w14:textId="77777777" w:rsidR="002C0FD9" w:rsidRPr="00CA25CF" w:rsidRDefault="002C0FD9" w:rsidP="00CA25CF">
            <w:pPr>
              <w:rPr>
                <w:rFonts w:cs="Arial"/>
                <w:color w:val="FF0000"/>
                <w:sz w:val="21"/>
                <w:szCs w:val="21"/>
              </w:rPr>
            </w:pPr>
          </w:p>
        </w:tc>
        <w:tc>
          <w:tcPr>
            <w:tcW w:w="217" w:type="dxa"/>
          </w:tcPr>
          <w:p w14:paraId="198CFFAF" w14:textId="77777777" w:rsidR="002C0FD9" w:rsidRPr="00CA25CF" w:rsidRDefault="002C0FD9" w:rsidP="00CA25CF">
            <w:pPr>
              <w:rPr>
                <w:rFonts w:cs="Arial"/>
                <w:color w:val="FF0000"/>
                <w:sz w:val="21"/>
                <w:szCs w:val="21"/>
              </w:rPr>
            </w:pPr>
          </w:p>
        </w:tc>
        <w:tc>
          <w:tcPr>
            <w:tcW w:w="217" w:type="dxa"/>
          </w:tcPr>
          <w:p w14:paraId="5139A82D" w14:textId="77777777" w:rsidR="002C0FD9" w:rsidRPr="00CA25CF" w:rsidRDefault="002C0FD9" w:rsidP="00CA25CF">
            <w:pPr>
              <w:rPr>
                <w:rFonts w:cs="Arial"/>
                <w:color w:val="FF0000"/>
                <w:sz w:val="21"/>
                <w:szCs w:val="21"/>
              </w:rPr>
            </w:pPr>
          </w:p>
        </w:tc>
        <w:tc>
          <w:tcPr>
            <w:tcW w:w="217" w:type="dxa"/>
          </w:tcPr>
          <w:p w14:paraId="2BF5AAC1" w14:textId="77777777" w:rsidR="002C0FD9" w:rsidRPr="00CA25CF" w:rsidRDefault="002C0FD9" w:rsidP="00CA25CF">
            <w:pPr>
              <w:rPr>
                <w:rFonts w:cs="Arial"/>
                <w:color w:val="FF0000"/>
                <w:sz w:val="21"/>
                <w:szCs w:val="21"/>
              </w:rPr>
            </w:pPr>
          </w:p>
        </w:tc>
        <w:tc>
          <w:tcPr>
            <w:tcW w:w="217" w:type="dxa"/>
          </w:tcPr>
          <w:p w14:paraId="0AA470E1" w14:textId="77777777" w:rsidR="002C0FD9" w:rsidRPr="00CA25CF" w:rsidRDefault="002C0FD9" w:rsidP="00CA25CF">
            <w:pPr>
              <w:rPr>
                <w:rFonts w:cs="Arial"/>
                <w:color w:val="FF0000"/>
                <w:sz w:val="21"/>
                <w:szCs w:val="21"/>
              </w:rPr>
            </w:pPr>
          </w:p>
        </w:tc>
        <w:tc>
          <w:tcPr>
            <w:tcW w:w="217" w:type="dxa"/>
          </w:tcPr>
          <w:p w14:paraId="618B1525" w14:textId="77777777" w:rsidR="002C0FD9" w:rsidRPr="00CA25CF" w:rsidRDefault="002C0FD9" w:rsidP="00CA25CF">
            <w:pPr>
              <w:rPr>
                <w:rFonts w:cs="Arial"/>
                <w:color w:val="FF0000"/>
                <w:sz w:val="21"/>
                <w:szCs w:val="21"/>
              </w:rPr>
            </w:pPr>
          </w:p>
        </w:tc>
        <w:tc>
          <w:tcPr>
            <w:tcW w:w="217" w:type="dxa"/>
          </w:tcPr>
          <w:p w14:paraId="2FB70921" w14:textId="77777777" w:rsidR="002C0FD9" w:rsidRPr="00CA25CF" w:rsidRDefault="002C0FD9" w:rsidP="00CA25CF">
            <w:pPr>
              <w:rPr>
                <w:rFonts w:cs="Arial"/>
                <w:color w:val="FF0000"/>
                <w:sz w:val="21"/>
                <w:szCs w:val="21"/>
              </w:rPr>
            </w:pPr>
          </w:p>
        </w:tc>
        <w:tc>
          <w:tcPr>
            <w:tcW w:w="217" w:type="dxa"/>
          </w:tcPr>
          <w:p w14:paraId="1BE604EB" w14:textId="77777777" w:rsidR="002C0FD9" w:rsidRPr="00CA25CF" w:rsidRDefault="002C0FD9" w:rsidP="00CA25CF">
            <w:pPr>
              <w:rPr>
                <w:rFonts w:cs="Arial"/>
                <w:color w:val="FF0000"/>
                <w:sz w:val="21"/>
                <w:szCs w:val="21"/>
              </w:rPr>
            </w:pPr>
          </w:p>
        </w:tc>
        <w:tc>
          <w:tcPr>
            <w:tcW w:w="217" w:type="dxa"/>
          </w:tcPr>
          <w:p w14:paraId="62575B40" w14:textId="77777777" w:rsidR="002C0FD9" w:rsidRPr="00CA25CF" w:rsidRDefault="002C0FD9" w:rsidP="00CA25CF">
            <w:pPr>
              <w:rPr>
                <w:rFonts w:cs="Arial"/>
                <w:color w:val="FF0000"/>
                <w:sz w:val="21"/>
                <w:szCs w:val="21"/>
              </w:rPr>
            </w:pPr>
          </w:p>
        </w:tc>
        <w:tc>
          <w:tcPr>
            <w:tcW w:w="217" w:type="dxa"/>
          </w:tcPr>
          <w:p w14:paraId="4C5482B6" w14:textId="77777777" w:rsidR="002C0FD9" w:rsidRPr="00CA25CF" w:rsidRDefault="002C0FD9" w:rsidP="00CA25CF">
            <w:pPr>
              <w:rPr>
                <w:rFonts w:cs="Arial"/>
                <w:color w:val="FF0000"/>
                <w:sz w:val="21"/>
                <w:szCs w:val="21"/>
              </w:rPr>
            </w:pPr>
          </w:p>
        </w:tc>
        <w:tc>
          <w:tcPr>
            <w:tcW w:w="217" w:type="dxa"/>
          </w:tcPr>
          <w:p w14:paraId="61275F80" w14:textId="77777777" w:rsidR="002C0FD9" w:rsidRPr="00CA25CF" w:rsidRDefault="002C0FD9" w:rsidP="00CA25CF">
            <w:pPr>
              <w:rPr>
                <w:rFonts w:cs="Arial"/>
                <w:color w:val="FF0000"/>
                <w:sz w:val="21"/>
                <w:szCs w:val="21"/>
              </w:rPr>
            </w:pPr>
          </w:p>
        </w:tc>
        <w:tc>
          <w:tcPr>
            <w:tcW w:w="217" w:type="dxa"/>
          </w:tcPr>
          <w:p w14:paraId="3E87941B" w14:textId="77777777" w:rsidR="002C0FD9" w:rsidRPr="00CA25CF" w:rsidRDefault="002C0FD9" w:rsidP="00CA25CF">
            <w:pPr>
              <w:rPr>
                <w:rFonts w:cs="Arial"/>
                <w:color w:val="FF0000"/>
                <w:sz w:val="21"/>
                <w:szCs w:val="21"/>
              </w:rPr>
            </w:pPr>
          </w:p>
        </w:tc>
        <w:tc>
          <w:tcPr>
            <w:tcW w:w="217" w:type="dxa"/>
          </w:tcPr>
          <w:p w14:paraId="7249AB25" w14:textId="77777777" w:rsidR="002C0FD9" w:rsidRPr="00CA25CF" w:rsidRDefault="002C0FD9" w:rsidP="00CA25CF">
            <w:pPr>
              <w:rPr>
                <w:rFonts w:cs="Arial"/>
                <w:color w:val="FF0000"/>
                <w:sz w:val="21"/>
                <w:szCs w:val="21"/>
              </w:rPr>
            </w:pPr>
          </w:p>
        </w:tc>
        <w:tc>
          <w:tcPr>
            <w:tcW w:w="217" w:type="dxa"/>
          </w:tcPr>
          <w:p w14:paraId="0F379465" w14:textId="77777777" w:rsidR="002C0FD9" w:rsidRPr="00CA25CF" w:rsidRDefault="002C0FD9" w:rsidP="00CA25CF">
            <w:pPr>
              <w:rPr>
                <w:rFonts w:cs="Arial"/>
                <w:color w:val="FF0000"/>
                <w:sz w:val="21"/>
                <w:szCs w:val="21"/>
              </w:rPr>
            </w:pPr>
          </w:p>
        </w:tc>
        <w:tc>
          <w:tcPr>
            <w:tcW w:w="217" w:type="dxa"/>
          </w:tcPr>
          <w:p w14:paraId="62449405" w14:textId="77777777" w:rsidR="002C0FD9" w:rsidRPr="00CA25CF" w:rsidRDefault="002C0FD9" w:rsidP="00CA25CF">
            <w:pPr>
              <w:rPr>
                <w:rFonts w:cs="Arial"/>
                <w:color w:val="FF0000"/>
                <w:sz w:val="21"/>
                <w:szCs w:val="21"/>
              </w:rPr>
            </w:pPr>
          </w:p>
        </w:tc>
        <w:tc>
          <w:tcPr>
            <w:tcW w:w="217" w:type="dxa"/>
          </w:tcPr>
          <w:p w14:paraId="7BEF7FE5" w14:textId="77777777" w:rsidR="002C0FD9" w:rsidRPr="00CA25CF" w:rsidRDefault="002C0FD9" w:rsidP="00CA25CF">
            <w:pPr>
              <w:rPr>
                <w:rFonts w:cs="Arial"/>
                <w:color w:val="FF0000"/>
                <w:sz w:val="21"/>
                <w:szCs w:val="21"/>
              </w:rPr>
            </w:pPr>
          </w:p>
        </w:tc>
        <w:tc>
          <w:tcPr>
            <w:tcW w:w="217" w:type="dxa"/>
          </w:tcPr>
          <w:p w14:paraId="2E0A6C9A" w14:textId="77777777" w:rsidR="002C0FD9" w:rsidRPr="00CA25CF" w:rsidRDefault="002C0FD9" w:rsidP="00CA25CF">
            <w:pPr>
              <w:rPr>
                <w:rFonts w:cs="Arial"/>
                <w:color w:val="FF0000"/>
                <w:sz w:val="21"/>
                <w:szCs w:val="21"/>
              </w:rPr>
            </w:pPr>
          </w:p>
        </w:tc>
        <w:tc>
          <w:tcPr>
            <w:tcW w:w="217" w:type="dxa"/>
          </w:tcPr>
          <w:p w14:paraId="60F525E3" w14:textId="77777777" w:rsidR="002C0FD9" w:rsidRPr="00CA25CF" w:rsidRDefault="002C0FD9" w:rsidP="00CA25CF">
            <w:pPr>
              <w:rPr>
                <w:rFonts w:cs="Arial"/>
                <w:color w:val="FF0000"/>
                <w:sz w:val="21"/>
                <w:szCs w:val="21"/>
              </w:rPr>
            </w:pPr>
          </w:p>
        </w:tc>
        <w:tc>
          <w:tcPr>
            <w:tcW w:w="217" w:type="dxa"/>
          </w:tcPr>
          <w:p w14:paraId="37BB5C6B" w14:textId="77777777" w:rsidR="002C0FD9" w:rsidRPr="00CA25CF" w:rsidRDefault="002C0FD9" w:rsidP="00CA25CF">
            <w:pPr>
              <w:rPr>
                <w:rFonts w:cs="Arial"/>
                <w:color w:val="FF0000"/>
                <w:sz w:val="21"/>
                <w:szCs w:val="21"/>
              </w:rPr>
            </w:pPr>
          </w:p>
        </w:tc>
        <w:tc>
          <w:tcPr>
            <w:tcW w:w="217" w:type="dxa"/>
          </w:tcPr>
          <w:p w14:paraId="29D53E61" w14:textId="77777777" w:rsidR="002C0FD9" w:rsidRPr="00CA25CF" w:rsidRDefault="002C0FD9" w:rsidP="00CA25CF">
            <w:pPr>
              <w:rPr>
                <w:rFonts w:cs="Arial"/>
                <w:color w:val="FF0000"/>
                <w:sz w:val="21"/>
                <w:szCs w:val="21"/>
              </w:rPr>
            </w:pPr>
          </w:p>
        </w:tc>
        <w:tc>
          <w:tcPr>
            <w:tcW w:w="217" w:type="dxa"/>
          </w:tcPr>
          <w:p w14:paraId="74C6C9FB" w14:textId="77777777" w:rsidR="002C0FD9" w:rsidRPr="00CA25CF" w:rsidRDefault="002C0FD9" w:rsidP="00CA25CF">
            <w:pPr>
              <w:rPr>
                <w:rFonts w:cs="Arial"/>
                <w:color w:val="FF0000"/>
                <w:sz w:val="21"/>
                <w:szCs w:val="21"/>
              </w:rPr>
            </w:pPr>
          </w:p>
        </w:tc>
        <w:tc>
          <w:tcPr>
            <w:tcW w:w="217" w:type="dxa"/>
          </w:tcPr>
          <w:p w14:paraId="093F8B9D" w14:textId="77777777" w:rsidR="002C0FD9" w:rsidRPr="00CA25CF" w:rsidRDefault="002C0FD9" w:rsidP="00CA25CF">
            <w:pPr>
              <w:rPr>
                <w:rFonts w:cs="Arial"/>
                <w:color w:val="FF0000"/>
                <w:sz w:val="21"/>
                <w:szCs w:val="21"/>
              </w:rPr>
            </w:pPr>
          </w:p>
        </w:tc>
        <w:tc>
          <w:tcPr>
            <w:tcW w:w="217" w:type="dxa"/>
          </w:tcPr>
          <w:p w14:paraId="65DBA906" w14:textId="77777777" w:rsidR="002C0FD9" w:rsidRPr="00CA25CF" w:rsidRDefault="002C0FD9" w:rsidP="00CA25CF">
            <w:pPr>
              <w:rPr>
                <w:rFonts w:cs="Arial"/>
                <w:color w:val="FF0000"/>
                <w:sz w:val="21"/>
                <w:szCs w:val="21"/>
              </w:rPr>
            </w:pPr>
          </w:p>
        </w:tc>
        <w:tc>
          <w:tcPr>
            <w:tcW w:w="217" w:type="dxa"/>
          </w:tcPr>
          <w:p w14:paraId="36F044B7" w14:textId="77777777" w:rsidR="002C0FD9" w:rsidRPr="00CA25CF" w:rsidRDefault="002C0FD9" w:rsidP="00CA25CF">
            <w:pPr>
              <w:rPr>
                <w:rFonts w:cs="Arial"/>
                <w:color w:val="FF0000"/>
                <w:sz w:val="21"/>
                <w:szCs w:val="21"/>
              </w:rPr>
            </w:pPr>
          </w:p>
        </w:tc>
        <w:tc>
          <w:tcPr>
            <w:tcW w:w="217" w:type="dxa"/>
          </w:tcPr>
          <w:p w14:paraId="3A88EBC9" w14:textId="77777777" w:rsidR="002C0FD9" w:rsidRPr="00CA25CF" w:rsidRDefault="002C0FD9" w:rsidP="00CA25CF">
            <w:pPr>
              <w:rPr>
                <w:rFonts w:cs="Arial"/>
                <w:color w:val="FF0000"/>
                <w:sz w:val="21"/>
                <w:szCs w:val="21"/>
              </w:rPr>
            </w:pPr>
          </w:p>
        </w:tc>
        <w:tc>
          <w:tcPr>
            <w:tcW w:w="217" w:type="dxa"/>
          </w:tcPr>
          <w:p w14:paraId="31CA468D" w14:textId="77777777" w:rsidR="002C0FD9" w:rsidRPr="00CA25CF" w:rsidRDefault="002C0FD9" w:rsidP="00CA25CF">
            <w:pPr>
              <w:rPr>
                <w:rFonts w:cs="Arial"/>
                <w:color w:val="FF0000"/>
                <w:sz w:val="21"/>
                <w:szCs w:val="21"/>
              </w:rPr>
            </w:pPr>
          </w:p>
        </w:tc>
        <w:tc>
          <w:tcPr>
            <w:tcW w:w="217" w:type="dxa"/>
          </w:tcPr>
          <w:p w14:paraId="38016278" w14:textId="77777777" w:rsidR="002C0FD9" w:rsidRPr="00CA25CF" w:rsidRDefault="002C0FD9" w:rsidP="00CA25CF">
            <w:pPr>
              <w:rPr>
                <w:rFonts w:cs="Arial"/>
                <w:color w:val="FF0000"/>
                <w:sz w:val="21"/>
                <w:szCs w:val="21"/>
              </w:rPr>
            </w:pPr>
          </w:p>
        </w:tc>
        <w:tc>
          <w:tcPr>
            <w:tcW w:w="217" w:type="dxa"/>
          </w:tcPr>
          <w:p w14:paraId="282B67DE" w14:textId="77777777" w:rsidR="002C0FD9" w:rsidRPr="00CA25CF" w:rsidRDefault="002C0FD9" w:rsidP="00CA25CF">
            <w:pPr>
              <w:rPr>
                <w:rFonts w:cs="Arial"/>
                <w:color w:val="FF0000"/>
                <w:sz w:val="21"/>
                <w:szCs w:val="21"/>
              </w:rPr>
            </w:pPr>
          </w:p>
        </w:tc>
        <w:tc>
          <w:tcPr>
            <w:tcW w:w="217" w:type="dxa"/>
          </w:tcPr>
          <w:p w14:paraId="243C740F" w14:textId="77777777" w:rsidR="002C0FD9" w:rsidRPr="00CA25CF" w:rsidRDefault="002C0FD9" w:rsidP="00CA25CF">
            <w:pPr>
              <w:rPr>
                <w:rFonts w:cs="Arial"/>
                <w:color w:val="FF0000"/>
                <w:sz w:val="21"/>
                <w:szCs w:val="21"/>
              </w:rPr>
            </w:pPr>
          </w:p>
        </w:tc>
        <w:tc>
          <w:tcPr>
            <w:tcW w:w="217" w:type="dxa"/>
          </w:tcPr>
          <w:p w14:paraId="3E3D3712" w14:textId="77777777" w:rsidR="002C0FD9" w:rsidRPr="00CA25CF" w:rsidRDefault="002C0FD9" w:rsidP="00CA25CF">
            <w:pPr>
              <w:rPr>
                <w:rFonts w:cs="Arial"/>
                <w:color w:val="FF0000"/>
                <w:sz w:val="21"/>
                <w:szCs w:val="21"/>
              </w:rPr>
            </w:pPr>
          </w:p>
        </w:tc>
        <w:tc>
          <w:tcPr>
            <w:tcW w:w="217" w:type="dxa"/>
          </w:tcPr>
          <w:p w14:paraId="4D767C4A" w14:textId="77777777" w:rsidR="002C0FD9" w:rsidRPr="00CA25CF" w:rsidRDefault="002C0FD9" w:rsidP="00CA25CF">
            <w:pPr>
              <w:rPr>
                <w:rFonts w:cs="Arial"/>
                <w:color w:val="FF0000"/>
                <w:sz w:val="21"/>
                <w:szCs w:val="21"/>
              </w:rPr>
            </w:pPr>
          </w:p>
        </w:tc>
        <w:tc>
          <w:tcPr>
            <w:tcW w:w="217" w:type="dxa"/>
          </w:tcPr>
          <w:p w14:paraId="558AF90D" w14:textId="77777777" w:rsidR="002C0FD9" w:rsidRPr="00CA25CF" w:rsidRDefault="002C0FD9" w:rsidP="00CA25CF">
            <w:pPr>
              <w:rPr>
                <w:rFonts w:cs="Arial"/>
                <w:color w:val="FF0000"/>
                <w:sz w:val="21"/>
                <w:szCs w:val="21"/>
              </w:rPr>
            </w:pPr>
          </w:p>
        </w:tc>
        <w:tc>
          <w:tcPr>
            <w:tcW w:w="217" w:type="dxa"/>
          </w:tcPr>
          <w:p w14:paraId="4F813D37" w14:textId="77777777" w:rsidR="002C0FD9" w:rsidRPr="00CA25CF" w:rsidRDefault="002C0FD9" w:rsidP="00CA25CF">
            <w:pPr>
              <w:rPr>
                <w:rFonts w:cs="Arial"/>
                <w:color w:val="FF0000"/>
                <w:sz w:val="21"/>
                <w:szCs w:val="21"/>
              </w:rPr>
            </w:pPr>
          </w:p>
        </w:tc>
        <w:tc>
          <w:tcPr>
            <w:tcW w:w="217" w:type="dxa"/>
          </w:tcPr>
          <w:p w14:paraId="2C164A7D" w14:textId="77777777" w:rsidR="002C0FD9" w:rsidRPr="00CA25CF" w:rsidRDefault="002C0FD9" w:rsidP="00CA25CF">
            <w:pPr>
              <w:rPr>
                <w:rFonts w:cs="Arial"/>
                <w:color w:val="FF0000"/>
                <w:sz w:val="21"/>
                <w:szCs w:val="21"/>
              </w:rPr>
            </w:pPr>
          </w:p>
        </w:tc>
        <w:tc>
          <w:tcPr>
            <w:tcW w:w="217" w:type="dxa"/>
          </w:tcPr>
          <w:p w14:paraId="6E345946" w14:textId="77777777" w:rsidR="002C0FD9" w:rsidRPr="00CA25CF" w:rsidRDefault="002C0FD9" w:rsidP="00CA25CF">
            <w:pPr>
              <w:rPr>
                <w:rFonts w:cs="Arial"/>
                <w:color w:val="FF0000"/>
                <w:sz w:val="21"/>
                <w:szCs w:val="21"/>
              </w:rPr>
            </w:pPr>
          </w:p>
        </w:tc>
        <w:tc>
          <w:tcPr>
            <w:tcW w:w="217" w:type="dxa"/>
          </w:tcPr>
          <w:p w14:paraId="6951D7A6" w14:textId="77777777" w:rsidR="002C0FD9" w:rsidRPr="00CA25CF" w:rsidRDefault="002C0FD9" w:rsidP="00CA25CF">
            <w:pPr>
              <w:rPr>
                <w:rFonts w:cs="Arial"/>
                <w:color w:val="FF0000"/>
                <w:sz w:val="21"/>
                <w:szCs w:val="21"/>
              </w:rPr>
            </w:pPr>
          </w:p>
        </w:tc>
        <w:tc>
          <w:tcPr>
            <w:tcW w:w="217" w:type="dxa"/>
          </w:tcPr>
          <w:p w14:paraId="03CAF9DD" w14:textId="77777777" w:rsidR="002C0FD9" w:rsidRPr="00CA25CF" w:rsidRDefault="002C0FD9" w:rsidP="00CA25CF">
            <w:pPr>
              <w:rPr>
                <w:rFonts w:cs="Arial"/>
                <w:color w:val="FF0000"/>
                <w:sz w:val="21"/>
                <w:szCs w:val="21"/>
              </w:rPr>
            </w:pPr>
          </w:p>
        </w:tc>
        <w:tc>
          <w:tcPr>
            <w:tcW w:w="217" w:type="dxa"/>
          </w:tcPr>
          <w:p w14:paraId="1CE03EBF" w14:textId="77777777" w:rsidR="002C0FD9" w:rsidRPr="00CA25CF" w:rsidRDefault="002C0FD9" w:rsidP="00CA25CF">
            <w:pPr>
              <w:rPr>
                <w:rFonts w:cs="Arial"/>
                <w:color w:val="FF0000"/>
                <w:sz w:val="21"/>
                <w:szCs w:val="21"/>
              </w:rPr>
            </w:pPr>
          </w:p>
        </w:tc>
        <w:tc>
          <w:tcPr>
            <w:tcW w:w="217" w:type="dxa"/>
          </w:tcPr>
          <w:p w14:paraId="61D3E659" w14:textId="77777777" w:rsidR="002C0FD9" w:rsidRPr="00CA25CF" w:rsidRDefault="002C0FD9" w:rsidP="00CA25CF">
            <w:pPr>
              <w:rPr>
                <w:rFonts w:cs="Arial"/>
                <w:color w:val="FF0000"/>
                <w:sz w:val="21"/>
                <w:szCs w:val="21"/>
              </w:rPr>
            </w:pPr>
          </w:p>
        </w:tc>
        <w:tc>
          <w:tcPr>
            <w:tcW w:w="217" w:type="dxa"/>
          </w:tcPr>
          <w:p w14:paraId="1938D0AE" w14:textId="77777777" w:rsidR="002C0FD9" w:rsidRPr="00CA25CF" w:rsidRDefault="002C0FD9" w:rsidP="00CA25CF">
            <w:pPr>
              <w:rPr>
                <w:rFonts w:cs="Arial"/>
                <w:color w:val="FF0000"/>
                <w:sz w:val="21"/>
                <w:szCs w:val="21"/>
              </w:rPr>
            </w:pPr>
          </w:p>
        </w:tc>
      </w:tr>
      <w:tr w:rsidR="002C0FD9" w:rsidRPr="00A16219" w14:paraId="74EBA349" w14:textId="77777777" w:rsidTr="002C0FD9">
        <w:trPr>
          <w:trHeight w:val="635"/>
        </w:trPr>
        <w:tc>
          <w:tcPr>
            <w:tcW w:w="515" w:type="dxa"/>
          </w:tcPr>
          <w:p w14:paraId="2C8C846A" w14:textId="77777777" w:rsidR="002C0FD9" w:rsidRPr="00CA25CF" w:rsidRDefault="002C0FD9" w:rsidP="00CA25CF">
            <w:pPr>
              <w:rPr>
                <w:rFonts w:cs="Arial"/>
                <w:color w:val="FF0000"/>
                <w:sz w:val="21"/>
                <w:szCs w:val="21"/>
              </w:rPr>
            </w:pPr>
          </w:p>
        </w:tc>
        <w:tc>
          <w:tcPr>
            <w:tcW w:w="217" w:type="dxa"/>
          </w:tcPr>
          <w:p w14:paraId="25C0B48B" w14:textId="77777777" w:rsidR="002C0FD9" w:rsidRPr="00CA25CF" w:rsidRDefault="002C0FD9" w:rsidP="00CA25CF">
            <w:pPr>
              <w:rPr>
                <w:rFonts w:cs="Arial"/>
                <w:color w:val="FF0000"/>
                <w:sz w:val="21"/>
                <w:szCs w:val="21"/>
              </w:rPr>
            </w:pPr>
          </w:p>
        </w:tc>
        <w:tc>
          <w:tcPr>
            <w:tcW w:w="217" w:type="dxa"/>
          </w:tcPr>
          <w:p w14:paraId="6CDB10C2" w14:textId="77777777" w:rsidR="002C0FD9" w:rsidRPr="00CA25CF" w:rsidRDefault="002C0FD9" w:rsidP="00CA25CF">
            <w:pPr>
              <w:rPr>
                <w:rFonts w:cs="Arial"/>
                <w:color w:val="FF0000"/>
                <w:sz w:val="21"/>
                <w:szCs w:val="21"/>
              </w:rPr>
            </w:pPr>
          </w:p>
        </w:tc>
        <w:tc>
          <w:tcPr>
            <w:tcW w:w="217" w:type="dxa"/>
          </w:tcPr>
          <w:p w14:paraId="2B1EE1A2" w14:textId="77777777" w:rsidR="002C0FD9" w:rsidRPr="00CA25CF" w:rsidRDefault="002C0FD9" w:rsidP="00CA25CF">
            <w:pPr>
              <w:rPr>
                <w:rFonts w:cs="Arial"/>
                <w:color w:val="FF0000"/>
                <w:sz w:val="21"/>
                <w:szCs w:val="21"/>
              </w:rPr>
            </w:pPr>
          </w:p>
        </w:tc>
        <w:tc>
          <w:tcPr>
            <w:tcW w:w="217" w:type="dxa"/>
          </w:tcPr>
          <w:p w14:paraId="5AC2C0C4" w14:textId="77777777" w:rsidR="002C0FD9" w:rsidRPr="00CA25CF" w:rsidRDefault="002C0FD9" w:rsidP="00CA25CF">
            <w:pPr>
              <w:rPr>
                <w:rFonts w:cs="Arial"/>
                <w:color w:val="FF0000"/>
                <w:sz w:val="21"/>
                <w:szCs w:val="21"/>
              </w:rPr>
            </w:pPr>
          </w:p>
        </w:tc>
        <w:tc>
          <w:tcPr>
            <w:tcW w:w="217" w:type="dxa"/>
          </w:tcPr>
          <w:p w14:paraId="7C6A12E4" w14:textId="77777777" w:rsidR="002C0FD9" w:rsidRPr="00CA25CF" w:rsidRDefault="002C0FD9" w:rsidP="00CA25CF">
            <w:pPr>
              <w:rPr>
                <w:rFonts w:cs="Arial"/>
                <w:color w:val="FF0000"/>
                <w:sz w:val="21"/>
                <w:szCs w:val="21"/>
              </w:rPr>
            </w:pPr>
          </w:p>
        </w:tc>
        <w:tc>
          <w:tcPr>
            <w:tcW w:w="217" w:type="dxa"/>
          </w:tcPr>
          <w:p w14:paraId="0C63A00E" w14:textId="77777777" w:rsidR="002C0FD9" w:rsidRPr="00CA25CF" w:rsidRDefault="002C0FD9" w:rsidP="00CA25CF">
            <w:pPr>
              <w:rPr>
                <w:rFonts w:cs="Arial"/>
                <w:color w:val="FF0000"/>
                <w:sz w:val="21"/>
                <w:szCs w:val="21"/>
              </w:rPr>
            </w:pPr>
          </w:p>
        </w:tc>
        <w:tc>
          <w:tcPr>
            <w:tcW w:w="217" w:type="dxa"/>
          </w:tcPr>
          <w:p w14:paraId="64FFE9DD" w14:textId="77777777" w:rsidR="002C0FD9" w:rsidRPr="00CA25CF" w:rsidRDefault="002C0FD9" w:rsidP="00CA25CF">
            <w:pPr>
              <w:rPr>
                <w:rFonts w:cs="Arial"/>
                <w:color w:val="FF0000"/>
                <w:sz w:val="21"/>
                <w:szCs w:val="21"/>
              </w:rPr>
            </w:pPr>
          </w:p>
        </w:tc>
        <w:tc>
          <w:tcPr>
            <w:tcW w:w="217" w:type="dxa"/>
          </w:tcPr>
          <w:p w14:paraId="48BBA6A4" w14:textId="77777777" w:rsidR="002C0FD9" w:rsidRPr="00CA25CF" w:rsidRDefault="002C0FD9" w:rsidP="00CA25CF">
            <w:pPr>
              <w:rPr>
                <w:rFonts w:cs="Arial"/>
                <w:color w:val="FF0000"/>
                <w:sz w:val="21"/>
                <w:szCs w:val="21"/>
              </w:rPr>
            </w:pPr>
          </w:p>
        </w:tc>
        <w:tc>
          <w:tcPr>
            <w:tcW w:w="217" w:type="dxa"/>
          </w:tcPr>
          <w:p w14:paraId="61F4B5DF" w14:textId="77777777" w:rsidR="002C0FD9" w:rsidRPr="00CA25CF" w:rsidRDefault="002C0FD9" w:rsidP="00CA25CF">
            <w:pPr>
              <w:rPr>
                <w:rFonts w:cs="Arial"/>
                <w:color w:val="FF0000"/>
                <w:sz w:val="21"/>
                <w:szCs w:val="21"/>
              </w:rPr>
            </w:pPr>
          </w:p>
        </w:tc>
        <w:tc>
          <w:tcPr>
            <w:tcW w:w="217" w:type="dxa"/>
          </w:tcPr>
          <w:p w14:paraId="03F2131E" w14:textId="77777777" w:rsidR="002C0FD9" w:rsidRPr="00CA25CF" w:rsidRDefault="002C0FD9" w:rsidP="00CA25CF">
            <w:pPr>
              <w:rPr>
                <w:rFonts w:cs="Arial"/>
                <w:color w:val="FF0000"/>
                <w:sz w:val="21"/>
                <w:szCs w:val="21"/>
              </w:rPr>
            </w:pPr>
          </w:p>
        </w:tc>
        <w:tc>
          <w:tcPr>
            <w:tcW w:w="217" w:type="dxa"/>
          </w:tcPr>
          <w:p w14:paraId="78D416F9" w14:textId="77777777" w:rsidR="002C0FD9" w:rsidRPr="00CA25CF" w:rsidRDefault="002C0FD9" w:rsidP="00CA25CF">
            <w:pPr>
              <w:rPr>
                <w:rFonts w:cs="Arial"/>
                <w:color w:val="FF0000"/>
                <w:sz w:val="21"/>
                <w:szCs w:val="21"/>
              </w:rPr>
            </w:pPr>
          </w:p>
        </w:tc>
        <w:tc>
          <w:tcPr>
            <w:tcW w:w="217" w:type="dxa"/>
          </w:tcPr>
          <w:p w14:paraId="7B824DAF" w14:textId="77777777" w:rsidR="002C0FD9" w:rsidRPr="00CA25CF" w:rsidRDefault="002C0FD9" w:rsidP="00CA25CF">
            <w:pPr>
              <w:rPr>
                <w:rFonts w:cs="Arial"/>
                <w:color w:val="FF0000"/>
                <w:sz w:val="21"/>
                <w:szCs w:val="21"/>
              </w:rPr>
            </w:pPr>
          </w:p>
        </w:tc>
        <w:tc>
          <w:tcPr>
            <w:tcW w:w="217" w:type="dxa"/>
          </w:tcPr>
          <w:p w14:paraId="50EB1CBF" w14:textId="77777777" w:rsidR="002C0FD9" w:rsidRPr="00CA25CF" w:rsidRDefault="002C0FD9" w:rsidP="00CA25CF">
            <w:pPr>
              <w:rPr>
                <w:rFonts w:cs="Arial"/>
                <w:color w:val="FF0000"/>
                <w:sz w:val="21"/>
                <w:szCs w:val="21"/>
              </w:rPr>
            </w:pPr>
          </w:p>
        </w:tc>
        <w:tc>
          <w:tcPr>
            <w:tcW w:w="217" w:type="dxa"/>
          </w:tcPr>
          <w:p w14:paraId="66BAB40F" w14:textId="77777777" w:rsidR="002C0FD9" w:rsidRPr="00CA25CF" w:rsidRDefault="002C0FD9" w:rsidP="00CA25CF">
            <w:pPr>
              <w:rPr>
                <w:rFonts w:cs="Arial"/>
                <w:color w:val="FF0000"/>
                <w:sz w:val="21"/>
                <w:szCs w:val="21"/>
              </w:rPr>
            </w:pPr>
          </w:p>
        </w:tc>
        <w:tc>
          <w:tcPr>
            <w:tcW w:w="217" w:type="dxa"/>
          </w:tcPr>
          <w:p w14:paraId="239A9A23" w14:textId="77777777" w:rsidR="002C0FD9" w:rsidRPr="00CA25CF" w:rsidRDefault="002C0FD9" w:rsidP="00CA25CF">
            <w:pPr>
              <w:rPr>
                <w:rFonts w:cs="Arial"/>
                <w:color w:val="FF0000"/>
                <w:sz w:val="21"/>
                <w:szCs w:val="21"/>
              </w:rPr>
            </w:pPr>
          </w:p>
        </w:tc>
        <w:tc>
          <w:tcPr>
            <w:tcW w:w="217" w:type="dxa"/>
          </w:tcPr>
          <w:p w14:paraId="7D17FFC3" w14:textId="77777777" w:rsidR="002C0FD9" w:rsidRPr="00CA25CF" w:rsidRDefault="002C0FD9" w:rsidP="00CA25CF">
            <w:pPr>
              <w:rPr>
                <w:rFonts w:cs="Arial"/>
                <w:color w:val="FF0000"/>
                <w:sz w:val="21"/>
                <w:szCs w:val="21"/>
              </w:rPr>
            </w:pPr>
          </w:p>
        </w:tc>
        <w:tc>
          <w:tcPr>
            <w:tcW w:w="217" w:type="dxa"/>
          </w:tcPr>
          <w:p w14:paraId="1CBBCDE2" w14:textId="77777777" w:rsidR="002C0FD9" w:rsidRPr="00CA25CF" w:rsidRDefault="002C0FD9" w:rsidP="00CA25CF">
            <w:pPr>
              <w:rPr>
                <w:rFonts w:cs="Arial"/>
                <w:color w:val="FF0000"/>
                <w:sz w:val="21"/>
                <w:szCs w:val="21"/>
              </w:rPr>
            </w:pPr>
          </w:p>
        </w:tc>
        <w:tc>
          <w:tcPr>
            <w:tcW w:w="217" w:type="dxa"/>
          </w:tcPr>
          <w:p w14:paraId="6BD61C1C" w14:textId="77777777" w:rsidR="002C0FD9" w:rsidRPr="00CA25CF" w:rsidRDefault="002C0FD9" w:rsidP="00CA25CF">
            <w:pPr>
              <w:rPr>
                <w:rFonts w:cs="Arial"/>
                <w:color w:val="FF0000"/>
                <w:sz w:val="21"/>
                <w:szCs w:val="21"/>
              </w:rPr>
            </w:pPr>
          </w:p>
        </w:tc>
        <w:tc>
          <w:tcPr>
            <w:tcW w:w="217" w:type="dxa"/>
          </w:tcPr>
          <w:p w14:paraId="1001432E" w14:textId="77777777" w:rsidR="002C0FD9" w:rsidRPr="00CA25CF" w:rsidRDefault="002C0FD9" w:rsidP="00CA25CF">
            <w:pPr>
              <w:rPr>
                <w:rFonts w:cs="Arial"/>
                <w:color w:val="FF0000"/>
                <w:sz w:val="21"/>
                <w:szCs w:val="21"/>
              </w:rPr>
            </w:pPr>
          </w:p>
        </w:tc>
        <w:tc>
          <w:tcPr>
            <w:tcW w:w="217" w:type="dxa"/>
          </w:tcPr>
          <w:p w14:paraId="1B7AE97F" w14:textId="77777777" w:rsidR="002C0FD9" w:rsidRPr="00CA25CF" w:rsidRDefault="002C0FD9" w:rsidP="00CA25CF">
            <w:pPr>
              <w:rPr>
                <w:rFonts w:cs="Arial"/>
                <w:color w:val="FF0000"/>
                <w:sz w:val="21"/>
                <w:szCs w:val="21"/>
              </w:rPr>
            </w:pPr>
          </w:p>
        </w:tc>
        <w:tc>
          <w:tcPr>
            <w:tcW w:w="217" w:type="dxa"/>
          </w:tcPr>
          <w:p w14:paraId="555C5FF0" w14:textId="77777777" w:rsidR="002C0FD9" w:rsidRPr="00CA25CF" w:rsidRDefault="002C0FD9" w:rsidP="00CA25CF">
            <w:pPr>
              <w:rPr>
                <w:rFonts w:cs="Arial"/>
                <w:color w:val="FF0000"/>
                <w:sz w:val="21"/>
                <w:szCs w:val="21"/>
              </w:rPr>
            </w:pPr>
          </w:p>
        </w:tc>
        <w:tc>
          <w:tcPr>
            <w:tcW w:w="217" w:type="dxa"/>
          </w:tcPr>
          <w:p w14:paraId="53D959DF" w14:textId="77777777" w:rsidR="002C0FD9" w:rsidRPr="00CA25CF" w:rsidRDefault="002C0FD9" w:rsidP="00CA25CF">
            <w:pPr>
              <w:rPr>
                <w:rFonts w:cs="Arial"/>
                <w:color w:val="FF0000"/>
                <w:sz w:val="21"/>
                <w:szCs w:val="21"/>
              </w:rPr>
            </w:pPr>
          </w:p>
        </w:tc>
        <w:tc>
          <w:tcPr>
            <w:tcW w:w="217" w:type="dxa"/>
          </w:tcPr>
          <w:p w14:paraId="54599820" w14:textId="77777777" w:rsidR="002C0FD9" w:rsidRPr="00CA25CF" w:rsidRDefault="002C0FD9" w:rsidP="00CA25CF">
            <w:pPr>
              <w:rPr>
                <w:rFonts w:cs="Arial"/>
                <w:color w:val="FF0000"/>
                <w:sz w:val="21"/>
                <w:szCs w:val="21"/>
              </w:rPr>
            </w:pPr>
          </w:p>
        </w:tc>
        <w:tc>
          <w:tcPr>
            <w:tcW w:w="217" w:type="dxa"/>
          </w:tcPr>
          <w:p w14:paraId="0C2DF4D8" w14:textId="77777777" w:rsidR="002C0FD9" w:rsidRPr="00CA25CF" w:rsidRDefault="002C0FD9" w:rsidP="00CA25CF">
            <w:pPr>
              <w:rPr>
                <w:rFonts w:cs="Arial"/>
                <w:color w:val="FF0000"/>
                <w:sz w:val="21"/>
                <w:szCs w:val="21"/>
              </w:rPr>
            </w:pPr>
          </w:p>
        </w:tc>
        <w:tc>
          <w:tcPr>
            <w:tcW w:w="217" w:type="dxa"/>
          </w:tcPr>
          <w:p w14:paraId="5A16C78D" w14:textId="77777777" w:rsidR="002C0FD9" w:rsidRPr="00CA25CF" w:rsidRDefault="002C0FD9" w:rsidP="00CA25CF">
            <w:pPr>
              <w:rPr>
                <w:rFonts w:cs="Arial"/>
                <w:color w:val="FF0000"/>
                <w:sz w:val="21"/>
                <w:szCs w:val="21"/>
              </w:rPr>
            </w:pPr>
          </w:p>
        </w:tc>
        <w:tc>
          <w:tcPr>
            <w:tcW w:w="217" w:type="dxa"/>
          </w:tcPr>
          <w:p w14:paraId="36F25832" w14:textId="77777777" w:rsidR="002C0FD9" w:rsidRPr="00CA25CF" w:rsidRDefault="002C0FD9" w:rsidP="00CA25CF">
            <w:pPr>
              <w:rPr>
                <w:rFonts w:cs="Arial"/>
                <w:color w:val="FF0000"/>
                <w:sz w:val="21"/>
                <w:szCs w:val="21"/>
              </w:rPr>
            </w:pPr>
          </w:p>
        </w:tc>
        <w:tc>
          <w:tcPr>
            <w:tcW w:w="217" w:type="dxa"/>
          </w:tcPr>
          <w:p w14:paraId="0A2E4631" w14:textId="77777777" w:rsidR="002C0FD9" w:rsidRPr="00CA25CF" w:rsidRDefault="002C0FD9" w:rsidP="00CA25CF">
            <w:pPr>
              <w:rPr>
                <w:rFonts w:cs="Arial"/>
                <w:color w:val="FF0000"/>
                <w:sz w:val="21"/>
                <w:szCs w:val="21"/>
              </w:rPr>
            </w:pPr>
          </w:p>
        </w:tc>
        <w:tc>
          <w:tcPr>
            <w:tcW w:w="217" w:type="dxa"/>
          </w:tcPr>
          <w:p w14:paraId="2C4778FA" w14:textId="77777777" w:rsidR="002C0FD9" w:rsidRPr="00CA25CF" w:rsidRDefault="002C0FD9" w:rsidP="00CA25CF">
            <w:pPr>
              <w:rPr>
                <w:rFonts w:cs="Arial"/>
                <w:color w:val="FF0000"/>
                <w:sz w:val="21"/>
                <w:szCs w:val="21"/>
              </w:rPr>
            </w:pPr>
          </w:p>
        </w:tc>
        <w:tc>
          <w:tcPr>
            <w:tcW w:w="217" w:type="dxa"/>
          </w:tcPr>
          <w:p w14:paraId="4CF8EAFB" w14:textId="77777777" w:rsidR="002C0FD9" w:rsidRPr="00CA25CF" w:rsidRDefault="002C0FD9" w:rsidP="00CA25CF">
            <w:pPr>
              <w:rPr>
                <w:rFonts w:cs="Arial"/>
                <w:color w:val="FF0000"/>
                <w:sz w:val="21"/>
                <w:szCs w:val="21"/>
              </w:rPr>
            </w:pPr>
          </w:p>
        </w:tc>
        <w:tc>
          <w:tcPr>
            <w:tcW w:w="217" w:type="dxa"/>
          </w:tcPr>
          <w:p w14:paraId="045B8910" w14:textId="77777777" w:rsidR="002C0FD9" w:rsidRPr="00CA25CF" w:rsidRDefault="002C0FD9" w:rsidP="00CA25CF">
            <w:pPr>
              <w:rPr>
                <w:rFonts w:cs="Arial"/>
                <w:color w:val="FF0000"/>
                <w:sz w:val="21"/>
                <w:szCs w:val="21"/>
              </w:rPr>
            </w:pPr>
          </w:p>
        </w:tc>
        <w:tc>
          <w:tcPr>
            <w:tcW w:w="217" w:type="dxa"/>
          </w:tcPr>
          <w:p w14:paraId="46A5D12D" w14:textId="77777777" w:rsidR="002C0FD9" w:rsidRPr="00CA25CF" w:rsidRDefault="002C0FD9" w:rsidP="00CA25CF">
            <w:pPr>
              <w:rPr>
                <w:rFonts w:cs="Arial"/>
                <w:color w:val="FF0000"/>
                <w:sz w:val="21"/>
                <w:szCs w:val="21"/>
              </w:rPr>
            </w:pPr>
          </w:p>
        </w:tc>
        <w:tc>
          <w:tcPr>
            <w:tcW w:w="217" w:type="dxa"/>
          </w:tcPr>
          <w:p w14:paraId="6256852F" w14:textId="77777777" w:rsidR="002C0FD9" w:rsidRPr="00CA25CF" w:rsidRDefault="002C0FD9" w:rsidP="00CA25CF">
            <w:pPr>
              <w:rPr>
                <w:rFonts w:cs="Arial"/>
                <w:color w:val="FF0000"/>
                <w:sz w:val="21"/>
                <w:szCs w:val="21"/>
              </w:rPr>
            </w:pPr>
          </w:p>
        </w:tc>
        <w:tc>
          <w:tcPr>
            <w:tcW w:w="217" w:type="dxa"/>
          </w:tcPr>
          <w:p w14:paraId="2C40541C" w14:textId="77777777" w:rsidR="002C0FD9" w:rsidRPr="00CA25CF" w:rsidRDefault="002C0FD9" w:rsidP="00CA25CF">
            <w:pPr>
              <w:rPr>
                <w:rFonts w:cs="Arial"/>
                <w:color w:val="FF0000"/>
                <w:sz w:val="21"/>
                <w:szCs w:val="21"/>
              </w:rPr>
            </w:pPr>
          </w:p>
        </w:tc>
        <w:tc>
          <w:tcPr>
            <w:tcW w:w="217" w:type="dxa"/>
          </w:tcPr>
          <w:p w14:paraId="3AE78F90" w14:textId="77777777" w:rsidR="002C0FD9" w:rsidRPr="00CA25CF" w:rsidRDefault="002C0FD9" w:rsidP="00CA25CF">
            <w:pPr>
              <w:rPr>
                <w:rFonts w:cs="Arial"/>
                <w:color w:val="FF0000"/>
                <w:sz w:val="21"/>
                <w:szCs w:val="21"/>
              </w:rPr>
            </w:pPr>
          </w:p>
        </w:tc>
        <w:tc>
          <w:tcPr>
            <w:tcW w:w="217" w:type="dxa"/>
          </w:tcPr>
          <w:p w14:paraId="607B5589" w14:textId="77777777" w:rsidR="002C0FD9" w:rsidRPr="00CA25CF" w:rsidRDefault="002C0FD9" w:rsidP="00CA25CF">
            <w:pPr>
              <w:rPr>
                <w:rFonts w:cs="Arial"/>
                <w:color w:val="FF0000"/>
                <w:sz w:val="21"/>
                <w:szCs w:val="21"/>
              </w:rPr>
            </w:pPr>
          </w:p>
        </w:tc>
        <w:tc>
          <w:tcPr>
            <w:tcW w:w="217" w:type="dxa"/>
          </w:tcPr>
          <w:p w14:paraId="768D5AE2" w14:textId="77777777" w:rsidR="002C0FD9" w:rsidRPr="00CA25CF" w:rsidRDefault="002C0FD9" w:rsidP="00CA25CF">
            <w:pPr>
              <w:rPr>
                <w:rFonts w:cs="Arial"/>
                <w:color w:val="FF0000"/>
                <w:sz w:val="21"/>
                <w:szCs w:val="21"/>
              </w:rPr>
            </w:pPr>
          </w:p>
        </w:tc>
        <w:tc>
          <w:tcPr>
            <w:tcW w:w="217" w:type="dxa"/>
          </w:tcPr>
          <w:p w14:paraId="27E48272" w14:textId="77777777" w:rsidR="002C0FD9" w:rsidRPr="00CA25CF" w:rsidRDefault="002C0FD9" w:rsidP="00CA25CF">
            <w:pPr>
              <w:rPr>
                <w:rFonts w:cs="Arial"/>
                <w:color w:val="FF0000"/>
                <w:sz w:val="21"/>
                <w:szCs w:val="21"/>
              </w:rPr>
            </w:pPr>
          </w:p>
        </w:tc>
        <w:tc>
          <w:tcPr>
            <w:tcW w:w="217" w:type="dxa"/>
          </w:tcPr>
          <w:p w14:paraId="046D09F0" w14:textId="77777777" w:rsidR="002C0FD9" w:rsidRPr="00CA25CF" w:rsidRDefault="002C0FD9" w:rsidP="00CA25CF">
            <w:pPr>
              <w:rPr>
                <w:rFonts w:cs="Arial"/>
                <w:color w:val="FF0000"/>
                <w:sz w:val="21"/>
                <w:szCs w:val="21"/>
              </w:rPr>
            </w:pPr>
          </w:p>
        </w:tc>
        <w:tc>
          <w:tcPr>
            <w:tcW w:w="217" w:type="dxa"/>
          </w:tcPr>
          <w:p w14:paraId="6622EA57" w14:textId="77777777" w:rsidR="002C0FD9" w:rsidRPr="00CA25CF" w:rsidRDefault="002C0FD9" w:rsidP="00CA25CF">
            <w:pPr>
              <w:rPr>
                <w:rFonts w:cs="Arial"/>
                <w:color w:val="FF0000"/>
                <w:sz w:val="21"/>
                <w:szCs w:val="21"/>
              </w:rPr>
            </w:pPr>
          </w:p>
        </w:tc>
        <w:tc>
          <w:tcPr>
            <w:tcW w:w="217" w:type="dxa"/>
          </w:tcPr>
          <w:p w14:paraId="6485079C" w14:textId="77777777" w:rsidR="002C0FD9" w:rsidRPr="00CA25CF" w:rsidRDefault="002C0FD9" w:rsidP="00CA25CF">
            <w:pPr>
              <w:rPr>
                <w:rFonts w:cs="Arial"/>
                <w:color w:val="FF0000"/>
                <w:sz w:val="21"/>
                <w:szCs w:val="21"/>
              </w:rPr>
            </w:pPr>
          </w:p>
        </w:tc>
        <w:tc>
          <w:tcPr>
            <w:tcW w:w="217" w:type="dxa"/>
          </w:tcPr>
          <w:p w14:paraId="5E81DD1D" w14:textId="77777777" w:rsidR="002C0FD9" w:rsidRPr="00CA25CF" w:rsidRDefault="002C0FD9" w:rsidP="00CA25CF">
            <w:pPr>
              <w:rPr>
                <w:rFonts w:cs="Arial"/>
                <w:color w:val="FF0000"/>
                <w:sz w:val="21"/>
                <w:szCs w:val="21"/>
              </w:rPr>
            </w:pPr>
          </w:p>
        </w:tc>
        <w:tc>
          <w:tcPr>
            <w:tcW w:w="217" w:type="dxa"/>
          </w:tcPr>
          <w:p w14:paraId="370C7B86" w14:textId="77777777" w:rsidR="002C0FD9" w:rsidRPr="00CA25CF" w:rsidRDefault="002C0FD9" w:rsidP="00CA25CF">
            <w:pPr>
              <w:rPr>
                <w:rFonts w:cs="Arial"/>
                <w:color w:val="FF0000"/>
                <w:sz w:val="21"/>
                <w:szCs w:val="21"/>
              </w:rPr>
            </w:pPr>
          </w:p>
        </w:tc>
      </w:tr>
      <w:tr w:rsidR="002C0FD9" w:rsidRPr="00A16219" w14:paraId="7E9A587A" w14:textId="77777777" w:rsidTr="002C0FD9">
        <w:trPr>
          <w:trHeight w:val="635"/>
        </w:trPr>
        <w:tc>
          <w:tcPr>
            <w:tcW w:w="515" w:type="dxa"/>
          </w:tcPr>
          <w:p w14:paraId="0EE41F09" w14:textId="77777777" w:rsidR="002C0FD9" w:rsidRPr="00CA25CF" w:rsidRDefault="002C0FD9" w:rsidP="00CA25CF">
            <w:pPr>
              <w:rPr>
                <w:rFonts w:cs="Arial"/>
                <w:color w:val="FF0000"/>
                <w:sz w:val="21"/>
                <w:szCs w:val="21"/>
              </w:rPr>
            </w:pPr>
          </w:p>
        </w:tc>
        <w:tc>
          <w:tcPr>
            <w:tcW w:w="217" w:type="dxa"/>
          </w:tcPr>
          <w:p w14:paraId="608744F4" w14:textId="77777777" w:rsidR="002C0FD9" w:rsidRPr="00CA25CF" w:rsidRDefault="002C0FD9" w:rsidP="00CA25CF">
            <w:pPr>
              <w:rPr>
                <w:rFonts w:cs="Arial"/>
                <w:color w:val="FF0000"/>
                <w:sz w:val="21"/>
                <w:szCs w:val="21"/>
              </w:rPr>
            </w:pPr>
          </w:p>
        </w:tc>
        <w:tc>
          <w:tcPr>
            <w:tcW w:w="217" w:type="dxa"/>
          </w:tcPr>
          <w:p w14:paraId="406D36AF" w14:textId="77777777" w:rsidR="002C0FD9" w:rsidRPr="00CA25CF" w:rsidRDefault="002C0FD9" w:rsidP="00CA25CF">
            <w:pPr>
              <w:rPr>
                <w:rFonts w:cs="Arial"/>
                <w:color w:val="FF0000"/>
                <w:sz w:val="21"/>
                <w:szCs w:val="21"/>
              </w:rPr>
            </w:pPr>
          </w:p>
        </w:tc>
        <w:tc>
          <w:tcPr>
            <w:tcW w:w="217" w:type="dxa"/>
          </w:tcPr>
          <w:p w14:paraId="38D79C95" w14:textId="77777777" w:rsidR="002C0FD9" w:rsidRPr="00CA25CF" w:rsidRDefault="002C0FD9" w:rsidP="00CA25CF">
            <w:pPr>
              <w:rPr>
                <w:rFonts w:cs="Arial"/>
                <w:color w:val="FF0000"/>
                <w:sz w:val="21"/>
                <w:szCs w:val="21"/>
              </w:rPr>
            </w:pPr>
          </w:p>
        </w:tc>
        <w:tc>
          <w:tcPr>
            <w:tcW w:w="217" w:type="dxa"/>
          </w:tcPr>
          <w:p w14:paraId="429EE522" w14:textId="77777777" w:rsidR="002C0FD9" w:rsidRPr="00CA25CF" w:rsidRDefault="002C0FD9" w:rsidP="00CA25CF">
            <w:pPr>
              <w:rPr>
                <w:rFonts w:cs="Arial"/>
                <w:color w:val="FF0000"/>
                <w:sz w:val="21"/>
                <w:szCs w:val="21"/>
              </w:rPr>
            </w:pPr>
          </w:p>
        </w:tc>
        <w:tc>
          <w:tcPr>
            <w:tcW w:w="217" w:type="dxa"/>
          </w:tcPr>
          <w:p w14:paraId="64C91D7E" w14:textId="77777777" w:rsidR="002C0FD9" w:rsidRPr="00CA25CF" w:rsidRDefault="002C0FD9" w:rsidP="00CA25CF">
            <w:pPr>
              <w:rPr>
                <w:rFonts w:cs="Arial"/>
                <w:color w:val="FF0000"/>
                <w:sz w:val="21"/>
                <w:szCs w:val="21"/>
              </w:rPr>
            </w:pPr>
          </w:p>
        </w:tc>
        <w:tc>
          <w:tcPr>
            <w:tcW w:w="217" w:type="dxa"/>
          </w:tcPr>
          <w:p w14:paraId="127D6A4E" w14:textId="77777777" w:rsidR="002C0FD9" w:rsidRPr="00CA25CF" w:rsidRDefault="002C0FD9" w:rsidP="00CA25CF">
            <w:pPr>
              <w:rPr>
                <w:rFonts w:cs="Arial"/>
                <w:color w:val="FF0000"/>
                <w:sz w:val="21"/>
                <w:szCs w:val="21"/>
              </w:rPr>
            </w:pPr>
          </w:p>
        </w:tc>
        <w:tc>
          <w:tcPr>
            <w:tcW w:w="217" w:type="dxa"/>
          </w:tcPr>
          <w:p w14:paraId="7063EBA7" w14:textId="77777777" w:rsidR="002C0FD9" w:rsidRPr="00CA25CF" w:rsidRDefault="002C0FD9" w:rsidP="00CA25CF">
            <w:pPr>
              <w:rPr>
                <w:rFonts w:cs="Arial"/>
                <w:color w:val="FF0000"/>
                <w:sz w:val="21"/>
                <w:szCs w:val="21"/>
              </w:rPr>
            </w:pPr>
          </w:p>
        </w:tc>
        <w:tc>
          <w:tcPr>
            <w:tcW w:w="217" w:type="dxa"/>
          </w:tcPr>
          <w:p w14:paraId="44546426" w14:textId="77777777" w:rsidR="002C0FD9" w:rsidRPr="00CA25CF" w:rsidRDefault="002C0FD9" w:rsidP="00CA25CF">
            <w:pPr>
              <w:rPr>
                <w:rFonts w:cs="Arial"/>
                <w:color w:val="FF0000"/>
                <w:sz w:val="21"/>
                <w:szCs w:val="21"/>
              </w:rPr>
            </w:pPr>
          </w:p>
        </w:tc>
        <w:tc>
          <w:tcPr>
            <w:tcW w:w="217" w:type="dxa"/>
          </w:tcPr>
          <w:p w14:paraId="7492D0A8" w14:textId="77777777" w:rsidR="002C0FD9" w:rsidRPr="00CA25CF" w:rsidRDefault="002C0FD9" w:rsidP="00CA25CF">
            <w:pPr>
              <w:rPr>
                <w:rFonts w:cs="Arial"/>
                <w:color w:val="FF0000"/>
                <w:sz w:val="21"/>
                <w:szCs w:val="21"/>
              </w:rPr>
            </w:pPr>
          </w:p>
        </w:tc>
        <w:tc>
          <w:tcPr>
            <w:tcW w:w="217" w:type="dxa"/>
          </w:tcPr>
          <w:p w14:paraId="3F5BA87B" w14:textId="77777777" w:rsidR="002C0FD9" w:rsidRPr="00CA25CF" w:rsidRDefault="002C0FD9" w:rsidP="00CA25CF">
            <w:pPr>
              <w:rPr>
                <w:rFonts w:cs="Arial"/>
                <w:color w:val="FF0000"/>
                <w:sz w:val="21"/>
                <w:szCs w:val="21"/>
              </w:rPr>
            </w:pPr>
          </w:p>
        </w:tc>
        <w:tc>
          <w:tcPr>
            <w:tcW w:w="217" w:type="dxa"/>
          </w:tcPr>
          <w:p w14:paraId="3A5B3C4B" w14:textId="77777777" w:rsidR="002C0FD9" w:rsidRPr="00CA25CF" w:rsidRDefault="002C0FD9" w:rsidP="00CA25CF">
            <w:pPr>
              <w:rPr>
                <w:rFonts w:cs="Arial"/>
                <w:color w:val="FF0000"/>
                <w:sz w:val="21"/>
                <w:szCs w:val="21"/>
              </w:rPr>
            </w:pPr>
          </w:p>
        </w:tc>
        <w:tc>
          <w:tcPr>
            <w:tcW w:w="217" w:type="dxa"/>
          </w:tcPr>
          <w:p w14:paraId="5924D945" w14:textId="77777777" w:rsidR="002C0FD9" w:rsidRPr="00CA25CF" w:rsidRDefault="002C0FD9" w:rsidP="00CA25CF">
            <w:pPr>
              <w:rPr>
                <w:rFonts w:cs="Arial"/>
                <w:color w:val="FF0000"/>
                <w:sz w:val="21"/>
                <w:szCs w:val="21"/>
              </w:rPr>
            </w:pPr>
          </w:p>
        </w:tc>
        <w:tc>
          <w:tcPr>
            <w:tcW w:w="217" w:type="dxa"/>
          </w:tcPr>
          <w:p w14:paraId="75B0059A" w14:textId="77777777" w:rsidR="002C0FD9" w:rsidRPr="00CA25CF" w:rsidRDefault="002C0FD9" w:rsidP="00CA25CF">
            <w:pPr>
              <w:rPr>
                <w:rFonts w:cs="Arial"/>
                <w:color w:val="FF0000"/>
                <w:sz w:val="21"/>
                <w:szCs w:val="21"/>
              </w:rPr>
            </w:pPr>
          </w:p>
        </w:tc>
        <w:tc>
          <w:tcPr>
            <w:tcW w:w="217" w:type="dxa"/>
          </w:tcPr>
          <w:p w14:paraId="7CD3E778" w14:textId="77777777" w:rsidR="002C0FD9" w:rsidRPr="00CA25CF" w:rsidRDefault="002C0FD9" w:rsidP="00CA25CF">
            <w:pPr>
              <w:rPr>
                <w:rFonts w:cs="Arial"/>
                <w:color w:val="FF0000"/>
                <w:sz w:val="21"/>
                <w:szCs w:val="21"/>
              </w:rPr>
            </w:pPr>
          </w:p>
        </w:tc>
        <w:tc>
          <w:tcPr>
            <w:tcW w:w="217" w:type="dxa"/>
          </w:tcPr>
          <w:p w14:paraId="6863D077" w14:textId="77777777" w:rsidR="002C0FD9" w:rsidRPr="00CA25CF" w:rsidRDefault="002C0FD9" w:rsidP="00CA25CF">
            <w:pPr>
              <w:rPr>
                <w:rFonts w:cs="Arial"/>
                <w:color w:val="FF0000"/>
                <w:sz w:val="21"/>
                <w:szCs w:val="21"/>
              </w:rPr>
            </w:pPr>
          </w:p>
        </w:tc>
        <w:tc>
          <w:tcPr>
            <w:tcW w:w="217" w:type="dxa"/>
          </w:tcPr>
          <w:p w14:paraId="58415865" w14:textId="77777777" w:rsidR="002C0FD9" w:rsidRPr="00CA25CF" w:rsidRDefault="002C0FD9" w:rsidP="00CA25CF">
            <w:pPr>
              <w:rPr>
                <w:rFonts w:cs="Arial"/>
                <w:color w:val="FF0000"/>
                <w:sz w:val="21"/>
                <w:szCs w:val="21"/>
              </w:rPr>
            </w:pPr>
          </w:p>
        </w:tc>
        <w:tc>
          <w:tcPr>
            <w:tcW w:w="217" w:type="dxa"/>
          </w:tcPr>
          <w:p w14:paraId="5DE8FB7F" w14:textId="77777777" w:rsidR="002C0FD9" w:rsidRPr="00CA25CF" w:rsidRDefault="002C0FD9" w:rsidP="00CA25CF">
            <w:pPr>
              <w:rPr>
                <w:rFonts w:cs="Arial"/>
                <w:color w:val="FF0000"/>
                <w:sz w:val="21"/>
                <w:szCs w:val="21"/>
              </w:rPr>
            </w:pPr>
          </w:p>
        </w:tc>
        <w:tc>
          <w:tcPr>
            <w:tcW w:w="217" w:type="dxa"/>
          </w:tcPr>
          <w:p w14:paraId="4E052B0D" w14:textId="77777777" w:rsidR="002C0FD9" w:rsidRPr="00CA25CF" w:rsidRDefault="002C0FD9" w:rsidP="00CA25CF">
            <w:pPr>
              <w:rPr>
                <w:rFonts w:cs="Arial"/>
                <w:color w:val="FF0000"/>
                <w:sz w:val="21"/>
                <w:szCs w:val="21"/>
              </w:rPr>
            </w:pPr>
          </w:p>
        </w:tc>
        <w:tc>
          <w:tcPr>
            <w:tcW w:w="217" w:type="dxa"/>
          </w:tcPr>
          <w:p w14:paraId="37516B7D" w14:textId="77777777" w:rsidR="002C0FD9" w:rsidRPr="00CA25CF" w:rsidRDefault="002C0FD9" w:rsidP="00CA25CF">
            <w:pPr>
              <w:rPr>
                <w:rFonts w:cs="Arial"/>
                <w:color w:val="FF0000"/>
                <w:sz w:val="21"/>
                <w:szCs w:val="21"/>
              </w:rPr>
            </w:pPr>
          </w:p>
        </w:tc>
        <w:tc>
          <w:tcPr>
            <w:tcW w:w="217" w:type="dxa"/>
          </w:tcPr>
          <w:p w14:paraId="4995651D" w14:textId="77777777" w:rsidR="002C0FD9" w:rsidRPr="00CA25CF" w:rsidRDefault="002C0FD9" w:rsidP="00CA25CF">
            <w:pPr>
              <w:rPr>
                <w:rFonts w:cs="Arial"/>
                <w:color w:val="FF0000"/>
                <w:sz w:val="21"/>
                <w:szCs w:val="21"/>
              </w:rPr>
            </w:pPr>
          </w:p>
        </w:tc>
        <w:tc>
          <w:tcPr>
            <w:tcW w:w="217" w:type="dxa"/>
          </w:tcPr>
          <w:p w14:paraId="0354E70D" w14:textId="77777777" w:rsidR="002C0FD9" w:rsidRPr="00CA25CF" w:rsidRDefault="002C0FD9" w:rsidP="00CA25CF">
            <w:pPr>
              <w:rPr>
                <w:rFonts w:cs="Arial"/>
                <w:color w:val="FF0000"/>
                <w:sz w:val="21"/>
                <w:szCs w:val="21"/>
              </w:rPr>
            </w:pPr>
          </w:p>
        </w:tc>
        <w:tc>
          <w:tcPr>
            <w:tcW w:w="217" w:type="dxa"/>
          </w:tcPr>
          <w:p w14:paraId="6B308535" w14:textId="77777777" w:rsidR="002C0FD9" w:rsidRPr="00CA25CF" w:rsidRDefault="002C0FD9" w:rsidP="00CA25CF">
            <w:pPr>
              <w:rPr>
                <w:rFonts w:cs="Arial"/>
                <w:color w:val="FF0000"/>
                <w:sz w:val="21"/>
                <w:szCs w:val="21"/>
              </w:rPr>
            </w:pPr>
          </w:p>
        </w:tc>
        <w:tc>
          <w:tcPr>
            <w:tcW w:w="217" w:type="dxa"/>
          </w:tcPr>
          <w:p w14:paraId="3F7337E5" w14:textId="77777777" w:rsidR="002C0FD9" w:rsidRPr="00CA25CF" w:rsidRDefault="002C0FD9" w:rsidP="00CA25CF">
            <w:pPr>
              <w:rPr>
                <w:rFonts w:cs="Arial"/>
                <w:color w:val="FF0000"/>
                <w:sz w:val="21"/>
                <w:szCs w:val="21"/>
              </w:rPr>
            </w:pPr>
          </w:p>
        </w:tc>
        <w:tc>
          <w:tcPr>
            <w:tcW w:w="217" w:type="dxa"/>
          </w:tcPr>
          <w:p w14:paraId="42341D57" w14:textId="77777777" w:rsidR="002C0FD9" w:rsidRPr="00CA25CF" w:rsidRDefault="002C0FD9" w:rsidP="00CA25CF">
            <w:pPr>
              <w:rPr>
                <w:rFonts w:cs="Arial"/>
                <w:color w:val="FF0000"/>
                <w:sz w:val="21"/>
                <w:szCs w:val="21"/>
              </w:rPr>
            </w:pPr>
          </w:p>
        </w:tc>
        <w:tc>
          <w:tcPr>
            <w:tcW w:w="217" w:type="dxa"/>
          </w:tcPr>
          <w:p w14:paraId="64566194" w14:textId="77777777" w:rsidR="002C0FD9" w:rsidRPr="00CA25CF" w:rsidRDefault="002C0FD9" w:rsidP="00CA25CF">
            <w:pPr>
              <w:rPr>
                <w:rFonts w:cs="Arial"/>
                <w:color w:val="FF0000"/>
                <w:sz w:val="21"/>
                <w:szCs w:val="21"/>
              </w:rPr>
            </w:pPr>
          </w:p>
        </w:tc>
        <w:tc>
          <w:tcPr>
            <w:tcW w:w="217" w:type="dxa"/>
          </w:tcPr>
          <w:p w14:paraId="60EA55D6" w14:textId="77777777" w:rsidR="002C0FD9" w:rsidRPr="00CA25CF" w:rsidRDefault="002C0FD9" w:rsidP="00CA25CF">
            <w:pPr>
              <w:rPr>
                <w:rFonts w:cs="Arial"/>
                <w:color w:val="FF0000"/>
                <w:sz w:val="21"/>
                <w:szCs w:val="21"/>
              </w:rPr>
            </w:pPr>
          </w:p>
        </w:tc>
        <w:tc>
          <w:tcPr>
            <w:tcW w:w="217" w:type="dxa"/>
          </w:tcPr>
          <w:p w14:paraId="18EBE23D" w14:textId="77777777" w:rsidR="002C0FD9" w:rsidRPr="00CA25CF" w:rsidRDefault="002C0FD9" w:rsidP="00CA25CF">
            <w:pPr>
              <w:rPr>
                <w:rFonts w:cs="Arial"/>
                <w:color w:val="FF0000"/>
                <w:sz w:val="21"/>
                <w:szCs w:val="21"/>
              </w:rPr>
            </w:pPr>
          </w:p>
        </w:tc>
        <w:tc>
          <w:tcPr>
            <w:tcW w:w="217" w:type="dxa"/>
          </w:tcPr>
          <w:p w14:paraId="2C52FC6D" w14:textId="77777777" w:rsidR="002C0FD9" w:rsidRPr="00CA25CF" w:rsidRDefault="002C0FD9" w:rsidP="00CA25CF">
            <w:pPr>
              <w:rPr>
                <w:rFonts w:cs="Arial"/>
                <w:color w:val="FF0000"/>
                <w:sz w:val="21"/>
                <w:szCs w:val="21"/>
              </w:rPr>
            </w:pPr>
          </w:p>
        </w:tc>
        <w:tc>
          <w:tcPr>
            <w:tcW w:w="217" w:type="dxa"/>
          </w:tcPr>
          <w:p w14:paraId="06AAB945" w14:textId="77777777" w:rsidR="002C0FD9" w:rsidRPr="00CA25CF" w:rsidRDefault="002C0FD9" w:rsidP="00CA25CF">
            <w:pPr>
              <w:rPr>
                <w:rFonts w:cs="Arial"/>
                <w:color w:val="FF0000"/>
                <w:sz w:val="21"/>
                <w:szCs w:val="21"/>
              </w:rPr>
            </w:pPr>
          </w:p>
        </w:tc>
        <w:tc>
          <w:tcPr>
            <w:tcW w:w="217" w:type="dxa"/>
          </w:tcPr>
          <w:p w14:paraId="5E922D1C" w14:textId="77777777" w:rsidR="002C0FD9" w:rsidRPr="00CA25CF" w:rsidRDefault="002C0FD9" w:rsidP="00CA25CF">
            <w:pPr>
              <w:rPr>
                <w:rFonts w:cs="Arial"/>
                <w:color w:val="FF0000"/>
                <w:sz w:val="21"/>
                <w:szCs w:val="21"/>
              </w:rPr>
            </w:pPr>
          </w:p>
        </w:tc>
        <w:tc>
          <w:tcPr>
            <w:tcW w:w="217" w:type="dxa"/>
          </w:tcPr>
          <w:p w14:paraId="28D968FC" w14:textId="77777777" w:rsidR="002C0FD9" w:rsidRPr="00CA25CF" w:rsidRDefault="002C0FD9" w:rsidP="00CA25CF">
            <w:pPr>
              <w:rPr>
                <w:rFonts w:cs="Arial"/>
                <w:color w:val="FF0000"/>
                <w:sz w:val="21"/>
                <w:szCs w:val="21"/>
              </w:rPr>
            </w:pPr>
          </w:p>
        </w:tc>
        <w:tc>
          <w:tcPr>
            <w:tcW w:w="217" w:type="dxa"/>
          </w:tcPr>
          <w:p w14:paraId="379D4EE9" w14:textId="77777777" w:rsidR="002C0FD9" w:rsidRPr="00CA25CF" w:rsidRDefault="002C0FD9" w:rsidP="00CA25CF">
            <w:pPr>
              <w:rPr>
                <w:rFonts w:cs="Arial"/>
                <w:color w:val="FF0000"/>
                <w:sz w:val="21"/>
                <w:szCs w:val="21"/>
              </w:rPr>
            </w:pPr>
          </w:p>
        </w:tc>
        <w:tc>
          <w:tcPr>
            <w:tcW w:w="217" w:type="dxa"/>
          </w:tcPr>
          <w:p w14:paraId="28E8FF70" w14:textId="77777777" w:rsidR="002C0FD9" w:rsidRPr="00CA25CF" w:rsidRDefault="002C0FD9" w:rsidP="00CA25CF">
            <w:pPr>
              <w:rPr>
                <w:rFonts w:cs="Arial"/>
                <w:color w:val="FF0000"/>
                <w:sz w:val="21"/>
                <w:szCs w:val="21"/>
              </w:rPr>
            </w:pPr>
          </w:p>
        </w:tc>
        <w:tc>
          <w:tcPr>
            <w:tcW w:w="217" w:type="dxa"/>
          </w:tcPr>
          <w:p w14:paraId="0D9C2769" w14:textId="77777777" w:rsidR="002C0FD9" w:rsidRPr="00CA25CF" w:rsidRDefault="002C0FD9" w:rsidP="00CA25CF">
            <w:pPr>
              <w:rPr>
                <w:rFonts w:cs="Arial"/>
                <w:color w:val="FF0000"/>
                <w:sz w:val="21"/>
                <w:szCs w:val="21"/>
              </w:rPr>
            </w:pPr>
          </w:p>
        </w:tc>
        <w:tc>
          <w:tcPr>
            <w:tcW w:w="217" w:type="dxa"/>
          </w:tcPr>
          <w:p w14:paraId="3AA091B4" w14:textId="77777777" w:rsidR="002C0FD9" w:rsidRPr="00CA25CF" w:rsidRDefault="002C0FD9" w:rsidP="00CA25CF">
            <w:pPr>
              <w:rPr>
                <w:rFonts w:cs="Arial"/>
                <w:color w:val="FF0000"/>
                <w:sz w:val="21"/>
                <w:szCs w:val="21"/>
              </w:rPr>
            </w:pPr>
          </w:p>
        </w:tc>
        <w:tc>
          <w:tcPr>
            <w:tcW w:w="217" w:type="dxa"/>
          </w:tcPr>
          <w:p w14:paraId="3D0286D3" w14:textId="77777777" w:rsidR="002C0FD9" w:rsidRPr="00CA25CF" w:rsidRDefault="002C0FD9" w:rsidP="00CA25CF">
            <w:pPr>
              <w:rPr>
                <w:rFonts w:cs="Arial"/>
                <w:color w:val="FF0000"/>
                <w:sz w:val="21"/>
                <w:szCs w:val="21"/>
              </w:rPr>
            </w:pPr>
          </w:p>
        </w:tc>
        <w:tc>
          <w:tcPr>
            <w:tcW w:w="217" w:type="dxa"/>
          </w:tcPr>
          <w:p w14:paraId="24FB1DBA" w14:textId="77777777" w:rsidR="002C0FD9" w:rsidRPr="00CA25CF" w:rsidRDefault="002C0FD9" w:rsidP="00CA25CF">
            <w:pPr>
              <w:rPr>
                <w:rFonts w:cs="Arial"/>
                <w:color w:val="FF0000"/>
                <w:sz w:val="21"/>
                <w:szCs w:val="21"/>
              </w:rPr>
            </w:pPr>
          </w:p>
        </w:tc>
        <w:tc>
          <w:tcPr>
            <w:tcW w:w="217" w:type="dxa"/>
          </w:tcPr>
          <w:p w14:paraId="50B03093" w14:textId="77777777" w:rsidR="002C0FD9" w:rsidRPr="00CA25CF" w:rsidRDefault="002C0FD9" w:rsidP="00CA25CF">
            <w:pPr>
              <w:rPr>
                <w:rFonts w:cs="Arial"/>
                <w:color w:val="FF0000"/>
                <w:sz w:val="21"/>
                <w:szCs w:val="21"/>
              </w:rPr>
            </w:pPr>
          </w:p>
        </w:tc>
        <w:tc>
          <w:tcPr>
            <w:tcW w:w="217" w:type="dxa"/>
          </w:tcPr>
          <w:p w14:paraId="12446699" w14:textId="77777777" w:rsidR="002C0FD9" w:rsidRPr="00CA25CF" w:rsidRDefault="002C0FD9" w:rsidP="00CA25CF">
            <w:pPr>
              <w:rPr>
                <w:rFonts w:cs="Arial"/>
                <w:color w:val="FF0000"/>
                <w:sz w:val="21"/>
                <w:szCs w:val="21"/>
              </w:rPr>
            </w:pPr>
          </w:p>
        </w:tc>
        <w:tc>
          <w:tcPr>
            <w:tcW w:w="217" w:type="dxa"/>
          </w:tcPr>
          <w:p w14:paraId="6520C456" w14:textId="77777777" w:rsidR="002C0FD9" w:rsidRPr="00CA25CF" w:rsidRDefault="002C0FD9" w:rsidP="00CA25CF">
            <w:pPr>
              <w:rPr>
                <w:rFonts w:cs="Arial"/>
                <w:color w:val="FF0000"/>
                <w:sz w:val="21"/>
                <w:szCs w:val="21"/>
              </w:rPr>
            </w:pPr>
          </w:p>
        </w:tc>
        <w:tc>
          <w:tcPr>
            <w:tcW w:w="217" w:type="dxa"/>
          </w:tcPr>
          <w:p w14:paraId="3518FF65" w14:textId="77777777" w:rsidR="002C0FD9" w:rsidRPr="00CA25CF" w:rsidRDefault="002C0FD9" w:rsidP="00CA25CF">
            <w:pPr>
              <w:rPr>
                <w:rFonts w:cs="Arial"/>
                <w:color w:val="FF0000"/>
                <w:sz w:val="21"/>
                <w:szCs w:val="21"/>
              </w:rPr>
            </w:pPr>
          </w:p>
        </w:tc>
        <w:tc>
          <w:tcPr>
            <w:tcW w:w="217" w:type="dxa"/>
          </w:tcPr>
          <w:p w14:paraId="1B0A8B9A" w14:textId="77777777" w:rsidR="002C0FD9" w:rsidRPr="00CA25CF" w:rsidRDefault="002C0FD9" w:rsidP="00CA25CF">
            <w:pPr>
              <w:rPr>
                <w:rFonts w:cs="Arial"/>
                <w:color w:val="FF0000"/>
                <w:sz w:val="21"/>
                <w:szCs w:val="21"/>
              </w:rPr>
            </w:pPr>
          </w:p>
        </w:tc>
      </w:tr>
      <w:tr w:rsidR="002C0FD9" w:rsidRPr="00A16219" w14:paraId="17076A49" w14:textId="77777777" w:rsidTr="002C0FD9">
        <w:trPr>
          <w:trHeight w:val="635"/>
        </w:trPr>
        <w:tc>
          <w:tcPr>
            <w:tcW w:w="515" w:type="dxa"/>
          </w:tcPr>
          <w:p w14:paraId="02412FBE" w14:textId="77777777" w:rsidR="002C0FD9" w:rsidRPr="00CA25CF" w:rsidRDefault="002C0FD9" w:rsidP="00CA25CF">
            <w:pPr>
              <w:rPr>
                <w:rFonts w:cs="Arial"/>
                <w:color w:val="FF0000"/>
                <w:sz w:val="21"/>
                <w:szCs w:val="21"/>
              </w:rPr>
            </w:pPr>
          </w:p>
        </w:tc>
        <w:tc>
          <w:tcPr>
            <w:tcW w:w="217" w:type="dxa"/>
          </w:tcPr>
          <w:p w14:paraId="19D14366" w14:textId="77777777" w:rsidR="002C0FD9" w:rsidRPr="00CA25CF" w:rsidRDefault="002C0FD9" w:rsidP="00CA25CF">
            <w:pPr>
              <w:rPr>
                <w:rFonts w:cs="Arial"/>
                <w:color w:val="FF0000"/>
                <w:sz w:val="21"/>
                <w:szCs w:val="21"/>
              </w:rPr>
            </w:pPr>
          </w:p>
        </w:tc>
        <w:tc>
          <w:tcPr>
            <w:tcW w:w="217" w:type="dxa"/>
          </w:tcPr>
          <w:p w14:paraId="0C135C74" w14:textId="77777777" w:rsidR="002C0FD9" w:rsidRPr="00CA25CF" w:rsidRDefault="002C0FD9" w:rsidP="00CA25CF">
            <w:pPr>
              <w:rPr>
                <w:rFonts w:cs="Arial"/>
                <w:color w:val="FF0000"/>
                <w:sz w:val="21"/>
                <w:szCs w:val="21"/>
              </w:rPr>
            </w:pPr>
          </w:p>
        </w:tc>
        <w:tc>
          <w:tcPr>
            <w:tcW w:w="217" w:type="dxa"/>
          </w:tcPr>
          <w:p w14:paraId="5DCE81B1" w14:textId="77777777" w:rsidR="002C0FD9" w:rsidRPr="00CA25CF" w:rsidRDefault="002C0FD9" w:rsidP="00CA25CF">
            <w:pPr>
              <w:rPr>
                <w:rFonts w:cs="Arial"/>
                <w:color w:val="FF0000"/>
                <w:sz w:val="21"/>
                <w:szCs w:val="21"/>
              </w:rPr>
            </w:pPr>
          </w:p>
        </w:tc>
        <w:tc>
          <w:tcPr>
            <w:tcW w:w="217" w:type="dxa"/>
          </w:tcPr>
          <w:p w14:paraId="56523BF1" w14:textId="77777777" w:rsidR="002C0FD9" w:rsidRPr="00CA25CF" w:rsidRDefault="002C0FD9" w:rsidP="00CA25CF">
            <w:pPr>
              <w:rPr>
                <w:rFonts w:cs="Arial"/>
                <w:color w:val="FF0000"/>
                <w:sz w:val="21"/>
                <w:szCs w:val="21"/>
              </w:rPr>
            </w:pPr>
          </w:p>
        </w:tc>
        <w:tc>
          <w:tcPr>
            <w:tcW w:w="217" w:type="dxa"/>
          </w:tcPr>
          <w:p w14:paraId="2BD261D2" w14:textId="77777777" w:rsidR="002C0FD9" w:rsidRPr="00CA25CF" w:rsidRDefault="002C0FD9" w:rsidP="00CA25CF">
            <w:pPr>
              <w:rPr>
                <w:rFonts w:cs="Arial"/>
                <w:color w:val="FF0000"/>
                <w:sz w:val="21"/>
                <w:szCs w:val="21"/>
              </w:rPr>
            </w:pPr>
          </w:p>
        </w:tc>
        <w:tc>
          <w:tcPr>
            <w:tcW w:w="217" w:type="dxa"/>
          </w:tcPr>
          <w:p w14:paraId="40FF83E4" w14:textId="77777777" w:rsidR="002C0FD9" w:rsidRPr="00CA25CF" w:rsidRDefault="002C0FD9" w:rsidP="00CA25CF">
            <w:pPr>
              <w:rPr>
                <w:rFonts w:cs="Arial"/>
                <w:color w:val="FF0000"/>
                <w:sz w:val="21"/>
                <w:szCs w:val="21"/>
              </w:rPr>
            </w:pPr>
          </w:p>
        </w:tc>
        <w:tc>
          <w:tcPr>
            <w:tcW w:w="217" w:type="dxa"/>
          </w:tcPr>
          <w:p w14:paraId="25738A10" w14:textId="77777777" w:rsidR="002C0FD9" w:rsidRPr="00CA25CF" w:rsidRDefault="002C0FD9" w:rsidP="00CA25CF">
            <w:pPr>
              <w:rPr>
                <w:rFonts w:cs="Arial"/>
                <w:color w:val="FF0000"/>
                <w:sz w:val="21"/>
                <w:szCs w:val="21"/>
              </w:rPr>
            </w:pPr>
          </w:p>
        </w:tc>
        <w:tc>
          <w:tcPr>
            <w:tcW w:w="217" w:type="dxa"/>
          </w:tcPr>
          <w:p w14:paraId="5C843F2F" w14:textId="77777777" w:rsidR="002C0FD9" w:rsidRPr="00CA25CF" w:rsidRDefault="002C0FD9" w:rsidP="00CA25CF">
            <w:pPr>
              <w:rPr>
                <w:rFonts w:cs="Arial"/>
                <w:color w:val="FF0000"/>
                <w:sz w:val="21"/>
                <w:szCs w:val="21"/>
              </w:rPr>
            </w:pPr>
          </w:p>
        </w:tc>
        <w:tc>
          <w:tcPr>
            <w:tcW w:w="217" w:type="dxa"/>
          </w:tcPr>
          <w:p w14:paraId="5878D0D4" w14:textId="77777777" w:rsidR="002C0FD9" w:rsidRPr="00CA25CF" w:rsidRDefault="002C0FD9" w:rsidP="00CA25CF">
            <w:pPr>
              <w:rPr>
                <w:rFonts w:cs="Arial"/>
                <w:color w:val="FF0000"/>
                <w:sz w:val="21"/>
                <w:szCs w:val="21"/>
              </w:rPr>
            </w:pPr>
          </w:p>
        </w:tc>
        <w:tc>
          <w:tcPr>
            <w:tcW w:w="217" w:type="dxa"/>
          </w:tcPr>
          <w:p w14:paraId="2DF03E4B" w14:textId="77777777" w:rsidR="002C0FD9" w:rsidRPr="00CA25CF" w:rsidRDefault="002C0FD9" w:rsidP="00CA25CF">
            <w:pPr>
              <w:rPr>
                <w:rFonts w:cs="Arial"/>
                <w:color w:val="FF0000"/>
                <w:sz w:val="21"/>
                <w:szCs w:val="21"/>
              </w:rPr>
            </w:pPr>
          </w:p>
        </w:tc>
        <w:tc>
          <w:tcPr>
            <w:tcW w:w="217" w:type="dxa"/>
          </w:tcPr>
          <w:p w14:paraId="74927E96" w14:textId="77777777" w:rsidR="002C0FD9" w:rsidRPr="00CA25CF" w:rsidRDefault="002C0FD9" w:rsidP="00CA25CF">
            <w:pPr>
              <w:rPr>
                <w:rFonts w:cs="Arial"/>
                <w:color w:val="FF0000"/>
                <w:sz w:val="21"/>
                <w:szCs w:val="21"/>
              </w:rPr>
            </w:pPr>
          </w:p>
        </w:tc>
        <w:tc>
          <w:tcPr>
            <w:tcW w:w="217" w:type="dxa"/>
          </w:tcPr>
          <w:p w14:paraId="330F3B4D" w14:textId="77777777" w:rsidR="002C0FD9" w:rsidRPr="00CA25CF" w:rsidRDefault="002C0FD9" w:rsidP="00CA25CF">
            <w:pPr>
              <w:rPr>
                <w:rFonts w:cs="Arial"/>
                <w:color w:val="FF0000"/>
                <w:sz w:val="21"/>
                <w:szCs w:val="21"/>
              </w:rPr>
            </w:pPr>
          </w:p>
        </w:tc>
        <w:tc>
          <w:tcPr>
            <w:tcW w:w="217" w:type="dxa"/>
          </w:tcPr>
          <w:p w14:paraId="6A62C7B8" w14:textId="77777777" w:rsidR="002C0FD9" w:rsidRPr="00CA25CF" w:rsidRDefault="002C0FD9" w:rsidP="00CA25CF">
            <w:pPr>
              <w:rPr>
                <w:rFonts w:cs="Arial"/>
                <w:color w:val="FF0000"/>
                <w:sz w:val="21"/>
                <w:szCs w:val="21"/>
              </w:rPr>
            </w:pPr>
          </w:p>
        </w:tc>
        <w:tc>
          <w:tcPr>
            <w:tcW w:w="217" w:type="dxa"/>
          </w:tcPr>
          <w:p w14:paraId="6A94DA5F" w14:textId="77777777" w:rsidR="002C0FD9" w:rsidRPr="00CA25CF" w:rsidRDefault="002C0FD9" w:rsidP="00CA25CF">
            <w:pPr>
              <w:rPr>
                <w:rFonts w:cs="Arial"/>
                <w:color w:val="FF0000"/>
                <w:sz w:val="21"/>
                <w:szCs w:val="21"/>
              </w:rPr>
            </w:pPr>
          </w:p>
        </w:tc>
        <w:tc>
          <w:tcPr>
            <w:tcW w:w="217" w:type="dxa"/>
          </w:tcPr>
          <w:p w14:paraId="6B8A6A5E" w14:textId="77777777" w:rsidR="002C0FD9" w:rsidRPr="00CA25CF" w:rsidRDefault="002C0FD9" w:rsidP="00CA25CF">
            <w:pPr>
              <w:rPr>
                <w:rFonts w:cs="Arial"/>
                <w:color w:val="FF0000"/>
                <w:sz w:val="21"/>
                <w:szCs w:val="21"/>
              </w:rPr>
            </w:pPr>
          </w:p>
        </w:tc>
        <w:tc>
          <w:tcPr>
            <w:tcW w:w="217" w:type="dxa"/>
          </w:tcPr>
          <w:p w14:paraId="381F7BA7" w14:textId="77777777" w:rsidR="002C0FD9" w:rsidRPr="00CA25CF" w:rsidRDefault="002C0FD9" w:rsidP="00CA25CF">
            <w:pPr>
              <w:rPr>
                <w:rFonts w:cs="Arial"/>
                <w:color w:val="FF0000"/>
                <w:sz w:val="21"/>
                <w:szCs w:val="21"/>
              </w:rPr>
            </w:pPr>
          </w:p>
        </w:tc>
        <w:tc>
          <w:tcPr>
            <w:tcW w:w="217" w:type="dxa"/>
          </w:tcPr>
          <w:p w14:paraId="2AD797E7" w14:textId="77777777" w:rsidR="002C0FD9" w:rsidRPr="00CA25CF" w:rsidRDefault="002C0FD9" w:rsidP="00CA25CF">
            <w:pPr>
              <w:rPr>
                <w:rFonts w:cs="Arial"/>
                <w:color w:val="FF0000"/>
                <w:sz w:val="21"/>
                <w:szCs w:val="21"/>
              </w:rPr>
            </w:pPr>
          </w:p>
        </w:tc>
        <w:tc>
          <w:tcPr>
            <w:tcW w:w="217" w:type="dxa"/>
          </w:tcPr>
          <w:p w14:paraId="2BEB316A" w14:textId="77777777" w:rsidR="002C0FD9" w:rsidRPr="00CA25CF" w:rsidRDefault="002C0FD9" w:rsidP="00CA25CF">
            <w:pPr>
              <w:rPr>
                <w:rFonts w:cs="Arial"/>
                <w:color w:val="FF0000"/>
                <w:sz w:val="21"/>
                <w:szCs w:val="21"/>
              </w:rPr>
            </w:pPr>
          </w:p>
        </w:tc>
        <w:tc>
          <w:tcPr>
            <w:tcW w:w="217" w:type="dxa"/>
          </w:tcPr>
          <w:p w14:paraId="78D387B2" w14:textId="77777777" w:rsidR="002C0FD9" w:rsidRPr="00CA25CF" w:rsidRDefault="002C0FD9" w:rsidP="00CA25CF">
            <w:pPr>
              <w:rPr>
                <w:rFonts w:cs="Arial"/>
                <w:color w:val="FF0000"/>
                <w:sz w:val="21"/>
                <w:szCs w:val="21"/>
              </w:rPr>
            </w:pPr>
          </w:p>
        </w:tc>
        <w:tc>
          <w:tcPr>
            <w:tcW w:w="217" w:type="dxa"/>
          </w:tcPr>
          <w:p w14:paraId="6609AFD9" w14:textId="77777777" w:rsidR="002C0FD9" w:rsidRPr="00CA25CF" w:rsidRDefault="002C0FD9" w:rsidP="00CA25CF">
            <w:pPr>
              <w:rPr>
                <w:rFonts w:cs="Arial"/>
                <w:color w:val="FF0000"/>
                <w:sz w:val="21"/>
                <w:szCs w:val="21"/>
              </w:rPr>
            </w:pPr>
          </w:p>
        </w:tc>
        <w:tc>
          <w:tcPr>
            <w:tcW w:w="217" w:type="dxa"/>
          </w:tcPr>
          <w:p w14:paraId="1CABFF29" w14:textId="77777777" w:rsidR="002C0FD9" w:rsidRPr="00CA25CF" w:rsidRDefault="002C0FD9" w:rsidP="00CA25CF">
            <w:pPr>
              <w:rPr>
                <w:rFonts w:cs="Arial"/>
                <w:color w:val="FF0000"/>
                <w:sz w:val="21"/>
                <w:szCs w:val="21"/>
              </w:rPr>
            </w:pPr>
          </w:p>
        </w:tc>
        <w:tc>
          <w:tcPr>
            <w:tcW w:w="217" w:type="dxa"/>
          </w:tcPr>
          <w:p w14:paraId="0D688DE2" w14:textId="77777777" w:rsidR="002C0FD9" w:rsidRPr="00CA25CF" w:rsidRDefault="002C0FD9" w:rsidP="00CA25CF">
            <w:pPr>
              <w:rPr>
                <w:rFonts w:cs="Arial"/>
                <w:color w:val="FF0000"/>
                <w:sz w:val="21"/>
                <w:szCs w:val="21"/>
              </w:rPr>
            </w:pPr>
          </w:p>
        </w:tc>
        <w:tc>
          <w:tcPr>
            <w:tcW w:w="217" w:type="dxa"/>
          </w:tcPr>
          <w:p w14:paraId="7F17BD3D" w14:textId="77777777" w:rsidR="002C0FD9" w:rsidRPr="00CA25CF" w:rsidRDefault="002C0FD9" w:rsidP="00CA25CF">
            <w:pPr>
              <w:rPr>
                <w:rFonts w:cs="Arial"/>
                <w:color w:val="FF0000"/>
                <w:sz w:val="21"/>
                <w:szCs w:val="21"/>
              </w:rPr>
            </w:pPr>
          </w:p>
        </w:tc>
        <w:tc>
          <w:tcPr>
            <w:tcW w:w="217" w:type="dxa"/>
          </w:tcPr>
          <w:p w14:paraId="4CC3B875" w14:textId="77777777" w:rsidR="002C0FD9" w:rsidRPr="00CA25CF" w:rsidRDefault="002C0FD9" w:rsidP="00CA25CF">
            <w:pPr>
              <w:rPr>
                <w:rFonts w:cs="Arial"/>
                <w:color w:val="FF0000"/>
                <w:sz w:val="21"/>
                <w:szCs w:val="21"/>
              </w:rPr>
            </w:pPr>
          </w:p>
        </w:tc>
        <w:tc>
          <w:tcPr>
            <w:tcW w:w="217" w:type="dxa"/>
          </w:tcPr>
          <w:p w14:paraId="0B883E8B" w14:textId="77777777" w:rsidR="002C0FD9" w:rsidRPr="00CA25CF" w:rsidRDefault="002C0FD9" w:rsidP="00CA25CF">
            <w:pPr>
              <w:rPr>
                <w:rFonts w:cs="Arial"/>
                <w:color w:val="FF0000"/>
                <w:sz w:val="21"/>
                <w:szCs w:val="21"/>
              </w:rPr>
            </w:pPr>
          </w:p>
        </w:tc>
        <w:tc>
          <w:tcPr>
            <w:tcW w:w="217" w:type="dxa"/>
          </w:tcPr>
          <w:p w14:paraId="04D40C67" w14:textId="77777777" w:rsidR="002C0FD9" w:rsidRPr="00CA25CF" w:rsidRDefault="002C0FD9" w:rsidP="00CA25CF">
            <w:pPr>
              <w:rPr>
                <w:rFonts w:cs="Arial"/>
                <w:color w:val="FF0000"/>
                <w:sz w:val="21"/>
                <w:szCs w:val="21"/>
              </w:rPr>
            </w:pPr>
          </w:p>
        </w:tc>
        <w:tc>
          <w:tcPr>
            <w:tcW w:w="217" w:type="dxa"/>
          </w:tcPr>
          <w:p w14:paraId="55EC7DD8" w14:textId="77777777" w:rsidR="002C0FD9" w:rsidRPr="00CA25CF" w:rsidRDefault="002C0FD9" w:rsidP="00CA25CF">
            <w:pPr>
              <w:rPr>
                <w:rFonts w:cs="Arial"/>
                <w:color w:val="FF0000"/>
                <w:sz w:val="21"/>
                <w:szCs w:val="21"/>
              </w:rPr>
            </w:pPr>
          </w:p>
        </w:tc>
        <w:tc>
          <w:tcPr>
            <w:tcW w:w="217" w:type="dxa"/>
          </w:tcPr>
          <w:p w14:paraId="6CA4AAAC" w14:textId="77777777" w:rsidR="002C0FD9" w:rsidRPr="00CA25CF" w:rsidRDefault="002C0FD9" w:rsidP="00CA25CF">
            <w:pPr>
              <w:rPr>
                <w:rFonts w:cs="Arial"/>
                <w:color w:val="FF0000"/>
                <w:sz w:val="21"/>
                <w:szCs w:val="21"/>
              </w:rPr>
            </w:pPr>
          </w:p>
        </w:tc>
        <w:tc>
          <w:tcPr>
            <w:tcW w:w="217" w:type="dxa"/>
          </w:tcPr>
          <w:p w14:paraId="04347536" w14:textId="77777777" w:rsidR="002C0FD9" w:rsidRPr="00CA25CF" w:rsidRDefault="002C0FD9" w:rsidP="00CA25CF">
            <w:pPr>
              <w:rPr>
                <w:rFonts w:cs="Arial"/>
                <w:color w:val="FF0000"/>
                <w:sz w:val="21"/>
                <w:szCs w:val="21"/>
              </w:rPr>
            </w:pPr>
          </w:p>
        </w:tc>
        <w:tc>
          <w:tcPr>
            <w:tcW w:w="217" w:type="dxa"/>
          </w:tcPr>
          <w:p w14:paraId="6B813B4F" w14:textId="77777777" w:rsidR="002C0FD9" w:rsidRPr="00CA25CF" w:rsidRDefault="002C0FD9" w:rsidP="00CA25CF">
            <w:pPr>
              <w:rPr>
                <w:rFonts w:cs="Arial"/>
                <w:color w:val="FF0000"/>
                <w:sz w:val="21"/>
                <w:szCs w:val="21"/>
              </w:rPr>
            </w:pPr>
          </w:p>
        </w:tc>
        <w:tc>
          <w:tcPr>
            <w:tcW w:w="217" w:type="dxa"/>
          </w:tcPr>
          <w:p w14:paraId="57CD235C" w14:textId="77777777" w:rsidR="002C0FD9" w:rsidRPr="00CA25CF" w:rsidRDefault="002C0FD9" w:rsidP="00CA25CF">
            <w:pPr>
              <w:rPr>
                <w:rFonts w:cs="Arial"/>
                <w:color w:val="FF0000"/>
                <w:sz w:val="21"/>
                <w:szCs w:val="21"/>
              </w:rPr>
            </w:pPr>
          </w:p>
        </w:tc>
        <w:tc>
          <w:tcPr>
            <w:tcW w:w="217" w:type="dxa"/>
          </w:tcPr>
          <w:p w14:paraId="73D25C35" w14:textId="77777777" w:rsidR="002C0FD9" w:rsidRPr="00CA25CF" w:rsidRDefault="002C0FD9" w:rsidP="00CA25CF">
            <w:pPr>
              <w:rPr>
                <w:rFonts w:cs="Arial"/>
                <w:color w:val="FF0000"/>
                <w:sz w:val="21"/>
                <w:szCs w:val="21"/>
              </w:rPr>
            </w:pPr>
          </w:p>
        </w:tc>
        <w:tc>
          <w:tcPr>
            <w:tcW w:w="217" w:type="dxa"/>
          </w:tcPr>
          <w:p w14:paraId="68284AA6" w14:textId="77777777" w:rsidR="002C0FD9" w:rsidRPr="00CA25CF" w:rsidRDefault="002C0FD9" w:rsidP="00CA25CF">
            <w:pPr>
              <w:rPr>
                <w:rFonts w:cs="Arial"/>
                <w:color w:val="FF0000"/>
                <w:sz w:val="21"/>
                <w:szCs w:val="21"/>
              </w:rPr>
            </w:pPr>
          </w:p>
        </w:tc>
        <w:tc>
          <w:tcPr>
            <w:tcW w:w="217" w:type="dxa"/>
          </w:tcPr>
          <w:p w14:paraId="6CC4A3A2" w14:textId="77777777" w:rsidR="002C0FD9" w:rsidRPr="00CA25CF" w:rsidRDefault="002C0FD9" w:rsidP="00CA25CF">
            <w:pPr>
              <w:rPr>
                <w:rFonts w:cs="Arial"/>
                <w:color w:val="FF0000"/>
                <w:sz w:val="21"/>
                <w:szCs w:val="21"/>
              </w:rPr>
            </w:pPr>
          </w:p>
        </w:tc>
        <w:tc>
          <w:tcPr>
            <w:tcW w:w="217" w:type="dxa"/>
          </w:tcPr>
          <w:p w14:paraId="4EC67C2E" w14:textId="77777777" w:rsidR="002C0FD9" w:rsidRPr="00CA25CF" w:rsidRDefault="002C0FD9" w:rsidP="00CA25CF">
            <w:pPr>
              <w:rPr>
                <w:rFonts w:cs="Arial"/>
                <w:color w:val="FF0000"/>
                <w:sz w:val="21"/>
                <w:szCs w:val="21"/>
              </w:rPr>
            </w:pPr>
          </w:p>
        </w:tc>
        <w:tc>
          <w:tcPr>
            <w:tcW w:w="217" w:type="dxa"/>
          </w:tcPr>
          <w:p w14:paraId="2F96D3FE" w14:textId="77777777" w:rsidR="002C0FD9" w:rsidRPr="00CA25CF" w:rsidRDefault="002C0FD9" w:rsidP="00CA25CF">
            <w:pPr>
              <w:rPr>
                <w:rFonts w:cs="Arial"/>
                <w:color w:val="FF0000"/>
                <w:sz w:val="21"/>
                <w:szCs w:val="21"/>
              </w:rPr>
            </w:pPr>
          </w:p>
        </w:tc>
        <w:tc>
          <w:tcPr>
            <w:tcW w:w="217" w:type="dxa"/>
          </w:tcPr>
          <w:p w14:paraId="484F8499" w14:textId="77777777" w:rsidR="002C0FD9" w:rsidRPr="00CA25CF" w:rsidRDefault="002C0FD9" w:rsidP="00CA25CF">
            <w:pPr>
              <w:rPr>
                <w:rFonts w:cs="Arial"/>
                <w:color w:val="FF0000"/>
                <w:sz w:val="21"/>
                <w:szCs w:val="21"/>
              </w:rPr>
            </w:pPr>
          </w:p>
        </w:tc>
        <w:tc>
          <w:tcPr>
            <w:tcW w:w="217" w:type="dxa"/>
          </w:tcPr>
          <w:p w14:paraId="2D9ECCCE" w14:textId="77777777" w:rsidR="002C0FD9" w:rsidRPr="00CA25CF" w:rsidRDefault="002C0FD9" w:rsidP="00CA25CF">
            <w:pPr>
              <w:rPr>
                <w:rFonts w:cs="Arial"/>
                <w:color w:val="FF0000"/>
                <w:sz w:val="21"/>
                <w:szCs w:val="21"/>
              </w:rPr>
            </w:pPr>
          </w:p>
        </w:tc>
        <w:tc>
          <w:tcPr>
            <w:tcW w:w="217" w:type="dxa"/>
          </w:tcPr>
          <w:p w14:paraId="4023D1E7" w14:textId="77777777" w:rsidR="002C0FD9" w:rsidRPr="00CA25CF" w:rsidRDefault="002C0FD9" w:rsidP="00CA25CF">
            <w:pPr>
              <w:rPr>
                <w:rFonts w:cs="Arial"/>
                <w:color w:val="FF0000"/>
                <w:sz w:val="21"/>
                <w:szCs w:val="21"/>
              </w:rPr>
            </w:pPr>
          </w:p>
        </w:tc>
        <w:tc>
          <w:tcPr>
            <w:tcW w:w="217" w:type="dxa"/>
          </w:tcPr>
          <w:p w14:paraId="3938674E" w14:textId="77777777" w:rsidR="002C0FD9" w:rsidRPr="00CA25CF" w:rsidRDefault="002C0FD9" w:rsidP="00CA25CF">
            <w:pPr>
              <w:rPr>
                <w:rFonts w:cs="Arial"/>
                <w:color w:val="FF0000"/>
                <w:sz w:val="21"/>
                <w:szCs w:val="21"/>
              </w:rPr>
            </w:pPr>
          </w:p>
        </w:tc>
        <w:tc>
          <w:tcPr>
            <w:tcW w:w="217" w:type="dxa"/>
          </w:tcPr>
          <w:p w14:paraId="43DFF3C0" w14:textId="77777777" w:rsidR="002C0FD9" w:rsidRPr="00CA25CF" w:rsidRDefault="002C0FD9" w:rsidP="00CA25CF">
            <w:pPr>
              <w:rPr>
                <w:rFonts w:cs="Arial"/>
                <w:color w:val="FF0000"/>
                <w:sz w:val="21"/>
                <w:szCs w:val="21"/>
              </w:rPr>
            </w:pPr>
          </w:p>
        </w:tc>
        <w:tc>
          <w:tcPr>
            <w:tcW w:w="217" w:type="dxa"/>
          </w:tcPr>
          <w:p w14:paraId="0196F37B" w14:textId="77777777" w:rsidR="002C0FD9" w:rsidRPr="00CA25CF" w:rsidRDefault="002C0FD9" w:rsidP="00CA25CF">
            <w:pPr>
              <w:rPr>
                <w:rFonts w:cs="Arial"/>
                <w:color w:val="FF0000"/>
                <w:sz w:val="21"/>
                <w:szCs w:val="21"/>
              </w:rPr>
            </w:pPr>
          </w:p>
        </w:tc>
      </w:tr>
      <w:tr w:rsidR="002C0FD9" w:rsidRPr="00A16219" w14:paraId="4DB1F425" w14:textId="77777777" w:rsidTr="002C0FD9">
        <w:trPr>
          <w:trHeight w:val="635"/>
        </w:trPr>
        <w:tc>
          <w:tcPr>
            <w:tcW w:w="515" w:type="dxa"/>
          </w:tcPr>
          <w:p w14:paraId="128539A1" w14:textId="77777777" w:rsidR="002C0FD9" w:rsidRPr="00CA25CF" w:rsidRDefault="002C0FD9" w:rsidP="00CA25CF">
            <w:pPr>
              <w:rPr>
                <w:rFonts w:cs="Arial"/>
                <w:color w:val="FF0000"/>
                <w:sz w:val="21"/>
                <w:szCs w:val="21"/>
              </w:rPr>
            </w:pPr>
          </w:p>
        </w:tc>
        <w:tc>
          <w:tcPr>
            <w:tcW w:w="217" w:type="dxa"/>
          </w:tcPr>
          <w:p w14:paraId="1C00A2EE" w14:textId="77777777" w:rsidR="002C0FD9" w:rsidRPr="00CA25CF" w:rsidRDefault="002C0FD9" w:rsidP="00CA25CF">
            <w:pPr>
              <w:rPr>
                <w:rFonts w:cs="Arial"/>
                <w:color w:val="FF0000"/>
                <w:sz w:val="21"/>
                <w:szCs w:val="21"/>
              </w:rPr>
            </w:pPr>
          </w:p>
        </w:tc>
        <w:tc>
          <w:tcPr>
            <w:tcW w:w="217" w:type="dxa"/>
          </w:tcPr>
          <w:p w14:paraId="5F774097" w14:textId="77777777" w:rsidR="002C0FD9" w:rsidRPr="00CA25CF" w:rsidRDefault="002C0FD9" w:rsidP="00CA25CF">
            <w:pPr>
              <w:rPr>
                <w:rFonts w:cs="Arial"/>
                <w:color w:val="FF0000"/>
                <w:sz w:val="21"/>
                <w:szCs w:val="21"/>
              </w:rPr>
            </w:pPr>
          </w:p>
        </w:tc>
        <w:tc>
          <w:tcPr>
            <w:tcW w:w="217" w:type="dxa"/>
          </w:tcPr>
          <w:p w14:paraId="7CF5C4EB" w14:textId="77777777" w:rsidR="002C0FD9" w:rsidRPr="00CA25CF" w:rsidRDefault="002C0FD9" w:rsidP="00CA25CF">
            <w:pPr>
              <w:rPr>
                <w:rFonts w:cs="Arial"/>
                <w:color w:val="FF0000"/>
                <w:sz w:val="21"/>
                <w:szCs w:val="21"/>
              </w:rPr>
            </w:pPr>
          </w:p>
        </w:tc>
        <w:tc>
          <w:tcPr>
            <w:tcW w:w="217" w:type="dxa"/>
          </w:tcPr>
          <w:p w14:paraId="7B906EB8" w14:textId="77777777" w:rsidR="002C0FD9" w:rsidRPr="00CA25CF" w:rsidRDefault="002C0FD9" w:rsidP="00CA25CF">
            <w:pPr>
              <w:rPr>
                <w:rFonts w:cs="Arial"/>
                <w:color w:val="FF0000"/>
                <w:sz w:val="21"/>
                <w:szCs w:val="21"/>
              </w:rPr>
            </w:pPr>
          </w:p>
        </w:tc>
        <w:tc>
          <w:tcPr>
            <w:tcW w:w="217" w:type="dxa"/>
          </w:tcPr>
          <w:p w14:paraId="6EF472B7" w14:textId="77777777" w:rsidR="002C0FD9" w:rsidRPr="00CA25CF" w:rsidRDefault="002C0FD9" w:rsidP="00CA25CF">
            <w:pPr>
              <w:rPr>
                <w:rFonts w:cs="Arial"/>
                <w:color w:val="FF0000"/>
                <w:sz w:val="21"/>
                <w:szCs w:val="21"/>
              </w:rPr>
            </w:pPr>
          </w:p>
        </w:tc>
        <w:tc>
          <w:tcPr>
            <w:tcW w:w="217" w:type="dxa"/>
          </w:tcPr>
          <w:p w14:paraId="32E1C9A5" w14:textId="77777777" w:rsidR="002C0FD9" w:rsidRPr="00CA25CF" w:rsidRDefault="002C0FD9" w:rsidP="00CA25CF">
            <w:pPr>
              <w:rPr>
                <w:rFonts w:cs="Arial"/>
                <w:color w:val="FF0000"/>
                <w:sz w:val="21"/>
                <w:szCs w:val="21"/>
              </w:rPr>
            </w:pPr>
          </w:p>
        </w:tc>
        <w:tc>
          <w:tcPr>
            <w:tcW w:w="217" w:type="dxa"/>
          </w:tcPr>
          <w:p w14:paraId="1B019FD4" w14:textId="77777777" w:rsidR="002C0FD9" w:rsidRPr="00CA25CF" w:rsidRDefault="002C0FD9" w:rsidP="00CA25CF">
            <w:pPr>
              <w:rPr>
                <w:rFonts w:cs="Arial"/>
                <w:color w:val="FF0000"/>
                <w:sz w:val="21"/>
                <w:szCs w:val="21"/>
              </w:rPr>
            </w:pPr>
          </w:p>
        </w:tc>
        <w:tc>
          <w:tcPr>
            <w:tcW w:w="217" w:type="dxa"/>
          </w:tcPr>
          <w:p w14:paraId="285D362C" w14:textId="77777777" w:rsidR="002C0FD9" w:rsidRPr="00CA25CF" w:rsidRDefault="002C0FD9" w:rsidP="00CA25CF">
            <w:pPr>
              <w:rPr>
                <w:rFonts w:cs="Arial"/>
                <w:color w:val="FF0000"/>
                <w:sz w:val="21"/>
                <w:szCs w:val="21"/>
              </w:rPr>
            </w:pPr>
          </w:p>
        </w:tc>
        <w:tc>
          <w:tcPr>
            <w:tcW w:w="217" w:type="dxa"/>
          </w:tcPr>
          <w:p w14:paraId="1AF40BA1" w14:textId="77777777" w:rsidR="002C0FD9" w:rsidRPr="00CA25CF" w:rsidRDefault="002C0FD9" w:rsidP="00CA25CF">
            <w:pPr>
              <w:rPr>
                <w:rFonts w:cs="Arial"/>
                <w:color w:val="FF0000"/>
                <w:sz w:val="21"/>
                <w:szCs w:val="21"/>
              </w:rPr>
            </w:pPr>
          </w:p>
        </w:tc>
        <w:tc>
          <w:tcPr>
            <w:tcW w:w="217" w:type="dxa"/>
          </w:tcPr>
          <w:p w14:paraId="1F6EEA92" w14:textId="77777777" w:rsidR="002C0FD9" w:rsidRPr="00CA25CF" w:rsidRDefault="002C0FD9" w:rsidP="00CA25CF">
            <w:pPr>
              <w:rPr>
                <w:rFonts w:cs="Arial"/>
                <w:color w:val="FF0000"/>
                <w:sz w:val="21"/>
                <w:szCs w:val="21"/>
              </w:rPr>
            </w:pPr>
          </w:p>
        </w:tc>
        <w:tc>
          <w:tcPr>
            <w:tcW w:w="217" w:type="dxa"/>
          </w:tcPr>
          <w:p w14:paraId="7D2996A9" w14:textId="77777777" w:rsidR="002C0FD9" w:rsidRPr="00CA25CF" w:rsidRDefault="002C0FD9" w:rsidP="00CA25CF">
            <w:pPr>
              <w:rPr>
                <w:rFonts w:cs="Arial"/>
                <w:color w:val="FF0000"/>
                <w:sz w:val="21"/>
                <w:szCs w:val="21"/>
              </w:rPr>
            </w:pPr>
          </w:p>
        </w:tc>
        <w:tc>
          <w:tcPr>
            <w:tcW w:w="217" w:type="dxa"/>
          </w:tcPr>
          <w:p w14:paraId="3F85D75E" w14:textId="77777777" w:rsidR="002C0FD9" w:rsidRPr="00CA25CF" w:rsidRDefault="002C0FD9" w:rsidP="00CA25CF">
            <w:pPr>
              <w:rPr>
                <w:rFonts w:cs="Arial"/>
                <w:color w:val="FF0000"/>
                <w:sz w:val="21"/>
                <w:szCs w:val="21"/>
              </w:rPr>
            </w:pPr>
          </w:p>
        </w:tc>
        <w:tc>
          <w:tcPr>
            <w:tcW w:w="217" w:type="dxa"/>
          </w:tcPr>
          <w:p w14:paraId="0CA4024D" w14:textId="77777777" w:rsidR="002C0FD9" w:rsidRPr="00CA25CF" w:rsidRDefault="002C0FD9" w:rsidP="00CA25CF">
            <w:pPr>
              <w:rPr>
                <w:rFonts w:cs="Arial"/>
                <w:color w:val="FF0000"/>
                <w:sz w:val="21"/>
                <w:szCs w:val="21"/>
              </w:rPr>
            </w:pPr>
          </w:p>
        </w:tc>
        <w:tc>
          <w:tcPr>
            <w:tcW w:w="217" w:type="dxa"/>
          </w:tcPr>
          <w:p w14:paraId="0AF8EC96" w14:textId="77777777" w:rsidR="002C0FD9" w:rsidRPr="00CA25CF" w:rsidRDefault="002C0FD9" w:rsidP="00CA25CF">
            <w:pPr>
              <w:rPr>
                <w:rFonts w:cs="Arial"/>
                <w:color w:val="FF0000"/>
                <w:sz w:val="21"/>
                <w:szCs w:val="21"/>
              </w:rPr>
            </w:pPr>
          </w:p>
        </w:tc>
        <w:tc>
          <w:tcPr>
            <w:tcW w:w="217" w:type="dxa"/>
          </w:tcPr>
          <w:p w14:paraId="0A98FB34" w14:textId="77777777" w:rsidR="002C0FD9" w:rsidRPr="00CA25CF" w:rsidRDefault="002C0FD9" w:rsidP="00CA25CF">
            <w:pPr>
              <w:rPr>
                <w:rFonts w:cs="Arial"/>
                <w:color w:val="FF0000"/>
                <w:sz w:val="21"/>
                <w:szCs w:val="21"/>
              </w:rPr>
            </w:pPr>
          </w:p>
        </w:tc>
        <w:tc>
          <w:tcPr>
            <w:tcW w:w="217" w:type="dxa"/>
          </w:tcPr>
          <w:p w14:paraId="29E9C306" w14:textId="77777777" w:rsidR="002C0FD9" w:rsidRPr="00CA25CF" w:rsidRDefault="002C0FD9" w:rsidP="00CA25CF">
            <w:pPr>
              <w:rPr>
                <w:rFonts w:cs="Arial"/>
                <w:color w:val="FF0000"/>
                <w:sz w:val="21"/>
                <w:szCs w:val="21"/>
              </w:rPr>
            </w:pPr>
          </w:p>
        </w:tc>
        <w:tc>
          <w:tcPr>
            <w:tcW w:w="217" w:type="dxa"/>
          </w:tcPr>
          <w:p w14:paraId="07EB7B73" w14:textId="77777777" w:rsidR="002C0FD9" w:rsidRPr="00CA25CF" w:rsidRDefault="002C0FD9" w:rsidP="00CA25CF">
            <w:pPr>
              <w:rPr>
                <w:rFonts w:cs="Arial"/>
                <w:color w:val="FF0000"/>
                <w:sz w:val="21"/>
                <w:szCs w:val="21"/>
              </w:rPr>
            </w:pPr>
          </w:p>
        </w:tc>
        <w:tc>
          <w:tcPr>
            <w:tcW w:w="217" w:type="dxa"/>
          </w:tcPr>
          <w:p w14:paraId="6FEB9C14" w14:textId="77777777" w:rsidR="002C0FD9" w:rsidRPr="00CA25CF" w:rsidRDefault="002C0FD9" w:rsidP="00CA25CF">
            <w:pPr>
              <w:rPr>
                <w:rFonts w:cs="Arial"/>
                <w:color w:val="FF0000"/>
                <w:sz w:val="21"/>
                <w:szCs w:val="21"/>
              </w:rPr>
            </w:pPr>
          </w:p>
        </w:tc>
        <w:tc>
          <w:tcPr>
            <w:tcW w:w="217" w:type="dxa"/>
          </w:tcPr>
          <w:p w14:paraId="3CCF9909" w14:textId="77777777" w:rsidR="002C0FD9" w:rsidRPr="00CA25CF" w:rsidRDefault="002C0FD9" w:rsidP="00CA25CF">
            <w:pPr>
              <w:rPr>
                <w:rFonts w:cs="Arial"/>
                <w:color w:val="FF0000"/>
                <w:sz w:val="21"/>
                <w:szCs w:val="21"/>
              </w:rPr>
            </w:pPr>
          </w:p>
        </w:tc>
        <w:tc>
          <w:tcPr>
            <w:tcW w:w="217" w:type="dxa"/>
          </w:tcPr>
          <w:p w14:paraId="032ECC29" w14:textId="77777777" w:rsidR="002C0FD9" w:rsidRPr="00CA25CF" w:rsidRDefault="002C0FD9" w:rsidP="00CA25CF">
            <w:pPr>
              <w:rPr>
                <w:rFonts w:cs="Arial"/>
                <w:color w:val="FF0000"/>
                <w:sz w:val="21"/>
                <w:szCs w:val="21"/>
              </w:rPr>
            </w:pPr>
          </w:p>
        </w:tc>
        <w:tc>
          <w:tcPr>
            <w:tcW w:w="217" w:type="dxa"/>
          </w:tcPr>
          <w:p w14:paraId="355AE4DC" w14:textId="77777777" w:rsidR="002C0FD9" w:rsidRPr="00CA25CF" w:rsidRDefault="002C0FD9" w:rsidP="00CA25CF">
            <w:pPr>
              <w:rPr>
                <w:rFonts w:cs="Arial"/>
                <w:color w:val="FF0000"/>
                <w:sz w:val="21"/>
                <w:szCs w:val="21"/>
              </w:rPr>
            </w:pPr>
          </w:p>
        </w:tc>
        <w:tc>
          <w:tcPr>
            <w:tcW w:w="217" w:type="dxa"/>
          </w:tcPr>
          <w:p w14:paraId="7B0AACF4" w14:textId="77777777" w:rsidR="002C0FD9" w:rsidRPr="00CA25CF" w:rsidRDefault="002C0FD9" w:rsidP="00CA25CF">
            <w:pPr>
              <w:rPr>
                <w:rFonts w:cs="Arial"/>
                <w:color w:val="FF0000"/>
                <w:sz w:val="21"/>
                <w:szCs w:val="21"/>
              </w:rPr>
            </w:pPr>
          </w:p>
        </w:tc>
        <w:tc>
          <w:tcPr>
            <w:tcW w:w="217" w:type="dxa"/>
          </w:tcPr>
          <w:p w14:paraId="639A0619" w14:textId="77777777" w:rsidR="002C0FD9" w:rsidRPr="00CA25CF" w:rsidRDefault="002C0FD9" w:rsidP="00CA25CF">
            <w:pPr>
              <w:rPr>
                <w:rFonts w:cs="Arial"/>
                <w:color w:val="FF0000"/>
                <w:sz w:val="21"/>
                <w:szCs w:val="21"/>
              </w:rPr>
            </w:pPr>
          </w:p>
        </w:tc>
        <w:tc>
          <w:tcPr>
            <w:tcW w:w="217" w:type="dxa"/>
          </w:tcPr>
          <w:p w14:paraId="26E8D7DB" w14:textId="77777777" w:rsidR="002C0FD9" w:rsidRPr="00CA25CF" w:rsidRDefault="002C0FD9" w:rsidP="00CA25CF">
            <w:pPr>
              <w:rPr>
                <w:rFonts w:cs="Arial"/>
                <w:color w:val="FF0000"/>
                <w:sz w:val="21"/>
                <w:szCs w:val="21"/>
              </w:rPr>
            </w:pPr>
          </w:p>
        </w:tc>
        <w:tc>
          <w:tcPr>
            <w:tcW w:w="217" w:type="dxa"/>
          </w:tcPr>
          <w:p w14:paraId="4DADC02E" w14:textId="77777777" w:rsidR="002C0FD9" w:rsidRPr="00CA25CF" w:rsidRDefault="002C0FD9" w:rsidP="00CA25CF">
            <w:pPr>
              <w:rPr>
                <w:rFonts w:cs="Arial"/>
                <w:color w:val="FF0000"/>
                <w:sz w:val="21"/>
                <w:szCs w:val="21"/>
              </w:rPr>
            </w:pPr>
          </w:p>
        </w:tc>
        <w:tc>
          <w:tcPr>
            <w:tcW w:w="217" w:type="dxa"/>
          </w:tcPr>
          <w:p w14:paraId="1DB27377" w14:textId="77777777" w:rsidR="002C0FD9" w:rsidRPr="00CA25CF" w:rsidRDefault="002C0FD9" w:rsidP="00CA25CF">
            <w:pPr>
              <w:rPr>
                <w:rFonts w:cs="Arial"/>
                <w:color w:val="FF0000"/>
                <w:sz w:val="21"/>
                <w:szCs w:val="21"/>
              </w:rPr>
            </w:pPr>
          </w:p>
        </w:tc>
        <w:tc>
          <w:tcPr>
            <w:tcW w:w="217" w:type="dxa"/>
          </w:tcPr>
          <w:p w14:paraId="62044C08" w14:textId="77777777" w:rsidR="002C0FD9" w:rsidRPr="00CA25CF" w:rsidRDefault="002C0FD9" w:rsidP="00CA25CF">
            <w:pPr>
              <w:rPr>
                <w:rFonts w:cs="Arial"/>
                <w:color w:val="FF0000"/>
                <w:sz w:val="21"/>
                <w:szCs w:val="21"/>
              </w:rPr>
            </w:pPr>
          </w:p>
        </w:tc>
        <w:tc>
          <w:tcPr>
            <w:tcW w:w="217" w:type="dxa"/>
          </w:tcPr>
          <w:p w14:paraId="59E5CAC3" w14:textId="77777777" w:rsidR="002C0FD9" w:rsidRPr="00CA25CF" w:rsidRDefault="002C0FD9" w:rsidP="00CA25CF">
            <w:pPr>
              <w:rPr>
                <w:rFonts w:cs="Arial"/>
                <w:color w:val="FF0000"/>
                <w:sz w:val="21"/>
                <w:szCs w:val="21"/>
              </w:rPr>
            </w:pPr>
          </w:p>
        </w:tc>
        <w:tc>
          <w:tcPr>
            <w:tcW w:w="217" w:type="dxa"/>
          </w:tcPr>
          <w:p w14:paraId="5FA07E58" w14:textId="77777777" w:rsidR="002C0FD9" w:rsidRPr="00CA25CF" w:rsidRDefault="002C0FD9" w:rsidP="00CA25CF">
            <w:pPr>
              <w:rPr>
                <w:rFonts w:cs="Arial"/>
                <w:color w:val="FF0000"/>
                <w:sz w:val="21"/>
                <w:szCs w:val="21"/>
              </w:rPr>
            </w:pPr>
          </w:p>
        </w:tc>
        <w:tc>
          <w:tcPr>
            <w:tcW w:w="217" w:type="dxa"/>
          </w:tcPr>
          <w:p w14:paraId="2B1BD834" w14:textId="77777777" w:rsidR="002C0FD9" w:rsidRPr="00CA25CF" w:rsidRDefault="002C0FD9" w:rsidP="00CA25CF">
            <w:pPr>
              <w:rPr>
                <w:rFonts w:cs="Arial"/>
                <w:color w:val="FF0000"/>
                <w:sz w:val="21"/>
                <w:szCs w:val="21"/>
              </w:rPr>
            </w:pPr>
          </w:p>
        </w:tc>
        <w:tc>
          <w:tcPr>
            <w:tcW w:w="217" w:type="dxa"/>
          </w:tcPr>
          <w:p w14:paraId="6641FB62" w14:textId="77777777" w:rsidR="002C0FD9" w:rsidRPr="00CA25CF" w:rsidRDefault="002C0FD9" w:rsidP="00CA25CF">
            <w:pPr>
              <w:rPr>
                <w:rFonts w:cs="Arial"/>
                <w:color w:val="FF0000"/>
                <w:sz w:val="21"/>
                <w:szCs w:val="21"/>
              </w:rPr>
            </w:pPr>
          </w:p>
        </w:tc>
        <w:tc>
          <w:tcPr>
            <w:tcW w:w="217" w:type="dxa"/>
          </w:tcPr>
          <w:p w14:paraId="0C55DD29" w14:textId="77777777" w:rsidR="002C0FD9" w:rsidRPr="00CA25CF" w:rsidRDefault="002C0FD9" w:rsidP="00CA25CF">
            <w:pPr>
              <w:rPr>
                <w:rFonts w:cs="Arial"/>
                <w:color w:val="FF0000"/>
                <w:sz w:val="21"/>
                <w:szCs w:val="21"/>
              </w:rPr>
            </w:pPr>
          </w:p>
        </w:tc>
        <w:tc>
          <w:tcPr>
            <w:tcW w:w="217" w:type="dxa"/>
          </w:tcPr>
          <w:p w14:paraId="5512195A" w14:textId="77777777" w:rsidR="002C0FD9" w:rsidRPr="00CA25CF" w:rsidRDefault="002C0FD9" w:rsidP="00CA25CF">
            <w:pPr>
              <w:rPr>
                <w:rFonts w:cs="Arial"/>
                <w:color w:val="FF0000"/>
                <w:sz w:val="21"/>
                <w:szCs w:val="21"/>
              </w:rPr>
            </w:pPr>
          </w:p>
        </w:tc>
        <w:tc>
          <w:tcPr>
            <w:tcW w:w="217" w:type="dxa"/>
          </w:tcPr>
          <w:p w14:paraId="32637906" w14:textId="77777777" w:rsidR="002C0FD9" w:rsidRPr="00CA25CF" w:rsidRDefault="002C0FD9" w:rsidP="00CA25CF">
            <w:pPr>
              <w:rPr>
                <w:rFonts w:cs="Arial"/>
                <w:color w:val="FF0000"/>
                <w:sz w:val="21"/>
                <w:szCs w:val="21"/>
              </w:rPr>
            </w:pPr>
          </w:p>
        </w:tc>
        <w:tc>
          <w:tcPr>
            <w:tcW w:w="217" w:type="dxa"/>
          </w:tcPr>
          <w:p w14:paraId="2D26A12A" w14:textId="77777777" w:rsidR="002C0FD9" w:rsidRPr="00CA25CF" w:rsidRDefault="002C0FD9" w:rsidP="00CA25CF">
            <w:pPr>
              <w:rPr>
                <w:rFonts w:cs="Arial"/>
                <w:color w:val="FF0000"/>
                <w:sz w:val="21"/>
                <w:szCs w:val="21"/>
              </w:rPr>
            </w:pPr>
          </w:p>
        </w:tc>
        <w:tc>
          <w:tcPr>
            <w:tcW w:w="217" w:type="dxa"/>
          </w:tcPr>
          <w:p w14:paraId="3E0194C3" w14:textId="77777777" w:rsidR="002C0FD9" w:rsidRPr="00CA25CF" w:rsidRDefault="002C0FD9" w:rsidP="00CA25CF">
            <w:pPr>
              <w:rPr>
                <w:rFonts w:cs="Arial"/>
                <w:color w:val="FF0000"/>
                <w:sz w:val="21"/>
                <w:szCs w:val="21"/>
              </w:rPr>
            </w:pPr>
          </w:p>
        </w:tc>
        <w:tc>
          <w:tcPr>
            <w:tcW w:w="217" w:type="dxa"/>
          </w:tcPr>
          <w:p w14:paraId="5DB4C1C6" w14:textId="77777777" w:rsidR="002C0FD9" w:rsidRPr="00CA25CF" w:rsidRDefault="002C0FD9" w:rsidP="00CA25CF">
            <w:pPr>
              <w:rPr>
                <w:rFonts w:cs="Arial"/>
                <w:color w:val="FF0000"/>
                <w:sz w:val="21"/>
                <w:szCs w:val="21"/>
              </w:rPr>
            </w:pPr>
          </w:p>
        </w:tc>
        <w:tc>
          <w:tcPr>
            <w:tcW w:w="217" w:type="dxa"/>
          </w:tcPr>
          <w:p w14:paraId="7A7AA6F6" w14:textId="77777777" w:rsidR="002C0FD9" w:rsidRPr="00CA25CF" w:rsidRDefault="002C0FD9" w:rsidP="00CA25CF">
            <w:pPr>
              <w:rPr>
                <w:rFonts w:cs="Arial"/>
                <w:color w:val="FF0000"/>
                <w:sz w:val="21"/>
                <w:szCs w:val="21"/>
              </w:rPr>
            </w:pPr>
          </w:p>
        </w:tc>
        <w:tc>
          <w:tcPr>
            <w:tcW w:w="217" w:type="dxa"/>
          </w:tcPr>
          <w:p w14:paraId="4E6429FF" w14:textId="77777777" w:rsidR="002C0FD9" w:rsidRPr="00CA25CF" w:rsidRDefault="002C0FD9" w:rsidP="00CA25CF">
            <w:pPr>
              <w:rPr>
                <w:rFonts w:cs="Arial"/>
                <w:color w:val="FF0000"/>
                <w:sz w:val="21"/>
                <w:szCs w:val="21"/>
              </w:rPr>
            </w:pPr>
          </w:p>
        </w:tc>
        <w:tc>
          <w:tcPr>
            <w:tcW w:w="217" w:type="dxa"/>
          </w:tcPr>
          <w:p w14:paraId="73ABF46D" w14:textId="77777777" w:rsidR="002C0FD9" w:rsidRPr="00CA25CF" w:rsidRDefault="002C0FD9" w:rsidP="00CA25CF">
            <w:pPr>
              <w:rPr>
                <w:rFonts w:cs="Arial"/>
                <w:color w:val="FF0000"/>
                <w:sz w:val="21"/>
                <w:szCs w:val="21"/>
              </w:rPr>
            </w:pPr>
          </w:p>
        </w:tc>
        <w:tc>
          <w:tcPr>
            <w:tcW w:w="217" w:type="dxa"/>
          </w:tcPr>
          <w:p w14:paraId="26CCDCCE" w14:textId="77777777" w:rsidR="002C0FD9" w:rsidRPr="00CA25CF" w:rsidRDefault="002C0FD9" w:rsidP="00CA25CF">
            <w:pPr>
              <w:rPr>
                <w:rFonts w:cs="Arial"/>
                <w:color w:val="FF0000"/>
                <w:sz w:val="21"/>
                <w:szCs w:val="21"/>
              </w:rPr>
            </w:pPr>
          </w:p>
        </w:tc>
        <w:tc>
          <w:tcPr>
            <w:tcW w:w="217" w:type="dxa"/>
          </w:tcPr>
          <w:p w14:paraId="1C3F9132" w14:textId="77777777" w:rsidR="002C0FD9" w:rsidRPr="00CA25CF" w:rsidRDefault="002C0FD9" w:rsidP="00CA25CF">
            <w:pPr>
              <w:rPr>
                <w:rFonts w:cs="Arial"/>
                <w:color w:val="FF0000"/>
                <w:sz w:val="21"/>
                <w:szCs w:val="21"/>
              </w:rPr>
            </w:pPr>
          </w:p>
        </w:tc>
      </w:tr>
      <w:tr w:rsidR="002C0FD9" w:rsidRPr="00A16219" w14:paraId="4BE2F942" w14:textId="77777777" w:rsidTr="002C0FD9">
        <w:trPr>
          <w:trHeight w:val="635"/>
        </w:trPr>
        <w:tc>
          <w:tcPr>
            <w:tcW w:w="515" w:type="dxa"/>
          </w:tcPr>
          <w:p w14:paraId="3EF00622" w14:textId="77777777" w:rsidR="002C0FD9" w:rsidRPr="00CA25CF" w:rsidRDefault="002C0FD9" w:rsidP="00CA25CF">
            <w:pPr>
              <w:rPr>
                <w:rFonts w:cs="Arial"/>
                <w:color w:val="FF0000"/>
                <w:sz w:val="21"/>
                <w:szCs w:val="21"/>
              </w:rPr>
            </w:pPr>
          </w:p>
        </w:tc>
        <w:tc>
          <w:tcPr>
            <w:tcW w:w="217" w:type="dxa"/>
          </w:tcPr>
          <w:p w14:paraId="19282643" w14:textId="77777777" w:rsidR="002C0FD9" w:rsidRPr="00CA25CF" w:rsidRDefault="002C0FD9" w:rsidP="00CA25CF">
            <w:pPr>
              <w:rPr>
                <w:rFonts w:cs="Arial"/>
                <w:color w:val="FF0000"/>
                <w:sz w:val="21"/>
                <w:szCs w:val="21"/>
              </w:rPr>
            </w:pPr>
          </w:p>
        </w:tc>
        <w:tc>
          <w:tcPr>
            <w:tcW w:w="217" w:type="dxa"/>
          </w:tcPr>
          <w:p w14:paraId="34509F00" w14:textId="77777777" w:rsidR="002C0FD9" w:rsidRPr="00CA25CF" w:rsidRDefault="002C0FD9" w:rsidP="00CA25CF">
            <w:pPr>
              <w:rPr>
                <w:rFonts w:cs="Arial"/>
                <w:color w:val="FF0000"/>
                <w:sz w:val="21"/>
                <w:szCs w:val="21"/>
              </w:rPr>
            </w:pPr>
          </w:p>
        </w:tc>
        <w:tc>
          <w:tcPr>
            <w:tcW w:w="217" w:type="dxa"/>
          </w:tcPr>
          <w:p w14:paraId="13F0817E" w14:textId="77777777" w:rsidR="002C0FD9" w:rsidRPr="00CA25CF" w:rsidRDefault="002C0FD9" w:rsidP="00CA25CF">
            <w:pPr>
              <w:rPr>
                <w:rFonts w:cs="Arial"/>
                <w:color w:val="FF0000"/>
                <w:sz w:val="21"/>
                <w:szCs w:val="21"/>
              </w:rPr>
            </w:pPr>
          </w:p>
        </w:tc>
        <w:tc>
          <w:tcPr>
            <w:tcW w:w="217" w:type="dxa"/>
          </w:tcPr>
          <w:p w14:paraId="0CA484FC" w14:textId="77777777" w:rsidR="002C0FD9" w:rsidRPr="00CA25CF" w:rsidRDefault="002C0FD9" w:rsidP="00CA25CF">
            <w:pPr>
              <w:rPr>
                <w:rFonts w:cs="Arial"/>
                <w:color w:val="FF0000"/>
                <w:sz w:val="21"/>
                <w:szCs w:val="21"/>
              </w:rPr>
            </w:pPr>
          </w:p>
        </w:tc>
        <w:tc>
          <w:tcPr>
            <w:tcW w:w="217" w:type="dxa"/>
          </w:tcPr>
          <w:p w14:paraId="1E8E7298" w14:textId="77777777" w:rsidR="002C0FD9" w:rsidRPr="00CA25CF" w:rsidRDefault="002C0FD9" w:rsidP="00CA25CF">
            <w:pPr>
              <w:rPr>
                <w:rFonts w:cs="Arial"/>
                <w:color w:val="FF0000"/>
                <w:sz w:val="21"/>
                <w:szCs w:val="21"/>
              </w:rPr>
            </w:pPr>
          </w:p>
        </w:tc>
        <w:tc>
          <w:tcPr>
            <w:tcW w:w="217" w:type="dxa"/>
          </w:tcPr>
          <w:p w14:paraId="59CEE9CA" w14:textId="77777777" w:rsidR="002C0FD9" w:rsidRPr="00CA25CF" w:rsidRDefault="002C0FD9" w:rsidP="00CA25CF">
            <w:pPr>
              <w:rPr>
                <w:rFonts w:cs="Arial"/>
                <w:color w:val="FF0000"/>
                <w:sz w:val="21"/>
                <w:szCs w:val="21"/>
              </w:rPr>
            </w:pPr>
          </w:p>
        </w:tc>
        <w:tc>
          <w:tcPr>
            <w:tcW w:w="217" w:type="dxa"/>
          </w:tcPr>
          <w:p w14:paraId="71EBC98A" w14:textId="77777777" w:rsidR="002C0FD9" w:rsidRPr="00CA25CF" w:rsidRDefault="002C0FD9" w:rsidP="00CA25CF">
            <w:pPr>
              <w:rPr>
                <w:rFonts w:cs="Arial"/>
                <w:color w:val="FF0000"/>
                <w:sz w:val="21"/>
                <w:szCs w:val="21"/>
              </w:rPr>
            </w:pPr>
          </w:p>
        </w:tc>
        <w:tc>
          <w:tcPr>
            <w:tcW w:w="217" w:type="dxa"/>
          </w:tcPr>
          <w:p w14:paraId="7D9FA731" w14:textId="77777777" w:rsidR="002C0FD9" w:rsidRPr="00CA25CF" w:rsidRDefault="002C0FD9" w:rsidP="00CA25CF">
            <w:pPr>
              <w:rPr>
                <w:rFonts w:cs="Arial"/>
                <w:color w:val="FF0000"/>
                <w:sz w:val="21"/>
                <w:szCs w:val="21"/>
              </w:rPr>
            </w:pPr>
          </w:p>
        </w:tc>
        <w:tc>
          <w:tcPr>
            <w:tcW w:w="217" w:type="dxa"/>
          </w:tcPr>
          <w:p w14:paraId="70DE10F0" w14:textId="77777777" w:rsidR="002C0FD9" w:rsidRPr="00CA25CF" w:rsidRDefault="002C0FD9" w:rsidP="00CA25CF">
            <w:pPr>
              <w:rPr>
                <w:rFonts w:cs="Arial"/>
                <w:color w:val="FF0000"/>
                <w:sz w:val="21"/>
                <w:szCs w:val="21"/>
              </w:rPr>
            </w:pPr>
          </w:p>
        </w:tc>
        <w:tc>
          <w:tcPr>
            <w:tcW w:w="217" w:type="dxa"/>
          </w:tcPr>
          <w:p w14:paraId="123CB70F" w14:textId="77777777" w:rsidR="002C0FD9" w:rsidRPr="00CA25CF" w:rsidRDefault="002C0FD9" w:rsidP="00CA25CF">
            <w:pPr>
              <w:rPr>
                <w:rFonts w:cs="Arial"/>
                <w:color w:val="FF0000"/>
                <w:sz w:val="21"/>
                <w:szCs w:val="21"/>
              </w:rPr>
            </w:pPr>
          </w:p>
        </w:tc>
        <w:tc>
          <w:tcPr>
            <w:tcW w:w="217" w:type="dxa"/>
          </w:tcPr>
          <w:p w14:paraId="3E477545" w14:textId="77777777" w:rsidR="002C0FD9" w:rsidRPr="00CA25CF" w:rsidRDefault="002C0FD9" w:rsidP="00CA25CF">
            <w:pPr>
              <w:rPr>
                <w:rFonts w:cs="Arial"/>
                <w:color w:val="FF0000"/>
                <w:sz w:val="21"/>
                <w:szCs w:val="21"/>
              </w:rPr>
            </w:pPr>
          </w:p>
        </w:tc>
        <w:tc>
          <w:tcPr>
            <w:tcW w:w="217" w:type="dxa"/>
          </w:tcPr>
          <w:p w14:paraId="566AA218" w14:textId="77777777" w:rsidR="002C0FD9" w:rsidRPr="00CA25CF" w:rsidRDefault="002C0FD9" w:rsidP="00CA25CF">
            <w:pPr>
              <w:rPr>
                <w:rFonts w:cs="Arial"/>
                <w:color w:val="FF0000"/>
                <w:sz w:val="21"/>
                <w:szCs w:val="21"/>
              </w:rPr>
            </w:pPr>
          </w:p>
        </w:tc>
        <w:tc>
          <w:tcPr>
            <w:tcW w:w="217" w:type="dxa"/>
          </w:tcPr>
          <w:p w14:paraId="53D95E3D" w14:textId="77777777" w:rsidR="002C0FD9" w:rsidRPr="00CA25CF" w:rsidRDefault="002C0FD9" w:rsidP="00CA25CF">
            <w:pPr>
              <w:rPr>
                <w:rFonts w:cs="Arial"/>
                <w:color w:val="FF0000"/>
                <w:sz w:val="21"/>
                <w:szCs w:val="21"/>
              </w:rPr>
            </w:pPr>
          </w:p>
        </w:tc>
        <w:tc>
          <w:tcPr>
            <w:tcW w:w="217" w:type="dxa"/>
          </w:tcPr>
          <w:p w14:paraId="55013D19" w14:textId="77777777" w:rsidR="002C0FD9" w:rsidRPr="00CA25CF" w:rsidRDefault="002C0FD9" w:rsidP="00CA25CF">
            <w:pPr>
              <w:rPr>
                <w:rFonts w:cs="Arial"/>
                <w:color w:val="FF0000"/>
                <w:sz w:val="21"/>
                <w:szCs w:val="21"/>
              </w:rPr>
            </w:pPr>
          </w:p>
        </w:tc>
        <w:tc>
          <w:tcPr>
            <w:tcW w:w="217" w:type="dxa"/>
          </w:tcPr>
          <w:p w14:paraId="2B91DA59" w14:textId="77777777" w:rsidR="002C0FD9" w:rsidRPr="00CA25CF" w:rsidRDefault="002C0FD9" w:rsidP="00CA25CF">
            <w:pPr>
              <w:rPr>
                <w:rFonts w:cs="Arial"/>
                <w:color w:val="FF0000"/>
                <w:sz w:val="21"/>
                <w:szCs w:val="21"/>
              </w:rPr>
            </w:pPr>
          </w:p>
        </w:tc>
        <w:tc>
          <w:tcPr>
            <w:tcW w:w="217" w:type="dxa"/>
          </w:tcPr>
          <w:p w14:paraId="15726240" w14:textId="77777777" w:rsidR="002C0FD9" w:rsidRPr="00CA25CF" w:rsidRDefault="002C0FD9" w:rsidP="00CA25CF">
            <w:pPr>
              <w:rPr>
                <w:rFonts w:cs="Arial"/>
                <w:color w:val="FF0000"/>
                <w:sz w:val="21"/>
                <w:szCs w:val="21"/>
              </w:rPr>
            </w:pPr>
          </w:p>
        </w:tc>
        <w:tc>
          <w:tcPr>
            <w:tcW w:w="217" w:type="dxa"/>
          </w:tcPr>
          <w:p w14:paraId="602FE386" w14:textId="77777777" w:rsidR="002C0FD9" w:rsidRPr="00CA25CF" w:rsidRDefault="002C0FD9" w:rsidP="00CA25CF">
            <w:pPr>
              <w:rPr>
                <w:rFonts w:cs="Arial"/>
                <w:color w:val="FF0000"/>
                <w:sz w:val="21"/>
                <w:szCs w:val="21"/>
              </w:rPr>
            </w:pPr>
          </w:p>
        </w:tc>
        <w:tc>
          <w:tcPr>
            <w:tcW w:w="217" w:type="dxa"/>
          </w:tcPr>
          <w:p w14:paraId="28388750" w14:textId="77777777" w:rsidR="002C0FD9" w:rsidRPr="00CA25CF" w:rsidRDefault="002C0FD9" w:rsidP="00CA25CF">
            <w:pPr>
              <w:rPr>
                <w:rFonts w:cs="Arial"/>
                <w:color w:val="FF0000"/>
                <w:sz w:val="21"/>
                <w:szCs w:val="21"/>
              </w:rPr>
            </w:pPr>
          </w:p>
        </w:tc>
        <w:tc>
          <w:tcPr>
            <w:tcW w:w="217" w:type="dxa"/>
          </w:tcPr>
          <w:p w14:paraId="1BABD6AA" w14:textId="77777777" w:rsidR="002C0FD9" w:rsidRPr="00CA25CF" w:rsidRDefault="002C0FD9" w:rsidP="00CA25CF">
            <w:pPr>
              <w:rPr>
                <w:rFonts w:cs="Arial"/>
                <w:color w:val="FF0000"/>
                <w:sz w:val="21"/>
                <w:szCs w:val="21"/>
              </w:rPr>
            </w:pPr>
          </w:p>
        </w:tc>
        <w:tc>
          <w:tcPr>
            <w:tcW w:w="217" w:type="dxa"/>
          </w:tcPr>
          <w:p w14:paraId="2A56FFFE" w14:textId="77777777" w:rsidR="002C0FD9" w:rsidRPr="00CA25CF" w:rsidRDefault="002C0FD9" w:rsidP="00CA25CF">
            <w:pPr>
              <w:rPr>
                <w:rFonts w:cs="Arial"/>
                <w:color w:val="FF0000"/>
                <w:sz w:val="21"/>
                <w:szCs w:val="21"/>
              </w:rPr>
            </w:pPr>
          </w:p>
        </w:tc>
        <w:tc>
          <w:tcPr>
            <w:tcW w:w="217" w:type="dxa"/>
          </w:tcPr>
          <w:p w14:paraId="66A76AA5" w14:textId="77777777" w:rsidR="002C0FD9" w:rsidRPr="00CA25CF" w:rsidRDefault="002C0FD9" w:rsidP="00CA25CF">
            <w:pPr>
              <w:rPr>
                <w:rFonts w:cs="Arial"/>
                <w:color w:val="FF0000"/>
                <w:sz w:val="21"/>
                <w:szCs w:val="21"/>
              </w:rPr>
            </w:pPr>
          </w:p>
        </w:tc>
        <w:tc>
          <w:tcPr>
            <w:tcW w:w="217" w:type="dxa"/>
          </w:tcPr>
          <w:p w14:paraId="3FB31EB2" w14:textId="77777777" w:rsidR="002C0FD9" w:rsidRPr="00CA25CF" w:rsidRDefault="002C0FD9" w:rsidP="00CA25CF">
            <w:pPr>
              <w:rPr>
                <w:rFonts w:cs="Arial"/>
                <w:color w:val="FF0000"/>
                <w:sz w:val="21"/>
                <w:szCs w:val="21"/>
              </w:rPr>
            </w:pPr>
          </w:p>
        </w:tc>
        <w:tc>
          <w:tcPr>
            <w:tcW w:w="217" w:type="dxa"/>
          </w:tcPr>
          <w:p w14:paraId="55AD7BF0" w14:textId="77777777" w:rsidR="002C0FD9" w:rsidRPr="00CA25CF" w:rsidRDefault="002C0FD9" w:rsidP="00CA25CF">
            <w:pPr>
              <w:rPr>
                <w:rFonts w:cs="Arial"/>
                <w:color w:val="FF0000"/>
                <w:sz w:val="21"/>
                <w:szCs w:val="21"/>
              </w:rPr>
            </w:pPr>
          </w:p>
        </w:tc>
        <w:tc>
          <w:tcPr>
            <w:tcW w:w="217" w:type="dxa"/>
          </w:tcPr>
          <w:p w14:paraId="7B7887E4" w14:textId="77777777" w:rsidR="002C0FD9" w:rsidRPr="00CA25CF" w:rsidRDefault="002C0FD9" w:rsidP="00CA25CF">
            <w:pPr>
              <w:rPr>
                <w:rFonts w:cs="Arial"/>
                <w:color w:val="FF0000"/>
                <w:sz w:val="21"/>
                <w:szCs w:val="21"/>
              </w:rPr>
            </w:pPr>
          </w:p>
        </w:tc>
        <w:tc>
          <w:tcPr>
            <w:tcW w:w="217" w:type="dxa"/>
          </w:tcPr>
          <w:p w14:paraId="5A0230A2" w14:textId="77777777" w:rsidR="002C0FD9" w:rsidRPr="00CA25CF" w:rsidRDefault="002C0FD9" w:rsidP="00CA25CF">
            <w:pPr>
              <w:rPr>
                <w:rFonts w:cs="Arial"/>
                <w:color w:val="FF0000"/>
                <w:sz w:val="21"/>
                <w:szCs w:val="21"/>
              </w:rPr>
            </w:pPr>
          </w:p>
        </w:tc>
        <w:tc>
          <w:tcPr>
            <w:tcW w:w="217" w:type="dxa"/>
          </w:tcPr>
          <w:p w14:paraId="2110ABF7" w14:textId="77777777" w:rsidR="002C0FD9" w:rsidRPr="00CA25CF" w:rsidRDefault="002C0FD9" w:rsidP="00CA25CF">
            <w:pPr>
              <w:rPr>
                <w:rFonts w:cs="Arial"/>
                <w:color w:val="FF0000"/>
                <w:sz w:val="21"/>
                <w:szCs w:val="21"/>
              </w:rPr>
            </w:pPr>
          </w:p>
        </w:tc>
        <w:tc>
          <w:tcPr>
            <w:tcW w:w="217" w:type="dxa"/>
          </w:tcPr>
          <w:p w14:paraId="17A1F8E7" w14:textId="77777777" w:rsidR="002C0FD9" w:rsidRPr="00CA25CF" w:rsidRDefault="002C0FD9" w:rsidP="00CA25CF">
            <w:pPr>
              <w:rPr>
                <w:rFonts w:cs="Arial"/>
                <w:color w:val="FF0000"/>
                <w:sz w:val="21"/>
                <w:szCs w:val="21"/>
              </w:rPr>
            </w:pPr>
          </w:p>
        </w:tc>
        <w:tc>
          <w:tcPr>
            <w:tcW w:w="217" w:type="dxa"/>
          </w:tcPr>
          <w:p w14:paraId="3BD6650C" w14:textId="77777777" w:rsidR="002C0FD9" w:rsidRPr="00CA25CF" w:rsidRDefault="002C0FD9" w:rsidP="00CA25CF">
            <w:pPr>
              <w:rPr>
                <w:rFonts w:cs="Arial"/>
                <w:color w:val="FF0000"/>
                <w:sz w:val="21"/>
                <w:szCs w:val="21"/>
              </w:rPr>
            </w:pPr>
          </w:p>
        </w:tc>
        <w:tc>
          <w:tcPr>
            <w:tcW w:w="217" w:type="dxa"/>
          </w:tcPr>
          <w:p w14:paraId="2AEF60DE" w14:textId="77777777" w:rsidR="002C0FD9" w:rsidRPr="00CA25CF" w:rsidRDefault="002C0FD9" w:rsidP="00CA25CF">
            <w:pPr>
              <w:rPr>
                <w:rFonts w:cs="Arial"/>
                <w:color w:val="FF0000"/>
                <w:sz w:val="21"/>
                <w:szCs w:val="21"/>
              </w:rPr>
            </w:pPr>
          </w:p>
        </w:tc>
        <w:tc>
          <w:tcPr>
            <w:tcW w:w="217" w:type="dxa"/>
          </w:tcPr>
          <w:p w14:paraId="3C63E084" w14:textId="77777777" w:rsidR="002C0FD9" w:rsidRPr="00CA25CF" w:rsidRDefault="002C0FD9" w:rsidP="00CA25CF">
            <w:pPr>
              <w:rPr>
                <w:rFonts w:cs="Arial"/>
                <w:color w:val="FF0000"/>
                <w:sz w:val="21"/>
                <w:szCs w:val="21"/>
              </w:rPr>
            </w:pPr>
          </w:p>
        </w:tc>
        <w:tc>
          <w:tcPr>
            <w:tcW w:w="217" w:type="dxa"/>
          </w:tcPr>
          <w:p w14:paraId="5EA906D0" w14:textId="77777777" w:rsidR="002C0FD9" w:rsidRPr="00CA25CF" w:rsidRDefault="002C0FD9" w:rsidP="00CA25CF">
            <w:pPr>
              <w:rPr>
                <w:rFonts w:cs="Arial"/>
                <w:color w:val="FF0000"/>
                <w:sz w:val="21"/>
                <w:szCs w:val="21"/>
              </w:rPr>
            </w:pPr>
          </w:p>
        </w:tc>
        <w:tc>
          <w:tcPr>
            <w:tcW w:w="217" w:type="dxa"/>
          </w:tcPr>
          <w:p w14:paraId="157731C2" w14:textId="77777777" w:rsidR="002C0FD9" w:rsidRPr="00CA25CF" w:rsidRDefault="002C0FD9" w:rsidP="00CA25CF">
            <w:pPr>
              <w:rPr>
                <w:rFonts w:cs="Arial"/>
                <w:color w:val="FF0000"/>
                <w:sz w:val="21"/>
                <w:szCs w:val="21"/>
              </w:rPr>
            </w:pPr>
          </w:p>
        </w:tc>
        <w:tc>
          <w:tcPr>
            <w:tcW w:w="217" w:type="dxa"/>
          </w:tcPr>
          <w:p w14:paraId="18BC8AF0" w14:textId="77777777" w:rsidR="002C0FD9" w:rsidRPr="00CA25CF" w:rsidRDefault="002C0FD9" w:rsidP="00CA25CF">
            <w:pPr>
              <w:rPr>
                <w:rFonts w:cs="Arial"/>
                <w:color w:val="FF0000"/>
                <w:sz w:val="21"/>
                <w:szCs w:val="21"/>
              </w:rPr>
            </w:pPr>
          </w:p>
        </w:tc>
        <w:tc>
          <w:tcPr>
            <w:tcW w:w="217" w:type="dxa"/>
          </w:tcPr>
          <w:p w14:paraId="142ADA27" w14:textId="77777777" w:rsidR="002C0FD9" w:rsidRPr="00CA25CF" w:rsidRDefault="002C0FD9" w:rsidP="00CA25CF">
            <w:pPr>
              <w:rPr>
                <w:rFonts w:cs="Arial"/>
                <w:color w:val="FF0000"/>
                <w:sz w:val="21"/>
                <w:szCs w:val="21"/>
              </w:rPr>
            </w:pPr>
          </w:p>
        </w:tc>
        <w:tc>
          <w:tcPr>
            <w:tcW w:w="217" w:type="dxa"/>
          </w:tcPr>
          <w:p w14:paraId="4AFFD027" w14:textId="77777777" w:rsidR="002C0FD9" w:rsidRPr="00CA25CF" w:rsidRDefault="002C0FD9" w:rsidP="00CA25CF">
            <w:pPr>
              <w:rPr>
                <w:rFonts w:cs="Arial"/>
                <w:color w:val="FF0000"/>
                <w:sz w:val="21"/>
                <w:szCs w:val="21"/>
              </w:rPr>
            </w:pPr>
          </w:p>
        </w:tc>
        <w:tc>
          <w:tcPr>
            <w:tcW w:w="217" w:type="dxa"/>
          </w:tcPr>
          <w:p w14:paraId="52E134AB" w14:textId="77777777" w:rsidR="002C0FD9" w:rsidRPr="00CA25CF" w:rsidRDefault="002C0FD9" w:rsidP="00CA25CF">
            <w:pPr>
              <w:rPr>
                <w:rFonts w:cs="Arial"/>
                <w:color w:val="FF0000"/>
                <w:sz w:val="21"/>
                <w:szCs w:val="21"/>
              </w:rPr>
            </w:pPr>
          </w:p>
        </w:tc>
        <w:tc>
          <w:tcPr>
            <w:tcW w:w="217" w:type="dxa"/>
          </w:tcPr>
          <w:p w14:paraId="24AE6F6C" w14:textId="77777777" w:rsidR="002C0FD9" w:rsidRPr="00CA25CF" w:rsidRDefault="002C0FD9" w:rsidP="00CA25CF">
            <w:pPr>
              <w:rPr>
                <w:rFonts w:cs="Arial"/>
                <w:color w:val="FF0000"/>
                <w:sz w:val="21"/>
                <w:szCs w:val="21"/>
              </w:rPr>
            </w:pPr>
          </w:p>
        </w:tc>
        <w:tc>
          <w:tcPr>
            <w:tcW w:w="217" w:type="dxa"/>
          </w:tcPr>
          <w:p w14:paraId="52F539E8" w14:textId="77777777" w:rsidR="002C0FD9" w:rsidRPr="00CA25CF" w:rsidRDefault="002C0FD9" w:rsidP="00CA25CF">
            <w:pPr>
              <w:rPr>
                <w:rFonts w:cs="Arial"/>
                <w:color w:val="FF0000"/>
                <w:sz w:val="21"/>
                <w:szCs w:val="21"/>
              </w:rPr>
            </w:pPr>
          </w:p>
        </w:tc>
        <w:tc>
          <w:tcPr>
            <w:tcW w:w="217" w:type="dxa"/>
          </w:tcPr>
          <w:p w14:paraId="24BB518C" w14:textId="77777777" w:rsidR="002C0FD9" w:rsidRPr="00CA25CF" w:rsidRDefault="002C0FD9" w:rsidP="00CA25CF">
            <w:pPr>
              <w:rPr>
                <w:rFonts w:cs="Arial"/>
                <w:color w:val="FF0000"/>
                <w:sz w:val="21"/>
                <w:szCs w:val="21"/>
              </w:rPr>
            </w:pPr>
          </w:p>
        </w:tc>
        <w:tc>
          <w:tcPr>
            <w:tcW w:w="217" w:type="dxa"/>
          </w:tcPr>
          <w:p w14:paraId="413440A6" w14:textId="77777777" w:rsidR="002C0FD9" w:rsidRPr="00CA25CF" w:rsidRDefault="002C0FD9" w:rsidP="00CA25CF">
            <w:pPr>
              <w:rPr>
                <w:rFonts w:cs="Arial"/>
                <w:color w:val="FF0000"/>
                <w:sz w:val="21"/>
                <w:szCs w:val="21"/>
              </w:rPr>
            </w:pPr>
          </w:p>
        </w:tc>
        <w:tc>
          <w:tcPr>
            <w:tcW w:w="217" w:type="dxa"/>
          </w:tcPr>
          <w:p w14:paraId="0CA10383" w14:textId="77777777" w:rsidR="002C0FD9" w:rsidRPr="00CA25CF" w:rsidRDefault="002C0FD9" w:rsidP="00CA25CF">
            <w:pPr>
              <w:rPr>
                <w:rFonts w:cs="Arial"/>
                <w:color w:val="FF0000"/>
                <w:sz w:val="21"/>
                <w:szCs w:val="21"/>
              </w:rPr>
            </w:pPr>
          </w:p>
        </w:tc>
        <w:tc>
          <w:tcPr>
            <w:tcW w:w="217" w:type="dxa"/>
          </w:tcPr>
          <w:p w14:paraId="18107EF3" w14:textId="77777777" w:rsidR="002C0FD9" w:rsidRPr="00CA25CF" w:rsidRDefault="002C0FD9" w:rsidP="00CA25CF">
            <w:pPr>
              <w:rPr>
                <w:rFonts w:cs="Arial"/>
                <w:color w:val="FF0000"/>
                <w:sz w:val="21"/>
                <w:szCs w:val="21"/>
              </w:rPr>
            </w:pPr>
          </w:p>
        </w:tc>
      </w:tr>
      <w:tr w:rsidR="002C0FD9" w:rsidRPr="00A16219" w14:paraId="63523BF2" w14:textId="77777777" w:rsidTr="002C0FD9">
        <w:trPr>
          <w:trHeight w:val="635"/>
        </w:trPr>
        <w:tc>
          <w:tcPr>
            <w:tcW w:w="515" w:type="dxa"/>
          </w:tcPr>
          <w:p w14:paraId="5D812FAB" w14:textId="77777777" w:rsidR="002C0FD9" w:rsidRPr="00CA25CF" w:rsidRDefault="002C0FD9" w:rsidP="00CA25CF">
            <w:pPr>
              <w:rPr>
                <w:rFonts w:cs="Arial"/>
                <w:color w:val="FF0000"/>
                <w:sz w:val="21"/>
                <w:szCs w:val="21"/>
              </w:rPr>
            </w:pPr>
          </w:p>
        </w:tc>
        <w:tc>
          <w:tcPr>
            <w:tcW w:w="217" w:type="dxa"/>
          </w:tcPr>
          <w:p w14:paraId="400E9308" w14:textId="77777777" w:rsidR="002C0FD9" w:rsidRPr="00CA25CF" w:rsidRDefault="002C0FD9" w:rsidP="00CA25CF">
            <w:pPr>
              <w:rPr>
                <w:rFonts w:cs="Arial"/>
                <w:color w:val="FF0000"/>
                <w:sz w:val="21"/>
                <w:szCs w:val="21"/>
              </w:rPr>
            </w:pPr>
          </w:p>
        </w:tc>
        <w:tc>
          <w:tcPr>
            <w:tcW w:w="217" w:type="dxa"/>
          </w:tcPr>
          <w:p w14:paraId="0A2B6091" w14:textId="77777777" w:rsidR="002C0FD9" w:rsidRPr="00CA25CF" w:rsidRDefault="002C0FD9" w:rsidP="00CA25CF">
            <w:pPr>
              <w:rPr>
                <w:rFonts w:cs="Arial"/>
                <w:color w:val="FF0000"/>
                <w:sz w:val="21"/>
                <w:szCs w:val="21"/>
              </w:rPr>
            </w:pPr>
          </w:p>
        </w:tc>
        <w:tc>
          <w:tcPr>
            <w:tcW w:w="217" w:type="dxa"/>
          </w:tcPr>
          <w:p w14:paraId="3D24592B" w14:textId="77777777" w:rsidR="002C0FD9" w:rsidRPr="00CA25CF" w:rsidRDefault="002C0FD9" w:rsidP="00CA25CF">
            <w:pPr>
              <w:rPr>
                <w:rFonts w:cs="Arial"/>
                <w:color w:val="FF0000"/>
                <w:sz w:val="21"/>
                <w:szCs w:val="21"/>
              </w:rPr>
            </w:pPr>
          </w:p>
        </w:tc>
        <w:tc>
          <w:tcPr>
            <w:tcW w:w="217" w:type="dxa"/>
          </w:tcPr>
          <w:p w14:paraId="367D8CD4" w14:textId="77777777" w:rsidR="002C0FD9" w:rsidRPr="00CA25CF" w:rsidRDefault="002C0FD9" w:rsidP="00CA25CF">
            <w:pPr>
              <w:rPr>
                <w:rFonts w:cs="Arial"/>
                <w:color w:val="FF0000"/>
                <w:sz w:val="21"/>
                <w:szCs w:val="21"/>
              </w:rPr>
            </w:pPr>
          </w:p>
        </w:tc>
        <w:tc>
          <w:tcPr>
            <w:tcW w:w="217" w:type="dxa"/>
          </w:tcPr>
          <w:p w14:paraId="0990826D" w14:textId="77777777" w:rsidR="002C0FD9" w:rsidRPr="00CA25CF" w:rsidRDefault="002C0FD9" w:rsidP="00CA25CF">
            <w:pPr>
              <w:rPr>
                <w:rFonts w:cs="Arial"/>
                <w:color w:val="FF0000"/>
                <w:sz w:val="21"/>
                <w:szCs w:val="21"/>
              </w:rPr>
            </w:pPr>
          </w:p>
        </w:tc>
        <w:tc>
          <w:tcPr>
            <w:tcW w:w="217" w:type="dxa"/>
          </w:tcPr>
          <w:p w14:paraId="07E8482C" w14:textId="77777777" w:rsidR="002C0FD9" w:rsidRPr="00CA25CF" w:rsidRDefault="002C0FD9" w:rsidP="00CA25CF">
            <w:pPr>
              <w:rPr>
                <w:rFonts w:cs="Arial"/>
                <w:color w:val="FF0000"/>
                <w:sz w:val="21"/>
                <w:szCs w:val="21"/>
              </w:rPr>
            </w:pPr>
          </w:p>
        </w:tc>
        <w:tc>
          <w:tcPr>
            <w:tcW w:w="217" w:type="dxa"/>
          </w:tcPr>
          <w:p w14:paraId="752578C7" w14:textId="77777777" w:rsidR="002C0FD9" w:rsidRPr="00CA25CF" w:rsidRDefault="002C0FD9" w:rsidP="00CA25CF">
            <w:pPr>
              <w:rPr>
                <w:rFonts w:cs="Arial"/>
                <w:color w:val="FF0000"/>
                <w:sz w:val="21"/>
                <w:szCs w:val="21"/>
              </w:rPr>
            </w:pPr>
          </w:p>
        </w:tc>
        <w:tc>
          <w:tcPr>
            <w:tcW w:w="217" w:type="dxa"/>
          </w:tcPr>
          <w:p w14:paraId="39975E5C" w14:textId="77777777" w:rsidR="002C0FD9" w:rsidRPr="00CA25CF" w:rsidRDefault="002C0FD9" w:rsidP="00CA25CF">
            <w:pPr>
              <w:rPr>
                <w:rFonts w:cs="Arial"/>
                <w:color w:val="FF0000"/>
                <w:sz w:val="21"/>
                <w:szCs w:val="21"/>
              </w:rPr>
            </w:pPr>
          </w:p>
        </w:tc>
        <w:tc>
          <w:tcPr>
            <w:tcW w:w="217" w:type="dxa"/>
          </w:tcPr>
          <w:p w14:paraId="7F0BB0D5" w14:textId="77777777" w:rsidR="002C0FD9" w:rsidRPr="00CA25CF" w:rsidRDefault="002C0FD9" w:rsidP="00CA25CF">
            <w:pPr>
              <w:rPr>
                <w:rFonts w:cs="Arial"/>
                <w:color w:val="FF0000"/>
                <w:sz w:val="21"/>
                <w:szCs w:val="21"/>
              </w:rPr>
            </w:pPr>
          </w:p>
        </w:tc>
        <w:tc>
          <w:tcPr>
            <w:tcW w:w="217" w:type="dxa"/>
          </w:tcPr>
          <w:p w14:paraId="7E8BCB2B" w14:textId="77777777" w:rsidR="002C0FD9" w:rsidRPr="00CA25CF" w:rsidRDefault="002C0FD9" w:rsidP="00CA25CF">
            <w:pPr>
              <w:rPr>
                <w:rFonts w:cs="Arial"/>
                <w:color w:val="FF0000"/>
                <w:sz w:val="21"/>
                <w:szCs w:val="21"/>
              </w:rPr>
            </w:pPr>
          </w:p>
        </w:tc>
        <w:tc>
          <w:tcPr>
            <w:tcW w:w="217" w:type="dxa"/>
          </w:tcPr>
          <w:p w14:paraId="53FE311F" w14:textId="77777777" w:rsidR="002C0FD9" w:rsidRPr="00CA25CF" w:rsidRDefault="002C0FD9" w:rsidP="00CA25CF">
            <w:pPr>
              <w:rPr>
                <w:rFonts w:cs="Arial"/>
                <w:color w:val="FF0000"/>
                <w:sz w:val="21"/>
                <w:szCs w:val="21"/>
              </w:rPr>
            </w:pPr>
          </w:p>
        </w:tc>
        <w:tc>
          <w:tcPr>
            <w:tcW w:w="217" w:type="dxa"/>
          </w:tcPr>
          <w:p w14:paraId="59AF5FE1" w14:textId="77777777" w:rsidR="002C0FD9" w:rsidRPr="00CA25CF" w:rsidRDefault="002C0FD9" w:rsidP="00CA25CF">
            <w:pPr>
              <w:rPr>
                <w:rFonts w:cs="Arial"/>
                <w:color w:val="FF0000"/>
                <w:sz w:val="21"/>
                <w:szCs w:val="21"/>
              </w:rPr>
            </w:pPr>
          </w:p>
        </w:tc>
        <w:tc>
          <w:tcPr>
            <w:tcW w:w="217" w:type="dxa"/>
          </w:tcPr>
          <w:p w14:paraId="37FE30FA" w14:textId="77777777" w:rsidR="002C0FD9" w:rsidRPr="00CA25CF" w:rsidRDefault="002C0FD9" w:rsidP="00CA25CF">
            <w:pPr>
              <w:rPr>
                <w:rFonts w:cs="Arial"/>
                <w:color w:val="FF0000"/>
                <w:sz w:val="21"/>
                <w:szCs w:val="21"/>
              </w:rPr>
            </w:pPr>
          </w:p>
        </w:tc>
        <w:tc>
          <w:tcPr>
            <w:tcW w:w="217" w:type="dxa"/>
          </w:tcPr>
          <w:p w14:paraId="2DA9B26D" w14:textId="77777777" w:rsidR="002C0FD9" w:rsidRPr="00CA25CF" w:rsidRDefault="002C0FD9" w:rsidP="00CA25CF">
            <w:pPr>
              <w:rPr>
                <w:rFonts w:cs="Arial"/>
                <w:color w:val="FF0000"/>
                <w:sz w:val="21"/>
                <w:szCs w:val="21"/>
              </w:rPr>
            </w:pPr>
          </w:p>
        </w:tc>
        <w:tc>
          <w:tcPr>
            <w:tcW w:w="217" w:type="dxa"/>
          </w:tcPr>
          <w:p w14:paraId="622EBDA3" w14:textId="77777777" w:rsidR="002C0FD9" w:rsidRPr="00CA25CF" w:rsidRDefault="002C0FD9" w:rsidP="00CA25CF">
            <w:pPr>
              <w:rPr>
                <w:rFonts w:cs="Arial"/>
                <w:color w:val="FF0000"/>
                <w:sz w:val="21"/>
                <w:szCs w:val="21"/>
              </w:rPr>
            </w:pPr>
          </w:p>
        </w:tc>
        <w:tc>
          <w:tcPr>
            <w:tcW w:w="217" w:type="dxa"/>
          </w:tcPr>
          <w:p w14:paraId="362DFF57" w14:textId="77777777" w:rsidR="002C0FD9" w:rsidRPr="00CA25CF" w:rsidRDefault="002C0FD9" w:rsidP="00CA25CF">
            <w:pPr>
              <w:rPr>
                <w:rFonts w:cs="Arial"/>
                <w:color w:val="FF0000"/>
                <w:sz w:val="21"/>
                <w:szCs w:val="21"/>
              </w:rPr>
            </w:pPr>
          </w:p>
        </w:tc>
        <w:tc>
          <w:tcPr>
            <w:tcW w:w="217" w:type="dxa"/>
          </w:tcPr>
          <w:p w14:paraId="1DA98061" w14:textId="77777777" w:rsidR="002C0FD9" w:rsidRPr="00CA25CF" w:rsidRDefault="002C0FD9" w:rsidP="00CA25CF">
            <w:pPr>
              <w:rPr>
                <w:rFonts w:cs="Arial"/>
                <w:color w:val="FF0000"/>
                <w:sz w:val="21"/>
                <w:szCs w:val="21"/>
              </w:rPr>
            </w:pPr>
          </w:p>
        </w:tc>
        <w:tc>
          <w:tcPr>
            <w:tcW w:w="217" w:type="dxa"/>
          </w:tcPr>
          <w:p w14:paraId="0AAEBF91" w14:textId="77777777" w:rsidR="002C0FD9" w:rsidRPr="00CA25CF" w:rsidRDefault="002C0FD9" w:rsidP="00CA25CF">
            <w:pPr>
              <w:rPr>
                <w:rFonts w:cs="Arial"/>
                <w:color w:val="FF0000"/>
                <w:sz w:val="21"/>
                <w:szCs w:val="21"/>
              </w:rPr>
            </w:pPr>
          </w:p>
        </w:tc>
        <w:tc>
          <w:tcPr>
            <w:tcW w:w="217" w:type="dxa"/>
          </w:tcPr>
          <w:p w14:paraId="6CF7C53C" w14:textId="77777777" w:rsidR="002C0FD9" w:rsidRPr="00CA25CF" w:rsidRDefault="002C0FD9" w:rsidP="00CA25CF">
            <w:pPr>
              <w:rPr>
                <w:rFonts w:cs="Arial"/>
                <w:color w:val="FF0000"/>
                <w:sz w:val="21"/>
                <w:szCs w:val="21"/>
              </w:rPr>
            </w:pPr>
          </w:p>
        </w:tc>
        <w:tc>
          <w:tcPr>
            <w:tcW w:w="217" w:type="dxa"/>
          </w:tcPr>
          <w:p w14:paraId="78568B66" w14:textId="77777777" w:rsidR="002C0FD9" w:rsidRPr="00CA25CF" w:rsidRDefault="002C0FD9" w:rsidP="00CA25CF">
            <w:pPr>
              <w:rPr>
                <w:rFonts w:cs="Arial"/>
                <w:color w:val="FF0000"/>
                <w:sz w:val="21"/>
                <w:szCs w:val="21"/>
              </w:rPr>
            </w:pPr>
          </w:p>
        </w:tc>
        <w:tc>
          <w:tcPr>
            <w:tcW w:w="217" w:type="dxa"/>
          </w:tcPr>
          <w:p w14:paraId="2B2ECAF5" w14:textId="77777777" w:rsidR="002C0FD9" w:rsidRPr="00CA25CF" w:rsidRDefault="002C0FD9" w:rsidP="00CA25CF">
            <w:pPr>
              <w:rPr>
                <w:rFonts w:cs="Arial"/>
                <w:color w:val="FF0000"/>
                <w:sz w:val="21"/>
                <w:szCs w:val="21"/>
              </w:rPr>
            </w:pPr>
          </w:p>
        </w:tc>
        <w:tc>
          <w:tcPr>
            <w:tcW w:w="217" w:type="dxa"/>
          </w:tcPr>
          <w:p w14:paraId="3D2CD911" w14:textId="77777777" w:rsidR="002C0FD9" w:rsidRPr="00CA25CF" w:rsidRDefault="002C0FD9" w:rsidP="00CA25CF">
            <w:pPr>
              <w:rPr>
                <w:rFonts w:cs="Arial"/>
                <w:color w:val="FF0000"/>
                <w:sz w:val="21"/>
                <w:szCs w:val="21"/>
              </w:rPr>
            </w:pPr>
          </w:p>
        </w:tc>
        <w:tc>
          <w:tcPr>
            <w:tcW w:w="217" w:type="dxa"/>
          </w:tcPr>
          <w:p w14:paraId="7C9046A0" w14:textId="77777777" w:rsidR="002C0FD9" w:rsidRPr="00CA25CF" w:rsidRDefault="002C0FD9" w:rsidP="00CA25CF">
            <w:pPr>
              <w:rPr>
                <w:rFonts w:cs="Arial"/>
                <w:color w:val="FF0000"/>
                <w:sz w:val="21"/>
                <w:szCs w:val="21"/>
              </w:rPr>
            </w:pPr>
          </w:p>
        </w:tc>
        <w:tc>
          <w:tcPr>
            <w:tcW w:w="217" w:type="dxa"/>
          </w:tcPr>
          <w:p w14:paraId="45F26614" w14:textId="77777777" w:rsidR="002C0FD9" w:rsidRPr="00CA25CF" w:rsidRDefault="002C0FD9" w:rsidP="00CA25CF">
            <w:pPr>
              <w:rPr>
                <w:rFonts w:cs="Arial"/>
                <w:color w:val="FF0000"/>
                <w:sz w:val="21"/>
                <w:szCs w:val="21"/>
              </w:rPr>
            </w:pPr>
          </w:p>
        </w:tc>
        <w:tc>
          <w:tcPr>
            <w:tcW w:w="217" w:type="dxa"/>
          </w:tcPr>
          <w:p w14:paraId="7F42F423" w14:textId="77777777" w:rsidR="002C0FD9" w:rsidRPr="00CA25CF" w:rsidRDefault="002C0FD9" w:rsidP="00CA25CF">
            <w:pPr>
              <w:rPr>
                <w:rFonts w:cs="Arial"/>
                <w:color w:val="FF0000"/>
                <w:sz w:val="21"/>
                <w:szCs w:val="21"/>
              </w:rPr>
            </w:pPr>
          </w:p>
        </w:tc>
        <w:tc>
          <w:tcPr>
            <w:tcW w:w="217" w:type="dxa"/>
          </w:tcPr>
          <w:p w14:paraId="469CF1FA" w14:textId="77777777" w:rsidR="002C0FD9" w:rsidRPr="00CA25CF" w:rsidRDefault="002C0FD9" w:rsidP="00CA25CF">
            <w:pPr>
              <w:rPr>
                <w:rFonts w:cs="Arial"/>
                <w:color w:val="FF0000"/>
                <w:sz w:val="21"/>
                <w:szCs w:val="21"/>
              </w:rPr>
            </w:pPr>
          </w:p>
        </w:tc>
        <w:tc>
          <w:tcPr>
            <w:tcW w:w="217" w:type="dxa"/>
          </w:tcPr>
          <w:p w14:paraId="0DFBE90D" w14:textId="77777777" w:rsidR="002C0FD9" w:rsidRPr="00CA25CF" w:rsidRDefault="002C0FD9" w:rsidP="00CA25CF">
            <w:pPr>
              <w:rPr>
                <w:rFonts w:cs="Arial"/>
                <w:color w:val="FF0000"/>
                <w:sz w:val="21"/>
                <w:szCs w:val="21"/>
              </w:rPr>
            </w:pPr>
          </w:p>
        </w:tc>
        <w:tc>
          <w:tcPr>
            <w:tcW w:w="217" w:type="dxa"/>
          </w:tcPr>
          <w:p w14:paraId="14285A69" w14:textId="77777777" w:rsidR="002C0FD9" w:rsidRPr="00CA25CF" w:rsidRDefault="002C0FD9" w:rsidP="00CA25CF">
            <w:pPr>
              <w:rPr>
                <w:rFonts w:cs="Arial"/>
                <w:color w:val="FF0000"/>
                <w:sz w:val="21"/>
                <w:szCs w:val="21"/>
              </w:rPr>
            </w:pPr>
          </w:p>
        </w:tc>
        <w:tc>
          <w:tcPr>
            <w:tcW w:w="217" w:type="dxa"/>
          </w:tcPr>
          <w:p w14:paraId="6B213AF2" w14:textId="77777777" w:rsidR="002C0FD9" w:rsidRPr="00CA25CF" w:rsidRDefault="002C0FD9" w:rsidP="00CA25CF">
            <w:pPr>
              <w:rPr>
                <w:rFonts w:cs="Arial"/>
                <w:color w:val="FF0000"/>
                <w:sz w:val="21"/>
                <w:szCs w:val="21"/>
              </w:rPr>
            </w:pPr>
          </w:p>
        </w:tc>
        <w:tc>
          <w:tcPr>
            <w:tcW w:w="217" w:type="dxa"/>
          </w:tcPr>
          <w:p w14:paraId="74DF36B8" w14:textId="77777777" w:rsidR="002C0FD9" w:rsidRPr="00CA25CF" w:rsidRDefault="002C0FD9" w:rsidP="00CA25CF">
            <w:pPr>
              <w:rPr>
                <w:rFonts w:cs="Arial"/>
                <w:color w:val="FF0000"/>
                <w:sz w:val="21"/>
                <w:szCs w:val="21"/>
              </w:rPr>
            </w:pPr>
          </w:p>
        </w:tc>
        <w:tc>
          <w:tcPr>
            <w:tcW w:w="217" w:type="dxa"/>
          </w:tcPr>
          <w:p w14:paraId="324324C2" w14:textId="77777777" w:rsidR="002C0FD9" w:rsidRPr="00CA25CF" w:rsidRDefault="002C0FD9" w:rsidP="00CA25CF">
            <w:pPr>
              <w:rPr>
                <w:rFonts w:cs="Arial"/>
                <w:color w:val="FF0000"/>
                <w:sz w:val="21"/>
                <w:szCs w:val="21"/>
              </w:rPr>
            </w:pPr>
          </w:p>
        </w:tc>
        <w:tc>
          <w:tcPr>
            <w:tcW w:w="217" w:type="dxa"/>
          </w:tcPr>
          <w:p w14:paraId="54E60051" w14:textId="77777777" w:rsidR="002C0FD9" w:rsidRPr="00CA25CF" w:rsidRDefault="002C0FD9" w:rsidP="00CA25CF">
            <w:pPr>
              <w:rPr>
                <w:rFonts w:cs="Arial"/>
                <w:color w:val="FF0000"/>
                <w:sz w:val="21"/>
                <w:szCs w:val="21"/>
              </w:rPr>
            </w:pPr>
          </w:p>
        </w:tc>
        <w:tc>
          <w:tcPr>
            <w:tcW w:w="217" w:type="dxa"/>
          </w:tcPr>
          <w:p w14:paraId="16A6F51A" w14:textId="77777777" w:rsidR="002C0FD9" w:rsidRPr="00CA25CF" w:rsidRDefault="002C0FD9" w:rsidP="00CA25CF">
            <w:pPr>
              <w:rPr>
                <w:rFonts w:cs="Arial"/>
                <w:color w:val="FF0000"/>
                <w:sz w:val="21"/>
                <w:szCs w:val="21"/>
              </w:rPr>
            </w:pPr>
          </w:p>
        </w:tc>
        <w:tc>
          <w:tcPr>
            <w:tcW w:w="217" w:type="dxa"/>
          </w:tcPr>
          <w:p w14:paraId="1E159979" w14:textId="77777777" w:rsidR="002C0FD9" w:rsidRPr="00CA25CF" w:rsidRDefault="002C0FD9" w:rsidP="00CA25CF">
            <w:pPr>
              <w:rPr>
                <w:rFonts w:cs="Arial"/>
                <w:color w:val="FF0000"/>
                <w:sz w:val="21"/>
                <w:szCs w:val="21"/>
              </w:rPr>
            </w:pPr>
          </w:p>
        </w:tc>
        <w:tc>
          <w:tcPr>
            <w:tcW w:w="217" w:type="dxa"/>
          </w:tcPr>
          <w:p w14:paraId="3DAD852F" w14:textId="77777777" w:rsidR="002C0FD9" w:rsidRPr="00CA25CF" w:rsidRDefault="002C0FD9" w:rsidP="00CA25CF">
            <w:pPr>
              <w:rPr>
                <w:rFonts w:cs="Arial"/>
                <w:color w:val="FF0000"/>
                <w:sz w:val="21"/>
                <w:szCs w:val="21"/>
              </w:rPr>
            </w:pPr>
          </w:p>
        </w:tc>
        <w:tc>
          <w:tcPr>
            <w:tcW w:w="217" w:type="dxa"/>
          </w:tcPr>
          <w:p w14:paraId="44DB27D4" w14:textId="77777777" w:rsidR="002C0FD9" w:rsidRPr="00CA25CF" w:rsidRDefault="002C0FD9" w:rsidP="00CA25CF">
            <w:pPr>
              <w:rPr>
                <w:rFonts w:cs="Arial"/>
                <w:color w:val="FF0000"/>
                <w:sz w:val="21"/>
                <w:szCs w:val="21"/>
              </w:rPr>
            </w:pPr>
          </w:p>
        </w:tc>
        <w:tc>
          <w:tcPr>
            <w:tcW w:w="217" w:type="dxa"/>
          </w:tcPr>
          <w:p w14:paraId="2693BBFF" w14:textId="77777777" w:rsidR="002C0FD9" w:rsidRPr="00CA25CF" w:rsidRDefault="002C0FD9" w:rsidP="00CA25CF">
            <w:pPr>
              <w:rPr>
                <w:rFonts w:cs="Arial"/>
                <w:color w:val="FF0000"/>
                <w:sz w:val="21"/>
                <w:szCs w:val="21"/>
              </w:rPr>
            </w:pPr>
          </w:p>
        </w:tc>
        <w:tc>
          <w:tcPr>
            <w:tcW w:w="217" w:type="dxa"/>
          </w:tcPr>
          <w:p w14:paraId="0C9FE029" w14:textId="77777777" w:rsidR="002C0FD9" w:rsidRPr="00CA25CF" w:rsidRDefault="002C0FD9" w:rsidP="00CA25CF">
            <w:pPr>
              <w:rPr>
                <w:rFonts w:cs="Arial"/>
                <w:color w:val="FF0000"/>
                <w:sz w:val="21"/>
                <w:szCs w:val="21"/>
              </w:rPr>
            </w:pPr>
          </w:p>
        </w:tc>
        <w:tc>
          <w:tcPr>
            <w:tcW w:w="217" w:type="dxa"/>
          </w:tcPr>
          <w:p w14:paraId="6C67330C" w14:textId="77777777" w:rsidR="002C0FD9" w:rsidRPr="00CA25CF" w:rsidRDefault="002C0FD9" w:rsidP="00CA25CF">
            <w:pPr>
              <w:rPr>
                <w:rFonts w:cs="Arial"/>
                <w:color w:val="FF0000"/>
                <w:sz w:val="21"/>
                <w:szCs w:val="21"/>
              </w:rPr>
            </w:pPr>
          </w:p>
        </w:tc>
        <w:tc>
          <w:tcPr>
            <w:tcW w:w="217" w:type="dxa"/>
          </w:tcPr>
          <w:p w14:paraId="4E1E4F5D" w14:textId="77777777" w:rsidR="002C0FD9" w:rsidRPr="00CA25CF" w:rsidRDefault="002C0FD9" w:rsidP="00CA25CF">
            <w:pPr>
              <w:rPr>
                <w:rFonts w:cs="Arial"/>
                <w:color w:val="FF0000"/>
                <w:sz w:val="21"/>
                <w:szCs w:val="21"/>
              </w:rPr>
            </w:pPr>
          </w:p>
        </w:tc>
        <w:tc>
          <w:tcPr>
            <w:tcW w:w="217" w:type="dxa"/>
          </w:tcPr>
          <w:p w14:paraId="7BD7944C" w14:textId="77777777" w:rsidR="002C0FD9" w:rsidRPr="00CA25CF" w:rsidRDefault="002C0FD9" w:rsidP="00CA25CF">
            <w:pPr>
              <w:rPr>
                <w:rFonts w:cs="Arial"/>
                <w:color w:val="FF0000"/>
                <w:sz w:val="21"/>
                <w:szCs w:val="21"/>
              </w:rPr>
            </w:pPr>
          </w:p>
        </w:tc>
        <w:tc>
          <w:tcPr>
            <w:tcW w:w="217" w:type="dxa"/>
          </w:tcPr>
          <w:p w14:paraId="18612EEF" w14:textId="77777777" w:rsidR="002C0FD9" w:rsidRPr="00CA25CF" w:rsidRDefault="002C0FD9" w:rsidP="00CA25CF">
            <w:pPr>
              <w:rPr>
                <w:rFonts w:cs="Arial"/>
                <w:color w:val="FF0000"/>
                <w:sz w:val="21"/>
                <w:szCs w:val="21"/>
              </w:rPr>
            </w:pPr>
          </w:p>
        </w:tc>
      </w:tr>
      <w:tr w:rsidR="002C0FD9" w:rsidRPr="00A16219" w14:paraId="7415850C" w14:textId="77777777" w:rsidTr="002C0FD9">
        <w:trPr>
          <w:trHeight w:val="635"/>
        </w:trPr>
        <w:tc>
          <w:tcPr>
            <w:tcW w:w="515" w:type="dxa"/>
          </w:tcPr>
          <w:p w14:paraId="64D2AACC" w14:textId="77777777" w:rsidR="002C0FD9" w:rsidRPr="00CA25CF" w:rsidRDefault="002C0FD9" w:rsidP="00CA25CF">
            <w:pPr>
              <w:rPr>
                <w:rFonts w:cs="Arial"/>
                <w:color w:val="FF0000"/>
                <w:sz w:val="21"/>
                <w:szCs w:val="21"/>
              </w:rPr>
            </w:pPr>
          </w:p>
        </w:tc>
        <w:tc>
          <w:tcPr>
            <w:tcW w:w="217" w:type="dxa"/>
          </w:tcPr>
          <w:p w14:paraId="00EF45EE" w14:textId="77777777" w:rsidR="002C0FD9" w:rsidRPr="00CA25CF" w:rsidRDefault="002C0FD9" w:rsidP="00CA25CF">
            <w:pPr>
              <w:rPr>
                <w:rFonts w:cs="Arial"/>
                <w:color w:val="FF0000"/>
                <w:sz w:val="21"/>
                <w:szCs w:val="21"/>
              </w:rPr>
            </w:pPr>
          </w:p>
        </w:tc>
        <w:tc>
          <w:tcPr>
            <w:tcW w:w="217" w:type="dxa"/>
          </w:tcPr>
          <w:p w14:paraId="765A6B90" w14:textId="77777777" w:rsidR="002C0FD9" w:rsidRPr="00CA25CF" w:rsidRDefault="002C0FD9" w:rsidP="00CA25CF">
            <w:pPr>
              <w:rPr>
                <w:rFonts w:cs="Arial"/>
                <w:color w:val="FF0000"/>
                <w:sz w:val="21"/>
                <w:szCs w:val="21"/>
              </w:rPr>
            </w:pPr>
          </w:p>
        </w:tc>
        <w:tc>
          <w:tcPr>
            <w:tcW w:w="217" w:type="dxa"/>
          </w:tcPr>
          <w:p w14:paraId="05DD64AF" w14:textId="77777777" w:rsidR="002C0FD9" w:rsidRPr="00CA25CF" w:rsidRDefault="002C0FD9" w:rsidP="00CA25CF">
            <w:pPr>
              <w:rPr>
                <w:rFonts w:cs="Arial"/>
                <w:color w:val="FF0000"/>
                <w:sz w:val="21"/>
                <w:szCs w:val="21"/>
              </w:rPr>
            </w:pPr>
          </w:p>
        </w:tc>
        <w:tc>
          <w:tcPr>
            <w:tcW w:w="217" w:type="dxa"/>
          </w:tcPr>
          <w:p w14:paraId="196C45B3" w14:textId="77777777" w:rsidR="002C0FD9" w:rsidRPr="00CA25CF" w:rsidRDefault="002C0FD9" w:rsidP="00CA25CF">
            <w:pPr>
              <w:rPr>
                <w:rFonts w:cs="Arial"/>
                <w:color w:val="FF0000"/>
                <w:sz w:val="21"/>
                <w:szCs w:val="21"/>
              </w:rPr>
            </w:pPr>
          </w:p>
        </w:tc>
        <w:tc>
          <w:tcPr>
            <w:tcW w:w="217" w:type="dxa"/>
          </w:tcPr>
          <w:p w14:paraId="69BA9960" w14:textId="77777777" w:rsidR="002C0FD9" w:rsidRPr="00CA25CF" w:rsidRDefault="002C0FD9" w:rsidP="00CA25CF">
            <w:pPr>
              <w:rPr>
                <w:rFonts w:cs="Arial"/>
                <w:color w:val="FF0000"/>
                <w:sz w:val="21"/>
                <w:szCs w:val="21"/>
              </w:rPr>
            </w:pPr>
          </w:p>
        </w:tc>
        <w:tc>
          <w:tcPr>
            <w:tcW w:w="217" w:type="dxa"/>
          </w:tcPr>
          <w:p w14:paraId="369ADE4E" w14:textId="77777777" w:rsidR="002C0FD9" w:rsidRPr="00CA25CF" w:rsidRDefault="002C0FD9" w:rsidP="00CA25CF">
            <w:pPr>
              <w:rPr>
                <w:rFonts w:cs="Arial"/>
                <w:color w:val="FF0000"/>
                <w:sz w:val="21"/>
                <w:szCs w:val="21"/>
              </w:rPr>
            </w:pPr>
          </w:p>
        </w:tc>
        <w:tc>
          <w:tcPr>
            <w:tcW w:w="217" w:type="dxa"/>
          </w:tcPr>
          <w:p w14:paraId="6E4F156C" w14:textId="77777777" w:rsidR="002C0FD9" w:rsidRPr="00CA25CF" w:rsidRDefault="002C0FD9" w:rsidP="00CA25CF">
            <w:pPr>
              <w:rPr>
                <w:rFonts w:cs="Arial"/>
                <w:color w:val="FF0000"/>
                <w:sz w:val="21"/>
                <w:szCs w:val="21"/>
              </w:rPr>
            </w:pPr>
          </w:p>
        </w:tc>
        <w:tc>
          <w:tcPr>
            <w:tcW w:w="217" w:type="dxa"/>
          </w:tcPr>
          <w:p w14:paraId="6AF5CE30" w14:textId="77777777" w:rsidR="002C0FD9" w:rsidRPr="00CA25CF" w:rsidRDefault="002C0FD9" w:rsidP="00CA25CF">
            <w:pPr>
              <w:rPr>
                <w:rFonts w:cs="Arial"/>
                <w:color w:val="FF0000"/>
                <w:sz w:val="21"/>
                <w:szCs w:val="21"/>
              </w:rPr>
            </w:pPr>
          </w:p>
        </w:tc>
        <w:tc>
          <w:tcPr>
            <w:tcW w:w="217" w:type="dxa"/>
          </w:tcPr>
          <w:p w14:paraId="72F3EE50" w14:textId="77777777" w:rsidR="002C0FD9" w:rsidRPr="00CA25CF" w:rsidRDefault="002C0FD9" w:rsidP="00CA25CF">
            <w:pPr>
              <w:rPr>
                <w:rFonts w:cs="Arial"/>
                <w:color w:val="FF0000"/>
                <w:sz w:val="21"/>
                <w:szCs w:val="21"/>
              </w:rPr>
            </w:pPr>
          </w:p>
        </w:tc>
        <w:tc>
          <w:tcPr>
            <w:tcW w:w="217" w:type="dxa"/>
          </w:tcPr>
          <w:p w14:paraId="130A5C0A" w14:textId="77777777" w:rsidR="002C0FD9" w:rsidRPr="00CA25CF" w:rsidRDefault="002C0FD9" w:rsidP="00CA25CF">
            <w:pPr>
              <w:rPr>
                <w:rFonts w:cs="Arial"/>
                <w:color w:val="FF0000"/>
                <w:sz w:val="21"/>
                <w:szCs w:val="21"/>
              </w:rPr>
            </w:pPr>
          </w:p>
        </w:tc>
        <w:tc>
          <w:tcPr>
            <w:tcW w:w="217" w:type="dxa"/>
          </w:tcPr>
          <w:p w14:paraId="0F79B18B" w14:textId="77777777" w:rsidR="002C0FD9" w:rsidRPr="00CA25CF" w:rsidRDefault="002C0FD9" w:rsidP="00CA25CF">
            <w:pPr>
              <w:rPr>
                <w:rFonts w:cs="Arial"/>
                <w:color w:val="FF0000"/>
                <w:sz w:val="21"/>
                <w:szCs w:val="21"/>
              </w:rPr>
            </w:pPr>
          </w:p>
        </w:tc>
        <w:tc>
          <w:tcPr>
            <w:tcW w:w="217" w:type="dxa"/>
          </w:tcPr>
          <w:p w14:paraId="4A9CE707" w14:textId="77777777" w:rsidR="002C0FD9" w:rsidRPr="00CA25CF" w:rsidRDefault="002C0FD9" w:rsidP="00CA25CF">
            <w:pPr>
              <w:rPr>
                <w:rFonts w:cs="Arial"/>
                <w:color w:val="FF0000"/>
                <w:sz w:val="21"/>
                <w:szCs w:val="21"/>
              </w:rPr>
            </w:pPr>
          </w:p>
        </w:tc>
        <w:tc>
          <w:tcPr>
            <w:tcW w:w="217" w:type="dxa"/>
          </w:tcPr>
          <w:p w14:paraId="0057E6F7" w14:textId="77777777" w:rsidR="002C0FD9" w:rsidRPr="00CA25CF" w:rsidRDefault="002C0FD9" w:rsidP="00CA25CF">
            <w:pPr>
              <w:rPr>
                <w:rFonts w:cs="Arial"/>
                <w:color w:val="FF0000"/>
                <w:sz w:val="21"/>
                <w:szCs w:val="21"/>
              </w:rPr>
            </w:pPr>
          </w:p>
        </w:tc>
        <w:tc>
          <w:tcPr>
            <w:tcW w:w="217" w:type="dxa"/>
          </w:tcPr>
          <w:p w14:paraId="47444907" w14:textId="77777777" w:rsidR="002C0FD9" w:rsidRPr="00CA25CF" w:rsidRDefault="002C0FD9" w:rsidP="00CA25CF">
            <w:pPr>
              <w:rPr>
                <w:rFonts w:cs="Arial"/>
                <w:color w:val="FF0000"/>
                <w:sz w:val="21"/>
                <w:szCs w:val="21"/>
              </w:rPr>
            </w:pPr>
          </w:p>
        </w:tc>
        <w:tc>
          <w:tcPr>
            <w:tcW w:w="217" w:type="dxa"/>
          </w:tcPr>
          <w:p w14:paraId="21B26D55" w14:textId="77777777" w:rsidR="002C0FD9" w:rsidRPr="00CA25CF" w:rsidRDefault="002C0FD9" w:rsidP="00CA25CF">
            <w:pPr>
              <w:rPr>
                <w:rFonts w:cs="Arial"/>
                <w:color w:val="FF0000"/>
                <w:sz w:val="21"/>
                <w:szCs w:val="21"/>
              </w:rPr>
            </w:pPr>
          </w:p>
        </w:tc>
        <w:tc>
          <w:tcPr>
            <w:tcW w:w="217" w:type="dxa"/>
          </w:tcPr>
          <w:p w14:paraId="55192B4C" w14:textId="77777777" w:rsidR="002C0FD9" w:rsidRPr="00CA25CF" w:rsidRDefault="002C0FD9" w:rsidP="00CA25CF">
            <w:pPr>
              <w:rPr>
                <w:rFonts w:cs="Arial"/>
                <w:color w:val="FF0000"/>
                <w:sz w:val="21"/>
                <w:szCs w:val="21"/>
              </w:rPr>
            </w:pPr>
          </w:p>
        </w:tc>
        <w:tc>
          <w:tcPr>
            <w:tcW w:w="217" w:type="dxa"/>
          </w:tcPr>
          <w:p w14:paraId="419EDF25" w14:textId="77777777" w:rsidR="002C0FD9" w:rsidRPr="00CA25CF" w:rsidRDefault="002C0FD9" w:rsidP="00CA25CF">
            <w:pPr>
              <w:rPr>
                <w:rFonts w:cs="Arial"/>
                <w:color w:val="FF0000"/>
                <w:sz w:val="21"/>
                <w:szCs w:val="21"/>
              </w:rPr>
            </w:pPr>
          </w:p>
        </w:tc>
        <w:tc>
          <w:tcPr>
            <w:tcW w:w="217" w:type="dxa"/>
          </w:tcPr>
          <w:p w14:paraId="06E374CC" w14:textId="77777777" w:rsidR="002C0FD9" w:rsidRPr="00CA25CF" w:rsidRDefault="002C0FD9" w:rsidP="00CA25CF">
            <w:pPr>
              <w:rPr>
                <w:rFonts w:cs="Arial"/>
                <w:color w:val="FF0000"/>
                <w:sz w:val="21"/>
                <w:szCs w:val="21"/>
              </w:rPr>
            </w:pPr>
          </w:p>
        </w:tc>
        <w:tc>
          <w:tcPr>
            <w:tcW w:w="217" w:type="dxa"/>
          </w:tcPr>
          <w:p w14:paraId="5F046E3B" w14:textId="77777777" w:rsidR="002C0FD9" w:rsidRPr="00CA25CF" w:rsidRDefault="002C0FD9" w:rsidP="00CA25CF">
            <w:pPr>
              <w:rPr>
                <w:rFonts w:cs="Arial"/>
                <w:color w:val="FF0000"/>
                <w:sz w:val="21"/>
                <w:szCs w:val="21"/>
              </w:rPr>
            </w:pPr>
          </w:p>
        </w:tc>
        <w:tc>
          <w:tcPr>
            <w:tcW w:w="217" w:type="dxa"/>
          </w:tcPr>
          <w:p w14:paraId="4805A925" w14:textId="77777777" w:rsidR="002C0FD9" w:rsidRPr="00CA25CF" w:rsidRDefault="002C0FD9" w:rsidP="00CA25CF">
            <w:pPr>
              <w:rPr>
                <w:rFonts w:cs="Arial"/>
                <w:color w:val="FF0000"/>
                <w:sz w:val="21"/>
                <w:szCs w:val="21"/>
              </w:rPr>
            </w:pPr>
          </w:p>
        </w:tc>
        <w:tc>
          <w:tcPr>
            <w:tcW w:w="217" w:type="dxa"/>
          </w:tcPr>
          <w:p w14:paraId="1C36D6DF" w14:textId="77777777" w:rsidR="002C0FD9" w:rsidRPr="00CA25CF" w:rsidRDefault="002C0FD9" w:rsidP="00CA25CF">
            <w:pPr>
              <w:rPr>
                <w:rFonts w:cs="Arial"/>
                <w:color w:val="FF0000"/>
                <w:sz w:val="21"/>
                <w:szCs w:val="21"/>
              </w:rPr>
            </w:pPr>
          </w:p>
        </w:tc>
        <w:tc>
          <w:tcPr>
            <w:tcW w:w="217" w:type="dxa"/>
          </w:tcPr>
          <w:p w14:paraId="7EDDE819" w14:textId="77777777" w:rsidR="002C0FD9" w:rsidRPr="00CA25CF" w:rsidRDefault="002C0FD9" w:rsidP="00CA25CF">
            <w:pPr>
              <w:rPr>
                <w:rFonts w:cs="Arial"/>
                <w:color w:val="FF0000"/>
                <w:sz w:val="21"/>
                <w:szCs w:val="21"/>
              </w:rPr>
            </w:pPr>
          </w:p>
        </w:tc>
        <w:tc>
          <w:tcPr>
            <w:tcW w:w="217" w:type="dxa"/>
          </w:tcPr>
          <w:p w14:paraId="221E050A" w14:textId="77777777" w:rsidR="002C0FD9" w:rsidRPr="00CA25CF" w:rsidRDefault="002C0FD9" w:rsidP="00CA25CF">
            <w:pPr>
              <w:rPr>
                <w:rFonts w:cs="Arial"/>
                <w:color w:val="FF0000"/>
                <w:sz w:val="21"/>
                <w:szCs w:val="21"/>
              </w:rPr>
            </w:pPr>
          </w:p>
        </w:tc>
        <w:tc>
          <w:tcPr>
            <w:tcW w:w="217" w:type="dxa"/>
          </w:tcPr>
          <w:p w14:paraId="74B41125" w14:textId="77777777" w:rsidR="002C0FD9" w:rsidRPr="00CA25CF" w:rsidRDefault="002C0FD9" w:rsidP="00CA25CF">
            <w:pPr>
              <w:rPr>
                <w:rFonts w:cs="Arial"/>
                <w:color w:val="FF0000"/>
                <w:sz w:val="21"/>
                <w:szCs w:val="21"/>
              </w:rPr>
            </w:pPr>
          </w:p>
        </w:tc>
        <w:tc>
          <w:tcPr>
            <w:tcW w:w="217" w:type="dxa"/>
          </w:tcPr>
          <w:p w14:paraId="3B02A157" w14:textId="77777777" w:rsidR="002C0FD9" w:rsidRPr="00CA25CF" w:rsidRDefault="002C0FD9" w:rsidP="00CA25CF">
            <w:pPr>
              <w:rPr>
                <w:rFonts w:cs="Arial"/>
                <w:color w:val="FF0000"/>
                <w:sz w:val="21"/>
                <w:szCs w:val="21"/>
              </w:rPr>
            </w:pPr>
          </w:p>
        </w:tc>
        <w:tc>
          <w:tcPr>
            <w:tcW w:w="217" w:type="dxa"/>
          </w:tcPr>
          <w:p w14:paraId="6EF46BD5" w14:textId="77777777" w:rsidR="002C0FD9" w:rsidRPr="00CA25CF" w:rsidRDefault="002C0FD9" w:rsidP="00CA25CF">
            <w:pPr>
              <w:rPr>
                <w:rFonts w:cs="Arial"/>
                <w:color w:val="FF0000"/>
                <w:sz w:val="21"/>
                <w:szCs w:val="21"/>
              </w:rPr>
            </w:pPr>
          </w:p>
        </w:tc>
        <w:tc>
          <w:tcPr>
            <w:tcW w:w="217" w:type="dxa"/>
          </w:tcPr>
          <w:p w14:paraId="31D9B36E" w14:textId="77777777" w:rsidR="002C0FD9" w:rsidRPr="00CA25CF" w:rsidRDefault="002C0FD9" w:rsidP="00CA25CF">
            <w:pPr>
              <w:rPr>
                <w:rFonts w:cs="Arial"/>
                <w:color w:val="FF0000"/>
                <w:sz w:val="21"/>
                <w:szCs w:val="21"/>
              </w:rPr>
            </w:pPr>
          </w:p>
        </w:tc>
        <w:tc>
          <w:tcPr>
            <w:tcW w:w="217" w:type="dxa"/>
          </w:tcPr>
          <w:p w14:paraId="07C54FC4" w14:textId="77777777" w:rsidR="002C0FD9" w:rsidRPr="00CA25CF" w:rsidRDefault="002C0FD9" w:rsidP="00CA25CF">
            <w:pPr>
              <w:rPr>
                <w:rFonts w:cs="Arial"/>
                <w:color w:val="FF0000"/>
                <w:sz w:val="21"/>
                <w:szCs w:val="21"/>
              </w:rPr>
            </w:pPr>
          </w:p>
        </w:tc>
        <w:tc>
          <w:tcPr>
            <w:tcW w:w="217" w:type="dxa"/>
          </w:tcPr>
          <w:p w14:paraId="3791CCA6" w14:textId="77777777" w:rsidR="002C0FD9" w:rsidRPr="00CA25CF" w:rsidRDefault="002C0FD9" w:rsidP="00CA25CF">
            <w:pPr>
              <w:rPr>
                <w:rFonts w:cs="Arial"/>
                <w:color w:val="FF0000"/>
                <w:sz w:val="21"/>
                <w:szCs w:val="21"/>
              </w:rPr>
            </w:pPr>
          </w:p>
        </w:tc>
        <w:tc>
          <w:tcPr>
            <w:tcW w:w="217" w:type="dxa"/>
          </w:tcPr>
          <w:p w14:paraId="6F64C9DA" w14:textId="77777777" w:rsidR="002C0FD9" w:rsidRPr="00CA25CF" w:rsidRDefault="002C0FD9" w:rsidP="00CA25CF">
            <w:pPr>
              <w:rPr>
                <w:rFonts w:cs="Arial"/>
                <w:color w:val="FF0000"/>
                <w:sz w:val="21"/>
                <w:szCs w:val="21"/>
              </w:rPr>
            </w:pPr>
          </w:p>
        </w:tc>
        <w:tc>
          <w:tcPr>
            <w:tcW w:w="217" w:type="dxa"/>
          </w:tcPr>
          <w:p w14:paraId="08A0B054" w14:textId="77777777" w:rsidR="002C0FD9" w:rsidRPr="00CA25CF" w:rsidRDefault="002C0FD9" w:rsidP="00CA25CF">
            <w:pPr>
              <w:rPr>
                <w:rFonts w:cs="Arial"/>
                <w:color w:val="FF0000"/>
                <w:sz w:val="21"/>
                <w:szCs w:val="21"/>
              </w:rPr>
            </w:pPr>
          </w:p>
        </w:tc>
        <w:tc>
          <w:tcPr>
            <w:tcW w:w="217" w:type="dxa"/>
          </w:tcPr>
          <w:p w14:paraId="17992ADC" w14:textId="77777777" w:rsidR="002C0FD9" w:rsidRPr="00CA25CF" w:rsidRDefault="002C0FD9" w:rsidP="00CA25CF">
            <w:pPr>
              <w:rPr>
                <w:rFonts w:cs="Arial"/>
                <w:color w:val="FF0000"/>
                <w:sz w:val="21"/>
                <w:szCs w:val="21"/>
              </w:rPr>
            </w:pPr>
          </w:p>
        </w:tc>
        <w:tc>
          <w:tcPr>
            <w:tcW w:w="217" w:type="dxa"/>
          </w:tcPr>
          <w:p w14:paraId="6A0DF111" w14:textId="77777777" w:rsidR="002C0FD9" w:rsidRPr="00CA25CF" w:rsidRDefault="002C0FD9" w:rsidP="00CA25CF">
            <w:pPr>
              <w:rPr>
                <w:rFonts w:cs="Arial"/>
                <w:color w:val="FF0000"/>
                <w:sz w:val="21"/>
                <w:szCs w:val="21"/>
              </w:rPr>
            </w:pPr>
          </w:p>
        </w:tc>
        <w:tc>
          <w:tcPr>
            <w:tcW w:w="217" w:type="dxa"/>
          </w:tcPr>
          <w:p w14:paraId="33E60D64" w14:textId="77777777" w:rsidR="002C0FD9" w:rsidRPr="00CA25CF" w:rsidRDefault="002C0FD9" w:rsidP="00CA25CF">
            <w:pPr>
              <w:rPr>
                <w:rFonts w:cs="Arial"/>
                <w:color w:val="FF0000"/>
                <w:sz w:val="21"/>
                <w:szCs w:val="21"/>
              </w:rPr>
            </w:pPr>
          </w:p>
        </w:tc>
        <w:tc>
          <w:tcPr>
            <w:tcW w:w="217" w:type="dxa"/>
          </w:tcPr>
          <w:p w14:paraId="1B9C849B" w14:textId="77777777" w:rsidR="002C0FD9" w:rsidRPr="00CA25CF" w:rsidRDefault="002C0FD9" w:rsidP="00CA25CF">
            <w:pPr>
              <w:rPr>
                <w:rFonts w:cs="Arial"/>
                <w:color w:val="FF0000"/>
                <w:sz w:val="21"/>
                <w:szCs w:val="21"/>
              </w:rPr>
            </w:pPr>
          </w:p>
        </w:tc>
        <w:tc>
          <w:tcPr>
            <w:tcW w:w="217" w:type="dxa"/>
          </w:tcPr>
          <w:p w14:paraId="5E97E887" w14:textId="77777777" w:rsidR="002C0FD9" w:rsidRPr="00CA25CF" w:rsidRDefault="002C0FD9" w:rsidP="00CA25CF">
            <w:pPr>
              <w:rPr>
                <w:rFonts w:cs="Arial"/>
                <w:color w:val="FF0000"/>
                <w:sz w:val="21"/>
                <w:szCs w:val="21"/>
              </w:rPr>
            </w:pPr>
          </w:p>
        </w:tc>
        <w:tc>
          <w:tcPr>
            <w:tcW w:w="217" w:type="dxa"/>
          </w:tcPr>
          <w:p w14:paraId="04C0620E" w14:textId="77777777" w:rsidR="002C0FD9" w:rsidRPr="00CA25CF" w:rsidRDefault="002C0FD9" w:rsidP="00CA25CF">
            <w:pPr>
              <w:rPr>
                <w:rFonts w:cs="Arial"/>
                <w:color w:val="FF0000"/>
                <w:sz w:val="21"/>
                <w:szCs w:val="21"/>
              </w:rPr>
            </w:pPr>
          </w:p>
        </w:tc>
        <w:tc>
          <w:tcPr>
            <w:tcW w:w="217" w:type="dxa"/>
          </w:tcPr>
          <w:p w14:paraId="637E72D9" w14:textId="77777777" w:rsidR="002C0FD9" w:rsidRPr="00CA25CF" w:rsidRDefault="002C0FD9" w:rsidP="00CA25CF">
            <w:pPr>
              <w:rPr>
                <w:rFonts w:cs="Arial"/>
                <w:color w:val="FF0000"/>
                <w:sz w:val="21"/>
                <w:szCs w:val="21"/>
              </w:rPr>
            </w:pPr>
          </w:p>
        </w:tc>
        <w:tc>
          <w:tcPr>
            <w:tcW w:w="217" w:type="dxa"/>
          </w:tcPr>
          <w:p w14:paraId="0508DEC7" w14:textId="77777777" w:rsidR="002C0FD9" w:rsidRPr="00CA25CF" w:rsidRDefault="002C0FD9" w:rsidP="00CA25CF">
            <w:pPr>
              <w:rPr>
                <w:rFonts w:cs="Arial"/>
                <w:color w:val="FF0000"/>
                <w:sz w:val="21"/>
                <w:szCs w:val="21"/>
              </w:rPr>
            </w:pPr>
          </w:p>
        </w:tc>
        <w:tc>
          <w:tcPr>
            <w:tcW w:w="217" w:type="dxa"/>
          </w:tcPr>
          <w:p w14:paraId="40573A01" w14:textId="77777777" w:rsidR="002C0FD9" w:rsidRPr="00CA25CF" w:rsidRDefault="002C0FD9" w:rsidP="00CA25CF">
            <w:pPr>
              <w:rPr>
                <w:rFonts w:cs="Arial"/>
                <w:color w:val="FF0000"/>
                <w:sz w:val="21"/>
                <w:szCs w:val="21"/>
              </w:rPr>
            </w:pPr>
          </w:p>
        </w:tc>
        <w:tc>
          <w:tcPr>
            <w:tcW w:w="217" w:type="dxa"/>
          </w:tcPr>
          <w:p w14:paraId="6D591DAA" w14:textId="77777777" w:rsidR="002C0FD9" w:rsidRPr="00CA25CF" w:rsidRDefault="002C0FD9" w:rsidP="00CA25CF">
            <w:pPr>
              <w:rPr>
                <w:rFonts w:cs="Arial"/>
                <w:color w:val="FF0000"/>
                <w:sz w:val="21"/>
                <w:szCs w:val="21"/>
              </w:rPr>
            </w:pPr>
          </w:p>
        </w:tc>
        <w:tc>
          <w:tcPr>
            <w:tcW w:w="217" w:type="dxa"/>
          </w:tcPr>
          <w:p w14:paraId="0ED3F2C7" w14:textId="77777777" w:rsidR="002C0FD9" w:rsidRPr="00CA25CF" w:rsidRDefault="002C0FD9" w:rsidP="00CA25CF">
            <w:pPr>
              <w:rPr>
                <w:rFonts w:cs="Arial"/>
                <w:color w:val="FF0000"/>
                <w:sz w:val="21"/>
                <w:szCs w:val="21"/>
              </w:rPr>
            </w:pPr>
          </w:p>
        </w:tc>
      </w:tr>
      <w:tr w:rsidR="002C0FD9" w:rsidRPr="00A16219" w14:paraId="19FE9766" w14:textId="77777777" w:rsidTr="002C0FD9">
        <w:trPr>
          <w:trHeight w:val="635"/>
        </w:trPr>
        <w:tc>
          <w:tcPr>
            <w:tcW w:w="515" w:type="dxa"/>
          </w:tcPr>
          <w:p w14:paraId="789E0582" w14:textId="77777777" w:rsidR="002C0FD9" w:rsidRPr="00CA25CF" w:rsidRDefault="002C0FD9" w:rsidP="00CA25CF">
            <w:pPr>
              <w:rPr>
                <w:rFonts w:cs="Arial"/>
                <w:color w:val="FF0000"/>
                <w:sz w:val="21"/>
                <w:szCs w:val="21"/>
              </w:rPr>
            </w:pPr>
          </w:p>
        </w:tc>
        <w:tc>
          <w:tcPr>
            <w:tcW w:w="217" w:type="dxa"/>
          </w:tcPr>
          <w:p w14:paraId="6146387F" w14:textId="77777777" w:rsidR="002C0FD9" w:rsidRPr="00CA25CF" w:rsidRDefault="002C0FD9" w:rsidP="00CA25CF">
            <w:pPr>
              <w:rPr>
                <w:rFonts w:cs="Arial"/>
                <w:color w:val="FF0000"/>
                <w:sz w:val="21"/>
                <w:szCs w:val="21"/>
              </w:rPr>
            </w:pPr>
          </w:p>
        </w:tc>
        <w:tc>
          <w:tcPr>
            <w:tcW w:w="217" w:type="dxa"/>
          </w:tcPr>
          <w:p w14:paraId="5DF24C1B" w14:textId="77777777" w:rsidR="002C0FD9" w:rsidRPr="00CA25CF" w:rsidRDefault="002C0FD9" w:rsidP="00CA25CF">
            <w:pPr>
              <w:rPr>
                <w:rFonts w:cs="Arial"/>
                <w:color w:val="FF0000"/>
                <w:sz w:val="21"/>
                <w:szCs w:val="21"/>
              </w:rPr>
            </w:pPr>
          </w:p>
        </w:tc>
        <w:tc>
          <w:tcPr>
            <w:tcW w:w="217" w:type="dxa"/>
          </w:tcPr>
          <w:p w14:paraId="335E9E32" w14:textId="77777777" w:rsidR="002C0FD9" w:rsidRPr="00CA25CF" w:rsidRDefault="002C0FD9" w:rsidP="00CA25CF">
            <w:pPr>
              <w:rPr>
                <w:rFonts w:cs="Arial"/>
                <w:color w:val="FF0000"/>
                <w:sz w:val="21"/>
                <w:szCs w:val="21"/>
              </w:rPr>
            </w:pPr>
          </w:p>
        </w:tc>
        <w:tc>
          <w:tcPr>
            <w:tcW w:w="217" w:type="dxa"/>
          </w:tcPr>
          <w:p w14:paraId="4FE7BDB4" w14:textId="77777777" w:rsidR="002C0FD9" w:rsidRPr="00CA25CF" w:rsidRDefault="002C0FD9" w:rsidP="00CA25CF">
            <w:pPr>
              <w:rPr>
                <w:rFonts w:cs="Arial"/>
                <w:color w:val="FF0000"/>
                <w:sz w:val="21"/>
                <w:szCs w:val="21"/>
              </w:rPr>
            </w:pPr>
          </w:p>
        </w:tc>
        <w:tc>
          <w:tcPr>
            <w:tcW w:w="217" w:type="dxa"/>
          </w:tcPr>
          <w:p w14:paraId="08657E8E" w14:textId="77777777" w:rsidR="002C0FD9" w:rsidRPr="00CA25CF" w:rsidRDefault="002C0FD9" w:rsidP="00CA25CF">
            <w:pPr>
              <w:rPr>
                <w:rFonts w:cs="Arial"/>
                <w:color w:val="FF0000"/>
                <w:sz w:val="21"/>
                <w:szCs w:val="21"/>
              </w:rPr>
            </w:pPr>
          </w:p>
        </w:tc>
        <w:tc>
          <w:tcPr>
            <w:tcW w:w="217" w:type="dxa"/>
          </w:tcPr>
          <w:p w14:paraId="38B4D119" w14:textId="77777777" w:rsidR="002C0FD9" w:rsidRPr="00CA25CF" w:rsidRDefault="002C0FD9" w:rsidP="00CA25CF">
            <w:pPr>
              <w:rPr>
                <w:rFonts w:cs="Arial"/>
                <w:color w:val="FF0000"/>
                <w:sz w:val="21"/>
                <w:szCs w:val="21"/>
              </w:rPr>
            </w:pPr>
          </w:p>
        </w:tc>
        <w:tc>
          <w:tcPr>
            <w:tcW w:w="217" w:type="dxa"/>
          </w:tcPr>
          <w:p w14:paraId="0BC678D0" w14:textId="77777777" w:rsidR="002C0FD9" w:rsidRPr="00CA25CF" w:rsidRDefault="002C0FD9" w:rsidP="00CA25CF">
            <w:pPr>
              <w:rPr>
                <w:rFonts w:cs="Arial"/>
                <w:color w:val="FF0000"/>
                <w:sz w:val="21"/>
                <w:szCs w:val="21"/>
              </w:rPr>
            </w:pPr>
          </w:p>
        </w:tc>
        <w:tc>
          <w:tcPr>
            <w:tcW w:w="217" w:type="dxa"/>
          </w:tcPr>
          <w:p w14:paraId="58157709" w14:textId="77777777" w:rsidR="002C0FD9" w:rsidRPr="00CA25CF" w:rsidRDefault="002C0FD9" w:rsidP="00CA25CF">
            <w:pPr>
              <w:rPr>
                <w:rFonts w:cs="Arial"/>
                <w:color w:val="FF0000"/>
                <w:sz w:val="21"/>
                <w:szCs w:val="21"/>
              </w:rPr>
            </w:pPr>
          </w:p>
        </w:tc>
        <w:tc>
          <w:tcPr>
            <w:tcW w:w="217" w:type="dxa"/>
          </w:tcPr>
          <w:p w14:paraId="4A848C4E" w14:textId="77777777" w:rsidR="002C0FD9" w:rsidRPr="00CA25CF" w:rsidRDefault="002C0FD9" w:rsidP="00CA25CF">
            <w:pPr>
              <w:rPr>
                <w:rFonts w:cs="Arial"/>
                <w:color w:val="FF0000"/>
                <w:sz w:val="21"/>
                <w:szCs w:val="21"/>
              </w:rPr>
            </w:pPr>
          </w:p>
        </w:tc>
        <w:tc>
          <w:tcPr>
            <w:tcW w:w="217" w:type="dxa"/>
          </w:tcPr>
          <w:p w14:paraId="5A0765B9" w14:textId="77777777" w:rsidR="002C0FD9" w:rsidRPr="00CA25CF" w:rsidRDefault="002C0FD9" w:rsidP="00CA25CF">
            <w:pPr>
              <w:rPr>
                <w:rFonts w:cs="Arial"/>
                <w:color w:val="FF0000"/>
                <w:sz w:val="21"/>
                <w:szCs w:val="21"/>
              </w:rPr>
            </w:pPr>
          </w:p>
        </w:tc>
        <w:tc>
          <w:tcPr>
            <w:tcW w:w="217" w:type="dxa"/>
          </w:tcPr>
          <w:p w14:paraId="68D65ECB" w14:textId="77777777" w:rsidR="002C0FD9" w:rsidRPr="00CA25CF" w:rsidRDefault="002C0FD9" w:rsidP="00CA25CF">
            <w:pPr>
              <w:rPr>
                <w:rFonts w:cs="Arial"/>
                <w:color w:val="FF0000"/>
                <w:sz w:val="21"/>
                <w:szCs w:val="21"/>
              </w:rPr>
            </w:pPr>
          </w:p>
        </w:tc>
        <w:tc>
          <w:tcPr>
            <w:tcW w:w="217" w:type="dxa"/>
          </w:tcPr>
          <w:p w14:paraId="02FF83DE" w14:textId="77777777" w:rsidR="002C0FD9" w:rsidRPr="00CA25CF" w:rsidRDefault="002C0FD9" w:rsidP="00CA25CF">
            <w:pPr>
              <w:rPr>
                <w:rFonts w:cs="Arial"/>
                <w:color w:val="FF0000"/>
                <w:sz w:val="21"/>
                <w:szCs w:val="21"/>
              </w:rPr>
            </w:pPr>
          </w:p>
        </w:tc>
        <w:tc>
          <w:tcPr>
            <w:tcW w:w="217" w:type="dxa"/>
          </w:tcPr>
          <w:p w14:paraId="1F728144" w14:textId="77777777" w:rsidR="002C0FD9" w:rsidRPr="00CA25CF" w:rsidRDefault="002C0FD9" w:rsidP="00CA25CF">
            <w:pPr>
              <w:rPr>
                <w:rFonts w:cs="Arial"/>
                <w:color w:val="FF0000"/>
                <w:sz w:val="21"/>
                <w:szCs w:val="21"/>
              </w:rPr>
            </w:pPr>
          </w:p>
        </w:tc>
        <w:tc>
          <w:tcPr>
            <w:tcW w:w="217" w:type="dxa"/>
          </w:tcPr>
          <w:p w14:paraId="06D5C83A" w14:textId="77777777" w:rsidR="002C0FD9" w:rsidRPr="00CA25CF" w:rsidRDefault="002C0FD9" w:rsidP="00CA25CF">
            <w:pPr>
              <w:rPr>
                <w:rFonts w:cs="Arial"/>
                <w:color w:val="FF0000"/>
                <w:sz w:val="21"/>
                <w:szCs w:val="21"/>
              </w:rPr>
            </w:pPr>
          </w:p>
        </w:tc>
        <w:tc>
          <w:tcPr>
            <w:tcW w:w="217" w:type="dxa"/>
          </w:tcPr>
          <w:p w14:paraId="526F1E3A" w14:textId="77777777" w:rsidR="002C0FD9" w:rsidRPr="00CA25CF" w:rsidRDefault="002C0FD9" w:rsidP="00CA25CF">
            <w:pPr>
              <w:rPr>
                <w:rFonts w:cs="Arial"/>
                <w:color w:val="FF0000"/>
                <w:sz w:val="21"/>
                <w:szCs w:val="21"/>
              </w:rPr>
            </w:pPr>
          </w:p>
        </w:tc>
        <w:tc>
          <w:tcPr>
            <w:tcW w:w="217" w:type="dxa"/>
          </w:tcPr>
          <w:p w14:paraId="0BE78A04" w14:textId="77777777" w:rsidR="002C0FD9" w:rsidRPr="00CA25CF" w:rsidRDefault="002C0FD9" w:rsidP="00CA25CF">
            <w:pPr>
              <w:rPr>
                <w:rFonts w:cs="Arial"/>
                <w:color w:val="FF0000"/>
                <w:sz w:val="21"/>
                <w:szCs w:val="21"/>
              </w:rPr>
            </w:pPr>
          </w:p>
        </w:tc>
        <w:tc>
          <w:tcPr>
            <w:tcW w:w="217" w:type="dxa"/>
          </w:tcPr>
          <w:p w14:paraId="4CA660FE" w14:textId="77777777" w:rsidR="002C0FD9" w:rsidRPr="00CA25CF" w:rsidRDefault="002C0FD9" w:rsidP="00CA25CF">
            <w:pPr>
              <w:rPr>
                <w:rFonts w:cs="Arial"/>
                <w:color w:val="FF0000"/>
                <w:sz w:val="21"/>
                <w:szCs w:val="21"/>
              </w:rPr>
            </w:pPr>
          </w:p>
        </w:tc>
        <w:tc>
          <w:tcPr>
            <w:tcW w:w="217" w:type="dxa"/>
          </w:tcPr>
          <w:p w14:paraId="25E3CA30" w14:textId="77777777" w:rsidR="002C0FD9" w:rsidRPr="00CA25CF" w:rsidRDefault="002C0FD9" w:rsidP="00CA25CF">
            <w:pPr>
              <w:rPr>
                <w:rFonts w:cs="Arial"/>
                <w:color w:val="FF0000"/>
                <w:sz w:val="21"/>
                <w:szCs w:val="21"/>
              </w:rPr>
            </w:pPr>
          </w:p>
        </w:tc>
        <w:tc>
          <w:tcPr>
            <w:tcW w:w="217" w:type="dxa"/>
          </w:tcPr>
          <w:p w14:paraId="2ED06C14" w14:textId="77777777" w:rsidR="002C0FD9" w:rsidRPr="00CA25CF" w:rsidRDefault="002C0FD9" w:rsidP="00CA25CF">
            <w:pPr>
              <w:rPr>
                <w:rFonts w:cs="Arial"/>
                <w:color w:val="FF0000"/>
                <w:sz w:val="21"/>
                <w:szCs w:val="21"/>
              </w:rPr>
            </w:pPr>
          </w:p>
        </w:tc>
        <w:tc>
          <w:tcPr>
            <w:tcW w:w="217" w:type="dxa"/>
          </w:tcPr>
          <w:p w14:paraId="0CCF108A" w14:textId="77777777" w:rsidR="002C0FD9" w:rsidRPr="00CA25CF" w:rsidRDefault="002C0FD9" w:rsidP="00CA25CF">
            <w:pPr>
              <w:rPr>
                <w:rFonts w:cs="Arial"/>
                <w:color w:val="FF0000"/>
                <w:sz w:val="21"/>
                <w:szCs w:val="21"/>
              </w:rPr>
            </w:pPr>
          </w:p>
        </w:tc>
        <w:tc>
          <w:tcPr>
            <w:tcW w:w="217" w:type="dxa"/>
          </w:tcPr>
          <w:p w14:paraId="7EBA265E" w14:textId="77777777" w:rsidR="002C0FD9" w:rsidRPr="00CA25CF" w:rsidRDefault="002C0FD9" w:rsidP="00CA25CF">
            <w:pPr>
              <w:rPr>
                <w:rFonts w:cs="Arial"/>
                <w:color w:val="FF0000"/>
                <w:sz w:val="21"/>
                <w:szCs w:val="21"/>
              </w:rPr>
            </w:pPr>
          </w:p>
        </w:tc>
        <w:tc>
          <w:tcPr>
            <w:tcW w:w="217" w:type="dxa"/>
          </w:tcPr>
          <w:p w14:paraId="465ED2BE" w14:textId="77777777" w:rsidR="002C0FD9" w:rsidRPr="00CA25CF" w:rsidRDefault="002C0FD9" w:rsidP="00CA25CF">
            <w:pPr>
              <w:rPr>
                <w:rFonts w:cs="Arial"/>
                <w:color w:val="FF0000"/>
                <w:sz w:val="21"/>
                <w:szCs w:val="21"/>
              </w:rPr>
            </w:pPr>
          </w:p>
        </w:tc>
        <w:tc>
          <w:tcPr>
            <w:tcW w:w="217" w:type="dxa"/>
          </w:tcPr>
          <w:p w14:paraId="3EC7A0C2" w14:textId="77777777" w:rsidR="002C0FD9" w:rsidRPr="00CA25CF" w:rsidRDefault="002C0FD9" w:rsidP="00CA25CF">
            <w:pPr>
              <w:rPr>
                <w:rFonts w:cs="Arial"/>
                <w:color w:val="FF0000"/>
                <w:sz w:val="21"/>
                <w:szCs w:val="21"/>
              </w:rPr>
            </w:pPr>
          </w:p>
        </w:tc>
        <w:tc>
          <w:tcPr>
            <w:tcW w:w="217" w:type="dxa"/>
          </w:tcPr>
          <w:p w14:paraId="0B6F153C" w14:textId="77777777" w:rsidR="002C0FD9" w:rsidRPr="00CA25CF" w:rsidRDefault="002C0FD9" w:rsidP="00CA25CF">
            <w:pPr>
              <w:rPr>
                <w:rFonts w:cs="Arial"/>
                <w:color w:val="FF0000"/>
                <w:sz w:val="21"/>
                <w:szCs w:val="21"/>
              </w:rPr>
            </w:pPr>
          </w:p>
        </w:tc>
        <w:tc>
          <w:tcPr>
            <w:tcW w:w="217" w:type="dxa"/>
          </w:tcPr>
          <w:p w14:paraId="3F8E61B5" w14:textId="77777777" w:rsidR="002C0FD9" w:rsidRPr="00CA25CF" w:rsidRDefault="002C0FD9" w:rsidP="00CA25CF">
            <w:pPr>
              <w:rPr>
                <w:rFonts w:cs="Arial"/>
                <w:color w:val="FF0000"/>
                <w:sz w:val="21"/>
                <w:szCs w:val="21"/>
              </w:rPr>
            </w:pPr>
          </w:p>
        </w:tc>
        <w:tc>
          <w:tcPr>
            <w:tcW w:w="217" w:type="dxa"/>
          </w:tcPr>
          <w:p w14:paraId="54473E76" w14:textId="77777777" w:rsidR="002C0FD9" w:rsidRPr="00CA25CF" w:rsidRDefault="002C0FD9" w:rsidP="00CA25CF">
            <w:pPr>
              <w:rPr>
                <w:rFonts w:cs="Arial"/>
                <w:color w:val="FF0000"/>
                <w:sz w:val="21"/>
                <w:szCs w:val="21"/>
              </w:rPr>
            </w:pPr>
          </w:p>
        </w:tc>
        <w:tc>
          <w:tcPr>
            <w:tcW w:w="217" w:type="dxa"/>
          </w:tcPr>
          <w:p w14:paraId="4C340950" w14:textId="77777777" w:rsidR="002C0FD9" w:rsidRPr="00CA25CF" w:rsidRDefault="002C0FD9" w:rsidP="00CA25CF">
            <w:pPr>
              <w:rPr>
                <w:rFonts w:cs="Arial"/>
                <w:color w:val="FF0000"/>
                <w:sz w:val="21"/>
                <w:szCs w:val="21"/>
              </w:rPr>
            </w:pPr>
          </w:p>
        </w:tc>
        <w:tc>
          <w:tcPr>
            <w:tcW w:w="217" w:type="dxa"/>
          </w:tcPr>
          <w:p w14:paraId="035610BE" w14:textId="77777777" w:rsidR="002C0FD9" w:rsidRPr="00CA25CF" w:rsidRDefault="002C0FD9" w:rsidP="00CA25CF">
            <w:pPr>
              <w:rPr>
                <w:rFonts w:cs="Arial"/>
                <w:color w:val="FF0000"/>
                <w:sz w:val="21"/>
                <w:szCs w:val="21"/>
              </w:rPr>
            </w:pPr>
          </w:p>
        </w:tc>
        <w:tc>
          <w:tcPr>
            <w:tcW w:w="217" w:type="dxa"/>
          </w:tcPr>
          <w:p w14:paraId="17CCF1DD" w14:textId="77777777" w:rsidR="002C0FD9" w:rsidRPr="00CA25CF" w:rsidRDefault="002C0FD9" w:rsidP="00CA25CF">
            <w:pPr>
              <w:rPr>
                <w:rFonts w:cs="Arial"/>
                <w:color w:val="FF0000"/>
                <w:sz w:val="21"/>
                <w:szCs w:val="21"/>
              </w:rPr>
            </w:pPr>
          </w:p>
        </w:tc>
        <w:tc>
          <w:tcPr>
            <w:tcW w:w="217" w:type="dxa"/>
          </w:tcPr>
          <w:p w14:paraId="2C675E8A" w14:textId="77777777" w:rsidR="002C0FD9" w:rsidRPr="00CA25CF" w:rsidRDefault="002C0FD9" w:rsidP="00CA25CF">
            <w:pPr>
              <w:rPr>
                <w:rFonts w:cs="Arial"/>
                <w:color w:val="FF0000"/>
                <w:sz w:val="21"/>
                <w:szCs w:val="21"/>
              </w:rPr>
            </w:pPr>
          </w:p>
        </w:tc>
        <w:tc>
          <w:tcPr>
            <w:tcW w:w="217" w:type="dxa"/>
          </w:tcPr>
          <w:p w14:paraId="14A290E7" w14:textId="77777777" w:rsidR="002C0FD9" w:rsidRPr="00CA25CF" w:rsidRDefault="002C0FD9" w:rsidP="00CA25CF">
            <w:pPr>
              <w:rPr>
                <w:rFonts w:cs="Arial"/>
                <w:color w:val="FF0000"/>
                <w:sz w:val="21"/>
                <w:szCs w:val="21"/>
              </w:rPr>
            </w:pPr>
          </w:p>
        </w:tc>
        <w:tc>
          <w:tcPr>
            <w:tcW w:w="217" w:type="dxa"/>
          </w:tcPr>
          <w:p w14:paraId="3B9DAD4F" w14:textId="77777777" w:rsidR="002C0FD9" w:rsidRPr="00CA25CF" w:rsidRDefault="002C0FD9" w:rsidP="00CA25CF">
            <w:pPr>
              <w:rPr>
                <w:rFonts w:cs="Arial"/>
                <w:color w:val="FF0000"/>
                <w:sz w:val="21"/>
                <w:szCs w:val="21"/>
              </w:rPr>
            </w:pPr>
          </w:p>
        </w:tc>
        <w:tc>
          <w:tcPr>
            <w:tcW w:w="217" w:type="dxa"/>
          </w:tcPr>
          <w:p w14:paraId="2B0E7CCD" w14:textId="77777777" w:rsidR="002C0FD9" w:rsidRPr="00CA25CF" w:rsidRDefault="002C0FD9" w:rsidP="00CA25CF">
            <w:pPr>
              <w:rPr>
                <w:rFonts w:cs="Arial"/>
                <w:color w:val="FF0000"/>
                <w:sz w:val="21"/>
                <w:szCs w:val="21"/>
              </w:rPr>
            </w:pPr>
          </w:p>
        </w:tc>
        <w:tc>
          <w:tcPr>
            <w:tcW w:w="217" w:type="dxa"/>
          </w:tcPr>
          <w:p w14:paraId="65D69ACA" w14:textId="77777777" w:rsidR="002C0FD9" w:rsidRPr="00CA25CF" w:rsidRDefault="002C0FD9" w:rsidP="00CA25CF">
            <w:pPr>
              <w:rPr>
                <w:rFonts w:cs="Arial"/>
                <w:color w:val="FF0000"/>
                <w:sz w:val="21"/>
                <w:szCs w:val="21"/>
              </w:rPr>
            </w:pPr>
          </w:p>
        </w:tc>
        <w:tc>
          <w:tcPr>
            <w:tcW w:w="217" w:type="dxa"/>
          </w:tcPr>
          <w:p w14:paraId="74FD1ACF" w14:textId="77777777" w:rsidR="002C0FD9" w:rsidRPr="00CA25CF" w:rsidRDefault="002C0FD9" w:rsidP="00CA25CF">
            <w:pPr>
              <w:rPr>
                <w:rFonts w:cs="Arial"/>
                <w:color w:val="FF0000"/>
                <w:sz w:val="21"/>
                <w:szCs w:val="21"/>
              </w:rPr>
            </w:pPr>
          </w:p>
        </w:tc>
        <w:tc>
          <w:tcPr>
            <w:tcW w:w="217" w:type="dxa"/>
          </w:tcPr>
          <w:p w14:paraId="2CFA78D4" w14:textId="77777777" w:rsidR="002C0FD9" w:rsidRPr="00CA25CF" w:rsidRDefault="002C0FD9" w:rsidP="00CA25CF">
            <w:pPr>
              <w:rPr>
                <w:rFonts w:cs="Arial"/>
                <w:color w:val="FF0000"/>
                <w:sz w:val="21"/>
                <w:szCs w:val="21"/>
              </w:rPr>
            </w:pPr>
          </w:p>
        </w:tc>
        <w:tc>
          <w:tcPr>
            <w:tcW w:w="217" w:type="dxa"/>
          </w:tcPr>
          <w:p w14:paraId="1FFA19A3" w14:textId="77777777" w:rsidR="002C0FD9" w:rsidRPr="00CA25CF" w:rsidRDefault="002C0FD9" w:rsidP="00CA25CF">
            <w:pPr>
              <w:rPr>
                <w:rFonts w:cs="Arial"/>
                <w:color w:val="FF0000"/>
                <w:sz w:val="21"/>
                <w:szCs w:val="21"/>
              </w:rPr>
            </w:pPr>
          </w:p>
        </w:tc>
        <w:tc>
          <w:tcPr>
            <w:tcW w:w="217" w:type="dxa"/>
          </w:tcPr>
          <w:p w14:paraId="58B633AB" w14:textId="77777777" w:rsidR="002C0FD9" w:rsidRPr="00CA25CF" w:rsidRDefault="002C0FD9" w:rsidP="00CA25CF">
            <w:pPr>
              <w:rPr>
                <w:rFonts w:cs="Arial"/>
                <w:color w:val="FF0000"/>
                <w:sz w:val="21"/>
                <w:szCs w:val="21"/>
              </w:rPr>
            </w:pPr>
          </w:p>
        </w:tc>
        <w:tc>
          <w:tcPr>
            <w:tcW w:w="217" w:type="dxa"/>
          </w:tcPr>
          <w:p w14:paraId="60E8FC76" w14:textId="77777777" w:rsidR="002C0FD9" w:rsidRPr="00CA25CF" w:rsidRDefault="002C0FD9" w:rsidP="00CA25CF">
            <w:pPr>
              <w:rPr>
                <w:rFonts w:cs="Arial"/>
                <w:color w:val="FF0000"/>
                <w:sz w:val="21"/>
                <w:szCs w:val="21"/>
              </w:rPr>
            </w:pPr>
          </w:p>
        </w:tc>
        <w:tc>
          <w:tcPr>
            <w:tcW w:w="217" w:type="dxa"/>
          </w:tcPr>
          <w:p w14:paraId="652A36CC" w14:textId="77777777" w:rsidR="002C0FD9" w:rsidRPr="00CA25CF" w:rsidRDefault="002C0FD9" w:rsidP="00CA25CF">
            <w:pPr>
              <w:rPr>
                <w:rFonts w:cs="Arial"/>
                <w:color w:val="FF0000"/>
                <w:sz w:val="21"/>
                <w:szCs w:val="21"/>
              </w:rPr>
            </w:pPr>
          </w:p>
        </w:tc>
        <w:tc>
          <w:tcPr>
            <w:tcW w:w="217" w:type="dxa"/>
          </w:tcPr>
          <w:p w14:paraId="1F851A96" w14:textId="77777777" w:rsidR="002C0FD9" w:rsidRPr="00CA25CF" w:rsidRDefault="002C0FD9" w:rsidP="00CA25CF">
            <w:pPr>
              <w:rPr>
                <w:rFonts w:cs="Arial"/>
                <w:color w:val="FF0000"/>
                <w:sz w:val="21"/>
                <w:szCs w:val="21"/>
              </w:rPr>
            </w:pPr>
          </w:p>
        </w:tc>
        <w:tc>
          <w:tcPr>
            <w:tcW w:w="217" w:type="dxa"/>
          </w:tcPr>
          <w:p w14:paraId="5059A43D" w14:textId="77777777" w:rsidR="002C0FD9" w:rsidRPr="00CA25CF" w:rsidRDefault="002C0FD9" w:rsidP="00CA25CF">
            <w:pPr>
              <w:rPr>
                <w:rFonts w:cs="Arial"/>
                <w:color w:val="FF0000"/>
                <w:sz w:val="21"/>
                <w:szCs w:val="21"/>
              </w:rPr>
            </w:pPr>
          </w:p>
        </w:tc>
      </w:tr>
      <w:tr w:rsidR="002C0FD9" w:rsidRPr="00A16219" w14:paraId="69AEF014" w14:textId="77777777" w:rsidTr="002C0FD9">
        <w:trPr>
          <w:trHeight w:val="635"/>
        </w:trPr>
        <w:tc>
          <w:tcPr>
            <w:tcW w:w="515" w:type="dxa"/>
          </w:tcPr>
          <w:p w14:paraId="5702D25C" w14:textId="77777777" w:rsidR="002C0FD9" w:rsidRPr="00CA25CF" w:rsidRDefault="002C0FD9" w:rsidP="00CA25CF">
            <w:pPr>
              <w:rPr>
                <w:rFonts w:cs="Arial"/>
                <w:color w:val="FF0000"/>
                <w:sz w:val="21"/>
                <w:szCs w:val="21"/>
              </w:rPr>
            </w:pPr>
          </w:p>
        </w:tc>
        <w:tc>
          <w:tcPr>
            <w:tcW w:w="217" w:type="dxa"/>
          </w:tcPr>
          <w:p w14:paraId="224CF701" w14:textId="77777777" w:rsidR="002C0FD9" w:rsidRPr="00CA25CF" w:rsidRDefault="002C0FD9" w:rsidP="00CA25CF">
            <w:pPr>
              <w:rPr>
                <w:rFonts w:cs="Arial"/>
                <w:color w:val="FF0000"/>
                <w:sz w:val="21"/>
                <w:szCs w:val="21"/>
              </w:rPr>
            </w:pPr>
          </w:p>
        </w:tc>
        <w:tc>
          <w:tcPr>
            <w:tcW w:w="217" w:type="dxa"/>
          </w:tcPr>
          <w:p w14:paraId="7DACA432" w14:textId="77777777" w:rsidR="002C0FD9" w:rsidRPr="00CA25CF" w:rsidRDefault="002C0FD9" w:rsidP="00CA25CF">
            <w:pPr>
              <w:rPr>
                <w:rFonts w:cs="Arial"/>
                <w:color w:val="FF0000"/>
                <w:sz w:val="21"/>
                <w:szCs w:val="21"/>
              </w:rPr>
            </w:pPr>
          </w:p>
        </w:tc>
        <w:tc>
          <w:tcPr>
            <w:tcW w:w="217" w:type="dxa"/>
          </w:tcPr>
          <w:p w14:paraId="63241344" w14:textId="77777777" w:rsidR="002C0FD9" w:rsidRPr="00CA25CF" w:rsidRDefault="002C0FD9" w:rsidP="00CA25CF">
            <w:pPr>
              <w:rPr>
                <w:rFonts w:cs="Arial"/>
                <w:color w:val="FF0000"/>
                <w:sz w:val="21"/>
                <w:szCs w:val="21"/>
              </w:rPr>
            </w:pPr>
          </w:p>
        </w:tc>
        <w:tc>
          <w:tcPr>
            <w:tcW w:w="217" w:type="dxa"/>
          </w:tcPr>
          <w:p w14:paraId="7A03F057" w14:textId="77777777" w:rsidR="002C0FD9" w:rsidRPr="00CA25CF" w:rsidRDefault="002C0FD9" w:rsidP="00CA25CF">
            <w:pPr>
              <w:rPr>
                <w:rFonts w:cs="Arial"/>
                <w:color w:val="FF0000"/>
                <w:sz w:val="21"/>
                <w:szCs w:val="21"/>
              </w:rPr>
            </w:pPr>
          </w:p>
        </w:tc>
        <w:tc>
          <w:tcPr>
            <w:tcW w:w="217" w:type="dxa"/>
          </w:tcPr>
          <w:p w14:paraId="0428353E" w14:textId="77777777" w:rsidR="002C0FD9" w:rsidRPr="00CA25CF" w:rsidRDefault="002C0FD9" w:rsidP="00CA25CF">
            <w:pPr>
              <w:rPr>
                <w:rFonts w:cs="Arial"/>
                <w:color w:val="FF0000"/>
                <w:sz w:val="21"/>
                <w:szCs w:val="21"/>
              </w:rPr>
            </w:pPr>
          </w:p>
        </w:tc>
        <w:tc>
          <w:tcPr>
            <w:tcW w:w="217" w:type="dxa"/>
          </w:tcPr>
          <w:p w14:paraId="158F33C3" w14:textId="77777777" w:rsidR="002C0FD9" w:rsidRPr="00CA25CF" w:rsidRDefault="002C0FD9" w:rsidP="00CA25CF">
            <w:pPr>
              <w:rPr>
                <w:rFonts w:cs="Arial"/>
                <w:color w:val="FF0000"/>
                <w:sz w:val="21"/>
                <w:szCs w:val="21"/>
              </w:rPr>
            </w:pPr>
          </w:p>
        </w:tc>
        <w:tc>
          <w:tcPr>
            <w:tcW w:w="217" w:type="dxa"/>
          </w:tcPr>
          <w:p w14:paraId="31C18812" w14:textId="77777777" w:rsidR="002C0FD9" w:rsidRPr="00CA25CF" w:rsidRDefault="002C0FD9" w:rsidP="00CA25CF">
            <w:pPr>
              <w:rPr>
                <w:rFonts w:cs="Arial"/>
                <w:color w:val="FF0000"/>
                <w:sz w:val="21"/>
                <w:szCs w:val="21"/>
              </w:rPr>
            </w:pPr>
          </w:p>
        </w:tc>
        <w:tc>
          <w:tcPr>
            <w:tcW w:w="217" w:type="dxa"/>
          </w:tcPr>
          <w:p w14:paraId="688DF846" w14:textId="77777777" w:rsidR="002C0FD9" w:rsidRPr="00CA25CF" w:rsidRDefault="002C0FD9" w:rsidP="00CA25CF">
            <w:pPr>
              <w:rPr>
                <w:rFonts w:cs="Arial"/>
                <w:color w:val="FF0000"/>
                <w:sz w:val="21"/>
                <w:szCs w:val="21"/>
              </w:rPr>
            </w:pPr>
          </w:p>
        </w:tc>
        <w:tc>
          <w:tcPr>
            <w:tcW w:w="217" w:type="dxa"/>
          </w:tcPr>
          <w:p w14:paraId="297A7830" w14:textId="77777777" w:rsidR="002C0FD9" w:rsidRPr="00CA25CF" w:rsidRDefault="002C0FD9" w:rsidP="00CA25CF">
            <w:pPr>
              <w:rPr>
                <w:rFonts w:cs="Arial"/>
                <w:color w:val="FF0000"/>
                <w:sz w:val="21"/>
                <w:szCs w:val="21"/>
              </w:rPr>
            </w:pPr>
          </w:p>
        </w:tc>
        <w:tc>
          <w:tcPr>
            <w:tcW w:w="217" w:type="dxa"/>
          </w:tcPr>
          <w:p w14:paraId="5A618C59" w14:textId="77777777" w:rsidR="002C0FD9" w:rsidRPr="00CA25CF" w:rsidRDefault="002C0FD9" w:rsidP="00CA25CF">
            <w:pPr>
              <w:rPr>
                <w:rFonts w:cs="Arial"/>
                <w:color w:val="FF0000"/>
                <w:sz w:val="21"/>
                <w:szCs w:val="21"/>
              </w:rPr>
            </w:pPr>
          </w:p>
        </w:tc>
        <w:tc>
          <w:tcPr>
            <w:tcW w:w="217" w:type="dxa"/>
          </w:tcPr>
          <w:p w14:paraId="6B521409" w14:textId="77777777" w:rsidR="002C0FD9" w:rsidRPr="00CA25CF" w:rsidRDefault="002C0FD9" w:rsidP="00CA25CF">
            <w:pPr>
              <w:rPr>
                <w:rFonts w:cs="Arial"/>
                <w:color w:val="FF0000"/>
                <w:sz w:val="21"/>
                <w:szCs w:val="21"/>
              </w:rPr>
            </w:pPr>
          </w:p>
        </w:tc>
        <w:tc>
          <w:tcPr>
            <w:tcW w:w="217" w:type="dxa"/>
          </w:tcPr>
          <w:p w14:paraId="46D79814" w14:textId="77777777" w:rsidR="002C0FD9" w:rsidRPr="00CA25CF" w:rsidRDefault="002C0FD9" w:rsidP="00CA25CF">
            <w:pPr>
              <w:rPr>
                <w:rFonts w:cs="Arial"/>
                <w:color w:val="FF0000"/>
                <w:sz w:val="21"/>
                <w:szCs w:val="21"/>
              </w:rPr>
            </w:pPr>
          </w:p>
        </w:tc>
        <w:tc>
          <w:tcPr>
            <w:tcW w:w="217" w:type="dxa"/>
          </w:tcPr>
          <w:p w14:paraId="57F20604" w14:textId="77777777" w:rsidR="002C0FD9" w:rsidRPr="00CA25CF" w:rsidRDefault="002C0FD9" w:rsidP="00CA25CF">
            <w:pPr>
              <w:rPr>
                <w:rFonts w:cs="Arial"/>
                <w:color w:val="FF0000"/>
                <w:sz w:val="21"/>
                <w:szCs w:val="21"/>
              </w:rPr>
            </w:pPr>
          </w:p>
        </w:tc>
        <w:tc>
          <w:tcPr>
            <w:tcW w:w="217" w:type="dxa"/>
          </w:tcPr>
          <w:p w14:paraId="7ADD9D9E" w14:textId="77777777" w:rsidR="002C0FD9" w:rsidRPr="00CA25CF" w:rsidRDefault="002C0FD9" w:rsidP="00CA25CF">
            <w:pPr>
              <w:rPr>
                <w:rFonts w:cs="Arial"/>
                <w:color w:val="FF0000"/>
                <w:sz w:val="21"/>
                <w:szCs w:val="21"/>
              </w:rPr>
            </w:pPr>
          </w:p>
        </w:tc>
        <w:tc>
          <w:tcPr>
            <w:tcW w:w="217" w:type="dxa"/>
          </w:tcPr>
          <w:p w14:paraId="22F4B242" w14:textId="77777777" w:rsidR="002C0FD9" w:rsidRPr="00CA25CF" w:rsidRDefault="002C0FD9" w:rsidP="00CA25CF">
            <w:pPr>
              <w:rPr>
                <w:rFonts w:cs="Arial"/>
                <w:color w:val="FF0000"/>
                <w:sz w:val="21"/>
                <w:szCs w:val="21"/>
              </w:rPr>
            </w:pPr>
          </w:p>
        </w:tc>
        <w:tc>
          <w:tcPr>
            <w:tcW w:w="217" w:type="dxa"/>
          </w:tcPr>
          <w:p w14:paraId="20674B32" w14:textId="77777777" w:rsidR="002C0FD9" w:rsidRPr="00CA25CF" w:rsidRDefault="002C0FD9" w:rsidP="00CA25CF">
            <w:pPr>
              <w:rPr>
                <w:rFonts w:cs="Arial"/>
                <w:color w:val="FF0000"/>
                <w:sz w:val="21"/>
                <w:szCs w:val="21"/>
              </w:rPr>
            </w:pPr>
          </w:p>
        </w:tc>
        <w:tc>
          <w:tcPr>
            <w:tcW w:w="217" w:type="dxa"/>
          </w:tcPr>
          <w:p w14:paraId="35BC8000" w14:textId="77777777" w:rsidR="002C0FD9" w:rsidRPr="00CA25CF" w:rsidRDefault="002C0FD9" w:rsidP="00CA25CF">
            <w:pPr>
              <w:rPr>
                <w:rFonts w:cs="Arial"/>
                <w:color w:val="FF0000"/>
                <w:sz w:val="21"/>
                <w:szCs w:val="21"/>
              </w:rPr>
            </w:pPr>
          </w:p>
        </w:tc>
        <w:tc>
          <w:tcPr>
            <w:tcW w:w="217" w:type="dxa"/>
          </w:tcPr>
          <w:p w14:paraId="1B875ABE" w14:textId="77777777" w:rsidR="002C0FD9" w:rsidRPr="00CA25CF" w:rsidRDefault="002C0FD9" w:rsidP="00CA25CF">
            <w:pPr>
              <w:rPr>
                <w:rFonts w:cs="Arial"/>
                <w:color w:val="FF0000"/>
                <w:sz w:val="21"/>
                <w:szCs w:val="21"/>
              </w:rPr>
            </w:pPr>
          </w:p>
        </w:tc>
        <w:tc>
          <w:tcPr>
            <w:tcW w:w="217" w:type="dxa"/>
          </w:tcPr>
          <w:p w14:paraId="32B0DD3A" w14:textId="77777777" w:rsidR="002C0FD9" w:rsidRPr="00CA25CF" w:rsidRDefault="002C0FD9" w:rsidP="00CA25CF">
            <w:pPr>
              <w:rPr>
                <w:rFonts w:cs="Arial"/>
                <w:color w:val="FF0000"/>
                <w:sz w:val="21"/>
                <w:szCs w:val="21"/>
              </w:rPr>
            </w:pPr>
          </w:p>
        </w:tc>
        <w:tc>
          <w:tcPr>
            <w:tcW w:w="217" w:type="dxa"/>
          </w:tcPr>
          <w:p w14:paraId="4623C85F" w14:textId="77777777" w:rsidR="002C0FD9" w:rsidRPr="00CA25CF" w:rsidRDefault="002C0FD9" w:rsidP="00CA25CF">
            <w:pPr>
              <w:rPr>
                <w:rFonts w:cs="Arial"/>
                <w:color w:val="FF0000"/>
                <w:sz w:val="21"/>
                <w:szCs w:val="21"/>
              </w:rPr>
            </w:pPr>
          </w:p>
        </w:tc>
        <w:tc>
          <w:tcPr>
            <w:tcW w:w="217" w:type="dxa"/>
          </w:tcPr>
          <w:p w14:paraId="65CAB73B" w14:textId="77777777" w:rsidR="002C0FD9" w:rsidRPr="00CA25CF" w:rsidRDefault="002C0FD9" w:rsidP="00CA25CF">
            <w:pPr>
              <w:rPr>
                <w:rFonts w:cs="Arial"/>
                <w:color w:val="FF0000"/>
                <w:sz w:val="21"/>
                <w:szCs w:val="21"/>
              </w:rPr>
            </w:pPr>
          </w:p>
        </w:tc>
        <w:tc>
          <w:tcPr>
            <w:tcW w:w="217" w:type="dxa"/>
          </w:tcPr>
          <w:p w14:paraId="2CE440A8" w14:textId="77777777" w:rsidR="002C0FD9" w:rsidRPr="00CA25CF" w:rsidRDefault="002C0FD9" w:rsidP="00CA25CF">
            <w:pPr>
              <w:rPr>
                <w:rFonts w:cs="Arial"/>
                <w:color w:val="FF0000"/>
                <w:sz w:val="21"/>
                <w:szCs w:val="21"/>
              </w:rPr>
            </w:pPr>
          </w:p>
        </w:tc>
        <w:tc>
          <w:tcPr>
            <w:tcW w:w="217" w:type="dxa"/>
          </w:tcPr>
          <w:p w14:paraId="4B9127ED" w14:textId="77777777" w:rsidR="002C0FD9" w:rsidRPr="00CA25CF" w:rsidRDefault="002C0FD9" w:rsidP="00CA25CF">
            <w:pPr>
              <w:rPr>
                <w:rFonts w:cs="Arial"/>
                <w:color w:val="FF0000"/>
                <w:sz w:val="21"/>
                <w:szCs w:val="21"/>
              </w:rPr>
            </w:pPr>
          </w:p>
        </w:tc>
        <w:tc>
          <w:tcPr>
            <w:tcW w:w="217" w:type="dxa"/>
          </w:tcPr>
          <w:p w14:paraId="1AB58019" w14:textId="77777777" w:rsidR="002C0FD9" w:rsidRPr="00CA25CF" w:rsidRDefault="002C0FD9" w:rsidP="00CA25CF">
            <w:pPr>
              <w:rPr>
                <w:rFonts w:cs="Arial"/>
                <w:color w:val="FF0000"/>
                <w:sz w:val="21"/>
                <w:szCs w:val="21"/>
              </w:rPr>
            </w:pPr>
          </w:p>
        </w:tc>
        <w:tc>
          <w:tcPr>
            <w:tcW w:w="217" w:type="dxa"/>
          </w:tcPr>
          <w:p w14:paraId="4000001F" w14:textId="77777777" w:rsidR="002C0FD9" w:rsidRPr="00CA25CF" w:rsidRDefault="002C0FD9" w:rsidP="00CA25CF">
            <w:pPr>
              <w:rPr>
                <w:rFonts w:cs="Arial"/>
                <w:color w:val="FF0000"/>
                <w:sz w:val="21"/>
                <w:szCs w:val="21"/>
              </w:rPr>
            </w:pPr>
          </w:p>
        </w:tc>
        <w:tc>
          <w:tcPr>
            <w:tcW w:w="217" w:type="dxa"/>
          </w:tcPr>
          <w:p w14:paraId="5B117236" w14:textId="77777777" w:rsidR="002C0FD9" w:rsidRPr="00CA25CF" w:rsidRDefault="002C0FD9" w:rsidP="00CA25CF">
            <w:pPr>
              <w:rPr>
                <w:rFonts w:cs="Arial"/>
                <w:color w:val="FF0000"/>
                <w:sz w:val="21"/>
                <w:szCs w:val="21"/>
              </w:rPr>
            </w:pPr>
          </w:p>
        </w:tc>
        <w:tc>
          <w:tcPr>
            <w:tcW w:w="217" w:type="dxa"/>
          </w:tcPr>
          <w:p w14:paraId="4757705C" w14:textId="77777777" w:rsidR="002C0FD9" w:rsidRPr="00CA25CF" w:rsidRDefault="002C0FD9" w:rsidP="00CA25CF">
            <w:pPr>
              <w:rPr>
                <w:rFonts w:cs="Arial"/>
                <w:color w:val="FF0000"/>
                <w:sz w:val="21"/>
                <w:szCs w:val="21"/>
              </w:rPr>
            </w:pPr>
          </w:p>
        </w:tc>
        <w:tc>
          <w:tcPr>
            <w:tcW w:w="217" w:type="dxa"/>
          </w:tcPr>
          <w:p w14:paraId="007E6519" w14:textId="77777777" w:rsidR="002C0FD9" w:rsidRPr="00CA25CF" w:rsidRDefault="002C0FD9" w:rsidP="00CA25CF">
            <w:pPr>
              <w:rPr>
                <w:rFonts w:cs="Arial"/>
                <w:color w:val="FF0000"/>
                <w:sz w:val="21"/>
                <w:szCs w:val="21"/>
              </w:rPr>
            </w:pPr>
          </w:p>
        </w:tc>
        <w:tc>
          <w:tcPr>
            <w:tcW w:w="217" w:type="dxa"/>
          </w:tcPr>
          <w:p w14:paraId="0BF9243C" w14:textId="77777777" w:rsidR="002C0FD9" w:rsidRPr="00CA25CF" w:rsidRDefault="002C0FD9" w:rsidP="00CA25CF">
            <w:pPr>
              <w:rPr>
                <w:rFonts w:cs="Arial"/>
                <w:color w:val="FF0000"/>
                <w:sz w:val="21"/>
                <w:szCs w:val="21"/>
              </w:rPr>
            </w:pPr>
          </w:p>
        </w:tc>
        <w:tc>
          <w:tcPr>
            <w:tcW w:w="217" w:type="dxa"/>
          </w:tcPr>
          <w:p w14:paraId="6FEFD575" w14:textId="77777777" w:rsidR="002C0FD9" w:rsidRPr="00CA25CF" w:rsidRDefault="002C0FD9" w:rsidP="00CA25CF">
            <w:pPr>
              <w:rPr>
                <w:rFonts w:cs="Arial"/>
                <w:color w:val="FF0000"/>
                <w:sz w:val="21"/>
                <w:szCs w:val="21"/>
              </w:rPr>
            </w:pPr>
          </w:p>
        </w:tc>
        <w:tc>
          <w:tcPr>
            <w:tcW w:w="217" w:type="dxa"/>
          </w:tcPr>
          <w:p w14:paraId="5EDCCFAB" w14:textId="77777777" w:rsidR="002C0FD9" w:rsidRPr="00CA25CF" w:rsidRDefault="002C0FD9" w:rsidP="00CA25CF">
            <w:pPr>
              <w:rPr>
                <w:rFonts w:cs="Arial"/>
                <w:color w:val="FF0000"/>
                <w:sz w:val="21"/>
                <w:szCs w:val="21"/>
              </w:rPr>
            </w:pPr>
          </w:p>
        </w:tc>
        <w:tc>
          <w:tcPr>
            <w:tcW w:w="217" w:type="dxa"/>
          </w:tcPr>
          <w:p w14:paraId="5817B367" w14:textId="77777777" w:rsidR="002C0FD9" w:rsidRPr="00CA25CF" w:rsidRDefault="002C0FD9" w:rsidP="00CA25CF">
            <w:pPr>
              <w:rPr>
                <w:rFonts w:cs="Arial"/>
                <w:color w:val="FF0000"/>
                <w:sz w:val="21"/>
                <w:szCs w:val="21"/>
              </w:rPr>
            </w:pPr>
          </w:p>
        </w:tc>
        <w:tc>
          <w:tcPr>
            <w:tcW w:w="217" w:type="dxa"/>
          </w:tcPr>
          <w:p w14:paraId="204A5FEB" w14:textId="77777777" w:rsidR="002C0FD9" w:rsidRPr="00CA25CF" w:rsidRDefault="002C0FD9" w:rsidP="00CA25CF">
            <w:pPr>
              <w:rPr>
                <w:rFonts w:cs="Arial"/>
                <w:color w:val="FF0000"/>
                <w:sz w:val="21"/>
                <w:szCs w:val="21"/>
              </w:rPr>
            </w:pPr>
          </w:p>
        </w:tc>
        <w:tc>
          <w:tcPr>
            <w:tcW w:w="217" w:type="dxa"/>
          </w:tcPr>
          <w:p w14:paraId="604E8A9E" w14:textId="77777777" w:rsidR="002C0FD9" w:rsidRPr="00CA25CF" w:rsidRDefault="002C0FD9" w:rsidP="00CA25CF">
            <w:pPr>
              <w:rPr>
                <w:rFonts w:cs="Arial"/>
                <w:color w:val="FF0000"/>
                <w:sz w:val="21"/>
                <w:szCs w:val="21"/>
              </w:rPr>
            </w:pPr>
          </w:p>
        </w:tc>
        <w:tc>
          <w:tcPr>
            <w:tcW w:w="217" w:type="dxa"/>
          </w:tcPr>
          <w:p w14:paraId="4028BDD8" w14:textId="77777777" w:rsidR="002C0FD9" w:rsidRPr="00CA25CF" w:rsidRDefault="002C0FD9" w:rsidP="00CA25CF">
            <w:pPr>
              <w:rPr>
                <w:rFonts w:cs="Arial"/>
                <w:color w:val="FF0000"/>
                <w:sz w:val="21"/>
                <w:szCs w:val="21"/>
              </w:rPr>
            </w:pPr>
          </w:p>
        </w:tc>
        <w:tc>
          <w:tcPr>
            <w:tcW w:w="217" w:type="dxa"/>
          </w:tcPr>
          <w:p w14:paraId="7607D744" w14:textId="77777777" w:rsidR="002C0FD9" w:rsidRPr="00CA25CF" w:rsidRDefault="002C0FD9" w:rsidP="00CA25CF">
            <w:pPr>
              <w:rPr>
                <w:rFonts w:cs="Arial"/>
                <w:color w:val="FF0000"/>
                <w:sz w:val="21"/>
                <w:szCs w:val="21"/>
              </w:rPr>
            </w:pPr>
          </w:p>
        </w:tc>
        <w:tc>
          <w:tcPr>
            <w:tcW w:w="217" w:type="dxa"/>
          </w:tcPr>
          <w:p w14:paraId="25DA36B4" w14:textId="77777777" w:rsidR="002C0FD9" w:rsidRPr="00CA25CF" w:rsidRDefault="002C0FD9" w:rsidP="00CA25CF">
            <w:pPr>
              <w:rPr>
                <w:rFonts w:cs="Arial"/>
                <w:color w:val="FF0000"/>
                <w:sz w:val="21"/>
                <w:szCs w:val="21"/>
              </w:rPr>
            </w:pPr>
          </w:p>
        </w:tc>
        <w:tc>
          <w:tcPr>
            <w:tcW w:w="217" w:type="dxa"/>
          </w:tcPr>
          <w:p w14:paraId="3F71598D" w14:textId="77777777" w:rsidR="002C0FD9" w:rsidRPr="00CA25CF" w:rsidRDefault="002C0FD9" w:rsidP="00CA25CF">
            <w:pPr>
              <w:rPr>
                <w:rFonts w:cs="Arial"/>
                <w:color w:val="FF0000"/>
                <w:sz w:val="21"/>
                <w:szCs w:val="21"/>
              </w:rPr>
            </w:pPr>
          </w:p>
        </w:tc>
        <w:tc>
          <w:tcPr>
            <w:tcW w:w="217" w:type="dxa"/>
          </w:tcPr>
          <w:p w14:paraId="7A855EF8" w14:textId="77777777" w:rsidR="002C0FD9" w:rsidRPr="00CA25CF" w:rsidRDefault="002C0FD9" w:rsidP="00CA25CF">
            <w:pPr>
              <w:rPr>
                <w:rFonts w:cs="Arial"/>
                <w:color w:val="FF0000"/>
                <w:sz w:val="21"/>
                <w:szCs w:val="21"/>
              </w:rPr>
            </w:pPr>
          </w:p>
        </w:tc>
        <w:tc>
          <w:tcPr>
            <w:tcW w:w="217" w:type="dxa"/>
          </w:tcPr>
          <w:p w14:paraId="69994DBF" w14:textId="77777777" w:rsidR="002C0FD9" w:rsidRPr="00CA25CF" w:rsidRDefault="002C0FD9" w:rsidP="00CA25CF">
            <w:pPr>
              <w:rPr>
                <w:rFonts w:cs="Arial"/>
                <w:color w:val="FF0000"/>
                <w:sz w:val="21"/>
                <w:szCs w:val="21"/>
              </w:rPr>
            </w:pPr>
          </w:p>
        </w:tc>
        <w:tc>
          <w:tcPr>
            <w:tcW w:w="217" w:type="dxa"/>
          </w:tcPr>
          <w:p w14:paraId="394889C1" w14:textId="77777777" w:rsidR="002C0FD9" w:rsidRPr="00CA25CF" w:rsidRDefault="002C0FD9" w:rsidP="00CA25CF">
            <w:pPr>
              <w:rPr>
                <w:rFonts w:cs="Arial"/>
                <w:color w:val="FF0000"/>
                <w:sz w:val="21"/>
                <w:szCs w:val="21"/>
              </w:rPr>
            </w:pPr>
          </w:p>
        </w:tc>
        <w:tc>
          <w:tcPr>
            <w:tcW w:w="217" w:type="dxa"/>
          </w:tcPr>
          <w:p w14:paraId="2ED98423" w14:textId="77777777" w:rsidR="002C0FD9" w:rsidRPr="00CA25CF" w:rsidRDefault="002C0FD9" w:rsidP="00CA25CF">
            <w:pPr>
              <w:rPr>
                <w:rFonts w:cs="Arial"/>
                <w:color w:val="FF0000"/>
                <w:sz w:val="21"/>
                <w:szCs w:val="21"/>
              </w:rPr>
            </w:pPr>
          </w:p>
        </w:tc>
      </w:tr>
      <w:tr w:rsidR="002C0FD9" w:rsidRPr="00A16219" w14:paraId="3E0B0AEC" w14:textId="77777777" w:rsidTr="002C0FD9">
        <w:trPr>
          <w:trHeight w:val="635"/>
        </w:trPr>
        <w:tc>
          <w:tcPr>
            <w:tcW w:w="515" w:type="dxa"/>
          </w:tcPr>
          <w:p w14:paraId="773D2666" w14:textId="77777777" w:rsidR="002C0FD9" w:rsidRPr="00CA25CF" w:rsidRDefault="002C0FD9" w:rsidP="00CA25CF">
            <w:pPr>
              <w:rPr>
                <w:rFonts w:cs="Arial"/>
                <w:color w:val="FF0000"/>
                <w:sz w:val="21"/>
                <w:szCs w:val="21"/>
              </w:rPr>
            </w:pPr>
          </w:p>
        </w:tc>
        <w:tc>
          <w:tcPr>
            <w:tcW w:w="217" w:type="dxa"/>
          </w:tcPr>
          <w:p w14:paraId="7FF70FE9" w14:textId="77777777" w:rsidR="002C0FD9" w:rsidRPr="00CA25CF" w:rsidRDefault="002C0FD9" w:rsidP="00CA25CF">
            <w:pPr>
              <w:rPr>
                <w:rFonts w:cs="Arial"/>
                <w:color w:val="FF0000"/>
                <w:sz w:val="21"/>
                <w:szCs w:val="21"/>
              </w:rPr>
            </w:pPr>
          </w:p>
        </w:tc>
        <w:tc>
          <w:tcPr>
            <w:tcW w:w="217" w:type="dxa"/>
          </w:tcPr>
          <w:p w14:paraId="442A5D66" w14:textId="77777777" w:rsidR="002C0FD9" w:rsidRPr="00CA25CF" w:rsidRDefault="002C0FD9" w:rsidP="00CA25CF">
            <w:pPr>
              <w:rPr>
                <w:rFonts w:cs="Arial"/>
                <w:color w:val="FF0000"/>
                <w:sz w:val="21"/>
                <w:szCs w:val="21"/>
              </w:rPr>
            </w:pPr>
          </w:p>
        </w:tc>
        <w:tc>
          <w:tcPr>
            <w:tcW w:w="217" w:type="dxa"/>
          </w:tcPr>
          <w:p w14:paraId="284DE05B" w14:textId="77777777" w:rsidR="002C0FD9" w:rsidRPr="00CA25CF" w:rsidRDefault="002C0FD9" w:rsidP="00CA25CF">
            <w:pPr>
              <w:rPr>
                <w:rFonts w:cs="Arial"/>
                <w:color w:val="FF0000"/>
                <w:sz w:val="21"/>
                <w:szCs w:val="21"/>
              </w:rPr>
            </w:pPr>
          </w:p>
        </w:tc>
        <w:tc>
          <w:tcPr>
            <w:tcW w:w="217" w:type="dxa"/>
          </w:tcPr>
          <w:p w14:paraId="4EA4D5C7" w14:textId="77777777" w:rsidR="002C0FD9" w:rsidRPr="00CA25CF" w:rsidRDefault="002C0FD9" w:rsidP="00CA25CF">
            <w:pPr>
              <w:rPr>
                <w:rFonts w:cs="Arial"/>
                <w:color w:val="FF0000"/>
                <w:sz w:val="21"/>
                <w:szCs w:val="21"/>
              </w:rPr>
            </w:pPr>
          </w:p>
        </w:tc>
        <w:tc>
          <w:tcPr>
            <w:tcW w:w="217" w:type="dxa"/>
          </w:tcPr>
          <w:p w14:paraId="24AA2184" w14:textId="77777777" w:rsidR="002C0FD9" w:rsidRPr="00CA25CF" w:rsidRDefault="002C0FD9" w:rsidP="00CA25CF">
            <w:pPr>
              <w:rPr>
                <w:rFonts w:cs="Arial"/>
                <w:color w:val="FF0000"/>
                <w:sz w:val="21"/>
                <w:szCs w:val="21"/>
              </w:rPr>
            </w:pPr>
          </w:p>
        </w:tc>
        <w:tc>
          <w:tcPr>
            <w:tcW w:w="217" w:type="dxa"/>
          </w:tcPr>
          <w:p w14:paraId="2DD47FD9" w14:textId="77777777" w:rsidR="002C0FD9" w:rsidRPr="00CA25CF" w:rsidRDefault="002C0FD9" w:rsidP="00CA25CF">
            <w:pPr>
              <w:rPr>
                <w:rFonts w:cs="Arial"/>
                <w:color w:val="FF0000"/>
                <w:sz w:val="21"/>
                <w:szCs w:val="21"/>
              </w:rPr>
            </w:pPr>
          </w:p>
        </w:tc>
        <w:tc>
          <w:tcPr>
            <w:tcW w:w="217" w:type="dxa"/>
          </w:tcPr>
          <w:p w14:paraId="4C3978D4" w14:textId="77777777" w:rsidR="002C0FD9" w:rsidRPr="00CA25CF" w:rsidRDefault="002C0FD9" w:rsidP="00CA25CF">
            <w:pPr>
              <w:rPr>
                <w:rFonts w:cs="Arial"/>
                <w:color w:val="FF0000"/>
                <w:sz w:val="21"/>
                <w:szCs w:val="21"/>
              </w:rPr>
            </w:pPr>
          </w:p>
        </w:tc>
        <w:tc>
          <w:tcPr>
            <w:tcW w:w="217" w:type="dxa"/>
          </w:tcPr>
          <w:p w14:paraId="53DD446A" w14:textId="77777777" w:rsidR="002C0FD9" w:rsidRPr="00CA25CF" w:rsidRDefault="002C0FD9" w:rsidP="00CA25CF">
            <w:pPr>
              <w:rPr>
                <w:rFonts w:cs="Arial"/>
                <w:color w:val="FF0000"/>
                <w:sz w:val="21"/>
                <w:szCs w:val="21"/>
              </w:rPr>
            </w:pPr>
          </w:p>
        </w:tc>
        <w:tc>
          <w:tcPr>
            <w:tcW w:w="217" w:type="dxa"/>
          </w:tcPr>
          <w:p w14:paraId="6A9689D2" w14:textId="77777777" w:rsidR="002C0FD9" w:rsidRPr="00CA25CF" w:rsidRDefault="002C0FD9" w:rsidP="00CA25CF">
            <w:pPr>
              <w:rPr>
                <w:rFonts w:cs="Arial"/>
                <w:color w:val="FF0000"/>
                <w:sz w:val="21"/>
                <w:szCs w:val="21"/>
              </w:rPr>
            </w:pPr>
          </w:p>
        </w:tc>
        <w:tc>
          <w:tcPr>
            <w:tcW w:w="217" w:type="dxa"/>
          </w:tcPr>
          <w:p w14:paraId="2C322C09" w14:textId="77777777" w:rsidR="002C0FD9" w:rsidRPr="00CA25CF" w:rsidRDefault="002C0FD9" w:rsidP="00CA25CF">
            <w:pPr>
              <w:rPr>
                <w:rFonts w:cs="Arial"/>
                <w:color w:val="FF0000"/>
                <w:sz w:val="21"/>
                <w:szCs w:val="21"/>
              </w:rPr>
            </w:pPr>
          </w:p>
        </w:tc>
        <w:tc>
          <w:tcPr>
            <w:tcW w:w="217" w:type="dxa"/>
          </w:tcPr>
          <w:p w14:paraId="1BD01A95" w14:textId="77777777" w:rsidR="002C0FD9" w:rsidRPr="00CA25CF" w:rsidRDefault="002C0FD9" w:rsidP="00CA25CF">
            <w:pPr>
              <w:rPr>
                <w:rFonts w:cs="Arial"/>
                <w:color w:val="FF0000"/>
                <w:sz w:val="21"/>
                <w:szCs w:val="21"/>
              </w:rPr>
            </w:pPr>
          </w:p>
        </w:tc>
        <w:tc>
          <w:tcPr>
            <w:tcW w:w="217" w:type="dxa"/>
          </w:tcPr>
          <w:p w14:paraId="19987A48" w14:textId="77777777" w:rsidR="002C0FD9" w:rsidRPr="00CA25CF" w:rsidRDefault="002C0FD9" w:rsidP="00CA25CF">
            <w:pPr>
              <w:rPr>
                <w:rFonts w:cs="Arial"/>
                <w:color w:val="FF0000"/>
                <w:sz w:val="21"/>
                <w:szCs w:val="21"/>
              </w:rPr>
            </w:pPr>
          </w:p>
        </w:tc>
        <w:tc>
          <w:tcPr>
            <w:tcW w:w="217" w:type="dxa"/>
          </w:tcPr>
          <w:p w14:paraId="0997DFD2" w14:textId="77777777" w:rsidR="002C0FD9" w:rsidRPr="00CA25CF" w:rsidRDefault="002C0FD9" w:rsidP="00CA25CF">
            <w:pPr>
              <w:rPr>
                <w:rFonts w:cs="Arial"/>
                <w:color w:val="FF0000"/>
                <w:sz w:val="21"/>
                <w:szCs w:val="21"/>
              </w:rPr>
            </w:pPr>
          </w:p>
        </w:tc>
        <w:tc>
          <w:tcPr>
            <w:tcW w:w="217" w:type="dxa"/>
          </w:tcPr>
          <w:p w14:paraId="22722F97" w14:textId="77777777" w:rsidR="002C0FD9" w:rsidRPr="00CA25CF" w:rsidRDefault="002C0FD9" w:rsidP="00CA25CF">
            <w:pPr>
              <w:rPr>
                <w:rFonts w:cs="Arial"/>
                <w:color w:val="FF0000"/>
                <w:sz w:val="21"/>
                <w:szCs w:val="21"/>
              </w:rPr>
            </w:pPr>
          </w:p>
        </w:tc>
        <w:tc>
          <w:tcPr>
            <w:tcW w:w="217" w:type="dxa"/>
          </w:tcPr>
          <w:p w14:paraId="11988575" w14:textId="77777777" w:rsidR="002C0FD9" w:rsidRPr="00CA25CF" w:rsidRDefault="002C0FD9" w:rsidP="00CA25CF">
            <w:pPr>
              <w:rPr>
                <w:rFonts w:cs="Arial"/>
                <w:color w:val="FF0000"/>
                <w:sz w:val="21"/>
                <w:szCs w:val="21"/>
              </w:rPr>
            </w:pPr>
          </w:p>
        </w:tc>
        <w:tc>
          <w:tcPr>
            <w:tcW w:w="217" w:type="dxa"/>
          </w:tcPr>
          <w:p w14:paraId="23448590" w14:textId="77777777" w:rsidR="002C0FD9" w:rsidRPr="00CA25CF" w:rsidRDefault="002C0FD9" w:rsidP="00CA25CF">
            <w:pPr>
              <w:rPr>
                <w:rFonts w:cs="Arial"/>
                <w:color w:val="FF0000"/>
                <w:sz w:val="21"/>
                <w:szCs w:val="21"/>
              </w:rPr>
            </w:pPr>
          </w:p>
        </w:tc>
        <w:tc>
          <w:tcPr>
            <w:tcW w:w="217" w:type="dxa"/>
          </w:tcPr>
          <w:p w14:paraId="16C4B7A9" w14:textId="77777777" w:rsidR="002C0FD9" w:rsidRPr="00CA25CF" w:rsidRDefault="002C0FD9" w:rsidP="00CA25CF">
            <w:pPr>
              <w:rPr>
                <w:rFonts w:cs="Arial"/>
                <w:color w:val="FF0000"/>
                <w:sz w:val="21"/>
                <w:szCs w:val="21"/>
              </w:rPr>
            </w:pPr>
          </w:p>
        </w:tc>
        <w:tc>
          <w:tcPr>
            <w:tcW w:w="217" w:type="dxa"/>
          </w:tcPr>
          <w:p w14:paraId="13C699C7" w14:textId="77777777" w:rsidR="002C0FD9" w:rsidRPr="00CA25CF" w:rsidRDefault="002C0FD9" w:rsidP="00CA25CF">
            <w:pPr>
              <w:rPr>
                <w:rFonts w:cs="Arial"/>
                <w:color w:val="FF0000"/>
                <w:sz w:val="21"/>
                <w:szCs w:val="21"/>
              </w:rPr>
            </w:pPr>
          </w:p>
        </w:tc>
        <w:tc>
          <w:tcPr>
            <w:tcW w:w="217" w:type="dxa"/>
          </w:tcPr>
          <w:p w14:paraId="4506106E" w14:textId="77777777" w:rsidR="002C0FD9" w:rsidRPr="00CA25CF" w:rsidRDefault="002C0FD9" w:rsidP="00CA25CF">
            <w:pPr>
              <w:rPr>
                <w:rFonts w:cs="Arial"/>
                <w:color w:val="FF0000"/>
                <w:sz w:val="21"/>
                <w:szCs w:val="21"/>
              </w:rPr>
            </w:pPr>
          </w:p>
        </w:tc>
        <w:tc>
          <w:tcPr>
            <w:tcW w:w="217" w:type="dxa"/>
          </w:tcPr>
          <w:p w14:paraId="14B11B17" w14:textId="77777777" w:rsidR="002C0FD9" w:rsidRPr="00CA25CF" w:rsidRDefault="002C0FD9" w:rsidP="00CA25CF">
            <w:pPr>
              <w:rPr>
                <w:rFonts w:cs="Arial"/>
                <w:color w:val="FF0000"/>
                <w:sz w:val="21"/>
                <w:szCs w:val="21"/>
              </w:rPr>
            </w:pPr>
          </w:p>
        </w:tc>
        <w:tc>
          <w:tcPr>
            <w:tcW w:w="217" w:type="dxa"/>
          </w:tcPr>
          <w:p w14:paraId="6968EDA3" w14:textId="77777777" w:rsidR="002C0FD9" w:rsidRPr="00CA25CF" w:rsidRDefault="002C0FD9" w:rsidP="00CA25CF">
            <w:pPr>
              <w:rPr>
                <w:rFonts w:cs="Arial"/>
                <w:color w:val="FF0000"/>
                <w:sz w:val="21"/>
                <w:szCs w:val="21"/>
              </w:rPr>
            </w:pPr>
          </w:p>
        </w:tc>
        <w:tc>
          <w:tcPr>
            <w:tcW w:w="217" w:type="dxa"/>
          </w:tcPr>
          <w:p w14:paraId="79716D76" w14:textId="77777777" w:rsidR="002C0FD9" w:rsidRPr="00CA25CF" w:rsidRDefault="002C0FD9" w:rsidP="00CA25CF">
            <w:pPr>
              <w:rPr>
                <w:rFonts w:cs="Arial"/>
                <w:color w:val="FF0000"/>
                <w:sz w:val="21"/>
                <w:szCs w:val="21"/>
              </w:rPr>
            </w:pPr>
          </w:p>
        </w:tc>
        <w:tc>
          <w:tcPr>
            <w:tcW w:w="217" w:type="dxa"/>
          </w:tcPr>
          <w:p w14:paraId="0F81539D" w14:textId="77777777" w:rsidR="002C0FD9" w:rsidRPr="00CA25CF" w:rsidRDefault="002C0FD9" w:rsidP="00CA25CF">
            <w:pPr>
              <w:rPr>
                <w:rFonts w:cs="Arial"/>
                <w:color w:val="FF0000"/>
                <w:sz w:val="21"/>
                <w:szCs w:val="21"/>
              </w:rPr>
            </w:pPr>
          </w:p>
        </w:tc>
        <w:tc>
          <w:tcPr>
            <w:tcW w:w="217" w:type="dxa"/>
          </w:tcPr>
          <w:p w14:paraId="6F71585E" w14:textId="77777777" w:rsidR="002C0FD9" w:rsidRPr="00CA25CF" w:rsidRDefault="002C0FD9" w:rsidP="00CA25CF">
            <w:pPr>
              <w:rPr>
                <w:rFonts w:cs="Arial"/>
                <w:color w:val="FF0000"/>
                <w:sz w:val="21"/>
                <w:szCs w:val="21"/>
              </w:rPr>
            </w:pPr>
          </w:p>
        </w:tc>
        <w:tc>
          <w:tcPr>
            <w:tcW w:w="217" w:type="dxa"/>
          </w:tcPr>
          <w:p w14:paraId="6A58000A" w14:textId="77777777" w:rsidR="002C0FD9" w:rsidRPr="00CA25CF" w:rsidRDefault="002C0FD9" w:rsidP="00CA25CF">
            <w:pPr>
              <w:rPr>
                <w:rFonts w:cs="Arial"/>
                <w:color w:val="FF0000"/>
                <w:sz w:val="21"/>
                <w:szCs w:val="21"/>
              </w:rPr>
            </w:pPr>
          </w:p>
        </w:tc>
        <w:tc>
          <w:tcPr>
            <w:tcW w:w="217" w:type="dxa"/>
          </w:tcPr>
          <w:p w14:paraId="4D065D11" w14:textId="77777777" w:rsidR="002C0FD9" w:rsidRPr="00CA25CF" w:rsidRDefault="002C0FD9" w:rsidP="00CA25CF">
            <w:pPr>
              <w:rPr>
                <w:rFonts w:cs="Arial"/>
                <w:color w:val="FF0000"/>
                <w:sz w:val="21"/>
                <w:szCs w:val="21"/>
              </w:rPr>
            </w:pPr>
          </w:p>
        </w:tc>
        <w:tc>
          <w:tcPr>
            <w:tcW w:w="217" w:type="dxa"/>
          </w:tcPr>
          <w:p w14:paraId="082D426D" w14:textId="77777777" w:rsidR="002C0FD9" w:rsidRPr="00CA25CF" w:rsidRDefault="002C0FD9" w:rsidP="00CA25CF">
            <w:pPr>
              <w:rPr>
                <w:rFonts w:cs="Arial"/>
                <w:color w:val="FF0000"/>
                <w:sz w:val="21"/>
                <w:szCs w:val="21"/>
              </w:rPr>
            </w:pPr>
          </w:p>
        </w:tc>
        <w:tc>
          <w:tcPr>
            <w:tcW w:w="217" w:type="dxa"/>
          </w:tcPr>
          <w:p w14:paraId="4B59FCA1" w14:textId="77777777" w:rsidR="002C0FD9" w:rsidRPr="00CA25CF" w:rsidRDefault="002C0FD9" w:rsidP="00CA25CF">
            <w:pPr>
              <w:rPr>
                <w:rFonts w:cs="Arial"/>
                <w:color w:val="FF0000"/>
                <w:sz w:val="21"/>
                <w:szCs w:val="21"/>
              </w:rPr>
            </w:pPr>
          </w:p>
        </w:tc>
        <w:tc>
          <w:tcPr>
            <w:tcW w:w="217" w:type="dxa"/>
          </w:tcPr>
          <w:p w14:paraId="563D8CB2" w14:textId="77777777" w:rsidR="002C0FD9" w:rsidRPr="00CA25CF" w:rsidRDefault="002C0FD9" w:rsidP="00CA25CF">
            <w:pPr>
              <w:rPr>
                <w:rFonts w:cs="Arial"/>
                <w:color w:val="FF0000"/>
                <w:sz w:val="21"/>
                <w:szCs w:val="21"/>
              </w:rPr>
            </w:pPr>
          </w:p>
        </w:tc>
        <w:tc>
          <w:tcPr>
            <w:tcW w:w="217" w:type="dxa"/>
          </w:tcPr>
          <w:p w14:paraId="124B6B33" w14:textId="77777777" w:rsidR="002C0FD9" w:rsidRPr="00CA25CF" w:rsidRDefault="002C0FD9" w:rsidP="00CA25CF">
            <w:pPr>
              <w:rPr>
                <w:rFonts w:cs="Arial"/>
                <w:color w:val="FF0000"/>
                <w:sz w:val="21"/>
                <w:szCs w:val="21"/>
              </w:rPr>
            </w:pPr>
          </w:p>
        </w:tc>
        <w:tc>
          <w:tcPr>
            <w:tcW w:w="217" w:type="dxa"/>
          </w:tcPr>
          <w:p w14:paraId="725C3188" w14:textId="77777777" w:rsidR="002C0FD9" w:rsidRPr="00CA25CF" w:rsidRDefault="002C0FD9" w:rsidP="00CA25CF">
            <w:pPr>
              <w:rPr>
                <w:rFonts w:cs="Arial"/>
                <w:color w:val="FF0000"/>
                <w:sz w:val="21"/>
                <w:szCs w:val="21"/>
              </w:rPr>
            </w:pPr>
          </w:p>
        </w:tc>
        <w:tc>
          <w:tcPr>
            <w:tcW w:w="217" w:type="dxa"/>
          </w:tcPr>
          <w:p w14:paraId="55E51C7A" w14:textId="77777777" w:rsidR="002C0FD9" w:rsidRPr="00CA25CF" w:rsidRDefault="002C0FD9" w:rsidP="00CA25CF">
            <w:pPr>
              <w:rPr>
                <w:rFonts w:cs="Arial"/>
                <w:color w:val="FF0000"/>
                <w:sz w:val="21"/>
                <w:szCs w:val="21"/>
              </w:rPr>
            </w:pPr>
          </w:p>
        </w:tc>
        <w:tc>
          <w:tcPr>
            <w:tcW w:w="217" w:type="dxa"/>
          </w:tcPr>
          <w:p w14:paraId="518247B7" w14:textId="77777777" w:rsidR="002C0FD9" w:rsidRPr="00CA25CF" w:rsidRDefault="002C0FD9" w:rsidP="00CA25CF">
            <w:pPr>
              <w:rPr>
                <w:rFonts w:cs="Arial"/>
                <w:color w:val="FF0000"/>
                <w:sz w:val="21"/>
                <w:szCs w:val="21"/>
              </w:rPr>
            </w:pPr>
          </w:p>
        </w:tc>
        <w:tc>
          <w:tcPr>
            <w:tcW w:w="217" w:type="dxa"/>
          </w:tcPr>
          <w:p w14:paraId="0E0617B1" w14:textId="77777777" w:rsidR="002C0FD9" w:rsidRPr="00CA25CF" w:rsidRDefault="002C0FD9" w:rsidP="00CA25CF">
            <w:pPr>
              <w:rPr>
                <w:rFonts w:cs="Arial"/>
                <w:color w:val="FF0000"/>
                <w:sz w:val="21"/>
                <w:szCs w:val="21"/>
              </w:rPr>
            </w:pPr>
          </w:p>
        </w:tc>
        <w:tc>
          <w:tcPr>
            <w:tcW w:w="217" w:type="dxa"/>
          </w:tcPr>
          <w:p w14:paraId="1AC79D79" w14:textId="77777777" w:rsidR="002C0FD9" w:rsidRPr="00CA25CF" w:rsidRDefault="002C0FD9" w:rsidP="00CA25CF">
            <w:pPr>
              <w:rPr>
                <w:rFonts w:cs="Arial"/>
                <w:color w:val="FF0000"/>
                <w:sz w:val="21"/>
                <w:szCs w:val="21"/>
              </w:rPr>
            </w:pPr>
          </w:p>
        </w:tc>
        <w:tc>
          <w:tcPr>
            <w:tcW w:w="217" w:type="dxa"/>
          </w:tcPr>
          <w:p w14:paraId="76F0D8F6" w14:textId="77777777" w:rsidR="002C0FD9" w:rsidRPr="00CA25CF" w:rsidRDefault="002C0FD9" w:rsidP="00CA25CF">
            <w:pPr>
              <w:rPr>
                <w:rFonts w:cs="Arial"/>
                <w:color w:val="FF0000"/>
                <w:sz w:val="21"/>
                <w:szCs w:val="21"/>
              </w:rPr>
            </w:pPr>
          </w:p>
        </w:tc>
        <w:tc>
          <w:tcPr>
            <w:tcW w:w="217" w:type="dxa"/>
          </w:tcPr>
          <w:p w14:paraId="10C04371" w14:textId="77777777" w:rsidR="002C0FD9" w:rsidRPr="00CA25CF" w:rsidRDefault="002C0FD9" w:rsidP="00CA25CF">
            <w:pPr>
              <w:rPr>
                <w:rFonts w:cs="Arial"/>
                <w:color w:val="FF0000"/>
                <w:sz w:val="21"/>
                <w:szCs w:val="21"/>
              </w:rPr>
            </w:pPr>
          </w:p>
        </w:tc>
        <w:tc>
          <w:tcPr>
            <w:tcW w:w="217" w:type="dxa"/>
          </w:tcPr>
          <w:p w14:paraId="3AE7F315" w14:textId="77777777" w:rsidR="002C0FD9" w:rsidRPr="00CA25CF" w:rsidRDefault="002C0FD9" w:rsidP="00CA25CF">
            <w:pPr>
              <w:rPr>
                <w:rFonts w:cs="Arial"/>
                <w:color w:val="FF0000"/>
                <w:sz w:val="21"/>
                <w:szCs w:val="21"/>
              </w:rPr>
            </w:pPr>
          </w:p>
        </w:tc>
        <w:tc>
          <w:tcPr>
            <w:tcW w:w="217" w:type="dxa"/>
          </w:tcPr>
          <w:p w14:paraId="6F654CD6" w14:textId="77777777" w:rsidR="002C0FD9" w:rsidRPr="00CA25CF" w:rsidRDefault="002C0FD9" w:rsidP="00CA25CF">
            <w:pPr>
              <w:rPr>
                <w:rFonts w:cs="Arial"/>
                <w:color w:val="FF0000"/>
                <w:sz w:val="21"/>
                <w:szCs w:val="21"/>
              </w:rPr>
            </w:pPr>
          </w:p>
        </w:tc>
        <w:tc>
          <w:tcPr>
            <w:tcW w:w="217" w:type="dxa"/>
          </w:tcPr>
          <w:p w14:paraId="1C419047" w14:textId="77777777" w:rsidR="002C0FD9" w:rsidRPr="00CA25CF" w:rsidRDefault="002C0FD9" w:rsidP="00CA25CF">
            <w:pPr>
              <w:rPr>
                <w:rFonts w:cs="Arial"/>
                <w:color w:val="FF0000"/>
                <w:sz w:val="21"/>
                <w:szCs w:val="21"/>
              </w:rPr>
            </w:pPr>
          </w:p>
        </w:tc>
        <w:tc>
          <w:tcPr>
            <w:tcW w:w="217" w:type="dxa"/>
          </w:tcPr>
          <w:p w14:paraId="1A48A1E0" w14:textId="77777777" w:rsidR="002C0FD9" w:rsidRPr="00CA25CF" w:rsidRDefault="002C0FD9" w:rsidP="00CA25CF">
            <w:pPr>
              <w:rPr>
                <w:rFonts w:cs="Arial"/>
                <w:color w:val="FF0000"/>
                <w:sz w:val="21"/>
                <w:szCs w:val="21"/>
              </w:rPr>
            </w:pPr>
          </w:p>
        </w:tc>
        <w:tc>
          <w:tcPr>
            <w:tcW w:w="217" w:type="dxa"/>
          </w:tcPr>
          <w:p w14:paraId="6F76DD0C" w14:textId="77777777" w:rsidR="002C0FD9" w:rsidRPr="00CA25CF" w:rsidRDefault="002C0FD9" w:rsidP="00CA25CF">
            <w:pPr>
              <w:rPr>
                <w:rFonts w:cs="Arial"/>
                <w:color w:val="FF0000"/>
                <w:sz w:val="21"/>
                <w:szCs w:val="21"/>
              </w:rPr>
            </w:pPr>
          </w:p>
        </w:tc>
      </w:tr>
      <w:tr w:rsidR="002C0FD9" w:rsidRPr="00A16219" w14:paraId="223D5C65" w14:textId="77777777" w:rsidTr="002C0FD9">
        <w:trPr>
          <w:trHeight w:val="635"/>
        </w:trPr>
        <w:tc>
          <w:tcPr>
            <w:tcW w:w="515" w:type="dxa"/>
          </w:tcPr>
          <w:p w14:paraId="48AED96C" w14:textId="77777777" w:rsidR="002C0FD9" w:rsidRPr="00CA25CF" w:rsidRDefault="002C0FD9" w:rsidP="00CA25CF">
            <w:pPr>
              <w:rPr>
                <w:rFonts w:cs="Arial"/>
                <w:color w:val="FF0000"/>
                <w:sz w:val="21"/>
                <w:szCs w:val="21"/>
              </w:rPr>
            </w:pPr>
          </w:p>
        </w:tc>
        <w:tc>
          <w:tcPr>
            <w:tcW w:w="217" w:type="dxa"/>
          </w:tcPr>
          <w:p w14:paraId="76D7EE54" w14:textId="77777777" w:rsidR="002C0FD9" w:rsidRPr="00CA25CF" w:rsidRDefault="002C0FD9" w:rsidP="00CA25CF">
            <w:pPr>
              <w:rPr>
                <w:rFonts w:cs="Arial"/>
                <w:color w:val="FF0000"/>
                <w:sz w:val="21"/>
                <w:szCs w:val="21"/>
              </w:rPr>
            </w:pPr>
          </w:p>
        </w:tc>
        <w:tc>
          <w:tcPr>
            <w:tcW w:w="217" w:type="dxa"/>
          </w:tcPr>
          <w:p w14:paraId="54DF1482" w14:textId="77777777" w:rsidR="002C0FD9" w:rsidRPr="00CA25CF" w:rsidRDefault="002C0FD9" w:rsidP="00CA25CF">
            <w:pPr>
              <w:rPr>
                <w:rFonts w:cs="Arial"/>
                <w:color w:val="FF0000"/>
                <w:sz w:val="21"/>
                <w:szCs w:val="21"/>
              </w:rPr>
            </w:pPr>
          </w:p>
        </w:tc>
        <w:tc>
          <w:tcPr>
            <w:tcW w:w="217" w:type="dxa"/>
          </w:tcPr>
          <w:p w14:paraId="0D22B325" w14:textId="77777777" w:rsidR="002C0FD9" w:rsidRPr="00CA25CF" w:rsidRDefault="002C0FD9" w:rsidP="00CA25CF">
            <w:pPr>
              <w:rPr>
                <w:rFonts w:cs="Arial"/>
                <w:color w:val="FF0000"/>
                <w:sz w:val="21"/>
                <w:szCs w:val="21"/>
              </w:rPr>
            </w:pPr>
          </w:p>
        </w:tc>
        <w:tc>
          <w:tcPr>
            <w:tcW w:w="217" w:type="dxa"/>
          </w:tcPr>
          <w:p w14:paraId="073F45D9" w14:textId="77777777" w:rsidR="002C0FD9" w:rsidRPr="00CA25CF" w:rsidRDefault="002C0FD9" w:rsidP="00CA25CF">
            <w:pPr>
              <w:rPr>
                <w:rFonts w:cs="Arial"/>
                <w:color w:val="FF0000"/>
                <w:sz w:val="21"/>
                <w:szCs w:val="21"/>
              </w:rPr>
            </w:pPr>
          </w:p>
        </w:tc>
        <w:tc>
          <w:tcPr>
            <w:tcW w:w="217" w:type="dxa"/>
          </w:tcPr>
          <w:p w14:paraId="21673A2D" w14:textId="77777777" w:rsidR="002C0FD9" w:rsidRPr="00CA25CF" w:rsidRDefault="002C0FD9" w:rsidP="00CA25CF">
            <w:pPr>
              <w:rPr>
                <w:rFonts w:cs="Arial"/>
                <w:color w:val="FF0000"/>
                <w:sz w:val="21"/>
                <w:szCs w:val="21"/>
              </w:rPr>
            </w:pPr>
          </w:p>
        </w:tc>
        <w:tc>
          <w:tcPr>
            <w:tcW w:w="217" w:type="dxa"/>
          </w:tcPr>
          <w:p w14:paraId="102F8780" w14:textId="77777777" w:rsidR="002C0FD9" w:rsidRPr="00CA25CF" w:rsidRDefault="002C0FD9" w:rsidP="00CA25CF">
            <w:pPr>
              <w:rPr>
                <w:rFonts w:cs="Arial"/>
                <w:color w:val="FF0000"/>
                <w:sz w:val="21"/>
                <w:szCs w:val="21"/>
              </w:rPr>
            </w:pPr>
          </w:p>
        </w:tc>
        <w:tc>
          <w:tcPr>
            <w:tcW w:w="217" w:type="dxa"/>
          </w:tcPr>
          <w:p w14:paraId="0A6DE0FE" w14:textId="77777777" w:rsidR="002C0FD9" w:rsidRPr="00CA25CF" w:rsidRDefault="002C0FD9" w:rsidP="00CA25CF">
            <w:pPr>
              <w:rPr>
                <w:rFonts w:cs="Arial"/>
                <w:color w:val="FF0000"/>
                <w:sz w:val="21"/>
                <w:szCs w:val="21"/>
              </w:rPr>
            </w:pPr>
          </w:p>
        </w:tc>
        <w:tc>
          <w:tcPr>
            <w:tcW w:w="217" w:type="dxa"/>
          </w:tcPr>
          <w:p w14:paraId="345D192F" w14:textId="77777777" w:rsidR="002C0FD9" w:rsidRPr="00CA25CF" w:rsidRDefault="002C0FD9" w:rsidP="00CA25CF">
            <w:pPr>
              <w:rPr>
                <w:rFonts w:cs="Arial"/>
                <w:color w:val="FF0000"/>
                <w:sz w:val="21"/>
                <w:szCs w:val="21"/>
              </w:rPr>
            </w:pPr>
          </w:p>
        </w:tc>
        <w:tc>
          <w:tcPr>
            <w:tcW w:w="217" w:type="dxa"/>
          </w:tcPr>
          <w:p w14:paraId="729C00A7" w14:textId="77777777" w:rsidR="002C0FD9" w:rsidRPr="00CA25CF" w:rsidRDefault="002C0FD9" w:rsidP="00CA25CF">
            <w:pPr>
              <w:rPr>
                <w:rFonts w:cs="Arial"/>
                <w:color w:val="FF0000"/>
                <w:sz w:val="21"/>
                <w:szCs w:val="21"/>
              </w:rPr>
            </w:pPr>
          </w:p>
        </w:tc>
        <w:tc>
          <w:tcPr>
            <w:tcW w:w="217" w:type="dxa"/>
          </w:tcPr>
          <w:p w14:paraId="65D20C0A" w14:textId="77777777" w:rsidR="002C0FD9" w:rsidRPr="00CA25CF" w:rsidRDefault="002C0FD9" w:rsidP="00CA25CF">
            <w:pPr>
              <w:rPr>
                <w:rFonts w:cs="Arial"/>
                <w:color w:val="FF0000"/>
                <w:sz w:val="21"/>
                <w:szCs w:val="21"/>
              </w:rPr>
            </w:pPr>
          </w:p>
        </w:tc>
        <w:tc>
          <w:tcPr>
            <w:tcW w:w="217" w:type="dxa"/>
          </w:tcPr>
          <w:p w14:paraId="4624C1C3" w14:textId="77777777" w:rsidR="002C0FD9" w:rsidRPr="00CA25CF" w:rsidRDefault="002C0FD9" w:rsidP="00CA25CF">
            <w:pPr>
              <w:rPr>
                <w:rFonts w:cs="Arial"/>
                <w:color w:val="FF0000"/>
                <w:sz w:val="21"/>
                <w:szCs w:val="21"/>
              </w:rPr>
            </w:pPr>
          </w:p>
        </w:tc>
        <w:tc>
          <w:tcPr>
            <w:tcW w:w="217" w:type="dxa"/>
          </w:tcPr>
          <w:p w14:paraId="0B2A1F6C" w14:textId="77777777" w:rsidR="002C0FD9" w:rsidRPr="00CA25CF" w:rsidRDefault="002C0FD9" w:rsidP="00CA25CF">
            <w:pPr>
              <w:rPr>
                <w:rFonts w:cs="Arial"/>
                <w:color w:val="FF0000"/>
                <w:sz w:val="21"/>
                <w:szCs w:val="21"/>
              </w:rPr>
            </w:pPr>
          </w:p>
        </w:tc>
        <w:tc>
          <w:tcPr>
            <w:tcW w:w="217" w:type="dxa"/>
          </w:tcPr>
          <w:p w14:paraId="6A0433F2" w14:textId="77777777" w:rsidR="002C0FD9" w:rsidRPr="00CA25CF" w:rsidRDefault="002C0FD9" w:rsidP="00CA25CF">
            <w:pPr>
              <w:rPr>
                <w:rFonts w:cs="Arial"/>
                <w:color w:val="FF0000"/>
                <w:sz w:val="21"/>
                <w:szCs w:val="21"/>
              </w:rPr>
            </w:pPr>
          </w:p>
        </w:tc>
        <w:tc>
          <w:tcPr>
            <w:tcW w:w="217" w:type="dxa"/>
          </w:tcPr>
          <w:p w14:paraId="3E49B038" w14:textId="77777777" w:rsidR="002C0FD9" w:rsidRPr="00CA25CF" w:rsidRDefault="002C0FD9" w:rsidP="00CA25CF">
            <w:pPr>
              <w:rPr>
                <w:rFonts w:cs="Arial"/>
                <w:color w:val="FF0000"/>
                <w:sz w:val="21"/>
                <w:szCs w:val="21"/>
              </w:rPr>
            </w:pPr>
          </w:p>
        </w:tc>
        <w:tc>
          <w:tcPr>
            <w:tcW w:w="217" w:type="dxa"/>
          </w:tcPr>
          <w:p w14:paraId="2BFA1E00" w14:textId="77777777" w:rsidR="002C0FD9" w:rsidRPr="00CA25CF" w:rsidRDefault="002C0FD9" w:rsidP="00CA25CF">
            <w:pPr>
              <w:rPr>
                <w:rFonts w:cs="Arial"/>
                <w:color w:val="FF0000"/>
                <w:sz w:val="21"/>
                <w:szCs w:val="21"/>
              </w:rPr>
            </w:pPr>
          </w:p>
        </w:tc>
        <w:tc>
          <w:tcPr>
            <w:tcW w:w="217" w:type="dxa"/>
          </w:tcPr>
          <w:p w14:paraId="355DAEAE" w14:textId="77777777" w:rsidR="002C0FD9" w:rsidRPr="00CA25CF" w:rsidRDefault="002C0FD9" w:rsidP="00CA25CF">
            <w:pPr>
              <w:rPr>
                <w:rFonts w:cs="Arial"/>
                <w:color w:val="FF0000"/>
                <w:sz w:val="21"/>
                <w:szCs w:val="21"/>
              </w:rPr>
            </w:pPr>
          </w:p>
        </w:tc>
        <w:tc>
          <w:tcPr>
            <w:tcW w:w="217" w:type="dxa"/>
          </w:tcPr>
          <w:p w14:paraId="66032A64" w14:textId="77777777" w:rsidR="002C0FD9" w:rsidRPr="00CA25CF" w:rsidRDefault="002C0FD9" w:rsidP="00CA25CF">
            <w:pPr>
              <w:rPr>
                <w:rFonts w:cs="Arial"/>
                <w:color w:val="FF0000"/>
                <w:sz w:val="21"/>
                <w:szCs w:val="21"/>
              </w:rPr>
            </w:pPr>
          </w:p>
        </w:tc>
        <w:tc>
          <w:tcPr>
            <w:tcW w:w="217" w:type="dxa"/>
          </w:tcPr>
          <w:p w14:paraId="227E2EB9" w14:textId="77777777" w:rsidR="002C0FD9" w:rsidRPr="00CA25CF" w:rsidRDefault="002C0FD9" w:rsidP="00CA25CF">
            <w:pPr>
              <w:rPr>
                <w:rFonts w:cs="Arial"/>
                <w:color w:val="FF0000"/>
                <w:sz w:val="21"/>
                <w:szCs w:val="21"/>
              </w:rPr>
            </w:pPr>
          </w:p>
        </w:tc>
        <w:tc>
          <w:tcPr>
            <w:tcW w:w="217" w:type="dxa"/>
          </w:tcPr>
          <w:p w14:paraId="5DD3345D" w14:textId="77777777" w:rsidR="002C0FD9" w:rsidRPr="00CA25CF" w:rsidRDefault="002C0FD9" w:rsidP="00CA25CF">
            <w:pPr>
              <w:rPr>
                <w:rFonts w:cs="Arial"/>
                <w:color w:val="FF0000"/>
                <w:sz w:val="21"/>
                <w:szCs w:val="21"/>
              </w:rPr>
            </w:pPr>
          </w:p>
        </w:tc>
        <w:tc>
          <w:tcPr>
            <w:tcW w:w="217" w:type="dxa"/>
          </w:tcPr>
          <w:p w14:paraId="0A8CC6BB" w14:textId="77777777" w:rsidR="002C0FD9" w:rsidRPr="00CA25CF" w:rsidRDefault="002C0FD9" w:rsidP="00CA25CF">
            <w:pPr>
              <w:rPr>
                <w:rFonts w:cs="Arial"/>
                <w:color w:val="FF0000"/>
                <w:sz w:val="21"/>
                <w:szCs w:val="21"/>
              </w:rPr>
            </w:pPr>
          </w:p>
        </w:tc>
        <w:tc>
          <w:tcPr>
            <w:tcW w:w="217" w:type="dxa"/>
          </w:tcPr>
          <w:p w14:paraId="55B09979" w14:textId="77777777" w:rsidR="002C0FD9" w:rsidRPr="00CA25CF" w:rsidRDefault="002C0FD9" w:rsidP="00CA25CF">
            <w:pPr>
              <w:rPr>
                <w:rFonts w:cs="Arial"/>
                <w:color w:val="FF0000"/>
                <w:sz w:val="21"/>
                <w:szCs w:val="21"/>
              </w:rPr>
            </w:pPr>
          </w:p>
        </w:tc>
        <w:tc>
          <w:tcPr>
            <w:tcW w:w="217" w:type="dxa"/>
          </w:tcPr>
          <w:p w14:paraId="72FC90DE" w14:textId="77777777" w:rsidR="002C0FD9" w:rsidRPr="00CA25CF" w:rsidRDefault="002C0FD9" w:rsidP="00CA25CF">
            <w:pPr>
              <w:rPr>
                <w:rFonts w:cs="Arial"/>
                <w:color w:val="FF0000"/>
                <w:sz w:val="21"/>
                <w:szCs w:val="21"/>
              </w:rPr>
            </w:pPr>
          </w:p>
        </w:tc>
        <w:tc>
          <w:tcPr>
            <w:tcW w:w="217" w:type="dxa"/>
          </w:tcPr>
          <w:p w14:paraId="5E4E93A6" w14:textId="77777777" w:rsidR="002C0FD9" w:rsidRPr="00CA25CF" w:rsidRDefault="002C0FD9" w:rsidP="00CA25CF">
            <w:pPr>
              <w:rPr>
                <w:rFonts w:cs="Arial"/>
                <w:color w:val="FF0000"/>
                <w:sz w:val="21"/>
                <w:szCs w:val="21"/>
              </w:rPr>
            </w:pPr>
          </w:p>
        </w:tc>
        <w:tc>
          <w:tcPr>
            <w:tcW w:w="217" w:type="dxa"/>
          </w:tcPr>
          <w:p w14:paraId="07834304" w14:textId="77777777" w:rsidR="002C0FD9" w:rsidRPr="00CA25CF" w:rsidRDefault="002C0FD9" w:rsidP="00CA25CF">
            <w:pPr>
              <w:rPr>
                <w:rFonts w:cs="Arial"/>
                <w:color w:val="FF0000"/>
                <w:sz w:val="21"/>
                <w:szCs w:val="21"/>
              </w:rPr>
            </w:pPr>
          </w:p>
        </w:tc>
        <w:tc>
          <w:tcPr>
            <w:tcW w:w="217" w:type="dxa"/>
          </w:tcPr>
          <w:p w14:paraId="51AE9FA8" w14:textId="77777777" w:rsidR="002C0FD9" w:rsidRPr="00CA25CF" w:rsidRDefault="002C0FD9" w:rsidP="00CA25CF">
            <w:pPr>
              <w:rPr>
                <w:rFonts w:cs="Arial"/>
                <w:color w:val="FF0000"/>
                <w:sz w:val="21"/>
                <w:szCs w:val="21"/>
              </w:rPr>
            </w:pPr>
          </w:p>
        </w:tc>
        <w:tc>
          <w:tcPr>
            <w:tcW w:w="217" w:type="dxa"/>
          </w:tcPr>
          <w:p w14:paraId="332FDA81" w14:textId="77777777" w:rsidR="002C0FD9" w:rsidRPr="00CA25CF" w:rsidRDefault="002C0FD9" w:rsidP="00CA25CF">
            <w:pPr>
              <w:rPr>
                <w:rFonts w:cs="Arial"/>
                <w:color w:val="FF0000"/>
                <w:sz w:val="21"/>
                <w:szCs w:val="21"/>
              </w:rPr>
            </w:pPr>
          </w:p>
        </w:tc>
        <w:tc>
          <w:tcPr>
            <w:tcW w:w="217" w:type="dxa"/>
          </w:tcPr>
          <w:p w14:paraId="4DDE64F9" w14:textId="77777777" w:rsidR="002C0FD9" w:rsidRPr="00CA25CF" w:rsidRDefault="002C0FD9" w:rsidP="00CA25CF">
            <w:pPr>
              <w:rPr>
                <w:rFonts w:cs="Arial"/>
                <w:color w:val="FF0000"/>
                <w:sz w:val="21"/>
                <w:szCs w:val="21"/>
              </w:rPr>
            </w:pPr>
          </w:p>
        </w:tc>
        <w:tc>
          <w:tcPr>
            <w:tcW w:w="217" w:type="dxa"/>
          </w:tcPr>
          <w:p w14:paraId="67D483B0" w14:textId="77777777" w:rsidR="002C0FD9" w:rsidRPr="00CA25CF" w:rsidRDefault="002C0FD9" w:rsidP="00CA25CF">
            <w:pPr>
              <w:rPr>
                <w:rFonts w:cs="Arial"/>
                <w:color w:val="FF0000"/>
                <w:sz w:val="21"/>
                <w:szCs w:val="21"/>
              </w:rPr>
            </w:pPr>
          </w:p>
        </w:tc>
        <w:tc>
          <w:tcPr>
            <w:tcW w:w="217" w:type="dxa"/>
          </w:tcPr>
          <w:p w14:paraId="5ECCF1F8" w14:textId="77777777" w:rsidR="002C0FD9" w:rsidRPr="00CA25CF" w:rsidRDefault="002C0FD9" w:rsidP="00CA25CF">
            <w:pPr>
              <w:rPr>
                <w:rFonts w:cs="Arial"/>
                <w:color w:val="FF0000"/>
                <w:sz w:val="21"/>
                <w:szCs w:val="21"/>
              </w:rPr>
            </w:pPr>
          </w:p>
        </w:tc>
        <w:tc>
          <w:tcPr>
            <w:tcW w:w="217" w:type="dxa"/>
          </w:tcPr>
          <w:p w14:paraId="776B9AAC" w14:textId="77777777" w:rsidR="002C0FD9" w:rsidRPr="00CA25CF" w:rsidRDefault="002C0FD9" w:rsidP="00CA25CF">
            <w:pPr>
              <w:rPr>
                <w:rFonts w:cs="Arial"/>
                <w:color w:val="FF0000"/>
                <w:sz w:val="21"/>
                <w:szCs w:val="21"/>
              </w:rPr>
            </w:pPr>
          </w:p>
        </w:tc>
        <w:tc>
          <w:tcPr>
            <w:tcW w:w="217" w:type="dxa"/>
          </w:tcPr>
          <w:p w14:paraId="7619A1AE" w14:textId="77777777" w:rsidR="002C0FD9" w:rsidRPr="00CA25CF" w:rsidRDefault="002C0FD9" w:rsidP="00CA25CF">
            <w:pPr>
              <w:rPr>
                <w:rFonts w:cs="Arial"/>
                <w:color w:val="FF0000"/>
                <w:sz w:val="21"/>
                <w:szCs w:val="21"/>
              </w:rPr>
            </w:pPr>
          </w:p>
        </w:tc>
        <w:tc>
          <w:tcPr>
            <w:tcW w:w="217" w:type="dxa"/>
          </w:tcPr>
          <w:p w14:paraId="505C9150" w14:textId="77777777" w:rsidR="002C0FD9" w:rsidRPr="00CA25CF" w:rsidRDefault="002C0FD9" w:rsidP="00CA25CF">
            <w:pPr>
              <w:rPr>
                <w:rFonts w:cs="Arial"/>
                <w:color w:val="FF0000"/>
                <w:sz w:val="21"/>
                <w:szCs w:val="21"/>
              </w:rPr>
            </w:pPr>
          </w:p>
        </w:tc>
        <w:tc>
          <w:tcPr>
            <w:tcW w:w="217" w:type="dxa"/>
          </w:tcPr>
          <w:p w14:paraId="0A3F82B5" w14:textId="77777777" w:rsidR="002C0FD9" w:rsidRPr="00CA25CF" w:rsidRDefault="002C0FD9" w:rsidP="00CA25CF">
            <w:pPr>
              <w:rPr>
                <w:rFonts w:cs="Arial"/>
                <w:color w:val="FF0000"/>
                <w:sz w:val="21"/>
                <w:szCs w:val="21"/>
              </w:rPr>
            </w:pPr>
          </w:p>
        </w:tc>
        <w:tc>
          <w:tcPr>
            <w:tcW w:w="217" w:type="dxa"/>
          </w:tcPr>
          <w:p w14:paraId="418608A9" w14:textId="77777777" w:rsidR="002C0FD9" w:rsidRPr="00CA25CF" w:rsidRDefault="002C0FD9" w:rsidP="00CA25CF">
            <w:pPr>
              <w:rPr>
                <w:rFonts w:cs="Arial"/>
                <w:color w:val="FF0000"/>
                <w:sz w:val="21"/>
                <w:szCs w:val="21"/>
              </w:rPr>
            </w:pPr>
          </w:p>
        </w:tc>
        <w:tc>
          <w:tcPr>
            <w:tcW w:w="217" w:type="dxa"/>
          </w:tcPr>
          <w:p w14:paraId="4E0709FE" w14:textId="77777777" w:rsidR="002C0FD9" w:rsidRPr="00CA25CF" w:rsidRDefault="002C0FD9" w:rsidP="00CA25CF">
            <w:pPr>
              <w:rPr>
                <w:rFonts w:cs="Arial"/>
                <w:color w:val="FF0000"/>
                <w:sz w:val="21"/>
                <w:szCs w:val="21"/>
              </w:rPr>
            </w:pPr>
          </w:p>
        </w:tc>
        <w:tc>
          <w:tcPr>
            <w:tcW w:w="217" w:type="dxa"/>
          </w:tcPr>
          <w:p w14:paraId="7F1743DD" w14:textId="77777777" w:rsidR="002C0FD9" w:rsidRPr="00CA25CF" w:rsidRDefault="002C0FD9" w:rsidP="00CA25CF">
            <w:pPr>
              <w:rPr>
                <w:rFonts w:cs="Arial"/>
                <w:color w:val="FF0000"/>
                <w:sz w:val="21"/>
                <w:szCs w:val="21"/>
              </w:rPr>
            </w:pPr>
          </w:p>
        </w:tc>
        <w:tc>
          <w:tcPr>
            <w:tcW w:w="217" w:type="dxa"/>
          </w:tcPr>
          <w:p w14:paraId="3A937962" w14:textId="77777777" w:rsidR="002C0FD9" w:rsidRPr="00CA25CF" w:rsidRDefault="002C0FD9" w:rsidP="00CA25CF">
            <w:pPr>
              <w:rPr>
                <w:rFonts w:cs="Arial"/>
                <w:color w:val="FF0000"/>
                <w:sz w:val="21"/>
                <w:szCs w:val="21"/>
              </w:rPr>
            </w:pPr>
          </w:p>
        </w:tc>
        <w:tc>
          <w:tcPr>
            <w:tcW w:w="217" w:type="dxa"/>
          </w:tcPr>
          <w:p w14:paraId="46A4876F" w14:textId="77777777" w:rsidR="002C0FD9" w:rsidRPr="00CA25CF" w:rsidRDefault="002C0FD9" w:rsidP="00CA25CF">
            <w:pPr>
              <w:rPr>
                <w:rFonts w:cs="Arial"/>
                <w:color w:val="FF0000"/>
                <w:sz w:val="21"/>
                <w:szCs w:val="21"/>
              </w:rPr>
            </w:pPr>
          </w:p>
        </w:tc>
        <w:tc>
          <w:tcPr>
            <w:tcW w:w="217" w:type="dxa"/>
          </w:tcPr>
          <w:p w14:paraId="30EC7734" w14:textId="77777777" w:rsidR="002C0FD9" w:rsidRPr="00CA25CF" w:rsidRDefault="002C0FD9" w:rsidP="00CA25CF">
            <w:pPr>
              <w:rPr>
                <w:rFonts w:cs="Arial"/>
                <w:color w:val="FF0000"/>
                <w:sz w:val="21"/>
                <w:szCs w:val="21"/>
              </w:rPr>
            </w:pPr>
          </w:p>
        </w:tc>
        <w:tc>
          <w:tcPr>
            <w:tcW w:w="217" w:type="dxa"/>
          </w:tcPr>
          <w:p w14:paraId="7AA5E379" w14:textId="77777777" w:rsidR="002C0FD9" w:rsidRPr="00CA25CF" w:rsidRDefault="002C0FD9" w:rsidP="00CA25CF">
            <w:pPr>
              <w:rPr>
                <w:rFonts w:cs="Arial"/>
                <w:color w:val="FF0000"/>
                <w:sz w:val="21"/>
                <w:szCs w:val="21"/>
              </w:rPr>
            </w:pPr>
          </w:p>
        </w:tc>
        <w:tc>
          <w:tcPr>
            <w:tcW w:w="217" w:type="dxa"/>
          </w:tcPr>
          <w:p w14:paraId="49149424" w14:textId="77777777" w:rsidR="002C0FD9" w:rsidRPr="00CA25CF" w:rsidRDefault="002C0FD9" w:rsidP="00CA25CF">
            <w:pPr>
              <w:rPr>
                <w:rFonts w:cs="Arial"/>
                <w:color w:val="FF0000"/>
                <w:sz w:val="21"/>
                <w:szCs w:val="21"/>
              </w:rPr>
            </w:pPr>
          </w:p>
        </w:tc>
        <w:tc>
          <w:tcPr>
            <w:tcW w:w="217" w:type="dxa"/>
          </w:tcPr>
          <w:p w14:paraId="3583F43B" w14:textId="77777777" w:rsidR="002C0FD9" w:rsidRPr="00CA25CF" w:rsidRDefault="002C0FD9" w:rsidP="00CA25CF">
            <w:pPr>
              <w:rPr>
                <w:rFonts w:cs="Arial"/>
                <w:color w:val="FF0000"/>
                <w:sz w:val="21"/>
                <w:szCs w:val="21"/>
              </w:rPr>
            </w:pPr>
          </w:p>
        </w:tc>
      </w:tr>
      <w:tr w:rsidR="002C0FD9" w:rsidRPr="00A16219" w14:paraId="1CFAC1D8" w14:textId="77777777" w:rsidTr="002C0FD9">
        <w:trPr>
          <w:trHeight w:val="635"/>
        </w:trPr>
        <w:tc>
          <w:tcPr>
            <w:tcW w:w="515" w:type="dxa"/>
          </w:tcPr>
          <w:p w14:paraId="270E43D1" w14:textId="77777777" w:rsidR="002C0FD9" w:rsidRPr="00CA25CF" w:rsidRDefault="002C0FD9" w:rsidP="00CA25CF">
            <w:pPr>
              <w:rPr>
                <w:rFonts w:cs="Arial"/>
                <w:color w:val="FF0000"/>
                <w:sz w:val="21"/>
                <w:szCs w:val="21"/>
              </w:rPr>
            </w:pPr>
          </w:p>
        </w:tc>
        <w:tc>
          <w:tcPr>
            <w:tcW w:w="217" w:type="dxa"/>
          </w:tcPr>
          <w:p w14:paraId="694C7A72" w14:textId="77777777" w:rsidR="002C0FD9" w:rsidRPr="00CA25CF" w:rsidRDefault="002C0FD9" w:rsidP="00CA25CF">
            <w:pPr>
              <w:rPr>
                <w:rFonts w:cs="Arial"/>
                <w:color w:val="FF0000"/>
                <w:sz w:val="21"/>
                <w:szCs w:val="21"/>
              </w:rPr>
            </w:pPr>
          </w:p>
        </w:tc>
        <w:tc>
          <w:tcPr>
            <w:tcW w:w="217" w:type="dxa"/>
          </w:tcPr>
          <w:p w14:paraId="3602593B" w14:textId="77777777" w:rsidR="002C0FD9" w:rsidRPr="00CA25CF" w:rsidRDefault="002C0FD9" w:rsidP="00CA25CF">
            <w:pPr>
              <w:rPr>
                <w:rFonts w:cs="Arial"/>
                <w:color w:val="FF0000"/>
                <w:sz w:val="21"/>
                <w:szCs w:val="21"/>
              </w:rPr>
            </w:pPr>
          </w:p>
        </w:tc>
        <w:tc>
          <w:tcPr>
            <w:tcW w:w="217" w:type="dxa"/>
          </w:tcPr>
          <w:p w14:paraId="132602E7" w14:textId="77777777" w:rsidR="002C0FD9" w:rsidRPr="00CA25CF" w:rsidRDefault="002C0FD9" w:rsidP="00CA25CF">
            <w:pPr>
              <w:rPr>
                <w:rFonts w:cs="Arial"/>
                <w:color w:val="FF0000"/>
                <w:sz w:val="21"/>
                <w:szCs w:val="21"/>
              </w:rPr>
            </w:pPr>
          </w:p>
        </w:tc>
        <w:tc>
          <w:tcPr>
            <w:tcW w:w="217" w:type="dxa"/>
          </w:tcPr>
          <w:p w14:paraId="344A22EC" w14:textId="77777777" w:rsidR="002C0FD9" w:rsidRPr="00CA25CF" w:rsidRDefault="002C0FD9" w:rsidP="00CA25CF">
            <w:pPr>
              <w:rPr>
                <w:rFonts w:cs="Arial"/>
                <w:color w:val="FF0000"/>
                <w:sz w:val="21"/>
                <w:szCs w:val="21"/>
              </w:rPr>
            </w:pPr>
          </w:p>
        </w:tc>
        <w:tc>
          <w:tcPr>
            <w:tcW w:w="217" w:type="dxa"/>
          </w:tcPr>
          <w:p w14:paraId="1B2A8AC2" w14:textId="77777777" w:rsidR="002C0FD9" w:rsidRPr="00CA25CF" w:rsidRDefault="002C0FD9" w:rsidP="00CA25CF">
            <w:pPr>
              <w:rPr>
                <w:rFonts w:cs="Arial"/>
                <w:color w:val="FF0000"/>
                <w:sz w:val="21"/>
                <w:szCs w:val="21"/>
              </w:rPr>
            </w:pPr>
          </w:p>
        </w:tc>
        <w:tc>
          <w:tcPr>
            <w:tcW w:w="217" w:type="dxa"/>
          </w:tcPr>
          <w:p w14:paraId="4A19F1D8" w14:textId="77777777" w:rsidR="002C0FD9" w:rsidRPr="00CA25CF" w:rsidRDefault="002C0FD9" w:rsidP="00CA25CF">
            <w:pPr>
              <w:rPr>
                <w:rFonts w:cs="Arial"/>
                <w:color w:val="FF0000"/>
                <w:sz w:val="21"/>
                <w:szCs w:val="21"/>
              </w:rPr>
            </w:pPr>
          </w:p>
        </w:tc>
        <w:tc>
          <w:tcPr>
            <w:tcW w:w="217" w:type="dxa"/>
          </w:tcPr>
          <w:p w14:paraId="605FBC3D" w14:textId="77777777" w:rsidR="002C0FD9" w:rsidRPr="00CA25CF" w:rsidRDefault="002C0FD9" w:rsidP="00CA25CF">
            <w:pPr>
              <w:rPr>
                <w:rFonts w:cs="Arial"/>
                <w:color w:val="FF0000"/>
                <w:sz w:val="21"/>
                <w:szCs w:val="21"/>
              </w:rPr>
            </w:pPr>
          </w:p>
        </w:tc>
        <w:tc>
          <w:tcPr>
            <w:tcW w:w="217" w:type="dxa"/>
          </w:tcPr>
          <w:p w14:paraId="53C56905" w14:textId="77777777" w:rsidR="002C0FD9" w:rsidRPr="00CA25CF" w:rsidRDefault="002C0FD9" w:rsidP="00CA25CF">
            <w:pPr>
              <w:rPr>
                <w:rFonts w:cs="Arial"/>
                <w:color w:val="FF0000"/>
                <w:sz w:val="21"/>
                <w:szCs w:val="21"/>
              </w:rPr>
            </w:pPr>
          </w:p>
        </w:tc>
        <w:tc>
          <w:tcPr>
            <w:tcW w:w="217" w:type="dxa"/>
          </w:tcPr>
          <w:p w14:paraId="575ABE21" w14:textId="77777777" w:rsidR="002C0FD9" w:rsidRPr="00CA25CF" w:rsidRDefault="002C0FD9" w:rsidP="00CA25CF">
            <w:pPr>
              <w:rPr>
                <w:rFonts w:cs="Arial"/>
                <w:color w:val="FF0000"/>
                <w:sz w:val="21"/>
                <w:szCs w:val="21"/>
              </w:rPr>
            </w:pPr>
          </w:p>
        </w:tc>
        <w:tc>
          <w:tcPr>
            <w:tcW w:w="217" w:type="dxa"/>
          </w:tcPr>
          <w:p w14:paraId="4F3CE59C" w14:textId="77777777" w:rsidR="002C0FD9" w:rsidRPr="00CA25CF" w:rsidRDefault="002C0FD9" w:rsidP="00CA25CF">
            <w:pPr>
              <w:rPr>
                <w:rFonts w:cs="Arial"/>
                <w:color w:val="FF0000"/>
                <w:sz w:val="21"/>
                <w:szCs w:val="21"/>
              </w:rPr>
            </w:pPr>
          </w:p>
        </w:tc>
        <w:tc>
          <w:tcPr>
            <w:tcW w:w="217" w:type="dxa"/>
          </w:tcPr>
          <w:p w14:paraId="6E41618B" w14:textId="77777777" w:rsidR="002C0FD9" w:rsidRPr="00CA25CF" w:rsidRDefault="002C0FD9" w:rsidP="00CA25CF">
            <w:pPr>
              <w:rPr>
                <w:rFonts w:cs="Arial"/>
                <w:color w:val="FF0000"/>
                <w:sz w:val="21"/>
                <w:szCs w:val="21"/>
              </w:rPr>
            </w:pPr>
          </w:p>
        </w:tc>
        <w:tc>
          <w:tcPr>
            <w:tcW w:w="217" w:type="dxa"/>
          </w:tcPr>
          <w:p w14:paraId="5D480376" w14:textId="77777777" w:rsidR="002C0FD9" w:rsidRPr="00CA25CF" w:rsidRDefault="002C0FD9" w:rsidP="00CA25CF">
            <w:pPr>
              <w:rPr>
                <w:rFonts w:cs="Arial"/>
                <w:color w:val="FF0000"/>
                <w:sz w:val="21"/>
                <w:szCs w:val="21"/>
              </w:rPr>
            </w:pPr>
          </w:p>
        </w:tc>
        <w:tc>
          <w:tcPr>
            <w:tcW w:w="217" w:type="dxa"/>
          </w:tcPr>
          <w:p w14:paraId="2EB9AA59" w14:textId="77777777" w:rsidR="002C0FD9" w:rsidRPr="00CA25CF" w:rsidRDefault="002C0FD9" w:rsidP="00CA25CF">
            <w:pPr>
              <w:rPr>
                <w:rFonts w:cs="Arial"/>
                <w:color w:val="FF0000"/>
                <w:sz w:val="21"/>
                <w:szCs w:val="21"/>
              </w:rPr>
            </w:pPr>
          </w:p>
        </w:tc>
        <w:tc>
          <w:tcPr>
            <w:tcW w:w="217" w:type="dxa"/>
          </w:tcPr>
          <w:p w14:paraId="23C8E210" w14:textId="77777777" w:rsidR="002C0FD9" w:rsidRPr="00CA25CF" w:rsidRDefault="002C0FD9" w:rsidP="00CA25CF">
            <w:pPr>
              <w:rPr>
                <w:rFonts w:cs="Arial"/>
                <w:color w:val="FF0000"/>
                <w:sz w:val="21"/>
                <w:szCs w:val="21"/>
              </w:rPr>
            </w:pPr>
          </w:p>
        </w:tc>
        <w:tc>
          <w:tcPr>
            <w:tcW w:w="217" w:type="dxa"/>
          </w:tcPr>
          <w:p w14:paraId="6C954F75" w14:textId="77777777" w:rsidR="002C0FD9" w:rsidRPr="00CA25CF" w:rsidRDefault="002C0FD9" w:rsidP="00CA25CF">
            <w:pPr>
              <w:rPr>
                <w:rFonts w:cs="Arial"/>
                <w:color w:val="FF0000"/>
                <w:sz w:val="21"/>
                <w:szCs w:val="21"/>
              </w:rPr>
            </w:pPr>
          </w:p>
        </w:tc>
        <w:tc>
          <w:tcPr>
            <w:tcW w:w="217" w:type="dxa"/>
          </w:tcPr>
          <w:p w14:paraId="37163EEE" w14:textId="77777777" w:rsidR="002C0FD9" w:rsidRPr="00CA25CF" w:rsidRDefault="002C0FD9" w:rsidP="00CA25CF">
            <w:pPr>
              <w:rPr>
                <w:rFonts w:cs="Arial"/>
                <w:color w:val="FF0000"/>
                <w:sz w:val="21"/>
                <w:szCs w:val="21"/>
              </w:rPr>
            </w:pPr>
          </w:p>
        </w:tc>
        <w:tc>
          <w:tcPr>
            <w:tcW w:w="217" w:type="dxa"/>
          </w:tcPr>
          <w:p w14:paraId="6B78FADD" w14:textId="77777777" w:rsidR="002C0FD9" w:rsidRPr="00CA25CF" w:rsidRDefault="002C0FD9" w:rsidP="00CA25CF">
            <w:pPr>
              <w:rPr>
                <w:rFonts w:cs="Arial"/>
                <w:color w:val="FF0000"/>
                <w:sz w:val="21"/>
                <w:szCs w:val="21"/>
              </w:rPr>
            </w:pPr>
          </w:p>
        </w:tc>
        <w:tc>
          <w:tcPr>
            <w:tcW w:w="217" w:type="dxa"/>
          </w:tcPr>
          <w:p w14:paraId="1B3CD84A" w14:textId="77777777" w:rsidR="002C0FD9" w:rsidRPr="00CA25CF" w:rsidRDefault="002C0FD9" w:rsidP="00CA25CF">
            <w:pPr>
              <w:rPr>
                <w:rFonts w:cs="Arial"/>
                <w:color w:val="FF0000"/>
                <w:sz w:val="21"/>
                <w:szCs w:val="21"/>
              </w:rPr>
            </w:pPr>
          </w:p>
        </w:tc>
        <w:tc>
          <w:tcPr>
            <w:tcW w:w="217" w:type="dxa"/>
          </w:tcPr>
          <w:p w14:paraId="084246DC" w14:textId="77777777" w:rsidR="002C0FD9" w:rsidRPr="00CA25CF" w:rsidRDefault="002C0FD9" w:rsidP="00CA25CF">
            <w:pPr>
              <w:rPr>
                <w:rFonts w:cs="Arial"/>
                <w:color w:val="FF0000"/>
                <w:sz w:val="21"/>
                <w:szCs w:val="21"/>
              </w:rPr>
            </w:pPr>
          </w:p>
        </w:tc>
        <w:tc>
          <w:tcPr>
            <w:tcW w:w="217" w:type="dxa"/>
          </w:tcPr>
          <w:p w14:paraId="71A50D55" w14:textId="77777777" w:rsidR="002C0FD9" w:rsidRPr="00CA25CF" w:rsidRDefault="002C0FD9" w:rsidP="00CA25CF">
            <w:pPr>
              <w:rPr>
                <w:rFonts w:cs="Arial"/>
                <w:color w:val="FF0000"/>
                <w:sz w:val="21"/>
                <w:szCs w:val="21"/>
              </w:rPr>
            </w:pPr>
          </w:p>
        </w:tc>
        <w:tc>
          <w:tcPr>
            <w:tcW w:w="217" w:type="dxa"/>
          </w:tcPr>
          <w:p w14:paraId="63FD648C" w14:textId="77777777" w:rsidR="002C0FD9" w:rsidRPr="00CA25CF" w:rsidRDefault="002C0FD9" w:rsidP="00CA25CF">
            <w:pPr>
              <w:rPr>
                <w:rFonts w:cs="Arial"/>
                <w:color w:val="FF0000"/>
                <w:sz w:val="21"/>
                <w:szCs w:val="21"/>
              </w:rPr>
            </w:pPr>
          </w:p>
        </w:tc>
        <w:tc>
          <w:tcPr>
            <w:tcW w:w="217" w:type="dxa"/>
          </w:tcPr>
          <w:p w14:paraId="0B0733A4" w14:textId="77777777" w:rsidR="002C0FD9" w:rsidRPr="00CA25CF" w:rsidRDefault="002C0FD9" w:rsidP="00CA25CF">
            <w:pPr>
              <w:rPr>
                <w:rFonts w:cs="Arial"/>
                <w:color w:val="FF0000"/>
                <w:sz w:val="21"/>
                <w:szCs w:val="21"/>
              </w:rPr>
            </w:pPr>
          </w:p>
        </w:tc>
        <w:tc>
          <w:tcPr>
            <w:tcW w:w="217" w:type="dxa"/>
          </w:tcPr>
          <w:p w14:paraId="2E54D9D2" w14:textId="77777777" w:rsidR="002C0FD9" w:rsidRPr="00CA25CF" w:rsidRDefault="002C0FD9" w:rsidP="00CA25CF">
            <w:pPr>
              <w:rPr>
                <w:rFonts w:cs="Arial"/>
                <w:color w:val="FF0000"/>
                <w:sz w:val="21"/>
                <w:szCs w:val="21"/>
              </w:rPr>
            </w:pPr>
          </w:p>
        </w:tc>
        <w:tc>
          <w:tcPr>
            <w:tcW w:w="217" w:type="dxa"/>
          </w:tcPr>
          <w:p w14:paraId="08350C75" w14:textId="77777777" w:rsidR="002C0FD9" w:rsidRPr="00CA25CF" w:rsidRDefault="002C0FD9" w:rsidP="00CA25CF">
            <w:pPr>
              <w:rPr>
                <w:rFonts w:cs="Arial"/>
                <w:color w:val="FF0000"/>
                <w:sz w:val="21"/>
                <w:szCs w:val="21"/>
              </w:rPr>
            </w:pPr>
          </w:p>
        </w:tc>
        <w:tc>
          <w:tcPr>
            <w:tcW w:w="217" w:type="dxa"/>
          </w:tcPr>
          <w:p w14:paraId="762B9CB2" w14:textId="77777777" w:rsidR="002C0FD9" w:rsidRPr="00CA25CF" w:rsidRDefault="002C0FD9" w:rsidP="00CA25CF">
            <w:pPr>
              <w:rPr>
                <w:rFonts w:cs="Arial"/>
                <w:color w:val="FF0000"/>
                <w:sz w:val="21"/>
                <w:szCs w:val="21"/>
              </w:rPr>
            </w:pPr>
          </w:p>
        </w:tc>
        <w:tc>
          <w:tcPr>
            <w:tcW w:w="217" w:type="dxa"/>
          </w:tcPr>
          <w:p w14:paraId="022761B6" w14:textId="77777777" w:rsidR="002C0FD9" w:rsidRPr="00CA25CF" w:rsidRDefault="002C0FD9" w:rsidP="00CA25CF">
            <w:pPr>
              <w:rPr>
                <w:rFonts w:cs="Arial"/>
                <w:color w:val="FF0000"/>
                <w:sz w:val="21"/>
                <w:szCs w:val="21"/>
              </w:rPr>
            </w:pPr>
          </w:p>
        </w:tc>
        <w:tc>
          <w:tcPr>
            <w:tcW w:w="217" w:type="dxa"/>
          </w:tcPr>
          <w:p w14:paraId="3BDC3F23" w14:textId="77777777" w:rsidR="002C0FD9" w:rsidRPr="00CA25CF" w:rsidRDefault="002C0FD9" w:rsidP="00CA25CF">
            <w:pPr>
              <w:rPr>
                <w:rFonts w:cs="Arial"/>
                <w:color w:val="FF0000"/>
                <w:sz w:val="21"/>
                <w:szCs w:val="21"/>
              </w:rPr>
            </w:pPr>
          </w:p>
        </w:tc>
        <w:tc>
          <w:tcPr>
            <w:tcW w:w="217" w:type="dxa"/>
          </w:tcPr>
          <w:p w14:paraId="0B6EE827" w14:textId="77777777" w:rsidR="002C0FD9" w:rsidRPr="00CA25CF" w:rsidRDefault="002C0FD9" w:rsidP="00CA25CF">
            <w:pPr>
              <w:rPr>
                <w:rFonts w:cs="Arial"/>
                <w:color w:val="FF0000"/>
                <w:sz w:val="21"/>
                <w:szCs w:val="21"/>
              </w:rPr>
            </w:pPr>
          </w:p>
        </w:tc>
        <w:tc>
          <w:tcPr>
            <w:tcW w:w="217" w:type="dxa"/>
          </w:tcPr>
          <w:p w14:paraId="38CCE0C2" w14:textId="77777777" w:rsidR="002C0FD9" w:rsidRPr="00CA25CF" w:rsidRDefault="002C0FD9" w:rsidP="00CA25CF">
            <w:pPr>
              <w:rPr>
                <w:rFonts w:cs="Arial"/>
                <w:color w:val="FF0000"/>
                <w:sz w:val="21"/>
                <w:szCs w:val="21"/>
              </w:rPr>
            </w:pPr>
          </w:p>
        </w:tc>
        <w:tc>
          <w:tcPr>
            <w:tcW w:w="217" w:type="dxa"/>
          </w:tcPr>
          <w:p w14:paraId="26D73BFC" w14:textId="77777777" w:rsidR="002C0FD9" w:rsidRPr="00CA25CF" w:rsidRDefault="002C0FD9" w:rsidP="00CA25CF">
            <w:pPr>
              <w:rPr>
                <w:rFonts w:cs="Arial"/>
                <w:color w:val="FF0000"/>
                <w:sz w:val="21"/>
                <w:szCs w:val="21"/>
              </w:rPr>
            </w:pPr>
          </w:p>
        </w:tc>
        <w:tc>
          <w:tcPr>
            <w:tcW w:w="217" w:type="dxa"/>
          </w:tcPr>
          <w:p w14:paraId="2A24ED4B" w14:textId="77777777" w:rsidR="002C0FD9" w:rsidRPr="00CA25CF" w:rsidRDefault="002C0FD9" w:rsidP="00CA25CF">
            <w:pPr>
              <w:rPr>
                <w:rFonts w:cs="Arial"/>
                <w:color w:val="FF0000"/>
                <w:sz w:val="21"/>
                <w:szCs w:val="21"/>
              </w:rPr>
            </w:pPr>
          </w:p>
        </w:tc>
        <w:tc>
          <w:tcPr>
            <w:tcW w:w="217" w:type="dxa"/>
          </w:tcPr>
          <w:p w14:paraId="65B0194E" w14:textId="77777777" w:rsidR="002C0FD9" w:rsidRPr="00CA25CF" w:rsidRDefault="002C0FD9" w:rsidP="00CA25CF">
            <w:pPr>
              <w:rPr>
                <w:rFonts w:cs="Arial"/>
                <w:color w:val="FF0000"/>
                <w:sz w:val="21"/>
                <w:szCs w:val="21"/>
              </w:rPr>
            </w:pPr>
          </w:p>
        </w:tc>
        <w:tc>
          <w:tcPr>
            <w:tcW w:w="217" w:type="dxa"/>
          </w:tcPr>
          <w:p w14:paraId="2FC7B4FB" w14:textId="77777777" w:rsidR="002C0FD9" w:rsidRPr="00CA25CF" w:rsidRDefault="002C0FD9" w:rsidP="00CA25CF">
            <w:pPr>
              <w:rPr>
                <w:rFonts w:cs="Arial"/>
                <w:color w:val="FF0000"/>
                <w:sz w:val="21"/>
                <w:szCs w:val="21"/>
              </w:rPr>
            </w:pPr>
          </w:p>
        </w:tc>
        <w:tc>
          <w:tcPr>
            <w:tcW w:w="217" w:type="dxa"/>
          </w:tcPr>
          <w:p w14:paraId="1B76CD63" w14:textId="77777777" w:rsidR="002C0FD9" w:rsidRPr="00CA25CF" w:rsidRDefault="002C0FD9" w:rsidP="00CA25CF">
            <w:pPr>
              <w:rPr>
                <w:rFonts w:cs="Arial"/>
                <w:color w:val="FF0000"/>
                <w:sz w:val="21"/>
                <w:szCs w:val="21"/>
              </w:rPr>
            </w:pPr>
          </w:p>
        </w:tc>
        <w:tc>
          <w:tcPr>
            <w:tcW w:w="217" w:type="dxa"/>
          </w:tcPr>
          <w:p w14:paraId="37B21E64" w14:textId="77777777" w:rsidR="002C0FD9" w:rsidRPr="00CA25CF" w:rsidRDefault="002C0FD9" w:rsidP="00CA25CF">
            <w:pPr>
              <w:rPr>
                <w:rFonts w:cs="Arial"/>
                <w:color w:val="FF0000"/>
                <w:sz w:val="21"/>
                <w:szCs w:val="21"/>
              </w:rPr>
            </w:pPr>
          </w:p>
        </w:tc>
        <w:tc>
          <w:tcPr>
            <w:tcW w:w="217" w:type="dxa"/>
          </w:tcPr>
          <w:p w14:paraId="4744AA7C" w14:textId="77777777" w:rsidR="002C0FD9" w:rsidRPr="00CA25CF" w:rsidRDefault="002C0FD9" w:rsidP="00CA25CF">
            <w:pPr>
              <w:rPr>
                <w:rFonts w:cs="Arial"/>
                <w:color w:val="FF0000"/>
                <w:sz w:val="21"/>
                <w:szCs w:val="21"/>
              </w:rPr>
            </w:pPr>
          </w:p>
        </w:tc>
        <w:tc>
          <w:tcPr>
            <w:tcW w:w="217" w:type="dxa"/>
          </w:tcPr>
          <w:p w14:paraId="304D2DD1" w14:textId="77777777" w:rsidR="002C0FD9" w:rsidRPr="00CA25CF" w:rsidRDefault="002C0FD9" w:rsidP="00CA25CF">
            <w:pPr>
              <w:rPr>
                <w:rFonts w:cs="Arial"/>
                <w:color w:val="FF0000"/>
                <w:sz w:val="21"/>
                <w:szCs w:val="21"/>
              </w:rPr>
            </w:pPr>
          </w:p>
        </w:tc>
        <w:tc>
          <w:tcPr>
            <w:tcW w:w="217" w:type="dxa"/>
          </w:tcPr>
          <w:p w14:paraId="1BE36B71" w14:textId="77777777" w:rsidR="002C0FD9" w:rsidRPr="00CA25CF" w:rsidRDefault="002C0FD9" w:rsidP="00CA25CF">
            <w:pPr>
              <w:rPr>
                <w:rFonts w:cs="Arial"/>
                <w:color w:val="FF0000"/>
                <w:sz w:val="21"/>
                <w:szCs w:val="21"/>
              </w:rPr>
            </w:pPr>
          </w:p>
        </w:tc>
        <w:tc>
          <w:tcPr>
            <w:tcW w:w="217" w:type="dxa"/>
          </w:tcPr>
          <w:p w14:paraId="7E9D9095" w14:textId="77777777" w:rsidR="002C0FD9" w:rsidRPr="00CA25CF" w:rsidRDefault="002C0FD9" w:rsidP="00CA25CF">
            <w:pPr>
              <w:rPr>
                <w:rFonts w:cs="Arial"/>
                <w:color w:val="FF0000"/>
                <w:sz w:val="21"/>
                <w:szCs w:val="21"/>
              </w:rPr>
            </w:pPr>
          </w:p>
        </w:tc>
        <w:tc>
          <w:tcPr>
            <w:tcW w:w="217" w:type="dxa"/>
          </w:tcPr>
          <w:p w14:paraId="7DC0AFB8" w14:textId="77777777" w:rsidR="002C0FD9" w:rsidRPr="00CA25CF" w:rsidRDefault="002C0FD9" w:rsidP="00CA25CF">
            <w:pPr>
              <w:rPr>
                <w:rFonts w:cs="Arial"/>
                <w:color w:val="FF0000"/>
                <w:sz w:val="21"/>
                <w:szCs w:val="21"/>
              </w:rPr>
            </w:pPr>
          </w:p>
        </w:tc>
        <w:tc>
          <w:tcPr>
            <w:tcW w:w="217" w:type="dxa"/>
          </w:tcPr>
          <w:p w14:paraId="64220EF7" w14:textId="77777777" w:rsidR="002C0FD9" w:rsidRPr="00CA25CF" w:rsidRDefault="002C0FD9" w:rsidP="00CA25CF">
            <w:pPr>
              <w:rPr>
                <w:rFonts w:cs="Arial"/>
                <w:color w:val="FF0000"/>
                <w:sz w:val="21"/>
                <w:szCs w:val="21"/>
              </w:rPr>
            </w:pPr>
          </w:p>
        </w:tc>
        <w:tc>
          <w:tcPr>
            <w:tcW w:w="217" w:type="dxa"/>
          </w:tcPr>
          <w:p w14:paraId="09A513F1" w14:textId="77777777" w:rsidR="002C0FD9" w:rsidRPr="00CA25CF" w:rsidRDefault="002C0FD9" w:rsidP="00CA25CF">
            <w:pPr>
              <w:rPr>
                <w:rFonts w:cs="Arial"/>
                <w:color w:val="FF0000"/>
                <w:sz w:val="21"/>
                <w:szCs w:val="21"/>
              </w:rPr>
            </w:pPr>
          </w:p>
        </w:tc>
      </w:tr>
      <w:tr w:rsidR="002C0FD9" w:rsidRPr="00A16219" w14:paraId="1E0E676F" w14:textId="77777777" w:rsidTr="002C0FD9">
        <w:trPr>
          <w:trHeight w:val="635"/>
        </w:trPr>
        <w:tc>
          <w:tcPr>
            <w:tcW w:w="515" w:type="dxa"/>
          </w:tcPr>
          <w:p w14:paraId="5AEB4546" w14:textId="77777777" w:rsidR="002C0FD9" w:rsidRPr="00CA25CF" w:rsidRDefault="002C0FD9" w:rsidP="00CA25CF">
            <w:pPr>
              <w:rPr>
                <w:rFonts w:cs="Arial"/>
                <w:color w:val="FF0000"/>
                <w:sz w:val="21"/>
                <w:szCs w:val="21"/>
              </w:rPr>
            </w:pPr>
          </w:p>
        </w:tc>
        <w:tc>
          <w:tcPr>
            <w:tcW w:w="217" w:type="dxa"/>
          </w:tcPr>
          <w:p w14:paraId="0ECD650D" w14:textId="77777777" w:rsidR="002C0FD9" w:rsidRPr="00CA25CF" w:rsidRDefault="002C0FD9" w:rsidP="00CA25CF">
            <w:pPr>
              <w:rPr>
                <w:rFonts w:cs="Arial"/>
                <w:color w:val="FF0000"/>
                <w:sz w:val="21"/>
                <w:szCs w:val="21"/>
              </w:rPr>
            </w:pPr>
          </w:p>
        </w:tc>
        <w:tc>
          <w:tcPr>
            <w:tcW w:w="217" w:type="dxa"/>
          </w:tcPr>
          <w:p w14:paraId="78AA564C" w14:textId="77777777" w:rsidR="002C0FD9" w:rsidRPr="00CA25CF" w:rsidRDefault="002C0FD9" w:rsidP="00CA25CF">
            <w:pPr>
              <w:rPr>
                <w:rFonts w:cs="Arial"/>
                <w:color w:val="FF0000"/>
                <w:sz w:val="21"/>
                <w:szCs w:val="21"/>
              </w:rPr>
            </w:pPr>
          </w:p>
        </w:tc>
        <w:tc>
          <w:tcPr>
            <w:tcW w:w="217" w:type="dxa"/>
          </w:tcPr>
          <w:p w14:paraId="39BD92C0" w14:textId="77777777" w:rsidR="002C0FD9" w:rsidRPr="00CA25CF" w:rsidRDefault="002C0FD9" w:rsidP="00CA25CF">
            <w:pPr>
              <w:rPr>
                <w:rFonts w:cs="Arial"/>
                <w:color w:val="FF0000"/>
                <w:sz w:val="21"/>
                <w:szCs w:val="21"/>
              </w:rPr>
            </w:pPr>
          </w:p>
        </w:tc>
        <w:tc>
          <w:tcPr>
            <w:tcW w:w="217" w:type="dxa"/>
          </w:tcPr>
          <w:p w14:paraId="38B3B43B" w14:textId="77777777" w:rsidR="002C0FD9" w:rsidRPr="00CA25CF" w:rsidRDefault="002C0FD9" w:rsidP="00CA25CF">
            <w:pPr>
              <w:rPr>
                <w:rFonts w:cs="Arial"/>
                <w:color w:val="FF0000"/>
                <w:sz w:val="21"/>
                <w:szCs w:val="21"/>
              </w:rPr>
            </w:pPr>
          </w:p>
        </w:tc>
        <w:tc>
          <w:tcPr>
            <w:tcW w:w="217" w:type="dxa"/>
          </w:tcPr>
          <w:p w14:paraId="61160529" w14:textId="77777777" w:rsidR="002C0FD9" w:rsidRPr="00CA25CF" w:rsidRDefault="002C0FD9" w:rsidP="00CA25CF">
            <w:pPr>
              <w:rPr>
                <w:rFonts w:cs="Arial"/>
                <w:color w:val="FF0000"/>
                <w:sz w:val="21"/>
                <w:szCs w:val="21"/>
              </w:rPr>
            </w:pPr>
          </w:p>
        </w:tc>
        <w:tc>
          <w:tcPr>
            <w:tcW w:w="217" w:type="dxa"/>
          </w:tcPr>
          <w:p w14:paraId="24D0EBE9" w14:textId="77777777" w:rsidR="002C0FD9" w:rsidRPr="00CA25CF" w:rsidRDefault="002C0FD9" w:rsidP="00CA25CF">
            <w:pPr>
              <w:rPr>
                <w:rFonts w:cs="Arial"/>
                <w:color w:val="FF0000"/>
                <w:sz w:val="21"/>
                <w:szCs w:val="21"/>
              </w:rPr>
            </w:pPr>
          </w:p>
        </w:tc>
        <w:tc>
          <w:tcPr>
            <w:tcW w:w="217" w:type="dxa"/>
          </w:tcPr>
          <w:p w14:paraId="7DF70057" w14:textId="77777777" w:rsidR="002C0FD9" w:rsidRPr="00CA25CF" w:rsidRDefault="002C0FD9" w:rsidP="00CA25CF">
            <w:pPr>
              <w:rPr>
                <w:rFonts w:cs="Arial"/>
                <w:color w:val="FF0000"/>
                <w:sz w:val="21"/>
                <w:szCs w:val="21"/>
              </w:rPr>
            </w:pPr>
          </w:p>
        </w:tc>
        <w:tc>
          <w:tcPr>
            <w:tcW w:w="217" w:type="dxa"/>
          </w:tcPr>
          <w:p w14:paraId="07D4FA60" w14:textId="77777777" w:rsidR="002C0FD9" w:rsidRPr="00CA25CF" w:rsidRDefault="002C0FD9" w:rsidP="00CA25CF">
            <w:pPr>
              <w:rPr>
                <w:rFonts w:cs="Arial"/>
                <w:color w:val="FF0000"/>
                <w:sz w:val="21"/>
                <w:szCs w:val="21"/>
              </w:rPr>
            </w:pPr>
          </w:p>
        </w:tc>
        <w:tc>
          <w:tcPr>
            <w:tcW w:w="217" w:type="dxa"/>
          </w:tcPr>
          <w:p w14:paraId="1095F697" w14:textId="77777777" w:rsidR="002C0FD9" w:rsidRPr="00CA25CF" w:rsidRDefault="002C0FD9" w:rsidP="00CA25CF">
            <w:pPr>
              <w:rPr>
                <w:rFonts w:cs="Arial"/>
                <w:color w:val="FF0000"/>
                <w:sz w:val="21"/>
                <w:szCs w:val="21"/>
              </w:rPr>
            </w:pPr>
          </w:p>
        </w:tc>
        <w:tc>
          <w:tcPr>
            <w:tcW w:w="217" w:type="dxa"/>
          </w:tcPr>
          <w:p w14:paraId="6421BDCB" w14:textId="77777777" w:rsidR="002C0FD9" w:rsidRPr="00CA25CF" w:rsidRDefault="002C0FD9" w:rsidP="00CA25CF">
            <w:pPr>
              <w:rPr>
                <w:rFonts w:cs="Arial"/>
                <w:color w:val="FF0000"/>
                <w:sz w:val="21"/>
                <w:szCs w:val="21"/>
              </w:rPr>
            </w:pPr>
          </w:p>
        </w:tc>
        <w:tc>
          <w:tcPr>
            <w:tcW w:w="217" w:type="dxa"/>
          </w:tcPr>
          <w:p w14:paraId="7D7B04C3" w14:textId="77777777" w:rsidR="002C0FD9" w:rsidRPr="00CA25CF" w:rsidRDefault="002C0FD9" w:rsidP="00CA25CF">
            <w:pPr>
              <w:rPr>
                <w:rFonts w:cs="Arial"/>
                <w:color w:val="FF0000"/>
                <w:sz w:val="21"/>
                <w:szCs w:val="21"/>
              </w:rPr>
            </w:pPr>
          </w:p>
        </w:tc>
        <w:tc>
          <w:tcPr>
            <w:tcW w:w="217" w:type="dxa"/>
          </w:tcPr>
          <w:p w14:paraId="73729BE1" w14:textId="77777777" w:rsidR="002C0FD9" w:rsidRPr="00CA25CF" w:rsidRDefault="002C0FD9" w:rsidP="00CA25CF">
            <w:pPr>
              <w:rPr>
                <w:rFonts w:cs="Arial"/>
                <w:color w:val="FF0000"/>
                <w:sz w:val="21"/>
                <w:szCs w:val="21"/>
              </w:rPr>
            </w:pPr>
          </w:p>
        </w:tc>
        <w:tc>
          <w:tcPr>
            <w:tcW w:w="217" w:type="dxa"/>
          </w:tcPr>
          <w:p w14:paraId="0ED30E49" w14:textId="77777777" w:rsidR="002C0FD9" w:rsidRPr="00CA25CF" w:rsidRDefault="002C0FD9" w:rsidP="00CA25CF">
            <w:pPr>
              <w:rPr>
                <w:rFonts w:cs="Arial"/>
                <w:color w:val="FF0000"/>
                <w:sz w:val="21"/>
                <w:szCs w:val="21"/>
              </w:rPr>
            </w:pPr>
          </w:p>
        </w:tc>
        <w:tc>
          <w:tcPr>
            <w:tcW w:w="217" w:type="dxa"/>
          </w:tcPr>
          <w:p w14:paraId="51D7D09F" w14:textId="77777777" w:rsidR="002C0FD9" w:rsidRPr="00CA25CF" w:rsidRDefault="002C0FD9" w:rsidP="00CA25CF">
            <w:pPr>
              <w:rPr>
                <w:rFonts w:cs="Arial"/>
                <w:color w:val="FF0000"/>
                <w:sz w:val="21"/>
                <w:szCs w:val="21"/>
              </w:rPr>
            </w:pPr>
          </w:p>
        </w:tc>
        <w:tc>
          <w:tcPr>
            <w:tcW w:w="217" w:type="dxa"/>
          </w:tcPr>
          <w:p w14:paraId="5F6B5640" w14:textId="77777777" w:rsidR="002C0FD9" w:rsidRPr="00CA25CF" w:rsidRDefault="002C0FD9" w:rsidP="00CA25CF">
            <w:pPr>
              <w:rPr>
                <w:rFonts w:cs="Arial"/>
                <w:color w:val="FF0000"/>
                <w:sz w:val="21"/>
                <w:szCs w:val="21"/>
              </w:rPr>
            </w:pPr>
          </w:p>
        </w:tc>
        <w:tc>
          <w:tcPr>
            <w:tcW w:w="217" w:type="dxa"/>
          </w:tcPr>
          <w:p w14:paraId="33D8C412" w14:textId="77777777" w:rsidR="002C0FD9" w:rsidRPr="00CA25CF" w:rsidRDefault="002C0FD9" w:rsidP="00CA25CF">
            <w:pPr>
              <w:rPr>
                <w:rFonts w:cs="Arial"/>
                <w:color w:val="FF0000"/>
                <w:sz w:val="21"/>
                <w:szCs w:val="21"/>
              </w:rPr>
            </w:pPr>
          </w:p>
        </w:tc>
        <w:tc>
          <w:tcPr>
            <w:tcW w:w="217" w:type="dxa"/>
          </w:tcPr>
          <w:p w14:paraId="1DE6B2D2" w14:textId="77777777" w:rsidR="002C0FD9" w:rsidRPr="00CA25CF" w:rsidRDefault="002C0FD9" w:rsidP="00CA25CF">
            <w:pPr>
              <w:rPr>
                <w:rFonts w:cs="Arial"/>
                <w:color w:val="FF0000"/>
                <w:sz w:val="21"/>
                <w:szCs w:val="21"/>
              </w:rPr>
            </w:pPr>
          </w:p>
        </w:tc>
        <w:tc>
          <w:tcPr>
            <w:tcW w:w="217" w:type="dxa"/>
          </w:tcPr>
          <w:p w14:paraId="3666D252" w14:textId="77777777" w:rsidR="002C0FD9" w:rsidRPr="00CA25CF" w:rsidRDefault="002C0FD9" w:rsidP="00CA25CF">
            <w:pPr>
              <w:rPr>
                <w:rFonts w:cs="Arial"/>
                <w:color w:val="FF0000"/>
                <w:sz w:val="21"/>
                <w:szCs w:val="21"/>
              </w:rPr>
            </w:pPr>
          </w:p>
        </w:tc>
        <w:tc>
          <w:tcPr>
            <w:tcW w:w="217" w:type="dxa"/>
          </w:tcPr>
          <w:p w14:paraId="219F57D3" w14:textId="77777777" w:rsidR="002C0FD9" w:rsidRPr="00CA25CF" w:rsidRDefault="002C0FD9" w:rsidP="00CA25CF">
            <w:pPr>
              <w:rPr>
                <w:rFonts w:cs="Arial"/>
                <w:color w:val="FF0000"/>
                <w:sz w:val="21"/>
                <w:szCs w:val="21"/>
              </w:rPr>
            </w:pPr>
          </w:p>
        </w:tc>
        <w:tc>
          <w:tcPr>
            <w:tcW w:w="217" w:type="dxa"/>
          </w:tcPr>
          <w:p w14:paraId="78F910CA" w14:textId="77777777" w:rsidR="002C0FD9" w:rsidRPr="00CA25CF" w:rsidRDefault="002C0FD9" w:rsidP="00CA25CF">
            <w:pPr>
              <w:rPr>
                <w:rFonts w:cs="Arial"/>
                <w:color w:val="FF0000"/>
                <w:sz w:val="21"/>
                <w:szCs w:val="21"/>
              </w:rPr>
            </w:pPr>
          </w:p>
        </w:tc>
        <w:tc>
          <w:tcPr>
            <w:tcW w:w="217" w:type="dxa"/>
          </w:tcPr>
          <w:p w14:paraId="06061F1B" w14:textId="77777777" w:rsidR="002C0FD9" w:rsidRPr="00CA25CF" w:rsidRDefault="002C0FD9" w:rsidP="00CA25CF">
            <w:pPr>
              <w:rPr>
                <w:rFonts w:cs="Arial"/>
                <w:color w:val="FF0000"/>
                <w:sz w:val="21"/>
                <w:szCs w:val="21"/>
              </w:rPr>
            </w:pPr>
          </w:p>
        </w:tc>
        <w:tc>
          <w:tcPr>
            <w:tcW w:w="217" w:type="dxa"/>
          </w:tcPr>
          <w:p w14:paraId="33E3FCBE" w14:textId="77777777" w:rsidR="002C0FD9" w:rsidRPr="00CA25CF" w:rsidRDefault="002C0FD9" w:rsidP="00CA25CF">
            <w:pPr>
              <w:rPr>
                <w:rFonts w:cs="Arial"/>
                <w:color w:val="FF0000"/>
                <w:sz w:val="21"/>
                <w:szCs w:val="21"/>
              </w:rPr>
            </w:pPr>
          </w:p>
        </w:tc>
        <w:tc>
          <w:tcPr>
            <w:tcW w:w="217" w:type="dxa"/>
          </w:tcPr>
          <w:p w14:paraId="4C63C5C3" w14:textId="77777777" w:rsidR="002C0FD9" w:rsidRPr="00CA25CF" w:rsidRDefault="002C0FD9" w:rsidP="00CA25CF">
            <w:pPr>
              <w:rPr>
                <w:rFonts w:cs="Arial"/>
                <w:color w:val="FF0000"/>
                <w:sz w:val="21"/>
                <w:szCs w:val="21"/>
              </w:rPr>
            </w:pPr>
          </w:p>
        </w:tc>
        <w:tc>
          <w:tcPr>
            <w:tcW w:w="217" w:type="dxa"/>
          </w:tcPr>
          <w:p w14:paraId="2AA6A148" w14:textId="77777777" w:rsidR="002C0FD9" w:rsidRPr="00CA25CF" w:rsidRDefault="002C0FD9" w:rsidP="00CA25CF">
            <w:pPr>
              <w:rPr>
                <w:rFonts w:cs="Arial"/>
                <w:color w:val="FF0000"/>
                <w:sz w:val="21"/>
                <w:szCs w:val="21"/>
              </w:rPr>
            </w:pPr>
          </w:p>
        </w:tc>
        <w:tc>
          <w:tcPr>
            <w:tcW w:w="217" w:type="dxa"/>
          </w:tcPr>
          <w:p w14:paraId="55862005" w14:textId="77777777" w:rsidR="002C0FD9" w:rsidRPr="00CA25CF" w:rsidRDefault="002C0FD9" w:rsidP="00CA25CF">
            <w:pPr>
              <w:rPr>
                <w:rFonts w:cs="Arial"/>
                <w:color w:val="FF0000"/>
                <w:sz w:val="21"/>
                <w:szCs w:val="21"/>
              </w:rPr>
            </w:pPr>
          </w:p>
        </w:tc>
        <w:tc>
          <w:tcPr>
            <w:tcW w:w="217" w:type="dxa"/>
          </w:tcPr>
          <w:p w14:paraId="158749FE" w14:textId="77777777" w:rsidR="002C0FD9" w:rsidRPr="00CA25CF" w:rsidRDefault="002C0FD9" w:rsidP="00CA25CF">
            <w:pPr>
              <w:rPr>
                <w:rFonts w:cs="Arial"/>
                <w:color w:val="FF0000"/>
                <w:sz w:val="21"/>
                <w:szCs w:val="21"/>
              </w:rPr>
            </w:pPr>
          </w:p>
        </w:tc>
        <w:tc>
          <w:tcPr>
            <w:tcW w:w="217" w:type="dxa"/>
          </w:tcPr>
          <w:p w14:paraId="022E5784" w14:textId="77777777" w:rsidR="002C0FD9" w:rsidRPr="00CA25CF" w:rsidRDefault="002C0FD9" w:rsidP="00CA25CF">
            <w:pPr>
              <w:rPr>
                <w:rFonts w:cs="Arial"/>
                <w:color w:val="FF0000"/>
                <w:sz w:val="21"/>
                <w:szCs w:val="21"/>
              </w:rPr>
            </w:pPr>
          </w:p>
        </w:tc>
        <w:tc>
          <w:tcPr>
            <w:tcW w:w="217" w:type="dxa"/>
          </w:tcPr>
          <w:p w14:paraId="46E005F2" w14:textId="77777777" w:rsidR="002C0FD9" w:rsidRPr="00CA25CF" w:rsidRDefault="002C0FD9" w:rsidP="00CA25CF">
            <w:pPr>
              <w:rPr>
                <w:rFonts w:cs="Arial"/>
                <w:color w:val="FF0000"/>
                <w:sz w:val="21"/>
                <w:szCs w:val="21"/>
              </w:rPr>
            </w:pPr>
          </w:p>
        </w:tc>
        <w:tc>
          <w:tcPr>
            <w:tcW w:w="217" w:type="dxa"/>
          </w:tcPr>
          <w:p w14:paraId="1B50E817" w14:textId="77777777" w:rsidR="002C0FD9" w:rsidRPr="00CA25CF" w:rsidRDefault="002C0FD9" w:rsidP="00CA25CF">
            <w:pPr>
              <w:rPr>
                <w:rFonts w:cs="Arial"/>
                <w:color w:val="FF0000"/>
                <w:sz w:val="21"/>
                <w:szCs w:val="21"/>
              </w:rPr>
            </w:pPr>
          </w:p>
        </w:tc>
        <w:tc>
          <w:tcPr>
            <w:tcW w:w="217" w:type="dxa"/>
          </w:tcPr>
          <w:p w14:paraId="09E4764D" w14:textId="77777777" w:rsidR="002C0FD9" w:rsidRPr="00CA25CF" w:rsidRDefault="002C0FD9" w:rsidP="00CA25CF">
            <w:pPr>
              <w:rPr>
                <w:rFonts w:cs="Arial"/>
                <w:color w:val="FF0000"/>
                <w:sz w:val="21"/>
                <w:szCs w:val="21"/>
              </w:rPr>
            </w:pPr>
          </w:p>
        </w:tc>
        <w:tc>
          <w:tcPr>
            <w:tcW w:w="217" w:type="dxa"/>
          </w:tcPr>
          <w:p w14:paraId="1C9B2770" w14:textId="77777777" w:rsidR="002C0FD9" w:rsidRPr="00CA25CF" w:rsidRDefault="002C0FD9" w:rsidP="00CA25CF">
            <w:pPr>
              <w:rPr>
                <w:rFonts w:cs="Arial"/>
                <w:color w:val="FF0000"/>
                <w:sz w:val="21"/>
                <w:szCs w:val="21"/>
              </w:rPr>
            </w:pPr>
          </w:p>
        </w:tc>
        <w:tc>
          <w:tcPr>
            <w:tcW w:w="217" w:type="dxa"/>
          </w:tcPr>
          <w:p w14:paraId="0744C7C3" w14:textId="77777777" w:rsidR="002C0FD9" w:rsidRPr="00CA25CF" w:rsidRDefault="002C0FD9" w:rsidP="00CA25CF">
            <w:pPr>
              <w:rPr>
                <w:rFonts w:cs="Arial"/>
                <w:color w:val="FF0000"/>
                <w:sz w:val="21"/>
                <w:szCs w:val="21"/>
              </w:rPr>
            </w:pPr>
          </w:p>
        </w:tc>
        <w:tc>
          <w:tcPr>
            <w:tcW w:w="217" w:type="dxa"/>
          </w:tcPr>
          <w:p w14:paraId="74B02FAC" w14:textId="77777777" w:rsidR="002C0FD9" w:rsidRPr="00CA25CF" w:rsidRDefault="002C0FD9" w:rsidP="00CA25CF">
            <w:pPr>
              <w:rPr>
                <w:rFonts w:cs="Arial"/>
                <w:color w:val="FF0000"/>
                <w:sz w:val="21"/>
                <w:szCs w:val="21"/>
              </w:rPr>
            </w:pPr>
          </w:p>
        </w:tc>
        <w:tc>
          <w:tcPr>
            <w:tcW w:w="217" w:type="dxa"/>
          </w:tcPr>
          <w:p w14:paraId="2621BD4A" w14:textId="77777777" w:rsidR="002C0FD9" w:rsidRPr="00CA25CF" w:rsidRDefault="002C0FD9" w:rsidP="00CA25CF">
            <w:pPr>
              <w:rPr>
                <w:rFonts w:cs="Arial"/>
                <w:color w:val="FF0000"/>
                <w:sz w:val="21"/>
                <w:szCs w:val="21"/>
              </w:rPr>
            </w:pPr>
          </w:p>
        </w:tc>
        <w:tc>
          <w:tcPr>
            <w:tcW w:w="217" w:type="dxa"/>
          </w:tcPr>
          <w:p w14:paraId="7767979F" w14:textId="77777777" w:rsidR="002C0FD9" w:rsidRPr="00CA25CF" w:rsidRDefault="002C0FD9" w:rsidP="00CA25CF">
            <w:pPr>
              <w:rPr>
                <w:rFonts w:cs="Arial"/>
                <w:color w:val="FF0000"/>
                <w:sz w:val="21"/>
                <w:szCs w:val="21"/>
              </w:rPr>
            </w:pPr>
          </w:p>
        </w:tc>
        <w:tc>
          <w:tcPr>
            <w:tcW w:w="217" w:type="dxa"/>
          </w:tcPr>
          <w:p w14:paraId="5C30A380" w14:textId="77777777" w:rsidR="002C0FD9" w:rsidRPr="00CA25CF" w:rsidRDefault="002C0FD9" w:rsidP="00CA25CF">
            <w:pPr>
              <w:rPr>
                <w:rFonts w:cs="Arial"/>
                <w:color w:val="FF0000"/>
                <w:sz w:val="21"/>
                <w:szCs w:val="21"/>
              </w:rPr>
            </w:pPr>
          </w:p>
        </w:tc>
        <w:tc>
          <w:tcPr>
            <w:tcW w:w="217" w:type="dxa"/>
          </w:tcPr>
          <w:p w14:paraId="50FD3F30" w14:textId="77777777" w:rsidR="002C0FD9" w:rsidRPr="00CA25CF" w:rsidRDefault="002C0FD9" w:rsidP="00CA25CF">
            <w:pPr>
              <w:rPr>
                <w:rFonts w:cs="Arial"/>
                <w:color w:val="FF0000"/>
                <w:sz w:val="21"/>
                <w:szCs w:val="21"/>
              </w:rPr>
            </w:pPr>
          </w:p>
        </w:tc>
        <w:tc>
          <w:tcPr>
            <w:tcW w:w="217" w:type="dxa"/>
          </w:tcPr>
          <w:p w14:paraId="1E6DFE8A" w14:textId="77777777" w:rsidR="002C0FD9" w:rsidRPr="00CA25CF" w:rsidRDefault="002C0FD9" w:rsidP="00CA25CF">
            <w:pPr>
              <w:rPr>
                <w:rFonts w:cs="Arial"/>
                <w:color w:val="FF0000"/>
                <w:sz w:val="21"/>
                <w:szCs w:val="21"/>
              </w:rPr>
            </w:pPr>
          </w:p>
        </w:tc>
        <w:tc>
          <w:tcPr>
            <w:tcW w:w="217" w:type="dxa"/>
          </w:tcPr>
          <w:p w14:paraId="7CCAAF66" w14:textId="77777777" w:rsidR="002C0FD9" w:rsidRPr="00CA25CF" w:rsidRDefault="002C0FD9" w:rsidP="00CA25CF">
            <w:pPr>
              <w:rPr>
                <w:rFonts w:cs="Arial"/>
                <w:color w:val="FF0000"/>
                <w:sz w:val="21"/>
                <w:szCs w:val="21"/>
              </w:rPr>
            </w:pPr>
          </w:p>
        </w:tc>
        <w:tc>
          <w:tcPr>
            <w:tcW w:w="217" w:type="dxa"/>
          </w:tcPr>
          <w:p w14:paraId="06B7CFE6" w14:textId="77777777" w:rsidR="002C0FD9" w:rsidRPr="00CA25CF" w:rsidRDefault="002C0FD9" w:rsidP="00CA25CF">
            <w:pPr>
              <w:rPr>
                <w:rFonts w:cs="Arial"/>
                <w:color w:val="FF0000"/>
                <w:sz w:val="21"/>
                <w:szCs w:val="21"/>
              </w:rPr>
            </w:pPr>
          </w:p>
        </w:tc>
        <w:tc>
          <w:tcPr>
            <w:tcW w:w="217" w:type="dxa"/>
          </w:tcPr>
          <w:p w14:paraId="54AF56FC" w14:textId="77777777" w:rsidR="002C0FD9" w:rsidRPr="00CA25CF" w:rsidRDefault="002C0FD9" w:rsidP="00CA25CF">
            <w:pPr>
              <w:rPr>
                <w:rFonts w:cs="Arial"/>
                <w:color w:val="FF0000"/>
                <w:sz w:val="21"/>
                <w:szCs w:val="21"/>
              </w:rPr>
            </w:pPr>
          </w:p>
        </w:tc>
        <w:tc>
          <w:tcPr>
            <w:tcW w:w="217" w:type="dxa"/>
          </w:tcPr>
          <w:p w14:paraId="65A8F6BC" w14:textId="77777777" w:rsidR="002C0FD9" w:rsidRPr="00CA25CF" w:rsidRDefault="002C0FD9" w:rsidP="00CA25CF">
            <w:pPr>
              <w:rPr>
                <w:rFonts w:cs="Arial"/>
                <w:color w:val="FF0000"/>
                <w:sz w:val="21"/>
                <w:szCs w:val="21"/>
              </w:rPr>
            </w:pPr>
          </w:p>
        </w:tc>
      </w:tr>
      <w:tr w:rsidR="002C0FD9" w:rsidRPr="00A16219" w14:paraId="346A80DD" w14:textId="77777777" w:rsidTr="002C0FD9">
        <w:trPr>
          <w:trHeight w:val="635"/>
        </w:trPr>
        <w:tc>
          <w:tcPr>
            <w:tcW w:w="515" w:type="dxa"/>
          </w:tcPr>
          <w:p w14:paraId="29A2DEB3" w14:textId="77777777" w:rsidR="002C0FD9" w:rsidRPr="00CA25CF" w:rsidRDefault="002C0FD9" w:rsidP="00CA25CF">
            <w:pPr>
              <w:rPr>
                <w:rFonts w:cs="Arial"/>
                <w:color w:val="FF0000"/>
                <w:sz w:val="21"/>
                <w:szCs w:val="21"/>
              </w:rPr>
            </w:pPr>
          </w:p>
        </w:tc>
        <w:tc>
          <w:tcPr>
            <w:tcW w:w="217" w:type="dxa"/>
          </w:tcPr>
          <w:p w14:paraId="6846368B" w14:textId="77777777" w:rsidR="002C0FD9" w:rsidRPr="00CA25CF" w:rsidRDefault="002C0FD9" w:rsidP="00CA25CF">
            <w:pPr>
              <w:rPr>
                <w:rFonts w:cs="Arial"/>
                <w:color w:val="FF0000"/>
                <w:sz w:val="21"/>
                <w:szCs w:val="21"/>
              </w:rPr>
            </w:pPr>
          </w:p>
        </w:tc>
        <w:tc>
          <w:tcPr>
            <w:tcW w:w="217" w:type="dxa"/>
          </w:tcPr>
          <w:p w14:paraId="68A75134" w14:textId="77777777" w:rsidR="002C0FD9" w:rsidRPr="00CA25CF" w:rsidRDefault="002C0FD9" w:rsidP="00CA25CF">
            <w:pPr>
              <w:rPr>
                <w:rFonts w:cs="Arial"/>
                <w:color w:val="FF0000"/>
                <w:sz w:val="21"/>
                <w:szCs w:val="21"/>
              </w:rPr>
            </w:pPr>
          </w:p>
        </w:tc>
        <w:tc>
          <w:tcPr>
            <w:tcW w:w="217" w:type="dxa"/>
          </w:tcPr>
          <w:p w14:paraId="75E32881" w14:textId="77777777" w:rsidR="002C0FD9" w:rsidRPr="00CA25CF" w:rsidRDefault="002C0FD9" w:rsidP="00CA25CF">
            <w:pPr>
              <w:rPr>
                <w:rFonts w:cs="Arial"/>
                <w:color w:val="FF0000"/>
                <w:sz w:val="21"/>
                <w:szCs w:val="21"/>
              </w:rPr>
            </w:pPr>
          </w:p>
        </w:tc>
        <w:tc>
          <w:tcPr>
            <w:tcW w:w="217" w:type="dxa"/>
          </w:tcPr>
          <w:p w14:paraId="2695DD4B" w14:textId="77777777" w:rsidR="002C0FD9" w:rsidRPr="00CA25CF" w:rsidRDefault="002C0FD9" w:rsidP="00CA25CF">
            <w:pPr>
              <w:rPr>
                <w:rFonts w:cs="Arial"/>
                <w:color w:val="FF0000"/>
                <w:sz w:val="21"/>
                <w:szCs w:val="21"/>
              </w:rPr>
            </w:pPr>
          </w:p>
        </w:tc>
        <w:tc>
          <w:tcPr>
            <w:tcW w:w="217" w:type="dxa"/>
          </w:tcPr>
          <w:p w14:paraId="5E574675" w14:textId="77777777" w:rsidR="002C0FD9" w:rsidRPr="00CA25CF" w:rsidRDefault="002C0FD9" w:rsidP="00CA25CF">
            <w:pPr>
              <w:rPr>
                <w:rFonts w:cs="Arial"/>
                <w:color w:val="FF0000"/>
                <w:sz w:val="21"/>
                <w:szCs w:val="21"/>
              </w:rPr>
            </w:pPr>
          </w:p>
        </w:tc>
        <w:tc>
          <w:tcPr>
            <w:tcW w:w="217" w:type="dxa"/>
          </w:tcPr>
          <w:p w14:paraId="5536E9E4" w14:textId="77777777" w:rsidR="002C0FD9" w:rsidRPr="00CA25CF" w:rsidRDefault="002C0FD9" w:rsidP="00CA25CF">
            <w:pPr>
              <w:rPr>
                <w:rFonts w:cs="Arial"/>
                <w:color w:val="FF0000"/>
                <w:sz w:val="21"/>
                <w:szCs w:val="21"/>
              </w:rPr>
            </w:pPr>
          </w:p>
        </w:tc>
        <w:tc>
          <w:tcPr>
            <w:tcW w:w="217" w:type="dxa"/>
          </w:tcPr>
          <w:p w14:paraId="36B7C58B" w14:textId="77777777" w:rsidR="002C0FD9" w:rsidRPr="00CA25CF" w:rsidRDefault="002C0FD9" w:rsidP="00CA25CF">
            <w:pPr>
              <w:rPr>
                <w:rFonts w:cs="Arial"/>
                <w:color w:val="FF0000"/>
                <w:sz w:val="21"/>
                <w:szCs w:val="21"/>
              </w:rPr>
            </w:pPr>
          </w:p>
        </w:tc>
        <w:tc>
          <w:tcPr>
            <w:tcW w:w="217" w:type="dxa"/>
          </w:tcPr>
          <w:p w14:paraId="432226AF" w14:textId="77777777" w:rsidR="002C0FD9" w:rsidRPr="00CA25CF" w:rsidRDefault="002C0FD9" w:rsidP="00CA25CF">
            <w:pPr>
              <w:rPr>
                <w:rFonts w:cs="Arial"/>
                <w:color w:val="FF0000"/>
                <w:sz w:val="21"/>
                <w:szCs w:val="21"/>
              </w:rPr>
            </w:pPr>
          </w:p>
        </w:tc>
        <w:tc>
          <w:tcPr>
            <w:tcW w:w="217" w:type="dxa"/>
          </w:tcPr>
          <w:p w14:paraId="1032E277" w14:textId="77777777" w:rsidR="002C0FD9" w:rsidRPr="00CA25CF" w:rsidRDefault="002C0FD9" w:rsidP="00CA25CF">
            <w:pPr>
              <w:rPr>
                <w:rFonts w:cs="Arial"/>
                <w:color w:val="FF0000"/>
                <w:sz w:val="21"/>
                <w:szCs w:val="21"/>
              </w:rPr>
            </w:pPr>
          </w:p>
        </w:tc>
        <w:tc>
          <w:tcPr>
            <w:tcW w:w="217" w:type="dxa"/>
          </w:tcPr>
          <w:p w14:paraId="0B26AF5F" w14:textId="77777777" w:rsidR="002C0FD9" w:rsidRPr="00CA25CF" w:rsidRDefault="002C0FD9" w:rsidP="00CA25CF">
            <w:pPr>
              <w:rPr>
                <w:rFonts w:cs="Arial"/>
                <w:color w:val="FF0000"/>
                <w:sz w:val="21"/>
                <w:szCs w:val="21"/>
              </w:rPr>
            </w:pPr>
          </w:p>
        </w:tc>
        <w:tc>
          <w:tcPr>
            <w:tcW w:w="217" w:type="dxa"/>
          </w:tcPr>
          <w:p w14:paraId="66229591" w14:textId="77777777" w:rsidR="002C0FD9" w:rsidRPr="00CA25CF" w:rsidRDefault="002C0FD9" w:rsidP="00CA25CF">
            <w:pPr>
              <w:rPr>
                <w:rFonts w:cs="Arial"/>
                <w:color w:val="FF0000"/>
                <w:sz w:val="21"/>
                <w:szCs w:val="21"/>
              </w:rPr>
            </w:pPr>
          </w:p>
        </w:tc>
        <w:tc>
          <w:tcPr>
            <w:tcW w:w="217" w:type="dxa"/>
          </w:tcPr>
          <w:p w14:paraId="57D0D582" w14:textId="77777777" w:rsidR="002C0FD9" w:rsidRPr="00CA25CF" w:rsidRDefault="002C0FD9" w:rsidP="00CA25CF">
            <w:pPr>
              <w:rPr>
                <w:rFonts w:cs="Arial"/>
                <w:color w:val="FF0000"/>
                <w:sz w:val="21"/>
                <w:szCs w:val="21"/>
              </w:rPr>
            </w:pPr>
          </w:p>
        </w:tc>
        <w:tc>
          <w:tcPr>
            <w:tcW w:w="217" w:type="dxa"/>
          </w:tcPr>
          <w:p w14:paraId="019BC368" w14:textId="77777777" w:rsidR="002C0FD9" w:rsidRPr="00CA25CF" w:rsidRDefault="002C0FD9" w:rsidP="00CA25CF">
            <w:pPr>
              <w:rPr>
                <w:rFonts w:cs="Arial"/>
                <w:color w:val="FF0000"/>
                <w:sz w:val="21"/>
                <w:szCs w:val="21"/>
              </w:rPr>
            </w:pPr>
          </w:p>
        </w:tc>
        <w:tc>
          <w:tcPr>
            <w:tcW w:w="217" w:type="dxa"/>
          </w:tcPr>
          <w:p w14:paraId="4FA424D4" w14:textId="77777777" w:rsidR="002C0FD9" w:rsidRPr="00CA25CF" w:rsidRDefault="002C0FD9" w:rsidP="00CA25CF">
            <w:pPr>
              <w:rPr>
                <w:rFonts w:cs="Arial"/>
                <w:color w:val="FF0000"/>
                <w:sz w:val="21"/>
                <w:szCs w:val="21"/>
              </w:rPr>
            </w:pPr>
          </w:p>
        </w:tc>
        <w:tc>
          <w:tcPr>
            <w:tcW w:w="217" w:type="dxa"/>
          </w:tcPr>
          <w:p w14:paraId="6725ADC2" w14:textId="77777777" w:rsidR="002C0FD9" w:rsidRPr="00CA25CF" w:rsidRDefault="002C0FD9" w:rsidP="00CA25CF">
            <w:pPr>
              <w:rPr>
                <w:rFonts w:cs="Arial"/>
                <w:color w:val="FF0000"/>
                <w:sz w:val="21"/>
                <w:szCs w:val="21"/>
              </w:rPr>
            </w:pPr>
          </w:p>
        </w:tc>
        <w:tc>
          <w:tcPr>
            <w:tcW w:w="217" w:type="dxa"/>
          </w:tcPr>
          <w:p w14:paraId="2B87E17D" w14:textId="77777777" w:rsidR="002C0FD9" w:rsidRPr="00CA25CF" w:rsidRDefault="002C0FD9" w:rsidP="00CA25CF">
            <w:pPr>
              <w:rPr>
                <w:rFonts w:cs="Arial"/>
                <w:color w:val="FF0000"/>
                <w:sz w:val="21"/>
                <w:szCs w:val="21"/>
              </w:rPr>
            </w:pPr>
          </w:p>
        </w:tc>
        <w:tc>
          <w:tcPr>
            <w:tcW w:w="217" w:type="dxa"/>
          </w:tcPr>
          <w:p w14:paraId="16E25579" w14:textId="77777777" w:rsidR="002C0FD9" w:rsidRPr="00CA25CF" w:rsidRDefault="002C0FD9" w:rsidP="00CA25CF">
            <w:pPr>
              <w:rPr>
                <w:rFonts w:cs="Arial"/>
                <w:color w:val="FF0000"/>
                <w:sz w:val="21"/>
                <w:szCs w:val="21"/>
              </w:rPr>
            </w:pPr>
          </w:p>
        </w:tc>
        <w:tc>
          <w:tcPr>
            <w:tcW w:w="217" w:type="dxa"/>
          </w:tcPr>
          <w:p w14:paraId="03F5CD5D" w14:textId="77777777" w:rsidR="002C0FD9" w:rsidRPr="00CA25CF" w:rsidRDefault="002C0FD9" w:rsidP="00CA25CF">
            <w:pPr>
              <w:rPr>
                <w:rFonts w:cs="Arial"/>
                <w:color w:val="FF0000"/>
                <w:sz w:val="21"/>
                <w:szCs w:val="21"/>
              </w:rPr>
            </w:pPr>
          </w:p>
        </w:tc>
        <w:tc>
          <w:tcPr>
            <w:tcW w:w="217" w:type="dxa"/>
          </w:tcPr>
          <w:p w14:paraId="07D42A6D" w14:textId="77777777" w:rsidR="002C0FD9" w:rsidRPr="00CA25CF" w:rsidRDefault="002C0FD9" w:rsidP="00CA25CF">
            <w:pPr>
              <w:rPr>
                <w:rFonts w:cs="Arial"/>
                <w:color w:val="FF0000"/>
                <w:sz w:val="21"/>
                <w:szCs w:val="21"/>
              </w:rPr>
            </w:pPr>
          </w:p>
        </w:tc>
        <w:tc>
          <w:tcPr>
            <w:tcW w:w="217" w:type="dxa"/>
          </w:tcPr>
          <w:p w14:paraId="716C4F91" w14:textId="77777777" w:rsidR="002C0FD9" w:rsidRPr="00CA25CF" w:rsidRDefault="002C0FD9" w:rsidP="00CA25CF">
            <w:pPr>
              <w:rPr>
                <w:rFonts w:cs="Arial"/>
                <w:color w:val="FF0000"/>
                <w:sz w:val="21"/>
                <w:szCs w:val="21"/>
              </w:rPr>
            </w:pPr>
          </w:p>
        </w:tc>
        <w:tc>
          <w:tcPr>
            <w:tcW w:w="217" w:type="dxa"/>
          </w:tcPr>
          <w:p w14:paraId="633561D0" w14:textId="77777777" w:rsidR="002C0FD9" w:rsidRPr="00CA25CF" w:rsidRDefault="002C0FD9" w:rsidP="00CA25CF">
            <w:pPr>
              <w:rPr>
                <w:rFonts w:cs="Arial"/>
                <w:color w:val="FF0000"/>
                <w:sz w:val="21"/>
                <w:szCs w:val="21"/>
              </w:rPr>
            </w:pPr>
          </w:p>
        </w:tc>
        <w:tc>
          <w:tcPr>
            <w:tcW w:w="217" w:type="dxa"/>
          </w:tcPr>
          <w:p w14:paraId="11F6573C" w14:textId="77777777" w:rsidR="002C0FD9" w:rsidRPr="00CA25CF" w:rsidRDefault="002C0FD9" w:rsidP="00CA25CF">
            <w:pPr>
              <w:rPr>
                <w:rFonts w:cs="Arial"/>
                <w:color w:val="FF0000"/>
                <w:sz w:val="21"/>
                <w:szCs w:val="21"/>
              </w:rPr>
            </w:pPr>
          </w:p>
        </w:tc>
        <w:tc>
          <w:tcPr>
            <w:tcW w:w="217" w:type="dxa"/>
          </w:tcPr>
          <w:p w14:paraId="327D5723" w14:textId="77777777" w:rsidR="002C0FD9" w:rsidRPr="00CA25CF" w:rsidRDefault="002C0FD9" w:rsidP="00CA25CF">
            <w:pPr>
              <w:rPr>
                <w:rFonts w:cs="Arial"/>
                <w:color w:val="FF0000"/>
                <w:sz w:val="21"/>
                <w:szCs w:val="21"/>
              </w:rPr>
            </w:pPr>
          </w:p>
        </w:tc>
        <w:tc>
          <w:tcPr>
            <w:tcW w:w="217" w:type="dxa"/>
          </w:tcPr>
          <w:p w14:paraId="0D84B85A" w14:textId="77777777" w:rsidR="002C0FD9" w:rsidRPr="00CA25CF" w:rsidRDefault="002C0FD9" w:rsidP="00CA25CF">
            <w:pPr>
              <w:rPr>
                <w:rFonts w:cs="Arial"/>
                <w:color w:val="FF0000"/>
                <w:sz w:val="21"/>
                <w:szCs w:val="21"/>
              </w:rPr>
            </w:pPr>
          </w:p>
        </w:tc>
        <w:tc>
          <w:tcPr>
            <w:tcW w:w="217" w:type="dxa"/>
          </w:tcPr>
          <w:p w14:paraId="37A117FB" w14:textId="77777777" w:rsidR="002C0FD9" w:rsidRPr="00CA25CF" w:rsidRDefault="002C0FD9" w:rsidP="00CA25CF">
            <w:pPr>
              <w:rPr>
                <w:rFonts w:cs="Arial"/>
                <w:color w:val="FF0000"/>
                <w:sz w:val="21"/>
                <w:szCs w:val="21"/>
              </w:rPr>
            </w:pPr>
          </w:p>
        </w:tc>
        <w:tc>
          <w:tcPr>
            <w:tcW w:w="217" w:type="dxa"/>
          </w:tcPr>
          <w:p w14:paraId="3A21D65E" w14:textId="77777777" w:rsidR="002C0FD9" w:rsidRPr="00CA25CF" w:rsidRDefault="002C0FD9" w:rsidP="00CA25CF">
            <w:pPr>
              <w:rPr>
                <w:rFonts w:cs="Arial"/>
                <w:color w:val="FF0000"/>
                <w:sz w:val="21"/>
                <w:szCs w:val="21"/>
              </w:rPr>
            </w:pPr>
          </w:p>
        </w:tc>
        <w:tc>
          <w:tcPr>
            <w:tcW w:w="217" w:type="dxa"/>
          </w:tcPr>
          <w:p w14:paraId="3F29BA5A" w14:textId="77777777" w:rsidR="002C0FD9" w:rsidRPr="00CA25CF" w:rsidRDefault="002C0FD9" w:rsidP="00CA25CF">
            <w:pPr>
              <w:rPr>
                <w:rFonts w:cs="Arial"/>
                <w:color w:val="FF0000"/>
                <w:sz w:val="21"/>
                <w:szCs w:val="21"/>
              </w:rPr>
            </w:pPr>
          </w:p>
        </w:tc>
        <w:tc>
          <w:tcPr>
            <w:tcW w:w="217" w:type="dxa"/>
          </w:tcPr>
          <w:p w14:paraId="3EDEDF3E" w14:textId="77777777" w:rsidR="002C0FD9" w:rsidRPr="00CA25CF" w:rsidRDefault="002C0FD9" w:rsidP="00CA25CF">
            <w:pPr>
              <w:rPr>
                <w:rFonts w:cs="Arial"/>
                <w:color w:val="FF0000"/>
                <w:sz w:val="21"/>
                <w:szCs w:val="21"/>
              </w:rPr>
            </w:pPr>
          </w:p>
        </w:tc>
        <w:tc>
          <w:tcPr>
            <w:tcW w:w="217" w:type="dxa"/>
          </w:tcPr>
          <w:p w14:paraId="0727317B" w14:textId="77777777" w:rsidR="002C0FD9" w:rsidRPr="00CA25CF" w:rsidRDefault="002C0FD9" w:rsidP="00CA25CF">
            <w:pPr>
              <w:rPr>
                <w:rFonts w:cs="Arial"/>
                <w:color w:val="FF0000"/>
                <w:sz w:val="21"/>
                <w:szCs w:val="21"/>
              </w:rPr>
            </w:pPr>
          </w:p>
        </w:tc>
        <w:tc>
          <w:tcPr>
            <w:tcW w:w="217" w:type="dxa"/>
          </w:tcPr>
          <w:p w14:paraId="05A1FB00" w14:textId="77777777" w:rsidR="002C0FD9" w:rsidRPr="00CA25CF" w:rsidRDefault="002C0FD9" w:rsidP="00CA25CF">
            <w:pPr>
              <w:rPr>
                <w:rFonts w:cs="Arial"/>
                <w:color w:val="FF0000"/>
                <w:sz w:val="21"/>
                <w:szCs w:val="21"/>
              </w:rPr>
            </w:pPr>
          </w:p>
        </w:tc>
        <w:tc>
          <w:tcPr>
            <w:tcW w:w="217" w:type="dxa"/>
          </w:tcPr>
          <w:p w14:paraId="3226F522" w14:textId="77777777" w:rsidR="002C0FD9" w:rsidRPr="00CA25CF" w:rsidRDefault="002C0FD9" w:rsidP="00CA25CF">
            <w:pPr>
              <w:rPr>
                <w:rFonts w:cs="Arial"/>
                <w:color w:val="FF0000"/>
                <w:sz w:val="21"/>
                <w:szCs w:val="21"/>
              </w:rPr>
            </w:pPr>
          </w:p>
        </w:tc>
        <w:tc>
          <w:tcPr>
            <w:tcW w:w="217" w:type="dxa"/>
          </w:tcPr>
          <w:p w14:paraId="1B96F3CB" w14:textId="77777777" w:rsidR="002C0FD9" w:rsidRPr="00CA25CF" w:rsidRDefault="002C0FD9" w:rsidP="00CA25CF">
            <w:pPr>
              <w:rPr>
                <w:rFonts w:cs="Arial"/>
                <w:color w:val="FF0000"/>
                <w:sz w:val="21"/>
                <w:szCs w:val="21"/>
              </w:rPr>
            </w:pPr>
          </w:p>
        </w:tc>
        <w:tc>
          <w:tcPr>
            <w:tcW w:w="217" w:type="dxa"/>
          </w:tcPr>
          <w:p w14:paraId="09136F71" w14:textId="77777777" w:rsidR="002C0FD9" w:rsidRPr="00CA25CF" w:rsidRDefault="002C0FD9" w:rsidP="00CA25CF">
            <w:pPr>
              <w:rPr>
                <w:rFonts w:cs="Arial"/>
                <w:color w:val="FF0000"/>
                <w:sz w:val="21"/>
                <w:szCs w:val="21"/>
              </w:rPr>
            </w:pPr>
          </w:p>
        </w:tc>
        <w:tc>
          <w:tcPr>
            <w:tcW w:w="217" w:type="dxa"/>
          </w:tcPr>
          <w:p w14:paraId="49A6FA79" w14:textId="77777777" w:rsidR="002C0FD9" w:rsidRPr="00CA25CF" w:rsidRDefault="002C0FD9" w:rsidP="00CA25CF">
            <w:pPr>
              <w:rPr>
                <w:rFonts w:cs="Arial"/>
                <w:color w:val="FF0000"/>
                <w:sz w:val="21"/>
                <w:szCs w:val="21"/>
              </w:rPr>
            </w:pPr>
          </w:p>
        </w:tc>
        <w:tc>
          <w:tcPr>
            <w:tcW w:w="217" w:type="dxa"/>
          </w:tcPr>
          <w:p w14:paraId="25E3C52E" w14:textId="77777777" w:rsidR="002C0FD9" w:rsidRPr="00CA25CF" w:rsidRDefault="002C0FD9" w:rsidP="00CA25CF">
            <w:pPr>
              <w:rPr>
                <w:rFonts w:cs="Arial"/>
                <w:color w:val="FF0000"/>
                <w:sz w:val="21"/>
                <w:szCs w:val="21"/>
              </w:rPr>
            </w:pPr>
          </w:p>
        </w:tc>
        <w:tc>
          <w:tcPr>
            <w:tcW w:w="217" w:type="dxa"/>
          </w:tcPr>
          <w:p w14:paraId="2E104BA8" w14:textId="77777777" w:rsidR="002C0FD9" w:rsidRPr="00CA25CF" w:rsidRDefault="002C0FD9" w:rsidP="00CA25CF">
            <w:pPr>
              <w:rPr>
                <w:rFonts w:cs="Arial"/>
                <w:color w:val="FF0000"/>
                <w:sz w:val="21"/>
                <w:szCs w:val="21"/>
              </w:rPr>
            </w:pPr>
          </w:p>
        </w:tc>
        <w:tc>
          <w:tcPr>
            <w:tcW w:w="217" w:type="dxa"/>
          </w:tcPr>
          <w:p w14:paraId="42332C9F" w14:textId="77777777" w:rsidR="002C0FD9" w:rsidRPr="00CA25CF" w:rsidRDefault="002C0FD9" w:rsidP="00CA25CF">
            <w:pPr>
              <w:rPr>
                <w:rFonts w:cs="Arial"/>
                <w:color w:val="FF0000"/>
                <w:sz w:val="21"/>
                <w:szCs w:val="21"/>
              </w:rPr>
            </w:pPr>
          </w:p>
        </w:tc>
        <w:tc>
          <w:tcPr>
            <w:tcW w:w="217" w:type="dxa"/>
          </w:tcPr>
          <w:p w14:paraId="40439944" w14:textId="77777777" w:rsidR="002C0FD9" w:rsidRPr="00CA25CF" w:rsidRDefault="002C0FD9" w:rsidP="00CA25CF">
            <w:pPr>
              <w:rPr>
                <w:rFonts w:cs="Arial"/>
                <w:color w:val="FF0000"/>
                <w:sz w:val="21"/>
                <w:szCs w:val="21"/>
              </w:rPr>
            </w:pPr>
          </w:p>
        </w:tc>
        <w:tc>
          <w:tcPr>
            <w:tcW w:w="217" w:type="dxa"/>
          </w:tcPr>
          <w:p w14:paraId="7C5BA6CF" w14:textId="77777777" w:rsidR="002C0FD9" w:rsidRPr="00CA25CF" w:rsidRDefault="002C0FD9" w:rsidP="00CA25CF">
            <w:pPr>
              <w:rPr>
                <w:rFonts w:cs="Arial"/>
                <w:color w:val="FF0000"/>
                <w:sz w:val="21"/>
                <w:szCs w:val="21"/>
              </w:rPr>
            </w:pPr>
          </w:p>
        </w:tc>
        <w:tc>
          <w:tcPr>
            <w:tcW w:w="217" w:type="dxa"/>
          </w:tcPr>
          <w:p w14:paraId="631B3C9F" w14:textId="77777777" w:rsidR="002C0FD9" w:rsidRPr="00CA25CF" w:rsidRDefault="002C0FD9" w:rsidP="00CA25CF">
            <w:pPr>
              <w:rPr>
                <w:rFonts w:cs="Arial"/>
                <w:color w:val="FF0000"/>
                <w:sz w:val="21"/>
                <w:szCs w:val="21"/>
              </w:rPr>
            </w:pPr>
          </w:p>
        </w:tc>
        <w:tc>
          <w:tcPr>
            <w:tcW w:w="217" w:type="dxa"/>
          </w:tcPr>
          <w:p w14:paraId="26F18F7B" w14:textId="77777777" w:rsidR="002C0FD9" w:rsidRPr="00CA25CF" w:rsidRDefault="002C0FD9" w:rsidP="00CA25CF">
            <w:pPr>
              <w:rPr>
                <w:rFonts w:cs="Arial"/>
                <w:color w:val="FF0000"/>
                <w:sz w:val="21"/>
                <w:szCs w:val="21"/>
              </w:rPr>
            </w:pPr>
          </w:p>
        </w:tc>
        <w:tc>
          <w:tcPr>
            <w:tcW w:w="217" w:type="dxa"/>
          </w:tcPr>
          <w:p w14:paraId="1C1A34DB" w14:textId="77777777" w:rsidR="002C0FD9" w:rsidRPr="00CA25CF" w:rsidRDefault="002C0FD9" w:rsidP="00CA25CF">
            <w:pPr>
              <w:rPr>
                <w:rFonts w:cs="Arial"/>
                <w:color w:val="FF0000"/>
                <w:sz w:val="21"/>
                <w:szCs w:val="21"/>
              </w:rPr>
            </w:pPr>
          </w:p>
        </w:tc>
      </w:tr>
      <w:tr w:rsidR="002C0FD9" w:rsidRPr="00A16219" w14:paraId="0A274D9F" w14:textId="77777777" w:rsidTr="002C0FD9">
        <w:trPr>
          <w:trHeight w:val="635"/>
        </w:trPr>
        <w:tc>
          <w:tcPr>
            <w:tcW w:w="515" w:type="dxa"/>
          </w:tcPr>
          <w:p w14:paraId="74DE66D0" w14:textId="77777777" w:rsidR="002C0FD9" w:rsidRPr="00CA25CF" w:rsidRDefault="002C0FD9" w:rsidP="00CA25CF">
            <w:pPr>
              <w:rPr>
                <w:rFonts w:cs="Arial"/>
                <w:color w:val="FF0000"/>
                <w:sz w:val="21"/>
                <w:szCs w:val="21"/>
              </w:rPr>
            </w:pPr>
          </w:p>
        </w:tc>
        <w:tc>
          <w:tcPr>
            <w:tcW w:w="217" w:type="dxa"/>
          </w:tcPr>
          <w:p w14:paraId="131B332D" w14:textId="77777777" w:rsidR="002C0FD9" w:rsidRPr="00CA25CF" w:rsidRDefault="002C0FD9" w:rsidP="00CA25CF">
            <w:pPr>
              <w:rPr>
                <w:rFonts w:cs="Arial"/>
                <w:color w:val="FF0000"/>
                <w:sz w:val="21"/>
                <w:szCs w:val="21"/>
              </w:rPr>
            </w:pPr>
          </w:p>
        </w:tc>
        <w:tc>
          <w:tcPr>
            <w:tcW w:w="217" w:type="dxa"/>
          </w:tcPr>
          <w:p w14:paraId="1586F155" w14:textId="77777777" w:rsidR="002C0FD9" w:rsidRPr="00CA25CF" w:rsidRDefault="002C0FD9" w:rsidP="00CA25CF">
            <w:pPr>
              <w:rPr>
                <w:rFonts w:cs="Arial"/>
                <w:color w:val="FF0000"/>
                <w:sz w:val="21"/>
                <w:szCs w:val="21"/>
              </w:rPr>
            </w:pPr>
          </w:p>
        </w:tc>
        <w:tc>
          <w:tcPr>
            <w:tcW w:w="217" w:type="dxa"/>
          </w:tcPr>
          <w:p w14:paraId="74E51541" w14:textId="77777777" w:rsidR="002C0FD9" w:rsidRPr="00CA25CF" w:rsidRDefault="002C0FD9" w:rsidP="00CA25CF">
            <w:pPr>
              <w:rPr>
                <w:rFonts w:cs="Arial"/>
                <w:color w:val="FF0000"/>
                <w:sz w:val="21"/>
                <w:szCs w:val="21"/>
              </w:rPr>
            </w:pPr>
          </w:p>
        </w:tc>
        <w:tc>
          <w:tcPr>
            <w:tcW w:w="217" w:type="dxa"/>
          </w:tcPr>
          <w:p w14:paraId="136D547B" w14:textId="77777777" w:rsidR="002C0FD9" w:rsidRPr="00CA25CF" w:rsidRDefault="002C0FD9" w:rsidP="00CA25CF">
            <w:pPr>
              <w:rPr>
                <w:rFonts w:cs="Arial"/>
                <w:color w:val="FF0000"/>
                <w:sz w:val="21"/>
                <w:szCs w:val="21"/>
              </w:rPr>
            </w:pPr>
          </w:p>
        </w:tc>
        <w:tc>
          <w:tcPr>
            <w:tcW w:w="217" w:type="dxa"/>
          </w:tcPr>
          <w:p w14:paraId="644E9B85" w14:textId="77777777" w:rsidR="002C0FD9" w:rsidRPr="00CA25CF" w:rsidRDefault="002C0FD9" w:rsidP="00CA25CF">
            <w:pPr>
              <w:rPr>
                <w:rFonts w:cs="Arial"/>
                <w:color w:val="FF0000"/>
                <w:sz w:val="21"/>
                <w:szCs w:val="21"/>
              </w:rPr>
            </w:pPr>
          </w:p>
        </w:tc>
        <w:tc>
          <w:tcPr>
            <w:tcW w:w="217" w:type="dxa"/>
          </w:tcPr>
          <w:p w14:paraId="36B116EE" w14:textId="77777777" w:rsidR="002C0FD9" w:rsidRPr="00CA25CF" w:rsidRDefault="002C0FD9" w:rsidP="00CA25CF">
            <w:pPr>
              <w:rPr>
                <w:rFonts w:cs="Arial"/>
                <w:color w:val="FF0000"/>
                <w:sz w:val="21"/>
                <w:szCs w:val="21"/>
              </w:rPr>
            </w:pPr>
          </w:p>
        </w:tc>
        <w:tc>
          <w:tcPr>
            <w:tcW w:w="217" w:type="dxa"/>
          </w:tcPr>
          <w:p w14:paraId="42C98B97" w14:textId="77777777" w:rsidR="002C0FD9" w:rsidRPr="00CA25CF" w:rsidRDefault="002C0FD9" w:rsidP="00CA25CF">
            <w:pPr>
              <w:rPr>
                <w:rFonts w:cs="Arial"/>
                <w:color w:val="FF0000"/>
                <w:sz w:val="21"/>
                <w:szCs w:val="21"/>
              </w:rPr>
            </w:pPr>
          </w:p>
        </w:tc>
        <w:tc>
          <w:tcPr>
            <w:tcW w:w="217" w:type="dxa"/>
          </w:tcPr>
          <w:p w14:paraId="48FD059C" w14:textId="77777777" w:rsidR="002C0FD9" w:rsidRPr="00CA25CF" w:rsidRDefault="002C0FD9" w:rsidP="00CA25CF">
            <w:pPr>
              <w:rPr>
                <w:rFonts w:cs="Arial"/>
                <w:color w:val="FF0000"/>
                <w:sz w:val="21"/>
                <w:szCs w:val="21"/>
              </w:rPr>
            </w:pPr>
          </w:p>
        </w:tc>
        <w:tc>
          <w:tcPr>
            <w:tcW w:w="217" w:type="dxa"/>
          </w:tcPr>
          <w:p w14:paraId="2DCCFEC6" w14:textId="77777777" w:rsidR="002C0FD9" w:rsidRPr="00CA25CF" w:rsidRDefault="002C0FD9" w:rsidP="00CA25CF">
            <w:pPr>
              <w:rPr>
                <w:rFonts w:cs="Arial"/>
                <w:color w:val="FF0000"/>
                <w:sz w:val="21"/>
                <w:szCs w:val="21"/>
              </w:rPr>
            </w:pPr>
          </w:p>
        </w:tc>
        <w:tc>
          <w:tcPr>
            <w:tcW w:w="217" w:type="dxa"/>
          </w:tcPr>
          <w:p w14:paraId="2C56C840" w14:textId="77777777" w:rsidR="002C0FD9" w:rsidRPr="00CA25CF" w:rsidRDefault="002C0FD9" w:rsidP="00CA25CF">
            <w:pPr>
              <w:rPr>
                <w:rFonts w:cs="Arial"/>
                <w:color w:val="FF0000"/>
                <w:sz w:val="21"/>
                <w:szCs w:val="21"/>
              </w:rPr>
            </w:pPr>
          </w:p>
        </w:tc>
        <w:tc>
          <w:tcPr>
            <w:tcW w:w="217" w:type="dxa"/>
          </w:tcPr>
          <w:p w14:paraId="184CFC52" w14:textId="77777777" w:rsidR="002C0FD9" w:rsidRPr="00CA25CF" w:rsidRDefault="002C0FD9" w:rsidP="00CA25CF">
            <w:pPr>
              <w:rPr>
                <w:rFonts w:cs="Arial"/>
                <w:color w:val="FF0000"/>
                <w:sz w:val="21"/>
                <w:szCs w:val="21"/>
              </w:rPr>
            </w:pPr>
          </w:p>
        </w:tc>
        <w:tc>
          <w:tcPr>
            <w:tcW w:w="217" w:type="dxa"/>
          </w:tcPr>
          <w:p w14:paraId="5C788AB0" w14:textId="77777777" w:rsidR="002C0FD9" w:rsidRPr="00CA25CF" w:rsidRDefault="002C0FD9" w:rsidP="00CA25CF">
            <w:pPr>
              <w:rPr>
                <w:rFonts w:cs="Arial"/>
                <w:color w:val="FF0000"/>
                <w:sz w:val="21"/>
                <w:szCs w:val="21"/>
              </w:rPr>
            </w:pPr>
          </w:p>
        </w:tc>
        <w:tc>
          <w:tcPr>
            <w:tcW w:w="217" w:type="dxa"/>
          </w:tcPr>
          <w:p w14:paraId="176D64EC" w14:textId="77777777" w:rsidR="002C0FD9" w:rsidRPr="00CA25CF" w:rsidRDefault="002C0FD9" w:rsidP="00CA25CF">
            <w:pPr>
              <w:rPr>
                <w:rFonts w:cs="Arial"/>
                <w:color w:val="FF0000"/>
                <w:sz w:val="21"/>
                <w:szCs w:val="21"/>
              </w:rPr>
            </w:pPr>
          </w:p>
        </w:tc>
        <w:tc>
          <w:tcPr>
            <w:tcW w:w="217" w:type="dxa"/>
          </w:tcPr>
          <w:p w14:paraId="5AC56330" w14:textId="77777777" w:rsidR="002C0FD9" w:rsidRPr="00CA25CF" w:rsidRDefault="002C0FD9" w:rsidP="00CA25CF">
            <w:pPr>
              <w:rPr>
                <w:rFonts w:cs="Arial"/>
                <w:color w:val="FF0000"/>
                <w:sz w:val="21"/>
                <w:szCs w:val="21"/>
              </w:rPr>
            </w:pPr>
          </w:p>
        </w:tc>
        <w:tc>
          <w:tcPr>
            <w:tcW w:w="217" w:type="dxa"/>
          </w:tcPr>
          <w:p w14:paraId="617AFDC7" w14:textId="77777777" w:rsidR="002C0FD9" w:rsidRPr="00CA25CF" w:rsidRDefault="002C0FD9" w:rsidP="00CA25CF">
            <w:pPr>
              <w:rPr>
                <w:rFonts w:cs="Arial"/>
                <w:color w:val="FF0000"/>
                <w:sz w:val="21"/>
                <w:szCs w:val="21"/>
              </w:rPr>
            </w:pPr>
          </w:p>
        </w:tc>
        <w:tc>
          <w:tcPr>
            <w:tcW w:w="217" w:type="dxa"/>
          </w:tcPr>
          <w:p w14:paraId="4666B739" w14:textId="77777777" w:rsidR="002C0FD9" w:rsidRPr="00CA25CF" w:rsidRDefault="002C0FD9" w:rsidP="00CA25CF">
            <w:pPr>
              <w:rPr>
                <w:rFonts w:cs="Arial"/>
                <w:color w:val="FF0000"/>
                <w:sz w:val="21"/>
                <w:szCs w:val="21"/>
              </w:rPr>
            </w:pPr>
          </w:p>
        </w:tc>
        <w:tc>
          <w:tcPr>
            <w:tcW w:w="217" w:type="dxa"/>
          </w:tcPr>
          <w:p w14:paraId="6D8FF02D" w14:textId="77777777" w:rsidR="002C0FD9" w:rsidRPr="00CA25CF" w:rsidRDefault="002C0FD9" w:rsidP="00CA25CF">
            <w:pPr>
              <w:rPr>
                <w:rFonts w:cs="Arial"/>
                <w:color w:val="FF0000"/>
                <w:sz w:val="21"/>
                <w:szCs w:val="21"/>
              </w:rPr>
            </w:pPr>
          </w:p>
        </w:tc>
        <w:tc>
          <w:tcPr>
            <w:tcW w:w="217" w:type="dxa"/>
          </w:tcPr>
          <w:p w14:paraId="45FDF2D2" w14:textId="77777777" w:rsidR="002C0FD9" w:rsidRPr="00CA25CF" w:rsidRDefault="002C0FD9" w:rsidP="00CA25CF">
            <w:pPr>
              <w:rPr>
                <w:rFonts w:cs="Arial"/>
                <w:color w:val="FF0000"/>
                <w:sz w:val="21"/>
                <w:szCs w:val="21"/>
              </w:rPr>
            </w:pPr>
          </w:p>
        </w:tc>
        <w:tc>
          <w:tcPr>
            <w:tcW w:w="217" w:type="dxa"/>
          </w:tcPr>
          <w:p w14:paraId="3A594186" w14:textId="77777777" w:rsidR="002C0FD9" w:rsidRPr="00CA25CF" w:rsidRDefault="002C0FD9" w:rsidP="00CA25CF">
            <w:pPr>
              <w:rPr>
                <w:rFonts w:cs="Arial"/>
                <w:color w:val="FF0000"/>
                <w:sz w:val="21"/>
                <w:szCs w:val="21"/>
              </w:rPr>
            </w:pPr>
          </w:p>
        </w:tc>
        <w:tc>
          <w:tcPr>
            <w:tcW w:w="217" w:type="dxa"/>
          </w:tcPr>
          <w:p w14:paraId="0D33865A" w14:textId="77777777" w:rsidR="002C0FD9" w:rsidRPr="00CA25CF" w:rsidRDefault="002C0FD9" w:rsidP="00CA25CF">
            <w:pPr>
              <w:rPr>
                <w:rFonts w:cs="Arial"/>
                <w:color w:val="FF0000"/>
                <w:sz w:val="21"/>
                <w:szCs w:val="21"/>
              </w:rPr>
            </w:pPr>
          </w:p>
        </w:tc>
        <w:tc>
          <w:tcPr>
            <w:tcW w:w="217" w:type="dxa"/>
          </w:tcPr>
          <w:p w14:paraId="0CB5E7EA" w14:textId="77777777" w:rsidR="002C0FD9" w:rsidRPr="00CA25CF" w:rsidRDefault="002C0FD9" w:rsidP="00CA25CF">
            <w:pPr>
              <w:rPr>
                <w:rFonts w:cs="Arial"/>
                <w:color w:val="FF0000"/>
                <w:sz w:val="21"/>
                <w:szCs w:val="21"/>
              </w:rPr>
            </w:pPr>
          </w:p>
        </w:tc>
        <w:tc>
          <w:tcPr>
            <w:tcW w:w="217" w:type="dxa"/>
          </w:tcPr>
          <w:p w14:paraId="398EBED8" w14:textId="77777777" w:rsidR="002C0FD9" w:rsidRPr="00CA25CF" w:rsidRDefault="002C0FD9" w:rsidP="00CA25CF">
            <w:pPr>
              <w:rPr>
                <w:rFonts w:cs="Arial"/>
                <w:color w:val="FF0000"/>
                <w:sz w:val="21"/>
                <w:szCs w:val="21"/>
              </w:rPr>
            </w:pPr>
          </w:p>
        </w:tc>
        <w:tc>
          <w:tcPr>
            <w:tcW w:w="217" w:type="dxa"/>
          </w:tcPr>
          <w:p w14:paraId="343C3F35" w14:textId="77777777" w:rsidR="002C0FD9" w:rsidRPr="00CA25CF" w:rsidRDefault="002C0FD9" w:rsidP="00CA25CF">
            <w:pPr>
              <w:rPr>
                <w:rFonts w:cs="Arial"/>
                <w:color w:val="FF0000"/>
                <w:sz w:val="21"/>
                <w:szCs w:val="21"/>
              </w:rPr>
            </w:pPr>
          </w:p>
        </w:tc>
        <w:tc>
          <w:tcPr>
            <w:tcW w:w="217" w:type="dxa"/>
          </w:tcPr>
          <w:p w14:paraId="0651ACD3" w14:textId="77777777" w:rsidR="002C0FD9" w:rsidRPr="00CA25CF" w:rsidRDefault="002C0FD9" w:rsidP="00CA25CF">
            <w:pPr>
              <w:rPr>
                <w:rFonts w:cs="Arial"/>
                <w:color w:val="FF0000"/>
                <w:sz w:val="21"/>
                <w:szCs w:val="21"/>
              </w:rPr>
            </w:pPr>
          </w:p>
        </w:tc>
        <w:tc>
          <w:tcPr>
            <w:tcW w:w="217" w:type="dxa"/>
          </w:tcPr>
          <w:p w14:paraId="065FC298" w14:textId="77777777" w:rsidR="002C0FD9" w:rsidRPr="00CA25CF" w:rsidRDefault="002C0FD9" w:rsidP="00CA25CF">
            <w:pPr>
              <w:rPr>
                <w:rFonts w:cs="Arial"/>
                <w:color w:val="FF0000"/>
                <w:sz w:val="21"/>
                <w:szCs w:val="21"/>
              </w:rPr>
            </w:pPr>
          </w:p>
        </w:tc>
        <w:tc>
          <w:tcPr>
            <w:tcW w:w="217" w:type="dxa"/>
          </w:tcPr>
          <w:p w14:paraId="22B8ED94" w14:textId="77777777" w:rsidR="002C0FD9" w:rsidRPr="00CA25CF" w:rsidRDefault="002C0FD9" w:rsidP="00CA25CF">
            <w:pPr>
              <w:rPr>
                <w:rFonts w:cs="Arial"/>
                <w:color w:val="FF0000"/>
                <w:sz w:val="21"/>
                <w:szCs w:val="21"/>
              </w:rPr>
            </w:pPr>
          </w:p>
        </w:tc>
        <w:tc>
          <w:tcPr>
            <w:tcW w:w="217" w:type="dxa"/>
          </w:tcPr>
          <w:p w14:paraId="2B7F0EA0" w14:textId="77777777" w:rsidR="002C0FD9" w:rsidRPr="00CA25CF" w:rsidRDefault="002C0FD9" w:rsidP="00CA25CF">
            <w:pPr>
              <w:rPr>
                <w:rFonts w:cs="Arial"/>
                <w:color w:val="FF0000"/>
                <w:sz w:val="21"/>
                <w:szCs w:val="21"/>
              </w:rPr>
            </w:pPr>
          </w:p>
        </w:tc>
        <w:tc>
          <w:tcPr>
            <w:tcW w:w="217" w:type="dxa"/>
          </w:tcPr>
          <w:p w14:paraId="4460CB05" w14:textId="77777777" w:rsidR="002C0FD9" w:rsidRPr="00CA25CF" w:rsidRDefault="002C0FD9" w:rsidP="00CA25CF">
            <w:pPr>
              <w:rPr>
                <w:rFonts w:cs="Arial"/>
                <w:color w:val="FF0000"/>
                <w:sz w:val="21"/>
                <w:szCs w:val="21"/>
              </w:rPr>
            </w:pPr>
          </w:p>
        </w:tc>
        <w:tc>
          <w:tcPr>
            <w:tcW w:w="217" w:type="dxa"/>
          </w:tcPr>
          <w:p w14:paraId="50594FD0" w14:textId="77777777" w:rsidR="002C0FD9" w:rsidRPr="00CA25CF" w:rsidRDefault="002C0FD9" w:rsidP="00CA25CF">
            <w:pPr>
              <w:rPr>
                <w:rFonts w:cs="Arial"/>
                <w:color w:val="FF0000"/>
                <w:sz w:val="21"/>
                <w:szCs w:val="21"/>
              </w:rPr>
            </w:pPr>
          </w:p>
        </w:tc>
        <w:tc>
          <w:tcPr>
            <w:tcW w:w="217" w:type="dxa"/>
          </w:tcPr>
          <w:p w14:paraId="0D57C5F8" w14:textId="77777777" w:rsidR="002C0FD9" w:rsidRPr="00CA25CF" w:rsidRDefault="002C0FD9" w:rsidP="00CA25CF">
            <w:pPr>
              <w:rPr>
                <w:rFonts w:cs="Arial"/>
                <w:color w:val="FF0000"/>
                <w:sz w:val="21"/>
                <w:szCs w:val="21"/>
              </w:rPr>
            </w:pPr>
          </w:p>
        </w:tc>
        <w:tc>
          <w:tcPr>
            <w:tcW w:w="217" w:type="dxa"/>
          </w:tcPr>
          <w:p w14:paraId="7B5261AE" w14:textId="77777777" w:rsidR="002C0FD9" w:rsidRPr="00CA25CF" w:rsidRDefault="002C0FD9" w:rsidP="00CA25CF">
            <w:pPr>
              <w:rPr>
                <w:rFonts w:cs="Arial"/>
                <w:color w:val="FF0000"/>
                <w:sz w:val="21"/>
                <w:szCs w:val="21"/>
              </w:rPr>
            </w:pPr>
          </w:p>
        </w:tc>
        <w:tc>
          <w:tcPr>
            <w:tcW w:w="217" w:type="dxa"/>
          </w:tcPr>
          <w:p w14:paraId="227A3EF5" w14:textId="77777777" w:rsidR="002C0FD9" w:rsidRPr="00CA25CF" w:rsidRDefault="002C0FD9" w:rsidP="00CA25CF">
            <w:pPr>
              <w:rPr>
                <w:rFonts w:cs="Arial"/>
                <w:color w:val="FF0000"/>
                <w:sz w:val="21"/>
                <w:szCs w:val="21"/>
              </w:rPr>
            </w:pPr>
          </w:p>
        </w:tc>
        <w:tc>
          <w:tcPr>
            <w:tcW w:w="217" w:type="dxa"/>
          </w:tcPr>
          <w:p w14:paraId="46CE0250" w14:textId="77777777" w:rsidR="002C0FD9" w:rsidRPr="00CA25CF" w:rsidRDefault="002C0FD9" w:rsidP="00CA25CF">
            <w:pPr>
              <w:rPr>
                <w:rFonts w:cs="Arial"/>
                <w:color w:val="FF0000"/>
                <w:sz w:val="21"/>
                <w:szCs w:val="21"/>
              </w:rPr>
            </w:pPr>
          </w:p>
        </w:tc>
        <w:tc>
          <w:tcPr>
            <w:tcW w:w="217" w:type="dxa"/>
          </w:tcPr>
          <w:p w14:paraId="683B9193" w14:textId="77777777" w:rsidR="002C0FD9" w:rsidRPr="00CA25CF" w:rsidRDefault="002C0FD9" w:rsidP="00CA25CF">
            <w:pPr>
              <w:rPr>
                <w:rFonts w:cs="Arial"/>
                <w:color w:val="FF0000"/>
                <w:sz w:val="21"/>
                <w:szCs w:val="21"/>
              </w:rPr>
            </w:pPr>
          </w:p>
        </w:tc>
        <w:tc>
          <w:tcPr>
            <w:tcW w:w="217" w:type="dxa"/>
          </w:tcPr>
          <w:p w14:paraId="504C9E6D" w14:textId="77777777" w:rsidR="002C0FD9" w:rsidRPr="00CA25CF" w:rsidRDefault="002C0FD9" w:rsidP="00CA25CF">
            <w:pPr>
              <w:rPr>
                <w:rFonts w:cs="Arial"/>
                <w:color w:val="FF0000"/>
                <w:sz w:val="21"/>
                <w:szCs w:val="21"/>
              </w:rPr>
            </w:pPr>
          </w:p>
        </w:tc>
        <w:tc>
          <w:tcPr>
            <w:tcW w:w="217" w:type="dxa"/>
          </w:tcPr>
          <w:p w14:paraId="26669643" w14:textId="77777777" w:rsidR="002C0FD9" w:rsidRPr="00CA25CF" w:rsidRDefault="002C0FD9" w:rsidP="00CA25CF">
            <w:pPr>
              <w:rPr>
                <w:rFonts w:cs="Arial"/>
                <w:color w:val="FF0000"/>
                <w:sz w:val="21"/>
                <w:szCs w:val="21"/>
              </w:rPr>
            </w:pPr>
          </w:p>
        </w:tc>
        <w:tc>
          <w:tcPr>
            <w:tcW w:w="217" w:type="dxa"/>
          </w:tcPr>
          <w:p w14:paraId="489F59F0" w14:textId="77777777" w:rsidR="002C0FD9" w:rsidRPr="00CA25CF" w:rsidRDefault="002C0FD9" w:rsidP="00CA25CF">
            <w:pPr>
              <w:rPr>
                <w:rFonts w:cs="Arial"/>
                <w:color w:val="FF0000"/>
                <w:sz w:val="21"/>
                <w:szCs w:val="21"/>
              </w:rPr>
            </w:pPr>
          </w:p>
        </w:tc>
        <w:tc>
          <w:tcPr>
            <w:tcW w:w="217" w:type="dxa"/>
          </w:tcPr>
          <w:p w14:paraId="244A1E9C" w14:textId="77777777" w:rsidR="002C0FD9" w:rsidRPr="00CA25CF" w:rsidRDefault="002C0FD9" w:rsidP="00CA25CF">
            <w:pPr>
              <w:rPr>
                <w:rFonts w:cs="Arial"/>
                <w:color w:val="FF0000"/>
                <w:sz w:val="21"/>
                <w:szCs w:val="21"/>
              </w:rPr>
            </w:pPr>
          </w:p>
        </w:tc>
        <w:tc>
          <w:tcPr>
            <w:tcW w:w="217" w:type="dxa"/>
          </w:tcPr>
          <w:p w14:paraId="4A851905" w14:textId="77777777" w:rsidR="002C0FD9" w:rsidRPr="00CA25CF" w:rsidRDefault="002C0FD9" w:rsidP="00CA25CF">
            <w:pPr>
              <w:rPr>
                <w:rFonts w:cs="Arial"/>
                <w:color w:val="FF0000"/>
                <w:sz w:val="21"/>
                <w:szCs w:val="21"/>
              </w:rPr>
            </w:pPr>
          </w:p>
        </w:tc>
        <w:tc>
          <w:tcPr>
            <w:tcW w:w="217" w:type="dxa"/>
          </w:tcPr>
          <w:p w14:paraId="6F1DA031" w14:textId="77777777" w:rsidR="002C0FD9" w:rsidRPr="00CA25CF" w:rsidRDefault="002C0FD9" w:rsidP="00CA25CF">
            <w:pPr>
              <w:rPr>
                <w:rFonts w:cs="Arial"/>
                <w:color w:val="FF0000"/>
                <w:sz w:val="21"/>
                <w:szCs w:val="21"/>
              </w:rPr>
            </w:pPr>
          </w:p>
        </w:tc>
        <w:tc>
          <w:tcPr>
            <w:tcW w:w="217" w:type="dxa"/>
          </w:tcPr>
          <w:p w14:paraId="5E976DA9" w14:textId="77777777" w:rsidR="002C0FD9" w:rsidRPr="00CA25CF" w:rsidRDefault="002C0FD9" w:rsidP="00CA25CF">
            <w:pPr>
              <w:rPr>
                <w:rFonts w:cs="Arial"/>
                <w:color w:val="FF0000"/>
                <w:sz w:val="21"/>
                <w:szCs w:val="21"/>
              </w:rPr>
            </w:pPr>
          </w:p>
        </w:tc>
        <w:tc>
          <w:tcPr>
            <w:tcW w:w="217" w:type="dxa"/>
          </w:tcPr>
          <w:p w14:paraId="7256E1F4" w14:textId="77777777" w:rsidR="002C0FD9" w:rsidRPr="00CA25CF" w:rsidRDefault="002C0FD9" w:rsidP="00CA25CF">
            <w:pPr>
              <w:rPr>
                <w:rFonts w:cs="Arial"/>
                <w:color w:val="FF0000"/>
                <w:sz w:val="21"/>
                <w:szCs w:val="21"/>
              </w:rPr>
            </w:pPr>
          </w:p>
        </w:tc>
      </w:tr>
      <w:tr w:rsidR="002C0FD9" w:rsidRPr="00A16219" w14:paraId="346D86C5" w14:textId="77777777" w:rsidTr="002C0FD9">
        <w:trPr>
          <w:trHeight w:val="635"/>
        </w:trPr>
        <w:tc>
          <w:tcPr>
            <w:tcW w:w="515" w:type="dxa"/>
          </w:tcPr>
          <w:p w14:paraId="20D98988" w14:textId="77777777" w:rsidR="002C0FD9" w:rsidRPr="00CA25CF" w:rsidRDefault="002C0FD9" w:rsidP="00CA25CF">
            <w:pPr>
              <w:rPr>
                <w:rFonts w:cs="Arial"/>
                <w:color w:val="FF0000"/>
                <w:sz w:val="21"/>
                <w:szCs w:val="21"/>
              </w:rPr>
            </w:pPr>
          </w:p>
        </w:tc>
        <w:tc>
          <w:tcPr>
            <w:tcW w:w="217" w:type="dxa"/>
          </w:tcPr>
          <w:p w14:paraId="547DE5CB" w14:textId="77777777" w:rsidR="002C0FD9" w:rsidRPr="00CA25CF" w:rsidRDefault="002C0FD9" w:rsidP="00CA25CF">
            <w:pPr>
              <w:rPr>
                <w:rFonts w:cs="Arial"/>
                <w:color w:val="FF0000"/>
                <w:sz w:val="21"/>
                <w:szCs w:val="21"/>
              </w:rPr>
            </w:pPr>
          </w:p>
        </w:tc>
        <w:tc>
          <w:tcPr>
            <w:tcW w:w="217" w:type="dxa"/>
          </w:tcPr>
          <w:p w14:paraId="7CE59035" w14:textId="77777777" w:rsidR="002C0FD9" w:rsidRPr="00CA25CF" w:rsidRDefault="002C0FD9" w:rsidP="00CA25CF">
            <w:pPr>
              <w:rPr>
                <w:rFonts w:cs="Arial"/>
                <w:color w:val="FF0000"/>
                <w:sz w:val="21"/>
                <w:szCs w:val="21"/>
              </w:rPr>
            </w:pPr>
          </w:p>
        </w:tc>
        <w:tc>
          <w:tcPr>
            <w:tcW w:w="217" w:type="dxa"/>
          </w:tcPr>
          <w:p w14:paraId="0DDA3DF0" w14:textId="77777777" w:rsidR="002C0FD9" w:rsidRPr="00CA25CF" w:rsidRDefault="002C0FD9" w:rsidP="00CA25CF">
            <w:pPr>
              <w:rPr>
                <w:rFonts w:cs="Arial"/>
                <w:color w:val="FF0000"/>
                <w:sz w:val="21"/>
                <w:szCs w:val="21"/>
              </w:rPr>
            </w:pPr>
          </w:p>
        </w:tc>
        <w:tc>
          <w:tcPr>
            <w:tcW w:w="217" w:type="dxa"/>
          </w:tcPr>
          <w:p w14:paraId="0886DD42" w14:textId="77777777" w:rsidR="002C0FD9" w:rsidRPr="00CA25CF" w:rsidRDefault="002C0FD9" w:rsidP="00CA25CF">
            <w:pPr>
              <w:rPr>
                <w:rFonts w:cs="Arial"/>
                <w:color w:val="FF0000"/>
                <w:sz w:val="21"/>
                <w:szCs w:val="21"/>
              </w:rPr>
            </w:pPr>
          </w:p>
        </w:tc>
        <w:tc>
          <w:tcPr>
            <w:tcW w:w="217" w:type="dxa"/>
          </w:tcPr>
          <w:p w14:paraId="38E2E1E0" w14:textId="77777777" w:rsidR="002C0FD9" w:rsidRPr="00CA25CF" w:rsidRDefault="002C0FD9" w:rsidP="00CA25CF">
            <w:pPr>
              <w:rPr>
                <w:rFonts w:cs="Arial"/>
                <w:color w:val="FF0000"/>
                <w:sz w:val="21"/>
                <w:szCs w:val="21"/>
              </w:rPr>
            </w:pPr>
          </w:p>
        </w:tc>
        <w:tc>
          <w:tcPr>
            <w:tcW w:w="217" w:type="dxa"/>
          </w:tcPr>
          <w:p w14:paraId="7300315A" w14:textId="77777777" w:rsidR="002C0FD9" w:rsidRPr="00CA25CF" w:rsidRDefault="002C0FD9" w:rsidP="00CA25CF">
            <w:pPr>
              <w:rPr>
                <w:rFonts w:cs="Arial"/>
                <w:color w:val="FF0000"/>
                <w:sz w:val="21"/>
                <w:szCs w:val="21"/>
              </w:rPr>
            </w:pPr>
          </w:p>
        </w:tc>
        <w:tc>
          <w:tcPr>
            <w:tcW w:w="217" w:type="dxa"/>
          </w:tcPr>
          <w:p w14:paraId="697247DF" w14:textId="77777777" w:rsidR="002C0FD9" w:rsidRPr="00CA25CF" w:rsidRDefault="002C0FD9" w:rsidP="00CA25CF">
            <w:pPr>
              <w:rPr>
                <w:rFonts w:cs="Arial"/>
                <w:color w:val="FF0000"/>
                <w:sz w:val="21"/>
                <w:szCs w:val="21"/>
              </w:rPr>
            </w:pPr>
          </w:p>
        </w:tc>
        <w:tc>
          <w:tcPr>
            <w:tcW w:w="217" w:type="dxa"/>
          </w:tcPr>
          <w:p w14:paraId="603C31B7" w14:textId="77777777" w:rsidR="002C0FD9" w:rsidRPr="00CA25CF" w:rsidRDefault="002C0FD9" w:rsidP="00CA25CF">
            <w:pPr>
              <w:rPr>
                <w:rFonts w:cs="Arial"/>
                <w:color w:val="FF0000"/>
                <w:sz w:val="21"/>
                <w:szCs w:val="21"/>
              </w:rPr>
            </w:pPr>
          </w:p>
        </w:tc>
        <w:tc>
          <w:tcPr>
            <w:tcW w:w="217" w:type="dxa"/>
          </w:tcPr>
          <w:p w14:paraId="004C356B" w14:textId="77777777" w:rsidR="002C0FD9" w:rsidRPr="00CA25CF" w:rsidRDefault="002C0FD9" w:rsidP="00CA25CF">
            <w:pPr>
              <w:rPr>
                <w:rFonts w:cs="Arial"/>
                <w:color w:val="FF0000"/>
                <w:sz w:val="21"/>
                <w:szCs w:val="21"/>
              </w:rPr>
            </w:pPr>
          </w:p>
        </w:tc>
        <w:tc>
          <w:tcPr>
            <w:tcW w:w="217" w:type="dxa"/>
          </w:tcPr>
          <w:p w14:paraId="06A9E79F" w14:textId="77777777" w:rsidR="002C0FD9" w:rsidRPr="00CA25CF" w:rsidRDefault="002C0FD9" w:rsidP="00CA25CF">
            <w:pPr>
              <w:rPr>
                <w:rFonts w:cs="Arial"/>
                <w:color w:val="FF0000"/>
                <w:sz w:val="21"/>
                <w:szCs w:val="21"/>
              </w:rPr>
            </w:pPr>
          </w:p>
        </w:tc>
        <w:tc>
          <w:tcPr>
            <w:tcW w:w="217" w:type="dxa"/>
          </w:tcPr>
          <w:p w14:paraId="3F277683" w14:textId="77777777" w:rsidR="002C0FD9" w:rsidRPr="00CA25CF" w:rsidRDefault="002C0FD9" w:rsidP="00CA25CF">
            <w:pPr>
              <w:rPr>
                <w:rFonts w:cs="Arial"/>
                <w:color w:val="FF0000"/>
                <w:sz w:val="21"/>
                <w:szCs w:val="21"/>
              </w:rPr>
            </w:pPr>
          </w:p>
        </w:tc>
        <w:tc>
          <w:tcPr>
            <w:tcW w:w="217" w:type="dxa"/>
          </w:tcPr>
          <w:p w14:paraId="67FA46D5" w14:textId="77777777" w:rsidR="002C0FD9" w:rsidRPr="00CA25CF" w:rsidRDefault="002C0FD9" w:rsidP="00CA25CF">
            <w:pPr>
              <w:rPr>
                <w:rFonts w:cs="Arial"/>
                <w:color w:val="FF0000"/>
                <w:sz w:val="21"/>
                <w:szCs w:val="21"/>
              </w:rPr>
            </w:pPr>
          </w:p>
        </w:tc>
        <w:tc>
          <w:tcPr>
            <w:tcW w:w="217" w:type="dxa"/>
          </w:tcPr>
          <w:p w14:paraId="077C38C4" w14:textId="77777777" w:rsidR="002C0FD9" w:rsidRPr="00CA25CF" w:rsidRDefault="002C0FD9" w:rsidP="00CA25CF">
            <w:pPr>
              <w:rPr>
                <w:rFonts w:cs="Arial"/>
                <w:color w:val="FF0000"/>
                <w:sz w:val="21"/>
                <w:szCs w:val="21"/>
              </w:rPr>
            </w:pPr>
          </w:p>
        </w:tc>
        <w:tc>
          <w:tcPr>
            <w:tcW w:w="217" w:type="dxa"/>
          </w:tcPr>
          <w:p w14:paraId="439A7372" w14:textId="77777777" w:rsidR="002C0FD9" w:rsidRPr="00CA25CF" w:rsidRDefault="002C0FD9" w:rsidP="00CA25CF">
            <w:pPr>
              <w:rPr>
                <w:rFonts w:cs="Arial"/>
                <w:color w:val="FF0000"/>
                <w:sz w:val="21"/>
                <w:szCs w:val="21"/>
              </w:rPr>
            </w:pPr>
          </w:p>
        </w:tc>
        <w:tc>
          <w:tcPr>
            <w:tcW w:w="217" w:type="dxa"/>
          </w:tcPr>
          <w:p w14:paraId="174BB7C1" w14:textId="77777777" w:rsidR="002C0FD9" w:rsidRPr="00CA25CF" w:rsidRDefault="002C0FD9" w:rsidP="00CA25CF">
            <w:pPr>
              <w:rPr>
                <w:rFonts w:cs="Arial"/>
                <w:color w:val="FF0000"/>
                <w:sz w:val="21"/>
                <w:szCs w:val="21"/>
              </w:rPr>
            </w:pPr>
          </w:p>
        </w:tc>
        <w:tc>
          <w:tcPr>
            <w:tcW w:w="217" w:type="dxa"/>
          </w:tcPr>
          <w:p w14:paraId="4ED52AB3" w14:textId="77777777" w:rsidR="002C0FD9" w:rsidRPr="00CA25CF" w:rsidRDefault="002C0FD9" w:rsidP="00CA25CF">
            <w:pPr>
              <w:rPr>
                <w:rFonts w:cs="Arial"/>
                <w:color w:val="FF0000"/>
                <w:sz w:val="21"/>
                <w:szCs w:val="21"/>
              </w:rPr>
            </w:pPr>
          </w:p>
        </w:tc>
        <w:tc>
          <w:tcPr>
            <w:tcW w:w="217" w:type="dxa"/>
          </w:tcPr>
          <w:p w14:paraId="62D3E8B8" w14:textId="77777777" w:rsidR="002C0FD9" w:rsidRPr="00CA25CF" w:rsidRDefault="002C0FD9" w:rsidP="00CA25CF">
            <w:pPr>
              <w:rPr>
                <w:rFonts w:cs="Arial"/>
                <w:color w:val="FF0000"/>
                <w:sz w:val="21"/>
                <w:szCs w:val="21"/>
              </w:rPr>
            </w:pPr>
          </w:p>
        </w:tc>
        <w:tc>
          <w:tcPr>
            <w:tcW w:w="217" w:type="dxa"/>
          </w:tcPr>
          <w:p w14:paraId="7693D6EC" w14:textId="77777777" w:rsidR="002C0FD9" w:rsidRPr="00CA25CF" w:rsidRDefault="002C0FD9" w:rsidP="00CA25CF">
            <w:pPr>
              <w:rPr>
                <w:rFonts w:cs="Arial"/>
                <w:color w:val="FF0000"/>
                <w:sz w:val="21"/>
                <w:szCs w:val="21"/>
              </w:rPr>
            </w:pPr>
          </w:p>
        </w:tc>
        <w:tc>
          <w:tcPr>
            <w:tcW w:w="217" w:type="dxa"/>
          </w:tcPr>
          <w:p w14:paraId="20A91425" w14:textId="77777777" w:rsidR="002C0FD9" w:rsidRPr="00CA25CF" w:rsidRDefault="002C0FD9" w:rsidP="00CA25CF">
            <w:pPr>
              <w:rPr>
                <w:rFonts w:cs="Arial"/>
                <w:color w:val="FF0000"/>
                <w:sz w:val="21"/>
                <w:szCs w:val="21"/>
              </w:rPr>
            </w:pPr>
          </w:p>
        </w:tc>
        <w:tc>
          <w:tcPr>
            <w:tcW w:w="217" w:type="dxa"/>
          </w:tcPr>
          <w:p w14:paraId="1176A563" w14:textId="77777777" w:rsidR="002C0FD9" w:rsidRPr="00CA25CF" w:rsidRDefault="002C0FD9" w:rsidP="00CA25CF">
            <w:pPr>
              <w:rPr>
                <w:rFonts w:cs="Arial"/>
                <w:color w:val="FF0000"/>
                <w:sz w:val="21"/>
                <w:szCs w:val="21"/>
              </w:rPr>
            </w:pPr>
          </w:p>
        </w:tc>
        <w:tc>
          <w:tcPr>
            <w:tcW w:w="217" w:type="dxa"/>
          </w:tcPr>
          <w:p w14:paraId="0FB3878E" w14:textId="77777777" w:rsidR="002C0FD9" w:rsidRPr="00CA25CF" w:rsidRDefault="002C0FD9" w:rsidP="00CA25CF">
            <w:pPr>
              <w:rPr>
                <w:rFonts w:cs="Arial"/>
                <w:color w:val="FF0000"/>
                <w:sz w:val="21"/>
                <w:szCs w:val="21"/>
              </w:rPr>
            </w:pPr>
          </w:p>
        </w:tc>
        <w:tc>
          <w:tcPr>
            <w:tcW w:w="217" w:type="dxa"/>
          </w:tcPr>
          <w:p w14:paraId="75641C16" w14:textId="77777777" w:rsidR="002C0FD9" w:rsidRPr="00CA25CF" w:rsidRDefault="002C0FD9" w:rsidP="00CA25CF">
            <w:pPr>
              <w:rPr>
                <w:rFonts w:cs="Arial"/>
                <w:color w:val="FF0000"/>
                <w:sz w:val="21"/>
                <w:szCs w:val="21"/>
              </w:rPr>
            </w:pPr>
          </w:p>
        </w:tc>
        <w:tc>
          <w:tcPr>
            <w:tcW w:w="217" w:type="dxa"/>
          </w:tcPr>
          <w:p w14:paraId="1C967F77" w14:textId="77777777" w:rsidR="002C0FD9" w:rsidRPr="00CA25CF" w:rsidRDefault="002C0FD9" w:rsidP="00CA25CF">
            <w:pPr>
              <w:rPr>
                <w:rFonts w:cs="Arial"/>
                <w:color w:val="FF0000"/>
                <w:sz w:val="21"/>
                <w:szCs w:val="21"/>
              </w:rPr>
            </w:pPr>
          </w:p>
        </w:tc>
        <w:tc>
          <w:tcPr>
            <w:tcW w:w="217" w:type="dxa"/>
          </w:tcPr>
          <w:p w14:paraId="54A4BB4A" w14:textId="77777777" w:rsidR="002C0FD9" w:rsidRPr="00CA25CF" w:rsidRDefault="002C0FD9" w:rsidP="00CA25CF">
            <w:pPr>
              <w:rPr>
                <w:rFonts w:cs="Arial"/>
                <w:color w:val="FF0000"/>
                <w:sz w:val="21"/>
                <w:szCs w:val="21"/>
              </w:rPr>
            </w:pPr>
          </w:p>
        </w:tc>
        <w:tc>
          <w:tcPr>
            <w:tcW w:w="217" w:type="dxa"/>
          </w:tcPr>
          <w:p w14:paraId="4EB1F587" w14:textId="77777777" w:rsidR="002C0FD9" w:rsidRPr="00CA25CF" w:rsidRDefault="002C0FD9" w:rsidP="00CA25CF">
            <w:pPr>
              <w:rPr>
                <w:rFonts w:cs="Arial"/>
                <w:color w:val="FF0000"/>
                <w:sz w:val="21"/>
                <w:szCs w:val="21"/>
              </w:rPr>
            </w:pPr>
          </w:p>
        </w:tc>
        <w:tc>
          <w:tcPr>
            <w:tcW w:w="217" w:type="dxa"/>
          </w:tcPr>
          <w:p w14:paraId="1C25083F" w14:textId="77777777" w:rsidR="002C0FD9" w:rsidRPr="00CA25CF" w:rsidRDefault="002C0FD9" w:rsidP="00CA25CF">
            <w:pPr>
              <w:rPr>
                <w:rFonts w:cs="Arial"/>
                <w:color w:val="FF0000"/>
                <w:sz w:val="21"/>
                <w:szCs w:val="21"/>
              </w:rPr>
            </w:pPr>
          </w:p>
        </w:tc>
        <w:tc>
          <w:tcPr>
            <w:tcW w:w="217" w:type="dxa"/>
          </w:tcPr>
          <w:p w14:paraId="53BA284F" w14:textId="77777777" w:rsidR="002C0FD9" w:rsidRPr="00CA25CF" w:rsidRDefault="002C0FD9" w:rsidP="00CA25CF">
            <w:pPr>
              <w:rPr>
                <w:rFonts w:cs="Arial"/>
                <w:color w:val="FF0000"/>
                <w:sz w:val="21"/>
                <w:szCs w:val="21"/>
              </w:rPr>
            </w:pPr>
          </w:p>
        </w:tc>
        <w:tc>
          <w:tcPr>
            <w:tcW w:w="217" w:type="dxa"/>
          </w:tcPr>
          <w:p w14:paraId="27A94D38" w14:textId="77777777" w:rsidR="002C0FD9" w:rsidRPr="00CA25CF" w:rsidRDefault="002C0FD9" w:rsidP="00CA25CF">
            <w:pPr>
              <w:rPr>
                <w:rFonts w:cs="Arial"/>
                <w:color w:val="FF0000"/>
                <w:sz w:val="21"/>
                <w:szCs w:val="21"/>
              </w:rPr>
            </w:pPr>
          </w:p>
        </w:tc>
        <w:tc>
          <w:tcPr>
            <w:tcW w:w="217" w:type="dxa"/>
          </w:tcPr>
          <w:p w14:paraId="2504341D" w14:textId="77777777" w:rsidR="002C0FD9" w:rsidRPr="00CA25CF" w:rsidRDefault="002C0FD9" w:rsidP="00CA25CF">
            <w:pPr>
              <w:rPr>
                <w:rFonts w:cs="Arial"/>
                <w:color w:val="FF0000"/>
                <w:sz w:val="21"/>
                <w:szCs w:val="21"/>
              </w:rPr>
            </w:pPr>
          </w:p>
        </w:tc>
        <w:tc>
          <w:tcPr>
            <w:tcW w:w="217" w:type="dxa"/>
          </w:tcPr>
          <w:p w14:paraId="2D4FFD0D" w14:textId="77777777" w:rsidR="002C0FD9" w:rsidRPr="00CA25CF" w:rsidRDefault="002C0FD9" w:rsidP="00CA25CF">
            <w:pPr>
              <w:rPr>
                <w:rFonts w:cs="Arial"/>
                <w:color w:val="FF0000"/>
                <w:sz w:val="21"/>
                <w:szCs w:val="21"/>
              </w:rPr>
            </w:pPr>
          </w:p>
        </w:tc>
        <w:tc>
          <w:tcPr>
            <w:tcW w:w="217" w:type="dxa"/>
          </w:tcPr>
          <w:p w14:paraId="70AB9E42" w14:textId="77777777" w:rsidR="002C0FD9" w:rsidRPr="00CA25CF" w:rsidRDefault="002C0FD9" w:rsidP="00CA25CF">
            <w:pPr>
              <w:rPr>
                <w:rFonts w:cs="Arial"/>
                <w:color w:val="FF0000"/>
                <w:sz w:val="21"/>
                <w:szCs w:val="21"/>
              </w:rPr>
            </w:pPr>
          </w:p>
        </w:tc>
        <w:tc>
          <w:tcPr>
            <w:tcW w:w="217" w:type="dxa"/>
          </w:tcPr>
          <w:p w14:paraId="02E32F35" w14:textId="77777777" w:rsidR="002C0FD9" w:rsidRPr="00CA25CF" w:rsidRDefault="002C0FD9" w:rsidP="00CA25CF">
            <w:pPr>
              <w:rPr>
                <w:rFonts w:cs="Arial"/>
                <w:color w:val="FF0000"/>
                <w:sz w:val="21"/>
                <w:szCs w:val="21"/>
              </w:rPr>
            </w:pPr>
          </w:p>
        </w:tc>
        <w:tc>
          <w:tcPr>
            <w:tcW w:w="217" w:type="dxa"/>
          </w:tcPr>
          <w:p w14:paraId="6096C703" w14:textId="77777777" w:rsidR="002C0FD9" w:rsidRPr="00CA25CF" w:rsidRDefault="002C0FD9" w:rsidP="00CA25CF">
            <w:pPr>
              <w:rPr>
                <w:rFonts w:cs="Arial"/>
                <w:color w:val="FF0000"/>
                <w:sz w:val="21"/>
                <w:szCs w:val="21"/>
              </w:rPr>
            </w:pPr>
          </w:p>
        </w:tc>
        <w:tc>
          <w:tcPr>
            <w:tcW w:w="217" w:type="dxa"/>
          </w:tcPr>
          <w:p w14:paraId="135DB83A" w14:textId="77777777" w:rsidR="002C0FD9" w:rsidRPr="00CA25CF" w:rsidRDefault="002C0FD9" w:rsidP="00CA25CF">
            <w:pPr>
              <w:rPr>
                <w:rFonts w:cs="Arial"/>
                <w:color w:val="FF0000"/>
                <w:sz w:val="21"/>
                <w:szCs w:val="21"/>
              </w:rPr>
            </w:pPr>
          </w:p>
        </w:tc>
        <w:tc>
          <w:tcPr>
            <w:tcW w:w="217" w:type="dxa"/>
          </w:tcPr>
          <w:p w14:paraId="0D715666" w14:textId="77777777" w:rsidR="002C0FD9" w:rsidRPr="00CA25CF" w:rsidRDefault="002C0FD9" w:rsidP="00CA25CF">
            <w:pPr>
              <w:rPr>
                <w:rFonts w:cs="Arial"/>
                <w:color w:val="FF0000"/>
                <w:sz w:val="21"/>
                <w:szCs w:val="21"/>
              </w:rPr>
            </w:pPr>
          </w:p>
        </w:tc>
        <w:tc>
          <w:tcPr>
            <w:tcW w:w="217" w:type="dxa"/>
          </w:tcPr>
          <w:p w14:paraId="500C4BEA" w14:textId="77777777" w:rsidR="002C0FD9" w:rsidRPr="00CA25CF" w:rsidRDefault="002C0FD9" w:rsidP="00CA25CF">
            <w:pPr>
              <w:rPr>
                <w:rFonts w:cs="Arial"/>
                <w:color w:val="FF0000"/>
                <w:sz w:val="21"/>
                <w:szCs w:val="21"/>
              </w:rPr>
            </w:pPr>
          </w:p>
        </w:tc>
        <w:tc>
          <w:tcPr>
            <w:tcW w:w="217" w:type="dxa"/>
          </w:tcPr>
          <w:p w14:paraId="02C92714" w14:textId="77777777" w:rsidR="002C0FD9" w:rsidRPr="00CA25CF" w:rsidRDefault="002C0FD9" w:rsidP="00CA25CF">
            <w:pPr>
              <w:rPr>
                <w:rFonts w:cs="Arial"/>
                <w:color w:val="FF0000"/>
                <w:sz w:val="21"/>
                <w:szCs w:val="21"/>
              </w:rPr>
            </w:pPr>
          </w:p>
        </w:tc>
        <w:tc>
          <w:tcPr>
            <w:tcW w:w="217" w:type="dxa"/>
          </w:tcPr>
          <w:p w14:paraId="79ECE049" w14:textId="77777777" w:rsidR="002C0FD9" w:rsidRPr="00CA25CF" w:rsidRDefault="002C0FD9" w:rsidP="00CA25CF">
            <w:pPr>
              <w:rPr>
                <w:rFonts w:cs="Arial"/>
                <w:color w:val="FF0000"/>
                <w:sz w:val="21"/>
                <w:szCs w:val="21"/>
              </w:rPr>
            </w:pPr>
          </w:p>
        </w:tc>
        <w:tc>
          <w:tcPr>
            <w:tcW w:w="217" w:type="dxa"/>
          </w:tcPr>
          <w:p w14:paraId="0F654F4E" w14:textId="77777777" w:rsidR="002C0FD9" w:rsidRPr="00CA25CF" w:rsidRDefault="002C0FD9" w:rsidP="00CA25CF">
            <w:pPr>
              <w:rPr>
                <w:rFonts w:cs="Arial"/>
                <w:color w:val="FF0000"/>
                <w:sz w:val="21"/>
                <w:szCs w:val="21"/>
              </w:rPr>
            </w:pPr>
          </w:p>
        </w:tc>
        <w:tc>
          <w:tcPr>
            <w:tcW w:w="217" w:type="dxa"/>
          </w:tcPr>
          <w:p w14:paraId="3CA01444" w14:textId="77777777" w:rsidR="002C0FD9" w:rsidRPr="00CA25CF" w:rsidRDefault="002C0FD9" w:rsidP="00CA25CF">
            <w:pPr>
              <w:rPr>
                <w:rFonts w:cs="Arial"/>
                <w:color w:val="FF0000"/>
                <w:sz w:val="21"/>
                <w:szCs w:val="21"/>
              </w:rPr>
            </w:pPr>
          </w:p>
        </w:tc>
        <w:tc>
          <w:tcPr>
            <w:tcW w:w="217" w:type="dxa"/>
          </w:tcPr>
          <w:p w14:paraId="64363FA1" w14:textId="77777777" w:rsidR="002C0FD9" w:rsidRPr="00CA25CF" w:rsidRDefault="002C0FD9" w:rsidP="00CA25CF">
            <w:pPr>
              <w:rPr>
                <w:rFonts w:cs="Arial"/>
                <w:color w:val="FF0000"/>
                <w:sz w:val="21"/>
                <w:szCs w:val="21"/>
              </w:rPr>
            </w:pPr>
          </w:p>
        </w:tc>
        <w:tc>
          <w:tcPr>
            <w:tcW w:w="217" w:type="dxa"/>
          </w:tcPr>
          <w:p w14:paraId="1033F5E8" w14:textId="77777777" w:rsidR="002C0FD9" w:rsidRPr="00CA25CF" w:rsidRDefault="002C0FD9" w:rsidP="00CA25CF">
            <w:pPr>
              <w:rPr>
                <w:rFonts w:cs="Arial"/>
                <w:color w:val="FF0000"/>
                <w:sz w:val="21"/>
                <w:szCs w:val="21"/>
              </w:rPr>
            </w:pPr>
          </w:p>
        </w:tc>
      </w:tr>
      <w:tr w:rsidR="002C0FD9" w:rsidRPr="00A16219" w14:paraId="0A688439" w14:textId="77777777" w:rsidTr="002C0FD9">
        <w:trPr>
          <w:trHeight w:val="635"/>
        </w:trPr>
        <w:tc>
          <w:tcPr>
            <w:tcW w:w="515" w:type="dxa"/>
          </w:tcPr>
          <w:p w14:paraId="68D803F6" w14:textId="77777777" w:rsidR="002C0FD9" w:rsidRPr="00CA25CF" w:rsidRDefault="002C0FD9" w:rsidP="00CA25CF">
            <w:pPr>
              <w:rPr>
                <w:rFonts w:cs="Arial"/>
                <w:color w:val="FF0000"/>
                <w:sz w:val="21"/>
                <w:szCs w:val="21"/>
              </w:rPr>
            </w:pPr>
          </w:p>
        </w:tc>
        <w:tc>
          <w:tcPr>
            <w:tcW w:w="217" w:type="dxa"/>
          </w:tcPr>
          <w:p w14:paraId="421CF0C0" w14:textId="77777777" w:rsidR="002C0FD9" w:rsidRPr="00CA25CF" w:rsidRDefault="002C0FD9" w:rsidP="00CA25CF">
            <w:pPr>
              <w:rPr>
                <w:rFonts w:cs="Arial"/>
                <w:color w:val="FF0000"/>
                <w:sz w:val="21"/>
                <w:szCs w:val="21"/>
              </w:rPr>
            </w:pPr>
          </w:p>
        </w:tc>
        <w:tc>
          <w:tcPr>
            <w:tcW w:w="217" w:type="dxa"/>
          </w:tcPr>
          <w:p w14:paraId="6B4CBD4E" w14:textId="77777777" w:rsidR="002C0FD9" w:rsidRPr="00CA25CF" w:rsidRDefault="002C0FD9" w:rsidP="00CA25CF">
            <w:pPr>
              <w:rPr>
                <w:rFonts w:cs="Arial"/>
                <w:color w:val="FF0000"/>
                <w:sz w:val="21"/>
                <w:szCs w:val="21"/>
              </w:rPr>
            </w:pPr>
          </w:p>
        </w:tc>
        <w:tc>
          <w:tcPr>
            <w:tcW w:w="217" w:type="dxa"/>
          </w:tcPr>
          <w:p w14:paraId="7A074514" w14:textId="77777777" w:rsidR="002C0FD9" w:rsidRPr="00CA25CF" w:rsidRDefault="002C0FD9" w:rsidP="00CA25CF">
            <w:pPr>
              <w:rPr>
                <w:rFonts w:cs="Arial"/>
                <w:color w:val="FF0000"/>
                <w:sz w:val="21"/>
                <w:szCs w:val="21"/>
              </w:rPr>
            </w:pPr>
          </w:p>
        </w:tc>
        <w:tc>
          <w:tcPr>
            <w:tcW w:w="217" w:type="dxa"/>
          </w:tcPr>
          <w:p w14:paraId="03F2181D" w14:textId="77777777" w:rsidR="002C0FD9" w:rsidRPr="00CA25CF" w:rsidRDefault="002C0FD9" w:rsidP="00CA25CF">
            <w:pPr>
              <w:rPr>
                <w:rFonts w:cs="Arial"/>
                <w:color w:val="FF0000"/>
                <w:sz w:val="21"/>
                <w:szCs w:val="21"/>
              </w:rPr>
            </w:pPr>
          </w:p>
        </w:tc>
        <w:tc>
          <w:tcPr>
            <w:tcW w:w="217" w:type="dxa"/>
          </w:tcPr>
          <w:p w14:paraId="7993D025" w14:textId="77777777" w:rsidR="002C0FD9" w:rsidRPr="00CA25CF" w:rsidRDefault="002C0FD9" w:rsidP="00CA25CF">
            <w:pPr>
              <w:rPr>
                <w:rFonts w:cs="Arial"/>
                <w:color w:val="FF0000"/>
                <w:sz w:val="21"/>
                <w:szCs w:val="21"/>
              </w:rPr>
            </w:pPr>
          </w:p>
        </w:tc>
        <w:tc>
          <w:tcPr>
            <w:tcW w:w="217" w:type="dxa"/>
          </w:tcPr>
          <w:p w14:paraId="36A523D0" w14:textId="77777777" w:rsidR="002C0FD9" w:rsidRPr="00CA25CF" w:rsidRDefault="002C0FD9" w:rsidP="00CA25CF">
            <w:pPr>
              <w:rPr>
                <w:rFonts w:cs="Arial"/>
                <w:color w:val="FF0000"/>
                <w:sz w:val="21"/>
                <w:szCs w:val="21"/>
              </w:rPr>
            </w:pPr>
          </w:p>
        </w:tc>
        <w:tc>
          <w:tcPr>
            <w:tcW w:w="217" w:type="dxa"/>
          </w:tcPr>
          <w:p w14:paraId="785BAC83" w14:textId="77777777" w:rsidR="002C0FD9" w:rsidRPr="00CA25CF" w:rsidRDefault="002C0FD9" w:rsidP="00CA25CF">
            <w:pPr>
              <w:rPr>
                <w:rFonts w:cs="Arial"/>
                <w:color w:val="FF0000"/>
                <w:sz w:val="21"/>
                <w:szCs w:val="21"/>
              </w:rPr>
            </w:pPr>
          </w:p>
        </w:tc>
        <w:tc>
          <w:tcPr>
            <w:tcW w:w="217" w:type="dxa"/>
          </w:tcPr>
          <w:p w14:paraId="6FF62881" w14:textId="77777777" w:rsidR="002C0FD9" w:rsidRPr="00CA25CF" w:rsidRDefault="002C0FD9" w:rsidP="00CA25CF">
            <w:pPr>
              <w:rPr>
                <w:rFonts w:cs="Arial"/>
                <w:color w:val="FF0000"/>
                <w:sz w:val="21"/>
                <w:szCs w:val="21"/>
              </w:rPr>
            </w:pPr>
          </w:p>
        </w:tc>
        <w:tc>
          <w:tcPr>
            <w:tcW w:w="217" w:type="dxa"/>
          </w:tcPr>
          <w:p w14:paraId="517CD3EC" w14:textId="77777777" w:rsidR="002C0FD9" w:rsidRPr="00CA25CF" w:rsidRDefault="002C0FD9" w:rsidP="00CA25CF">
            <w:pPr>
              <w:rPr>
                <w:rFonts w:cs="Arial"/>
                <w:color w:val="FF0000"/>
                <w:sz w:val="21"/>
                <w:szCs w:val="21"/>
              </w:rPr>
            </w:pPr>
          </w:p>
        </w:tc>
        <w:tc>
          <w:tcPr>
            <w:tcW w:w="217" w:type="dxa"/>
          </w:tcPr>
          <w:p w14:paraId="3CDAF6B3" w14:textId="77777777" w:rsidR="002C0FD9" w:rsidRPr="00CA25CF" w:rsidRDefault="002C0FD9" w:rsidP="00CA25CF">
            <w:pPr>
              <w:rPr>
                <w:rFonts w:cs="Arial"/>
                <w:color w:val="FF0000"/>
                <w:sz w:val="21"/>
                <w:szCs w:val="21"/>
              </w:rPr>
            </w:pPr>
          </w:p>
        </w:tc>
        <w:tc>
          <w:tcPr>
            <w:tcW w:w="217" w:type="dxa"/>
          </w:tcPr>
          <w:p w14:paraId="3737156F" w14:textId="77777777" w:rsidR="002C0FD9" w:rsidRPr="00CA25CF" w:rsidRDefault="002C0FD9" w:rsidP="00CA25CF">
            <w:pPr>
              <w:rPr>
                <w:rFonts w:cs="Arial"/>
                <w:color w:val="FF0000"/>
                <w:sz w:val="21"/>
                <w:szCs w:val="21"/>
              </w:rPr>
            </w:pPr>
          </w:p>
        </w:tc>
        <w:tc>
          <w:tcPr>
            <w:tcW w:w="217" w:type="dxa"/>
          </w:tcPr>
          <w:p w14:paraId="573E0616" w14:textId="77777777" w:rsidR="002C0FD9" w:rsidRPr="00CA25CF" w:rsidRDefault="002C0FD9" w:rsidP="00CA25CF">
            <w:pPr>
              <w:rPr>
                <w:rFonts w:cs="Arial"/>
                <w:color w:val="FF0000"/>
                <w:sz w:val="21"/>
                <w:szCs w:val="21"/>
              </w:rPr>
            </w:pPr>
          </w:p>
        </w:tc>
        <w:tc>
          <w:tcPr>
            <w:tcW w:w="217" w:type="dxa"/>
          </w:tcPr>
          <w:p w14:paraId="017C4DC4" w14:textId="77777777" w:rsidR="002C0FD9" w:rsidRPr="00CA25CF" w:rsidRDefault="002C0FD9" w:rsidP="00CA25CF">
            <w:pPr>
              <w:rPr>
                <w:rFonts w:cs="Arial"/>
                <w:color w:val="FF0000"/>
                <w:sz w:val="21"/>
                <w:szCs w:val="21"/>
              </w:rPr>
            </w:pPr>
          </w:p>
        </w:tc>
        <w:tc>
          <w:tcPr>
            <w:tcW w:w="217" w:type="dxa"/>
          </w:tcPr>
          <w:p w14:paraId="18C00E87" w14:textId="77777777" w:rsidR="002C0FD9" w:rsidRPr="00CA25CF" w:rsidRDefault="002C0FD9" w:rsidP="00CA25CF">
            <w:pPr>
              <w:rPr>
                <w:rFonts w:cs="Arial"/>
                <w:color w:val="FF0000"/>
                <w:sz w:val="21"/>
                <w:szCs w:val="21"/>
              </w:rPr>
            </w:pPr>
          </w:p>
        </w:tc>
        <w:tc>
          <w:tcPr>
            <w:tcW w:w="217" w:type="dxa"/>
          </w:tcPr>
          <w:p w14:paraId="1AFA1EF9" w14:textId="77777777" w:rsidR="002C0FD9" w:rsidRPr="00CA25CF" w:rsidRDefault="002C0FD9" w:rsidP="00CA25CF">
            <w:pPr>
              <w:rPr>
                <w:rFonts w:cs="Arial"/>
                <w:color w:val="FF0000"/>
                <w:sz w:val="21"/>
                <w:szCs w:val="21"/>
              </w:rPr>
            </w:pPr>
          </w:p>
        </w:tc>
        <w:tc>
          <w:tcPr>
            <w:tcW w:w="217" w:type="dxa"/>
          </w:tcPr>
          <w:p w14:paraId="0882F1D7" w14:textId="77777777" w:rsidR="002C0FD9" w:rsidRPr="00CA25CF" w:rsidRDefault="002C0FD9" w:rsidP="00CA25CF">
            <w:pPr>
              <w:rPr>
                <w:rFonts w:cs="Arial"/>
                <w:color w:val="FF0000"/>
                <w:sz w:val="21"/>
                <w:szCs w:val="21"/>
              </w:rPr>
            </w:pPr>
          </w:p>
        </w:tc>
        <w:tc>
          <w:tcPr>
            <w:tcW w:w="217" w:type="dxa"/>
          </w:tcPr>
          <w:p w14:paraId="228489DB" w14:textId="77777777" w:rsidR="002C0FD9" w:rsidRPr="00CA25CF" w:rsidRDefault="002C0FD9" w:rsidP="00CA25CF">
            <w:pPr>
              <w:rPr>
                <w:rFonts w:cs="Arial"/>
                <w:color w:val="FF0000"/>
                <w:sz w:val="21"/>
                <w:szCs w:val="21"/>
              </w:rPr>
            </w:pPr>
          </w:p>
        </w:tc>
        <w:tc>
          <w:tcPr>
            <w:tcW w:w="217" w:type="dxa"/>
          </w:tcPr>
          <w:p w14:paraId="51A94FFE" w14:textId="77777777" w:rsidR="002C0FD9" w:rsidRPr="00CA25CF" w:rsidRDefault="002C0FD9" w:rsidP="00CA25CF">
            <w:pPr>
              <w:rPr>
                <w:rFonts w:cs="Arial"/>
                <w:color w:val="FF0000"/>
                <w:sz w:val="21"/>
                <w:szCs w:val="21"/>
              </w:rPr>
            </w:pPr>
          </w:p>
        </w:tc>
        <w:tc>
          <w:tcPr>
            <w:tcW w:w="217" w:type="dxa"/>
          </w:tcPr>
          <w:p w14:paraId="676E92A8" w14:textId="77777777" w:rsidR="002C0FD9" w:rsidRPr="00CA25CF" w:rsidRDefault="002C0FD9" w:rsidP="00CA25CF">
            <w:pPr>
              <w:rPr>
                <w:rFonts w:cs="Arial"/>
                <w:color w:val="FF0000"/>
                <w:sz w:val="21"/>
                <w:szCs w:val="21"/>
              </w:rPr>
            </w:pPr>
          </w:p>
        </w:tc>
        <w:tc>
          <w:tcPr>
            <w:tcW w:w="217" w:type="dxa"/>
          </w:tcPr>
          <w:p w14:paraId="17FD354A" w14:textId="77777777" w:rsidR="002C0FD9" w:rsidRPr="00CA25CF" w:rsidRDefault="002C0FD9" w:rsidP="00CA25CF">
            <w:pPr>
              <w:rPr>
                <w:rFonts w:cs="Arial"/>
                <w:color w:val="FF0000"/>
                <w:sz w:val="21"/>
                <w:szCs w:val="21"/>
              </w:rPr>
            </w:pPr>
          </w:p>
        </w:tc>
        <w:tc>
          <w:tcPr>
            <w:tcW w:w="217" w:type="dxa"/>
          </w:tcPr>
          <w:p w14:paraId="67F20DD4" w14:textId="77777777" w:rsidR="002C0FD9" w:rsidRPr="00CA25CF" w:rsidRDefault="002C0FD9" w:rsidP="00CA25CF">
            <w:pPr>
              <w:rPr>
                <w:rFonts w:cs="Arial"/>
                <w:color w:val="FF0000"/>
                <w:sz w:val="21"/>
                <w:szCs w:val="21"/>
              </w:rPr>
            </w:pPr>
          </w:p>
        </w:tc>
        <w:tc>
          <w:tcPr>
            <w:tcW w:w="217" w:type="dxa"/>
          </w:tcPr>
          <w:p w14:paraId="4C0975D3" w14:textId="77777777" w:rsidR="002C0FD9" w:rsidRPr="00CA25CF" w:rsidRDefault="002C0FD9" w:rsidP="00CA25CF">
            <w:pPr>
              <w:rPr>
                <w:rFonts w:cs="Arial"/>
                <w:color w:val="FF0000"/>
                <w:sz w:val="21"/>
                <w:szCs w:val="21"/>
              </w:rPr>
            </w:pPr>
          </w:p>
        </w:tc>
        <w:tc>
          <w:tcPr>
            <w:tcW w:w="217" w:type="dxa"/>
          </w:tcPr>
          <w:p w14:paraId="21FA0A81" w14:textId="77777777" w:rsidR="002C0FD9" w:rsidRPr="00CA25CF" w:rsidRDefault="002C0FD9" w:rsidP="00CA25CF">
            <w:pPr>
              <w:rPr>
                <w:rFonts w:cs="Arial"/>
                <w:color w:val="FF0000"/>
                <w:sz w:val="21"/>
                <w:szCs w:val="21"/>
              </w:rPr>
            </w:pPr>
          </w:p>
        </w:tc>
        <w:tc>
          <w:tcPr>
            <w:tcW w:w="217" w:type="dxa"/>
          </w:tcPr>
          <w:p w14:paraId="1071AB17" w14:textId="77777777" w:rsidR="002C0FD9" w:rsidRPr="00CA25CF" w:rsidRDefault="002C0FD9" w:rsidP="00CA25CF">
            <w:pPr>
              <w:rPr>
                <w:rFonts w:cs="Arial"/>
                <w:color w:val="FF0000"/>
                <w:sz w:val="21"/>
                <w:szCs w:val="21"/>
              </w:rPr>
            </w:pPr>
          </w:p>
        </w:tc>
        <w:tc>
          <w:tcPr>
            <w:tcW w:w="217" w:type="dxa"/>
          </w:tcPr>
          <w:p w14:paraId="73BD5BFB" w14:textId="77777777" w:rsidR="002C0FD9" w:rsidRPr="00CA25CF" w:rsidRDefault="002C0FD9" w:rsidP="00CA25CF">
            <w:pPr>
              <w:rPr>
                <w:rFonts w:cs="Arial"/>
                <w:color w:val="FF0000"/>
                <w:sz w:val="21"/>
                <w:szCs w:val="21"/>
              </w:rPr>
            </w:pPr>
          </w:p>
        </w:tc>
        <w:tc>
          <w:tcPr>
            <w:tcW w:w="217" w:type="dxa"/>
          </w:tcPr>
          <w:p w14:paraId="427EA917" w14:textId="77777777" w:rsidR="002C0FD9" w:rsidRPr="00CA25CF" w:rsidRDefault="002C0FD9" w:rsidP="00CA25CF">
            <w:pPr>
              <w:rPr>
                <w:rFonts w:cs="Arial"/>
                <w:color w:val="FF0000"/>
                <w:sz w:val="21"/>
                <w:szCs w:val="21"/>
              </w:rPr>
            </w:pPr>
          </w:p>
        </w:tc>
        <w:tc>
          <w:tcPr>
            <w:tcW w:w="217" w:type="dxa"/>
          </w:tcPr>
          <w:p w14:paraId="1029A968" w14:textId="77777777" w:rsidR="002C0FD9" w:rsidRPr="00CA25CF" w:rsidRDefault="002C0FD9" w:rsidP="00CA25CF">
            <w:pPr>
              <w:rPr>
                <w:rFonts w:cs="Arial"/>
                <w:color w:val="FF0000"/>
                <w:sz w:val="21"/>
                <w:szCs w:val="21"/>
              </w:rPr>
            </w:pPr>
          </w:p>
        </w:tc>
        <w:tc>
          <w:tcPr>
            <w:tcW w:w="217" w:type="dxa"/>
          </w:tcPr>
          <w:p w14:paraId="2954AA4A" w14:textId="77777777" w:rsidR="002C0FD9" w:rsidRPr="00CA25CF" w:rsidRDefault="002C0FD9" w:rsidP="00CA25CF">
            <w:pPr>
              <w:rPr>
                <w:rFonts w:cs="Arial"/>
                <w:color w:val="FF0000"/>
                <w:sz w:val="21"/>
                <w:szCs w:val="21"/>
              </w:rPr>
            </w:pPr>
          </w:p>
        </w:tc>
        <w:tc>
          <w:tcPr>
            <w:tcW w:w="217" w:type="dxa"/>
          </w:tcPr>
          <w:p w14:paraId="30159281" w14:textId="77777777" w:rsidR="002C0FD9" w:rsidRPr="00CA25CF" w:rsidRDefault="002C0FD9" w:rsidP="00CA25CF">
            <w:pPr>
              <w:rPr>
                <w:rFonts w:cs="Arial"/>
                <w:color w:val="FF0000"/>
                <w:sz w:val="21"/>
                <w:szCs w:val="21"/>
              </w:rPr>
            </w:pPr>
          </w:p>
        </w:tc>
        <w:tc>
          <w:tcPr>
            <w:tcW w:w="217" w:type="dxa"/>
          </w:tcPr>
          <w:p w14:paraId="46A22C7D" w14:textId="77777777" w:rsidR="002C0FD9" w:rsidRPr="00CA25CF" w:rsidRDefault="002C0FD9" w:rsidP="00CA25CF">
            <w:pPr>
              <w:rPr>
                <w:rFonts w:cs="Arial"/>
                <w:color w:val="FF0000"/>
                <w:sz w:val="21"/>
                <w:szCs w:val="21"/>
              </w:rPr>
            </w:pPr>
          </w:p>
        </w:tc>
        <w:tc>
          <w:tcPr>
            <w:tcW w:w="217" w:type="dxa"/>
          </w:tcPr>
          <w:p w14:paraId="56919824" w14:textId="77777777" w:rsidR="002C0FD9" w:rsidRPr="00CA25CF" w:rsidRDefault="002C0FD9" w:rsidP="00CA25CF">
            <w:pPr>
              <w:rPr>
                <w:rFonts w:cs="Arial"/>
                <w:color w:val="FF0000"/>
                <w:sz w:val="21"/>
                <w:szCs w:val="21"/>
              </w:rPr>
            </w:pPr>
          </w:p>
        </w:tc>
        <w:tc>
          <w:tcPr>
            <w:tcW w:w="217" w:type="dxa"/>
          </w:tcPr>
          <w:p w14:paraId="2A868A07" w14:textId="77777777" w:rsidR="002C0FD9" w:rsidRPr="00CA25CF" w:rsidRDefault="002C0FD9" w:rsidP="00CA25CF">
            <w:pPr>
              <w:rPr>
                <w:rFonts w:cs="Arial"/>
                <w:color w:val="FF0000"/>
                <w:sz w:val="21"/>
                <w:szCs w:val="21"/>
              </w:rPr>
            </w:pPr>
          </w:p>
        </w:tc>
        <w:tc>
          <w:tcPr>
            <w:tcW w:w="217" w:type="dxa"/>
          </w:tcPr>
          <w:p w14:paraId="0669E612" w14:textId="77777777" w:rsidR="002C0FD9" w:rsidRPr="00CA25CF" w:rsidRDefault="002C0FD9" w:rsidP="00CA25CF">
            <w:pPr>
              <w:rPr>
                <w:rFonts w:cs="Arial"/>
                <w:color w:val="FF0000"/>
                <w:sz w:val="21"/>
                <w:szCs w:val="21"/>
              </w:rPr>
            </w:pPr>
          </w:p>
        </w:tc>
        <w:tc>
          <w:tcPr>
            <w:tcW w:w="217" w:type="dxa"/>
          </w:tcPr>
          <w:p w14:paraId="27ABE482" w14:textId="77777777" w:rsidR="002C0FD9" w:rsidRPr="00CA25CF" w:rsidRDefault="002C0FD9" w:rsidP="00CA25CF">
            <w:pPr>
              <w:rPr>
                <w:rFonts w:cs="Arial"/>
                <w:color w:val="FF0000"/>
                <w:sz w:val="21"/>
                <w:szCs w:val="21"/>
              </w:rPr>
            </w:pPr>
          </w:p>
        </w:tc>
        <w:tc>
          <w:tcPr>
            <w:tcW w:w="217" w:type="dxa"/>
          </w:tcPr>
          <w:p w14:paraId="086A09E6" w14:textId="77777777" w:rsidR="002C0FD9" w:rsidRPr="00CA25CF" w:rsidRDefault="002C0FD9" w:rsidP="00CA25CF">
            <w:pPr>
              <w:rPr>
                <w:rFonts w:cs="Arial"/>
                <w:color w:val="FF0000"/>
                <w:sz w:val="21"/>
                <w:szCs w:val="21"/>
              </w:rPr>
            </w:pPr>
          </w:p>
        </w:tc>
        <w:tc>
          <w:tcPr>
            <w:tcW w:w="217" w:type="dxa"/>
          </w:tcPr>
          <w:p w14:paraId="670A78A5" w14:textId="77777777" w:rsidR="002C0FD9" w:rsidRPr="00CA25CF" w:rsidRDefault="002C0FD9" w:rsidP="00CA25CF">
            <w:pPr>
              <w:rPr>
                <w:rFonts w:cs="Arial"/>
                <w:color w:val="FF0000"/>
                <w:sz w:val="21"/>
                <w:szCs w:val="21"/>
              </w:rPr>
            </w:pPr>
          </w:p>
        </w:tc>
        <w:tc>
          <w:tcPr>
            <w:tcW w:w="217" w:type="dxa"/>
          </w:tcPr>
          <w:p w14:paraId="17C345B5" w14:textId="77777777" w:rsidR="002C0FD9" w:rsidRPr="00CA25CF" w:rsidRDefault="002C0FD9" w:rsidP="00CA25CF">
            <w:pPr>
              <w:rPr>
                <w:rFonts w:cs="Arial"/>
                <w:color w:val="FF0000"/>
                <w:sz w:val="21"/>
                <w:szCs w:val="21"/>
              </w:rPr>
            </w:pPr>
          </w:p>
        </w:tc>
        <w:tc>
          <w:tcPr>
            <w:tcW w:w="217" w:type="dxa"/>
          </w:tcPr>
          <w:p w14:paraId="3955FC95" w14:textId="77777777" w:rsidR="002C0FD9" w:rsidRPr="00CA25CF" w:rsidRDefault="002C0FD9" w:rsidP="00CA25CF">
            <w:pPr>
              <w:rPr>
                <w:rFonts w:cs="Arial"/>
                <w:color w:val="FF0000"/>
                <w:sz w:val="21"/>
                <w:szCs w:val="21"/>
              </w:rPr>
            </w:pPr>
          </w:p>
        </w:tc>
        <w:tc>
          <w:tcPr>
            <w:tcW w:w="217" w:type="dxa"/>
          </w:tcPr>
          <w:p w14:paraId="32C7B313" w14:textId="77777777" w:rsidR="002C0FD9" w:rsidRPr="00CA25CF" w:rsidRDefault="002C0FD9" w:rsidP="00CA25CF">
            <w:pPr>
              <w:rPr>
                <w:rFonts w:cs="Arial"/>
                <w:color w:val="FF0000"/>
                <w:sz w:val="21"/>
                <w:szCs w:val="21"/>
              </w:rPr>
            </w:pPr>
          </w:p>
        </w:tc>
        <w:tc>
          <w:tcPr>
            <w:tcW w:w="217" w:type="dxa"/>
          </w:tcPr>
          <w:p w14:paraId="322DBCAA" w14:textId="77777777" w:rsidR="002C0FD9" w:rsidRPr="00CA25CF" w:rsidRDefault="002C0FD9" w:rsidP="00CA25CF">
            <w:pPr>
              <w:rPr>
                <w:rFonts w:cs="Arial"/>
                <w:color w:val="FF0000"/>
                <w:sz w:val="21"/>
                <w:szCs w:val="21"/>
              </w:rPr>
            </w:pPr>
          </w:p>
        </w:tc>
        <w:tc>
          <w:tcPr>
            <w:tcW w:w="217" w:type="dxa"/>
          </w:tcPr>
          <w:p w14:paraId="1FAB9AA7" w14:textId="77777777" w:rsidR="002C0FD9" w:rsidRPr="00CA25CF" w:rsidRDefault="002C0FD9" w:rsidP="00CA25CF">
            <w:pPr>
              <w:rPr>
                <w:rFonts w:cs="Arial"/>
                <w:color w:val="FF0000"/>
                <w:sz w:val="21"/>
                <w:szCs w:val="21"/>
              </w:rPr>
            </w:pPr>
          </w:p>
        </w:tc>
        <w:tc>
          <w:tcPr>
            <w:tcW w:w="217" w:type="dxa"/>
          </w:tcPr>
          <w:p w14:paraId="1558CACB" w14:textId="77777777" w:rsidR="002C0FD9" w:rsidRPr="00CA25CF" w:rsidRDefault="002C0FD9" w:rsidP="00CA25CF">
            <w:pPr>
              <w:rPr>
                <w:rFonts w:cs="Arial"/>
                <w:color w:val="FF0000"/>
                <w:sz w:val="21"/>
                <w:szCs w:val="21"/>
              </w:rPr>
            </w:pPr>
          </w:p>
        </w:tc>
      </w:tr>
      <w:tr w:rsidR="002C0FD9" w:rsidRPr="00A16219" w14:paraId="4FA569A8" w14:textId="77777777" w:rsidTr="002C0FD9">
        <w:trPr>
          <w:trHeight w:val="635"/>
        </w:trPr>
        <w:tc>
          <w:tcPr>
            <w:tcW w:w="515" w:type="dxa"/>
          </w:tcPr>
          <w:p w14:paraId="66A53434" w14:textId="77777777" w:rsidR="002C0FD9" w:rsidRPr="00CA25CF" w:rsidRDefault="002C0FD9" w:rsidP="00CA25CF">
            <w:pPr>
              <w:rPr>
                <w:rFonts w:cs="Arial"/>
                <w:color w:val="FF0000"/>
                <w:sz w:val="21"/>
                <w:szCs w:val="21"/>
              </w:rPr>
            </w:pPr>
          </w:p>
        </w:tc>
        <w:tc>
          <w:tcPr>
            <w:tcW w:w="217" w:type="dxa"/>
          </w:tcPr>
          <w:p w14:paraId="6AD0A341" w14:textId="77777777" w:rsidR="002C0FD9" w:rsidRPr="00CA25CF" w:rsidRDefault="002C0FD9" w:rsidP="00CA25CF">
            <w:pPr>
              <w:rPr>
                <w:rFonts w:cs="Arial"/>
                <w:color w:val="FF0000"/>
                <w:sz w:val="21"/>
                <w:szCs w:val="21"/>
              </w:rPr>
            </w:pPr>
          </w:p>
        </w:tc>
        <w:tc>
          <w:tcPr>
            <w:tcW w:w="217" w:type="dxa"/>
          </w:tcPr>
          <w:p w14:paraId="6113D1D3" w14:textId="77777777" w:rsidR="002C0FD9" w:rsidRPr="00CA25CF" w:rsidRDefault="002C0FD9" w:rsidP="00CA25CF">
            <w:pPr>
              <w:rPr>
                <w:rFonts w:cs="Arial"/>
                <w:color w:val="FF0000"/>
                <w:sz w:val="21"/>
                <w:szCs w:val="21"/>
              </w:rPr>
            </w:pPr>
          </w:p>
        </w:tc>
        <w:tc>
          <w:tcPr>
            <w:tcW w:w="217" w:type="dxa"/>
          </w:tcPr>
          <w:p w14:paraId="506563FE" w14:textId="77777777" w:rsidR="002C0FD9" w:rsidRPr="00CA25CF" w:rsidRDefault="002C0FD9" w:rsidP="00CA25CF">
            <w:pPr>
              <w:rPr>
                <w:rFonts w:cs="Arial"/>
                <w:color w:val="FF0000"/>
                <w:sz w:val="21"/>
                <w:szCs w:val="21"/>
              </w:rPr>
            </w:pPr>
          </w:p>
        </w:tc>
        <w:tc>
          <w:tcPr>
            <w:tcW w:w="217" w:type="dxa"/>
          </w:tcPr>
          <w:p w14:paraId="5CB9E708" w14:textId="77777777" w:rsidR="002C0FD9" w:rsidRPr="00CA25CF" w:rsidRDefault="002C0FD9" w:rsidP="00CA25CF">
            <w:pPr>
              <w:rPr>
                <w:rFonts w:cs="Arial"/>
                <w:color w:val="FF0000"/>
                <w:sz w:val="21"/>
                <w:szCs w:val="21"/>
              </w:rPr>
            </w:pPr>
          </w:p>
        </w:tc>
        <w:tc>
          <w:tcPr>
            <w:tcW w:w="217" w:type="dxa"/>
          </w:tcPr>
          <w:p w14:paraId="62E0FCFD" w14:textId="77777777" w:rsidR="002C0FD9" w:rsidRPr="00CA25CF" w:rsidRDefault="002C0FD9" w:rsidP="00CA25CF">
            <w:pPr>
              <w:rPr>
                <w:rFonts w:cs="Arial"/>
                <w:color w:val="FF0000"/>
                <w:sz w:val="21"/>
                <w:szCs w:val="21"/>
              </w:rPr>
            </w:pPr>
          </w:p>
        </w:tc>
        <w:tc>
          <w:tcPr>
            <w:tcW w:w="217" w:type="dxa"/>
          </w:tcPr>
          <w:p w14:paraId="6C566301" w14:textId="77777777" w:rsidR="002C0FD9" w:rsidRPr="00CA25CF" w:rsidRDefault="002C0FD9" w:rsidP="00CA25CF">
            <w:pPr>
              <w:rPr>
                <w:rFonts w:cs="Arial"/>
                <w:color w:val="FF0000"/>
                <w:sz w:val="21"/>
                <w:szCs w:val="21"/>
              </w:rPr>
            </w:pPr>
          </w:p>
        </w:tc>
        <w:tc>
          <w:tcPr>
            <w:tcW w:w="217" w:type="dxa"/>
          </w:tcPr>
          <w:p w14:paraId="4921092F" w14:textId="77777777" w:rsidR="002C0FD9" w:rsidRPr="00CA25CF" w:rsidRDefault="002C0FD9" w:rsidP="00CA25CF">
            <w:pPr>
              <w:rPr>
                <w:rFonts w:cs="Arial"/>
                <w:color w:val="FF0000"/>
                <w:sz w:val="21"/>
                <w:szCs w:val="21"/>
              </w:rPr>
            </w:pPr>
          </w:p>
        </w:tc>
        <w:tc>
          <w:tcPr>
            <w:tcW w:w="217" w:type="dxa"/>
          </w:tcPr>
          <w:p w14:paraId="136A389A" w14:textId="77777777" w:rsidR="002C0FD9" w:rsidRPr="00CA25CF" w:rsidRDefault="002C0FD9" w:rsidP="00CA25CF">
            <w:pPr>
              <w:rPr>
                <w:rFonts w:cs="Arial"/>
                <w:color w:val="FF0000"/>
                <w:sz w:val="21"/>
                <w:szCs w:val="21"/>
              </w:rPr>
            </w:pPr>
          </w:p>
        </w:tc>
        <w:tc>
          <w:tcPr>
            <w:tcW w:w="217" w:type="dxa"/>
          </w:tcPr>
          <w:p w14:paraId="6D0A2E54" w14:textId="77777777" w:rsidR="002C0FD9" w:rsidRPr="00CA25CF" w:rsidRDefault="002C0FD9" w:rsidP="00CA25CF">
            <w:pPr>
              <w:rPr>
                <w:rFonts w:cs="Arial"/>
                <w:color w:val="FF0000"/>
                <w:sz w:val="21"/>
                <w:szCs w:val="21"/>
              </w:rPr>
            </w:pPr>
          </w:p>
        </w:tc>
        <w:tc>
          <w:tcPr>
            <w:tcW w:w="217" w:type="dxa"/>
          </w:tcPr>
          <w:p w14:paraId="3AA04A2C" w14:textId="77777777" w:rsidR="002C0FD9" w:rsidRPr="00CA25CF" w:rsidRDefault="002C0FD9" w:rsidP="00CA25CF">
            <w:pPr>
              <w:rPr>
                <w:rFonts w:cs="Arial"/>
                <w:color w:val="FF0000"/>
                <w:sz w:val="21"/>
                <w:szCs w:val="21"/>
              </w:rPr>
            </w:pPr>
          </w:p>
        </w:tc>
        <w:tc>
          <w:tcPr>
            <w:tcW w:w="217" w:type="dxa"/>
          </w:tcPr>
          <w:p w14:paraId="324A44FD" w14:textId="77777777" w:rsidR="002C0FD9" w:rsidRPr="00CA25CF" w:rsidRDefault="002C0FD9" w:rsidP="00CA25CF">
            <w:pPr>
              <w:rPr>
                <w:rFonts w:cs="Arial"/>
                <w:color w:val="FF0000"/>
                <w:sz w:val="21"/>
                <w:szCs w:val="21"/>
              </w:rPr>
            </w:pPr>
          </w:p>
        </w:tc>
        <w:tc>
          <w:tcPr>
            <w:tcW w:w="217" w:type="dxa"/>
          </w:tcPr>
          <w:p w14:paraId="664570EE" w14:textId="77777777" w:rsidR="002C0FD9" w:rsidRPr="00CA25CF" w:rsidRDefault="002C0FD9" w:rsidP="00CA25CF">
            <w:pPr>
              <w:rPr>
                <w:rFonts w:cs="Arial"/>
                <w:color w:val="FF0000"/>
                <w:sz w:val="21"/>
                <w:szCs w:val="21"/>
              </w:rPr>
            </w:pPr>
          </w:p>
        </w:tc>
        <w:tc>
          <w:tcPr>
            <w:tcW w:w="217" w:type="dxa"/>
          </w:tcPr>
          <w:p w14:paraId="110A3E32" w14:textId="77777777" w:rsidR="002C0FD9" w:rsidRPr="00CA25CF" w:rsidRDefault="002C0FD9" w:rsidP="00CA25CF">
            <w:pPr>
              <w:rPr>
                <w:rFonts w:cs="Arial"/>
                <w:color w:val="FF0000"/>
                <w:sz w:val="21"/>
                <w:szCs w:val="21"/>
              </w:rPr>
            </w:pPr>
          </w:p>
        </w:tc>
        <w:tc>
          <w:tcPr>
            <w:tcW w:w="217" w:type="dxa"/>
          </w:tcPr>
          <w:p w14:paraId="5100AE93" w14:textId="77777777" w:rsidR="002C0FD9" w:rsidRPr="00CA25CF" w:rsidRDefault="002C0FD9" w:rsidP="00CA25CF">
            <w:pPr>
              <w:rPr>
                <w:rFonts w:cs="Arial"/>
                <w:color w:val="FF0000"/>
                <w:sz w:val="21"/>
                <w:szCs w:val="21"/>
              </w:rPr>
            </w:pPr>
          </w:p>
        </w:tc>
        <w:tc>
          <w:tcPr>
            <w:tcW w:w="217" w:type="dxa"/>
          </w:tcPr>
          <w:p w14:paraId="22360FE7" w14:textId="77777777" w:rsidR="002C0FD9" w:rsidRPr="00CA25CF" w:rsidRDefault="002C0FD9" w:rsidP="00CA25CF">
            <w:pPr>
              <w:rPr>
                <w:rFonts w:cs="Arial"/>
                <w:color w:val="FF0000"/>
                <w:sz w:val="21"/>
                <w:szCs w:val="21"/>
              </w:rPr>
            </w:pPr>
          </w:p>
        </w:tc>
        <w:tc>
          <w:tcPr>
            <w:tcW w:w="217" w:type="dxa"/>
          </w:tcPr>
          <w:p w14:paraId="0F0CC3DF" w14:textId="77777777" w:rsidR="002C0FD9" w:rsidRPr="00CA25CF" w:rsidRDefault="002C0FD9" w:rsidP="00CA25CF">
            <w:pPr>
              <w:rPr>
                <w:rFonts w:cs="Arial"/>
                <w:color w:val="FF0000"/>
                <w:sz w:val="21"/>
                <w:szCs w:val="21"/>
              </w:rPr>
            </w:pPr>
          </w:p>
        </w:tc>
        <w:tc>
          <w:tcPr>
            <w:tcW w:w="217" w:type="dxa"/>
          </w:tcPr>
          <w:p w14:paraId="77C30944" w14:textId="77777777" w:rsidR="002C0FD9" w:rsidRPr="00CA25CF" w:rsidRDefault="002C0FD9" w:rsidP="00CA25CF">
            <w:pPr>
              <w:rPr>
                <w:rFonts w:cs="Arial"/>
                <w:color w:val="FF0000"/>
                <w:sz w:val="21"/>
                <w:szCs w:val="21"/>
              </w:rPr>
            </w:pPr>
          </w:p>
        </w:tc>
        <w:tc>
          <w:tcPr>
            <w:tcW w:w="217" w:type="dxa"/>
          </w:tcPr>
          <w:p w14:paraId="10476BF1" w14:textId="77777777" w:rsidR="002C0FD9" w:rsidRPr="00CA25CF" w:rsidRDefault="002C0FD9" w:rsidP="00CA25CF">
            <w:pPr>
              <w:rPr>
                <w:rFonts w:cs="Arial"/>
                <w:color w:val="FF0000"/>
                <w:sz w:val="21"/>
                <w:szCs w:val="21"/>
              </w:rPr>
            </w:pPr>
          </w:p>
        </w:tc>
        <w:tc>
          <w:tcPr>
            <w:tcW w:w="217" w:type="dxa"/>
          </w:tcPr>
          <w:p w14:paraId="1F04C828" w14:textId="77777777" w:rsidR="002C0FD9" w:rsidRPr="00CA25CF" w:rsidRDefault="002C0FD9" w:rsidP="00CA25CF">
            <w:pPr>
              <w:rPr>
                <w:rFonts w:cs="Arial"/>
                <w:color w:val="FF0000"/>
                <w:sz w:val="21"/>
                <w:szCs w:val="21"/>
              </w:rPr>
            </w:pPr>
          </w:p>
        </w:tc>
        <w:tc>
          <w:tcPr>
            <w:tcW w:w="217" w:type="dxa"/>
          </w:tcPr>
          <w:p w14:paraId="157F6493" w14:textId="77777777" w:rsidR="002C0FD9" w:rsidRPr="00CA25CF" w:rsidRDefault="002C0FD9" w:rsidP="00CA25CF">
            <w:pPr>
              <w:rPr>
                <w:rFonts w:cs="Arial"/>
                <w:color w:val="FF0000"/>
                <w:sz w:val="21"/>
                <w:szCs w:val="21"/>
              </w:rPr>
            </w:pPr>
          </w:p>
        </w:tc>
        <w:tc>
          <w:tcPr>
            <w:tcW w:w="217" w:type="dxa"/>
          </w:tcPr>
          <w:p w14:paraId="53421E2A" w14:textId="77777777" w:rsidR="002C0FD9" w:rsidRPr="00CA25CF" w:rsidRDefault="002C0FD9" w:rsidP="00CA25CF">
            <w:pPr>
              <w:rPr>
                <w:rFonts w:cs="Arial"/>
                <w:color w:val="FF0000"/>
                <w:sz w:val="21"/>
                <w:szCs w:val="21"/>
              </w:rPr>
            </w:pPr>
          </w:p>
        </w:tc>
        <w:tc>
          <w:tcPr>
            <w:tcW w:w="217" w:type="dxa"/>
          </w:tcPr>
          <w:p w14:paraId="2A8C0507" w14:textId="77777777" w:rsidR="002C0FD9" w:rsidRPr="00CA25CF" w:rsidRDefault="002C0FD9" w:rsidP="00CA25CF">
            <w:pPr>
              <w:rPr>
                <w:rFonts w:cs="Arial"/>
                <w:color w:val="FF0000"/>
                <w:sz w:val="21"/>
                <w:szCs w:val="21"/>
              </w:rPr>
            </w:pPr>
          </w:p>
        </w:tc>
        <w:tc>
          <w:tcPr>
            <w:tcW w:w="217" w:type="dxa"/>
          </w:tcPr>
          <w:p w14:paraId="58A9BA3A" w14:textId="77777777" w:rsidR="002C0FD9" w:rsidRPr="00CA25CF" w:rsidRDefault="002C0FD9" w:rsidP="00CA25CF">
            <w:pPr>
              <w:rPr>
                <w:rFonts w:cs="Arial"/>
                <w:color w:val="FF0000"/>
                <w:sz w:val="21"/>
                <w:szCs w:val="21"/>
              </w:rPr>
            </w:pPr>
          </w:p>
        </w:tc>
        <w:tc>
          <w:tcPr>
            <w:tcW w:w="217" w:type="dxa"/>
          </w:tcPr>
          <w:p w14:paraId="025A375D" w14:textId="77777777" w:rsidR="002C0FD9" w:rsidRPr="00CA25CF" w:rsidRDefault="002C0FD9" w:rsidP="00CA25CF">
            <w:pPr>
              <w:rPr>
                <w:rFonts w:cs="Arial"/>
                <w:color w:val="FF0000"/>
                <w:sz w:val="21"/>
                <w:szCs w:val="21"/>
              </w:rPr>
            </w:pPr>
          </w:p>
        </w:tc>
        <w:tc>
          <w:tcPr>
            <w:tcW w:w="217" w:type="dxa"/>
          </w:tcPr>
          <w:p w14:paraId="5A0A9AAA" w14:textId="77777777" w:rsidR="002C0FD9" w:rsidRPr="00CA25CF" w:rsidRDefault="002C0FD9" w:rsidP="00CA25CF">
            <w:pPr>
              <w:rPr>
                <w:rFonts w:cs="Arial"/>
                <w:color w:val="FF0000"/>
                <w:sz w:val="21"/>
                <w:szCs w:val="21"/>
              </w:rPr>
            </w:pPr>
          </w:p>
        </w:tc>
        <w:tc>
          <w:tcPr>
            <w:tcW w:w="217" w:type="dxa"/>
          </w:tcPr>
          <w:p w14:paraId="63DC4838" w14:textId="77777777" w:rsidR="002C0FD9" w:rsidRPr="00CA25CF" w:rsidRDefault="002C0FD9" w:rsidP="00CA25CF">
            <w:pPr>
              <w:rPr>
                <w:rFonts w:cs="Arial"/>
                <w:color w:val="FF0000"/>
                <w:sz w:val="21"/>
                <w:szCs w:val="21"/>
              </w:rPr>
            </w:pPr>
          </w:p>
        </w:tc>
        <w:tc>
          <w:tcPr>
            <w:tcW w:w="217" w:type="dxa"/>
          </w:tcPr>
          <w:p w14:paraId="14CB82BC" w14:textId="77777777" w:rsidR="002C0FD9" w:rsidRPr="00CA25CF" w:rsidRDefault="002C0FD9" w:rsidP="00CA25CF">
            <w:pPr>
              <w:rPr>
                <w:rFonts w:cs="Arial"/>
                <w:color w:val="FF0000"/>
                <w:sz w:val="21"/>
                <w:szCs w:val="21"/>
              </w:rPr>
            </w:pPr>
          </w:p>
        </w:tc>
        <w:tc>
          <w:tcPr>
            <w:tcW w:w="217" w:type="dxa"/>
          </w:tcPr>
          <w:p w14:paraId="5E631979" w14:textId="77777777" w:rsidR="002C0FD9" w:rsidRPr="00CA25CF" w:rsidRDefault="002C0FD9" w:rsidP="00CA25CF">
            <w:pPr>
              <w:rPr>
                <w:rFonts w:cs="Arial"/>
                <w:color w:val="FF0000"/>
                <w:sz w:val="21"/>
                <w:szCs w:val="21"/>
              </w:rPr>
            </w:pPr>
          </w:p>
        </w:tc>
        <w:tc>
          <w:tcPr>
            <w:tcW w:w="217" w:type="dxa"/>
          </w:tcPr>
          <w:p w14:paraId="1AD5131F" w14:textId="77777777" w:rsidR="002C0FD9" w:rsidRPr="00CA25CF" w:rsidRDefault="002C0FD9" w:rsidP="00CA25CF">
            <w:pPr>
              <w:rPr>
                <w:rFonts w:cs="Arial"/>
                <w:color w:val="FF0000"/>
                <w:sz w:val="21"/>
                <w:szCs w:val="21"/>
              </w:rPr>
            </w:pPr>
          </w:p>
        </w:tc>
        <w:tc>
          <w:tcPr>
            <w:tcW w:w="217" w:type="dxa"/>
          </w:tcPr>
          <w:p w14:paraId="7B4B4FC5" w14:textId="77777777" w:rsidR="002C0FD9" w:rsidRPr="00CA25CF" w:rsidRDefault="002C0FD9" w:rsidP="00CA25CF">
            <w:pPr>
              <w:rPr>
                <w:rFonts w:cs="Arial"/>
                <w:color w:val="FF0000"/>
                <w:sz w:val="21"/>
                <w:szCs w:val="21"/>
              </w:rPr>
            </w:pPr>
          </w:p>
        </w:tc>
        <w:tc>
          <w:tcPr>
            <w:tcW w:w="217" w:type="dxa"/>
          </w:tcPr>
          <w:p w14:paraId="13402BA9" w14:textId="77777777" w:rsidR="002C0FD9" w:rsidRPr="00CA25CF" w:rsidRDefault="002C0FD9" w:rsidP="00CA25CF">
            <w:pPr>
              <w:rPr>
                <w:rFonts w:cs="Arial"/>
                <w:color w:val="FF0000"/>
                <w:sz w:val="21"/>
                <w:szCs w:val="21"/>
              </w:rPr>
            </w:pPr>
          </w:p>
        </w:tc>
        <w:tc>
          <w:tcPr>
            <w:tcW w:w="217" w:type="dxa"/>
          </w:tcPr>
          <w:p w14:paraId="1FD7A5DF" w14:textId="77777777" w:rsidR="002C0FD9" w:rsidRPr="00CA25CF" w:rsidRDefault="002C0FD9" w:rsidP="00CA25CF">
            <w:pPr>
              <w:rPr>
                <w:rFonts w:cs="Arial"/>
                <w:color w:val="FF0000"/>
                <w:sz w:val="21"/>
                <w:szCs w:val="21"/>
              </w:rPr>
            </w:pPr>
          </w:p>
        </w:tc>
        <w:tc>
          <w:tcPr>
            <w:tcW w:w="217" w:type="dxa"/>
          </w:tcPr>
          <w:p w14:paraId="2F032DAF" w14:textId="77777777" w:rsidR="002C0FD9" w:rsidRPr="00CA25CF" w:rsidRDefault="002C0FD9" w:rsidP="00CA25CF">
            <w:pPr>
              <w:rPr>
                <w:rFonts w:cs="Arial"/>
                <w:color w:val="FF0000"/>
                <w:sz w:val="21"/>
                <w:szCs w:val="21"/>
              </w:rPr>
            </w:pPr>
          </w:p>
        </w:tc>
        <w:tc>
          <w:tcPr>
            <w:tcW w:w="217" w:type="dxa"/>
          </w:tcPr>
          <w:p w14:paraId="27FC6BF7" w14:textId="77777777" w:rsidR="002C0FD9" w:rsidRPr="00CA25CF" w:rsidRDefault="002C0FD9" w:rsidP="00CA25CF">
            <w:pPr>
              <w:rPr>
                <w:rFonts w:cs="Arial"/>
                <w:color w:val="FF0000"/>
                <w:sz w:val="21"/>
                <w:szCs w:val="21"/>
              </w:rPr>
            </w:pPr>
          </w:p>
        </w:tc>
        <w:tc>
          <w:tcPr>
            <w:tcW w:w="217" w:type="dxa"/>
          </w:tcPr>
          <w:p w14:paraId="19C6B0F5" w14:textId="77777777" w:rsidR="002C0FD9" w:rsidRPr="00CA25CF" w:rsidRDefault="002C0FD9" w:rsidP="00CA25CF">
            <w:pPr>
              <w:rPr>
                <w:rFonts w:cs="Arial"/>
                <w:color w:val="FF0000"/>
                <w:sz w:val="21"/>
                <w:szCs w:val="21"/>
              </w:rPr>
            </w:pPr>
          </w:p>
        </w:tc>
        <w:tc>
          <w:tcPr>
            <w:tcW w:w="217" w:type="dxa"/>
          </w:tcPr>
          <w:p w14:paraId="767F72C1" w14:textId="77777777" w:rsidR="002C0FD9" w:rsidRPr="00CA25CF" w:rsidRDefault="002C0FD9" w:rsidP="00CA25CF">
            <w:pPr>
              <w:rPr>
                <w:rFonts w:cs="Arial"/>
                <w:color w:val="FF0000"/>
                <w:sz w:val="21"/>
                <w:szCs w:val="21"/>
              </w:rPr>
            </w:pPr>
          </w:p>
        </w:tc>
        <w:tc>
          <w:tcPr>
            <w:tcW w:w="217" w:type="dxa"/>
          </w:tcPr>
          <w:p w14:paraId="12624875" w14:textId="77777777" w:rsidR="002C0FD9" w:rsidRPr="00CA25CF" w:rsidRDefault="002C0FD9" w:rsidP="00CA25CF">
            <w:pPr>
              <w:rPr>
                <w:rFonts w:cs="Arial"/>
                <w:color w:val="FF0000"/>
                <w:sz w:val="21"/>
                <w:szCs w:val="21"/>
              </w:rPr>
            </w:pPr>
          </w:p>
        </w:tc>
        <w:tc>
          <w:tcPr>
            <w:tcW w:w="217" w:type="dxa"/>
          </w:tcPr>
          <w:p w14:paraId="5F826B05" w14:textId="77777777" w:rsidR="002C0FD9" w:rsidRPr="00CA25CF" w:rsidRDefault="002C0FD9" w:rsidP="00CA25CF">
            <w:pPr>
              <w:rPr>
                <w:rFonts w:cs="Arial"/>
                <w:color w:val="FF0000"/>
                <w:sz w:val="21"/>
                <w:szCs w:val="21"/>
              </w:rPr>
            </w:pPr>
          </w:p>
        </w:tc>
        <w:tc>
          <w:tcPr>
            <w:tcW w:w="217" w:type="dxa"/>
          </w:tcPr>
          <w:p w14:paraId="295099B3" w14:textId="77777777" w:rsidR="002C0FD9" w:rsidRPr="00CA25CF" w:rsidRDefault="002C0FD9" w:rsidP="00CA25CF">
            <w:pPr>
              <w:rPr>
                <w:rFonts w:cs="Arial"/>
                <w:color w:val="FF0000"/>
                <w:sz w:val="21"/>
                <w:szCs w:val="21"/>
              </w:rPr>
            </w:pPr>
          </w:p>
        </w:tc>
        <w:tc>
          <w:tcPr>
            <w:tcW w:w="217" w:type="dxa"/>
          </w:tcPr>
          <w:p w14:paraId="14253DAC" w14:textId="77777777" w:rsidR="002C0FD9" w:rsidRPr="00CA25CF" w:rsidRDefault="002C0FD9" w:rsidP="00CA25CF">
            <w:pPr>
              <w:rPr>
                <w:rFonts w:cs="Arial"/>
                <w:color w:val="FF0000"/>
                <w:sz w:val="21"/>
                <w:szCs w:val="21"/>
              </w:rPr>
            </w:pPr>
          </w:p>
        </w:tc>
        <w:tc>
          <w:tcPr>
            <w:tcW w:w="217" w:type="dxa"/>
          </w:tcPr>
          <w:p w14:paraId="73BBBA8F" w14:textId="77777777" w:rsidR="002C0FD9" w:rsidRPr="00CA25CF" w:rsidRDefault="002C0FD9" w:rsidP="00CA25CF">
            <w:pPr>
              <w:rPr>
                <w:rFonts w:cs="Arial"/>
                <w:color w:val="FF0000"/>
                <w:sz w:val="21"/>
                <w:szCs w:val="21"/>
              </w:rPr>
            </w:pPr>
          </w:p>
        </w:tc>
        <w:tc>
          <w:tcPr>
            <w:tcW w:w="217" w:type="dxa"/>
          </w:tcPr>
          <w:p w14:paraId="03F1004E" w14:textId="77777777" w:rsidR="002C0FD9" w:rsidRPr="00CA25CF" w:rsidRDefault="002C0FD9" w:rsidP="00CA25CF">
            <w:pPr>
              <w:rPr>
                <w:rFonts w:cs="Arial"/>
                <w:color w:val="FF0000"/>
                <w:sz w:val="21"/>
                <w:szCs w:val="21"/>
              </w:rPr>
            </w:pPr>
          </w:p>
        </w:tc>
      </w:tr>
      <w:tr w:rsidR="002C0FD9" w:rsidRPr="00A16219" w14:paraId="38DE39E9" w14:textId="77777777" w:rsidTr="002C0FD9">
        <w:trPr>
          <w:trHeight w:val="635"/>
        </w:trPr>
        <w:tc>
          <w:tcPr>
            <w:tcW w:w="515" w:type="dxa"/>
          </w:tcPr>
          <w:p w14:paraId="17D32A26" w14:textId="77777777" w:rsidR="002C0FD9" w:rsidRPr="00CA25CF" w:rsidRDefault="002C0FD9" w:rsidP="00CA25CF">
            <w:pPr>
              <w:rPr>
                <w:rFonts w:cs="Arial"/>
                <w:color w:val="FF0000"/>
                <w:sz w:val="21"/>
                <w:szCs w:val="21"/>
              </w:rPr>
            </w:pPr>
          </w:p>
        </w:tc>
        <w:tc>
          <w:tcPr>
            <w:tcW w:w="217" w:type="dxa"/>
          </w:tcPr>
          <w:p w14:paraId="1B04BEA9" w14:textId="77777777" w:rsidR="002C0FD9" w:rsidRPr="00CA25CF" w:rsidRDefault="002C0FD9" w:rsidP="00CA25CF">
            <w:pPr>
              <w:rPr>
                <w:rFonts w:cs="Arial"/>
                <w:color w:val="FF0000"/>
                <w:sz w:val="21"/>
                <w:szCs w:val="21"/>
              </w:rPr>
            </w:pPr>
          </w:p>
        </w:tc>
        <w:tc>
          <w:tcPr>
            <w:tcW w:w="217" w:type="dxa"/>
          </w:tcPr>
          <w:p w14:paraId="20131E7B" w14:textId="77777777" w:rsidR="002C0FD9" w:rsidRPr="00CA25CF" w:rsidRDefault="002C0FD9" w:rsidP="00CA25CF">
            <w:pPr>
              <w:rPr>
                <w:rFonts w:cs="Arial"/>
                <w:color w:val="FF0000"/>
                <w:sz w:val="21"/>
                <w:szCs w:val="21"/>
              </w:rPr>
            </w:pPr>
          </w:p>
        </w:tc>
        <w:tc>
          <w:tcPr>
            <w:tcW w:w="217" w:type="dxa"/>
          </w:tcPr>
          <w:p w14:paraId="18851A4B" w14:textId="77777777" w:rsidR="002C0FD9" w:rsidRPr="00CA25CF" w:rsidRDefault="002C0FD9" w:rsidP="00CA25CF">
            <w:pPr>
              <w:rPr>
                <w:rFonts w:cs="Arial"/>
                <w:color w:val="FF0000"/>
                <w:sz w:val="21"/>
                <w:szCs w:val="21"/>
              </w:rPr>
            </w:pPr>
          </w:p>
        </w:tc>
        <w:tc>
          <w:tcPr>
            <w:tcW w:w="217" w:type="dxa"/>
          </w:tcPr>
          <w:p w14:paraId="454E7F45" w14:textId="77777777" w:rsidR="002C0FD9" w:rsidRPr="00CA25CF" w:rsidRDefault="002C0FD9" w:rsidP="00CA25CF">
            <w:pPr>
              <w:rPr>
                <w:rFonts w:cs="Arial"/>
                <w:color w:val="FF0000"/>
                <w:sz w:val="21"/>
                <w:szCs w:val="21"/>
              </w:rPr>
            </w:pPr>
          </w:p>
        </w:tc>
        <w:tc>
          <w:tcPr>
            <w:tcW w:w="217" w:type="dxa"/>
          </w:tcPr>
          <w:p w14:paraId="6F75539A" w14:textId="77777777" w:rsidR="002C0FD9" w:rsidRPr="00CA25CF" w:rsidRDefault="002C0FD9" w:rsidP="00CA25CF">
            <w:pPr>
              <w:rPr>
                <w:rFonts w:cs="Arial"/>
                <w:color w:val="FF0000"/>
                <w:sz w:val="21"/>
                <w:szCs w:val="21"/>
              </w:rPr>
            </w:pPr>
          </w:p>
        </w:tc>
        <w:tc>
          <w:tcPr>
            <w:tcW w:w="217" w:type="dxa"/>
          </w:tcPr>
          <w:p w14:paraId="03153D79" w14:textId="77777777" w:rsidR="002C0FD9" w:rsidRPr="00CA25CF" w:rsidRDefault="002C0FD9" w:rsidP="00CA25CF">
            <w:pPr>
              <w:rPr>
                <w:rFonts w:cs="Arial"/>
                <w:color w:val="FF0000"/>
                <w:sz w:val="21"/>
                <w:szCs w:val="21"/>
              </w:rPr>
            </w:pPr>
          </w:p>
        </w:tc>
        <w:tc>
          <w:tcPr>
            <w:tcW w:w="217" w:type="dxa"/>
          </w:tcPr>
          <w:p w14:paraId="60E40E77" w14:textId="77777777" w:rsidR="002C0FD9" w:rsidRPr="00CA25CF" w:rsidRDefault="002C0FD9" w:rsidP="00CA25CF">
            <w:pPr>
              <w:rPr>
                <w:rFonts w:cs="Arial"/>
                <w:color w:val="FF0000"/>
                <w:sz w:val="21"/>
                <w:szCs w:val="21"/>
              </w:rPr>
            </w:pPr>
          </w:p>
        </w:tc>
        <w:tc>
          <w:tcPr>
            <w:tcW w:w="217" w:type="dxa"/>
          </w:tcPr>
          <w:p w14:paraId="280BDE53" w14:textId="77777777" w:rsidR="002C0FD9" w:rsidRPr="00CA25CF" w:rsidRDefault="002C0FD9" w:rsidP="00CA25CF">
            <w:pPr>
              <w:rPr>
                <w:rFonts w:cs="Arial"/>
                <w:color w:val="FF0000"/>
                <w:sz w:val="21"/>
                <w:szCs w:val="21"/>
              </w:rPr>
            </w:pPr>
          </w:p>
        </w:tc>
        <w:tc>
          <w:tcPr>
            <w:tcW w:w="217" w:type="dxa"/>
          </w:tcPr>
          <w:p w14:paraId="6A5CE0A1" w14:textId="77777777" w:rsidR="002C0FD9" w:rsidRPr="00CA25CF" w:rsidRDefault="002C0FD9" w:rsidP="00CA25CF">
            <w:pPr>
              <w:rPr>
                <w:rFonts w:cs="Arial"/>
                <w:color w:val="FF0000"/>
                <w:sz w:val="21"/>
                <w:szCs w:val="21"/>
              </w:rPr>
            </w:pPr>
          </w:p>
        </w:tc>
        <w:tc>
          <w:tcPr>
            <w:tcW w:w="217" w:type="dxa"/>
          </w:tcPr>
          <w:p w14:paraId="08226F76" w14:textId="77777777" w:rsidR="002C0FD9" w:rsidRPr="00CA25CF" w:rsidRDefault="002C0FD9" w:rsidP="00CA25CF">
            <w:pPr>
              <w:rPr>
                <w:rFonts w:cs="Arial"/>
                <w:color w:val="FF0000"/>
                <w:sz w:val="21"/>
                <w:szCs w:val="21"/>
              </w:rPr>
            </w:pPr>
          </w:p>
        </w:tc>
        <w:tc>
          <w:tcPr>
            <w:tcW w:w="217" w:type="dxa"/>
          </w:tcPr>
          <w:p w14:paraId="2C1AB5B8" w14:textId="77777777" w:rsidR="002C0FD9" w:rsidRPr="00CA25CF" w:rsidRDefault="002C0FD9" w:rsidP="00CA25CF">
            <w:pPr>
              <w:rPr>
                <w:rFonts w:cs="Arial"/>
                <w:color w:val="FF0000"/>
                <w:sz w:val="21"/>
                <w:szCs w:val="21"/>
              </w:rPr>
            </w:pPr>
          </w:p>
        </w:tc>
        <w:tc>
          <w:tcPr>
            <w:tcW w:w="217" w:type="dxa"/>
          </w:tcPr>
          <w:p w14:paraId="17BA21FF" w14:textId="77777777" w:rsidR="002C0FD9" w:rsidRPr="00CA25CF" w:rsidRDefault="002C0FD9" w:rsidP="00CA25CF">
            <w:pPr>
              <w:rPr>
                <w:rFonts w:cs="Arial"/>
                <w:color w:val="FF0000"/>
                <w:sz w:val="21"/>
                <w:szCs w:val="21"/>
              </w:rPr>
            </w:pPr>
          </w:p>
        </w:tc>
        <w:tc>
          <w:tcPr>
            <w:tcW w:w="217" w:type="dxa"/>
          </w:tcPr>
          <w:p w14:paraId="5AB6F86B" w14:textId="77777777" w:rsidR="002C0FD9" w:rsidRPr="00CA25CF" w:rsidRDefault="002C0FD9" w:rsidP="00CA25CF">
            <w:pPr>
              <w:rPr>
                <w:rFonts w:cs="Arial"/>
                <w:color w:val="FF0000"/>
                <w:sz w:val="21"/>
                <w:szCs w:val="21"/>
              </w:rPr>
            </w:pPr>
          </w:p>
        </w:tc>
        <w:tc>
          <w:tcPr>
            <w:tcW w:w="217" w:type="dxa"/>
          </w:tcPr>
          <w:p w14:paraId="38651755" w14:textId="77777777" w:rsidR="002C0FD9" w:rsidRPr="00CA25CF" w:rsidRDefault="002C0FD9" w:rsidP="00CA25CF">
            <w:pPr>
              <w:rPr>
                <w:rFonts w:cs="Arial"/>
                <w:color w:val="FF0000"/>
                <w:sz w:val="21"/>
                <w:szCs w:val="21"/>
              </w:rPr>
            </w:pPr>
          </w:p>
        </w:tc>
        <w:tc>
          <w:tcPr>
            <w:tcW w:w="217" w:type="dxa"/>
          </w:tcPr>
          <w:p w14:paraId="193CF864" w14:textId="77777777" w:rsidR="002C0FD9" w:rsidRPr="00CA25CF" w:rsidRDefault="002C0FD9" w:rsidP="00CA25CF">
            <w:pPr>
              <w:rPr>
                <w:rFonts w:cs="Arial"/>
                <w:color w:val="FF0000"/>
                <w:sz w:val="21"/>
                <w:szCs w:val="21"/>
              </w:rPr>
            </w:pPr>
          </w:p>
        </w:tc>
        <w:tc>
          <w:tcPr>
            <w:tcW w:w="217" w:type="dxa"/>
          </w:tcPr>
          <w:p w14:paraId="5311C601" w14:textId="77777777" w:rsidR="002C0FD9" w:rsidRPr="00CA25CF" w:rsidRDefault="002C0FD9" w:rsidP="00CA25CF">
            <w:pPr>
              <w:rPr>
                <w:rFonts w:cs="Arial"/>
                <w:color w:val="FF0000"/>
                <w:sz w:val="21"/>
                <w:szCs w:val="21"/>
              </w:rPr>
            </w:pPr>
          </w:p>
        </w:tc>
        <w:tc>
          <w:tcPr>
            <w:tcW w:w="217" w:type="dxa"/>
          </w:tcPr>
          <w:p w14:paraId="6BE5FE9C" w14:textId="77777777" w:rsidR="002C0FD9" w:rsidRPr="00CA25CF" w:rsidRDefault="002C0FD9" w:rsidP="00CA25CF">
            <w:pPr>
              <w:rPr>
                <w:rFonts w:cs="Arial"/>
                <w:color w:val="FF0000"/>
                <w:sz w:val="21"/>
                <w:szCs w:val="21"/>
              </w:rPr>
            </w:pPr>
          </w:p>
        </w:tc>
        <w:tc>
          <w:tcPr>
            <w:tcW w:w="217" w:type="dxa"/>
          </w:tcPr>
          <w:p w14:paraId="7165963D" w14:textId="77777777" w:rsidR="002C0FD9" w:rsidRPr="00CA25CF" w:rsidRDefault="002C0FD9" w:rsidP="00CA25CF">
            <w:pPr>
              <w:rPr>
                <w:rFonts w:cs="Arial"/>
                <w:color w:val="FF0000"/>
                <w:sz w:val="21"/>
                <w:szCs w:val="21"/>
              </w:rPr>
            </w:pPr>
          </w:p>
        </w:tc>
        <w:tc>
          <w:tcPr>
            <w:tcW w:w="217" w:type="dxa"/>
          </w:tcPr>
          <w:p w14:paraId="61418DD5" w14:textId="77777777" w:rsidR="002C0FD9" w:rsidRPr="00CA25CF" w:rsidRDefault="002C0FD9" w:rsidP="00CA25CF">
            <w:pPr>
              <w:rPr>
                <w:rFonts w:cs="Arial"/>
                <w:color w:val="FF0000"/>
                <w:sz w:val="21"/>
                <w:szCs w:val="21"/>
              </w:rPr>
            </w:pPr>
          </w:p>
        </w:tc>
        <w:tc>
          <w:tcPr>
            <w:tcW w:w="217" w:type="dxa"/>
          </w:tcPr>
          <w:p w14:paraId="2AEAFEF8" w14:textId="77777777" w:rsidR="002C0FD9" w:rsidRPr="00CA25CF" w:rsidRDefault="002C0FD9" w:rsidP="00CA25CF">
            <w:pPr>
              <w:rPr>
                <w:rFonts w:cs="Arial"/>
                <w:color w:val="FF0000"/>
                <w:sz w:val="21"/>
                <w:szCs w:val="21"/>
              </w:rPr>
            </w:pPr>
          </w:p>
        </w:tc>
        <w:tc>
          <w:tcPr>
            <w:tcW w:w="217" w:type="dxa"/>
          </w:tcPr>
          <w:p w14:paraId="14443ABA" w14:textId="77777777" w:rsidR="002C0FD9" w:rsidRPr="00CA25CF" w:rsidRDefault="002C0FD9" w:rsidP="00CA25CF">
            <w:pPr>
              <w:rPr>
                <w:rFonts w:cs="Arial"/>
                <w:color w:val="FF0000"/>
                <w:sz w:val="21"/>
                <w:szCs w:val="21"/>
              </w:rPr>
            </w:pPr>
          </w:p>
        </w:tc>
        <w:tc>
          <w:tcPr>
            <w:tcW w:w="217" w:type="dxa"/>
          </w:tcPr>
          <w:p w14:paraId="188DA1C0" w14:textId="77777777" w:rsidR="002C0FD9" w:rsidRPr="00CA25CF" w:rsidRDefault="002C0FD9" w:rsidP="00CA25CF">
            <w:pPr>
              <w:rPr>
                <w:rFonts w:cs="Arial"/>
                <w:color w:val="FF0000"/>
                <w:sz w:val="21"/>
                <w:szCs w:val="21"/>
              </w:rPr>
            </w:pPr>
          </w:p>
        </w:tc>
        <w:tc>
          <w:tcPr>
            <w:tcW w:w="217" w:type="dxa"/>
          </w:tcPr>
          <w:p w14:paraId="0C8314BA" w14:textId="77777777" w:rsidR="002C0FD9" w:rsidRPr="00CA25CF" w:rsidRDefault="002C0FD9" w:rsidP="00CA25CF">
            <w:pPr>
              <w:rPr>
                <w:rFonts w:cs="Arial"/>
                <w:color w:val="FF0000"/>
                <w:sz w:val="21"/>
                <w:szCs w:val="21"/>
              </w:rPr>
            </w:pPr>
          </w:p>
        </w:tc>
        <w:tc>
          <w:tcPr>
            <w:tcW w:w="217" w:type="dxa"/>
          </w:tcPr>
          <w:p w14:paraId="1BBECC1C" w14:textId="77777777" w:rsidR="002C0FD9" w:rsidRPr="00CA25CF" w:rsidRDefault="002C0FD9" w:rsidP="00CA25CF">
            <w:pPr>
              <w:rPr>
                <w:rFonts w:cs="Arial"/>
                <w:color w:val="FF0000"/>
                <w:sz w:val="21"/>
                <w:szCs w:val="21"/>
              </w:rPr>
            </w:pPr>
          </w:p>
        </w:tc>
        <w:tc>
          <w:tcPr>
            <w:tcW w:w="217" w:type="dxa"/>
          </w:tcPr>
          <w:p w14:paraId="01A90BEB" w14:textId="77777777" w:rsidR="002C0FD9" w:rsidRPr="00CA25CF" w:rsidRDefault="002C0FD9" w:rsidP="00CA25CF">
            <w:pPr>
              <w:rPr>
                <w:rFonts w:cs="Arial"/>
                <w:color w:val="FF0000"/>
                <w:sz w:val="21"/>
                <w:szCs w:val="21"/>
              </w:rPr>
            </w:pPr>
          </w:p>
        </w:tc>
        <w:tc>
          <w:tcPr>
            <w:tcW w:w="217" w:type="dxa"/>
          </w:tcPr>
          <w:p w14:paraId="4D3ADD42" w14:textId="77777777" w:rsidR="002C0FD9" w:rsidRPr="00CA25CF" w:rsidRDefault="002C0FD9" w:rsidP="00CA25CF">
            <w:pPr>
              <w:rPr>
                <w:rFonts w:cs="Arial"/>
                <w:color w:val="FF0000"/>
                <w:sz w:val="21"/>
                <w:szCs w:val="21"/>
              </w:rPr>
            </w:pPr>
          </w:p>
        </w:tc>
        <w:tc>
          <w:tcPr>
            <w:tcW w:w="217" w:type="dxa"/>
          </w:tcPr>
          <w:p w14:paraId="6647113B" w14:textId="77777777" w:rsidR="002C0FD9" w:rsidRPr="00CA25CF" w:rsidRDefault="002C0FD9" w:rsidP="00CA25CF">
            <w:pPr>
              <w:rPr>
                <w:rFonts w:cs="Arial"/>
                <w:color w:val="FF0000"/>
                <w:sz w:val="21"/>
                <w:szCs w:val="21"/>
              </w:rPr>
            </w:pPr>
          </w:p>
        </w:tc>
        <w:tc>
          <w:tcPr>
            <w:tcW w:w="217" w:type="dxa"/>
          </w:tcPr>
          <w:p w14:paraId="4F6CEB16" w14:textId="77777777" w:rsidR="002C0FD9" w:rsidRPr="00CA25CF" w:rsidRDefault="002C0FD9" w:rsidP="00CA25CF">
            <w:pPr>
              <w:rPr>
                <w:rFonts w:cs="Arial"/>
                <w:color w:val="FF0000"/>
                <w:sz w:val="21"/>
                <w:szCs w:val="21"/>
              </w:rPr>
            </w:pPr>
          </w:p>
        </w:tc>
        <w:tc>
          <w:tcPr>
            <w:tcW w:w="217" w:type="dxa"/>
          </w:tcPr>
          <w:p w14:paraId="20837EFD" w14:textId="77777777" w:rsidR="002C0FD9" w:rsidRPr="00CA25CF" w:rsidRDefault="002C0FD9" w:rsidP="00CA25CF">
            <w:pPr>
              <w:rPr>
                <w:rFonts w:cs="Arial"/>
                <w:color w:val="FF0000"/>
                <w:sz w:val="21"/>
                <w:szCs w:val="21"/>
              </w:rPr>
            </w:pPr>
          </w:p>
        </w:tc>
        <w:tc>
          <w:tcPr>
            <w:tcW w:w="217" w:type="dxa"/>
          </w:tcPr>
          <w:p w14:paraId="6FAB7B23" w14:textId="77777777" w:rsidR="002C0FD9" w:rsidRPr="00CA25CF" w:rsidRDefault="002C0FD9" w:rsidP="00CA25CF">
            <w:pPr>
              <w:rPr>
                <w:rFonts w:cs="Arial"/>
                <w:color w:val="FF0000"/>
                <w:sz w:val="21"/>
                <w:szCs w:val="21"/>
              </w:rPr>
            </w:pPr>
          </w:p>
        </w:tc>
        <w:tc>
          <w:tcPr>
            <w:tcW w:w="217" w:type="dxa"/>
          </w:tcPr>
          <w:p w14:paraId="209FD5A5" w14:textId="77777777" w:rsidR="002C0FD9" w:rsidRPr="00CA25CF" w:rsidRDefault="002C0FD9" w:rsidP="00CA25CF">
            <w:pPr>
              <w:rPr>
                <w:rFonts w:cs="Arial"/>
                <w:color w:val="FF0000"/>
                <w:sz w:val="21"/>
                <w:szCs w:val="21"/>
              </w:rPr>
            </w:pPr>
          </w:p>
        </w:tc>
        <w:tc>
          <w:tcPr>
            <w:tcW w:w="217" w:type="dxa"/>
          </w:tcPr>
          <w:p w14:paraId="2ED3CC05" w14:textId="77777777" w:rsidR="002C0FD9" w:rsidRPr="00CA25CF" w:rsidRDefault="002C0FD9" w:rsidP="00CA25CF">
            <w:pPr>
              <w:rPr>
                <w:rFonts w:cs="Arial"/>
                <w:color w:val="FF0000"/>
                <w:sz w:val="21"/>
                <w:szCs w:val="21"/>
              </w:rPr>
            </w:pPr>
          </w:p>
        </w:tc>
        <w:tc>
          <w:tcPr>
            <w:tcW w:w="217" w:type="dxa"/>
          </w:tcPr>
          <w:p w14:paraId="0E46B4AF" w14:textId="77777777" w:rsidR="002C0FD9" w:rsidRPr="00CA25CF" w:rsidRDefault="002C0FD9" w:rsidP="00CA25CF">
            <w:pPr>
              <w:rPr>
                <w:rFonts w:cs="Arial"/>
                <w:color w:val="FF0000"/>
                <w:sz w:val="21"/>
                <w:szCs w:val="21"/>
              </w:rPr>
            </w:pPr>
          </w:p>
        </w:tc>
        <w:tc>
          <w:tcPr>
            <w:tcW w:w="217" w:type="dxa"/>
          </w:tcPr>
          <w:p w14:paraId="498E6162" w14:textId="77777777" w:rsidR="002C0FD9" w:rsidRPr="00CA25CF" w:rsidRDefault="002C0FD9" w:rsidP="00CA25CF">
            <w:pPr>
              <w:rPr>
                <w:rFonts w:cs="Arial"/>
                <w:color w:val="FF0000"/>
                <w:sz w:val="21"/>
                <w:szCs w:val="21"/>
              </w:rPr>
            </w:pPr>
          </w:p>
        </w:tc>
        <w:tc>
          <w:tcPr>
            <w:tcW w:w="217" w:type="dxa"/>
          </w:tcPr>
          <w:p w14:paraId="763AD533" w14:textId="77777777" w:rsidR="002C0FD9" w:rsidRPr="00CA25CF" w:rsidRDefault="002C0FD9" w:rsidP="00CA25CF">
            <w:pPr>
              <w:rPr>
                <w:rFonts w:cs="Arial"/>
                <w:color w:val="FF0000"/>
                <w:sz w:val="21"/>
                <w:szCs w:val="21"/>
              </w:rPr>
            </w:pPr>
          </w:p>
        </w:tc>
        <w:tc>
          <w:tcPr>
            <w:tcW w:w="217" w:type="dxa"/>
          </w:tcPr>
          <w:p w14:paraId="4A11F53F" w14:textId="77777777" w:rsidR="002C0FD9" w:rsidRPr="00CA25CF" w:rsidRDefault="002C0FD9" w:rsidP="00CA25CF">
            <w:pPr>
              <w:rPr>
                <w:rFonts w:cs="Arial"/>
                <w:color w:val="FF0000"/>
                <w:sz w:val="21"/>
                <w:szCs w:val="21"/>
              </w:rPr>
            </w:pPr>
          </w:p>
        </w:tc>
        <w:tc>
          <w:tcPr>
            <w:tcW w:w="217" w:type="dxa"/>
          </w:tcPr>
          <w:p w14:paraId="2DFA4522" w14:textId="77777777" w:rsidR="002C0FD9" w:rsidRPr="00CA25CF" w:rsidRDefault="002C0FD9" w:rsidP="00CA25CF">
            <w:pPr>
              <w:rPr>
                <w:rFonts w:cs="Arial"/>
                <w:color w:val="FF0000"/>
                <w:sz w:val="21"/>
                <w:szCs w:val="21"/>
              </w:rPr>
            </w:pPr>
          </w:p>
        </w:tc>
        <w:tc>
          <w:tcPr>
            <w:tcW w:w="217" w:type="dxa"/>
          </w:tcPr>
          <w:p w14:paraId="753AFB9F" w14:textId="77777777" w:rsidR="002C0FD9" w:rsidRPr="00CA25CF" w:rsidRDefault="002C0FD9" w:rsidP="00CA25CF">
            <w:pPr>
              <w:rPr>
                <w:rFonts w:cs="Arial"/>
                <w:color w:val="FF0000"/>
                <w:sz w:val="21"/>
                <w:szCs w:val="21"/>
              </w:rPr>
            </w:pPr>
          </w:p>
        </w:tc>
        <w:tc>
          <w:tcPr>
            <w:tcW w:w="217" w:type="dxa"/>
          </w:tcPr>
          <w:p w14:paraId="72D3ED88" w14:textId="77777777" w:rsidR="002C0FD9" w:rsidRPr="00CA25CF" w:rsidRDefault="002C0FD9" w:rsidP="00CA25CF">
            <w:pPr>
              <w:rPr>
                <w:rFonts w:cs="Arial"/>
                <w:color w:val="FF0000"/>
                <w:sz w:val="21"/>
                <w:szCs w:val="21"/>
              </w:rPr>
            </w:pPr>
          </w:p>
        </w:tc>
        <w:tc>
          <w:tcPr>
            <w:tcW w:w="217" w:type="dxa"/>
          </w:tcPr>
          <w:p w14:paraId="474C7477" w14:textId="77777777" w:rsidR="002C0FD9" w:rsidRPr="00CA25CF" w:rsidRDefault="002C0FD9" w:rsidP="00CA25CF">
            <w:pPr>
              <w:rPr>
                <w:rFonts w:cs="Arial"/>
                <w:color w:val="FF0000"/>
                <w:sz w:val="21"/>
                <w:szCs w:val="21"/>
              </w:rPr>
            </w:pPr>
          </w:p>
        </w:tc>
        <w:tc>
          <w:tcPr>
            <w:tcW w:w="217" w:type="dxa"/>
          </w:tcPr>
          <w:p w14:paraId="5B1CCF06" w14:textId="77777777" w:rsidR="002C0FD9" w:rsidRPr="00CA25CF" w:rsidRDefault="002C0FD9" w:rsidP="00CA25CF">
            <w:pPr>
              <w:rPr>
                <w:rFonts w:cs="Arial"/>
                <w:color w:val="FF0000"/>
                <w:sz w:val="21"/>
                <w:szCs w:val="21"/>
              </w:rPr>
            </w:pPr>
          </w:p>
        </w:tc>
        <w:tc>
          <w:tcPr>
            <w:tcW w:w="217" w:type="dxa"/>
          </w:tcPr>
          <w:p w14:paraId="7B3EF231" w14:textId="77777777" w:rsidR="002C0FD9" w:rsidRPr="00CA25CF" w:rsidRDefault="002C0FD9" w:rsidP="00CA25CF">
            <w:pPr>
              <w:rPr>
                <w:rFonts w:cs="Arial"/>
                <w:color w:val="FF0000"/>
                <w:sz w:val="21"/>
                <w:szCs w:val="21"/>
              </w:rPr>
            </w:pPr>
          </w:p>
        </w:tc>
      </w:tr>
      <w:tr w:rsidR="002C0FD9" w:rsidRPr="00A16219" w14:paraId="43D2DD13" w14:textId="77777777" w:rsidTr="002C0FD9">
        <w:trPr>
          <w:trHeight w:val="635"/>
        </w:trPr>
        <w:tc>
          <w:tcPr>
            <w:tcW w:w="515" w:type="dxa"/>
          </w:tcPr>
          <w:p w14:paraId="40608014" w14:textId="77777777" w:rsidR="002C0FD9" w:rsidRPr="00CA25CF" w:rsidRDefault="002C0FD9" w:rsidP="00CA25CF">
            <w:pPr>
              <w:rPr>
                <w:rFonts w:cs="Arial"/>
                <w:color w:val="FF0000"/>
                <w:sz w:val="21"/>
                <w:szCs w:val="21"/>
              </w:rPr>
            </w:pPr>
          </w:p>
        </w:tc>
        <w:tc>
          <w:tcPr>
            <w:tcW w:w="217" w:type="dxa"/>
          </w:tcPr>
          <w:p w14:paraId="511E5056" w14:textId="77777777" w:rsidR="002C0FD9" w:rsidRPr="00CA25CF" w:rsidRDefault="002C0FD9" w:rsidP="00CA25CF">
            <w:pPr>
              <w:rPr>
                <w:rFonts w:cs="Arial"/>
                <w:color w:val="FF0000"/>
                <w:sz w:val="21"/>
                <w:szCs w:val="21"/>
              </w:rPr>
            </w:pPr>
          </w:p>
        </w:tc>
        <w:tc>
          <w:tcPr>
            <w:tcW w:w="217" w:type="dxa"/>
          </w:tcPr>
          <w:p w14:paraId="12FCE19D" w14:textId="77777777" w:rsidR="002C0FD9" w:rsidRPr="00CA25CF" w:rsidRDefault="002C0FD9" w:rsidP="00CA25CF">
            <w:pPr>
              <w:rPr>
                <w:rFonts w:cs="Arial"/>
                <w:color w:val="FF0000"/>
                <w:sz w:val="21"/>
                <w:szCs w:val="21"/>
              </w:rPr>
            </w:pPr>
          </w:p>
        </w:tc>
        <w:tc>
          <w:tcPr>
            <w:tcW w:w="217" w:type="dxa"/>
          </w:tcPr>
          <w:p w14:paraId="0A680CDE" w14:textId="77777777" w:rsidR="002C0FD9" w:rsidRPr="00CA25CF" w:rsidRDefault="002C0FD9" w:rsidP="00CA25CF">
            <w:pPr>
              <w:rPr>
                <w:rFonts w:cs="Arial"/>
                <w:color w:val="FF0000"/>
                <w:sz w:val="21"/>
                <w:szCs w:val="21"/>
              </w:rPr>
            </w:pPr>
          </w:p>
        </w:tc>
        <w:tc>
          <w:tcPr>
            <w:tcW w:w="217" w:type="dxa"/>
          </w:tcPr>
          <w:p w14:paraId="54C26967" w14:textId="77777777" w:rsidR="002C0FD9" w:rsidRPr="00CA25CF" w:rsidRDefault="002C0FD9" w:rsidP="00CA25CF">
            <w:pPr>
              <w:rPr>
                <w:rFonts w:cs="Arial"/>
                <w:color w:val="FF0000"/>
                <w:sz w:val="21"/>
                <w:szCs w:val="21"/>
              </w:rPr>
            </w:pPr>
          </w:p>
        </w:tc>
        <w:tc>
          <w:tcPr>
            <w:tcW w:w="217" w:type="dxa"/>
          </w:tcPr>
          <w:p w14:paraId="41527C92" w14:textId="77777777" w:rsidR="002C0FD9" w:rsidRPr="00CA25CF" w:rsidRDefault="002C0FD9" w:rsidP="00CA25CF">
            <w:pPr>
              <w:rPr>
                <w:rFonts w:cs="Arial"/>
                <w:color w:val="FF0000"/>
                <w:sz w:val="21"/>
                <w:szCs w:val="21"/>
              </w:rPr>
            </w:pPr>
          </w:p>
        </w:tc>
        <w:tc>
          <w:tcPr>
            <w:tcW w:w="217" w:type="dxa"/>
          </w:tcPr>
          <w:p w14:paraId="1481B2F3" w14:textId="77777777" w:rsidR="002C0FD9" w:rsidRPr="00CA25CF" w:rsidRDefault="002C0FD9" w:rsidP="00CA25CF">
            <w:pPr>
              <w:rPr>
                <w:rFonts w:cs="Arial"/>
                <w:color w:val="FF0000"/>
                <w:sz w:val="21"/>
                <w:szCs w:val="21"/>
              </w:rPr>
            </w:pPr>
          </w:p>
        </w:tc>
        <w:tc>
          <w:tcPr>
            <w:tcW w:w="217" w:type="dxa"/>
          </w:tcPr>
          <w:p w14:paraId="4EBAD9CF" w14:textId="77777777" w:rsidR="002C0FD9" w:rsidRPr="00CA25CF" w:rsidRDefault="002C0FD9" w:rsidP="00CA25CF">
            <w:pPr>
              <w:rPr>
                <w:rFonts w:cs="Arial"/>
                <w:color w:val="FF0000"/>
                <w:sz w:val="21"/>
                <w:szCs w:val="21"/>
              </w:rPr>
            </w:pPr>
          </w:p>
        </w:tc>
        <w:tc>
          <w:tcPr>
            <w:tcW w:w="217" w:type="dxa"/>
          </w:tcPr>
          <w:p w14:paraId="7142C99D" w14:textId="77777777" w:rsidR="002C0FD9" w:rsidRPr="00CA25CF" w:rsidRDefault="002C0FD9" w:rsidP="00CA25CF">
            <w:pPr>
              <w:rPr>
                <w:rFonts w:cs="Arial"/>
                <w:color w:val="FF0000"/>
                <w:sz w:val="21"/>
                <w:szCs w:val="21"/>
              </w:rPr>
            </w:pPr>
          </w:p>
        </w:tc>
        <w:tc>
          <w:tcPr>
            <w:tcW w:w="217" w:type="dxa"/>
          </w:tcPr>
          <w:p w14:paraId="2A3D900F" w14:textId="77777777" w:rsidR="002C0FD9" w:rsidRPr="00CA25CF" w:rsidRDefault="002C0FD9" w:rsidP="00CA25CF">
            <w:pPr>
              <w:rPr>
                <w:rFonts w:cs="Arial"/>
                <w:color w:val="FF0000"/>
                <w:sz w:val="21"/>
                <w:szCs w:val="21"/>
              </w:rPr>
            </w:pPr>
          </w:p>
        </w:tc>
        <w:tc>
          <w:tcPr>
            <w:tcW w:w="217" w:type="dxa"/>
          </w:tcPr>
          <w:p w14:paraId="16CC6B3D" w14:textId="77777777" w:rsidR="002C0FD9" w:rsidRPr="00CA25CF" w:rsidRDefault="002C0FD9" w:rsidP="00CA25CF">
            <w:pPr>
              <w:rPr>
                <w:rFonts w:cs="Arial"/>
                <w:color w:val="FF0000"/>
                <w:sz w:val="21"/>
                <w:szCs w:val="21"/>
              </w:rPr>
            </w:pPr>
          </w:p>
        </w:tc>
        <w:tc>
          <w:tcPr>
            <w:tcW w:w="217" w:type="dxa"/>
          </w:tcPr>
          <w:p w14:paraId="3B3ACA31" w14:textId="77777777" w:rsidR="002C0FD9" w:rsidRPr="00CA25CF" w:rsidRDefault="002C0FD9" w:rsidP="00CA25CF">
            <w:pPr>
              <w:rPr>
                <w:rFonts w:cs="Arial"/>
                <w:color w:val="FF0000"/>
                <w:sz w:val="21"/>
                <w:szCs w:val="21"/>
              </w:rPr>
            </w:pPr>
          </w:p>
        </w:tc>
        <w:tc>
          <w:tcPr>
            <w:tcW w:w="217" w:type="dxa"/>
          </w:tcPr>
          <w:p w14:paraId="596B9B22" w14:textId="77777777" w:rsidR="002C0FD9" w:rsidRPr="00CA25CF" w:rsidRDefault="002C0FD9" w:rsidP="00CA25CF">
            <w:pPr>
              <w:rPr>
                <w:rFonts w:cs="Arial"/>
                <w:color w:val="FF0000"/>
                <w:sz w:val="21"/>
                <w:szCs w:val="21"/>
              </w:rPr>
            </w:pPr>
          </w:p>
        </w:tc>
        <w:tc>
          <w:tcPr>
            <w:tcW w:w="217" w:type="dxa"/>
          </w:tcPr>
          <w:p w14:paraId="102B3F52" w14:textId="77777777" w:rsidR="002C0FD9" w:rsidRPr="00CA25CF" w:rsidRDefault="002C0FD9" w:rsidP="00CA25CF">
            <w:pPr>
              <w:rPr>
                <w:rFonts w:cs="Arial"/>
                <w:color w:val="FF0000"/>
                <w:sz w:val="21"/>
                <w:szCs w:val="21"/>
              </w:rPr>
            </w:pPr>
          </w:p>
        </w:tc>
        <w:tc>
          <w:tcPr>
            <w:tcW w:w="217" w:type="dxa"/>
          </w:tcPr>
          <w:p w14:paraId="6628E9B4" w14:textId="77777777" w:rsidR="002C0FD9" w:rsidRPr="00CA25CF" w:rsidRDefault="002C0FD9" w:rsidP="00CA25CF">
            <w:pPr>
              <w:rPr>
                <w:rFonts w:cs="Arial"/>
                <w:color w:val="FF0000"/>
                <w:sz w:val="21"/>
                <w:szCs w:val="21"/>
              </w:rPr>
            </w:pPr>
          </w:p>
        </w:tc>
        <w:tc>
          <w:tcPr>
            <w:tcW w:w="217" w:type="dxa"/>
          </w:tcPr>
          <w:p w14:paraId="4A9A9214" w14:textId="77777777" w:rsidR="002C0FD9" w:rsidRPr="00CA25CF" w:rsidRDefault="002C0FD9" w:rsidP="00CA25CF">
            <w:pPr>
              <w:rPr>
                <w:rFonts w:cs="Arial"/>
                <w:color w:val="FF0000"/>
                <w:sz w:val="21"/>
                <w:szCs w:val="21"/>
              </w:rPr>
            </w:pPr>
          </w:p>
        </w:tc>
        <w:tc>
          <w:tcPr>
            <w:tcW w:w="217" w:type="dxa"/>
          </w:tcPr>
          <w:p w14:paraId="26E2F47D" w14:textId="77777777" w:rsidR="002C0FD9" w:rsidRPr="00CA25CF" w:rsidRDefault="002C0FD9" w:rsidP="00CA25CF">
            <w:pPr>
              <w:rPr>
                <w:rFonts w:cs="Arial"/>
                <w:color w:val="FF0000"/>
                <w:sz w:val="21"/>
                <w:szCs w:val="21"/>
              </w:rPr>
            </w:pPr>
          </w:p>
        </w:tc>
        <w:tc>
          <w:tcPr>
            <w:tcW w:w="217" w:type="dxa"/>
          </w:tcPr>
          <w:p w14:paraId="6BCA3679" w14:textId="77777777" w:rsidR="002C0FD9" w:rsidRPr="00CA25CF" w:rsidRDefault="002C0FD9" w:rsidP="00CA25CF">
            <w:pPr>
              <w:rPr>
                <w:rFonts w:cs="Arial"/>
                <w:color w:val="FF0000"/>
                <w:sz w:val="21"/>
                <w:szCs w:val="21"/>
              </w:rPr>
            </w:pPr>
          </w:p>
        </w:tc>
        <w:tc>
          <w:tcPr>
            <w:tcW w:w="217" w:type="dxa"/>
          </w:tcPr>
          <w:p w14:paraId="4798C2B5" w14:textId="77777777" w:rsidR="002C0FD9" w:rsidRPr="00CA25CF" w:rsidRDefault="002C0FD9" w:rsidP="00CA25CF">
            <w:pPr>
              <w:rPr>
                <w:rFonts w:cs="Arial"/>
                <w:color w:val="FF0000"/>
                <w:sz w:val="21"/>
                <w:szCs w:val="21"/>
              </w:rPr>
            </w:pPr>
          </w:p>
        </w:tc>
        <w:tc>
          <w:tcPr>
            <w:tcW w:w="217" w:type="dxa"/>
          </w:tcPr>
          <w:p w14:paraId="4A72723E" w14:textId="77777777" w:rsidR="002C0FD9" w:rsidRPr="00CA25CF" w:rsidRDefault="002C0FD9" w:rsidP="00CA25CF">
            <w:pPr>
              <w:rPr>
                <w:rFonts w:cs="Arial"/>
                <w:color w:val="FF0000"/>
                <w:sz w:val="21"/>
                <w:szCs w:val="21"/>
              </w:rPr>
            </w:pPr>
          </w:p>
        </w:tc>
        <w:tc>
          <w:tcPr>
            <w:tcW w:w="217" w:type="dxa"/>
          </w:tcPr>
          <w:p w14:paraId="2395A238" w14:textId="77777777" w:rsidR="002C0FD9" w:rsidRPr="00CA25CF" w:rsidRDefault="002C0FD9" w:rsidP="00CA25CF">
            <w:pPr>
              <w:rPr>
                <w:rFonts w:cs="Arial"/>
                <w:color w:val="FF0000"/>
                <w:sz w:val="21"/>
                <w:szCs w:val="21"/>
              </w:rPr>
            </w:pPr>
          </w:p>
        </w:tc>
        <w:tc>
          <w:tcPr>
            <w:tcW w:w="217" w:type="dxa"/>
          </w:tcPr>
          <w:p w14:paraId="3E7D1530" w14:textId="77777777" w:rsidR="002C0FD9" w:rsidRPr="00CA25CF" w:rsidRDefault="002C0FD9" w:rsidP="00CA25CF">
            <w:pPr>
              <w:rPr>
                <w:rFonts w:cs="Arial"/>
                <w:color w:val="FF0000"/>
                <w:sz w:val="21"/>
                <w:szCs w:val="21"/>
              </w:rPr>
            </w:pPr>
          </w:p>
        </w:tc>
        <w:tc>
          <w:tcPr>
            <w:tcW w:w="217" w:type="dxa"/>
          </w:tcPr>
          <w:p w14:paraId="5FA299EB" w14:textId="77777777" w:rsidR="002C0FD9" w:rsidRPr="00CA25CF" w:rsidRDefault="002C0FD9" w:rsidP="00CA25CF">
            <w:pPr>
              <w:rPr>
                <w:rFonts w:cs="Arial"/>
                <w:color w:val="FF0000"/>
                <w:sz w:val="21"/>
                <w:szCs w:val="21"/>
              </w:rPr>
            </w:pPr>
          </w:p>
        </w:tc>
        <w:tc>
          <w:tcPr>
            <w:tcW w:w="217" w:type="dxa"/>
          </w:tcPr>
          <w:p w14:paraId="7BF7B125" w14:textId="77777777" w:rsidR="002C0FD9" w:rsidRPr="00CA25CF" w:rsidRDefault="002C0FD9" w:rsidP="00CA25CF">
            <w:pPr>
              <w:rPr>
                <w:rFonts w:cs="Arial"/>
                <w:color w:val="FF0000"/>
                <w:sz w:val="21"/>
                <w:szCs w:val="21"/>
              </w:rPr>
            </w:pPr>
          </w:p>
        </w:tc>
        <w:tc>
          <w:tcPr>
            <w:tcW w:w="217" w:type="dxa"/>
          </w:tcPr>
          <w:p w14:paraId="6853E468" w14:textId="77777777" w:rsidR="002C0FD9" w:rsidRPr="00CA25CF" w:rsidRDefault="002C0FD9" w:rsidP="00CA25CF">
            <w:pPr>
              <w:rPr>
                <w:rFonts w:cs="Arial"/>
                <w:color w:val="FF0000"/>
                <w:sz w:val="21"/>
                <w:szCs w:val="21"/>
              </w:rPr>
            </w:pPr>
          </w:p>
        </w:tc>
        <w:tc>
          <w:tcPr>
            <w:tcW w:w="217" w:type="dxa"/>
          </w:tcPr>
          <w:p w14:paraId="756E4F4E" w14:textId="77777777" w:rsidR="002C0FD9" w:rsidRPr="00CA25CF" w:rsidRDefault="002C0FD9" w:rsidP="00CA25CF">
            <w:pPr>
              <w:rPr>
                <w:rFonts w:cs="Arial"/>
                <w:color w:val="FF0000"/>
                <w:sz w:val="21"/>
                <w:szCs w:val="21"/>
              </w:rPr>
            </w:pPr>
          </w:p>
        </w:tc>
        <w:tc>
          <w:tcPr>
            <w:tcW w:w="217" w:type="dxa"/>
          </w:tcPr>
          <w:p w14:paraId="23E56843" w14:textId="77777777" w:rsidR="002C0FD9" w:rsidRPr="00CA25CF" w:rsidRDefault="002C0FD9" w:rsidP="00CA25CF">
            <w:pPr>
              <w:rPr>
                <w:rFonts w:cs="Arial"/>
                <w:color w:val="FF0000"/>
                <w:sz w:val="21"/>
                <w:szCs w:val="21"/>
              </w:rPr>
            </w:pPr>
          </w:p>
        </w:tc>
        <w:tc>
          <w:tcPr>
            <w:tcW w:w="217" w:type="dxa"/>
          </w:tcPr>
          <w:p w14:paraId="32DD8EA9" w14:textId="77777777" w:rsidR="002C0FD9" w:rsidRPr="00CA25CF" w:rsidRDefault="002C0FD9" w:rsidP="00CA25CF">
            <w:pPr>
              <w:rPr>
                <w:rFonts w:cs="Arial"/>
                <w:color w:val="FF0000"/>
                <w:sz w:val="21"/>
                <w:szCs w:val="21"/>
              </w:rPr>
            </w:pPr>
          </w:p>
        </w:tc>
        <w:tc>
          <w:tcPr>
            <w:tcW w:w="217" w:type="dxa"/>
          </w:tcPr>
          <w:p w14:paraId="78B6A556" w14:textId="77777777" w:rsidR="002C0FD9" w:rsidRPr="00CA25CF" w:rsidRDefault="002C0FD9" w:rsidP="00CA25CF">
            <w:pPr>
              <w:rPr>
                <w:rFonts w:cs="Arial"/>
                <w:color w:val="FF0000"/>
                <w:sz w:val="21"/>
                <w:szCs w:val="21"/>
              </w:rPr>
            </w:pPr>
          </w:p>
        </w:tc>
        <w:tc>
          <w:tcPr>
            <w:tcW w:w="217" w:type="dxa"/>
          </w:tcPr>
          <w:p w14:paraId="11F1BA13" w14:textId="77777777" w:rsidR="002C0FD9" w:rsidRPr="00CA25CF" w:rsidRDefault="002C0FD9" w:rsidP="00CA25CF">
            <w:pPr>
              <w:rPr>
                <w:rFonts w:cs="Arial"/>
                <w:color w:val="FF0000"/>
                <w:sz w:val="21"/>
                <w:szCs w:val="21"/>
              </w:rPr>
            </w:pPr>
          </w:p>
        </w:tc>
        <w:tc>
          <w:tcPr>
            <w:tcW w:w="217" w:type="dxa"/>
          </w:tcPr>
          <w:p w14:paraId="017C18B0" w14:textId="77777777" w:rsidR="002C0FD9" w:rsidRPr="00CA25CF" w:rsidRDefault="002C0FD9" w:rsidP="00CA25CF">
            <w:pPr>
              <w:rPr>
                <w:rFonts w:cs="Arial"/>
                <w:color w:val="FF0000"/>
                <w:sz w:val="21"/>
                <w:szCs w:val="21"/>
              </w:rPr>
            </w:pPr>
          </w:p>
        </w:tc>
        <w:tc>
          <w:tcPr>
            <w:tcW w:w="217" w:type="dxa"/>
          </w:tcPr>
          <w:p w14:paraId="10CBCABE" w14:textId="77777777" w:rsidR="002C0FD9" w:rsidRPr="00CA25CF" w:rsidRDefault="002C0FD9" w:rsidP="00CA25CF">
            <w:pPr>
              <w:rPr>
                <w:rFonts w:cs="Arial"/>
                <w:color w:val="FF0000"/>
                <w:sz w:val="21"/>
                <w:szCs w:val="21"/>
              </w:rPr>
            </w:pPr>
          </w:p>
        </w:tc>
        <w:tc>
          <w:tcPr>
            <w:tcW w:w="217" w:type="dxa"/>
          </w:tcPr>
          <w:p w14:paraId="752D9458" w14:textId="77777777" w:rsidR="002C0FD9" w:rsidRPr="00CA25CF" w:rsidRDefault="002C0FD9" w:rsidP="00CA25CF">
            <w:pPr>
              <w:rPr>
                <w:rFonts w:cs="Arial"/>
                <w:color w:val="FF0000"/>
                <w:sz w:val="21"/>
                <w:szCs w:val="21"/>
              </w:rPr>
            </w:pPr>
          </w:p>
        </w:tc>
        <w:tc>
          <w:tcPr>
            <w:tcW w:w="217" w:type="dxa"/>
          </w:tcPr>
          <w:p w14:paraId="70A0D795" w14:textId="77777777" w:rsidR="002C0FD9" w:rsidRPr="00CA25CF" w:rsidRDefault="002C0FD9" w:rsidP="00CA25CF">
            <w:pPr>
              <w:rPr>
                <w:rFonts w:cs="Arial"/>
                <w:color w:val="FF0000"/>
                <w:sz w:val="21"/>
                <w:szCs w:val="21"/>
              </w:rPr>
            </w:pPr>
          </w:p>
        </w:tc>
        <w:tc>
          <w:tcPr>
            <w:tcW w:w="217" w:type="dxa"/>
          </w:tcPr>
          <w:p w14:paraId="657B6F08" w14:textId="77777777" w:rsidR="002C0FD9" w:rsidRPr="00CA25CF" w:rsidRDefault="002C0FD9" w:rsidP="00CA25CF">
            <w:pPr>
              <w:rPr>
                <w:rFonts w:cs="Arial"/>
                <w:color w:val="FF0000"/>
                <w:sz w:val="21"/>
                <w:szCs w:val="21"/>
              </w:rPr>
            </w:pPr>
          </w:p>
        </w:tc>
        <w:tc>
          <w:tcPr>
            <w:tcW w:w="217" w:type="dxa"/>
          </w:tcPr>
          <w:p w14:paraId="4B5F6225" w14:textId="77777777" w:rsidR="002C0FD9" w:rsidRPr="00CA25CF" w:rsidRDefault="002C0FD9" w:rsidP="00CA25CF">
            <w:pPr>
              <w:rPr>
                <w:rFonts w:cs="Arial"/>
                <w:color w:val="FF0000"/>
                <w:sz w:val="21"/>
                <w:szCs w:val="21"/>
              </w:rPr>
            </w:pPr>
          </w:p>
        </w:tc>
        <w:tc>
          <w:tcPr>
            <w:tcW w:w="217" w:type="dxa"/>
          </w:tcPr>
          <w:p w14:paraId="2544EFEC" w14:textId="77777777" w:rsidR="002C0FD9" w:rsidRPr="00CA25CF" w:rsidRDefault="002C0FD9" w:rsidP="00CA25CF">
            <w:pPr>
              <w:rPr>
                <w:rFonts w:cs="Arial"/>
                <w:color w:val="FF0000"/>
                <w:sz w:val="21"/>
                <w:szCs w:val="21"/>
              </w:rPr>
            </w:pPr>
          </w:p>
        </w:tc>
        <w:tc>
          <w:tcPr>
            <w:tcW w:w="217" w:type="dxa"/>
          </w:tcPr>
          <w:p w14:paraId="60B4F957" w14:textId="77777777" w:rsidR="002C0FD9" w:rsidRPr="00CA25CF" w:rsidRDefault="002C0FD9" w:rsidP="00CA25CF">
            <w:pPr>
              <w:rPr>
                <w:rFonts w:cs="Arial"/>
                <w:color w:val="FF0000"/>
                <w:sz w:val="21"/>
                <w:szCs w:val="21"/>
              </w:rPr>
            </w:pPr>
          </w:p>
        </w:tc>
        <w:tc>
          <w:tcPr>
            <w:tcW w:w="217" w:type="dxa"/>
          </w:tcPr>
          <w:p w14:paraId="19CE58D2" w14:textId="77777777" w:rsidR="002C0FD9" w:rsidRPr="00CA25CF" w:rsidRDefault="002C0FD9" w:rsidP="00CA25CF">
            <w:pPr>
              <w:rPr>
                <w:rFonts w:cs="Arial"/>
                <w:color w:val="FF0000"/>
                <w:sz w:val="21"/>
                <w:szCs w:val="21"/>
              </w:rPr>
            </w:pPr>
          </w:p>
        </w:tc>
        <w:tc>
          <w:tcPr>
            <w:tcW w:w="217" w:type="dxa"/>
          </w:tcPr>
          <w:p w14:paraId="1C323E71" w14:textId="77777777" w:rsidR="002C0FD9" w:rsidRPr="00CA25CF" w:rsidRDefault="002C0FD9" w:rsidP="00CA25CF">
            <w:pPr>
              <w:rPr>
                <w:rFonts w:cs="Arial"/>
                <w:color w:val="FF0000"/>
                <w:sz w:val="21"/>
                <w:szCs w:val="21"/>
              </w:rPr>
            </w:pPr>
          </w:p>
        </w:tc>
        <w:tc>
          <w:tcPr>
            <w:tcW w:w="217" w:type="dxa"/>
          </w:tcPr>
          <w:p w14:paraId="4E9239D6" w14:textId="77777777" w:rsidR="002C0FD9" w:rsidRPr="00CA25CF" w:rsidRDefault="002C0FD9" w:rsidP="00CA25CF">
            <w:pPr>
              <w:rPr>
                <w:rFonts w:cs="Arial"/>
                <w:color w:val="FF0000"/>
                <w:sz w:val="21"/>
                <w:szCs w:val="21"/>
              </w:rPr>
            </w:pPr>
          </w:p>
        </w:tc>
        <w:tc>
          <w:tcPr>
            <w:tcW w:w="217" w:type="dxa"/>
          </w:tcPr>
          <w:p w14:paraId="5AC196D7" w14:textId="77777777" w:rsidR="002C0FD9" w:rsidRPr="00CA25CF" w:rsidRDefault="002C0FD9" w:rsidP="00CA25CF">
            <w:pPr>
              <w:rPr>
                <w:rFonts w:cs="Arial"/>
                <w:color w:val="FF0000"/>
                <w:sz w:val="21"/>
                <w:szCs w:val="21"/>
              </w:rPr>
            </w:pPr>
          </w:p>
        </w:tc>
        <w:tc>
          <w:tcPr>
            <w:tcW w:w="217" w:type="dxa"/>
          </w:tcPr>
          <w:p w14:paraId="4FC4969D" w14:textId="77777777" w:rsidR="002C0FD9" w:rsidRPr="00CA25CF" w:rsidRDefault="002C0FD9" w:rsidP="00CA25CF">
            <w:pPr>
              <w:rPr>
                <w:rFonts w:cs="Arial"/>
                <w:color w:val="FF0000"/>
                <w:sz w:val="21"/>
                <w:szCs w:val="21"/>
              </w:rPr>
            </w:pPr>
          </w:p>
        </w:tc>
      </w:tr>
      <w:tr w:rsidR="002C0FD9" w:rsidRPr="00A16219" w14:paraId="0D4160C3" w14:textId="77777777" w:rsidTr="002C0FD9">
        <w:trPr>
          <w:trHeight w:val="635"/>
        </w:trPr>
        <w:tc>
          <w:tcPr>
            <w:tcW w:w="515" w:type="dxa"/>
          </w:tcPr>
          <w:p w14:paraId="0B780C27" w14:textId="77777777" w:rsidR="002C0FD9" w:rsidRPr="00CA25CF" w:rsidRDefault="002C0FD9" w:rsidP="00CA25CF">
            <w:pPr>
              <w:rPr>
                <w:rFonts w:cs="Arial"/>
                <w:color w:val="FF0000"/>
                <w:sz w:val="21"/>
                <w:szCs w:val="21"/>
              </w:rPr>
            </w:pPr>
          </w:p>
        </w:tc>
        <w:tc>
          <w:tcPr>
            <w:tcW w:w="217" w:type="dxa"/>
          </w:tcPr>
          <w:p w14:paraId="1776FD60" w14:textId="77777777" w:rsidR="002C0FD9" w:rsidRPr="00CA25CF" w:rsidRDefault="002C0FD9" w:rsidP="00CA25CF">
            <w:pPr>
              <w:rPr>
                <w:rFonts w:cs="Arial"/>
                <w:color w:val="FF0000"/>
                <w:sz w:val="21"/>
                <w:szCs w:val="21"/>
              </w:rPr>
            </w:pPr>
          </w:p>
        </w:tc>
        <w:tc>
          <w:tcPr>
            <w:tcW w:w="217" w:type="dxa"/>
          </w:tcPr>
          <w:p w14:paraId="4AE3111C" w14:textId="77777777" w:rsidR="002C0FD9" w:rsidRPr="00CA25CF" w:rsidRDefault="002C0FD9" w:rsidP="00CA25CF">
            <w:pPr>
              <w:rPr>
                <w:rFonts w:cs="Arial"/>
                <w:color w:val="FF0000"/>
                <w:sz w:val="21"/>
                <w:szCs w:val="21"/>
              </w:rPr>
            </w:pPr>
          </w:p>
        </w:tc>
        <w:tc>
          <w:tcPr>
            <w:tcW w:w="217" w:type="dxa"/>
          </w:tcPr>
          <w:p w14:paraId="041432B9" w14:textId="77777777" w:rsidR="002C0FD9" w:rsidRPr="00CA25CF" w:rsidRDefault="002C0FD9" w:rsidP="00CA25CF">
            <w:pPr>
              <w:rPr>
                <w:rFonts w:cs="Arial"/>
                <w:color w:val="FF0000"/>
                <w:sz w:val="21"/>
                <w:szCs w:val="21"/>
              </w:rPr>
            </w:pPr>
          </w:p>
        </w:tc>
        <w:tc>
          <w:tcPr>
            <w:tcW w:w="217" w:type="dxa"/>
          </w:tcPr>
          <w:p w14:paraId="15EA84A1" w14:textId="77777777" w:rsidR="002C0FD9" w:rsidRPr="00CA25CF" w:rsidRDefault="002C0FD9" w:rsidP="00CA25CF">
            <w:pPr>
              <w:rPr>
                <w:rFonts w:cs="Arial"/>
                <w:color w:val="FF0000"/>
                <w:sz w:val="21"/>
                <w:szCs w:val="21"/>
              </w:rPr>
            </w:pPr>
          </w:p>
        </w:tc>
        <w:tc>
          <w:tcPr>
            <w:tcW w:w="217" w:type="dxa"/>
          </w:tcPr>
          <w:p w14:paraId="60EEC869" w14:textId="77777777" w:rsidR="002C0FD9" w:rsidRPr="00CA25CF" w:rsidRDefault="002C0FD9" w:rsidP="00CA25CF">
            <w:pPr>
              <w:rPr>
                <w:rFonts w:cs="Arial"/>
                <w:color w:val="FF0000"/>
                <w:sz w:val="21"/>
                <w:szCs w:val="21"/>
              </w:rPr>
            </w:pPr>
          </w:p>
        </w:tc>
        <w:tc>
          <w:tcPr>
            <w:tcW w:w="217" w:type="dxa"/>
          </w:tcPr>
          <w:p w14:paraId="438B5FA0" w14:textId="77777777" w:rsidR="002C0FD9" w:rsidRPr="00CA25CF" w:rsidRDefault="002C0FD9" w:rsidP="00CA25CF">
            <w:pPr>
              <w:rPr>
                <w:rFonts w:cs="Arial"/>
                <w:color w:val="FF0000"/>
                <w:sz w:val="21"/>
                <w:szCs w:val="21"/>
              </w:rPr>
            </w:pPr>
          </w:p>
        </w:tc>
        <w:tc>
          <w:tcPr>
            <w:tcW w:w="217" w:type="dxa"/>
          </w:tcPr>
          <w:p w14:paraId="54E06427" w14:textId="77777777" w:rsidR="002C0FD9" w:rsidRPr="00CA25CF" w:rsidRDefault="002C0FD9" w:rsidP="00CA25CF">
            <w:pPr>
              <w:rPr>
                <w:rFonts w:cs="Arial"/>
                <w:color w:val="FF0000"/>
                <w:sz w:val="21"/>
                <w:szCs w:val="21"/>
              </w:rPr>
            </w:pPr>
          </w:p>
        </w:tc>
        <w:tc>
          <w:tcPr>
            <w:tcW w:w="217" w:type="dxa"/>
          </w:tcPr>
          <w:p w14:paraId="3F6EFCA4" w14:textId="77777777" w:rsidR="002C0FD9" w:rsidRPr="00CA25CF" w:rsidRDefault="002C0FD9" w:rsidP="00CA25CF">
            <w:pPr>
              <w:rPr>
                <w:rFonts w:cs="Arial"/>
                <w:color w:val="FF0000"/>
                <w:sz w:val="21"/>
                <w:szCs w:val="21"/>
              </w:rPr>
            </w:pPr>
          </w:p>
        </w:tc>
        <w:tc>
          <w:tcPr>
            <w:tcW w:w="217" w:type="dxa"/>
          </w:tcPr>
          <w:p w14:paraId="1FDEFC91" w14:textId="77777777" w:rsidR="002C0FD9" w:rsidRPr="00CA25CF" w:rsidRDefault="002C0FD9" w:rsidP="00CA25CF">
            <w:pPr>
              <w:rPr>
                <w:rFonts w:cs="Arial"/>
                <w:color w:val="FF0000"/>
                <w:sz w:val="21"/>
                <w:szCs w:val="21"/>
              </w:rPr>
            </w:pPr>
          </w:p>
        </w:tc>
        <w:tc>
          <w:tcPr>
            <w:tcW w:w="217" w:type="dxa"/>
          </w:tcPr>
          <w:p w14:paraId="488C0A1C" w14:textId="77777777" w:rsidR="002C0FD9" w:rsidRPr="00CA25CF" w:rsidRDefault="002C0FD9" w:rsidP="00CA25CF">
            <w:pPr>
              <w:rPr>
                <w:rFonts w:cs="Arial"/>
                <w:color w:val="FF0000"/>
                <w:sz w:val="21"/>
                <w:szCs w:val="21"/>
              </w:rPr>
            </w:pPr>
          </w:p>
        </w:tc>
        <w:tc>
          <w:tcPr>
            <w:tcW w:w="217" w:type="dxa"/>
          </w:tcPr>
          <w:p w14:paraId="3F6CC04B" w14:textId="77777777" w:rsidR="002C0FD9" w:rsidRPr="00CA25CF" w:rsidRDefault="002C0FD9" w:rsidP="00CA25CF">
            <w:pPr>
              <w:rPr>
                <w:rFonts w:cs="Arial"/>
                <w:color w:val="FF0000"/>
                <w:sz w:val="21"/>
                <w:szCs w:val="21"/>
              </w:rPr>
            </w:pPr>
          </w:p>
        </w:tc>
        <w:tc>
          <w:tcPr>
            <w:tcW w:w="217" w:type="dxa"/>
          </w:tcPr>
          <w:p w14:paraId="4A19DB35" w14:textId="77777777" w:rsidR="002C0FD9" w:rsidRPr="00CA25CF" w:rsidRDefault="002C0FD9" w:rsidP="00CA25CF">
            <w:pPr>
              <w:rPr>
                <w:rFonts w:cs="Arial"/>
                <w:color w:val="FF0000"/>
                <w:sz w:val="21"/>
                <w:szCs w:val="21"/>
              </w:rPr>
            </w:pPr>
          </w:p>
        </w:tc>
        <w:tc>
          <w:tcPr>
            <w:tcW w:w="217" w:type="dxa"/>
          </w:tcPr>
          <w:p w14:paraId="5CFB518D" w14:textId="77777777" w:rsidR="002C0FD9" w:rsidRPr="00CA25CF" w:rsidRDefault="002C0FD9" w:rsidP="00CA25CF">
            <w:pPr>
              <w:rPr>
                <w:rFonts w:cs="Arial"/>
                <w:color w:val="FF0000"/>
                <w:sz w:val="21"/>
                <w:szCs w:val="21"/>
              </w:rPr>
            </w:pPr>
          </w:p>
        </w:tc>
        <w:tc>
          <w:tcPr>
            <w:tcW w:w="217" w:type="dxa"/>
          </w:tcPr>
          <w:p w14:paraId="30746B23" w14:textId="77777777" w:rsidR="002C0FD9" w:rsidRPr="00CA25CF" w:rsidRDefault="002C0FD9" w:rsidP="00CA25CF">
            <w:pPr>
              <w:rPr>
                <w:rFonts w:cs="Arial"/>
                <w:color w:val="FF0000"/>
                <w:sz w:val="21"/>
                <w:szCs w:val="21"/>
              </w:rPr>
            </w:pPr>
          </w:p>
        </w:tc>
        <w:tc>
          <w:tcPr>
            <w:tcW w:w="217" w:type="dxa"/>
          </w:tcPr>
          <w:p w14:paraId="7D3EDA2E" w14:textId="77777777" w:rsidR="002C0FD9" w:rsidRPr="00CA25CF" w:rsidRDefault="002C0FD9" w:rsidP="00CA25CF">
            <w:pPr>
              <w:rPr>
                <w:rFonts w:cs="Arial"/>
                <w:color w:val="FF0000"/>
                <w:sz w:val="21"/>
                <w:szCs w:val="21"/>
              </w:rPr>
            </w:pPr>
          </w:p>
        </w:tc>
        <w:tc>
          <w:tcPr>
            <w:tcW w:w="217" w:type="dxa"/>
          </w:tcPr>
          <w:p w14:paraId="6F4506F3" w14:textId="77777777" w:rsidR="002C0FD9" w:rsidRPr="00CA25CF" w:rsidRDefault="002C0FD9" w:rsidP="00CA25CF">
            <w:pPr>
              <w:rPr>
                <w:rFonts w:cs="Arial"/>
                <w:color w:val="FF0000"/>
                <w:sz w:val="21"/>
                <w:szCs w:val="21"/>
              </w:rPr>
            </w:pPr>
          </w:p>
        </w:tc>
        <w:tc>
          <w:tcPr>
            <w:tcW w:w="217" w:type="dxa"/>
          </w:tcPr>
          <w:p w14:paraId="46289C3A" w14:textId="77777777" w:rsidR="002C0FD9" w:rsidRPr="00CA25CF" w:rsidRDefault="002C0FD9" w:rsidP="00CA25CF">
            <w:pPr>
              <w:rPr>
                <w:rFonts w:cs="Arial"/>
                <w:color w:val="FF0000"/>
                <w:sz w:val="21"/>
                <w:szCs w:val="21"/>
              </w:rPr>
            </w:pPr>
          </w:p>
        </w:tc>
        <w:tc>
          <w:tcPr>
            <w:tcW w:w="217" w:type="dxa"/>
          </w:tcPr>
          <w:p w14:paraId="1EFE31F7" w14:textId="77777777" w:rsidR="002C0FD9" w:rsidRPr="00CA25CF" w:rsidRDefault="002C0FD9" w:rsidP="00CA25CF">
            <w:pPr>
              <w:rPr>
                <w:rFonts w:cs="Arial"/>
                <w:color w:val="FF0000"/>
                <w:sz w:val="21"/>
                <w:szCs w:val="21"/>
              </w:rPr>
            </w:pPr>
          </w:p>
        </w:tc>
        <w:tc>
          <w:tcPr>
            <w:tcW w:w="217" w:type="dxa"/>
          </w:tcPr>
          <w:p w14:paraId="18CFA2DB" w14:textId="77777777" w:rsidR="002C0FD9" w:rsidRPr="00CA25CF" w:rsidRDefault="002C0FD9" w:rsidP="00CA25CF">
            <w:pPr>
              <w:rPr>
                <w:rFonts w:cs="Arial"/>
                <w:color w:val="FF0000"/>
                <w:sz w:val="21"/>
                <w:szCs w:val="21"/>
              </w:rPr>
            </w:pPr>
          </w:p>
        </w:tc>
        <w:tc>
          <w:tcPr>
            <w:tcW w:w="217" w:type="dxa"/>
          </w:tcPr>
          <w:p w14:paraId="70A76207" w14:textId="77777777" w:rsidR="002C0FD9" w:rsidRPr="00CA25CF" w:rsidRDefault="002C0FD9" w:rsidP="00CA25CF">
            <w:pPr>
              <w:rPr>
                <w:rFonts w:cs="Arial"/>
                <w:color w:val="FF0000"/>
                <w:sz w:val="21"/>
                <w:szCs w:val="21"/>
              </w:rPr>
            </w:pPr>
          </w:p>
        </w:tc>
        <w:tc>
          <w:tcPr>
            <w:tcW w:w="217" w:type="dxa"/>
          </w:tcPr>
          <w:p w14:paraId="6068A8C4" w14:textId="77777777" w:rsidR="002C0FD9" w:rsidRPr="00CA25CF" w:rsidRDefault="002C0FD9" w:rsidP="00CA25CF">
            <w:pPr>
              <w:rPr>
                <w:rFonts w:cs="Arial"/>
                <w:color w:val="FF0000"/>
                <w:sz w:val="21"/>
                <w:szCs w:val="21"/>
              </w:rPr>
            </w:pPr>
          </w:p>
        </w:tc>
        <w:tc>
          <w:tcPr>
            <w:tcW w:w="217" w:type="dxa"/>
          </w:tcPr>
          <w:p w14:paraId="2A1F5B92" w14:textId="77777777" w:rsidR="002C0FD9" w:rsidRPr="00CA25CF" w:rsidRDefault="002C0FD9" w:rsidP="00CA25CF">
            <w:pPr>
              <w:rPr>
                <w:rFonts w:cs="Arial"/>
                <w:color w:val="FF0000"/>
                <w:sz w:val="21"/>
                <w:szCs w:val="21"/>
              </w:rPr>
            </w:pPr>
          </w:p>
        </w:tc>
        <w:tc>
          <w:tcPr>
            <w:tcW w:w="217" w:type="dxa"/>
          </w:tcPr>
          <w:p w14:paraId="1008A6E4" w14:textId="77777777" w:rsidR="002C0FD9" w:rsidRPr="00CA25CF" w:rsidRDefault="002C0FD9" w:rsidP="00CA25CF">
            <w:pPr>
              <w:rPr>
                <w:rFonts w:cs="Arial"/>
                <w:color w:val="FF0000"/>
                <w:sz w:val="21"/>
                <w:szCs w:val="21"/>
              </w:rPr>
            </w:pPr>
          </w:p>
        </w:tc>
        <w:tc>
          <w:tcPr>
            <w:tcW w:w="217" w:type="dxa"/>
          </w:tcPr>
          <w:p w14:paraId="36F72ACE" w14:textId="77777777" w:rsidR="002C0FD9" w:rsidRPr="00CA25CF" w:rsidRDefault="002C0FD9" w:rsidP="00CA25CF">
            <w:pPr>
              <w:rPr>
                <w:rFonts w:cs="Arial"/>
                <w:color w:val="FF0000"/>
                <w:sz w:val="21"/>
                <w:szCs w:val="21"/>
              </w:rPr>
            </w:pPr>
          </w:p>
        </w:tc>
        <w:tc>
          <w:tcPr>
            <w:tcW w:w="217" w:type="dxa"/>
          </w:tcPr>
          <w:p w14:paraId="43320098" w14:textId="77777777" w:rsidR="002C0FD9" w:rsidRPr="00CA25CF" w:rsidRDefault="002C0FD9" w:rsidP="00CA25CF">
            <w:pPr>
              <w:rPr>
                <w:rFonts w:cs="Arial"/>
                <w:color w:val="FF0000"/>
                <w:sz w:val="21"/>
                <w:szCs w:val="21"/>
              </w:rPr>
            </w:pPr>
          </w:p>
        </w:tc>
        <w:tc>
          <w:tcPr>
            <w:tcW w:w="217" w:type="dxa"/>
          </w:tcPr>
          <w:p w14:paraId="704DA64D" w14:textId="77777777" w:rsidR="002C0FD9" w:rsidRPr="00CA25CF" w:rsidRDefault="002C0FD9" w:rsidP="00CA25CF">
            <w:pPr>
              <w:rPr>
                <w:rFonts w:cs="Arial"/>
                <w:color w:val="FF0000"/>
                <w:sz w:val="21"/>
                <w:szCs w:val="21"/>
              </w:rPr>
            </w:pPr>
          </w:p>
        </w:tc>
        <w:tc>
          <w:tcPr>
            <w:tcW w:w="217" w:type="dxa"/>
          </w:tcPr>
          <w:p w14:paraId="6DF1C511" w14:textId="77777777" w:rsidR="002C0FD9" w:rsidRPr="00CA25CF" w:rsidRDefault="002C0FD9" w:rsidP="00CA25CF">
            <w:pPr>
              <w:rPr>
                <w:rFonts w:cs="Arial"/>
                <w:color w:val="FF0000"/>
                <w:sz w:val="21"/>
                <w:szCs w:val="21"/>
              </w:rPr>
            </w:pPr>
          </w:p>
        </w:tc>
        <w:tc>
          <w:tcPr>
            <w:tcW w:w="217" w:type="dxa"/>
          </w:tcPr>
          <w:p w14:paraId="6F2208FF" w14:textId="77777777" w:rsidR="002C0FD9" w:rsidRPr="00CA25CF" w:rsidRDefault="002C0FD9" w:rsidP="00CA25CF">
            <w:pPr>
              <w:rPr>
                <w:rFonts w:cs="Arial"/>
                <w:color w:val="FF0000"/>
                <w:sz w:val="21"/>
                <w:szCs w:val="21"/>
              </w:rPr>
            </w:pPr>
          </w:p>
        </w:tc>
        <w:tc>
          <w:tcPr>
            <w:tcW w:w="217" w:type="dxa"/>
          </w:tcPr>
          <w:p w14:paraId="07C0072A" w14:textId="77777777" w:rsidR="002C0FD9" w:rsidRPr="00CA25CF" w:rsidRDefault="002C0FD9" w:rsidP="00CA25CF">
            <w:pPr>
              <w:rPr>
                <w:rFonts w:cs="Arial"/>
                <w:color w:val="FF0000"/>
                <w:sz w:val="21"/>
                <w:szCs w:val="21"/>
              </w:rPr>
            </w:pPr>
          </w:p>
        </w:tc>
        <w:tc>
          <w:tcPr>
            <w:tcW w:w="217" w:type="dxa"/>
          </w:tcPr>
          <w:p w14:paraId="6CDF98B8" w14:textId="77777777" w:rsidR="002C0FD9" w:rsidRPr="00CA25CF" w:rsidRDefault="002C0FD9" w:rsidP="00CA25CF">
            <w:pPr>
              <w:rPr>
                <w:rFonts w:cs="Arial"/>
                <w:color w:val="FF0000"/>
                <w:sz w:val="21"/>
                <w:szCs w:val="21"/>
              </w:rPr>
            </w:pPr>
          </w:p>
        </w:tc>
        <w:tc>
          <w:tcPr>
            <w:tcW w:w="217" w:type="dxa"/>
          </w:tcPr>
          <w:p w14:paraId="58F2A91A" w14:textId="77777777" w:rsidR="002C0FD9" w:rsidRPr="00CA25CF" w:rsidRDefault="002C0FD9" w:rsidP="00CA25CF">
            <w:pPr>
              <w:rPr>
                <w:rFonts w:cs="Arial"/>
                <w:color w:val="FF0000"/>
                <w:sz w:val="21"/>
                <w:szCs w:val="21"/>
              </w:rPr>
            </w:pPr>
          </w:p>
        </w:tc>
        <w:tc>
          <w:tcPr>
            <w:tcW w:w="217" w:type="dxa"/>
          </w:tcPr>
          <w:p w14:paraId="704E379D" w14:textId="77777777" w:rsidR="002C0FD9" w:rsidRPr="00CA25CF" w:rsidRDefault="002C0FD9" w:rsidP="00CA25CF">
            <w:pPr>
              <w:rPr>
                <w:rFonts w:cs="Arial"/>
                <w:color w:val="FF0000"/>
                <w:sz w:val="21"/>
                <w:szCs w:val="21"/>
              </w:rPr>
            </w:pPr>
          </w:p>
        </w:tc>
        <w:tc>
          <w:tcPr>
            <w:tcW w:w="217" w:type="dxa"/>
          </w:tcPr>
          <w:p w14:paraId="03B874D4" w14:textId="77777777" w:rsidR="002C0FD9" w:rsidRPr="00CA25CF" w:rsidRDefault="002C0FD9" w:rsidP="00CA25CF">
            <w:pPr>
              <w:rPr>
                <w:rFonts w:cs="Arial"/>
                <w:color w:val="FF0000"/>
                <w:sz w:val="21"/>
                <w:szCs w:val="21"/>
              </w:rPr>
            </w:pPr>
          </w:p>
        </w:tc>
        <w:tc>
          <w:tcPr>
            <w:tcW w:w="217" w:type="dxa"/>
          </w:tcPr>
          <w:p w14:paraId="5666A6FB" w14:textId="77777777" w:rsidR="002C0FD9" w:rsidRPr="00CA25CF" w:rsidRDefault="002C0FD9" w:rsidP="00CA25CF">
            <w:pPr>
              <w:rPr>
                <w:rFonts w:cs="Arial"/>
                <w:color w:val="FF0000"/>
                <w:sz w:val="21"/>
                <w:szCs w:val="21"/>
              </w:rPr>
            </w:pPr>
          </w:p>
        </w:tc>
        <w:tc>
          <w:tcPr>
            <w:tcW w:w="217" w:type="dxa"/>
          </w:tcPr>
          <w:p w14:paraId="3B20CD57" w14:textId="77777777" w:rsidR="002C0FD9" w:rsidRPr="00CA25CF" w:rsidRDefault="002C0FD9" w:rsidP="00CA25CF">
            <w:pPr>
              <w:rPr>
                <w:rFonts w:cs="Arial"/>
                <w:color w:val="FF0000"/>
                <w:sz w:val="21"/>
                <w:szCs w:val="21"/>
              </w:rPr>
            </w:pPr>
          </w:p>
        </w:tc>
        <w:tc>
          <w:tcPr>
            <w:tcW w:w="217" w:type="dxa"/>
          </w:tcPr>
          <w:p w14:paraId="74725A7E" w14:textId="77777777" w:rsidR="002C0FD9" w:rsidRPr="00CA25CF" w:rsidRDefault="002C0FD9" w:rsidP="00CA25CF">
            <w:pPr>
              <w:rPr>
                <w:rFonts w:cs="Arial"/>
                <w:color w:val="FF0000"/>
                <w:sz w:val="21"/>
                <w:szCs w:val="21"/>
              </w:rPr>
            </w:pPr>
          </w:p>
        </w:tc>
        <w:tc>
          <w:tcPr>
            <w:tcW w:w="217" w:type="dxa"/>
          </w:tcPr>
          <w:p w14:paraId="62069672" w14:textId="77777777" w:rsidR="002C0FD9" w:rsidRPr="00CA25CF" w:rsidRDefault="002C0FD9" w:rsidP="00CA25CF">
            <w:pPr>
              <w:rPr>
                <w:rFonts w:cs="Arial"/>
                <w:color w:val="FF0000"/>
                <w:sz w:val="21"/>
                <w:szCs w:val="21"/>
              </w:rPr>
            </w:pPr>
          </w:p>
        </w:tc>
        <w:tc>
          <w:tcPr>
            <w:tcW w:w="217" w:type="dxa"/>
          </w:tcPr>
          <w:p w14:paraId="31C68B3A" w14:textId="77777777" w:rsidR="002C0FD9" w:rsidRPr="00CA25CF" w:rsidRDefault="002C0FD9" w:rsidP="00CA25CF">
            <w:pPr>
              <w:rPr>
                <w:rFonts w:cs="Arial"/>
                <w:color w:val="FF0000"/>
                <w:sz w:val="21"/>
                <w:szCs w:val="21"/>
              </w:rPr>
            </w:pPr>
          </w:p>
        </w:tc>
        <w:tc>
          <w:tcPr>
            <w:tcW w:w="217" w:type="dxa"/>
          </w:tcPr>
          <w:p w14:paraId="28D7F48E" w14:textId="77777777" w:rsidR="002C0FD9" w:rsidRPr="00CA25CF" w:rsidRDefault="002C0FD9" w:rsidP="00CA25CF">
            <w:pPr>
              <w:rPr>
                <w:rFonts w:cs="Arial"/>
                <w:color w:val="FF0000"/>
                <w:sz w:val="21"/>
                <w:szCs w:val="21"/>
              </w:rPr>
            </w:pPr>
          </w:p>
        </w:tc>
        <w:tc>
          <w:tcPr>
            <w:tcW w:w="217" w:type="dxa"/>
          </w:tcPr>
          <w:p w14:paraId="7FCDC62C" w14:textId="77777777" w:rsidR="002C0FD9" w:rsidRPr="00CA25CF" w:rsidRDefault="002C0FD9" w:rsidP="00CA25CF">
            <w:pPr>
              <w:rPr>
                <w:rFonts w:cs="Arial"/>
                <w:color w:val="FF0000"/>
                <w:sz w:val="21"/>
                <w:szCs w:val="21"/>
              </w:rPr>
            </w:pPr>
          </w:p>
        </w:tc>
        <w:tc>
          <w:tcPr>
            <w:tcW w:w="217" w:type="dxa"/>
          </w:tcPr>
          <w:p w14:paraId="143876FB" w14:textId="77777777" w:rsidR="002C0FD9" w:rsidRPr="00CA25CF" w:rsidRDefault="002C0FD9" w:rsidP="00CA25CF">
            <w:pPr>
              <w:rPr>
                <w:rFonts w:cs="Arial"/>
                <w:color w:val="FF0000"/>
                <w:sz w:val="21"/>
                <w:szCs w:val="21"/>
              </w:rPr>
            </w:pPr>
          </w:p>
        </w:tc>
        <w:tc>
          <w:tcPr>
            <w:tcW w:w="217" w:type="dxa"/>
          </w:tcPr>
          <w:p w14:paraId="55392B5D" w14:textId="77777777" w:rsidR="002C0FD9" w:rsidRPr="00CA25CF" w:rsidRDefault="002C0FD9" w:rsidP="00CA25CF">
            <w:pPr>
              <w:rPr>
                <w:rFonts w:cs="Arial"/>
                <w:color w:val="FF0000"/>
                <w:sz w:val="21"/>
                <w:szCs w:val="21"/>
              </w:rPr>
            </w:pPr>
          </w:p>
        </w:tc>
      </w:tr>
      <w:tr w:rsidR="002C0FD9" w:rsidRPr="00A16219" w14:paraId="2B5E8FCC" w14:textId="77777777" w:rsidTr="002C0FD9">
        <w:trPr>
          <w:trHeight w:val="635"/>
        </w:trPr>
        <w:tc>
          <w:tcPr>
            <w:tcW w:w="515" w:type="dxa"/>
          </w:tcPr>
          <w:p w14:paraId="2029C161" w14:textId="77777777" w:rsidR="002C0FD9" w:rsidRPr="00CA25CF" w:rsidRDefault="002C0FD9" w:rsidP="00CA25CF">
            <w:pPr>
              <w:rPr>
                <w:rFonts w:cs="Arial"/>
                <w:color w:val="FF0000"/>
                <w:sz w:val="21"/>
                <w:szCs w:val="21"/>
              </w:rPr>
            </w:pPr>
          </w:p>
        </w:tc>
        <w:tc>
          <w:tcPr>
            <w:tcW w:w="217" w:type="dxa"/>
          </w:tcPr>
          <w:p w14:paraId="7CEC63FA" w14:textId="77777777" w:rsidR="002C0FD9" w:rsidRPr="00CA25CF" w:rsidRDefault="002C0FD9" w:rsidP="00CA25CF">
            <w:pPr>
              <w:rPr>
                <w:rFonts w:cs="Arial"/>
                <w:color w:val="FF0000"/>
                <w:sz w:val="21"/>
                <w:szCs w:val="21"/>
              </w:rPr>
            </w:pPr>
          </w:p>
        </w:tc>
        <w:tc>
          <w:tcPr>
            <w:tcW w:w="217" w:type="dxa"/>
          </w:tcPr>
          <w:p w14:paraId="13C46170" w14:textId="77777777" w:rsidR="002C0FD9" w:rsidRPr="00CA25CF" w:rsidRDefault="002C0FD9" w:rsidP="00CA25CF">
            <w:pPr>
              <w:rPr>
                <w:rFonts w:cs="Arial"/>
                <w:color w:val="FF0000"/>
                <w:sz w:val="21"/>
                <w:szCs w:val="21"/>
              </w:rPr>
            </w:pPr>
          </w:p>
        </w:tc>
        <w:tc>
          <w:tcPr>
            <w:tcW w:w="217" w:type="dxa"/>
          </w:tcPr>
          <w:p w14:paraId="6FDAC3A7" w14:textId="77777777" w:rsidR="002C0FD9" w:rsidRPr="00CA25CF" w:rsidRDefault="002C0FD9" w:rsidP="00CA25CF">
            <w:pPr>
              <w:rPr>
                <w:rFonts w:cs="Arial"/>
                <w:color w:val="FF0000"/>
                <w:sz w:val="21"/>
                <w:szCs w:val="21"/>
              </w:rPr>
            </w:pPr>
          </w:p>
        </w:tc>
        <w:tc>
          <w:tcPr>
            <w:tcW w:w="217" w:type="dxa"/>
          </w:tcPr>
          <w:p w14:paraId="3690BFD3" w14:textId="77777777" w:rsidR="002C0FD9" w:rsidRPr="00CA25CF" w:rsidRDefault="002C0FD9" w:rsidP="00CA25CF">
            <w:pPr>
              <w:rPr>
                <w:rFonts w:cs="Arial"/>
                <w:color w:val="FF0000"/>
                <w:sz w:val="21"/>
                <w:szCs w:val="21"/>
              </w:rPr>
            </w:pPr>
          </w:p>
        </w:tc>
        <w:tc>
          <w:tcPr>
            <w:tcW w:w="217" w:type="dxa"/>
          </w:tcPr>
          <w:p w14:paraId="6A1BD98A" w14:textId="77777777" w:rsidR="002C0FD9" w:rsidRPr="00CA25CF" w:rsidRDefault="002C0FD9" w:rsidP="00CA25CF">
            <w:pPr>
              <w:rPr>
                <w:rFonts w:cs="Arial"/>
                <w:color w:val="FF0000"/>
                <w:sz w:val="21"/>
                <w:szCs w:val="21"/>
              </w:rPr>
            </w:pPr>
          </w:p>
        </w:tc>
        <w:tc>
          <w:tcPr>
            <w:tcW w:w="217" w:type="dxa"/>
          </w:tcPr>
          <w:p w14:paraId="497585CF" w14:textId="77777777" w:rsidR="002C0FD9" w:rsidRPr="00CA25CF" w:rsidRDefault="002C0FD9" w:rsidP="00CA25CF">
            <w:pPr>
              <w:rPr>
                <w:rFonts w:cs="Arial"/>
                <w:color w:val="FF0000"/>
                <w:sz w:val="21"/>
                <w:szCs w:val="21"/>
              </w:rPr>
            </w:pPr>
          </w:p>
        </w:tc>
        <w:tc>
          <w:tcPr>
            <w:tcW w:w="217" w:type="dxa"/>
          </w:tcPr>
          <w:p w14:paraId="3C9B27A6" w14:textId="77777777" w:rsidR="002C0FD9" w:rsidRPr="00CA25CF" w:rsidRDefault="002C0FD9" w:rsidP="00CA25CF">
            <w:pPr>
              <w:rPr>
                <w:rFonts w:cs="Arial"/>
                <w:color w:val="FF0000"/>
                <w:sz w:val="21"/>
                <w:szCs w:val="21"/>
              </w:rPr>
            </w:pPr>
          </w:p>
        </w:tc>
        <w:tc>
          <w:tcPr>
            <w:tcW w:w="217" w:type="dxa"/>
          </w:tcPr>
          <w:p w14:paraId="274CCFCA" w14:textId="77777777" w:rsidR="002C0FD9" w:rsidRPr="00CA25CF" w:rsidRDefault="002C0FD9" w:rsidP="00CA25CF">
            <w:pPr>
              <w:rPr>
                <w:rFonts w:cs="Arial"/>
                <w:color w:val="FF0000"/>
                <w:sz w:val="21"/>
                <w:szCs w:val="21"/>
              </w:rPr>
            </w:pPr>
          </w:p>
        </w:tc>
        <w:tc>
          <w:tcPr>
            <w:tcW w:w="217" w:type="dxa"/>
          </w:tcPr>
          <w:p w14:paraId="48CC52F9" w14:textId="77777777" w:rsidR="002C0FD9" w:rsidRPr="00CA25CF" w:rsidRDefault="002C0FD9" w:rsidP="00CA25CF">
            <w:pPr>
              <w:rPr>
                <w:rFonts w:cs="Arial"/>
                <w:color w:val="FF0000"/>
                <w:sz w:val="21"/>
                <w:szCs w:val="21"/>
              </w:rPr>
            </w:pPr>
          </w:p>
        </w:tc>
        <w:tc>
          <w:tcPr>
            <w:tcW w:w="217" w:type="dxa"/>
          </w:tcPr>
          <w:p w14:paraId="6197E515" w14:textId="77777777" w:rsidR="002C0FD9" w:rsidRPr="00CA25CF" w:rsidRDefault="002C0FD9" w:rsidP="00CA25CF">
            <w:pPr>
              <w:rPr>
                <w:rFonts w:cs="Arial"/>
                <w:color w:val="FF0000"/>
                <w:sz w:val="21"/>
                <w:szCs w:val="21"/>
              </w:rPr>
            </w:pPr>
          </w:p>
        </w:tc>
        <w:tc>
          <w:tcPr>
            <w:tcW w:w="217" w:type="dxa"/>
          </w:tcPr>
          <w:p w14:paraId="1B3C5389" w14:textId="77777777" w:rsidR="002C0FD9" w:rsidRPr="00CA25CF" w:rsidRDefault="002C0FD9" w:rsidP="00CA25CF">
            <w:pPr>
              <w:rPr>
                <w:rFonts w:cs="Arial"/>
                <w:color w:val="FF0000"/>
                <w:sz w:val="21"/>
                <w:szCs w:val="21"/>
              </w:rPr>
            </w:pPr>
          </w:p>
        </w:tc>
        <w:tc>
          <w:tcPr>
            <w:tcW w:w="217" w:type="dxa"/>
          </w:tcPr>
          <w:p w14:paraId="745D80BD" w14:textId="77777777" w:rsidR="002C0FD9" w:rsidRPr="00CA25CF" w:rsidRDefault="002C0FD9" w:rsidP="00CA25CF">
            <w:pPr>
              <w:rPr>
                <w:rFonts w:cs="Arial"/>
                <w:color w:val="FF0000"/>
                <w:sz w:val="21"/>
                <w:szCs w:val="21"/>
              </w:rPr>
            </w:pPr>
          </w:p>
        </w:tc>
        <w:tc>
          <w:tcPr>
            <w:tcW w:w="217" w:type="dxa"/>
          </w:tcPr>
          <w:p w14:paraId="4220C7EC" w14:textId="77777777" w:rsidR="002C0FD9" w:rsidRPr="00CA25CF" w:rsidRDefault="002C0FD9" w:rsidP="00CA25CF">
            <w:pPr>
              <w:rPr>
                <w:rFonts w:cs="Arial"/>
                <w:color w:val="FF0000"/>
                <w:sz w:val="21"/>
                <w:szCs w:val="21"/>
              </w:rPr>
            </w:pPr>
          </w:p>
        </w:tc>
        <w:tc>
          <w:tcPr>
            <w:tcW w:w="217" w:type="dxa"/>
          </w:tcPr>
          <w:p w14:paraId="7EA28CE9" w14:textId="77777777" w:rsidR="002C0FD9" w:rsidRPr="00CA25CF" w:rsidRDefault="002C0FD9" w:rsidP="00CA25CF">
            <w:pPr>
              <w:rPr>
                <w:rFonts w:cs="Arial"/>
                <w:color w:val="FF0000"/>
                <w:sz w:val="21"/>
                <w:szCs w:val="21"/>
              </w:rPr>
            </w:pPr>
          </w:p>
        </w:tc>
        <w:tc>
          <w:tcPr>
            <w:tcW w:w="217" w:type="dxa"/>
          </w:tcPr>
          <w:p w14:paraId="3D04C13A" w14:textId="77777777" w:rsidR="002C0FD9" w:rsidRPr="00CA25CF" w:rsidRDefault="002C0FD9" w:rsidP="00CA25CF">
            <w:pPr>
              <w:rPr>
                <w:rFonts w:cs="Arial"/>
                <w:color w:val="FF0000"/>
                <w:sz w:val="21"/>
                <w:szCs w:val="21"/>
              </w:rPr>
            </w:pPr>
          </w:p>
        </w:tc>
        <w:tc>
          <w:tcPr>
            <w:tcW w:w="217" w:type="dxa"/>
          </w:tcPr>
          <w:p w14:paraId="7A75AE33" w14:textId="77777777" w:rsidR="002C0FD9" w:rsidRPr="00CA25CF" w:rsidRDefault="002C0FD9" w:rsidP="00CA25CF">
            <w:pPr>
              <w:rPr>
                <w:rFonts w:cs="Arial"/>
                <w:color w:val="FF0000"/>
                <w:sz w:val="21"/>
                <w:szCs w:val="21"/>
              </w:rPr>
            </w:pPr>
          </w:p>
        </w:tc>
        <w:tc>
          <w:tcPr>
            <w:tcW w:w="217" w:type="dxa"/>
          </w:tcPr>
          <w:p w14:paraId="0FA8DC75" w14:textId="77777777" w:rsidR="002C0FD9" w:rsidRPr="00CA25CF" w:rsidRDefault="002C0FD9" w:rsidP="00CA25CF">
            <w:pPr>
              <w:rPr>
                <w:rFonts w:cs="Arial"/>
                <w:color w:val="FF0000"/>
                <w:sz w:val="21"/>
                <w:szCs w:val="21"/>
              </w:rPr>
            </w:pPr>
          </w:p>
        </w:tc>
        <w:tc>
          <w:tcPr>
            <w:tcW w:w="217" w:type="dxa"/>
          </w:tcPr>
          <w:p w14:paraId="5C1E26A1" w14:textId="77777777" w:rsidR="002C0FD9" w:rsidRPr="00CA25CF" w:rsidRDefault="002C0FD9" w:rsidP="00CA25CF">
            <w:pPr>
              <w:rPr>
                <w:rFonts w:cs="Arial"/>
                <w:color w:val="FF0000"/>
                <w:sz w:val="21"/>
                <w:szCs w:val="21"/>
              </w:rPr>
            </w:pPr>
          </w:p>
        </w:tc>
        <w:tc>
          <w:tcPr>
            <w:tcW w:w="217" w:type="dxa"/>
          </w:tcPr>
          <w:p w14:paraId="0BBCDC30" w14:textId="77777777" w:rsidR="002C0FD9" w:rsidRPr="00CA25CF" w:rsidRDefault="002C0FD9" w:rsidP="00CA25CF">
            <w:pPr>
              <w:rPr>
                <w:rFonts w:cs="Arial"/>
                <w:color w:val="FF0000"/>
                <w:sz w:val="21"/>
                <w:szCs w:val="21"/>
              </w:rPr>
            </w:pPr>
          </w:p>
        </w:tc>
        <w:tc>
          <w:tcPr>
            <w:tcW w:w="217" w:type="dxa"/>
          </w:tcPr>
          <w:p w14:paraId="6757CDEA" w14:textId="77777777" w:rsidR="002C0FD9" w:rsidRPr="00CA25CF" w:rsidRDefault="002C0FD9" w:rsidP="00CA25CF">
            <w:pPr>
              <w:rPr>
                <w:rFonts w:cs="Arial"/>
                <w:color w:val="FF0000"/>
                <w:sz w:val="21"/>
                <w:szCs w:val="21"/>
              </w:rPr>
            </w:pPr>
          </w:p>
        </w:tc>
        <w:tc>
          <w:tcPr>
            <w:tcW w:w="217" w:type="dxa"/>
          </w:tcPr>
          <w:p w14:paraId="2E8377DB" w14:textId="77777777" w:rsidR="002C0FD9" w:rsidRPr="00CA25CF" w:rsidRDefault="002C0FD9" w:rsidP="00CA25CF">
            <w:pPr>
              <w:rPr>
                <w:rFonts w:cs="Arial"/>
                <w:color w:val="FF0000"/>
                <w:sz w:val="21"/>
                <w:szCs w:val="21"/>
              </w:rPr>
            </w:pPr>
          </w:p>
        </w:tc>
        <w:tc>
          <w:tcPr>
            <w:tcW w:w="217" w:type="dxa"/>
          </w:tcPr>
          <w:p w14:paraId="0499CAFA" w14:textId="77777777" w:rsidR="002C0FD9" w:rsidRPr="00CA25CF" w:rsidRDefault="002C0FD9" w:rsidP="00CA25CF">
            <w:pPr>
              <w:rPr>
                <w:rFonts w:cs="Arial"/>
                <w:color w:val="FF0000"/>
                <w:sz w:val="21"/>
                <w:szCs w:val="21"/>
              </w:rPr>
            </w:pPr>
          </w:p>
        </w:tc>
        <w:tc>
          <w:tcPr>
            <w:tcW w:w="217" w:type="dxa"/>
          </w:tcPr>
          <w:p w14:paraId="1B0C9810" w14:textId="77777777" w:rsidR="002C0FD9" w:rsidRPr="00CA25CF" w:rsidRDefault="002C0FD9" w:rsidP="00CA25CF">
            <w:pPr>
              <w:rPr>
                <w:rFonts w:cs="Arial"/>
                <w:color w:val="FF0000"/>
                <w:sz w:val="21"/>
                <w:szCs w:val="21"/>
              </w:rPr>
            </w:pPr>
          </w:p>
        </w:tc>
        <w:tc>
          <w:tcPr>
            <w:tcW w:w="217" w:type="dxa"/>
          </w:tcPr>
          <w:p w14:paraId="4D325CFA" w14:textId="77777777" w:rsidR="002C0FD9" w:rsidRPr="00CA25CF" w:rsidRDefault="002C0FD9" w:rsidP="00CA25CF">
            <w:pPr>
              <w:rPr>
                <w:rFonts w:cs="Arial"/>
                <w:color w:val="FF0000"/>
                <w:sz w:val="21"/>
                <w:szCs w:val="21"/>
              </w:rPr>
            </w:pPr>
          </w:p>
        </w:tc>
        <w:tc>
          <w:tcPr>
            <w:tcW w:w="217" w:type="dxa"/>
          </w:tcPr>
          <w:p w14:paraId="2025C162" w14:textId="77777777" w:rsidR="002C0FD9" w:rsidRPr="00CA25CF" w:rsidRDefault="002C0FD9" w:rsidP="00CA25CF">
            <w:pPr>
              <w:rPr>
                <w:rFonts w:cs="Arial"/>
                <w:color w:val="FF0000"/>
                <w:sz w:val="21"/>
                <w:szCs w:val="21"/>
              </w:rPr>
            </w:pPr>
          </w:p>
        </w:tc>
        <w:tc>
          <w:tcPr>
            <w:tcW w:w="217" w:type="dxa"/>
          </w:tcPr>
          <w:p w14:paraId="637888EB" w14:textId="77777777" w:rsidR="002C0FD9" w:rsidRPr="00CA25CF" w:rsidRDefault="002C0FD9" w:rsidP="00CA25CF">
            <w:pPr>
              <w:rPr>
                <w:rFonts w:cs="Arial"/>
                <w:color w:val="FF0000"/>
                <w:sz w:val="21"/>
                <w:szCs w:val="21"/>
              </w:rPr>
            </w:pPr>
          </w:p>
        </w:tc>
        <w:tc>
          <w:tcPr>
            <w:tcW w:w="217" w:type="dxa"/>
          </w:tcPr>
          <w:p w14:paraId="222981AE" w14:textId="77777777" w:rsidR="002C0FD9" w:rsidRPr="00CA25CF" w:rsidRDefault="002C0FD9" w:rsidP="00CA25CF">
            <w:pPr>
              <w:rPr>
                <w:rFonts w:cs="Arial"/>
                <w:color w:val="FF0000"/>
                <w:sz w:val="21"/>
                <w:szCs w:val="21"/>
              </w:rPr>
            </w:pPr>
          </w:p>
        </w:tc>
        <w:tc>
          <w:tcPr>
            <w:tcW w:w="217" w:type="dxa"/>
          </w:tcPr>
          <w:p w14:paraId="2D60AFAD" w14:textId="77777777" w:rsidR="002C0FD9" w:rsidRPr="00CA25CF" w:rsidRDefault="002C0FD9" w:rsidP="00CA25CF">
            <w:pPr>
              <w:rPr>
                <w:rFonts w:cs="Arial"/>
                <w:color w:val="FF0000"/>
                <w:sz w:val="21"/>
                <w:szCs w:val="21"/>
              </w:rPr>
            </w:pPr>
          </w:p>
        </w:tc>
        <w:tc>
          <w:tcPr>
            <w:tcW w:w="217" w:type="dxa"/>
          </w:tcPr>
          <w:p w14:paraId="714053EA" w14:textId="77777777" w:rsidR="002C0FD9" w:rsidRPr="00CA25CF" w:rsidRDefault="002C0FD9" w:rsidP="00CA25CF">
            <w:pPr>
              <w:rPr>
                <w:rFonts w:cs="Arial"/>
                <w:color w:val="FF0000"/>
                <w:sz w:val="21"/>
                <w:szCs w:val="21"/>
              </w:rPr>
            </w:pPr>
          </w:p>
        </w:tc>
        <w:tc>
          <w:tcPr>
            <w:tcW w:w="217" w:type="dxa"/>
          </w:tcPr>
          <w:p w14:paraId="4BE03091" w14:textId="77777777" w:rsidR="002C0FD9" w:rsidRPr="00CA25CF" w:rsidRDefault="002C0FD9" w:rsidP="00CA25CF">
            <w:pPr>
              <w:rPr>
                <w:rFonts w:cs="Arial"/>
                <w:color w:val="FF0000"/>
                <w:sz w:val="21"/>
                <w:szCs w:val="21"/>
              </w:rPr>
            </w:pPr>
          </w:p>
        </w:tc>
        <w:tc>
          <w:tcPr>
            <w:tcW w:w="217" w:type="dxa"/>
          </w:tcPr>
          <w:p w14:paraId="72B40E8D" w14:textId="77777777" w:rsidR="002C0FD9" w:rsidRPr="00CA25CF" w:rsidRDefault="002C0FD9" w:rsidP="00CA25CF">
            <w:pPr>
              <w:rPr>
                <w:rFonts w:cs="Arial"/>
                <w:color w:val="FF0000"/>
                <w:sz w:val="21"/>
                <w:szCs w:val="21"/>
              </w:rPr>
            </w:pPr>
          </w:p>
        </w:tc>
        <w:tc>
          <w:tcPr>
            <w:tcW w:w="217" w:type="dxa"/>
          </w:tcPr>
          <w:p w14:paraId="009F3C4D" w14:textId="77777777" w:rsidR="002C0FD9" w:rsidRPr="00CA25CF" w:rsidRDefault="002C0FD9" w:rsidP="00CA25CF">
            <w:pPr>
              <w:rPr>
                <w:rFonts w:cs="Arial"/>
                <w:color w:val="FF0000"/>
                <w:sz w:val="21"/>
                <w:szCs w:val="21"/>
              </w:rPr>
            </w:pPr>
          </w:p>
        </w:tc>
        <w:tc>
          <w:tcPr>
            <w:tcW w:w="217" w:type="dxa"/>
          </w:tcPr>
          <w:p w14:paraId="77D8F9DC" w14:textId="77777777" w:rsidR="002C0FD9" w:rsidRPr="00CA25CF" w:rsidRDefault="002C0FD9" w:rsidP="00CA25CF">
            <w:pPr>
              <w:rPr>
                <w:rFonts w:cs="Arial"/>
                <w:color w:val="FF0000"/>
                <w:sz w:val="21"/>
                <w:szCs w:val="21"/>
              </w:rPr>
            </w:pPr>
          </w:p>
        </w:tc>
        <w:tc>
          <w:tcPr>
            <w:tcW w:w="217" w:type="dxa"/>
          </w:tcPr>
          <w:p w14:paraId="59F66D59" w14:textId="77777777" w:rsidR="002C0FD9" w:rsidRPr="00CA25CF" w:rsidRDefault="002C0FD9" w:rsidP="00CA25CF">
            <w:pPr>
              <w:rPr>
                <w:rFonts w:cs="Arial"/>
                <w:color w:val="FF0000"/>
                <w:sz w:val="21"/>
                <w:szCs w:val="21"/>
              </w:rPr>
            </w:pPr>
          </w:p>
        </w:tc>
        <w:tc>
          <w:tcPr>
            <w:tcW w:w="217" w:type="dxa"/>
          </w:tcPr>
          <w:p w14:paraId="5DCDE172" w14:textId="77777777" w:rsidR="002C0FD9" w:rsidRPr="00CA25CF" w:rsidRDefault="002C0FD9" w:rsidP="00CA25CF">
            <w:pPr>
              <w:rPr>
                <w:rFonts w:cs="Arial"/>
                <w:color w:val="FF0000"/>
                <w:sz w:val="21"/>
                <w:szCs w:val="21"/>
              </w:rPr>
            </w:pPr>
          </w:p>
        </w:tc>
        <w:tc>
          <w:tcPr>
            <w:tcW w:w="217" w:type="dxa"/>
          </w:tcPr>
          <w:p w14:paraId="3E4EC4C1" w14:textId="77777777" w:rsidR="002C0FD9" w:rsidRPr="00CA25CF" w:rsidRDefault="002C0FD9" w:rsidP="00CA25CF">
            <w:pPr>
              <w:rPr>
                <w:rFonts w:cs="Arial"/>
                <w:color w:val="FF0000"/>
                <w:sz w:val="21"/>
                <w:szCs w:val="21"/>
              </w:rPr>
            </w:pPr>
          </w:p>
        </w:tc>
        <w:tc>
          <w:tcPr>
            <w:tcW w:w="217" w:type="dxa"/>
          </w:tcPr>
          <w:p w14:paraId="6EDF00FE" w14:textId="77777777" w:rsidR="002C0FD9" w:rsidRPr="00CA25CF" w:rsidRDefault="002C0FD9" w:rsidP="00CA25CF">
            <w:pPr>
              <w:rPr>
                <w:rFonts w:cs="Arial"/>
                <w:color w:val="FF0000"/>
                <w:sz w:val="21"/>
                <w:szCs w:val="21"/>
              </w:rPr>
            </w:pPr>
          </w:p>
        </w:tc>
        <w:tc>
          <w:tcPr>
            <w:tcW w:w="217" w:type="dxa"/>
          </w:tcPr>
          <w:p w14:paraId="7C360B27" w14:textId="77777777" w:rsidR="002C0FD9" w:rsidRPr="00CA25CF" w:rsidRDefault="002C0FD9" w:rsidP="00CA25CF">
            <w:pPr>
              <w:rPr>
                <w:rFonts w:cs="Arial"/>
                <w:color w:val="FF0000"/>
                <w:sz w:val="21"/>
                <w:szCs w:val="21"/>
              </w:rPr>
            </w:pPr>
          </w:p>
        </w:tc>
        <w:tc>
          <w:tcPr>
            <w:tcW w:w="217" w:type="dxa"/>
          </w:tcPr>
          <w:p w14:paraId="4056D32D" w14:textId="77777777" w:rsidR="002C0FD9" w:rsidRPr="00CA25CF" w:rsidRDefault="002C0FD9" w:rsidP="00CA25CF">
            <w:pPr>
              <w:rPr>
                <w:rFonts w:cs="Arial"/>
                <w:color w:val="FF0000"/>
                <w:sz w:val="21"/>
                <w:szCs w:val="21"/>
              </w:rPr>
            </w:pPr>
          </w:p>
        </w:tc>
        <w:tc>
          <w:tcPr>
            <w:tcW w:w="217" w:type="dxa"/>
          </w:tcPr>
          <w:p w14:paraId="5DF03080" w14:textId="77777777" w:rsidR="002C0FD9" w:rsidRPr="00CA25CF" w:rsidRDefault="002C0FD9" w:rsidP="00CA25CF">
            <w:pPr>
              <w:rPr>
                <w:rFonts w:cs="Arial"/>
                <w:color w:val="FF0000"/>
                <w:sz w:val="21"/>
                <w:szCs w:val="21"/>
              </w:rPr>
            </w:pPr>
          </w:p>
        </w:tc>
        <w:tc>
          <w:tcPr>
            <w:tcW w:w="217" w:type="dxa"/>
          </w:tcPr>
          <w:p w14:paraId="62817F75" w14:textId="77777777" w:rsidR="002C0FD9" w:rsidRPr="00CA25CF" w:rsidRDefault="002C0FD9" w:rsidP="00CA25CF">
            <w:pPr>
              <w:rPr>
                <w:rFonts w:cs="Arial"/>
                <w:color w:val="FF0000"/>
                <w:sz w:val="21"/>
                <w:szCs w:val="21"/>
              </w:rPr>
            </w:pPr>
          </w:p>
        </w:tc>
        <w:tc>
          <w:tcPr>
            <w:tcW w:w="217" w:type="dxa"/>
          </w:tcPr>
          <w:p w14:paraId="1D0386FE" w14:textId="77777777" w:rsidR="002C0FD9" w:rsidRPr="00CA25CF" w:rsidRDefault="002C0FD9" w:rsidP="00CA25CF">
            <w:pPr>
              <w:rPr>
                <w:rFonts w:cs="Arial"/>
                <w:color w:val="FF0000"/>
                <w:sz w:val="21"/>
                <w:szCs w:val="21"/>
              </w:rPr>
            </w:pPr>
          </w:p>
        </w:tc>
      </w:tr>
      <w:tr w:rsidR="002C0FD9" w:rsidRPr="00A16219" w14:paraId="3765CC33" w14:textId="77777777" w:rsidTr="002C0FD9">
        <w:trPr>
          <w:trHeight w:val="635"/>
        </w:trPr>
        <w:tc>
          <w:tcPr>
            <w:tcW w:w="515" w:type="dxa"/>
          </w:tcPr>
          <w:p w14:paraId="65BF508F" w14:textId="77777777" w:rsidR="002C0FD9" w:rsidRPr="00CA25CF" w:rsidRDefault="002C0FD9" w:rsidP="00CA25CF">
            <w:pPr>
              <w:rPr>
                <w:rFonts w:cs="Arial"/>
                <w:color w:val="FF0000"/>
                <w:sz w:val="21"/>
                <w:szCs w:val="21"/>
              </w:rPr>
            </w:pPr>
          </w:p>
        </w:tc>
        <w:tc>
          <w:tcPr>
            <w:tcW w:w="217" w:type="dxa"/>
          </w:tcPr>
          <w:p w14:paraId="77827AC7" w14:textId="77777777" w:rsidR="002C0FD9" w:rsidRPr="00CA25CF" w:rsidRDefault="002C0FD9" w:rsidP="00CA25CF">
            <w:pPr>
              <w:rPr>
                <w:rFonts w:cs="Arial"/>
                <w:color w:val="FF0000"/>
                <w:sz w:val="21"/>
                <w:szCs w:val="21"/>
              </w:rPr>
            </w:pPr>
          </w:p>
        </w:tc>
        <w:tc>
          <w:tcPr>
            <w:tcW w:w="217" w:type="dxa"/>
          </w:tcPr>
          <w:p w14:paraId="63AD15A8" w14:textId="77777777" w:rsidR="002C0FD9" w:rsidRPr="00CA25CF" w:rsidRDefault="002C0FD9" w:rsidP="00CA25CF">
            <w:pPr>
              <w:rPr>
                <w:rFonts w:cs="Arial"/>
                <w:color w:val="FF0000"/>
                <w:sz w:val="21"/>
                <w:szCs w:val="21"/>
              </w:rPr>
            </w:pPr>
          </w:p>
        </w:tc>
        <w:tc>
          <w:tcPr>
            <w:tcW w:w="217" w:type="dxa"/>
          </w:tcPr>
          <w:p w14:paraId="0224C77E" w14:textId="77777777" w:rsidR="002C0FD9" w:rsidRPr="00CA25CF" w:rsidRDefault="002C0FD9" w:rsidP="00CA25CF">
            <w:pPr>
              <w:rPr>
                <w:rFonts w:cs="Arial"/>
                <w:color w:val="FF0000"/>
                <w:sz w:val="21"/>
                <w:szCs w:val="21"/>
              </w:rPr>
            </w:pPr>
          </w:p>
        </w:tc>
        <w:tc>
          <w:tcPr>
            <w:tcW w:w="217" w:type="dxa"/>
          </w:tcPr>
          <w:p w14:paraId="5805F11B" w14:textId="77777777" w:rsidR="002C0FD9" w:rsidRPr="00CA25CF" w:rsidRDefault="002C0FD9" w:rsidP="00CA25CF">
            <w:pPr>
              <w:rPr>
                <w:rFonts w:cs="Arial"/>
                <w:color w:val="FF0000"/>
                <w:sz w:val="21"/>
                <w:szCs w:val="21"/>
              </w:rPr>
            </w:pPr>
          </w:p>
        </w:tc>
        <w:tc>
          <w:tcPr>
            <w:tcW w:w="217" w:type="dxa"/>
          </w:tcPr>
          <w:p w14:paraId="76FF8BD3" w14:textId="77777777" w:rsidR="002C0FD9" w:rsidRPr="00CA25CF" w:rsidRDefault="002C0FD9" w:rsidP="00CA25CF">
            <w:pPr>
              <w:rPr>
                <w:rFonts w:cs="Arial"/>
                <w:color w:val="FF0000"/>
                <w:sz w:val="21"/>
                <w:szCs w:val="21"/>
              </w:rPr>
            </w:pPr>
          </w:p>
        </w:tc>
        <w:tc>
          <w:tcPr>
            <w:tcW w:w="217" w:type="dxa"/>
          </w:tcPr>
          <w:p w14:paraId="44A40787" w14:textId="77777777" w:rsidR="002C0FD9" w:rsidRPr="00CA25CF" w:rsidRDefault="002C0FD9" w:rsidP="00CA25CF">
            <w:pPr>
              <w:rPr>
                <w:rFonts w:cs="Arial"/>
                <w:color w:val="FF0000"/>
                <w:sz w:val="21"/>
                <w:szCs w:val="21"/>
              </w:rPr>
            </w:pPr>
          </w:p>
        </w:tc>
        <w:tc>
          <w:tcPr>
            <w:tcW w:w="217" w:type="dxa"/>
          </w:tcPr>
          <w:p w14:paraId="63C192D8" w14:textId="77777777" w:rsidR="002C0FD9" w:rsidRPr="00CA25CF" w:rsidRDefault="002C0FD9" w:rsidP="00CA25CF">
            <w:pPr>
              <w:rPr>
                <w:rFonts w:cs="Arial"/>
                <w:color w:val="FF0000"/>
                <w:sz w:val="21"/>
                <w:szCs w:val="21"/>
              </w:rPr>
            </w:pPr>
          </w:p>
        </w:tc>
        <w:tc>
          <w:tcPr>
            <w:tcW w:w="217" w:type="dxa"/>
          </w:tcPr>
          <w:p w14:paraId="142B4947" w14:textId="77777777" w:rsidR="002C0FD9" w:rsidRPr="00CA25CF" w:rsidRDefault="002C0FD9" w:rsidP="00CA25CF">
            <w:pPr>
              <w:rPr>
                <w:rFonts w:cs="Arial"/>
                <w:color w:val="FF0000"/>
                <w:sz w:val="21"/>
                <w:szCs w:val="21"/>
              </w:rPr>
            </w:pPr>
          </w:p>
        </w:tc>
        <w:tc>
          <w:tcPr>
            <w:tcW w:w="217" w:type="dxa"/>
          </w:tcPr>
          <w:p w14:paraId="5BA6F658" w14:textId="77777777" w:rsidR="002C0FD9" w:rsidRPr="00CA25CF" w:rsidRDefault="002C0FD9" w:rsidP="00CA25CF">
            <w:pPr>
              <w:rPr>
                <w:rFonts w:cs="Arial"/>
                <w:color w:val="FF0000"/>
                <w:sz w:val="21"/>
                <w:szCs w:val="21"/>
              </w:rPr>
            </w:pPr>
          </w:p>
        </w:tc>
        <w:tc>
          <w:tcPr>
            <w:tcW w:w="217" w:type="dxa"/>
          </w:tcPr>
          <w:p w14:paraId="2F4567BC" w14:textId="77777777" w:rsidR="002C0FD9" w:rsidRPr="00CA25CF" w:rsidRDefault="002C0FD9" w:rsidP="00CA25CF">
            <w:pPr>
              <w:rPr>
                <w:rFonts w:cs="Arial"/>
                <w:color w:val="FF0000"/>
                <w:sz w:val="21"/>
                <w:szCs w:val="21"/>
              </w:rPr>
            </w:pPr>
          </w:p>
        </w:tc>
        <w:tc>
          <w:tcPr>
            <w:tcW w:w="217" w:type="dxa"/>
          </w:tcPr>
          <w:p w14:paraId="14A96201" w14:textId="77777777" w:rsidR="002C0FD9" w:rsidRPr="00CA25CF" w:rsidRDefault="002C0FD9" w:rsidP="00CA25CF">
            <w:pPr>
              <w:rPr>
                <w:rFonts w:cs="Arial"/>
                <w:color w:val="FF0000"/>
                <w:sz w:val="21"/>
                <w:szCs w:val="21"/>
              </w:rPr>
            </w:pPr>
          </w:p>
        </w:tc>
        <w:tc>
          <w:tcPr>
            <w:tcW w:w="217" w:type="dxa"/>
          </w:tcPr>
          <w:p w14:paraId="41217783" w14:textId="77777777" w:rsidR="002C0FD9" w:rsidRPr="00CA25CF" w:rsidRDefault="002C0FD9" w:rsidP="00CA25CF">
            <w:pPr>
              <w:rPr>
                <w:rFonts w:cs="Arial"/>
                <w:color w:val="FF0000"/>
                <w:sz w:val="21"/>
                <w:szCs w:val="21"/>
              </w:rPr>
            </w:pPr>
          </w:p>
        </w:tc>
        <w:tc>
          <w:tcPr>
            <w:tcW w:w="217" w:type="dxa"/>
          </w:tcPr>
          <w:p w14:paraId="3BF2AA71" w14:textId="77777777" w:rsidR="002C0FD9" w:rsidRPr="00CA25CF" w:rsidRDefault="002C0FD9" w:rsidP="00CA25CF">
            <w:pPr>
              <w:rPr>
                <w:rFonts w:cs="Arial"/>
                <w:color w:val="FF0000"/>
                <w:sz w:val="21"/>
                <w:szCs w:val="21"/>
              </w:rPr>
            </w:pPr>
          </w:p>
        </w:tc>
        <w:tc>
          <w:tcPr>
            <w:tcW w:w="217" w:type="dxa"/>
          </w:tcPr>
          <w:p w14:paraId="67818053" w14:textId="77777777" w:rsidR="002C0FD9" w:rsidRPr="00CA25CF" w:rsidRDefault="002C0FD9" w:rsidP="00CA25CF">
            <w:pPr>
              <w:rPr>
                <w:rFonts w:cs="Arial"/>
                <w:color w:val="FF0000"/>
                <w:sz w:val="21"/>
                <w:szCs w:val="21"/>
              </w:rPr>
            </w:pPr>
          </w:p>
        </w:tc>
        <w:tc>
          <w:tcPr>
            <w:tcW w:w="217" w:type="dxa"/>
          </w:tcPr>
          <w:p w14:paraId="6E24D0BB" w14:textId="77777777" w:rsidR="002C0FD9" w:rsidRPr="00CA25CF" w:rsidRDefault="002C0FD9" w:rsidP="00CA25CF">
            <w:pPr>
              <w:rPr>
                <w:rFonts w:cs="Arial"/>
                <w:color w:val="FF0000"/>
                <w:sz w:val="21"/>
                <w:szCs w:val="21"/>
              </w:rPr>
            </w:pPr>
          </w:p>
        </w:tc>
        <w:tc>
          <w:tcPr>
            <w:tcW w:w="217" w:type="dxa"/>
          </w:tcPr>
          <w:p w14:paraId="15689B4F" w14:textId="77777777" w:rsidR="002C0FD9" w:rsidRPr="00CA25CF" w:rsidRDefault="002C0FD9" w:rsidP="00CA25CF">
            <w:pPr>
              <w:rPr>
                <w:rFonts w:cs="Arial"/>
                <w:color w:val="FF0000"/>
                <w:sz w:val="21"/>
                <w:szCs w:val="21"/>
              </w:rPr>
            </w:pPr>
          </w:p>
        </w:tc>
        <w:tc>
          <w:tcPr>
            <w:tcW w:w="217" w:type="dxa"/>
          </w:tcPr>
          <w:p w14:paraId="691AE576" w14:textId="77777777" w:rsidR="002C0FD9" w:rsidRPr="00CA25CF" w:rsidRDefault="002C0FD9" w:rsidP="00CA25CF">
            <w:pPr>
              <w:rPr>
                <w:rFonts w:cs="Arial"/>
                <w:color w:val="FF0000"/>
                <w:sz w:val="21"/>
                <w:szCs w:val="21"/>
              </w:rPr>
            </w:pPr>
          </w:p>
        </w:tc>
        <w:tc>
          <w:tcPr>
            <w:tcW w:w="217" w:type="dxa"/>
          </w:tcPr>
          <w:p w14:paraId="47E1CFCF" w14:textId="77777777" w:rsidR="002C0FD9" w:rsidRPr="00CA25CF" w:rsidRDefault="002C0FD9" w:rsidP="00CA25CF">
            <w:pPr>
              <w:rPr>
                <w:rFonts w:cs="Arial"/>
                <w:color w:val="FF0000"/>
                <w:sz w:val="21"/>
                <w:szCs w:val="21"/>
              </w:rPr>
            </w:pPr>
          </w:p>
        </w:tc>
        <w:tc>
          <w:tcPr>
            <w:tcW w:w="217" w:type="dxa"/>
          </w:tcPr>
          <w:p w14:paraId="3CEE2046" w14:textId="77777777" w:rsidR="002C0FD9" w:rsidRPr="00CA25CF" w:rsidRDefault="002C0FD9" w:rsidP="00CA25CF">
            <w:pPr>
              <w:rPr>
                <w:rFonts w:cs="Arial"/>
                <w:color w:val="FF0000"/>
                <w:sz w:val="21"/>
                <w:szCs w:val="21"/>
              </w:rPr>
            </w:pPr>
          </w:p>
        </w:tc>
        <w:tc>
          <w:tcPr>
            <w:tcW w:w="217" w:type="dxa"/>
          </w:tcPr>
          <w:p w14:paraId="165902BC" w14:textId="77777777" w:rsidR="002C0FD9" w:rsidRPr="00CA25CF" w:rsidRDefault="002C0FD9" w:rsidP="00CA25CF">
            <w:pPr>
              <w:rPr>
                <w:rFonts w:cs="Arial"/>
                <w:color w:val="FF0000"/>
                <w:sz w:val="21"/>
                <w:szCs w:val="21"/>
              </w:rPr>
            </w:pPr>
          </w:p>
        </w:tc>
        <w:tc>
          <w:tcPr>
            <w:tcW w:w="217" w:type="dxa"/>
          </w:tcPr>
          <w:p w14:paraId="6FCAAFF3" w14:textId="77777777" w:rsidR="002C0FD9" w:rsidRPr="00CA25CF" w:rsidRDefault="002C0FD9" w:rsidP="00CA25CF">
            <w:pPr>
              <w:rPr>
                <w:rFonts w:cs="Arial"/>
                <w:color w:val="FF0000"/>
                <w:sz w:val="21"/>
                <w:szCs w:val="21"/>
              </w:rPr>
            </w:pPr>
          </w:p>
        </w:tc>
        <w:tc>
          <w:tcPr>
            <w:tcW w:w="217" w:type="dxa"/>
          </w:tcPr>
          <w:p w14:paraId="4DCCEC52" w14:textId="77777777" w:rsidR="002C0FD9" w:rsidRPr="00CA25CF" w:rsidRDefault="002C0FD9" w:rsidP="00CA25CF">
            <w:pPr>
              <w:rPr>
                <w:rFonts w:cs="Arial"/>
                <w:color w:val="FF0000"/>
                <w:sz w:val="21"/>
                <w:szCs w:val="21"/>
              </w:rPr>
            </w:pPr>
          </w:p>
        </w:tc>
        <w:tc>
          <w:tcPr>
            <w:tcW w:w="217" w:type="dxa"/>
          </w:tcPr>
          <w:p w14:paraId="4992E6F9" w14:textId="77777777" w:rsidR="002C0FD9" w:rsidRPr="00CA25CF" w:rsidRDefault="002C0FD9" w:rsidP="00CA25CF">
            <w:pPr>
              <w:rPr>
                <w:rFonts w:cs="Arial"/>
                <w:color w:val="FF0000"/>
                <w:sz w:val="21"/>
                <w:szCs w:val="21"/>
              </w:rPr>
            </w:pPr>
          </w:p>
        </w:tc>
        <w:tc>
          <w:tcPr>
            <w:tcW w:w="217" w:type="dxa"/>
          </w:tcPr>
          <w:p w14:paraId="23B3A87D" w14:textId="77777777" w:rsidR="002C0FD9" w:rsidRPr="00CA25CF" w:rsidRDefault="002C0FD9" w:rsidP="00CA25CF">
            <w:pPr>
              <w:rPr>
                <w:rFonts w:cs="Arial"/>
                <w:color w:val="FF0000"/>
                <w:sz w:val="21"/>
                <w:szCs w:val="21"/>
              </w:rPr>
            </w:pPr>
          </w:p>
        </w:tc>
        <w:tc>
          <w:tcPr>
            <w:tcW w:w="217" w:type="dxa"/>
          </w:tcPr>
          <w:p w14:paraId="3E538892" w14:textId="77777777" w:rsidR="002C0FD9" w:rsidRPr="00CA25CF" w:rsidRDefault="002C0FD9" w:rsidP="00CA25CF">
            <w:pPr>
              <w:rPr>
                <w:rFonts w:cs="Arial"/>
                <w:color w:val="FF0000"/>
                <w:sz w:val="21"/>
                <w:szCs w:val="21"/>
              </w:rPr>
            </w:pPr>
          </w:p>
        </w:tc>
        <w:tc>
          <w:tcPr>
            <w:tcW w:w="217" w:type="dxa"/>
          </w:tcPr>
          <w:p w14:paraId="25AB159E" w14:textId="77777777" w:rsidR="002C0FD9" w:rsidRPr="00CA25CF" w:rsidRDefault="002C0FD9" w:rsidP="00CA25CF">
            <w:pPr>
              <w:rPr>
                <w:rFonts w:cs="Arial"/>
                <w:color w:val="FF0000"/>
                <w:sz w:val="21"/>
                <w:szCs w:val="21"/>
              </w:rPr>
            </w:pPr>
          </w:p>
        </w:tc>
        <w:tc>
          <w:tcPr>
            <w:tcW w:w="217" w:type="dxa"/>
          </w:tcPr>
          <w:p w14:paraId="2F691A4D" w14:textId="77777777" w:rsidR="002C0FD9" w:rsidRPr="00CA25CF" w:rsidRDefault="002C0FD9" w:rsidP="00CA25CF">
            <w:pPr>
              <w:rPr>
                <w:rFonts w:cs="Arial"/>
                <w:color w:val="FF0000"/>
                <w:sz w:val="21"/>
                <w:szCs w:val="21"/>
              </w:rPr>
            </w:pPr>
          </w:p>
        </w:tc>
        <w:tc>
          <w:tcPr>
            <w:tcW w:w="217" w:type="dxa"/>
          </w:tcPr>
          <w:p w14:paraId="6E22D5E2" w14:textId="77777777" w:rsidR="002C0FD9" w:rsidRPr="00CA25CF" w:rsidRDefault="002C0FD9" w:rsidP="00CA25CF">
            <w:pPr>
              <w:rPr>
                <w:rFonts w:cs="Arial"/>
                <w:color w:val="FF0000"/>
                <w:sz w:val="21"/>
                <w:szCs w:val="21"/>
              </w:rPr>
            </w:pPr>
          </w:p>
        </w:tc>
        <w:tc>
          <w:tcPr>
            <w:tcW w:w="217" w:type="dxa"/>
          </w:tcPr>
          <w:p w14:paraId="49743E1B" w14:textId="77777777" w:rsidR="002C0FD9" w:rsidRPr="00CA25CF" w:rsidRDefault="002C0FD9" w:rsidP="00CA25CF">
            <w:pPr>
              <w:rPr>
                <w:rFonts w:cs="Arial"/>
                <w:color w:val="FF0000"/>
                <w:sz w:val="21"/>
                <w:szCs w:val="21"/>
              </w:rPr>
            </w:pPr>
          </w:p>
        </w:tc>
        <w:tc>
          <w:tcPr>
            <w:tcW w:w="217" w:type="dxa"/>
          </w:tcPr>
          <w:p w14:paraId="0B7F6728" w14:textId="77777777" w:rsidR="002C0FD9" w:rsidRPr="00CA25CF" w:rsidRDefault="002C0FD9" w:rsidP="00CA25CF">
            <w:pPr>
              <w:rPr>
                <w:rFonts w:cs="Arial"/>
                <w:color w:val="FF0000"/>
                <w:sz w:val="21"/>
                <w:szCs w:val="21"/>
              </w:rPr>
            </w:pPr>
          </w:p>
        </w:tc>
        <w:tc>
          <w:tcPr>
            <w:tcW w:w="217" w:type="dxa"/>
          </w:tcPr>
          <w:p w14:paraId="31A518BD" w14:textId="77777777" w:rsidR="002C0FD9" w:rsidRPr="00CA25CF" w:rsidRDefault="002C0FD9" w:rsidP="00CA25CF">
            <w:pPr>
              <w:rPr>
                <w:rFonts w:cs="Arial"/>
                <w:color w:val="FF0000"/>
                <w:sz w:val="21"/>
                <w:szCs w:val="21"/>
              </w:rPr>
            </w:pPr>
          </w:p>
        </w:tc>
        <w:tc>
          <w:tcPr>
            <w:tcW w:w="217" w:type="dxa"/>
          </w:tcPr>
          <w:p w14:paraId="25B2CEC6" w14:textId="77777777" w:rsidR="002C0FD9" w:rsidRPr="00CA25CF" w:rsidRDefault="002C0FD9" w:rsidP="00CA25CF">
            <w:pPr>
              <w:rPr>
                <w:rFonts w:cs="Arial"/>
                <w:color w:val="FF0000"/>
                <w:sz w:val="21"/>
                <w:szCs w:val="21"/>
              </w:rPr>
            </w:pPr>
          </w:p>
        </w:tc>
        <w:tc>
          <w:tcPr>
            <w:tcW w:w="217" w:type="dxa"/>
          </w:tcPr>
          <w:p w14:paraId="57B339AD" w14:textId="77777777" w:rsidR="002C0FD9" w:rsidRPr="00CA25CF" w:rsidRDefault="002C0FD9" w:rsidP="00CA25CF">
            <w:pPr>
              <w:rPr>
                <w:rFonts w:cs="Arial"/>
                <w:color w:val="FF0000"/>
                <w:sz w:val="21"/>
                <w:szCs w:val="21"/>
              </w:rPr>
            </w:pPr>
          </w:p>
        </w:tc>
        <w:tc>
          <w:tcPr>
            <w:tcW w:w="217" w:type="dxa"/>
          </w:tcPr>
          <w:p w14:paraId="11B88116" w14:textId="77777777" w:rsidR="002C0FD9" w:rsidRPr="00CA25CF" w:rsidRDefault="002C0FD9" w:rsidP="00CA25CF">
            <w:pPr>
              <w:rPr>
                <w:rFonts w:cs="Arial"/>
                <w:color w:val="FF0000"/>
                <w:sz w:val="21"/>
                <w:szCs w:val="21"/>
              </w:rPr>
            </w:pPr>
          </w:p>
        </w:tc>
        <w:tc>
          <w:tcPr>
            <w:tcW w:w="217" w:type="dxa"/>
          </w:tcPr>
          <w:p w14:paraId="6E3CD74C" w14:textId="77777777" w:rsidR="002C0FD9" w:rsidRPr="00CA25CF" w:rsidRDefault="002C0FD9" w:rsidP="00CA25CF">
            <w:pPr>
              <w:rPr>
                <w:rFonts w:cs="Arial"/>
                <w:color w:val="FF0000"/>
                <w:sz w:val="21"/>
                <w:szCs w:val="21"/>
              </w:rPr>
            </w:pPr>
          </w:p>
        </w:tc>
        <w:tc>
          <w:tcPr>
            <w:tcW w:w="217" w:type="dxa"/>
          </w:tcPr>
          <w:p w14:paraId="2F1C6231" w14:textId="77777777" w:rsidR="002C0FD9" w:rsidRPr="00CA25CF" w:rsidRDefault="002C0FD9" w:rsidP="00CA25CF">
            <w:pPr>
              <w:rPr>
                <w:rFonts w:cs="Arial"/>
                <w:color w:val="FF0000"/>
                <w:sz w:val="21"/>
                <w:szCs w:val="21"/>
              </w:rPr>
            </w:pPr>
          </w:p>
        </w:tc>
        <w:tc>
          <w:tcPr>
            <w:tcW w:w="217" w:type="dxa"/>
          </w:tcPr>
          <w:p w14:paraId="6EEFB4B6" w14:textId="77777777" w:rsidR="002C0FD9" w:rsidRPr="00CA25CF" w:rsidRDefault="002C0FD9" w:rsidP="00CA25CF">
            <w:pPr>
              <w:rPr>
                <w:rFonts w:cs="Arial"/>
                <w:color w:val="FF0000"/>
                <w:sz w:val="21"/>
                <w:szCs w:val="21"/>
              </w:rPr>
            </w:pPr>
          </w:p>
        </w:tc>
        <w:tc>
          <w:tcPr>
            <w:tcW w:w="217" w:type="dxa"/>
          </w:tcPr>
          <w:p w14:paraId="7CF48BD2" w14:textId="77777777" w:rsidR="002C0FD9" w:rsidRPr="00CA25CF" w:rsidRDefault="002C0FD9" w:rsidP="00CA25CF">
            <w:pPr>
              <w:rPr>
                <w:rFonts w:cs="Arial"/>
                <w:color w:val="FF0000"/>
                <w:sz w:val="21"/>
                <w:szCs w:val="21"/>
              </w:rPr>
            </w:pPr>
          </w:p>
        </w:tc>
        <w:tc>
          <w:tcPr>
            <w:tcW w:w="217" w:type="dxa"/>
          </w:tcPr>
          <w:p w14:paraId="4CA4F219" w14:textId="77777777" w:rsidR="002C0FD9" w:rsidRPr="00CA25CF" w:rsidRDefault="002C0FD9" w:rsidP="00CA25CF">
            <w:pPr>
              <w:rPr>
                <w:rFonts w:cs="Arial"/>
                <w:color w:val="FF0000"/>
                <w:sz w:val="21"/>
                <w:szCs w:val="21"/>
              </w:rPr>
            </w:pPr>
          </w:p>
        </w:tc>
        <w:tc>
          <w:tcPr>
            <w:tcW w:w="217" w:type="dxa"/>
          </w:tcPr>
          <w:p w14:paraId="6EE877D4" w14:textId="77777777" w:rsidR="002C0FD9" w:rsidRPr="00CA25CF" w:rsidRDefault="002C0FD9" w:rsidP="00CA25CF">
            <w:pPr>
              <w:rPr>
                <w:rFonts w:cs="Arial"/>
                <w:color w:val="FF0000"/>
                <w:sz w:val="21"/>
                <w:szCs w:val="21"/>
              </w:rPr>
            </w:pPr>
          </w:p>
        </w:tc>
        <w:tc>
          <w:tcPr>
            <w:tcW w:w="217" w:type="dxa"/>
          </w:tcPr>
          <w:p w14:paraId="6749FC8B" w14:textId="77777777" w:rsidR="002C0FD9" w:rsidRPr="00CA25CF" w:rsidRDefault="002C0FD9" w:rsidP="00CA25CF">
            <w:pPr>
              <w:rPr>
                <w:rFonts w:cs="Arial"/>
                <w:color w:val="FF0000"/>
                <w:sz w:val="21"/>
                <w:szCs w:val="21"/>
              </w:rPr>
            </w:pPr>
          </w:p>
        </w:tc>
        <w:tc>
          <w:tcPr>
            <w:tcW w:w="217" w:type="dxa"/>
          </w:tcPr>
          <w:p w14:paraId="1C6A5C5B" w14:textId="77777777" w:rsidR="002C0FD9" w:rsidRPr="00CA25CF" w:rsidRDefault="002C0FD9" w:rsidP="00CA25CF">
            <w:pPr>
              <w:rPr>
                <w:rFonts w:cs="Arial"/>
                <w:color w:val="FF0000"/>
                <w:sz w:val="21"/>
                <w:szCs w:val="21"/>
              </w:rPr>
            </w:pPr>
          </w:p>
        </w:tc>
      </w:tr>
      <w:tr w:rsidR="002C0FD9" w:rsidRPr="00A16219" w14:paraId="7FF8BAC0" w14:textId="77777777" w:rsidTr="002C0FD9">
        <w:trPr>
          <w:trHeight w:val="635"/>
        </w:trPr>
        <w:tc>
          <w:tcPr>
            <w:tcW w:w="515" w:type="dxa"/>
          </w:tcPr>
          <w:p w14:paraId="5757A2C2" w14:textId="77777777" w:rsidR="002C0FD9" w:rsidRPr="00CA25CF" w:rsidRDefault="002C0FD9" w:rsidP="00CA25CF">
            <w:pPr>
              <w:rPr>
                <w:rFonts w:cs="Arial"/>
                <w:color w:val="FF0000"/>
                <w:sz w:val="21"/>
                <w:szCs w:val="21"/>
              </w:rPr>
            </w:pPr>
          </w:p>
        </w:tc>
        <w:tc>
          <w:tcPr>
            <w:tcW w:w="217" w:type="dxa"/>
          </w:tcPr>
          <w:p w14:paraId="580BCB56" w14:textId="77777777" w:rsidR="002C0FD9" w:rsidRPr="00CA25CF" w:rsidRDefault="002C0FD9" w:rsidP="00CA25CF">
            <w:pPr>
              <w:rPr>
                <w:rFonts w:cs="Arial"/>
                <w:color w:val="FF0000"/>
                <w:sz w:val="21"/>
                <w:szCs w:val="21"/>
              </w:rPr>
            </w:pPr>
          </w:p>
        </w:tc>
        <w:tc>
          <w:tcPr>
            <w:tcW w:w="217" w:type="dxa"/>
          </w:tcPr>
          <w:p w14:paraId="57847A6F" w14:textId="77777777" w:rsidR="002C0FD9" w:rsidRPr="00CA25CF" w:rsidRDefault="002C0FD9" w:rsidP="00CA25CF">
            <w:pPr>
              <w:rPr>
                <w:rFonts w:cs="Arial"/>
                <w:color w:val="FF0000"/>
                <w:sz w:val="21"/>
                <w:szCs w:val="21"/>
              </w:rPr>
            </w:pPr>
          </w:p>
        </w:tc>
        <w:tc>
          <w:tcPr>
            <w:tcW w:w="217" w:type="dxa"/>
          </w:tcPr>
          <w:p w14:paraId="1059C626" w14:textId="77777777" w:rsidR="002C0FD9" w:rsidRPr="00CA25CF" w:rsidRDefault="002C0FD9" w:rsidP="00CA25CF">
            <w:pPr>
              <w:rPr>
                <w:rFonts w:cs="Arial"/>
                <w:color w:val="FF0000"/>
                <w:sz w:val="21"/>
                <w:szCs w:val="21"/>
              </w:rPr>
            </w:pPr>
          </w:p>
        </w:tc>
        <w:tc>
          <w:tcPr>
            <w:tcW w:w="217" w:type="dxa"/>
          </w:tcPr>
          <w:p w14:paraId="5F1360C4" w14:textId="77777777" w:rsidR="002C0FD9" w:rsidRPr="00CA25CF" w:rsidRDefault="002C0FD9" w:rsidP="00CA25CF">
            <w:pPr>
              <w:rPr>
                <w:rFonts w:cs="Arial"/>
                <w:color w:val="FF0000"/>
                <w:sz w:val="21"/>
                <w:szCs w:val="21"/>
              </w:rPr>
            </w:pPr>
          </w:p>
        </w:tc>
        <w:tc>
          <w:tcPr>
            <w:tcW w:w="217" w:type="dxa"/>
          </w:tcPr>
          <w:p w14:paraId="05742B8E" w14:textId="77777777" w:rsidR="002C0FD9" w:rsidRPr="00CA25CF" w:rsidRDefault="002C0FD9" w:rsidP="00CA25CF">
            <w:pPr>
              <w:rPr>
                <w:rFonts w:cs="Arial"/>
                <w:color w:val="FF0000"/>
                <w:sz w:val="21"/>
                <w:szCs w:val="21"/>
              </w:rPr>
            </w:pPr>
          </w:p>
        </w:tc>
        <w:tc>
          <w:tcPr>
            <w:tcW w:w="217" w:type="dxa"/>
          </w:tcPr>
          <w:p w14:paraId="54B78CB9" w14:textId="77777777" w:rsidR="002C0FD9" w:rsidRPr="00CA25CF" w:rsidRDefault="002C0FD9" w:rsidP="00CA25CF">
            <w:pPr>
              <w:rPr>
                <w:rFonts w:cs="Arial"/>
                <w:color w:val="FF0000"/>
                <w:sz w:val="21"/>
                <w:szCs w:val="21"/>
              </w:rPr>
            </w:pPr>
          </w:p>
        </w:tc>
        <w:tc>
          <w:tcPr>
            <w:tcW w:w="217" w:type="dxa"/>
          </w:tcPr>
          <w:p w14:paraId="209E8082" w14:textId="77777777" w:rsidR="002C0FD9" w:rsidRPr="00CA25CF" w:rsidRDefault="002C0FD9" w:rsidP="00CA25CF">
            <w:pPr>
              <w:rPr>
                <w:rFonts w:cs="Arial"/>
                <w:color w:val="FF0000"/>
                <w:sz w:val="21"/>
                <w:szCs w:val="21"/>
              </w:rPr>
            </w:pPr>
          </w:p>
        </w:tc>
        <w:tc>
          <w:tcPr>
            <w:tcW w:w="217" w:type="dxa"/>
          </w:tcPr>
          <w:p w14:paraId="7BB4B2E5" w14:textId="77777777" w:rsidR="002C0FD9" w:rsidRPr="00CA25CF" w:rsidRDefault="002C0FD9" w:rsidP="00CA25CF">
            <w:pPr>
              <w:rPr>
                <w:rFonts w:cs="Arial"/>
                <w:color w:val="FF0000"/>
                <w:sz w:val="21"/>
                <w:szCs w:val="21"/>
              </w:rPr>
            </w:pPr>
          </w:p>
        </w:tc>
        <w:tc>
          <w:tcPr>
            <w:tcW w:w="217" w:type="dxa"/>
          </w:tcPr>
          <w:p w14:paraId="5E3FF9D2" w14:textId="77777777" w:rsidR="002C0FD9" w:rsidRPr="00CA25CF" w:rsidRDefault="002C0FD9" w:rsidP="00CA25CF">
            <w:pPr>
              <w:rPr>
                <w:rFonts w:cs="Arial"/>
                <w:color w:val="FF0000"/>
                <w:sz w:val="21"/>
                <w:szCs w:val="21"/>
              </w:rPr>
            </w:pPr>
          </w:p>
        </w:tc>
        <w:tc>
          <w:tcPr>
            <w:tcW w:w="217" w:type="dxa"/>
          </w:tcPr>
          <w:p w14:paraId="575FC614" w14:textId="77777777" w:rsidR="002C0FD9" w:rsidRPr="00CA25CF" w:rsidRDefault="002C0FD9" w:rsidP="00CA25CF">
            <w:pPr>
              <w:rPr>
                <w:rFonts w:cs="Arial"/>
                <w:color w:val="FF0000"/>
                <w:sz w:val="21"/>
                <w:szCs w:val="21"/>
              </w:rPr>
            </w:pPr>
          </w:p>
        </w:tc>
        <w:tc>
          <w:tcPr>
            <w:tcW w:w="217" w:type="dxa"/>
          </w:tcPr>
          <w:p w14:paraId="103ED079" w14:textId="77777777" w:rsidR="002C0FD9" w:rsidRPr="00CA25CF" w:rsidRDefault="002C0FD9" w:rsidP="00CA25CF">
            <w:pPr>
              <w:rPr>
                <w:rFonts w:cs="Arial"/>
                <w:color w:val="FF0000"/>
                <w:sz w:val="21"/>
                <w:szCs w:val="21"/>
              </w:rPr>
            </w:pPr>
          </w:p>
        </w:tc>
        <w:tc>
          <w:tcPr>
            <w:tcW w:w="217" w:type="dxa"/>
          </w:tcPr>
          <w:p w14:paraId="54D07850" w14:textId="77777777" w:rsidR="002C0FD9" w:rsidRPr="00CA25CF" w:rsidRDefault="002C0FD9" w:rsidP="00CA25CF">
            <w:pPr>
              <w:rPr>
                <w:rFonts w:cs="Arial"/>
                <w:color w:val="FF0000"/>
                <w:sz w:val="21"/>
                <w:szCs w:val="21"/>
              </w:rPr>
            </w:pPr>
          </w:p>
        </w:tc>
        <w:tc>
          <w:tcPr>
            <w:tcW w:w="217" w:type="dxa"/>
          </w:tcPr>
          <w:p w14:paraId="5CA48468" w14:textId="77777777" w:rsidR="002C0FD9" w:rsidRPr="00CA25CF" w:rsidRDefault="002C0FD9" w:rsidP="00CA25CF">
            <w:pPr>
              <w:rPr>
                <w:rFonts w:cs="Arial"/>
                <w:color w:val="FF0000"/>
                <w:sz w:val="21"/>
                <w:szCs w:val="21"/>
              </w:rPr>
            </w:pPr>
          </w:p>
        </w:tc>
        <w:tc>
          <w:tcPr>
            <w:tcW w:w="217" w:type="dxa"/>
          </w:tcPr>
          <w:p w14:paraId="2E78607A" w14:textId="77777777" w:rsidR="002C0FD9" w:rsidRPr="00CA25CF" w:rsidRDefault="002C0FD9" w:rsidP="00CA25CF">
            <w:pPr>
              <w:rPr>
                <w:rFonts w:cs="Arial"/>
                <w:color w:val="FF0000"/>
                <w:sz w:val="21"/>
                <w:szCs w:val="21"/>
              </w:rPr>
            </w:pPr>
          </w:p>
        </w:tc>
        <w:tc>
          <w:tcPr>
            <w:tcW w:w="217" w:type="dxa"/>
          </w:tcPr>
          <w:p w14:paraId="5B19E1DD" w14:textId="77777777" w:rsidR="002C0FD9" w:rsidRPr="00CA25CF" w:rsidRDefault="002C0FD9" w:rsidP="00CA25CF">
            <w:pPr>
              <w:rPr>
                <w:rFonts w:cs="Arial"/>
                <w:color w:val="FF0000"/>
                <w:sz w:val="21"/>
                <w:szCs w:val="21"/>
              </w:rPr>
            </w:pPr>
          </w:p>
        </w:tc>
        <w:tc>
          <w:tcPr>
            <w:tcW w:w="217" w:type="dxa"/>
          </w:tcPr>
          <w:p w14:paraId="0AFAC84F" w14:textId="77777777" w:rsidR="002C0FD9" w:rsidRPr="00CA25CF" w:rsidRDefault="002C0FD9" w:rsidP="00CA25CF">
            <w:pPr>
              <w:rPr>
                <w:rFonts w:cs="Arial"/>
                <w:color w:val="FF0000"/>
                <w:sz w:val="21"/>
                <w:szCs w:val="21"/>
              </w:rPr>
            </w:pPr>
          </w:p>
        </w:tc>
        <w:tc>
          <w:tcPr>
            <w:tcW w:w="217" w:type="dxa"/>
          </w:tcPr>
          <w:p w14:paraId="51E33D30" w14:textId="77777777" w:rsidR="002C0FD9" w:rsidRPr="00CA25CF" w:rsidRDefault="002C0FD9" w:rsidP="00CA25CF">
            <w:pPr>
              <w:rPr>
                <w:rFonts w:cs="Arial"/>
                <w:color w:val="FF0000"/>
                <w:sz w:val="21"/>
                <w:szCs w:val="21"/>
              </w:rPr>
            </w:pPr>
          </w:p>
        </w:tc>
        <w:tc>
          <w:tcPr>
            <w:tcW w:w="217" w:type="dxa"/>
          </w:tcPr>
          <w:p w14:paraId="15AF4703" w14:textId="77777777" w:rsidR="002C0FD9" w:rsidRPr="00CA25CF" w:rsidRDefault="002C0FD9" w:rsidP="00CA25CF">
            <w:pPr>
              <w:rPr>
                <w:rFonts w:cs="Arial"/>
                <w:color w:val="FF0000"/>
                <w:sz w:val="21"/>
                <w:szCs w:val="21"/>
              </w:rPr>
            </w:pPr>
          </w:p>
        </w:tc>
        <w:tc>
          <w:tcPr>
            <w:tcW w:w="217" w:type="dxa"/>
          </w:tcPr>
          <w:p w14:paraId="0043F923" w14:textId="77777777" w:rsidR="002C0FD9" w:rsidRPr="00CA25CF" w:rsidRDefault="002C0FD9" w:rsidP="00CA25CF">
            <w:pPr>
              <w:rPr>
                <w:rFonts w:cs="Arial"/>
                <w:color w:val="FF0000"/>
                <w:sz w:val="21"/>
                <w:szCs w:val="21"/>
              </w:rPr>
            </w:pPr>
          </w:p>
        </w:tc>
        <w:tc>
          <w:tcPr>
            <w:tcW w:w="217" w:type="dxa"/>
          </w:tcPr>
          <w:p w14:paraId="4AB96C49" w14:textId="77777777" w:rsidR="002C0FD9" w:rsidRPr="00CA25CF" w:rsidRDefault="002C0FD9" w:rsidP="00CA25CF">
            <w:pPr>
              <w:rPr>
                <w:rFonts w:cs="Arial"/>
                <w:color w:val="FF0000"/>
                <w:sz w:val="21"/>
                <w:szCs w:val="21"/>
              </w:rPr>
            </w:pPr>
          </w:p>
        </w:tc>
        <w:tc>
          <w:tcPr>
            <w:tcW w:w="217" w:type="dxa"/>
          </w:tcPr>
          <w:p w14:paraId="467C0BAE" w14:textId="77777777" w:rsidR="002C0FD9" w:rsidRPr="00CA25CF" w:rsidRDefault="002C0FD9" w:rsidP="00CA25CF">
            <w:pPr>
              <w:rPr>
                <w:rFonts w:cs="Arial"/>
                <w:color w:val="FF0000"/>
                <w:sz w:val="21"/>
                <w:szCs w:val="21"/>
              </w:rPr>
            </w:pPr>
          </w:p>
        </w:tc>
        <w:tc>
          <w:tcPr>
            <w:tcW w:w="217" w:type="dxa"/>
          </w:tcPr>
          <w:p w14:paraId="1FD8EE4D" w14:textId="77777777" w:rsidR="002C0FD9" w:rsidRPr="00CA25CF" w:rsidRDefault="002C0FD9" w:rsidP="00CA25CF">
            <w:pPr>
              <w:rPr>
                <w:rFonts w:cs="Arial"/>
                <w:color w:val="FF0000"/>
                <w:sz w:val="21"/>
                <w:szCs w:val="21"/>
              </w:rPr>
            </w:pPr>
          </w:p>
        </w:tc>
        <w:tc>
          <w:tcPr>
            <w:tcW w:w="217" w:type="dxa"/>
          </w:tcPr>
          <w:p w14:paraId="603ABC83" w14:textId="77777777" w:rsidR="002C0FD9" w:rsidRPr="00CA25CF" w:rsidRDefault="002C0FD9" w:rsidP="00CA25CF">
            <w:pPr>
              <w:rPr>
                <w:rFonts w:cs="Arial"/>
                <w:color w:val="FF0000"/>
                <w:sz w:val="21"/>
                <w:szCs w:val="21"/>
              </w:rPr>
            </w:pPr>
          </w:p>
        </w:tc>
        <w:tc>
          <w:tcPr>
            <w:tcW w:w="217" w:type="dxa"/>
          </w:tcPr>
          <w:p w14:paraId="485EE4CD" w14:textId="77777777" w:rsidR="002C0FD9" w:rsidRPr="00CA25CF" w:rsidRDefault="002C0FD9" w:rsidP="00CA25CF">
            <w:pPr>
              <w:rPr>
                <w:rFonts w:cs="Arial"/>
                <w:color w:val="FF0000"/>
                <w:sz w:val="21"/>
                <w:szCs w:val="21"/>
              </w:rPr>
            </w:pPr>
          </w:p>
        </w:tc>
        <w:tc>
          <w:tcPr>
            <w:tcW w:w="217" w:type="dxa"/>
          </w:tcPr>
          <w:p w14:paraId="7B7C65EF" w14:textId="77777777" w:rsidR="002C0FD9" w:rsidRPr="00CA25CF" w:rsidRDefault="002C0FD9" w:rsidP="00CA25CF">
            <w:pPr>
              <w:rPr>
                <w:rFonts w:cs="Arial"/>
                <w:color w:val="FF0000"/>
                <w:sz w:val="21"/>
                <w:szCs w:val="21"/>
              </w:rPr>
            </w:pPr>
          </w:p>
        </w:tc>
        <w:tc>
          <w:tcPr>
            <w:tcW w:w="217" w:type="dxa"/>
          </w:tcPr>
          <w:p w14:paraId="6E5F7D61" w14:textId="77777777" w:rsidR="002C0FD9" w:rsidRPr="00CA25CF" w:rsidRDefault="002C0FD9" w:rsidP="00CA25CF">
            <w:pPr>
              <w:rPr>
                <w:rFonts w:cs="Arial"/>
                <w:color w:val="FF0000"/>
                <w:sz w:val="21"/>
                <w:szCs w:val="21"/>
              </w:rPr>
            </w:pPr>
          </w:p>
        </w:tc>
        <w:tc>
          <w:tcPr>
            <w:tcW w:w="217" w:type="dxa"/>
          </w:tcPr>
          <w:p w14:paraId="6059E04E" w14:textId="77777777" w:rsidR="002C0FD9" w:rsidRPr="00CA25CF" w:rsidRDefault="002C0FD9" w:rsidP="00CA25CF">
            <w:pPr>
              <w:rPr>
                <w:rFonts w:cs="Arial"/>
                <w:color w:val="FF0000"/>
                <w:sz w:val="21"/>
                <w:szCs w:val="21"/>
              </w:rPr>
            </w:pPr>
          </w:p>
        </w:tc>
        <w:tc>
          <w:tcPr>
            <w:tcW w:w="217" w:type="dxa"/>
          </w:tcPr>
          <w:p w14:paraId="72FF0A17" w14:textId="77777777" w:rsidR="002C0FD9" w:rsidRPr="00CA25CF" w:rsidRDefault="002C0FD9" w:rsidP="00CA25CF">
            <w:pPr>
              <w:rPr>
                <w:rFonts w:cs="Arial"/>
                <w:color w:val="FF0000"/>
                <w:sz w:val="21"/>
                <w:szCs w:val="21"/>
              </w:rPr>
            </w:pPr>
          </w:p>
        </w:tc>
        <w:tc>
          <w:tcPr>
            <w:tcW w:w="217" w:type="dxa"/>
          </w:tcPr>
          <w:p w14:paraId="3D331AED" w14:textId="77777777" w:rsidR="002C0FD9" w:rsidRPr="00CA25CF" w:rsidRDefault="002C0FD9" w:rsidP="00CA25CF">
            <w:pPr>
              <w:rPr>
                <w:rFonts w:cs="Arial"/>
                <w:color w:val="FF0000"/>
                <w:sz w:val="21"/>
                <w:szCs w:val="21"/>
              </w:rPr>
            </w:pPr>
          </w:p>
        </w:tc>
        <w:tc>
          <w:tcPr>
            <w:tcW w:w="217" w:type="dxa"/>
          </w:tcPr>
          <w:p w14:paraId="6C9CD8A0" w14:textId="77777777" w:rsidR="002C0FD9" w:rsidRPr="00CA25CF" w:rsidRDefault="002C0FD9" w:rsidP="00CA25CF">
            <w:pPr>
              <w:rPr>
                <w:rFonts w:cs="Arial"/>
                <w:color w:val="FF0000"/>
                <w:sz w:val="21"/>
                <w:szCs w:val="21"/>
              </w:rPr>
            </w:pPr>
          </w:p>
        </w:tc>
        <w:tc>
          <w:tcPr>
            <w:tcW w:w="217" w:type="dxa"/>
          </w:tcPr>
          <w:p w14:paraId="582F6CDB" w14:textId="77777777" w:rsidR="002C0FD9" w:rsidRPr="00CA25CF" w:rsidRDefault="002C0FD9" w:rsidP="00CA25CF">
            <w:pPr>
              <w:rPr>
                <w:rFonts w:cs="Arial"/>
                <w:color w:val="FF0000"/>
                <w:sz w:val="21"/>
                <w:szCs w:val="21"/>
              </w:rPr>
            </w:pPr>
          </w:p>
        </w:tc>
        <w:tc>
          <w:tcPr>
            <w:tcW w:w="217" w:type="dxa"/>
          </w:tcPr>
          <w:p w14:paraId="2E6FFBA1" w14:textId="77777777" w:rsidR="002C0FD9" w:rsidRPr="00CA25CF" w:rsidRDefault="002C0FD9" w:rsidP="00CA25CF">
            <w:pPr>
              <w:rPr>
                <w:rFonts w:cs="Arial"/>
                <w:color w:val="FF0000"/>
                <w:sz w:val="21"/>
                <w:szCs w:val="21"/>
              </w:rPr>
            </w:pPr>
          </w:p>
        </w:tc>
        <w:tc>
          <w:tcPr>
            <w:tcW w:w="217" w:type="dxa"/>
          </w:tcPr>
          <w:p w14:paraId="191522D0" w14:textId="77777777" w:rsidR="002C0FD9" w:rsidRPr="00CA25CF" w:rsidRDefault="002C0FD9" w:rsidP="00CA25CF">
            <w:pPr>
              <w:rPr>
                <w:rFonts w:cs="Arial"/>
                <w:color w:val="FF0000"/>
                <w:sz w:val="21"/>
                <w:szCs w:val="21"/>
              </w:rPr>
            </w:pPr>
          </w:p>
        </w:tc>
        <w:tc>
          <w:tcPr>
            <w:tcW w:w="217" w:type="dxa"/>
          </w:tcPr>
          <w:p w14:paraId="5AE53870" w14:textId="77777777" w:rsidR="002C0FD9" w:rsidRPr="00CA25CF" w:rsidRDefault="002C0FD9" w:rsidP="00CA25CF">
            <w:pPr>
              <w:rPr>
                <w:rFonts w:cs="Arial"/>
                <w:color w:val="FF0000"/>
                <w:sz w:val="21"/>
                <w:szCs w:val="21"/>
              </w:rPr>
            </w:pPr>
          </w:p>
        </w:tc>
        <w:tc>
          <w:tcPr>
            <w:tcW w:w="217" w:type="dxa"/>
          </w:tcPr>
          <w:p w14:paraId="26B30757" w14:textId="77777777" w:rsidR="002C0FD9" w:rsidRPr="00CA25CF" w:rsidRDefault="002C0FD9" w:rsidP="00CA25CF">
            <w:pPr>
              <w:rPr>
                <w:rFonts w:cs="Arial"/>
                <w:color w:val="FF0000"/>
                <w:sz w:val="21"/>
                <w:szCs w:val="21"/>
              </w:rPr>
            </w:pPr>
          </w:p>
        </w:tc>
        <w:tc>
          <w:tcPr>
            <w:tcW w:w="217" w:type="dxa"/>
          </w:tcPr>
          <w:p w14:paraId="3D2D689A" w14:textId="77777777" w:rsidR="002C0FD9" w:rsidRPr="00CA25CF" w:rsidRDefault="002C0FD9" w:rsidP="00CA25CF">
            <w:pPr>
              <w:rPr>
                <w:rFonts w:cs="Arial"/>
                <w:color w:val="FF0000"/>
                <w:sz w:val="21"/>
                <w:szCs w:val="21"/>
              </w:rPr>
            </w:pPr>
          </w:p>
        </w:tc>
        <w:tc>
          <w:tcPr>
            <w:tcW w:w="217" w:type="dxa"/>
          </w:tcPr>
          <w:p w14:paraId="1212A72D" w14:textId="77777777" w:rsidR="002C0FD9" w:rsidRPr="00CA25CF" w:rsidRDefault="002C0FD9" w:rsidP="00CA25CF">
            <w:pPr>
              <w:rPr>
                <w:rFonts w:cs="Arial"/>
                <w:color w:val="FF0000"/>
                <w:sz w:val="21"/>
                <w:szCs w:val="21"/>
              </w:rPr>
            </w:pPr>
          </w:p>
        </w:tc>
        <w:tc>
          <w:tcPr>
            <w:tcW w:w="217" w:type="dxa"/>
          </w:tcPr>
          <w:p w14:paraId="70A42AE8" w14:textId="77777777" w:rsidR="002C0FD9" w:rsidRPr="00CA25CF" w:rsidRDefault="002C0FD9" w:rsidP="00CA25CF">
            <w:pPr>
              <w:rPr>
                <w:rFonts w:cs="Arial"/>
                <w:color w:val="FF0000"/>
                <w:sz w:val="21"/>
                <w:szCs w:val="21"/>
              </w:rPr>
            </w:pPr>
          </w:p>
        </w:tc>
        <w:tc>
          <w:tcPr>
            <w:tcW w:w="217" w:type="dxa"/>
          </w:tcPr>
          <w:p w14:paraId="650F0402" w14:textId="77777777" w:rsidR="002C0FD9" w:rsidRPr="00CA25CF" w:rsidRDefault="002C0FD9" w:rsidP="00CA25CF">
            <w:pPr>
              <w:rPr>
                <w:rFonts w:cs="Arial"/>
                <w:color w:val="FF0000"/>
                <w:sz w:val="21"/>
                <w:szCs w:val="21"/>
              </w:rPr>
            </w:pPr>
          </w:p>
        </w:tc>
        <w:tc>
          <w:tcPr>
            <w:tcW w:w="217" w:type="dxa"/>
          </w:tcPr>
          <w:p w14:paraId="0C19B8FD" w14:textId="77777777" w:rsidR="002C0FD9" w:rsidRPr="00CA25CF" w:rsidRDefault="002C0FD9" w:rsidP="00CA25CF">
            <w:pPr>
              <w:rPr>
                <w:rFonts w:cs="Arial"/>
                <w:color w:val="FF0000"/>
                <w:sz w:val="21"/>
                <w:szCs w:val="21"/>
              </w:rPr>
            </w:pPr>
          </w:p>
        </w:tc>
        <w:tc>
          <w:tcPr>
            <w:tcW w:w="217" w:type="dxa"/>
          </w:tcPr>
          <w:p w14:paraId="51DA89D7" w14:textId="77777777" w:rsidR="002C0FD9" w:rsidRPr="00CA25CF" w:rsidRDefault="002C0FD9" w:rsidP="00CA25CF">
            <w:pPr>
              <w:rPr>
                <w:rFonts w:cs="Arial"/>
                <w:color w:val="FF0000"/>
                <w:sz w:val="21"/>
                <w:szCs w:val="21"/>
              </w:rPr>
            </w:pPr>
          </w:p>
        </w:tc>
        <w:tc>
          <w:tcPr>
            <w:tcW w:w="217" w:type="dxa"/>
          </w:tcPr>
          <w:p w14:paraId="47E6E555" w14:textId="77777777" w:rsidR="002C0FD9" w:rsidRPr="00CA25CF" w:rsidRDefault="002C0FD9" w:rsidP="00CA25CF">
            <w:pPr>
              <w:rPr>
                <w:rFonts w:cs="Arial"/>
                <w:color w:val="FF0000"/>
                <w:sz w:val="21"/>
                <w:szCs w:val="21"/>
              </w:rPr>
            </w:pPr>
          </w:p>
        </w:tc>
      </w:tr>
      <w:tr w:rsidR="002C0FD9" w:rsidRPr="00A16219" w14:paraId="0A3E5420" w14:textId="77777777" w:rsidTr="002C0FD9">
        <w:trPr>
          <w:trHeight w:val="635"/>
        </w:trPr>
        <w:tc>
          <w:tcPr>
            <w:tcW w:w="515" w:type="dxa"/>
          </w:tcPr>
          <w:p w14:paraId="042165E5" w14:textId="77777777" w:rsidR="002C0FD9" w:rsidRPr="00CA25CF" w:rsidRDefault="002C0FD9" w:rsidP="00CA25CF">
            <w:pPr>
              <w:rPr>
                <w:rFonts w:cs="Arial"/>
                <w:color w:val="FF0000"/>
                <w:sz w:val="21"/>
                <w:szCs w:val="21"/>
              </w:rPr>
            </w:pPr>
          </w:p>
        </w:tc>
        <w:tc>
          <w:tcPr>
            <w:tcW w:w="217" w:type="dxa"/>
          </w:tcPr>
          <w:p w14:paraId="104EA556" w14:textId="77777777" w:rsidR="002C0FD9" w:rsidRPr="00CA25CF" w:rsidRDefault="002C0FD9" w:rsidP="00CA25CF">
            <w:pPr>
              <w:rPr>
                <w:rFonts w:cs="Arial"/>
                <w:color w:val="FF0000"/>
                <w:sz w:val="21"/>
                <w:szCs w:val="21"/>
              </w:rPr>
            </w:pPr>
          </w:p>
        </w:tc>
        <w:tc>
          <w:tcPr>
            <w:tcW w:w="217" w:type="dxa"/>
          </w:tcPr>
          <w:p w14:paraId="34298EFD" w14:textId="77777777" w:rsidR="002C0FD9" w:rsidRPr="00CA25CF" w:rsidRDefault="002C0FD9" w:rsidP="00CA25CF">
            <w:pPr>
              <w:rPr>
                <w:rFonts w:cs="Arial"/>
                <w:color w:val="FF0000"/>
                <w:sz w:val="21"/>
                <w:szCs w:val="21"/>
              </w:rPr>
            </w:pPr>
          </w:p>
        </w:tc>
        <w:tc>
          <w:tcPr>
            <w:tcW w:w="217" w:type="dxa"/>
          </w:tcPr>
          <w:p w14:paraId="395F42F9" w14:textId="77777777" w:rsidR="002C0FD9" w:rsidRPr="00CA25CF" w:rsidRDefault="002C0FD9" w:rsidP="00CA25CF">
            <w:pPr>
              <w:rPr>
                <w:rFonts w:cs="Arial"/>
                <w:color w:val="FF0000"/>
                <w:sz w:val="21"/>
                <w:szCs w:val="21"/>
              </w:rPr>
            </w:pPr>
          </w:p>
        </w:tc>
        <w:tc>
          <w:tcPr>
            <w:tcW w:w="217" w:type="dxa"/>
          </w:tcPr>
          <w:p w14:paraId="169913BD" w14:textId="77777777" w:rsidR="002C0FD9" w:rsidRPr="00CA25CF" w:rsidRDefault="002C0FD9" w:rsidP="00CA25CF">
            <w:pPr>
              <w:rPr>
                <w:rFonts w:cs="Arial"/>
                <w:color w:val="FF0000"/>
                <w:sz w:val="21"/>
                <w:szCs w:val="21"/>
              </w:rPr>
            </w:pPr>
          </w:p>
        </w:tc>
        <w:tc>
          <w:tcPr>
            <w:tcW w:w="217" w:type="dxa"/>
          </w:tcPr>
          <w:p w14:paraId="099705DE" w14:textId="77777777" w:rsidR="002C0FD9" w:rsidRPr="00CA25CF" w:rsidRDefault="002C0FD9" w:rsidP="00CA25CF">
            <w:pPr>
              <w:rPr>
                <w:rFonts w:cs="Arial"/>
                <w:color w:val="FF0000"/>
                <w:sz w:val="21"/>
                <w:szCs w:val="21"/>
              </w:rPr>
            </w:pPr>
          </w:p>
        </w:tc>
        <w:tc>
          <w:tcPr>
            <w:tcW w:w="217" w:type="dxa"/>
          </w:tcPr>
          <w:p w14:paraId="01C8BEB7" w14:textId="77777777" w:rsidR="002C0FD9" w:rsidRPr="00CA25CF" w:rsidRDefault="002C0FD9" w:rsidP="00CA25CF">
            <w:pPr>
              <w:rPr>
                <w:rFonts w:cs="Arial"/>
                <w:color w:val="FF0000"/>
                <w:sz w:val="21"/>
                <w:szCs w:val="21"/>
              </w:rPr>
            </w:pPr>
          </w:p>
        </w:tc>
        <w:tc>
          <w:tcPr>
            <w:tcW w:w="217" w:type="dxa"/>
          </w:tcPr>
          <w:p w14:paraId="0D491447" w14:textId="77777777" w:rsidR="002C0FD9" w:rsidRPr="00CA25CF" w:rsidRDefault="002C0FD9" w:rsidP="00CA25CF">
            <w:pPr>
              <w:rPr>
                <w:rFonts w:cs="Arial"/>
                <w:color w:val="FF0000"/>
                <w:sz w:val="21"/>
                <w:szCs w:val="21"/>
              </w:rPr>
            </w:pPr>
          </w:p>
        </w:tc>
        <w:tc>
          <w:tcPr>
            <w:tcW w:w="217" w:type="dxa"/>
          </w:tcPr>
          <w:p w14:paraId="479B9833" w14:textId="77777777" w:rsidR="002C0FD9" w:rsidRPr="00CA25CF" w:rsidRDefault="002C0FD9" w:rsidP="00CA25CF">
            <w:pPr>
              <w:rPr>
                <w:rFonts w:cs="Arial"/>
                <w:color w:val="FF0000"/>
                <w:sz w:val="21"/>
                <w:szCs w:val="21"/>
              </w:rPr>
            </w:pPr>
          </w:p>
        </w:tc>
        <w:tc>
          <w:tcPr>
            <w:tcW w:w="217" w:type="dxa"/>
          </w:tcPr>
          <w:p w14:paraId="372AB409" w14:textId="77777777" w:rsidR="002C0FD9" w:rsidRPr="00CA25CF" w:rsidRDefault="002C0FD9" w:rsidP="00CA25CF">
            <w:pPr>
              <w:rPr>
                <w:rFonts w:cs="Arial"/>
                <w:color w:val="FF0000"/>
                <w:sz w:val="21"/>
                <w:szCs w:val="21"/>
              </w:rPr>
            </w:pPr>
          </w:p>
        </w:tc>
        <w:tc>
          <w:tcPr>
            <w:tcW w:w="217" w:type="dxa"/>
          </w:tcPr>
          <w:p w14:paraId="7C498DD0" w14:textId="77777777" w:rsidR="002C0FD9" w:rsidRPr="00CA25CF" w:rsidRDefault="002C0FD9" w:rsidP="00CA25CF">
            <w:pPr>
              <w:rPr>
                <w:rFonts w:cs="Arial"/>
                <w:color w:val="FF0000"/>
                <w:sz w:val="21"/>
                <w:szCs w:val="21"/>
              </w:rPr>
            </w:pPr>
          </w:p>
        </w:tc>
        <w:tc>
          <w:tcPr>
            <w:tcW w:w="217" w:type="dxa"/>
          </w:tcPr>
          <w:p w14:paraId="2CD26EE2" w14:textId="77777777" w:rsidR="002C0FD9" w:rsidRPr="00CA25CF" w:rsidRDefault="002C0FD9" w:rsidP="00CA25CF">
            <w:pPr>
              <w:rPr>
                <w:rFonts w:cs="Arial"/>
                <w:color w:val="FF0000"/>
                <w:sz w:val="21"/>
                <w:szCs w:val="21"/>
              </w:rPr>
            </w:pPr>
          </w:p>
        </w:tc>
        <w:tc>
          <w:tcPr>
            <w:tcW w:w="217" w:type="dxa"/>
          </w:tcPr>
          <w:p w14:paraId="1FF4936B" w14:textId="77777777" w:rsidR="002C0FD9" w:rsidRPr="00CA25CF" w:rsidRDefault="002C0FD9" w:rsidP="00CA25CF">
            <w:pPr>
              <w:rPr>
                <w:rFonts w:cs="Arial"/>
                <w:color w:val="FF0000"/>
                <w:sz w:val="21"/>
                <w:szCs w:val="21"/>
              </w:rPr>
            </w:pPr>
          </w:p>
        </w:tc>
        <w:tc>
          <w:tcPr>
            <w:tcW w:w="217" w:type="dxa"/>
          </w:tcPr>
          <w:p w14:paraId="04C83602" w14:textId="77777777" w:rsidR="002C0FD9" w:rsidRPr="00CA25CF" w:rsidRDefault="002C0FD9" w:rsidP="00CA25CF">
            <w:pPr>
              <w:rPr>
                <w:rFonts w:cs="Arial"/>
                <w:color w:val="FF0000"/>
                <w:sz w:val="21"/>
                <w:szCs w:val="21"/>
              </w:rPr>
            </w:pPr>
          </w:p>
        </w:tc>
        <w:tc>
          <w:tcPr>
            <w:tcW w:w="217" w:type="dxa"/>
          </w:tcPr>
          <w:p w14:paraId="0FCC9ECE" w14:textId="77777777" w:rsidR="002C0FD9" w:rsidRPr="00CA25CF" w:rsidRDefault="002C0FD9" w:rsidP="00CA25CF">
            <w:pPr>
              <w:rPr>
                <w:rFonts w:cs="Arial"/>
                <w:color w:val="FF0000"/>
                <w:sz w:val="21"/>
                <w:szCs w:val="21"/>
              </w:rPr>
            </w:pPr>
          </w:p>
        </w:tc>
        <w:tc>
          <w:tcPr>
            <w:tcW w:w="217" w:type="dxa"/>
          </w:tcPr>
          <w:p w14:paraId="37F50187" w14:textId="77777777" w:rsidR="002C0FD9" w:rsidRPr="00CA25CF" w:rsidRDefault="002C0FD9" w:rsidP="00CA25CF">
            <w:pPr>
              <w:rPr>
                <w:rFonts w:cs="Arial"/>
                <w:color w:val="FF0000"/>
                <w:sz w:val="21"/>
                <w:szCs w:val="21"/>
              </w:rPr>
            </w:pPr>
          </w:p>
        </w:tc>
        <w:tc>
          <w:tcPr>
            <w:tcW w:w="217" w:type="dxa"/>
          </w:tcPr>
          <w:p w14:paraId="4D4876D4" w14:textId="77777777" w:rsidR="002C0FD9" w:rsidRPr="00CA25CF" w:rsidRDefault="002C0FD9" w:rsidP="00CA25CF">
            <w:pPr>
              <w:rPr>
                <w:rFonts w:cs="Arial"/>
                <w:color w:val="FF0000"/>
                <w:sz w:val="21"/>
                <w:szCs w:val="21"/>
              </w:rPr>
            </w:pPr>
          </w:p>
        </w:tc>
        <w:tc>
          <w:tcPr>
            <w:tcW w:w="217" w:type="dxa"/>
          </w:tcPr>
          <w:p w14:paraId="7003743C" w14:textId="77777777" w:rsidR="002C0FD9" w:rsidRPr="00CA25CF" w:rsidRDefault="002C0FD9" w:rsidP="00CA25CF">
            <w:pPr>
              <w:rPr>
                <w:rFonts w:cs="Arial"/>
                <w:color w:val="FF0000"/>
                <w:sz w:val="21"/>
                <w:szCs w:val="21"/>
              </w:rPr>
            </w:pPr>
          </w:p>
        </w:tc>
        <w:tc>
          <w:tcPr>
            <w:tcW w:w="217" w:type="dxa"/>
          </w:tcPr>
          <w:p w14:paraId="4F8F1E1A" w14:textId="77777777" w:rsidR="002C0FD9" w:rsidRPr="00CA25CF" w:rsidRDefault="002C0FD9" w:rsidP="00CA25CF">
            <w:pPr>
              <w:rPr>
                <w:rFonts w:cs="Arial"/>
                <w:color w:val="FF0000"/>
                <w:sz w:val="21"/>
                <w:szCs w:val="21"/>
              </w:rPr>
            </w:pPr>
          </w:p>
        </w:tc>
        <w:tc>
          <w:tcPr>
            <w:tcW w:w="217" w:type="dxa"/>
          </w:tcPr>
          <w:p w14:paraId="4082B279" w14:textId="77777777" w:rsidR="002C0FD9" w:rsidRPr="00CA25CF" w:rsidRDefault="002C0FD9" w:rsidP="00CA25CF">
            <w:pPr>
              <w:rPr>
                <w:rFonts w:cs="Arial"/>
                <w:color w:val="FF0000"/>
                <w:sz w:val="21"/>
                <w:szCs w:val="21"/>
              </w:rPr>
            </w:pPr>
          </w:p>
        </w:tc>
        <w:tc>
          <w:tcPr>
            <w:tcW w:w="217" w:type="dxa"/>
          </w:tcPr>
          <w:p w14:paraId="71059C6D" w14:textId="77777777" w:rsidR="002C0FD9" w:rsidRPr="00CA25CF" w:rsidRDefault="002C0FD9" w:rsidP="00CA25CF">
            <w:pPr>
              <w:rPr>
                <w:rFonts w:cs="Arial"/>
                <w:color w:val="FF0000"/>
                <w:sz w:val="21"/>
                <w:szCs w:val="21"/>
              </w:rPr>
            </w:pPr>
          </w:p>
        </w:tc>
        <w:tc>
          <w:tcPr>
            <w:tcW w:w="217" w:type="dxa"/>
          </w:tcPr>
          <w:p w14:paraId="7F4F04F2" w14:textId="77777777" w:rsidR="002C0FD9" w:rsidRPr="00CA25CF" w:rsidRDefault="002C0FD9" w:rsidP="00CA25CF">
            <w:pPr>
              <w:rPr>
                <w:rFonts w:cs="Arial"/>
                <w:color w:val="FF0000"/>
                <w:sz w:val="21"/>
                <w:szCs w:val="21"/>
              </w:rPr>
            </w:pPr>
          </w:p>
        </w:tc>
        <w:tc>
          <w:tcPr>
            <w:tcW w:w="217" w:type="dxa"/>
          </w:tcPr>
          <w:p w14:paraId="157DA1CA" w14:textId="77777777" w:rsidR="002C0FD9" w:rsidRPr="00CA25CF" w:rsidRDefault="002C0FD9" w:rsidP="00CA25CF">
            <w:pPr>
              <w:rPr>
                <w:rFonts w:cs="Arial"/>
                <w:color w:val="FF0000"/>
                <w:sz w:val="21"/>
                <w:szCs w:val="21"/>
              </w:rPr>
            </w:pPr>
          </w:p>
        </w:tc>
        <w:tc>
          <w:tcPr>
            <w:tcW w:w="217" w:type="dxa"/>
          </w:tcPr>
          <w:p w14:paraId="0FB48F30" w14:textId="77777777" w:rsidR="002C0FD9" w:rsidRPr="00CA25CF" w:rsidRDefault="002C0FD9" w:rsidP="00CA25CF">
            <w:pPr>
              <w:rPr>
                <w:rFonts w:cs="Arial"/>
                <w:color w:val="FF0000"/>
                <w:sz w:val="21"/>
                <w:szCs w:val="21"/>
              </w:rPr>
            </w:pPr>
          </w:p>
        </w:tc>
        <w:tc>
          <w:tcPr>
            <w:tcW w:w="217" w:type="dxa"/>
          </w:tcPr>
          <w:p w14:paraId="1CE5DEE2" w14:textId="77777777" w:rsidR="002C0FD9" w:rsidRPr="00CA25CF" w:rsidRDefault="002C0FD9" w:rsidP="00CA25CF">
            <w:pPr>
              <w:rPr>
                <w:rFonts w:cs="Arial"/>
                <w:color w:val="FF0000"/>
                <w:sz w:val="21"/>
                <w:szCs w:val="21"/>
              </w:rPr>
            </w:pPr>
          </w:p>
        </w:tc>
        <w:tc>
          <w:tcPr>
            <w:tcW w:w="217" w:type="dxa"/>
          </w:tcPr>
          <w:p w14:paraId="39A451A7" w14:textId="77777777" w:rsidR="002C0FD9" w:rsidRPr="00CA25CF" w:rsidRDefault="002C0FD9" w:rsidP="00CA25CF">
            <w:pPr>
              <w:rPr>
                <w:rFonts w:cs="Arial"/>
                <w:color w:val="FF0000"/>
                <w:sz w:val="21"/>
                <w:szCs w:val="21"/>
              </w:rPr>
            </w:pPr>
          </w:p>
        </w:tc>
        <w:tc>
          <w:tcPr>
            <w:tcW w:w="217" w:type="dxa"/>
          </w:tcPr>
          <w:p w14:paraId="6FDD4D6E" w14:textId="77777777" w:rsidR="002C0FD9" w:rsidRPr="00CA25CF" w:rsidRDefault="002C0FD9" w:rsidP="00CA25CF">
            <w:pPr>
              <w:rPr>
                <w:rFonts w:cs="Arial"/>
                <w:color w:val="FF0000"/>
                <w:sz w:val="21"/>
                <w:szCs w:val="21"/>
              </w:rPr>
            </w:pPr>
          </w:p>
        </w:tc>
        <w:tc>
          <w:tcPr>
            <w:tcW w:w="217" w:type="dxa"/>
          </w:tcPr>
          <w:p w14:paraId="17F06608" w14:textId="77777777" w:rsidR="002C0FD9" w:rsidRPr="00CA25CF" w:rsidRDefault="002C0FD9" w:rsidP="00CA25CF">
            <w:pPr>
              <w:rPr>
                <w:rFonts w:cs="Arial"/>
                <w:color w:val="FF0000"/>
                <w:sz w:val="21"/>
                <w:szCs w:val="21"/>
              </w:rPr>
            </w:pPr>
          </w:p>
        </w:tc>
        <w:tc>
          <w:tcPr>
            <w:tcW w:w="217" w:type="dxa"/>
          </w:tcPr>
          <w:p w14:paraId="7C86F820" w14:textId="77777777" w:rsidR="002C0FD9" w:rsidRPr="00CA25CF" w:rsidRDefault="002C0FD9" w:rsidP="00CA25CF">
            <w:pPr>
              <w:rPr>
                <w:rFonts w:cs="Arial"/>
                <w:color w:val="FF0000"/>
                <w:sz w:val="21"/>
                <w:szCs w:val="21"/>
              </w:rPr>
            </w:pPr>
          </w:p>
        </w:tc>
        <w:tc>
          <w:tcPr>
            <w:tcW w:w="217" w:type="dxa"/>
          </w:tcPr>
          <w:p w14:paraId="60E9DECE" w14:textId="77777777" w:rsidR="002C0FD9" w:rsidRPr="00CA25CF" w:rsidRDefault="002C0FD9" w:rsidP="00CA25CF">
            <w:pPr>
              <w:rPr>
                <w:rFonts w:cs="Arial"/>
                <w:color w:val="FF0000"/>
                <w:sz w:val="21"/>
                <w:szCs w:val="21"/>
              </w:rPr>
            </w:pPr>
          </w:p>
        </w:tc>
        <w:tc>
          <w:tcPr>
            <w:tcW w:w="217" w:type="dxa"/>
          </w:tcPr>
          <w:p w14:paraId="0715765B" w14:textId="77777777" w:rsidR="002C0FD9" w:rsidRPr="00CA25CF" w:rsidRDefault="002C0FD9" w:rsidP="00CA25CF">
            <w:pPr>
              <w:rPr>
                <w:rFonts w:cs="Arial"/>
                <w:color w:val="FF0000"/>
                <w:sz w:val="21"/>
                <w:szCs w:val="21"/>
              </w:rPr>
            </w:pPr>
          </w:p>
        </w:tc>
        <w:tc>
          <w:tcPr>
            <w:tcW w:w="217" w:type="dxa"/>
          </w:tcPr>
          <w:p w14:paraId="5D6A3BA7" w14:textId="77777777" w:rsidR="002C0FD9" w:rsidRPr="00CA25CF" w:rsidRDefault="002C0FD9" w:rsidP="00CA25CF">
            <w:pPr>
              <w:rPr>
                <w:rFonts w:cs="Arial"/>
                <w:color w:val="FF0000"/>
                <w:sz w:val="21"/>
                <w:szCs w:val="21"/>
              </w:rPr>
            </w:pPr>
          </w:p>
        </w:tc>
        <w:tc>
          <w:tcPr>
            <w:tcW w:w="217" w:type="dxa"/>
          </w:tcPr>
          <w:p w14:paraId="4F7F5128" w14:textId="77777777" w:rsidR="002C0FD9" w:rsidRPr="00CA25CF" w:rsidRDefault="002C0FD9" w:rsidP="00CA25CF">
            <w:pPr>
              <w:rPr>
                <w:rFonts w:cs="Arial"/>
                <w:color w:val="FF0000"/>
                <w:sz w:val="21"/>
                <w:szCs w:val="21"/>
              </w:rPr>
            </w:pPr>
          </w:p>
        </w:tc>
        <w:tc>
          <w:tcPr>
            <w:tcW w:w="217" w:type="dxa"/>
          </w:tcPr>
          <w:p w14:paraId="62593D0D" w14:textId="77777777" w:rsidR="002C0FD9" w:rsidRPr="00CA25CF" w:rsidRDefault="002C0FD9" w:rsidP="00CA25CF">
            <w:pPr>
              <w:rPr>
                <w:rFonts w:cs="Arial"/>
                <w:color w:val="FF0000"/>
                <w:sz w:val="21"/>
                <w:szCs w:val="21"/>
              </w:rPr>
            </w:pPr>
          </w:p>
        </w:tc>
        <w:tc>
          <w:tcPr>
            <w:tcW w:w="217" w:type="dxa"/>
          </w:tcPr>
          <w:p w14:paraId="14880D8B" w14:textId="77777777" w:rsidR="002C0FD9" w:rsidRPr="00CA25CF" w:rsidRDefault="002C0FD9" w:rsidP="00CA25CF">
            <w:pPr>
              <w:rPr>
                <w:rFonts w:cs="Arial"/>
                <w:color w:val="FF0000"/>
                <w:sz w:val="21"/>
                <w:szCs w:val="21"/>
              </w:rPr>
            </w:pPr>
          </w:p>
        </w:tc>
        <w:tc>
          <w:tcPr>
            <w:tcW w:w="217" w:type="dxa"/>
          </w:tcPr>
          <w:p w14:paraId="427C3D9A" w14:textId="77777777" w:rsidR="002C0FD9" w:rsidRPr="00CA25CF" w:rsidRDefault="002C0FD9" w:rsidP="00CA25CF">
            <w:pPr>
              <w:rPr>
                <w:rFonts w:cs="Arial"/>
                <w:color w:val="FF0000"/>
                <w:sz w:val="21"/>
                <w:szCs w:val="21"/>
              </w:rPr>
            </w:pPr>
          </w:p>
        </w:tc>
        <w:tc>
          <w:tcPr>
            <w:tcW w:w="217" w:type="dxa"/>
          </w:tcPr>
          <w:p w14:paraId="335407F3" w14:textId="77777777" w:rsidR="002C0FD9" w:rsidRPr="00CA25CF" w:rsidRDefault="002C0FD9" w:rsidP="00CA25CF">
            <w:pPr>
              <w:rPr>
                <w:rFonts w:cs="Arial"/>
                <w:color w:val="FF0000"/>
                <w:sz w:val="21"/>
                <w:szCs w:val="21"/>
              </w:rPr>
            </w:pPr>
          </w:p>
        </w:tc>
        <w:tc>
          <w:tcPr>
            <w:tcW w:w="217" w:type="dxa"/>
          </w:tcPr>
          <w:p w14:paraId="39C1C84C" w14:textId="77777777" w:rsidR="002C0FD9" w:rsidRPr="00CA25CF" w:rsidRDefault="002C0FD9" w:rsidP="00CA25CF">
            <w:pPr>
              <w:rPr>
                <w:rFonts w:cs="Arial"/>
                <w:color w:val="FF0000"/>
                <w:sz w:val="21"/>
                <w:szCs w:val="21"/>
              </w:rPr>
            </w:pPr>
          </w:p>
        </w:tc>
        <w:tc>
          <w:tcPr>
            <w:tcW w:w="217" w:type="dxa"/>
          </w:tcPr>
          <w:p w14:paraId="5A2DEF56" w14:textId="77777777" w:rsidR="002C0FD9" w:rsidRPr="00CA25CF" w:rsidRDefault="002C0FD9" w:rsidP="00CA25CF">
            <w:pPr>
              <w:rPr>
                <w:rFonts w:cs="Arial"/>
                <w:color w:val="FF0000"/>
                <w:sz w:val="21"/>
                <w:szCs w:val="21"/>
              </w:rPr>
            </w:pPr>
          </w:p>
        </w:tc>
        <w:tc>
          <w:tcPr>
            <w:tcW w:w="217" w:type="dxa"/>
          </w:tcPr>
          <w:p w14:paraId="2F43AD61" w14:textId="77777777" w:rsidR="002C0FD9" w:rsidRPr="00CA25CF" w:rsidRDefault="002C0FD9" w:rsidP="00CA25CF">
            <w:pPr>
              <w:rPr>
                <w:rFonts w:cs="Arial"/>
                <w:color w:val="FF0000"/>
                <w:sz w:val="21"/>
                <w:szCs w:val="21"/>
              </w:rPr>
            </w:pPr>
          </w:p>
        </w:tc>
        <w:tc>
          <w:tcPr>
            <w:tcW w:w="217" w:type="dxa"/>
          </w:tcPr>
          <w:p w14:paraId="525F34BC" w14:textId="77777777" w:rsidR="002C0FD9" w:rsidRPr="00CA25CF" w:rsidRDefault="002C0FD9" w:rsidP="00CA25CF">
            <w:pPr>
              <w:rPr>
                <w:rFonts w:cs="Arial"/>
                <w:color w:val="FF0000"/>
                <w:sz w:val="21"/>
                <w:szCs w:val="21"/>
              </w:rPr>
            </w:pPr>
          </w:p>
        </w:tc>
        <w:tc>
          <w:tcPr>
            <w:tcW w:w="217" w:type="dxa"/>
          </w:tcPr>
          <w:p w14:paraId="2976E99D" w14:textId="77777777" w:rsidR="002C0FD9" w:rsidRPr="00CA25CF" w:rsidRDefault="002C0FD9" w:rsidP="00CA25CF">
            <w:pPr>
              <w:rPr>
                <w:rFonts w:cs="Arial"/>
                <w:color w:val="FF0000"/>
                <w:sz w:val="21"/>
                <w:szCs w:val="21"/>
              </w:rPr>
            </w:pPr>
          </w:p>
        </w:tc>
        <w:tc>
          <w:tcPr>
            <w:tcW w:w="217" w:type="dxa"/>
          </w:tcPr>
          <w:p w14:paraId="51ECF34B" w14:textId="77777777" w:rsidR="002C0FD9" w:rsidRPr="00CA25CF" w:rsidRDefault="002C0FD9" w:rsidP="00CA25CF">
            <w:pPr>
              <w:rPr>
                <w:rFonts w:cs="Arial"/>
                <w:color w:val="FF0000"/>
                <w:sz w:val="21"/>
                <w:szCs w:val="21"/>
              </w:rPr>
            </w:pPr>
          </w:p>
        </w:tc>
      </w:tr>
      <w:tr w:rsidR="002C0FD9" w:rsidRPr="00A16219" w14:paraId="008EA9F3" w14:textId="77777777" w:rsidTr="002C0FD9">
        <w:trPr>
          <w:trHeight w:val="635"/>
        </w:trPr>
        <w:tc>
          <w:tcPr>
            <w:tcW w:w="515" w:type="dxa"/>
          </w:tcPr>
          <w:p w14:paraId="142DF4DE" w14:textId="77777777" w:rsidR="002C0FD9" w:rsidRPr="00CA25CF" w:rsidRDefault="002C0FD9" w:rsidP="00CA25CF">
            <w:pPr>
              <w:rPr>
                <w:rFonts w:cs="Arial"/>
                <w:color w:val="FF0000"/>
                <w:sz w:val="21"/>
                <w:szCs w:val="21"/>
              </w:rPr>
            </w:pPr>
          </w:p>
        </w:tc>
        <w:tc>
          <w:tcPr>
            <w:tcW w:w="217" w:type="dxa"/>
          </w:tcPr>
          <w:p w14:paraId="4217A6B0" w14:textId="77777777" w:rsidR="002C0FD9" w:rsidRPr="00CA25CF" w:rsidRDefault="002C0FD9" w:rsidP="00CA25CF">
            <w:pPr>
              <w:rPr>
                <w:rFonts w:cs="Arial"/>
                <w:color w:val="FF0000"/>
                <w:sz w:val="21"/>
                <w:szCs w:val="21"/>
              </w:rPr>
            </w:pPr>
          </w:p>
        </w:tc>
        <w:tc>
          <w:tcPr>
            <w:tcW w:w="217" w:type="dxa"/>
          </w:tcPr>
          <w:p w14:paraId="20629710" w14:textId="77777777" w:rsidR="002C0FD9" w:rsidRPr="00CA25CF" w:rsidRDefault="002C0FD9" w:rsidP="00CA25CF">
            <w:pPr>
              <w:rPr>
                <w:rFonts w:cs="Arial"/>
                <w:color w:val="FF0000"/>
                <w:sz w:val="21"/>
                <w:szCs w:val="21"/>
              </w:rPr>
            </w:pPr>
          </w:p>
        </w:tc>
        <w:tc>
          <w:tcPr>
            <w:tcW w:w="217" w:type="dxa"/>
          </w:tcPr>
          <w:p w14:paraId="014A1496" w14:textId="77777777" w:rsidR="002C0FD9" w:rsidRPr="00CA25CF" w:rsidRDefault="002C0FD9" w:rsidP="00CA25CF">
            <w:pPr>
              <w:rPr>
                <w:rFonts w:cs="Arial"/>
                <w:color w:val="FF0000"/>
                <w:sz w:val="21"/>
                <w:szCs w:val="21"/>
              </w:rPr>
            </w:pPr>
          </w:p>
        </w:tc>
        <w:tc>
          <w:tcPr>
            <w:tcW w:w="217" w:type="dxa"/>
          </w:tcPr>
          <w:p w14:paraId="120474D1" w14:textId="77777777" w:rsidR="002C0FD9" w:rsidRPr="00CA25CF" w:rsidRDefault="002C0FD9" w:rsidP="00CA25CF">
            <w:pPr>
              <w:rPr>
                <w:rFonts w:cs="Arial"/>
                <w:color w:val="FF0000"/>
                <w:sz w:val="21"/>
                <w:szCs w:val="21"/>
              </w:rPr>
            </w:pPr>
          </w:p>
        </w:tc>
        <w:tc>
          <w:tcPr>
            <w:tcW w:w="217" w:type="dxa"/>
          </w:tcPr>
          <w:p w14:paraId="500243DA" w14:textId="77777777" w:rsidR="002C0FD9" w:rsidRPr="00CA25CF" w:rsidRDefault="002C0FD9" w:rsidP="00CA25CF">
            <w:pPr>
              <w:rPr>
                <w:rFonts w:cs="Arial"/>
                <w:color w:val="FF0000"/>
                <w:sz w:val="21"/>
                <w:szCs w:val="21"/>
              </w:rPr>
            </w:pPr>
          </w:p>
        </w:tc>
        <w:tc>
          <w:tcPr>
            <w:tcW w:w="217" w:type="dxa"/>
          </w:tcPr>
          <w:p w14:paraId="01F1E3F2" w14:textId="77777777" w:rsidR="002C0FD9" w:rsidRPr="00CA25CF" w:rsidRDefault="002C0FD9" w:rsidP="00CA25CF">
            <w:pPr>
              <w:rPr>
                <w:rFonts w:cs="Arial"/>
                <w:color w:val="FF0000"/>
                <w:sz w:val="21"/>
                <w:szCs w:val="21"/>
              </w:rPr>
            </w:pPr>
          </w:p>
        </w:tc>
        <w:tc>
          <w:tcPr>
            <w:tcW w:w="217" w:type="dxa"/>
          </w:tcPr>
          <w:p w14:paraId="37C25956" w14:textId="77777777" w:rsidR="002C0FD9" w:rsidRPr="00CA25CF" w:rsidRDefault="002C0FD9" w:rsidP="00CA25CF">
            <w:pPr>
              <w:rPr>
                <w:rFonts w:cs="Arial"/>
                <w:color w:val="FF0000"/>
                <w:sz w:val="21"/>
                <w:szCs w:val="21"/>
              </w:rPr>
            </w:pPr>
          </w:p>
        </w:tc>
        <w:tc>
          <w:tcPr>
            <w:tcW w:w="217" w:type="dxa"/>
          </w:tcPr>
          <w:p w14:paraId="35EA0858" w14:textId="77777777" w:rsidR="002C0FD9" w:rsidRPr="00CA25CF" w:rsidRDefault="002C0FD9" w:rsidP="00CA25CF">
            <w:pPr>
              <w:rPr>
                <w:rFonts w:cs="Arial"/>
                <w:color w:val="FF0000"/>
                <w:sz w:val="21"/>
                <w:szCs w:val="21"/>
              </w:rPr>
            </w:pPr>
          </w:p>
        </w:tc>
        <w:tc>
          <w:tcPr>
            <w:tcW w:w="217" w:type="dxa"/>
          </w:tcPr>
          <w:p w14:paraId="6E4EE91D" w14:textId="77777777" w:rsidR="002C0FD9" w:rsidRPr="00CA25CF" w:rsidRDefault="002C0FD9" w:rsidP="00CA25CF">
            <w:pPr>
              <w:rPr>
                <w:rFonts w:cs="Arial"/>
                <w:color w:val="FF0000"/>
                <w:sz w:val="21"/>
                <w:szCs w:val="21"/>
              </w:rPr>
            </w:pPr>
          </w:p>
        </w:tc>
        <w:tc>
          <w:tcPr>
            <w:tcW w:w="217" w:type="dxa"/>
          </w:tcPr>
          <w:p w14:paraId="6451F2DF" w14:textId="77777777" w:rsidR="002C0FD9" w:rsidRPr="00CA25CF" w:rsidRDefault="002C0FD9" w:rsidP="00CA25CF">
            <w:pPr>
              <w:rPr>
                <w:rFonts w:cs="Arial"/>
                <w:color w:val="FF0000"/>
                <w:sz w:val="21"/>
                <w:szCs w:val="21"/>
              </w:rPr>
            </w:pPr>
          </w:p>
        </w:tc>
        <w:tc>
          <w:tcPr>
            <w:tcW w:w="217" w:type="dxa"/>
          </w:tcPr>
          <w:p w14:paraId="36DF4016" w14:textId="77777777" w:rsidR="002C0FD9" w:rsidRPr="00CA25CF" w:rsidRDefault="002C0FD9" w:rsidP="00CA25CF">
            <w:pPr>
              <w:rPr>
                <w:rFonts w:cs="Arial"/>
                <w:color w:val="FF0000"/>
                <w:sz w:val="21"/>
                <w:szCs w:val="21"/>
              </w:rPr>
            </w:pPr>
          </w:p>
        </w:tc>
        <w:tc>
          <w:tcPr>
            <w:tcW w:w="217" w:type="dxa"/>
          </w:tcPr>
          <w:p w14:paraId="2DAA5520" w14:textId="77777777" w:rsidR="002C0FD9" w:rsidRPr="00CA25CF" w:rsidRDefault="002C0FD9" w:rsidP="00CA25CF">
            <w:pPr>
              <w:rPr>
                <w:rFonts w:cs="Arial"/>
                <w:color w:val="FF0000"/>
                <w:sz w:val="21"/>
                <w:szCs w:val="21"/>
              </w:rPr>
            </w:pPr>
          </w:p>
        </w:tc>
        <w:tc>
          <w:tcPr>
            <w:tcW w:w="217" w:type="dxa"/>
          </w:tcPr>
          <w:p w14:paraId="7A906AE3" w14:textId="77777777" w:rsidR="002C0FD9" w:rsidRPr="00CA25CF" w:rsidRDefault="002C0FD9" w:rsidP="00CA25CF">
            <w:pPr>
              <w:rPr>
                <w:rFonts w:cs="Arial"/>
                <w:color w:val="FF0000"/>
                <w:sz w:val="21"/>
                <w:szCs w:val="21"/>
              </w:rPr>
            </w:pPr>
          </w:p>
        </w:tc>
        <w:tc>
          <w:tcPr>
            <w:tcW w:w="217" w:type="dxa"/>
          </w:tcPr>
          <w:p w14:paraId="1161847F" w14:textId="77777777" w:rsidR="002C0FD9" w:rsidRPr="00CA25CF" w:rsidRDefault="002C0FD9" w:rsidP="00CA25CF">
            <w:pPr>
              <w:rPr>
                <w:rFonts w:cs="Arial"/>
                <w:color w:val="FF0000"/>
                <w:sz w:val="21"/>
                <w:szCs w:val="21"/>
              </w:rPr>
            </w:pPr>
          </w:p>
        </w:tc>
        <w:tc>
          <w:tcPr>
            <w:tcW w:w="217" w:type="dxa"/>
          </w:tcPr>
          <w:p w14:paraId="6524C38B" w14:textId="77777777" w:rsidR="002C0FD9" w:rsidRPr="00CA25CF" w:rsidRDefault="002C0FD9" w:rsidP="00CA25CF">
            <w:pPr>
              <w:rPr>
                <w:rFonts w:cs="Arial"/>
                <w:color w:val="FF0000"/>
                <w:sz w:val="21"/>
                <w:szCs w:val="21"/>
              </w:rPr>
            </w:pPr>
          </w:p>
        </w:tc>
        <w:tc>
          <w:tcPr>
            <w:tcW w:w="217" w:type="dxa"/>
          </w:tcPr>
          <w:p w14:paraId="4E6E894E" w14:textId="77777777" w:rsidR="002C0FD9" w:rsidRPr="00CA25CF" w:rsidRDefault="002C0FD9" w:rsidP="00CA25CF">
            <w:pPr>
              <w:rPr>
                <w:rFonts w:cs="Arial"/>
                <w:color w:val="FF0000"/>
                <w:sz w:val="21"/>
                <w:szCs w:val="21"/>
              </w:rPr>
            </w:pPr>
          </w:p>
        </w:tc>
        <w:tc>
          <w:tcPr>
            <w:tcW w:w="217" w:type="dxa"/>
          </w:tcPr>
          <w:p w14:paraId="01965F10" w14:textId="77777777" w:rsidR="002C0FD9" w:rsidRPr="00CA25CF" w:rsidRDefault="002C0FD9" w:rsidP="00CA25CF">
            <w:pPr>
              <w:rPr>
                <w:rFonts w:cs="Arial"/>
                <w:color w:val="FF0000"/>
                <w:sz w:val="21"/>
                <w:szCs w:val="21"/>
              </w:rPr>
            </w:pPr>
          </w:p>
        </w:tc>
        <w:tc>
          <w:tcPr>
            <w:tcW w:w="217" w:type="dxa"/>
          </w:tcPr>
          <w:p w14:paraId="00C9A79B" w14:textId="77777777" w:rsidR="002C0FD9" w:rsidRPr="00CA25CF" w:rsidRDefault="002C0FD9" w:rsidP="00CA25CF">
            <w:pPr>
              <w:rPr>
                <w:rFonts w:cs="Arial"/>
                <w:color w:val="FF0000"/>
                <w:sz w:val="21"/>
                <w:szCs w:val="21"/>
              </w:rPr>
            </w:pPr>
          </w:p>
        </w:tc>
        <w:tc>
          <w:tcPr>
            <w:tcW w:w="217" w:type="dxa"/>
          </w:tcPr>
          <w:p w14:paraId="532FA107" w14:textId="77777777" w:rsidR="002C0FD9" w:rsidRPr="00CA25CF" w:rsidRDefault="002C0FD9" w:rsidP="00CA25CF">
            <w:pPr>
              <w:rPr>
                <w:rFonts w:cs="Arial"/>
                <w:color w:val="FF0000"/>
                <w:sz w:val="21"/>
                <w:szCs w:val="21"/>
              </w:rPr>
            </w:pPr>
          </w:p>
        </w:tc>
        <w:tc>
          <w:tcPr>
            <w:tcW w:w="217" w:type="dxa"/>
          </w:tcPr>
          <w:p w14:paraId="654165F6" w14:textId="77777777" w:rsidR="002C0FD9" w:rsidRPr="00CA25CF" w:rsidRDefault="002C0FD9" w:rsidP="00CA25CF">
            <w:pPr>
              <w:rPr>
                <w:rFonts w:cs="Arial"/>
                <w:color w:val="FF0000"/>
                <w:sz w:val="21"/>
                <w:szCs w:val="21"/>
              </w:rPr>
            </w:pPr>
          </w:p>
        </w:tc>
        <w:tc>
          <w:tcPr>
            <w:tcW w:w="217" w:type="dxa"/>
          </w:tcPr>
          <w:p w14:paraId="18F18CD9" w14:textId="77777777" w:rsidR="002C0FD9" w:rsidRPr="00CA25CF" w:rsidRDefault="002C0FD9" w:rsidP="00CA25CF">
            <w:pPr>
              <w:rPr>
                <w:rFonts w:cs="Arial"/>
                <w:color w:val="FF0000"/>
                <w:sz w:val="21"/>
                <w:szCs w:val="21"/>
              </w:rPr>
            </w:pPr>
          </w:p>
        </w:tc>
        <w:tc>
          <w:tcPr>
            <w:tcW w:w="217" w:type="dxa"/>
          </w:tcPr>
          <w:p w14:paraId="05B52BB0" w14:textId="77777777" w:rsidR="002C0FD9" w:rsidRPr="00CA25CF" w:rsidRDefault="002C0FD9" w:rsidP="00CA25CF">
            <w:pPr>
              <w:rPr>
                <w:rFonts w:cs="Arial"/>
                <w:color w:val="FF0000"/>
                <w:sz w:val="21"/>
                <w:szCs w:val="21"/>
              </w:rPr>
            </w:pPr>
          </w:p>
        </w:tc>
        <w:tc>
          <w:tcPr>
            <w:tcW w:w="217" w:type="dxa"/>
          </w:tcPr>
          <w:p w14:paraId="1259C406" w14:textId="77777777" w:rsidR="002C0FD9" w:rsidRPr="00CA25CF" w:rsidRDefault="002C0FD9" w:rsidP="00CA25CF">
            <w:pPr>
              <w:rPr>
                <w:rFonts w:cs="Arial"/>
                <w:color w:val="FF0000"/>
                <w:sz w:val="21"/>
                <w:szCs w:val="21"/>
              </w:rPr>
            </w:pPr>
          </w:p>
        </w:tc>
        <w:tc>
          <w:tcPr>
            <w:tcW w:w="217" w:type="dxa"/>
          </w:tcPr>
          <w:p w14:paraId="18C1DFCA" w14:textId="77777777" w:rsidR="002C0FD9" w:rsidRPr="00CA25CF" w:rsidRDefault="002C0FD9" w:rsidP="00CA25CF">
            <w:pPr>
              <w:rPr>
                <w:rFonts w:cs="Arial"/>
                <w:color w:val="FF0000"/>
                <w:sz w:val="21"/>
                <w:szCs w:val="21"/>
              </w:rPr>
            </w:pPr>
          </w:p>
        </w:tc>
        <w:tc>
          <w:tcPr>
            <w:tcW w:w="217" w:type="dxa"/>
          </w:tcPr>
          <w:p w14:paraId="60B31868" w14:textId="77777777" w:rsidR="002C0FD9" w:rsidRPr="00CA25CF" w:rsidRDefault="002C0FD9" w:rsidP="00CA25CF">
            <w:pPr>
              <w:rPr>
                <w:rFonts w:cs="Arial"/>
                <w:color w:val="FF0000"/>
                <w:sz w:val="21"/>
                <w:szCs w:val="21"/>
              </w:rPr>
            </w:pPr>
          </w:p>
        </w:tc>
        <w:tc>
          <w:tcPr>
            <w:tcW w:w="217" w:type="dxa"/>
          </w:tcPr>
          <w:p w14:paraId="51BC2752" w14:textId="77777777" w:rsidR="002C0FD9" w:rsidRPr="00CA25CF" w:rsidRDefault="002C0FD9" w:rsidP="00CA25CF">
            <w:pPr>
              <w:rPr>
                <w:rFonts w:cs="Arial"/>
                <w:color w:val="FF0000"/>
                <w:sz w:val="21"/>
                <w:szCs w:val="21"/>
              </w:rPr>
            </w:pPr>
          </w:p>
        </w:tc>
        <w:tc>
          <w:tcPr>
            <w:tcW w:w="217" w:type="dxa"/>
          </w:tcPr>
          <w:p w14:paraId="3A3D50F4" w14:textId="77777777" w:rsidR="002C0FD9" w:rsidRPr="00CA25CF" w:rsidRDefault="002C0FD9" w:rsidP="00CA25CF">
            <w:pPr>
              <w:rPr>
                <w:rFonts w:cs="Arial"/>
                <w:color w:val="FF0000"/>
                <w:sz w:val="21"/>
                <w:szCs w:val="21"/>
              </w:rPr>
            </w:pPr>
          </w:p>
        </w:tc>
        <w:tc>
          <w:tcPr>
            <w:tcW w:w="217" w:type="dxa"/>
          </w:tcPr>
          <w:p w14:paraId="5D576426" w14:textId="77777777" w:rsidR="002C0FD9" w:rsidRPr="00CA25CF" w:rsidRDefault="002C0FD9" w:rsidP="00CA25CF">
            <w:pPr>
              <w:rPr>
                <w:rFonts w:cs="Arial"/>
                <w:color w:val="FF0000"/>
                <w:sz w:val="21"/>
                <w:szCs w:val="21"/>
              </w:rPr>
            </w:pPr>
          </w:p>
        </w:tc>
        <w:tc>
          <w:tcPr>
            <w:tcW w:w="217" w:type="dxa"/>
          </w:tcPr>
          <w:p w14:paraId="7CA9F8E4" w14:textId="77777777" w:rsidR="002C0FD9" w:rsidRPr="00CA25CF" w:rsidRDefault="002C0FD9" w:rsidP="00CA25CF">
            <w:pPr>
              <w:rPr>
                <w:rFonts w:cs="Arial"/>
                <w:color w:val="FF0000"/>
                <w:sz w:val="21"/>
                <w:szCs w:val="21"/>
              </w:rPr>
            </w:pPr>
          </w:p>
        </w:tc>
        <w:tc>
          <w:tcPr>
            <w:tcW w:w="217" w:type="dxa"/>
          </w:tcPr>
          <w:p w14:paraId="1FBE4308" w14:textId="77777777" w:rsidR="002C0FD9" w:rsidRPr="00CA25CF" w:rsidRDefault="002C0FD9" w:rsidP="00CA25CF">
            <w:pPr>
              <w:rPr>
                <w:rFonts w:cs="Arial"/>
                <w:color w:val="FF0000"/>
                <w:sz w:val="21"/>
                <w:szCs w:val="21"/>
              </w:rPr>
            </w:pPr>
          </w:p>
        </w:tc>
        <w:tc>
          <w:tcPr>
            <w:tcW w:w="217" w:type="dxa"/>
          </w:tcPr>
          <w:p w14:paraId="611E5BA7" w14:textId="77777777" w:rsidR="002C0FD9" w:rsidRPr="00CA25CF" w:rsidRDefault="002C0FD9" w:rsidP="00CA25CF">
            <w:pPr>
              <w:rPr>
                <w:rFonts w:cs="Arial"/>
                <w:color w:val="FF0000"/>
                <w:sz w:val="21"/>
                <w:szCs w:val="21"/>
              </w:rPr>
            </w:pPr>
          </w:p>
        </w:tc>
        <w:tc>
          <w:tcPr>
            <w:tcW w:w="217" w:type="dxa"/>
          </w:tcPr>
          <w:p w14:paraId="64AEF606" w14:textId="77777777" w:rsidR="002C0FD9" w:rsidRPr="00CA25CF" w:rsidRDefault="002C0FD9" w:rsidP="00CA25CF">
            <w:pPr>
              <w:rPr>
                <w:rFonts w:cs="Arial"/>
                <w:color w:val="FF0000"/>
                <w:sz w:val="21"/>
                <w:szCs w:val="21"/>
              </w:rPr>
            </w:pPr>
          </w:p>
        </w:tc>
        <w:tc>
          <w:tcPr>
            <w:tcW w:w="217" w:type="dxa"/>
          </w:tcPr>
          <w:p w14:paraId="272134A6" w14:textId="77777777" w:rsidR="002C0FD9" w:rsidRPr="00CA25CF" w:rsidRDefault="002C0FD9" w:rsidP="00CA25CF">
            <w:pPr>
              <w:rPr>
                <w:rFonts w:cs="Arial"/>
                <w:color w:val="FF0000"/>
                <w:sz w:val="21"/>
                <w:szCs w:val="21"/>
              </w:rPr>
            </w:pPr>
          </w:p>
        </w:tc>
        <w:tc>
          <w:tcPr>
            <w:tcW w:w="217" w:type="dxa"/>
          </w:tcPr>
          <w:p w14:paraId="3FED906F" w14:textId="77777777" w:rsidR="002C0FD9" w:rsidRPr="00CA25CF" w:rsidRDefault="002C0FD9" w:rsidP="00CA25CF">
            <w:pPr>
              <w:rPr>
                <w:rFonts w:cs="Arial"/>
                <w:color w:val="FF0000"/>
                <w:sz w:val="21"/>
                <w:szCs w:val="21"/>
              </w:rPr>
            </w:pPr>
          </w:p>
        </w:tc>
        <w:tc>
          <w:tcPr>
            <w:tcW w:w="217" w:type="dxa"/>
          </w:tcPr>
          <w:p w14:paraId="17CABAC8" w14:textId="77777777" w:rsidR="002C0FD9" w:rsidRPr="00CA25CF" w:rsidRDefault="002C0FD9" w:rsidP="00CA25CF">
            <w:pPr>
              <w:rPr>
                <w:rFonts w:cs="Arial"/>
                <w:color w:val="FF0000"/>
                <w:sz w:val="21"/>
                <w:szCs w:val="21"/>
              </w:rPr>
            </w:pPr>
          </w:p>
        </w:tc>
        <w:tc>
          <w:tcPr>
            <w:tcW w:w="217" w:type="dxa"/>
          </w:tcPr>
          <w:p w14:paraId="576C56EF" w14:textId="77777777" w:rsidR="002C0FD9" w:rsidRPr="00CA25CF" w:rsidRDefault="002C0FD9" w:rsidP="00CA25CF">
            <w:pPr>
              <w:rPr>
                <w:rFonts w:cs="Arial"/>
                <w:color w:val="FF0000"/>
                <w:sz w:val="21"/>
                <w:szCs w:val="21"/>
              </w:rPr>
            </w:pPr>
          </w:p>
        </w:tc>
        <w:tc>
          <w:tcPr>
            <w:tcW w:w="217" w:type="dxa"/>
          </w:tcPr>
          <w:p w14:paraId="724FE537" w14:textId="77777777" w:rsidR="002C0FD9" w:rsidRPr="00CA25CF" w:rsidRDefault="002C0FD9" w:rsidP="00CA25CF">
            <w:pPr>
              <w:rPr>
                <w:rFonts w:cs="Arial"/>
                <w:color w:val="FF0000"/>
                <w:sz w:val="21"/>
                <w:szCs w:val="21"/>
              </w:rPr>
            </w:pPr>
          </w:p>
        </w:tc>
        <w:tc>
          <w:tcPr>
            <w:tcW w:w="217" w:type="dxa"/>
          </w:tcPr>
          <w:p w14:paraId="7E195960" w14:textId="77777777" w:rsidR="002C0FD9" w:rsidRPr="00CA25CF" w:rsidRDefault="002C0FD9" w:rsidP="00CA25CF">
            <w:pPr>
              <w:rPr>
                <w:rFonts w:cs="Arial"/>
                <w:color w:val="FF0000"/>
                <w:sz w:val="21"/>
                <w:szCs w:val="21"/>
              </w:rPr>
            </w:pPr>
          </w:p>
        </w:tc>
        <w:tc>
          <w:tcPr>
            <w:tcW w:w="217" w:type="dxa"/>
          </w:tcPr>
          <w:p w14:paraId="2D86B562" w14:textId="77777777" w:rsidR="002C0FD9" w:rsidRPr="00CA25CF" w:rsidRDefault="002C0FD9" w:rsidP="00CA25CF">
            <w:pPr>
              <w:rPr>
                <w:rFonts w:cs="Arial"/>
                <w:color w:val="FF0000"/>
                <w:sz w:val="21"/>
                <w:szCs w:val="21"/>
              </w:rPr>
            </w:pPr>
          </w:p>
        </w:tc>
        <w:tc>
          <w:tcPr>
            <w:tcW w:w="217" w:type="dxa"/>
          </w:tcPr>
          <w:p w14:paraId="23E92DAC" w14:textId="77777777" w:rsidR="002C0FD9" w:rsidRPr="00CA25CF" w:rsidRDefault="002C0FD9" w:rsidP="00CA25CF">
            <w:pPr>
              <w:rPr>
                <w:rFonts w:cs="Arial"/>
                <w:color w:val="FF0000"/>
                <w:sz w:val="21"/>
                <w:szCs w:val="21"/>
              </w:rPr>
            </w:pPr>
          </w:p>
        </w:tc>
        <w:tc>
          <w:tcPr>
            <w:tcW w:w="217" w:type="dxa"/>
          </w:tcPr>
          <w:p w14:paraId="4389D462" w14:textId="77777777" w:rsidR="002C0FD9" w:rsidRPr="00CA25CF" w:rsidRDefault="002C0FD9" w:rsidP="00CA25CF">
            <w:pPr>
              <w:rPr>
                <w:rFonts w:cs="Arial"/>
                <w:color w:val="FF0000"/>
                <w:sz w:val="21"/>
                <w:szCs w:val="21"/>
              </w:rPr>
            </w:pPr>
          </w:p>
        </w:tc>
        <w:tc>
          <w:tcPr>
            <w:tcW w:w="217" w:type="dxa"/>
          </w:tcPr>
          <w:p w14:paraId="19A59696" w14:textId="77777777" w:rsidR="002C0FD9" w:rsidRPr="00CA25CF" w:rsidRDefault="002C0FD9" w:rsidP="00CA25CF">
            <w:pPr>
              <w:rPr>
                <w:rFonts w:cs="Arial"/>
                <w:color w:val="FF0000"/>
                <w:sz w:val="21"/>
                <w:szCs w:val="21"/>
              </w:rPr>
            </w:pPr>
          </w:p>
        </w:tc>
      </w:tr>
      <w:tr w:rsidR="002C0FD9" w:rsidRPr="00A16219" w14:paraId="71D884FF" w14:textId="77777777" w:rsidTr="002C0FD9">
        <w:trPr>
          <w:trHeight w:val="635"/>
        </w:trPr>
        <w:tc>
          <w:tcPr>
            <w:tcW w:w="515" w:type="dxa"/>
          </w:tcPr>
          <w:p w14:paraId="7C1A7E41" w14:textId="77777777" w:rsidR="002C0FD9" w:rsidRPr="00CA25CF" w:rsidRDefault="002C0FD9" w:rsidP="00CA25CF">
            <w:pPr>
              <w:rPr>
                <w:rFonts w:cs="Arial"/>
                <w:color w:val="FF0000"/>
                <w:sz w:val="21"/>
                <w:szCs w:val="21"/>
              </w:rPr>
            </w:pPr>
          </w:p>
        </w:tc>
        <w:tc>
          <w:tcPr>
            <w:tcW w:w="217" w:type="dxa"/>
          </w:tcPr>
          <w:p w14:paraId="1F6A7F8C" w14:textId="77777777" w:rsidR="002C0FD9" w:rsidRPr="00CA25CF" w:rsidRDefault="002C0FD9" w:rsidP="00CA25CF">
            <w:pPr>
              <w:rPr>
                <w:rFonts w:cs="Arial"/>
                <w:color w:val="FF0000"/>
                <w:sz w:val="21"/>
                <w:szCs w:val="21"/>
              </w:rPr>
            </w:pPr>
          </w:p>
        </w:tc>
        <w:tc>
          <w:tcPr>
            <w:tcW w:w="217" w:type="dxa"/>
          </w:tcPr>
          <w:p w14:paraId="53ABED82" w14:textId="77777777" w:rsidR="002C0FD9" w:rsidRPr="00CA25CF" w:rsidRDefault="002C0FD9" w:rsidP="00CA25CF">
            <w:pPr>
              <w:rPr>
                <w:rFonts w:cs="Arial"/>
                <w:color w:val="FF0000"/>
                <w:sz w:val="21"/>
                <w:szCs w:val="21"/>
              </w:rPr>
            </w:pPr>
          </w:p>
        </w:tc>
        <w:tc>
          <w:tcPr>
            <w:tcW w:w="217" w:type="dxa"/>
          </w:tcPr>
          <w:p w14:paraId="05C3714B" w14:textId="77777777" w:rsidR="002C0FD9" w:rsidRPr="00CA25CF" w:rsidRDefault="002C0FD9" w:rsidP="00CA25CF">
            <w:pPr>
              <w:rPr>
                <w:rFonts w:cs="Arial"/>
                <w:color w:val="FF0000"/>
                <w:sz w:val="21"/>
                <w:szCs w:val="21"/>
              </w:rPr>
            </w:pPr>
          </w:p>
        </w:tc>
        <w:tc>
          <w:tcPr>
            <w:tcW w:w="217" w:type="dxa"/>
          </w:tcPr>
          <w:p w14:paraId="35DDEE4A" w14:textId="77777777" w:rsidR="002C0FD9" w:rsidRPr="00CA25CF" w:rsidRDefault="002C0FD9" w:rsidP="00CA25CF">
            <w:pPr>
              <w:rPr>
                <w:rFonts w:cs="Arial"/>
                <w:color w:val="FF0000"/>
                <w:sz w:val="21"/>
                <w:szCs w:val="21"/>
              </w:rPr>
            </w:pPr>
          </w:p>
        </w:tc>
        <w:tc>
          <w:tcPr>
            <w:tcW w:w="217" w:type="dxa"/>
          </w:tcPr>
          <w:p w14:paraId="1E0B4E86" w14:textId="77777777" w:rsidR="002C0FD9" w:rsidRPr="00CA25CF" w:rsidRDefault="002C0FD9" w:rsidP="00CA25CF">
            <w:pPr>
              <w:rPr>
                <w:rFonts w:cs="Arial"/>
                <w:color w:val="FF0000"/>
                <w:sz w:val="21"/>
                <w:szCs w:val="21"/>
              </w:rPr>
            </w:pPr>
          </w:p>
        </w:tc>
        <w:tc>
          <w:tcPr>
            <w:tcW w:w="217" w:type="dxa"/>
          </w:tcPr>
          <w:p w14:paraId="32D022A7" w14:textId="77777777" w:rsidR="002C0FD9" w:rsidRPr="00CA25CF" w:rsidRDefault="002C0FD9" w:rsidP="00CA25CF">
            <w:pPr>
              <w:rPr>
                <w:rFonts w:cs="Arial"/>
                <w:color w:val="FF0000"/>
                <w:sz w:val="21"/>
                <w:szCs w:val="21"/>
              </w:rPr>
            </w:pPr>
          </w:p>
        </w:tc>
        <w:tc>
          <w:tcPr>
            <w:tcW w:w="217" w:type="dxa"/>
          </w:tcPr>
          <w:p w14:paraId="75CE2E71" w14:textId="77777777" w:rsidR="002C0FD9" w:rsidRPr="00CA25CF" w:rsidRDefault="002C0FD9" w:rsidP="00CA25CF">
            <w:pPr>
              <w:rPr>
                <w:rFonts w:cs="Arial"/>
                <w:color w:val="FF0000"/>
                <w:sz w:val="21"/>
                <w:szCs w:val="21"/>
              </w:rPr>
            </w:pPr>
          </w:p>
        </w:tc>
        <w:tc>
          <w:tcPr>
            <w:tcW w:w="217" w:type="dxa"/>
          </w:tcPr>
          <w:p w14:paraId="01D893B9" w14:textId="77777777" w:rsidR="002C0FD9" w:rsidRPr="00CA25CF" w:rsidRDefault="002C0FD9" w:rsidP="00CA25CF">
            <w:pPr>
              <w:rPr>
                <w:rFonts w:cs="Arial"/>
                <w:color w:val="FF0000"/>
                <w:sz w:val="21"/>
                <w:szCs w:val="21"/>
              </w:rPr>
            </w:pPr>
          </w:p>
        </w:tc>
        <w:tc>
          <w:tcPr>
            <w:tcW w:w="217" w:type="dxa"/>
          </w:tcPr>
          <w:p w14:paraId="6CA7DE9F" w14:textId="77777777" w:rsidR="002C0FD9" w:rsidRPr="00CA25CF" w:rsidRDefault="002C0FD9" w:rsidP="00CA25CF">
            <w:pPr>
              <w:rPr>
                <w:rFonts w:cs="Arial"/>
                <w:color w:val="FF0000"/>
                <w:sz w:val="21"/>
                <w:szCs w:val="21"/>
              </w:rPr>
            </w:pPr>
          </w:p>
        </w:tc>
        <w:tc>
          <w:tcPr>
            <w:tcW w:w="217" w:type="dxa"/>
          </w:tcPr>
          <w:p w14:paraId="7F145F5D" w14:textId="77777777" w:rsidR="002C0FD9" w:rsidRPr="00CA25CF" w:rsidRDefault="002C0FD9" w:rsidP="00CA25CF">
            <w:pPr>
              <w:rPr>
                <w:rFonts w:cs="Arial"/>
                <w:color w:val="FF0000"/>
                <w:sz w:val="21"/>
                <w:szCs w:val="21"/>
              </w:rPr>
            </w:pPr>
          </w:p>
        </w:tc>
        <w:tc>
          <w:tcPr>
            <w:tcW w:w="217" w:type="dxa"/>
          </w:tcPr>
          <w:p w14:paraId="4B9B6F3E" w14:textId="77777777" w:rsidR="002C0FD9" w:rsidRPr="00CA25CF" w:rsidRDefault="002C0FD9" w:rsidP="00CA25CF">
            <w:pPr>
              <w:rPr>
                <w:rFonts w:cs="Arial"/>
                <w:color w:val="FF0000"/>
                <w:sz w:val="21"/>
                <w:szCs w:val="21"/>
              </w:rPr>
            </w:pPr>
          </w:p>
        </w:tc>
        <w:tc>
          <w:tcPr>
            <w:tcW w:w="217" w:type="dxa"/>
          </w:tcPr>
          <w:p w14:paraId="25076C20" w14:textId="77777777" w:rsidR="002C0FD9" w:rsidRPr="00CA25CF" w:rsidRDefault="002C0FD9" w:rsidP="00CA25CF">
            <w:pPr>
              <w:rPr>
                <w:rFonts w:cs="Arial"/>
                <w:color w:val="FF0000"/>
                <w:sz w:val="21"/>
                <w:szCs w:val="21"/>
              </w:rPr>
            </w:pPr>
          </w:p>
        </w:tc>
        <w:tc>
          <w:tcPr>
            <w:tcW w:w="217" w:type="dxa"/>
          </w:tcPr>
          <w:p w14:paraId="28CBCFDC" w14:textId="77777777" w:rsidR="002C0FD9" w:rsidRPr="00CA25CF" w:rsidRDefault="002C0FD9" w:rsidP="00CA25CF">
            <w:pPr>
              <w:rPr>
                <w:rFonts w:cs="Arial"/>
                <w:color w:val="FF0000"/>
                <w:sz w:val="21"/>
                <w:szCs w:val="21"/>
              </w:rPr>
            </w:pPr>
          </w:p>
        </w:tc>
        <w:tc>
          <w:tcPr>
            <w:tcW w:w="217" w:type="dxa"/>
          </w:tcPr>
          <w:p w14:paraId="2DF1E24C" w14:textId="77777777" w:rsidR="002C0FD9" w:rsidRPr="00CA25CF" w:rsidRDefault="002C0FD9" w:rsidP="00CA25CF">
            <w:pPr>
              <w:rPr>
                <w:rFonts w:cs="Arial"/>
                <w:color w:val="FF0000"/>
                <w:sz w:val="21"/>
                <w:szCs w:val="21"/>
              </w:rPr>
            </w:pPr>
          </w:p>
        </w:tc>
        <w:tc>
          <w:tcPr>
            <w:tcW w:w="217" w:type="dxa"/>
          </w:tcPr>
          <w:p w14:paraId="33833A01" w14:textId="77777777" w:rsidR="002C0FD9" w:rsidRPr="00CA25CF" w:rsidRDefault="002C0FD9" w:rsidP="00CA25CF">
            <w:pPr>
              <w:rPr>
                <w:rFonts w:cs="Arial"/>
                <w:color w:val="FF0000"/>
                <w:sz w:val="21"/>
                <w:szCs w:val="21"/>
              </w:rPr>
            </w:pPr>
          </w:p>
        </w:tc>
        <w:tc>
          <w:tcPr>
            <w:tcW w:w="217" w:type="dxa"/>
          </w:tcPr>
          <w:p w14:paraId="4C54FB46" w14:textId="77777777" w:rsidR="002C0FD9" w:rsidRPr="00CA25CF" w:rsidRDefault="002C0FD9" w:rsidP="00CA25CF">
            <w:pPr>
              <w:rPr>
                <w:rFonts w:cs="Arial"/>
                <w:color w:val="FF0000"/>
                <w:sz w:val="21"/>
                <w:szCs w:val="21"/>
              </w:rPr>
            </w:pPr>
          </w:p>
        </w:tc>
        <w:tc>
          <w:tcPr>
            <w:tcW w:w="217" w:type="dxa"/>
          </w:tcPr>
          <w:p w14:paraId="73388E22" w14:textId="77777777" w:rsidR="002C0FD9" w:rsidRPr="00CA25CF" w:rsidRDefault="002C0FD9" w:rsidP="00CA25CF">
            <w:pPr>
              <w:rPr>
                <w:rFonts w:cs="Arial"/>
                <w:color w:val="FF0000"/>
                <w:sz w:val="21"/>
                <w:szCs w:val="21"/>
              </w:rPr>
            </w:pPr>
          </w:p>
        </w:tc>
        <w:tc>
          <w:tcPr>
            <w:tcW w:w="217" w:type="dxa"/>
          </w:tcPr>
          <w:p w14:paraId="5BB1A928" w14:textId="77777777" w:rsidR="002C0FD9" w:rsidRPr="00CA25CF" w:rsidRDefault="002C0FD9" w:rsidP="00CA25CF">
            <w:pPr>
              <w:rPr>
                <w:rFonts w:cs="Arial"/>
                <w:color w:val="FF0000"/>
                <w:sz w:val="21"/>
                <w:szCs w:val="21"/>
              </w:rPr>
            </w:pPr>
          </w:p>
        </w:tc>
        <w:tc>
          <w:tcPr>
            <w:tcW w:w="217" w:type="dxa"/>
          </w:tcPr>
          <w:p w14:paraId="49B358A5" w14:textId="77777777" w:rsidR="002C0FD9" w:rsidRPr="00CA25CF" w:rsidRDefault="002C0FD9" w:rsidP="00CA25CF">
            <w:pPr>
              <w:rPr>
                <w:rFonts w:cs="Arial"/>
                <w:color w:val="FF0000"/>
                <w:sz w:val="21"/>
                <w:szCs w:val="21"/>
              </w:rPr>
            </w:pPr>
          </w:p>
        </w:tc>
        <w:tc>
          <w:tcPr>
            <w:tcW w:w="217" w:type="dxa"/>
          </w:tcPr>
          <w:p w14:paraId="005C881D" w14:textId="77777777" w:rsidR="002C0FD9" w:rsidRPr="00CA25CF" w:rsidRDefault="002C0FD9" w:rsidP="00CA25CF">
            <w:pPr>
              <w:rPr>
                <w:rFonts w:cs="Arial"/>
                <w:color w:val="FF0000"/>
                <w:sz w:val="21"/>
                <w:szCs w:val="21"/>
              </w:rPr>
            </w:pPr>
          </w:p>
        </w:tc>
        <w:tc>
          <w:tcPr>
            <w:tcW w:w="217" w:type="dxa"/>
          </w:tcPr>
          <w:p w14:paraId="78DE6FA9" w14:textId="77777777" w:rsidR="002C0FD9" w:rsidRPr="00CA25CF" w:rsidRDefault="002C0FD9" w:rsidP="00CA25CF">
            <w:pPr>
              <w:rPr>
                <w:rFonts w:cs="Arial"/>
                <w:color w:val="FF0000"/>
                <w:sz w:val="21"/>
                <w:szCs w:val="21"/>
              </w:rPr>
            </w:pPr>
          </w:p>
        </w:tc>
        <w:tc>
          <w:tcPr>
            <w:tcW w:w="217" w:type="dxa"/>
          </w:tcPr>
          <w:p w14:paraId="086EB045" w14:textId="77777777" w:rsidR="002C0FD9" w:rsidRPr="00CA25CF" w:rsidRDefault="002C0FD9" w:rsidP="00CA25CF">
            <w:pPr>
              <w:rPr>
                <w:rFonts w:cs="Arial"/>
                <w:color w:val="FF0000"/>
                <w:sz w:val="21"/>
                <w:szCs w:val="21"/>
              </w:rPr>
            </w:pPr>
          </w:p>
        </w:tc>
        <w:tc>
          <w:tcPr>
            <w:tcW w:w="217" w:type="dxa"/>
          </w:tcPr>
          <w:p w14:paraId="196CEAF6" w14:textId="77777777" w:rsidR="002C0FD9" w:rsidRPr="00CA25CF" w:rsidRDefault="002C0FD9" w:rsidP="00CA25CF">
            <w:pPr>
              <w:rPr>
                <w:rFonts w:cs="Arial"/>
                <w:color w:val="FF0000"/>
                <w:sz w:val="21"/>
                <w:szCs w:val="21"/>
              </w:rPr>
            </w:pPr>
          </w:p>
        </w:tc>
        <w:tc>
          <w:tcPr>
            <w:tcW w:w="217" w:type="dxa"/>
          </w:tcPr>
          <w:p w14:paraId="027E9312" w14:textId="77777777" w:rsidR="002C0FD9" w:rsidRPr="00CA25CF" w:rsidRDefault="002C0FD9" w:rsidP="00CA25CF">
            <w:pPr>
              <w:rPr>
                <w:rFonts w:cs="Arial"/>
                <w:color w:val="FF0000"/>
                <w:sz w:val="21"/>
                <w:szCs w:val="21"/>
              </w:rPr>
            </w:pPr>
          </w:p>
        </w:tc>
        <w:tc>
          <w:tcPr>
            <w:tcW w:w="217" w:type="dxa"/>
          </w:tcPr>
          <w:p w14:paraId="4CDCD9C1" w14:textId="77777777" w:rsidR="002C0FD9" w:rsidRPr="00CA25CF" w:rsidRDefault="002C0FD9" w:rsidP="00CA25CF">
            <w:pPr>
              <w:rPr>
                <w:rFonts w:cs="Arial"/>
                <w:color w:val="FF0000"/>
                <w:sz w:val="21"/>
                <w:szCs w:val="21"/>
              </w:rPr>
            </w:pPr>
          </w:p>
        </w:tc>
        <w:tc>
          <w:tcPr>
            <w:tcW w:w="217" w:type="dxa"/>
          </w:tcPr>
          <w:p w14:paraId="4F9A8E24" w14:textId="77777777" w:rsidR="002C0FD9" w:rsidRPr="00CA25CF" w:rsidRDefault="002C0FD9" w:rsidP="00CA25CF">
            <w:pPr>
              <w:rPr>
                <w:rFonts w:cs="Arial"/>
                <w:color w:val="FF0000"/>
                <w:sz w:val="21"/>
                <w:szCs w:val="21"/>
              </w:rPr>
            </w:pPr>
          </w:p>
        </w:tc>
        <w:tc>
          <w:tcPr>
            <w:tcW w:w="217" w:type="dxa"/>
          </w:tcPr>
          <w:p w14:paraId="774BE16D" w14:textId="77777777" w:rsidR="002C0FD9" w:rsidRPr="00CA25CF" w:rsidRDefault="002C0FD9" w:rsidP="00CA25CF">
            <w:pPr>
              <w:rPr>
                <w:rFonts w:cs="Arial"/>
                <w:color w:val="FF0000"/>
                <w:sz w:val="21"/>
                <w:szCs w:val="21"/>
              </w:rPr>
            </w:pPr>
          </w:p>
        </w:tc>
        <w:tc>
          <w:tcPr>
            <w:tcW w:w="217" w:type="dxa"/>
          </w:tcPr>
          <w:p w14:paraId="35141772" w14:textId="77777777" w:rsidR="002C0FD9" w:rsidRPr="00CA25CF" w:rsidRDefault="002C0FD9" w:rsidP="00CA25CF">
            <w:pPr>
              <w:rPr>
                <w:rFonts w:cs="Arial"/>
                <w:color w:val="FF0000"/>
                <w:sz w:val="21"/>
                <w:szCs w:val="21"/>
              </w:rPr>
            </w:pPr>
          </w:p>
        </w:tc>
        <w:tc>
          <w:tcPr>
            <w:tcW w:w="217" w:type="dxa"/>
          </w:tcPr>
          <w:p w14:paraId="5ED44C33" w14:textId="77777777" w:rsidR="002C0FD9" w:rsidRPr="00CA25CF" w:rsidRDefault="002C0FD9" w:rsidP="00CA25CF">
            <w:pPr>
              <w:rPr>
                <w:rFonts w:cs="Arial"/>
                <w:color w:val="FF0000"/>
                <w:sz w:val="21"/>
                <w:szCs w:val="21"/>
              </w:rPr>
            </w:pPr>
          </w:p>
        </w:tc>
        <w:tc>
          <w:tcPr>
            <w:tcW w:w="217" w:type="dxa"/>
          </w:tcPr>
          <w:p w14:paraId="117C2DED" w14:textId="77777777" w:rsidR="002C0FD9" w:rsidRPr="00CA25CF" w:rsidRDefault="002C0FD9" w:rsidP="00CA25CF">
            <w:pPr>
              <w:rPr>
                <w:rFonts w:cs="Arial"/>
                <w:color w:val="FF0000"/>
                <w:sz w:val="21"/>
                <w:szCs w:val="21"/>
              </w:rPr>
            </w:pPr>
          </w:p>
        </w:tc>
        <w:tc>
          <w:tcPr>
            <w:tcW w:w="217" w:type="dxa"/>
          </w:tcPr>
          <w:p w14:paraId="63FA9810" w14:textId="77777777" w:rsidR="002C0FD9" w:rsidRPr="00CA25CF" w:rsidRDefault="002C0FD9" w:rsidP="00CA25CF">
            <w:pPr>
              <w:rPr>
                <w:rFonts w:cs="Arial"/>
                <w:color w:val="FF0000"/>
                <w:sz w:val="21"/>
                <w:szCs w:val="21"/>
              </w:rPr>
            </w:pPr>
          </w:p>
        </w:tc>
        <w:tc>
          <w:tcPr>
            <w:tcW w:w="217" w:type="dxa"/>
          </w:tcPr>
          <w:p w14:paraId="1FA89C25" w14:textId="77777777" w:rsidR="002C0FD9" w:rsidRPr="00CA25CF" w:rsidRDefault="002C0FD9" w:rsidP="00CA25CF">
            <w:pPr>
              <w:rPr>
                <w:rFonts w:cs="Arial"/>
                <w:color w:val="FF0000"/>
                <w:sz w:val="21"/>
                <w:szCs w:val="21"/>
              </w:rPr>
            </w:pPr>
          </w:p>
        </w:tc>
        <w:tc>
          <w:tcPr>
            <w:tcW w:w="217" w:type="dxa"/>
          </w:tcPr>
          <w:p w14:paraId="227AF45C" w14:textId="77777777" w:rsidR="002C0FD9" w:rsidRPr="00CA25CF" w:rsidRDefault="002C0FD9" w:rsidP="00CA25CF">
            <w:pPr>
              <w:rPr>
                <w:rFonts w:cs="Arial"/>
                <w:color w:val="FF0000"/>
                <w:sz w:val="21"/>
                <w:szCs w:val="21"/>
              </w:rPr>
            </w:pPr>
          </w:p>
        </w:tc>
        <w:tc>
          <w:tcPr>
            <w:tcW w:w="217" w:type="dxa"/>
          </w:tcPr>
          <w:p w14:paraId="61FD3ABF" w14:textId="77777777" w:rsidR="002C0FD9" w:rsidRPr="00CA25CF" w:rsidRDefault="002C0FD9" w:rsidP="00CA25CF">
            <w:pPr>
              <w:rPr>
                <w:rFonts w:cs="Arial"/>
                <w:color w:val="FF0000"/>
                <w:sz w:val="21"/>
                <w:szCs w:val="21"/>
              </w:rPr>
            </w:pPr>
          </w:p>
        </w:tc>
        <w:tc>
          <w:tcPr>
            <w:tcW w:w="217" w:type="dxa"/>
          </w:tcPr>
          <w:p w14:paraId="4AC39C9C" w14:textId="77777777" w:rsidR="002C0FD9" w:rsidRPr="00CA25CF" w:rsidRDefault="002C0FD9" w:rsidP="00CA25CF">
            <w:pPr>
              <w:rPr>
                <w:rFonts w:cs="Arial"/>
                <w:color w:val="FF0000"/>
                <w:sz w:val="21"/>
                <w:szCs w:val="21"/>
              </w:rPr>
            </w:pPr>
          </w:p>
        </w:tc>
        <w:tc>
          <w:tcPr>
            <w:tcW w:w="217" w:type="dxa"/>
          </w:tcPr>
          <w:p w14:paraId="4D5BE3BD" w14:textId="77777777" w:rsidR="002C0FD9" w:rsidRPr="00CA25CF" w:rsidRDefault="002C0FD9" w:rsidP="00CA25CF">
            <w:pPr>
              <w:rPr>
                <w:rFonts w:cs="Arial"/>
                <w:color w:val="FF0000"/>
                <w:sz w:val="21"/>
                <w:szCs w:val="21"/>
              </w:rPr>
            </w:pPr>
          </w:p>
        </w:tc>
        <w:tc>
          <w:tcPr>
            <w:tcW w:w="217" w:type="dxa"/>
          </w:tcPr>
          <w:p w14:paraId="593CA60C" w14:textId="77777777" w:rsidR="002C0FD9" w:rsidRPr="00CA25CF" w:rsidRDefault="002C0FD9" w:rsidP="00CA25CF">
            <w:pPr>
              <w:rPr>
                <w:rFonts w:cs="Arial"/>
                <w:color w:val="FF0000"/>
                <w:sz w:val="21"/>
                <w:szCs w:val="21"/>
              </w:rPr>
            </w:pPr>
          </w:p>
        </w:tc>
        <w:tc>
          <w:tcPr>
            <w:tcW w:w="217" w:type="dxa"/>
          </w:tcPr>
          <w:p w14:paraId="06BAF2C7" w14:textId="77777777" w:rsidR="002C0FD9" w:rsidRPr="00CA25CF" w:rsidRDefault="002C0FD9" w:rsidP="00CA25CF">
            <w:pPr>
              <w:rPr>
                <w:rFonts w:cs="Arial"/>
                <w:color w:val="FF0000"/>
                <w:sz w:val="21"/>
                <w:szCs w:val="21"/>
              </w:rPr>
            </w:pPr>
          </w:p>
        </w:tc>
        <w:tc>
          <w:tcPr>
            <w:tcW w:w="217" w:type="dxa"/>
          </w:tcPr>
          <w:p w14:paraId="4D007CA8" w14:textId="77777777" w:rsidR="002C0FD9" w:rsidRPr="00CA25CF" w:rsidRDefault="002C0FD9" w:rsidP="00CA25CF">
            <w:pPr>
              <w:rPr>
                <w:rFonts w:cs="Arial"/>
                <w:color w:val="FF0000"/>
                <w:sz w:val="21"/>
                <w:szCs w:val="21"/>
              </w:rPr>
            </w:pPr>
          </w:p>
        </w:tc>
        <w:tc>
          <w:tcPr>
            <w:tcW w:w="217" w:type="dxa"/>
          </w:tcPr>
          <w:p w14:paraId="26BB13FF" w14:textId="77777777" w:rsidR="002C0FD9" w:rsidRPr="00CA25CF" w:rsidRDefault="002C0FD9" w:rsidP="00CA25CF">
            <w:pPr>
              <w:rPr>
                <w:rFonts w:cs="Arial"/>
                <w:color w:val="FF0000"/>
                <w:sz w:val="21"/>
                <w:szCs w:val="21"/>
              </w:rPr>
            </w:pPr>
          </w:p>
        </w:tc>
        <w:tc>
          <w:tcPr>
            <w:tcW w:w="217" w:type="dxa"/>
          </w:tcPr>
          <w:p w14:paraId="71FAE4BE" w14:textId="77777777" w:rsidR="002C0FD9" w:rsidRPr="00CA25CF" w:rsidRDefault="002C0FD9" w:rsidP="00CA25CF">
            <w:pPr>
              <w:rPr>
                <w:rFonts w:cs="Arial"/>
                <w:color w:val="FF0000"/>
                <w:sz w:val="21"/>
                <w:szCs w:val="21"/>
              </w:rPr>
            </w:pPr>
          </w:p>
        </w:tc>
        <w:tc>
          <w:tcPr>
            <w:tcW w:w="217" w:type="dxa"/>
          </w:tcPr>
          <w:p w14:paraId="41263553" w14:textId="77777777" w:rsidR="002C0FD9" w:rsidRPr="00CA25CF" w:rsidRDefault="002C0FD9" w:rsidP="00CA25CF">
            <w:pPr>
              <w:rPr>
                <w:rFonts w:cs="Arial"/>
                <w:color w:val="FF0000"/>
                <w:sz w:val="21"/>
                <w:szCs w:val="21"/>
              </w:rPr>
            </w:pPr>
          </w:p>
        </w:tc>
      </w:tr>
      <w:tr w:rsidR="002C0FD9" w:rsidRPr="00A16219" w14:paraId="78D425A7" w14:textId="77777777" w:rsidTr="002C0FD9">
        <w:trPr>
          <w:trHeight w:val="635"/>
        </w:trPr>
        <w:tc>
          <w:tcPr>
            <w:tcW w:w="515" w:type="dxa"/>
          </w:tcPr>
          <w:p w14:paraId="1A730E4B" w14:textId="77777777" w:rsidR="002C0FD9" w:rsidRPr="00CA25CF" w:rsidRDefault="002C0FD9" w:rsidP="00CA25CF">
            <w:pPr>
              <w:rPr>
                <w:rFonts w:cs="Arial"/>
                <w:color w:val="FF0000"/>
                <w:sz w:val="21"/>
                <w:szCs w:val="21"/>
              </w:rPr>
            </w:pPr>
          </w:p>
        </w:tc>
        <w:tc>
          <w:tcPr>
            <w:tcW w:w="217" w:type="dxa"/>
          </w:tcPr>
          <w:p w14:paraId="4AF81D0D" w14:textId="77777777" w:rsidR="002C0FD9" w:rsidRPr="00CA25CF" w:rsidRDefault="002C0FD9" w:rsidP="00CA25CF">
            <w:pPr>
              <w:rPr>
                <w:rFonts w:cs="Arial"/>
                <w:color w:val="FF0000"/>
                <w:sz w:val="21"/>
                <w:szCs w:val="21"/>
              </w:rPr>
            </w:pPr>
          </w:p>
        </w:tc>
        <w:tc>
          <w:tcPr>
            <w:tcW w:w="217" w:type="dxa"/>
          </w:tcPr>
          <w:p w14:paraId="2B7F5257" w14:textId="77777777" w:rsidR="002C0FD9" w:rsidRPr="00CA25CF" w:rsidRDefault="002C0FD9" w:rsidP="00CA25CF">
            <w:pPr>
              <w:rPr>
                <w:rFonts w:cs="Arial"/>
                <w:color w:val="FF0000"/>
                <w:sz w:val="21"/>
                <w:szCs w:val="21"/>
              </w:rPr>
            </w:pPr>
          </w:p>
        </w:tc>
        <w:tc>
          <w:tcPr>
            <w:tcW w:w="217" w:type="dxa"/>
          </w:tcPr>
          <w:p w14:paraId="4E86AC8B" w14:textId="77777777" w:rsidR="002C0FD9" w:rsidRPr="00CA25CF" w:rsidRDefault="002C0FD9" w:rsidP="00CA25CF">
            <w:pPr>
              <w:rPr>
                <w:rFonts w:cs="Arial"/>
                <w:color w:val="FF0000"/>
                <w:sz w:val="21"/>
                <w:szCs w:val="21"/>
              </w:rPr>
            </w:pPr>
          </w:p>
        </w:tc>
        <w:tc>
          <w:tcPr>
            <w:tcW w:w="217" w:type="dxa"/>
          </w:tcPr>
          <w:p w14:paraId="1F9641A4" w14:textId="77777777" w:rsidR="002C0FD9" w:rsidRPr="00CA25CF" w:rsidRDefault="002C0FD9" w:rsidP="00CA25CF">
            <w:pPr>
              <w:rPr>
                <w:rFonts w:cs="Arial"/>
                <w:color w:val="FF0000"/>
                <w:sz w:val="21"/>
                <w:szCs w:val="21"/>
              </w:rPr>
            </w:pPr>
          </w:p>
        </w:tc>
        <w:tc>
          <w:tcPr>
            <w:tcW w:w="217" w:type="dxa"/>
          </w:tcPr>
          <w:p w14:paraId="6260EEB1" w14:textId="77777777" w:rsidR="002C0FD9" w:rsidRPr="00CA25CF" w:rsidRDefault="002C0FD9" w:rsidP="00CA25CF">
            <w:pPr>
              <w:rPr>
                <w:rFonts w:cs="Arial"/>
                <w:color w:val="FF0000"/>
                <w:sz w:val="21"/>
                <w:szCs w:val="21"/>
              </w:rPr>
            </w:pPr>
          </w:p>
        </w:tc>
        <w:tc>
          <w:tcPr>
            <w:tcW w:w="217" w:type="dxa"/>
          </w:tcPr>
          <w:p w14:paraId="3BB1EC65" w14:textId="77777777" w:rsidR="002C0FD9" w:rsidRPr="00CA25CF" w:rsidRDefault="002C0FD9" w:rsidP="00CA25CF">
            <w:pPr>
              <w:rPr>
                <w:rFonts w:cs="Arial"/>
                <w:color w:val="FF0000"/>
                <w:sz w:val="21"/>
                <w:szCs w:val="21"/>
              </w:rPr>
            </w:pPr>
          </w:p>
        </w:tc>
        <w:tc>
          <w:tcPr>
            <w:tcW w:w="217" w:type="dxa"/>
          </w:tcPr>
          <w:p w14:paraId="33C6AE57" w14:textId="77777777" w:rsidR="002C0FD9" w:rsidRPr="00CA25CF" w:rsidRDefault="002C0FD9" w:rsidP="00CA25CF">
            <w:pPr>
              <w:rPr>
                <w:rFonts w:cs="Arial"/>
                <w:color w:val="FF0000"/>
                <w:sz w:val="21"/>
                <w:szCs w:val="21"/>
              </w:rPr>
            </w:pPr>
          </w:p>
        </w:tc>
        <w:tc>
          <w:tcPr>
            <w:tcW w:w="217" w:type="dxa"/>
          </w:tcPr>
          <w:p w14:paraId="681B1CAA" w14:textId="77777777" w:rsidR="002C0FD9" w:rsidRPr="00CA25CF" w:rsidRDefault="002C0FD9" w:rsidP="00CA25CF">
            <w:pPr>
              <w:rPr>
                <w:rFonts w:cs="Arial"/>
                <w:color w:val="FF0000"/>
                <w:sz w:val="21"/>
                <w:szCs w:val="21"/>
              </w:rPr>
            </w:pPr>
          </w:p>
        </w:tc>
        <w:tc>
          <w:tcPr>
            <w:tcW w:w="217" w:type="dxa"/>
          </w:tcPr>
          <w:p w14:paraId="73279686" w14:textId="77777777" w:rsidR="002C0FD9" w:rsidRPr="00CA25CF" w:rsidRDefault="002C0FD9" w:rsidP="00CA25CF">
            <w:pPr>
              <w:rPr>
                <w:rFonts w:cs="Arial"/>
                <w:color w:val="FF0000"/>
                <w:sz w:val="21"/>
                <w:szCs w:val="21"/>
              </w:rPr>
            </w:pPr>
          </w:p>
        </w:tc>
        <w:tc>
          <w:tcPr>
            <w:tcW w:w="217" w:type="dxa"/>
          </w:tcPr>
          <w:p w14:paraId="50C67AAE" w14:textId="77777777" w:rsidR="002C0FD9" w:rsidRPr="00CA25CF" w:rsidRDefault="002C0FD9" w:rsidP="00CA25CF">
            <w:pPr>
              <w:rPr>
                <w:rFonts w:cs="Arial"/>
                <w:color w:val="FF0000"/>
                <w:sz w:val="21"/>
                <w:szCs w:val="21"/>
              </w:rPr>
            </w:pPr>
          </w:p>
        </w:tc>
        <w:tc>
          <w:tcPr>
            <w:tcW w:w="217" w:type="dxa"/>
          </w:tcPr>
          <w:p w14:paraId="695D438B" w14:textId="77777777" w:rsidR="002C0FD9" w:rsidRPr="00CA25CF" w:rsidRDefault="002C0FD9" w:rsidP="00CA25CF">
            <w:pPr>
              <w:rPr>
                <w:rFonts w:cs="Arial"/>
                <w:color w:val="FF0000"/>
                <w:sz w:val="21"/>
                <w:szCs w:val="21"/>
              </w:rPr>
            </w:pPr>
          </w:p>
        </w:tc>
        <w:tc>
          <w:tcPr>
            <w:tcW w:w="217" w:type="dxa"/>
          </w:tcPr>
          <w:p w14:paraId="39F51FA3" w14:textId="77777777" w:rsidR="002C0FD9" w:rsidRPr="00CA25CF" w:rsidRDefault="002C0FD9" w:rsidP="00CA25CF">
            <w:pPr>
              <w:rPr>
                <w:rFonts w:cs="Arial"/>
                <w:color w:val="FF0000"/>
                <w:sz w:val="21"/>
                <w:szCs w:val="21"/>
              </w:rPr>
            </w:pPr>
          </w:p>
        </w:tc>
        <w:tc>
          <w:tcPr>
            <w:tcW w:w="217" w:type="dxa"/>
          </w:tcPr>
          <w:p w14:paraId="0BCB7886" w14:textId="77777777" w:rsidR="002C0FD9" w:rsidRPr="00CA25CF" w:rsidRDefault="002C0FD9" w:rsidP="00CA25CF">
            <w:pPr>
              <w:rPr>
                <w:rFonts w:cs="Arial"/>
                <w:color w:val="FF0000"/>
                <w:sz w:val="21"/>
                <w:szCs w:val="21"/>
              </w:rPr>
            </w:pPr>
          </w:p>
        </w:tc>
        <w:tc>
          <w:tcPr>
            <w:tcW w:w="217" w:type="dxa"/>
          </w:tcPr>
          <w:p w14:paraId="17DB6B06" w14:textId="77777777" w:rsidR="002C0FD9" w:rsidRPr="00CA25CF" w:rsidRDefault="002C0FD9" w:rsidP="00CA25CF">
            <w:pPr>
              <w:rPr>
                <w:rFonts w:cs="Arial"/>
                <w:color w:val="FF0000"/>
                <w:sz w:val="21"/>
                <w:szCs w:val="21"/>
              </w:rPr>
            </w:pPr>
          </w:p>
        </w:tc>
        <w:tc>
          <w:tcPr>
            <w:tcW w:w="217" w:type="dxa"/>
          </w:tcPr>
          <w:p w14:paraId="57A57D73" w14:textId="77777777" w:rsidR="002C0FD9" w:rsidRPr="00CA25CF" w:rsidRDefault="002C0FD9" w:rsidP="00CA25CF">
            <w:pPr>
              <w:rPr>
                <w:rFonts w:cs="Arial"/>
                <w:color w:val="FF0000"/>
                <w:sz w:val="21"/>
                <w:szCs w:val="21"/>
              </w:rPr>
            </w:pPr>
          </w:p>
        </w:tc>
        <w:tc>
          <w:tcPr>
            <w:tcW w:w="217" w:type="dxa"/>
          </w:tcPr>
          <w:p w14:paraId="02CA8E6E" w14:textId="77777777" w:rsidR="002C0FD9" w:rsidRPr="00CA25CF" w:rsidRDefault="002C0FD9" w:rsidP="00CA25CF">
            <w:pPr>
              <w:rPr>
                <w:rFonts w:cs="Arial"/>
                <w:color w:val="FF0000"/>
                <w:sz w:val="21"/>
                <w:szCs w:val="21"/>
              </w:rPr>
            </w:pPr>
          </w:p>
        </w:tc>
        <w:tc>
          <w:tcPr>
            <w:tcW w:w="217" w:type="dxa"/>
          </w:tcPr>
          <w:p w14:paraId="2FC6C9C9" w14:textId="77777777" w:rsidR="002C0FD9" w:rsidRPr="00CA25CF" w:rsidRDefault="002C0FD9" w:rsidP="00CA25CF">
            <w:pPr>
              <w:rPr>
                <w:rFonts w:cs="Arial"/>
                <w:color w:val="FF0000"/>
                <w:sz w:val="21"/>
                <w:szCs w:val="21"/>
              </w:rPr>
            </w:pPr>
          </w:p>
        </w:tc>
        <w:tc>
          <w:tcPr>
            <w:tcW w:w="217" w:type="dxa"/>
          </w:tcPr>
          <w:p w14:paraId="7837E3DC" w14:textId="77777777" w:rsidR="002C0FD9" w:rsidRPr="00CA25CF" w:rsidRDefault="002C0FD9" w:rsidP="00CA25CF">
            <w:pPr>
              <w:rPr>
                <w:rFonts w:cs="Arial"/>
                <w:color w:val="FF0000"/>
                <w:sz w:val="21"/>
                <w:szCs w:val="21"/>
              </w:rPr>
            </w:pPr>
          </w:p>
        </w:tc>
        <w:tc>
          <w:tcPr>
            <w:tcW w:w="217" w:type="dxa"/>
          </w:tcPr>
          <w:p w14:paraId="132D567A" w14:textId="77777777" w:rsidR="002C0FD9" w:rsidRPr="00CA25CF" w:rsidRDefault="002C0FD9" w:rsidP="00CA25CF">
            <w:pPr>
              <w:rPr>
                <w:rFonts w:cs="Arial"/>
                <w:color w:val="FF0000"/>
                <w:sz w:val="21"/>
                <w:szCs w:val="21"/>
              </w:rPr>
            </w:pPr>
          </w:p>
        </w:tc>
        <w:tc>
          <w:tcPr>
            <w:tcW w:w="217" w:type="dxa"/>
          </w:tcPr>
          <w:p w14:paraId="4D5B3AD8" w14:textId="77777777" w:rsidR="002C0FD9" w:rsidRPr="00CA25CF" w:rsidRDefault="002C0FD9" w:rsidP="00CA25CF">
            <w:pPr>
              <w:rPr>
                <w:rFonts w:cs="Arial"/>
                <w:color w:val="FF0000"/>
                <w:sz w:val="21"/>
                <w:szCs w:val="21"/>
              </w:rPr>
            </w:pPr>
          </w:p>
        </w:tc>
        <w:tc>
          <w:tcPr>
            <w:tcW w:w="217" w:type="dxa"/>
          </w:tcPr>
          <w:p w14:paraId="3FED56F9" w14:textId="77777777" w:rsidR="002C0FD9" w:rsidRPr="00CA25CF" w:rsidRDefault="002C0FD9" w:rsidP="00CA25CF">
            <w:pPr>
              <w:rPr>
                <w:rFonts w:cs="Arial"/>
                <w:color w:val="FF0000"/>
                <w:sz w:val="21"/>
                <w:szCs w:val="21"/>
              </w:rPr>
            </w:pPr>
          </w:p>
        </w:tc>
        <w:tc>
          <w:tcPr>
            <w:tcW w:w="217" w:type="dxa"/>
          </w:tcPr>
          <w:p w14:paraId="0F2E5485" w14:textId="77777777" w:rsidR="002C0FD9" w:rsidRPr="00CA25CF" w:rsidRDefault="002C0FD9" w:rsidP="00CA25CF">
            <w:pPr>
              <w:rPr>
                <w:rFonts w:cs="Arial"/>
                <w:color w:val="FF0000"/>
                <w:sz w:val="21"/>
                <w:szCs w:val="21"/>
              </w:rPr>
            </w:pPr>
          </w:p>
        </w:tc>
        <w:tc>
          <w:tcPr>
            <w:tcW w:w="217" w:type="dxa"/>
          </w:tcPr>
          <w:p w14:paraId="7F6D1F6B" w14:textId="77777777" w:rsidR="002C0FD9" w:rsidRPr="00CA25CF" w:rsidRDefault="002C0FD9" w:rsidP="00CA25CF">
            <w:pPr>
              <w:rPr>
                <w:rFonts w:cs="Arial"/>
                <w:color w:val="FF0000"/>
                <w:sz w:val="21"/>
                <w:szCs w:val="21"/>
              </w:rPr>
            </w:pPr>
          </w:p>
        </w:tc>
        <w:tc>
          <w:tcPr>
            <w:tcW w:w="217" w:type="dxa"/>
          </w:tcPr>
          <w:p w14:paraId="185B596A" w14:textId="77777777" w:rsidR="002C0FD9" w:rsidRPr="00CA25CF" w:rsidRDefault="002C0FD9" w:rsidP="00CA25CF">
            <w:pPr>
              <w:rPr>
                <w:rFonts w:cs="Arial"/>
                <w:color w:val="FF0000"/>
                <w:sz w:val="21"/>
                <w:szCs w:val="21"/>
              </w:rPr>
            </w:pPr>
          </w:p>
        </w:tc>
        <w:tc>
          <w:tcPr>
            <w:tcW w:w="217" w:type="dxa"/>
          </w:tcPr>
          <w:p w14:paraId="0381EFA2" w14:textId="77777777" w:rsidR="002C0FD9" w:rsidRPr="00CA25CF" w:rsidRDefault="002C0FD9" w:rsidP="00CA25CF">
            <w:pPr>
              <w:rPr>
                <w:rFonts w:cs="Arial"/>
                <w:color w:val="FF0000"/>
                <w:sz w:val="21"/>
                <w:szCs w:val="21"/>
              </w:rPr>
            </w:pPr>
          </w:p>
        </w:tc>
        <w:tc>
          <w:tcPr>
            <w:tcW w:w="217" w:type="dxa"/>
          </w:tcPr>
          <w:p w14:paraId="2AD2CF34" w14:textId="77777777" w:rsidR="002C0FD9" w:rsidRPr="00CA25CF" w:rsidRDefault="002C0FD9" w:rsidP="00CA25CF">
            <w:pPr>
              <w:rPr>
                <w:rFonts w:cs="Arial"/>
                <w:color w:val="FF0000"/>
                <w:sz w:val="21"/>
                <w:szCs w:val="21"/>
              </w:rPr>
            </w:pPr>
          </w:p>
        </w:tc>
        <w:tc>
          <w:tcPr>
            <w:tcW w:w="217" w:type="dxa"/>
          </w:tcPr>
          <w:p w14:paraId="7463BDF4" w14:textId="77777777" w:rsidR="002C0FD9" w:rsidRPr="00CA25CF" w:rsidRDefault="002C0FD9" w:rsidP="00CA25CF">
            <w:pPr>
              <w:rPr>
                <w:rFonts w:cs="Arial"/>
                <w:color w:val="FF0000"/>
                <w:sz w:val="21"/>
                <w:szCs w:val="21"/>
              </w:rPr>
            </w:pPr>
          </w:p>
        </w:tc>
        <w:tc>
          <w:tcPr>
            <w:tcW w:w="217" w:type="dxa"/>
          </w:tcPr>
          <w:p w14:paraId="317B1F18" w14:textId="77777777" w:rsidR="002C0FD9" w:rsidRPr="00CA25CF" w:rsidRDefault="002C0FD9" w:rsidP="00CA25CF">
            <w:pPr>
              <w:rPr>
                <w:rFonts w:cs="Arial"/>
                <w:color w:val="FF0000"/>
                <w:sz w:val="21"/>
                <w:szCs w:val="21"/>
              </w:rPr>
            </w:pPr>
          </w:p>
        </w:tc>
        <w:tc>
          <w:tcPr>
            <w:tcW w:w="217" w:type="dxa"/>
          </w:tcPr>
          <w:p w14:paraId="5B64B34F" w14:textId="77777777" w:rsidR="002C0FD9" w:rsidRPr="00CA25CF" w:rsidRDefault="002C0FD9" w:rsidP="00CA25CF">
            <w:pPr>
              <w:rPr>
                <w:rFonts w:cs="Arial"/>
                <w:color w:val="FF0000"/>
                <w:sz w:val="21"/>
                <w:szCs w:val="21"/>
              </w:rPr>
            </w:pPr>
          </w:p>
        </w:tc>
        <w:tc>
          <w:tcPr>
            <w:tcW w:w="217" w:type="dxa"/>
          </w:tcPr>
          <w:p w14:paraId="413FC480" w14:textId="77777777" w:rsidR="002C0FD9" w:rsidRPr="00CA25CF" w:rsidRDefault="002C0FD9" w:rsidP="00CA25CF">
            <w:pPr>
              <w:rPr>
                <w:rFonts w:cs="Arial"/>
                <w:color w:val="FF0000"/>
                <w:sz w:val="21"/>
                <w:szCs w:val="21"/>
              </w:rPr>
            </w:pPr>
          </w:p>
        </w:tc>
        <w:tc>
          <w:tcPr>
            <w:tcW w:w="217" w:type="dxa"/>
          </w:tcPr>
          <w:p w14:paraId="4662446E" w14:textId="77777777" w:rsidR="002C0FD9" w:rsidRPr="00CA25CF" w:rsidRDefault="002C0FD9" w:rsidP="00CA25CF">
            <w:pPr>
              <w:rPr>
                <w:rFonts w:cs="Arial"/>
                <w:color w:val="FF0000"/>
                <w:sz w:val="21"/>
                <w:szCs w:val="21"/>
              </w:rPr>
            </w:pPr>
          </w:p>
        </w:tc>
        <w:tc>
          <w:tcPr>
            <w:tcW w:w="217" w:type="dxa"/>
          </w:tcPr>
          <w:p w14:paraId="42E8194F" w14:textId="77777777" w:rsidR="002C0FD9" w:rsidRPr="00CA25CF" w:rsidRDefault="002C0FD9" w:rsidP="00CA25CF">
            <w:pPr>
              <w:rPr>
                <w:rFonts w:cs="Arial"/>
                <w:color w:val="FF0000"/>
                <w:sz w:val="21"/>
                <w:szCs w:val="21"/>
              </w:rPr>
            </w:pPr>
          </w:p>
        </w:tc>
        <w:tc>
          <w:tcPr>
            <w:tcW w:w="217" w:type="dxa"/>
          </w:tcPr>
          <w:p w14:paraId="5D1FD45F" w14:textId="77777777" w:rsidR="002C0FD9" w:rsidRPr="00CA25CF" w:rsidRDefault="002C0FD9" w:rsidP="00CA25CF">
            <w:pPr>
              <w:rPr>
                <w:rFonts w:cs="Arial"/>
                <w:color w:val="FF0000"/>
                <w:sz w:val="21"/>
                <w:szCs w:val="21"/>
              </w:rPr>
            </w:pPr>
          </w:p>
        </w:tc>
        <w:tc>
          <w:tcPr>
            <w:tcW w:w="217" w:type="dxa"/>
          </w:tcPr>
          <w:p w14:paraId="29233733" w14:textId="77777777" w:rsidR="002C0FD9" w:rsidRPr="00CA25CF" w:rsidRDefault="002C0FD9" w:rsidP="00CA25CF">
            <w:pPr>
              <w:rPr>
                <w:rFonts w:cs="Arial"/>
                <w:color w:val="FF0000"/>
                <w:sz w:val="21"/>
                <w:szCs w:val="21"/>
              </w:rPr>
            </w:pPr>
          </w:p>
        </w:tc>
        <w:tc>
          <w:tcPr>
            <w:tcW w:w="217" w:type="dxa"/>
          </w:tcPr>
          <w:p w14:paraId="47096E94" w14:textId="77777777" w:rsidR="002C0FD9" w:rsidRPr="00CA25CF" w:rsidRDefault="002C0FD9" w:rsidP="00CA25CF">
            <w:pPr>
              <w:rPr>
                <w:rFonts w:cs="Arial"/>
                <w:color w:val="FF0000"/>
                <w:sz w:val="21"/>
                <w:szCs w:val="21"/>
              </w:rPr>
            </w:pPr>
          </w:p>
        </w:tc>
        <w:tc>
          <w:tcPr>
            <w:tcW w:w="217" w:type="dxa"/>
          </w:tcPr>
          <w:p w14:paraId="4FE3EF71" w14:textId="77777777" w:rsidR="002C0FD9" w:rsidRPr="00CA25CF" w:rsidRDefault="002C0FD9" w:rsidP="00CA25CF">
            <w:pPr>
              <w:rPr>
                <w:rFonts w:cs="Arial"/>
                <w:color w:val="FF0000"/>
                <w:sz w:val="21"/>
                <w:szCs w:val="21"/>
              </w:rPr>
            </w:pPr>
          </w:p>
        </w:tc>
        <w:tc>
          <w:tcPr>
            <w:tcW w:w="217" w:type="dxa"/>
          </w:tcPr>
          <w:p w14:paraId="7665AD6C" w14:textId="77777777" w:rsidR="002C0FD9" w:rsidRPr="00CA25CF" w:rsidRDefault="002C0FD9" w:rsidP="00CA25CF">
            <w:pPr>
              <w:rPr>
                <w:rFonts w:cs="Arial"/>
                <w:color w:val="FF0000"/>
                <w:sz w:val="21"/>
                <w:szCs w:val="21"/>
              </w:rPr>
            </w:pPr>
          </w:p>
        </w:tc>
        <w:tc>
          <w:tcPr>
            <w:tcW w:w="217" w:type="dxa"/>
          </w:tcPr>
          <w:p w14:paraId="35BAED3D" w14:textId="77777777" w:rsidR="002C0FD9" w:rsidRPr="00CA25CF" w:rsidRDefault="002C0FD9" w:rsidP="00CA25CF">
            <w:pPr>
              <w:rPr>
                <w:rFonts w:cs="Arial"/>
                <w:color w:val="FF0000"/>
                <w:sz w:val="21"/>
                <w:szCs w:val="21"/>
              </w:rPr>
            </w:pPr>
          </w:p>
        </w:tc>
        <w:tc>
          <w:tcPr>
            <w:tcW w:w="217" w:type="dxa"/>
          </w:tcPr>
          <w:p w14:paraId="5F2C114E" w14:textId="77777777" w:rsidR="002C0FD9" w:rsidRPr="00CA25CF" w:rsidRDefault="002C0FD9" w:rsidP="00CA25CF">
            <w:pPr>
              <w:rPr>
                <w:rFonts w:cs="Arial"/>
                <w:color w:val="FF0000"/>
                <w:sz w:val="21"/>
                <w:szCs w:val="21"/>
              </w:rPr>
            </w:pPr>
          </w:p>
        </w:tc>
        <w:tc>
          <w:tcPr>
            <w:tcW w:w="217" w:type="dxa"/>
          </w:tcPr>
          <w:p w14:paraId="38A0B680" w14:textId="77777777" w:rsidR="002C0FD9" w:rsidRPr="00CA25CF" w:rsidRDefault="002C0FD9" w:rsidP="00CA25CF">
            <w:pPr>
              <w:rPr>
                <w:rFonts w:cs="Arial"/>
                <w:color w:val="FF0000"/>
                <w:sz w:val="21"/>
                <w:szCs w:val="21"/>
              </w:rPr>
            </w:pPr>
          </w:p>
        </w:tc>
        <w:tc>
          <w:tcPr>
            <w:tcW w:w="217" w:type="dxa"/>
          </w:tcPr>
          <w:p w14:paraId="08862C30" w14:textId="77777777" w:rsidR="002C0FD9" w:rsidRPr="00CA25CF" w:rsidRDefault="002C0FD9" w:rsidP="00CA25CF">
            <w:pPr>
              <w:rPr>
                <w:rFonts w:cs="Arial"/>
                <w:color w:val="FF0000"/>
                <w:sz w:val="21"/>
                <w:szCs w:val="21"/>
              </w:rPr>
            </w:pPr>
          </w:p>
        </w:tc>
        <w:tc>
          <w:tcPr>
            <w:tcW w:w="217" w:type="dxa"/>
          </w:tcPr>
          <w:p w14:paraId="1E59DF31" w14:textId="77777777" w:rsidR="002C0FD9" w:rsidRPr="00CA25CF" w:rsidRDefault="002C0FD9" w:rsidP="00CA25CF">
            <w:pPr>
              <w:rPr>
                <w:rFonts w:cs="Arial"/>
                <w:color w:val="FF0000"/>
                <w:sz w:val="21"/>
                <w:szCs w:val="21"/>
              </w:rPr>
            </w:pPr>
          </w:p>
        </w:tc>
      </w:tr>
      <w:tr w:rsidR="002C0FD9" w:rsidRPr="00A16219" w14:paraId="71BBAD41" w14:textId="77777777" w:rsidTr="002C0FD9">
        <w:trPr>
          <w:trHeight w:val="635"/>
        </w:trPr>
        <w:tc>
          <w:tcPr>
            <w:tcW w:w="515" w:type="dxa"/>
          </w:tcPr>
          <w:p w14:paraId="7DB5631D" w14:textId="77777777" w:rsidR="002C0FD9" w:rsidRPr="00CA25CF" w:rsidRDefault="002C0FD9" w:rsidP="00CA25CF">
            <w:pPr>
              <w:rPr>
                <w:rFonts w:cs="Arial"/>
                <w:color w:val="FF0000"/>
                <w:sz w:val="21"/>
                <w:szCs w:val="21"/>
              </w:rPr>
            </w:pPr>
          </w:p>
        </w:tc>
        <w:tc>
          <w:tcPr>
            <w:tcW w:w="217" w:type="dxa"/>
          </w:tcPr>
          <w:p w14:paraId="32A83B82" w14:textId="77777777" w:rsidR="002C0FD9" w:rsidRPr="00CA25CF" w:rsidRDefault="002C0FD9" w:rsidP="00CA25CF">
            <w:pPr>
              <w:rPr>
                <w:rFonts w:cs="Arial"/>
                <w:color w:val="FF0000"/>
                <w:sz w:val="21"/>
                <w:szCs w:val="21"/>
              </w:rPr>
            </w:pPr>
          </w:p>
        </w:tc>
        <w:tc>
          <w:tcPr>
            <w:tcW w:w="217" w:type="dxa"/>
          </w:tcPr>
          <w:p w14:paraId="7AFFBA52" w14:textId="77777777" w:rsidR="002C0FD9" w:rsidRPr="00CA25CF" w:rsidRDefault="002C0FD9" w:rsidP="00CA25CF">
            <w:pPr>
              <w:rPr>
                <w:rFonts w:cs="Arial"/>
                <w:color w:val="FF0000"/>
                <w:sz w:val="21"/>
                <w:szCs w:val="21"/>
              </w:rPr>
            </w:pPr>
          </w:p>
        </w:tc>
        <w:tc>
          <w:tcPr>
            <w:tcW w:w="217" w:type="dxa"/>
          </w:tcPr>
          <w:p w14:paraId="3F9BE2A9" w14:textId="77777777" w:rsidR="002C0FD9" w:rsidRPr="00CA25CF" w:rsidRDefault="002C0FD9" w:rsidP="00CA25CF">
            <w:pPr>
              <w:rPr>
                <w:rFonts w:cs="Arial"/>
                <w:color w:val="FF0000"/>
                <w:sz w:val="21"/>
                <w:szCs w:val="21"/>
              </w:rPr>
            </w:pPr>
          </w:p>
        </w:tc>
        <w:tc>
          <w:tcPr>
            <w:tcW w:w="217" w:type="dxa"/>
          </w:tcPr>
          <w:p w14:paraId="5A53456F" w14:textId="77777777" w:rsidR="002C0FD9" w:rsidRPr="00CA25CF" w:rsidRDefault="002C0FD9" w:rsidP="00CA25CF">
            <w:pPr>
              <w:rPr>
                <w:rFonts w:cs="Arial"/>
                <w:color w:val="FF0000"/>
                <w:sz w:val="21"/>
                <w:szCs w:val="21"/>
              </w:rPr>
            </w:pPr>
          </w:p>
        </w:tc>
        <w:tc>
          <w:tcPr>
            <w:tcW w:w="217" w:type="dxa"/>
          </w:tcPr>
          <w:p w14:paraId="479B9D93" w14:textId="77777777" w:rsidR="002C0FD9" w:rsidRPr="00CA25CF" w:rsidRDefault="002C0FD9" w:rsidP="00CA25CF">
            <w:pPr>
              <w:rPr>
                <w:rFonts w:cs="Arial"/>
                <w:color w:val="FF0000"/>
                <w:sz w:val="21"/>
                <w:szCs w:val="21"/>
              </w:rPr>
            </w:pPr>
          </w:p>
        </w:tc>
        <w:tc>
          <w:tcPr>
            <w:tcW w:w="217" w:type="dxa"/>
          </w:tcPr>
          <w:p w14:paraId="37F8D99C" w14:textId="77777777" w:rsidR="002C0FD9" w:rsidRPr="00CA25CF" w:rsidRDefault="002C0FD9" w:rsidP="00CA25CF">
            <w:pPr>
              <w:rPr>
                <w:rFonts w:cs="Arial"/>
                <w:color w:val="FF0000"/>
                <w:sz w:val="21"/>
                <w:szCs w:val="21"/>
              </w:rPr>
            </w:pPr>
          </w:p>
        </w:tc>
        <w:tc>
          <w:tcPr>
            <w:tcW w:w="217" w:type="dxa"/>
          </w:tcPr>
          <w:p w14:paraId="60C0FAE7" w14:textId="77777777" w:rsidR="002C0FD9" w:rsidRPr="00CA25CF" w:rsidRDefault="002C0FD9" w:rsidP="00CA25CF">
            <w:pPr>
              <w:rPr>
                <w:rFonts w:cs="Arial"/>
                <w:color w:val="FF0000"/>
                <w:sz w:val="21"/>
                <w:szCs w:val="21"/>
              </w:rPr>
            </w:pPr>
          </w:p>
        </w:tc>
        <w:tc>
          <w:tcPr>
            <w:tcW w:w="217" w:type="dxa"/>
          </w:tcPr>
          <w:p w14:paraId="666669D3" w14:textId="77777777" w:rsidR="002C0FD9" w:rsidRPr="00CA25CF" w:rsidRDefault="002C0FD9" w:rsidP="00CA25CF">
            <w:pPr>
              <w:rPr>
                <w:rFonts w:cs="Arial"/>
                <w:color w:val="FF0000"/>
                <w:sz w:val="21"/>
                <w:szCs w:val="21"/>
              </w:rPr>
            </w:pPr>
          </w:p>
        </w:tc>
        <w:tc>
          <w:tcPr>
            <w:tcW w:w="217" w:type="dxa"/>
          </w:tcPr>
          <w:p w14:paraId="01F6B1CD" w14:textId="77777777" w:rsidR="002C0FD9" w:rsidRPr="00CA25CF" w:rsidRDefault="002C0FD9" w:rsidP="00CA25CF">
            <w:pPr>
              <w:rPr>
                <w:rFonts w:cs="Arial"/>
                <w:color w:val="FF0000"/>
                <w:sz w:val="21"/>
                <w:szCs w:val="21"/>
              </w:rPr>
            </w:pPr>
          </w:p>
        </w:tc>
        <w:tc>
          <w:tcPr>
            <w:tcW w:w="217" w:type="dxa"/>
          </w:tcPr>
          <w:p w14:paraId="700FB965" w14:textId="77777777" w:rsidR="002C0FD9" w:rsidRPr="00CA25CF" w:rsidRDefault="002C0FD9" w:rsidP="00CA25CF">
            <w:pPr>
              <w:rPr>
                <w:rFonts w:cs="Arial"/>
                <w:color w:val="FF0000"/>
                <w:sz w:val="21"/>
                <w:szCs w:val="21"/>
              </w:rPr>
            </w:pPr>
          </w:p>
        </w:tc>
        <w:tc>
          <w:tcPr>
            <w:tcW w:w="217" w:type="dxa"/>
          </w:tcPr>
          <w:p w14:paraId="2648532D" w14:textId="77777777" w:rsidR="002C0FD9" w:rsidRPr="00CA25CF" w:rsidRDefault="002C0FD9" w:rsidP="00CA25CF">
            <w:pPr>
              <w:rPr>
                <w:rFonts w:cs="Arial"/>
                <w:color w:val="FF0000"/>
                <w:sz w:val="21"/>
                <w:szCs w:val="21"/>
              </w:rPr>
            </w:pPr>
          </w:p>
        </w:tc>
        <w:tc>
          <w:tcPr>
            <w:tcW w:w="217" w:type="dxa"/>
          </w:tcPr>
          <w:p w14:paraId="3FABBCF0" w14:textId="77777777" w:rsidR="002C0FD9" w:rsidRPr="00CA25CF" w:rsidRDefault="002C0FD9" w:rsidP="00CA25CF">
            <w:pPr>
              <w:rPr>
                <w:rFonts w:cs="Arial"/>
                <w:color w:val="FF0000"/>
                <w:sz w:val="21"/>
                <w:szCs w:val="21"/>
              </w:rPr>
            </w:pPr>
          </w:p>
        </w:tc>
        <w:tc>
          <w:tcPr>
            <w:tcW w:w="217" w:type="dxa"/>
          </w:tcPr>
          <w:p w14:paraId="3A7C29FD" w14:textId="77777777" w:rsidR="002C0FD9" w:rsidRPr="00CA25CF" w:rsidRDefault="002C0FD9" w:rsidP="00CA25CF">
            <w:pPr>
              <w:rPr>
                <w:rFonts w:cs="Arial"/>
                <w:color w:val="FF0000"/>
                <w:sz w:val="21"/>
                <w:szCs w:val="21"/>
              </w:rPr>
            </w:pPr>
          </w:p>
        </w:tc>
        <w:tc>
          <w:tcPr>
            <w:tcW w:w="217" w:type="dxa"/>
          </w:tcPr>
          <w:p w14:paraId="4863B0D7" w14:textId="77777777" w:rsidR="002C0FD9" w:rsidRPr="00CA25CF" w:rsidRDefault="002C0FD9" w:rsidP="00CA25CF">
            <w:pPr>
              <w:rPr>
                <w:rFonts w:cs="Arial"/>
                <w:color w:val="FF0000"/>
                <w:sz w:val="21"/>
                <w:szCs w:val="21"/>
              </w:rPr>
            </w:pPr>
          </w:p>
        </w:tc>
        <w:tc>
          <w:tcPr>
            <w:tcW w:w="217" w:type="dxa"/>
          </w:tcPr>
          <w:p w14:paraId="33841175" w14:textId="77777777" w:rsidR="002C0FD9" w:rsidRPr="00CA25CF" w:rsidRDefault="002C0FD9" w:rsidP="00CA25CF">
            <w:pPr>
              <w:rPr>
                <w:rFonts w:cs="Arial"/>
                <w:color w:val="FF0000"/>
                <w:sz w:val="21"/>
                <w:szCs w:val="21"/>
              </w:rPr>
            </w:pPr>
          </w:p>
        </w:tc>
        <w:tc>
          <w:tcPr>
            <w:tcW w:w="217" w:type="dxa"/>
          </w:tcPr>
          <w:p w14:paraId="6C9E77D0" w14:textId="77777777" w:rsidR="002C0FD9" w:rsidRPr="00CA25CF" w:rsidRDefault="002C0FD9" w:rsidP="00CA25CF">
            <w:pPr>
              <w:rPr>
                <w:rFonts w:cs="Arial"/>
                <w:color w:val="FF0000"/>
                <w:sz w:val="21"/>
                <w:szCs w:val="21"/>
              </w:rPr>
            </w:pPr>
          </w:p>
        </w:tc>
        <w:tc>
          <w:tcPr>
            <w:tcW w:w="217" w:type="dxa"/>
          </w:tcPr>
          <w:p w14:paraId="16675D40" w14:textId="77777777" w:rsidR="002C0FD9" w:rsidRPr="00CA25CF" w:rsidRDefault="002C0FD9" w:rsidP="00CA25CF">
            <w:pPr>
              <w:rPr>
                <w:rFonts w:cs="Arial"/>
                <w:color w:val="FF0000"/>
                <w:sz w:val="21"/>
                <w:szCs w:val="21"/>
              </w:rPr>
            </w:pPr>
          </w:p>
        </w:tc>
        <w:tc>
          <w:tcPr>
            <w:tcW w:w="217" w:type="dxa"/>
          </w:tcPr>
          <w:p w14:paraId="16712F4D" w14:textId="77777777" w:rsidR="002C0FD9" w:rsidRPr="00CA25CF" w:rsidRDefault="002C0FD9" w:rsidP="00CA25CF">
            <w:pPr>
              <w:rPr>
                <w:rFonts w:cs="Arial"/>
                <w:color w:val="FF0000"/>
                <w:sz w:val="21"/>
                <w:szCs w:val="21"/>
              </w:rPr>
            </w:pPr>
          </w:p>
        </w:tc>
        <w:tc>
          <w:tcPr>
            <w:tcW w:w="217" w:type="dxa"/>
          </w:tcPr>
          <w:p w14:paraId="0F3068A7" w14:textId="77777777" w:rsidR="002C0FD9" w:rsidRPr="00CA25CF" w:rsidRDefault="002C0FD9" w:rsidP="00CA25CF">
            <w:pPr>
              <w:rPr>
                <w:rFonts w:cs="Arial"/>
                <w:color w:val="FF0000"/>
                <w:sz w:val="21"/>
                <w:szCs w:val="21"/>
              </w:rPr>
            </w:pPr>
          </w:p>
        </w:tc>
        <w:tc>
          <w:tcPr>
            <w:tcW w:w="217" w:type="dxa"/>
          </w:tcPr>
          <w:p w14:paraId="4F2B93AD" w14:textId="77777777" w:rsidR="002C0FD9" w:rsidRPr="00CA25CF" w:rsidRDefault="002C0FD9" w:rsidP="00CA25CF">
            <w:pPr>
              <w:rPr>
                <w:rFonts w:cs="Arial"/>
                <w:color w:val="FF0000"/>
                <w:sz w:val="21"/>
                <w:szCs w:val="21"/>
              </w:rPr>
            </w:pPr>
          </w:p>
        </w:tc>
        <w:tc>
          <w:tcPr>
            <w:tcW w:w="217" w:type="dxa"/>
          </w:tcPr>
          <w:p w14:paraId="55CD38DA" w14:textId="77777777" w:rsidR="002C0FD9" w:rsidRPr="00CA25CF" w:rsidRDefault="002C0FD9" w:rsidP="00CA25CF">
            <w:pPr>
              <w:rPr>
                <w:rFonts w:cs="Arial"/>
                <w:color w:val="FF0000"/>
                <w:sz w:val="21"/>
                <w:szCs w:val="21"/>
              </w:rPr>
            </w:pPr>
          </w:p>
        </w:tc>
        <w:tc>
          <w:tcPr>
            <w:tcW w:w="217" w:type="dxa"/>
          </w:tcPr>
          <w:p w14:paraId="3D0AD757" w14:textId="77777777" w:rsidR="002C0FD9" w:rsidRPr="00CA25CF" w:rsidRDefault="002C0FD9" w:rsidP="00CA25CF">
            <w:pPr>
              <w:rPr>
                <w:rFonts w:cs="Arial"/>
                <w:color w:val="FF0000"/>
                <w:sz w:val="21"/>
                <w:szCs w:val="21"/>
              </w:rPr>
            </w:pPr>
          </w:p>
        </w:tc>
        <w:tc>
          <w:tcPr>
            <w:tcW w:w="217" w:type="dxa"/>
          </w:tcPr>
          <w:p w14:paraId="63F3FDC5" w14:textId="77777777" w:rsidR="002C0FD9" w:rsidRPr="00CA25CF" w:rsidRDefault="002C0FD9" w:rsidP="00CA25CF">
            <w:pPr>
              <w:rPr>
                <w:rFonts w:cs="Arial"/>
                <w:color w:val="FF0000"/>
                <w:sz w:val="21"/>
                <w:szCs w:val="21"/>
              </w:rPr>
            </w:pPr>
          </w:p>
        </w:tc>
        <w:tc>
          <w:tcPr>
            <w:tcW w:w="217" w:type="dxa"/>
          </w:tcPr>
          <w:p w14:paraId="225B4E41" w14:textId="77777777" w:rsidR="002C0FD9" w:rsidRPr="00CA25CF" w:rsidRDefault="002C0FD9" w:rsidP="00CA25CF">
            <w:pPr>
              <w:rPr>
                <w:rFonts w:cs="Arial"/>
                <w:color w:val="FF0000"/>
                <w:sz w:val="21"/>
                <w:szCs w:val="21"/>
              </w:rPr>
            </w:pPr>
          </w:p>
        </w:tc>
        <w:tc>
          <w:tcPr>
            <w:tcW w:w="217" w:type="dxa"/>
          </w:tcPr>
          <w:p w14:paraId="23D5C55E" w14:textId="77777777" w:rsidR="002C0FD9" w:rsidRPr="00CA25CF" w:rsidRDefault="002C0FD9" w:rsidP="00CA25CF">
            <w:pPr>
              <w:rPr>
                <w:rFonts w:cs="Arial"/>
                <w:color w:val="FF0000"/>
                <w:sz w:val="21"/>
                <w:szCs w:val="21"/>
              </w:rPr>
            </w:pPr>
          </w:p>
        </w:tc>
        <w:tc>
          <w:tcPr>
            <w:tcW w:w="217" w:type="dxa"/>
          </w:tcPr>
          <w:p w14:paraId="5B017200" w14:textId="77777777" w:rsidR="002C0FD9" w:rsidRPr="00CA25CF" w:rsidRDefault="002C0FD9" w:rsidP="00CA25CF">
            <w:pPr>
              <w:rPr>
                <w:rFonts w:cs="Arial"/>
                <w:color w:val="FF0000"/>
                <w:sz w:val="21"/>
                <w:szCs w:val="21"/>
              </w:rPr>
            </w:pPr>
          </w:p>
        </w:tc>
        <w:tc>
          <w:tcPr>
            <w:tcW w:w="217" w:type="dxa"/>
          </w:tcPr>
          <w:p w14:paraId="617F5572" w14:textId="77777777" w:rsidR="002C0FD9" w:rsidRPr="00CA25CF" w:rsidRDefault="002C0FD9" w:rsidP="00CA25CF">
            <w:pPr>
              <w:rPr>
                <w:rFonts w:cs="Arial"/>
                <w:color w:val="FF0000"/>
                <w:sz w:val="21"/>
                <w:szCs w:val="21"/>
              </w:rPr>
            </w:pPr>
          </w:p>
        </w:tc>
        <w:tc>
          <w:tcPr>
            <w:tcW w:w="217" w:type="dxa"/>
          </w:tcPr>
          <w:p w14:paraId="6CFDE262" w14:textId="77777777" w:rsidR="002C0FD9" w:rsidRPr="00CA25CF" w:rsidRDefault="002C0FD9" w:rsidP="00CA25CF">
            <w:pPr>
              <w:rPr>
                <w:rFonts w:cs="Arial"/>
                <w:color w:val="FF0000"/>
                <w:sz w:val="21"/>
                <w:szCs w:val="21"/>
              </w:rPr>
            </w:pPr>
          </w:p>
        </w:tc>
        <w:tc>
          <w:tcPr>
            <w:tcW w:w="217" w:type="dxa"/>
          </w:tcPr>
          <w:p w14:paraId="62E2BFFD" w14:textId="77777777" w:rsidR="002C0FD9" w:rsidRPr="00CA25CF" w:rsidRDefault="002C0FD9" w:rsidP="00CA25CF">
            <w:pPr>
              <w:rPr>
                <w:rFonts w:cs="Arial"/>
                <w:color w:val="FF0000"/>
                <w:sz w:val="21"/>
                <w:szCs w:val="21"/>
              </w:rPr>
            </w:pPr>
          </w:p>
        </w:tc>
        <w:tc>
          <w:tcPr>
            <w:tcW w:w="217" w:type="dxa"/>
          </w:tcPr>
          <w:p w14:paraId="2FEC2673" w14:textId="77777777" w:rsidR="002C0FD9" w:rsidRPr="00CA25CF" w:rsidRDefault="002C0FD9" w:rsidP="00CA25CF">
            <w:pPr>
              <w:rPr>
                <w:rFonts w:cs="Arial"/>
                <w:color w:val="FF0000"/>
                <w:sz w:val="21"/>
                <w:szCs w:val="21"/>
              </w:rPr>
            </w:pPr>
          </w:p>
        </w:tc>
        <w:tc>
          <w:tcPr>
            <w:tcW w:w="217" w:type="dxa"/>
          </w:tcPr>
          <w:p w14:paraId="118BE5F1" w14:textId="77777777" w:rsidR="002C0FD9" w:rsidRPr="00CA25CF" w:rsidRDefault="002C0FD9" w:rsidP="00CA25CF">
            <w:pPr>
              <w:rPr>
                <w:rFonts w:cs="Arial"/>
                <w:color w:val="FF0000"/>
                <w:sz w:val="21"/>
                <w:szCs w:val="21"/>
              </w:rPr>
            </w:pPr>
          </w:p>
        </w:tc>
        <w:tc>
          <w:tcPr>
            <w:tcW w:w="217" w:type="dxa"/>
          </w:tcPr>
          <w:p w14:paraId="3F011210" w14:textId="77777777" w:rsidR="002C0FD9" w:rsidRPr="00CA25CF" w:rsidRDefault="002C0FD9" w:rsidP="00CA25CF">
            <w:pPr>
              <w:rPr>
                <w:rFonts w:cs="Arial"/>
                <w:color w:val="FF0000"/>
                <w:sz w:val="21"/>
                <w:szCs w:val="21"/>
              </w:rPr>
            </w:pPr>
          </w:p>
        </w:tc>
        <w:tc>
          <w:tcPr>
            <w:tcW w:w="217" w:type="dxa"/>
          </w:tcPr>
          <w:p w14:paraId="271EBC8A" w14:textId="77777777" w:rsidR="002C0FD9" w:rsidRPr="00CA25CF" w:rsidRDefault="002C0FD9" w:rsidP="00CA25CF">
            <w:pPr>
              <w:rPr>
                <w:rFonts w:cs="Arial"/>
                <w:color w:val="FF0000"/>
                <w:sz w:val="21"/>
                <w:szCs w:val="21"/>
              </w:rPr>
            </w:pPr>
          </w:p>
        </w:tc>
        <w:tc>
          <w:tcPr>
            <w:tcW w:w="217" w:type="dxa"/>
          </w:tcPr>
          <w:p w14:paraId="6133D3F8" w14:textId="77777777" w:rsidR="002C0FD9" w:rsidRPr="00CA25CF" w:rsidRDefault="002C0FD9" w:rsidP="00CA25CF">
            <w:pPr>
              <w:rPr>
                <w:rFonts w:cs="Arial"/>
                <w:color w:val="FF0000"/>
                <w:sz w:val="21"/>
                <w:szCs w:val="21"/>
              </w:rPr>
            </w:pPr>
          </w:p>
        </w:tc>
        <w:tc>
          <w:tcPr>
            <w:tcW w:w="217" w:type="dxa"/>
          </w:tcPr>
          <w:p w14:paraId="1C57C922" w14:textId="77777777" w:rsidR="002C0FD9" w:rsidRPr="00CA25CF" w:rsidRDefault="002C0FD9" w:rsidP="00CA25CF">
            <w:pPr>
              <w:rPr>
                <w:rFonts w:cs="Arial"/>
                <w:color w:val="FF0000"/>
                <w:sz w:val="21"/>
                <w:szCs w:val="21"/>
              </w:rPr>
            </w:pPr>
          </w:p>
        </w:tc>
        <w:tc>
          <w:tcPr>
            <w:tcW w:w="217" w:type="dxa"/>
          </w:tcPr>
          <w:p w14:paraId="6ECBD060" w14:textId="77777777" w:rsidR="002C0FD9" w:rsidRPr="00CA25CF" w:rsidRDefault="002C0FD9" w:rsidP="00CA25CF">
            <w:pPr>
              <w:rPr>
                <w:rFonts w:cs="Arial"/>
                <w:color w:val="FF0000"/>
                <w:sz w:val="21"/>
                <w:szCs w:val="21"/>
              </w:rPr>
            </w:pPr>
          </w:p>
        </w:tc>
        <w:tc>
          <w:tcPr>
            <w:tcW w:w="217" w:type="dxa"/>
          </w:tcPr>
          <w:p w14:paraId="1C05E777" w14:textId="77777777" w:rsidR="002C0FD9" w:rsidRPr="00CA25CF" w:rsidRDefault="002C0FD9" w:rsidP="00CA25CF">
            <w:pPr>
              <w:rPr>
                <w:rFonts w:cs="Arial"/>
                <w:color w:val="FF0000"/>
                <w:sz w:val="21"/>
                <w:szCs w:val="21"/>
              </w:rPr>
            </w:pPr>
          </w:p>
        </w:tc>
        <w:tc>
          <w:tcPr>
            <w:tcW w:w="217" w:type="dxa"/>
          </w:tcPr>
          <w:p w14:paraId="298D8BFC" w14:textId="77777777" w:rsidR="002C0FD9" w:rsidRPr="00CA25CF" w:rsidRDefault="002C0FD9" w:rsidP="00CA25CF">
            <w:pPr>
              <w:rPr>
                <w:rFonts w:cs="Arial"/>
                <w:color w:val="FF0000"/>
                <w:sz w:val="21"/>
                <w:szCs w:val="21"/>
              </w:rPr>
            </w:pPr>
          </w:p>
        </w:tc>
        <w:tc>
          <w:tcPr>
            <w:tcW w:w="217" w:type="dxa"/>
          </w:tcPr>
          <w:p w14:paraId="36400E86" w14:textId="77777777" w:rsidR="002C0FD9" w:rsidRPr="00CA25CF" w:rsidRDefault="002C0FD9" w:rsidP="00CA25CF">
            <w:pPr>
              <w:rPr>
                <w:rFonts w:cs="Arial"/>
                <w:color w:val="FF0000"/>
                <w:sz w:val="21"/>
                <w:szCs w:val="21"/>
              </w:rPr>
            </w:pPr>
          </w:p>
        </w:tc>
        <w:tc>
          <w:tcPr>
            <w:tcW w:w="217" w:type="dxa"/>
          </w:tcPr>
          <w:p w14:paraId="527A0B90" w14:textId="77777777" w:rsidR="002C0FD9" w:rsidRPr="00CA25CF" w:rsidRDefault="002C0FD9" w:rsidP="00CA25CF">
            <w:pPr>
              <w:rPr>
                <w:rFonts w:cs="Arial"/>
                <w:color w:val="FF0000"/>
                <w:sz w:val="21"/>
                <w:szCs w:val="21"/>
              </w:rPr>
            </w:pPr>
          </w:p>
        </w:tc>
        <w:tc>
          <w:tcPr>
            <w:tcW w:w="217" w:type="dxa"/>
          </w:tcPr>
          <w:p w14:paraId="2F1A67D5" w14:textId="77777777" w:rsidR="002C0FD9" w:rsidRPr="00CA25CF" w:rsidRDefault="002C0FD9" w:rsidP="00CA25CF">
            <w:pPr>
              <w:rPr>
                <w:rFonts w:cs="Arial"/>
                <w:color w:val="FF0000"/>
                <w:sz w:val="21"/>
                <w:szCs w:val="21"/>
              </w:rPr>
            </w:pPr>
          </w:p>
        </w:tc>
        <w:tc>
          <w:tcPr>
            <w:tcW w:w="217" w:type="dxa"/>
          </w:tcPr>
          <w:p w14:paraId="230E2C06" w14:textId="77777777" w:rsidR="002C0FD9" w:rsidRPr="00CA25CF" w:rsidRDefault="002C0FD9" w:rsidP="00CA25CF">
            <w:pPr>
              <w:rPr>
                <w:rFonts w:cs="Arial"/>
                <w:color w:val="FF0000"/>
                <w:sz w:val="21"/>
                <w:szCs w:val="21"/>
              </w:rPr>
            </w:pPr>
          </w:p>
        </w:tc>
      </w:tr>
      <w:tr w:rsidR="002C0FD9" w:rsidRPr="00A16219" w14:paraId="2DCAB378" w14:textId="77777777" w:rsidTr="002C0FD9">
        <w:trPr>
          <w:trHeight w:val="635"/>
        </w:trPr>
        <w:tc>
          <w:tcPr>
            <w:tcW w:w="515" w:type="dxa"/>
          </w:tcPr>
          <w:p w14:paraId="47F296F7" w14:textId="77777777" w:rsidR="002C0FD9" w:rsidRPr="00CA25CF" w:rsidRDefault="002C0FD9" w:rsidP="00CA25CF">
            <w:pPr>
              <w:rPr>
                <w:rFonts w:cs="Arial"/>
                <w:color w:val="FF0000"/>
                <w:sz w:val="21"/>
                <w:szCs w:val="21"/>
              </w:rPr>
            </w:pPr>
          </w:p>
        </w:tc>
        <w:tc>
          <w:tcPr>
            <w:tcW w:w="217" w:type="dxa"/>
          </w:tcPr>
          <w:p w14:paraId="4096616A" w14:textId="77777777" w:rsidR="002C0FD9" w:rsidRPr="00CA25CF" w:rsidRDefault="002C0FD9" w:rsidP="00CA25CF">
            <w:pPr>
              <w:rPr>
                <w:rFonts w:cs="Arial"/>
                <w:color w:val="FF0000"/>
                <w:sz w:val="21"/>
                <w:szCs w:val="21"/>
              </w:rPr>
            </w:pPr>
          </w:p>
        </w:tc>
        <w:tc>
          <w:tcPr>
            <w:tcW w:w="217" w:type="dxa"/>
          </w:tcPr>
          <w:p w14:paraId="6423F79F" w14:textId="77777777" w:rsidR="002C0FD9" w:rsidRPr="00CA25CF" w:rsidRDefault="002C0FD9" w:rsidP="00CA25CF">
            <w:pPr>
              <w:rPr>
                <w:rFonts w:cs="Arial"/>
                <w:color w:val="FF0000"/>
                <w:sz w:val="21"/>
                <w:szCs w:val="21"/>
              </w:rPr>
            </w:pPr>
          </w:p>
        </w:tc>
        <w:tc>
          <w:tcPr>
            <w:tcW w:w="217" w:type="dxa"/>
          </w:tcPr>
          <w:p w14:paraId="52DF7FFA" w14:textId="77777777" w:rsidR="002C0FD9" w:rsidRPr="00CA25CF" w:rsidRDefault="002C0FD9" w:rsidP="00CA25CF">
            <w:pPr>
              <w:rPr>
                <w:rFonts w:cs="Arial"/>
                <w:color w:val="FF0000"/>
                <w:sz w:val="21"/>
                <w:szCs w:val="21"/>
              </w:rPr>
            </w:pPr>
          </w:p>
        </w:tc>
        <w:tc>
          <w:tcPr>
            <w:tcW w:w="217" w:type="dxa"/>
          </w:tcPr>
          <w:p w14:paraId="633D8544" w14:textId="77777777" w:rsidR="002C0FD9" w:rsidRPr="00CA25CF" w:rsidRDefault="002C0FD9" w:rsidP="00CA25CF">
            <w:pPr>
              <w:rPr>
                <w:rFonts w:cs="Arial"/>
                <w:color w:val="FF0000"/>
                <w:sz w:val="21"/>
                <w:szCs w:val="21"/>
              </w:rPr>
            </w:pPr>
          </w:p>
        </w:tc>
        <w:tc>
          <w:tcPr>
            <w:tcW w:w="217" w:type="dxa"/>
          </w:tcPr>
          <w:p w14:paraId="4A2E6DAD" w14:textId="77777777" w:rsidR="002C0FD9" w:rsidRPr="00CA25CF" w:rsidRDefault="002C0FD9" w:rsidP="00CA25CF">
            <w:pPr>
              <w:rPr>
                <w:rFonts w:cs="Arial"/>
                <w:color w:val="FF0000"/>
                <w:sz w:val="21"/>
                <w:szCs w:val="21"/>
              </w:rPr>
            </w:pPr>
          </w:p>
        </w:tc>
        <w:tc>
          <w:tcPr>
            <w:tcW w:w="217" w:type="dxa"/>
          </w:tcPr>
          <w:p w14:paraId="723255DE" w14:textId="77777777" w:rsidR="002C0FD9" w:rsidRPr="00CA25CF" w:rsidRDefault="002C0FD9" w:rsidP="00CA25CF">
            <w:pPr>
              <w:rPr>
                <w:rFonts w:cs="Arial"/>
                <w:color w:val="FF0000"/>
                <w:sz w:val="21"/>
                <w:szCs w:val="21"/>
              </w:rPr>
            </w:pPr>
          </w:p>
        </w:tc>
        <w:tc>
          <w:tcPr>
            <w:tcW w:w="217" w:type="dxa"/>
          </w:tcPr>
          <w:p w14:paraId="1015258E" w14:textId="77777777" w:rsidR="002C0FD9" w:rsidRPr="00CA25CF" w:rsidRDefault="002C0FD9" w:rsidP="00CA25CF">
            <w:pPr>
              <w:rPr>
                <w:rFonts w:cs="Arial"/>
                <w:color w:val="FF0000"/>
                <w:sz w:val="21"/>
                <w:szCs w:val="21"/>
              </w:rPr>
            </w:pPr>
          </w:p>
        </w:tc>
        <w:tc>
          <w:tcPr>
            <w:tcW w:w="217" w:type="dxa"/>
          </w:tcPr>
          <w:p w14:paraId="164E6E76" w14:textId="77777777" w:rsidR="002C0FD9" w:rsidRPr="00CA25CF" w:rsidRDefault="002C0FD9" w:rsidP="00CA25CF">
            <w:pPr>
              <w:rPr>
                <w:rFonts w:cs="Arial"/>
                <w:color w:val="FF0000"/>
                <w:sz w:val="21"/>
                <w:szCs w:val="21"/>
              </w:rPr>
            </w:pPr>
          </w:p>
        </w:tc>
        <w:tc>
          <w:tcPr>
            <w:tcW w:w="217" w:type="dxa"/>
          </w:tcPr>
          <w:p w14:paraId="59F06F58" w14:textId="77777777" w:rsidR="002C0FD9" w:rsidRPr="00CA25CF" w:rsidRDefault="002C0FD9" w:rsidP="00CA25CF">
            <w:pPr>
              <w:rPr>
                <w:rFonts w:cs="Arial"/>
                <w:color w:val="FF0000"/>
                <w:sz w:val="21"/>
                <w:szCs w:val="21"/>
              </w:rPr>
            </w:pPr>
          </w:p>
        </w:tc>
        <w:tc>
          <w:tcPr>
            <w:tcW w:w="217" w:type="dxa"/>
          </w:tcPr>
          <w:p w14:paraId="77EC71EF" w14:textId="77777777" w:rsidR="002C0FD9" w:rsidRPr="00CA25CF" w:rsidRDefault="002C0FD9" w:rsidP="00CA25CF">
            <w:pPr>
              <w:rPr>
                <w:rFonts w:cs="Arial"/>
                <w:color w:val="FF0000"/>
                <w:sz w:val="21"/>
                <w:szCs w:val="21"/>
              </w:rPr>
            </w:pPr>
          </w:p>
        </w:tc>
        <w:tc>
          <w:tcPr>
            <w:tcW w:w="217" w:type="dxa"/>
          </w:tcPr>
          <w:p w14:paraId="44DBDE67" w14:textId="77777777" w:rsidR="002C0FD9" w:rsidRPr="00CA25CF" w:rsidRDefault="002C0FD9" w:rsidP="00CA25CF">
            <w:pPr>
              <w:rPr>
                <w:rFonts w:cs="Arial"/>
                <w:color w:val="FF0000"/>
                <w:sz w:val="21"/>
                <w:szCs w:val="21"/>
              </w:rPr>
            </w:pPr>
          </w:p>
        </w:tc>
        <w:tc>
          <w:tcPr>
            <w:tcW w:w="217" w:type="dxa"/>
          </w:tcPr>
          <w:p w14:paraId="41EFE392" w14:textId="77777777" w:rsidR="002C0FD9" w:rsidRPr="00CA25CF" w:rsidRDefault="002C0FD9" w:rsidP="00CA25CF">
            <w:pPr>
              <w:rPr>
                <w:rFonts w:cs="Arial"/>
                <w:color w:val="FF0000"/>
                <w:sz w:val="21"/>
                <w:szCs w:val="21"/>
              </w:rPr>
            </w:pPr>
          </w:p>
        </w:tc>
        <w:tc>
          <w:tcPr>
            <w:tcW w:w="217" w:type="dxa"/>
          </w:tcPr>
          <w:p w14:paraId="2AFA1CD3" w14:textId="77777777" w:rsidR="002C0FD9" w:rsidRPr="00CA25CF" w:rsidRDefault="002C0FD9" w:rsidP="00CA25CF">
            <w:pPr>
              <w:rPr>
                <w:rFonts w:cs="Arial"/>
                <w:color w:val="FF0000"/>
                <w:sz w:val="21"/>
                <w:szCs w:val="21"/>
              </w:rPr>
            </w:pPr>
          </w:p>
        </w:tc>
        <w:tc>
          <w:tcPr>
            <w:tcW w:w="217" w:type="dxa"/>
          </w:tcPr>
          <w:p w14:paraId="58309AC0" w14:textId="77777777" w:rsidR="002C0FD9" w:rsidRPr="00CA25CF" w:rsidRDefault="002C0FD9" w:rsidP="00CA25CF">
            <w:pPr>
              <w:rPr>
                <w:rFonts w:cs="Arial"/>
                <w:color w:val="FF0000"/>
                <w:sz w:val="21"/>
                <w:szCs w:val="21"/>
              </w:rPr>
            </w:pPr>
          </w:p>
        </w:tc>
        <w:tc>
          <w:tcPr>
            <w:tcW w:w="217" w:type="dxa"/>
          </w:tcPr>
          <w:p w14:paraId="5BAD9842" w14:textId="77777777" w:rsidR="002C0FD9" w:rsidRPr="00CA25CF" w:rsidRDefault="002C0FD9" w:rsidP="00CA25CF">
            <w:pPr>
              <w:rPr>
                <w:rFonts w:cs="Arial"/>
                <w:color w:val="FF0000"/>
                <w:sz w:val="21"/>
                <w:szCs w:val="21"/>
              </w:rPr>
            </w:pPr>
          </w:p>
        </w:tc>
        <w:tc>
          <w:tcPr>
            <w:tcW w:w="217" w:type="dxa"/>
          </w:tcPr>
          <w:p w14:paraId="2DB6F405" w14:textId="77777777" w:rsidR="002C0FD9" w:rsidRPr="00CA25CF" w:rsidRDefault="002C0FD9" w:rsidP="00CA25CF">
            <w:pPr>
              <w:rPr>
                <w:rFonts w:cs="Arial"/>
                <w:color w:val="FF0000"/>
                <w:sz w:val="21"/>
                <w:szCs w:val="21"/>
              </w:rPr>
            </w:pPr>
          </w:p>
        </w:tc>
        <w:tc>
          <w:tcPr>
            <w:tcW w:w="217" w:type="dxa"/>
          </w:tcPr>
          <w:p w14:paraId="5EBC27B3" w14:textId="77777777" w:rsidR="002C0FD9" w:rsidRPr="00CA25CF" w:rsidRDefault="002C0FD9" w:rsidP="00CA25CF">
            <w:pPr>
              <w:rPr>
                <w:rFonts w:cs="Arial"/>
                <w:color w:val="FF0000"/>
                <w:sz w:val="21"/>
                <w:szCs w:val="21"/>
              </w:rPr>
            </w:pPr>
          </w:p>
        </w:tc>
        <w:tc>
          <w:tcPr>
            <w:tcW w:w="217" w:type="dxa"/>
          </w:tcPr>
          <w:p w14:paraId="734BED98" w14:textId="77777777" w:rsidR="002C0FD9" w:rsidRPr="00CA25CF" w:rsidRDefault="002C0FD9" w:rsidP="00CA25CF">
            <w:pPr>
              <w:rPr>
                <w:rFonts w:cs="Arial"/>
                <w:color w:val="FF0000"/>
                <w:sz w:val="21"/>
                <w:szCs w:val="21"/>
              </w:rPr>
            </w:pPr>
          </w:p>
        </w:tc>
        <w:tc>
          <w:tcPr>
            <w:tcW w:w="217" w:type="dxa"/>
          </w:tcPr>
          <w:p w14:paraId="42E6CBD1" w14:textId="77777777" w:rsidR="002C0FD9" w:rsidRPr="00CA25CF" w:rsidRDefault="002C0FD9" w:rsidP="00CA25CF">
            <w:pPr>
              <w:rPr>
                <w:rFonts w:cs="Arial"/>
                <w:color w:val="FF0000"/>
                <w:sz w:val="21"/>
                <w:szCs w:val="21"/>
              </w:rPr>
            </w:pPr>
          </w:p>
        </w:tc>
        <w:tc>
          <w:tcPr>
            <w:tcW w:w="217" w:type="dxa"/>
          </w:tcPr>
          <w:p w14:paraId="2B25E479" w14:textId="77777777" w:rsidR="002C0FD9" w:rsidRPr="00CA25CF" w:rsidRDefault="002C0FD9" w:rsidP="00CA25CF">
            <w:pPr>
              <w:rPr>
                <w:rFonts w:cs="Arial"/>
                <w:color w:val="FF0000"/>
                <w:sz w:val="21"/>
                <w:szCs w:val="21"/>
              </w:rPr>
            </w:pPr>
          </w:p>
        </w:tc>
        <w:tc>
          <w:tcPr>
            <w:tcW w:w="217" w:type="dxa"/>
          </w:tcPr>
          <w:p w14:paraId="67BABDBC" w14:textId="77777777" w:rsidR="002C0FD9" w:rsidRPr="00CA25CF" w:rsidRDefault="002C0FD9" w:rsidP="00CA25CF">
            <w:pPr>
              <w:rPr>
                <w:rFonts w:cs="Arial"/>
                <w:color w:val="FF0000"/>
                <w:sz w:val="21"/>
                <w:szCs w:val="21"/>
              </w:rPr>
            </w:pPr>
          </w:p>
        </w:tc>
        <w:tc>
          <w:tcPr>
            <w:tcW w:w="217" w:type="dxa"/>
          </w:tcPr>
          <w:p w14:paraId="020DD5F4" w14:textId="77777777" w:rsidR="002C0FD9" w:rsidRPr="00CA25CF" w:rsidRDefault="002C0FD9" w:rsidP="00CA25CF">
            <w:pPr>
              <w:rPr>
                <w:rFonts w:cs="Arial"/>
                <w:color w:val="FF0000"/>
                <w:sz w:val="21"/>
                <w:szCs w:val="21"/>
              </w:rPr>
            </w:pPr>
          </w:p>
        </w:tc>
        <w:tc>
          <w:tcPr>
            <w:tcW w:w="217" w:type="dxa"/>
          </w:tcPr>
          <w:p w14:paraId="67D5A065" w14:textId="77777777" w:rsidR="002C0FD9" w:rsidRPr="00CA25CF" w:rsidRDefault="002C0FD9" w:rsidP="00CA25CF">
            <w:pPr>
              <w:rPr>
                <w:rFonts w:cs="Arial"/>
                <w:color w:val="FF0000"/>
                <w:sz w:val="21"/>
                <w:szCs w:val="21"/>
              </w:rPr>
            </w:pPr>
          </w:p>
        </w:tc>
        <w:tc>
          <w:tcPr>
            <w:tcW w:w="217" w:type="dxa"/>
          </w:tcPr>
          <w:p w14:paraId="097729B9" w14:textId="77777777" w:rsidR="002C0FD9" w:rsidRPr="00CA25CF" w:rsidRDefault="002C0FD9" w:rsidP="00CA25CF">
            <w:pPr>
              <w:rPr>
                <w:rFonts w:cs="Arial"/>
                <w:color w:val="FF0000"/>
                <w:sz w:val="21"/>
                <w:szCs w:val="21"/>
              </w:rPr>
            </w:pPr>
          </w:p>
        </w:tc>
        <w:tc>
          <w:tcPr>
            <w:tcW w:w="217" w:type="dxa"/>
          </w:tcPr>
          <w:p w14:paraId="3B885F52" w14:textId="77777777" w:rsidR="002C0FD9" w:rsidRPr="00CA25CF" w:rsidRDefault="002C0FD9" w:rsidP="00CA25CF">
            <w:pPr>
              <w:rPr>
                <w:rFonts w:cs="Arial"/>
                <w:color w:val="FF0000"/>
                <w:sz w:val="21"/>
                <w:szCs w:val="21"/>
              </w:rPr>
            </w:pPr>
          </w:p>
        </w:tc>
        <w:tc>
          <w:tcPr>
            <w:tcW w:w="217" w:type="dxa"/>
          </w:tcPr>
          <w:p w14:paraId="79BDA0B5" w14:textId="77777777" w:rsidR="002C0FD9" w:rsidRPr="00CA25CF" w:rsidRDefault="002C0FD9" w:rsidP="00CA25CF">
            <w:pPr>
              <w:rPr>
                <w:rFonts w:cs="Arial"/>
                <w:color w:val="FF0000"/>
                <w:sz w:val="21"/>
                <w:szCs w:val="21"/>
              </w:rPr>
            </w:pPr>
          </w:p>
        </w:tc>
        <w:tc>
          <w:tcPr>
            <w:tcW w:w="217" w:type="dxa"/>
          </w:tcPr>
          <w:p w14:paraId="7ACB2A60" w14:textId="77777777" w:rsidR="002C0FD9" w:rsidRPr="00CA25CF" w:rsidRDefault="002C0FD9" w:rsidP="00CA25CF">
            <w:pPr>
              <w:rPr>
                <w:rFonts w:cs="Arial"/>
                <w:color w:val="FF0000"/>
                <w:sz w:val="21"/>
                <w:szCs w:val="21"/>
              </w:rPr>
            </w:pPr>
          </w:p>
        </w:tc>
        <w:tc>
          <w:tcPr>
            <w:tcW w:w="217" w:type="dxa"/>
          </w:tcPr>
          <w:p w14:paraId="5F2590FF" w14:textId="77777777" w:rsidR="002C0FD9" w:rsidRPr="00CA25CF" w:rsidRDefault="002C0FD9" w:rsidP="00CA25CF">
            <w:pPr>
              <w:rPr>
                <w:rFonts w:cs="Arial"/>
                <w:color w:val="FF0000"/>
                <w:sz w:val="21"/>
                <w:szCs w:val="21"/>
              </w:rPr>
            </w:pPr>
          </w:p>
        </w:tc>
        <w:tc>
          <w:tcPr>
            <w:tcW w:w="217" w:type="dxa"/>
          </w:tcPr>
          <w:p w14:paraId="3F3864AC" w14:textId="77777777" w:rsidR="002C0FD9" w:rsidRPr="00CA25CF" w:rsidRDefault="002C0FD9" w:rsidP="00CA25CF">
            <w:pPr>
              <w:rPr>
                <w:rFonts w:cs="Arial"/>
                <w:color w:val="FF0000"/>
                <w:sz w:val="21"/>
                <w:szCs w:val="21"/>
              </w:rPr>
            </w:pPr>
          </w:p>
        </w:tc>
        <w:tc>
          <w:tcPr>
            <w:tcW w:w="217" w:type="dxa"/>
          </w:tcPr>
          <w:p w14:paraId="717AF2BF" w14:textId="77777777" w:rsidR="002C0FD9" w:rsidRPr="00CA25CF" w:rsidRDefault="002C0FD9" w:rsidP="00CA25CF">
            <w:pPr>
              <w:rPr>
                <w:rFonts w:cs="Arial"/>
                <w:color w:val="FF0000"/>
                <w:sz w:val="21"/>
                <w:szCs w:val="21"/>
              </w:rPr>
            </w:pPr>
          </w:p>
        </w:tc>
        <w:tc>
          <w:tcPr>
            <w:tcW w:w="217" w:type="dxa"/>
          </w:tcPr>
          <w:p w14:paraId="14BF888B" w14:textId="77777777" w:rsidR="002C0FD9" w:rsidRPr="00CA25CF" w:rsidRDefault="002C0FD9" w:rsidP="00CA25CF">
            <w:pPr>
              <w:rPr>
                <w:rFonts w:cs="Arial"/>
                <w:color w:val="FF0000"/>
                <w:sz w:val="21"/>
                <w:szCs w:val="21"/>
              </w:rPr>
            </w:pPr>
          </w:p>
        </w:tc>
        <w:tc>
          <w:tcPr>
            <w:tcW w:w="217" w:type="dxa"/>
          </w:tcPr>
          <w:p w14:paraId="12E5F96A" w14:textId="77777777" w:rsidR="002C0FD9" w:rsidRPr="00CA25CF" w:rsidRDefault="002C0FD9" w:rsidP="00CA25CF">
            <w:pPr>
              <w:rPr>
                <w:rFonts w:cs="Arial"/>
                <w:color w:val="FF0000"/>
                <w:sz w:val="21"/>
                <w:szCs w:val="21"/>
              </w:rPr>
            </w:pPr>
          </w:p>
        </w:tc>
        <w:tc>
          <w:tcPr>
            <w:tcW w:w="217" w:type="dxa"/>
          </w:tcPr>
          <w:p w14:paraId="1B9E24D6" w14:textId="77777777" w:rsidR="002C0FD9" w:rsidRPr="00CA25CF" w:rsidRDefault="002C0FD9" w:rsidP="00CA25CF">
            <w:pPr>
              <w:rPr>
                <w:rFonts w:cs="Arial"/>
                <w:color w:val="FF0000"/>
                <w:sz w:val="21"/>
                <w:szCs w:val="21"/>
              </w:rPr>
            </w:pPr>
          </w:p>
        </w:tc>
        <w:tc>
          <w:tcPr>
            <w:tcW w:w="217" w:type="dxa"/>
          </w:tcPr>
          <w:p w14:paraId="1CF7EA9B" w14:textId="77777777" w:rsidR="002C0FD9" w:rsidRPr="00CA25CF" w:rsidRDefault="002C0FD9" w:rsidP="00CA25CF">
            <w:pPr>
              <w:rPr>
                <w:rFonts w:cs="Arial"/>
                <w:color w:val="FF0000"/>
                <w:sz w:val="21"/>
                <w:szCs w:val="21"/>
              </w:rPr>
            </w:pPr>
          </w:p>
        </w:tc>
        <w:tc>
          <w:tcPr>
            <w:tcW w:w="217" w:type="dxa"/>
          </w:tcPr>
          <w:p w14:paraId="6DEFED02" w14:textId="77777777" w:rsidR="002C0FD9" w:rsidRPr="00CA25CF" w:rsidRDefault="002C0FD9" w:rsidP="00CA25CF">
            <w:pPr>
              <w:rPr>
                <w:rFonts w:cs="Arial"/>
                <w:color w:val="FF0000"/>
                <w:sz w:val="21"/>
                <w:szCs w:val="21"/>
              </w:rPr>
            </w:pPr>
          </w:p>
        </w:tc>
        <w:tc>
          <w:tcPr>
            <w:tcW w:w="217" w:type="dxa"/>
          </w:tcPr>
          <w:p w14:paraId="2864687A" w14:textId="77777777" w:rsidR="002C0FD9" w:rsidRPr="00CA25CF" w:rsidRDefault="002C0FD9" w:rsidP="00CA25CF">
            <w:pPr>
              <w:rPr>
                <w:rFonts w:cs="Arial"/>
                <w:color w:val="FF0000"/>
                <w:sz w:val="21"/>
                <w:szCs w:val="21"/>
              </w:rPr>
            </w:pPr>
          </w:p>
        </w:tc>
        <w:tc>
          <w:tcPr>
            <w:tcW w:w="217" w:type="dxa"/>
          </w:tcPr>
          <w:p w14:paraId="2F08E8D0" w14:textId="77777777" w:rsidR="002C0FD9" w:rsidRPr="00CA25CF" w:rsidRDefault="002C0FD9" w:rsidP="00CA25CF">
            <w:pPr>
              <w:rPr>
                <w:rFonts w:cs="Arial"/>
                <w:color w:val="FF0000"/>
                <w:sz w:val="21"/>
                <w:szCs w:val="21"/>
              </w:rPr>
            </w:pPr>
          </w:p>
        </w:tc>
        <w:tc>
          <w:tcPr>
            <w:tcW w:w="217" w:type="dxa"/>
          </w:tcPr>
          <w:p w14:paraId="03D83AE6" w14:textId="77777777" w:rsidR="002C0FD9" w:rsidRPr="00CA25CF" w:rsidRDefault="002C0FD9" w:rsidP="00CA25CF">
            <w:pPr>
              <w:rPr>
                <w:rFonts w:cs="Arial"/>
                <w:color w:val="FF0000"/>
                <w:sz w:val="21"/>
                <w:szCs w:val="21"/>
              </w:rPr>
            </w:pPr>
          </w:p>
        </w:tc>
        <w:tc>
          <w:tcPr>
            <w:tcW w:w="217" w:type="dxa"/>
          </w:tcPr>
          <w:p w14:paraId="19583A09" w14:textId="77777777" w:rsidR="002C0FD9" w:rsidRPr="00CA25CF" w:rsidRDefault="002C0FD9" w:rsidP="00CA25CF">
            <w:pPr>
              <w:rPr>
                <w:rFonts w:cs="Arial"/>
                <w:color w:val="FF0000"/>
                <w:sz w:val="21"/>
                <w:szCs w:val="21"/>
              </w:rPr>
            </w:pPr>
          </w:p>
        </w:tc>
        <w:tc>
          <w:tcPr>
            <w:tcW w:w="217" w:type="dxa"/>
          </w:tcPr>
          <w:p w14:paraId="68B732C0" w14:textId="77777777" w:rsidR="002C0FD9" w:rsidRPr="00CA25CF" w:rsidRDefault="002C0FD9" w:rsidP="00CA25CF">
            <w:pPr>
              <w:rPr>
                <w:rFonts w:cs="Arial"/>
                <w:color w:val="FF0000"/>
                <w:sz w:val="21"/>
                <w:szCs w:val="21"/>
              </w:rPr>
            </w:pPr>
          </w:p>
        </w:tc>
        <w:tc>
          <w:tcPr>
            <w:tcW w:w="217" w:type="dxa"/>
          </w:tcPr>
          <w:p w14:paraId="5722D487" w14:textId="77777777" w:rsidR="002C0FD9" w:rsidRPr="00CA25CF" w:rsidRDefault="002C0FD9" w:rsidP="00CA25CF">
            <w:pPr>
              <w:rPr>
                <w:rFonts w:cs="Arial"/>
                <w:color w:val="FF0000"/>
                <w:sz w:val="21"/>
                <w:szCs w:val="21"/>
              </w:rPr>
            </w:pPr>
          </w:p>
        </w:tc>
        <w:tc>
          <w:tcPr>
            <w:tcW w:w="217" w:type="dxa"/>
          </w:tcPr>
          <w:p w14:paraId="6E4024A5" w14:textId="77777777" w:rsidR="002C0FD9" w:rsidRPr="00CA25CF" w:rsidRDefault="002C0FD9" w:rsidP="00CA25CF">
            <w:pPr>
              <w:rPr>
                <w:rFonts w:cs="Arial"/>
                <w:color w:val="FF0000"/>
                <w:sz w:val="21"/>
                <w:szCs w:val="21"/>
              </w:rPr>
            </w:pPr>
          </w:p>
        </w:tc>
      </w:tr>
      <w:tr w:rsidR="002C0FD9" w:rsidRPr="00A16219" w14:paraId="684BA1DB" w14:textId="77777777" w:rsidTr="002C0FD9">
        <w:trPr>
          <w:trHeight w:val="635"/>
        </w:trPr>
        <w:tc>
          <w:tcPr>
            <w:tcW w:w="515" w:type="dxa"/>
          </w:tcPr>
          <w:p w14:paraId="5453E13A" w14:textId="77777777" w:rsidR="002C0FD9" w:rsidRPr="00CA25CF" w:rsidRDefault="002C0FD9" w:rsidP="00CA25CF">
            <w:pPr>
              <w:rPr>
                <w:rFonts w:cs="Arial"/>
                <w:color w:val="FF0000"/>
                <w:sz w:val="21"/>
                <w:szCs w:val="21"/>
              </w:rPr>
            </w:pPr>
          </w:p>
        </w:tc>
        <w:tc>
          <w:tcPr>
            <w:tcW w:w="217" w:type="dxa"/>
          </w:tcPr>
          <w:p w14:paraId="30F457B8" w14:textId="77777777" w:rsidR="002C0FD9" w:rsidRPr="00CA25CF" w:rsidRDefault="002C0FD9" w:rsidP="00CA25CF">
            <w:pPr>
              <w:rPr>
                <w:rFonts w:cs="Arial"/>
                <w:color w:val="FF0000"/>
                <w:sz w:val="21"/>
                <w:szCs w:val="21"/>
              </w:rPr>
            </w:pPr>
          </w:p>
        </w:tc>
        <w:tc>
          <w:tcPr>
            <w:tcW w:w="217" w:type="dxa"/>
          </w:tcPr>
          <w:p w14:paraId="28D60C08" w14:textId="77777777" w:rsidR="002C0FD9" w:rsidRPr="00CA25CF" w:rsidRDefault="002C0FD9" w:rsidP="00CA25CF">
            <w:pPr>
              <w:rPr>
                <w:rFonts w:cs="Arial"/>
                <w:color w:val="FF0000"/>
                <w:sz w:val="21"/>
                <w:szCs w:val="21"/>
              </w:rPr>
            </w:pPr>
          </w:p>
        </w:tc>
        <w:tc>
          <w:tcPr>
            <w:tcW w:w="217" w:type="dxa"/>
          </w:tcPr>
          <w:p w14:paraId="36984EBF" w14:textId="77777777" w:rsidR="002C0FD9" w:rsidRPr="00CA25CF" w:rsidRDefault="002C0FD9" w:rsidP="00CA25CF">
            <w:pPr>
              <w:rPr>
                <w:rFonts w:cs="Arial"/>
                <w:color w:val="FF0000"/>
                <w:sz w:val="21"/>
                <w:szCs w:val="21"/>
              </w:rPr>
            </w:pPr>
          </w:p>
        </w:tc>
        <w:tc>
          <w:tcPr>
            <w:tcW w:w="217" w:type="dxa"/>
          </w:tcPr>
          <w:p w14:paraId="0C11C5F0" w14:textId="77777777" w:rsidR="002C0FD9" w:rsidRPr="00CA25CF" w:rsidRDefault="002C0FD9" w:rsidP="00CA25CF">
            <w:pPr>
              <w:rPr>
                <w:rFonts w:cs="Arial"/>
                <w:color w:val="FF0000"/>
                <w:sz w:val="21"/>
                <w:szCs w:val="21"/>
              </w:rPr>
            </w:pPr>
          </w:p>
        </w:tc>
        <w:tc>
          <w:tcPr>
            <w:tcW w:w="217" w:type="dxa"/>
          </w:tcPr>
          <w:p w14:paraId="20E345C8" w14:textId="77777777" w:rsidR="002C0FD9" w:rsidRPr="00CA25CF" w:rsidRDefault="002C0FD9" w:rsidP="00CA25CF">
            <w:pPr>
              <w:rPr>
                <w:rFonts w:cs="Arial"/>
                <w:color w:val="FF0000"/>
                <w:sz w:val="21"/>
                <w:szCs w:val="21"/>
              </w:rPr>
            </w:pPr>
          </w:p>
        </w:tc>
        <w:tc>
          <w:tcPr>
            <w:tcW w:w="217" w:type="dxa"/>
          </w:tcPr>
          <w:p w14:paraId="49F8C8F8" w14:textId="77777777" w:rsidR="002C0FD9" w:rsidRPr="00CA25CF" w:rsidRDefault="002C0FD9" w:rsidP="00CA25CF">
            <w:pPr>
              <w:rPr>
                <w:rFonts w:cs="Arial"/>
                <w:color w:val="FF0000"/>
                <w:sz w:val="21"/>
                <w:szCs w:val="21"/>
              </w:rPr>
            </w:pPr>
          </w:p>
        </w:tc>
        <w:tc>
          <w:tcPr>
            <w:tcW w:w="217" w:type="dxa"/>
          </w:tcPr>
          <w:p w14:paraId="6842BE96" w14:textId="77777777" w:rsidR="002C0FD9" w:rsidRPr="00CA25CF" w:rsidRDefault="002C0FD9" w:rsidP="00CA25CF">
            <w:pPr>
              <w:rPr>
                <w:rFonts w:cs="Arial"/>
                <w:color w:val="FF0000"/>
                <w:sz w:val="21"/>
                <w:szCs w:val="21"/>
              </w:rPr>
            </w:pPr>
          </w:p>
        </w:tc>
        <w:tc>
          <w:tcPr>
            <w:tcW w:w="217" w:type="dxa"/>
          </w:tcPr>
          <w:p w14:paraId="6396814B" w14:textId="77777777" w:rsidR="002C0FD9" w:rsidRPr="00CA25CF" w:rsidRDefault="002C0FD9" w:rsidP="00CA25CF">
            <w:pPr>
              <w:rPr>
                <w:rFonts w:cs="Arial"/>
                <w:color w:val="FF0000"/>
                <w:sz w:val="21"/>
                <w:szCs w:val="21"/>
              </w:rPr>
            </w:pPr>
          </w:p>
        </w:tc>
        <w:tc>
          <w:tcPr>
            <w:tcW w:w="217" w:type="dxa"/>
          </w:tcPr>
          <w:p w14:paraId="1FEAFD4E" w14:textId="77777777" w:rsidR="002C0FD9" w:rsidRPr="00CA25CF" w:rsidRDefault="002C0FD9" w:rsidP="00CA25CF">
            <w:pPr>
              <w:rPr>
                <w:rFonts w:cs="Arial"/>
                <w:color w:val="FF0000"/>
                <w:sz w:val="21"/>
                <w:szCs w:val="21"/>
              </w:rPr>
            </w:pPr>
          </w:p>
        </w:tc>
        <w:tc>
          <w:tcPr>
            <w:tcW w:w="217" w:type="dxa"/>
          </w:tcPr>
          <w:p w14:paraId="150451C3" w14:textId="77777777" w:rsidR="002C0FD9" w:rsidRPr="00CA25CF" w:rsidRDefault="002C0FD9" w:rsidP="00CA25CF">
            <w:pPr>
              <w:rPr>
                <w:rFonts w:cs="Arial"/>
                <w:color w:val="FF0000"/>
                <w:sz w:val="21"/>
                <w:szCs w:val="21"/>
              </w:rPr>
            </w:pPr>
          </w:p>
        </w:tc>
        <w:tc>
          <w:tcPr>
            <w:tcW w:w="217" w:type="dxa"/>
          </w:tcPr>
          <w:p w14:paraId="61C150B2" w14:textId="77777777" w:rsidR="002C0FD9" w:rsidRPr="00CA25CF" w:rsidRDefault="002C0FD9" w:rsidP="00CA25CF">
            <w:pPr>
              <w:rPr>
                <w:rFonts w:cs="Arial"/>
                <w:color w:val="FF0000"/>
                <w:sz w:val="21"/>
                <w:szCs w:val="21"/>
              </w:rPr>
            </w:pPr>
          </w:p>
        </w:tc>
        <w:tc>
          <w:tcPr>
            <w:tcW w:w="217" w:type="dxa"/>
          </w:tcPr>
          <w:p w14:paraId="5041B8F8" w14:textId="77777777" w:rsidR="002C0FD9" w:rsidRPr="00CA25CF" w:rsidRDefault="002C0FD9" w:rsidP="00CA25CF">
            <w:pPr>
              <w:rPr>
                <w:rFonts w:cs="Arial"/>
                <w:color w:val="FF0000"/>
                <w:sz w:val="21"/>
                <w:szCs w:val="21"/>
              </w:rPr>
            </w:pPr>
          </w:p>
        </w:tc>
        <w:tc>
          <w:tcPr>
            <w:tcW w:w="217" w:type="dxa"/>
          </w:tcPr>
          <w:p w14:paraId="0461E90D" w14:textId="77777777" w:rsidR="002C0FD9" w:rsidRPr="00CA25CF" w:rsidRDefault="002C0FD9" w:rsidP="00CA25CF">
            <w:pPr>
              <w:rPr>
                <w:rFonts w:cs="Arial"/>
                <w:color w:val="FF0000"/>
                <w:sz w:val="21"/>
                <w:szCs w:val="21"/>
              </w:rPr>
            </w:pPr>
          </w:p>
        </w:tc>
        <w:tc>
          <w:tcPr>
            <w:tcW w:w="217" w:type="dxa"/>
          </w:tcPr>
          <w:p w14:paraId="3B363ADD" w14:textId="77777777" w:rsidR="002C0FD9" w:rsidRPr="00CA25CF" w:rsidRDefault="002C0FD9" w:rsidP="00CA25CF">
            <w:pPr>
              <w:rPr>
                <w:rFonts w:cs="Arial"/>
                <w:color w:val="FF0000"/>
                <w:sz w:val="21"/>
                <w:szCs w:val="21"/>
              </w:rPr>
            </w:pPr>
          </w:p>
        </w:tc>
        <w:tc>
          <w:tcPr>
            <w:tcW w:w="217" w:type="dxa"/>
          </w:tcPr>
          <w:p w14:paraId="2A7D1165" w14:textId="77777777" w:rsidR="002C0FD9" w:rsidRPr="00CA25CF" w:rsidRDefault="002C0FD9" w:rsidP="00CA25CF">
            <w:pPr>
              <w:rPr>
                <w:rFonts w:cs="Arial"/>
                <w:color w:val="FF0000"/>
                <w:sz w:val="21"/>
                <w:szCs w:val="21"/>
              </w:rPr>
            </w:pPr>
          </w:p>
        </w:tc>
        <w:tc>
          <w:tcPr>
            <w:tcW w:w="217" w:type="dxa"/>
          </w:tcPr>
          <w:p w14:paraId="1B1112C1" w14:textId="77777777" w:rsidR="002C0FD9" w:rsidRPr="00CA25CF" w:rsidRDefault="002C0FD9" w:rsidP="00CA25CF">
            <w:pPr>
              <w:rPr>
                <w:rFonts w:cs="Arial"/>
                <w:color w:val="FF0000"/>
                <w:sz w:val="21"/>
                <w:szCs w:val="21"/>
              </w:rPr>
            </w:pPr>
          </w:p>
        </w:tc>
        <w:tc>
          <w:tcPr>
            <w:tcW w:w="217" w:type="dxa"/>
          </w:tcPr>
          <w:p w14:paraId="79093F64" w14:textId="77777777" w:rsidR="002C0FD9" w:rsidRPr="00CA25CF" w:rsidRDefault="002C0FD9" w:rsidP="00CA25CF">
            <w:pPr>
              <w:rPr>
                <w:rFonts w:cs="Arial"/>
                <w:color w:val="FF0000"/>
                <w:sz w:val="21"/>
                <w:szCs w:val="21"/>
              </w:rPr>
            </w:pPr>
          </w:p>
        </w:tc>
        <w:tc>
          <w:tcPr>
            <w:tcW w:w="217" w:type="dxa"/>
          </w:tcPr>
          <w:p w14:paraId="72D1D1E4" w14:textId="77777777" w:rsidR="002C0FD9" w:rsidRPr="00CA25CF" w:rsidRDefault="002C0FD9" w:rsidP="00CA25CF">
            <w:pPr>
              <w:rPr>
                <w:rFonts w:cs="Arial"/>
                <w:color w:val="FF0000"/>
                <w:sz w:val="21"/>
                <w:szCs w:val="21"/>
              </w:rPr>
            </w:pPr>
          </w:p>
        </w:tc>
        <w:tc>
          <w:tcPr>
            <w:tcW w:w="217" w:type="dxa"/>
          </w:tcPr>
          <w:p w14:paraId="766E0DB0" w14:textId="77777777" w:rsidR="002C0FD9" w:rsidRPr="00CA25CF" w:rsidRDefault="002C0FD9" w:rsidP="00CA25CF">
            <w:pPr>
              <w:rPr>
                <w:rFonts w:cs="Arial"/>
                <w:color w:val="FF0000"/>
                <w:sz w:val="21"/>
                <w:szCs w:val="21"/>
              </w:rPr>
            </w:pPr>
          </w:p>
        </w:tc>
        <w:tc>
          <w:tcPr>
            <w:tcW w:w="217" w:type="dxa"/>
          </w:tcPr>
          <w:p w14:paraId="77100E7F" w14:textId="77777777" w:rsidR="002C0FD9" w:rsidRPr="00CA25CF" w:rsidRDefault="002C0FD9" w:rsidP="00CA25CF">
            <w:pPr>
              <w:rPr>
                <w:rFonts w:cs="Arial"/>
                <w:color w:val="FF0000"/>
                <w:sz w:val="21"/>
                <w:szCs w:val="21"/>
              </w:rPr>
            </w:pPr>
          </w:p>
        </w:tc>
        <w:tc>
          <w:tcPr>
            <w:tcW w:w="217" w:type="dxa"/>
          </w:tcPr>
          <w:p w14:paraId="3E091E31" w14:textId="77777777" w:rsidR="002C0FD9" w:rsidRPr="00CA25CF" w:rsidRDefault="002C0FD9" w:rsidP="00CA25CF">
            <w:pPr>
              <w:rPr>
                <w:rFonts w:cs="Arial"/>
                <w:color w:val="FF0000"/>
                <w:sz w:val="21"/>
                <w:szCs w:val="21"/>
              </w:rPr>
            </w:pPr>
          </w:p>
        </w:tc>
        <w:tc>
          <w:tcPr>
            <w:tcW w:w="217" w:type="dxa"/>
          </w:tcPr>
          <w:p w14:paraId="7ED8019B" w14:textId="77777777" w:rsidR="002C0FD9" w:rsidRPr="00CA25CF" w:rsidRDefault="002C0FD9" w:rsidP="00CA25CF">
            <w:pPr>
              <w:rPr>
                <w:rFonts w:cs="Arial"/>
                <w:color w:val="FF0000"/>
                <w:sz w:val="21"/>
                <w:szCs w:val="21"/>
              </w:rPr>
            </w:pPr>
          </w:p>
        </w:tc>
        <w:tc>
          <w:tcPr>
            <w:tcW w:w="217" w:type="dxa"/>
          </w:tcPr>
          <w:p w14:paraId="3FC2A646" w14:textId="77777777" w:rsidR="002C0FD9" w:rsidRPr="00CA25CF" w:rsidRDefault="002C0FD9" w:rsidP="00CA25CF">
            <w:pPr>
              <w:rPr>
                <w:rFonts w:cs="Arial"/>
                <w:color w:val="FF0000"/>
                <w:sz w:val="21"/>
                <w:szCs w:val="21"/>
              </w:rPr>
            </w:pPr>
          </w:p>
        </w:tc>
        <w:tc>
          <w:tcPr>
            <w:tcW w:w="217" w:type="dxa"/>
          </w:tcPr>
          <w:p w14:paraId="297194C9" w14:textId="77777777" w:rsidR="002C0FD9" w:rsidRPr="00CA25CF" w:rsidRDefault="002C0FD9" w:rsidP="00CA25CF">
            <w:pPr>
              <w:rPr>
                <w:rFonts w:cs="Arial"/>
                <w:color w:val="FF0000"/>
                <w:sz w:val="21"/>
                <w:szCs w:val="21"/>
              </w:rPr>
            </w:pPr>
          </w:p>
        </w:tc>
        <w:tc>
          <w:tcPr>
            <w:tcW w:w="217" w:type="dxa"/>
          </w:tcPr>
          <w:p w14:paraId="0565B632" w14:textId="77777777" w:rsidR="002C0FD9" w:rsidRPr="00CA25CF" w:rsidRDefault="002C0FD9" w:rsidP="00CA25CF">
            <w:pPr>
              <w:rPr>
                <w:rFonts w:cs="Arial"/>
                <w:color w:val="FF0000"/>
                <w:sz w:val="21"/>
                <w:szCs w:val="21"/>
              </w:rPr>
            </w:pPr>
          </w:p>
        </w:tc>
        <w:tc>
          <w:tcPr>
            <w:tcW w:w="217" w:type="dxa"/>
          </w:tcPr>
          <w:p w14:paraId="2A0B411B" w14:textId="77777777" w:rsidR="002C0FD9" w:rsidRPr="00CA25CF" w:rsidRDefault="002C0FD9" w:rsidP="00CA25CF">
            <w:pPr>
              <w:rPr>
                <w:rFonts w:cs="Arial"/>
                <w:color w:val="FF0000"/>
                <w:sz w:val="21"/>
                <w:szCs w:val="21"/>
              </w:rPr>
            </w:pPr>
          </w:p>
        </w:tc>
        <w:tc>
          <w:tcPr>
            <w:tcW w:w="217" w:type="dxa"/>
          </w:tcPr>
          <w:p w14:paraId="0CCD7158" w14:textId="77777777" w:rsidR="002C0FD9" w:rsidRPr="00CA25CF" w:rsidRDefault="002C0FD9" w:rsidP="00CA25CF">
            <w:pPr>
              <w:rPr>
                <w:rFonts w:cs="Arial"/>
                <w:color w:val="FF0000"/>
                <w:sz w:val="21"/>
                <w:szCs w:val="21"/>
              </w:rPr>
            </w:pPr>
          </w:p>
        </w:tc>
        <w:tc>
          <w:tcPr>
            <w:tcW w:w="217" w:type="dxa"/>
          </w:tcPr>
          <w:p w14:paraId="4081E9DA" w14:textId="77777777" w:rsidR="002C0FD9" w:rsidRPr="00CA25CF" w:rsidRDefault="002C0FD9" w:rsidP="00CA25CF">
            <w:pPr>
              <w:rPr>
                <w:rFonts w:cs="Arial"/>
                <w:color w:val="FF0000"/>
                <w:sz w:val="21"/>
                <w:szCs w:val="21"/>
              </w:rPr>
            </w:pPr>
          </w:p>
        </w:tc>
        <w:tc>
          <w:tcPr>
            <w:tcW w:w="217" w:type="dxa"/>
          </w:tcPr>
          <w:p w14:paraId="52F52277" w14:textId="77777777" w:rsidR="002C0FD9" w:rsidRPr="00CA25CF" w:rsidRDefault="002C0FD9" w:rsidP="00CA25CF">
            <w:pPr>
              <w:rPr>
                <w:rFonts w:cs="Arial"/>
                <w:color w:val="FF0000"/>
                <w:sz w:val="21"/>
                <w:szCs w:val="21"/>
              </w:rPr>
            </w:pPr>
          </w:p>
        </w:tc>
        <w:tc>
          <w:tcPr>
            <w:tcW w:w="217" w:type="dxa"/>
          </w:tcPr>
          <w:p w14:paraId="21381A01" w14:textId="77777777" w:rsidR="002C0FD9" w:rsidRPr="00CA25CF" w:rsidRDefault="002C0FD9" w:rsidP="00CA25CF">
            <w:pPr>
              <w:rPr>
                <w:rFonts w:cs="Arial"/>
                <w:color w:val="FF0000"/>
                <w:sz w:val="21"/>
                <w:szCs w:val="21"/>
              </w:rPr>
            </w:pPr>
          </w:p>
        </w:tc>
        <w:tc>
          <w:tcPr>
            <w:tcW w:w="217" w:type="dxa"/>
          </w:tcPr>
          <w:p w14:paraId="004A6BFD" w14:textId="77777777" w:rsidR="002C0FD9" w:rsidRPr="00CA25CF" w:rsidRDefault="002C0FD9" w:rsidP="00CA25CF">
            <w:pPr>
              <w:rPr>
                <w:rFonts w:cs="Arial"/>
                <w:color w:val="FF0000"/>
                <w:sz w:val="21"/>
                <w:szCs w:val="21"/>
              </w:rPr>
            </w:pPr>
          </w:p>
        </w:tc>
        <w:tc>
          <w:tcPr>
            <w:tcW w:w="217" w:type="dxa"/>
          </w:tcPr>
          <w:p w14:paraId="421D714C" w14:textId="77777777" w:rsidR="002C0FD9" w:rsidRPr="00CA25CF" w:rsidRDefault="002C0FD9" w:rsidP="00CA25CF">
            <w:pPr>
              <w:rPr>
                <w:rFonts w:cs="Arial"/>
                <w:color w:val="FF0000"/>
                <w:sz w:val="21"/>
                <w:szCs w:val="21"/>
              </w:rPr>
            </w:pPr>
          </w:p>
        </w:tc>
        <w:tc>
          <w:tcPr>
            <w:tcW w:w="217" w:type="dxa"/>
          </w:tcPr>
          <w:p w14:paraId="7E9046C6" w14:textId="77777777" w:rsidR="002C0FD9" w:rsidRPr="00CA25CF" w:rsidRDefault="002C0FD9" w:rsidP="00CA25CF">
            <w:pPr>
              <w:rPr>
                <w:rFonts w:cs="Arial"/>
                <w:color w:val="FF0000"/>
                <w:sz w:val="21"/>
                <w:szCs w:val="21"/>
              </w:rPr>
            </w:pPr>
          </w:p>
        </w:tc>
        <w:tc>
          <w:tcPr>
            <w:tcW w:w="217" w:type="dxa"/>
          </w:tcPr>
          <w:p w14:paraId="7FF8242B" w14:textId="77777777" w:rsidR="002C0FD9" w:rsidRPr="00CA25CF" w:rsidRDefault="002C0FD9" w:rsidP="00CA25CF">
            <w:pPr>
              <w:rPr>
                <w:rFonts w:cs="Arial"/>
                <w:color w:val="FF0000"/>
                <w:sz w:val="21"/>
                <w:szCs w:val="21"/>
              </w:rPr>
            </w:pPr>
          </w:p>
        </w:tc>
        <w:tc>
          <w:tcPr>
            <w:tcW w:w="217" w:type="dxa"/>
          </w:tcPr>
          <w:p w14:paraId="6D908AC4" w14:textId="77777777" w:rsidR="002C0FD9" w:rsidRPr="00CA25CF" w:rsidRDefault="002C0FD9" w:rsidP="00CA25CF">
            <w:pPr>
              <w:rPr>
                <w:rFonts w:cs="Arial"/>
                <w:color w:val="FF0000"/>
                <w:sz w:val="21"/>
                <w:szCs w:val="21"/>
              </w:rPr>
            </w:pPr>
          </w:p>
        </w:tc>
        <w:tc>
          <w:tcPr>
            <w:tcW w:w="217" w:type="dxa"/>
          </w:tcPr>
          <w:p w14:paraId="5D2878DD" w14:textId="77777777" w:rsidR="002C0FD9" w:rsidRPr="00CA25CF" w:rsidRDefault="002C0FD9" w:rsidP="00CA25CF">
            <w:pPr>
              <w:rPr>
                <w:rFonts w:cs="Arial"/>
                <w:color w:val="FF0000"/>
                <w:sz w:val="21"/>
                <w:szCs w:val="21"/>
              </w:rPr>
            </w:pPr>
          </w:p>
        </w:tc>
        <w:tc>
          <w:tcPr>
            <w:tcW w:w="217" w:type="dxa"/>
          </w:tcPr>
          <w:p w14:paraId="74B19345" w14:textId="77777777" w:rsidR="002C0FD9" w:rsidRPr="00CA25CF" w:rsidRDefault="002C0FD9" w:rsidP="00CA25CF">
            <w:pPr>
              <w:rPr>
                <w:rFonts w:cs="Arial"/>
                <w:color w:val="FF0000"/>
                <w:sz w:val="21"/>
                <w:szCs w:val="21"/>
              </w:rPr>
            </w:pPr>
          </w:p>
        </w:tc>
        <w:tc>
          <w:tcPr>
            <w:tcW w:w="217" w:type="dxa"/>
          </w:tcPr>
          <w:p w14:paraId="5B6BA7DD" w14:textId="77777777" w:rsidR="002C0FD9" w:rsidRPr="00CA25CF" w:rsidRDefault="002C0FD9" w:rsidP="00CA25CF">
            <w:pPr>
              <w:rPr>
                <w:rFonts w:cs="Arial"/>
                <w:color w:val="FF0000"/>
                <w:sz w:val="21"/>
                <w:szCs w:val="21"/>
              </w:rPr>
            </w:pPr>
          </w:p>
        </w:tc>
        <w:tc>
          <w:tcPr>
            <w:tcW w:w="217" w:type="dxa"/>
          </w:tcPr>
          <w:p w14:paraId="4C13B568" w14:textId="77777777" w:rsidR="002C0FD9" w:rsidRPr="00CA25CF" w:rsidRDefault="002C0FD9" w:rsidP="00CA25CF">
            <w:pPr>
              <w:rPr>
                <w:rFonts w:cs="Arial"/>
                <w:color w:val="FF0000"/>
                <w:sz w:val="21"/>
                <w:szCs w:val="21"/>
              </w:rPr>
            </w:pPr>
          </w:p>
        </w:tc>
        <w:tc>
          <w:tcPr>
            <w:tcW w:w="217" w:type="dxa"/>
          </w:tcPr>
          <w:p w14:paraId="2B2334BE" w14:textId="77777777" w:rsidR="002C0FD9" w:rsidRPr="00CA25CF" w:rsidRDefault="002C0FD9" w:rsidP="00CA25CF">
            <w:pPr>
              <w:rPr>
                <w:rFonts w:cs="Arial"/>
                <w:color w:val="FF0000"/>
                <w:sz w:val="21"/>
                <w:szCs w:val="21"/>
              </w:rPr>
            </w:pPr>
          </w:p>
        </w:tc>
        <w:tc>
          <w:tcPr>
            <w:tcW w:w="217" w:type="dxa"/>
          </w:tcPr>
          <w:p w14:paraId="00AB2E53" w14:textId="77777777" w:rsidR="002C0FD9" w:rsidRPr="00CA25CF" w:rsidRDefault="002C0FD9" w:rsidP="00CA25CF">
            <w:pPr>
              <w:rPr>
                <w:rFonts w:cs="Arial"/>
                <w:color w:val="FF0000"/>
                <w:sz w:val="21"/>
                <w:szCs w:val="21"/>
              </w:rPr>
            </w:pPr>
          </w:p>
        </w:tc>
        <w:tc>
          <w:tcPr>
            <w:tcW w:w="217" w:type="dxa"/>
          </w:tcPr>
          <w:p w14:paraId="421CDCB3" w14:textId="77777777" w:rsidR="002C0FD9" w:rsidRPr="00CA25CF" w:rsidRDefault="002C0FD9" w:rsidP="00CA25CF">
            <w:pPr>
              <w:rPr>
                <w:rFonts w:cs="Arial"/>
                <w:color w:val="FF0000"/>
                <w:sz w:val="21"/>
                <w:szCs w:val="21"/>
              </w:rPr>
            </w:pPr>
          </w:p>
        </w:tc>
      </w:tr>
      <w:tr w:rsidR="002C0FD9" w:rsidRPr="00A16219" w14:paraId="7F119F6C" w14:textId="77777777" w:rsidTr="002C0FD9">
        <w:trPr>
          <w:trHeight w:val="635"/>
        </w:trPr>
        <w:tc>
          <w:tcPr>
            <w:tcW w:w="515" w:type="dxa"/>
          </w:tcPr>
          <w:p w14:paraId="388D4A44" w14:textId="77777777" w:rsidR="002C0FD9" w:rsidRPr="00CA25CF" w:rsidRDefault="002C0FD9" w:rsidP="00CA25CF">
            <w:pPr>
              <w:rPr>
                <w:rFonts w:cs="Arial"/>
                <w:color w:val="FF0000"/>
                <w:sz w:val="21"/>
                <w:szCs w:val="21"/>
              </w:rPr>
            </w:pPr>
          </w:p>
        </w:tc>
        <w:tc>
          <w:tcPr>
            <w:tcW w:w="217" w:type="dxa"/>
          </w:tcPr>
          <w:p w14:paraId="1F66E846" w14:textId="77777777" w:rsidR="002C0FD9" w:rsidRPr="00CA25CF" w:rsidRDefault="002C0FD9" w:rsidP="00CA25CF">
            <w:pPr>
              <w:rPr>
                <w:rFonts w:cs="Arial"/>
                <w:color w:val="FF0000"/>
                <w:sz w:val="21"/>
                <w:szCs w:val="21"/>
              </w:rPr>
            </w:pPr>
          </w:p>
        </w:tc>
        <w:tc>
          <w:tcPr>
            <w:tcW w:w="217" w:type="dxa"/>
          </w:tcPr>
          <w:p w14:paraId="49E9898A" w14:textId="77777777" w:rsidR="002C0FD9" w:rsidRPr="00CA25CF" w:rsidRDefault="002C0FD9" w:rsidP="00CA25CF">
            <w:pPr>
              <w:rPr>
                <w:rFonts w:cs="Arial"/>
                <w:color w:val="FF0000"/>
                <w:sz w:val="21"/>
                <w:szCs w:val="21"/>
              </w:rPr>
            </w:pPr>
          </w:p>
        </w:tc>
        <w:tc>
          <w:tcPr>
            <w:tcW w:w="217" w:type="dxa"/>
          </w:tcPr>
          <w:p w14:paraId="1F4E513F" w14:textId="77777777" w:rsidR="002C0FD9" w:rsidRPr="00CA25CF" w:rsidRDefault="002C0FD9" w:rsidP="00CA25CF">
            <w:pPr>
              <w:rPr>
                <w:rFonts w:cs="Arial"/>
                <w:color w:val="FF0000"/>
                <w:sz w:val="21"/>
                <w:szCs w:val="21"/>
              </w:rPr>
            </w:pPr>
          </w:p>
        </w:tc>
        <w:tc>
          <w:tcPr>
            <w:tcW w:w="217" w:type="dxa"/>
          </w:tcPr>
          <w:p w14:paraId="1A8F96C3" w14:textId="77777777" w:rsidR="002C0FD9" w:rsidRPr="00CA25CF" w:rsidRDefault="002C0FD9" w:rsidP="00CA25CF">
            <w:pPr>
              <w:rPr>
                <w:rFonts w:cs="Arial"/>
                <w:color w:val="FF0000"/>
                <w:sz w:val="21"/>
                <w:szCs w:val="21"/>
              </w:rPr>
            </w:pPr>
          </w:p>
        </w:tc>
        <w:tc>
          <w:tcPr>
            <w:tcW w:w="217" w:type="dxa"/>
          </w:tcPr>
          <w:p w14:paraId="11976526" w14:textId="77777777" w:rsidR="002C0FD9" w:rsidRPr="00CA25CF" w:rsidRDefault="002C0FD9" w:rsidP="00CA25CF">
            <w:pPr>
              <w:rPr>
                <w:rFonts w:cs="Arial"/>
                <w:color w:val="FF0000"/>
                <w:sz w:val="21"/>
                <w:szCs w:val="21"/>
              </w:rPr>
            </w:pPr>
          </w:p>
        </w:tc>
        <w:tc>
          <w:tcPr>
            <w:tcW w:w="217" w:type="dxa"/>
          </w:tcPr>
          <w:p w14:paraId="78102005" w14:textId="77777777" w:rsidR="002C0FD9" w:rsidRPr="00CA25CF" w:rsidRDefault="002C0FD9" w:rsidP="00CA25CF">
            <w:pPr>
              <w:rPr>
                <w:rFonts w:cs="Arial"/>
                <w:color w:val="FF0000"/>
                <w:sz w:val="21"/>
                <w:szCs w:val="21"/>
              </w:rPr>
            </w:pPr>
          </w:p>
        </w:tc>
        <w:tc>
          <w:tcPr>
            <w:tcW w:w="217" w:type="dxa"/>
          </w:tcPr>
          <w:p w14:paraId="1DA94905" w14:textId="77777777" w:rsidR="002C0FD9" w:rsidRPr="00CA25CF" w:rsidRDefault="002C0FD9" w:rsidP="00CA25CF">
            <w:pPr>
              <w:rPr>
                <w:rFonts w:cs="Arial"/>
                <w:color w:val="FF0000"/>
                <w:sz w:val="21"/>
                <w:szCs w:val="21"/>
              </w:rPr>
            </w:pPr>
          </w:p>
        </w:tc>
        <w:tc>
          <w:tcPr>
            <w:tcW w:w="217" w:type="dxa"/>
          </w:tcPr>
          <w:p w14:paraId="0262F932" w14:textId="77777777" w:rsidR="002C0FD9" w:rsidRPr="00CA25CF" w:rsidRDefault="002C0FD9" w:rsidP="00CA25CF">
            <w:pPr>
              <w:rPr>
                <w:rFonts w:cs="Arial"/>
                <w:color w:val="FF0000"/>
                <w:sz w:val="21"/>
                <w:szCs w:val="21"/>
              </w:rPr>
            </w:pPr>
          </w:p>
        </w:tc>
        <w:tc>
          <w:tcPr>
            <w:tcW w:w="217" w:type="dxa"/>
          </w:tcPr>
          <w:p w14:paraId="29FEA55E" w14:textId="77777777" w:rsidR="002C0FD9" w:rsidRPr="00CA25CF" w:rsidRDefault="002C0FD9" w:rsidP="00CA25CF">
            <w:pPr>
              <w:rPr>
                <w:rFonts w:cs="Arial"/>
                <w:color w:val="FF0000"/>
                <w:sz w:val="21"/>
                <w:szCs w:val="21"/>
              </w:rPr>
            </w:pPr>
          </w:p>
        </w:tc>
        <w:tc>
          <w:tcPr>
            <w:tcW w:w="217" w:type="dxa"/>
          </w:tcPr>
          <w:p w14:paraId="291AD574" w14:textId="77777777" w:rsidR="002C0FD9" w:rsidRPr="00CA25CF" w:rsidRDefault="002C0FD9" w:rsidP="00CA25CF">
            <w:pPr>
              <w:rPr>
                <w:rFonts w:cs="Arial"/>
                <w:color w:val="FF0000"/>
                <w:sz w:val="21"/>
                <w:szCs w:val="21"/>
              </w:rPr>
            </w:pPr>
          </w:p>
        </w:tc>
        <w:tc>
          <w:tcPr>
            <w:tcW w:w="217" w:type="dxa"/>
          </w:tcPr>
          <w:p w14:paraId="057B8681" w14:textId="77777777" w:rsidR="002C0FD9" w:rsidRPr="00CA25CF" w:rsidRDefault="002C0FD9" w:rsidP="00CA25CF">
            <w:pPr>
              <w:rPr>
                <w:rFonts w:cs="Arial"/>
                <w:color w:val="FF0000"/>
                <w:sz w:val="21"/>
                <w:szCs w:val="21"/>
              </w:rPr>
            </w:pPr>
          </w:p>
        </w:tc>
        <w:tc>
          <w:tcPr>
            <w:tcW w:w="217" w:type="dxa"/>
          </w:tcPr>
          <w:p w14:paraId="6EE3C1A7" w14:textId="77777777" w:rsidR="002C0FD9" w:rsidRPr="00CA25CF" w:rsidRDefault="002C0FD9" w:rsidP="00CA25CF">
            <w:pPr>
              <w:rPr>
                <w:rFonts w:cs="Arial"/>
                <w:color w:val="FF0000"/>
                <w:sz w:val="21"/>
                <w:szCs w:val="21"/>
              </w:rPr>
            </w:pPr>
          </w:p>
        </w:tc>
        <w:tc>
          <w:tcPr>
            <w:tcW w:w="217" w:type="dxa"/>
          </w:tcPr>
          <w:p w14:paraId="328905C0" w14:textId="77777777" w:rsidR="002C0FD9" w:rsidRPr="00CA25CF" w:rsidRDefault="002C0FD9" w:rsidP="00CA25CF">
            <w:pPr>
              <w:rPr>
                <w:rFonts w:cs="Arial"/>
                <w:color w:val="FF0000"/>
                <w:sz w:val="21"/>
                <w:szCs w:val="21"/>
              </w:rPr>
            </w:pPr>
          </w:p>
        </w:tc>
        <w:tc>
          <w:tcPr>
            <w:tcW w:w="217" w:type="dxa"/>
          </w:tcPr>
          <w:p w14:paraId="4DAE67BF" w14:textId="77777777" w:rsidR="002C0FD9" w:rsidRPr="00CA25CF" w:rsidRDefault="002C0FD9" w:rsidP="00CA25CF">
            <w:pPr>
              <w:rPr>
                <w:rFonts w:cs="Arial"/>
                <w:color w:val="FF0000"/>
                <w:sz w:val="21"/>
                <w:szCs w:val="21"/>
              </w:rPr>
            </w:pPr>
          </w:p>
        </w:tc>
        <w:tc>
          <w:tcPr>
            <w:tcW w:w="217" w:type="dxa"/>
          </w:tcPr>
          <w:p w14:paraId="36CEF1CA" w14:textId="77777777" w:rsidR="002C0FD9" w:rsidRPr="00CA25CF" w:rsidRDefault="002C0FD9" w:rsidP="00CA25CF">
            <w:pPr>
              <w:rPr>
                <w:rFonts w:cs="Arial"/>
                <w:color w:val="FF0000"/>
                <w:sz w:val="21"/>
                <w:szCs w:val="21"/>
              </w:rPr>
            </w:pPr>
          </w:p>
        </w:tc>
        <w:tc>
          <w:tcPr>
            <w:tcW w:w="217" w:type="dxa"/>
          </w:tcPr>
          <w:p w14:paraId="3C1E9F56" w14:textId="77777777" w:rsidR="002C0FD9" w:rsidRPr="00CA25CF" w:rsidRDefault="002C0FD9" w:rsidP="00CA25CF">
            <w:pPr>
              <w:rPr>
                <w:rFonts w:cs="Arial"/>
                <w:color w:val="FF0000"/>
                <w:sz w:val="21"/>
                <w:szCs w:val="21"/>
              </w:rPr>
            </w:pPr>
          </w:p>
        </w:tc>
        <w:tc>
          <w:tcPr>
            <w:tcW w:w="217" w:type="dxa"/>
          </w:tcPr>
          <w:p w14:paraId="7DD36E9F" w14:textId="77777777" w:rsidR="002C0FD9" w:rsidRPr="00CA25CF" w:rsidRDefault="002C0FD9" w:rsidP="00CA25CF">
            <w:pPr>
              <w:rPr>
                <w:rFonts w:cs="Arial"/>
                <w:color w:val="FF0000"/>
                <w:sz w:val="21"/>
                <w:szCs w:val="21"/>
              </w:rPr>
            </w:pPr>
          </w:p>
        </w:tc>
        <w:tc>
          <w:tcPr>
            <w:tcW w:w="217" w:type="dxa"/>
          </w:tcPr>
          <w:p w14:paraId="3347B56F" w14:textId="77777777" w:rsidR="002C0FD9" w:rsidRPr="00CA25CF" w:rsidRDefault="002C0FD9" w:rsidP="00CA25CF">
            <w:pPr>
              <w:rPr>
                <w:rFonts w:cs="Arial"/>
                <w:color w:val="FF0000"/>
                <w:sz w:val="21"/>
                <w:szCs w:val="21"/>
              </w:rPr>
            </w:pPr>
          </w:p>
        </w:tc>
        <w:tc>
          <w:tcPr>
            <w:tcW w:w="217" w:type="dxa"/>
          </w:tcPr>
          <w:p w14:paraId="61083DE9" w14:textId="77777777" w:rsidR="002C0FD9" w:rsidRPr="00CA25CF" w:rsidRDefault="002C0FD9" w:rsidP="00CA25CF">
            <w:pPr>
              <w:rPr>
                <w:rFonts w:cs="Arial"/>
                <w:color w:val="FF0000"/>
                <w:sz w:val="21"/>
                <w:szCs w:val="21"/>
              </w:rPr>
            </w:pPr>
          </w:p>
        </w:tc>
        <w:tc>
          <w:tcPr>
            <w:tcW w:w="217" w:type="dxa"/>
          </w:tcPr>
          <w:p w14:paraId="143C04A4" w14:textId="77777777" w:rsidR="002C0FD9" w:rsidRPr="00CA25CF" w:rsidRDefault="002C0FD9" w:rsidP="00CA25CF">
            <w:pPr>
              <w:rPr>
                <w:rFonts w:cs="Arial"/>
                <w:color w:val="FF0000"/>
                <w:sz w:val="21"/>
                <w:szCs w:val="21"/>
              </w:rPr>
            </w:pPr>
          </w:p>
        </w:tc>
        <w:tc>
          <w:tcPr>
            <w:tcW w:w="217" w:type="dxa"/>
          </w:tcPr>
          <w:p w14:paraId="5D8AB7C1" w14:textId="77777777" w:rsidR="002C0FD9" w:rsidRPr="00CA25CF" w:rsidRDefault="002C0FD9" w:rsidP="00CA25CF">
            <w:pPr>
              <w:rPr>
                <w:rFonts w:cs="Arial"/>
                <w:color w:val="FF0000"/>
                <w:sz w:val="21"/>
                <w:szCs w:val="21"/>
              </w:rPr>
            </w:pPr>
          </w:p>
        </w:tc>
        <w:tc>
          <w:tcPr>
            <w:tcW w:w="217" w:type="dxa"/>
          </w:tcPr>
          <w:p w14:paraId="2DB85F73" w14:textId="77777777" w:rsidR="002C0FD9" w:rsidRPr="00CA25CF" w:rsidRDefault="002C0FD9" w:rsidP="00CA25CF">
            <w:pPr>
              <w:rPr>
                <w:rFonts w:cs="Arial"/>
                <w:color w:val="FF0000"/>
                <w:sz w:val="21"/>
                <w:szCs w:val="21"/>
              </w:rPr>
            </w:pPr>
          </w:p>
        </w:tc>
        <w:tc>
          <w:tcPr>
            <w:tcW w:w="217" w:type="dxa"/>
          </w:tcPr>
          <w:p w14:paraId="15328DAE" w14:textId="77777777" w:rsidR="002C0FD9" w:rsidRPr="00CA25CF" w:rsidRDefault="002C0FD9" w:rsidP="00CA25CF">
            <w:pPr>
              <w:rPr>
                <w:rFonts w:cs="Arial"/>
                <w:color w:val="FF0000"/>
                <w:sz w:val="21"/>
                <w:szCs w:val="21"/>
              </w:rPr>
            </w:pPr>
          </w:p>
        </w:tc>
        <w:tc>
          <w:tcPr>
            <w:tcW w:w="217" w:type="dxa"/>
          </w:tcPr>
          <w:p w14:paraId="4F7209F4" w14:textId="77777777" w:rsidR="002C0FD9" w:rsidRPr="00CA25CF" w:rsidRDefault="002C0FD9" w:rsidP="00CA25CF">
            <w:pPr>
              <w:rPr>
                <w:rFonts w:cs="Arial"/>
                <w:color w:val="FF0000"/>
                <w:sz w:val="21"/>
                <w:szCs w:val="21"/>
              </w:rPr>
            </w:pPr>
          </w:p>
        </w:tc>
        <w:tc>
          <w:tcPr>
            <w:tcW w:w="217" w:type="dxa"/>
          </w:tcPr>
          <w:p w14:paraId="64F4A2E4" w14:textId="77777777" w:rsidR="002C0FD9" w:rsidRPr="00CA25CF" w:rsidRDefault="002C0FD9" w:rsidP="00CA25CF">
            <w:pPr>
              <w:rPr>
                <w:rFonts w:cs="Arial"/>
                <w:color w:val="FF0000"/>
                <w:sz w:val="21"/>
                <w:szCs w:val="21"/>
              </w:rPr>
            </w:pPr>
          </w:p>
        </w:tc>
        <w:tc>
          <w:tcPr>
            <w:tcW w:w="217" w:type="dxa"/>
          </w:tcPr>
          <w:p w14:paraId="1819E916" w14:textId="77777777" w:rsidR="002C0FD9" w:rsidRPr="00CA25CF" w:rsidRDefault="002C0FD9" w:rsidP="00CA25CF">
            <w:pPr>
              <w:rPr>
                <w:rFonts w:cs="Arial"/>
                <w:color w:val="FF0000"/>
                <w:sz w:val="21"/>
                <w:szCs w:val="21"/>
              </w:rPr>
            </w:pPr>
          </w:p>
        </w:tc>
        <w:tc>
          <w:tcPr>
            <w:tcW w:w="217" w:type="dxa"/>
          </w:tcPr>
          <w:p w14:paraId="350FA5D1" w14:textId="77777777" w:rsidR="002C0FD9" w:rsidRPr="00CA25CF" w:rsidRDefault="002C0FD9" w:rsidP="00CA25CF">
            <w:pPr>
              <w:rPr>
                <w:rFonts w:cs="Arial"/>
                <w:color w:val="FF0000"/>
                <w:sz w:val="21"/>
                <w:szCs w:val="21"/>
              </w:rPr>
            </w:pPr>
          </w:p>
        </w:tc>
        <w:tc>
          <w:tcPr>
            <w:tcW w:w="217" w:type="dxa"/>
          </w:tcPr>
          <w:p w14:paraId="34591EF0" w14:textId="77777777" w:rsidR="002C0FD9" w:rsidRPr="00CA25CF" w:rsidRDefault="002C0FD9" w:rsidP="00CA25CF">
            <w:pPr>
              <w:rPr>
                <w:rFonts w:cs="Arial"/>
                <w:color w:val="FF0000"/>
                <w:sz w:val="21"/>
                <w:szCs w:val="21"/>
              </w:rPr>
            </w:pPr>
          </w:p>
        </w:tc>
        <w:tc>
          <w:tcPr>
            <w:tcW w:w="217" w:type="dxa"/>
          </w:tcPr>
          <w:p w14:paraId="5A04B920" w14:textId="77777777" w:rsidR="002C0FD9" w:rsidRPr="00CA25CF" w:rsidRDefault="002C0FD9" w:rsidP="00CA25CF">
            <w:pPr>
              <w:rPr>
                <w:rFonts w:cs="Arial"/>
                <w:color w:val="FF0000"/>
                <w:sz w:val="21"/>
                <w:szCs w:val="21"/>
              </w:rPr>
            </w:pPr>
          </w:p>
        </w:tc>
        <w:tc>
          <w:tcPr>
            <w:tcW w:w="217" w:type="dxa"/>
          </w:tcPr>
          <w:p w14:paraId="023ED599" w14:textId="77777777" w:rsidR="002C0FD9" w:rsidRPr="00CA25CF" w:rsidRDefault="002C0FD9" w:rsidP="00CA25CF">
            <w:pPr>
              <w:rPr>
                <w:rFonts w:cs="Arial"/>
                <w:color w:val="FF0000"/>
                <w:sz w:val="21"/>
                <w:szCs w:val="21"/>
              </w:rPr>
            </w:pPr>
          </w:p>
        </w:tc>
        <w:tc>
          <w:tcPr>
            <w:tcW w:w="217" w:type="dxa"/>
          </w:tcPr>
          <w:p w14:paraId="3F95014F" w14:textId="77777777" w:rsidR="002C0FD9" w:rsidRPr="00CA25CF" w:rsidRDefault="002C0FD9" w:rsidP="00CA25CF">
            <w:pPr>
              <w:rPr>
                <w:rFonts w:cs="Arial"/>
                <w:color w:val="FF0000"/>
                <w:sz w:val="21"/>
                <w:szCs w:val="21"/>
              </w:rPr>
            </w:pPr>
          </w:p>
        </w:tc>
        <w:tc>
          <w:tcPr>
            <w:tcW w:w="217" w:type="dxa"/>
          </w:tcPr>
          <w:p w14:paraId="52600C6A" w14:textId="77777777" w:rsidR="002C0FD9" w:rsidRPr="00CA25CF" w:rsidRDefault="002C0FD9" w:rsidP="00CA25CF">
            <w:pPr>
              <w:rPr>
                <w:rFonts w:cs="Arial"/>
                <w:color w:val="FF0000"/>
                <w:sz w:val="21"/>
                <w:szCs w:val="21"/>
              </w:rPr>
            </w:pPr>
          </w:p>
        </w:tc>
        <w:tc>
          <w:tcPr>
            <w:tcW w:w="217" w:type="dxa"/>
          </w:tcPr>
          <w:p w14:paraId="49C931BF" w14:textId="77777777" w:rsidR="002C0FD9" w:rsidRPr="00CA25CF" w:rsidRDefault="002C0FD9" w:rsidP="00CA25CF">
            <w:pPr>
              <w:rPr>
                <w:rFonts w:cs="Arial"/>
                <w:color w:val="FF0000"/>
                <w:sz w:val="21"/>
                <w:szCs w:val="21"/>
              </w:rPr>
            </w:pPr>
          </w:p>
        </w:tc>
        <w:tc>
          <w:tcPr>
            <w:tcW w:w="217" w:type="dxa"/>
          </w:tcPr>
          <w:p w14:paraId="4686542A" w14:textId="77777777" w:rsidR="002C0FD9" w:rsidRPr="00CA25CF" w:rsidRDefault="002C0FD9" w:rsidP="00CA25CF">
            <w:pPr>
              <w:rPr>
                <w:rFonts w:cs="Arial"/>
                <w:color w:val="FF0000"/>
                <w:sz w:val="21"/>
                <w:szCs w:val="21"/>
              </w:rPr>
            </w:pPr>
          </w:p>
        </w:tc>
        <w:tc>
          <w:tcPr>
            <w:tcW w:w="217" w:type="dxa"/>
          </w:tcPr>
          <w:p w14:paraId="2A5798B0" w14:textId="77777777" w:rsidR="002C0FD9" w:rsidRPr="00CA25CF" w:rsidRDefault="002C0FD9" w:rsidP="00CA25CF">
            <w:pPr>
              <w:rPr>
                <w:rFonts w:cs="Arial"/>
                <w:color w:val="FF0000"/>
                <w:sz w:val="21"/>
                <w:szCs w:val="21"/>
              </w:rPr>
            </w:pPr>
          </w:p>
        </w:tc>
        <w:tc>
          <w:tcPr>
            <w:tcW w:w="217" w:type="dxa"/>
          </w:tcPr>
          <w:p w14:paraId="7D897213" w14:textId="77777777" w:rsidR="002C0FD9" w:rsidRPr="00CA25CF" w:rsidRDefault="002C0FD9" w:rsidP="00CA25CF">
            <w:pPr>
              <w:rPr>
                <w:rFonts w:cs="Arial"/>
                <w:color w:val="FF0000"/>
                <w:sz w:val="21"/>
                <w:szCs w:val="21"/>
              </w:rPr>
            </w:pPr>
          </w:p>
        </w:tc>
        <w:tc>
          <w:tcPr>
            <w:tcW w:w="217" w:type="dxa"/>
          </w:tcPr>
          <w:p w14:paraId="1CEA3073" w14:textId="77777777" w:rsidR="002C0FD9" w:rsidRPr="00CA25CF" w:rsidRDefault="002C0FD9" w:rsidP="00CA25CF">
            <w:pPr>
              <w:rPr>
                <w:rFonts w:cs="Arial"/>
                <w:color w:val="FF0000"/>
                <w:sz w:val="21"/>
                <w:szCs w:val="21"/>
              </w:rPr>
            </w:pPr>
          </w:p>
        </w:tc>
        <w:tc>
          <w:tcPr>
            <w:tcW w:w="217" w:type="dxa"/>
          </w:tcPr>
          <w:p w14:paraId="5F5174AE" w14:textId="77777777" w:rsidR="002C0FD9" w:rsidRPr="00CA25CF" w:rsidRDefault="002C0FD9" w:rsidP="00CA25CF">
            <w:pPr>
              <w:rPr>
                <w:rFonts w:cs="Arial"/>
                <w:color w:val="FF0000"/>
                <w:sz w:val="21"/>
                <w:szCs w:val="21"/>
              </w:rPr>
            </w:pPr>
          </w:p>
        </w:tc>
        <w:tc>
          <w:tcPr>
            <w:tcW w:w="217" w:type="dxa"/>
          </w:tcPr>
          <w:p w14:paraId="52F62D4C" w14:textId="77777777" w:rsidR="002C0FD9" w:rsidRPr="00CA25CF" w:rsidRDefault="002C0FD9" w:rsidP="00CA25CF">
            <w:pPr>
              <w:rPr>
                <w:rFonts w:cs="Arial"/>
                <w:color w:val="FF0000"/>
                <w:sz w:val="21"/>
                <w:szCs w:val="21"/>
              </w:rPr>
            </w:pPr>
          </w:p>
        </w:tc>
        <w:tc>
          <w:tcPr>
            <w:tcW w:w="217" w:type="dxa"/>
          </w:tcPr>
          <w:p w14:paraId="4934A0A3" w14:textId="77777777" w:rsidR="002C0FD9" w:rsidRPr="00CA25CF" w:rsidRDefault="002C0FD9" w:rsidP="00CA25CF">
            <w:pPr>
              <w:rPr>
                <w:rFonts w:cs="Arial"/>
                <w:color w:val="FF0000"/>
                <w:sz w:val="21"/>
                <w:szCs w:val="21"/>
              </w:rPr>
            </w:pPr>
          </w:p>
        </w:tc>
        <w:tc>
          <w:tcPr>
            <w:tcW w:w="217" w:type="dxa"/>
          </w:tcPr>
          <w:p w14:paraId="030379DD" w14:textId="77777777" w:rsidR="002C0FD9" w:rsidRPr="00CA25CF" w:rsidRDefault="002C0FD9" w:rsidP="00CA25CF">
            <w:pPr>
              <w:rPr>
                <w:rFonts w:cs="Arial"/>
                <w:color w:val="FF0000"/>
                <w:sz w:val="21"/>
                <w:szCs w:val="21"/>
              </w:rPr>
            </w:pPr>
          </w:p>
        </w:tc>
        <w:tc>
          <w:tcPr>
            <w:tcW w:w="217" w:type="dxa"/>
          </w:tcPr>
          <w:p w14:paraId="3766D54C" w14:textId="77777777" w:rsidR="002C0FD9" w:rsidRPr="00CA25CF" w:rsidRDefault="002C0FD9" w:rsidP="00CA25CF">
            <w:pPr>
              <w:rPr>
                <w:rFonts w:cs="Arial"/>
                <w:color w:val="FF0000"/>
                <w:sz w:val="21"/>
                <w:szCs w:val="21"/>
              </w:rPr>
            </w:pPr>
          </w:p>
        </w:tc>
      </w:tr>
      <w:tr w:rsidR="002C0FD9" w:rsidRPr="00A16219" w14:paraId="1800E0FB" w14:textId="77777777" w:rsidTr="002C0FD9">
        <w:trPr>
          <w:trHeight w:val="635"/>
        </w:trPr>
        <w:tc>
          <w:tcPr>
            <w:tcW w:w="515" w:type="dxa"/>
          </w:tcPr>
          <w:p w14:paraId="621DE8C5" w14:textId="77777777" w:rsidR="002C0FD9" w:rsidRPr="00CA25CF" w:rsidRDefault="002C0FD9" w:rsidP="00CA25CF">
            <w:pPr>
              <w:rPr>
                <w:rFonts w:cs="Arial"/>
                <w:color w:val="FF0000"/>
                <w:sz w:val="21"/>
                <w:szCs w:val="21"/>
              </w:rPr>
            </w:pPr>
          </w:p>
        </w:tc>
        <w:tc>
          <w:tcPr>
            <w:tcW w:w="217" w:type="dxa"/>
          </w:tcPr>
          <w:p w14:paraId="3077B50B" w14:textId="77777777" w:rsidR="002C0FD9" w:rsidRPr="00CA25CF" w:rsidRDefault="002C0FD9" w:rsidP="00CA25CF">
            <w:pPr>
              <w:rPr>
                <w:rFonts w:cs="Arial"/>
                <w:color w:val="FF0000"/>
                <w:sz w:val="21"/>
                <w:szCs w:val="21"/>
              </w:rPr>
            </w:pPr>
          </w:p>
        </w:tc>
        <w:tc>
          <w:tcPr>
            <w:tcW w:w="217" w:type="dxa"/>
          </w:tcPr>
          <w:p w14:paraId="7B693AEA" w14:textId="77777777" w:rsidR="002C0FD9" w:rsidRPr="00CA25CF" w:rsidRDefault="002C0FD9" w:rsidP="00CA25CF">
            <w:pPr>
              <w:rPr>
                <w:rFonts w:cs="Arial"/>
                <w:color w:val="FF0000"/>
                <w:sz w:val="21"/>
                <w:szCs w:val="21"/>
              </w:rPr>
            </w:pPr>
          </w:p>
        </w:tc>
        <w:tc>
          <w:tcPr>
            <w:tcW w:w="217" w:type="dxa"/>
          </w:tcPr>
          <w:p w14:paraId="0F060DA2" w14:textId="77777777" w:rsidR="002C0FD9" w:rsidRPr="00CA25CF" w:rsidRDefault="002C0FD9" w:rsidP="00CA25CF">
            <w:pPr>
              <w:rPr>
                <w:rFonts w:cs="Arial"/>
                <w:color w:val="FF0000"/>
                <w:sz w:val="21"/>
                <w:szCs w:val="21"/>
              </w:rPr>
            </w:pPr>
          </w:p>
        </w:tc>
        <w:tc>
          <w:tcPr>
            <w:tcW w:w="217" w:type="dxa"/>
          </w:tcPr>
          <w:p w14:paraId="7645C59B" w14:textId="77777777" w:rsidR="002C0FD9" w:rsidRPr="00CA25CF" w:rsidRDefault="002C0FD9" w:rsidP="00CA25CF">
            <w:pPr>
              <w:rPr>
                <w:rFonts w:cs="Arial"/>
                <w:color w:val="FF0000"/>
                <w:sz w:val="21"/>
                <w:szCs w:val="21"/>
              </w:rPr>
            </w:pPr>
          </w:p>
        </w:tc>
        <w:tc>
          <w:tcPr>
            <w:tcW w:w="217" w:type="dxa"/>
          </w:tcPr>
          <w:p w14:paraId="6DBACFA1" w14:textId="77777777" w:rsidR="002C0FD9" w:rsidRPr="00CA25CF" w:rsidRDefault="002C0FD9" w:rsidP="00CA25CF">
            <w:pPr>
              <w:rPr>
                <w:rFonts w:cs="Arial"/>
                <w:color w:val="FF0000"/>
                <w:sz w:val="21"/>
                <w:szCs w:val="21"/>
              </w:rPr>
            </w:pPr>
          </w:p>
        </w:tc>
        <w:tc>
          <w:tcPr>
            <w:tcW w:w="217" w:type="dxa"/>
          </w:tcPr>
          <w:p w14:paraId="32BC4B26" w14:textId="77777777" w:rsidR="002C0FD9" w:rsidRPr="00CA25CF" w:rsidRDefault="002C0FD9" w:rsidP="00CA25CF">
            <w:pPr>
              <w:rPr>
                <w:rFonts w:cs="Arial"/>
                <w:color w:val="FF0000"/>
                <w:sz w:val="21"/>
                <w:szCs w:val="21"/>
              </w:rPr>
            </w:pPr>
          </w:p>
        </w:tc>
        <w:tc>
          <w:tcPr>
            <w:tcW w:w="217" w:type="dxa"/>
          </w:tcPr>
          <w:p w14:paraId="7C9BCDCA" w14:textId="77777777" w:rsidR="002C0FD9" w:rsidRPr="00CA25CF" w:rsidRDefault="002C0FD9" w:rsidP="00CA25CF">
            <w:pPr>
              <w:rPr>
                <w:rFonts w:cs="Arial"/>
                <w:color w:val="FF0000"/>
                <w:sz w:val="21"/>
                <w:szCs w:val="21"/>
              </w:rPr>
            </w:pPr>
          </w:p>
        </w:tc>
        <w:tc>
          <w:tcPr>
            <w:tcW w:w="217" w:type="dxa"/>
          </w:tcPr>
          <w:p w14:paraId="0032A830" w14:textId="77777777" w:rsidR="002C0FD9" w:rsidRPr="00CA25CF" w:rsidRDefault="002C0FD9" w:rsidP="00CA25CF">
            <w:pPr>
              <w:rPr>
                <w:rFonts w:cs="Arial"/>
                <w:color w:val="FF0000"/>
                <w:sz w:val="21"/>
                <w:szCs w:val="21"/>
              </w:rPr>
            </w:pPr>
          </w:p>
        </w:tc>
        <w:tc>
          <w:tcPr>
            <w:tcW w:w="217" w:type="dxa"/>
          </w:tcPr>
          <w:p w14:paraId="326AD8D5" w14:textId="77777777" w:rsidR="002C0FD9" w:rsidRPr="00CA25CF" w:rsidRDefault="002C0FD9" w:rsidP="00CA25CF">
            <w:pPr>
              <w:rPr>
                <w:rFonts w:cs="Arial"/>
                <w:color w:val="FF0000"/>
                <w:sz w:val="21"/>
                <w:szCs w:val="21"/>
              </w:rPr>
            </w:pPr>
          </w:p>
        </w:tc>
        <w:tc>
          <w:tcPr>
            <w:tcW w:w="217" w:type="dxa"/>
          </w:tcPr>
          <w:p w14:paraId="480D4157" w14:textId="77777777" w:rsidR="002C0FD9" w:rsidRPr="00CA25CF" w:rsidRDefault="002C0FD9" w:rsidP="00CA25CF">
            <w:pPr>
              <w:rPr>
                <w:rFonts w:cs="Arial"/>
                <w:color w:val="FF0000"/>
                <w:sz w:val="21"/>
                <w:szCs w:val="21"/>
              </w:rPr>
            </w:pPr>
          </w:p>
        </w:tc>
        <w:tc>
          <w:tcPr>
            <w:tcW w:w="217" w:type="dxa"/>
          </w:tcPr>
          <w:p w14:paraId="3F90864A" w14:textId="77777777" w:rsidR="002C0FD9" w:rsidRPr="00CA25CF" w:rsidRDefault="002C0FD9" w:rsidP="00CA25CF">
            <w:pPr>
              <w:rPr>
                <w:rFonts w:cs="Arial"/>
                <w:color w:val="FF0000"/>
                <w:sz w:val="21"/>
                <w:szCs w:val="21"/>
              </w:rPr>
            </w:pPr>
          </w:p>
        </w:tc>
        <w:tc>
          <w:tcPr>
            <w:tcW w:w="217" w:type="dxa"/>
          </w:tcPr>
          <w:p w14:paraId="267C9D00" w14:textId="77777777" w:rsidR="002C0FD9" w:rsidRPr="00CA25CF" w:rsidRDefault="002C0FD9" w:rsidP="00CA25CF">
            <w:pPr>
              <w:rPr>
                <w:rFonts w:cs="Arial"/>
                <w:color w:val="FF0000"/>
                <w:sz w:val="21"/>
                <w:szCs w:val="21"/>
              </w:rPr>
            </w:pPr>
          </w:p>
        </w:tc>
        <w:tc>
          <w:tcPr>
            <w:tcW w:w="217" w:type="dxa"/>
          </w:tcPr>
          <w:p w14:paraId="159FD3DB" w14:textId="77777777" w:rsidR="002C0FD9" w:rsidRPr="00CA25CF" w:rsidRDefault="002C0FD9" w:rsidP="00CA25CF">
            <w:pPr>
              <w:rPr>
                <w:rFonts w:cs="Arial"/>
                <w:color w:val="FF0000"/>
                <w:sz w:val="21"/>
                <w:szCs w:val="21"/>
              </w:rPr>
            </w:pPr>
          </w:p>
        </w:tc>
        <w:tc>
          <w:tcPr>
            <w:tcW w:w="217" w:type="dxa"/>
          </w:tcPr>
          <w:p w14:paraId="2F8F3DA5" w14:textId="77777777" w:rsidR="002C0FD9" w:rsidRPr="00CA25CF" w:rsidRDefault="002C0FD9" w:rsidP="00CA25CF">
            <w:pPr>
              <w:rPr>
                <w:rFonts w:cs="Arial"/>
                <w:color w:val="FF0000"/>
                <w:sz w:val="21"/>
                <w:szCs w:val="21"/>
              </w:rPr>
            </w:pPr>
          </w:p>
        </w:tc>
        <w:tc>
          <w:tcPr>
            <w:tcW w:w="217" w:type="dxa"/>
          </w:tcPr>
          <w:p w14:paraId="253CA88D" w14:textId="77777777" w:rsidR="002C0FD9" w:rsidRPr="00CA25CF" w:rsidRDefault="002C0FD9" w:rsidP="00CA25CF">
            <w:pPr>
              <w:rPr>
                <w:rFonts w:cs="Arial"/>
                <w:color w:val="FF0000"/>
                <w:sz w:val="21"/>
                <w:szCs w:val="21"/>
              </w:rPr>
            </w:pPr>
          </w:p>
        </w:tc>
        <w:tc>
          <w:tcPr>
            <w:tcW w:w="217" w:type="dxa"/>
          </w:tcPr>
          <w:p w14:paraId="231AF940" w14:textId="77777777" w:rsidR="002C0FD9" w:rsidRPr="00CA25CF" w:rsidRDefault="002C0FD9" w:rsidP="00CA25CF">
            <w:pPr>
              <w:rPr>
                <w:rFonts w:cs="Arial"/>
                <w:color w:val="FF0000"/>
                <w:sz w:val="21"/>
                <w:szCs w:val="21"/>
              </w:rPr>
            </w:pPr>
          </w:p>
        </w:tc>
        <w:tc>
          <w:tcPr>
            <w:tcW w:w="217" w:type="dxa"/>
          </w:tcPr>
          <w:p w14:paraId="5CD8BF6D" w14:textId="77777777" w:rsidR="002C0FD9" w:rsidRPr="00CA25CF" w:rsidRDefault="002C0FD9" w:rsidP="00CA25CF">
            <w:pPr>
              <w:rPr>
                <w:rFonts w:cs="Arial"/>
                <w:color w:val="FF0000"/>
                <w:sz w:val="21"/>
                <w:szCs w:val="21"/>
              </w:rPr>
            </w:pPr>
          </w:p>
        </w:tc>
        <w:tc>
          <w:tcPr>
            <w:tcW w:w="217" w:type="dxa"/>
          </w:tcPr>
          <w:p w14:paraId="023494C3" w14:textId="77777777" w:rsidR="002C0FD9" w:rsidRPr="00CA25CF" w:rsidRDefault="002C0FD9" w:rsidP="00CA25CF">
            <w:pPr>
              <w:rPr>
                <w:rFonts w:cs="Arial"/>
                <w:color w:val="FF0000"/>
                <w:sz w:val="21"/>
                <w:szCs w:val="21"/>
              </w:rPr>
            </w:pPr>
          </w:p>
        </w:tc>
        <w:tc>
          <w:tcPr>
            <w:tcW w:w="217" w:type="dxa"/>
          </w:tcPr>
          <w:p w14:paraId="363BC05A" w14:textId="77777777" w:rsidR="002C0FD9" w:rsidRPr="00CA25CF" w:rsidRDefault="002C0FD9" w:rsidP="00CA25CF">
            <w:pPr>
              <w:rPr>
                <w:rFonts w:cs="Arial"/>
                <w:color w:val="FF0000"/>
                <w:sz w:val="21"/>
                <w:szCs w:val="21"/>
              </w:rPr>
            </w:pPr>
          </w:p>
        </w:tc>
        <w:tc>
          <w:tcPr>
            <w:tcW w:w="217" w:type="dxa"/>
          </w:tcPr>
          <w:p w14:paraId="2D4F096D" w14:textId="77777777" w:rsidR="002C0FD9" w:rsidRPr="00CA25CF" w:rsidRDefault="002C0FD9" w:rsidP="00CA25CF">
            <w:pPr>
              <w:rPr>
                <w:rFonts w:cs="Arial"/>
                <w:color w:val="FF0000"/>
                <w:sz w:val="21"/>
                <w:szCs w:val="21"/>
              </w:rPr>
            </w:pPr>
          </w:p>
        </w:tc>
        <w:tc>
          <w:tcPr>
            <w:tcW w:w="217" w:type="dxa"/>
          </w:tcPr>
          <w:p w14:paraId="4C296513" w14:textId="77777777" w:rsidR="002C0FD9" w:rsidRPr="00CA25CF" w:rsidRDefault="002C0FD9" w:rsidP="00CA25CF">
            <w:pPr>
              <w:rPr>
                <w:rFonts w:cs="Arial"/>
                <w:color w:val="FF0000"/>
                <w:sz w:val="21"/>
                <w:szCs w:val="21"/>
              </w:rPr>
            </w:pPr>
          </w:p>
        </w:tc>
        <w:tc>
          <w:tcPr>
            <w:tcW w:w="217" w:type="dxa"/>
          </w:tcPr>
          <w:p w14:paraId="6B1778DE" w14:textId="77777777" w:rsidR="002C0FD9" w:rsidRPr="00CA25CF" w:rsidRDefault="002C0FD9" w:rsidP="00CA25CF">
            <w:pPr>
              <w:rPr>
                <w:rFonts w:cs="Arial"/>
                <w:color w:val="FF0000"/>
                <w:sz w:val="21"/>
                <w:szCs w:val="21"/>
              </w:rPr>
            </w:pPr>
          </w:p>
        </w:tc>
        <w:tc>
          <w:tcPr>
            <w:tcW w:w="217" w:type="dxa"/>
          </w:tcPr>
          <w:p w14:paraId="7E84DD39" w14:textId="77777777" w:rsidR="002C0FD9" w:rsidRPr="00CA25CF" w:rsidRDefault="002C0FD9" w:rsidP="00CA25CF">
            <w:pPr>
              <w:rPr>
                <w:rFonts w:cs="Arial"/>
                <w:color w:val="FF0000"/>
                <w:sz w:val="21"/>
                <w:szCs w:val="21"/>
              </w:rPr>
            </w:pPr>
          </w:p>
        </w:tc>
        <w:tc>
          <w:tcPr>
            <w:tcW w:w="217" w:type="dxa"/>
          </w:tcPr>
          <w:p w14:paraId="4A27C838" w14:textId="77777777" w:rsidR="002C0FD9" w:rsidRPr="00CA25CF" w:rsidRDefault="002C0FD9" w:rsidP="00CA25CF">
            <w:pPr>
              <w:rPr>
                <w:rFonts w:cs="Arial"/>
                <w:color w:val="FF0000"/>
                <w:sz w:val="21"/>
                <w:szCs w:val="21"/>
              </w:rPr>
            </w:pPr>
          </w:p>
        </w:tc>
        <w:tc>
          <w:tcPr>
            <w:tcW w:w="217" w:type="dxa"/>
          </w:tcPr>
          <w:p w14:paraId="7338F790" w14:textId="77777777" w:rsidR="002C0FD9" w:rsidRPr="00CA25CF" w:rsidRDefault="002C0FD9" w:rsidP="00CA25CF">
            <w:pPr>
              <w:rPr>
                <w:rFonts w:cs="Arial"/>
                <w:color w:val="FF0000"/>
                <w:sz w:val="21"/>
                <w:szCs w:val="21"/>
              </w:rPr>
            </w:pPr>
          </w:p>
        </w:tc>
        <w:tc>
          <w:tcPr>
            <w:tcW w:w="217" w:type="dxa"/>
          </w:tcPr>
          <w:p w14:paraId="6B7E4CBD" w14:textId="77777777" w:rsidR="002C0FD9" w:rsidRPr="00CA25CF" w:rsidRDefault="002C0FD9" w:rsidP="00CA25CF">
            <w:pPr>
              <w:rPr>
                <w:rFonts w:cs="Arial"/>
                <w:color w:val="FF0000"/>
                <w:sz w:val="21"/>
                <w:szCs w:val="21"/>
              </w:rPr>
            </w:pPr>
          </w:p>
        </w:tc>
        <w:tc>
          <w:tcPr>
            <w:tcW w:w="217" w:type="dxa"/>
          </w:tcPr>
          <w:p w14:paraId="6752F168" w14:textId="77777777" w:rsidR="002C0FD9" w:rsidRPr="00CA25CF" w:rsidRDefault="002C0FD9" w:rsidP="00CA25CF">
            <w:pPr>
              <w:rPr>
                <w:rFonts w:cs="Arial"/>
                <w:color w:val="FF0000"/>
                <w:sz w:val="21"/>
                <w:szCs w:val="21"/>
              </w:rPr>
            </w:pPr>
          </w:p>
        </w:tc>
        <w:tc>
          <w:tcPr>
            <w:tcW w:w="217" w:type="dxa"/>
          </w:tcPr>
          <w:p w14:paraId="740421A2" w14:textId="77777777" w:rsidR="002C0FD9" w:rsidRPr="00CA25CF" w:rsidRDefault="002C0FD9" w:rsidP="00CA25CF">
            <w:pPr>
              <w:rPr>
                <w:rFonts w:cs="Arial"/>
                <w:color w:val="FF0000"/>
                <w:sz w:val="21"/>
                <w:szCs w:val="21"/>
              </w:rPr>
            </w:pPr>
          </w:p>
        </w:tc>
        <w:tc>
          <w:tcPr>
            <w:tcW w:w="217" w:type="dxa"/>
          </w:tcPr>
          <w:p w14:paraId="5D8B318C" w14:textId="77777777" w:rsidR="002C0FD9" w:rsidRPr="00CA25CF" w:rsidRDefault="002C0FD9" w:rsidP="00CA25CF">
            <w:pPr>
              <w:rPr>
                <w:rFonts w:cs="Arial"/>
                <w:color w:val="FF0000"/>
                <w:sz w:val="21"/>
                <w:szCs w:val="21"/>
              </w:rPr>
            </w:pPr>
          </w:p>
        </w:tc>
        <w:tc>
          <w:tcPr>
            <w:tcW w:w="217" w:type="dxa"/>
          </w:tcPr>
          <w:p w14:paraId="3FF89EB4" w14:textId="77777777" w:rsidR="002C0FD9" w:rsidRPr="00CA25CF" w:rsidRDefault="002C0FD9" w:rsidP="00CA25CF">
            <w:pPr>
              <w:rPr>
                <w:rFonts w:cs="Arial"/>
                <w:color w:val="FF0000"/>
                <w:sz w:val="21"/>
                <w:szCs w:val="21"/>
              </w:rPr>
            </w:pPr>
          </w:p>
        </w:tc>
        <w:tc>
          <w:tcPr>
            <w:tcW w:w="217" w:type="dxa"/>
          </w:tcPr>
          <w:p w14:paraId="3FED26DF" w14:textId="77777777" w:rsidR="002C0FD9" w:rsidRPr="00CA25CF" w:rsidRDefault="002C0FD9" w:rsidP="00CA25CF">
            <w:pPr>
              <w:rPr>
                <w:rFonts w:cs="Arial"/>
                <w:color w:val="FF0000"/>
                <w:sz w:val="21"/>
                <w:szCs w:val="21"/>
              </w:rPr>
            </w:pPr>
          </w:p>
        </w:tc>
        <w:tc>
          <w:tcPr>
            <w:tcW w:w="217" w:type="dxa"/>
          </w:tcPr>
          <w:p w14:paraId="07F91DCB" w14:textId="77777777" w:rsidR="002C0FD9" w:rsidRPr="00CA25CF" w:rsidRDefault="002C0FD9" w:rsidP="00CA25CF">
            <w:pPr>
              <w:rPr>
                <w:rFonts w:cs="Arial"/>
                <w:color w:val="FF0000"/>
                <w:sz w:val="21"/>
                <w:szCs w:val="21"/>
              </w:rPr>
            </w:pPr>
          </w:p>
        </w:tc>
        <w:tc>
          <w:tcPr>
            <w:tcW w:w="217" w:type="dxa"/>
          </w:tcPr>
          <w:p w14:paraId="7AF8B3FB" w14:textId="77777777" w:rsidR="002C0FD9" w:rsidRPr="00CA25CF" w:rsidRDefault="002C0FD9" w:rsidP="00CA25CF">
            <w:pPr>
              <w:rPr>
                <w:rFonts w:cs="Arial"/>
                <w:color w:val="FF0000"/>
                <w:sz w:val="21"/>
                <w:szCs w:val="21"/>
              </w:rPr>
            </w:pPr>
          </w:p>
        </w:tc>
        <w:tc>
          <w:tcPr>
            <w:tcW w:w="217" w:type="dxa"/>
          </w:tcPr>
          <w:p w14:paraId="321DB013" w14:textId="77777777" w:rsidR="002C0FD9" w:rsidRPr="00CA25CF" w:rsidRDefault="002C0FD9" w:rsidP="00CA25CF">
            <w:pPr>
              <w:rPr>
                <w:rFonts w:cs="Arial"/>
                <w:color w:val="FF0000"/>
                <w:sz w:val="21"/>
                <w:szCs w:val="21"/>
              </w:rPr>
            </w:pPr>
          </w:p>
        </w:tc>
        <w:tc>
          <w:tcPr>
            <w:tcW w:w="217" w:type="dxa"/>
          </w:tcPr>
          <w:p w14:paraId="37F8A78A" w14:textId="77777777" w:rsidR="002C0FD9" w:rsidRPr="00CA25CF" w:rsidRDefault="002C0FD9" w:rsidP="00CA25CF">
            <w:pPr>
              <w:rPr>
                <w:rFonts w:cs="Arial"/>
                <w:color w:val="FF0000"/>
                <w:sz w:val="21"/>
                <w:szCs w:val="21"/>
              </w:rPr>
            </w:pPr>
          </w:p>
        </w:tc>
        <w:tc>
          <w:tcPr>
            <w:tcW w:w="217" w:type="dxa"/>
          </w:tcPr>
          <w:p w14:paraId="59401C6B" w14:textId="77777777" w:rsidR="002C0FD9" w:rsidRPr="00CA25CF" w:rsidRDefault="002C0FD9" w:rsidP="00CA25CF">
            <w:pPr>
              <w:rPr>
                <w:rFonts w:cs="Arial"/>
                <w:color w:val="FF0000"/>
                <w:sz w:val="21"/>
                <w:szCs w:val="21"/>
              </w:rPr>
            </w:pPr>
          </w:p>
        </w:tc>
        <w:tc>
          <w:tcPr>
            <w:tcW w:w="217" w:type="dxa"/>
          </w:tcPr>
          <w:p w14:paraId="0B8F130F" w14:textId="77777777" w:rsidR="002C0FD9" w:rsidRPr="00CA25CF" w:rsidRDefault="002C0FD9" w:rsidP="00CA25CF">
            <w:pPr>
              <w:rPr>
                <w:rFonts w:cs="Arial"/>
                <w:color w:val="FF0000"/>
                <w:sz w:val="21"/>
                <w:szCs w:val="21"/>
              </w:rPr>
            </w:pPr>
          </w:p>
        </w:tc>
        <w:tc>
          <w:tcPr>
            <w:tcW w:w="217" w:type="dxa"/>
          </w:tcPr>
          <w:p w14:paraId="0ADAE64B" w14:textId="77777777" w:rsidR="002C0FD9" w:rsidRPr="00CA25CF" w:rsidRDefault="002C0FD9" w:rsidP="00CA25CF">
            <w:pPr>
              <w:rPr>
                <w:rFonts w:cs="Arial"/>
                <w:color w:val="FF0000"/>
                <w:sz w:val="21"/>
                <w:szCs w:val="21"/>
              </w:rPr>
            </w:pPr>
          </w:p>
        </w:tc>
        <w:tc>
          <w:tcPr>
            <w:tcW w:w="217" w:type="dxa"/>
          </w:tcPr>
          <w:p w14:paraId="0AC1756F" w14:textId="77777777" w:rsidR="002C0FD9" w:rsidRPr="00CA25CF" w:rsidRDefault="002C0FD9" w:rsidP="00CA25CF">
            <w:pPr>
              <w:rPr>
                <w:rFonts w:cs="Arial"/>
                <w:color w:val="FF0000"/>
                <w:sz w:val="21"/>
                <w:szCs w:val="21"/>
              </w:rPr>
            </w:pPr>
          </w:p>
        </w:tc>
        <w:tc>
          <w:tcPr>
            <w:tcW w:w="217" w:type="dxa"/>
          </w:tcPr>
          <w:p w14:paraId="3AC2E0EA" w14:textId="77777777" w:rsidR="002C0FD9" w:rsidRPr="00CA25CF" w:rsidRDefault="002C0FD9" w:rsidP="00CA25CF">
            <w:pPr>
              <w:rPr>
                <w:rFonts w:cs="Arial"/>
                <w:color w:val="FF0000"/>
                <w:sz w:val="21"/>
                <w:szCs w:val="21"/>
              </w:rPr>
            </w:pPr>
          </w:p>
        </w:tc>
        <w:tc>
          <w:tcPr>
            <w:tcW w:w="217" w:type="dxa"/>
          </w:tcPr>
          <w:p w14:paraId="613B56AF" w14:textId="77777777" w:rsidR="002C0FD9" w:rsidRPr="00CA25CF" w:rsidRDefault="002C0FD9" w:rsidP="00CA25CF">
            <w:pPr>
              <w:rPr>
                <w:rFonts w:cs="Arial"/>
                <w:color w:val="FF0000"/>
                <w:sz w:val="21"/>
                <w:szCs w:val="21"/>
              </w:rPr>
            </w:pPr>
          </w:p>
        </w:tc>
        <w:tc>
          <w:tcPr>
            <w:tcW w:w="217" w:type="dxa"/>
          </w:tcPr>
          <w:p w14:paraId="3C796412" w14:textId="77777777" w:rsidR="002C0FD9" w:rsidRPr="00CA25CF" w:rsidRDefault="002C0FD9" w:rsidP="00CA25CF">
            <w:pPr>
              <w:rPr>
                <w:rFonts w:cs="Arial"/>
                <w:color w:val="FF0000"/>
                <w:sz w:val="21"/>
                <w:szCs w:val="21"/>
              </w:rPr>
            </w:pPr>
          </w:p>
        </w:tc>
      </w:tr>
      <w:tr w:rsidR="002C0FD9" w:rsidRPr="00A16219" w14:paraId="0E7A3CAF" w14:textId="77777777" w:rsidTr="002C0FD9">
        <w:trPr>
          <w:trHeight w:val="635"/>
        </w:trPr>
        <w:tc>
          <w:tcPr>
            <w:tcW w:w="515" w:type="dxa"/>
          </w:tcPr>
          <w:p w14:paraId="74C3B9DF" w14:textId="77777777" w:rsidR="002C0FD9" w:rsidRPr="00CA25CF" w:rsidRDefault="002C0FD9" w:rsidP="00CA25CF">
            <w:pPr>
              <w:rPr>
                <w:rFonts w:cs="Arial"/>
                <w:color w:val="FF0000"/>
                <w:sz w:val="21"/>
                <w:szCs w:val="21"/>
              </w:rPr>
            </w:pPr>
          </w:p>
        </w:tc>
        <w:tc>
          <w:tcPr>
            <w:tcW w:w="217" w:type="dxa"/>
          </w:tcPr>
          <w:p w14:paraId="13BEA52A" w14:textId="77777777" w:rsidR="002C0FD9" w:rsidRPr="00CA25CF" w:rsidRDefault="002C0FD9" w:rsidP="00CA25CF">
            <w:pPr>
              <w:rPr>
                <w:rFonts w:cs="Arial"/>
                <w:color w:val="FF0000"/>
                <w:sz w:val="21"/>
                <w:szCs w:val="21"/>
              </w:rPr>
            </w:pPr>
          </w:p>
        </w:tc>
        <w:tc>
          <w:tcPr>
            <w:tcW w:w="217" w:type="dxa"/>
          </w:tcPr>
          <w:p w14:paraId="13D2E732" w14:textId="77777777" w:rsidR="002C0FD9" w:rsidRPr="00CA25CF" w:rsidRDefault="002C0FD9" w:rsidP="00CA25CF">
            <w:pPr>
              <w:rPr>
                <w:rFonts w:cs="Arial"/>
                <w:color w:val="FF0000"/>
                <w:sz w:val="21"/>
                <w:szCs w:val="21"/>
              </w:rPr>
            </w:pPr>
          </w:p>
        </w:tc>
        <w:tc>
          <w:tcPr>
            <w:tcW w:w="217" w:type="dxa"/>
          </w:tcPr>
          <w:p w14:paraId="1CFC1FB7" w14:textId="77777777" w:rsidR="002C0FD9" w:rsidRPr="00CA25CF" w:rsidRDefault="002C0FD9" w:rsidP="00CA25CF">
            <w:pPr>
              <w:rPr>
                <w:rFonts w:cs="Arial"/>
                <w:color w:val="FF0000"/>
                <w:sz w:val="21"/>
                <w:szCs w:val="21"/>
              </w:rPr>
            </w:pPr>
          </w:p>
        </w:tc>
        <w:tc>
          <w:tcPr>
            <w:tcW w:w="217" w:type="dxa"/>
          </w:tcPr>
          <w:p w14:paraId="0F596BF3" w14:textId="77777777" w:rsidR="002C0FD9" w:rsidRPr="00CA25CF" w:rsidRDefault="002C0FD9" w:rsidP="00CA25CF">
            <w:pPr>
              <w:rPr>
                <w:rFonts w:cs="Arial"/>
                <w:color w:val="FF0000"/>
                <w:sz w:val="21"/>
                <w:szCs w:val="21"/>
              </w:rPr>
            </w:pPr>
          </w:p>
        </w:tc>
        <w:tc>
          <w:tcPr>
            <w:tcW w:w="217" w:type="dxa"/>
          </w:tcPr>
          <w:p w14:paraId="748F1327" w14:textId="77777777" w:rsidR="002C0FD9" w:rsidRPr="00CA25CF" w:rsidRDefault="002C0FD9" w:rsidP="00CA25CF">
            <w:pPr>
              <w:rPr>
                <w:rFonts w:cs="Arial"/>
                <w:color w:val="FF0000"/>
                <w:sz w:val="21"/>
                <w:szCs w:val="21"/>
              </w:rPr>
            </w:pPr>
          </w:p>
        </w:tc>
        <w:tc>
          <w:tcPr>
            <w:tcW w:w="217" w:type="dxa"/>
          </w:tcPr>
          <w:p w14:paraId="2FDEC31E" w14:textId="77777777" w:rsidR="002C0FD9" w:rsidRPr="00CA25CF" w:rsidRDefault="002C0FD9" w:rsidP="00CA25CF">
            <w:pPr>
              <w:rPr>
                <w:rFonts w:cs="Arial"/>
                <w:color w:val="FF0000"/>
                <w:sz w:val="21"/>
                <w:szCs w:val="21"/>
              </w:rPr>
            </w:pPr>
          </w:p>
        </w:tc>
        <w:tc>
          <w:tcPr>
            <w:tcW w:w="217" w:type="dxa"/>
          </w:tcPr>
          <w:p w14:paraId="0FF02ACC" w14:textId="77777777" w:rsidR="002C0FD9" w:rsidRPr="00CA25CF" w:rsidRDefault="002C0FD9" w:rsidP="00CA25CF">
            <w:pPr>
              <w:rPr>
                <w:rFonts w:cs="Arial"/>
                <w:color w:val="FF0000"/>
                <w:sz w:val="21"/>
                <w:szCs w:val="21"/>
              </w:rPr>
            </w:pPr>
          </w:p>
        </w:tc>
        <w:tc>
          <w:tcPr>
            <w:tcW w:w="217" w:type="dxa"/>
          </w:tcPr>
          <w:p w14:paraId="0BA67FDF" w14:textId="77777777" w:rsidR="002C0FD9" w:rsidRPr="00CA25CF" w:rsidRDefault="002C0FD9" w:rsidP="00CA25CF">
            <w:pPr>
              <w:rPr>
                <w:rFonts w:cs="Arial"/>
                <w:color w:val="FF0000"/>
                <w:sz w:val="21"/>
                <w:szCs w:val="21"/>
              </w:rPr>
            </w:pPr>
          </w:p>
        </w:tc>
        <w:tc>
          <w:tcPr>
            <w:tcW w:w="217" w:type="dxa"/>
          </w:tcPr>
          <w:p w14:paraId="0D84447D" w14:textId="77777777" w:rsidR="002C0FD9" w:rsidRPr="00CA25CF" w:rsidRDefault="002C0FD9" w:rsidP="00CA25CF">
            <w:pPr>
              <w:rPr>
                <w:rFonts w:cs="Arial"/>
                <w:color w:val="FF0000"/>
                <w:sz w:val="21"/>
                <w:szCs w:val="21"/>
              </w:rPr>
            </w:pPr>
          </w:p>
        </w:tc>
        <w:tc>
          <w:tcPr>
            <w:tcW w:w="217" w:type="dxa"/>
          </w:tcPr>
          <w:p w14:paraId="264424E9" w14:textId="77777777" w:rsidR="002C0FD9" w:rsidRPr="00CA25CF" w:rsidRDefault="002C0FD9" w:rsidP="00CA25CF">
            <w:pPr>
              <w:rPr>
                <w:rFonts w:cs="Arial"/>
                <w:color w:val="FF0000"/>
                <w:sz w:val="21"/>
                <w:szCs w:val="21"/>
              </w:rPr>
            </w:pPr>
          </w:p>
        </w:tc>
        <w:tc>
          <w:tcPr>
            <w:tcW w:w="217" w:type="dxa"/>
          </w:tcPr>
          <w:p w14:paraId="1F48CCA6" w14:textId="77777777" w:rsidR="002C0FD9" w:rsidRPr="00CA25CF" w:rsidRDefault="002C0FD9" w:rsidP="00CA25CF">
            <w:pPr>
              <w:rPr>
                <w:rFonts w:cs="Arial"/>
                <w:color w:val="FF0000"/>
                <w:sz w:val="21"/>
                <w:szCs w:val="21"/>
              </w:rPr>
            </w:pPr>
          </w:p>
        </w:tc>
        <w:tc>
          <w:tcPr>
            <w:tcW w:w="217" w:type="dxa"/>
          </w:tcPr>
          <w:p w14:paraId="46DFB327" w14:textId="77777777" w:rsidR="002C0FD9" w:rsidRPr="00CA25CF" w:rsidRDefault="002C0FD9" w:rsidP="00CA25CF">
            <w:pPr>
              <w:rPr>
                <w:rFonts w:cs="Arial"/>
                <w:color w:val="FF0000"/>
                <w:sz w:val="21"/>
                <w:szCs w:val="21"/>
              </w:rPr>
            </w:pPr>
          </w:p>
        </w:tc>
        <w:tc>
          <w:tcPr>
            <w:tcW w:w="217" w:type="dxa"/>
          </w:tcPr>
          <w:p w14:paraId="0EE8B783" w14:textId="77777777" w:rsidR="002C0FD9" w:rsidRPr="00CA25CF" w:rsidRDefault="002C0FD9" w:rsidP="00CA25CF">
            <w:pPr>
              <w:rPr>
                <w:rFonts w:cs="Arial"/>
                <w:color w:val="FF0000"/>
                <w:sz w:val="21"/>
                <w:szCs w:val="21"/>
              </w:rPr>
            </w:pPr>
          </w:p>
        </w:tc>
        <w:tc>
          <w:tcPr>
            <w:tcW w:w="217" w:type="dxa"/>
          </w:tcPr>
          <w:p w14:paraId="10D4D5FD" w14:textId="77777777" w:rsidR="002C0FD9" w:rsidRPr="00CA25CF" w:rsidRDefault="002C0FD9" w:rsidP="00CA25CF">
            <w:pPr>
              <w:rPr>
                <w:rFonts w:cs="Arial"/>
                <w:color w:val="FF0000"/>
                <w:sz w:val="21"/>
                <w:szCs w:val="21"/>
              </w:rPr>
            </w:pPr>
          </w:p>
        </w:tc>
        <w:tc>
          <w:tcPr>
            <w:tcW w:w="217" w:type="dxa"/>
          </w:tcPr>
          <w:p w14:paraId="502203A1" w14:textId="77777777" w:rsidR="002C0FD9" w:rsidRPr="00CA25CF" w:rsidRDefault="002C0FD9" w:rsidP="00CA25CF">
            <w:pPr>
              <w:rPr>
                <w:rFonts w:cs="Arial"/>
                <w:color w:val="FF0000"/>
                <w:sz w:val="21"/>
                <w:szCs w:val="21"/>
              </w:rPr>
            </w:pPr>
          </w:p>
        </w:tc>
        <w:tc>
          <w:tcPr>
            <w:tcW w:w="217" w:type="dxa"/>
          </w:tcPr>
          <w:p w14:paraId="43F22495" w14:textId="77777777" w:rsidR="002C0FD9" w:rsidRPr="00CA25CF" w:rsidRDefault="002C0FD9" w:rsidP="00CA25CF">
            <w:pPr>
              <w:rPr>
                <w:rFonts w:cs="Arial"/>
                <w:color w:val="FF0000"/>
                <w:sz w:val="21"/>
                <w:szCs w:val="21"/>
              </w:rPr>
            </w:pPr>
          </w:p>
        </w:tc>
        <w:tc>
          <w:tcPr>
            <w:tcW w:w="217" w:type="dxa"/>
          </w:tcPr>
          <w:p w14:paraId="3B7253F4" w14:textId="77777777" w:rsidR="002C0FD9" w:rsidRPr="00CA25CF" w:rsidRDefault="002C0FD9" w:rsidP="00CA25CF">
            <w:pPr>
              <w:rPr>
                <w:rFonts w:cs="Arial"/>
                <w:color w:val="FF0000"/>
                <w:sz w:val="21"/>
                <w:szCs w:val="21"/>
              </w:rPr>
            </w:pPr>
          </w:p>
        </w:tc>
        <w:tc>
          <w:tcPr>
            <w:tcW w:w="217" w:type="dxa"/>
          </w:tcPr>
          <w:p w14:paraId="2C0B79BB" w14:textId="77777777" w:rsidR="002C0FD9" w:rsidRPr="00CA25CF" w:rsidRDefault="002C0FD9" w:rsidP="00CA25CF">
            <w:pPr>
              <w:rPr>
                <w:rFonts w:cs="Arial"/>
                <w:color w:val="FF0000"/>
                <w:sz w:val="21"/>
                <w:szCs w:val="21"/>
              </w:rPr>
            </w:pPr>
          </w:p>
        </w:tc>
        <w:tc>
          <w:tcPr>
            <w:tcW w:w="217" w:type="dxa"/>
          </w:tcPr>
          <w:p w14:paraId="4F49B65A" w14:textId="77777777" w:rsidR="002C0FD9" w:rsidRPr="00CA25CF" w:rsidRDefault="002C0FD9" w:rsidP="00CA25CF">
            <w:pPr>
              <w:rPr>
                <w:rFonts w:cs="Arial"/>
                <w:color w:val="FF0000"/>
                <w:sz w:val="21"/>
                <w:szCs w:val="21"/>
              </w:rPr>
            </w:pPr>
          </w:p>
        </w:tc>
        <w:tc>
          <w:tcPr>
            <w:tcW w:w="217" w:type="dxa"/>
          </w:tcPr>
          <w:p w14:paraId="59E5761B" w14:textId="77777777" w:rsidR="002C0FD9" w:rsidRPr="00CA25CF" w:rsidRDefault="002C0FD9" w:rsidP="00CA25CF">
            <w:pPr>
              <w:rPr>
                <w:rFonts w:cs="Arial"/>
                <w:color w:val="FF0000"/>
                <w:sz w:val="21"/>
                <w:szCs w:val="21"/>
              </w:rPr>
            </w:pPr>
          </w:p>
        </w:tc>
        <w:tc>
          <w:tcPr>
            <w:tcW w:w="217" w:type="dxa"/>
          </w:tcPr>
          <w:p w14:paraId="52F0DABA" w14:textId="77777777" w:rsidR="002C0FD9" w:rsidRPr="00CA25CF" w:rsidRDefault="002C0FD9" w:rsidP="00CA25CF">
            <w:pPr>
              <w:rPr>
                <w:rFonts w:cs="Arial"/>
                <w:color w:val="FF0000"/>
                <w:sz w:val="21"/>
                <w:szCs w:val="21"/>
              </w:rPr>
            </w:pPr>
          </w:p>
        </w:tc>
        <w:tc>
          <w:tcPr>
            <w:tcW w:w="217" w:type="dxa"/>
          </w:tcPr>
          <w:p w14:paraId="7D03E124" w14:textId="77777777" w:rsidR="002C0FD9" w:rsidRPr="00CA25CF" w:rsidRDefault="002C0FD9" w:rsidP="00CA25CF">
            <w:pPr>
              <w:rPr>
                <w:rFonts w:cs="Arial"/>
                <w:color w:val="FF0000"/>
                <w:sz w:val="21"/>
                <w:szCs w:val="21"/>
              </w:rPr>
            </w:pPr>
          </w:p>
        </w:tc>
        <w:tc>
          <w:tcPr>
            <w:tcW w:w="217" w:type="dxa"/>
          </w:tcPr>
          <w:p w14:paraId="18E11E89" w14:textId="77777777" w:rsidR="002C0FD9" w:rsidRPr="00CA25CF" w:rsidRDefault="002C0FD9" w:rsidP="00CA25CF">
            <w:pPr>
              <w:rPr>
                <w:rFonts w:cs="Arial"/>
                <w:color w:val="FF0000"/>
                <w:sz w:val="21"/>
                <w:szCs w:val="21"/>
              </w:rPr>
            </w:pPr>
          </w:p>
        </w:tc>
        <w:tc>
          <w:tcPr>
            <w:tcW w:w="217" w:type="dxa"/>
          </w:tcPr>
          <w:p w14:paraId="0F5D3C5F" w14:textId="77777777" w:rsidR="002C0FD9" w:rsidRPr="00CA25CF" w:rsidRDefault="002C0FD9" w:rsidP="00CA25CF">
            <w:pPr>
              <w:rPr>
                <w:rFonts w:cs="Arial"/>
                <w:color w:val="FF0000"/>
                <w:sz w:val="21"/>
                <w:szCs w:val="21"/>
              </w:rPr>
            </w:pPr>
          </w:p>
        </w:tc>
        <w:tc>
          <w:tcPr>
            <w:tcW w:w="217" w:type="dxa"/>
          </w:tcPr>
          <w:p w14:paraId="06E1D0BF" w14:textId="77777777" w:rsidR="002C0FD9" w:rsidRPr="00CA25CF" w:rsidRDefault="002C0FD9" w:rsidP="00CA25CF">
            <w:pPr>
              <w:rPr>
                <w:rFonts w:cs="Arial"/>
                <w:color w:val="FF0000"/>
                <w:sz w:val="21"/>
                <w:szCs w:val="21"/>
              </w:rPr>
            </w:pPr>
          </w:p>
        </w:tc>
        <w:tc>
          <w:tcPr>
            <w:tcW w:w="217" w:type="dxa"/>
          </w:tcPr>
          <w:p w14:paraId="2011E6C3" w14:textId="77777777" w:rsidR="002C0FD9" w:rsidRPr="00CA25CF" w:rsidRDefault="002C0FD9" w:rsidP="00CA25CF">
            <w:pPr>
              <w:rPr>
                <w:rFonts w:cs="Arial"/>
                <w:color w:val="FF0000"/>
                <w:sz w:val="21"/>
                <w:szCs w:val="21"/>
              </w:rPr>
            </w:pPr>
          </w:p>
        </w:tc>
        <w:tc>
          <w:tcPr>
            <w:tcW w:w="217" w:type="dxa"/>
          </w:tcPr>
          <w:p w14:paraId="69CE833B" w14:textId="77777777" w:rsidR="002C0FD9" w:rsidRPr="00CA25CF" w:rsidRDefault="002C0FD9" w:rsidP="00CA25CF">
            <w:pPr>
              <w:rPr>
                <w:rFonts w:cs="Arial"/>
                <w:color w:val="FF0000"/>
                <w:sz w:val="21"/>
                <w:szCs w:val="21"/>
              </w:rPr>
            </w:pPr>
          </w:p>
        </w:tc>
        <w:tc>
          <w:tcPr>
            <w:tcW w:w="217" w:type="dxa"/>
          </w:tcPr>
          <w:p w14:paraId="328D57B6" w14:textId="77777777" w:rsidR="002C0FD9" w:rsidRPr="00CA25CF" w:rsidRDefault="002C0FD9" w:rsidP="00CA25CF">
            <w:pPr>
              <w:rPr>
                <w:rFonts w:cs="Arial"/>
                <w:color w:val="FF0000"/>
                <w:sz w:val="21"/>
                <w:szCs w:val="21"/>
              </w:rPr>
            </w:pPr>
          </w:p>
        </w:tc>
        <w:tc>
          <w:tcPr>
            <w:tcW w:w="217" w:type="dxa"/>
          </w:tcPr>
          <w:p w14:paraId="736A9C75" w14:textId="77777777" w:rsidR="002C0FD9" w:rsidRPr="00CA25CF" w:rsidRDefault="002C0FD9" w:rsidP="00CA25CF">
            <w:pPr>
              <w:rPr>
                <w:rFonts w:cs="Arial"/>
                <w:color w:val="FF0000"/>
                <w:sz w:val="21"/>
                <w:szCs w:val="21"/>
              </w:rPr>
            </w:pPr>
          </w:p>
        </w:tc>
        <w:tc>
          <w:tcPr>
            <w:tcW w:w="217" w:type="dxa"/>
          </w:tcPr>
          <w:p w14:paraId="5C012F4F" w14:textId="77777777" w:rsidR="002C0FD9" w:rsidRPr="00CA25CF" w:rsidRDefault="002C0FD9" w:rsidP="00CA25CF">
            <w:pPr>
              <w:rPr>
                <w:rFonts w:cs="Arial"/>
                <w:color w:val="FF0000"/>
                <w:sz w:val="21"/>
                <w:szCs w:val="21"/>
              </w:rPr>
            </w:pPr>
          </w:p>
        </w:tc>
        <w:tc>
          <w:tcPr>
            <w:tcW w:w="217" w:type="dxa"/>
          </w:tcPr>
          <w:p w14:paraId="3480DED0" w14:textId="77777777" w:rsidR="002C0FD9" w:rsidRPr="00CA25CF" w:rsidRDefault="002C0FD9" w:rsidP="00CA25CF">
            <w:pPr>
              <w:rPr>
                <w:rFonts w:cs="Arial"/>
                <w:color w:val="FF0000"/>
                <w:sz w:val="21"/>
                <w:szCs w:val="21"/>
              </w:rPr>
            </w:pPr>
          </w:p>
        </w:tc>
        <w:tc>
          <w:tcPr>
            <w:tcW w:w="217" w:type="dxa"/>
          </w:tcPr>
          <w:p w14:paraId="4EF0A7BB" w14:textId="77777777" w:rsidR="002C0FD9" w:rsidRPr="00CA25CF" w:rsidRDefault="002C0FD9" w:rsidP="00CA25CF">
            <w:pPr>
              <w:rPr>
                <w:rFonts w:cs="Arial"/>
                <w:color w:val="FF0000"/>
                <w:sz w:val="21"/>
                <w:szCs w:val="21"/>
              </w:rPr>
            </w:pPr>
          </w:p>
        </w:tc>
        <w:tc>
          <w:tcPr>
            <w:tcW w:w="217" w:type="dxa"/>
          </w:tcPr>
          <w:p w14:paraId="015F866E" w14:textId="77777777" w:rsidR="002C0FD9" w:rsidRPr="00CA25CF" w:rsidRDefault="002C0FD9" w:rsidP="00CA25CF">
            <w:pPr>
              <w:rPr>
                <w:rFonts w:cs="Arial"/>
                <w:color w:val="FF0000"/>
                <w:sz w:val="21"/>
                <w:szCs w:val="21"/>
              </w:rPr>
            </w:pPr>
          </w:p>
        </w:tc>
        <w:tc>
          <w:tcPr>
            <w:tcW w:w="217" w:type="dxa"/>
          </w:tcPr>
          <w:p w14:paraId="48B4E71A" w14:textId="77777777" w:rsidR="002C0FD9" w:rsidRPr="00CA25CF" w:rsidRDefault="002C0FD9" w:rsidP="00CA25CF">
            <w:pPr>
              <w:rPr>
                <w:rFonts w:cs="Arial"/>
                <w:color w:val="FF0000"/>
                <w:sz w:val="21"/>
                <w:szCs w:val="21"/>
              </w:rPr>
            </w:pPr>
          </w:p>
        </w:tc>
        <w:tc>
          <w:tcPr>
            <w:tcW w:w="217" w:type="dxa"/>
          </w:tcPr>
          <w:p w14:paraId="5F12B2AD" w14:textId="77777777" w:rsidR="002C0FD9" w:rsidRPr="00CA25CF" w:rsidRDefault="002C0FD9" w:rsidP="00CA25CF">
            <w:pPr>
              <w:rPr>
                <w:rFonts w:cs="Arial"/>
                <w:color w:val="FF0000"/>
                <w:sz w:val="21"/>
                <w:szCs w:val="21"/>
              </w:rPr>
            </w:pPr>
          </w:p>
        </w:tc>
        <w:tc>
          <w:tcPr>
            <w:tcW w:w="217" w:type="dxa"/>
          </w:tcPr>
          <w:p w14:paraId="6B5D812B" w14:textId="77777777" w:rsidR="002C0FD9" w:rsidRPr="00CA25CF" w:rsidRDefault="002C0FD9" w:rsidP="00CA25CF">
            <w:pPr>
              <w:rPr>
                <w:rFonts w:cs="Arial"/>
                <w:color w:val="FF0000"/>
                <w:sz w:val="21"/>
                <w:szCs w:val="21"/>
              </w:rPr>
            </w:pPr>
          </w:p>
        </w:tc>
        <w:tc>
          <w:tcPr>
            <w:tcW w:w="217" w:type="dxa"/>
          </w:tcPr>
          <w:p w14:paraId="7D314527" w14:textId="77777777" w:rsidR="002C0FD9" w:rsidRPr="00CA25CF" w:rsidRDefault="002C0FD9" w:rsidP="00CA25CF">
            <w:pPr>
              <w:rPr>
                <w:rFonts w:cs="Arial"/>
                <w:color w:val="FF0000"/>
                <w:sz w:val="21"/>
                <w:szCs w:val="21"/>
              </w:rPr>
            </w:pPr>
          </w:p>
        </w:tc>
        <w:tc>
          <w:tcPr>
            <w:tcW w:w="217" w:type="dxa"/>
          </w:tcPr>
          <w:p w14:paraId="6636F701" w14:textId="77777777" w:rsidR="002C0FD9" w:rsidRPr="00CA25CF" w:rsidRDefault="002C0FD9" w:rsidP="00CA25CF">
            <w:pPr>
              <w:rPr>
                <w:rFonts w:cs="Arial"/>
                <w:color w:val="FF0000"/>
                <w:sz w:val="21"/>
                <w:szCs w:val="21"/>
              </w:rPr>
            </w:pPr>
          </w:p>
        </w:tc>
        <w:tc>
          <w:tcPr>
            <w:tcW w:w="217" w:type="dxa"/>
          </w:tcPr>
          <w:p w14:paraId="65AEDBB8" w14:textId="77777777" w:rsidR="002C0FD9" w:rsidRPr="00CA25CF" w:rsidRDefault="002C0FD9" w:rsidP="00CA25CF">
            <w:pPr>
              <w:rPr>
                <w:rFonts w:cs="Arial"/>
                <w:color w:val="FF0000"/>
                <w:sz w:val="21"/>
                <w:szCs w:val="21"/>
              </w:rPr>
            </w:pPr>
          </w:p>
        </w:tc>
        <w:tc>
          <w:tcPr>
            <w:tcW w:w="217" w:type="dxa"/>
          </w:tcPr>
          <w:p w14:paraId="00301370" w14:textId="77777777" w:rsidR="002C0FD9" w:rsidRPr="00CA25CF" w:rsidRDefault="002C0FD9" w:rsidP="00CA25CF">
            <w:pPr>
              <w:rPr>
                <w:rFonts w:cs="Arial"/>
                <w:color w:val="FF0000"/>
                <w:sz w:val="21"/>
                <w:szCs w:val="21"/>
              </w:rPr>
            </w:pPr>
          </w:p>
        </w:tc>
        <w:tc>
          <w:tcPr>
            <w:tcW w:w="217" w:type="dxa"/>
          </w:tcPr>
          <w:p w14:paraId="4F667140" w14:textId="77777777" w:rsidR="002C0FD9" w:rsidRPr="00CA25CF" w:rsidRDefault="002C0FD9" w:rsidP="00CA25CF">
            <w:pPr>
              <w:rPr>
                <w:rFonts w:cs="Arial"/>
                <w:color w:val="FF0000"/>
                <w:sz w:val="21"/>
                <w:szCs w:val="21"/>
              </w:rPr>
            </w:pPr>
          </w:p>
        </w:tc>
        <w:tc>
          <w:tcPr>
            <w:tcW w:w="217" w:type="dxa"/>
          </w:tcPr>
          <w:p w14:paraId="28137B9F" w14:textId="77777777" w:rsidR="002C0FD9" w:rsidRPr="00CA25CF" w:rsidRDefault="002C0FD9" w:rsidP="00CA25CF">
            <w:pPr>
              <w:rPr>
                <w:rFonts w:cs="Arial"/>
                <w:color w:val="FF0000"/>
                <w:sz w:val="21"/>
                <w:szCs w:val="21"/>
              </w:rPr>
            </w:pPr>
          </w:p>
        </w:tc>
      </w:tr>
      <w:tr w:rsidR="002C0FD9" w:rsidRPr="00A16219" w14:paraId="58BB053F" w14:textId="77777777" w:rsidTr="002C0FD9">
        <w:trPr>
          <w:trHeight w:val="635"/>
        </w:trPr>
        <w:tc>
          <w:tcPr>
            <w:tcW w:w="515" w:type="dxa"/>
          </w:tcPr>
          <w:p w14:paraId="0276C8B7" w14:textId="77777777" w:rsidR="002C0FD9" w:rsidRPr="00CA25CF" w:rsidRDefault="002C0FD9" w:rsidP="00CA25CF">
            <w:pPr>
              <w:rPr>
                <w:rFonts w:cs="Arial"/>
                <w:color w:val="FF0000"/>
                <w:sz w:val="21"/>
                <w:szCs w:val="21"/>
              </w:rPr>
            </w:pPr>
          </w:p>
        </w:tc>
        <w:tc>
          <w:tcPr>
            <w:tcW w:w="217" w:type="dxa"/>
          </w:tcPr>
          <w:p w14:paraId="21FEBE5E" w14:textId="77777777" w:rsidR="002C0FD9" w:rsidRPr="00CA25CF" w:rsidRDefault="002C0FD9" w:rsidP="00CA25CF">
            <w:pPr>
              <w:rPr>
                <w:rFonts w:cs="Arial"/>
                <w:color w:val="FF0000"/>
                <w:sz w:val="21"/>
                <w:szCs w:val="21"/>
              </w:rPr>
            </w:pPr>
          </w:p>
        </w:tc>
        <w:tc>
          <w:tcPr>
            <w:tcW w:w="217" w:type="dxa"/>
          </w:tcPr>
          <w:p w14:paraId="44D9E43B" w14:textId="77777777" w:rsidR="002C0FD9" w:rsidRPr="00CA25CF" w:rsidRDefault="002C0FD9" w:rsidP="00CA25CF">
            <w:pPr>
              <w:rPr>
                <w:rFonts w:cs="Arial"/>
                <w:color w:val="FF0000"/>
                <w:sz w:val="21"/>
                <w:szCs w:val="21"/>
              </w:rPr>
            </w:pPr>
          </w:p>
        </w:tc>
        <w:tc>
          <w:tcPr>
            <w:tcW w:w="217" w:type="dxa"/>
          </w:tcPr>
          <w:p w14:paraId="7615923B" w14:textId="77777777" w:rsidR="002C0FD9" w:rsidRPr="00CA25CF" w:rsidRDefault="002C0FD9" w:rsidP="00CA25CF">
            <w:pPr>
              <w:rPr>
                <w:rFonts w:cs="Arial"/>
                <w:color w:val="FF0000"/>
                <w:sz w:val="21"/>
                <w:szCs w:val="21"/>
              </w:rPr>
            </w:pPr>
          </w:p>
        </w:tc>
        <w:tc>
          <w:tcPr>
            <w:tcW w:w="217" w:type="dxa"/>
          </w:tcPr>
          <w:p w14:paraId="3497E9BB" w14:textId="77777777" w:rsidR="002C0FD9" w:rsidRPr="00CA25CF" w:rsidRDefault="002C0FD9" w:rsidP="00CA25CF">
            <w:pPr>
              <w:rPr>
                <w:rFonts w:cs="Arial"/>
                <w:color w:val="FF0000"/>
                <w:sz w:val="21"/>
                <w:szCs w:val="21"/>
              </w:rPr>
            </w:pPr>
          </w:p>
        </w:tc>
        <w:tc>
          <w:tcPr>
            <w:tcW w:w="217" w:type="dxa"/>
          </w:tcPr>
          <w:p w14:paraId="42EE6DFF" w14:textId="77777777" w:rsidR="002C0FD9" w:rsidRPr="00CA25CF" w:rsidRDefault="002C0FD9" w:rsidP="00CA25CF">
            <w:pPr>
              <w:rPr>
                <w:rFonts w:cs="Arial"/>
                <w:color w:val="FF0000"/>
                <w:sz w:val="21"/>
                <w:szCs w:val="21"/>
              </w:rPr>
            </w:pPr>
          </w:p>
        </w:tc>
        <w:tc>
          <w:tcPr>
            <w:tcW w:w="217" w:type="dxa"/>
          </w:tcPr>
          <w:p w14:paraId="4FFE98EA" w14:textId="77777777" w:rsidR="002C0FD9" w:rsidRPr="00CA25CF" w:rsidRDefault="002C0FD9" w:rsidP="00CA25CF">
            <w:pPr>
              <w:rPr>
                <w:rFonts w:cs="Arial"/>
                <w:color w:val="FF0000"/>
                <w:sz w:val="21"/>
                <w:szCs w:val="21"/>
              </w:rPr>
            </w:pPr>
          </w:p>
        </w:tc>
        <w:tc>
          <w:tcPr>
            <w:tcW w:w="217" w:type="dxa"/>
          </w:tcPr>
          <w:p w14:paraId="753D3B92" w14:textId="77777777" w:rsidR="002C0FD9" w:rsidRPr="00CA25CF" w:rsidRDefault="002C0FD9" w:rsidP="00CA25CF">
            <w:pPr>
              <w:rPr>
                <w:rFonts w:cs="Arial"/>
                <w:color w:val="FF0000"/>
                <w:sz w:val="21"/>
                <w:szCs w:val="21"/>
              </w:rPr>
            </w:pPr>
          </w:p>
        </w:tc>
        <w:tc>
          <w:tcPr>
            <w:tcW w:w="217" w:type="dxa"/>
          </w:tcPr>
          <w:p w14:paraId="492345D3" w14:textId="77777777" w:rsidR="002C0FD9" w:rsidRPr="00CA25CF" w:rsidRDefault="002C0FD9" w:rsidP="00CA25CF">
            <w:pPr>
              <w:rPr>
                <w:rFonts w:cs="Arial"/>
                <w:color w:val="FF0000"/>
                <w:sz w:val="21"/>
                <w:szCs w:val="21"/>
              </w:rPr>
            </w:pPr>
          </w:p>
        </w:tc>
        <w:tc>
          <w:tcPr>
            <w:tcW w:w="217" w:type="dxa"/>
          </w:tcPr>
          <w:p w14:paraId="693A9E2B" w14:textId="77777777" w:rsidR="002C0FD9" w:rsidRPr="00CA25CF" w:rsidRDefault="002C0FD9" w:rsidP="00CA25CF">
            <w:pPr>
              <w:rPr>
                <w:rFonts w:cs="Arial"/>
                <w:color w:val="FF0000"/>
                <w:sz w:val="21"/>
                <w:szCs w:val="21"/>
              </w:rPr>
            </w:pPr>
          </w:p>
        </w:tc>
        <w:tc>
          <w:tcPr>
            <w:tcW w:w="217" w:type="dxa"/>
          </w:tcPr>
          <w:p w14:paraId="08D2D4C1" w14:textId="77777777" w:rsidR="002C0FD9" w:rsidRPr="00CA25CF" w:rsidRDefault="002C0FD9" w:rsidP="00CA25CF">
            <w:pPr>
              <w:rPr>
                <w:rFonts w:cs="Arial"/>
                <w:color w:val="FF0000"/>
                <w:sz w:val="21"/>
                <w:szCs w:val="21"/>
              </w:rPr>
            </w:pPr>
          </w:p>
        </w:tc>
        <w:tc>
          <w:tcPr>
            <w:tcW w:w="217" w:type="dxa"/>
          </w:tcPr>
          <w:p w14:paraId="1B38B0A1" w14:textId="77777777" w:rsidR="002C0FD9" w:rsidRPr="00CA25CF" w:rsidRDefault="002C0FD9" w:rsidP="00CA25CF">
            <w:pPr>
              <w:rPr>
                <w:rFonts w:cs="Arial"/>
                <w:color w:val="FF0000"/>
                <w:sz w:val="21"/>
                <w:szCs w:val="21"/>
              </w:rPr>
            </w:pPr>
          </w:p>
        </w:tc>
        <w:tc>
          <w:tcPr>
            <w:tcW w:w="217" w:type="dxa"/>
          </w:tcPr>
          <w:p w14:paraId="68DCD306" w14:textId="77777777" w:rsidR="002C0FD9" w:rsidRPr="00CA25CF" w:rsidRDefault="002C0FD9" w:rsidP="00CA25CF">
            <w:pPr>
              <w:rPr>
                <w:rFonts w:cs="Arial"/>
                <w:color w:val="FF0000"/>
                <w:sz w:val="21"/>
                <w:szCs w:val="21"/>
              </w:rPr>
            </w:pPr>
          </w:p>
        </w:tc>
        <w:tc>
          <w:tcPr>
            <w:tcW w:w="217" w:type="dxa"/>
          </w:tcPr>
          <w:p w14:paraId="7A987268" w14:textId="77777777" w:rsidR="002C0FD9" w:rsidRPr="00CA25CF" w:rsidRDefault="002C0FD9" w:rsidP="00CA25CF">
            <w:pPr>
              <w:rPr>
                <w:rFonts w:cs="Arial"/>
                <w:color w:val="FF0000"/>
                <w:sz w:val="21"/>
                <w:szCs w:val="21"/>
              </w:rPr>
            </w:pPr>
          </w:p>
        </w:tc>
        <w:tc>
          <w:tcPr>
            <w:tcW w:w="217" w:type="dxa"/>
          </w:tcPr>
          <w:p w14:paraId="4569E8D5" w14:textId="77777777" w:rsidR="002C0FD9" w:rsidRPr="00CA25CF" w:rsidRDefault="002C0FD9" w:rsidP="00CA25CF">
            <w:pPr>
              <w:rPr>
                <w:rFonts w:cs="Arial"/>
                <w:color w:val="FF0000"/>
                <w:sz w:val="21"/>
                <w:szCs w:val="21"/>
              </w:rPr>
            </w:pPr>
          </w:p>
        </w:tc>
        <w:tc>
          <w:tcPr>
            <w:tcW w:w="217" w:type="dxa"/>
          </w:tcPr>
          <w:p w14:paraId="0B16002F" w14:textId="77777777" w:rsidR="002C0FD9" w:rsidRPr="00CA25CF" w:rsidRDefault="002C0FD9" w:rsidP="00CA25CF">
            <w:pPr>
              <w:rPr>
                <w:rFonts w:cs="Arial"/>
                <w:color w:val="FF0000"/>
                <w:sz w:val="21"/>
                <w:szCs w:val="21"/>
              </w:rPr>
            </w:pPr>
          </w:p>
        </w:tc>
        <w:tc>
          <w:tcPr>
            <w:tcW w:w="217" w:type="dxa"/>
          </w:tcPr>
          <w:p w14:paraId="6611C584" w14:textId="77777777" w:rsidR="002C0FD9" w:rsidRPr="00CA25CF" w:rsidRDefault="002C0FD9" w:rsidP="00CA25CF">
            <w:pPr>
              <w:rPr>
                <w:rFonts w:cs="Arial"/>
                <w:color w:val="FF0000"/>
                <w:sz w:val="21"/>
                <w:szCs w:val="21"/>
              </w:rPr>
            </w:pPr>
          </w:p>
        </w:tc>
        <w:tc>
          <w:tcPr>
            <w:tcW w:w="217" w:type="dxa"/>
          </w:tcPr>
          <w:p w14:paraId="52D34CDE" w14:textId="77777777" w:rsidR="002C0FD9" w:rsidRPr="00CA25CF" w:rsidRDefault="002C0FD9" w:rsidP="00CA25CF">
            <w:pPr>
              <w:rPr>
                <w:rFonts w:cs="Arial"/>
                <w:color w:val="FF0000"/>
                <w:sz w:val="21"/>
                <w:szCs w:val="21"/>
              </w:rPr>
            </w:pPr>
          </w:p>
        </w:tc>
        <w:tc>
          <w:tcPr>
            <w:tcW w:w="217" w:type="dxa"/>
          </w:tcPr>
          <w:p w14:paraId="0F38BA6A" w14:textId="77777777" w:rsidR="002C0FD9" w:rsidRPr="00CA25CF" w:rsidRDefault="002C0FD9" w:rsidP="00CA25CF">
            <w:pPr>
              <w:rPr>
                <w:rFonts w:cs="Arial"/>
                <w:color w:val="FF0000"/>
                <w:sz w:val="21"/>
                <w:szCs w:val="21"/>
              </w:rPr>
            </w:pPr>
          </w:p>
        </w:tc>
        <w:tc>
          <w:tcPr>
            <w:tcW w:w="217" w:type="dxa"/>
          </w:tcPr>
          <w:p w14:paraId="0E543F37" w14:textId="77777777" w:rsidR="002C0FD9" w:rsidRPr="00CA25CF" w:rsidRDefault="002C0FD9" w:rsidP="00CA25CF">
            <w:pPr>
              <w:rPr>
                <w:rFonts w:cs="Arial"/>
                <w:color w:val="FF0000"/>
                <w:sz w:val="21"/>
                <w:szCs w:val="21"/>
              </w:rPr>
            </w:pPr>
          </w:p>
        </w:tc>
        <w:tc>
          <w:tcPr>
            <w:tcW w:w="217" w:type="dxa"/>
          </w:tcPr>
          <w:p w14:paraId="5109D821" w14:textId="77777777" w:rsidR="002C0FD9" w:rsidRPr="00CA25CF" w:rsidRDefault="002C0FD9" w:rsidP="00CA25CF">
            <w:pPr>
              <w:rPr>
                <w:rFonts w:cs="Arial"/>
                <w:color w:val="FF0000"/>
                <w:sz w:val="21"/>
                <w:szCs w:val="21"/>
              </w:rPr>
            </w:pPr>
          </w:p>
        </w:tc>
        <w:tc>
          <w:tcPr>
            <w:tcW w:w="217" w:type="dxa"/>
          </w:tcPr>
          <w:p w14:paraId="01B537D8" w14:textId="77777777" w:rsidR="002C0FD9" w:rsidRPr="00CA25CF" w:rsidRDefault="002C0FD9" w:rsidP="00CA25CF">
            <w:pPr>
              <w:rPr>
                <w:rFonts w:cs="Arial"/>
                <w:color w:val="FF0000"/>
                <w:sz w:val="21"/>
                <w:szCs w:val="21"/>
              </w:rPr>
            </w:pPr>
          </w:p>
        </w:tc>
        <w:tc>
          <w:tcPr>
            <w:tcW w:w="217" w:type="dxa"/>
          </w:tcPr>
          <w:p w14:paraId="202C0262" w14:textId="77777777" w:rsidR="002C0FD9" w:rsidRPr="00CA25CF" w:rsidRDefault="002C0FD9" w:rsidP="00CA25CF">
            <w:pPr>
              <w:rPr>
                <w:rFonts w:cs="Arial"/>
                <w:color w:val="FF0000"/>
                <w:sz w:val="21"/>
                <w:szCs w:val="21"/>
              </w:rPr>
            </w:pPr>
          </w:p>
        </w:tc>
        <w:tc>
          <w:tcPr>
            <w:tcW w:w="217" w:type="dxa"/>
          </w:tcPr>
          <w:p w14:paraId="536423D3" w14:textId="77777777" w:rsidR="002C0FD9" w:rsidRPr="00CA25CF" w:rsidRDefault="002C0FD9" w:rsidP="00CA25CF">
            <w:pPr>
              <w:rPr>
                <w:rFonts w:cs="Arial"/>
                <w:color w:val="FF0000"/>
                <w:sz w:val="21"/>
                <w:szCs w:val="21"/>
              </w:rPr>
            </w:pPr>
          </w:p>
        </w:tc>
        <w:tc>
          <w:tcPr>
            <w:tcW w:w="217" w:type="dxa"/>
          </w:tcPr>
          <w:p w14:paraId="43BF254D" w14:textId="77777777" w:rsidR="002C0FD9" w:rsidRPr="00CA25CF" w:rsidRDefault="002C0FD9" w:rsidP="00CA25CF">
            <w:pPr>
              <w:rPr>
                <w:rFonts w:cs="Arial"/>
                <w:color w:val="FF0000"/>
                <w:sz w:val="21"/>
                <w:szCs w:val="21"/>
              </w:rPr>
            </w:pPr>
          </w:p>
        </w:tc>
        <w:tc>
          <w:tcPr>
            <w:tcW w:w="217" w:type="dxa"/>
          </w:tcPr>
          <w:p w14:paraId="1706D809" w14:textId="77777777" w:rsidR="002C0FD9" w:rsidRPr="00CA25CF" w:rsidRDefault="002C0FD9" w:rsidP="00CA25CF">
            <w:pPr>
              <w:rPr>
                <w:rFonts w:cs="Arial"/>
                <w:color w:val="FF0000"/>
                <w:sz w:val="21"/>
                <w:szCs w:val="21"/>
              </w:rPr>
            </w:pPr>
          </w:p>
        </w:tc>
        <w:tc>
          <w:tcPr>
            <w:tcW w:w="217" w:type="dxa"/>
          </w:tcPr>
          <w:p w14:paraId="7C9A9BAC" w14:textId="77777777" w:rsidR="002C0FD9" w:rsidRPr="00CA25CF" w:rsidRDefault="002C0FD9" w:rsidP="00CA25CF">
            <w:pPr>
              <w:rPr>
                <w:rFonts w:cs="Arial"/>
                <w:color w:val="FF0000"/>
                <w:sz w:val="21"/>
                <w:szCs w:val="21"/>
              </w:rPr>
            </w:pPr>
          </w:p>
        </w:tc>
        <w:tc>
          <w:tcPr>
            <w:tcW w:w="217" w:type="dxa"/>
          </w:tcPr>
          <w:p w14:paraId="5252FD7C" w14:textId="77777777" w:rsidR="002C0FD9" w:rsidRPr="00CA25CF" w:rsidRDefault="002C0FD9" w:rsidP="00CA25CF">
            <w:pPr>
              <w:rPr>
                <w:rFonts w:cs="Arial"/>
                <w:color w:val="FF0000"/>
                <w:sz w:val="21"/>
                <w:szCs w:val="21"/>
              </w:rPr>
            </w:pPr>
          </w:p>
        </w:tc>
        <w:tc>
          <w:tcPr>
            <w:tcW w:w="217" w:type="dxa"/>
          </w:tcPr>
          <w:p w14:paraId="54D35C61" w14:textId="77777777" w:rsidR="002C0FD9" w:rsidRPr="00CA25CF" w:rsidRDefault="002C0FD9" w:rsidP="00CA25CF">
            <w:pPr>
              <w:rPr>
                <w:rFonts w:cs="Arial"/>
                <w:color w:val="FF0000"/>
                <w:sz w:val="21"/>
                <w:szCs w:val="21"/>
              </w:rPr>
            </w:pPr>
          </w:p>
        </w:tc>
        <w:tc>
          <w:tcPr>
            <w:tcW w:w="217" w:type="dxa"/>
          </w:tcPr>
          <w:p w14:paraId="4B8BE960" w14:textId="77777777" w:rsidR="002C0FD9" w:rsidRPr="00CA25CF" w:rsidRDefault="002C0FD9" w:rsidP="00CA25CF">
            <w:pPr>
              <w:rPr>
                <w:rFonts w:cs="Arial"/>
                <w:color w:val="FF0000"/>
                <w:sz w:val="21"/>
                <w:szCs w:val="21"/>
              </w:rPr>
            </w:pPr>
          </w:p>
        </w:tc>
        <w:tc>
          <w:tcPr>
            <w:tcW w:w="217" w:type="dxa"/>
          </w:tcPr>
          <w:p w14:paraId="5184F68B" w14:textId="77777777" w:rsidR="002C0FD9" w:rsidRPr="00CA25CF" w:rsidRDefault="002C0FD9" w:rsidP="00CA25CF">
            <w:pPr>
              <w:rPr>
                <w:rFonts w:cs="Arial"/>
                <w:color w:val="FF0000"/>
                <w:sz w:val="21"/>
                <w:szCs w:val="21"/>
              </w:rPr>
            </w:pPr>
          </w:p>
        </w:tc>
        <w:tc>
          <w:tcPr>
            <w:tcW w:w="217" w:type="dxa"/>
          </w:tcPr>
          <w:p w14:paraId="74F31732" w14:textId="77777777" w:rsidR="002C0FD9" w:rsidRPr="00CA25CF" w:rsidRDefault="002C0FD9" w:rsidP="00CA25CF">
            <w:pPr>
              <w:rPr>
                <w:rFonts w:cs="Arial"/>
                <w:color w:val="FF0000"/>
                <w:sz w:val="21"/>
                <w:szCs w:val="21"/>
              </w:rPr>
            </w:pPr>
          </w:p>
        </w:tc>
        <w:tc>
          <w:tcPr>
            <w:tcW w:w="217" w:type="dxa"/>
          </w:tcPr>
          <w:p w14:paraId="2CCDDE2A" w14:textId="77777777" w:rsidR="002C0FD9" w:rsidRPr="00CA25CF" w:rsidRDefault="002C0FD9" w:rsidP="00CA25CF">
            <w:pPr>
              <w:rPr>
                <w:rFonts w:cs="Arial"/>
                <w:color w:val="FF0000"/>
                <w:sz w:val="21"/>
                <w:szCs w:val="21"/>
              </w:rPr>
            </w:pPr>
          </w:p>
        </w:tc>
        <w:tc>
          <w:tcPr>
            <w:tcW w:w="217" w:type="dxa"/>
          </w:tcPr>
          <w:p w14:paraId="70D0B49E" w14:textId="77777777" w:rsidR="002C0FD9" w:rsidRPr="00CA25CF" w:rsidRDefault="002C0FD9" w:rsidP="00CA25CF">
            <w:pPr>
              <w:rPr>
                <w:rFonts w:cs="Arial"/>
                <w:color w:val="FF0000"/>
                <w:sz w:val="21"/>
                <w:szCs w:val="21"/>
              </w:rPr>
            </w:pPr>
          </w:p>
        </w:tc>
        <w:tc>
          <w:tcPr>
            <w:tcW w:w="217" w:type="dxa"/>
          </w:tcPr>
          <w:p w14:paraId="11ADF68E" w14:textId="77777777" w:rsidR="002C0FD9" w:rsidRPr="00CA25CF" w:rsidRDefault="002C0FD9" w:rsidP="00CA25CF">
            <w:pPr>
              <w:rPr>
                <w:rFonts w:cs="Arial"/>
                <w:color w:val="FF0000"/>
                <w:sz w:val="21"/>
                <w:szCs w:val="21"/>
              </w:rPr>
            </w:pPr>
          </w:p>
        </w:tc>
        <w:tc>
          <w:tcPr>
            <w:tcW w:w="217" w:type="dxa"/>
          </w:tcPr>
          <w:p w14:paraId="59D8614D" w14:textId="77777777" w:rsidR="002C0FD9" w:rsidRPr="00CA25CF" w:rsidRDefault="002C0FD9" w:rsidP="00CA25CF">
            <w:pPr>
              <w:rPr>
                <w:rFonts w:cs="Arial"/>
                <w:color w:val="FF0000"/>
                <w:sz w:val="21"/>
                <w:szCs w:val="21"/>
              </w:rPr>
            </w:pPr>
          </w:p>
        </w:tc>
        <w:tc>
          <w:tcPr>
            <w:tcW w:w="217" w:type="dxa"/>
          </w:tcPr>
          <w:p w14:paraId="5D19BE42" w14:textId="77777777" w:rsidR="002C0FD9" w:rsidRPr="00CA25CF" w:rsidRDefault="002C0FD9" w:rsidP="00CA25CF">
            <w:pPr>
              <w:rPr>
                <w:rFonts w:cs="Arial"/>
                <w:color w:val="FF0000"/>
                <w:sz w:val="21"/>
                <w:szCs w:val="21"/>
              </w:rPr>
            </w:pPr>
          </w:p>
        </w:tc>
        <w:tc>
          <w:tcPr>
            <w:tcW w:w="217" w:type="dxa"/>
          </w:tcPr>
          <w:p w14:paraId="3FA4CA69" w14:textId="77777777" w:rsidR="002C0FD9" w:rsidRPr="00CA25CF" w:rsidRDefault="002C0FD9" w:rsidP="00CA25CF">
            <w:pPr>
              <w:rPr>
                <w:rFonts w:cs="Arial"/>
                <w:color w:val="FF0000"/>
                <w:sz w:val="21"/>
                <w:szCs w:val="21"/>
              </w:rPr>
            </w:pPr>
          </w:p>
        </w:tc>
        <w:tc>
          <w:tcPr>
            <w:tcW w:w="217" w:type="dxa"/>
          </w:tcPr>
          <w:p w14:paraId="2FF5EF38" w14:textId="77777777" w:rsidR="002C0FD9" w:rsidRPr="00CA25CF" w:rsidRDefault="002C0FD9" w:rsidP="00CA25CF">
            <w:pPr>
              <w:rPr>
                <w:rFonts w:cs="Arial"/>
                <w:color w:val="FF0000"/>
                <w:sz w:val="21"/>
                <w:szCs w:val="21"/>
              </w:rPr>
            </w:pPr>
          </w:p>
        </w:tc>
        <w:tc>
          <w:tcPr>
            <w:tcW w:w="217" w:type="dxa"/>
          </w:tcPr>
          <w:p w14:paraId="08E6FF5B" w14:textId="77777777" w:rsidR="002C0FD9" w:rsidRPr="00CA25CF" w:rsidRDefault="002C0FD9" w:rsidP="00CA25CF">
            <w:pPr>
              <w:rPr>
                <w:rFonts w:cs="Arial"/>
                <w:color w:val="FF0000"/>
                <w:sz w:val="21"/>
                <w:szCs w:val="21"/>
              </w:rPr>
            </w:pPr>
          </w:p>
        </w:tc>
        <w:tc>
          <w:tcPr>
            <w:tcW w:w="217" w:type="dxa"/>
          </w:tcPr>
          <w:p w14:paraId="20DEE887" w14:textId="77777777" w:rsidR="002C0FD9" w:rsidRPr="00CA25CF" w:rsidRDefault="002C0FD9" w:rsidP="00CA25CF">
            <w:pPr>
              <w:rPr>
                <w:rFonts w:cs="Arial"/>
                <w:color w:val="FF0000"/>
                <w:sz w:val="21"/>
                <w:szCs w:val="21"/>
              </w:rPr>
            </w:pPr>
          </w:p>
        </w:tc>
        <w:tc>
          <w:tcPr>
            <w:tcW w:w="217" w:type="dxa"/>
          </w:tcPr>
          <w:p w14:paraId="228B4BCD" w14:textId="77777777" w:rsidR="002C0FD9" w:rsidRPr="00CA25CF" w:rsidRDefault="002C0FD9" w:rsidP="00CA25CF">
            <w:pPr>
              <w:rPr>
                <w:rFonts w:cs="Arial"/>
                <w:color w:val="FF0000"/>
                <w:sz w:val="21"/>
                <w:szCs w:val="21"/>
              </w:rPr>
            </w:pPr>
          </w:p>
        </w:tc>
        <w:tc>
          <w:tcPr>
            <w:tcW w:w="217" w:type="dxa"/>
          </w:tcPr>
          <w:p w14:paraId="54E7B942" w14:textId="77777777" w:rsidR="002C0FD9" w:rsidRPr="00CA25CF" w:rsidRDefault="002C0FD9" w:rsidP="00CA25CF">
            <w:pPr>
              <w:rPr>
                <w:rFonts w:cs="Arial"/>
                <w:color w:val="FF0000"/>
                <w:sz w:val="21"/>
                <w:szCs w:val="21"/>
              </w:rPr>
            </w:pPr>
          </w:p>
        </w:tc>
      </w:tr>
      <w:tr w:rsidR="002C0FD9" w:rsidRPr="00A16219" w14:paraId="4A9D5C3D" w14:textId="77777777" w:rsidTr="002C0FD9">
        <w:trPr>
          <w:trHeight w:val="635"/>
        </w:trPr>
        <w:tc>
          <w:tcPr>
            <w:tcW w:w="515" w:type="dxa"/>
          </w:tcPr>
          <w:p w14:paraId="19C52DC9" w14:textId="77777777" w:rsidR="002C0FD9" w:rsidRPr="00CA25CF" w:rsidRDefault="002C0FD9" w:rsidP="00CA25CF">
            <w:pPr>
              <w:rPr>
                <w:rFonts w:cs="Arial"/>
                <w:color w:val="FF0000"/>
                <w:sz w:val="21"/>
                <w:szCs w:val="21"/>
              </w:rPr>
            </w:pPr>
          </w:p>
        </w:tc>
        <w:tc>
          <w:tcPr>
            <w:tcW w:w="217" w:type="dxa"/>
          </w:tcPr>
          <w:p w14:paraId="3C7A4113" w14:textId="77777777" w:rsidR="002C0FD9" w:rsidRPr="00CA25CF" w:rsidRDefault="002C0FD9" w:rsidP="00CA25CF">
            <w:pPr>
              <w:rPr>
                <w:rFonts w:cs="Arial"/>
                <w:color w:val="FF0000"/>
                <w:sz w:val="21"/>
                <w:szCs w:val="21"/>
              </w:rPr>
            </w:pPr>
          </w:p>
        </w:tc>
        <w:tc>
          <w:tcPr>
            <w:tcW w:w="217" w:type="dxa"/>
          </w:tcPr>
          <w:p w14:paraId="391F5390" w14:textId="77777777" w:rsidR="002C0FD9" w:rsidRPr="00CA25CF" w:rsidRDefault="002C0FD9" w:rsidP="00CA25CF">
            <w:pPr>
              <w:rPr>
                <w:rFonts w:cs="Arial"/>
                <w:color w:val="FF0000"/>
                <w:sz w:val="21"/>
                <w:szCs w:val="21"/>
              </w:rPr>
            </w:pPr>
          </w:p>
        </w:tc>
        <w:tc>
          <w:tcPr>
            <w:tcW w:w="217" w:type="dxa"/>
          </w:tcPr>
          <w:p w14:paraId="01D5971B" w14:textId="77777777" w:rsidR="002C0FD9" w:rsidRPr="00CA25CF" w:rsidRDefault="002C0FD9" w:rsidP="00CA25CF">
            <w:pPr>
              <w:rPr>
                <w:rFonts w:cs="Arial"/>
                <w:color w:val="FF0000"/>
                <w:sz w:val="21"/>
                <w:szCs w:val="21"/>
              </w:rPr>
            </w:pPr>
          </w:p>
        </w:tc>
        <w:tc>
          <w:tcPr>
            <w:tcW w:w="217" w:type="dxa"/>
          </w:tcPr>
          <w:p w14:paraId="7A128779" w14:textId="77777777" w:rsidR="002C0FD9" w:rsidRPr="00CA25CF" w:rsidRDefault="002C0FD9" w:rsidP="00CA25CF">
            <w:pPr>
              <w:rPr>
                <w:rFonts w:cs="Arial"/>
                <w:color w:val="FF0000"/>
                <w:sz w:val="21"/>
                <w:szCs w:val="21"/>
              </w:rPr>
            </w:pPr>
          </w:p>
        </w:tc>
        <w:tc>
          <w:tcPr>
            <w:tcW w:w="217" w:type="dxa"/>
          </w:tcPr>
          <w:p w14:paraId="33E434A8" w14:textId="77777777" w:rsidR="002C0FD9" w:rsidRPr="00CA25CF" w:rsidRDefault="002C0FD9" w:rsidP="00CA25CF">
            <w:pPr>
              <w:rPr>
                <w:rFonts w:cs="Arial"/>
                <w:color w:val="FF0000"/>
                <w:sz w:val="21"/>
                <w:szCs w:val="21"/>
              </w:rPr>
            </w:pPr>
          </w:p>
        </w:tc>
        <w:tc>
          <w:tcPr>
            <w:tcW w:w="217" w:type="dxa"/>
          </w:tcPr>
          <w:p w14:paraId="54C4D9A3" w14:textId="77777777" w:rsidR="002C0FD9" w:rsidRPr="00CA25CF" w:rsidRDefault="002C0FD9" w:rsidP="00CA25CF">
            <w:pPr>
              <w:rPr>
                <w:rFonts w:cs="Arial"/>
                <w:color w:val="FF0000"/>
                <w:sz w:val="21"/>
                <w:szCs w:val="21"/>
              </w:rPr>
            </w:pPr>
          </w:p>
        </w:tc>
        <w:tc>
          <w:tcPr>
            <w:tcW w:w="217" w:type="dxa"/>
          </w:tcPr>
          <w:p w14:paraId="1EDE1C6E" w14:textId="77777777" w:rsidR="002C0FD9" w:rsidRPr="00CA25CF" w:rsidRDefault="002C0FD9" w:rsidP="00CA25CF">
            <w:pPr>
              <w:rPr>
                <w:rFonts w:cs="Arial"/>
                <w:color w:val="FF0000"/>
                <w:sz w:val="21"/>
                <w:szCs w:val="21"/>
              </w:rPr>
            </w:pPr>
          </w:p>
        </w:tc>
        <w:tc>
          <w:tcPr>
            <w:tcW w:w="217" w:type="dxa"/>
          </w:tcPr>
          <w:p w14:paraId="49F5761C" w14:textId="77777777" w:rsidR="002C0FD9" w:rsidRPr="00CA25CF" w:rsidRDefault="002C0FD9" w:rsidP="00CA25CF">
            <w:pPr>
              <w:rPr>
                <w:rFonts w:cs="Arial"/>
                <w:color w:val="FF0000"/>
                <w:sz w:val="21"/>
                <w:szCs w:val="21"/>
              </w:rPr>
            </w:pPr>
          </w:p>
        </w:tc>
        <w:tc>
          <w:tcPr>
            <w:tcW w:w="217" w:type="dxa"/>
          </w:tcPr>
          <w:p w14:paraId="68C0FB51" w14:textId="77777777" w:rsidR="002C0FD9" w:rsidRPr="00CA25CF" w:rsidRDefault="002C0FD9" w:rsidP="00CA25CF">
            <w:pPr>
              <w:rPr>
                <w:rFonts w:cs="Arial"/>
                <w:color w:val="FF0000"/>
                <w:sz w:val="21"/>
                <w:szCs w:val="21"/>
              </w:rPr>
            </w:pPr>
          </w:p>
        </w:tc>
        <w:tc>
          <w:tcPr>
            <w:tcW w:w="217" w:type="dxa"/>
          </w:tcPr>
          <w:p w14:paraId="4E7648E3" w14:textId="77777777" w:rsidR="002C0FD9" w:rsidRPr="00CA25CF" w:rsidRDefault="002C0FD9" w:rsidP="00CA25CF">
            <w:pPr>
              <w:rPr>
                <w:rFonts w:cs="Arial"/>
                <w:color w:val="FF0000"/>
                <w:sz w:val="21"/>
                <w:szCs w:val="21"/>
              </w:rPr>
            </w:pPr>
          </w:p>
        </w:tc>
        <w:tc>
          <w:tcPr>
            <w:tcW w:w="217" w:type="dxa"/>
          </w:tcPr>
          <w:p w14:paraId="2AD70CF9" w14:textId="77777777" w:rsidR="002C0FD9" w:rsidRPr="00CA25CF" w:rsidRDefault="002C0FD9" w:rsidP="00CA25CF">
            <w:pPr>
              <w:rPr>
                <w:rFonts w:cs="Arial"/>
                <w:color w:val="FF0000"/>
                <w:sz w:val="21"/>
                <w:szCs w:val="21"/>
              </w:rPr>
            </w:pPr>
          </w:p>
        </w:tc>
        <w:tc>
          <w:tcPr>
            <w:tcW w:w="217" w:type="dxa"/>
          </w:tcPr>
          <w:p w14:paraId="17198480" w14:textId="77777777" w:rsidR="002C0FD9" w:rsidRPr="00CA25CF" w:rsidRDefault="002C0FD9" w:rsidP="00CA25CF">
            <w:pPr>
              <w:rPr>
                <w:rFonts w:cs="Arial"/>
                <w:color w:val="FF0000"/>
                <w:sz w:val="21"/>
                <w:szCs w:val="21"/>
              </w:rPr>
            </w:pPr>
          </w:p>
        </w:tc>
        <w:tc>
          <w:tcPr>
            <w:tcW w:w="217" w:type="dxa"/>
          </w:tcPr>
          <w:p w14:paraId="48FCE663" w14:textId="77777777" w:rsidR="002C0FD9" w:rsidRPr="00CA25CF" w:rsidRDefault="002C0FD9" w:rsidP="00CA25CF">
            <w:pPr>
              <w:rPr>
                <w:rFonts w:cs="Arial"/>
                <w:color w:val="FF0000"/>
                <w:sz w:val="21"/>
                <w:szCs w:val="21"/>
              </w:rPr>
            </w:pPr>
          </w:p>
        </w:tc>
        <w:tc>
          <w:tcPr>
            <w:tcW w:w="217" w:type="dxa"/>
          </w:tcPr>
          <w:p w14:paraId="291F2D2C" w14:textId="77777777" w:rsidR="002C0FD9" w:rsidRPr="00CA25CF" w:rsidRDefault="002C0FD9" w:rsidP="00CA25CF">
            <w:pPr>
              <w:rPr>
                <w:rFonts w:cs="Arial"/>
                <w:color w:val="FF0000"/>
                <w:sz w:val="21"/>
                <w:szCs w:val="21"/>
              </w:rPr>
            </w:pPr>
          </w:p>
        </w:tc>
        <w:tc>
          <w:tcPr>
            <w:tcW w:w="217" w:type="dxa"/>
          </w:tcPr>
          <w:p w14:paraId="2C14B638" w14:textId="77777777" w:rsidR="002C0FD9" w:rsidRPr="00CA25CF" w:rsidRDefault="002C0FD9" w:rsidP="00CA25CF">
            <w:pPr>
              <w:rPr>
                <w:rFonts w:cs="Arial"/>
                <w:color w:val="FF0000"/>
                <w:sz w:val="21"/>
                <w:szCs w:val="21"/>
              </w:rPr>
            </w:pPr>
          </w:p>
        </w:tc>
        <w:tc>
          <w:tcPr>
            <w:tcW w:w="217" w:type="dxa"/>
          </w:tcPr>
          <w:p w14:paraId="319F55E4" w14:textId="77777777" w:rsidR="002C0FD9" w:rsidRPr="00CA25CF" w:rsidRDefault="002C0FD9" w:rsidP="00CA25CF">
            <w:pPr>
              <w:rPr>
                <w:rFonts w:cs="Arial"/>
                <w:color w:val="FF0000"/>
                <w:sz w:val="21"/>
                <w:szCs w:val="21"/>
              </w:rPr>
            </w:pPr>
          </w:p>
        </w:tc>
        <w:tc>
          <w:tcPr>
            <w:tcW w:w="217" w:type="dxa"/>
          </w:tcPr>
          <w:p w14:paraId="48AED39C" w14:textId="77777777" w:rsidR="002C0FD9" w:rsidRPr="00CA25CF" w:rsidRDefault="002C0FD9" w:rsidP="00CA25CF">
            <w:pPr>
              <w:rPr>
                <w:rFonts w:cs="Arial"/>
                <w:color w:val="FF0000"/>
                <w:sz w:val="21"/>
                <w:szCs w:val="21"/>
              </w:rPr>
            </w:pPr>
          </w:p>
        </w:tc>
        <w:tc>
          <w:tcPr>
            <w:tcW w:w="217" w:type="dxa"/>
          </w:tcPr>
          <w:p w14:paraId="75F8E1F5" w14:textId="77777777" w:rsidR="002C0FD9" w:rsidRPr="00CA25CF" w:rsidRDefault="002C0FD9" w:rsidP="00CA25CF">
            <w:pPr>
              <w:rPr>
                <w:rFonts w:cs="Arial"/>
                <w:color w:val="FF0000"/>
                <w:sz w:val="21"/>
                <w:szCs w:val="21"/>
              </w:rPr>
            </w:pPr>
          </w:p>
        </w:tc>
        <w:tc>
          <w:tcPr>
            <w:tcW w:w="217" w:type="dxa"/>
          </w:tcPr>
          <w:p w14:paraId="68016F7C" w14:textId="77777777" w:rsidR="002C0FD9" w:rsidRPr="00CA25CF" w:rsidRDefault="002C0FD9" w:rsidP="00CA25CF">
            <w:pPr>
              <w:rPr>
                <w:rFonts w:cs="Arial"/>
                <w:color w:val="FF0000"/>
                <w:sz w:val="21"/>
                <w:szCs w:val="21"/>
              </w:rPr>
            </w:pPr>
          </w:p>
        </w:tc>
        <w:tc>
          <w:tcPr>
            <w:tcW w:w="217" w:type="dxa"/>
          </w:tcPr>
          <w:p w14:paraId="1A1ECF13" w14:textId="77777777" w:rsidR="002C0FD9" w:rsidRPr="00CA25CF" w:rsidRDefault="002C0FD9" w:rsidP="00CA25CF">
            <w:pPr>
              <w:rPr>
                <w:rFonts w:cs="Arial"/>
                <w:color w:val="FF0000"/>
                <w:sz w:val="21"/>
                <w:szCs w:val="21"/>
              </w:rPr>
            </w:pPr>
          </w:p>
        </w:tc>
        <w:tc>
          <w:tcPr>
            <w:tcW w:w="217" w:type="dxa"/>
          </w:tcPr>
          <w:p w14:paraId="2AFADC60" w14:textId="77777777" w:rsidR="002C0FD9" w:rsidRPr="00CA25CF" w:rsidRDefault="002C0FD9" w:rsidP="00CA25CF">
            <w:pPr>
              <w:rPr>
                <w:rFonts w:cs="Arial"/>
                <w:color w:val="FF0000"/>
                <w:sz w:val="21"/>
                <w:szCs w:val="21"/>
              </w:rPr>
            </w:pPr>
          </w:p>
        </w:tc>
        <w:tc>
          <w:tcPr>
            <w:tcW w:w="217" w:type="dxa"/>
          </w:tcPr>
          <w:p w14:paraId="74E52BDC" w14:textId="77777777" w:rsidR="002C0FD9" w:rsidRPr="00CA25CF" w:rsidRDefault="002C0FD9" w:rsidP="00CA25CF">
            <w:pPr>
              <w:rPr>
                <w:rFonts w:cs="Arial"/>
                <w:color w:val="FF0000"/>
                <w:sz w:val="21"/>
                <w:szCs w:val="21"/>
              </w:rPr>
            </w:pPr>
          </w:p>
        </w:tc>
        <w:tc>
          <w:tcPr>
            <w:tcW w:w="217" w:type="dxa"/>
          </w:tcPr>
          <w:p w14:paraId="16D080B9" w14:textId="77777777" w:rsidR="002C0FD9" w:rsidRPr="00CA25CF" w:rsidRDefault="002C0FD9" w:rsidP="00CA25CF">
            <w:pPr>
              <w:rPr>
                <w:rFonts w:cs="Arial"/>
                <w:color w:val="FF0000"/>
                <w:sz w:val="21"/>
                <w:szCs w:val="21"/>
              </w:rPr>
            </w:pPr>
          </w:p>
        </w:tc>
        <w:tc>
          <w:tcPr>
            <w:tcW w:w="217" w:type="dxa"/>
          </w:tcPr>
          <w:p w14:paraId="57E6FEF7" w14:textId="77777777" w:rsidR="002C0FD9" w:rsidRPr="00CA25CF" w:rsidRDefault="002C0FD9" w:rsidP="00CA25CF">
            <w:pPr>
              <w:rPr>
                <w:rFonts w:cs="Arial"/>
                <w:color w:val="FF0000"/>
                <w:sz w:val="21"/>
                <w:szCs w:val="21"/>
              </w:rPr>
            </w:pPr>
          </w:p>
        </w:tc>
        <w:tc>
          <w:tcPr>
            <w:tcW w:w="217" w:type="dxa"/>
          </w:tcPr>
          <w:p w14:paraId="53D027B1" w14:textId="77777777" w:rsidR="002C0FD9" w:rsidRPr="00CA25CF" w:rsidRDefault="002C0FD9" w:rsidP="00CA25CF">
            <w:pPr>
              <w:rPr>
                <w:rFonts w:cs="Arial"/>
                <w:color w:val="FF0000"/>
                <w:sz w:val="21"/>
                <w:szCs w:val="21"/>
              </w:rPr>
            </w:pPr>
          </w:p>
        </w:tc>
        <w:tc>
          <w:tcPr>
            <w:tcW w:w="217" w:type="dxa"/>
          </w:tcPr>
          <w:p w14:paraId="738F8298" w14:textId="77777777" w:rsidR="002C0FD9" w:rsidRPr="00CA25CF" w:rsidRDefault="002C0FD9" w:rsidP="00CA25CF">
            <w:pPr>
              <w:rPr>
                <w:rFonts w:cs="Arial"/>
                <w:color w:val="FF0000"/>
                <w:sz w:val="21"/>
                <w:szCs w:val="21"/>
              </w:rPr>
            </w:pPr>
          </w:p>
        </w:tc>
        <w:tc>
          <w:tcPr>
            <w:tcW w:w="217" w:type="dxa"/>
          </w:tcPr>
          <w:p w14:paraId="6392047E" w14:textId="77777777" w:rsidR="002C0FD9" w:rsidRPr="00CA25CF" w:rsidRDefault="002C0FD9" w:rsidP="00CA25CF">
            <w:pPr>
              <w:rPr>
                <w:rFonts w:cs="Arial"/>
                <w:color w:val="FF0000"/>
                <w:sz w:val="21"/>
                <w:szCs w:val="21"/>
              </w:rPr>
            </w:pPr>
          </w:p>
        </w:tc>
        <w:tc>
          <w:tcPr>
            <w:tcW w:w="217" w:type="dxa"/>
          </w:tcPr>
          <w:p w14:paraId="73C3389A" w14:textId="77777777" w:rsidR="002C0FD9" w:rsidRPr="00CA25CF" w:rsidRDefault="002C0FD9" w:rsidP="00CA25CF">
            <w:pPr>
              <w:rPr>
                <w:rFonts w:cs="Arial"/>
                <w:color w:val="FF0000"/>
                <w:sz w:val="21"/>
                <w:szCs w:val="21"/>
              </w:rPr>
            </w:pPr>
          </w:p>
        </w:tc>
        <w:tc>
          <w:tcPr>
            <w:tcW w:w="217" w:type="dxa"/>
          </w:tcPr>
          <w:p w14:paraId="235F5C31" w14:textId="77777777" w:rsidR="002C0FD9" w:rsidRPr="00CA25CF" w:rsidRDefault="002C0FD9" w:rsidP="00CA25CF">
            <w:pPr>
              <w:rPr>
                <w:rFonts w:cs="Arial"/>
                <w:color w:val="FF0000"/>
                <w:sz w:val="21"/>
                <w:szCs w:val="21"/>
              </w:rPr>
            </w:pPr>
          </w:p>
        </w:tc>
        <w:tc>
          <w:tcPr>
            <w:tcW w:w="217" w:type="dxa"/>
          </w:tcPr>
          <w:p w14:paraId="1C607B07" w14:textId="77777777" w:rsidR="002C0FD9" w:rsidRPr="00CA25CF" w:rsidRDefault="002C0FD9" w:rsidP="00CA25CF">
            <w:pPr>
              <w:rPr>
                <w:rFonts w:cs="Arial"/>
                <w:color w:val="FF0000"/>
                <w:sz w:val="21"/>
                <w:szCs w:val="21"/>
              </w:rPr>
            </w:pPr>
          </w:p>
        </w:tc>
        <w:tc>
          <w:tcPr>
            <w:tcW w:w="217" w:type="dxa"/>
          </w:tcPr>
          <w:p w14:paraId="3C5C6A00" w14:textId="77777777" w:rsidR="002C0FD9" w:rsidRPr="00CA25CF" w:rsidRDefault="002C0FD9" w:rsidP="00CA25CF">
            <w:pPr>
              <w:rPr>
                <w:rFonts w:cs="Arial"/>
                <w:color w:val="FF0000"/>
                <w:sz w:val="21"/>
                <w:szCs w:val="21"/>
              </w:rPr>
            </w:pPr>
          </w:p>
        </w:tc>
        <w:tc>
          <w:tcPr>
            <w:tcW w:w="217" w:type="dxa"/>
          </w:tcPr>
          <w:p w14:paraId="405B4D27" w14:textId="77777777" w:rsidR="002C0FD9" w:rsidRPr="00CA25CF" w:rsidRDefault="002C0FD9" w:rsidP="00CA25CF">
            <w:pPr>
              <w:rPr>
                <w:rFonts w:cs="Arial"/>
                <w:color w:val="FF0000"/>
                <w:sz w:val="21"/>
                <w:szCs w:val="21"/>
              </w:rPr>
            </w:pPr>
          </w:p>
        </w:tc>
        <w:tc>
          <w:tcPr>
            <w:tcW w:w="217" w:type="dxa"/>
          </w:tcPr>
          <w:p w14:paraId="09ABB221" w14:textId="77777777" w:rsidR="002C0FD9" w:rsidRPr="00CA25CF" w:rsidRDefault="002C0FD9" w:rsidP="00CA25CF">
            <w:pPr>
              <w:rPr>
                <w:rFonts w:cs="Arial"/>
                <w:color w:val="FF0000"/>
                <w:sz w:val="21"/>
                <w:szCs w:val="21"/>
              </w:rPr>
            </w:pPr>
          </w:p>
        </w:tc>
        <w:tc>
          <w:tcPr>
            <w:tcW w:w="217" w:type="dxa"/>
          </w:tcPr>
          <w:p w14:paraId="1ADD511D" w14:textId="77777777" w:rsidR="002C0FD9" w:rsidRPr="00CA25CF" w:rsidRDefault="002C0FD9" w:rsidP="00CA25CF">
            <w:pPr>
              <w:rPr>
                <w:rFonts w:cs="Arial"/>
                <w:color w:val="FF0000"/>
                <w:sz w:val="21"/>
                <w:szCs w:val="21"/>
              </w:rPr>
            </w:pPr>
          </w:p>
        </w:tc>
        <w:tc>
          <w:tcPr>
            <w:tcW w:w="217" w:type="dxa"/>
          </w:tcPr>
          <w:p w14:paraId="377D970F" w14:textId="77777777" w:rsidR="002C0FD9" w:rsidRPr="00CA25CF" w:rsidRDefault="002C0FD9" w:rsidP="00CA25CF">
            <w:pPr>
              <w:rPr>
                <w:rFonts w:cs="Arial"/>
                <w:color w:val="FF0000"/>
                <w:sz w:val="21"/>
                <w:szCs w:val="21"/>
              </w:rPr>
            </w:pPr>
          </w:p>
        </w:tc>
        <w:tc>
          <w:tcPr>
            <w:tcW w:w="217" w:type="dxa"/>
          </w:tcPr>
          <w:p w14:paraId="6818E5E6" w14:textId="77777777" w:rsidR="002C0FD9" w:rsidRPr="00CA25CF" w:rsidRDefault="002C0FD9" w:rsidP="00CA25CF">
            <w:pPr>
              <w:rPr>
                <w:rFonts w:cs="Arial"/>
                <w:color w:val="FF0000"/>
                <w:sz w:val="21"/>
                <w:szCs w:val="21"/>
              </w:rPr>
            </w:pPr>
          </w:p>
        </w:tc>
        <w:tc>
          <w:tcPr>
            <w:tcW w:w="217" w:type="dxa"/>
          </w:tcPr>
          <w:p w14:paraId="1E38A563" w14:textId="77777777" w:rsidR="002C0FD9" w:rsidRPr="00CA25CF" w:rsidRDefault="002C0FD9" w:rsidP="00CA25CF">
            <w:pPr>
              <w:rPr>
                <w:rFonts w:cs="Arial"/>
                <w:color w:val="FF0000"/>
                <w:sz w:val="21"/>
                <w:szCs w:val="21"/>
              </w:rPr>
            </w:pPr>
          </w:p>
        </w:tc>
        <w:tc>
          <w:tcPr>
            <w:tcW w:w="217" w:type="dxa"/>
          </w:tcPr>
          <w:p w14:paraId="7E2D91F7" w14:textId="77777777" w:rsidR="002C0FD9" w:rsidRPr="00CA25CF" w:rsidRDefault="002C0FD9" w:rsidP="00CA25CF">
            <w:pPr>
              <w:rPr>
                <w:rFonts w:cs="Arial"/>
                <w:color w:val="FF0000"/>
                <w:sz w:val="21"/>
                <w:szCs w:val="21"/>
              </w:rPr>
            </w:pPr>
          </w:p>
        </w:tc>
        <w:tc>
          <w:tcPr>
            <w:tcW w:w="217" w:type="dxa"/>
          </w:tcPr>
          <w:p w14:paraId="3545AA1E" w14:textId="77777777" w:rsidR="002C0FD9" w:rsidRPr="00CA25CF" w:rsidRDefault="002C0FD9" w:rsidP="00CA25CF">
            <w:pPr>
              <w:rPr>
                <w:rFonts w:cs="Arial"/>
                <w:color w:val="FF0000"/>
                <w:sz w:val="21"/>
                <w:szCs w:val="21"/>
              </w:rPr>
            </w:pPr>
          </w:p>
        </w:tc>
        <w:tc>
          <w:tcPr>
            <w:tcW w:w="217" w:type="dxa"/>
          </w:tcPr>
          <w:p w14:paraId="4C9BFE44" w14:textId="77777777" w:rsidR="002C0FD9" w:rsidRPr="00CA25CF" w:rsidRDefault="002C0FD9" w:rsidP="00CA25CF">
            <w:pPr>
              <w:rPr>
                <w:rFonts w:cs="Arial"/>
                <w:color w:val="FF0000"/>
                <w:sz w:val="21"/>
                <w:szCs w:val="21"/>
              </w:rPr>
            </w:pPr>
          </w:p>
        </w:tc>
        <w:tc>
          <w:tcPr>
            <w:tcW w:w="217" w:type="dxa"/>
          </w:tcPr>
          <w:p w14:paraId="1776477B" w14:textId="77777777" w:rsidR="002C0FD9" w:rsidRPr="00CA25CF" w:rsidRDefault="002C0FD9" w:rsidP="00CA25CF">
            <w:pPr>
              <w:rPr>
                <w:rFonts w:cs="Arial"/>
                <w:color w:val="FF0000"/>
                <w:sz w:val="21"/>
                <w:szCs w:val="21"/>
              </w:rPr>
            </w:pPr>
          </w:p>
        </w:tc>
        <w:tc>
          <w:tcPr>
            <w:tcW w:w="217" w:type="dxa"/>
          </w:tcPr>
          <w:p w14:paraId="2FA0E5D1" w14:textId="77777777" w:rsidR="002C0FD9" w:rsidRPr="00CA25CF" w:rsidRDefault="002C0FD9" w:rsidP="00CA25CF">
            <w:pPr>
              <w:rPr>
                <w:rFonts w:cs="Arial"/>
                <w:color w:val="FF0000"/>
                <w:sz w:val="21"/>
                <w:szCs w:val="21"/>
              </w:rPr>
            </w:pPr>
          </w:p>
        </w:tc>
      </w:tr>
      <w:tr w:rsidR="002C0FD9" w:rsidRPr="00A16219" w14:paraId="70BCDEF2" w14:textId="77777777" w:rsidTr="002C0FD9">
        <w:trPr>
          <w:trHeight w:val="635"/>
        </w:trPr>
        <w:tc>
          <w:tcPr>
            <w:tcW w:w="515" w:type="dxa"/>
          </w:tcPr>
          <w:p w14:paraId="11E87DC9" w14:textId="77777777" w:rsidR="002C0FD9" w:rsidRPr="00CA25CF" w:rsidRDefault="002C0FD9" w:rsidP="00CA25CF">
            <w:pPr>
              <w:rPr>
                <w:rFonts w:cs="Arial"/>
                <w:color w:val="FF0000"/>
                <w:sz w:val="21"/>
                <w:szCs w:val="21"/>
              </w:rPr>
            </w:pPr>
          </w:p>
        </w:tc>
        <w:tc>
          <w:tcPr>
            <w:tcW w:w="217" w:type="dxa"/>
          </w:tcPr>
          <w:p w14:paraId="1F2E3188" w14:textId="77777777" w:rsidR="002C0FD9" w:rsidRPr="00CA25CF" w:rsidRDefault="002C0FD9" w:rsidP="00CA25CF">
            <w:pPr>
              <w:rPr>
                <w:rFonts w:cs="Arial"/>
                <w:color w:val="FF0000"/>
                <w:sz w:val="21"/>
                <w:szCs w:val="21"/>
              </w:rPr>
            </w:pPr>
          </w:p>
        </w:tc>
        <w:tc>
          <w:tcPr>
            <w:tcW w:w="217" w:type="dxa"/>
          </w:tcPr>
          <w:p w14:paraId="4A2EFA02" w14:textId="77777777" w:rsidR="002C0FD9" w:rsidRPr="00CA25CF" w:rsidRDefault="002C0FD9" w:rsidP="00CA25CF">
            <w:pPr>
              <w:rPr>
                <w:rFonts w:cs="Arial"/>
                <w:color w:val="FF0000"/>
                <w:sz w:val="21"/>
                <w:szCs w:val="21"/>
              </w:rPr>
            </w:pPr>
          </w:p>
        </w:tc>
        <w:tc>
          <w:tcPr>
            <w:tcW w:w="217" w:type="dxa"/>
          </w:tcPr>
          <w:p w14:paraId="073A0322" w14:textId="77777777" w:rsidR="002C0FD9" w:rsidRPr="00CA25CF" w:rsidRDefault="002C0FD9" w:rsidP="00CA25CF">
            <w:pPr>
              <w:rPr>
                <w:rFonts w:cs="Arial"/>
                <w:color w:val="FF0000"/>
                <w:sz w:val="21"/>
                <w:szCs w:val="21"/>
              </w:rPr>
            </w:pPr>
          </w:p>
        </w:tc>
        <w:tc>
          <w:tcPr>
            <w:tcW w:w="217" w:type="dxa"/>
          </w:tcPr>
          <w:p w14:paraId="5796F21D" w14:textId="77777777" w:rsidR="002C0FD9" w:rsidRPr="00CA25CF" w:rsidRDefault="002C0FD9" w:rsidP="00CA25CF">
            <w:pPr>
              <w:rPr>
                <w:rFonts w:cs="Arial"/>
                <w:color w:val="FF0000"/>
                <w:sz w:val="21"/>
                <w:szCs w:val="21"/>
              </w:rPr>
            </w:pPr>
          </w:p>
        </w:tc>
        <w:tc>
          <w:tcPr>
            <w:tcW w:w="217" w:type="dxa"/>
          </w:tcPr>
          <w:p w14:paraId="54D3164E" w14:textId="77777777" w:rsidR="002C0FD9" w:rsidRPr="00CA25CF" w:rsidRDefault="002C0FD9" w:rsidP="00CA25CF">
            <w:pPr>
              <w:rPr>
                <w:rFonts w:cs="Arial"/>
                <w:color w:val="FF0000"/>
                <w:sz w:val="21"/>
                <w:szCs w:val="21"/>
              </w:rPr>
            </w:pPr>
          </w:p>
        </w:tc>
        <w:tc>
          <w:tcPr>
            <w:tcW w:w="217" w:type="dxa"/>
          </w:tcPr>
          <w:p w14:paraId="410B8B06" w14:textId="77777777" w:rsidR="002C0FD9" w:rsidRPr="00CA25CF" w:rsidRDefault="002C0FD9" w:rsidP="00CA25CF">
            <w:pPr>
              <w:rPr>
                <w:rFonts w:cs="Arial"/>
                <w:color w:val="FF0000"/>
                <w:sz w:val="21"/>
                <w:szCs w:val="21"/>
              </w:rPr>
            </w:pPr>
          </w:p>
        </w:tc>
        <w:tc>
          <w:tcPr>
            <w:tcW w:w="217" w:type="dxa"/>
          </w:tcPr>
          <w:p w14:paraId="72E1331A" w14:textId="77777777" w:rsidR="002C0FD9" w:rsidRPr="00CA25CF" w:rsidRDefault="002C0FD9" w:rsidP="00CA25CF">
            <w:pPr>
              <w:rPr>
                <w:rFonts w:cs="Arial"/>
                <w:color w:val="FF0000"/>
                <w:sz w:val="21"/>
                <w:szCs w:val="21"/>
              </w:rPr>
            </w:pPr>
          </w:p>
        </w:tc>
        <w:tc>
          <w:tcPr>
            <w:tcW w:w="217" w:type="dxa"/>
          </w:tcPr>
          <w:p w14:paraId="4472690D" w14:textId="77777777" w:rsidR="002C0FD9" w:rsidRPr="00CA25CF" w:rsidRDefault="002C0FD9" w:rsidP="00CA25CF">
            <w:pPr>
              <w:rPr>
                <w:rFonts w:cs="Arial"/>
                <w:color w:val="FF0000"/>
                <w:sz w:val="21"/>
                <w:szCs w:val="21"/>
              </w:rPr>
            </w:pPr>
          </w:p>
        </w:tc>
        <w:tc>
          <w:tcPr>
            <w:tcW w:w="217" w:type="dxa"/>
          </w:tcPr>
          <w:p w14:paraId="7434F442" w14:textId="77777777" w:rsidR="002C0FD9" w:rsidRPr="00CA25CF" w:rsidRDefault="002C0FD9" w:rsidP="00CA25CF">
            <w:pPr>
              <w:rPr>
                <w:rFonts w:cs="Arial"/>
                <w:color w:val="FF0000"/>
                <w:sz w:val="21"/>
                <w:szCs w:val="21"/>
              </w:rPr>
            </w:pPr>
          </w:p>
        </w:tc>
        <w:tc>
          <w:tcPr>
            <w:tcW w:w="217" w:type="dxa"/>
          </w:tcPr>
          <w:p w14:paraId="2E8B6E54" w14:textId="77777777" w:rsidR="002C0FD9" w:rsidRPr="00CA25CF" w:rsidRDefault="002C0FD9" w:rsidP="00CA25CF">
            <w:pPr>
              <w:rPr>
                <w:rFonts w:cs="Arial"/>
                <w:color w:val="FF0000"/>
                <w:sz w:val="21"/>
                <w:szCs w:val="21"/>
              </w:rPr>
            </w:pPr>
          </w:p>
        </w:tc>
        <w:tc>
          <w:tcPr>
            <w:tcW w:w="217" w:type="dxa"/>
          </w:tcPr>
          <w:p w14:paraId="36146B00" w14:textId="77777777" w:rsidR="002C0FD9" w:rsidRPr="00CA25CF" w:rsidRDefault="002C0FD9" w:rsidP="00CA25CF">
            <w:pPr>
              <w:rPr>
                <w:rFonts w:cs="Arial"/>
                <w:color w:val="FF0000"/>
                <w:sz w:val="21"/>
                <w:szCs w:val="21"/>
              </w:rPr>
            </w:pPr>
          </w:p>
        </w:tc>
        <w:tc>
          <w:tcPr>
            <w:tcW w:w="217" w:type="dxa"/>
          </w:tcPr>
          <w:p w14:paraId="4859BAB6" w14:textId="77777777" w:rsidR="002C0FD9" w:rsidRPr="00CA25CF" w:rsidRDefault="002C0FD9" w:rsidP="00CA25CF">
            <w:pPr>
              <w:rPr>
                <w:rFonts w:cs="Arial"/>
                <w:color w:val="FF0000"/>
                <w:sz w:val="21"/>
                <w:szCs w:val="21"/>
              </w:rPr>
            </w:pPr>
          </w:p>
        </w:tc>
        <w:tc>
          <w:tcPr>
            <w:tcW w:w="217" w:type="dxa"/>
          </w:tcPr>
          <w:p w14:paraId="355CBE8C" w14:textId="77777777" w:rsidR="002C0FD9" w:rsidRPr="00CA25CF" w:rsidRDefault="002C0FD9" w:rsidP="00CA25CF">
            <w:pPr>
              <w:rPr>
                <w:rFonts w:cs="Arial"/>
                <w:color w:val="FF0000"/>
                <w:sz w:val="21"/>
                <w:szCs w:val="21"/>
              </w:rPr>
            </w:pPr>
          </w:p>
        </w:tc>
        <w:tc>
          <w:tcPr>
            <w:tcW w:w="217" w:type="dxa"/>
          </w:tcPr>
          <w:p w14:paraId="4206BFF3" w14:textId="77777777" w:rsidR="002C0FD9" w:rsidRPr="00CA25CF" w:rsidRDefault="002C0FD9" w:rsidP="00CA25CF">
            <w:pPr>
              <w:rPr>
                <w:rFonts w:cs="Arial"/>
                <w:color w:val="FF0000"/>
                <w:sz w:val="21"/>
                <w:szCs w:val="21"/>
              </w:rPr>
            </w:pPr>
          </w:p>
        </w:tc>
        <w:tc>
          <w:tcPr>
            <w:tcW w:w="217" w:type="dxa"/>
          </w:tcPr>
          <w:p w14:paraId="17FEA4DF" w14:textId="77777777" w:rsidR="002C0FD9" w:rsidRPr="00CA25CF" w:rsidRDefault="002C0FD9" w:rsidP="00CA25CF">
            <w:pPr>
              <w:rPr>
                <w:rFonts w:cs="Arial"/>
                <w:color w:val="FF0000"/>
                <w:sz w:val="21"/>
                <w:szCs w:val="21"/>
              </w:rPr>
            </w:pPr>
          </w:p>
        </w:tc>
        <w:tc>
          <w:tcPr>
            <w:tcW w:w="217" w:type="dxa"/>
          </w:tcPr>
          <w:p w14:paraId="1F07BF74" w14:textId="77777777" w:rsidR="002C0FD9" w:rsidRPr="00CA25CF" w:rsidRDefault="002C0FD9" w:rsidP="00CA25CF">
            <w:pPr>
              <w:rPr>
                <w:rFonts w:cs="Arial"/>
                <w:color w:val="FF0000"/>
                <w:sz w:val="21"/>
                <w:szCs w:val="21"/>
              </w:rPr>
            </w:pPr>
          </w:p>
        </w:tc>
        <w:tc>
          <w:tcPr>
            <w:tcW w:w="217" w:type="dxa"/>
          </w:tcPr>
          <w:p w14:paraId="074880B6" w14:textId="77777777" w:rsidR="002C0FD9" w:rsidRPr="00CA25CF" w:rsidRDefault="002C0FD9" w:rsidP="00CA25CF">
            <w:pPr>
              <w:rPr>
                <w:rFonts w:cs="Arial"/>
                <w:color w:val="FF0000"/>
                <w:sz w:val="21"/>
                <w:szCs w:val="21"/>
              </w:rPr>
            </w:pPr>
          </w:p>
        </w:tc>
        <w:tc>
          <w:tcPr>
            <w:tcW w:w="217" w:type="dxa"/>
          </w:tcPr>
          <w:p w14:paraId="037E891B" w14:textId="77777777" w:rsidR="002C0FD9" w:rsidRPr="00CA25CF" w:rsidRDefault="002C0FD9" w:rsidP="00CA25CF">
            <w:pPr>
              <w:rPr>
                <w:rFonts w:cs="Arial"/>
                <w:color w:val="FF0000"/>
                <w:sz w:val="21"/>
                <w:szCs w:val="21"/>
              </w:rPr>
            </w:pPr>
          </w:p>
        </w:tc>
        <w:tc>
          <w:tcPr>
            <w:tcW w:w="217" w:type="dxa"/>
          </w:tcPr>
          <w:p w14:paraId="285E931F" w14:textId="77777777" w:rsidR="002C0FD9" w:rsidRPr="00CA25CF" w:rsidRDefault="002C0FD9" w:rsidP="00CA25CF">
            <w:pPr>
              <w:rPr>
                <w:rFonts w:cs="Arial"/>
                <w:color w:val="FF0000"/>
                <w:sz w:val="21"/>
                <w:szCs w:val="21"/>
              </w:rPr>
            </w:pPr>
          </w:p>
        </w:tc>
        <w:tc>
          <w:tcPr>
            <w:tcW w:w="217" w:type="dxa"/>
          </w:tcPr>
          <w:p w14:paraId="4F3EDC96" w14:textId="77777777" w:rsidR="002C0FD9" w:rsidRPr="00CA25CF" w:rsidRDefault="002C0FD9" w:rsidP="00CA25CF">
            <w:pPr>
              <w:rPr>
                <w:rFonts w:cs="Arial"/>
                <w:color w:val="FF0000"/>
                <w:sz w:val="21"/>
                <w:szCs w:val="21"/>
              </w:rPr>
            </w:pPr>
          </w:p>
        </w:tc>
        <w:tc>
          <w:tcPr>
            <w:tcW w:w="217" w:type="dxa"/>
          </w:tcPr>
          <w:p w14:paraId="39A1358B" w14:textId="77777777" w:rsidR="002C0FD9" w:rsidRPr="00CA25CF" w:rsidRDefault="002C0FD9" w:rsidP="00CA25CF">
            <w:pPr>
              <w:rPr>
                <w:rFonts w:cs="Arial"/>
                <w:color w:val="FF0000"/>
                <w:sz w:val="21"/>
                <w:szCs w:val="21"/>
              </w:rPr>
            </w:pPr>
          </w:p>
        </w:tc>
        <w:tc>
          <w:tcPr>
            <w:tcW w:w="217" w:type="dxa"/>
          </w:tcPr>
          <w:p w14:paraId="788FE12C" w14:textId="77777777" w:rsidR="002C0FD9" w:rsidRPr="00CA25CF" w:rsidRDefault="002C0FD9" w:rsidP="00CA25CF">
            <w:pPr>
              <w:rPr>
                <w:rFonts w:cs="Arial"/>
                <w:color w:val="FF0000"/>
                <w:sz w:val="21"/>
                <w:szCs w:val="21"/>
              </w:rPr>
            </w:pPr>
          </w:p>
        </w:tc>
        <w:tc>
          <w:tcPr>
            <w:tcW w:w="217" w:type="dxa"/>
          </w:tcPr>
          <w:p w14:paraId="42BE405B" w14:textId="77777777" w:rsidR="002C0FD9" w:rsidRPr="00CA25CF" w:rsidRDefault="002C0FD9" w:rsidP="00CA25CF">
            <w:pPr>
              <w:rPr>
                <w:rFonts w:cs="Arial"/>
                <w:color w:val="FF0000"/>
                <w:sz w:val="21"/>
                <w:szCs w:val="21"/>
              </w:rPr>
            </w:pPr>
          </w:p>
        </w:tc>
        <w:tc>
          <w:tcPr>
            <w:tcW w:w="217" w:type="dxa"/>
          </w:tcPr>
          <w:p w14:paraId="17B7C824" w14:textId="77777777" w:rsidR="002C0FD9" w:rsidRPr="00CA25CF" w:rsidRDefault="002C0FD9" w:rsidP="00CA25CF">
            <w:pPr>
              <w:rPr>
                <w:rFonts w:cs="Arial"/>
                <w:color w:val="FF0000"/>
                <w:sz w:val="21"/>
                <w:szCs w:val="21"/>
              </w:rPr>
            </w:pPr>
          </w:p>
        </w:tc>
        <w:tc>
          <w:tcPr>
            <w:tcW w:w="217" w:type="dxa"/>
          </w:tcPr>
          <w:p w14:paraId="0085C1D5" w14:textId="77777777" w:rsidR="002C0FD9" w:rsidRPr="00CA25CF" w:rsidRDefault="002C0FD9" w:rsidP="00CA25CF">
            <w:pPr>
              <w:rPr>
                <w:rFonts w:cs="Arial"/>
                <w:color w:val="FF0000"/>
                <w:sz w:val="21"/>
                <w:szCs w:val="21"/>
              </w:rPr>
            </w:pPr>
          </w:p>
        </w:tc>
        <w:tc>
          <w:tcPr>
            <w:tcW w:w="217" w:type="dxa"/>
          </w:tcPr>
          <w:p w14:paraId="2669B710" w14:textId="77777777" w:rsidR="002C0FD9" w:rsidRPr="00CA25CF" w:rsidRDefault="002C0FD9" w:rsidP="00CA25CF">
            <w:pPr>
              <w:rPr>
                <w:rFonts w:cs="Arial"/>
                <w:color w:val="FF0000"/>
                <w:sz w:val="21"/>
                <w:szCs w:val="21"/>
              </w:rPr>
            </w:pPr>
          </w:p>
        </w:tc>
        <w:tc>
          <w:tcPr>
            <w:tcW w:w="217" w:type="dxa"/>
          </w:tcPr>
          <w:p w14:paraId="40A09A82" w14:textId="77777777" w:rsidR="002C0FD9" w:rsidRPr="00CA25CF" w:rsidRDefault="002C0FD9" w:rsidP="00CA25CF">
            <w:pPr>
              <w:rPr>
                <w:rFonts w:cs="Arial"/>
                <w:color w:val="FF0000"/>
                <w:sz w:val="21"/>
                <w:szCs w:val="21"/>
              </w:rPr>
            </w:pPr>
          </w:p>
        </w:tc>
        <w:tc>
          <w:tcPr>
            <w:tcW w:w="217" w:type="dxa"/>
          </w:tcPr>
          <w:p w14:paraId="6C544D52" w14:textId="77777777" w:rsidR="002C0FD9" w:rsidRPr="00CA25CF" w:rsidRDefault="002C0FD9" w:rsidP="00CA25CF">
            <w:pPr>
              <w:rPr>
                <w:rFonts w:cs="Arial"/>
                <w:color w:val="FF0000"/>
                <w:sz w:val="21"/>
                <w:szCs w:val="21"/>
              </w:rPr>
            </w:pPr>
          </w:p>
        </w:tc>
        <w:tc>
          <w:tcPr>
            <w:tcW w:w="217" w:type="dxa"/>
          </w:tcPr>
          <w:p w14:paraId="79272E15" w14:textId="77777777" w:rsidR="002C0FD9" w:rsidRPr="00CA25CF" w:rsidRDefault="002C0FD9" w:rsidP="00CA25CF">
            <w:pPr>
              <w:rPr>
                <w:rFonts w:cs="Arial"/>
                <w:color w:val="FF0000"/>
                <w:sz w:val="21"/>
                <w:szCs w:val="21"/>
              </w:rPr>
            </w:pPr>
          </w:p>
        </w:tc>
        <w:tc>
          <w:tcPr>
            <w:tcW w:w="217" w:type="dxa"/>
          </w:tcPr>
          <w:p w14:paraId="6F1FE006" w14:textId="77777777" w:rsidR="002C0FD9" w:rsidRPr="00CA25CF" w:rsidRDefault="002C0FD9" w:rsidP="00CA25CF">
            <w:pPr>
              <w:rPr>
                <w:rFonts w:cs="Arial"/>
                <w:color w:val="FF0000"/>
                <w:sz w:val="21"/>
                <w:szCs w:val="21"/>
              </w:rPr>
            </w:pPr>
          </w:p>
        </w:tc>
        <w:tc>
          <w:tcPr>
            <w:tcW w:w="217" w:type="dxa"/>
          </w:tcPr>
          <w:p w14:paraId="34E244E2" w14:textId="77777777" w:rsidR="002C0FD9" w:rsidRPr="00CA25CF" w:rsidRDefault="002C0FD9" w:rsidP="00CA25CF">
            <w:pPr>
              <w:rPr>
                <w:rFonts w:cs="Arial"/>
                <w:color w:val="FF0000"/>
                <w:sz w:val="21"/>
                <w:szCs w:val="21"/>
              </w:rPr>
            </w:pPr>
          </w:p>
        </w:tc>
        <w:tc>
          <w:tcPr>
            <w:tcW w:w="217" w:type="dxa"/>
          </w:tcPr>
          <w:p w14:paraId="677971EF" w14:textId="77777777" w:rsidR="002C0FD9" w:rsidRPr="00CA25CF" w:rsidRDefault="002C0FD9" w:rsidP="00CA25CF">
            <w:pPr>
              <w:rPr>
                <w:rFonts w:cs="Arial"/>
                <w:color w:val="FF0000"/>
                <w:sz w:val="21"/>
                <w:szCs w:val="21"/>
              </w:rPr>
            </w:pPr>
          </w:p>
        </w:tc>
        <w:tc>
          <w:tcPr>
            <w:tcW w:w="217" w:type="dxa"/>
          </w:tcPr>
          <w:p w14:paraId="3914C3E1" w14:textId="77777777" w:rsidR="002C0FD9" w:rsidRPr="00CA25CF" w:rsidRDefault="002C0FD9" w:rsidP="00CA25CF">
            <w:pPr>
              <w:rPr>
                <w:rFonts w:cs="Arial"/>
                <w:color w:val="FF0000"/>
                <w:sz w:val="21"/>
                <w:szCs w:val="21"/>
              </w:rPr>
            </w:pPr>
          </w:p>
        </w:tc>
        <w:tc>
          <w:tcPr>
            <w:tcW w:w="217" w:type="dxa"/>
          </w:tcPr>
          <w:p w14:paraId="6CAB5159" w14:textId="77777777" w:rsidR="002C0FD9" w:rsidRPr="00CA25CF" w:rsidRDefault="002C0FD9" w:rsidP="00CA25CF">
            <w:pPr>
              <w:rPr>
                <w:rFonts w:cs="Arial"/>
                <w:color w:val="FF0000"/>
                <w:sz w:val="21"/>
                <w:szCs w:val="21"/>
              </w:rPr>
            </w:pPr>
          </w:p>
        </w:tc>
        <w:tc>
          <w:tcPr>
            <w:tcW w:w="217" w:type="dxa"/>
          </w:tcPr>
          <w:p w14:paraId="035CAF88" w14:textId="77777777" w:rsidR="002C0FD9" w:rsidRPr="00CA25CF" w:rsidRDefault="002C0FD9" w:rsidP="00CA25CF">
            <w:pPr>
              <w:rPr>
                <w:rFonts w:cs="Arial"/>
                <w:color w:val="FF0000"/>
                <w:sz w:val="21"/>
                <w:szCs w:val="21"/>
              </w:rPr>
            </w:pPr>
          </w:p>
        </w:tc>
        <w:tc>
          <w:tcPr>
            <w:tcW w:w="217" w:type="dxa"/>
          </w:tcPr>
          <w:p w14:paraId="15C6B2F9" w14:textId="77777777" w:rsidR="002C0FD9" w:rsidRPr="00CA25CF" w:rsidRDefault="002C0FD9" w:rsidP="00CA25CF">
            <w:pPr>
              <w:rPr>
                <w:rFonts w:cs="Arial"/>
                <w:color w:val="FF0000"/>
                <w:sz w:val="21"/>
                <w:szCs w:val="21"/>
              </w:rPr>
            </w:pPr>
          </w:p>
        </w:tc>
        <w:tc>
          <w:tcPr>
            <w:tcW w:w="217" w:type="dxa"/>
          </w:tcPr>
          <w:p w14:paraId="02CCC7A3" w14:textId="77777777" w:rsidR="002C0FD9" w:rsidRPr="00CA25CF" w:rsidRDefault="002C0FD9" w:rsidP="00CA25CF">
            <w:pPr>
              <w:rPr>
                <w:rFonts w:cs="Arial"/>
                <w:color w:val="FF0000"/>
                <w:sz w:val="21"/>
                <w:szCs w:val="21"/>
              </w:rPr>
            </w:pPr>
          </w:p>
        </w:tc>
        <w:tc>
          <w:tcPr>
            <w:tcW w:w="217" w:type="dxa"/>
          </w:tcPr>
          <w:p w14:paraId="05136F24" w14:textId="77777777" w:rsidR="002C0FD9" w:rsidRPr="00CA25CF" w:rsidRDefault="002C0FD9" w:rsidP="00CA25CF">
            <w:pPr>
              <w:rPr>
                <w:rFonts w:cs="Arial"/>
                <w:color w:val="FF0000"/>
                <w:sz w:val="21"/>
                <w:szCs w:val="21"/>
              </w:rPr>
            </w:pPr>
          </w:p>
        </w:tc>
        <w:tc>
          <w:tcPr>
            <w:tcW w:w="217" w:type="dxa"/>
          </w:tcPr>
          <w:p w14:paraId="559B7106" w14:textId="77777777" w:rsidR="002C0FD9" w:rsidRPr="00CA25CF" w:rsidRDefault="002C0FD9" w:rsidP="00CA25CF">
            <w:pPr>
              <w:rPr>
                <w:rFonts w:cs="Arial"/>
                <w:color w:val="FF0000"/>
                <w:sz w:val="21"/>
                <w:szCs w:val="21"/>
              </w:rPr>
            </w:pPr>
          </w:p>
        </w:tc>
        <w:tc>
          <w:tcPr>
            <w:tcW w:w="217" w:type="dxa"/>
          </w:tcPr>
          <w:p w14:paraId="474BE5D1" w14:textId="77777777" w:rsidR="002C0FD9" w:rsidRPr="00CA25CF" w:rsidRDefault="002C0FD9" w:rsidP="00CA25CF">
            <w:pPr>
              <w:rPr>
                <w:rFonts w:cs="Arial"/>
                <w:color w:val="FF0000"/>
                <w:sz w:val="21"/>
                <w:szCs w:val="21"/>
              </w:rPr>
            </w:pPr>
          </w:p>
        </w:tc>
        <w:tc>
          <w:tcPr>
            <w:tcW w:w="217" w:type="dxa"/>
          </w:tcPr>
          <w:p w14:paraId="45BC51AD" w14:textId="77777777" w:rsidR="002C0FD9" w:rsidRPr="00CA25CF" w:rsidRDefault="002C0FD9" w:rsidP="00CA25CF">
            <w:pPr>
              <w:rPr>
                <w:rFonts w:cs="Arial"/>
                <w:color w:val="FF0000"/>
                <w:sz w:val="21"/>
                <w:szCs w:val="21"/>
              </w:rPr>
            </w:pPr>
          </w:p>
        </w:tc>
        <w:tc>
          <w:tcPr>
            <w:tcW w:w="217" w:type="dxa"/>
          </w:tcPr>
          <w:p w14:paraId="64963003" w14:textId="77777777" w:rsidR="002C0FD9" w:rsidRPr="00CA25CF" w:rsidRDefault="002C0FD9" w:rsidP="00CA25CF">
            <w:pPr>
              <w:rPr>
                <w:rFonts w:cs="Arial"/>
                <w:color w:val="FF0000"/>
                <w:sz w:val="21"/>
                <w:szCs w:val="21"/>
              </w:rPr>
            </w:pPr>
          </w:p>
        </w:tc>
      </w:tr>
      <w:tr w:rsidR="002C0FD9" w:rsidRPr="00A16219" w14:paraId="63DD491A" w14:textId="77777777" w:rsidTr="002C0FD9">
        <w:trPr>
          <w:trHeight w:val="635"/>
        </w:trPr>
        <w:tc>
          <w:tcPr>
            <w:tcW w:w="515" w:type="dxa"/>
          </w:tcPr>
          <w:p w14:paraId="18C1CD6C" w14:textId="77777777" w:rsidR="002C0FD9" w:rsidRPr="00CA25CF" w:rsidRDefault="002C0FD9" w:rsidP="00CA25CF">
            <w:pPr>
              <w:rPr>
                <w:rFonts w:cs="Arial"/>
                <w:color w:val="FF0000"/>
                <w:sz w:val="21"/>
                <w:szCs w:val="21"/>
              </w:rPr>
            </w:pPr>
          </w:p>
        </w:tc>
        <w:tc>
          <w:tcPr>
            <w:tcW w:w="217" w:type="dxa"/>
          </w:tcPr>
          <w:p w14:paraId="5DF2641A" w14:textId="77777777" w:rsidR="002C0FD9" w:rsidRPr="00CA25CF" w:rsidRDefault="002C0FD9" w:rsidP="00CA25CF">
            <w:pPr>
              <w:rPr>
                <w:rFonts w:cs="Arial"/>
                <w:color w:val="FF0000"/>
                <w:sz w:val="21"/>
                <w:szCs w:val="21"/>
              </w:rPr>
            </w:pPr>
          </w:p>
        </w:tc>
        <w:tc>
          <w:tcPr>
            <w:tcW w:w="217" w:type="dxa"/>
          </w:tcPr>
          <w:p w14:paraId="36F7184E" w14:textId="77777777" w:rsidR="002C0FD9" w:rsidRPr="00CA25CF" w:rsidRDefault="002C0FD9" w:rsidP="00CA25CF">
            <w:pPr>
              <w:rPr>
                <w:rFonts w:cs="Arial"/>
                <w:color w:val="FF0000"/>
                <w:sz w:val="21"/>
                <w:szCs w:val="21"/>
              </w:rPr>
            </w:pPr>
          </w:p>
        </w:tc>
        <w:tc>
          <w:tcPr>
            <w:tcW w:w="217" w:type="dxa"/>
          </w:tcPr>
          <w:p w14:paraId="406C4087" w14:textId="77777777" w:rsidR="002C0FD9" w:rsidRPr="00CA25CF" w:rsidRDefault="002C0FD9" w:rsidP="00CA25CF">
            <w:pPr>
              <w:rPr>
                <w:rFonts w:cs="Arial"/>
                <w:color w:val="FF0000"/>
                <w:sz w:val="21"/>
                <w:szCs w:val="21"/>
              </w:rPr>
            </w:pPr>
          </w:p>
        </w:tc>
        <w:tc>
          <w:tcPr>
            <w:tcW w:w="217" w:type="dxa"/>
          </w:tcPr>
          <w:p w14:paraId="13F44CDE" w14:textId="77777777" w:rsidR="002C0FD9" w:rsidRPr="00CA25CF" w:rsidRDefault="002C0FD9" w:rsidP="00CA25CF">
            <w:pPr>
              <w:rPr>
                <w:rFonts w:cs="Arial"/>
                <w:color w:val="FF0000"/>
                <w:sz w:val="21"/>
                <w:szCs w:val="21"/>
              </w:rPr>
            </w:pPr>
          </w:p>
        </w:tc>
        <w:tc>
          <w:tcPr>
            <w:tcW w:w="217" w:type="dxa"/>
          </w:tcPr>
          <w:p w14:paraId="1E35A19D" w14:textId="77777777" w:rsidR="002C0FD9" w:rsidRPr="00CA25CF" w:rsidRDefault="002C0FD9" w:rsidP="00CA25CF">
            <w:pPr>
              <w:rPr>
                <w:rFonts w:cs="Arial"/>
                <w:color w:val="FF0000"/>
                <w:sz w:val="21"/>
                <w:szCs w:val="21"/>
              </w:rPr>
            </w:pPr>
          </w:p>
        </w:tc>
        <w:tc>
          <w:tcPr>
            <w:tcW w:w="217" w:type="dxa"/>
          </w:tcPr>
          <w:p w14:paraId="0A85CA06" w14:textId="77777777" w:rsidR="002C0FD9" w:rsidRPr="00CA25CF" w:rsidRDefault="002C0FD9" w:rsidP="00CA25CF">
            <w:pPr>
              <w:rPr>
                <w:rFonts w:cs="Arial"/>
                <w:color w:val="FF0000"/>
                <w:sz w:val="21"/>
                <w:szCs w:val="21"/>
              </w:rPr>
            </w:pPr>
          </w:p>
        </w:tc>
        <w:tc>
          <w:tcPr>
            <w:tcW w:w="217" w:type="dxa"/>
          </w:tcPr>
          <w:p w14:paraId="49A3EE51" w14:textId="77777777" w:rsidR="002C0FD9" w:rsidRPr="00CA25CF" w:rsidRDefault="002C0FD9" w:rsidP="00CA25CF">
            <w:pPr>
              <w:rPr>
                <w:rFonts w:cs="Arial"/>
                <w:color w:val="FF0000"/>
                <w:sz w:val="21"/>
                <w:szCs w:val="21"/>
              </w:rPr>
            </w:pPr>
          </w:p>
        </w:tc>
        <w:tc>
          <w:tcPr>
            <w:tcW w:w="217" w:type="dxa"/>
          </w:tcPr>
          <w:p w14:paraId="30FA84B9" w14:textId="77777777" w:rsidR="002C0FD9" w:rsidRPr="00CA25CF" w:rsidRDefault="002C0FD9" w:rsidP="00CA25CF">
            <w:pPr>
              <w:rPr>
                <w:rFonts w:cs="Arial"/>
                <w:color w:val="FF0000"/>
                <w:sz w:val="21"/>
                <w:szCs w:val="21"/>
              </w:rPr>
            </w:pPr>
          </w:p>
        </w:tc>
        <w:tc>
          <w:tcPr>
            <w:tcW w:w="217" w:type="dxa"/>
          </w:tcPr>
          <w:p w14:paraId="15C28B3F" w14:textId="77777777" w:rsidR="002C0FD9" w:rsidRPr="00CA25CF" w:rsidRDefault="002C0FD9" w:rsidP="00CA25CF">
            <w:pPr>
              <w:rPr>
                <w:rFonts w:cs="Arial"/>
                <w:color w:val="FF0000"/>
                <w:sz w:val="21"/>
                <w:szCs w:val="21"/>
              </w:rPr>
            </w:pPr>
          </w:p>
        </w:tc>
        <w:tc>
          <w:tcPr>
            <w:tcW w:w="217" w:type="dxa"/>
          </w:tcPr>
          <w:p w14:paraId="6364A1CA" w14:textId="77777777" w:rsidR="002C0FD9" w:rsidRPr="00CA25CF" w:rsidRDefault="002C0FD9" w:rsidP="00CA25CF">
            <w:pPr>
              <w:rPr>
                <w:rFonts w:cs="Arial"/>
                <w:color w:val="FF0000"/>
                <w:sz w:val="21"/>
                <w:szCs w:val="21"/>
              </w:rPr>
            </w:pPr>
          </w:p>
        </w:tc>
        <w:tc>
          <w:tcPr>
            <w:tcW w:w="217" w:type="dxa"/>
          </w:tcPr>
          <w:p w14:paraId="269F9B2D" w14:textId="77777777" w:rsidR="002C0FD9" w:rsidRPr="00CA25CF" w:rsidRDefault="002C0FD9" w:rsidP="00CA25CF">
            <w:pPr>
              <w:rPr>
                <w:rFonts w:cs="Arial"/>
                <w:color w:val="FF0000"/>
                <w:sz w:val="21"/>
                <w:szCs w:val="21"/>
              </w:rPr>
            </w:pPr>
          </w:p>
        </w:tc>
        <w:tc>
          <w:tcPr>
            <w:tcW w:w="217" w:type="dxa"/>
          </w:tcPr>
          <w:p w14:paraId="5410CA30" w14:textId="77777777" w:rsidR="002C0FD9" w:rsidRPr="00CA25CF" w:rsidRDefault="002C0FD9" w:rsidP="00CA25CF">
            <w:pPr>
              <w:rPr>
                <w:rFonts w:cs="Arial"/>
                <w:color w:val="FF0000"/>
                <w:sz w:val="21"/>
                <w:szCs w:val="21"/>
              </w:rPr>
            </w:pPr>
          </w:p>
        </w:tc>
        <w:tc>
          <w:tcPr>
            <w:tcW w:w="217" w:type="dxa"/>
          </w:tcPr>
          <w:p w14:paraId="23298029" w14:textId="77777777" w:rsidR="002C0FD9" w:rsidRPr="00CA25CF" w:rsidRDefault="002C0FD9" w:rsidP="00CA25CF">
            <w:pPr>
              <w:rPr>
                <w:rFonts w:cs="Arial"/>
                <w:color w:val="FF0000"/>
                <w:sz w:val="21"/>
                <w:szCs w:val="21"/>
              </w:rPr>
            </w:pPr>
          </w:p>
        </w:tc>
        <w:tc>
          <w:tcPr>
            <w:tcW w:w="217" w:type="dxa"/>
          </w:tcPr>
          <w:p w14:paraId="0A266DE1" w14:textId="77777777" w:rsidR="002C0FD9" w:rsidRPr="00CA25CF" w:rsidRDefault="002C0FD9" w:rsidP="00CA25CF">
            <w:pPr>
              <w:rPr>
                <w:rFonts w:cs="Arial"/>
                <w:color w:val="FF0000"/>
                <w:sz w:val="21"/>
                <w:szCs w:val="21"/>
              </w:rPr>
            </w:pPr>
          </w:p>
        </w:tc>
        <w:tc>
          <w:tcPr>
            <w:tcW w:w="217" w:type="dxa"/>
          </w:tcPr>
          <w:p w14:paraId="7F520110" w14:textId="77777777" w:rsidR="002C0FD9" w:rsidRPr="00CA25CF" w:rsidRDefault="002C0FD9" w:rsidP="00CA25CF">
            <w:pPr>
              <w:rPr>
                <w:rFonts w:cs="Arial"/>
                <w:color w:val="FF0000"/>
                <w:sz w:val="21"/>
                <w:szCs w:val="21"/>
              </w:rPr>
            </w:pPr>
          </w:p>
        </w:tc>
        <w:tc>
          <w:tcPr>
            <w:tcW w:w="217" w:type="dxa"/>
          </w:tcPr>
          <w:p w14:paraId="07FFC916" w14:textId="77777777" w:rsidR="002C0FD9" w:rsidRPr="00CA25CF" w:rsidRDefault="002C0FD9" w:rsidP="00CA25CF">
            <w:pPr>
              <w:rPr>
                <w:rFonts w:cs="Arial"/>
                <w:color w:val="FF0000"/>
                <w:sz w:val="21"/>
                <w:szCs w:val="21"/>
              </w:rPr>
            </w:pPr>
          </w:p>
        </w:tc>
        <w:tc>
          <w:tcPr>
            <w:tcW w:w="217" w:type="dxa"/>
          </w:tcPr>
          <w:p w14:paraId="7AD217A5" w14:textId="77777777" w:rsidR="002C0FD9" w:rsidRPr="00CA25CF" w:rsidRDefault="002C0FD9" w:rsidP="00CA25CF">
            <w:pPr>
              <w:rPr>
                <w:rFonts w:cs="Arial"/>
                <w:color w:val="FF0000"/>
                <w:sz w:val="21"/>
                <w:szCs w:val="21"/>
              </w:rPr>
            </w:pPr>
          </w:p>
        </w:tc>
        <w:tc>
          <w:tcPr>
            <w:tcW w:w="217" w:type="dxa"/>
          </w:tcPr>
          <w:p w14:paraId="68E22028" w14:textId="77777777" w:rsidR="002C0FD9" w:rsidRPr="00CA25CF" w:rsidRDefault="002C0FD9" w:rsidP="00CA25CF">
            <w:pPr>
              <w:rPr>
                <w:rFonts w:cs="Arial"/>
                <w:color w:val="FF0000"/>
                <w:sz w:val="21"/>
                <w:szCs w:val="21"/>
              </w:rPr>
            </w:pPr>
          </w:p>
        </w:tc>
        <w:tc>
          <w:tcPr>
            <w:tcW w:w="217" w:type="dxa"/>
          </w:tcPr>
          <w:p w14:paraId="45F88B1A" w14:textId="77777777" w:rsidR="002C0FD9" w:rsidRPr="00CA25CF" w:rsidRDefault="002C0FD9" w:rsidP="00CA25CF">
            <w:pPr>
              <w:rPr>
                <w:rFonts w:cs="Arial"/>
                <w:color w:val="FF0000"/>
                <w:sz w:val="21"/>
                <w:szCs w:val="21"/>
              </w:rPr>
            </w:pPr>
          </w:p>
        </w:tc>
        <w:tc>
          <w:tcPr>
            <w:tcW w:w="217" w:type="dxa"/>
          </w:tcPr>
          <w:p w14:paraId="6AFD45DA" w14:textId="77777777" w:rsidR="002C0FD9" w:rsidRPr="00CA25CF" w:rsidRDefault="002C0FD9" w:rsidP="00CA25CF">
            <w:pPr>
              <w:rPr>
                <w:rFonts w:cs="Arial"/>
                <w:color w:val="FF0000"/>
                <w:sz w:val="21"/>
                <w:szCs w:val="21"/>
              </w:rPr>
            </w:pPr>
          </w:p>
        </w:tc>
        <w:tc>
          <w:tcPr>
            <w:tcW w:w="217" w:type="dxa"/>
          </w:tcPr>
          <w:p w14:paraId="116D9B22" w14:textId="77777777" w:rsidR="002C0FD9" w:rsidRPr="00CA25CF" w:rsidRDefault="002C0FD9" w:rsidP="00CA25CF">
            <w:pPr>
              <w:rPr>
                <w:rFonts w:cs="Arial"/>
                <w:color w:val="FF0000"/>
                <w:sz w:val="21"/>
                <w:szCs w:val="21"/>
              </w:rPr>
            </w:pPr>
          </w:p>
        </w:tc>
        <w:tc>
          <w:tcPr>
            <w:tcW w:w="217" w:type="dxa"/>
          </w:tcPr>
          <w:p w14:paraId="34E52039" w14:textId="77777777" w:rsidR="002C0FD9" w:rsidRPr="00CA25CF" w:rsidRDefault="002C0FD9" w:rsidP="00CA25CF">
            <w:pPr>
              <w:rPr>
                <w:rFonts w:cs="Arial"/>
                <w:color w:val="FF0000"/>
                <w:sz w:val="21"/>
                <w:szCs w:val="21"/>
              </w:rPr>
            </w:pPr>
          </w:p>
        </w:tc>
        <w:tc>
          <w:tcPr>
            <w:tcW w:w="217" w:type="dxa"/>
          </w:tcPr>
          <w:p w14:paraId="5511FF60" w14:textId="77777777" w:rsidR="002C0FD9" w:rsidRPr="00CA25CF" w:rsidRDefault="002C0FD9" w:rsidP="00CA25CF">
            <w:pPr>
              <w:rPr>
                <w:rFonts w:cs="Arial"/>
                <w:color w:val="FF0000"/>
                <w:sz w:val="21"/>
                <w:szCs w:val="21"/>
              </w:rPr>
            </w:pPr>
          </w:p>
        </w:tc>
        <w:tc>
          <w:tcPr>
            <w:tcW w:w="217" w:type="dxa"/>
          </w:tcPr>
          <w:p w14:paraId="2E7EE975" w14:textId="77777777" w:rsidR="002C0FD9" w:rsidRPr="00CA25CF" w:rsidRDefault="002C0FD9" w:rsidP="00CA25CF">
            <w:pPr>
              <w:rPr>
                <w:rFonts w:cs="Arial"/>
                <w:color w:val="FF0000"/>
                <w:sz w:val="21"/>
                <w:szCs w:val="21"/>
              </w:rPr>
            </w:pPr>
          </w:p>
        </w:tc>
        <w:tc>
          <w:tcPr>
            <w:tcW w:w="217" w:type="dxa"/>
          </w:tcPr>
          <w:p w14:paraId="55CEF057" w14:textId="77777777" w:rsidR="002C0FD9" w:rsidRPr="00CA25CF" w:rsidRDefault="002C0FD9" w:rsidP="00CA25CF">
            <w:pPr>
              <w:rPr>
                <w:rFonts w:cs="Arial"/>
                <w:color w:val="FF0000"/>
                <w:sz w:val="21"/>
                <w:szCs w:val="21"/>
              </w:rPr>
            </w:pPr>
          </w:p>
        </w:tc>
        <w:tc>
          <w:tcPr>
            <w:tcW w:w="217" w:type="dxa"/>
          </w:tcPr>
          <w:p w14:paraId="7EE71457" w14:textId="77777777" w:rsidR="002C0FD9" w:rsidRPr="00CA25CF" w:rsidRDefault="002C0FD9" w:rsidP="00CA25CF">
            <w:pPr>
              <w:rPr>
                <w:rFonts w:cs="Arial"/>
                <w:color w:val="FF0000"/>
                <w:sz w:val="21"/>
                <w:szCs w:val="21"/>
              </w:rPr>
            </w:pPr>
          </w:p>
        </w:tc>
        <w:tc>
          <w:tcPr>
            <w:tcW w:w="217" w:type="dxa"/>
          </w:tcPr>
          <w:p w14:paraId="02044C8A" w14:textId="77777777" w:rsidR="002C0FD9" w:rsidRPr="00CA25CF" w:rsidRDefault="002C0FD9" w:rsidP="00CA25CF">
            <w:pPr>
              <w:rPr>
                <w:rFonts w:cs="Arial"/>
                <w:color w:val="FF0000"/>
                <w:sz w:val="21"/>
                <w:szCs w:val="21"/>
              </w:rPr>
            </w:pPr>
          </w:p>
        </w:tc>
        <w:tc>
          <w:tcPr>
            <w:tcW w:w="217" w:type="dxa"/>
          </w:tcPr>
          <w:p w14:paraId="79F8F211" w14:textId="77777777" w:rsidR="002C0FD9" w:rsidRPr="00CA25CF" w:rsidRDefault="002C0FD9" w:rsidP="00CA25CF">
            <w:pPr>
              <w:rPr>
                <w:rFonts w:cs="Arial"/>
                <w:color w:val="FF0000"/>
                <w:sz w:val="21"/>
                <w:szCs w:val="21"/>
              </w:rPr>
            </w:pPr>
          </w:p>
        </w:tc>
        <w:tc>
          <w:tcPr>
            <w:tcW w:w="217" w:type="dxa"/>
          </w:tcPr>
          <w:p w14:paraId="5E6B6F43" w14:textId="77777777" w:rsidR="002C0FD9" w:rsidRPr="00CA25CF" w:rsidRDefault="002C0FD9" w:rsidP="00CA25CF">
            <w:pPr>
              <w:rPr>
                <w:rFonts w:cs="Arial"/>
                <w:color w:val="FF0000"/>
                <w:sz w:val="21"/>
                <w:szCs w:val="21"/>
              </w:rPr>
            </w:pPr>
          </w:p>
        </w:tc>
        <w:tc>
          <w:tcPr>
            <w:tcW w:w="217" w:type="dxa"/>
          </w:tcPr>
          <w:p w14:paraId="5A983C1F" w14:textId="77777777" w:rsidR="002C0FD9" w:rsidRPr="00CA25CF" w:rsidRDefault="002C0FD9" w:rsidP="00CA25CF">
            <w:pPr>
              <w:rPr>
                <w:rFonts w:cs="Arial"/>
                <w:color w:val="FF0000"/>
                <w:sz w:val="21"/>
                <w:szCs w:val="21"/>
              </w:rPr>
            </w:pPr>
          </w:p>
        </w:tc>
        <w:tc>
          <w:tcPr>
            <w:tcW w:w="217" w:type="dxa"/>
          </w:tcPr>
          <w:p w14:paraId="1D4768DA" w14:textId="77777777" w:rsidR="002C0FD9" w:rsidRPr="00CA25CF" w:rsidRDefault="002C0FD9" w:rsidP="00CA25CF">
            <w:pPr>
              <w:rPr>
                <w:rFonts w:cs="Arial"/>
                <w:color w:val="FF0000"/>
                <w:sz w:val="21"/>
                <w:szCs w:val="21"/>
              </w:rPr>
            </w:pPr>
          </w:p>
        </w:tc>
        <w:tc>
          <w:tcPr>
            <w:tcW w:w="217" w:type="dxa"/>
          </w:tcPr>
          <w:p w14:paraId="578E22C6" w14:textId="77777777" w:rsidR="002C0FD9" w:rsidRPr="00CA25CF" w:rsidRDefault="002C0FD9" w:rsidP="00CA25CF">
            <w:pPr>
              <w:rPr>
                <w:rFonts w:cs="Arial"/>
                <w:color w:val="FF0000"/>
                <w:sz w:val="21"/>
                <w:szCs w:val="21"/>
              </w:rPr>
            </w:pPr>
          </w:p>
        </w:tc>
        <w:tc>
          <w:tcPr>
            <w:tcW w:w="217" w:type="dxa"/>
          </w:tcPr>
          <w:p w14:paraId="02D8ECE3" w14:textId="77777777" w:rsidR="002C0FD9" w:rsidRPr="00CA25CF" w:rsidRDefault="002C0FD9" w:rsidP="00CA25CF">
            <w:pPr>
              <w:rPr>
                <w:rFonts w:cs="Arial"/>
                <w:color w:val="FF0000"/>
                <w:sz w:val="21"/>
                <w:szCs w:val="21"/>
              </w:rPr>
            </w:pPr>
          </w:p>
        </w:tc>
        <w:tc>
          <w:tcPr>
            <w:tcW w:w="217" w:type="dxa"/>
          </w:tcPr>
          <w:p w14:paraId="5704639B" w14:textId="77777777" w:rsidR="002C0FD9" w:rsidRPr="00CA25CF" w:rsidRDefault="002C0FD9" w:rsidP="00CA25CF">
            <w:pPr>
              <w:rPr>
                <w:rFonts w:cs="Arial"/>
                <w:color w:val="FF0000"/>
                <w:sz w:val="21"/>
                <w:szCs w:val="21"/>
              </w:rPr>
            </w:pPr>
          </w:p>
        </w:tc>
        <w:tc>
          <w:tcPr>
            <w:tcW w:w="217" w:type="dxa"/>
          </w:tcPr>
          <w:p w14:paraId="5E6E126B" w14:textId="77777777" w:rsidR="002C0FD9" w:rsidRPr="00CA25CF" w:rsidRDefault="002C0FD9" w:rsidP="00CA25CF">
            <w:pPr>
              <w:rPr>
                <w:rFonts w:cs="Arial"/>
                <w:color w:val="FF0000"/>
                <w:sz w:val="21"/>
                <w:szCs w:val="21"/>
              </w:rPr>
            </w:pPr>
          </w:p>
        </w:tc>
        <w:tc>
          <w:tcPr>
            <w:tcW w:w="217" w:type="dxa"/>
          </w:tcPr>
          <w:p w14:paraId="3FC56CEF" w14:textId="77777777" w:rsidR="002C0FD9" w:rsidRPr="00CA25CF" w:rsidRDefault="002C0FD9" w:rsidP="00CA25CF">
            <w:pPr>
              <w:rPr>
                <w:rFonts w:cs="Arial"/>
                <w:color w:val="FF0000"/>
                <w:sz w:val="21"/>
                <w:szCs w:val="21"/>
              </w:rPr>
            </w:pPr>
          </w:p>
        </w:tc>
        <w:tc>
          <w:tcPr>
            <w:tcW w:w="217" w:type="dxa"/>
          </w:tcPr>
          <w:p w14:paraId="13F0F367" w14:textId="77777777" w:rsidR="002C0FD9" w:rsidRPr="00CA25CF" w:rsidRDefault="002C0FD9" w:rsidP="00CA25CF">
            <w:pPr>
              <w:rPr>
                <w:rFonts w:cs="Arial"/>
                <w:color w:val="FF0000"/>
                <w:sz w:val="21"/>
                <w:szCs w:val="21"/>
              </w:rPr>
            </w:pPr>
          </w:p>
        </w:tc>
        <w:tc>
          <w:tcPr>
            <w:tcW w:w="217" w:type="dxa"/>
          </w:tcPr>
          <w:p w14:paraId="1DB68372" w14:textId="77777777" w:rsidR="002C0FD9" w:rsidRPr="00CA25CF" w:rsidRDefault="002C0FD9" w:rsidP="00CA25CF">
            <w:pPr>
              <w:rPr>
                <w:rFonts w:cs="Arial"/>
                <w:color w:val="FF0000"/>
                <w:sz w:val="21"/>
                <w:szCs w:val="21"/>
              </w:rPr>
            </w:pPr>
          </w:p>
        </w:tc>
        <w:tc>
          <w:tcPr>
            <w:tcW w:w="217" w:type="dxa"/>
          </w:tcPr>
          <w:p w14:paraId="7DDD7BC2" w14:textId="77777777" w:rsidR="002C0FD9" w:rsidRPr="00CA25CF" w:rsidRDefault="002C0FD9" w:rsidP="00CA25CF">
            <w:pPr>
              <w:rPr>
                <w:rFonts w:cs="Arial"/>
                <w:color w:val="FF0000"/>
                <w:sz w:val="21"/>
                <w:szCs w:val="21"/>
              </w:rPr>
            </w:pPr>
          </w:p>
        </w:tc>
        <w:tc>
          <w:tcPr>
            <w:tcW w:w="217" w:type="dxa"/>
          </w:tcPr>
          <w:p w14:paraId="34E1CF64" w14:textId="77777777" w:rsidR="002C0FD9" w:rsidRPr="00CA25CF" w:rsidRDefault="002C0FD9" w:rsidP="00CA25CF">
            <w:pPr>
              <w:rPr>
                <w:rFonts w:cs="Arial"/>
                <w:color w:val="FF0000"/>
                <w:sz w:val="21"/>
                <w:szCs w:val="21"/>
              </w:rPr>
            </w:pPr>
          </w:p>
        </w:tc>
        <w:tc>
          <w:tcPr>
            <w:tcW w:w="217" w:type="dxa"/>
          </w:tcPr>
          <w:p w14:paraId="55DE0A37" w14:textId="77777777" w:rsidR="002C0FD9" w:rsidRPr="00CA25CF" w:rsidRDefault="002C0FD9" w:rsidP="00CA25CF">
            <w:pPr>
              <w:rPr>
                <w:rFonts w:cs="Arial"/>
                <w:color w:val="FF0000"/>
                <w:sz w:val="21"/>
                <w:szCs w:val="21"/>
              </w:rPr>
            </w:pPr>
          </w:p>
        </w:tc>
        <w:tc>
          <w:tcPr>
            <w:tcW w:w="217" w:type="dxa"/>
          </w:tcPr>
          <w:p w14:paraId="423AC67C" w14:textId="77777777" w:rsidR="002C0FD9" w:rsidRPr="00CA25CF" w:rsidRDefault="002C0FD9" w:rsidP="00CA25CF">
            <w:pPr>
              <w:rPr>
                <w:rFonts w:cs="Arial"/>
                <w:color w:val="FF0000"/>
                <w:sz w:val="21"/>
                <w:szCs w:val="21"/>
              </w:rPr>
            </w:pPr>
          </w:p>
        </w:tc>
      </w:tr>
      <w:tr w:rsidR="002C0FD9" w:rsidRPr="00A16219" w14:paraId="3DCCB433" w14:textId="77777777" w:rsidTr="002C0FD9">
        <w:trPr>
          <w:trHeight w:val="635"/>
        </w:trPr>
        <w:tc>
          <w:tcPr>
            <w:tcW w:w="515" w:type="dxa"/>
          </w:tcPr>
          <w:p w14:paraId="3B4A6448" w14:textId="77777777" w:rsidR="002C0FD9" w:rsidRPr="00CA25CF" w:rsidRDefault="002C0FD9" w:rsidP="00CA25CF">
            <w:pPr>
              <w:rPr>
                <w:rFonts w:cs="Arial"/>
                <w:color w:val="FF0000"/>
                <w:sz w:val="21"/>
                <w:szCs w:val="21"/>
              </w:rPr>
            </w:pPr>
          </w:p>
        </w:tc>
        <w:tc>
          <w:tcPr>
            <w:tcW w:w="217" w:type="dxa"/>
          </w:tcPr>
          <w:p w14:paraId="2FF5DEF8" w14:textId="77777777" w:rsidR="002C0FD9" w:rsidRPr="00CA25CF" w:rsidRDefault="002C0FD9" w:rsidP="00CA25CF">
            <w:pPr>
              <w:rPr>
                <w:rFonts w:cs="Arial"/>
                <w:color w:val="FF0000"/>
                <w:sz w:val="21"/>
                <w:szCs w:val="21"/>
              </w:rPr>
            </w:pPr>
          </w:p>
        </w:tc>
        <w:tc>
          <w:tcPr>
            <w:tcW w:w="217" w:type="dxa"/>
          </w:tcPr>
          <w:p w14:paraId="0677AE82" w14:textId="77777777" w:rsidR="002C0FD9" w:rsidRPr="00CA25CF" w:rsidRDefault="002C0FD9" w:rsidP="00CA25CF">
            <w:pPr>
              <w:rPr>
                <w:rFonts w:cs="Arial"/>
                <w:color w:val="FF0000"/>
                <w:sz w:val="21"/>
                <w:szCs w:val="21"/>
              </w:rPr>
            </w:pPr>
          </w:p>
        </w:tc>
        <w:tc>
          <w:tcPr>
            <w:tcW w:w="217" w:type="dxa"/>
          </w:tcPr>
          <w:p w14:paraId="386E5F9C" w14:textId="77777777" w:rsidR="002C0FD9" w:rsidRPr="00CA25CF" w:rsidRDefault="002C0FD9" w:rsidP="00CA25CF">
            <w:pPr>
              <w:rPr>
                <w:rFonts w:cs="Arial"/>
                <w:color w:val="FF0000"/>
                <w:sz w:val="21"/>
                <w:szCs w:val="21"/>
              </w:rPr>
            </w:pPr>
          </w:p>
        </w:tc>
        <w:tc>
          <w:tcPr>
            <w:tcW w:w="217" w:type="dxa"/>
          </w:tcPr>
          <w:p w14:paraId="7D56A7DA" w14:textId="77777777" w:rsidR="002C0FD9" w:rsidRPr="00CA25CF" w:rsidRDefault="002C0FD9" w:rsidP="00CA25CF">
            <w:pPr>
              <w:rPr>
                <w:rFonts w:cs="Arial"/>
                <w:color w:val="FF0000"/>
                <w:sz w:val="21"/>
                <w:szCs w:val="21"/>
              </w:rPr>
            </w:pPr>
          </w:p>
        </w:tc>
        <w:tc>
          <w:tcPr>
            <w:tcW w:w="217" w:type="dxa"/>
          </w:tcPr>
          <w:p w14:paraId="007261A4" w14:textId="77777777" w:rsidR="002C0FD9" w:rsidRPr="00CA25CF" w:rsidRDefault="002C0FD9" w:rsidP="00CA25CF">
            <w:pPr>
              <w:rPr>
                <w:rFonts w:cs="Arial"/>
                <w:color w:val="FF0000"/>
                <w:sz w:val="21"/>
                <w:szCs w:val="21"/>
              </w:rPr>
            </w:pPr>
          </w:p>
        </w:tc>
        <w:tc>
          <w:tcPr>
            <w:tcW w:w="217" w:type="dxa"/>
          </w:tcPr>
          <w:p w14:paraId="3F188567" w14:textId="77777777" w:rsidR="002C0FD9" w:rsidRPr="00CA25CF" w:rsidRDefault="002C0FD9" w:rsidP="00CA25CF">
            <w:pPr>
              <w:rPr>
                <w:rFonts w:cs="Arial"/>
                <w:color w:val="FF0000"/>
                <w:sz w:val="21"/>
                <w:szCs w:val="21"/>
              </w:rPr>
            </w:pPr>
          </w:p>
        </w:tc>
        <w:tc>
          <w:tcPr>
            <w:tcW w:w="217" w:type="dxa"/>
          </w:tcPr>
          <w:p w14:paraId="2AC29C6F" w14:textId="77777777" w:rsidR="002C0FD9" w:rsidRPr="00CA25CF" w:rsidRDefault="002C0FD9" w:rsidP="00CA25CF">
            <w:pPr>
              <w:rPr>
                <w:rFonts w:cs="Arial"/>
                <w:color w:val="FF0000"/>
                <w:sz w:val="21"/>
                <w:szCs w:val="21"/>
              </w:rPr>
            </w:pPr>
          </w:p>
        </w:tc>
        <w:tc>
          <w:tcPr>
            <w:tcW w:w="217" w:type="dxa"/>
          </w:tcPr>
          <w:p w14:paraId="06F80F5E" w14:textId="77777777" w:rsidR="002C0FD9" w:rsidRPr="00CA25CF" w:rsidRDefault="002C0FD9" w:rsidP="00CA25CF">
            <w:pPr>
              <w:rPr>
                <w:rFonts w:cs="Arial"/>
                <w:color w:val="FF0000"/>
                <w:sz w:val="21"/>
                <w:szCs w:val="21"/>
              </w:rPr>
            </w:pPr>
          </w:p>
        </w:tc>
        <w:tc>
          <w:tcPr>
            <w:tcW w:w="217" w:type="dxa"/>
          </w:tcPr>
          <w:p w14:paraId="75722FBC" w14:textId="77777777" w:rsidR="002C0FD9" w:rsidRPr="00CA25CF" w:rsidRDefault="002C0FD9" w:rsidP="00CA25CF">
            <w:pPr>
              <w:rPr>
                <w:rFonts w:cs="Arial"/>
                <w:color w:val="FF0000"/>
                <w:sz w:val="21"/>
                <w:szCs w:val="21"/>
              </w:rPr>
            </w:pPr>
          </w:p>
        </w:tc>
        <w:tc>
          <w:tcPr>
            <w:tcW w:w="217" w:type="dxa"/>
          </w:tcPr>
          <w:p w14:paraId="389E2E0B" w14:textId="77777777" w:rsidR="002C0FD9" w:rsidRPr="00CA25CF" w:rsidRDefault="002C0FD9" w:rsidP="00CA25CF">
            <w:pPr>
              <w:rPr>
                <w:rFonts w:cs="Arial"/>
                <w:color w:val="FF0000"/>
                <w:sz w:val="21"/>
                <w:szCs w:val="21"/>
              </w:rPr>
            </w:pPr>
          </w:p>
        </w:tc>
        <w:tc>
          <w:tcPr>
            <w:tcW w:w="217" w:type="dxa"/>
          </w:tcPr>
          <w:p w14:paraId="2759214E" w14:textId="77777777" w:rsidR="002C0FD9" w:rsidRPr="00CA25CF" w:rsidRDefault="002C0FD9" w:rsidP="00CA25CF">
            <w:pPr>
              <w:rPr>
                <w:rFonts w:cs="Arial"/>
                <w:color w:val="FF0000"/>
                <w:sz w:val="21"/>
                <w:szCs w:val="21"/>
              </w:rPr>
            </w:pPr>
          </w:p>
        </w:tc>
        <w:tc>
          <w:tcPr>
            <w:tcW w:w="217" w:type="dxa"/>
          </w:tcPr>
          <w:p w14:paraId="215F87DA" w14:textId="77777777" w:rsidR="002C0FD9" w:rsidRPr="00CA25CF" w:rsidRDefault="002C0FD9" w:rsidP="00CA25CF">
            <w:pPr>
              <w:rPr>
                <w:rFonts w:cs="Arial"/>
                <w:color w:val="FF0000"/>
                <w:sz w:val="21"/>
                <w:szCs w:val="21"/>
              </w:rPr>
            </w:pPr>
          </w:p>
        </w:tc>
        <w:tc>
          <w:tcPr>
            <w:tcW w:w="217" w:type="dxa"/>
          </w:tcPr>
          <w:p w14:paraId="68EB79DA" w14:textId="77777777" w:rsidR="002C0FD9" w:rsidRPr="00CA25CF" w:rsidRDefault="002C0FD9" w:rsidP="00CA25CF">
            <w:pPr>
              <w:rPr>
                <w:rFonts w:cs="Arial"/>
                <w:color w:val="FF0000"/>
                <w:sz w:val="21"/>
                <w:szCs w:val="21"/>
              </w:rPr>
            </w:pPr>
          </w:p>
        </w:tc>
        <w:tc>
          <w:tcPr>
            <w:tcW w:w="217" w:type="dxa"/>
          </w:tcPr>
          <w:p w14:paraId="2CAEA139" w14:textId="77777777" w:rsidR="002C0FD9" w:rsidRPr="00CA25CF" w:rsidRDefault="002C0FD9" w:rsidP="00CA25CF">
            <w:pPr>
              <w:rPr>
                <w:rFonts w:cs="Arial"/>
                <w:color w:val="FF0000"/>
                <w:sz w:val="21"/>
                <w:szCs w:val="21"/>
              </w:rPr>
            </w:pPr>
          </w:p>
        </w:tc>
        <w:tc>
          <w:tcPr>
            <w:tcW w:w="217" w:type="dxa"/>
          </w:tcPr>
          <w:p w14:paraId="426BD94E" w14:textId="77777777" w:rsidR="002C0FD9" w:rsidRPr="00CA25CF" w:rsidRDefault="002C0FD9" w:rsidP="00CA25CF">
            <w:pPr>
              <w:rPr>
                <w:rFonts w:cs="Arial"/>
                <w:color w:val="FF0000"/>
                <w:sz w:val="21"/>
                <w:szCs w:val="21"/>
              </w:rPr>
            </w:pPr>
          </w:p>
        </w:tc>
        <w:tc>
          <w:tcPr>
            <w:tcW w:w="217" w:type="dxa"/>
          </w:tcPr>
          <w:p w14:paraId="3E7C57C2" w14:textId="77777777" w:rsidR="002C0FD9" w:rsidRPr="00CA25CF" w:rsidRDefault="002C0FD9" w:rsidP="00CA25CF">
            <w:pPr>
              <w:rPr>
                <w:rFonts w:cs="Arial"/>
                <w:color w:val="FF0000"/>
                <w:sz w:val="21"/>
                <w:szCs w:val="21"/>
              </w:rPr>
            </w:pPr>
          </w:p>
        </w:tc>
        <w:tc>
          <w:tcPr>
            <w:tcW w:w="217" w:type="dxa"/>
          </w:tcPr>
          <w:p w14:paraId="433F7FD3" w14:textId="77777777" w:rsidR="002C0FD9" w:rsidRPr="00CA25CF" w:rsidRDefault="002C0FD9" w:rsidP="00CA25CF">
            <w:pPr>
              <w:rPr>
                <w:rFonts w:cs="Arial"/>
                <w:color w:val="FF0000"/>
                <w:sz w:val="21"/>
                <w:szCs w:val="21"/>
              </w:rPr>
            </w:pPr>
          </w:p>
        </w:tc>
        <w:tc>
          <w:tcPr>
            <w:tcW w:w="217" w:type="dxa"/>
          </w:tcPr>
          <w:p w14:paraId="76178D07" w14:textId="77777777" w:rsidR="002C0FD9" w:rsidRPr="00CA25CF" w:rsidRDefault="002C0FD9" w:rsidP="00CA25CF">
            <w:pPr>
              <w:rPr>
                <w:rFonts w:cs="Arial"/>
                <w:color w:val="FF0000"/>
                <w:sz w:val="21"/>
                <w:szCs w:val="21"/>
              </w:rPr>
            </w:pPr>
          </w:p>
        </w:tc>
        <w:tc>
          <w:tcPr>
            <w:tcW w:w="217" w:type="dxa"/>
          </w:tcPr>
          <w:p w14:paraId="008A3B69" w14:textId="77777777" w:rsidR="002C0FD9" w:rsidRPr="00CA25CF" w:rsidRDefault="002C0FD9" w:rsidP="00CA25CF">
            <w:pPr>
              <w:rPr>
                <w:rFonts w:cs="Arial"/>
                <w:color w:val="FF0000"/>
                <w:sz w:val="21"/>
                <w:szCs w:val="21"/>
              </w:rPr>
            </w:pPr>
          </w:p>
        </w:tc>
        <w:tc>
          <w:tcPr>
            <w:tcW w:w="217" w:type="dxa"/>
          </w:tcPr>
          <w:p w14:paraId="5215D3FB" w14:textId="77777777" w:rsidR="002C0FD9" w:rsidRPr="00CA25CF" w:rsidRDefault="002C0FD9" w:rsidP="00CA25CF">
            <w:pPr>
              <w:rPr>
                <w:rFonts w:cs="Arial"/>
                <w:color w:val="FF0000"/>
                <w:sz w:val="21"/>
                <w:szCs w:val="21"/>
              </w:rPr>
            </w:pPr>
          </w:p>
        </w:tc>
        <w:tc>
          <w:tcPr>
            <w:tcW w:w="217" w:type="dxa"/>
          </w:tcPr>
          <w:p w14:paraId="2A721DCD" w14:textId="77777777" w:rsidR="002C0FD9" w:rsidRPr="00CA25CF" w:rsidRDefault="002C0FD9" w:rsidP="00CA25CF">
            <w:pPr>
              <w:rPr>
                <w:rFonts w:cs="Arial"/>
                <w:color w:val="FF0000"/>
                <w:sz w:val="21"/>
                <w:szCs w:val="21"/>
              </w:rPr>
            </w:pPr>
          </w:p>
        </w:tc>
        <w:tc>
          <w:tcPr>
            <w:tcW w:w="217" w:type="dxa"/>
          </w:tcPr>
          <w:p w14:paraId="76EE09B3" w14:textId="77777777" w:rsidR="002C0FD9" w:rsidRPr="00CA25CF" w:rsidRDefault="002C0FD9" w:rsidP="00CA25CF">
            <w:pPr>
              <w:rPr>
                <w:rFonts w:cs="Arial"/>
                <w:color w:val="FF0000"/>
                <w:sz w:val="21"/>
                <w:szCs w:val="21"/>
              </w:rPr>
            </w:pPr>
          </w:p>
        </w:tc>
        <w:tc>
          <w:tcPr>
            <w:tcW w:w="217" w:type="dxa"/>
          </w:tcPr>
          <w:p w14:paraId="24F71C21" w14:textId="77777777" w:rsidR="002C0FD9" w:rsidRPr="00CA25CF" w:rsidRDefault="002C0FD9" w:rsidP="00CA25CF">
            <w:pPr>
              <w:rPr>
                <w:rFonts w:cs="Arial"/>
                <w:color w:val="FF0000"/>
                <w:sz w:val="21"/>
                <w:szCs w:val="21"/>
              </w:rPr>
            </w:pPr>
          </w:p>
        </w:tc>
        <w:tc>
          <w:tcPr>
            <w:tcW w:w="217" w:type="dxa"/>
          </w:tcPr>
          <w:p w14:paraId="36FEDA75" w14:textId="77777777" w:rsidR="002C0FD9" w:rsidRPr="00CA25CF" w:rsidRDefault="002C0FD9" w:rsidP="00CA25CF">
            <w:pPr>
              <w:rPr>
                <w:rFonts w:cs="Arial"/>
                <w:color w:val="FF0000"/>
                <w:sz w:val="21"/>
                <w:szCs w:val="21"/>
              </w:rPr>
            </w:pPr>
          </w:p>
        </w:tc>
        <w:tc>
          <w:tcPr>
            <w:tcW w:w="217" w:type="dxa"/>
          </w:tcPr>
          <w:p w14:paraId="6A0F8462" w14:textId="77777777" w:rsidR="002C0FD9" w:rsidRPr="00CA25CF" w:rsidRDefault="002C0FD9" w:rsidP="00CA25CF">
            <w:pPr>
              <w:rPr>
                <w:rFonts w:cs="Arial"/>
                <w:color w:val="FF0000"/>
                <w:sz w:val="21"/>
                <w:szCs w:val="21"/>
              </w:rPr>
            </w:pPr>
          </w:p>
        </w:tc>
        <w:tc>
          <w:tcPr>
            <w:tcW w:w="217" w:type="dxa"/>
          </w:tcPr>
          <w:p w14:paraId="7056812F" w14:textId="77777777" w:rsidR="002C0FD9" w:rsidRPr="00CA25CF" w:rsidRDefault="002C0FD9" w:rsidP="00CA25CF">
            <w:pPr>
              <w:rPr>
                <w:rFonts w:cs="Arial"/>
                <w:color w:val="FF0000"/>
                <w:sz w:val="21"/>
                <w:szCs w:val="21"/>
              </w:rPr>
            </w:pPr>
          </w:p>
        </w:tc>
        <w:tc>
          <w:tcPr>
            <w:tcW w:w="217" w:type="dxa"/>
          </w:tcPr>
          <w:p w14:paraId="41A6E342" w14:textId="77777777" w:rsidR="002C0FD9" w:rsidRPr="00CA25CF" w:rsidRDefault="002C0FD9" w:rsidP="00CA25CF">
            <w:pPr>
              <w:rPr>
                <w:rFonts w:cs="Arial"/>
                <w:color w:val="FF0000"/>
                <w:sz w:val="21"/>
                <w:szCs w:val="21"/>
              </w:rPr>
            </w:pPr>
          </w:p>
        </w:tc>
        <w:tc>
          <w:tcPr>
            <w:tcW w:w="217" w:type="dxa"/>
          </w:tcPr>
          <w:p w14:paraId="3A692621" w14:textId="77777777" w:rsidR="002C0FD9" w:rsidRPr="00CA25CF" w:rsidRDefault="002C0FD9" w:rsidP="00CA25CF">
            <w:pPr>
              <w:rPr>
                <w:rFonts w:cs="Arial"/>
                <w:color w:val="FF0000"/>
                <w:sz w:val="21"/>
                <w:szCs w:val="21"/>
              </w:rPr>
            </w:pPr>
          </w:p>
        </w:tc>
        <w:tc>
          <w:tcPr>
            <w:tcW w:w="217" w:type="dxa"/>
          </w:tcPr>
          <w:p w14:paraId="6EE8A0F1" w14:textId="77777777" w:rsidR="002C0FD9" w:rsidRPr="00CA25CF" w:rsidRDefault="002C0FD9" w:rsidP="00CA25CF">
            <w:pPr>
              <w:rPr>
                <w:rFonts w:cs="Arial"/>
                <w:color w:val="FF0000"/>
                <w:sz w:val="21"/>
                <w:szCs w:val="21"/>
              </w:rPr>
            </w:pPr>
          </w:p>
        </w:tc>
        <w:tc>
          <w:tcPr>
            <w:tcW w:w="217" w:type="dxa"/>
          </w:tcPr>
          <w:p w14:paraId="6D733F66" w14:textId="77777777" w:rsidR="002C0FD9" w:rsidRPr="00CA25CF" w:rsidRDefault="002C0FD9" w:rsidP="00CA25CF">
            <w:pPr>
              <w:rPr>
                <w:rFonts w:cs="Arial"/>
                <w:color w:val="FF0000"/>
                <w:sz w:val="21"/>
                <w:szCs w:val="21"/>
              </w:rPr>
            </w:pPr>
          </w:p>
        </w:tc>
        <w:tc>
          <w:tcPr>
            <w:tcW w:w="217" w:type="dxa"/>
          </w:tcPr>
          <w:p w14:paraId="79542403" w14:textId="77777777" w:rsidR="002C0FD9" w:rsidRPr="00CA25CF" w:rsidRDefault="002C0FD9" w:rsidP="00CA25CF">
            <w:pPr>
              <w:rPr>
                <w:rFonts w:cs="Arial"/>
                <w:color w:val="FF0000"/>
                <w:sz w:val="21"/>
                <w:szCs w:val="21"/>
              </w:rPr>
            </w:pPr>
          </w:p>
        </w:tc>
        <w:tc>
          <w:tcPr>
            <w:tcW w:w="217" w:type="dxa"/>
          </w:tcPr>
          <w:p w14:paraId="2BF67FF3" w14:textId="77777777" w:rsidR="002C0FD9" w:rsidRPr="00CA25CF" w:rsidRDefault="002C0FD9" w:rsidP="00CA25CF">
            <w:pPr>
              <w:rPr>
                <w:rFonts w:cs="Arial"/>
                <w:color w:val="FF0000"/>
                <w:sz w:val="21"/>
                <w:szCs w:val="21"/>
              </w:rPr>
            </w:pPr>
          </w:p>
        </w:tc>
        <w:tc>
          <w:tcPr>
            <w:tcW w:w="217" w:type="dxa"/>
          </w:tcPr>
          <w:p w14:paraId="2A9766AB" w14:textId="77777777" w:rsidR="002C0FD9" w:rsidRPr="00CA25CF" w:rsidRDefault="002C0FD9" w:rsidP="00CA25CF">
            <w:pPr>
              <w:rPr>
                <w:rFonts w:cs="Arial"/>
                <w:color w:val="FF0000"/>
                <w:sz w:val="21"/>
                <w:szCs w:val="21"/>
              </w:rPr>
            </w:pPr>
          </w:p>
        </w:tc>
        <w:tc>
          <w:tcPr>
            <w:tcW w:w="217" w:type="dxa"/>
          </w:tcPr>
          <w:p w14:paraId="0D4A7C5A" w14:textId="77777777" w:rsidR="002C0FD9" w:rsidRPr="00CA25CF" w:rsidRDefault="002C0FD9" w:rsidP="00CA25CF">
            <w:pPr>
              <w:rPr>
                <w:rFonts w:cs="Arial"/>
                <w:color w:val="FF0000"/>
                <w:sz w:val="21"/>
                <w:szCs w:val="21"/>
              </w:rPr>
            </w:pPr>
          </w:p>
        </w:tc>
        <w:tc>
          <w:tcPr>
            <w:tcW w:w="217" w:type="dxa"/>
          </w:tcPr>
          <w:p w14:paraId="7D912E15" w14:textId="77777777" w:rsidR="002C0FD9" w:rsidRPr="00CA25CF" w:rsidRDefault="002C0FD9" w:rsidP="00CA25CF">
            <w:pPr>
              <w:rPr>
                <w:rFonts w:cs="Arial"/>
                <w:color w:val="FF0000"/>
                <w:sz w:val="21"/>
                <w:szCs w:val="21"/>
              </w:rPr>
            </w:pPr>
          </w:p>
        </w:tc>
        <w:tc>
          <w:tcPr>
            <w:tcW w:w="217" w:type="dxa"/>
          </w:tcPr>
          <w:p w14:paraId="45A1CDF8" w14:textId="77777777" w:rsidR="002C0FD9" w:rsidRPr="00CA25CF" w:rsidRDefault="002C0FD9" w:rsidP="00CA25CF">
            <w:pPr>
              <w:rPr>
                <w:rFonts w:cs="Arial"/>
                <w:color w:val="FF0000"/>
                <w:sz w:val="21"/>
                <w:szCs w:val="21"/>
              </w:rPr>
            </w:pPr>
          </w:p>
        </w:tc>
        <w:tc>
          <w:tcPr>
            <w:tcW w:w="217" w:type="dxa"/>
          </w:tcPr>
          <w:p w14:paraId="6B6783F9" w14:textId="77777777" w:rsidR="002C0FD9" w:rsidRPr="00CA25CF" w:rsidRDefault="002C0FD9" w:rsidP="00CA25CF">
            <w:pPr>
              <w:rPr>
                <w:rFonts w:cs="Arial"/>
                <w:color w:val="FF0000"/>
                <w:sz w:val="21"/>
                <w:szCs w:val="21"/>
              </w:rPr>
            </w:pPr>
          </w:p>
        </w:tc>
        <w:tc>
          <w:tcPr>
            <w:tcW w:w="217" w:type="dxa"/>
          </w:tcPr>
          <w:p w14:paraId="7D3EE256" w14:textId="77777777" w:rsidR="002C0FD9" w:rsidRPr="00CA25CF" w:rsidRDefault="002C0FD9" w:rsidP="00CA25CF">
            <w:pPr>
              <w:rPr>
                <w:rFonts w:cs="Arial"/>
                <w:color w:val="FF0000"/>
                <w:sz w:val="21"/>
                <w:szCs w:val="21"/>
              </w:rPr>
            </w:pPr>
          </w:p>
        </w:tc>
        <w:tc>
          <w:tcPr>
            <w:tcW w:w="217" w:type="dxa"/>
          </w:tcPr>
          <w:p w14:paraId="707DF93F" w14:textId="77777777" w:rsidR="002C0FD9" w:rsidRPr="00CA25CF" w:rsidRDefault="002C0FD9" w:rsidP="00CA25CF">
            <w:pPr>
              <w:rPr>
                <w:rFonts w:cs="Arial"/>
                <w:color w:val="FF0000"/>
                <w:sz w:val="21"/>
                <w:szCs w:val="21"/>
              </w:rPr>
            </w:pPr>
          </w:p>
        </w:tc>
        <w:tc>
          <w:tcPr>
            <w:tcW w:w="217" w:type="dxa"/>
          </w:tcPr>
          <w:p w14:paraId="2BCFD768" w14:textId="77777777" w:rsidR="002C0FD9" w:rsidRPr="00CA25CF" w:rsidRDefault="002C0FD9" w:rsidP="00CA25CF">
            <w:pPr>
              <w:rPr>
                <w:rFonts w:cs="Arial"/>
                <w:color w:val="FF0000"/>
                <w:sz w:val="21"/>
                <w:szCs w:val="21"/>
              </w:rPr>
            </w:pPr>
          </w:p>
        </w:tc>
        <w:tc>
          <w:tcPr>
            <w:tcW w:w="217" w:type="dxa"/>
          </w:tcPr>
          <w:p w14:paraId="5F876B73" w14:textId="77777777" w:rsidR="002C0FD9" w:rsidRPr="00CA25CF" w:rsidRDefault="002C0FD9" w:rsidP="00CA25CF">
            <w:pPr>
              <w:rPr>
                <w:rFonts w:cs="Arial"/>
                <w:color w:val="FF0000"/>
                <w:sz w:val="21"/>
                <w:szCs w:val="21"/>
              </w:rPr>
            </w:pPr>
          </w:p>
        </w:tc>
        <w:tc>
          <w:tcPr>
            <w:tcW w:w="217" w:type="dxa"/>
          </w:tcPr>
          <w:p w14:paraId="6931FD3B" w14:textId="77777777" w:rsidR="002C0FD9" w:rsidRPr="00CA25CF" w:rsidRDefault="002C0FD9" w:rsidP="00CA25CF">
            <w:pPr>
              <w:rPr>
                <w:rFonts w:cs="Arial"/>
                <w:color w:val="FF0000"/>
                <w:sz w:val="21"/>
                <w:szCs w:val="21"/>
              </w:rPr>
            </w:pPr>
          </w:p>
        </w:tc>
      </w:tr>
      <w:tr w:rsidR="002C0FD9" w:rsidRPr="00A16219" w14:paraId="15163CA6" w14:textId="77777777" w:rsidTr="002C0FD9">
        <w:trPr>
          <w:trHeight w:val="635"/>
        </w:trPr>
        <w:tc>
          <w:tcPr>
            <w:tcW w:w="515" w:type="dxa"/>
          </w:tcPr>
          <w:p w14:paraId="7129D45A" w14:textId="77777777" w:rsidR="002C0FD9" w:rsidRPr="00CA25CF" w:rsidRDefault="002C0FD9" w:rsidP="00CA25CF">
            <w:pPr>
              <w:rPr>
                <w:rFonts w:cs="Arial"/>
                <w:color w:val="FF0000"/>
                <w:sz w:val="21"/>
                <w:szCs w:val="21"/>
              </w:rPr>
            </w:pPr>
          </w:p>
        </w:tc>
        <w:tc>
          <w:tcPr>
            <w:tcW w:w="217" w:type="dxa"/>
          </w:tcPr>
          <w:p w14:paraId="6CC47A00" w14:textId="77777777" w:rsidR="002C0FD9" w:rsidRPr="00CA25CF" w:rsidRDefault="002C0FD9" w:rsidP="00CA25CF">
            <w:pPr>
              <w:rPr>
                <w:rFonts w:cs="Arial"/>
                <w:color w:val="FF0000"/>
                <w:sz w:val="21"/>
                <w:szCs w:val="21"/>
              </w:rPr>
            </w:pPr>
          </w:p>
        </w:tc>
        <w:tc>
          <w:tcPr>
            <w:tcW w:w="217" w:type="dxa"/>
          </w:tcPr>
          <w:p w14:paraId="48895533" w14:textId="77777777" w:rsidR="002C0FD9" w:rsidRPr="00CA25CF" w:rsidRDefault="002C0FD9" w:rsidP="00CA25CF">
            <w:pPr>
              <w:rPr>
                <w:rFonts w:cs="Arial"/>
                <w:color w:val="FF0000"/>
                <w:sz w:val="21"/>
                <w:szCs w:val="21"/>
              </w:rPr>
            </w:pPr>
          </w:p>
        </w:tc>
        <w:tc>
          <w:tcPr>
            <w:tcW w:w="217" w:type="dxa"/>
          </w:tcPr>
          <w:p w14:paraId="57966177" w14:textId="77777777" w:rsidR="002C0FD9" w:rsidRPr="00CA25CF" w:rsidRDefault="002C0FD9" w:rsidP="00CA25CF">
            <w:pPr>
              <w:rPr>
                <w:rFonts w:cs="Arial"/>
                <w:color w:val="FF0000"/>
                <w:sz w:val="21"/>
                <w:szCs w:val="21"/>
              </w:rPr>
            </w:pPr>
          </w:p>
        </w:tc>
        <w:tc>
          <w:tcPr>
            <w:tcW w:w="217" w:type="dxa"/>
          </w:tcPr>
          <w:p w14:paraId="3F25E733" w14:textId="77777777" w:rsidR="002C0FD9" w:rsidRPr="00CA25CF" w:rsidRDefault="002C0FD9" w:rsidP="00CA25CF">
            <w:pPr>
              <w:rPr>
                <w:rFonts w:cs="Arial"/>
                <w:color w:val="FF0000"/>
                <w:sz w:val="21"/>
                <w:szCs w:val="21"/>
              </w:rPr>
            </w:pPr>
          </w:p>
        </w:tc>
        <w:tc>
          <w:tcPr>
            <w:tcW w:w="217" w:type="dxa"/>
          </w:tcPr>
          <w:p w14:paraId="2C23689E" w14:textId="77777777" w:rsidR="002C0FD9" w:rsidRPr="00CA25CF" w:rsidRDefault="002C0FD9" w:rsidP="00CA25CF">
            <w:pPr>
              <w:rPr>
                <w:rFonts w:cs="Arial"/>
                <w:color w:val="FF0000"/>
                <w:sz w:val="21"/>
                <w:szCs w:val="21"/>
              </w:rPr>
            </w:pPr>
          </w:p>
        </w:tc>
        <w:tc>
          <w:tcPr>
            <w:tcW w:w="217" w:type="dxa"/>
          </w:tcPr>
          <w:p w14:paraId="65714E1D" w14:textId="77777777" w:rsidR="002C0FD9" w:rsidRPr="00CA25CF" w:rsidRDefault="002C0FD9" w:rsidP="00CA25CF">
            <w:pPr>
              <w:rPr>
                <w:rFonts w:cs="Arial"/>
                <w:color w:val="FF0000"/>
                <w:sz w:val="21"/>
                <w:szCs w:val="21"/>
              </w:rPr>
            </w:pPr>
          </w:p>
        </w:tc>
        <w:tc>
          <w:tcPr>
            <w:tcW w:w="217" w:type="dxa"/>
          </w:tcPr>
          <w:p w14:paraId="46CE8AC6" w14:textId="77777777" w:rsidR="002C0FD9" w:rsidRPr="00CA25CF" w:rsidRDefault="002C0FD9" w:rsidP="00CA25CF">
            <w:pPr>
              <w:rPr>
                <w:rFonts w:cs="Arial"/>
                <w:color w:val="FF0000"/>
                <w:sz w:val="21"/>
                <w:szCs w:val="21"/>
              </w:rPr>
            </w:pPr>
          </w:p>
        </w:tc>
        <w:tc>
          <w:tcPr>
            <w:tcW w:w="217" w:type="dxa"/>
          </w:tcPr>
          <w:p w14:paraId="7CAE9868" w14:textId="77777777" w:rsidR="002C0FD9" w:rsidRPr="00CA25CF" w:rsidRDefault="002C0FD9" w:rsidP="00CA25CF">
            <w:pPr>
              <w:rPr>
                <w:rFonts w:cs="Arial"/>
                <w:color w:val="FF0000"/>
                <w:sz w:val="21"/>
                <w:szCs w:val="21"/>
              </w:rPr>
            </w:pPr>
          </w:p>
        </w:tc>
        <w:tc>
          <w:tcPr>
            <w:tcW w:w="217" w:type="dxa"/>
          </w:tcPr>
          <w:p w14:paraId="5119BCC0" w14:textId="77777777" w:rsidR="002C0FD9" w:rsidRPr="00CA25CF" w:rsidRDefault="002C0FD9" w:rsidP="00CA25CF">
            <w:pPr>
              <w:rPr>
                <w:rFonts w:cs="Arial"/>
                <w:color w:val="FF0000"/>
                <w:sz w:val="21"/>
                <w:szCs w:val="21"/>
              </w:rPr>
            </w:pPr>
          </w:p>
        </w:tc>
        <w:tc>
          <w:tcPr>
            <w:tcW w:w="217" w:type="dxa"/>
          </w:tcPr>
          <w:p w14:paraId="636AEC09" w14:textId="77777777" w:rsidR="002C0FD9" w:rsidRPr="00CA25CF" w:rsidRDefault="002C0FD9" w:rsidP="00CA25CF">
            <w:pPr>
              <w:rPr>
                <w:rFonts w:cs="Arial"/>
                <w:color w:val="FF0000"/>
                <w:sz w:val="21"/>
                <w:szCs w:val="21"/>
              </w:rPr>
            </w:pPr>
          </w:p>
        </w:tc>
        <w:tc>
          <w:tcPr>
            <w:tcW w:w="217" w:type="dxa"/>
          </w:tcPr>
          <w:p w14:paraId="17EE10C1" w14:textId="77777777" w:rsidR="002C0FD9" w:rsidRPr="00CA25CF" w:rsidRDefault="002C0FD9" w:rsidP="00CA25CF">
            <w:pPr>
              <w:rPr>
                <w:rFonts w:cs="Arial"/>
                <w:color w:val="FF0000"/>
                <w:sz w:val="21"/>
                <w:szCs w:val="21"/>
              </w:rPr>
            </w:pPr>
          </w:p>
        </w:tc>
        <w:tc>
          <w:tcPr>
            <w:tcW w:w="217" w:type="dxa"/>
          </w:tcPr>
          <w:p w14:paraId="23057CC7" w14:textId="77777777" w:rsidR="002C0FD9" w:rsidRPr="00CA25CF" w:rsidRDefault="002C0FD9" w:rsidP="00CA25CF">
            <w:pPr>
              <w:rPr>
                <w:rFonts w:cs="Arial"/>
                <w:color w:val="FF0000"/>
                <w:sz w:val="21"/>
                <w:szCs w:val="21"/>
              </w:rPr>
            </w:pPr>
          </w:p>
        </w:tc>
        <w:tc>
          <w:tcPr>
            <w:tcW w:w="217" w:type="dxa"/>
          </w:tcPr>
          <w:p w14:paraId="2490AEC5" w14:textId="77777777" w:rsidR="002C0FD9" w:rsidRPr="00CA25CF" w:rsidRDefault="002C0FD9" w:rsidP="00CA25CF">
            <w:pPr>
              <w:rPr>
                <w:rFonts w:cs="Arial"/>
                <w:color w:val="FF0000"/>
                <w:sz w:val="21"/>
                <w:szCs w:val="21"/>
              </w:rPr>
            </w:pPr>
          </w:p>
        </w:tc>
        <w:tc>
          <w:tcPr>
            <w:tcW w:w="217" w:type="dxa"/>
          </w:tcPr>
          <w:p w14:paraId="5D8D7230" w14:textId="77777777" w:rsidR="002C0FD9" w:rsidRPr="00CA25CF" w:rsidRDefault="002C0FD9" w:rsidP="00CA25CF">
            <w:pPr>
              <w:rPr>
                <w:rFonts w:cs="Arial"/>
                <w:color w:val="FF0000"/>
                <w:sz w:val="21"/>
                <w:szCs w:val="21"/>
              </w:rPr>
            </w:pPr>
          </w:p>
        </w:tc>
        <w:tc>
          <w:tcPr>
            <w:tcW w:w="217" w:type="dxa"/>
          </w:tcPr>
          <w:p w14:paraId="1662853D" w14:textId="77777777" w:rsidR="002C0FD9" w:rsidRPr="00CA25CF" w:rsidRDefault="002C0FD9" w:rsidP="00CA25CF">
            <w:pPr>
              <w:rPr>
                <w:rFonts w:cs="Arial"/>
                <w:color w:val="FF0000"/>
                <w:sz w:val="21"/>
                <w:szCs w:val="21"/>
              </w:rPr>
            </w:pPr>
          </w:p>
        </w:tc>
        <w:tc>
          <w:tcPr>
            <w:tcW w:w="217" w:type="dxa"/>
          </w:tcPr>
          <w:p w14:paraId="5C9E3AEB" w14:textId="77777777" w:rsidR="002C0FD9" w:rsidRPr="00CA25CF" w:rsidRDefault="002C0FD9" w:rsidP="00CA25CF">
            <w:pPr>
              <w:rPr>
                <w:rFonts w:cs="Arial"/>
                <w:color w:val="FF0000"/>
                <w:sz w:val="21"/>
                <w:szCs w:val="21"/>
              </w:rPr>
            </w:pPr>
          </w:p>
        </w:tc>
        <w:tc>
          <w:tcPr>
            <w:tcW w:w="217" w:type="dxa"/>
          </w:tcPr>
          <w:p w14:paraId="3D472755" w14:textId="77777777" w:rsidR="002C0FD9" w:rsidRPr="00CA25CF" w:rsidRDefault="002C0FD9" w:rsidP="00CA25CF">
            <w:pPr>
              <w:rPr>
                <w:rFonts w:cs="Arial"/>
                <w:color w:val="FF0000"/>
                <w:sz w:val="21"/>
                <w:szCs w:val="21"/>
              </w:rPr>
            </w:pPr>
          </w:p>
        </w:tc>
        <w:tc>
          <w:tcPr>
            <w:tcW w:w="217" w:type="dxa"/>
          </w:tcPr>
          <w:p w14:paraId="6DBCB92C" w14:textId="77777777" w:rsidR="002C0FD9" w:rsidRPr="00CA25CF" w:rsidRDefault="002C0FD9" w:rsidP="00CA25CF">
            <w:pPr>
              <w:rPr>
                <w:rFonts w:cs="Arial"/>
                <w:color w:val="FF0000"/>
                <w:sz w:val="21"/>
                <w:szCs w:val="21"/>
              </w:rPr>
            </w:pPr>
          </w:p>
        </w:tc>
        <w:tc>
          <w:tcPr>
            <w:tcW w:w="217" w:type="dxa"/>
          </w:tcPr>
          <w:p w14:paraId="7C18D041" w14:textId="77777777" w:rsidR="002C0FD9" w:rsidRPr="00CA25CF" w:rsidRDefault="002C0FD9" w:rsidP="00CA25CF">
            <w:pPr>
              <w:rPr>
                <w:rFonts w:cs="Arial"/>
                <w:color w:val="FF0000"/>
                <w:sz w:val="21"/>
                <w:szCs w:val="21"/>
              </w:rPr>
            </w:pPr>
          </w:p>
        </w:tc>
        <w:tc>
          <w:tcPr>
            <w:tcW w:w="217" w:type="dxa"/>
          </w:tcPr>
          <w:p w14:paraId="5EFA56CE" w14:textId="77777777" w:rsidR="002C0FD9" w:rsidRPr="00CA25CF" w:rsidRDefault="002C0FD9" w:rsidP="00CA25CF">
            <w:pPr>
              <w:rPr>
                <w:rFonts w:cs="Arial"/>
                <w:color w:val="FF0000"/>
                <w:sz w:val="21"/>
                <w:szCs w:val="21"/>
              </w:rPr>
            </w:pPr>
          </w:p>
        </w:tc>
        <w:tc>
          <w:tcPr>
            <w:tcW w:w="217" w:type="dxa"/>
          </w:tcPr>
          <w:p w14:paraId="44E10D27" w14:textId="77777777" w:rsidR="002C0FD9" w:rsidRPr="00CA25CF" w:rsidRDefault="002C0FD9" w:rsidP="00CA25CF">
            <w:pPr>
              <w:rPr>
                <w:rFonts w:cs="Arial"/>
                <w:color w:val="FF0000"/>
                <w:sz w:val="21"/>
                <w:szCs w:val="21"/>
              </w:rPr>
            </w:pPr>
          </w:p>
        </w:tc>
        <w:tc>
          <w:tcPr>
            <w:tcW w:w="217" w:type="dxa"/>
          </w:tcPr>
          <w:p w14:paraId="08C275BA" w14:textId="77777777" w:rsidR="002C0FD9" w:rsidRPr="00CA25CF" w:rsidRDefault="002C0FD9" w:rsidP="00CA25CF">
            <w:pPr>
              <w:rPr>
                <w:rFonts w:cs="Arial"/>
                <w:color w:val="FF0000"/>
                <w:sz w:val="21"/>
                <w:szCs w:val="21"/>
              </w:rPr>
            </w:pPr>
          </w:p>
        </w:tc>
        <w:tc>
          <w:tcPr>
            <w:tcW w:w="217" w:type="dxa"/>
          </w:tcPr>
          <w:p w14:paraId="272B0AE8" w14:textId="77777777" w:rsidR="002C0FD9" w:rsidRPr="00CA25CF" w:rsidRDefault="002C0FD9" w:rsidP="00CA25CF">
            <w:pPr>
              <w:rPr>
                <w:rFonts w:cs="Arial"/>
                <w:color w:val="FF0000"/>
                <w:sz w:val="21"/>
                <w:szCs w:val="21"/>
              </w:rPr>
            </w:pPr>
          </w:p>
        </w:tc>
        <w:tc>
          <w:tcPr>
            <w:tcW w:w="217" w:type="dxa"/>
          </w:tcPr>
          <w:p w14:paraId="394E31CF" w14:textId="77777777" w:rsidR="002C0FD9" w:rsidRPr="00CA25CF" w:rsidRDefault="002C0FD9" w:rsidP="00CA25CF">
            <w:pPr>
              <w:rPr>
                <w:rFonts w:cs="Arial"/>
                <w:color w:val="FF0000"/>
                <w:sz w:val="21"/>
                <w:szCs w:val="21"/>
              </w:rPr>
            </w:pPr>
          </w:p>
        </w:tc>
        <w:tc>
          <w:tcPr>
            <w:tcW w:w="217" w:type="dxa"/>
          </w:tcPr>
          <w:p w14:paraId="07D9AFA3" w14:textId="77777777" w:rsidR="002C0FD9" w:rsidRPr="00CA25CF" w:rsidRDefault="002C0FD9" w:rsidP="00CA25CF">
            <w:pPr>
              <w:rPr>
                <w:rFonts w:cs="Arial"/>
                <w:color w:val="FF0000"/>
                <w:sz w:val="21"/>
                <w:szCs w:val="21"/>
              </w:rPr>
            </w:pPr>
          </w:p>
        </w:tc>
        <w:tc>
          <w:tcPr>
            <w:tcW w:w="217" w:type="dxa"/>
          </w:tcPr>
          <w:p w14:paraId="4533C719" w14:textId="77777777" w:rsidR="002C0FD9" w:rsidRPr="00CA25CF" w:rsidRDefault="002C0FD9" w:rsidP="00CA25CF">
            <w:pPr>
              <w:rPr>
                <w:rFonts w:cs="Arial"/>
                <w:color w:val="FF0000"/>
                <w:sz w:val="21"/>
                <w:szCs w:val="21"/>
              </w:rPr>
            </w:pPr>
          </w:p>
        </w:tc>
        <w:tc>
          <w:tcPr>
            <w:tcW w:w="217" w:type="dxa"/>
          </w:tcPr>
          <w:p w14:paraId="6E69DD7A" w14:textId="77777777" w:rsidR="002C0FD9" w:rsidRPr="00CA25CF" w:rsidRDefault="002C0FD9" w:rsidP="00CA25CF">
            <w:pPr>
              <w:rPr>
                <w:rFonts w:cs="Arial"/>
                <w:color w:val="FF0000"/>
                <w:sz w:val="21"/>
                <w:szCs w:val="21"/>
              </w:rPr>
            </w:pPr>
          </w:p>
        </w:tc>
        <w:tc>
          <w:tcPr>
            <w:tcW w:w="217" w:type="dxa"/>
          </w:tcPr>
          <w:p w14:paraId="6E627187" w14:textId="77777777" w:rsidR="002C0FD9" w:rsidRPr="00CA25CF" w:rsidRDefault="002C0FD9" w:rsidP="00CA25CF">
            <w:pPr>
              <w:rPr>
                <w:rFonts w:cs="Arial"/>
                <w:color w:val="FF0000"/>
                <w:sz w:val="21"/>
                <w:szCs w:val="21"/>
              </w:rPr>
            </w:pPr>
          </w:p>
        </w:tc>
        <w:tc>
          <w:tcPr>
            <w:tcW w:w="217" w:type="dxa"/>
          </w:tcPr>
          <w:p w14:paraId="51AA2A93" w14:textId="77777777" w:rsidR="002C0FD9" w:rsidRPr="00CA25CF" w:rsidRDefault="002C0FD9" w:rsidP="00CA25CF">
            <w:pPr>
              <w:rPr>
                <w:rFonts w:cs="Arial"/>
                <w:color w:val="FF0000"/>
                <w:sz w:val="21"/>
                <w:szCs w:val="21"/>
              </w:rPr>
            </w:pPr>
          </w:p>
        </w:tc>
        <w:tc>
          <w:tcPr>
            <w:tcW w:w="217" w:type="dxa"/>
          </w:tcPr>
          <w:p w14:paraId="08301DDA" w14:textId="77777777" w:rsidR="002C0FD9" w:rsidRPr="00CA25CF" w:rsidRDefault="002C0FD9" w:rsidP="00CA25CF">
            <w:pPr>
              <w:rPr>
                <w:rFonts w:cs="Arial"/>
                <w:color w:val="FF0000"/>
                <w:sz w:val="21"/>
                <w:szCs w:val="21"/>
              </w:rPr>
            </w:pPr>
          </w:p>
        </w:tc>
        <w:tc>
          <w:tcPr>
            <w:tcW w:w="217" w:type="dxa"/>
          </w:tcPr>
          <w:p w14:paraId="38F5DC82" w14:textId="77777777" w:rsidR="002C0FD9" w:rsidRPr="00CA25CF" w:rsidRDefault="002C0FD9" w:rsidP="00CA25CF">
            <w:pPr>
              <w:rPr>
                <w:rFonts w:cs="Arial"/>
                <w:color w:val="FF0000"/>
                <w:sz w:val="21"/>
                <w:szCs w:val="21"/>
              </w:rPr>
            </w:pPr>
          </w:p>
        </w:tc>
        <w:tc>
          <w:tcPr>
            <w:tcW w:w="217" w:type="dxa"/>
          </w:tcPr>
          <w:p w14:paraId="4B19366D" w14:textId="77777777" w:rsidR="002C0FD9" w:rsidRPr="00CA25CF" w:rsidRDefault="002C0FD9" w:rsidP="00CA25CF">
            <w:pPr>
              <w:rPr>
                <w:rFonts w:cs="Arial"/>
                <w:color w:val="FF0000"/>
                <w:sz w:val="21"/>
                <w:szCs w:val="21"/>
              </w:rPr>
            </w:pPr>
          </w:p>
        </w:tc>
        <w:tc>
          <w:tcPr>
            <w:tcW w:w="217" w:type="dxa"/>
          </w:tcPr>
          <w:p w14:paraId="2149CD37" w14:textId="77777777" w:rsidR="002C0FD9" w:rsidRPr="00CA25CF" w:rsidRDefault="002C0FD9" w:rsidP="00CA25CF">
            <w:pPr>
              <w:rPr>
                <w:rFonts w:cs="Arial"/>
                <w:color w:val="FF0000"/>
                <w:sz w:val="21"/>
                <w:szCs w:val="21"/>
              </w:rPr>
            </w:pPr>
          </w:p>
        </w:tc>
        <w:tc>
          <w:tcPr>
            <w:tcW w:w="217" w:type="dxa"/>
          </w:tcPr>
          <w:p w14:paraId="275273C0" w14:textId="77777777" w:rsidR="002C0FD9" w:rsidRPr="00CA25CF" w:rsidRDefault="002C0FD9" w:rsidP="00CA25CF">
            <w:pPr>
              <w:rPr>
                <w:rFonts w:cs="Arial"/>
                <w:color w:val="FF0000"/>
                <w:sz w:val="21"/>
                <w:szCs w:val="21"/>
              </w:rPr>
            </w:pPr>
          </w:p>
        </w:tc>
        <w:tc>
          <w:tcPr>
            <w:tcW w:w="217" w:type="dxa"/>
          </w:tcPr>
          <w:p w14:paraId="212F4C24" w14:textId="77777777" w:rsidR="002C0FD9" w:rsidRPr="00CA25CF" w:rsidRDefault="002C0FD9" w:rsidP="00CA25CF">
            <w:pPr>
              <w:rPr>
                <w:rFonts w:cs="Arial"/>
                <w:color w:val="FF0000"/>
                <w:sz w:val="21"/>
                <w:szCs w:val="21"/>
              </w:rPr>
            </w:pPr>
          </w:p>
        </w:tc>
        <w:tc>
          <w:tcPr>
            <w:tcW w:w="217" w:type="dxa"/>
          </w:tcPr>
          <w:p w14:paraId="2E88CE2E" w14:textId="77777777" w:rsidR="002C0FD9" w:rsidRPr="00CA25CF" w:rsidRDefault="002C0FD9" w:rsidP="00CA25CF">
            <w:pPr>
              <w:rPr>
                <w:rFonts w:cs="Arial"/>
                <w:color w:val="FF0000"/>
                <w:sz w:val="21"/>
                <w:szCs w:val="21"/>
              </w:rPr>
            </w:pPr>
          </w:p>
        </w:tc>
        <w:tc>
          <w:tcPr>
            <w:tcW w:w="217" w:type="dxa"/>
          </w:tcPr>
          <w:p w14:paraId="515A9107" w14:textId="77777777" w:rsidR="002C0FD9" w:rsidRPr="00CA25CF" w:rsidRDefault="002C0FD9" w:rsidP="00CA25CF">
            <w:pPr>
              <w:rPr>
                <w:rFonts w:cs="Arial"/>
                <w:color w:val="FF0000"/>
                <w:sz w:val="21"/>
                <w:szCs w:val="21"/>
              </w:rPr>
            </w:pPr>
          </w:p>
        </w:tc>
        <w:tc>
          <w:tcPr>
            <w:tcW w:w="217" w:type="dxa"/>
          </w:tcPr>
          <w:p w14:paraId="1A7A9CFA" w14:textId="77777777" w:rsidR="002C0FD9" w:rsidRPr="00CA25CF" w:rsidRDefault="002C0FD9" w:rsidP="00CA25CF">
            <w:pPr>
              <w:rPr>
                <w:rFonts w:cs="Arial"/>
                <w:color w:val="FF0000"/>
                <w:sz w:val="21"/>
                <w:szCs w:val="21"/>
              </w:rPr>
            </w:pPr>
          </w:p>
        </w:tc>
        <w:tc>
          <w:tcPr>
            <w:tcW w:w="217" w:type="dxa"/>
          </w:tcPr>
          <w:p w14:paraId="6CE4D7B8" w14:textId="77777777" w:rsidR="002C0FD9" w:rsidRPr="00CA25CF" w:rsidRDefault="002C0FD9" w:rsidP="00CA25CF">
            <w:pPr>
              <w:rPr>
                <w:rFonts w:cs="Arial"/>
                <w:color w:val="FF0000"/>
                <w:sz w:val="21"/>
                <w:szCs w:val="21"/>
              </w:rPr>
            </w:pPr>
          </w:p>
        </w:tc>
        <w:tc>
          <w:tcPr>
            <w:tcW w:w="217" w:type="dxa"/>
          </w:tcPr>
          <w:p w14:paraId="223490D4" w14:textId="77777777" w:rsidR="002C0FD9" w:rsidRPr="00CA25CF" w:rsidRDefault="002C0FD9" w:rsidP="00CA25CF">
            <w:pPr>
              <w:rPr>
                <w:rFonts w:cs="Arial"/>
                <w:color w:val="FF0000"/>
                <w:sz w:val="21"/>
                <w:szCs w:val="21"/>
              </w:rPr>
            </w:pPr>
          </w:p>
        </w:tc>
        <w:tc>
          <w:tcPr>
            <w:tcW w:w="217" w:type="dxa"/>
          </w:tcPr>
          <w:p w14:paraId="55A4C68B" w14:textId="77777777" w:rsidR="002C0FD9" w:rsidRPr="00CA25CF" w:rsidRDefault="002C0FD9" w:rsidP="00CA25CF">
            <w:pPr>
              <w:rPr>
                <w:rFonts w:cs="Arial"/>
                <w:color w:val="FF0000"/>
                <w:sz w:val="21"/>
                <w:szCs w:val="21"/>
              </w:rPr>
            </w:pPr>
          </w:p>
        </w:tc>
        <w:tc>
          <w:tcPr>
            <w:tcW w:w="217" w:type="dxa"/>
          </w:tcPr>
          <w:p w14:paraId="2D619ECF" w14:textId="77777777" w:rsidR="002C0FD9" w:rsidRPr="00CA25CF" w:rsidRDefault="002C0FD9" w:rsidP="00CA25CF">
            <w:pPr>
              <w:rPr>
                <w:rFonts w:cs="Arial"/>
                <w:color w:val="FF0000"/>
                <w:sz w:val="21"/>
                <w:szCs w:val="21"/>
              </w:rPr>
            </w:pPr>
          </w:p>
        </w:tc>
      </w:tr>
      <w:tr w:rsidR="002C0FD9" w:rsidRPr="00A16219" w14:paraId="7EFE4F6A" w14:textId="77777777" w:rsidTr="002C0FD9">
        <w:trPr>
          <w:trHeight w:val="635"/>
        </w:trPr>
        <w:tc>
          <w:tcPr>
            <w:tcW w:w="515" w:type="dxa"/>
          </w:tcPr>
          <w:p w14:paraId="112170CB" w14:textId="77777777" w:rsidR="002C0FD9" w:rsidRPr="00CA25CF" w:rsidRDefault="002C0FD9" w:rsidP="00CA25CF">
            <w:pPr>
              <w:rPr>
                <w:rFonts w:cs="Arial"/>
                <w:color w:val="FF0000"/>
                <w:sz w:val="21"/>
                <w:szCs w:val="21"/>
              </w:rPr>
            </w:pPr>
          </w:p>
        </w:tc>
        <w:tc>
          <w:tcPr>
            <w:tcW w:w="217" w:type="dxa"/>
          </w:tcPr>
          <w:p w14:paraId="4AF0CFF9" w14:textId="77777777" w:rsidR="002C0FD9" w:rsidRPr="00CA25CF" w:rsidRDefault="002C0FD9" w:rsidP="00CA25CF">
            <w:pPr>
              <w:rPr>
                <w:rFonts w:cs="Arial"/>
                <w:color w:val="FF0000"/>
                <w:sz w:val="21"/>
                <w:szCs w:val="21"/>
              </w:rPr>
            </w:pPr>
          </w:p>
        </w:tc>
        <w:tc>
          <w:tcPr>
            <w:tcW w:w="217" w:type="dxa"/>
          </w:tcPr>
          <w:p w14:paraId="13674E17" w14:textId="77777777" w:rsidR="002C0FD9" w:rsidRPr="00CA25CF" w:rsidRDefault="002C0FD9" w:rsidP="00CA25CF">
            <w:pPr>
              <w:rPr>
                <w:rFonts w:cs="Arial"/>
                <w:color w:val="FF0000"/>
                <w:sz w:val="21"/>
                <w:szCs w:val="21"/>
              </w:rPr>
            </w:pPr>
          </w:p>
        </w:tc>
        <w:tc>
          <w:tcPr>
            <w:tcW w:w="217" w:type="dxa"/>
          </w:tcPr>
          <w:p w14:paraId="7D2B7888" w14:textId="77777777" w:rsidR="002C0FD9" w:rsidRPr="00CA25CF" w:rsidRDefault="002C0FD9" w:rsidP="00CA25CF">
            <w:pPr>
              <w:rPr>
                <w:rFonts w:cs="Arial"/>
                <w:color w:val="FF0000"/>
                <w:sz w:val="21"/>
                <w:szCs w:val="21"/>
              </w:rPr>
            </w:pPr>
          </w:p>
        </w:tc>
        <w:tc>
          <w:tcPr>
            <w:tcW w:w="217" w:type="dxa"/>
          </w:tcPr>
          <w:p w14:paraId="07BBF1BF" w14:textId="77777777" w:rsidR="002C0FD9" w:rsidRPr="00CA25CF" w:rsidRDefault="002C0FD9" w:rsidP="00CA25CF">
            <w:pPr>
              <w:rPr>
                <w:rFonts w:cs="Arial"/>
                <w:color w:val="FF0000"/>
                <w:sz w:val="21"/>
                <w:szCs w:val="21"/>
              </w:rPr>
            </w:pPr>
          </w:p>
        </w:tc>
        <w:tc>
          <w:tcPr>
            <w:tcW w:w="217" w:type="dxa"/>
          </w:tcPr>
          <w:p w14:paraId="5035D4EC" w14:textId="77777777" w:rsidR="002C0FD9" w:rsidRPr="00CA25CF" w:rsidRDefault="002C0FD9" w:rsidP="00CA25CF">
            <w:pPr>
              <w:rPr>
                <w:rFonts w:cs="Arial"/>
                <w:color w:val="FF0000"/>
                <w:sz w:val="21"/>
                <w:szCs w:val="21"/>
              </w:rPr>
            </w:pPr>
          </w:p>
        </w:tc>
        <w:tc>
          <w:tcPr>
            <w:tcW w:w="217" w:type="dxa"/>
          </w:tcPr>
          <w:p w14:paraId="3C3645D7" w14:textId="77777777" w:rsidR="002C0FD9" w:rsidRPr="00CA25CF" w:rsidRDefault="002C0FD9" w:rsidP="00CA25CF">
            <w:pPr>
              <w:rPr>
                <w:rFonts w:cs="Arial"/>
                <w:color w:val="FF0000"/>
                <w:sz w:val="21"/>
                <w:szCs w:val="21"/>
              </w:rPr>
            </w:pPr>
          </w:p>
        </w:tc>
        <w:tc>
          <w:tcPr>
            <w:tcW w:w="217" w:type="dxa"/>
          </w:tcPr>
          <w:p w14:paraId="0922165C" w14:textId="77777777" w:rsidR="002C0FD9" w:rsidRPr="00CA25CF" w:rsidRDefault="002C0FD9" w:rsidP="00CA25CF">
            <w:pPr>
              <w:rPr>
                <w:rFonts w:cs="Arial"/>
                <w:color w:val="FF0000"/>
                <w:sz w:val="21"/>
                <w:szCs w:val="21"/>
              </w:rPr>
            </w:pPr>
          </w:p>
        </w:tc>
        <w:tc>
          <w:tcPr>
            <w:tcW w:w="217" w:type="dxa"/>
          </w:tcPr>
          <w:p w14:paraId="7BC0854F" w14:textId="77777777" w:rsidR="002C0FD9" w:rsidRPr="00CA25CF" w:rsidRDefault="002C0FD9" w:rsidP="00CA25CF">
            <w:pPr>
              <w:rPr>
                <w:rFonts w:cs="Arial"/>
                <w:color w:val="FF0000"/>
                <w:sz w:val="21"/>
                <w:szCs w:val="21"/>
              </w:rPr>
            </w:pPr>
          </w:p>
        </w:tc>
        <w:tc>
          <w:tcPr>
            <w:tcW w:w="217" w:type="dxa"/>
          </w:tcPr>
          <w:p w14:paraId="23C72941" w14:textId="77777777" w:rsidR="002C0FD9" w:rsidRPr="00CA25CF" w:rsidRDefault="002C0FD9" w:rsidP="00CA25CF">
            <w:pPr>
              <w:rPr>
                <w:rFonts w:cs="Arial"/>
                <w:color w:val="FF0000"/>
                <w:sz w:val="21"/>
                <w:szCs w:val="21"/>
              </w:rPr>
            </w:pPr>
          </w:p>
        </w:tc>
        <w:tc>
          <w:tcPr>
            <w:tcW w:w="217" w:type="dxa"/>
          </w:tcPr>
          <w:p w14:paraId="2A865857" w14:textId="77777777" w:rsidR="002C0FD9" w:rsidRPr="00CA25CF" w:rsidRDefault="002C0FD9" w:rsidP="00CA25CF">
            <w:pPr>
              <w:rPr>
                <w:rFonts w:cs="Arial"/>
                <w:color w:val="FF0000"/>
                <w:sz w:val="21"/>
                <w:szCs w:val="21"/>
              </w:rPr>
            </w:pPr>
          </w:p>
        </w:tc>
        <w:tc>
          <w:tcPr>
            <w:tcW w:w="217" w:type="dxa"/>
          </w:tcPr>
          <w:p w14:paraId="7EF7BE25" w14:textId="77777777" w:rsidR="002C0FD9" w:rsidRPr="00CA25CF" w:rsidRDefault="002C0FD9" w:rsidP="00CA25CF">
            <w:pPr>
              <w:rPr>
                <w:rFonts w:cs="Arial"/>
                <w:color w:val="FF0000"/>
                <w:sz w:val="21"/>
                <w:szCs w:val="21"/>
              </w:rPr>
            </w:pPr>
          </w:p>
        </w:tc>
        <w:tc>
          <w:tcPr>
            <w:tcW w:w="217" w:type="dxa"/>
          </w:tcPr>
          <w:p w14:paraId="014688A8" w14:textId="77777777" w:rsidR="002C0FD9" w:rsidRPr="00CA25CF" w:rsidRDefault="002C0FD9" w:rsidP="00CA25CF">
            <w:pPr>
              <w:rPr>
                <w:rFonts w:cs="Arial"/>
                <w:color w:val="FF0000"/>
                <w:sz w:val="21"/>
                <w:szCs w:val="21"/>
              </w:rPr>
            </w:pPr>
          </w:p>
        </w:tc>
        <w:tc>
          <w:tcPr>
            <w:tcW w:w="217" w:type="dxa"/>
          </w:tcPr>
          <w:p w14:paraId="09F54836" w14:textId="77777777" w:rsidR="002C0FD9" w:rsidRPr="00CA25CF" w:rsidRDefault="002C0FD9" w:rsidP="00CA25CF">
            <w:pPr>
              <w:rPr>
                <w:rFonts w:cs="Arial"/>
                <w:color w:val="FF0000"/>
                <w:sz w:val="21"/>
                <w:szCs w:val="21"/>
              </w:rPr>
            </w:pPr>
          </w:p>
        </w:tc>
        <w:tc>
          <w:tcPr>
            <w:tcW w:w="217" w:type="dxa"/>
          </w:tcPr>
          <w:p w14:paraId="21DFF56B" w14:textId="77777777" w:rsidR="002C0FD9" w:rsidRPr="00CA25CF" w:rsidRDefault="002C0FD9" w:rsidP="00CA25CF">
            <w:pPr>
              <w:rPr>
                <w:rFonts w:cs="Arial"/>
                <w:color w:val="FF0000"/>
                <w:sz w:val="21"/>
                <w:szCs w:val="21"/>
              </w:rPr>
            </w:pPr>
          </w:p>
        </w:tc>
        <w:tc>
          <w:tcPr>
            <w:tcW w:w="217" w:type="dxa"/>
          </w:tcPr>
          <w:p w14:paraId="27D6D8E3" w14:textId="77777777" w:rsidR="002C0FD9" w:rsidRPr="00CA25CF" w:rsidRDefault="002C0FD9" w:rsidP="00CA25CF">
            <w:pPr>
              <w:rPr>
                <w:rFonts w:cs="Arial"/>
                <w:color w:val="FF0000"/>
                <w:sz w:val="21"/>
                <w:szCs w:val="21"/>
              </w:rPr>
            </w:pPr>
          </w:p>
        </w:tc>
        <w:tc>
          <w:tcPr>
            <w:tcW w:w="217" w:type="dxa"/>
          </w:tcPr>
          <w:p w14:paraId="784B3179" w14:textId="77777777" w:rsidR="002C0FD9" w:rsidRPr="00CA25CF" w:rsidRDefault="002C0FD9" w:rsidP="00CA25CF">
            <w:pPr>
              <w:rPr>
                <w:rFonts w:cs="Arial"/>
                <w:color w:val="FF0000"/>
                <w:sz w:val="21"/>
                <w:szCs w:val="21"/>
              </w:rPr>
            </w:pPr>
          </w:p>
        </w:tc>
        <w:tc>
          <w:tcPr>
            <w:tcW w:w="217" w:type="dxa"/>
          </w:tcPr>
          <w:p w14:paraId="77B5EF92" w14:textId="77777777" w:rsidR="002C0FD9" w:rsidRPr="00CA25CF" w:rsidRDefault="002C0FD9" w:rsidP="00CA25CF">
            <w:pPr>
              <w:rPr>
                <w:rFonts w:cs="Arial"/>
                <w:color w:val="FF0000"/>
                <w:sz w:val="21"/>
                <w:szCs w:val="21"/>
              </w:rPr>
            </w:pPr>
          </w:p>
        </w:tc>
        <w:tc>
          <w:tcPr>
            <w:tcW w:w="217" w:type="dxa"/>
          </w:tcPr>
          <w:p w14:paraId="19B498D2" w14:textId="77777777" w:rsidR="002C0FD9" w:rsidRPr="00CA25CF" w:rsidRDefault="002C0FD9" w:rsidP="00CA25CF">
            <w:pPr>
              <w:rPr>
                <w:rFonts w:cs="Arial"/>
                <w:color w:val="FF0000"/>
                <w:sz w:val="21"/>
                <w:szCs w:val="21"/>
              </w:rPr>
            </w:pPr>
          </w:p>
        </w:tc>
        <w:tc>
          <w:tcPr>
            <w:tcW w:w="217" w:type="dxa"/>
          </w:tcPr>
          <w:p w14:paraId="40576F9B" w14:textId="77777777" w:rsidR="002C0FD9" w:rsidRPr="00CA25CF" w:rsidRDefault="002C0FD9" w:rsidP="00CA25CF">
            <w:pPr>
              <w:rPr>
                <w:rFonts w:cs="Arial"/>
                <w:color w:val="FF0000"/>
                <w:sz w:val="21"/>
                <w:szCs w:val="21"/>
              </w:rPr>
            </w:pPr>
          </w:p>
        </w:tc>
        <w:tc>
          <w:tcPr>
            <w:tcW w:w="217" w:type="dxa"/>
          </w:tcPr>
          <w:p w14:paraId="75615370" w14:textId="77777777" w:rsidR="002C0FD9" w:rsidRPr="00CA25CF" w:rsidRDefault="002C0FD9" w:rsidP="00CA25CF">
            <w:pPr>
              <w:rPr>
                <w:rFonts w:cs="Arial"/>
                <w:color w:val="FF0000"/>
                <w:sz w:val="21"/>
                <w:szCs w:val="21"/>
              </w:rPr>
            </w:pPr>
          </w:p>
        </w:tc>
        <w:tc>
          <w:tcPr>
            <w:tcW w:w="217" w:type="dxa"/>
          </w:tcPr>
          <w:p w14:paraId="31CAF07E" w14:textId="77777777" w:rsidR="002C0FD9" w:rsidRPr="00CA25CF" w:rsidRDefault="002C0FD9" w:rsidP="00CA25CF">
            <w:pPr>
              <w:rPr>
                <w:rFonts w:cs="Arial"/>
                <w:color w:val="FF0000"/>
                <w:sz w:val="21"/>
                <w:szCs w:val="21"/>
              </w:rPr>
            </w:pPr>
          </w:p>
        </w:tc>
        <w:tc>
          <w:tcPr>
            <w:tcW w:w="217" w:type="dxa"/>
          </w:tcPr>
          <w:p w14:paraId="5178CE8A" w14:textId="77777777" w:rsidR="002C0FD9" w:rsidRPr="00CA25CF" w:rsidRDefault="002C0FD9" w:rsidP="00CA25CF">
            <w:pPr>
              <w:rPr>
                <w:rFonts w:cs="Arial"/>
                <w:color w:val="FF0000"/>
                <w:sz w:val="21"/>
                <w:szCs w:val="21"/>
              </w:rPr>
            </w:pPr>
          </w:p>
        </w:tc>
        <w:tc>
          <w:tcPr>
            <w:tcW w:w="217" w:type="dxa"/>
          </w:tcPr>
          <w:p w14:paraId="229869E3" w14:textId="77777777" w:rsidR="002C0FD9" w:rsidRPr="00CA25CF" w:rsidRDefault="002C0FD9" w:rsidP="00CA25CF">
            <w:pPr>
              <w:rPr>
                <w:rFonts w:cs="Arial"/>
                <w:color w:val="FF0000"/>
                <w:sz w:val="21"/>
                <w:szCs w:val="21"/>
              </w:rPr>
            </w:pPr>
          </w:p>
        </w:tc>
        <w:tc>
          <w:tcPr>
            <w:tcW w:w="217" w:type="dxa"/>
          </w:tcPr>
          <w:p w14:paraId="4C22F691" w14:textId="77777777" w:rsidR="002C0FD9" w:rsidRPr="00CA25CF" w:rsidRDefault="002C0FD9" w:rsidP="00CA25CF">
            <w:pPr>
              <w:rPr>
                <w:rFonts w:cs="Arial"/>
                <w:color w:val="FF0000"/>
                <w:sz w:val="21"/>
                <w:szCs w:val="21"/>
              </w:rPr>
            </w:pPr>
          </w:p>
        </w:tc>
        <w:tc>
          <w:tcPr>
            <w:tcW w:w="217" w:type="dxa"/>
          </w:tcPr>
          <w:p w14:paraId="7459EEFE" w14:textId="77777777" w:rsidR="002C0FD9" w:rsidRPr="00CA25CF" w:rsidRDefault="002C0FD9" w:rsidP="00CA25CF">
            <w:pPr>
              <w:rPr>
                <w:rFonts w:cs="Arial"/>
                <w:color w:val="FF0000"/>
                <w:sz w:val="21"/>
                <w:szCs w:val="21"/>
              </w:rPr>
            </w:pPr>
          </w:p>
        </w:tc>
        <w:tc>
          <w:tcPr>
            <w:tcW w:w="217" w:type="dxa"/>
          </w:tcPr>
          <w:p w14:paraId="393269B4" w14:textId="77777777" w:rsidR="002C0FD9" w:rsidRPr="00CA25CF" w:rsidRDefault="002C0FD9" w:rsidP="00CA25CF">
            <w:pPr>
              <w:rPr>
                <w:rFonts w:cs="Arial"/>
                <w:color w:val="FF0000"/>
                <w:sz w:val="21"/>
                <w:szCs w:val="21"/>
              </w:rPr>
            </w:pPr>
          </w:p>
        </w:tc>
        <w:tc>
          <w:tcPr>
            <w:tcW w:w="217" w:type="dxa"/>
          </w:tcPr>
          <w:p w14:paraId="5E0DF9BA" w14:textId="77777777" w:rsidR="002C0FD9" w:rsidRPr="00CA25CF" w:rsidRDefault="002C0FD9" w:rsidP="00CA25CF">
            <w:pPr>
              <w:rPr>
                <w:rFonts w:cs="Arial"/>
                <w:color w:val="FF0000"/>
                <w:sz w:val="21"/>
                <w:szCs w:val="21"/>
              </w:rPr>
            </w:pPr>
          </w:p>
        </w:tc>
        <w:tc>
          <w:tcPr>
            <w:tcW w:w="217" w:type="dxa"/>
          </w:tcPr>
          <w:p w14:paraId="59323E85" w14:textId="77777777" w:rsidR="002C0FD9" w:rsidRPr="00CA25CF" w:rsidRDefault="002C0FD9" w:rsidP="00CA25CF">
            <w:pPr>
              <w:rPr>
                <w:rFonts w:cs="Arial"/>
                <w:color w:val="FF0000"/>
                <w:sz w:val="21"/>
                <w:szCs w:val="21"/>
              </w:rPr>
            </w:pPr>
          </w:p>
        </w:tc>
        <w:tc>
          <w:tcPr>
            <w:tcW w:w="217" w:type="dxa"/>
          </w:tcPr>
          <w:p w14:paraId="77954802" w14:textId="77777777" w:rsidR="002C0FD9" w:rsidRPr="00CA25CF" w:rsidRDefault="002C0FD9" w:rsidP="00CA25CF">
            <w:pPr>
              <w:rPr>
                <w:rFonts w:cs="Arial"/>
                <w:color w:val="FF0000"/>
                <w:sz w:val="21"/>
                <w:szCs w:val="21"/>
              </w:rPr>
            </w:pPr>
          </w:p>
        </w:tc>
        <w:tc>
          <w:tcPr>
            <w:tcW w:w="217" w:type="dxa"/>
          </w:tcPr>
          <w:p w14:paraId="34F870CF" w14:textId="77777777" w:rsidR="002C0FD9" w:rsidRPr="00CA25CF" w:rsidRDefault="002C0FD9" w:rsidP="00CA25CF">
            <w:pPr>
              <w:rPr>
                <w:rFonts w:cs="Arial"/>
                <w:color w:val="FF0000"/>
                <w:sz w:val="21"/>
                <w:szCs w:val="21"/>
              </w:rPr>
            </w:pPr>
          </w:p>
        </w:tc>
        <w:tc>
          <w:tcPr>
            <w:tcW w:w="217" w:type="dxa"/>
          </w:tcPr>
          <w:p w14:paraId="3A0C873F" w14:textId="77777777" w:rsidR="002C0FD9" w:rsidRPr="00CA25CF" w:rsidRDefault="002C0FD9" w:rsidP="00CA25CF">
            <w:pPr>
              <w:rPr>
                <w:rFonts w:cs="Arial"/>
                <w:color w:val="FF0000"/>
                <w:sz w:val="21"/>
                <w:szCs w:val="21"/>
              </w:rPr>
            </w:pPr>
          </w:p>
        </w:tc>
        <w:tc>
          <w:tcPr>
            <w:tcW w:w="217" w:type="dxa"/>
          </w:tcPr>
          <w:p w14:paraId="0DAD51C2" w14:textId="77777777" w:rsidR="002C0FD9" w:rsidRPr="00CA25CF" w:rsidRDefault="002C0FD9" w:rsidP="00CA25CF">
            <w:pPr>
              <w:rPr>
                <w:rFonts w:cs="Arial"/>
                <w:color w:val="FF0000"/>
                <w:sz w:val="21"/>
                <w:szCs w:val="21"/>
              </w:rPr>
            </w:pPr>
          </w:p>
        </w:tc>
        <w:tc>
          <w:tcPr>
            <w:tcW w:w="217" w:type="dxa"/>
          </w:tcPr>
          <w:p w14:paraId="4D263919" w14:textId="77777777" w:rsidR="002C0FD9" w:rsidRPr="00CA25CF" w:rsidRDefault="002C0FD9" w:rsidP="00CA25CF">
            <w:pPr>
              <w:rPr>
                <w:rFonts w:cs="Arial"/>
                <w:color w:val="FF0000"/>
                <w:sz w:val="21"/>
                <w:szCs w:val="21"/>
              </w:rPr>
            </w:pPr>
          </w:p>
        </w:tc>
        <w:tc>
          <w:tcPr>
            <w:tcW w:w="217" w:type="dxa"/>
          </w:tcPr>
          <w:p w14:paraId="4E6941B5" w14:textId="77777777" w:rsidR="002C0FD9" w:rsidRPr="00CA25CF" w:rsidRDefault="002C0FD9" w:rsidP="00CA25CF">
            <w:pPr>
              <w:rPr>
                <w:rFonts w:cs="Arial"/>
                <w:color w:val="FF0000"/>
                <w:sz w:val="21"/>
                <w:szCs w:val="21"/>
              </w:rPr>
            </w:pPr>
          </w:p>
        </w:tc>
        <w:tc>
          <w:tcPr>
            <w:tcW w:w="217" w:type="dxa"/>
          </w:tcPr>
          <w:p w14:paraId="370A9D7D" w14:textId="77777777" w:rsidR="002C0FD9" w:rsidRPr="00CA25CF" w:rsidRDefault="002C0FD9" w:rsidP="00CA25CF">
            <w:pPr>
              <w:rPr>
                <w:rFonts w:cs="Arial"/>
                <w:color w:val="FF0000"/>
                <w:sz w:val="21"/>
                <w:szCs w:val="21"/>
              </w:rPr>
            </w:pPr>
          </w:p>
        </w:tc>
        <w:tc>
          <w:tcPr>
            <w:tcW w:w="217" w:type="dxa"/>
          </w:tcPr>
          <w:p w14:paraId="2D488AFE" w14:textId="77777777" w:rsidR="002C0FD9" w:rsidRPr="00CA25CF" w:rsidRDefault="002C0FD9" w:rsidP="00CA25CF">
            <w:pPr>
              <w:rPr>
                <w:rFonts w:cs="Arial"/>
                <w:color w:val="FF0000"/>
                <w:sz w:val="21"/>
                <w:szCs w:val="21"/>
              </w:rPr>
            </w:pPr>
          </w:p>
        </w:tc>
        <w:tc>
          <w:tcPr>
            <w:tcW w:w="217" w:type="dxa"/>
          </w:tcPr>
          <w:p w14:paraId="53091028" w14:textId="77777777" w:rsidR="002C0FD9" w:rsidRPr="00CA25CF" w:rsidRDefault="002C0FD9" w:rsidP="00CA25CF">
            <w:pPr>
              <w:rPr>
                <w:rFonts w:cs="Arial"/>
                <w:color w:val="FF0000"/>
                <w:sz w:val="21"/>
                <w:szCs w:val="21"/>
              </w:rPr>
            </w:pPr>
          </w:p>
        </w:tc>
        <w:tc>
          <w:tcPr>
            <w:tcW w:w="217" w:type="dxa"/>
          </w:tcPr>
          <w:p w14:paraId="1DBDBF3A" w14:textId="77777777" w:rsidR="002C0FD9" w:rsidRPr="00CA25CF" w:rsidRDefault="002C0FD9" w:rsidP="00CA25CF">
            <w:pPr>
              <w:rPr>
                <w:rFonts w:cs="Arial"/>
                <w:color w:val="FF0000"/>
                <w:sz w:val="21"/>
                <w:szCs w:val="21"/>
              </w:rPr>
            </w:pPr>
          </w:p>
        </w:tc>
        <w:tc>
          <w:tcPr>
            <w:tcW w:w="217" w:type="dxa"/>
          </w:tcPr>
          <w:p w14:paraId="135DCEBE" w14:textId="77777777" w:rsidR="002C0FD9" w:rsidRPr="00CA25CF" w:rsidRDefault="002C0FD9" w:rsidP="00CA25CF">
            <w:pPr>
              <w:rPr>
                <w:rFonts w:cs="Arial"/>
                <w:color w:val="FF0000"/>
                <w:sz w:val="21"/>
                <w:szCs w:val="21"/>
              </w:rPr>
            </w:pPr>
          </w:p>
        </w:tc>
        <w:tc>
          <w:tcPr>
            <w:tcW w:w="217" w:type="dxa"/>
          </w:tcPr>
          <w:p w14:paraId="10D10B1E" w14:textId="77777777" w:rsidR="002C0FD9" w:rsidRPr="00CA25CF" w:rsidRDefault="002C0FD9" w:rsidP="00CA25CF">
            <w:pPr>
              <w:rPr>
                <w:rFonts w:cs="Arial"/>
                <w:color w:val="FF0000"/>
                <w:sz w:val="21"/>
                <w:szCs w:val="21"/>
              </w:rPr>
            </w:pPr>
          </w:p>
        </w:tc>
        <w:tc>
          <w:tcPr>
            <w:tcW w:w="217" w:type="dxa"/>
          </w:tcPr>
          <w:p w14:paraId="3EA44B4D" w14:textId="77777777" w:rsidR="002C0FD9" w:rsidRPr="00CA25CF" w:rsidRDefault="002C0FD9" w:rsidP="00CA25CF">
            <w:pPr>
              <w:rPr>
                <w:rFonts w:cs="Arial"/>
                <w:color w:val="FF0000"/>
                <w:sz w:val="21"/>
                <w:szCs w:val="21"/>
              </w:rPr>
            </w:pPr>
          </w:p>
        </w:tc>
        <w:tc>
          <w:tcPr>
            <w:tcW w:w="217" w:type="dxa"/>
          </w:tcPr>
          <w:p w14:paraId="3FE994CD" w14:textId="77777777" w:rsidR="002C0FD9" w:rsidRPr="00CA25CF" w:rsidRDefault="002C0FD9" w:rsidP="00CA25CF">
            <w:pPr>
              <w:rPr>
                <w:rFonts w:cs="Arial"/>
                <w:color w:val="FF0000"/>
                <w:sz w:val="21"/>
                <w:szCs w:val="21"/>
              </w:rPr>
            </w:pPr>
          </w:p>
        </w:tc>
      </w:tr>
      <w:tr w:rsidR="002C0FD9" w:rsidRPr="00A16219" w14:paraId="1938F2AE" w14:textId="77777777" w:rsidTr="002C0FD9">
        <w:trPr>
          <w:trHeight w:val="635"/>
        </w:trPr>
        <w:tc>
          <w:tcPr>
            <w:tcW w:w="515" w:type="dxa"/>
          </w:tcPr>
          <w:p w14:paraId="7D3998A1" w14:textId="77777777" w:rsidR="002C0FD9" w:rsidRPr="00CA25CF" w:rsidRDefault="002C0FD9" w:rsidP="00CA25CF">
            <w:pPr>
              <w:rPr>
                <w:rFonts w:cs="Arial"/>
                <w:color w:val="FF0000"/>
                <w:sz w:val="21"/>
                <w:szCs w:val="21"/>
              </w:rPr>
            </w:pPr>
          </w:p>
        </w:tc>
        <w:tc>
          <w:tcPr>
            <w:tcW w:w="217" w:type="dxa"/>
          </w:tcPr>
          <w:p w14:paraId="25A153BF" w14:textId="77777777" w:rsidR="002C0FD9" w:rsidRPr="00CA25CF" w:rsidRDefault="002C0FD9" w:rsidP="00CA25CF">
            <w:pPr>
              <w:rPr>
                <w:rFonts w:cs="Arial"/>
                <w:color w:val="FF0000"/>
                <w:sz w:val="21"/>
                <w:szCs w:val="21"/>
              </w:rPr>
            </w:pPr>
          </w:p>
        </w:tc>
        <w:tc>
          <w:tcPr>
            <w:tcW w:w="217" w:type="dxa"/>
          </w:tcPr>
          <w:p w14:paraId="39169895" w14:textId="77777777" w:rsidR="002C0FD9" w:rsidRPr="00CA25CF" w:rsidRDefault="002C0FD9" w:rsidP="00CA25CF">
            <w:pPr>
              <w:rPr>
                <w:rFonts w:cs="Arial"/>
                <w:color w:val="FF0000"/>
                <w:sz w:val="21"/>
                <w:szCs w:val="21"/>
              </w:rPr>
            </w:pPr>
          </w:p>
        </w:tc>
        <w:tc>
          <w:tcPr>
            <w:tcW w:w="217" w:type="dxa"/>
          </w:tcPr>
          <w:p w14:paraId="32E86FEF" w14:textId="77777777" w:rsidR="002C0FD9" w:rsidRPr="00CA25CF" w:rsidRDefault="002C0FD9" w:rsidP="00CA25CF">
            <w:pPr>
              <w:rPr>
                <w:rFonts w:cs="Arial"/>
                <w:color w:val="FF0000"/>
                <w:sz w:val="21"/>
                <w:szCs w:val="21"/>
              </w:rPr>
            </w:pPr>
          </w:p>
        </w:tc>
        <w:tc>
          <w:tcPr>
            <w:tcW w:w="217" w:type="dxa"/>
          </w:tcPr>
          <w:p w14:paraId="1A1AFB91" w14:textId="77777777" w:rsidR="002C0FD9" w:rsidRPr="00CA25CF" w:rsidRDefault="002C0FD9" w:rsidP="00CA25CF">
            <w:pPr>
              <w:rPr>
                <w:rFonts w:cs="Arial"/>
                <w:color w:val="FF0000"/>
                <w:sz w:val="21"/>
                <w:szCs w:val="21"/>
              </w:rPr>
            </w:pPr>
          </w:p>
        </w:tc>
        <w:tc>
          <w:tcPr>
            <w:tcW w:w="217" w:type="dxa"/>
          </w:tcPr>
          <w:p w14:paraId="1831B80E" w14:textId="77777777" w:rsidR="002C0FD9" w:rsidRPr="00CA25CF" w:rsidRDefault="002C0FD9" w:rsidP="00CA25CF">
            <w:pPr>
              <w:rPr>
                <w:rFonts w:cs="Arial"/>
                <w:color w:val="FF0000"/>
                <w:sz w:val="21"/>
                <w:szCs w:val="21"/>
              </w:rPr>
            </w:pPr>
          </w:p>
        </w:tc>
        <w:tc>
          <w:tcPr>
            <w:tcW w:w="217" w:type="dxa"/>
          </w:tcPr>
          <w:p w14:paraId="466EA469" w14:textId="77777777" w:rsidR="002C0FD9" w:rsidRPr="00CA25CF" w:rsidRDefault="002C0FD9" w:rsidP="00CA25CF">
            <w:pPr>
              <w:rPr>
                <w:rFonts w:cs="Arial"/>
                <w:color w:val="FF0000"/>
                <w:sz w:val="21"/>
                <w:szCs w:val="21"/>
              </w:rPr>
            </w:pPr>
          </w:p>
        </w:tc>
        <w:tc>
          <w:tcPr>
            <w:tcW w:w="217" w:type="dxa"/>
          </w:tcPr>
          <w:p w14:paraId="1DA63A3F" w14:textId="77777777" w:rsidR="002C0FD9" w:rsidRPr="00CA25CF" w:rsidRDefault="002C0FD9" w:rsidP="00CA25CF">
            <w:pPr>
              <w:rPr>
                <w:rFonts w:cs="Arial"/>
                <w:color w:val="FF0000"/>
                <w:sz w:val="21"/>
                <w:szCs w:val="21"/>
              </w:rPr>
            </w:pPr>
          </w:p>
        </w:tc>
        <w:tc>
          <w:tcPr>
            <w:tcW w:w="217" w:type="dxa"/>
          </w:tcPr>
          <w:p w14:paraId="0D153E29" w14:textId="77777777" w:rsidR="002C0FD9" w:rsidRPr="00CA25CF" w:rsidRDefault="002C0FD9" w:rsidP="00CA25CF">
            <w:pPr>
              <w:rPr>
                <w:rFonts w:cs="Arial"/>
                <w:color w:val="FF0000"/>
                <w:sz w:val="21"/>
                <w:szCs w:val="21"/>
              </w:rPr>
            </w:pPr>
          </w:p>
        </w:tc>
        <w:tc>
          <w:tcPr>
            <w:tcW w:w="217" w:type="dxa"/>
          </w:tcPr>
          <w:p w14:paraId="02FE5203" w14:textId="77777777" w:rsidR="002C0FD9" w:rsidRPr="00CA25CF" w:rsidRDefault="002C0FD9" w:rsidP="00CA25CF">
            <w:pPr>
              <w:rPr>
                <w:rFonts w:cs="Arial"/>
                <w:color w:val="FF0000"/>
                <w:sz w:val="21"/>
                <w:szCs w:val="21"/>
              </w:rPr>
            </w:pPr>
          </w:p>
        </w:tc>
        <w:tc>
          <w:tcPr>
            <w:tcW w:w="217" w:type="dxa"/>
          </w:tcPr>
          <w:p w14:paraId="719CE985" w14:textId="77777777" w:rsidR="002C0FD9" w:rsidRPr="00CA25CF" w:rsidRDefault="002C0FD9" w:rsidP="00CA25CF">
            <w:pPr>
              <w:rPr>
                <w:rFonts w:cs="Arial"/>
                <w:color w:val="FF0000"/>
                <w:sz w:val="21"/>
                <w:szCs w:val="21"/>
              </w:rPr>
            </w:pPr>
          </w:p>
        </w:tc>
        <w:tc>
          <w:tcPr>
            <w:tcW w:w="217" w:type="dxa"/>
          </w:tcPr>
          <w:p w14:paraId="2BB78882" w14:textId="77777777" w:rsidR="002C0FD9" w:rsidRPr="00CA25CF" w:rsidRDefault="002C0FD9" w:rsidP="00CA25CF">
            <w:pPr>
              <w:rPr>
                <w:rFonts w:cs="Arial"/>
                <w:color w:val="FF0000"/>
                <w:sz w:val="21"/>
                <w:szCs w:val="21"/>
              </w:rPr>
            </w:pPr>
          </w:p>
        </w:tc>
        <w:tc>
          <w:tcPr>
            <w:tcW w:w="217" w:type="dxa"/>
          </w:tcPr>
          <w:p w14:paraId="3AFCB0EE" w14:textId="77777777" w:rsidR="002C0FD9" w:rsidRPr="00CA25CF" w:rsidRDefault="002C0FD9" w:rsidP="00CA25CF">
            <w:pPr>
              <w:rPr>
                <w:rFonts w:cs="Arial"/>
                <w:color w:val="FF0000"/>
                <w:sz w:val="21"/>
                <w:szCs w:val="21"/>
              </w:rPr>
            </w:pPr>
          </w:p>
        </w:tc>
        <w:tc>
          <w:tcPr>
            <w:tcW w:w="217" w:type="dxa"/>
          </w:tcPr>
          <w:p w14:paraId="0B1C5BCD" w14:textId="77777777" w:rsidR="002C0FD9" w:rsidRPr="00CA25CF" w:rsidRDefault="002C0FD9" w:rsidP="00CA25CF">
            <w:pPr>
              <w:rPr>
                <w:rFonts w:cs="Arial"/>
                <w:color w:val="FF0000"/>
                <w:sz w:val="21"/>
                <w:szCs w:val="21"/>
              </w:rPr>
            </w:pPr>
          </w:p>
        </w:tc>
        <w:tc>
          <w:tcPr>
            <w:tcW w:w="217" w:type="dxa"/>
          </w:tcPr>
          <w:p w14:paraId="59FA89EF" w14:textId="77777777" w:rsidR="002C0FD9" w:rsidRPr="00CA25CF" w:rsidRDefault="002C0FD9" w:rsidP="00CA25CF">
            <w:pPr>
              <w:rPr>
                <w:rFonts w:cs="Arial"/>
                <w:color w:val="FF0000"/>
                <w:sz w:val="21"/>
                <w:szCs w:val="21"/>
              </w:rPr>
            </w:pPr>
          </w:p>
        </w:tc>
        <w:tc>
          <w:tcPr>
            <w:tcW w:w="217" w:type="dxa"/>
          </w:tcPr>
          <w:p w14:paraId="7B8A7415" w14:textId="77777777" w:rsidR="002C0FD9" w:rsidRPr="00CA25CF" w:rsidRDefault="002C0FD9" w:rsidP="00CA25CF">
            <w:pPr>
              <w:rPr>
                <w:rFonts w:cs="Arial"/>
                <w:color w:val="FF0000"/>
                <w:sz w:val="21"/>
                <w:szCs w:val="21"/>
              </w:rPr>
            </w:pPr>
          </w:p>
        </w:tc>
        <w:tc>
          <w:tcPr>
            <w:tcW w:w="217" w:type="dxa"/>
          </w:tcPr>
          <w:p w14:paraId="099436CE" w14:textId="77777777" w:rsidR="002C0FD9" w:rsidRPr="00CA25CF" w:rsidRDefault="002C0FD9" w:rsidP="00CA25CF">
            <w:pPr>
              <w:rPr>
                <w:rFonts w:cs="Arial"/>
                <w:color w:val="FF0000"/>
                <w:sz w:val="21"/>
                <w:szCs w:val="21"/>
              </w:rPr>
            </w:pPr>
          </w:p>
        </w:tc>
        <w:tc>
          <w:tcPr>
            <w:tcW w:w="217" w:type="dxa"/>
          </w:tcPr>
          <w:p w14:paraId="160722FA" w14:textId="77777777" w:rsidR="002C0FD9" w:rsidRPr="00CA25CF" w:rsidRDefault="002C0FD9" w:rsidP="00CA25CF">
            <w:pPr>
              <w:rPr>
                <w:rFonts w:cs="Arial"/>
                <w:color w:val="FF0000"/>
                <w:sz w:val="21"/>
                <w:szCs w:val="21"/>
              </w:rPr>
            </w:pPr>
          </w:p>
        </w:tc>
        <w:tc>
          <w:tcPr>
            <w:tcW w:w="217" w:type="dxa"/>
          </w:tcPr>
          <w:p w14:paraId="2AD595C2" w14:textId="77777777" w:rsidR="002C0FD9" w:rsidRPr="00CA25CF" w:rsidRDefault="002C0FD9" w:rsidP="00CA25CF">
            <w:pPr>
              <w:rPr>
                <w:rFonts w:cs="Arial"/>
                <w:color w:val="FF0000"/>
                <w:sz w:val="21"/>
                <w:szCs w:val="21"/>
              </w:rPr>
            </w:pPr>
          </w:p>
        </w:tc>
        <w:tc>
          <w:tcPr>
            <w:tcW w:w="217" w:type="dxa"/>
          </w:tcPr>
          <w:p w14:paraId="5EDEEB26" w14:textId="77777777" w:rsidR="002C0FD9" w:rsidRPr="00CA25CF" w:rsidRDefault="002C0FD9" w:rsidP="00CA25CF">
            <w:pPr>
              <w:rPr>
                <w:rFonts w:cs="Arial"/>
                <w:color w:val="FF0000"/>
                <w:sz w:val="21"/>
                <w:szCs w:val="21"/>
              </w:rPr>
            </w:pPr>
          </w:p>
        </w:tc>
        <w:tc>
          <w:tcPr>
            <w:tcW w:w="217" w:type="dxa"/>
          </w:tcPr>
          <w:p w14:paraId="28EFE912" w14:textId="77777777" w:rsidR="002C0FD9" w:rsidRPr="00CA25CF" w:rsidRDefault="002C0FD9" w:rsidP="00CA25CF">
            <w:pPr>
              <w:rPr>
                <w:rFonts w:cs="Arial"/>
                <w:color w:val="FF0000"/>
                <w:sz w:val="21"/>
                <w:szCs w:val="21"/>
              </w:rPr>
            </w:pPr>
          </w:p>
        </w:tc>
        <w:tc>
          <w:tcPr>
            <w:tcW w:w="217" w:type="dxa"/>
          </w:tcPr>
          <w:p w14:paraId="16CD3055" w14:textId="77777777" w:rsidR="002C0FD9" w:rsidRPr="00CA25CF" w:rsidRDefault="002C0FD9" w:rsidP="00CA25CF">
            <w:pPr>
              <w:rPr>
                <w:rFonts w:cs="Arial"/>
                <w:color w:val="FF0000"/>
                <w:sz w:val="21"/>
                <w:szCs w:val="21"/>
              </w:rPr>
            </w:pPr>
          </w:p>
        </w:tc>
        <w:tc>
          <w:tcPr>
            <w:tcW w:w="217" w:type="dxa"/>
          </w:tcPr>
          <w:p w14:paraId="58C3E9B8" w14:textId="77777777" w:rsidR="002C0FD9" w:rsidRPr="00CA25CF" w:rsidRDefault="002C0FD9" w:rsidP="00CA25CF">
            <w:pPr>
              <w:rPr>
                <w:rFonts w:cs="Arial"/>
                <w:color w:val="FF0000"/>
                <w:sz w:val="21"/>
                <w:szCs w:val="21"/>
              </w:rPr>
            </w:pPr>
          </w:p>
        </w:tc>
        <w:tc>
          <w:tcPr>
            <w:tcW w:w="217" w:type="dxa"/>
          </w:tcPr>
          <w:p w14:paraId="6EEA2490" w14:textId="77777777" w:rsidR="002C0FD9" w:rsidRPr="00CA25CF" w:rsidRDefault="002C0FD9" w:rsidP="00CA25CF">
            <w:pPr>
              <w:rPr>
                <w:rFonts w:cs="Arial"/>
                <w:color w:val="FF0000"/>
                <w:sz w:val="21"/>
                <w:szCs w:val="21"/>
              </w:rPr>
            </w:pPr>
          </w:p>
        </w:tc>
        <w:tc>
          <w:tcPr>
            <w:tcW w:w="217" w:type="dxa"/>
          </w:tcPr>
          <w:p w14:paraId="278997A8" w14:textId="77777777" w:rsidR="002C0FD9" w:rsidRPr="00CA25CF" w:rsidRDefault="002C0FD9" w:rsidP="00CA25CF">
            <w:pPr>
              <w:rPr>
                <w:rFonts w:cs="Arial"/>
                <w:color w:val="FF0000"/>
                <w:sz w:val="21"/>
                <w:szCs w:val="21"/>
              </w:rPr>
            </w:pPr>
          </w:p>
        </w:tc>
        <w:tc>
          <w:tcPr>
            <w:tcW w:w="217" w:type="dxa"/>
          </w:tcPr>
          <w:p w14:paraId="648BDEB9" w14:textId="77777777" w:rsidR="002C0FD9" w:rsidRPr="00CA25CF" w:rsidRDefault="002C0FD9" w:rsidP="00CA25CF">
            <w:pPr>
              <w:rPr>
                <w:rFonts w:cs="Arial"/>
                <w:color w:val="FF0000"/>
                <w:sz w:val="21"/>
                <w:szCs w:val="21"/>
              </w:rPr>
            </w:pPr>
          </w:p>
        </w:tc>
        <w:tc>
          <w:tcPr>
            <w:tcW w:w="217" w:type="dxa"/>
          </w:tcPr>
          <w:p w14:paraId="64EC3F1D" w14:textId="77777777" w:rsidR="002C0FD9" w:rsidRPr="00CA25CF" w:rsidRDefault="002C0FD9" w:rsidP="00CA25CF">
            <w:pPr>
              <w:rPr>
                <w:rFonts w:cs="Arial"/>
                <w:color w:val="FF0000"/>
                <w:sz w:val="21"/>
                <w:szCs w:val="21"/>
              </w:rPr>
            </w:pPr>
          </w:p>
        </w:tc>
        <w:tc>
          <w:tcPr>
            <w:tcW w:w="217" w:type="dxa"/>
          </w:tcPr>
          <w:p w14:paraId="563E288E" w14:textId="77777777" w:rsidR="002C0FD9" w:rsidRPr="00CA25CF" w:rsidRDefault="002C0FD9" w:rsidP="00CA25CF">
            <w:pPr>
              <w:rPr>
                <w:rFonts w:cs="Arial"/>
                <w:color w:val="FF0000"/>
                <w:sz w:val="21"/>
                <w:szCs w:val="21"/>
              </w:rPr>
            </w:pPr>
          </w:p>
        </w:tc>
        <w:tc>
          <w:tcPr>
            <w:tcW w:w="217" w:type="dxa"/>
          </w:tcPr>
          <w:p w14:paraId="29A6B471" w14:textId="77777777" w:rsidR="002C0FD9" w:rsidRPr="00CA25CF" w:rsidRDefault="002C0FD9" w:rsidP="00CA25CF">
            <w:pPr>
              <w:rPr>
                <w:rFonts w:cs="Arial"/>
                <w:color w:val="FF0000"/>
                <w:sz w:val="21"/>
                <w:szCs w:val="21"/>
              </w:rPr>
            </w:pPr>
          </w:p>
        </w:tc>
        <w:tc>
          <w:tcPr>
            <w:tcW w:w="217" w:type="dxa"/>
          </w:tcPr>
          <w:p w14:paraId="7B651941" w14:textId="77777777" w:rsidR="002C0FD9" w:rsidRPr="00CA25CF" w:rsidRDefault="002C0FD9" w:rsidP="00CA25CF">
            <w:pPr>
              <w:rPr>
                <w:rFonts w:cs="Arial"/>
                <w:color w:val="FF0000"/>
                <w:sz w:val="21"/>
                <w:szCs w:val="21"/>
              </w:rPr>
            </w:pPr>
          </w:p>
        </w:tc>
        <w:tc>
          <w:tcPr>
            <w:tcW w:w="217" w:type="dxa"/>
          </w:tcPr>
          <w:p w14:paraId="7086DA61" w14:textId="77777777" w:rsidR="002C0FD9" w:rsidRPr="00CA25CF" w:rsidRDefault="002C0FD9" w:rsidP="00CA25CF">
            <w:pPr>
              <w:rPr>
                <w:rFonts w:cs="Arial"/>
                <w:color w:val="FF0000"/>
                <w:sz w:val="21"/>
                <w:szCs w:val="21"/>
              </w:rPr>
            </w:pPr>
          </w:p>
        </w:tc>
        <w:tc>
          <w:tcPr>
            <w:tcW w:w="217" w:type="dxa"/>
          </w:tcPr>
          <w:p w14:paraId="0074C08A" w14:textId="77777777" w:rsidR="002C0FD9" w:rsidRPr="00CA25CF" w:rsidRDefault="002C0FD9" w:rsidP="00CA25CF">
            <w:pPr>
              <w:rPr>
                <w:rFonts w:cs="Arial"/>
                <w:color w:val="FF0000"/>
                <w:sz w:val="21"/>
                <w:szCs w:val="21"/>
              </w:rPr>
            </w:pPr>
          </w:p>
        </w:tc>
        <w:tc>
          <w:tcPr>
            <w:tcW w:w="217" w:type="dxa"/>
          </w:tcPr>
          <w:p w14:paraId="1A0B2702" w14:textId="77777777" w:rsidR="002C0FD9" w:rsidRPr="00CA25CF" w:rsidRDefault="002C0FD9" w:rsidP="00CA25CF">
            <w:pPr>
              <w:rPr>
                <w:rFonts w:cs="Arial"/>
                <w:color w:val="FF0000"/>
                <w:sz w:val="21"/>
                <w:szCs w:val="21"/>
              </w:rPr>
            </w:pPr>
          </w:p>
        </w:tc>
        <w:tc>
          <w:tcPr>
            <w:tcW w:w="217" w:type="dxa"/>
          </w:tcPr>
          <w:p w14:paraId="38E42609" w14:textId="77777777" w:rsidR="002C0FD9" w:rsidRPr="00CA25CF" w:rsidRDefault="002C0FD9" w:rsidP="00CA25CF">
            <w:pPr>
              <w:rPr>
                <w:rFonts w:cs="Arial"/>
                <w:color w:val="FF0000"/>
                <w:sz w:val="21"/>
                <w:szCs w:val="21"/>
              </w:rPr>
            </w:pPr>
          </w:p>
        </w:tc>
        <w:tc>
          <w:tcPr>
            <w:tcW w:w="217" w:type="dxa"/>
          </w:tcPr>
          <w:p w14:paraId="2393EFFD" w14:textId="77777777" w:rsidR="002C0FD9" w:rsidRPr="00CA25CF" w:rsidRDefault="002C0FD9" w:rsidP="00CA25CF">
            <w:pPr>
              <w:rPr>
                <w:rFonts w:cs="Arial"/>
                <w:color w:val="FF0000"/>
                <w:sz w:val="21"/>
                <w:szCs w:val="21"/>
              </w:rPr>
            </w:pPr>
          </w:p>
        </w:tc>
        <w:tc>
          <w:tcPr>
            <w:tcW w:w="217" w:type="dxa"/>
          </w:tcPr>
          <w:p w14:paraId="7D6A8E6E" w14:textId="77777777" w:rsidR="002C0FD9" w:rsidRPr="00CA25CF" w:rsidRDefault="002C0FD9" w:rsidP="00CA25CF">
            <w:pPr>
              <w:rPr>
                <w:rFonts w:cs="Arial"/>
                <w:color w:val="FF0000"/>
                <w:sz w:val="21"/>
                <w:szCs w:val="21"/>
              </w:rPr>
            </w:pPr>
          </w:p>
        </w:tc>
        <w:tc>
          <w:tcPr>
            <w:tcW w:w="217" w:type="dxa"/>
          </w:tcPr>
          <w:p w14:paraId="7BE703C6" w14:textId="77777777" w:rsidR="002C0FD9" w:rsidRPr="00CA25CF" w:rsidRDefault="002C0FD9" w:rsidP="00CA25CF">
            <w:pPr>
              <w:rPr>
                <w:rFonts w:cs="Arial"/>
                <w:color w:val="FF0000"/>
                <w:sz w:val="21"/>
                <w:szCs w:val="21"/>
              </w:rPr>
            </w:pPr>
          </w:p>
        </w:tc>
        <w:tc>
          <w:tcPr>
            <w:tcW w:w="217" w:type="dxa"/>
          </w:tcPr>
          <w:p w14:paraId="6888BFD5" w14:textId="77777777" w:rsidR="002C0FD9" w:rsidRPr="00CA25CF" w:rsidRDefault="002C0FD9" w:rsidP="00CA25CF">
            <w:pPr>
              <w:rPr>
                <w:rFonts w:cs="Arial"/>
                <w:color w:val="FF0000"/>
                <w:sz w:val="21"/>
                <w:szCs w:val="21"/>
              </w:rPr>
            </w:pPr>
          </w:p>
        </w:tc>
        <w:tc>
          <w:tcPr>
            <w:tcW w:w="217" w:type="dxa"/>
          </w:tcPr>
          <w:p w14:paraId="613446C9" w14:textId="77777777" w:rsidR="002C0FD9" w:rsidRPr="00CA25CF" w:rsidRDefault="002C0FD9" w:rsidP="00CA25CF">
            <w:pPr>
              <w:rPr>
                <w:rFonts w:cs="Arial"/>
                <w:color w:val="FF0000"/>
                <w:sz w:val="21"/>
                <w:szCs w:val="21"/>
              </w:rPr>
            </w:pPr>
          </w:p>
        </w:tc>
        <w:tc>
          <w:tcPr>
            <w:tcW w:w="217" w:type="dxa"/>
          </w:tcPr>
          <w:p w14:paraId="2D8C8941" w14:textId="77777777" w:rsidR="002C0FD9" w:rsidRPr="00CA25CF" w:rsidRDefault="002C0FD9" w:rsidP="00CA25CF">
            <w:pPr>
              <w:rPr>
                <w:rFonts w:cs="Arial"/>
                <w:color w:val="FF0000"/>
                <w:sz w:val="21"/>
                <w:szCs w:val="21"/>
              </w:rPr>
            </w:pPr>
          </w:p>
        </w:tc>
        <w:tc>
          <w:tcPr>
            <w:tcW w:w="217" w:type="dxa"/>
          </w:tcPr>
          <w:p w14:paraId="037A3C3D" w14:textId="77777777" w:rsidR="002C0FD9" w:rsidRPr="00CA25CF" w:rsidRDefault="002C0FD9" w:rsidP="00CA25CF">
            <w:pPr>
              <w:rPr>
                <w:rFonts w:cs="Arial"/>
                <w:color w:val="FF0000"/>
                <w:sz w:val="21"/>
                <w:szCs w:val="21"/>
              </w:rPr>
            </w:pPr>
          </w:p>
        </w:tc>
        <w:tc>
          <w:tcPr>
            <w:tcW w:w="217" w:type="dxa"/>
          </w:tcPr>
          <w:p w14:paraId="0365976D" w14:textId="77777777" w:rsidR="002C0FD9" w:rsidRPr="00CA25CF" w:rsidRDefault="002C0FD9" w:rsidP="00CA25CF">
            <w:pPr>
              <w:rPr>
                <w:rFonts w:cs="Arial"/>
                <w:color w:val="FF0000"/>
                <w:sz w:val="21"/>
                <w:szCs w:val="21"/>
              </w:rPr>
            </w:pPr>
          </w:p>
        </w:tc>
        <w:tc>
          <w:tcPr>
            <w:tcW w:w="217" w:type="dxa"/>
          </w:tcPr>
          <w:p w14:paraId="6B6EEAF7" w14:textId="77777777" w:rsidR="002C0FD9" w:rsidRPr="00CA25CF" w:rsidRDefault="002C0FD9" w:rsidP="00CA25CF">
            <w:pPr>
              <w:rPr>
                <w:rFonts w:cs="Arial"/>
                <w:color w:val="FF0000"/>
                <w:sz w:val="21"/>
                <w:szCs w:val="21"/>
              </w:rPr>
            </w:pPr>
          </w:p>
        </w:tc>
      </w:tr>
      <w:tr w:rsidR="002C0FD9" w:rsidRPr="00A16219" w14:paraId="3CC0B4BD" w14:textId="77777777" w:rsidTr="002C0FD9">
        <w:trPr>
          <w:trHeight w:val="635"/>
        </w:trPr>
        <w:tc>
          <w:tcPr>
            <w:tcW w:w="515" w:type="dxa"/>
          </w:tcPr>
          <w:p w14:paraId="38C2B4BC" w14:textId="77777777" w:rsidR="002C0FD9" w:rsidRPr="00CA25CF" w:rsidRDefault="002C0FD9" w:rsidP="00CA25CF">
            <w:pPr>
              <w:rPr>
                <w:rFonts w:cs="Arial"/>
                <w:color w:val="FF0000"/>
                <w:sz w:val="21"/>
                <w:szCs w:val="21"/>
              </w:rPr>
            </w:pPr>
          </w:p>
        </w:tc>
        <w:tc>
          <w:tcPr>
            <w:tcW w:w="217" w:type="dxa"/>
          </w:tcPr>
          <w:p w14:paraId="209C5AA1" w14:textId="77777777" w:rsidR="002C0FD9" w:rsidRPr="00CA25CF" w:rsidRDefault="002C0FD9" w:rsidP="00CA25CF">
            <w:pPr>
              <w:rPr>
                <w:rFonts w:cs="Arial"/>
                <w:color w:val="FF0000"/>
                <w:sz w:val="21"/>
                <w:szCs w:val="21"/>
              </w:rPr>
            </w:pPr>
          </w:p>
        </w:tc>
        <w:tc>
          <w:tcPr>
            <w:tcW w:w="217" w:type="dxa"/>
          </w:tcPr>
          <w:p w14:paraId="294D8D29" w14:textId="77777777" w:rsidR="002C0FD9" w:rsidRPr="00CA25CF" w:rsidRDefault="002C0FD9" w:rsidP="00CA25CF">
            <w:pPr>
              <w:rPr>
                <w:rFonts w:cs="Arial"/>
                <w:color w:val="FF0000"/>
                <w:sz w:val="21"/>
                <w:szCs w:val="21"/>
              </w:rPr>
            </w:pPr>
          </w:p>
        </w:tc>
        <w:tc>
          <w:tcPr>
            <w:tcW w:w="217" w:type="dxa"/>
          </w:tcPr>
          <w:p w14:paraId="1F2D19FD" w14:textId="77777777" w:rsidR="002C0FD9" w:rsidRPr="00CA25CF" w:rsidRDefault="002C0FD9" w:rsidP="00CA25CF">
            <w:pPr>
              <w:rPr>
                <w:rFonts w:cs="Arial"/>
                <w:color w:val="FF0000"/>
                <w:sz w:val="21"/>
                <w:szCs w:val="21"/>
              </w:rPr>
            </w:pPr>
          </w:p>
        </w:tc>
        <w:tc>
          <w:tcPr>
            <w:tcW w:w="217" w:type="dxa"/>
          </w:tcPr>
          <w:p w14:paraId="204ACC50" w14:textId="77777777" w:rsidR="002C0FD9" w:rsidRPr="00CA25CF" w:rsidRDefault="002C0FD9" w:rsidP="00CA25CF">
            <w:pPr>
              <w:rPr>
                <w:rFonts w:cs="Arial"/>
                <w:color w:val="FF0000"/>
                <w:sz w:val="21"/>
                <w:szCs w:val="21"/>
              </w:rPr>
            </w:pPr>
          </w:p>
        </w:tc>
        <w:tc>
          <w:tcPr>
            <w:tcW w:w="217" w:type="dxa"/>
          </w:tcPr>
          <w:p w14:paraId="708CE4E3" w14:textId="77777777" w:rsidR="002C0FD9" w:rsidRPr="00CA25CF" w:rsidRDefault="002C0FD9" w:rsidP="00CA25CF">
            <w:pPr>
              <w:rPr>
                <w:rFonts w:cs="Arial"/>
                <w:color w:val="FF0000"/>
                <w:sz w:val="21"/>
                <w:szCs w:val="21"/>
              </w:rPr>
            </w:pPr>
          </w:p>
        </w:tc>
        <w:tc>
          <w:tcPr>
            <w:tcW w:w="217" w:type="dxa"/>
          </w:tcPr>
          <w:p w14:paraId="6835D1C6" w14:textId="77777777" w:rsidR="002C0FD9" w:rsidRPr="00CA25CF" w:rsidRDefault="002C0FD9" w:rsidP="00CA25CF">
            <w:pPr>
              <w:rPr>
                <w:rFonts w:cs="Arial"/>
                <w:color w:val="FF0000"/>
                <w:sz w:val="21"/>
                <w:szCs w:val="21"/>
              </w:rPr>
            </w:pPr>
          </w:p>
        </w:tc>
        <w:tc>
          <w:tcPr>
            <w:tcW w:w="217" w:type="dxa"/>
          </w:tcPr>
          <w:p w14:paraId="73BD75C3" w14:textId="77777777" w:rsidR="002C0FD9" w:rsidRPr="00CA25CF" w:rsidRDefault="002C0FD9" w:rsidP="00CA25CF">
            <w:pPr>
              <w:rPr>
                <w:rFonts w:cs="Arial"/>
                <w:color w:val="FF0000"/>
                <w:sz w:val="21"/>
                <w:szCs w:val="21"/>
              </w:rPr>
            </w:pPr>
          </w:p>
        </w:tc>
        <w:tc>
          <w:tcPr>
            <w:tcW w:w="217" w:type="dxa"/>
          </w:tcPr>
          <w:p w14:paraId="465BBC11" w14:textId="77777777" w:rsidR="002C0FD9" w:rsidRPr="00CA25CF" w:rsidRDefault="002C0FD9" w:rsidP="00CA25CF">
            <w:pPr>
              <w:rPr>
                <w:rFonts w:cs="Arial"/>
                <w:color w:val="FF0000"/>
                <w:sz w:val="21"/>
                <w:szCs w:val="21"/>
              </w:rPr>
            </w:pPr>
          </w:p>
        </w:tc>
        <w:tc>
          <w:tcPr>
            <w:tcW w:w="217" w:type="dxa"/>
          </w:tcPr>
          <w:p w14:paraId="484AA62D" w14:textId="77777777" w:rsidR="002C0FD9" w:rsidRPr="00CA25CF" w:rsidRDefault="002C0FD9" w:rsidP="00CA25CF">
            <w:pPr>
              <w:rPr>
                <w:rFonts w:cs="Arial"/>
                <w:color w:val="FF0000"/>
                <w:sz w:val="21"/>
                <w:szCs w:val="21"/>
              </w:rPr>
            </w:pPr>
          </w:p>
        </w:tc>
        <w:tc>
          <w:tcPr>
            <w:tcW w:w="217" w:type="dxa"/>
          </w:tcPr>
          <w:p w14:paraId="72D5E98E" w14:textId="77777777" w:rsidR="002C0FD9" w:rsidRPr="00CA25CF" w:rsidRDefault="002C0FD9" w:rsidP="00CA25CF">
            <w:pPr>
              <w:rPr>
                <w:rFonts w:cs="Arial"/>
                <w:color w:val="FF0000"/>
                <w:sz w:val="21"/>
                <w:szCs w:val="21"/>
              </w:rPr>
            </w:pPr>
          </w:p>
        </w:tc>
        <w:tc>
          <w:tcPr>
            <w:tcW w:w="217" w:type="dxa"/>
          </w:tcPr>
          <w:p w14:paraId="136DEB4B" w14:textId="77777777" w:rsidR="002C0FD9" w:rsidRPr="00CA25CF" w:rsidRDefault="002C0FD9" w:rsidP="00CA25CF">
            <w:pPr>
              <w:rPr>
                <w:rFonts w:cs="Arial"/>
                <w:color w:val="FF0000"/>
                <w:sz w:val="21"/>
                <w:szCs w:val="21"/>
              </w:rPr>
            </w:pPr>
          </w:p>
        </w:tc>
        <w:tc>
          <w:tcPr>
            <w:tcW w:w="217" w:type="dxa"/>
          </w:tcPr>
          <w:p w14:paraId="7AE855B6" w14:textId="77777777" w:rsidR="002C0FD9" w:rsidRPr="00CA25CF" w:rsidRDefault="002C0FD9" w:rsidP="00CA25CF">
            <w:pPr>
              <w:rPr>
                <w:rFonts w:cs="Arial"/>
                <w:color w:val="FF0000"/>
                <w:sz w:val="21"/>
                <w:szCs w:val="21"/>
              </w:rPr>
            </w:pPr>
          </w:p>
        </w:tc>
        <w:tc>
          <w:tcPr>
            <w:tcW w:w="217" w:type="dxa"/>
          </w:tcPr>
          <w:p w14:paraId="3E2D3389" w14:textId="77777777" w:rsidR="002C0FD9" w:rsidRPr="00CA25CF" w:rsidRDefault="002C0FD9" w:rsidP="00CA25CF">
            <w:pPr>
              <w:rPr>
                <w:rFonts w:cs="Arial"/>
                <w:color w:val="FF0000"/>
                <w:sz w:val="21"/>
                <w:szCs w:val="21"/>
              </w:rPr>
            </w:pPr>
          </w:p>
        </w:tc>
        <w:tc>
          <w:tcPr>
            <w:tcW w:w="217" w:type="dxa"/>
          </w:tcPr>
          <w:p w14:paraId="671ED161" w14:textId="77777777" w:rsidR="002C0FD9" w:rsidRPr="00CA25CF" w:rsidRDefault="002C0FD9" w:rsidP="00CA25CF">
            <w:pPr>
              <w:rPr>
                <w:rFonts w:cs="Arial"/>
                <w:color w:val="FF0000"/>
                <w:sz w:val="21"/>
                <w:szCs w:val="21"/>
              </w:rPr>
            </w:pPr>
          </w:p>
        </w:tc>
        <w:tc>
          <w:tcPr>
            <w:tcW w:w="217" w:type="dxa"/>
          </w:tcPr>
          <w:p w14:paraId="24536270" w14:textId="77777777" w:rsidR="002C0FD9" w:rsidRPr="00CA25CF" w:rsidRDefault="002C0FD9" w:rsidP="00CA25CF">
            <w:pPr>
              <w:rPr>
                <w:rFonts w:cs="Arial"/>
                <w:color w:val="FF0000"/>
                <w:sz w:val="21"/>
                <w:szCs w:val="21"/>
              </w:rPr>
            </w:pPr>
          </w:p>
        </w:tc>
        <w:tc>
          <w:tcPr>
            <w:tcW w:w="217" w:type="dxa"/>
          </w:tcPr>
          <w:p w14:paraId="2DF42141" w14:textId="77777777" w:rsidR="002C0FD9" w:rsidRPr="00CA25CF" w:rsidRDefault="002C0FD9" w:rsidP="00CA25CF">
            <w:pPr>
              <w:rPr>
                <w:rFonts w:cs="Arial"/>
                <w:color w:val="FF0000"/>
                <w:sz w:val="21"/>
                <w:szCs w:val="21"/>
              </w:rPr>
            </w:pPr>
          </w:p>
        </w:tc>
        <w:tc>
          <w:tcPr>
            <w:tcW w:w="217" w:type="dxa"/>
          </w:tcPr>
          <w:p w14:paraId="09AC87CB" w14:textId="77777777" w:rsidR="002C0FD9" w:rsidRPr="00CA25CF" w:rsidRDefault="002C0FD9" w:rsidP="00CA25CF">
            <w:pPr>
              <w:rPr>
                <w:rFonts w:cs="Arial"/>
                <w:color w:val="FF0000"/>
                <w:sz w:val="21"/>
                <w:szCs w:val="21"/>
              </w:rPr>
            </w:pPr>
          </w:p>
        </w:tc>
        <w:tc>
          <w:tcPr>
            <w:tcW w:w="217" w:type="dxa"/>
          </w:tcPr>
          <w:p w14:paraId="3AE22DAB" w14:textId="77777777" w:rsidR="002C0FD9" w:rsidRPr="00CA25CF" w:rsidRDefault="002C0FD9" w:rsidP="00CA25CF">
            <w:pPr>
              <w:rPr>
                <w:rFonts w:cs="Arial"/>
                <w:color w:val="FF0000"/>
                <w:sz w:val="21"/>
                <w:szCs w:val="21"/>
              </w:rPr>
            </w:pPr>
          </w:p>
        </w:tc>
        <w:tc>
          <w:tcPr>
            <w:tcW w:w="217" w:type="dxa"/>
          </w:tcPr>
          <w:p w14:paraId="11FED86F" w14:textId="77777777" w:rsidR="002C0FD9" w:rsidRPr="00CA25CF" w:rsidRDefault="002C0FD9" w:rsidP="00CA25CF">
            <w:pPr>
              <w:rPr>
                <w:rFonts w:cs="Arial"/>
                <w:color w:val="FF0000"/>
                <w:sz w:val="21"/>
                <w:szCs w:val="21"/>
              </w:rPr>
            </w:pPr>
          </w:p>
        </w:tc>
        <w:tc>
          <w:tcPr>
            <w:tcW w:w="217" w:type="dxa"/>
          </w:tcPr>
          <w:p w14:paraId="78C1CF98" w14:textId="77777777" w:rsidR="002C0FD9" w:rsidRPr="00CA25CF" w:rsidRDefault="002C0FD9" w:rsidP="00CA25CF">
            <w:pPr>
              <w:rPr>
                <w:rFonts w:cs="Arial"/>
                <w:color w:val="FF0000"/>
                <w:sz w:val="21"/>
                <w:szCs w:val="21"/>
              </w:rPr>
            </w:pPr>
          </w:p>
        </w:tc>
        <w:tc>
          <w:tcPr>
            <w:tcW w:w="217" w:type="dxa"/>
          </w:tcPr>
          <w:p w14:paraId="3E46000B" w14:textId="77777777" w:rsidR="002C0FD9" w:rsidRPr="00CA25CF" w:rsidRDefault="002C0FD9" w:rsidP="00CA25CF">
            <w:pPr>
              <w:rPr>
                <w:rFonts w:cs="Arial"/>
                <w:color w:val="FF0000"/>
                <w:sz w:val="21"/>
                <w:szCs w:val="21"/>
              </w:rPr>
            </w:pPr>
          </w:p>
        </w:tc>
        <w:tc>
          <w:tcPr>
            <w:tcW w:w="217" w:type="dxa"/>
          </w:tcPr>
          <w:p w14:paraId="1E7C6936" w14:textId="77777777" w:rsidR="002C0FD9" w:rsidRPr="00CA25CF" w:rsidRDefault="002C0FD9" w:rsidP="00CA25CF">
            <w:pPr>
              <w:rPr>
                <w:rFonts w:cs="Arial"/>
                <w:color w:val="FF0000"/>
                <w:sz w:val="21"/>
                <w:szCs w:val="21"/>
              </w:rPr>
            </w:pPr>
          </w:p>
        </w:tc>
        <w:tc>
          <w:tcPr>
            <w:tcW w:w="217" w:type="dxa"/>
          </w:tcPr>
          <w:p w14:paraId="25DCED79" w14:textId="77777777" w:rsidR="002C0FD9" w:rsidRPr="00CA25CF" w:rsidRDefault="002C0FD9" w:rsidP="00CA25CF">
            <w:pPr>
              <w:rPr>
                <w:rFonts w:cs="Arial"/>
                <w:color w:val="FF0000"/>
                <w:sz w:val="21"/>
                <w:szCs w:val="21"/>
              </w:rPr>
            </w:pPr>
          </w:p>
        </w:tc>
        <w:tc>
          <w:tcPr>
            <w:tcW w:w="217" w:type="dxa"/>
          </w:tcPr>
          <w:p w14:paraId="278EFEEB" w14:textId="77777777" w:rsidR="002C0FD9" w:rsidRPr="00CA25CF" w:rsidRDefault="002C0FD9" w:rsidP="00CA25CF">
            <w:pPr>
              <w:rPr>
                <w:rFonts w:cs="Arial"/>
                <w:color w:val="FF0000"/>
                <w:sz w:val="21"/>
                <w:szCs w:val="21"/>
              </w:rPr>
            </w:pPr>
          </w:p>
        </w:tc>
        <w:tc>
          <w:tcPr>
            <w:tcW w:w="217" w:type="dxa"/>
          </w:tcPr>
          <w:p w14:paraId="33D64D8C" w14:textId="77777777" w:rsidR="002C0FD9" w:rsidRPr="00CA25CF" w:rsidRDefault="002C0FD9" w:rsidP="00CA25CF">
            <w:pPr>
              <w:rPr>
                <w:rFonts w:cs="Arial"/>
                <w:color w:val="FF0000"/>
                <w:sz w:val="21"/>
                <w:szCs w:val="21"/>
              </w:rPr>
            </w:pPr>
          </w:p>
        </w:tc>
        <w:tc>
          <w:tcPr>
            <w:tcW w:w="217" w:type="dxa"/>
          </w:tcPr>
          <w:p w14:paraId="3F69B4F9" w14:textId="77777777" w:rsidR="002C0FD9" w:rsidRPr="00CA25CF" w:rsidRDefault="002C0FD9" w:rsidP="00CA25CF">
            <w:pPr>
              <w:rPr>
                <w:rFonts w:cs="Arial"/>
                <w:color w:val="FF0000"/>
                <w:sz w:val="21"/>
                <w:szCs w:val="21"/>
              </w:rPr>
            </w:pPr>
          </w:p>
        </w:tc>
        <w:tc>
          <w:tcPr>
            <w:tcW w:w="217" w:type="dxa"/>
          </w:tcPr>
          <w:p w14:paraId="55508860" w14:textId="77777777" w:rsidR="002C0FD9" w:rsidRPr="00CA25CF" w:rsidRDefault="002C0FD9" w:rsidP="00CA25CF">
            <w:pPr>
              <w:rPr>
                <w:rFonts w:cs="Arial"/>
                <w:color w:val="FF0000"/>
                <w:sz w:val="21"/>
                <w:szCs w:val="21"/>
              </w:rPr>
            </w:pPr>
          </w:p>
        </w:tc>
        <w:tc>
          <w:tcPr>
            <w:tcW w:w="217" w:type="dxa"/>
          </w:tcPr>
          <w:p w14:paraId="0D8CB580" w14:textId="77777777" w:rsidR="002C0FD9" w:rsidRPr="00CA25CF" w:rsidRDefault="002C0FD9" w:rsidP="00CA25CF">
            <w:pPr>
              <w:rPr>
                <w:rFonts w:cs="Arial"/>
                <w:color w:val="FF0000"/>
                <w:sz w:val="21"/>
                <w:szCs w:val="21"/>
              </w:rPr>
            </w:pPr>
          </w:p>
        </w:tc>
        <w:tc>
          <w:tcPr>
            <w:tcW w:w="217" w:type="dxa"/>
          </w:tcPr>
          <w:p w14:paraId="6A1BB52E" w14:textId="77777777" w:rsidR="002C0FD9" w:rsidRPr="00CA25CF" w:rsidRDefault="002C0FD9" w:rsidP="00CA25CF">
            <w:pPr>
              <w:rPr>
                <w:rFonts w:cs="Arial"/>
                <w:color w:val="FF0000"/>
                <w:sz w:val="21"/>
                <w:szCs w:val="21"/>
              </w:rPr>
            </w:pPr>
          </w:p>
        </w:tc>
        <w:tc>
          <w:tcPr>
            <w:tcW w:w="217" w:type="dxa"/>
          </w:tcPr>
          <w:p w14:paraId="4402A311" w14:textId="77777777" w:rsidR="002C0FD9" w:rsidRPr="00CA25CF" w:rsidRDefault="002C0FD9" w:rsidP="00CA25CF">
            <w:pPr>
              <w:rPr>
                <w:rFonts w:cs="Arial"/>
                <w:color w:val="FF0000"/>
                <w:sz w:val="21"/>
                <w:szCs w:val="21"/>
              </w:rPr>
            </w:pPr>
          </w:p>
        </w:tc>
        <w:tc>
          <w:tcPr>
            <w:tcW w:w="217" w:type="dxa"/>
          </w:tcPr>
          <w:p w14:paraId="34369898" w14:textId="77777777" w:rsidR="002C0FD9" w:rsidRPr="00CA25CF" w:rsidRDefault="002C0FD9" w:rsidP="00CA25CF">
            <w:pPr>
              <w:rPr>
                <w:rFonts w:cs="Arial"/>
                <w:color w:val="FF0000"/>
                <w:sz w:val="21"/>
                <w:szCs w:val="21"/>
              </w:rPr>
            </w:pPr>
          </w:p>
        </w:tc>
        <w:tc>
          <w:tcPr>
            <w:tcW w:w="217" w:type="dxa"/>
          </w:tcPr>
          <w:p w14:paraId="2D88DBC2" w14:textId="77777777" w:rsidR="002C0FD9" w:rsidRPr="00CA25CF" w:rsidRDefault="002C0FD9" w:rsidP="00CA25CF">
            <w:pPr>
              <w:rPr>
                <w:rFonts w:cs="Arial"/>
                <w:color w:val="FF0000"/>
                <w:sz w:val="21"/>
                <w:szCs w:val="21"/>
              </w:rPr>
            </w:pPr>
          </w:p>
        </w:tc>
        <w:tc>
          <w:tcPr>
            <w:tcW w:w="217" w:type="dxa"/>
          </w:tcPr>
          <w:p w14:paraId="76636176" w14:textId="77777777" w:rsidR="002C0FD9" w:rsidRPr="00CA25CF" w:rsidRDefault="002C0FD9" w:rsidP="00CA25CF">
            <w:pPr>
              <w:rPr>
                <w:rFonts w:cs="Arial"/>
                <w:color w:val="FF0000"/>
                <w:sz w:val="21"/>
                <w:szCs w:val="21"/>
              </w:rPr>
            </w:pPr>
          </w:p>
        </w:tc>
        <w:tc>
          <w:tcPr>
            <w:tcW w:w="217" w:type="dxa"/>
          </w:tcPr>
          <w:p w14:paraId="5D9EF0B7" w14:textId="77777777" w:rsidR="002C0FD9" w:rsidRPr="00CA25CF" w:rsidRDefault="002C0FD9" w:rsidP="00CA25CF">
            <w:pPr>
              <w:rPr>
                <w:rFonts w:cs="Arial"/>
                <w:color w:val="FF0000"/>
                <w:sz w:val="21"/>
                <w:szCs w:val="21"/>
              </w:rPr>
            </w:pPr>
          </w:p>
        </w:tc>
        <w:tc>
          <w:tcPr>
            <w:tcW w:w="217" w:type="dxa"/>
          </w:tcPr>
          <w:p w14:paraId="35857845" w14:textId="77777777" w:rsidR="002C0FD9" w:rsidRPr="00CA25CF" w:rsidRDefault="002C0FD9" w:rsidP="00CA25CF">
            <w:pPr>
              <w:rPr>
                <w:rFonts w:cs="Arial"/>
                <w:color w:val="FF0000"/>
                <w:sz w:val="21"/>
                <w:szCs w:val="21"/>
              </w:rPr>
            </w:pPr>
          </w:p>
        </w:tc>
        <w:tc>
          <w:tcPr>
            <w:tcW w:w="217" w:type="dxa"/>
          </w:tcPr>
          <w:p w14:paraId="5C63B619" w14:textId="77777777" w:rsidR="002C0FD9" w:rsidRPr="00CA25CF" w:rsidRDefault="002C0FD9" w:rsidP="00CA25CF">
            <w:pPr>
              <w:rPr>
                <w:rFonts w:cs="Arial"/>
                <w:color w:val="FF0000"/>
                <w:sz w:val="21"/>
                <w:szCs w:val="21"/>
              </w:rPr>
            </w:pPr>
          </w:p>
        </w:tc>
        <w:tc>
          <w:tcPr>
            <w:tcW w:w="217" w:type="dxa"/>
          </w:tcPr>
          <w:p w14:paraId="784DBE69" w14:textId="77777777" w:rsidR="002C0FD9" w:rsidRPr="00CA25CF" w:rsidRDefault="002C0FD9" w:rsidP="00CA25CF">
            <w:pPr>
              <w:rPr>
                <w:rFonts w:cs="Arial"/>
                <w:color w:val="FF0000"/>
                <w:sz w:val="21"/>
                <w:szCs w:val="21"/>
              </w:rPr>
            </w:pPr>
          </w:p>
        </w:tc>
        <w:tc>
          <w:tcPr>
            <w:tcW w:w="217" w:type="dxa"/>
          </w:tcPr>
          <w:p w14:paraId="598EC079" w14:textId="77777777" w:rsidR="002C0FD9" w:rsidRPr="00CA25CF" w:rsidRDefault="002C0FD9" w:rsidP="00CA25CF">
            <w:pPr>
              <w:rPr>
                <w:rFonts w:cs="Arial"/>
                <w:color w:val="FF0000"/>
                <w:sz w:val="21"/>
                <w:szCs w:val="21"/>
              </w:rPr>
            </w:pPr>
          </w:p>
        </w:tc>
        <w:tc>
          <w:tcPr>
            <w:tcW w:w="217" w:type="dxa"/>
          </w:tcPr>
          <w:p w14:paraId="547AC53C" w14:textId="77777777" w:rsidR="002C0FD9" w:rsidRPr="00CA25CF" w:rsidRDefault="002C0FD9" w:rsidP="00CA25CF">
            <w:pPr>
              <w:rPr>
                <w:rFonts w:cs="Arial"/>
                <w:color w:val="FF0000"/>
                <w:sz w:val="21"/>
                <w:szCs w:val="21"/>
              </w:rPr>
            </w:pPr>
          </w:p>
        </w:tc>
        <w:tc>
          <w:tcPr>
            <w:tcW w:w="217" w:type="dxa"/>
          </w:tcPr>
          <w:p w14:paraId="04ED827D" w14:textId="77777777" w:rsidR="002C0FD9" w:rsidRPr="00CA25CF" w:rsidRDefault="002C0FD9" w:rsidP="00CA25CF">
            <w:pPr>
              <w:rPr>
                <w:rFonts w:cs="Arial"/>
                <w:color w:val="FF0000"/>
                <w:sz w:val="21"/>
                <w:szCs w:val="21"/>
              </w:rPr>
            </w:pPr>
          </w:p>
        </w:tc>
        <w:tc>
          <w:tcPr>
            <w:tcW w:w="217" w:type="dxa"/>
          </w:tcPr>
          <w:p w14:paraId="26B3BA45" w14:textId="77777777" w:rsidR="002C0FD9" w:rsidRPr="00CA25CF" w:rsidRDefault="002C0FD9" w:rsidP="00CA25CF">
            <w:pPr>
              <w:rPr>
                <w:rFonts w:cs="Arial"/>
                <w:color w:val="FF0000"/>
                <w:sz w:val="21"/>
                <w:szCs w:val="21"/>
              </w:rPr>
            </w:pPr>
          </w:p>
        </w:tc>
        <w:tc>
          <w:tcPr>
            <w:tcW w:w="217" w:type="dxa"/>
          </w:tcPr>
          <w:p w14:paraId="57FDC022" w14:textId="77777777" w:rsidR="002C0FD9" w:rsidRPr="00CA25CF" w:rsidRDefault="002C0FD9" w:rsidP="00CA25CF">
            <w:pPr>
              <w:rPr>
                <w:rFonts w:cs="Arial"/>
                <w:color w:val="FF0000"/>
                <w:sz w:val="21"/>
                <w:szCs w:val="21"/>
              </w:rPr>
            </w:pPr>
          </w:p>
        </w:tc>
      </w:tr>
      <w:tr w:rsidR="002C0FD9" w:rsidRPr="00A16219" w14:paraId="1E0CC4FE" w14:textId="77777777" w:rsidTr="002C0FD9">
        <w:trPr>
          <w:trHeight w:val="635"/>
        </w:trPr>
        <w:tc>
          <w:tcPr>
            <w:tcW w:w="515" w:type="dxa"/>
          </w:tcPr>
          <w:p w14:paraId="47E28F13" w14:textId="77777777" w:rsidR="002C0FD9" w:rsidRPr="00CA25CF" w:rsidRDefault="002C0FD9" w:rsidP="00CA25CF">
            <w:pPr>
              <w:rPr>
                <w:rFonts w:cs="Arial"/>
                <w:color w:val="FF0000"/>
                <w:sz w:val="21"/>
                <w:szCs w:val="21"/>
              </w:rPr>
            </w:pPr>
          </w:p>
        </w:tc>
        <w:tc>
          <w:tcPr>
            <w:tcW w:w="217" w:type="dxa"/>
          </w:tcPr>
          <w:p w14:paraId="5997B2A1" w14:textId="77777777" w:rsidR="002C0FD9" w:rsidRPr="00CA25CF" w:rsidRDefault="002C0FD9" w:rsidP="00CA25CF">
            <w:pPr>
              <w:rPr>
                <w:rFonts w:cs="Arial"/>
                <w:color w:val="FF0000"/>
                <w:sz w:val="21"/>
                <w:szCs w:val="21"/>
              </w:rPr>
            </w:pPr>
          </w:p>
        </w:tc>
        <w:tc>
          <w:tcPr>
            <w:tcW w:w="217" w:type="dxa"/>
          </w:tcPr>
          <w:p w14:paraId="2BACA574" w14:textId="77777777" w:rsidR="002C0FD9" w:rsidRPr="00CA25CF" w:rsidRDefault="002C0FD9" w:rsidP="00CA25CF">
            <w:pPr>
              <w:rPr>
                <w:rFonts w:cs="Arial"/>
                <w:color w:val="FF0000"/>
                <w:sz w:val="21"/>
                <w:szCs w:val="21"/>
              </w:rPr>
            </w:pPr>
          </w:p>
        </w:tc>
        <w:tc>
          <w:tcPr>
            <w:tcW w:w="217" w:type="dxa"/>
          </w:tcPr>
          <w:p w14:paraId="19541A40" w14:textId="77777777" w:rsidR="002C0FD9" w:rsidRPr="00CA25CF" w:rsidRDefault="002C0FD9" w:rsidP="00CA25CF">
            <w:pPr>
              <w:rPr>
                <w:rFonts w:cs="Arial"/>
                <w:color w:val="FF0000"/>
                <w:sz w:val="21"/>
                <w:szCs w:val="21"/>
              </w:rPr>
            </w:pPr>
          </w:p>
        </w:tc>
        <w:tc>
          <w:tcPr>
            <w:tcW w:w="217" w:type="dxa"/>
          </w:tcPr>
          <w:p w14:paraId="4A7FCB30" w14:textId="77777777" w:rsidR="002C0FD9" w:rsidRPr="00CA25CF" w:rsidRDefault="002C0FD9" w:rsidP="00CA25CF">
            <w:pPr>
              <w:rPr>
                <w:rFonts w:cs="Arial"/>
                <w:color w:val="FF0000"/>
                <w:sz w:val="21"/>
                <w:szCs w:val="21"/>
              </w:rPr>
            </w:pPr>
          </w:p>
        </w:tc>
        <w:tc>
          <w:tcPr>
            <w:tcW w:w="217" w:type="dxa"/>
          </w:tcPr>
          <w:p w14:paraId="23A2C449" w14:textId="77777777" w:rsidR="002C0FD9" w:rsidRPr="00CA25CF" w:rsidRDefault="002C0FD9" w:rsidP="00CA25CF">
            <w:pPr>
              <w:rPr>
                <w:rFonts w:cs="Arial"/>
                <w:color w:val="FF0000"/>
                <w:sz w:val="21"/>
                <w:szCs w:val="21"/>
              </w:rPr>
            </w:pPr>
          </w:p>
        </w:tc>
        <w:tc>
          <w:tcPr>
            <w:tcW w:w="217" w:type="dxa"/>
          </w:tcPr>
          <w:p w14:paraId="3650E1D0" w14:textId="77777777" w:rsidR="002C0FD9" w:rsidRPr="00CA25CF" w:rsidRDefault="002C0FD9" w:rsidP="00CA25CF">
            <w:pPr>
              <w:rPr>
                <w:rFonts w:cs="Arial"/>
                <w:color w:val="FF0000"/>
                <w:sz w:val="21"/>
                <w:szCs w:val="21"/>
              </w:rPr>
            </w:pPr>
          </w:p>
        </w:tc>
        <w:tc>
          <w:tcPr>
            <w:tcW w:w="217" w:type="dxa"/>
          </w:tcPr>
          <w:p w14:paraId="57F3B25E" w14:textId="77777777" w:rsidR="002C0FD9" w:rsidRPr="00CA25CF" w:rsidRDefault="002C0FD9" w:rsidP="00CA25CF">
            <w:pPr>
              <w:rPr>
                <w:rFonts w:cs="Arial"/>
                <w:color w:val="FF0000"/>
                <w:sz w:val="21"/>
                <w:szCs w:val="21"/>
              </w:rPr>
            </w:pPr>
          </w:p>
        </w:tc>
        <w:tc>
          <w:tcPr>
            <w:tcW w:w="217" w:type="dxa"/>
          </w:tcPr>
          <w:p w14:paraId="3B0E96C4" w14:textId="77777777" w:rsidR="002C0FD9" w:rsidRPr="00CA25CF" w:rsidRDefault="002C0FD9" w:rsidP="00CA25CF">
            <w:pPr>
              <w:rPr>
                <w:rFonts w:cs="Arial"/>
                <w:color w:val="FF0000"/>
                <w:sz w:val="21"/>
                <w:szCs w:val="21"/>
              </w:rPr>
            </w:pPr>
          </w:p>
        </w:tc>
        <w:tc>
          <w:tcPr>
            <w:tcW w:w="217" w:type="dxa"/>
          </w:tcPr>
          <w:p w14:paraId="39BAB625" w14:textId="77777777" w:rsidR="002C0FD9" w:rsidRPr="00CA25CF" w:rsidRDefault="002C0FD9" w:rsidP="00CA25CF">
            <w:pPr>
              <w:rPr>
                <w:rFonts w:cs="Arial"/>
                <w:color w:val="FF0000"/>
                <w:sz w:val="21"/>
                <w:szCs w:val="21"/>
              </w:rPr>
            </w:pPr>
          </w:p>
        </w:tc>
        <w:tc>
          <w:tcPr>
            <w:tcW w:w="217" w:type="dxa"/>
          </w:tcPr>
          <w:p w14:paraId="4AEA7438" w14:textId="77777777" w:rsidR="002C0FD9" w:rsidRPr="00CA25CF" w:rsidRDefault="002C0FD9" w:rsidP="00CA25CF">
            <w:pPr>
              <w:rPr>
                <w:rFonts w:cs="Arial"/>
                <w:color w:val="FF0000"/>
                <w:sz w:val="21"/>
                <w:szCs w:val="21"/>
              </w:rPr>
            </w:pPr>
          </w:p>
        </w:tc>
        <w:tc>
          <w:tcPr>
            <w:tcW w:w="217" w:type="dxa"/>
          </w:tcPr>
          <w:p w14:paraId="1F796CD3" w14:textId="77777777" w:rsidR="002C0FD9" w:rsidRPr="00CA25CF" w:rsidRDefault="002C0FD9" w:rsidP="00CA25CF">
            <w:pPr>
              <w:rPr>
                <w:rFonts w:cs="Arial"/>
                <w:color w:val="FF0000"/>
                <w:sz w:val="21"/>
                <w:szCs w:val="21"/>
              </w:rPr>
            </w:pPr>
          </w:p>
        </w:tc>
        <w:tc>
          <w:tcPr>
            <w:tcW w:w="217" w:type="dxa"/>
          </w:tcPr>
          <w:p w14:paraId="1050A463" w14:textId="77777777" w:rsidR="002C0FD9" w:rsidRPr="00CA25CF" w:rsidRDefault="002C0FD9" w:rsidP="00CA25CF">
            <w:pPr>
              <w:rPr>
                <w:rFonts w:cs="Arial"/>
                <w:color w:val="FF0000"/>
                <w:sz w:val="21"/>
                <w:szCs w:val="21"/>
              </w:rPr>
            </w:pPr>
          </w:p>
        </w:tc>
        <w:tc>
          <w:tcPr>
            <w:tcW w:w="217" w:type="dxa"/>
          </w:tcPr>
          <w:p w14:paraId="00BF1341" w14:textId="77777777" w:rsidR="002C0FD9" w:rsidRPr="00CA25CF" w:rsidRDefault="002C0FD9" w:rsidP="00CA25CF">
            <w:pPr>
              <w:rPr>
                <w:rFonts w:cs="Arial"/>
                <w:color w:val="FF0000"/>
                <w:sz w:val="21"/>
                <w:szCs w:val="21"/>
              </w:rPr>
            </w:pPr>
          </w:p>
        </w:tc>
        <w:tc>
          <w:tcPr>
            <w:tcW w:w="217" w:type="dxa"/>
          </w:tcPr>
          <w:p w14:paraId="3D525B50" w14:textId="77777777" w:rsidR="002C0FD9" w:rsidRPr="00CA25CF" w:rsidRDefault="002C0FD9" w:rsidP="00CA25CF">
            <w:pPr>
              <w:rPr>
                <w:rFonts w:cs="Arial"/>
                <w:color w:val="FF0000"/>
                <w:sz w:val="21"/>
                <w:szCs w:val="21"/>
              </w:rPr>
            </w:pPr>
          </w:p>
        </w:tc>
        <w:tc>
          <w:tcPr>
            <w:tcW w:w="217" w:type="dxa"/>
          </w:tcPr>
          <w:p w14:paraId="1B85D678" w14:textId="77777777" w:rsidR="002C0FD9" w:rsidRPr="00CA25CF" w:rsidRDefault="002C0FD9" w:rsidP="00CA25CF">
            <w:pPr>
              <w:rPr>
                <w:rFonts w:cs="Arial"/>
                <w:color w:val="FF0000"/>
                <w:sz w:val="21"/>
                <w:szCs w:val="21"/>
              </w:rPr>
            </w:pPr>
          </w:p>
        </w:tc>
        <w:tc>
          <w:tcPr>
            <w:tcW w:w="217" w:type="dxa"/>
          </w:tcPr>
          <w:p w14:paraId="788186B1" w14:textId="77777777" w:rsidR="002C0FD9" w:rsidRPr="00CA25CF" w:rsidRDefault="002C0FD9" w:rsidP="00CA25CF">
            <w:pPr>
              <w:rPr>
                <w:rFonts w:cs="Arial"/>
                <w:color w:val="FF0000"/>
                <w:sz w:val="21"/>
                <w:szCs w:val="21"/>
              </w:rPr>
            </w:pPr>
          </w:p>
        </w:tc>
        <w:tc>
          <w:tcPr>
            <w:tcW w:w="217" w:type="dxa"/>
          </w:tcPr>
          <w:p w14:paraId="1C1930FC" w14:textId="77777777" w:rsidR="002C0FD9" w:rsidRPr="00CA25CF" w:rsidRDefault="002C0FD9" w:rsidP="00CA25CF">
            <w:pPr>
              <w:rPr>
                <w:rFonts w:cs="Arial"/>
                <w:color w:val="FF0000"/>
                <w:sz w:val="21"/>
                <w:szCs w:val="21"/>
              </w:rPr>
            </w:pPr>
          </w:p>
        </w:tc>
        <w:tc>
          <w:tcPr>
            <w:tcW w:w="217" w:type="dxa"/>
          </w:tcPr>
          <w:p w14:paraId="0D78F09E" w14:textId="77777777" w:rsidR="002C0FD9" w:rsidRPr="00CA25CF" w:rsidRDefault="002C0FD9" w:rsidP="00CA25CF">
            <w:pPr>
              <w:rPr>
                <w:rFonts w:cs="Arial"/>
                <w:color w:val="FF0000"/>
                <w:sz w:val="21"/>
                <w:szCs w:val="21"/>
              </w:rPr>
            </w:pPr>
          </w:p>
        </w:tc>
        <w:tc>
          <w:tcPr>
            <w:tcW w:w="217" w:type="dxa"/>
          </w:tcPr>
          <w:p w14:paraId="73B3924C" w14:textId="77777777" w:rsidR="002C0FD9" w:rsidRPr="00CA25CF" w:rsidRDefault="002C0FD9" w:rsidP="00CA25CF">
            <w:pPr>
              <w:rPr>
                <w:rFonts w:cs="Arial"/>
                <w:color w:val="FF0000"/>
                <w:sz w:val="21"/>
                <w:szCs w:val="21"/>
              </w:rPr>
            </w:pPr>
          </w:p>
        </w:tc>
        <w:tc>
          <w:tcPr>
            <w:tcW w:w="217" w:type="dxa"/>
          </w:tcPr>
          <w:p w14:paraId="4B005097" w14:textId="77777777" w:rsidR="002C0FD9" w:rsidRPr="00CA25CF" w:rsidRDefault="002C0FD9" w:rsidP="00CA25CF">
            <w:pPr>
              <w:rPr>
                <w:rFonts w:cs="Arial"/>
                <w:color w:val="FF0000"/>
                <w:sz w:val="21"/>
                <w:szCs w:val="21"/>
              </w:rPr>
            </w:pPr>
          </w:p>
        </w:tc>
        <w:tc>
          <w:tcPr>
            <w:tcW w:w="217" w:type="dxa"/>
          </w:tcPr>
          <w:p w14:paraId="662088BF" w14:textId="77777777" w:rsidR="002C0FD9" w:rsidRPr="00CA25CF" w:rsidRDefault="002C0FD9" w:rsidP="00CA25CF">
            <w:pPr>
              <w:rPr>
                <w:rFonts w:cs="Arial"/>
                <w:color w:val="FF0000"/>
                <w:sz w:val="21"/>
                <w:szCs w:val="21"/>
              </w:rPr>
            </w:pPr>
          </w:p>
        </w:tc>
        <w:tc>
          <w:tcPr>
            <w:tcW w:w="217" w:type="dxa"/>
          </w:tcPr>
          <w:p w14:paraId="092AE3B4" w14:textId="77777777" w:rsidR="002C0FD9" w:rsidRPr="00CA25CF" w:rsidRDefault="002C0FD9" w:rsidP="00CA25CF">
            <w:pPr>
              <w:rPr>
                <w:rFonts w:cs="Arial"/>
                <w:color w:val="FF0000"/>
                <w:sz w:val="21"/>
                <w:szCs w:val="21"/>
              </w:rPr>
            </w:pPr>
          </w:p>
        </w:tc>
        <w:tc>
          <w:tcPr>
            <w:tcW w:w="217" w:type="dxa"/>
          </w:tcPr>
          <w:p w14:paraId="4D6E1B79" w14:textId="77777777" w:rsidR="002C0FD9" w:rsidRPr="00CA25CF" w:rsidRDefault="002C0FD9" w:rsidP="00CA25CF">
            <w:pPr>
              <w:rPr>
                <w:rFonts w:cs="Arial"/>
                <w:color w:val="FF0000"/>
                <w:sz w:val="21"/>
                <w:szCs w:val="21"/>
              </w:rPr>
            </w:pPr>
          </w:p>
        </w:tc>
        <w:tc>
          <w:tcPr>
            <w:tcW w:w="217" w:type="dxa"/>
          </w:tcPr>
          <w:p w14:paraId="1420DBCF" w14:textId="77777777" w:rsidR="002C0FD9" w:rsidRPr="00CA25CF" w:rsidRDefault="002C0FD9" w:rsidP="00CA25CF">
            <w:pPr>
              <w:rPr>
                <w:rFonts w:cs="Arial"/>
                <w:color w:val="FF0000"/>
                <w:sz w:val="21"/>
                <w:szCs w:val="21"/>
              </w:rPr>
            </w:pPr>
          </w:p>
        </w:tc>
        <w:tc>
          <w:tcPr>
            <w:tcW w:w="217" w:type="dxa"/>
          </w:tcPr>
          <w:p w14:paraId="4B9D486D" w14:textId="77777777" w:rsidR="002C0FD9" w:rsidRPr="00CA25CF" w:rsidRDefault="002C0FD9" w:rsidP="00CA25CF">
            <w:pPr>
              <w:rPr>
                <w:rFonts w:cs="Arial"/>
                <w:color w:val="FF0000"/>
                <w:sz w:val="21"/>
                <w:szCs w:val="21"/>
              </w:rPr>
            </w:pPr>
          </w:p>
        </w:tc>
        <w:tc>
          <w:tcPr>
            <w:tcW w:w="217" w:type="dxa"/>
          </w:tcPr>
          <w:p w14:paraId="6BF04839" w14:textId="77777777" w:rsidR="002C0FD9" w:rsidRPr="00CA25CF" w:rsidRDefault="002C0FD9" w:rsidP="00CA25CF">
            <w:pPr>
              <w:rPr>
                <w:rFonts w:cs="Arial"/>
                <w:color w:val="FF0000"/>
                <w:sz w:val="21"/>
                <w:szCs w:val="21"/>
              </w:rPr>
            </w:pPr>
          </w:p>
        </w:tc>
        <w:tc>
          <w:tcPr>
            <w:tcW w:w="217" w:type="dxa"/>
          </w:tcPr>
          <w:p w14:paraId="7C0FAF9C" w14:textId="77777777" w:rsidR="002C0FD9" w:rsidRPr="00CA25CF" w:rsidRDefault="002C0FD9" w:rsidP="00CA25CF">
            <w:pPr>
              <w:rPr>
                <w:rFonts w:cs="Arial"/>
                <w:color w:val="FF0000"/>
                <w:sz w:val="21"/>
                <w:szCs w:val="21"/>
              </w:rPr>
            </w:pPr>
          </w:p>
        </w:tc>
        <w:tc>
          <w:tcPr>
            <w:tcW w:w="217" w:type="dxa"/>
          </w:tcPr>
          <w:p w14:paraId="00D0EC16" w14:textId="77777777" w:rsidR="002C0FD9" w:rsidRPr="00CA25CF" w:rsidRDefault="002C0FD9" w:rsidP="00CA25CF">
            <w:pPr>
              <w:rPr>
                <w:rFonts w:cs="Arial"/>
                <w:color w:val="FF0000"/>
                <w:sz w:val="21"/>
                <w:szCs w:val="21"/>
              </w:rPr>
            </w:pPr>
          </w:p>
        </w:tc>
        <w:tc>
          <w:tcPr>
            <w:tcW w:w="217" w:type="dxa"/>
          </w:tcPr>
          <w:p w14:paraId="69FDB792" w14:textId="77777777" w:rsidR="002C0FD9" w:rsidRPr="00CA25CF" w:rsidRDefault="002C0FD9" w:rsidP="00CA25CF">
            <w:pPr>
              <w:rPr>
                <w:rFonts w:cs="Arial"/>
                <w:color w:val="FF0000"/>
                <w:sz w:val="21"/>
                <w:szCs w:val="21"/>
              </w:rPr>
            </w:pPr>
          </w:p>
        </w:tc>
        <w:tc>
          <w:tcPr>
            <w:tcW w:w="217" w:type="dxa"/>
          </w:tcPr>
          <w:p w14:paraId="457842FE" w14:textId="77777777" w:rsidR="002C0FD9" w:rsidRPr="00CA25CF" w:rsidRDefault="002C0FD9" w:rsidP="00CA25CF">
            <w:pPr>
              <w:rPr>
                <w:rFonts w:cs="Arial"/>
                <w:color w:val="FF0000"/>
                <w:sz w:val="21"/>
                <w:szCs w:val="21"/>
              </w:rPr>
            </w:pPr>
          </w:p>
        </w:tc>
        <w:tc>
          <w:tcPr>
            <w:tcW w:w="217" w:type="dxa"/>
          </w:tcPr>
          <w:p w14:paraId="31AEDF3E" w14:textId="77777777" w:rsidR="002C0FD9" w:rsidRPr="00CA25CF" w:rsidRDefault="002C0FD9" w:rsidP="00CA25CF">
            <w:pPr>
              <w:rPr>
                <w:rFonts w:cs="Arial"/>
                <w:color w:val="FF0000"/>
                <w:sz w:val="21"/>
                <w:szCs w:val="21"/>
              </w:rPr>
            </w:pPr>
          </w:p>
        </w:tc>
        <w:tc>
          <w:tcPr>
            <w:tcW w:w="217" w:type="dxa"/>
          </w:tcPr>
          <w:p w14:paraId="1CB7269E" w14:textId="77777777" w:rsidR="002C0FD9" w:rsidRPr="00CA25CF" w:rsidRDefault="002C0FD9" w:rsidP="00CA25CF">
            <w:pPr>
              <w:rPr>
                <w:rFonts w:cs="Arial"/>
                <w:color w:val="FF0000"/>
                <w:sz w:val="21"/>
                <w:szCs w:val="21"/>
              </w:rPr>
            </w:pPr>
          </w:p>
        </w:tc>
        <w:tc>
          <w:tcPr>
            <w:tcW w:w="217" w:type="dxa"/>
          </w:tcPr>
          <w:p w14:paraId="39512DC0" w14:textId="77777777" w:rsidR="002C0FD9" w:rsidRPr="00CA25CF" w:rsidRDefault="002C0FD9" w:rsidP="00CA25CF">
            <w:pPr>
              <w:rPr>
                <w:rFonts w:cs="Arial"/>
                <w:color w:val="FF0000"/>
                <w:sz w:val="21"/>
                <w:szCs w:val="21"/>
              </w:rPr>
            </w:pPr>
          </w:p>
        </w:tc>
        <w:tc>
          <w:tcPr>
            <w:tcW w:w="217" w:type="dxa"/>
          </w:tcPr>
          <w:p w14:paraId="7A54FAFC" w14:textId="77777777" w:rsidR="002C0FD9" w:rsidRPr="00CA25CF" w:rsidRDefault="002C0FD9" w:rsidP="00CA25CF">
            <w:pPr>
              <w:rPr>
                <w:rFonts w:cs="Arial"/>
                <w:color w:val="FF0000"/>
                <w:sz w:val="21"/>
                <w:szCs w:val="21"/>
              </w:rPr>
            </w:pPr>
          </w:p>
        </w:tc>
        <w:tc>
          <w:tcPr>
            <w:tcW w:w="217" w:type="dxa"/>
          </w:tcPr>
          <w:p w14:paraId="292D8664" w14:textId="77777777" w:rsidR="002C0FD9" w:rsidRPr="00CA25CF" w:rsidRDefault="002C0FD9" w:rsidP="00CA25CF">
            <w:pPr>
              <w:rPr>
                <w:rFonts w:cs="Arial"/>
                <w:color w:val="FF0000"/>
                <w:sz w:val="21"/>
                <w:szCs w:val="21"/>
              </w:rPr>
            </w:pPr>
          </w:p>
        </w:tc>
        <w:tc>
          <w:tcPr>
            <w:tcW w:w="217" w:type="dxa"/>
          </w:tcPr>
          <w:p w14:paraId="528972EF" w14:textId="77777777" w:rsidR="002C0FD9" w:rsidRPr="00CA25CF" w:rsidRDefault="002C0FD9" w:rsidP="00CA25CF">
            <w:pPr>
              <w:rPr>
                <w:rFonts w:cs="Arial"/>
                <w:color w:val="FF0000"/>
                <w:sz w:val="21"/>
                <w:szCs w:val="21"/>
              </w:rPr>
            </w:pPr>
          </w:p>
        </w:tc>
        <w:tc>
          <w:tcPr>
            <w:tcW w:w="217" w:type="dxa"/>
          </w:tcPr>
          <w:p w14:paraId="7E0B1509" w14:textId="77777777" w:rsidR="002C0FD9" w:rsidRPr="00CA25CF" w:rsidRDefault="002C0FD9" w:rsidP="00CA25CF">
            <w:pPr>
              <w:rPr>
                <w:rFonts w:cs="Arial"/>
                <w:color w:val="FF0000"/>
                <w:sz w:val="21"/>
                <w:szCs w:val="21"/>
              </w:rPr>
            </w:pPr>
          </w:p>
        </w:tc>
        <w:tc>
          <w:tcPr>
            <w:tcW w:w="217" w:type="dxa"/>
          </w:tcPr>
          <w:p w14:paraId="0A32EEC9" w14:textId="77777777" w:rsidR="002C0FD9" w:rsidRPr="00CA25CF" w:rsidRDefault="002C0FD9" w:rsidP="00CA25CF">
            <w:pPr>
              <w:rPr>
                <w:rFonts w:cs="Arial"/>
                <w:color w:val="FF0000"/>
                <w:sz w:val="21"/>
                <w:szCs w:val="21"/>
              </w:rPr>
            </w:pPr>
          </w:p>
        </w:tc>
        <w:tc>
          <w:tcPr>
            <w:tcW w:w="217" w:type="dxa"/>
          </w:tcPr>
          <w:p w14:paraId="5EFF59E1" w14:textId="77777777" w:rsidR="002C0FD9" w:rsidRPr="00CA25CF" w:rsidRDefault="002C0FD9" w:rsidP="00CA25CF">
            <w:pPr>
              <w:rPr>
                <w:rFonts w:cs="Arial"/>
                <w:color w:val="FF0000"/>
                <w:sz w:val="21"/>
                <w:szCs w:val="21"/>
              </w:rPr>
            </w:pPr>
          </w:p>
        </w:tc>
        <w:tc>
          <w:tcPr>
            <w:tcW w:w="217" w:type="dxa"/>
          </w:tcPr>
          <w:p w14:paraId="0527E3CF" w14:textId="77777777" w:rsidR="002C0FD9" w:rsidRPr="00CA25CF" w:rsidRDefault="002C0FD9" w:rsidP="00CA25CF">
            <w:pPr>
              <w:rPr>
                <w:rFonts w:cs="Arial"/>
                <w:color w:val="FF0000"/>
                <w:sz w:val="21"/>
                <w:szCs w:val="21"/>
              </w:rPr>
            </w:pPr>
          </w:p>
        </w:tc>
        <w:tc>
          <w:tcPr>
            <w:tcW w:w="217" w:type="dxa"/>
          </w:tcPr>
          <w:p w14:paraId="665B3238" w14:textId="77777777" w:rsidR="002C0FD9" w:rsidRPr="00CA25CF" w:rsidRDefault="002C0FD9" w:rsidP="00CA25CF">
            <w:pPr>
              <w:rPr>
                <w:rFonts w:cs="Arial"/>
                <w:color w:val="FF0000"/>
                <w:sz w:val="21"/>
                <w:szCs w:val="21"/>
              </w:rPr>
            </w:pPr>
          </w:p>
        </w:tc>
        <w:tc>
          <w:tcPr>
            <w:tcW w:w="217" w:type="dxa"/>
          </w:tcPr>
          <w:p w14:paraId="53A28D1F" w14:textId="77777777" w:rsidR="002C0FD9" w:rsidRPr="00CA25CF" w:rsidRDefault="002C0FD9" w:rsidP="00CA25CF">
            <w:pPr>
              <w:rPr>
                <w:rFonts w:cs="Arial"/>
                <w:color w:val="FF0000"/>
                <w:sz w:val="21"/>
                <w:szCs w:val="21"/>
              </w:rPr>
            </w:pPr>
          </w:p>
        </w:tc>
      </w:tr>
      <w:tr w:rsidR="002C0FD9" w:rsidRPr="00A16219" w14:paraId="0AF1FD82" w14:textId="77777777" w:rsidTr="002C0FD9">
        <w:trPr>
          <w:trHeight w:val="635"/>
        </w:trPr>
        <w:tc>
          <w:tcPr>
            <w:tcW w:w="515" w:type="dxa"/>
          </w:tcPr>
          <w:p w14:paraId="6AEDF8DF" w14:textId="77777777" w:rsidR="002C0FD9" w:rsidRPr="00CA25CF" w:rsidRDefault="002C0FD9" w:rsidP="00CA25CF">
            <w:pPr>
              <w:rPr>
                <w:rFonts w:cs="Arial"/>
                <w:color w:val="FF0000"/>
                <w:sz w:val="21"/>
                <w:szCs w:val="21"/>
              </w:rPr>
            </w:pPr>
          </w:p>
        </w:tc>
        <w:tc>
          <w:tcPr>
            <w:tcW w:w="217" w:type="dxa"/>
          </w:tcPr>
          <w:p w14:paraId="4671707B" w14:textId="77777777" w:rsidR="002C0FD9" w:rsidRPr="00CA25CF" w:rsidRDefault="002C0FD9" w:rsidP="00CA25CF">
            <w:pPr>
              <w:rPr>
                <w:rFonts w:cs="Arial"/>
                <w:color w:val="FF0000"/>
                <w:sz w:val="21"/>
                <w:szCs w:val="21"/>
              </w:rPr>
            </w:pPr>
          </w:p>
        </w:tc>
        <w:tc>
          <w:tcPr>
            <w:tcW w:w="217" w:type="dxa"/>
          </w:tcPr>
          <w:p w14:paraId="08F50710" w14:textId="77777777" w:rsidR="002C0FD9" w:rsidRPr="00CA25CF" w:rsidRDefault="002C0FD9" w:rsidP="00CA25CF">
            <w:pPr>
              <w:rPr>
                <w:rFonts w:cs="Arial"/>
                <w:color w:val="FF0000"/>
                <w:sz w:val="21"/>
                <w:szCs w:val="21"/>
              </w:rPr>
            </w:pPr>
          </w:p>
        </w:tc>
        <w:tc>
          <w:tcPr>
            <w:tcW w:w="217" w:type="dxa"/>
          </w:tcPr>
          <w:p w14:paraId="3B1CA543" w14:textId="77777777" w:rsidR="002C0FD9" w:rsidRPr="00CA25CF" w:rsidRDefault="002C0FD9" w:rsidP="00CA25CF">
            <w:pPr>
              <w:rPr>
                <w:rFonts w:cs="Arial"/>
                <w:color w:val="FF0000"/>
                <w:sz w:val="21"/>
                <w:szCs w:val="21"/>
              </w:rPr>
            </w:pPr>
          </w:p>
        </w:tc>
        <w:tc>
          <w:tcPr>
            <w:tcW w:w="217" w:type="dxa"/>
          </w:tcPr>
          <w:p w14:paraId="54FCDADF" w14:textId="77777777" w:rsidR="002C0FD9" w:rsidRPr="00CA25CF" w:rsidRDefault="002C0FD9" w:rsidP="00CA25CF">
            <w:pPr>
              <w:rPr>
                <w:rFonts w:cs="Arial"/>
                <w:color w:val="FF0000"/>
                <w:sz w:val="21"/>
                <w:szCs w:val="21"/>
              </w:rPr>
            </w:pPr>
          </w:p>
        </w:tc>
        <w:tc>
          <w:tcPr>
            <w:tcW w:w="217" w:type="dxa"/>
          </w:tcPr>
          <w:p w14:paraId="03658D8F" w14:textId="77777777" w:rsidR="002C0FD9" w:rsidRPr="00CA25CF" w:rsidRDefault="002C0FD9" w:rsidP="00CA25CF">
            <w:pPr>
              <w:rPr>
                <w:rFonts w:cs="Arial"/>
                <w:color w:val="FF0000"/>
                <w:sz w:val="21"/>
                <w:szCs w:val="21"/>
              </w:rPr>
            </w:pPr>
          </w:p>
        </w:tc>
        <w:tc>
          <w:tcPr>
            <w:tcW w:w="217" w:type="dxa"/>
          </w:tcPr>
          <w:p w14:paraId="69F453AE" w14:textId="77777777" w:rsidR="002C0FD9" w:rsidRPr="00CA25CF" w:rsidRDefault="002C0FD9" w:rsidP="00CA25CF">
            <w:pPr>
              <w:rPr>
                <w:rFonts w:cs="Arial"/>
                <w:color w:val="FF0000"/>
                <w:sz w:val="21"/>
                <w:szCs w:val="21"/>
              </w:rPr>
            </w:pPr>
          </w:p>
        </w:tc>
        <w:tc>
          <w:tcPr>
            <w:tcW w:w="217" w:type="dxa"/>
          </w:tcPr>
          <w:p w14:paraId="5D3B24E8" w14:textId="77777777" w:rsidR="002C0FD9" w:rsidRPr="00CA25CF" w:rsidRDefault="002C0FD9" w:rsidP="00CA25CF">
            <w:pPr>
              <w:rPr>
                <w:rFonts w:cs="Arial"/>
                <w:color w:val="FF0000"/>
                <w:sz w:val="21"/>
                <w:szCs w:val="21"/>
              </w:rPr>
            </w:pPr>
          </w:p>
        </w:tc>
        <w:tc>
          <w:tcPr>
            <w:tcW w:w="217" w:type="dxa"/>
          </w:tcPr>
          <w:p w14:paraId="4103CB4C" w14:textId="77777777" w:rsidR="002C0FD9" w:rsidRPr="00CA25CF" w:rsidRDefault="002C0FD9" w:rsidP="00CA25CF">
            <w:pPr>
              <w:rPr>
                <w:rFonts w:cs="Arial"/>
                <w:color w:val="FF0000"/>
                <w:sz w:val="21"/>
                <w:szCs w:val="21"/>
              </w:rPr>
            </w:pPr>
          </w:p>
        </w:tc>
        <w:tc>
          <w:tcPr>
            <w:tcW w:w="217" w:type="dxa"/>
          </w:tcPr>
          <w:p w14:paraId="499AF57B" w14:textId="77777777" w:rsidR="002C0FD9" w:rsidRPr="00CA25CF" w:rsidRDefault="002C0FD9" w:rsidP="00CA25CF">
            <w:pPr>
              <w:rPr>
                <w:rFonts w:cs="Arial"/>
                <w:color w:val="FF0000"/>
                <w:sz w:val="21"/>
                <w:szCs w:val="21"/>
              </w:rPr>
            </w:pPr>
          </w:p>
        </w:tc>
        <w:tc>
          <w:tcPr>
            <w:tcW w:w="217" w:type="dxa"/>
          </w:tcPr>
          <w:p w14:paraId="58C8457A" w14:textId="77777777" w:rsidR="002C0FD9" w:rsidRPr="00CA25CF" w:rsidRDefault="002C0FD9" w:rsidP="00CA25CF">
            <w:pPr>
              <w:rPr>
                <w:rFonts w:cs="Arial"/>
                <w:color w:val="FF0000"/>
                <w:sz w:val="21"/>
                <w:szCs w:val="21"/>
              </w:rPr>
            </w:pPr>
          </w:p>
        </w:tc>
        <w:tc>
          <w:tcPr>
            <w:tcW w:w="217" w:type="dxa"/>
          </w:tcPr>
          <w:p w14:paraId="161E3257" w14:textId="77777777" w:rsidR="002C0FD9" w:rsidRPr="00CA25CF" w:rsidRDefault="002C0FD9" w:rsidP="00CA25CF">
            <w:pPr>
              <w:rPr>
                <w:rFonts w:cs="Arial"/>
                <w:color w:val="FF0000"/>
                <w:sz w:val="21"/>
                <w:szCs w:val="21"/>
              </w:rPr>
            </w:pPr>
          </w:p>
        </w:tc>
        <w:tc>
          <w:tcPr>
            <w:tcW w:w="217" w:type="dxa"/>
          </w:tcPr>
          <w:p w14:paraId="1F7DDEFE" w14:textId="77777777" w:rsidR="002C0FD9" w:rsidRPr="00CA25CF" w:rsidRDefault="002C0FD9" w:rsidP="00CA25CF">
            <w:pPr>
              <w:rPr>
                <w:rFonts w:cs="Arial"/>
                <w:color w:val="FF0000"/>
                <w:sz w:val="21"/>
                <w:szCs w:val="21"/>
              </w:rPr>
            </w:pPr>
          </w:p>
        </w:tc>
        <w:tc>
          <w:tcPr>
            <w:tcW w:w="217" w:type="dxa"/>
          </w:tcPr>
          <w:p w14:paraId="3AE07045" w14:textId="77777777" w:rsidR="002C0FD9" w:rsidRPr="00CA25CF" w:rsidRDefault="002C0FD9" w:rsidP="00CA25CF">
            <w:pPr>
              <w:rPr>
                <w:rFonts w:cs="Arial"/>
                <w:color w:val="FF0000"/>
                <w:sz w:val="21"/>
                <w:szCs w:val="21"/>
              </w:rPr>
            </w:pPr>
          </w:p>
        </w:tc>
        <w:tc>
          <w:tcPr>
            <w:tcW w:w="217" w:type="dxa"/>
          </w:tcPr>
          <w:p w14:paraId="4F3FD12B" w14:textId="77777777" w:rsidR="002C0FD9" w:rsidRPr="00CA25CF" w:rsidRDefault="002C0FD9" w:rsidP="00CA25CF">
            <w:pPr>
              <w:rPr>
                <w:rFonts w:cs="Arial"/>
                <w:color w:val="FF0000"/>
                <w:sz w:val="21"/>
                <w:szCs w:val="21"/>
              </w:rPr>
            </w:pPr>
          </w:p>
        </w:tc>
        <w:tc>
          <w:tcPr>
            <w:tcW w:w="217" w:type="dxa"/>
          </w:tcPr>
          <w:p w14:paraId="5E48511C" w14:textId="77777777" w:rsidR="002C0FD9" w:rsidRPr="00CA25CF" w:rsidRDefault="002C0FD9" w:rsidP="00CA25CF">
            <w:pPr>
              <w:rPr>
                <w:rFonts w:cs="Arial"/>
                <w:color w:val="FF0000"/>
                <w:sz w:val="21"/>
                <w:szCs w:val="21"/>
              </w:rPr>
            </w:pPr>
          </w:p>
        </w:tc>
        <w:tc>
          <w:tcPr>
            <w:tcW w:w="217" w:type="dxa"/>
          </w:tcPr>
          <w:p w14:paraId="175C8DFE" w14:textId="77777777" w:rsidR="002C0FD9" w:rsidRPr="00CA25CF" w:rsidRDefault="002C0FD9" w:rsidP="00CA25CF">
            <w:pPr>
              <w:rPr>
                <w:rFonts w:cs="Arial"/>
                <w:color w:val="FF0000"/>
                <w:sz w:val="21"/>
                <w:szCs w:val="21"/>
              </w:rPr>
            </w:pPr>
          </w:p>
        </w:tc>
        <w:tc>
          <w:tcPr>
            <w:tcW w:w="217" w:type="dxa"/>
          </w:tcPr>
          <w:p w14:paraId="54C0158D" w14:textId="77777777" w:rsidR="002C0FD9" w:rsidRPr="00CA25CF" w:rsidRDefault="002C0FD9" w:rsidP="00CA25CF">
            <w:pPr>
              <w:rPr>
                <w:rFonts w:cs="Arial"/>
                <w:color w:val="FF0000"/>
                <w:sz w:val="21"/>
                <w:szCs w:val="21"/>
              </w:rPr>
            </w:pPr>
          </w:p>
        </w:tc>
        <w:tc>
          <w:tcPr>
            <w:tcW w:w="217" w:type="dxa"/>
          </w:tcPr>
          <w:p w14:paraId="6807989D" w14:textId="77777777" w:rsidR="002C0FD9" w:rsidRPr="00CA25CF" w:rsidRDefault="002C0FD9" w:rsidP="00CA25CF">
            <w:pPr>
              <w:rPr>
                <w:rFonts w:cs="Arial"/>
                <w:color w:val="FF0000"/>
                <w:sz w:val="21"/>
                <w:szCs w:val="21"/>
              </w:rPr>
            </w:pPr>
          </w:p>
        </w:tc>
        <w:tc>
          <w:tcPr>
            <w:tcW w:w="217" w:type="dxa"/>
          </w:tcPr>
          <w:p w14:paraId="0676A970" w14:textId="77777777" w:rsidR="002C0FD9" w:rsidRPr="00CA25CF" w:rsidRDefault="002C0FD9" w:rsidP="00CA25CF">
            <w:pPr>
              <w:rPr>
                <w:rFonts w:cs="Arial"/>
                <w:color w:val="FF0000"/>
                <w:sz w:val="21"/>
                <w:szCs w:val="21"/>
              </w:rPr>
            </w:pPr>
          </w:p>
        </w:tc>
        <w:tc>
          <w:tcPr>
            <w:tcW w:w="217" w:type="dxa"/>
          </w:tcPr>
          <w:p w14:paraId="114EDE78" w14:textId="77777777" w:rsidR="002C0FD9" w:rsidRPr="00CA25CF" w:rsidRDefault="002C0FD9" w:rsidP="00CA25CF">
            <w:pPr>
              <w:rPr>
                <w:rFonts w:cs="Arial"/>
                <w:color w:val="FF0000"/>
                <w:sz w:val="21"/>
                <w:szCs w:val="21"/>
              </w:rPr>
            </w:pPr>
          </w:p>
        </w:tc>
        <w:tc>
          <w:tcPr>
            <w:tcW w:w="217" w:type="dxa"/>
          </w:tcPr>
          <w:p w14:paraId="19B95E97" w14:textId="77777777" w:rsidR="002C0FD9" w:rsidRPr="00CA25CF" w:rsidRDefault="002C0FD9" w:rsidP="00CA25CF">
            <w:pPr>
              <w:rPr>
                <w:rFonts w:cs="Arial"/>
                <w:color w:val="FF0000"/>
                <w:sz w:val="21"/>
                <w:szCs w:val="21"/>
              </w:rPr>
            </w:pPr>
          </w:p>
        </w:tc>
        <w:tc>
          <w:tcPr>
            <w:tcW w:w="217" w:type="dxa"/>
          </w:tcPr>
          <w:p w14:paraId="776E74C9" w14:textId="77777777" w:rsidR="002C0FD9" w:rsidRPr="00CA25CF" w:rsidRDefault="002C0FD9" w:rsidP="00CA25CF">
            <w:pPr>
              <w:rPr>
                <w:rFonts w:cs="Arial"/>
                <w:color w:val="FF0000"/>
                <w:sz w:val="21"/>
                <w:szCs w:val="21"/>
              </w:rPr>
            </w:pPr>
          </w:p>
        </w:tc>
        <w:tc>
          <w:tcPr>
            <w:tcW w:w="217" w:type="dxa"/>
          </w:tcPr>
          <w:p w14:paraId="63832A1E" w14:textId="77777777" w:rsidR="002C0FD9" w:rsidRPr="00CA25CF" w:rsidRDefault="002C0FD9" w:rsidP="00CA25CF">
            <w:pPr>
              <w:rPr>
                <w:rFonts w:cs="Arial"/>
                <w:color w:val="FF0000"/>
                <w:sz w:val="21"/>
                <w:szCs w:val="21"/>
              </w:rPr>
            </w:pPr>
          </w:p>
        </w:tc>
        <w:tc>
          <w:tcPr>
            <w:tcW w:w="217" w:type="dxa"/>
          </w:tcPr>
          <w:p w14:paraId="39F3BEB4" w14:textId="77777777" w:rsidR="002C0FD9" w:rsidRPr="00CA25CF" w:rsidRDefault="002C0FD9" w:rsidP="00CA25CF">
            <w:pPr>
              <w:rPr>
                <w:rFonts w:cs="Arial"/>
                <w:color w:val="FF0000"/>
                <w:sz w:val="21"/>
                <w:szCs w:val="21"/>
              </w:rPr>
            </w:pPr>
          </w:p>
        </w:tc>
        <w:tc>
          <w:tcPr>
            <w:tcW w:w="217" w:type="dxa"/>
          </w:tcPr>
          <w:p w14:paraId="56E7D841" w14:textId="77777777" w:rsidR="002C0FD9" w:rsidRPr="00CA25CF" w:rsidRDefault="002C0FD9" w:rsidP="00CA25CF">
            <w:pPr>
              <w:rPr>
                <w:rFonts w:cs="Arial"/>
                <w:color w:val="FF0000"/>
                <w:sz w:val="21"/>
                <w:szCs w:val="21"/>
              </w:rPr>
            </w:pPr>
          </w:p>
        </w:tc>
        <w:tc>
          <w:tcPr>
            <w:tcW w:w="217" w:type="dxa"/>
          </w:tcPr>
          <w:p w14:paraId="17601FCA" w14:textId="77777777" w:rsidR="002C0FD9" w:rsidRPr="00CA25CF" w:rsidRDefault="002C0FD9" w:rsidP="00CA25CF">
            <w:pPr>
              <w:rPr>
                <w:rFonts w:cs="Arial"/>
                <w:color w:val="FF0000"/>
                <w:sz w:val="21"/>
                <w:szCs w:val="21"/>
              </w:rPr>
            </w:pPr>
          </w:p>
        </w:tc>
        <w:tc>
          <w:tcPr>
            <w:tcW w:w="217" w:type="dxa"/>
          </w:tcPr>
          <w:p w14:paraId="5DB04A9E" w14:textId="77777777" w:rsidR="002C0FD9" w:rsidRPr="00CA25CF" w:rsidRDefault="002C0FD9" w:rsidP="00CA25CF">
            <w:pPr>
              <w:rPr>
                <w:rFonts w:cs="Arial"/>
                <w:color w:val="FF0000"/>
                <w:sz w:val="21"/>
                <w:szCs w:val="21"/>
              </w:rPr>
            </w:pPr>
          </w:p>
        </w:tc>
        <w:tc>
          <w:tcPr>
            <w:tcW w:w="217" w:type="dxa"/>
          </w:tcPr>
          <w:p w14:paraId="4F2B7F1E" w14:textId="77777777" w:rsidR="002C0FD9" w:rsidRPr="00CA25CF" w:rsidRDefault="002C0FD9" w:rsidP="00CA25CF">
            <w:pPr>
              <w:rPr>
                <w:rFonts w:cs="Arial"/>
                <w:color w:val="FF0000"/>
                <w:sz w:val="21"/>
                <w:szCs w:val="21"/>
              </w:rPr>
            </w:pPr>
          </w:p>
        </w:tc>
        <w:tc>
          <w:tcPr>
            <w:tcW w:w="217" w:type="dxa"/>
          </w:tcPr>
          <w:p w14:paraId="52B87511" w14:textId="77777777" w:rsidR="002C0FD9" w:rsidRPr="00CA25CF" w:rsidRDefault="002C0FD9" w:rsidP="00CA25CF">
            <w:pPr>
              <w:rPr>
                <w:rFonts w:cs="Arial"/>
                <w:color w:val="FF0000"/>
                <w:sz w:val="21"/>
                <w:szCs w:val="21"/>
              </w:rPr>
            </w:pPr>
          </w:p>
        </w:tc>
        <w:tc>
          <w:tcPr>
            <w:tcW w:w="217" w:type="dxa"/>
          </w:tcPr>
          <w:p w14:paraId="096FFED8" w14:textId="77777777" w:rsidR="002C0FD9" w:rsidRPr="00CA25CF" w:rsidRDefault="002C0FD9" w:rsidP="00CA25CF">
            <w:pPr>
              <w:rPr>
                <w:rFonts w:cs="Arial"/>
                <w:color w:val="FF0000"/>
                <w:sz w:val="21"/>
                <w:szCs w:val="21"/>
              </w:rPr>
            </w:pPr>
          </w:p>
        </w:tc>
        <w:tc>
          <w:tcPr>
            <w:tcW w:w="217" w:type="dxa"/>
          </w:tcPr>
          <w:p w14:paraId="28906D00" w14:textId="77777777" w:rsidR="002C0FD9" w:rsidRPr="00CA25CF" w:rsidRDefault="002C0FD9" w:rsidP="00CA25CF">
            <w:pPr>
              <w:rPr>
                <w:rFonts w:cs="Arial"/>
                <w:color w:val="FF0000"/>
                <w:sz w:val="21"/>
                <w:szCs w:val="21"/>
              </w:rPr>
            </w:pPr>
          </w:p>
        </w:tc>
        <w:tc>
          <w:tcPr>
            <w:tcW w:w="217" w:type="dxa"/>
          </w:tcPr>
          <w:p w14:paraId="47B26C3F" w14:textId="77777777" w:rsidR="002C0FD9" w:rsidRPr="00CA25CF" w:rsidRDefault="002C0FD9" w:rsidP="00CA25CF">
            <w:pPr>
              <w:rPr>
                <w:rFonts w:cs="Arial"/>
                <w:color w:val="FF0000"/>
                <w:sz w:val="21"/>
                <w:szCs w:val="21"/>
              </w:rPr>
            </w:pPr>
          </w:p>
        </w:tc>
        <w:tc>
          <w:tcPr>
            <w:tcW w:w="217" w:type="dxa"/>
          </w:tcPr>
          <w:p w14:paraId="22EF7F29" w14:textId="77777777" w:rsidR="002C0FD9" w:rsidRPr="00CA25CF" w:rsidRDefault="002C0FD9" w:rsidP="00CA25CF">
            <w:pPr>
              <w:rPr>
                <w:rFonts w:cs="Arial"/>
                <w:color w:val="FF0000"/>
                <w:sz w:val="21"/>
                <w:szCs w:val="21"/>
              </w:rPr>
            </w:pPr>
          </w:p>
        </w:tc>
        <w:tc>
          <w:tcPr>
            <w:tcW w:w="217" w:type="dxa"/>
          </w:tcPr>
          <w:p w14:paraId="58EE0C4E" w14:textId="77777777" w:rsidR="002C0FD9" w:rsidRPr="00CA25CF" w:rsidRDefault="002C0FD9" w:rsidP="00CA25CF">
            <w:pPr>
              <w:rPr>
                <w:rFonts w:cs="Arial"/>
                <w:color w:val="FF0000"/>
                <w:sz w:val="21"/>
                <w:szCs w:val="21"/>
              </w:rPr>
            </w:pPr>
          </w:p>
        </w:tc>
        <w:tc>
          <w:tcPr>
            <w:tcW w:w="217" w:type="dxa"/>
          </w:tcPr>
          <w:p w14:paraId="3F5ADFF5" w14:textId="77777777" w:rsidR="002C0FD9" w:rsidRPr="00CA25CF" w:rsidRDefault="002C0FD9" w:rsidP="00CA25CF">
            <w:pPr>
              <w:rPr>
                <w:rFonts w:cs="Arial"/>
                <w:color w:val="FF0000"/>
                <w:sz w:val="21"/>
                <w:szCs w:val="21"/>
              </w:rPr>
            </w:pPr>
          </w:p>
        </w:tc>
        <w:tc>
          <w:tcPr>
            <w:tcW w:w="217" w:type="dxa"/>
          </w:tcPr>
          <w:p w14:paraId="1C4E88C2" w14:textId="77777777" w:rsidR="002C0FD9" w:rsidRPr="00CA25CF" w:rsidRDefault="002C0FD9" w:rsidP="00CA25CF">
            <w:pPr>
              <w:rPr>
                <w:rFonts w:cs="Arial"/>
                <w:color w:val="FF0000"/>
                <w:sz w:val="21"/>
                <w:szCs w:val="21"/>
              </w:rPr>
            </w:pPr>
          </w:p>
        </w:tc>
        <w:tc>
          <w:tcPr>
            <w:tcW w:w="217" w:type="dxa"/>
          </w:tcPr>
          <w:p w14:paraId="0BE12A49" w14:textId="77777777" w:rsidR="002C0FD9" w:rsidRPr="00CA25CF" w:rsidRDefault="002C0FD9" w:rsidP="00CA25CF">
            <w:pPr>
              <w:rPr>
                <w:rFonts w:cs="Arial"/>
                <w:color w:val="FF0000"/>
                <w:sz w:val="21"/>
                <w:szCs w:val="21"/>
              </w:rPr>
            </w:pPr>
          </w:p>
        </w:tc>
        <w:tc>
          <w:tcPr>
            <w:tcW w:w="217" w:type="dxa"/>
          </w:tcPr>
          <w:p w14:paraId="581FE1A6" w14:textId="77777777" w:rsidR="002C0FD9" w:rsidRPr="00CA25CF" w:rsidRDefault="002C0FD9" w:rsidP="00CA25CF">
            <w:pPr>
              <w:rPr>
                <w:rFonts w:cs="Arial"/>
                <w:color w:val="FF0000"/>
                <w:sz w:val="21"/>
                <w:szCs w:val="21"/>
              </w:rPr>
            </w:pPr>
          </w:p>
        </w:tc>
        <w:tc>
          <w:tcPr>
            <w:tcW w:w="217" w:type="dxa"/>
          </w:tcPr>
          <w:p w14:paraId="5A2080CF" w14:textId="77777777" w:rsidR="002C0FD9" w:rsidRPr="00CA25CF" w:rsidRDefault="002C0FD9" w:rsidP="00CA25CF">
            <w:pPr>
              <w:rPr>
                <w:rFonts w:cs="Arial"/>
                <w:color w:val="FF0000"/>
                <w:sz w:val="21"/>
                <w:szCs w:val="21"/>
              </w:rPr>
            </w:pPr>
          </w:p>
        </w:tc>
        <w:tc>
          <w:tcPr>
            <w:tcW w:w="217" w:type="dxa"/>
          </w:tcPr>
          <w:p w14:paraId="2BFA676F" w14:textId="77777777" w:rsidR="002C0FD9" w:rsidRPr="00CA25CF" w:rsidRDefault="002C0FD9" w:rsidP="00CA25CF">
            <w:pPr>
              <w:rPr>
                <w:rFonts w:cs="Arial"/>
                <w:color w:val="FF0000"/>
                <w:sz w:val="21"/>
                <w:szCs w:val="21"/>
              </w:rPr>
            </w:pPr>
          </w:p>
        </w:tc>
        <w:tc>
          <w:tcPr>
            <w:tcW w:w="217" w:type="dxa"/>
          </w:tcPr>
          <w:p w14:paraId="405EC5D2" w14:textId="77777777" w:rsidR="002C0FD9" w:rsidRPr="00CA25CF" w:rsidRDefault="002C0FD9" w:rsidP="00CA25CF">
            <w:pPr>
              <w:rPr>
                <w:rFonts w:cs="Arial"/>
                <w:color w:val="FF0000"/>
                <w:sz w:val="21"/>
                <w:szCs w:val="21"/>
              </w:rPr>
            </w:pPr>
          </w:p>
        </w:tc>
        <w:tc>
          <w:tcPr>
            <w:tcW w:w="217" w:type="dxa"/>
          </w:tcPr>
          <w:p w14:paraId="0ED7E17C" w14:textId="77777777" w:rsidR="002C0FD9" w:rsidRPr="00CA25CF" w:rsidRDefault="002C0FD9" w:rsidP="00CA25CF">
            <w:pPr>
              <w:rPr>
                <w:rFonts w:cs="Arial"/>
                <w:color w:val="FF0000"/>
                <w:sz w:val="21"/>
                <w:szCs w:val="21"/>
              </w:rPr>
            </w:pPr>
          </w:p>
        </w:tc>
      </w:tr>
      <w:tr w:rsidR="002C0FD9" w:rsidRPr="00A16219" w14:paraId="53160A6A" w14:textId="77777777" w:rsidTr="002C0FD9">
        <w:trPr>
          <w:trHeight w:val="635"/>
        </w:trPr>
        <w:tc>
          <w:tcPr>
            <w:tcW w:w="515" w:type="dxa"/>
          </w:tcPr>
          <w:p w14:paraId="00972532" w14:textId="77777777" w:rsidR="002C0FD9" w:rsidRPr="00CA25CF" w:rsidRDefault="002C0FD9" w:rsidP="00CA25CF">
            <w:pPr>
              <w:rPr>
                <w:rFonts w:cs="Arial"/>
                <w:color w:val="FF0000"/>
                <w:sz w:val="21"/>
                <w:szCs w:val="21"/>
              </w:rPr>
            </w:pPr>
          </w:p>
        </w:tc>
        <w:tc>
          <w:tcPr>
            <w:tcW w:w="217" w:type="dxa"/>
          </w:tcPr>
          <w:p w14:paraId="417A8EC9" w14:textId="77777777" w:rsidR="002C0FD9" w:rsidRPr="00CA25CF" w:rsidRDefault="002C0FD9" w:rsidP="00CA25CF">
            <w:pPr>
              <w:rPr>
                <w:rFonts w:cs="Arial"/>
                <w:color w:val="FF0000"/>
                <w:sz w:val="21"/>
                <w:szCs w:val="21"/>
              </w:rPr>
            </w:pPr>
          </w:p>
        </w:tc>
        <w:tc>
          <w:tcPr>
            <w:tcW w:w="217" w:type="dxa"/>
          </w:tcPr>
          <w:p w14:paraId="15C48186" w14:textId="77777777" w:rsidR="002C0FD9" w:rsidRPr="00CA25CF" w:rsidRDefault="002C0FD9" w:rsidP="00CA25CF">
            <w:pPr>
              <w:rPr>
                <w:rFonts w:cs="Arial"/>
                <w:color w:val="FF0000"/>
                <w:sz w:val="21"/>
                <w:szCs w:val="21"/>
              </w:rPr>
            </w:pPr>
          </w:p>
        </w:tc>
        <w:tc>
          <w:tcPr>
            <w:tcW w:w="217" w:type="dxa"/>
          </w:tcPr>
          <w:p w14:paraId="2EA9C214" w14:textId="77777777" w:rsidR="002C0FD9" w:rsidRPr="00CA25CF" w:rsidRDefault="002C0FD9" w:rsidP="00CA25CF">
            <w:pPr>
              <w:rPr>
                <w:rFonts w:cs="Arial"/>
                <w:color w:val="FF0000"/>
                <w:sz w:val="21"/>
                <w:szCs w:val="21"/>
              </w:rPr>
            </w:pPr>
          </w:p>
        </w:tc>
        <w:tc>
          <w:tcPr>
            <w:tcW w:w="217" w:type="dxa"/>
          </w:tcPr>
          <w:p w14:paraId="41874F49" w14:textId="77777777" w:rsidR="002C0FD9" w:rsidRPr="00CA25CF" w:rsidRDefault="002C0FD9" w:rsidP="00CA25CF">
            <w:pPr>
              <w:rPr>
                <w:rFonts w:cs="Arial"/>
                <w:color w:val="FF0000"/>
                <w:sz w:val="21"/>
                <w:szCs w:val="21"/>
              </w:rPr>
            </w:pPr>
          </w:p>
        </w:tc>
        <w:tc>
          <w:tcPr>
            <w:tcW w:w="217" w:type="dxa"/>
          </w:tcPr>
          <w:p w14:paraId="7EF96B13" w14:textId="77777777" w:rsidR="002C0FD9" w:rsidRPr="00CA25CF" w:rsidRDefault="002C0FD9" w:rsidP="00CA25CF">
            <w:pPr>
              <w:rPr>
                <w:rFonts w:cs="Arial"/>
                <w:color w:val="FF0000"/>
                <w:sz w:val="21"/>
                <w:szCs w:val="21"/>
              </w:rPr>
            </w:pPr>
          </w:p>
        </w:tc>
        <w:tc>
          <w:tcPr>
            <w:tcW w:w="217" w:type="dxa"/>
          </w:tcPr>
          <w:p w14:paraId="418DA3A6" w14:textId="77777777" w:rsidR="002C0FD9" w:rsidRPr="00CA25CF" w:rsidRDefault="002C0FD9" w:rsidP="00CA25CF">
            <w:pPr>
              <w:rPr>
                <w:rFonts w:cs="Arial"/>
                <w:color w:val="FF0000"/>
                <w:sz w:val="21"/>
                <w:szCs w:val="21"/>
              </w:rPr>
            </w:pPr>
          </w:p>
        </w:tc>
        <w:tc>
          <w:tcPr>
            <w:tcW w:w="217" w:type="dxa"/>
          </w:tcPr>
          <w:p w14:paraId="71CBF8C9" w14:textId="77777777" w:rsidR="002C0FD9" w:rsidRPr="00CA25CF" w:rsidRDefault="002C0FD9" w:rsidP="00CA25CF">
            <w:pPr>
              <w:rPr>
                <w:rFonts w:cs="Arial"/>
                <w:color w:val="FF0000"/>
                <w:sz w:val="21"/>
                <w:szCs w:val="21"/>
              </w:rPr>
            </w:pPr>
          </w:p>
        </w:tc>
        <w:tc>
          <w:tcPr>
            <w:tcW w:w="217" w:type="dxa"/>
          </w:tcPr>
          <w:p w14:paraId="39141CEC" w14:textId="77777777" w:rsidR="002C0FD9" w:rsidRPr="00CA25CF" w:rsidRDefault="002C0FD9" w:rsidP="00CA25CF">
            <w:pPr>
              <w:rPr>
                <w:rFonts w:cs="Arial"/>
                <w:color w:val="FF0000"/>
                <w:sz w:val="21"/>
                <w:szCs w:val="21"/>
              </w:rPr>
            </w:pPr>
          </w:p>
        </w:tc>
        <w:tc>
          <w:tcPr>
            <w:tcW w:w="217" w:type="dxa"/>
          </w:tcPr>
          <w:p w14:paraId="53A664C5" w14:textId="77777777" w:rsidR="002C0FD9" w:rsidRPr="00CA25CF" w:rsidRDefault="002C0FD9" w:rsidP="00CA25CF">
            <w:pPr>
              <w:rPr>
                <w:rFonts w:cs="Arial"/>
                <w:color w:val="FF0000"/>
                <w:sz w:val="21"/>
                <w:szCs w:val="21"/>
              </w:rPr>
            </w:pPr>
          </w:p>
        </w:tc>
        <w:tc>
          <w:tcPr>
            <w:tcW w:w="217" w:type="dxa"/>
          </w:tcPr>
          <w:p w14:paraId="3174CE02" w14:textId="77777777" w:rsidR="002C0FD9" w:rsidRPr="00CA25CF" w:rsidRDefault="002C0FD9" w:rsidP="00CA25CF">
            <w:pPr>
              <w:rPr>
                <w:rFonts w:cs="Arial"/>
                <w:color w:val="FF0000"/>
                <w:sz w:val="21"/>
                <w:szCs w:val="21"/>
              </w:rPr>
            </w:pPr>
          </w:p>
        </w:tc>
        <w:tc>
          <w:tcPr>
            <w:tcW w:w="217" w:type="dxa"/>
          </w:tcPr>
          <w:p w14:paraId="690FE08A" w14:textId="77777777" w:rsidR="002C0FD9" w:rsidRPr="00CA25CF" w:rsidRDefault="002C0FD9" w:rsidP="00CA25CF">
            <w:pPr>
              <w:rPr>
                <w:rFonts w:cs="Arial"/>
                <w:color w:val="FF0000"/>
                <w:sz w:val="21"/>
                <w:szCs w:val="21"/>
              </w:rPr>
            </w:pPr>
          </w:p>
        </w:tc>
        <w:tc>
          <w:tcPr>
            <w:tcW w:w="217" w:type="dxa"/>
          </w:tcPr>
          <w:p w14:paraId="212608B8" w14:textId="77777777" w:rsidR="002C0FD9" w:rsidRPr="00CA25CF" w:rsidRDefault="002C0FD9" w:rsidP="00CA25CF">
            <w:pPr>
              <w:rPr>
                <w:rFonts w:cs="Arial"/>
                <w:color w:val="FF0000"/>
                <w:sz w:val="21"/>
                <w:szCs w:val="21"/>
              </w:rPr>
            </w:pPr>
          </w:p>
        </w:tc>
        <w:tc>
          <w:tcPr>
            <w:tcW w:w="217" w:type="dxa"/>
          </w:tcPr>
          <w:p w14:paraId="4B29349D" w14:textId="77777777" w:rsidR="002C0FD9" w:rsidRPr="00CA25CF" w:rsidRDefault="002C0FD9" w:rsidP="00CA25CF">
            <w:pPr>
              <w:rPr>
                <w:rFonts w:cs="Arial"/>
                <w:color w:val="FF0000"/>
                <w:sz w:val="21"/>
                <w:szCs w:val="21"/>
              </w:rPr>
            </w:pPr>
          </w:p>
        </w:tc>
        <w:tc>
          <w:tcPr>
            <w:tcW w:w="217" w:type="dxa"/>
          </w:tcPr>
          <w:p w14:paraId="06D4469A" w14:textId="77777777" w:rsidR="002C0FD9" w:rsidRPr="00CA25CF" w:rsidRDefault="002C0FD9" w:rsidP="00CA25CF">
            <w:pPr>
              <w:rPr>
                <w:rFonts w:cs="Arial"/>
                <w:color w:val="FF0000"/>
                <w:sz w:val="21"/>
                <w:szCs w:val="21"/>
              </w:rPr>
            </w:pPr>
          </w:p>
        </w:tc>
        <w:tc>
          <w:tcPr>
            <w:tcW w:w="217" w:type="dxa"/>
          </w:tcPr>
          <w:p w14:paraId="18A53413" w14:textId="77777777" w:rsidR="002C0FD9" w:rsidRPr="00CA25CF" w:rsidRDefault="002C0FD9" w:rsidP="00CA25CF">
            <w:pPr>
              <w:rPr>
                <w:rFonts w:cs="Arial"/>
                <w:color w:val="FF0000"/>
                <w:sz w:val="21"/>
                <w:szCs w:val="21"/>
              </w:rPr>
            </w:pPr>
          </w:p>
        </w:tc>
        <w:tc>
          <w:tcPr>
            <w:tcW w:w="217" w:type="dxa"/>
          </w:tcPr>
          <w:p w14:paraId="14CB843D" w14:textId="77777777" w:rsidR="002C0FD9" w:rsidRPr="00CA25CF" w:rsidRDefault="002C0FD9" w:rsidP="00CA25CF">
            <w:pPr>
              <w:rPr>
                <w:rFonts w:cs="Arial"/>
                <w:color w:val="FF0000"/>
                <w:sz w:val="21"/>
                <w:szCs w:val="21"/>
              </w:rPr>
            </w:pPr>
          </w:p>
        </w:tc>
        <w:tc>
          <w:tcPr>
            <w:tcW w:w="217" w:type="dxa"/>
          </w:tcPr>
          <w:p w14:paraId="5E9CC8A3" w14:textId="77777777" w:rsidR="002C0FD9" w:rsidRPr="00CA25CF" w:rsidRDefault="002C0FD9" w:rsidP="00CA25CF">
            <w:pPr>
              <w:rPr>
                <w:rFonts w:cs="Arial"/>
                <w:color w:val="FF0000"/>
                <w:sz w:val="21"/>
                <w:szCs w:val="21"/>
              </w:rPr>
            </w:pPr>
          </w:p>
        </w:tc>
        <w:tc>
          <w:tcPr>
            <w:tcW w:w="217" w:type="dxa"/>
          </w:tcPr>
          <w:p w14:paraId="3FCA030F" w14:textId="77777777" w:rsidR="002C0FD9" w:rsidRPr="00CA25CF" w:rsidRDefault="002C0FD9" w:rsidP="00CA25CF">
            <w:pPr>
              <w:rPr>
                <w:rFonts w:cs="Arial"/>
                <w:color w:val="FF0000"/>
                <w:sz w:val="21"/>
                <w:szCs w:val="21"/>
              </w:rPr>
            </w:pPr>
          </w:p>
        </w:tc>
        <w:tc>
          <w:tcPr>
            <w:tcW w:w="217" w:type="dxa"/>
          </w:tcPr>
          <w:p w14:paraId="43E43B3A" w14:textId="77777777" w:rsidR="002C0FD9" w:rsidRPr="00CA25CF" w:rsidRDefault="002C0FD9" w:rsidP="00CA25CF">
            <w:pPr>
              <w:rPr>
                <w:rFonts w:cs="Arial"/>
                <w:color w:val="FF0000"/>
                <w:sz w:val="21"/>
                <w:szCs w:val="21"/>
              </w:rPr>
            </w:pPr>
          </w:p>
        </w:tc>
        <w:tc>
          <w:tcPr>
            <w:tcW w:w="217" w:type="dxa"/>
          </w:tcPr>
          <w:p w14:paraId="25C105AD" w14:textId="77777777" w:rsidR="002C0FD9" w:rsidRPr="00CA25CF" w:rsidRDefault="002C0FD9" w:rsidP="00CA25CF">
            <w:pPr>
              <w:rPr>
                <w:rFonts w:cs="Arial"/>
                <w:color w:val="FF0000"/>
                <w:sz w:val="21"/>
                <w:szCs w:val="21"/>
              </w:rPr>
            </w:pPr>
          </w:p>
        </w:tc>
        <w:tc>
          <w:tcPr>
            <w:tcW w:w="217" w:type="dxa"/>
          </w:tcPr>
          <w:p w14:paraId="79037D02" w14:textId="77777777" w:rsidR="002C0FD9" w:rsidRPr="00CA25CF" w:rsidRDefault="002C0FD9" w:rsidP="00CA25CF">
            <w:pPr>
              <w:rPr>
                <w:rFonts w:cs="Arial"/>
                <w:color w:val="FF0000"/>
                <w:sz w:val="21"/>
                <w:szCs w:val="21"/>
              </w:rPr>
            </w:pPr>
          </w:p>
        </w:tc>
        <w:tc>
          <w:tcPr>
            <w:tcW w:w="217" w:type="dxa"/>
          </w:tcPr>
          <w:p w14:paraId="15DFBAA7" w14:textId="77777777" w:rsidR="002C0FD9" w:rsidRPr="00CA25CF" w:rsidRDefault="002C0FD9" w:rsidP="00CA25CF">
            <w:pPr>
              <w:rPr>
                <w:rFonts w:cs="Arial"/>
                <w:color w:val="FF0000"/>
                <w:sz w:val="21"/>
                <w:szCs w:val="21"/>
              </w:rPr>
            </w:pPr>
          </w:p>
        </w:tc>
        <w:tc>
          <w:tcPr>
            <w:tcW w:w="217" w:type="dxa"/>
          </w:tcPr>
          <w:p w14:paraId="430854FC" w14:textId="77777777" w:rsidR="002C0FD9" w:rsidRPr="00CA25CF" w:rsidRDefault="002C0FD9" w:rsidP="00CA25CF">
            <w:pPr>
              <w:rPr>
                <w:rFonts w:cs="Arial"/>
                <w:color w:val="FF0000"/>
                <w:sz w:val="21"/>
                <w:szCs w:val="21"/>
              </w:rPr>
            </w:pPr>
          </w:p>
        </w:tc>
        <w:tc>
          <w:tcPr>
            <w:tcW w:w="217" w:type="dxa"/>
          </w:tcPr>
          <w:p w14:paraId="31B129DB" w14:textId="77777777" w:rsidR="002C0FD9" w:rsidRPr="00CA25CF" w:rsidRDefault="002C0FD9" w:rsidP="00CA25CF">
            <w:pPr>
              <w:rPr>
                <w:rFonts w:cs="Arial"/>
                <w:color w:val="FF0000"/>
                <w:sz w:val="21"/>
                <w:szCs w:val="21"/>
              </w:rPr>
            </w:pPr>
          </w:p>
        </w:tc>
        <w:tc>
          <w:tcPr>
            <w:tcW w:w="217" w:type="dxa"/>
          </w:tcPr>
          <w:p w14:paraId="749F7605" w14:textId="77777777" w:rsidR="002C0FD9" w:rsidRPr="00CA25CF" w:rsidRDefault="002C0FD9" w:rsidP="00CA25CF">
            <w:pPr>
              <w:rPr>
                <w:rFonts w:cs="Arial"/>
                <w:color w:val="FF0000"/>
                <w:sz w:val="21"/>
                <w:szCs w:val="21"/>
              </w:rPr>
            </w:pPr>
          </w:p>
        </w:tc>
        <w:tc>
          <w:tcPr>
            <w:tcW w:w="217" w:type="dxa"/>
          </w:tcPr>
          <w:p w14:paraId="247F9840" w14:textId="77777777" w:rsidR="002C0FD9" w:rsidRPr="00CA25CF" w:rsidRDefault="002C0FD9" w:rsidP="00CA25CF">
            <w:pPr>
              <w:rPr>
                <w:rFonts w:cs="Arial"/>
                <w:color w:val="FF0000"/>
                <w:sz w:val="21"/>
                <w:szCs w:val="21"/>
              </w:rPr>
            </w:pPr>
          </w:p>
        </w:tc>
        <w:tc>
          <w:tcPr>
            <w:tcW w:w="217" w:type="dxa"/>
          </w:tcPr>
          <w:p w14:paraId="4E00A172" w14:textId="77777777" w:rsidR="002C0FD9" w:rsidRPr="00CA25CF" w:rsidRDefault="002C0FD9" w:rsidP="00CA25CF">
            <w:pPr>
              <w:rPr>
                <w:rFonts w:cs="Arial"/>
                <w:color w:val="FF0000"/>
                <w:sz w:val="21"/>
                <w:szCs w:val="21"/>
              </w:rPr>
            </w:pPr>
          </w:p>
        </w:tc>
        <w:tc>
          <w:tcPr>
            <w:tcW w:w="217" w:type="dxa"/>
          </w:tcPr>
          <w:p w14:paraId="093E7639" w14:textId="77777777" w:rsidR="002C0FD9" w:rsidRPr="00CA25CF" w:rsidRDefault="002C0FD9" w:rsidP="00CA25CF">
            <w:pPr>
              <w:rPr>
                <w:rFonts w:cs="Arial"/>
                <w:color w:val="FF0000"/>
                <w:sz w:val="21"/>
                <w:szCs w:val="21"/>
              </w:rPr>
            </w:pPr>
          </w:p>
        </w:tc>
        <w:tc>
          <w:tcPr>
            <w:tcW w:w="217" w:type="dxa"/>
          </w:tcPr>
          <w:p w14:paraId="3C4A1A16" w14:textId="77777777" w:rsidR="002C0FD9" w:rsidRPr="00CA25CF" w:rsidRDefault="002C0FD9" w:rsidP="00CA25CF">
            <w:pPr>
              <w:rPr>
                <w:rFonts w:cs="Arial"/>
                <w:color w:val="FF0000"/>
                <w:sz w:val="21"/>
                <w:szCs w:val="21"/>
              </w:rPr>
            </w:pPr>
          </w:p>
        </w:tc>
        <w:tc>
          <w:tcPr>
            <w:tcW w:w="217" w:type="dxa"/>
          </w:tcPr>
          <w:p w14:paraId="01D78C5F" w14:textId="77777777" w:rsidR="002C0FD9" w:rsidRPr="00CA25CF" w:rsidRDefault="002C0FD9" w:rsidP="00CA25CF">
            <w:pPr>
              <w:rPr>
                <w:rFonts w:cs="Arial"/>
                <w:color w:val="FF0000"/>
                <w:sz w:val="21"/>
                <w:szCs w:val="21"/>
              </w:rPr>
            </w:pPr>
          </w:p>
        </w:tc>
        <w:tc>
          <w:tcPr>
            <w:tcW w:w="217" w:type="dxa"/>
          </w:tcPr>
          <w:p w14:paraId="4530CBD6" w14:textId="77777777" w:rsidR="002C0FD9" w:rsidRPr="00CA25CF" w:rsidRDefault="002C0FD9" w:rsidP="00CA25CF">
            <w:pPr>
              <w:rPr>
                <w:rFonts w:cs="Arial"/>
                <w:color w:val="FF0000"/>
                <w:sz w:val="21"/>
                <w:szCs w:val="21"/>
              </w:rPr>
            </w:pPr>
          </w:p>
        </w:tc>
        <w:tc>
          <w:tcPr>
            <w:tcW w:w="217" w:type="dxa"/>
          </w:tcPr>
          <w:p w14:paraId="7C08BAD7" w14:textId="77777777" w:rsidR="002C0FD9" w:rsidRPr="00CA25CF" w:rsidRDefault="002C0FD9" w:rsidP="00CA25CF">
            <w:pPr>
              <w:rPr>
                <w:rFonts w:cs="Arial"/>
                <w:color w:val="FF0000"/>
                <w:sz w:val="21"/>
                <w:szCs w:val="21"/>
              </w:rPr>
            </w:pPr>
          </w:p>
        </w:tc>
        <w:tc>
          <w:tcPr>
            <w:tcW w:w="217" w:type="dxa"/>
          </w:tcPr>
          <w:p w14:paraId="75F4C2BD" w14:textId="77777777" w:rsidR="002C0FD9" w:rsidRPr="00CA25CF" w:rsidRDefault="002C0FD9" w:rsidP="00CA25CF">
            <w:pPr>
              <w:rPr>
                <w:rFonts w:cs="Arial"/>
                <w:color w:val="FF0000"/>
                <w:sz w:val="21"/>
                <w:szCs w:val="21"/>
              </w:rPr>
            </w:pPr>
          </w:p>
        </w:tc>
        <w:tc>
          <w:tcPr>
            <w:tcW w:w="217" w:type="dxa"/>
          </w:tcPr>
          <w:p w14:paraId="49DFB76F" w14:textId="77777777" w:rsidR="002C0FD9" w:rsidRPr="00CA25CF" w:rsidRDefault="002C0FD9" w:rsidP="00CA25CF">
            <w:pPr>
              <w:rPr>
                <w:rFonts w:cs="Arial"/>
                <w:color w:val="FF0000"/>
                <w:sz w:val="21"/>
                <w:szCs w:val="21"/>
              </w:rPr>
            </w:pPr>
          </w:p>
        </w:tc>
        <w:tc>
          <w:tcPr>
            <w:tcW w:w="217" w:type="dxa"/>
          </w:tcPr>
          <w:p w14:paraId="268CF105" w14:textId="77777777" w:rsidR="002C0FD9" w:rsidRPr="00CA25CF" w:rsidRDefault="002C0FD9" w:rsidP="00CA25CF">
            <w:pPr>
              <w:rPr>
                <w:rFonts w:cs="Arial"/>
                <w:color w:val="FF0000"/>
                <w:sz w:val="21"/>
                <w:szCs w:val="21"/>
              </w:rPr>
            </w:pPr>
          </w:p>
        </w:tc>
        <w:tc>
          <w:tcPr>
            <w:tcW w:w="217" w:type="dxa"/>
          </w:tcPr>
          <w:p w14:paraId="0807228A" w14:textId="77777777" w:rsidR="002C0FD9" w:rsidRPr="00CA25CF" w:rsidRDefault="002C0FD9" w:rsidP="00CA25CF">
            <w:pPr>
              <w:rPr>
                <w:rFonts w:cs="Arial"/>
                <w:color w:val="FF0000"/>
                <w:sz w:val="21"/>
                <w:szCs w:val="21"/>
              </w:rPr>
            </w:pPr>
          </w:p>
        </w:tc>
        <w:tc>
          <w:tcPr>
            <w:tcW w:w="217" w:type="dxa"/>
          </w:tcPr>
          <w:p w14:paraId="14C4B3D2" w14:textId="77777777" w:rsidR="002C0FD9" w:rsidRPr="00CA25CF" w:rsidRDefault="002C0FD9" w:rsidP="00CA25CF">
            <w:pPr>
              <w:rPr>
                <w:rFonts w:cs="Arial"/>
                <w:color w:val="FF0000"/>
                <w:sz w:val="21"/>
                <w:szCs w:val="21"/>
              </w:rPr>
            </w:pPr>
          </w:p>
        </w:tc>
        <w:tc>
          <w:tcPr>
            <w:tcW w:w="217" w:type="dxa"/>
          </w:tcPr>
          <w:p w14:paraId="59332ECB" w14:textId="77777777" w:rsidR="002C0FD9" w:rsidRPr="00CA25CF" w:rsidRDefault="002C0FD9" w:rsidP="00CA25CF">
            <w:pPr>
              <w:rPr>
                <w:rFonts w:cs="Arial"/>
                <w:color w:val="FF0000"/>
                <w:sz w:val="21"/>
                <w:szCs w:val="21"/>
              </w:rPr>
            </w:pPr>
          </w:p>
        </w:tc>
        <w:tc>
          <w:tcPr>
            <w:tcW w:w="217" w:type="dxa"/>
          </w:tcPr>
          <w:p w14:paraId="1B9701BB" w14:textId="77777777" w:rsidR="002C0FD9" w:rsidRPr="00CA25CF" w:rsidRDefault="002C0FD9" w:rsidP="00CA25CF">
            <w:pPr>
              <w:rPr>
                <w:rFonts w:cs="Arial"/>
                <w:color w:val="FF0000"/>
                <w:sz w:val="21"/>
                <w:szCs w:val="21"/>
              </w:rPr>
            </w:pPr>
          </w:p>
        </w:tc>
        <w:tc>
          <w:tcPr>
            <w:tcW w:w="217" w:type="dxa"/>
          </w:tcPr>
          <w:p w14:paraId="0B2A3090" w14:textId="77777777" w:rsidR="002C0FD9" w:rsidRPr="00CA25CF" w:rsidRDefault="002C0FD9" w:rsidP="00CA25CF">
            <w:pPr>
              <w:rPr>
                <w:rFonts w:cs="Arial"/>
                <w:color w:val="FF0000"/>
                <w:sz w:val="21"/>
                <w:szCs w:val="21"/>
              </w:rPr>
            </w:pPr>
          </w:p>
        </w:tc>
        <w:tc>
          <w:tcPr>
            <w:tcW w:w="217" w:type="dxa"/>
          </w:tcPr>
          <w:p w14:paraId="6C95BEAE" w14:textId="77777777" w:rsidR="002C0FD9" w:rsidRPr="00CA25CF" w:rsidRDefault="002C0FD9" w:rsidP="00CA25CF">
            <w:pPr>
              <w:rPr>
                <w:rFonts w:cs="Arial"/>
                <w:color w:val="FF0000"/>
                <w:sz w:val="21"/>
                <w:szCs w:val="21"/>
              </w:rPr>
            </w:pPr>
          </w:p>
        </w:tc>
        <w:tc>
          <w:tcPr>
            <w:tcW w:w="217" w:type="dxa"/>
          </w:tcPr>
          <w:p w14:paraId="47C10628" w14:textId="77777777" w:rsidR="002C0FD9" w:rsidRPr="00CA25CF" w:rsidRDefault="002C0FD9" w:rsidP="00CA25CF">
            <w:pPr>
              <w:rPr>
                <w:rFonts w:cs="Arial"/>
                <w:color w:val="FF0000"/>
                <w:sz w:val="21"/>
                <w:szCs w:val="21"/>
              </w:rPr>
            </w:pPr>
          </w:p>
        </w:tc>
      </w:tr>
      <w:tr w:rsidR="002C0FD9" w:rsidRPr="00A16219" w14:paraId="03690534" w14:textId="77777777" w:rsidTr="002C0FD9">
        <w:trPr>
          <w:trHeight w:val="635"/>
        </w:trPr>
        <w:tc>
          <w:tcPr>
            <w:tcW w:w="515" w:type="dxa"/>
          </w:tcPr>
          <w:p w14:paraId="0F9A7534" w14:textId="77777777" w:rsidR="002C0FD9" w:rsidRPr="00CA25CF" w:rsidRDefault="002C0FD9" w:rsidP="00CA25CF">
            <w:pPr>
              <w:rPr>
                <w:rFonts w:cs="Arial"/>
                <w:color w:val="FF0000"/>
                <w:sz w:val="21"/>
                <w:szCs w:val="21"/>
              </w:rPr>
            </w:pPr>
          </w:p>
        </w:tc>
        <w:tc>
          <w:tcPr>
            <w:tcW w:w="217" w:type="dxa"/>
          </w:tcPr>
          <w:p w14:paraId="338F0690" w14:textId="77777777" w:rsidR="002C0FD9" w:rsidRPr="00CA25CF" w:rsidRDefault="002C0FD9" w:rsidP="00CA25CF">
            <w:pPr>
              <w:rPr>
                <w:rFonts w:cs="Arial"/>
                <w:color w:val="FF0000"/>
                <w:sz w:val="21"/>
                <w:szCs w:val="21"/>
              </w:rPr>
            </w:pPr>
          </w:p>
        </w:tc>
        <w:tc>
          <w:tcPr>
            <w:tcW w:w="217" w:type="dxa"/>
          </w:tcPr>
          <w:p w14:paraId="10FB7E68" w14:textId="77777777" w:rsidR="002C0FD9" w:rsidRPr="00CA25CF" w:rsidRDefault="002C0FD9" w:rsidP="00CA25CF">
            <w:pPr>
              <w:rPr>
                <w:rFonts w:cs="Arial"/>
                <w:color w:val="FF0000"/>
                <w:sz w:val="21"/>
                <w:szCs w:val="21"/>
              </w:rPr>
            </w:pPr>
          </w:p>
        </w:tc>
        <w:tc>
          <w:tcPr>
            <w:tcW w:w="217" w:type="dxa"/>
          </w:tcPr>
          <w:p w14:paraId="1B2D292F" w14:textId="77777777" w:rsidR="002C0FD9" w:rsidRPr="00CA25CF" w:rsidRDefault="002C0FD9" w:rsidP="00CA25CF">
            <w:pPr>
              <w:rPr>
                <w:rFonts w:cs="Arial"/>
                <w:color w:val="FF0000"/>
                <w:sz w:val="21"/>
                <w:szCs w:val="21"/>
              </w:rPr>
            </w:pPr>
          </w:p>
        </w:tc>
        <w:tc>
          <w:tcPr>
            <w:tcW w:w="217" w:type="dxa"/>
          </w:tcPr>
          <w:p w14:paraId="2E91BBE7" w14:textId="77777777" w:rsidR="002C0FD9" w:rsidRPr="00CA25CF" w:rsidRDefault="002C0FD9" w:rsidP="00CA25CF">
            <w:pPr>
              <w:rPr>
                <w:rFonts w:cs="Arial"/>
                <w:color w:val="FF0000"/>
                <w:sz w:val="21"/>
                <w:szCs w:val="21"/>
              </w:rPr>
            </w:pPr>
          </w:p>
        </w:tc>
        <w:tc>
          <w:tcPr>
            <w:tcW w:w="217" w:type="dxa"/>
          </w:tcPr>
          <w:p w14:paraId="27E25FDE" w14:textId="77777777" w:rsidR="002C0FD9" w:rsidRPr="00CA25CF" w:rsidRDefault="002C0FD9" w:rsidP="00CA25CF">
            <w:pPr>
              <w:rPr>
                <w:rFonts w:cs="Arial"/>
                <w:color w:val="FF0000"/>
                <w:sz w:val="21"/>
                <w:szCs w:val="21"/>
              </w:rPr>
            </w:pPr>
          </w:p>
        </w:tc>
        <w:tc>
          <w:tcPr>
            <w:tcW w:w="217" w:type="dxa"/>
          </w:tcPr>
          <w:p w14:paraId="32847E0C" w14:textId="77777777" w:rsidR="002C0FD9" w:rsidRPr="00CA25CF" w:rsidRDefault="002C0FD9" w:rsidP="00CA25CF">
            <w:pPr>
              <w:rPr>
                <w:rFonts w:cs="Arial"/>
                <w:color w:val="FF0000"/>
                <w:sz w:val="21"/>
                <w:szCs w:val="21"/>
              </w:rPr>
            </w:pPr>
          </w:p>
        </w:tc>
        <w:tc>
          <w:tcPr>
            <w:tcW w:w="217" w:type="dxa"/>
          </w:tcPr>
          <w:p w14:paraId="1FE46741" w14:textId="77777777" w:rsidR="002C0FD9" w:rsidRPr="00CA25CF" w:rsidRDefault="002C0FD9" w:rsidP="00CA25CF">
            <w:pPr>
              <w:rPr>
                <w:rFonts w:cs="Arial"/>
                <w:color w:val="FF0000"/>
                <w:sz w:val="21"/>
                <w:szCs w:val="21"/>
              </w:rPr>
            </w:pPr>
          </w:p>
        </w:tc>
        <w:tc>
          <w:tcPr>
            <w:tcW w:w="217" w:type="dxa"/>
          </w:tcPr>
          <w:p w14:paraId="1859FABD" w14:textId="77777777" w:rsidR="002C0FD9" w:rsidRPr="00CA25CF" w:rsidRDefault="002C0FD9" w:rsidP="00CA25CF">
            <w:pPr>
              <w:rPr>
                <w:rFonts w:cs="Arial"/>
                <w:color w:val="FF0000"/>
                <w:sz w:val="21"/>
                <w:szCs w:val="21"/>
              </w:rPr>
            </w:pPr>
          </w:p>
        </w:tc>
        <w:tc>
          <w:tcPr>
            <w:tcW w:w="217" w:type="dxa"/>
          </w:tcPr>
          <w:p w14:paraId="4EF4DB22" w14:textId="77777777" w:rsidR="002C0FD9" w:rsidRPr="00CA25CF" w:rsidRDefault="002C0FD9" w:rsidP="00CA25CF">
            <w:pPr>
              <w:rPr>
                <w:rFonts w:cs="Arial"/>
                <w:color w:val="FF0000"/>
                <w:sz w:val="21"/>
                <w:szCs w:val="21"/>
              </w:rPr>
            </w:pPr>
          </w:p>
        </w:tc>
        <w:tc>
          <w:tcPr>
            <w:tcW w:w="217" w:type="dxa"/>
          </w:tcPr>
          <w:p w14:paraId="22878337" w14:textId="77777777" w:rsidR="002C0FD9" w:rsidRPr="00CA25CF" w:rsidRDefault="002C0FD9" w:rsidP="00CA25CF">
            <w:pPr>
              <w:rPr>
                <w:rFonts w:cs="Arial"/>
                <w:color w:val="FF0000"/>
                <w:sz w:val="21"/>
                <w:szCs w:val="21"/>
              </w:rPr>
            </w:pPr>
          </w:p>
        </w:tc>
        <w:tc>
          <w:tcPr>
            <w:tcW w:w="217" w:type="dxa"/>
          </w:tcPr>
          <w:p w14:paraId="43C1A2FB" w14:textId="77777777" w:rsidR="002C0FD9" w:rsidRPr="00CA25CF" w:rsidRDefault="002C0FD9" w:rsidP="00CA25CF">
            <w:pPr>
              <w:rPr>
                <w:rFonts w:cs="Arial"/>
                <w:color w:val="FF0000"/>
                <w:sz w:val="21"/>
                <w:szCs w:val="21"/>
              </w:rPr>
            </w:pPr>
          </w:p>
        </w:tc>
        <w:tc>
          <w:tcPr>
            <w:tcW w:w="217" w:type="dxa"/>
          </w:tcPr>
          <w:p w14:paraId="76965464" w14:textId="77777777" w:rsidR="002C0FD9" w:rsidRPr="00CA25CF" w:rsidRDefault="002C0FD9" w:rsidP="00CA25CF">
            <w:pPr>
              <w:rPr>
                <w:rFonts w:cs="Arial"/>
                <w:color w:val="FF0000"/>
                <w:sz w:val="21"/>
                <w:szCs w:val="21"/>
              </w:rPr>
            </w:pPr>
          </w:p>
        </w:tc>
        <w:tc>
          <w:tcPr>
            <w:tcW w:w="217" w:type="dxa"/>
          </w:tcPr>
          <w:p w14:paraId="00307F09" w14:textId="77777777" w:rsidR="002C0FD9" w:rsidRPr="00CA25CF" w:rsidRDefault="002C0FD9" w:rsidP="00CA25CF">
            <w:pPr>
              <w:rPr>
                <w:rFonts w:cs="Arial"/>
                <w:color w:val="FF0000"/>
                <w:sz w:val="21"/>
                <w:szCs w:val="21"/>
              </w:rPr>
            </w:pPr>
          </w:p>
        </w:tc>
        <w:tc>
          <w:tcPr>
            <w:tcW w:w="217" w:type="dxa"/>
          </w:tcPr>
          <w:p w14:paraId="5F8635BD" w14:textId="77777777" w:rsidR="002C0FD9" w:rsidRPr="00CA25CF" w:rsidRDefault="002C0FD9" w:rsidP="00CA25CF">
            <w:pPr>
              <w:rPr>
                <w:rFonts w:cs="Arial"/>
                <w:color w:val="FF0000"/>
                <w:sz w:val="21"/>
                <w:szCs w:val="21"/>
              </w:rPr>
            </w:pPr>
          </w:p>
        </w:tc>
        <w:tc>
          <w:tcPr>
            <w:tcW w:w="217" w:type="dxa"/>
          </w:tcPr>
          <w:p w14:paraId="3AC879B7" w14:textId="77777777" w:rsidR="002C0FD9" w:rsidRPr="00CA25CF" w:rsidRDefault="002C0FD9" w:rsidP="00CA25CF">
            <w:pPr>
              <w:rPr>
                <w:rFonts w:cs="Arial"/>
                <w:color w:val="FF0000"/>
                <w:sz w:val="21"/>
                <w:szCs w:val="21"/>
              </w:rPr>
            </w:pPr>
          </w:p>
        </w:tc>
        <w:tc>
          <w:tcPr>
            <w:tcW w:w="217" w:type="dxa"/>
          </w:tcPr>
          <w:p w14:paraId="37F2327B" w14:textId="77777777" w:rsidR="002C0FD9" w:rsidRPr="00CA25CF" w:rsidRDefault="002C0FD9" w:rsidP="00CA25CF">
            <w:pPr>
              <w:rPr>
                <w:rFonts w:cs="Arial"/>
                <w:color w:val="FF0000"/>
                <w:sz w:val="21"/>
                <w:szCs w:val="21"/>
              </w:rPr>
            </w:pPr>
          </w:p>
        </w:tc>
        <w:tc>
          <w:tcPr>
            <w:tcW w:w="217" w:type="dxa"/>
          </w:tcPr>
          <w:p w14:paraId="618759B8" w14:textId="77777777" w:rsidR="002C0FD9" w:rsidRPr="00CA25CF" w:rsidRDefault="002C0FD9" w:rsidP="00CA25CF">
            <w:pPr>
              <w:rPr>
                <w:rFonts w:cs="Arial"/>
                <w:color w:val="FF0000"/>
                <w:sz w:val="21"/>
                <w:szCs w:val="21"/>
              </w:rPr>
            </w:pPr>
          </w:p>
        </w:tc>
        <w:tc>
          <w:tcPr>
            <w:tcW w:w="217" w:type="dxa"/>
          </w:tcPr>
          <w:p w14:paraId="2089DB29" w14:textId="77777777" w:rsidR="002C0FD9" w:rsidRPr="00CA25CF" w:rsidRDefault="002C0FD9" w:rsidP="00CA25CF">
            <w:pPr>
              <w:rPr>
                <w:rFonts w:cs="Arial"/>
                <w:color w:val="FF0000"/>
                <w:sz w:val="21"/>
                <w:szCs w:val="21"/>
              </w:rPr>
            </w:pPr>
          </w:p>
        </w:tc>
        <w:tc>
          <w:tcPr>
            <w:tcW w:w="217" w:type="dxa"/>
          </w:tcPr>
          <w:p w14:paraId="63A97C46" w14:textId="77777777" w:rsidR="002C0FD9" w:rsidRPr="00CA25CF" w:rsidRDefault="002C0FD9" w:rsidP="00CA25CF">
            <w:pPr>
              <w:rPr>
                <w:rFonts w:cs="Arial"/>
                <w:color w:val="FF0000"/>
                <w:sz w:val="21"/>
                <w:szCs w:val="21"/>
              </w:rPr>
            </w:pPr>
          </w:p>
        </w:tc>
        <w:tc>
          <w:tcPr>
            <w:tcW w:w="217" w:type="dxa"/>
          </w:tcPr>
          <w:p w14:paraId="78117519" w14:textId="77777777" w:rsidR="002C0FD9" w:rsidRPr="00CA25CF" w:rsidRDefault="002C0FD9" w:rsidP="00CA25CF">
            <w:pPr>
              <w:rPr>
                <w:rFonts w:cs="Arial"/>
                <w:color w:val="FF0000"/>
                <w:sz w:val="21"/>
                <w:szCs w:val="21"/>
              </w:rPr>
            </w:pPr>
          </w:p>
        </w:tc>
        <w:tc>
          <w:tcPr>
            <w:tcW w:w="217" w:type="dxa"/>
          </w:tcPr>
          <w:p w14:paraId="50C640F5" w14:textId="77777777" w:rsidR="002C0FD9" w:rsidRPr="00CA25CF" w:rsidRDefault="002C0FD9" w:rsidP="00CA25CF">
            <w:pPr>
              <w:rPr>
                <w:rFonts w:cs="Arial"/>
                <w:color w:val="FF0000"/>
                <w:sz w:val="21"/>
                <w:szCs w:val="21"/>
              </w:rPr>
            </w:pPr>
          </w:p>
        </w:tc>
        <w:tc>
          <w:tcPr>
            <w:tcW w:w="217" w:type="dxa"/>
          </w:tcPr>
          <w:p w14:paraId="60B6E107" w14:textId="77777777" w:rsidR="002C0FD9" w:rsidRPr="00CA25CF" w:rsidRDefault="002C0FD9" w:rsidP="00CA25CF">
            <w:pPr>
              <w:rPr>
                <w:rFonts w:cs="Arial"/>
                <w:color w:val="FF0000"/>
                <w:sz w:val="21"/>
                <w:szCs w:val="21"/>
              </w:rPr>
            </w:pPr>
          </w:p>
        </w:tc>
        <w:tc>
          <w:tcPr>
            <w:tcW w:w="217" w:type="dxa"/>
          </w:tcPr>
          <w:p w14:paraId="62E3A434" w14:textId="77777777" w:rsidR="002C0FD9" w:rsidRPr="00CA25CF" w:rsidRDefault="002C0FD9" w:rsidP="00CA25CF">
            <w:pPr>
              <w:rPr>
                <w:rFonts w:cs="Arial"/>
                <w:color w:val="FF0000"/>
                <w:sz w:val="21"/>
                <w:szCs w:val="21"/>
              </w:rPr>
            </w:pPr>
          </w:p>
        </w:tc>
        <w:tc>
          <w:tcPr>
            <w:tcW w:w="217" w:type="dxa"/>
          </w:tcPr>
          <w:p w14:paraId="521F56DA" w14:textId="77777777" w:rsidR="002C0FD9" w:rsidRPr="00CA25CF" w:rsidRDefault="002C0FD9" w:rsidP="00CA25CF">
            <w:pPr>
              <w:rPr>
                <w:rFonts w:cs="Arial"/>
                <w:color w:val="FF0000"/>
                <w:sz w:val="21"/>
                <w:szCs w:val="21"/>
              </w:rPr>
            </w:pPr>
          </w:p>
        </w:tc>
        <w:tc>
          <w:tcPr>
            <w:tcW w:w="217" w:type="dxa"/>
          </w:tcPr>
          <w:p w14:paraId="1753BB9F" w14:textId="77777777" w:rsidR="002C0FD9" w:rsidRPr="00CA25CF" w:rsidRDefault="002C0FD9" w:rsidP="00CA25CF">
            <w:pPr>
              <w:rPr>
                <w:rFonts w:cs="Arial"/>
                <w:color w:val="FF0000"/>
                <w:sz w:val="21"/>
                <w:szCs w:val="21"/>
              </w:rPr>
            </w:pPr>
          </w:p>
        </w:tc>
        <w:tc>
          <w:tcPr>
            <w:tcW w:w="217" w:type="dxa"/>
          </w:tcPr>
          <w:p w14:paraId="02516EC0" w14:textId="77777777" w:rsidR="002C0FD9" w:rsidRPr="00CA25CF" w:rsidRDefault="002C0FD9" w:rsidP="00CA25CF">
            <w:pPr>
              <w:rPr>
                <w:rFonts w:cs="Arial"/>
                <w:color w:val="FF0000"/>
                <w:sz w:val="21"/>
                <w:szCs w:val="21"/>
              </w:rPr>
            </w:pPr>
          </w:p>
        </w:tc>
        <w:tc>
          <w:tcPr>
            <w:tcW w:w="217" w:type="dxa"/>
          </w:tcPr>
          <w:p w14:paraId="091260C5" w14:textId="77777777" w:rsidR="002C0FD9" w:rsidRPr="00CA25CF" w:rsidRDefault="002C0FD9" w:rsidP="00CA25CF">
            <w:pPr>
              <w:rPr>
                <w:rFonts w:cs="Arial"/>
                <w:color w:val="FF0000"/>
                <w:sz w:val="21"/>
                <w:szCs w:val="21"/>
              </w:rPr>
            </w:pPr>
          </w:p>
        </w:tc>
        <w:tc>
          <w:tcPr>
            <w:tcW w:w="217" w:type="dxa"/>
          </w:tcPr>
          <w:p w14:paraId="21170EB5" w14:textId="77777777" w:rsidR="002C0FD9" w:rsidRPr="00CA25CF" w:rsidRDefault="002C0FD9" w:rsidP="00CA25CF">
            <w:pPr>
              <w:rPr>
                <w:rFonts w:cs="Arial"/>
                <w:color w:val="FF0000"/>
                <w:sz w:val="21"/>
                <w:szCs w:val="21"/>
              </w:rPr>
            </w:pPr>
          </w:p>
        </w:tc>
        <w:tc>
          <w:tcPr>
            <w:tcW w:w="217" w:type="dxa"/>
          </w:tcPr>
          <w:p w14:paraId="0C9BF583" w14:textId="77777777" w:rsidR="002C0FD9" w:rsidRPr="00CA25CF" w:rsidRDefault="002C0FD9" w:rsidP="00CA25CF">
            <w:pPr>
              <w:rPr>
                <w:rFonts w:cs="Arial"/>
                <w:color w:val="FF0000"/>
                <w:sz w:val="21"/>
                <w:szCs w:val="21"/>
              </w:rPr>
            </w:pPr>
          </w:p>
        </w:tc>
        <w:tc>
          <w:tcPr>
            <w:tcW w:w="217" w:type="dxa"/>
          </w:tcPr>
          <w:p w14:paraId="56265CEC" w14:textId="77777777" w:rsidR="002C0FD9" w:rsidRPr="00CA25CF" w:rsidRDefault="002C0FD9" w:rsidP="00CA25CF">
            <w:pPr>
              <w:rPr>
                <w:rFonts w:cs="Arial"/>
                <w:color w:val="FF0000"/>
                <w:sz w:val="21"/>
                <w:szCs w:val="21"/>
              </w:rPr>
            </w:pPr>
          </w:p>
        </w:tc>
        <w:tc>
          <w:tcPr>
            <w:tcW w:w="217" w:type="dxa"/>
          </w:tcPr>
          <w:p w14:paraId="18C7A004" w14:textId="77777777" w:rsidR="002C0FD9" w:rsidRPr="00CA25CF" w:rsidRDefault="002C0FD9" w:rsidP="00CA25CF">
            <w:pPr>
              <w:rPr>
                <w:rFonts w:cs="Arial"/>
                <w:color w:val="FF0000"/>
                <w:sz w:val="21"/>
                <w:szCs w:val="21"/>
              </w:rPr>
            </w:pPr>
          </w:p>
        </w:tc>
        <w:tc>
          <w:tcPr>
            <w:tcW w:w="217" w:type="dxa"/>
          </w:tcPr>
          <w:p w14:paraId="3D528641" w14:textId="77777777" w:rsidR="002C0FD9" w:rsidRPr="00CA25CF" w:rsidRDefault="002C0FD9" w:rsidP="00CA25CF">
            <w:pPr>
              <w:rPr>
                <w:rFonts w:cs="Arial"/>
                <w:color w:val="FF0000"/>
                <w:sz w:val="21"/>
                <w:szCs w:val="21"/>
              </w:rPr>
            </w:pPr>
          </w:p>
        </w:tc>
        <w:tc>
          <w:tcPr>
            <w:tcW w:w="217" w:type="dxa"/>
          </w:tcPr>
          <w:p w14:paraId="21F54C6C" w14:textId="77777777" w:rsidR="002C0FD9" w:rsidRPr="00CA25CF" w:rsidRDefault="002C0FD9" w:rsidP="00CA25CF">
            <w:pPr>
              <w:rPr>
                <w:rFonts w:cs="Arial"/>
                <w:color w:val="FF0000"/>
                <w:sz w:val="21"/>
                <w:szCs w:val="21"/>
              </w:rPr>
            </w:pPr>
          </w:p>
        </w:tc>
        <w:tc>
          <w:tcPr>
            <w:tcW w:w="217" w:type="dxa"/>
          </w:tcPr>
          <w:p w14:paraId="5A8198C9" w14:textId="77777777" w:rsidR="002C0FD9" w:rsidRPr="00CA25CF" w:rsidRDefault="002C0FD9" w:rsidP="00CA25CF">
            <w:pPr>
              <w:rPr>
                <w:rFonts w:cs="Arial"/>
                <w:color w:val="FF0000"/>
                <w:sz w:val="21"/>
                <w:szCs w:val="21"/>
              </w:rPr>
            </w:pPr>
          </w:p>
        </w:tc>
        <w:tc>
          <w:tcPr>
            <w:tcW w:w="217" w:type="dxa"/>
          </w:tcPr>
          <w:p w14:paraId="38CF30C9" w14:textId="77777777" w:rsidR="002C0FD9" w:rsidRPr="00CA25CF" w:rsidRDefault="002C0FD9" w:rsidP="00CA25CF">
            <w:pPr>
              <w:rPr>
                <w:rFonts w:cs="Arial"/>
                <w:color w:val="FF0000"/>
                <w:sz w:val="21"/>
                <w:szCs w:val="21"/>
              </w:rPr>
            </w:pPr>
          </w:p>
        </w:tc>
        <w:tc>
          <w:tcPr>
            <w:tcW w:w="217" w:type="dxa"/>
          </w:tcPr>
          <w:p w14:paraId="7F8F59B8" w14:textId="77777777" w:rsidR="002C0FD9" w:rsidRPr="00CA25CF" w:rsidRDefault="002C0FD9" w:rsidP="00CA25CF">
            <w:pPr>
              <w:rPr>
                <w:rFonts w:cs="Arial"/>
                <w:color w:val="FF0000"/>
                <w:sz w:val="21"/>
                <w:szCs w:val="21"/>
              </w:rPr>
            </w:pPr>
          </w:p>
        </w:tc>
        <w:tc>
          <w:tcPr>
            <w:tcW w:w="217" w:type="dxa"/>
          </w:tcPr>
          <w:p w14:paraId="3971EBB8" w14:textId="77777777" w:rsidR="002C0FD9" w:rsidRPr="00CA25CF" w:rsidRDefault="002C0FD9" w:rsidP="00CA25CF">
            <w:pPr>
              <w:rPr>
                <w:rFonts w:cs="Arial"/>
                <w:color w:val="FF0000"/>
                <w:sz w:val="21"/>
                <w:szCs w:val="21"/>
              </w:rPr>
            </w:pPr>
          </w:p>
        </w:tc>
        <w:tc>
          <w:tcPr>
            <w:tcW w:w="217" w:type="dxa"/>
          </w:tcPr>
          <w:p w14:paraId="626CBFB1" w14:textId="77777777" w:rsidR="002C0FD9" w:rsidRPr="00CA25CF" w:rsidRDefault="002C0FD9" w:rsidP="00CA25CF">
            <w:pPr>
              <w:rPr>
                <w:rFonts w:cs="Arial"/>
                <w:color w:val="FF0000"/>
                <w:sz w:val="21"/>
                <w:szCs w:val="21"/>
              </w:rPr>
            </w:pPr>
          </w:p>
        </w:tc>
        <w:tc>
          <w:tcPr>
            <w:tcW w:w="217" w:type="dxa"/>
          </w:tcPr>
          <w:p w14:paraId="0102DEF1" w14:textId="77777777" w:rsidR="002C0FD9" w:rsidRPr="00CA25CF" w:rsidRDefault="002C0FD9" w:rsidP="00CA25CF">
            <w:pPr>
              <w:rPr>
                <w:rFonts w:cs="Arial"/>
                <w:color w:val="FF0000"/>
                <w:sz w:val="21"/>
                <w:szCs w:val="21"/>
              </w:rPr>
            </w:pPr>
          </w:p>
        </w:tc>
        <w:tc>
          <w:tcPr>
            <w:tcW w:w="217" w:type="dxa"/>
          </w:tcPr>
          <w:p w14:paraId="662F7DC5" w14:textId="77777777" w:rsidR="002C0FD9" w:rsidRPr="00CA25CF" w:rsidRDefault="002C0FD9" w:rsidP="00CA25CF">
            <w:pPr>
              <w:rPr>
                <w:rFonts w:cs="Arial"/>
                <w:color w:val="FF0000"/>
                <w:sz w:val="21"/>
                <w:szCs w:val="21"/>
              </w:rPr>
            </w:pPr>
          </w:p>
        </w:tc>
        <w:tc>
          <w:tcPr>
            <w:tcW w:w="217" w:type="dxa"/>
          </w:tcPr>
          <w:p w14:paraId="46F8CD94" w14:textId="77777777" w:rsidR="002C0FD9" w:rsidRPr="00CA25CF" w:rsidRDefault="002C0FD9" w:rsidP="00CA25CF">
            <w:pPr>
              <w:rPr>
                <w:rFonts w:cs="Arial"/>
                <w:color w:val="FF0000"/>
                <w:sz w:val="21"/>
                <w:szCs w:val="21"/>
              </w:rPr>
            </w:pPr>
          </w:p>
        </w:tc>
        <w:tc>
          <w:tcPr>
            <w:tcW w:w="217" w:type="dxa"/>
          </w:tcPr>
          <w:p w14:paraId="51F371FE" w14:textId="77777777" w:rsidR="002C0FD9" w:rsidRPr="00CA25CF" w:rsidRDefault="002C0FD9" w:rsidP="00CA25CF">
            <w:pPr>
              <w:rPr>
                <w:rFonts w:cs="Arial"/>
                <w:color w:val="FF0000"/>
                <w:sz w:val="21"/>
                <w:szCs w:val="21"/>
              </w:rPr>
            </w:pPr>
          </w:p>
        </w:tc>
      </w:tr>
      <w:tr w:rsidR="002C0FD9" w:rsidRPr="00A16219" w14:paraId="33E3A66E" w14:textId="77777777" w:rsidTr="002C0FD9">
        <w:trPr>
          <w:trHeight w:val="635"/>
        </w:trPr>
        <w:tc>
          <w:tcPr>
            <w:tcW w:w="515" w:type="dxa"/>
          </w:tcPr>
          <w:p w14:paraId="6EF94CE4" w14:textId="77777777" w:rsidR="002C0FD9" w:rsidRPr="00CA25CF" w:rsidRDefault="002C0FD9" w:rsidP="00CA25CF">
            <w:pPr>
              <w:rPr>
                <w:rFonts w:cs="Arial"/>
                <w:color w:val="FF0000"/>
                <w:sz w:val="21"/>
                <w:szCs w:val="21"/>
              </w:rPr>
            </w:pPr>
          </w:p>
        </w:tc>
        <w:tc>
          <w:tcPr>
            <w:tcW w:w="217" w:type="dxa"/>
          </w:tcPr>
          <w:p w14:paraId="6D07BF16" w14:textId="77777777" w:rsidR="002C0FD9" w:rsidRPr="00CA25CF" w:rsidRDefault="002C0FD9" w:rsidP="00CA25CF">
            <w:pPr>
              <w:rPr>
                <w:rFonts w:cs="Arial"/>
                <w:color w:val="FF0000"/>
                <w:sz w:val="21"/>
                <w:szCs w:val="21"/>
              </w:rPr>
            </w:pPr>
          </w:p>
        </w:tc>
        <w:tc>
          <w:tcPr>
            <w:tcW w:w="217" w:type="dxa"/>
          </w:tcPr>
          <w:p w14:paraId="5D3A9D5C" w14:textId="77777777" w:rsidR="002C0FD9" w:rsidRPr="00CA25CF" w:rsidRDefault="002C0FD9" w:rsidP="00CA25CF">
            <w:pPr>
              <w:rPr>
                <w:rFonts w:cs="Arial"/>
                <w:color w:val="FF0000"/>
                <w:sz w:val="21"/>
                <w:szCs w:val="21"/>
              </w:rPr>
            </w:pPr>
          </w:p>
        </w:tc>
        <w:tc>
          <w:tcPr>
            <w:tcW w:w="217" w:type="dxa"/>
          </w:tcPr>
          <w:p w14:paraId="2CB3C1B1" w14:textId="77777777" w:rsidR="002C0FD9" w:rsidRPr="00CA25CF" w:rsidRDefault="002C0FD9" w:rsidP="00CA25CF">
            <w:pPr>
              <w:rPr>
                <w:rFonts w:cs="Arial"/>
                <w:color w:val="FF0000"/>
                <w:sz w:val="21"/>
                <w:szCs w:val="21"/>
              </w:rPr>
            </w:pPr>
          </w:p>
        </w:tc>
        <w:tc>
          <w:tcPr>
            <w:tcW w:w="217" w:type="dxa"/>
          </w:tcPr>
          <w:p w14:paraId="071A7307" w14:textId="77777777" w:rsidR="002C0FD9" w:rsidRPr="00CA25CF" w:rsidRDefault="002C0FD9" w:rsidP="00CA25CF">
            <w:pPr>
              <w:rPr>
                <w:rFonts w:cs="Arial"/>
                <w:color w:val="FF0000"/>
                <w:sz w:val="21"/>
                <w:szCs w:val="21"/>
              </w:rPr>
            </w:pPr>
          </w:p>
        </w:tc>
        <w:tc>
          <w:tcPr>
            <w:tcW w:w="217" w:type="dxa"/>
          </w:tcPr>
          <w:p w14:paraId="1CBB9136" w14:textId="77777777" w:rsidR="002C0FD9" w:rsidRPr="00CA25CF" w:rsidRDefault="002C0FD9" w:rsidP="00CA25CF">
            <w:pPr>
              <w:rPr>
                <w:rFonts w:cs="Arial"/>
                <w:color w:val="FF0000"/>
                <w:sz w:val="21"/>
                <w:szCs w:val="21"/>
              </w:rPr>
            </w:pPr>
          </w:p>
        </w:tc>
        <w:tc>
          <w:tcPr>
            <w:tcW w:w="217" w:type="dxa"/>
          </w:tcPr>
          <w:p w14:paraId="62BE8AE6" w14:textId="77777777" w:rsidR="002C0FD9" w:rsidRPr="00CA25CF" w:rsidRDefault="002C0FD9" w:rsidP="00CA25CF">
            <w:pPr>
              <w:rPr>
                <w:rFonts w:cs="Arial"/>
                <w:color w:val="FF0000"/>
                <w:sz w:val="21"/>
                <w:szCs w:val="21"/>
              </w:rPr>
            </w:pPr>
          </w:p>
        </w:tc>
        <w:tc>
          <w:tcPr>
            <w:tcW w:w="217" w:type="dxa"/>
          </w:tcPr>
          <w:p w14:paraId="42E381EE" w14:textId="77777777" w:rsidR="002C0FD9" w:rsidRPr="00CA25CF" w:rsidRDefault="002C0FD9" w:rsidP="00CA25CF">
            <w:pPr>
              <w:rPr>
                <w:rFonts w:cs="Arial"/>
                <w:color w:val="FF0000"/>
                <w:sz w:val="21"/>
                <w:szCs w:val="21"/>
              </w:rPr>
            </w:pPr>
          </w:p>
        </w:tc>
        <w:tc>
          <w:tcPr>
            <w:tcW w:w="217" w:type="dxa"/>
          </w:tcPr>
          <w:p w14:paraId="2CFC6247" w14:textId="77777777" w:rsidR="002C0FD9" w:rsidRPr="00CA25CF" w:rsidRDefault="002C0FD9" w:rsidP="00CA25CF">
            <w:pPr>
              <w:rPr>
                <w:rFonts w:cs="Arial"/>
                <w:color w:val="FF0000"/>
                <w:sz w:val="21"/>
                <w:szCs w:val="21"/>
              </w:rPr>
            </w:pPr>
          </w:p>
        </w:tc>
        <w:tc>
          <w:tcPr>
            <w:tcW w:w="217" w:type="dxa"/>
          </w:tcPr>
          <w:p w14:paraId="6952F6F6" w14:textId="77777777" w:rsidR="002C0FD9" w:rsidRPr="00CA25CF" w:rsidRDefault="002C0FD9" w:rsidP="00CA25CF">
            <w:pPr>
              <w:rPr>
                <w:rFonts w:cs="Arial"/>
                <w:color w:val="FF0000"/>
                <w:sz w:val="21"/>
                <w:szCs w:val="21"/>
              </w:rPr>
            </w:pPr>
          </w:p>
        </w:tc>
        <w:tc>
          <w:tcPr>
            <w:tcW w:w="217" w:type="dxa"/>
          </w:tcPr>
          <w:p w14:paraId="2ED92BE9" w14:textId="77777777" w:rsidR="002C0FD9" w:rsidRPr="00CA25CF" w:rsidRDefault="002C0FD9" w:rsidP="00CA25CF">
            <w:pPr>
              <w:rPr>
                <w:rFonts w:cs="Arial"/>
                <w:color w:val="FF0000"/>
                <w:sz w:val="21"/>
                <w:szCs w:val="21"/>
              </w:rPr>
            </w:pPr>
          </w:p>
        </w:tc>
        <w:tc>
          <w:tcPr>
            <w:tcW w:w="217" w:type="dxa"/>
          </w:tcPr>
          <w:p w14:paraId="5C765CBD" w14:textId="77777777" w:rsidR="002C0FD9" w:rsidRPr="00CA25CF" w:rsidRDefault="002C0FD9" w:rsidP="00CA25CF">
            <w:pPr>
              <w:rPr>
                <w:rFonts w:cs="Arial"/>
                <w:color w:val="FF0000"/>
                <w:sz w:val="21"/>
                <w:szCs w:val="21"/>
              </w:rPr>
            </w:pPr>
          </w:p>
        </w:tc>
        <w:tc>
          <w:tcPr>
            <w:tcW w:w="217" w:type="dxa"/>
          </w:tcPr>
          <w:p w14:paraId="43D0A95C" w14:textId="77777777" w:rsidR="002C0FD9" w:rsidRPr="00CA25CF" w:rsidRDefault="002C0FD9" w:rsidP="00CA25CF">
            <w:pPr>
              <w:rPr>
                <w:rFonts w:cs="Arial"/>
                <w:color w:val="FF0000"/>
                <w:sz w:val="21"/>
                <w:szCs w:val="21"/>
              </w:rPr>
            </w:pPr>
          </w:p>
        </w:tc>
        <w:tc>
          <w:tcPr>
            <w:tcW w:w="217" w:type="dxa"/>
          </w:tcPr>
          <w:p w14:paraId="36FDFB13" w14:textId="77777777" w:rsidR="002C0FD9" w:rsidRPr="00CA25CF" w:rsidRDefault="002C0FD9" w:rsidP="00CA25CF">
            <w:pPr>
              <w:rPr>
                <w:rFonts w:cs="Arial"/>
                <w:color w:val="FF0000"/>
                <w:sz w:val="21"/>
                <w:szCs w:val="21"/>
              </w:rPr>
            </w:pPr>
          </w:p>
        </w:tc>
        <w:tc>
          <w:tcPr>
            <w:tcW w:w="217" w:type="dxa"/>
          </w:tcPr>
          <w:p w14:paraId="4895DAC6" w14:textId="77777777" w:rsidR="002C0FD9" w:rsidRPr="00CA25CF" w:rsidRDefault="002C0FD9" w:rsidP="00CA25CF">
            <w:pPr>
              <w:rPr>
                <w:rFonts w:cs="Arial"/>
                <w:color w:val="FF0000"/>
                <w:sz w:val="21"/>
                <w:szCs w:val="21"/>
              </w:rPr>
            </w:pPr>
          </w:p>
        </w:tc>
        <w:tc>
          <w:tcPr>
            <w:tcW w:w="217" w:type="dxa"/>
          </w:tcPr>
          <w:p w14:paraId="37F6B3B9" w14:textId="77777777" w:rsidR="002C0FD9" w:rsidRPr="00CA25CF" w:rsidRDefault="002C0FD9" w:rsidP="00CA25CF">
            <w:pPr>
              <w:rPr>
                <w:rFonts w:cs="Arial"/>
                <w:color w:val="FF0000"/>
                <w:sz w:val="21"/>
                <w:szCs w:val="21"/>
              </w:rPr>
            </w:pPr>
          </w:p>
        </w:tc>
        <w:tc>
          <w:tcPr>
            <w:tcW w:w="217" w:type="dxa"/>
          </w:tcPr>
          <w:p w14:paraId="0E59993A" w14:textId="77777777" w:rsidR="002C0FD9" w:rsidRPr="00CA25CF" w:rsidRDefault="002C0FD9" w:rsidP="00CA25CF">
            <w:pPr>
              <w:rPr>
                <w:rFonts w:cs="Arial"/>
                <w:color w:val="FF0000"/>
                <w:sz w:val="21"/>
                <w:szCs w:val="21"/>
              </w:rPr>
            </w:pPr>
          </w:p>
        </w:tc>
        <w:tc>
          <w:tcPr>
            <w:tcW w:w="217" w:type="dxa"/>
          </w:tcPr>
          <w:p w14:paraId="1E57F175" w14:textId="77777777" w:rsidR="002C0FD9" w:rsidRPr="00CA25CF" w:rsidRDefault="002C0FD9" w:rsidP="00CA25CF">
            <w:pPr>
              <w:rPr>
                <w:rFonts w:cs="Arial"/>
                <w:color w:val="FF0000"/>
                <w:sz w:val="21"/>
                <w:szCs w:val="21"/>
              </w:rPr>
            </w:pPr>
          </w:p>
        </w:tc>
        <w:tc>
          <w:tcPr>
            <w:tcW w:w="217" w:type="dxa"/>
          </w:tcPr>
          <w:p w14:paraId="2ED6CF80" w14:textId="77777777" w:rsidR="002C0FD9" w:rsidRPr="00CA25CF" w:rsidRDefault="002C0FD9" w:rsidP="00CA25CF">
            <w:pPr>
              <w:rPr>
                <w:rFonts w:cs="Arial"/>
                <w:color w:val="FF0000"/>
                <w:sz w:val="21"/>
                <w:szCs w:val="21"/>
              </w:rPr>
            </w:pPr>
          </w:p>
        </w:tc>
        <w:tc>
          <w:tcPr>
            <w:tcW w:w="217" w:type="dxa"/>
          </w:tcPr>
          <w:p w14:paraId="01E32B9C" w14:textId="77777777" w:rsidR="002C0FD9" w:rsidRPr="00CA25CF" w:rsidRDefault="002C0FD9" w:rsidP="00CA25CF">
            <w:pPr>
              <w:rPr>
                <w:rFonts w:cs="Arial"/>
                <w:color w:val="FF0000"/>
                <w:sz w:val="21"/>
                <w:szCs w:val="21"/>
              </w:rPr>
            </w:pPr>
          </w:p>
        </w:tc>
        <w:tc>
          <w:tcPr>
            <w:tcW w:w="217" w:type="dxa"/>
          </w:tcPr>
          <w:p w14:paraId="030CA571" w14:textId="77777777" w:rsidR="002C0FD9" w:rsidRPr="00CA25CF" w:rsidRDefault="002C0FD9" w:rsidP="00CA25CF">
            <w:pPr>
              <w:rPr>
                <w:rFonts w:cs="Arial"/>
                <w:color w:val="FF0000"/>
                <w:sz w:val="21"/>
                <w:szCs w:val="21"/>
              </w:rPr>
            </w:pPr>
          </w:p>
        </w:tc>
        <w:tc>
          <w:tcPr>
            <w:tcW w:w="217" w:type="dxa"/>
          </w:tcPr>
          <w:p w14:paraId="17338226" w14:textId="77777777" w:rsidR="002C0FD9" w:rsidRPr="00CA25CF" w:rsidRDefault="002C0FD9" w:rsidP="00CA25CF">
            <w:pPr>
              <w:rPr>
                <w:rFonts w:cs="Arial"/>
                <w:color w:val="FF0000"/>
                <w:sz w:val="21"/>
                <w:szCs w:val="21"/>
              </w:rPr>
            </w:pPr>
          </w:p>
        </w:tc>
        <w:tc>
          <w:tcPr>
            <w:tcW w:w="217" w:type="dxa"/>
          </w:tcPr>
          <w:p w14:paraId="2E14A8B8" w14:textId="77777777" w:rsidR="002C0FD9" w:rsidRPr="00CA25CF" w:rsidRDefault="002C0FD9" w:rsidP="00CA25CF">
            <w:pPr>
              <w:rPr>
                <w:rFonts w:cs="Arial"/>
                <w:color w:val="FF0000"/>
                <w:sz w:val="21"/>
                <w:szCs w:val="21"/>
              </w:rPr>
            </w:pPr>
          </w:p>
        </w:tc>
        <w:tc>
          <w:tcPr>
            <w:tcW w:w="217" w:type="dxa"/>
          </w:tcPr>
          <w:p w14:paraId="6999608B" w14:textId="77777777" w:rsidR="002C0FD9" w:rsidRPr="00CA25CF" w:rsidRDefault="002C0FD9" w:rsidP="00CA25CF">
            <w:pPr>
              <w:rPr>
                <w:rFonts w:cs="Arial"/>
                <w:color w:val="FF0000"/>
                <w:sz w:val="21"/>
                <w:szCs w:val="21"/>
              </w:rPr>
            </w:pPr>
          </w:p>
        </w:tc>
        <w:tc>
          <w:tcPr>
            <w:tcW w:w="217" w:type="dxa"/>
          </w:tcPr>
          <w:p w14:paraId="3C19AA06" w14:textId="77777777" w:rsidR="002C0FD9" w:rsidRPr="00CA25CF" w:rsidRDefault="002C0FD9" w:rsidP="00CA25CF">
            <w:pPr>
              <w:rPr>
                <w:rFonts w:cs="Arial"/>
                <w:color w:val="FF0000"/>
                <w:sz w:val="21"/>
                <w:szCs w:val="21"/>
              </w:rPr>
            </w:pPr>
          </w:p>
        </w:tc>
        <w:tc>
          <w:tcPr>
            <w:tcW w:w="217" w:type="dxa"/>
          </w:tcPr>
          <w:p w14:paraId="3F9C6B2A" w14:textId="77777777" w:rsidR="002C0FD9" w:rsidRPr="00CA25CF" w:rsidRDefault="002C0FD9" w:rsidP="00CA25CF">
            <w:pPr>
              <w:rPr>
                <w:rFonts w:cs="Arial"/>
                <w:color w:val="FF0000"/>
                <w:sz w:val="21"/>
                <w:szCs w:val="21"/>
              </w:rPr>
            </w:pPr>
          </w:p>
        </w:tc>
        <w:tc>
          <w:tcPr>
            <w:tcW w:w="217" w:type="dxa"/>
          </w:tcPr>
          <w:p w14:paraId="6EC812EE" w14:textId="77777777" w:rsidR="002C0FD9" w:rsidRPr="00CA25CF" w:rsidRDefault="002C0FD9" w:rsidP="00CA25CF">
            <w:pPr>
              <w:rPr>
                <w:rFonts w:cs="Arial"/>
                <w:color w:val="FF0000"/>
                <w:sz w:val="21"/>
                <w:szCs w:val="21"/>
              </w:rPr>
            </w:pPr>
          </w:p>
        </w:tc>
        <w:tc>
          <w:tcPr>
            <w:tcW w:w="217" w:type="dxa"/>
          </w:tcPr>
          <w:p w14:paraId="0C8B2B27" w14:textId="77777777" w:rsidR="002C0FD9" w:rsidRPr="00CA25CF" w:rsidRDefault="002C0FD9" w:rsidP="00CA25CF">
            <w:pPr>
              <w:rPr>
                <w:rFonts w:cs="Arial"/>
                <w:color w:val="FF0000"/>
                <w:sz w:val="21"/>
                <w:szCs w:val="21"/>
              </w:rPr>
            </w:pPr>
          </w:p>
        </w:tc>
        <w:tc>
          <w:tcPr>
            <w:tcW w:w="217" w:type="dxa"/>
          </w:tcPr>
          <w:p w14:paraId="52031FDA" w14:textId="77777777" w:rsidR="002C0FD9" w:rsidRPr="00CA25CF" w:rsidRDefault="002C0FD9" w:rsidP="00CA25CF">
            <w:pPr>
              <w:rPr>
                <w:rFonts w:cs="Arial"/>
                <w:color w:val="FF0000"/>
                <w:sz w:val="21"/>
                <w:szCs w:val="21"/>
              </w:rPr>
            </w:pPr>
          </w:p>
        </w:tc>
        <w:tc>
          <w:tcPr>
            <w:tcW w:w="217" w:type="dxa"/>
          </w:tcPr>
          <w:p w14:paraId="5CE9E03C" w14:textId="77777777" w:rsidR="002C0FD9" w:rsidRPr="00CA25CF" w:rsidRDefault="002C0FD9" w:rsidP="00CA25CF">
            <w:pPr>
              <w:rPr>
                <w:rFonts w:cs="Arial"/>
                <w:color w:val="FF0000"/>
                <w:sz w:val="21"/>
                <w:szCs w:val="21"/>
              </w:rPr>
            </w:pPr>
          </w:p>
        </w:tc>
        <w:tc>
          <w:tcPr>
            <w:tcW w:w="217" w:type="dxa"/>
          </w:tcPr>
          <w:p w14:paraId="134C492C" w14:textId="77777777" w:rsidR="002C0FD9" w:rsidRPr="00CA25CF" w:rsidRDefault="002C0FD9" w:rsidP="00CA25CF">
            <w:pPr>
              <w:rPr>
                <w:rFonts w:cs="Arial"/>
                <w:color w:val="FF0000"/>
                <w:sz w:val="21"/>
                <w:szCs w:val="21"/>
              </w:rPr>
            </w:pPr>
          </w:p>
        </w:tc>
        <w:tc>
          <w:tcPr>
            <w:tcW w:w="217" w:type="dxa"/>
          </w:tcPr>
          <w:p w14:paraId="709FDB9F" w14:textId="77777777" w:rsidR="002C0FD9" w:rsidRPr="00CA25CF" w:rsidRDefault="002C0FD9" w:rsidP="00CA25CF">
            <w:pPr>
              <w:rPr>
                <w:rFonts w:cs="Arial"/>
                <w:color w:val="FF0000"/>
                <w:sz w:val="21"/>
                <w:szCs w:val="21"/>
              </w:rPr>
            </w:pPr>
          </w:p>
        </w:tc>
        <w:tc>
          <w:tcPr>
            <w:tcW w:w="217" w:type="dxa"/>
          </w:tcPr>
          <w:p w14:paraId="3FB95D45" w14:textId="77777777" w:rsidR="002C0FD9" w:rsidRPr="00CA25CF" w:rsidRDefault="002C0FD9" w:rsidP="00CA25CF">
            <w:pPr>
              <w:rPr>
                <w:rFonts w:cs="Arial"/>
                <w:color w:val="FF0000"/>
                <w:sz w:val="21"/>
                <w:szCs w:val="21"/>
              </w:rPr>
            </w:pPr>
          </w:p>
        </w:tc>
        <w:tc>
          <w:tcPr>
            <w:tcW w:w="217" w:type="dxa"/>
          </w:tcPr>
          <w:p w14:paraId="453BF94E" w14:textId="77777777" w:rsidR="002C0FD9" w:rsidRPr="00CA25CF" w:rsidRDefault="002C0FD9" w:rsidP="00CA25CF">
            <w:pPr>
              <w:rPr>
                <w:rFonts w:cs="Arial"/>
                <w:color w:val="FF0000"/>
                <w:sz w:val="21"/>
                <w:szCs w:val="21"/>
              </w:rPr>
            </w:pPr>
          </w:p>
        </w:tc>
        <w:tc>
          <w:tcPr>
            <w:tcW w:w="217" w:type="dxa"/>
          </w:tcPr>
          <w:p w14:paraId="28D80BFD" w14:textId="77777777" w:rsidR="002C0FD9" w:rsidRPr="00CA25CF" w:rsidRDefault="002C0FD9" w:rsidP="00CA25CF">
            <w:pPr>
              <w:rPr>
                <w:rFonts w:cs="Arial"/>
                <w:color w:val="FF0000"/>
                <w:sz w:val="21"/>
                <w:szCs w:val="21"/>
              </w:rPr>
            </w:pPr>
          </w:p>
        </w:tc>
        <w:tc>
          <w:tcPr>
            <w:tcW w:w="217" w:type="dxa"/>
          </w:tcPr>
          <w:p w14:paraId="0350BCE9" w14:textId="77777777" w:rsidR="002C0FD9" w:rsidRPr="00CA25CF" w:rsidRDefault="002C0FD9" w:rsidP="00CA25CF">
            <w:pPr>
              <w:rPr>
                <w:rFonts w:cs="Arial"/>
                <w:color w:val="FF0000"/>
                <w:sz w:val="21"/>
                <w:szCs w:val="21"/>
              </w:rPr>
            </w:pPr>
          </w:p>
        </w:tc>
        <w:tc>
          <w:tcPr>
            <w:tcW w:w="217" w:type="dxa"/>
          </w:tcPr>
          <w:p w14:paraId="4B6BDB82" w14:textId="77777777" w:rsidR="002C0FD9" w:rsidRPr="00CA25CF" w:rsidRDefault="002C0FD9" w:rsidP="00CA25CF">
            <w:pPr>
              <w:rPr>
                <w:rFonts w:cs="Arial"/>
                <w:color w:val="FF0000"/>
                <w:sz w:val="21"/>
                <w:szCs w:val="21"/>
              </w:rPr>
            </w:pPr>
          </w:p>
        </w:tc>
        <w:tc>
          <w:tcPr>
            <w:tcW w:w="217" w:type="dxa"/>
          </w:tcPr>
          <w:p w14:paraId="03D0F229" w14:textId="77777777" w:rsidR="002C0FD9" w:rsidRPr="00CA25CF" w:rsidRDefault="002C0FD9" w:rsidP="00CA25CF">
            <w:pPr>
              <w:rPr>
                <w:rFonts w:cs="Arial"/>
                <w:color w:val="FF0000"/>
                <w:sz w:val="21"/>
                <w:szCs w:val="21"/>
              </w:rPr>
            </w:pPr>
          </w:p>
        </w:tc>
        <w:tc>
          <w:tcPr>
            <w:tcW w:w="217" w:type="dxa"/>
          </w:tcPr>
          <w:p w14:paraId="01E6B08B" w14:textId="77777777" w:rsidR="002C0FD9" w:rsidRPr="00CA25CF" w:rsidRDefault="002C0FD9" w:rsidP="00CA25CF">
            <w:pPr>
              <w:rPr>
                <w:rFonts w:cs="Arial"/>
                <w:color w:val="FF0000"/>
                <w:sz w:val="21"/>
                <w:szCs w:val="21"/>
              </w:rPr>
            </w:pPr>
          </w:p>
        </w:tc>
        <w:tc>
          <w:tcPr>
            <w:tcW w:w="217" w:type="dxa"/>
          </w:tcPr>
          <w:p w14:paraId="0A0F66F7" w14:textId="77777777" w:rsidR="002C0FD9" w:rsidRPr="00CA25CF" w:rsidRDefault="002C0FD9" w:rsidP="00CA25CF">
            <w:pPr>
              <w:rPr>
                <w:rFonts w:cs="Arial"/>
                <w:color w:val="FF0000"/>
                <w:sz w:val="21"/>
                <w:szCs w:val="21"/>
              </w:rPr>
            </w:pPr>
          </w:p>
        </w:tc>
        <w:tc>
          <w:tcPr>
            <w:tcW w:w="217" w:type="dxa"/>
          </w:tcPr>
          <w:p w14:paraId="0BEDDA7E" w14:textId="77777777" w:rsidR="002C0FD9" w:rsidRPr="00CA25CF" w:rsidRDefault="002C0FD9" w:rsidP="00CA25CF">
            <w:pPr>
              <w:rPr>
                <w:rFonts w:cs="Arial"/>
                <w:color w:val="FF0000"/>
                <w:sz w:val="21"/>
                <w:szCs w:val="21"/>
              </w:rPr>
            </w:pPr>
          </w:p>
        </w:tc>
        <w:tc>
          <w:tcPr>
            <w:tcW w:w="217" w:type="dxa"/>
          </w:tcPr>
          <w:p w14:paraId="3EE3C631" w14:textId="77777777" w:rsidR="002C0FD9" w:rsidRPr="00CA25CF" w:rsidRDefault="002C0FD9" w:rsidP="00CA25CF">
            <w:pPr>
              <w:rPr>
                <w:rFonts w:cs="Arial"/>
                <w:color w:val="FF0000"/>
                <w:sz w:val="21"/>
                <w:szCs w:val="21"/>
              </w:rPr>
            </w:pPr>
          </w:p>
        </w:tc>
        <w:tc>
          <w:tcPr>
            <w:tcW w:w="217" w:type="dxa"/>
          </w:tcPr>
          <w:p w14:paraId="433719C0" w14:textId="77777777" w:rsidR="002C0FD9" w:rsidRPr="00CA25CF" w:rsidRDefault="002C0FD9" w:rsidP="00CA25CF">
            <w:pPr>
              <w:rPr>
                <w:rFonts w:cs="Arial"/>
                <w:color w:val="FF0000"/>
                <w:sz w:val="21"/>
                <w:szCs w:val="21"/>
              </w:rPr>
            </w:pPr>
          </w:p>
        </w:tc>
      </w:tr>
      <w:tr w:rsidR="002C0FD9" w:rsidRPr="00A16219" w14:paraId="119C4CBC" w14:textId="77777777" w:rsidTr="002C0FD9">
        <w:trPr>
          <w:trHeight w:val="635"/>
        </w:trPr>
        <w:tc>
          <w:tcPr>
            <w:tcW w:w="515" w:type="dxa"/>
          </w:tcPr>
          <w:p w14:paraId="3F748EF8" w14:textId="77777777" w:rsidR="002C0FD9" w:rsidRPr="00CA25CF" w:rsidRDefault="002C0FD9" w:rsidP="00CA25CF">
            <w:pPr>
              <w:rPr>
                <w:rFonts w:cs="Arial"/>
                <w:color w:val="FF0000"/>
                <w:sz w:val="21"/>
                <w:szCs w:val="21"/>
              </w:rPr>
            </w:pPr>
          </w:p>
        </w:tc>
        <w:tc>
          <w:tcPr>
            <w:tcW w:w="217" w:type="dxa"/>
          </w:tcPr>
          <w:p w14:paraId="759DA518" w14:textId="77777777" w:rsidR="002C0FD9" w:rsidRPr="00CA25CF" w:rsidRDefault="002C0FD9" w:rsidP="00CA25CF">
            <w:pPr>
              <w:rPr>
                <w:rFonts w:cs="Arial"/>
                <w:color w:val="FF0000"/>
                <w:sz w:val="21"/>
                <w:szCs w:val="21"/>
              </w:rPr>
            </w:pPr>
          </w:p>
        </w:tc>
        <w:tc>
          <w:tcPr>
            <w:tcW w:w="217" w:type="dxa"/>
          </w:tcPr>
          <w:p w14:paraId="3BD3843A" w14:textId="77777777" w:rsidR="002C0FD9" w:rsidRPr="00CA25CF" w:rsidRDefault="002C0FD9" w:rsidP="00CA25CF">
            <w:pPr>
              <w:rPr>
                <w:rFonts w:cs="Arial"/>
                <w:color w:val="FF0000"/>
                <w:sz w:val="21"/>
                <w:szCs w:val="21"/>
              </w:rPr>
            </w:pPr>
          </w:p>
        </w:tc>
        <w:tc>
          <w:tcPr>
            <w:tcW w:w="217" w:type="dxa"/>
          </w:tcPr>
          <w:p w14:paraId="3C847E4F" w14:textId="77777777" w:rsidR="002C0FD9" w:rsidRPr="00CA25CF" w:rsidRDefault="002C0FD9" w:rsidP="00CA25CF">
            <w:pPr>
              <w:rPr>
                <w:rFonts w:cs="Arial"/>
                <w:color w:val="FF0000"/>
                <w:sz w:val="21"/>
                <w:szCs w:val="21"/>
              </w:rPr>
            </w:pPr>
          </w:p>
        </w:tc>
        <w:tc>
          <w:tcPr>
            <w:tcW w:w="217" w:type="dxa"/>
          </w:tcPr>
          <w:p w14:paraId="41EE835A" w14:textId="77777777" w:rsidR="002C0FD9" w:rsidRPr="00CA25CF" w:rsidRDefault="002C0FD9" w:rsidP="00CA25CF">
            <w:pPr>
              <w:rPr>
                <w:rFonts w:cs="Arial"/>
                <w:color w:val="FF0000"/>
                <w:sz w:val="21"/>
                <w:szCs w:val="21"/>
              </w:rPr>
            </w:pPr>
          </w:p>
        </w:tc>
        <w:tc>
          <w:tcPr>
            <w:tcW w:w="217" w:type="dxa"/>
          </w:tcPr>
          <w:p w14:paraId="7631E7B0" w14:textId="77777777" w:rsidR="002C0FD9" w:rsidRPr="00CA25CF" w:rsidRDefault="002C0FD9" w:rsidP="00CA25CF">
            <w:pPr>
              <w:rPr>
                <w:rFonts w:cs="Arial"/>
                <w:color w:val="FF0000"/>
                <w:sz w:val="21"/>
                <w:szCs w:val="21"/>
              </w:rPr>
            </w:pPr>
          </w:p>
        </w:tc>
        <w:tc>
          <w:tcPr>
            <w:tcW w:w="217" w:type="dxa"/>
          </w:tcPr>
          <w:p w14:paraId="73923C87" w14:textId="77777777" w:rsidR="002C0FD9" w:rsidRPr="00CA25CF" w:rsidRDefault="002C0FD9" w:rsidP="00CA25CF">
            <w:pPr>
              <w:rPr>
                <w:rFonts w:cs="Arial"/>
                <w:color w:val="FF0000"/>
                <w:sz w:val="21"/>
                <w:szCs w:val="21"/>
              </w:rPr>
            </w:pPr>
          </w:p>
        </w:tc>
        <w:tc>
          <w:tcPr>
            <w:tcW w:w="217" w:type="dxa"/>
          </w:tcPr>
          <w:p w14:paraId="4C28EEF8" w14:textId="77777777" w:rsidR="002C0FD9" w:rsidRPr="00CA25CF" w:rsidRDefault="002C0FD9" w:rsidP="00CA25CF">
            <w:pPr>
              <w:rPr>
                <w:rFonts w:cs="Arial"/>
                <w:color w:val="FF0000"/>
                <w:sz w:val="21"/>
                <w:szCs w:val="21"/>
              </w:rPr>
            </w:pPr>
          </w:p>
        </w:tc>
        <w:tc>
          <w:tcPr>
            <w:tcW w:w="217" w:type="dxa"/>
          </w:tcPr>
          <w:p w14:paraId="59647789" w14:textId="77777777" w:rsidR="002C0FD9" w:rsidRPr="00CA25CF" w:rsidRDefault="002C0FD9" w:rsidP="00CA25CF">
            <w:pPr>
              <w:rPr>
                <w:rFonts w:cs="Arial"/>
                <w:color w:val="FF0000"/>
                <w:sz w:val="21"/>
                <w:szCs w:val="21"/>
              </w:rPr>
            </w:pPr>
          </w:p>
        </w:tc>
        <w:tc>
          <w:tcPr>
            <w:tcW w:w="217" w:type="dxa"/>
          </w:tcPr>
          <w:p w14:paraId="7E4A9BA2" w14:textId="77777777" w:rsidR="002C0FD9" w:rsidRPr="00CA25CF" w:rsidRDefault="002C0FD9" w:rsidP="00CA25CF">
            <w:pPr>
              <w:rPr>
                <w:rFonts w:cs="Arial"/>
                <w:color w:val="FF0000"/>
                <w:sz w:val="21"/>
                <w:szCs w:val="21"/>
              </w:rPr>
            </w:pPr>
          </w:p>
        </w:tc>
        <w:tc>
          <w:tcPr>
            <w:tcW w:w="217" w:type="dxa"/>
          </w:tcPr>
          <w:p w14:paraId="0F418007" w14:textId="77777777" w:rsidR="002C0FD9" w:rsidRPr="00CA25CF" w:rsidRDefault="002C0FD9" w:rsidP="00CA25CF">
            <w:pPr>
              <w:rPr>
                <w:rFonts w:cs="Arial"/>
                <w:color w:val="FF0000"/>
                <w:sz w:val="21"/>
                <w:szCs w:val="21"/>
              </w:rPr>
            </w:pPr>
          </w:p>
        </w:tc>
        <w:tc>
          <w:tcPr>
            <w:tcW w:w="217" w:type="dxa"/>
          </w:tcPr>
          <w:p w14:paraId="5ED94EDA" w14:textId="77777777" w:rsidR="002C0FD9" w:rsidRPr="00CA25CF" w:rsidRDefault="002C0FD9" w:rsidP="00CA25CF">
            <w:pPr>
              <w:rPr>
                <w:rFonts w:cs="Arial"/>
                <w:color w:val="FF0000"/>
                <w:sz w:val="21"/>
                <w:szCs w:val="21"/>
              </w:rPr>
            </w:pPr>
          </w:p>
        </w:tc>
        <w:tc>
          <w:tcPr>
            <w:tcW w:w="217" w:type="dxa"/>
          </w:tcPr>
          <w:p w14:paraId="51B2F7E2" w14:textId="77777777" w:rsidR="002C0FD9" w:rsidRPr="00CA25CF" w:rsidRDefault="002C0FD9" w:rsidP="00CA25CF">
            <w:pPr>
              <w:rPr>
                <w:rFonts w:cs="Arial"/>
                <w:color w:val="FF0000"/>
                <w:sz w:val="21"/>
                <w:szCs w:val="21"/>
              </w:rPr>
            </w:pPr>
          </w:p>
        </w:tc>
        <w:tc>
          <w:tcPr>
            <w:tcW w:w="217" w:type="dxa"/>
          </w:tcPr>
          <w:p w14:paraId="59DC6826" w14:textId="77777777" w:rsidR="002C0FD9" w:rsidRPr="00CA25CF" w:rsidRDefault="002C0FD9" w:rsidP="00CA25CF">
            <w:pPr>
              <w:rPr>
                <w:rFonts w:cs="Arial"/>
                <w:color w:val="FF0000"/>
                <w:sz w:val="21"/>
                <w:szCs w:val="21"/>
              </w:rPr>
            </w:pPr>
          </w:p>
        </w:tc>
        <w:tc>
          <w:tcPr>
            <w:tcW w:w="217" w:type="dxa"/>
          </w:tcPr>
          <w:p w14:paraId="77946BD8" w14:textId="77777777" w:rsidR="002C0FD9" w:rsidRPr="00CA25CF" w:rsidRDefault="002C0FD9" w:rsidP="00CA25CF">
            <w:pPr>
              <w:rPr>
                <w:rFonts w:cs="Arial"/>
                <w:color w:val="FF0000"/>
                <w:sz w:val="21"/>
                <w:szCs w:val="21"/>
              </w:rPr>
            </w:pPr>
          </w:p>
        </w:tc>
        <w:tc>
          <w:tcPr>
            <w:tcW w:w="217" w:type="dxa"/>
          </w:tcPr>
          <w:p w14:paraId="13FA28D8" w14:textId="77777777" w:rsidR="002C0FD9" w:rsidRPr="00CA25CF" w:rsidRDefault="002C0FD9" w:rsidP="00CA25CF">
            <w:pPr>
              <w:rPr>
                <w:rFonts w:cs="Arial"/>
                <w:color w:val="FF0000"/>
                <w:sz w:val="21"/>
                <w:szCs w:val="21"/>
              </w:rPr>
            </w:pPr>
          </w:p>
        </w:tc>
        <w:tc>
          <w:tcPr>
            <w:tcW w:w="217" w:type="dxa"/>
          </w:tcPr>
          <w:p w14:paraId="7EFDA52E" w14:textId="77777777" w:rsidR="002C0FD9" w:rsidRPr="00CA25CF" w:rsidRDefault="002C0FD9" w:rsidP="00CA25CF">
            <w:pPr>
              <w:rPr>
                <w:rFonts w:cs="Arial"/>
                <w:color w:val="FF0000"/>
                <w:sz w:val="21"/>
                <w:szCs w:val="21"/>
              </w:rPr>
            </w:pPr>
          </w:p>
        </w:tc>
        <w:tc>
          <w:tcPr>
            <w:tcW w:w="217" w:type="dxa"/>
          </w:tcPr>
          <w:p w14:paraId="63B6D72F" w14:textId="77777777" w:rsidR="002C0FD9" w:rsidRPr="00CA25CF" w:rsidRDefault="002C0FD9" w:rsidP="00CA25CF">
            <w:pPr>
              <w:rPr>
                <w:rFonts w:cs="Arial"/>
                <w:color w:val="FF0000"/>
                <w:sz w:val="21"/>
                <w:szCs w:val="21"/>
              </w:rPr>
            </w:pPr>
          </w:p>
        </w:tc>
        <w:tc>
          <w:tcPr>
            <w:tcW w:w="217" w:type="dxa"/>
          </w:tcPr>
          <w:p w14:paraId="786A217A" w14:textId="77777777" w:rsidR="002C0FD9" w:rsidRPr="00CA25CF" w:rsidRDefault="002C0FD9" w:rsidP="00CA25CF">
            <w:pPr>
              <w:rPr>
                <w:rFonts w:cs="Arial"/>
                <w:color w:val="FF0000"/>
                <w:sz w:val="21"/>
                <w:szCs w:val="21"/>
              </w:rPr>
            </w:pPr>
          </w:p>
        </w:tc>
        <w:tc>
          <w:tcPr>
            <w:tcW w:w="217" w:type="dxa"/>
          </w:tcPr>
          <w:p w14:paraId="1A934BBF" w14:textId="77777777" w:rsidR="002C0FD9" w:rsidRPr="00CA25CF" w:rsidRDefault="002C0FD9" w:rsidP="00CA25CF">
            <w:pPr>
              <w:rPr>
                <w:rFonts w:cs="Arial"/>
                <w:color w:val="FF0000"/>
                <w:sz w:val="21"/>
                <w:szCs w:val="21"/>
              </w:rPr>
            </w:pPr>
          </w:p>
        </w:tc>
        <w:tc>
          <w:tcPr>
            <w:tcW w:w="217" w:type="dxa"/>
          </w:tcPr>
          <w:p w14:paraId="1FCD8C9F" w14:textId="77777777" w:rsidR="002C0FD9" w:rsidRPr="00CA25CF" w:rsidRDefault="002C0FD9" w:rsidP="00CA25CF">
            <w:pPr>
              <w:rPr>
                <w:rFonts w:cs="Arial"/>
                <w:color w:val="FF0000"/>
                <w:sz w:val="21"/>
                <w:szCs w:val="21"/>
              </w:rPr>
            </w:pPr>
          </w:p>
        </w:tc>
        <w:tc>
          <w:tcPr>
            <w:tcW w:w="217" w:type="dxa"/>
          </w:tcPr>
          <w:p w14:paraId="2B986603" w14:textId="77777777" w:rsidR="002C0FD9" w:rsidRPr="00CA25CF" w:rsidRDefault="002C0FD9" w:rsidP="00CA25CF">
            <w:pPr>
              <w:rPr>
                <w:rFonts w:cs="Arial"/>
                <w:color w:val="FF0000"/>
                <w:sz w:val="21"/>
                <w:szCs w:val="21"/>
              </w:rPr>
            </w:pPr>
          </w:p>
        </w:tc>
        <w:tc>
          <w:tcPr>
            <w:tcW w:w="217" w:type="dxa"/>
          </w:tcPr>
          <w:p w14:paraId="108E480D" w14:textId="77777777" w:rsidR="002C0FD9" w:rsidRPr="00CA25CF" w:rsidRDefault="002C0FD9" w:rsidP="00CA25CF">
            <w:pPr>
              <w:rPr>
                <w:rFonts w:cs="Arial"/>
                <w:color w:val="FF0000"/>
                <w:sz w:val="21"/>
                <w:szCs w:val="21"/>
              </w:rPr>
            </w:pPr>
          </w:p>
        </w:tc>
        <w:tc>
          <w:tcPr>
            <w:tcW w:w="217" w:type="dxa"/>
          </w:tcPr>
          <w:p w14:paraId="3D6ECEB9" w14:textId="77777777" w:rsidR="002C0FD9" w:rsidRPr="00CA25CF" w:rsidRDefault="002C0FD9" w:rsidP="00CA25CF">
            <w:pPr>
              <w:rPr>
                <w:rFonts w:cs="Arial"/>
                <w:color w:val="FF0000"/>
                <w:sz w:val="21"/>
                <w:szCs w:val="21"/>
              </w:rPr>
            </w:pPr>
          </w:p>
        </w:tc>
        <w:tc>
          <w:tcPr>
            <w:tcW w:w="217" w:type="dxa"/>
          </w:tcPr>
          <w:p w14:paraId="5EFD6B4B" w14:textId="77777777" w:rsidR="002C0FD9" w:rsidRPr="00CA25CF" w:rsidRDefault="002C0FD9" w:rsidP="00CA25CF">
            <w:pPr>
              <w:rPr>
                <w:rFonts w:cs="Arial"/>
                <w:color w:val="FF0000"/>
                <w:sz w:val="21"/>
                <w:szCs w:val="21"/>
              </w:rPr>
            </w:pPr>
          </w:p>
        </w:tc>
        <w:tc>
          <w:tcPr>
            <w:tcW w:w="217" w:type="dxa"/>
          </w:tcPr>
          <w:p w14:paraId="3B09FF27" w14:textId="77777777" w:rsidR="002C0FD9" w:rsidRPr="00CA25CF" w:rsidRDefault="002C0FD9" w:rsidP="00CA25CF">
            <w:pPr>
              <w:rPr>
                <w:rFonts w:cs="Arial"/>
                <w:color w:val="FF0000"/>
                <w:sz w:val="21"/>
                <w:szCs w:val="21"/>
              </w:rPr>
            </w:pPr>
          </w:p>
        </w:tc>
        <w:tc>
          <w:tcPr>
            <w:tcW w:w="217" w:type="dxa"/>
          </w:tcPr>
          <w:p w14:paraId="098E4C05" w14:textId="77777777" w:rsidR="002C0FD9" w:rsidRPr="00CA25CF" w:rsidRDefault="002C0FD9" w:rsidP="00CA25CF">
            <w:pPr>
              <w:rPr>
                <w:rFonts w:cs="Arial"/>
                <w:color w:val="FF0000"/>
                <w:sz w:val="21"/>
                <w:szCs w:val="21"/>
              </w:rPr>
            </w:pPr>
          </w:p>
        </w:tc>
        <w:tc>
          <w:tcPr>
            <w:tcW w:w="217" w:type="dxa"/>
          </w:tcPr>
          <w:p w14:paraId="33070EEB" w14:textId="77777777" w:rsidR="002C0FD9" w:rsidRPr="00CA25CF" w:rsidRDefault="002C0FD9" w:rsidP="00CA25CF">
            <w:pPr>
              <w:rPr>
                <w:rFonts w:cs="Arial"/>
                <w:color w:val="FF0000"/>
                <w:sz w:val="21"/>
                <w:szCs w:val="21"/>
              </w:rPr>
            </w:pPr>
          </w:p>
        </w:tc>
        <w:tc>
          <w:tcPr>
            <w:tcW w:w="217" w:type="dxa"/>
          </w:tcPr>
          <w:p w14:paraId="30D42291" w14:textId="77777777" w:rsidR="002C0FD9" w:rsidRPr="00CA25CF" w:rsidRDefault="002C0FD9" w:rsidP="00CA25CF">
            <w:pPr>
              <w:rPr>
                <w:rFonts w:cs="Arial"/>
                <w:color w:val="FF0000"/>
                <w:sz w:val="21"/>
                <w:szCs w:val="21"/>
              </w:rPr>
            </w:pPr>
          </w:p>
        </w:tc>
        <w:tc>
          <w:tcPr>
            <w:tcW w:w="217" w:type="dxa"/>
          </w:tcPr>
          <w:p w14:paraId="553EDC4E" w14:textId="77777777" w:rsidR="002C0FD9" w:rsidRPr="00CA25CF" w:rsidRDefault="002C0FD9" w:rsidP="00CA25CF">
            <w:pPr>
              <w:rPr>
                <w:rFonts w:cs="Arial"/>
                <w:color w:val="FF0000"/>
                <w:sz w:val="21"/>
                <w:szCs w:val="21"/>
              </w:rPr>
            </w:pPr>
          </w:p>
        </w:tc>
        <w:tc>
          <w:tcPr>
            <w:tcW w:w="217" w:type="dxa"/>
          </w:tcPr>
          <w:p w14:paraId="67968F0D" w14:textId="77777777" w:rsidR="002C0FD9" w:rsidRPr="00CA25CF" w:rsidRDefault="002C0FD9" w:rsidP="00CA25CF">
            <w:pPr>
              <w:rPr>
                <w:rFonts w:cs="Arial"/>
                <w:color w:val="FF0000"/>
                <w:sz w:val="21"/>
                <w:szCs w:val="21"/>
              </w:rPr>
            </w:pPr>
          </w:p>
        </w:tc>
        <w:tc>
          <w:tcPr>
            <w:tcW w:w="217" w:type="dxa"/>
          </w:tcPr>
          <w:p w14:paraId="15FAC316" w14:textId="77777777" w:rsidR="002C0FD9" w:rsidRPr="00CA25CF" w:rsidRDefault="002C0FD9" w:rsidP="00CA25CF">
            <w:pPr>
              <w:rPr>
                <w:rFonts w:cs="Arial"/>
                <w:color w:val="FF0000"/>
                <w:sz w:val="21"/>
                <w:szCs w:val="21"/>
              </w:rPr>
            </w:pPr>
          </w:p>
        </w:tc>
        <w:tc>
          <w:tcPr>
            <w:tcW w:w="217" w:type="dxa"/>
          </w:tcPr>
          <w:p w14:paraId="501AE2E8" w14:textId="77777777" w:rsidR="002C0FD9" w:rsidRPr="00CA25CF" w:rsidRDefault="002C0FD9" w:rsidP="00CA25CF">
            <w:pPr>
              <w:rPr>
                <w:rFonts w:cs="Arial"/>
                <w:color w:val="FF0000"/>
                <w:sz w:val="21"/>
                <w:szCs w:val="21"/>
              </w:rPr>
            </w:pPr>
          </w:p>
        </w:tc>
        <w:tc>
          <w:tcPr>
            <w:tcW w:w="217" w:type="dxa"/>
          </w:tcPr>
          <w:p w14:paraId="327FB5CC" w14:textId="77777777" w:rsidR="002C0FD9" w:rsidRPr="00CA25CF" w:rsidRDefault="002C0FD9" w:rsidP="00CA25CF">
            <w:pPr>
              <w:rPr>
                <w:rFonts w:cs="Arial"/>
                <w:color w:val="FF0000"/>
                <w:sz w:val="21"/>
                <w:szCs w:val="21"/>
              </w:rPr>
            </w:pPr>
          </w:p>
        </w:tc>
        <w:tc>
          <w:tcPr>
            <w:tcW w:w="217" w:type="dxa"/>
          </w:tcPr>
          <w:p w14:paraId="686E32F1" w14:textId="77777777" w:rsidR="002C0FD9" w:rsidRPr="00CA25CF" w:rsidRDefault="002C0FD9" w:rsidP="00CA25CF">
            <w:pPr>
              <w:rPr>
                <w:rFonts w:cs="Arial"/>
                <w:color w:val="FF0000"/>
                <w:sz w:val="21"/>
                <w:szCs w:val="21"/>
              </w:rPr>
            </w:pPr>
          </w:p>
        </w:tc>
        <w:tc>
          <w:tcPr>
            <w:tcW w:w="217" w:type="dxa"/>
          </w:tcPr>
          <w:p w14:paraId="66A52D9A" w14:textId="77777777" w:rsidR="002C0FD9" w:rsidRPr="00CA25CF" w:rsidRDefault="002C0FD9" w:rsidP="00CA25CF">
            <w:pPr>
              <w:rPr>
                <w:rFonts w:cs="Arial"/>
                <w:color w:val="FF0000"/>
                <w:sz w:val="21"/>
                <w:szCs w:val="21"/>
              </w:rPr>
            </w:pPr>
          </w:p>
        </w:tc>
        <w:tc>
          <w:tcPr>
            <w:tcW w:w="217" w:type="dxa"/>
          </w:tcPr>
          <w:p w14:paraId="69D355EB" w14:textId="77777777" w:rsidR="002C0FD9" w:rsidRPr="00CA25CF" w:rsidRDefault="002C0FD9" w:rsidP="00CA25CF">
            <w:pPr>
              <w:rPr>
                <w:rFonts w:cs="Arial"/>
                <w:color w:val="FF0000"/>
                <w:sz w:val="21"/>
                <w:szCs w:val="21"/>
              </w:rPr>
            </w:pPr>
          </w:p>
        </w:tc>
        <w:tc>
          <w:tcPr>
            <w:tcW w:w="217" w:type="dxa"/>
          </w:tcPr>
          <w:p w14:paraId="6B940491" w14:textId="77777777" w:rsidR="002C0FD9" w:rsidRPr="00CA25CF" w:rsidRDefault="002C0FD9" w:rsidP="00CA25CF">
            <w:pPr>
              <w:rPr>
                <w:rFonts w:cs="Arial"/>
                <w:color w:val="FF0000"/>
                <w:sz w:val="21"/>
                <w:szCs w:val="21"/>
              </w:rPr>
            </w:pPr>
          </w:p>
        </w:tc>
        <w:tc>
          <w:tcPr>
            <w:tcW w:w="217" w:type="dxa"/>
          </w:tcPr>
          <w:p w14:paraId="2880139B" w14:textId="77777777" w:rsidR="002C0FD9" w:rsidRPr="00CA25CF" w:rsidRDefault="002C0FD9" w:rsidP="00CA25CF">
            <w:pPr>
              <w:rPr>
                <w:rFonts w:cs="Arial"/>
                <w:color w:val="FF0000"/>
                <w:sz w:val="21"/>
                <w:szCs w:val="21"/>
              </w:rPr>
            </w:pPr>
          </w:p>
        </w:tc>
        <w:tc>
          <w:tcPr>
            <w:tcW w:w="217" w:type="dxa"/>
          </w:tcPr>
          <w:p w14:paraId="547CEE8F" w14:textId="77777777" w:rsidR="002C0FD9" w:rsidRPr="00CA25CF" w:rsidRDefault="002C0FD9" w:rsidP="00CA25CF">
            <w:pPr>
              <w:rPr>
                <w:rFonts w:cs="Arial"/>
                <w:color w:val="FF0000"/>
                <w:sz w:val="21"/>
                <w:szCs w:val="21"/>
              </w:rPr>
            </w:pPr>
          </w:p>
        </w:tc>
        <w:tc>
          <w:tcPr>
            <w:tcW w:w="217" w:type="dxa"/>
          </w:tcPr>
          <w:p w14:paraId="57D8C834" w14:textId="77777777" w:rsidR="002C0FD9" w:rsidRPr="00CA25CF" w:rsidRDefault="002C0FD9" w:rsidP="00CA25CF">
            <w:pPr>
              <w:rPr>
                <w:rFonts w:cs="Arial"/>
                <w:color w:val="FF0000"/>
                <w:sz w:val="21"/>
                <w:szCs w:val="21"/>
              </w:rPr>
            </w:pPr>
          </w:p>
        </w:tc>
        <w:tc>
          <w:tcPr>
            <w:tcW w:w="217" w:type="dxa"/>
          </w:tcPr>
          <w:p w14:paraId="32854E14" w14:textId="77777777" w:rsidR="002C0FD9" w:rsidRPr="00CA25CF" w:rsidRDefault="002C0FD9" w:rsidP="00CA25CF">
            <w:pPr>
              <w:rPr>
                <w:rFonts w:cs="Arial"/>
                <w:color w:val="FF0000"/>
                <w:sz w:val="21"/>
                <w:szCs w:val="21"/>
              </w:rPr>
            </w:pPr>
          </w:p>
        </w:tc>
        <w:tc>
          <w:tcPr>
            <w:tcW w:w="217" w:type="dxa"/>
          </w:tcPr>
          <w:p w14:paraId="3F113147" w14:textId="77777777" w:rsidR="002C0FD9" w:rsidRPr="00CA25CF" w:rsidRDefault="002C0FD9" w:rsidP="00CA25CF">
            <w:pPr>
              <w:rPr>
                <w:rFonts w:cs="Arial"/>
                <w:color w:val="FF0000"/>
                <w:sz w:val="21"/>
                <w:szCs w:val="21"/>
              </w:rPr>
            </w:pPr>
          </w:p>
        </w:tc>
      </w:tr>
      <w:tr w:rsidR="002C0FD9" w:rsidRPr="00A16219" w14:paraId="2D50EBC8" w14:textId="77777777" w:rsidTr="002C0FD9">
        <w:trPr>
          <w:trHeight w:val="635"/>
        </w:trPr>
        <w:tc>
          <w:tcPr>
            <w:tcW w:w="515" w:type="dxa"/>
          </w:tcPr>
          <w:p w14:paraId="343876E7" w14:textId="77777777" w:rsidR="002C0FD9" w:rsidRPr="00CA25CF" w:rsidRDefault="002C0FD9" w:rsidP="00CA25CF">
            <w:pPr>
              <w:rPr>
                <w:rFonts w:cs="Arial"/>
                <w:color w:val="FF0000"/>
                <w:sz w:val="21"/>
                <w:szCs w:val="21"/>
              </w:rPr>
            </w:pPr>
          </w:p>
        </w:tc>
        <w:tc>
          <w:tcPr>
            <w:tcW w:w="217" w:type="dxa"/>
          </w:tcPr>
          <w:p w14:paraId="75365501" w14:textId="77777777" w:rsidR="002C0FD9" w:rsidRPr="00CA25CF" w:rsidRDefault="002C0FD9" w:rsidP="00CA25CF">
            <w:pPr>
              <w:rPr>
                <w:rFonts w:cs="Arial"/>
                <w:color w:val="FF0000"/>
                <w:sz w:val="21"/>
                <w:szCs w:val="21"/>
              </w:rPr>
            </w:pPr>
          </w:p>
        </w:tc>
        <w:tc>
          <w:tcPr>
            <w:tcW w:w="217" w:type="dxa"/>
          </w:tcPr>
          <w:p w14:paraId="40680671" w14:textId="77777777" w:rsidR="002C0FD9" w:rsidRPr="00CA25CF" w:rsidRDefault="002C0FD9" w:rsidP="00CA25CF">
            <w:pPr>
              <w:rPr>
                <w:rFonts w:cs="Arial"/>
                <w:color w:val="FF0000"/>
                <w:sz w:val="21"/>
                <w:szCs w:val="21"/>
              </w:rPr>
            </w:pPr>
          </w:p>
        </w:tc>
        <w:tc>
          <w:tcPr>
            <w:tcW w:w="217" w:type="dxa"/>
          </w:tcPr>
          <w:p w14:paraId="71CBF949" w14:textId="77777777" w:rsidR="002C0FD9" w:rsidRPr="00CA25CF" w:rsidRDefault="002C0FD9" w:rsidP="00CA25CF">
            <w:pPr>
              <w:rPr>
                <w:rFonts w:cs="Arial"/>
                <w:color w:val="FF0000"/>
                <w:sz w:val="21"/>
                <w:szCs w:val="21"/>
              </w:rPr>
            </w:pPr>
          </w:p>
        </w:tc>
        <w:tc>
          <w:tcPr>
            <w:tcW w:w="217" w:type="dxa"/>
          </w:tcPr>
          <w:p w14:paraId="3927565D" w14:textId="77777777" w:rsidR="002C0FD9" w:rsidRPr="00CA25CF" w:rsidRDefault="002C0FD9" w:rsidP="00CA25CF">
            <w:pPr>
              <w:rPr>
                <w:rFonts w:cs="Arial"/>
                <w:color w:val="FF0000"/>
                <w:sz w:val="21"/>
                <w:szCs w:val="21"/>
              </w:rPr>
            </w:pPr>
          </w:p>
        </w:tc>
        <w:tc>
          <w:tcPr>
            <w:tcW w:w="217" w:type="dxa"/>
          </w:tcPr>
          <w:p w14:paraId="3528F664" w14:textId="77777777" w:rsidR="002C0FD9" w:rsidRPr="00CA25CF" w:rsidRDefault="002C0FD9" w:rsidP="00CA25CF">
            <w:pPr>
              <w:rPr>
                <w:rFonts w:cs="Arial"/>
                <w:color w:val="FF0000"/>
                <w:sz w:val="21"/>
                <w:szCs w:val="21"/>
              </w:rPr>
            </w:pPr>
          </w:p>
        </w:tc>
        <w:tc>
          <w:tcPr>
            <w:tcW w:w="217" w:type="dxa"/>
          </w:tcPr>
          <w:p w14:paraId="7F81348A" w14:textId="77777777" w:rsidR="002C0FD9" w:rsidRPr="00CA25CF" w:rsidRDefault="002C0FD9" w:rsidP="00CA25CF">
            <w:pPr>
              <w:rPr>
                <w:rFonts w:cs="Arial"/>
                <w:color w:val="FF0000"/>
                <w:sz w:val="21"/>
                <w:szCs w:val="21"/>
              </w:rPr>
            </w:pPr>
          </w:p>
        </w:tc>
        <w:tc>
          <w:tcPr>
            <w:tcW w:w="217" w:type="dxa"/>
          </w:tcPr>
          <w:p w14:paraId="1AC986A6" w14:textId="77777777" w:rsidR="002C0FD9" w:rsidRPr="00CA25CF" w:rsidRDefault="002C0FD9" w:rsidP="00CA25CF">
            <w:pPr>
              <w:rPr>
                <w:rFonts w:cs="Arial"/>
                <w:color w:val="FF0000"/>
                <w:sz w:val="21"/>
                <w:szCs w:val="21"/>
              </w:rPr>
            </w:pPr>
          </w:p>
        </w:tc>
        <w:tc>
          <w:tcPr>
            <w:tcW w:w="217" w:type="dxa"/>
          </w:tcPr>
          <w:p w14:paraId="403F532A" w14:textId="77777777" w:rsidR="002C0FD9" w:rsidRPr="00CA25CF" w:rsidRDefault="002C0FD9" w:rsidP="00CA25CF">
            <w:pPr>
              <w:rPr>
                <w:rFonts w:cs="Arial"/>
                <w:color w:val="FF0000"/>
                <w:sz w:val="21"/>
                <w:szCs w:val="21"/>
              </w:rPr>
            </w:pPr>
          </w:p>
        </w:tc>
        <w:tc>
          <w:tcPr>
            <w:tcW w:w="217" w:type="dxa"/>
          </w:tcPr>
          <w:p w14:paraId="58664953" w14:textId="77777777" w:rsidR="002C0FD9" w:rsidRPr="00CA25CF" w:rsidRDefault="002C0FD9" w:rsidP="00CA25CF">
            <w:pPr>
              <w:rPr>
                <w:rFonts w:cs="Arial"/>
                <w:color w:val="FF0000"/>
                <w:sz w:val="21"/>
                <w:szCs w:val="21"/>
              </w:rPr>
            </w:pPr>
          </w:p>
        </w:tc>
        <w:tc>
          <w:tcPr>
            <w:tcW w:w="217" w:type="dxa"/>
          </w:tcPr>
          <w:p w14:paraId="6717D189" w14:textId="77777777" w:rsidR="002C0FD9" w:rsidRPr="00CA25CF" w:rsidRDefault="002C0FD9" w:rsidP="00CA25CF">
            <w:pPr>
              <w:rPr>
                <w:rFonts w:cs="Arial"/>
                <w:color w:val="FF0000"/>
                <w:sz w:val="21"/>
                <w:szCs w:val="21"/>
              </w:rPr>
            </w:pPr>
          </w:p>
        </w:tc>
        <w:tc>
          <w:tcPr>
            <w:tcW w:w="217" w:type="dxa"/>
          </w:tcPr>
          <w:p w14:paraId="17CE738D" w14:textId="77777777" w:rsidR="002C0FD9" w:rsidRPr="00CA25CF" w:rsidRDefault="002C0FD9" w:rsidP="00CA25CF">
            <w:pPr>
              <w:rPr>
                <w:rFonts w:cs="Arial"/>
                <w:color w:val="FF0000"/>
                <w:sz w:val="21"/>
                <w:szCs w:val="21"/>
              </w:rPr>
            </w:pPr>
          </w:p>
        </w:tc>
        <w:tc>
          <w:tcPr>
            <w:tcW w:w="217" w:type="dxa"/>
          </w:tcPr>
          <w:p w14:paraId="6633A896" w14:textId="77777777" w:rsidR="002C0FD9" w:rsidRPr="00CA25CF" w:rsidRDefault="002C0FD9" w:rsidP="00CA25CF">
            <w:pPr>
              <w:rPr>
                <w:rFonts w:cs="Arial"/>
                <w:color w:val="FF0000"/>
                <w:sz w:val="21"/>
                <w:szCs w:val="21"/>
              </w:rPr>
            </w:pPr>
          </w:p>
        </w:tc>
        <w:tc>
          <w:tcPr>
            <w:tcW w:w="217" w:type="dxa"/>
          </w:tcPr>
          <w:p w14:paraId="66D75D74" w14:textId="77777777" w:rsidR="002C0FD9" w:rsidRPr="00CA25CF" w:rsidRDefault="002C0FD9" w:rsidP="00CA25CF">
            <w:pPr>
              <w:rPr>
                <w:rFonts w:cs="Arial"/>
                <w:color w:val="FF0000"/>
                <w:sz w:val="21"/>
                <w:szCs w:val="21"/>
              </w:rPr>
            </w:pPr>
          </w:p>
        </w:tc>
        <w:tc>
          <w:tcPr>
            <w:tcW w:w="217" w:type="dxa"/>
          </w:tcPr>
          <w:p w14:paraId="6F29189C" w14:textId="77777777" w:rsidR="002C0FD9" w:rsidRPr="00CA25CF" w:rsidRDefault="002C0FD9" w:rsidP="00CA25CF">
            <w:pPr>
              <w:rPr>
                <w:rFonts w:cs="Arial"/>
                <w:color w:val="FF0000"/>
                <w:sz w:val="21"/>
                <w:szCs w:val="21"/>
              </w:rPr>
            </w:pPr>
          </w:p>
        </w:tc>
        <w:tc>
          <w:tcPr>
            <w:tcW w:w="217" w:type="dxa"/>
          </w:tcPr>
          <w:p w14:paraId="16A200FA" w14:textId="77777777" w:rsidR="002C0FD9" w:rsidRPr="00CA25CF" w:rsidRDefault="002C0FD9" w:rsidP="00CA25CF">
            <w:pPr>
              <w:rPr>
                <w:rFonts w:cs="Arial"/>
                <w:color w:val="FF0000"/>
                <w:sz w:val="21"/>
                <w:szCs w:val="21"/>
              </w:rPr>
            </w:pPr>
          </w:p>
        </w:tc>
        <w:tc>
          <w:tcPr>
            <w:tcW w:w="217" w:type="dxa"/>
          </w:tcPr>
          <w:p w14:paraId="600C244D" w14:textId="77777777" w:rsidR="002C0FD9" w:rsidRPr="00CA25CF" w:rsidRDefault="002C0FD9" w:rsidP="00CA25CF">
            <w:pPr>
              <w:rPr>
                <w:rFonts w:cs="Arial"/>
                <w:color w:val="FF0000"/>
                <w:sz w:val="21"/>
                <w:szCs w:val="21"/>
              </w:rPr>
            </w:pPr>
          </w:p>
        </w:tc>
        <w:tc>
          <w:tcPr>
            <w:tcW w:w="217" w:type="dxa"/>
          </w:tcPr>
          <w:p w14:paraId="4CD981A0" w14:textId="77777777" w:rsidR="002C0FD9" w:rsidRPr="00CA25CF" w:rsidRDefault="002C0FD9" w:rsidP="00CA25CF">
            <w:pPr>
              <w:rPr>
                <w:rFonts w:cs="Arial"/>
                <w:color w:val="FF0000"/>
                <w:sz w:val="21"/>
                <w:szCs w:val="21"/>
              </w:rPr>
            </w:pPr>
          </w:p>
        </w:tc>
        <w:tc>
          <w:tcPr>
            <w:tcW w:w="217" w:type="dxa"/>
          </w:tcPr>
          <w:p w14:paraId="4F4EC74B" w14:textId="77777777" w:rsidR="002C0FD9" w:rsidRPr="00CA25CF" w:rsidRDefault="002C0FD9" w:rsidP="00CA25CF">
            <w:pPr>
              <w:rPr>
                <w:rFonts w:cs="Arial"/>
                <w:color w:val="FF0000"/>
                <w:sz w:val="21"/>
                <w:szCs w:val="21"/>
              </w:rPr>
            </w:pPr>
          </w:p>
        </w:tc>
        <w:tc>
          <w:tcPr>
            <w:tcW w:w="217" w:type="dxa"/>
          </w:tcPr>
          <w:p w14:paraId="1C405EDE" w14:textId="77777777" w:rsidR="002C0FD9" w:rsidRPr="00CA25CF" w:rsidRDefault="002C0FD9" w:rsidP="00CA25CF">
            <w:pPr>
              <w:rPr>
                <w:rFonts w:cs="Arial"/>
                <w:color w:val="FF0000"/>
                <w:sz w:val="21"/>
                <w:szCs w:val="21"/>
              </w:rPr>
            </w:pPr>
          </w:p>
        </w:tc>
        <w:tc>
          <w:tcPr>
            <w:tcW w:w="217" w:type="dxa"/>
          </w:tcPr>
          <w:p w14:paraId="6C841D39" w14:textId="77777777" w:rsidR="002C0FD9" w:rsidRPr="00CA25CF" w:rsidRDefault="002C0FD9" w:rsidP="00CA25CF">
            <w:pPr>
              <w:rPr>
                <w:rFonts w:cs="Arial"/>
                <w:color w:val="FF0000"/>
                <w:sz w:val="21"/>
                <w:szCs w:val="21"/>
              </w:rPr>
            </w:pPr>
          </w:p>
        </w:tc>
        <w:tc>
          <w:tcPr>
            <w:tcW w:w="217" w:type="dxa"/>
          </w:tcPr>
          <w:p w14:paraId="236204DA" w14:textId="77777777" w:rsidR="002C0FD9" w:rsidRPr="00CA25CF" w:rsidRDefault="002C0FD9" w:rsidP="00CA25CF">
            <w:pPr>
              <w:rPr>
                <w:rFonts w:cs="Arial"/>
                <w:color w:val="FF0000"/>
                <w:sz w:val="21"/>
                <w:szCs w:val="21"/>
              </w:rPr>
            </w:pPr>
          </w:p>
        </w:tc>
        <w:tc>
          <w:tcPr>
            <w:tcW w:w="217" w:type="dxa"/>
          </w:tcPr>
          <w:p w14:paraId="0260DD51" w14:textId="77777777" w:rsidR="002C0FD9" w:rsidRPr="00CA25CF" w:rsidRDefault="002C0FD9" w:rsidP="00CA25CF">
            <w:pPr>
              <w:rPr>
                <w:rFonts w:cs="Arial"/>
                <w:color w:val="FF0000"/>
                <w:sz w:val="21"/>
                <w:szCs w:val="21"/>
              </w:rPr>
            </w:pPr>
          </w:p>
        </w:tc>
        <w:tc>
          <w:tcPr>
            <w:tcW w:w="217" w:type="dxa"/>
          </w:tcPr>
          <w:p w14:paraId="59170FCA" w14:textId="77777777" w:rsidR="002C0FD9" w:rsidRPr="00CA25CF" w:rsidRDefault="002C0FD9" w:rsidP="00CA25CF">
            <w:pPr>
              <w:rPr>
                <w:rFonts w:cs="Arial"/>
                <w:color w:val="FF0000"/>
                <w:sz w:val="21"/>
                <w:szCs w:val="21"/>
              </w:rPr>
            </w:pPr>
          </w:p>
        </w:tc>
        <w:tc>
          <w:tcPr>
            <w:tcW w:w="217" w:type="dxa"/>
          </w:tcPr>
          <w:p w14:paraId="64C5AE65" w14:textId="77777777" w:rsidR="002C0FD9" w:rsidRPr="00CA25CF" w:rsidRDefault="002C0FD9" w:rsidP="00CA25CF">
            <w:pPr>
              <w:rPr>
                <w:rFonts w:cs="Arial"/>
                <w:color w:val="FF0000"/>
                <w:sz w:val="21"/>
                <w:szCs w:val="21"/>
              </w:rPr>
            </w:pPr>
          </w:p>
        </w:tc>
        <w:tc>
          <w:tcPr>
            <w:tcW w:w="217" w:type="dxa"/>
          </w:tcPr>
          <w:p w14:paraId="0EC04CC2" w14:textId="77777777" w:rsidR="002C0FD9" w:rsidRPr="00CA25CF" w:rsidRDefault="002C0FD9" w:rsidP="00CA25CF">
            <w:pPr>
              <w:rPr>
                <w:rFonts w:cs="Arial"/>
                <w:color w:val="FF0000"/>
                <w:sz w:val="21"/>
                <w:szCs w:val="21"/>
              </w:rPr>
            </w:pPr>
          </w:p>
        </w:tc>
        <w:tc>
          <w:tcPr>
            <w:tcW w:w="217" w:type="dxa"/>
          </w:tcPr>
          <w:p w14:paraId="024D6FD1" w14:textId="77777777" w:rsidR="002C0FD9" w:rsidRPr="00CA25CF" w:rsidRDefault="002C0FD9" w:rsidP="00CA25CF">
            <w:pPr>
              <w:rPr>
                <w:rFonts w:cs="Arial"/>
                <w:color w:val="FF0000"/>
                <w:sz w:val="21"/>
                <w:szCs w:val="21"/>
              </w:rPr>
            </w:pPr>
          </w:p>
        </w:tc>
        <w:tc>
          <w:tcPr>
            <w:tcW w:w="217" w:type="dxa"/>
          </w:tcPr>
          <w:p w14:paraId="6FC76762" w14:textId="77777777" w:rsidR="002C0FD9" w:rsidRPr="00CA25CF" w:rsidRDefault="002C0FD9" w:rsidP="00CA25CF">
            <w:pPr>
              <w:rPr>
                <w:rFonts w:cs="Arial"/>
                <w:color w:val="FF0000"/>
                <w:sz w:val="21"/>
                <w:szCs w:val="21"/>
              </w:rPr>
            </w:pPr>
          </w:p>
        </w:tc>
        <w:tc>
          <w:tcPr>
            <w:tcW w:w="217" w:type="dxa"/>
          </w:tcPr>
          <w:p w14:paraId="4FD61F3A" w14:textId="77777777" w:rsidR="002C0FD9" w:rsidRPr="00CA25CF" w:rsidRDefault="002C0FD9" w:rsidP="00CA25CF">
            <w:pPr>
              <w:rPr>
                <w:rFonts w:cs="Arial"/>
                <w:color w:val="FF0000"/>
                <w:sz w:val="21"/>
                <w:szCs w:val="21"/>
              </w:rPr>
            </w:pPr>
          </w:p>
        </w:tc>
        <w:tc>
          <w:tcPr>
            <w:tcW w:w="217" w:type="dxa"/>
          </w:tcPr>
          <w:p w14:paraId="6478D1CE" w14:textId="77777777" w:rsidR="002C0FD9" w:rsidRPr="00CA25CF" w:rsidRDefault="002C0FD9" w:rsidP="00CA25CF">
            <w:pPr>
              <w:rPr>
                <w:rFonts w:cs="Arial"/>
                <w:color w:val="FF0000"/>
                <w:sz w:val="21"/>
                <w:szCs w:val="21"/>
              </w:rPr>
            </w:pPr>
          </w:p>
        </w:tc>
        <w:tc>
          <w:tcPr>
            <w:tcW w:w="217" w:type="dxa"/>
          </w:tcPr>
          <w:p w14:paraId="0A15AE98" w14:textId="77777777" w:rsidR="002C0FD9" w:rsidRPr="00CA25CF" w:rsidRDefault="002C0FD9" w:rsidP="00CA25CF">
            <w:pPr>
              <w:rPr>
                <w:rFonts w:cs="Arial"/>
                <w:color w:val="FF0000"/>
                <w:sz w:val="21"/>
                <w:szCs w:val="21"/>
              </w:rPr>
            </w:pPr>
          </w:p>
        </w:tc>
        <w:tc>
          <w:tcPr>
            <w:tcW w:w="217" w:type="dxa"/>
          </w:tcPr>
          <w:p w14:paraId="7CD7C020" w14:textId="77777777" w:rsidR="002C0FD9" w:rsidRPr="00CA25CF" w:rsidRDefault="002C0FD9" w:rsidP="00CA25CF">
            <w:pPr>
              <w:rPr>
                <w:rFonts w:cs="Arial"/>
                <w:color w:val="FF0000"/>
                <w:sz w:val="21"/>
                <w:szCs w:val="21"/>
              </w:rPr>
            </w:pPr>
          </w:p>
        </w:tc>
        <w:tc>
          <w:tcPr>
            <w:tcW w:w="217" w:type="dxa"/>
          </w:tcPr>
          <w:p w14:paraId="7BF293B1" w14:textId="77777777" w:rsidR="002C0FD9" w:rsidRPr="00CA25CF" w:rsidRDefault="002C0FD9" w:rsidP="00CA25CF">
            <w:pPr>
              <w:rPr>
                <w:rFonts w:cs="Arial"/>
                <w:color w:val="FF0000"/>
                <w:sz w:val="21"/>
                <w:szCs w:val="21"/>
              </w:rPr>
            </w:pPr>
          </w:p>
        </w:tc>
        <w:tc>
          <w:tcPr>
            <w:tcW w:w="217" w:type="dxa"/>
          </w:tcPr>
          <w:p w14:paraId="2418E81C" w14:textId="77777777" w:rsidR="002C0FD9" w:rsidRPr="00CA25CF" w:rsidRDefault="002C0FD9" w:rsidP="00CA25CF">
            <w:pPr>
              <w:rPr>
                <w:rFonts w:cs="Arial"/>
                <w:color w:val="FF0000"/>
                <w:sz w:val="21"/>
                <w:szCs w:val="21"/>
              </w:rPr>
            </w:pPr>
          </w:p>
        </w:tc>
        <w:tc>
          <w:tcPr>
            <w:tcW w:w="217" w:type="dxa"/>
          </w:tcPr>
          <w:p w14:paraId="6A8D48EB" w14:textId="77777777" w:rsidR="002C0FD9" w:rsidRPr="00CA25CF" w:rsidRDefault="002C0FD9" w:rsidP="00CA25CF">
            <w:pPr>
              <w:rPr>
                <w:rFonts w:cs="Arial"/>
                <w:color w:val="FF0000"/>
                <w:sz w:val="21"/>
                <w:szCs w:val="21"/>
              </w:rPr>
            </w:pPr>
          </w:p>
        </w:tc>
        <w:tc>
          <w:tcPr>
            <w:tcW w:w="217" w:type="dxa"/>
          </w:tcPr>
          <w:p w14:paraId="49335BE7" w14:textId="77777777" w:rsidR="002C0FD9" w:rsidRPr="00CA25CF" w:rsidRDefault="002C0FD9" w:rsidP="00CA25CF">
            <w:pPr>
              <w:rPr>
                <w:rFonts w:cs="Arial"/>
                <w:color w:val="FF0000"/>
                <w:sz w:val="21"/>
                <w:szCs w:val="21"/>
              </w:rPr>
            </w:pPr>
          </w:p>
        </w:tc>
        <w:tc>
          <w:tcPr>
            <w:tcW w:w="217" w:type="dxa"/>
          </w:tcPr>
          <w:p w14:paraId="52598269" w14:textId="77777777" w:rsidR="002C0FD9" w:rsidRPr="00CA25CF" w:rsidRDefault="002C0FD9" w:rsidP="00CA25CF">
            <w:pPr>
              <w:rPr>
                <w:rFonts w:cs="Arial"/>
                <w:color w:val="FF0000"/>
                <w:sz w:val="21"/>
                <w:szCs w:val="21"/>
              </w:rPr>
            </w:pPr>
          </w:p>
        </w:tc>
        <w:tc>
          <w:tcPr>
            <w:tcW w:w="217" w:type="dxa"/>
          </w:tcPr>
          <w:p w14:paraId="4EECD9A6" w14:textId="77777777" w:rsidR="002C0FD9" w:rsidRPr="00CA25CF" w:rsidRDefault="002C0FD9" w:rsidP="00CA25CF">
            <w:pPr>
              <w:rPr>
                <w:rFonts w:cs="Arial"/>
                <w:color w:val="FF0000"/>
                <w:sz w:val="21"/>
                <w:szCs w:val="21"/>
              </w:rPr>
            </w:pPr>
          </w:p>
        </w:tc>
        <w:tc>
          <w:tcPr>
            <w:tcW w:w="217" w:type="dxa"/>
          </w:tcPr>
          <w:p w14:paraId="6F669788" w14:textId="77777777" w:rsidR="002C0FD9" w:rsidRPr="00CA25CF" w:rsidRDefault="002C0FD9" w:rsidP="00CA25CF">
            <w:pPr>
              <w:rPr>
                <w:rFonts w:cs="Arial"/>
                <w:color w:val="FF0000"/>
                <w:sz w:val="21"/>
                <w:szCs w:val="21"/>
              </w:rPr>
            </w:pPr>
          </w:p>
        </w:tc>
        <w:tc>
          <w:tcPr>
            <w:tcW w:w="217" w:type="dxa"/>
          </w:tcPr>
          <w:p w14:paraId="4DD041A1" w14:textId="77777777" w:rsidR="002C0FD9" w:rsidRPr="00CA25CF" w:rsidRDefault="002C0FD9" w:rsidP="00CA25CF">
            <w:pPr>
              <w:rPr>
                <w:rFonts w:cs="Arial"/>
                <w:color w:val="FF0000"/>
                <w:sz w:val="21"/>
                <w:szCs w:val="21"/>
              </w:rPr>
            </w:pPr>
          </w:p>
        </w:tc>
        <w:tc>
          <w:tcPr>
            <w:tcW w:w="217" w:type="dxa"/>
          </w:tcPr>
          <w:p w14:paraId="497295AE" w14:textId="77777777" w:rsidR="002C0FD9" w:rsidRPr="00CA25CF" w:rsidRDefault="002C0FD9" w:rsidP="00CA25CF">
            <w:pPr>
              <w:rPr>
                <w:rFonts w:cs="Arial"/>
                <w:color w:val="FF0000"/>
                <w:sz w:val="21"/>
                <w:szCs w:val="21"/>
              </w:rPr>
            </w:pPr>
          </w:p>
        </w:tc>
        <w:tc>
          <w:tcPr>
            <w:tcW w:w="217" w:type="dxa"/>
          </w:tcPr>
          <w:p w14:paraId="4BE50608" w14:textId="77777777" w:rsidR="002C0FD9" w:rsidRPr="00CA25CF" w:rsidRDefault="002C0FD9" w:rsidP="00CA25CF">
            <w:pPr>
              <w:rPr>
                <w:rFonts w:cs="Arial"/>
                <w:color w:val="FF0000"/>
                <w:sz w:val="21"/>
                <w:szCs w:val="21"/>
              </w:rPr>
            </w:pPr>
          </w:p>
        </w:tc>
        <w:tc>
          <w:tcPr>
            <w:tcW w:w="217" w:type="dxa"/>
          </w:tcPr>
          <w:p w14:paraId="2C25483C" w14:textId="77777777" w:rsidR="002C0FD9" w:rsidRPr="00CA25CF" w:rsidRDefault="002C0FD9" w:rsidP="00CA25CF">
            <w:pPr>
              <w:rPr>
                <w:rFonts w:cs="Arial"/>
                <w:color w:val="FF0000"/>
                <w:sz w:val="21"/>
                <w:szCs w:val="21"/>
              </w:rPr>
            </w:pPr>
          </w:p>
        </w:tc>
      </w:tr>
      <w:tr w:rsidR="002C0FD9" w:rsidRPr="00A16219" w14:paraId="747570C4" w14:textId="77777777" w:rsidTr="002C0FD9">
        <w:trPr>
          <w:trHeight w:val="635"/>
        </w:trPr>
        <w:tc>
          <w:tcPr>
            <w:tcW w:w="515" w:type="dxa"/>
          </w:tcPr>
          <w:p w14:paraId="14722429" w14:textId="77777777" w:rsidR="002C0FD9" w:rsidRPr="00CA25CF" w:rsidRDefault="002C0FD9" w:rsidP="00CA25CF">
            <w:pPr>
              <w:rPr>
                <w:rFonts w:cs="Arial"/>
                <w:color w:val="FF0000"/>
                <w:sz w:val="21"/>
                <w:szCs w:val="21"/>
              </w:rPr>
            </w:pPr>
          </w:p>
        </w:tc>
        <w:tc>
          <w:tcPr>
            <w:tcW w:w="217" w:type="dxa"/>
          </w:tcPr>
          <w:p w14:paraId="79E1FDD3" w14:textId="77777777" w:rsidR="002C0FD9" w:rsidRPr="00CA25CF" w:rsidRDefault="002C0FD9" w:rsidP="00CA25CF">
            <w:pPr>
              <w:rPr>
                <w:rFonts w:cs="Arial"/>
                <w:color w:val="FF0000"/>
                <w:sz w:val="21"/>
                <w:szCs w:val="21"/>
              </w:rPr>
            </w:pPr>
          </w:p>
        </w:tc>
        <w:tc>
          <w:tcPr>
            <w:tcW w:w="217" w:type="dxa"/>
          </w:tcPr>
          <w:p w14:paraId="6DD38C0C" w14:textId="77777777" w:rsidR="002C0FD9" w:rsidRPr="00CA25CF" w:rsidRDefault="002C0FD9" w:rsidP="00CA25CF">
            <w:pPr>
              <w:rPr>
                <w:rFonts w:cs="Arial"/>
                <w:color w:val="FF0000"/>
                <w:sz w:val="21"/>
                <w:szCs w:val="21"/>
              </w:rPr>
            </w:pPr>
          </w:p>
        </w:tc>
        <w:tc>
          <w:tcPr>
            <w:tcW w:w="217" w:type="dxa"/>
          </w:tcPr>
          <w:p w14:paraId="67B0A710" w14:textId="77777777" w:rsidR="002C0FD9" w:rsidRPr="00CA25CF" w:rsidRDefault="002C0FD9" w:rsidP="00CA25CF">
            <w:pPr>
              <w:rPr>
                <w:rFonts w:cs="Arial"/>
                <w:color w:val="FF0000"/>
                <w:sz w:val="21"/>
                <w:szCs w:val="21"/>
              </w:rPr>
            </w:pPr>
          </w:p>
        </w:tc>
        <w:tc>
          <w:tcPr>
            <w:tcW w:w="217" w:type="dxa"/>
          </w:tcPr>
          <w:p w14:paraId="7F05F0A4" w14:textId="77777777" w:rsidR="002C0FD9" w:rsidRPr="00CA25CF" w:rsidRDefault="002C0FD9" w:rsidP="00CA25CF">
            <w:pPr>
              <w:rPr>
                <w:rFonts w:cs="Arial"/>
                <w:color w:val="FF0000"/>
                <w:sz w:val="21"/>
                <w:szCs w:val="21"/>
              </w:rPr>
            </w:pPr>
          </w:p>
        </w:tc>
        <w:tc>
          <w:tcPr>
            <w:tcW w:w="217" w:type="dxa"/>
          </w:tcPr>
          <w:p w14:paraId="21EDCFFF" w14:textId="77777777" w:rsidR="002C0FD9" w:rsidRPr="00CA25CF" w:rsidRDefault="002C0FD9" w:rsidP="00CA25CF">
            <w:pPr>
              <w:rPr>
                <w:rFonts w:cs="Arial"/>
                <w:color w:val="FF0000"/>
                <w:sz w:val="21"/>
                <w:szCs w:val="21"/>
              </w:rPr>
            </w:pPr>
          </w:p>
        </w:tc>
        <w:tc>
          <w:tcPr>
            <w:tcW w:w="217" w:type="dxa"/>
          </w:tcPr>
          <w:p w14:paraId="3B512C40" w14:textId="77777777" w:rsidR="002C0FD9" w:rsidRPr="00CA25CF" w:rsidRDefault="002C0FD9" w:rsidP="00CA25CF">
            <w:pPr>
              <w:rPr>
                <w:rFonts w:cs="Arial"/>
                <w:color w:val="FF0000"/>
                <w:sz w:val="21"/>
                <w:szCs w:val="21"/>
              </w:rPr>
            </w:pPr>
          </w:p>
        </w:tc>
        <w:tc>
          <w:tcPr>
            <w:tcW w:w="217" w:type="dxa"/>
          </w:tcPr>
          <w:p w14:paraId="341B5916" w14:textId="77777777" w:rsidR="002C0FD9" w:rsidRPr="00CA25CF" w:rsidRDefault="002C0FD9" w:rsidP="00CA25CF">
            <w:pPr>
              <w:rPr>
                <w:rFonts w:cs="Arial"/>
                <w:color w:val="FF0000"/>
                <w:sz w:val="21"/>
                <w:szCs w:val="21"/>
              </w:rPr>
            </w:pPr>
          </w:p>
        </w:tc>
        <w:tc>
          <w:tcPr>
            <w:tcW w:w="217" w:type="dxa"/>
          </w:tcPr>
          <w:p w14:paraId="18355F8F" w14:textId="77777777" w:rsidR="002C0FD9" w:rsidRPr="00CA25CF" w:rsidRDefault="002C0FD9" w:rsidP="00CA25CF">
            <w:pPr>
              <w:rPr>
                <w:rFonts w:cs="Arial"/>
                <w:color w:val="FF0000"/>
                <w:sz w:val="21"/>
                <w:szCs w:val="21"/>
              </w:rPr>
            </w:pPr>
          </w:p>
        </w:tc>
        <w:tc>
          <w:tcPr>
            <w:tcW w:w="217" w:type="dxa"/>
          </w:tcPr>
          <w:p w14:paraId="529FBE20" w14:textId="77777777" w:rsidR="002C0FD9" w:rsidRPr="00CA25CF" w:rsidRDefault="002C0FD9" w:rsidP="00CA25CF">
            <w:pPr>
              <w:rPr>
                <w:rFonts w:cs="Arial"/>
                <w:color w:val="FF0000"/>
                <w:sz w:val="21"/>
                <w:szCs w:val="21"/>
              </w:rPr>
            </w:pPr>
          </w:p>
        </w:tc>
        <w:tc>
          <w:tcPr>
            <w:tcW w:w="217" w:type="dxa"/>
          </w:tcPr>
          <w:p w14:paraId="554DAEE9" w14:textId="77777777" w:rsidR="002C0FD9" w:rsidRPr="00CA25CF" w:rsidRDefault="002C0FD9" w:rsidP="00CA25CF">
            <w:pPr>
              <w:rPr>
                <w:rFonts w:cs="Arial"/>
                <w:color w:val="FF0000"/>
                <w:sz w:val="21"/>
                <w:szCs w:val="21"/>
              </w:rPr>
            </w:pPr>
          </w:p>
        </w:tc>
        <w:tc>
          <w:tcPr>
            <w:tcW w:w="217" w:type="dxa"/>
          </w:tcPr>
          <w:p w14:paraId="203BFFF5" w14:textId="77777777" w:rsidR="002C0FD9" w:rsidRPr="00CA25CF" w:rsidRDefault="002C0FD9" w:rsidP="00CA25CF">
            <w:pPr>
              <w:rPr>
                <w:rFonts w:cs="Arial"/>
                <w:color w:val="FF0000"/>
                <w:sz w:val="21"/>
                <w:szCs w:val="21"/>
              </w:rPr>
            </w:pPr>
          </w:p>
        </w:tc>
        <w:tc>
          <w:tcPr>
            <w:tcW w:w="217" w:type="dxa"/>
          </w:tcPr>
          <w:p w14:paraId="38D70F47" w14:textId="77777777" w:rsidR="002C0FD9" w:rsidRPr="00CA25CF" w:rsidRDefault="002C0FD9" w:rsidP="00CA25CF">
            <w:pPr>
              <w:rPr>
                <w:rFonts w:cs="Arial"/>
                <w:color w:val="FF0000"/>
                <w:sz w:val="21"/>
                <w:szCs w:val="21"/>
              </w:rPr>
            </w:pPr>
          </w:p>
        </w:tc>
        <w:tc>
          <w:tcPr>
            <w:tcW w:w="217" w:type="dxa"/>
          </w:tcPr>
          <w:p w14:paraId="2D71F641" w14:textId="77777777" w:rsidR="002C0FD9" w:rsidRPr="00CA25CF" w:rsidRDefault="002C0FD9" w:rsidP="00CA25CF">
            <w:pPr>
              <w:rPr>
                <w:rFonts w:cs="Arial"/>
                <w:color w:val="FF0000"/>
                <w:sz w:val="21"/>
                <w:szCs w:val="21"/>
              </w:rPr>
            </w:pPr>
          </w:p>
        </w:tc>
        <w:tc>
          <w:tcPr>
            <w:tcW w:w="217" w:type="dxa"/>
          </w:tcPr>
          <w:p w14:paraId="0800DED4" w14:textId="77777777" w:rsidR="002C0FD9" w:rsidRPr="00CA25CF" w:rsidRDefault="002C0FD9" w:rsidP="00CA25CF">
            <w:pPr>
              <w:rPr>
                <w:rFonts w:cs="Arial"/>
                <w:color w:val="FF0000"/>
                <w:sz w:val="21"/>
                <w:szCs w:val="21"/>
              </w:rPr>
            </w:pPr>
          </w:p>
        </w:tc>
        <w:tc>
          <w:tcPr>
            <w:tcW w:w="217" w:type="dxa"/>
          </w:tcPr>
          <w:p w14:paraId="24711BDF" w14:textId="77777777" w:rsidR="002C0FD9" w:rsidRPr="00CA25CF" w:rsidRDefault="002C0FD9" w:rsidP="00CA25CF">
            <w:pPr>
              <w:rPr>
                <w:rFonts w:cs="Arial"/>
                <w:color w:val="FF0000"/>
                <w:sz w:val="21"/>
                <w:szCs w:val="21"/>
              </w:rPr>
            </w:pPr>
          </w:p>
        </w:tc>
        <w:tc>
          <w:tcPr>
            <w:tcW w:w="217" w:type="dxa"/>
          </w:tcPr>
          <w:p w14:paraId="2246FDF9" w14:textId="77777777" w:rsidR="002C0FD9" w:rsidRPr="00CA25CF" w:rsidRDefault="002C0FD9" w:rsidP="00CA25CF">
            <w:pPr>
              <w:rPr>
                <w:rFonts w:cs="Arial"/>
                <w:color w:val="FF0000"/>
                <w:sz w:val="21"/>
                <w:szCs w:val="21"/>
              </w:rPr>
            </w:pPr>
          </w:p>
        </w:tc>
        <w:tc>
          <w:tcPr>
            <w:tcW w:w="217" w:type="dxa"/>
          </w:tcPr>
          <w:p w14:paraId="188A09A2" w14:textId="77777777" w:rsidR="002C0FD9" w:rsidRPr="00CA25CF" w:rsidRDefault="002C0FD9" w:rsidP="00CA25CF">
            <w:pPr>
              <w:rPr>
                <w:rFonts w:cs="Arial"/>
                <w:color w:val="FF0000"/>
                <w:sz w:val="21"/>
                <w:szCs w:val="21"/>
              </w:rPr>
            </w:pPr>
          </w:p>
        </w:tc>
        <w:tc>
          <w:tcPr>
            <w:tcW w:w="217" w:type="dxa"/>
          </w:tcPr>
          <w:p w14:paraId="02A04CF8" w14:textId="77777777" w:rsidR="002C0FD9" w:rsidRPr="00CA25CF" w:rsidRDefault="002C0FD9" w:rsidP="00CA25CF">
            <w:pPr>
              <w:rPr>
                <w:rFonts w:cs="Arial"/>
                <w:color w:val="FF0000"/>
                <w:sz w:val="21"/>
                <w:szCs w:val="21"/>
              </w:rPr>
            </w:pPr>
          </w:p>
        </w:tc>
        <w:tc>
          <w:tcPr>
            <w:tcW w:w="217" w:type="dxa"/>
          </w:tcPr>
          <w:p w14:paraId="5AB573A6" w14:textId="77777777" w:rsidR="002C0FD9" w:rsidRPr="00CA25CF" w:rsidRDefault="002C0FD9" w:rsidP="00CA25CF">
            <w:pPr>
              <w:rPr>
                <w:rFonts w:cs="Arial"/>
                <w:color w:val="FF0000"/>
                <w:sz w:val="21"/>
                <w:szCs w:val="21"/>
              </w:rPr>
            </w:pPr>
          </w:p>
        </w:tc>
        <w:tc>
          <w:tcPr>
            <w:tcW w:w="217" w:type="dxa"/>
          </w:tcPr>
          <w:p w14:paraId="7E2291ED" w14:textId="77777777" w:rsidR="002C0FD9" w:rsidRPr="00CA25CF" w:rsidRDefault="002C0FD9" w:rsidP="00CA25CF">
            <w:pPr>
              <w:rPr>
                <w:rFonts w:cs="Arial"/>
                <w:color w:val="FF0000"/>
                <w:sz w:val="21"/>
                <w:szCs w:val="21"/>
              </w:rPr>
            </w:pPr>
          </w:p>
        </w:tc>
        <w:tc>
          <w:tcPr>
            <w:tcW w:w="217" w:type="dxa"/>
          </w:tcPr>
          <w:p w14:paraId="0F453427" w14:textId="77777777" w:rsidR="002C0FD9" w:rsidRPr="00CA25CF" w:rsidRDefault="002C0FD9" w:rsidP="00CA25CF">
            <w:pPr>
              <w:rPr>
                <w:rFonts w:cs="Arial"/>
                <w:color w:val="FF0000"/>
                <w:sz w:val="21"/>
                <w:szCs w:val="21"/>
              </w:rPr>
            </w:pPr>
          </w:p>
        </w:tc>
        <w:tc>
          <w:tcPr>
            <w:tcW w:w="217" w:type="dxa"/>
          </w:tcPr>
          <w:p w14:paraId="6CEE63CD" w14:textId="77777777" w:rsidR="002C0FD9" w:rsidRPr="00CA25CF" w:rsidRDefault="002C0FD9" w:rsidP="00CA25CF">
            <w:pPr>
              <w:rPr>
                <w:rFonts w:cs="Arial"/>
                <w:color w:val="FF0000"/>
                <w:sz w:val="21"/>
                <w:szCs w:val="21"/>
              </w:rPr>
            </w:pPr>
          </w:p>
        </w:tc>
        <w:tc>
          <w:tcPr>
            <w:tcW w:w="217" w:type="dxa"/>
          </w:tcPr>
          <w:p w14:paraId="1077B30D" w14:textId="77777777" w:rsidR="002C0FD9" w:rsidRPr="00CA25CF" w:rsidRDefault="002C0FD9" w:rsidP="00CA25CF">
            <w:pPr>
              <w:rPr>
                <w:rFonts w:cs="Arial"/>
                <w:color w:val="FF0000"/>
                <w:sz w:val="21"/>
                <w:szCs w:val="21"/>
              </w:rPr>
            </w:pPr>
          </w:p>
        </w:tc>
        <w:tc>
          <w:tcPr>
            <w:tcW w:w="217" w:type="dxa"/>
          </w:tcPr>
          <w:p w14:paraId="5B1CABB3" w14:textId="77777777" w:rsidR="002C0FD9" w:rsidRPr="00CA25CF" w:rsidRDefault="002C0FD9" w:rsidP="00CA25CF">
            <w:pPr>
              <w:rPr>
                <w:rFonts w:cs="Arial"/>
                <w:color w:val="FF0000"/>
                <w:sz w:val="21"/>
                <w:szCs w:val="21"/>
              </w:rPr>
            </w:pPr>
          </w:p>
        </w:tc>
        <w:tc>
          <w:tcPr>
            <w:tcW w:w="217" w:type="dxa"/>
          </w:tcPr>
          <w:p w14:paraId="75F3D1C8" w14:textId="77777777" w:rsidR="002C0FD9" w:rsidRPr="00CA25CF" w:rsidRDefault="002C0FD9" w:rsidP="00CA25CF">
            <w:pPr>
              <w:rPr>
                <w:rFonts w:cs="Arial"/>
                <w:color w:val="FF0000"/>
                <w:sz w:val="21"/>
                <w:szCs w:val="21"/>
              </w:rPr>
            </w:pPr>
          </w:p>
        </w:tc>
        <w:tc>
          <w:tcPr>
            <w:tcW w:w="217" w:type="dxa"/>
          </w:tcPr>
          <w:p w14:paraId="25C3EB1B" w14:textId="77777777" w:rsidR="002C0FD9" w:rsidRPr="00CA25CF" w:rsidRDefault="002C0FD9" w:rsidP="00CA25CF">
            <w:pPr>
              <w:rPr>
                <w:rFonts w:cs="Arial"/>
                <w:color w:val="FF0000"/>
                <w:sz w:val="21"/>
                <w:szCs w:val="21"/>
              </w:rPr>
            </w:pPr>
          </w:p>
        </w:tc>
        <w:tc>
          <w:tcPr>
            <w:tcW w:w="217" w:type="dxa"/>
          </w:tcPr>
          <w:p w14:paraId="681F319D" w14:textId="77777777" w:rsidR="002C0FD9" w:rsidRPr="00CA25CF" w:rsidRDefault="002C0FD9" w:rsidP="00CA25CF">
            <w:pPr>
              <w:rPr>
                <w:rFonts w:cs="Arial"/>
                <w:color w:val="FF0000"/>
                <w:sz w:val="21"/>
                <w:szCs w:val="21"/>
              </w:rPr>
            </w:pPr>
          </w:p>
        </w:tc>
        <w:tc>
          <w:tcPr>
            <w:tcW w:w="217" w:type="dxa"/>
          </w:tcPr>
          <w:p w14:paraId="0FBF46D4" w14:textId="77777777" w:rsidR="002C0FD9" w:rsidRPr="00CA25CF" w:rsidRDefault="002C0FD9" w:rsidP="00CA25CF">
            <w:pPr>
              <w:rPr>
                <w:rFonts w:cs="Arial"/>
                <w:color w:val="FF0000"/>
                <w:sz w:val="21"/>
                <w:szCs w:val="21"/>
              </w:rPr>
            </w:pPr>
          </w:p>
        </w:tc>
        <w:tc>
          <w:tcPr>
            <w:tcW w:w="217" w:type="dxa"/>
          </w:tcPr>
          <w:p w14:paraId="380CF0FB" w14:textId="77777777" w:rsidR="002C0FD9" w:rsidRPr="00CA25CF" w:rsidRDefault="002C0FD9" w:rsidP="00CA25CF">
            <w:pPr>
              <w:rPr>
                <w:rFonts w:cs="Arial"/>
                <w:color w:val="FF0000"/>
                <w:sz w:val="21"/>
                <w:szCs w:val="21"/>
              </w:rPr>
            </w:pPr>
          </w:p>
        </w:tc>
        <w:tc>
          <w:tcPr>
            <w:tcW w:w="217" w:type="dxa"/>
          </w:tcPr>
          <w:p w14:paraId="6385AF56" w14:textId="77777777" w:rsidR="002C0FD9" w:rsidRPr="00CA25CF" w:rsidRDefault="002C0FD9" w:rsidP="00CA25CF">
            <w:pPr>
              <w:rPr>
                <w:rFonts w:cs="Arial"/>
                <w:color w:val="FF0000"/>
                <w:sz w:val="21"/>
                <w:szCs w:val="21"/>
              </w:rPr>
            </w:pPr>
          </w:p>
        </w:tc>
        <w:tc>
          <w:tcPr>
            <w:tcW w:w="217" w:type="dxa"/>
          </w:tcPr>
          <w:p w14:paraId="1AA47480" w14:textId="77777777" w:rsidR="002C0FD9" w:rsidRPr="00CA25CF" w:rsidRDefault="002C0FD9" w:rsidP="00CA25CF">
            <w:pPr>
              <w:rPr>
                <w:rFonts w:cs="Arial"/>
                <w:color w:val="FF0000"/>
                <w:sz w:val="21"/>
                <w:szCs w:val="21"/>
              </w:rPr>
            </w:pPr>
          </w:p>
        </w:tc>
        <w:tc>
          <w:tcPr>
            <w:tcW w:w="217" w:type="dxa"/>
          </w:tcPr>
          <w:p w14:paraId="32160873" w14:textId="77777777" w:rsidR="002C0FD9" w:rsidRPr="00CA25CF" w:rsidRDefault="002C0FD9" w:rsidP="00CA25CF">
            <w:pPr>
              <w:rPr>
                <w:rFonts w:cs="Arial"/>
                <w:color w:val="FF0000"/>
                <w:sz w:val="21"/>
                <w:szCs w:val="21"/>
              </w:rPr>
            </w:pPr>
          </w:p>
        </w:tc>
        <w:tc>
          <w:tcPr>
            <w:tcW w:w="217" w:type="dxa"/>
          </w:tcPr>
          <w:p w14:paraId="124EF53A" w14:textId="77777777" w:rsidR="002C0FD9" w:rsidRPr="00CA25CF" w:rsidRDefault="002C0FD9" w:rsidP="00CA25CF">
            <w:pPr>
              <w:rPr>
                <w:rFonts w:cs="Arial"/>
                <w:color w:val="FF0000"/>
                <w:sz w:val="21"/>
                <w:szCs w:val="21"/>
              </w:rPr>
            </w:pPr>
          </w:p>
        </w:tc>
        <w:tc>
          <w:tcPr>
            <w:tcW w:w="217" w:type="dxa"/>
          </w:tcPr>
          <w:p w14:paraId="7A22768D" w14:textId="77777777" w:rsidR="002C0FD9" w:rsidRPr="00CA25CF" w:rsidRDefault="002C0FD9" w:rsidP="00CA25CF">
            <w:pPr>
              <w:rPr>
                <w:rFonts w:cs="Arial"/>
                <w:color w:val="FF0000"/>
                <w:sz w:val="21"/>
                <w:szCs w:val="21"/>
              </w:rPr>
            </w:pPr>
          </w:p>
        </w:tc>
        <w:tc>
          <w:tcPr>
            <w:tcW w:w="217" w:type="dxa"/>
          </w:tcPr>
          <w:p w14:paraId="172B002D" w14:textId="77777777" w:rsidR="002C0FD9" w:rsidRPr="00CA25CF" w:rsidRDefault="002C0FD9" w:rsidP="00CA25CF">
            <w:pPr>
              <w:rPr>
                <w:rFonts w:cs="Arial"/>
                <w:color w:val="FF0000"/>
                <w:sz w:val="21"/>
                <w:szCs w:val="21"/>
              </w:rPr>
            </w:pPr>
          </w:p>
        </w:tc>
        <w:tc>
          <w:tcPr>
            <w:tcW w:w="217" w:type="dxa"/>
          </w:tcPr>
          <w:p w14:paraId="67B2890D" w14:textId="77777777" w:rsidR="002C0FD9" w:rsidRPr="00CA25CF" w:rsidRDefault="002C0FD9" w:rsidP="00CA25CF">
            <w:pPr>
              <w:rPr>
                <w:rFonts w:cs="Arial"/>
                <w:color w:val="FF0000"/>
                <w:sz w:val="21"/>
                <w:szCs w:val="21"/>
              </w:rPr>
            </w:pPr>
          </w:p>
        </w:tc>
        <w:tc>
          <w:tcPr>
            <w:tcW w:w="217" w:type="dxa"/>
          </w:tcPr>
          <w:p w14:paraId="4740953C" w14:textId="77777777" w:rsidR="002C0FD9" w:rsidRPr="00CA25CF" w:rsidRDefault="002C0FD9" w:rsidP="00CA25CF">
            <w:pPr>
              <w:rPr>
                <w:rFonts w:cs="Arial"/>
                <w:color w:val="FF0000"/>
                <w:sz w:val="21"/>
                <w:szCs w:val="21"/>
              </w:rPr>
            </w:pPr>
          </w:p>
        </w:tc>
        <w:tc>
          <w:tcPr>
            <w:tcW w:w="217" w:type="dxa"/>
          </w:tcPr>
          <w:p w14:paraId="13A9ECA7" w14:textId="77777777" w:rsidR="002C0FD9" w:rsidRPr="00CA25CF" w:rsidRDefault="002C0FD9" w:rsidP="00CA25CF">
            <w:pPr>
              <w:rPr>
                <w:rFonts w:cs="Arial"/>
                <w:color w:val="FF0000"/>
                <w:sz w:val="21"/>
                <w:szCs w:val="21"/>
              </w:rPr>
            </w:pPr>
          </w:p>
        </w:tc>
        <w:tc>
          <w:tcPr>
            <w:tcW w:w="217" w:type="dxa"/>
          </w:tcPr>
          <w:p w14:paraId="78E86B93" w14:textId="77777777" w:rsidR="002C0FD9" w:rsidRPr="00CA25CF" w:rsidRDefault="002C0FD9" w:rsidP="00CA25CF">
            <w:pPr>
              <w:rPr>
                <w:rFonts w:cs="Arial"/>
                <w:color w:val="FF0000"/>
                <w:sz w:val="21"/>
                <w:szCs w:val="21"/>
              </w:rPr>
            </w:pPr>
          </w:p>
        </w:tc>
        <w:tc>
          <w:tcPr>
            <w:tcW w:w="217" w:type="dxa"/>
          </w:tcPr>
          <w:p w14:paraId="0773ED5A" w14:textId="77777777" w:rsidR="002C0FD9" w:rsidRPr="00CA25CF" w:rsidRDefault="002C0FD9" w:rsidP="00CA25CF">
            <w:pPr>
              <w:rPr>
                <w:rFonts w:cs="Arial"/>
                <w:color w:val="FF0000"/>
                <w:sz w:val="21"/>
                <w:szCs w:val="21"/>
              </w:rPr>
            </w:pPr>
          </w:p>
        </w:tc>
        <w:tc>
          <w:tcPr>
            <w:tcW w:w="217" w:type="dxa"/>
          </w:tcPr>
          <w:p w14:paraId="05654E6C" w14:textId="77777777" w:rsidR="002C0FD9" w:rsidRPr="00CA25CF" w:rsidRDefault="002C0FD9" w:rsidP="00CA25CF">
            <w:pPr>
              <w:rPr>
                <w:rFonts w:cs="Arial"/>
                <w:color w:val="FF0000"/>
                <w:sz w:val="21"/>
                <w:szCs w:val="21"/>
              </w:rPr>
            </w:pPr>
          </w:p>
        </w:tc>
        <w:tc>
          <w:tcPr>
            <w:tcW w:w="217" w:type="dxa"/>
          </w:tcPr>
          <w:p w14:paraId="1A7E259B" w14:textId="77777777" w:rsidR="002C0FD9" w:rsidRPr="00CA25CF" w:rsidRDefault="002C0FD9" w:rsidP="00CA25CF">
            <w:pPr>
              <w:rPr>
                <w:rFonts w:cs="Arial"/>
                <w:color w:val="FF0000"/>
                <w:sz w:val="21"/>
                <w:szCs w:val="21"/>
              </w:rPr>
            </w:pPr>
          </w:p>
        </w:tc>
      </w:tr>
      <w:tr w:rsidR="002C0FD9" w:rsidRPr="00A16219" w14:paraId="664C18CD" w14:textId="77777777" w:rsidTr="002C0FD9">
        <w:trPr>
          <w:trHeight w:val="635"/>
        </w:trPr>
        <w:tc>
          <w:tcPr>
            <w:tcW w:w="515" w:type="dxa"/>
          </w:tcPr>
          <w:p w14:paraId="5873F7A7" w14:textId="77777777" w:rsidR="002C0FD9" w:rsidRPr="00CA25CF" w:rsidRDefault="002C0FD9" w:rsidP="00CA25CF">
            <w:pPr>
              <w:rPr>
                <w:rFonts w:cs="Arial"/>
                <w:color w:val="FF0000"/>
                <w:sz w:val="21"/>
                <w:szCs w:val="21"/>
              </w:rPr>
            </w:pPr>
          </w:p>
        </w:tc>
        <w:tc>
          <w:tcPr>
            <w:tcW w:w="217" w:type="dxa"/>
          </w:tcPr>
          <w:p w14:paraId="73F0A372" w14:textId="77777777" w:rsidR="002C0FD9" w:rsidRPr="00CA25CF" w:rsidRDefault="002C0FD9" w:rsidP="00CA25CF">
            <w:pPr>
              <w:rPr>
                <w:rFonts w:cs="Arial"/>
                <w:color w:val="FF0000"/>
                <w:sz w:val="21"/>
                <w:szCs w:val="21"/>
              </w:rPr>
            </w:pPr>
          </w:p>
        </w:tc>
        <w:tc>
          <w:tcPr>
            <w:tcW w:w="217" w:type="dxa"/>
          </w:tcPr>
          <w:p w14:paraId="71BB4E30" w14:textId="77777777" w:rsidR="002C0FD9" w:rsidRPr="00CA25CF" w:rsidRDefault="002C0FD9" w:rsidP="00CA25CF">
            <w:pPr>
              <w:rPr>
                <w:rFonts w:cs="Arial"/>
                <w:color w:val="FF0000"/>
                <w:sz w:val="21"/>
                <w:szCs w:val="21"/>
              </w:rPr>
            </w:pPr>
          </w:p>
        </w:tc>
        <w:tc>
          <w:tcPr>
            <w:tcW w:w="217" w:type="dxa"/>
          </w:tcPr>
          <w:p w14:paraId="39B3785B" w14:textId="77777777" w:rsidR="002C0FD9" w:rsidRPr="00CA25CF" w:rsidRDefault="002C0FD9" w:rsidP="00CA25CF">
            <w:pPr>
              <w:rPr>
                <w:rFonts w:cs="Arial"/>
                <w:color w:val="FF0000"/>
                <w:sz w:val="21"/>
                <w:szCs w:val="21"/>
              </w:rPr>
            </w:pPr>
          </w:p>
        </w:tc>
        <w:tc>
          <w:tcPr>
            <w:tcW w:w="217" w:type="dxa"/>
          </w:tcPr>
          <w:p w14:paraId="351D0AB5" w14:textId="77777777" w:rsidR="002C0FD9" w:rsidRPr="00CA25CF" w:rsidRDefault="002C0FD9" w:rsidP="00CA25CF">
            <w:pPr>
              <w:rPr>
                <w:rFonts w:cs="Arial"/>
                <w:color w:val="FF0000"/>
                <w:sz w:val="21"/>
                <w:szCs w:val="21"/>
              </w:rPr>
            </w:pPr>
          </w:p>
        </w:tc>
        <w:tc>
          <w:tcPr>
            <w:tcW w:w="217" w:type="dxa"/>
          </w:tcPr>
          <w:p w14:paraId="36309ED1" w14:textId="77777777" w:rsidR="002C0FD9" w:rsidRPr="00CA25CF" w:rsidRDefault="002C0FD9" w:rsidP="00CA25CF">
            <w:pPr>
              <w:rPr>
                <w:rFonts w:cs="Arial"/>
                <w:color w:val="FF0000"/>
                <w:sz w:val="21"/>
                <w:szCs w:val="21"/>
              </w:rPr>
            </w:pPr>
          </w:p>
        </w:tc>
        <w:tc>
          <w:tcPr>
            <w:tcW w:w="217" w:type="dxa"/>
          </w:tcPr>
          <w:p w14:paraId="02498255" w14:textId="77777777" w:rsidR="002C0FD9" w:rsidRPr="00CA25CF" w:rsidRDefault="002C0FD9" w:rsidP="00CA25CF">
            <w:pPr>
              <w:rPr>
                <w:rFonts w:cs="Arial"/>
                <w:color w:val="FF0000"/>
                <w:sz w:val="21"/>
                <w:szCs w:val="21"/>
              </w:rPr>
            </w:pPr>
          </w:p>
        </w:tc>
        <w:tc>
          <w:tcPr>
            <w:tcW w:w="217" w:type="dxa"/>
          </w:tcPr>
          <w:p w14:paraId="5919B884" w14:textId="77777777" w:rsidR="002C0FD9" w:rsidRPr="00CA25CF" w:rsidRDefault="002C0FD9" w:rsidP="00CA25CF">
            <w:pPr>
              <w:rPr>
                <w:rFonts w:cs="Arial"/>
                <w:color w:val="FF0000"/>
                <w:sz w:val="21"/>
                <w:szCs w:val="21"/>
              </w:rPr>
            </w:pPr>
          </w:p>
        </w:tc>
        <w:tc>
          <w:tcPr>
            <w:tcW w:w="217" w:type="dxa"/>
          </w:tcPr>
          <w:p w14:paraId="4AC87E4A" w14:textId="77777777" w:rsidR="002C0FD9" w:rsidRPr="00CA25CF" w:rsidRDefault="002C0FD9" w:rsidP="00CA25CF">
            <w:pPr>
              <w:rPr>
                <w:rFonts w:cs="Arial"/>
                <w:color w:val="FF0000"/>
                <w:sz w:val="21"/>
                <w:szCs w:val="21"/>
              </w:rPr>
            </w:pPr>
          </w:p>
        </w:tc>
        <w:tc>
          <w:tcPr>
            <w:tcW w:w="217" w:type="dxa"/>
          </w:tcPr>
          <w:p w14:paraId="08A1C1AA" w14:textId="77777777" w:rsidR="002C0FD9" w:rsidRPr="00CA25CF" w:rsidRDefault="002C0FD9" w:rsidP="00CA25CF">
            <w:pPr>
              <w:rPr>
                <w:rFonts w:cs="Arial"/>
                <w:color w:val="FF0000"/>
                <w:sz w:val="21"/>
                <w:szCs w:val="21"/>
              </w:rPr>
            </w:pPr>
          </w:p>
        </w:tc>
        <w:tc>
          <w:tcPr>
            <w:tcW w:w="217" w:type="dxa"/>
          </w:tcPr>
          <w:p w14:paraId="408F55FF" w14:textId="77777777" w:rsidR="002C0FD9" w:rsidRPr="00CA25CF" w:rsidRDefault="002C0FD9" w:rsidP="00CA25CF">
            <w:pPr>
              <w:rPr>
                <w:rFonts w:cs="Arial"/>
                <w:color w:val="FF0000"/>
                <w:sz w:val="21"/>
                <w:szCs w:val="21"/>
              </w:rPr>
            </w:pPr>
          </w:p>
        </w:tc>
        <w:tc>
          <w:tcPr>
            <w:tcW w:w="217" w:type="dxa"/>
          </w:tcPr>
          <w:p w14:paraId="55E2FD2A" w14:textId="77777777" w:rsidR="002C0FD9" w:rsidRPr="00CA25CF" w:rsidRDefault="002C0FD9" w:rsidP="00CA25CF">
            <w:pPr>
              <w:rPr>
                <w:rFonts w:cs="Arial"/>
                <w:color w:val="FF0000"/>
                <w:sz w:val="21"/>
                <w:szCs w:val="21"/>
              </w:rPr>
            </w:pPr>
          </w:p>
        </w:tc>
        <w:tc>
          <w:tcPr>
            <w:tcW w:w="217" w:type="dxa"/>
          </w:tcPr>
          <w:p w14:paraId="001712D2" w14:textId="77777777" w:rsidR="002C0FD9" w:rsidRPr="00CA25CF" w:rsidRDefault="002C0FD9" w:rsidP="00CA25CF">
            <w:pPr>
              <w:rPr>
                <w:rFonts w:cs="Arial"/>
                <w:color w:val="FF0000"/>
                <w:sz w:val="21"/>
                <w:szCs w:val="21"/>
              </w:rPr>
            </w:pPr>
          </w:p>
        </w:tc>
        <w:tc>
          <w:tcPr>
            <w:tcW w:w="217" w:type="dxa"/>
          </w:tcPr>
          <w:p w14:paraId="1039BE9C" w14:textId="77777777" w:rsidR="002C0FD9" w:rsidRPr="00CA25CF" w:rsidRDefault="002C0FD9" w:rsidP="00CA25CF">
            <w:pPr>
              <w:rPr>
                <w:rFonts w:cs="Arial"/>
                <w:color w:val="FF0000"/>
                <w:sz w:val="21"/>
                <w:szCs w:val="21"/>
              </w:rPr>
            </w:pPr>
          </w:p>
        </w:tc>
        <w:tc>
          <w:tcPr>
            <w:tcW w:w="217" w:type="dxa"/>
          </w:tcPr>
          <w:p w14:paraId="1252229E" w14:textId="77777777" w:rsidR="002C0FD9" w:rsidRPr="00CA25CF" w:rsidRDefault="002C0FD9" w:rsidP="00CA25CF">
            <w:pPr>
              <w:rPr>
                <w:rFonts w:cs="Arial"/>
                <w:color w:val="FF0000"/>
                <w:sz w:val="21"/>
                <w:szCs w:val="21"/>
              </w:rPr>
            </w:pPr>
          </w:p>
        </w:tc>
        <w:tc>
          <w:tcPr>
            <w:tcW w:w="217" w:type="dxa"/>
          </w:tcPr>
          <w:p w14:paraId="7406D484" w14:textId="77777777" w:rsidR="002C0FD9" w:rsidRPr="00CA25CF" w:rsidRDefault="002C0FD9" w:rsidP="00CA25CF">
            <w:pPr>
              <w:rPr>
                <w:rFonts w:cs="Arial"/>
                <w:color w:val="FF0000"/>
                <w:sz w:val="21"/>
                <w:szCs w:val="21"/>
              </w:rPr>
            </w:pPr>
          </w:p>
        </w:tc>
        <w:tc>
          <w:tcPr>
            <w:tcW w:w="217" w:type="dxa"/>
          </w:tcPr>
          <w:p w14:paraId="4513C0C9" w14:textId="77777777" w:rsidR="002C0FD9" w:rsidRPr="00CA25CF" w:rsidRDefault="002C0FD9" w:rsidP="00CA25CF">
            <w:pPr>
              <w:rPr>
                <w:rFonts w:cs="Arial"/>
                <w:color w:val="FF0000"/>
                <w:sz w:val="21"/>
                <w:szCs w:val="21"/>
              </w:rPr>
            </w:pPr>
          </w:p>
        </w:tc>
        <w:tc>
          <w:tcPr>
            <w:tcW w:w="217" w:type="dxa"/>
          </w:tcPr>
          <w:p w14:paraId="21D7B7D0" w14:textId="77777777" w:rsidR="002C0FD9" w:rsidRPr="00CA25CF" w:rsidRDefault="002C0FD9" w:rsidP="00CA25CF">
            <w:pPr>
              <w:rPr>
                <w:rFonts w:cs="Arial"/>
                <w:color w:val="FF0000"/>
                <w:sz w:val="21"/>
                <w:szCs w:val="21"/>
              </w:rPr>
            </w:pPr>
          </w:p>
        </w:tc>
        <w:tc>
          <w:tcPr>
            <w:tcW w:w="217" w:type="dxa"/>
          </w:tcPr>
          <w:p w14:paraId="6BB36367" w14:textId="77777777" w:rsidR="002C0FD9" w:rsidRPr="00CA25CF" w:rsidRDefault="002C0FD9" w:rsidP="00CA25CF">
            <w:pPr>
              <w:rPr>
                <w:rFonts w:cs="Arial"/>
                <w:color w:val="FF0000"/>
                <w:sz w:val="21"/>
                <w:szCs w:val="21"/>
              </w:rPr>
            </w:pPr>
          </w:p>
        </w:tc>
        <w:tc>
          <w:tcPr>
            <w:tcW w:w="217" w:type="dxa"/>
          </w:tcPr>
          <w:p w14:paraId="5BF95323" w14:textId="77777777" w:rsidR="002C0FD9" w:rsidRPr="00CA25CF" w:rsidRDefault="002C0FD9" w:rsidP="00CA25CF">
            <w:pPr>
              <w:rPr>
                <w:rFonts w:cs="Arial"/>
                <w:color w:val="FF0000"/>
                <w:sz w:val="21"/>
                <w:szCs w:val="21"/>
              </w:rPr>
            </w:pPr>
          </w:p>
        </w:tc>
        <w:tc>
          <w:tcPr>
            <w:tcW w:w="217" w:type="dxa"/>
          </w:tcPr>
          <w:p w14:paraId="06F75523" w14:textId="77777777" w:rsidR="002C0FD9" w:rsidRPr="00CA25CF" w:rsidRDefault="002C0FD9" w:rsidP="00CA25CF">
            <w:pPr>
              <w:rPr>
                <w:rFonts w:cs="Arial"/>
                <w:color w:val="FF0000"/>
                <w:sz w:val="21"/>
                <w:szCs w:val="21"/>
              </w:rPr>
            </w:pPr>
          </w:p>
        </w:tc>
        <w:tc>
          <w:tcPr>
            <w:tcW w:w="217" w:type="dxa"/>
          </w:tcPr>
          <w:p w14:paraId="5989D703" w14:textId="77777777" w:rsidR="002C0FD9" w:rsidRPr="00CA25CF" w:rsidRDefault="002C0FD9" w:rsidP="00CA25CF">
            <w:pPr>
              <w:rPr>
                <w:rFonts w:cs="Arial"/>
                <w:color w:val="FF0000"/>
                <w:sz w:val="21"/>
                <w:szCs w:val="21"/>
              </w:rPr>
            </w:pPr>
          </w:p>
        </w:tc>
        <w:tc>
          <w:tcPr>
            <w:tcW w:w="217" w:type="dxa"/>
          </w:tcPr>
          <w:p w14:paraId="180A69E1" w14:textId="77777777" w:rsidR="002C0FD9" w:rsidRPr="00CA25CF" w:rsidRDefault="002C0FD9" w:rsidP="00CA25CF">
            <w:pPr>
              <w:rPr>
                <w:rFonts w:cs="Arial"/>
                <w:color w:val="FF0000"/>
                <w:sz w:val="21"/>
                <w:szCs w:val="21"/>
              </w:rPr>
            </w:pPr>
          </w:p>
        </w:tc>
        <w:tc>
          <w:tcPr>
            <w:tcW w:w="217" w:type="dxa"/>
          </w:tcPr>
          <w:p w14:paraId="628CA3C5" w14:textId="77777777" w:rsidR="002C0FD9" w:rsidRPr="00CA25CF" w:rsidRDefault="002C0FD9" w:rsidP="00CA25CF">
            <w:pPr>
              <w:rPr>
                <w:rFonts w:cs="Arial"/>
                <w:color w:val="FF0000"/>
                <w:sz w:val="21"/>
                <w:szCs w:val="21"/>
              </w:rPr>
            </w:pPr>
          </w:p>
        </w:tc>
        <w:tc>
          <w:tcPr>
            <w:tcW w:w="217" w:type="dxa"/>
          </w:tcPr>
          <w:p w14:paraId="48739DE6" w14:textId="77777777" w:rsidR="002C0FD9" w:rsidRPr="00CA25CF" w:rsidRDefault="002C0FD9" w:rsidP="00CA25CF">
            <w:pPr>
              <w:rPr>
                <w:rFonts w:cs="Arial"/>
                <w:color w:val="FF0000"/>
                <w:sz w:val="21"/>
                <w:szCs w:val="21"/>
              </w:rPr>
            </w:pPr>
          </w:p>
        </w:tc>
        <w:tc>
          <w:tcPr>
            <w:tcW w:w="217" w:type="dxa"/>
          </w:tcPr>
          <w:p w14:paraId="167D5886" w14:textId="77777777" w:rsidR="002C0FD9" w:rsidRPr="00CA25CF" w:rsidRDefault="002C0FD9" w:rsidP="00CA25CF">
            <w:pPr>
              <w:rPr>
                <w:rFonts w:cs="Arial"/>
                <w:color w:val="FF0000"/>
                <w:sz w:val="21"/>
                <w:szCs w:val="21"/>
              </w:rPr>
            </w:pPr>
          </w:p>
        </w:tc>
        <w:tc>
          <w:tcPr>
            <w:tcW w:w="217" w:type="dxa"/>
          </w:tcPr>
          <w:p w14:paraId="61B9C998" w14:textId="77777777" w:rsidR="002C0FD9" w:rsidRPr="00CA25CF" w:rsidRDefault="002C0FD9" w:rsidP="00CA25CF">
            <w:pPr>
              <w:rPr>
                <w:rFonts w:cs="Arial"/>
                <w:color w:val="FF0000"/>
                <w:sz w:val="21"/>
                <w:szCs w:val="21"/>
              </w:rPr>
            </w:pPr>
          </w:p>
        </w:tc>
        <w:tc>
          <w:tcPr>
            <w:tcW w:w="217" w:type="dxa"/>
          </w:tcPr>
          <w:p w14:paraId="2F77BFE9" w14:textId="77777777" w:rsidR="002C0FD9" w:rsidRPr="00CA25CF" w:rsidRDefault="002C0FD9" w:rsidP="00CA25CF">
            <w:pPr>
              <w:rPr>
                <w:rFonts w:cs="Arial"/>
                <w:color w:val="FF0000"/>
                <w:sz w:val="21"/>
                <w:szCs w:val="21"/>
              </w:rPr>
            </w:pPr>
          </w:p>
        </w:tc>
        <w:tc>
          <w:tcPr>
            <w:tcW w:w="217" w:type="dxa"/>
          </w:tcPr>
          <w:p w14:paraId="200A1282" w14:textId="77777777" w:rsidR="002C0FD9" w:rsidRPr="00CA25CF" w:rsidRDefault="002C0FD9" w:rsidP="00CA25CF">
            <w:pPr>
              <w:rPr>
                <w:rFonts w:cs="Arial"/>
                <w:color w:val="FF0000"/>
                <w:sz w:val="21"/>
                <w:szCs w:val="21"/>
              </w:rPr>
            </w:pPr>
          </w:p>
        </w:tc>
        <w:tc>
          <w:tcPr>
            <w:tcW w:w="217" w:type="dxa"/>
          </w:tcPr>
          <w:p w14:paraId="3D74B5EE" w14:textId="77777777" w:rsidR="002C0FD9" w:rsidRPr="00CA25CF" w:rsidRDefault="002C0FD9" w:rsidP="00CA25CF">
            <w:pPr>
              <w:rPr>
                <w:rFonts w:cs="Arial"/>
                <w:color w:val="FF0000"/>
                <w:sz w:val="21"/>
                <w:szCs w:val="21"/>
              </w:rPr>
            </w:pPr>
          </w:p>
        </w:tc>
        <w:tc>
          <w:tcPr>
            <w:tcW w:w="217" w:type="dxa"/>
          </w:tcPr>
          <w:p w14:paraId="417447D9" w14:textId="77777777" w:rsidR="002C0FD9" w:rsidRPr="00CA25CF" w:rsidRDefault="002C0FD9" w:rsidP="00CA25CF">
            <w:pPr>
              <w:rPr>
                <w:rFonts w:cs="Arial"/>
                <w:color w:val="FF0000"/>
                <w:sz w:val="21"/>
                <w:szCs w:val="21"/>
              </w:rPr>
            </w:pPr>
          </w:p>
        </w:tc>
        <w:tc>
          <w:tcPr>
            <w:tcW w:w="217" w:type="dxa"/>
          </w:tcPr>
          <w:p w14:paraId="24F52840" w14:textId="77777777" w:rsidR="002C0FD9" w:rsidRPr="00CA25CF" w:rsidRDefault="002C0FD9" w:rsidP="00CA25CF">
            <w:pPr>
              <w:rPr>
                <w:rFonts w:cs="Arial"/>
                <w:color w:val="FF0000"/>
                <w:sz w:val="21"/>
                <w:szCs w:val="21"/>
              </w:rPr>
            </w:pPr>
          </w:p>
        </w:tc>
        <w:tc>
          <w:tcPr>
            <w:tcW w:w="217" w:type="dxa"/>
          </w:tcPr>
          <w:p w14:paraId="6C15DF9C" w14:textId="77777777" w:rsidR="002C0FD9" w:rsidRPr="00CA25CF" w:rsidRDefault="002C0FD9" w:rsidP="00CA25CF">
            <w:pPr>
              <w:rPr>
                <w:rFonts w:cs="Arial"/>
                <w:color w:val="FF0000"/>
                <w:sz w:val="21"/>
                <w:szCs w:val="21"/>
              </w:rPr>
            </w:pPr>
          </w:p>
        </w:tc>
        <w:tc>
          <w:tcPr>
            <w:tcW w:w="217" w:type="dxa"/>
          </w:tcPr>
          <w:p w14:paraId="1E306500" w14:textId="77777777" w:rsidR="002C0FD9" w:rsidRPr="00CA25CF" w:rsidRDefault="002C0FD9" w:rsidP="00CA25CF">
            <w:pPr>
              <w:rPr>
                <w:rFonts w:cs="Arial"/>
                <w:color w:val="FF0000"/>
                <w:sz w:val="21"/>
                <w:szCs w:val="21"/>
              </w:rPr>
            </w:pPr>
          </w:p>
        </w:tc>
        <w:tc>
          <w:tcPr>
            <w:tcW w:w="217" w:type="dxa"/>
          </w:tcPr>
          <w:p w14:paraId="419F781B" w14:textId="77777777" w:rsidR="002C0FD9" w:rsidRPr="00CA25CF" w:rsidRDefault="002C0FD9" w:rsidP="00CA25CF">
            <w:pPr>
              <w:rPr>
                <w:rFonts w:cs="Arial"/>
                <w:color w:val="FF0000"/>
                <w:sz w:val="21"/>
                <w:szCs w:val="21"/>
              </w:rPr>
            </w:pPr>
          </w:p>
        </w:tc>
        <w:tc>
          <w:tcPr>
            <w:tcW w:w="217" w:type="dxa"/>
          </w:tcPr>
          <w:p w14:paraId="1DCF8C1C" w14:textId="77777777" w:rsidR="002C0FD9" w:rsidRPr="00CA25CF" w:rsidRDefault="002C0FD9" w:rsidP="00CA25CF">
            <w:pPr>
              <w:rPr>
                <w:rFonts w:cs="Arial"/>
                <w:color w:val="FF0000"/>
                <w:sz w:val="21"/>
                <w:szCs w:val="21"/>
              </w:rPr>
            </w:pPr>
          </w:p>
        </w:tc>
        <w:tc>
          <w:tcPr>
            <w:tcW w:w="217" w:type="dxa"/>
          </w:tcPr>
          <w:p w14:paraId="3E3EE204" w14:textId="77777777" w:rsidR="002C0FD9" w:rsidRPr="00CA25CF" w:rsidRDefault="002C0FD9" w:rsidP="00CA25CF">
            <w:pPr>
              <w:rPr>
                <w:rFonts w:cs="Arial"/>
                <w:color w:val="FF0000"/>
                <w:sz w:val="21"/>
                <w:szCs w:val="21"/>
              </w:rPr>
            </w:pPr>
          </w:p>
        </w:tc>
        <w:tc>
          <w:tcPr>
            <w:tcW w:w="217" w:type="dxa"/>
          </w:tcPr>
          <w:p w14:paraId="0D71971C" w14:textId="77777777" w:rsidR="002C0FD9" w:rsidRPr="00CA25CF" w:rsidRDefault="002C0FD9" w:rsidP="00CA25CF">
            <w:pPr>
              <w:rPr>
                <w:rFonts w:cs="Arial"/>
                <w:color w:val="FF0000"/>
                <w:sz w:val="21"/>
                <w:szCs w:val="21"/>
              </w:rPr>
            </w:pPr>
          </w:p>
        </w:tc>
        <w:tc>
          <w:tcPr>
            <w:tcW w:w="217" w:type="dxa"/>
          </w:tcPr>
          <w:p w14:paraId="59BED6FA" w14:textId="77777777" w:rsidR="002C0FD9" w:rsidRPr="00CA25CF" w:rsidRDefault="002C0FD9" w:rsidP="00CA25CF">
            <w:pPr>
              <w:rPr>
                <w:rFonts w:cs="Arial"/>
                <w:color w:val="FF0000"/>
                <w:sz w:val="21"/>
                <w:szCs w:val="21"/>
              </w:rPr>
            </w:pPr>
          </w:p>
        </w:tc>
        <w:tc>
          <w:tcPr>
            <w:tcW w:w="217" w:type="dxa"/>
          </w:tcPr>
          <w:p w14:paraId="094A0B71" w14:textId="77777777" w:rsidR="002C0FD9" w:rsidRPr="00CA25CF" w:rsidRDefault="002C0FD9" w:rsidP="00CA25CF">
            <w:pPr>
              <w:rPr>
                <w:rFonts w:cs="Arial"/>
                <w:color w:val="FF0000"/>
                <w:sz w:val="21"/>
                <w:szCs w:val="21"/>
              </w:rPr>
            </w:pPr>
          </w:p>
        </w:tc>
        <w:tc>
          <w:tcPr>
            <w:tcW w:w="217" w:type="dxa"/>
          </w:tcPr>
          <w:p w14:paraId="78A5A0A0" w14:textId="77777777" w:rsidR="002C0FD9" w:rsidRPr="00CA25CF" w:rsidRDefault="002C0FD9" w:rsidP="00CA25CF">
            <w:pPr>
              <w:rPr>
                <w:rFonts w:cs="Arial"/>
                <w:color w:val="FF0000"/>
                <w:sz w:val="21"/>
                <w:szCs w:val="21"/>
              </w:rPr>
            </w:pPr>
          </w:p>
        </w:tc>
        <w:tc>
          <w:tcPr>
            <w:tcW w:w="217" w:type="dxa"/>
          </w:tcPr>
          <w:p w14:paraId="05100B45" w14:textId="77777777" w:rsidR="002C0FD9" w:rsidRPr="00CA25CF" w:rsidRDefault="002C0FD9" w:rsidP="00CA25CF">
            <w:pPr>
              <w:rPr>
                <w:rFonts w:cs="Arial"/>
                <w:color w:val="FF0000"/>
                <w:sz w:val="21"/>
                <w:szCs w:val="21"/>
              </w:rPr>
            </w:pPr>
          </w:p>
        </w:tc>
        <w:tc>
          <w:tcPr>
            <w:tcW w:w="217" w:type="dxa"/>
          </w:tcPr>
          <w:p w14:paraId="538D142E" w14:textId="77777777" w:rsidR="002C0FD9" w:rsidRPr="00CA25CF" w:rsidRDefault="002C0FD9" w:rsidP="00CA25CF">
            <w:pPr>
              <w:rPr>
                <w:rFonts w:cs="Arial"/>
                <w:color w:val="FF0000"/>
                <w:sz w:val="21"/>
                <w:szCs w:val="21"/>
              </w:rPr>
            </w:pPr>
          </w:p>
        </w:tc>
      </w:tr>
      <w:tr w:rsidR="002C0FD9" w:rsidRPr="00A16219" w14:paraId="196E0F6F" w14:textId="77777777" w:rsidTr="002C0FD9">
        <w:trPr>
          <w:trHeight w:val="635"/>
        </w:trPr>
        <w:tc>
          <w:tcPr>
            <w:tcW w:w="515" w:type="dxa"/>
          </w:tcPr>
          <w:p w14:paraId="1060667D" w14:textId="77777777" w:rsidR="002C0FD9" w:rsidRPr="00CA25CF" w:rsidRDefault="002C0FD9" w:rsidP="00CA25CF">
            <w:pPr>
              <w:rPr>
                <w:rFonts w:cs="Arial"/>
                <w:color w:val="FF0000"/>
                <w:sz w:val="21"/>
                <w:szCs w:val="21"/>
              </w:rPr>
            </w:pPr>
          </w:p>
        </w:tc>
        <w:tc>
          <w:tcPr>
            <w:tcW w:w="217" w:type="dxa"/>
          </w:tcPr>
          <w:p w14:paraId="5D48801B" w14:textId="77777777" w:rsidR="002C0FD9" w:rsidRPr="00CA25CF" w:rsidRDefault="002C0FD9" w:rsidP="00CA25CF">
            <w:pPr>
              <w:rPr>
                <w:rFonts w:cs="Arial"/>
                <w:color w:val="FF0000"/>
                <w:sz w:val="21"/>
                <w:szCs w:val="21"/>
              </w:rPr>
            </w:pPr>
          </w:p>
        </w:tc>
        <w:tc>
          <w:tcPr>
            <w:tcW w:w="217" w:type="dxa"/>
          </w:tcPr>
          <w:p w14:paraId="41677C93" w14:textId="77777777" w:rsidR="002C0FD9" w:rsidRPr="00CA25CF" w:rsidRDefault="002C0FD9" w:rsidP="00CA25CF">
            <w:pPr>
              <w:rPr>
                <w:rFonts w:cs="Arial"/>
                <w:color w:val="FF0000"/>
                <w:sz w:val="21"/>
                <w:szCs w:val="21"/>
              </w:rPr>
            </w:pPr>
          </w:p>
        </w:tc>
        <w:tc>
          <w:tcPr>
            <w:tcW w:w="217" w:type="dxa"/>
          </w:tcPr>
          <w:p w14:paraId="3A22FB67" w14:textId="77777777" w:rsidR="002C0FD9" w:rsidRPr="00CA25CF" w:rsidRDefault="002C0FD9" w:rsidP="00CA25CF">
            <w:pPr>
              <w:rPr>
                <w:rFonts w:cs="Arial"/>
                <w:color w:val="FF0000"/>
                <w:sz w:val="21"/>
                <w:szCs w:val="21"/>
              </w:rPr>
            </w:pPr>
          </w:p>
        </w:tc>
        <w:tc>
          <w:tcPr>
            <w:tcW w:w="217" w:type="dxa"/>
          </w:tcPr>
          <w:p w14:paraId="6B137CC0" w14:textId="77777777" w:rsidR="002C0FD9" w:rsidRPr="00CA25CF" w:rsidRDefault="002C0FD9" w:rsidP="00CA25CF">
            <w:pPr>
              <w:rPr>
                <w:rFonts w:cs="Arial"/>
                <w:color w:val="FF0000"/>
                <w:sz w:val="21"/>
                <w:szCs w:val="21"/>
              </w:rPr>
            </w:pPr>
          </w:p>
        </w:tc>
        <w:tc>
          <w:tcPr>
            <w:tcW w:w="217" w:type="dxa"/>
          </w:tcPr>
          <w:p w14:paraId="65A5C5E3" w14:textId="77777777" w:rsidR="002C0FD9" w:rsidRPr="00CA25CF" w:rsidRDefault="002C0FD9" w:rsidP="00CA25CF">
            <w:pPr>
              <w:rPr>
                <w:rFonts w:cs="Arial"/>
                <w:color w:val="FF0000"/>
                <w:sz w:val="21"/>
                <w:szCs w:val="21"/>
              </w:rPr>
            </w:pPr>
          </w:p>
        </w:tc>
        <w:tc>
          <w:tcPr>
            <w:tcW w:w="217" w:type="dxa"/>
          </w:tcPr>
          <w:p w14:paraId="23A58423" w14:textId="77777777" w:rsidR="002C0FD9" w:rsidRPr="00CA25CF" w:rsidRDefault="002C0FD9" w:rsidP="00CA25CF">
            <w:pPr>
              <w:rPr>
                <w:rFonts w:cs="Arial"/>
                <w:color w:val="FF0000"/>
                <w:sz w:val="21"/>
                <w:szCs w:val="21"/>
              </w:rPr>
            </w:pPr>
          </w:p>
        </w:tc>
        <w:tc>
          <w:tcPr>
            <w:tcW w:w="217" w:type="dxa"/>
          </w:tcPr>
          <w:p w14:paraId="1FCAF10F" w14:textId="77777777" w:rsidR="002C0FD9" w:rsidRPr="00CA25CF" w:rsidRDefault="002C0FD9" w:rsidP="00CA25CF">
            <w:pPr>
              <w:rPr>
                <w:rFonts w:cs="Arial"/>
                <w:color w:val="FF0000"/>
                <w:sz w:val="21"/>
                <w:szCs w:val="21"/>
              </w:rPr>
            </w:pPr>
          </w:p>
        </w:tc>
        <w:tc>
          <w:tcPr>
            <w:tcW w:w="217" w:type="dxa"/>
          </w:tcPr>
          <w:p w14:paraId="478E84B8" w14:textId="77777777" w:rsidR="002C0FD9" w:rsidRPr="00CA25CF" w:rsidRDefault="002C0FD9" w:rsidP="00CA25CF">
            <w:pPr>
              <w:rPr>
                <w:rFonts w:cs="Arial"/>
                <w:color w:val="FF0000"/>
                <w:sz w:val="21"/>
                <w:szCs w:val="21"/>
              </w:rPr>
            </w:pPr>
          </w:p>
        </w:tc>
        <w:tc>
          <w:tcPr>
            <w:tcW w:w="217" w:type="dxa"/>
          </w:tcPr>
          <w:p w14:paraId="4186707E" w14:textId="77777777" w:rsidR="002C0FD9" w:rsidRPr="00CA25CF" w:rsidRDefault="002C0FD9" w:rsidP="00CA25CF">
            <w:pPr>
              <w:rPr>
                <w:rFonts w:cs="Arial"/>
                <w:color w:val="FF0000"/>
                <w:sz w:val="21"/>
                <w:szCs w:val="21"/>
              </w:rPr>
            </w:pPr>
          </w:p>
        </w:tc>
        <w:tc>
          <w:tcPr>
            <w:tcW w:w="217" w:type="dxa"/>
          </w:tcPr>
          <w:p w14:paraId="5D966FF5" w14:textId="77777777" w:rsidR="002C0FD9" w:rsidRPr="00CA25CF" w:rsidRDefault="002C0FD9" w:rsidP="00CA25CF">
            <w:pPr>
              <w:rPr>
                <w:rFonts w:cs="Arial"/>
                <w:color w:val="FF0000"/>
                <w:sz w:val="21"/>
                <w:szCs w:val="21"/>
              </w:rPr>
            </w:pPr>
          </w:p>
        </w:tc>
        <w:tc>
          <w:tcPr>
            <w:tcW w:w="217" w:type="dxa"/>
          </w:tcPr>
          <w:p w14:paraId="6F51F034" w14:textId="77777777" w:rsidR="002C0FD9" w:rsidRPr="00CA25CF" w:rsidRDefault="002C0FD9" w:rsidP="00CA25CF">
            <w:pPr>
              <w:rPr>
                <w:rFonts w:cs="Arial"/>
                <w:color w:val="FF0000"/>
                <w:sz w:val="21"/>
                <w:szCs w:val="21"/>
              </w:rPr>
            </w:pPr>
          </w:p>
        </w:tc>
        <w:tc>
          <w:tcPr>
            <w:tcW w:w="217" w:type="dxa"/>
          </w:tcPr>
          <w:p w14:paraId="3578F1CE" w14:textId="77777777" w:rsidR="002C0FD9" w:rsidRPr="00CA25CF" w:rsidRDefault="002C0FD9" w:rsidP="00CA25CF">
            <w:pPr>
              <w:rPr>
                <w:rFonts w:cs="Arial"/>
                <w:color w:val="FF0000"/>
                <w:sz w:val="21"/>
                <w:szCs w:val="21"/>
              </w:rPr>
            </w:pPr>
          </w:p>
        </w:tc>
        <w:tc>
          <w:tcPr>
            <w:tcW w:w="217" w:type="dxa"/>
          </w:tcPr>
          <w:p w14:paraId="7BE12980" w14:textId="77777777" w:rsidR="002C0FD9" w:rsidRPr="00CA25CF" w:rsidRDefault="002C0FD9" w:rsidP="00CA25CF">
            <w:pPr>
              <w:rPr>
                <w:rFonts w:cs="Arial"/>
                <w:color w:val="FF0000"/>
                <w:sz w:val="21"/>
                <w:szCs w:val="21"/>
              </w:rPr>
            </w:pPr>
          </w:p>
        </w:tc>
        <w:tc>
          <w:tcPr>
            <w:tcW w:w="217" w:type="dxa"/>
          </w:tcPr>
          <w:p w14:paraId="08020026" w14:textId="77777777" w:rsidR="002C0FD9" w:rsidRPr="00CA25CF" w:rsidRDefault="002C0FD9" w:rsidP="00CA25CF">
            <w:pPr>
              <w:rPr>
                <w:rFonts w:cs="Arial"/>
                <w:color w:val="FF0000"/>
                <w:sz w:val="21"/>
                <w:szCs w:val="21"/>
              </w:rPr>
            </w:pPr>
          </w:p>
        </w:tc>
        <w:tc>
          <w:tcPr>
            <w:tcW w:w="217" w:type="dxa"/>
          </w:tcPr>
          <w:p w14:paraId="4FCC73D1" w14:textId="77777777" w:rsidR="002C0FD9" w:rsidRPr="00CA25CF" w:rsidRDefault="002C0FD9" w:rsidP="00CA25CF">
            <w:pPr>
              <w:rPr>
                <w:rFonts w:cs="Arial"/>
                <w:color w:val="FF0000"/>
                <w:sz w:val="21"/>
                <w:szCs w:val="21"/>
              </w:rPr>
            </w:pPr>
          </w:p>
        </w:tc>
        <w:tc>
          <w:tcPr>
            <w:tcW w:w="217" w:type="dxa"/>
          </w:tcPr>
          <w:p w14:paraId="7183F3BC" w14:textId="77777777" w:rsidR="002C0FD9" w:rsidRPr="00CA25CF" w:rsidRDefault="002C0FD9" w:rsidP="00CA25CF">
            <w:pPr>
              <w:rPr>
                <w:rFonts w:cs="Arial"/>
                <w:color w:val="FF0000"/>
                <w:sz w:val="21"/>
                <w:szCs w:val="21"/>
              </w:rPr>
            </w:pPr>
          </w:p>
        </w:tc>
        <w:tc>
          <w:tcPr>
            <w:tcW w:w="217" w:type="dxa"/>
          </w:tcPr>
          <w:p w14:paraId="6E2A7931" w14:textId="77777777" w:rsidR="002C0FD9" w:rsidRPr="00CA25CF" w:rsidRDefault="002C0FD9" w:rsidP="00CA25CF">
            <w:pPr>
              <w:rPr>
                <w:rFonts w:cs="Arial"/>
                <w:color w:val="FF0000"/>
                <w:sz w:val="21"/>
                <w:szCs w:val="21"/>
              </w:rPr>
            </w:pPr>
          </w:p>
        </w:tc>
        <w:tc>
          <w:tcPr>
            <w:tcW w:w="217" w:type="dxa"/>
          </w:tcPr>
          <w:p w14:paraId="6E783D6A" w14:textId="77777777" w:rsidR="002C0FD9" w:rsidRPr="00CA25CF" w:rsidRDefault="002C0FD9" w:rsidP="00CA25CF">
            <w:pPr>
              <w:rPr>
                <w:rFonts w:cs="Arial"/>
                <w:color w:val="FF0000"/>
                <w:sz w:val="21"/>
                <w:szCs w:val="21"/>
              </w:rPr>
            </w:pPr>
          </w:p>
        </w:tc>
        <w:tc>
          <w:tcPr>
            <w:tcW w:w="217" w:type="dxa"/>
          </w:tcPr>
          <w:p w14:paraId="15D90C03" w14:textId="77777777" w:rsidR="002C0FD9" w:rsidRPr="00CA25CF" w:rsidRDefault="002C0FD9" w:rsidP="00CA25CF">
            <w:pPr>
              <w:rPr>
                <w:rFonts w:cs="Arial"/>
                <w:color w:val="FF0000"/>
                <w:sz w:val="21"/>
                <w:szCs w:val="21"/>
              </w:rPr>
            </w:pPr>
          </w:p>
        </w:tc>
        <w:tc>
          <w:tcPr>
            <w:tcW w:w="217" w:type="dxa"/>
          </w:tcPr>
          <w:p w14:paraId="42AE9659" w14:textId="77777777" w:rsidR="002C0FD9" w:rsidRPr="00CA25CF" w:rsidRDefault="002C0FD9" w:rsidP="00CA25CF">
            <w:pPr>
              <w:rPr>
                <w:rFonts w:cs="Arial"/>
                <w:color w:val="FF0000"/>
                <w:sz w:val="21"/>
                <w:szCs w:val="21"/>
              </w:rPr>
            </w:pPr>
          </w:p>
        </w:tc>
        <w:tc>
          <w:tcPr>
            <w:tcW w:w="217" w:type="dxa"/>
          </w:tcPr>
          <w:p w14:paraId="3ECAA435" w14:textId="77777777" w:rsidR="002C0FD9" w:rsidRPr="00CA25CF" w:rsidRDefault="002C0FD9" w:rsidP="00CA25CF">
            <w:pPr>
              <w:rPr>
                <w:rFonts w:cs="Arial"/>
                <w:color w:val="FF0000"/>
                <w:sz w:val="21"/>
                <w:szCs w:val="21"/>
              </w:rPr>
            </w:pPr>
          </w:p>
        </w:tc>
        <w:tc>
          <w:tcPr>
            <w:tcW w:w="217" w:type="dxa"/>
          </w:tcPr>
          <w:p w14:paraId="7F0A50DA" w14:textId="77777777" w:rsidR="002C0FD9" w:rsidRPr="00CA25CF" w:rsidRDefault="002C0FD9" w:rsidP="00CA25CF">
            <w:pPr>
              <w:rPr>
                <w:rFonts w:cs="Arial"/>
                <w:color w:val="FF0000"/>
                <w:sz w:val="21"/>
                <w:szCs w:val="21"/>
              </w:rPr>
            </w:pPr>
          </w:p>
        </w:tc>
        <w:tc>
          <w:tcPr>
            <w:tcW w:w="217" w:type="dxa"/>
          </w:tcPr>
          <w:p w14:paraId="49CCC5F6" w14:textId="77777777" w:rsidR="002C0FD9" w:rsidRPr="00CA25CF" w:rsidRDefault="002C0FD9" w:rsidP="00CA25CF">
            <w:pPr>
              <w:rPr>
                <w:rFonts w:cs="Arial"/>
                <w:color w:val="FF0000"/>
                <w:sz w:val="21"/>
                <w:szCs w:val="21"/>
              </w:rPr>
            </w:pPr>
          </w:p>
        </w:tc>
        <w:tc>
          <w:tcPr>
            <w:tcW w:w="217" w:type="dxa"/>
          </w:tcPr>
          <w:p w14:paraId="4FD3577E" w14:textId="77777777" w:rsidR="002C0FD9" w:rsidRPr="00CA25CF" w:rsidRDefault="002C0FD9" w:rsidP="00CA25CF">
            <w:pPr>
              <w:rPr>
                <w:rFonts w:cs="Arial"/>
                <w:color w:val="FF0000"/>
                <w:sz w:val="21"/>
                <w:szCs w:val="21"/>
              </w:rPr>
            </w:pPr>
          </w:p>
        </w:tc>
        <w:tc>
          <w:tcPr>
            <w:tcW w:w="217" w:type="dxa"/>
          </w:tcPr>
          <w:p w14:paraId="79D0508A" w14:textId="77777777" w:rsidR="002C0FD9" w:rsidRPr="00CA25CF" w:rsidRDefault="002C0FD9" w:rsidP="00CA25CF">
            <w:pPr>
              <w:rPr>
                <w:rFonts w:cs="Arial"/>
                <w:color w:val="FF0000"/>
                <w:sz w:val="21"/>
                <w:szCs w:val="21"/>
              </w:rPr>
            </w:pPr>
          </w:p>
        </w:tc>
        <w:tc>
          <w:tcPr>
            <w:tcW w:w="217" w:type="dxa"/>
          </w:tcPr>
          <w:p w14:paraId="47AEC12F" w14:textId="77777777" w:rsidR="002C0FD9" w:rsidRPr="00CA25CF" w:rsidRDefault="002C0FD9" w:rsidP="00CA25CF">
            <w:pPr>
              <w:rPr>
                <w:rFonts w:cs="Arial"/>
                <w:color w:val="FF0000"/>
                <w:sz w:val="21"/>
                <w:szCs w:val="21"/>
              </w:rPr>
            </w:pPr>
          </w:p>
        </w:tc>
        <w:tc>
          <w:tcPr>
            <w:tcW w:w="217" w:type="dxa"/>
          </w:tcPr>
          <w:p w14:paraId="1635F614" w14:textId="77777777" w:rsidR="002C0FD9" w:rsidRPr="00CA25CF" w:rsidRDefault="002C0FD9" w:rsidP="00CA25CF">
            <w:pPr>
              <w:rPr>
                <w:rFonts w:cs="Arial"/>
                <w:color w:val="FF0000"/>
                <w:sz w:val="21"/>
                <w:szCs w:val="21"/>
              </w:rPr>
            </w:pPr>
          </w:p>
        </w:tc>
        <w:tc>
          <w:tcPr>
            <w:tcW w:w="217" w:type="dxa"/>
          </w:tcPr>
          <w:p w14:paraId="2F2E141D" w14:textId="77777777" w:rsidR="002C0FD9" w:rsidRPr="00CA25CF" w:rsidRDefault="002C0FD9" w:rsidP="00CA25CF">
            <w:pPr>
              <w:rPr>
                <w:rFonts w:cs="Arial"/>
                <w:color w:val="FF0000"/>
                <w:sz w:val="21"/>
                <w:szCs w:val="21"/>
              </w:rPr>
            </w:pPr>
          </w:p>
        </w:tc>
        <w:tc>
          <w:tcPr>
            <w:tcW w:w="217" w:type="dxa"/>
          </w:tcPr>
          <w:p w14:paraId="15C674E1" w14:textId="77777777" w:rsidR="002C0FD9" w:rsidRPr="00CA25CF" w:rsidRDefault="002C0FD9" w:rsidP="00CA25CF">
            <w:pPr>
              <w:rPr>
                <w:rFonts w:cs="Arial"/>
                <w:color w:val="FF0000"/>
                <w:sz w:val="21"/>
                <w:szCs w:val="21"/>
              </w:rPr>
            </w:pPr>
          </w:p>
        </w:tc>
        <w:tc>
          <w:tcPr>
            <w:tcW w:w="217" w:type="dxa"/>
          </w:tcPr>
          <w:p w14:paraId="797E9521" w14:textId="77777777" w:rsidR="002C0FD9" w:rsidRPr="00CA25CF" w:rsidRDefault="002C0FD9" w:rsidP="00CA25CF">
            <w:pPr>
              <w:rPr>
                <w:rFonts w:cs="Arial"/>
                <w:color w:val="FF0000"/>
                <w:sz w:val="21"/>
                <w:szCs w:val="21"/>
              </w:rPr>
            </w:pPr>
          </w:p>
        </w:tc>
        <w:tc>
          <w:tcPr>
            <w:tcW w:w="217" w:type="dxa"/>
          </w:tcPr>
          <w:p w14:paraId="082C1870" w14:textId="77777777" w:rsidR="002C0FD9" w:rsidRPr="00CA25CF" w:rsidRDefault="002C0FD9" w:rsidP="00CA25CF">
            <w:pPr>
              <w:rPr>
                <w:rFonts w:cs="Arial"/>
                <w:color w:val="FF0000"/>
                <w:sz w:val="21"/>
                <w:szCs w:val="21"/>
              </w:rPr>
            </w:pPr>
          </w:p>
        </w:tc>
        <w:tc>
          <w:tcPr>
            <w:tcW w:w="217" w:type="dxa"/>
          </w:tcPr>
          <w:p w14:paraId="1EB2477F" w14:textId="77777777" w:rsidR="002C0FD9" w:rsidRPr="00CA25CF" w:rsidRDefault="002C0FD9" w:rsidP="00CA25CF">
            <w:pPr>
              <w:rPr>
                <w:rFonts w:cs="Arial"/>
                <w:color w:val="FF0000"/>
                <w:sz w:val="21"/>
                <w:szCs w:val="21"/>
              </w:rPr>
            </w:pPr>
          </w:p>
        </w:tc>
        <w:tc>
          <w:tcPr>
            <w:tcW w:w="217" w:type="dxa"/>
          </w:tcPr>
          <w:p w14:paraId="386D9F90" w14:textId="77777777" w:rsidR="002C0FD9" w:rsidRPr="00CA25CF" w:rsidRDefault="002C0FD9" w:rsidP="00CA25CF">
            <w:pPr>
              <w:rPr>
                <w:rFonts w:cs="Arial"/>
                <w:color w:val="FF0000"/>
                <w:sz w:val="21"/>
                <w:szCs w:val="21"/>
              </w:rPr>
            </w:pPr>
          </w:p>
        </w:tc>
        <w:tc>
          <w:tcPr>
            <w:tcW w:w="217" w:type="dxa"/>
          </w:tcPr>
          <w:p w14:paraId="608F3BA4" w14:textId="77777777" w:rsidR="002C0FD9" w:rsidRPr="00CA25CF" w:rsidRDefault="002C0FD9" w:rsidP="00CA25CF">
            <w:pPr>
              <w:rPr>
                <w:rFonts w:cs="Arial"/>
                <w:color w:val="FF0000"/>
                <w:sz w:val="21"/>
                <w:szCs w:val="21"/>
              </w:rPr>
            </w:pPr>
          </w:p>
        </w:tc>
        <w:tc>
          <w:tcPr>
            <w:tcW w:w="217" w:type="dxa"/>
          </w:tcPr>
          <w:p w14:paraId="71EFE4BB" w14:textId="77777777" w:rsidR="002C0FD9" w:rsidRPr="00CA25CF" w:rsidRDefault="002C0FD9" w:rsidP="00CA25CF">
            <w:pPr>
              <w:rPr>
                <w:rFonts w:cs="Arial"/>
                <w:color w:val="FF0000"/>
                <w:sz w:val="21"/>
                <w:szCs w:val="21"/>
              </w:rPr>
            </w:pPr>
          </w:p>
        </w:tc>
        <w:tc>
          <w:tcPr>
            <w:tcW w:w="217" w:type="dxa"/>
          </w:tcPr>
          <w:p w14:paraId="1B26D831" w14:textId="77777777" w:rsidR="002C0FD9" w:rsidRPr="00CA25CF" w:rsidRDefault="002C0FD9" w:rsidP="00CA25CF">
            <w:pPr>
              <w:rPr>
                <w:rFonts w:cs="Arial"/>
                <w:color w:val="FF0000"/>
                <w:sz w:val="21"/>
                <w:szCs w:val="21"/>
              </w:rPr>
            </w:pPr>
          </w:p>
        </w:tc>
        <w:tc>
          <w:tcPr>
            <w:tcW w:w="217" w:type="dxa"/>
          </w:tcPr>
          <w:p w14:paraId="3C4085D3" w14:textId="77777777" w:rsidR="002C0FD9" w:rsidRPr="00CA25CF" w:rsidRDefault="002C0FD9" w:rsidP="00CA25CF">
            <w:pPr>
              <w:rPr>
                <w:rFonts w:cs="Arial"/>
                <w:color w:val="FF0000"/>
                <w:sz w:val="21"/>
                <w:szCs w:val="21"/>
              </w:rPr>
            </w:pPr>
          </w:p>
        </w:tc>
        <w:tc>
          <w:tcPr>
            <w:tcW w:w="217" w:type="dxa"/>
          </w:tcPr>
          <w:p w14:paraId="125AC812" w14:textId="77777777" w:rsidR="002C0FD9" w:rsidRPr="00CA25CF" w:rsidRDefault="002C0FD9" w:rsidP="00CA25CF">
            <w:pPr>
              <w:rPr>
                <w:rFonts w:cs="Arial"/>
                <w:color w:val="FF0000"/>
                <w:sz w:val="21"/>
                <w:szCs w:val="21"/>
              </w:rPr>
            </w:pPr>
          </w:p>
        </w:tc>
        <w:tc>
          <w:tcPr>
            <w:tcW w:w="217" w:type="dxa"/>
          </w:tcPr>
          <w:p w14:paraId="3FBA1AE7" w14:textId="77777777" w:rsidR="002C0FD9" w:rsidRPr="00CA25CF" w:rsidRDefault="002C0FD9" w:rsidP="00CA25CF">
            <w:pPr>
              <w:rPr>
                <w:rFonts w:cs="Arial"/>
                <w:color w:val="FF0000"/>
                <w:sz w:val="21"/>
                <w:szCs w:val="21"/>
              </w:rPr>
            </w:pPr>
          </w:p>
        </w:tc>
        <w:tc>
          <w:tcPr>
            <w:tcW w:w="217" w:type="dxa"/>
          </w:tcPr>
          <w:p w14:paraId="61A6EAE1" w14:textId="77777777" w:rsidR="002C0FD9" w:rsidRPr="00CA25CF" w:rsidRDefault="002C0FD9" w:rsidP="00CA25CF">
            <w:pPr>
              <w:rPr>
                <w:rFonts w:cs="Arial"/>
                <w:color w:val="FF0000"/>
                <w:sz w:val="21"/>
                <w:szCs w:val="21"/>
              </w:rPr>
            </w:pPr>
          </w:p>
        </w:tc>
        <w:tc>
          <w:tcPr>
            <w:tcW w:w="217" w:type="dxa"/>
          </w:tcPr>
          <w:p w14:paraId="5B8DA735" w14:textId="77777777" w:rsidR="002C0FD9" w:rsidRPr="00CA25CF" w:rsidRDefault="002C0FD9" w:rsidP="00CA25CF">
            <w:pPr>
              <w:rPr>
                <w:rFonts w:cs="Arial"/>
                <w:color w:val="FF0000"/>
                <w:sz w:val="21"/>
                <w:szCs w:val="21"/>
              </w:rPr>
            </w:pPr>
          </w:p>
        </w:tc>
        <w:tc>
          <w:tcPr>
            <w:tcW w:w="217" w:type="dxa"/>
          </w:tcPr>
          <w:p w14:paraId="6454848D" w14:textId="77777777" w:rsidR="002C0FD9" w:rsidRPr="00CA25CF" w:rsidRDefault="002C0FD9" w:rsidP="00CA25CF">
            <w:pPr>
              <w:rPr>
                <w:rFonts w:cs="Arial"/>
                <w:color w:val="FF0000"/>
                <w:sz w:val="21"/>
                <w:szCs w:val="21"/>
              </w:rPr>
            </w:pPr>
          </w:p>
        </w:tc>
      </w:tr>
      <w:tr w:rsidR="002C0FD9" w:rsidRPr="00A16219" w14:paraId="20E725FF" w14:textId="77777777" w:rsidTr="002C0FD9">
        <w:trPr>
          <w:trHeight w:val="635"/>
        </w:trPr>
        <w:tc>
          <w:tcPr>
            <w:tcW w:w="515" w:type="dxa"/>
          </w:tcPr>
          <w:p w14:paraId="2E52D29E" w14:textId="77777777" w:rsidR="002C0FD9" w:rsidRPr="00CA25CF" w:rsidRDefault="002C0FD9" w:rsidP="00CA25CF">
            <w:pPr>
              <w:rPr>
                <w:rFonts w:cs="Arial"/>
                <w:color w:val="FF0000"/>
                <w:sz w:val="21"/>
                <w:szCs w:val="21"/>
              </w:rPr>
            </w:pPr>
          </w:p>
        </w:tc>
        <w:tc>
          <w:tcPr>
            <w:tcW w:w="217" w:type="dxa"/>
          </w:tcPr>
          <w:p w14:paraId="3A66C134" w14:textId="77777777" w:rsidR="002C0FD9" w:rsidRPr="00CA25CF" w:rsidRDefault="002C0FD9" w:rsidP="00CA25CF">
            <w:pPr>
              <w:rPr>
                <w:rFonts w:cs="Arial"/>
                <w:color w:val="FF0000"/>
                <w:sz w:val="21"/>
                <w:szCs w:val="21"/>
              </w:rPr>
            </w:pPr>
          </w:p>
        </w:tc>
        <w:tc>
          <w:tcPr>
            <w:tcW w:w="217" w:type="dxa"/>
          </w:tcPr>
          <w:p w14:paraId="130EBE83" w14:textId="77777777" w:rsidR="002C0FD9" w:rsidRPr="00CA25CF" w:rsidRDefault="002C0FD9" w:rsidP="00CA25CF">
            <w:pPr>
              <w:rPr>
                <w:rFonts w:cs="Arial"/>
                <w:color w:val="FF0000"/>
                <w:sz w:val="21"/>
                <w:szCs w:val="21"/>
              </w:rPr>
            </w:pPr>
          </w:p>
        </w:tc>
        <w:tc>
          <w:tcPr>
            <w:tcW w:w="217" w:type="dxa"/>
          </w:tcPr>
          <w:p w14:paraId="37AF5A2B" w14:textId="77777777" w:rsidR="002C0FD9" w:rsidRPr="00CA25CF" w:rsidRDefault="002C0FD9" w:rsidP="00CA25CF">
            <w:pPr>
              <w:rPr>
                <w:rFonts w:cs="Arial"/>
                <w:color w:val="FF0000"/>
                <w:sz w:val="21"/>
                <w:szCs w:val="21"/>
              </w:rPr>
            </w:pPr>
          </w:p>
        </w:tc>
        <w:tc>
          <w:tcPr>
            <w:tcW w:w="217" w:type="dxa"/>
          </w:tcPr>
          <w:p w14:paraId="5D22EE66" w14:textId="77777777" w:rsidR="002C0FD9" w:rsidRPr="00CA25CF" w:rsidRDefault="002C0FD9" w:rsidP="00CA25CF">
            <w:pPr>
              <w:rPr>
                <w:rFonts w:cs="Arial"/>
                <w:color w:val="FF0000"/>
                <w:sz w:val="21"/>
                <w:szCs w:val="21"/>
              </w:rPr>
            </w:pPr>
          </w:p>
        </w:tc>
        <w:tc>
          <w:tcPr>
            <w:tcW w:w="217" w:type="dxa"/>
          </w:tcPr>
          <w:p w14:paraId="2020A389" w14:textId="77777777" w:rsidR="002C0FD9" w:rsidRPr="00CA25CF" w:rsidRDefault="002C0FD9" w:rsidP="00CA25CF">
            <w:pPr>
              <w:rPr>
                <w:rFonts w:cs="Arial"/>
                <w:color w:val="FF0000"/>
                <w:sz w:val="21"/>
                <w:szCs w:val="21"/>
              </w:rPr>
            </w:pPr>
          </w:p>
        </w:tc>
        <w:tc>
          <w:tcPr>
            <w:tcW w:w="217" w:type="dxa"/>
          </w:tcPr>
          <w:p w14:paraId="1F2E8880" w14:textId="77777777" w:rsidR="002C0FD9" w:rsidRPr="00CA25CF" w:rsidRDefault="002C0FD9" w:rsidP="00CA25CF">
            <w:pPr>
              <w:rPr>
                <w:rFonts w:cs="Arial"/>
                <w:color w:val="FF0000"/>
                <w:sz w:val="21"/>
                <w:szCs w:val="21"/>
              </w:rPr>
            </w:pPr>
          </w:p>
        </w:tc>
        <w:tc>
          <w:tcPr>
            <w:tcW w:w="217" w:type="dxa"/>
          </w:tcPr>
          <w:p w14:paraId="57376626" w14:textId="77777777" w:rsidR="002C0FD9" w:rsidRPr="00CA25CF" w:rsidRDefault="002C0FD9" w:rsidP="00CA25CF">
            <w:pPr>
              <w:rPr>
                <w:rFonts w:cs="Arial"/>
                <w:color w:val="FF0000"/>
                <w:sz w:val="21"/>
                <w:szCs w:val="21"/>
              </w:rPr>
            </w:pPr>
          </w:p>
        </w:tc>
        <w:tc>
          <w:tcPr>
            <w:tcW w:w="217" w:type="dxa"/>
          </w:tcPr>
          <w:p w14:paraId="03569CDF" w14:textId="77777777" w:rsidR="002C0FD9" w:rsidRPr="00CA25CF" w:rsidRDefault="002C0FD9" w:rsidP="00CA25CF">
            <w:pPr>
              <w:rPr>
                <w:rFonts w:cs="Arial"/>
                <w:color w:val="FF0000"/>
                <w:sz w:val="21"/>
                <w:szCs w:val="21"/>
              </w:rPr>
            </w:pPr>
          </w:p>
        </w:tc>
        <w:tc>
          <w:tcPr>
            <w:tcW w:w="217" w:type="dxa"/>
          </w:tcPr>
          <w:p w14:paraId="2CCCBB0E" w14:textId="77777777" w:rsidR="002C0FD9" w:rsidRPr="00CA25CF" w:rsidRDefault="002C0FD9" w:rsidP="00CA25CF">
            <w:pPr>
              <w:rPr>
                <w:rFonts w:cs="Arial"/>
                <w:color w:val="FF0000"/>
                <w:sz w:val="21"/>
                <w:szCs w:val="21"/>
              </w:rPr>
            </w:pPr>
          </w:p>
        </w:tc>
        <w:tc>
          <w:tcPr>
            <w:tcW w:w="217" w:type="dxa"/>
          </w:tcPr>
          <w:p w14:paraId="4530C9B9" w14:textId="77777777" w:rsidR="002C0FD9" w:rsidRPr="00CA25CF" w:rsidRDefault="002C0FD9" w:rsidP="00CA25CF">
            <w:pPr>
              <w:rPr>
                <w:rFonts w:cs="Arial"/>
                <w:color w:val="FF0000"/>
                <w:sz w:val="21"/>
                <w:szCs w:val="21"/>
              </w:rPr>
            </w:pPr>
          </w:p>
        </w:tc>
        <w:tc>
          <w:tcPr>
            <w:tcW w:w="217" w:type="dxa"/>
          </w:tcPr>
          <w:p w14:paraId="7BB79C8A" w14:textId="77777777" w:rsidR="002C0FD9" w:rsidRPr="00CA25CF" w:rsidRDefault="002C0FD9" w:rsidP="00CA25CF">
            <w:pPr>
              <w:rPr>
                <w:rFonts w:cs="Arial"/>
                <w:color w:val="FF0000"/>
                <w:sz w:val="21"/>
                <w:szCs w:val="21"/>
              </w:rPr>
            </w:pPr>
          </w:p>
        </w:tc>
        <w:tc>
          <w:tcPr>
            <w:tcW w:w="217" w:type="dxa"/>
          </w:tcPr>
          <w:p w14:paraId="4DFD4E45" w14:textId="77777777" w:rsidR="002C0FD9" w:rsidRPr="00CA25CF" w:rsidRDefault="002C0FD9" w:rsidP="00CA25CF">
            <w:pPr>
              <w:rPr>
                <w:rFonts w:cs="Arial"/>
                <w:color w:val="FF0000"/>
                <w:sz w:val="21"/>
                <w:szCs w:val="21"/>
              </w:rPr>
            </w:pPr>
          </w:p>
        </w:tc>
        <w:tc>
          <w:tcPr>
            <w:tcW w:w="217" w:type="dxa"/>
          </w:tcPr>
          <w:p w14:paraId="09B09BBD" w14:textId="77777777" w:rsidR="002C0FD9" w:rsidRPr="00CA25CF" w:rsidRDefault="002C0FD9" w:rsidP="00CA25CF">
            <w:pPr>
              <w:rPr>
                <w:rFonts w:cs="Arial"/>
                <w:color w:val="FF0000"/>
                <w:sz w:val="21"/>
                <w:szCs w:val="21"/>
              </w:rPr>
            </w:pPr>
          </w:p>
        </w:tc>
        <w:tc>
          <w:tcPr>
            <w:tcW w:w="217" w:type="dxa"/>
          </w:tcPr>
          <w:p w14:paraId="57536000" w14:textId="77777777" w:rsidR="002C0FD9" w:rsidRPr="00CA25CF" w:rsidRDefault="002C0FD9" w:rsidP="00CA25CF">
            <w:pPr>
              <w:rPr>
                <w:rFonts w:cs="Arial"/>
                <w:color w:val="FF0000"/>
                <w:sz w:val="21"/>
                <w:szCs w:val="21"/>
              </w:rPr>
            </w:pPr>
          </w:p>
        </w:tc>
        <w:tc>
          <w:tcPr>
            <w:tcW w:w="217" w:type="dxa"/>
          </w:tcPr>
          <w:p w14:paraId="3496BEA3" w14:textId="77777777" w:rsidR="002C0FD9" w:rsidRPr="00CA25CF" w:rsidRDefault="002C0FD9" w:rsidP="00CA25CF">
            <w:pPr>
              <w:rPr>
                <w:rFonts w:cs="Arial"/>
                <w:color w:val="FF0000"/>
                <w:sz w:val="21"/>
                <w:szCs w:val="21"/>
              </w:rPr>
            </w:pPr>
          </w:p>
        </w:tc>
        <w:tc>
          <w:tcPr>
            <w:tcW w:w="217" w:type="dxa"/>
          </w:tcPr>
          <w:p w14:paraId="161C3681" w14:textId="77777777" w:rsidR="002C0FD9" w:rsidRPr="00CA25CF" w:rsidRDefault="002C0FD9" w:rsidP="00CA25CF">
            <w:pPr>
              <w:rPr>
                <w:rFonts w:cs="Arial"/>
                <w:color w:val="FF0000"/>
                <w:sz w:val="21"/>
                <w:szCs w:val="21"/>
              </w:rPr>
            </w:pPr>
          </w:p>
        </w:tc>
        <w:tc>
          <w:tcPr>
            <w:tcW w:w="217" w:type="dxa"/>
          </w:tcPr>
          <w:p w14:paraId="5363AAAF" w14:textId="77777777" w:rsidR="002C0FD9" w:rsidRPr="00CA25CF" w:rsidRDefault="002C0FD9" w:rsidP="00CA25CF">
            <w:pPr>
              <w:rPr>
                <w:rFonts w:cs="Arial"/>
                <w:color w:val="FF0000"/>
                <w:sz w:val="21"/>
                <w:szCs w:val="21"/>
              </w:rPr>
            </w:pPr>
          </w:p>
        </w:tc>
        <w:tc>
          <w:tcPr>
            <w:tcW w:w="217" w:type="dxa"/>
          </w:tcPr>
          <w:p w14:paraId="3197E1C7" w14:textId="77777777" w:rsidR="002C0FD9" w:rsidRPr="00CA25CF" w:rsidRDefault="002C0FD9" w:rsidP="00CA25CF">
            <w:pPr>
              <w:rPr>
                <w:rFonts w:cs="Arial"/>
                <w:color w:val="FF0000"/>
                <w:sz w:val="21"/>
                <w:szCs w:val="21"/>
              </w:rPr>
            </w:pPr>
          </w:p>
        </w:tc>
        <w:tc>
          <w:tcPr>
            <w:tcW w:w="217" w:type="dxa"/>
          </w:tcPr>
          <w:p w14:paraId="2ABD5FD8" w14:textId="77777777" w:rsidR="002C0FD9" w:rsidRPr="00CA25CF" w:rsidRDefault="002C0FD9" w:rsidP="00CA25CF">
            <w:pPr>
              <w:rPr>
                <w:rFonts w:cs="Arial"/>
                <w:color w:val="FF0000"/>
                <w:sz w:val="21"/>
                <w:szCs w:val="21"/>
              </w:rPr>
            </w:pPr>
          </w:p>
        </w:tc>
        <w:tc>
          <w:tcPr>
            <w:tcW w:w="217" w:type="dxa"/>
          </w:tcPr>
          <w:p w14:paraId="3E129F0F" w14:textId="77777777" w:rsidR="002C0FD9" w:rsidRPr="00CA25CF" w:rsidRDefault="002C0FD9" w:rsidP="00CA25CF">
            <w:pPr>
              <w:rPr>
                <w:rFonts w:cs="Arial"/>
                <w:color w:val="FF0000"/>
                <w:sz w:val="21"/>
                <w:szCs w:val="21"/>
              </w:rPr>
            </w:pPr>
          </w:p>
        </w:tc>
        <w:tc>
          <w:tcPr>
            <w:tcW w:w="217" w:type="dxa"/>
          </w:tcPr>
          <w:p w14:paraId="6B6CE820" w14:textId="77777777" w:rsidR="002C0FD9" w:rsidRPr="00CA25CF" w:rsidRDefault="002C0FD9" w:rsidP="00CA25CF">
            <w:pPr>
              <w:rPr>
                <w:rFonts w:cs="Arial"/>
                <w:color w:val="FF0000"/>
                <w:sz w:val="21"/>
                <w:szCs w:val="21"/>
              </w:rPr>
            </w:pPr>
          </w:p>
        </w:tc>
        <w:tc>
          <w:tcPr>
            <w:tcW w:w="217" w:type="dxa"/>
          </w:tcPr>
          <w:p w14:paraId="4C12001F" w14:textId="77777777" w:rsidR="002C0FD9" w:rsidRPr="00CA25CF" w:rsidRDefault="002C0FD9" w:rsidP="00CA25CF">
            <w:pPr>
              <w:rPr>
                <w:rFonts w:cs="Arial"/>
                <w:color w:val="FF0000"/>
                <w:sz w:val="21"/>
                <w:szCs w:val="21"/>
              </w:rPr>
            </w:pPr>
          </w:p>
        </w:tc>
        <w:tc>
          <w:tcPr>
            <w:tcW w:w="217" w:type="dxa"/>
          </w:tcPr>
          <w:p w14:paraId="699B7FB3" w14:textId="77777777" w:rsidR="002C0FD9" w:rsidRPr="00CA25CF" w:rsidRDefault="002C0FD9" w:rsidP="00CA25CF">
            <w:pPr>
              <w:rPr>
                <w:rFonts w:cs="Arial"/>
                <w:color w:val="FF0000"/>
                <w:sz w:val="21"/>
                <w:szCs w:val="21"/>
              </w:rPr>
            </w:pPr>
          </w:p>
        </w:tc>
        <w:tc>
          <w:tcPr>
            <w:tcW w:w="217" w:type="dxa"/>
          </w:tcPr>
          <w:p w14:paraId="0D7ED916" w14:textId="77777777" w:rsidR="002C0FD9" w:rsidRPr="00CA25CF" w:rsidRDefault="002C0FD9" w:rsidP="00CA25CF">
            <w:pPr>
              <w:rPr>
                <w:rFonts w:cs="Arial"/>
                <w:color w:val="FF0000"/>
                <w:sz w:val="21"/>
                <w:szCs w:val="21"/>
              </w:rPr>
            </w:pPr>
          </w:p>
        </w:tc>
        <w:tc>
          <w:tcPr>
            <w:tcW w:w="217" w:type="dxa"/>
          </w:tcPr>
          <w:p w14:paraId="565AD96A" w14:textId="77777777" w:rsidR="002C0FD9" w:rsidRPr="00CA25CF" w:rsidRDefault="002C0FD9" w:rsidP="00CA25CF">
            <w:pPr>
              <w:rPr>
                <w:rFonts w:cs="Arial"/>
                <w:color w:val="FF0000"/>
                <w:sz w:val="21"/>
                <w:szCs w:val="21"/>
              </w:rPr>
            </w:pPr>
          </w:p>
        </w:tc>
        <w:tc>
          <w:tcPr>
            <w:tcW w:w="217" w:type="dxa"/>
          </w:tcPr>
          <w:p w14:paraId="765388BA" w14:textId="77777777" w:rsidR="002C0FD9" w:rsidRPr="00CA25CF" w:rsidRDefault="002C0FD9" w:rsidP="00CA25CF">
            <w:pPr>
              <w:rPr>
                <w:rFonts w:cs="Arial"/>
                <w:color w:val="FF0000"/>
                <w:sz w:val="21"/>
                <w:szCs w:val="21"/>
              </w:rPr>
            </w:pPr>
          </w:p>
        </w:tc>
        <w:tc>
          <w:tcPr>
            <w:tcW w:w="217" w:type="dxa"/>
          </w:tcPr>
          <w:p w14:paraId="7DB143DF" w14:textId="77777777" w:rsidR="002C0FD9" w:rsidRPr="00CA25CF" w:rsidRDefault="002C0FD9" w:rsidP="00CA25CF">
            <w:pPr>
              <w:rPr>
                <w:rFonts w:cs="Arial"/>
                <w:color w:val="FF0000"/>
                <w:sz w:val="21"/>
                <w:szCs w:val="21"/>
              </w:rPr>
            </w:pPr>
          </w:p>
        </w:tc>
        <w:tc>
          <w:tcPr>
            <w:tcW w:w="217" w:type="dxa"/>
          </w:tcPr>
          <w:p w14:paraId="1485CF68" w14:textId="77777777" w:rsidR="002C0FD9" w:rsidRPr="00CA25CF" w:rsidRDefault="002C0FD9" w:rsidP="00CA25CF">
            <w:pPr>
              <w:rPr>
                <w:rFonts w:cs="Arial"/>
                <w:color w:val="FF0000"/>
                <w:sz w:val="21"/>
                <w:szCs w:val="21"/>
              </w:rPr>
            </w:pPr>
          </w:p>
        </w:tc>
        <w:tc>
          <w:tcPr>
            <w:tcW w:w="217" w:type="dxa"/>
          </w:tcPr>
          <w:p w14:paraId="6C7272F7" w14:textId="77777777" w:rsidR="002C0FD9" w:rsidRPr="00CA25CF" w:rsidRDefault="002C0FD9" w:rsidP="00CA25CF">
            <w:pPr>
              <w:rPr>
                <w:rFonts w:cs="Arial"/>
                <w:color w:val="FF0000"/>
                <w:sz w:val="21"/>
                <w:szCs w:val="21"/>
              </w:rPr>
            </w:pPr>
          </w:p>
        </w:tc>
        <w:tc>
          <w:tcPr>
            <w:tcW w:w="217" w:type="dxa"/>
          </w:tcPr>
          <w:p w14:paraId="7DB151AE" w14:textId="77777777" w:rsidR="002C0FD9" w:rsidRPr="00CA25CF" w:rsidRDefault="002C0FD9" w:rsidP="00CA25CF">
            <w:pPr>
              <w:rPr>
                <w:rFonts w:cs="Arial"/>
                <w:color w:val="FF0000"/>
                <w:sz w:val="21"/>
                <w:szCs w:val="21"/>
              </w:rPr>
            </w:pPr>
          </w:p>
        </w:tc>
        <w:tc>
          <w:tcPr>
            <w:tcW w:w="217" w:type="dxa"/>
          </w:tcPr>
          <w:p w14:paraId="16978C41" w14:textId="77777777" w:rsidR="002C0FD9" w:rsidRPr="00CA25CF" w:rsidRDefault="002C0FD9" w:rsidP="00CA25CF">
            <w:pPr>
              <w:rPr>
                <w:rFonts w:cs="Arial"/>
                <w:color w:val="FF0000"/>
                <w:sz w:val="21"/>
                <w:szCs w:val="21"/>
              </w:rPr>
            </w:pPr>
          </w:p>
        </w:tc>
        <w:tc>
          <w:tcPr>
            <w:tcW w:w="217" w:type="dxa"/>
          </w:tcPr>
          <w:p w14:paraId="4EEC5FD2" w14:textId="77777777" w:rsidR="002C0FD9" w:rsidRPr="00CA25CF" w:rsidRDefault="002C0FD9" w:rsidP="00CA25CF">
            <w:pPr>
              <w:rPr>
                <w:rFonts w:cs="Arial"/>
                <w:color w:val="FF0000"/>
                <w:sz w:val="21"/>
                <w:szCs w:val="21"/>
              </w:rPr>
            </w:pPr>
          </w:p>
        </w:tc>
        <w:tc>
          <w:tcPr>
            <w:tcW w:w="217" w:type="dxa"/>
          </w:tcPr>
          <w:p w14:paraId="5D24DCB2" w14:textId="77777777" w:rsidR="002C0FD9" w:rsidRPr="00CA25CF" w:rsidRDefault="002C0FD9" w:rsidP="00CA25CF">
            <w:pPr>
              <w:rPr>
                <w:rFonts w:cs="Arial"/>
                <w:color w:val="FF0000"/>
                <w:sz w:val="21"/>
                <w:szCs w:val="21"/>
              </w:rPr>
            </w:pPr>
          </w:p>
        </w:tc>
        <w:tc>
          <w:tcPr>
            <w:tcW w:w="217" w:type="dxa"/>
          </w:tcPr>
          <w:p w14:paraId="6A337799" w14:textId="77777777" w:rsidR="002C0FD9" w:rsidRPr="00CA25CF" w:rsidRDefault="002C0FD9" w:rsidP="00CA25CF">
            <w:pPr>
              <w:rPr>
                <w:rFonts w:cs="Arial"/>
                <w:color w:val="FF0000"/>
                <w:sz w:val="21"/>
                <w:szCs w:val="21"/>
              </w:rPr>
            </w:pPr>
          </w:p>
        </w:tc>
        <w:tc>
          <w:tcPr>
            <w:tcW w:w="217" w:type="dxa"/>
          </w:tcPr>
          <w:p w14:paraId="538007BD" w14:textId="77777777" w:rsidR="002C0FD9" w:rsidRPr="00CA25CF" w:rsidRDefault="002C0FD9" w:rsidP="00CA25CF">
            <w:pPr>
              <w:rPr>
                <w:rFonts w:cs="Arial"/>
                <w:color w:val="FF0000"/>
                <w:sz w:val="21"/>
                <w:szCs w:val="21"/>
              </w:rPr>
            </w:pPr>
          </w:p>
        </w:tc>
        <w:tc>
          <w:tcPr>
            <w:tcW w:w="217" w:type="dxa"/>
          </w:tcPr>
          <w:p w14:paraId="71B5D1B9" w14:textId="77777777" w:rsidR="002C0FD9" w:rsidRPr="00CA25CF" w:rsidRDefault="002C0FD9" w:rsidP="00CA25CF">
            <w:pPr>
              <w:rPr>
                <w:rFonts w:cs="Arial"/>
                <w:color w:val="FF0000"/>
                <w:sz w:val="21"/>
                <w:szCs w:val="21"/>
              </w:rPr>
            </w:pPr>
          </w:p>
        </w:tc>
        <w:tc>
          <w:tcPr>
            <w:tcW w:w="217" w:type="dxa"/>
          </w:tcPr>
          <w:p w14:paraId="673B8DE8" w14:textId="77777777" w:rsidR="002C0FD9" w:rsidRPr="00CA25CF" w:rsidRDefault="002C0FD9" w:rsidP="00CA25CF">
            <w:pPr>
              <w:rPr>
                <w:rFonts w:cs="Arial"/>
                <w:color w:val="FF0000"/>
                <w:sz w:val="21"/>
                <w:szCs w:val="21"/>
              </w:rPr>
            </w:pPr>
          </w:p>
        </w:tc>
        <w:tc>
          <w:tcPr>
            <w:tcW w:w="217" w:type="dxa"/>
          </w:tcPr>
          <w:p w14:paraId="72BFE61A" w14:textId="77777777" w:rsidR="002C0FD9" w:rsidRPr="00CA25CF" w:rsidRDefault="002C0FD9" w:rsidP="00CA25CF">
            <w:pPr>
              <w:rPr>
                <w:rFonts w:cs="Arial"/>
                <w:color w:val="FF0000"/>
                <w:sz w:val="21"/>
                <w:szCs w:val="21"/>
              </w:rPr>
            </w:pPr>
          </w:p>
        </w:tc>
        <w:tc>
          <w:tcPr>
            <w:tcW w:w="217" w:type="dxa"/>
          </w:tcPr>
          <w:p w14:paraId="46EB7811" w14:textId="77777777" w:rsidR="002C0FD9" w:rsidRPr="00CA25CF" w:rsidRDefault="002C0FD9" w:rsidP="00CA25CF">
            <w:pPr>
              <w:rPr>
                <w:rFonts w:cs="Arial"/>
                <w:color w:val="FF0000"/>
                <w:sz w:val="21"/>
                <w:szCs w:val="21"/>
              </w:rPr>
            </w:pPr>
          </w:p>
        </w:tc>
        <w:tc>
          <w:tcPr>
            <w:tcW w:w="217" w:type="dxa"/>
          </w:tcPr>
          <w:p w14:paraId="526A1158" w14:textId="77777777" w:rsidR="002C0FD9" w:rsidRPr="00CA25CF" w:rsidRDefault="002C0FD9" w:rsidP="00CA25CF">
            <w:pPr>
              <w:rPr>
                <w:rFonts w:cs="Arial"/>
                <w:color w:val="FF0000"/>
                <w:sz w:val="21"/>
                <w:szCs w:val="21"/>
              </w:rPr>
            </w:pPr>
          </w:p>
        </w:tc>
        <w:tc>
          <w:tcPr>
            <w:tcW w:w="217" w:type="dxa"/>
          </w:tcPr>
          <w:p w14:paraId="4A284FC2" w14:textId="77777777" w:rsidR="002C0FD9" w:rsidRPr="00CA25CF" w:rsidRDefault="002C0FD9" w:rsidP="00CA25CF">
            <w:pPr>
              <w:rPr>
                <w:rFonts w:cs="Arial"/>
                <w:color w:val="FF0000"/>
                <w:sz w:val="21"/>
                <w:szCs w:val="21"/>
              </w:rPr>
            </w:pPr>
          </w:p>
        </w:tc>
        <w:tc>
          <w:tcPr>
            <w:tcW w:w="217" w:type="dxa"/>
          </w:tcPr>
          <w:p w14:paraId="0788A9CF" w14:textId="77777777" w:rsidR="002C0FD9" w:rsidRPr="00CA25CF" w:rsidRDefault="002C0FD9" w:rsidP="00CA25CF">
            <w:pPr>
              <w:rPr>
                <w:rFonts w:cs="Arial"/>
                <w:color w:val="FF0000"/>
                <w:sz w:val="21"/>
                <w:szCs w:val="21"/>
              </w:rPr>
            </w:pPr>
          </w:p>
        </w:tc>
      </w:tr>
      <w:tr w:rsidR="002C0FD9" w:rsidRPr="00A16219" w14:paraId="7AB9EBEE" w14:textId="77777777" w:rsidTr="002C0FD9">
        <w:trPr>
          <w:trHeight w:val="635"/>
        </w:trPr>
        <w:tc>
          <w:tcPr>
            <w:tcW w:w="515" w:type="dxa"/>
          </w:tcPr>
          <w:p w14:paraId="5EA9592A" w14:textId="77777777" w:rsidR="002C0FD9" w:rsidRPr="00CA25CF" w:rsidRDefault="002C0FD9" w:rsidP="00CA25CF">
            <w:pPr>
              <w:rPr>
                <w:rFonts w:cs="Arial"/>
                <w:color w:val="FF0000"/>
                <w:sz w:val="21"/>
                <w:szCs w:val="21"/>
              </w:rPr>
            </w:pPr>
          </w:p>
        </w:tc>
        <w:tc>
          <w:tcPr>
            <w:tcW w:w="217" w:type="dxa"/>
          </w:tcPr>
          <w:p w14:paraId="21CE7C92" w14:textId="77777777" w:rsidR="002C0FD9" w:rsidRPr="00CA25CF" w:rsidRDefault="002C0FD9" w:rsidP="00CA25CF">
            <w:pPr>
              <w:rPr>
                <w:rFonts w:cs="Arial"/>
                <w:color w:val="FF0000"/>
                <w:sz w:val="21"/>
                <w:szCs w:val="21"/>
              </w:rPr>
            </w:pPr>
          </w:p>
        </w:tc>
        <w:tc>
          <w:tcPr>
            <w:tcW w:w="217" w:type="dxa"/>
          </w:tcPr>
          <w:p w14:paraId="098DBE7D" w14:textId="77777777" w:rsidR="002C0FD9" w:rsidRPr="00CA25CF" w:rsidRDefault="002C0FD9" w:rsidP="00CA25CF">
            <w:pPr>
              <w:rPr>
                <w:rFonts w:cs="Arial"/>
                <w:color w:val="FF0000"/>
                <w:sz w:val="21"/>
                <w:szCs w:val="21"/>
              </w:rPr>
            </w:pPr>
          </w:p>
        </w:tc>
        <w:tc>
          <w:tcPr>
            <w:tcW w:w="217" w:type="dxa"/>
          </w:tcPr>
          <w:p w14:paraId="1DD185E6" w14:textId="77777777" w:rsidR="002C0FD9" w:rsidRPr="00CA25CF" w:rsidRDefault="002C0FD9" w:rsidP="00CA25CF">
            <w:pPr>
              <w:rPr>
                <w:rFonts w:cs="Arial"/>
                <w:color w:val="FF0000"/>
                <w:sz w:val="21"/>
                <w:szCs w:val="21"/>
              </w:rPr>
            </w:pPr>
          </w:p>
        </w:tc>
        <w:tc>
          <w:tcPr>
            <w:tcW w:w="217" w:type="dxa"/>
          </w:tcPr>
          <w:p w14:paraId="0A0A7CC9" w14:textId="77777777" w:rsidR="002C0FD9" w:rsidRPr="00CA25CF" w:rsidRDefault="002C0FD9" w:rsidP="00CA25CF">
            <w:pPr>
              <w:rPr>
                <w:rFonts w:cs="Arial"/>
                <w:color w:val="FF0000"/>
                <w:sz w:val="21"/>
                <w:szCs w:val="21"/>
              </w:rPr>
            </w:pPr>
          </w:p>
        </w:tc>
        <w:tc>
          <w:tcPr>
            <w:tcW w:w="217" w:type="dxa"/>
          </w:tcPr>
          <w:p w14:paraId="4F61CF49" w14:textId="77777777" w:rsidR="002C0FD9" w:rsidRPr="00CA25CF" w:rsidRDefault="002C0FD9" w:rsidP="00CA25CF">
            <w:pPr>
              <w:rPr>
                <w:rFonts w:cs="Arial"/>
                <w:color w:val="FF0000"/>
                <w:sz w:val="21"/>
                <w:szCs w:val="21"/>
              </w:rPr>
            </w:pPr>
          </w:p>
        </w:tc>
        <w:tc>
          <w:tcPr>
            <w:tcW w:w="217" w:type="dxa"/>
          </w:tcPr>
          <w:p w14:paraId="7659FA0F" w14:textId="77777777" w:rsidR="002C0FD9" w:rsidRPr="00CA25CF" w:rsidRDefault="002C0FD9" w:rsidP="00CA25CF">
            <w:pPr>
              <w:rPr>
                <w:rFonts w:cs="Arial"/>
                <w:color w:val="FF0000"/>
                <w:sz w:val="21"/>
                <w:szCs w:val="21"/>
              </w:rPr>
            </w:pPr>
          </w:p>
        </w:tc>
        <w:tc>
          <w:tcPr>
            <w:tcW w:w="217" w:type="dxa"/>
          </w:tcPr>
          <w:p w14:paraId="74DB09C8" w14:textId="77777777" w:rsidR="002C0FD9" w:rsidRPr="00CA25CF" w:rsidRDefault="002C0FD9" w:rsidP="00CA25CF">
            <w:pPr>
              <w:rPr>
                <w:rFonts w:cs="Arial"/>
                <w:color w:val="FF0000"/>
                <w:sz w:val="21"/>
                <w:szCs w:val="21"/>
              </w:rPr>
            </w:pPr>
          </w:p>
        </w:tc>
        <w:tc>
          <w:tcPr>
            <w:tcW w:w="217" w:type="dxa"/>
          </w:tcPr>
          <w:p w14:paraId="121332EC" w14:textId="77777777" w:rsidR="002C0FD9" w:rsidRPr="00CA25CF" w:rsidRDefault="002C0FD9" w:rsidP="00CA25CF">
            <w:pPr>
              <w:rPr>
                <w:rFonts w:cs="Arial"/>
                <w:color w:val="FF0000"/>
                <w:sz w:val="21"/>
                <w:szCs w:val="21"/>
              </w:rPr>
            </w:pPr>
          </w:p>
        </w:tc>
        <w:tc>
          <w:tcPr>
            <w:tcW w:w="217" w:type="dxa"/>
          </w:tcPr>
          <w:p w14:paraId="0595458E" w14:textId="77777777" w:rsidR="002C0FD9" w:rsidRPr="00CA25CF" w:rsidRDefault="002C0FD9" w:rsidP="00CA25CF">
            <w:pPr>
              <w:rPr>
                <w:rFonts w:cs="Arial"/>
                <w:color w:val="FF0000"/>
                <w:sz w:val="21"/>
                <w:szCs w:val="21"/>
              </w:rPr>
            </w:pPr>
          </w:p>
        </w:tc>
        <w:tc>
          <w:tcPr>
            <w:tcW w:w="217" w:type="dxa"/>
          </w:tcPr>
          <w:p w14:paraId="4A9A0671" w14:textId="77777777" w:rsidR="002C0FD9" w:rsidRPr="00CA25CF" w:rsidRDefault="002C0FD9" w:rsidP="00CA25CF">
            <w:pPr>
              <w:rPr>
                <w:rFonts w:cs="Arial"/>
                <w:color w:val="FF0000"/>
                <w:sz w:val="21"/>
                <w:szCs w:val="21"/>
              </w:rPr>
            </w:pPr>
          </w:p>
        </w:tc>
        <w:tc>
          <w:tcPr>
            <w:tcW w:w="217" w:type="dxa"/>
          </w:tcPr>
          <w:p w14:paraId="11F5FD30" w14:textId="77777777" w:rsidR="002C0FD9" w:rsidRPr="00CA25CF" w:rsidRDefault="002C0FD9" w:rsidP="00CA25CF">
            <w:pPr>
              <w:rPr>
                <w:rFonts w:cs="Arial"/>
                <w:color w:val="FF0000"/>
                <w:sz w:val="21"/>
                <w:szCs w:val="21"/>
              </w:rPr>
            </w:pPr>
          </w:p>
        </w:tc>
        <w:tc>
          <w:tcPr>
            <w:tcW w:w="217" w:type="dxa"/>
          </w:tcPr>
          <w:p w14:paraId="24FECFA3" w14:textId="77777777" w:rsidR="002C0FD9" w:rsidRPr="00CA25CF" w:rsidRDefault="002C0FD9" w:rsidP="00CA25CF">
            <w:pPr>
              <w:rPr>
                <w:rFonts w:cs="Arial"/>
                <w:color w:val="FF0000"/>
                <w:sz w:val="21"/>
                <w:szCs w:val="21"/>
              </w:rPr>
            </w:pPr>
          </w:p>
        </w:tc>
        <w:tc>
          <w:tcPr>
            <w:tcW w:w="217" w:type="dxa"/>
          </w:tcPr>
          <w:p w14:paraId="5E7078B4" w14:textId="77777777" w:rsidR="002C0FD9" w:rsidRPr="00CA25CF" w:rsidRDefault="002C0FD9" w:rsidP="00CA25CF">
            <w:pPr>
              <w:rPr>
                <w:rFonts w:cs="Arial"/>
                <w:color w:val="FF0000"/>
                <w:sz w:val="21"/>
                <w:szCs w:val="21"/>
              </w:rPr>
            </w:pPr>
          </w:p>
        </w:tc>
        <w:tc>
          <w:tcPr>
            <w:tcW w:w="217" w:type="dxa"/>
          </w:tcPr>
          <w:p w14:paraId="1BD37F17" w14:textId="77777777" w:rsidR="002C0FD9" w:rsidRPr="00CA25CF" w:rsidRDefault="002C0FD9" w:rsidP="00CA25CF">
            <w:pPr>
              <w:rPr>
                <w:rFonts w:cs="Arial"/>
                <w:color w:val="FF0000"/>
                <w:sz w:val="21"/>
                <w:szCs w:val="21"/>
              </w:rPr>
            </w:pPr>
          </w:p>
        </w:tc>
        <w:tc>
          <w:tcPr>
            <w:tcW w:w="217" w:type="dxa"/>
          </w:tcPr>
          <w:p w14:paraId="1BBF45D6" w14:textId="77777777" w:rsidR="002C0FD9" w:rsidRPr="00CA25CF" w:rsidRDefault="002C0FD9" w:rsidP="00CA25CF">
            <w:pPr>
              <w:rPr>
                <w:rFonts w:cs="Arial"/>
                <w:color w:val="FF0000"/>
                <w:sz w:val="21"/>
                <w:szCs w:val="21"/>
              </w:rPr>
            </w:pPr>
          </w:p>
        </w:tc>
        <w:tc>
          <w:tcPr>
            <w:tcW w:w="217" w:type="dxa"/>
          </w:tcPr>
          <w:p w14:paraId="13E6EA3A" w14:textId="77777777" w:rsidR="002C0FD9" w:rsidRPr="00CA25CF" w:rsidRDefault="002C0FD9" w:rsidP="00CA25CF">
            <w:pPr>
              <w:rPr>
                <w:rFonts w:cs="Arial"/>
                <w:color w:val="FF0000"/>
                <w:sz w:val="21"/>
                <w:szCs w:val="21"/>
              </w:rPr>
            </w:pPr>
          </w:p>
        </w:tc>
        <w:tc>
          <w:tcPr>
            <w:tcW w:w="217" w:type="dxa"/>
          </w:tcPr>
          <w:p w14:paraId="1CB4717D" w14:textId="77777777" w:rsidR="002C0FD9" w:rsidRPr="00CA25CF" w:rsidRDefault="002C0FD9" w:rsidP="00CA25CF">
            <w:pPr>
              <w:rPr>
                <w:rFonts w:cs="Arial"/>
                <w:color w:val="FF0000"/>
                <w:sz w:val="21"/>
                <w:szCs w:val="21"/>
              </w:rPr>
            </w:pPr>
          </w:p>
        </w:tc>
        <w:tc>
          <w:tcPr>
            <w:tcW w:w="217" w:type="dxa"/>
          </w:tcPr>
          <w:p w14:paraId="517287A6" w14:textId="77777777" w:rsidR="002C0FD9" w:rsidRPr="00CA25CF" w:rsidRDefault="002C0FD9" w:rsidP="00CA25CF">
            <w:pPr>
              <w:rPr>
                <w:rFonts w:cs="Arial"/>
                <w:color w:val="FF0000"/>
                <w:sz w:val="21"/>
                <w:szCs w:val="21"/>
              </w:rPr>
            </w:pPr>
          </w:p>
        </w:tc>
        <w:tc>
          <w:tcPr>
            <w:tcW w:w="217" w:type="dxa"/>
          </w:tcPr>
          <w:p w14:paraId="31CAD0D5" w14:textId="77777777" w:rsidR="002C0FD9" w:rsidRPr="00CA25CF" w:rsidRDefault="002C0FD9" w:rsidP="00CA25CF">
            <w:pPr>
              <w:rPr>
                <w:rFonts w:cs="Arial"/>
                <w:color w:val="FF0000"/>
                <w:sz w:val="21"/>
                <w:szCs w:val="21"/>
              </w:rPr>
            </w:pPr>
          </w:p>
        </w:tc>
        <w:tc>
          <w:tcPr>
            <w:tcW w:w="217" w:type="dxa"/>
          </w:tcPr>
          <w:p w14:paraId="4CBA59F0" w14:textId="77777777" w:rsidR="002C0FD9" w:rsidRPr="00CA25CF" w:rsidRDefault="002C0FD9" w:rsidP="00CA25CF">
            <w:pPr>
              <w:rPr>
                <w:rFonts w:cs="Arial"/>
                <w:color w:val="FF0000"/>
                <w:sz w:val="21"/>
                <w:szCs w:val="21"/>
              </w:rPr>
            </w:pPr>
          </w:p>
        </w:tc>
        <w:tc>
          <w:tcPr>
            <w:tcW w:w="217" w:type="dxa"/>
          </w:tcPr>
          <w:p w14:paraId="24192EDF" w14:textId="77777777" w:rsidR="002C0FD9" w:rsidRPr="00CA25CF" w:rsidRDefault="002C0FD9" w:rsidP="00CA25CF">
            <w:pPr>
              <w:rPr>
                <w:rFonts w:cs="Arial"/>
                <w:color w:val="FF0000"/>
                <w:sz w:val="21"/>
                <w:szCs w:val="21"/>
              </w:rPr>
            </w:pPr>
          </w:p>
        </w:tc>
        <w:tc>
          <w:tcPr>
            <w:tcW w:w="217" w:type="dxa"/>
          </w:tcPr>
          <w:p w14:paraId="7527DCF4" w14:textId="77777777" w:rsidR="002C0FD9" w:rsidRPr="00CA25CF" w:rsidRDefault="002C0FD9" w:rsidP="00CA25CF">
            <w:pPr>
              <w:rPr>
                <w:rFonts w:cs="Arial"/>
                <w:color w:val="FF0000"/>
                <w:sz w:val="21"/>
                <w:szCs w:val="21"/>
              </w:rPr>
            </w:pPr>
          </w:p>
        </w:tc>
        <w:tc>
          <w:tcPr>
            <w:tcW w:w="217" w:type="dxa"/>
          </w:tcPr>
          <w:p w14:paraId="15546279" w14:textId="77777777" w:rsidR="002C0FD9" w:rsidRPr="00CA25CF" w:rsidRDefault="002C0FD9" w:rsidP="00CA25CF">
            <w:pPr>
              <w:rPr>
                <w:rFonts w:cs="Arial"/>
                <w:color w:val="FF0000"/>
                <w:sz w:val="21"/>
                <w:szCs w:val="21"/>
              </w:rPr>
            </w:pPr>
          </w:p>
        </w:tc>
        <w:tc>
          <w:tcPr>
            <w:tcW w:w="217" w:type="dxa"/>
          </w:tcPr>
          <w:p w14:paraId="615269BD" w14:textId="77777777" w:rsidR="002C0FD9" w:rsidRPr="00CA25CF" w:rsidRDefault="002C0FD9" w:rsidP="00CA25CF">
            <w:pPr>
              <w:rPr>
                <w:rFonts w:cs="Arial"/>
                <w:color w:val="FF0000"/>
                <w:sz w:val="21"/>
                <w:szCs w:val="21"/>
              </w:rPr>
            </w:pPr>
          </w:p>
        </w:tc>
        <w:tc>
          <w:tcPr>
            <w:tcW w:w="217" w:type="dxa"/>
          </w:tcPr>
          <w:p w14:paraId="31AF50D3" w14:textId="77777777" w:rsidR="002C0FD9" w:rsidRPr="00CA25CF" w:rsidRDefault="002C0FD9" w:rsidP="00CA25CF">
            <w:pPr>
              <w:rPr>
                <w:rFonts w:cs="Arial"/>
                <w:color w:val="FF0000"/>
                <w:sz w:val="21"/>
                <w:szCs w:val="21"/>
              </w:rPr>
            </w:pPr>
          </w:p>
        </w:tc>
        <w:tc>
          <w:tcPr>
            <w:tcW w:w="217" w:type="dxa"/>
          </w:tcPr>
          <w:p w14:paraId="2DBC8E56" w14:textId="77777777" w:rsidR="002C0FD9" w:rsidRPr="00CA25CF" w:rsidRDefault="002C0FD9" w:rsidP="00CA25CF">
            <w:pPr>
              <w:rPr>
                <w:rFonts w:cs="Arial"/>
                <w:color w:val="FF0000"/>
                <w:sz w:val="21"/>
                <w:szCs w:val="21"/>
              </w:rPr>
            </w:pPr>
          </w:p>
        </w:tc>
        <w:tc>
          <w:tcPr>
            <w:tcW w:w="217" w:type="dxa"/>
          </w:tcPr>
          <w:p w14:paraId="35AD515C" w14:textId="77777777" w:rsidR="002C0FD9" w:rsidRPr="00CA25CF" w:rsidRDefault="002C0FD9" w:rsidP="00CA25CF">
            <w:pPr>
              <w:rPr>
                <w:rFonts w:cs="Arial"/>
                <w:color w:val="FF0000"/>
                <w:sz w:val="21"/>
                <w:szCs w:val="21"/>
              </w:rPr>
            </w:pPr>
          </w:p>
        </w:tc>
        <w:tc>
          <w:tcPr>
            <w:tcW w:w="217" w:type="dxa"/>
          </w:tcPr>
          <w:p w14:paraId="55170146" w14:textId="77777777" w:rsidR="002C0FD9" w:rsidRPr="00CA25CF" w:rsidRDefault="002C0FD9" w:rsidP="00CA25CF">
            <w:pPr>
              <w:rPr>
                <w:rFonts w:cs="Arial"/>
                <w:color w:val="FF0000"/>
                <w:sz w:val="21"/>
                <w:szCs w:val="21"/>
              </w:rPr>
            </w:pPr>
          </w:p>
        </w:tc>
        <w:tc>
          <w:tcPr>
            <w:tcW w:w="217" w:type="dxa"/>
          </w:tcPr>
          <w:p w14:paraId="6E98C5E0" w14:textId="77777777" w:rsidR="002C0FD9" w:rsidRPr="00CA25CF" w:rsidRDefault="002C0FD9" w:rsidP="00CA25CF">
            <w:pPr>
              <w:rPr>
                <w:rFonts w:cs="Arial"/>
                <w:color w:val="FF0000"/>
                <w:sz w:val="21"/>
                <w:szCs w:val="21"/>
              </w:rPr>
            </w:pPr>
          </w:p>
        </w:tc>
        <w:tc>
          <w:tcPr>
            <w:tcW w:w="217" w:type="dxa"/>
          </w:tcPr>
          <w:p w14:paraId="75EC0E58" w14:textId="77777777" w:rsidR="002C0FD9" w:rsidRPr="00CA25CF" w:rsidRDefault="002C0FD9" w:rsidP="00CA25CF">
            <w:pPr>
              <w:rPr>
                <w:rFonts w:cs="Arial"/>
                <w:color w:val="FF0000"/>
                <w:sz w:val="21"/>
                <w:szCs w:val="21"/>
              </w:rPr>
            </w:pPr>
          </w:p>
        </w:tc>
        <w:tc>
          <w:tcPr>
            <w:tcW w:w="217" w:type="dxa"/>
          </w:tcPr>
          <w:p w14:paraId="7BEF3C6D" w14:textId="77777777" w:rsidR="002C0FD9" w:rsidRPr="00CA25CF" w:rsidRDefault="002C0FD9" w:rsidP="00CA25CF">
            <w:pPr>
              <w:rPr>
                <w:rFonts w:cs="Arial"/>
                <w:color w:val="FF0000"/>
                <w:sz w:val="21"/>
                <w:szCs w:val="21"/>
              </w:rPr>
            </w:pPr>
          </w:p>
        </w:tc>
        <w:tc>
          <w:tcPr>
            <w:tcW w:w="217" w:type="dxa"/>
          </w:tcPr>
          <w:p w14:paraId="23EE288C" w14:textId="77777777" w:rsidR="002C0FD9" w:rsidRPr="00CA25CF" w:rsidRDefault="002C0FD9" w:rsidP="00CA25CF">
            <w:pPr>
              <w:rPr>
                <w:rFonts w:cs="Arial"/>
                <w:color w:val="FF0000"/>
                <w:sz w:val="21"/>
                <w:szCs w:val="21"/>
              </w:rPr>
            </w:pPr>
          </w:p>
        </w:tc>
        <w:tc>
          <w:tcPr>
            <w:tcW w:w="217" w:type="dxa"/>
          </w:tcPr>
          <w:p w14:paraId="02963B96" w14:textId="77777777" w:rsidR="002C0FD9" w:rsidRPr="00CA25CF" w:rsidRDefault="002C0FD9" w:rsidP="00CA25CF">
            <w:pPr>
              <w:rPr>
                <w:rFonts w:cs="Arial"/>
                <w:color w:val="FF0000"/>
                <w:sz w:val="21"/>
                <w:szCs w:val="21"/>
              </w:rPr>
            </w:pPr>
          </w:p>
        </w:tc>
        <w:tc>
          <w:tcPr>
            <w:tcW w:w="217" w:type="dxa"/>
          </w:tcPr>
          <w:p w14:paraId="587889DC" w14:textId="77777777" w:rsidR="002C0FD9" w:rsidRPr="00CA25CF" w:rsidRDefault="002C0FD9" w:rsidP="00CA25CF">
            <w:pPr>
              <w:rPr>
                <w:rFonts w:cs="Arial"/>
                <w:color w:val="FF0000"/>
                <w:sz w:val="21"/>
                <w:szCs w:val="21"/>
              </w:rPr>
            </w:pPr>
          </w:p>
        </w:tc>
        <w:tc>
          <w:tcPr>
            <w:tcW w:w="217" w:type="dxa"/>
          </w:tcPr>
          <w:p w14:paraId="234DA8C0" w14:textId="77777777" w:rsidR="002C0FD9" w:rsidRPr="00CA25CF" w:rsidRDefault="002C0FD9" w:rsidP="00CA25CF">
            <w:pPr>
              <w:rPr>
                <w:rFonts w:cs="Arial"/>
                <w:color w:val="FF0000"/>
                <w:sz w:val="21"/>
                <w:szCs w:val="21"/>
              </w:rPr>
            </w:pPr>
          </w:p>
        </w:tc>
        <w:tc>
          <w:tcPr>
            <w:tcW w:w="217" w:type="dxa"/>
          </w:tcPr>
          <w:p w14:paraId="754F8079" w14:textId="77777777" w:rsidR="002C0FD9" w:rsidRPr="00CA25CF" w:rsidRDefault="002C0FD9" w:rsidP="00CA25CF">
            <w:pPr>
              <w:rPr>
                <w:rFonts w:cs="Arial"/>
                <w:color w:val="FF0000"/>
                <w:sz w:val="21"/>
                <w:szCs w:val="21"/>
              </w:rPr>
            </w:pPr>
          </w:p>
        </w:tc>
        <w:tc>
          <w:tcPr>
            <w:tcW w:w="217" w:type="dxa"/>
          </w:tcPr>
          <w:p w14:paraId="0600A10A" w14:textId="77777777" w:rsidR="002C0FD9" w:rsidRPr="00CA25CF" w:rsidRDefault="002C0FD9" w:rsidP="00CA25CF">
            <w:pPr>
              <w:rPr>
                <w:rFonts w:cs="Arial"/>
                <w:color w:val="FF0000"/>
                <w:sz w:val="21"/>
                <w:szCs w:val="21"/>
              </w:rPr>
            </w:pPr>
          </w:p>
        </w:tc>
        <w:tc>
          <w:tcPr>
            <w:tcW w:w="217" w:type="dxa"/>
          </w:tcPr>
          <w:p w14:paraId="612EB281" w14:textId="77777777" w:rsidR="002C0FD9" w:rsidRPr="00CA25CF" w:rsidRDefault="002C0FD9" w:rsidP="00CA25CF">
            <w:pPr>
              <w:rPr>
                <w:rFonts w:cs="Arial"/>
                <w:color w:val="FF0000"/>
                <w:sz w:val="21"/>
                <w:szCs w:val="21"/>
              </w:rPr>
            </w:pPr>
          </w:p>
        </w:tc>
        <w:tc>
          <w:tcPr>
            <w:tcW w:w="217" w:type="dxa"/>
          </w:tcPr>
          <w:p w14:paraId="5782EFB4" w14:textId="77777777" w:rsidR="002C0FD9" w:rsidRPr="00CA25CF" w:rsidRDefault="002C0FD9" w:rsidP="00CA25CF">
            <w:pPr>
              <w:rPr>
                <w:rFonts w:cs="Arial"/>
                <w:color w:val="FF0000"/>
                <w:sz w:val="21"/>
                <w:szCs w:val="21"/>
              </w:rPr>
            </w:pPr>
          </w:p>
        </w:tc>
        <w:tc>
          <w:tcPr>
            <w:tcW w:w="217" w:type="dxa"/>
          </w:tcPr>
          <w:p w14:paraId="5532BB5C" w14:textId="77777777" w:rsidR="002C0FD9" w:rsidRPr="00CA25CF" w:rsidRDefault="002C0FD9" w:rsidP="00CA25CF">
            <w:pPr>
              <w:rPr>
                <w:rFonts w:cs="Arial"/>
                <w:color w:val="FF0000"/>
                <w:sz w:val="21"/>
                <w:szCs w:val="21"/>
              </w:rPr>
            </w:pPr>
          </w:p>
        </w:tc>
        <w:tc>
          <w:tcPr>
            <w:tcW w:w="217" w:type="dxa"/>
          </w:tcPr>
          <w:p w14:paraId="164A92A3" w14:textId="77777777" w:rsidR="002C0FD9" w:rsidRPr="00CA25CF" w:rsidRDefault="002C0FD9" w:rsidP="00CA25CF">
            <w:pPr>
              <w:rPr>
                <w:rFonts w:cs="Arial"/>
                <w:color w:val="FF0000"/>
                <w:sz w:val="21"/>
                <w:szCs w:val="21"/>
              </w:rPr>
            </w:pPr>
          </w:p>
        </w:tc>
        <w:tc>
          <w:tcPr>
            <w:tcW w:w="217" w:type="dxa"/>
          </w:tcPr>
          <w:p w14:paraId="45E8455D" w14:textId="77777777" w:rsidR="002C0FD9" w:rsidRPr="00CA25CF" w:rsidRDefault="002C0FD9" w:rsidP="00CA25CF">
            <w:pPr>
              <w:rPr>
                <w:rFonts w:cs="Arial"/>
                <w:color w:val="FF0000"/>
                <w:sz w:val="21"/>
                <w:szCs w:val="21"/>
              </w:rPr>
            </w:pPr>
          </w:p>
        </w:tc>
      </w:tr>
      <w:tr w:rsidR="002C0FD9" w:rsidRPr="00A16219" w14:paraId="417F5724" w14:textId="77777777" w:rsidTr="002C0FD9">
        <w:trPr>
          <w:trHeight w:val="635"/>
        </w:trPr>
        <w:tc>
          <w:tcPr>
            <w:tcW w:w="515" w:type="dxa"/>
          </w:tcPr>
          <w:p w14:paraId="499CFFEC" w14:textId="77777777" w:rsidR="002C0FD9" w:rsidRPr="00CA25CF" w:rsidRDefault="002C0FD9" w:rsidP="00CA25CF">
            <w:pPr>
              <w:rPr>
                <w:rFonts w:cs="Arial"/>
                <w:color w:val="FF0000"/>
                <w:sz w:val="21"/>
                <w:szCs w:val="21"/>
              </w:rPr>
            </w:pPr>
          </w:p>
        </w:tc>
        <w:tc>
          <w:tcPr>
            <w:tcW w:w="217" w:type="dxa"/>
          </w:tcPr>
          <w:p w14:paraId="2712E152" w14:textId="77777777" w:rsidR="002C0FD9" w:rsidRPr="00CA25CF" w:rsidRDefault="002C0FD9" w:rsidP="00CA25CF">
            <w:pPr>
              <w:rPr>
                <w:rFonts w:cs="Arial"/>
                <w:color w:val="FF0000"/>
                <w:sz w:val="21"/>
                <w:szCs w:val="21"/>
              </w:rPr>
            </w:pPr>
          </w:p>
        </w:tc>
        <w:tc>
          <w:tcPr>
            <w:tcW w:w="217" w:type="dxa"/>
          </w:tcPr>
          <w:p w14:paraId="1A5ABF70" w14:textId="77777777" w:rsidR="002C0FD9" w:rsidRPr="00CA25CF" w:rsidRDefault="002C0FD9" w:rsidP="00CA25CF">
            <w:pPr>
              <w:rPr>
                <w:rFonts w:cs="Arial"/>
                <w:color w:val="FF0000"/>
                <w:sz w:val="21"/>
                <w:szCs w:val="21"/>
              </w:rPr>
            </w:pPr>
          </w:p>
        </w:tc>
        <w:tc>
          <w:tcPr>
            <w:tcW w:w="217" w:type="dxa"/>
          </w:tcPr>
          <w:p w14:paraId="266EEB74" w14:textId="77777777" w:rsidR="002C0FD9" w:rsidRPr="00CA25CF" w:rsidRDefault="002C0FD9" w:rsidP="00CA25CF">
            <w:pPr>
              <w:rPr>
                <w:rFonts w:cs="Arial"/>
                <w:color w:val="FF0000"/>
                <w:sz w:val="21"/>
                <w:szCs w:val="21"/>
              </w:rPr>
            </w:pPr>
          </w:p>
        </w:tc>
        <w:tc>
          <w:tcPr>
            <w:tcW w:w="217" w:type="dxa"/>
          </w:tcPr>
          <w:p w14:paraId="084B8AB9" w14:textId="77777777" w:rsidR="002C0FD9" w:rsidRPr="00CA25CF" w:rsidRDefault="002C0FD9" w:rsidP="00CA25CF">
            <w:pPr>
              <w:rPr>
                <w:rFonts w:cs="Arial"/>
                <w:color w:val="FF0000"/>
                <w:sz w:val="21"/>
                <w:szCs w:val="21"/>
              </w:rPr>
            </w:pPr>
          </w:p>
        </w:tc>
        <w:tc>
          <w:tcPr>
            <w:tcW w:w="217" w:type="dxa"/>
          </w:tcPr>
          <w:p w14:paraId="55159CEB" w14:textId="77777777" w:rsidR="002C0FD9" w:rsidRPr="00CA25CF" w:rsidRDefault="002C0FD9" w:rsidP="00CA25CF">
            <w:pPr>
              <w:rPr>
                <w:rFonts w:cs="Arial"/>
                <w:color w:val="FF0000"/>
                <w:sz w:val="21"/>
                <w:szCs w:val="21"/>
              </w:rPr>
            </w:pPr>
          </w:p>
        </w:tc>
        <w:tc>
          <w:tcPr>
            <w:tcW w:w="217" w:type="dxa"/>
          </w:tcPr>
          <w:p w14:paraId="3931C8AD" w14:textId="77777777" w:rsidR="002C0FD9" w:rsidRPr="00CA25CF" w:rsidRDefault="002C0FD9" w:rsidP="00CA25CF">
            <w:pPr>
              <w:rPr>
                <w:rFonts w:cs="Arial"/>
                <w:color w:val="FF0000"/>
                <w:sz w:val="21"/>
                <w:szCs w:val="21"/>
              </w:rPr>
            </w:pPr>
          </w:p>
        </w:tc>
        <w:tc>
          <w:tcPr>
            <w:tcW w:w="217" w:type="dxa"/>
          </w:tcPr>
          <w:p w14:paraId="45EC5E81" w14:textId="77777777" w:rsidR="002C0FD9" w:rsidRPr="00CA25CF" w:rsidRDefault="002C0FD9" w:rsidP="00CA25CF">
            <w:pPr>
              <w:rPr>
                <w:rFonts w:cs="Arial"/>
                <w:color w:val="FF0000"/>
                <w:sz w:val="21"/>
                <w:szCs w:val="21"/>
              </w:rPr>
            </w:pPr>
          </w:p>
        </w:tc>
        <w:tc>
          <w:tcPr>
            <w:tcW w:w="217" w:type="dxa"/>
          </w:tcPr>
          <w:p w14:paraId="17F2438C" w14:textId="77777777" w:rsidR="002C0FD9" w:rsidRPr="00CA25CF" w:rsidRDefault="002C0FD9" w:rsidP="00CA25CF">
            <w:pPr>
              <w:rPr>
                <w:rFonts w:cs="Arial"/>
                <w:color w:val="FF0000"/>
                <w:sz w:val="21"/>
                <w:szCs w:val="21"/>
              </w:rPr>
            </w:pPr>
          </w:p>
        </w:tc>
        <w:tc>
          <w:tcPr>
            <w:tcW w:w="217" w:type="dxa"/>
          </w:tcPr>
          <w:p w14:paraId="44160CAE" w14:textId="77777777" w:rsidR="002C0FD9" w:rsidRPr="00CA25CF" w:rsidRDefault="002C0FD9" w:rsidP="00CA25CF">
            <w:pPr>
              <w:rPr>
                <w:rFonts w:cs="Arial"/>
                <w:color w:val="FF0000"/>
                <w:sz w:val="21"/>
                <w:szCs w:val="21"/>
              </w:rPr>
            </w:pPr>
          </w:p>
        </w:tc>
        <w:tc>
          <w:tcPr>
            <w:tcW w:w="217" w:type="dxa"/>
          </w:tcPr>
          <w:p w14:paraId="1CF1393E" w14:textId="77777777" w:rsidR="002C0FD9" w:rsidRPr="00CA25CF" w:rsidRDefault="002C0FD9" w:rsidP="00CA25CF">
            <w:pPr>
              <w:rPr>
                <w:rFonts w:cs="Arial"/>
                <w:color w:val="FF0000"/>
                <w:sz w:val="21"/>
                <w:szCs w:val="21"/>
              </w:rPr>
            </w:pPr>
          </w:p>
        </w:tc>
        <w:tc>
          <w:tcPr>
            <w:tcW w:w="217" w:type="dxa"/>
          </w:tcPr>
          <w:p w14:paraId="6D2DC4AE" w14:textId="77777777" w:rsidR="002C0FD9" w:rsidRPr="00CA25CF" w:rsidRDefault="002C0FD9" w:rsidP="00CA25CF">
            <w:pPr>
              <w:rPr>
                <w:rFonts w:cs="Arial"/>
                <w:color w:val="FF0000"/>
                <w:sz w:val="21"/>
                <w:szCs w:val="21"/>
              </w:rPr>
            </w:pPr>
          </w:p>
        </w:tc>
        <w:tc>
          <w:tcPr>
            <w:tcW w:w="217" w:type="dxa"/>
          </w:tcPr>
          <w:p w14:paraId="0FDF3A27" w14:textId="77777777" w:rsidR="002C0FD9" w:rsidRPr="00CA25CF" w:rsidRDefault="002C0FD9" w:rsidP="00CA25CF">
            <w:pPr>
              <w:rPr>
                <w:rFonts w:cs="Arial"/>
                <w:color w:val="FF0000"/>
                <w:sz w:val="21"/>
                <w:szCs w:val="21"/>
              </w:rPr>
            </w:pPr>
          </w:p>
        </w:tc>
        <w:tc>
          <w:tcPr>
            <w:tcW w:w="217" w:type="dxa"/>
          </w:tcPr>
          <w:p w14:paraId="01C6B613" w14:textId="77777777" w:rsidR="002C0FD9" w:rsidRPr="00CA25CF" w:rsidRDefault="002C0FD9" w:rsidP="00CA25CF">
            <w:pPr>
              <w:rPr>
                <w:rFonts w:cs="Arial"/>
                <w:color w:val="FF0000"/>
                <w:sz w:val="21"/>
                <w:szCs w:val="21"/>
              </w:rPr>
            </w:pPr>
          </w:p>
        </w:tc>
        <w:tc>
          <w:tcPr>
            <w:tcW w:w="217" w:type="dxa"/>
          </w:tcPr>
          <w:p w14:paraId="3F43AA74" w14:textId="77777777" w:rsidR="002C0FD9" w:rsidRPr="00CA25CF" w:rsidRDefault="002C0FD9" w:rsidP="00CA25CF">
            <w:pPr>
              <w:rPr>
                <w:rFonts w:cs="Arial"/>
                <w:color w:val="FF0000"/>
                <w:sz w:val="21"/>
                <w:szCs w:val="21"/>
              </w:rPr>
            </w:pPr>
          </w:p>
        </w:tc>
        <w:tc>
          <w:tcPr>
            <w:tcW w:w="217" w:type="dxa"/>
          </w:tcPr>
          <w:p w14:paraId="21EEFCC9" w14:textId="77777777" w:rsidR="002C0FD9" w:rsidRPr="00CA25CF" w:rsidRDefault="002C0FD9" w:rsidP="00CA25CF">
            <w:pPr>
              <w:rPr>
                <w:rFonts w:cs="Arial"/>
                <w:color w:val="FF0000"/>
                <w:sz w:val="21"/>
                <w:szCs w:val="21"/>
              </w:rPr>
            </w:pPr>
          </w:p>
        </w:tc>
        <w:tc>
          <w:tcPr>
            <w:tcW w:w="217" w:type="dxa"/>
          </w:tcPr>
          <w:p w14:paraId="686470ED" w14:textId="77777777" w:rsidR="002C0FD9" w:rsidRPr="00CA25CF" w:rsidRDefault="002C0FD9" w:rsidP="00CA25CF">
            <w:pPr>
              <w:rPr>
                <w:rFonts w:cs="Arial"/>
                <w:color w:val="FF0000"/>
                <w:sz w:val="21"/>
                <w:szCs w:val="21"/>
              </w:rPr>
            </w:pPr>
          </w:p>
        </w:tc>
        <w:tc>
          <w:tcPr>
            <w:tcW w:w="217" w:type="dxa"/>
          </w:tcPr>
          <w:p w14:paraId="704D1FFE" w14:textId="77777777" w:rsidR="002C0FD9" w:rsidRPr="00CA25CF" w:rsidRDefault="002C0FD9" w:rsidP="00CA25CF">
            <w:pPr>
              <w:rPr>
                <w:rFonts w:cs="Arial"/>
                <w:color w:val="FF0000"/>
                <w:sz w:val="21"/>
                <w:szCs w:val="21"/>
              </w:rPr>
            </w:pPr>
          </w:p>
        </w:tc>
        <w:tc>
          <w:tcPr>
            <w:tcW w:w="217" w:type="dxa"/>
          </w:tcPr>
          <w:p w14:paraId="59D142B1" w14:textId="77777777" w:rsidR="002C0FD9" w:rsidRPr="00CA25CF" w:rsidRDefault="002C0FD9" w:rsidP="00CA25CF">
            <w:pPr>
              <w:rPr>
                <w:rFonts w:cs="Arial"/>
                <w:color w:val="FF0000"/>
                <w:sz w:val="21"/>
                <w:szCs w:val="21"/>
              </w:rPr>
            </w:pPr>
          </w:p>
        </w:tc>
        <w:tc>
          <w:tcPr>
            <w:tcW w:w="217" w:type="dxa"/>
          </w:tcPr>
          <w:p w14:paraId="4BF85E09" w14:textId="77777777" w:rsidR="002C0FD9" w:rsidRPr="00CA25CF" w:rsidRDefault="002C0FD9" w:rsidP="00CA25CF">
            <w:pPr>
              <w:rPr>
                <w:rFonts w:cs="Arial"/>
                <w:color w:val="FF0000"/>
                <w:sz w:val="21"/>
                <w:szCs w:val="21"/>
              </w:rPr>
            </w:pPr>
          </w:p>
        </w:tc>
        <w:tc>
          <w:tcPr>
            <w:tcW w:w="217" w:type="dxa"/>
          </w:tcPr>
          <w:p w14:paraId="123C6207" w14:textId="77777777" w:rsidR="002C0FD9" w:rsidRPr="00CA25CF" w:rsidRDefault="002C0FD9" w:rsidP="00CA25CF">
            <w:pPr>
              <w:rPr>
                <w:rFonts w:cs="Arial"/>
                <w:color w:val="FF0000"/>
                <w:sz w:val="21"/>
                <w:szCs w:val="21"/>
              </w:rPr>
            </w:pPr>
          </w:p>
        </w:tc>
        <w:tc>
          <w:tcPr>
            <w:tcW w:w="217" w:type="dxa"/>
          </w:tcPr>
          <w:p w14:paraId="31896975" w14:textId="77777777" w:rsidR="002C0FD9" w:rsidRPr="00CA25CF" w:rsidRDefault="002C0FD9" w:rsidP="00CA25CF">
            <w:pPr>
              <w:rPr>
                <w:rFonts w:cs="Arial"/>
                <w:color w:val="FF0000"/>
                <w:sz w:val="21"/>
                <w:szCs w:val="21"/>
              </w:rPr>
            </w:pPr>
          </w:p>
        </w:tc>
        <w:tc>
          <w:tcPr>
            <w:tcW w:w="217" w:type="dxa"/>
          </w:tcPr>
          <w:p w14:paraId="7F9F68D8" w14:textId="77777777" w:rsidR="002C0FD9" w:rsidRPr="00CA25CF" w:rsidRDefault="002C0FD9" w:rsidP="00CA25CF">
            <w:pPr>
              <w:rPr>
                <w:rFonts w:cs="Arial"/>
                <w:color w:val="FF0000"/>
                <w:sz w:val="21"/>
                <w:szCs w:val="21"/>
              </w:rPr>
            </w:pPr>
          </w:p>
        </w:tc>
        <w:tc>
          <w:tcPr>
            <w:tcW w:w="217" w:type="dxa"/>
          </w:tcPr>
          <w:p w14:paraId="21862147" w14:textId="77777777" w:rsidR="002C0FD9" w:rsidRPr="00CA25CF" w:rsidRDefault="002C0FD9" w:rsidP="00CA25CF">
            <w:pPr>
              <w:rPr>
                <w:rFonts w:cs="Arial"/>
                <w:color w:val="FF0000"/>
                <w:sz w:val="21"/>
                <w:szCs w:val="21"/>
              </w:rPr>
            </w:pPr>
          </w:p>
        </w:tc>
        <w:tc>
          <w:tcPr>
            <w:tcW w:w="217" w:type="dxa"/>
          </w:tcPr>
          <w:p w14:paraId="31B76F8B" w14:textId="77777777" w:rsidR="002C0FD9" w:rsidRPr="00CA25CF" w:rsidRDefault="002C0FD9" w:rsidP="00CA25CF">
            <w:pPr>
              <w:rPr>
                <w:rFonts w:cs="Arial"/>
                <w:color w:val="FF0000"/>
                <w:sz w:val="21"/>
                <w:szCs w:val="21"/>
              </w:rPr>
            </w:pPr>
          </w:p>
        </w:tc>
        <w:tc>
          <w:tcPr>
            <w:tcW w:w="217" w:type="dxa"/>
          </w:tcPr>
          <w:p w14:paraId="653EFDA9" w14:textId="77777777" w:rsidR="002C0FD9" w:rsidRPr="00CA25CF" w:rsidRDefault="002C0FD9" w:rsidP="00CA25CF">
            <w:pPr>
              <w:rPr>
                <w:rFonts w:cs="Arial"/>
                <w:color w:val="FF0000"/>
                <w:sz w:val="21"/>
                <w:szCs w:val="21"/>
              </w:rPr>
            </w:pPr>
          </w:p>
        </w:tc>
        <w:tc>
          <w:tcPr>
            <w:tcW w:w="217" w:type="dxa"/>
          </w:tcPr>
          <w:p w14:paraId="3C963840" w14:textId="77777777" w:rsidR="002C0FD9" w:rsidRPr="00CA25CF" w:rsidRDefault="002C0FD9" w:rsidP="00CA25CF">
            <w:pPr>
              <w:rPr>
                <w:rFonts w:cs="Arial"/>
                <w:color w:val="FF0000"/>
                <w:sz w:val="21"/>
                <w:szCs w:val="21"/>
              </w:rPr>
            </w:pPr>
          </w:p>
        </w:tc>
        <w:tc>
          <w:tcPr>
            <w:tcW w:w="217" w:type="dxa"/>
          </w:tcPr>
          <w:p w14:paraId="69F8D2C1" w14:textId="77777777" w:rsidR="002C0FD9" w:rsidRPr="00CA25CF" w:rsidRDefault="002C0FD9" w:rsidP="00CA25CF">
            <w:pPr>
              <w:rPr>
                <w:rFonts w:cs="Arial"/>
                <w:color w:val="FF0000"/>
                <w:sz w:val="21"/>
                <w:szCs w:val="21"/>
              </w:rPr>
            </w:pPr>
          </w:p>
        </w:tc>
        <w:tc>
          <w:tcPr>
            <w:tcW w:w="217" w:type="dxa"/>
          </w:tcPr>
          <w:p w14:paraId="09BA1859" w14:textId="77777777" w:rsidR="002C0FD9" w:rsidRPr="00CA25CF" w:rsidRDefault="002C0FD9" w:rsidP="00CA25CF">
            <w:pPr>
              <w:rPr>
                <w:rFonts w:cs="Arial"/>
                <w:color w:val="FF0000"/>
                <w:sz w:val="21"/>
                <w:szCs w:val="21"/>
              </w:rPr>
            </w:pPr>
          </w:p>
        </w:tc>
        <w:tc>
          <w:tcPr>
            <w:tcW w:w="217" w:type="dxa"/>
          </w:tcPr>
          <w:p w14:paraId="4344C6D4" w14:textId="77777777" w:rsidR="002C0FD9" w:rsidRPr="00CA25CF" w:rsidRDefault="002C0FD9" w:rsidP="00CA25CF">
            <w:pPr>
              <w:rPr>
                <w:rFonts w:cs="Arial"/>
                <w:color w:val="FF0000"/>
                <w:sz w:val="21"/>
                <w:szCs w:val="21"/>
              </w:rPr>
            </w:pPr>
          </w:p>
        </w:tc>
        <w:tc>
          <w:tcPr>
            <w:tcW w:w="217" w:type="dxa"/>
          </w:tcPr>
          <w:p w14:paraId="408C8B35" w14:textId="77777777" w:rsidR="002C0FD9" w:rsidRPr="00CA25CF" w:rsidRDefault="002C0FD9" w:rsidP="00CA25CF">
            <w:pPr>
              <w:rPr>
                <w:rFonts w:cs="Arial"/>
                <w:color w:val="FF0000"/>
                <w:sz w:val="21"/>
                <w:szCs w:val="21"/>
              </w:rPr>
            </w:pPr>
          </w:p>
        </w:tc>
        <w:tc>
          <w:tcPr>
            <w:tcW w:w="217" w:type="dxa"/>
          </w:tcPr>
          <w:p w14:paraId="6AC54213" w14:textId="77777777" w:rsidR="002C0FD9" w:rsidRPr="00CA25CF" w:rsidRDefault="002C0FD9" w:rsidP="00CA25CF">
            <w:pPr>
              <w:rPr>
                <w:rFonts w:cs="Arial"/>
                <w:color w:val="FF0000"/>
                <w:sz w:val="21"/>
                <w:szCs w:val="21"/>
              </w:rPr>
            </w:pPr>
          </w:p>
        </w:tc>
        <w:tc>
          <w:tcPr>
            <w:tcW w:w="217" w:type="dxa"/>
          </w:tcPr>
          <w:p w14:paraId="2C84BA3B" w14:textId="77777777" w:rsidR="002C0FD9" w:rsidRPr="00CA25CF" w:rsidRDefault="002C0FD9" w:rsidP="00CA25CF">
            <w:pPr>
              <w:rPr>
                <w:rFonts w:cs="Arial"/>
                <w:color w:val="FF0000"/>
                <w:sz w:val="21"/>
                <w:szCs w:val="21"/>
              </w:rPr>
            </w:pPr>
          </w:p>
        </w:tc>
        <w:tc>
          <w:tcPr>
            <w:tcW w:w="217" w:type="dxa"/>
          </w:tcPr>
          <w:p w14:paraId="7AE92F7D" w14:textId="77777777" w:rsidR="002C0FD9" w:rsidRPr="00CA25CF" w:rsidRDefault="002C0FD9" w:rsidP="00CA25CF">
            <w:pPr>
              <w:rPr>
                <w:rFonts w:cs="Arial"/>
                <w:color w:val="FF0000"/>
                <w:sz w:val="21"/>
                <w:szCs w:val="21"/>
              </w:rPr>
            </w:pPr>
          </w:p>
        </w:tc>
        <w:tc>
          <w:tcPr>
            <w:tcW w:w="217" w:type="dxa"/>
          </w:tcPr>
          <w:p w14:paraId="5ECFC83E" w14:textId="77777777" w:rsidR="002C0FD9" w:rsidRPr="00CA25CF" w:rsidRDefault="002C0FD9" w:rsidP="00CA25CF">
            <w:pPr>
              <w:rPr>
                <w:rFonts w:cs="Arial"/>
                <w:color w:val="FF0000"/>
                <w:sz w:val="21"/>
                <w:szCs w:val="21"/>
              </w:rPr>
            </w:pPr>
          </w:p>
        </w:tc>
        <w:tc>
          <w:tcPr>
            <w:tcW w:w="217" w:type="dxa"/>
          </w:tcPr>
          <w:p w14:paraId="6441D9B3" w14:textId="77777777" w:rsidR="002C0FD9" w:rsidRPr="00CA25CF" w:rsidRDefault="002C0FD9" w:rsidP="00CA25CF">
            <w:pPr>
              <w:rPr>
                <w:rFonts w:cs="Arial"/>
                <w:color w:val="FF0000"/>
                <w:sz w:val="21"/>
                <w:szCs w:val="21"/>
              </w:rPr>
            </w:pPr>
          </w:p>
        </w:tc>
        <w:tc>
          <w:tcPr>
            <w:tcW w:w="217" w:type="dxa"/>
          </w:tcPr>
          <w:p w14:paraId="4D498670" w14:textId="77777777" w:rsidR="002C0FD9" w:rsidRPr="00CA25CF" w:rsidRDefault="002C0FD9" w:rsidP="00CA25CF">
            <w:pPr>
              <w:rPr>
                <w:rFonts w:cs="Arial"/>
                <w:color w:val="FF0000"/>
                <w:sz w:val="21"/>
                <w:szCs w:val="21"/>
              </w:rPr>
            </w:pPr>
          </w:p>
        </w:tc>
        <w:tc>
          <w:tcPr>
            <w:tcW w:w="217" w:type="dxa"/>
          </w:tcPr>
          <w:p w14:paraId="18B74B6F" w14:textId="77777777" w:rsidR="002C0FD9" w:rsidRPr="00CA25CF" w:rsidRDefault="002C0FD9" w:rsidP="00CA25CF">
            <w:pPr>
              <w:rPr>
                <w:rFonts w:cs="Arial"/>
                <w:color w:val="FF0000"/>
                <w:sz w:val="21"/>
                <w:szCs w:val="21"/>
              </w:rPr>
            </w:pPr>
          </w:p>
        </w:tc>
        <w:tc>
          <w:tcPr>
            <w:tcW w:w="217" w:type="dxa"/>
          </w:tcPr>
          <w:p w14:paraId="4AD5A582" w14:textId="77777777" w:rsidR="002C0FD9" w:rsidRPr="00CA25CF" w:rsidRDefault="002C0FD9" w:rsidP="00CA25CF">
            <w:pPr>
              <w:rPr>
                <w:rFonts w:cs="Arial"/>
                <w:color w:val="FF0000"/>
                <w:sz w:val="21"/>
                <w:szCs w:val="21"/>
              </w:rPr>
            </w:pPr>
          </w:p>
        </w:tc>
        <w:tc>
          <w:tcPr>
            <w:tcW w:w="217" w:type="dxa"/>
          </w:tcPr>
          <w:p w14:paraId="013B514F" w14:textId="77777777" w:rsidR="002C0FD9" w:rsidRPr="00CA25CF" w:rsidRDefault="002C0FD9" w:rsidP="00CA25CF">
            <w:pPr>
              <w:rPr>
                <w:rFonts w:cs="Arial"/>
                <w:color w:val="FF0000"/>
                <w:sz w:val="21"/>
                <w:szCs w:val="21"/>
              </w:rPr>
            </w:pPr>
          </w:p>
        </w:tc>
        <w:tc>
          <w:tcPr>
            <w:tcW w:w="217" w:type="dxa"/>
          </w:tcPr>
          <w:p w14:paraId="5BAAF873" w14:textId="77777777" w:rsidR="002C0FD9" w:rsidRPr="00CA25CF" w:rsidRDefault="002C0FD9" w:rsidP="00CA25CF">
            <w:pPr>
              <w:rPr>
                <w:rFonts w:cs="Arial"/>
                <w:color w:val="FF0000"/>
                <w:sz w:val="21"/>
                <w:szCs w:val="21"/>
              </w:rPr>
            </w:pPr>
          </w:p>
        </w:tc>
        <w:tc>
          <w:tcPr>
            <w:tcW w:w="217" w:type="dxa"/>
          </w:tcPr>
          <w:p w14:paraId="490A28D2" w14:textId="77777777" w:rsidR="002C0FD9" w:rsidRPr="00CA25CF" w:rsidRDefault="002C0FD9" w:rsidP="00CA25CF">
            <w:pPr>
              <w:rPr>
                <w:rFonts w:cs="Arial"/>
                <w:color w:val="FF0000"/>
                <w:sz w:val="21"/>
                <w:szCs w:val="21"/>
              </w:rPr>
            </w:pPr>
          </w:p>
        </w:tc>
        <w:tc>
          <w:tcPr>
            <w:tcW w:w="217" w:type="dxa"/>
          </w:tcPr>
          <w:p w14:paraId="25CCEBD0" w14:textId="77777777" w:rsidR="002C0FD9" w:rsidRPr="00CA25CF" w:rsidRDefault="002C0FD9" w:rsidP="00CA25CF">
            <w:pPr>
              <w:rPr>
                <w:rFonts w:cs="Arial"/>
                <w:color w:val="FF0000"/>
                <w:sz w:val="21"/>
                <w:szCs w:val="21"/>
              </w:rPr>
            </w:pPr>
          </w:p>
        </w:tc>
      </w:tr>
      <w:tr w:rsidR="002C0FD9" w:rsidRPr="00A16219" w14:paraId="1FDF021A" w14:textId="77777777" w:rsidTr="002C0FD9">
        <w:trPr>
          <w:trHeight w:val="635"/>
        </w:trPr>
        <w:tc>
          <w:tcPr>
            <w:tcW w:w="515" w:type="dxa"/>
          </w:tcPr>
          <w:p w14:paraId="4D3ECBFB" w14:textId="77777777" w:rsidR="002C0FD9" w:rsidRPr="00CA25CF" w:rsidRDefault="002C0FD9" w:rsidP="00CA25CF">
            <w:pPr>
              <w:rPr>
                <w:rFonts w:cs="Arial"/>
                <w:color w:val="FF0000"/>
                <w:sz w:val="21"/>
                <w:szCs w:val="21"/>
              </w:rPr>
            </w:pPr>
          </w:p>
        </w:tc>
        <w:tc>
          <w:tcPr>
            <w:tcW w:w="217" w:type="dxa"/>
          </w:tcPr>
          <w:p w14:paraId="7D243618" w14:textId="77777777" w:rsidR="002C0FD9" w:rsidRPr="00CA25CF" w:rsidRDefault="002C0FD9" w:rsidP="00CA25CF">
            <w:pPr>
              <w:rPr>
                <w:rFonts w:cs="Arial"/>
                <w:color w:val="FF0000"/>
                <w:sz w:val="21"/>
                <w:szCs w:val="21"/>
              </w:rPr>
            </w:pPr>
          </w:p>
        </w:tc>
        <w:tc>
          <w:tcPr>
            <w:tcW w:w="217" w:type="dxa"/>
          </w:tcPr>
          <w:p w14:paraId="713C35B8" w14:textId="77777777" w:rsidR="002C0FD9" w:rsidRPr="00CA25CF" w:rsidRDefault="002C0FD9" w:rsidP="00CA25CF">
            <w:pPr>
              <w:rPr>
                <w:rFonts w:cs="Arial"/>
                <w:color w:val="FF0000"/>
                <w:sz w:val="21"/>
                <w:szCs w:val="21"/>
              </w:rPr>
            </w:pPr>
          </w:p>
        </w:tc>
        <w:tc>
          <w:tcPr>
            <w:tcW w:w="217" w:type="dxa"/>
          </w:tcPr>
          <w:p w14:paraId="2DE5CF8D" w14:textId="77777777" w:rsidR="002C0FD9" w:rsidRPr="00CA25CF" w:rsidRDefault="002C0FD9" w:rsidP="00CA25CF">
            <w:pPr>
              <w:rPr>
                <w:rFonts w:cs="Arial"/>
                <w:color w:val="FF0000"/>
                <w:sz w:val="21"/>
                <w:szCs w:val="21"/>
              </w:rPr>
            </w:pPr>
          </w:p>
        </w:tc>
        <w:tc>
          <w:tcPr>
            <w:tcW w:w="217" w:type="dxa"/>
          </w:tcPr>
          <w:p w14:paraId="645829DD" w14:textId="77777777" w:rsidR="002C0FD9" w:rsidRPr="00CA25CF" w:rsidRDefault="002C0FD9" w:rsidP="00CA25CF">
            <w:pPr>
              <w:rPr>
                <w:rFonts w:cs="Arial"/>
                <w:color w:val="FF0000"/>
                <w:sz w:val="21"/>
                <w:szCs w:val="21"/>
              </w:rPr>
            </w:pPr>
          </w:p>
        </w:tc>
        <w:tc>
          <w:tcPr>
            <w:tcW w:w="217" w:type="dxa"/>
          </w:tcPr>
          <w:p w14:paraId="254AF4BB" w14:textId="77777777" w:rsidR="002C0FD9" w:rsidRPr="00CA25CF" w:rsidRDefault="002C0FD9" w:rsidP="00CA25CF">
            <w:pPr>
              <w:rPr>
                <w:rFonts w:cs="Arial"/>
                <w:color w:val="FF0000"/>
                <w:sz w:val="21"/>
                <w:szCs w:val="21"/>
              </w:rPr>
            </w:pPr>
          </w:p>
        </w:tc>
        <w:tc>
          <w:tcPr>
            <w:tcW w:w="217" w:type="dxa"/>
          </w:tcPr>
          <w:p w14:paraId="479B5D8F" w14:textId="77777777" w:rsidR="002C0FD9" w:rsidRPr="00CA25CF" w:rsidRDefault="002C0FD9" w:rsidP="00CA25CF">
            <w:pPr>
              <w:rPr>
                <w:rFonts w:cs="Arial"/>
                <w:color w:val="FF0000"/>
                <w:sz w:val="21"/>
                <w:szCs w:val="21"/>
              </w:rPr>
            </w:pPr>
          </w:p>
        </w:tc>
        <w:tc>
          <w:tcPr>
            <w:tcW w:w="217" w:type="dxa"/>
          </w:tcPr>
          <w:p w14:paraId="2E61168F" w14:textId="77777777" w:rsidR="002C0FD9" w:rsidRPr="00CA25CF" w:rsidRDefault="002C0FD9" w:rsidP="00CA25CF">
            <w:pPr>
              <w:rPr>
                <w:rFonts w:cs="Arial"/>
                <w:color w:val="FF0000"/>
                <w:sz w:val="21"/>
                <w:szCs w:val="21"/>
              </w:rPr>
            </w:pPr>
          </w:p>
        </w:tc>
        <w:tc>
          <w:tcPr>
            <w:tcW w:w="217" w:type="dxa"/>
          </w:tcPr>
          <w:p w14:paraId="5DAB3D18" w14:textId="77777777" w:rsidR="002C0FD9" w:rsidRPr="00CA25CF" w:rsidRDefault="002C0FD9" w:rsidP="00CA25CF">
            <w:pPr>
              <w:rPr>
                <w:rFonts w:cs="Arial"/>
                <w:color w:val="FF0000"/>
                <w:sz w:val="21"/>
                <w:szCs w:val="21"/>
              </w:rPr>
            </w:pPr>
          </w:p>
        </w:tc>
        <w:tc>
          <w:tcPr>
            <w:tcW w:w="217" w:type="dxa"/>
          </w:tcPr>
          <w:p w14:paraId="0D53B70F" w14:textId="77777777" w:rsidR="002C0FD9" w:rsidRPr="00CA25CF" w:rsidRDefault="002C0FD9" w:rsidP="00CA25CF">
            <w:pPr>
              <w:rPr>
                <w:rFonts w:cs="Arial"/>
                <w:color w:val="FF0000"/>
                <w:sz w:val="21"/>
                <w:szCs w:val="21"/>
              </w:rPr>
            </w:pPr>
          </w:p>
        </w:tc>
        <w:tc>
          <w:tcPr>
            <w:tcW w:w="217" w:type="dxa"/>
          </w:tcPr>
          <w:p w14:paraId="5FA27F28" w14:textId="77777777" w:rsidR="002C0FD9" w:rsidRPr="00CA25CF" w:rsidRDefault="002C0FD9" w:rsidP="00CA25CF">
            <w:pPr>
              <w:rPr>
                <w:rFonts w:cs="Arial"/>
                <w:color w:val="FF0000"/>
                <w:sz w:val="21"/>
                <w:szCs w:val="21"/>
              </w:rPr>
            </w:pPr>
          </w:p>
        </w:tc>
        <w:tc>
          <w:tcPr>
            <w:tcW w:w="217" w:type="dxa"/>
          </w:tcPr>
          <w:p w14:paraId="77F51105" w14:textId="77777777" w:rsidR="002C0FD9" w:rsidRPr="00CA25CF" w:rsidRDefault="002C0FD9" w:rsidP="00CA25CF">
            <w:pPr>
              <w:rPr>
                <w:rFonts w:cs="Arial"/>
                <w:color w:val="FF0000"/>
                <w:sz w:val="21"/>
                <w:szCs w:val="21"/>
              </w:rPr>
            </w:pPr>
          </w:p>
        </w:tc>
        <w:tc>
          <w:tcPr>
            <w:tcW w:w="217" w:type="dxa"/>
          </w:tcPr>
          <w:p w14:paraId="0F9AF7D0" w14:textId="77777777" w:rsidR="002C0FD9" w:rsidRPr="00CA25CF" w:rsidRDefault="002C0FD9" w:rsidP="00CA25CF">
            <w:pPr>
              <w:rPr>
                <w:rFonts w:cs="Arial"/>
                <w:color w:val="FF0000"/>
                <w:sz w:val="21"/>
                <w:szCs w:val="21"/>
              </w:rPr>
            </w:pPr>
          </w:p>
        </w:tc>
        <w:tc>
          <w:tcPr>
            <w:tcW w:w="217" w:type="dxa"/>
          </w:tcPr>
          <w:p w14:paraId="472197F1" w14:textId="77777777" w:rsidR="002C0FD9" w:rsidRPr="00CA25CF" w:rsidRDefault="002C0FD9" w:rsidP="00CA25CF">
            <w:pPr>
              <w:rPr>
                <w:rFonts w:cs="Arial"/>
                <w:color w:val="FF0000"/>
                <w:sz w:val="21"/>
                <w:szCs w:val="21"/>
              </w:rPr>
            </w:pPr>
          </w:p>
        </w:tc>
        <w:tc>
          <w:tcPr>
            <w:tcW w:w="217" w:type="dxa"/>
          </w:tcPr>
          <w:p w14:paraId="6ECEC6EC" w14:textId="77777777" w:rsidR="002C0FD9" w:rsidRPr="00CA25CF" w:rsidRDefault="002C0FD9" w:rsidP="00CA25CF">
            <w:pPr>
              <w:rPr>
                <w:rFonts w:cs="Arial"/>
                <w:color w:val="FF0000"/>
                <w:sz w:val="21"/>
                <w:szCs w:val="21"/>
              </w:rPr>
            </w:pPr>
          </w:p>
        </w:tc>
        <w:tc>
          <w:tcPr>
            <w:tcW w:w="217" w:type="dxa"/>
          </w:tcPr>
          <w:p w14:paraId="0DB24BCA" w14:textId="77777777" w:rsidR="002C0FD9" w:rsidRPr="00CA25CF" w:rsidRDefault="002C0FD9" w:rsidP="00CA25CF">
            <w:pPr>
              <w:rPr>
                <w:rFonts w:cs="Arial"/>
                <w:color w:val="FF0000"/>
                <w:sz w:val="21"/>
                <w:szCs w:val="21"/>
              </w:rPr>
            </w:pPr>
          </w:p>
        </w:tc>
        <w:tc>
          <w:tcPr>
            <w:tcW w:w="217" w:type="dxa"/>
          </w:tcPr>
          <w:p w14:paraId="0C124832" w14:textId="77777777" w:rsidR="002C0FD9" w:rsidRPr="00CA25CF" w:rsidRDefault="002C0FD9" w:rsidP="00CA25CF">
            <w:pPr>
              <w:rPr>
                <w:rFonts w:cs="Arial"/>
                <w:color w:val="FF0000"/>
                <w:sz w:val="21"/>
                <w:szCs w:val="21"/>
              </w:rPr>
            </w:pPr>
          </w:p>
        </w:tc>
        <w:tc>
          <w:tcPr>
            <w:tcW w:w="217" w:type="dxa"/>
          </w:tcPr>
          <w:p w14:paraId="34686867" w14:textId="77777777" w:rsidR="002C0FD9" w:rsidRPr="00CA25CF" w:rsidRDefault="002C0FD9" w:rsidP="00CA25CF">
            <w:pPr>
              <w:rPr>
                <w:rFonts w:cs="Arial"/>
                <w:color w:val="FF0000"/>
                <w:sz w:val="21"/>
                <w:szCs w:val="21"/>
              </w:rPr>
            </w:pPr>
          </w:p>
        </w:tc>
        <w:tc>
          <w:tcPr>
            <w:tcW w:w="217" w:type="dxa"/>
          </w:tcPr>
          <w:p w14:paraId="247A00C6" w14:textId="77777777" w:rsidR="002C0FD9" w:rsidRPr="00CA25CF" w:rsidRDefault="002C0FD9" w:rsidP="00CA25CF">
            <w:pPr>
              <w:rPr>
                <w:rFonts w:cs="Arial"/>
                <w:color w:val="FF0000"/>
                <w:sz w:val="21"/>
                <w:szCs w:val="21"/>
              </w:rPr>
            </w:pPr>
          </w:p>
        </w:tc>
        <w:tc>
          <w:tcPr>
            <w:tcW w:w="217" w:type="dxa"/>
          </w:tcPr>
          <w:p w14:paraId="777C7F19" w14:textId="77777777" w:rsidR="002C0FD9" w:rsidRPr="00CA25CF" w:rsidRDefault="002C0FD9" w:rsidP="00CA25CF">
            <w:pPr>
              <w:rPr>
                <w:rFonts w:cs="Arial"/>
                <w:color w:val="FF0000"/>
                <w:sz w:val="21"/>
                <w:szCs w:val="21"/>
              </w:rPr>
            </w:pPr>
          </w:p>
        </w:tc>
        <w:tc>
          <w:tcPr>
            <w:tcW w:w="217" w:type="dxa"/>
          </w:tcPr>
          <w:p w14:paraId="7E24D3BF" w14:textId="77777777" w:rsidR="002C0FD9" w:rsidRPr="00CA25CF" w:rsidRDefault="002C0FD9" w:rsidP="00CA25CF">
            <w:pPr>
              <w:rPr>
                <w:rFonts w:cs="Arial"/>
                <w:color w:val="FF0000"/>
                <w:sz w:val="21"/>
                <w:szCs w:val="21"/>
              </w:rPr>
            </w:pPr>
          </w:p>
        </w:tc>
        <w:tc>
          <w:tcPr>
            <w:tcW w:w="217" w:type="dxa"/>
          </w:tcPr>
          <w:p w14:paraId="65DC355B" w14:textId="77777777" w:rsidR="002C0FD9" w:rsidRPr="00CA25CF" w:rsidRDefault="002C0FD9" w:rsidP="00CA25CF">
            <w:pPr>
              <w:rPr>
                <w:rFonts w:cs="Arial"/>
                <w:color w:val="FF0000"/>
                <w:sz w:val="21"/>
                <w:szCs w:val="21"/>
              </w:rPr>
            </w:pPr>
          </w:p>
        </w:tc>
        <w:tc>
          <w:tcPr>
            <w:tcW w:w="217" w:type="dxa"/>
          </w:tcPr>
          <w:p w14:paraId="4BF7BE59" w14:textId="77777777" w:rsidR="002C0FD9" w:rsidRPr="00CA25CF" w:rsidRDefault="002C0FD9" w:rsidP="00CA25CF">
            <w:pPr>
              <w:rPr>
                <w:rFonts w:cs="Arial"/>
                <w:color w:val="FF0000"/>
                <w:sz w:val="21"/>
                <w:szCs w:val="21"/>
              </w:rPr>
            </w:pPr>
          </w:p>
        </w:tc>
        <w:tc>
          <w:tcPr>
            <w:tcW w:w="217" w:type="dxa"/>
          </w:tcPr>
          <w:p w14:paraId="7A4E3173" w14:textId="77777777" w:rsidR="002C0FD9" w:rsidRPr="00CA25CF" w:rsidRDefault="002C0FD9" w:rsidP="00CA25CF">
            <w:pPr>
              <w:rPr>
                <w:rFonts w:cs="Arial"/>
                <w:color w:val="FF0000"/>
                <w:sz w:val="21"/>
                <w:szCs w:val="21"/>
              </w:rPr>
            </w:pPr>
          </w:p>
        </w:tc>
        <w:tc>
          <w:tcPr>
            <w:tcW w:w="217" w:type="dxa"/>
          </w:tcPr>
          <w:p w14:paraId="24CBEFCE" w14:textId="77777777" w:rsidR="002C0FD9" w:rsidRPr="00CA25CF" w:rsidRDefault="002C0FD9" w:rsidP="00CA25CF">
            <w:pPr>
              <w:rPr>
                <w:rFonts w:cs="Arial"/>
                <w:color w:val="FF0000"/>
                <w:sz w:val="21"/>
                <w:szCs w:val="21"/>
              </w:rPr>
            </w:pPr>
          </w:p>
        </w:tc>
        <w:tc>
          <w:tcPr>
            <w:tcW w:w="217" w:type="dxa"/>
          </w:tcPr>
          <w:p w14:paraId="3EBB8262" w14:textId="77777777" w:rsidR="002C0FD9" w:rsidRPr="00CA25CF" w:rsidRDefault="002C0FD9" w:rsidP="00CA25CF">
            <w:pPr>
              <w:rPr>
                <w:rFonts w:cs="Arial"/>
                <w:color w:val="FF0000"/>
                <w:sz w:val="21"/>
                <w:szCs w:val="21"/>
              </w:rPr>
            </w:pPr>
          </w:p>
        </w:tc>
        <w:tc>
          <w:tcPr>
            <w:tcW w:w="217" w:type="dxa"/>
          </w:tcPr>
          <w:p w14:paraId="3A85CD8E" w14:textId="77777777" w:rsidR="002C0FD9" w:rsidRPr="00CA25CF" w:rsidRDefault="002C0FD9" w:rsidP="00CA25CF">
            <w:pPr>
              <w:rPr>
                <w:rFonts w:cs="Arial"/>
                <w:color w:val="FF0000"/>
                <w:sz w:val="21"/>
                <w:szCs w:val="21"/>
              </w:rPr>
            </w:pPr>
          </w:p>
        </w:tc>
        <w:tc>
          <w:tcPr>
            <w:tcW w:w="217" w:type="dxa"/>
          </w:tcPr>
          <w:p w14:paraId="3A2BA644" w14:textId="77777777" w:rsidR="002C0FD9" w:rsidRPr="00CA25CF" w:rsidRDefault="002C0FD9" w:rsidP="00CA25CF">
            <w:pPr>
              <w:rPr>
                <w:rFonts w:cs="Arial"/>
                <w:color w:val="FF0000"/>
                <w:sz w:val="21"/>
                <w:szCs w:val="21"/>
              </w:rPr>
            </w:pPr>
          </w:p>
        </w:tc>
        <w:tc>
          <w:tcPr>
            <w:tcW w:w="217" w:type="dxa"/>
          </w:tcPr>
          <w:p w14:paraId="379644D6" w14:textId="77777777" w:rsidR="002C0FD9" w:rsidRPr="00CA25CF" w:rsidRDefault="002C0FD9" w:rsidP="00CA25CF">
            <w:pPr>
              <w:rPr>
                <w:rFonts w:cs="Arial"/>
                <w:color w:val="FF0000"/>
                <w:sz w:val="21"/>
                <w:szCs w:val="21"/>
              </w:rPr>
            </w:pPr>
          </w:p>
        </w:tc>
        <w:tc>
          <w:tcPr>
            <w:tcW w:w="217" w:type="dxa"/>
          </w:tcPr>
          <w:p w14:paraId="1ADBA02F" w14:textId="77777777" w:rsidR="002C0FD9" w:rsidRPr="00CA25CF" w:rsidRDefault="002C0FD9" w:rsidP="00CA25CF">
            <w:pPr>
              <w:rPr>
                <w:rFonts w:cs="Arial"/>
                <w:color w:val="FF0000"/>
                <w:sz w:val="21"/>
                <w:szCs w:val="21"/>
              </w:rPr>
            </w:pPr>
          </w:p>
        </w:tc>
        <w:tc>
          <w:tcPr>
            <w:tcW w:w="217" w:type="dxa"/>
          </w:tcPr>
          <w:p w14:paraId="769CE7C3" w14:textId="77777777" w:rsidR="002C0FD9" w:rsidRPr="00CA25CF" w:rsidRDefault="002C0FD9" w:rsidP="00CA25CF">
            <w:pPr>
              <w:rPr>
                <w:rFonts w:cs="Arial"/>
                <w:color w:val="FF0000"/>
                <w:sz w:val="21"/>
                <w:szCs w:val="21"/>
              </w:rPr>
            </w:pPr>
          </w:p>
        </w:tc>
        <w:tc>
          <w:tcPr>
            <w:tcW w:w="217" w:type="dxa"/>
          </w:tcPr>
          <w:p w14:paraId="7C7428FC" w14:textId="77777777" w:rsidR="002C0FD9" w:rsidRPr="00CA25CF" w:rsidRDefault="002C0FD9" w:rsidP="00CA25CF">
            <w:pPr>
              <w:rPr>
                <w:rFonts w:cs="Arial"/>
                <w:color w:val="FF0000"/>
                <w:sz w:val="21"/>
                <w:szCs w:val="21"/>
              </w:rPr>
            </w:pPr>
          </w:p>
        </w:tc>
        <w:tc>
          <w:tcPr>
            <w:tcW w:w="217" w:type="dxa"/>
          </w:tcPr>
          <w:p w14:paraId="0F554336" w14:textId="77777777" w:rsidR="002C0FD9" w:rsidRPr="00CA25CF" w:rsidRDefault="002C0FD9" w:rsidP="00CA25CF">
            <w:pPr>
              <w:rPr>
                <w:rFonts w:cs="Arial"/>
                <w:color w:val="FF0000"/>
                <w:sz w:val="21"/>
                <w:szCs w:val="21"/>
              </w:rPr>
            </w:pPr>
          </w:p>
        </w:tc>
        <w:tc>
          <w:tcPr>
            <w:tcW w:w="217" w:type="dxa"/>
          </w:tcPr>
          <w:p w14:paraId="5500253D" w14:textId="77777777" w:rsidR="002C0FD9" w:rsidRPr="00CA25CF" w:rsidRDefault="002C0FD9" w:rsidP="00CA25CF">
            <w:pPr>
              <w:rPr>
                <w:rFonts w:cs="Arial"/>
                <w:color w:val="FF0000"/>
                <w:sz w:val="21"/>
                <w:szCs w:val="21"/>
              </w:rPr>
            </w:pPr>
          </w:p>
        </w:tc>
        <w:tc>
          <w:tcPr>
            <w:tcW w:w="217" w:type="dxa"/>
          </w:tcPr>
          <w:p w14:paraId="01A17EF7" w14:textId="77777777" w:rsidR="002C0FD9" w:rsidRPr="00CA25CF" w:rsidRDefault="002C0FD9" w:rsidP="00CA25CF">
            <w:pPr>
              <w:rPr>
                <w:rFonts w:cs="Arial"/>
                <w:color w:val="FF0000"/>
                <w:sz w:val="21"/>
                <w:szCs w:val="21"/>
              </w:rPr>
            </w:pPr>
          </w:p>
        </w:tc>
        <w:tc>
          <w:tcPr>
            <w:tcW w:w="217" w:type="dxa"/>
          </w:tcPr>
          <w:p w14:paraId="2B906921" w14:textId="77777777" w:rsidR="002C0FD9" w:rsidRPr="00CA25CF" w:rsidRDefault="002C0FD9" w:rsidP="00CA25CF">
            <w:pPr>
              <w:rPr>
                <w:rFonts w:cs="Arial"/>
                <w:color w:val="FF0000"/>
                <w:sz w:val="21"/>
                <w:szCs w:val="21"/>
              </w:rPr>
            </w:pPr>
          </w:p>
        </w:tc>
        <w:tc>
          <w:tcPr>
            <w:tcW w:w="217" w:type="dxa"/>
          </w:tcPr>
          <w:p w14:paraId="5E1DCE96" w14:textId="77777777" w:rsidR="002C0FD9" w:rsidRPr="00CA25CF" w:rsidRDefault="002C0FD9" w:rsidP="00CA25CF">
            <w:pPr>
              <w:rPr>
                <w:rFonts w:cs="Arial"/>
                <w:color w:val="FF0000"/>
                <w:sz w:val="21"/>
                <w:szCs w:val="21"/>
              </w:rPr>
            </w:pPr>
          </w:p>
        </w:tc>
        <w:tc>
          <w:tcPr>
            <w:tcW w:w="217" w:type="dxa"/>
          </w:tcPr>
          <w:p w14:paraId="388B2D4B" w14:textId="77777777" w:rsidR="002C0FD9" w:rsidRPr="00CA25CF" w:rsidRDefault="002C0FD9" w:rsidP="00CA25CF">
            <w:pPr>
              <w:rPr>
                <w:rFonts w:cs="Arial"/>
                <w:color w:val="FF0000"/>
                <w:sz w:val="21"/>
                <w:szCs w:val="21"/>
              </w:rPr>
            </w:pPr>
          </w:p>
        </w:tc>
        <w:tc>
          <w:tcPr>
            <w:tcW w:w="217" w:type="dxa"/>
          </w:tcPr>
          <w:p w14:paraId="4E555B7B" w14:textId="77777777" w:rsidR="002C0FD9" w:rsidRPr="00CA25CF" w:rsidRDefault="002C0FD9" w:rsidP="00CA25CF">
            <w:pPr>
              <w:rPr>
                <w:rFonts w:cs="Arial"/>
                <w:color w:val="FF0000"/>
                <w:sz w:val="21"/>
                <w:szCs w:val="21"/>
              </w:rPr>
            </w:pPr>
          </w:p>
        </w:tc>
        <w:tc>
          <w:tcPr>
            <w:tcW w:w="217" w:type="dxa"/>
          </w:tcPr>
          <w:p w14:paraId="3BA3513B" w14:textId="77777777" w:rsidR="002C0FD9" w:rsidRPr="00CA25CF" w:rsidRDefault="002C0FD9" w:rsidP="00CA25CF">
            <w:pPr>
              <w:rPr>
                <w:rFonts w:cs="Arial"/>
                <w:color w:val="FF0000"/>
                <w:sz w:val="21"/>
                <w:szCs w:val="21"/>
              </w:rPr>
            </w:pPr>
          </w:p>
        </w:tc>
        <w:tc>
          <w:tcPr>
            <w:tcW w:w="217" w:type="dxa"/>
          </w:tcPr>
          <w:p w14:paraId="03700C38" w14:textId="77777777" w:rsidR="002C0FD9" w:rsidRPr="00CA25CF" w:rsidRDefault="002C0FD9" w:rsidP="00CA25CF">
            <w:pPr>
              <w:rPr>
                <w:rFonts w:cs="Arial"/>
                <w:color w:val="FF0000"/>
                <w:sz w:val="21"/>
                <w:szCs w:val="21"/>
              </w:rPr>
            </w:pPr>
          </w:p>
        </w:tc>
        <w:tc>
          <w:tcPr>
            <w:tcW w:w="217" w:type="dxa"/>
          </w:tcPr>
          <w:p w14:paraId="7C917444" w14:textId="77777777" w:rsidR="002C0FD9" w:rsidRPr="00CA25CF" w:rsidRDefault="002C0FD9" w:rsidP="00CA25CF">
            <w:pPr>
              <w:rPr>
                <w:rFonts w:cs="Arial"/>
                <w:color w:val="FF0000"/>
                <w:sz w:val="21"/>
                <w:szCs w:val="21"/>
              </w:rPr>
            </w:pPr>
          </w:p>
        </w:tc>
        <w:tc>
          <w:tcPr>
            <w:tcW w:w="217" w:type="dxa"/>
          </w:tcPr>
          <w:p w14:paraId="7326502F" w14:textId="77777777" w:rsidR="002C0FD9" w:rsidRPr="00CA25CF" w:rsidRDefault="002C0FD9" w:rsidP="00CA25CF">
            <w:pPr>
              <w:rPr>
                <w:rFonts w:cs="Arial"/>
                <w:color w:val="FF0000"/>
                <w:sz w:val="21"/>
                <w:szCs w:val="21"/>
              </w:rPr>
            </w:pPr>
          </w:p>
        </w:tc>
      </w:tr>
      <w:tr w:rsidR="002C0FD9" w:rsidRPr="00A16219" w14:paraId="66F8244B" w14:textId="77777777" w:rsidTr="002C0FD9">
        <w:trPr>
          <w:trHeight w:val="635"/>
        </w:trPr>
        <w:tc>
          <w:tcPr>
            <w:tcW w:w="515" w:type="dxa"/>
          </w:tcPr>
          <w:p w14:paraId="49606FFE" w14:textId="77777777" w:rsidR="002C0FD9" w:rsidRPr="00CA25CF" w:rsidRDefault="002C0FD9" w:rsidP="00CA25CF">
            <w:pPr>
              <w:rPr>
                <w:rFonts w:cs="Arial"/>
                <w:color w:val="FF0000"/>
                <w:sz w:val="21"/>
                <w:szCs w:val="21"/>
              </w:rPr>
            </w:pPr>
          </w:p>
        </w:tc>
        <w:tc>
          <w:tcPr>
            <w:tcW w:w="217" w:type="dxa"/>
          </w:tcPr>
          <w:p w14:paraId="13B5473B" w14:textId="77777777" w:rsidR="002C0FD9" w:rsidRPr="00CA25CF" w:rsidRDefault="002C0FD9" w:rsidP="00CA25CF">
            <w:pPr>
              <w:rPr>
                <w:rFonts w:cs="Arial"/>
                <w:color w:val="FF0000"/>
                <w:sz w:val="21"/>
                <w:szCs w:val="21"/>
              </w:rPr>
            </w:pPr>
          </w:p>
        </w:tc>
        <w:tc>
          <w:tcPr>
            <w:tcW w:w="217" w:type="dxa"/>
          </w:tcPr>
          <w:p w14:paraId="2C7A61C0" w14:textId="77777777" w:rsidR="002C0FD9" w:rsidRPr="00CA25CF" w:rsidRDefault="002C0FD9" w:rsidP="00CA25CF">
            <w:pPr>
              <w:rPr>
                <w:rFonts w:cs="Arial"/>
                <w:color w:val="FF0000"/>
                <w:sz w:val="21"/>
                <w:szCs w:val="21"/>
              </w:rPr>
            </w:pPr>
          </w:p>
        </w:tc>
        <w:tc>
          <w:tcPr>
            <w:tcW w:w="217" w:type="dxa"/>
          </w:tcPr>
          <w:p w14:paraId="6E04C8E1" w14:textId="77777777" w:rsidR="002C0FD9" w:rsidRPr="00CA25CF" w:rsidRDefault="002C0FD9" w:rsidP="00CA25CF">
            <w:pPr>
              <w:rPr>
                <w:rFonts w:cs="Arial"/>
                <w:color w:val="FF0000"/>
                <w:sz w:val="21"/>
                <w:szCs w:val="21"/>
              </w:rPr>
            </w:pPr>
          </w:p>
        </w:tc>
        <w:tc>
          <w:tcPr>
            <w:tcW w:w="217" w:type="dxa"/>
          </w:tcPr>
          <w:p w14:paraId="489B608A" w14:textId="77777777" w:rsidR="002C0FD9" w:rsidRPr="00CA25CF" w:rsidRDefault="002C0FD9" w:rsidP="00CA25CF">
            <w:pPr>
              <w:rPr>
                <w:rFonts w:cs="Arial"/>
                <w:color w:val="FF0000"/>
                <w:sz w:val="21"/>
                <w:szCs w:val="21"/>
              </w:rPr>
            </w:pPr>
          </w:p>
        </w:tc>
        <w:tc>
          <w:tcPr>
            <w:tcW w:w="217" w:type="dxa"/>
          </w:tcPr>
          <w:p w14:paraId="0BD37144" w14:textId="77777777" w:rsidR="002C0FD9" w:rsidRPr="00CA25CF" w:rsidRDefault="002C0FD9" w:rsidP="00CA25CF">
            <w:pPr>
              <w:rPr>
                <w:rFonts w:cs="Arial"/>
                <w:color w:val="FF0000"/>
                <w:sz w:val="21"/>
                <w:szCs w:val="21"/>
              </w:rPr>
            </w:pPr>
          </w:p>
        </w:tc>
        <w:tc>
          <w:tcPr>
            <w:tcW w:w="217" w:type="dxa"/>
          </w:tcPr>
          <w:p w14:paraId="49ACFD18" w14:textId="77777777" w:rsidR="002C0FD9" w:rsidRPr="00CA25CF" w:rsidRDefault="002C0FD9" w:rsidP="00CA25CF">
            <w:pPr>
              <w:rPr>
                <w:rFonts w:cs="Arial"/>
                <w:color w:val="FF0000"/>
                <w:sz w:val="21"/>
                <w:szCs w:val="21"/>
              </w:rPr>
            </w:pPr>
          </w:p>
        </w:tc>
        <w:tc>
          <w:tcPr>
            <w:tcW w:w="217" w:type="dxa"/>
          </w:tcPr>
          <w:p w14:paraId="0C764ED3" w14:textId="77777777" w:rsidR="002C0FD9" w:rsidRPr="00CA25CF" w:rsidRDefault="002C0FD9" w:rsidP="00CA25CF">
            <w:pPr>
              <w:rPr>
                <w:rFonts w:cs="Arial"/>
                <w:color w:val="FF0000"/>
                <w:sz w:val="21"/>
                <w:szCs w:val="21"/>
              </w:rPr>
            </w:pPr>
          </w:p>
        </w:tc>
        <w:tc>
          <w:tcPr>
            <w:tcW w:w="217" w:type="dxa"/>
          </w:tcPr>
          <w:p w14:paraId="31BAA49C" w14:textId="77777777" w:rsidR="002C0FD9" w:rsidRPr="00CA25CF" w:rsidRDefault="002C0FD9" w:rsidP="00CA25CF">
            <w:pPr>
              <w:rPr>
                <w:rFonts w:cs="Arial"/>
                <w:color w:val="FF0000"/>
                <w:sz w:val="21"/>
                <w:szCs w:val="21"/>
              </w:rPr>
            </w:pPr>
          </w:p>
        </w:tc>
        <w:tc>
          <w:tcPr>
            <w:tcW w:w="217" w:type="dxa"/>
          </w:tcPr>
          <w:p w14:paraId="6049B1BD" w14:textId="77777777" w:rsidR="002C0FD9" w:rsidRPr="00CA25CF" w:rsidRDefault="002C0FD9" w:rsidP="00CA25CF">
            <w:pPr>
              <w:rPr>
                <w:rFonts w:cs="Arial"/>
                <w:color w:val="FF0000"/>
                <w:sz w:val="21"/>
                <w:szCs w:val="21"/>
              </w:rPr>
            </w:pPr>
          </w:p>
        </w:tc>
        <w:tc>
          <w:tcPr>
            <w:tcW w:w="217" w:type="dxa"/>
          </w:tcPr>
          <w:p w14:paraId="06347AED" w14:textId="77777777" w:rsidR="002C0FD9" w:rsidRPr="00CA25CF" w:rsidRDefault="002C0FD9" w:rsidP="00CA25CF">
            <w:pPr>
              <w:rPr>
                <w:rFonts w:cs="Arial"/>
                <w:color w:val="FF0000"/>
                <w:sz w:val="21"/>
                <w:szCs w:val="21"/>
              </w:rPr>
            </w:pPr>
          </w:p>
        </w:tc>
        <w:tc>
          <w:tcPr>
            <w:tcW w:w="217" w:type="dxa"/>
          </w:tcPr>
          <w:p w14:paraId="265C92B7" w14:textId="77777777" w:rsidR="002C0FD9" w:rsidRPr="00CA25CF" w:rsidRDefault="002C0FD9" w:rsidP="00CA25CF">
            <w:pPr>
              <w:rPr>
                <w:rFonts w:cs="Arial"/>
                <w:color w:val="FF0000"/>
                <w:sz w:val="21"/>
                <w:szCs w:val="21"/>
              </w:rPr>
            </w:pPr>
          </w:p>
        </w:tc>
        <w:tc>
          <w:tcPr>
            <w:tcW w:w="217" w:type="dxa"/>
          </w:tcPr>
          <w:p w14:paraId="48754E4C" w14:textId="77777777" w:rsidR="002C0FD9" w:rsidRPr="00CA25CF" w:rsidRDefault="002C0FD9" w:rsidP="00CA25CF">
            <w:pPr>
              <w:rPr>
                <w:rFonts w:cs="Arial"/>
                <w:color w:val="FF0000"/>
                <w:sz w:val="21"/>
                <w:szCs w:val="21"/>
              </w:rPr>
            </w:pPr>
          </w:p>
        </w:tc>
        <w:tc>
          <w:tcPr>
            <w:tcW w:w="217" w:type="dxa"/>
          </w:tcPr>
          <w:p w14:paraId="57498EF4" w14:textId="77777777" w:rsidR="002C0FD9" w:rsidRPr="00CA25CF" w:rsidRDefault="002C0FD9" w:rsidP="00CA25CF">
            <w:pPr>
              <w:rPr>
                <w:rFonts w:cs="Arial"/>
                <w:color w:val="FF0000"/>
                <w:sz w:val="21"/>
                <w:szCs w:val="21"/>
              </w:rPr>
            </w:pPr>
          </w:p>
        </w:tc>
        <w:tc>
          <w:tcPr>
            <w:tcW w:w="217" w:type="dxa"/>
          </w:tcPr>
          <w:p w14:paraId="3BFDFC36" w14:textId="77777777" w:rsidR="002C0FD9" w:rsidRPr="00CA25CF" w:rsidRDefault="002C0FD9" w:rsidP="00CA25CF">
            <w:pPr>
              <w:rPr>
                <w:rFonts w:cs="Arial"/>
                <w:color w:val="FF0000"/>
                <w:sz w:val="21"/>
                <w:szCs w:val="21"/>
              </w:rPr>
            </w:pPr>
          </w:p>
        </w:tc>
        <w:tc>
          <w:tcPr>
            <w:tcW w:w="217" w:type="dxa"/>
          </w:tcPr>
          <w:p w14:paraId="19C167BB" w14:textId="77777777" w:rsidR="002C0FD9" w:rsidRPr="00CA25CF" w:rsidRDefault="002C0FD9" w:rsidP="00CA25CF">
            <w:pPr>
              <w:rPr>
                <w:rFonts w:cs="Arial"/>
                <w:color w:val="FF0000"/>
                <w:sz w:val="21"/>
                <w:szCs w:val="21"/>
              </w:rPr>
            </w:pPr>
          </w:p>
        </w:tc>
        <w:tc>
          <w:tcPr>
            <w:tcW w:w="217" w:type="dxa"/>
          </w:tcPr>
          <w:p w14:paraId="2BB528AF" w14:textId="77777777" w:rsidR="002C0FD9" w:rsidRPr="00CA25CF" w:rsidRDefault="002C0FD9" w:rsidP="00CA25CF">
            <w:pPr>
              <w:rPr>
                <w:rFonts w:cs="Arial"/>
                <w:color w:val="FF0000"/>
                <w:sz w:val="21"/>
                <w:szCs w:val="21"/>
              </w:rPr>
            </w:pPr>
          </w:p>
        </w:tc>
        <w:tc>
          <w:tcPr>
            <w:tcW w:w="217" w:type="dxa"/>
          </w:tcPr>
          <w:p w14:paraId="5FE67A71" w14:textId="77777777" w:rsidR="002C0FD9" w:rsidRPr="00CA25CF" w:rsidRDefault="002C0FD9" w:rsidP="00CA25CF">
            <w:pPr>
              <w:rPr>
                <w:rFonts w:cs="Arial"/>
                <w:color w:val="FF0000"/>
                <w:sz w:val="21"/>
                <w:szCs w:val="21"/>
              </w:rPr>
            </w:pPr>
          </w:p>
        </w:tc>
        <w:tc>
          <w:tcPr>
            <w:tcW w:w="217" w:type="dxa"/>
          </w:tcPr>
          <w:p w14:paraId="27F43C16" w14:textId="77777777" w:rsidR="002C0FD9" w:rsidRPr="00CA25CF" w:rsidRDefault="002C0FD9" w:rsidP="00CA25CF">
            <w:pPr>
              <w:rPr>
                <w:rFonts w:cs="Arial"/>
                <w:color w:val="FF0000"/>
                <w:sz w:val="21"/>
                <w:szCs w:val="21"/>
              </w:rPr>
            </w:pPr>
          </w:p>
        </w:tc>
        <w:tc>
          <w:tcPr>
            <w:tcW w:w="217" w:type="dxa"/>
          </w:tcPr>
          <w:p w14:paraId="5FB1D535" w14:textId="77777777" w:rsidR="002C0FD9" w:rsidRPr="00CA25CF" w:rsidRDefault="002C0FD9" w:rsidP="00CA25CF">
            <w:pPr>
              <w:rPr>
                <w:rFonts w:cs="Arial"/>
                <w:color w:val="FF0000"/>
                <w:sz w:val="21"/>
                <w:szCs w:val="21"/>
              </w:rPr>
            </w:pPr>
          </w:p>
        </w:tc>
        <w:tc>
          <w:tcPr>
            <w:tcW w:w="217" w:type="dxa"/>
          </w:tcPr>
          <w:p w14:paraId="444D3B74" w14:textId="77777777" w:rsidR="002C0FD9" w:rsidRPr="00CA25CF" w:rsidRDefault="002C0FD9" w:rsidP="00CA25CF">
            <w:pPr>
              <w:rPr>
                <w:rFonts w:cs="Arial"/>
                <w:color w:val="FF0000"/>
                <w:sz w:val="21"/>
                <w:szCs w:val="21"/>
              </w:rPr>
            </w:pPr>
          </w:p>
        </w:tc>
        <w:tc>
          <w:tcPr>
            <w:tcW w:w="217" w:type="dxa"/>
          </w:tcPr>
          <w:p w14:paraId="61EEABE1" w14:textId="77777777" w:rsidR="002C0FD9" w:rsidRPr="00CA25CF" w:rsidRDefault="002C0FD9" w:rsidP="00CA25CF">
            <w:pPr>
              <w:rPr>
                <w:rFonts w:cs="Arial"/>
                <w:color w:val="FF0000"/>
                <w:sz w:val="21"/>
                <w:szCs w:val="21"/>
              </w:rPr>
            </w:pPr>
          </w:p>
        </w:tc>
        <w:tc>
          <w:tcPr>
            <w:tcW w:w="217" w:type="dxa"/>
          </w:tcPr>
          <w:p w14:paraId="1C44AF4E" w14:textId="77777777" w:rsidR="002C0FD9" w:rsidRPr="00CA25CF" w:rsidRDefault="002C0FD9" w:rsidP="00CA25CF">
            <w:pPr>
              <w:rPr>
                <w:rFonts w:cs="Arial"/>
                <w:color w:val="FF0000"/>
                <w:sz w:val="21"/>
                <w:szCs w:val="21"/>
              </w:rPr>
            </w:pPr>
          </w:p>
        </w:tc>
        <w:tc>
          <w:tcPr>
            <w:tcW w:w="217" w:type="dxa"/>
          </w:tcPr>
          <w:p w14:paraId="120611A4" w14:textId="77777777" w:rsidR="002C0FD9" w:rsidRPr="00CA25CF" w:rsidRDefault="002C0FD9" w:rsidP="00CA25CF">
            <w:pPr>
              <w:rPr>
                <w:rFonts w:cs="Arial"/>
                <w:color w:val="FF0000"/>
                <w:sz w:val="21"/>
                <w:szCs w:val="21"/>
              </w:rPr>
            </w:pPr>
          </w:p>
        </w:tc>
        <w:tc>
          <w:tcPr>
            <w:tcW w:w="217" w:type="dxa"/>
          </w:tcPr>
          <w:p w14:paraId="0DDF6CF0" w14:textId="77777777" w:rsidR="002C0FD9" w:rsidRPr="00CA25CF" w:rsidRDefault="002C0FD9" w:rsidP="00CA25CF">
            <w:pPr>
              <w:rPr>
                <w:rFonts w:cs="Arial"/>
                <w:color w:val="FF0000"/>
                <w:sz w:val="21"/>
                <w:szCs w:val="21"/>
              </w:rPr>
            </w:pPr>
          </w:p>
        </w:tc>
        <w:tc>
          <w:tcPr>
            <w:tcW w:w="217" w:type="dxa"/>
          </w:tcPr>
          <w:p w14:paraId="4F62FB0B" w14:textId="77777777" w:rsidR="002C0FD9" w:rsidRPr="00CA25CF" w:rsidRDefault="002C0FD9" w:rsidP="00CA25CF">
            <w:pPr>
              <w:rPr>
                <w:rFonts w:cs="Arial"/>
                <w:color w:val="FF0000"/>
                <w:sz w:val="21"/>
                <w:szCs w:val="21"/>
              </w:rPr>
            </w:pPr>
          </w:p>
        </w:tc>
        <w:tc>
          <w:tcPr>
            <w:tcW w:w="217" w:type="dxa"/>
          </w:tcPr>
          <w:p w14:paraId="2345B641" w14:textId="77777777" w:rsidR="002C0FD9" w:rsidRPr="00CA25CF" w:rsidRDefault="002C0FD9" w:rsidP="00CA25CF">
            <w:pPr>
              <w:rPr>
                <w:rFonts w:cs="Arial"/>
                <w:color w:val="FF0000"/>
                <w:sz w:val="21"/>
                <w:szCs w:val="21"/>
              </w:rPr>
            </w:pPr>
          </w:p>
        </w:tc>
        <w:tc>
          <w:tcPr>
            <w:tcW w:w="217" w:type="dxa"/>
          </w:tcPr>
          <w:p w14:paraId="446DAC9C" w14:textId="77777777" w:rsidR="002C0FD9" w:rsidRPr="00CA25CF" w:rsidRDefault="002C0FD9" w:rsidP="00CA25CF">
            <w:pPr>
              <w:rPr>
                <w:rFonts w:cs="Arial"/>
                <w:color w:val="FF0000"/>
                <w:sz w:val="21"/>
                <w:szCs w:val="21"/>
              </w:rPr>
            </w:pPr>
          </w:p>
        </w:tc>
        <w:tc>
          <w:tcPr>
            <w:tcW w:w="217" w:type="dxa"/>
          </w:tcPr>
          <w:p w14:paraId="3E83C413" w14:textId="77777777" w:rsidR="002C0FD9" w:rsidRPr="00CA25CF" w:rsidRDefault="002C0FD9" w:rsidP="00CA25CF">
            <w:pPr>
              <w:rPr>
                <w:rFonts w:cs="Arial"/>
                <w:color w:val="FF0000"/>
                <w:sz w:val="21"/>
                <w:szCs w:val="21"/>
              </w:rPr>
            </w:pPr>
          </w:p>
        </w:tc>
        <w:tc>
          <w:tcPr>
            <w:tcW w:w="217" w:type="dxa"/>
          </w:tcPr>
          <w:p w14:paraId="6005D9DA" w14:textId="77777777" w:rsidR="002C0FD9" w:rsidRPr="00CA25CF" w:rsidRDefault="002C0FD9" w:rsidP="00CA25CF">
            <w:pPr>
              <w:rPr>
                <w:rFonts w:cs="Arial"/>
                <w:color w:val="FF0000"/>
                <w:sz w:val="21"/>
                <w:szCs w:val="21"/>
              </w:rPr>
            </w:pPr>
          </w:p>
        </w:tc>
        <w:tc>
          <w:tcPr>
            <w:tcW w:w="217" w:type="dxa"/>
          </w:tcPr>
          <w:p w14:paraId="5B836EF0" w14:textId="77777777" w:rsidR="002C0FD9" w:rsidRPr="00CA25CF" w:rsidRDefault="002C0FD9" w:rsidP="00CA25CF">
            <w:pPr>
              <w:rPr>
                <w:rFonts w:cs="Arial"/>
                <w:color w:val="FF0000"/>
                <w:sz w:val="21"/>
                <w:szCs w:val="21"/>
              </w:rPr>
            </w:pPr>
          </w:p>
        </w:tc>
        <w:tc>
          <w:tcPr>
            <w:tcW w:w="217" w:type="dxa"/>
          </w:tcPr>
          <w:p w14:paraId="5C43D8DC" w14:textId="77777777" w:rsidR="002C0FD9" w:rsidRPr="00CA25CF" w:rsidRDefault="002C0FD9" w:rsidP="00CA25CF">
            <w:pPr>
              <w:rPr>
                <w:rFonts w:cs="Arial"/>
                <w:color w:val="FF0000"/>
                <w:sz w:val="21"/>
                <w:szCs w:val="21"/>
              </w:rPr>
            </w:pPr>
          </w:p>
        </w:tc>
        <w:tc>
          <w:tcPr>
            <w:tcW w:w="217" w:type="dxa"/>
          </w:tcPr>
          <w:p w14:paraId="31E34A70" w14:textId="77777777" w:rsidR="002C0FD9" w:rsidRPr="00CA25CF" w:rsidRDefault="002C0FD9" w:rsidP="00CA25CF">
            <w:pPr>
              <w:rPr>
                <w:rFonts w:cs="Arial"/>
                <w:color w:val="FF0000"/>
                <w:sz w:val="21"/>
                <w:szCs w:val="21"/>
              </w:rPr>
            </w:pPr>
          </w:p>
        </w:tc>
        <w:tc>
          <w:tcPr>
            <w:tcW w:w="217" w:type="dxa"/>
          </w:tcPr>
          <w:p w14:paraId="77AB6E58" w14:textId="77777777" w:rsidR="002C0FD9" w:rsidRPr="00CA25CF" w:rsidRDefault="002C0FD9" w:rsidP="00CA25CF">
            <w:pPr>
              <w:rPr>
                <w:rFonts w:cs="Arial"/>
                <w:color w:val="FF0000"/>
                <w:sz w:val="21"/>
                <w:szCs w:val="21"/>
              </w:rPr>
            </w:pPr>
          </w:p>
        </w:tc>
        <w:tc>
          <w:tcPr>
            <w:tcW w:w="217" w:type="dxa"/>
          </w:tcPr>
          <w:p w14:paraId="06B52700" w14:textId="77777777" w:rsidR="002C0FD9" w:rsidRPr="00CA25CF" w:rsidRDefault="002C0FD9" w:rsidP="00CA25CF">
            <w:pPr>
              <w:rPr>
                <w:rFonts w:cs="Arial"/>
                <w:color w:val="FF0000"/>
                <w:sz w:val="21"/>
                <w:szCs w:val="21"/>
              </w:rPr>
            </w:pPr>
          </w:p>
        </w:tc>
        <w:tc>
          <w:tcPr>
            <w:tcW w:w="217" w:type="dxa"/>
          </w:tcPr>
          <w:p w14:paraId="6EA5D63B" w14:textId="77777777" w:rsidR="002C0FD9" w:rsidRPr="00CA25CF" w:rsidRDefault="002C0FD9" w:rsidP="00CA25CF">
            <w:pPr>
              <w:rPr>
                <w:rFonts w:cs="Arial"/>
                <w:color w:val="FF0000"/>
                <w:sz w:val="21"/>
                <w:szCs w:val="21"/>
              </w:rPr>
            </w:pPr>
          </w:p>
        </w:tc>
        <w:tc>
          <w:tcPr>
            <w:tcW w:w="217" w:type="dxa"/>
          </w:tcPr>
          <w:p w14:paraId="6B188E37" w14:textId="77777777" w:rsidR="002C0FD9" w:rsidRPr="00CA25CF" w:rsidRDefault="002C0FD9" w:rsidP="00CA25CF">
            <w:pPr>
              <w:rPr>
                <w:rFonts w:cs="Arial"/>
                <w:color w:val="FF0000"/>
                <w:sz w:val="21"/>
                <w:szCs w:val="21"/>
              </w:rPr>
            </w:pPr>
          </w:p>
        </w:tc>
        <w:tc>
          <w:tcPr>
            <w:tcW w:w="217" w:type="dxa"/>
          </w:tcPr>
          <w:p w14:paraId="2814CCB1" w14:textId="77777777" w:rsidR="002C0FD9" w:rsidRPr="00CA25CF" w:rsidRDefault="002C0FD9" w:rsidP="00CA25CF">
            <w:pPr>
              <w:rPr>
                <w:rFonts w:cs="Arial"/>
                <w:color w:val="FF0000"/>
                <w:sz w:val="21"/>
                <w:szCs w:val="21"/>
              </w:rPr>
            </w:pPr>
          </w:p>
        </w:tc>
        <w:tc>
          <w:tcPr>
            <w:tcW w:w="217" w:type="dxa"/>
          </w:tcPr>
          <w:p w14:paraId="40FD6DC1" w14:textId="77777777" w:rsidR="002C0FD9" w:rsidRPr="00CA25CF" w:rsidRDefault="002C0FD9" w:rsidP="00CA25CF">
            <w:pPr>
              <w:rPr>
                <w:rFonts w:cs="Arial"/>
                <w:color w:val="FF0000"/>
                <w:sz w:val="21"/>
                <w:szCs w:val="21"/>
              </w:rPr>
            </w:pPr>
          </w:p>
        </w:tc>
        <w:tc>
          <w:tcPr>
            <w:tcW w:w="217" w:type="dxa"/>
          </w:tcPr>
          <w:p w14:paraId="55685B94" w14:textId="77777777" w:rsidR="002C0FD9" w:rsidRPr="00CA25CF" w:rsidRDefault="002C0FD9" w:rsidP="00CA25CF">
            <w:pPr>
              <w:rPr>
                <w:rFonts w:cs="Arial"/>
                <w:color w:val="FF0000"/>
                <w:sz w:val="21"/>
                <w:szCs w:val="21"/>
              </w:rPr>
            </w:pPr>
          </w:p>
        </w:tc>
        <w:tc>
          <w:tcPr>
            <w:tcW w:w="217" w:type="dxa"/>
          </w:tcPr>
          <w:p w14:paraId="1F8E2E22" w14:textId="77777777" w:rsidR="002C0FD9" w:rsidRPr="00CA25CF" w:rsidRDefault="002C0FD9" w:rsidP="00CA25CF">
            <w:pPr>
              <w:rPr>
                <w:rFonts w:cs="Arial"/>
                <w:color w:val="FF0000"/>
                <w:sz w:val="21"/>
                <w:szCs w:val="21"/>
              </w:rPr>
            </w:pPr>
          </w:p>
        </w:tc>
        <w:tc>
          <w:tcPr>
            <w:tcW w:w="217" w:type="dxa"/>
          </w:tcPr>
          <w:p w14:paraId="2C8CA160" w14:textId="77777777" w:rsidR="002C0FD9" w:rsidRPr="00CA25CF" w:rsidRDefault="002C0FD9" w:rsidP="00CA25CF">
            <w:pPr>
              <w:rPr>
                <w:rFonts w:cs="Arial"/>
                <w:color w:val="FF0000"/>
                <w:sz w:val="21"/>
                <w:szCs w:val="21"/>
              </w:rPr>
            </w:pPr>
          </w:p>
        </w:tc>
        <w:tc>
          <w:tcPr>
            <w:tcW w:w="217" w:type="dxa"/>
          </w:tcPr>
          <w:p w14:paraId="2A179D3E" w14:textId="77777777" w:rsidR="002C0FD9" w:rsidRPr="00CA25CF" w:rsidRDefault="002C0FD9" w:rsidP="00CA25CF">
            <w:pPr>
              <w:rPr>
                <w:rFonts w:cs="Arial"/>
                <w:color w:val="FF0000"/>
                <w:sz w:val="21"/>
                <w:szCs w:val="21"/>
              </w:rPr>
            </w:pPr>
          </w:p>
        </w:tc>
      </w:tr>
      <w:tr w:rsidR="002C0FD9" w:rsidRPr="00A16219" w14:paraId="2C20DAE3" w14:textId="77777777" w:rsidTr="002C0FD9">
        <w:trPr>
          <w:trHeight w:val="635"/>
        </w:trPr>
        <w:tc>
          <w:tcPr>
            <w:tcW w:w="515" w:type="dxa"/>
          </w:tcPr>
          <w:p w14:paraId="58954A1B" w14:textId="77777777" w:rsidR="002C0FD9" w:rsidRPr="00CA25CF" w:rsidRDefault="002C0FD9" w:rsidP="00CA25CF">
            <w:pPr>
              <w:rPr>
                <w:rFonts w:cs="Arial"/>
                <w:color w:val="FF0000"/>
                <w:sz w:val="21"/>
                <w:szCs w:val="21"/>
              </w:rPr>
            </w:pPr>
          </w:p>
        </w:tc>
        <w:tc>
          <w:tcPr>
            <w:tcW w:w="217" w:type="dxa"/>
          </w:tcPr>
          <w:p w14:paraId="7248C71F" w14:textId="77777777" w:rsidR="002C0FD9" w:rsidRPr="00CA25CF" w:rsidRDefault="002C0FD9" w:rsidP="00CA25CF">
            <w:pPr>
              <w:rPr>
                <w:rFonts w:cs="Arial"/>
                <w:color w:val="FF0000"/>
                <w:sz w:val="21"/>
                <w:szCs w:val="21"/>
              </w:rPr>
            </w:pPr>
          </w:p>
        </w:tc>
        <w:tc>
          <w:tcPr>
            <w:tcW w:w="217" w:type="dxa"/>
          </w:tcPr>
          <w:p w14:paraId="6D0BDDE1" w14:textId="77777777" w:rsidR="002C0FD9" w:rsidRPr="00CA25CF" w:rsidRDefault="002C0FD9" w:rsidP="00CA25CF">
            <w:pPr>
              <w:rPr>
                <w:rFonts w:cs="Arial"/>
                <w:color w:val="FF0000"/>
                <w:sz w:val="21"/>
                <w:szCs w:val="21"/>
              </w:rPr>
            </w:pPr>
          </w:p>
        </w:tc>
        <w:tc>
          <w:tcPr>
            <w:tcW w:w="217" w:type="dxa"/>
          </w:tcPr>
          <w:p w14:paraId="7B4BF70C" w14:textId="77777777" w:rsidR="002C0FD9" w:rsidRPr="00CA25CF" w:rsidRDefault="002C0FD9" w:rsidP="00CA25CF">
            <w:pPr>
              <w:rPr>
                <w:rFonts w:cs="Arial"/>
                <w:color w:val="FF0000"/>
                <w:sz w:val="21"/>
                <w:szCs w:val="21"/>
              </w:rPr>
            </w:pPr>
          </w:p>
        </w:tc>
        <w:tc>
          <w:tcPr>
            <w:tcW w:w="217" w:type="dxa"/>
          </w:tcPr>
          <w:p w14:paraId="2C51805F" w14:textId="77777777" w:rsidR="002C0FD9" w:rsidRPr="00CA25CF" w:rsidRDefault="002C0FD9" w:rsidP="00CA25CF">
            <w:pPr>
              <w:rPr>
                <w:rFonts w:cs="Arial"/>
                <w:color w:val="FF0000"/>
                <w:sz w:val="21"/>
                <w:szCs w:val="21"/>
              </w:rPr>
            </w:pPr>
          </w:p>
        </w:tc>
        <w:tc>
          <w:tcPr>
            <w:tcW w:w="217" w:type="dxa"/>
          </w:tcPr>
          <w:p w14:paraId="4DB67D79" w14:textId="77777777" w:rsidR="002C0FD9" w:rsidRPr="00CA25CF" w:rsidRDefault="002C0FD9" w:rsidP="00CA25CF">
            <w:pPr>
              <w:rPr>
                <w:rFonts w:cs="Arial"/>
                <w:color w:val="FF0000"/>
                <w:sz w:val="21"/>
                <w:szCs w:val="21"/>
              </w:rPr>
            </w:pPr>
          </w:p>
        </w:tc>
        <w:tc>
          <w:tcPr>
            <w:tcW w:w="217" w:type="dxa"/>
          </w:tcPr>
          <w:p w14:paraId="6CF8774D" w14:textId="77777777" w:rsidR="002C0FD9" w:rsidRPr="00CA25CF" w:rsidRDefault="002C0FD9" w:rsidP="00CA25CF">
            <w:pPr>
              <w:rPr>
                <w:rFonts w:cs="Arial"/>
                <w:color w:val="FF0000"/>
                <w:sz w:val="21"/>
                <w:szCs w:val="21"/>
              </w:rPr>
            </w:pPr>
          </w:p>
        </w:tc>
        <w:tc>
          <w:tcPr>
            <w:tcW w:w="217" w:type="dxa"/>
          </w:tcPr>
          <w:p w14:paraId="1305B7D7" w14:textId="77777777" w:rsidR="002C0FD9" w:rsidRPr="00CA25CF" w:rsidRDefault="002C0FD9" w:rsidP="00CA25CF">
            <w:pPr>
              <w:rPr>
                <w:rFonts w:cs="Arial"/>
                <w:color w:val="FF0000"/>
                <w:sz w:val="21"/>
                <w:szCs w:val="21"/>
              </w:rPr>
            </w:pPr>
          </w:p>
        </w:tc>
        <w:tc>
          <w:tcPr>
            <w:tcW w:w="217" w:type="dxa"/>
          </w:tcPr>
          <w:p w14:paraId="5D6A781D" w14:textId="77777777" w:rsidR="002C0FD9" w:rsidRPr="00CA25CF" w:rsidRDefault="002C0FD9" w:rsidP="00CA25CF">
            <w:pPr>
              <w:rPr>
                <w:rFonts w:cs="Arial"/>
                <w:color w:val="FF0000"/>
                <w:sz w:val="21"/>
                <w:szCs w:val="21"/>
              </w:rPr>
            </w:pPr>
          </w:p>
        </w:tc>
        <w:tc>
          <w:tcPr>
            <w:tcW w:w="217" w:type="dxa"/>
          </w:tcPr>
          <w:p w14:paraId="588ED58A" w14:textId="77777777" w:rsidR="002C0FD9" w:rsidRPr="00CA25CF" w:rsidRDefault="002C0FD9" w:rsidP="00CA25CF">
            <w:pPr>
              <w:rPr>
                <w:rFonts w:cs="Arial"/>
                <w:color w:val="FF0000"/>
                <w:sz w:val="21"/>
                <w:szCs w:val="21"/>
              </w:rPr>
            </w:pPr>
          </w:p>
        </w:tc>
        <w:tc>
          <w:tcPr>
            <w:tcW w:w="217" w:type="dxa"/>
          </w:tcPr>
          <w:p w14:paraId="7AA2E346" w14:textId="77777777" w:rsidR="002C0FD9" w:rsidRPr="00CA25CF" w:rsidRDefault="002C0FD9" w:rsidP="00CA25CF">
            <w:pPr>
              <w:rPr>
                <w:rFonts w:cs="Arial"/>
                <w:color w:val="FF0000"/>
                <w:sz w:val="21"/>
                <w:szCs w:val="21"/>
              </w:rPr>
            </w:pPr>
          </w:p>
        </w:tc>
        <w:tc>
          <w:tcPr>
            <w:tcW w:w="217" w:type="dxa"/>
          </w:tcPr>
          <w:p w14:paraId="55F5F3F5" w14:textId="77777777" w:rsidR="002C0FD9" w:rsidRPr="00CA25CF" w:rsidRDefault="002C0FD9" w:rsidP="00CA25CF">
            <w:pPr>
              <w:rPr>
                <w:rFonts w:cs="Arial"/>
                <w:color w:val="FF0000"/>
                <w:sz w:val="21"/>
                <w:szCs w:val="21"/>
              </w:rPr>
            </w:pPr>
          </w:p>
        </w:tc>
        <w:tc>
          <w:tcPr>
            <w:tcW w:w="217" w:type="dxa"/>
          </w:tcPr>
          <w:p w14:paraId="579CDDB0" w14:textId="77777777" w:rsidR="002C0FD9" w:rsidRPr="00CA25CF" w:rsidRDefault="002C0FD9" w:rsidP="00CA25CF">
            <w:pPr>
              <w:rPr>
                <w:rFonts w:cs="Arial"/>
                <w:color w:val="FF0000"/>
                <w:sz w:val="21"/>
                <w:szCs w:val="21"/>
              </w:rPr>
            </w:pPr>
          </w:p>
        </w:tc>
        <w:tc>
          <w:tcPr>
            <w:tcW w:w="217" w:type="dxa"/>
          </w:tcPr>
          <w:p w14:paraId="37F1810E" w14:textId="77777777" w:rsidR="002C0FD9" w:rsidRPr="00CA25CF" w:rsidRDefault="002C0FD9" w:rsidP="00CA25CF">
            <w:pPr>
              <w:rPr>
                <w:rFonts w:cs="Arial"/>
                <w:color w:val="FF0000"/>
                <w:sz w:val="21"/>
                <w:szCs w:val="21"/>
              </w:rPr>
            </w:pPr>
          </w:p>
        </w:tc>
        <w:tc>
          <w:tcPr>
            <w:tcW w:w="217" w:type="dxa"/>
          </w:tcPr>
          <w:p w14:paraId="46F0C0F0" w14:textId="77777777" w:rsidR="002C0FD9" w:rsidRPr="00CA25CF" w:rsidRDefault="002C0FD9" w:rsidP="00CA25CF">
            <w:pPr>
              <w:rPr>
                <w:rFonts w:cs="Arial"/>
                <w:color w:val="FF0000"/>
                <w:sz w:val="21"/>
                <w:szCs w:val="21"/>
              </w:rPr>
            </w:pPr>
          </w:p>
        </w:tc>
        <w:tc>
          <w:tcPr>
            <w:tcW w:w="217" w:type="dxa"/>
          </w:tcPr>
          <w:p w14:paraId="1D26A2A3" w14:textId="77777777" w:rsidR="002C0FD9" w:rsidRPr="00CA25CF" w:rsidRDefault="002C0FD9" w:rsidP="00CA25CF">
            <w:pPr>
              <w:rPr>
                <w:rFonts w:cs="Arial"/>
                <w:color w:val="FF0000"/>
                <w:sz w:val="21"/>
                <w:szCs w:val="21"/>
              </w:rPr>
            </w:pPr>
          </w:p>
        </w:tc>
        <w:tc>
          <w:tcPr>
            <w:tcW w:w="217" w:type="dxa"/>
          </w:tcPr>
          <w:p w14:paraId="6E3A0CD2" w14:textId="77777777" w:rsidR="002C0FD9" w:rsidRPr="00CA25CF" w:rsidRDefault="002C0FD9" w:rsidP="00CA25CF">
            <w:pPr>
              <w:rPr>
                <w:rFonts w:cs="Arial"/>
                <w:color w:val="FF0000"/>
                <w:sz w:val="21"/>
                <w:szCs w:val="21"/>
              </w:rPr>
            </w:pPr>
          </w:p>
        </w:tc>
        <w:tc>
          <w:tcPr>
            <w:tcW w:w="217" w:type="dxa"/>
          </w:tcPr>
          <w:p w14:paraId="440ACAAD" w14:textId="77777777" w:rsidR="002C0FD9" w:rsidRPr="00CA25CF" w:rsidRDefault="002C0FD9" w:rsidP="00CA25CF">
            <w:pPr>
              <w:rPr>
                <w:rFonts w:cs="Arial"/>
                <w:color w:val="FF0000"/>
                <w:sz w:val="21"/>
                <w:szCs w:val="21"/>
              </w:rPr>
            </w:pPr>
          </w:p>
        </w:tc>
        <w:tc>
          <w:tcPr>
            <w:tcW w:w="217" w:type="dxa"/>
          </w:tcPr>
          <w:p w14:paraId="6D0E2862" w14:textId="77777777" w:rsidR="002C0FD9" w:rsidRPr="00CA25CF" w:rsidRDefault="002C0FD9" w:rsidP="00CA25CF">
            <w:pPr>
              <w:rPr>
                <w:rFonts w:cs="Arial"/>
                <w:color w:val="FF0000"/>
                <w:sz w:val="21"/>
                <w:szCs w:val="21"/>
              </w:rPr>
            </w:pPr>
          </w:p>
        </w:tc>
        <w:tc>
          <w:tcPr>
            <w:tcW w:w="217" w:type="dxa"/>
          </w:tcPr>
          <w:p w14:paraId="53303A20" w14:textId="77777777" w:rsidR="002C0FD9" w:rsidRPr="00CA25CF" w:rsidRDefault="002C0FD9" w:rsidP="00CA25CF">
            <w:pPr>
              <w:rPr>
                <w:rFonts w:cs="Arial"/>
                <w:color w:val="FF0000"/>
                <w:sz w:val="21"/>
                <w:szCs w:val="21"/>
              </w:rPr>
            </w:pPr>
          </w:p>
        </w:tc>
        <w:tc>
          <w:tcPr>
            <w:tcW w:w="217" w:type="dxa"/>
          </w:tcPr>
          <w:p w14:paraId="7C32C77F" w14:textId="77777777" w:rsidR="002C0FD9" w:rsidRPr="00CA25CF" w:rsidRDefault="002C0FD9" w:rsidP="00CA25CF">
            <w:pPr>
              <w:rPr>
                <w:rFonts w:cs="Arial"/>
                <w:color w:val="FF0000"/>
                <w:sz w:val="21"/>
                <w:szCs w:val="21"/>
              </w:rPr>
            </w:pPr>
          </w:p>
        </w:tc>
        <w:tc>
          <w:tcPr>
            <w:tcW w:w="217" w:type="dxa"/>
          </w:tcPr>
          <w:p w14:paraId="431C463A" w14:textId="77777777" w:rsidR="002C0FD9" w:rsidRPr="00CA25CF" w:rsidRDefault="002C0FD9" w:rsidP="00CA25CF">
            <w:pPr>
              <w:rPr>
                <w:rFonts w:cs="Arial"/>
                <w:color w:val="FF0000"/>
                <w:sz w:val="21"/>
                <w:szCs w:val="21"/>
              </w:rPr>
            </w:pPr>
          </w:p>
        </w:tc>
        <w:tc>
          <w:tcPr>
            <w:tcW w:w="217" w:type="dxa"/>
          </w:tcPr>
          <w:p w14:paraId="2EBEF8E9" w14:textId="77777777" w:rsidR="002C0FD9" w:rsidRPr="00CA25CF" w:rsidRDefault="002C0FD9" w:rsidP="00CA25CF">
            <w:pPr>
              <w:rPr>
                <w:rFonts w:cs="Arial"/>
                <w:color w:val="FF0000"/>
                <w:sz w:val="21"/>
                <w:szCs w:val="21"/>
              </w:rPr>
            </w:pPr>
          </w:p>
        </w:tc>
        <w:tc>
          <w:tcPr>
            <w:tcW w:w="217" w:type="dxa"/>
          </w:tcPr>
          <w:p w14:paraId="6F5FD450" w14:textId="77777777" w:rsidR="002C0FD9" w:rsidRPr="00CA25CF" w:rsidRDefault="002C0FD9" w:rsidP="00CA25CF">
            <w:pPr>
              <w:rPr>
                <w:rFonts w:cs="Arial"/>
                <w:color w:val="FF0000"/>
                <w:sz w:val="21"/>
                <w:szCs w:val="21"/>
              </w:rPr>
            </w:pPr>
          </w:p>
        </w:tc>
        <w:tc>
          <w:tcPr>
            <w:tcW w:w="217" w:type="dxa"/>
          </w:tcPr>
          <w:p w14:paraId="4A6100D1" w14:textId="77777777" w:rsidR="002C0FD9" w:rsidRPr="00CA25CF" w:rsidRDefault="002C0FD9" w:rsidP="00CA25CF">
            <w:pPr>
              <w:rPr>
                <w:rFonts w:cs="Arial"/>
                <w:color w:val="FF0000"/>
                <w:sz w:val="21"/>
                <w:szCs w:val="21"/>
              </w:rPr>
            </w:pPr>
          </w:p>
        </w:tc>
        <w:tc>
          <w:tcPr>
            <w:tcW w:w="217" w:type="dxa"/>
          </w:tcPr>
          <w:p w14:paraId="0669203B" w14:textId="77777777" w:rsidR="002C0FD9" w:rsidRPr="00CA25CF" w:rsidRDefault="002C0FD9" w:rsidP="00CA25CF">
            <w:pPr>
              <w:rPr>
                <w:rFonts w:cs="Arial"/>
                <w:color w:val="FF0000"/>
                <w:sz w:val="21"/>
                <w:szCs w:val="21"/>
              </w:rPr>
            </w:pPr>
          </w:p>
        </w:tc>
        <w:tc>
          <w:tcPr>
            <w:tcW w:w="217" w:type="dxa"/>
          </w:tcPr>
          <w:p w14:paraId="0A0623CB" w14:textId="77777777" w:rsidR="002C0FD9" w:rsidRPr="00CA25CF" w:rsidRDefault="002C0FD9" w:rsidP="00CA25CF">
            <w:pPr>
              <w:rPr>
                <w:rFonts w:cs="Arial"/>
                <w:color w:val="FF0000"/>
                <w:sz w:val="21"/>
                <w:szCs w:val="21"/>
              </w:rPr>
            </w:pPr>
          </w:p>
        </w:tc>
        <w:tc>
          <w:tcPr>
            <w:tcW w:w="217" w:type="dxa"/>
          </w:tcPr>
          <w:p w14:paraId="2897EA9B" w14:textId="77777777" w:rsidR="002C0FD9" w:rsidRPr="00CA25CF" w:rsidRDefault="002C0FD9" w:rsidP="00CA25CF">
            <w:pPr>
              <w:rPr>
                <w:rFonts w:cs="Arial"/>
                <w:color w:val="FF0000"/>
                <w:sz w:val="21"/>
                <w:szCs w:val="21"/>
              </w:rPr>
            </w:pPr>
          </w:p>
        </w:tc>
        <w:tc>
          <w:tcPr>
            <w:tcW w:w="217" w:type="dxa"/>
          </w:tcPr>
          <w:p w14:paraId="670FF733" w14:textId="77777777" w:rsidR="002C0FD9" w:rsidRPr="00CA25CF" w:rsidRDefault="002C0FD9" w:rsidP="00CA25CF">
            <w:pPr>
              <w:rPr>
                <w:rFonts w:cs="Arial"/>
                <w:color w:val="FF0000"/>
                <w:sz w:val="21"/>
                <w:szCs w:val="21"/>
              </w:rPr>
            </w:pPr>
          </w:p>
        </w:tc>
        <w:tc>
          <w:tcPr>
            <w:tcW w:w="217" w:type="dxa"/>
          </w:tcPr>
          <w:p w14:paraId="6A8B56E3" w14:textId="77777777" w:rsidR="002C0FD9" w:rsidRPr="00CA25CF" w:rsidRDefault="002C0FD9" w:rsidP="00CA25CF">
            <w:pPr>
              <w:rPr>
                <w:rFonts w:cs="Arial"/>
                <w:color w:val="FF0000"/>
                <w:sz w:val="21"/>
                <w:szCs w:val="21"/>
              </w:rPr>
            </w:pPr>
          </w:p>
        </w:tc>
        <w:tc>
          <w:tcPr>
            <w:tcW w:w="217" w:type="dxa"/>
          </w:tcPr>
          <w:p w14:paraId="7E9129DD" w14:textId="77777777" w:rsidR="002C0FD9" w:rsidRPr="00CA25CF" w:rsidRDefault="002C0FD9" w:rsidP="00CA25CF">
            <w:pPr>
              <w:rPr>
                <w:rFonts w:cs="Arial"/>
                <w:color w:val="FF0000"/>
                <w:sz w:val="21"/>
                <w:szCs w:val="21"/>
              </w:rPr>
            </w:pPr>
          </w:p>
        </w:tc>
        <w:tc>
          <w:tcPr>
            <w:tcW w:w="217" w:type="dxa"/>
          </w:tcPr>
          <w:p w14:paraId="21FFF69A" w14:textId="77777777" w:rsidR="002C0FD9" w:rsidRPr="00CA25CF" w:rsidRDefault="002C0FD9" w:rsidP="00CA25CF">
            <w:pPr>
              <w:rPr>
                <w:rFonts w:cs="Arial"/>
                <w:color w:val="FF0000"/>
                <w:sz w:val="21"/>
                <w:szCs w:val="21"/>
              </w:rPr>
            </w:pPr>
          </w:p>
        </w:tc>
        <w:tc>
          <w:tcPr>
            <w:tcW w:w="217" w:type="dxa"/>
          </w:tcPr>
          <w:p w14:paraId="73A43A66" w14:textId="77777777" w:rsidR="002C0FD9" w:rsidRPr="00CA25CF" w:rsidRDefault="002C0FD9" w:rsidP="00CA25CF">
            <w:pPr>
              <w:rPr>
                <w:rFonts w:cs="Arial"/>
                <w:color w:val="FF0000"/>
                <w:sz w:val="21"/>
                <w:szCs w:val="21"/>
              </w:rPr>
            </w:pPr>
          </w:p>
        </w:tc>
        <w:tc>
          <w:tcPr>
            <w:tcW w:w="217" w:type="dxa"/>
          </w:tcPr>
          <w:p w14:paraId="7E614DB1" w14:textId="77777777" w:rsidR="002C0FD9" w:rsidRPr="00CA25CF" w:rsidRDefault="002C0FD9" w:rsidP="00CA25CF">
            <w:pPr>
              <w:rPr>
                <w:rFonts w:cs="Arial"/>
                <w:color w:val="FF0000"/>
                <w:sz w:val="21"/>
                <w:szCs w:val="21"/>
              </w:rPr>
            </w:pPr>
          </w:p>
        </w:tc>
        <w:tc>
          <w:tcPr>
            <w:tcW w:w="217" w:type="dxa"/>
          </w:tcPr>
          <w:p w14:paraId="75EE7C0E" w14:textId="77777777" w:rsidR="002C0FD9" w:rsidRPr="00CA25CF" w:rsidRDefault="002C0FD9" w:rsidP="00CA25CF">
            <w:pPr>
              <w:rPr>
                <w:rFonts w:cs="Arial"/>
                <w:color w:val="FF0000"/>
                <w:sz w:val="21"/>
                <w:szCs w:val="21"/>
              </w:rPr>
            </w:pPr>
          </w:p>
        </w:tc>
        <w:tc>
          <w:tcPr>
            <w:tcW w:w="217" w:type="dxa"/>
          </w:tcPr>
          <w:p w14:paraId="591A0F8F" w14:textId="77777777" w:rsidR="002C0FD9" w:rsidRPr="00CA25CF" w:rsidRDefault="002C0FD9" w:rsidP="00CA25CF">
            <w:pPr>
              <w:rPr>
                <w:rFonts w:cs="Arial"/>
                <w:color w:val="FF0000"/>
                <w:sz w:val="21"/>
                <w:szCs w:val="21"/>
              </w:rPr>
            </w:pPr>
          </w:p>
        </w:tc>
        <w:tc>
          <w:tcPr>
            <w:tcW w:w="217" w:type="dxa"/>
          </w:tcPr>
          <w:p w14:paraId="57D3BF22" w14:textId="77777777" w:rsidR="002C0FD9" w:rsidRPr="00CA25CF" w:rsidRDefault="002C0FD9" w:rsidP="00CA25CF">
            <w:pPr>
              <w:rPr>
                <w:rFonts w:cs="Arial"/>
                <w:color w:val="FF0000"/>
                <w:sz w:val="21"/>
                <w:szCs w:val="21"/>
              </w:rPr>
            </w:pPr>
          </w:p>
        </w:tc>
        <w:tc>
          <w:tcPr>
            <w:tcW w:w="217" w:type="dxa"/>
          </w:tcPr>
          <w:p w14:paraId="7158618D" w14:textId="77777777" w:rsidR="002C0FD9" w:rsidRPr="00CA25CF" w:rsidRDefault="002C0FD9" w:rsidP="00CA25CF">
            <w:pPr>
              <w:rPr>
                <w:rFonts w:cs="Arial"/>
                <w:color w:val="FF0000"/>
                <w:sz w:val="21"/>
                <w:szCs w:val="21"/>
              </w:rPr>
            </w:pPr>
          </w:p>
        </w:tc>
        <w:tc>
          <w:tcPr>
            <w:tcW w:w="217" w:type="dxa"/>
          </w:tcPr>
          <w:p w14:paraId="66A35522" w14:textId="77777777" w:rsidR="002C0FD9" w:rsidRPr="00CA25CF" w:rsidRDefault="002C0FD9" w:rsidP="00CA25CF">
            <w:pPr>
              <w:rPr>
                <w:rFonts w:cs="Arial"/>
                <w:color w:val="FF0000"/>
                <w:sz w:val="21"/>
                <w:szCs w:val="21"/>
              </w:rPr>
            </w:pPr>
          </w:p>
        </w:tc>
        <w:tc>
          <w:tcPr>
            <w:tcW w:w="217" w:type="dxa"/>
          </w:tcPr>
          <w:p w14:paraId="2305DD62" w14:textId="77777777" w:rsidR="002C0FD9" w:rsidRPr="00CA25CF" w:rsidRDefault="002C0FD9" w:rsidP="00CA25CF">
            <w:pPr>
              <w:rPr>
                <w:rFonts w:cs="Arial"/>
                <w:color w:val="FF0000"/>
                <w:sz w:val="21"/>
                <w:szCs w:val="21"/>
              </w:rPr>
            </w:pPr>
          </w:p>
        </w:tc>
        <w:tc>
          <w:tcPr>
            <w:tcW w:w="217" w:type="dxa"/>
          </w:tcPr>
          <w:p w14:paraId="330ABEE3" w14:textId="77777777" w:rsidR="002C0FD9" w:rsidRPr="00CA25CF" w:rsidRDefault="002C0FD9" w:rsidP="00CA25CF">
            <w:pPr>
              <w:rPr>
                <w:rFonts w:cs="Arial"/>
                <w:color w:val="FF0000"/>
                <w:sz w:val="21"/>
                <w:szCs w:val="21"/>
              </w:rPr>
            </w:pPr>
          </w:p>
        </w:tc>
        <w:tc>
          <w:tcPr>
            <w:tcW w:w="217" w:type="dxa"/>
          </w:tcPr>
          <w:p w14:paraId="3E49CC7A" w14:textId="77777777" w:rsidR="002C0FD9" w:rsidRPr="00CA25CF" w:rsidRDefault="002C0FD9" w:rsidP="00CA25CF">
            <w:pPr>
              <w:rPr>
                <w:rFonts w:cs="Arial"/>
                <w:color w:val="FF0000"/>
                <w:sz w:val="21"/>
                <w:szCs w:val="21"/>
              </w:rPr>
            </w:pPr>
          </w:p>
        </w:tc>
        <w:tc>
          <w:tcPr>
            <w:tcW w:w="217" w:type="dxa"/>
          </w:tcPr>
          <w:p w14:paraId="30363F22" w14:textId="77777777" w:rsidR="002C0FD9" w:rsidRPr="00CA25CF" w:rsidRDefault="002C0FD9" w:rsidP="00CA25CF">
            <w:pPr>
              <w:rPr>
                <w:rFonts w:cs="Arial"/>
                <w:color w:val="FF0000"/>
                <w:sz w:val="21"/>
                <w:szCs w:val="21"/>
              </w:rPr>
            </w:pPr>
          </w:p>
        </w:tc>
      </w:tr>
      <w:tr w:rsidR="002C0FD9" w:rsidRPr="00A16219" w14:paraId="08A97E28" w14:textId="77777777" w:rsidTr="002C0FD9">
        <w:trPr>
          <w:trHeight w:val="635"/>
        </w:trPr>
        <w:tc>
          <w:tcPr>
            <w:tcW w:w="515" w:type="dxa"/>
          </w:tcPr>
          <w:p w14:paraId="037A00A6" w14:textId="77777777" w:rsidR="002C0FD9" w:rsidRPr="00CA25CF" w:rsidRDefault="002C0FD9" w:rsidP="00CA25CF">
            <w:pPr>
              <w:rPr>
                <w:rFonts w:cs="Arial"/>
                <w:color w:val="FF0000"/>
                <w:sz w:val="21"/>
                <w:szCs w:val="21"/>
              </w:rPr>
            </w:pPr>
          </w:p>
        </w:tc>
        <w:tc>
          <w:tcPr>
            <w:tcW w:w="217" w:type="dxa"/>
          </w:tcPr>
          <w:p w14:paraId="7A778D09" w14:textId="77777777" w:rsidR="002C0FD9" w:rsidRPr="00CA25CF" w:rsidRDefault="002C0FD9" w:rsidP="00CA25CF">
            <w:pPr>
              <w:rPr>
                <w:rFonts w:cs="Arial"/>
                <w:color w:val="FF0000"/>
                <w:sz w:val="21"/>
                <w:szCs w:val="21"/>
              </w:rPr>
            </w:pPr>
          </w:p>
        </w:tc>
        <w:tc>
          <w:tcPr>
            <w:tcW w:w="217" w:type="dxa"/>
          </w:tcPr>
          <w:p w14:paraId="576A7CF7" w14:textId="77777777" w:rsidR="002C0FD9" w:rsidRPr="00CA25CF" w:rsidRDefault="002C0FD9" w:rsidP="00CA25CF">
            <w:pPr>
              <w:rPr>
                <w:rFonts w:cs="Arial"/>
                <w:color w:val="FF0000"/>
                <w:sz w:val="21"/>
                <w:szCs w:val="21"/>
              </w:rPr>
            </w:pPr>
          </w:p>
        </w:tc>
        <w:tc>
          <w:tcPr>
            <w:tcW w:w="217" w:type="dxa"/>
          </w:tcPr>
          <w:p w14:paraId="2B4902BF" w14:textId="77777777" w:rsidR="002C0FD9" w:rsidRPr="00CA25CF" w:rsidRDefault="002C0FD9" w:rsidP="00CA25CF">
            <w:pPr>
              <w:rPr>
                <w:rFonts w:cs="Arial"/>
                <w:color w:val="FF0000"/>
                <w:sz w:val="21"/>
                <w:szCs w:val="21"/>
              </w:rPr>
            </w:pPr>
          </w:p>
        </w:tc>
        <w:tc>
          <w:tcPr>
            <w:tcW w:w="217" w:type="dxa"/>
          </w:tcPr>
          <w:p w14:paraId="2AFB2C42" w14:textId="77777777" w:rsidR="002C0FD9" w:rsidRPr="00CA25CF" w:rsidRDefault="002C0FD9" w:rsidP="00CA25CF">
            <w:pPr>
              <w:rPr>
                <w:rFonts w:cs="Arial"/>
                <w:color w:val="FF0000"/>
                <w:sz w:val="21"/>
                <w:szCs w:val="21"/>
              </w:rPr>
            </w:pPr>
          </w:p>
        </w:tc>
        <w:tc>
          <w:tcPr>
            <w:tcW w:w="217" w:type="dxa"/>
          </w:tcPr>
          <w:p w14:paraId="00DDB5C6" w14:textId="77777777" w:rsidR="002C0FD9" w:rsidRPr="00CA25CF" w:rsidRDefault="002C0FD9" w:rsidP="00CA25CF">
            <w:pPr>
              <w:rPr>
                <w:rFonts w:cs="Arial"/>
                <w:color w:val="FF0000"/>
                <w:sz w:val="21"/>
                <w:szCs w:val="21"/>
              </w:rPr>
            </w:pPr>
          </w:p>
        </w:tc>
        <w:tc>
          <w:tcPr>
            <w:tcW w:w="217" w:type="dxa"/>
          </w:tcPr>
          <w:p w14:paraId="54931F95" w14:textId="77777777" w:rsidR="002C0FD9" w:rsidRPr="00CA25CF" w:rsidRDefault="002C0FD9" w:rsidP="00CA25CF">
            <w:pPr>
              <w:rPr>
                <w:rFonts w:cs="Arial"/>
                <w:color w:val="FF0000"/>
                <w:sz w:val="21"/>
                <w:szCs w:val="21"/>
              </w:rPr>
            </w:pPr>
          </w:p>
        </w:tc>
        <w:tc>
          <w:tcPr>
            <w:tcW w:w="217" w:type="dxa"/>
          </w:tcPr>
          <w:p w14:paraId="2B2F68E1" w14:textId="77777777" w:rsidR="002C0FD9" w:rsidRPr="00CA25CF" w:rsidRDefault="002C0FD9" w:rsidP="00CA25CF">
            <w:pPr>
              <w:rPr>
                <w:rFonts w:cs="Arial"/>
                <w:color w:val="FF0000"/>
                <w:sz w:val="21"/>
                <w:szCs w:val="21"/>
              </w:rPr>
            </w:pPr>
          </w:p>
        </w:tc>
        <w:tc>
          <w:tcPr>
            <w:tcW w:w="217" w:type="dxa"/>
          </w:tcPr>
          <w:p w14:paraId="54D74532" w14:textId="77777777" w:rsidR="002C0FD9" w:rsidRPr="00CA25CF" w:rsidRDefault="002C0FD9" w:rsidP="00CA25CF">
            <w:pPr>
              <w:rPr>
                <w:rFonts w:cs="Arial"/>
                <w:color w:val="FF0000"/>
                <w:sz w:val="21"/>
                <w:szCs w:val="21"/>
              </w:rPr>
            </w:pPr>
          </w:p>
        </w:tc>
        <w:tc>
          <w:tcPr>
            <w:tcW w:w="217" w:type="dxa"/>
          </w:tcPr>
          <w:p w14:paraId="6186779D" w14:textId="77777777" w:rsidR="002C0FD9" w:rsidRPr="00CA25CF" w:rsidRDefault="002C0FD9" w:rsidP="00CA25CF">
            <w:pPr>
              <w:rPr>
                <w:rFonts w:cs="Arial"/>
                <w:color w:val="FF0000"/>
                <w:sz w:val="21"/>
                <w:szCs w:val="21"/>
              </w:rPr>
            </w:pPr>
          </w:p>
        </w:tc>
        <w:tc>
          <w:tcPr>
            <w:tcW w:w="217" w:type="dxa"/>
          </w:tcPr>
          <w:p w14:paraId="7EA7A3D0" w14:textId="77777777" w:rsidR="002C0FD9" w:rsidRPr="00CA25CF" w:rsidRDefault="002C0FD9" w:rsidP="00CA25CF">
            <w:pPr>
              <w:rPr>
                <w:rFonts w:cs="Arial"/>
                <w:color w:val="FF0000"/>
                <w:sz w:val="21"/>
                <w:szCs w:val="21"/>
              </w:rPr>
            </w:pPr>
          </w:p>
        </w:tc>
        <w:tc>
          <w:tcPr>
            <w:tcW w:w="217" w:type="dxa"/>
          </w:tcPr>
          <w:p w14:paraId="00446458" w14:textId="77777777" w:rsidR="002C0FD9" w:rsidRPr="00CA25CF" w:rsidRDefault="002C0FD9" w:rsidP="00CA25CF">
            <w:pPr>
              <w:rPr>
                <w:rFonts w:cs="Arial"/>
                <w:color w:val="FF0000"/>
                <w:sz w:val="21"/>
                <w:szCs w:val="21"/>
              </w:rPr>
            </w:pPr>
          </w:p>
        </w:tc>
        <w:tc>
          <w:tcPr>
            <w:tcW w:w="217" w:type="dxa"/>
          </w:tcPr>
          <w:p w14:paraId="5ACA2828" w14:textId="77777777" w:rsidR="002C0FD9" w:rsidRPr="00CA25CF" w:rsidRDefault="002C0FD9" w:rsidP="00CA25CF">
            <w:pPr>
              <w:rPr>
                <w:rFonts w:cs="Arial"/>
                <w:color w:val="FF0000"/>
                <w:sz w:val="21"/>
                <w:szCs w:val="21"/>
              </w:rPr>
            </w:pPr>
          </w:p>
        </w:tc>
        <w:tc>
          <w:tcPr>
            <w:tcW w:w="217" w:type="dxa"/>
          </w:tcPr>
          <w:p w14:paraId="18737C79" w14:textId="77777777" w:rsidR="002C0FD9" w:rsidRPr="00CA25CF" w:rsidRDefault="002C0FD9" w:rsidP="00CA25CF">
            <w:pPr>
              <w:rPr>
                <w:rFonts w:cs="Arial"/>
                <w:color w:val="FF0000"/>
                <w:sz w:val="21"/>
                <w:szCs w:val="21"/>
              </w:rPr>
            </w:pPr>
          </w:p>
        </w:tc>
        <w:tc>
          <w:tcPr>
            <w:tcW w:w="217" w:type="dxa"/>
          </w:tcPr>
          <w:p w14:paraId="217AEC13" w14:textId="77777777" w:rsidR="002C0FD9" w:rsidRPr="00CA25CF" w:rsidRDefault="002C0FD9" w:rsidP="00CA25CF">
            <w:pPr>
              <w:rPr>
                <w:rFonts w:cs="Arial"/>
                <w:color w:val="FF0000"/>
                <w:sz w:val="21"/>
                <w:szCs w:val="21"/>
              </w:rPr>
            </w:pPr>
          </w:p>
        </w:tc>
        <w:tc>
          <w:tcPr>
            <w:tcW w:w="217" w:type="dxa"/>
          </w:tcPr>
          <w:p w14:paraId="03BF5EA3" w14:textId="77777777" w:rsidR="002C0FD9" w:rsidRPr="00CA25CF" w:rsidRDefault="002C0FD9" w:rsidP="00CA25CF">
            <w:pPr>
              <w:rPr>
                <w:rFonts w:cs="Arial"/>
                <w:color w:val="FF0000"/>
                <w:sz w:val="21"/>
                <w:szCs w:val="21"/>
              </w:rPr>
            </w:pPr>
          </w:p>
        </w:tc>
        <w:tc>
          <w:tcPr>
            <w:tcW w:w="217" w:type="dxa"/>
          </w:tcPr>
          <w:p w14:paraId="5F9E3C80" w14:textId="77777777" w:rsidR="002C0FD9" w:rsidRPr="00CA25CF" w:rsidRDefault="002C0FD9" w:rsidP="00CA25CF">
            <w:pPr>
              <w:rPr>
                <w:rFonts w:cs="Arial"/>
                <w:color w:val="FF0000"/>
                <w:sz w:val="21"/>
                <w:szCs w:val="21"/>
              </w:rPr>
            </w:pPr>
          </w:p>
        </w:tc>
        <w:tc>
          <w:tcPr>
            <w:tcW w:w="217" w:type="dxa"/>
          </w:tcPr>
          <w:p w14:paraId="5483D78F" w14:textId="77777777" w:rsidR="002C0FD9" w:rsidRPr="00CA25CF" w:rsidRDefault="002C0FD9" w:rsidP="00CA25CF">
            <w:pPr>
              <w:rPr>
                <w:rFonts w:cs="Arial"/>
                <w:color w:val="FF0000"/>
                <w:sz w:val="21"/>
                <w:szCs w:val="21"/>
              </w:rPr>
            </w:pPr>
          </w:p>
        </w:tc>
        <w:tc>
          <w:tcPr>
            <w:tcW w:w="217" w:type="dxa"/>
          </w:tcPr>
          <w:p w14:paraId="60F179B7" w14:textId="77777777" w:rsidR="002C0FD9" w:rsidRPr="00CA25CF" w:rsidRDefault="002C0FD9" w:rsidP="00CA25CF">
            <w:pPr>
              <w:rPr>
                <w:rFonts w:cs="Arial"/>
                <w:color w:val="FF0000"/>
                <w:sz w:val="21"/>
                <w:szCs w:val="21"/>
              </w:rPr>
            </w:pPr>
          </w:p>
        </w:tc>
        <w:tc>
          <w:tcPr>
            <w:tcW w:w="217" w:type="dxa"/>
          </w:tcPr>
          <w:p w14:paraId="2AD7497C" w14:textId="77777777" w:rsidR="002C0FD9" w:rsidRPr="00CA25CF" w:rsidRDefault="002C0FD9" w:rsidP="00CA25CF">
            <w:pPr>
              <w:rPr>
                <w:rFonts w:cs="Arial"/>
                <w:color w:val="FF0000"/>
                <w:sz w:val="21"/>
                <w:szCs w:val="21"/>
              </w:rPr>
            </w:pPr>
          </w:p>
        </w:tc>
        <w:tc>
          <w:tcPr>
            <w:tcW w:w="217" w:type="dxa"/>
          </w:tcPr>
          <w:p w14:paraId="202AD205" w14:textId="77777777" w:rsidR="002C0FD9" w:rsidRPr="00CA25CF" w:rsidRDefault="002C0FD9" w:rsidP="00CA25CF">
            <w:pPr>
              <w:rPr>
                <w:rFonts w:cs="Arial"/>
                <w:color w:val="FF0000"/>
                <w:sz w:val="21"/>
                <w:szCs w:val="21"/>
              </w:rPr>
            </w:pPr>
          </w:p>
        </w:tc>
        <w:tc>
          <w:tcPr>
            <w:tcW w:w="217" w:type="dxa"/>
          </w:tcPr>
          <w:p w14:paraId="25C7D798" w14:textId="77777777" w:rsidR="002C0FD9" w:rsidRPr="00CA25CF" w:rsidRDefault="002C0FD9" w:rsidP="00CA25CF">
            <w:pPr>
              <w:rPr>
                <w:rFonts w:cs="Arial"/>
                <w:color w:val="FF0000"/>
                <w:sz w:val="21"/>
                <w:szCs w:val="21"/>
              </w:rPr>
            </w:pPr>
          </w:p>
        </w:tc>
        <w:tc>
          <w:tcPr>
            <w:tcW w:w="217" w:type="dxa"/>
          </w:tcPr>
          <w:p w14:paraId="7EA6AA85" w14:textId="77777777" w:rsidR="002C0FD9" w:rsidRPr="00CA25CF" w:rsidRDefault="002C0FD9" w:rsidP="00CA25CF">
            <w:pPr>
              <w:rPr>
                <w:rFonts w:cs="Arial"/>
                <w:color w:val="FF0000"/>
                <w:sz w:val="21"/>
                <w:szCs w:val="21"/>
              </w:rPr>
            </w:pPr>
          </w:p>
        </w:tc>
        <w:tc>
          <w:tcPr>
            <w:tcW w:w="217" w:type="dxa"/>
          </w:tcPr>
          <w:p w14:paraId="5AE8BB62" w14:textId="77777777" w:rsidR="002C0FD9" w:rsidRPr="00CA25CF" w:rsidRDefault="002C0FD9" w:rsidP="00CA25CF">
            <w:pPr>
              <w:rPr>
                <w:rFonts w:cs="Arial"/>
                <w:color w:val="FF0000"/>
                <w:sz w:val="21"/>
                <w:szCs w:val="21"/>
              </w:rPr>
            </w:pPr>
          </w:p>
        </w:tc>
        <w:tc>
          <w:tcPr>
            <w:tcW w:w="217" w:type="dxa"/>
          </w:tcPr>
          <w:p w14:paraId="2D697D3D" w14:textId="77777777" w:rsidR="002C0FD9" w:rsidRPr="00CA25CF" w:rsidRDefault="002C0FD9" w:rsidP="00CA25CF">
            <w:pPr>
              <w:rPr>
                <w:rFonts w:cs="Arial"/>
                <w:color w:val="FF0000"/>
                <w:sz w:val="21"/>
                <w:szCs w:val="21"/>
              </w:rPr>
            </w:pPr>
          </w:p>
        </w:tc>
        <w:tc>
          <w:tcPr>
            <w:tcW w:w="217" w:type="dxa"/>
          </w:tcPr>
          <w:p w14:paraId="42F65072" w14:textId="77777777" w:rsidR="002C0FD9" w:rsidRPr="00CA25CF" w:rsidRDefault="002C0FD9" w:rsidP="00CA25CF">
            <w:pPr>
              <w:rPr>
                <w:rFonts w:cs="Arial"/>
                <w:color w:val="FF0000"/>
                <w:sz w:val="21"/>
                <w:szCs w:val="21"/>
              </w:rPr>
            </w:pPr>
          </w:p>
        </w:tc>
        <w:tc>
          <w:tcPr>
            <w:tcW w:w="217" w:type="dxa"/>
          </w:tcPr>
          <w:p w14:paraId="7E790398" w14:textId="77777777" w:rsidR="002C0FD9" w:rsidRPr="00CA25CF" w:rsidRDefault="002C0FD9" w:rsidP="00CA25CF">
            <w:pPr>
              <w:rPr>
                <w:rFonts w:cs="Arial"/>
                <w:color w:val="FF0000"/>
                <w:sz w:val="21"/>
                <w:szCs w:val="21"/>
              </w:rPr>
            </w:pPr>
          </w:p>
        </w:tc>
        <w:tc>
          <w:tcPr>
            <w:tcW w:w="217" w:type="dxa"/>
          </w:tcPr>
          <w:p w14:paraId="038BEACA" w14:textId="77777777" w:rsidR="002C0FD9" w:rsidRPr="00CA25CF" w:rsidRDefault="002C0FD9" w:rsidP="00CA25CF">
            <w:pPr>
              <w:rPr>
                <w:rFonts w:cs="Arial"/>
                <w:color w:val="FF0000"/>
                <w:sz w:val="21"/>
                <w:szCs w:val="21"/>
              </w:rPr>
            </w:pPr>
          </w:p>
        </w:tc>
        <w:tc>
          <w:tcPr>
            <w:tcW w:w="217" w:type="dxa"/>
          </w:tcPr>
          <w:p w14:paraId="29BAF192" w14:textId="77777777" w:rsidR="002C0FD9" w:rsidRPr="00CA25CF" w:rsidRDefault="002C0FD9" w:rsidP="00CA25CF">
            <w:pPr>
              <w:rPr>
                <w:rFonts w:cs="Arial"/>
                <w:color w:val="FF0000"/>
                <w:sz w:val="21"/>
                <w:szCs w:val="21"/>
              </w:rPr>
            </w:pPr>
          </w:p>
        </w:tc>
        <w:tc>
          <w:tcPr>
            <w:tcW w:w="217" w:type="dxa"/>
          </w:tcPr>
          <w:p w14:paraId="03D22BA2" w14:textId="77777777" w:rsidR="002C0FD9" w:rsidRPr="00CA25CF" w:rsidRDefault="002C0FD9" w:rsidP="00CA25CF">
            <w:pPr>
              <w:rPr>
                <w:rFonts w:cs="Arial"/>
                <w:color w:val="FF0000"/>
                <w:sz w:val="21"/>
                <w:szCs w:val="21"/>
              </w:rPr>
            </w:pPr>
          </w:p>
        </w:tc>
        <w:tc>
          <w:tcPr>
            <w:tcW w:w="217" w:type="dxa"/>
          </w:tcPr>
          <w:p w14:paraId="30E0A52B" w14:textId="77777777" w:rsidR="002C0FD9" w:rsidRPr="00CA25CF" w:rsidRDefault="002C0FD9" w:rsidP="00CA25CF">
            <w:pPr>
              <w:rPr>
                <w:rFonts w:cs="Arial"/>
                <w:color w:val="FF0000"/>
                <w:sz w:val="21"/>
                <w:szCs w:val="21"/>
              </w:rPr>
            </w:pPr>
          </w:p>
        </w:tc>
        <w:tc>
          <w:tcPr>
            <w:tcW w:w="217" w:type="dxa"/>
          </w:tcPr>
          <w:p w14:paraId="352D28C1" w14:textId="77777777" w:rsidR="002C0FD9" w:rsidRPr="00CA25CF" w:rsidRDefault="002C0FD9" w:rsidP="00CA25CF">
            <w:pPr>
              <w:rPr>
                <w:rFonts w:cs="Arial"/>
                <w:color w:val="FF0000"/>
                <w:sz w:val="21"/>
                <w:szCs w:val="21"/>
              </w:rPr>
            </w:pPr>
          </w:p>
        </w:tc>
        <w:tc>
          <w:tcPr>
            <w:tcW w:w="217" w:type="dxa"/>
          </w:tcPr>
          <w:p w14:paraId="20814E8E" w14:textId="77777777" w:rsidR="002C0FD9" w:rsidRPr="00CA25CF" w:rsidRDefault="002C0FD9" w:rsidP="00CA25CF">
            <w:pPr>
              <w:rPr>
                <w:rFonts w:cs="Arial"/>
                <w:color w:val="FF0000"/>
                <w:sz w:val="21"/>
                <w:szCs w:val="21"/>
              </w:rPr>
            </w:pPr>
          </w:p>
        </w:tc>
        <w:tc>
          <w:tcPr>
            <w:tcW w:w="217" w:type="dxa"/>
          </w:tcPr>
          <w:p w14:paraId="1BAF5A48" w14:textId="77777777" w:rsidR="002C0FD9" w:rsidRPr="00CA25CF" w:rsidRDefault="002C0FD9" w:rsidP="00CA25CF">
            <w:pPr>
              <w:rPr>
                <w:rFonts w:cs="Arial"/>
                <w:color w:val="FF0000"/>
                <w:sz w:val="21"/>
                <w:szCs w:val="21"/>
              </w:rPr>
            </w:pPr>
          </w:p>
        </w:tc>
        <w:tc>
          <w:tcPr>
            <w:tcW w:w="217" w:type="dxa"/>
          </w:tcPr>
          <w:p w14:paraId="31273494" w14:textId="77777777" w:rsidR="002C0FD9" w:rsidRPr="00CA25CF" w:rsidRDefault="002C0FD9" w:rsidP="00CA25CF">
            <w:pPr>
              <w:rPr>
                <w:rFonts w:cs="Arial"/>
                <w:color w:val="FF0000"/>
                <w:sz w:val="21"/>
                <w:szCs w:val="21"/>
              </w:rPr>
            </w:pPr>
          </w:p>
        </w:tc>
        <w:tc>
          <w:tcPr>
            <w:tcW w:w="217" w:type="dxa"/>
          </w:tcPr>
          <w:p w14:paraId="4818E2FD" w14:textId="77777777" w:rsidR="002C0FD9" w:rsidRPr="00CA25CF" w:rsidRDefault="002C0FD9" w:rsidP="00CA25CF">
            <w:pPr>
              <w:rPr>
                <w:rFonts w:cs="Arial"/>
                <w:color w:val="FF0000"/>
                <w:sz w:val="21"/>
                <w:szCs w:val="21"/>
              </w:rPr>
            </w:pPr>
          </w:p>
        </w:tc>
        <w:tc>
          <w:tcPr>
            <w:tcW w:w="217" w:type="dxa"/>
          </w:tcPr>
          <w:p w14:paraId="7DC8D9D9" w14:textId="77777777" w:rsidR="002C0FD9" w:rsidRPr="00CA25CF" w:rsidRDefault="002C0FD9" w:rsidP="00CA25CF">
            <w:pPr>
              <w:rPr>
                <w:rFonts w:cs="Arial"/>
                <w:color w:val="FF0000"/>
                <w:sz w:val="21"/>
                <w:szCs w:val="21"/>
              </w:rPr>
            </w:pPr>
          </w:p>
        </w:tc>
        <w:tc>
          <w:tcPr>
            <w:tcW w:w="217" w:type="dxa"/>
          </w:tcPr>
          <w:p w14:paraId="1D5A6726" w14:textId="77777777" w:rsidR="002C0FD9" w:rsidRPr="00CA25CF" w:rsidRDefault="002C0FD9" w:rsidP="00CA25CF">
            <w:pPr>
              <w:rPr>
                <w:rFonts w:cs="Arial"/>
                <w:color w:val="FF0000"/>
                <w:sz w:val="21"/>
                <w:szCs w:val="21"/>
              </w:rPr>
            </w:pPr>
          </w:p>
        </w:tc>
        <w:tc>
          <w:tcPr>
            <w:tcW w:w="217" w:type="dxa"/>
          </w:tcPr>
          <w:p w14:paraId="3033E650" w14:textId="77777777" w:rsidR="002C0FD9" w:rsidRPr="00CA25CF" w:rsidRDefault="002C0FD9" w:rsidP="00CA25CF">
            <w:pPr>
              <w:rPr>
                <w:rFonts w:cs="Arial"/>
                <w:color w:val="FF0000"/>
                <w:sz w:val="21"/>
                <w:szCs w:val="21"/>
              </w:rPr>
            </w:pPr>
          </w:p>
        </w:tc>
        <w:tc>
          <w:tcPr>
            <w:tcW w:w="217" w:type="dxa"/>
          </w:tcPr>
          <w:p w14:paraId="521745CE" w14:textId="77777777" w:rsidR="002C0FD9" w:rsidRPr="00CA25CF" w:rsidRDefault="002C0FD9" w:rsidP="00CA25CF">
            <w:pPr>
              <w:rPr>
                <w:rFonts w:cs="Arial"/>
                <w:color w:val="FF0000"/>
                <w:sz w:val="21"/>
                <w:szCs w:val="21"/>
              </w:rPr>
            </w:pPr>
          </w:p>
        </w:tc>
        <w:tc>
          <w:tcPr>
            <w:tcW w:w="217" w:type="dxa"/>
          </w:tcPr>
          <w:p w14:paraId="61DDD942" w14:textId="77777777" w:rsidR="002C0FD9" w:rsidRPr="00CA25CF" w:rsidRDefault="002C0FD9" w:rsidP="00CA25CF">
            <w:pPr>
              <w:rPr>
                <w:rFonts w:cs="Arial"/>
                <w:color w:val="FF0000"/>
                <w:sz w:val="21"/>
                <w:szCs w:val="21"/>
              </w:rPr>
            </w:pPr>
          </w:p>
        </w:tc>
        <w:tc>
          <w:tcPr>
            <w:tcW w:w="217" w:type="dxa"/>
          </w:tcPr>
          <w:p w14:paraId="16E4A89F" w14:textId="77777777" w:rsidR="002C0FD9" w:rsidRPr="00CA25CF" w:rsidRDefault="002C0FD9" w:rsidP="00CA25CF">
            <w:pPr>
              <w:rPr>
                <w:rFonts w:cs="Arial"/>
                <w:color w:val="FF0000"/>
                <w:sz w:val="21"/>
                <w:szCs w:val="21"/>
              </w:rPr>
            </w:pPr>
          </w:p>
        </w:tc>
        <w:tc>
          <w:tcPr>
            <w:tcW w:w="217" w:type="dxa"/>
          </w:tcPr>
          <w:p w14:paraId="5D25A7F6" w14:textId="77777777" w:rsidR="002C0FD9" w:rsidRPr="00CA25CF" w:rsidRDefault="002C0FD9" w:rsidP="00CA25CF">
            <w:pPr>
              <w:rPr>
                <w:rFonts w:cs="Arial"/>
                <w:color w:val="FF0000"/>
                <w:sz w:val="21"/>
                <w:szCs w:val="21"/>
              </w:rPr>
            </w:pPr>
          </w:p>
        </w:tc>
      </w:tr>
      <w:tr w:rsidR="002C0FD9" w:rsidRPr="00A16219" w14:paraId="3CE18AC6" w14:textId="77777777" w:rsidTr="002C0FD9">
        <w:trPr>
          <w:trHeight w:val="635"/>
        </w:trPr>
        <w:tc>
          <w:tcPr>
            <w:tcW w:w="515" w:type="dxa"/>
          </w:tcPr>
          <w:p w14:paraId="69598CAF" w14:textId="77777777" w:rsidR="002C0FD9" w:rsidRPr="00CA25CF" w:rsidRDefault="002C0FD9" w:rsidP="00CA25CF">
            <w:pPr>
              <w:rPr>
                <w:rFonts w:cs="Arial"/>
                <w:color w:val="FF0000"/>
                <w:sz w:val="21"/>
                <w:szCs w:val="21"/>
              </w:rPr>
            </w:pPr>
          </w:p>
        </w:tc>
        <w:tc>
          <w:tcPr>
            <w:tcW w:w="217" w:type="dxa"/>
          </w:tcPr>
          <w:p w14:paraId="2B7712B5" w14:textId="77777777" w:rsidR="002C0FD9" w:rsidRPr="00CA25CF" w:rsidRDefault="002C0FD9" w:rsidP="00CA25CF">
            <w:pPr>
              <w:rPr>
                <w:rFonts w:cs="Arial"/>
                <w:color w:val="FF0000"/>
                <w:sz w:val="21"/>
                <w:szCs w:val="21"/>
              </w:rPr>
            </w:pPr>
          </w:p>
        </w:tc>
        <w:tc>
          <w:tcPr>
            <w:tcW w:w="217" w:type="dxa"/>
          </w:tcPr>
          <w:p w14:paraId="12156A45" w14:textId="77777777" w:rsidR="002C0FD9" w:rsidRPr="00CA25CF" w:rsidRDefault="002C0FD9" w:rsidP="00CA25CF">
            <w:pPr>
              <w:rPr>
                <w:rFonts w:cs="Arial"/>
                <w:color w:val="FF0000"/>
                <w:sz w:val="21"/>
                <w:szCs w:val="21"/>
              </w:rPr>
            </w:pPr>
          </w:p>
        </w:tc>
        <w:tc>
          <w:tcPr>
            <w:tcW w:w="217" w:type="dxa"/>
          </w:tcPr>
          <w:p w14:paraId="5A9A9B9A" w14:textId="77777777" w:rsidR="002C0FD9" w:rsidRPr="00CA25CF" w:rsidRDefault="002C0FD9" w:rsidP="00CA25CF">
            <w:pPr>
              <w:rPr>
                <w:rFonts w:cs="Arial"/>
                <w:color w:val="FF0000"/>
                <w:sz w:val="21"/>
                <w:szCs w:val="21"/>
              </w:rPr>
            </w:pPr>
          </w:p>
        </w:tc>
        <w:tc>
          <w:tcPr>
            <w:tcW w:w="217" w:type="dxa"/>
          </w:tcPr>
          <w:p w14:paraId="7850482C" w14:textId="77777777" w:rsidR="002C0FD9" w:rsidRPr="00CA25CF" w:rsidRDefault="002C0FD9" w:rsidP="00CA25CF">
            <w:pPr>
              <w:rPr>
                <w:rFonts w:cs="Arial"/>
                <w:color w:val="FF0000"/>
                <w:sz w:val="21"/>
                <w:szCs w:val="21"/>
              </w:rPr>
            </w:pPr>
          </w:p>
        </w:tc>
        <w:tc>
          <w:tcPr>
            <w:tcW w:w="217" w:type="dxa"/>
          </w:tcPr>
          <w:p w14:paraId="3AEDA909" w14:textId="77777777" w:rsidR="002C0FD9" w:rsidRPr="00CA25CF" w:rsidRDefault="002C0FD9" w:rsidP="00CA25CF">
            <w:pPr>
              <w:rPr>
                <w:rFonts w:cs="Arial"/>
                <w:color w:val="FF0000"/>
                <w:sz w:val="21"/>
                <w:szCs w:val="21"/>
              </w:rPr>
            </w:pPr>
          </w:p>
        </w:tc>
        <w:tc>
          <w:tcPr>
            <w:tcW w:w="217" w:type="dxa"/>
          </w:tcPr>
          <w:p w14:paraId="4A7A8B12" w14:textId="77777777" w:rsidR="002C0FD9" w:rsidRPr="00CA25CF" w:rsidRDefault="002C0FD9" w:rsidP="00CA25CF">
            <w:pPr>
              <w:rPr>
                <w:rFonts w:cs="Arial"/>
                <w:color w:val="FF0000"/>
                <w:sz w:val="21"/>
                <w:szCs w:val="21"/>
              </w:rPr>
            </w:pPr>
          </w:p>
        </w:tc>
        <w:tc>
          <w:tcPr>
            <w:tcW w:w="217" w:type="dxa"/>
          </w:tcPr>
          <w:p w14:paraId="5A361258" w14:textId="77777777" w:rsidR="002C0FD9" w:rsidRPr="00CA25CF" w:rsidRDefault="002C0FD9" w:rsidP="00CA25CF">
            <w:pPr>
              <w:rPr>
                <w:rFonts w:cs="Arial"/>
                <w:color w:val="FF0000"/>
                <w:sz w:val="21"/>
                <w:szCs w:val="21"/>
              </w:rPr>
            </w:pPr>
          </w:p>
        </w:tc>
        <w:tc>
          <w:tcPr>
            <w:tcW w:w="217" w:type="dxa"/>
          </w:tcPr>
          <w:p w14:paraId="676AADE1" w14:textId="77777777" w:rsidR="002C0FD9" w:rsidRPr="00CA25CF" w:rsidRDefault="002C0FD9" w:rsidP="00CA25CF">
            <w:pPr>
              <w:rPr>
                <w:rFonts w:cs="Arial"/>
                <w:color w:val="FF0000"/>
                <w:sz w:val="21"/>
                <w:szCs w:val="21"/>
              </w:rPr>
            </w:pPr>
          </w:p>
        </w:tc>
        <w:tc>
          <w:tcPr>
            <w:tcW w:w="217" w:type="dxa"/>
          </w:tcPr>
          <w:p w14:paraId="029D90DF" w14:textId="77777777" w:rsidR="002C0FD9" w:rsidRPr="00CA25CF" w:rsidRDefault="002C0FD9" w:rsidP="00CA25CF">
            <w:pPr>
              <w:rPr>
                <w:rFonts w:cs="Arial"/>
                <w:color w:val="FF0000"/>
                <w:sz w:val="21"/>
                <w:szCs w:val="21"/>
              </w:rPr>
            </w:pPr>
          </w:p>
        </w:tc>
        <w:tc>
          <w:tcPr>
            <w:tcW w:w="217" w:type="dxa"/>
          </w:tcPr>
          <w:p w14:paraId="71CB5F59" w14:textId="77777777" w:rsidR="002C0FD9" w:rsidRPr="00CA25CF" w:rsidRDefault="002C0FD9" w:rsidP="00CA25CF">
            <w:pPr>
              <w:rPr>
                <w:rFonts w:cs="Arial"/>
                <w:color w:val="FF0000"/>
                <w:sz w:val="21"/>
                <w:szCs w:val="21"/>
              </w:rPr>
            </w:pPr>
          </w:p>
        </w:tc>
        <w:tc>
          <w:tcPr>
            <w:tcW w:w="217" w:type="dxa"/>
          </w:tcPr>
          <w:p w14:paraId="2215DD36" w14:textId="77777777" w:rsidR="002C0FD9" w:rsidRPr="00CA25CF" w:rsidRDefault="002C0FD9" w:rsidP="00CA25CF">
            <w:pPr>
              <w:rPr>
                <w:rFonts w:cs="Arial"/>
                <w:color w:val="FF0000"/>
                <w:sz w:val="21"/>
                <w:szCs w:val="21"/>
              </w:rPr>
            </w:pPr>
          </w:p>
        </w:tc>
        <w:tc>
          <w:tcPr>
            <w:tcW w:w="217" w:type="dxa"/>
          </w:tcPr>
          <w:p w14:paraId="3BD41F08" w14:textId="77777777" w:rsidR="002C0FD9" w:rsidRPr="00CA25CF" w:rsidRDefault="002C0FD9" w:rsidP="00CA25CF">
            <w:pPr>
              <w:rPr>
                <w:rFonts w:cs="Arial"/>
                <w:color w:val="FF0000"/>
                <w:sz w:val="21"/>
                <w:szCs w:val="21"/>
              </w:rPr>
            </w:pPr>
          </w:p>
        </w:tc>
        <w:tc>
          <w:tcPr>
            <w:tcW w:w="217" w:type="dxa"/>
          </w:tcPr>
          <w:p w14:paraId="53B75B82" w14:textId="77777777" w:rsidR="002C0FD9" w:rsidRPr="00CA25CF" w:rsidRDefault="002C0FD9" w:rsidP="00CA25CF">
            <w:pPr>
              <w:rPr>
                <w:rFonts w:cs="Arial"/>
                <w:color w:val="FF0000"/>
                <w:sz w:val="21"/>
                <w:szCs w:val="21"/>
              </w:rPr>
            </w:pPr>
          </w:p>
        </w:tc>
        <w:tc>
          <w:tcPr>
            <w:tcW w:w="217" w:type="dxa"/>
          </w:tcPr>
          <w:p w14:paraId="3C3E6FC1" w14:textId="77777777" w:rsidR="002C0FD9" w:rsidRPr="00CA25CF" w:rsidRDefault="002C0FD9" w:rsidP="00CA25CF">
            <w:pPr>
              <w:rPr>
                <w:rFonts w:cs="Arial"/>
                <w:color w:val="FF0000"/>
                <w:sz w:val="21"/>
                <w:szCs w:val="21"/>
              </w:rPr>
            </w:pPr>
          </w:p>
        </w:tc>
        <w:tc>
          <w:tcPr>
            <w:tcW w:w="217" w:type="dxa"/>
          </w:tcPr>
          <w:p w14:paraId="42521DAC" w14:textId="77777777" w:rsidR="002C0FD9" w:rsidRPr="00CA25CF" w:rsidRDefault="002C0FD9" w:rsidP="00CA25CF">
            <w:pPr>
              <w:rPr>
                <w:rFonts w:cs="Arial"/>
                <w:color w:val="FF0000"/>
                <w:sz w:val="21"/>
                <w:szCs w:val="21"/>
              </w:rPr>
            </w:pPr>
          </w:p>
        </w:tc>
        <w:tc>
          <w:tcPr>
            <w:tcW w:w="217" w:type="dxa"/>
          </w:tcPr>
          <w:p w14:paraId="6349322A" w14:textId="77777777" w:rsidR="002C0FD9" w:rsidRPr="00CA25CF" w:rsidRDefault="002C0FD9" w:rsidP="00CA25CF">
            <w:pPr>
              <w:rPr>
                <w:rFonts w:cs="Arial"/>
                <w:color w:val="FF0000"/>
                <w:sz w:val="21"/>
                <w:szCs w:val="21"/>
              </w:rPr>
            </w:pPr>
          </w:p>
        </w:tc>
        <w:tc>
          <w:tcPr>
            <w:tcW w:w="217" w:type="dxa"/>
          </w:tcPr>
          <w:p w14:paraId="0A165791" w14:textId="77777777" w:rsidR="002C0FD9" w:rsidRPr="00CA25CF" w:rsidRDefault="002C0FD9" w:rsidP="00CA25CF">
            <w:pPr>
              <w:rPr>
                <w:rFonts w:cs="Arial"/>
                <w:color w:val="FF0000"/>
                <w:sz w:val="21"/>
                <w:szCs w:val="21"/>
              </w:rPr>
            </w:pPr>
          </w:p>
        </w:tc>
        <w:tc>
          <w:tcPr>
            <w:tcW w:w="217" w:type="dxa"/>
          </w:tcPr>
          <w:p w14:paraId="162A1525" w14:textId="77777777" w:rsidR="002C0FD9" w:rsidRPr="00CA25CF" w:rsidRDefault="002C0FD9" w:rsidP="00CA25CF">
            <w:pPr>
              <w:rPr>
                <w:rFonts w:cs="Arial"/>
                <w:color w:val="FF0000"/>
                <w:sz w:val="21"/>
                <w:szCs w:val="21"/>
              </w:rPr>
            </w:pPr>
          </w:p>
        </w:tc>
        <w:tc>
          <w:tcPr>
            <w:tcW w:w="217" w:type="dxa"/>
          </w:tcPr>
          <w:p w14:paraId="6779DA25" w14:textId="77777777" w:rsidR="002C0FD9" w:rsidRPr="00CA25CF" w:rsidRDefault="002C0FD9" w:rsidP="00CA25CF">
            <w:pPr>
              <w:rPr>
                <w:rFonts w:cs="Arial"/>
                <w:color w:val="FF0000"/>
                <w:sz w:val="21"/>
                <w:szCs w:val="21"/>
              </w:rPr>
            </w:pPr>
          </w:p>
        </w:tc>
        <w:tc>
          <w:tcPr>
            <w:tcW w:w="217" w:type="dxa"/>
          </w:tcPr>
          <w:p w14:paraId="48B2B600" w14:textId="77777777" w:rsidR="002C0FD9" w:rsidRPr="00CA25CF" w:rsidRDefault="002C0FD9" w:rsidP="00CA25CF">
            <w:pPr>
              <w:rPr>
                <w:rFonts w:cs="Arial"/>
                <w:color w:val="FF0000"/>
                <w:sz w:val="21"/>
                <w:szCs w:val="21"/>
              </w:rPr>
            </w:pPr>
          </w:p>
        </w:tc>
        <w:tc>
          <w:tcPr>
            <w:tcW w:w="217" w:type="dxa"/>
          </w:tcPr>
          <w:p w14:paraId="0AFD01CF" w14:textId="77777777" w:rsidR="002C0FD9" w:rsidRPr="00CA25CF" w:rsidRDefault="002C0FD9" w:rsidP="00CA25CF">
            <w:pPr>
              <w:rPr>
                <w:rFonts w:cs="Arial"/>
                <w:color w:val="FF0000"/>
                <w:sz w:val="21"/>
                <w:szCs w:val="21"/>
              </w:rPr>
            </w:pPr>
          </w:p>
        </w:tc>
        <w:tc>
          <w:tcPr>
            <w:tcW w:w="217" w:type="dxa"/>
          </w:tcPr>
          <w:p w14:paraId="273B1394" w14:textId="77777777" w:rsidR="002C0FD9" w:rsidRPr="00CA25CF" w:rsidRDefault="002C0FD9" w:rsidP="00CA25CF">
            <w:pPr>
              <w:rPr>
                <w:rFonts w:cs="Arial"/>
                <w:color w:val="FF0000"/>
                <w:sz w:val="21"/>
                <w:szCs w:val="21"/>
              </w:rPr>
            </w:pPr>
          </w:p>
        </w:tc>
        <w:tc>
          <w:tcPr>
            <w:tcW w:w="217" w:type="dxa"/>
          </w:tcPr>
          <w:p w14:paraId="206AE325" w14:textId="77777777" w:rsidR="002C0FD9" w:rsidRPr="00CA25CF" w:rsidRDefault="002C0FD9" w:rsidP="00CA25CF">
            <w:pPr>
              <w:rPr>
                <w:rFonts w:cs="Arial"/>
                <w:color w:val="FF0000"/>
                <w:sz w:val="21"/>
                <w:szCs w:val="21"/>
              </w:rPr>
            </w:pPr>
          </w:p>
        </w:tc>
        <w:tc>
          <w:tcPr>
            <w:tcW w:w="217" w:type="dxa"/>
          </w:tcPr>
          <w:p w14:paraId="3F98B5C5" w14:textId="77777777" w:rsidR="002C0FD9" w:rsidRPr="00CA25CF" w:rsidRDefault="002C0FD9" w:rsidP="00CA25CF">
            <w:pPr>
              <w:rPr>
                <w:rFonts w:cs="Arial"/>
                <w:color w:val="FF0000"/>
                <w:sz w:val="21"/>
                <w:szCs w:val="21"/>
              </w:rPr>
            </w:pPr>
          </w:p>
        </w:tc>
        <w:tc>
          <w:tcPr>
            <w:tcW w:w="217" w:type="dxa"/>
          </w:tcPr>
          <w:p w14:paraId="60820A4D" w14:textId="77777777" w:rsidR="002C0FD9" w:rsidRPr="00CA25CF" w:rsidRDefault="002C0FD9" w:rsidP="00CA25CF">
            <w:pPr>
              <w:rPr>
                <w:rFonts w:cs="Arial"/>
                <w:color w:val="FF0000"/>
                <w:sz w:val="21"/>
                <w:szCs w:val="21"/>
              </w:rPr>
            </w:pPr>
          </w:p>
        </w:tc>
        <w:tc>
          <w:tcPr>
            <w:tcW w:w="217" w:type="dxa"/>
          </w:tcPr>
          <w:p w14:paraId="77D20D9A" w14:textId="77777777" w:rsidR="002C0FD9" w:rsidRPr="00CA25CF" w:rsidRDefault="002C0FD9" w:rsidP="00CA25CF">
            <w:pPr>
              <w:rPr>
                <w:rFonts w:cs="Arial"/>
                <w:color w:val="FF0000"/>
                <w:sz w:val="21"/>
                <w:szCs w:val="21"/>
              </w:rPr>
            </w:pPr>
          </w:p>
        </w:tc>
        <w:tc>
          <w:tcPr>
            <w:tcW w:w="217" w:type="dxa"/>
          </w:tcPr>
          <w:p w14:paraId="5060C0C9" w14:textId="77777777" w:rsidR="002C0FD9" w:rsidRPr="00CA25CF" w:rsidRDefault="002C0FD9" w:rsidP="00CA25CF">
            <w:pPr>
              <w:rPr>
                <w:rFonts w:cs="Arial"/>
                <w:color w:val="FF0000"/>
                <w:sz w:val="21"/>
                <w:szCs w:val="21"/>
              </w:rPr>
            </w:pPr>
          </w:p>
        </w:tc>
        <w:tc>
          <w:tcPr>
            <w:tcW w:w="217" w:type="dxa"/>
          </w:tcPr>
          <w:p w14:paraId="2AD0B1D1" w14:textId="77777777" w:rsidR="002C0FD9" w:rsidRPr="00CA25CF" w:rsidRDefault="002C0FD9" w:rsidP="00CA25CF">
            <w:pPr>
              <w:rPr>
                <w:rFonts w:cs="Arial"/>
                <w:color w:val="FF0000"/>
                <w:sz w:val="21"/>
                <w:szCs w:val="21"/>
              </w:rPr>
            </w:pPr>
          </w:p>
        </w:tc>
        <w:tc>
          <w:tcPr>
            <w:tcW w:w="217" w:type="dxa"/>
          </w:tcPr>
          <w:p w14:paraId="23426DC1" w14:textId="77777777" w:rsidR="002C0FD9" w:rsidRPr="00CA25CF" w:rsidRDefault="002C0FD9" w:rsidP="00CA25CF">
            <w:pPr>
              <w:rPr>
                <w:rFonts w:cs="Arial"/>
                <w:color w:val="FF0000"/>
                <w:sz w:val="21"/>
                <w:szCs w:val="21"/>
              </w:rPr>
            </w:pPr>
          </w:p>
        </w:tc>
        <w:tc>
          <w:tcPr>
            <w:tcW w:w="217" w:type="dxa"/>
          </w:tcPr>
          <w:p w14:paraId="46793BE3" w14:textId="77777777" w:rsidR="002C0FD9" w:rsidRPr="00CA25CF" w:rsidRDefault="002C0FD9" w:rsidP="00CA25CF">
            <w:pPr>
              <w:rPr>
                <w:rFonts w:cs="Arial"/>
                <w:color w:val="FF0000"/>
                <w:sz w:val="21"/>
                <w:szCs w:val="21"/>
              </w:rPr>
            </w:pPr>
          </w:p>
        </w:tc>
        <w:tc>
          <w:tcPr>
            <w:tcW w:w="217" w:type="dxa"/>
          </w:tcPr>
          <w:p w14:paraId="33FB44D7" w14:textId="77777777" w:rsidR="002C0FD9" w:rsidRPr="00CA25CF" w:rsidRDefault="002C0FD9" w:rsidP="00CA25CF">
            <w:pPr>
              <w:rPr>
                <w:rFonts w:cs="Arial"/>
                <w:color w:val="FF0000"/>
                <w:sz w:val="21"/>
                <w:szCs w:val="21"/>
              </w:rPr>
            </w:pPr>
          </w:p>
        </w:tc>
        <w:tc>
          <w:tcPr>
            <w:tcW w:w="217" w:type="dxa"/>
          </w:tcPr>
          <w:p w14:paraId="498CA99F" w14:textId="77777777" w:rsidR="002C0FD9" w:rsidRPr="00CA25CF" w:rsidRDefault="002C0FD9" w:rsidP="00CA25CF">
            <w:pPr>
              <w:rPr>
                <w:rFonts w:cs="Arial"/>
                <w:color w:val="FF0000"/>
                <w:sz w:val="21"/>
                <w:szCs w:val="21"/>
              </w:rPr>
            </w:pPr>
          </w:p>
        </w:tc>
        <w:tc>
          <w:tcPr>
            <w:tcW w:w="217" w:type="dxa"/>
          </w:tcPr>
          <w:p w14:paraId="34541779" w14:textId="77777777" w:rsidR="002C0FD9" w:rsidRPr="00CA25CF" w:rsidRDefault="002C0FD9" w:rsidP="00CA25CF">
            <w:pPr>
              <w:rPr>
                <w:rFonts w:cs="Arial"/>
                <w:color w:val="FF0000"/>
                <w:sz w:val="21"/>
                <w:szCs w:val="21"/>
              </w:rPr>
            </w:pPr>
          </w:p>
        </w:tc>
        <w:tc>
          <w:tcPr>
            <w:tcW w:w="217" w:type="dxa"/>
          </w:tcPr>
          <w:p w14:paraId="19154737" w14:textId="77777777" w:rsidR="002C0FD9" w:rsidRPr="00CA25CF" w:rsidRDefault="002C0FD9" w:rsidP="00CA25CF">
            <w:pPr>
              <w:rPr>
                <w:rFonts w:cs="Arial"/>
                <w:color w:val="FF0000"/>
                <w:sz w:val="21"/>
                <w:szCs w:val="21"/>
              </w:rPr>
            </w:pPr>
          </w:p>
        </w:tc>
        <w:tc>
          <w:tcPr>
            <w:tcW w:w="217" w:type="dxa"/>
          </w:tcPr>
          <w:p w14:paraId="6059BCAE" w14:textId="77777777" w:rsidR="002C0FD9" w:rsidRPr="00CA25CF" w:rsidRDefault="002C0FD9" w:rsidP="00CA25CF">
            <w:pPr>
              <w:rPr>
                <w:rFonts w:cs="Arial"/>
                <w:color w:val="FF0000"/>
                <w:sz w:val="21"/>
                <w:szCs w:val="21"/>
              </w:rPr>
            </w:pPr>
          </w:p>
        </w:tc>
        <w:tc>
          <w:tcPr>
            <w:tcW w:w="217" w:type="dxa"/>
          </w:tcPr>
          <w:p w14:paraId="6DA845C9" w14:textId="77777777" w:rsidR="002C0FD9" w:rsidRPr="00CA25CF" w:rsidRDefault="002C0FD9" w:rsidP="00CA25CF">
            <w:pPr>
              <w:rPr>
                <w:rFonts w:cs="Arial"/>
                <w:color w:val="FF0000"/>
                <w:sz w:val="21"/>
                <w:szCs w:val="21"/>
              </w:rPr>
            </w:pPr>
          </w:p>
        </w:tc>
        <w:tc>
          <w:tcPr>
            <w:tcW w:w="217" w:type="dxa"/>
          </w:tcPr>
          <w:p w14:paraId="6B8A2368" w14:textId="77777777" w:rsidR="002C0FD9" w:rsidRPr="00CA25CF" w:rsidRDefault="002C0FD9" w:rsidP="00CA25CF">
            <w:pPr>
              <w:rPr>
                <w:rFonts w:cs="Arial"/>
                <w:color w:val="FF0000"/>
                <w:sz w:val="21"/>
                <w:szCs w:val="21"/>
              </w:rPr>
            </w:pPr>
          </w:p>
        </w:tc>
        <w:tc>
          <w:tcPr>
            <w:tcW w:w="217" w:type="dxa"/>
          </w:tcPr>
          <w:p w14:paraId="2D7D427F" w14:textId="77777777" w:rsidR="002C0FD9" w:rsidRPr="00CA25CF" w:rsidRDefault="002C0FD9" w:rsidP="00CA25CF">
            <w:pPr>
              <w:rPr>
                <w:rFonts w:cs="Arial"/>
                <w:color w:val="FF0000"/>
                <w:sz w:val="21"/>
                <w:szCs w:val="21"/>
              </w:rPr>
            </w:pPr>
          </w:p>
        </w:tc>
        <w:tc>
          <w:tcPr>
            <w:tcW w:w="217" w:type="dxa"/>
          </w:tcPr>
          <w:p w14:paraId="396CC366" w14:textId="77777777" w:rsidR="002C0FD9" w:rsidRPr="00CA25CF" w:rsidRDefault="002C0FD9" w:rsidP="00CA25CF">
            <w:pPr>
              <w:rPr>
                <w:rFonts w:cs="Arial"/>
                <w:color w:val="FF0000"/>
                <w:sz w:val="21"/>
                <w:szCs w:val="21"/>
              </w:rPr>
            </w:pPr>
          </w:p>
        </w:tc>
        <w:tc>
          <w:tcPr>
            <w:tcW w:w="217" w:type="dxa"/>
          </w:tcPr>
          <w:p w14:paraId="1C9101EA" w14:textId="77777777" w:rsidR="002C0FD9" w:rsidRPr="00CA25CF" w:rsidRDefault="002C0FD9" w:rsidP="00CA25CF">
            <w:pPr>
              <w:rPr>
                <w:rFonts w:cs="Arial"/>
                <w:color w:val="FF0000"/>
                <w:sz w:val="21"/>
                <w:szCs w:val="21"/>
              </w:rPr>
            </w:pPr>
          </w:p>
        </w:tc>
        <w:tc>
          <w:tcPr>
            <w:tcW w:w="217" w:type="dxa"/>
          </w:tcPr>
          <w:p w14:paraId="02032A08" w14:textId="77777777" w:rsidR="002C0FD9" w:rsidRPr="00CA25CF" w:rsidRDefault="002C0FD9" w:rsidP="00CA25CF">
            <w:pPr>
              <w:rPr>
                <w:rFonts w:cs="Arial"/>
                <w:color w:val="FF0000"/>
                <w:sz w:val="21"/>
                <w:szCs w:val="21"/>
              </w:rPr>
            </w:pPr>
          </w:p>
        </w:tc>
        <w:tc>
          <w:tcPr>
            <w:tcW w:w="217" w:type="dxa"/>
          </w:tcPr>
          <w:p w14:paraId="4E7014FA" w14:textId="77777777" w:rsidR="002C0FD9" w:rsidRPr="00CA25CF" w:rsidRDefault="002C0FD9" w:rsidP="00CA25CF">
            <w:pPr>
              <w:rPr>
                <w:rFonts w:cs="Arial"/>
                <w:color w:val="FF0000"/>
                <w:sz w:val="21"/>
                <w:szCs w:val="21"/>
              </w:rPr>
            </w:pPr>
          </w:p>
        </w:tc>
      </w:tr>
      <w:tr w:rsidR="002C0FD9" w:rsidRPr="00A16219" w14:paraId="3E2913A8" w14:textId="77777777" w:rsidTr="002C0FD9">
        <w:trPr>
          <w:trHeight w:val="635"/>
        </w:trPr>
        <w:tc>
          <w:tcPr>
            <w:tcW w:w="515" w:type="dxa"/>
          </w:tcPr>
          <w:p w14:paraId="33959124" w14:textId="77777777" w:rsidR="002C0FD9" w:rsidRPr="00CA25CF" w:rsidRDefault="002C0FD9" w:rsidP="00CA25CF">
            <w:pPr>
              <w:rPr>
                <w:rFonts w:cs="Arial"/>
                <w:color w:val="FF0000"/>
                <w:sz w:val="21"/>
                <w:szCs w:val="21"/>
              </w:rPr>
            </w:pPr>
          </w:p>
        </w:tc>
        <w:tc>
          <w:tcPr>
            <w:tcW w:w="217" w:type="dxa"/>
          </w:tcPr>
          <w:p w14:paraId="0BEDE94C" w14:textId="77777777" w:rsidR="002C0FD9" w:rsidRPr="00CA25CF" w:rsidRDefault="002C0FD9" w:rsidP="00CA25CF">
            <w:pPr>
              <w:rPr>
                <w:rFonts w:cs="Arial"/>
                <w:color w:val="FF0000"/>
                <w:sz w:val="21"/>
                <w:szCs w:val="21"/>
              </w:rPr>
            </w:pPr>
          </w:p>
        </w:tc>
        <w:tc>
          <w:tcPr>
            <w:tcW w:w="217" w:type="dxa"/>
          </w:tcPr>
          <w:p w14:paraId="411BCC92" w14:textId="77777777" w:rsidR="002C0FD9" w:rsidRPr="00CA25CF" w:rsidRDefault="002C0FD9" w:rsidP="00CA25CF">
            <w:pPr>
              <w:rPr>
                <w:rFonts w:cs="Arial"/>
                <w:color w:val="FF0000"/>
                <w:sz w:val="21"/>
                <w:szCs w:val="21"/>
              </w:rPr>
            </w:pPr>
          </w:p>
        </w:tc>
        <w:tc>
          <w:tcPr>
            <w:tcW w:w="217" w:type="dxa"/>
          </w:tcPr>
          <w:p w14:paraId="6283CD36" w14:textId="77777777" w:rsidR="002C0FD9" w:rsidRPr="00CA25CF" w:rsidRDefault="002C0FD9" w:rsidP="00CA25CF">
            <w:pPr>
              <w:rPr>
                <w:rFonts w:cs="Arial"/>
                <w:color w:val="FF0000"/>
                <w:sz w:val="21"/>
                <w:szCs w:val="21"/>
              </w:rPr>
            </w:pPr>
          </w:p>
        </w:tc>
        <w:tc>
          <w:tcPr>
            <w:tcW w:w="217" w:type="dxa"/>
          </w:tcPr>
          <w:p w14:paraId="75647817" w14:textId="77777777" w:rsidR="002C0FD9" w:rsidRPr="00CA25CF" w:rsidRDefault="002C0FD9" w:rsidP="00CA25CF">
            <w:pPr>
              <w:rPr>
                <w:rFonts w:cs="Arial"/>
                <w:color w:val="FF0000"/>
                <w:sz w:val="21"/>
                <w:szCs w:val="21"/>
              </w:rPr>
            </w:pPr>
          </w:p>
        </w:tc>
        <w:tc>
          <w:tcPr>
            <w:tcW w:w="217" w:type="dxa"/>
          </w:tcPr>
          <w:p w14:paraId="2A6004A4" w14:textId="77777777" w:rsidR="002C0FD9" w:rsidRPr="00CA25CF" w:rsidRDefault="002C0FD9" w:rsidP="00CA25CF">
            <w:pPr>
              <w:rPr>
                <w:rFonts w:cs="Arial"/>
                <w:color w:val="FF0000"/>
                <w:sz w:val="21"/>
                <w:szCs w:val="21"/>
              </w:rPr>
            </w:pPr>
          </w:p>
        </w:tc>
        <w:tc>
          <w:tcPr>
            <w:tcW w:w="217" w:type="dxa"/>
          </w:tcPr>
          <w:p w14:paraId="409ECBD7" w14:textId="77777777" w:rsidR="002C0FD9" w:rsidRPr="00CA25CF" w:rsidRDefault="002C0FD9" w:rsidP="00CA25CF">
            <w:pPr>
              <w:rPr>
                <w:rFonts w:cs="Arial"/>
                <w:color w:val="FF0000"/>
                <w:sz w:val="21"/>
                <w:szCs w:val="21"/>
              </w:rPr>
            </w:pPr>
          </w:p>
        </w:tc>
        <w:tc>
          <w:tcPr>
            <w:tcW w:w="217" w:type="dxa"/>
          </w:tcPr>
          <w:p w14:paraId="26FEBCCA" w14:textId="77777777" w:rsidR="002C0FD9" w:rsidRPr="00CA25CF" w:rsidRDefault="002C0FD9" w:rsidP="00CA25CF">
            <w:pPr>
              <w:rPr>
                <w:rFonts w:cs="Arial"/>
                <w:color w:val="FF0000"/>
                <w:sz w:val="21"/>
                <w:szCs w:val="21"/>
              </w:rPr>
            </w:pPr>
          </w:p>
        </w:tc>
        <w:tc>
          <w:tcPr>
            <w:tcW w:w="217" w:type="dxa"/>
          </w:tcPr>
          <w:p w14:paraId="159D6861" w14:textId="77777777" w:rsidR="002C0FD9" w:rsidRPr="00CA25CF" w:rsidRDefault="002C0FD9" w:rsidP="00CA25CF">
            <w:pPr>
              <w:rPr>
                <w:rFonts w:cs="Arial"/>
                <w:color w:val="FF0000"/>
                <w:sz w:val="21"/>
                <w:szCs w:val="21"/>
              </w:rPr>
            </w:pPr>
          </w:p>
        </w:tc>
        <w:tc>
          <w:tcPr>
            <w:tcW w:w="217" w:type="dxa"/>
          </w:tcPr>
          <w:p w14:paraId="52BA004B" w14:textId="77777777" w:rsidR="002C0FD9" w:rsidRPr="00CA25CF" w:rsidRDefault="002C0FD9" w:rsidP="00CA25CF">
            <w:pPr>
              <w:rPr>
                <w:rFonts w:cs="Arial"/>
                <w:color w:val="FF0000"/>
                <w:sz w:val="21"/>
                <w:szCs w:val="21"/>
              </w:rPr>
            </w:pPr>
          </w:p>
        </w:tc>
        <w:tc>
          <w:tcPr>
            <w:tcW w:w="217" w:type="dxa"/>
          </w:tcPr>
          <w:p w14:paraId="44AA19C8" w14:textId="77777777" w:rsidR="002C0FD9" w:rsidRPr="00CA25CF" w:rsidRDefault="002C0FD9" w:rsidP="00CA25CF">
            <w:pPr>
              <w:rPr>
                <w:rFonts w:cs="Arial"/>
                <w:color w:val="FF0000"/>
                <w:sz w:val="21"/>
                <w:szCs w:val="21"/>
              </w:rPr>
            </w:pPr>
          </w:p>
        </w:tc>
        <w:tc>
          <w:tcPr>
            <w:tcW w:w="217" w:type="dxa"/>
          </w:tcPr>
          <w:p w14:paraId="4CABF402" w14:textId="77777777" w:rsidR="002C0FD9" w:rsidRPr="00CA25CF" w:rsidRDefault="002C0FD9" w:rsidP="00CA25CF">
            <w:pPr>
              <w:rPr>
                <w:rFonts w:cs="Arial"/>
                <w:color w:val="FF0000"/>
                <w:sz w:val="21"/>
                <w:szCs w:val="21"/>
              </w:rPr>
            </w:pPr>
          </w:p>
        </w:tc>
        <w:tc>
          <w:tcPr>
            <w:tcW w:w="217" w:type="dxa"/>
          </w:tcPr>
          <w:p w14:paraId="7BBCCF35" w14:textId="77777777" w:rsidR="002C0FD9" w:rsidRPr="00CA25CF" w:rsidRDefault="002C0FD9" w:rsidP="00CA25CF">
            <w:pPr>
              <w:rPr>
                <w:rFonts w:cs="Arial"/>
                <w:color w:val="FF0000"/>
                <w:sz w:val="21"/>
                <w:szCs w:val="21"/>
              </w:rPr>
            </w:pPr>
          </w:p>
        </w:tc>
        <w:tc>
          <w:tcPr>
            <w:tcW w:w="217" w:type="dxa"/>
          </w:tcPr>
          <w:p w14:paraId="15662655" w14:textId="77777777" w:rsidR="002C0FD9" w:rsidRPr="00CA25CF" w:rsidRDefault="002C0FD9" w:rsidP="00CA25CF">
            <w:pPr>
              <w:rPr>
                <w:rFonts w:cs="Arial"/>
                <w:color w:val="FF0000"/>
                <w:sz w:val="21"/>
                <w:szCs w:val="21"/>
              </w:rPr>
            </w:pPr>
          </w:p>
        </w:tc>
        <w:tc>
          <w:tcPr>
            <w:tcW w:w="217" w:type="dxa"/>
          </w:tcPr>
          <w:p w14:paraId="0AD94AF2" w14:textId="77777777" w:rsidR="002C0FD9" w:rsidRPr="00CA25CF" w:rsidRDefault="002C0FD9" w:rsidP="00CA25CF">
            <w:pPr>
              <w:rPr>
                <w:rFonts w:cs="Arial"/>
                <w:color w:val="FF0000"/>
                <w:sz w:val="21"/>
                <w:szCs w:val="21"/>
              </w:rPr>
            </w:pPr>
          </w:p>
        </w:tc>
        <w:tc>
          <w:tcPr>
            <w:tcW w:w="217" w:type="dxa"/>
          </w:tcPr>
          <w:p w14:paraId="4D1CE501" w14:textId="77777777" w:rsidR="002C0FD9" w:rsidRPr="00CA25CF" w:rsidRDefault="002C0FD9" w:rsidP="00CA25CF">
            <w:pPr>
              <w:rPr>
                <w:rFonts w:cs="Arial"/>
                <w:color w:val="FF0000"/>
                <w:sz w:val="21"/>
                <w:szCs w:val="21"/>
              </w:rPr>
            </w:pPr>
          </w:p>
        </w:tc>
        <w:tc>
          <w:tcPr>
            <w:tcW w:w="217" w:type="dxa"/>
          </w:tcPr>
          <w:p w14:paraId="688A2EF4" w14:textId="77777777" w:rsidR="002C0FD9" w:rsidRPr="00CA25CF" w:rsidRDefault="002C0FD9" w:rsidP="00CA25CF">
            <w:pPr>
              <w:rPr>
                <w:rFonts w:cs="Arial"/>
                <w:color w:val="FF0000"/>
                <w:sz w:val="21"/>
                <w:szCs w:val="21"/>
              </w:rPr>
            </w:pPr>
          </w:p>
        </w:tc>
        <w:tc>
          <w:tcPr>
            <w:tcW w:w="217" w:type="dxa"/>
          </w:tcPr>
          <w:p w14:paraId="18382D72" w14:textId="77777777" w:rsidR="002C0FD9" w:rsidRPr="00CA25CF" w:rsidRDefault="002C0FD9" w:rsidP="00CA25CF">
            <w:pPr>
              <w:rPr>
                <w:rFonts w:cs="Arial"/>
                <w:color w:val="FF0000"/>
                <w:sz w:val="21"/>
                <w:szCs w:val="21"/>
              </w:rPr>
            </w:pPr>
          </w:p>
        </w:tc>
        <w:tc>
          <w:tcPr>
            <w:tcW w:w="217" w:type="dxa"/>
          </w:tcPr>
          <w:p w14:paraId="3E3429FC" w14:textId="77777777" w:rsidR="002C0FD9" w:rsidRPr="00CA25CF" w:rsidRDefault="002C0FD9" w:rsidP="00CA25CF">
            <w:pPr>
              <w:rPr>
                <w:rFonts w:cs="Arial"/>
                <w:color w:val="FF0000"/>
                <w:sz w:val="21"/>
                <w:szCs w:val="21"/>
              </w:rPr>
            </w:pPr>
          </w:p>
        </w:tc>
        <w:tc>
          <w:tcPr>
            <w:tcW w:w="217" w:type="dxa"/>
          </w:tcPr>
          <w:p w14:paraId="723B6B88" w14:textId="77777777" w:rsidR="002C0FD9" w:rsidRPr="00CA25CF" w:rsidRDefault="002C0FD9" w:rsidP="00CA25CF">
            <w:pPr>
              <w:rPr>
                <w:rFonts w:cs="Arial"/>
                <w:color w:val="FF0000"/>
                <w:sz w:val="21"/>
                <w:szCs w:val="21"/>
              </w:rPr>
            </w:pPr>
          </w:p>
        </w:tc>
        <w:tc>
          <w:tcPr>
            <w:tcW w:w="217" w:type="dxa"/>
          </w:tcPr>
          <w:p w14:paraId="6C992914" w14:textId="77777777" w:rsidR="002C0FD9" w:rsidRPr="00CA25CF" w:rsidRDefault="002C0FD9" w:rsidP="00CA25CF">
            <w:pPr>
              <w:rPr>
                <w:rFonts w:cs="Arial"/>
                <w:color w:val="FF0000"/>
                <w:sz w:val="21"/>
                <w:szCs w:val="21"/>
              </w:rPr>
            </w:pPr>
          </w:p>
        </w:tc>
        <w:tc>
          <w:tcPr>
            <w:tcW w:w="217" w:type="dxa"/>
          </w:tcPr>
          <w:p w14:paraId="4AC9DB07" w14:textId="77777777" w:rsidR="002C0FD9" w:rsidRPr="00CA25CF" w:rsidRDefault="002C0FD9" w:rsidP="00CA25CF">
            <w:pPr>
              <w:rPr>
                <w:rFonts w:cs="Arial"/>
                <w:color w:val="FF0000"/>
                <w:sz w:val="21"/>
                <w:szCs w:val="21"/>
              </w:rPr>
            </w:pPr>
          </w:p>
        </w:tc>
        <w:tc>
          <w:tcPr>
            <w:tcW w:w="217" w:type="dxa"/>
          </w:tcPr>
          <w:p w14:paraId="3CE471A3" w14:textId="77777777" w:rsidR="002C0FD9" w:rsidRPr="00CA25CF" w:rsidRDefault="002C0FD9" w:rsidP="00CA25CF">
            <w:pPr>
              <w:rPr>
                <w:rFonts w:cs="Arial"/>
                <w:color w:val="FF0000"/>
                <w:sz w:val="21"/>
                <w:szCs w:val="21"/>
              </w:rPr>
            </w:pPr>
          </w:p>
        </w:tc>
        <w:tc>
          <w:tcPr>
            <w:tcW w:w="217" w:type="dxa"/>
          </w:tcPr>
          <w:p w14:paraId="22E848BE" w14:textId="77777777" w:rsidR="002C0FD9" w:rsidRPr="00CA25CF" w:rsidRDefault="002C0FD9" w:rsidP="00CA25CF">
            <w:pPr>
              <w:rPr>
                <w:rFonts w:cs="Arial"/>
                <w:color w:val="FF0000"/>
                <w:sz w:val="21"/>
                <w:szCs w:val="21"/>
              </w:rPr>
            </w:pPr>
          </w:p>
        </w:tc>
        <w:tc>
          <w:tcPr>
            <w:tcW w:w="217" w:type="dxa"/>
          </w:tcPr>
          <w:p w14:paraId="443B6249" w14:textId="77777777" w:rsidR="002C0FD9" w:rsidRPr="00CA25CF" w:rsidRDefault="002C0FD9" w:rsidP="00CA25CF">
            <w:pPr>
              <w:rPr>
                <w:rFonts w:cs="Arial"/>
                <w:color w:val="FF0000"/>
                <w:sz w:val="21"/>
                <w:szCs w:val="21"/>
              </w:rPr>
            </w:pPr>
          </w:p>
        </w:tc>
        <w:tc>
          <w:tcPr>
            <w:tcW w:w="217" w:type="dxa"/>
          </w:tcPr>
          <w:p w14:paraId="35366C60" w14:textId="77777777" w:rsidR="002C0FD9" w:rsidRPr="00CA25CF" w:rsidRDefault="002C0FD9" w:rsidP="00CA25CF">
            <w:pPr>
              <w:rPr>
                <w:rFonts w:cs="Arial"/>
                <w:color w:val="FF0000"/>
                <w:sz w:val="21"/>
                <w:szCs w:val="21"/>
              </w:rPr>
            </w:pPr>
          </w:p>
        </w:tc>
        <w:tc>
          <w:tcPr>
            <w:tcW w:w="217" w:type="dxa"/>
          </w:tcPr>
          <w:p w14:paraId="03E88143" w14:textId="77777777" w:rsidR="002C0FD9" w:rsidRPr="00CA25CF" w:rsidRDefault="002C0FD9" w:rsidP="00CA25CF">
            <w:pPr>
              <w:rPr>
                <w:rFonts w:cs="Arial"/>
                <w:color w:val="FF0000"/>
                <w:sz w:val="21"/>
                <w:szCs w:val="21"/>
              </w:rPr>
            </w:pPr>
          </w:p>
        </w:tc>
        <w:tc>
          <w:tcPr>
            <w:tcW w:w="217" w:type="dxa"/>
          </w:tcPr>
          <w:p w14:paraId="09B3876A" w14:textId="77777777" w:rsidR="002C0FD9" w:rsidRPr="00CA25CF" w:rsidRDefault="002C0FD9" w:rsidP="00CA25CF">
            <w:pPr>
              <w:rPr>
                <w:rFonts w:cs="Arial"/>
                <w:color w:val="FF0000"/>
                <w:sz w:val="21"/>
                <w:szCs w:val="21"/>
              </w:rPr>
            </w:pPr>
          </w:p>
        </w:tc>
        <w:tc>
          <w:tcPr>
            <w:tcW w:w="217" w:type="dxa"/>
          </w:tcPr>
          <w:p w14:paraId="475E9718" w14:textId="77777777" w:rsidR="002C0FD9" w:rsidRPr="00CA25CF" w:rsidRDefault="002C0FD9" w:rsidP="00CA25CF">
            <w:pPr>
              <w:rPr>
                <w:rFonts w:cs="Arial"/>
                <w:color w:val="FF0000"/>
                <w:sz w:val="21"/>
                <w:szCs w:val="21"/>
              </w:rPr>
            </w:pPr>
          </w:p>
        </w:tc>
        <w:tc>
          <w:tcPr>
            <w:tcW w:w="217" w:type="dxa"/>
          </w:tcPr>
          <w:p w14:paraId="12D7464B" w14:textId="77777777" w:rsidR="002C0FD9" w:rsidRPr="00CA25CF" w:rsidRDefault="002C0FD9" w:rsidP="00CA25CF">
            <w:pPr>
              <w:rPr>
                <w:rFonts w:cs="Arial"/>
                <w:color w:val="FF0000"/>
                <w:sz w:val="21"/>
                <w:szCs w:val="21"/>
              </w:rPr>
            </w:pPr>
          </w:p>
        </w:tc>
        <w:tc>
          <w:tcPr>
            <w:tcW w:w="217" w:type="dxa"/>
          </w:tcPr>
          <w:p w14:paraId="67B0652A" w14:textId="77777777" w:rsidR="002C0FD9" w:rsidRPr="00CA25CF" w:rsidRDefault="002C0FD9" w:rsidP="00CA25CF">
            <w:pPr>
              <w:rPr>
                <w:rFonts w:cs="Arial"/>
                <w:color w:val="FF0000"/>
                <w:sz w:val="21"/>
                <w:szCs w:val="21"/>
              </w:rPr>
            </w:pPr>
          </w:p>
        </w:tc>
        <w:tc>
          <w:tcPr>
            <w:tcW w:w="217" w:type="dxa"/>
          </w:tcPr>
          <w:p w14:paraId="7525E5C1" w14:textId="77777777" w:rsidR="002C0FD9" w:rsidRPr="00CA25CF" w:rsidRDefault="002C0FD9" w:rsidP="00CA25CF">
            <w:pPr>
              <w:rPr>
                <w:rFonts w:cs="Arial"/>
                <w:color w:val="FF0000"/>
                <w:sz w:val="21"/>
                <w:szCs w:val="21"/>
              </w:rPr>
            </w:pPr>
          </w:p>
        </w:tc>
        <w:tc>
          <w:tcPr>
            <w:tcW w:w="217" w:type="dxa"/>
          </w:tcPr>
          <w:p w14:paraId="49EC13B9" w14:textId="77777777" w:rsidR="002C0FD9" w:rsidRPr="00CA25CF" w:rsidRDefault="002C0FD9" w:rsidP="00CA25CF">
            <w:pPr>
              <w:rPr>
                <w:rFonts w:cs="Arial"/>
                <w:color w:val="FF0000"/>
                <w:sz w:val="21"/>
                <w:szCs w:val="21"/>
              </w:rPr>
            </w:pPr>
          </w:p>
        </w:tc>
        <w:tc>
          <w:tcPr>
            <w:tcW w:w="217" w:type="dxa"/>
          </w:tcPr>
          <w:p w14:paraId="00BD8EBB" w14:textId="77777777" w:rsidR="002C0FD9" w:rsidRPr="00CA25CF" w:rsidRDefault="002C0FD9" w:rsidP="00CA25CF">
            <w:pPr>
              <w:rPr>
                <w:rFonts w:cs="Arial"/>
                <w:color w:val="FF0000"/>
                <w:sz w:val="21"/>
                <w:szCs w:val="21"/>
              </w:rPr>
            </w:pPr>
          </w:p>
        </w:tc>
        <w:tc>
          <w:tcPr>
            <w:tcW w:w="217" w:type="dxa"/>
          </w:tcPr>
          <w:p w14:paraId="03194C57" w14:textId="77777777" w:rsidR="002C0FD9" w:rsidRPr="00CA25CF" w:rsidRDefault="002C0FD9" w:rsidP="00CA25CF">
            <w:pPr>
              <w:rPr>
                <w:rFonts w:cs="Arial"/>
                <w:color w:val="FF0000"/>
                <w:sz w:val="21"/>
                <w:szCs w:val="21"/>
              </w:rPr>
            </w:pPr>
          </w:p>
        </w:tc>
        <w:tc>
          <w:tcPr>
            <w:tcW w:w="217" w:type="dxa"/>
          </w:tcPr>
          <w:p w14:paraId="7C92661E" w14:textId="77777777" w:rsidR="002C0FD9" w:rsidRPr="00CA25CF" w:rsidRDefault="002C0FD9" w:rsidP="00CA25CF">
            <w:pPr>
              <w:rPr>
                <w:rFonts w:cs="Arial"/>
                <w:color w:val="FF0000"/>
                <w:sz w:val="21"/>
                <w:szCs w:val="21"/>
              </w:rPr>
            </w:pPr>
          </w:p>
        </w:tc>
        <w:tc>
          <w:tcPr>
            <w:tcW w:w="217" w:type="dxa"/>
          </w:tcPr>
          <w:p w14:paraId="1764814D" w14:textId="77777777" w:rsidR="002C0FD9" w:rsidRPr="00CA25CF" w:rsidRDefault="002C0FD9" w:rsidP="00CA25CF">
            <w:pPr>
              <w:rPr>
                <w:rFonts w:cs="Arial"/>
                <w:color w:val="FF0000"/>
                <w:sz w:val="21"/>
                <w:szCs w:val="21"/>
              </w:rPr>
            </w:pPr>
          </w:p>
        </w:tc>
        <w:tc>
          <w:tcPr>
            <w:tcW w:w="217" w:type="dxa"/>
          </w:tcPr>
          <w:p w14:paraId="05C11D73" w14:textId="77777777" w:rsidR="002C0FD9" w:rsidRPr="00CA25CF" w:rsidRDefault="002C0FD9" w:rsidP="00CA25CF">
            <w:pPr>
              <w:rPr>
                <w:rFonts w:cs="Arial"/>
                <w:color w:val="FF0000"/>
                <w:sz w:val="21"/>
                <w:szCs w:val="21"/>
              </w:rPr>
            </w:pPr>
          </w:p>
        </w:tc>
        <w:tc>
          <w:tcPr>
            <w:tcW w:w="217" w:type="dxa"/>
          </w:tcPr>
          <w:p w14:paraId="5C937A46" w14:textId="77777777" w:rsidR="002C0FD9" w:rsidRPr="00CA25CF" w:rsidRDefault="002C0FD9" w:rsidP="00CA25CF">
            <w:pPr>
              <w:rPr>
                <w:rFonts w:cs="Arial"/>
                <w:color w:val="FF0000"/>
                <w:sz w:val="21"/>
                <w:szCs w:val="21"/>
              </w:rPr>
            </w:pPr>
          </w:p>
        </w:tc>
        <w:tc>
          <w:tcPr>
            <w:tcW w:w="217" w:type="dxa"/>
          </w:tcPr>
          <w:p w14:paraId="20C6C3CC" w14:textId="77777777" w:rsidR="002C0FD9" w:rsidRPr="00CA25CF" w:rsidRDefault="002C0FD9" w:rsidP="00CA25CF">
            <w:pPr>
              <w:rPr>
                <w:rFonts w:cs="Arial"/>
                <w:color w:val="FF0000"/>
                <w:sz w:val="21"/>
                <w:szCs w:val="21"/>
              </w:rPr>
            </w:pPr>
          </w:p>
        </w:tc>
        <w:tc>
          <w:tcPr>
            <w:tcW w:w="217" w:type="dxa"/>
          </w:tcPr>
          <w:p w14:paraId="04521FF6" w14:textId="77777777" w:rsidR="002C0FD9" w:rsidRPr="00CA25CF" w:rsidRDefault="002C0FD9" w:rsidP="00CA25CF">
            <w:pPr>
              <w:rPr>
                <w:rFonts w:cs="Arial"/>
                <w:color w:val="FF0000"/>
                <w:sz w:val="21"/>
                <w:szCs w:val="21"/>
              </w:rPr>
            </w:pPr>
          </w:p>
        </w:tc>
        <w:tc>
          <w:tcPr>
            <w:tcW w:w="217" w:type="dxa"/>
          </w:tcPr>
          <w:p w14:paraId="5DA0D258" w14:textId="77777777" w:rsidR="002C0FD9" w:rsidRPr="00CA25CF" w:rsidRDefault="002C0FD9" w:rsidP="00CA25CF">
            <w:pPr>
              <w:rPr>
                <w:rFonts w:cs="Arial"/>
                <w:color w:val="FF0000"/>
                <w:sz w:val="21"/>
                <w:szCs w:val="21"/>
              </w:rPr>
            </w:pPr>
          </w:p>
        </w:tc>
        <w:tc>
          <w:tcPr>
            <w:tcW w:w="217" w:type="dxa"/>
          </w:tcPr>
          <w:p w14:paraId="7DB259B9" w14:textId="77777777" w:rsidR="002C0FD9" w:rsidRPr="00CA25CF" w:rsidRDefault="002C0FD9" w:rsidP="00CA25CF">
            <w:pPr>
              <w:rPr>
                <w:rFonts w:cs="Arial"/>
                <w:color w:val="FF0000"/>
                <w:sz w:val="21"/>
                <w:szCs w:val="21"/>
              </w:rPr>
            </w:pPr>
          </w:p>
        </w:tc>
      </w:tr>
      <w:tr w:rsidR="002C0FD9" w:rsidRPr="00A16219" w14:paraId="276B3027" w14:textId="77777777" w:rsidTr="002C0FD9">
        <w:trPr>
          <w:trHeight w:val="635"/>
        </w:trPr>
        <w:tc>
          <w:tcPr>
            <w:tcW w:w="515" w:type="dxa"/>
          </w:tcPr>
          <w:p w14:paraId="48E3DAD7" w14:textId="77777777" w:rsidR="002C0FD9" w:rsidRPr="00CA25CF" w:rsidRDefault="002C0FD9" w:rsidP="00CA25CF">
            <w:pPr>
              <w:rPr>
                <w:rFonts w:cs="Arial"/>
                <w:color w:val="FF0000"/>
                <w:sz w:val="21"/>
                <w:szCs w:val="21"/>
              </w:rPr>
            </w:pPr>
          </w:p>
        </w:tc>
        <w:tc>
          <w:tcPr>
            <w:tcW w:w="217" w:type="dxa"/>
          </w:tcPr>
          <w:p w14:paraId="684F3688" w14:textId="77777777" w:rsidR="002C0FD9" w:rsidRPr="00CA25CF" w:rsidRDefault="002C0FD9" w:rsidP="00CA25CF">
            <w:pPr>
              <w:rPr>
                <w:rFonts w:cs="Arial"/>
                <w:color w:val="FF0000"/>
                <w:sz w:val="21"/>
                <w:szCs w:val="21"/>
              </w:rPr>
            </w:pPr>
          </w:p>
        </w:tc>
        <w:tc>
          <w:tcPr>
            <w:tcW w:w="217" w:type="dxa"/>
          </w:tcPr>
          <w:p w14:paraId="41EBE3BC" w14:textId="77777777" w:rsidR="002C0FD9" w:rsidRPr="00CA25CF" w:rsidRDefault="002C0FD9" w:rsidP="00CA25CF">
            <w:pPr>
              <w:rPr>
                <w:rFonts w:cs="Arial"/>
                <w:color w:val="FF0000"/>
                <w:sz w:val="21"/>
                <w:szCs w:val="21"/>
              </w:rPr>
            </w:pPr>
          </w:p>
        </w:tc>
        <w:tc>
          <w:tcPr>
            <w:tcW w:w="217" w:type="dxa"/>
          </w:tcPr>
          <w:p w14:paraId="118C8575" w14:textId="77777777" w:rsidR="002C0FD9" w:rsidRPr="00CA25CF" w:rsidRDefault="002C0FD9" w:rsidP="00CA25CF">
            <w:pPr>
              <w:rPr>
                <w:rFonts w:cs="Arial"/>
                <w:color w:val="FF0000"/>
                <w:sz w:val="21"/>
                <w:szCs w:val="21"/>
              </w:rPr>
            </w:pPr>
          </w:p>
        </w:tc>
        <w:tc>
          <w:tcPr>
            <w:tcW w:w="217" w:type="dxa"/>
          </w:tcPr>
          <w:p w14:paraId="56E88B08" w14:textId="77777777" w:rsidR="002C0FD9" w:rsidRPr="00CA25CF" w:rsidRDefault="002C0FD9" w:rsidP="00CA25CF">
            <w:pPr>
              <w:rPr>
                <w:rFonts w:cs="Arial"/>
                <w:color w:val="FF0000"/>
                <w:sz w:val="21"/>
                <w:szCs w:val="21"/>
              </w:rPr>
            </w:pPr>
          </w:p>
        </w:tc>
        <w:tc>
          <w:tcPr>
            <w:tcW w:w="217" w:type="dxa"/>
          </w:tcPr>
          <w:p w14:paraId="322A8E38" w14:textId="77777777" w:rsidR="002C0FD9" w:rsidRPr="00CA25CF" w:rsidRDefault="002C0FD9" w:rsidP="00CA25CF">
            <w:pPr>
              <w:rPr>
                <w:rFonts w:cs="Arial"/>
                <w:color w:val="FF0000"/>
                <w:sz w:val="21"/>
                <w:szCs w:val="21"/>
              </w:rPr>
            </w:pPr>
          </w:p>
        </w:tc>
        <w:tc>
          <w:tcPr>
            <w:tcW w:w="217" w:type="dxa"/>
          </w:tcPr>
          <w:p w14:paraId="259ECBCB" w14:textId="77777777" w:rsidR="002C0FD9" w:rsidRPr="00CA25CF" w:rsidRDefault="002C0FD9" w:rsidP="00CA25CF">
            <w:pPr>
              <w:rPr>
                <w:rFonts w:cs="Arial"/>
                <w:color w:val="FF0000"/>
                <w:sz w:val="21"/>
                <w:szCs w:val="21"/>
              </w:rPr>
            </w:pPr>
          </w:p>
        </w:tc>
        <w:tc>
          <w:tcPr>
            <w:tcW w:w="217" w:type="dxa"/>
          </w:tcPr>
          <w:p w14:paraId="57FCEF3B" w14:textId="77777777" w:rsidR="002C0FD9" w:rsidRPr="00CA25CF" w:rsidRDefault="002C0FD9" w:rsidP="00CA25CF">
            <w:pPr>
              <w:rPr>
                <w:rFonts w:cs="Arial"/>
                <w:color w:val="FF0000"/>
                <w:sz w:val="21"/>
                <w:szCs w:val="21"/>
              </w:rPr>
            </w:pPr>
          </w:p>
        </w:tc>
        <w:tc>
          <w:tcPr>
            <w:tcW w:w="217" w:type="dxa"/>
          </w:tcPr>
          <w:p w14:paraId="1D728506" w14:textId="77777777" w:rsidR="002C0FD9" w:rsidRPr="00CA25CF" w:rsidRDefault="002C0FD9" w:rsidP="00CA25CF">
            <w:pPr>
              <w:rPr>
                <w:rFonts w:cs="Arial"/>
                <w:color w:val="FF0000"/>
                <w:sz w:val="21"/>
                <w:szCs w:val="21"/>
              </w:rPr>
            </w:pPr>
          </w:p>
        </w:tc>
        <w:tc>
          <w:tcPr>
            <w:tcW w:w="217" w:type="dxa"/>
          </w:tcPr>
          <w:p w14:paraId="4D6601CF" w14:textId="77777777" w:rsidR="002C0FD9" w:rsidRPr="00CA25CF" w:rsidRDefault="002C0FD9" w:rsidP="00CA25CF">
            <w:pPr>
              <w:rPr>
                <w:rFonts w:cs="Arial"/>
                <w:color w:val="FF0000"/>
                <w:sz w:val="21"/>
                <w:szCs w:val="21"/>
              </w:rPr>
            </w:pPr>
          </w:p>
        </w:tc>
        <w:tc>
          <w:tcPr>
            <w:tcW w:w="217" w:type="dxa"/>
          </w:tcPr>
          <w:p w14:paraId="5D6038BD" w14:textId="77777777" w:rsidR="002C0FD9" w:rsidRPr="00CA25CF" w:rsidRDefault="002C0FD9" w:rsidP="00CA25CF">
            <w:pPr>
              <w:rPr>
                <w:rFonts w:cs="Arial"/>
                <w:color w:val="FF0000"/>
                <w:sz w:val="21"/>
                <w:szCs w:val="21"/>
              </w:rPr>
            </w:pPr>
          </w:p>
        </w:tc>
        <w:tc>
          <w:tcPr>
            <w:tcW w:w="217" w:type="dxa"/>
          </w:tcPr>
          <w:p w14:paraId="4F6DA2FF" w14:textId="77777777" w:rsidR="002C0FD9" w:rsidRPr="00CA25CF" w:rsidRDefault="002C0FD9" w:rsidP="00CA25CF">
            <w:pPr>
              <w:rPr>
                <w:rFonts w:cs="Arial"/>
                <w:color w:val="FF0000"/>
                <w:sz w:val="21"/>
                <w:szCs w:val="21"/>
              </w:rPr>
            </w:pPr>
          </w:p>
        </w:tc>
        <w:tc>
          <w:tcPr>
            <w:tcW w:w="217" w:type="dxa"/>
          </w:tcPr>
          <w:p w14:paraId="3C12DF89" w14:textId="77777777" w:rsidR="002C0FD9" w:rsidRPr="00CA25CF" w:rsidRDefault="002C0FD9" w:rsidP="00CA25CF">
            <w:pPr>
              <w:rPr>
                <w:rFonts w:cs="Arial"/>
                <w:color w:val="FF0000"/>
                <w:sz w:val="21"/>
                <w:szCs w:val="21"/>
              </w:rPr>
            </w:pPr>
          </w:p>
        </w:tc>
        <w:tc>
          <w:tcPr>
            <w:tcW w:w="217" w:type="dxa"/>
          </w:tcPr>
          <w:p w14:paraId="3B166EE0" w14:textId="77777777" w:rsidR="002C0FD9" w:rsidRPr="00CA25CF" w:rsidRDefault="002C0FD9" w:rsidP="00CA25CF">
            <w:pPr>
              <w:rPr>
                <w:rFonts w:cs="Arial"/>
                <w:color w:val="FF0000"/>
                <w:sz w:val="21"/>
                <w:szCs w:val="21"/>
              </w:rPr>
            </w:pPr>
          </w:p>
        </w:tc>
        <w:tc>
          <w:tcPr>
            <w:tcW w:w="217" w:type="dxa"/>
          </w:tcPr>
          <w:p w14:paraId="66A854A0" w14:textId="77777777" w:rsidR="002C0FD9" w:rsidRPr="00CA25CF" w:rsidRDefault="002C0FD9" w:rsidP="00CA25CF">
            <w:pPr>
              <w:rPr>
                <w:rFonts w:cs="Arial"/>
                <w:color w:val="FF0000"/>
                <w:sz w:val="21"/>
                <w:szCs w:val="21"/>
              </w:rPr>
            </w:pPr>
          </w:p>
        </w:tc>
        <w:tc>
          <w:tcPr>
            <w:tcW w:w="217" w:type="dxa"/>
          </w:tcPr>
          <w:p w14:paraId="62C36261" w14:textId="77777777" w:rsidR="002C0FD9" w:rsidRPr="00CA25CF" w:rsidRDefault="002C0FD9" w:rsidP="00CA25CF">
            <w:pPr>
              <w:rPr>
                <w:rFonts w:cs="Arial"/>
                <w:color w:val="FF0000"/>
                <w:sz w:val="21"/>
                <w:szCs w:val="21"/>
              </w:rPr>
            </w:pPr>
          </w:p>
        </w:tc>
        <w:tc>
          <w:tcPr>
            <w:tcW w:w="217" w:type="dxa"/>
          </w:tcPr>
          <w:p w14:paraId="7CA1FE6C" w14:textId="77777777" w:rsidR="002C0FD9" w:rsidRPr="00CA25CF" w:rsidRDefault="002C0FD9" w:rsidP="00CA25CF">
            <w:pPr>
              <w:rPr>
                <w:rFonts w:cs="Arial"/>
                <w:color w:val="FF0000"/>
                <w:sz w:val="21"/>
                <w:szCs w:val="21"/>
              </w:rPr>
            </w:pPr>
          </w:p>
        </w:tc>
        <w:tc>
          <w:tcPr>
            <w:tcW w:w="217" w:type="dxa"/>
          </w:tcPr>
          <w:p w14:paraId="6DAA779B" w14:textId="77777777" w:rsidR="002C0FD9" w:rsidRPr="00CA25CF" w:rsidRDefault="002C0FD9" w:rsidP="00CA25CF">
            <w:pPr>
              <w:rPr>
                <w:rFonts w:cs="Arial"/>
                <w:color w:val="FF0000"/>
                <w:sz w:val="21"/>
                <w:szCs w:val="21"/>
              </w:rPr>
            </w:pPr>
          </w:p>
        </w:tc>
        <w:tc>
          <w:tcPr>
            <w:tcW w:w="217" w:type="dxa"/>
          </w:tcPr>
          <w:p w14:paraId="3FBB779C" w14:textId="77777777" w:rsidR="002C0FD9" w:rsidRPr="00CA25CF" w:rsidRDefault="002C0FD9" w:rsidP="00CA25CF">
            <w:pPr>
              <w:rPr>
                <w:rFonts w:cs="Arial"/>
                <w:color w:val="FF0000"/>
                <w:sz w:val="21"/>
                <w:szCs w:val="21"/>
              </w:rPr>
            </w:pPr>
          </w:p>
        </w:tc>
        <w:tc>
          <w:tcPr>
            <w:tcW w:w="217" w:type="dxa"/>
          </w:tcPr>
          <w:p w14:paraId="15E870B8" w14:textId="77777777" w:rsidR="002C0FD9" w:rsidRPr="00CA25CF" w:rsidRDefault="002C0FD9" w:rsidP="00CA25CF">
            <w:pPr>
              <w:rPr>
                <w:rFonts w:cs="Arial"/>
                <w:color w:val="FF0000"/>
                <w:sz w:val="21"/>
                <w:szCs w:val="21"/>
              </w:rPr>
            </w:pPr>
          </w:p>
        </w:tc>
        <w:tc>
          <w:tcPr>
            <w:tcW w:w="217" w:type="dxa"/>
          </w:tcPr>
          <w:p w14:paraId="1138FC8B" w14:textId="77777777" w:rsidR="002C0FD9" w:rsidRPr="00CA25CF" w:rsidRDefault="002C0FD9" w:rsidP="00CA25CF">
            <w:pPr>
              <w:rPr>
                <w:rFonts w:cs="Arial"/>
                <w:color w:val="FF0000"/>
                <w:sz w:val="21"/>
                <w:szCs w:val="21"/>
              </w:rPr>
            </w:pPr>
          </w:p>
        </w:tc>
        <w:tc>
          <w:tcPr>
            <w:tcW w:w="217" w:type="dxa"/>
          </w:tcPr>
          <w:p w14:paraId="523D0EBA" w14:textId="77777777" w:rsidR="002C0FD9" w:rsidRPr="00CA25CF" w:rsidRDefault="002C0FD9" w:rsidP="00CA25CF">
            <w:pPr>
              <w:rPr>
                <w:rFonts w:cs="Arial"/>
                <w:color w:val="FF0000"/>
                <w:sz w:val="21"/>
                <w:szCs w:val="21"/>
              </w:rPr>
            </w:pPr>
          </w:p>
        </w:tc>
        <w:tc>
          <w:tcPr>
            <w:tcW w:w="217" w:type="dxa"/>
          </w:tcPr>
          <w:p w14:paraId="0B6AD22F" w14:textId="77777777" w:rsidR="002C0FD9" w:rsidRPr="00CA25CF" w:rsidRDefault="002C0FD9" w:rsidP="00CA25CF">
            <w:pPr>
              <w:rPr>
                <w:rFonts w:cs="Arial"/>
                <w:color w:val="FF0000"/>
                <w:sz w:val="21"/>
                <w:szCs w:val="21"/>
              </w:rPr>
            </w:pPr>
          </w:p>
        </w:tc>
        <w:tc>
          <w:tcPr>
            <w:tcW w:w="217" w:type="dxa"/>
          </w:tcPr>
          <w:p w14:paraId="1C0E1C09" w14:textId="77777777" w:rsidR="002C0FD9" w:rsidRPr="00CA25CF" w:rsidRDefault="002C0FD9" w:rsidP="00CA25CF">
            <w:pPr>
              <w:rPr>
                <w:rFonts w:cs="Arial"/>
                <w:color w:val="FF0000"/>
                <w:sz w:val="21"/>
                <w:szCs w:val="21"/>
              </w:rPr>
            </w:pPr>
          </w:p>
        </w:tc>
        <w:tc>
          <w:tcPr>
            <w:tcW w:w="217" w:type="dxa"/>
          </w:tcPr>
          <w:p w14:paraId="64563945" w14:textId="77777777" w:rsidR="002C0FD9" w:rsidRPr="00CA25CF" w:rsidRDefault="002C0FD9" w:rsidP="00CA25CF">
            <w:pPr>
              <w:rPr>
                <w:rFonts w:cs="Arial"/>
                <w:color w:val="FF0000"/>
                <w:sz w:val="21"/>
                <w:szCs w:val="21"/>
              </w:rPr>
            </w:pPr>
          </w:p>
        </w:tc>
        <w:tc>
          <w:tcPr>
            <w:tcW w:w="217" w:type="dxa"/>
          </w:tcPr>
          <w:p w14:paraId="5ADFE827" w14:textId="77777777" w:rsidR="002C0FD9" w:rsidRPr="00CA25CF" w:rsidRDefault="002C0FD9" w:rsidP="00CA25CF">
            <w:pPr>
              <w:rPr>
                <w:rFonts w:cs="Arial"/>
                <w:color w:val="FF0000"/>
                <w:sz w:val="21"/>
                <w:szCs w:val="21"/>
              </w:rPr>
            </w:pPr>
          </w:p>
        </w:tc>
        <w:tc>
          <w:tcPr>
            <w:tcW w:w="217" w:type="dxa"/>
          </w:tcPr>
          <w:p w14:paraId="5ADA0312" w14:textId="77777777" w:rsidR="002C0FD9" w:rsidRPr="00CA25CF" w:rsidRDefault="002C0FD9" w:rsidP="00CA25CF">
            <w:pPr>
              <w:rPr>
                <w:rFonts w:cs="Arial"/>
                <w:color w:val="FF0000"/>
                <w:sz w:val="21"/>
                <w:szCs w:val="21"/>
              </w:rPr>
            </w:pPr>
          </w:p>
        </w:tc>
        <w:tc>
          <w:tcPr>
            <w:tcW w:w="217" w:type="dxa"/>
          </w:tcPr>
          <w:p w14:paraId="78B4C0BF" w14:textId="77777777" w:rsidR="002C0FD9" w:rsidRPr="00CA25CF" w:rsidRDefault="002C0FD9" w:rsidP="00CA25CF">
            <w:pPr>
              <w:rPr>
                <w:rFonts w:cs="Arial"/>
                <w:color w:val="FF0000"/>
                <w:sz w:val="21"/>
                <w:szCs w:val="21"/>
              </w:rPr>
            </w:pPr>
          </w:p>
        </w:tc>
        <w:tc>
          <w:tcPr>
            <w:tcW w:w="217" w:type="dxa"/>
          </w:tcPr>
          <w:p w14:paraId="49535F37" w14:textId="77777777" w:rsidR="002C0FD9" w:rsidRPr="00CA25CF" w:rsidRDefault="002C0FD9" w:rsidP="00CA25CF">
            <w:pPr>
              <w:rPr>
                <w:rFonts w:cs="Arial"/>
                <w:color w:val="FF0000"/>
                <w:sz w:val="21"/>
                <w:szCs w:val="21"/>
              </w:rPr>
            </w:pPr>
          </w:p>
        </w:tc>
        <w:tc>
          <w:tcPr>
            <w:tcW w:w="217" w:type="dxa"/>
          </w:tcPr>
          <w:p w14:paraId="1E78962D" w14:textId="77777777" w:rsidR="002C0FD9" w:rsidRPr="00CA25CF" w:rsidRDefault="002C0FD9" w:rsidP="00CA25CF">
            <w:pPr>
              <w:rPr>
                <w:rFonts w:cs="Arial"/>
                <w:color w:val="FF0000"/>
                <w:sz w:val="21"/>
                <w:szCs w:val="21"/>
              </w:rPr>
            </w:pPr>
          </w:p>
        </w:tc>
        <w:tc>
          <w:tcPr>
            <w:tcW w:w="217" w:type="dxa"/>
          </w:tcPr>
          <w:p w14:paraId="132603FB" w14:textId="77777777" w:rsidR="002C0FD9" w:rsidRPr="00CA25CF" w:rsidRDefault="002C0FD9" w:rsidP="00CA25CF">
            <w:pPr>
              <w:rPr>
                <w:rFonts w:cs="Arial"/>
                <w:color w:val="FF0000"/>
                <w:sz w:val="21"/>
                <w:szCs w:val="21"/>
              </w:rPr>
            </w:pPr>
          </w:p>
        </w:tc>
        <w:tc>
          <w:tcPr>
            <w:tcW w:w="217" w:type="dxa"/>
          </w:tcPr>
          <w:p w14:paraId="34738089" w14:textId="77777777" w:rsidR="002C0FD9" w:rsidRPr="00CA25CF" w:rsidRDefault="002C0FD9" w:rsidP="00CA25CF">
            <w:pPr>
              <w:rPr>
                <w:rFonts w:cs="Arial"/>
                <w:color w:val="FF0000"/>
                <w:sz w:val="21"/>
                <w:szCs w:val="21"/>
              </w:rPr>
            </w:pPr>
          </w:p>
        </w:tc>
        <w:tc>
          <w:tcPr>
            <w:tcW w:w="217" w:type="dxa"/>
          </w:tcPr>
          <w:p w14:paraId="4E16E521" w14:textId="77777777" w:rsidR="002C0FD9" w:rsidRPr="00CA25CF" w:rsidRDefault="002C0FD9" w:rsidP="00CA25CF">
            <w:pPr>
              <w:rPr>
                <w:rFonts w:cs="Arial"/>
                <w:color w:val="FF0000"/>
                <w:sz w:val="21"/>
                <w:szCs w:val="21"/>
              </w:rPr>
            </w:pPr>
          </w:p>
        </w:tc>
        <w:tc>
          <w:tcPr>
            <w:tcW w:w="217" w:type="dxa"/>
          </w:tcPr>
          <w:p w14:paraId="5F610944" w14:textId="77777777" w:rsidR="002C0FD9" w:rsidRPr="00CA25CF" w:rsidRDefault="002C0FD9" w:rsidP="00CA25CF">
            <w:pPr>
              <w:rPr>
                <w:rFonts w:cs="Arial"/>
                <w:color w:val="FF0000"/>
                <w:sz w:val="21"/>
                <w:szCs w:val="21"/>
              </w:rPr>
            </w:pPr>
          </w:p>
        </w:tc>
        <w:tc>
          <w:tcPr>
            <w:tcW w:w="217" w:type="dxa"/>
          </w:tcPr>
          <w:p w14:paraId="28AD4D39" w14:textId="77777777" w:rsidR="002C0FD9" w:rsidRPr="00CA25CF" w:rsidRDefault="002C0FD9" w:rsidP="00CA25CF">
            <w:pPr>
              <w:rPr>
                <w:rFonts w:cs="Arial"/>
                <w:color w:val="FF0000"/>
                <w:sz w:val="21"/>
                <w:szCs w:val="21"/>
              </w:rPr>
            </w:pPr>
          </w:p>
        </w:tc>
        <w:tc>
          <w:tcPr>
            <w:tcW w:w="217" w:type="dxa"/>
          </w:tcPr>
          <w:p w14:paraId="1B783D2E" w14:textId="77777777" w:rsidR="002C0FD9" w:rsidRPr="00CA25CF" w:rsidRDefault="002C0FD9" w:rsidP="00CA25CF">
            <w:pPr>
              <w:rPr>
                <w:rFonts w:cs="Arial"/>
                <w:color w:val="FF0000"/>
                <w:sz w:val="21"/>
                <w:szCs w:val="21"/>
              </w:rPr>
            </w:pPr>
          </w:p>
        </w:tc>
        <w:tc>
          <w:tcPr>
            <w:tcW w:w="217" w:type="dxa"/>
          </w:tcPr>
          <w:p w14:paraId="6ECFCD66" w14:textId="77777777" w:rsidR="002C0FD9" w:rsidRPr="00CA25CF" w:rsidRDefault="002C0FD9" w:rsidP="00CA25CF">
            <w:pPr>
              <w:rPr>
                <w:rFonts w:cs="Arial"/>
                <w:color w:val="FF0000"/>
                <w:sz w:val="21"/>
                <w:szCs w:val="21"/>
              </w:rPr>
            </w:pPr>
          </w:p>
        </w:tc>
        <w:tc>
          <w:tcPr>
            <w:tcW w:w="217" w:type="dxa"/>
          </w:tcPr>
          <w:p w14:paraId="3507AB08" w14:textId="77777777" w:rsidR="002C0FD9" w:rsidRPr="00CA25CF" w:rsidRDefault="002C0FD9" w:rsidP="00CA25CF">
            <w:pPr>
              <w:rPr>
                <w:rFonts w:cs="Arial"/>
                <w:color w:val="FF0000"/>
                <w:sz w:val="21"/>
                <w:szCs w:val="21"/>
              </w:rPr>
            </w:pPr>
          </w:p>
        </w:tc>
        <w:tc>
          <w:tcPr>
            <w:tcW w:w="217" w:type="dxa"/>
          </w:tcPr>
          <w:p w14:paraId="023917D2" w14:textId="77777777" w:rsidR="002C0FD9" w:rsidRPr="00CA25CF" w:rsidRDefault="002C0FD9" w:rsidP="00CA25CF">
            <w:pPr>
              <w:rPr>
                <w:rFonts w:cs="Arial"/>
                <w:color w:val="FF0000"/>
                <w:sz w:val="21"/>
                <w:szCs w:val="21"/>
              </w:rPr>
            </w:pPr>
          </w:p>
        </w:tc>
        <w:tc>
          <w:tcPr>
            <w:tcW w:w="217" w:type="dxa"/>
          </w:tcPr>
          <w:p w14:paraId="63537275" w14:textId="77777777" w:rsidR="002C0FD9" w:rsidRPr="00CA25CF" w:rsidRDefault="002C0FD9" w:rsidP="00CA25CF">
            <w:pPr>
              <w:rPr>
                <w:rFonts w:cs="Arial"/>
                <w:color w:val="FF0000"/>
                <w:sz w:val="21"/>
                <w:szCs w:val="21"/>
              </w:rPr>
            </w:pPr>
          </w:p>
        </w:tc>
        <w:tc>
          <w:tcPr>
            <w:tcW w:w="217" w:type="dxa"/>
          </w:tcPr>
          <w:p w14:paraId="135AE1ED" w14:textId="77777777" w:rsidR="002C0FD9" w:rsidRPr="00CA25CF" w:rsidRDefault="002C0FD9" w:rsidP="00CA25CF">
            <w:pPr>
              <w:rPr>
                <w:rFonts w:cs="Arial"/>
                <w:color w:val="FF0000"/>
                <w:sz w:val="21"/>
                <w:szCs w:val="21"/>
              </w:rPr>
            </w:pPr>
          </w:p>
        </w:tc>
        <w:tc>
          <w:tcPr>
            <w:tcW w:w="217" w:type="dxa"/>
          </w:tcPr>
          <w:p w14:paraId="209A0F66" w14:textId="77777777" w:rsidR="002C0FD9" w:rsidRPr="00CA25CF" w:rsidRDefault="002C0FD9" w:rsidP="00CA25CF">
            <w:pPr>
              <w:rPr>
                <w:rFonts w:cs="Arial"/>
                <w:color w:val="FF0000"/>
                <w:sz w:val="21"/>
                <w:szCs w:val="21"/>
              </w:rPr>
            </w:pPr>
          </w:p>
        </w:tc>
        <w:tc>
          <w:tcPr>
            <w:tcW w:w="217" w:type="dxa"/>
          </w:tcPr>
          <w:p w14:paraId="514D8EC6" w14:textId="77777777" w:rsidR="002C0FD9" w:rsidRPr="00CA25CF" w:rsidRDefault="002C0FD9" w:rsidP="00CA25CF">
            <w:pPr>
              <w:rPr>
                <w:rFonts w:cs="Arial"/>
                <w:color w:val="FF0000"/>
                <w:sz w:val="21"/>
                <w:szCs w:val="21"/>
              </w:rPr>
            </w:pPr>
          </w:p>
        </w:tc>
      </w:tr>
      <w:tr w:rsidR="002C0FD9" w:rsidRPr="00A16219" w14:paraId="52C9442D" w14:textId="77777777" w:rsidTr="002C0FD9">
        <w:trPr>
          <w:trHeight w:val="635"/>
        </w:trPr>
        <w:tc>
          <w:tcPr>
            <w:tcW w:w="515" w:type="dxa"/>
          </w:tcPr>
          <w:p w14:paraId="56230310" w14:textId="77777777" w:rsidR="002C0FD9" w:rsidRPr="00CA25CF" w:rsidRDefault="002C0FD9" w:rsidP="00CA25CF">
            <w:pPr>
              <w:rPr>
                <w:rFonts w:cs="Arial"/>
                <w:color w:val="FF0000"/>
                <w:sz w:val="21"/>
                <w:szCs w:val="21"/>
              </w:rPr>
            </w:pPr>
          </w:p>
        </w:tc>
        <w:tc>
          <w:tcPr>
            <w:tcW w:w="217" w:type="dxa"/>
          </w:tcPr>
          <w:p w14:paraId="18394DD0" w14:textId="77777777" w:rsidR="002C0FD9" w:rsidRPr="00CA25CF" w:rsidRDefault="002C0FD9" w:rsidP="00CA25CF">
            <w:pPr>
              <w:rPr>
                <w:rFonts w:cs="Arial"/>
                <w:color w:val="FF0000"/>
                <w:sz w:val="21"/>
                <w:szCs w:val="21"/>
              </w:rPr>
            </w:pPr>
          </w:p>
        </w:tc>
        <w:tc>
          <w:tcPr>
            <w:tcW w:w="217" w:type="dxa"/>
          </w:tcPr>
          <w:p w14:paraId="696AE599" w14:textId="77777777" w:rsidR="002C0FD9" w:rsidRPr="00CA25CF" w:rsidRDefault="002C0FD9" w:rsidP="00CA25CF">
            <w:pPr>
              <w:rPr>
                <w:rFonts w:cs="Arial"/>
                <w:color w:val="FF0000"/>
                <w:sz w:val="21"/>
                <w:szCs w:val="21"/>
              </w:rPr>
            </w:pPr>
          </w:p>
        </w:tc>
        <w:tc>
          <w:tcPr>
            <w:tcW w:w="217" w:type="dxa"/>
          </w:tcPr>
          <w:p w14:paraId="44F711E6" w14:textId="77777777" w:rsidR="002C0FD9" w:rsidRPr="00CA25CF" w:rsidRDefault="002C0FD9" w:rsidP="00CA25CF">
            <w:pPr>
              <w:rPr>
                <w:rFonts w:cs="Arial"/>
                <w:color w:val="FF0000"/>
                <w:sz w:val="21"/>
                <w:szCs w:val="21"/>
              </w:rPr>
            </w:pPr>
          </w:p>
        </w:tc>
        <w:tc>
          <w:tcPr>
            <w:tcW w:w="217" w:type="dxa"/>
          </w:tcPr>
          <w:p w14:paraId="55766CEF" w14:textId="77777777" w:rsidR="002C0FD9" w:rsidRPr="00CA25CF" w:rsidRDefault="002C0FD9" w:rsidP="00CA25CF">
            <w:pPr>
              <w:rPr>
                <w:rFonts w:cs="Arial"/>
                <w:color w:val="FF0000"/>
                <w:sz w:val="21"/>
                <w:szCs w:val="21"/>
              </w:rPr>
            </w:pPr>
          </w:p>
        </w:tc>
        <w:tc>
          <w:tcPr>
            <w:tcW w:w="217" w:type="dxa"/>
          </w:tcPr>
          <w:p w14:paraId="3B3DF87F" w14:textId="77777777" w:rsidR="002C0FD9" w:rsidRPr="00CA25CF" w:rsidRDefault="002C0FD9" w:rsidP="00CA25CF">
            <w:pPr>
              <w:rPr>
                <w:rFonts w:cs="Arial"/>
                <w:color w:val="FF0000"/>
                <w:sz w:val="21"/>
                <w:szCs w:val="21"/>
              </w:rPr>
            </w:pPr>
          </w:p>
        </w:tc>
        <w:tc>
          <w:tcPr>
            <w:tcW w:w="217" w:type="dxa"/>
          </w:tcPr>
          <w:p w14:paraId="5372FAA6" w14:textId="77777777" w:rsidR="002C0FD9" w:rsidRPr="00CA25CF" w:rsidRDefault="002C0FD9" w:rsidP="00CA25CF">
            <w:pPr>
              <w:rPr>
                <w:rFonts w:cs="Arial"/>
                <w:color w:val="FF0000"/>
                <w:sz w:val="21"/>
                <w:szCs w:val="21"/>
              </w:rPr>
            </w:pPr>
          </w:p>
        </w:tc>
        <w:tc>
          <w:tcPr>
            <w:tcW w:w="217" w:type="dxa"/>
          </w:tcPr>
          <w:p w14:paraId="7D069C53" w14:textId="77777777" w:rsidR="002C0FD9" w:rsidRPr="00CA25CF" w:rsidRDefault="002C0FD9" w:rsidP="00CA25CF">
            <w:pPr>
              <w:rPr>
                <w:rFonts w:cs="Arial"/>
                <w:color w:val="FF0000"/>
                <w:sz w:val="21"/>
                <w:szCs w:val="21"/>
              </w:rPr>
            </w:pPr>
          </w:p>
        </w:tc>
        <w:tc>
          <w:tcPr>
            <w:tcW w:w="217" w:type="dxa"/>
          </w:tcPr>
          <w:p w14:paraId="01A81D2F" w14:textId="77777777" w:rsidR="002C0FD9" w:rsidRPr="00CA25CF" w:rsidRDefault="002C0FD9" w:rsidP="00CA25CF">
            <w:pPr>
              <w:rPr>
                <w:rFonts w:cs="Arial"/>
                <w:color w:val="FF0000"/>
                <w:sz w:val="21"/>
                <w:szCs w:val="21"/>
              </w:rPr>
            </w:pPr>
          </w:p>
        </w:tc>
        <w:tc>
          <w:tcPr>
            <w:tcW w:w="217" w:type="dxa"/>
          </w:tcPr>
          <w:p w14:paraId="29743F4F" w14:textId="77777777" w:rsidR="002C0FD9" w:rsidRPr="00CA25CF" w:rsidRDefault="002C0FD9" w:rsidP="00CA25CF">
            <w:pPr>
              <w:rPr>
                <w:rFonts w:cs="Arial"/>
                <w:color w:val="FF0000"/>
                <w:sz w:val="21"/>
                <w:szCs w:val="21"/>
              </w:rPr>
            </w:pPr>
          </w:p>
        </w:tc>
        <w:tc>
          <w:tcPr>
            <w:tcW w:w="217" w:type="dxa"/>
          </w:tcPr>
          <w:p w14:paraId="6BAD8C1F" w14:textId="77777777" w:rsidR="002C0FD9" w:rsidRPr="00CA25CF" w:rsidRDefault="002C0FD9" w:rsidP="00CA25CF">
            <w:pPr>
              <w:rPr>
                <w:rFonts w:cs="Arial"/>
                <w:color w:val="FF0000"/>
                <w:sz w:val="21"/>
                <w:szCs w:val="21"/>
              </w:rPr>
            </w:pPr>
          </w:p>
        </w:tc>
        <w:tc>
          <w:tcPr>
            <w:tcW w:w="217" w:type="dxa"/>
          </w:tcPr>
          <w:p w14:paraId="7BE55F1B" w14:textId="77777777" w:rsidR="002C0FD9" w:rsidRPr="00CA25CF" w:rsidRDefault="002C0FD9" w:rsidP="00CA25CF">
            <w:pPr>
              <w:rPr>
                <w:rFonts w:cs="Arial"/>
                <w:color w:val="FF0000"/>
                <w:sz w:val="21"/>
                <w:szCs w:val="21"/>
              </w:rPr>
            </w:pPr>
          </w:p>
        </w:tc>
        <w:tc>
          <w:tcPr>
            <w:tcW w:w="217" w:type="dxa"/>
          </w:tcPr>
          <w:p w14:paraId="297E8F2A" w14:textId="77777777" w:rsidR="002C0FD9" w:rsidRPr="00CA25CF" w:rsidRDefault="002C0FD9" w:rsidP="00CA25CF">
            <w:pPr>
              <w:rPr>
                <w:rFonts w:cs="Arial"/>
                <w:color w:val="FF0000"/>
                <w:sz w:val="21"/>
                <w:szCs w:val="21"/>
              </w:rPr>
            </w:pPr>
          </w:p>
        </w:tc>
        <w:tc>
          <w:tcPr>
            <w:tcW w:w="217" w:type="dxa"/>
          </w:tcPr>
          <w:p w14:paraId="7746F793" w14:textId="77777777" w:rsidR="002C0FD9" w:rsidRPr="00CA25CF" w:rsidRDefault="002C0FD9" w:rsidP="00CA25CF">
            <w:pPr>
              <w:rPr>
                <w:rFonts w:cs="Arial"/>
                <w:color w:val="FF0000"/>
                <w:sz w:val="21"/>
                <w:szCs w:val="21"/>
              </w:rPr>
            </w:pPr>
          </w:p>
        </w:tc>
        <w:tc>
          <w:tcPr>
            <w:tcW w:w="217" w:type="dxa"/>
          </w:tcPr>
          <w:p w14:paraId="7894C0E1" w14:textId="77777777" w:rsidR="002C0FD9" w:rsidRPr="00CA25CF" w:rsidRDefault="002C0FD9" w:rsidP="00CA25CF">
            <w:pPr>
              <w:rPr>
                <w:rFonts w:cs="Arial"/>
                <w:color w:val="FF0000"/>
                <w:sz w:val="21"/>
                <w:szCs w:val="21"/>
              </w:rPr>
            </w:pPr>
          </w:p>
        </w:tc>
        <w:tc>
          <w:tcPr>
            <w:tcW w:w="217" w:type="dxa"/>
          </w:tcPr>
          <w:p w14:paraId="7DB868F4" w14:textId="77777777" w:rsidR="002C0FD9" w:rsidRPr="00CA25CF" w:rsidRDefault="002C0FD9" w:rsidP="00CA25CF">
            <w:pPr>
              <w:rPr>
                <w:rFonts w:cs="Arial"/>
                <w:color w:val="FF0000"/>
                <w:sz w:val="21"/>
                <w:szCs w:val="21"/>
              </w:rPr>
            </w:pPr>
          </w:p>
        </w:tc>
        <w:tc>
          <w:tcPr>
            <w:tcW w:w="217" w:type="dxa"/>
          </w:tcPr>
          <w:p w14:paraId="269F442A" w14:textId="77777777" w:rsidR="002C0FD9" w:rsidRPr="00CA25CF" w:rsidRDefault="002C0FD9" w:rsidP="00CA25CF">
            <w:pPr>
              <w:rPr>
                <w:rFonts w:cs="Arial"/>
                <w:color w:val="FF0000"/>
                <w:sz w:val="21"/>
                <w:szCs w:val="21"/>
              </w:rPr>
            </w:pPr>
          </w:p>
        </w:tc>
        <w:tc>
          <w:tcPr>
            <w:tcW w:w="217" w:type="dxa"/>
          </w:tcPr>
          <w:p w14:paraId="4706CBE9" w14:textId="77777777" w:rsidR="002C0FD9" w:rsidRPr="00CA25CF" w:rsidRDefault="002C0FD9" w:rsidP="00CA25CF">
            <w:pPr>
              <w:rPr>
                <w:rFonts w:cs="Arial"/>
                <w:color w:val="FF0000"/>
                <w:sz w:val="21"/>
                <w:szCs w:val="21"/>
              </w:rPr>
            </w:pPr>
          </w:p>
        </w:tc>
        <w:tc>
          <w:tcPr>
            <w:tcW w:w="217" w:type="dxa"/>
          </w:tcPr>
          <w:p w14:paraId="6AC97C83" w14:textId="77777777" w:rsidR="002C0FD9" w:rsidRPr="00CA25CF" w:rsidRDefault="002C0FD9" w:rsidP="00CA25CF">
            <w:pPr>
              <w:rPr>
                <w:rFonts w:cs="Arial"/>
                <w:color w:val="FF0000"/>
                <w:sz w:val="21"/>
                <w:szCs w:val="21"/>
              </w:rPr>
            </w:pPr>
          </w:p>
        </w:tc>
        <w:tc>
          <w:tcPr>
            <w:tcW w:w="217" w:type="dxa"/>
          </w:tcPr>
          <w:p w14:paraId="4EBAA9BF" w14:textId="77777777" w:rsidR="002C0FD9" w:rsidRPr="00CA25CF" w:rsidRDefault="002C0FD9" w:rsidP="00CA25CF">
            <w:pPr>
              <w:rPr>
                <w:rFonts w:cs="Arial"/>
                <w:color w:val="FF0000"/>
                <w:sz w:val="21"/>
                <w:szCs w:val="21"/>
              </w:rPr>
            </w:pPr>
          </w:p>
        </w:tc>
        <w:tc>
          <w:tcPr>
            <w:tcW w:w="217" w:type="dxa"/>
          </w:tcPr>
          <w:p w14:paraId="6A0EDD79" w14:textId="77777777" w:rsidR="002C0FD9" w:rsidRPr="00CA25CF" w:rsidRDefault="002C0FD9" w:rsidP="00CA25CF">
            <w:pPr>
              <w:rPr>
                <w:rFonts w:cs="Arial"/>
                <w:color w:val="FF0000"/>
                <w:sz w:val="21"/>
                <w:szCs w:val="21"/>
              </w:rPr>
            </w:pPr>
          </w:p>
        </w:tc>
        <w:tc>
          <w:tcPr>
            <w:tcW w:w="217" w:type="dxa"/>
          </w:tcPr>
          <w:p w14:paraId="57536A09" w14:textId="77777777" w:rsidR="002C0FD9" w:rsidRPr="00CA25CF" w:rsidRDefault="002C0FD9" w:rsidP="00CA25CF">
            <w:pPr>
              <w:rPr>
                <w:rFonts w:cs="Arial"/>
                <w:color w:val="FF0000"/>
                <w:sz w:val="21"/>
                <w:szCs w:val="21"/>
              </w:rPr>
            </w:pPr>
          </w:p>
        </w:tc>
        <w:tc>
          <w:tcPr>
            <w:tcW w:w="217" w:type="dxa"/>
          </w:tcPr>
          <w:p w14:paraId="3617B782" w14:textId="77777777" w:rsidR="002C0FD9" w:rsidRPr="00CA25CF" w:rsidRDefault="002C0FD9" w:rsidP="00CA25CF">
            <w:pPr>
              <w:rPr>
                <w:rFonts w:cs="Arial"/>
                <w:color w:val="FF0000"/>
                <w:sz w:val="21"/>
                <w:szCs w:val="21"/>
              </w:rPr>
            </w:pPr>
          </w:p>
        </w:tc>
        <w:tc>
          <w:tcPr>
            <w:tcW w:w="217" w:type="dxa"/>
          </w:tcPr>
          <w:p w14:paraId="46E7C0B5" w14:textId="77777777" w:rsidR="002C0FD9" w:rsidRPr="00CA25CF" w:rsidRDefault="002C0FD9" w:rsidP="00CA25CF">
            <w:pPr>
              <w:rPr>
                <w:rFonts w:cs="Arial"/>
                <w:color w:val="FF0000"/>
                <w:sz w:val="21"/>
                <w:szCs w:val="21"/>
              </w:rPr>
            </w:pPr>
          </w:p>
        </w:tc>
        <w:tc>
          <w:tcPr>
            <w:tcW w:w="217" w:type="dxa"/>
          </w:tcPr>
          <w:p w14:paraId="43D8A85C" w14:textId="77777777" w:rsidR="002C0FD9" w:rsidRPr="00CA25CF" w:rsidRDefault="002C0FD9" w:rsidP="00CA25CF">
            <w:pPr>
              <w:rPr>
                <w:rFonts w:cs="Arial"/>
                <w:color w:val="FF0000"/>
                <w:sz w:val="21"/>
                <w:szCs w:val="21"/>
              </w:rPr>
            </w:pPr>
          </w:p>
        </w:tc>
        <w:tc>
          <w:tcPr>
            <w:tcW w:w="217" w:type="dxa"/>
          </w:tcPr>
          <w:p w14:paraId="69BFABA2" w14:textId="77777777" w:rsidR="002C0FD9" w:rsidRPr="00CA25CF" w:rsidRDefault="002C0FD9" w:rsidP="00CA25CF">
            <w:pPr>
              <w:rPr>
                <w:rFonts w:cs="Arial"/>
                <w:color w:val="FF0000"/>
                <w:sz w:val="21"/>
                <w:szCs w:val="21"/>
              </w:rPr>
            </w:pPr>
          </w:p>
        </w:tc>
        <w:tc>
          <w:tcPr>
            <w:tcW w:w="217" w:type="dxa"/>
          </w:tcPr>
          <w:p w14:paraId="79285A5D" w14:textId="77777777" w:rsidR="002C0FD9" w:rsidRPr="00CA25CF" w:rsidRDefault="002C0FD9" w:rsidP="00CA25CF">
            <w:pPr>
              <w:rPr>
                <w:rFonts w:cs="Arial"/>
                <w:color w:val="FF0000"/>
                <w:sz w:val="21"/>
                <w:szCs w:val="21"/>
              </w:rPr>
            </w:pPr>
          </w:p>
        </w:tc>
        <w:tc>
          <w:tcPr>
            <w:tcW w:w="217" w:type="dxa"/>
          </w:tcPr>
          <w:p w14:paraId="1C1F8CEF" w14:textId="77777777" w:rsidR="002C0FD9" w:rsidRPr="00CA25CF" w:rsidRDefault="002C0FD9" w:rsidP="00CA25CF">
            <w:pPr>
              <w:rPr>
                <w:rFonts w:cs="Arial"/>
                <w:color w:val="FF0000"/>
                <w:sz w:val="21"/>
                <w:szCs w:val="21"/>
              </w:rPr>
            </w:pPr>
          </w:p>
        </w:tc>
        <w:tc>
          <w:tcPr>
            <w:tcW w:w="217" w:type="dxa"/>
          </w:tcPr>
          <w:p w14:paraId="016E7CED" w14:textId="77777777" w:rsidR="002C0FD9" w:rsidRPr="00CA25CF" w:rsidRDefault="002C0FD9" w:rsidP="00CA25CF">
            <w:pPr>
              <w:rPr>
                <w:rFonts w:cs="Arial"/>
                <w:color w:val="FF0000"/>
                <w:sz w:val="21"/>
                <w:szCs w:val="21"/>
              </w:rPr>
            </w:pPr>
          </w:p>
        </w:tc>
        <w:tc>
          <w:tcPr>
            <w:tcW w:w="217" w:type="dxa"/>
          </w:tcPr>
          <w:p w14:paraId="06BB4A3F" w14:textId="77777777" w:rsidR="002C0FD9" w:rsidRPr="00CA25CF" w:rsidRDefault="002C0FD9" w:rsidP="00CA25CF">
            <w:pPr>
              <w:rPr>
                <w:rFonts w:cs="Arial"/>
                <w:color w:val="FF0000"/>
                <w:sz w:val="21"/>
                <w:szCs w:val="21"/>
              </w:rPr>
            </w:pPr>
          </w:p>
        </w:tc>
        <w:tc>
          <w:tcPr>
            <w:tcW w:w="217" w:type="dxa"/>
          </w:tcPr>
          <w:p w14:paraId="5A1C0490" w14:textId="77777777" w:rsidR="002C0FD9" w:rsidRPr="00CA25CF" w:rsidRDefault="002C0FD9" w:rsidP="00CA25CF">
            <w:pPr>
              <w:rPr>
                <w:rFonts w:cs="Arial"/>
                <w:color w:val="FF0000"/>
                <w:sz w:val="21"/>
                <w:szCs w:val="21"/>
              </w:rPr>
            </w:pPr>
          </w:p>
        </w:tc>
        <w:tc>
          <w:tcPr>
            <w:tcW w:w="217" w:type="dxa"/>
          </w:tcPr>
          <w:p w14:paraId="7FE7FE0F" w14:textId="77777777" w:rsidR="002C0FD9" w:rsidRPr="00CA25CF" w:rsidRDefault="002C0FD9" w:rsidP="00CA25CF">
            <w:pPr>
              <w:rPr>
                <w:rFonts w:cs="Arial"/>
                <w:color w:val="FF0000"/>
                <w:sz w:val="21"/>
                <w:szCs w:val="21"/>
              </w:rPr>
            </w:pPr>
          </w:p>
        </w:tc>
        <w:tc>
          <w:tcPr>
            <w:tcW w:w="217" w:type="dxa"/>
          </w:tcPr>
          <w:p w14:paraId="020A83B5" w14:textId="77777777" w:rsidR="002C0FD9" w:rsidRPr="00CA25CF" w:rsidRDefault="002C0FD9" w:rsidP="00CA25CF">
            <w:pPr>
              <w:rPr>
                <w:rFonts w:cs="Arial"/>
                <w:color w:val="FF0000"/>
                <w:sz w:val="21"/>
                <w:szCs w:val="21"/>
              </w:rPr>
            </w:pPr>
          </w:p>
        </w:tc>
        <w:tc>
          <w:tcPr>
            <w:tcW w:w="217" w:type="dxa"/>
          </w:tcPr>
          <w:p w14:paraId="686B6CC6" w14:textId="77777777" w:rsidR="002C0FD9" w:rsidRPr="00CA25CF" w:rsidRDefault="002C0FD9" w:rsidP="00CA25CF">
            <w:pPr>
              <w:rPr>
                <w:rFonts w:cs="Arial"/>
                <w:color w:val="FF0000"/>
                <w:sz w:val="21"/>
                <w:szCs w:val="21"/>
              </w:rPr>
            </w:pPr>
          </w:p>
        </w:tc>
        <w:tc>
          <w:tcPr>
            <w:tcW w:w="217" w:type="dxa"/>
          </w:tcPr>
          <w:p w14:paraId="7C38E6B5" w14:textId="77777777" w:rsidR="002C0FD9" w:rsidRPr="00CA25CF" w:rsidRDefault="002C0FD9" w:rsidP="00CA25CF">
            <w:pPr>
              <w:rPr>
                <w:rFonts w:cs="Arial"/>
                <w:color w:val="FF0000"/>
                <w:sz w:val="21"/>
                <w:szCs w:val="21"/>
              </w:rPr>
            </w:pPr>
          </w:p>
        </w:tc>
        <w:tc>
          <w:tcPr>
            <w:tcW w:w="217" w:type="dxa"/>
          </w:tcPr>
          <w:p w14:paraId="2DF7AB7C" w14:textId="77777777" w:rsidR="002C0FD9" w:rsidRPr="00CA25CF" w:rsidRDefault="002C0FD9" w:rsidP="00CA25CF">
            <w:pPr>
              <w:rPr>
                <w:rFonts w:cs="Arial"/>
                <w:color w:val="FF0000"/>
                <w:sz w:val="21"/>
                <w:szCs w:val="21"/>
              </w:rPr>
            </w:pPr>
          </w:p>
        </w:tc>
        <w:tc>
          <w:tcPr>
            <w:tcW w:w="217" w:type="dxa"/>
          </w:tcPr>
          <w:p w14:paraId="117A85F2" w14:textId="77777777" w:rsidR="002C0FD9" w:rsidRPr="00CA25CF" w:rsidRDefault="002C0FD9" w:rsidP="00CA25CF">
            <w:pPr>
              <w:rPr>
                <w:rFonts w:cs="Arial"/>
                <w:color w:val="FF0000"/>
                <w:sz w:val="21"/>
                <w:szCs w:val="21"/>
              </w:rPr>
            </w:pPr>
          </w:p>
        </w:tc>
        <w:tc>
          <w:tcPr>
            <w:tcW w:w="217" w:type="dxa"/>
          </w:tcPr>
          <w:p w14:paraId="24715CD9" w14:textId="77777777" w:rsidR="002C0FD9" w:rsidRPr="00CA25CF" w:rsidRDefault="002C0FD9" w:rsidP="00CA25CF">
            <w:pPr>
              <w:rPr>
                <w:rFonts w:cs="Arial"/>
                <w:color w:val="FF0000"/>
                <w:sz w:val="21"/>
                <w:szCs w:val="21"/>
              </w:rPr>
            </w:pPr>
          </w:p>
        </w:tc>
        <w:tc>
          <w:tcPr>
            <w:tcW w:w="217" w:type="dxa"/>
          </w:tcPr>
          <w:p w14:paraId="2C03B2B2" w14:textId="77777777" w:rsidR="002C0FD9" w:rsidRPr="00CA25CF" w:rsidRDefault="002C0FD9" w:rsidP="00CA25CF">
            <w:pPr>
              <w:rPr>
                <w:rFonts w:cs="Arial"/>
                <w:color w:val="FF0000"/>
                <w:sz w:val="21"/>
                <w:szCs w:val="21"/>
              </w:rPr>
            </w:pPr>
          </w:p>
        </w:tc>
        <w:tc>
          <w:tcPr>
            <w:tcW w:w="217" w:type="dxa"/>
          </w:tcPr>
          <w:p w14:paraId="24EB238B" w14:textId="77777777" w:rsidR="002C0FD9" w:rsidRPr="00CA25CF" w:rsidRDefault="002C0FD9" w:rsidP="00CA25CF">
            <w:pPr>
              <w:rPr>
                <w:rFonts w:cs="Arial"/>
                <w:color w:val="FF0000"/>
                <w:sz w:val="21"/>
                <w:szCs w:val="21"/>
              </w:rPr>
            </w:pPr>
          </w:p>
        </w:tc>
        <w:tc>
          <w:tcPr>
            <w:tcW w:w="217" w:type="dxa"/>
          </w:tcPr>
          <w:p w14:paraId="6BBF4CE8" w14:textId="77777777" w:rsidR="002C0FD9" w:rsidRPr="00CA25CF" w:rsidRDefault="002C0FD9" w:rsidP="00CA25CF">
            <w:pPr>
              <w:rPr>
                <w:rFonts w:cs="Arial"/>
                <w:color w:val="FF0000"/>
                <w:sz w:val="21"/>
                <w:szCs w:val="21"/>
              </w:rPr>
            </w:pPr>
          </w:p>
        </w:tc>
        <w:tc>
          <w:tcPr>
            <w:tcW w:w="217" w:type="dxa"/>
          </w:tcPr>
          <w:p w14:paraId="24F65014" w14:textId="77777777" w:rsidR="002C0FD9" w:rsidRPr="00CA25CF" w:rsidRDefault="002C0FD9" w:rsidP="00CA25CF">
            <w:pPr>
              <w:rPr>
                <w:rFonts w:cs="Arial"/>
                <w:color w:val="FF0000"/>
                <w:sz w:val="21"/>
                <w:szCs w:val="21"/>
              </w:rPr>
            </w:pPr>
          </w:p>
        </w:tc>
        <w:tc>
          <w:tcPr>
            <w:tcW w:w="217" w:type="dxa"/>
          </w:tcPr>
          <w:p w14:paraId="186AC30B" w14:textId="77777777" w:rsidR="002C0FD9" w:rsidRPr="00CA25CF" w:rsidRDefault="002C0FD9" w:rsidP="00CA25CF">
            <w:pPr>
              <w:rPr>
                <w:rFonts w:cs="Arial"/>
                <w:color w:val="FF0000"/>
                <w:sz w:val="21"/>
                <w:szCs w:val="21"/>
              </w:rPr>
            </w:pPr>
          </w:p>
        </w:tc>
      </w:tr>
      <w:tr w:rsidR="002C0FD9" w:rsidRPr="00A16219" w14:paraId="56BD6136" w14:textId="77777777" w:rsidTr="002C0FD9">
        <w:trPr>
          <w:trHeight w:val="635"/>
        </w:trPr>
        <w:tc>
          <w:tcPr>
            <w:tcW w:w="515" w:type="dxa"/>
          </w:tcPr>
          <w:p w14:paraId="0E49619F" w14:textId="77777777" w:rsidR="002C0FD9" w:rsidRPr="00CA25CF" w:rsidRDefault="002C0FD9" w:rsidP="00CA25CF">
            <w:pPr>
              <w:rPr>
                <w:rFonts w:cs="Arial"/>
                <w:color w:val="FF0000"/>
                <w:sz w:val="21"/>
                <w:szCs w:val="21"/>
              </w:rPr>
            </w:pPr>
          </w:p>
        </w:tc>
        <w:tc>
          <w:tcPr>
            <w:tcW w:w="217" w:type="dxa"/>
          </w:tcPr>
          <w:p w14:paraId="3032BA20" w14:textId="77777777" w:rsidR="002C0FD9" w:rsidRPr="00CA25CF" w:rsidRDefault="002C0FD9" w:rsidP="00CA25CF">
            <w:pPr>
              <w:rPr>
                <w:rFonts w:cs="Arial"/>
                <w:color w:val="FF0000"/>
                <w:sz w:val="21"/>
                <w:szCs w:val="21"/>
              </w:rPr>
            </w:pPr>
          </w:p>
        </w:tc>
        <w:tc>
          <w:tcPr>
            <w:tcW w:w="217" w:type="dxa"/>
          </w:tcPr>
          <w:p w14:paraId="251B1B4B" w14:textId="77777777" w:rsidR="002C0FD9" w:rsidRPr="00CA25CF" w:rsidRDefault="002C0FD9" w:rsidP="00CA25CF">
            <w:pPr>
              <w:rPr>
                <w:rFonts w:cs="Arial"/>
                <w:color w:val="FF0000"/>
                <w:sz w:val="21"/>
                <w:szCs w:val="21"/>
              </w:rPr>
            </w:pPr>
          </w:p>
        </w:tc>
        <w:tc>
          <w:tcPr>
            <w:tcW w:w="217" w:type="dxa"/>
          </w:tcPr>
          <w:p w14:paraId="1BF2D288" w14:textId="77777777" w:rsidR="002C0FD9" w:rsidRPr="00CA25CF" w:rsidRDefault="002C0FD9" w:rsidP="00CA25CF">
            <w:pPr>
              <w:rPr>
                <w:rFonts w:cs="Arial"/>
                <w:color w:val="FF0000"/>
                <w:sz w:val="21"/>
                <w:szCs w:val="21"/>
              </w:rPr>
            </w:pPr>
          </w:p>
        </w:tc>
        <w:tc>
          <w:tcPr>
            <w:tcW w:w="217" w:type="dxa"/>
          </w:tcPr>
          <w:p w14:paraId="4D836D6B" w14:textId="77777777" w:rsidR="002C0FD9" w:rsidRPr="00CA25CF" w:rsidRDefault="002C0FD9" w:rsidP="00CA25CF">
            <w:pPr>
              <w:rPr>
                <w:rFonts w:cs="Arial"/>
                <w:color w:val="FF0000"/>
                <w:sz w:val="21"/>
                <w:szCs w:val="21"/>
              </w:rPr>
            </w:pPr>
          </w:p>
        </w:tc>
        <w:tc>
          <w:tcPr>
            <w:tcW w:w="217" w:type="dxa"/>
          </w:tcPr>
          <w:p w14:paraId="46097CAF" w14:textId="77777777" w:rsidR="002C0FD9" w:rsidRPr="00CA25CF" w:rsidRDefault="002C0FD9" w:rsidP="00CA25CF">
            <w:pPr>
              <w:rPr>
                <w:rFonts w:cs="Arial"/>
                <w:color w:val="FF0000"/>
                <w:sz w:val="21"/>
                <w:szCs w:val="21"/>
              </w:rPr>
            </w:pPr>
          </w:p>
        </w:tc>
        <w:tc>
          <w:tcPr>
            <w:tcW w:w="217" w:type="dxa"/>
          </w:tcPr>
          <w:p w14:paraId="7501251B" w14:textId="77777777" w:rsidR="002C0FD9" w:rsidRPr="00CA25CF" w:rsidRDefault="002C0FD9" w:rsidP="00CA25CF">
            <w:pPr>
              <w:rPr>
                <w:rFonts w:cs="Arial"/>
                <w:color w:val="FF0000"/>
                <w:sz w:val="21"/>
                <w:szCs w:val="21"/>
              </w:rPr>
            </w:pPr>
          </w:p>
        </w:tc>
        <w:tc>
          <w:tcPr>
            <w:tcW w:w="217" w:type="dxa"/>
          </w:tcPr>
          <w:p w14:paraId="47F96D5A" w14:textId="77777777" w:rsidR="002C0FD9" w:rsidRPr="00CA25CF" w:rsidRDefault="002C0FD9" w:rsidP="00CA25CF">
            <w:pPr>
              <w:rPr>
                <w:rFonts w:cs="Arial"/>
                <w:color w:val="FF0000"/>
                <w:sz w:val="21"/>
                <w:szCs w:val="21"/>
              </w:rPr>
            </w:pPr>
          </w:p>
        </w:tc>
        <w:tc>
          <w:tcPr>
            <w:tcW w:w="217" w:type="dxa"/>
          </w:tcPr>
          <w:p w14:paraId="46E4E8CA" w14:textId="77777777" w:rsidR="002C0FD9" w:rsidRPr="00CA25CF" w:rsidRDefault="002C0FD9" w:rsidP="00CA25CF">
            <w:pPr>
              <w:rPr>
                <w:rFonts w:cs="Arial"/>
                <w:color w:val="FF0000"/>
                <w:sz w:val="21"/>
                <w:szCs w:val="21"/>
              </w:rPr>
            </w:pPr>
          </w:p>
        </w:tc>
        <w:tc>
          <w:tcPr>
            <w:tcW w:w="217" w:type="dxa"/>
          </w:tcPr>
          <w:p w14:paraId="56C37814" w14:textId="77777777" w:rsidR="002C0FD9" w:rsidRPr="00CA25CF" w:rsidRDefault="002C0FD9" w:rsidP="00CA25CF">
            <w:pPr>
              <w:rPr>
                <w:rFonts w:cs="Arial"/>
                <w:color w:val="FF0000"/>
                <w:sz w:val="21"/>
                <w:szCs w:val="21"/>
              </w:rPr>
            </w:pPr>
          </w:p>
        </w:tc>
        <w:tc>
          <w:tcPr>
            <w:tcW w:w="217" w:type="dxa"/>
          </w:tcPr>
          <w:p w14:paraId="23E28A48" w14:textId="77777777" w:rsidR="002C0FD9" w:rsidRPr="00CA25CF" w:rsidRDefault="002C0FD9" w:rsidP="00CA25CF">
            <w:pPr>
              <w:rPr>
                <w:rFonts w:cs="Arial"/>
                <w:color w:val="FF0000"/>
                <w:sz w:val="21"/>
                <w:szCs w:val="21"/>
              </w:rPr>
            </w:pPr>
          </w:p>
        </w:tc>
        <w:tc>
          <w:tcPr>
            <w:tcW w:w="217" w:type="dxa"/>
          </w:tcPr>
          <w:p w14:paraId="44DFBF07" w14:textId="77777777" w:rsidR="002C0FD9" w:rsidRPr="00CA25CF" w:rsidRDefault="002C0FD9" w:rsidP="00CA25CF">
            <w:pPr>
              <w:rPr>
                <w:rFonts w:cs="Arial"/>
                <w:color w:val="FF0000"/>
                <w:sz w:val="21"/>
                <w:szCs w:val="21"/>
              </w:rPr>
            </w:pPr>
          </w:p>
        </w:tc>
        <w:tc>
          <w:tcPr>
            <w:tcW w:w="217" w:type="dxa"/>
          </w:tcPr>
          <w:p w14:paraId="56B04556" w14:textId="77777777" w:rsidR="002C0FD9" w:rsidRPr="00CA25CF" w:rsidRDefault="002C0FD9" w:rsidP="00CA25CF">
            <w:pPr>
              <w:rPr>
                <w:rFonts w:cs="Arial"/>
                <w:color w:val="FF0000"/>
                <w:sz w:val="21"/>
                <w:szCs w:val="21"/>
              </w:rPr>
            </w:pPr>
          </w:p>
        </w:tc>
        <w:tc>
          <w:tcPr>
            <w:tcW w:w="217" w:type="dxa"/>
          </w:tcPr>
          <w:p w14:paraId="4360CD42" w14:textId="77777777" w:rsidR="002C0FD9" w:rsidRPr="00CA25CF" w:rsidRDefault="002C0FD9" w:rsidP="00CA25CF">
            <w:pPr>
              <w:rPr>
                <w:rFonts w:cs="Arial"/>
                <w:color w:val="FF0000"/>
                <w:sz w:val="21"/>
                <w:szCs w:val="21"/>
              </w:rPr>
            </w:pPr>
          </w:p>
        </w:tc>
        <w:tc>
          <w:tcPr>
            <w:tcW w:w="217" w:type="dxa"/>
          </w:tcPr>
          <w:p w14:paraId="73AF2EB8" w14:textId="77777777" w:rsidR="002C0FD9" w:rsidRPr="00CA25CF" w:rsidRDefault="002C0FD9" w:rsidP="00CA25CF">
            <w:pPr>
              <w:rPr>
                <w:rFonts w:cs="Arial"/>
                <w:color w:val="FF0000"/>
                <w:sz w:val="21"/>
                <w:szCs w:val="21"/>
              </w:rPr>
            </w:pPr>
          </w:p>
        </w:tc>
        <w:tc>
          <w:tcPr>
            <w:tcW w:w="217" w:type="dxa"/>
          </w:tcPr>
          <w:p w14:paraId="22A04F91" w14:textId="77777777" w:rsidR="002C0FD9" w:rsidRPr="00CA25CF" w:rsidRDefault="002C0FD9" w:rsidP="00CA25CF">
            <w:pPr>
              <w:rPr>
                <w:rFonts w:cs="Arial"/>
                <w:color w:val="FF0000"/>
                <w:sz w:val="21"/>
                <w:szCs w:val="21"/>
              </w:rPr>
            </w:pPr>
          </w:p>
        </w:tc>
        <w:tc>
          <w:tcPr>
            <w:tcW w:w="217" w:type="dxa"/>
          </w:tcPr>
          <w:p w14:paraId="7B1937C7" w14:textId="77777777" w:rsidR="002C0FD9" w:rsidRPr="00CA25CF" w:rsidRDefault="002C0FD9" w:rsidP="00CA25CF">
            <w:pPr>
              <w:rPr>
                <w:rFonts w:cs="Arial"/>
                <w:color w:val="FF0000"/>
                <w:sz w:val="21"/>
                <w:szCs w:val="21"/>
              </w:rPr>
            </w:pPr>
          </w:p>
        </w:tc>
        <w:tc>
          <w:tcPr>
            <w:tcW w:w="217" w:type="dxa"/>
          </w:tcPr>
          <w:p w14:paraId="117DBFC9" w14:textId="77777777" w:rsidR="002C0FD9" w:rsidRPr="00CA25CF" w:rsidRDefault="002C0FD9" w:rsidP="00CA25CF">
            <w:pPr>
              <w:rPr>
                <w:rFonts w:cs="Arial"/>
                <w:color w:val="FF0000"/>
                <w:sz w:val="21"/>
                <w:szCs w:val="21"/>
              </w:rPr>
            </w:pPr>
          </w:p>
        </w:tc>
        <w:tc>
          <w:tcPr>
            <w:tcW w:w="217" w:type="dxa"/>
          </w:tcPr>
          <w:p w14:paraId="20334A7A" w14:textId="77777777" w:rsidR="002C0FD9" w:rsidRPr="00CA25CF" w:rsidRDefault="002C0FD9" w:rsidP="00CA25CF">
            <w:pPr>
              <w:rPr>
                <w:rFonts w:cs="Arial"/>
                <w:color w:val="FF0000"/>
                <w:sz w:val="21"/>
                <w:szCs w:val="21"/>
              </w:rPr>
            </w:pPr>
          </w:p>
        </w:tc>
        <w:tc>
          <w:tcPr>
            <w:tcW w:w="217" w:type="dxa"/>
          </w:tcPr>
          <w:p w14:paraId="6ABCF698" w14:textId="77777777" w:rsidR="002C0FD9" w:rsidRPr="00CA25CF" w:rsidRDefault="002C0FD9" w:rsidP="00CA25CF">
            <w:pPr>
              <w:rPr>
                <w:rFonts w:cs="Arial"/>
                <w:color w:val="FF0000"/>
                <w:sz w:val="21"/>
                <w:szCs w:val="21"/>
              </w:rPr>
            </w:pPr>
          </w:p>
        </w:tc>
        <w:tc>
          <w:tcPr>
            <w:tcW w:w="217" w:type="dxa"/>
          </w:tcPr>
          <w:p w14:paraId="6E4D21F9" w14:textId="77777777" w:rsidR="002C0FD9" w:rsidRPr="00CA25CF" w:rsidRDefault="002C0FD9" w:rsidP="00CA25CF">
            <w:pPr>
              <w:rPr>
                <w:rFonts w:cs="Arial"/>
                <w:color w:val="FF0000"/>
                <w:sz w:val="21"/>
                <w:szCs w:val="21"/>
              </w:rPr>
            </w:pPr>
          </w:p>
        </w:tc>
        <w:tc>
          <w:tcPr>
            <w:tcW w:w="217" w:type="dxa"/>
          </w:tcPr>
          <w:p w14:paraId="201D37DC" w14:textId="77777777" w:rsidR="002C0FD9" w:rsidRPr="00CA25CF" w:rsidRDefault="002C0FD9" w:rsidP="00CA25CF">
            <w:pPr>
              <w:rPr>
                <w:rFonts w:cs="Arial"/>
                <w:color w:val="FF0000"/>
                <w:sz w:val="21"/>
                <w:szCs w:val="21"/>
              </w:rPr>
            </w:pPr>
          </w:p>
        </w:tc>
        <w:tc>
          <w:tcPr>
            <w:tcW w:w="217" w:type="dxa"/>
          </w:tcPr>
          <w:p w14:paraId="1BF4A3B4" w14:textId="77777777" w:rsidR="002C0FD9" w:rsidRPr="00CA25CF" w:rsidRDefault="002C0FD9" w:rsidP="00CA25CF">
            <w:pPr>
              <w:rPr>
                <w:rFonts w:cs="Arial"/>
                <w:color w:val="FF0000"/>
                <w:sz w:val="21"/>
                <w:szCs w:val="21"/>
              </w:rPr>
            </w:pPr>
          </w:p>
        </w:tc>
        <w:tc>
          <w:tcPr>
            <w:tcW w:w="217" w:type="dxa"/>
          </w:tcPr>
          <w:p w14:paraId="1338ED63" w14:textId="77777777" w:rsidR="002C0FD9" w:rsidRPr="00CA25CF" w:rsidRDefault="002C0FD9" w:rsidP="00CA25CF">
            <w:pPr>
              <w:rPr>
                <w:rFonts w:cs="Arial"/>
                <w:color w:val="FF0000"/>
                <w:sz w:val="21"/>
                <w:szCs w:val="21"/>
              </w:rPr>
            </w:pPr>
          </w:p>
        </w:tc>
        <w:tc>
          <w:tcPr>
            <w:tcW w:w="217" w:type="dxa"/>
          </w:tcPr>
          <w:p w14:paraId="09F79CE6" w14:textId="77777777" w:rsidR="002C0FD9" w:rsidRPr="00CA25CF" w:rsidRDefault="002C0FD9" w:rsidP="00CA25CF">
            <w:pPr>
              <w:rPr>
                <w:rFonts w:cs="Arial"/>
                <w:color w:val="FF0000"/>
                <w:sz w:val="21"/>
                <w:szCs w:val="21"/>
              </w:rPr>
            </w:pPr>
          </w:p>
        </w:tc>
        <w:tc>
          <w:tcPr>
            <w:tcW w:w="217" w:type="dxa"/>
          </w:tcPr>
          <w:p w14:paraId="7B4AE44A" w14:textId="77777777" w:rsidR="002C0FD9" w:rsidRPr="00CA25CF" w:rsidRDefault="002C0FD9" w:rsidP="00CA25CF">
            <w:pPr>
              <w:rPr>
                <w:rFonts w:cs="Arial"/>
                <w:color w:val="FF0000"/>
                <w:sz w:val="21"/>
                <w:szCs w:val="21"/>
              </w:rPr>
            </w:pPr>
          </w:p>
        </w:tc>
        <w:tc>
          <w:tcPr>
            <w:tcW w:w="217" w:type="dxa"/>
          </w:tcPr>
          <w:p w14:paraId="0324E8B1" w14:textId="77777777" w:rsidR="002C0FD9" w:rsidRPr="00CA25CF" w:rsidRDefault="002C0FD9" w:rsidP="00CA25CF">
            <w:pPr>
              <w:rPr>
                <w:rFonts w:cs="Arial"/>
                <w:color w:val="FF0000"/>
                <w:sz w:val="21"/>
                <w:szCs w:val="21"/>
              </w:rPr>
            </w:pPr>
          </w:p>
        </w:tc>
        <w:tc>
          <w:tcPr>
            <w:tcW w:w="217" w:type="dxa"/>
          </w:tcPr>
          <w:p w14:paraId="39FF80E1" w14:textId="77777777" w:rsidR="002C0FD9" w:rsidRPr="00CA25CF" w:rsidRDefault="002C0FD9" w:rsidP="00CA25CF">
            <w:pPr>
              <w:rPr>
                <w:rFonts w:cs="Arial"/>
                <w:color w:val="FF0000"/>
                <w:sz w:val="21"/>
                <w:szCs w:val="21"/>
              </w:rPr>
            </w:pPr>
          </w:p>
        </w:tc>
        <w:tc>
          <w:tcPr>
            <w:tcW w:w="217" w:type="dxa"/>
          </w:tcPr>
          <w:p w14:paraId="1A000286" w14:textId="77777777" w:rsidR="002C0FD9" w:rsidRPr="00CA25CF" w:rsidRDefault="002C0FD9" w:rsidP="00CA25CF">
            <w:pPr>
              <w:rPr>
                <w:rFonts w:cs="Arial"/>
                <w:color w:val="FF0000"/>
                <w:sz w:val="21"/>
                <w:szCs w:val="21"/>
              </w:rPr>
            </w:pPr>
          </w:p>
        </w:tc>
        <w:tc>
          <w:tcPr>
            <w:tcW w:w="217" w:type="dxa"/>
          </w:tcPr>
          <w:p w14:paraId="0D6D7D70" w14:textId="77777777" w:rsidR="002C0FD9" w:rsidRPr="00CA25CF" w:rsidRDefault="002C0FD9" w:rsidP="00CA25CF">
            <w:pPr>
              <w:rPr>
                <w:rFonts w:cs="Arial"/>
                <w:color w:val="FF0000"/>
                <w:sz w:val="21"/>
                <w:szCs w:val="21"/>
              </w:rPr>
            </w:pPr>
          </w:p>
        </w:tc>
        <w:tc>
          <w:tcPr>
            <w:tcW w:w="217" w:type="dxa"/>
          </w:tcPr>
          <w:p w14:paraId="3C71F25A" w14:textId="77777777" w:rsidR="002C0FD9" w:rsidRPr="00CA25CF" w:rsidRDefault="002C0FD9" w:rsidP="00CA25CF">
            <w:pPr>
              <w:rPr>
                <w:rFonts w:cs="Arial"/>
                <w:color w:val="FF0000"/>
                <w:sz w:val="21"/>
                <w:szCs w:val="21"/>
              </w:rPr>
            </w:pPr>
          </w:p>
        </w:tc>
        <w:tc>
          <w:tcPr>
            <w:tcW w:w="217" w:type="dxa"/>
          </w:tcPr>
          <w:p w14:paraId="7A6B372A" w14:textId="77777777" w:rsidR="002C0FD9" w:rsidRPr="00CA25CF" w:rsidRDefault="002C0FD9" w:rsidP="00CA25CF">
            <w:pPr>
              <w:rPr>
                <w:rFonts w:cs="Arial"/>
                <w:color w:val="FF0000"/>
                <w:sz w:val="21"/>
                <w:szCs w:val="21"/>
              </w:rPr>
            </w:pPr>
          </w:p>
        </w:tc>
        <w:tc>
          <w:tcPr>
            <w:tcW w:w="217" w:type="dxa"/>
          </w:tcPr>
          <w:p w14:paraId="7E30499B" w14:textId="77777777" w:rsidR="002C0FD9" w:rsidRPr="00CA25CF" w:rsidRDefault="002C0FD9" w:rsidP="00CA25CF">
            <w:pPr>
              <w:rPr>
                <w:rFonts w:cs="Arial"/>
                <w:color w:val="FF0000"/>
                <w:sz w:val="21"/>
                <w:szCs w:val="21"/>
              </w:rPr>
            </w:pPr>
          </w:p>
        </w:tc>
        <w:tc>
          <w:tcPr>
            <w:tcW w:w="217" w:type="dxa"/>
          </w:tcPr>
          <w:p w14:paraId="1D84A92F" w14:textId="77777777" w:rsidR="002C0FD9" w:rsidRPr="00CA25CF" w:rsidRDefault="002C0FD9" w:rsidP="00CA25CF">
            <w:pPr>
              <w:rPr>
                <w:rFonts w:cs="Arial"/>
                <w:color w:val="FF0000"/>
                <w:sz w:val="21"/>
                <w:szCs w:val="21"/>
              </w:rPr>
            </w:pPr>
          </w:p>
        </w:tc>
        <w:tc>
          <w:tcPr>
            <w:tcW w:w="217" w:type="dxa"/>
          </w:tcPr>
          <w:p w14:paraId="055B3CE1" w14:textId="77777777" w:rsidR="002C0FD9" w:rsidRPr="00CA25CF" w:rsidRDefault="002C0FD9" w:rsidP="00CA25CF">
            <w:pPr>
              <w:rPr>
                <w:rFonts w:cs="Arial"/>
                <w:color w:val="FF0000"/>
                <w:sz w:val="21"/>
                <w:szCs w:val="21"/>
              </w:rPr>
            </w:pPr>
          </w:p>
        </w:tc>
        <w:tc>
          <w:tcPr>
            <w:tcW w:w="217" w:type="dxa"/>
          </w:tcPr>
          <w:p w14:paraId="183B3E2F" w14:textId="77777777" w:rsidR="002C0FD9" w:rsidRPr="00CA25CF" w:rsidRDefault="002C0FD9" w:rsidP="00CA25CF">
            <w:pPr>
              <w:rPr>
                <w:rFonts w:cs="Arial"/>
                <w:color w:val="FF0000"/>
                <w:sz w:val="21"/>
                <w:szCs w:val="21"/>
              </w:rPr>
            </w:pPr>
          </w:p>
        </w:tc>
        <w:tc>
          <w:tcPr>
            <w:tcW w:w="217" w:type="dxa"/>
          </w:tcPr>
          <w:p w14:paraId="33CD5EA0" w14:textId="77777777" w:rsidR="002C0FD9" w:rsidRPr="00CA25CF" w:rsidRDefault="002C0FD9" w:rsidP="00CA25CF">
            <w:pPr>
              <w:rPr>
                <w:rFonts w:cs="Arial"/>
                <w:color w:val="FF0000"/>
                <w:sz w:val="21"/>
                <w:szCs w:val="21"/>
              </w:rPr>
            </w:pPr>
          </w:p>
        </w:tc>
        <w:tc>
          <w:tcPr>
            <w:tcW w:w="217" w:type="dxa"/>
          </w:tcPr>
          <w:p w14:paraId="68B3F9E3" w14:textId="77777777" w:rsidR="002C0FD9" w:rsidRPr="00CA25CF" w:rsidRDefault="002C0FD9" w:rsidP="00CA25CF">
            <w:pPr>
              <w:rPr>
                <w:rFonts w:cs="Arial"/>
                <w:color w:val="FF0000"/>
                <w:sz w:val="21"/>
                <w:szCs w:val="21"/>
              </w:rPr>
            </w:pPr>
          </w:p>
        </w:tc>
        <w:tc>
          <w:tcPr>
            <w:tcW w:w="217" w:type="dxa"/>
          </w:tcPr>
          <w:p w14:paraId="5B866A88" w14:textId="77777777" w:rsidR="002C0FD9" w:rsidRPr="00CA25CF" w:rsidRDefault="002C0FD9" w:rsidP="00CA25CF">
            <w:pPr>
              <w:rPr>
                <w:rFonts w:cs="Arial"/>
                <w:color w:val="FF0000"/>
                <w:sz w:val="21"/>
                <w:szCs w:val="21"/>
              </w:rPr>
            </w:pPr>
          </w:p>
        </w:tc>
        <w:tc>
          <w:tcPr>
            <w:tcW w:w="217" w:type="dxa"/>
          </w:tcPr>
          <w:p w14:paraId="4EB1C0EB" w14:textId="77777777" w:rsidR="002C0FD9" w:rsidRPr="00CA25CF" w:rsidRDefault="002C0FD9" w:rsidP="00CA25CF">
            <w:pPr>
              <w:rPr>
                <w:rFonts w:cs="Arial"/>
                <w:color w:val="FF0000"/>
                <w:sz w:val="21"/>
                <w:szCs w:val="21"/>
              </w:rPr>
            </w:pPr>
          </w:p>
        </w:tc>
        <w:tc>
          <w:tcPr>
            <w:tcW w:w="217" w:type="dxa"/>
          </w:tcPr>
          <w:p w14:paraId="1442C539" w14:textId="77777777" w:rsidR="002C0FD9" w:rsidRPr="00CA25CF" w:rsidRDefault="002C0FD9" w:rsidP="00CA25CF">
            <w:pPr>
              <w:rPr>
                <w:rFonts w:cs="Arial"/>
                <w:color w:val="FF0000"/>
                <w:sz w:val="21"/>
                <w:szCs w:val="21"/>
              </w:rPr>
            </w:pPr>
          </w:p>
        </w:tc>
        <w:tc>
          <w:tcPr>
            <w:tcW w:w="217" w:type="dxa"/>
          </w:tcPr>
          <w:p w14:paraId="6094EAFB" w14:textId="77777777" w:rsidR="002C0FD9" w:rsidRPr="00CA25CF" w:rsidRDefault="002C0FD9" w:rsidP="00CA25CF">
            <w:pPr>
              <w:rPr>
                <w:rFonts w:cs="Arial"/>
                <w:color w:val="FF0000"/>
                <w:sz w:val="21"/>
                <w:szCs w:val="21"/>
              </w:rPr>
            </w:pPr>
          </w:p>
        </w:tc>
        <w:tc>
          <w:tcPr>
            <w:tcW w:w="217" w:type="dxa"/>
          </w:tcPr>
          <w:p w14:paraId="4C077FC4" w14:textId="77777777" w:rsidR="002C0FD9" w:rsidRPr="00CA25CF" w:rsidRDefault="002C0FD9" w:rsidP="00CA25CF">
            <w:pPr>
              <w:rPr>
                <w:rFonts w:cs="Arial"/>
                <w:color w:val="FF0000"/>
                <w:sz w:val="21"/>
                <w:szCs w:val="21"/>
              </w:rPr>
            </w:pPr>
          </w:p>
        </w:tc>
      </w:tr>
      <w:tr w:rsidR="002C0FD9" w:rsidRPr="00A16219" w14:paraId="7D459802" w14:textId="77777777" w:rsidTr="002C0FD9">
        <w:trPr>
          <w:trHeight w:val="635"/>
        </w:trPr>
        <w:tc>
          <w:tcPr>
            <w:tcW w:w="515" w:type="dxa"/>
          </w:tcPr>
          <w:p w14:paraId="3A473ABF" w14:textId="77777777" w:rsidR="002C0FD9" w:rsidRPr="00CA25CF" w:rsidRDefault="002C0FD9" w:rsidP="00CA25CF">
            <w:pPr>
              <w:rPr>
                <w:rFonts w:cs="Arial"/>
                <w:color w:val="FF0000"/>
                <w:sz w:val="21"/>
                <w:szCs w:val="21"/>
              </w:rPr>
            </w:pPr>
          </w:p>
        </w:tc>
        <w:tc>
          <w:tcPr>
            <w:tcW w:w="217" w:type="dxa"/>
          </w:tcPr>
          <w:p w14:paraId="59A57AF7" w14:textId="77777777" w:rsidR="002C0FD9" w:rsidRPr="00CA25CF" w:rsidRDefault="002C0FD9" w:rsidP="00CA25CF">
            <w:pPr>
              <w:rPr>
                <w:rFonts w:cs="Arial"/>
                <w:color w:val="FF0000"/>
                <w:sz w:val="21"/>
                <w:szCs w:val="21"/>
              </w:rPr>
            </w:pPr>
          </w:p>
        </w:tc>
        <w:tc>
          <w:tcPr>
            <w:tcW w:w="217" w:type="dxa"/>
          </w:tcPr>
          <w:p w14:paraId="3C6B3DCE" w14:textId="77777777" w:rsidR="002C0FD9" w:rsidRPr="00CA25CF" w:rsidRDefault="002C0FD9" w:rsidP="00CA25CF">
            <w:pPr>
              <w:rPr>
                <w:rFonts w:cs="Arial"/>
                <w:color w:val="FF0000"/>
                <w:sz w:val="21"/>
                <w:szCs w:val="21"/>
              </w:rPr>
            </w:pPr>
          </w:p>
        </w:tc>
        <w:tc>
          <w:tcPr>
            <w:tcW w:w="217" w:type="dxa"/>
          </w:tcPr>
          <w:p w14:paraId="792EED23" w14:textId="77777777" w:rsidR="002C0FD9" w:rsidRPr="00CA25CF" w:rsidRDefault="002C0FD9" w:rsidP="00CA25CF">
            <w:pPr>
              <w:rPr>
                <w:rFonts w:cs="Arial"/>
                <w:color w:val="FF0000"/>
                <w:sz w:val="21"/>
                <w:szCs w:val="21"/>
              </w:rPr>
            </w:pPr>
          </w:p>
        </w:tc>
        <w:tc>
          <w:tcPr>
            <w:tcW w:w="217" w:type="dxa"/>
          </w:tcPr>
          <w:p w14:paraId="184C47BC" w14:textId="77777777" w:rsidR="002C0FD9" w:rsidRPr="00CA25CF" w:rsidRDefault="002C0FD9" w:rsidP="00CA25CF">
            <w:pPr>
              <w:rPr>
                <w:rFonts w:cs="Arial"/>
                <w:color w:val="FF0000"/>
                <w:sz w:val="21"/>
                <w:szCs w:val="21"/>
              </w:rPr>
            </w:pPr>
          </w:p>
        </w:tc>
        <w:tc>
          <w:tcPr>
            <w:tcW w:w="217" w:type="dxa"/>
          </w:tcPr>
          <w:p w14:paraId="4168C00D" w14:textId="77777777" w:rsidR="002C0FD9" w:rsidRPr="00CA25CF" w:rsidRDefault="002C0FD9" w:rsidP="00CA25CF">
            <w:pPr>
              <w:rPr>
                <w:rFonts w:cs="Arial"/>
                <w:color w:val="FF0000"/>
                <w:sz w:val="21"/>
                <w:szCs w:val="21"/>
              </w:rPr>
            </w:pPr>
          </w:p>
        </w:tc>
        <w:tc>
          <w:tcPr>
            <w:tcW w:w="217" w:type="dxa"/>
          </w:tcPr>
          <w:p w14:paraId="6A9C9ADF" w14:textId="77777777" w:rsidR="002C0FD9" w:rsidRPr="00CA25CF" w:rsidRDefault="002C0FD9" w:rsidP="00CA25CF">
            <w:pPr>
              <w:rPr>
                <w:rFonts w:cs="Arial"/>
                <w:color w:val="FF0000"/>
                <w:sz w:val="21"/>
                <w:szCs w:val="21"/>
              </w:rPr>
            </w:pPr>
          </w:p>
        </w:tc>
        <w:tc>
          <w:tcPr>
            <w:tcW w:w="217" w:type="dxa"/>
          </w:tcPr>
          <w:p w14:paraId="14EE4949" w14:textId="77777777" w:rsidR="002C0FD9" w:rsidRPr="00CA25CF" w:rsidRDefault="002C0FD9" w:rsidP="00CA25CF">
            <w:pPr>
              <w:rPr>
                <w:rFonts w:cs="Arial"/>
                <w:color w:val="FF0000"/>
                <w:sz w:val="21"/>
                <w:szCs w:val="21"/>
              </w:rPr>
            </w:pPr>
          </w:p>
        </w:tc>
        <w:tc>
          <w:tcPr>
            <w:tcW w:w="217" w:type="dxa"/>
          </w:tcPr>
          <w:p w14:paraId="147E3B0E" w14:textId="77777777" w:rsidR="002C0FD9" w:rsidRPr="00CA25CF" w:rsidRDefault="002C0FD9" w:rsidP="00CA25CF">
            <w:pPr>
              <w:rPr>
                <w:rFonts w:cs="Arial"/>
                <w:color w:val="FF0000"/>
                <w:sz w:val="21"/>
                <w:szCs w:val="21"/>
              </w:rPr>
            </w:pPr>
          </w:p>
        </w:tc>
        <w:tc>
          <w:tcPr>
            <w:tcW w:w="217" w:type="dxa"/>
          </w:tcPr>
          <w:p w14:paraId="49AC5124" w14:textId="77777777" w:rsidR="002C0FD9" w:rsidRPr="00CA25CF" w:rsidRDefault="002C0FD9" w:rsidP="00CA25CF">
            <w:pPr>
              <w:rPr>
                <w:rFonts w:cs="Arial"/>
                <w:color w:val="FF0000"/>
                <w:sz w:val="21"/>
                <w:szCs w:val="21"/>
              </w:rPr>
            </w:pPr>
          </w:p>
        </w:tc>
        <w:tc>
          <w:tcPr>
            <w:tcW w:w="217" w:type="dxa"/>
          </w:tcPr>
          <w:p w14:paraId="72B1AFBC" w14:textId="77777777" w:rsidR="002C0FD9" w:rsidRPr="00CA25CF" w:rsidRDefault="002C0FD9" w:rsidP="00CA25CF">
            <w:pPr>
              <w:rPr>
                <w:rFonts w:cs="Arial"/>
                <w:color w:val="FF0000"/>
                <w:sz w:val="21"/>
                <w:szCs w:val="21"/>
              </w:rPr>
            </w:pPr>
          </w:p>
        </w:tc>
        <w:tc>
          <w:tcPr>
            <w:tcW w:w="217" w:type="dxa"/>
          </w:tcPr>
          <w:p w14:paraId="25AFC173" w14:textId="77777777" w:rsidR="002C0FD9" w:rsidRPr="00CA25CF" w:rsidRDefault="002C0FD9" w:rsidP="00CA25CF">
            <w:pPr>
              <w:rPr>
                <w:rFonts w:cs="Arial"/>
                <w:color w:val="FF0000"/>
                <w:sz w:val="21"/>
                <w:szCs w:val="21"/>
              </w:rPr>
            </w:pPr>
          </w:p>
        </w:tc>
        <w:tc>
          <w:tcPr>
            <w:tcW w:w="217" w:type="dxa"/>
          </w:tcPr>
          <w:p w14:paraId="629D1FE2" w14:textId="77777777" w:rsidR="002C0FD9" w:rsidRPr="00CA25CF" w:rsidRDefault="002C0FD9" w:rsidP="00CA25CF">
            <w:pPr>
              <w:rPr>
                <w:rFonts w:cs="Arial"/>
                <w:color w:val="FF0000"/>
                <w:sz w:val="21"/>
                <w:szCs w:val="21"/>
              </w:rPr>
            </w:pPr>
          </w:p>
        </w:tc>
        <w:tc>
          <w:tcPr>
            <w:tcW w:w="217" w:type="dxa"/>
          </w:tcPr>
          <w:p w14:paraId="40DD0967" w14:textId="77777777" w:rsidR="002C0FD9" w:rsidRPr="00CA25CF" w:rsidRDefault="002C0FD9" w:rsidP="00CA25CF">
            <w:pPr>
              <w:rPr>
                <w:rFonts w:cs="Arial"/>
                <w:color w:val="FF0000"/>
                <w:sz w:val="21"/>
                <w:szCs w:val="21"/>
              </w:rPr>
            </w:pPr>
          </w:p>
        </w:tc>
        <w:tc>
          <w:tcPr>
            <w:tcW w:w="217" w:type="dxa"/>
          </w:tcPr>
          <w:p w14:paraId="7ABE8842" w14:textId="77777777" w:rsidR="002C0FD9" w:rsidRPr="00CA25CF" w:rsidRDefault="002C0FD9" w:rsidP="00CA25CF">
            <w:pPr>
              <w:rPr>
                <w:rFonts w:cs="Arial"/>
                <w:color w:val="FF0000"/>
                <w:sz w:val="21"/>
                <w:szCs w:val="21"/>
              </w:rPr>
            </w:pPr>
          </w:p>
        </w:tc>
        <w:tc>
          <w:tcPr>
            <w:tcW w:w="217" w:type="dxa"/>
          </w:tcPr>
          <w:p w14:paraId="7A7E55FE" w14:textId="77777777" w:rsidR="002C0FD9" w:rsidRPr="00CA25CF" w:rsidRDefault="002C0FD9" w:rsidP="00CA25CF">
            <w:pPr>
              <w:rPr>
                <w:rFonts w:cs="Arial"/>
                <w:color w:val="FF0000"/>
                <w:sz w:val="21"/>
                <w:szCs w:val="21"/>
              </w:rPr>
            </w:pPr>
          </w:p>
        </w:tc>
        <w:tc>
          <w:tcPr>
            <w:tcW w:w="217" w:type="dxa"/>
          </w:tcPr>
          <w:p w14:paraId="5BB5E171" w14:textId="77777777" w:rsidR="002C0FD9" w:rsidRPr="00CA25CF" w:rsidRDefault="002C0FD9" w:rsidP="00CA25CF">
            <w:pPr>
              <w:rPr>
                <w:rFonts w:cs="Arial"/>
                <w:color w:val="FF0000"/>
                <w:sz w:val="21"/>
                <w:szCs w:val="21"/>
              </w:rPr>
            </w:pPr>
          </w:p>
        </w:tc>
        <w:tc>
          <w:tcPr>
            <w:tcW w:w="217" w:type="dxa"/>
          </w:tcPr>
          <w:p w14:paraId="6B9682BE" w14:textId="77777777" w:rsidR="002C0FD9" w:rsidRPr="00CA25CF" w:rsidRDefault="002C0FD9" w:rsidP="00CA25CF">
            <w:pPr>
              <w:rPr>
                <w:rFonts w:cs="Arial"/>
                <w:color w:val="FF0000"/>
                <w:sz w:val="21"/>
                <w:szCs w:val="21"/>
              </w:rPr>
            </w:pPr>
          </w:p>
        </w:tc>
        <w:tc>
          <w:tcPr>
            <w:tcW w:w="217" w:type="dxa"/>
          </w:tcPr>
          <w:p w14:paraId="082292EF" w14:textId="77777777" w:rsidR="002C0FD9" w:rsidRPr="00CA25CF" w:rsidRDefault="002C0FD9" w:rsidP="00CA25CF">
            <w:pPr>
              <w:rPr>
                <w:rFonts w:cs="Arial"/>
                <w:color w:val="FF0000"/>
                <w:sz w:val="21"/>
                <w:szCs w:val="21"/>
              </w:rPr>
            </w:pPr>
          </w:p>
        </w:tc>
        <w:tc>
          <w:tcPr>
            <w:tcW w:w="217" w:type="dxa"/>
          </w:tcPr>
          <w:p w14:paraId="316BA17C" w14:textId="77777777" w:rsidR="002C0FD9" w:rsidRPr="00CA25CF" w:rsidRDefault="002C0FD9" w:rsidP="00CA25CF">
            <w:pPr>
              <w:rPr>
                <w:rFonts w:cs="Arial"/>
                <w:color w:val="FF0000"/>
                <w:sz w:val="21"/>
                <w:szCs w:val="21"/>
              </w:rPr>
            </w:pPr>
          </w:p>
        </w:tc>
        <w:tc>
          <w:tcPr>
            <w:tcW w:w="217" w:type="dxa"/>
          </w:tcPr>
          <w:p w14:paraId="091ED08A" w14:textId="77777777" w:rsidR="002C0FD9" w:rsidRPr="00CA25CF" w:rsidRDefault="002C0FD9" w:rsidP="00CA25CF">
            <w:pPr>
              <w:rPr>
                <w:rFonts w:cs="Arial"/>
                <w:color w:val="FF0000"/>
                <w:sz w:val="21"/>
                <w:szCs w:val="21"/>
              </w:rPr>
            </w:pPr>
          </w:p>
        </w:tc>
        <w:tc>
          <w:tcPr>
            <w:tcW w:w="217" w:type="dxa"/>
          </w:tcPr>
          <w:p w14:paraId="7E330456" w14:textId="77777777" w:rsidR="002C0FD9" w:rsidRPr="00CA25CF" w:rsidRDefault="002C0FD9" w:rsidP="00CA25CF">
            <w:pPr>
              <w:rPr>
                <w:rFonts w:cs="Arial"/>
                <w:color w:val="FF0000"/>
                <w:sz w:val="21"/>
                <w:szCs w:val="21"/>
              </w:rPr>
            </w:pPr>
          </w:p>
        </w:tc>
        <w:tc>
          <w:tcPr>
            <w:tcW w:w="217" w:type="dxa"/>
          </w:tcPr>
          <w:p w14:paraId="063A5F04" w14:textId="77777777" w:rsidR="002C0FD9" w:rsidRPr="00CA25CF" w:rsidRDefault="002C0FD9" w:rsidP="00CA25CF">
            <w:pPr>
              <w:rPr>
                <w:rFonts w:cs="Arial"/>
                <w:color w:val="FF0000"/>
                <w:sz w:val="21"/>
                <w:szCs w:val="21"/>
              </w:rPr>
            </w:pPr>
          </w:p>
        </w:tc>
        <w:tc>
          <w:tcPr>
            <w:tcW w:w="217" w:type="dxa"/>
          </w:tcPr>
          <w:p w14:paraId="085BD507" w14:textId="77777777" w:rsidR="002C0FD9" w:rsidRPr="00CA25CF" w:rsidRDefault="002C0FD9" w:rsidP="00CA25CF">
            <w:pPr>
              <w:rPr>
                <w:rFonts w:cs="Arial"/>
                <w:color w:val="FF0000"/>
                <w:sz w:val="21"/>
                <w:szCs w:val="21"/>
              </w:rPr>
            </w:pPr>
          </w:p>
        </w:tc>
        <w:tc>
          <w:tcPr>
            <w:tcW w:w="217" w:type="dxa"/>
          </w:tcPr>
          <w:p w14:paraId="46082657" w14:textId="77777777" w:rsidR="002C0FD9" w:rsidRPr="00CA25CF" w:rsidRDefault="002C0FD9" w:rsidP="00CA25CF">
            <w:pPr>
              <w:rPr>
                <w:rFonts w:cs="Arial"/>
                <w:color w:val="FF0000"/>
                <w:sz w:val="21"/>
                <w:szCs w:val="21"/>
              </w:rPr>
            </w:pPr>
          </w:p>
        </w:tc>
        <w:tc>
          <w:tcPr>
            <w:tcW w:w="217" w:type="dxa"/>
          </w:tcPr>
          <w:p w14:paraId="41B3A54E" w14:textId="77777777" w:rsidR="002C0FD9" w:rsidRPr="00CA25CF" w:rsidRDefault="002C0FD9" w:rsidP="00CA25CF">
            <w:pPr>
              <w:rPr>
                <w:rFonts w:cs="Arial"/>
                <w:color w:val="FF0000"/>
                <w:sz w:val="21"/>
                <w:szCs w:val="21"/>
              </w:rPr>
            </w:pPr>
          </w:p>
        </w:tc>
        <w:tc>
          <w:tcPr>
            <w:tcW w:w="217" w:type="dxa"/>
          </w:tcPr>
          <w:p w14:paraId="23D9890A" w14:textId="77777777" w:rsidR="002C0FD9" w:rsidRPr="00CA25CF" w:rsidRDefault="002C0FD9" w:rsidP="00CA25CF">
            <w:pPr>
              <w:rPr>
                <w:rFonts w:cs="Arial"/>
                <w:color w:val="FF0000"/>
                <w:sz w:val="21"/>
                <w:szCs w:val="21"/>
              </w:rPr>
            </w:pPr>
          </w:p>
        </w:tc>
        <w:tc>
          <w:tcPr>
            <w:tcW w:w="217" w:type="dxa"/>
          </w:tcPr>
          <w:p w14:paraId="6B6B0718" w14:textId="77777777" w:rsidR="002C0FD9" w:rsidRPr="00CA25CF" w:rsidRDefault="002C0FD9" w:rsidP="00CA25CF">
            <w:pPr>
              <w:rPr>
                <w:rFonts w:cs="Arial"/>
                <w:color w:val="FF0000"/>
                <w:sz w:val="21"/>
                <w:szCs w:val="21"/>
              </w:rPr>
            </w:pPr>
          </w:p>
        </w:tc>
        <w:tc>
          <w:tcPr>
            <w:tcW w:w="217" w:type="dxa"/>
          </w:tcPr>
          <w:p w14:paraId="03FC01FC" w14:textId="77777777" w:rsidR="002C0FD9" w:rsidRPr="00CA25CF" w:rsidRDefault="002C0FD9" w:rsidP="00CA25CF">
            <w:pPr>
              <w:rPr>
                <w:rFonts w:cs="Arial"/>
                <w:color w:val="FF0000"/>
                <w:sz w:val="21"/>
                <w:szCs w:val="21"/>
              </w:rPr>
            </w:pPr>
          </w:p>
        </w:tc>
        <w:tc>
          <w:tcPr>
            <w:tcW w:w="217" w:type="dxa"/>
          </w:tcPr>
          <w:p w14:paraId="75E4C0FD" w14:textId="77777777" w:rsidR="002C0FD9" w:rsidRPr="00CA25CF" w:rsidRDefault="002C0FD9" w:rsidP="00CA25CF">
            <w:pPr>
              <w:rPr>
                <w:rFonts w:cs="Arial"/>
                <w:color w:val="FF0000"/>
                <w:sz w:val="21"/>
                <w:szCs w:val="21"/>
              </w:rPr>
            </w:pPr>
          </w:p>
        </w:tc>
        <w:tc>
          <w:tcPr>
            <w:tcW w:w="217" w:type="dxa"/>
          </w:tcPr>
          <w:p w14:paraId="63CC9CB3" w14:textId="77777777" w:rsidR="002C0FD9" w:rsidRPr="00CA25CF" w:rsidRDefault="002C0FD9" w:rsidP="00CA25CF">
            <w:pPr>
              <w:rPr>
                <w:rFonts w:cs="Arial"/>
                <w:color w:val="FF0000"/>
                <w:sz w:val="21"/>
                <w:szCs w:val="21"/>
              </w:rPr>
            </w:pPr>
          </w:p>
        </w:tc>
        <w:tc>
          <w:tcPr>
            <w:tcW w:w="217" w:type="dxa"/>
          </w:tcPr>
          <w:p w14:paraId="3BA4635B" w14:textId="77777777" w:rsidR="002C0FD9" w:rsidRPr="00CA25CF" w:rsidRDefault="002C0FD9" w:rsidP="00CA25CF">
            <w:pPr>
              <w:rPr>
                <w:rFonts w:cs="Arial"/>
                <w:color w:val="FF0000"/>
                <w:sz w:val="21"/>
                <w:szCs w:val="21"/>
              </w:rPr>
            </w:pPr>
          </w:p>
        </w:tc>
        <w:tc>
          <w:tcPr>
            <w:tcW w:w="217" w:type="dxa"/>
          </w:tcPr>
          <w:p w14:paraId="2C847C37" w14:textId="77777777" w:rsidR="002C0FD9" w:rsidRPr="00CA25CF" w:rsidRDefault="002C0FD9" w:rsidP="00CA25CF">
            <w:pPr>
              <w:rPr>
                <w:rFonts w:cs="Arial"/>
                <w:color w:val="FF0000"/>
                <w:sz w:val="21"/>
                <w:szCs w:val="21"/>
              </w:rPr>
            </w:pPr>
          </w:p>
        </w:tc>
        <w:tc>
          <w:tcPr>
            <w:tcW w:w="217" w:type="dxa"/>
          </w:tcPr>
          <w:p w14:paraId="719E21DE" w14:textId="77777777" w:rsidR="002C0FD9" w:rsidRPr="00CA25CF" w:rsidRDefault="002C0FD9" w:rsidP="00CA25CF">
            <w:pPr>
              <w:rPr>
                <w:rFonts w:cs="Arial"/>
                <w:color w:val="FF0000"/>
                <w:sz w:val="21"/>
                <w:szCs w:val="21"/>
              </w:rPr>
            </w:pPr>
          </w:p>
        </w:tc>
        <w:tc>
          <w:tcPr>
            <w:tcW w:w="217" w:type="dxa"/>
          </w:tcPr>
          <w:p w14:paraId="5A864452" w14:textId="77777777" w:rsidR="002C0FD9" w:rsidRPr="00CA25CF" w:rsidRDefault="002C0FD9" w:rsidP="00CA25CF">
            <w:pPr>
              <w:rPr>
                <w:rFonts w:cs="Arial"/>
                <w:color w:val="FF0000"/>
                <w:sz w:val="21"/>
                <w:szCs w:val="21"/>
              </w:rPr>
            </w:pPr>
          </w:p>
        </w:tc>
        <w:tc>
          <w:tcPr>
            <w:tcW w:w="217" w:type="dxa"/>
          </w:tcPr>
          <w:p w14:paraId="6BF7F599" w14:textId="77777777" w:rsidR="002C0FD9" w:rsidRPr="00CA25CF" w:rsidRDefault="002C0FD9" w:rsidP="00CA25CF">
            <w:pPr>
              <w:rPr>
                <w:rFonts w:cs="Arial"/>
                <w:color w:val="FF0000"/>
                <w:sz w:val="21"/>
                <w:szCs w:val="21"/>
              </w:rPr>
            </w:pPr>
          </w:p>
        </w:tc>
        <w:tc>
          <w:tcPr>
            <w:tcW w:w="217" w:type="dxa"/>
          </w:tcPr>
          <w:p w14:paraId="2295D96F" w14:textId="77777777" w:rsidR="002C0FD9" w:rsidRPr="00CA25CF" w:rsidRDefault="002C0FD9" w:rsidP="00CA25CF">
            <w:pPr>
              <w:rPr>
                <w:rFonts w:cs="Arial"/>
                <w:color w:val="FF0000"/>
                <w:sz w:val="21"/>
                <w:szCs w:val="21"/>
              </w:rPr>
            </w:pPr>
          </w:p>
        </w:tc>
        <w:tc>
          <w:tcPr>
            <w:tcW w:w="217" w:type="dxa"/>
          </w:tcPr>
          <w:p w14:paraId="69C32B8C" w14:textId="77777777" w:rsidR="002C0FD9" w:rsidRPr="00CA25CF" w:rsidRDefault="002C0FD9" w:rsidP="00CA25CF">
            <w:pPr>
              <w:rPr>
                <w:rFonts w:cs="Arial"/>
                <w:color w:val="FF0000"/>
                <w:sz w:val="21"/>
                <w:szCs w:val="21"/>
              </w:rPr>
            </w:pPr>
          </w:p>
        </w:tc>
        <w:tc>
          <w:tcPr>
            <w:tcW w:w="217" w:type="dxa"/>
          </w:tcPr>
          <w:p w14:paraId="7F6A8AD9" w14:textId="77777777" w:rsidR="002C0FD9" w:rsidRPr="00CA25CF" w:rsidRDefault="002C0FD9" w:rsidP="00CA25CF">
            <w:pPr>
              <w:rPr>
                <w:rFonts w:cs="Arial"/>
                <w:color w:val="FF0000"/>
                <w:sz w:val="21"/>
                <w:szCs w:val="21"/>
              </w:rPr>
            </w:pPr>
          </w:p>
        </w:tc>
        <w:tc>
          <w:tcPr>
            <w:tcW w:w="217" w:type="dxa"/>
          </w:tcPr>
          <w:p w14:paraId="355DA3BD" w14:textId="77777777" w:rsidR="002C0FD9" w:rsidRPr="00CA25CF" w:rsidRDefault="002C0FD9" w:rsidP="00CA25CF">
            <w:pPr>
              <w:rPr>
                <w:rFonts w:cs="Arial"/>
                <w:color w:val="FF0000"/>
                <w:sz w:val="21"/>
                <w:szCs w:val="21"/>
              </w:rPr>
            </w:pPr>
          </w:p>
        </w:tc>
        <w:tc>
          <w:tcPr>
            <w:tcW w:w="217" w:type="dxa"/>
          </w:tcPr>
          <w:p w14:paraId="645F5BB4" w14:textId="77777777" w:rsidR="002C0FD9" w:rsidRPr="00CA25CF" w:rsidRDefault="002C0FD9" w:rsidP="00CA25CF">
            <w:pPr>
              <w:rPr>
                <w:rFonts w:cs="Arial"/>
                <w:color w:val="FF0000"/>
                <w:sz w:val="21"/>
                <w:szCs w:val="21"/>
              </w:rPr>
            </w:pPr>
          </w:p>
        </w:tc>
        <w:tc>
          <w:tcPr>
            <w:tcW w:w="217" w:type="dxa"/>
          </w:tcPr>
          <w:p w14:paraId="394E049F" w14:textId="77777777" w:rsidR="002C0FD9" w:rsidRPr="00CA25CF" w:rsidRDefault="002C0FD9" w:rsidP="00CA25CF">
            <w:pPr>
              <w:rPr>
                <w:rFonts w:cs="Arial"/>
                <w:color w:val="FF0000"/>
                <w:sz w:val="21"/>
                <w:szCs w:val="21"/>
              </w:rPr>
            </w:pPr>
          </w:p>
        </w:tc>
        <w:tc>
          <w:tcPr>
            <w:tcW w:w="217" w:type="dxa"/>
          </w:tcPr>
          <w:p w14:paraId="011427C0" w14:textId="77777777" w:rsidR="002C0FD9" w:rsidRPr="00CA25CF" w:rsidRDefault="002C0FD9" w:rsidP="00CA25CF">
            <w:pPr>
              <w:rPr>
                <w:rFonts w:cs="Arial"/>
                <w:color w:val="FF0000"/>
                <w:sz w:val="21"/>
                <w:szCs w:val="21"/>
              </w:rPr>
            </w:pPr>
          </w:p>
        </w:tc>
      </w:tr>
      <w:tr w:rsidR="002C0FD9" w:rsidRPr="00A16219" w14:paraId="2268F0D5" w14:textId="77777777" w:rsidTr="002C0FD9">
        <w:trPr>
          <w:trHeight w:val="635"/>
        </w:trPr>
        <w:tc>
          <w:tcPr>
            <w:tcW w:w="515" w:type="dxa"/>
          </w:tcPr>
          <w:p w14:paraId="71E58BD2" w14:textId="77777777" w:rsidR="002C0FD9" w:rsidRPr="00CA25CF" w:rsidRDefault="002C0FD9" w:rsidP="00CA25CF">
            <w:pPr>
              <w:rPr>
                <w:rFonts w:cs="Arial"/>
                <w:color w:val="FF0000"/>
                <w:sz w:val="21"/>
                <w:szCs w:val="21"/>
              </w:rPr>
            </w:pPr>
          </w:p>
        </w:tc>
        <w:tc>
          <w:tcPr>
            <w:tcW w:w="217" w:type="dxa"/>
          </w:tcPr>
          <w:p w14:paraId="0E31EFB4" w14:textId="77777777" w:rsidR="002C0FD9" w:rsidRPr="00CA25CF" w:rsidRDefault="002C0FD9" w:rsidP="00CA25CF">
            <w:pPr>
              <w:rPr>
                <w:rFonts w:cs="Arial"/>
                <w:color w:val="FF0000"/>
                <w:sz w:val="21"/>
                <w:szCs w:val="21"/>
              </w:rPr>
            </w:pPr>
          </w:p>
        </w:tc>
        <w:tc>
          <w:tcPr>
            <w:tcW w:w="217" w:type="dxa"/>
          </w:tcPr>
          <w:p w14:paraId="2CC57BF9" w14:textId="77777777" w:rsidR="002C0FD9" w:rsidRPr="00CA25CF" w:rsidRDefault="002C0FD9" w:rsidP="00CA25CF">
            <w:pPr>
              <w:rPr>
                <w:rFonts w:cs="Arial"/>
                <w:color w:val="FF0000"/>
                <w:sz w:val="21"/>
                <w:szCs w:val="21"/>
              </w:rPr>
            </w:pPr>
          </w:p>
        </w:tc>
        <w:tc>
          <w:tcPr>
            <w:tcW w:w="217" w:type="dxa"/>
          </w:tcPr>
          <w:p w14:paraId="2F31C00C" w14:textId="77777777" w:rsidR="002C0FD9" w:rsidRPr="00CA25CF" w:rsidRDefault="002C0FD9" w:rsidP="00CA25CF">
            <w:pPr>
              <w:rPr>
                <w:rFonts w:cs="Arial"/>
                <w:color w:val="FF0000"/>
                <w:sz w:val="21"/>
                <w:szCs w:val="21"/>
              </w:rPr>
            </w:pPr>
          </w:p>
        </w:tc>
        <w:tc>
          <w:tcPr>
            <w:tcW w:w="217" w:type="dxa"/>
          </w:tcPr>
          <w:p w14:paraId="22A155DE" w14:textId="77777777" w:rsidR="002C0FD9" w:rsidRPr="00CA25CF" w:rsidRDefault="002C0FD9" w:rsidP="00CA25CF">
            <w:pPr>
              <w:rPr>
                <w:rFonts w:cs="Arial"/>
                <w:color w:val="FF0000"/>
                <w:sz w:val="21"/>
                <w:szCs w:val="21"/>
              </w:rPr>
            </w:pPr>
          </w:p>
        </w:tc>
        <w:tc>
          <w:tcPr>
            <w:tcW w:w="217" w:type="dxa"/>
          </w:tcPr>
          <w:p w14:paraId="2267E065" w14:textId="77777777" w:rsidR="002C0FD9" w:rsidRPr="00CA25CF" w:rsidRDefault="002C0FD9" w:rsidP="00CA25CF">
            <w:pPr>
              <w:rPr>
                <w:rFonts w:cs="Arial"/>
                <w:color w:val="FF0000"/>
                <w:sz w:val="21"/>
                <w:szCs w:val="21"/>
              </w:rPr>
            </w:pPr>
          </w:p>
        </w:tc>
        <w:tc>
          <w:tcPr>
            <w:tcW w:w="217" w:type="dxa"/>
          </w:tcPr>
          <w:p w14:paraId="061845C2" w14:textId="77777777" w:rsidR="002C0FD9" w:rsidRPr="00CA25CF" w:rsidRDefault="002C0FD9" w:rsidP="00CA25CF">
            <w:pPr>
              <w:rPr>
                <w:rFonts w:cs="Arial"/>
                <w:color w:val="FF0000"/>
                <w:sz w:val="21"/>
                <w:szCs w:val="21"/>
              </w:rPr>
            </w:pPr>
          </w:p>
        </w:tc>
        <w:tc>
          <w:tcPr>
            <w:tcW w:w="217" w:type="dxa"/>
          </w:tcPr>
          <w:p w14:paraId="6C38C664" w14:textId="77777777" w:rsidR="002C0FD9" w:rsidRPr="00CA25CF" w:rsidRDefault="002C0FD9" w:rsidP="00CA25CF">
            <w:pPr>
              <w:rPr>
                <w:rFonts w:cs="Arial"/>
                <w:color w:val="FF0000"/>
                <w:sz w:val="21"/>
                <w:szCs w:val="21"/>
              </w:rPr>
            </w:pPr>
          </w:p>
        </w:tc>
        <w:tc>
          <w:tcPr>
            <w:tcW w:w="217" w:type="dxa"/>
          </w:tcPr>
          <w:p w14:paraId="591FDCE4" w14:textId="77777777" w:rsidR="002C0FD9" w:rsidRPr="00CA25CF" w:rsidRDefault="002C0FD9" w:rsidP="00CA25CF">
            <w:pPr>
              <w:rPr>
                <w:rFonts w:cs="Arial"/>
                <w:color w:val="FF0000"/>
                <w:sz w:val="21"/>
                <w:szCs w:val="21"/>
              </w:rPr>
            </w:pPr>
          </w:p>
        </w:tc>
        <w:tc>
          <w:tcPr>
            <w:tcW w:w="217" w:type="dxa"/>
          </w:tcPr>
          <w:p w14:paraId="366A0CB1" w14:textId="77777777" w:rsidR="002C0FD9" w:rsidRPr="00CA25CF" w:rsidRDefault="002C0FD9" w:rsidP="00CA25CF">
            <w:pPr>
              <w:rPr>
                <w:rFonts w:cs="Arial"/>
                <w:color w:val="FF0000"/>
                <w:sz w:val="21"/>
                <w:szCs w:val="21"/>
              </w:rPr>
            </w:pPr>
          </w:p>
        </w:tc>
        <w:tc>
          <w:tcPr>
            <w:tcW w:w="217" w:type="dxa"/>
          </w:tcPr>
          <w:p w14:paraId="1D75B16D" w14:textId="77777777" w:rsidR="002C0FD9" w:rsidRPr="00CA25CF" w:rsidRDefault="002C0FD9" w:rsidP="00CA25CF">
            <w:pPr>
              <w:rPr>
                <w:rFonts w:cs="Arial"/>
                <w:color w:val="FF0000"/>
                <w:sz w:val="21"/>
                <w:szCs w:val="21"/>
              </w:rPr>
            </w:pPr>
          </w:p>
        </w:tc>
        <w:tc>
          <w:tcPr>
            <w:tcW w:w="217" w:type="dxa"/>
          </w:tcPr>
          <w:p w14:paraId="4724753E" w14:textId="77777777" w:rsidR="002C0FD9" w:rsidRPr="00CA25CF" w:rsidRDefault="002C0FD9" w:rsidP="00CA25CF">
            <w:pPr>
              <w:rPr>
                <w:rFonts w:cs="Arial"/>
                <w:color w:val="FF0000"/>
                <w:sz w:val="21"/>
                <w:szCs w:val="21"/>
              </w:rPr>
            </w:pPr>
          </w:p>
        </w:tc>
        <w:tc>
          <w:tcPr>
            <w:tcW w:w="217" w:type="dxa"/>
          </w:tcPr>
          <w:p w14:paraId="5CB2B2C6" w14:textId="77777777" w:rsidR="002C0FD9" w:rsidRPr="00CA25CF" w:rsidRDefault="002C0FD9" w:rsidP="00CA25CF">
            <w:pPr>
              <w:rPr>
                <w:rFonts w:cs="Arial"/>
                <w:color w:val="FF0000"/>
                <w:sz w:val="21"/>
                <w:szCs w:val="21"/>
              </w:rPr>
            </w:pPr>
          </w:p>
        </w:tc>
        <w:tc>
          <w:tcPr>
            <w:tcW w:w="217" w:type="dxa"/>
          </w:tcPr>
          <w:p w14:paraId="4E813B4F" w14:textId="77777777" w:rsidR="002C0FD9" w:rsidRPr="00CA25CF" w:rsidRDefault="002C0FD9" w:rsidP="00CA25CF">
            <w:pPr>
              <w:rPr>
                <w:rFonts w:cs="Arial"/>
                <w:color w:val="FF0000"/>
                <w:sz w:val="21"/>
                <w:szCs w:val="21"/>
              </w:rPr>
            </w:pPr>
          </w:p>
        </w:tc>
        <w:tc>
          <w:tcPr>
            <w:tcW w:w="217" w:type="dxa"/>
          </w:tcPr>
          <w:p w14:paraId="4ECD1652" w14:textId="77777777" w:rsidR="002C0FD9" w:rsidRPr="00CA25CF" w:rsidRDefault="002C0FD9" w:rsidP="00CA25CF">
            <w:pPr>
              <w:rPr>
                <w:rFonts w:cs="Arial"/>
                <w:color w:val="FF0000"/>
                <w:sz w:val="21"/>
                <w:szCs w:val="21"/>
              </w:rPr>
            </w:pPr>
          </w:p>
        </w:tc>
        <w:tc>
          <w:tcPr>
            <w:tcW w:w="217" w:type="dxa"/>
          </w:tcPr>
          <w:p w14:paraId="2CDE32B7" w14:textId="77777777" w:rsidR="002C0FD9" w:rsidRPr="00CA25CF" w:rsidRDefault="002C0FD9" w:rsidP="00CA25CF">
            <w:pPr>
              <w:rPr>
                <w:rFonts w:cs="Arial"/>
                <w:color w:val="FF0000"/>
                <w:sz w:val="21"/>
                <w:szCs w:val="21"/>
              </w:rPr>
            </w:pPr>
          </w:p>
        </w:tc>
        <w:tc>
          <w:tcPr>
            <w:tcW w:w="217" w:type="dxa"/>
          </w:tcPr>
          <w:p w14:paraId="634C51AC" w14:textId="77777777" w:rsidR="002C0FD9" w:rsidRPr="00CA25CF" w:rsidRDefault="002C0FD9" w:rsidP="00CA25CF">
            <w:pPr>
              <w:rPr>
                <w:rFonts w:cs="Arial"/>
                <w:color w:val="FF0000"/>
                <w:sz w:val="21"/>
                <w:szCs w:val="21"/>
              </w:rPr>
            </w:pPr>
          </w:p>
        </w:tc>
        <w:tc>
          <w:tcPr>
            <w:tcW w:w="217" w:type="dxa"/>
          </w:tcPr>
          <w:p w14:paraId="01E6205C" w14:textId="77777777" w:rsidR="002C0FD9" w:rsidRPr="00CA25CF" w:rsidRDefault="002C0FD9" w:rsidP="00CA25CF">
            <w:pPr>
              <w:rPr>
                <w:rFonts w:cs="Arial"/>
                <w:color w:val="FF0000"/>
                <w:sz w:val="21"/>
                <w:szCs w:val="21"/>
              </w:rPr>
            </w:pPr>
          </w:p>
        </w:tc>
        <w:tc>
          <w:tcPr>
            <w:tcW w:w="217" w:type="dxa"/>
          </w:tcPr>
          <w:p w14:paraId="747419F9" w14:textId="77777777" w:rsidR="002C0FD9" w:rsidRPr="00CA25CF" w:rsidRDefault="002C0FD9" w:rsidP="00CA25CF">
            <w:pPr>
              <w:rPr>
                <w:rFonts w:cs="Arial"/>
                <w:color w:val="FF0000"/>
                <w:sz w:val="21"/>
                <w:szCs w:val="21"/>
              </w:rPr>
            </w:pPr>
          </w:p>
        </w:tc>
        <w:tc>
          <w:tcPr>
            <w:tcW w:w="217" w:type="dxa"/>
          </w:tcPr>
          <w:p w14:paraId="25155A46" w14:textId="77777777" w:rsidR="002C0FD9" w:rsidRPr="00CA25CF" w:rsidRDefault="002C0FD9" w:rsidP="00CA25CF">
            <w:pPr>
              <w:rPr>
                <w:rFonts w:cs="Arial"/>
                <w:color w:val="FF0000"/>
                <w:sz w:val="21"/>
                <w:szCs w:val="21"/>
              </w:rPr>
            </w:pPr>
          </w:p>
        </w:tc>
        <w:tc>
          <w:tcPr>
            <w:tcW w:w="217" w:type="dxa"/>
          </w:tcPr>
          <w:p w14:paraId="3F3500BA" w14:textId="77777777" w:rsidR="002C0FD9" w:rsidRPr="00CA25CF" w:rsidRDefault="002C0FD9" w:rsidP="00CA25CF">
            <w:pPr>
              <w:rPr>
                <w:rFonts w:cs="Arial"/>
                <w:color w:val="FF0000"/>
                <w:sz w:val="21"/>
                <w:szCs w:val="21"/>
              </w:rPr>
            </w:pPr>
          </w:p>
        </w:tc>
        <w:tc>
          <w:tcPr>
            <w:tcW w:w="217" w:type="dxa"/>
          </w:tcPr>
          <w:p w14:paraId="6F69BC7B" w14:textId="77777777" w:rsidR="002C0FD9" w:rsidRPr="00CA25CF" w:rsidRDefault="002C0FD9" w:rsidP="00CA25CF">
            <w:pPr>
              <w:rPr>
                <w:rFonts w:cs="Arial"/>
                <w:color w:val="FF0000"/>
                <w:sz w:val="21"/>
                <w:szCs w:val="21"/>
              </w:rPr>
            </w:pPr>
          </w:p>
        </w:tc>
        <w:tc>
          <w:tcPr>
            <w:tcW w:w="217" w:type="dxa"/>
          </w:tcPr>
          <w:p w14:paraId="46709D84" w14:textId="77777777" w:rsidR="002C0FD9" w:rsidRPr="00CA25CF" w:rsidRDefault="002C0FD9" w:rsidP="00CA25CF">
            <w:pPr>
              <w:rPr>
                <w:rFonts w:cs="Arial"/>
                <w:color w:val="FF0000"/>
                <w:sz w:val="21"/>
                <w:szCs w:val="21"/>
              </w:rPr>
            </w:pPr>
          </w:p>
        </w:tc>
        <w:tc>
          <w:tcPr>
            <w:tcW w:w="217" w:type="dxa"/>
          </w:tcPr>
          <w:p w14:paraId="69579AE8" w14:textId="77777777" w:rsidR="002C0FD9" w:rsidRPr="00CA25CF" w:rsidRDefault="002C0FD9" w:rsidP="00CA25CF">
            <w:pPr>
              <w:rPr>
                <w:rFonts w:cs="Arial"/>
                <w:color w:val="FF0000"/>
                <w:sz w:val="21"/>
                <w:szCs w:val="21"/>
              </w:rPr>
            </w:pPr>
          </w:p>
        </w:tc>
        <w:tc>
          <w:tcPr>
            <w:tcW w:w="217" w:type="dxa"/>
          </w:tcPr>
          <w:p w14:paraId="60DE9AD5" w14:textId="77777777" w:rsidR="002C0FD9" w:rsidRPr="00CA25CF" w:rsidRDefault="002C0FD9" w:rsidP="00CA25CF">
            <w:pPr>
              <w:rPr>
                <w:rFonts w:cs="Arial"/>
                <w:color w:val="FF0000"/>
                <w:sz w:val="21"/>
                <w:szCs w:val="21"/>
              </w:rPr>
            </w:pPr>
          </w:p>
        </w:tc>
        <w:tc>
          <w:tcPr>
            <w:tcW w:w="217" w:type="dxa"/>
          </w:tcPr>
          <w:p w14:paraId="56E6D470" w14:textId="77777777" w:rsidR="002C0FD9" w:rsidRPr="00CA25CF" w:rsidRDefault="002C0FD9" w:rsidP="00CA25CF">
            <w:pPr>
              <w:rPr>
                <w:rFonts w:cs="Arial"/>
                <w:color w:val="FF0000"/>
                <w:sz w:val="21"/>
                <w:szCs w:val="21"/>
              </w:rPr>
            </w:pPr>
          </w:p>
        </w:tc>
        <w:tc>
          <w:tcPr>
            <w:tcW w:w="217" w:type="dxa"/>
          </w:tcPr>
          <w:p w14:paraId="7070BE93" w14:textId="77777777" w:rsidR="002C0FD9" w:rsidRPr="00CA25CF" w:rsidRDefault="002C0FD9" w:rsidP="00CA25CF">
            <w:pPr>
              <w:rPr>
                <w:rFonts w:cs="Arial"/>
                <w:color w:val="FF0000"/>
                <w:sz w:val="21"/>
                <w:szCs w:val="21"/>
              </w:rPr>
            </w:pPr>
          </w:p>
        </w:tc>
        <w:tc>
          <w:tcPr>
            <w:tcW w:w="217" w:type="dxa"/>
          </w:tcPr>
          <w:p w14:paraId="304C1134" w14:textId="77777777" w:rsidR="002C0FD9" w:rsidRPr="00CA25CF" w:rsidRDefault="002C0FD9" w:rsidP="00CA25CF">
            <w:pPr>
              <w:rPr>
                <w:rFonts w:cs="Arial"/>
                <w:color w:val="FF0000"/>
                <w:sz w:val="21"/>
                <w:szCs w:val="21"/>
              </w:rPr>
            </w:pPr>
          </w:p>
        </w:tc>
        <w:tc>
          <w:tcPr>
            <w:tcW w:w="217" w:type="dxa"/>
          </w:tcPr>
          <w:p w14:paraId="713CBED8" w14:textId="77777777" w:rsidR="002C0FD9" w:rsidRPr="00CA25CF" w:rsidRDefault="002C0FD9" w:rsidP="00CA25CF">
            <w:pPr>
              <w:rPr>
                <w:rFonts w:cs="Arial"/>
                <w:color w:val="FF0000"/>
                <w:sz w:val="21"/>
                <w:szCs w:val="21"/>
              </w:rPr>
            </w:pPr>
          </w:p>
        </w:tc>
        <w:tc>
          <w:tcPr>
            <w:tcW w:w="217" w:type="dxa"/>
          </w:tcPr>
          <w:p w14:paraId="42726532" w14:textId="77777777" w:rsidR="002C0FD9" w:rsidRPr="00CA25CF" w:rsidRDefault="002C0FD9" w:rsidP="00CA25CF">
            <w:pPr>
              <w:rPr>
                <w:rFonts w:cs="Arial"/>
                <w:color w:val="FF0000"/>
                <w:sz w:val="21"/>
                <w:szCs w:val="21"/>
              </w:rPr>
            </w:pPr>
          </w:p>
        </w:tc>
        <w:tc>
          <w:tcPr>
            <w:tcW w:w="217" w:type="dxa"/>
          </w:tcPr>
          <w:p w14:paraId="39A10B40" w14:textId="77777777" w:rsidR="002C0FD9" w:rsidRPr="00CA25CF" w:rsidRDefault="002C0FD9" w:rsidP="00CA25CF">
            <w:pPr>
              <w:rPr>
                <w:rFonts w:cs="Arial"/>
                <w:color w:val="FF0000"/>
                <w:sz w:val="21"/>
                <w:szCs w:val="21"/>
              </w:rPr>
            </w:pPr>
          </w:p>
        </w:tc>
        <w:tc>
          <w:tcPr>
            <w:tcW w:w="217" w:type="dxa"/>
          </w:tcPr>
          <w:p w14:paraId="72397927" w14:textId="77777777" w:rsidR="002C0FD9" w:rsidRPr="00CA25CF" w:rsidRDefault="002C0FD9" w:rsidP="00CA25CF">
            <w:pPr>
              <w:rPr>
                <w:rFonts w:cs="Arial"/>
                <w:color w:val="FF0000"/>
                <w:sz w:val="21"/>
                <w:szCs w:val="21"/>
              </w:rPr>
            </w:pPr>
          </w:p>
        </w:tc>
        <w:tc>
          <w:tcPr>
            <w:tcW w:w="217" w:type="dxa"/>
          </w:tcPr>
          <w:p w14:paraId="21E9C462" w14:textId="77777777" w:rsidR="002C0FD9" w:rsidRPr="00CA25CF" w:rsidRDefault="002C0FD9" w:rsidP="00CA25CF">
            <w:pPr>
              <w:rPr>
                <w:rFonts w:cs="Arial"/>
                <w:color w:val="FF0000"/>
                <w:sz w:val="21"/>
                <w:szCs w:val="21"/>
              </w:rPr>
            </w:pPr>
          </w:p>
        </w:tc>
        <w:tc>
          <w:tcPr>
            <w:tcW w:w="217" w:type="dxa"/>
          </w:tcPr>
          <w:p w14:paraId="201F96C8" w14:textId="77777777" w:rsidR="002C0FD9" w:rsidRPr="00CA25CF" w:rsidRDefault="002C0FD9" w:rsidP="00CA25CF">
            <w:pPr>
              <w:rPr>
                <w:rFonts w:cs="Arial"/>
                <w:color w:val="FF0000"/>
                <w:sz w:val="21"/>
                <w:szCs w:val="21"/>
              </w:rPr>
            </w:pPr>
          </w:p>
        </w:tc>
        <w:tc>
          <w:tcPr>
            <w:tcW w:w="217" w:type="dxa"/>
          </w:tcPr>
          <w:p w14:paraId="76E82C74" w14:textId="77777777" w:rsidR="002C0FD9" w:rsidRPr="00CA25CF" w:rsidRDefault="002C0FD9" w:rsidP="00CA25CF">
            <w:pPr>
              <w:rPr>
                <w:rFonts w:cs="Arial"/>
                <w:color w:val="FF0000"/>
                <w:sz w:val="21"/>
                <w:szCs w:val="21"/>
              </w:rPr>
            </w:pPr>
          </w:p>
        </w:tc>
        <w:tc>
          <w:tcPr>
            <w:tcW w:w="217" w:type="dxa"/>
          </w:tcPr>
          <w:p w14:paraId="43FE4804" w14:textId="77777777" w:rsidR="002C0FD9" w:rsidRPr="00CA25CF" w:rsidRDefault="002C0FD9" w:rsidP="00CA25CF">
            <w:pPr>
              <w:rPr>
                <w:rFonts w:cs="Arial"/>
                <w:color w:val="FF0000"/>
                <w:sz w:val="21"/>
                <w:szCs w:val="21"/>
              </w:rPr>
            </w:pPr>
          </w:p>
        </w:tc>
        <w:tc>
          <w:tcPr>
            <w:tcW w:w="217" w:type="dxa"/>
          </w:tcPr>
          <w:p w14:paraId="0D1D8E42" w14:textId="77777777" w:rsidR="002C0FD9" w:rsidRPr="00CA25CF" w:rsidRDefault="002C0FD9" w:rsidP="00CA25CF">
            <w:pPr>
              <w:rPr>
                <w:rFonts w:cs="Arial"/>
                <w:color w:val="FF0000"/>
                <w:sz w:val="21"/>
                <w:szCs w:val="21"/>
              </w:rPr>
            </w:pPr>
          </w:p>
        </w:tc>
        <w:tc>
          <w:tcPr>
            <w:tcW w:w="217" w:type="dxa"/>
          </w:tcPr>
          <w:p w14:paraId="41E7346C" w14:textId="77777777" w:rsidR="002C0FD9" w:rsidRPr="00CA25CF" w:rsidRDefault="002C0FD9" w:rsidP="00CA25CF">
            <w:pPr>
              <w:rPr>
                <w:rFonts w:cs="Arial"/>
                <w:color w:val="FF0000"/>
                <w:sz w:val="21"/>
                <w:szCs w:val="21"/>
              </w:rPr>
            </w:pPr>
          </w:p>
        </w:tc>
        <w:tc>
          <w:tcPr>
            <w:tcW w:w="217" w:type="dxa"/>
          </w:tcPr>
          <w:p w14:paraId="5DD2E0C9" w14:textId="77777777" w:rsidR="002C0FD9" w:rsidRPr="00CA25CF" w:rsidRDefault="002C0FD9" w:rsidP="00CA25CF">
            <w:pPr>
              <w:rPr>
                <w:rFonts w:cs="Arial"/>
                <w:color w:val="FF0000"/>
                <w:sz w:val="21"/>
                <w:szCs w:val="21"/>
              </w:rPr>
            </w:pPr>
          </w:p>
        </w:tc>
        <w:tc>
          <w:tcPr>
            <w:tcW w:w="217" w:type="dxa"/>
          </w:tcPr>
          <w:p w14:paraId="7E0658C8" w14:textId="77777777" w:rsidR="002C0FD9" w:rsidRPr="00CA25CF" w:rsidRDefault="002C0FD9" w:rsidP="00CA25CF">
            <w:pPr>
              <w:rPr>
                <w:rFonts w:cs="Arial"/>
                <w:color w:val="FF0000"/>
                <w:sz w:val="21"/>
                <w:szCs w:val="21"/>
              </w:rPr>
            </w:pPr>
          </w:p>
        </w:tc>
        <w:tc>
          <w:tcPr>
            <w:tcW w:w="217" w:type="dxa"/>
          </w:tcPr>
          <w:p w14:paraId="5488E1B9" w14:textId="77777777" w:rsidR="002C0FD9" w:rsidRPr="00CA25CF" w:rsidRDefault="002C0FD9" w:rsidP="00CA25CF">
            <w:pPr>
              <w:rPr>
                <w:rFonts w:cs="Arial"/>
                <w:color w:val="FF0000"/>
                <w:sz w:val="21"/>
                <w:szCs w:val="21"/>
              </w:rPr>
            </w:pPr>
          </w:p>
        </w:tc>
        <w:tc>
          <w:tcPr>
            <w:tcW w:w="217" w:type="dxa"/>
          </w:tcPr>
          <w:p w14:paraId="224853CB" w14:textId="77777777" w:rsidR="002C0FD9" w:rsidRPr="00CA25CF" w:rsidRDefault="002C0FD9" w:rsidP="00CA25CF">
            <w:pPr>
              <w:rPr>
                <w:rFonts w:cs="Arial"/>
                <w:color w:val="FF0000"/>
                <w:sz w:val="21"/>
                <w:szCs w:val="21"/>
              </w:rPr>
            </w:pPr>
          </w:p>
        </w:tc>
        <w:tc>
          <w:tcPr>
            <w:tcW w:w="217" w:type="dxa"/>
          </w:tcPr>
          <w:p w14:paraId="4BC36791" w14:textId="77777777" w:rsidR="002C0FD9" w:rsidRPr="00CA25CF" w:rsidRDefault="002C0FD9" w:rsidP="00CA25CF">
            <w:pPr>
              <w:rPr>
                <w:rFonts w:cs="Arial"/>
                <w:color w:val="FF0000"/>
                <w:sz w:val="21"/>
                <w:szCs w:val="21"/>
              </w:rPr>
            </w:pPr>
          </w:p>
        </w:tc>
      </w:tr>
      <w:tr w:rsidR="002C0FD9" w:rsidRPr="00A16219" w14:paraId="2DD036D1" w14:textId="77777777" w:rsidTr="002C0FD9">
        <w:trPr>
          <w:trHeight w:val="635"/>
        </w:trPr>
        <w:tc>
          <w:tcPr>
            <w:tcW w:w="515" w:type="dxa"/>
          </w:tcPr>
          <w:p w14:paraId="2EEBD5F9" w14:textId="77777777" w:rsidR="002C0FD9" w:rsidRPr="00CA25CF" w:rsidRDefault="002C0FD9" w:rsidP="00CA25CF">
            <w:pPr>
              <w:rPr>
                <w:rFonts w:cs="Arial"/>
                <w:color w:val="FF0000"/>
                <w:sz w:val="21"/>
                <w:szCs w:val="21"/>
              </w:rPr>
            </w:pPr>
          </w:p>
        </w:tc>
        <w:tc>
          <w:tcPr>
            <w:tcW w:w="217" w:type="dxa"/>
          </w:tcPr>
          <w:p w14:paraId="287C8CF2" w14:textId="77777777" w:rsidR="002C0FD9" w:rsidRPr="00CA25CF" w:rsidRDefault="002C0FD9" w:rsidP="00CA25CF">
            <w:pPr>
              <w:rPr>
                <w:rFonts w:cs="Arial"/>
                <w:color w:val="FF0000"/>
                <w:sz w:val="21"/>
                <w:szCs w:val="21"/>
              </w:rPr>
            </w:pPr>
          </w:p>
        </w:tc>
        <w:tc>
          <w:tcPr>
            <w:tcW w:w="217" w:type="dxa"/>
          </w:tcPr>
          <w:p w14:paraId="4D37F170" w14:textId="77777777" w:rsidR="002C0FD9" w:rsidRPr="00CA25CF" w:rsidRDefault="002C0FD9" w:rsidP="00CA25CF">
            <w:pPr>
              <w:rPr>
                <w:rFonts w:cs="Arial"/>
                <w:color w:val="FF0000"/>
                <w:sz w:val="21"/>
                <w:szCs w:val="21"/>
              </w:rPr>
            </w:pPr>
          </w:p>
        </w:tc>
        <w:tc>
          <w:tcPr>
            <w:tcW w:w="217" w:type="dxa"/>
          </w:tcPr>
          <w:p w14:paraId="76362123" w14:textId="77777777" w:rsidR="002C0FD9" w:rsidRPr="00CA25CF" w:rsidRDefault="002C0FD9" w:rsidP="00CA25CF">
            <w:pPr>
              <w:rPr>
                <w:rFonts w:cs="Arial"/>
                <w:color w:val="FF0000"/>
                <w:sz w:val="21"/>
                <w:szCs w:val="21"/>
              </w:rPr>
            </w:pPr>
          </w:p>
        </w:tc>
        <w:tc>
          <w:tcPr>
            <w:tcW w:w="217" w:type="dxa"/>
          </w:tcPr>
          <w:p w14:paraId="15A2388C" w14:textId="77777777" w:rsidR="002C0FD9" w:rsidRPr="00CA25CF" w:rsidRDefault="002C0FD9" w:rsidP="00CA25CF">
            <w:pPr>
              <w:rPr>
                <w:rFonts w:cs="Arial"/>
                <w:color w:val="FF0000"/>
                <w:sz w:val="21"/>
                <w:szCs w:val="21"/>
              </w:rPr>
            </w:pPr>
          </w:p>
        </w:tc>
        <w:tc>
          <w:tcPr>
            <w:tcW w:w="217" w:type="dxa"/>
          </w:tcPr>
          <w:p w14:paraId="0B601DDE" w14:textId="77777777" w:rsidR="002C0FD9" w:rsidRPr="00CA25CF" w:rsidRDefault="002C0FD9" w:rsidP="00CA25CF">
            <w:pPr>
              <w:rPr>
                <w:rFonts w:cs="Arial"/>
                <w:color w:val="FF0000"/>
                <w:sz w:val="21"/>
                <w:szCs w:val="21"/>
              </w:rPr>
            </w:pPr>
          </w:p>
        </w:tc>
        <w:tc>
          <w:tcPr>
            <w:tcW w:w="217" w:type="dxa"/>
          </w:tcPr>
          <w:p w14:paraId="01667A4F" w14:textId="77777777" w:rsidR="002C0FD9" w:rsidRPr="00CA25CF" w:rsidRDefault="002C0FD9" w:rsidP="00CA25CF">
            <w:pPr>
              <w:rPr>
                <w:rFonts w:cs="Arial"/>
                <w:color w:val="FF0000"/>
                <w:sz w:val="21"/>
                <w:szCs w:val="21"/>
              </w:rPr>
            </w:pPr>
          </w:p>
        </w:tc>
        <w:tc>
          <w:tcPr>
            <w:tcW w:w="217" w:type="dxa"/>
          </w:tcPr>
          <w:p w14:paraId="536EE611" w14:textId="77777777" w:rsidR="002C0FD9" w:rsidRPr="00CA25CF" w:rsidRDefault="002C0FD9" w:rsidP="00CA25CF">
            <w:pPr>
              <w:rPr>
                <w:rFonts w:cs="Arial"/>
                <w:color w:val="FF0000"/>
                <w:sz w:val="21"/>
                <w:szCs w:val="21"/>
              </w:rPr>
            </w:pPr>
          </w:p>
        </w:tc>
        <w:tc>
          <w:tcPr>
            <w:tcW w:w="217" w:type="dxa"/>
          </w:tcPr>
          <w:p w14:paraId="607CEAF3" w14:textId="77777777" w:rsidR="002C0FD9" w:rsidRPr="00CA25CF" w:rsidRDefault="002C0FD9" w:rsidP="00CA25CF">
            <w:pPr>
              <w:rPr>
                <w:rFonts w:cs="Arial"/>
                <w:color w:val="FF0000"/>
                <w:sz w:val="21"/>
                <w:szCs w:val="21"/>
              </w:rPr>
            </w:pPr>
          </w:p>
        </w:tc>
        <w:tc>
          <w:tcPr>
            <w:tcW w:w="217" w:type="dxa"/>
          </w:tcPr>
          <w:p w14:paraId="334E4A3D" w14:textId="77777777" w:rsidR="002C0FD9" w:rsidRPr="00CA25CF" w:rsidRDefault="002C0FD9" w:rsidP="00CA25CF">
            <w:pPr>
              <w:rPr>
                <w:rFonts w:cs="Arial"/>
                <w:color w:val="FF0000"/>
                <w:sz w:val="21"/>
                <w:szCs w:val="21"/>
              </w:rPr>
            </w:pPr>
          </w:p>
        </w:tc>
        <w:tc>
          <w:tcPr>
            <w:tcW w:w="217" w:type="dxa"/>
          </w:tcPr>
          <w:p w14:paraId="5D82D775" w14:textId="77777777" w:rsidR="002C0FD9" w:rsidRPr="00CA25CF" w:rsidRDefault="002C0FD9" w:rsidP="00CA25CF">
            <w:pPr>
              <w:rPr>
                <w:rFonts w:cs="Arial"/>
                <w:color w:val="FF0000"/>
                <w:sz w:val="21"/>
                <w:szCs w:val="21"/>
              </w:rPr>
            </w:pPr>
          </w:p>
        </w:tc>
        <w:tc>
          <w:tcPr>
            <w:tcW w:w="217" w:type="dxa"/>
          </w:tcPr>
          <w:p w14:paraId="7F908069" w14:textId="77777777" w:rsidR="002C0FD9" w:rsidRPr="00CA25CF" w:rsidRDefault="002C0FD9" w:rsidP="00CA25CF">
            <w:pPr>
              <w:rPr>
                <w:rFonts w:cs="Arial"/>
                <w:color w:val="FF0000"/>
                <w:sz w:val="21"/>
                <w:szCs w:val="21"/>
              </w:rPr>
            </w:pPr>
          </w:p>
        </w:tc>
        <w:tc>
          <w:tcPr>
            <w:tcW w:w="217" w:type="dxa"/>
          </w:tcPr>
          <w:p w14:paraId="659B4556" w14:textId="77777777" w:rsidR="002C0FD9" w:rsidRPr="00CA25CF" w:rsidRDefault="002C0FD9" w:rsidP="00CA25CF">
            <w:pPr>
              <w:rPr>
                <w:rFonts w:cs="Arial"/>
                <w:color w:val="FF0000"/>
                <w:sz w:val="21"/>
                <w:szCs w:val="21"/>
              </w:rPr>
            </w:pPr>
          </w:p>
        </w:tc>
        <w:tc>
          <w:tcPr>
            <w:tcW w:w="217" w:type="dxa"/>
          </w:tcPr>
          <w:p w14:paraId="10BFE490" w14:textId="77777777" w:rsidR="002C0FD9" w:rsidRPr="00CA25CF" w:rsidRDefault="002C0FD9" w:rsidP="00CA25CF">
            <w:pPr>
              <w:rPr>
                <w:rFonts w:cs="Arial"/>
                <w:color w:val="FF0000"/>
                <w:sz w:val="21"/>
                <w:szCs w:val="21"/>
              </w:rPr>
            </w:pPr>
          </w:p>
        </w:tc>
        <w:tc>
          <w:tcPr>
            <w:tcW w:w="217" w:type="dxa"/>
          </w:tcPr>
          <w:p w14:paraId="2CB02681" w14:textId="77777777" w:rsidR="002C0FD9" w:rsidRPr="00CA25CF" w:rsidRDefault="002C0FD9" w:rsidP="00CA25CF">
            <w:pPr>
              <w:rPr>
                <w:rFonts w:cs="Arial"/>
                <w:color w:val="FF0000"/>
                <w:sz w:val="21"/>
                <w:szCs w:val="21"/>
              </w:rPr>
            </w:pPr>
          </w:p>
        </w:tc>
        <w:tc>
          <w:tcPr>
            <w:tcW w:w="217" w:type="dxa"/>
          </w:tcPr>
          <w:p w14:paraId="7CC1F38F" w14:textId="77777777" w:rsidR="002C0FD9" w:rsidRPr="00CA25CF" w:rsidRDefault="002C0FD9" w:rsidP="00CA25CF">
            <w:pPr>
              <w:rPr>
                <w:rFonts w:cs="Arial"/>
                <w:color w:val="FF0000"/>
                <w:sz w:val="21"/>
                <w:szCs w:val="21"/>
              </w:rPr>
            </w:pPr>
          </w:p>
        </w:tc>
        <w:tc>
          <w:tcPr>
            <w:tcW w:w="217" w:type="dxa"/>
          </w:tcPr>
          <w:p w14:paraId="37A9A6D7" w14:textId="77777777" w:rsidR="002C0FD9" w:rsidRPr="00CA25CF" w:rsidRDefault="002C0FD9" w:rsidP="00CA25CF">
            <w:pPr>
              <w:rPr>
                <w:rFonts w:cs="Arial"/>
                <w:color w:val="FF0000"/>
                <w:sz w:val="21"/>
                <w:szCs w:val="21"/>
              </w:rPr>
            </w:pPr>
          </w:p>
        </w:tc>
        <w:tc>
          <w:tcPr>
            <w:tcW w:w="217" w:type="dxa"/>
          </w:tcPr>
          <w:p w14:paraId="0272638C" w14:textId="77777777" w:rsidR="002C0FD9" w:rsidRPr="00CA25CF" w:rsidRDefault="002C0FD9" w:rsidP="00CA25CF">
            <w:pPr>
              <w:rPr>
                <w:rFonts w:cs="Arial"/>
                <w:color w:val="FF0000"/>
                <w:sz w:val="21"/>
                <w:szCs w:val="21"/>
              </w:rPr>
            </w:pPr>
          </w:p>
        </w:tc>
        <w:tc>
          <w:tcPr>
            <w:tcW w:w="217" w:type="dxa"/>
          </w:tcPr>
          <w:p w14:paraId="79619260" w14:textId="77777777" w:rsidR="002C0FD9" w:rsidRPr="00CA25CF" w:rsidRDefault="002C0FD9" w:rsidP="00CA25CF">
            <w:pPr>
              <w:rPr>
                <w:rFonts w:cs="Arial"/>
                <w:color w:val="FF0000"/>
                <w:sz w:val="21"/>
                <w:szCs w:val="21"/>
              </w:rPr>
            </w:pPr>
          </w:p>
        </w:tc>
        <w:tc>
          <w:tcPr>
            <w:tcW w:w="217" w:type="dxa"/>
          </w:tcPr>
          <w:p w14:paraId="2F3966A3" w14:textId="77777777" w:rsidR="002C0FD9" w:rsidRPr="00CA25CF" w:rsidRDefault="002C0FD9" w:rsidP="00CA25CF">
            <w:pPr>
              <w:rPr>
                <w:rFonts w:cs="Arial"/>
                <w:color w:val="FF0000"/>
                <w:sz w:val="21"/>
                <w:szCs w:val="21"/>
              </w:rPr>
            </w:pPr>
          </w:p>
        </w:tc>
        <w:tc>
          <w:tcPr>
            <w:tcW w:w="217" w:type="dxa"/>
          </w:tcPr>
          <w:p w14:paraId="48234C10" w14:textId="77777777" w:rsidR="002C0FD9" w:rsidRPr="00CA25CF" w:rsidRDefault="002C0FD9" w:rsidP="00CA25CF">
            <w:pPr>
              <w:rPr>
                <w:rFonts w:cs="Arial"/>
                <w:color w:val="FF0000"/>
                <w:sz w:val="21"/>
                <w:szCs w:val="21"/>
              </w:rPr>
            </w:pPr>
          </w:p>
        </w:tc>
        <w:tc>
          <w:tcPr>
            <w:tcW w:w="217" w:type="dxa"/>
          </w:tcPr>
          <w:p w14:paraId="0D29DB48" w14:textId="77777777" w:rsidR="002C0FD9" w:rsidRPr="00CA25CF" w:rsidRDefault="002C0FD9" w:rsidP="00CA25CF">
            <w:pPr>
              <w:rPr>
                <w:rFonts w:cs="Arial"/>
                <w:color w:val="FF0000"/>
                <w:sz w:val="21"/>
                <w:szCs w:val="21"/>
              </w:rPr>
            </w:pPr>
          </w:p>
        </w:tc>
        <w:tc>
          <w:tcPr>
            <w:tcW w:w="217" w:type="dxa"/>
          </w:tcPr>
          <w:p w14:paraId="19CE07FD" w14:textId="77777777" w:rsidR="002C0FD9" w:rsidRPr="00CA25CF" w:rsidRDefault="002C0FD9" w:rsidP="00CA25CF">
            <w:pPr>
              <w:rPr>
                <w:rFonts w:cs="Arial"/>
                <w:color w:val="FF0000"/>
                <w:sz w:val="21"/>
                <w:szCs w:val="21"/>
              </w:rPr>
            </w:pPr>
          </w:p>
        </w:tc>
        <w:tc>
          <w:tcPr>
            <w:tcW w:w="217" w:type="dxa"/>
          </w:tcPr>
          <w:p w14:paraId="10153C8B" w14:textId="77777777" w:rsidR="002C0FD9" w:rsidRPr="00CA25CF" w:rsidRDefault="002C0FD9" w:rsidP="00CA25CF">
            <w:pPr>
              <w:rPr>
                <w:rFonts w:cs="Arial"/>
                <w:color w:val="FF0000"/>
                <w:sz w:val="21"/>
                <w:szCs w:val="21"/>
              </w:rPr>
            </w:pPr>
          </w:p>
        </w:tc>
        <w:tc>
          <w:tcPr>
            <w:tcW w:w="217" w:type="dxa"/>
          </w:tcPr>
          <w:p w14:paraId="19C06CDA" w14:textId="77777777" w:rsidR="002C0FD9" w:rsidRPr="00CA25CF" w:rsidRDefault="002C0FD9" w:rsidP="00CA25CF">
            <w:pPr>
              <w:rPr>
                <w:rFonts w:cs="Arial"/>
                <w:color w:val="FF0000"/>
                <w:sz w:val="21"/>
                <w:szCs w:val="21"/>
              </w:rPr>
            </w:pPr>
          </w:p>
        </w:tc>
        <w:tc>
          <w:tcPr>
            <w:tcW w:w="217" w:type="dxa"/>
          </w:tcPr>
          <w:p w14:paraId="061C9E32" w14:textId="77777777" w:rsidR="002C0FD9" w:rsidRPr="00CA25CF" w:rsidRDefault="002C0FD9" w:rsidP="00CA25CF">
            <w:pPr>
              <w:rPr>
                <w:rFonts w:cs="Arial"/>
                <w:color w:val="FF0000"/>
                <w:sz w:val="21"/>
                <w:szCs w:val="21"/>
              </w:rPr>
            </w:pPr>
          </w:p>
        </w:tc>
        <w:tc>
          <w:tcPr>
            <w:tcW w:w="217" w:type="dxa"/>
          </w:tcPr>
          <w:p w14:paraId="12EDA415" w14:textId="77777777" w:rsidR="002C0FD9" w:rsidRPr="00CA25CF" w:rsidRDefault="002C0FD9" w:rsidP="00CA25CF">
            <w:pPr>
              <w:rPr>
                <w:rFonts w:cs="Arial"/>
                <w:color w:val="FF0000"/>
                <w:sz w:val="21"/>
                <w:szCs w:val="21"/>
              </w:rPr>
            </w:pPr>
          </w:p>
        </w:tc>
        <w:tc>
          <w:tcPr>
            <w:tcW w:w="217" w:type="dxa"/>
          </w:tcPr>
          <w:p w14:paraId="41BC6AC8" w14:textId="77777777" w:rsidR="002C0FD9" w:rsidRPr="00CA25CF" w:rsidRDefault="002C0FD9" w:rsidP="00CA25CF">
            <w:pPr>
              <w:rPr>
                <w:rFonts w:cs="Arial"/>
                <w:color w:val="FF0000"/>
                <w:sz w:val="21"/>
                <w:szCs w:val="21"/>
              </w:rPr>
            </w:pPr>
          </w:p>
        </w:tc>
        <w:tc>
          <w:tcPr>
            <w:tcW w:w="217" w:type="dxa"/>
          </w:tcPr>
          <w:p w14:paraId="74595A7D" w14:textId="77777777" w:rsidR="002C0FD9" w:rsidRPr="00CA25CF" w:rsidRDefault="002C0FD9" w:rsidP="00CA25CF">
            <w:pPr>
              <w:rPr>
                <w:rFonts w:cs="Arial"/>
                <w:color w:val="FF0000"/>
                <w:sz w:val="21"/>
                <w:szCs w:val="21"/>
              </w:rPr>
            </w:pPr>
          </w:p>
        </w:tc>
        <w:tc>
          <w:tcPr>
            <w:tcW w:w="217" w:type="dxa"/>
          </w:tcPr>
          <w:p w14:paraId="22F15377" w14:textId="77777777" w:rsidR="002C0FD9" w:rsidRPr="00CA25CF" w:rsidRDefault="002C0FD9" w:rsidP="00CA25CF">
            <w:pPr>
              <w:rPr>
                <w:rFonts w:cs="Arial"/>
                <w:color w:val="FF0000"/>
                <w:sz w:val="21"/>
                <w:szCs w:val="21"/>
              </w:rPr>
            </w:pPr>
          </w:p>
        </w:tc>
        <w:tc>
          <w:tcPr>
            <w:tcW w:w="217" w:type="dxa"/>
          </w:tcPr>
          <w:p w14:paraId="1F1BBED8" w14:textId="77777777" w:rsidR="002C0FD9" w:rsidRPr="00CA25CF" w:rsidRDefault="002C0FD9" w:rsidP="00CA25CF">
            <w:pPr>
              <w:rPr>
                <w:rFonts w:cs="Arial"/>
                <w:color w:val="FF0000"/>
                <w:sz w:val="21"/>
                <w:szCs w:val="21"/>
              </w:rPr>
            </w:pPr>
          </w:p>
        </w:tc>
        <w:tc>
          <w:tcPr>
            <w:tcW w:w="217" w:type="dxa"/>
          </w:tcPr>
          <w:p w14:paraId="06752A4E" w14:textId="77777777" w:rsidR="002C0FD9" w:rsidRPr="00CA25CF" w:rsidRDefault="002C0FD9" w:rsidP="00CA25CF">
            <w:pPr>
              <w:rPr>
                <w:rFonts w:cs="Arial"/>
                <w:color w:val="FF0000"/>
                <w:sz w:val="21"/>
                <w:szCs w:val="21"/>
              </w:rPr>
            </w:pPr>
          </w:p>
        </w:tc>
        <w:tc>
          <w:tcPr>
            <w:tcW w:w="217" w:type="dxa"/>
          </w:tcPr>
          <w:p w14:paraId="57E4B0E6" w14:textId="77777777" w:rsidR="002C0FD9" w:rsidRPr="00CA25CF" w:rsidRDefault="002C0FD9" w:rsidP="00CA25CF">
            <w:pPr>
              <w:rPr>
                <w:rFonts w:cs="Arial"/>
                <w:color w:val="FF0000"/>
                <w:sz w:val="21"/>
                <w:szCs w:val="21"/>
              </w:rPr>
            </w:pPr>
          </w:p>
        </w:tc>
        <w:tc>
          <w:tcPr>
            <w:tcW w:w="217" w:type="dxa"/>
          </w:tcPr>
          <w:p w14:paraId="7B635B17" w14:textId="77777777" w:rsidR="002C0FD9" w:rsidRPr="00CA25CF" w:rsidRDefault="002C0FD9" w:rsidP="00CA25CF">
            <w:pPr>
              <w:rPr>
                <w:rFonts w:cs="Arial"/>
                <w:color w:val="FF0000"/>
                <w:sz w:val="21"/>
                <w:szCs w:val="21"/>
              </w:rPr>
            </w:pPr>
          </w:p>
        </w:tc>
        <w:tc>
          <w:tcPr>
            <w:tcW w:w="217" w:type="dxa"/>
          </w:tcPr>
          <w:p w14:paraId="2DAA8502" w14:textId="77777777" w:rsidR="002C0FD9" w:rsidRPr="00CA25CF" w:rsidRDefault="002C0FD9" w:rsidP="00CA25CF">
            <w:pPr>
              <w:rPr>
                <w:rFonts w:cs="Arial"/>
                <w:color w:val="FF0000"/>
                <w:sz w:val="21"/>
                <w:szCs w:val="21"/>
              </w:rPr>
            </w:pPr>
          </w:p>
        </w:tc>
        <w:tc>
          <w:tcPr>
            <w:tcW w:w="217" w:type="dxa"/>
          </w:tcPr>
          <w:p w14:paraId="01BD56C0" w14:textId="77777777" w:rsidR="002C0FD9" w:rsidRPr="00CA25CF" w:rsidRDefault="002C0FD9" w:rsidP="00CA25CF">
            <w:pPr>
              <w:rPr>
                <w:rFonts w:cs="Arial"/>
                <w:color w:val="FF0000"/>
                <w:sz w:val="21"/>
                <w:szCs w:val="21"/>
              </w:rPr>
            </w:pPr>
          </w:p>
        </w:tc>
        <w:tc>
          <w:tcPr>
            <w:tcW w:w="217" w:type="dxa"/>
          </w:tcPr>
          <w:p w14:paraId="57B5BFFE" w14:textId="77777777" w:rsidR="002C0FD9" w:rsidRPr="00CA25CF" w:rsidRDefault="002C0FD9" w:rsidP="00CA25CF">
            <w:pPr>
              <w:rPr>
                <w:rFonts w:cs="Arial"/>
                <w:color w:val="FF0000"/>
                <w:sz w:val="21"/>
                <w:szCs w:val="21"/>
              </w:rPr>
            </w:pPr>
          </w:p>
        </w:tc>
        <w:tc>
          <w:tcPr>
            <w:tcW w:w="217" w:type="dxa"/>
          </w:tcPr>
          <w:p w14:paraId="72934E9C" w14:textId="77777777" w:rsidR="002C0FD9" w:rsidRPr="00CA25CF" w:rsidRDefault="002C0FD9" w:rsidP="00CA25CF">
            <w:pPr>
              <w:rPr>
                <w:rFonts w:cs="Arial"/>
                <w:color w:val="FF0000"/>
                <w:sz w:val="21"/>
                <w:szCs w:val="21"/>
              </w:rPr>
            </w:pPr>
          </w:p>
        </w:tc>
        <w:tc>
          <w:tcPr>
            <w:tcW w:w="217" w:type="dxa"/>
          </w:tcPr>
          <w:p w14:paraId="183BB7A0" w14:textId="77777777" w:rsidR="002C0FD9" w:rsidRPr="00CA25CF" w:rsidRDefault="002C0FD9" w:rsidP="00CA25CF">
            <w:pPr>
              <w:rPr>
                <w:rFonts w:cs="Arial"/>
                <w:color w:val="FF0000"/>
                <w:sz w:val="21"/>
                <w:szCs w:val="21"/>
              </w:rPr>
            </w:pPr>
          </w:p>
        </w:tc>
        <w:tc>
          <w:tcPr>
            <w:tcW w:w="217" w:type="dxa"/>
          </w:tcPr>
          <w:p w14:paraId="46003FD4" w14:textId="77777777" w:rsidR="002C0FD9" w:rsidRPr="00CA25CF" w:rsidRDefault="002C0FD9" w:rsidP="00CA25CF">
            <w:pPr>
              <w:rPr>
                <w:rFonts w:cs="Arial"/>
                <w:color w:val="FF0000"/>
                <w:sz w:val="21"/>
                <w:szCs w:val="21"/>
              </w:rPr>
            </w:pPr>
          </w:p>
        </w:tc>
        <w:tc>
          <w:tcPr>
            <w:tcW w:w="217" w:type="dxa"/>
          </w:tcPr>
          <w:p w14:paraId="129D8587" w14:textId="77777777" w:rsidR="002C0FD9" w:rsidRPr="00CA25CF" w:rsidRDefault="002C0FD9" w:rsidP="00CA25CF">
            <w:pPr>
              <w:rPr>
                <w:rFonts w:cs="Arial"/>
                <w:color w:val="FF0000"/>
                <w:sz w:val="21"/>
                <w:szCs w:val="21"/>
              </w:rPr>
            </w:pPr>
          </w:p>
        </w:tc>
        <w:tc>
          <w:tcPr>
            <w:tcW w:w="217" w:type="dxa"/>
          </w:tcPr>
          <w:p w14:paraId="401859E5" w14:textId="77777777" w:rsidR="002C0FD9" w:rsidRPr="00CA25CF" w:rsidRDefault="002C0FD9" w:rsidP="00CA25CF">
            <w:pPr>
              <w:rPr>
                <w:rFonts w:cs="Arial"/>
                <w:color w:val="FF0000"/>
                <w:sz w:val="21"/>
                <w:szCs w:val="21"/>
              </w:rPr>
            </w:pPr>
          </w:p>
        </w:tc>
        <w:tc>
          <w:tcPr>
            <w:tcW w:w="217" w:type="dxa"/>
          </w:tcPr>
          <w:p w14:paraId="013D7578" w14:textId="77777777" w:rsidR="002C0FD9" w:rsidRPr="00CA25CF" w:rsidRDefault="002C0FD9" w:rsidP="00CA25CF">
            <w:pPr>
              <w:rPr>
                <w:rFonts w:cs="Arial"/>
                <w:color w:val="FF0000"/>
                <w:sz w:val="21"/>
                <w:szCs w:val="21"/>
              </w:rPr>
            </w:pPr>
          </w:p>
        </w:tc>
      </w:tr>
      <w:tr w:rsidR="002C0FD9" w:rsidRPr="00A16219" w14:paraId="22B7314A" w14:textId="77777777" w:rsidTr="002C0FD9">
        <w:trPr>
          <w:trHeight w:val="635"/>
        </w:trPr>
        <w:tc>
          <w:tcPr>
            <w:tcW w:w="515" w:type="dxa"/>
          </w:tcPr>
          <w:p w14:paraId="27D3A893" w14:textId="77777777" w:rsidR="002C0FD9" w:rsidRPr="00CA25CF" w:rsidRDefault="002C0FD9" w:rsidP="00CA25CF">
            <w:pPr>
              <w:rPr>
                <w:rFonts w:cs="Arial"/>
                <w:color w:val="FF0000"/>
                <w:sz w:val="21"/>
                <w:szCs w:val="21"/>
              </w:rPr>
            </w:pPr>
          </w:p>
        </w:tc>
        <w:tc>
          <w:tcPr>
            <w:tcW w:w="217" w:type="dxa"/>
          </w:tcPr>
          <w:p w14:paraId="7DF6DAAA" w14:textId="77777777" w:rsidR="002C0FD9" w:rsidRPr="00CA25CF" w:rsidRDefault="002C0FD9" w:rsidP="00CA25CF">
            <w:pPr>
              <w:rPr>
                <w:rFonts w:cs="Arial"/>
                <w:color w:val="FF0000"/>
                <w:sz w:val="21"/>
                <w:szCs w:val="21"/>
              </w:rPr>
            </w:pPr>
          </w:p>
        </w:tc>
        <w:tc>
          <w:tcPr>
            <w:tcW w:w="217" w:type="dxa"/>
          </w:tcPr>
          <w:p w14:paraId="022FAA5A" w14:textId="77777777" w:rsidR="002C0FD9" w:rsidRPr="00CA25CF" w:rsidRDefault="002C0FD9" w:rsidP="00CA25CF">
            <w:pPr>
              <w:rPr>
                <w:rFonts w:cs="Arial"/>
                <w:color w:val="FF0000"/>
                <w:sz w:val="21"/>
                <w:szCs w:val="21"/>
              </w:rPr>
            </w:pPr>
          </w:p>
        </w:tc>
        <w:tc>
          <w:tcPr>
            <w:tcW w:w="217" w:type="dxa"/>
          </w:tcPr>
          <w:p w14:paraId="79A700DB" w14:textId="77777777" w:rsidR="002C0FD9" w:rsidRPr="00CA25CF" w:rsidRDefault="002C0FD9" w:rsidP="00CA25CF">
            <w:pPr>
              <w:rPr>
                <w:rFonts w:cs="Arial"/>
                <w:color w:val="FF0000"/>
                <w:sz w:val="21"/>
                <w:szCs w:val="21"/>
              </w:rPr>
            </w:pPr>
          </w:p>
        </w:tc>
        <w:tc>
          <w:tcPr>
            <w:tcW w:w="217" w:type="dxa"/>
          </w:tcPr>
          <w:p w14:paraId="16D8BA50" w14:textId="77777777" w:rsidR="002C0FD9" w:rsidRPr="00CA25CF" w:rsidRDefault="002C0FD9" w:rsidP="00CA25CF">
            <w:pPr>
              <w:rPr>
                <w:rFonts w:cs="Arial"/>
                <w:color w:val="FF0000"/>
                <w:sz w:val="21"/>
                <w:szCs w:val="21"/>
              </w:rPr>
            </w:pPr>
          </w:p>
        </w:tc>
        <w:tc>
          <w:tcPr>
            <w:tcW w:w="217" w:type="dxa"/>
          </w:tcPr>
          <w:p w14:paraId="137056EC" w14:textId="77777777" w:rsidR="002C0FD9" w:rsidRPr="00CA25CF" w:rsidRDefault="002C0FD9" w:rsidP="00CA25CF">
            <w:pPr>
              <w:rPr>
                <w:rFonts w:cs="Arial"/>
                <w:color w:val="FF0000"/>
                <w:sz w:val="21"/>
                <w:szCs w:val="21"/>
              </w:rPr>
            </w:pPr>
          </w:p>
        </w:tc>
        <w:tc>
          <w:tcPr>
            <w:tcW w:w="217" w:type="dxa"/>
          </w:tcPr>
          <w:p w14:paraId="57C356A0" w14:textId="77777777" w:rsidR="002C0FD9" w:rsidRPr="00CA25CF" w:rsidRDefault="002C0FD9" w:rsidP="00CA25CF">
            <w:pPr>
              <w:rPr>
                <w:rFonts w:cs="Arial"/>
                <w:color w:val="FF0000"/>
                <w:sz w:val="21"/>
                <w:szCs w:val="21"/>
              </w:rPr>
            </w:pPr>
          </w:p>
        </w:tc>
        <w:tc>
          <w:tcPr>
            <w:tcW w:w="217" w:type="dxa"/>
          </w:tcPr>
          <w:p w14:paraId="7BDF2F7C" w14:textId="77777777" w:rsidR="002C0FD9" w:rsidRPr="00CA25CF" w:rsidRDefault="002C0FD9" w:rsidP="00CA25CF">
            <w:pPr>
              <w:rPr>
                <w:rFonts w:cs="Arial"/>
                <w:color w:val="FF0000"/>
                <w:sz w:val="21"/>
                <w:szCs w:val="21"/>
              </w:rPr>
            </w:pPr>
          </w:p>
        </w:tc>
        <w:tc>
          <w:tcPr>
            <w:tcW w:w="217" w:type="dxa"/>
          </w:tcPr>
          <w:p w14:paraId="3C2D8F73" w14:textId="77777777" w:rsidR="002C0FD9" w:rsidRPr="00CA25CF" w:rsidRDefault="002C0FD9" w:rsidP="00CA25CF">
            <w:pPr>
              <w:rPr>
                <w:rFonts w:cs="Arial"/>
                <w:color w:val="FF0000"/>
                <w:sz w:val="21"/>
                <w:szCs w:val="21"/>
              </w:rPr>
            </w:pPr>
          </w:p>
        </w:tc>
        <w:tc>
          <w:tcPr>
            <w:tcW w:w="217" w:type="dxa"/>
          </w:tcPr>
          <w:p w14:paraId="3AE4FBBB" w14:textId="77777777" w:rsidR="002C0FD9" w:rsidRPr="00CA25CF" w:rsidRDefault="002C0FD9" w:rsidP="00CA25CF">
            <w:pPr>
              <w:rPr>
                <w:rFonts w:cs="Arial"/>
                <w:color w:val="FF0000"/>
                <w:sz w:val="21"/>
                <w:szCs w:val="21"/>
              </w:rPr>
            </w:pPr>
          </w:p>
        </w:tc>
        <w:tc>
          <w:tcPr>
            <w:tcW w:w="217" w:type="dxa"/>
          </w:tcPr>
          <w:p w14:paraId="7D99FD50" w14:textId="77777777" w:rsidR="002C0FD9" w:rsidRPr="00CA25CF" w:rsidRDefault="002C0FD9" w:rsidP="00CA25CF">
            <w:pPr>
              <w:rPr>
                <w:rFonts w:cs="Arial"/>
                <w:color w:val="FF0000"/>
                <w:sz w:val="21"/>
                <w:szCs w:val="21"/>
              </w:rPr>
            </w:pPr>
          </w:p>
        </w:tc>
        <w:tc>
          <w:tcPr>
            <w:tcW w:w="217" w:type="dxa"/>
          </w:tcPr>
          <w:p w14:paraId="1797D1BD" w14:textId="77777777" w:rsidR="002C0FD9" w:rsidRPr="00CA25CF" w:rsidRDefault="002C0FD9" w:rsidP="00CA25CF">
            <w:pPr>
              <w:rPr>
                <w:rFonts w:cs="Arial"/>
                <w:color w:val="FF0000"/>
                <w:sz w:val="21"/>
                <w:szCs w:val="21"/>
              </w:rPr>
            </w:pPr>
          </w:p>
        </w:tc>
        <w:tc>
          <w:tcPr>
            <w:tcW w:w="217" w:type="dxa"/>
          </w:tcPr>
          <w:p w14:paraId="3655F3E3" w14:textId="77777777" w:rsidR="002C0FD9" w:rsidRPr="00CA25CF" w:rsidRDefault="002C0FD9" w:rsidP="00CA25CF">
            <w:pPr>
              <w:rPr>
                <w:rFonts w:cs="Arial"/>
                <w:color w:val="FF0000"/>
                <w:sz w:val="21"/>
                <w:szCs w:val="21"/>
              </w:rPr>
            </w:pPr>
          </w:p>
        </w:tc>
        <w:tc>
          <w:tcPr>
            <w:tcW w:w="217" w:type="dxa"/>
          </w:tcPr>
          <w:p w14:paraId="1A7A1619" w14:textId="77777777" w:rsidR="002C0FD9" w:rsidRPr="00CA25CF" w:rsidRDefault="002C0FD9" w:rsidP="00CA25CF">
            <w:pPr>
              <w:rPr>
                <w:rFonts w:cs="Arial"/>
                <w:color w:val="FF0000"/>
                <w:sz w:val="21"/>
                <w:szCs w:val="21"/>
              </w:rPr>
            </w:pPr>
          </w:p>
        </w:tc>
        <w:tc>
          <w:tcPr>
            <w:tcW w:w="217" w:type="dxa"/>
          </w:tcPr>
          <w:p w14:paraId="58AE6D42" w14:textId="77777777" w:rsidR="002C0FD9" w:rsidRPr="00CA25CF" w:rsidRDefault="002C0FD9" w:rsidP="00CA25CF">
            <w:pPr>
              <w:rPr>
                <w:rFonts w:cs="Arial"/>
                <w:color w:val="FF0000"/>
                <w:sz w:val="21"/>
                <w:szCs w:val="21"/>
              </w:rPr>
            </w:pPr>
          </w:p>
        </w:tc>
        <w:tc>
          <w:tcPr>
            <w:tcW w:w="217" w:type="dxa"/>
          </w:tcPr>
          <w:p w14:paraId="36A27550" w14:textId="77777777" w:rsidR="002C0FD9" w:rsidRPr="00CA25CF" w:rsidRDefault="002C0FD9" w:rsidP="00CA25CF">
            <w:pPr>
              <w:rPr>
                <w:rFonts w:cs="Arial"/>
                <w:color w:val="FF0000"/>
                <w:sz w:val="21"/>
                <w:szCs w:val="21"/>
              </w:rPr>
            </w:pPr>
          </w:p>
        </w:tc>
        <w:tc>
          <w:tcPr>
            <w:tcW w:w="217" w:type="dxa"/>
          </w:tcPr>
          <w:p w14:paraId="117B4CF7" w14:textId="77777777" w:rsidR="002C0FD9" w:rsidRPr="00CA25CF" w:rsidRDefault="002C0FD9" w:rsidP="00CA25CF">
            <w:pPr>
              <w:rPr>
                <w:rFonts w:cs="Arial"/>
                <w:color w:val="FF0000"/>
                <w:sz w:val="21"/>
                <w:szCs w:val="21"/>
              </w:rPr>
            </w:pPr>
          </w:p>
        </w:tc>
        <w:tc>
          <w:tcPr>
            <w:tcW w:w="217" w:type="dxa"/>
          </w:tcPr>
          <w:p w14:paraId="42445D79" w14:textId="77777777" w:rsidR="002C0FD9" w:rsidRPr="00CA25CF" w:rsidRDefault="002C0FD9" w:rsidP="00CA25CF">
            <w:pPr>
              <w:rPr>
                <w:rFonts w:cs="Arial"/>
                <w:color w:val="FF0000"/>
                <w:sz w:val="21"/>
                <w:szCs w:val="21"/>
              </w:rPr>
            </w:pPr>
          </w:p>
        </w:tc>
        <w:tc>
          <w:tcPr>
            <w:tcW w:w="217" w:type="dxa"/>
          </w:tcPr>
          <w:p w14:paraId="53C2B835" w14:textId="77777777" w:rsidR="002C0FD9" w:rsidRPr="00CA25CF" w:rsidRDefault="002C0FD9" w:rsidP="00CA25CF">
            <w:pPr>
              <w:rPr>
                <w:rFonts w:cs="Arial"/>
                <w:color w:val="FF0000"/>
                <w:sz w:val="21"/>
                <w:szCs w:val="21"/>
              </w:rPr>
            </w:pPr>
          </w:p>
        </w:tc>
        <w:tc>
          <w:tcPr>
            <w:tcW w:w="217" w:type="dxa"/>
          </w:tcPr>
          <w:p w14:paraId="7021AD81" w14:textId="77777777" w:rsidR="002C0FD9" w:rsidRPr="00CA25CF" w:rsidRDefault="002C0FD9" w:rsidP="00CA25CF">
            <w:pPr>
              <w:rPr>
                <w:rFonts w:cs="Arial"/>
                <w:color w:val="FF0000"/>
                <w:sz w:val="21"/>
                <w:szCs w:val="21"/>
              </w:rPr>
            </w:pPr>
          </w:p>
        </w:tc>
        <w:tc>
          <w:tcPr>
            <w:tcW w:w="217" w:type="dxa"/>
          </w:tcPr>
          <w:p w14:paraId="570A2F6A" w14:textId="77777777" w:rsidR="002C0FD9" w:rsidRPr="00CA25CF" w:rsidRDefault="002C0FD9" w:rsidP="00CA25CF">
            <w:pPr>
              <w:rPr>
                <w:rFonts w:cs="Arial"/>
                <w:color w:val="FF0000"/>
                <w:sz w:val="21"/>
                <w:szCs w:val="21"/>
              </w:rPr>
            </w:pPr>
          </w:p>
        </w:tc>
        <w:tc>
          <w:tcPr>
            <w:tcW w:w="217" w:type="dxa"/>
          </w:tcPr>
          <w:p w14:paraId="3CC9D198" w14:textId="77777777" w:rsidR="002C0FD9" w:rsidRPr="00CA25CF" w:rsidRDefault="002C0FD9" w:rsidP="00CA25CF">
            <w:pPr>
              <w:rPr>
                <w:rFonts w:cs="Arial"/>
                <w:color w:val="FF0000"/>
                <w:sz w:val="21"/>
                <w:szCs w:val="21"/>
              </w:rPr>
            </w:pPr>
          </w:p>
        </w:tc>
        <w:tc>
          <w:tcPr>
            <w:tcW w:w="217" w:type="dxa"/>
          </w:tcPr>
          <w:p w14:paraId="257A9720" w14:textId="77777777" w:rsidR="002C0FD9" w:rsidRPr="00CA25CF" w:rsidRDefault="002C0FD9" w:rsidP="00CA25CF">
            <w:pPr>
              <w:rPr>
                <w:rFonts w:cs="Arial"/>
                <w:color w:val="FF0000"/>
                <w:sz w:val="21"/>
                <w:szCs w:val="21"/>
              </w:rPr>
            </w:pPr>
          </w:p>
        </w:tc>
        <w:tc>
          <w:tcPr>
            <w:tcW w:w="217" w:type="dxa"/>
          </w:tcPr>
          <w:p w14:paraId="6B047778" w14:textId="77777777" w:rsidR="002C0FD9" w:rsidRPr="00CA25CF" w:rsidRDefault="002C0FD9" w:rsidP="00CA25CF">
            <w:pPr>
              <w:rPr>
                <w:rFonts w:cs="Arial"/>
                <w:color w:val="FF0000"/>
                <w:sz w:val="21"/>
                <w:szCs w:val="21"/>
              </w:rPr>
            </w:pPr>
          </w:p>
        </w:tc>
        <w:tc>
          <w:tcPr>
            <w:tcW w:w="217" w:type="dxa"/>
          </w:tcPr>
          <w:p w14:paraId="2568366C" w14:textId="77777777" w:rsidR="002C0FD9" w:rsidRPr="00CA25CF" w:rsidRDefault="002C0FD9" w:rsidP="00CA25CF">
            <w:pPr>
              <w:rPr>
                <w:rFonts w:cs="Arial"/>
                <w:color w:val="FF0000"/>
                <w:sz w:val="21"/>
                <w:szCs w:val="21"/>
              </w:rPr>
            </w:pPr>
          </w:p>
        </w:tc>
        <w:tc>
          <w:tcPr>
            <w:tcW w:w="217" w:type="dxa"/>
          </w:tcPr>
          <w:p w14:paraId="29FCA26E" w14:textId="77777777" w:rsidR="002C0FD9" w:rsidRPr="00CA25CF" w:rsidRDefault="002C0FD9" w:rsidP="00CA25CF">
            <w:pPr>
              <w:rPr>
                <w:rFonts w:cs="Arial"/>
                <w:color w:val="FF0000"/>
                <w:sz w:val="21"/>
                <w:szCs w:val="21"/>
              </w:rPr>
            </w:pPr>
          </w:p>
        </w:tc>
        <w:tc>
          <w:tcPr>
            <w:tcW w:w="217" w:type="dxa"/>
          </w:tcPr>
          <w:p w14:paraId="5BF01D97" w14:textId="77777777" w:rsidR="002C0FD9" w:rsidRPr="00CA25CF" w:rsidRDefault="002C0FD9" w:rsidP="00CA25CF">
            <w:pPr>
              <w:rPr>
                <w:rFonts w:cs="Arial"/>
                <w:color w:val="FF0000"/>
                <w:sz w:val="21"/>
                <w:szCs w:val="21"/>
              </w:rPr>
            </w:pPr>
          </w:p>
        </w:tc>
        <w:tc>
          <w:tcPr>
            <w:tcW w:w="217" w:type="dxa"/>
          </w:tcPr>
          <w:p w14:paraId="25AC1C93" w14:textId="77777777" w:rsidR="002C0FD9" w:rsidRPr="00CA25CF" w:rsidRDefault="002C0FD9" w:rsidP="00CA25CF">
            <w:pPr>
              <w:rPr>
                <w:rFonts w:cs="Arial"/>
                <w:color w:val="FF0000"/>
                <w:sz w:val="21"/>
                <w:szCs w:val="21"/>
              </w:rPr>
            </w:pPr>
          </w:p>
        </w:tc>
        <w:tc>
          <w:tcPr>
            <w:tcW w:w="217" w:type="dxa"/>
          </w:tcPr>
          <w:p w14:paraId="56D0EA66" w14:textId="77777777" w:rsidR="002C0FD9" w:rsidRPr="00CA25CF" w:rsidRDefault="002C0FD9" w:rsidP="00CA25CF">
            <w:pPr>
              <w:rPr>
                <w:rFonts w:cs="Arial"/>
                <w:color w:val="FF0000"/>
                <w:sz w:val="21"/>
                <w:szCs w:val="21"/>
              </w:rPr>
            </w:pPr>
          </w:p>
        </w:tc>
        <w:tc>
          <w:tcPr>
            <w:tcW w:w="217" w:type="dxa"/>
          </w:tcPr>
          <w:p w14:paraId="27BD3155" w14:textId="77777777" w:rsidR="002C0FD9" w:rsidRPr="00CA25CF" w:rsidRDefault="002C0FD9" w:rsidP="00CA25CF">
            <w:pPr>
              <w:rPr>
                <w:rFonts w:cs="Arial"/>
                <w:color w:val="FF0000"/>
                <w:sz w:val="21"/>
                <w:szCs w:val="21"/>
              </w:rPr>
            </w:pPr>
          </w:p>
        </w:tc>
        <w:tc>
          <w:tcPr>
            <w:tcW w:w="217" w:type="dxa"/>
          </w:tcPr>
          <w:p w14:paraId="201A6166" w14:textId="77777777" w:rsidR="002C0FD9" w:rsidRPr="00CA25CF" w:rsidRDefault="002C0FD9" w:rsidP="00CA25CF">
            <w:pPr>
              <w:rPr>
                <w:rFonts w:cs="Arial"/>
                <w:color w:val="FF0000"/>
                <w:sz w:val="21"/>
                <w:szCs w:val="21"/>
              </w:rPr>
            </w:pPr>
          </w:p>
        </w:tc>
        <w:tc>
          <w:tcPr>
            <w:tcW w:w="217" w:type="dxa"/>
          </w:tcPr>
          <w:p w14:paraId="2F173F87" w14:textId="77777777" w:rsidR="002C0FD9" w:rsidRPr="00CA25CF" w:rsidRDefault="002C0FD9" w:rsidP="00CA25CF">
            <w:pPr>
              <w:rPr>
                <w:rFonts w:cs="Arial"/>
                <w:color w:val="FF0000"/>
                <w:sz w:val="21"/>
                <w:szCs w:val="21"/>
              </w:rPr>
            </w:pPr>
          </w:p>
        </w:tc>
        <w:tc>
          <w:tcPr>
            <w:tcW w:w="217" w:type="dxa"/>
          </w:tcPr>
          <w:p w14:paraId="29ECDDBC" w14:textId="77777777" w:rsidR="002C0FD9" w:rsidRPr="00CA25CF" w:rsidRDefault="002C0FD9" w:rsidP="00CA25CF">
            <w:pPr>
              <w:rPr>
                <w:rFonts w:cs="Arial"/>
                <w:color w:val="FF0000"/>
                <w:sz w:val="21"/>
                <w:szCs w:val="21"/>
              </w:rPr>
            </w:pPr>
          </w:p>
        </w:tc>
        <w:tc>
          <w:tcPr>
            <w:tcW w:w="217" w:type="dxa"/>
          </w:tcPr>
          <w:p w14:paraId="7F0337E8" w14:textId="77777777" w:rsidR="002C0FD9" w:rsidRPr="00CA25CF" w:rsidRDefault="002C0FD9" w:rsidP="00CA25CF">
            <w:pPr>
              <w:rPr>
                <w:rFonts w:cs="Arial"/>
                <w:color w:val="FF0000"/>
                <w:sz w:val="21"/>
                <w:szCs w:val="21"/>
              </w:rPr>
            </w:pPr>
          </w:p>
        </w:tc>
        <w:tc>
          <w:tcPr>
            <w:tcW w:w="217" w:type="dxa"/>
          </w:tcPr>
          <w:p w14:paraId="3984AB7A" w14:textId="77777777" w:rsidR="002C0FD9" w:rsidRPr="00CA25CF" w:rsidRDefault="002C0FD9" w:rsidP="00CA25CF">
            <w:pPr>
              <w:rPr>
                <w:rFonts w:cs="Arial"/>
                <w:color w:val="FF0000"/>
                <w:sz w:val="21"/>
                <w:szCs w:val="21"/>
              </w:rPr>
            </w:pPr>
          </w:p>
        </w:tc>
        <w:tc>
          <w:tcPr>
            <w:tcW w:w="217" w:type="dxa"/>
          </w:tcPr>
          <w:p w14:paraId="31B34C40" w14:textId="77777777" w:rsidR="002C0FD9" w:rsidRPr="00CA25CF" w:rsidRDefault="002C0FD9" w:rsidP="00CA25CF">
            <w:pPr>
              <w:rPr>
                <w:rFonts w:cs="Arial"/>
                <w:color w:val="FF0000"/>
                <w:sz w:val="21"/>
                <w:szCs w:val="21"/>
              </w:rPr>
            </w:pPr>
          </w:p>
        </w:tc>
        <w:tc>
          <w:tcPr>
            <w:tcW w:w="217" w:type="dxa"/>
          </w:tcPr>
          <w:p w14:paraId="4681006D" w14:textId="77777777" w:rsidR="002C0FD9" w:rsidRPr="00CA25CF" w:rsidRDefault="002C0FD9" w:rsidP="00CA25CF">
            <w:pPr>
              <w:rPr>
                <w:rFonts w:cs="Arial"/>
                <w:color w:val="FF0000"/>
                <w:sz w:val="21"/>
                <w:szCs w:val="21"/>
              </w:rPr>
            </w:pPr>
          </w:p>
        </w:tc>
        <w:tc>
          <w:tcPr>
            <w:tcW w:w="217" w:type="dxa"/>
          </w:tcPr>
          <w:p w14:paraId="5DFA32E2" w14:textId="77777777" w:rsidR="002C0FD9" w:rsidRPr="00CA25CF" w:rsidRDefault="002C0FD9" w:rsidP="00CA25CF">
            <w:pPr>
              <w:rPr>
                <w:rFonts w:cs="Arial"/>
                <w:color w:val="FF0000"/>
                <w:sz w:val="21"/>
                <w:szCs w:val="21"/>
              </w:rPr>
            </w:pPr>
          </w:p>
        </w:tc>
        <w:tc>
          <w:tcPr>
            <w:tcW w:w="217" w:type="dxa"/>
          </w:tcPr>
          <w:p w14:paraId="627EE769" w14:textId="77777777" w:rsidR="002C0FD9" w:rsidRPr="00CA25CF" w:rsidRDefault="002C0FD9" w:rsidP="00CA25CF">
            <w:pPr>
              <w:rPr>
                <w:rFonts w:cs="Arial"/>
                <w:color w:val="FF0000"/>
                <w:sz w:val="21"/>
                <w:szCs w:val="21"/>
              </w:rPr>
            </w:pPr>
          </w:p>
        </w:tc>
        <w:tc>
          <w:tcPr>
            <w:tcW w:w="217" w:type="dxa"/>
          </w:tcPr>
          <w:p w14:paraId="398082C8" w14:textId="77777777" w:rsidR="002C0FD9" w:rsidRPr="00CA25CF" w:rsidRDefault="002C0FD9" w:rsidP="00CA25CF">
            <w:pPr>
              <w:rPr>
                <w:rFonts w:cs="Arial"/>
                <w:color w:val="FF0000"/>
                <w:sz w:val="21"/>
                <w:szCs w:val="21"/>
              </w:rPr>
            </w:pPr>
          </w:p>
        </w:tc>
        <w:tc>
          <w:tcPr>
            <w:tcW w:w="217" w:type="dxa"/>
          </w:tcPr>
          <w:p w14:paraId="1226121E" w14:textId="77777777" w:rsidR="002C0FD9" w:rsidRPr="00CA25CF" w:rsidRDefault="002C0FD9" w:rsidP="00CA25CF">
            <w:pPr>
              <w:rPr>
                <w:rFonts w:cs="Arial"/>
                <w:color w:val="FF0000"/>
                <w:sz w:val="21"/>
                <w:szCs w:val="21"/>
              </w:rPr>
            </w:pPr>
          </w:p>
        </w:tc>
        <w:tc>
          <w:tcPr>
            <w:tcW w:w="217" w:type="dxa"/>
          </w:tcPr>
          <w:p w14:paraId="5991CC1C" w14:textId="77777777" w:rsidR="002C0FD9" w:rsidRPr="00CA25CF" w:rsidRDefault="002C0FD9" w:rsidP="00CA25CF">
            <w:pPr>
              <w:rPr>
                <w:rFonts w:cs="Arial"/>
                <w:color w:val="FF0000"/>
                <w:sz w:val="21"/>
                <w:szCs w:val="21"/>
              </w:rPr>
            </w:pPr>
          </w:p>
        </w:tc>
        <w:tc>
          <w:tcPr>
            <w:tcW w:w="217" w:type="dxa"/>
          </w:tcPr>
          <w:p w14:paraId="49502563" w14:textId="77777777" w:rsidR="002C0FD9" w:rsidRPr="00CA25CF" w:rsidRDefault="002C0FD9" w:rsidP="00CA25CF">
            <w:pPr>
              <w:rPr>
                <w:rFonts w:cs="Arial"/>
                <w:color w:val="FF0000"/>
                <w:sz w:val="21"/>
                <w:szCs w:val="21"/>
              </w:rPr>
            </w:pPr>
          </w:p>
        </w:tc>
      </w:tr>
      <w:tr w:rsidR="002C0FD9" w:rsidRPr="00A16219" w14:paraId="272E32B5" w14:textId="77777777" w:rsidTr="002C0FD9">
        <w:trPr>
          <w:trHeight w:val="635"/>
        </w:trPr>
        <w:tc>
          <w:tcPr>
            <w:tcW w:w="515" w:type="dxa"/>
          </w:tcPr>
          <w:p w14:paraId="68EAB40E" w14:textId="77777777" w:rsidR="002C0FD9" w:rsidRPr="00CA25CF" w:rsidRDefault="002C0FD9" w:rsidP="00CA25CF">
            <w:pPr>
              <w:rPr>
                <w:rFonts w:cs="Arial"/>
                <w:color w:val="FF0000"/>
                <w:sz w:val="21"/>
                <w:szCs w:val="21"/>
              </w:rPr>
            </w:pPr>
          </w:p>
        </w:tc>
        <w:tc>
          <w:tcPr>
            <w:tcW w:w="217" w:type="dxa"/>
          </w:tcPr>
          <w:p w14:paraId="0F0A6491" w14:textId="77777777" w:rsidR="002C0FD9" w:rsidRPr="00CA25CF" w:rsidRDefault="002C0FD9" w:rsidP="00CA25CF">
            <w:pPr>
              <w:rPr>
                <w:rFonts w:cs="Arial"/>
                <w:color w:val="FF0000"/>
                <w:sz w:val="21"/>
                <w:szCs w:val="21"/>
              </w:rPr>
            </w:pPr>
          </w:p>
        </w:tc>
        <w:tc>
          <w:tcPr>
            <w:tcW w:w="217" w:type="dxa"/>
          </w:tcPr>
          <w:p w14:paraId="1CC0BC3C" w14:textId="77777777" w:rsidR="002C0FD9" w:rsidRPr="00CA25CF" w:rsidRDefault="002C0FD9" w:rsidP="00CA25CF">
            <w:pPr>
              <w:rPr>
                <w:rFonts w:cs="Arial"/>
                <w:color w:val="FF0000"/>
                <w:sz w:val="21"/>
                <w:szCs w:val="21"/>
              </w:rPr>
            </w:pPr>
          </w:p>
        </w:tc>
        <w:tc>
          <w:tcPr>
            <w:tcW w:w="217" w:type="dxa"/>
          </w:tcPr>
          <w:p w14:paraId="29020E0F" w14:textId="77777777" w:rsidR="002C0FD9" w:rsidRPr="00CA25CF" w:rsidRDefault="002C0FD9" w:rsidP="00CA25CF">
            <w:pPr>
              <w:rPr>
                <w:rFonts w:cs="Arial"/>
                <w:color w:val="FF0000"/>
                <w:sz w:val="21"/>
                <w:szCs w:val="21"/>
              </w:rPr>
            </w:pPr>
          </w:p>
        </w:tc>
        <w:tc>
          <w:tcPr>
            <w:tcW w:w="217" w:type="dxa"/>
          </w:tcPr>
          <w:p w14:paraId="4EE21B22" w14:textId="77777777" w:rsidR="002C0FD9" w:rsidRPr="00CA25CF" w:rsidRDefault="002C0FD9" w:rsidP="00CA25CF">
            <w:pPr>
              <w:rPr>
                <w:rFonts w:cs="Arial"/>
                <w:color w:val="FF0000"/>
                <w:sz w:val="21"/>
                <w:szCs w:val="21"/>
              </w:rPr>
            </w:pPr>
          </w:p>
        </w:tc>
        <w:tc>
          <w:tcPr>
            <w:tcW w:w="217" w:type="dxa"/>
          </w:tcPr>
          <w:p w14:paraId="5337BE58" w14:textId="77777777" w:rsidR="002C0FD9" w:rsidRPr="00CA25CF" w:rsidRDefault="002C0FD9" w:rsidP="00CA25CF">
            <w:pPr>
              <w:rPr>
                <w:rFonts w:cs="Arial"/>
                <w:color w:val="FF0000"/>
                <w:sz w:val="21"/>
                <w:szCs w:val="21"/>
              </w:rPr>
            </w:pPr>
          </w:p>
        </w:tc>
        <w:tc>
          <w:tcPr>
            <w:tcW w:w="217" w:type="dxa"/>
          </w:tcPr>
          <w:p w14:paraId="1C8E0B64" w14:textId="77777777" w:rsidR="002C0FD9" w:rsidRPr="00CA25CF" w:rsidRDefault="002C0FD9" w:rsidP="00CA25CF">
            <w:pPr>
              <w:rPr>
                <w:rFonts w:cs="Arial"/>
                <w:color w:val="FF0000"/>
                <w:sz w:val="21"/>
                <w:szCs w:val="21"/>
              </w:rPr>
            </w:pPr>
          </w:p>
        </w:tc>
        <w:tc>
          <w:tcPr>
            <w:tcW w:w="217" w:type="dxa"/>
          </w:tcPr>
          <w:p w14:paraId="1057B181" w14:textId="77777777" w:rsidR="002C0FD9" w:rsidRPr="00CA25CF" w:rsidRDefault="002C0FD9" w:rsidP="00CA25CF">
            <w:pPr>
              <w:rPr>
                <w:rFonts w:cs="Arial"/>
                <w:color w:val="FF0000"/>
                <w:sz w:val="21"/>
                <w:szCs w:val="21"/>
              </w:rPr>
            </w:pPr>
          </w:p>
        </w:tc>
        <w:tc>
          <w:tcPr>
            <w:tcW w:w="217" w:type="dxa"/>
          </w:tcPr>
          <w:p w14:paraId="0F4161DB" w14:textId="77777777" w:rsidR="002C0FD9" w:rsidRPr="00CA25CF" w:rsidRDefault="002C0FD9" w:rsidP="00CA25CF">
            <w:pPr>
              <w:rPr>
                <w:rFonts w:cs="Arial"/>
                <w:color w:val="FF0000"/>
                <w:sz w:val="21"/>
                <w:szCs w:val="21"/>
              </w:rPr>
            </w:pPr>
          </w:p>
        </w:tc>
        <w:tc>
          <w:tcPr>
            <w:tcW w:w="217" w:type="dxa"/>
          </w:tcPr>
          <w:p w14:paraId="5A53C6AE" w14:textId="77777777" w:rsidR="002C0FD9" w:rsidRPr="00CA25CF" w:rsidRDefault="002C0FD9" w:rsidP="00CA25CF">
            <w:pPr>
              <w:rPr>
                <w:rFonts w:cs="Arial"/>
                <w:color w:val="FF0000"/>
                <w:sz w:val="21"/>
                <w:szCs w:val="21"/>
              </w:rPr>
            </w:pPr>
          </w:p>
        </w:tc>
        <w:tc>
          <w:tcPr>
            <w:tcW w:w="217" w:type="dxa"/>
          </w:tcPr>
          <w:p w14:paraId="5AF9DCEC" w14:textId="77777777" w:rsidR="002C0FD9" w:rsidRPr="00CA25CF" w:rsidRDefault="002C0FD9" w:rsidP="00CA25CF">
            <w:pPr>
              <w:rPr>
                <w:rFonts w:cs="Arial"/>
                <w:color w:val="FF0000"/>
                <w:sz w:val="21"/>
                <w:szCs w:val="21"/>
              </w:rPr>
            </w:pPr>
          </w:p>
        </w:tc>
        <w:tc>
          <w:tcPr>
            <w:tcW w:w="217" w:type="dxa"/>
          </w:tcPr>
          <w:p w14:paraId="3E9D3029" w14:textId="77777777" w:rsidR="002C0FD9" w:rsidRPr="00CA25CF" w:rsidRDefault="002C0FD9" w:rsidP="00CA25CF">
            <w:pPr>
              <w:rPr>
                <w:rFonts w:cs="Arial"/>
                <w:color w:val="FF0000"/>
                <w:sz w:val="21"/>
                <w:szCs w:val="21"/>
              </w:rPr>
            </w:pPr>
          </w:p>
        </w:tc>
        <w:tc>
          <w:tcPr>
            <w:tcW w:w="217" w:type="dxa"/>
          </w:tcPr>
          <w:p w14:paraId="2F4D7A59" w14:textId="77777777" w:rsidR="002C0FD9" w:rsidRPr="00CA25CF" w:rsidRDefault="002C0FD9" w:rsidP="00CA25CF">
            <w:pPr>
              <w:rPr>
                <w:rFonts w:cs="Arial"/>
                <w:color w:val="FF0000"/>
                <w:sz w:val="21"/>
                <w:szCs w:val="21"/>
              </w:rPr>
            </w:pPr>
          </w:p>
        </w:tc>
        <w:tc>
          <w:tcPr>
            <w:tcW w:w="217" w:type="dxa"/>
          </w:tcPr>
          <w:p w14:paraId="4A5B7FEC" w14:textId="77777777" w:rsidR="002C0FD9" w:rsidRPr="00CA25CF" w:rsidRDefault="002C0FD9" w:rsidP="00CA25CF">
            <w:pPr>
              <w:rPr>
                <w:rFonts w:cs="Arial"/>
                <w:color w:val="FF0000"/>
                <w:sz w:val="21"/>
                <w:szCs w:val="21"/>
              </w:rPr>
            </w:pPr>
          </w:p>
        </w:tc>
        <w:tc>
          <w:tcPr>
            <w:tcW w:w="217" w:type="dxa"/>
          </w:tcPr>
          <w:p w14:paraId="33476789" w14:textId="77777777" w:rsidR="002C0FD9" w:rsidRPr="00CA25CF" w:rsidRDefault="002C0FD9" w:rsidP="00CA25CF">
            <w:pPr>
              <w:rPr>
                <w:rFonts w:cs="Arial"/>
                <w:color w:val="FF0000"/>
                <w:sz w:val="21"/>
                <w:szCs w:val="21"/>
              </w:rPr>
            </w:pPr>
          </w:p>
        </w:tc>
        <w:tc>
          <w:tcPr>
            <w:tcW w:w="217" w:type="dxa"/>
          </w:tcPr>
          <w:p w14:paraId="555BD4B3" w14:textId="77777777" w:rsidR="002C0FD9" w:rsidRPr="00CA25CF" w:rsidRDefault="002C0FD9" w:rsidP="00CA25CF">
            <w:pPr>
              <w:rPr>
                <w:rFonts w:cs="Arial"/>
                <w:color w:val="FF0000"/>
                <w:sz w:val="21"/>
                <w:szCs w:val="21"/>
              </w:rPr>
            </w:pPr>
          </w:p>
        </w:tc>
        <w:tc>
          <w:tcPr>
            <w:tcW w:w="217" w:type="dxa"/>
          </w:tcPr>
          <w:p w14:paraId="3EFBC060" w14:textId="77777777" w:rsidR="002C0FD9" w:rsidRPr="00CA25CF" w:rsidRDefault="002C0FD9" w:rsidP="00CA25CF">
            <w:pPr>
              <w:rPr>
                <w:rFonts w:cs="Arial"/>
                <w:color w:val="FF0000"/>
                <w:sz w:val="21"/>
                <w:szCs w:val="21"/>
              </w:rPr>
            </w:pPr>
          </w:p>
        </w:tc>
        <w:tc>
          <w:tcPr>
            <w:tcW w:w="217" w:type="dxa"/>
          </w:tcPr>
          <w:p w14:paraId="5B100B8C" w14:textId="77777777" w:rsidR="002C0FD9" w:rsidRPr="00CA25CF" w:rsidRDefault="002C0FD9" w:rsidP="00CA25CF">
            <w:pPr>
              <w:rPr>
                <w:rFonts w:cs="Arial"/>
                <w:color w:val="FF0000"/>
                <w:sz w:val="21"/>
                <w:szCs w:val="21"/>
              </w:rPr>
            </w:pPr>
          </w:p>
        </w:tc>
        <w:tc>
          <w:tcPr>
            <w:tcW w:w="217" w:type="dxa"/>
          </w:tcPr>
          <w:p w14:paraId="1197F08D" w14:textId="77777777" w:rsidR="002C0FD9" w:rsidRPr="00CA25CF" w:rsidRDefault="002C0FD9" w:rsidP="00CA25CF">
            <w:pPr>
              <w:rPr>
                <w:rFonts w:cs="Arial"/>
                <w:color w:val="FF0000"/>
                <w:sz w:val="21"/>
                <w:szCs w:val="21"/>
              </w:rPr>
            </w:pPr>
          </w:p>
        </w:tc>
        <w:tc>
          <w:tcPr>
            <w:tcW w:w="217" w:type="dxa"/>
          </w:tcPr>
          <w:p w14:paraId="0CF3F9EA" w14:textId="77777777" w:rsidR="002C0FD9" w:rsidRPr="00CA25CF" w:rsidRDefault="002C0FD9" w:rsidP="00CA25CF">
            <w:pPr>
              <w:rPr>
                <w:rFonts w:cs="Arial"/>
                <w:color w:val="FF0000"/>
                <w:sz w:val="21"/>
                <w:szCs w:val="21"/>
              </w:rPr>
            </w:pPr>
          </w:p>
        </w:tc>
        <w:tc>
          <w:tcPr>
            <w:tcW w:w="217" w:type="dxa"/>
          </w:tcPr>
          <w:p w14:paraId="06C72B53" w14:textId="77777777" w:rsidR="002C0FD9" w:rsidRPr="00CA25CF" w:rsidRDefault="002C0FD9" w:rsidP="00CA25CF">
            <w:pPr>
              <w:rPr>
                <w:rFonts w:cs="Arial"/>
                <w:color w:val="FF0000"/>
                <w:sz w:val="21"/>
                <w:szCs w:val="21"/>
              </w:rPr>
            </w:pPr>
          </w:p>
        </w:tc>
        <w:tc>
          <w:tcPr>
            <w:tcW w:w="217" w:type="dxa"/>
          </w:tcPr>
          <w:p w14:paraId="21D5D42A" w14:textId="77777777" w:rsidR="002C0FD9" w:rsidRPr="00CA25CF" w:rsidRDefault="002C0FD9" w:rsidP="00CA25CF">
            <w:pPr>
              <w:rPr>
                <w:rFonts w:cs="Arial"/>
                <w:color w:val="FF0000"/>
                <w:sz w:val="21"/>
                <w:szCs w:val="21"/>
              </w:rPr>
            </w:pPr>
          </w:p>
        </w:tc>
        <w:tc>
          <w:tcPr>
            <w:tcW w:w="217" w:type="dxa"/>
          </w:tcPr>
          <w:p w14:paraId="23390DE6" w14:textId="77777777" w:rsidR="002C0FD9" w:rsidRPr="00CA25CF" w:rsidRDefault="002C0FD9" w:rsidP="00CA25CF">
            <w:pPr>
              <w:rPr>
                <w:rFonts w:cs="Arial"/>
                <w:color w:val="FF0000"/>
                <w:sz w:val="21"/>
                <w:szCs w:val="21"/>
              </w:rPr>
            </w:pPr>
          </w:p>
        </w:tc>
        <w:tc>
          <w:tcPr>
            <w:tcW w:w="217" w:type="dxa"/>
          </w:tcPr>
          <w:p w14:paraId="5ED704B3" w14:textId="77777777" w:rsidR="002C0FD9" w:rsidRPr="00CA25CF" w:rsidRDefault="002C0FD9" w:rsidP="00CA25CF">
            <w:pPr>
              <w:rPr>
                <w:rFonts w:cs="Arial"/>
                <w:color w:val="FF0000"/>
                <w:sz w:val="21"/>
                <w:szCs w:val="21"/>
              </w:rPr>
            </w:pPr>
          </w:p>
        </w:tc>
        <w:tc>
          <w:tcPr>
            <w:tcW w:w="217" w:type="dxa"/>
          </w:tcPr>
          <w:p w14:paraId="79DC2030" w14:textId="77777777" w:rsidR="002C0FD9" w:rsidRPr="00CA25CF" w:rsidRDefault="002C0FD9" w:rsidP="00CA25CF">
            <w:pPr>
              <w:rPr>
                <w:rFonts w:cs="Arial"/>
                <w:color w:val="FF0000"/>
                <w:sz w:val="21"/>
                <w:szCs w:val="21"/>
              </w:rPr>
            </w:pPr>
          </w:p>
        </w:tc>
        <w:tc>
          <w:tcPr>
            <w:tcW w:w="217" w:type="dxa"/>
          </w:tcPr>
          <w:p w14:paraId="0CCBD77D" w14:textId="77777777" w:rsidR="002C0FD9" w:rsidRPr="00CA25CF" w:rsidRDefault="002C0FD9" w:rsidP="00CA25CF">
            <w:pPr>
              <w:rPr>
                <w:rFonts w:cs="Arial"/>
                <w:color w:val="FF0000"/>
                <w:sz w:val="21"/>
                <w:szCs w:val="21"/>
              </w:rPr>
            </w:pPr>
          </w:p>
        </w:tc>
        <w:tc>
          <w:tcPr>
            <w:tcW w:w="217" w:type="dxa"/>
          </w:tcPr>
          <w:p w14:paraId="0316883E" w14:textId="77777777" w:rsidR="002C0FD9" w:rsidRPr="00CA25CF" w:rsidRDefault="002C0FD9" w:rsidP="00CA25CF">
            <w:pPr>
              <w:rPr>
                <w:rFonts w:cs="Arial"/>
                <w:color w:val="FF0000"/>
                <w:sz w:val="21"/>
                <w:szCs w:val="21"/>
              </w:rPr>
            </w:pPr>
          </w:p>
        </w:tc>
        <w:tc>
          <w:tcPr>
            <w:tcW w:w="217" w:type="dxa"/>
          </w:tcPr>
          <w:p w14:paraId="12755DFC" w14:textId="77777777" w:rsidR="002C0FD9" w:rsidRPr="00CA25CF" w:rsidRDefault="002C0FD9" w:rsidP="00CA25CF">
            <w:pPr>
              <w:rPr>
                <w:rFonts w:cs="Arial"/>
                <w:color w:val="FF0000"/>
                <w:sz w:val="21"/>
                <w:szCs w:val="21"/>
              </w:rPr>
            </w:pPr>
          </w:p>
        </w:tc>
        <w:tc>
          <w:tcPr>
            <w:tcW w:w="217" w:type="dxa"/>
          </w:tcPr>
          <w:p w14:paraId="3BA34D83" w14:textId="77777777" w:rsidR="002C0FD9" w:rsidRPr="00CA25CF" w:rsidRDefault="002C0FD9" w:rsidP="00CA25CF">
            <w:pPr>
              <w:rPr>
                <w:rFonts w:cs="Arial"/>
                <w:color w:val="FF0000"/>
                <w:sz w:val="21"/>
                <w:szCs w:val="21"/>
              </w:rPr>
            </w:pPr>
          </w:p>
        </w:tc>
        <w:tc>
          <w:tcPr>
            <w:tcW w:w="217" w:type="dxa"/>
          </w:tcPr>
          <w:p w14:paraId="02E17794" w14:textId="77777777" w:rsidR="002C0FD9" w:rsidRPr="00CA25CF" w:rsidRDefault="002C0FD9" w:rsidP="00CA25CF">
            <w:pPr>
              <w:rPr>
                <w:rFonts w:cs="Arial"/>
                <w:color w:val="FF0000"/>
                <w:sz w:val="21"/>
                <w:szCs w:val="21"/>
              </w:rPr>
            </w:pPr>
          </w:p>
        </w:tc>
        <w:tc>
          <w:tcPr>
            <w:tcW w:w="217" w:type="dxa"/>
          </w:tcPr>
          <w:p w14:paraId="1EB52C34" w14:textId="77777777" w:rsidR="002C0FD9" w:rsidRPr="00CA25CF" w:rsidRDefault="002C0FD9" w:rsidP="00CA25CF">
            <w:pPr>
              <w:rPr>
                <w:rFonts w:cs="Arial"/>
                <w:color w:val="FF0000"/>
                <w:sz w:val="21"/>
                <w:szCs w:val="21"/>
              </w:rPr>
            </w:pPr>
          </w:p>
        </w:tc>
        <w:tc>
          <w:tcPr>
            <w:tcW w:w="217" w:type="dxa"/>
          </w:tcPr>
          <w:p w14:paraId="276D8CA7" w14:textId="77777777" w:rsidR="002C0FD9" w:rsidRPr="00CA25CF" w:rsidRDefault="002C0FD9" w:rsidP="00CA25CF">
            <w:pPr>
              <w:rPr>
                <w:rFonts w:cs="Arial"/>
                <w:color w:val="FF0000"/>
                <w:sz w:val="21"/>
                <w:szCs w:val="21"/>
              </w:rPr>
            </w:pPr>
          </w:p>
        </w:tc>
        <w:tc>
          <w:tcPr>
            <w:tcW w:w="217" w:type="dxa"/>
          </w:tcPr>
          <w:p w14:paraId="30B9B145" w14:textId="77777777" w:rsidR="002C0FD9" w:rsidRPr="00CA25CF" w:rsidRDefault="002C0FD9" w:rsidP="00CA25CF">
            <w:pPr>
              <w:rPr>
                <w:rFonts w:cs="Arial"/>
                <w:color w:val="FF0000"/>
                <w:sz w:val="21"/>
                <w:szCs w:val="21"/>
              </w:rPr>
            </w:pPr>
          </w:p>
        </w:tc>
        <w:tc>
          <w:tcPr>
            <w:tcW w:w="217" w:type="dxa"/>
          </w:tcPr>
          <w:p w14:paraId="5ED26C4C" w14:textId="77777777" w:rsidR="002C0FD9" w:rsidRPr="00CA25CF" w:rsidRDefault="002C0FD9" w:rsidP="00CA25CF">
            <w:pPr>
              <w:rPr>
                <w:rFonts w:cs="Arial"/>
                <w:color w:val="FF0000"/>
                <w:sz w:val="21"/>
                <w:szCs w:val="21"/>
              </w:rPr>
            </w:pPr>
          </w:p>
        </w:tc>
        <w:tc>
          <w:tcPr>
            <w:tcW w:w="217" w:type="dxa"/>
          </w:tcPr>
          <w:p w14:paraId="49917D58" w14:textId="77777777" w:rsidR="002C0FD9" w:rsidRPr="00CA25CF" w:rsidRDefault="002C0FD9" w:rsidP="00CA25CF">
            <w:pPr>
              <w:rPr>
                <w:rFonts w:cs="Arial"/>
                <w:color w:val="FF0000"/>
                <w:sz w:val="21"/>
                <w:szCs w:val="21"/>
              </w:rPr>
            </w:pPr>
          </w:p>
        </w:tc>
        <w:tc>
          <w:tcPr>
            <w:tcW w:w="217" w:type="dxa"/>
          </w:tcPr>
          <w:p w14:paraId="6D827BB9" w14:textId="77777777" w:rsidR="002C0FD9" w:rsidRPr="00CA25CF" w:rsidRDefault="002C0FD9" w:rsidP="00CA25CF">
            <w:pPr>
              <w:rPr>
                <w:rFonts w:cs="Arial"/>
                <w:color w:val="FF0000"/>
                <w:sz w:val="21"/>
                <w:szCs w:val="21"/>
              </w:rPr>
            </w:pPr>
          </w:p>
        </w:tc>
        <w:tc>
          <w:tcPr>
            <w:tcW w:w="217" w:type="dxa"/>
          </w:tcPr>
          <w:p w14:paraId="41D1517B" w14:textId="77777777" w:rsidR="002C0FD9" w:rsidRPr="00CA25CF" w:rsidRDefault="002C0FD9" w:rsidP="00CA25CF">
            <w:pPr>
              <w:rPr>
                <w:rFonts w:cs="Arial"/>
                <w:color w:val="FF0000"/>
                <w:sz w:val="21"/>
                <w:szCs w:val="21"/>
              </w:rPr>
            </w:pPr>
          </w:p>
        </w:tc>
        <w:tc>
          <w:tcPr>
            <w:tcW w:w="217" w:type="dxa"/>
          </w:tcPr>
          <w:p w14:paraId="162FBD78" w14:textId="77777777" w:rsidR="002C0FD9" w:rsidRPr="00CA25CF" w:rsidRDefault="002C0FD9" w:rsidP="00CA25CF">
            <w:pPr>
              <w:rPr>
                <w:rFonts w:cs="Arial"/>
                <w:color w:val="FF0000"/>
                <w:sz w:val="21"/>
                <w:szCs w:val="21"/>
              </w:rPr>
            </w:pPr>
          </w:p>
        </w:tc>
        <w:tc>
          <w:tcPr>
            <w:tcW w:w="217" w:type="dxa"/>
          </w:tcPr>
          <w:p w14:paraId="408459A5" w14:textId="77777777" w:rsidR="002C0FD9" w:rsidRPr="00CA25CF" w:rsidRDefault="002C0FD9" w:rsidP="00CA25CF">
            <w:pPr>
              <w:rPr>
                <w:rFonts w:cs="Arial"/>
                <w:color w:val="FF0000"/>
                <w:sz w:val="21"/>
                <w:szCs w:val="21"/>
              </w:rPr>
            </w:pPr>
          </w:p>
        </w:tc>
        <w:tc>
          <w:tcPr>
            <w:tcW w:w="217" w:type="dxa"/>
          </w:tcPr>
          <w:p w14:paraId="306FD97F" w14:textId="77777777" w:rsidR="002C0FD9" w:rsidRPr="00CA25CF" w:rsidRDefault="002C0FD9" w:rsidP="00CA25CF">
            <w:pPr>
              <w:rPr>
                <w:rFonts w:cs="Arial"/>
                <w:color w:val="FF0000"/>
                <w:sz w:val="21"/>
                <w:szCs w:val="21"/>
              </w:rPr>
            </w:pPr>
          </w:p>
        </w:tc>
        <w:tc>
          <w:tcPr>
            <w:tcW w:w="217" w:type="dxa"/>
          </w:tcPr>
          <w:p w14:paraId="4DF7ACB6" w14:textId="77777777" w:rsidR="002C0FD9" w:rsidRPr="00CA25CF" w:rsidRDefault="002C0FD9" w:rsidP="00CA25CF">
            <w:pPr>
              <w:rPr>
                <w:rFonts w:cs="Arial"/>
                <w:color w:val="FF0000"/>
                <w:sz w:val="21"/>
                <w:szCs w:val="21"/>
              </w:rPr>
            </w:pPr>
          </w:p>
        </w:tc>
        <w:tc>
          <w:tcPr>
            <w:tcW w:w="217" w:type="dxa"/>
          </w:tcPr>
          <w:p w14:paraId="31A99836" w14:textId="77777777" w:rsidR="002C0FD9" w:rsidRPr="00CA25CF" w:rsidRDefault="002C0FD9" w:rsidP="00CA25CF">
            <w:pPr>
              <w:rPr>
                <w:rFonts w:cs="Arial"/>
                <w:color w:val="FF0000"/>
                <w:sz w:val="21"/>
                <w:szCs w:val="21"/>
              </w:rPr>
            </w:pPr>
          </w:p>
        </w:tc>
        <w:tc>
          <w:tcPr>
            <w:tcW w:w="217" w:type="dxa"/>
          </w:tcPr>
          <w:p w14:paraId="52411E24" w14:textId="77777777" w:rsidR="002C0FD9" w:rsidRPr="00CA25CF" w:rsidRDefault="002C0FD9" w:rsidP="00CA25CF">
            <w:pPr>
              <w:rPr>
                <w:rFonts w:cs="Arial"/>
                <w:color w:val="FF0000"/>
                <w:sz w:val="21"/>
                <w:szCs w:val="21"/>
              </w:rPr>
            </w:pPr>
          </w:p>
        </w:tc>
      </w:tr>
      <w:tr w:rsidR="002C0FD9" w:rsidRPr="00A16219" w14:paraId="107F2422" w14:textId="77777777" w:rsidTr="002C0FD9">
        <w:trPr>
          <w:trHeight w:val="635"/>
        </w:trPr>
        <w:tc>
          <w:tcPr>
            <w:tcW w:w="515" w:type="dxa"/>
          </w:tcPr>
          <w:p w14:paraId="325C0540" w14:textId="77777777" w:rsidR="002C0FD9" w:rsidRPr="00CA25CF" w:rsidRDefault="002C0FD9" w:rsidP="00CA25CF">
            <w:pPr>
              <w:rPr>
                <w:rFonts w:cs="Arial"/>
                <w:color w:val="FF0000"/>
                <w:sz w:val="21"/>
                <w:szCs w:val="21"/>
              </w:rPr>
            </w:pPr>
          </w:p>
        </w:tc>
        <w:tc>
          <w:tcPr>
            <w:tcW w:w="217" w:type="dxa"/>
          </w:tcPr>
          <w:p w14:paraId="0F422445" w14:textId="77777777" w:rsidR="002C0FD9" w:rsidRPr="00CA25CF" w:rsidRDefault="002C0FD9" w:rsidP="00CA25CF">
            <w:pPr>
              <w:rPr>
                <w:rFonts w:cs="Arial"/>
                <w:color w:val="FF0000"/>
                <w:sz w:val="21"/>
                <w:szCs w:val="21"/>
              </w:rPr>
            </w:pPr>
          </w:p>
        </w:tc>
        <w:tc>
          <w:tcPr>
            <w:tcW w:w="217" w:type="dxa"/>
          </w:tcPr>
          <w:p w14:paraId="7776317F" w14:textId="77777777" w:rsidR="002C0FD9" w:rsidRPr="00CA25CF" w:rsidRDefault="002C0FD9" w:rsidP="00CA25CF">
            <w:pPr>
              <w:rPr>
                <w:rFonts w:cs="Arial"/>
                <w:color w:val="FF0000"/>
                <w:sz w:val="21"/>
                <w:szCs w:val="21"/>
              </w:rPr>
            </w:pPr>
          </w:p>
        </w:tc>
        <w:tc>
          <w:tcPr>
            <w:tcW w:w="217" w:type="dxa"/>
          </w:tcPr>
          <w:p w14:paraId="0C55CB74" w14:textId="77777777" w:rsidR="002C0FD9" w:rsidRPr="00CA25CF" w:rsidRDefault="002C0FD9" w:rsidP="00CA25CF">
            <w:pPr>
              <w:rPr>
                <w:rFonts w:cs="Arial"/>
                <w:color w:val="FF0000"/>
                <w:sz w:val="21"/>
                <w:szCs w:val="21"/>
              </w:rPr>
            </w:pPr>
          </w:p>
        </w:tc>
        <w:tc>
          <w:tcPr>
            <w:tcW w:w="217" w:type="dxa"/>
          </w:tcPr>
          <w:p w14:paraId="526ACD6C" w14:textId="77777777" w:rsidR="002C0FD9" w:rsidRPr="00CA25CF" w:rsidRDefault="002C0FD9" w:rsidP="00CA25CF">
            <w:pPr>
              <w:rPr>
                <w:rFonts w:cs="Arial"/>
                <w:color w:val="FF0000"/>
                <w:sz w:val="21"/>
                <w:szCs w:val="21"/>
              </w:rPr>
            </w:pPr>
          </w:p>
        </w:tc>
        <w:tc>
          <w:tcPr>
            <w:tcW w:w="217" w:type="dxa"/>
          </w:tcPr>
          <w:p w14:paraId="66578F7C" w14:textId="77777777" w:rsidR="002C0FD9" w:rsidRPr="00CA25CF" w:rsidRDefault="002C0FD9" w:rsidP="00CA25CF">
            <w:pPr>
              <w:rPr>
                <w:rFonts w:cs="Arial"/>
                <w:color w:val="FF0000"/>
                <w:sz w:val="21"/>
                <w:szCs w:val="21"/>
              </w:rPr>
            </w:pPr>
          </w:p>
        </w:tc>
        <w:tc>
          <w:tcPr>
            <w:tcW w:w="217" w:type="dxa"/>
          </w:tcPr>
          <w:p w14:paraId="48286D6D" w14:textId="77777777" w:rsidR="002C0FD9" w:rsidRPr="00CA25CF" w:rsidRDefault="002C0FD9" w:rsidP="00CA25CF">
            <w:pPr>
              <w:rPr>
                <w:rFonts w:cs="Arial"/>
                <w:color w:val="FF0000"/>
                <w:sz w:val="21"/>
                <w:szCs w:val="21"/>
              </w:rPr>
            </w:pPr>
          </w:p>
        </w:tc>
        <w:tc>
          <w:tcPr>
            <w:tcW w:w="217" w:type="dxa"/>
          </w:tcPr>
          <w:p w14:paraId="51FABF38" w14:textId="77777777" w:rsidR="002C0FD9" w:rsidRPr="00CA25CF" w:rsidRDefault="002C0FD9" w:rsidP="00CA25CF">
            <w:pPr>
              <w:rPr>
                <w:rFonts w:cs="Arial"/>
                <w:color w:val="FF0000"/>
                <w:sz w:val="21"/>
                <w:szCs w:val="21"/>
              </w:rPr>
            </w:pPr>
          </w:p>
        </w:tc>
        <w:tc>
          <w:tcPr>
            <w:tcW w:w="217" w:type="dxa"/>
          </w:tcPr>
          <w:p w14:paraId="1B86B245" w14:textId="77777777" w:rsidR="002C0FD9" w:rsidRPr="00CA25CF" w:rsidRDefault="002C0FD9" w:rsidP="00CA25CF">
            <w:pPr>
              <w:rPr>
                <w:rFonts w:cs="Arial"/>
                <w:color w:val="FF0000"/>
                <w:sz w:val="21"/>
                <w:szCs w:val="21"/>
              </w:rPr>
            </w:pPr>
          </w:p>
        </w:tc>
        <w:tc>
          <w:tcPr>
            <w:tcW w:w="217" w:type="dxa"/>
          </w:tcPr>
          <w:p w14:paraId="1971BC43" w14:textId="77777777" w:rsidR="002C0FD9" w:rsidRPr="00CA25CF" w:rsidRDefault="002C0FD9" w:rsidP="00CA25CF">
            <w:pPr>
              <w:rPr>
                <w:rFonts w:cs="Arial"/>
                <w:color w:val="FF0000"/>
                <w:sz w:val="21"/>
                <w:szCs w:val="21"/>
              </w:rPr>
            </w:pPr>
          </w:p>
        </w:tc>
        <w:tc>
          <w:tcPr>
            <w:tcW w:w="217" w:type="dxa"/>
          </w:tcPr>
          <w:p w14:paraId="3B501CD9" w14:textId="77777777" w:rsidR="002C0FD9" w:rsidRPr="00CA25CF" w:rsidRDefault="002C0FD9" w:rsidP="00CA25CF">
            <w:pPr>
              <w:rPr>
                <w:rFonts w:cs="Arial"/>
                <w:color w:val="FF0000"/>
                <w:sz w:val="21"/>
                <w:szCs w:val="21"/>
              </w:rPr>
            </w:pPr>
          </w:p>
        </w:tc>
        <w:tc>
          <w:tcPr>
            <w:tcW w:w="217" w:type="dxa"/>
          </w:tcPr>
          <w:p w14:paraId="0B6F87C1" w14:textId="77777777" w:rsidR="002C0FD9" w:rsidRPr="00CA25CF" w:rsidRDefault="002C0FD9" w:rsidP="00CA25CF">
            <w:pPr>
              <w:rPr>
                <w:rFonts w:cs="Arial"/>
                <w:color w:val="FF0000"/>
                <w:sz w:val="21"/>
                <w:szCs w:val="21"/>
              </w:rPr>
            </w:pPr>
          </w:p>
        </w:tc>
        <w:tc>
          <w:tcPr>
            <w:tcW w:w="217" w:type="dxa"/>
          </w:tcPr>
          <w:p w14:paraId="50B79F33" w14:textId="77777777" w:rsidR="002C0FD9" w:rsidRPr="00CA25CF" w:rsidRDefault="002C0FD9" w:rsidP="00CA25CF">
            <w:pPr>
              <w:rPr>
                <w:rFonts w:cs="Arial"/>
                <w:color w:val="FF0000"/>
                <w:sz w:val="21"/>
                <w:szCs w:val="21"/>
              </w:rPr>
            </w:pPr>
          </w:p>
        </w:tc>
        <w:tc>
          <w:tcPr>
            <w:tcW w:w="217" w:type="dxa"/>
          </w:tcPr>
          <w:p w14:paraId="2F634830" w14:textId="77777777" w:rsidR="002C0FD9" w:rsidRPr="00CA25CF" w:rsidRDefault="002C0FD9" w:rsidP="00CA25CF">
            <w:pPr>
              <w:rPr>
                <w:rFonts w:cs="Arial"/>
                <w:color w:val="FF0000"/>
                <w:sz w:val="21"/>
                <w:szCs w:val="21"/>
              </w:rPr>
            </w:pPr>
          </w:p>
        </w:tc>
        <w:tc>
          <w:tcPr>
            <w:tcW w:w="217" w:type="dxa"/>
          </w:tcPr>
          <w:p w14:paraId="0ED5190E" w14:textId="77777777" w:rsidR="002C0FD9" w:rsidRPr="00CA25CF" w:rsidRDefault="002C0FD9" w:rsidP="00CA25CF">
            <w:pPr>
              <w:rPr>
                <w:rFonts w:cs="Arial"/>
                <w:color w:val="FF0000"/>
                <w:sz w:val="21"/>
                <w:szCs w:val="21"/>
              </w:rPr>
            </w:pPr>
          </w:p>
        </w:tc>
        <w:tc>
          <w:tcPr>
            <w:tcW w:w="217" w:type="dxa"/>
          </w:tcPr>
          <w:p w14:paraId="202EE9BB" w14:textId="77777777" w:rsidR="002C0FD9" w:rsidRPr="00CA25CF" w:rsidRDefault="002C0FD9" w:rsidP="00CA25CF">
            <w:pPr>
              <w:rPr>
                <w:rFonts w:cs="Arial"/>
                <w:color w:val="FF0000"/>
                <w:sz w:val="21"/>
                <w:szCs w:val="21"/>
              </w:rPr>
            </w:pPr>
          </w:p>
        </w:tc>
        <w:tc>
          <w:tcPr>
            <w:tcW w:w="217" w:type="dxa"/>
          </w:tcPr>
          <w:p w14:paraId="42C974E3" w14:textId="77777777" w:rsidR="002C0FD9" w:rsidRPr="00CA25CF" w:rsidRDefault="002C0FD9" w:rsidP="00CA25CF">
            <w:pPr>
              <w:rPr>
                <w:rFonts w:cs="Arial"/>
                <w:color w:val="FF0000"/>
                <w:sz w:val="21"/>
                <w:szCs w:val="21"/>
              </w:rPr>
            </w:pPr>
          </w:p>
        </w:tc>
        <w:tc>
          <w:tcPr>
            <w:tcW w:w="217" w:type="dxa"/>
          </w:tcPr>
          <w:p w14:paraId="45960D05" w14:textId="77777777" w:rsidR="002C0FD9" w:rsidRPr="00CA25CF" w:rsidRDefault="002C0FD9" w:rsidP="00CA25CF">
            <w:pPr>
              <w:rPr>
                <w:rFonts w:cs="Arial"/>
                <w:color w:val="FF0000"/>
                <w:sz w:val="21"/>
                <w:szCs w:val="21"/>
              </w:rPr>
            </w:pPr>
          </w:p>
        </w:tc>
        <w:tc>
          <w:tcPr>
            <w:tcW w:w="217" w:type="dxa"/>
          </w:tcPr>
          <w:p w14:paraId="287E4984" w14:textId="77777777" w:rsidR="002C0FD9" w:rsidRPr="00CA25CF" w:rsidRDefault="002C0FD9" w:rsidP="00CA25CF">
            <w:pPr>
              <w:rPr>
                <w:rFonts w:cs="Arial"/>
                <w:color w:val="FF0000"/>
                <w:sz w:val="21"/>
                <w:szCs w:val="21"/>
              </w:rPr>
            </w:pPr>
          </w:p>
        </w:tc>
        <w:tc>
          <w:tcPr>
            <w:tcW w:w="217" w:type="dxa"/>
          </w:tcPr>
          <w:p w14:paraId="0FD7187C" w14:textId="77777777" w:rsidR="002C0FD9" w:rsidRPr="00CA25CF" w:rsidRDefault="002C0FD9" w:rsidP="00CA25CF">
            <w:pPr>
              <w:rPr>
                <w:rFonts w:cs="Arial"/>
                <w:color w:val="FF0000"/>
                <w:sz w:val="21"/>
                <w:szCs w:val="21"/>
              </w:rPr>
            </w:pPr>
          </w:p>
        </w:tc>
        <w:tc>
          <w:tcPr>
            <w:tcW w:w="217" w:type="dxa"/>
          </w:tcPr>
          <w:p w14:paraId="49D3041E" w14:textId="77777777" w:rsidR="002C0FD9" w:rsidRPr="00CA25CF" w:rsidRDefault="002C0FD9" w:rsidP="00CA25CF">
            <w:pPr>
              <w:rPr>
                <w:rFonts w:cs="Arial"/>
                <w:color w:val="FF0000"/>
                <w:sz w:val="21"/>
                <w:szCs w:val="21"/>
              </w:rPr>
            </w:pPr>
          </w:p>
        </w:tc>
        <w:tc>
          <w:tcPr>
            <w:tcW w:w="217" w:type="dxa"/>
          </w:tcPr>
          <w:p w14:paraId="3F51E025" w14:textId="77777777" w:rsidR="002C0FD9" w:rsidRPr="00CA25CF" w:rsidRDefault="002C0FD9" w:rsidP="00CA25CF">
            <w:pPr>
              <w:rPr>
                <w:rFonts w:cs="Arial"/>
                <w:color w:val="FF0000"/>
                <w:sz w:val="21"/>
                <w:szCs w:val="21"/>
              </w:rPr>
            </w:pPr>
          </w:p>
        </w:tc>
        <w:tc>
          <w:tcPr>
            <w:tcW w:w="217" w:type="dxa"/>
          </w:tcPr>
          <w:p w14:paraId="4310BED6" w14:textId="77777777" w:rsidR="002C0FD9" w:rsidRPr="00CA25CF" w:rsidRDefault="002C0FD9" w:rsidP="00CA25CF">
            <w:pPr>
              <w:rPr>
                <w:rFonts w:cs="Arial"/>
                <w:color w:val="FF0000"/>
                <w:sz w:val="21"/>
                <w:szCs w:val="21"/>
              </w:rPr>
            </w:pPr>
          </w:p>
        </w:tc>
        <w:tc>
          <w:tcPr>
            <w:tcW w:w="217" w:type="dxa"/>
          </w:tcPr>
          <w:p w14:paraId="7475F7F2" w14:textId="77777777" w:rsidR="002C0FD9" w:rsidRPr="00CA25CF" w:rsidRDefault="002C0FD9" w:rsidP="00CA25CF">
            <w:pPr>
              <w:rPr>
                <w:rFonts w:cs="Arial"/>
                <w:color w:val="FF0000"/>
                <w:sz w:val="21"/>
                <w:szCs w:val="21"/>
              </w:rPr>
            </w:pPr>
          </w:p>
        </w:tc>
        <w:tc>
          <w:tcPr>
            <w:tcW w:w="217" w:type="dxa"/>
          </w:tcPr>
          <w:p w14:paraId="6CB607CE" w14:textId="77777777" w:rsidR="002C0FD9" w:rsidRPr="00CA25CF" w:rsidRDefault="002C0FD9" w:rsidP="00CA25CF">
            <w:pPr>
              <w:rPr>
                <w:rFonts w:cs="Arial"/>
                <w:color w:val="FF0000"/>
                <w:sz w:val="21"/>
                <w:szCs w:val="21"/>
              </w:rPr>
            </w:pPr>
          </w:p>
        </w:tc>
        <w:tc>
          <w:tcPr>
            <w:tcW w:w="217" w:type="dxa"/>
          </w:tcPr>
          <w:p w14:paraId="1E5664A5" w14:textId="77777777" w:rsidR="002C0FD9" w:rsidRPr="00CA25CF" w:rsidRDefault="002C0FD9" w:rsidP="00CA25CF">
            <w:pPr>
              <w:rPr>
                <w:rFonts w:cs="Arial"/>
                <w:color w:val="FF0000"/>
                <w:sz w:val="21"/>
                <w:szCs w:val="21"/>
              </w:rPr>
            </w:pPr>
          </w:p>
        </w:tc>
        <w:tc>
          <w:tcPr>
            <w:tcW w:w="217" w:type="dxa"/>
          </w:tcPr>
          <w:p w14:paraId="735FDCB0" w14:textId="77777777" w:rsidR="002C0FD9" w:rsidRPr="00CA25CF" w:rsidRDefault="002C0FD9" w:rsidP="00CA25CF">
            <w:pPr>
              <w:rPr>
                <w:rFonts w:cs="Arial"/>
                <w:color w:val="FF0000"/>
                <w:sz w:val="21"/>
                <w:szCs w:val="21"/>
              </w:rPr>
            </w:pPr>
          </w:p>
        </w:tc>
        <w:tc>
          <w:tcPr>
            <w:tcW w:w="217" w:type="dxa"/>
          </w:tcPr>
          <w:p w14:paraId="3FA24878" w14:textId="77777777" w:rsidR="002C0FD9" w:rsidRPr="00CA25CF" w:rsidRDefault="002C0FD9" w:rsidP="00CA25CF">
            <w:pPr>
              <w:rPr>
                <w:rFonts w:cs="Arial"/>
                <w:color w:val="FF0000"/>
                <w:sz w:val="21"/>
                <w:szCs w:val="21"/>
              </w:rPr>
            </w:pPr>
          </w:p>
        </w:tc>
        <w:tc>
          <w:tcPr>
            <w:tcW w:w="217" w:type="dxa"/>
          </w:tcPr>
          <w:p w14:paraId="4FC2F916" w14:textId="77777777" w:rsidR="002C0FD9" w:rsidRPr="00CA25CF" w:rsidRDefault="002C0FD9" w:rsidP="00CA25CF">
            <w:pPr>
              <w:rPr>
                <w:rFonts w:cs="Arial"/>
                <w:color w:val="FF0000"/>
                <w:sz w:val="21"/>
                <w:szCs w:val="21"/>
              </w:rPr>
            </w:pPr>
          </w:p>
        </w:tc>
        <w:tc>
          <w:tcPr>
            <w:tcW w:w="217" w:type="dxa"/>
          </w:tcPr>
          <w:p w14:paraId="05DAA480" w14:textId="77777777" w:rsidR="002C0FD9" w:rsidRPr="00CA25CF" w:rsidRDefault="002C0FD9" w:rsidP="00CA25CF">
            <w:pPr>
              <w:rPr>
                <w:rFonts w:cs="Arial"/>
                <w:color w:val="FF0000"/>
                <w:sz w:val="21"/>
                <w:szCs w:val="21"/>
              </w:rPr>
            </w:pPr>
          </w:p>
        </w:tc>
        <w:tc>
          <w:tcPr>
            <w:tcW w:w="217" w:type="dxa"/>
          </w:tcPr>
          <w:p w14:paraId="2FE57E5E" w14:textId="77777777" w:rsidR="002C0FD9" w:rsidRPr="00CA25CF" w:rsidRDefault="002C0FD9" w:rsidP="00CA25CF">
            <w:pPr>
              <w:rPr>
                <w:rFonts w:cs="Arial"/>
                <w:color w:val="FF0000"/>
                <w:sz w:val="21"/>
                <w:szCs w:val="21"/>
              </w:rPr>
            </w:pPr>
          </w:p>
        </w:tc>
        <w:tc>
          <w:tcPr>
            <w:tcW w:w="217" w:type="dxa"/>
          </w:tcPr>
          <w:p w14:paraId="122DBB03" w14:textId="77777777" w:rsidR="002C0FD9" w:rsidRPr="00CA25CF" w:rsidRDefault="002C0FD9" w:rsidP="00CA25CF">
            <w:pPr>
              <w:rPr>
                <w:rFonts w:cs="Arial"/>
                <w:color w:val="FF0000"/>
                <w:sz w:val="21"/>
                <w:szCs w:val="21"/>
              </w:rPr>
            </w:pPr>
          </w:p>
        </w:tc>
        <w:tc>
          <w:tcPr>
            <w:tcW w:w="217" w:type="dxa"/>
          </w:tcPr>
          <w:p w14:paraId="7F6C13EA" w14:textId="77777777" w:rsidR="002C0FD9" w:rsidRPr="00CA25CF" w:rsidRDefault="002C0FD9" w:rsidP="00CA25CF">
            <w:pPr>
              <w:rPr>
                <w:rFonts w:cs="Arial"/>
                <w:color w:val="FF0000"/>
                <w:sz w:val="21"/>
                <w:szCs w:val="21"/>
              </w:rPr>
            </w:pPr>
          </w:p>
        </w:tc>
        <w:tc>
          <w:tcPr>
            <w:tcW w:w="217" w:type="dxa"/>
          </w:tcPr>
          <w:p w14:paraId="7044F031" w14:textId="77777777" w:rsidR="002C0FD9" w:rsidRPr="00CA25CF" w:rsidRDefault="002C0FD9" w:rsidP="00CA25CF">
            <w:pPr>
              <w:rPr>
                <w:rFonts w:cs="Arial"/>
                <w:color w:val="FF0000"/>
                <w:sz w:val="21"/>
                <w:szCs w:val="21"/>
              </w:rPr>
            </w:pPr>
          </w:p>
        </w:tc>
        <w:tc>
          <w:tcPr>
            <w:tcW w:w="217" w:type="dxa"/>
          </w:tcPr>
          <w:p w14:paraId="1FBF6F21" w14:textId="77777777" w:rsidR="002C0FD9" w:rsidRPr="00CA25CF" w:rsidRDefault="002C0FD9" w:rsidP="00CA25CF">
            <w:pPr>
              <w:rPr>
                <w:rFonts w:cs="Arial"/>
                <w:color w:val="FF0000"/>
                <w:sz w:val="21"/>
                <w:szCs w:val="21"/>
              </w:rPr>
            </w:pPr>
          </w:p>
        </w:tc>
        <w:tc>
          <w:tcPr>
            <w:tcW w:w="217" w:type="dxa"/>
          </w:tcPr>
          <w:p w14:paraId="0E170B0D" w14:textId="77777777" w:rsidR="002C0FD9" w:rsidRPr="00CA25CF" w:rsidRDefault="002C0FD9" w:rsidP="00CA25CF">
            <w:pPr>
              <w:rPr>
                <w:rFonts w:cs="Arial"/>
                <w:color w:val="FF0000"/>
                <w:sz w:val="21"/>
                <w:szCs w:val="21"/>
              </w:rPr>
            </w:pPr>
          </w:p>
        </w:tc>
        <w:tc>
          <w:tcPr>
            <w:tcW w:w="217" w:type="dxa"/>
          </w:tcPr>
          <w:p w14:paraId="250F9ED5" w14:textId="77777777" w:rsidR="002C0FD9" w:rsidRPr="00CA25CF" w:rsidRDefault="002C0FD9" w:rsidP="00CA25CF">
            <w:pPr>
              <w:rPr>
                <w:rFonts w:cs="Arial"/>
                <w:color w:val="FF0000"/>
                <w:sz w:val="21"/>
                <w:szCs w:val="21"/>
              </w:rPr>
            </w:pPr>
          </w:p>
        </w:tc>
        <w:tc>
          <w:tcPr>
            <w:tcW w:w="217" w:type="dxa"/>
          </w:tcPr>
          <w:p w14:paraId="634D1231" w14:textId="77777777" w:rsidR="002C0FD9" w:rsidRPr="00CA25CF" w:rsidRDefault="002C0FD9" w:rsidP="00CA25CF">
            <w:pPr>
              <w:rPr>
                <w:rFonts w:cs="Arial"/>
                <w:color w:val="FF0000"/>
                <w:sz w:val="21"/>
                <w:szCs w:val="21"/>
              </w:rPr>
            </w:pPr>
          </w:p>
        </w:tc>
        <w:tc>
          <w:tcPr>
            <w:tcW w:w="217" w:type="dxa"/>
          </w:tcPr>
          <w:p w14:paraId="1EBFC036" w14:textId="77777777" w:rsidR="002C0FD9" w:rsidRPr="00CA25CF" w:rsidRDefault="002C0FD9" w:rsidP="00CA25CF">
            <w:pPr>
              <w:rPr>
                <w:rFonts w:cs="Arial"/>
                <w:color w:val="FF0000"/>
                <w:sz w:val="21"/>
                <w:szCs w:val="21"/>
              </w:rPr>
            </w:pPr>
          </w:p>
        </w:tc>
        <w:tc>
          <w:tcPr>
            <w:tcW w:w="217" w:type="dxa"/>
          </w:tcPr>
          <w:p w14:paraId="3D3DAC5D" w14:textId="77777777" w:rsidR="002C0FD9" w:rsidRPr="00CA25CF" w:rsidRDefault="002C0FD9" w:rsidP="00CA25CF">
            <w:pPr>
              <w:rPr>
                <w:rFonts w:cs="Arial"/>
                <w:color w:val="FF0000"/>
                <w:sz w:val="21"/>
                <w:szCs w:val="21"/>
              </w:rPr>
            </w:pPr>
          </w:p>
        </w:tc>
        <w:tc>
          <w:tcPr>
            <w:tcW w:w="217" w:type="dxa"/>
          </w:tcPr>
          <w:p w14:paraId="020A2FF9" w14:textId="77777777" w:rsidR="002C0FD9" w:rsidRPr="00CA25CF" w:rsidRDefault="002C0FD9" w:rsidP="00CA25CF">
            <w:pPr>
              <w:rPr>
                <w:rFonts w:cs="Arial"/>
                <w:color w:val="FF0000"/>
                <w:sz w:val="21"/>
                <w:szCs w:val="21"/>
              </w:rPr>
            </w:pPr>
          </w:p>
        </w:tc>
        <w:tc>
          <w:tcPr>
            <w:tcW w:w="217" w:type="dxa"/>
          </w:tcPr>
          <w:p w14:paraId="5BDF222C" w14:textId="77777777" w:rsidR="002C0FD9" w:rsidRPr="00CA25CF" w:rsidRDefault="002C0FD9" w:rsidP="00CA25CF">
            <w:pPr>
              <w:rPr>
                <w:rFonts w:cs="Arial"/>
                <w:color w:val="FF0000"/>
                <w:sz w:val="21"/>
                <w:szCs w:val="21"/>
              </w:rPr>
            </w:pPr>
          </w:p>
        </w:tc>
        <w:tc>
          <w:tcPr>
            <w:tcW w:w="217" w:type="dxa"/>
          </w:tcPr>
          <w:p w14:paraId="1A2ECD1A" w14:textId="77777777" w:rsidR="002C0FD9" w:rsidRPr="00CA25CF" w:rsidRDefault="002C0FD9" w:rsidP="00CA25CF">
            <w:pPr>
              <w:rPr>
                <w:rFonts w:cs="Arial"/>
                <w:color w:val="FF0000"/>
                <w:sz w:val="21"/>
                <w:szCs w:val="21"/>
              </w:rPr>
            </w:pPr>
          </w:p>
        </w:tc>
      </w:tr>
      <w:tr w:rsidR="002C0FD9" w:rsidRPr="00A16219" w14:paraId="3893016C" w14:textId="77777777" w:rsidTr="002C0FD9">
        <w:trPr>
          <w:trHeight w:val="635"/>
        </w:trPr>
        <w:tc>
          <w:tcPr>
            <w:tcW w:w="515" w:type="dxa"/>
          </w:tcPr>
          <w:p w14:paraId="7899DCFA" w14:textId="77777777" w:rsidR="002C0FD9" w:rsidRPr="00CA25CF" w:rsidRDefault="002C0FD9" w:rsidP="00CA25CF">
            <w:pPr>
              <w:rPr>
                <w:rFonts w:cs="Arial"/>
                <w:color w:val="FF0000"/>
                <w:sz w:val="21"/>
                <w:szCs w:val="21"/>
              </w:rPr>
            </w:pPr>
          </w:p>
        </w:tc>
        <w:tc>
          <w:tcPr>
            <w:tcW w:w="217" w:type="dxa"/>
          </w:tcPr>
          <w:p w14:paraId="41BF5E9A" w14:textId="77777777" w:rsidR="002C0FD9" w:rsidRPr="00CA25CF" w:rsidRDefault="002C0FD9" w:rsidP="00CA25CF">
            <w:pPr>
              <w:rPr>
                <w:rFonts w:cs="Arial"/>
                <w:color w:val="FF0000"/>
                <w:sz w:val="21"/>
                <w:szCs w:val="21"/>
              </w:rPr>
            </w:pPr>
          </w:p>
        </w:tc>
        <w:tc>
          <w:tcPr>
            <w:tcW w:w="217" w:type="dxa"/>
          </w:tcPr>
          <w:p w14:paraId="659D167B" w14:textId="77777777" w:rsidR="002C0FD9" w:rsidRPr="00CA25CF" w:rsidRDefault="002C0FD9" w:rsidP="00CA25CF">
            <w:pPr>
              <w:rPr>
                <w:rFonts w:cs="Arial"/>
                <w:color w:val="FF0000"/>
                <w:sz w:val="21"/>
                <w:szCs w:val="21"/>
              </w:rPr>
            </w:pPr>
          </w:p>
        </w:tc>
        <w:tc>
          <w:tcPr>
            <w:tcW w:w="217" w:type="dxa"/>
          </w:tcPr>
          <w:p w14:paraId="56745309" w14:textId="77777777" w:rsidR="002C0FD9" w:rsidRPr="00CA25CF" w:rsidRDefault="002C0FD9" w:rsidP="00CA25CF">
            <w:pPr>
              <w:rPr>
                <w:rFonts w:cs="Arial"/>
                <w:color w:val="FF0000"/>
                <w:sz w:val="21"/>
                <w:szCs w:val="21"/>
              </w:rPr>
            </w:pPr>
          </w:p>
        </w:tc>
        <w:tc>
          <w:tcPr>
            <w:tcW w:w="217" w:type="dxa"/>
          </w:tcPr>
          <w:p w14:paraId="47A25EC1" w14:textId="77777777" w:rsidR="002C0FD9" w:rsidRPr="00CA25CF" w:rsidRDefault="002C0FD9" w:rsidP="00CA25CF">
            <w:pPr>
              <w:rPr>
                <w:rFonts w:cs="Arial"/>
                <w:color w:val="FF0000"/>
                <w:sz w:val="21"/>
                <w:szCs w:val="21"/>
              </w:rPr>
            </w:pPr>
          </w:p>
        </w:tc>
        <w:tc>
          <w:tcPr>
            <w:tcW w:w="217" w:type="dxa"/>
          </w:tcPr>
          <w:p w14:paraId="3B19EDD3" w14:textId="77777777" w:rsidR="002C0FD9" w:rsidRPr="00CA25CF" w:rsidRDefault="002C0FD9" w:rsidP="00CA25CF">
            <w:pPr>
              <w:rPr>
                <w:rFonts w:cs="Arial"/>
                <w:color w:val="FF0000"/>
                <w:sz w:val="21"/>
                <w:szCs w:val="21"/>
              </w:rPr>
            </w:pPr>
          </w:p>
        </w:tc>
        <w:tc>
          <w:tcPr>
            <w:tcW w:w="217" w:type="dxa"/>
          </w:tcPr>
          <w:p w14:paraId="6CC59E14" w14:textId="77777777" w:rsidR="002C0FD9" w:rsidRPr="00CA25CF" w:rsidRDefault="002C0FD9" w:rsidP="00CA25CF">
            <w:pPr>
              <w:rPr>
                <w:rFonts w:cs="Arial"/>
                <w:color w:val="FF0000"/>
                <w:sz w:val="21"/>
                <w:szCs w:val="21"/>
              </w:rPr>
            </w:pPr>
          </w:p>
        </w:tc>
        <w:tc>
          <w:tcPr>
            <w:tcW w:w="217" w:type="dxa"/>
          </w:tcPr>
          <w:p w14:paraId="744E4AB7" w14:textId="77777777" w:rsidR="002C0FD9" w:rsidRPr="00CA25CF" w:rsidRDefault="002C0FD9" w:rsidP="00CA25CF">
            <w:pPr>
              <w:rPr>
                <w:rFonts w:cs="Arial"/>
                <w:color w:val="FF0000"/>
                <w:sz w:val="21"/>
                <w:szCs w:val="21"/>
              </w:rPr>
            </w:pPr>
          </w:p>
        </w:tc>
        <w:tc>
          <w:tcPr>
            <w:tcW w:w="217" w:type="dxa"/>
          </w:tcPr>
          <w:p w14:paraId="7A954C6F" w14:textId="77777777" w:rsidR="002C0FD9" w:rsidRPr="00CA25CF" w:rsidRDefault="002C0FD9" w:rsidP="00CA25CF">
            <w:pPr>
              <w:rPr>
                <w:rFonts w:cs="Arial"/>
                <w:color w:val="FF0000"/>
                <w:sz w:val="21"/>
                <w:szCs w:val="21"/>
              </w:rPr>
            </w:pPr>
          </w:p>
        </w:tc>
        <w:tc>
          <w:tcPr>
            <w:tcW w:w="217" w:type="dxa"/>
          </w:tcPr>
          <w:p w14:paraId="4CA22533" w14:textId="77777777" w:rsidR="002C0FD9" w:rsidRPr="00CA25CF" w:rsidRDefault="002C0FD9" w:rsidP="00CA25CF">
            <w:pPr>
              <w:rPr>
                <w:rFonts w:cs="Arial"/>
                <w:color w:val="FF0000"/>
                <w:sz w:val="21"/>
                <w:szCs w:val="21"/>
              </w:rPr>
            </w:pPr>
          </w:p>
        </w:tc>
        <w:tc>
          <w:tcPr>
            <w:tcW w:w="217" w:type="dxa"/>
          </w:tcPr>
          <w:p w14:paraId="0379FE82" w14:textId="77777777" w:rsidR="002C0FD9" w:rsidRPr="00CA25CF" w:rsidRDefault="002C0FD9" w:rsidP="00CA25CF">
            <w:pPr>
              <w:rPr>
                <w:rFonts w:cs="Arial"/>
                <w:color w:val="FF0000"/>
                <w:sz w:val="21"/>
                <w:szCs w:val="21"/>
              </w:rPr>
            </w:pPr>
          </w:p>
        </w:tc>
        <w:tc>
          <w:tcPr>
            <w:tcW w:w="217" w:type="dxa"/>
          </w:tcPr>
          <w:p w14:paraId="7A2560B1" w14:textId="77777777" w:rsidR="002C0FD9" w:rsidRPr="00CA25CF" w:rsidRDefault="002C0FD9" w:rsidP="00CA25CF">
            <w:pPr>
              <w:rPr>
                <w:rFonts w:cs="Arial"/>
                <w:color w:val="FF0000"/>
                <w:sz w:val="21"/>
                <w:szCs w:val="21"/>
              </w:rPr>
            </w:pPr>
          </w:p>
        </w:tc>
        <w:tc>
          <w:tcPr>
            <w:tcW w:w="217" w:type="dxa"/>
          </w:tcPr>
          <w:p w14:paraId="06FB7199" w14:textId="77777777" w:rsidR="002C0FD9" w:rsidRPr="00CA25CF" w:rsidRDefault="002C0FD9" w:rsidP="00CA25CF">
            <w:pPr>
              <w:rPr>
                <w:rFonts w:cs="Arial"/>
                <w:color w:val="FF0000"/>
                <w:sz w:val="21"/>
                <w:szCs w:val="21"/>
              </w:rPr>
            </w:pPr>
          </w:p>
        </w:tc>
        <w:tc>
          <w:tcPr>
            <w:tcW w:w="217" w:type="dxa"/>
          </w:tcPr>
          <w:p w14:paraId="7741A177" w14:textId="77777777" w:rsidR="002C0FD9" w:rsidRPr="00CA25CF" w:rsidRDefault="002C0FD9" w:rsidP="00CA25CF">
            <w:pPr>
              <w:rPr>
                <w:rFonts w:cs="Arial"/>
                <w:color w:val="FF0000"/>
                <w:sz w:val="21"/>
                <w:szCs w:val="21"/>
              </w:rPr>
            </w:pPr>
          </w:p>
        </w:tc>
        <w:tc>
          <w:tcPr>
            <w:tcW w:w="217" w:type="dxa"/>
          </w:tcPr>
          <w:p w14:paraId="2BDC5CD9" w14:textId="77777777" w:rsidR="002C0FD9" w:rsidRPr="00CA25CF" w:rsidRDefault="002C0FD9" w:rsidP="00CA25CF">
            <w:pPr>
              <w:rPr>
                <w:rFonts w:cs="Arial"/>
                <w:color w:val="FF0000"/>
                <w:sz w:val="21"/>
                <w:szCs w:val="21"/>
              </w:rPr>
            </w:pPr>
          </w:p>
        </w:tc>
        <w:tc>
          <w:tcPr>
            <w:tcW w:w="217" w:type="dxa"/>
          </w:tcPr>
          <w:p w14:paraId="3FE2CC05" w14:textId="77777777" w:rsidR="002C0FD9" w:rsidRPr="00CA25CF" w:rsidRDefault="002C0FD9" w:rsidP="00CA25CF">
            <w:pPr>
              <w:rPr>
                <w:rFonts w:cs="Arial"/>
                <w:color w:val="FF0000"/>
                <w:sz w:val="21"/>
                <w:szCs w:val="21"/>
              </w:rPr>
            </w:pPr>
          </w:p>
        </w:tc>
        <w:tc>
          <w:tcPr>
            <w:tcW w:w="217" w:type="dxa"/>
          </w:tcPr>
          <w:p w14:paraId="7AB9B7D3" w14:textId="77777777" w:rsidR="002C0FD9" w:rsidRPr="00CA25CF" w:rsidRDefault="002C0FD9" w:rsidP="00CA25CF">
            <w:pPr>
              <w:rPr>
                <w:rFonts w:cs="Arial"/>
                <w:color w:val="FF0000"/>
                <w:sz w:val="21"/>
                <w:szCs w:val="21"/>
              </w:rPr>
            </w:pPr>
          </w:p>
        </w:tc>
        <w:tc>
          <w:tcPr>
            <w:tcW w:w="217" w:type="dxa"/>
          </w:tcPr>
          <w:p w14:paraId="41CE1BF4" w14:textId="77777777" w:rsidR="002C0FD9" w:rsidRPr="00CA25CF" w:rsidRDefault="002C0FD9" w:rsidP="00CA25CF">
            <w:pPr>
              <w:rPr>
                <w:rFonts w:cs="Arial"/>
                <w:color w:val="FF0000"/>
                <w:sz w:val="21"/>
                <w:szCs w:val="21"/>
              </w:rPr>
            </w:pPr>
          </w:p>
        </w:tc>
        <w:tc>
          <w:tcPr>
            <w:tcW w:w="217" w:type="dxa"/>
          </w:tcPr>
          <w:p w14:paraId="1B1334B0" w14:textId="77777777" w:rsidR="002C0FD9" w:rsidRPr="00CA25CF" w:rsidRDefault="002C0FD9" w:rsidP="00CA25CF">
            <w:pPr>
              <w:rPr>
                <w:rFonts w:cs="Arial"/>
                <w:color w:val="FF0000"/>
                <w:sz w:val="21"/>
                <w:szCs w:val="21"/>
              </w:rPr>
            </w:pPr>
          </w:p>
        </w:tc>
        <w:tc>
          <w:tcPr>
            <w:tcW w:w="217" w:type="dxa"/>
          </w:tcPr>
          <w:p w14:paraId="4AD8FDA2" w14:textId="77777777" w:rsidR="002C0FD9" w:rsidRPr="00CA25CF" w:rsidRDefault="002C0FD9" w:rsidP="00CA25CF">
            <w:pPr>
              <w:rPr>
                <w:rFonts w:cs="Arial"/>
                <w:color w:val="FF0000"/>
                <w:sz w:val="21"/>
                <w:szCs w:val="21"/>
              </w:rPr>
            </w:pPr>
          </w:p>
        </w:tc>
        <w:tc>
          <w:tcPr>
            <w:tcW w:w="217" w:type="dxa"/>
          </w:tcPr>
          <w:p w14:paraId="01870473" w14:textId="77777777" w:rsidR="002C0FD9" w:rsidRPr="00CA25CF" w:rsidRDefault="002C0FD9" w:rsidP="00CA25CF">
            <w:pPr>
              <w:rPr>
                <w:rFonts w:cs="Arial"/>
                <w:color w:val="FF0000"/>
                <w:sz w:val="21"/>
                <w:szCs w:val="21"/>
              </w:rPr>
            </w:pPr>
          </w:p>
        </w:tc>
        <w:tc>
          <w:tcPr>
            <w:tcW w:w="217" w:type="dxa"/>
          </w:tcPr>
          <w:p w14:paraId="33C26607" w14:textId="77777777" w:rsidR="002C0FD9" w:rsidRPr="00CA25CF" w:rsidRDefault="002C0FD9" w:rsidP="00CA25CF">
            <w:pPr>
              <w:rPr>
                <w:rFonts w:cs="Arial"/>
                <w:color w:val="FF0000"/>
                <w:sz w:val="21"/>
                <w:szCs w:val="21"/>
              </w:rPr>
            </w:pPr>
          </w:p>
        </w:tc>
        <w:tc>
          <w:tcPr>
            <w:tcW w:w="217" w:type="dxa"/>
          </w:tcPr>
          <w:p w14:paraId="43D0E180" w14:textId="77777777" w:rsidR="002C0FD9" w:rsidRPr="00CA25CF" w:rsidRDefault="002C0FD9" w:rsidP="00CA25CF">
            <w:pPr>
              <w:rPr>
                <w:rFonts w:cs="Arial"/>
                <w:color w:val="FF0000"/>
                <w:sz w:val="21"/>
                <w:szCs w:val="21"/>
              </w:rPr>
            </w:pPr>
          </w:p>
        </w:tc>
        <w:tc>
          <w:tcPr>
            <w:tcW w:w="217" w:type="dxa"/>
          </w:tcPr>
          <w:p w14:paraId="3F67D15E" w14:textId="77777777" w:rsidR="002C0FD9" w:rsidRPr="00CA25CF" w:rsidRDefault="002C0FD9" w:rsidP="00CA25CF">
            <w:pPr>
              <w:rPr>
                <w:rFonts w:cs="Arial"/>
                <w:color w:val="FF0000"/>
                <w:sz w:val="21"/>
                <w:szCs w:val="21"/>
              </w:rPr>
            </w:pPr>
          </w:p>
        </w:tc>
        <w:tc>
          <w:tcPr>
            <w:tcW w:w="217" w:type="dxa"/>
          </w:tcPr>
          <w:p w14:paraId="0CD7C790" w14:textId="77777777" w:rsidR="002C0FD9" w:rsidRPr="00CA25CF" w:rsidRDefault="002C0FD9" w:rsidP="00CA25CF">
            <w:pPr>
              <w:rPr>
                <w:rFonts w:cs="Arial"/>
                <w:color w:val="FF0000"/>
                <w:sz w:val="21"/>
                <w:szCs w:val="21"/>
              </w:rPr>
            </w:pPr>
          </w:p>
        </w:tc>
        <w:tc>
          <w:tcPr>
            <w:tcW w:w="217" w:type="dxa"/>
          </w:tcPr>
          <w:p w14:paraId="4D0F8C92" w14:textId="77777777" w:rsidR="002C0FD9" w:rsidRPr="00CA25CF" w:rsidRDefault="002C0FD9" w:rsidP="00CA25CF">
            <w:pPr>
              <w:rPr>
                <w:rFonts w:cs="Arial"/>
                <w:color w:val="FF0000"/>
                <w:sz w:val="21"/>
                <w:szCs w:val="21"/>
              </w:rPr>
            </w:pPr>
          </w:p>
        </w:tc>
        <w:tc>
          <w:tcPr>
            <w:tcW w:w="217" w:type="dxa"/>
          </w:tcPr>
          <w:p w14:paraId="68908BC9" w14:textId="77777777" w:rsidR="002C0FD9" w:rsidRPr="00CA25CF" w:rsidRDefault="002C0FD9" w:rsidP="00CA25CF">
            <w:pPr>
              <w:rPr>
                <w:rFonts w:cs="Arial"/>
                <w:color w:val="FF0000"/>
                <w:sz w:val="21"/>
                <w:szCs w:val="21"/>
              </w:rPr>
            </w:pPr>
          </w:p>
        </w:tc>
        <w:tc>
          <w:tcPr>
            <w:tcW w:w="217" w:type="dxa"/>
          </w:tcPr>
          <w:p w14:paraId="0C4F9A8E" w14:textId="77777777" w:rsidR="002C0FD9" w:rsidRPr="00CA25CF" w:rsidRDefault="002C0FD9" w:rsidP="00CA25CF">
            <w:pPr>
              <w:rPr>
                <w:rFonts w:cs="Arial"/>
                <w:color w:val="FF0000"/>
                <w:sz w:val="21"/>
                <w:szCs w:val="21"/>
              </w:rPr>
            </w:pPr>
          </w:p>
        </w:tc>
        <w:tc>
          <w:tcPr>
            <w:tcW w:w="217" w:type="dxa"/>
          </w:tcPr>
          <w:p w14:paraId="64E8E8B7" w14:textId="77777777" w:rsidR="002C0FD9" w:rsidRPr="00CA25CF" w:rsidRDefault="002C0FD9" w:rsidP="00CA25CF">
            <w:pPr>
              <w:rPr>
                <w:rFonts w:cs="Arial"/>
                <w:color w:val="FF0000"/>
                <w:sz w:val="21"/>
                <w:szCs w:val="21"/>
              </w:rPr>
            </w:pPr>
          </w:p>
        </w:tc>
        <w:tc>
          <w:tcPr>
            <w:tcW w:w="217" w:type="dxa"/>
          </w:tcPr>
          <w:p w14:paraId="563497FC" w14:textId="77777777" w:rsidR="002C0FD9" w:rsidRPr="00CA25CF" w:rsidRDefault="002C0FD9" w:rsidP="00CA25CF">
            <w:pPr>
              <w:rPr>
                <w:rFonts w:cs="Arial"/>
                <w:color w:val="FF0000"/>
                <w:sz w:val="21"/>
                <w:szCs w:val="21"/>
              </w:rPr>
            </w:pPr>
          </w:p>
        </w:tc>
        <w:tc>
          <w:tcPr>
            <w:tcW w:w="217" w:type="dxa"/>
          </w:tcPr>
          <w:p w14:paraId="3AB780C7" w14:textId="77777777" w:rsidR="002C0FD9" w:rsidRPr="00CA25CF" w:rsidRDefault="002C0FD9" w:rsidP="00CA25CF">
            <w:pPr>
              <w:rPr>
                <w:rFonts w:cs="Arial"/>
                <w:color w:val="FF0000"/>
                <w:sz w:val="21"/>
                <w:szCs w:val="21"/>
              </w:rPr>
            </w:pPr>
          </w:p>
        </w:tc>
        <w:tc>
          <w:tcPr>
            <w:tcW w:w="217" w:type="dxa"/>
          </w:tcPr>
          <w:p w14:paraId="2CD43127" w14:textId="77777777" w:rsidR="002C0FD9" w:rsidRPr="00CA25CF" w:rsidRDefault="002C0FD9" w:rsidP="00CA25CF">
            <w:pPr>
              <w:rPr>
                <w:rFonts w:cs="Arial"/>
                <w:color w:val="FF0000"/>
                <w:sz w:val="21"/>
                <w:szCs w:val="21"/>
              </w:rPr>
            </w:pPr>
          </w:p>
        </w:tc>
        <w:tc>
          <w:tcPr>
            <w:tcW w:w="217" w:type="dxa"/>
          </w:tcPr>
          <w:p w14:paraId="636E7D5B" w14:textId="77777777" w:rsidR="002C0FD9" w:rsidRPr="00CA25CF" w:rsidRDefault="002C0FD9" w:rsidP="00CA25CF">
            <w:pPr>
              <w:rPr>
                <w:rFonts w:cs="Arial"/>
                <w:color w:val="FF0000"/>
                <w:sz w:val="21"/>
                <w:szCs w:val="21"/>
              </w:rPr>
            </w:pPr>
          </w:p>
        </w:tc>
        <w:tc>
          <w:tcPr>
            <w:tcW w:w="217" w:type="dxa"/>
          </w:tcPr>
          <w:p w14:paraId="20CC043F" w14:textId="77777777" w:rsidR="002C0FD9" w:rsidRPr="00CA25CF" w:rsidRDefault="002C0FD9" w:rsidP="00CA25CF">
            <w:pPr>
              <w:rPr>
                <w:rFonts w:cs="Arial"/>
                <w:color w:val="FF0000"/>
                <w:sz w:val="21"/>
                <w:szCs w:val="21"/>
              </w:rPr>
            </w:pPr>
          </w:p>
        </w:tc>
        <w:tc>
          <w:tcPr>
            <w:tcW w:w="217" w:type="dxa"/>
          </w:tcPr>
          <w:p w14:paraId="4DCBA5D9" w14:textId="77777777" w:rsidR="002C0FD9" w:rsidRPr="00CA25CF" w:rsidRDefault="002C0FD9" w:rsidP="00CA25CF">
            <w:pPr>
              <w:rPr>
                <w:rFonts w:cs="Arial"/>
                <w:color w:val="FF0000"/>
                <w:sz w:val="21"/>
                <w:szCs w:val="21"/>
              </w:rPr>
            </w:pPr>
          </w:p>
        </w:tc>
        <w:tc>
          <w:tcPr>
            <w:tcW w:w="217" w:type="dxa"/>
          </w:tcPr>
          <w:p w14:paraId="18A6622E" w14:textId="77777777" w:rsidR="002C0FD9" w:rsidRPr="00CA25CF" w:rsidRDefault="002C0FD9" w:rsidP="00CA25CF">
            <w:pPr>
              <w:rPr>
                <w:rFonts w:cs="Arial"/>
                <w:color w:val="FF0000"/>
                <w:sz w:val="21"/>
                <w:szCs w:val="21"/>
              </w:rPr>
            </w:pPr>
          </w:p>
        </w:tc>
        <w:tc>
          <w:tcPr>
            <w:tcW w:w="217" w:type="dxa"/>
          </w:tcPr>
          <w:p w14:paraId="42114B37" w14:textId="77777777" w:rsidR="002C0FD9" w:rsidRPr="00CA25CF" w:rsidRDefault="002C0FD9" w:rsidP="00CA25CF">
            <w:pPr>
              <w:rPr>
                <w:rFonts w:cs="Arial"/>
                <w:color w:val="FF0000"/>
                <w:sz w:val="21"/>
                <w:szCs w:val="21"/>
              </w:rPr>
            </w:pPr>
          </w:p>
        </w:tc>
        <w:tc>
          <w:tcPr>
            <w:tcW w:w="217" w:type="dxa"/>
          </w:tcPr>
          <w:p w14:paraId="2C7F41EB" w14:textId="77777777" w:rsidR="002C0FD9" w:rsidRPr="00CA25CF" w:rsidRDefault="002C0FD9" w:rsidP="00CA25CF">
            <w:pPr>
              <w:rPr>
                <w:rFonts w:cs="Arial"/>
                <w:color w:val="FF0000"/>
                <w:sz w:val="21"/>
                <w:szCs w:val="21"/>
              </w:rPr>
            </w:pPr>
          </w:p>
        </w:tc>
        <w:tc>
          <w:tcPr>
            <w:tcW w:w="217" w:type="dxa"/>
          </w:tcPr>
          <w:p w14:paraId="29108C0B" w14:textId="77777777" w:rsidR="002C0FD9" w:rsidRPr="00CA25CF" w:rsidRDefault="002C0FD9" w:rsidP="00CA25CF">
            <w:pPr>
              <w:rPr>
                <w:rFonts w:cs="Arial"/>
                <w:color w:val="FF0000"/>
                <w:sz w:val="21"/>
                <w:szCs w:val="21"/>
              </w:rPr>
            </w:pPr>
          </w:p>
        </w:tc>
        <w:tc>
          <w:tcPr>
            <w:tcW w:w="217" w:type="dxa"/>
          </w:tcPr>
          <w:p w14:paraId="7AD95A42" w14:textId="77777777" w:rsidR="002C0FD9" w:rsidRPr="00CA25CF" w:rsidRDefault="002C0FD9" w:rsidP="00CA25CF">
            <w:pPr>
              <w:rPr>
                <w:rFonts w:cs="Arial"/>
                <w:color w:val="FF0000"/>
                <w:sz w:val="21"/>
                <w:szCs w:val="21"/>
              </w:rPr>
            </w:pPr>
          </w:p>
        </w:tc>
        <w:tc>
          <w:tcPr>
            <w:tcW w:w="217" w:type="dxa"/>
          </w:tcPr>
          <w:p w14:paraId="7F689520" w14:textId="77777777" w:rsidR="002C0FD9" w:rsidRPr="00CA25CF" w:rsidRDefault="002C0FD9" w:rsidP="00CA25CF">
            <w:pPr>
              <w:rPr>
                <w:rFonts w:cs="Arial"/>
                <w:color w:val="FF0000"/>
                <w:sz w:val="21"/>
                <w:szCs w:val="21"/>
              </w:rPr>
            </w:pPr>
          </w:p>
        </w:tc>
        <w:tc>
          <w:tcPr>
            <w:tcW w:w="217" w:type="dxa"/>
          </w:tcPr>
          <w:p w14:paraId="6A2DF644" w14:textId="77777777" w:rsidR="002C0FD9" w:rsidRPr="00CA25CF" w:rsidRDefault="002C0FD9" w:rsidP="00CA25CF">
            <w:pPr>
              <w:rPr>
                <w:rFonts w:cs="Arial"/>
                <w:color w:val="FF0000"/>
                <w:sz w:val="21"/>
                <w:szCs w:val="21"/>
              </w:rPr>
            </w:pPr>
          </w:p>
        </w:tc>
        <w:tc>
          <w:tcPr>
            <w:tcW w:w="217" w:type="dxa"/>
          </w:tcPr>
          <w:p w14:paraId="004D8279" w14:textId="77777777" w:rsidR="002C0FD9" w:rsidRPr="00CA25CF" w:rsidRDefault="002C0FD9" w:rsidP="00CA25CF">
            <w:pPr>
              <w:rPr>
                <w:rFonts w:cs="Arial"/>
                <w:color w:val="FF0000"/>
                <w:sz w:val="21"/>
                <w:szCs w:val="21"/>
              </w:rPr>
            </w:pPr>
          </w:p>
        </w:tc>
      </w:tr>
      <w:tr w:rsidR="002C0FD9" w:rsidRPr="00A16219" w14:paraId="383CDF48" w14:textId="77777777" w:rsidTr="002C0FD9">
        <w:trPr>
          <w:trHeight w:val="635"/>
        </w:trPr>
        <w:tc>
          <w:tcPr>
            <w:tcW w:w="515" w:type="dxa"/>
          </w:tcPr>
          <w:p w14:paraId="7AAA5F2E" w14:textId="77777777" w:rsidR="002C0FD9" w:rsidRPr="00CA25CF" w:rsidRDefault="002C0FD9" w:rsidP="00CA25CF">
            <w:pPr>
              <w:rPr>
                <w:rFonts w:cs="Arial"/>
                <w:color w:val="FF0000"/>
                <w:sz w:val="21"/>
                <w:szCs w:val="21"/>
              </w:rPr>
            </w:pPr>
          </w:p>
        </w:tc>
        <w:tc>
          <w:tcPr>
            <w:tcW w:w="217" w:type="dxa"/>
          </w:tcPr>
          <w:p w14:paraId="751252DB" w14:textId="77777777" w:rsidR="002C0FD9" w:rsidRPr="00CA25CF" w:rsidRDefault="002C0FD9" w:rsidP="00CA25CF">
            <w:pPr>
              <w:rPr>
                <w:rFonts w:cs="Arial"/>
                <w:color w:val="FF0000"/>
                <w:sz w:val="21"/>
                <w:szCs w:val="21"/>
              </w:rPr>
            </w:pPr>
          </w:p>
        </w:tc>
        <w:tc>
          <w:tcPr>
            <w:tcW w:w="217" w:type="dxa"/>
          </w:tcPr>
          <w:p w14:paraId="5B019205" w14:textId="77777777" w:rsidR="002C0FD9" w:rsidRPr="00CA25CF" w:rsidRDefault="002C0FD9" w:rsidP="00CA25CF">
            <w:pPr>
              <w:rPr>
                <w:rFonts w:cs="Arial"/>
                <w:color w:val="FF0000"/>
                <w:sz w:val="21"/>
                <w:szCs w:val="21"/>
              </w:rPr>
            </w:pPr>
          </w:p>
        </w:tc>
        <w:tc>
          <w:tcPr>
            <w:tcW w:w="217" w:type="dxa"/>
          </w:tcPr>
          <w:p w14:paraId="664BAA66" w14:textId="77777777" w:rsidR="002C0FD9" w:rsidRPr="00CA25CF" w:rsidRDefault="002C0FD9" w:rsidP="00CA25CF">
            <w:pPr>
              <w:rPr>
                <w:rFonts w:cs="Arial"/>
                <w:color w:val="FF0000"/>
                <w:sz w:val="21"/>
                <w:szCs w:val="21"/>
              </w:rPr>
            </w:pPr>
          </w:p>
        </w:tc>
        <w:tc>
          <w:tcPr>
            <w:tcW w:w="217" w:type="dxa"/>
          </w:tcPr>
          <w:p w14:paraId="7FD4EA0F" w14:textId="77777777" w:rsidR="002C0FD9" w:rsidRPr="00CA25CF" w:rsidRDefault="002C0FD9" w:rsidP="00CA25CF">
            <w:pPr>
              <w:rPr>
                <w:rFonts w:cs="Arial"/>
                <w:color w:val="FF0000"/>
                <w:sz w:val="21"/>
                <w:szCs w:val="21"/>
              </w:rPr>
            </w:pPr>
          </w:p>
        </w:tc>
        <w:tc>
          <w:tcPr>
            <w:tcW w:w="217" w:type="dxa"/>
          </w:tcPr>
          <w:p w14:paraId="26244DF1" w14:textId="77777777" w:rsidR="002C0FD9" w:rsidRPr="00CA25CF" w:rsidRDefault="002C0FD9" w:rsidP="00CA25CF">
            <w:pPr>
              <w:rPr>
                <w:rFonts w:cs="Arial"/>
                <w:color w:val="FF0000"/>
                <w:sz w:val="21"/>
                <w:szCs w:val="21"/>
              </w:rPr>
            </w:pPr>
          </w:p>
        </w:tc>
        <w:tc>
          <w:tcPr>
            <w:tcW w:w="217" w:type="dxa"/>
          </w:tcPr>
          <w:p w14:paraId="59CEE034" w14:textId="77777777" w:rsidR="002C0FD9" w:rsidRPr="00CA25CF" w:rsidRDefault="002C0FD9" w:rsidP="00CA25CF">
            <w:pPr>
              <w:rPr>
                <w:rFonts w:cs="Arial"/>
                <w:color w:val="FF0000"/>
                <w:sz w:val="21"/>
                <w:szCs w:val="21"/>
              </w:rPr>
            </w:pPr>
          </w:p>
        </w:tc>
        <w:tc>
          <w:tcPr>
            <w:tcW w:w="217" w:type="dxa"/>
          </w:tcPr>
          <w:p w14:paraId="707C19EF" w14:textId="77777777" w:rsidR="002C0FD9" w:rsidRPr="00CA25CF" w:rsidRDefault="002C0FD9" w:rsidP="00CA25CF">
            <w:pPr>
              <w:rPr>
                <w:rFonts w:cs="Arial"/>
                <w:color w:val="FF0000"/>
                <w:sz w:val="21"/>
                <w:szCs w:val="21"/>
              </w:rPr>
            </w:pPr>
          </w:p>
        </w:tc>
        <w:tc>
          <w:tcPr>
            <w:tcW w:w="217" w:type="dxa"/>
          </w:tcPr>
          <w:p w14:paraId="63FBC701" w14:textId="77777777" w:rsidR="002C0FD9" w:rsidRPr="00CA25CF" w:rsidRDefault="002C0FD9" w:rsidP="00CA25CF">
            <w:pPr>
              <w:rPr>
                <w:rFonts w:cs="Arial"/>
                <w:color w:val="FF0000"/>
                <w:sz w:val="21"/>
                <w:szCs w:val="21"/>
              </w:rPr>
            </w:pPr>
          </w:p>
        </w:tc>
        <w:tc>
          <w:tcPr>
            <w:tcW w:w="217" w:type="dxa"/>
          </w:tcPr>
          <w:p w14:paraId="4D0E61D5" w14:textId="77777777" w:rsidR="002C0FD9" w:rsidRPr="00CA25CF" w:rsidRDefault="002C0FD9" w:rsidP="00CA25CF">
            <w:pPr>
              <w:rPr>
                <w:rFonts w:cs="Arial"/>
                <w:color w:val="FF0000"/>
                <w:sz w:val="21"/>
                <w:szCs w:val="21"/>
              </w:rPr>
            </w:pPr>
          </w:p>
        </w:tc>
        <w:tc>
          <w:tcPr>
            <w:tcW w:w="217" w:type="dxa"/>
          </w:tcPr>
          <w:p w14:paraId="3BCBF482" w14:textId="77777777" w:rsidR="002C0FD9" w:rsidRPr="00CA25CF" w:rsidRDefault="002C0FD9" w:rsidP="00CA25CF">
            <w:pPr>
              <w:rPr>
                <w:rFonts w:cs="Arial"/>
                <w:color w:val="FF0000"/>
                <w:sz w:val="21"/>
                <w:szCs w:val="21"/>
              </w:rPr>
            </w:pPr>
          </w:p>
        </w:tc>
        <w:tc>
          <w:tcPr>
            <w:tcW w:w="217" w:type="dxa"/>
          </w:tcPr>
          <w:p w14:paraId="1A6FE7AF" w14:textId="77777777" w:rsidR="002C0FD9" w:rsidRPr="00CA25CF" w:rsidRDefault="002C0FD9" w:rsidP="00CA25CF">
            <w:pPr>
              <w:rPr>
                <w:rFonts w:cs="Arial"/>
                <w:color w:val="FF0000"/>
                <w:sz w:val="21"/>
                <w:szCs w:val="21"/>
              </w:rPr>
            </w:pPr>
          </w:p>
        </w:tc>
        <w:tc>
          <w:tcPr>
            <w:tcW w:w="217" w:type="dxa"/>
          </w:tcPr>
          <w:p w14:paraId="5217F0DA" w14:textId="77777777" w:rsidR="002C0FD9" w:rsidRPr="00CA25CF" w:rsidRDefault="002C0FD9" w:rsidP="00CA25CF">
            <w:pPr>
              <w:rPr>
                <w:rFonts w:cs="Arial"/>
                <w:color w:val="FF0000"/>
                <w:sz w:val="21"/>
                <w:szCs w:val="21"/>
              </w:rPr>
            </w:pPr>
          </w:p>
        </w:tc>
        <w:tc>
          <w:tcPr>
            <w:tcW w:w="217" w:type="dxa"/>
          </w:tcPr>
          <w:p w14:paraId="7B7FB196" w14:textId="77777777" w:rsidR="002C0FD9" w:rsidRPr="00CA25CF" w:rsidRDefault="002C0FD9" w:rsidP="00CA25CF">
            <w:pPr>
              <w:rPr>
                <w:rFonts w:cs="Arial"/>
                <w:color w:val="FF0000"/>
                <w:sz w:val="21"/>
                <w:szCs w:val="21"/>
              </w:rPr>
            </w:pPr>
          </w:p>
        </w:tc>
        <w:tc>
          <w:tcPr>
            <w:tcW w:w="217" w:type="dxa"/>
          </w:tcPr>
          <w:p w14:paraId="6CCCB1E3" w14:textId="77777777" w:rsidR="002C0FD9" w:rsidRPr="00CA25CF" w:rsidRDefault="002C0FD9" w:rsidP="00CA25CF">
            <w:pPr>
              <w:rPr>
                <w:rFonts w:cs="Arial"/>
                <w:color w:val="FF0000"/>
                <w:sz w:val="21"/>
                <w:szCs w:val="21"/>
              </w:rPr>
            </w:pPr>
          </w:p>
        </w:tc>
        <w:tc>
          <w:tcPr>
            <w:tcW w:w="217" w:type="dxa"/>
          </w:tcPr>
          <w:p w14:paraId="03D14EF9" w14:textId="77777777" w:rsidR="002C0FD9" w:rsidRPr="00CA25CF" w:rsidRDefault="002C0FD9" w:rsidP="00CA25CF">
            <w:pPr>
              <w:rPr>
                <w:rFonts w:cs="Arial"/>
                <w:color w:val="FF0000"/>
                <w:sz w:val="21"/>
                <w:szCs w:val="21"/>
              </w:rPr>
            </w:pPr>
          </w:p>
        </w:tc>
        <w:tc>
          <w:tcPr>
            <w:tcW w:w="217" w:type="dxa"/>
          </w:tcPr>
          <w:p w14:paraId="0FCF6387" w14:textId="77777777" w:rsidR="002C0FD9" w:rsidRPr="00CA25CF" w:rsidRDefault="002C0FD9" w:rsidP="00CA25CF">
            <w:pPr>
              <w:rPr>
                <w:rFonts w:cs="Arial"/>
                <w:color w:val="FF0000"/>
                <w:sz w:val="21"/>
                <w:szCs w:val="21"/>
              </w:rPr>
            </w:pPr>
          </w:p>
        </w:tc>
        <w:tc>
          <w:tcPr>
            <w:tcW w:w="217" w:type="dxa"/>
          </w:tcPr>
          <w:p w14:paraId="2229E6F2" w14:textId="77777777" w:rsidR="002C0FD9" w:rsidRPr="00CA25CF" w:rsidRDefault="002C0FD9" w:rsidP="00CA25CF">
            <w:pPr>
              <w:rPr>
                <w:rFonts w:cs="Arial"/>
                <w:color w:val="FF0000"/>
                <w:sz w:val="21"/>
                <w:szCs w:val="21"/>
              </w:rPr>
            </w:pPr>
          </w:p>
        </w:tc>
        <w:tc>
          <w:tcPr>
            <w:tcW w:w="217" w:type="dxa"/>
          </w:tcPr>
          <w:p w14:paraId="3C8D8E88" w14:textId="77777777" w:rsidR="002C0FD9" w:rsidRPr="00CA25CF" w:rsidRDefault="002C0FD9" w:rsidP="00CA25CF">
            <w:pPr>
              <w:rPr>
                <w:rFonts w:cs="Arial"/>
                <w:color w:val="FF0000"/>
                <w:sz w:val="21"/>
                <w:szCs w:val="21"/>
              </w:rPr>
            </w:pPr>
          </w:p>
        </w:tc>
        <w:tc>
          <w:tcPr>
            <w:tcW w:w="217" w:type="dxa"/>
          </w:tcPr>
          <w:p w14:paraId="1DA1CF3A" w14:textId="77777777" w:rsidR="002C0FD9" w:rsidRPr="00CA25CF" w:rsidRDefault="002C0FD9" w:rsidP="00CA25CF">
            <w:pPr>
              <w:rPr>
                <w:rFonts w:cs="Arial"/>
                <w:color w:val="FF0000"/>
                <w:sz w:val="21"/>
                <w:szCs w:val="21"/>
              </w:rPr>
            </w:pPr>
          </w:p>
        </w:tc>
        <w:tc>
          <w:tcPr>
            <w:tcW w:w="217" w:type="dxa"/>
          </w:tcPr>
          <w:p w14:paraId="6397930C" w14:textId="77777777" w:rsidR="002C0FD9" w:rsidRPr="00CA25CF" w:rsidRDefault="002C0FD9" w:rsidP="00CA25CF">
            <w:pPr>
              <w:rPr>
                <w:rFonts w:cs="Arial"/>
                <w:color w:val="FF0000"/>
                <w:sz w:val="21"/>
                <w:szCs w:val="21"/>
              </w:rPr>
            </w:pPr>
          </w:p>
        </w:tc>
        <w:tc>
          <w:tcPr>
            <w:tcW w:w="217" w:type="dxa"/>
          </w:tcPr>
          <w:p w14:paraId="48F12F4A" w14:textId="77777777" w:rsidR="002C0FD9" w:rsidRPr="00CA25CF" w:rsidRDefault="002C0FD9" w:rsidP="00CA25CF">
            <w:pPr>
              <w:rPr>
                <w:rFonts w:cs="Arial"/>
                <w:color w:val="FF0000"/>
                <w:sz w:val="21"/>
                <w:szCs w:val="21"/>
              </w:rPr>
            </w:pPr>
          </w:p>
        </w:tc>
        <w:tc>
          <w:tcPr>
            <w:tcW w:w="217" w:type="dxa"/>
          </w:tcPr>
          <w:p w14:paraId="67B0145B" w14:textId="77777777" w:rsidR="002C0FD9" w:rsidRPr="00CA25CF" w:rsidRDefault="002C0FD9" w:rsidP="00CA25CF">
            <w:pPr>
              <w:rPr>
                <w:rFonts w:cs="Arial"/>
                <w:color w:val="FF0000"/>
                <w:sz w:val="21"/>
                <w:szCs w:val="21"/>
              </w:rPr>
            </w:pPr>
          </w:p>
        </w:tc>
        <w:tc>
          <w:tcPr>
            <w:tcW w:w="217" w:type="dxa"/>
          </w:tcPr>
          <w:p w14:paraId="6909C52B" w14:textId="77777777" w:rsidR="002C0FD9" w:rsidRPr="00CA25CF" w:rsidRDefault="002C0FD9" w:rsidP="00CA25CF">
            <w:pPr>
              <w:rPr>
                <w:rFonts w:cs="Arial"/>
                <w:color w:val="FF0000"/>
                <w:sz w:val="21"/>
                <w:szCs w:val="21"/>
              </w:rPr>
            </w:pPr>
          </w:p>
        </w:tc>
        <w:tc>
          <w:tcPr>
            <w:tcW w:w="217" w:type="dxa"/>
          </w:tcPr>
          <w:p w14:paraId="36DDE1DB" w14:textId="77777777" w:rsidR="002C0FD9" w:rsidRPr="00CA25CF" w:rsidRDefault="002C0FD9" w:rsidP="00CA25CF">
            <w:pPr>
              <w:rPr>
                <w:rFonts w:cs="Arial"/>
                <w:color w:val="FF0000"/>
                <w:sz w:val="21"/>
                <w:szCs w:val="21"/>
              </w:rPr>
            </w:pPr>
          </w:p>
        </w:tc>
        <w:tc>
          <w:tcPr>
            <w:tcW w:w="217" w:type="dxa"/>
          </w:tcPr>
          <w:p w14:paraId="792E6339" w14:textId="77777777" w:rsidR="002C0FD9" w:rsidRPr="00CA25CF" w:rsidRDefault="002C0FD9" w:rsidP="00CA25CF">
            <w:pPr>
              <w:rPr>
                <w:rFonts w:cs="Arial"/>
                <w:color w:val="FF0000"/>
                <w:sz w:val="21"/>
                <w:szCs w:val="21"/>
              </w:rPr>
            </w:pPr>
          </w:p>
        </w:tc>
        <w:tc>
          <w:tcPr>
            <w:tcW w:w="217" w:type="dxa"/>
          </w:tcPr>
          <w:p w14:paraId="03A18BA7" w14:textId="77777777" w:rsidR="002C0FD9" w:rsidRPr="00CA25CF" w:rsidRDefault="002C0FD9" w:rsidP="00CA25CF">
            <w:pPr>
              <w:rPr>
                <w:rFonts w:cs="Arial"/>
                <w:color w:val="FF0000"/>
                <w:sz w:val="21"/>
                <w:szCs w:val="21"/>
              </w:rPr>
            </w:pPr>
          </w:p>
        </w:tc>
        <w:tc>
          <w:tcPr>
            <w:tcW w:w="217" w:type="dxa"/>
          </w:tcPr>
          <w:p w14:paraId="67774894" w14:textId="77777777" w:rsidR="002C0FD9" w:rsidRPr="00CA25CF" w:rsidRDefault="002C0FD9" w:rsidP="00CA25CF">
            <w:pPr>
              <w:rPr>
                <w:rFonts w:cs="Arial"/>
                <w:color w:val="FF0000"/>
                <w:sz w:val="21"/>
                <w:szCs w:val="21"/>
              </w:rPr>
            </w:pPr>
          </w:p>
        </w:tc>
        <w:tc>
          <w:tcPr>
            <w:tcW w:w="217" w:type="dxa"/>
          </w:tcPr>
          <w:p w14:paraId="66283778" w14:textId="77777777" w:rsidR="002C0FD9" w:rsidRPr="00CA25CF" w:rsidRDefault="002C0FD9" w:rsidP="00CA25CF">
            <w:pPr>
              <w:rPr>
                <w:rFonts w:cs="Arial"/>
                <w:color w:val="FF0000"/>
                <w:sz w:val="21"/>
                <w:szCs w:val="21"/>
              </w:rPr>
            </w:pPr>
          </w:p>
        </w:tc>
        <w:tc>
          <w:tcPr>
            <w:tcW w:w="217" w:type="dxa"/>
          </w:tcPr>
          <w:p w14:paraId="2FE4F167" w14:textId="77777777" w:rsidR="002C0FD9" w:rsidRPr="00CA25CF" w:rsidRDefault="002C0FD9" w:rsidP="00CA25CF">
            <w:pPr>
              <w:rPr>
                <w:rFonts w:cs="Arial"/>
                <w:color w:val="FF0000"/>
                <w:sz w:val="21"/>
                <w:szCs w:val="21"/>
              </w:rPr>
            </w:pPr>
          </w:p>
        </w:tc>
        <w:tc>
          <w:tcPr>
            <w:tcW w:w="217" w:type="dxa"/>
          </w:tcPr>
          <w:p w14:paraId="7D0DCB17" w14:textId="77777777" w:rsidR="002C0FD9" w:rsidRPr="00CA25CF" w:rsidRDefault="002C0FD9" w:rsidP="00CA25CF">
            <w:pPr>
              <w:rPr>
                <w:rFonts w:cs="Arial"/>
                <w:color w:val="FF0000"/>
                <w:sz w:val="21"/>
                <w:szCs w:val="21"/>
              </w:rPr>
            </w:pPr>
          </w:p>
        </w:tc>
        <w:tc>
          <w:tcPr>
            <w:tcW w:w="217" w:type="dxa"/>
          </w:tcPr>
          <w:p w14:paraId="153526EC" w14:textId="77777777" w:rsidR="002C0FD9" w:rsidRPr="00CA25CF" w:rsidRDefault="002C0FD9" w:rsidP="00CA25CF">
            <w:pPr>
              <w:rPr>
                <w:rFonts w:cs="Arial"/>
                <w:color w:val="FF0000"/>
                <w:sz w:val="21"/>
                <w:szCs w:val="21"/>
              </w:rPr>
            </w:pPr>
          </w:p>
        </w:tc>
        <w:tc>
          <w:tcPr>
            <w:tcW w:w="217" w:type="dxa"/>
          </w:tcPr>
          <w:p w14:paraId="3322DF10" w14:textId="77777777" w:rsidR="002C0FD9" w:rsidRPr="00CA25CF" w:rsidRDefault="002C0FD9" w:rsidP="00CA25CF">
            <w:pPr>
              <w:rPr>
                <w:rFonts w:cs="Arial"/>
                <w:color w:val="FF0000"/>
                <w:sz w:val="21"/>
                <w:szCs w:val="21"/>
              </w:rPr>
            </w:pPr>
          </w:p>
        </w:tc>
        <w:tc>
          <w:tcPr>
            <w:tcW w:w="217" w:type="dxa"/>
          </w:tcPr>
          <w:p w14:paraId="5BD42C8C" w14:textId="77777777" w:rsidR="002C0FD9" w:rsidRPr="00CA25CF" w:rsidRDefault="002C0FD9" w:rsidP="00CA25CF">
            <w:pPr>
              <w:rPr>
                <w:rFonts w:cs="Arial"/>
                <w:color w:val="FF0000"/>
                <w:sz w:val="21"/>
                <w:szCs w:val="21"/>
              </w:rPr>
            </w:pPr>
          </w:p>
        </w:tc>
        <w:tc>
          <w:tcPr>
            <w:tcW w:w="217" w:type="dxa"/>
          </w:tcPr>
          <w:p w14:paraId="75BDD87D" w14:textId="77777777" w:rsidR="002C0FD9" w:rsidRPr="00CA25CF" w:rsidRDefault="002C0FD9" w:rsidP="00CA25CF">
            <w:pPr>
              <w:rPr>
                <w:rFonts w:cs="Arial"/>
                <w:color w:val="FF0000"/>
                <w:sz w:val="21"/>
                <w:szCs w:val="21"/>
              </w:rPr>
            </w:pPr>
          </w:p>
        </w:tc>
        <w:tc>
          <w:tcPr>
            <w:tcW w:w="217" w:type="dxa"/>
          </w:tcPr>
          <w:p w14:paraId="0F272741" w14:textId="77777777" w:rsidR="002C0FD9" w:rsidRPr="00CA25CF" w:rsidRDefault="002C0FD9" w:rsidP="00CA25CF">
            <w:pPr>
              <w:rPr>
                <w:rFonts w:cs="Arial"/>
                <w:color w:val="FF0000"/>
                <w:sz w:val="21"/>
                <w:szCs w:val="21"/>
              </w:rPr>
            </w:pPr>
          </w:p>
        </w:tc>
        <w:tc>
          <w:tcPr>
            <w:tcW w:w="217" w:type="dxa"/>
          </w:tcPr>
          <w:p w14:paraId="6C19950B" w14:textId="77777777" w:rsidR="002C0FD9" w:rsidRPr="00CA25CF" w:rsidRDefault="002C0FD9" w:rsidP="00CA25CF">
            <w:pPr>
              <w:rPr>
                <w:rFonts w:cs="Arial"/>
                <w:color w:val="FF0000"/>
                <w:sz w:val="21"/>
                <w:szCs w:val="21"/>
              </w:rPr>
            </w:pPr>
          </w:p>
        </w:tc>
        <w:tc>
          <w:tcPr>
            <w:tcW w:w="217" w:type="dxa"/>
          </w:tcPr>
          <w:p w14:paraId="2C77BC2F" w14:textId="77777777" w:rsidR="002C0FD9" w:rsidRPr="00CA25CF" w:rsidRDefault="002C0FD9" w:rsidP="00CA25CF">
            <w:pPr>
              <w:rPr>
                <w:rFonts w:cs="Arial"/>
                <w:color w:val="FF0000"/>
                <w:sz w:val="21"/>
                <w:szCs w:val="21"/>
              </w:rPr>
            </w:pPr>
          </w:p>
        </w:tc>
        <w:tc>
          <w:tcPr>
            <w:tcW w:w="217" w:type="dxa"/>
          </w:tcPr>
          <w:p w14:paraId="087B3437" w14:textId="77777777" w:rsidR="002C0FD9" w:rsidRPr="00CA25CF" w:rsidRDefault="002C0FD9" w:rsidP="00CA25CF">
            <w:pPr>
              <w:rPr>
                <w:rFonts w:cs="Arial"/>
                <w:color w:val="FF0000"/>
                <w:sz w:val="21"/>
                <w:szCs w:val="21"/>
              </w:rPr>
            </w:pPr>
          </w:p>
        </w:tc>
        <w:tc>
          <w:tcPr>
            <w:tcW w:w="217" w:type="dxa"/>
          </w:tcPr>
          <w:p w14:paraId="798ECCFC" w14:textId="77777777" w:rsidR="002C0FD9" w:rsidRPr="00CA25CF" w:rsidRDefault="002C0FD9" w:rsidP="00CA25CF">
            <w:pPr>
              <w:rPr>
                <w:rFonts w:cs="Arial"/>
                <w:color w:val="FF0000"/>
                <w:sz w:val="21"/>
                <w:szCs w:val="21"/>
              </w:rPr>
            </w:pPr>
          </w:p>
        </w:tc>
        <w:tc>
          <w:tcPr>
            <w:tcW w:w="217" w:type="dxa"/>
          </w:tcPr>
          <w:p w14:paraId="765AE9C9" w14:textId="77777777" w:rsidR="002C0FD9" w:rsidRPr="00CA25CF" w:rsidRDefault="002C0FD9" w:rsidP="00CA25CF">
            <w:pPr>
              <w:rPr>
                <w:rFonts w:cs="Arial"/>
                <w:color w:val="FF0000"/>
                <w:sz w:val="21"/>
                <w:szCs w:val="21"/>
              </w:rPr>
            </w:pPr>
          </w:p>
        </w:tc>
        <w:tc>
          <w:tcPr>
            <w:tcW w:w="217" w:type="dxa"/>
          </w:tcPr>
          <w:p w14:paraId="18C7C92B" w14:textId="77777777" w:rsidR="002C0FD9" w:rsidRPr="00CA25CF" w:rsidRDefault="002C0FD9" w:rsidP="00CA25CF">
            <w:pPr>
              <w:rPr>
                <w:rFonts w:cs="Arial"/>
                <w:color w:val="FF0000"/>
                <w:sz w:val="21"/>
                <w:szCs w:val="21"/>
              </w:rPr>
            </w:pPr>
          </w:p>
        </w:tc>
        <w:tc>
          <w:tcPr>
            <w:tcW w:w="217" w:type="dxa"/>
          </w:tcPr>
          <w:p w14:paraId="437D47EB" w14:textId="77777777" w:rsidR="002C0FD9" w:rsidRPr="00CA25CF" w:rsidRDefault="002C0FD9" w:rsidP="00CA25CF">
            <w:pPr>
              <w:rPr>
                <w:rFonts w:cs="Arial"/>
                <w:color w:val="FF0000"/>
                <w:sz w:val="21"/>
                <w:szCs w:val="21"/>
              </w:rPr>
            </w:pPr>
          </w:p>
        </w:tc>
      </w:tr>
      <w:tr w:rsidR="002C0FD9" w:rsidRPr="00A16219" w14:paraId="402DDAD2" w14:textId="77777777" w:rsidTr="002C0FD9">
        <w:trPr>
          <w:trHeight w:val="635"/>
        </w:trPr>
        <w:tc>
          <w:tcPr>
            <w:tcW w:w="515" w:type="dxa"/>
          </w:tcPr>
          <w:p w14:paraId="124EAFFD" w14:textId="77777777" w:rsidR="002C0FD9" w:rsidRPr="00CA25CF" w:rsidRDefault="002C0FD9" w:rsidP="00CA25CF">
            <w:pPr>
              <w:rPr>
                <w:rFonts w:cs="Arial"/>
                <w:color w:val="FF0000"/>
                <w:sz w:val="21"/>
                <w:szCs w:val="21"/>
              </w:rPr>
            </w:pPr>
          </w:p>
        </w:tc>
        <w:tc>
          <w:tcPr>
            <w:tcW w:w="217" w:type="dxa"/>
          </w:tcPr>
          <w:p w14:paraId="6FC246C9" w14:textId="77777777" w:rsidR="002C0FD9" w:rsidRPr="00CA25CF" w:rsidRDefault="002C0FD9" w:rsidP="00CA25CF">
            <w:pPr>
              <w:rPr>
                <w:rFonts w:cs="Arial"/>
                <w:color w:val="FF0000"/>
                <w:sz w:val="21"/>
                <w:szCs w:val="21"/>
              </w:rPr>
            </w:pPr>
          </w:p>
        </w:tc>
        <w:tc>
          <w:tcPr>
            <w:tcW w:w="217" w:type="dxa"/>
          </w:tcPr>
          <w:p w14:paraId="0B2290F9" w14:textId="77777777" w:rsidR="002C0FD9" w:rsidRPr="00CA25CF" w:rsidRDefault="002C0FD9" w:rsidP="00CA25CF">
            <w:pPr>
              <w:rPr>
                <w:rFonts w:cs="Arial"/>
                <w:color w:val="FF0000"/>
                <w:sz w:val="21"/>
                <w:szCs w:val="21"/>
              </w:rPr>
            </w:pPr>
          </w:p>
        </w:tc>
        <w:tc>
          <w:tcPr>
            <w:tcW w:w="217" w:type="dxa"/>
          </w:tcPr>
          <w:p w14:paraId="48204EFD" w14:textId="77777777" w:rsidR="002C0FD9" w:rsidRPr="00CA25CF" w:rsidRDefault="002C0FD9" w:rsidP="00CA25CF">
            <w:pPr>
              <w:rPr>
                <w:rFonts w:cs="Arial"/>
                <w:color w:val="FF0000"/>
                <w:sz w:val="21"/>
                <w:szCs w:val="21"/>
              </w:rPr>
            </w:pPr>
          </w:p>
        </w:tc>
        <w:tc>
          <w:tcPr>
            <w:tcW w:w="217" w:type="dxa"/>
          </w:tcPr>
          <w:p w14:paraId="1A831209" w14:textId="77777777" w:rsidR="002C0FD9" w:rsidRPr="00CA25CF" w:rsidRDefault="002C0FD9" w:rsidP="00CA25CF">
            <w:pPr>
              <w:rPr>
                <w:rFonts w:cs="Arial"/>
                <w:color w:val="FF0000"/>
                <w:sz w:val="21"/>
                <w:szCs w:val="21"/>
              </w:rPr>
            </w:pPr>
          </w:p>
        </w:tc>
        <w:tc>
          <w:tcPr>
            <w:tcW w:w="217" w:type="dxa"/>
          </w:tcPr>
          <w:p w14:paraId="315799BE" w14:textId="77777777" w:rsidR="002C0FD9" w:rsidRPr="00CA25CF" w:rsidRDefault="002C0FD9" w:rsidP="00CA25CF">
            <w:pPr>
              <w:rPr>
                <w:rFonts w:cs="Arial"/>
                <w:color w:val="FF0000"/>
                <w:sz w:val="21"/>
                <w:szCs w:val="21"/>
              </w:rPr>
            </w:pPr>
          </w:p>
        </w:tc>
        <w:tc>
          <w:tcPr>
            <w:tcW w:w="217" w:type="dxa"/>
          </w:tcPr>
          <w:p w14:paraId="08B1E9E4" w14:textId="77777777" w:rsidR="002C0FD9" w:rsidRPr="00CA25CF" w:rsidRDefault="002C0FD9" w:rsidP="00CA25CF">
            <w:pPr>
              <w:rPr>
                <w:rFonts w:cs="Arial"/>
                <w:color w:val="FF0000"/>
                <w:sz w:val="21"/>
                <w:szCs w:val="21"/>
              </w:rPr>
            </w:pPr>
          </w:p>
        </w:tc>
        <w:tc>
          <w:tcPr>
            <w:tcW w:w="217" w:type="dxa"/>
          </w:tcPr>
          <w:p w14:paraId="2C667777" w14:textId="77777777" w:rsidR="002C0FD9" w:rsidRPr="00CA25CF" w:rsidRDefault="002C0FD9" w:rsidP="00CA25CF">
            <w:pPr>
              <w:rPr>
                <w:rFonts w:cs="Arial"/>
                <w:color w:val="FF0000"/>
                <w:sz w:val="21"/>
                <w:szCs w:val="21"/>
              </w:rPr>
            </w:pPr>
          </w:p>
        </w:tc>
        <w:tc>
          <w:tcPr>
            <w:tcW w:w="217" w:type="dxa"/>
          </w:tcPr>
          <w:p w14:paraId="7201ED70" w14:textId="77777777" w:rsidR="002C0FD9" w:rsidRPr="00CA25CF" w:rsidRDefault="002C0FD9" w:rsidP="00CA25CF">
            <w:pPr>
              <w:rPr>
                <w:rFonts w:cs="Arial"/>
                <w:color w:val="FF0000"/>
                <w:sz w:val="21"/>
                <w:szCs w:val="21"/>
              </w:rPr>
            </w:pPr>
          </w:p>
        </w:tc>
        <w:tc>
          <w:tcPr>
            <w:tcW w:w="217" w:type="dxa"/>
          </w:tcPr>
          <w:p w14:paraId="4EFEE064" w14:textId="77777777" w:rsidR="002C0FD9" w:rsidRPr="00CA25CF" w:rsidRDefault="002C0FD9" w:rsidP="00CA25CF">
            <w:pPr>
              <w:rPr>
                <w:rFonts w:cs="Arial"/>
                <w:color w:val="FF0000"/>
                <w:sz w:val="21"/>
                <w:szCs w:val="21"/>
              </w:rPr>
            </w:pPr>
          </w:p>
        </w:tc>
        <w:tc>
          <w:tcPr>
            <w:tcW w:w="217" w:type="dxa"/>
          </w:tcPr>
          <w:p w14:paraId="22F33C2A" w14:textId="77777777" w:rsidR="002C0FD9" w:rsidRPr="00CA25CF" w:rsidRDefault="002C0FD9" w:rsidP="00CA25CF">
            <w:pPr>
              <w:rPr>
                <w:rFonts w:cs="Arial"/>
                <w:color w:val="FF0000"/>
                <w:sz w:val="21"/>
                <w:szCs w:val="21"/>
              </w:rPr>
            </w:pPr>
          </w:p>
        </w:tc>
        <w:tc>
          <w:tcPr>
            <w:tcW w:w="217" w:type="dxa"/>
          </w:tcPr>
          <w:p w14:paraId="6857D6F2" w14:textId="77777777" w:rsidR="002C0FD9" w:rsidRPr="00CA25CF" w:rsidRDefault="002C0FD9" w:rsidP="00CA25CF">
            <w:pPr>
              <w:rPr>
                <w:rFonts w:cs="Arial"/>
                <w:color w:val="FF0000"/>
                <w:sz w:val="21"/>
                <w:szCs w:val="21"/>
              </w:rPr>
            </w:pPr>
          </w:p>
        </w:tc>
        <w:tc>
          <w:tcPr>
            <w:tcW w:w="217" w:type="dxa"/>
          </w:tcPr>
          <w:p w14:paraId="0CDDEAE4" w14:textId="77777777" w:rsidR="002C0FD9" w:rsidRPr="00CA25CF" w:rsidRDefault="002C0FD9" w:rsidP="00CA25CF">
            <w:pPr>
              <w:rPr>
                <w:rFonts w:cs="Arial"/>
                <w:color w:val="FF0000"/>
                <w:sz w:val="21"/>
                <w:szCs w:val="21"/>
              </w:rPr>
            </w:pPr>
          </w:p>
        </w:tc>
        <w:tc>
          <w:tcPr>
            <w:tcW w:w="217" w:type="dxa"/>
          </w:tcPr>
          <w:p w14:paraId="3888F2A9" w14:textId="77777777" w:rsidR="002C0FD9" w:rsidRPr="00CA25CF" w:rsidRDefault="002C0FD9" w:rsidP="00CA25CF">
            <w:pPr>
              <w:rPr>
                <w:rFonts w:cs="Arial"/>
                <w:color w:val="FF0000"/>
                <w:sz w:val="21"/>
                <w:szCs w:val="21"/>
              </w:rPr>
            </w:pPr>
          </w:p>
        </w:tc>
        <w:tc>
          <w:tcPr>
            <w:tcW w:w="217" w:type="dxa"/>
          </w:tcPr>
          <w:p w14:paraId="78D22252" w14:textId="77777777" w:rsidR="002C0FD9" w:rsidRPr="00CA25CF" w:rsidRDefault="002C0FD9" w:rsidP="00CA25CF">
            <w:pPr>
              <w:rPr>
                <w:rFonts w:cs="Arial"/>
                <w:color w:val="FF0000"/>
                <w:sz w:val="21"/>
                <w:szCs w:val="21"/>
              </w:rPr>
            </w:pPr>
          </w:p>
        </w:tc>
        <w:tc>
          <w:tcPr>
            <w:tcW w:w="217" w:type="dxa"/>
          </w:tcPr>
          <w:p w14:paraId="307B9754" w14:textId="77777777" w:rsidR="002C0FD9" w:rsidRPr="00CA25CF" w:rsidRDefault="002C0FD9" w:rsidP="00CA25CF">
            <w:pPr>
              <w:rPr>
                <w:rFonts w:cs="Arial"/>
                <w:color w:val="FF0000"/>
                <w:sz w:val="21"/>
                <w:szCs w:val="21"/>
              </w:rPr>
            </w:pPr>
          </w:p>
        </w:tc>
        <w:tc>
          <w:tcPr>
            <w:tcW w:w="217" w:type="dxa"/>
          </w:tcPr>
          <w:p w14:paraId="10694ECE" w14:textId="77777777" w:rsidR="002C0FD9" w:rsidRPr="00CA25CF" w:rsidRDefault="002C0FD9" w:rsidP="00CA25CF">
            <w:pPr>
              <w:rPr>
                <w:rFonts w:cs="Arial"/>
                <w:color w:val="FF0000"/>
                <w:sz w:val="21"/>
                <w:szCs w:val="21"/>
              </w:rPr>
            </w:pPr>
          </w:p>
        </w:tc>
        <w:tc>
          <w:tcPr>
            <w:tcW w:w="217" w:type="dxa"/>
          </w:tcPr>
          <w:p w14:paraId="3300EDC8" w14:textId="77777777" w:rsidR="002C0FD9" w:rsidRPr="00CA25CF" w:rsidRDefault="002C0FD9" w:rsidP="00CA25CF">
            <w:pPr>
              <w:rPr>
                <w:rFonts w:cs="Arial"/>
                <w:color w:val="FF0000"/>
                <w:sz w:val="21"/>
                <w:szCs w:val="21"/>
              </w:rPr>
            </w:pPr>
          </w:p>
        </w:tc>
        <w:tc>
          <w:tcPr>
            <w:tcW w:w="217" w:type="dxa"/>
          </w:tcPr>
          <w:p w14:paraId="45AEED4B" w14:textId="77777777" w:rsidR="002C0FD9" w:rsidRPr="00CA25CF" w:rsidRDefault="002C0FD9" w:rsidP="00CA25CF">
            <w:pPr>
              <w:rPr>
                <w:rFonts w:cs="Arial"/>
                <w:color w:val="FF0000"/>
                <w:sz w:val="21"/>
                <w:szCs w:val="21"/>
              </w:rPr>
            </w:pPr>
          </w:p>
        </w:tc>
        <w:tc>
          <w:tcPr>
            <w:tcW w:w="217" w:type="dxa"/>
          </w:tcPr>
          <w:p w14:paraId="62D235B4" w14:textId="77777777" w:rsidR="002C0FD9" w:rsidRPr="00CA25CF" w:rsidRDefault="002C0FD9" w:rsidP="00CA25CF">
            <w:pPr>
              <w:rPr>
                <w:rFonts w:cs="Arial"/>
                <w:color w:val="FF0000"/>
                <w:sz w:val="21"/>
                <w:szCs w:val="21"/>
              </w:rPr>
            </w:pPr>
          </w:p>
        </w:tc>
        <w:tc>
          <w:tcPr>
            <w:tcW w:w="217" w:type="dxa"/>
          </w:tcPr>
          <w:p w14:paraId="356323F7" w14:textId="77777777" w:rsidR="002C0FD9" w:rsidRPr="00CA25CF" w:rsidRDefault="002C0FD9" w:rsidP="00CA25CF">
            <w:pPr>
              <w:rPr>
                <w:rFonts w:cs="Arial"/>
                <w:color w:val="FF0000"/>
                <w:sz w:val="21"/>
                <w:szCs w:val="21"/>
              </w:rPr>
            </w:pPr>
          </w:p>
        </w:tc>
        <w:tc>
          <w:tcPr>
            <w:tcW w:w="217" w:type="dxa"/>
          </w:tcPr>
          <w:p w14:paraId="376791F3" w14:textId="77777777" w:rsidR="002C0FD9" w:rsidRPr="00CA25CF" w:rsidRDefault="002C0FD9" w:rsidP="00CA25CF">
            <w:pPr>
              <w:rPr>
                <w:rFonts w:cs="Arial"/>
                <w:color w:val="FF0000"/>
                <w:sz w:val="21"/>
                <w:szCs w:val="21"/>
              </w:rPr>
            </w:pPr>
          </w:p>
        </w:tc>
        <w:tc>
          <w:tcPr>
            <w:tcW w:w="217" w:type="dxa"/>
          </w:tcPr>
          <w:p w14:paraId="1B56DB3D" w14:textId="77777777" w:rsidR="002C0FD9" w:rsidRPr="00CA25CF" w:rsidRDefault="002C0FD9" w:rsidP="00CA25CF">
            <w:pPr>
              <w:rPr>
                <w:rFonts w:cs="Arial"/>
                <w:color w:val="FF0000"/>
                <w:sz w:val="21"/>
                <w:szCs w:val="21"/>
              </w:rPr>
            </w:pPr>
          </w:p>
        </w:tc>
        <w:tc>
          <w:tcPr>
            <w:tcW w:w="217" w:type="dxa"/>
          </w:tcPr>
          <w:p w14:paraId="6E258355" w14:textId="77777777" w:rsidR="002C0FD9" w:rsidRPr="00CA25CF" w:rsidRDefault="002C0FD9" w:rsidP="00CA25CF">
            <w:pPr>
              <w:rPr>
                <w:rFonts w:cs="Arial"/>
                <w:color w:val="FF0000"/>
                <w:sz w:val="21"/>
                <w:szCs w:val="21"/>
              </w:rPr>
            </w:pPr>
          </w:p>
        </w:tc>
        <w:tc>
          <w:tcPr>
            <w:tcW w:w="217" w:type="dxa"/>
          </w:tcPr>
          <w:p w14:paraId="302C3B5B" w14:textId="77777777" w:rsidR="002C0FD9" w:rsidRPr="00CA25CF" w:rsidRDefault="002C0FD9" w:rsidP="00CA25CF">
            <w:pPr>
              <w:rPr>
                <w:rFonts w:cs="Arial"/>
                <w:color w:val="FF0000"/>
                <w:sz w:val="21"/>
                <w:szCs w:val="21"/>
              </w:rPr>
            </w:pPr>
          </w:p>
        </w:tc>
        <w:tc>
          <w:tcPr>
            <w:tcW w:w="217" w:type="dxa"/>
          </w:tcPr>
          <w:p w14:paraId="2BEDE60E" w14:textId="77777777" w:rsidR="002C0FD9" w:rsidRPr="00CA25CF" w:rsidRDefault="002C0FD9" w:rsidP="00CA25CF">
            <w:pPr>
              <w:rPr>
                <w:rFonts w:cs="Arial"/>
                <w:color w:val="FF0000"/>
                <w:sz w:val="21"/>
                <w:szCs w:val="21"/>
              </w:rPr>
            </w:pPr>
          </w:p>
        </w:tc>
        <w:tc>
          <w:tcPr>
            <w:tcW w:w="217" w:type="dxa"/>
          </w:tcPr>
          <w:p w14:paraId="609F7250" w14:textId="77777777" w:rsidR="002C0FD9" w:rsidRPr="00CA25CF" w:rsidRDefault="002C0FD9" w:rsidP="00CA25CF">
            <w:pPr>
              <w:rPr>
                <w:rFonts w:cs="Arial"/>
                <w:color w:val="FF0000"/>
                <w:sz w:val="21"/>
                <w:szCs w:val="21"/>
              </w:rPr>
            </w:pPr>
          </w:p>
        </w:tc>
        <w:tc>
          <w:tcPr>
            <w:tcW w:w="217" w:type="dxa"/>
          </w:tcPr>
          <w:p w14:paraId="5FF14EFD" w14:textId="77777777" w:rsidR="002C0FD9" w:rsidRPr="00CA25CF" w:rsidRDefault="002C0FD9" w:rsidP="00CA25CF">
            <w:pPr>
              <w:rPr>
                <w:rFonts w:cs="Arial"/>
                <w:color w:val="FF0000"/>
                <w:sz w:val="21"/>
                <w:szCs w:val="21"/>
              </w:rPr>
            </w:pPr>
          </w:p>
        </w:tc>
        <w:tc>
          <w:tcPr>
            <w:tcW w:w="217" w:type="dxa"/>
          </w:tcPr>
          <w:p w14:paraId="47701747" w14:textId="77777777" w:rsidR="002C0FD9" w:rsidRPr="00CA25CF" w:rsidRDefault="002C0FD9" w:rsidP="00CA25CF">
            <w:pPr>
              <w:rPr>
                <w:rFonts w:cs="Arial"/>
                <w:color w:val="FF0000"/>
                <w:sz w:val="21"/>
                <w:szCs w:val="21"/>
              </w:rPr>
            </w:pPr>
          </w:p>
        </w:tc>
        <w:tc>
          <w:tcPr>
            <w:tcW w:w="217" w:type="dxa"/>
          </w:tcPr>
          <w:p w14:paraId="3239D0B1" w14:textId="77777777" w:rsidR="002C0FD9" w:rsidRPr="00CA25CF" w:rsidRDefault="002C0FD9" w:rsidP="00CA25CF">
            <w:pPr>
              <w:rPr>
                <w:rFonts w:cs="Arial"/>
                <w:color w:val="FF0000"/>
                <w:sz w:val="21"/>
                <w:szCs w:val="21"/>
              </w:rPr>
            </w:pPr>
          </w:p>
        </w:tc>
        <w:tc>
          <w:tcPr>
            <w:tcW w:w="217" w:type="dxa"/>
          </w:tcPr>
          <w:p w14:paraId="6F07DE3B" w14:textId="77777777" w:rsidR="002C0FD9" w:rsidRPr="00CA25CF" w:rsidRDefault="002C0FD9" w:rsidP="00CA25CF">
            <w:pPr>
              <w:rPr>
                <w:rFonts w:cs="Arial"/>
                <w:color w:val="FF0000"/>
                <w:sz w:val="21"/>
                <w:szCs w:val="21"/>
              </w:rPr>
            </w:pPr>
          </w:p>
        </w:tc>
        <w:tc>
          <w:tcPr>
            <w:tcW w:w="217" w:type="dxa"/>
          </w:tcPr>
          <w:p w14:paraId="1BE565A9" w14:textId="77777777" w:rsidR="002C0FD9" w:rsidRPr="00CA25CF" w:rsidRDefault="002C0FD9" w:rsidP="00CA25CF">
            <w:pPr>
              <w:rPr>
                <w:rFonts w:cs="Arial"/>
                <w:color w:val="FF0000"/>
                <w:sz w:val="21"/>
                <w:szCs w:val="21"/>
              </w:rPr>
            </w:pPr>
          </w:p>
        </w:tc>
        <w:tc>
          <w:tcPr>
            <w:tcW w:w="217" w:type="dxa"/>
          </w:tcPr>
          <w:p w14:paraId="4A79D158" w14:textId="77777777" w:rsidR="002C0FD9" w:rsidRPr="00CA25CF" w:rsidRDefault="002C0FD9" w:rsidP="00CA25CF">
            <w:pPr>
              <w:rPr>
                <w:rFonts w:cs="Arial"/>
                <w:color w:val="FF0000"/>
                <w:sz w:val="21"/>
                <w:szCs w:val="21"/>
              </w:rPr>
            </w:pPr>
          </w:p>
        </w:tc>
        <w:tc>
          <w:tcPr>
            <w:tcW w:w="217" w:type="dxa"/>
          </w:tcPr>
          <w:p w14:paraId="3E610BB7" w14:textId="77777777" w:rsidR="002C0FD9" w:rsidRPr="00CA25CF" w:rsidRDefault="002C0FD9" w:rsidP="00CA25CF">
            <w:pPr>
              <w:rPr>
                <w:rFonts w:cs="Arial"/>
                <w:color w:val="FF0000"/>
                <w:sz w:val="21"/>
                <w:szCs w:val="21"/>
              </w:rPr>
            </w:pPr>
          </w:p>
        </w:tc>
        <w:tc>
          <w:tcPr>
            <w:tcW w:w="217" w:type="dxa"/>
          </w:tcPr>
          <w:p w14:paraId="2C0B30CA" w14:textId="77777777" w:rsidR="002C0FD9" w:rsidRPr="00CA25CF" w:rsidRDefault="002C0FD9" w:rsidP="00CA25CF">
            <w:pPr>
              <w:rPr>
                <w:rFonts w:cs="Arial"/>
                <w:color w:val="FF0000"/>
                <w:sz w:val="21"/>
                <w:szCs w:val="21"/>
              </w:rPr>
            </w:pPr>
          </w:p>
        </w:tc>
        <w:tc>
          <w:tcPr>
            <w:tcW w:w="217" w:type="dxa"/>
          </w:tcPr>
          <w:p w14:paraId="445B8FE5" w14:textId="77777777" w:rsidR="002C0FD9" w:rsidRPr="00CA25CF" w:rsidRDefault="002C0FD9" w:rsidP="00CA25CF">
            <w:pPr>
              <w:rPr>
                <w:rFonts w:cs="Arial"/>
                <w:color w:val="FF0000"/>
                <w:sz w:val="21"/>
                <w:szCs w:val="21"/>
              </w:rPr>
            </w:pPr>
          </w:p>
        </w:tc>
        <w:tc>
          <w:tcPr>
            <w:tcW w:w="217" w:type="dxa"/>
          </w:tcPr>
          <w:p w14:paraId="07AC2E38" w14:textId="77777777" w:rsidR="002C0FD9" w:rsidRPr="00CA25CF" w:rsidRDefault="002C0FD9" w:rsidP="00CA25CF">
            <w:pPr>
              <w:rPr>
                <w:rFonts w:cs="Arial"/>
                <w:color w:val="FF0000"/>
                <w:sz w:val="21"/>
                <w:szCs w:val="21"/>
              </w:rPr>
            </w:pPr>
          </w:p>
        </w:tc>
        <w:tc>
          <w:tcPr>
            <w:tcW w:w="217" w:type="dxa"/>
          </w:tcPr>
          <w:p w14:paraId="7375CEA4" w14:textId="77777777" w:rsidR="002C0FD9" w:rsidRPr="00CA25CF" w:rsidRDefault="002C0FD9" w:rsidP="00CA25CF">
            <w:pPr>
              <w:rPr>
                <w:rFonts w:cs="Arial"/>
                <w:color w:val="FF0000"/>
                <w:sz w:val="21"/>
                <w:szCs w:val="21"/>
              </w:rPr>
            </w:pPr>
          </w:p>
        </w:tc>
        <w:tc>
          <w:tcPr>
            <w:tcW w:w="217" w:type="dxa"/>
          </w:tcPr>
          <w:p w14:paraId="0985618B" w14:textId="77777777" w:rsidR="002C0FD9" w:rsidRPr="00CA25CF" w:rsidRDefault="002C0FD9" w:rsidP="00CA25CF">
            <w:pPr>
              <w:rPr>
                <w:rFonts w:cs="Arial"/>
                <w:color w:val="FF0000"/>
                <w:sz w:val="21"/>
                <w:szCs w:val="21"/>
              </w:rPr>
            </w:pPr>
          </w:p>
        </w:tc>
        <w:tc>
          <w:tcPr>
            <w:tcW w:w="217" w:type="dxa"/>
          </w:tcPr>
          <w:p w14:paraId="5CFBBDA1" w14:textId="77777777" w:rsidR="002C0FD9" w:rsidRPr="00CA25CF" w:rsidRDefault="002C0FD9" w:rsidP="00CA25CF">
            <w:pPr>
              <w:rPr>
                <w:rFonts w:cs="Arial"/>
                <w:color w:val="FF0000"/>
                <w:sz w:val="21"/>
                <w:szCs w:val="21"/>
              </w:rPr>
            </w:pPr>
          </w:p>
        </w:tc>
        <w:tc>
          <w:tcPr>
            <w:tcW w:w="217" w:type="dxa"/>
          </w:tcPr>
          <w:p w14:paraId="40A6A2CE" w14:textId="77777777" w:rsidR="002C0FD9" w:rsidRPr="00CA25CF" w:rsidRDefault="002C0FD9" w:rsidP="00CA25CF">
            <w:pPr>
              <w:rPr>
                <w:rFonts w:cs="Arial"/>
                <w:color w:val="FF0000"/>
                <w:sz w:val="21"/>
                <w:szCs w:val="21"/>
              </w:rPr>
            </w:pPr>
          </w:p>
        </w:tc>
        <w:tc>
          <w:tcPr>
            <w:tcW w:w="217" w:type="dxa"/>
          </w:tcPr>
          <w:p w14:paraId="53C08018" w14:textId="77777777" w:rsidR="002C0FD9" w:rsidRPr="00CA25CF" w:rsidRDefault="002C0FD9" w:rsidP="00CA25CF">
            <w:pPr>
              <w:rPr>
                <w:rFonts w:cs="Arial"/>
                <w:color w:val="FF0000"/>
                <w:sz w:val="21"/>
                <w:szCs w:val="21"/>
              </w:rPr>
            </w:pPr>
          </w:p>
        </w:tc>
        <w:tc>
          <w:tcPr>
            <w:tcW w:w="217" w:type="dxa"/>
          </w:tcPr>
          <w:p w14:paraId="1AFEE898" w14:textId="77777777" w:rsidR="002C0FD9" w:rsidRPr="00CA25CF" w:rsidRDefault="002C0FD9" w:rsidP="00CA25CF">
            <w:pPr>
              <w:rPr>
                <w:rFonts w:cs="Arial"/>
                <w:color w:val="FF0000"/>
                <w:sz w:val="21"/>
                <w:szCs w:val="21"/>
              </w:rPr>
            </w:pPr>
          </w:p>
        </w:tc>
      </w:tr>
      <w:tr w:rsidR="002C0FD9" w:rsidRPr="00A16219" w14:paraId="54F63056" w14:textId="77777777" w:rsidTr="002C0FD9">
        <w:trPr>
          <w:trHeight w:val="635"/>
        </w:trPr>
        <w:tc>
          <w:tcPr>
            <w:tcW w:w="515" w:type="dxa"/>
          </w:tcPr>
          <w:p w14:paraId="3A308EB2" w14:textId="77777777" w:rsidR="002C0FD9" w:rsidRPr="00CA25CF" w:rsidRDefault="002C0FD9" w:rsidP="00CA25CF">
            <w:pPr>
              <w:rPr>
                <w:rFonts w:cs="Arial"/>
                <w:color w:val="FF0000"/>
                <w:sz w:val="21"/>
                <w:szCs w:val="21"/>
              </w:rPr>
            </w:pPr>
          </w:p>
        </w:tc>
        <w:tc>
          <w:tcPr>
            <w:tcW w:w="217" w:type="dxa"/>
          </w:tcPr>
          <w:p w14:paraId="73DF056C" w14:textId="77777777" w:rsidR="002C0FD9" w:rsidRPr="00CA25CF" w:rsidRDefault="002C0FD9" w:rsidP="00CA25CF">
            <w:pPr>
              <w:rPr>
                <w:rFonts w:cs="Arial"/>
                <w:color w:val="FF0000"/>
                <w:sz w:val="21"/>
                <w:szCs w:val="21"/>
              </w:rPr>
            </w:pPr>
          </w:p>
        </w:tc>
        <w:tc>
          <w:tcPr>
            <w:tcW w:w="217" w:type="dxa"/>
          </w:tcPr>
          <w:p w14:paraId="4DDFFA5E" w14:textId="77777777" w:rsidR="002C0FD9" w:rsidRPr="00CA25CF" w:rsidRDefault="002C0FD9" w:rsidP="00CA25CF">
            <w:pPr>
              <w:rPr>
                <w:rFonts w:cs="Arial"/>
                <w:color w:val="FF0000"/>
                <w:sz w:val="21"/>
                <w:szCs w:val="21"/>
              </w:rPr>
            </w:pPr>
          </w:p>
        </w:tc>
        <w:tc>
          <w:tcPr>
            <w:tcW w:w="217" w:type="dxa"/>
          </w:tcPr>
          <w:p w14:paraId="2494C4D6" w14:textId="77777777" w:rsidR="002C0FD9" w:rsidRPr="00CA25CF" w:rsidRDefault="002C0FD9" w:rsidP="00CA25CF">
            <w:pPr>
              <w:rPr>
                <w:rFonts w:cs="Arial"/>
                <w:color w:val="FF0000"/>
                <w:sz w:val="21"/>
                <w:szCs w:val="21"/>
              </w:rPr>
            </w:pPr>
          </w:p>
        </w:tc>
        <w:tc>
          <w:tcPr>
            <w:tcW w:w="217" w:type="dxa"/>
          </w:tcPr>
          <w:p w14:paraId="7A5013AA" w14:textId="77777777" w:rsidR="002C0FD9" w:rsidRPr="00CA25CF" w:rsidRDefault="002C0FD9" w:rsidP="00CA25CF">
            <w:pPr>
              <w:rPr>
                <w:rFonts w:cs="Arial"/>
                <w:color w:val="FF0000"/>
                <w:sz w:val="21"/>
                <w:szCs w:val="21"/>
              </w:rPr>
            </w:pPr>
          </w:p>
        </w:tc>
        <w:tc>
          <w:tcPr>
            <w:tcW w:w="217" w:type="dxa"/>
          </w:tcPr>
          <w:p w14:paraId="6D0F5D5C" w14:textId="77777777" w:rsidR="002C0FD9" w:rsidRPr="00CA25CF" w:rsidRDefault="002C0FD9" w:rsidP="00CA25CF">
            <w:pPr>
              <w:rPr>
                <w:rFonts w:cs="Arial"/>
                <w:color w:val="FF0000"/>
                <w:sz w:val="21"/>
                <w:szCs w:val="21"/>
              </w:rPr>
            </w:pPr>
          </w:p>
        </w:tc>
        <w:tc>
          <w:tcPr>
            <w:tcW w:w="217" w:type="dxa"/>
          </w:tcPr>
          <w:p w14:paraId="017D9553" w14:textId="77777777" w:rsidR="002C0FD9" w:rsidRPr="00CA25CF" w:rsidRDefault="002C0FD9" w:rsidP="00CA25CF">
            <w:pPr>
              <w:rPr>
                <w:rFonts w:cs="Arial"/>
                <w:color w:val="FF0000"/>
                <w:sz w:val="21"/>
                <w:szCs w:val="21"/>
              </w:rPr>
            </w:pPr>
          </w:p>
        </w:tc>
        <w:tc>
          <w:tcPr>
            <w:tcW w:w="217" w:type="dxa"/>
          </w:tcPr>
          <w:p w14:paraId="49D65137" w14:textId="77777777" w:rsidR="002C0FD9" w:rsidRPr="00CA25CF" w:rsidRDefault="002C0FD9" w:rsidP="00CA25CF">
            <w:pPr>
              <w:rPr>
                <w:rFonts w:cs="Arial"/>
                <w:color w:val="FF0000"/>
                <w:sz w:val="21"/>
                <w:szCs w:val="21"/>
              </w:rPr>
            </w:pPr>
          </w:p>
        </w:tc>
        <w:tc>
          <w:tcPr>
            <w:tcW w:w="217" w:type="dxa"/>
          </w:tcPr>
          <w:p w14:paraId="3DF6906F" w14:textId="77777777" w:rsidR="002C0FD9" w:rsidRPr="00CA25CF" w:rsidRDefault="002C0FD9" w:rsidP="00CA25CF">
            <w:pPr>
              <w:rPr>
                <w:rFonts w:cs="Arial"/>
                <w:color w:val="FF0000"/>
                <w:sz w:val="21"/>
                <w:szCs w:val="21"/>
              </w:rPr>
            </w:pPr>
          </w:p>
        </w:tc>
        <w:tc>
          <w:tcPr>
            <w:tcW w:w="217" w:type="dxa"/>
          </w:tcPr>
          <w:p w14:paraId="370FD561" w14:textId="77777777" w:rsidR="002C0FD9" w:rsidRPr="00CA25CF" w:rsidRDefault="002C0FD9" w:rsidP="00CA25CF">
            <w:pPr>
              <w:rPr>
                <w:rFonts w:cs="Arial"/>
                <w:color w:val="FF0000"/>
                <w:sz w:val="21"/>
                <w:szCs w:val="21"/>
              </w:rPr>
            </w:pPr>
          </w:p>
        </w:tc>
        <w:tc>
          <w:tcPr>
            <w:tcW w:w="217" w:type="dxa"/>
          </w:tcPr>
          <w:p w14:paraId="7579C905" w14:textId="77777777" w:rsidR="002C0FD9" w:rsidRPr="00CA25CF" w:rsidRDefault="002C0FD9" w:rsidP="00CA25CF">
            <w:pPr>
              <w:rPr>
                <w:rFonts w:cs="Arial"/>
                <w:color w:val="FF0000"/>
                <w:sz w:val="21"/>
                <w:szCs w:val="21"/>
              </w:rPr>
            </w:pPr>
          </w:p>
        </w:tc>
        <w:tc>
          <w:tcPr>
            <w:tcW w:w="217" w:type="dxa"/>
          </w:tcPr>
          <w:p w14:paraId="5C21BC67" w14:textId="77777777" w:rsidR="002C0FD9" w:rsidRPr="00CA25CF" w:rsidRDefault="002C0FD9" w:rsidP="00CA25CF">
            <w:pPr>
              <w:rPr>
                <w:rFonts w:cs="Arial"/>
                <w:color w:val="FF0000"/>
                <w:sz w:val="21"/>
                <w:szCs w:val="21"/>
              </w:rPr>
            </w:pPr>
          </w:p>
        </w:tc>
        <w:tc>
          <w:tcPr>
            <w:tcW w:w="217" w:type="dxa"/>
          </w:tcPr>
          <w:p w14:paraId="1545915D" w14:textId="77777777" w:rsidR="002C0FD9" w:rsidRPr="00CA25CF" w:rsidRDefault="002C0FD9" w:rsidP="00CA25CF">
            <w:pPr>
              <w:rPr>
                <w:rFonts w:cs="Arial"/>
                <w:color w:val="FF0000"/>
                <w:sz w:val="21"/>
                <w:szCs w:val="21"/>
              </w:rPr>
            </w:pPr>
          </w:p>
        </w:tc>
        <w:tc>
          <w:tcPr>
            <w:tcW w:w="217" w:type="dxa"/>
          </w:tcPr>
          <w:p w14:paraId="28E65D60" w14:textId="77777777" w:rsidR="002C0FD9" w:rsidRPr="00CA25CF" w:rsidRDefault="002C0FD9" w:rsidP="00CA25CF">
            <w:pPr>
              <w:rPr>
                <w:rFonts w:cs="Arial"/>
                <w:color w:val="FF0000"/>
                <w:sz w:val="21"/>
                <w:szCs w:val="21"/>
              </w:rPr>
            </w:pPr>
          </w:p>
        </w:tc>
        <w:tc>
          <w:tcPr>
            <w:tcW w:w="217" w:type="dxa"/>
          </w:tcPr>
          <w:p w14:paraId="2898F562" w14:textId="77777777" w:rsidR="002C0FD9" w:rsidRPr="00CA25CF" w:rsidRDefault="002C0FD9" w:rsidP="00CA25CF">
            <w:pPr>
              <w:rPr>
                <w:rFonts w:cs="Arial"/>
                <w:color w:val="FF0000"/>
                <w:sz w:val="21"/>
                <w:szCs w:val="21"/>
              </w:rPr>
            </w:pPr>
          </w:p>
        </w:tc>
        <w:tc>
          <w:tcPr>
            <w:tcW w:w="217" w:type="dxa"/>
          </w:tcPr>
          <w:p w14:paraId="0F0A6B59" w14:textId="77777777" w:rsidR="002C0FD9" w:rsidRPr="00CA25CF" w:rsidRDefault="002C0FD9" w:rsidP="00CA25CF">
            <w:pPr>
              <w:rPr>
                <w:rFonts w:cs="Arial"/>
                <w:color w:val="FF0000"/>
                <w:sz w:val="21"/>
                <w:szCs w:val="21"/>
              </w:rPr>
            </w:pPr>
          </w:p>
        </w:tc>
        <w:tc>
          <w:tcPr>
            <w:tcW w:w="217" w:type="dxa"/>
          </w:tcPr>
          <w:p w14:paraId="1DC4F865" w14:textId="77777777" w:rsidR="002C0FD9" w:rsidRPr="00CA25CF" w:rsidRDefault="002C0FD9" w:rsidP="00CA25CF">
            <w:pPr>
              <w:rPr>
                <w:rFonts w:cs="Arial"/>
                <w:color w:val="FF0000"/>
                <w:sz w:val="21"/>
                <w:szCs w:val="21"/>
              </w:rPr>
            </w:pPr>
          </w:p>
        </w:tc>
        <w:tc>
          <w:tcPr>
            <w:tcW w:w="217" w:type="dxa"/>
          </w:tcPr>
          <w:p w14:paraId="287A03F9" w14:textId="77777777" w:rsidR="002C0FD9" w:rsidRPr="00CA25CF" w:rsidRDefault="002C0FD9" w:rsidP="00CA25CF">
            <w:pPr>
              <w:rPr>
                <w:rFonts w:cs="Arial"/>
                <w:color w:val="FF0000"/>
                <w:sz w:val="21"/>
                <w:szCs w:val="21"/>
              </w:rPr>
            </w:pPr>
          </w:p>
        </w:tc>
        <w:tc>
          <w:tcPr>
            <w:tcW w:w="217" w:type="dxa"/>
          </w:tcPr>
          <w:p w14:paraId="6BF733A8" w14:textId="77777777" w:rsidR="002C0FD9" w:rsidRPr="00CA25CF" w:rsidRDefault="002C0FD9" w:rsidP="00CA25CF">
            <w:pPr>
              <w:rPr>
                <w:rFonts w:cs="Arial"/>
                <w:color w:val="FF0000"/>
                <w:sz w:val="21"/>
                <w:szCs w:val="21"/>
              </w:rPr>
            </w:pPr>
          </w:p>
        </w:tc>
        <w:tc>
          <w:tcPr>
            <w:tcW w:w="217" w:type="dxa"/>
          </w:tcPr>
          <w:p w14:paraId="0585A9D3" w14:textId="77777777" w:rsidR="002C0FD9" w:rsidRPr="00CA25CF" w:rsidRDefault="002C0FD9" w:rsidP="00CA25CF">
            <w:pPr>
              <w:rPr>
                <w:rFonts w:cs="Arial"/>
                <w:color w:val="FF0000"/>
                <w:sz w:val="21"/>
                <w:szCs w:val="21"/>
              </w:rPr>
            </w:pPr>
          </w:p>
        </w:tc>
        <w:tc>
          <w:tcPr>
            <w:tcW w:w="217" w:type="dxa"/>
          </w:tcPr>
          <w:p w14:paraId="73D0A571" w14:textId="77777777" w:rsidR="002C0FD9" w:rsidRPr="00CA25CF" w:rsidRDefault="002C0FD9" w:rsidP="00CA25CF">
            <w:pPr>
              <w:rPr>
                <w:rFonts w:cs="Arial"/>
                <w:color w:val="FF0000"/>
                <w:sz w:val="21"/>
                <w:szCs w:val="21"/>
              </w:rPr>
            </w:pPr>
          </w:p>
        </w:tc>
        <w:tc>
          <w:tcPr>
            <w:tcW w:w="217" w:type="dxa"/>
          </w:tcPr>
          <w:p w14:paraId="2667DD2F" w14:textId="77777777" w:rsidR="002C0FD9" w:rsidRPr="00CA25CF" w:rsidRDefault="002C0FD9" w:rsidP="00CA25CF">
            <w:pPr>
              <w:rPr>
                <w:rFonts w:cs="Arial"/>
                <w:color w:val="FF0000"/>
                <w:sz w:val="21"/>
                <w:szCs w:val="21"/>
              </w:rPr>
            </w:pPr>
          </w:p>
        </w:tc>
        <w:tc>
          <w:tcPr>
            <w:tcW w:w="217" w:type="dxa"/>
          </w:tcPr>
          <w:p w14:paraId="799D1496" w14:textId="77777777" w:rsidR="002C0FD9" w:rsidRPr="00CA25CF" w:rsidRDefault="002C0FD9" w:rsidP="00CA25CF">
            <w:pPr>
              <w:rPr>
                <w:rFonts w:cs="Arial"/>
                <w:color w:val="FF0000"/>
                <w:sz w:val="21"/>
                <w:szCs w:val="21"/>
              </w:rPr>
            </w:pPr>
          </w:p>
        </w:tc>
        <w:tc>
          <w:tcPr>
            <w:tcW w:w="217" w:type="dxa"/>
          </w:tcPr>
          <w:p w14:paraId="1A2BA765" w14:textId="77777777" w:rsidR="002C0FD9" w:rsidRPr="00CA25CF" w:rsidRDefault="002C0FD9" w:rsidP="00CA25CF">
            <w:pPr>
              <w:rPr>
                <w:rFonts w:cs="Arial"/>
                <w:color w:val="FF0000"/>
                <w:sz w:val="21"/>
                <w:szCs w:val="21"/>
              </w:rPr>
            </w:pPr>
          </w:p>
        </w:tc>
        <w:tc>
          <w:tcPr>
            <w:tcW w:w="217" w:type="dxa"/>
          </w:tcPr>
          <w:p w14:paraId="17C18C8F" w14:textId="77777777" w:rsidR="002C0FD9" w:rsidRPr="00CA25CF" w:rsidRDefault="002C0FD9" w:rsidP="00CA25CF">
            <w:pPr>
              <w:rPr>
                <w:rFonts w:cs="Arial"/>
                <w:color w:val="FF0000"/>
                <w:sz w:val="21"/>
                <w:szCs w:val="21"/>
              </w:rPr>
            </w:pPr>
          </w:p>
        </w:tc>
        <w:tc>
          <w:tcPr>
            <w:tcW w:w="217" w:type="dxa"/>
          </w:tcPr>
          <w:p w14:paraId="773A0CA2" w14:textId="77777777" w:rsidR="002C0FD9" w:rsidRPr="00CA25CF" w:rsidRDefault="002C0FD9" w:rsidP="00CA25CF">
            <w:pPr>
              <w:rPr>
                <w:rFonts w:cs="Arial"/>
                <w:color w:val="FF0000"/>
                <w:sz w:val="21"/>
                <w:szCs w:val="21"/>
              </w:rPr>
            </w:pPr>
          </w:p>
        </w:tc>
        <w:tc>
          <w:tcPr>
            <w:tcW w:w="217" w:type="dxa"/>
          </w:tcPr>
          <w:p w14:paraId="09039605" w14:textId="77777777" w:rsidR="002C0FD9" w:rsidRPr="00CA25CF" w:rsidRDefault="002C0FD9" w:rsidP="00CA25CF">
            <w:pPr>
              <w:rPr>
                <w:rFonts w:cs="Arial"/>
                <w:color w:val="FF0000"/>
                <w:sz w:val="21"/>
                <w:szCs w:val="21"/>
              </w:rPr>
            </w:pPr>
          </w:p>
        </w:tc>
        <w:tc>
          <w:tcPr>
            <w:tcW w:w="217" w:type="dxa"/>
          </w:tcPr>
          <w:p w14:paraId="699EF855" w14:textId="77777777" w:rsidR="002C0FD9" w:rsidRPr="00CA25CF" w:rsidRDefault="002C0FD9" w:rsidP="00CA25CF">
            <w:pPr>
              <w:rPr>
                <w:rFonts w:cs="Arial"/>
                <w:color w:val="FF0000"/>
                <w:sz w:val="21"/>
                <w:szCs w:val="21"/>
              </w:rPr>
            </w:pPr>
          </w:p>
        </w:tc>
        <w:tc>
          <w:tcPr>
            <w:tcW w:w="217" w:type="dxa"/>
          </w:tcPr>
          <w:p w14:paraId="12A9CFC4" w14:textId="77777777" w:rsidR="002C0FD9" w:rsidRPr="00CA25CF" w:rsidRDefault="002C0FD9" w:rsidP="00CA25CF">
            <w:pPr>
              <w:rPr>
                <w:rFonts w:cs="Arial"/>
                <w:color w:val="FF0000"/>
                <w:sz w:val="21"/>
                <w:szCs w:val="21"/>
              </w:rPr>
            </w:pPr>
          </w:p>
        </w:tc>
        <w:tc>
          <w:tcPr>
            <w:tcW w:w="217" w:type="dxa"/>
          </w:tcPr>
          <w:p w14:paraId="1794417C" w14:textId="77777777" w:rsidR="002C0FD9" w:rsidRPr="00CA25CF" w:rsidRDefault="002C0FD9" w:rsidP="00CA25CF">
            <w:pPr>
              <w:rPr>
                <w:rFonts w:cs="Arial"/>
                <w:color w:val="FF0000"/>
                <w:sz w:val="21"/>
                <w:szCs w:val="21"/>
              </w:rPr>
            </w:pPr>
          </w:p>
        </w:tc>
        <w:tc>
          <w:tcPr>
            <w:tcW w:w="217" w:type="dxa"/>
          </w:tcPr>
          <w:p w14:paraId="2DA0FD20" w14:textId="77777777" w:rsidR="002C0FD9" w:rsidRPr="00CA25CF" w:rsidRDefault="002C0FD9" w:rsidP="00CA25CF">
            <w:pPr>
              <w:rPr>
                <w:rFonts w:cs="Arial"/>
                <w:color w:val="FF0000"/>
                <w:sz w:val="21"/>
                <w:szCs w:val="21"/>
              </w:rPr>
            </w:pPr>
          </w:p>
        </w:tc>
        <w:tc>
          <w:tcPr>
            <w:tcW w:w="217" w:type="dxa"/>
          </w:tcPr>
          <w:p w14:paraId="141B8E9E" w14:textId="77777777" w:rsidR="002C0FD9" w:rsidRPr="00CA25CF" w:rsidRDefault="002C0FD9" w:rsidP="00CA25CF">
            <w:pPr>
              <w:rPr>
                <w:rFonts w:cs="Arial"/>
                <w:color w:val="FF0000"/>
                <w:sz w:val="21"/>
                <w:szCs w:val="21"/>
              </w:rPr>
            </w:pPr>
          </w:p>
        </w:tc>
        <w:tc>
          <w:tcPr>
            <w:tcW w:w="217" w:type="dxa"/>
          </w:tcPr>
          <w:p w14:paraId="003AFCA6" w14:textId="77777777" w:rsidR="002C0FD9" w:rsidRPr="00CA25CF" w:rsidRDefault="002C0FD9" w:rsidP="00CA25CF">
            <w:pPr>
              <w:rPr>
                <w:rFonts w:cs="Arial"/>
                <w:color w:val="FF0000"/>
                <w:sz w:val="21"/>
                <w:szCs w:val="21"/>
              </w:rPr>
            </w:pPr>
          </w:p>
        </w:tc>
        <w:tc>
          <w:tcPr>
            <w:tcW w:w="217" w:type="dxa"/>
          </w:tcPr>
          <w:p w14:paraId="71FB1716" w14:textId="77777777" w:rsidR="002C0FD9" w:rsidRPr="00CA25CF" w:rsidRDefault="002C0FD9" w:rsidP="00CA25CF">
            <w:pPr>
              <w:rPr>
                <w:rFonts w:cs="Arial"/>
                <w:color w:val="FF0000"/>
                <w:sz w:val="21"/>
                <w:szCs w:val="21"/>
              </w:rPr>
            </w:pPr>
          </w:p>
        </w:tc>
        <w:tc>
          <w:tcPr>
            <w:tcW w:w="217" w:type="dxa"/>
          </w:tcPr>
          <w:p w14:paraId="48B19C55" w14:textId="77777777" w:rsidR="002C0FD9" w:rsidRPr="00CA25CF" w:rsidRDefault="002C0FD9" w:rsidP="00CA25CF">
            <w:pPr>
              <w:rPr>
                <w:rFonts w:cs="Arial"/>
                <w:color w:val="FF0000"/>
                <w:sz w:val="21"/>
                <w:szCs w:val="21"/>
              </w:rPr>
            </w:pPr>
          </w:p>
        </w:tc>
        <w:tc>
          <w:tcPr>
            <w:tcW w:w="217" w:type="dxa"/>
          </w:tcPr>
          <w:p w14:paraId="60C73BF9" w14:textId="77777777" w:rsidR="002C0FD9" w:rsidRPr="00CA25CF" w:rsidRDefault="002C0FD9" w:rsidP="00CA25CF">
            <w:pPr>
              <w:rPr>
                <w:rFonts w:cs="Arial"/>
                <w:color w:val="FF0000"/>
                <w:sz w:val="21"/>
                <w:szCs w:val="21"/>
              </w:rPr>
            </w:pPr>
          </w:p>
        </w:tc>
        <w:tc>
          <w:tcPr>
            <w:tcW w:w="217" w:type="dxa"/>
          </w:tcPr>
          <w:p w14:paraId="5654AA27" w14:textId="77777777" w:rsidR="002C0FD9" w:rsidRPr="00CA25CF" w:rsidRDefault="002C0FD9" w:rsidP="00CA25CF">
            <w:pPr>
              <w:rPr>
                <w:rFonts w:cs="Arial"/>
                <w:color w:val="FF0000"/>
                <w:sz w:val="21"/>
                <w:szCs w:val="21"/>
              </w:rPr>
            </w:pPr>
          </w:p>
        </w:tc>
        <w:tc>
          <w:tcPr>
            <w:tcW w:w="217" w:type="dxa"/>
          </w:tcPr>
          <w:p w14:paraId="09108D30" w14:textId="77777777" w:rsidR="002C0FD9" w:rsidRPr="00CA25CF" w:rsidRDefault="002C0FD9" w:rsidP="00CA25CF">
            <w:pPr>
              <w:rPr>
                <w:rFonts w:cs="Arial"/>
                <w:color w:val="FF0000"/>
                <w:sz w:val="21"/>
                <w:szCs w:val="21"/>
              </w:rPr>
            </w:pPr>
          </w:p>
        </w:tc>
        <w:tc>
          <w:tcPr>
            <w:tcW w:w="217" w:type="dxa"/>
          </w:tcPr>
          <w:p w14:paraId="5B0516F2" w14:textId="77777777" w:rsidR="002C0FD9" w:rsidRPr="00CA25CF" w:rsidRDefault="002C0FD9" w:rsidP="00CA25CF">
            <w:pPr>
              <w:rPr>
                <w:rFonts w:cs="Arial"/>
                <w:color w:val="FF0000"/>
                <w:sz w:val="21"/>
                <w:szCs w:val="21"/>
              </w:rPr>
            </w:pPr>
          </w:p>
        </w:tc>
        <w:tc>
          <w:tcPr>
            <w:tcW w:w="217" w:type="dxa"/>
          </w:tcPr>
          <w:p w14:paraId="6D4E17B4" w14:textId="77777777" w:rsidR="002C0FD9" w:rsidRPr="00CA25CF" w:rsidRDefault="002C0FD9" w:rsidP="00CA25CF">
            <w:pPr>
              <w:rPr>
                <w:rFonts w:cs="Arial"/>
                <w:color w:val="FF0000"/>
                <w:sz w:val="21"/>
                <w:szCs w:val="21"/>
              </w:rPr>
            </w:pPr>
          </w:p>
        </w:tc>
        <w:tc>
          <w:tcPr>
            <w:tcW w:w="217" w:type="dxa"/>
          </w:tcPr>
          <w:p w14:paraId="67F053C4" w14:textId="77777777" w:rsidR="002C0FD9" w:rsidRPr="00CA25CF" w:rsidRDefault="002C0FD9" w:rsidP="00CA25CF">
            <w:pPr>
              <w:rPr>
                <w:rFonts w:cs="Arial"/>
                <w:color w:val="FF0000"/>
                <w:sz w:val="21"/>
                <w:szCs w:val="21"/>
              </w:rPr>
            </w:pPr>
          </w:p>
        </w:tc>
        <w:tc>
          <w:tcPr>
            <w:tcW w:w="217" w:type="dxa"/>
          </w:tcPr>
          <w:p w14:paraId="09CA7E51" w14:textId="77777777" w:rsidR="002C0FD9" w:rsidRPr="00CA25CF" w:rsidRDefault="002C0FD9" w:rsidP="00CA25CF">
            <w:pPr>
              <w:rPr>
                <w:rFonts w:cs="Arial"/>
                <w:color w:val="FF0000"/>
                <w:sz w:val="21"/>
                <w:szCs w:val="21"/>
              </w:rPr>
            </w:pPr>
          </w:p>
        </w:tc>
        <w:tc>
          <w:tcPr>
            <w:tcW w:w="217" w:type="dxa"/>
          </w:tcPr>
          <w:p w14:paraId="385CA36C" w14:textId="77777777" w:rsidR="002C0FD9" w:rsidRPr="00CA25CF" w:rsidRDefault="002C0FD9" w:rsidP="00CA25CF">
            <w:pPr>
              <w:rPr>
                <w:rFonts w:cs="Arial"/>
                <w:color w:val="FF0000"/>
                <w:sz w:val="21"/>
                <w:szCs w:val="21"/>
              </w:rPr>
            </w:pPr>
          </w:p>
        </w:tc>
      </w:tr>
      <w:tr w:rsidR="002C0FD9" w:rsidRPr="00A16219" w14:paraId="05101F09" w14:textId="77777777" w:rsidTr="002C0FD9">
        <w:trPr>
          <w:trHeight w:val="635"/>
        </w:trPr>
        <w:tc>
          <w:tcPr>
            <w:tcW w:w="515" w:type="dxa"/>
          </w:tcPr>
          <w:p w14:paraId="03A945BD" w14:textId="77777777" w:rsidR="002C0FD9" w:rsidRPr="00CA25CF" w:rsidRDefault="002C0FD9" w:rsidP="00CA25CF">
            <w:pPr>
              <w:rPr>
                <w:rFonts w:cs="Arial"/>
                <w:color w:val="FF0000"/>
                <w:sz w:val="21"/>
                <w:szCs w:val="21"/>
              </w:rPr>
            </w:pPr>
          </w:p>
        </w:tc>
        <w:tc>
          <w:tcPr>
            <w:tcW w:w="217" w:type="dxa"/>
          </w:tcPr>
          <w:p w14:paraId="0FE505C1" w14:textId="77777777" w:rsidR="002C0FD9" w:rsidRPr="00CA25CF" w:rsidRDefault="002C0FD9" w:rsidP="00CA25CF">
            <w:pPr>
              <w:rPr>
                <w:rFonts w:cs="Arial"/>
                <w:color w:val="FF0000"/>
                <w:sz w:val="21"/>
                <w:szCs w:val="21"/>
              </w:rPr>
            </w:pPr>
          </w:p>
        </w:tc>
        <w:tc>
          <w:tcPr>
            <w:tcW w:w="217" w:type="dxa"/>
          </w:tcPr>
          <w:p w14:paraId="601A8963" w14:textId="77777777" w:rsidR="002C0FD9" w:rsidRPr="00CA25CF" w:rsidRDefault="002C0FD9" w:rsidP="00CA25CF">
            <w:pPr>
              <w:rPr>
                <w:rFonts w:cs="Arial"/>
                <w:color w:val="FF0000"/>
                <w:sz w:val="21"/>
                <w:szCs w:val="21"/>
              </w:rPr>
            </w:pPr>
          </w:p>
        </w:tc>
        <w:tc>
          <w:tcPr>
            <w:tcW w:w="217" w:type="dxa"/>
          </w:tcPr>
          <w:p w14:paraId="751597B8" w14:textId="77777777" w:rsidR="002C0FD9" w:rsidRPr="00CA25CF" w:rsidRDefault="002C0FD9" w:rsidP="00CA25CF">
            <w:pPr>
              <w:rPr>
                <w:rFonts w:cs="Arial"/>
                <w:color w:val="FF0000"/>
                <w:sz w:val="21"/>
                <w:szCs w:val="21"/>
              </w:rPr>
            </w:pPr>
          </w:p>
        </w:tc>
        <w:tc>
          <w:tcPr>
            <w:tcW w:w="217" w:type="dxa"/>
          </w:tcPr>
          <w:p w14:paraId="586A583E" w14:textId="77777777" w:rsidR="002C0FD9" w:rsidRPr="00CA25CF" w:rsidRDefault="002C0FD9" w:rsidP="00CA25CF">
            <w:pPr>
              <w:rPr>
                <w:rFonts w:cs="Arial"/>
                <w:color w:val="FF0000"/>
                <w:sz w:val="21"/>
                <w:szCs w:val="21"/>
              </w:rPr>
            </w:pPr>
          </w:p>
        </w:tc>
        <w:tc>
          <w:tcPr>
            <w:tcW w:w="217" w:type="dxa"/>
          </w:tcPr>
          <w:p w14:paraId="02C819AB" w14:textId="77777777" w:rsidR="002C0FD9" w:rsidRPr="00CA25CF" w:rsidRDefault="002C0FD9" w:rsidP="00CA25CF">
            <w:pPr>
              <w:rPr>
                <w:rFonts w:cs="Arial"/>
                <w:color w:val="FF0000"/>
                <w:sz w:val="21"/>
                <w:szCs w:val="21"/>
              </w:rPr>
            </w:pPr>
          </w:p>
        </w:tc>
        <w:tc>
          <w:tcPr>
            <w:tcW w:w="217" w:type="dxa"/>
          </w:tcPr>
          <w:p w14:paraId="518D721D" w14:textId="77777777" w:rsidR="002C0FD9" w:rsidRPr="00CA25CF" w:rsidRDefault="002C0FD9" w:rsidP="00CA25CF">
            <w:pPr>
              <w:rPr>
                <w:rFonts w:cs="Arial"/>
                <w:color w:val="FF0000"/>
                <w:sz w:val="21"/>
                <w:szCs w:val="21"/>
              </w:rPr>
            </w:pPr>
          </w:p>
        </w:tc>
        <w:tc>
          <w:tcPr>
            <w:tcW w:w="217" w:type="dxa"/>
          </w:tcPr>
          <w:p w14:paraId="3A5F96D5" w14:textId="77777777" w:rsidR="002C0FD9" w:rsidRPr="00CA25CF" w:rsidRDefault="002C0FD9" w:rsidP="00CA25CF">
            <w:pPr>
              <w:rPr>
                <w:rFonts w:cs="Arial"/>
                <w:color w:val="FF0000"/>
                <w:sz w:val="21"/>
                <w:szCs w:val="21"/>
              </w:rPr>
            </w:pPr>
          </w:p>
        </w:tc>
        <w:tc>
          <w:tcPr>
            <w:tcW w:w="217" w:type="dxa"/>
          </w:tcPr>
          <w:p w14:paraId="002A4120" w14:textId="77777777" w:rsidR="002C0FD9" w:rsidRPr="00CA25CF" w:rsidRDefault="002C0FD9" w:rsidP="00CA25CF">
            <w:pPr>
              <w:rPr>
                <w:rFonts w:cs="Arial"/>
                <w:color w:val="FF0000"/>
                <w:sz w:val="21"/>
                <w:szCs w:val="21"/>
              </w:rPr>
            </w:pPr>
          </w:p>
        </w:tc>
        <w:tc>
          <w:tcPr>
            <w:tcW w:w="217" w:type="dxa"/>
          </w:tcPr>
          <w:p w14:paraId="701110A2" w14:textId="77777777" w:rsidR="002C0FD9" w:rsidRPr="00CA25CF" w:rsidRDefault="002C0FD9" w:rsidP="00CA25CF">
            <w:pPr>
              <w:rPr>
                <w:rFonts w:cs="Arial"/>
                <w:color w:val="FF0000"/>
                <w:sz w:val="21"/>
                <w:szCs w:val="21"/>
              </w:rPr>
            </w:pPr>
          </w:p>
        </w:tc>
        <w:tc>
          <w:tcPr>
            <w:tcW w:w="217" w:type="dxa"/>
          </w:tcPr>
          <w:p w14:paraId="59B816E7" w14:textId="77777777" w:rsidR="002C0FD9" w:rsidRPr="00CA25CF" w:rsidRDefault="002C0FD9" w:rsidP="00CA25CF">
            <w:pPr>
              <w:rPr>
                <w:rFonts w:cs="Arial"/>
                <w:color w:val="FF0000"/>
                <w:sz w:val="21"/>
                <w:szCs w:val="21"/>
              </w:rPr>
            </w:pPr>
          </w:p>
        </w:tc>
        <w:tc>
          <w:tcPr>
            <w:tcW w:w="217" w:type="dxa"/>
          </w:tcPr>
          <w:p w14:paraId="06539455" w14:textId="77777777" w:rsidR="002C0FD9" w:rsidRPr="00CA25CF" w:rsidRDefault="002C0FD9" w:rsidP="00CA25CF">
            <w:pPr>
              <w:rPr>
                <w:rFonts w:cs="Arial"/>
                <w:color w:val="FF0000"/>
                <w:sz w:val="21"/>
                <w:szCs w:val="21"/>
              </w:rPr>
            </w:pPr>
          </w:p>
        </w:tc>
        <w:tc>
          <w:tcPr>
            <w:tcW w:w="217" w:type="dxa"/>
          </w:tcPr>
          <w:p w14:paraId="4F6E3062" w14:textId="77777777" w:rsidR="002C0FD9" w:rsidRPr="00CA25CF" w:rsidRDefault="002C0FD9" w:rsidP="00CA25CF">
            <w:pPr>
              <w:rPr>
                <w:rFonts w:cs="Arial"/>
                <w:color w:val="FF0000"/>
                <w:sz w:val="21"/>
                <w:szCs w:val="21"/>
              </w:rPr>
            </w:pPr>
          </w:p>
        </w:tc>
        <w:tc>
          <w:tcPr>
            <w:tcW w:w="217" w:type="dxa"/>
          </w:tcPr>
          <w:p w14:paraId="5142FF95" w14:textId="77777777" w:rsidR="002C0FD9" w:rsidRPr="00CA25CF" w:rsidRDefault="002C0FD9" w:rsidP="00CA25CF">
            <w:pPr>
              <w:rPr>
                <w:rFonts w:cs="Arial"/>
                <w:color w:val="FF0000"/>
                <w:sz w:val="21"/>
                <w:szCs w:val="21"/>
              </w:rPr>
            </w:pPr>
          </w:p>
        </w:tc>
        <w:tc>
          <w:tcPr>
            <w:tcW w:w="217" w:type="dxa"/>
          </w:tcPr>
          <w:p w14:paraId="1253EB1F" w14:textId="77777777" w:rsidR="002C0FD9" w:rsidRPr="00CA25CF" w:rsidRDefault="002C0FD9" w:rsidP="00CA25CF">
            <w:pPr>
              <w:rPr>
                <w:rFonts w:cs="Arial"/>
                <w:color w:val="FF0000"/>
                <w:sz w:val="21"/>
                <w:szCs w:val="21"/>
              </w:rPr>
            </w:pPr>
          </w:p>
        </w:tc>
        <w:tc>
          <w:tcPr>
            <w:tcW w:w="217" w:type="dxa"/>
          </w:tcPr>
          <w:p w14:paraId="386FBEA2" w14:textId="77777777" w:rsidR="002C0FD9" w:rsidRPr="00CA25CF" w:rsidRDefault="002C0FD9" w:rsidP="00CA25CF">
            <w:pPr>
              <w:rPr>
                <w:rFonts w:cs="Arial"/>
                <w:color w:val="FF0000"/>
                <w:sz w:val="21"/>
                <w:szCs w:val="21"/>
              </w:rPr>
            </w:pPr>
          </w:p>
        </w:tc>
        <w:tc>
          <w:tcPr>
            <w:tcW w:w="217" w:type="dxa"/>
          </w:tcPr>
          <w:p w14:paraId="31F1136F" w14:textId="77777777" w:rsidR="002C0FD9" w:rsidRPr="00CA25CF" w:rsidRDefault="002C0FD9" w:rsidP="00CA25CF">
            <w:pPr>
              <w:rPr>
                <w:rFonts w:cs="Arial"/>
                <w:color w:val="FF0000"/>
                <w:sz w:val="21"/>
                <w:szCs w:val="21"/>
              </w:rPr>
            </w:pPr>
          </w:p>
        </w:tc>
        <w:tc>
          <w:tcPr>
            <w:tcW w:w="217" w:type="dxa"/>
          </w:tcPr>
          <w:p w14:paraId="08836737" w14:textId="77777777" w:rsidR="002C0FD9" w:rsidRPr="00CA25CF" w:rsidRDefault="002C0FD9" w:rsidP="00CA25CF">
            <w:pPr>
              <w:rPr>
                <w:rFonts w:cs="Arial"/>
                <w:color w:val="FF0000"/>
                <w:sz w:val="21"/>
                <w:szCs w:val="21"/>
              </w:rPr>
            </w:pPr>
          </w:p>
        </w:tc>
        <w:tc>
          <w:tcPr>
            <w:tcW w:w="217" w:type="dxa"/>
          </w:tcPr>
          <w:p w14:paraId="341B4CF2" w14:textId="77777777" w:rsidR="002C0FD9" w:rsidRPr="00CA25CF" w:rsidRDefault="002C0FD9" w:rsidP="00CA25CF">
            <w:pPr>
              <w:rPr>
                <w:rFonts w:cs="Arial"/>
                <w:color w:val="FF0000"/>
                <w:sz w:val="21"/>
                <w:szCs w:val="21"/>
              </w:rPr>
            </w:pPr>
          </w:p>
        </w:tc>
        <w:tc>
          <w:tcPr>
            <w:tcW w:w="217" w:type="dxa"/>
          </w:tcPr>
          <w:p w14:paraId="1663C0F3" w14:textId="77777777" w:rsidR="002C0FD9" w:rsidRPr="00CA25CF" w:rsidRDefault="002C0FD9" w:rsidP="00CA25CF">
            <w:pPr>
              <w:rPr>
                <w:rFonts w:cs="Arial"/>
                <w:color w:val="FF0000"/>
                <w:sz w:val="21"/>
                <w:szCs w:val="21"/>
              </w:rPr>
            </w:pPr>
          </w:p>
        </w:tc>
        <w:tc>
          <w:tcPr>
            <w:tcW w:w="217" w:type="dxa"/>
          </w:tcPr>
          <w:p w14:paraId="0BEDE660" w14:textId="77777777" w:rsidR="002C0FD9" w:rsidRPr="00CA25CF" w:rsidRDefault="002C0FD9" w:rsidP="00CA25CF">
            <w:pPr>
              <w:rPr>
                <w:rFonts w:cs="Arial"/>
                <w:color w:val="FF0000"/>
                <w:sz w:val="21"/>
                <w:szCs w:val="21"/>
              </w:rPr>
            </w:pPr>
          </w:p>
        </w:tc>
        <w:tc>
          <w:tcPr>
            <w:tcW w:w="217" w:type="dxa"/>
          </w:tcPr>
          <w:p w14:paraId="40AB97EA" w14:textId="77777777" w:rsidR="002C0FD9" w:rsidRPr="00CA25CF" w:rsidRDefault="002C0FD9" w:rsidP="00CA25CF">
            <w:pPr>
              <w:rPr>
                <w:rFonts w:cs="Arial"/>
                <w:color w:val="FF0000"/>
                <w:sz w:val="21"/>
                <w:szCs w:val="21"/>
              </w:rPr>
            </w:pPr>
          </w:p>
        </w:tc>
        <w:tc>
          <w:tcPr>
            <w:tcW w:w="217" w:type="dxa"/>
          </w:tcPr>
          <w:p w14:paraId="11EFB7D7" w14:textId="77777777" w:rsidR="002C0FD9" w:rsidRPr="00CA25CF" w:rsidRDefault="002C0FD9" w:rsidP="00CA25CF">
            <w:pPr>
              <w:rPr>
                <w:rFonts w:cs="Arial"/>
                <w:color w:val="FF0000"/>
                <w:sz w:val="21"/>
                <w:szCs w:val="21"/>
              </w:rPr>
            </w:pPr>
          </w:p>
        </w:tc>
        <w:tc>
          <w:tcPr>
            <w:tcW w:w="217" w:type="dxa"/>
          </w:tcPr>
          <w:p w14:paraId="346C5FB0" w14:textId="77777777" w:rsidR="002C0FD9" w:rsidRPr="00CA25CF" w:rsidRDefault="002C0FD9" w:rsidP="00CA25CF">
            <w:pPr>
              <w:rPr>
                <w:rFonts w:cs="Arial"/>
                <w:color w:val="FF0000"/>
                <w:sz w:val="21"/>
                <w:szCs w:val="21"/>
              </w:rPr>
            </w:pPr>
          </w:p>
        </w:tc>
        <w:tc>
          <w:tcPr>
            <w:tcW w:w="217" w:type="dxa"/>
          </w:tcPr>
          <w:p w14:paraId="3C9FBFB3" w14:textId="77777777" w:rsidR="002C0FD9" w:rsidRPr="00CA25CF" w:rsidRDefault="002C0FD9" w:rsidP="00CA25CF">
            <w:pPr>
              <w:rPr>
                <w:rFonts w:cs="Arial"/>
                <w:color w:val="FF0000"/>
                <w:sz w:val="21"/>
                <w:szCs w:val="21"/>
              </w:rPr>
            </w:pPr>
          </w:p>
        </w:tc>
        <w:tc>
          <w:tcPr>
            <w:tcW w:w="217" w:type="dxa"/>
          </w:tcPr>
          <w:p w14:paraId="578A0AEC" w14:textId="77777777" w:rsidR="002C0FD9" w:rsidRPr="00CA25CF" w:rsidRDefault="002C0FD9" w:rsidP="00CA25CF">
            <w:pPr>
              <w:rPr>
                <w:rFonts w:cs="Arial"/>
                <w:color w:val="FF0000"/>
                <w:sz w:val="21"/>
                <w:szCs w:val="21"/>
              </w:rPr>
            </w:pPr>
          </w:p>
        </w:tc>
        <w:tc>
          <w:tcPr>
            <w:tcW w:w="217" w:type="dxa"/>
          </w:tcPr>
          <w:p w14:paraId="65D1D1DB" w14:textId="77777777" w:rsidR="002C0FD9" w:rsidRPr="00CA25CF" w:rsidRDefault="002C0FD9" w:rsidP="00CA25CF">
            <w:pPr>
              <w:rPr>
                <w:rFonts w:cs="Arial"/>
                <w:color w:val="FF0000"/>
                <w:sz w:val="21"/>
                <w:szCs w:val="21"/>
              </w:rPr>
            </w:pPr>
          </w:p>
        </w:tc>
        <w:tc>
          <w:tcPr>
            <w:tcW w:w="217" w:type="dxa"/>
          </w:tcPr>
          <w:p w14:paraId="3D6C9B65" w14:textId="77777777" w:rsidR="002C0FD9" w:rsidRPr="00CA25CF" w:rsidRDefault="002C0FD9" w:rsidP="00CA25CF">
            <w:pPr>
              <w:rPr>
                <w:rFonts w:cs="Arial"/>
                <w:color w:val="FF0000"/>
                <w:sz w:val="21"/>
                <w:szCs w:val="21"/>
              </w:rPr>
            </w:pPr>
          </w:p>
        </w:tc>
        <w:tc>
          <w:tcPr>
            <w:tcW w:w="217" w:type="dxa"/>
          </w:tcPr>
          <w:p w14:paraId="0A924D8F" w14:textId="77777777" w:rsidR="002C0FD9" w:rsidRPr="00CA25CF" w:rsidRDefault="002C0FD9" w:rsidP="00CA25CF">
            <w:pPr>
              <w:rPr>
                <w:rFonts w:cs="Arial"/>
                <w:color w:val="FF0000"/>
                <w:sz w:val="21"/>
                <w:szCs w:val="21"/>
              </w:rPr>
            </w:pPr>
          </w:p>
        </w:tc>
        <w:tc>
          <w:tcPr>
            <w:tcW w:w="217" w:type="dxa"/>
          </w:tcPr>
          <w:p w14:paraId="29B60E97" w14:textId="77777777" w:rsidR="002C0FD9" w:rsidRPr="00CA25CF" w:rsidRDefault="002C0FD9" w:rsidP="00CA25CF">
            <w:pPr>
              <w:rPr>
                <w:rFonts w:cs="Arial"/>
                <w:color w:val="FF0000"/>
                <w:sz w:val="21"/>
                <w:szCs w:val="21"/>
              </w:rPr>
            </w:pPr>
          </w:p>
        </w:tc>
        <w:tc>
          <w:tcPr>
            <w:tcW w:w="217" w:type="dxa"/>
          </w:tcPr>
          <w:p w14:paraId="485A6DB4" w14:textId="77777777" w:rsidR="002C0FD9" w:rsidRPr="00CA25CF" w:rsidRDefault="002C0FD9" w:rsidP="00CA25CF">
            <w:pPr>
              <w:rPr>
                <w:rFonts w:cs="Arial"/>
                <w:color w:val="FF0000"/>
                <w:sz w:val="21"/>
                <w:szCs w:val="21"/>
              </w:rPr>
            </w:pPr>
          </w:p>
        </w:tc>
        <w:tc>
          <w:tcPr>
            <w:tcW w:w="217" w:type="dxa"/>
          </w:tcPr>
          <w:p w14:paraId="502F6ABB" w14:textId="77777777" w:rsidR="002C0FD9" w:rsidRPr="00CA25CF" w:rsidRDefault="002C0FD9" w:rsidP="00CA25CF">
            <w:pPr>
              <w:rPr>
                <w:rFonts w:cs="Arial"/>
                <w:color w:val="FF0000"/>
                <w:sz w:val="21"/>
                <w:szCs w:val="21"/>
              </w:rPr>
            </w:pPr>
          </w:p>
        </w:tc>
        <w:tc>
          <w:tcPr>
            <w:tcW w:w="217" w:type="dxa"/>
          </w:tcPr>
          <w:p w14:paraId="461E67B1" w14:textId="77777777" w:rsidR="002C0FD9" w:rsidRPr="00CA25CF" w:rsidRDefault="002C0FD9" w:rsidP="00CA25CF">
            <w:pPr>
              <w:rPr>
                <w:rFonts w:cs="Arial"/>
                <w:color w:val="FF0000"/>
                <w:sz w:val="21"/>
                <w:szCs w:val="21"/>
              </w:rPr>
            </w:pPr>
          </w:p>
        </w:tc>
        <w:tc>
          <w:tcPr>
            <w:tcW w:w="217" w:type="dxa"/>
          </w:tcPr>
          <w:p w14:paraId="177CD063" w14:textId="77777777" w:rsidR="002C0FD9" w:rsidRPr="00CA25CF" w:rsidRDefault="002C0FD9" w:rsidP="00CA25CF">
            <w:pPr>
              <w:rPr>
                <w:rFonts w:cs="Arial"/>
                <w:color w:val="FF0000"/>
                <w:sz w:val="21"/>
                <w:szCs w:val="21"/>
              </w:rPr>
            </w:pPr>
          </w:p>
        </w:tc>
        <w:tc>
          <w:tcPr>
            <w:tcW w:w="217" w:type="dxa"/>
          </w:tcPr>
          <w:p w14:paraId="2A532CB3" w14:textId="77777777" w:rsidR="002C0FD9" w:rsidRPr="00CA25CF" w:rsidRDefault="002C0FD9" w:rsidP="00CA25CF">
            <w:pPr>
              <w:rPr>
                <w:rFonts w:cs="Arial"/>
                <w:color w:val="FF0000"/>
                <w:sz w:val="21"/>
                <w:szCs w:val="21"/>
              </w:rPr>
            </w:pPr>
          </w:p>
        </w:tc>
        <w:tc>
          <w:tcPr>
            <w:tcW w:w="217" w:type="dxa"/>
          </w:tcPr>
          <w:p w14:paraId="53E6947C" w14:textId="77777777" w:rsidR="002C0FD9" w:rsidRPr="00CA25CF" w:rsidRDefault="002C0FD9" w:rsidP="00CA25CF">
            <w:pPr>
              <w:rPr>
                <w:rFonts w:cs="Arial"/>
                <w:color w:val="FF0000"/>
                <w:sz w:val="21"/>
                <w:szCs w:val="21"/>
              </w:rPr>
            </w:pPr>
          </w:p>
        </w:tc>
        <w:tc>
          <w:tcPr>
            <w:tcW w:w="217" w:type="dxa"/>
          </w:tcPr>
          <w:p w14:paraId="4FDB417F" w14:textId="77777777" w:rsidR="002C0FD9" w:rsidRPr="00CA25CF" w:rsidRDefault="002C0FD9" w:rsidP="00CA25CF">
            <w:pPr>
              <w:rPr>
                <w:rFonts w:cs="Arial"/>
                <w:color w:val="FF0000"/>
                <w:sz w:val="21"/>
                <w:szCs w:val="21"/>
              </w:rPr>
            </w:pPr>
          </w:p>
        </w:tc>
        <w:tc>
          <w:tcPr>
            <w:tcW w:w="217" w:type="dxa"/>
          </w:tcPr>
          <w:p w14:paraId="296C86EB" w14:textId="77777777" w:rsidR="002C0FD9" w:rsidRPr="00CA25CF" w:rsidRDefault="002C0FD9" w:rsidP="00CA25CF">
            <w:pPr>
              <w:rPr>
                <w:rFonts w:cs="Arial"/>
                <w:color w:val="FF0000"/>
                <w:sz w:val="21"/>
                <w:szCs w:val="21"/>
              </w:rPr>
            </w:pPr>
          </w:p>
        </w:tc>
        <w:tc>
          <w:tcPr>
            <w:tcW w:w="217" w:type="dxa"/>
          </w:tcPr>
          <w:p w14:paraId="4380C0C9" w14:textId="77777777" w:rsidR="002C0FD9" w:rsidRPr="00CA25CF" w:rsidRDefault="002C0FD9" w:rsidP="00CA25CF">
            <w:pPr>
              <w:rPr>
                <w:rFonts w:cs="Arial"/>
                <w:color w:val="FF0000"/>
                <w:sz w:val="21"/>
                <w:szCs w:val="21"/>
              </w:rPr>
            </w:pPr>
          </w:p>
        </w:tc>
        <w:tc>
          <w:tcPr>
            <w:tcW w:w="217" w:type="dxa"/>
          </w:tcPr>
          <w:p w14:paraId="3D70A993" w14:textId="77777777" w:rsidR="002C0FD9" w:rsidRPr="00CA25CF" w:rsidRDefault="002C0FD9" w:rsidP="00CA25CF">
            <w:pPr>
              <w:rPr>
                <w:rFonts w:cs="Arial"/>
                <w:color w:val="FF0000"/>
                <w:sz w:val="21"/>
                <w:szCs w:val="21"/>
              </w:rPr>
            </w:pPr>
          </w:p>
        </w:tc>
        <w:tc>
          <w:tcPr>
            <w:tcW w:w="217" w:type="dxa"/>
          </w:tcPr>
          <w:p w14:paraId="26263BFA" w14:textId="77777777" w:rsidR="002C0FD9" w:rsidRPr="00CA25CF" w:rsidRDefault="002C0FD9" w:rsidP="00CA25CF">
            <w:pPr>
              <w:rPr>
                <w:rFonts w:cs="Arial"/>
                <w:color w:val="FF0000"/>
                <w:sz w:val="21"/>
                <w:szCs w:val="21"/>
              </w:rPr>
            </w:pPr>
          </w:p>
        </w:tc>
        <w:tc>
          <w:tcPr>
            <w:tcW w:w="217" w:type="dxa"/>
          </w:tcPr>
          <w:p w14:paraId="23D7BBEA" w14:textId="77777777" w:rsidR="002C0FD9" w:rsidRPr="00CA25CF" w:rsidRDefault="002C0FD9" w:rsidP="00CA25CF">
            <w:pPr>
              <w:rPr>
                <w:rFonts w:cs="Arial"/>
                <w:color w:val="FF0000"/>
                <w:sz w:val="21"/>
                <w:szCs w:val="21"/>
              </w:rPr>
            </w:pPr>
          </w:p>
        </w:tc>
        <w:tc>
          <w:tcPr>
            <w:tcW w:w="217" w:type="dxa"/>
          </w:tcPr>
          <w:p w14:paraId="2650CE89" w14:textId="77777777" w:rsidR="002C0FD9" w:rsidRPr="00CA25CF" w:rsidRDefault="002C0FD9" w:rsidP="00CA25CF">
            <w:pPr>
              <w:rPr>
                <w:rFonts w:cs="Arial"/>
                <w:color w:val="FF0000"/>
                <w:sz w:val="21"/>
                <w:szCs w:val="21"/>
              </w:rPr>
            </w:pPr>
          </w:p>
        </w:tc>
      </w:tr>
      <w:tr w:rsidR="002C0FD9" w:rsidRPr="00A16219" w14:paraId="6BC384A0" w14:textId="77777777" w:rsidTr="002C0FD9">
        <w:trPr>
          <w:trHeight w:val="635"/>
        </w:trPr>
        <w:tc>
          <w:tcPr>
            <w:tcW w:w="515" w:type="dxa"/>
          </w:tcPr>
          <w:p w14:paraId="568357C3" w14:textId="77777777" w:rsidR="002C0FD9" w:rsidRPr="00CA25CF" w:rsidRDefault="002C0FD9" w:rsidP="00CA25CF">
            <w:pPr>
              <w:rPr>
                <w:rFonts w:cs="Arial"/>
                <w:color w:val="FF0000"/>
                <w:sz w:val="21"/>
                <w:szCs w:val="21"/>
              </w:rPr>
            </w:pPr>
          </w:p>
        </w:tc>
        <w:tc>
          <w:tcPr>
            <w:tcW w:w="217" w:type="dxa"/>
          </w:tcPr>
          <w:p w14:paraId="07CAB639" w14:textId="77777777" w:rsidR="002C0FD9" w:rsidRPr="00CA25CF" w:rsidRDefault="002C0FD9" w:rsidP="00CA25CF">
            <w:pPr>
              <w:rPr>
                <w:rFonts w:cs="Arial"/>
                <w:color w:val="FF0000"/>
                <w:sz w:val="21"/>
                <w:szCs w:val="21"/>
              </w:rPr>
            </w:pPr>
          </w:p>
        </w:tc>
        <w:tc>
          <w:tcPr>
            <w:tcW w:w="217" w:type="dxa"/>
          </w:tcPr>
          <w:p w14:paraId="06BD6F25" w14:textId="77777777" w:rsidR="002C0FD9" w:rsidRPr="00CA25CF" w:rsidRDefault="002C0FD9" w:rsidP="00CA25CF">
            <w:pPr>
              <w:rPr>
                <w:rFonts w:cs="Arial"/>
                <w:color w:val="FF0000"/>
                <w:sz w:val="21"/>
                <w:szCs w:val="21"/>
              </w:rPr>
            </w:pPr>
          </w:p>
        </w:tc>
        <w:tc>
          <w:tcPr>
            <w:tcW w:w="217" w:type="dxa"/>
          </w:tcPr>
          <w:p w14:paraId="2C5D8807" w14:textId="77777777" w:rsidR="002C0FD9" w:rsidRPr="00CA25CF" w:rsidRDefault="002C0FD9" w:rsidP="00CA25CF">
            <w:pPr>
              <w:rPr>
                <w:rFonts w:cs="Arial"/>
                <w:color w:val="FF0000"/>
                <w:sz w:val="21"/>
                <w:szCs w:val="21"/>
              </w:rPr>
            </w:pPr>
          </w:p>
        </w:tc>
        <w:tc>
          <w:tcPr>
            <w:tcW w:w="217" w:type="dxa"/>
          </w:tcPr>
          <w:p w14:paraId="1B38471E" w14:textId="77777777" w:rsidR="002C0FD9" w:rsidRPr="00CA25CF" w:rsidRDefault="002C0FD9" w:rsidP="00CA25CF">
            <w:pPr>
              <w:rPr>
                <w:rFonts w:cs="Arial"/>
                <w:color w:val="FF0000"/>
                <w:sz w:val="21"/>
                <w:szCs w:val="21"/>
              </w:rPr>
            </w:pPr>
          </w:p>
        </w:tc>
        <w:tc>
          <w:tcPr>
            <w:tcW w:w="217" w:type="dxa"/>
          </w:tcPr>
          <w:p w14:paraId="590D03D1" w14:textId="77777777" w:rsidR="002C0FD9" w:rsidRPr="00CA25CF" w:rsidRDefault="002C0FD9" w:rsidP="00CA25CF">
            <w:pPr>
              <w:rPr>
                <w:rFonts w:cs="Arial"/>
                <w:color w:val="FF0000"/>
                <w:sz w:val="21"/>
                <w:szCs w:val="21"/>
              </w:rPr>
            </w:pPr>
          </w:p>
        </w:tc>
        <w:tc>
          <w:tcPr>
            <w:tcW w:w="217" w:type="dxa"/>
          </w:tcPr>
          <w:p w14:paraId="6358526C" w14:textId="77777777" w:rsidR="002C0FD9" w:rsidRPr="00CA25CF" w:rsidRDefault="002C0FD9" w:rsidP="00CA25CF">
            <w:pPr>
              <w:rPr>
                <w:rFonts w:cs="Arial"/>
                <w:color w:val="FF0000"/>
                <w:sz w:val="21"/>
                <w:szCs w:val="21"/>
              </w:rPr>
            </w:pPr>
          </w:p>
        </w:tc>
        <w:tc>
          <w:tcPr>
            <w:tcW w:w="217" w:type="dxa"/>
          </w:tcPr>
          <w:p w14:paraId="4E5EEFD8" w14:textId="77777777" w:rsidR="002C0FD9" w:rsidRPr="00CA25CF" w:rsidRDefault="002C0FD9" w:rsidP="00CA25CF">
            <w:pPr>
              <w:rPr>
                <w:rFonts w:cs="Arial"/>
                <w:color w:val="FF0000"/>
                <w:sz w:val="21"/>
                <w:szCs w:val="21"/>
              </w:rPr>
            </w:pPr>
          </w:p>
        </w:tc>
        <w:tc>
          <w:tcPr>
            <w:tcW w:w="217" w:type="dxa"/>
          </w:tcPr>
          <w:p w14:paraId="2B241FEA" w14:textId="77777777" w:rsidR="002C0FD9" w:rsidRPr="00CA25CF" w:rsidRDefault="002C0FD9" w:rsidP="00CA25CF">
            <w:pPr>
              <w:rPr>
                <w:rFonts w:cs="Arial"/>
                <w:color w:val="FF0000"/>
                <w:sz w:val="21"/>
                <w:szCs w:val="21"/>
              </w:rPr>
            </w:pPr>
          </w:p>
        </w:tc>
        <w:tc>
          <w:tcPr>
            <w:tcW w:w="217" w:type="dxa"/>
          </w:tcPr>
          <w:p w14:paraId="23E923CF" w14:textId="77777777" w:rsidR="002C0FD9" w:rsidRPr="00CA25CF" w:rsidRDefault="002C0FD9" w:rsidP="00CA25CF">
            <w:pPr>
              <w:rPr>
                <w:rFonts w:cs="Arial"/>
                <w:color w:val="FF0000"/>
                <w:sz w:val="21"/>
                <w:szCs w:val="21"/>
              </w:rPr>
            </w:pPr>
          </w:p>
        </w:tc>
        <w:tc>
          <w:tcPr>
            <w:tcW w:w="217" w:type="dxa"/>
          </w:tcPr>
          <w:p w14:paraId="420F80D5" w14:textId="77777777" w:rsidR="002C0FD9" w:rsidRPr="00CA25CF" w:rsidRDefault="002C0FD9" w:rsidP="00CA25CF">
            <w:pPr>
              <w:rPr>
                <w:rFonts w:cs="Arial"/>
                <w:color w:val="FF0000"/>
                <w:sz w:val="21"/>
                <w:szCs w:val="21"/>
              </w:rPr>
            </w:pPr>
          </w:p>
        </w:tc>
        <w:tc>
          <w:tcPr>
            <w:tcW w:w="217" w:type="dxa"/>
          </w:tcPr>
          <w:p w14:paraId="67CE53E7" w14:textId="77777777" w:rsidR="002C0FD9" w:rsidRPr="00CA25CF" w:rsidRDefault="002C0FD9" w:rsidP="00CA25CF">
            <w:pPr>
              <w:rPr>
                <w:rFonts w:cs="Arial"/>
                <w:color w:val="FF0000"/>
                <w:sz w:val="21"/>
                <w:szCs w:val="21"/>
              </w:rPr>
            </w:pPr>
          </w:p>
        </w:tc>
        <w:tc>
          <w:tcPr>
            <w:tcW w:w="217" w:type="dxa"/>
          </w:tcPr>
          <w:p w14:paraId="7175ADAA" w14:textId="77777777" w:rsidR="002C0FD9" w:rsidRPr="00CA25CF" w:rsidRDefault="002C0FD9" w:rsidP="00CA25CF">
            <w:pPr>
              <w:rPr>
                <w:rFonts w:cs="Arial"/>
                <w:color w:val="FF0000"/>
                <w:sz w:val="21"/>
                <w:szCs w:val="21"/>
              </w:rPr>
            </w:pPr>
          </w:p>
        </w:tc>
        <w:tc>
          <w:tcPr>
            <w:tcW w:w="217" w:type="dxa"/>
          </w:tcPr>
          <w:p w14:paraId="4A94506A" w14:textId="77777777" w:rsidR="002C0FD9" w:rsidRPr="00CA25CF" w:rsidRDefault="002C0FD9" w:rsidP="00CA25CF">
            <w:pPr>
              <w:rPr>
                <w:rFonts w:cs="Arial"/>
                <w:color w:val="FF0000"/>
                <w:sz w:val="21"/>
                <w:szCs w:val="21"/>
              </w:rPr>
            </w:pPr>
          </w:p>
        </w:tc>
        <w:tc>
          <w:tcPr>
            <w:tcW w:w="217" w:type="dxa"/>
          </w:tcPr>
          <w:p w14:paraId="36DDBD83" w14:textId="77777777" w:rsidR="002C0FD9" w:rsidRPr="00CA25CF" w:rsidRDefault="002C0FD9" w:rsidP="00CA25CF">
            <w:pPr>
              <w:rPr>
                <w:rFonts w:cs="Arial"/>
                <w:color w:val="FF0000"/>
                <w:sz w:val="21"/>
                <w:szCs w:val="21"/>
              </w:rPr>
            </w:pPr>
          </w:p>
        </w:tc>
        <w:tc>
          <w:tcPr>
            <w:tcW w:w="217" w:type="dxa"/>
          </w:tcPr>
          <w:p w14:paraId="73BC1D9C" w14:textId="77777777" w:rsidR="002C0FD9" w:rsidRPr="00CA25CF" w:rsidRDefault="002C0FD9" w:rsidP="00CA25CF">
            <w:pPr>
              <w:rPr>
                <w:rFonts w:cs="Arial"/>
                <w:color w:val="FF0000"/>
                <w:sz w:val="21"/>
                <w:szCs w:val="21"/>
              </w:rPr>
            </w:pPr>
          </w:p>
        </w:tc>
        <w:tc>
          <w:tcPr>
            <w:tcW w:w="217" w:type="dxa"/>
          </w:tcPr>
          <w:p w14:paraId="12C8CD68" w14:textId="77777777" w:rsidR="002C0FD9" w:rsidRPr="00CA25CF" w:rsidRDefault="002C0FD9" w:rsidP="00CA25CF">
            <w:pPr>
              <w:rPr>
                <w:rFonts w:cs="Arial"/>
                <w:color w:val="FF0000"/>
                <w:sz w:val="21"/>
                <w:szCs w:val="21"/>
              </w:rPr>
            </w:pPr>
          </w:p>
        </w:tc>
        <w:tc>
          <w:tcPr>
            <w:tcW w:w="217" w:type="dxa"/>
          </w:tcPr>
          <w:p w14:paraId="3C7CB944" w14:textId="77777777" w:rsidR="002C0FD9" w:rsidRPr="00CA25CF" w:rsidRDefault="002C0FD9" w:rsidP="00CA25CF">
            <w:pPr>
              <w:rPr>
                <w:rFonts w:cs="Arial"/>
                <w:color w:val="FF0000"/>
                <w:sz w:val="21"/>
                <w:szCs w:val="21"/>
              </w:rPr>
            </w:pPr>
          </w:p>
        </w:tc>
        <w:tc>
          <w:tcPr>
            <w:tcW w:w="217" w:type="dxa"/>
          </w:tcPr>
          <w:p w14:paraId="17DC3F2C" w14:textId="77777777" w:rsidR="002C0FD9" w:rsidRPr="00CA25CF" w:rsidRDefault="002C0FD9" w:rsidP="00CA25CF">
            <w:pPr>
              <w:rPr>
                <w:rFonts w:cs="Arial"/>
                <w:color w:val="FF0000"/>
                <w:sz w:val="21"/>
                <w:szCs w:val="21"/>
              </w:rPr>
            </w:pPr>
          </w:p>
        </w:tc>
        <w:tc>
          <w:tcPr>
            <w:tcW w:w="217" w:type="dxa"/>
          </w:tcPr>
          <w:p w14:paraId="777029D0" w14:textId="77777777" w:rsidR="002C0FD9" w:rsidRPr="00CA25CF" w:rsidRDefault="002C0FD9" w:rsidP="00CA25CF">
            <w:pPr>
              <w:rPr>
                <w:rFonts w:cs="Arial"/>
                <w:color w:val="FF0000"/>
                <w:sz w:val="21"/>
                <w:szCs w:val="21"/>
              </w:rPr>
            </w:pPr>
          </w:p>
        </w:tc>
        <w:tc>
          <w:tcPr>
            <w:tcW w:w="217" w:type="dxa"/>
          </w:tcPr>
          <w:p w14:paraId="2500FE8F" w14:textId="77777777" w:rsidR="002C0FD9" w:rsidRPr="00CA25CF" w:rsidRDefault="002C0FD9" w:rsidP="00CA25CF">
            <w:pPr>
              <w:rPr>
                <w:rFonts w:cs="Arial"/>
                <w:color w:val="FF0000"/>
                <w:sz w:val="21"/>
                <w:szCs w:val="21"/>
              </w:rPr>
            </w:pPr>
          </w:p>
        </w:tc>
        <w:tc>
          <w:tcPr>
            <w:tcW w:w="217" w:type="dxa"/>
          </w:tcPr>
          <w:p w14:paraId="3232804D" w14:textId="77777777" w:rsidR="002C0FD9" w:rsidRPr="00CA25CF" w:rsidRDefault="002C0FD9" w:rsidP="00CA25CF">
            <w:pPr>
              <w:rPr>
                <w:rFonts w:cs="Arial"/>
                <w:color w:val="FF0000"/>
                <w:sz w:val="21"/>
                <w:szCs w:val="21"/>
              </w:rPr>
            </w:pPr>
          </w:p>
        </w:tc>
        <w:tc>
          <w:tcPr>
            <w:tcW w:w="217" w:type="dxa"/>
          </w:tcPr>
          <w:p w14:paraId="5670E755" w14:textId="77777777" w:rsidR="002C0FD9" w:rsidRPr="00CA25CF" w:rsidRDefault="002C0FD9" w:rsidP="00CA25CF">
            <w:pPr>
              <w:rPr>
                <w:rFonts w:cs="Arial"/>
                <w:color w:val="FF0000"/>
                <w:sz w:val="21"/>
                <w:szCs w:val="21"/>
              </w:rPr>
            </w:pPr>
          </w:p>
        </w:tc>
        <w:tc>
          <w:tcPr>
            <w:tcW w:w="217" w:type="dxa"/>
          </w:tcPr>
          <w:p w14:paraId="44678E28" w14:textId="77777777" w:rsidR="002C0FD9" w:rsidRPr="00CA25CF" w:rsidRDefault="002C0FD9" w:rsidP="00CA25CF">
            <w:pPr>
              <w:rPr>
                <w:rFonts w:cs="Arial"/>
                <w:color w:val="FF0000"/>
                <w:sz w:val="21"/>
                <w:szCs w:val="21"/>
              </w:rPr>
            </w:pPr>
          </w:p>
        </w:tc>
        <w:tc>
          <w:tcPr>
            <w:tcW w:w="217" w:type="dxa"/>
          </w:tcPr>
          <w:p w14:paraId="53C56C0C" w14:textId="77777777" w:rsidR="002C0FD9" w:rsidRPr="00CA25CF" w:rsidRDefault="002C0FD9" w:rsidP="00CA25CF">
            <w:pPr>
              <w:rPr>
                <w:rFonts w:cs="Arial"/>
                <w:color w:val="FF0000"/>
                <w:sz w:val="21"/>
                <w:szCs w:val="21"/>
              </w:rPr>
            </w:pPr>
          </w:p>
        </w:tc>
        <w:tc>
          <w:tcPr>
            <w:tcW w:w="217" w:type="dxa"/>
          </w:tcPr>
          <w:p w14:paraId="57CEE831" w14:textId="77777777" w:rsidR="002C0FD9" w:rsidRPr="00CA25CF" w:rsidRDefault="002C0FD9" w:rsidP="00CA25CF">
            <w:pPr>
              <w:rPr>
                <w:rFonts w:cs="Arial"/>
                <w:color w:val="FF0000"/>
                <w:sz w:val="21"/>
                <w:szCs w:val="21"/>
              </w:rPr>
            </w:pPr>
          </w:p>
        </w:tc>
        <w:tc>
          <w:tcPr>
            <w:tcW w:w="217" w:type="dxa"/>
          </w:tcPr>
          <w:p w14:paraId="37AE85DB" w14:textId="77777777" w:rsidR="002C0FD9" w:rsidRPr="00CA25CF" w:rsidRDefault="002C0FD9" w:rsidP="00CA25CF">
            <w:pPr>
              <w:rPr>
                <w:rFonts w:cs="Arial"/>
                <w:color w:val="FF0000"/>
                <w:sz w:val="21"/>
                <w:szCs w:val="21"/>
              </w:rPr>
            </w:pPr>
          </w:p>
        </w:tc>
        <w:tc>
          <w:tcPr>
            <w:tcW w:w="217" w:type="dxa"/>
          </w:tcPr>
          <w:p w14:paraId="3D51E52C" w14:textId="77777777" w:rsidR="002C0FD9" w:rsidRPr="00CA25CF" w:rsidRDefault="002C0FD9" w:rsidP="00CA25CF">
            <w:pPr>
              <w:rPr>
                <w:rFonts w:cs="Arial"/>
                <w:color w:val="FF0000"/>
                <w:sz w:val="21"/>
                <w:szCs w:val="21"/>
              </w:rPr>
            </w:pPr>
          </w:p>
        </w:tc>
        <w:tc>
          <w:tcPr>
            <w:tcW w:w="217" w:type="dxa"/>
          </w:tcPr>
          <w:p w14:paraId="09D18ED2" w14:textId="77777777" w:rsidR="002C0FD9" w:rsidRPr="00CA25CF" w:rsidRDefault="002C0FD9" w:rsidP="00CA25CF">
            <w:pPr>
              <w:rPr>
                <w:rFonts w:cs="Arial"/>
                <w:color w:val="FF0000"/>
                <w:sz w:val="21"/>
                <w:szCs w:val="21"/>
              </w:rPr>
            </w:pPr>
          </w:p>
        </w:tc>
        <w:tc>
          <w:tcPr>
            <w:tcW w:w="217" w:type="dxa"/>
          </w:tcPr>
          <w:p w14:paraId="4760CCDB" w14:textId="77777777" w:rsidR="002C0FD9" w:rsidRPr="00CA25CF" w:rsidRDefault="002C0FD9" w:rsidP="00CA25CF">
            <w:pPr>
              <w:rPr>
                <w:rFonts w:cs="Arial"/>
                <w:color w:val="FF0000"/>
                <w:sz w:val="21"/>
                <w:szCs w:val="21"/>
              </w:rPr>
            </w:pPr>
          </w:p>
        </w:tc>
        <w:tc>
          <w:tcPr>
            <w:tcW w:w="217" w:type="dxa"/>
          </w:tcPr>
          <w:p w14:paraId="679FBABC" w14:textId="77777777" w:rsidR="002C0FD9" w:rsidRPr="00CA25CF" w:rsidRDefault="002C0FD9" w:rsidP="00CA25CF">
            <w:pPr>
              <w:rPr>
                <w:rFonts w:cs="Arial"/>
                <w:color w:val="FF0000"/>
                <w:sz w:val="21"/>
                <w:szCs w:val="21"/>
              </w:rPr>
            </w:pPr>
          </w:p>
        </w:tc>
        <w:tc>
          <w:tcPr>
            <w:tcW w:w="217" w:type="dxa"/>
          </w:tcPr>
          <w:p w14:paraId="75CB9B94" w14:textId="77777777" w:rsidR="002C0FD9" w:rsidRPr="00CA25CF" w:rsidRDefault="002C0FD9" w:rsidP="00CA25CF">
            <w:pPr>
              <w:rPr>
                <w:rFonts w:cs="Arial"/>
                <w:color w:val="FF0000"/>
                <w:sz w:val="21"/>
                <w:szCs w:val="21"/>
              </w:rPr>
            </w:pPr>
          </w:p>
        </w:tc>
        <w:tc>
          <w:tcPr>
            <w:tcW w:w="217" w:type="dxa"/>
          </w:tcPr>
          <w:p w14:paraId="1F1C8271" w14:textId="77777777" w:rsidR="002C0FD9" w:rsidRPr="00CA25CF" w:rsidRDefault="002C0FD9" w:rsidP="00CA25CF">
            <w:pPr>
              <w:rPr>
                <w:rFonts w:cs="Arial"/>
                <w:color w:val="FF0000"/>
                <w:sz w:val="21"/>
                <w:szCs w:val="21"/>
              </w:rPr>
            </w:pPr>
          </w:p>
        </w:tc>
        <w:tc>
          <w:tcPr>
            <w:tcW w:w="217" w:type="dxa"/>
          </w:tcPr>
          <w:p w14:paraId="23C4DE54" w14:textId="77777777" w:rsidR="002C0FD9" w:rsidRPr="00CA25CF" w:rsidRDefault="002C0FD9" w:rsidP="00CA25CF">
            <w:pPr>
              <w:rPr>
                <w:rFonts w:cs="Arial"/>
                <w:color w:val="FF0000"/>
                <w:sz w:val="21"/>
                <w:szCs w:val="21"/>
              </w:rPr>
            </w:pPr>
          </w:p>
        </w:tc>
        <w:tc>
          <w:tcPr>
            <w:tcW w:w="217" w:type="dxa"/>
          </w:tcPr>
          <w:p w14:paraId="5291F59C" w14:textId="77777777" w:rsidR="002C0FD9" w:rsidRPr="00CA25CF" w:rsidRDefault="002C0FD9" w:rsidP="00CA25CF">
            <w:pPr>
              <w:rPr>
                <w:rFonts w:cs="Arial"/>
                <w:color w:val="FF0000"/>
                <w:sz w:val="21"/>
                <w:szCs w:val="21"/>
              </w:rPr>
            </w:pPr>
          </w:p>
        </w:tc>
        <w:tc>
          <w:tcPr>
            <w:tcW w:w="217" w:type="dxa"/>
          </w:tcPr>
          <w:p w14:paraId="44884B3F" w14:textId="77777777" w:rsidR="002C0FD9" w:rsidRPr="00CA25CF" w:rsidRDefault="002C0FD9" w:rsidP="00CA25CF">
            <w:pPr>
              <w:rPr>
                <w:rFonts w:cs="Arial"/>
                <w:color w:val="FF0000"/>
                <w:sz w:val="21"/>
                <w:szCs w:val="21"/>
              </w:rPr>
            </w:pPr>
          </w:p>
        </w:tc>
        <w:tc>
          <w:tcPr>
            <w:tcW w:w="217" w:type="dxa"/>
          </w:tcPr>
          <w:p w14:paraId="3BBB871B" w14:textId="77777777" w:rsidR="002C0FD9" w:rsidRPr="00CA25CF" w:rsidRDefault="002C0FD9" w:rsidP="00CA25CF">
            <w:pPr>
              <w:rPr>
                <w:rFonts w:cs="Arial"/>
                <w:color w:val="FF0000"/>
                <w:sz w:val="21"/>
                <w:szCs w:val="21"/>
              </w:rPr>
            </w:pPr>
          </w:p>
        </w:tc>
        <w:tc>
          <w:tcPr>
            <w:tcW w:w="217" w:type="dxa"/>
          </w:tcPr>
          <w:p w14:paraId="243ADAC5" w14:textId="77777777" w:rsidR="002C0FD9" w:rsidRPr="00CA25CF" w:rsidRDefault="002C0FD9" w:rsidP="00CA25CF">
            <w:pPr>
              <w:rPr>
                <w:rFonts w:cs="Arial"/>
                <w:color w:val="FF0000"/>
                <w:sz w:val="21"/>
                <w:szCs w:val="21"/>
              </w:rPr>
            </w:pPr>
          </w:p>
        </w:tc>
        <w:tc>
          <w:tcPr>
            <w:tcW w:w="217" w:type="dxa"/>
          </w:tcPr>
          <w:p w14:paraId="00E787BE" w14:textId="77777777" w:rsidR="002C0FD9" w:rsidRPr="00CA25CF" w:rsidRDefault="002C0FD9" w:rsidP="00CA25CF">
            <w:pPr>
              <w:rPr>
                <w:rFonts w:cs="Arial"/>
                <w:color w:val="FF0000"/>
                <w:sz w:val="21"/>
                <w:szCs w:val="21"/>
              </w:rPr>
            </w:pPr>
          </w:p>
        </w:tc>
        <w:tc>
          <w:tcPr>
            <w:tcW w:w="217" w:type="dxa"/>
          </w:tcPr>
          <w:p w14:paraId="4D4F4523" w14:textId="77777777" w:rsidR="002C0FD9" w:rsidRPr="00CA25CF" w:rsidRDefault="002C0FD9" w:rsidP="00CA25CF">
            <w:pPr>
              <w:rPr>
                <w:rFonts w:cs="Arial"/>
                <w:color w:val="FF0000"/>
                <w:sz w:val="21"/>
                <w:szCs w:val="21"/>
              </w:rPr>
            </w:pPr>
          </w:p>
        </w:tc>
        <w:tc>
          <w:tcPr>
            <w:tcW w:w="217" w:type="dxa"/>
          </w:tcPr>
          <w:p w14:paraId="751C23A2" w14:textId="77777777" w:rsidR="002C0FD9" w:rsidRPr="00CA25CF" w:rsidRDefault="002C0FD9" w:rsidP="00CA25CF">
            <w:pPr>
              <w:rPr>
                <w:rFonts w:cs="Arial"/>
                <w:color w:val="FF0000"/>
                <w:sz w:val="21"/>
                <w:szCs w:val="21"/>
              </w:rPr>
            </w:pPr>
          </w:p>
        </w:tc>
        <w:tc>
          <w:tcPr>
            <w:tcW w:w="217" w:type="dxa"/>
          </w:tcPr>
          <w:p w14:paraId="538FF3F0" w14:textId="77777777" w:rsidR="002C0FD9" w:rsidRPr="00CA25CF" w:rsidRDefault="002C0FD9" w:rsidP="00CA25CF">
            <w:pPr>
              <w:rPr>
                <w:rFonts w:cs="Arial"/>
                <w:color w:val="FF0000"/>
                <w:sz w:val="21"/>
                <w:szCs w:val="21"/>
              </w:rPr>
            </w:pPr>
          </w:p>
        </w:tc>
        <w:tc>
          <w:tcPr>
            <w:tcW w:w="217" w:type="dxa"/>
          </w:tcPr>
          <w:p w14:paraId="548E2237" w14:textId="77777777" w:rsidR="002C0FD9" w:rsidRPr="00CA25CF" w:rsidRDefault="002C0FD9" w:rsidP="00CA25CF">
            <w:pPr>
              <w:rPr>
                <w:rFonts w:cs="Arial"/>
                <w:color w:val="FF0000"/>
                <w:sz w:val="21"/>
                <w:szCs w:val="21"/>
              </w:rPr>
            </w:pPr>
          </w:p>
        </w:tc>
      </w:tr>
      <w:tr w:rsidR="002C0FD9" w:rsidRPr="00A16219" w14:paraId="5920300F" w14:textId="77777777" w:rsidTr="002C0FD9">
        <w:trPr>
          <w:trHeight w:val="635"/>
        </w:trPr>
        <w:tc>
          <w:tcPr>
            <w:tcW w:w="515" w:type="dxa"/>
          </w:tcPr>
          <w:p w14:paraId="46C3D680" w14:textId="77777777" w:rsidR="002C0FD9" w:rsidRPr="00CA25CF" w:rsidRDefault="002C0FD9" w:rsidP="00CA25CF">
            <w:pPr>
              <w:rPr>
                <w:rFonts w:cs="Arial"/>
                <w:color w:val="FF0000"/>
                <w:sz w:val="21"/>
                <w:szCs w:val="21"/>
              </w:rPr>
            </w:pPr>
          </w:p>
        </w:tc>
        <w:tc>
          <w:tcPr>
            <w:tcW w:w="217" w:type="dxa"/>
          </w:tcPr>
          <w:p w14:paraId="6208C763" w14:textId="77777777" w:rsidR="002C0FD9" w:rsidRPr="00CA25CF" w:rsidRDefault="002C0FD9" w:rsidP="00CA25CF">
            <w:pPr>
              <w:rPr>
                <w:rFonts w:cs="Arial"/>
                <w:color w:val="FF0000"/>
                <w:sz w:val="21"/>
                <w:szCs w:val="21"/>
              </w:rPr>
            </w:pPr>
          </w:p>
        </w:tc>
        <w:tc>
          <w:tcPr>
            <w:tcW w:w="217" w:type="dxa"/>
          </w:tcPr>
          <w:p w14:paraId="05D60778" w14:textId="77777777" w:rsidR="002C0FD9" w:rsidRPr="00CA25CF" w:rsidRDefault="002C0FD9" w:rsidP="00CA25CF">
            <w:pPr>
              <w:rPr>
                <w:rFonts w:cs="Arial"/>
                <w:color w:val="FF0000"/>
                <w:sz w:val="21"/>
                <w:szCs w:val="21"/>
              </w:rPr>
            </w:pPr>
          </w:p>
        </w:tc>
        <w:tc>
          <w:tcPr>
            <w:tcW w:w="217" w:type="dxa"/>
          </w:tcPr>
          <w:p w14:paraId="7EE94CA6" w14:textId="77777777" w:rsidR="002C0FD9" w:rsidRPr="00CA25CF" w:rsidRDefault="002C0FD9" w:rsidP="00CA25CF">
            <w:pPr>
              <w:rPr>
                <w:rFonts w:cs="Arial"/>
                <w:color w:val="FF0000"/>
                <w:sz w:val="21"/>
                <w:szCs w:val="21"/>
              </w:rPr>
            </w:pPr>
          </w:p>
        </w:tc>
        <w:tc>
          <w:tcPr>
            <w:tcW w:w="217" w:type="dxa"/>
          </w:tcPr>
          <w:p w14:paraId="572E7623" w14:textId="77777777" w:rsidR="002C0FD9" w:rsidRPr="00CA25CF" w:rsidRDefault="002C0FD9" w:rsidP="00CA25CF">
            <w:pPr>
              <w:rPr>
                <w:rFonts w:cs="Arial"/>
                <w:color w:val="FF0000"/>
                <w:sz w:val="21"/>
                <w:szCs w:val="21"/>
              </w:rPr>
            </w:pPr>
          </w:p>
        </w:tc>
        <w:tc>
          <w:tcPr>
            <w:tcW w:w="217" w:type="dxa"/>
          </w:tcPr>
          <w:p w14:paraId="2C7703E5" w14:textId="77777777" w:rsidR="002C0FD9" w:rsidRPr="00CA25CF" w:rsidRDefault="002C0FD9" w:rsidP="00CA25CF">
            <w:pPr>
              <w:rPr>
                <w:rFonts w:cs="Arial"/>
                <w:color w:val="FF0000"/>
                <w:sz w:val="21"/>
                <w:szCs w:val="21"/>
              </w:rPr>
            </w:pPr>
          </w:p>
        </w:tc>
        <w:tc>
          <w:tcPr>
            <w:tcW w:w="217" w:type="dxa"/>
          </w:tcPr>
          <w:p w14:paraId="6CDD203C" w14:textId="77777777" w:rsidR="002C0FD9" w:rsidRPr="00CA25CF" w:rsidRDefault="002C0FD9" w:rsidP="00CA25CF">
            <w:pPr>
              <w:rPr>
                <w:rFonts w:cs="Arial"/>
                <w:color w:val="FF0000"/>
                <w:sz w:val="21"/>
                <w:szCs w:val="21"/>
              </w:rPr>
            </w:pPr>
          </w:p>
        </w:tc>
        <w:tc>
          <w:tcPr>
            <w:tcW w:w="217" w:type="dxa"/>
          </w:tcPr>
          <w:p w14:paraId="7A2A98E7" w14:textId="77777777" w:rsidR="002C0FD9" w:rsidRPr="00CA25CF" w:rsidRDefault="002C0FD9" w:rsidP="00CA25CF">
            <w:pPr>
              <w:rPr>
                <w:rFonts w:cs="Arial"/>
                <w:color w:val="FF0000"/>
                <w:sz w:val="21"/>
                <w:szCs w:val="21"/>
              </w:rPr>
            </w:pPr>
          </w:p>
        </w:tc>
        <w:tc>
          <w:tcPr>
            <w:tcW w:w="217" w:type="dxa"/>
          </w:tcPr>
          <w:p w14:paraId="4F38C08A" w14:textId="77777777" w:rsidR="002C0FD9" w:rsidRPr="00CA25CF" w:rsidRDefault="002C0FD9" w:rsidP="00CA25CF">
            <w:pPr>
              <w:rPr>
                <w:rFonts w:cs="Arial"/>
                <w:color w:val="FF0000"/>
                <w:sz w:val="21"/>
                <w:szCs w:val="21"/>
              </w:rPr>
            </w:pPr>
          </w:p>
        </w:tc>
        <w:tc>
          <w:tcPr>
            <w:tcW w:w="217" w:type="dxa"/>
          </w:tcPr>
          <w:p w14:paraId="4F3F5A41" w14:textId="77777777" w:rsidR="002C0FD9" w:rsidRPr="00CA25CF" w:rsidRDefault="002C0FD9" w:rsidP="00CA25CF">
            <w:pPr>
              <w:rPr>
                <w:rFonts w:cs="Arial"/>
                <w:color w:val="FF0000"/>
                <w:sz w:val="21"/>
                <w:szCs w:val="21"/>
              </w:rPr>
            </w:pPr>
          </w:p>
        </w:tc>
        <w:tc>
          <w:tcPr>
            <w:tcW w:w="217" w:type="dxa"/>
          </w:tcPr>
          <w:p w14:paraId="4C764D93" w14:textId="77777777" w:rsidR="002C0FD9" w:rsidRPr="00CA25CF" w:rsidRDefault="002C0FD9" w:rsidP="00CA25CF">
            <w:pPr>
              <w:rPr>
                <w:rFonts w:cs="Arial"/>
                <w:color w:val="FF0000"/>
                <w:sz w:val="21"/>
                <w:szCs w:val="21"/>
              </w:rPr>
            </w:pPr>
          </w:p>
        </w:tc>
        <w:tc>
          <w:tcPr>
            <w:tcW w:w="217" w:type="dxa"/>
          </w:tcPr>
          <w:p w14:paraId="718AD1B2" w14:textId="77777777" w:rsidR="002C0FD9" w:rsidRPr="00CA25CF" w:rsidRDefault="002C0FD9" w:rsidP="00CA25CF">
            <w:pPr>
              <w:rPr>
                <w:rFonts w:cs="Arial"/>
                <w:color w:val="FF0000"/>
                <w:sz w:val="21"/>
                <w:szCs w:val="21"/>
              </w:rPr>
            </w:pPr>
          </w:p>
        </w:tc>
        <w:tc>
          <w:tcPr>
            <w:tcW w:w="217" w:type="dxa"/>
          </w:tcPr>
          <w:p w14:paraId="759B9CEF" w14:textId="77777777" w:rsidR="002C0FD9" w:rsidRPr="00CA25CF" w:rsidRDefault="002C0FD9" w:rsidP="00CA25CF">
            <w:pPr>
              <w:rPr>
                <w:rFonts w:cs="Arial"/>
                <w:color w:val="FF0000"/>
                <w:sz w:val="21"/>
                <w:szCs w:val="21"/>
              </w:rPr>
            </w:pPr>
          </w:p>
        </w:tc>
        <w:tc>
          <w:tcPr>
            <w:tcW w:w="217" w:type="dxa"/>
          </w:tcPr>
          <w:p w14:paraId="6DE08604" w14:textId="77777777" w:rsidR="002C0FD9" w:rsidRPr="00CA25CF" w:rsidRDefault="002C0FD9" w:rsidP="00CA25CF">
            <w:pPr>
              <w:rPr>
                <w:rFonts w:cs="Arial"/>
                <w:color w:val="FF0000"/>
                <w:sz w:val="21"/>
                <w:szCs w:val="21"/>
              </w:rPr>
            </w:pPr>
          </w:p>
        </w:tc>
        <w:tc>
          <w:tcPr>
            <w:tcW w:w="217" w:type="dxa"/>
          </w:tcPr>
          <w:p w14:paraId="598237C5" w14:textId="77777777" w:rsidR="002C0FD9" w:rsidRPr="00CA25CF" w:rsidRDefault="002C0FD9" w:rsidP="00CA25CF">
            <w:pPr>
              <w:rPr>
                <w:rFonts w:cs="Arial"/>
                <w:color w:val="FF0000"/>
                <w:sz w:val="21"/>
                <w:szCs w:val="21"/>
              </w:rPr>
            </w:pPr>
          </w:p>
        </w:tc>
        <w:tc>
          <w:tcPr>
            <w:tcW w:w="217" w:type="dxa"/>
          </w:tcPr>
          <w:p w14:paraId="73A26531" w14:textId="77777777" w:rsidR="002C0FD9" w:rsidRPr="00CA25CF" w:rsidRDefault="002C0FD9" w:rsidP="00CA25CF">
            <w:pPr>
              <w:rPr>
                <w:rFonts w:cs="Arial"/>
                <w:color w:val="FF0000"/>
                <w:sz w:val="21"/>
                <w:szCs w:val="21"/>
              </w:rPr>
            </w:pPr>
          </w:p>
        </w:tc>
        <w:tc>
          <w:tcPr>
            <w:tcW w:w="217" w:type="dxa"/>
          </w:tcPr>
          <w:p w14:paraId="381106D5" w14:textId="77777777" w:rsidR="002C0FD9" w:rsidRPr="00CA25CF" w:rsidRDefault="002C0FD9" w:rsidP="00CA25CF">
            <w:pPr>
              <w:rPr>
                <w:rFonts w:cs="Arial"/>
                <w:color w:val="FF0000"/>
                <w:sz w:val="21"/>
                <w:szCs w:val="21"/>
              </w:rPr>
            </w:pPr>
          </w:p>
        </w:tc>
        <w:tc>
          <w:tcPr>
            <w:tcW w:w="217" w:type="dxa"/>
          </w:tcPr>
          <w:p w14:paraId="003FE0CA" w14:textId="77777777" w:rsidR="002C0FD9" w:rsidRPr="00CA25CF" w:rsidRDefault="002C0FD9" w:rsidP="00CA25CF">
            <w:pPr>
              <w:rPr>
                <w:rFonts w:cs="Arial"/>
                <w:color w:val="FF0000"/>
                <w:sz w:val="21"/>
                <w:szCs w:val="21"/>
              </w:rPr>
            </w:pPr>
          </w:p>
        </w:tc>
        <w:tc>
          <w:tcPr>
            <w:tcW w:w="217" w:type="dxa"/>
          </w:tcPr>
          <w:p w14:paraId="2D9F5CD5" w14:textId="77777777" w:rsidR="002C0FD9" w:rsidRPr="00CA25CF" w:rsidRDefault="002C0FD9" w:rsidP="00CA25CF">
            <w:pPr>
              <w:rPr>
                <w:rFonts w:cs="Arial"/>
                <w:color w:val="FF0000"/>
                <w:sz w:val="21"/>
                <w:szCs w:val="21"/>
              </w:rPr>
            </w:pPr>
          </w:p>
        </w:tc>
        <w:tc>
          <w:tcPr>
            <w:tcW w:w="217" w:type="dxa"/>
          </w:tcPr>
          <w:p w14:paraId="55B91ABD" w14:textId="77777777" w:rsidR="002C0FD9" w:rsidRPr="00CA25CF" w:rsidRDefault="002C0FD9" w:rsidP="00CA25CF">
            <w:pPr>
              <w:rPr>
                <w:rFonts w:cs="Arial"/>
                <w:color w:val="FF0000"/>
                <w:sz w:val="21"/>
                <w:szCs w:val="21"/>
              </w:rPr>
            </w:pPr>
          </w:p>
        </w:tc>
        <w:tc>
          <w:tcPr>
            <w:tcW w:w="217" w:type="dxa"/>
          </w:tcPr>
          <w:p w14:paraId="3943B833" w14:textId="77777777" w:rsidR="002C0FD9" w:rsidRPr="00CA25CF" w:rsidRDefault="002C0FD9" w:rsidP="00CA25CF">
            <w:pPr>
              <w:rPr>
                <w:rFonts w:cs="Arial"/>
                <w:color w:val="FF0000"/>
                <w:sz w:val="21"/>
                <w:szCs w:val="21"/>
              </w:rPr>
            </w:pPr>
          </w:p>
        </w:tc>
        <w:tc>
          <w:tcPr>
            <w:tcW w:w="217" w:type="dxa"/>
          </w:tcPr>
          <w:p w14:paraId="75FE59CF" w14:textId="77777777" w:rsidR="002C0FD9" w:rsidRPr="00CA25CF" w:rsidRDefault="002C0FD9" w:rsidP="00CA25CF">
            <w:pPr>
              <w:rPr>
                <w:rFonts w:cs="Arial"/>
                <w:color w:val="FF0000"/>
                <w:sz w:val="21"/>
                <w:szCs w:val="21"/>
              </w:rPr>
            </w:pPr>
          </w:p>
        </w:tc>
        <w:tc>
          <w:tcPr>
            <w:tcW w:w="217" w:type="dxa"/>
          </w:tcPr>
          <w:p w14:paraId="39C85FDF" w14:textId="77777777" w:rsidR="002C0FD9" w:rsidRPr="00CA25CF" w:rsidRDefault="002C0FD9" w:rsidP="00CA25CF">
            <w:pPr>
              <w:rPr>
                <w:rFonts w:cs="Arial"/>
                <w:color w:val="FF0000"/>
                <w:sz w:val="21"/>
                <w:szCs w:val="21"/>
              </w:rPr>
            </w:pPr>
          </w:p>
        </w:tc>
        <w:tc>
          <w:tcPr>
            <w:tcW w:w="217" w:type="dxa"/>
          </w:tcPr>
          <w:p w14:paraId="5712C9A6" w14:textId="77777777" w:rsidR="002C0FD9" w:rsidRPr="00CA25CF" w:rsidRDefault="002C0FD9" w:rsidP="00CA25CF">
            <w:pPr>
              <w:rPr>
                <w:rFonts w:cs="Arial"/>
                <w:color w:val="FF0000"/>
                <w:sz w:val="21"/>
                <w:szCs w:val="21"/>
              </w:rPr>
            </w:pPr>
          </w:p>
        </w:tc>
        <w:tc>
          <w:tcPr>
            <w:tcW w:w="217" w:type="dxa"/>
          </w:tcPr>
          <w:p w14:paraId="06CEC4C4" w14:textId="77777777" w:rsidR="002C0FD9" w:rsidRPr="00CA25CF" w:rsidRDefault="002C0FD9" w:rsidP="00CA25CF">
            <w:pPr>
              <w:rPr>
                <w:rFonts w:cs="Arial"/>
                <w:color w:val="FF0000"/>
                <w:sz w:val="21"/>
                <w:szCs w:val="21"/>
              </w:rPr>
            </w:pPr>
          </w:p>
        </w:tc>
        <w:tc>
          <w:tcPr>
            <w:tcW w:w="217" w:type="dxa"/>
          </w:tcPr>
          <w:p w14:paraId="455F566A" w14:textId="77777777" w:rsidR="002C0FD9" w:rsidRPr="00CA25CF" w:rsidRDefault="002C0FD9" w:rsidP="00CA25CF">
            <w:pPr>
              <w:rPr>
                <w:rFonts w:cs="Arial"/>
                <w:color w:val="FF0000"/>
                <w:sz w:val="21"/>
                <w:szCs w:val="21"/>
              </w:rPr>
            </w:pPr>
          </w:p>
        </w:tc>
        <w:tc>
          <w:tcPr>
            <w:tcW w:w="217" w:type="dxa"/>
          </w:tcPr>
          <w:p w14:paraId="7582F7B9" w14:textId="77777777" w:rsidR="002C0FD9" w:rsidRPr="00CA25CF" w:rsidRDefault="002C0FD9" w:rsidP="00CA25CF">
            <w:pPr>
              <w:rPr>
                <w:rFonts w:cs="Arial"/>
                <w:color w:val="FF0000"/>
                <w:sz w:val="21"/>
                <w:szCs w:val="21"/>
              </w:rPr>
            </w:pPr>
          </w:p>
        </w:tc>
        <w:tc>
          <w:tcPr>
            <w:tcW w:w="217" w:type="dxa"/>
          </w:tcPr>
          <w:p w14:paraId="3C665E88" w14:textId="77777777" w:rsidR="002C0FD9" w:rsidRPr="00CA25CF" w:rsidRDefault="002C0FD9" w:rsidP="00CA25CF">
            <w:pPr>
              <w:rPr>
                <w:rFonts w:cs="Arial"/>
                <w:color w:val="FF0000"/>
                <w:sz w:val="21"/>
                <w:szCs w:val="21"/>
              </w:rPr>
            </w:pPr>
          </w:p>
        </w:tc>
        <w:tc>
          <w:tcPr>
            <w:tcW w:w="217" w:type="dxa"/>
          </w:tcPr>
          <w:p w14:paraId="3E4557A8" w14:textId="77777777" w:rsidR="002C0FD9" w:rsidRPr="00CA25CF" w:rsidRDefault="002C0FD9" w:rsidP="00CA25CF">
            <w:pPr>
              <w:rPr>
                <w:rFonts w:cs="Arial"/>
                <w:color w:val="FF0000"/>
                <w:sz w:val="21"/>
                <w:szCs w:val="21"/>
              </w:rPr>
            </w:pPr>
          </w:p>
        </w:tc>
        <w:tc>
          <w:tcPr>
            <w:tcW w:w="217" w:type="dxa"/>
          </w:tcPr>
          <w:p w14:paraId="0540901E" w14:textId="77777777" w:rsidR="002C0FD9" w:rsidRPr="00CA25CF" w:rsidRDefault="002C0FD9" w:rsidP="00CA25CF">
            <w:pPr>
              <w:rPr>
                <w:rFonts w:cs="Arial"/>
                <w:color w:val="FF0000"/>
                <w:sz w:val="21"/>
                <w:szCs w:val="21"/>
              </w:rPr>
            </w:pPr>
          </w:p>
        </w:tc>
        <w:tc>
          <w:tcPr>
            <w:tcW w:w="217" w:type="dxa"/>
          </w:tcPr>
          <w:p w14:paraId="18E57856" w14:textId="77777777" w:rsidR="002C0FD9" w:rsidRPr="00CA25CF" w:rsidRDefault="002C0FD9" w:rsidP="00CA25CF">
            <w:pPr>
              <w:rPr>
                <w:rFonts w:cs="Arial"/>
                <w:color w:val="FF0000"/>
                <w:sz w:val="21"/>
                <w:szCs w:val="21"/>
              </w:rPr>
            </w:pPr>
          </w:p>
        </w:tc>
        <w:tc>
          <w:tcPr>
            <w:tcW w:w="217" w:type="dxa"/>
          </w:tcPr>
          <w:p w14:paraId="36463FE1" w14:textId="77777777" w:rsidR="002C0FD9" w:rsidRPr="00CA25CF" w:rsidRDefault="002C0FD9" w:rsidP="00CA25CF">
            <w:pPr>
              <w:rPr>
                <w:rFonts w:cs="Arial"/>
                <w:color w:val="FF0000"/>
                <w:sz w:val="21"/>
                <w:szCs w:val="21"/>
              </w:rPr>
            </w:pPr>
          </w:p>
        </w:tc>
        <w:tc>
          <w:tcPr>
            <w:tcW w:w="217" w:type="dxa"/>
          </w:tcPr>
          <w:p w14:paraId="400D5CE6" w14:textId="77777777" w:rsidR="002C0FD9" w:rsidRPr="00CA25CF" w:rsidRDefault="002C0FD9" w:rsidP="00CA25CF">
            <w:pPr>
              <w:rPr>
                <w:rFonts w:cs="Arial"/>
                <w:color w:val="FF0000"/>
                <w:sz w:val="21"/>
                <w:szCs w:val="21"/>
              </w:rPr>
            </w:pPr>
          </w:p>
        </w:tc>
        <w:tc>
          <w:tcPr>
            <w:tcW w:w="217" w:type="dxa"/>
          </w:tcPr>
          <w:p w14:paraId="5BB1CC4E" w14:textId="77777777" w:rsidR="002C0FD9" w:rsidRPr="00CA25CF" w:rsidRDefault="002C0FD9" w:rsidP="00CA25CF">
            <w:pPr>
              <w:rPr>
                <w:rFonts w:cs="Arial"/>
                <w:color w:val="FF0000"/>
                <w:sz w:val="21"/>
                <w:szCs w:val="21"/>
              </w:rPr>
            </w:pPr>
          </w:p>
        </w:tc>
        <w:tc>
          <w:tcPr>
            <w:tcW w:w="217" w:type="dxa"/>
          </w:tcPr>
          <w:p w14:paraId="4EF7A3A0" w14:textId="77777777" w:rsidR="002C0FD9" w:rsidRPr="00CA25CF" w:rsidRDefault="002C0FD9" w:rsidP="00CA25CF">
            <w:pPr>
              <w:rPr>
                <w:rFonts w:cs="Arial"/>
                <w:color w:val="FF0000"/>
                <w:sz w:val="21"/>
                <w:szCs w:val="21"/>
              </w:rPr>
            </w:pPr>
          </w:p>
        </w:tc>
        <w:tc>
          <w:tcPr>
            <w:tcW w:w="217" w:type="dxa"/>
          </w:tcPr>
          <w:p w14:paraId="0D4D226C" w14:textId="77777777" w:rsidR="002C0FD9" w:rsidRPr="00CA25CF" w:rsidRDefault="002C0FD9" w:rsidP="00CA25CF">
            <w:pPr>
              <w:rPr>
                <w:rFonts w:cs="Arial"/>
                <w:color w:val="FF0000"/>
                <w:sz w:val="21"/>
                <w:szCs w:val="21"/>
              </w:rPr>
            </w:pPr>
          </w:p>
        </w:tc>
        <w:tc>
          <w:tcPr>
            <w:tcW w:w="217" w:type="dxa"/>
          </w:tcPr>
          <w:p w14:paraId="632E2EEC" w14:textId="77777777" w:rsidR="002C0FD9" w:rsidRPr="00CA25CF" w:rsidRDefault="002C0FD9" w:rsidP="00CA25CF">
            <w:pPr>
              <w:rPr>
                <w:rFonts w:cs="Arial"/>
                <w:color w:val="FF0000"/>
                <w:sz w:val="21"/>
                <w:szCs w:val="21"/>
              </w:rPr>
            </w:pPr>
          </w:p>
        </w:tc>
        <w:tc>
          <w:tcPr>
            <w:tcW w:w="217" w:type="dxa"/>
          </w:tcPr>
          <w:p w14:paraId="7DCAFB95" w14:textId="77777777" w:rsidR="002C0FD9" w:rsidRPr="00CA25CF" w:rsidRDefault="002C0FD9" w:rsidP="00CA25CF">
            <w:pPr>
              <w:rPr>
                <w:rFonts w:cs="Arial"/>
                <w:color w:val="FF0000"/>
                <w:sz w:val="21"/>
                <w:szCs w:val="21"/>
              </w:rPr>
            </w:pPr>
          </w:p>
        </w:tc>
        <w:tc>
          <w:tcPr>
            <w:tcW w:w="217" w:type="dxa"/>
          </w:tcPr>
          <w:p w14:paraId="6F2279E3" w14:textId="77777777" w:rsidR="002C0FD9" w:rsidRPr="00CA25CF" w:rsidRDefault="002C0FD9" w:rsidP="00CA25CF">
            <w:pPr>
              <w:rPr>
                <w:rFonts w:cs="Arial"/>
                <w:color w:val="FF0000"/>
                <w:sz w:val="21"/>
                <w:szCs w:val="21"/>
              </w:rPr>
            </w:pPr>
          </w:p>
        </w:tc>
        <w:tc>
          <w:tcPr>
            <w:tcW w:w="217" w:type="dxa"/>
          </w:tcPr>
          <w:p w14:paraId="18AAF5EC" w14:textId="77777777" w:rsidR="002C0FD9" w:rsidRPr="00CA25CF" w:rsidRDefault="002C0FD9" w:rsidP="00CA25CF">
            <w:pPr>
              <w:rPr>
                <w:rFonts w:cs="Arial"/>
                <w:color w:val="FF0000"/>
                <w:sz w:val="21"/>
                <w:szCs w:val="21"/>
              </w:rPr>
            </w:pPr>
          </w:p>
        </w:tc>
        <w:tc>
          <w:tcPr>
            <w:tcW w:w="217" w:type="dxa"/>
          </w:tcPr>
          <w:p w14:paraId="71A92D55" w14:textId="77777777" w:rsidR="002C0FD9" w:rsidRPr="00CA25CF" w:rsidRDefault="002C0FD9" w:rsidP="00CA25CF">
            <w:pPr>
              <w:rPr>
                <w:rFonts w:cs="Arial"/>
                <w:color w:val="FF0000"/>
                <w:sz w:val="21"/>
                <w:szCs w:val="21"/>
              </w:rPr>
            </w:pPr>
          </w:p>
        </w:tc>
        <w:tc>
          <w:tcPr>
            <w:tcW w:w="217" w:type="dxa"/>
          </w:tcPr>
          <w:p w14:paraId="023D047A" w14:textId="77777777" w:rsidR="002C0FD9" w:rsidRPr="00CA25CF" w:rsidRDefault="002C0FD9" w:rsidP="00CA25CF">
            <w:pPr>
              <w:rPr>
                <w:rFonts w:cs="Arial"/>
                <w:color w:val="FF0000"/>
                <w:sz w:val="21"/>
                <w:szCs w:val="21"/>
              </w:rPr>
            </w:pPr>
          </w:p>
        </w:tc>
        <w:tc>
          <w:tcPr>
            <w:tcW w:w="217" w:type="dxa"/>
          </w:tcPr>
          <w:p w14:paraId="79E173B0" w14:textId="77777777" w:rsidR="002C0FD9" w:rsidRPr="00CA25CF" w:rsidRDefault="002C0FD9" w:rsidP="00CA25CF">
            <w:pPr>
              <w:rPr>
                <w:rFonts w:cs="Arial"/>
                <w:color w:val="FF0000"/>
                <w:sz w:val="21"/>
                <w:szCs w:val="21"/>
              </w:rPr>
            </w:pPr>
          </w:p>
        </w:tc>
      </w:tr>
      <w:tr w:rsidR="002C0FD9" w:rsidRPr="00A16219" w14:paraId="3A423630" w14:textId="77777777" w:rsidTr="002C0FD9">
        <w:trPr>
          <w:trHeight w:val="635"/>
        </w:trPr>
        <w:tc>
          <w:tcPr>
            <w:tcW w:w="515" w:type="dxa"/>
          </w:tcPr>
          <w:p w14:paraId="42E0894A" w14:textId="77777777" w:rsidR="002C0FD9" w:rsidRPr="00CA25CF" w:rsidRDefault="002C0FD9" w:rsidP="00CA25CF">
            <w:pPr>
              <w:rPr>
                <w:rFonts w:cs="Arial"/>
                <w:color w:val="FF0000"/>
                <w:sz w:val="21"/>
                <w:szCs w:val="21"/>
              </w:rPr>
            </w:pPr>
          </w:p>
        </w:tc>
        <w:tc>
          <w:tcPr>
            <w:tcW w:w="217" w:type="dxa"/>
          </w:tcPr>
          <w:p w14:paraId="3AFFAD8E" w14:textId="77777777" w:rsidR="002C0FD9" w:rsidRPr="00CA25CF" w:rsidRDefault="002C0FD9" w:rsidP="00CA25CF">
            <w:pPr>
              <w:rPr>
                <w:rFonts w:cs="Arial"/>
                <w:color w:val="FF0000"/>
                <w:sz w:val="21"/>
                <w:szCs w:val="21"/>
              </w:rPr>
            </w:pPr>
          </w:p>
        </w:tc>
        <w:tc>
          <w:tcPr>
            <w:tcW w:w="217" w:type="dxa"/>
          </w:tcPr>
          <w:p w14:paraId="7DB1F9F9" w14:textId="77777777" w:rsidR="002C0FD9" w:rsidRPr="00CA25CF" w:rsidRDefault="002C0FD9" w:rsidP="00CA25CF">
            <w:pPr>
              <w:rPr>
                <w:rFonts w:cs="Arial"/>
                <w:color w:val="FF0000"/>
                <w:sz w:val="21"/>
                <w:szCs w:val="21"/>
              </w:rPr>
            </w:pPr>
          </w:p>
        </w:tc>
        <w:tc>
          <w:tcPr>
            <w:tcW w:w="217" w:type="dxa"/>
          </w:tcPr>
          <w:p w14:paraId="2FCFBA0C" w14:textId="77777777" w:rsidR="002C0FD9" w:rsidRPr="00CA25CF" w:rsidRDefault="002C0FD9" w:rsidP="00CA25CF">
            <w:pPr>
              <w:rPr>
                <w:rFonts w:cs="Arial"/>
                <w:color w:val="FF0000"/>
                <w:sz w:val="21"/>
                <w:szCs w:val="21"/>
              </w:rPr>
            </w:pPr>
          </w:p>
        </w:tc>
        <w:tc>
          <w:tcPr>
            <w:tcW w:w="217" w:type="dxa"/>
          </w:tcPr>
          <w:p w14:paraId="4F212A1C" w14:textId="77777777" w:rsidR="002C0FD9" w:rsidRPr="00CA25CF" w:rsidRDefault="002C0FD9" w:rsidP="00CA25CF">
            <w:pPr>
              <w:rPr>
                <w:rFonts w:cs="Arial"/>
                <w:color w:val="FF0000"/>
                <w:sz w:val="21"/>
                <w:szCs w:val="21"/>
              </w:rPr>
            </w:pPr>
          </w:p>
        </w:tc>
        <w:tc>
          <w:tcPr>
            <w:tcW w:w="217" w:type="dxa"/>
          </w:tcPr>
          <w:p w14:paraId="46596683" w14:textId="77777777" w:rsidR="002C0FD9" w:rsidRPr="00CA25CF" w:rsidRDefault="002C0FD9" w:rsidP="00CA25CF">
            <w:pPr>
              <w:rPr>
                <w:rFonts w:cs="Arial"/>
                <w:color w:val="FF0000"/>
                <w:sz w:val="21"/>
                <w:szCs w:val="21"/>
              </w:rPr>
            </w:pPr>
          </w:p>
        </w:tc>
        <w:tc>
          <w:tcPr>
            <w:tcW w:w="217" w:type="dxa"/>
          </w:tcPr>
          <w:p w14:paraId="6EBE9078" w14:textId="77777777" w:rsidR="002C0FD9" w:rsidRPr="00CA25CF" w:rsidRDefault="002C0FD9" w:rsidP="00CA25CF">
            <w:pPr>
              <w:rPr>
                <w:rFonts w:cs="Arial"/>
                <w:color w:val="FF0000"/>
                <w:sz w:val="21"/>
                <w:szCs w:val="21"/>
              </w:rPr>
            </w:pPr>
          </w:p>
        </w:tc>
        <w:tc>
          <w:tcPr>
            <w:tcW w:w="217" w:type="dxa"/>
          </w:tcPr>
          <w:p w14:paraId="1FB9467A" w14:textId="77777777" w:rsidR="002C0FD9" w:rsidRPr="00CA25CF" w:rsidRDefault="002C0FD9" w:rsidP="00CA25CF">
            <w:pPr>
              <w:rPr>
                <w:rFonts w:cs="Arial"/>
                <w:color w:val="FF0000"/>
                <w:sz w:val="21"/>
                <w:szCs w:val="21"/>
              </w:rPr>
            </w:pPr>
          </w:p>
        </w:tc>
        <w:tc>
          <w:tcPr>
            <w:tcW w:w="217" w:type="dxa"/>
          </w:tcPr>
          <w:p w14:paraId="21D18BF7" w14:textId="77777777" w:rsidR="002C0FD9" w:rsidRPr="00CA25CF" w:rsidRDefault="002C0FD9" w:rsidP="00CA25CF">
            <w:pPr>
              <w:rPr>
                <w:rFonts w:cs="Arial"/>
                <w:color w:val="FF0000"/>
                <w:sz w:val="21"/>
                <w:szCs w:val="21"/>
              </w:rPr>
            </w:pPr>
          </w:p>
        </w:tc>
        <w:tc>
          <w:tcPr>
            <w:tcW w:w="217" w:type="dxa"/>
          </w:tcPr>
          <w:p w14:paraId="7EF34DCE" w14:textId="77777777" w:rsidR="002C0FD9" w:rsidRPr="00CA25CF" w:rsidRDefault="002C0FD9" w:rsidP="00CA25CF">
            <w:pPr>
              <w:rPr>
                <w:rFonts w:cs="Arial"/>
                <w:color w:val="FF0000"/>
                <w:sz w:val="21"/>
                <w:szCs w:val="21"/>
              </w:rPr>
            </w:pPr>
          </w:p>
        </w:tc>
        <w:tc>
          <w:tcPr>
            <w:tcW w:w="217" w:type="dxa"/>
          </w:tcPr>
          <w:p w14:paraId="56FCD830" w14:textId="77777777" w:rsidR="002C0FD9" w:rsidRPr="00CA25CF" w:rsidRDefault="002C0FD9" w:rsidP="00CA25CF">
            <w:pPr>
              <w:rPr>
                <w:rFonts w:cs="Arial"/>
                <w:color w:val="FF0000"/>
                <w:sz w:val="21"/>
                <w:szCs w:val="21"/>
              </w:rPr>
            </w:pPr>
          </w:p>
        </w:tc>
        <w:tc>
          <w:tcPr>
            <w:tcW w:w="217" w:type="dxa"/>
          </w:tcPr>
          <w:p w14:paraId="3CFE891F" w14:textId="77777777" w:rsidR="002C0FD9" w:rsidRPr="00CA25CF" w:rsidRDefault="002C0FD9" w:rsidP="00CA25CF">
            <w:pPr>
              <w:rPr>
                <w:rFonts w:cs="Arial"/>
                <w:color w:val="FF0000"/>
                <w:sz w:val="21"/>
                <w:szCs w:val="21"/>
              </w:rPr>
            </w:pPr>
          </w:p>
        </w:tc>
        <w:tc>
          <w:tcPr>
            <w:tcW w:w="217" w:type="dxa"/>
          </w:tcPr>
          <w:p w14:paraId="0BDF4262" w14:textId="77777777" w:rsidR="002C0FD9" w:rsidRPr="00CA25CF" w:rsidRDefault="002C0FD9" w:rsidP="00CA25CF">
            <w:pPr>
              <w:rPr>
                <w:rFonts w:cs="Arial"/>
                <w:color w:val="FF0000"/>
                <w:sz w:val="21"/>
                <w:szCs w:val="21"/>
              </w:rPr>
            </w:pPr>
          </w:p>
        </w:tc>
        <w:tc>
          <w:tcPr>
            <w:tcW w:w="217" w:type="dxa"/>
          </w:tcPr>
          <w:p w14:paraId="0F024E18" w14:textId="77777777" w:rsidR="002C0FD9" w:rsidRPr="00CA25CF" w:rsidRDefault="002C0FD9" w:rsidP="00CA25CF">
            <w:pPr>
              <w:rPr>
                <w:rFonts w:cs="Arial"/>
                <w:color w:val="FF0000"/>
                <w:sz w:val="21"/>
                <w:szCs w:val="21"/>
              </w:rPr>
            </w:pPr>
          </w:p>
        </w:tc>
        <w:tc>
          <w:tcPr>
            <w:tcW w:w="217" w:type="dxa"/>
          </w:tcPr>
          <w:p w14:paraId="667AB3CD" w14:textId="77777777" w:rsidR="002C0FD9" w:rsidRPr="00CA25CF" w:rsidRDefault="002C0FD9" w:rsidP="00CA25CF">
            <w:pPr>
              <w:rPr>
                <w:rFonts w:cs="Arial"/>
                <w:color w:val="FF0000"/>
                <w:sz w:val="21"/>
                <w:szCs w:val="21"/>
              </w:rPr>
            </w:pPr>
          </w:p>
        </w:tc>
        <w:tc>
          <w:tcPr>
            <w:tcW w:w="217" w:type="dxa"/>
          </w:tcPr>
          <w:p w14:paraId="0C50AB73" w14:textId="77777777" w:rsidR="002C0FD9" w:rsidRPr="00CA25CF" w:rsidRDefault="002C0FD9" w:rsidP="00CA25CF">
            <w:pPr>
              <w:rPr>
                <w:rFonts w:cs="Arial"/>
                <w:color w:val="FF0000"/>
                <w:sz w:val="21"/>
                <w:szCs w:val="21"/>
              </w:rPr>
            </w:pPr>
          </w:p>
        </w:tc>
        <w:tc>
          <w:tcPr>
            <w:tcW w:w="217" w:type="dxa"/>
          </w:tcPr>
          <w:p w14:paraId="0DCE0471" w14:textId="77777777" w:rsidR="002C0FD9" w:rsidRPr="00CA25CF" w:rsidRDefault="002C0FD9" w:rsidP="00CA25CF">
            <w:pPr>
              <w:rPr>
                <w:rFonts w:cs="Arial"/>
                <w:color w:val="FF0000"/>
                <w:sz w:val="21"/>
                <w:szCs w:val="21"/>
              </w:rPr>
            </w:pPr>
          </w:p>
        </w:tc>
        <w:tc>
          <w:tcPr>
            <w:tcW w:w="217" w:type="dxa"/>
          </w:tcPr>
          <w:p w14:paraId="338D163A" w14:textId="77777777" w:rsidR="002C0FD9" w:rsidRPr="00CA25CF" w:rsidRDefault="002C0FD9" w:rsidP="00CA25CF">
            <w:pPr>
              <w:rPr>
                <w:rFonts w:cs="Arial"/>
                <w:color w:val="FF0000"/>
                <w:sz w:val="21"/>
                <w:szCs w:val="21"/>
              </w:rPr>
            </w:pPr>
          </w:p>
        </w:tc>
        <w:tc>
          <w:tcPr>
            <w:tcW w:w="217" w:type="dxa"/>
          </w:tcPr>
          <w:p w14:paraId="469A8B3B" w14:textId="77777777" w:rsidR="002C0FD9" w:rsidRPr="00CA25CF" w:rsidRDefault="002C0FD9" w:rsidP="00CA25CF">
            <w:pPr>
              <w:rPr>
                <w:rFonts w:cs="Arial"/>
                <w:color w:val="FF0000"/>
                <w:sz w:val="21"/>
                <w:szCs w:val="21"/>
              </w:rPr>
            </w:pPr>
          </w:p>
        </w:tc>
        <w:tc>
          <w:tcPr>
            <w:tcW w:w="217" w:type="dxa"/>
          </w:tcPr>
          <w:p w14:paraId="31DC404F" w14:textId="77777777" w:rsidR="002C0FD9" w:rsidRPr="00CA25CF" w:rsidRDefault="002C0FD9" w:rsidP="00CA25CF">
            <w:pPr>
              <w:rPr>
                <w:rFonts w:cs="Arial"/>
                <w:color w:val="FF0000"/>
                <w:sz w:val="21"/>
                <w:szCs w:val="21"/>
              </w:rPr>
            </w:pPr>
          </w:p>
        </w:tc>
        <w:tc>
          <w:tcPr>
            <w:tcW w:w="217" w:type="dxa"/>
          </w:tcPr>
          <w:p w14:paraId="699BE36C" w14:textId="77777777" w:rsidR="002C0FD9" w:rsidRPr="00CA25CF" w:rsidRDefault="002C0FD9" w:rsidP="00CA25CF">
            <w:pPr>
              <w:rPr>
                <w:rFonts w:cs="Arial"/>
                <w:color w:val="FF0000"/>
                <w:sz w:val="21"/>
                <w:szCs w:val="21"/>
              </w:rPr>
            </w:pPr>
          </w:p>
        </w:tc>
        <w:tc>
          <w:tcPr>
            <w:tcW w:w="217" w:type="dxa"/>
          </w:tcPr>
          <w:p w14:paraId="1C70A670" w14:textId="77777777" w:rsidR="002C0FD9" w:rsidRPr="00CA25CF" w:rsidRDefault="002C0FD9" w:rsidP="00CA25CF">
            <w:pPr>
              <w:rPr>
                <w:rFonts w:cs="Arial"/>
                <w:color w:val="FF0000"/>
                <w:sz w:val="21"/>
                <w:szCs w:val="21"/>
              </w:rPr>
            </w:pPr>
          </w:p>
        </w:tc>
        <w:tc>
          <w:tcPr>
            <w:tcW w:w="217" w:type="dxa"/>
          </w:tcPr>
          <w:p w14:paraId="28ADE85C" w14:textId="77777777" w:rsidR="002C0FD9" w:rsidRPr="00CA25CF" w:rsidRDefault="002C0FD9" w:rsidP="00CA25CF">
            <w:pPr>
              <w:rPr>
                <w:rFonts w:cs="Arial"/>
                <w:color w:val="FF0000"/>
                <w:sz w:val="21"/>
                <w:szCs w:val="21"/>
              </w:rPr>
            </w:pPr>
          </w:p>
        </w:tc>
        <w:tc>
          <w:tcPr>
            <w:tcW w:w="217" w:type="dxa"/>
          </w:tcPr>
          <w:p w14:paraId="32B7EAD0" w14:textId="77777777" w:rsidR="002C0FD9" w:rsidRPr="00CA25CF" w:rsidRDefault="002C0FD9" w:rsidP="00CA25CF">
            <w:pPr>
              <w:rPr>
                <w:rFonts w:cs="Arial"/>
                <w:color w:val="FF0000"/>
                <w:sz w:val="21"/>
                <w:szCs w:val="21"/>
              </w:rPr>
            </w:pPr>
          </w:p>
        </w:tc>
        <w:tc>
          <w:tcPr>
            <w:tcW w:w="217" w:type="dxa"/>
          </w:tcPr>
          <w:p w14:paraId="54B7FBC9" w14:textId="77777777" w:rsidR="002C0FD9" w:rsidRPr="00CA25CF" w:rsidRDefault="002C0FD9" w:rsidP="00CA25CF">
            <w:pPr>
              <w:rPr>
                <w:rFonts w:cs="Arial"/>
                <w:color w:val="FF0000"/>
                <w:sz w:val="21"/>
                <w:szCs w:val="21"/>
              </w:rPr>
            </w:pPr>
          </w:p>
        </w:tc>
        <w:tc>
          <w:tcPr>
            <w:tcW w:w="217" w:type="dxa"/>
          </w:tcPr>
          <w:p w14:paraId="31434023" w14:textId="77777777" w:rsidR="002C0FD9" w:rsidRPr="00CA25CF" w:rsidRDefault="002C0FD9" w:rsidP="00CA25CF">
            <w:pPr>
              <w:rPr>
                <w:rFonts w:cs="Arial"/>
                <w:color w:val="FF0000"/>
                <w:sz w:val="21"/>
                <w:szCs w:val="21"/>
              </w:rPr>
            </w:pPr>
          </w:p>
        </w:tc>
        <w:tc>
          <w:tcPr>
            <w:tcW w:w="217" w:type="dxa"/>
          </w:tcPr>
          <w:p w14:paraId="7C004AB0" w14:textId="77777777" w:rsidR="002C0FD9" w:rsidRPr="00CA25CF" w:rsidRDefault="002C0FD9" w:rsidP="00CA25CF">
            <w:pPr>
              <w:rPr>
                <w:rFonts w:cs="Arial"/>
                <w:color w:val="FF0000"/>
                <w:sz w:val="21"/>
                <w:szCs w:val="21"/>
              </w:rPr>
            </w:pPr>
          </w:p>
        </w:tc>
        <w:tc>
          <w:tcPr>
            <w:tcW w:w="217" w:type="dxa"/>
          </w:tcPr>
          <w:p w14:paraId="323E492F" w14:textId="77777777" w:rsidR="002C0FD9" w:rsidRPr="00CA25CF" w:rsidRDefault="002C0FD9" w:rsidP="00CA25CF">
            <w:pPr>
              <w:rPr>
                <w:rFonts w:cs="Arial"/>
                <w:color w:val="FF0000"/>
                <w:sz w:val="21"/>
                <w:szCs w:val="21"/>
              </w:rPr>
            </w:pPr>
          </w:p>
        </w:tc>
        <w:tc>
          <w:tcPr>
            <w:tcW w:w="217" w:type="dxa"/>
          </w:tcPr>
          <w:p w14:paraId="1A8A64AC" w14:textId="77777777" w:rsidR="002C0FD9" w:rsidRPr="00CA25CF" w:rsidRDefault="002C0FD9" w:rsidP="00CA25CF">
            <w:pPr>
              <w:rPr>
                <w:rFonts w:cs="Arial"/>
                <w:color w:val="FF0000"/>
                <w:sz w:val="21"/>
                <w:szCs w:val="21"/>
              </w:rPr>
            </w:pPr>
          </w:p>
        </w:tc>
        <w:tc>
          <w:tcPr>
            <w:tcW w:w="217" w:type="dxa"/>
          </w:tcPr>
          <w:p w14:paraId="4A44D0BB" w14:textId="77777777" w:rsidR="002C0FD9" w:rsidRPr="00CA25CF" w:rsidRDefault="002C0FD9" w:rsidP="00CA25CF">
            <w:pPr>
              <w:rPr>
                <w:rFonts w:cs="Arial"/>
                <w:color w:val="FF0000"/>
                <w:sz w:val="21"/>
                <w:szCs w:val="21"/>
              </w:rPr>
            </w:pPr>
          </w:p>
        </w:tc>
        <w:tc>
          <w:tcPr>
            <w:tcW w:w="217" w:type="dxa"/>
          </w:tcPr>
          <w:p w14:paraId="4D088341" w14:textId="77777777" w:rsidR="002C0FD9" w:rsidRPr="00CA25CF" w:rsidRDefault="002C0FD9" w:rsidP="00CA25CF">
            <w:pPr>
              <w:rPr>
                <w:rFonts w:cs="Arial"/>
                <w:color w:val="FF0000"/>
                <w:sz w:val="21"/>
                <w:szCs w:val="21"/>
              </w:rPr>
            </w:pPr>
          </w:p>
        </w:tc>
        <w:tc>
          <w:tcPr>
            <w:tcW w:w="217" w:type="dxa"/>
          </w:tcPr>
          <w:p w14:paraId="5AA02EFA" w14:textId="77777777" w:rsidR="002C0FD9" w:rsidRPr="00CA25CF" w:rsidRDefault="002C0FD9" w:rsidP="00CA25CF">
            <w:pPr>
              <w:rPr>
                <w:rFonts w:cs="Arial"/>
                <w:color w:val="FF0000"/>
                <w:sz w:val="21"/>
                <w:szCs w:val="21"/>
              </w:rPr>
            </w:pPr>
          </w:p>
        </w:tc>
        <w:tc>
          <w:tcPr>
            <w:tcW w:w="217" w:type="dxa"/>
          </w:tcPr>
          <w:p w14:paraId="4E3708E8" w14:textId="77777777" w:rsidR="002C0FD9" w:rsidRPr="00CA25CF" w:rsidRDefault="002C0FD9" w:rsidP="00CA25CF">
            <w:pPr>
              <w:rPr>
                <w:rFonts w:cs="Arial"/>
                <w:color w:val="FF0000"/>
                <w:sz w:val="21"/>
                <w:szCs w:val="21"/>
              </w:rPr>
            </w:pPr>
          </w:p>
        </w:tc>
        <w:tc>
          <w:tcPr>
            <w:tcW w:w="217" w:type="dxa"/>
          </w:tcPr>
          <w:p w14:paraId="305D8F30" w14:textId="77777777" w:rsidR="002C0FD9" w:rsidRPr="00CA25CF" w:rsidRDefault="002C0FD9" w:rsidP="00CA25CF">
            <w:pPr>
              <w:rPr>
                <w:rFonts w:cs="Arial"/>
                <w:color w:val="FF0000"/>
                <w:sz w:val="21"/>
                <w:szCs w:val="21"/>
              </w:rPr>
            </w:pPr>
          </w:p>
        </w:tc>
        <w:tc>
          <w:tcPr>
            <w:tcW w:w="217" w:type="dxa"/>
          </w:tcPr>
          <w:p w14:paraId="104AF54A" w14:textId="77777777" w:rsidR="002C0FD9" w:rsidRPr="00CA25CF" w:rsidRDefault="002C0FD9" w:rsidP="00CA25CF">
            <w:pPr>
              <w:rPr>
                <w:rFonts w:cs="Arial"/>
                <w:color w:val="FF0000"/>
                <w:sz w:val="21"/>
                <w:szCs w:val="21"/>
              </w:rPr>
            </w:pPr>
          </w:p>
        </w:tc>
        <w:tc>
          <w:tcPr>
            <w:tcW w:w="217" w:type="dxa"/>
          </w:tcPr>
          <w:p w14:paraId="26B0CAFC" w14:textId="77777777" w:rsidR="002C0FD9" w:rsidRPr="00CA25CF" w:rsidRDefault="002C0FD9" w:rsidP="00CA25CF">
            <w:pPr>
              <w:rPr>
                <w:rFonts w:cs="Arial"/>
                <w:color w:val="FF0000"/>
                <w:sz w:val="21"/>
                <w:szCs w:val="21"/>
              </w:rPr>
            </w:pPr>
          </w:p>
        </w:tc>
        <w:tc>
          <w:tcPr>
            <w:tcW w:w="217" w:type="dxa"/>
          </w:tcPr>
          <w:p w14:paraId="6767FABD" w14:textId="77777777" w:rsidR="002C0FD9" w:rsidRPr="00CA25CF" w:rsidRDefault="002C0FD9" w:rsidP="00CA25CF">
            <w:pPr>
              <w:rPr>
                <w:rFonts w:cs="Arial"/>
                <w:color w:val="FF0000"/>
                <w:sz w:val="21"/>
                <w:szCs w:val="21"/>
              </w:rPr>
            </w:pPr>
          </w:p>
        </w:tc>
        <w:tc>
          <w:tcPr>
            <w:tcW w:w="217" w:type="dxa"/>
          </w:tcPr>
          <w:p w14:paraId="1B0B12A8" w14:textId="77777777" w:rsidR="002C0FD9" w:rsidRPr="00CA25CF" w:rsidRDefault="002C0FD9" w:rsidP="00CA25CF">
            <w:pPr>
              <w:rPr>
                <w:rFonts w:cs="Arial"/>
                <w:color w:val="FF0000"/>
                <w:sz w:val="21"/>
                <w:szCs w:val="21"/>
              </w:rPr>
            </w:pPr>
          </w:p>
        </w:tc>
        <w:tc>
          <w:tcPr>
            <w:tcW w:w="217" w:type="dxa"/>
          </w:tcPr>
          <w:p w14:paraId="12D78363" w14:textId="77777777" w:rsidR="002C0FD9" w:rsidRPr="00CA25CF" w:rsidRDefault="002C0FD9" w:rsidP="00CA25CF">
            <w:pPr>
              <w:rPr>
                <w:rFonts w:cs="Arial"/>
                <w:color w:val="FF0000"/>
                <w:sz w:val="21"/>
                <w:szCs w:val="21"/>
              </w:rPr>
            </w:pPr>
          </w:p>
        </w:tc>
        <w:tc>
          <w:tcPr>
            <w:tcW w:w="217" w:type="dxa"/>
          </w:tcPr>
          <w:p w14:paraId="70D823F6" w14:textId="77777777" w:rsidR="002C0FD9" w:rsidRPr="00CA25CF" w:rsidRDefault="002C0FD9" w:rsidP="00CA25CF">
            <w:pPr>
              <w:rPr>
                <w:rFonts w:cs="Arial"/>
                <w:color w:val="FF0000"/>
                <w:sz w:val="21"/>
                <w:szCs w:val="21"/>
              </w:rPr>
            </w:pPr>
          </w:p>
        </w:tc>
        <w:tc>
          <w:tcPr>
            <w:tcW w:w="217" w:type="dxa"/>
          </w:tcPr>
          <w:p w14:paraId="2EE87AA5" w14:textId="77777777" w:rsidR="002C0FD9" w:rsidRPr="00CA25CF" w:rsidRDefault="002C0FD9" w:rsidP="00CA25CF">
            <w:pPr>
              <w:rPr>
                <w:rFonts w:cs="Arial"/>
                <w:color w:val="FF0000"/>
                <w:sz w:val="21"/>
                <w:szCs w:val="21"/>
              </w:rPr>
            </w:pPr>
          </w:p>
        </w:tc>
        <w:tc>
          <w:tcPr>
            <w:tcW w:w="217" w:type="dxa"/>
          </w:tcPr>
          <w:p w14:paraId="27B5E389" w14:textId="77777777" w:rsidR="002C0FD9" w:rsidRPr="00CA25CF" w:rsidRDefault="002C0FD9" w:rsidP="00CA25CF">
            <w:pPr>
              <w:rPr>
                <w:rFonts w:cs="Arial"/>
                <w:color w:val="FF0000"/>
                <w:sz w:val="21"/>
                <w:szCs w:val="21"/>
              </w:rPr>
            </w:pPr>
          </w:p>
        </w:tc>
        <w:tc>
          <w:tcPr>
            <w:tcW w:w="217" w:type="dxa"/>
          </w:tcPr>
          <w:p w14:paraId="07E6BF36" w14:textId="77777777" w:rsidR="002C0FD9" w:rsidRPr="00CA25CF" w:rsidRDefault="002C0FD9" w:rsidP="00CA25CF">
            <w:pPr>
              <w:rPr>
                <w:rFonts w:cs="Arial"/>
                <w:color w:val="FF0000"/>
                <w:sz w:val="21"/>
                <w:szCs w:val="21"/>
              </w:rPr>
            </w:pPr>
          </w:p>
        </w:tc>
      </w:tr>
      <w:tr w:rsidR="002C0FD9" w:rsidRPr="00A16219" w14:paraId="40605477" w14:textId="77777777" w:rsidTr="002C0FD9">
        <w:trPr>
          <w:trHeight w:val="635"/>
        </w:trPr>
        <w:tc>
          <w:tcPr>
            <w:tcW w:w="515" w:type="dxa"/>
          </w:tcPr>
          <w:p w14:paraId="1925926D" w14:textId="77777777" w:rsidR="002C0FD9" w:rsidRPr="00CA25CF" w:rsidRDefault="002C0FD9" w:rsidP="00CA25CF">
            <w:pPr>
              <w:rPr>
                <w:rFonts w:cs="Arial"/>
                <w:color w:val="FF0000"/>
                <w:sz w:val="21"/>
                <w:szCs w:val="21"/>
              </w:rPr>
            </w:pPr>
          </w:p>
        </w:tc>
        <w:tc>
          <w:tcPr>
            <w:tcW w:w="217" w:type="dxa"/>
          </w:tcPr>
          <w:p w14:paraId="516F21E9" w14:textId="77777777" w:rsidR="002C0FD9" w:rsidRPr="00CA25CF" w:rsidRDefault="002C0FD9" w:rsidP="00CA25CF">
            <w:pPr>
              <w:rPr>
                <w:rFonts w:cs="Arial"/>
                <w:color w:val="FF0000"/>
                <w:sz w:val="21"/>
                <w:szCs w:val="21"/>
              </w:rPr>
            </w:pPr>
          </w:p>
        </w:tc>
        <w:tc>
          <w:tcPr>
            <w:tcW w:w="217" w:type="dxa"/>
          </w:tcPr>
          <w:p w14:paraId="2F74B7F8" w14:textId="77777777" w:rsidR="002C0FD9" w:rsidRPr="00CA25CF" w:rsidRDefault="002C0FD9" w:rsidP="00CA25CF">
            <w:pPr>
              <w:rPr>
                <w:rFonts w:cs="Arial"/>
                <w:color w:val="FF0000"/>
                <w:sz w:val="21"/>
                <w:szCs w:val="21"/>
              </w:rPr>
            </w:pPr>
          </w:p>
        </w:tc>
        <w:tc>
          <w:tcPr>
            <w:tcW w:w="217" w:type="dxa"/>
          </w:tcPr>
          <w:p w14:paraId="2BC27425" w14:textId="77777777" w:rsidR="002C0FD9" w:rsidRPr="00CA25CF" w:rsidRDefault="002C0FD9" w:rsidP="00CA25CF">
            <w:pPr>
              <w:rPr>
                <w:rFonts w:cs="Arial"/>
                <w:color w:val="FF0000"/>
                <w:sz w:val="21"/>
                <w:szCs w:val="21"/>
              </w:rPr>
            </w:pPr>
          </w:p>
        </w:tc>
        <w:tc>
          <w:tcPr>
            <w:tcW w:w="217" w:type="dxa"/>
          </w:tcPr>
          <w:p w14:paraId="5DEE7B1E" w14:textId="77777777" w:rsidR="002C0FD9" w:rsidRPr="00CA25CF" w:rsidRDefault="002C0FD9" w:rsidP="00CA25CF">
            <w:pPr>
              <w:rPr>
                <w:rFonts w:cs="Arial"/>
                <w:color w:val="FF0000"/>
                <w:sz w:val="21"/>
                <w:szCs w:val="21"/>
              </w:rPr>
            </w:pPr>
          </w:p>
        </w:tc>
        <w:tc>
          <w:tcPr>
            <w:tcW w:w="217" w:type="dxa"/>
          </w:tcPr>
          <w:p w14:paraId="20F61946" w14:textId="77777777" w:rsidR="002C0FD9" w:rsidRPr="00CA25CF" w:rsidRDefault="002C0FD9" w:rsidP="00CA25CF">
            <w:pPr>
              <w:rPr>
                <w:rFonts w:cs="Arial"/>
                <w:color w:val="FF0000"/>
                <w:sz w:val="21"/>
                <w:szCs w:val="21"/>
              </w:rPr>
            </w:pPr>
          </w:p>
        </w:tc>
        <w:tc>
          <w:tcPr>
            <w:tcW w:w="217" w:type="dxa"/>
          </w:tcPr>
          <w:p w14:paraId="1C345112" w14:textId="77777777" w:rsidR="002C0FD9" w:rsidRPr="00CA25CF" w:rsidRDefault="002C0FD9" w:rsidP="00CA25CF">
            <w:pPr>
              <w:rPr>
                <w:rFonts w:cs="Arial"/>
                <w:color w:val="FF0000"/>
                <w:sz w:val="21"/>
                <w:szCs w:val="21"/>
              </w:rPr>
            </w:pPr>
          </w:p>
        </w:tc>
        <w:tc>
          <w:tcPr>
            <w:tcW w:w="217" w:type="dxa"/>
          </w:tcPr>
          <w:p w14:paraId="1E16F3B0" w14:textId="77777777" w:rsidR="002C0FD9" w:rsidRPr="00CA25CF" w:rsidRDefault="002C0FD9" w:rsidP="00CA25CF">
            <w:pPr>
              <w:rPr>
                <w:rFonts w:cs="Arial"/>
                <w:color w:val="FF0000"/>
                <w:sz w:val="21"/>
                <w:szCs w:val="21"/>
              </w:rPr>
            </w:pPr>
          </w:p>
        </w:tc>
        <w:tc>
          <w:tcPr>
            <w:tcW w:w="217" w:type="dxa"/>
          </w:tcPr>
          <w:p w14:paraId="718F59BC" w14:textId="77777777" w:rsidR="002C0FD9" w:rsidRPr="00CA25CF" w:rsidRDefault="002C0FD9" w:rsidP="00CA25CF">
            <w:pPr>
              <w:rPr>
                <w:rFonts w:cs="Arial"/>
                <w:color w:val="FF0000"/>
                <w:sz w:val="21"/>
                <w:szCs w:val="21"/>
              </w:rPr>
            </w:pPr>
          </w:p>
        </w:tc>
        <w:tc>
          <w:tcPr>
            <w:tcW w:w="217" w:type="dxa"/>
          </w:tcPr>
          <w:p w14:paraId="23728758" w14:textId="77777777" w:rsidR="002C0FD9" w:rsidRPr="00CA25CF" w:rsidRDefault="002C0FD9" w:rsidP="00CA25CF">
            <w:pPr>
              <w:rPr>
                <w:rFonts w:cs="Arial"/>
                <w:color w:val="FF0000"/>
                <w:sz w:val="21"/>
                <w:szCs w:val="21"/>
              </w:rPr>
            </w:pPr>
          </w:p>
        </w:tc>
        <w:tc>
          <w:tcPr>
            <w:tcW w:w="217" w:type="dxa"/>
          </w:tcPr>
          <w:p w14:paraId="7BBF1328" w14:textId="77777777" w:rsidR="002C0FD9" w:rsidRPr="00CA25CF" w:rsidRDefault="002C0FD9" w:rsidP="00CA25CF">
            <w:pPr>
              <w:rPr>
                <w:rFonts w:cs="Arial"/>
                <w:color w:val="FF0000"/>
                <w:sz w:val="21"/>
                <w:szCs w:val="21"/>
              </w:rPr>
            </w:pPr>
          </w:p>
        </w:tc>
        <w:tc>
          <w:tcPr>
            <w:tcW w:w="217" w:type="dxa"/>
          </w:tcPr>
          <w:p w14:paraId="6C4EDDB7" w14:textId="77777777" w:rsidR="002C0FD9" w:rsidRPr="00CA25CF" w:rsidRDefault="002C0FD9" w:rsidP="00CA25CF">
            <w:pPr>
              <w:rPr>
                <w:rFonts w:cs="Arial"/>
                <w:color w:val="FF0000"/>
                <w:sz w:val="21"/>
                <w:szCs w:val="21"/>
              </w:rPr>
            </w:pPr>
          </w:p>
        </w:tc>
        <w:tc>
          <w:tcPr>
            <w:tcW w:w="217" w:type="dxa"/>
          </w:tcPr>
          <w:p w14:paraId="289C9CCF" w14:textId="77777777" w:rsidR="002C0FD9" w:rsidRPr="00CA25CF" w:rsidRDefault="002C0FD9" w:rsidP="00CA25CF">
            <w:pPr>
              <w:rPr>
                <w:rFonts w:cs="Arial"/>
                <w:color w:val="FF0000"/>
                <w:sz w:val="21"/>
                <w:szCs w:val="21"/>
              </w:rPr>
            </w:pPr>
          </w:p>
        </w:tc>
        <w:tc>
          <w:tcPr>
            <w:tcW w:w="217" w:type="dxa"/>
          </w:tcPr>
          <w:p w14:paraId="1B387742" w14:textId="77777777" w:rsidR="002C0FD9" w:rsidRPr="00CA25CF" w:rsidRDefault="002C0FD9" w:rsidP="00CA25CF">
            <w:pPr>
              <w:rPr>
                <w:rFonts w:cs="Arial"/>
                <w:color w:val="FF0000"/>
                <w:sz w:val="21"/>
                <w:szCs w:val="21"/>
              </w:rPr>
            </w:pPr>
          </w:p>
        </w:tc>
        <w:tc>
          <w:tcPr>
            <w:tcW w:w="217" w:type="dxa"/>
          </w:tcPr>
          <w:p w14:paraId="6043F272" w14:textId="77777777" w:rsidR="002C0FD9" w:rsidRPr="00CA25CF" w:rsidRDefault="002C0FD9" w:rsidP="00CA25CF">
            <w:pPr>
              <w:rPr>
                <w:rFonts w:cs="Arial"/>
                <w:color w:val="FF0000"/>
                <w:sz w:val="21"/>
                <w:szCs w:val="21"/>
              </w:rPr>
            </w:pPr>
          </w:p>
        </w:tc>
        <w:tc>
          <w:tcPr>
            <w:tcW w:w="217" w:type="dxa"/>
          </w:tcPr>
          <w:p w14:paraId="29B8E698" w14:textId="77777777" w:rsidR="002C0FD9" w:rsidRPr="00CA25CF" w:rsidRDefault="002C0FD9" w:rsidP="00CA25CF">
            <w:pPr>
              <w:rPr>
                <w:rFonts w:cs="Arial"/>
                <w:color w:val="FF0000"/>
                <w:sz w:val="21"/>
                <w:szCs w:val="21"/>
              </w:rPr>
            </w:pPr>
          </w:p>
        </w:tc>
        <w:tc>
          <w:tcPr>
            <w:tcW w:w="217" w:type="dxa"/>
          </w:tcPr>
          <w:p w14:paraId="35730D44" w14:textId="77777777" w:rsidR="002C0FD9" w:rsidRPr="00CA25CF" w:rsidRDefault="002C0FD9" w:rsidP="00CA25CF">
            <w:pPr>
              <w:rPr>
                <w:rFonts w:cs="Arial"/>
                <w:color w:val="FF0000"/>
                <w:sz w:val="21"/>
                <w:szCs w:val="21"/>
              </w:rPr>
            </w:pPr>
          </w:p>
        </w:tc>
        <w:tc>
          <w:tcPr>
            <w:tcW w:w="217" w:type="dxa"/>
          </w:tcPr>
          <w:p w14:paraId="19D0BE73" w14:textId="77777777" w:rsidR="002C0FD9" w:rsidRPr="00CA25CF" w:rsidRDefault="002C0FD9" w:rsidP="00CA25CF">
            <w:pPr>
              <w:rPr>
                <w:rFonts w:cs="Arial"/>
                <w:color w:val="FF0000"/>
                <w:sz w:val="21"/>
                <w:szCs w:val="21"/>
              </w:rPr>
            </w:pPr>
          </w:p>
        </w:tc>
        <w:tc>
          <w:tcPr>
            <w:tcW w:w="217" w:type="dxa"/>
          </w:tcPr>
          <w:p w14:paraId="782705F6" w14:textId="77777777" w:rsidR="002C0FD9" w:rsidRPr="00CA25CF" w:rsidRDefault="002C0FD9" w:rsidP="00CA25CF">
            <w:pPr>
              <w:rPr>
                <w:rFonts w:cs="Arial"/>
                <w:color w:val="FF0000"/>
                <w:sz w:val="21"/>
                <w:szCs w:val="21"/>
              </w:rPr>
            </w:pPr>
          </w:p>
        </w:tc>
        <w:tc>
          <w:tcPr>
            <w:tcW w:w="217" w:type="dxa"/>
          </w:tcPr>
          <w:p w14:paraId="0C1C9373" w14:textId="77777777" w:rsidR="002C0FD9" w:rsidRPr="00CA25CF" w:rsidRDefault="002C0FD9" w:rsidP="00CA25CF">
            <w:pPr>
              <w:rPr>
                <w:rFonts w:cs="Arial"/>
                <w:color w:val="FF0000"/>
                <w:sz w:val="21"/>
                <w:szCs w:val="21"/>
              </w:rPr>
            </w:pPr>
          </w:p>
        </w:tc>
        <w:tc>
          <w:tcPr>
            <w:tcW w:w="217" w:type="dxa"/>
          </w:tcPr>
          <w:p w14:paraId="3F51579A" w14:textId="77777777" w:rsidR="002C0FD9" w:rsidRPr="00CA25CF" w:rsidRDefault="002C0FD9" w:rsidP="00CA25CF">
            <w:pPr>
              <w:rPr>
                <w:rFonts w:cs="Arial"/>
                <w:color w:val="FF0000"/>
                <w:sz w:val="21"/>
                <w:szCs w:val="21"/>
              </w:rPr>
            </w:pPr>
          </w:p>
        </w:tc>
        <w:tc>
          <w:tcPr>
            <w:tcW w:w="217" w:type="dxa"/>
          </w:tcPr>
          <w:p w14:paraId="2E9A8AF5" w14:textId="77777777" w:rsidR="002C0FD9" w:rsidRPr="00CA25CF" w:rsidRDefault="002C0FD9" w:rsidP="00CA25CF">
            <w:pPr>
              <w:rPr>
                <w:rFonts w:cs="Arial"/>
                <w:color w:val="FF0000"/>
                <w:sz w:val="21"/>
                <w:szCs w:val="21"/>
              </w:rPr>
            </w:pPr>
          </w:p>
        </w:tc>
        <w:tc>
          <w:tcPr>
            <w:tcW w:w="217" w:type="dxa"/>
          </w:tcPr>
          <w:p w14:paraId="79D1B4F0" w14:textId="77777777" w:rsidR="002C0FD9" w:rsidRPr="00CA25CF" w:rsidRDefault="002C0FD9" w:rsidP="00CA25CF">
            <w:pPr>
              <w:rPr>
                <w:rFonts w:cs="Arial"/>
                <w:color w:val="FF0000"/>
                <w:sz w:val="21"/>
                <w:szCs w:val="21"/>
              </w:rPr>
            </w:pPr>
          </w:p>
        </w:tc>
        <w:tc>
          <w:tcPr>
            <w:tcW w:w="217" w:type="dxa"/>
          </w:tcPr>
          <w:p w14:paraId="7D175684" w14:textId="77777777" w:rsidR="002C0FD9" w:rsidRPr="00CA25CF" w:rsidRDefault="002C0FD9" w:rsidP="00CA25CF">
            <w:pPr>
              <w:rPr>
                <w:rFonts w:cs="Arial"/>
                <w:color w:val="FF0000"/>
                <w:sz w:val="21"/>
                <w:szCs w:val="21"/>
              </w:rPr>
            </w:pPr>
          </w:p>
        </w:tc>
        <w:tc>
          <w:tcPr>
            <w:tcW w:w="217" w:type="dxa"/>
          </w:tcPr>
          <w:p w14:paraId="035F0569" w14:textId="77777777" w:rsidR="002C0FD9" w:rsidRPr="00CA25CF" w:rsidRDefault="002C0FD9" w:rsidP="00CA25CF">
            <w:pPr>
              <w:rPr>
                <w:rFonts w:cs="Arial"/>
                <w:color w:val="FF0000"/>
                <w:sz w:val="21"/>
                <w:szCs w:val="21"/>
              </w:rPr>
            </w:pPr>
          </w:p>
        </w:tc>
        <w:tc>
          <w:tcPr>
            <w:tcW w:w="217" w:type="dxa"/>
          </w:tcPr>
          <w:p w14:paraId="6F5F3F92" w14:textId="77777777" w:rsidR="002C0FD9" w:rsidRPr="00CA25CF" w:rsidRDefault="002C0FD9" w:rsidP="00CA25CF">
            <w:pPr>
              <w:rPr>
                <w:rFonts w:cs="Arial"/>
                <w:color w:val="FF0000"/>
                <w:sz w:val="21"/>
                <w:szCs w:val="21"/>
              </w:rPr>
            </w:pPr>
          </w:p>
        </w:tc>
        <w:tc>
          <w:tcPr>
            <w:tcW w:w="217" w:type="dxa"/>
          </w:tcPr>
          <w:p w14:paraId="3416A73F" w14:textId="77777777" w:rsidR="002C0FD9" w:rsidRPr="00CA25CF" w:rsidRDefault="002C0FD9" w:rsidP="00CA25CF">
            <w:pPr>
              <w:rPr>
                <w:rFonts w:cs="Arial"/>
                <w:color w:val="FF0000"/>
                <w:sz w:val="21"/>
                <w:szCs w:val="21"/>
              </w:rPr>
            </w:pPr>
          </w:p>
        </w:tc>
        <w:tc>
          <w:tcPr>
            <w:tcW w:w="217" w:type="dxa"/>
          </w:tcPr>
          <w:p w14:paraId="641AE23E" w14:textId="77777777" w:rsidR="002C0FD9" w:rsidRPr="00CA25CF" w:rsidRDefault="002C0FD9" w:rsidP="00CA25CF">
            <w:pPr>
              <w:rPr>
                <w:rFonts w:cs="Arial"/>
                <w:color w:val="FF0000"/>
                <w:sz w:val="21"/>
                <w:szCs w:val="21"/>
              </w:rPr>
            </w:pPr>
          </w:p>
        </w:tc>
        <w:tc>
          <w:tcPr>
            <w:tcW w:w="217" w:type="dxa"/>
          </w:tcPr>
          <w:p w14:paraId="766653DD" w14:textId="77777777" w:rsidR="002C0FD9" w:rsidRPr="00CA25CF" w:rsidRDefault="002C0FD9" w:rsidP="00CA25CF">
            <w:pPr>
              <w:rPr>
                <w:rFonts w:cs="Arial"/>
                <w:color w:val="FF0000"/>
                <w:sz w:val="21"/>
                <w:szCs w:val="21"/>
              </w:rPr>
            </w:pPr>
          </w:p>
        </w:tc>
        <w:tc>
          <w:tcPr>
            <w:tcW w:w="217" w:type="dxa"/>
          </w:tcPr>
          <w:p w14:paraId="4EAC4257" w14:textId="77777777" w:rsidR="002C0FD9" w:rsidRPr="00CA25CF" w:rsidRDefault="002C0FD9" w:rsidP="00CA25CF">
            <w:pPr>
              <w:rPr>
                <w:rFonts w:cs="Arial"/>
                <w:color w:val="FF0000"/>
                <w:sz w:val="21"/>
                <w:szCs w:val="21"/>
              </w:rPr>
            </w:pPr>
          </w:p>
        </w:tc>
        <w:tc>
          <w:tcPr>
            <w:tcW w:w="217" w:type="dxa"/>
          </w:tcPr>
          <w:p w14:paraId="4179E397" w14:textId="77777777" w:rsidR="002C0FD9" w:rsidRPr="00CA25CF" w:rsidRDefault="002C0FD9" w:rsidP="00CA25CF">
            <w:pPr>
              <w:rPr>
                <w:rFonts w:cs="Arial"/>
                <w:color w:val="FF0000"/>
                <w:sz w:val="21"/>
                <w:szCs w:val="21"/>
              </w:rPr>
            </w:pPr>
          </w:p>
        </w:tc>
        <w:tc>
          <w:tcPr>
            <w:tcW w:w="217" w:type="dxa"/>
          </w:tcPr>
          <w:p w14:paraId="7C1CE57A" w14:textId="77777777" w:rsidR="002C0FD9" w:rsidRPr="00CA25CF" w:rsidRDefault="002C0FD9" w:rsidP="00CA25CF">
            <w:pPr>
              <w:rPr>
                <w:rFonts w:cs="Arial"/>
                <w:color w:val="FF0000"/>
                <w:sz w:val="21"/>
                <w:szCs w:val="21"/>
              </w:rPr>
            </w:pPr>
          </w:p>
        </w:tc>
        <w:tc>
          <w:tcPr>
            <w:tcW w:w="217" w:type="dxa"/>
          </w:tcPr>
          <w:p w14:paraId="7B9C806A" w14:textId="77777777" w:rsidR="002C0FD9" w:rsidRPr="00CA25CF" w:rsidRDefault="002C0FD9" w:rsidP="00CA25CF">
            <w:pPr>
              <w:rPr>
                <w:rFonts w:cs="Arial"/>
                <w:color w:val="FF0000"/>
                <w:sz w:val="21"/>
                <w:szCs w:val="21"/>
              </w:rPr>
            </w:pPr>
          </w:p>
        </w:tc>
        <w:tc>
          <w:tcPr>
            <w:tcW w:w="217" w:type="dxa"/>
          </w:tcPr>
          <w:p w14:paraId="3DF74F87" w14:textId="77777777" w:rsidR="002C0FD9" w:rsidRPr="00CA25CF" w:rsidRDefault="002C0FD9" w:rsidP="00CA25CF">
            <w:pPr>
              <w:rPr>
                <w:rFonts w:cs="Arial"/>
                <w:color w:val="FF0000"/>
                <w:sz w:val="21"/>
                <w:szCs w:val="21"/>
              </w:rPr>
            </w:pPr>
          </w:p>
        </w:tc>
        <w:tc>
          <w:tcPr>
            <w:tcW w:w="217" w:type="dxa"/>
          </w:tcPr>
          <w:p w14:paraId="53B2D2F8" w14:textId="77777777" w:rsidR="002C0FD9" w:rsidRPr="00CA25CF" w:rsidRDefault="002C0FD9" w:rsidP="00CA25CF">
            <w:pPr>
              <w:rPr>
                <w:rFonts w:cs="Arial"/>
                <w:color w:val="FF0000"/>
                <w:sz w:val="21"/>
                <w:szCs w:val="21"/>
              </w:rPr>
            </w:pPr>
          </w:p>
        </w:tc>
        <w:tc>
          <w:tcPr>
            <w:tcW w:w="217" w:type="dxa"/>
          </w:tcPr>
          <w:p w14:paraId="0E5467A3" w14:textId="77777777" w:rsidR="002C0FD9" w:rsidRPr="00CA25CF" w:rsidRDefault="002C0FD9" w:rsidP="00CA25CF">
            <w:pPr>
              <w:rPr>
                <w:rFonts w:cs="Arial"/>
                <w:color w:val="FF0000"/>
                <w:sz w:val="21"/>
                <w:szCs w:val="21"/>
              </w:rPr>
            </w:pPr>
          </w:p>
        </w:tc>
        <w:tc>
          <w:tcPr>
            <w:tcW w:w="217" w:type="dxa"/>
          </w:tcPr>
          <w:p w14:paraId="57188F23" w14:textId="77777777" w:rsidR="002C0FD9" w:rsidRPr="00CA25CF" w:rsidRDefault="002C0FD9" w:rsidP="00CA25CF">
            <w:pPr>
              <w:rPr>
                <w:rFonts w:cs="Arial"/>
                <w:color w:val="FF0000"/>
                <w:sz w:val="21"/>
                <w:szCs w:val="21"/>
              </w:rPr>
            </w:pPr>
          </w:p>
        </w:tc>
        <w:tc>
          <w:tcPr>
            <w:tcW w:w="217" w:type="dxa"/>
          </w:tcPr>
          <w:p w14:paraId="64381106" w14:textId="77777777" w:rsidR="002C0FD9" w:rsidRPr="00CA25CF" w:rsidRDefault="002C0FD9" w:rsidP="00CA25CF">
            <w:pPr>
              <w:rPr>
                <w:rFonts w:cs="Arial"/>
                <w:color w:val="FF0000"/>
                <w:sz w:val="21"/>
                <w:szCs w:val="21"/>
              </w:rPr>
            </w:pPr>
          </w:p>
        </w:tc>
        <w:tc>
          <w:tcPr>
            <w:tcW w:w="217" w:type="dxa"/>
          </w:tcPr>
          <w:p w14:paraId="55F1EED1" w14:textId="77777777" w:rsidR="002C0FD9" w:rsidRPr="00CA25CF" w:rsidRDefault="002C0FD9" w:rsidP="00CA25CF">
            <w:pPr>
              <w:rPr>
                <w:rFonts w:cs="Arial"/>
                <w:color w:val="FF0000"/>
                <w:sz w:val="21"/>
                <w:szCs w:val="21"/>
              </w:rPr>
            </w:pPr>
          </w:p>
        </w:tc>
        <w:tc>
          <w:tcPr>
            <w:tcW w:w="217" w:type="dxa"/>
          </w:tcPr>
          <w:p w14:paraId="3D63A763" w14:textId="77777777" w:rsidR="002C0FD9" w:rsidRPr="00CA25CF" w:rsidRDefault="002C0FD9" w:rsidP="00CA25CF">
            <w:pPr>
              <w:rPr>
                <w:rFonts w:cs="Arial"/>
                <w:color w:val="FF0000"/>
                <w:sz w:val="21"/>
                <w:szCs w:val="21"/>
              </w:rPr>
            </w:pPr>
          </w:p>
        </w:tc>
        <w:tc>
          <w:tcPr>
            <w:tcW w:w="217" w:type="dxa"/>
          </w:tcPr>
          <w:p w14:paraId="3319442D" w14:textId="77777777" w:rsidR="002C0FD9" w:rsidRPr="00CA25CF" w:rsidRDefault="002C0FD9" w:rsidP="00CA25CF">
            <w:pPr>
              <w:rPr>
                <w:rFonts w:cs="Arial"/>
                <w:color w:val="FF0000"/>
                <w:sz w:val="21"/>
                <w:szCs w:val="21"/>
              </w:rPr>
            </w:pPr>
          </w:p>
        </w:tc>
        <w:tc>
          <w:tcPr>
            <w:tcW w:w="217" w:type="dxa"/>
          </w:tcPr>
          <w:p w14:paraId="6B594990" w14:textId="77777777" w:rsidR="002C0FD9" w:rsidRPr="00CA25CF" w:rsidRDefault="002C0FD9" w:rsidP="00CA25CF">
            <w:pPr>
              <w:rPr>
                <w:rFonts w:cs="Arial"/>
                <w:color w:val="FF0000"/>
                <w:sz w:val="21"/>
                <w:szCs w:val="21"/>
              </w:rPr>
            </w:pPr>
          </w:p>
        </w:tc>
        <w:tc>
          <w:tcPr>
            <w:tcW w:w="217" w:type="dxa"/>
          </w:tcPr>
          <w:p w14:paraId="5B6803A2" w14:textId="77777777" w:rsidR="002C0FD9" w:rsidRPr="00CA25CF" w:rsidRDefault="002C0FD9" w:rsidP="00CA25CF">
            <w:pPr>
              <w:rPr>
                <w:rFonts w:cs="Arial"/>
                <w:color w:val="FF0000"/>
                <w:sz w:val="21"/>
                <w:szCs w:val="21"/>
              </w:rPr>
            </w:pPr>
          </w:p>
        </w:tc>
      </w:tr>
      <w:tr w:rsidR="002C0FD9" w:rsidRPr="00A16219" w14:paraId="720ADCD8" w14:textId="77777777" w:rsidTr="002C0FD9">
        <w:trPr>
          <w:trHeight w:val="635"/>
        </w:trPr>
        <w:tc>
          <w:tcPr>
            <w:tcW w:w="515" w:type="dxa"/>
          </w:tcPr>
          <w:p w14:paraId="4A952150" w14:textId="77777777" w:rsidR="002C0FD9" w:rsidRPr="00CA25CF" w:rsidRDefault="002C0FD9" w:rsidP="00CA25CF">
            <w:pPr>
              <w:rPr>
                <w:rFonts w:cs="Arial"/>
                <w:color w:val="FF0000"/>
                <w:sz w:val="21"/>
                <w:szCs w:val="21"/>
              </w:rPr>
            </w:pPr>
          </w:p>
        </w:tc>
        <w:tc>
          <w:tcPr>
            <w:tcW w:w="217" w:type="dxa"/>
          </w:tcPr>
          <w:p w14:paraId="562BC9DC" w14:textId="77777777" w:rsidR="002C0FD9" w:rsidRPr="00CA25CF" w:rsidRDefault="002C0FD9" w:rsidP="00CA25CF">
            <w:pPr>
              <w:rPr>
                <w:rFonts w:cs="Arial"/>
                <w:color w:val="FF0000"/>
                <w:sz w:val="21"/>
                <w:szCs w:val="21"/>
              </w:rPr>
            </w:pPr>
          </w:p>
        </w:tc>
        <w:tc>
          <w:tcPr>
            <w:tcW w:w="217" w:type="dxa"/>
          </w:tcPr>
          <w:p w14:paraId="68EBE7EB" w14:textId="77777777" w:rsidR="002C0FD9" w:rsidRPr="00CA25CF" w:rsidRDefault="002C0FD9" w:rsidP="00CA25CF">
            <w:pPr>
              <w:rPr>
                <w:rFonts w:cs="Arial"/>
                <w:color w:val="FF0000"/>
                <w:sz w:val="21"/>
                <w:szCs w:val="21"/>
              </w:rPr>
            </w:pPr>
          </w:p>
        </w:tc>
        <w:tc>
          <w:tcPr>
            <w:tcW w:w="217" w:type="dxa"/>
          </w:tcPr>
          <w:p w14:paraId="3D2D0AE6" w14:textId="77777777" w:rsidR="002C0FD9" w:rsidRPr="00CA25CF" w:rsidRDefault="002C0FD9" w:rsidP="00CA25CF">
            <w:pPr>
              <w:rPr>
                <w:rFonts w:cs="Arial"/>
                <w:color w:val="FF0000"/>
                <w:sz w:val="21"/>
                <w:szCs w:val="21"/>
              </w:rPr>
            </w:pPr>
          </w:p>
        </w:tc>
        <w:tc>
          <w:tcPr>
            <w:tcW w:w="217" w:type="dxa"/>
          </w:tcPr>
          <w:p w14:paraId="0407DBF2" w14:textId="77777777" w:rsidR="002C0FD9" w:rsidRPr="00CA25CF" w:rsidRDefault="002C0FD9" w:rsidP="00CA25CF">
            <w:pPr>
              <w:rPr>
                <w:rFonts w:cs="Arial"/>
                <w:color w:val="FF0000"/>
                <w:sz w:val="21"/>
                <w:szCs w:val="21"/>
              </w:rPr>
            </w:pPr>
          </w:p>
        </w:tc>
        <w:tc>
          <w:tcPr>
            <w:tcW w:w="217" w:type="dxa"/>
          </w:tcPr>
          <w:p w14:paraId="3C8D83D8" w14:textId="77777777" w:rsidR="002C0FD9" w:rsidRPr="00CA25CF" w:rsidRDefault="002C0FD9" w:rsidP="00CA25CF">
            <w:pPr>
              <w:rPr>
                <w:rFonts w:cs="Arial"/>
                <w:color w:val="FF0000"/>
                <w:sz w:val="21"/>
                <w:szCs w:val="21"/>
              </w:rPr>
            </w:pPr>
          </w:p>
        </w:tc>
        <w:tc>
          <w:tcPr>
            <w:tcW w:w="217" w:type="dxa"/>
          </w:tcPr>
          <w:p w14:paraId="1C07C066" w14:textId="77777777" w:rsidR="002C0FD9" w:rsidRPr="00CA25CF" w:rsidRDefault="002C0FD9" w:rsidP="00CA25CF">
            <w:pPr>
              <w:rPr>
                <w:rFonts w:cs="Arial"/>
                <w:color w:val="FF0000"/>
                <w:sz w:val="21"/>
                <w:szCs w:val="21"/>
              </w:rPr>
            </w:pPr>
          </w:p>
        </w:tc>
        <w:tc>
          <w:tcPr>
            <w:tcW w:w="217" w:type="dxa"/>
          </w:tcPr>
          <w:p w14:paraId="706CD51B" w14:textId="77777777" w:rsidR="002C0FD9" w:rsidRPr="00CA25CF" w:rsidRDefault="002C0FD9" w:rsidP="00CA25CF">
            <w:pPr>
              <w:rPr>
                <w:rFonts w:cs="Arial"/>
                <w:color w:val="FF0000"/>
                <w:sz w:val="21"/>
                <w:szCs w:val="21"/>
              </w:rPr>
            </w:pPr>
          </w:p>
        </w:tc>
        <w:tc>
          <w:tcPr>
            <w:tcW w:w="217" w:type="dxa"/>
          </w:tcPr>
          <w:p w14:paraId="1A3854A9" w14:textId="77777777" w:rsidR="002C0FD9" w:rsidRPr="00CA25CF" w:rsidRDefault="002C0FD9" w:rsidP="00CA25CF">
            <w:pPr>
              <w:rPr>
                <w:rFonts w:cs="Arial"/>
                <w:color w:val="FF0000"/>
                <w:sz w:val="21"/>
                <w:szCs w:val="21"/>
              </w:rPr>
            </w:pPr>
          </w:p>
        </w:tc>
        <w:tc>
          <w:tcPr>
            <w:tcW w:w="217" w:type="dxa"/>
          </w:tcPr>
          <w:p w14:paraId="7E14A7CA" w14:textId="77777777" w:rsidR="002C0FD9" w:rsidRPr="00CA25CF" w:rsidRDefault="002C0FD9" w:rsidP="00CA25CF">
            <w:pPr>
              <w:rPr>
                <w:rFonts w:cs="Arial"/>
                <w:color w:val="FF0000"/>
                <w:sz w:val="21"/>
                <w:szCs w:val="21"/>
              </w:rPr>
            </w:pPr>
          </w:p>
        </w:tc>
        <w:tc>
          <w:tcPr>
            <w:tcW w:w="217" w:type="dxa"/>
          </w:tcPr>
          <w:p w14:paraId="7975ECC3" w14:textId="77777777" w:rsidR="002C0FD9" w:rsidRPr="00CA25CF" w:rsidRDefault="002C0FD9" w:rsidP="00CA25CF">
            <w:pPr>
              <w:rPr>
                <w:rFonts w:cs="Arial"/>
                <w:color w:val="FF0000"/>
                <w:sz w:val="21"/>
                <w:szCs w:val="21"/>
              </w:rPr>
            </w:pPr>
          </w:p>
        </w:tc>
        <w:tc>
          <w:tcPr>
            <w:tcW w:w="217" w:type="dxa"/>
          </w:tcPr>
          <w:p w14:paraId="3C08E2C3" w14:textId="77777777" w:rsidR="002C0FD9" w:rsidRPr="00CA25CF" w:rsidRDefault="002C0FD9" w:rsidP="00CA25CF">
            <w:pPr>
              <w:rPr>
                <w:rFonts w:cs="Arial"/>
                <w:color w:val="FF0000"/>
                <w:sz w:val="21"/>
                <w:szCs w:val="21"/>
              </w:rPr>
            </w:pPr>
          </w:p>
        </w:tc>
        <w:tc>
          <w:tcPr>
            <w:tcW w:w="217" w:type="dxa"/>
          </w:tcPr>
          <w:p w14:paraId="3BF0184D" w14:textId="77777777" w:rsidR="002C0FD9" w:rsidRPr="00CA25CF" w:rsidRDefault="002C0FD9" w:rsidP="00CA25CF">
            <w:pPr>
              <w:rPr>
                <w:rFonts w:cs="Arial"/>
                <w:color w:val="FF0000"/>
                <w:sz w:val="21"/>
                <w:szCs w:val="21"/>
              </w:rPr>
            </w:pPr>
          </w:p>
        </w:tc>
        <w:tc>
          <w:tcPr>
            <w:tcW w:w="217" w:type="dxa"/>
          </w:tcPr>
          <w:p w14:paraId="04E10410" w14:textId="77777777" w:rsidR="002C0FD9" w:rsidRPr="00CA25CF" w:rsidRDefault="002C0FD9" w:rsidP="00CA25CF">
            <w:pPr>
              <w:rPr>
                <w:rFonts w:cs="Arial"/>
                <w:color w:val="FF0000"/>
                <w:sz w:val="21"/>
                <w:szCs w:val="21"/>
              </w:rPr>
            </w:pPr>
          </w:p>
        </w:tc>
        <w:tc>
          <w:tcPr>
            <w:tcW w:w="217" w:type="dxa"/>
          </w:tcPr>
          <w:p w14:paraId="4765953B" w14:textId="77777777" w:rsidR="002C0FD9" w:rsidRPr="00CA25CF" w:rsidRDefault="002C0FD9" w:rsidP="00CA25CF">
            <w:pPr>
              <w:rPr>
                <w:rFonts w:cs="Arial"/>
                <w:color w:val="FF0000"/>
                <w:sz w:val="21"/>
                <w:szCs w:val="21"/>
              </w:rPr>
            </w:pPr>
          </w:p>
        </w:tc>
        <w:tc>
          <w:tcPr>
            <w:tcW w:w="217" w:type="dxa"/>
          </w:tcPr>
          <w:p w14:paraId="1F1AD3D9" w14:textId="77777777" w:rsidR="002C0FD9" w:rsidRPr="00CA25CF" w:rsidRDefault="002C0FD9" w:rsidP="00CA25CF">
            <w:pPr>
              <w:rPr>
                <w:rFonts w:cs="Arial"/>
                <w:color w:val="FF0000"/>
                <w:sz w:val="21"/>
                <w:szCs w:val="21"/>
              </w:rPr>
            </w:pPr>
          </w:p>
        </w:tc>
        <w:tc>
          <w:tcPr>
            <w:tcW w:w="217" w:type="dxa"/>
          </w:tcPr>
          <w:p w14:paraId="633DF662" w14:textId="77777777" w:rsidR="002C0FD9" w:rsidRPr="00CA25CF" w:rsidRDefault="002C0FD9" w:rsidP="00CA25CF">
            <w:pPr>
              <w:rPr>
                <w:rFonts w:cs="Arial"/>
                <w:color w:val="FF0000"/>
                <w:sz w:val="21"/>
                <w:szCs w:val="21"/>
              </w:rPr>
            </w:pPr>
          </w:p>
        </w:tc>
        <w:tc>
          <w:tcPr>
            <w:tcW w:w="217" w:type="dxa"/>
          </w:tcPr>
          <w:p w14:paraId="5B22038A" w14:textId="77777777" w:rsidR="002C0FD9" w:rsidRPr="00CA25CF" w:rsidRDefault="002C0FD9" w:rsidP="00CA25CF">
            <w:pPr>
              <w:rPr>
                <w:rFonts w:cs="Arial"/>
                <w:color w:val="FF0000"/>
                <w:sz w:val="21"/>
                <w:szCs w:val="21"/>
              </w:rPr>
            </w:pPr>
          </w:p>
        </w:tc>
        <w:tc>
          <w:tcPr>
            <w:tcW w:w="217" w:type="dxa"/>
          </w:tcPr>
          <w:p w14:paraId="42EE9B3A" w14:textId="77777777" w:rsidR="002C0FD9" w:rsidRPr="00CA25CF" w:rsidRDefault="002C0FD9" w:rsidP="00CA25CF">
            <w:pPr>
              <w:rPr>
                <w:rFonts w:cs="Arial"/>
                <w:color w:val="FF0000"/>
                <w:sz w:val="21"/>
                <w:szCs w:val="21"/>
              </w:rPr>
            </w:pPr>
          </w:p>
        </w:tc>
        <w:tc>
          <w:tcPr>
            <w:tcW w:w="217" w:type="dxa"/>
          </w:tcPr>
          <w:p w14:paraId="56C5CE98" w14:textId="77777777" w:rsidR="002C0FD9" w:rsidRPr="00CA25CF" w:rsidRDefault="002C0FD9" w:rsidP="00CA25CF">
            <w:pPr>
              <w:rPr>
                <w:rFonts w:cs="Arial"/>
                <w:color w:val="FF0000"/>
                <w:sz w:val="21"/>
                <w:szCs w:val="21"/>
              </w:rPr>
            </w:pPr>
          </w:p>
        </w:tc>
        <w:tc>
          <w:tcPr>
            <w:tcW w:w="217" w:type="dxa"/>
          </w:tcPr>
          <w:p w14:paraId="7D9384D7" w14:textId="77777777" w:rsidR="002C0FD9" w:rsidRPr="00CA25CF" w:rsidRDefault="002C0FD9" w:rsidP="00CA25CF">
            <w:pPr>
              <w:rPr>
                <w:rFonts w:cs="Arial"/>
                <w:color w:val="FF0000"/>
                <w:sz w:val="21"/>
                <w:szCs w:val="21"/>
              </w:rPr>
            </w:pPr>
          </w:p>
        </w:tc>
        <w:tc>
          <w:tcPr>
            <w:tcW w:w="217" w:type="dxa"/>
          </w:tcPr>
          <w:p w14:paraId="1F5C3454" w14:textId="77777777" w:rsidR="002C0FD9" w:rsidRPr="00CA25CF" w:rsidRDefault="002C0FD9" w:rsidP="00CA25CF">
            <w:pPr>
              <w:rPr>
                <w:rFonts w:cs="Arial"/>
                <w:color w:val="FF0000"/>
                <w:sz w:val="21"/>
                <w:szCs w:val="21"/>
              </w:rPr>
            </w:pPr>
          </w:p>
        </w:tc>
        <w:tc>
          <w:tcPr>
            <w:tcW w:w="217" w:type="dxa"/>
          </w:tcPr>
          <w:p w14:paraId="2F503689" w14:textId="77777777" w:rsidR="002C0FD9" w:rsidRPr="00CA25CF" w:rsidRDefault="002C0FD9" w:rsidP="00CA25CF">
            <w:pPr>
              <w:rPr>
                <w:rFonts w:cs="Arial"/>
                <w:color w:val="FF0000"/>
                <w:sz w:val="21"/>
                <w:szCs w:val="21"/>
              </w:rPr>
            </w:pPr>
          </w:p>
        </w:tc>
        <w:tc>
          <w:tcPr>
            <w:tcW w:w="217" w:type="dxa"/>
          </w:tcPr>
          <w:p w14:paraId="3348EC34" w14:textId="77777777" w:rsidR="002C0FD9" w:rsidRPr="00CA25CF" w:rsidRDefault="002C0FD9" w:rsidP="00CA25CF">
            <w:pPr>
              <w:rPr>
                <w:rFonts w:cs="Arial"/>
                <w:color w:val="FF0000"/>
                <w:sz w:val="21"/>
                <w:szCs w:val="21"/>
              </w:rPr>
            </w:pPr>
          </w:p>
        </w:tc>
        <w:tc>
          <w:tcPr>
            <w:tcW w:w="217" w:type="dxa"/>
          </w:tcPr>
          <w:p w14:paraId="0F9A56D8" w14:textId="77777777" w:rsidR="002C0FD9" w:rsidRPr="00CA25CF" w:rsidRDefault="002C0FD9" w:rsidP="00CA25CF">
            <w:pPr>
              <w:rPr>
                <w:rFonts w:cs="Arial"/>
                <w:color w:val="FF0000"/>
                <w:sz w:val="21"/>
                <w:szCs w:val="21"/>
              </w:rPr>
            </w:pPr>
          </w:p>
        </w:tc>
        <w:tc>
          <w:tcPr>
            <w:tcW w:w="217" w:type="dxa"/>
          </w:tcPr>
          <w:p w14:paraId="2F0248AE" w14:textId="77777777" w:rsidR="002C0FD9" w:rsidRPr="00CA25CF" w:rsidRDefault="002C0FD9" w:rsidP="00CA25CF">
            <w:pPr>
              <w:rPr>
                <w:rFonts w:cs="Arial"/>
                <w:color w:val="FF0000"/>
                <w:sz w:val="21"/>
                <w:szCs w:val="21"/>
              </w:rPr>
            </w:pPr>
          </w:p>
        </w:tc>
        <w:tc>
          <w:tcPr>
            <w:tcW w:w="217" w:type="dxa"/>
          </w:tcPr>
          <w:p w14:paraId="05AAF522" w14:textId="77777777" w:rsidR="002C0FD9" w:rsidRPr="00CA25CF" w:rsidRDefault="002C0FD9" w:rsidP="00CA25CF">
            <w:pPr>
              <w:rPr>
                <w:rFonts w:cs="Arial"/>
                <w:color w:val="FF0000"/>
                <w:sz w:val="21"/>
                <w:szCs w:val="21"/>
              </w:rPr>
            </w:pPr>
          </w:p>
        </w:tc>
        <w:tc>
          <w:tcPr>
            <w:tcW w:w="217" w:type="dxa"/>
          </w:tcPr>
          <w:p w14:paraId="0A8ADC7E" w14:textId="77777777" w:rsidR="002C0FD9" w:rsidRPr="00CA25CF" w:rsidRDefault="002C0FD9" w:rsidP="00CA25CF">
            <w:pPr>
              <w:rPr>
                <w:rFonts w:cs="Arial"/>
                <w:color w:val="FF0000"/>
                <w:sz w:val="21"/>
                <w:szCs w:val="21"/>
              </w:rPr>
            </w:pPr>
          </w:p>
        </w:tc>
        <w:tc>
          <w:tcPr>
            <w:tcW w:w="217" w:type="dxa"/>
          </w:tcPr>
          <w:p w14:paraId="0C3977A9" w14:textId="77777777" w:rsidR="002C0FD9" w:rsidRPr="00CA25CF" w:rsidRDefault="002C0FD9" w:rsidP="00CA25CF">
            <w:pPr>
              <w:rPr>
                <w:rFonts w:cs="Arial"/>
                <w:color w:val="FF0000"/>
                <w:sz w:val="21"/>
                <w:szCs w:val="21"/>
              </w:rPr>
            </w:pPr>
          </w:p>
        </w:tc>
        <w:tc>
          <w:tcPr>
            <w:tcW w:w="217" w:type="dxa"/>
          </w:tcPr>
          <w:p w14:paraId="13B0567B" w14:textId="77777777" w:rsidR="002C0FD9" w:rsidRPr="00CA25CF" w:rsidRDefault="002C0FD9" w:rsidP="00CA25CF">
            <w:pPr>
              <w:rPr>
                <w:rFonts w:cs="Arial"/>
                <w:color w:val="FF0000"/>
                <w:sz w:val="21"/>
                <w:szCs w:val="21"/>
              </w:rPr>
            </w:pPr>
          </w:p>
        </w:tc>
        <w:tc>
          <w:tcPr>
            <w:tcW w:w="217" w:type="dxa"/>
          </w:tcPr>
          <w:p w14:paraId="6EF2561E" w14:textId="77777777" w:rsidR="002C0FD9" w:rsidRPr="00CA25CF" w:rsidRDefault="002C0FD9" w:rsidP="00CA25CF">
            <w:pPr>
              <w:rPr>
                <w:rFonts w:cs="Arial"/>
                <w:color w:val="FF0000"/>
                <w:sz w:val="21"/>
                <w:szCs w:val="21"/>
              </w:rPr>
            </w:pPr>
          </w:p>
        </w:tc>
        <w:tc>
          <w:tcPr>
            <w:tcW w:w="217" w:type="dxa"/>
          </w:tcPr>
          <w:p w14:paraId="61DEA7E5" w14:textId="77777777" w:rsidR="002C0FD9" w:rsidRPr="00CA25CF" w:rsidRDefault="002C0FD9" w:rsidP="00CA25CF">
            <w:pPr>
              <w:rPr>
                <w:rFonts w:cs="Arial"/>
                <w:color w:val="FF0000"/>
                <w:sz w:val="21"/>
                <w:szCs w:val="21"/>
              </w:rPr>
            </w:pPr>
          </w:p>
        </w:tc>
        <w:tc>
          <w:tcPr>
            <w:tcW w:w="217" w:type="dxa"/>
          </w:tcPr>
          <w:p w14:paraId="35DBE4B8" w14:textId="77777777" w:rsidR="002C0FD9" w:rsidRPr="00CA25CF" w:rsidRDefault="002C0FD9" w:rsidP="00CA25CF">
            <w:pPr>
              <w:rPr>
                <w:rFonts w:cs="Arial"/>
                <w:color w:val="FF0000"/>
                <w:sz w:val="21"/>
                <w:szCs w:val="21"/>
              </w:rPr>
            </w:pPr>
          </w:p>
        </w:tc>
        <w:tc>
          <w:tcPr>
            <w:tcW w:w="217" w:type="dxa"/>
          </w:tcPr>
          <w:p w14:paraId="4FE2293B" w14:textId="77777777" w:rsidR="002C0FD9" w:rsidRPr="00CA25CF" w:rsidRDefault="002C0FD9" w:rsidP="00CA25CF">
            <w:pPr>
              <w:rPr>
                <w:rFonts w:cs="Arial"/>
                <w:color w:val="FF0000"/>
                <w:sz w:val="21"/>
                <w:szCs w:val="21"/>
              </w:rPr>
            </w:pPr>
          </w:p>
        </w:tc>
        <w:tc>
          <w:tcPr>
            <w:tcW w:w="217" w:type="dxa"/>
          </w:tcPr>
          <w:p w14:paraId="325493BA" w14:textId="77777777" w:rsidR="002C0FD9" w:rsidRPr="00CA25CF" w:rsidRDefault="002C0FD9" w:rsidP="00CA25CF">
            <w:pPr>
              <w:rPr>
                <w:rFonts w:cs="Arial"/>
                <w:color w:val="FF0000"/>
                <w:sz w:val="21"/>
                <w:szCs w:val="21"/>
              </w:rPr>
            </w:pPr>
          </w:p>
        </w:tc>
        <w:tc>
          <w:tcPr>
            <w:tcW w:w="217" w:type="dxa"/>
          </w:tcPr>
          <w:p w14:paraId="71B4117F" w14:textId="77777777" w:rsidR="002C0FD9" w:rsidRPr="00CA25CF" w:rsidRDefault="002C0FD9" w:rsidP="00CA25CF">
            <w:pPr>
              <w:rPr>
                <w:rFonts w:cs="Arial"/>
                <w:color w:val="FF0000"/>
                <w:sz w:val="21"/>
                <w:szCs w:val="21"/>
              </w:rPr>
            </w:pPr>
          </w:p>
        </w:tc>
        <w:tc>
          <w:tcPr>
            <w:tcW w:w="217" w:type="dxa"/>
          </w:tcPr>
          <w:p w14:paraId="2410278E" w14:textId="77777777" w:rsidR="002C0FD9" w:rsidRPr="00CA25CF" w:rsidRDefault="002C0FD9" w:rsidP="00CA25CF">
            <w:pPr>
              <w:rPr>
                <w:rFonts w:cs="Arial"/>
                <w:color w:val="FF0000"/>
                <w:sz w:val="21"/>
                <w:szCs w:val="21"/>
              </w:rPr>
            </w:pPr>
          </w:p>
        </w:tc>
        <w:tc>
          <w:tcPr>
            <w:tcW w:w="217" w:type="dxa"/>
          </w:tcPr>
          <w:p w14:paraId="1ACA3427" w14:textId="77777777" w:rsidR="002C0FD9" w:rsidRPr="00CA25CF" w:rsidRDefault="002C0FD9" w:rsidP="00CA25CF">
            <w:pPr>
              <w:rPr>
                <w:rFonts w:cs="Arial"/>
                <w:color w:val="FF0000"/>
                <w:sz w:val="21"/>
                <w:szCs w:val="21"/>
              </w:rPr>
            </w:pPr>
          </w:p>
        </w:tc>
        <w:tc>
          <w:tcPr>
            <w:tcW w:w="217" w:type="dxa"/>
          </w:tcPr>
          <w:p w14:paraId="5A3F6D2B" w14:textId="77777777" w:rsidR="002C0FD9" w:rsidRPr="00CA25CF" w:rsidRDefault="002C0FD9" w:rsidP="00CA25CF">
            <w:pPr>
              <w:rPr>
                <w:rFonts w:cs="Arial"/>
                <w:color w:val="FF0000"/>
                <w:sz w:val="21"/>
                <w:szCs w:val="21"/>
              </w:rPr>
            </w:pPr>
          </w:p>
        </w:tc>
        <w:tc>
          <w:tcPr>
            <w:tcW w:w="217" w:type="dxa"/>
          </w:tcPr>
          <w:p w14:paraId="4E4C02E1" w14:textId="77777777" w:rsidR="002C0FD9" w:rsidRPr="00CA25CF" w:rsidRDefault="002C0FD9" w:rsidP="00CA25CF">
            <w:pPr>
              <w:rPr>
                <w:rFonts w:cs="Arial"/>
                <w:color w:val="FF0000"/>
                <w:sz w:val="21"/>
                <w:szCs w:val="21"/>
              </w:rPr>
            </w:pPr>
          </w:p>
        </w:tc>
        <w:tc>
          <w:tcPr>
            <w:tcW w:w="217" w:type="dxa"/>
          </w:tcPr>
          <w:p w14:paraId="55176008" w14:textId="77777777" w:rsidR="002C0FD9" w:rsidRPr="00CA25CF" w:rsidRDefault="002C0FD9" w:rsidP="00CA25CF">
            <w:pPr>
              <w:rPr>
                <w:rFonts w:cs="Arial"/>
                <w:color w:val="FF0000"/>
                <w:sz w:val="21"/>
                <w:szCs w:val="21"/>
              </w:rPr>
            </w:pPr>
          </w:p>
        </w:tc>
        <w:tc>
          <w:tcPr>
            <w:tcW w:w="217" w:type="dxa"/>
          </w:tcPr>
          <w:p w14:paraId="7CCBFB21" w14:textId="77777777" w:rsidR="002C0FD9" w:rsidRPr="00CA25CF" w:rsidRDefault="002C0FD9" w:rsidP="00CA25CF">
            <w:pPr>
              <w:rPr>
                <w:rFonts w:cs="Arial"/>
                <w:color w:val="FF0000"/>
                <w:sz w:val="21"/>
                <w:szCs w:val="21"/>
              </w:rPr>
            </w:pPr>
          </w:p>
        </w:tc>
        <w:tc>
          <w:tcPr>
            <w:tcW w:w="217" w:type="dxa"/>
          </w:tcPr>
          <w:p w14:paraId="386E143B" w14:textId="77777777" w:rsidR="002C0FD9" w:rsidRPr="00CA25CF" w:rsidRDefault="002C0FD9" w:rsidP="00CA25CF">
            <w:pPr>
              <w:rPr>
                <w:rFonts w:cs="Arial"/>
                <w:color w:val="FF0000"/>
                <w:sz w:val="21"/>
                <w:szCs w:val="21"/>
              </w:rPr>
            </w:pPr>
          </w:p>
        </w:tc>
      </w:tr>
      <w:tr w:rsidR="002C0FD9" w:rsidRPr="00A16219" w14:paraId="5DC8D0A9" w14:textId="77777777" w:rsidTr="002C0FD9">
        <w:trPr>
          <w:trHeight w:val="635"/>
        </w:trPr>
        <w:tc>
          <w:tcPr>
            <w:tcW w:w="515" w:type="dxa"/>
          </w:tcPr>
          <w:p w14:paraId="25C73A44" w14:textId="77777777" w:rsidR="002C0FD9" w:rsidRPr="00CA25CF" w:rsidRDefault="002C0FD9" w:rsidP="00CA25CF">
            <w:pPr>
              <w:rPr>
                <w:rFonts w:cs="Arial"/>
                <w:color w:val="FF0000"/>
                <w:sz w:val="21"/>
                <w:szCs w:val="21"/>
              </w:rPr>
            </w:pPr>
          </w:p>
        </w:tc>
        <w:tc>
          <w:tcPr>
            <w:tcW w:w="217" w:type="dxa"/>
          </w:tcPr>
          <w:p w14:paraId="6712F67A" w14:textId="77777777" w:rsidR="002C0FD9" w:rsidRPr="00CA25CF" w:rsidRDefault="002C0FD9" w:rsidP="00CA25CF">
            <w:pPr>
              <w:rPr>
                <w:rFonts w:cs="Arial"/>
                <w:color w:val="FF0000"/>
                <w:sz w:val="21"/>
                <w:szCs w:val="21"/>
              </w:rPr>
            </w:pPr>
          </w:p>
        </w:tc>
        <w:tc>
          <w:tcPr>
            <w:tcW w:w="217" w:type="dxa"/>
          </w:tcPr>
          <w:p w14:paraId="5D8693DD" w14:textId="77777777" w:rsidR="002C0FD9" w:rsidRPr="00CA25CF" w:rsidRDefault="002C0FD9" w:rsidP="00CA25CF">
            <w:pPr>
              <w:rPr>
                <w:rFonts w:cs="Arial"/>
                <w:color w:val="FF0000"/>
                <w:sz w:val="21"/>
                <w:szCs w:val="21"/>
              </w:rPr>
            </w:pPr>
          </w:p>
        </w:tc>
        <w:tc>
          <w:tcPr>
            <w:tcW w:w="217" w:type="dxa"/>
          </w:tcPr>
          <w:p w14:paraId="0EE3748F" w14:textId="77777777" w:rsidR="002C0FD9" w:rsidRPr="00CA25CF" w:rsidRDefault="002C0FD9" w:rsidP="00CA25CF">
            <w:pPr>
              <w:rPr>
                <w:rFonts w:cs="Arial"/>
                <w:color w:val="FF0000"/>
                <w:sz w:val="21"/>
                <w:szCs w:val="21"/>
              </w:rPr>
            </w:pPr>
          </w:p>
        </w:tc>
        <w:tc>
          <w:tcPr>
            <w:tcW w:w="217" w:type="dxa"/>
          </w:tcPr>
          <w:p w14:paraId="46FB3B4F" w14:textId="77777777" w:rsidR="002C0FD9" w:rsidRPr="00CA25CF" w:rsidRDefault="002C0FD9" w:rsidP="00CA25CF">
            <w:pPr>
              <w:rPr>
                <w:rFonts w:cs="Arial"/>
                <w:color w:val="FF0000"/>
                <w:sz w:val="21"/>
                <w:szCs w:val="21"/>
              </w:rPr>
            </w:pPr>
          </w:p>
        </w:tc>
        <w:tc>
          <w:tcPr>
            <w:tcW w:w="217" w:type="dxa"/>
          </w:tcPr>
          <w:p w14:paraId="2F1F29BB" w14:textId="77777777" w:rsidR="002C0FD9" w:rsidRPr="00CA25CF" w:rsidRDefault="002C0FD9" w:rsidP="00CA25CF">
            <w:pPr>
              <w:rPr>
                <w:rFonts w:cs="Arial"/>
                <w:color w:val="FF0000"/>
                <w:sz w:val="21"/>
                <w:szCs w:val="21"/>
              </w:rPr>
            </w:pPr>
          </w:p>
        </w:tc>
        <w:tc>
          <w:tcPr>
            <w:tcW w:w="217" w:type="dxa"/>
          </w:tcPr>
          <w:p w14:paraId="5990B137" w14:textId="77777777" w:rsidR="002C0FD9" w:rsidRPr="00CA25CF" w:rsidRDefault="002C0FD9" w:rsidP="00CA25CF">
            <w:pPr>
              <w:rPr>
                <w:rFonts w:cs="Arial"/>
                <w:color w:val="FF0000"/>
                <w:sz w:val="21"/>
                <w:szCs w:val="21"/>
              </w:rPr>
            </w:pPr>
          </w:p>
        </w:tc>
        <w:tc>
          <w:tcPr>
            <w:tcW w:w="217" w:type="dxa"/>
          </w:tcPr>
          <w:p w14:paraId="1EEB735C" w14:textId="77777777" w:rsidR="002C0FD9" w:rsidRPr="00CA25CF" w:rsidRDefault="002C0FD9" w:rsidP="00CA25CF">
            <w:pPr>
              <w:rPr>
                <w:rFonts w:cs="Arial"/>
                <w:color w:val="FF0000"/>
                <w:sz w:val="21"/>
                <w:szCs w:val="21"/>
              </w:rPr>
            </w:pPr>
          </w:p>
        </w:tc>
        <w:tc>
          <w:tcPr>
            <w:tcW w:w="217" w:type="dxa"/>
          </w:tcPr>
          <w:p w14:paraId="49B544DF" w14:textId="77777777" w:rsidR="002C0FD9" w:rsidRPr="00CA25CF" w:rsidRDefault="002C0FD9" w:rsidP="00CA25CF">
            <w:pPr>
              <w:rPr>
                <w:rFonts w:cs="Arial"/>
                <w:color w:val="FF0000"/>
                <w:sz w:val="21"/>
                <w:szCs w:val="21"/>
              </w:rPr>
            </w:pPr>
          </w:p>
        </w:tc>
        <w:tc>
          <w:tcPr>
            <w:tcW w:w="217" w:type="dxa"/>
          </w:tcPr>
          <w:p w14:paraId="4A1FFE8C" w14:textId="77777777" w:rsidR="002C0FD9" w:rsidRPr="00CA25CF" w:rsidRDefault="002C0FD9" w:rsidP="00CA25CF">
            <w:pPr>
              <w:rPr>
                <w:rFonts w:cs="Arial"/>
                <w:color w:val="FF0000"/>
                <w:sz w:val="21"/>
                <w:szCs w:val="21"/>
              </w:rPr>
            </w:pPr>
          </w:p>
        </w:tc>
        <w:tc>
          <w:tcPr>
            <w:tcW w:w="217" w:type="dxa"/>
          </w:tcPr>
          <w:p w14:paraId="48750B0A" w14:textId="77777777" w:rsidR="002C0FD9" w:rsidRPr="00CA25CF" w:rsidRDefault="002C0FD9" w:rsidP="00CA25CF">
            <w:pPr>
              <w:rPr>
                <w:rFonts w:cs="Arial"/>
                <w:color w:val="FF0000"/>
                <w:sz w:val="21"/>
                <w:szCs w:val="21"/>
              </w:rPr>
            </w:pPr>
          </w:p>
        </w:tc>
        <w:tc>
          <w:tcPr>
            <w:tcW w:w="217" w:type="dxa"/>
          </w:tcPr>
          <w:p w14:paraId="4D3551BA" w14:textId="77777777" w:rsidR="002C0FD9" w:rsidRPr="00CA25CF" w:rsidRDefault="002C0FD9" w:rsidP="00CA25CF">
            <w:pPr>
              <w:rPr>
                <w:rFonts w:cs="Arial"/>
                <w:color w:val="FF0000"/>
                <w:sz w:val="21"/>
                <w:szCs w:val="21"/>
              </w:rPr>
            </w:pPr>
          </w:p>
        </w:tc>
        <w:tc>
          <w:tcPr>
            <w:tcW w:w="217" w:type="dxa"/>
          </w:tcPr>
          <w:p w14:paraId="118D3745" w14:textId="77777777" w:rsidR="002C0FD9" w:rsidRPr="00CA25CF" w:rsidRDefault="002C0FD9" w:rsidP="00CA25CF">
            <w:pPr>
              <w:rPr>
                <w:rFonts w:cs="Arial"/>
                <w:color w:val="FF0000"/>
                <w:sz w:val="21"/>
                <w:szCs w:val="21"/>
              </w:rPr>
            </w:pPr>
          </w:p>
        </w:tc>
        <w:tc>
          <w:tcPr>
            <w:tcW w:w="217" w:type="dxa"/>
          </w:tcPr>
          <w:p w14:paraId="718E1EB7" w14:textId="77777777" w:rsidR="002C0FD9" w:rsidRPr="00CA25CF" w:rsidRDefault="002C0FD9" w:rsidP="00CA25CF">
            <w:pPr>
              <w:rPr>
                <w:rFonts w:cs="Arial"/>
                <w:color w:val="FF0000"/>
                <w:sz w:val="21"/>
                <w:szCs w:val="21"/>
              </w:rPr>
            </w:pPr>
          </w:p>
        </w:tc>
        <w:tc>
          <w:tcPr>
            <w:tcW w:w="217" w:type="dxa"/>
          </w:tcPr>
          <w:p w14:paraId="743D4BB6" w14:textId="77777777" w:rsidR="002C0FD9" w:rsidRPr="00CA25CF" w:rsidRDefault="002C0FD9" w:rsidP="00CA25CF">
            <w:pPr>
              <w:rPr>
                <w:rFonts w:cs="Arial"/>
                <w:color w:val="FF0000"/>
                <w:sz w:val="21"/>
                <w:szCs w:val="21"/>
              </w:rPr>
            </w:pPr>
          </w:p>
        </w:tc>
        <w:tc>
          <w:tcPr>
            <w:tcW w:w="217" w:type="dxa"/>
          </w:tcPr>
          <w:p w14:paraId="6E8E8145" w14:textId="77777777" w:rsidR="002C0FD9" w:rsidRPr="00CA25CF" w:rsidRDefault="002C0FD9" w:rsidP="00CA25CF">
            <w:pPr>
              <w:rPr>
                <w:rFonts w:cs="Arial"/>
                <w:color w:val="FF0000"/>
                <w:sz w:val="21"/>
                <w:szCs w:val="21"/>
              </w:rPr>
            </w:pPr>
          </w:p>
        </w:tc>
        <w:tc>
          <w:tcPr>
            <w:tcW w:w="217" w:type="dxa"/>
          </w:tcPr>
          <w:p w14:paraId="6C023384" w14:textId="77777777" w:rsidR="002C0FD9" w:rsidRPr="00CA25CF" w:rsidRDefault="002C0FD9" w:rsidP="00CA25CF">
            <w:pPr>
              <w:rPr>
                <w:rFonts w:cs="Arial"/>
                <w:color w:val="FF0000"/>
                <w:sz w:val="21"/>
                <w:szCs w:val="21"/>
              </w:rPr>
            </w:pPr>
          </w:p>
        </w:tc>
        <w:tc>
          <w:tcPr>
            <w:tcW w:w="217" w:type="dxa"/>
          </w:tcPr>
          <w:p w14:paraId="2B7F4E1C" w14:textId="77777777" w:rsidR="002C0FD9" w:rsidRPr="00CA25CF" w:rsidRDefault="002C0FD9" w:rsidP="00CA25CF">
            <w:pPr>
              <w:rPr>
                <w:rFonts w:cs="Arial"/>
                <w:color w:val="FF0000"/>
                <w:sz w:val="21"/>
                <w:szCs w:val="21"/>
              </w:rPr>
            </w:pPr>
          </w:p>
        </w:tc>
        <w:tc>
          <w:tcPr>
            <w:tcW w:w="217" w:type="dxa"/>
          </w:tcPr>
          <w:p w14:paraId="4DE44517" w14:textId="77777777" w:rsidR="002C0FD9" w:rsidRPr="00CA25CF" w:rsidRDefault="002C0FD9" w:rsidP="00CA25CF">
            <w:pPr>
              <w:rPr>
                <w:rFonts w:cs="Arial"/>
                <w:color w:val="FF0000"/>
                <w:sz w:val="21"/>
                <w:szCs w:val="21"/>
              </w:rPr>
            </w:pPr>
          </w:p>
        </w:tc>
        <w:tc>
          <w:tcPr>
            <w:tcW w:w="217" w:type="dxa"/>
          </w:tcPr>
          <w:p w14:paraId="493B50AE" w14:textId="77777777" w:rsidR="002C0FD9" w:rsidRPr="00CA25CF" w:rsidRDefault="002C0FD9" w:rsidP="00CA25CF">
            <w:pPr>
              <w:rPr>
                <w:rFonts w:cs="Arial"/>
                <w:color w:val="FF0000"/>
                <w:sz w:val="21"/>
                <w:szCs w:val="21"/>
              </w:rPr>
            </w:pPr>
          </w:p>
        </w:tc>
        <w:tc>
          <w:tcPr>
            <w:tcW w:w="217" w:type="dxa"/>
          </w:tcPr>
          <w:p w14:paraId="03930E70" w14:textId="77777777" w:rsidR="002C0FD9" w:rsidRPr="00CA25CF" w:rsidRDefault="002C0FD9" w:rsidP="00CA25CF">
            <w:pPr>
              <w:rPr>
                <w:rFonts w:cs="Arial"/>
                <w:color w:val="FF0000"/>
                <w:sz w:val="21"/>
                <w:szCs w:val="21"/>
              </w:rPr>
            </w:pPr>
          </w:p>
        </w:tc>
        <w:tc>
          <w:tcPr>
            <w:tcW w:w="217" w:type="dxa"/>
          </w:tcPr>
          <w:p w14:paraId="3B9D8F64" w14:textId="77777777" w:rsidR="002C0FD9" w:rsidRPr="00CA25CF" w:rsidRDefault="002C0FD9" w:rsidP="00CA25CF">
            <w:pPr>
              <w:rPr>
                <w:rFonts w:cs="Arial"/>
                <w:color w:val="FF0000"/>
                <w:sz w:val="21"/>
                <w:szCs w:val="21"/>
              </w:rPr>
            </w:pPr>
          </w:p>
        </w:tc>
        <w:tc>
          <w:tcPr>
            <w:tcW w:w="217" w:type="dxa"/>
          </w:tcPr>
          <w:p w14:paraId="2692CBB7" w14:textId="77777777" w:rsidR="002C0FD9" w:rsidRPr="00CA25CF" w:rsidRDefault="002C0FD9" w:rsidP="00CA25CF">
            <w:pPr>
              <w:rPr>
                <w:rFonts w:cs="Arial"/>
                <w:color w:val="FF0000"/>
                <w:sz w:val="21"/>
                <w:szCs w:val="21"/>
              </w:rPr>
            </w:pPr>
          </w:p>
        </w:tc>
        <w:tc>
          <w:tcPr>
            <w:tcW w:w="217" w:type="dxa"/>
          </w:tcPr>
          <w:p w14:paraId="689E03E5" w14:textId="77777777" w:rsidR="002C0FD9" w:rsidRPr="00CA25CF" w:rsidRDefault="002C0FD9" w:rsidP="00CA25CF">
            <w:pPr>
              <w:rPr>
                <w:rFonts w:cs="Arial"/>
                <w:color w:val="FF0000"/>
                <w:sz w:val="21"/>
                <w:szCs w:val="21"/>
              </w:rPr>
            </w:pPr>
          </w:p>
        </w:tc>
        <w:tc>
          <w:tcPr>
            <w:tcW w:w="217" w:type="dxa"/>
          </w:tcPr>
          <w:p w14:paraId="11084EEC" w14:textId="77777777" w:rsidR="002C0FD9" w:rsidRPr="00CA25CF" w:rsidRDefault="002C0FD9" w:rsidP="00CA25CF">
            <w:pPr>
              <w:rPr>
                <w:rFonts w:cs="Arial"/>
                <w:color w:val="FF0000"/>
                <w:sz w:val="21"/>
                <w:szCs w:val="21"/>
              </w:rPr>
            </w:pPr>
          </w:p>
        </w:tc>
        <w:tc>
          <w:tcPr>
            <w:tcW w:w="217" w:type="dxa"/>
          </w:tcPr>
          <w:p w14:paraId="06C86856" w14:textId="77777777" w:rsidR="002C0FD9" w:rsidRPr="00CA25CF" w:rsidRDefault="002C0FD9" w:rsidP="00CA25CF">
            <w:pPr>
              <w:rPr>
                <w:rFonts w:cs="Arial"/>
                <w:color w:val="FF0000"/>
                <w:sz w:val="21"/>
                <w:szCs w:val="21"/>
              </w:rPr>
            </w:pPr>
          </w:p>
        </w:tc>
        <w:tc>
          <w:tcPr>
            <w:tcW w:w="217" w:type="dxa"/>
          </w:tcPr>
          <w:p w14:paraId="51577259" w14:textId="77777777" w:rsidR="002C0FD9" w:rsidRPr="00CA25CF" w:rsidRDefault="002C0FD9" w:rsidP="00CA25CF">
            <w:pPr>
              <w:rPr>
                <w:rFonts w:cs="Arial"/>
                <w:color w:val="FF0000"/>
                <w:sz w:val="21"/>
                <w:szCs w:val="21"/>
              </w:rPr>
            </w:pPr>
          </w:p>
        </w:tc>
        <w:tc>
          <w:tcPr>
            <w:tcW w:w="217" w:type="dxa"/>
          </w:tcPr>
          <w:p w14:paraId="22CAA8A2" w14:textId="77777777" w:rsidR="002C0FD9" w:rsidRPr="00CA25CF" w:rsidRDefault="002C0FD9" w:rsidP="00CA25CF">
            <w:pPr>
              <w:rPr>
                <w:rFonts w:cs="Arial"/>
                <w:color w:val="FF0000"/>
                <w:sz w:val="21"/>
                <w:szCs w:val="21"/>
              </w:rPr>
            </w:pPr>
          </w:p>
        </w:tc>
        <w:tc>
          <w:tcPr>
            <w:tcW w:w="217" w:type="dxa"/>
          </w:tcPr>
          <w:p w14:paraId="53B422B2" w14:textId="77777777" w:rsidR="002C0FD9" w:rsidRPr="00CA25CF" w:rsidRDefault="002C0FD9" w:rsidP="00CA25CF">
            <w:pPr>
              <w:rPr>
                <w:rFonts w:cs="Arial"/>
                <w:color w:val="FF0000"/>
                <w:sz w:val="21"/>
                <w:szCs w:val="21"/>
              </w:rPr>
            </w:pPr>
          </w:p>
        </w:tc>
        <w:tc>
          <w:tcPr>
            <w:tcW w:w="217" w:type="dxa"/>
          </w:tcPr>
          <w:p w14:paraId="40A3EA52" w14:textId="77777777" w:rsidR="002C0FD9" w:rsidRPr="00CA25CF" w:rsidRDefault="002C0FD9" w:rsidP="00CA25CF">
            <w:pPr>
              <w:rPr>
                <w:rFonts w:cs="Arial"/>
                <w:color w:val="FF0000"/>
                <w:sz w:val="21"/>
                <w:szCs w:val="21"/>
              </w:rPr>
            </w:pPr>
          </w:p>
        </w:tc>
        <w:tc>
          <w:tcPr>
            <w:tcW w:w="217" w:type="dxa"/>
          </w:tcPr>
          <w:p w14:paraId="6B611597" w14:textId="77777777" w:rsidR="002C0FD9" w:rsidRPr="00CA25CF" w:rsidRDefault="002C0FD9" w:rsidP="00CA25CF">
            <w:pPr>
              <w:rPr>
                <w:rFonts w:cs="Arial"/>
                <w:color w:val="FF0000"/>
                <w:sz w:val="21"/>
                <w:szCs w:val="21"/>
              </w:rPr>
            </w:pPr>
          </w:p>
        </w:tc>
        <w:tc>
          <w:tcPr>
            <w:tcW w:w="217" w:type="dxa"/>
          </w:tcPr>
          <w:p w14:paraId="06863ED7" w14:textId="77777777" w:rsidR="002C0FD9" w:rsidRPr="00CA25CF" w:rsidRDefault="002C0FD9" w:rsidP="00CA25CF">
            <w:pPr>
              <w:rPr>
                <w:rFonts w:cs="Arial"/>
                <w:color w:val="FF0000"/>
                <w:sz w:val="21"/>
                <w:szCs w:val="21"/>
              </w:rPr>
            </w:pPr>
          </w:p>
        </w:tc>
        <w:tc>
          <w:tcPr>
            <w:tcW w:w="217" w:type="dxa"/>
          </w:tcPr>
          <w:p w14:paraId="672570AE" w14:textId="77777777" w:rsidR="002C0FD9" w:rsidRPr="00CA25CF" w:rsidRDefault="002C0FD9" w:rsidP="00CA25CF">
            <w:pPr>
              <w:rPr>
                <w:rFonts w:cs="Arial"/>
                <w:color w:val="FF0000"/>
                <w:sz w:val="21"/>
                <w:szCs w:val="21"/>
              </w:rPr>
            </w:pPr>
          </w:p>
        </w:tc>
        <w:tc>
          <w:tcPr>
            <w:tcW w:w="217" w:type="dxa"/>
          </w:tcPr>
          <w:p w14:paraId="2260B45B" w14:textId="77777777" w:rsidR="002C0FD9" w:rsidRPr="00CA25CF" w:rsidRDefault="002C0FD9" w:rsidP="00CA25CF">
            <w:pPr>
              <w:rPr>
                <w:rFonts w:cs="Arial"/>
                <w:color w:val="FF0000"/>
                <w:sz w:val="21"/>
                <w:szCs w:val="21"/>
              </w:rPr>
            </w:pPr>
          </w:p>
        </w:tc>
        <w:tc>
          <w:tcPr>
            <w:tcW w:w="217" w:type="dxa"/>
          </w:tcPr>
          <w:p w14:paraId="72F3C52C" w14:textId="77777777" w:rsidR="002C0FD9" w:rsidRPr="00CA25CF" w:rsidRDefault="002C0FD9" w:rsidP="00CA25CF">
            <w:pPr>
              <w:rPr>
                <w:rFonts w:cs="Arial"/>
                <w:color w:val="FF0000"/>
                <w:sz w:val="21"/>
                <w:szCs w:val="21"/>
              </w:rPr>
            </w:pPr>
          </w:p>
        </w:tc>
        <w:tc>
          <w:tcPr>
            <w:tcW w:w="217" w:type="dxa"/>
          </w:tcPr>
          <w:p w14:paraId="0CE01915" w14:textId="77777777" w:rsidR="002C0FD9" w:rsidRPr="00CA25CF" w:rsidRDefault="002C0FD9" w:rsidP="00CA25CF">
            <w:pPr>
              <w:rPr>
                <w:rFonts w:cs="Arial"/>
                <w:color w:val="FF0000"/>
                <w:sz w:val="21"/>
                <w:szCs w:val="21"/>
              </w:rPr>
            </w:pPr>
          </w:p>
        </w:tc>
        <w:tc>
          <w:tcPr>
            <w:tcW w:w="217" w:type="dxa"/>
          </w:tcPr>
          <w:p w14:paraId="0C2EE3EB" w14:textId="77777777" w:rsidR="002C0FD9" w:rsidRPr="00CA25CF" w:rsidRDefault="002C0FD9" w:rsidP="00CA25CF">
            <w:pPr>
              <w:rPr>
                <w:rFonts w:cs="Arial"/>
                <w:color w:val="FF0000"/>
                <w:sz w:val="21"/>
                <w:szCs w:val="21"/>
              </w:rPr>
            </w:pPr>
          </w:p>
        </w:tc>
        <w:tc>
          <w:tcPr>
            <w:tcW w:w="217" w:type="dxa"/>
          </w:tcPr>
          <w:p w14:paraId="7DEA6511" w14:textId="77777777" w:rsidR="002C0FD9" w:rsidRPr="00CA25CF" w:rsidRDefault="002C0FD9" w:rsidP="00CA25CF">
            <w:pPr>
              <w:rPr>
                <w:rFonts w:cs="Arial"/>
                <w:color w:val="FF0000"/>
                <w:sz w:val="21"/>
                <w:szCs w:val="21"/>
              </w:rPr>
            </w:pPr>
          </w:p>
        </w:tc>
        <w:tc>
          <w:tcPr>
            <w:tcW w:w="217" w:type="dxa"/>
          </w:tcPr>
          <w:p w14:paraId="24342DF2" w14:textId="77777777" w:rsidR="002C0FD9" w:rsidRPr="00CA25CF" w:rsidRDefault="002C0FD9" w:rsidP="00CA25CF">
            <w:pPr>
              <w:rPr>
                <w:rFonts w:cs="Arial"/>
                <w:color w:val="FF0000"/>
                <w:sz w:val="21"/>
                <w:szCs w:val="21"/>
              </w:rPr>
            </w:pPr>
          </w:p>
        </w:tc>
        <w:tc>
          <w:tcPr>
            <w:tcW w:w="217" w:type="dxa"/>
          </w:tcPr>
          <w:p w14:paraId="00D35EA1" w14:textId="77777777" w:rsidR="002C0FD9" w:rsidRPr="00CA25CF" w:rsidRDefault="002C0FD9" w:rsidP="00CA25CF">
            <w:pPr>
              <w:rPr>
                <w:rFonts w:cs="Arial"/>
                <w:color w:val="FF0000"/>
                <w:sz w:val="21"/>
                <w:szCs w:val="21"/>
              </w:rPr>
            </w:pPr>
          </w:p>
        </w:tc>
        <w:tc>
          <w:tcPr>
            <w:tcW w:w="217" w:type="dxa"/>
          </w:tcPr>
          <w:p w14:paraId="47E2056E" w14:textId="77777777" w:rsidR="002C0FD9" w:rsidRPr="00CA25CF" w:rsidRDefault="002C0FD9" w:rsidP="00CA25CF">
            <w:pPr>
              <w:rPr>
                <w:rFonts w:cs="Arial"/>
                <w:color w:val="FF0000"/>
                <w:sz w:val="21"/>
                <w:szCs w:val="21"/>
              </w:rPr>
            </w:pPr>
          </w:p>
        </w:tc>
        <w:tc>
          <w:tcPr>
            <w:tcW w:w="217" w:type="dxa"/>
          </w:tcPr>
          <w:p w14:paraId="44F7169E" w14:textId="77777777" w:rsidR="002C0FD9" w:rsidRPr="00CA25CF" w:rsidRDefault="002C0FD9" w:rsidP="00CA25CF">
            <w:pPr>
              <w:rPr>
                <w:rFonts w:cs="Arial"/>
                <w:color w:val="FF0000"/>
                <w:sz w:val="21"/>
                <w:szCs w:val="21"/>
              </w:rPr>
            </w:pPr>
          </w:p>
        </w:tc>
        <w:tc>
          <w:tcPr>
            <w:tcW w:w="217" w:type="dxa"/>
          </w:tcPr>
          <w:p w14:paraId="562B7F8B" w14:textId="77777777" w:rsidR="002C0FD9" w:rsidRPr="00CA25CF" w:rsidRDefault="002C0FD9" w:rsidP="00CA25CF">
            <w:pPr>
              <w:rPr>
                <w:rFonts w:cs="Arial"/>
                <w:color w:val="FF0000"/>
                <w:sz w:val="21"/>
                <w:szCs w:val="21"/>
              </w:rPr>
            </w:pPr>
          </w:p>
        </w:tc>
      </w:tr>
      <w:tr w:rsidR="002C0FD9" w:rsidRPr="00A16219" w14:paraId="565A0339" w14:textId="77777777" w:rsidTr="002C0FD9">
        <w:trPr>
          <w:trHeight w:val="635"/>
        </w:trPr>
        <w:tc>
          <w:tcPr>
            <w:tcW w:w="515" w:type="dxa"/>
          </w:tcPr>
          <w:p w14:paraId="7BF9C313" w14:textId="77777777" w:rsidR="002C0FD9" w:rsidRPr="00CA25CF" w:rsidRDefault="002C0FD9" w:rsidP="00CA25CF">
            <w:pPr>
              <w:rPr>
                <w:rFonts w:cs="Arial"/>
                <w:color w:val="FF0000"/>
                <w:sz w:val="21"/>
                <w:szCs w:val="21"/>
              </w:rPr>
            </w:pPr>
          </w:p>
        </w:tc>
        <w:tc>
          <w:tcPr>
            <w:tcW w:w="217" w:type="dxa"/>
          </w:tcPr>
          <w:p w14:paraId="37BDAE62" w14:textId="77777777" w:rsidR="002C0FD9" w:rsidRPr="00CA25CF" w:rsidRDefault="002C0FD9" w:rsidP="00CA25CF">
            <w:pPr>
              <w:rPr>
                <w:rFonts w:cs="Arial"/>
                <w:color w:val="FF0000"/>
                <w:sz w:val="21"/>
                <w:szCs w:val="21"/>
              </w:rPr>
            </w:pPr>
          </w:p>
        </w:tc>
        <w:tc>
          <w:tcPr>
            <w:tcW w:w="217" w:type="dxa"/>
          </w:tcPr>
          <w:p w14:paraId="02D7B076" w14:textId="77777777" w:rsidR="002C0FD9" w:rsidRPr="00CA25CF" w:rsidRDefault="002C0FD9" w:rsidP="00CA25CF">
            <w:pPr>
              <w:rPr>
                <w:rFonts w:cs="Arial"/>
                <w:color w:val="FF0000"/>
                <w:sz w:val="21"/>
                <w:szCs w:val="21"/>
              </w:rPr>
            </w:pPr>
          </w:p>
        </w:tc>
        <w:tc>
          <w:tcPr>
            <w:tcW w:w="217" w:type="dxa"/>
          </w:tcPr>
          <w:p w14:paraId="27993D97" w14:textId="77777777" w:rsidR="002C0FD9" w:rsidRPr="00CA25CF" w:rsidRDefault="002C0FD9" w:rsidP="00CA25CF">
            <w:pPr>
              <w:rPr>
                <w:rFonts w:cs="Arial"/>
                <w:color w:val="FF0000"/>
                <w:sz w:val="21"/>
                <w:szCs w:val="21"/>
              </w:rPr>
            </w:pPr>
          </w:p>
        </w:tc>
        <w:tc>
          <w:tcPr>
            <w:tcW w:w="217" w:type="dxa"/>
          </w:tcPr>
          <w:p w14:paraId="3CDC8F77" w14:textId="77777777" w:rsidR="002C0FD9" w:rsidRPr="00CA25CF" w:rsidRDefault="002C0FD9" w:rsidP="00CA25CF">
            <w:pPr>
              <w:rPr>
                <w:rFonts w:cs="Arial"/>
                <w:color w:val="FF0000"/>
                <w:sz w:val="21"/>
                <w:szCs w:val="21"/>
              </w:rPr>
            </w:pPr>
          </w:p>
        </w:tc>
        <w:tc>
          <w:tcPr>
            <w:tcW w:w="217" w:type="dxa"/>
          </w:tcPr>
          <w:p w14:paraId="7478AF41" w14:textId="77777777" w:rsidR="002C0FD9" w:rsidRPr="00CA25CF" w:rsidRDefault="002C0FD9" w:rsidP="00CA25CF">
            <w:pPr>
              <w:rPr>
                <w:rFonts w:cs="Arial"/>
                <w:color w:val="FF0000"/>
                <w:sz w:val="21"/>
                <w:szCs w:val="21"/>
              </w:rPr>
            </w:pPr>
          </w:p>
        </w:tc>
        <w:tc>
          <w:tcPr>
            <w:tcW w:w="217" w:type="dxa"/>
          </w:tcPr>
          <w:p w14:paraId="54E84773" w14:textId="77777777" w:rsidR="002C0FD9" w:rsidRPr="00CA25CF" w:rsidRDefault="002C0FD9" w:rsidP="00CA25CF">
            <w:pPr>
              <w:rPr>
                <w:rFonts w:cs="Arial"/>
                <w:color w:val="FF0000"/>
                <w:sz w:val="21"/>
                <w:szCs w:val="21"/>
              </w:rPr>
            </w:pPr>
          </w:p>
        </w:tc>
        <w:tc>
          <w:tcPr>
            <w:tcW w:w="217" w:type="dxa"/>
          </w:tcPr>
          <w:p w14:paraId="6E09E3C3" w14:textId="77777777" w:rsidR="002C0FD9" w:rsidRPr="00CA25CF" w:rsidRDefault="002C0FD9" w:rsidP="00CA25CF">
            <w:pPr>
              <w:rPr>
                <w:rFonts w:cs="Arial"/>
                <w:color w:val="FF0000"/>
                <w:sz w:val="21"/>
                <w:szCs w:val="21"/>
              </w:rPr>
            </w:pPr>
          </w:p>
        </w:tc>
        <w:tc>
          <w:tcPr>
            <w:tcW w:w="217" w:type="dxa"/>
          </w:tcPr>
          <w:p w14:paraId="0C7399A4" w14:textId="77777777" w:rsidR="002C0FD9" w:rsidRPr="00CA25CF" w:rsidRDefault="002C0FD9" w:rsidP="00CA25CF">
            <w:pPr>
              <w:rPr>
                <w:rFonts w:cs="Arial"/>
                <w:color w:val="FF0000"/>
                <w:sz w:val="21"/>
                <w:szCs w:val="21"/>
              </w:rPr>
            </w:pPr>
          </w:p>
        </w:tc>
        <w:tc>
          <w:tcPr>
            <w:tcW w:w="217" w:type="dxa"/>
          </w:tcPr>
          <w:p w14:paraId="49D9EE56" w14:textId="77777777" w:rsidR="002C0FD9" w:rsidRPr="00CA25CF" w:rsidRDefault="002C0FD9" w:rsidP="00CA25CF">
            <w:pPr>
              <w:rPr>
                <w:rFonts w:cs="Arial"/>
                <w:color w:val="FF0000"/>
                <w:sz w:val="21"/>
                <w:szCs w:val="21"/>
              </w:rPr>
            </w:pPr>
          </w:p>
        </w:tc>
        <w:tc>
          <w:tcPr>
            <w:tcW w:w="217" w:type="dxa"/>
          </w:tcPr>
          <w:p w14:paraId="48993734" w14:textId="77777777" w:rsidR="002C0FD9" w:rsidRPr="00CA25CF" w:rsidRDefault="002C0FD9" w:rsidP="00CA25CF">
            <w:pPr>
              <w:rPr>
                <w:rFonts w:cs="Arial"/>
                <w:color w:val="FF0000"/>
                <w:sz w:val="21"/>
                <w:szCs w:val="21"/>
              </w:rPr>
            </w:pPr>
          </w:p>
        </w:tc>
        <w:tc>
          <w:tcPr>
            <w:tcW w:w="217" w:type="dxa"/>
          </w:tcPr>
          <w:p w14:paraId="38E79730" w14:textId="77777777" w:rsidR="002C0FD9" w:rsidRPr="00CA25CF" w:rsidRDefault="002C0FD9" w:rsidP="00CA25CF">
            <w:pPr>
              <w:rPr>
                <w:rFonts w:cs="Arial"/>
                <w:color w:val="FF0000"/>
                <w:sz w:val="21"/>
                <w:szCs w:val="21"/>
              </w:rPr>
            </w:pPr>
          </w:p>
        </w:tc>
        <w:tc>
          <w:tcPr>
            <w:tcW w:w="217" w:type="dxa"/>
          </w:tcPr>
          <w:p w14:paraId="279FE95A" w14:textId="77777777" w:rsidR="002C0FD9" w:rsidRPr="00CA25CF" w:rsidRDefault="002C0FD9" w:rsidP="00CA25CF">
            <w:pPr>
              <w:rPr>
                <w:rFonts w:cs="Arial"/>
                <w:color w:val="FF0000"/>
                <w:sz w:val="21"/>
                <w:szCs w:val="21"/>
              </w:rPr>
            </w:pPr>
          </w:p>
        </w:tc>
        <w:tc>
          <w:tcPr>
            <w:tcW w:w="217" w:type="dxa"/>
          </w:tcPr>
          <w:p w14:paraId="3CC7DE2A" w14:textId="77777777" w:rsidR="002C0FD9" w:rsidRPr="00CA25CF" w:rsidRDefault="002C0FD9" w:rsidP="00CA25CF">
            <w:pPr>
              <w:rPr>
                <w:rFonts w:cs="Arial"/>
                <w:color w:val="FF0000"/>
                <w:sz w:val="21"/>
                <w:szCs w:val="21"/>
              </w:rPr>
            </w:pPr>
          </w:p>
        </w:tc>
        <w:tc>
          <w:tcPr>
            <w:tcW w:w="217" w:type="dxa"/>
          </w:tcPr>
          <w:p w14:paraId="5AA2BB23" w14:textId="77777777" w:rsidR="002C0FD9" w:rsidRPr="00CA25CF" w:rsidRDefault="002C0FD9" w:rsidP="00CA25CF">
            <w:pPr>
              <w:rPr>
                <w:rFonts w:cs="Arial"/>
                <w:color w:val="FF0000"/>
                <w:sz w:val="21"/>
                <w:szCs w:val="21"/>
              </w:rPr>
            </w:pPr>
          </w:p>
        </w:tc>
        <w:tc>
          <w:tcPr>
            <w:tcW w:w="217" w:type="dxa"/>
          </w:tcPr>
          <w:p w14:paraId="2FF20B4D" w14:textId="77777777" w:rsidR="002C0FD9" w:rsidRPr="00CA25CF" w:rsidRDefault="002C0FD9" w:rsidP="00CA25CF">
            <w:pPr>
              <w:rPr>
                <w:rFonts w:cs="Arial"/>
                <w:color w:val="FF0000"/>
                <w:sz w:val="21"/>
                <w:szCs w:val="21"/>
              </w:rPr>
            </w:pPr>
          </w:p>
        </w:tc>
        <w:tc>
          <w:tcPr>
            <w:tcW w:w="217" w:type="dxa"/>
          </w:tcPr>
          <w:p w14:paraId="73A85DCA" w14:textId="77777777" w:rsidR="002C0FD9" w:rsidRPr="00CA25CF" w:rsidRDefault="002C0FD9" w:rsidP="00CA25CF">
            <w:pPr>
              <w:rPr>
                <w:rFonts w:cs="Arial"/>
                <w:color w:val="FF0000"/>
                <w:sz w:val="21"/>
                <w:szCs w:val="21"/>
              </w:rPr>
            </w:pPr>
          </w:p>
        </w:tc>
        <w:tc>
          <w:tcPr>
            <w:tcW w:w="217" w:type="dxa"/>
          </w:tcPr>
          <w:p w14:paraId="1D22FFE7" w14:textId="77777777" w:rsidR="002C0FD9" w:rsidRPr="00CA25CF" w:rsidRDefault="002C0FD9" w:rsidP="00CA25CF">
            <w:pPr>
              <w:rPr>
                <w:rFonts w:cs="Arial"/>
                <w:color w:val="FF0000"/>
                <w:sz w:val="21"/>
                <w:szCs w:val="21"/>
              </w:rPr>
            </w:pPr>
          </w:p>
        </w:tc>
        <w:tc>
          <w:tcPr>
            <w:tcW w:w="217" w:type="dxa"/>
          </w:tcPr>
          <w:p w14:paraId="62BFFB96" w14:textId="77777777" w:rsidR="002C0FD9" w:rsidRPr="00CA25CF" w:rsidRDefault="002C0FD9" w:rsidP="00CA25CF">
            <w:pPr>
              <w:rPr>
                <w:rFonts w:cs="Arial"/>
                <w:color w:val="FF0000"/>
                <w:sz w:val="21"/>
                <w:szCs w:val="21"/>
              </w:rPr>
            </w:pPr>
          </w:p>
        </w:tc>
        <w:tc>
          <w:tcPr>
            <w:tcW w:w="217" w:type="dxa"/>
          </w:tcPr>
          <w:p w14:paraId="7A238BF2" w14:textId="77777777" w:rsidR="002C0FD9" w:rsidRPr="00CA25CF" w:rsidRDefault="002C0FD9" w:rsidP="00CA25CF">
            <w:pPr>
              <w:rPr>
                <w:rFonts w:cs="Arial"/>
                <w:color w:val="FF0000"/>
                <w:sz w:val="21"/>
                <w:szCs w:val="21"/>
              </w:rPr>
            </w:pPr>
          </w:p>
        </w:tc>
        <w:tc>
          <w:tcPr>
            <w:tcW w:w="217" w:type="dxa"/>
          </w:tcPr>
          <w:p w14:paraId="40BCB6AE" w14:textId="77777777" w:rsidR="002C0FD9" w:rsidRPr="00CA25CF" w:rsidRDefault="002C0FD9" w:rsidP="00CA25CF">
            <w:pPr>
              <w:rPr>
                <w:rFonts w:cs="Arial"/>
                <w:color w:val="FF0000"/>
                <w:sz w:val="21"/>
                <w:szCs w:val="21"/>
              </w:rPr>
            </w:pPr>
          </w:p>
        </w:tc>
        <w:tc>
          <w:tcPr>
            <w:tcW w:w="217" w:type="dxa"/>
          </w:tcPr>
          <w:p w14:paraId="22B8FD1E" w14:textId="77777777" w:rsidR="002C0FD9" w:rsidRPr="00CA25CF" w:rsidRDefault="002C0FD9" w:rsidP="00CA25CF">
            <w:pPr>
              <w:rPr>
                <w:rFonts w:cs="Arial"/>
                <w:color w:val="FF0000"/>
                <w:sz w:val="21"/>
                <w:szCs w:val="21"/>
              </w:rPr>
            </w:pPr>
          </w:p>
        </w:tc>
        <w:tc>
          <w:tcPr>
            <w:tcW w:w="217" w:type="dxa"/>
          </w:tcPr>
          <w:p w14:paraId="2DD31B73" w14:textId="77777777" w:rsidR="002C0FD9" w:rsidRPr="00CA25CF" w:rsidRDefault="002C0FD9" w:rsidP="00CA25CF">
            <w:pPr>
              <w:rPr>
                <w:rFonts w:cs="Arial"/>
                <w:color w:val="FF0000"/>
                <w:sz w:val="21"/>
                <w:szCs w:val="21"/>
              </w:rPr>
            </w:pPr>
          </w:p>
        </w:tc>
        <w:tc>
          <w:tcPr>
            <w:tcW w:w="217" w:type="dxa"/>
          </w:tcPr>
          <w:p w14:paraId="16D0E36C" w14:textId="77777777" w:rsidR="002C0FD9" w:rsidRPr="00CA25CF" w:rsidRDefault="002C0FD9" w:rsidP="00CA25CF">
            <w:pPr>
              <w:rPr>
                <w:rFonts w:cs="Arial"/>
                <w:color w:val="FF0000"/>
                <w:sz w:val="21"/>
                <w:szCs w:val="21"/>
              </w:rPr>
            </w:pPr>
          </w:p>
        </w:tc>
        <w:tc>
          <w:tcPr>
            <w:tcW w:w="217" w:type="dxa"/>
          </w:tcPr>
          <w:p w14:paraId="66B15523" w14:textId="77777777" w:rsidR="002C0FD9" w:rsidRPr="00CA25CF" w:rsidRDefault="002C0FD9" w:rsidP="00CA25CF">
            <w:pPr>
              <w:rPr>
                <w:rFonts w:cs="Arial"/>
                <w:color w:val="FF0000"/>
                <w:sz w:val="21"/>
                <w:szCs w:val="21"/>
              </w:rPr>
            </w:pPr>
          </w:p>
        </w:tc>
        <w:tc>
          <w:tcPr>
            <w:tcW w:w="217" w:type="dxa"/>
          </w:tcPr>
          <w:p w14:paraId="3C1C14AE" w14:textId="77777777" w:rsidR="002C0FD9" w:rsidRPr="00CA25CF" w:rsidRDefault="002C0FD9" w:rsidP="00CA25CF">
            <w:pPr>
              <w:rPr>
                <w:rFonts w:cs="Arial"/>
                <w:color w:val="FF0000"/>
                <w:sz w:val="21"/>
                <w:szCs w:val="21"/>
              </w:rPr>
            </w:pPr>
          </w:p>
        </w:tc>
        <w:tc>
          <w:tcPr>
            <w:tcW w:w="217" w:type="dxa"/>
          </w:tcPr>
          <w:p w14:paraId="1C521F72" w14:textId="77777777" w:rsidR="002C0FD9" w:rsidRPr="00CA25CF" w:rsidRDefault="002C0FD9" w:rsidP="00CA25CF">
            <w:pPr>
              <w:rPr>
                <w:rFonts w:cs="Arial"/>
                <w:color w:val="FF0000"/>
                <w:sz w:val="21"/>
                <w:szCs w:val="21"/>
              </w:rPr>
            </w:pPr>
          </w:p>
        </w:tc>
        <w:tc>
          <w:tcPr>
            <w:tcW w:w="217" w:type="dxa"/>
          </w:tcPr>
          <w:p w14:paraId="158D0FCA" w14:textId="77777777" w:rsidR="002C0FD9" w:rsidRPr="00CA25CF" w:rsidRDefault="002C0FD9" w:rsidP="00CA25CF">
            <w:pPr>
              <w:rPr>
                <w:rFonts w:cs="Arial"/>
                <w:color w:val="FF0000"/>
                <w:sz w:val="21"/>
                <w:szCs w:val="21"/>
              </w:rPr>
            </w:pPr>
          </w:p>
        </w:tc>
        <w:tc>
          <w:tcPr>
            <w:tcW w:w="217" w:type="dxa"/>
          </w:tcPr>
          <w:p w14:paraId="5FA374C6" w14:textId="77777777" w:rsidR="002C0FD9" w:rsidRPr="00CA25CF" w:rsidRDefault="002C0FD9" w:rsidP="00CA25CF">
            <w:pPr>
              <w:rPr>
                <w:rFonts w:cs="Arial"/>
                <w:color w:val="FF0000"/>
                <w:sz w:val="21"/>
                <w:szCs w:val="21"/>
              </w:rPr>
            </w:pPr>
          </w:p>
        </w:tc>
        <w:tc>
          <w:tcPr>
            <w:tcW w:w="217" w:type="dxa"/>
          </w:tcPr>
          <w:p w14:paraId="1CC3B935" w14:textId="77777777" w:rsidR="002C0FD9" w:rsidRPr="00CA25CF" w:rsidRDefault="002C0FD9" w:rsidP="00CA25CF">
            <w:pPr>
              <w:rPr>
                <w:rFonts w:cs="Arial"/>
                <w:color w:val="FF0000"/>
                <w:sz w:val="21"/>
                <w:szCs w:val="21"/>
              </w:rPr>
            </w:pPr>
          </w:p>
        </w:tc>
        <w:tc>
          <w:tcPr>
            <w:tcW w:w="217" w:type="dxa"/>
          </w:tcPr>
          <w:p w14:paraId="1BA4E19A" w14:textId="77777777" w:rsidR="002C0FD9" w:rsidRPr="00CA25CF" w:rsidRDefault="002C0FD9" w:rsidP="00CA25CF">
            <w:pPr>
              <w:rPr>
                <w:rFonts w:cs="Arial"/>
                <w:color w:val="FF0000"/>
                <w:sz w:val="21"/>
                <w:szCs w:val="21"/>
              </w:rPr>
            </w:pPr>
          </w:p>
        </w:tc>
        <w:tc>
          <w:tcPr>
            <w:tcW w:w="217" w:type="dxa"/>
          </w:tcPr>
          <w:p w14:paraId="1F6F7F07" w14:textId="77777777" w:rsidR="002C0FD9" w:rsidRPr="00CA25CF" w:rsidRDefault="002C0FD9" w:rsidP="00CA25CF">
            <w:pPr>
              <w:rPr>
                <w:rFonts w:cs="Arial"/>
                <w:color w:val="FF0000"/>
                <w:sz w:val="21"/>
                <w:szCs w:val="21"/>
              </w:rPr>
            </w:pPr>
          </w:p>
        </w:tc>
        <w:tc>
          <w:tcPr>
            <w:tcW w:w="217" w:type="dxa"/>
          </w:tcPr>
          <w:p w14:paraId="1368FE39" w14:textId="77777777" w:rsidR="002C0FD9" w:rsidRPr="00CA25CF" w:rsidRDefault="002C0FD9" w:rsidP="00CA25CF">
            <w:pPr>
              <w:rPr>
                <w:rFonts w:cs="Arial"/>
                <w:color w:val="FF0000"/>
                <w:sz w:val="21"/>
                <w:szCs w:val="21"/>
              </w:rPr>
            </w:pPr>
          </w:p>
        </w:tc>
        <w:tc>
          <w:tcPr>
            <w:tcW w:w="217" w:type="dxa"/>
          </w:tcPr>
          <w:p w14:paraId="3DED798B" w14:textId="77777777" w:rsidR="002C0FD9" w:rsidRPr="00CA25CF" w:rsidRDefault="002C0FD9" w:rsidP="00CA25CF">
            <w:pPr>
              <w:rPr>
                <w:rFonts w:cs="Arial"/>
                <w:color w:val="FF0000"/>
                <w:sz w:val="21"/>
                <w:szCs w:val="21"/>
              </w:rPr>
            </w:pPr>
          </w:p>
        </w:tc>
        <w:tc>
          <w:tcPr>
            <w:tcW w:w="217" w:type="dxa"/>
          </w:tcPr>
          <w:p w14:paraId="5A5CA31C" w14:textId="77777777" w:rsidR="002C0FD9" w:rsidRPr="00CA25CF" w:rsidRDefault="002C0FD9" w:rsidP="00CA25CF">
            <w:pPr>
              <w:rPr>
                <w:rFonts w:cs="Arial"/>
                <w:color w:val="FF0000"/>
                <w:sz w:val="21"/>
                <w:szCs w:val="21"/>
              </w:rPr>
            </w:pPr>
          </w:p>
        </w:tc>
        <w:tc>
          <w:tcPr>
            <w:tcW w:w="217" w:type="dxa"/>
          </w:tcPr>
          <w:p w14:paraId="2EEA4C4E" w14:textId="77777777" w:rsidR="002C0FD9" w:rsidRPr="00CA25CF" w:rsidRDefault="002C0FD9" w:rsidP="00CA25CF">
            <w:pPr>
              <w:rPr>
                <w:rFonts w:cs="Arial"/>
                <w:color w:val="FF0000"/>
                <w:sz w:val="21"/>
                <w:szCs w:val="21"/>
              </w:rPr>
            </w:pPr>
          </w:p>
        </w:tc>
        <w:tc>
          <w:tcPr>
            <w:tcW w:w="217" w:type="dxa"/>
          </w:tcPr>
          <w:p w14:paraId="6D7E0BB9" w14:textId="77777777" w:rsidR="002C0FD9" w:rsidRPr="00CA25CF" w:rsidRDefault="002C0FD9" w:rsidP="00CA25CF">
            <w:pPr>
              <w:rPr>
                <w:rFonts w:cs="Arial"/>
                <w:color w:val="FF0000"/>
                <w:sz w:val="21"/>
                <w:szCs w:val="21"/>
              </w:rPr>
            </w:pPr>
          </w:p>
        </w:tc>
        <w:tc>
          <w:tcPr>
            <w:tcW w:w="217" w:type="dxa"/>
          </w:tcPr>
          <w:p w14:paraId="1794ABAD" w14:textId="77777777" w:rsidR="002C0FD9" w:rsidRPr="00CA25CF" w:rsidRDefault="002C0FD9" w:rsidP="00CA25CF">
            <w:pPr>
              <w:rPr>
                <w:rFonts w:cs="Arial"/>
                <w:color w:val="FF0000"/>
                <w:sz w:val="21"/>
                <w:szCs w:val="21"/>
              </w:rPr>
            </w:pPr>
          </w:p>
        </w:tc>
        <w:tc>
          <w:tcPr>
            <w:tcW w:w="217" w:type="dxa"/>
          </w:tcPr>
          <w:p w14:paraId="3D8ABBE1" w14:textId="77777777" w:rsidR="002C0FD9" w:rsidRPr="00CA25CF" w:rsidRDefault="002C0FD9" w:rsidP="00CA25CF">
            <w:pPr>
              <w:rPr>
                <w:rFonts w:cs="Arial"/>
                <w:color w:val="FF0000"/>
                <w:sz w:val="21"/>
                <w:szCs w:val="21"/>
              </w:rPr>
            </w:pPr>
          </w:p>
        </w:tc>
        <w:tc>
          <w:tcPr>
            <w:tcW w:w="217" w:type="dxa"/>
          </w:tcPr>
          <w:p w14:paraId="0E566AC7" w14:textId="77777777" w:rsidR="002C0FD9" w:rsidRPr="00CA25CF" w:rsidRDefault="002C0FD9" w:rsidP="00CA25CF">
            <w:pPr>
              <w:rPr>
                <w:rFonts w:cs="Arial"/>
                <w:color w:val="FF0000"/>
                <w:sz w:val="21"/>
                <w:szCs w:val="21"/>
              </w:rPr>
            </w:pPr>
          </w:p>
        </w:tc>
        <w:tc>
          <w:tcPr>
            <w:tcW w:w="217" w:type="dxa"/>
          </w:tcPr>
          <w:p w14:paraId="244B0513" w14:textId="77777777" w:rsidR="002C0FD9" w:rsidRPr="00CA25CF" w:rsidRDefault="002C0FD9" w:rsidP="00CA25CF">
            <w:pPr>
              <w:rPr>
                <w:rFonts w:cs="Arial"/>
                <w:color w:val="FF0000"/>
                <w:sz w:val="21"/>
                <w:szCs w:val="21"/>
              </w:rPr>
            </w:pPr>
          </w:p>
        </w:tc>
        <w:tc>
          <w:tcPr>
            <w:tcW w:w="217" w:type="dxa"/>
          </w:tcPr>
          <w:p w14:paraId="6D0E66E4" w14:textId="77777777" w:rsidR="002C0FD9" w:rsidRPr="00CA25CF" w:rsidRDefault="002C0FD9" w:rsidP="00CA25CF">
            <w:pPr>
              <w:rPr>
                <w:rFonts w:cs="Arial"/>
                <w:color w:val="FF0000"/>
                <w:sz w:val="21"/>
                <w:szCs w:val="21"/>
              </w:rPr>
            </w:pPr>
          </w:p>
        </w:tc>
        <w:tc>
          <w:tcPr>
            <w:tcW w:w="217" w:type="dxa"/>
          </w:tcPr>
          <w:p w14:paraId="5C8E337C" w14:textId="77777777" w:rsidR="002C0FD9" w:rsidRPr="00CA25CF" w:rsidRDefault="002C0FD9" w:rsidP="00CA25CF">
            <w:pPr>
              <w:rPr>
                <w:rFonts w:cs="Arial"/>
                <w:color w:val="FF0000"/>
                <w:sz w:val="21"/>
                <w:szCs w:val="21"/>
              </w:rPr>
            </w:pPr>
          </w:p>
        </w:tc>
      </w:tr>
      <w:tr w:rsidR="002C0FD9" w:rsidRPr="00A16219" w14:paraId="0EF02317" w14:textId="77777777" w:rsidTr="002C0FD9">
        <w:trPr>
          <w:trHeight w:val="635"/>
        </w:trPr>
        <w:tc>
          <w:tcPr>
            <w:tcW w:w="515" w:type="dxa"/>
          </w:tcPr>
          <w:p w14:paraId="563A801E" w14:textId="77777777" w:rsidR="002C0FD9" w:rsidRPr="00CA25CF" w:rsidRDefault="002C0FD9" w:rsidP="00CA25CF">
            <w:pPr>
              <w:rPr>
                <w:rFonts w:cs="Arial"/>
                <w:color w:val="FF0000"/>
                <w:sz w:val="21"/>
                <w:szCs w:val="21"/>
              </w:rPr>
            </w:pPr>
          </w:p>
        </w:tc>
        <w:tc>
          <w:tcPr>
            <w:tcW w:w="217" w:type="dxa"/>
          </w:tcPr>
          <w:p w14:paraId="1D51D3A5" w14:textId="77777777" w:rsidR="002C0FD9" w:rsidRPr="00CA25CF" w:rsidRDefault="002C0FD9" w:rsidP="00CA25CF">
            <w:pPr>
              <w:rPr>
                <w:rFonts w:cs="Arial"/>
                <w:color w:val="FF0000"/>
                <w:sz w:val="21"/>
                <w:szCs w:val="21"/>
              </w:rPr>
            </w:pPr>
          </w:p>
        </w:tc>
        <w:tc>
          <w:tcPr>
            <w:tcW w:w="217" w:type="dxa"/>
          </w:tcPr>
          <w:p w14:paraId="67312520" w14:textId="77777777" w:rsidR="002C0FD9" w:rsidRPr="00CA25CF" w:rsidRDefault="002C0FD9" w:rsidP="00CA25CF">
            <w:pPr>
              <w:rPr>
                <w:rFonts w:cs="Arial"/>
                <w:color w:val="FF0000"/>
                <w:sz w:val="21"/>
                <w:szCs w:val="21"/>
              </w:rPr>
            </w:pPr>
          </w:p>
        </w:tc>
        <w:tc>
          <w:tcPr>
            <w:tcW w:w="217" w:type="dxa"/>
          </w:tcPr>
          <w:p w14:paraId="636A21B4" w14:textId="77777777" w:rsidR="002C0FD9" w:rsidRPr="00CA25CF" w:rsidRDefault="002C0FD9" w:rsidP="00CA25CF">
            <w:pPr>
              <w:rPr>
                <w:rFonts w:cs="Arial"/>
                <w:color w:val="FF0000"/>
                <w:sz w:val="21"/>
                <w:szCs w:val="21"/>
              </w:rPr>
            </w:pPr>
          </w:p>
        </w:tc>
        <w:tc>
          <w:tcPr>
            <w:tcW w:w="217" w:type="dxa"/>
          </w:tcPr>
          <w:p w14:paraId="799BD180" w14:textId="77777777" w:rsidR="002C0FD9" w:rsidRPr="00CA25CF" w:rsidRDefault="002C0FD9" w:rsidP="00CA25CF">
            <w:pPr>
              <w:rPr>
                <w:rFonts w:cs="Arial"/>
                <w:color w:val="FF0000"/>
                <w:sz w:val="21"/>
                <w:szCs w:val="21"/>
              </w:rPr>
            </w:pPr>
          </w:p>
        </w:tc>
        <w:tc>
          <w:tcPr>
            <w:tcW w:w="217" w:type="dxa"/>
          </w:tcPr>
          <w:p w14:paraId="69C116E8" w14:textId="77777777" w:rsidR="002C0FD9" w:rsidRPr="00CA25CF" w:rsidRDefault="002C0FD9" w:rsidP="00CA25CF">
            <w:pPr>
              <w:rPr>
                <w:rFonts w:cs="Arial"/>
                <w:color w:val="FF0000"/>
                <w:sz w:val="21"/>
                <w:szCs w:val="21"/>
              </w:rPr>
            </w:pPr>
          </w:p>
        </w:tc>
        <w:tc>
          <w:tcPr>
            <w:tcW w:w="217" w:type="dxa"/>
          </w:tcPr>
          <w:p w14:paraId="2F98A26A" w14:textId="77777777" w:rsidR="002C0FD9" w:rsidRPr="00CA25CF" w:rsidRDefault="002C0FD9" w:rsidP="00CA25CF">
            <w:pPr>
              <w:rPr>
                <w:rFonts w:cs="Arial"/>
                <w:color w:val="FF0000"/>
                <w:sz w:val="21"/>
                <w:szCs w:val="21"/>
              </w:rPr>
            </w:pPr>
          </w:p>
        </w:tc>
        <w:tc>
          <w:tcPr>
            <w:tcW w:w="217" w:type="dxa"/>
          </w:tcPr>
          <w:p w14:paraId="0D9B9813" w14:textId="77777777" w:rsidR="002C0FD9" w:rsidRPr="00CA25CF" w:rsidRDefault="002C0FD9" w:rsidP="00CA25CF">
            <w:pPr>
              <w:rPr>
                <w:rFonts w:cs="Arial"/>
                <w:color w:val="FF0000"/>
                <w:sz w:val="21"/>
                <w:szCs w:val="21"/>
              </w:rPr>
            </w:pPr>
          </w:p>
        </w:tc>
        <w:tc>
          <w:tcPr>
            <w:tcW w:w="217" w:type="dxa"/>
          </w:tcPr>
          <w:p w14:paraId="2525C308" w14:textId="77777777" w:rsidR="002C0FD9" w:rsidRPr="00CA25CF" w:rsidRDefault="002C0FD9" w:rsidP="00CA25CF">
            <w:pPr>
              <w:rPr>
                <w:rFonts w:cs="Arial"/>
                <w:color w:val="FF0000"/>
                <w:sz w:val="21"/>
                <w:szCs w:val="21"/>
              </w:rPr>
            </w:pPr>
          </w:p>
        </w:tc>
        <w:tc>
          <w:tcPr>
            <w:tcW w:w="217" w:type="dxa"/>
          </w:tcPr>
          <w:p w14:paraId="34B7D13D" w14:textId="77777777" w:rsidR="002C0FD9" w:rsidRPr="00CA25CF" w:rsidRDefault="002C0FD9" w:rsidP="00CA25CF">
            <w:pPr>
              <w:rPr>
                <w:rFonts w:cs="Arial"/>
                <w:color w:val="FF0000"/>
                <w:sz w:val="21"/>
                <w:szCs w:val="21"/>
              </w:rPr>
            </w:pPr>
          </w:p>
        </w:tc>
        <w:tc>
          <w:tcPr>
            <w:tcW w:w="217" w:type="dxa"/>
          </w:tcPr>
          <w:p w14:paraId="0AE2E801" w14:textId="77777777" w:rsidR="002C0FD9" w:rsidRPr="00CA25CF" w:rsidRDefault="002C0FD9" w:rsidP="00CA25CF">
            <w:pPr>
              <w:rPr>
                <w:rFonts w:cs="Arial"/>
                <w:color w:val="FF0000"/>
                <w:sz w:val="21"/>
                <w:szCs w:val="21"/>
              </w:rPr>
            </w:pPr>
          </w:p>
        </w:tc>
        <w:tc>
          <w:tcPr>
            <w:tcW w:w="217" w:type="dxa"/>
          </w:tcPr>
          <w:p w14:paraId="3DEB35D8" w14:textId="77777777" w:rsidR="002C0FD9" w:rsidRPr="00CA25CF" w:rsidRDefault="002C0FD9" w:rsidP="00CA25CF">
            <w:pPr>
              <w:rPr>
                <w:rFonts w:cs="Arial"/>
                <w:color w:val="FF0000"/>
                <w:sz w:val="21"/>
                <w:szCs w:val="21"/>
              </w:rPr>
            </w:pPr>
          </w:p>
        </w:tc>
        <w:tc>
          <w:tcPr>
            <w:tcW w:w="217" w:type="dxa"/>
          </w:tcPr>
          <w:p w14:paraId="037D8440" w14:textId="77777777" w:rsidR="002C0FD9" w:rsidRPr="00CA25CF" w:rsidRDefault="002C0FD9" w:rsidP="00CA25CF">
            <w:pPr>
              <w:rPr>
                <w:rFonts w:cs="Arial"/>
                <w:color w:val="FF0000"/>
                <w:sz w:val="21"/>
                <w:szCs w:val="21"/>
              </w:rPr>
            </w:pPr>
          </w:p>
        </w:tc>
        <w:tc>
          <w:tcPr>
            <w:tcW w:w="217" w:type="dxa"/>
          </w:tcPr>
          <w:p w14:paraId="01474A7E" w14:textId="77777777" w:rsidR="002C0FD9" w:rsidRPr="00CA25CF" w:rsidRDefault="002C0FD9" w:rsidP="00CA25CF">
            <w:pPr>
              <w:rPr>
                <w:rFonts w:cs="Arial"/>
                <w:color w:val="FF0000"/>
                <w:sz w:val="21"/>
                <w:szCs w:val="21"/>
              </w:rPr>
            </w:pPr>
          </w:p>
        </w:tc>
        <w:tc>
          <w:tcPr>
            <w:tcW w:w="217" w:type="dxa"/>
          </w:tcPr>
          <w:p w14:paraId="270182F1" w14:textId="77777777" w:rsidR="002C0FD9" w:rsidRPr="00CA25CF" w:rsidRDefault="002C0FD9" w:rsidP="00CA25CF">
            <w:pPr>
              <w:rPr>
                <w:rFonts w:cs="Arial"/>
                <w:color w:val="FF0000"/>
                <w:sz w:val="21"/>
                <w:szCs w:val="21"/>
              </w:rPr>
            </w:pPr>
          </w:p>
        </w:tc>
        <w:tc>
          <w:tcPr>
            <w:tcW w:w="217" w:type="dxa"/>
          </w:tcPr>
          <w:p w14:paraId="00090FC1" w14:textId="77777777" w:rsidR="002C0FD9" w:rsidRPr="00CA25CF" w:rsidRDefault="002C0FD9" w:rsidP="00CA25CF">
            <w:pPr>
              <w:rPr>
                <w:rFonts w:cs="Arial"/>
                <w:color w:val="FF0000"/>
                <w:sz w:val="21"/>
                <w:szCs w:val="21"/>
              </w:rPr>
            </w:pPr>
          </w:p>
        </w:tc>
        <w:tc>
          <w:tcPr>
            <w:tcW w:w="217" w:type="dxa"/>
          </w:tcPr>
          <w:p w14:paraId="76AE0091" w14:textId="77777777" w:rsidR="002C0FD9" w:rsidRPr="00CA25CF" w:rsidRDefault="002C0FD9" w:rsidP="00CA25CF">
            <w:pPr>
              <w:rPr>
                <w:rFonts w:cs="Arial"/>
                <w:color w:val="FF0000"/>
                <w:sz w:val="21"/>
                <w:szCs w:val="21"/>
              </w:rPr>
            </w:pPr>
          </w:p>
        </w:tc>
        <w:tc>
          <w:tcPr>
            <w:tcW w:w="217" w:type="dxa"/>
          </w:tcPr>
          <w:p w14:paraId="0C58ABA3" w14:textId="77777777" w:rsidR="002C0FD9" w:rsidRPr="00CA25CF" w:rsidRDefault="002C0FD9" w:rsidP="00CA25CF">
            <w:pPr>
              <w:rPr>
                <w:rFonts w:cs="Arial"/>
                <w:color w:val="FF0000"/>
                <w:sz w:val="21"/>
                <w:szCs w:val="21"/>
              </w:rPr>
            </w:pPr>
          </w:p>
        </w:tc>
        <w:tc>
          <w:tcPr>
            <w:tcW w:w="217" w:type="dxa"/>
          </w:tcPr>
          <w:p w14:paraId="40BD3367" w14:textId="77777777" w:rsidR="002C0FD9" w:rsidRPr="00CA25CF" w:rsidRDefault="002C0FD9" w:rsidP="00CA25CF">
            <w:pPr>
              <w:rPr>
                <w:rFonts w:cs="Arial"/>
                <w:color w:val="FF0000"/>
                <w:sz w:val="21"/>
                <w:szCs w:val="21"/>
              </w:rPr>
            </w:pPr>
          </w:p>
        </w:tc>
        <w:tc>
          <w:tcPr>
            <w:tcW w:w="217" w:type="dxa"/>
          </w:tcPr>
          <w:p w14:paraId="3569D02F" w14:textId="77777777" w:rsidR="002C0FD9" w:rsidRPr="00CA25CF" w:rsidRDefault="002C0FD9" w:rsidP="00CA25CF">
            <w:pPr>
              <w:rPr>
                <w:rFonts w:cs="Arial"/>
                <w:color w:val="FF0000"/>
                <w:sz w:val="21"/>
                <w:szCs w:val="21"/>
              </w:rPr>
            </w:pPr>
          </w:p>
        </w:tc>
        <w:tc>
          <w:tcPr>
            <w:tcW w:w="217" w:type="dxa"/>
          </w:tcPr>
          <w:p w14:paraId="376465C7" w14:textId="77777777" w:rsidR="002C0FD9" w:rsidRPr="00CA25CF" w:rsidRDefault="002C0FD9" w:rsidP="00CA25CF">
            <w:pPr>
              <w:rPr>
                <w:rFonts w:cs="Arial"/>
                <w:color w:val="FF0000"/>
                <w:sz w:val="21"/>
                <w:szCs w:val="21"/>
              </w:rPr>
            </w:pPr>
          </w:p>
        </w:tc>
        <w:tc>
          <w:tcPr>
            <w:tcW w:w="217" w:type="dxa"/>
          </w:tcPr>
          <w:p w14:paraId="21A160CE" w14:textId="77777777" w:rsidR="002C0FD9" w:rsidRPr="00CA25CF" w:rsidRDefault="002C0FD9" w:rsidP="00CA25CF">
            <w:pPr>
              <w:rPr>
                <w:rFonts w:cs="Arial"/>
                <w:color w:val="FF0000"/>
                <w:sz w:val="21"/>
                <w:szCs w:val="21"/>
              </w:rPr>
            </w:pPr>
          </w:p>
        </w:tc>
        <w:tc>
          <w:tcPr>
            <w:tcW w:w="217" w:type="dxa"/>
          </w:tcPr>
          <w:p w14:paraId="470B8CB0" w14:textId="77777777" w:rsidR="002C0FD9" w:rsidRPr="00CA25CF" w:rsidRDefault="002C0FD9" w:rsidP="00CA25CF">
            <w:pPr>
              <w:rPr>
                <w:rFonts w:cs="Arial"/>
                <w:color w:val="FF0000"/>
                <w:sz w:val="21"/>
                <w:szCs w:val="21"/>
              </w:rPr>
            </w:pPr>
          </w:p>
        </w:tc>
        <w:tc>
          <w:tcPr>
            <w:tcW w:w="217" w:type="dxa"/>
          </w:tcPr>
          <w:p w14:paraId="21210B37" w14:textId="77777777" w:rsidR="002C0FD9" w:rsidRPr="00CA25CF" w:rsidRDefault="002C0FD9" w:rsidP="00CA25CF">
            <w:pPr>
              <w:rPr>
                <w:rFonts w:cs="Arial"/>
                <w:color w:val="FF0000"/>
                <w:sz w:val="21"/>
                <w:szCs w:val="21"/>
              </w:rPr>
            </w:pPr>
          </w:p>
        </w:tc>
        <w:tc>
          <w:tcPr>
            <w:tcW w:w="217" w:type="dxa"/>
          </w:tcPr>
          <w:p w14:paraId="0BB7F734" w14:textId="77777777" w:rsidR="002C0FD9" w:rsidRPr="00CA25CF" w:rsidRDefault="002C0FD9" w:rsidP="00CA25CF">
            <w:pPr>
              <w:rPr>
                <w:rFonts w:cs="Arial"/>
                <w:color w:val="FF0000"/>
                <w:sz w:val="21"/>
                <w:szCs w:val="21"/>
              </w:rPr>
            </w:pPr>
          </w:p>
        </w:tc>
        <w:tc>
          <w:tcPr>
            <w:tcW w:w="217" w:type="dxa"/>
          </w:tcPr>
          <w:p w14:paraId="2B933E8A" w14:textId="77777777" w:rsidR="002C0FD9" w:rsidRPr="00CA25CF" w:rsidRDefault="002C0FD9" w:rsidP="00CA25CF">
            <w:pPr>
              <w:rPr>
                <w:rFonts w:cs="Arial"/>
                <w:color w:val="FF0000"/>
                <w:sz w:val="21"/>
                <w:szCs w:val="21"/>
              </w:rPr>
            </w:pPr>
          </w:p>
        </w:tc>
        <w:tc>
          <w:tcPr>
            <w:tcW w:w="217" w:type="dxa"/>
          </w:tcPr>
          <w:p w14:paraId="4AD2F3E5" w14:textId="77777777" w:rsidR="002C0FD9" w:rsidRPr="00CA25CF" w:rsidRDefault="002C0FD9" w:rsidP="00CA25CF">
            <w:pPr>
              <w:rPr>
                <w:rFonts w:cs="Arial"/>
                <w:color w:val="FF0000"/>
                <w:sz w:val="21"/>
                <w:szCs w:val="21"/>
              </w:rPr>
            </w:pPr>
          </w:p>
        </w:tc>
        <w:tc>
          <w:tcPr>
            <w:tcW w:w="217" w:type="dxa"/>
          </w:tcPr>
          <w:p w14:paraId="19E38823" w14:textId="77777777" w:rsidR="002C0FD9" w:rsidRPr="00CA25CF" w:rsidRDefault="002C0FD9" w:rsidP="00CA25CF">
            <w:pPr>
              <w:rPr>
                <w:rFonts w:cs="Arial"/>
                <w:color w:val="FF0000"/>
                <w:sz w:val="21"/>
                <w:szCs w:val="21"/>
              </w:rPr>
            </w:pPr>
          </w:p>
        </w:tc>
        <w:tc>
          <w:tcPr>
            <w:tcW w:w="217" w:type="dxa"/>
          </w:tcPr>
          <w:p w14:paraId="48EA686D" w14:textId="77777777" w:rsidR="002C0FD9" w:rsidRPr="00CA25CF" w:rsidRDefault="002C0FD9" w:rsidP="00CA25CF">
            <w:pPr>
              <w:rPr>
                <w:rFonts w:cs="Arial"/>
                <w:color w:val="FF0000"/>
                <w:sz w:val="21"/>
                <w:szCs w:val="21"/>
              </w:rPr>
            </w:pPr>
          </w:p>
        </w:tc>
        <w:tc>
          <w:tcPr>
            <w:tcW w:w="217" w:type="dxa"/>
          </w:tcPr>
          <w:p w14:paraId="63B502E6" w14:textId="77777777" w:rsidR="002C0FD9" w:rsidRPr="00CA25CF" w:rsidRDefault="002C0FD9" w:rsidP="00CA25CF">
            <w:pPr>
              <w:rPr>
                <w:rFonts w:cs="Arial"/>
                <w:color w:val="FF0000"/>
                <w:sz w:val="21"/>
                <w:szCs w:val="21"/>
              </w:rPr>
            </w:pPr>
          </w:p>
        </w:tc>
        <w:tc>
          <w:tcPr>
            <w:tcW w:w="217" w:type="dxa"/>
          </w:tcPr>
          <w:p w14:paraId="323D2193" w14:textId="77777777" w:rsidR="002C0FD9" w:rsidRPr="00CA25CF" w:rsidRDefault="002C0FD9" w:rsidP="00CA25CF">
            <w:pPr>
              <w:rPr>
                <w:rFonts w:cs="Arial"/>
                <w:color w:val="FF0000"/>
                <w:sz w:val="21"/>
                <w:szCs w:val="21"/>
              </w:rPr>
            </w:pPr>
          </w:p>
        </w:tc>
        <w:tc>
          <w:tcPr>
            <w:tcW w:w="217" w:type="dxa"/>
          </w:tcPr>
          <w:p w14:paraId="6E3DCD15" w14:textId="77777777" w:rsidR="002C0FD9" w:rsidRPr="00CA25CF" w:rsidRDefault="002C0FD9" w:rsidP="00CA25CF">
            <w:pPr>
              <w:rPr>
                <w:rFonts w:cs="Arial"/>
                <w:color w:val="FF0000"/>
                <w:sz w:val="21"/>
                <w:szCs w:val="21"/>
              </w:rPr>
            </w:pPr>
          </w:p>
        </w:tc>
        <w:tc>
          <w:tcPr>
            <w:tcW w:w="217" w:type="dxa"/>
          </w:tcPr>
          <w:p w14:paraId="53F17FCF" w14:textId="77777777" w:rsidR="002C0FD9" w:rsidRPr="00CA25CF" w:rsidRDefault="002C0FD9" w:rsidP="00CA25CF">
            <w:pPr>
              <w:rPr>
                <w:rFonts w:cs="Arial"/>
                <w:color w:val="FF0000"/>
                <w:sz w:val="21"/>
                <w:szCs w:val="21"/>
              </w:rPr>
            </w:pPr>
          </w:p>
        </w:tc>
        <w:tc>
          <w:tcPr>
            <w:tcW w:w="217" w:type="dxa"/>
          </w:tcPr>
          <w:p w14:paraId="72C118AA" w14:textId="77777777" w:rsidR="002C0FD9" w:rsidRPr="00CA25CF" w:rsidRDefault="002C0FD9" w:rsidP="00CA25CF">
            <w:pPr>
              <w:rPr>
                <w:rFonts w:cs="Arial"/>
                <w:color w:val="FF0000"/>
                <w:sz w:val="21"/>
                <w:szCs w:val="21"/>
              </w:rPr>
            </w:pPr>
          </w:p>
        </w:tc>
        <w:tc>
          <w:tcPr>
            <w:tcW w:w="217" w:type="dxa"/>
          </w:tcPr>
          <w:p w14:paraId="74DC243F" w14:textId="77777777" w:rsidR="002C0FD9" w:rsidRPr="00CA25CF" w:rsidRDefault="002C0FD9" w:rsidP="00CA25CF">
            <w:pPr>
              <w:rPr>
                <w:rFonts w:cs="Arial"/>
                <w:color w:val="FF0000"/>
                <w:sz w:val="21"/>
                <w:szCs w:val="21"/>
              </w:rPr>
            </w:pPr>
          </w:p>
        </w:tc>
        <w:tc>
          <w:tcPr>
            <w:tcW w:w="217" w:type="dxa"/>
          </w:tcPr>
          <w:p w14:paraId="3C6773B5" w14:textId="77777777" w:rsidR="002C0FD9" w:rsidRPr="00CA25CF" w:rsidRDefault="002C0FD9" w:rsidP="00CA25CF">
            <w:pPr>
              <w:rPr>
                <w:rFonts w:cs="Arial"/>
                <w:color w:val="FF0000"/>
                <w:sz w:val="21"/>
                <w:szCs w:val="21"/>
              </w:rPr>
            </w:pPr>
          </w:p>
        </w:tc>
        <w:tc>
          <w:tcPr>
            <w:tcW w:w="217" w:type="dxa"/>
          </w:tcPr>
          <w:p w14:paraId="67CEB31B" w14:textId="77777777" w:rsidR="002C0FD9" w:rsidRPr="00CA25CF" w:rsidRDefault="002C0FD9" w:rsidP="00CA25CF">
            <w:pPr>
              <w:rPr>
                <w:rFonts w:cs="Arial"/>
                <w:color w:val="FF0000"/>
                <w:sz w:val="21"/>
                <w:szCs w:val="21"/>
              </w:rPr>
            </w:pPr>
          </w:p>
        </w:tc>
        <w:tc>
          <w:tcPr>
            <w:tcW w:w="217" w:type="dxa"/>
          </w:tcPr>
          <w:p w14:paraId="7FB9F02A" w14:textId="77777777" w:rsidR="002C0FD9" w:rsidRPr="00CA25CF" w:rsidRDefault="002C0FD9" w:rsidP="00CA25CF">
            <w:pPr>
              <w:rPr>
                <w:rFonts w:cs="Arial"/>
                <w:color w:val="FF0000"/>
                <w:sz w:val="21"/>
                <w:szCs w:val="21"/>
              </w:rPr>
            </w:pPr>
          </w:p>
        </w:tc>
        <w:tc>
          <w:tcPr>
            <w:tcW w:w="217" w:type="dxa"/>
          </w:tcPr>
          <w:p w14:paraId="1B3F87E7" w14:textId="77777777" w:rsidR="002C0FD9" w:rsidRPr="00CA25CF" w:rsidRDefault="002C0FD9" w:rsidP="00CA25CF">
            <w:pPr>
              <w:rPr>
                <w:rFonts w:cs="Arial"/>
                <w:color w:val="FF0000"/>
                <w:sz w:val="21"/>
                <w:szCs w:val="21"/>
              </w:rPr>
            </w:pPr>
          </w:p>
        </w:tc>
        <w:tc>
          <w:tcPr>
            <w:tcW w:w="217" w:type="dxa"/>
          </w:tcPr>
          <w:p w14:paraId="6F4D5A25" w14:textId="77777777" w:rsidR="002C0FD9" w:rsidRPr="00CA25CF" w:rsidRDefault="002C0FD9" w:rsidP="00CA25CF">
            <w:pPr>
              <w:rPr>
                <w:rFonts w:cs="Arial"/>
                <w:color w:val="FF0000"/>
                <w:sz w:val="21"/>
                <w:szCs w:val="21"/>
              </w:rPr>
            </w:pPr>
          </w:p>
        </w:tc>
        <w:tc>
          <w:tcPr>
            <w:tcW w:w="217" w:type="dxa"/>
          </w:tcPr>
          <w:p w14:paraId="0588243F" w14:textId="77777777" w:rsidR="002C0FD9" w:rsidRPr="00CA25CF" w:rsidRDefault="002C0FD9" w:rsidP="00CA25CF">
            <w:pPr>
              <w:rPr>
                <w:rFonts w:cs="Arial"/>
                <w:color w:val="FF0000"/>
                <w:sz w:val="21"/>
                <w:szCs w:val="21"/>
              </w:rPr>
            </w:pPr>
          </w:p>
        </w:tc>
        <w:tc>
          <w:tcPr>
            <w:tcW w:w="217" w:type="dxa"/>
          </w:tcPr>
          <w:p w14:paraId="52E34074" w14:textId="77777777" w:rsidR="002C0FD9" w:rsidRPr="00CA25CF" w:rsidRDefault="002C0FD9" w:rsidP="00CA25CF">
            <w:pPr>
              <w:rPr>
                <w:rFonts w:cs="Arial"/>
                <w:color w:val="FF0000"/>
                <w:sz w:val="21"/>
                <w:szCs w:val="21"/>
              </w:rPr>
            </w:pPr>
          </w:p>
        </w:tc>
        <w:tc>
          <w:tcPr>
            <w:tcW w:w="217" w:type="dxa"/>
          </w:tcPr>
          <w:p w14:paraId="732C8B7D" w14:textId="77777777" w:rsidR="002C0FD9" w:rsidRPr="00CA25CF" w:rsidRDefault="002C0FD9" w:rsidP="00CA25CF">
            <w:pPr>
              <w:rPr>
                <w:rFonts w:cs="Arial"/>
                <w:color w:val="FF0000"/>
                <w:sz w:val="21"/>
                <w:szCs w:val="21"/>
              </w:rPr>
            </w:pPr>
          </w:p>
        </w:tc>
      </w:tr>
      <w:tr w:rsidR="002C0FD9" w:rsidRPr="00A16219" w14:paraId="1DB43186" w14:textId="77777777" w:rsidTr="002C0FD9">
        <w:trPr>
          <w:trHeight w:val="635"/>
        </w:trPr>
        <w:tc>
          <w:tcPr>
            <w:tcW w:w="515" w:type="dxa"/>
          </w:tcPr>
          <w:p w14:paraId="2D7ED364" w14:textId="77777777" w:rsidR="002C0FD9" w:rsidRPr="00CA25CF" w:rsidRDefault="002C0FD9" w:rsidP="00CA25CF">
            <w:pPr>
              <w:rPr>
                <w:rFonts w:cs="Arial"/>
                <w:color w:val="FF0000"/>
                <w:sz w:val="21"/>
                <w:szCs w:val="21"/>
              </w:rPr>
            </w:pPr>
          </w:p>
        </w:tc>
        <w:tc>
          <w:tcPr>
            <w:tcW w:w="217" w:type="dxa"/>
          </w:tcPr>
          <w:p w14:paraId="75807958" w14:textId="77777777" w:rsidR="002C0FD9" w:rsidRPr="00CA25CF" w:rsidRDefault="002C0FD9" w:rsidP="00CA25CF">
            <w:pPr>
              <w:rPr>
                <w:rFonts w:cs="Arial"/>
                <w:color w:val="FF0000"/>
                <w:sz w:val="21"/>
                <w:szCs w:val="21"/>
              </w:rPr>
            </w:pPr>
          </w:p>
        </w:tc>
        <w:tc>
          <w:tcPr>
            <w:tcW w:w="217" w:type="dxa"/>
          </w:tcPr>
          <w:p w14:paraId="5CBC12E3" w14:textId="77777777" w:rsidR="002C0FD9" w:rsidRPr="00CA25CF" w:rsidRDefault="002C0FD9" w:rsidP="00CA25CF">
            <w:pPr>
              <w:rPr>
                <w:rFonts w:cs="Arial"/>
                <w:color w:val="FF0000"/>
                <w:sz w:val="21"/>
                <w:szCs w:val="21"/>
              </w:rPr>
            </w:pPr>
          </w:p>
        </w:tc>
        <w:tc>
          <w:tcPr>
            <w:tcW w:w="217" w:type="dxa"/>
          </w:tcPr>
          <w:p w14:paraId="362D7A4A" w14:textId="77777777" w:rsidR="002C0FD9" w:rsidRPr="00CA25CF" w:rsidRDefault="002C0FD9" w:rsidP="00CA25CF">
            <w:pPr>
              <w:rPr>
                <w:rFonts w:cs="Arial"/>
                <w:color w:val="FF0000"/>
                <w:sz w:val="21"/>
                <w:szCs w:val="21"/>
              </w:rPr>
            </w:pPr>
          </w:p>
        </w:tc>
        <w:tc>
          <w:tcPr>
            <w:tcW w:w="217" w:type="dxa"/>
          </w:tcPr>
          <w:p w14:paraId="09B92AF9" w14:textId="77777777" w:rsidR="002C0FD9" w:rsidRPr="00CA25CF" w:rsidRDefault="002C0FD9" w:rsidP="00CA25CF">
            <w:pPr>
              <w:rPr>
                <w:rFonts w:cs="Arial"/>
                <w:color w:val="FF0000"/>
                <w:sz w:val="21"/>
                <w:szCs w:val="21"/>
              </w:rPr>
            </w:pPr>
          </w:p>
        </w:tc>
        <w:tc>
          <w:tcPr>
            <w:tcW w:w="217" w:type="dxa"/>
          </w:tcPr>
          <w:p w14:paraId="1FB24DE1" w14:textId="77777777" w:rsidR="002C0FD9" w:rsidRPr="00CA25CF" w:rsidRDefault="002C0FD9" w:rsidP="00CA25CF">
            <w:pPr>
              <w:rPr>
                <w:rFonts w:cs="Arial"/>
                <w:color w:val="FF0000"/>
                <w:sz w:val="21"/>
                <w:szCs w:val="21"/>
              </w:rPr>
            </w:pPr>
          </w:p>
        </w:tc>
        <w:tc>
          <w:tcPr>
            <w:tcW w:w="217" w:type="dxa"/>
          </w:tcPr>
          <w:p w14:paraId="166265CA" w14:textId="77777777" w:rsidR="002C0FD9" w:rsidRPr="00CA25CF" w:rsidRDefault="002C0FD9" w:rsidP="00CA25CF">
            <w:pPr>
              <w:rPr>
                <w:rFonts w:cs="Arial"/>
                <w:color w:val="FF0000"/>
                <w:sz w:val="21"/>
                <w:szCs w:val="21"/>
              </w:rPr>
            </w:pPr>
          </w:p>
        </w:tc>
        <w:tc>
          <w:tcPr>
            <w:tcW w:w="217" w:type="dxa"/>
          </w:tcPr>
          <w:p w14:paraId="57E7C0EF" w14:textId="77777777" w:rsidR="002C0FD9" w:rsidRPr="00CA25CF" w:rsidRDefault="002C0FD9" w:rsidP="00CA25CF">
            <w:pPr>
              <w:rPr>
                <w:rFonts w:cs="Arial"/>
                <w:color w:val="FF0000"/>
                <w:sz w:val="21"/>
                <w:szCs w:val="21"/>
              </w:rPr>
            </w:pPr>
          </w:p>
        </w:tc>
        <w:tc>
          <w:tcPr>
            <w:tcW w:w="217" w:type="dxa"/>
          </w:tcPr>
          <w:p w14:paraId="70E186C2" w14:textId="77777777" w:rsidR="002C0FD9" w:rsidRPr="00CA25CF" w:rsidRDefault="002C0FD9" w:rsidP="00CA25CF">
            <w:pPr>
              <w:rPr>
                <w:rFonts w:cs="Arial"/>
                <w:color w:val="FF0000"/>
                <w:sz w:val="21"/>
                <w:szCs w:val="21"/>
              </w:rPr>
            </w:pPr>
          </w:p>
        </w:tc>
        <w:tc>
          <w:tcPr>
            <w:tcW w:w="217" w:type="dxa"/>
          </w:tcPr>
          <w:p w14:paraId="16FBBCEF" w14:textId="77777777" w:rsidR="002C0FD9" w:rsidRPr="00CA25CF" w:rsidRDefault="002C0FD9" w:rsidP="00CA25CF">
            <w:pPr>
              <w:rPr>
                <w:rFonts w:cs="Arial"/>
                <w:color w:val="FF0000"/>
                <w:sz w:val="21"/>
                <w:szCs w:val="21"/>
              </w:rPr>
            </w:pPr>
          </w:p>
        </w:tc>
        <w:tc>
          <w:tcPr>
            <w:tcW w:w="217" w:type="dxa"/>
          </w:tcPr>
          <w:p w14:paraId="528BEB6C" w14:textId="77777777" w:rsidR="002C0FD9" w:rsidRPr="00CA25CF" w:rsidRDefault="002C0FD9" w:rsidP="00CA25CF">
            <w:pPr>
              <w:rPr>
                <w:rFonts w:cs="Arial"/>
                <w:color w:val="FF0000"/>
                <w:sz w:val="21"/>
                <w:szCs w:val="21"/>
              </w:rPr>
            </w:pPr>
          </w:p>
        </w:tc>
        <w:tc>
          <w:tcPr>
            <w:tcW w:w="217" w:type="dxa"/>
          </w:tcPr>
          <w:p w14:paraId="5CD37CD4" w14:textId="77777777" w:rsidR="002C0FD9" w:rsidRPr="00CA25CF" w:rsidRDefault="002C0FD9" w:rsidP="00CA25CF">
            <w:pPr>
              <w:rPr>
                <w:rFonts w:cs="Arial"/>
                <w:color w:val="FF0000"/>
                <w:sz w:val="21"/>
                <w:szCs w:val="21"/>
              </w:rPr>
            </w:pPr>
          </w:p>
        </w:tc>
        <w:tc>
          <w:tcPr>
            <w:tcW w:w="217" w:type="dxa"/>
          </w:tcPr>
          <w:p w14:paraId="3868AEC0" w14:textId="77777777" w:rsidR="002C0FD9" w:rsidRPr="00CA25CF" w:rsidRDefault="002C0FD9" w:rsidP="00CA25CF">
            <w:pPr>
              <w:rPr>
                <w:rFonts w:cs="Arial"/>
                <w:color w:val="FF0000"/>
                <w:sz w:val="21"/>
                <w:szCs w:val="21"/>
              </w:rPr>
            </w:pPr>
          </w:p>
        </w:tc>
        <w:tc>
          <w:tcPr>
            <w:tcW w:w="217" w:type="dxa"/>
          </w:tcPr>
          <w:p w14:paraId="2304DE82" w14:textId="77777777" w:rsidR="002C0FD9" w:rsidRPr="00CA25CF" w:rsidRDefault="002C0FD9" w:rsidP="00CA25CF">
            <w:pPr>
              <w:rPr>
                <w:rFonts w:cs="Arial"/>
                <w:color w:val="FF0000"/>
                <w:sz w:val="21"/>
                <w:szCs w:val="21"/>
              </w:rPr>
            </w:pPr>
          </w:p>
        </w:tc>
        <w:tc>
          <w:tcPr>
            <w:tcW w:w="217" w:type="dxa"/>
          </w:tcPr>
          <w:p w14:paraId="0CD8E424" w14:textId="77777777" w:rsidR="002C0FD9" w:rsidRPr="00CA25CF" w:rsidRDefault="002C0FD9" w:rsidP="00CA25CF">
            <w:pPr>
              <w:rPr>
                <w:rFonts w:cs="Arial"/>
                <w:color w:val="FF0000"/>
                <w:sz w:val="21"/>
                <w:szCs w:val="21"/>
              </w:rPr>
            </w:pPr>
          </w:p>
        </w:tc>
        <w:tc>
          <w:tcPr>
            <w:tcW w:w="217" w:type="dxa"/>
          </w:tcPr>
          <w:p w14:paraId="77B4F46B" w14:textId="77777777" w:rsidR="002C0FD9" w:rsidRPr="00CA25CF" w:rsidRDefault="002C0FD9" w:rsidP="00CA25CF">
            <w:pPr>
              <w:rPr>
                <w:rFonts w:cs="Arial"/>
                <w:color w:val="FF0000"/>
                <w:sz w:val="21"/>
                <w:szCs w:val="21"/>
              </w:rPr>
            </w:pPr>
          </w:p>
        </w:tc>
        <w:tc>
          <w:tcPr>
            <w:tcW w:w="217" w:type="dxa"/>
          </w:tcPr>
          <w:p w14:paraId="7411A7AD" w14:textId="77777777" w:rsidR="002C0FD9" w:rsidRPr="00CA25CF" w:rsidRDefault="002C0FD9" w:rsidP="00CA25CF">
            <w:pPr>
              <w:rPr>
                <w:rFonts w:cs="Arial"/>
                <w:color w:val="FF0000"/>
                <w:sz w:val="21"/>
                <w:szCs w:val="21"/>
              </w:rPr>
            </w:pPr>
          </w:p>
        </w:tc>
        <w:tc>
          <w:tcPr>
            <w:tcW w:w="217" w:type="dxa"/>
          </w:tcPr>
          <w:p w14:paraId="645A8CF5" w14:textId="77777777" w:rsidR="002C0FD9" w:rsidRPr="00CA25CF" w:rsidRDefault="002C0FD9" w:rsidP="00CA25CF">
            <w:pPr>
              <w:rPr>
                <w:rFonts w:cs="Arial"/>
                <w:color w:val="FF0000"/>
                <w:sz w:val="21"/>
                <w:szCs w:val="21"/>
              </w:rPr>
            </w:pPr>
          </w:p>
        </w:tc>
        <w:tc>
          <w:tcPr>
            <w:tcW w:w="217" w:type="dxa"/>
          </w:tcPr>
          <w:p w14:paraId="00DE8F9D" w14:textId="77777777" w:rsidR="002C0FD9" w:rsidRPr="00CA25CF" w:rsidRDefault="002C0FD9" w:rsidP="00CA25CF">
            <w:pPr>
              <w:rPr>
                <w:rFonts w:cs="Arial"/>
                <w:color w:val="FF0000"/>
                <w:sz w:val="21"/>
                <w:szCs w:val="21"/>
              </w:rPr>
            </w:pPr>
          </w:p>
        </w:tc>
        <w:tc>
          <w:tcPr>
            <w:tcW w:w="217" w:type="dxa"/>
          </w:tcPr>
          <w:p w14:paraId="75383021" w14:textId="77777777" w:rsidR="002C0FD9" w:rsidRPr="00CA25CF" w:rsidRDefault="002C0FD9" w:rsidP="00CA25CF">
            <w:pPr>
              <w:rPr>
                <w:rFonts w:cs="Arial"/>
                <w:color w:val="FF0000"/>
                <w:sz w:val="21"/>
                <w:szCs w:val="21"/>
              </w:rPr>
            </w:pPr>
          </w:p>
        </w:tc>
        <w:tc>
          <w:tcPr>
            <w:tcW w:w="217" w:type="dxa"/>
          </w:tcPr>
          <w:p w14:paraId="079B67BD" w14:textId="77777777" w:rsidR="002C0FD9" w:rsidRPr="00CA25CF" w:rsidRDefault="002C0FD9" w:rsidP="00CA25CF">
            <w:pPr>
              <w:rPr>
                <w:rFonts w:cs="Arial"/>
                <w:color w:val="FF0000"/>
                <w:sz w:val="21"/>
                <w:szCs w:val="21"/>
              </w:rPr>
            </w:pPr>
          </w:p>
        </w:tc>
        <w:tc>
          <w:tcPr>
            <w:tcW w:w="217" w:type="dxa"/>
          </w:tcPr>
          <w:p w14:paraId="6FE7855D" w14:textId="77777777" w:rsidR="002C0FD9" w:rsidRPr="00CA25CF" w:rsidRDefault="002C0FD9" w:rsidP="00CA25CF">
            <w:pPr>
              <w:rPr>
                <w:rFonts w:cs="Arial"/>
                <w:color w:val="FF0000"/>
                <w:sz w:val="21"/>
                <w:szCs w:val="21"/>
              </w:rPr>
            </w:pPr>
          </w:p>
        </w:tc>
        <w:tc>
          <w:tcPr>
            <w:tcW w:w="217" w:type="dxa"/>
          </w:tcPr>
          <w:p w14:paraId="1FF43A79" w14:textId="77777777" w:rsidR="002C0FD9" w:rsidRPr="00CA25CF" w:rsidRDefault="002C0FD9" w:rsidP="00CA25CF">
            <w:pPr>
              <w:rPr>
                <w:rFonts w:cs="Arial"/>
                <w:color w:val="FF0000"/>
                <w:sz w:val="21"/>
                <w:szCs w:val="21"/>
              </w:rPr>
            </w:pPr>
          </w:p>
        </w:tc>
        <w:tc>
          <w:tcPr>
            <w:tcW w:w="217" w:type="dxa"/>
          </w:tcPr>
          <w:p w14:paraId="7773E6D5" w14:textId="77777777" w:rsidR="002C0FD9" w:rsidRPr="00CA25CF" w:rsidRDefault="002C0FD9" w:rsidP="00CA25CF">
            <w:pPr>
              <w:rPr>
                <w:rFonts w:cs="Arial"/>
                <w:color w:val="FF0000"/>
                <w:sz w:val="21"/>
                <w:szCs w:val="21"/>
              </w:rPr>
            </w:pPr>
          </w:p>
        </w:tc>
        <w:tc>
          <w:tcPr>
            <w:tcW w:w="217" w:type="dxa"/>
          </w:tcPr>
          <w:p w14:paraId="346B6008" w14:textId="77777777" w:rsidR="002C0FD9" w:rsidRPr="00CA25CF" w:rsidRDefault="002C0FD9" w:rsidP="00CA25CF">
            <w:pPr>
              <w:rPr>
                <w:rFonts w:cs="Arial"/>
                <w:color w:val="FF0000"/>
                <w:sz w:val="21"/>
                <w:szCs w:val="21"/>
              </w:rPr>
            </w:pPr>
          </w:p>
        </w:tc>
        <w:tc>
          <w:tcPr>
            <w:tcW w:w="217" w:type="dxa"/>
          </w:tcPr>
          <w:p w14:paraId="164FE6E7" w14:textId="77777777" w:rsidR="002C0FD9" w:rsidRPr="00CA25CF" w:rsidRDefault="002C0FD9" w:rsidP="00CA25CF">
            <w:pPr>
              <w:rPr>
                <w:rFonts w:cs="Arial"/>
                <w:color w:val="FF0000"/>
                <w:sz w:val="21"/>
                <w:szCs w:val="21"/>
              </w:rPr>
            </w:pPr>
          </w:p>
        </w:tc>
        <w:tc>
          <w:tcPr>
            <w:tcW w:w="217" w:type="dxa"/>
          </w:tcPr>
          <w:p w14:paraId="1259F726" w14:textId="77777777" w:rsidR="002C0FD9" w:rsidRPr="00CA25CF" w:rsidRDefault="002C0FD9" w:rsidP="00CA25CF">
            <w:pPr>
              <w:rPr>
                <w:rFonts w:cs="Arial"/>
                <w:color w:val="FF0000"/>
                <w:sz w:val="21"/>
                <w:szCs w:val="21"/>
              </w:rPr>
            </w:pPr>
          </w:p>
        </w:tc>
        <w:tc>
          <w:tcPr>
            <w:tcW w:w="217" w:type="dxa"/>
          </w:tcPr>
          <w:p w14:paraId="206B2E5F" w14:textId="77777777" w:rsidR="002C0FD9" w:rsidRPr="00CA25CF" w:rsidRDefault="002C0FD9" w:rsidP="00CA25CF">
            <w:pPr>
              <w:rPr>
                <w:rFonts w:cs="Arial"/>
                <w:color w:val="FF0000"/>
                <w:sz w:val="21"/>
                <w:szCs w:val="21"/>
              </w:rPr>
            </w:pPr>
          </w:p>
        </w:tc>
        <w:tc>
          <w:tcPr>
            <w:tcW w:w="217" w:type="dxa"/>
          </w:tcPr>
          <w:p w14:paraId="4ADEA384" w14:textId="77777777" w:rsidR="002C0FD9" w:rsidRPr="00CA25CF" w:rsidRDefault="002C0FD9" w:rsidP="00CA25CF">
            <w:pPr>
              <w:rPr>
                <w:rFonts w:cs="Arial"/>
                <w:color w:val="FF0000"/>
                <w:sz w:val="21"/>
                <w:szCs w:val="21"/>
              </w:rPr>
            </w:pPr>
          </w:p>
        </w:tc>
        <w:tc>
          <w:tcPr>
            <w:tcW w:w="217" w:type="dxa"/>
          </w:tcPr>
          <w:p w14:paraId="5A33D0D9" w14:textId="77777777" w:rsidR="002C0FD9" w:rsidRPr="00CA25CF" w:rsidRDefault="002C0FD9" w:rsidP="00CA25CF">
            <w:pPr>
              <w:rPr>
                <w:rFonts w:cs="Arial"/>
                <w:color w:val="FF0000"/>
                <w:sz w:val="21"/>
                <w:szCs w:val="21"/>
              </w:rPr>
            </w:pPr>
          </w:p>
        </w:tc>
        <w:tc>
          <w:tcPr>
            <w:tcW w:w="217" w:type="dxa"/>
          </w:tcPr>
          <w:p w14:paraId="10E00321" w14:textId="77777777" w:rsidR="002C0FD9" w:rsidRPr="00CA25CF" w:rsidRDefault="002C0FD9" w:rsidP="00CA25CF">
            <w:pPr>
              <w:rPr>
                <w:rFonts w:cs="Arial"/>
                <w:color w:val="FF0000"/>
                <w:sz w:val="21"/>
                <w:szCs w:val="21"/>
              </w:rPr>
            </w:pPr>
          </w:p>
        </w:tc>
        <w:tc>
          <w:tcPr>
            <w:tcW w:w="217" w:type="dxa"/>
          </w:tcPr>
          <w:p w14:paraId="7CE4CAD9" w14:textId="77777777" w:rsidR="002C0FD9" w:rsidRPr="00CA25CF" w:rsidRDefault="002C0FD9" w:rsidP="00CA25CF">
            <w:pPr>
              <w:rPr>
                <w:rFonts w:cs="Arial"/>
                <w:color w:val="FF0000"/>
                <w:sz w:val="21"/>
                <w:szCs w:val="21"/>
              </w:rPr>
            </w:pPr>
          </w:p>
        </w:tc>
        <w:tc>
          <w:tcPr>
            <w:tcW w:w="217" w:type="dxa"/>
          </w:tcPr>
          <w:p w14:paraId="7046DA12" w14:textId="77777777" w:rsidR="002C0FD9" w:rsidRPr="00CA25CF" w:rsidRDefault="002C0FD9" w:rsidP="00CA25CF">
            <w:pPr>
              <w:rPr>
                <w:rFonts w:cs="Arial"/>
                <w:color w:val="FF0000"/>
                <w:sz w:val="21"/>
                <w:szCs w:val="21"/>
              </w:rPr>
            </w:pPr>
          </w:p>
        </w:tc>
        <w:tc>
          <w:tcPr>
            <w:tcW w:w="217" w:type="dxa"/>
          </w:tcPr>
          <w:p w14:paraId="6928CC50" w14:textId="77777777" w:rsidR="002C0FD9" w:rsidRPr="00CA25CF" w:rsidRDefault="002C0FD9" w:rsidP="00CA25CF">
            <w:pPr>
              <w:rPr>
                <w:rFonts w:cs="Arial"/>
                <w:color w:val="FF0000"/>
                <w:sz w:val="21"/>
                <w:szCs w:val="21"/>
              </w:rPr>
            </w:pPr>
          </w:p>
        </w:tc>
        <w:tc>
          <w:tcPr>
            <w:tcW w:w="217" w:type="dxa"/>
          </w:tcPr>
          <w:p w14:paraId="5D3308EE" w14:textId="77777777" w:rsidR="002C0FD9" w:rsidRPr="00CA25CF" w:rsidRDefault="002C0FD9" w:rsidP="00CA25CF">
            <w:pPr>
              <w:rPr>
                <w:rFonts w:cs="Arial"/>
                <w:color w:val="FF0000"/>
                <w:sz w:val="21"/>
                <w:szCs w:val="21"/>
              </w:rPr>
            </w:pPr>
          </w:p>
        </w:tc>
        <w:tc>
          <w:tcPr>
            <w:tcW w:w="217" w:type="dxa"/>
          </w:tcPr>
          <w:p w14:paraId="09EA7392" w14:textId="77777777" w:rsidR="002C0FD9" w:rsidRPr="00CA25CF" w:rsidRDefault="002C0FD9" w:rsidP="00CA25CF">
            <w:pPr>
              <w:rPr>
                <w:rFonts w:cs="Arial"/>
                <w:color w:val="FF0000"/>
                <w:sz w:val="21"/>
                <w:szCs w:val="21"/>
              </w:rPr>
            </w:pPr>
          </w:p>
        </w:tc>
        <w:tc>
          <w:tcPr>
            <w:tcW w:w="217" w:type="dxa"/>
          </w:tcPr>
          <w:p w14:paraId="02606B1B" w14:textId="77777777" w:rsidR="002C0FD9" w:rsidRPr="00CA25CF" w:rsidRDefault="002C0FD9" w:rsidP="00CA25CF">
            <w:pPr>
              <w:rPr>
                <w:rFonts w:cs="Arial"/>
                <w:color w:val="FF0000"/>
                <w:sz w:val="21"/>
                <w:szCs w:val="21"/>
              </w:rPr>
            </w:pPr>
          </w:p>
        </w:tc>
        <w:tc>
          <w:tcPr>
            <w:tcW w:w="217" w:type="dxa"/>
          </w:tcPr>
          <w:p w14:paraId="47F98DBA" w14:textId="77777777" w:rsidR="002C0FD9" w:rsidRPr="00CA25CF" w:rsidRDefault="002C0FD9" w:rsidP="00CA25CF">
            <w:pPr>
              <w:rPr>
                <w:rFonts w:cs="Arial"/>
                <w:color w:val="FF0000"/>
                <w:sz w:val="21"/>
                <w:szCs w:val="21"/>
              </w:rPr>
            </w:pPr>
          </w:p>
        </w:tc>
        <w:tc>
          <w:tcPr>
            <w:tcW w:w="217" w:type="dxa"/>
          </w:tcPr>
          <w:p w14:paraId="4BBEE4C6" w14:textId="77777777" w:rsidR="002C0FD9" w:rsidRPr="00CA25CF" w:rsidRDefault="002C0FD9" w:rsidP="00CA25CF">
            <w:pPr>
              <w:rPr>
                <w:rFonts w:cs="Arial"/>
                <w:color w:val="FF0000"/>
                <w:sz w:val="21"/>
                <w:szCs w:val="21"/>
              </w:rPr>
            </w:pPr>
          </w:p>
        </w:tc>
        <w:tc>
          <w:tcPr>
            <w:tcW w:w="217" w:type="dxa"/>
          </w:tcPr>
          <w:p w14:paraId="755B665B" w14:textId="77777777" w:rsidR="002C0FD9" w:rsidRPr="00CA25CF" w:rsidRDefault="002C0FD9" w:rsidP="00CA25CF">
            <w:pPr>
              <w:rPr>
                <w:rFonts w:cs="Arial"/>
                <w:color w:val="FF0000"/>
                <w:sz w:val="21"/>
                <w:szCs w:val="21"/>
              </w:rPr>
            </w:pPr>
          </w:p>
        </w:tc>
        <w:tc>
          <w:tcPr>
            <w:tcW w:w="217" w:type="dxa"/>
          </w:tcPr>
          <w:p w14:paraId="4E729683" w14:textId="77777777" w:rsidR="002C0FD9" w:rsidRPr="00CA25CF" w:rsidRDefault="002C0FD9" w:rsidP="00CA25CF">
            <w:pPr>
              <w:rPr>
                <w:rFonts w:cs="Arial"/>
                <w:color w:val="FF0000"/>
                <w:sz w:val="21"/>
                <w:szCs w:val="21"/>
              </w:rPr>
            </w:pPr>
          </w:p>
        </w:tc>
        <w:tc>
          <w:tcPr>
            <w:tcW w:w="217" w:type="dxa"/>
          </w:tcPr>
          <w:p w14:paraId="1D04F72F" w14:textId="77777777" w:rsidR="002C0FD9" w:rsidRPr="00CA25CF" w:rsidRDefault="002C0FD9" w:rsidP="00CA25CF">
            <w:pPr>
              <w:rPr>
                <w:rFonts w:cs="Arial"/>
                <w:color w:val="FF0000"/>
                <w:sz w:val="21"/>
                <w:szCs w:val="21"/>
              </w:rPr>
            </w:pPr>
          </w:p>
        </w:tc>
        <w:tc>
          <w:tcPr>
            <w:tcW w:w="217" w:type="dxa"/>
          </w:tcPr>
          <w:p w14:paraId="628B8683" w14:textId="77777777" w:rsidR="002C0FD9" w:rsidRPr="00CA25CF" w:rsidRDefault="002C0FD9" w:rsidP="00CA25CF">
            <w:pPr>
              <w:rPr>
                <w:rFonts w:cs="Arial"/>
                <w:color w:val="FF0000"/>
                <w:sz w:val="21"/>
                <w:szCs w:val="21"/>
              </w:rPr>
            </w:pPr>
          </w:p>
        </w:tc>
      </w:tr>
      <w:tr w:rsidR="002C0FD9" w:rsidRPr="00A16219" w14:paraId="4DA245B5" w14:textId="77777777" w:rsidTr="002C0FD9">
        <w:trPr>
          <w:trHeight w:val="635"/>
        </w:trPr>
        <w:tc>
          <w:tcPr>
            <w:tcW w:w="515" w:type="dxa"/>
          </w:tcPr>
          <w:p w14:paraId="24DCA4AB" w14:textId="77777777" w:rsidR="002C0FD9" w:rsidRPr="00CA25CF" w:rsidRDefault="002C0FD9" w:rsidP="00CA25CF">
            <w:pPr>
              <w:rPr>
                <w:rFonts w:cs="Arial"/>
                <w:color w:val="FF0000"/>
                <w:sz w:val="21"/>
                <w:szCs w:val="21"/>
              </w:rPr>
            </w:pPr>
          </w:p>
        </w:tc>
        <w:tc>
          <w:tcPr>
            <w:tcW w:w="217" w:type="dxa"/>
          </w:tcPr>
          <w:p w14:paraId="3FA5F66F" w14:textId="77777777" w:rsidR="002C0FD9" w:rsidRPr="00CA25CF" w:rsidRDefault="002C0FD9" w:rsidP="00CA25CF">
            <w:pPr>
              <w:rPr>
                <w:rFonts w:cs="Arial"/>
                <w:color w:val="FF0000"/>
                <w:sz w:val="21"/>
                <w:szCs w:val="21"/>
              </w:rPr>
            </w:pPr>
          </w:p>
        </w:tc>
        <w:tc>
          <w:tcPr>
            <w:tcW w:w="217" w:type="dxa"/>
          </w:tcPr>
          <w:p w14:paraId="5CEBD0A5" w14:textId="77777777" w:rsidR="002C0FD9" w:rsidRPr="00CA25CF" w:rsidRDefault="002C0FD9" w:rsidP="00CA25CF">
            <w:pPr>
              <w:rPr>
                <w:rFonts w:cs="Arial"/>
                <w:color w:val="FF0000"/>
                <w:sz w:val="21"/>
                <w:szCs w:val="21"/>
              </w:rPr>
            </w:pPr>
          </w:p>
        </w:tc>
        <w:tc>
          <w:tcPr>
            <w:tcW w:w="217" w:type="dxa"/>
          </w:tcPr>
          <w:p w14:paraId="5DB03F5A" w14:textId="77777777" w:rsidR="002C0FD9" w:rsidRPr="00CA25CF" w:rsidRDefault="002C0FD9" w:rsidP="00CA25CF">
            <w:pPr>
              <w:rPr>
                <w:rFonts w:cs="Arial"/>
                <w:color w:val="FF0000"/>
                <w:sz w:val="21"/>
                <w:szCs w:val="21"/>
              </w:rPr>
            </w:pPr>
          </w:p>
        </w:tc>
        <w:tc>
          <w:tcPr>
            <w:tcW w:w="217" w:type="dxa"/>
          </w:tcPr>
          <w:p w14:paraId="4D7B51BC" w14:textId="77777777" w:rsidR="002C0FD9" w:rsidRPr="00CA25CF" w:rsidRDefault="002C0FD9" w:rsidP="00CA25CF">
            <w:pPr>
              <w:rPr>
                <w:rFonts w:cs="Arial"/>
                <w:color w:val="FF0000"/>
                <w:sz w:val="21"/>
                <w:szCs w:val="21"/>
              </w:rPr>
            </w:pPr>
          </w:p>
        </w:tc>
        <w:tc>
          <w:tcPr>
            <w:tcW w:w="217" w:type="dxa"/>
          </w:tcPr>
          <w:p w14:paraId="0EFB84AC" w14:textId="77777777" w:rsidR="002C0FD9" w:rsidRPr="00CA25CF" w:rsidRDefault="002C0FD9" w:rsidP="00CA25CF">
            <w:pPr>
              <w:rPr>
                <w:rFonts w:cs="Arial"/>
                <w:color w:val="FF0000"/>
                <w:sz w:val="21"/>
                <w:szCs w:val="21"/>
              </w:rPr>
            </w:pPr>
          </w:p>
        </w:tc>
        <w:tc>
          <w:tcPr>
            <w:tcW w:w="217" w:type="dxa"/>
          </w:tcPr>
          <w:p w14:paraId="621D791F" w14:textId="77777777" w:rsidR="002C0FD9" w:rsidRPr="00CA25CF" w:rsidRDefault="002C0FD9" w:rsidP="00CA25CF">
            <w:pPr>
              <w:rPr>
                <w:rFonts w:cs="Arial"/>
                <w:color w:val="FF0000"/>
                <w:sz w:val="21"/>
                <w:szCs w:val="21"/>
              </w:rPr>
            </w:pPr>
          </w:p>
        </w:tc>
        <w:tc>
          <w:tcPr>
            <w:tcW w:w="217" w:type="dxa"/>
          </w:tcPr>
          <w:p w14:paraId="1FBC94C6" w14:textId="77777777" w:rsidR="002C0FD9" w:rsidRPr="00CA25CF" w:rsidRDefault="002C0FD9" w:rsidP="00CA25CF">
            <w:pPr>
              <w:rPr>
                <w:rFonts w:cs="Arial"/>
                <w:color w:val="FF0000"/>
                <w:sz w:val="21"/>
                <w:szCs w:val="21"/>
              </w:rPr>
            </w:pPr>
          </w:p>
        </w:tc>
        <w:tc>
          <w:tcPr>
            <w:tcW w:w="217" w:type="dxa"/>
          </w:tcPr>
          <w:p w14:paraId="20A422BC" w14:textId="77777777" w:rsidR="002C0FD9" w:rsidRPr="00CA25CF" w:rsidRDefault="002C0FD9" w:rsidP="00CA25CF">
            <w:pPr>
              <w:rPr>
                <w:rFonts w:cs="Arial"/>
                <w:color w:val="FF0000"/>
                <w:sz w:val="21"/>
                <w:szCs w:val="21"/>
              </w:rPr>
            </w:pPr>
          </w:p>
        </w:tc>
        <w:tc>
          <w:tcPr>
            <w:tcW w:w="217" w:type="dxa"/>
          </w:tcPr>
          <w:p w14:paraId="53D53F9E" w14:textId="77777777" w:rsidR="002C0FD9" w:rsidRPr="00CA25CF" w:rsidRDefault="002C0FD9" w:rsidP="00CA25CF">
            <w:pPr>
              <w:rPr>
                <w:rFonts w:cs="Arial"/>
                <w:color w:val="FF0000"/>
                <w:sz w:val="21"/>
                <w:szCs w:val="21"/>
              </w:rPr>
            </w:pPr>
          </w:p>
        </w:tc>
        <w:tc>
          <w:tcPr>
            <w:tcW w:w="217" w:type="dxa"/>
          </w:tcPr>
          <w:p w14:paraId="36F66884" w14:textId="77777777" w:rsidR="002C0FD9" w:rsidRPr="00CA25CF" w:rsidRDefault="002C0FD9" w:rsidP="00CA25CF">
            <w:pPr>
              <w:rPr>
                <w:rFonts w:cs="Arial"/>
                <w:color w:val="FF0000"/>
                <w:sz w:val="21"/>
                <w:szCs w:val="21"/>
              </w:rPr>
            </w:pPr>
          </w:p>
        </w:tc>
        <w:tc>
          <w:tcPr>
            <w:tcW w:w="217" w:type="dxa"/>
          </w:tcPr>
          <w:p w14:paraId="26145ACF" w14:textId="77777777" w:rsidR="002C0FD9" w:rsidRPr="00CA25CF" w:rsidRDefault="002C0FD9" w:rsidP="00CA25CF">
            <w:pPr>
              <w:rPr>
                <w:rFonts w:cs="Arial"/>
                <w:color w:val="FF0000"/>
                <w:sz w:val="21"/>
                <w:szCs w:val="21"/>
              </w:rPr>
            </w:pPr>
          </w:p>
        </w:tc>
        <w:tc>
          <w:tcPr>
            <w:tcW w:w="217" w:type="dxa"/>
          </w:tcPr>
          <w:p w14:paraId="75EC7C48" w14:textId="77777777" w:rsidR="002C0FD9" w:rsidRPr="00CA25CF" w:rsidRDefault="002C0FD9" w:rsidP="00CA25CF">
            <w:pPr>
              <w:rPr>
                <w:rFonts w:cs="Arial"/>
                <w:color w:val="FF0000"/>
                <w:sz w:val="21"/>
                <w:szCs w:val="21"/>
              </w:rPr>
            </w:pPr>
          </w:p>
        </w:tc>
        <w:tc>
          <w:tcPr>
            <w:tcW w:w="217" w:type="dxa"/>
          </w:tcPr>
          <w:p w14:paraId="0C68C222" w14:textId="77777777" w:rsidR="002C0FD9" w:rsidRPr="00CA25CF" w:rsidRDefault="002C0FD9" w:rsidP="00CA25CF">
            <w:pPr>
              <w:rPr>
                <w:rFonts w:cs="Arial"/>
                <w:color w:val="FF0000"/>
                <w:sz w:val="21"/>
                <w:szCs w:val="21"/>
              </w:rPr>
            </w:pPr>
          </w:p>
        </w:tc>
        <w:tc>
          <w:tcPr>
            <w:tcW w:w="217" w:type="dxa"/>
          </w:tcPr>
          <w:p w14:paraId="29EC3C17" w14:textId="77777777" w:rsidR="002C0FD9" w:rsidRPr="00CA25CF" w:rsidRDefault="002C0FD9" w:rsidP="00CA25CF">
            <w:pPr>
              <w:rPr>
                <w:rFonts w:cs="Arial"/>
                <w:color w:val="FF0000"/>
                <w:sz w:val="21"/>
                <w:szCs w:val="21"/>
              </w:rPr>
            </w:pPr>
          </w:p>
        </w:tc>
        <w:tc>
          <w:tcPr>
            <w:tcW w:w="217" w:type="dxa"/>
          </w:tcPr>
          <w:p w14:paraId="66C9F87F" w14:textId="77777777" w:rsidR="002C0FD9" w:rsidRPr="00CA25CF" w:rsidRDefault="002C0FD9" w:rsidP="00CA25CF">
            <w:pPr>
              <w:rPr>
                <w:rFonts w:cs="Arial"/>
                <w:color w:val="FF0000"/>
                <w:sz w:val="21"/>
                <w:szCs w:val="21"/>
              </w:rPr>
            </w:pPr>
          </w:p>
        </w:tc>
        <w:tc>
          <w:tcPr>
            <w:tcW w:w="217" w:type="dxa"/>
          </w:tcPr>
          <w:p w14:paraId="6D4F1E8A" w14:textId="77777777" w:rsidR="002C0FD9" w:rsidRPr="00CA25CF" w:rsidRDefault="002C0FD9" w:rsidP="00CA25CF">
            <w:pPr>
              <w:rPr>
                <w:rFonts w:cs="Arial"/>
                <w:color w:val="FF0000"/>
                <w:sz w:val="21"/>
                <w:szCs w:val="21"/>
              </w:rPr>
            </w:pPr>
          </w:p>
        </w:tc>
        <w:tc>
          <w:tcPr>
            <w:tcW w:w="217" w:type="dxa"/>
          </w:tcPr>
          <w:p w14:paraId="0F537E62" w14:textId="77777777" w:rsidR="002C0FD9" w:rsidRPr="00CA25CF" w:rsidRDefault="002C0FD9" w:rsidP="00CA25CF">
            <w:pPr>
              <w:rPr>
                <w:rFonts w:cs="Arial"/>
                <w:color w:val="FF0000"/>
                <w:sz w:val="21"/>
                <w:szCs w:val="21"/>
              </w:rPr>
            </w:pPr>
          </w:p>
        </w:tc>
        <w:tc>
          <w:tcPr>
            <w:tcW w:w="217" w:type="dxa"/>
          </w:tcPr>
          <w:p w14:paraId="11243ECF" w14:textId="77777777" w:rsidR="002C0FD9" w:rsidRPr="00CA25CF" w:rsidRDefault="002C0FD9" w:rsidP="00CA25CF">
            <w:pPr>
              <w:rPr>
                <w:rFonts w:cs="Arial"/>
                <w:color w:val="FF0000"/>
                <w:sz w:val="21"/>
                <w:szCs w:val="21"/>
              </w:rPr>
            </w:pPr>
          </w:p>
        </w:tc>
        <w:tc>
          <w:tcPr>
            <w:tcW w:w="217" w:type="dxa"/>
          </w:tcPr>
          <w:p w14:paraId="368A506F" w14:textId="77777777" w:rsidR="002C0FD9" w:rsidRPr="00CA25CF" w:rsidRDefault="002C0FD9" w:rsidP="00CA25CF">
            <w:pPr>
              <w:rPr>
                <w:rFonts w:cs="Arial"/>
                <w:color w:val="FF0000"/>
                <w:sz w:val="21"/>
                <w:szCs w:val="21"/>
              </w:rPr>
            </w:pPr>
          </w:p>
        </w:tc>
        <w:tc>
          <w:tcPr>
            <w:tcW w:w="217" w:type="dxa"/>
          </w:tcPr>
          <w:p w14:paraId="733C85DE" w14:textId="77777777" w:rsidR="002C0FD9" w:rsidRPr="00CA25CF" w:rsidRDefault="002C0FD9" w:rsidP="00CA25CF">
            <w:pPr>
              <w:rPr>
                <w:rFonts w:cs="Arial"/>
                <w:color w:val="FF0000"/>
                <w:sz w:val="21"/>
                <w:szCs w:val="21"/>
              </w:rPr>
            </w:pPr>
          </w:p>
        </w:tc>
        <w:tc>
          <w:tcPr>
            <w:tcW w:w="217" w:type="dxa"/>
          </w:tcPr>
          <w:p w14:paraId="73E883CA" w14:textId="77777777" w:rsidR="002C0FD9" w:rsidRPr="00CA25CF" w:rsidRDefault="002C0FD9" w:rsidP="00CA25CF">
            <w:pPr>
              <w:rPr>
                <w:rFonts w:cs="Arial"/>
                <w:color w:val="FF0000"/>
                <w:sz w:val="21"/>
                <w:szCs w:val="21"/>
              </w:rPr>
            </w:pPr>
          </w:p>
        </w:tc>
        <w:tc>
          <w:tcPr>
            <w:tcW w:w="217" w:type="dxa"/>
          </w:tcPr>
          <w:p w14:paraId="3A14DD09" w14:textId="77777777" w:rsidR="002C0FD9" w:rsidRPr="00CA25CF" w:rsidRDefault="002C0FD9" w:rsidP="00CA25CF">
            <w:pPr>
              <w:rPr>
                <w:rFonts w:cs="Arial"/>
                <w:color w:val="FF0000"/>
                <w:sz w:val="21"/>
                <w:szCs w:val="21"/>
              </w:rPr>
            </w:pPr>
          </w:p>
        </w:tc>
        <w:tc>
          <w:tcPr>
            <w:tcW w:w="217" w:type="dxa"/>
          </w:tcPr>
          <w:p w14:paraId="4D707776" w14:textId="77777777" w:rsidR="002C0FD9" w:rsidRPr="00CA25CF" w:rsidRDefault="002C0FD9" w:rsidP="00CA25CF">
            <w:pPr>
              <w:rPr>
                <w:rFonts w:cs="Arial"/>
                <w:color w:val="FF0000"/>
                <w:sz w:val="21"/>
                <w:szCs w:val="21"/>
              </w:rPr>
            </w:pPr>
          </w:p>
        </w:tc>
        <w:tc>
          <w:tcPr>
            <w:tcW w:w="217" w:type="dxa"/>
          </w:tcPr>
          <w:p w14:paraId="6EA3D7DC" w14:textId="77777777" w:rsidR="002C0FD9" w:rsidRPr="00CA25CF" w:rsidRDefault="002C0FD9" w:rsidP="00CA25CF">
            <w:pPr>
              <w:rPr>
                <w:rFonts w:cs="Arial"/>
                <w:color w:val="FF0000"/>
                <w:sz w:val="21"/>
                <w:szCs w:val="21"/>
              </w:rPr>
            </w:pPr>
          </w:p>
        </w:tc>
        <w:tc>
          <w:tcPr>
            <w:tcW w:w="217" w:type="dxa"/>
          </w:tcPr>
          <w:p w14:paraId="1E9D05A4" w14:textId="77777777" w:rsidR="002C0FD9" w:rsidRPr="00CA25CF" w:rsidRDefault="002C0FD9" w:rsidP="00CA25CF">
            <w:pPr>
              <w:rPr>
                <w:rFonts w:cs="Arial"/>
                <w:color w:val="FF0000"/>
                <w:sz w:val="21"/>
                <w:szCs w:val="21"/>
              </w:rPr>
            </w:pPr>
          </w:p>
        </w:tc>
        <w:tc>
          <w:tcPr>
            <w:tcW w:w="217" w:type="dxa"/>
          </w:tcPr>
          <w:p w14:paraId="08EE1BA7" w14:textId="77777777" w:rsidR="002C0FD9" w:rsidRPr="00CA25CF" w:rsidRDefault="002C0FD9" w:rsidP="00CA25CF">
            <w:pPr>
              <w:rPr>
                <w:rFonts w:cs="Arial"/>
                <w:color w:val="FF0000"/>
                <w:sz w:val="21"/>
                <w:szCs w:val="21"/>
              </w:rPr>
            </w:pPr>
          </w:p>
        </w:tc>
        <w:tc>
          <w:tcPr>
            <w:tcW w:w="217" w:type="dxa"/>
          </w:tcPr>
          <w:p w14:paraId="31A79C8D" w14:textId="77777777" w:rsidR="002C0FD9" w:rsidRPr="00CA25CF" w:rsidRDefault="002C0FD9" w:rsidP="00CA25CF">
            <w:pPr>
              <w:rPr>
                <w:rFonts w:cs="Arial"/>
                <w:color w:val="FF0000"/>
                <w:sz w:val="21"/>
                <w:szCs w:val="21"/>
              </w:rPr>
            </w:pPr>
          </w:p>
        </w:tc>
        <w:tc>
          <w:tcPr>
            <w:tcW w:w="217" w:type="dxa"/>
          </w:tcPr>
          <w:p w14:paraId="062DA09F" w14:textId="77777777" w:rsidR="002C0FD9" w:rsidRPr="00CA25CF" w:rsidRDefault="002C0FD9" w:rsidP="00CA25CF">
            <w:pPr>
              <w:rPr>
                <w:rFonts w:cs="Arial"/>
                <w:color w:val="FF0000"/>
                <w:sz w:val="21"/>
                <w:szCs w:val="21"/>
              </w:rPr>
            </w:pPr>
          </w:p>
        </w:tc>
        <w:tc>
          <w:tcPr>
            <w:tcW w:w="217" w:type="dxa"/>
          </w:tcPr>
          <w:p w14:paraId="1F77AD9C" w14:textId="77777777" w:rsidR="002C0FD9" w:rsidRPr="00CA25CF" w:rsidRDefault="002C0FD9" w:rsidP="00CA25CF">
            <w:pPr>
              <w:rPr>
                <w:rFonts w:cs="Arial"/>
                <w:color w:val="FF0000"/>
                <w:sz w:val="21"/>
                <w:szCs w:val="21"/>
              </w:rPr>
            </w:pPr>
          </w:p>
        </w:tc>
        <w:tc>
          <w:tcPr>
            <w:tcW w:w="217" w:type="dxa"/>
          </w:tcPr>
          <w:p w14:paraId="4D4BF5D7" w14:textId="77777777" w:rsidR="002C0FD9" w:rsidRPr="00CA25CF" w:rsidRDefault="002C0FD9" w:rsidP="00CA25CF">
            <w:pPr>
              <w:rPr>
                <w:rFonts w:cs="Arial"/>
                <w:color w:val="FF0000"/>
                <w:sz w:val="21"/>
                <w:szCs w:val="21"/>
              </w:rPr>
            </w:pPr>
          </w:p>
        </w:tc>
        <w:tc>
          <w:tcPr>
            <w:tcW w:w="217" w:type="dxa"/>
          </w:tcPr>
          <w:p w14:paraId="76230D79" w14:textId="77777777" w:rsidR="002C0FD9" w:rsidRPr="00CA25CF" w:rsidRDefault="002C0FD9" w:rsidP="00CA25CF">
            <w:pPr>
              <w:rPr>
                <w:rFonts w:cs="Arial"/>
                <w:color w:val="FF0000"/>
                <w:sz w:val="21"/>
                <w:szCs w:val="21"/>
              </w:rPr>
            </w:pPr>
          </w:p>
        </w:tc>
        <w:tc>
          <w:tcPr>
            <w:tcW w:w="217" w:type="dxa"/>
          </w:tcPr>
          <w:p w14:paraId="39C8C907" w14:textId="77777777" w:rsidR="002C0FD9" w:rsidRPr="00CA25CF" w:rsidRDefault="002C0FD9" w:rsidP="00CA25CF">
            <w:pPr>
              <w:rPr>
                <w:rFonts w:cs="Arial"/>
                <w:color w:val="FF0000"/>
                <w:sz w:val="21"/>
                <w:szCs w:val="21"/>
              </w:rPr>
            </w:pPr>
          </w:p>
        </w:tc>
        <w:tc>
          <w:tcPr>
            <w:tcW w:w="217" w:type="dxa"/>
          </w:tcPr>
          <w:p w14:paraId="66D4E4F0" w14:textId="77777777" w:rsidR="002C0FD9" w:rsidRPr="00CA25CF" w:rsidRDefault="002C0FD9" w:rsidP="00CA25CF">
            <w:pPr>
              <w:rPr>
                <w:rFonts w:cs="Arial"/>
                <w:color w:val="FF0000"/>
                <w:sz w:val="21"/>
                <w:szCs w:val="21"/>
              </w:rPr>
            </w:pPr>
          </w:p>
        </w:tc>
        <w:tc>
          <w:tcPr>
            <w:tcW w:w="217" w:type="dxa"/>
          </w:tcPr>
          <w:p w14:paraId="105FAB66" w14:textId="77777777" w:rsidR="002C0FD9" w:rsidRPr="00CA25CF" w:rsidRDefault="002C0FD9" w:rsidP="00CA25CF">
            <w:pPr>
              <w:rPr>
                <w:rFonts w:cs="Arial"/>
                <w:color w:val="FF0000"/>
                <w:sz w:val="21"/>
                <w:szCs w:val="21"/>
              </w:rPr>
            </w:pPr>
          </w:p>
        </w:tc>
        <w:tc>
          <w:tcPr>
            <w:tcW w:w="217" w:type="dxa"/>
          </w:tcPr>
          <w:p w14:paraId="413F2439" w14:textId="77777777" w:rsidR="002C0FD9" w:rsidRPr="00CA25CF" w:rsidRDefault="002C0FD9" w:rsidP="00CA25CF">
            <w:pPr>
              <w:rPr>
                <w:rFonts w:cs="Arial"/>
                <w:color w:val="FF0000"/>
                <w:sz w:val="21"/>
                <w:szCs w:val="21"/>
              </w:rPr>
            </w:pPr>
          </w:p>
        </w:tc>
        <w:tc>
          <w:tcPr>
            <w:tcW w:w="217" w:type="dxa"/>
          </w:tcPr>
          <w:p w14:paraId="2E5D7314" w14:textId="77777777" w:rsidR="002C0FD9" w:rsidRPr="00CA25CF" w:rsidRDefault="002C0FD9" w:rsidP="00CA25CF">
            <w:pPr>
              <w:rPr>
                <w:rFonts w:cs="Arial"/>
                <w:color w:val="FF0000"/>
                <w:sz w:val="21"/>
                <w:szCs w:val="21"/>
              </w:rPr>
            </w:pPr>
          </w:p>
        </w:tc>
        <w:tc>
          <w:tcPr>
            <w:tcW w:w="217" w:type="dxa"/>
          </w:tcPr>
          <w:p w14:paraId="52148DF9" w14:textId="77777777" w:rsidR="002C0FD9" w:rsidRPr="00CA25CF" w:rsidRDefault="002C0FD9" w:rsidP="00CA25CF">
            <w:pPr>
              <w:rPr>
                <w:rFonts w:cs="Arial"/>
                <w:color w:val="FF0000"/>
                <w:sz w:val="21"/>
                <w:szCs w:val="21"/>
              </w:rPr>
            </w:pPr>
          </w:p>
        </w:tc>
        <w:tc>
          <w:tcPr>
            <w:tcW w:w="217" w:type="dxa"/>
          </w:tcPr>
          <w:p w14:paraId="79975CC6" w14:textId="77777777" w:rsidR="002C0FD9" w:rsidRPr="00CA25CF" w:rsidRDefault="002C0FD9" w:rsidP="00CA25CF">
            <w:pPr>
              <w:rPr>
                <w:rFonts w:cs="Arial"/>
                <w:color w:val="FF0000"/>
                <w:sz w:val="21"/>
                <w:szCs w:val="21"/>
              </w:rPr>
            </w:pPr>
          </w:p>
        </w:tc>
        <w:tc>
          <w:tcPr>
            <w:tcW w:w="217" w:type="dxa"/>
          </w:tcPr>
          <w:p w14:paraId="3ECF1788" w14:textId="77777777" w:rsidR="002C0FD9" w:rsidRPr="00CA25CF" w:rsidRDefault="002C0FD9" w:rsidP="00CA25CF">
            <w:pPr>
              <w:rPr>
                <w:rFonts w:cs="Arial"/>
                <w:color w:val="FF0000"/>
                <w:sz w:val="21"/>
                <w:szCs w:val="21"/>
              </w:rPr>
            </w:pPr>
          </w:p>
        </w:tc>
        <w:tc>
          <w:tcPr>
            <w:tcW w:w="217" w:type="dxa"/>
          </w:tcPr>
          <w:p w14:paraId="29C6A322" w14:textId="77777777" w:rsidR="002C0FD9" w:rsidRPr="00CA25CF" w:rsidRDefault="002C0FD9" w:rsidP="00CA25CF">
            <w:pPr>
              <w:rPr>
                <w:rFonts w:cs="Arial"/>
                <w:color w:val="FF0000"/>
                <w:sz w:val="21"/>
                <w:szCs w:val="21"/>
              </w:rPr>
            </w:pPr>
          </w:p>
        </w:tc>
        <w:tc>
          <w:tcPr>
            <w:tcW w:w="217" w:type="dxa"/>
          </w:tcPr>
          <w:p w14:paraId="446D2A51" w14:textId="77777777" w:rsidR="002C0FD9" w:rsidRPr="00CA25CF" w:rsidRDefault="002C0FD9" w:rsidP="00CA25CF">
            <w:pPr>
              <w:rPr>
                <w:rFonts w:cs="Arial"/>
                <w:color w:val="FF0000"/>
                <w:sz w:val="21"/>
                <w:szCs w:val="21"/>
              </w:rPr>
            </w:pPr>
          </w:p>
        </w:tc>
        <w:tc>
          <w:tcPr>
            <w:tcW w:w="217" w:type="dxa"/>
          </w:tcPr>
          <w:p w14:paraId="2AFD2C89" w14:textId="77777777" w:rsidR="002C0FD9" w:rsidRPr="00CA25CF" w:rsidRDefault="002C0FD9" w:rsidP="00CA25CF">
            <w:pPr>
              <w:rPr>
                <w:rFonts w:cs="Arial"/>
                <w:color w:val="FF0000"/>
                <w:sz w:val="21"/>
                <w:szCs w:val="21"/>
              </w:rPr>
            </w:pPr>
          </w:p>
        </w:tc>
      </w:tr>
      <w:tr w:rsidR="002C0FD9" w:rsidRPr="00A16219" w14:paraId="28833638" w14:textId="77777777" w:rsidTr="002C0FD9">
        <w:trPr>
          <w:trHeight w:val="635"/>
        </w:trPr>
        <w:tc>
          <w:tcPr>
            <w:tcW w:w="515" w:type="dxa"/>
          </w:tcPr>
          <w:p w14:paraId="65590499" w14:textId="77777777" w:rsidR="002C0FD9" w:rsidRPr="00CA25CF" w:rsidRDefault="002C0FD9" w:rsidP="00CA25CF">
            <w:pPr>
              <w:rPr>
                <w:rFonts w:cs="Arial"/>
                <w:color w:val="FF0000"/>
                <w:sz w:val="21"/>
                <w:szCs w:val="21"/>
              </w:rPr>
            </w:pPr>
          </w:p>
        </w:tc>
        <w:tc>
          <w:tcPr>
            <w:tcW w:w="217" w:type="dxa"/>
          </w:tcPr>
          <w:p w14:paraId="2312453D" w14:textId="77777777" w:rsidR="002C0FD9" w:rsidRPr="00CA25CF" w:rsidRDefault="002C0FD9" w:rsidP="00CA25CF">
            <w:pPr>
              <w:rPr>
                <w:rFonts w:cs="Arial"/>
                <w:color w:val="FF0000"/>
                <w:sz w:val="21"/>
                <w:szCs w:val="21"/>
              </w:rPr>
            </w:pPr>
          </w:p>
        </w:tc>
        <w:tc>
          <w:tcPr>
            <w:tcW w:w="217" w:type="dxa"/>
          </w:tcPr>
          <w:p w14:paraId="0EF6FEF8" w14:textId="77777777" w:rsidR="002C0FD9" w:rsidRPr="00CA25CF" w:rsidRDefault="002C0FD9" w:rsidP="00CA25CF">
            <w:pPr>
              <w:rPr>
                <w:rFonts w:cs="Arial"/>
                <w:color w:val="FF0000"/>
                <w:sz w:val="21"/>
                <w:szCs w:val="21"/>
              </w:rPr>
            </w:pPr>
          </w:p>
        </w:tc>
        <w:tc>
          <w:tcPr>
            <w:tcW w:w="217" w:type="dxa"/>
          </w:tcPr>
          <w:p w14:paraId="34A02059" w14:textId="77777777" w:rsidR="002C0FD9" w:rsidRPr="00CA25CF" w:rsidRDefault="002C0FD9" w:rsidP="00CA25CF">
            <w:pPr>
              <w:rPr>
                <w:rFonts w:cs="Arial"/>
                <w:color w:val="FF0000"/>
                <w:sz w:val="21"/>
                <w:szCs w:val="21"/>
              </w:rPr>
            </w:pPr>
          </w:p>
        </w:tc>
        <w:tc>
          <w:tcPr>
            <w:tcW w:w="217" w:type="dxa"/>
          </w:tcPr>
          <w:p w14:paraId="7E05CF45" w14:textId="77777777" w:rsidR="002C0FD9" w:rsidRPr="00CA25CF" w:rsidRDefault="002C0FD9" w:rsidP="00CA25CF">
            <w:pPr>
              <w:rPr>
                <w:rFonts w:cs="Arial"/>
                <w:color w:val="FF0000"/>
                <w:sz w:val="21"/>
                <w:szCs w:val="21"/>
              </w:rPr>
            </w:pPr>
          </w:p>
        </w:tc>
        <w:tc>
          <w:tcPr>
            <w:tcW w:w="217" w:type="dxa"/>
          </w:tcPr>
          <w:p w14:paraId="3FED7B35" w14:textId="77777777" w:rsidR="002C0FD9" w:rsidRPr="00CA25CF" w:rsidRDefault="002C0FD9" w:rsidP="00CA25CF">
            <w:pPr>
              <w:rPr>
                <w:rFonts w:cs="Arial"/>
                <w:color w:val="FF0000"/>
                <w:sz w:val="21"/>
                <w:szCs w:val="21"/>
              </w:rPr>
            </w:pPr>
          </w:p>
        </w:tc>
        <w:tc>
          <w:tcPr>
            <w:tcW w:w="217" w:type="dxa"/>
          </w:tcPr>
          <w:p w14:paraId="149C84BC" w14:textId="77777777" w:rsidR="002C0FD9" w:rsidRPr="00CA25CF" w:rsidRDefault="002C0FD9" w:rsidP="00CA25CF">
            <w:pPr>
              <w:rPr>
                <w:rFonts w:cs="Arial"/>
                <w:color w:val="FF0000"/>
                <w:sz w:val="21"/>
                <w:szCs w:val="21"/>
              </w:rPr>
            </w:pPr>
          </w:p>
        </w:tc>
        <w:tc>
          <w:tcPr>
            <w:tcW w:w="217" w:type="dxa"/>
          </w:tcPr>
          <w:p w14:paraId="539CEA07" w14:textId="77777777" w:rsidR="002C0FD9" w:rsidRPr="00CA25CF" w:rsidRDefault="002C0FD9" w:rsidP="00CA25CF">
            <w:pPr>
              <w:rPr>
                <w:rFonts w:cs="Arial"/>
                <w:color w:val="FF0000"/>
                <w:sz w:val="21"/>
                <w:szCs w:val="21"/>
              </w:rPr>
            </w:pPr>
          </w:p>
        </w:tc>
        <w:tc>
          <w:tcPr>
            <w:tcW w:w="217" w:type="dxa"/>
          </w:tcPr>
          <w:p w14:paraId="45CADE31" w14:textId="77777777" w:rsidR="002C0FD9" w:rsidRPr="00CA25CF" w:rsidRDefault="002C0FD9" w:rsidP="00CA25CF">
            <w:pPr>
              <w:rPr>
                <w:rFonts w:cs="Arial"/>
                <w:color w:val="FF0000"/>
                <w:sz w:val="21"/>
                <w:szCs w:val="21"/>
              </w:rPr>
            </w:pPr>
          </w:p>
        </w:tc>
        <w:tc>
          <w:tcPr>
            <w:tcW w:w="217" w:type="dxa"/>
          </w:tcPr>
          <w:p w14:paraId="12BADADD" w14:textId="77777777" w:rsidR="002C0FD9" w:rsidRPr="00CA25CF" w:rsidRDefault="002C0FD9" w:rsidP="00CA25CF">
            <w:pPr>
              <w:rPr>
                <w:rFonts w:cs="Arial"/>
                <w:color w:val="FF0000"/>
                <w:sz w:val="21"/>
                <w:szCs w:val="21"/>
              </w:rPr>
            </w:pPr>
          </w:p>
        </w:tc>
        <w:tc>
          <w:tcPr>
            <w:tcW w:w="217" w:type="dxa"/>
          </w:tcPr>
          <w:p w14:paraId="256B1AB1" w14:textId="77777777" w:rsidR="002C0FD9" w:rsidRPr="00CA25CF" w:rsidRDefault="002C0FD9" w:rsidP="00CA25CF">
            <w:pPr>
              <w:rPr>
                <w:rFonts w:cs="Arial"/>
                <w:color w:val="FF0000"/>
                <w:sz w:val="21"/>
                <w:szCs w:val="21"/>
              </w:rPr>
            </w:pPr>
          </w:p>
        </w:tc>
        <w:tc>
          <w:tcPr>
            <w:tcW w:w="217" w:type="dxa"/>
          </w:tcPr>
          <w:p w14:paraId="18EBB9F1" w14:textId="77777777" w:rsidR="002C0FD9" w:rsidRPr="00CA25CF" w:rsidRDefault="002C0FD9" w:rsidP="00CA25CF">
            <w:pPr>
              <w:rPr>
                <w:rFonts w:cs="Arial"/>
                <w:color w:val="FF0000"/>
                <w:sz w:val="21"/>
                <w:szCs w:val="21"/>
              </w:rPr>
            </w:pPr>
          </w:p>
        </w:tc>
        <w:tc>
          <w:tcPr>
            <w:tcW w:w="217" w:type="dxa"/>
          </w:tcPr>
          <w:p w14:paraId="26490A86" w14:textId="77777777" w:rsidR="002C0FD9" w:rsidRPr="00CA25CF" w:rsidRDefault="002C0FD9" w:rsidP="00CA25CF">
            <w:pPr>
              <w:rPr>
                <w:rFonts w:cs="Arial"/>
                <w:color w:val="FF0000"/>
                <w:sz w:val="21"/>
                <w:szCs w:val="21"/>
              </w:rPr>
            </w:pPr>
          </w:p>
        </w:tc>
        <w:tc>
          <w:tcPr>
            <w:tcW w:w="217" w:type="dxa"/>
          </w:tcPr>
          <w:p w14:paraId="5B258474" w14:textId="77777777" w:rsidR="002C0FD9" w:rsidRPr="00CA25CF" w:rsidRDefault="002C0FD9" w:rsidP="00CA25CF">
            <w:pPr>
              <w:rPr>
                <w:rFonts w:cs="Arial"/>
                <w:color w:val="FF0000"/>
                <w:sz w:val="21"/>
                <w:szCs w:val="21"/>
              </w:rPr>
            </w:pPr>
          </w:p>
        </w:tc>
        <w:tc>
          <w:tcPr>
            <w:tcW w:w="217" w:type="dxa"/>
          </w:tcPr>
          <w:p w14:paraId="495744CF" w14:textId="77777777" w:rsidR="002C0FD9" w:rsidRPr="00CA25CF" w:rsidRDefault="002C0FD9" w:rsidP="00CA25CF">
            <w:pPr>
              <w:rPr>
                <w:rFonts w:cs="Arial"/>
                <w:color w:val="FF0000"/>
                <w:sz w:val="21"/>
                <w:szCs w:val="21"/>
              </w:rPr>
            </w:pPr>
          </w:p>
        </w:tc>
        <w:tc>
          <w:tcPr>
            <w:tcW w:w="217" w:type="dxa"/>
          </w:tcPr>
          <w:p w14:paraId="33F79DE7" w14:textId="77777777" w:rsidR="002C0FD9" w:rsidRPr="00CA25CF" w:rsidRDefault="002C0FD9" w:rsidP="00CA25CF">
            <w:pPr>
              <w:rPr>
                <w:rFonts w:cs="Arial"/>
                <w:color w:val="FF0000"/>
                <w:sz w:val="21"/>
                <w:szCs w:val="21"/>
              </w:rPr>
            </w:pPr>
          </w:p>
        </w:tc>
        <w:tc>
          <w:tcPr>
            <w:tcW w:w="217" w:type="dxa"/>
          </w:tcPr>
          <w:p w14:paraId="3D71858E" w14:textId="77777777" w:rsidR="002C0FD9" w:rsidRPr="00CA25CF" w:rsidRDefault="002C0FD9" w:rsidP="00CA25CF">
            <w:pPr>
              <w:rPr>
                <w:rFonts w:cs="Arial"/>
                <w:color w:val="FF0000"/>
                <w:sz w:val="21"/>
                <w:szCs w:val="21"/>
              </w:rPr>
            </w:pPr>
          </w:p>
        </w:tc>
        <w:tc>
          <w:tcPr>
            <w:tcW w:w="217" w:type="dxa"/>
          </w:tcPr>
          <w:p w14:paraId="471D5BDF" w14:textId="77777777" w:rsidR="002C0FD9" w:rsidRPr="00CA25CF" w:rsidRDefault="002C0FD9" w:rsidP="00CA25CF">
            <w:pPr>
              <w:rPr>
                <w:rFonts w:cs="Arial"/>
                <w:color w:val="FF0000"/>
                <w:sz w:val="21"/>
                <w:szCs w:val="21"/>
              </w:rPr>
            </w:pPr>
          </w:p>
        </w:tc>
        <w:tc>
          <w:tcPr>
            <w:tcW w:w="217" w:type="dxa"/>
          </w:tcPr>
          <w:p w14:paraId="4C5A5832" w14:textId="77777777" w:rsidR="002C0FD9" w:rsidRPr="00CA25CF" w:rsidRDefault="002C0FD9" w:rsidP="00CA25CF">
            <w:pPr>
              <w:rPr>
                <w:rFonts w:cs="Arial"/>
                <w:color w:val="FF0000"/>
                <w:sz w:val="21"/>
                <w:szCs w:val="21"/>
              </w:rPr>
            </w:pPr>
          </w:p>
        </w:tc>
        <w:tc>
          <w:tcPr>
            <w:tcW w:w="217" w:type="dxa"/>
          </w:tcPr>
          <w:p w14:paraId="40F65C5E" w14:textId="77777777" w:rsidR="002C0FD9" w:rsidRPr="00CA25CF" w:rsidRDefault="002C0FD9" w:rsidP="00CA25CF">
            <w:pPr>
              <w:rPr>
                <w:rFonts w:cs="Arial"/>
                <w:color w:val="FF0000"/>
                <w:sz w:val="21"/>
                <w:szCs w:val="21"/>
              </w:rPr>
            </w:pPr>
          </w:p>
        </w:tc>
        <w:tc>
          <w:tcPr>
            <w:tcW w:w="217" w:type="dxa"/>
          </w:tcPr>
          <w:p w14:paraId="464252B2" w14:textId="77777777" w:rsidR="002C0FD9" w:rsidRPr="00CA25CF" w:rsidRDefault="002C0FD9" w:rsidP="00CA25CF">
            <w:pPr>
              <w:rPr>
                <w:rFonts w:cs="Arial"/>
                <w:color w:val="FF0000"/>
                <w:sz w:val="21"/>
                <w:szCs w:val="21"/>
              </w:rPr>
            </w:pPr>
          </w:p>
        </w:tc>
        <w:tc>
          <w:tcPr>
            <w:tcW w:w="217" w:type="dxa"/>
          </w:tcPr>
          <w:p w14:paraId="796B5A9D" w14:textId="77777777" w:rsidR="002C0FD9" w:rsidRPr="00CA25CF" w:rsidRDefault="002C0FD9" w:rsidP="00CA25CF">
            <w:pPr>
              <w:rPr>
                <w:rFonts w:cs="Arial"/>
                <w:color w:val="FF0000"/>
                <w:sz w:val="21"/>
                <w:szCs w:val="21"/>
              </w:rPr>
            </w:pPr>
          </w:p>
        </w:tc>
        <w:tc>
          <w:tcPr>
            <w:tcW w:w="217" w:type="dxa"/>
          </w:tcPr>
          <w:p w14:paraId="26804514" w14:textId="77777777" w:rsidR="002C0FD9" w:rsidRPr="00CA25CF" w:rsidRDefault="002C0FD9" w:rsidP="00CA25CF">
            <w:pPr>
              <w:rPr>
                <w:rFonts w:cs="Arial"/>
                <w:color w:val="FF0000"/>
                <w:sz w:val="21"/>
                <w:szCs w:val="21"/>
              </w:rPr>
            </w:pPr>
          </w:p>
        </w:tc>
        <w:tc>
          <w:tcPr>
            <w:tcW w:w="217" w:type="dxa"/>
          </w:tcPr>
          <w:p w14:paraId="21E6D67A" w14:textId="77777777" w:rsidR="002C0FD9" w:rsidRPr="00CA25CF" w:rsidRDefault="002C0FD9" w:rsidP="00CA25CF">
            <w:pPr>
              <w:rPr>
                <w:rFonts w:cs="Arial"/>
                <w:color w:val="FF0000"/>
                <w:sz w:val="21"/>
                <w:szCs w:val="21"/>
              </w:rPr>
            </w:pPr>
          </w:p>
        </w:tc>
        <w:tc>
          <w:tcPr>
            <w:tcW w:w="217" w:type="dxa"/>
          </w:tcPr>
          <w:p w14:paraId="2FBEC15D" w14:textId="77777777" w:rsidR="002C0FD9" w:rsidRPr="00CA25CF" w:rsidRDefault="002C0FD9" w:rsidP="00CA25CF">
            <w:pPr>
              <w:rPr>
                <w:rFonts w:cs="Arial"/>
                <w:color w:val="FF0000"/>
                <w:sz w:val="21"/>
                <w:szCs w:val="21"/>
              </w:rPr>
            </w:pPr>
          </w:p>
        </w:tc>
        <w:tc>
          <w:tcPr>
            <w:tcW w:w="217" w:type="dxa"/>
          </w:tcPr>
          <w:p w14:paraId="440CEBB8" w14:textId="77777777" w:rsidR="002C0FD9" w:rsidRPr="00CA25CF" w:rsidRDefault="002C0FD9" w:rsidP="00CA25CF">
            <w:pPr>
              <w:rPr>
                <w:rFonts w:cs="Arial"/>
                <w:color w:val="FF0000"/>
                <w:sz w:val="21"/>
                <w:szCs w:val="21"/>
              </w:rPr>
            </w:pPr>
          </w:p>
        </w:tc>
        <w:tc>
          <w:tcPr>
            <w:tcW w:w="217" w:type="dxa"/>
          </w:tcPr>
          <w:p w14:paraId="3EBBD101" w14:textId="77777777" w:rsidR="002C0FD9" w:rsidRPr="00CA25CF" w:rsidRDefault="002C0FD9" w:rsidP="00CA25CF">
            <w:pPr>
              <w:rPr>
                <w:rFonts w:cs="Arial"/>
                <w:color w:val="FF0000"/>
                <w:sz w:val="21"/>
                <w:szCs w:val="21"/>
              </w:rPr>
            </w:pPr>
          </w:p>
        </w:tc>
        <w:tc>
          <w:tcPr>
            <w:tcW w:w="217" w:type="dxa"/>
          </w:tcPr>
          <w:p w14:paraId="464DE110" w14:textId="77777777" w:rsidR="002C0FD9" w:rsidRPr="00CA25CF" w:rsidRDefault="002C0FD9" w:rsidP="00CA25CF">
            <w:pPr>
              <w:rPr>
                <w:rFonts w:cs="Arial"/>
                <w:color w:val="FF0000"/>
                <w:sz w:val="21"/>
                <w:szCs w:val="21"/>
              </w:rPr>
            </w:pPr>
          </w:p>
        </w:tc>
        <w:tc>
          <w:tcPr>
            <w:tcW w:w="217" w:type="dxa"/>
          </w:tcPr>
          <w:p w14:paraId="34C00A84" w14:textId="77777777" w:rsidR="002C0FD9" w:rsidRPr="00CA25CF" w:rsidRDefault="002C0FD9" w:rsidP="00CA25CF">
            <w:pPr>
              <w:rPr>
                <w:rFonts w:cs="Arial"/>
                <w:color w:val="FF0000"/>
                <w:sz w:val="21"/>
                <w:szCs w:val="21"/>
              </w:rPr>
            </w:pPr>
          </w:p>
        </w:tc>
        <w:tc>
          <w:tcPr>
            <w:tcW w:w="217" w:type="dxa"/>
          </w:tcPr>
          <w:p w14:paraId="46602C6A" w14:textId="77777777" w:rsidR="002C0FD9" w:rsidRPr="00CA25CF" w:rsidRDefault="002C0FD9" w:rsidP="00CA25CF">
            <w:pPr>
              <w:rPr>
                <w:rFonts w:cs="Arial"/>
                <w:color w:val="FF0000"/>
                <w:sz w:val="21"/>
                <w:szCs w:val="21"/>
              </w:rPr>
            </w:pPr>
          </w:p>
        </w:tc>
        <w:tc>
          <w:tcPr>
            <w:tcW w:w="217" w:type="dxa"/>
          </w:tcPr>
          <w:p w14:paraId="7294BCC4" w14:textId="77777777" w:rsidR="002C0FD9" w:rsidRPr="00CA25CF" w:rsidRDefault="002C0FD9" w:rsidP="00CA25CF">
            <w:pPr>
              <w:rPr>
                <w:rFonts w:cs="Arial"/>
                <w:color w:val="FF0000"/>
                <w:sz w:val="21"/>
                <w:szCs w:val="21"/>
              </w:rPr>
            </w:pPr>
          </w:p>
        </w:tc>
        <w:tc>
          <w:tcPr>
            <w:tcW w:w="217" w:type="dxa"/>
          </w:tcPr>
          <w:p w14:paraId="4F1A9860" w14:textId="77777777" w:rsidR="002C0FD9" w:rsidRPr="00CA25CF" w:rsidRDefault="002C0FD9" w:rsidP="00CA25CF">
            <w:pPr>
              <w:rPr>
                <w:rFonts w:cs="Arial"/>
                <w:color w:val="FF0000"/>
                <w:sz w:val="21"/>
                <w:szCs w:val="21"/>
              </w:rPr>
            </w:pPr>
          </w:p>
        </w:tc>
        <w:tc>
          <w:tcPr>
            <w:tcW w:w="217" w:type="dxa"/>
          </w:tcPr>
          <w:p w14:paraId="4A546760" w14:textId="77777777" w:rsidR="002C0FD9" w:rsidRPr="00CA25CF" w:rsidRDefault="002C0FD9" w:rsidP="00CA25CF">
            <w:pPr>
              <w:rPr>
                <w:rFonts w:cs="Arial"/>
                <w:color w:val="FF0000"/>
                <w:sz w:val="21"/>
                <w:szCs w:val="21"/>
              </w:rPr>
            </w:pPr>
          </w:p>
        </w:tc>
        <w:tc>
          <w:tcPr>
            <w:tcW w:w="217" w:type="dxa"/>
          </w:tcPr>
          <w:p w14:paraId="230EB92D" w14:textId="77777777" w:rsidR="002C0FD9" w:rsidRPr="00CA25CF" w:rsidRDefault="002C0FD9" w:rsidP="00CA25CF">
            <w:pPr>
              <w:rPr>
                <w:rFonts w:cs="Arial"/>
                <w:color w:val="FF0000"/>
                <w:sz w:val="21"/>
                <w:szCs w:val="21"/>
              </w:rPr>
            </w:pPr>
          </w:p>
        </w:tc>
        <w:tc>
          <w:tcPr>
            <w:tcW w:w="217" w:type="dxa"/>
          </w:tcPr>
          <w:p w14:paraId="06E2AB06" w14:textId="77777777" w:rsidR="002C0FD9" w:rsidRPr="00CA25CF" w:rsidRDefault="002C0FD9" w:rsidP="00CA25CF">
            <w:pPr>
              <w:rPr>
                <w:rFonts w:cs="Arial"/>
                <w:color w:val="FF0000"/>
                <w:sz w:val="21"/>
                <w:szCs w:val="21"/>
              </w:rPr>
            </w:pPr>
          </w:p>
        </w:tc>
        <w:tc>
          <w:tcPr>
            <w:tcW w:w="217" w:type="dxa"/>
          </w:tcPr>
          <w:p w14:paraId="40C7B715" w14:textId="77777777" w:rsidR="002C0FD9" w:rsidRPr="00CA25CF" w:rsidRDefault="002C0FD9" w:rsidP="00CA25CF">
            <w:pPr>
              <w:rPr>
                <w:rFonts w:cs="Arial"/>
                <w:color w:val="FF0000"/>
                <w:sz w:val="21"/>
                <w:szCs w:val="21"/>
              </w:rPr>
            </w:pPr>
          </w:p>
        </w:tc>
        <w:tc>
          <w:tcPr>
            <w:tcW w:w="217" w:type="dxa"/>
          </w:tcPr>
          <w:p w14:paraId="48C7796B" w14:textId="77777777" w:rsidR="002C0FD9" w:rsidRPr="00CA25CF" w:rsidRDefault="002C0FD9" w:rsidP="00CA25CF">
            <w:pPr>
              <w:rPr>
                <w:rFonts w:cs="Arial"/>
                <w:color w:val="FF0000"/>
                <w:sz w:val="21"/>
                <w:szCs w:val="21"/>
              </w:rPr>
            </w:pPr>
          </w:p>
        </w:tc>
        <w:tc>
          <w:tcPr>
            <w:tcW w:w="217" w:type="dxa"/>
          </w:tcPr>
          <w:p w14:paraId="2789E114" w14:textId="77777777" w:rsidR="002C0FD9" w:rsidRPr="00CA25CF" w:rsidRDefault="002C0FD9" w:rsidP="00CA25CF">
            <w:pPr>
              <w:rPr>
                <w:rFonts w:cs="Arial"/>
                <w:color w:val="FF0000"/>
                <w:sz w:val="21"/>
                <w:szCs w:val="21"/>
              </w:rPr>
            </w:pPr>
          </w:p>
        </w:tc>
        <w:tc>
          <w:tcPr>
            <w:tcW w:w="217" w:type="dxa"/>
          </w:tcPr>
          <w:p w14:paraId="6F8C829F" w14:textId="77777777" w:rsidR="002C0FD9" w:rsidRPr="00CA25CF" w:rsidRDefault="002C0FD9" w:rsidP="00CA25CF">
            <w:pPr>
              <w:rPr>
                <w:rFonts w:cs="Arial"/>
                <w:color w:val="FF0000"/>
                <w:sz w:val="21"/>
                <w:szCs w:val="21"/>
              </w:rPr>
            </w:pPr>
          </w:p>
        </w:tc>
        <w:tc>
          <w:tcPr>
            <w:tcW w:w="217" w:type="dxa"/>
          </w:tcPr>
          <w:p w14:paraId="7C7BFD1A" w14:textId="77777777" w:rsidR="002C0FD9" w:rsidRPr="00CA25CF" w:rsidRDefault="002C0FD9" w:rsidP="00CA25CF">
            <w:pPr>
              <w:rPr>
                <w:rFonts w:cs="Arial"/>
                <w:color w:val="FF0000"/>
                <w:sz w:val="21"/>
                <w:szCs w:val="21"/>
              </w:rPr>
            </w:pPr>
          </w:p>
        </w:tc>
        <w:tc>
          <w:tcPr>
            <w:tcW w:w="217" w:type="dxa"/>
          </w:tcPr>
          <w:p w14:paraId="3BA9CB80" w14:textId="77777777" w:rsidR="002C0FD9" w:rsidRPr="00CA25CF" w:rsidRDefault="002C0FD9" w:rsidP="00CA25CF">
            <w:pPr>
              <w:rPr>
                <w:rFonts w:cs="Arial"/>
                <w:color w:val="FF0000"/>
                <w:sz w:val="21"/>
                <w:szCs w:val="21"/>
              </w:rPr>
            </w:pPr>
          </w:p>
        </w:tc>
        <w:tc>
          <w:tcPr>
            <w:tcW w:w="217" w:type="dxa"/>
          </w:tcPr>
          <w:p w14:paraId="7BF0CD7B" w14:textId="77777777" w:rsidR="002C0FD9" w:rsidRPr="00CA25CF" w:rsidRDefault="002C0FD9" w:rsidP="00CA25CF">
            <w:pPr>
              <w:rPr>
                <w:rFonts w:cs="Arial"/>
                <w:color w:val="FF0000"/>
                <w:sz w:val="21"/>
                <w:szCs w:val="21"/>
              </w:rPr>
            </w:pPr>
          </w:p>
        </w:tc>
        <w:tc>
          <w:tcPr>
            <w:tcW w:w="217" w:type="dxa"/>
          </w:tcPr>
          <w:p w14:paraId="6007DBAC" w14:textId="77777777" w:rsidR="002C0FD9" w:rsidRPr="00CA25CF" w:rsidRDefault="002C0FD9" w:rsidP="00CA25CF">
            <w:pPr>
              <w:rPr>
                <w:rFonts w:cs="Arial"/>
                <w:color w:val="FF0000"/>
                <w:sz w:val="21"/>
                <w:szCs w:val="21"/>
              </w:rPr>
            </w:pPr>
          </w:p>
        </w:tc>
      </w:tr>
      <w:tr w:rsidR="002C0FD9" w:rsidRPr="00A16219" w14:paraId="4BD87163" w14:textId="77777777" w:rsidTr="002C0FD9">
        <w:trPr>
          <w:trHeight w:val="635"/>
        </w:trPr>
        <w:tc>
          <w:tcPr>
            <w:tcW w:w="515" w:type="dxa"/>
          </w:tcPr>
          <w:p w14:paraId="4CC3C8ED" w14:textId="77777777" w:rsidR="002C0FD9" w:rsidRPr="00CA25CF" w:rsidRDefault="002C0FD9" w:rsidP="00CA25CF">
            <w:pPr>
              <w:rPr>
                <w:rFonts w:cs="Arial"/>
                <w:color w:val="FF0000"/>
                <w:sz w:val="21"/>
                <w:szCs w:val="21"/>
              </w:rPr>
            </w:pPr>
          </w:p>
        </w:tc>
        <w:tc>
          <w:tcPr>
            <w:tcW w:w="217" w:type="dxa"/>
          </w:tcPr>
          <w:p w14:paraId="0E0009FC" w14:textId="77777777" w:rsidR="002C0FD9" w:rsidRPr="00CA25CF" w:rsidRDefault="002C0FD9" w:rsidP="00CA25CF">
            <w:pPr>
              <w:rPr>
                <w:rFonts w:cs="Arial"/>
                <w:color w:val="FF0000"/>
                <w:sz w:val="21"/>
                <w:szCs w:val="21"/>
              </w:rPr>
            </w:pPr>
          </w:p>
        </w:tc>
        <w:tc>
          <w:tcPr>
            <w:tcW w:w="217" w:type="dxa"/>
          </w:tcPr>
          <w:p w14:paraId="328BD2E0" w14:textId="77777777" w:rsidR="002C0FD9" w:rsidRPr="00CA25CF" w:rsidRDefault="002C0FD9" w:rsidP="00CA25CF">
            <w:pPr>
              <w:rPr>
                <w:rFonts w:cs="Arial"/>
                <w:color w:val="FF0000"/>
                <w:sz w:val="21"/>
                <w:szCs w:val="21"/>
              </w:rPr>
            </w:pPr>
          </w:p>
        </w:tc>
        <w:tc>
          <w:tcPr>
            <w:tcW w:w="217" w:type="dxa"/>
          </w:tcPr>
          <w:p w14:paraId="3925BC68" w14:textId="77777777" w:rsidR="002C0FD9" w:rsidRPr="00CA25CF" w:rsidRDefault="002C0FD9" w:rsidP="00CA25CF">
            <w:pPr>
              <w:rPr>
                <w:rFonts w:cs="Arial"/>
                <w:color w:val="FF0000"/>
                <w:sz w:val="21"/>
                <w:szCs w:val="21"/>
              </w:rPr>
            </w:pPr>
          </w:p>
        </w:tc>
        <w:tc>
          <w:tcPr>
            <w:tcW w:w="217" w:type="dxa"/>
          </w:tcPr>
          <w:p w14:paraId="77B9C43C" w14:textId="77777777" w:rsidR="002C0FD9" w:rsidRPr="00CA25CF" w:rsidRDefault="002C0FD9" w:rsidP="00CA25CF">
            <w:pPr>
              <w:rPr>
                <w:rFonts w:cs="Arial"/>
                <w:color w:val="FF0000"/>
                <w:sz w:val="21"/>
                <w:szCs w:val="21"/>
              </w:rPr>
            </w:pPr>
          </w:p>
        </w:tc>
        <w:tc>
          <w:tcPr>
            <w:tcW w:w="217" w:type="dxa"/>
          </w:tcPr>
          <w:p w14:paraId="2CAA2590" w14:textId="77777777" w:rsidR="002C0FD9" w:rsidRPr="00CA25CF" w:rsidRDefault="002C0FD9" w:rsidP="00CA25CF">
            <w:pPr>
              <w:rPr>
                <w:rFonts w:cs="Arial"/>
                <w:color w:val="FF0000"/>
                <w:sz w:val="21"/>
                <w:szCs w:val="21"/>
              </w:rPr>
            </w:pPr>
          </w:p>
        </w:tc>
        <w:tc>
          <w:tcPr>
            <w:tcW w:w="217" w:type="dxa"/>
          </w:tcPr>
          <w:p w14:paraId="166FD138" w14:textId="77777777" w:rsidR="002C0FD9" w:rsidRPr="00CA25CF" w:rsidRDefault="002C0FD9" w:rsidP="00CA25CF">
            <w:pPr>
              <w:rPr>
                <w:rFonts w:cs="Arial"/>
                <w:color w:val="FF0000"/>
                <w:sz w:val="21"/>
                <w:szCs w:val="21"/>
              </w:rPr>
            </w:pPr>
          </w:p>
        </w:tc>
        <w:tc>
          <w:tcPr>
            <w:tcW w:w="217" w:type="dxa"/>
          </w:tcPr>
          <w:p w14:paraId="5ABA04E5" w14:textId="77777777" w:rsidR="002C0FD9" w:rsidRPr="00CA25CF" w:rsidRDefault="002C0FD9" w:rsidP="00CA25CF">
            <w:pPr>
              <w:rPr>
                <w:rFonts w:cs="Arial"/>
                <w:color w:val="FF0000"/>
                <w:sz w:val="21"/>
                <w:szCs w:val="21"/>
              </w:rPr>
            </w:pPr>
          </w:p>
        </w:tc>
        <w:tc>
          <w:tcPr>
            <w:tcW w:w="217" w:type="dxa"/>
          </w:tcPr>
          <w:p w14:paraId="2D5A9DD5" w14:textId="77777777" w:rsidR="002C0FD9" w:rsidRPr="00CA25CF" w:rsidRDefault="002C0FD9" w:rsidP="00CA25CF">
            <w:pPr>
              <w:rPr>
                <w:rFonts w:cs="Arial"/>
                <w:color w:val="FF0000"/>
                <w:sz w:val="21"/>
                <w:szCs w:val="21"/>
              </w:rPr>
            </w:pPr>
          </w:p>
        </w:tc>
        <w:tc>
          <w:tcPr>
            <w:tcW w:w="217" w:type="dxa"/>
          </w:tcPr>
          <w:p w14:paraId="0865C9A7" w14:textId="77777777" w:rsidR="002C0FD9" w:rsidRPr="00CA25CF" w:rsidRDefault="002C0FD9" w:rsidP="00CA25CF">
            <w:pPr>
              <w:rPr>
                <w:rFonts w:cs="Arial"/>
                <w:color w:val="FF0000"/>
                <w:sz w:val="21"/>
                <w:szCs w:val="21"/>
              </w:rPr>
            </w:pPr>
          </w:p>
        </w:tc>
        <w:tc>
          <w:tcPr>
            <w:tcW w:w="217" w:type="dxa"/>
          </w:tcPr>
          <w:p w14:paraId="43F5B3E8" w14:textId="77777777" w:rsidR="002C0FD9" w:rsidRPr="00CA25CF" w:rsidRDefault="002C0FD9" w:rsidP="00CA25CF">
            <w:pPr>
              <w:rPr>
                <w:rFonts w:cs="Arial"/>
                <w:color w:val="FF0000"/>
                <w:sz w:val="21"/>
                <w:szCs w:val="21"/>
              </w:rPr>
            </w:pPr>
          </w:p>
        </w:tc>
        <w:tc>
          <w:tcPr>
            <w:tcW w:w="217" w:type="dxa"/>
          </w:tcPr>
          <w:p w14:paraId="44039383" w14:textId="77777777" w:rsidR="002C0FD9" w:rsidRPr="00CA25CF" w:rsidRDefault="002C0FD9" w:rsidP="00CA25CF">
            <w:pPr>
              <w:rPr>
                <w:rFonts w:cs="Arial"/>
                <w:color w:val="FF0000"/>
                <w:sz w:val="21"/>
                <w:szCs w:val="21"/>
              </w:rPr>
            </w:pPr>
          </w:p>
        </w:tc>
        <w:tc>
          <w:tcPr>
            <w:tcW w:w="217" w:type="dxa"/>
          </w:tcPr>
          <w:p w14:paraId="583EE653" w14:textId="77777777" w:rsidR="002C0FD9" w:rsidRPr="00CA25CF" w:rsidRDefault="002C0FD9" w:rsidP="00CA25CF">
            <w:pPr>
              <w:rPr>
                <w:rFonts w:cs="Arial"/>
                <w:color w:val="FF0000"/>
                <w:sz w:val="21"/>
                <w:szCs w:val="21"/>
              </w:rPr>
            </w:pPr>
          </w:p>
        </w:tc>
        <w:tc>
          <w:tcPr>
            <w:tcW w:w="217" w:type="dxa"/>
          </w:tcPr>
          <w:p w14:paraId="0016E0E9" w14:textId="77777777" w:rsidR="002C0FD9" w:rsidRPr="00CA25CF" w:rsidRDefault="002C0FD9" w:rsidP="00CA25CF">
            <w:pPr>
              <w:rPr>
                <w:rFonts w:cs="Arial"/>
                <w:color w:val="FF0000"/>
                <w:sz w:val="21"/>
                <w:szCs w:val="21"/>
              </w:rPr>
            </w:pPr>
          </w:p>
        </w:tc>
        <w:tc>
          <w:tcPr>
            <w:tcW w:w="217" w:type="dxa"/>
          </w:tcPr>
          <w:p w14:paraId="08BF0D8F" w14:textId="77777777" w:rsidR="002C0FD9" w:rsidRPr="00CA25CF" w:rsidRDefault="002C0FD9" w:rsidP="00CA25CF">
            <w:pPr>
              <w:rPr>
                <w:rFonts w:cs="Arial"/>
                <w:color w:val="FF0000"/>
                <w:sz w:val="21"/>
                <w:szCs w:val="21"/>
              </w:rPr>
            </w:pPr>
          </w:p>
        </w:tc>
        <w:tc>
          <w:tcPr>
            <w:tcW w:w="217" w:type="dxa"/>
          </w:tcPr>
          <w:p w14:paraId="2477E24C" w14:textId="77777777" w:rsidR="002C0FD9" w:rsidRPr="00CA25CF" w:rsidRDefault="002C0FD9" w:rsidP="00CA25CF">
            <w:pPr>
              <w:rPr>
                <w:rFonts w:cs="Arial"/>
                <w:color w:val="FF0000"/>
                <w:sz w:val="21"/>
                <w:szCs w:val="21"/>
              </w:rPr>
            </w:pPr>
          </w:p>
        </w:tc>
        <w:tc>
          <w:tcPr>
            <w:tcW w:w="217" w:type="dxa"/>
          </w:tcPr>
          <w:p w14:paraId="26313959" w14:textId="77777777" w:rsidR="002C0FD9" w:rsidRPr="00CA25CF" w:rsidRDefault="002C0FD9" w:rsidP="00CA25CF">
            <w:pPr>
              <w:rPr>
                <w:rFonts w:cs="Arial"/>
                <w:color w:val="FF0000"/>
                <w:sz w:val="21"/>
                <w:szCs w:val="21"/>
              </w:rPr>
            </w:pPr>
          </w:p>
        </w:tc>
        <w:tc>
          <w:tcPr>
            <w:tcW w:w="217" w:type="dxa"/>
          </w:tcPr>
          <w:p w14:paraId="4971D46D" w14:textId="77777777" w:rsidR="002C0FD9" w:rsidRPr="00CA25CF" w:rsidRDefault="002C0FD9" w:rsidP="00CA25CF">
            <w:pPr>
              <w:rPr>
                <w:rFonts w:cs="Arial"/>
                <w:color w:val="FF0000"/>
                <w:sz w:val="21"/>
                <w:szCs w:val="21"/>
              </w:rPr>
            </w:pPr>
          </w:p>
        </w:tc>
        <w:tc>
          <w:tcPr>
            <w:tcW w:w="217" w:type="dxa"/>
          </w:tcPr>
          <w:p w14:paraId="2EEF2790" w14:textId="77777777" w:rsidR="002C0FD9" w:rsidRPr="00CA25CF" w:rsidRDefault="002C0FD9" w:rsidP="00CA25CF">
            <w:pPr>
              <w:rPr>
                <w:rFonts w:cs="Arial"/>
                <w:color w:val="FF0000"/>
                <w:sz w:val="21"/>
                <w:szCs w:val="21"/>
              </w:rPr>
            </w:pPr>
          </w:p>
        </w:tc>
        <w:tc>
          <w:tcPr>
            <w:tcW w:w="217" w:type="dxa"/>
          </w:tcPr>
          <w:p w14:paraId="27CD85E6" w14:textId="77777777" w:rsidR="002C0FD9" w:rsidRPr="00CA25CF" w:rsidRDefault="002C0FD9" w:rsidP="00CA25CF">
            <w:pPr>
              <w:rPr>
                <w:rFonts w:cs="Arial"/>
                <w:color w:val="FF0000"/>
                <w:sz w:val="21"/>
                <w:szCs w:val="21"/>
              </w:rPr>
            </w:pPr>
          </w:p>
        </w:tc>
        <w:tc>
          <w:tcPr>
            <w:tcW w:w="217" w:type="dxa"/>
          </w:tcPr>
          <w:p w14:paraId="12968014" w14:textId="77777777" w:rsidR="002C0FD9" w:rsidRPr="00CA25CF" w:rsidRDefault="002C0FD9" w:rsidP="00CA25CF">
            <w:pPr>
              <w:rPr>
                <w:rFonts w:cs="Arial"/>
                <w:color w:val="FF0000"/>
                <w:sz w:val="21"/>
                <w:szCs w:val="21"/>
              </w:rPr>
            </w:pPr>
          </w:p>
        </w:tc>
        <w:tc>
          <w:tcPr>
            <w:tcW w:w="217" w:type="dxa"/>
          </w:tcPr>
          <w:p w14:paraId="32BC4998" w14:textId="77777777" w:rsidR="002C0FD9" w:rsidRPr="00CA25CF" w:rsidRDefault="002C0FD9" w:rsidP="00CA25CF">
            <w:pPr>
              <w:rPr>
                <w:rFonts w:cs="Arial"/>
                <w:color w:val="FF0000"/>
                <w:sz w:val="21"/>
                <w:szCs w:val="21"/>
              </w:rPr>
            </w:pPr>
          </w:p>
        </w:tc>
        <w:tc>
          <w:tcPr>
            <w:tcW w:w="217" w:type="dxa"/>
          </w:tcPr>
          <w:p w14:paraId="7C602D3F" w14:textId="77777777" w:rsidR="002C0FD9" w:rsidRPr="00CA25CF" w:rsidRDefault="002C0FD9" w:rsidP="00CA25CF">
            <w:pPr>
              <w:rPr>
                <w:rFonts w:cs="Arial"/>
                <w:color w:val="FF0000"/>
                <w:sz w:val="21"/>
                <w:szCs w:val="21"/>
              </w:rPr>
            </w:pPr>
          </w:p>
        </w:tc>
        <w:tc>
          <w:tcPr>
            <w:tcW w:w="217" w:type="dxa"/>
          </w:tcPr>
          <w:p w14:paraId="10B4D2B6" w14:textId="77777777" w:rsidR="002C0FD9" w:rsidRPr="00CA25CF" w:rsidRDefault="002C0FD9" w:rsidP="00CA25CF">
            <w:pPr>
              <w:rPr>
                <w:rFonts w:cs="Arial"/>
                <w:color w:val="FF0000"/>
                <w:sz w:val="21"/>
                <w:szCs w:val="21"/>
              </w:rPr>
            </w:pPr>
          </w:p>
        </w:tc>
        <w:tc>
          <w:tcPr>
            <w:tcW w:w="217" w:type="dxa"/>
          </w:tcPr>
          <w:p w14:paraId="04043729" w14:textId="77777777" w:rsidR="002C0FD9" w:rsidRPr="00CA25CF" w:rsidRDefault="002C0FD9" w:rsidP="00CA25CF">
            <w:pPr>
              <w:rPr>
                <w:rFonts w:cs="Arial"/>
                <w:color w:val="FF0000"/>
                <w:sz w:val="21"/>
                <w:szCs w:val="21"/>
              </w:rPr>
            </w:pPr>
          </w:p>
        </w:tc>
        <w:tc>
          <w:tcPr>
            <w:tcW w:w="217" w:type="dxa"/>
          </w:tcPr>
          <w:p w14:paraId="30C4C55C" w14:textId="77777777" w:rsidR="002C0FD9" w:rsidRPr="00CA25CF" w:rsidRDefault="002C0FD9" w:rsidP="00CA25CF">
            <w:pPr>
              <w:rPr>
                <w:rFonts w:cs="Arial"/>
                <w:color w:val="FF0000"/>
                <w:sz w:val="21"/>
                <w:szCs w:val="21"/>
              </w:rPr>
            </w:pPr>
          </w:p>
        </w:tc>
        <w:tc>
          <w:tcPr>
            <w:tcW w:w="217" w:type="dxa"/>
          </w:tcPr>
          <w:p w14:paraId="07D42D5F" w14:textId="77777777" w:rsidR="002C0FD9" w:rsidRPr="00CA25CF" w:rsidRDefault="002C0FD9" w:rsidP="00CA25CF">
            <w:pPr>
              <w:rPr>
                <w:rFonts w:cs="Arial"/>
                <w:color w:val="FF0000"/>
                <w:sz w:val="21"/>
                <w:szCs w:val="21"/>
              </w:rPr>
            </w:pPr>
          </w:p>
        </w:tc>
        <w:tc>
          <w:tcPr>
            <w:tcW w:w="217" w:type="dxa"/>
          </w:tcPr>
          <w:p w14:paraId="71DD4BE8" w14:textId="77777777" w:rsidR="002C0FD9" w:rsidRPr="00CA25CF" w:rsidRDefault="002C0FD9" w:rsidP="00CA25CF">
            <w:pPr>
              <w:rPr>
                <w:rFonts w:cs="Arial"/>
                <w:color w:val="FF0000"/>
                <w:sz w:val="21"/>
                <w:szCs w:val="21"/>
              </w:rPr>
            </w:pPr>
          </w:p>
        </w:tc>
        <w:tc>
          <w:tcPr>
            <w:tcW w:w="217" w:type="dxa"/>
          </w:tcPr>
          <w:p w14:paraId="51B5FE8A" w14:textId="77777777" w:rsidR="002C0FD9" w:rsidRPr="00CA25CF" w:rsidRDefault="002C0FD9" w:rsidP="00CA25CF">
            <w:pPr>
              <w:rPr>
                <w:rFonts w:cs="Arial"/>
                <w:color w:val="FF0000"/>
                <w:sz w:val="21"/>
                <w:szCs w:val="21"/>
              </w:rPr>
            </w:pPr>
          </w:p>
        </w:tc>
        <w:tc>
          <w:tcPr>
            <w:tcW w:w="217" w:type="dxa"/>
          </w:tcPr>
          <w:p w14:paraId="4DF2C654" w14:textId="77777777" w:rsidR="002C0FD9" w:rsidRPr="00CA25CF" w:rsidRDefault="002C0FD9" w:rsidP="00CA25CF">
            <w:pPr>
              <w:rPr>
                <w:rFonts w:cs="Arial"/>
                <w:color w:val="FF0000"/>
                <w:sz w:val="21"/>
                <w:szCs w:val="21"/>
              </w:rPr>
            </w:pPr>
          </w:p>
        </w:tc>
        <w:tc>
          <w:tcPr>
            <w:tcW w:w="217" w:type="dxa"/>
          </w:tcPr>
          <w:p w14:paraId="75AF6851" w14:textId="77777777" w:rsidR="002C0FD9" w:rsidRPr="00CA25CF" w:rsidRDefault="002C0FD9" w:rsidP="00CA25CF">
            <w:pPr>
              <w:rPr>
                <w:rFonts w:cs="Arial"/>
                <w:color w:val="FF0000"/>
                <w:sz w:val="21"/>
                <w:szCs w:val="21"/>
              </w:rPr>
            </w:pPr>
          </w:p>
        </w:tc>
        <w:tc>
          <w:tcPr>
            <w:tcW w:w="217" w:type="dxa"/>
          </w:tcPr>
          <w:p w14:paraId="6541E987" w14:textId="77777777" w:rsidR="002C0FD9" w:rsidRPr="00CA25CF" w:rsidRDefault="002C0FD9" w:rsidP="00CA25CF">
            <w:pPr>
              <w:rPr>
                <w:rFonts w:cs="Arial"/>
                <w:color w:val="FF0000"/>
                <w:sz w:val="21"/>
                <w:szCs w:val="21"/>
              </w:rPr>
            </w:pPr>
          </w:p>
        </w:tc>
        <w:tc>
          <w:tcPr>
            <w:tcW w:w="217" w:type="dxa"/>
          </w:tcPr>
          <w:p w14:paraId="2CA8D4DC" w14:textId="77777777" w:rsidR="002C0FD9" w:rsidRPr="00CA25CF" w:rsidRDefault="002C0FD9" w:rsidP="00CA25CF">
            <w:pPr>
              <w:rPr>
                <w:rFonts w:cs="Arial"/>
                <w:color w:val="FF0000"/>
                <w:sz w:val="21"/>
                <w:szCs w:val="21"/>
              </w:rPr>
            </w:pPr>
          </w:p>
        </w:tc>
        <w:tc>
          <w:tcPr>
            <w:tcW w:w="217" w:type="dxa"/>
          </w:tcPr>
          <w:p w14:paraId="63FAB637" w14:textId="77777777" w:rsidR="002C0FD9" w:rsidRPr="00CA25CF" w:rsidRDefault="002C0FD9" w:rsidP="00CA25CF">
            <w:pPr>
              <w:rPr>
                <w:rFonts w:cs="Arial"/>
                <w:color w:val="FF0000"/>
                <w:sz w:val="21"/>
                <w:szCs w:val="21"/>
              </w:rPr>
            </w:pPr>
          </w:p>
        </w:tc>
        <w:tc>
          <w:tcPr>
            <w:tcW w:w="217" w:type="dxa"/>
          </w:tcPr>
          <w:p w14:paraId="242D41F6" w14:textId="77777777" w:rsidR="002C0FD9" w:rsidRPr="00CA25CF" w:rsidRDefault="002C0FD9" w:rsidP="00CA25CF">
            <w:pPr>
              <w:rPr>
                <w:rFonts w:cs="Arial"/>
                <w:color w:val="FF0000"/>
                <w:sz w:val="21"/>
                <w:szCs w:val="21"/>
              </w:rPr>
            </w:pPr>
          </w:p>
        </w:tc>
        <w:tc>
          <w:tcPr>
            <w:tcW w:w="217" w:type="dxa"/>
          </w:tcPr>
          <w:p w14:paraId="77483602" w14:textId="77777777" w:rsidR="002C0FD9" w:rsidRPr="00CA25CF" w:rsidRDefault="002C0FD9" w:rsidP="00CA25CF">
            <w:pPr>
              <w:rPr>
                <w:rFonts w:cs="Arial"/>
                <w:color w:val="FF0000"/>
                <w:sz w:val="21"/>
                <w:szCs w:val="21"/>
              </w:rPr>
            </w:pPr>
          </w:p>
        </w:tc>
        <w:tc>
          <w:tcPr>
            <w:tcW w:w="217" w:type="dxa"/>
          </w:tcPr>
          <w:p w14:paraId="284CDB0C" w14:textId="77777777" w:rsidR="002C0FD9" w:rsidRPr="00CA25CF" w:rsidRDefault="002C0FD9" w:rsidP="00CA25CF">
            <w:pPr>
              <w:rPr>
                <w:rFonts w:cs="Arial"/>
                <w:color w:val="FF0000"/>
                <w:sz w:val="21"/>
                <w:szCs w:val="21"/>
              </w:rPr>
            </w:pPr>
          </w:p>
        </w:tc>
        <w:tc>
          <w:tcPr>
            <w:tcW w:w="217" w:type="dxa"/>
          </w:tcPr>
          <w:p w14:paraId="277C19A0" w14:textId="77777777" w:rsidR="002C0FD9" w:rsidRPr="00CA25CF" w:rsidRDefault="002C0FD9" w:rsidP="00CA25CF">
            <w:pPr>
              <w:rPr>
                <w:rFonts w:cs="Arial"/>
                <w:color w:val="FF0000"/>
                <w:sz w:val="21"/>
                <w:szCs w:val="21"/>
              </w:rPr>
            </w:pPr>
          </w:p>
        </w:tc>
        <w:tc>
          <w:tcPr>
            <w:tcW w:w="217" w:type="dxa"/>
          </w:tcPr>
          <w:p w14:paraId="5EEFE6CA" w14:textId="77777777" w:rsidR="002C0FD9" w:rsidRPr="00CA25CF" w:rsidRDefault="002C0FD9" w:rsidP="00CA25CF">
            <w:pPr>
              <w:rPr>
                <w:rFonts w:cs="Arial"/>
                <w:color w:val="FF0000"/>
                <w:sz w:val="21"/>
                <w:szCs w:val="21"/>
              </w:rPr>
            </w:pPr>
          </w:p>
        </w:tc>
        <w:tc>
          <w:tcPr>
            <w:tcW w:w="217" w:type="dxa"/>
          </w:tcPr>
          <w:p w14:paraId="3475C127" w14:textId="77777777" w:rsidR="002C0FD9" w:rsidRPr="00CA25CF" w:rsidRDefault="002C0FD9" w:rsidP="00CA25CF">
            <w:pPr>
              <w:rPr>
                <w:rFonts w:cs="Arial"/>
                <w:color w:val="FF0000"/>
                <w:sz w:val="21"/>
                <w:szCs w:val="21"/>
              </w:rPr>
            </w:pPr>
          </w:p>
        </w:tc>
        <w:tc>
          <w:tcPr>
            <w:tcW w:w="217" w:type="dxa"/>
          </w:tcPr>
          <w:p w14:paraId="247FD2FB" w14:textId="77777777" w:rsidR="002C0FD9" w:rsidRPr="00CA25CF" w:rsidRDefault="002C0FD9" w:rsidP="00CA25CF">
            <w:pPr>
              <w:rPr>
                <w:rFonts w:cs="Arial"/>
                <w:color w:val="FF0000"/>
                <w:sz w:val="21"/>
                <w:szCs w:val="21"/>
              </w:rPr>
            </w:pPr>
          </w:p>
        </w:tc>
        <w:tc>
          <w:tcPr>
            <w:tcW w:w="217" w:type="dxa"/>
          </w:tcPr>
          <w:p w14:paraId="56CDAA8B" w14:textId="77777777" w:rsidR="002C0FD9" w:rsidRPr="00CA25CF" w:rsidRDefault="002C0FD9" w:rsidP="00CA25CF">
            <w:pPr>
              <w:rPr>
                <w:rFonts w:cs="Arial"/>
                <w:color w:val="FF0000"/>
                <w:sz w:val="21"/>
                <w:szCs w:val="21"/>
              </w:rPr>
            </w:pPr>
          </w:p>
        </w:tc>
        <w:tc>
          <w:tcPr>
            <w:tcW w:w="217" w:type="dxa"/>
          </w:tcPr>
          <w:p w14:paraId="2B147BA7" w14:textId="77777777" w:rsidR="002C0FD9" w:rsidRPr="00CA25CF" w:rsidRDefault="002C0FD9" w:rsidP="00CA25CF">
            <w:pPr>
              <w:rPr>
                <w:rFonts w:cs="Arial"/>
                <w:color w:val="FF0000"/>
                <w:sz w:val="21"/>
                <w:szCs w:val="21"/>
              </w:rPr>
            </w:pPr>
          </w:p>
        </w:tc>
      </w:tr>
      <w:tr w:rsidR="002C0FD9" w:rsidRPr="00A16219" w14:paraId="276BC147" w14:textId="77777777" w:rsidTr="002C0FD9">
        <w:trPr>
          <w:trHeight w:val="635"/>
        </w:trPr>
        <w:tc>
          <w:tcPr>
            <w:tcW w:w="515" w:type="dxa"/>
          </w:tcPr>
          <w:p w14:paraId="4982B3E3" w14:textId="77777777" w:rsidR="002C0FD9" w:rsidRPr="00CA25CF" w:rsidRDefault="002C0FD9" w:rsidP="00CA25CF">
            <w:pPr>
              <w:rPr>
                <w:rFonts w:cs="Arial"/>
                <w:color w:val="FF0000"/>
                <w:sz w:val="21"/>
                <w:szCs w:val="21"/>
              </w:rPr>
            </w:pPr>
          </w:p>
        </w:tc>
        <w:tc>
          <w:tcPr>
            <w:tcW w:w="217" w:type="dxa"/>
          </w:tcPr>
          <w:p w14:paraId="363BEBE6" w14:textId="77777777" w:rsidR="002C0FD9" w:rsidRPr="00CA25CF" w:rsidRDefault="002C0FD9" w:rsidP="00CA25CF">
            <w:pPr>
              <w:rPr>
                <w:rFonts w:cs="Arial"/>
                <w:color w:val="FF0000"/>
                <w:sz w:val="21"/>
                <w:szCs w:val="21"/>
              </w:rPr>
            </w:pPr>
          </w:p>
        </w:tc>
        <w:tc>
          <w:tcPr>
            <w:tcW w:w="217" w:type="dxa"/>
          </w:tcPr>
          <w:p w14:paraId="33D5A7A1" w14:textId="77777777" w:rsidR="002C0FD9" w:rsidRPr="00CA25CF" w:rsidRDefault="002C0FD9" w:rsidP="00CA25CF">
            <w:pPr>
              <w:rPr>
                <w:rFonts w:cs="Arial"/>
                <w:color w:val="FF0000"/>
                <w:sz w:val="21"/>
                <w:szCs w:val="21"/>
              </w:rPr>
            </w:pPr>
          </w:p>
        </w:tc>
        <w:tc>
          <w:tcPr>
            <w:tcW w:w="217" w:type="dxa"/>
          </w:tcPr>
          <w:p w14:paraId="268C937F" w14:textId="77777777" w:rsidR="002C0FD9" w:rsidRPr="00CA25CF" w:rsidRDefault="002C0FD9" w:rsidP="00CA25CF">
            <w:pPr>
              <w:rPr>
                <w:rFonts w:cs="Arial"/>
                <w:color w:val="FF0000"/>
                <w:sz w:val="21"/>
                <w:szCs w:val="21"/>
              </w:rPr>
            </w:pPr>
          </w:p>
        </w:tc>
        <w:tc>
          <w:tcPr>
            <w:tcW w:w="217" w:type="dxa"/>
          </w:tcPr>
          <w:p w14:paraId="7A0337F7" w14:textId="77777777" w:rsidR="002C0FD9" w:rsidRPr="00CA25CF" w:rsidRDefault="002C0FD9" w:rsidP="00CA25CF">
            <w:pPr>
              <w:rPr>
                <w:rFonts w:cs="Arial"/>
                <w:color w:val="FF0000"/>
                <w:sz w:val="21"/>
                <w:szCs w:val="21"/>
              </w:rPr>
            </w:pPr>
          </w:p>
        </w:tc>
        <w:tc>
          <w:tcPr>
            <w:tcW w:w="217" w:type="dxa"/>
          </w:tcPr>
          <w:p w14:paraId="6886EDD9" w14:textId="77777777" w:rsidR="002C0FD9" w:rsidRPr="00CA25CF" w:rsidRDefault="002C0FD9" w:rsidP="00CA25CF">
            <w:pPr>
              <w:rPr>
                <w:rFonts w:cs="Arial"/>
                <w:color w:val="FF0000"/>
                <w:sz w:val="21"/>
                <w:szCs w:val="21"/>
              </w:rPr>
            </w:pPr>
          </w:p>
        </w:tc>
        <w:tc>
          <w:tcPr>
            <w:tcW w:w="217" w:type="dxa"/>
          </w:tcPr>
          <w:p w14:paraId="1B5F860F" w14:textId="77777777" w:rsidR="002C0FD9" w:rsidRPr="00CA25CF" w:rsidRDefault="002C0FD9" w:rsidP="00CA25CF">
            <w:pPr>
              <w:rPr>
                <w:rFonts w:cs="Arial"/>
                <w:color w:val="FF0000"/>
                <w:sz w:val="21"/>
                <w:szCs w:val="21"/>
              </w:rPr>
            </w:pPr>
          </w:p>
        </w:tc>
        <w:tc>
          <w:tcPr>
            <w:tcW w:w="217" w:type="dxa"/>
          </w:tcPr>
          <w:p w14:paraId="3AA6BA54" w14:textId="77777777" w:rsidR="002C0FD9" w:rsidRPr="00CA25CF" w:rsidRDefault="002C0FD9" w:rsidP="00CA25CF">
            <w:pPr>
              <w:rPr>
                <w:rFonts w:cs="Arial"/>
                <w:color w:val="FF0000"/>
                <w:sz w:val="21"/>
                <w:szCs w:val="21"/>
              </w:rPr>
            </w:pPr>
          </w:p>
        </w:tc>
        <w:tc>
          <w:tcPr>
            <w:tcW w:w="217" w:type="dxa"/>
          </w:tcPr>
          <w:p w14:paraId="2946E9EE" w14:textId="77777777" w:rsidR="002C0FD9" w:rsidRPr="00CA25CF" w:rsidRDefault="002C0FD9" w:rsidP="00CA25CF">
            <w:pPr>
              <w:rPr>
                <w:rFonts w:cs="Arial"/>
                <w:color w:val="FF0000"/>
                <w:sz w:val="21"/>
                <w:szCs w:val="21"/>
              </w:rPr>
            </w:pPr>
          </w:p>
        </w:tc>
        <w:tc>
          <w:tcPr>
            <w:tcW w:w="217" w:type="dxa"/>
          </w:tcPr>
          <w:p w14:paraId="208918E5" w14:textId="77777777" w:rsidR="002C0FD9" w:rsidRPr="00CA25CF" w:rsidRDefault="002C0FD9" w:rsidP="00CA25CF">
            <w:pPr>
              <w:rPr>
                <w:rFonts w:cs="Arial"/>
                <w:color w:val="FF0000"/>
                <w:sz w:val="21"/>
                <w:szCs w:val="21"/>
              </w:rPr>
            </w:pPr>
          </w:p>
        </w:tc>
        <w:tc>
          <w:tcPr>
            <w:tcW w:w="217" w:type="dxa"/>
          </w:tcPr>
          <w:p w14:paraId="468CBCF7" w14:textId="77777777" w:rsidR="002C0FD9" w:rsidRPr="00CA25CF" w:rsidRDefault="002C0FD9" w:rsidP="00CA25CF">
            <w:pPr>
              <w:rPr>
                <w:rFonts w:cs="Arial"/>
                <w:color w:val="FF0000"/>
                <w:sz w:val="21"/>
                <w:szCs w:val="21"/>
              </w:rPr>
            </w:pPr>
          </w:p>
        </w:tc>
        <w:tc>
          <w:tcPr>
            <w:tcW w:w="217" w:type="dxa"/>
          </w:tcPr>
          <w:p w14:paraId="203A3D47" w14:textId="77777777" w:rsidR="002C0FD9" w:rsidRPr="00CA25CF" w:rsidRDefault="002C0FD9" w:rsidP="00CA25CF">
            <w:pPr>
              <w:rPr>
                <w:rFonts w:cs="Arial"/>
                <w:color w:val="FF0000"/>
                <w:sz w:val="21"/>
                <w:szCs w:val="21"/>
              </w:rPr>
            </w:pPr>
          </w:p>
        </w:tc>
        <w:tc>
          <w:tcPr>
            <w:tcW w:w="217" w:type="dxa"/>
          </w:tcPr>
          <w:p w14:paraId="754D95B2" w14:textId="77777777" w:rsidR="002C0FD9" w:rsidRPr="00CA25CF" w:rsidRDefault="002C0FD9" w:rsidP="00CA25CF">
            <w:pPr>
              <w:rPr>
                <w:rFonts w:cs="Arial"/>
                <w:color w:val="FF0000"/>
                <w:sz w:val="21"/>
                <w:szCs w:val="21"/>
              </w:rPr>
            </w:pPr>
          </w:p>
        </w:tc>
        <w:tc>
          <w:tcPr>
            <w:tcW w:w="217" w:type="dxa"/>
          </w:tcPr>
          <w:p w14:paraId="3C74C3C0" w14:textId="77777777" w:rsidR="002C0FD9" w:rsidRPr="00CA25CF" w:rsidRDefault="002C0FD9" w:rsidP="00CA25CF">
            <w:pPr>
              <w:rPr>
                <w:rFonts w:cs="Arial"/>
                <w:color w:val="FF0000"/>
                <w:sz w:val="21"/>
                <w:szCs w:val="21"/>
              </w:rPr>
            </w:pPr>
          </w:p>
        </w:tc>
        <w:tc>
          <w:tcPr>
            <w:tcW w:w="217" w:type="dxa"/>
          </w:tcPr>
          <w:p w14:paraId="668680C7" w14:textId="77777777" w:rsidR="002C0FD9" w:rsidRPr="00CA25CF" w:rsidRDefault="002C0FD9" w:rsidP="00CA25CF">
            <w:pPr>
              <w:rPr>
                <w:rFonts w:cs="Arial"/>
                <w:color w:val="FF0000"/>
                <w:sz w:val="21"/>
                <w:szCs w:val="21"/>
              </w:rPr>
            </w:pPr>
          </w:p>
        </w:tc>
        <w:tc>
          <w:tcPr>
            <w:tcW w:w="217" w:type="dxa"/>
          </w:tcPr>
          <w:p w14:paraId="51073EF0" w14:textId="77777777" w:rsidR="002C0FD9" w:rsidRPr="00CA25CF" w:rsidRDefault="002C0FD9" w:rsidP="00CA25CF">
            <w:pPr>
              <w:rPr>
                <w:rFonts w:cs="Arial"/>
                <w:color w:val="FF0000"/>
                <w:sz w:val="21"/>
                <w:szCs w:val="21"/>
              </w:rPr>
            </w:pPr>
          </w:p>
        </w:tc>
        <w:tc>
          <w:tcPr>
            <w:tcW w:w="217" w:type="dxa"/>
          </w:tcPr>
          <w:p w14:paraId="1E066591" w14:textId="77777777" w:rsidR="002C0FD9" w:rsidRPr="00CA25CF" w:rsidRDefault="002C0FD9" w:rsidP="00CA25CF">
            <w:pPr>
              <w:rPr>
                <w:rFonts w:cs="Arial"/>
                <w:color w:val="FF0000"/>
                <w:sz w:val="21"/>
                <w:szCs w:val="21"/>
              </w:rPr>
            </w:pPr>
          </w:p>
        </w:tc>
        <w:tc>
          <w:tcPr>
            <w:tcW w:w="217" w:type="dxa"/>
          </w:tcPr>
          <w:p w14:paraId="7673201F" w14:textId="77777777" w:rsidR="002C0FD9" w:rsidRPr="00CA25CF" w:rsidRDefault="002C0FD9" w:rsidP="00CA25CF">
            <w:pPr>
              <w:rPr>
                <w:rFonts w:cs="Arial"/>
                <w:color w:val="FF0000"/>
                <w:sz w:val="21"/>
                <w:szCs w:val="21"/>
              </w:rPr>
            </w:pPr>
          </w:p>
        </w:tc>
        <w:tc>
          <w:tcPr>
            <w:tcW w:w="217" w:type="dxa"/>
          </w:tcPr>
          <w:p w14:paraId="39A44B29" w14:textId="77777777" w:rsidR="002C0FD9" w:rsidRPr="00CA25CF" w:rsidRDefault="002C0FD9" w:rsidP="00CA25CF">
            <w:pPr>
              <w:rPr>
                <w:rFonts w:cs="Arial"/>
                <w:color w:val="FF0000"/>
                <w:sz w:val="21"/>
                <w:szCs w:val="21"/>
              </w:rPr>
            </w:pPr>
          </w:p>
        </w:tc>
        <w:tc>
          <w:tcPr>
            <w:tcW w:w="217" w:type="dxa"/>
          </w:tcPr>
          <w:p w14:paraId="6EE42E25" w14:textId="77777777" w:rsidR="002C0FD9" w:rsidRPr="00CA25CF" w:rsidRDefault="002C0FD9" w:rsidP="00CA25CF">
            <w:pPr>
              <w:rPr>
                <w:rFonts w:cs="Arial"/>
                <w:color w:val="FF0000"/>
                <w:sz w:val="21"/>
                <w:szCs w:val="21"/>
              </w:rPr>
            </w:pPr>
          </w:p>
        </w:tc>
        <w:tc>
          <w:tcPr>
            <w:tcW w:w="217" w:type="dxa"/>
          </w:tcPr>
          <w:p w14:paraId="42CB41DE" w14:textId="77777777" w:rsidR="002C0FD9" w:rsidRPr="00CA25CF" w:rsidRDefault="002C0FD9" w:rsidP="00CA25CF">
            <w:pPr>
              <w:rPr>
                <w:rFonts w:cs="Arial"/>
                <w:color w:val="FF0000"/>
                <w:sz w:val="21"/>
                <w:szCs w:val="21"/>
              </w:rPr>
            </w:pPr>
          </w:p>
        </w:tc>
        <w:tc>
          <w:tcPr>
            <w:tcW w:w="217" w:type="dxa"/>
          </w:tcPr>
          <w:p w14:paraId="0AAAC83B" w14:textId="77777777" w:rsidR="002C0FD9" w:rsidRPr="00CA25CF" w:rsidRDefault="002C0FD9" w:rsidP="00CA25CF">
            <w:pPr>
              <w:rPr>
                <w:rFonts w:cs="Arial"/>
                <w:color w:val="FF0000"/>
                <w:sz w:val="21"/>
                <w:szCs w:val="21"/>
              </w:rPr>
            </w:pPr>
          </w:p>
        </w:tc>
        <w:tc>
          <w:tcPr>
            <w:tcW w:w="217" w:type="dxa"/>
          </w:tcPr>
          <w:p w14:paraId="54D02618" w14:textId="77777777" w:rsidR="002C0FD9" w:rsidRPr="00CA25CF" w:rsidRDefault="002C0FD9" w:rsidP="00CA25CF">
            <w:pPr>
              <w:rPr>
                <w:rFonts w:cs="Arial"/>
                <w:color w:val="FF0000"/>
                <w:sz w:val="21"/>
                <w:szCs w:val="21"/>
              </w:rPr>
            </w:pPr>
          </w:p>
        </w:tc>
        <w:tc>
          <w:tcPr>
            <w:tcW w:w="217" w:type="dxa"/>
          </w:tcPr>
          <w:p w14:paraId="50525C6E" w14:textId="77777777" w:rsidR="002C0FD9" w:rsidRPr="00CA25CF" w:rsidRDefault="002C0FD9" w:rsidP="00CA25CF">
            <w:pPr>
              <w:rPr>
                <w:rFonts w:cs="Arial"/>
                <w:color w:val="FF0000"/>
                <w:sz w:val="21"/>
                <w:szCs w:val="21"/>
              </w:rPr>
            </w:pPr>
          </w:p>
        </w:tc>
        <w:tc>
          <w:tcPr>
            <w:tcW w:w="217" w:type="dxa"/>
          </w:tcPr>
          <w:p w14:paraId="02B0CF84" w14:textId="77777777" w:rsidR="002C0FD9" w:rsidRPr="00CA25CF" w:rsidRDefault="002C0FD9" w:rsidP="00CA25CF">
            <w:pPr>
              <w:rPr>
                <w:rFonts w:cs="Arial"/>
                <w:color w:val="FF0000"/>
                <w:sz w:val="21"/>
                <w:szCs w:val="21"/>
              </w:rPr>
            </w:pPr>
          </w:p>
        </w:tc>
        <w:tc>
          <w:tcPr>
            <w:tcW w:w="217" w:type="dxa"/>
          </w:tcPr>
          <w:p w14:paraId="5415AF7A" w14:textId="77777777" w:rsidR="002C0FD9" w:rsidRPr="00CA25CF" w:rsidRDefault="002C0FD9" w:rsidP="00CA25CF">
            <w:pPr>
              <w:rPr>
                <w:rFonts w:cs="Arial"/>
                <w:color w:val="FF0000"/>
                <w:sz w:val="21"/>
                <w:szCs w:val="21"/>
              </w:rPr>
            </w:pPr>
          </w:p>
        </w:tc>
        <w:tc>
          <w:tcPr>
            <w:tcW w:w="217" w:type="dxa"/>
          </w:tcPr>
          <w:p w14:paraId="5EF9C1D3" w14:textId="77777777" w:rsidR="002C0FD9" w:rsidRPr="00CA25CF" w:rsidRDefault="002C0FD9" w:rsidP="00CA25CF">
            <w:pPr>
              <w:rPr>
                <w:rFonts w:cs="Arial"/>
                <w:color w:val="FF0000"/>
                <w:sz w:val="21"/>
                <w:szCs w:val="21"/>
              </w:rPr>
            </w:pPr>
          </w:p>
        </w:tc>
        <w:tc>
          <w:tcPr>
            <w:tcW w:w="217" w:type="dxa"/>
          </w:tcPr>
          <w:p w14:paraId="2E8D98B7" w14:textId="77777777" w:rsidR="002C0FD9" w:rsidRPr="00CA25CF" w:rsidRDefault="002C0FD9" w:rsidP="00CA25CF">
            <w:pPr>
              <w:rPr>
                <w:rFonts w:cs="Arial"/>
                <w:color w:val="FF0000"/>
                <w:sz w:val="21"/>
                <w:szCs w:val="21"/>
              </w:rPr>
            </w:pPr>
          </w:p>
        </w:tc>
        <w:tc>
          <w:tcPr>
            <w:tcW w:w="217" w:type="dxa"/>
          </w:tcPr>
          <w:p w14:paraId="09286EE3" w14:textId="77777777" w:rsidR="002C0FD9" w:rsidRPr="00CA25CF" w:rsidRDefault="002C0FD9" w:rsidP="00CA25CF">
            <w:pPr>
              <w:rPr>
                <w:rFonts w:cs="Arial"/>
                <w:color w:val="FF0000"/>
                <w:sz w:val="21"/>
                <w:szCs w:val="21"/>
              </w:rPr>
            </w:pPr>
          </w:p>
        </w:tc>
        <w:tc>
          <w:tcPr>
            <w:tcW w:w="217" w:type="dxa"/>
          </w:tcPr>
          <w:p w14:paraId="6F32BC19" w14:textId="77777777" w:rsidR="002C0FD9" w:rsidRPr="00CA25CF" w:rsidRDefault="002C0FD9" w:rsidP="00CA25CF">
            <w:pPr>
              <w:rPr>
                <w:rFonts w:cs="Arial"/>
                <w:color w:val="FF0000"/>
                <w:sz w:val="21"/>
                <w:szCs w:val="21"/>
              </w:rPr>
            </w:pPr>
          </w:p>
        </w:tc>
        <w:tc>
          <w:tcPr>
            <w:tcW w:w="217" w:type="dxa"/>
          </w:tcPr>
          <w:p w14:paraId="08670FC9" w14:textId="77777777" w:rsidR="002C0FD9" w:rsidRPr="00CA25CF" w:rsidRDefault="002C0FD9" w:rsidP="00CA25CF">
            <w:pPr>
              <w:rPr>
                <w:rFonts w:cs="Arial"/>
                <w:color w:val="FF0000"/>
                <w:sz w:val="21"/>
                <w:szCs w:val="21"/>
              </w:rPr>
            </w:pPr>
          </w:p>
        </w:tc>
        <w:tc>
          <w:tcPr>
            <w:tcW w:w="217" w:type="dxa"/>
          </w:tcPr>
          <w:p w14:paraId="74D53981" w14:textId="77777777" w:rsidR="002C0FD9" w:rsidRPr="00CA25CF" w:rsidRDefault="002C0FD9" w:rsidP="00CA25CF">
            <w:pPr>
              <w:rPr>
                <w:rFonts w:cs="Arial"/>
                <w:color w:val="FF0000"/>
                <w:sz w:val="21"/>
                <w:szCs w:val="21"/>
              </w:rPr>
            </w:pPr>
          </w:p>
        </w:tc>
        <w:tc>
          <w:tcPr>
            <w:tcW w:w="217" w:type="dxa"/>
          </w:tcPr>
          <w:p w14:paraId="330BFF80" w14:textId="77777777" w:rsidR="002C0FD9" w:rsidRPr="00CA25CF" w:rsidRDefault="002C0FD9" w:rsidP="00CA25CF">
            <w:pPr>
              <w:rPr>
                <w:rFonts w:cs="Arial"/>
                <w:color w:val="FF0000"/>
                <w:sz w:val="21"/>
                <w:szCs w:val="21"/>
              </w:rPr>
            </w:pPr>
          </w:p>
        </w:tc>
        <w:tc>
          <w:tcPr>
            <w:tcW w:w="217" w:type="dxa"/>
          </w:tcPr>
          <w:p w14:paraId="6E55B214" w14:textId="77777777" w:rsidR="002C0FD9" w:rsidRPr="00CA25CF" w:rsidRDefault="002C0FD9" w:rsidP="00CA25CF">
            <w:pPr>
              <w:rPr>
                <w:rFonts w:cs="Arial"/>
                <w:color w:val="FF0000"/>
                <w:sz w:val="21"/>
                <w:szCs w:val="21"/>
              </w:rPr>
            </w:pPr>
          </w:p>
        </w:tc>
        <w:tc>
          <w:tcPr>
            <w:tcW w:w="217" w:type="dxa"/>
          </w:tcPr>
          <w:p w14:paraId="689DAEA3" w14:textId="77777777" w:rsidR="002C0FD9" w:rsidRPr="00CA25CF" w:rsidRDefault="002C0FD9" w:rsidP="00CA25CF">
            <w:pPr>
              <w:rPr>
                <w:rFonts w:cs="Arial"/>
                <w:color w:val="FF0000"/>
                <w:sz w:val="21"/>
                <w:szCs w:val="21"/>
              </w:rPr>
            </w:pPr>
          </w:p>
        </w:tc>
        <w:tc>
          <w:tcPr>
            <w:tcW w:w="217" w:type="dxa"/>
          </w:tcPr>
          <w:p w14:paraId="04418959" w14:textId="77777777" w:rsidR="002C0FD9" w:rsidRPr="00CA25CF" w:rsidRDefault="002C0FD9" w:rsidP="00CA25CF">
            <w:pPr>
              <w:rPr>
                <w:rFonts w:cs="Arial"/>
                <w:color w:val="FF0000"/>
                <w:sz w:val="21"/>
                <w:szCs w:val="21"/>
              </w:rPr>
            </w:pPr>
          </w:p>
        </w:tc>
        <w:tc>
          <w:tcPr>
            <w:tcW w:w="217" w:type="dxa"/>
          </w:tcPr>
          <w:p w14:paraId="613EBE8C" w14:textId="77777777" w:rsidR="002C0FD9" w:rsidRPr="00CA25CF" w:rsidRDefault="002C0FD9" w:rsidP="00CA25CF">
            <w:pPr>
              <w:rPr>
                <w:rFonts w:cs="Arial"/>
                <w:color w:val="FF0000"/>
                <w:sz w:val="21"/>
                <w:szCs w:val="21"/>
              </w:rPr>
            </w:pPr>
          </w:p>
        </w:tc>
        <w:tc>
          <w:tcPr>
            <w:tcW w:w="217" w:type="dxa"/>
          </w:tcPr>
          <w:p w14:paraId="3F20E8EF" w14:textId="77777777" w:rsidR="002C0FD9" w:rsidRPr="00CA25CF" w:rsidRDefault="002C0FD9" w:rsidP="00CA25CF">
            <w:pPr>
              <w:rPr>
                <w:rFonts w:cs="Arial"/>
                <w:color w:val="FF0000"/>
                <w:sz w:val="21"/>
                <w:szCs w:val="21"/>
              </w:rPr>
            </w:pPr>
          </w:p>
        </w:tc>
        <w:tc>
          <w:tcPr>
            <w:tcW w:w="217" w:type="dxa"/>
          </w:tcPr>
          <w:p w14:paraId="6C94FE20" w14:textId="77777777" w:rsidR="002C0FD9" w:rsidRPr="00CA25CF" w:rsidRDefault="002C0FD9" w:rsidP="00CA25CF">
            <w:pPr>
              <w:rPr>
                <w:rFonts w:cs="Arial"/>
                <w:color w:val="FF0000"/>
                <w:sz w:val="21"/>
                <w:szCs w:val="21"/>
              </w:rPr>
            </w:pPr>
          </w:p>
        </w:tc>
        <w:tc>
          <w:tcPr>
            <w:tcW w:w="217" w:type="dxa"/>
          </w:tcPr>
          <w:p w14:paraId="2AE601A5" w14:textId="77777777" w:rsidR="002C0FD9" w:rsidRPr="00CA25CF" w:rsidRDefault="002C0FD9" w:rsidP="00CA25CF">
            <w:pPr>
              <w:rPr>
                <w:rFonts w:cs="Arial"/>
                <w:color w:val="FF0000"/>
                <w:sz w:val="21"/>
                <w:szCs w:val="21"/>
              </w:rPr>
            </w:pPr>
          </w:p>
        </w:tc>
        <w:tc>
          <w:tcPr>
            <w:tcW w:w="217" w:type="dxa"/>
          </w:tcPr>
          <w:p w14:paraId="54D9DFB2" w14:textId="77777777" w:rsidR="002C0FD9" w:rsidRPr="00CA25CF" w:rsidRDefault="002C0FD9" w:rsidP="00CA25CF">
            <w:pPr>
              <w:rPr>
                <w:rFonts w:cs="Arial"/>
                <w:color w:val="FF0000"/>
                <w:sz w:val="21"/>
                <w:szCs w:val="21"/>
              </w:rPr>
            </w:pPr>
          </w:p>
        </w:tc>
        <w:tc>
          <w:tcPr>
            <w:tcW w:w="217" w:type="dxa"/>
          </w:tcPr>
          <w:p w14:paraId="456797D0" w14:textId="77777777" w:rsidR="002C0FD9" w:rsidRPr="00CA25CF" w:rsidRDefault="002C0FD9" w:rsidP="00CA25CF">
            <w:pPr>
              <w:rPr>
                <w:rFonts w:cs="Arial"/>
                <w:color w:val="FF0000"/>
                <w:sz w:val="21"/>
                <w:szCs w:val="21"/>
              </w:rPr>
            </w:pPr>
          </w:p>
        </w:tc>
        <w:tc>
          <w:tcPr>
            <w:tcW w:w="217" w:type="dxa"/>
          </w:tcPr>
          <w:p w14:paraId="3237F2D6" w14:textId="77777777" w:rsidR="002C0FD9" w:rsidRPr="00CA25CF" w:rsidRDefault="002C0FD9" w:rsidP="00CA25CF">
            <w:pPr>
              <w:rPr>
                <w:rFonts w:cs="Arial"/>
                <w:color w:val="FF0000"/>
                <w:sz w:val="21"/>
                <w:szCs w:val="21"/>
              </w:rPr>
            </w:pPr>
          </w:p>
        </w:tc>
      </w:tr>
      <w:tr w:rsidR="002C0FD9" w:rsidRPr="00A16219" w14:paraId="3C5415CD" w14:textId="77777777" w:rsidTr="002C0FD9">
        <w:trPr>
          <w:trHeight w:val="635"/>
        </w:trPr>
        <w:tc>
          <w:tcPr>
            <w:tcW w:w="515" w:type="dxa"/>
          </w:tcPr>
          <w:p w14:paraId="6BE289D8" w14:textId="77777777" w:rsidR="002C0FD9" w:rsidRPr="00CA25CF" w:rsidRDefault="002C0FD9" w:rsidP="00CA25CF">
            <w:pPr>
              <w:rPr>
                <w:rFonts w:cs="Arial"/>
                <w:color w:val="FF0000"/>
                <w:sz w:val="21"/>
                <w:szCs w:val="21"/>
              </w:rPr>
            </w:pPr>
          </w:p>
        </w:tc>
        <w:tc>
          <w:tcPr>
            <w:tcW w:w="217" w:type="dxa"/>
          </w:tcPr>
          <w:p w14:paraId="6CCF277D" w14:textId="77777777" w:rsidR="002C0FD9" w:rsidRPr="00CA25CF" w:rsidRDefault="002C0FD9" w:rsidP="00CA25CF">
            <w:pPr>
              <w:rPr>
                <w:rFonts w:cs="Arial"/>
                <w:color w:val="FF0000"/>
                <w:sz w:val="21"/>
                <w:szCs w:val="21"/>
              </w:rPr>
            </w:pPr>
          </w:p>
        </w:tc>
        <w:tc>
          <w:tcPr>
            <w:tcW w:w="217" w:type="dxa"/>
          </w:tcPr>
          <w:p w14:paraId="622AE88F" w14:textId="77777777" w:rsidR="002C0FD9" w:rsidRPr="00CA25CF" w:rsidRDefault="002C0FD9" w:rsidP="00CA25CF">
            <w:pPr>
              <w:rPr>
                <w:rFonts w:cs="Arial"/>
                <w:color w:val="FF0000"/>
                <w:sz w:val="21"/>
                <w:szCs w:val="21"/>
              </w:rPr>
            </w:pPr>
          </w:p>
        </w:tc>
        <w:tc>
          <w:tcPr>
            <w:tcW w:w="217" w:type="dxa"/>
          </w:tcPr>
          <w:p w14:paraId="2328A36C" w14:textId="77777777" w:rsidR="002C0FD9" w:rsidRPr="00CA25CF" w:rsidRDefault="002C0FD9" w:rsidP="00CA25CF">
            <w:pPr>
              <w:rPr>
                <w:rFonts w:cs="Arial"/>
                <w:color w:val="FF0000"/>
                <w:sz w:val="21"/>
                <w:szCs w:val="21"/>
              </w:rPr>
            </w:pPr>
          </w:p>
        </w:tc>
        <w:tc>
          <w:tcPr>
            <w:tcW w:w="217" w:type="dxa"/>
          </w:tcPr>
          <w:p w14:paraId="6912282B" w14:textId="77777777" w:rsidR="002C0FD9" w:rsidRPr="00CA25CF" w:rsidRDefault="002C0FD9" w:rsidP="00CA25CF">
            <w:pPr>
              <w:rPr>
                <w:rFonts w:cs="Arial"/>
                <w:color w:val="FF0000"/>
                <w:sz w:val="21"/>
                <w:szCs w:val="21"/>
              </w:rPr>
            </w:pPr>
          </w:p>
        </w:tc>
        <w:tc>
          <w:tcPr>
            <w:tcW w:w="217" w:type="dxa"/>
          </w:tcPr>
          <w:p w14:paraId="789BF3D3" w14:textId="77777777" w:rsidR="002C0FD9" w:rsidRPr="00CA25CF" w:rsidRDefault="002C0FD9" w:rsidP="00CA25CF">
            <w:pPr>
              <w:rPr>
                <w:rFonts w:cs="Arial"/>
                <w:color w:val="FF0000"/>
                <w:sz w:val="21"/>
                <w:szCs w:val="21"/>
              </w:rPr>
            </w:pPr>
          </w:p>
        </w:tc>
        <w:tc>
          <w:tcPr>
            <w:tcW w:w="217" w:type="dxa"/>
          </w:tcPr>
          <w:p w14:paraId="11E5EFAC" w14:textId="77777777" w:rsidR="002C0FD9" w:rsidRPr="00CA25CF" w:rsidRDefault="002C0FD9" w:rsidP="00CA25CF">
            <w:pPr>
              <w:rPr>
                <w:rFonts w:cs="Arial"/>
                <w:color w:val="FF0000"/>
                <w:sz w:val="21"/>
                <w:szCs w:val="21"/>
              </w:rPr>
            </w:pPr>
          </w:p>
        </w:tc>
        <w:tc>
          <w:tcPr>
            <w:tcW w:w="217" w:type="dxa"/>
          </w:tcPr>
          <w:p w14:paraId="3D28634A" w14:textId="77777777" w:rsidR="002C0FD9" w:rsidRPr="00CA25CF" w:rsidRDefault="002C0FD9" w:rsidP="00CA25CF">
            <w:pPr>
              <w:rPr>
                <w:rFonts w:cs="Arial"/>
                <w:color w:val="FF0000"/>
                <w:sz w:val="21"/>
                <w:szCs w:val="21"/>
              </w:rPr>
            </w:pPr>
          </w:p>
        </w:tc>
        <w:tc>
          <w:tcPr>
            <w:tcW w:w="217" w:type="dxa"/>
          </w:tcPr>
          <w:p w14:paraId="5175E480" w14:textId="77777777" w:rsidR="002C0FD9" w:rsidRPr="00CA25CF" w:rsidRDefault="002C0FD9" w:rsidP="00CA25CF">
            <w:pPr>
              <w:rPr>
                <w:rFonts w:cs="Arial"/>
                <w:color w:val="FF0000"/>
                <w:sz w:val="21"/>
                <w:szCs w:val="21"/>
              </w:rPr>
            </w:pPr>
          </w:p>
        </w:tc>
        <w:tc>
          <w:tcPr>
            <w:tcW w:w="217" w:type="dxa"/>
          </w:tcPr>
          <w:p w14:paraId="32CBDB71" w14:textId="77777777" w:rsidR="002C0FD9" w:rsidRPr="00CA25CF" w:rsidRDefault="002C0FD9" w:rsidP="00CA25CF">
            <w:pPr>
              <w:rPr>
                <w:rFonts w:cs="Arial"/>
                <w:color w:val="FF0000"/>
                <w:sz w:val="21"/>
                <w:szCs w:val="21"/>
              </w:rPr>
            </w:pPr>
          </w:p>
        </w:tc>
        <w:tc>
          <w:tcPr>
            <w:tcW w:w="217" w:type="dxa"/>
          </w:tcPr>
          <w:p w14:paraId="51AE48D4" w14:textId="77777777" w:rsidR="002C0FD9" w:rsidRPr="00CA25CF" w:rsidRDefault="002C0FD9" w:rsidP="00CA25CF">
            <w:pPr>
              <w:rPr>
                <w:rFonts w:cs="Arial"/>
                <w:color w:val="FF0000"/>
                <w:sz w:val="21"/>
                <w:szCs w:val="21"/>
              </w:rPr>
            </w:pPr>
          </w:p>
        </w:tc>
        <w:tc>
          <w:tcPr>
            <w:tcW w:w="217" w:type="dxa"/>
          </w:tcPr>
          <w:p w14:paraId="262CD17F" w14:textId="77777777" w:rsidR="002C0FD9" w:rsidRPr="00CA25CF" w:rsidRDefault="002C0FD9" w:rsidP="00CA25CF">
            <w:pPr>
              <w:rPr>
                <w:rFonts w:cs="Arial"/>
                <w:color w:val="FF0000"/>
                <w:sz w:val="21"/>
                <w:szCs w:val="21"/>
              </w:rPr>
            </w:pPr>
          </w:p>
        </w:tc>
        <w:tc>
          <w:tcPr>
            <w:tcW w:w="217" w:type="dxa"/>
          </w:tcPr>
          <w:p w14:paraId="206DBEDE" w14:textId="77777777" w:rsidR="002C0FD9" w:rsidRPr="00CA25CF" w:rsidRDefault="002C0FD9" w:rsidP="00CA25CF">
            <w:pPr>
              <w:rPr>
                <w:rFonts w:cs="Arial"/>
                <w:color w:val="FF0000"/>
                <w:sz w:val="21"/>
                <w:szCs w:val="21"/>
              </w:rPr>
            </w:pPr>
          </w:p>
        </w:tc>
        <w:tc>
          <w:tcPr>
            <w:tcW w:w="217" w:type="dxa"/>
          </w:tcPr>
          <w:p w14:paraId="2D401A4C" w14:textId="77777777" w:rsidR="002C0FD9" w:rsidRPr="00CA25CF" w:rsidRDefault="002C0FD9" w:rsidP="00CA25CF">
            <w:pPr>
              <w:rPr>
                <w:rFonts w:cs="Arial"/>
                <w:color w:val="FF0000"/>
                <w:sz w:val="21"/>
                <w:szCs w:val="21"/>
              </w:rPr>
            </w:pPr>
          </w:p>
        </w:tc>
        <w:tc>
          <w:tcPr>
            <w:tcW w:w="217" w:type="dxa"/>
          </w:tcPr>
          <w:p w14:paraId="0F3DB2AC" w14:textId="77777777" w:rsidR="002C0FD9" w:rsidRPr="00CA25CF" w:rsidRDefault="002C0FD9" w:rsidP="00CA25CF">
            <w:pPr>
              <w:rPr>
                <w:rFonts w:cs="Arial"/>
                <w:color w:val="FF0000"/>
                <w:sz w:val="21"/>
                <w:szCs w:val="21"/>
              </w:rPr>
            </w:pPr>
          </w:p>
        </w:tc>
        <w:tc>
          <w:tcPr>
            <w:tcW w:w="217" w:type="dxa"/>
          </w:tcPr>
          <w:p w14:paraId="4CFC3AE3" w14:textId="77777777" w:rsidR="002C0FD9" w:rsidRPr="00CA25CF" w:rsidRDefault="002C0FD9" w:rsidP="00CA25CF">
            <w:pPr>
              <w:rPr>
                <w:rFonts w:cs="Arial"/>
                <w:color w:val="FF0000"/>
                <w:sz w:val="21"/>
                <w:szCs w:val="21"/>
              </w:rPr>
            </w:pPr>
          </w:p>
        </w:tc>
        <w:tc>
          <w:tcPr>
            <w:tcW w:w="217" w:type="dxa"/>
          </w:tcPr>
          <w:p w14:paraId="036BFE78" w14:textId="77777777" w:rsidR="002C0FD9" w:rsidRPr="00CA25CF" w:rsidRDefault="002C0FD9" w:rsidP="00CA25CF">
            <w:pPr>
              <w:rPr>
                <w:rFonts w:cs="Arial"/>
                <w:color w:val="FF0000"/>
                <w:sz w:val="21"/>
                <w:szCs w:val="21"/>
              </w:rPr>
            </w:pPr>
          </w:p>
        </w:tc>
        <w:tc>
          <w:tcPr>
            <w:tcW w:w="217" w:type="dxa"/>
          </w:tcPr>
          <w:p w14:paraId="610DF990" w14:textId="77777777" w:rsidR="002C0FD9" w:rsidRPr="00CA25CF" w:rsidRDefault="002C0FD9" w:rsidP="00CA25CF">
            <w:pPr>
              <w:rPr>
                <w:rFonts w:cs="Arial"/>
                <w:color w:val="FF0000"/>
                <w:sz w:val="21"/>
                <w:szCs w:val="21"/>
              </w:rPr>
            </w:pPr>
          </w:p>
        </w:tc>
        <w:tc>
          <w:tcPr>
            <w:tcW w:w="217" w:type="dxa"/>
          </w:tcPr>
          <w:p w14:paraId="702BFD73" w14:textId="77777777" w:rsidR="002C0FD9" w:rsidRPr="00CA25CF" w:rsidRDefault="002C0FD9" w:rsidP="00CA25CF">
            <w:pPr>
              <w:rPr>
                <w:rFonts w:cs="Arial"/>
                <w:color w:val="FF0000"/>
                <w:sz w:val="21"/>
                <w:szCs w:val="21"/>
              </w:rPr>
            </w:pPr>
          </w:p>
        </w:tc>
        <w:tc>
          <w:tcPr>
            <w:tcW w:w="217" w:type="dxa"/>
          </w:tcPr>
          <w:p w14:paraId="62A71372" w14:textId="77777777" w:rsidR="002C0FD9" w:rsidRPr="00CA25CF" w:rsidRDefault="002C0FD9" w:rsidP="00CA25CF">
            <w:pPr>
              <w:rPr>
                <w:rFonts w:cs="Arial"/>
                <w:color w:val="FF0000"/>
                <w:sz w:val="21"/>
                <w:szCs w:val="21"/>
              </w:rPr>
            </w:pPr>
          </w:p>
        </w:tc>
        <w:tc>
          <w:tcPr>
            <w:tcW w:w="217" w:type="dxa"/>
          </w:tcPr>
          <w:p w14:paraId="3EA1E131" w14:textId="77777777" w:rsidR="002C0FD9" w:rsidRPr="00CA25CF" w:rsidRDefault="002C0FD9" w:rsidP="00CA25CF">
            <w:pPr>
              <w:rPr>
                <w:rFonts w:cs="Arial"/>
                <w:color w:val="FF0000"/>
                <w:sz w:val="21"/>
                <w:szCs w:val="21"/>
              </w:rPr>
            </w:pPr>
          </w:p>
        </w:tc>
        <w:tc>
          <w:tcPr>
            <w:tcW w:w="217" w:type="dxa"/>
          </w:tcPr>
          <w:p w14:paraId="6348FA67" w14:textId="77777777" w:rsidR="002C0FD9" w:rsidRPr="00CA25CF" w:rsidRDefault="002C0FD9" w:rsidP="00CA25CF">
            <w:pPr>
              <w:rPr>
                <w:rFonts w:cs="Arial"/>
                <w:color w:val="FF0000"/>
                <w:sz w:val="21"/>
                <w:szCs w:val="21"/>
              </w:rPr>
            </w:pPr>
          </w:p>
        </w:tc>
        <w:tc>
          <w:tcPr>
            <w:tcW w:w="217" w:type="dxa"/>
          </w:tcPr>
          <w:p w14:paraId="01BB26F3" w14:textId="77777777" w:rsidR="002C0FD9" w:rsidRPr="00CA25CF" w:rsidRDefault="002C0FD9" w:rsidP="00CA25CF">
            <w:pPr>
              <w:rPr>
                <w:rFonts w:cs="Arial"/>
                <w:color w:val="FF0000"/>
                <w:sz w:val="21"/>
                <w:szCs w:val="21"/>
              </w:rPr>
            </w:pPr>
          </w:p>
        </w:tc>
        <w:tc>
          <w:tcPr>
            <w:tcW w:w="217" w:type="dxa"/>
          </w:tcPr>
          <w:p w14:paraId="03D1F07A" w14:textId="77777777" w:rsidR="002C0FD9" w:rsidRPr="00CA25CF" w:rsidRDefault="002C0FD9" w:rsidP="00CA25CF">
            <w:pPr>
              <w:rPr>
                <w:rFonts w:cs="Arial"/>
                <w:color w:val="FF0000"/>
                <w:sz w:val="21"/>
                <w:szCs w:val="21"/>
              </w:rPr>
            </w:pPr>
          </w:p>
        </w:tc>
        <w:tc>
          <w:tcPr>
            <w:tcW w:w="217" w:type="dxa"/>
          </w:tcPr>
          <w:p w14:paraId="280334A4" w14:textId="77777777" w:rsidR="002C0FD9" w:rsidRPr="00CA25CF" w:rsidRDefault="002C0FD9" w:rsidP="00CA25CF">
            <w:pPr>
              <w:rPr>
                <w:rFonts w:cs="Arial"/>
                <w:color w:val="FF0000"/>
                <w:sz w:val="21"/>
                <w:szCs w:val="21"/>
              </w:rPr>
            </w:pPr>
          </w:p>
        </w:tc>
        <w:tc>
          <w:tcPr>
            <w:tcW w:w="217" w:type="dxa"/>
          </w:tcPr>
          <w:p w14:paraId="1E074A85" w14:textId="77777777" w:rsidR="002C0FD9" w:rsidRPr="00CA25CF" w:rsidRDefault="002C0FD9" w:rsidP="00CA25CF">
            <w:pPr>
              <w:rPr>
                <w:rFonts w:cs="Arial"/>
                <w:color w:val="FF0000"/>
                <w:sz w:val="21"/>
                <w:szCs w:val="21"/>
              </w:rPr>
            </w:pPr>
          </w:p>
        </w:tc>
        <w:tc>
          <w:tcPr>
            <w:tcW w:w="217" w:type="dxa"/>
          </w:tcPr>
          <w:p w14:paraId="18C2A570" w14:textId="77777777" w:rsidR="002C0FD9" w:rsidRPr="00CA25CF" w:rsidRDefault="002C0FD9" w:rsidP="00CA25CF">
            <w:pPr>
              <w:rPr>
                <w:rFonts w:cs="Arial"/>
                <w:color w:val="FF0000"/>
                <w:sz w:val="21"/>
                <w:szCs w:val="21"/>
              </w:rPr>
            </w:pPr>
          </w:p>
        </w:tc>
        <w:tc>
          <w:tcPr>
            <w:tcW w:w="217" w:type="dxa"/>
          </w:tcPr>
          <w:p w14:paraId="7E517A59" w14:textId="77777777" w:rsidR="002C0FD9" w:rsidRPr="00CA25CF" w:rsidRDefault="002C0FD9" w:rsidP="00CA25CF">
            <w:pPr>
              <w:rPr>
                <w:rFonts w:cs="Arial"/>
                <w:color w:val="FF0000"/>
                <w:sz w:val="21"/>
                <w:szCs w:val="21"/>
              </w:rPr>
            </w:pPr>
          </w:p>
        </w:tc>
        <w:tc>
          <w:tcPr>
            <w:tcW w:w="217" w:type="dxa"/>
          </w:tcPr>
          <w:p w14:paraId="16CF9F2C" w14:textId="77777777" w:rsidR="002C0FD9" w:rsidRPr="00CA25CF" w:rsidRDefault="002C0FD9" w:rsidP="00CA25CF">
            <w:pPr>
              <w:rPr>
                <w:rFonts w:cs="Arial"/>
                <w:color w:val="FF0000"/>
                <w:sz w:val="21"/>
                <w:szCs w:val="21"/>
              </w:rPr>
            </w:pPr>
          </w:p>
        </w:tc>
        <w:tc>
          <w:tcPr>
            <w:tcW w:w="217" w:type="dxa"/>
          </w:tcPr>
          <w:p w14:paraId="361A119C" w14:textId="77777777" w:rsidR="002C0FD9" w:rsidRPr="00CA25CF" w:rsidRDefault="002C0FD9" w:rsidP="00CA25CF">
            <w:pPr>
              <w:rPr>
                <w:rFonts w:cs="Arial"/>
                <w:color w:val="FF0000"/>
                <w:sz w:val="21"/>
                <w:szCs w:val="21"/>
              </w:rPr>
            </w:pPr>
          </w:p>
        </w:tc>
        <w:tc>
          <w:tcPr>
            <w:tcW w:w="217" w:type="dxa"/>
          </w:tcPr>
          <w:p w14:paraId="2122511C" w14:textId="77777777" w:rsidR="002C0FD9" w:rsidRPr="00CA25CF" w:rsidRDefault="002C0FD9" w:rsidP="00CA25CF">
            <w:pPr>
              <w:rPr>
                <w:rFonts w:cs="Arial"/>
                <w:color w:val="FF0000"/>
                <w:sz w:val="21"/>
                <w:szCs w:val="21"/>
              </w:rPr>
            </w:pPr>
          </w:p>
        </w:tc>
        <w:tc>
          <w:tcPr>
            <w:tcW w:w="217" w:type="dxa"/>
          </w:tcPr>
          <w:p w14:paraId="3C8E64EE" w14:textId="77777777" w:rsidR="002C0FD9" w:rsidRPr="00CA25CF" w:rsidRDefault="002C0FD9" w:rsidP="00CA25CF">
            <w:pPr>
              <w:rPr>
                <w:rFonts w:cs="Arial"/>
                <w:color w:val="FF0000"/>
                <w:sz w:val="21"/>
                <w:szCs w:val="21"/>
              </w:rPr>
            </w:pPr>
          </w:p>
        </w:tc>
        <w:tc>
          <w:tcPr>
            <w:tcW w:w="217" w:type="dxa"/>
          </w:tcPr>
          <w:p w14:paraId="3DC2DC6C" w14:textId="77777777" w:rsidR="002C0FD9" w:rsidRPr="00CA25CF" w:rsidRDefault="002C0FD9" w:rsidP="00CA25CF">
            <w:pPr>
              <w:rPr>
                <w:rFonts w:cs="Arial"/>
                <w:color w:val="FF0000"/>
                <w:sz w:val="21"/>
                <w:szCs w:val="21"/>
              </w:rPr>
            </w:pPr>
          </w:p>
        </w:tc>
        <w:tc>
          <w:tcPr>
            <w:tcW w:w="217" w:type="dxa"/>
          </w:tcPr>
          <w:p w14:paraId="778EEC87" w14:textId="77777777" w:rsidR="002C0FD9" w:rsidRPr="00CA25CF" w:rsidRDefault="002C0FD9" w:rsidP="00CA25CF">
            <w:pPr>
              <w:rPr>
                <w:rFonts w:cs="Arial"/>
                <w:color w:val="FF0000"/>
                <w:sz w:val="21"/>
                <w:szCs w:val="21"/>
              </w:rPr>
            </w:pPr>
          </w:p>
        </w:tc>
        <w:tc>
          <w:tcPr>
            <w:tcW w:w="217" w:type="dxa"/>
          </w:tcPr>
          <w:p w14:paraId="4114FA51" w14:textId="77777777" w:rsidR="002C0FD9" w:rsidRPr="00CA25CF" w:rsidRDefault="002C0FD9" w:rsidP="00CA25CF">
            <w:pPr>
              <w:rPr>
                <w:rFonts w:cs="Arial"/>
                <w:color w:val="FF0000"/>
                <w:sz w:val="21"/>
                <w:szCs w:val="21"/>
              </w:rPr>
            </w:pPr>
          </w:p>
        </w:tc>
        <w:tc>
          <w:tcPr>
            <w:tcW w:w="217" w:type="dxa"/>
          </w:tcPr>
          <w:p w14:paraId="5CD3D841" w14:textId="77777777" w:rsidR="002C0FD9" w:rsidRPr="00CA25CF" w:rsidRDefault="002C0FD9" w:rsidP="00CA25CF">
            <w:pPr>
              <w:rPr>
                <w:rFonts w:cs="Arial"/>
                <w:color w:val="FF0000"/>
                <w:sz w:val="21"/>
                <w:szCs w:val="21"/>
              </w:rPr>
            </w:pPr>
          </w:p>
        </w:tc>
        <w:tc>
          <w:tcPr>
            <w:tcW w:w="217" w:type="dxa"/>
          </w:tcPr>
          <w:p w14:paraId="461C25DB" w14:textId="77777777" w:rsidR="002C0FD9" w:rsidRPr="00CA25CF" w:rsidRDefault="002C0FD9" w:rsidP="00CA25CF">
            <w:pPr>
              <w:rPr>
                <w:rFonts w:cs="Arial"/>
                <w:color w:val="FF0000"/>
                <w:sz w:val="21"/>
                <w:szCs w:val="21"/>
              </w:rPr>
            </w:pPr>
          </w:p>
        </w:tc>
        <w:tc>
          <w:tcPr>
            <w:tcW w:w="217" w:type="dxa"/>
          </w:tcPr>
          <w:p w14:paraId="40E52025" w14:textId="77777777" w:rsidR="002C0FD9" w:rsidRPr="00CA25CF" w:rsidRDefault="002C0FD9" w:rsidP="00CA25CF">
            <w:pPr>
              <w:rPr>
                <w:rFonts w:cs="Arial"/>
                <w:color w:val="FF0000"/>
                <w:sz w:val="21"/>
                <w:szCs w:val="21"/>
              </w:rPr>
            </w:pPr>
          </w:p>
        </w:tc>
        <w:tc>
          <w:tcPr>
            <w:tcW w:w="217" w:type="dxa"/>
          </w:tcPr>
          <w:p w14:paraId="310F0043" w14:textId="77777777" w:rsidR="002C0FD9" w:rsidRPr="00CA25CF" w:rsidRDefault="002C0FD9" w:rsidP="00CA25CF">
            <w:pPr>
              <w:rPr>
                <w:rFonts w:cs="Arial"/>
                <w:color w:val="FF0000"/>
                <w:sz w:val="21"/>
                <w:szCs w:val="21"/>
              </w:rPr>
            </w:pPr>
          </w:p>
        </w:tc>
        <w:tc>
          <w:tcPr>
            <w:tcW w:w="217" w:type="dxa"/>
          </w:tcPr>
          <w:p w14:paraId="2789D57F" w14:textId="77777777" w:rsidR="002C0FD9" w:rsidRPr="00CA25CF" w:rsidRDefault="002C0FD9" w:rsidP="00CA25CF">
            <w:pPr>
              <w:rPr>
                <w:rFonts w:cs="Arial"/>
                <w:color w:val="FF0000"/>
                <w:sz w:val="21"/>
                <w:szCs w:val="21"/>
              </w:rPr>
            </w:pPr>
          </w:p>
        </w:tc>
        <w:tc>
          <w:tcPr>
            <w:tcW w:w="217" w:type="dxa"/>
          </w:tcPr>
          <w:p w14:paraId="6DD023BA" w14:textId="77777777" w:rsidR="002C0FD9" w:rsidRPr="00CA25CF" w:rsidRDefault="002C0FD9" w:rsidP="00CA25CF">
            <w:pPr>
              <w:rPr>
                <w:rFonts w:cs="Arial"/>
                <w:color w:val="FF0000"/>
                <w:sz w:val="21"/>
                <w:szCs w:val="21"/>
              </w:rPr>
            </w:pPr>
          </w:p>
        </w:tc>
        <w:tc>
          <w:tcPr>
            <w:tcW w:w="217" w:type="dxa"/>
          </w:tcPr>
          <w:p w14:paraId="64F7986B" w14:textId="77777777" w:rsidR="002C0FD9" w:rsidRPr="00CA25CF" w:rsidRDefault="002C0FD9" w:rsidP="00CA25CF">
            <w:pPr>
              <w:rPr>
                <w:rFonts w:cs="Arial"/>
                <w:color w:val="FF0000"/>
                <w:sz w:val="21"/>
                <w:szCs w:val="21"/>
              </w:rPr>
            </w:pPr>
          </w:p>
        </w:tc>
        <w:tc>
          <w:tcPr>
            <w:tcW w:w="217" w:type="dxa"/>
          </w:tcPr>
          <w:p w14:paraId="099F38D6" w14:textId="77777777" w:rsidR="002C0FD9" w:rsidRPr="00CA25CF" w:rsidRDefault="002C0FD9" w:rsidP="00CA25CF">
            <w:pPr>
              <w:rPr>
                <w:rFonts w:cs="Arial"/>
                <w:color w:val="FF0000"/>
                <w:sz w:val="21"/>
                <w:szCs w:val="21"/>
              </w:rPr>
            </w:pPr>
          </w:p>
        </w:tc>
      </w:tr>
      <w:tr w:rsidR="002C0FD9" w:rsidRPr="00A16219" w14:paraId="721A553C" w14:textId="77777777" w:rsidTr="002C0FD9">
        <w:trPr>
          <w:trHeight w:val="635"/>
        </w:trPr>
        <w:tc>
          <w:tcPr>
            <w:tcW w:w="515" w:type="dxa"/>
          </w:tcPr>
          <w:p w14:paraId="00D52BD3" w14:textId="77777777" w:rsidR="002C0FD9" w:rsidRPr="00CA25CF" w:rsidRDefault="002C0FD9" w:rsidP="00CA25CF">
            <w:pPr>
              <w:rPr>
                <w:rFonts w:cs="Arial"/>
                <w:color w:val="FF0000"/>
                <w:sz w:val="21"/>
                <w:szCs w:val="21"/>
              </w:rPr>
            </w:pPr>
          </w:p>
        </w:tc>
        <w:tc>
          <w:tcPr>
            <w:tcW w:w="217" w:type="dxa"/>
          </w:tcPr>
          <w:p w14:paraId="0CFEE2AC" w14:textId="77777777" w:rsidR="002C0FD9" w:rsidRPr="00CA25CF" w:rsidRDefault="002C0FD9" w:rsidP="00CA25CF">
            <w:pPr>
              <w:rPr>
                <w:rFonts w:cs="Arial"/>
                <w:color w:val="FF0000"/>
                <w:sz w:val="21"/>
                <w:szCs w:val="21"/>
              </w:rPr>
            </w:pPr>
          </w:p>
        </w:tc>
        <w:tc>
          <w:tcPr>
            <w:tcW w:w="217" w:type="dxa"/>
          </w:tcPr>
          <w:p w14:paraId="294A899F" w14:textId="77777777" w:rsidR="002C0FD9" w:rsidRPr="00CA25CF" w:rsidRDefault="002C0FD9" w:rsidP="00CA25CF">
            <w:pPr>
              <w:rPr>
                <w:rFonts w:cs="Arial"/>
                <w:color w:val="FF0000"/>
                <w:sz w:val="21"/>
                <w:szCs w:val="21"/>
              </w:rPr>
            </w:pPr>
          </w:p>
        </w:tc>
        <w:tc>
          <w:tcPr>
            <w:tcW w:w="217" w:type="dxa"/>
          </w:tcPr>
          <w:p w14:paraId="2B8E7364" w14:textId="77777777" w:rsidR="002C0FD9" w:rsidRPr="00CA25CF" w:rsidRDefault="002C0FD9" w:rsidP="00CA25CF">
            <w:pPr>
              <w:rPr>
                <w:rFonts w:cs="Arial"/>
                <w:color w:val="FF0000"/>
                <w:sz w:val="21"/>
                <w:szCs w:val="21"/>
              </w:rPr>
            </w:pPr>
          </w:p>
        </w:tc>
        <w:tc>
          <w:tcPr>
            <w:tcW w:w="217" w:type="dxa"/>
          </w:tcPr>
          <w:p w14:paraId="12ED7E43" w14:textId="77777777" w:rsidR="002C0FD9" w:rsidRPr="00CA25CF" w:rsidRDefault="002C0FD9" w:rsidP="00CA25CF">
            <w:pPr>
              <w:rPr>
                <w:rFonts w:cs="Arial"/>
                <w:color w:val="FF0000"/>
                <w:sz w:val="21"/>
                <w:szCs w:val="21"/>
              </w:rPr>
            </w:pPr>
          </w:p>
        </w:tc>
        <w:tc>
          <w:tcPr>
            <w:tcW w:w="217" w:type="dxa"/>
          </w:tcPr>
          <w:p w14:paraId="3C1191A4" w14:textId="77777777" w:rsidR="002C0FD9" w:rsidRPr="00CA25CF" w:rsidRDefault="002C0FD9" w:rsidP="00CA25CF">
            <w:pPr>
              <w:rPr>
                <w:rFonts w:cs="Arial"/>
                <w:color w:val="FF0000"/>
                <w:sz w:val="21"/>
                <w:szCs w:val="21"/>
              </w:rPr>
            </w:pPr>
          </w:p>
        </w:tc>
        <w:tc>
          <w:tcPr>
            <w:tcW w:w="217" w:type="dxa"/>
          </w:tcPr>
          <w:p w14:paraId="090D12BE" w14:textId="77777777" w:rsidR="002C0FD9" w:rsidRPr="00CA25CF" w:rsidRDefault="002C0FD9" w:rsidP="00CA25CF">
            <w:pPr>
              <w:rPr>
                <w:rFonts w:cs="Arial"/>
                <w:color w:val="FF0000"/>
                <w:sz w:val="21"/>
                <w:szCs w:val="21"/>
              </w:rPr>
            </w:pPr>
          </w:p>
        </w:tc>
        <w:tc>
          <w:tcPr>
            <w:tcW w:w="217" w:type="dxa"/>
          </w:tcPr>
          <w:p w14:paraId="5594A9D6" w14:textId="77777777" w:rsidR="002C0FD9" w:rsidRPr="00CA25CF" w:rsidRDefault="002C0FD9" w:rsidP="00CA25CF">
            <w:pPr>
              <w:rPr>
                <w:rFonts w:cs="Arial"/>
                <w:color w:val="FF0000"/>
                <w:sz w:val="21"/>
                <w:szCs w:val="21"/>
              </w:rPr>
            </w:pPr>
          </w:p>
        </w:tc>
        <w:tc>
          <w:tcPr>
            <w:tcW w:w="217" w:type="dxa"/>
          </w:tcPr>
          <w:p w14:paraId="43445407" w14:textId="77777777" w:rsidR="002C0FD9" w:rsidRPr="00CA25CF" w:rsidRDefault="002C0FD9" w:rsidP="00CA25CF">
            <w:pPr>
              <w:rPr>
                <w:rFonts w:cs="Arial"/>
                <w:color w:val="FF0000"/>
                <w:sz w:val="21"/>
                <w:szCs w:val="21"/>
              </w:rPr>
            </w:pPr>
          </w:p>
        </w:tc>
        <w:tc>
          <w:tcPr>
            <w:tcW w:w="217" w:type="dxa"/>
          </w:tcPr>
          <w:p w14:paraId="2F586FDA" w14:textId="77777777" w:rsidR="002C0FD9" w:rsidRPr="00CA25CF" w:rsidRDefault="002C0FD9" w:rsidP="00CA25CF">
            <w:pPr>
              <w:rPr>
                <w:rFonts w:cs="Arial"/>
                <w:color w:val="FF0000"/>
                <w:sz w:val="21"/>
                <w:szCs w:val="21"/>
              </w:rPr>
            </w:pPr>
          </w:p>
        </w:tc>
        <w:tc>
          <w:tcPr>
            <w:tcW w:w="217" w:type="dxa"/>
          </w:tcPr>
          <w:p w14:paraId="6EC7D9D5" w14:textId="77777777" w:rsidR="002C0FD9" w:rsidRPr="00CA25CF" w:rsidRDefault="002C0FD9" w:rsidP="00CA25CF">
            <w:pPr>
              <w:rPr>
                <w:rFonts w:cs="Arial"/>
                <w:color w:val="FF0000"/>
                <w:sz w:val="21"/>
                <w:szCs w:val="21"/>
              </w:rPr>
            </w:pPr>
          </w:p>
        </w:tc>
        <w:tc>
          <w:tcPr>
            <w:tcW w:w="217" w:type="dxa"/>
          </w:tcPr>
          <w:p w14:paraId="03FC9FD7" w14:textId="77777777" w:rsidR="002C0FD9" w:rsidRPr="00CA25CF" w:rsidRDefault="002C0FD9" w:rsidP="00CA25CF">
            <w:pPr>
              <w:rPr>
                <w:rFonts w:cs="Arial"/>
                <w:color w:val="FF0000"/>
                <w:sz w:val="21"/>
                <w:szCs w:val="21"/>
              </w:rPr>
            </w:pPr>
          </w:p>
        </w:tc>
        <w:tc>
          <w:tcPr>
            <w:tcW w:w="217" w:type="dxa"/>
          </w:tcPr>
          <w:p w14:paraId="0D8CBE52" w14:textId="77777777" w:rsidR="002C0FD9" w:rsidRPr="00CA25CF" w:rsidRDefault="002C0FD9" w:rsidP="00CA25CF">
            <w:pPr>
              <w:rPr>
                <w:rFonts w:cs="Arial"/>
                <w:color w:val="FF0000"/>
                <w:sz w:val="21"/>
                <w:szCs w:val="21"/>
              </w:rPr>
            </w:pPr>
          </w:p>
        </w:tc>
        <w:tc>
          <w:tcPr>
            <w:tcW w:w="217" w:type="dxa"/>
          </w:tcPr>
          <w:p w14:paraId="6B6E00A4" w14:textId="77777777" w:rsidR="002C0FD9" w:rsidRPr="00CA25CF" w:rsidRDefault="002C0FD9" w:rsidP="00CA25CF">
            <w:pPr>
              <w:rPr>
                <w:rFonts w:cs="Arial"/>
                <w:color w:val="FF0000"/>
                <w:sz w:val="21"/>
                <w:szCs w:val="21"/>
              </w:rPr>
            </w:pPr>
          </w:p>
        </w:tc>
        <w:tc>
          <w:tcPr>
            <w:tcW w:w="217" w:type="dxa"/>
          </w:tcPr>
          <w:p w14:paraId="761B7DE6" w14:textId="77777777" w:rsidR="002C0FD9" w:rsidRPr="00CA25CF" w:rsidRDefault="002C0FD9" w:rsidP="00CA25CF">
            <w:pPr>
              <w:rPr>
                <w:rFonts w:cs="Arial"/>
                <w:color w:val="FF0000"/>
                <w:sz w:val="21"/>
                <w:szCs w:val="21"/>
              </w:rPr>
            </w:pPr>
          </w:p>
        </w:tc>
        <w:tc>
          <w:tcPr>
            <w:tcW w:w="217" w:type="dxa"/>
          </w:tcPr>
          <w:p w14:paraId="17B9D72B" w14:textId="77777777" w:rsidR="002C0FD9" w:rsidRPr="00CA25CF" w:rsidRDefault="002C0FD9" w:rsidP="00CA25CF">
            <w:pPr>
              <w:rPr>
                <w:rFonts w:cs="Arial"/>
                <w:color w:val="FF0000"/>
                <w:sz w:val="21"/>
                <w:szCs w:val="21"/>
              </w:rPr>
            </w:pPr>
          </w:p>
        </w:tc>
        <w:tc>
          <w:tcPr>
            <w:tcW w:w="217" w:type="dxa"/>
          </w:tcPr>
          <w:p w14:paraId="4F8054C7" w14:textId="77777777" w:rsidR="002C0FD9" w:rsidRPr="00CA25CF" w:rsidRDefault="002C0FD9" w:rsidP="00CA25CF">
            <w:pPr>
              <w:rPr>
                <w:rFonts w:cs="Arial"/>
                <w:color w:val="FF0000"/>
                <w:sz w:val="21"/>
                <w:szCs w:val="21"/>
              </w:rPr>
            </w:pPr>
          </w:p>
        </w:tc>
        <w:tc>
          <w:tcPr>
            <w:tcW w:w="217" w:type="dxa"/>
          </w:tcPr>
          <w:p w14:paraId="09412D10" w14:textId="77777777" w:rsidR="002C0FD9" w:rsidRPr="00CA25CF" w:rsidRDefault="002C0FD9" w:rsidP="00CA25CF">
            <w:pPr>
              <w:rPr>
                <w:rFonts w:cs="Arial"/>
                <w:color w:val="FF0000"/>
                <w:sz w:val="21"/>
                <w:szCs w:val="21"/>
              </w:rPr>
            </w:pPr>
          </w:p>
        </w:tc>
        <w:tc>
          <w:tcPr>
            <w:tcW w:w="217" w:type="dxa"/>
          </w:tcPr>
          <w:p w14:paraId="246A7F54" w14:textId="77777777" w:rsidR="002C0FD9" w:rsidRPr="00CA25CF" w:rsidRDefault="002C0FD9" w:rsidP="00CA25CF">
            <w:pPr>
              <w:rPr>
                <w:rFonts w:cs="Arial"/>
                <w:color w:val="FF0000"/>
                <w:sz w:val="21"/>
                <w:szCs w:val="21"/>
              </w:rPr>
            </w:pPr>
          </w:p>
        </w:tc>
        <w:tc>
          <w:tcPr>
            <w:tcW w:w="217" w:type="dxa"/>
          </w:tcPr>
          <w:p w14:paraId="24A37C0E" w14:textId="77777777" w:rsidR="002C0FD9" w:rsidRPr="00CA25CF" w:rsidRDefault="002C0FD9" w:rsidP="00CA25CF">
            <w:pPr>
              <w:rPr>
                <w:rFonts w:cs="Arial"/>
                <w:color w:val="FF0000"/>
                <w:sz w:val="21"/>
                <w:szCs w:val="21"/>
              </w:rPr>
            </w:pPr>
          </w:p>
        </w:tc>
        <w:tc>
          <w:tcPr>
            <w:tcW w:w="217" w:type="dxa"/>
          </w:tcPr>
          <w:p w14:paraId="2EDAE3F4" w14:textId="77777777" w:rsidR="002C0FD9" w:rsidRPr="00CA25CF" w:rsidRDefault="002C0FD9" w:rsidP="00CA25CF">
            <w:pPr>
              <w:rPr>
                <w:rFonts w:cs="Arial"/>
                <w:color w:val="FF0000"/>
                <w:sz w:val="21"/>
                <w:szCs w:val="21"/>
              </w:rPr>
            </w:pPr>
          </w:p>
        </w:tc>
        <w:tc>
          <w:tcPr>
            <w:tcW w:w="217" w:type="dxa"/>
          </w:tcPr>
          <w:p w14:paraId="1E67CA54" w14:textId="77777777" w:rsidR="002C0FD9" w:rsidRPr="00CA25CF" w:rsidRDefault="002C0FD9" w:rsidP="00CA25CF">
            <w:pPr>
              <w:rPr>
                <w:rFonts w:cs="Arial"/>
                <w:color w:val="FF0000"/>
                <w:sz w:val="21"/>
                <w:szCs w:val="21"/>
              </w:rPr>
            </w:pPr>
          </w:p>
        </w:tc>
        <w:tc>
          <w:tcPr>
            <w:tcW w:w="217" w:type="dxa"/>
          </w:tcPr>
          <w:p w14:paraId="0EC9C552" w14:textId="77777777" w:rsidR="002C0FD9" w:rsidRPr="00CA25CF" w:rsidRDefault="002C0FD9" w:rsidP="00CA25CF">
            <w:pPr>
              <w:rPr>
                <w:rFonts w:cs="Arial"/>
                <w:color w:val="FF0000"/>
                <w:sz w:val="21"/>
                <w:szCs w:val="21"/>
              </w:rPr>
            </w:pPr>
          </w:p>
        </w:tc>
        <w:tc>
          <w:tcPr>
            <w:tcW w:w="217" w:type="dxa"/>
          </w:tcPr>
          <w:p w14:paraId="6DA3953B" w14:textId="77777777" w:rsidR="002C0FD9" w:rsidRPr="00CA25CF" w:rsidRDefault="002C0FD9" w:rsidP="00CA25CF">
            <w:pPr>
              <w:rPr>
                <w:rFonts w:cs="Arial"/>
                <w:color w:val="FF0000"/>
                <w:sz w:val="21"/>
                <w:szCs w:val="21"/>
              </w:rPr>
            </w:pPr>
          </w:p>
        </w:tc>
        <w:tc>
          <w:tcPr>
            <w:tcW w:w="217" w:type="dxa"/>
          </w:tcPr>
          <w:p w14:paraId="37A0EC59" w14:textId="77777777" w:rsidR="002C0FD9" w:rsidRPr="00CA25CF" w:rsidRDefault="002C0FD9" w:rsidP="00CA25CF">
            <w:pPr>
              <w:rPr>
                <w:rFonts w:cs="Arial"/>
                <w:color w:val="FF0000"/>
                <w:sz w:val="21"/>
                <w:szCs w:val="21"/>
              </w:rPr>
            </w:pPr>
          </w:p>
        </w:tc>
        <w:tc>
          <w:tcPr>
            <w:tcW w:w="217" w:type="dxa"/>
          </w:tcPr>
          <w:p w14:paraId="3397EC2C" w14:textId="77777777" w:rsidR="002C0FD9" w:rsidRPr="00CA25CF" w:rsidRDefault="002C0FD9" w:rsidP="00CA25CF">
            <w:pPr>
              <w:rPr>
                <w:rFonts w:cs="Arial"/>
                <w:color w:val="FF0000"/>
                <w:sz w:val="21"/>
                <w:szCs w:val="21"/>
              </w:rPr>
            </w:pPr>
          </w:p>
        </w:tc>
        <w:tc>
          <w:tcPr>
            <w:tcW w:w="217" w:type="dxa"/>
          </w:tcPr>
          <w:p w14:paraId="664C25A7" w14:textId="77777777" w:rsidR="002C0FD9" w:rsidRPr="00CA25CF" w:rsidRDefault="002C0FD9" w:rsidP="00CA25CF">
            <w:pPr>
              <w:rPr>
                <w:rFonts w:cs="Arial"/>
                <w:color w:val="FF0000"/>
                <w:sz w:val="21"/>
                <w:szCs w:val="21"/>
              </w:rPr>
            </w:pPr>
          </w:p>
        </w:tc>
        <w:tc>
          <w:tcPr>
            <w:tcW w:w="217" w:type="dxa"/>
          </w:tcPr>
          <w:p w14:paraId="124D776C" w14:textId="77777777" w:rsidR="002C0FD9" w:rsidRPr="00CA25CF" w:rsidRDefault="002C0FD9" w:rsidP="00CA25CF">
            <w:pPr>
              <w:rPr>
                <w:rFonts w:cs="Arial"/>
                <w:color w:val="FF0000"/>
                <w:sz w:val="21"/>
                <w:szCs w:val="21"/>
              </w:rPr>
            </w:pPr>
          </w:p>
        </w:tc>
        <w:tc>
          <w:tcPr>
            <w:tcW w:w="217" w:type="dxa"/>
          </w:tcPr>
          <w:p w14:paraId="40EB3876" w14:textId="77777777" w:rsidR="002C0FD9" w:rsidRPr="00CA25CF" w:rsidRDefault="002C0FD9" w:rsidP="00CA25CF">
            <w:pPr>
              <w:rPr>
                <w:rFonts w:cs="Arial"/>
                <w:color w:val="FF0000"/>
                <w:sz w:val="21"/>
                <w:szCs w:val="21"/>
              </w:rPr>
            </w:pPr>
          </w:p>
        </w:tc>
        <w:tc>
          <w:tcPr>
            <w:tcW w:w="217" w:type="dxa"/>
          </w:tcPr>
          <w:p w14:paraId="1AE1D29F" w14:textId="77777777" w:rsidR="002C0FD9" w:rsidRPr="00CA25CF" w:rsidRDefault="002C0FD9" w:rsidP="00CA25CF">
            <w:pPr>
              <w:rPr>
                <w:rFonts w:cs="Arial"/>
                <w:color w:val="FF0000"/>
                <w:sz w:val="21"/>
                <w:szCs w:val="21"/>
              </w:rPr>
            </w:pPr>
          </w:p>
        </w:tc>
        <w:tc>
          <w:tcPr>
            <w:tcW w:w="217" w:type="dxa"/>
          </w:tcPr>
          <w:p w14:paraId="6459E9BD" w14:textId="77777777" w:rsidR="002C0FD9" w:rsidRPr="00CA25CF" w:rsidRDefault="002C0FD9" w:rsidP="00CA25CF">
            <w:pPr>
              <w:rPr>
                <w:rFonts w:cs="Arial"/>
                <w:color w:val="FF0000"/>
                <w:sz w:val="21"/>
                <w:szCs w:val="21"/>
              </w:rPr>
            </w:pPr>
          </w:p>
        </w:tc>
        <w:tc>
          <w:tcPr>
            <w:tcW w:w="217" w:type="dxa"/>
          </w:tcPr>
          <w:p w14:paraId="6868D88A" w14:textId="77777777" w:rsidR="002C0FD9" w:rsidRPr="00CA25CF" w:rsidRDefault="002C0FD9" w:rsidP="00CA25CF">
            <w:pPr>
              <w:rPr>
                <w:rFonts w:cs="Arial"/>
                <w:color w:val="FF0000"/>
                <w:sz w:val="21"/>
                <w:szCs w:val="21"/>
              </w:rPr>
            </w:pPr>
          </w:p>
        </w:tc>
        <w:tc>
          <w:tcPr>
            <w:tcW w:w="217" w:type="dxa"/>
          </w:tcPr>
          <w:p w14:paraId="19482105" w14:textId="77777777" w:rsidR="002C0FD9" w:rsidRPr="00CA25CF" w:rsidRDefault="002C0FD9" w:rsidP="00CA25CF">
            <w:pPr>
              <w:rPr>
                <w:rFonts w:cs="Arial"/>
                <w:color w:val="FF0000"/>
                <w:sz w:val="21"/>
                <w:szCs w:val="21"/>
              </w:rPr>
            </w:pPr>
          </w:p>
        </w:tc>
        <w:tc>
          <w:tcPr>
            <w:tcW w:w="217" w:type="dxa"/>
          </w:tcPr>
          <w:p w14:paraId="7F276C18" w14:textId="77777777" w:rsidR="002C0FD9" w:rsidRPr="00CA25CF" w:rsidRDefault="002C0FD9" w:rsidP="00CA25CF">
            <w:pPr>
              <w:rPr>
                <w:rFonts w:cs="Arial"/>
                <w:color w:val="FF0000"/>
                <w:sz w:val="21"/>
                <w:szCs w:val="21"/>
              </w:rPr>
            </w:pPr>
          </w:p>
        </w:tc>
        <w:tc>
          <w:tcPr>
            <w:tcW w:w="217" w:type="dxa"/>
          </w:tcPr>
          <w:p w14:paraId="266AC629" w14:textId="77777777" w:rsidR="002C0FD9" w:rsidRPr="00CA25CF" w:rsidRDefault="002C0FD9" w:rsidP="00CA25CF">
            <w:pPr>
              <w:rPr>
                <w:rFonts w:cs="Arial"/>
                <w:color w:val="FF0000"/>
                <w:sz w:val="21"/>
                <w:szCs w:val="21"/>
              </w:rPr>
            </w:pPr>
          </w:p>
        </w:tc>
        <w:tc>
          <w:tcPr>
            <w:tcW w:w="217" w:type="dxa"/>
          </w:tcPr>
          <w:p w14:paraId="6940ECE2" w14:textId="77777777" w:rsidR="002C0FD9" w:rsidRPr="00CA25CF" w:rsidRDefault="002C0FD9" w:rsidP="00CA25CF">
            <w:pPr>
              <w:rPr>
                <w:rFonts w:cs="Arial"/>
                <w:color w:val="FF0000"/>
                <w:sz w:val="21"/>
                <w:szCs w:val="21"/>
              </w:rPr>
            </w:pPr>
          </w:p>
        </w:tc>
        <w:tc>
          <w:tcPr>
            <w:tcW w:w="217" w:type="dxa"/>
          </w:tcPr>
          <w:p w14:paraId="7ACC79B5" w14:textId="77777777" w:rsidR="002C0FD9" w:rsidRPr="00CA25CF" w:rsidRDefault="002C0FD9" w:rsidP="00CA25CF">
            <w:pPr>
              <w:rPr>
                <w:rFonts w:cs="Arial"/>
                <w:color w:val="FF0000"/>
                <w:sz w:val="21"/>
                <w:szCs w:val="21"/>
              </w:rPr>
            </w:pPr>
          </w:p>
        </w:tc>
        <w:tc>
          <w:tcPr>
            <w:tcW w:w="217" w:type="dxa"/>
          </w:tcPr>
          <w:p w14:paraId="11660C45" w14:textId="77777777" w:rsidR="002C0FD9" w:rsidRPr="00CA25CF" w:rsidRDefault="002C0FD9" w:rsidP="00CA25CF">
            <w:pPr>
              <w:rPr>
                <w:rFonts w:cs="Arial"/>
                <w:color w:val="FF0000"/>
                <w:sz w:val="21"/>
                <w:szCs w:val="21"/>
              </w:rPr>
            </w:pPr>
          </w:p>
        </w:tc>
        <w:tc>
          <w:tcPr>
            <w:tcW w:w="217" w:type="dxa"/>
          </w:tcPr>
          <w:p w14:paraId="12F15BC1" w14:textId="77777777" w:rsidR="002C0FD9" w:rsidRPr="00CA25CF" w:rsidRDefault="002C0FD9" w:rsidP="00CA25CF">
            <w:pPr>
              <w:rPr>
                <w:rFonts w:cs="Arial"/>
                <w:color w:val="FF0000"/>
                <w:sz w:val="21"/>
                <w:szCs w:val="21"/>
              </w:rPr>
            </w:pPr>
          </w:p>
        </w:tc>
        <w:tc>
          <w:tcPr>
            <w:tcW w:w="217" w:type="dxa"/>
          </w:tcPr>
          <w:p w14:paraId="5059C6CA" w14:textId="77777777" w:rsidR="002C0FD9" w:rsidRPr="00CA25CF" w:rsidRDefault="002C0FD9" w:rsidP="00CA25CF">
            <w:pPr>
              <w:rPr>
                <w:rFonts w:cs="Arial"/>
                <w:color w:val="FF0000"/>
                <w:sz w:val="21"/>
                <w:szCs w:val="21"/>
              </w:rPr>
            </w:pPr>
          </w:p>
        </w:tc>
        <w:tc>
          <w:tcPr>
            <w:tcW w:w="217" w:type="dxa"/>
          </w:tcPr>
          <w:p w14:paraId="1F2C1EC2" w14:textId="77777777" w:rsidR="002C0FD9" w:rsidRPr="00CA25CF" w:rsidRDefault="002C0FD9" w:rsidP="00CA25CF">
            <w:pPr>
              <w:rPr>
                <w:rFonts w:cs="Arial"/>
                <w:color w:val="FF0000"/>
                <w:sz w:val="21"/>
                <w:szCs w:val="21"/>
              </w:rPr>
            </w:pPr>
          </w:p>
        </w:tc>
        <w:tc>
          <w:tcPr>
            <w:tcW w:w="217" w:type="dxa"/>
          </w:tcPr>
          <w:p w14:paraId="7AA4B71D" w14:textId="77777777" w:rsidR="002C0FD9" w:rsidRPr="00CA25CF" w:rsidRDefault="002C0FD9" w:rsidP="00CA25CF">
            <w:pPr>
              <w:rPr>
                <w:rFonts w:cs="Arial"/>
                <w:color w:val="FF0000"/>
                <w:sz w:val="21"/>
                <w:szCs w:val="21"/>
              </w:rPr>
            </w:pPr>
          </w:p>
        </w:tc>
        <w:tc>
          <w:tcPr>
            <w:tcW w:w="217" w:type="dxa"/>
          </w:tcPr>
          <w:p w14:paraId="1C11CE0C" w14:textId="77777777" w:rsidR="002C0FD9" w:rsidRPr="00CA25CF" w:rsidRDefault="002C0FD9" w:rsidP="00CA25CF">
            <w:pPr>
              <w:rPr>
                <w:rFonts w:cs="Arial"/>
                <w:color w:val="FF0000"/>
                <w:sz w:val="21"/>
                <w:szCs w:val="21"/>
              </w:rPr>
            </w:pPr>
          </w:p>
        </w:tc>
      </w:tr>
      <w:tr w:rsidR="002C0FD9" w:rsidRPr="00A16219" w14:paraId="2BA1A56F" w14:textId="77777777" w:rsidTr="002C0FD9">
        <w:trPr>
          <w:trHeight w:val="635"/>
        </w:trPr>
        <w:tc>
          <w:tcPr>
            <w:tcW w:w="515" w:type="dxa"/>
          </w:tcPr>
          <w:p w14:paraId="7744C572" w14:textId="77777777" w:rsidR="002C0FD9" w:rsidRPr="00CA25CF" w:rsidRDefault="002C0FD9" w:rsidP="00CA25CF">
            <w:pPr>
              <w:rPr>
                <w:rFonts w:cs="Arial"/>
                <w:color w:val="FF0000"/>
                <w:sz w:val="21"/>
                <w:szCs w:val="21"/>
              </w:rPr>
            </w:pPr>
          </w:p>
        </w:tc>
        <w:tc>
          <w:tcPr>
            <w:tcW w:w="217" w:type="dxa"/>
          </w:tcPr>
          <w:p w14:paraId="2457A0C6" w14:textId="77777777" w:rsidR="002C0FD9" w:rsidRPr="00CA25CF" w:rsidRDefault="002C0FD9" w:rsidP="00CA25CF">
            <w:pPr>
              <w:rPr>
                <w:rFonts w:cs="Arial"/>
                <w:color w:val="FF0000"/>
                <w:sz w:val="21"/>
                <w:szCs w:val="21"/>
              </w:rPr>
            </w:pPr>
          </w:p>
        </w:tc>
        <w:tc>
          <w:tcPr>
            <w:tcW w:w="217" w:type="dxa"/>
          </w:tcPr>
          <w:p w14:paraId="50BF973B" w14:textId="77777777" w:rsidR="002C0FD9" w:rsidRPr="00CA25CF" w:rsidRDefault="002C0FD9" w:rsidP="00CA25CF">
            <w:pPr>
              <w:rPr>
                <w:rFonts w:cs="Arial"/>
                <w:color w:val="FF0000"/>
                <w:sz w:val="21"/>
                <w:szCs w:val="21"/>
              </w:rPr>
            </w:pPr>
          </w:p>
        </w:tc>
        <w:tc>
          <w:tcPr>
            <w:tcW w:w="217" w:type="dxa"/>
          </w:tcPr>
          <w:p w14:paraId="6119A153" w14:textId="77777777" w:rsidR="002C0FD9" w:rsidRPr="00CA25CF" w:rsidRDefault="002C0FD9" w:rsidP="00CA25CF">
            <w:pPr>
              <w:rPr>
                <w:rFonts w:cs="Arial"/>
                <w:color w:val="FF0000"/>
                <w:sz w:val="21"/>
                <w:szCs w:val="21"/>
              </w:rPr>
            </w:pPr>
          </w:p>
        </w:tc>
        <w:tc>
          <w:tcPr>
            <w:tcW w:w="217" w:type="dxa"/>
          </w:tcPr>
          <w:p w14:paraId="2F4EE6C3" w14:textId="77777777" w:rsidR="002C0FD9" w:rsidRPr="00CA25CF" w:rsidRDefault="002C0FD9" w:rsidP="00CA25CF">
            <w:pPr>
              <w:rPr>
                <w:rFonts w:cs="Arial"/>
                <w:color w:val="FF0000"/>
                <w:sz w:val="21"/>
                <w:szCs w:val="21"/>
              </w:rPr>
            </w:pPr>
          </w:p>
        </w:tc>
        <w:tc>
          <w:tcPr>
            <w:tcW w:w="217" w:type="dxa"/>
          </w:tcPr>
          <w:p w14:paraId="00F7991E" w14:textId="77777777" w:rsidR="002C0FD9" w:rsidRPr="00CA25CF" w:rsidRDefault="002C0FD9" w:rsidP="00CA25CF">
            <w:pPr>
              <w:rPr>
                <w:rFonts w:cs="Arial"/>
                <w:color w:val="FF0000"/>
                <w:sz w:val="21"/>
                <w:szCs w:val="21"/>
              </w:rPr>
            </w:pPr>
          </w:p>
        </w:tc>
        <w:tc>
          <w:tcPr>
            <w:tcW w:w="217" w:type="dxa"/>
          </w:tcPr>
          <w:p w14:paraId="35B9B1F2" w14:textId="77777777" w:rsidR="002C0FD9" w:rsidRPr="00CA25CF" w:rsidRDefault="002C0FD9" w:rsidP="00CA25CF">
            <w:pPr>
              <w:rPr>
                <w:rFonts w:cs="Arial"/>
                <w:color w:val="FF0000"/>
                <w:sz w:val="21"/>
                <w:szCs w:val="21"/>
              </w:rPr>
            </w:pPr>
          </w:p>
        </w:tc>
        <w:tc>
          <w:tcPr>
            <w:tcW w:w="217" w:type="dxa"/>
          </w:tcPr>
          <w:p w14:paraId="2FEC6489" w14:textId="77777777" w:rsidR="002C0FD9" w:rsidRPr="00CA25CF" w:rsidRDefault="002C0FD9" w:rsidP="00CA25CF">
            <w:pPr>
              <w:rPr>
                <w:rFonts w:cs="Arial"/>
                <w:color w:val="FF0000"/>
                <w:sz w:val="21"/>
                <w:szCs w:val="21"/>
              </w:rPr>
            </w:pPr>
          </w:p>
        </w:tc>
        <w:tc>
          <w:tcPr>
            <w:tcW w:w="217" w:type="dxa"/>
          </w:tcPr>
          <w:p w14:paraId="1AD9B5FC" w14:textId="77777777" w:rsidR="002C0FD9" w:rsidRPr="00CA25CF" w:rsidRDefault="002C0FD9" w:rsidP="00CA25CF">
            <w:pPr>
              <w:rPr>
                <w:rFonts w:cs="Arial"/>
                <w:color w:val="FF0000"/>
                <w:sz w:val="21"/>
                <w:szCs w:val="21"/>
              </w:rPr>
            </w:pPr>
          </w:p>
        </w:tc>
        <w:tc>
          <w:tcPr>
            <w:tcW w:w="217" w:type="dxa"/>
          </w:tcPr>
          <w:p w14:paraId="2D2752B3" w14:textId="77777777" w:rsidR="002C0FD9" w:rsidRPr="00CA25CF" w:rsidRDefault="002C0FD9" w:rsidP="00CA25CF">
            <w:pPr>
              <w:rPr>
                <w:rFonts w:cs="Arial"/>
                <w:color w:val="FF0000"/>
                <w:sz w:val="21"/>
                <w:szCs w:val="21"/>
              </w:rPr>
            </w:pPr>
          </w:p>
        </w:tc>
        <w:tc>
          <w:tcPr>
            <w:tcW w:w="217" w:type="dxa"/>
          </w:tcPr>
          <w:p w14:paraId="589C61CF" w14:textId="77777777" w:rsidR="002C0FD9" w:rsidRPr="00CA25CF" w:rsidRDefault="002C0FD9" w:rsidP="00CA25CF">
            <w:pPr>
              <w:rPr>
                <w:rFonts w:cs="Arial"/>
                <w:color w:val="FF0000"/>
                <w:sz w:val="21"/>
                <w:szCs w:val="21"/>
              </w:rPr>
            </w:pPr>
          </w:p>
        </w:tc>
        <w:tc>
          <w:tcPr>
            <w:tcW w:w="217" w:type="dxa"/>
          </w:tcPr>
          <w:p w14:paraId="026138AA" w14:textId="77777777" w:rsidR="002C0FD9" w:rsidRPr="00CA25CF" w:rsidRDefault="002C0FD9" w:rsidP="00CA25CF">
            <w:pPr>
              <w:rPr>
                <w:rFonts w:cs="Arial"/>
                <w:color w:val="FF0000"/>
                <w:sz w:val="21"/>
                <w:szCs w:val="21"/>
              </w:rPr>
            </w:pPr>
          </w:p>
        </w:tc>
        <w:tc>
          <w:tcPr>
            <w:tcW w:w="217" w:type="dxa"/>
          </w:tcPr>
          <w:p w14:paraId="66C78BE6" w14:textId="77777777" w:rsidR="002C0FD9" w:rsidRPr="00CA25CF" w:rsidRDefault="002C0FD9" w:rsidP="00CA25CF">
            <w:pPr>
              <w:rPr>
                <w:rFonts w:cs="Arial"/>
                <w:color w:val="FF0000"/>
                <w:sz w:val="21"/>
                <w:szCs w:val="21"/>
              </w:rPr>
            </w:pPr>
          </w:p>
        </w:tc>
        <w:tc>
          <w:tcPr>
            <w:tcW w:w="217" w:type="dxa"/>
          </w:tcPr>
          <w:p w14:paraId="104EF4F7" w14:textId="77777777" w:rsidR="002C0FD9" w:rsidRPr="00CA25CF" w:rsidRDefault="002C0FD9" w:rsidP="00CA25CF">
            <w:pPr>
              <w:rPr>
                <w:rFonts w:cs="Arial"/>
                <w:color w:val="FF0000"/>
                <w:sz w:val="21"/>
                <w:szCs w:val="21"/>
              </w:rPr>
            </w:pPr>
          </w:p>
        </w:tc>
        <w:tc>
          <w:tcPr>
            <w:tcW w:w="217" w:type="dxa"/>
          </w:tcPr>
          <w:p w14:paraId="40185C41" w14:textId="77777777" w:rsidR="002C0FD9" w:rsidRPr="00CA25CF" w:rsidRDefault="002C0FD9" w:rsidP="00CA25CF">
            <w:pPr>
              <w:rPr>
                <w:rFonts w:cs="Arial"/>
                <w:color w:val="FF0000"/>
                <w:sz w:val="21"/>
                <w:szCs w:val="21"/>
              </w:rPr>
            </w:pPr>
          </w:p>
        </w:tc>
        <w:tc>
          <w:tcPr>
            <w:tcW w:w="217" w:type="dxa"/>
          </w:tcPr>
          <w:p w14:paraId="0198101F" w14:textId="77777777" w:rsidR="002C0FD9" w:rsidRPr="00CA25CF" w:rsidRDefault="002C0FD9" w:rsidP="00CA25CF">
            <w:pPr>
              <w:rPr>
                <w:rFonts w:cs="Arial"/>
                <w:color w:val="FF0000"/>
                <w:sz w:val="21"/>
                <w:szCs w:val="21"/>
              </w:rPr>
            </w:pPr>
          </w:p>
        </w:tc>
        <w:tc>
          <w:tcPr>
            <w:tcW w:w="217" w:type="dxa"/>
          </w:tcPr>
          <w:p w14:paraId="41AF14F5" w14:textId="77777777" w:rsidR="002C0FD9" w:rsidRPr="00CA25CF" w:rsidRDefault="002C0FD9" w:rsidP="00CA25CF">
            <w:pPr>
              <w:rPr>
                <w:rFonts w:cs="Arial"/>
                <w:color w:val="FF0000"/>
                <w:sz w:val="21"/>
                <w:szCs w:val="21"/>
              </w:rPr>
            </w:pPr>
          </w:p>
        </w:tc>
        <w:tc>
          <w:tcPr>
            <w:tcW w:w="217" w:type="dxa"/>
          </w:tcPr>
          <w:p w14:paraId="74C3CE79" w14:textId="77777777" w:rsidR="002C0FD9" w:rsidRPr="00CA25CF" w:rsidRDefault="002C0FD9" w:rsidP="00CA25CF">
            <w:pPr>
              <w:rPr>
                <w:rFonts w:cs="Arial"/>
                <w:color w:val="FF0000"/>
                <w:sz w:val="21"/>
                <w:szCs w:val="21"/>
              </w:rPr>
            </w:pPr>
          </w:p>
        </w:tc>
        <w:tc>
          <w:tcPr>
            <w:tcW w:w="217" w:type="dxa"/>
          </w:tcPr>
          <w:p w14:paraId="16D4EA9A" w14:textId="77777777" w:rsidR="002C0FD9" w:rsidRPr="00CA25CF" w:rsidRDefault="002C0FD9" w:rsidP="00CA25CF">
            <w:pPr>
              <w:rPr>
                <w:rFonts w:cs="Arial"/>
                <w:color w:val="FF0000"/>
                <w:sz w:val="21"/>
                <w:szCs w:val="21"/>
              </w:rPr>
            </w:pPr>
          </w:p>
        </w:tc>
        <w:tc>
          <w:tcPr>
            <w:tcW w:w="217" w:type="dxa"/>
          </w:tcPr>
          <w:p w14:paraId="0138C5FA" w14:textId="77777777" w:rsidR="002C0FD9" w:rsidRPr="00CA25CF" w:rsidRDefault="002C0FD9" w:rsidP="00CA25CF">
            <w:pPr>
              <w:rPr>
                <w:rFonts w:cs="Arial"/>
                <w:color w:val="FF0000"/>
                <w:sz w:val="21"/>
                <w:szCs w:val="21"/>
              </w:rPr>
            </w:pPr>
          </w:p>
        </w:tc>
        <w:tc>
          <w:tcPr>
            <w:tcW w:w="217" w:type="dxa"/>
          </w:tcPr>
          <w:p w14:paraId="7A0FCBDA" w14:textId="77777777" w:rsidR="002C0FD9" w:rsidRPr="00CA25CF" w:rsidRDefault="002C0FD9" w:rsidP="00CA25CF">
            <w:pPr>
              <w:rPr>
                <w:rFonts w:cs="Arial"/>
                <w:color w:val="FF0000"/>
                <w:sz w:val="21"/>
                <w:szCs w:val="21"/>
              </w:rPr>
            </w:pPr>
          </w:p>
        </w:tc>
        <w:tc>
          <w:tcPr>
            <w:tcW w:w="217" w:type="dxa"/>
          </w:tcPr>
          <w:p w14:paraId="4B0C67B3" w14:textId="77777777" w:rsidR="002C0FD9" w:rsidRPr="00CA25CF" w:rsidRDefault="002C0FD9" w:rsidP="00CA25CF">
            <w:pPr>
              <w:rPr>
                <w:rFonts w:cs="Arial"/>
                <w:color w:val="FF0000"/>
                <w:sz w:val="21"/>
                <w:szCs w:val="21"/>
              </w:rPr>
            </w:pPr>
          </w:p>
        </w:tc>
        <w:tc>
          <w:tcPr>
            <w:tcW w:w="217" w:type="dxa"/>
          </w:tcPr>
          <w:p w14:paraId="35F32CD9" w14:textId="77777777" w:rsidR="002C0FD9" w:rsidRPr="00CA25CF" w:rsidRDefault="002C0FD9" w:rsidP="00CA25CF">
            <w:pPr>
              <w:rPr>
                <w:rFonts w:cs="Arial"/>
                <w:color w:val="FF0000"/>
                <w:sz w:val="21"/>
                <w:szCs w:val="21"/>
              </w:rPr>
            </w:pPr>
          </w:p>
        </w:tc>
        <w:tc>
          <w:tcPr>
            <w:tcW w:w="217" w:type="dxa"/>
          </w:tcPr>
          <w:p w14:paraId="4D0C4D1C" w14:textId="77777777" w:rsidR="002C0FD9" w:rsidRPr="00CA25CF" w:rsidRDefault="002C0FD9" w:rsidP="00CA25CF">
            <w:pPr>
              <w:rPr>
                <w:rFonts w:cs="Arial"/>
                <w:color w:val="FF0000"/>
                <w:sz w:val="21"/>
                <w:szCs w:val="21"/>
              </w:rPr>
            </w:pPr>
          </w:p>
        </w:tc>
        <w:tc>
          <w:tcPr>
            <w:tcW w:w="217" w:type="dxa"/>
          </w:tcPr>
          <w:p w14:paraId="6BF70190" w14:textId="77777777" w:rsidR="002C0FD9" w:rsidRPr="00CA25CF" w:rsidRDefault="002C0FD9" w:rsidP="00CA25CF">
            <w:pPr>
              <w:rPr>
                <w:rFonts w:cs="Arial"/>
                <w:color w:val="FF0000"/>
                <w:sz w:val="21"/>
                <w:szCs w:val="21"/>
              </w:rPr>
            </w:pPr>
          </w:p>
        </w:tc>
        <w:tc>
          <w:tcPr>
            <w:tcW w:w="217" w:type="dxa"/>
          </w:tcPr>
          <w:p w14:paraId="7E03DBB5" w14:textId="77777777" w:rsidR="002C0FD9" w:rsidRPr="00CA25CF" w:rsidRDefault="002C0FD9" w:rsidP="00CA25CF">
            <w:pPr>
              <w:rPr>
                <w:rFonts w:cs="Arial"/>
                <w:color w:val="FF0000"/>
                <w:sz w:val="21"/>
                <w:szCs w:val="21"/>
              </w:rPr>
            </w:pPr>
          </w:p>
        </w:tc>
        <w:tc>
          <w:tcPr>
            <w:tcW w:w="217" w:type="dxa"/>
          </w:tcPr>
          <w:p w14:paraId="7510AC42" w14:textId="77777777" w:rsidR="002C0FD9" w:rsidRPr="00CA25CF" w:rsidRDefault="002C0FD9" w:rsidP="00CA25CF">
            <w:pPr>
              <w:rPr>
                <w:rFonts w:cs="Arial"/>
                <w:color w:val="FF0000"/>
                <w:sz w:val="21"/>
                <w:szCs w:val="21"/>
              </w:rPr>
            </w:pPr>
          </w:p>
        </w:tc>
        <w:tc>
          <w:tcPr>
            <w:tcW w:w="217" w:type="dxa"/>
          </w:tcPr>
          <w:p w14:paraId="1BAD4369" w14:textId="77777777" w:rsidR="002C0FD9" w:rsidRPr="00CA25CF" w:rsidRDefault="002C0FD9" w:rsidP="00CA25CF">
            <w:pPr>
              <w:rPr>
                <w:rFonts w:cs="Arial"/>
                <w:color w:val="FF0000"/>
                <w:sz w:val="21"/>
                <w:szCs w:val="21"/>
              </w:rPr>
            </w:pPr>
          </w:p>
        </w:tc>
        <w:tc>
          <w:tcPr>
            <w:tcW w:w="217" w:type="dxa"/>
          </w:tcPr>
          <w:p w14:paraId="60FFC81E" w14:textId="77777777" w:rsidR="002C0FD9" w:rsidRPr="00CA25CF" w:rsidRDefault="002C0FD9" w:rsidP="00CA25CF">
            <w:pPr>
              <w:rPr>
                <w:rFonts w:cs="Arial"/>
                <w:color w:val="FF0000"/>
                <w:sz w:val="21"/>
                <w:szCs w:val="21"/>
              </w:rPr>
            </w:pPr>
          </w:p>
        </w:tc>
        <w:tc>
          <w:tcPr>
            <w:tcW w:w="217" w:type="dxa"/>
          </w:tcPr>
          <w:p w14:paraId="4FAD10D9" w14:textId="77777777" w:rsidR="002C0FD9" w:rsidRPr="00CA25CF" w:rsidRDefault="002C0FD9" w:rsidP="00CA25CF">
            <w:pPr>
              <w:rPr>
                <w:rFonts w:cs="Arial"/>
                <w:color w:val="FF0000"/>
                <w:sz w:val="21"/>
                <w:szCs w:val="21"/>
              </w:rPr>
            </w:pPr>
          </w:p>
        </w:tc>
        <w:tc>
          <w:tcPr>
            <w:tcW w:w="217" w:type="dxa"/>
          </w:tcPr>
          <w:p w14:paraId="3D6C2887" w14:textId="77777777" w:rsidR="002C0FD9" w:rsidRPr="00CA25CF" w:rsidRDefault="002C0FD9" w:rsidP="00CA25CF">
            <w:pPr>
              <w:rPr>
                <w:rFonts w:cs="Arial"/>
                <w:color w:val="FF0000"/>
                <w:sz w:val="21"/>
                <w:szCs w:val="21"/>
              </w:rPr>
            </w:pPr>
          </w:p>
        </w:tc>
        <w:tc>
          <w:tcPr>
            <w:tcW w:w="217" w:type="dxa"/>
          </w:tcPr>
          <w:p w14:paraId="795B98C2" w14:textId="77777777" w:rsidR="002C0FD9" w:rsidRPr="00CA25CF" w:rsidRDefault="002C0FD9" w:rsidP="00CA25CF">
            <w:pPr>
              <w:rPr>
                <w:rFonts w:cs="Arial"/>
                <w:color w:val="FF0000"/>
                <w:sz w:val="21"/>
                <w:szCs w:val="21"/>
              </w:rPr>
            </w:pPr>
          </w:p>
        </w:tc>
        <w:tc>
          <w:tcPr>
            <w:tcW w:w="217" w:type="dxa"/>
          </w:tcPr>
          <w:p w14:paraId="4A0042E3" w14:textId="77777777" w:rsidR="002C0FD9" w:rsidRPr="00CA25CF" w:rsidRDefault="002C0FD9" w:rsidP="00CA25CF">
            <w:pPr>
              <w:rPr>
                <w:rFonts w:cs="Arial"/>
                <w:color w:val="FF0000"/>
                <w:sz w:val="21"/>
                <w:szCs w:val="21"/>
              </w:rPr>
            </w:pPr>
          </w:p>
        </w:tc>
        <w:tc>
          <w:tcPr>
            <w:tcW w:w="217" w:type="dxa"/>
          </w:tcPr>
          <w:p w14:paraId="0712D469" w14:textId="77777777" w:rsidR="002C0FD9" w:rsidRPr="00CA25CF" w:rsidRDefault="002C0FD9" w:rsidP="00CA25CF">
            <w:pPr>
              <w:rPr>
                <w:rFonts w:cs="Arial"/>
                <w:color w:val="FF0000"/>
                <w:sz w:val="21"/>
                <w:szCs w:val="21"/>
              </w:rPr>
            </w:pPr>
          </w:p>
        </w:tc>
        <w:tc>
          <w:tcPr>
            <w:tcW w:w="217" w:type="dxa"/>
          </w:tcPr>
          <w:p w14:paraId="786B80BB" w14:textId="77777777" w:rsidR="002C0FD9" w:rsidRPr="00CA25CF" w:rsidRDefault="002C0FD9" w:rsidP="00CA25CF">
            <w:pPr>
              <w:rPr>
                <w:rFonts w:cs="Arial"/>
                <w:color w:val="FF0000"/>
                <w:sz w:val="21"/>
                <w:szCs w:val="21"/>
              </w:rPr>
            </w:pPr>
          </w:p>
        </w:tc>
        <w:tc>
          <w:tcPr>
            <w:tcW w:w="217" w:type="dxa"/>
          </w:tcPr>
          <w:p w14:paraId="4F3675CD" w14:textId="77777777" w:rsidR="002C0FD9" w:rsidRPr="00CA25CF" w:rsidRDefault="002C0FD9" w:rsidP="00CA25CF">
            <w:pPr>
              <w:rPr>
                <w:rFonts w:cs="Arial"/>
                <w:color w:val="FF0000"/>
                <w:sz w:val="21"/>
                <w:szCs w:val="21"/>
              </w:rPr>
            </w:pPr>
          </w:p>
        </w:tc>
        <w:tc>
          <w:tcPr>
            <w:tcW w:w="217" w:type="dxa"/>
          </w:tcPr>
          <w:p w14:paraId="77521AA7" w14:textId="77777777" w:rsidR="002C0FD9" w:rsidRPr="00CA25CF" w:rsidRDefault="002C0FD9" w:rsidP="00CA25CF">
            <w:pPr>
              <w:rPr>
                <w:rFonts w:cs="Arial"/>
                <w:color w:val="FF0000"/>
                <w:sz w:val="21"/>
                <w:szCs w:val="21"/>
              </w:rPr>
            </w:pPr>
          </w:p>
        </w:tc>
        <w:tc>
          <w:tcPr>
            <w:tcW w:w="217" w:type="dxa"/>
          </w:tcPr>
          <w:p w14:paraId="23D56910" w14:textId="77777777" w:rsidR="002C0FD9" w:rsidRPr="00CA25CF" w:rsidRDefault="002C0FD9" w:rsidP="00CA25CF">
            <w:pPr>
              <w:rPr>
                <w:rFonts w:cs="Arial"/>
                <w:color w:val="FF0000"/>
                <w:sz w:val="21"/>
                <w:szCs w:val="21"/>
              </w:rPr>
            </w:pPr>
          </w:p>
        </w:tc>
        <w:tc>
          <w:tcPr>
            <w:tcW w:w="217" w:type="dxa"/>
          </w:tcPr>
          <w:p w14:paraId="4D2C4FF9" w14:textId="77777777" w:rsidR="002C0FD9" w:rsidRPr="00CA25CF" w:rsidRDefault="002C0FD9" w:rsidP="00CA25CF">
            <w:pPr>
              <w:rPr>
                <w:rFonts w:cs="Arial"/>
                <w:color w:val="FF0000"/>
                <w:sz w:val="21"/>
                <w:szCs w:val="21"/>
              </w:rPr>
            </w:pPr>
          </w:p>
        </w:tc>
        <w:tc>
          <w:tcPr>
            <w:tcW w:w="217" w:type="dxa"/>
          </w:tcPr>
          <w:p w14:paraId="3804D009" w14:textId="77777777" w:rsidR="002C0FD9" w:rsidRPr="00CA25CF" w:rsidRDefault="002C0FD9" w:rsidP="00CA25CF">
            <w:pPr>
              <w:rPr>
                <w:rFonts w:cs="Arial"/>
                <w:color w:val="FF0000"/>
                <w:sz w:val="21"/>
                <w:szCs w:val="21"/>
              </w:rPr>
            </w:pPr>
          </w:p>
        </w:tc>
        <w:tc>
          <w:tcPr>
            <w:tcW w:w="217" w:type="dxa"/>
          </w:tcPr>
          <w:p w14:paraId="2BADB52C" w14:textId="77777777" w:rsidR="002C0FD9" w:rsidRPr="00CA25CF" w:rsidRDefault="002C0FD9" w:rsidP="00CA25CF">
            <w:pPr>
              <w:rPr>
                <w:rFonts w:cs="Arial"/>
                <w:color w:val="FF0000"/>
                <w:sz w:val="21"/>
                <w:szCs w:val="21"/>
              </w:rPr>
            </w:pPr>
          </w:p>
        </w:tc>
        <w:tc>
          <w:tcPr>
            <w:tcW w:w="217" w:type="dxa"/>
          </w:tcPr>
          <w:p w14:paraId="420C32E6" w14:textId="77777777" w:rsidR="002C0FD9" w:rsidRPr="00CA25CF" w:rsidRDefault="002C0FD9" w:rsidP="00CA25CF">
            <w:pPr>
              <w:rPr>
                <w:rFonts w:cs="Arial"/>
                <w:color w:val="FF0000"/>
                <w:sz w:val="21"/>
                <w:szCs w:val="21"/>
              </w:rPr>
            </w:pPr>
          </w:p>
        </w:tc>
        <w:tc>
          <w:tcPr>
            <w:tcW w:w="217" w:type="dxa"/>
          </w:tcPr>
          <w:p w14:paraId="69097A31" w14:textId="77777777" w:rsidR="002C0FD9" w:rsidRPr="00CA25CF" w:rsidRDefault="002C0FD9" w:rsidP="00CA25CF">
            <w:pPr>
              <w:rPr>
                <w:rFonts w:cs="Arial"/>
                <w:color w:val="FF0000"/>
                <w:sz w:val="21"/>
                <w:szCs w:val="21"/>
              </w:rPr>
            </w:pPr>
          </w:p>
        </w:tc>
      </w:tr>
      <w:tr w:rsidR="002C0FD9" w:rsidRPr="00A16219" w14:paraId="5AE5CB1A" w14:textId="77777777" w:rsidTr="002C0FD9">
        <w:trPr>
          <w:trHeight w:val="635"/>
        </w:trPr>
        <w:tc>
          <w:tcPr>
            <w:tcW w:w="515" w:type="dxa"/>
          </w:tcPr>
          <w:p w14:paraId="735461EC" w14:textId="77777777" w:rsidR="002C0FD9" w:rsidRPr="00CA25CF" w:rsidRDefault="002C0FD9" w:rsidP="00CA25CF">
            <w:pPr>
              <w:rPr>
                <w:rFonts w:cs="Arial"/>
                <w:color w:val="FF0000"/>
                <w:sz w:val="21"/>
                <w:szCs w:val="21"/>
              </w:rPr>
            </w:pPr>
          </w:p>
        </w:tc>
        <w:tc>
          <w:tcPr>
            <w:tcW w:w="217" w:type="dxa"/>
          </w:tcPr>
          <w:p w14:paraId="073D8955" w14:textId="77777777" w:rsidR="002C0FD9" w:rsidRPr="00CA25CF" w:rsidRDefault="002C0FD9" w:rsidP="00CA25CF">
            <w:pPr>
              <w:rPr>
                <w:rFonts w:cs="Arial"/>
                <w:color w:val="FF0000"/>
                <w:sz w:val="21"/>
                <w:szCs w:val="21"/>
              </w:rPr>
            </w:pPr>
          </w:p>
        </w:tc>
        <w:tc>
          <w:tcPr>
            <w:tcW w:w="217" w:type="dxa"/>
          </w:tcPr>
          <w:p w14:paraId="5ECA3940" w14:textId="77777777" w:rsidR="002C0FD9" w:rsidRPr="00CA25CF" w:rsidRDefault="002C0FD9" w:rsidP="00CA25CF">
            <w:pPr>
              <w:rPr>
                <w:rFonts w:cs="Arial"/>
                <w:color w:val="FF0000"/>
                <w:sz w:val="21"/>
                <w:szCs w:val="21"/>
              </w:rPr>
            </w:pPr>
          </w:p>
        </w:tc>
        <w:tc>
          <w:tcPr>
            <w:tcW w:w="217" w:type="dxa"/>
          </w:tcPr>
          <w:p w14:paraId="0F032F02" w14:textId="77777777" w:rsidR="002C0FD9" w:rsidRPr="00CA25CF" w:rsidRDefault="002C0FD9" w:rsidP="00CA25CF">
            <w:pPr>
              <w:rPr>
                <w:rFonts w:cs="Arial"/>
                <w:color w:val="FF0000"/>
                <w:sz w:val="21"/>
                <w:szCs w:val="21"/>
              </w:rPr>
            </w:pPr>
          </w:p>
        </w:tc>
        <w:tc>
          <w:tcPr>
            <w:tcW w:w="217" w:type="dxa"/>
          </w:tcPr>
          <w:p w14:paraId="082F22A4" w14:textId="77777777" w:rsidR="002C0FD9" w:rsidRPr="00CA25CF" w:rsidRDefault="002C0FD9" w:rsidP="00CA25CF">
            <w:pPr>
              <w:rPr>
                <w:rFonts w:cs="Arial"/>
                <w:color w:val="FF0000"/>
                <w:sz w:val="21"/>
                <w:szCs w:val="21"/>
              </w:rPr>
            </w:pPr>
          </w:p>
        </w:tc>
        <w:tc>
          <w:tcPr>
            <w:tcW w:w="217" w:type="dxa"/>
          </w:tcPr>
          <w:p w14:paraId="1350A8ED" w14:textId="77777777" w:rsidR="002C0FD9" w:rsidRPr="00CA25CF" w:rsidRDefault="002C0FD9" w:rsidP="00CA25CF">
            <w:pPr>
              <w:rPr>
                <w:rFonts w:cs="Arial"/>
                <w:color w:val="FF0000"/>
                <w:sz w:val="21"/>
                <w:szCs w:val="21"/>
              </w:rPr>
            </w:pPr>
          </w:p>
        </w:tc>
        <w:tc>
          <w:tcPr>
            <w:tcW w:w="217" w:type="dxa"/>
          </w:tcPr>
          <w:p w14:paraId="186D3A2E" w14:textId="77777777" w:rsidR="002C0FD9" w:rsidRPr="00CA25CF" w:rsidRDefault="002C0FD9" w:rsidP="00CA25CF">
            <w:pPr>
              <w:rPr>
                <w:rFonts w:cs="Arial"/>
                <w:color w:val="FF0000"/>
                <w:sz w:val="21"/>
                <w:szCs w:val="21"/>
              </w:rPr>
            </w:pPr>
          </w:p>
        </w:tc>
        <w:tc>
          <w:tcPr>
            <w:tcW w:w="217" w:type="dxa"/>
          </w:tcPr>
          <w:p w14:paraId="315DC563" w14:textId="77777777" w:rsidR="002C0FD9" w:rsidRPr="00CA25CF" w:rsidRDefault="002C0FD9" w:rsidP="00CA25CF">
            <w:pPr>
              <w:rPr>
                <w:rFonts w:cs="Arial"/>
                <w:color w:val="FF0000"/>
                <w:sz w:val="21"/>
                <w:szCs w:val="21"/>
              </w:rPr>
            </w:pPr>
          </w:p>
        </w:tc>
        <w:tc>
          <w:tcPr>
            <w:tcW w:w="217" w:type="dxa"/>
          </w:tcPr>
          <w:p w14:paraId="756A3629" w14:textId="77777777" w:rsidR="002C0FD9" w:rsidRPr="00CA25CF" w:rsidRDefault="002C0FD9" w:rsidP="00CA25CF">
            <w:pPr>
              <w:rPr>
                <w:rFonts w:cs="Arial"/>
                <w:color w:val="FF0000"/>
                <w:sz w:val="21"/>
                <w:szCs w:val="21"/>
              </w:rPr>
            </w:pPr>
          </w:p>
        </w:tc>
        <w:tc>
          <w:tcPr>
            <w:tcW w:w="217" w:type="dxa"/>
          </w:tcPr>
          <w:p w14:paraId="06ACC2E0" w14:textId="77777777" w:rsidR="002C0FD9" w:rsidRPr="00CA25CF" w:rsidRDefault="002C0FD9" w:rsidP="00CA25CF">
            <w:pPr>
              <w:rPr>
                <w:rFonts w:cs="Arial"/>
                <w:color w:val="FF0000"/>
                <w:sz w:val="21"/>
                <w:szCs w:val="21"/>
              </w:rPr>
            </w:pPr>
          </w:p>
        </w:tc>
        <w:tc>
          <w:tcPr>
            <w:tcW w:w="217" w:type="dxa"/>
          </w:tcPr>
          <w:p w14:paraId="2CBCC825" w14:textId="77777777" w:rsidR="002C0FD9" w:rsidRPr="00CA25CF" w:rsidRDefault="002C0FD9" w:rsidP="00CA25CF">
            <w:pPr>
              <w:rPr>
                <w:rFonts w:cs="Arial"/>
                <w:color w:val="FF0000"/>
                <w:sz w:val="21"/>
                <w:szCs w:val="21"/>
              </w:rPr>
            </w:pPr>
          </w:p>
        </w:tc>
        <w:tc>
          <w:tcPr>
            <w:tcW w:w="217" w:type="dxa"/>
          </w:tcPr>
          <w:p w14:paraId="6156F2D4" w14:textId="77777777" w:rsidR="002C0FD9" w:rsidRPr="00CA25CF" w:rsidRDefault="002C0FD9" w:rsidP="00CA25CF">
            <w:pPr>
              <w:rPr>
                <w:rFonts w:cs="Arial"/>
                <w:color w:val="FF0000"/>
                <w:sz w:val="21"/>
                <w:szCs w:val="21"/>
              </w:rPr>
            </w:pPr>
          </w:p>
        </w:tc>
        <w:tc>
          <w:tcPr>
            <w:tcW w:w="217" w:type="dxa"/>
          </w:tcPr>
          <w:p w14:paraId="5FAEA27A" w14:textId="77777777" w:rsidR="002C0FD9" w:rsidRPr="00CA25CF" w:rsidRDefault="002C0FD9" w:rsidP="00CA25CF">
            <w:pPr>
              <w:rPr>
                <w:rFonts w:cs="Arial"/>
                <w:color w:val="FF0000"/>
                <w:sz w:val="21"/>
                <w:szCs w:val="21"/>
              </w:rPr>
            </w:pPr>
          </w:p>
        </w:tc>
        <w:tc>
          <w:tcPr>
            <w:tcW w:w="217" w:type="dxa"/>
          </w:tcPr>
          <w:p w14:paraId="499C1F00" w14:textId="77777777" w:rsidR="002C0FD9" w:rsidRPr="00CA25CF" w:rsidRDefault="002C0FD9" w:rsidP="00CA25CF">
            <w:pPr>
              <w:rPr>
                <w:rFonts w:cs="Arial"/>
                <w:color w:val="FF0000"/>
                <w:sz w:val="21"/>
                <w:szCs w:val="21"/>
              </w:rPr>
            </w:pPr>
          </w:p>
        </w:tc>
        <w:tc>
          <w:tcPr>
            <w:tcW w:w="217" w:type="dxa"/>
          </w:tcPr>
          <w:p w14:paraId="055E266F" w14:textId="77777777" w:rsidR="002C0FD9" w:rsidRPr="00CA25CF" w:rsidRDefault="002C0FD9" w:rsidP="00CA25CF">
            <w:pPr>
              <w:rPr>
                <w:rFonts w:cs="Arial"/>
                <w:color w:val="FF0000"/>
                <w:sz w:val="21"/>
                <w:szCs w:val="21"/>
              </w:rPr>
            </w:pPr>
          </w:p>
        </w:tc>
        <w:tc>
          <w:tcPr>
            <w:tcW w:w="217" w:type="dxa"/>
          </w:tcPr>
          <w:p w14:paraId="07F5253A" w14:textId="77777777" w:rsidR="002C0FD9" w:rsidRPr="00CA25CF" w:rsidRDefault="002C0FD9" w:rsidP="00CA25CF">
            <w:pPr>
              <w:rPr>
                <w:rFonts w:cs="Arial"/>
                <w:color w:val="FF0000"/>
                <w:sz w:val="21"/>
                <w:szCs w:val="21"/>
              </w:rPr>
            </w:pPr>
          </w:p>
        </w:tc>
        <w:tc>
          <w:tcPr>
            <w:tcW w:w="217" w:type="dxa"/>
          </w:tcPr>
          <w:p w14:paraId="62A1DEAF" w14:textId="77777777" w:rsidR="002C0FD9" w:rsidRPr="00CA25CF" w:rsidRDefault="002C0FD9" w:rsidP="00CA25CF">
            <w:pPr>
              <w:rPr>
                <w:rFonts w:cs="Arial"/>
                <w:color w:val="FF0000"/>
                <w:sz w:val="21"/>
                <w:szCs w:val="21"/>
              </w:rPr>
            </w:pPr>
          </w:p>
        </w:tc>
        <w:tc>
          <w:tcPr>
            <w:tcW w:w="217" w:type="dxa"/>
          </w:tcPr>
          <w:p w14:paraId="76E8DDC0" w14:textId="77777777" w:rsidR="002C0FD9" w:rsidRPr="00CA25CF" w:rsidRDefault="002C0FD9" w:rsidP="00CA25CF">
            <w:pPr>
              <w:rPr>
                <w:rFonts w:cs="Arial"/>
                <w:color w:val="FF0000"/>
                <w:sz w:val="21"/>
                <w:szCs w:val="21"/>
              </w:rPr>
            </w:pPr>
          </w:p>
        </w:tc>
        <w:tc>
          <w:tcPr>
            <w:tcW w:w="217" w:type="dxa"/>
          </w:tcPr>
          <w:p w14:paraId="5E900A74" w14:textId="77777777" w:rsidR="002C0FD9" w:rsidRPr="00CA25CF" w:rsidRDefault="002C0FD9" w:rsidP="00CA25CF">
            <w:pPr>
              <w:rPr>
                <w:rFonts w:cs="Arial"/>
                <w:color w:val="FF0000"/>
                <w:sz w:val="21"/>
                <w:szCs w:val="21"/>
              </w:rPr>
            </w:pPr>
          </w:p>
        </w:tc>
        <w:tc>
          <w:tcPr>
            <w:tcW w:w="217" w:type="dxa"/>
          </w:tcPr>
          <w:p w14:paraId="56EE0025" w14:textId="77777777" w:rsidR="002C0FD9" w:rsidRPr="00CA25CF" w:rsidRDefault="002C0FD9" w:rsidP="00CA25CF">
            <w:pPr>
              <w:rPr>
                <w:rFonts w:cs="Arial"/>
                <w:color w:val="FF0000"/>
                <w:sz w:val="21"/>
                <w:szCs w:val="21"/>
              </w:rPr>
            </w:pPr>
          </w:p>
        </w:tc>
        <w:tc>
          <w:tcPr>
            <w:tcW w:w="217" w:type="dxa"/>
          </w:tcPr>
          <w:p w14:paraId="03887CE3" w14:textId="77777777" w:rsidR="002C0FD9" w:rsidRPr="00CA25CF" w:rsidRDefault="002C0FD9" w:rsidP="00CA25CF">
            <w:pPr>
              <w:rPr>
                <w:rFonts w:cs="Arial"/>
                <w:color w:val="FF0000"/>
                <w:sz w:val="21"/>
                <w:szCs w:val="21"/>
              </w:rPr>
            </w:pPr>
          </w:p>
        </w:tc>
        <w:tc>
          <w:tcPr>
            <w:tcW w:w="217" w:type="dxa"/>
          </w:tcPr>
          <w:p w14:paraId="262BC418" w14:textId="77777777" w:rsidR="002C0FD9" w:rsidRPr="00CA25CF" w:rsidRDefault="002C0FD9" w:rsidP="00CA25CF">
            <w:pPr>
              <w:rPr>
                <w:rFonts w:cs="Arial"/>
                <w:color w:val="FF0000"/>
                <w:sz w:val="21"/>
                <w:szCs w:val="21"/>
              </w:rPr>
            </w:pPr>
          </w:p>
        </w:tc>
        <w:tc>
          <w:tcPr>
            <w:tcW w:w="217" w:type="dxa"/>
          </w:tcPr>
          <w:p w14:paraId="780E85F6" w14:textId="77777777" w:rsidR="002C0FD9" w:rsidRPr="00CA25CF" w:rsidRDefault="002C0FD9" w:rsidP="00CA25CF">
            <w:pPr>
              <w:rPr>
                <w:rFonts w:cs="Arial"/>
                <w:color w:val="FF0000"/>
                <w:sz w:val="21"/>
                <w:szCs w:val="21"/>
              </w:rPr>
            </w:pPr>
          </w:p>
        </w:tc>
        <w:tc>
          <w:tcPr>
            <w:tcW w:w="217" w:type="dxa"/>
          </w:tcPr>
          <w:p w14:paraId="603625E0" w14:textId="77777777" w:rsidR="002C0FD9" w:rsidRPr="00CA25CF" w:rsidRDefault="002C0FD9" w:rsidP="00CA25CF">
            <w:pPr>
              <w:rPr>
                <w:rFonts w:cs="Arial"/>
                <w:color w:val="FF0000"/>
                <w:sz w:val="21"/>
                <w:szCs w:val="21"/>
              </w:rPr>
            </w:pPr>
          </w:p>
        </w:tc>
        <w:tc>
          <w:tcPr>
            <w:tcW w:w="217" w:type="dxa"/>
          </w:tcPr>
          <w:p w14:paraId="1857F7CA" w14:textId="77777777" w:rsidR="002C0FD9" w:rsidRPr="00CA25CF" w:rsidRDefault="002C0FD9" w:rsidP="00CA25CF">
            <w:pPr>
              <w:rPr>
                <w:rFonts w:cs="Arial"/>
                <w:color w:val="FF0000"/>
                <w:sz w:val="21"/>
                <w:szCs w:val="21"/>
              </w:rPr>
            </w:pPr>
          </w:p>
        </w:tc>
        <w:tc>
          <w:tcPr>
            <w:tcW w:w="217" w:type="dxa"/>
          </w:tcPr>
          <w:p w14:paraId="01C9CC11" w14:textId="77777777" w:rsidR="002C0FD9" w:rsidRPr="00CA25CF" w:rsidRDefault="002C0FD9" w:rsidP="00CA25CF">
            <w:pPr>
              <w:rPr>
                <w:rFonts w:cs="Arial"/>
                <w:color w:val="FF0000"/>
                <w:sz w:val="21"/>
                <w:szCs w:val="21"/>
              </w:rPr>
            </w:pPr>
          </w:p>
        </w:tc>
        <w:tc>
          <w:tcPr>
            <w:tcW w:w="217" w:type="dxa"/>
          </w:tcPr>
          <w:p w14:paraId="35A646D3" w14:textId="77777777" w:rsidR="002C0FD9" w:rsidRPr="00CA25CF" w:rsidRDefault="002C0FD9" w:rsidP="00CA25CF">
            <w:pPr>
              <w:rPr>
                <w:rFonts w:cs="Arial"/>
                <w:color w:val="FF0000"/>
                <w:sz w:val="21"/>
                <w:szCs w:val="21"/>
              </w:rPr>
            </w:pPr>
          </w:p>
        </w:tc>
        <w:tc>
          <w:tcPr>
            <w:tcW w:w="217" w:type="dxa"/>
          </w:tcPr>
          <w:p w14:paraId="46F7CB4B" w14:textId="77777777" w:rsidR="002C0FD9" w:rsidRPr="00CA25CF" w:rsidRDefault="002C0FD9" w:rsidP="00CA25CF">
            <w:pPr>
              <w:rPr>
                <w:rFonts w:cs="Arial"/>
                <w:color w:val="FF0000"/>
                <w:sz w:val="21"/>
                <w:szCs w:val="21"/>
              </w:rPr>
            </w:pPr>
          </w:p>
        </w:tc>
        <w:tc>
          <w:tcPr>
            <w:tcW w:w="217" w:type="dxa"/>
          </w:tcPr>
          <w:p w14:paraId="2B3EE765" w14:textId="77777777" w:rsidR="002C0FD9" w:rsidRPr="00CA25CF" w:rsidRDefault="002C0FD9" w:rsidP="00CA25CF">
            <w:pPr>
              <w:rPr>
                <w:rFonts w:cs="Arial"/>
                <w:color w:val="FF0000"/>
                <w:sz w:val="21"/>
                <w:szCs w:val="21"/>
              </w:rPr>
            </w:pPr>
          </w:p>
        </w:tc>
        <w:tc>
          <w:tcPr>
            <w:tcW w:w="217" w:type="dxa"/>
          </w:tcPr>
          <w:p w14:paraId="273FDDCB" w14:textId="77777777" w:rsidR="002C0FD9" w:rsidRPr="00CA25CF" w:rsidRDefault="002C0FD9" w:rsidP="00CA25CF">
            <w:pPr>
              <w:rPr>
                <w:rFonts w:cs="Arial"/>
                <w:color w:val="FF0000"/>
                <w:sz w:val="21"/>
                <w:szCs w:val="21"/>
              </w:rPr>
            </w:pPr>
          </w:p>
        </w:tc>
        <w:tc>
          <w:tcPr>
            <w:tcW w:w="217" w:type="dxa"/>
          </w:tcPr>
          <w:p w14:paraId="582C6EE4" w14:textId="77777777" w:rsidR="002C0FD9" w:rsidRPr="00CA25CF" w:rsidRDefault="002C0FD9" w:rsidP="00CA25CF">
            <w:pPr>
              <w:rPr>
                <w:rFonts w:cs="Arial"/>
                <w:color w:val="FF0000"/>
                <w:sz w:val="21"/>
                <w:szCs w:val="21"/>
              </w:rPr>
            </w:pPr>
          </w:p>
        </w:tc>
        <w:tc>
          <w:tcPr>
            <w:tcW w:w="217" w:type="dxa"/>
          </w:tcPr>
          <w:p w14:paraId="3BA6F8DF" w14:textId="77777777" w:rsidR="002C0FD9" w:rsidRPr="00CA25CF" w:rsidRDefault="002C0FD9" w:rsidP="00CA25CF">
            <w:pPr>
              <w:rPr>
                <w:rFonts w:cs="Arial"/>
                <w:color w:val="FF0000"/>
                <w:sz w:val="21"/>
                <w:szCs w:val="21"/>
              </w:rPr>
            </w:pPr>
          </w:p>
        </w:tc>
        <w:tc>
          <w:tcPr>
            <w:tcW w:w="217" w:type="dxa"/>
          </w:tcPr>
          <w:p w14:paraId="0FA646E6" w14:textId="77777777" w:rsidR="002C0FD9" w:rsidRPr="00CA25CF" w:rsidRDefault="002C0FD9" w:rsidP="00CA25CF">
            <w:pPr>
              <w:rPr>
                <w:rFonts w:cs="Arial"/>
                <w:color w:val="FF0000"/>
                <w:sz w:val="21"/>
                <w:szCs w:val="21"/>
              </w:rPr>
            </w:pPr>
          </w:p>
        </w:tc>
        <w:tc>
          <w:tcPr>
            <w:tcW w:w="217" w:type="dxa"/>
          </w:tcPr>
          <w:p w14:paraId="78FAAEC2" w14:textId="77777777" w:rsidR="002C0FD9" w:rsidRPr="00CA25CF" w:rsidRDefault="002C0FD9" w:rsidP="00CA25CF">
            <w:pPr>
              <w:rPr>
                <w:rFonts w:cs="Arial"/>
                <w:color w:val="FF0000"/>
                <w:sz w:val="21"/>
                <w:szCs w:val="21"/>
              </w:rPr>
            </w:pPr>
          </w:p>
        </w:tc>
        <w:tc>
          <w:tcPr>
            <w:tcW w:w="217" w:type="dxa"/>
          </w:tcPr>
          <w:p w14:paraId="440F3413" w14:textId="77777777" w:rsidR="002C0FD9" w:rsidRPr="00CA25CF" w:rsidRDefault="002C0FD9" w:rsidP="00CA25CF">
            <w:pPr>
              <w:rPr>
                <w:rFonts w:cs="Arial"/>
                <w:color w:val="FF0000"/>
                <w:sz w:val="21"/>
                <w:szCs w:val="21"/>
              </w:rPr>
            </w:pPr>
          </w:p>
        </w:tc>
        <w:tc>
          <w:tcPr>
            <w:tcW w:w="217" w:type="dxa"/>
          </w:tcPr>
          <w:p w14:paraId="164D9073" w14:textId="77777777" w:rsidR="002C0FD9" w:rsidRPr="00CA25CF" w:rsidRDefault="002C0FD9" w:rsidP="00CA25CF">
            <w:pPr>
              <w:rPr>
                <w:rFonts w:cs="Arial"/>
                <w:color w:val="FF0000"/>
                <w:sz w:val="21"/>
                <w:szCs w:val="21"/>
              </w:rPr>
            </w:pPr>
          </w:p>
        </w:tc>
        <w:tc>
          <w:tcPr>
            <w:tcW w:w="217" w:type="dxa"/>
          </w:tcPr>
          <w:p w14:paraId="38AB538F" w14:textId="77777777" w:rsidR="002C0FD9" w:rsidRPr="00CA25CF" w:rsidRDefault="002C0FD9" w:rsidP="00CA25CF">
            <w:pPr>
              <w:rPr>
                <w:rFonts w:cs="Arial"/>
                <w:color w:val="FF0000"/>
                <w:sz w:val="21"/>
                <w:szCs w:val="21"/>
              </w:rPr>
            </w:pPr>
          </w:p>
        </w:tc>
        <w:tc>
          <w:tcPr>
            <w:tcW w:w="217" w:type="dxa"/>
          </w:tcPr>
          <w:p w14:paraId="1FB16F3D" w14:textId="77777777" w:rsidR="002C0FD9" w:rsidRPr="00CA25CF" w:rsidRDefault="002C0FD9" w:rsidP="00CA25CF">
            <w:pPr>
              <w:rPr>
                <w:rFonts w:cs="Arial"/>
                <w:color w:val="FF0000"/>
                <w:sz w:val="21"/>
                <w:szCs w:val="21"/>
              </w:rPr>
            </w:pPr>
          </w:p>
        </w:tc>
        <w:tc>
          <w:tcPr>
            <w:tcW w:w="217" w:type="dxa"/>
          </w:tcPr>
          <w:p w14:paraId="75054C47" w14:textId="77777777" w:rsidR="002C0FD9" w:rsidRPr="00CA25CF" w:rsidRDefault="002C0FD9" w:rsidP="00CA25CF">
            <w:pPr>
              <w:rPr>
                <w:rFonts w:cs="Arial"/>
                <w:color w:val="FF0000"/>
                <w:sz w:val="21"/>
                <w:szCs w:val="21"/>
              </w:rPr>
            </w:pPr>
          </w:p>
        </w:tc>
        <w:tc>
          <w:tcPr>
            <w:tcW w:w="217" w:type="dxa"/>
          </w:tcPr>
          <w:p w14:paraId="674C26D1" w14:textId="77777777" w:rsidR="002C0FD9" w:rsidRPr="00CA25CF" w:rsidRDefault="002C0FD9" w:rsidP="00CA25CF">
            <w:pPr>
              <w:rPr>
                <w:rFonts w:cs="Arial"/>
                <w:color w:val="FF0000"/>
                <w:sz w:val="21"/>
                <w:szCs w:val="21"/>
              </w:rPr>
            </w:pPr>
          </w:p>
        </w:tc>
        <w:tc>
          <w:tcPr>
            <w:tcW w:w="217" w:type="dxa"/>
          </w:tcPr>
          <w:p w14:paraId="6F7A16D6" w14:textId="77777777" w:rsidR="002C0FD9" w:rsidRPr="00CA25CF" w:rsidRDefault="002C0FD9" w:rsidP="00CA25CF">
            <w:pPr>
              <w:rPr>
                <w:rFonts w:cs="Arial"/>
                <w:color w:val="FF0000"/>
                <w:sz w:val="21"/>
                <w:szCs w:val="21"/>
              </w:rPr>
            </w:pPr>
          </w:p>
        </w:tc>
        <w:tc>
          <w:tcPr>
            <w:tcW w:w="217" w:type="dxa"/>
          </w:tcPr>
          <w:p w14:paraId="39CAF3B2" w14:textId="77777777" w:rsidR="002C0FD9" w:rsidRPr="00CA25CF" w:rsidRDefault="002C0FD9" w:rsidP="00CA25CF">
            <w:pPr>
              <w:rPr>
                <w:rFonts w:cs="Arial"/>
                <w:color w:val="FF0000"/>
                <w:sz w:val="21"/>
                <w:szCs w:val="21"/>
              </w:rPr>
            </w:pPr>
          </w:p>
        </w:tc>
        <w:tc>
          <w:tcPr>
            <w:tcW w:w="217" w:type="dxa"/>
          </w:tcPr>
          <w:p w14:paraId="39F3D958" w14:textId="77777777" w:rsidR="002C0FD9" w:rsidRPr="00CA25CF" w:rsidRDefault="002C0FD9" w:rsidP="00CA25CF">
            <w:pPr>
              <w:rPr>
                <w:rFonts w:cs="Arial"/>
                <w:color w:val="FF0000"/>
                <w:sz w:val="21"/>
                <w:szCs w:val="21"/>
              </w:rPr>
            </w:pPr>
          </w:p>
        </w:tc>
      </w:tr>
      <w:tr w:rsidR="002C0FD9" w:rsidRPr="00A16219" w14:paraId="0A1ECB38" w14:textId="77777777" w:rsidTr="002C0FD9">
        <w:trPr>
          <w:trHeight w:val="635"/>
        </w:trPr>
        <w:tc>
          <w:tcPr>
            <w:tcW w:w="515" w:type="dxa"/>
          </w:tcPr>
          <w:p w14:paraId="3CAD7EE2" w14:textId="77777777" w:rsidR="002C0FD9" w:rsidRPr="00CA25CF" w:rsidRDefault="002C0FD9" w:rsidP="00CA25CF">
            <w:pPr>
              <w:rPr>
                <w:rFonts w:cs="Arial"/>
                <w:color w:val="FF0000"/>
                <w:sz w:val="21"/>
                <w:szCs w:val="21"/>
              </w:rPr>
            </w:pPr>
          </w:p>
        </w:tc>
        <w:tc>
          <w:tcPr>
            <w:tcW w:w="217" w:type="dxa"/>
          </w:tcPr>
          <w:p w14:paraId="66E98728" w14:textId="77777777" w:rsidR="002C0FD9" w:rsidRPr="00CA25CF" w:rsidRDefault="002C0FD9" w:rsidP="00CA25CF">
            <w:pPr>
              <w:rPr>
                <w:rFonts w:cs="Arial"/>
                <w:color w:val="FF0000"/>
                <w:sz w:val="21"/>
                <w:szCs w:val="21"/>
              </w:rPr>
            </w:pPr>
          </w:p>
        </w:tc>
        <w:tc>
          <w:tcPr>
            <w:tcW w:w="217" w:type="dxa"/>
          </w:tcPr>
          <w:p w14:paraId="27F2E851" w14:textId="77777777" w:rsidR="002C0FD9" w:rsidRPr="00CA25CF" w:rsidRDefault="002C0FD9" w:rsidP="00CA25CF">
            <w:pPr>
              <w:rPr>
                <w:rFonts w:cs="Arial"/>
                <w:color w:val="FF0000"/>
                <w:sz w:val="21"/>
                <w:szCs w:val="21"/>
              </w:rPr>
            </w:pPr>
          </w:p>
        </w:tc>
        <w:tc>
          <w:tcPr>
            <w:tcW w:w="217" w:type="dxa"/>
          </w:tcPr>
          <w:p w14:paraId="2CC73CA6" w14:textId="77777777" w:rsidR="002C0FD9" w:rsidRPr="00CA25CF" w:rsidRDefault="002C0FD9" w:rsidP="00CA25CF">
            <w:pPr>
              <w:rPr>
                <w:rFonts w:cs="Arial"/>
                <w:color w:val="FF0000"/>
                <w:sz w:val="21"/>
                <w:szCs w:val="21"/>
              </w:rPr>
            </w:pPr>
          </w:p>
        </w:tc>
        <w:tc>
          <w:tcPr>
            <w:tcW w:w="217" w:type="dxa"/>
          </w:tcPr>
          <w:p w14:paraId="726E823F" w14:textId="77777777" w:rsidR="002C0FD9" w:rsidRPr="00CA25CF" w:rsidRDefault="002C0FD9" w:rsidP="00CA25CF">
            <w:pPr>
              <w:rPr>
                <w:rFonts w:cs="Arial"/>
                <w:color w:val="FF0000"/>
                <w:sz w:val="21"/>
                <w:szCs w:val="21"/>
              </w:rPr>
            </w:pPr>
          </w:p>
        </w:tc>
        <w:tc>
          <w:tcPr>
            <w:tcW w:w="217" w:type="dxa"/>
          </w:tcPr>
          <w:p w14:paraId="148791D7" w14:textId="77777777" w:rsidR="002C0FD9" w:rsidRPr="00CA25CF" w:rsidRDefault="002C0FD9" w:rsidP="00CA25CF">
            <w:pPr>
              <w:rPr>
                <w:rFonts w:cs="Arial"/>
                <w:color w:val="FF0000"/>
                <w:sz w:val="21"/>
                <w:szCs w:val="21"/>
              </w:rPr>
            </w:pPr>
          </w:p>
        </w:tc>
        <w:tc>
          <w:tcPr>
            <w:tcW w:w="217" w:type="dxa"/>
          </w:tcPr>
          <w:p w14:paraId="2FF2AE9D" w14:textId="77777777" w:rsidR="002C0FD9" w:rsidRPr="00CA25CF" w:rsidRDefault="002C0FD9" w:rsidP="00CA25CF">
            <w:pPr>
              <w:rPr>
                <w:rFonts w:cs="Arial"/>
                <w:color w:val="FF0000"/>
                <w:sz w:val="21"/>
                <w:szCs w:val="21"/>
              </w:rPr>
            </w:pPr>
          </w:p>
        </w:tc>
        <w:tc>
          <w:tcPr>
            <w:tcW w:w="217" w:type="dxa"/>
          </w:tcPr>
          <w:p w14:paraId="0C2177C8" w14:textId="77777777" w:rsidR="002C0FD9" w:rsidRPr="00CA25CF" w:rsidRDefault="002C0FD9" w:rsidP="00CA25CF">
            <w:pPr>
              <w:rPr>
                <w:rFonts w:cs="Arial"/>
                <w:color w:val="FF0000"/>
                <w:sz w:val="21"/>
                <w:szCs w:val="21"/>
              </w:rPr>
            </w:pPr>
          </w:p>
        </w:tc>
        <w:tc>
          <w:tcPr>
            <w:tcW w:w="217" w:type="dxa"/>
          </w:tcPr>
          <w:p w14:paraId="7AFCF6B7" w14:textId="77777777" w:rsidR="002C0FD9" w:rsidRPr="00CA25CF" w:rsidRDefault="002C0FD9" w:rsidP="00CA25CF">
            <w:pPr>
              <w:rPr>
                <w:rFonts w:cs="Arial"/>
                <w:color w:val="FF0000"/>
                <w:sz w:val="21"/>
                <w:szCs w:val="21"/>
              </w:rPr>
            </w:pPr>
          </w:p>
        </w:tc>
        <w:tc>
          <w:tcPr>
            <w:tcW w:w="217" w:type="dxa"/>
          </w:tcPr>
          <w:p w14:paraId="5591BA1F" w14:textId="77777777" w:rsidR="002C0FD9" w:rsidRPr="00CA25CF" w:rsidRDefault="002C0FD9" w:rsidP="00CA25CF">
            <w:pPr>
              <w:rPr>
                <w:rFonts w:cs="Arial"/>
                <w:color w:val="FF0000"/>
                <w:sz w:val="21"/>
                <w:szCs w:val="21"/>
              </w:rPr>
            </w:pPr>
          </w:p>
        </w:tc>
        <w:tc>
          <w:tcPr>
            <w:tcW w:w="217" w:type="dxa"/>
          </w:tcPr>
          <w:p w14:paraId="529E29D4" w14:textId="77777777" w:rsidR="002C0FD9" w:rsidRPr="00CA25CF" w:rsidRDefault="002C0FD9" w:rsidP="00CA25CF">
            <w:pPr>
              <w:rPr>
                <w:rFonts w:cs="Arial"/>
                <w:color w:val="FF0000"/>
                <w:sz w:val="21"/>
                <w:szCs w:val="21"/>
              </w:rPr>
            </w:pPr>
          </w:p>
        </w:tc>
        <w:tc>
          <w:tcPr>
            <w:tcW w:w="217" w:type="dxa"/>
          </w:tcPr>
          <w:p w14:paraId="18B77971" w14:textId="77777777" w:rsidR="002C0FD9" w:rsidRPr="00CA25CF" w:rsidRDefault="002C0FD9" w:rsidP="00CA25CF">
            <w:pPr>
              <w:rPr>
                <w:rFonts w:cs="Arial"/>
                <w:color w:val="FF0000"/>
                <w:sz w:val="21"/>
                <w:szCs w:val="21"/>
              </w:rPr>
            </w:pPr>
          </w:p>
        </w:tc>
        <w:tc>
          <w:tcPr>
            <w:tcW w:w="217" w:type="dxa"/>
          </w:tcPr>
          <w:p w14:paraId="51BAAC35" w14:textId="77777777" w:rsidR="002C0FD9" w:rsidRPr="00CA25CF" w:rsidRDefault="002C0FD9" w:rsidP="00CA25CF">
            <w:pPr>
              <w:rPr>
                <w:rFonts w:cs="Arial"/>
                <w:color w:val="FF0000"/>
                <w:sz w:val="21"/>
                <w:szCs w:val="21"/>
              </w:rPr>
            </w:pPr>
          </w:p>
        </w:tc>
        <w:tc>
          <w:tcPr>
            <w:tcW w:w="217" w:type="dxa"/>
          </w:tcPr>
          <w:p w14:paraId="016D4406" w14:textId="77777777" w:rsidR="002C0FD9" w:rsidRPr="00CA25CF" w:rsidRDefault="002C0FD9" w:rsidP="00CA25CF">
            <w:pPr>
              <w:rPr>
                <w:rFonts w:cs="Arial"/>
                <w:color w:val="FF0000"/>
                <w:sz w:val="21"/>
                <w:szCs w:val="21"/>
              </w:rPr>
            </w:pPr>
          </w:p>
        </w:tc>
        <w:tc>
          <w:tcPr>
            <w:tcW w:w="217" w:type="dxa"/>
          </w:tcPr>
          <w:p w14:paraId="57D75AB1" w14:textId="77777777" w:rsidR="002C0FD9" w:rsidRPr="00CA25CF" w:rsidRDefault="002C0FD9" w:rsidP="00CA25CF">
            <w:pPr>
              <w:rPr>
                <w:rFonts w:cs="Arial"/>
                <w:color w:val="FF0000"/>
                <w:sz w:val="21"/>
                <w:szCs w:val="21"/>
              </w:rPr>
            </w:pPr>
          </w:p>
        </w:tc>
        <w:tc>
          <w:tcPr>
            <w:tcW w:w="217" w:type="dxa"/>
          </w:tcPr>
          <w:p w14:paraId="7BBF2133" w14:textId="77777777" w:rsidR="002C0FD9" w:rsidRPr="00CA25CF" w:rsidRDefault="002C0FD9" w:rsidP="00CA25CF">
            <w:pPr>
              <w:rPr>
                <w:rFonts w:cs="Arial"/>
                <w:color w:val="FF0000"/>
                <w:sz w:val="21"/>
                <w:szCs w:val="21"/>
              </w:rPr>
            </w:pPr>
          </w:p>
        </w:tc>
        <w:tc>
          <w:tcPr>
            <w:tcW w:w="217" w:type="dxa"/>
          </w:tcPr>
          <w:p w14:paraId="6E699238" w14:textId="77777777" w:rsidR="002C0FD9" w:rsidRPr="00CA25CF" w:rsidRDefault="002C0FD9" w:rsidP="00CA25CF">
            <w:pPr>
              <w:rPr>
                <w:rFonts w:cs="Arial"/>
                <w:color w:val="FF0000"/>
                <w:sz w:val="21"/>
                <w:szCs w:val="21"/>
              </w:rPr>
            </w:pPr>
          </w:p>
        </w:tc>
        <w:tc>
          <w:tcPr>
            <w:tcW w:w="217" w:type="dxa"/>
          </w:tcPr>
          <w:p w14:paraId="631B4F60" w14:textId="77777777" w:rsidR="002C0FD9" w:rsidRPr="00CA25CF" w:rsidRDefault="002C0FD9" w:rsidP="00CA25CF">
            <w:pPr>
              <w:rPr>
                <w:rFonts w:cs="Arial"/>
                <w:color w:val="FF0000"/>
                <w:sz w:val="21"/>
                <w:szCs w:val="21"/>
              </w:rPr>
            </w:pPr>
          </w:p>
        </w:tc>
        <w:tc>
          <w:tcPr>
            <w:tcW w:w="217" w:type="dxa"/>
          </w:tcPr>
          <w:p w14:paraId="29C0F868" w14:textId="77777777" w:rsidR="002C0FD9" w:rsidRPr="00CA25CF" w:rsidRDefault="002C0FD9" w:rsidP="00CA25CF">
            <w:pPr>
              <w:rPr>
                <w:rFonts w:cs="Arial"/>
                <w:color w:val="FF0000"/>
                <w:sz w:val="21"/>
                <w:szCs w:val="21"/>
              </w:rPr>
            </w:pPr>
          </w:p>
        </w:tc>
        <w:tc>
          <w:tcPr>
            <w:tcW w:w="217" w:type="dxa"/>
          </w:tcPr>
          <w:p w14:paraId="6B068226" w14:textId="77777777" w:rsidR="002C0FD9" w:rsidRPr="00CA25CF" w:rsidRDefault="002C0FD9" w:rsidP="00CA25CF">
            <w:pPr>
              <w:rPr>
                <w:rFonts w:cs="Arial"/>
                <w:color w:val="FF0000"/>
                <w:sz w:val="21"/>
                <w:szCs w:val="21"/>
              </w:rPr>
            </w:pPr>
          </w:p>
        </w:tc>
        <w:tc>
          <w:tcPr>
            <w:tcW w:w="217" w:type="dxa"/>
          </w:tcPr>
          <w:p w14:paraId="73BBD9DF" w14:textId="77777777" w:rsidR="002C0FD9" w:rsidRPr="00CA25CF" w:rsidRDefault="002C0FD9" w:rsidP="00CA25CF">
            <w:pPr>
              <w:rPr>
                <w:rFonts w:cs="Arial"/>
                <w:color w:val="FF0000"/>
                <w:sz w:val="21"/>
                <w:szCs w:val="21"/>
              </w:rPr>
            </w:pPr>
          </w:p>
        </w:tc>
        <w:tc>
          <w:tcPr>
            <w:tcW w:w="217" w:type="dxa"/>
          </w:tcPr>
          <w:p w14:paraId="08A239C6" w14:textId="77777777" w:rsidR="002C0FD9" w:rsidRPr="00CA25CF" w:rsidRDefault="002C0FD9" w:rsidP="00CA25CF">
            <w:pPr>
              <w:rPr>
                <w:rFonts w:cs="Arial"/>
                <w:color w:val="FF0000"/>
                <w:sz w:val="21"/>
                <w:szCs w:val="21"/>
              </w:rPr>
            </w:pPr>
          </w:p>
        </w:tc>
        <w:tc>
          <w:tcPr>
            <w:tcW w:w="217" w:type="dxa"/>
          </w:tcPr>
          <w:p w14:paraId="528F1AD9" w14:textId="77777777" w:rsidR="002C0FD9" w:rsidRPr="00CA25CF" w:rsidRDefault="002C0FD9" w:rsidP="00CA25CF">
            <w:pPr>
              <w:rPr>
                <w:rFonts w:cs="Arial"/>
                <w:color w:val="FF0000"/>
                <w:sz w:val="21"/>
                <w:szCs w:val="21"/>
              </w:rPr>
            </w:pPr>
          </w:p>
        </w:tc>
        <w:tc>
          <w:tcPr>
            <w:tcW w:w="217" w:type="dxa"/>
          </w:tcPr>
          <w:p w14:paraId="5705E054" w14:textId="77777777" w:rsidR="002C0FD9" w:rsidRPr="00CA25CF" w:rsidRDefault="002C0FD9" w:rsidP="00CA25CF">
            <w:pPr>
              <w:rPr>
                <w:rFonts w:cs="Arial"/>
                <w:color w:val="FF0000"/>
                <w:sz w:val="21"/>
                <w:szCs w:val="21"/>
              </w:rPr>
            </w:pPr>
          </w:p>
        </w:tc>
        <w:tc>
          <w:tcPr>
            <w:tcW w:w="217" w:type="dxa"/>
          </w:tcPr>
          <w:p w14:paraId="177BED21" w14:textId="77777777" w:rsidR="002C0FD9" w:rsidRPr="00CA25CF" w:rsidRDefault="002C0FD9" w:rsidP="00CA25CF">
            <w:pPr>
              <w:rPr>
                <w:rFonts w:cs="Arial"/>
                <w:color w:val="FF0000"/>
                <w:sz w:val="21"/>
                <w:szCs w:val="21"/>
              </w:rPr>
            </w:pPr>
          </w:p>
        </w:tc>
        <w:tc>
          <w:tcPr>
            <w:tcW w:w="217" w:type="dxa"/>
          </w:tcPr>
          <w:p w14:paraId="0844D313" w14:textId="77777777" w:rsidR="002C0FD9" w:rsidRPr="00CA25CF" w:rsidRDefault="002C0FD9" w:rsidP="00CA25CF">
            <w:pPr>
              <w:rPr>
                <w:rFonts w:cs="Arial"/>
                <w:color w:val="FF0000"/>
                <w:sz w:val="21"/>
                <w:szCs w:val="21"/>
              </w:rPr>
            </w:pPr>
          </w:p>
        </w:tc>
        <w:tc>
          <w:tcPr>
            <w:tcW w:w="217" w:type="dxa"/>
          </w:tcPr>
          <w:p w14:paraId="53622956" w14:textId="77777777" w:rsidR="002C0FD9" w:rsidRPr="00CA25CF" w:rsidRDefault="002C0FD9" w:rsidP="00CA25CF">
            <w:pPr>
              <w:rPr>
                <w:rFonts w:cs="Arial"/>
                <w:color w:val="FF0000"/>
                <w:sz w:val="21"/>
                <w:szCs w:val="21"/>
              </w:rPr>
            </w:pPr>
          </w:p>
        </w:tc>
        <w:tc>
          <w:tcPr>
            <w:tcW w:w="217" w:type="dxa"/>
          </w:tcPr>
          <w:p w14:paraId="77D8B33D" w14:textId="77777777" w:rsidR="002C0FD9" w:rsidRPr="00CA25CF" w:rsidRDefault="002C0FD9" w:rsidP="00CA25CF">
            <w:pPr>
              <w:rPr>
                <w:rFonts w:cs="Arial"/>
                <w:color w:val="FF0000"/>
                <w:sz w:val="21"/>
                <w:szCs w:val="21"/>
              </w:rPr>
            </w:pPr>
          </w:p>
        </w:tc>
        <w:tc>
          <w:tcPr>
            <w:tcW w:w="217" w:type="dxa"/>
          </w:tcPr>
          <w:p w14:paraId="4F6113AF" w14:textId="77777777" w:rsidR="002C0FD9" w:rsidRPr="00CA25CF" w:rsidRDefault="002C0FD9" w:rsidP="00CA25CF">
            <w:pPr>
              <w:rPr>
                <w:rFonts w:cs="Arial"/>
                <w:color w:val="FF0000"/>
                <w:sz w:val="21"/>
                <w:szCs w:val="21"/>
              </w:rPr>
            </w:pPr>
          </w:p>
        </w:tc>
        <w:tc>
          <w:tcPr>
            <w:tcW w:w="217" w:type="dxa"/>
          </w:tcPr>
          <w:p w14:paraId="5A3D0966" w14:textId="77777777" w:rsidR="002C0FD9" w:rsidRPr="00CA25CF" w:rsidRDefault="002C0FD9" w:rsidP="00CA25CF">
            <w:pPr>
              <w:rPr>
                <w:rFonts w:cs="Arial"/>
                <w:color w:val="FF0000"/>
                <w:sz w:val="21"/>
                <w:szCs w:val="21"/>
              </w:rPr>
            </w:pPr>
          </w:p>
        </w:tc>
        <w:tc>
          <w:tcPr>
            <w:tcW w:w="217" w:type="dxa"/>
          </w:tcPr>
          <w:p w14:paraId="729E6C50" w14:textId="77777777" w:rsidR="002C0FD9" w:rsidRPr="00CA25CF" w:rsidRDefault="002C0FD9" w:rsidP="00CA25CF">
            <w:pPr>
              <w:rPr>
                <w:rFonts w:cs="Arial"/>
                <w:color w:val="FF0000"/>
                <w:sz w:val="21"/>
                <w:szCs w:val="21"/>
              </w:rPr>
            </w:pPr>
          </w:p>
        </w:tc>
        <w:tc>
          <w:tcPr>
            <w:tcW w:w="217" w:type="dxa"/>
          </w:tcPr>
          <w:p w14:paraId="42AE263C" w14:textId="77777777" w:rsidR="002C0FD9" w:rsidRPr="00CA25CF" w:rsidRDefault="002C0FD9" w:rsidP="00CA25CF">
            <w:pPr>
              <w:rPr>
                <w:rFonts w:cs="Arial"/>
                <w:color w:val="FF0000"/>
                <w:sz w:val="21"/>
                <w:szCs w:val="21"/>
              </w:rPr>
            </w:pPr>
          </w:p>
        </w:tc>
        <w:tc>
          <w:tcPr>
            <w:tcW w:w="217" w:type="dxa"/>
          </w:tcPr>
          <w:p w14:paraId="2DFD984D" w14:textId="77777777" w:rsidR="002C0FD9" w:rsidRPr="00CA25CF" w:rsidRDefault="002C0FD9" w:rsidP="00CA25CF">
            <w:pPr>
              <w:rPr>
                <w:rFonts w:cs="Arial"/>
                <w:color w:val="FF0000"/>
                <w:sz w:val="21"/>
                <w:szCs w:val="21"/>
              </w:rPr>
            </w:pPr>
          </w:p>
        </w:tc>
        <w:tc>
          <w:tcPr>
            <w:tcW w:w="217" w:type="dxa"/>
          </w:tcPr>
          <w:p w14:paraId="74C886E7" w14:textId="77777777" w:rsidR="002C0FD9" w:rsidRPr="00CA25CF" w:rsidRDefault="002C0FD9" w:rsidP="00CA25CF">
            <w:pPr>
              <w:rPr>
                <w:rFonts w:cs="Arial"/>
                <w:color w:val="FF0000"/>
                <w:sz w:val="21"/>
                <w:szCs w:val="21"/>
              </w:rPr>
            </w:pPr>
          </w:p>
        </w:tc>
        <w:tc>
          <w:tcPr>
            <w:tcW w:w="217" w:type="dxa"/>
          </w:tcPr>
          <w:p w14:paraId="4BEC5051" w14:textId="77777777" w:rsidR="002C0FD9" w:rsidRPr="00CA25CF" w:rsidRDefault="002C0FD9" w:rsidP="00CA25CF">
            <w:pPr>
              <w:rPr>
                <w:rFonts w:cs="Arial"/>
                <w:color w:val="FF0000"/>
                <w:sz w:val="21"/>
                <w:szCs w:val="21"/>
              </w:rPr>
            </w:pPr>
          </w:p>
        </w:tc>
        <w:tc>
          <w:tcPr>
            <w:tcW w:w="217" w:type="dxa"/>
          </w:tcPr>
          <w:p w14:paraId="43D20BC4" w14:textId="77777777" w:rsidR="002C0FD9" w:rsidRPr="00CA25CF" w:rsidRDefault="002C0FD9" w:rsidP="00CA25CF">
            <w:pPr>
              <w:rPr>
                <w:rFonts w:cs="Arial"/>
                <w:color w:val="FF0000"/>
                <w:sz w:val="21"/>
                <w:szCs w:val="21"/>
              </w:rPr>
            </w:pPr>
          </w:p>
        </w:tc>
        <w:tc>
          <w:tcPr>
            <w:tcW w:w="217" w:type="dxa"/>
          </w:tcPr>
          <w:p w14:paraId="6C1A3DF6" w14:textId="77777777" w:rsidR="002C0FD9" w:rsidRPr="00CA25CF" w:rsidRDefault="002C0FD9" w:rsidP="00CA25CF">
            <w:pPr>
              <w:rPr>
                <w:rFonts w:cs="Arial"/>
                <w:color w:val="FF0000"/>
                <w:sz w:val="21"/>
                <w:szCs w:val="21"/>
              </w:rPr>
            </w:pPr>
          </w:p>
        </w:tc>
        <w:tc>
          <w:tcPr>
            <w:tcW w:w="217" w:type="dxa"/>
          </w:tcPr>
          <w:p w14:paraId="45C7E573" w14:textId="77777777" w:rsidR="002C0FD9" w:rsidRPr="00CA25CF" w:rsidRDefault="002C0FD9" w:rsidP="00CA25CF">
            <w:pPr>
              <w:rPr>
                <w:rFonts w:cs="Arial"/>
                <w:color w:val="FF0000"/>
                <w:sz w:val="21"/>
                <w:szCs w:val="21"/>
              </w:rPr>
            </w:pPr>
          </w:p>
        </w:tc>
        <w:tc>
          <w:tcPr>
            <w:tcW w:w="217" w:type="dxa"/>
          </w:tcPr>
          <w:p w14:paraId="20BA59F3" w14:textId="77777777" w:rsidR="002C0FD9" w:rsidRPr="00CA25CF" w:rsidRDefault="002C0FD9" w:rsidP="00CA25CF">
            <w:pPr>
              <w:rPr>
                <w:rFonts w:cs="Arial"/>
                <w:color w:val="FF0000"/>
                <w:sz w:val="21"/>
                <w:szCs w:val="21"/>
              </w:rPr>
            </w:pPr>
          </w:p>
        </w:tc>
        <w:tc>
          <w:tcPr>
            <w:tcW w:w="217" w:type="dxa"/>
          </w:tcPr>
          <w:p w14:paraId="28198BB5" w14:textId="77777777" w:rsidR="002C0FD9" w:rsidRPr="00CA25CF" w:rsidRDefault="002C0FD9" w:rsidP="00CA25CF">
            <w:pPr>
              <w:rPr>
                <w:rFonts w:cs="Arial"/>
                <w:color w:val="FF0000"/>
                <w:sz w:val="21"/>
                <w:szCs w:val="21"/>
              </w:rPr>
            </w:pPr>
          </w:p>
        </w:tc>
        <w:tc>
          <w:tcPr>
            <w:tcW w:w="217" w:type="dxa"/>
          </w:tcPr>
          <w:p w14:paraId="77115CB7" w14:textId="77777777" w:rsidR="002C0FD9" w:rsidRPr="00CA25CF" w:rsidRDefault="002C0FD9" w:rsidP="00CA25CF">
            <w:pPr>
              <w:rPr>
                <w:rFonts w:cs="Arial"/>
                <w:color w:val="FF0000"/>
                <w:sz w:val="21"/>
                <w:szCs w:val="21"/>
              </w:rPr>
            </w:pPr>
          </w:p>
        </w:tc>
        <w:tc>
          <w:tcPr>
            <w:tcW w:w="217" w:type="dxa"/>
          </w:tcPr>
          <w:p w14:paraId="701EE0FF" w14:textId="77777777" w:rsidR="002C0FD9" w:rsidRPr="00CA25CF" w:rsidRDefault="002C0FD9" w:rsidP="00CA25CF">
            <w:pPr>
              <w:rPr>
                <w:rFonts w:cs="Arial"/>
                <w:color w:val="FF0000"/>
                <w:sz w:val="21"/>
                <w:szCs w:val="21"/>
              </w:rPr>
            </w:pPr>
          </w:p>
        </w:tc>
        <w:tc>
          <w:tcPr>
            <w:tcW w:w="217" w:type="dxa"/>
          </w:tcPr>
          <w:p w14:paraId="6BAA94E3" w14:textId="77777777" w:rsidR="002C0FD9" w:rsidRPr="00CA25CF" w:rsidRDefault="002C0FD9" w:rsidP="00CA25CF">
            <w:pPr>
              <w:rPr>
                <w:rFonts w:cs="Arial"/>
                <w:color w:val="FF0000"/>
                <w:sz w:val="21"/>
                <w:szCs w:val="21"/>
              </w:rPr>
            </w:pPr>
          </w:p>
        </w:tc>
      </w:tr>
      <w:tr w:rsidR="002C0FD9" w:rsidRPr="00A16219" w14:paraId="2F12DF8E" w14:textId="77777777" w:rsidTr="002C0FD9">
        <w:trPr>
          <w:trHeight w:val="635"/>
        </w:trPr>
        <w:tc>
          <w:tcPr>
            <w:tcW w:w="515" w:type="dxa"/>
          </w:tcPr>
          <w:p w14:paraId="5A66D578" w14:textId="77777777" w:rsidR="002C0FD9" w:rsidRPr="00CA25CF" w:rsidRDefault="002C0FD9" w:rsidP="00CA25CF">
            <w:pPr>
              <w:rPr>
                <w:rFonts w:cs="Arial"/>
                <w:color w:val="FF0000"/>
                <w:sz w:val="21"/>
                <w:szCs w:val="21"/>
              </w:rPr>
            </w:pPr>
          </w:p>
        </w:tc>
        <w:tc>
          <w:tcPr>
            <w:tcW w:w="217" w:type="dxa"/>
          </w:tcPr>
          <w:p w14:paraId="36184A4A" w14:textId="77777777" w:rsidR="002C0FD9" w:rsidRPr="00CA25CF" w:rsidRDefault="002C0FD9" w:rsidP="00CA25CF">
            <w:pPr>
              <w:rPr>
                <w:rFonts w:cs="Arial"/>
                <w:color w:val="FF0000"/>
                <w:sz w:val="21"/>
                <w:szCs w:val="21"/>
              </w:rPr>
            </w:pPr>
          </w:p>
        </w:tc>
        <w:tc>
          <w:tcPr>
            <w:tcW w:w="217" w:type="dxa"/>
          </w:tcPr>
          <w:p w14:paraId="5CE6CFB9" w14:textId="77777777" w:rsidR="002C0FD9" w:rsidRPr="00CA25CF" w:rsidRDefault="002C0FD9" w:rsidP="00CA25CF">
            <w:pPr>
              <w:rPr>
                <w:rFonts w:cs="Arial"/>
                <w:color w:val="FF0000"/>
                <w:sz w:val="21"/>
                <w:szCs w:val="21"/>
              </w:rPr>
            </w:pPr>
          </w:p>
        </w:tc>
        <w:tc>
          <w:tcPr>
            <w:tcW w:w="217" w:type="dxa"/>
          </w:tcPr>
          <w:p w14:paraId="1DBBDA0E" w14:textId="77777777" w:rsidR="002C0FD9" w:rsidRPr="00CA25CF" w:rsidRDefault="002C0FD9" w:rsidP="00CA25CF">
            <w:pPr>
              <w:rPr>
                <w:rFonts w:cs="Arial"/>
                <w:color w:val="FF0000"/>
                <w:sz w:val="21"/>
                <w:szCs w:val="21"/>
              </w:rPr>
            </w:pPr>
          </w:p>
        </w:tc>
        <w:tc>
          <w:tcPr>
            <w:tcW w:w="217" w:type="dxa"/>
          </w:tcPr>
          <w:p w14:paraId="4AA90980" w14:textId="77777777" w:rsidR="002C0FD9" w:rsidRPr="00CA25CF" w:rsidRDefault="002C0FD9" w:rsidP="00CA25CF">
            <w:pPr>
              <w:rPr>
                <w:rFonts w:cs="Arial"/>
                <w:color w:val="FF0000"/>
                <w:sz w:val="21"/>
                <w:szCs w:val="21"/>
              </w:rPr>
            </w:pPr>
          </w:p>
        </w:tc>
        <w:tc>
          <w:tcPr>
            <w:tcW w:w="217" w:type="dxa"/>
          </w:tcPr>
          <w:p w14:paraId="51DE591A" w14:textId="77777777" w:rsidR="002C0FD9" w:rsidRPr="00CA25CF" w:rsidRDefault="002C0FD9" w:rsidP="00CA25CF">
            <w:pPr>
              <w:rPr>
                <w:rFonts w:cs="Arial"/>
                <w:color w:val="FF0000"/>
                <w:sz w:val="21"/>
                <w:szCs w:val="21"/>
              </w:rPr>
            </w:pPr>
          </w:p>
        </w:tc>
        <w:tc>
          <w:tcPr>
            <w:tcW w:w="217" w:type="dxa"/>
          </w:tcPr>
          <w:p w14:paraId="5A0D1FF9" w14:textId="77777777" w:rsidR="002C0FD9" w:rsidRPr="00CA25CF" w:rsidRDefault="002C0FD9" w:rsidP="00CA25CF">
            <w:pPr>
              <w:rPr>
                <w:rFonts w:cs="Arial"/>
                <w:color w:val="FF0000"/>
                <w:sz w:val="21"/>
                <w:szCs w:val="21"/>
              </w:rPr>
            </w:pPr>
          </w:p>
        </w:tc>
        <w:tc>
          <w:tcPr>
            <w:tcW w:w="217" w:type="dxa"/>
          </w:tcPr>
          <w:p w14:paraId="44907204" w14:textId="77777777" w:rsidR="002C0FD9" w:rsidRPr="00CA25CF" w:rsidRDefault="002C0FD9" w:rsidP="00CA25CF">
            <w:pPr>
              <w:rPr>
                <w:rFonts w:cs="Arial"/>
                <w:color w:val="FF0000"/>
                <w:sz w:val="21"/>
                <w:szCs w:val="21"/>
              </w:rPr>
            </w:pPr>
          </w:p>
        </w:tc>
        <w:tc>
          <w:tcPr>
            <w:tcW w:w="217" w:type="dxa"/>
          </w:tcPr>
          <w:p w14:paraId="7472E621" w14:textId="77777777" w:rsidR="002C0FD9" w:rsidRPr="00CA25CF" w:rsidRDefault="002C0FD9" w:rsidP="00CA25CF">
            <w:pPr>
              <w:rPr>
                <w:rFonts w:cs="Arial"/>
                <w:color w:val="FF0000"/>
                <w:sz w:val="21"/>
                <w:szCs w:val="21"/>
              </w:rPr>
            </w:pPr>
          </w:p>
        </w:tc>
        <w:tc>
          <w:tcPr>
            <w:tcW w:w="217" w:type="dxa"/>
          </w:tcPr>
          <w:p w14:paraId="76F388A8" w14:textId="77777777" w:rsidR="002C0FD9" w:rsidRPr="00CA25CF" w:rsidRDefault="002C0FD9" w:rsidP="00CA25CF">
            <w:pPr>
              <w:rPr>
                <w:rFonts w:cs="Arial"/>
                <w:color w:val="FF0000"/>
                <w:sz w:val="21"/>
                <w:szCs w:val="21"/>
              </w:rPr>
            </w:pPr>
          </w:p>
        </w:tc>
        <w:tc>
          <w:tcPr>
            <w:tcW w:w="217" w:type="dxa"/>
          </w:tcPr>
          <w:p w14:paraId="77CE7ADB" w14:textId="77777777" w:rsidR="002C0FD9" w:rsidRPr="00CA25CF" w:rsidRDefault="002C0FD9" w:rsidP="00CA25CF">
            <w:pPr>
              <w:rPr>
                <w:rFonts w:cs="Arial"/>
                <w:color w:val="FF0000"/>
                <w:sz w:val="21"/>
                <w:szCs w:val="21"/>
              </w:rPr>
            </w:pPr>
          </w:p>
        </w:tc>
        <w:tc>
          <w:tcPr>
            <w:tcW w:w="217" w:type="dxa"/>
          </w:tcPr>
          <w:p w14:paraId="474C1E11" w14:textId="77777777" w:rsidR="002C0FD9" w:rsidRPr="00CA25CF" w:rsidRDefault="002C0FD9" w:rsidP="00CA25CF">
            <w:pPr>
              <w:rPr>
                <w:rFonts w:cs="Arial"/>
                <w:color w:val="FF0000"/>
                <w:sz w:val="21"/>
                <w:szCs w:val="21"/>
              </w:rPr>
            </w:pPr>
          </w:p>
        </w:tc>
        <w:tc>
          <w:tcPr>
            <w:tcW w:w="217" w:type="dxa"/>
          </w:tcPr>
          <w:p w14:paraId="4E2A4B6A" w14:textId="77777777" w:rsidR="002C0FD9" w:rsidRPr="00CA25CF" w:rsidRDefault="002C0FD9" w:rsidP="00CA25CF">
            <w:pPr>
              <w:rPr>
                <w:rFonts w:cs="Arial"/>
                <w:color w:val="FF0000"/>
                <w:sz w:val="21"/>
                <w:szCs w:val="21"/>
              </w:rPr>
            </w:pPr>
          </w:p>
        </w:tc>
        <w:tc>
          <w:tcPr>
            <w:tcW w:w="217" w:type="dxa"/>
          </w:tcPr>
          <w:p w14:paraId="479C0829" w14:textId="77777777" w:rsidR="002C0FD9" w:rsidRPr="00CA25CF" w:rsidRDefault="002C0FD9" w:rsidP="00CA25CF">
            <w:pPr>
              <w:rPr>
                <w:rFonts w:cs="Arial"/>
                <w:color w:val="FF0000"/>
                <w:sz w:val="21"/>
                <w:szCs w:val="21"/>
              </w:rPr>
            </w:pPr>
          </w:p>
        </w:tc>
        <w:tc>
          <w:tcPr>
            <w:tcW w:w="217" w:type="dxa"/>
          </w:tcPr>
          <w:p w14:paraId="47F1E0E4" w14:textId="77777777" w:rsidR="002C0FD9" w:rsidRPr="00CA25CF" w:rsidRDefault="002C0FD9" w:rsidP="00CA25CF">
            <w:pPr>
              <w:rPr>
                <w:rFonts w:cs="Arial"/>
                <w:color w:val="FF0000"/>
                <w:sz w:val="21"/>
                <w:szCs w:val="21"/>
              </w:rPr>
            </w:pPr>
          </w:p>
        </w:tc>
        <w:tc>
          <w:tcPr>
            <w:tcW w:w="217" w:type="dxa"/>
          </w:tcPr>
          <w:p w14:paraId="254D560F" w14:textId="77777777" w:rsidR="002C0FD9" w:rsidRPr="00CA25CF" w:rsidRDefault="002C0FD9" w:rsidP="00CA25CF">
            <w:pPr>
              <w:rPr>
                <w:rFonts w:cs="Arial"/>
                <w:color w:val="FF0000"/>
                <w:sz w:val="21"/>
                <w:szCs w:val="21"/>
              </w:rPr>
            </w:pPr>
          </w:p>
        </w:tc>
        <w:tc>
          <w:tcPr>
            <w:tcW w:w="217" w:type="dxa"/>
          </w:tcPr>
          <w:p w14:paraId="22EB3F03" w14:textId="77777777" w:rsidR="002C0FD9" w:rsidRPr="00CA25CF" w:rsidRDefault="002C0FD9" w:rsidP="00CA25CF">
            <w:pPr>
              <w:rPr>
                <w:rFonts w:cs="Arial"/>
                <w:color w:val="FF0000"/>
                <w:sz w:val="21"/>
                <w:szCs w:val="21"/>
              </w:rPr>
            </w:pPr>
          </w:p>
        </w:tc>
        <w:tc>
          <w:tcPr>
            <w:tcW w:w="217" w:type="dxa"/>
          </w:tcPr>
          <w:p w14:paraId="35DD2D75" w14:textId="77777777" w:rsidR="002C0FD9" w:rsidRPr="00CA25CF" w:rsidRDefault="002C0FD9" w:rsidP="00CA25CF">
            <w:pPr>
              <w:rPr>
                <w:rFonts w:cs="Arial"/>
                <w:color w:val="FF0000"/>
                <w:sz w:val="21"/>
                <w:szCs w:val="21"/>
              </w:rPr>
            </w:pPr>
          </w:p>
        </w:tc>
        <w:tc>
          <w:tcPr>
            <w:tcW w:w="217" w:type="dxa"/>
          </w:tcPr>
          <w:p w14:paraId="0125B368" w14:textId="77777777" w:rsidR="002C0FD9" w:rsidRPr="00CA25CF" w:rsidRDefault="002C0FD9" w:rsidP="00CA25CF">
            <w:pPr>
              <w:rPr>
                <w:rFonts w:cs="Arial"/>
                <w:color w:val="FF0000"/>
                <w:sz w:val="21"/>
                <w:szCs w:val="21"/>
              </w:rPr>
            </w:pPr>
          </w:p>
        </w:tc>
        <w:tc>
          <w:tcPr>
            <w:tcW w:w="217" w:type="dxa"/>
          </w:tcPr>
          <w:p w14:paraId="1E603E5A" w14:textId="77777777" w:rsidR="002C0FD9" w:rsidRPr="00CA25CF" w:rsidRDefault="002C0FD9" w:rsidP="00CA25CF">
            <w:pPr>
              <w:rPr>
                <w:rFonts w:cs="Arial"/>
                <w:color w:val="FF0000"/>
                <w:sz w:val="21"/>
                <w:szCs w:val="21"/>
              </w:rPr>
            </w:pPr>
          </w:p>
        </w:tc>
        <w:tc>
          <w:tcPr>
            <w:tcW w:w="217" w:type="dxa"/>
          </w:tcPr>
          <w:p w14:paraId="6D44C48E" w14:textId="77777777" w:rsidR="002C0FD9" w:rsidRPr="00CA25CF" w:rsidRDefault="002C0FD9" w:rsidP="00CA25CF">
            <w:pPr>
              <w:rPr>
                <w:rFonts w:cs="Arial"/>
                <w:color w:val="FF0000"/>
                <w:sz w:val="21"/>
                <w:szCs w:val="21"/>
              </w:rPr>
            </w:pPr>
          </w:p>
        </w:tc>
        <w:tc>
          <w:tcPr>
            <w:tcW w:w="217" w:type="dxa"/>
          </w:tcPr>
          <w:p w14:paraId="02357A55" w14:textId="77777777" w:rsidR="002C0FD9" w:rsidRPr="00CA25CF" w:rsidRDefault="002C0FD9" w:rsidP="00CA25CF">
            <w:pPr>
              <w:rPr>
                <w:rFonts w:cs="Arial"/>
                <w:color w:val="FF0000"/>
                <w:sz w:val="21"/>
                <w:szCs w:val="21"/>
              </w:rPr>
            </w:pPr>
          </w:p>
        </w:tc>
        <w:tc>
          <w:tcPr>
            <w:tcW w:w="217" w:type="dxa"/>
          </w:tcPr>
          <w:p w14:paraId="58A2B89D" w14:textId="77777777" w:rsidR="002C0FD9" w:rsidRPr="00CA25CF" w:rsidRDefault="002C0FD9" w:rsidP="00CA25CF">
            <w:pPr>
              <w:rPr>
                <w:rFonts w:cs="Arial"/>
                <w:color w:val="FF0000"/>
                <w:sz w:val="21"/>
                <w:szCs w:val="21"/>
              </w:rPr>
            </w:pPr>
          </w:p>
        </w:tc>
        <w:tc>
          <w:tcPr>
            <w:tcW w:w="217" w:type="dxa"/>
          </w:tcPr>
          <w:p w14:paraId="75913F8B" w14:textId="77777777" w:rsidR="002C0FD9" w:rsidRPr="00CA25CF" w:rsidRDefault="002C0FD9" w:rsidP="00CA25CF">
            <w:pPr>
              <w:rPr>
                <w:rFonts w:cs="Arial"/>
                <w:color w:val="FF0000"/>
                <w:sz w:val="21"/>
                <w:szCs w:val="21"/>
              </w:rPr>
            </w:pPr>
          </w:p>
        </w:tc>
        <w:tc>
          <w:tcPr>
            <w:tcW w:w="217" w:type="dxa"/>
          </w:tcPr>
          <w:p w14:paraId="603FA68A" w14:textId="77777777" w:rsidR="002C0FD9" w:rsidRPr="00CA25CF" w:rsidRDefault="002C0FD9" w:rsidP="00CA25CF">
            <w:pPr>
              <w:rPr>
                <w:rFonts w:cs="Arial"/>
                <w:color w:val="FF0000"/>
                <w:sz w:val="21"/>
                <w:szCs w:val="21"/>
              </w:rPr>
            </w:pPr>
          </w:p>
        </w:tc>
        <w:tc>
          <w:tcPr>
            <w:tcW w:w="217" w:type="dxa"/>
          </w:tcPr>
          <w:p w14:paraId="04E4DD52" w14:textId="77777777" w:rsidR="002C0FD9" w:rsidRPr="00CA25CF" w:rsidRDefault="002C0FD9" w:rsidP="00CA25CF">
            <w:pPr>
              <w:rPr>
                <w:rFonts w:cs="Arial"/>
                <w:color w:val="FF0000"/>
                <w:sz w:val="21"/>
                <w:szCs w:val="21"/>
              </w:rPr>
            </w:pPr>
          </w:p>
        </w:tc>
        <w:tc>
          <w:tcPr>
            <w:tcW w:w="217" w:type="dxa"/>
          </w:tcPr>
          <w:p w14:paraId="5B0B3674" w14:textId="77777777" w:rsidR="002C0FD9" w:rsidRPr="00CA25CF" w:rsidRDefault="002C0FD9" w:rsidP="00CA25CF">
            <w:pPr>
              <w:rPr>
                <w:rFonts w:cs="Arial"/>
                <w:color w:val="FF0000"/>
                <w:sz w:val="21"/>
                <w:szCs w:val="21"/>
              </w:rPr>
            </w:pPr>
          </w:p>
        </w:tc>
        <w:tc>
          <w:tcPr>
            <w:tcW w:w="217" w:type="dxa"/>
          </w:tcPr>
          <w:p w14:paraId="5834EBA9" w14:textId="77777777" w:rsidR="002C0FD9" w:rsidRPr="00CA25CF" w:rsidRDefault="002C0FD9" w:rsidP="00CA25CF">
            <w:pPr>
              <w:rPr>
                <w:rFonts w:cs="Arial"/>
                <w:color w:val="FF0000"/>
                <w:sz w:val="21"/>
                <w:szCs w:val="21"/>
              </w:rPr>
            </w:pPr>
          </w:p>
        </w:tc>
        <w:tc>
          <w:tcPr>
            <w:tcW w:w="217" w:type="dxa"/>
          </w:tcPr>
          <w:p w14:paraId="0141A557" w14:textId="77777777" w:rsidR="002C0FD9" w:rsidRPr="00CA25CF" w:rsidRDefault="002C0FD9" w:rsidP="00CA25CF">
            <w:pPr>
              <w:rPr>
                <w:rFonts w:cs="Arial"/>
                <w:color w:val="FF0000"/>
                <w:sz w:val="21"/>
                <w:szCs w:val="21"/>
              </w:rPr>
            </w:pPr>
          </w:p>
        </w:tc>
        <w:tc>
          <w:tcPr>
            <w:tcW w:w="217" w:type="dxa"/>
          </w:tcPr>
          <w:p w14:paraId="4E70A025" w14:textId="77777777" w:rsidR="002C0FD9" w:rsidRPr="00CA25CF" w:rsidRDefault="002C0FD9" w:rsidP="00CA25CF">
            <w:pPr>
              <w:rPr>
                <w:rFonts w:cs="Arial"/>
                <w:color w:val="FF0000"/>
                <w:sz w:val="21"/>
                <w:szCs w:val="21"/>
              </w:rPr>
            </w:pPr>
          </w:p>
        </w:tc>
        <w:tc>
          <w:tcPr>
            <w:tcW w:w="217" w:type="dxa"/>
          </w:tcPr>
          <w:p w14:paraId="51BC855B" w14:textId="77777777" w:rsidR="002C0FD9" w:rsidRPr="00CA25CF" w:rsidRDefault="002C0FD9" w:rsidP="00CA25CF">
            <w:pPr>
              <w:rPr>
                <w:rFonts w:cs="Arial"/>
                <w:color w:val="FF0000"/>
                <w:sz w:val="21"/>
                <w:szCs w:val="21"/>
              </w:rPr>
            </w:pPr>
          </w:p>
        </w:tc>
        <w:tc>
          <w:tcPr>
            <w:tcW w:w="217" w:type="dxa"/>
          </w:tcPr>
          <w:p w14:paraId="4854D82A" w14:textId="77777777" w:rsidR="002C0FD9" w:rsidRPr="00CA25CF" w:rsidRDefault="002C0FD9" w:rsidP="00CA25CF">
            <w:pPr>
              <w:rPr>
                <w:rFonts w:cs="Arial"/>
                <w:color w:val="FF0000"/>
                <w:sz w:val="21"/>
                <w:szCs w:val="21"/>
              </w:rPr>
            </w:pPr>
          </w:p>
        </w:tc>
        <w:tc>
          <w:tcPr>
            <w:tcW w:w="217" w:type="dxa"/>
          </w:tcPr>
          <w:p w14:paraId="79F59081" w14:textId="77777777" w:rsidR="002C0FD9" w:rsidRPr="00CA25CF" w:rsidRDefault="002C0FD9" w:rsidP="00CA25CF">
            <w:pPr>
              <w:rPr>
                <w:rFonts w:cs="Arial"/>
                <w:color w:val="FF0000"/>
                <w:sz w:val="21"/>
                <w:szCs w:val="21"/>
              </w:rPr>
            </w:pPr>
          </w:p>
        </w:tc>
        <w:tc>
          <w:tcPr>
            <w:tcW w:w="217" w:type="dxa"/>
          </w:tcPr>
          <w:p w14:paraId="5CB5AF7B" w14:textId="77777777" w:rsidR="002C0FD9" w:rsidRPr="00CA25CF" w:rsidRDefault="002C0FD9" w:rsidP="00CA25CF">
            <w:pPr>
              <w:rPr>
                <w:rFonts w:cs="Arial"/>
                <w:color w:val="FF0000"/>
                <w:sz w:val="21"/>
                <w:szCs w:val="21"/>
              </w:rPr>
            </w:pPr>
          </w:p>
        </w:tc>
        <w:tc>
          <w:tcPr>
            <w:tcW w:w="217" w:type="dxa"/>
          </w:tcPr>
          <w:p w14:paraId="4119DCDF" w14:textId="77777777" w:rsidR="002C0FD9" w:rsidRPr="00CA25CF" w:rsidRDefault="002C0FD9" w:rsidP="00CA25CF">
            <w:pPr>
              <w:rPr>
                <w:rFonts w:cs="Arial"/>
                <w:color w:val="FF0000"/>
                <w:sz w:val="21"/>
                <w:szCs w:val="21"/>
              </w:rPr>
            </w:pPr>
          </w:p>
        </w:tc>
        <w:tc>
          <w:tcPr>
            <w:tcW w:w="217" w:type="dxa"/>
          </w:tcPr>
          <w:p w14:paraId="183B3307" w14:textId="77777777" w:rsidR="002C0FD9" w:rsidRPr="00CA25CF" w:rsidRDefault="002C0FD9" w:rsidP="00CA25CF">
            <w:pPr>
              <w:rPr>
                <w:rFonts w:cs="Arial"/>
                <w:color w:val="FF0000"/>
                <w:sz w:val="21"/>
                <w:szCs w:val="21"/>
              </w:rPr>
            </w:pPr>
          </w:p>
        </w:tc>
        <w:tc>
          <w:tcPr>
            <w:tcW w:w="217" w:type="dxa"/>
          </w:tcPr>
          <w:p w14:paraId="3221491E" w14:textId="77777777" w:rsidR="002C0FD9" w:rsidRPr="00CA25CF" w:rsidRDefault="002C0FD9" w:rsidP="00CA25CF">
            <w:pPr>
              <w:rPr>
                <w:rFonts w:cs="Arial"/>
                <w:color w:val="FF0000"/>
                <w:sz w:val="21"/>
                <w:szCs w:val="21"/>
              </w:rPr>
            </w:pPr>
          </w:p>
        </w:tc>
        <w:tc>
          <w:tcPr>
            <w:tcW w:w="217" w:type="dxa"/>
          </w:tcPr>
          <w:p w14:paraId="41FED8DE" w14:textId="77777777" w:rsidR="002C0FD9" w:rsidRPr="00CA25CF" w:rsidRDefault="002C0FD9" w:rsidP="00CA25CF">
            <w:pPr>
              <w:rPr>
                <w:rFonts w:cs="Arial"/>
                <w:color w:val="FF0000"/>
                <w:sz w:val="21"/>
                <w:szCs w:val="21"/>
              </w:rPr>
            </w:pPr>
          </w:p>
        </w:tc>
        <w:tc>
          <w:tcPr>
            <w:tcW w:w="217" w:type="dxa"/>
          </w:tcPr>
          <w:p w14:paraId="68D295BC" w14:textId="77777777" w:rsidR="002C0FD9" w:rsidRPr="00CA25CF" w:rsidRDefault="002C0FD9" w:rsidP="00CA25CF">
            <w:pPr>
              <w:rPr>
                <w:rFonts w:cs="Arial"/>
                <w:color w:val="FF0000"/>
                <w:sz w:val="21"/>
                <w:szCs w:val="21"/>
              </w:rPr>
            </w:pPr>
          </w:p>
        </w:tc>
        <w:tc>
          <w:tcPr>
            <w:tcW w:w="217" w:type="dxa"/>
          </w:tcPr>
          <w:p w14:paraId="71C74C5F" w14:textId="77777777" w:rsidR="002C0FD9" w:rsidRPr="00CA25CF" w:rsidRDefault="002C0FD9" w:rsidP="00CA25CF">
            <w:pPr>
              <w:rPr>
                <w:rFonts w:cs="Arial"/>
                <w:color w:val="FF0000"/>
                <w:sz w:val="21"/>
                <w:szCs w:val="21"/>
              </w:rPr>
            </w:pPr>
          </w:p>
        </w:tc>
        <w:tc>
          <w:tcPr>
            <w:tcW w:w="217" w:type="dxa"/>
          </w:tcPr>
          <w:p w14:paraId="05C9DB1E" w14:textId="77777777" w:rsidR="002C0FD9" w:rsidRPr="00CA25CF" w:rsidRDefault="002C0FD9" w:rsidP="00CA25CF">
            <w:pPr>
              <w:rPr>
                <w:rFonts w:cs="Arial"/>
                <w:color w:val="FF0000"/>
                <w:sz w:val="21"/>
                <w:szCs w:val="21"/>
              </w:rPr>
            </w:pPr>
          </w:p>
        </w:tc>
        <w:tc>
          <w:tcPr>
            <w:tcW w:w="217" w:type="dxa"/>
          </w:tcPr>
          <w:p w14:paraId="2BE7B217" w14:textId="77777777" w:rsidR="002C0FD9" w:rsidRPr="00CA25CF" w:rsidRDefault="002C0FD9" w:rsidP="00CA25CF">
            <w:pPr>
              <w:rPr>
                <w:rFonts w:cs="Arial"/>
                <w:color w:val="FF0000"/>
                <w:sz w:val="21"/>
                <w:szCs w:val="21"/>
              </w:rPr>
            </w:pPr>
          </w:p>
        </w:tc>
        <w:tc>
          <w:tcPr>
            <w:tcW w:w="217" w:type="dxa"/>
          </w:tcPr>
          <w:p w14:paraId="72A7EBED" w14:textId="77777777" w:rsidR="002C0FD9" w:rsidRPr="00CA25CF" w:rsidRDefault="002C0FD9" w:rsidP="00CA25CF">
            <w:pPr>
              <w:rPr>
                <w:rFonts w:cs="Arial"/>
                <w:color w:val="FF0000"/>
                <w:sz w:val="21"/>
                <w:szCs w:val="21"/>
              </w:rPr>
            </w:pPr>
          </w:p>
        </w:tc>
      </w:tr>
      <w:tr w:rsidR="002C0FD9" w:rsidRPr="00A16219" w14:paraId="3BBE4294" w14:textId="77777777" w:rsidTr="002C0FD9">
        <w:trPr>
          <w:trHeight w:val="635"/>
        </w:trPr>
        <w:tc>
          <w:tcPr>
            <w:tcW w:w="515" w:type="dxa"/>
          </w:tcPr>
          <w:p w14:paraId="02171931" w14:textId="77777777" w:rsidR="002C0FD9" w:rsidRPr="00CA25CF" w:rsidRDefault="002C0FD9" w:rsidP="00CA25CF">
            <w:pPr>
              <w:rPr>
                <w:rFonts w:cs="Arial"/>
                <w:color w:val="FF0000"/>
                <w:sz w:val="21"/>
                <w:szCs w:val="21"/>
              </w:rPr>
            </w:pPr>
          </w:p>
        </w:tc>
        <w:tc>
          <w:tcPr>
            <w:tcW w:w="217" w:type="dxa"/>
          </w:tcPr>
          <w:p w14:paraId="4B2E0EAB" w14:textId="77777777" w:rsidR="002C0FD9" w:rsidRPr="00CA25CF" w:rsidRDefault="002C0FD9" w:rsidP="00CA25CF">
            <w:pPr>
              <w:rPr>
                <w:rFonts w:cs="Arial"/>
                <w:color w:val="FF0000"/>
                <w:sz w:val="21"/>
                <w:szCs w:val="21"/>
              </w:rPr>
            </w:pPr>
          </w:p>
        </w:tc>
        <w:tc>
          <w:tcPr>
            <w:tcW w:w="217" w:type="dxa"/>
          </w:tcPr>
          <w:p w14:paraId="40F593DC" w14:textId="77777777" w:rsidR="002C0FD9" w:rsidRPr="00CA25CF" w:rsidRDefault="002C0FD9" w:rsidP="00CA25CF">
            <w:pPr>
              <w:rPr>
                <w:rFonts w:cs="Arial"/>
                <w:color w:val="FF0000"/>
                <w:sz w:val="21"/>
                <w:szCs w:val="21"/>
              </w:rPr>
            </w:pPr>
          </w:p>
        </w:tc>
        <w:tc>
          <w:tcPr>
            <w:tcW w:w="217" w:type="dxa"/>
          </w:tcPr>
          <w:p w14:paraId="28363252" w14:textId="77777777" w:rsidR="002C0FD9" w:rsidRPr="00CA25CF" w:rsidRDefault="002C0FD9" w:rsidP="00CA25CF">
            <w:pPr>
              <w:rPr>
                <w:rFonts w:cs="Arial"/>
                <w:color w:val="FF0000"/>
                <w:sz w:val="21"/>
                <w:szCs w:val="21"/>
              </w:rPr>
            </w:pPr>
          </w:p>
        </w:tc>
        <w:tc>
          <w:tcPr>
            <w:tcW w:w="217" w:type="dxa"/>
          </w:tcPr>
          <w:p w14:paraId="42352DA2" w14:textId="77777777" w:rsidR="002C0FD9" w:rsidRPr="00CA25CF" w:rsidRDefault="002C0FD9" w:rsidP="00CA25CF">
            <w:pPr>
              <w:rPr>
                <w:rFonts w:cs="Arial"/>
                <w:color w:val="FF0000"/>
                <w:sz w:val="21"/>
                <w:szCs w:val="21"/>
              </w:rPr>
            </w:pPr>
          </w:p>
        </w:tc>
        <w:tc>
          <w:tcPr>
            <w:tcW w:w="217" w:type="dxa"/>
          </w:tcPr>
          <w:p w14:paraId="0D248263" w14:textId="77777777" w:rsidR="002C0FD9" w:rsidRPr="00CA25CF" w:rsidRDefault="002C0FD9" w:rsidP="00CA25CF">
            <w:pPr>
              <w:rPr>
                <w:rFonts w:cs="Arial"/>
                <w:color w:val="FF0000"/>
                <w:sz w:val="21"/>
                <w:szCs w:val="21"/>
              </w:rPr>
            </w:pPr>
          </w:p>
        </w:tc>
        <w:tc>
          <w:tcPr>
            <w:tcW w:w="217" w:type="dxa"/>
          </w:tcPr>
          <w:p w14:paraId="4CAABDF8" w14:textId="77777777" w:rsidR="002C0FD9" w:rsidRPr="00CA25CF" w:rsidRDefault="002C0FD9" w:rsidP="00CA25CF">
            <w:pPr>
              <w:rPr>
                <w:rFonts w:cs="Arial"/>
                <w:color w:val="FF0000"/>
                <w:sz w:val="21"/>
                <w:szCs w:val="21"/>
              </w:rPr>
            </w:pPr>
          </w:p>
        </w:tc>
        <w:tc>
          <w:tcPr>
            <w:tcW w:w="217" w:type="dxa"/>
          </w:tcPr>
          <w:p w14:paraId="4D46C12A" w14:textId="77777777" w:rsidR="002C0FD9" w:rsidRPr="00CA25CF" w:rsidRDefault="002C0FD9" w:rsidP="00CA25CF">
            <w:pPr>
              <w:rPr>
                <w:rFonts w:cs="Arial"/>
                <w:color w:val="FF0000"/>
                <w:sz w:val="21"/>
                <w:szCs w:val="21"/>
              </w:rPr>
            </w:pPr>
          </w:p>
        </w:tc>
        <w:tc>
          <w:tcPr>
            <w:tcW w:w="217" w:type="dxa"/>
          </w:tcPr>
          <w:p w14:paraId="2E6D3B94" w14:textId="77777777" w:rsidR="002C0FD9" w:rsidRPr="00CA25CF" w:rsidRDefault="002C0FD9" w:rsidP="00CA25CF">
            <w:pPr>
              <w:rPr>
                <w:rFonts w:cs="Arial"/>
                <w:color w:val="FF0000"/>
                <w:sz w:val="21"/>
                <w:szCs w:val="21"/>
              </w:rPr>
            </w:pPr>
          </w:p>
        </w:tc>
        <w:tc>
          <w:tcPr>
            <w:tcW w:w="217" w:type="dxa"/>
          </w:tcPr>
          <w:p w14:paraId="2F937602" w14:textId="77777777" w:rsidR="002C0FD9" w:rsidRPr="00CA25CF" w:rsidRDefault="002C0FD9" w:rsidP="00CA25CF">
            <w:pPr>
              <w:rPr>
                <w:rFonts w:cs="Arial"/>
                <w:color w:val="FF0000"/>
                <w:sz w:val="21"/>
                <w:szCs w:val="21"/>
              </w:rPr>
            </w:pPr>
          </w:p>
        </w:tc>
        <w:tc>
          <w:tcPr>
            <w:tcW w:w="217" w:type="dxa"/>
          </w:tcPr>
          <w:p w14:paraId="4722EB04" w14:textId="77777777" w:rsidR="002C0FD9" w:rsidRPr="00CA25CF" w:rsidRDefault="002C0FD9" w:rsidP="00CA25CF">
            <w:pPr>
              <w:rPr>
                <w:rFonts w:cs="Arial"/>
                <w:color w:val="FF0000"/>
                <w:sz w:val="21"/>
                <w:szCs w:val="21"/>
              </w:rPr>
            </w:pPr>
          </w:p>
        </w:tc>
        <w:tc>
          <w:tcPr>
            <w:tcW w:w="217" w:type="dxa"/>
          </w:tcPr>
          <w:p w14:paraId="219ECC73" w14:textId="77777777" w:rsidR="002C0FD9" w:rsidRPr="00CA25CF" w:rsidRDefault="002C0FD9" w:rsidP="00CA25CF">
            <w:pPr>
              <w:rPr>
                <w:rFonts w:cs="Arial"/>
                <w:color w:val="FF0000"/>
                <w:sz w:val="21"/>
                <w:szCs w:val="21"/>
              </w:rPr>
            </w:pPr>
          </w:p>
        </w:tc>
        <w:tc>
          <w:tcPr>
            <w:tcW w:w="217" w:type="dxa"/>
          </w:tcPr>
          <w:p w14:paraId="64162301" w14:textId="77777777" w:rsidR="002C0FD9" w:rsidRPr="00CA25CF" w:rsidRDefault="002C0FD9" w:rsidP="00CA25CF">
            <w:pPr>
              <w:rPr>
                <w:rFonts w:cs="Arial"/>
                <w:color w:val="FF0000"/>
                <w:sz w:val="21"/>
                <w:szCs w:val="21"/>
              </w:rPr>
            </w:pPr>
          </w:p>
        </w:tc>
        <w:tc>
          <w:tcPr>
            <w:tcW w:w="217" w:type="dxa"/>
          </w:tcPr>
          <w:p w14:paraId="4049C54A" w14:textId="77777777" w:rsidR="002C0FD9" w:rsidRPr="00CA25CF" w:rsidRDefault="002C0FD9" w:rsidP="00CA25CF">
            <w:pPr>
              <w:rPr>
                <w:rFonts w:cs="Arial"/>
                <w:color w:val="FF0000"/>
                <w:sz w:val="21"/>
                <w:szCs w:val="21"/>
              </w:rPr>
            </w:pPr>
          </w:p>
        </w:tc>
        <w:tc>
          <w:tcPr>
            <w:tcW w:w="217" w:type="dxa"/>
          </w:tcPr>
          <w:p w14:paraId="69227F3F" w14:textId="77777777" w:rsidR="002C0FD9" w:rsidRPr="00CA25CF" w:rsidRDefault="002C0FD9" w:rsidP="00CA25CF">
            <w:pPr>
              <w:rPr>
                <w:rFonts w:cs="Arial"/>
                <w:color w:val="FF0000"/>
                <w:sz w:val="21"/>
                <w:szCs w:val="21"/>
              </w:rPr>
            </w:pPr>
          </w:p>
        </w:tc>
        <w:tc>
          <w:tcPr>
            <w:tcW w:w="217" w:type="dxa"/>
          </w:tcPr>
          <w:p w14:paraId="6B788C25" w14:textId="77777777" w:rsidR="002C0FD9" w:rsidRPr="00CA25CF" w:rsidRDefault="002C0FD9" w:rsidP="00CA25CF">
            <w:pPr>
              <w:rPr>
                <w:rFonts w:cs="Arial"/>
                <w:color w:val="FF0000"/>
                <w:sz w:val="21"/>
                <w:szCs w:val="21"/>
              </w:rPr>
            </w:pPr>
          </w:p>
        </w:tc>
        <w:tc>
          <w:tcPr>
            <w:tcW w:w="217" w:type="dxa"/>
          </w:tcPr>
          <w:p w14:paraId="0AA555BD" w14:textId="77777777" w:rsidR="002C0FD9" w:rsidRPr="00CA25CF" w:rsidRDefault="002C0FD9" w:rsidP="00CA25CF">
            <w:pPr>
              <w:rPr>
                <w:rFonts w:cs="Arial"/>
                <w:color w:val="FF0000"/>
                <w:sz w:val="21"/>
                <w:szCs w:val="21"/>
              </w:rPr>
            </w:pPr>
          </w:p>
        </w:tc>
        <w:tc>
          <w:tcPr>
            <w:tcW w:w="217" w:type="dxa"/>
          </w:tcPr>
          <w:p w14:paraId="03D6F587" w14:textId="77777777" w:rsidR="002C0FD9" w:rsidRPr="00CA25CF" w:rsidRDefault="002C0FD9" w:rsidP="00CA25CF">
            <w:pPr>
              <w:rPr>
                <w:rFonts w:cs="Arial"/>
                <w:color w:val="FF0000"/>
                <w:sz w:val="21"/>
                <w:szCs w:val="21"/>
              </w:rPr>
            </w:pPr>
          </w:p>
        </w:tc>
        <w:tc>
          <w:tcPr>
            <w:tcW w:w="217" w:type="dxa"/>
          </w:tcPr>
          <w:p w14:paraId="6895E28E" w14:textId="77777777" w:rsidR="002C0FD9" w:rsidRPr="00CA25CF" w:rsidRDefault="002C0FD9" w:rsidP="00CA25CF">
            <w:pPr>
              <w:rPr>
                <w:rFonts w:cs="Arial"/>
                <w:color w:val="FF0000"/>
                <w:sz w:val="21"/>
                <w:szCs w:val="21"/>
              </w:rPr>
            </w:pPr>
          </w:p>
        </w:tc>
        <w:tc>
          <w:tcPr>
            <w:tcW w:w="217" w:type="dxa"/>
          </w:tcPr>
          <w:p w14:paraId="5921495C" w14:textId="77777777" w:rsidR="002C0FD9" w:rsidRPr="00CA25CF" w:rsidRDefault="002C0FD9" w:rsidP="00CA25CF">
            <w:pPr>
              <w:rPr>
                <w:rFonts w:cs="Arial"/>
                <w:color w:val="FF0000"/>
                <w:sz w:val="21"/>
                <w:szCs w:val="21"/>
              </w:rPr>
            </w:pPr>
          </w:p>
        </w:tc>
        <w:tc>
          <w:tcPr>
            <w:tcW w:w="217" w:type="dxa"/>
          </w:tcPr>
          <w:p w14:paraId="6D083E36" w14:textId="77777777" w:rsidR="002C0FD9" w:rsidRPr="00CA25CF" w:rsidRDefault="002C0FD9" w:rsidP="00CA25CF">
            <w:pPr>
              <w:rPr>
                <w:rFonts w:cs="Arial"/>
                <w:color w:val="FF0000"/>
                <w:sz w:val="21"/>
                <w:szCs w:val="21"/>
              </w:rPr>
            </w:pPr>
          </w:p>
        </w:tc>
        <w:tc>
          <w:tcPr>
            <w:tcW w:w="217" w:type="dxa"/>
          </w:tcPr>
          <w:p w14:paraId="70479E1E" w14:textId="77777777" w:rsidR="002C0FD9" w:rsidRPr="00CA25CF" w:rsidRDefault="002C0FD9" w:rsidP="00CA25CF">
            <w:pPr>
              <w:rPr>
                <w:rFonts w:cs="Arial"/>
                <w:color w:val="FF0000"/>
                <w:sz w:val="21"/>
                <w:szCs w:val="21"/>
              </w:rPr>
            </w:pPr>
          </w:p>
        </w:tc>
        <w:tc>
          <w:tcPr>
            <w:tcW w:w="217" w:type="dxa"/>
          </w:tcPr>
          <w:p w14:paraId="0689D286" w14:textId="77777777" w:rsidR="002C0FD9" w:rsidRPr="00CA25CF" w:rsidRDefault="002C0FD9" w:rsidP="00CA25CF">
            <w:pPr>
              <w:rPr>
                <w:rFonts w:cs="Arial"/>
                <w:color w:val="FF0000"/>
                <w:sz w:val="21"/>
                <w:szCs w:val="21"/>
              </w:rPr>
            </w:pPr>
          </w:p>
        </w:tc>
        <w:tc>
          <w:tcPr>
            <w:tcW w:w="217" w:type="dxa"/>
          </w:tcPr>
          <w:p w14:paraId="705E0843" w14:textId="77777777" w:rsidR="002C0FD9" w:rsidRPr="00CA25CF" w:rsidRDefault="002C0FD9" w:rsidP="00CA25CF">
            <w:pPr>
              <w:rPr>
                <w:rFonts w:cs="Arial"/>
                <w:color w:val="FF0000"/>
                <w:sz w:val="21"/>
                <w:szCs w:val="21"/>
              </w:rPr>
            </w:pPr>
          </w:p>
        </w:tc>
        <w:tc>
          <w:tcPr>
            <w:tcW w:w="217" w:type="dxa"/>
          </w:tcPr>
          <w:p w14:paraId="626FEB46" w14:textId="77777777" w:rsidR="002C0FD9" w:rsidRPr="00CA25CF" w:rsidRDefault="002C0FD9" w:rsidP="00CA25CF">
            <w:pPr>
              <w:rPr>
                <w:rFonts w:cs="Arial"/>
                <w:color w:val="FF0000"/>
                <w:sz w:val="21"/>
                <w:szCs w:val="21"/>
              </w:rPr>
            </w:pPr>
          </w:p>
        </w:tc>
        <w:tc>
          <w:tcPr>
            <w:tcW w:w="217" w:type="dxa"/>
          </w:tcPr>
          <w:p w14:paraId="7AA1BCB6" w14:textId="77777777" w:rsidR="002C0FD9" w:rsidRPr="00CA25CF" w:rsidRDefault="002C0FD9" w:rsidP="00CA25CF">
            <w:pPr>
              <w:rPr>
                <w:rFonts w:cs="Arial"/>
                <w:color w:val="FF0000"/>
                <w:sz w:val="21"/>
                <w:szCs w:val="21"/>
              </w:rPr>
            </w:pPr>
          </w:p>
        </w:tc>
        <w:tc>
          <w:tcPr>
            <w:tcW w:w="217" w:type="dxa"/>
          </w:tcPr>
          <w:p w14:paraId="29D17B9E" w14:textId="77777777" w:rsidR="002C0FD9" w:rsidRPr="00CA25CF" w:rsidRDefault="002C0FD9" w:rsidP="00CA25CF">
            <w:pPr>
              <w:rPr>
                <w:rFonts w:cs="Arial"/>
                <w:color w:val="FF0000"/>
                <w:sz w:val="21"/>
                <w:szCs w:val="21"/>
              </w:rPr>
            </w:pPr>
          </w:p>
        </w:tc>
        <w:tc>
          <w:tcPr>
            <w:tcW w:w="217" w:type="dxa"/>
          </w:tcPr>
          <w:p w14:paraId="64802CA5" w14:textId="77777777" w:rsidR="002C0FD9" w:rsidRPr="00CA25CF" w:rsidRDefault="002C0FD9" w:rsidP="00CA25CF">
            <w:pPr>
              <w:rPr>
                <w:rFonts w:cs="Arial"/>
                <w:color w:val="FF0000"/>
                <w:sz w:val="21"/>
                <w:szCs w:val="21"/>
              </w:rPr>
            </w:pPr>
          </w:p>
        </w:tc>
        <w:tc>
          <w:tcPr>
            <w:tcW w:w="217" w:type="dxa"/>
          </w:tcPr>
          <w:p w14:paraId="243DA463" w14:textId="77777777" w:rsidR="002C0FD9" w:rsidRPr="00CA25CF" w:rsidRDefault="002C0FD9" w:rsidP="00CA25CF">
            <w:pPr>
              <w:rPr>
                <w:rFonts w:cs="Arial"/>
                <w:color w:val="FF0000"/>
                <w:sz w:val="21"/>
                <w:szCs w:val="21"/>
              </w:rPr>
            </w:pPr>
          </w:p>
        </w:tc>
        <w:tc>
          <w:tcPr>
            <w:tcW w:w="217" w:type="dxa"/>
          </w:tcPr>
          <w:p w14:paraId="6BD839C3" w14:textId="77777777" w:rsidR="002C0FD9" w:rsidRPr="00CA25CF" w:rsidRDefault="002C0FD9" w:rsidP="00CA25CF">
            <w:pPr>
              <w:rPr>
                <w:rFonts w:cs="Arial"/>
                <w:color w:val="FF0000"/>
                <w:sz w:val="21"/>
                <w:szCs w:val="21"/>
              </w:rPr>
            </w:pPr>
          </w:p>
        </w:tc>
        <w:tc>
          <w:tcPr>
            <w:tcW w:w="217" w:type="dxa"/>
          </w:tcPr>
          <w:p w14:paraId="612CD8D6" w14:textId="77777777" w:rsidR="002C0FD9" w:rsidRPr="00CA25CF" w:rsidRDefault="002C0FD9" w:rsidP="00CA25CF">
            <w:pPr>
              <w:rPr>
                <w:rFonts w:cs="Arial"/>
                <w:color w:val="FF0000"/>
                <w:sz w:val="21"/>
                <w:szCs w:val="21"/>
              </w:rPr>
            </w:pPr>
          </w:p>
        </w:tc>
        <w:tc>
          <w:tcPr>
            <w:tcW w:w="217" w:type="dxa"/>
          </w:tcPr>
          <w:p w14:paraId="10877245" w14:textId="77777777" w:rsidR="002C0FD9" w:rsidRPr="00CA25CF" w:rsidRDefault="002C0FD9" w:rsidP="00CA25CF">
            <w:pPr>
              <w:rPr>
                <w:rFonts w:cs="Arial"/>
                <w:color w:val="FF0000"/>
                <w:sz w:val="21"/>
                <w:szCs w:val="21"/>
              </w:rPr>
            </w:pPr>
          </w:p>
        </w:tc>
        <w:tc>
          <w:tcPr>
            <w:tcW w:w="217" w:type="dxa"/>
          </w:tcPr>
          <w:p w14:paraId="37378374" w14:textId="77777777" w:rsidR="002C0FD9" w:rsidRPr="00CA25CF" w:rsidRDefault="002C0FD9" w:rsidP="00CA25CF">
            <w:pPr>
              <w:rPr>
                <w:rFonts w:cs="Arial"/>
                <w:color w:val="FF0000"/>
                <w:sz w:val="21"/>
                <w:szCs w:val="21"/>
              </w:rPr>
            </w:pPr>
          </w:p>
        </w:tc>
        <w:tc>
          <w:tcPr>
            <w:tcW w:w="217" w:type="dxa"/>
          </w:tcPr>
          <w:p w14:paraId="67BAD06E" w14:textId="77777777" w:rsidR="002C0FD9" w:rsidRPr="00CA25CF" w:rsidRDefault="002C0FD9" w:rsidP="00CA25CF">
            <w:pPr>
              <w:rPr>
                <w:rFonts w:cs="Arial"/>
                <w:color w:val="FF0000"/>
                <w:sz w:val="21"/>
                <w:szCs w:val="21"/>
              </w:rPr>
            </w:pPr>
          </w:p>
        </w:tc>
        <w:tc>
          <w:tcPr>
            <w:tcW w:w="217" w:type="dxa"/>
          </w:tcPr>
          <w:p w14:paraId="04DAFD42" w14:textId="77777777" w:rsidR="002C0FD9" w:rsidRPr="00CA25CF" w:rsidRDefault="002C0FD9" w:rsidP="00CA25CF">
            <w:pPr>
              <w:rPr>
                <w:rFonts w:cs="Arial"/>
                <w:color w:val="FF0000"/>
                <w:sz w:val="21"/>
                <w:szCs w:val="21"/>
              </w:rPr>
            </w:pPr>
          </w:p>
        </w:tc>
        <w:tc>
          <w:tcPr>
            <w:tcW w:w="217" w:type="dxa"/>
          </w:tcPr>
          <w:p w14:paraId="603272AA" w14:textId="77777777" w:rsidR="002C0FD9" w:rsidRPr="00CA25CF" w:rsidRDefault="002C0FD9" w:rsidP="00CA25CF">
            <w:pPr>
              <w:rPr>
                <w:rFonts w:cs="Arial"/>
                <w:color w:val="FF0000"/>
                <w:sz w:val="21"/>
                <w:szCs w:val="21"/>
              </w:rPr>
            </w:pPr>
          </w:p>
        </w:tc>
        <w:tc>
          <w:tcPr>
            <w:tcW w:w="217" w:type="dxa"/>
          </w:tcPr>
          <w:p w14:paraId="0A65CB9D" w14:textId="77777777" w:rsidR="002C0FD9" w:rsidRPr="00CA25CF" w:rsidRDefault="002C0FD9" w:rsidP="00CA25CF">
            <w:pPr>
              <w:rPr>
                <w:rFonts w:cs="Arial"/>
                <w:color w:val="FF0000"/>
                <w:sz w:val="21"/>
                <w:szCs w:val="21"/>
              </w:rPr>
            </w:pPr>
          </w:p>
        </w:tc>
        <w:tc>
          <w:tcPr>
            <w:tcW w:w="217" w:type="dxa"/>
          </w:tcPr>
          <w:p w14:paraId="7E40F011" w14:textId="77777777" w:rsidR="002C0FD9" w:rsidRPr="00CA25CF" w:rsidRDefault="002C0FD9" w:rsidP="00CA25CF">
            <w:pPr>
              <w:rPr>
                <w:rFonts w:cs="Arial"/>
                <w:color w:val="FF0000"/>
                <w:sz w:val="21"/>
                <w:szCs w:val="21"/>
              </w:rPr>
            </w:pPr>
          </w:p>
        </w:tc>
        <w:tc>
          <w:tcPr>
            <w:tcW w:w="217" w:type="dxa"/>
          </w:tcPr>
          <w:p w14:paraId="1C46B88F" w14:textId="77777777" w:rsidR="002C0FD9" w:rsidRPr="00CA25CF" w:rsidRDefault="002C0FD9" w:rsidP="00CA25CF">
            <w:pPr>
              <w:rPr>
                <w:rFonts w:cs="Arial"/>
                <w:color w:val="FF0000"/>
                <w:sz w:val="21"/>
                <w:szCs w:val="21"/>
              </w:rPr>
            </w:pPr>
          </w:p>
        </w:tc>
        <w:tc>
          <w:tcPr>
            <w:tcW w:w="217" w:type="dxa"/>
          </w:tcPr>
          <w:p w14:paraId="60230D81" w14:textId="77777777" w:rsidR="002C0FD9" w:rsidRPr="00CA25CF" w:rsidRDefault="002C0FD9" w:rsidP="00CA25CF">
            <w:pPr>
              <w:rPr>
                <w:rFonts w:cs="Arial"/>
                <w:color w:val="FF0000"/>
                <w:sz w:val="21"/>
                <w:szCs w:val="21"/>
              </w:rPr>
            </w:pPr>
          </w:p>
        </w:tc>
        <w:tc>
          <w:tcPr>
            <w:tcW w:w="217" w:type="dxa"/>
          </w:tcPr>
          <w:p w14:paraId="3BC9F99C" w14:textId="77777777" w:rsidR="002C0FD9" w:rsidRPr="00CA25CF" w:rsidRDefault="002C0FD9" w:rsidP="00CA25CF">
            <w:pPr>
              <w:rPr>
                <w:rFonts w:cs="Arial"/>
                <w:color w:val="FF0000"/>
                <w:sz w:val="21"/>
                <w:szCs w:val="21"/>
              </w:rPr>
            </w:pPr>
          </w:p>
        </w:tc>
        <w:tc>
          <w:tcPr>
            <w:tcW w:w="217" w:type="dxa"/>
          </w:tcPr>
          <w:p w14:paraId="4E79B727" w14:textId="77777777" w:rsidR="002C0FD9" w:rsidRPr="00CA25CF" w:rsidRDefault="002C0FD9" w:rsidP="00CA25CF">
            <w:pPr>
              <w:rPr>
                <w:rFonts w:cs="Arial"/>
                <w:color w:val="FF0000"/>
                <w:sz w:val="21"/>
                <w:szCs w:val="21"/>
              </w:rPr>
            </w:pPr>
          </w:p>
        </w:tc>
        <w:tc>
          <w:tcPr>
            <w:tcW w:w="217" w:type="dxa"/>
          </w:tcPr>
          <w:p w14:paraId="2E743912" w14:textId="77777777" w:rsidR="002C0FD9" w:rsidRPr="00CA25CF" w:rsidRDefault="002C0FD9" w:rsidP="00CA25CF">
            <w:pPr>
              <w:rPr>
                <w:rFonts w:cs="Arial"/>
                <w:color w:val="FF0000"/>
                <w:sz w:val="21"/>
                <w:szCs w:val="21"/>
              </w:rPr>
            </w:pPr>
          </w:p>
        </w:tc>
      </w:tr>
      <w:tr w:rsidR="002C0FD9" w:rsidRPr="00A16219" w14:paraId="27C37C2C" w14:textId="77777777" w:rsidTr="002C0FD9">
        <w:trPr>
          <w:trHeight w:val="635"/>
        </w:trPr>
        <w:tc>
          <w:tcPr>
            <w:tcW w:w="515" w:type="dxa"/>
          </w:tcPr>
          <w:p w14:paraId="0D0CF5D8" w14:textId="77777777" w:rsidR="002C0FD9" w:rsidRPr="00CA25CF" w:rsidRDefault="002C0FD9" w:rsidP="00CA25CF">
            <w:pPr>
              <w:rPr>
                <w:rFonts w:cs="Arial"/>
                <w:color w:val="FF0000"/>
                <w:sz w:val="21"/>
                <w:szCs w:val="21"/>
              </w:rPr>
            </w:pPr>
          </w:p>
        </w:tc>
        <w:tc>
          <w:tcPr>
            <w:tcW w:w="217" w:type="dxa"/>
          </w:tcPr>
          <w:p w14:paraId="45401D49" w14:textId="77777777" w:rsidR="002C0FD9" w:rsidRPr="00CA25CF" w:rsidRDefault="002C0FD9" w:rsidP="00CA25CF">
            <w:pPr>
              <w:rPr>
                <w:rFonts w:cs="Arial"/>
                <w:color w:val="FF0000"/>
                <w:sz w:val="21"/>
                <w:szCs w:val="21"/>
              </w:rPr>
            </w:pPr>
          </w:p>
        </w:tc>
        <w:tc>
          <w:tcPr>
            <w:tcW w:w="217" w:type="dxa"/>
          </w:tcPr>
          <w:p w14:paraId="47B04DBD" w14:textId="77777777" w:rsidR="002C0FD9" w:rsidRPr="00CA25CF" w:rsidRDefault="002C0FD9" w:rsidP="00CA25CF">
            <w:pPr>
              <w:rPr>
                <w:rFonts w:cs="Arial"/>
                <w:color w:val="FF0000"/>
                <w:sz w:val="21"/>
                <w:szCs w:val="21"/>
              </w:rPr>
            </w:pPr>
          </w:p>
        </w:tc>
        <w:tc>
          <w:tcPr>
            <w:tcW w:w="217" w:type="dxa"/>
          </w:tcPr>
          <w:p w14:paraId="51A32BCB" w14:textId="77777777" w:rsidR="002C0FD9" w:rsidRPr="00CA25CF" w:rsidRDefault="002C0FD9" w:rsidP="00CA25CF">
            <w:pPr>
              <w:rPr>
                <w:rFonts w:cs="Arial"/>
                <w:color w:val="FF0000"/>
                <w:sz w:val="21"/>
                <w:szCs w:val="21"/>
              </w:rPr>
            </w:pPr>
          </w:p>
        </w:tc>
        <w:tc>
          <w:tcPr>
            <w:tcW w:w="217" w:type="dxa"/>
          </w:tcPr>
          <w:p w14:paraId="7BD3E64E" w14:textId="77777777" w:rsidR="002C0FD9" w:rsidRPr="00CA25CF" w:rsidRDefault="002C0FD9" w:rsidP="00CA25CF">
            <w:pPr>
              <w:rPr>
                <w:rFonts w:cs="Arial"/>
                <w:color w:val="FF0000"/>
                <w:sz w:val="21"/>
                <w:szCs w:val="21"/>
              </w:rPr>
            </w:pPr>
          </w:p>
        </w:tc>
        <w:tc>
          <w:tcPr>
            <w:tcW w:w="217" w:type="dxa"/>
          </w:tcPr>
          <w:p w14:paraId="0B373D31" w14:textId="77777777" w:rsidR="002C0FD9" w:rsidRPr="00CA25CF" w:rsidRDefault="002C0FD9" w:rsidP="00CA25CF">
            <w:pPr>
              <w:rPr>
                <w:rFonts w:cs="Arial"/>
                <w:color w:val="FF0000"/>
                <w:sz w:val="21"/>
                <w:szCs w:val="21"/>
              </w:rPr>
            </w:pPr>
          </w:p>
        </w:tc>
        <w:tc>
          <w:tcPr>
            <w:tcW w:w="217" w:type="dxa"/>
          </w:tcPr>
          <w:p w14:paraId="61334835" w14:textId="77777777" w:rsidR="002C0FD9" w:rsidRPr="00CA25CF" w:rsidRDefault="002C0FD9" w:rsidP="00CA25CF">
            <w:pPr>
              <w:rPr>
                <w:rFonts w:cs="Arial"/>
                <w:color w:val="FF0000"/>
                <w:sz w:val="21"/>
                <w:szCs w:val="21"/>
              </w:rPr>
            </w:pPr>
          </w:p>
        </w:tc>
        <w:tc>
          <w:tcPr>
            <w:tcW w:w="217" w:type="dxa"/>
          </w:tcPr>
          <w:p w14:paraId="0765F711" w14:textId="77777777" w:rsidR="002C0FD9" w:rsidRPr="00CA25CF" w:rsidRDefault="002C0FD9" w:rsidP="00CA25CF">
            <w:pPr>
              <w:rPr>
                <w:rFonts w:cs="Arial"/>
                <w:color w:val="FF0000"/>
                <w:sz w:val="21"/>
                <w:szCs w:val="21"/>
              </w:rPr>
            </w:pPr>
          </w:p>
        </w:tc>
        <w:tc>
          <w:tcPr>
            <w:tcW w:w="217" w:type="dxa"/>
          </w:tcPr>
          <w:p w14:paraId="6DC40A89" w14:textId="77777777" w:rsidR="002C0FD9" w:rsidRPr="00CA25CF" w:rsidRDefault="002C0FD9" w:rsidP="00CA25CF">
            <w:pPr>
              <w:rPr>
                <w:rFonts w:cs="Arial"/>
                <w:color w:val="FF0000"/>
                <w:sz w:val="21"/>
                <w:szCs w:val="21"/>
              </w:rPr>
            </w:pPr>
          </w:p>
        </w:tc>
        <w:tc>
          <w:tcPr>
            <w:tcW w:w="217" w:type="dxa"/>
          </w:tcPr>
          <w:p w14:paraId="14D50EED" w14:textId="77777777" w:rsidR="002C0FD9" w:rsidRPr="00CA25CF" w:rsidRDefault="002C0FD9" w:rsidP="00CA25CF">
            <w:pPr>
              <w:rPr>
                <w:rFonts w:cs="Arial"/>
                <w:color w:val="FF0000"/>
                <w:sz w:val="21"/>
                <w:szCs w:val="21"/>
              </w:rPr>
            </w:pPr>
          </w:p>
        </w:tc>
        <w:tc>
          <w:tcPr>
            <w:tcW w:w="217" w:type="dxa"/>
          </w:tcPr>
          <w:p w14:paraId="4CAA55D1" w14:textId="77777777" w:rsidR="002C0FD9" w:rsidRPr="00CA25CF" w:rsidRDefault="002C0FD9" w:rsidP="00CA25CF">
            <w:pPr>
              <w:rPr>
                <w:rFonts w:cs="Arial"/>
                <w:color w:val="FF0000"/>
                <w:sz w:val="21"/>
                <w:szCs w:val="21"/>
              </w:rPr>
            </w:pPr>
          </w:p>
        </w:tc>
        <w:tc>
          <w:tcPr>
            <w:tcW w:w="217" w:type="dxa"/>
          </w:tcPr>
          <w:p w14:paraId="3DAB03D9" w14:textId="77777777" w:rsidR="002C0FD9" w:rsidRPr="00CA25CF" w:rsidRDefault="002C0FD9" w:rsidP="00CA25CF">
            <w:pPr>
              <w:rPr>
                <w:rFonts w:cs="Arial"/>
                <w:color w:val="FF0000"/>
                <w:sz w:val="21"/>
                <w:szCs w:val="21"/>
              </w:rPr>
            </w:pPr>
          </w:p>
        </w:tc>
        <w:tc>
          <w:tcPr>
            <w:tcW w:w="217" w:type="dxa"/>
          </w:tcPr>
          <w:p w14:paraId="64BF7C43" w14:textId="77777777" w:rsidR="002C0FD9" w:rsidRPr="00CA25CF" w:rsidRDefault="002C0FD9" w:rsidP="00CA25CF">
            <w:pPr>
              <w:rPr>
                <w:rFonts w:cs="Arial"/>
                <w:color w:val="FF0000"/>
                <w:sz w:val="21"/>
                <w:szCs w:val="21"/>
              </w:rPr>
            </w:pPr>
          </w:p>
        </w:tc>
        <w:tc>
          <w:tcPr>
            <w:tcW w:w="217" w:type="dxa"/>
          </w:tcPr>
          <w:p w14:paraId="210F0DC7" w14:textId="77777777" w:rsidR="002C0FD9" w:rsidRPr="00CA25CF" w:rsidRDefault="002C0FD9" w:rsidP="00CA25CF">
            <w:pPr>
              <w:rPr>
                <w:rFonts w:cs="Arial"/>
                <w:color w:val="FF0000"/>
                <w:sz w:val="21"/>
                <w:szCs w:val="21"/>
              </w:rPr>
            </w:pPr>
          </w:p>
        </w:tc>
        <w:tc>
          <w:tcPr>
            <w:tcW w:w="217" w:type="dxa"/>
          </w:tcPr>
          <w:p w14:paraId="5990534C" w14:textId="77777777" w:rsidR="002C0FD9" w:rsidRPr="00CA25CF" w:rsidRDefault="002C0FD9" w:rsidP="00CA25CF">
            <w:pPr>
              <w:rPr>
                <w:rFonts w:cs="Arial"/>
                <w:color w:val="FF0000"/>
                <w:sz w:val="21"/>
                <w:szCs w:val="21"/>
              </w:rPr>
            </w:pPr>
          </w:p>
        </w:tc>
        <w:tc>
          <w:tcPr>
            <w:tcW w:w="217" w:type="dxa"/>
          </w:tcPr>
          <w:p w14:paraId="10D879CE" w14:textId="77777777" w:rsidR="002C0FD9" w:rsidRPr="00CA25CF" w:rsidRDefault="002C0FD9" w:rsidP="00CA25CF">
            <w:pPr>
              <w:rPr>
                <w:rFonts w:cs="Arial"/>
                <w:color w:val="FF0000"/>
                <w:sz w:val="21"/>
                <w:szCs w:val="21"/>
              </w:rPr>
            </w:pPr>
          </w:p>
        </w:tc>
        <w:tc>
          <w:tcPr>
            <w:tcW w:w="217" w:type="dxa"/>
          </w:tcPr>
          <w:p w14:paraId="5BC59C97" w14:textId="77777777" w:rsidR="002C0FD9" w:rsidRPr="00CA25CF" w:rsidRDefault="002C0FD9" w:rsidP="00CA25CF">
            <w:pPr>
              <w:rPr>
                <w:rFonts w:cs="Arial"/>
                <w:color w:val="FF0000"/>
                <w:sz w:val="21"/>
                <w:szCs w:val="21"/>
              </w:rPr>
            </w:pPr>
          </w:p>
        </w:tc>
        <w:tc>
          <w:tcPr>
            <w:tcW w:w="217" w:type="dxa"/>
          </w:tcPr>
          <w:p w14:paraId="47153501" w14:textId="77777777" w:rsidR="002C0FD9" w:rsidRPr="00CA25CF" w:rsidRDefault="002C0FD9" w:rsidP="00CA25CF">
            <w:pPr>
              <w:rPr>
                <w:rFonts w:cs="Arial"/>
                <w:color w:val="FF0000"/>
                <w:sz w:val="21"/>
                <w:szCs w:val="21"/>
              </w:rPr>
            </w:pPr>
          </w:p>
        </w:tc>
        <w:tc>
          <w:tcPr>
            <w:tcW w:w="217" w:type="dxa"/>
          </w:tcPr>
          <w:p w14:paraId="139F53A3" w14:textId="77777777" w:rsidR="002C0FD9" w:rsidRPr="00CA25CF" w:rsidRDefault="002C0FD9" w:rsidP="00CA25CF">
            <w:pPr>
              <w:rPr>
                <w:rFonts w:cs="Arial"/>
                <w:color w:val="FF0000"/>
                <w:sz w:val="21"/>
                <w:szCs w:val="21"/>
              </w:rPr>
            </w:pPr>
          </w:p>
        </w:tc>
        <w:tc>
          <w:tcPr>
            <w:tcW w:w="217" w:type="dxa"/>
          </w:tcPr>
          <w:p w14:paraId="625859BF" w14:textId="77777777" w:rsidR="002C0FD9" w:rsidRPr="00CA25CF" w:rsidRDefault="002C0FD9" w:rsidP="00CA25CF">
            <w:pPr>
              <w:rPr>
                <w:rFonts w:cs="Arial"/>
                <w:color w:val="FF0000"/>
                <w:sz w:val="21"/>
                <w:szCs w:val="21"/>
              </w:rPr>
            </w:pPr>
          </w:p>
        </w:tc>
        <w:tc>
          <w:tcPr>
            <w:tcW w:w="217" w:type="dxa"/>
          </w:tcPr>
          <w:p w14:paraId="7277E3CD" w14:textId="77777777" w:rsidR="002C0FD9" w:rsidRPr="00CA25CF" w:rsidRDefault="002C0FD9" w:rsidP="00CA25CF">
            <w:pPr>
              <w:rPr>
                <w:rFonts w:cs="Arial"/>
                <w:color w:val="FF0000"/>
                <w:sz w:val="21"/>
                <w:szCs w:val="21"/>
              </w:rPr>
            </w:pPr>
          </w:p>
        </w:tc>
        <w:tc>
          <w:tcPr>
            <w:tcW w:w="217" w:type="dxa"/>
          </w:tcPr>
          <w:p w14:paraId="7C6B337E" w14:textId="77777777" w:rsidR="002C0FD9" w:rsidRPr="00CA25CF" w:rsidRDefault="002C0FD9" w:rsidP="00CA25CF">
            <w:pPr>
              <w:rPr>
                <w:rFonts w:cs="Arial"/>
                <w:color w:val="FF0000"/>
                <w:sz w:val="21"/>
                <w:szCs w:val="21"/>
              </w:rPr>
            </w:pPr>
          </w:p>
        </w:tc>
        <w:tc>
          <w:tcPr>
            <w:tcW w:w="217" w:type="dxa"/>
          </w:tcPr>
          <w:p w14:paraId="37A36AED" w14:textId="77777777" w:rsidR="002C0FD9" w:rsidRPr="00CA25CF" w:rsidRDefault="002C0FD9" w:rsidP="00CA25CF">
            <w:pPr>
              <w:rPr>
                <w:rFonts w:cs="Arial"/>
                <w:color w:val="FF0000"/>
                <w:sz w:val="21"/>
                <w:szCs w:val="21"/>
              </w:rPr>
            </w:pPr>
          </w:p>
        </w:tc>
        <w:tc>
          <w:tcPr>
            <w:tcW w:w="217" w:type="dxa"/>
          </w:tcPr>
          <w:p w14:paraId="1349CD35" w14:textId="77777777" w:rsidR="002C0FD9" w:rsidRPr="00CA25CF" w:rsidRDefault="002C0FD9" w:rsidP="00CA25CF">
            <w:pPr>
              <w:rPr>
                <w:rFonts w:cs="Arial"/>
                <w:color w:val="FF0000"/>
                <w:sz w:val="21"/>
                <w:szCs w:val="21"/>
              </w:rPr>
            </w:pPr>
          </w:p>
        </w:tc>
        <w:tc>
          <w:tcPr>
            <w:tcW w:w="217" w:type="dxa"/>
          </w:tcPr>
          <w:p w14:paraId="11522C32" w14:textId="77777777" w:rsidR="002C0FD9" w:rsidRPr="00CA25CF" w:rsidRDefault="002C0FD9" w:rsidP="00CA25CF">
            <w:pPr>
              <w:rPr>
                <w:rFonts w:cs="Arial"/>
                <w:color w:val="FF0000"/>
                <w:sz w:val="21"/>
                <w:szCs w:val="21"/>
              </w:rPr>
            </w:pPr>
          </w:p>
        </w:tc>
        <w:tc>
          <w:tcPr>
            <w:tcW w:w="217" w:type="dxa"/>
          </w:tcPr>
          <w:p w14:paraId="187627A6" w14:textId="77777777" w:rsidR="002C0FD9" w:rsidRPr="00CA25CF" w:rsidRDefault="002C0FD9" w:rsidP="00CA25CF">
            <w:pPr>
              <w:rPr>
                <w:rFonts w:cs="Arial"/>
                <w:color w:val="FF0000"/>
                <w:sz w:val="21"/>
                <w:szCs w:val="21"/>
              </w:rPr>
            </w:pPr>
          </w:p>
        </w:tc>
        <w:tc>
          <w:tcPr>
            <w:tcW w:w="217" w:type="dxa"/>
          </w:tcPr>
          <w:p w14:paraId="07DBC89A" w14:textId="77777777" w:rsidR="002C0FD9" w:rsidRPr="00CA25CF" w:rsidRDefault="002C0FD9" w:rsidP="00CA25CF">
            <w:pPr>
              <w:rPr>
                <w:rFonts w:cs="Arial"/>
                <w:color w:val="FF0000"/>
                <w:sz w:val="21"/>
                <w:szCs w:val="21"/>
              </w:rPr>
            </w:pPr>
          </w:p>
        </w:tc>
        <w:tc>
          <w:tcPr>
            <w:tcW w:w="217" w:type="dxa"/>
          </w:tcPr>
          <w:p w14:paraId="15AB5F64" w14:textId="77777777" w:rsidR="002C0FD9" w:rsidRPr="00CA25CF" w:rsidRDefault="002C0FD9" w:rsidP="00CA25CF">
            <w:pPr>
              <w:rPr>
                <w:rFonts w:cs="Arial"/>
                <w:color w:val="FF0000"/>
                <w:sz w:val="21"/>
                <w:szCs w:val="21"/>
              </w:rPr>
            </w:pPr>
          </w:p>
        </w:tc>
        <w:tc>
          <w:tcPr>
            <w:tcW w:w="217" w:type="dxa"/>
          </w:tcPr>
          <w:p w14:paraId="6A772F94" w14:textId="77777777" w:rsidR="002C0FD9" w:rsidRPr="00CA25CF" w:rsidRDefault="002C0FD9" w:rsidP="00CA25CF">
            <w:pPr>
              <w:rPr>
                <w:rFonts w:cs="Arial"/>
                <w:color w:val="FF0000"/>
                <w:sz w:val="21"/>
                <w:szCs w:val="21"/>
              </w:rPr>
            </w:pPr>
          </w:p>
        </w:tc>
        <w:tc>
          <w:tcPr>
            <w:tcW w:w="217" w:type="dxa"/>
          </w:tcPr>
          <w:p w14:paraId="79694011" w14:textId="77777777" w:rsidR="002C0FD9" w:rsidRPr="00CA25CF" w:rsidRDefault="002C0FD9" w:rsidP="00CA25CF">
            <w:pPr>
              <w:rPr>
                <w:rFonts w:cs="Arial"/>
                <w:color w:val="FF0000"/>
                <w:sz w:val="21"/>
                <w:szCs w:val="21"/>
              </w:rPr>
            </w:pPr>
          </w:p>
        </w:tc>
        <w:tc>
          <w:tcPr>
            <w:tcW w:w="217" w:type="dxa"/>
          </w:tcPr>
          <w:p w14:paraId="55CBBD51" w14:textId="77777777" w:rsidR="002C0FD9" w:rsidRPr="00CA25CF" w:rsidRDefault="002C0FD9" w:rsidP="00CA25CF">
            <w:pPr>
              <w:rPr>
                <w:rFonts w:cs="Arial"/>
                <w:color w:val="FF0000"/>
                <w:sz w:val="21"/>
                <w:szCs w:val="21"/>
              </w:rPr>
            </w:pPr>
          </w:p>
        </w:tc>
        <w:tc>
          <w:tcPr>
            <w:tcW w:w="217" w:type="dxa"/>
          </w:tcPr>
          <w:p w14:paraId="042AB0E9" w14:textId="77777777" w:rsidR="002C0FD9" w:rsidRPr="00CA25CF" w:rsidRDefault="002C0FD9" w:rsidP="00CA25CF">
            <w:pPr>
              <w:rPr>
                <w:rFonts w:cs="Arial"/>
                <w:color w:val="FF0000"/>
                <w:sz w:val="21"/>
                <w:szCs w:val="21"/>
              </w:rPr>
            </w:pPr>
          </w:p>
        </w:tc>
        <w:tc>
          <w:tcPr>
            <w:tcW w:w="217" w:type="dxa"/>
          </w:tcPr>
          <w:p w14:paraId="74D17E02" w14:textId="77777777" w:rsidR="002C0FD9" w:rsidRPr="00CA25CF" w:rsidRDefault="002C0FD9" w:rsidP="00CA25CF">
            <w:pPr>
              <w:rPr>
                <w:rFonts w:cs="Arial"/>
                <w:color w:val="FF0000"/>
                <w:sz w:val="21"/>
                <w:szCs w:val="21"/>
              </w:rPr>
            </w:pPr>
          </w:p>
        </w:tc>
        <w:tc>
          <w:tcPr>
            <w:tcW w:w="217" w:type="dxa"/>
          </w:tcPr>
          <w:p w14:paraId="23DC08BE" w14:textId="77777777" w:rsidR="002C0FD9" w:rsidRPr="00CA25CF" w:rsidRDefault="002C0FD9" w:rsidP="00CA25CF">
            <w:pPr>
              <w:rPr>
                <w:rFonts w:cs="Arial"/>
                <w:color w:val="FF0000"/>
                <w:sz w:val="21"/>
                <w:szCs w:val="21"/>
              </w:rPr>
            </w:pPr>
          </w:p>
        </w:tc>
        <w:tc>
          <w:tcPr>
            <w:tcW w:w="217" w:type="dxa"/>
          </w:tcPr>
          <w:p w14:paraId="4B4817CC" w14:textId="77777777" w:rsidR="002C0FD9" w:rsidRPr="00CA25CF" w:rsidRDefault="002C0FD9" w:rsidP="00CA25CF">
            <w:pPr>
              <w:rPr>
                <w:rFonts w:cs="Arial"/>
                <w:color w:val="FF0000"/>
                <w:sz w:val="21"/>
                <w:szCs w:val="21"/>
              </w:rPr>
            </w:pPr>
          </w:p>
        </w:tc>
        <w:tc>
          <w:tcPr>
            <w:tcW w:w="217" w:type="dxa"/>
          </w:tcPr>
          <w:p w14:paraId="27C5BE7C" w14:textId="77777777" w:rsidR="002C0FD9" w:rsidRPr="00CA25CF" w:rsidRDefault="002C0FD9" w:rsidP="00CA25CF">
            <w:pPr>
              <w:rPr>
                <w:rFonts w:cs="Arial"/>
                <w:color w:val="FF0000"/>
                <w:sz w:val="21"/>
                <w:szCs w:val="21"/>
              </w:rPr>
            </w:pPr>
          </w:p>
        </w:tc>
        <w:tc>
          <w:tcPr>
            <w:tcW w:w="217" w:type="dxa"/>
          </w:tcPr>
          <w:p w14:paraId="68295890" w14:textId="77777777" w:rsidR="002C0FD9" w:rsidRPr="00CA25CF" w:rsidRDefault="002C0FD9" w:rsidP="00CA25CF">
            <w:pPr>
              <w:rPr>
                <w:rFonts w:cs="Arial"/>
                <w:color w:val="FF0000"/>
                <w:sz w:val="21"/>
                <w:szCs w:val="21"/>
              </w:rPr>
            </w:pPr>
          </w:p>
        </w:tc>
        <w:tc>
          <w:tcPr>
            <w:tcW w:w="217" w:type="dxa"/>
          </w:tcPr>
          <w:p w14:paraId="15376B06" w14:textId="77777777" w:rsidR="002C0FD9" w:rsidRPr="00CA25CF" w:rsidRDefault="002C0FD9" w:rsidP="00CA25CF">
            <w:pPr>
              <w:rPr>
                <w:rFonts w:cs="Arial"/>
                <w:color w:val="FF0000"/>
                <w:sz w:val="21"/>
                <w:szCs w:val="21"/>
              </w:rPr>
            </w:pPr>
          </w:p>
        </w:tc>
        <w:tc>
          <w:tcPr>
            <w:tcW w:w="217" w:type="dxa"/>
          </w:tcPr>
          <w:p w14:paraId="0A118F70" w14:textId="77777777" w:rsidR="002C0FD9" w:rsidRPr="00CA25CF" w:rsidRDefault="002C0FD9" w:rsidP="00CA25CF">
            <w:pPr>
              <w:rPr>
                <w:rFonts w:cs="Arial"/>
                <w:color w:val="FF0000"/>
                <w:sz w:val="21"/>
                <w:szCs w:val="21"/>
              </w:rPr>
            </w:pPr>
          </w:p>
        </w:tc>
        <w:tc>
          <w:tcPr>
            <w:tcW w:w="217" w:type="dxa"/>
          </w:tcPr>
          <w:p w14:paraId="5EB86F63" w14:textId="77777777" w:rsidR="002C0FD9" w:rsidRPr="00CA25CF" w:rsidRDefault="002C0FD9" w:rsidP="00CA25CF">
            <w:pPr>
              <w:rPr>
                <w:rFonts w:cs="Arial"/>
                <w:color w:val="FF0000"/>
                <w:sz w:val="21"/>
                <w:szCs w:val="21"/>
              </w:rPr>
            </w:pPr>
          </w:p>
        </w:tc>
        <w:tc>
          <w:tcPr>
            <w:tcW w:w="217" w:type="dxa"/>
          </w:tcPr>
          <w:p w14:paraId="64960F8A" w14:textId="77777777" w:rsidR="002C0FD9" w:rsidRPr="00CA25CF" w:rsidRDefault="002C0FD9" w:rsidP="00CA25CF">
            <w:pPr>
              <w:rPr>
                <w:rFonts w:cs="Arial"/>
                <w:color w:val="FF0000"/>
                <w:sz w:val="21"/>
                <w:szCs w:val="21"/>
              </w:rPr>
            </w:pPr>
          </w:p>
        </w:tc>
        <w:tc>
          <w:tcPr>
            <w:tcW w:w="217" w:type="dxa"/>
          </w:tcPr>
          <w:p w14:paraId="6BDF1485" w14:textId="77777777" w:rsidR="002C0FD9" w:rsidRPr="00CA25CF" w:rsidRDefault="002C0FD9" w:rsidP="00CA25CF">
            <w:pPr>
              <w:rPr>
                <w:rFonts w:cs="Arial"/>
                <w:color w:val="FF0000"/>
                <w:sz w:val="21"/>
                <w:szCs w:val="21"/>
              </w:rPr>
            </w:pPr>
          </w:p>
        </w:tc>
        <w:tc>
          <w:tcPr>
            <w:tcW w:w="217" w:type="dxa"/>
          </w:tcPr>
          <w:p w14:paraId="68232807" w14:textId="77777777" w:rsidR="002C0FD9" w:rsidRPr="00CA25CF" w:rsidRDefault="002C0FD9" w:rsidP="00CA25CF">
            <w:pPr>
              <w:rPr>
                <w:rFonts w:cs="Arial"/>
                <w:color w:val="FF0000"/>
                <w:sz w:val="21"/>
                <w:szCs w:val="21"/>
              </w:rPr>
            </w:pPr>
          </w:p>
        </w:tc>
      </w:tr>
      <w:tr w:rsidR="002C0FD9" w:rsidRPr="00A16219" w14:paraId="09C24701" w14:textId="77777777" w:rsidTr="002C0FD9">
        <w:trPr>
          <w:trHeight w:val="635"/>
        </w:trPr>
        <w:tc>
          <w:tcPr>
            <w:tcW w:w="515" w:type="dxa"/>
          </w:tcPr>
          <w:p w14:paraId="117F5F7B" w14:textId="77777777" w:rsidR="002C0FD9" w:rsidRPr="00CA25CF" w:rsidRDefault="002C0FD9" w:rsidP="00CA25CF">
            <w:pPr>
              <w:rPr>
                <w:rFonts w:cs="Arial"/>
                <w:color w:val="FF0000"/>
                <w:sz w:val="21"/>
                <w:szCs w:val="21"/>
              </w:rPr>
            </w:pPr>
          </w:p>
        </w:tc>
        <w:tc>
          <w:tcPr>
            <w:tcW w:w="217" w:type="dxa"/>
          </w:tcPr>
          <w:p w14:paraId="5E7EADB3" w14:textId="77777777" w:rsidR="002C0FD9" w:rsidRPr="00CA25CF" w:rsidRDefault="002C0FD9" w:rsidP="00CA25CF">
            <w:pPr>
              <w:rPr>
                <w:rFonts w:cs="Arial"/>
                <w:color w:val="FF0000"/>
                <w:sz w:val="21"/>
                <w:szCs w:val="21"/>
              </w:rPr>
            </w:pPr>
          </w:p>
        </w:tc>
        <w:tc>
          <w:tcPr>
            <w:tcW w:w="217" w:type="dxa"/>
          </w:tcPr>
          <w:p w14:paraId="3CDA98D3" w14:textId="77777777" w:rsidR="002C0FD9" w:rsidRPr="00CA25CF" w:rsidRDefault="002C0FD9" w:rsidP="00CA25CF">
            <w:pPr>
              <w:rPr>
                <w:rFonts w:cs="Arial"/>
                <w:color w:val="FF0000"/>
                <w:sz w:val="21"/>
                <w:szCs w:val="21"/>
              </w:rPr>
            </w:pPr>
          </w:p>
        </w:tc>
        <w:tc>
          <w:tcPr>
            <w:tcW w:w="217" w:type="dxa"/>
          </w:tcPr>
          <w:p w14:paraId="2925A69A" w14:textId="77777777" w:rsidR="002C0FD9" w:rsidRPr="00CA25CF" w:rsidRDefault="002C0FD9" w:rsidP="00CA25CF">
            <w:pPr>
              <w:rPr>
                <w:rFonts w:cs="Arial"/>
                <w:color w:val="FF0000"/>
                <w:sz w:val="21"/>
                <w:szCs w:val="21"/>
              </w:rPr>
            </w:pPr>
          </w:p>
        </w:tc>
        <w:tc>
          <w:tcPr>
            <w:tcW w:w="217" w:type="dxa"/>
          </w:tcPr>
          <w:p w14:paraId="24753485" w14:textId="77777777" w:rsidR="002C0FD9" w:rsidRPr="00CA25CF" w:rsidRDefault="002C0FD9" w:rsidP="00CA25CF">
            <w:pPr>
              <w:rPr>
                <w:rFonts w:cs="Arial"/>
                <w:color w:val="FF0000"/>
                <w:sz w:val="21"/>
                <w:szCs w:val="21"/>
              </w:rPr>
            </w:pPr>
          </w:p>
        </w:tc>
        <w:tc>
          <w:tcPr>
            <w:tcW w:w="217" w:type="dxa"/>
          </w:tcPr>
          <w:p w14:paraId="3F6C8C3D" w14:textId="77777777" w:rsidR="002C0FD9" w:rsidRPr="00CA25CF" w:rsidRDefault="002C0FD9" w:rsidP="00CA25CF">
            <w:pPr>
              <w:rPr>
                <w:rFonts w:cs="Arial"/>
                <w:color w:val="FF0000"/>
                <w:sz w:val="21"/>
                <w:szCs w:val="21"/>
              </w:rPr>
            </w:pPr>
          </w:p>
        </w:tc>
        <w:tc>
          <w:tcPr>
            <w:tcW w:w="217" w:type="dxa"/>
          </w:tcPr>
          <w:p w14:paraId="424CC34C" w14:textId="77777777" w:rsidR="002C0FD9" w:rsidRPr="00CA25CF" w:rsidRDefault="002C0FD9" w:rsidP="00CA25CF">
            <w:pPr>
              <w:rPr>
                <w:rFonts w:cs="Arial"/>
                <w:color w:val="FF0000"/>
                <w:sz w:val="21"/>
                <w:szCs w:val="21"/>
              </w:rPr>
            </w:pPr>
          </w:p>
        </w:tc>
        <w:tc>
          <w:tcPr>
            <w:tcW w:w="217" w:type="dxa"/>
          </w:tcPr>
          <w:p w14:paraId="15ED0ADC" w14:textId="77777777" w:rsidR="002C0FD9" w:rsidRPr="00CA25CF" w:rsidRDefault="002C0FD9" w:rsidP="00CA25CF">
            <w:pPr>
              <w:rPr>
                <w:rFonts w:cs="Arial"/>
                <w:color w:val="FF0000"/>
                <w:sz w:val="21"/>
                <w:szCs w:val="21"/>
              </w:rPr>
            </w:pPr>
          </w:p>
        </w:tc>
        <w:tc>
          <w:tcPr>
            <w:tcW w:w="217" w:type="dxa"/>
          </w:tcPr>
          <w:p w14:paraId="41C66201" w14:textId="77777777" w:rsidR="002C0FD9" w:rsidRPr="00CA25CF" w:rsidRDefault="002C0FD9" w:rsidP="00CA25CF">
            <w:pPr>
              <w:rPr>
                <w:rFonts w:cs="Arial"/>
                <w:color w:val="FF0000"/>
                <w:sz w:val="21"/>
                <w:szCs w:val="21"/>
              </w:rPr>
            </w:pPr>
          </w:p>
        </w:tc>
        <w:tc>
          <w:tcPr>
            <w:tcW w:w="217" w:type="dxa"/>
          </w:tcPr>
          <w:p w14:paraId="72AA9029" w14:textId="77777777" w:rsidR="002C0FD9" w:rsidRPr="00CA25CF" w:rsidRDefault="002C0FD9" w:rsidP="00CA25CF">
            <w:pPr>
              <w:rPr>
                <w:rFonts w:cs="Arial"/>
                <w:color w:val="FF0000"/>
                <w:sz w:val="21"/>
                <w:szCs w:val="21"/>
              </w:rPr>
            </w:pPr>
          </w:p>
        </w:tc>
        <w:tc>
          <w:tcPr>
            <w:tcW w:w="217" w:type="dxa"/>
          </w:tcPr>
          <w:p w14:paraId="14695FE5" w14:textId="77777777" w:rsidR="002C0FD9" w:rsidRPr="00CA25CF" w:rsidRDefault="002C0FD9" w:rsidP="00CA25CF">
            <w:pPr>
              <w:rPr>
                <w:rFonts w:cs="Arial"/>
                <w:color w:val="FF0000"/>
                <w:sz w:val="21"/>
                <w:szCs w:val="21"/>
              </w:rPr>
            </w:pPr>
          </w:p>
        </w:tc>
        <w:tc>
          <w:tcPr>
            <w:tcW w:w="217" w:type="dxa"/>
          </w:tcPr>
          <w:p w14:paraId="2990965B" w14:textId="77777777" w:rsidR="002C0FD9" w:rsidRPr="00CA25CF" w:rsidRDefault="002C0FD9" w:rsidP="00CA25CF">
            <w:pPr>
              <w:rPr>
                <w:rFonts w:cs="Arial"/>
                <w:color w:val="FF0000"/>
                <w:sz w:val="21"/>
                <w:szCs w:val="21"/>
              </w:rPr>
            </w:pPr>
          </w:p>
        </w:tc>
        <w:tc>
          <w:tcPr>
            <w:tcW w:w="217" w:type="dxa"/>
          </w:tcPr>
          <w:p w14:paraId="2AE4E372" w14:textId="77777777" w:rsidR="002C0FD9" w:rsidRPr="00CA25CF" w:rsidRDefault="002C0FD9" w:rsidP="00CA25CF">
            <w:pPr>
              <w:rPr>
                <w:rFonts w:cs="Arial"/>
                <w:color w:val="FF0000"/>
                <w:sz w:val="21"/>
                <w:szCs w:val="21"/>
              </w:rPr>
            </w:pPr>
          </w:p>
        </w:tc>
        <w:tc>
          <w:tcPr>
            <w:tcW w:w="217" w:type="dxa"/>
          </w:tcPr>
          <w:p w14:paraId="29F663B5" w14:textId="77777777" w:rsidR="002C0FD9" w:rsidRPr="00CA25CF" w:rsidRDefault="002C0FD9" w:rsidP="00CA25CF">
            <w:pPr>
              <w:rPr>
                <w:rFonts w:cs="Arial"/>
                <w:color w:val="FF0000"/>
                <w:sz w:val="21"/>
                <w:szCs w:val="21"/>
              </w:rPr>
            </w:pPr>
          </w:p>
        </w:tc>
        <w:tc>
          <w:tcPr>
            <w:tcW w:w="217" w:type="dxa"/>
          </w:tcPr>
          <w:p w14:paraId="6C5BE1AE" w14:textId="77777777" w:rsidR="002C0FD9" w:rsidRPr="00CA25CF" w:rsidRDefault="002C0FD9" w:rsidP="00CA25CF">
            <w:pPr>
              <w:rPr>
                <w:rFonts w:cs="Arial"/>
                <w:color w:val="FF0000"/>
                <w:sz w:val="21"/>
                <w:szCs w:val="21"/>
              </w:rPr>
            </w:pPr>
          </w:p>
        </w:tc>
        <w:tc>
          <w:tcPr>
            <w:tcW w:w="217" w:type="dxa"/>
          </w:tcPr>
          <w:p w14:paraId="1BEDC2A1" w14:textId="77777777" w:rsidR="002C0FD9" w:rsidRPr="00CA25CF" w:rsidRDefault="002C0FD9" w:rsidP="00CA25CF">
            <w:pPr>
              <w:rPr>
                <w:rFonts w:cs="Arial"/>
                <w:color w:val="FF0000"/>
                <w:sz w:val="21"/>
                <w:szCs w:val="21"/>
              </w:rPr>
            </w:pPr>
          </w:p>
        </w:tc>
        <w:tc>
          <w:tcPr>
            <w:tcW w:w="217" w:type="dxa"/>
          </w:tcPr>
          <w:p w14:paraId="0B505C0E" w14:textId="77777777" w:rsidR="002C0FD9" w:rsidRPr="00CA25CF" w:rsidRDefault="002C0FD9" w:rsidP="00CA25CF">
            <w:pPr>
              <w:rPr>
                <w:rFonts w:cs="Arial"/>
                <w:color w:val="FF0000"/>
                <w:sz w:val="21"/>
                <w:szCs w:val="21"/>
              </w:rPr>
            </w:pPr>
          </w:p>
        </w:tc>
        <w:tc>
          <w:tcPr>
            <w:tcW w:w="217" w:type="dxa"/>
          </w:tcPr>
          <w:p w14:paraId="24E83617" w14:textId="77777777" w:rsidR="002C0FD9" w:rsidRPr="00CA25CF" w:rsidRDefault="002C0FD9" w:rsidP="00CA25CF">
            <w:pPr>
              <w:rPr>
                <w:rFonts w:cs="Arial"/>
                <w:color w:val="FF0000"/>
                <w:sz w:val="21"/>
                <w:szCs w:val="21"/>
              </w:rPr>
            </w:pPr>
          </w:p>
        </w:tc>
        <w:tc>
          <w:tcPr>
            <w:tcW w:w="217" w:type="dxa"/>
          </w:tcPr>
          <w:p w14:paraId="7B6FE240" w14:textId="77777777" w:rsidR="002C0FD9" w:rsidRPr="00CA25CF" w:rsidRDefault="002C0FD9" w:rsidP="00CA25CF">
            <w:pPr>
              <w:rPr>
                <w:rFonts w:cs="Arial"/>
                <w:color w:val="FF0000"/>
                <w:sz w:val="21"/>
                <w:szCs w:val="21"/>
              </w:rPr>
            </w:pPr>
          </w:p>
        </w:tc>
        <w:tc>
          <w:tcPr>
            <w:tcW w:w="217" w:type="dxa"/>
          </w:tcPr>
          <w:p w14:paraId="0E479F8C" w14:textId="77777777" w:rsidR="002C0FD9" w:rsidRPr="00CA25CF" w:rsidRDefault="002C0FD9" w:rsidP="00CA25CF">
            <w:pPr>
              <w:rPr>
                <w:rFonts w:cs="Arial"/>
                <w:color w:val="FF0000"/>
                <w:sz w:val="21"/>
                <w:szCs w:val="21"/>
              </w:rPr>
            </w:pPr>
          </w:p>
        </w:tc>
        <w:tc>
          <w:tcPr>
            <w:tcW w:w="217" w:type="dxa"/>
          </w:tcPr>
          <w:p w14:paraId="6CC07FB8" w14:textId="77777777" w:rsidR="002C0FD9" w:rsidRPr="00CA25CF" w:rsidRDefault="002C0FD9" w:rsidP="00CA25CF">
            <w:pPr>
              <w:rPr>
                <w:rFonts w:cs="Arial"/>
                <w:color w:val="FF0000"/>
                <w:sz w:val="21"/>
                <w:szCs w:val="21"/>
              </w:rPr>
            </w:pPr>
          </w:p>
        </w:tc>
        <w:tc>
          <w:tcPr>
            <w:tcW w:w="217" w:type="dxa"/>
          </w:tcPr>
          <w:p w14:paraId="2FF0A916" w14:textId="77777777" w:rsidR="002C0FD9" w:rsidRPr="00CA25CF" w:rsidRDefault="002C0FD9" w:rsidP="00CA25CF">
            <w:pPr>
              <w:rPr>
                <w:rFonts w:cs="Arial"/>
                <w:color w:val="FF0000"/>
                <w:sz w:val="21"/>
                <w:szCs w:val="21"/>
              </w:rPr>
            </w:pPr>
          </w:p>
        </w:tc>
        <w:tc>
          <w:tcPr>
            <w:tcW w:w="217" w:type="dxa"/>
          </w:tcPr>
          <w:p w14:paraId="3E937268" w14:textId="77777777" w:rsidR="002C0FD9" w:rsidRPr="00CA25CF" w:rsidRDefault="002C0FD9" w:rsidP="00CA25CF">
            <w:pPr>
              <w:rPr>
                <w:rFonts w:cs="Arial"/>
                <w:color w:val="FF0000"/>
                <w:sz w:val="21"/>
                <w:szCs w:val="21"/>
              </w:rPr>
            </w:pPr>
          </w:p>
        </w:tc>
        <w:tc>
          <w:tcPr>
            <w:tcW w:w="217" w:type="dxa"/>
          </w:tcPr>
          <w:p w14:paraId="3998C936" w14:textId="77777777" w:rsidR="002C0FD9" w:rsidRPr="00CA25CF" w:rsidRDefault="002C0FD9" w:rsidP="00CA25CF">
            <w:pPr>
              <w:rPr>
                <w:rFonts w:cs="Arial"/>
                <w:color w:val="FF0000"/>
                <w:sz w:val="21"/>
                <w:szCs w:val="21"/>
              </w:rPr>
            </w:pPr>
          </w:p>
        </w:tc>
        <w:tc>
          <w:tcPr>
            <w:tcW w:w="217" w:type="dxa"/>
          </w:tcPr>
          <w:p w14:paraId="356BF6C2" w14:textId="77777777" w:rsidR="002C0FD9" w:rsidRPr="00CA25CF" w:rsidRDefault="002C0FD9" w:rsidP="00CA25CF">
            <w:pPr>
              <w:rPr>
                <w:rFonts w:cs="Arial"/>
                <w:color w:val="FF0000"/>
                <w:sz w:val="21"/>
                <w:szCs w:val="21"/>
              </w:rPr>
            </w:pPr>
          </w:p>
        </w:tc>
        <w:tc>
          <w:tcPr>
            <w:tcW w:w="217" w:type="dxa"/>
          </w:tcPr>
          <w:p w14:paraId="09E637A9" w14:textId="77777777" w:rsidR="002C0FD9" w:rsidRPr="00CA25CF" w:rsidRDefault="002C0FD9" w:rsidP="00CA25CF">
            <w:pPr>
              <w:rPr>
                <w:rFonts w:cs="Arial"/>
                <w:color w:val="FF0000"/>
                <w:sz w:val="21"/>
                <w:szCs w:val="21"/>
              </w:rPr>
            </w:pPr>
          </w:p>
        </w:tc>
        <w:tc>
          <w:tcPr>
            <w:tcW w:w="217" w:type="dxa"/>
          </w:tcPr>
          <w:p w14:paraId="5FF2174C" w14:textId="77777777" w:rsidR="002C0FD9" w:rsidRPr="00CA25CF" w:rsidRDefault="002C0FD9" w:rsidP="00CA25CF">
            <w:pPr>
              <w:rPr>
                <w:rFonts w:cs="Arial"/>
                <w:color w:val="FF0000"/>
                <w:sz w:val="21"/>
                <w:szCs w:val="21"/>
              </w:rPr>
            </w:pPr>
          </w:p>
        </w:tc>
        <w:tc>
          <w:tcPr>
            <w:tcW w:w="217" w:type="dxa"/>
          </w:tcPr>
          <w:p w14:paraId="6574B4B2" w14:textId="77777777" w:rsidR="002C0FD9" w:rsidRPr="00CA25CF" w:rsidRDefault="002C0FD9" w:rsidP="00CA25CF">
            <w:pPr>
              <w:rPr>
                <w:rFonts w:cs="Arial"/>
                <w:color w:val="FF0000"/>
                <w:sz w:val="21"/>
                <w:szCs w:val="21"/>
              </w:rPr>
            </w:pPr>
          </w:p>
        </w:tc>
        <w:tc>
          <w:tcPr>
            <w:tcW w:w="217" w:type="dxa"/>
          </w:tcPr>
          <w:p w14:paraId="4944F4B1" w14:textId="77777777" w:rsidR="002C0FD9" w:rsidRPr="00CA25CF" w:rsidRDefault="002C0FD9" w:rsidP="00CA25CF">
            <w:pPr>
              <w:rPr>
                <w:rFonts w:cs="Arial"/>
                <w:color w:val="FF0000"/>
                <w:sz w:val="21"/>
                <w:szCs w:val="21"/>
              </w:rPr>
            </w:pPr>
          </w:p>
        </w:tc>
        <w:tc>
          <w:tcPr>
            <w:tcW w:w="217" w:type="dxa"/>
          </w:tcPr>
          <w:p w14:paraId="756C16F2" w14:textId="77777777" w:rsidR="002C0FD9" w:rsidRPr="00CA25CF" w:rsidRDefault="002C0FD9" w:rsidP="00CA25CF">
            <w:pPr>
              <w:rPr>
                <w:rFonts w:cs="Arial"/>
                <w:color w:val="FF0000"/>
                <w:sz w:val="21"/>
                <w:szCs w:val="21"/>
              </w:rPr>
            </w:pPr>
          </w:p>
        </w:tc>
        <w:tc>
          <w:tcPr>
            <w:tcW w:w="217" w:type="dxa"/>
          </w:tcPr>
          <w:p w14:paraId="4EB92A4A" w14:textId="77777777" w:rsidR="002C0FD9" w:rsidRPr="00CA25CF" w:rsidRDefault="002C0FD9" w:rsidP="00CA25CF">
            <w:pPr>
              <w:rPr>
                <w:rFonts w:cs="Arial"/>
                <w:color w:val="FF0000"/>
                <w:sz w:val="21"/>
                <w:szCs w:val="21"/>
              </w:rPr>
            </w:pPr>
          </w:p>
        </w:tc>
        <w:tc>
          <w:tcPr>
            <w:tcW w:w="217" w:type="dxa"/>
          </w:tcPr>
          <w:p w14:paraId="309833C6" w14:textId="77777777" w:rsidR="002C0FD9" w:rsidRPr="00CA25CF" w:rsidRDefault="002C0FD9" w:rsidP="00CA25CF">
            <w:pPr>
              <w:rPr>
                <w:rFonts w:cs="Arial"/>
                <w:color w:val="FF0000"/>
                <w:sz w:val="21"/>
                <w:szCs w:val="21"/>
              </w:rPr>
            </w:pPr>
          </w:p>
        </w:tc>
        <w:tc>
          <w:tcPr>
            <w:tcW w:w="217" w:type="dxa"/>
          </w:tcPr>
          <w:p w14:paraId="5A06F311" w14:textId="77777777" w:rsidR="002C0FD9" w:rsidRPr="00CA25CF" w:rsidRDefault="002C0FD9" w:rsidP="00CA25CF">
            <w:pPr>
              <w:rPr>
                <w:rFonts w:cs="Arial"/>
                <w:color w:val="FF0000"/>
                <w:sz w:val="21"/>
                <w:szCs w:val="21"/>
              </w:rPr>
            </w:pPr>
          </w:p>
        </w:tc>
        <w:tc>
          <w:tcPr>
            <w:tcW w:w="217" w:type="dxa"/>
          </w:tcPr>
          <w:p w14:paraId="57A7BF99" w14:textId="77777777" w:rsidR="002C0FD9" w:rsidRPr="00CA25CF" w:rsidRDefault="002C0FD9" w:rsidP="00CA25CF">
            <w:pPr>
              <w:rPr>
                <w:rFonts w:cs="Arial"/>
                <w:color w:val="FF0000"/>
                <w:sz w:val="21"/>
                <w:szCs w:val="21"/>
              </w:rPr>
            </w:pPr>
          </w:p>
        </w:tc>
        <w:tc>
          <w:tcPr>
            <w:tcW w:w="217" w:type="dxa"/>
          </w:tcPr>
          <w:p w14:paraId="596E240D" w14:textId="77777777" w:rsidR="002C0FD9" w:rsidRPr="00CA25CF" w:rsidRDefault="002C0FD9" w:rsidP="00CA25CF">
            <w:pPr>
              <w:rPr>
                <w:rFonts w:cs="Arial"/>
                <w:color w:val="FF0000"/>
                <w:sz w:val="21"/>
                <w:szCs w:val="21"/>
              </w:rPr>
            </w:pPr>
          </w:p>
        </w:tc>
        <w:tc>
          <w:tcPr>
            <w:tcW w:w="217" w:type="dxa"/>
          </w:tcPr>
          <w:p w14:paraId="7169EDE5" w14:textId="77777777" w:rsidR="002C0FD9" w:rsidRPr="00CA25CF" w:rsidRDefault="002C0FD9" w:rsidP="00CA25CF">
            <w:pPr>
              <w:rPr>
                <w:rFonts w:cs="Arial"/>
                <w:color w:val="FF0000"/>
                <w:sz w:val="21"/>
                <w:szCs w:val="21"/>
              </w:rPr>
            </w:pPr>
          </w:p>
        </w:tc>
        <w:tc>
          <w:tcPr>
            <w:tcW w:w="217" w:type="dxa"/>
          </w:tcPr>
          <w:p w14:paraId="07D86EF8" w14:textId="77777777" w:rsidR="002C0FD9" w:rsidRPr="00CA25CF" w:rsidRDefault="002C0FD9" w:rsidP="00CA25CF">
            <w:pPr>
              <w:rPr>
                <w:rFonts w:cs="Arial"/>
                <w:color w:val="FF0000"/>
                <w:sz w:val="21"/>
                <w:szCs w:val="21"/>
              </w:rPr>
            </w:pPr>
          </w:p>
        </w:tc>
        <w:tc>
          <w:tcPr>
            <w:tcW w:w="217" w:type="dxa"/>
          </w:tcPr>
          <w:p w14:paraId="1525CE7A" w14:textId="77777777" w:rsidR="002C0FD9" w:rsidRPr="00CA25CF" w:rsidRDefault="002C0FD9" w:rsidP="00CA25CF">
            <w:pPr>
              <w:rPr>
                <w:rFonts w:cs="Arial"/>
                <w:color w:val="FF0000"/>
                <w:sz w:val="21"/>
                <w:szCs w:val="21"/>
              </w:rPr>
            </w:pPr>
          </w:p>
        </w:tc>
        <w:tc>
          <w:tcPr>
            <w:tcW w:w="217" w:type="dxa"/>
          </w:tcPr>
          <w:p w14:paraId="666EE281" w14:textId="77777777" w:rsidR="002C0FD9" w:rsidRPr="00CA25CF" w:rsidRDefault="002C0FD9" w:rsidP="00CA25CF">
            <w:pPr>
              <w:rPr>
                <w:rFonts w:cs="Arial"/>
                <w:color w:val="FF0000"/>
                <w:sz w:val="21"/>
                <w:szCs w:val="21"/>
              </w:rPr>
            </w:pPr>
          </w:p>
        </w:tc>
        <w:tc>
          <w:tcPr>
            <w:tcW w:w="217" w:type="dxa"/>
          </w:tcPr>
          <w:p w14:paraId="46F453F1" w14:textId="77777777" w:rsidR="002C0FD9" w:rsidRPr="00CA25CF" w:rsidRDefault="002C0FD9" w:rsidP="00CA25CF">
            <w:pPr>
              <w:rPr>
                <w:rFonts w:cs="Arial"/>
                <w:color w:val="FF0000"/>
                <w:sz w:val="21"/>
                <w:szCs w:val="21"/>
              </w:rPr>
            </w:pPr>
          </w:p>
        </w:tc>
        <w:tc>
          <w:tcPr>
            <w:tcW w:w="217" w:type="dxa"/>
          </w:tcPr>
          <w:p w14:paraId="26451FAA" w14:textId="77777777" w:rsidR="002C0FD9" w:rsidRPr="00CA25CF" w:rsidRDefault="002C0FD9" w:rsidP="00CA25CF">
            <w:pPr>
              <w:rPr>
                <w:rFonts w:cs="Arial"/>
                <w:color w:val="FF0000"/>
                <w:sz w:val="21"/>
                <w:szCs w:val="21"/>
              </w:rPr>
            </w:pPr>
          </w:p>
        </w:tc>
        <w:tc>
          <w:tcPr>
            <w:tcW w:w="217" w:type="dxa"/>
          </w:tcPr>
          <w:p w14:paraId="44DC91CD" w14:textId="77777777" w:rsidR="002C0FD9" w:rsidRPr="00CA25CF" w:rsidRDefault="002C0FD9" w:rsidP="00CA25CF">
            <w:pPr>
              <w:rPr>
                <w:rFonts w:cs="Arial"/>
                <w:color w:val="FF0000"/>
                <w:sz w:val="21"/>
                <w:szCs w:val="21"/>
              </w:rPr>
            </w:pPr>
          </w:p>
        </w:tc>
        <w:tc>
          <w:tcPr>
            <w:tcW w:w="217" w:type="dxa"/>
          </w:tcPr>
          <w:p w14:paraId="5CD24587" w14:textId="77777777" w:rsidR="002C0FD9" w:rsidRPr="00CA25CF" w:rsidRDefault="002C0FD9" w:rsidP="00CA25CF">
            <w:pPr>
              <w:rPr>
                <w:rFonts w:cs="Arial"/>
                <w:color w:val="FF0000"/>
                <w:sz w:val="21"/>
                <w:szCs w:val="21"/>
              </w:rPr>
            </w:pPr>
          </w:p>
        </w:tc>
      </w:tr>
      <w:tr w:rsidR="002C0FD9" w:rsidRPr="00A16219" w14:paraId="24C23556" w14:textId="77777777" w:rsidTr="002C0FD9">
        <w:trPr>
          <w:trHeight w:val="635"/>
        </w:trPr>
        <w:tc>
          <w:tcPr>
            <w:tcW w:w="515" w:type="dxa"/>
          </w:tcPr>
          <w:p w14:paraId="7D2AA79C" w14:textId="77777777" w:rsidR="002C0FD9" w:rsidRPr="00CA25CF" w:rsidRDefault="002C0FD9" w:rsidP="00CA25CF">
            <w:pPr>
              <w:rPr>
                <w:rFonts w:cs="Arial"/>
                <w:color w:val="FF0000"/>
                <w:sz w:val="21"/>
                <w:szCs w:val="21"/>
              </w:rPr>
            </w:pPr>
          </w:p>
        </w:tc>
        <w:tc>
          <w:tcPr>
            <w:tcW w:w="217" w:type="dxa"/>
          </w:tcPr>
          <w:p w14:paraId="686CF8FD" w14:textId="77777777" w:rsidR="002C0FD9" w:rsidRPr="00CA25CF" w:rsidRDefault="002C0FD9" w:rsidP="00CA25CF">
            <w:pPr>
              <w:rPr>
                <w:rFonts w:cs="Arial"/>
                <w:color w:val="FF0000"/>
                <w:sz w:val="21"/>
                <w:szCs w:val="21"/>
              </w:rPr>
            </w:pPr>
          </w:p>
        </w:tc>
        <w:tc>
          <w:tcPr>
            <w:tcW w:w="217" w:type="dxa"/>
          </w:tcPr>
          <w:p w14:paraId="379902B6" w14:textId="77777777" w:rsidR="002C0FD9" w:rsidRPr="00CA25CF" w:rsidRDefault="002C0FD9" w:rsidP="00CA25CF">
            <w:pPr>
              <w:rPr>
                <w:rFonts w:cs="Arial"/>
                <w:color w:val="FF0000"/>
                <w:sz w:val="21"/>
                <w:szCs w:val="21"/>
              </w:rPr>
            </w:pPr>
          </w:p>
        </w:tc>
        <w:tc>
          <w:tcPr>
            <w:tcW w:w="217" w:type="dxa"/>
          </w:tcPr>
          <w:p w14:paraId="0409E32D" w14:textId="77777777" w:rsidR="002C0FD9" w:rsidRPr="00CA25CF" w:rsidRDefault="002C0FD9" w:rsidP="00CA25CF">
            <w:pPr>
              <w:rPr>
                <w:rFonts w:cs="Arial"/>
                <w:color w:val="FF0000"/>
                <w:sz w:val="21"/>
                <w:szCs w:val="21"/>
              </w:rPr>
            </w:pPr>
          </w:p>
        </w:tc>
        <w:tc>
          <w:tcPr>
            <w:tcW w:w="217" w:type="dxa"/>
          </w:tcPr>
          <w:p w14:paraId="0A5CEDC6" w14:textId="77777777" w:rsidR="002C0FD9" w:rsidRPr="00CA25CF" w:rsidRDefault="002C0FD9" w:rsidP="00CA25CF">
            <w:pPr>
              <w:rPr>
                <w:rFonts w:cs="Arial"/>
                <w:color w:val="FF0000"/>
                <w:sz w:val="21"/>
                <w:szCs w:val="21"/>
              </w:rPr>
            </w:pPr>
          </w:p>
        </w:tc>
        <w:tc>
          <w:tcPr>
            <w:tcW w:w="217" w:type="dxa"/>
          </w:tcPr>
          <w:p w14:paraId="2A1A6FCA" w14:textId="77777777" w:rsidR="002C0FD9" w:rsidRPr="00CA25CF" w:rsidRDefault="002C0FD9" w:rsidP="00CA25CF">
            <w:pPr>
              <w:rPr>
                <w:rFonts w:cs="Arial"/>
                <w:color w:val="FF0000"/>
                <w:sz w:val="21"/>
                <w:szCs w:val="21"/>
              </w:rPr>
            </w:pPr>
          </w:p>
        </w:tc>
        <w:tc>
          <w:tcPr>
            <w:tcW w:w="217" w:type="dxa"/>
          </w:tcPr>
          <w:p w14:paraId="533F6E53" w14:textId="77777777" w:rsidR="002C0FD9" w:rsidRPr="00CA25CF" w:rsidRDefault="002C0FD9" w:rsidP="00CA25CF">
            <w:pPr>
              <w:rPr>
                <w:rFonts w:cs="Arial"/>
                <w:color w:val="FF0000"/>
                <w:sz w:val="21"/>
                <w:szCs w:val="21"/>
              </w:rPr>
            </w:pPr>
          </w:p>
        </w:tc>
        <w:tc>
          <w:tcPr>
            <w:tcW w:w="217" w:type="dxa"/>
          </w:tcPr>
          <w:p w14:paraId="43784D1B" w14:textId="77777777" w:rsidR="002C0FD9" w:rsidRPr="00CA25CF" w:rsidRDefault="002C0FD9" w:rsidP="00CA25CF">
            <w:pPr>
              <w:rPr>
                <w:rFonts w:cs="Arial"/>
                <w:color w:val="FF0000"/>
                <w:sz w:val="21"/>
                <w:szCs w:val="21"/>
              </w:rPr>
            </w:pPr>
          </w:p>
        </w:tc>
        <w:tc>
          <w:tcPr>
            <w:tcW w:w="217" w:type="dxa"/>
          </w:tcPr>
          <w:p w14:paraId="7932CE4F" w14:textId="77777777" w:rsidR="002C0FD9" w:rsidRPr="00CA25CF" w:rsidRDefault="002C0FD9" w:rsidP="00CA25CF">
            <w:pPr>
              <w:rPr>
                <w:rFonts w:cs="Arial"/>
                <w:color w:val="FF0000"/>
                <w:sz w:val="21"/>
                <w:szCs w:val="21"/>
              </w:rPr>
            </w:pPr>
          </w:p>
        </w:tc>
        <w:tc>
          <w:tcPr>
            <w:tcW w:w="217" w:type="dxa"/>
          </w:tcPr>
          <w:p w14:paraId="2D21B42C" w14:textId="77777777" w:rsidR="002C0FD9" w:rsidRPr="00CA25CF" w:rsidRDefault="002C0FD9" w:rsidP="00CA25CF">
            <w:pPr>
              <w:rPr>
                <w:rFonts w:cs="Arial"/>
                <w:color w:val="FF0000"/>
                <w:sz w:val="21"/>
                <w:szCs w:val="21"/>
              </w:rPr>
            </w:pPr>
          </w:p>
        </w:tc>
        <w:tc>
          <w:tcPr>
            <w:tcW w:w="217" w:type="dxa"/>
          </w:tcPr>
          <w:p w14:paraId="0109BF0D" w14:textId="77777777" w:rsidR="002C0FD9" w:rsidRPr="00CA25CF" w:rsidRDefault="002C0FD9" w:rsidP="00CA25CF">
            <w:pPr>
              <w:rPr>
                <w:rFonts w:cs="Arial"/>
                <w:color w:val="FF0000"/>
                <w:sz w:val="21"/>
                <w:szCs w:val="21"/>
              </w:rPr>
            </w:pPr>
          </w:p>
        </w:tc>
        <w:tc>
          <w:tcPr>
            <w:tcW w:w="217" w:type="dxa"/>
          </w:tcPr>
          <w:p w14:paraId="6DF2F8A3" w14:textId="77777777" w:rsidR="002C0FD9" w:rsidRPr="00CA25CF" w:rsidRDefault="002C0FD9" w:rsidP="00CA25CF">
            <w:pPr>
              <w:rPr>
                <w:rFonts w:cs="Arial"/>
                <w:color w:val="FF0000"/>
                <w:sz w:val="21"/>
                <w:szCs w:val="21"/>
              </w:rPr>
            </w:pPr>
          </w:p>
        </w:tc>
        <w:tc>
          <w:tcPr>
            <w:tcW w:w="217" w:type="dxa"/>
          </w:tcPr>
          <w:p w14:paraId="1D3977C9" w14:textId="77777777" w:rsidR="002C0FD9" w:rsidRPr="00CA25CF" w:rsidRDefault="002C0FD9" w:rsidP="00CA25CF">
            <w:pPr>
              <w:rPr>
                <w:rFonts w:cs="Arial"/>
                <w:color w:val="FF0000"/>
                <w:sz w:val="21"/>
                <w:szCs w:val="21"/>
              </w:rPr>
            </w:pPr>
          </w:p>
        </w:tc>
        <w:tc>
          <w:tcPr>
            <w:tcW w:w="217" w:type="dxa"/>
          </w:tcPr>
          <w:p w14:paraId="40B50E8B" w14:textId="77777777" w:rsidR="002C0FD9" w:rsidRPr="00CA25CF" w:rsidRDefault="002C0FD9" w:rsidP="00CA25CF">
            <w:pPr>
              <w:rPr>
                <w:rFonts w:cs="Arial"/>
                <w:color w:val="FF0000"/>
                <w:sz w:val="21"/>
                <w:szCs w:val="21"/>
              </w:rPr>
            </w:pPr>
          </w:p>
        </w:tc>
        <w:tc>
          <w:tcPr>
            <w:tcW w:w="217" w:type="dxa"/>
          </w:tcPr>
          <w:p w14:paraId="7CFBD0FF" w14:textId="77777777" w:rsidR="002C0FD9" w:rsidRPr="00CA25CF" w:rsidRDefault="002C0FD9" w:rsidP="00CA25CF">
            <w:pPr>
              <w:rPr>
                <w:rFonts w:cs="Arial"/>
                <w:color w:val="FF0000"/>
                <w:sz w:val="21"/>
                <w:szCs w:val="21"/>
              </w:rPr>
            </w:pPr>
          </w:p>
        </w:tc>
        <w:tc>
          <w:tcPr>
            <w:tcW w:w="217" w:type="dxa"/>
          </w:tcPr>
          <w:p w14:paraId="638DB30E" w14:textId="77777777" w:rsidR="002C0FD9" w:rsidRPr="00CA25CF" w:rsidRDefault="002C0FD9" w:rsidP="00CA25CF">
            <w:pPr>
              <w:rPr>
                <w:rFonts w:cs="Arial"/>
                <w:color w:val="FF0000"/>
                <w:sz w:val="21"/>
                <w:szCs w:val="21"/>
              </w:rPr>
            </w:pPr>
          </w:p>
        </w:tc>
        <w:tc>
          <w:tcPr>
            <w:tcW w:w="217" w:type="dxa"/>
          </w:tcPr>
          <w:p w14:paraId="4E1B19FE" w14:textId="77777777" w:rsidR="002C0FD9" w:rsidRPr="00CA25CF" w:rsidRDefault="002C0FD9" w:rsidP="00CA25CF">
            <w:pPr>
              <w:rPr>
                <w:rFonts w:cs="Arial"/>
                <w:color w:val="FF0000"/>
                <w:sz w:val="21"/>
                <w:szCs w:val="21"/>
              </w:rPr>
            </w:pPr>
          </w:p>
        </w:tc>
        <w:tc>
          <w:tcPr>
            <w:tcW w:w="217" w:type="dxa"/>
          </w:tcPr>
          <w:p w14:paraId="00C1136C" w14:textId="77777777" w:rsidR="002C0FD9" w:rsidRPr="00CA25CF" w:rsidRDefault="002C0FD9" w:rsidP="00CA25CF">
            <w:pPr>
              <w:rPr>
                <w:rFonts w:cs="Arial"/>
                <w:color w:val="FF0000"/>
                <w:sz w:val="21"/>
                <w:szCs w:val="21"/>
              </w:rPr>
            </w:pPr>
          </w:p>
        </w:tc>
        <w:tc>
          <w:tcPr>
            <w:tcW w:w="217" w:type="dxa"/>
          </w:tcPr>
          <w:p w14:paraId="0A12CA2A" w14:textId="77777777" w:rsidR="002C0FD9" w:rsidRPr="00CA25CF" w:rsidRDefault="002C0FD9" w:rsidP="00CA25CF">
            <w:pPr>
              <w:rPr>
                <w:rFonts w:cs="Arial"/>
                <w:color w:val="FF0000"/>
                <w:sz w:val="21"/>
                <w:szCs w:val="21"/>
              </w:rPr>
            </w:pPr>
          </w:p>
        </w:tc>
        <w:tc>
          <w:tcPr>
            <w:tcW w:w="217" w:type="dxa"/>
          </w:tcPr>
          <w:p w14:paraId="0DE25C05" w14:textId="77777777" w:rsidR="002C0FD9" w:rsidRPr="00CA25CF" w:rsidRDefault="002C0FD9" w:rsidP="00CA25CF">
            <w:pPr>
              <w:rPr>
                <w:rFonts w:cs="Arial"/>
                <w:color w:val="FF0000"/>
                <w:sz w:val="21"/>
                <w:szCs w:val="21"/>
              </w:rPr>
            </w:pPr>
          </w:p>
        </w:tc>
        <w:tc>
          <w:tcPr>
            <w:tcW w:w="217" w:type="dxa"/>
          </w:tcPr>
          <w:p w14:paraId="3FF0D19E" w14:textId="77777777" w:rsidR="002C0FD9" w:rsidRPr="00CA25CF" w:rsidRDefault="002C0FD9" w:rsidP="00CA25CF">
            <w:pPr>
              <w:rPr>
                <w:rFonts w:cs="Arial"/>
                <w:color w:val="FF0000"/>
                <w:sz w:val="21"/>
                <w:szCs w:val="21"/>
              </w:rPr>
            </w:pPr>
          </w:p>
        </w:tc>
        <w:tc>
          <w:tcPr>
            <w:tcW w:w="217" w:type="dxa"/>
          </w:tcPr>
          <w:p w14:paraId="14A67986" w14:textId="77777777" w:rsidR="002C0FD9" w:rsidRPr="00CA25CF" w:rsidRDefault="002C0FD9" w:rsidP="00CA25CF">
            <w:pPr>
              <w:rPr>
                <w:rFonts w:cs="Arial"/>
                <w:color w:val="FF0000"/>
                <w:sz w:val="21"/>
                <w:szCs w:val="21"/>
              </w:rPr>
            </w:pPr>
          </w:p>
        </w:tc>
        <w:tc>
          <w:tcPr>
            <w:tcW w:w="217" w:type="dxa"/>
          </w:tcPr>
          <w:p w14:paraId="5190C0C0" w14:textId="77777777" w:rsidR="002C0FD9" w:rsidRPr="00CA25CF" w:rsidRDefault="002C0FD9" w:rsidP="00CA25CF">
            <w:pPr>
              <w:rPr>
                <w:rFonts w:cs="Arial"/>
                <w:color w:val="FF0000"/>
                <w:sz w:val="21"/>
                <w:szCs w:val="21"/>
              </w:rPr>
            </w:pPr>
          </w:p>
        </w:tc>
        <w:tc>
          <w:tcPr>
            <w:tcW w:w="217" w:type="dxa"/>
          </w:tcPr>
          <w:p w14:paraId="393F72FF" w14:textId="77777777" w:rsidR="002C0FD9" w:rsidRPr="00CA25CF" w:rsidRDefault="002C0FD9" w:rsidP="00CA25CF">
            <w:pPr>
              <w:rPr>
                <w:rFonts w:cs="Arial"/>
                <w:color w:val="FF0000"/>
                <w:sz w:val="21"/>
                <w:szCs w:val="21"/>
              </w:rPr>
            </w:pPr>
          </w:p>
        </w:tc>
        <w:tc>
          <w:tcPr>
            <w:tcW w:w="217" w:type="dxa"/>
          </w:tcPr>
          <w:p w14:paraId="522B7408" w14:textId="77777777" w:rsidR="002C0FD9" w:rsidRPr="00CA25CF" w:rsidRDefault="002C0FD9" w:rsidP="00CA25CF">
            <w:pPr>
              <w:rPr>
                <w:rFonts w:cs="Arial"/>
                <w:color w:val="FF0000"/>
                <w:sz w:val="21"/>
                <w:szCs w:val="21"/>
              </w:rPr>
            </w:pPr>
          </w:p>
        </w:tc>
        <w:tc>
          <w:tcPr>
            <w:tcW w:w="217" w:type="dxa"/>
          </w:tcPr>
          <w:p w14:paraId="680F371D" w14:textId="77777777" w:rsidR="002C0FD9" w:rsidRPr="00CA25CF" w:rsidRDefault="002C0FD9" w:rsidP="00CA25CF">
            <w:pPr>
              <w:rPr>
                <w:rFonts w:cs="Arial"/>
                <w:color w:val="FF0000"/>
                <w:sz w:val="21"/>
                <w:szCs w:val="21"/>
              </w:rPr>
            </w:pPr>
          </w:p>
        </w:tc>
        <w:tc>
          <w:tcPr>
            <w:tcW w:w="217" w:type="dxa"/>
          </w:tcPr>
          <w:p w14:paraId="2AC23611" w14:textId="77777777" w:rsidR="002C0FD9" w:rsidRPr="00CA25CF" w:rsidRDefault="002C0FD9" w:rsidP="00CA25CF">
            <w:pPr>
              <w:rPr>
                <w:rFonts w:cs="Arial"/>
                <w:color w:val="FF0000"/>
                <w:sz w:val="21"/>
                <w:szCs w:val="21"/>
              </w:rPr>
            </w:pPr>
          </w:p>
        </w:tc>
        <w:tc>
          <w:tcPr>
            <w:tcW w:w="217" w:type="dxa"/>
          </w:tcPr>
          <w:p w14:paraId="77A0FE8B" w14:textId="77777777" w:rsidR="002C0FD9" w:rsidRPr="00CA25CF" w:rsidRDefault="002C0FD9" w:rsidP="00CA25CF">
            <w:pPr>
              <w:rPr>
                <w:rFonts w:cs="Arial"/>
                <w:color w:val="FF0000"/>
                <w:sz w:val="21"/>
                <w:szCs w:val="21"/>
              </w:rPr>
            </w:pPr>
          </w:p>
        </w:tc>
        <w:tc>
          <w:tcPr>
            <w:tcW w:w="217" w:type="dxa"/>
          </w:tcPr>
          <w:p w14:paraId="76520890" w14:textId="77777777" w:rsidR="002C0FD9" w:rsidRPr="00CA25CF" w:rsidRDefault="002C0FD9" w:rsidP="00CA25CF">
            <w:pPr>
              <w:rPr>
                <w:rFonts w:cs="Arial"/>
                <w:color w:val="FF0000"/>
                <w:sz w:val="21"/>
                <w:szCs w:val="21"/>
              </w:rPr>
            </w:pPr>
          </w:p>
        </w:tc>
        <w:tc>
          <w:tcPr>
            <w:tcW w:w="217" w:type="dxa"/>
          </w:tcPr>
          <w:p w14:paraId="441F7612" w14:textId="77777777" w:rsidR="002C0FD9" w:rsidRPr="00CA25CF" w:rsidRDefault="002C0FD9" w:rsidP="00CA25CF">
            <w:pPr>
              <w:rPr>
                <w:rFonts w:cs="Arial"/>
                <w:color w:val="FF0000"/>
                <w:sz w:val="21"/>
                <w:szCs w:val="21"/>
              </w:rPr>
            </w:pPr>
          </w:p>
        </w:tc>
        <w:tc>
          <w:tcPr>
            <w:tcW w:w="217" w:type="dxa"/>
          </w:tcPr>
          <w:p w14:paraId="060170D3" w14:textId="77777777" w:rsidR="002C0FD9" w:rsidRPr="00CA25CF" w:rsidRDefault="002C0FD9" w:rsidP="00CA25CF">
            <w:pPr>
              <w:rPr>
                <w:rFonts w:cs="Arial"/>
                <w:color w:val="FF0000"/>
                <w:sz w:val="21"/>
                <w:szCs w:val="21"/>
              </w:rPr>
            </w:pPr>
          </w:p>
        </w:tc>
        <w:tc>
          <w:tcPr>
            <w:tcW w:w="217" w:type="dxa"/>
          </w:tcPr>
          <w:p w14:paraId="005211CB" w14:textId="77777777" w:rsidR="002C0FD9" w:rsidRPr="00CA25CF" w:rsidRDefault="002C0FD9" w:rsidP="00CA25CF">
            <w:pPr>
              <w:rPr>
                <w:rFonts w:cs="Arial"/>
                <w:color w:val="FF0000"/>
                <w:sz w:val="21"/>
                <w:szCs w:val="21"/>
              </w:rPr>
            </w:pPr>
          </w:p>
        </w:tc>
        <w:tc>
          <w:tcPr>
            <w:tcW w:w="217" w:type="dxa"/>
          </w:tcPr>
          <w:p w14:paraId="678142A1" w14:textId="77777777" w:rsidR="002C0FD9" w:rsidRPr="00CA25CF" w:rsidRDefault="002C0FD9" w:rsidP="00CA25CF">
            <w:pPr>
              <w:rPr>
                <w:rFonts w:cs="Arial"/>
                <w:color w:val="FF0000"/>
                <w:sz w:val="21"/>
                <w:szCs w:val="21"/>
              </w:rPr>
            </w:pPr>
          </w:p>
        </w:tc>
        <w:tc>
          <w:tcPr>
            <w:tcW w:w="217" w:type="dxa"/>
          </w:tcPr>
          <w:p w14:paraId="64E608EF" w14:textId="77777777" w:rsidR="002C0FD9" w:rsidRPr="00CA25CF" w:rsidRDefault="002C0FD9" w:rsidP="00CA25CF">
            <w:pPr>
              <w:rPr>
                <w:rFonts w:cs="Arial"/>
                <w:color w:val="FF0000"/>
                <w:sz w:val="21"/>
                <w:szCs w:val="21"/>
              </w:rPr>
            </w:pPr>
          </w:p>
        </w:tc>
        <w:tc>
          <w:tcPr>
            <w:tcW w:w="217" w:type="dxa"/>
          </w:tcPr>
          <w:p w14:paraId="67F19702" w14:textId="77777777" w:rsidR="002C0FD9" w:rsidRPr="00CA25CF" w:rsidRDefault="002C0FD9" w:rsidP="00CA25CF">
            <w:pPr>
              <w:rPr>
                <w:rFonts w:cs="Arial"/>
                <w:color w:val="FF0000"/>
                <w:sz w:val="21"/>
                <w:szCs w:val="21"/>
              </w:rPr>
            </w:pPr>
          </w:p>
        </w:tc>
        <w:tc>
          <w:tcPr>
            <w:tcW w:w="217" w:type="dxa"/>
          </w:tcPr>
          <w:p w14:paraId="3A3B0DEE" w14:textId="77777777" w:rsidR="002C0FD9" w:rsidRPr="00CA25CF" w:rsidRDefault="002C0FD9" w:rsidP="00CA25CF">
            <w:pPr>
              <w:rPr>
                <w:rFonts w:cs="Arial"/>
                <w:color w:val="FF0000"/>
                <w:sz w:val="21"/>
                <w:szCs w:val="21"/>
              </w:rPr>
            </w:pPr>
          </w:p>
        </w:tc>
        <w:tc>
          <w:tcPr>
            <w:tcW w:w="217" w:type="dxa"/>
          </w:tcPr>
          <w:p w14:paraId="06923403" w14:textId="77777777" w:rsidR="002C0FD9" w:rsidRPr="00CA25CF" w:rsidRDefault="002C0FD9" w:rsidP="00CA25CF">
            <w:pPr>
              <w:rPr>
                <w:rFonts w:cs="Arial"/>
                <w:color w:val="FF0000"/>
                <w:sz w:val="21"/>
                <w:szCs w:val="21"/>
              </w:rPr>
            </w:pPr>
          </w:p>
        </w:tc>
        <w:tc>
          <w:tcPr>
            <w:tcW w:w="217" w:type="dxa"/>
          </w:tcPr>
          <w:p w14:paraId="31E214AF" w14:textId="77777777" w:rsidR="002C0FD9" w:rsidRPr="00CA25CF" w:rsidRDefault="002C0FD9" w:rsidP="00CA25CF">
            <w:pPr>
              <w:rPr>
                <w:rFonts w:cs="Arial"/>
                <w:color w:val="FF0000"/>
                <w:sz w:val="21"/>
                <w:szCs w:val="21"/>
              </w:rPr>
            </w:pPr>
          </w:p>
        </w:tc>
        <w:tc>
          <w:tcPr>
            <w:tcW w:w="217" w:type="dxa"/>
          </w:tcPr>
          <w:p w14:paraId="49403CE3" w14:textId="77777777" w:rsidR="002C0FD9" w:rsidRPr="00CA25CF" w:rsidRDefault="002C0FD9" w:rsidP="00CA25CF">
            <w:pPr>
              <w:rPr>
                <w:rFonts w:cs="Arial"/>
                <w:color w:val="FF0000"/>
                <w:sz w:val="21"/>
                <w:szCs w:val="21"/>
              </w:rPr>
            </w:pPr>
          </w:p>
        </w:tc>
        <w:tc>
          <w:tcPr>
            <w:tcW w:w="217" w:type="dxa"/>
          </w:tcPr>
          <w:p w14:paraId="406CBCF6" w14:textId="77777777" w:rsidR="002C0FD9" w:rsidRPr="00CA25CF" w:rsidRDefault="002C0FD9" w:rsidP="00CA25CF">
            <w:pPr>
              <w:rPr>
                <w:rFonts w:cs="Arial"/>
                <w:color w:val="FF0000"/>
                <w:sz w:val="21"/>
                <w:szCs w:val="21"/>
              </w:rPr>
            </w:pPr>
          </w:p>
        </w:tc>
        <w:tc>
          <w:tcPr>
            <w:tcW w:w="217" w:type="dxa"/>
          </w:tcPr>
          <w:p w14:paraId="269A03CF" w14:textId="77777777" w:rsidR="002C0FD9" w:rsidRPr="00CA25CF" w:rsidRDefault="002C0FD9" w:rsidP="00CA25CF">
            <w:pPr>
              <w:rPr>
                <w:rFonts w:cs="Arial"/>
                <w:color w:val="FF0000"/>
                <w:sz w:val="21"/>
                <w:szCs w:val="21"/>
              </w:rPr>
            </w:pPr>
          </w:p>
        </w:tc>
        <w:tc>
          <w:tcPr>
            <w:tcW w:w="217" w:type="dxa"/>
          </w:tcPr>
          <w:p w14:paraId="7D90D8E3" w14:textId="77777777" w:rsidR="002C0FD9" w:rsidRPr="00CA25CF" w:rsidRDefault="002C0FD9" w:rsidP="00CA25CF">
            <w:pPr>
              <w:rPr>
                <w:rFonts w:cs="Arial"/>
                <w:color w:val="FF0000"/>
                <w:sz w:val="21"/>
                <w:szCs w:val="21"/>
              </w:rPr>
            </w:pPr>
          </w:p>
        </w:tc>
        <w:tc>
          <w:tcPr>
            <w:tcW w:w="217" w:type="dxa"/>
          </w:tcPr>
          <w:p w14:paraId="38DD819D" w14:textId="77777777" w:rsidR="002C0FD9" w:rsidRPr="00CA25CF" w:rsidRDefault="002C0FD9" w:rsidP="00CA25CF">
            <w:pPr>
              <w:rPr>
                <w:rFonts w:cs="Arial"/>
                <w:color w:val="FF0000"/>
                <w:sz w:val="21"/>
                <w:szCs w:val="21"/>
              </w:rPr>
            </w:pPr>
          </w:p>
        </w:tc>
      </w:tr>
      <w:tr w:rsidR="002C0FD9" w:rsidRPr="00A16219" w14:paraId="7AEC500C" w14:textId="77777777" w:rsidTr="002C0FD9">
        <w:trPr>
          <w:trHeight w:val="635"/>
        </w:trPr>
        <w:tc>
          <w:tcPr>
            <w:tcW w:w="515" w:type="dxa"/>
          </w:tcPr>
          <w:p w14:paraId="4984DACA" w14:textId="77777777" w:rsidR="002C0FD9" w:rsidRPr="00CA25CF" w:rsidRDefault="002C0FD9" w:rsidP="00CA25CF">
            <w:pPr>
              <w:rPr>
                <w:rFonts w:cs="Arial"/>
                <w:color w:val="FF0000"/>
                <w:sz w:val="21"/>
                <w:szCs w:val="21"/>
              </w:rPr>
            </w:pPr>
          </w:p>
        </w:tc>
        <w:tc>
          <w:tcPr>
            <w:tcW w:w="217" w:type="dxa"/>
          </w:tcPr>
          <w:p w14:paraId="08CA5A38" w14:textId="77777777" w:rsidR="002C0FD9" w:rsidRPr="00CA25CF" w:rsidRDefault="002C0FD9" w:rsidP="00CA25CF">
            <w:pPr>
              <w:rPr>
                <w:rFonts w:cs="Arial"/>
                <w:color w:val="FF0000"/>
                <w:sz w:val="21"/>
                <w:szCs w:val="21"/>
              </w:rPr>
            </w:pPr>
          </w:p>
        </w:tc>
        <w:tc>
          <w:tcPr>
            <w:tcW w:w="217" w:type="dxa"/>
          </w:tcPr>
          <w:p w14:paraId="55F3B9DC" w14:textId="77777777" w:rsidR="002C0FD9" w:rsidRPr="00CA25CF" w:rsidRDefault="002C0FD9" w:rsidP="00CA25CF">
            <w:pPr>
              <w:rPr>
                <w:rFonts w:cs="Arial"/>
                <w:color w:val="FF0000"/>
                <w:sz w:val="21"/>
                <w:szCs w:val="21"/>
              </w:rPr>
            </w:pPr>
          </w:p>
        </w:tc>
        <w:tc>
          <w:tcPr>
            <w:tcW w:w="217" w:type="dxa"/>
          </w:tcPr>
          <w:p w14:paraId="022E0A83" w14:textId="77777777" w:rsidR="002C0FD9" w:rsidRPr="00CA25CF" w:rsidRDefault="002C0FD9" w:rsidP="00CA25CF">
            <w:pPr>
              <w:rPr>
                <w:rFonts w:cs="Arial"/>
                <w:color w:val="FF0000"/>
                <w:sz w:val="21"/>
                <w:szCs w:val="21"/>
              </w:rPr>
            </w:pPr>
          </w:p>
        </w:tc>
        <w:tc>
          <w:tcPr>
            <w:tcW w:w="217" w:type="dxa"/>
          </w:tcPr>
          <w:p w14:paraId="3B55F20C" w14:textId="77777777" w:rsidR="002C0FD9" w:rsidRPr="00CA25CF" w:rsidRDefault="002C0FD9" w:rsidP="00CA25CF">
            <w:pPr>
              <w:rPr>
                <w:rFonts w:cs="Arial"/>
                <w:color w:val="FF0000"/>
                <w:sz w:val="21"/>
                <w:szCs w:val="21"/>
              </w:rPr>
            </w:pPr>
          </w:p>
        </w:tc>
        <w:tc>
          <w:tcPr>
            <w:tcW w:w="217" w:type="dxa"/>
          </w:tcPr>
          <w:p w14:paraId="6B338183" w14:textId="77777777" w:rsidR="002C0FD9" w:rsidRPr="00CA25CF" w:rsidRDefault="002C0FD9" w:rsidP="00CA25CF">
            <w:pPr>
              <w:rPr>
                <w:rFonts w:cs="Arial"/>
                <w:color w:val="FF0000"/>
                <w:sz w:val="21"/>
                <w:szCs w:val="21"/>
              </w:rPr>
            </w:pPr>
          </w:p>
        </w:tc>
        <w:tc>
          <w:tcPr>
            <w:tcW w:w="217" w:type="dxa"/>
          </w:tcPr>
          <w:p w14:paraId="31FC768D" w14:textId="77777777" w:rsidR="002C0FD9" w:rsidRPr="00CA25CF" w:rsidRDefault="002C0FD9" w:rsidP="00CA25CF">
            <w:pPr>
              <w:rPr>
                <w:rFonts w:cs="Arial"/>
                <w:color w:val="FF0000"/>
                <w:sz w:val="21"/>
                <w:szCs w:val="21"/>
              </w:rPr>
            </w:pPr>
          </w:p>
        </w:tc>
        <w:tc>
          <w:tcPr>
            <w:tcW w:w="217" w:type="dxa"/>
          </w:tcPr>
          <w:p w14:paraId="3D5CD1B8" w14:textId="77777777" w:rsidR="002C0FD9" w:rsidRPr="00CA25CF" w:rsidRDefault="002C0FD9" w:rsidP="00CA25CF">
            <w:pPr>
              <w:rPr>
                <w:rFonts w:cs="Arial"/>
                <w:color w:val="FF0000"/>
                <w:sz w:val="21"/>
                <w:szCs w:val="21"/>
              </w:rPr>
            </w:pPr>
          </w:p>
        </w:tc>
        <w:tc>
          <w:tcPr>
            <w:tcW w:w="217" w:type="dxa"/>
          </w:tcPr>
          <w:p w14:paraId="2CE65929" w14:textId="77777777" w:rsidR="002C0FD9" w:rsidRPr="00CA25CF" w:rsidRDefault="002C0FD9" w:rsidP="00CA25CF">
            <w:pPr>
              <w:rPr>
                <w:rFonts w:cs="Arial"/>
                <w:color w:val="FF0000"/>
                <w:sz w:val="21"/>
                <w:szCs w:val="21"/>
              </w:rPr>
            </w:pPr>
          </w:p>
        </w:tc>
        <w:tc>
          <w:tcPr>
            <w:tcW w:w="217" w:type="dxa"/>
          </w:tcPr>
          <w:p w14:paraId="1BF74127" w14:textId="77777777" w:rsidR="002C0FD9" w:rsidRPr="00CA25CF" w:rsidRDefault="002C0FD9" w:rsidP="00CA25CF">
            <w:pPr>
              <w:rPr>
                <w:rFonts w:cs="Arial"/>
                <w:color w:val="FF0000"/>
                <w:sz w:val="21"/>
                <w:szCs w:val="21"/>
              </w:rPr>
            </w:pPr>
          </w:p>
        </w:tc>
        <w:tc>
          <w:tcPr>
            <w:tcW w:w="217" w:type="dxa"/>
          </w:tcPr>
          <w:p w14:paraId="778B450A" w14:textId="77777777" w:rsidR="002C0FD9" w:rsidRPr="00CA25CF" w:rsidRDefault="002C0FD9" w:rsidP="00CA25CF">
            <w:pPr>
              <w:rPr>
                <w:rFonts w:cs="Arial"/>
                <w:color w:val="FF0000"/>
                <w:sz w:val="21"/>
                <w:szCs w:val="21"/>
              </w:rPr>
            </w:pPr>
          </w:p>
        </w:tc>
        <w:tc>
          <w:tcPr>
            <w:tcW w:w="217" w:type="dxa"/>
          </w:tcPr>
          <w:p w14:paraId="34E4829A" w14:textId="77777777" w:rsidR="002C0FD9" w:rsidRPr="00CA25CF" w:rsidRDefault="002C0FD9" w:rsidP="00CA25CF">
            <w:pPr>
              <w:rPr>
                <w:rFonts w:cs="Arial"/>
                <w:color w:val="FF0000"/>
                <w:sz w:val="21"/>
                <w:szCs w:val="21"/>
              </w:rPr>
            </w:pPr>
          </w:p>
        </w:tc>
        <w:tc>
          <w:tcPr>
            <w:tcW w:w="217" w:type="dxa"/>
          </w:tcPr>
          <w:p w14:paraId="3D730C10" w14:textId="77777777" w:rsidR="002C0FD9" w:rsidRPr="00CA25CF" w:rsidRDefault="002C0FD9" w:rsidP="00CA25CF">
            <w:pPr>
              <w:rPr>
                <w:rFonts w:cs="Arial"/>
                <w:color w:val="FF0000"/>
                <w:sz w:val="21"/>
                <w:szCs w:val="21"/>
              </w:rPr>
            </w:pPr>
          </w:p>
        </w:tc>
        <w:tc>
          <w:tcPr>
            <w:tcW w:w="217" w:type="dxa"/>
          </w:tcPr>
          <w:p w14:paraId="01A28B8C" w14:textId="77777777" w:rsidR="002C0FD9" w:rsidRPr="00CA25CF" w:rsidRDefault="002C0FD9" w:rsidP="00CA25CF">
            <w:pPr>
              <w:rPr>
                <w:rFonts w:cs="Arial"/>
                <w:color w:val="FF0000"/>
                <w:sz w:val="21"/>
                <w:szCs w:val="21"/>
              </w:rPr>
            </w:pPr>
          </w:p>
        </w:tc>
        <w:tc>
          <w:tcPr>
            <w:tcW w:w="217" w:type="dxa"/>
          </w:tcPr>
          <w:p w14:paraId="53D02325" w14:textId="77777777" w:rsidR="002C0FD9" w:rsidRPr="00CA25CF" w:rsidRDefault="002C0FD9" w:rsidP="00CA25CF">
            <w:pPr>
              <w:rPr>
                <w:rFonts w:cs="Arial"/>
                <w:color w:val="FF0000"/>
                <w:sz w:val="21"/>
                <w:szCs w:val="21"/>
              </w:rPr>
            </w:pPr>
          </w:p>
        </w:tc>
        <w:tc>
          <w:tcPr>
            <w:tcW w:w="217" w:type="dxa"/>
          </w:tcPr>
          <w:p w14:paraId="72E11F80" w14:textId="77777777" w:rsidR="002C0FD9" w:rsidRPr="00CA25CF" w:rsidRDefault="002C0FD9" w:rsidP="00CA25CF">
            <w:pPr>
              <w:rPr>
                <w:rFonts w:cs="Arial"/>
                <w:color w:val="FF0000"/>
                <w:sz w:val="21"/>
                <w:szCs w:val="21"/>
              </w:rPr>
            </w:pPr>
          </w:p>
        </w:tc>
        <w:tc>
          <w:tcPr>
            <w:tcW w:w="217" w:type="dxa"/>
          </w:tcPr>
          <w:p w14:paraId="41826DBB" w14:textId="77777777" w:rsidR="002C0FD9" w:rsidRPr="00CA25CF" w:rsidRDefault="002C0FD9" w:rsidP="00CA25CF">
            <w:pPr>
              <w:rPr>
                <w:rFonts w:cs="Arial"/>
                <w:color w:val="FF0000"/>
                <w:sz w:val="21"/>
                <w:szCs w:val="21"/>
              </w:rPr>
            </w:pPr>
          </w:p>
        </w:tc>
        <w:tc>
          <w:tcPr>
            <w:tcW w:w="217" w:type="dxa"/>
          </w:tcPr>
          <w:p w14:paraId="43B87EEB" w14:textId="77777777" w:rsidR="002C0FD9" w:rsidRPr="00CA25CF" w:rsidRDefault="002C0FD9" w:rsidP="00CA25CF">
            <w:pPr>
              <w:rPr>
                <w:rFonts w:cs="Arial"/>
                <w:color w:val="FF0000"/>
                <w:sz w:val="21"/>
                <w:szCs w:val="21"/>
              </w:rPr>
            </w:pPr>
          </w:p>
        </w:tc>
        <w:tc>
          <w:tcPr>
            <w:tcW w:w="217" w:type="dxa"/>
          </w:tcPr>
          <w:p w14:paraId="17E9CB00" w14:textId="77777777" w:rsidR="002C0FD9" w:rsidRPr="00CA25CF" w:rsidRDefault="002C0FD9" w:rsidP="00CA25CF">
            <w:pPr>
              <w:rPr>
                <w:rFonts w:cs="Arial"/>
                <w:color w:val="FF0000"/>
                <w:sz w:val="21"/>
                <w:szCs w:val="21"/>
              </w:rPr>
            </w:pPr>
          </w:p>
        </w:tc>
        <w:tc>
          <w:tcPr>
            <w:tcW w:w="217" w:type="dxa"/>
          </w:tcPr>
          <w:p w14:paraId="7F1D795E" w14:textId="77777777" w:rsidR="002C0FD9" w:rsidRPr="00CA25CF" w:rsidRDefault="002C0FD9" w:rsidP="00CA25CF">
            <w:pPr>
              <w:rPr>
                <w:rFonts w:cs="Arial"/>
                <w:color w:val="FF0000"/>
                <w:sz w:val="21"/>
                <w:szCs w:val="21"/>
              </w:rPr>
            </w:pPr>
          </w:p>
        </w:tc>
        <w:tc>
          <w:tcPr>
            <w:tcW w:w="217" w:type="dxa"/>
          </w:tcPr>
          <w:p w14:paraId="28C5F819" w14:textId="77777777" w:rsidR="002C0FD9" w:rsidRPr="00CA25CF" w:rsidRDefault="002C0FD9" w:rsidP="00CA25CF">
            <w:pPr>
              <w:rPr>
                <w:rFonts w:cs="Arial"/>
                <w:color w:val="FF0000"/>
                <w:sz w:val="21"/>
                <w:szCs w:val="21"/>
              </w:rPr>
            </w:pPr>
          </w:p>
        </w:tc>
        <w:tc>
          <w:tcPr>
            <w:tcW w:w="217" w:type="dxa"/>
          </w:tcPr>
          <w:p w14:paraId="4DCB8E9A" w14:textId="77777777" w:rsidR="002C0FD9" w:rsidRPr="00CA25CF" w:rsidRDefault="002C0FD9" w:rsidP="00CA25CF">
            <w:pPr>
              <w:rPr>
                <w:rFonts w:cs="Arial"/>
                <w:color w:val="FF0000"/>
                <w:sz w:val="21"/>
                <w:szCs w:val="21"/>
              </w:rPr>
            </w:pPr>
          </w:p>
        </w:tc>
        <w:tc>
          <w:tcPr>
            <w:tcW w:w="217" w:type="dxa"/>
          </w:tcPr>
          <w:p w14:paraId="152A9AA4" w14:textId="77777777" w:rsidR="002C0FD9" w:rsidRPr="00CA25CF" w:rsidRDefault="002C0FD9" w:rsidP="00CA25CF">
            <w:pPr>
              <w:rPr>
                <w:rFonts w:cs="Arial"/>
                <w:color w:val="FF0000"/>
                <w:sz w:val="21"/>
                <w:szCs w:val="21"/>
              </w:rPr>
            </w:pPr>
          </w:p>
        </w:tc>
        <w:tc>
          <w:tcPr>
            <w:tcW w:w="217" w:type="dxa"/>
          </w:tcPr>
          <w:p w14:paraId="1E7B4040" w14:textId="77777777" w:rsidR="002C0FD9" w:rsidRPr="00CA25CF" w:rsidRDefault="002C0FD9" w:rsidP="00CA25CF">
            <w:pPr>
              <w:rPr>
                <w:rFonts w:cs="Arial"/>
                <w:color w:val="FF0000"/>
                <w:sz w:val="21"/>
                <w:szCs w:val="21"/>
              </w:rPr>
            </w:pPr>
          </w:p>
        </w:tc>
        <w:tc>
          <w:tcPr>
            <w:tcW w:w="217" w:type="dxa"/>
          </w:tcPr>
          <w:p w14:paraId="795C9357" w14:textId="77777777" w:rsidR="002C0FD9" w:rsidRPr="00CA25CF" w:rsidRDefault="002C0FD9" w:rsidP="00CA25CF">
            <w:pPr>
              <w:rPr>
                <w:rFonts w:cs="Arial"/>
                <w:color w:val="FF0000"/>
                <w:sz w:val="21"/>
                <w:szCs w:val="21"/>
              </w:rPr>
            </w:pPr>
          </w:p>
        </w:tc>
        <w:tc>
          <w:tcPr>
            <w:tcW w:w="217" w:type="dxa"/>
          </w:tcPr>
          <w:p w14:paraId="6F8D645E" w14:textId="77777777" w:rsidR="002C0FD9" w:rsidRPr="00CA25CF" w:rsidRDefault="002C0FD9" w:rsidP="00CA25CF">
            <w:pPr>
              <w:rPr>
                <w:rFonts w:cs="Arial"/>
                <w:color w:val="FF0000"/>
                <w:sz w:val="21"/>
                <w:szCs w:val="21"/>
              </w:rPr>
            </w:pPr>
          </w:p>
        </w:tc>
        <w:tc>
          <w:tcPr>
            <w:tcW w:w="217" w:type="dxa"/>
          </w:tcPr>
          <w:p w14:paraId="1E505C6B" w14:textId="77777777" w:rsidR="002C0FD9" w:rsidRPr="00CA25CF" w:rsidRDefault="002C0FD9" w:rsidP="00CA25CF">
            <w:pPr>
              <w:rPr>
                <w:rFonts w:cs="Arial"/>
                <w:color w:val="FF0000"/>
                <w:sz w:val="21"/>
                <w:szCs w:val="21"/>
              </w:rPr>
            </w:pPr>
          </w:p>
        </w:tc>
        <w:tc>
          <w:tcPr>
            <w:tcW w:w="217" w:type="dxa"/>
          </w:tcPr>
          <w:p w14:paraId="0BF62880" w14:textId="77777777" w:rsidR="002C0FD9" w:rsidRPr="00CA25CF" w:rsidRDefault="002C0FD9" w:rsidP="00CA25CF">
            <w:pPr>
              <w:rPr>
                <w:rFonts w:cs="Arial"/>
                <w:color w:val="FF0000"/>
                <w:sz w:val="21"/>
                <w:szCs w:val="21"/>
              </w:rPr>
            </w:pPr>
          </w:p>
        </w:tc>
        <w:tc>
          <w:tcPr>
            <w:tcW w:w="217" w:type="dxa"/>
          </w:tcPr>
          <w:p w14:paraId="7D7C6FBE" w14:textId="77777777" w:rsidR="002C0FD9" w:rsidRPr="00CA25CF" w:rsidRDefault="002C0FD9" w:rsidP="00CA25CF">
            <w:pPr>
              <w:rPr>
                <w:rFonts w:cs="Arial"/>
                <w:color w:val="FF0000"/>
                <w:sz w:val="21"/>
                <w:szCs w:val="21"/>
              </w:rPr>
            </w:pPr>
          </w:p>
        </w:tc>
        <w:tc>
          <w:tcPr>
            <w:tcW w:w="217" w:type="dxa"/>
          </w:tcPr>
          <w:p w14:paraId="29D7C389" w14:textId="77777777" w:rsidR="002C0FD9" w:rsidRPr="00CA25CF" w:rsidRDefault="002C0FD9" w:rsidP="00CA25CF">
            <w:pPr>
              <w:rPr>
                <w:rFonts w:cs="Arial"/>
                <w:color w:val="FF0000"/>
                <w:sz w:val="21"/>
                <w:szCs w:val="21"/>
              </w:rPr>
            </w:pPr>
          </w:p>
        </w:tc>
        <w:tc>
          <w:tcPr>
            <w:tcW w:w="217" w:type="dxa"/>
          </w:tcPr>
          <w:p w14:paraId="55752DD1" w14:textId="77777777" w:rsidR="002C0FD9" w:rsidRPr="00CA25CF" w:rsidRDefault="002C0FD9" w:rsidP="00CA25CF">
            <w:pPr>
              <w:rPr>
                <w:rFonts w:cs="Arial"/>
                <w:color w:val="FF0000"/>
                <w:sz w:val="21"/>
                <w:szCs w:val="21"/>
              </w:rPr>
            </w:pPr>
          </w:p>
        </w:tc>
        <w:tc>
          <w:tcPr>
            <w:tcW w:w="217" w:type="dxa"/>
          </w:tcPr>
          <w:p w14:paraId="0B6B9CF8" w14:textId="77777777" w:rsidR="002C0FD9" w:rsidRPr="00CA25CF" w:rsidRDefault="002C0FD9" w:rsidP="00CA25CF">
            <w:pPr>
              <w:rPr>
                <w:rFonts w:cs="Arial"/>
                <w:color w:val="FF0000"/>
                <w:sz w:val="21"/>
                <w:szCs w:val="21"/>
              </w:rPr>
            </w:pPr>
          </w:p>
        </w:tc>
        <w:tc>
          <w:tcPr>
            <w:tcW w:w="217" w:type="dxa"/>
          </w:tcPr>
          <w:p w14:paraId="3A719B1A" w14:textId="77777777" w:rsidR="002C0FD9" w:rsidRPr="00CA25CF" w:rsidRDefault="002C0FD9" w:rsidP="00CA25CF">
            <w:pPr>
              <w:rPr>
                <w:rFonts w:cs="Arial"/>
                <w:color w:val="FF0000"/>
                <w:sz w:val="21"/>
                <w:szCs w:val="21"/>
              </w:rPr>
            </w:pPr>
          </w:p>
        </w:tc>
        <w:tc>
          <w:tcPr>
            <w:tcW w:w="217" w:type="dxa"/>
          </w:tcPr>
          <w:p w14:paraId="33581973" w14:textId="77777777" w:rsidR="002C0FD9" w:rsidRPr="00CA25CF" w:rsidRDefault="002C0FD9" w:rsidP="00CA25CF">
            <w:pPr>
              <w:rPr>
                <w:rFonts w:cs="Arial"/>
                <w:color w:val="FF0000"/>
                <w:sz w:val="21"/>
                <w:szCs w:val="21"/>
              </w:rPr>
            </w:pPr>
          </w:p>
        </w:tc>
        <w:tc>
          <w:tcPr>
            <w:tcW w:w="217" w:type="dxa"/>
          </w:tcPr>
          <w:p w14:paraId="55D524EC" w14:textId="77777777" w:rsidR="002C0FD9" w:rsidRPr="00CA25CF" w:rsidRDefault="002C0FD9" w:rsidP="00CA25CF">
            <w:pPr>
              <w:rPr>
                <w:rFonts w:cs="Arial"/>
                <w:color w:val="FF0000"/>
                <w:sz w:val="21"/>
                <w:szCs w:val="21"/>
              </w:rPr>
            </w:pPr>
          </w:p>
        </w:tc>
        <w:tc>
          <w:tcPr>
            <w:tcW w:w="217" w:type="dxa"/>
          </w:tcPr>
          <w:p w14:paraId="6CF64AE6" w14:textId="77777777" w:rsidR="002C0FD9" w:rsidRPr="00CA25CF" w:rsidRDefault="002C0FD9" w:rsidP="00CA25CF">
            <w:pPr>
              <w:rPr>
                <w:rFonts w:cs="Arial"/>
                <w:color w:val="FF0000"/>
                <w:sz w:val="21"/>
                <w:szCs w:val="21"/>
              </w:rPr>
            </w:pPr>
          </w:p>
        </w:tc>
        <w:tc>
          <w:tcPr>
            <w:tcW w:w="217" w:type="dxa"/>
          </w:tcPr>
          <w:p w14:paraId="3FA4393D" w14:textId="77777777" w:rsidR="002C0FD9" w:rsidRPr="00CA25CF" w:rsidRDefault="002C0FD9" w:rsidP="00CA25CF">
            <w:pPr>
              <w:rPr>
                <w:rFonts w:cs="Arial"/>
                <w:color w:val="FF0000"/>
                <w:sz w:val="21"/>
                <w:szCs w:val="21"/>
              </w:rPr>
            </w:pPr>
          </w:p>
        </w:tc>
        <w:tc>
          <w:tcPr>
            <w:tcW w:w="217" w:type="dxa"/>
          </w:tcPr>
          <w:p w14:paraId="1A34B15A" w14:textId="77777777" w:rsidR="002C0FD9" w:rsidRPr="00CA25CF" w:rsidRDefault="002C0FD9" w:rsidP="00CA25CF">
            <w:pPr>
              <w:rPr>
                <w:rFonts w:cs="Arial"/>
                <w:color w:val="FF0000"/>
                <w:sz w:val="21"/>
                <w:szCs w:val="21"/>
              </w:rPr>
            </w:pPr>
          </w:p>
        </w:tc>
        <w:tc>
          <w:tcPr>
            <w:tcW w:w="217" w:type="dxa"/>
          </w:tcPr>
          <w:p w14:paraId="72849B84" w14:textId="77777777" w:rsidR="002C0FD9" w:rsidRPr="00CA25CF" w:rsidRDefault="002C0FD9" w:rsidP="00CA25CF">
            <w:pPr>
              <w:rPr>
                <w:rFonts w:cs="Arial"/>
                <w:color w:val="FF0000"/>
                <w:sz w:val="21"/>
                <w:szCs w:val="21"/>
              </w:rPr>
            </w:pPr>
          </w:p>
        </w:tc>
        <w:tc>
          <w:tcPr>
            <w:tcW w:w="217" w:type="dxa"/>
          </w:tcPr>
          <w:p w14:paraId="644EFE47" w14:textId="77777777" w:rsidR="002C0FD9" w:rsidRPr="00CA25CF" w:rsidRDefault="002C0FD9" w:rsidP="00CA25CF">
            <w:pPr>
              <w:rPr>
                <w:rFonts w:cs="Arial"/>
                <w:color w:val="FF0000"/>
                <w:sz w:val="21"/>
                <w:szCs w:val="21"/>
              </w:rPr>
            </w:pPr>
          </w:p>
        </w:tc>
        <w:tc>
          <w:tcPr>
            <w:tcW w:w="217" w:type="dxa"/>
          </w:tcPr>
          <w:p w14:paraId="457DD637" w14:textId="77777777" w:rsidR="002C0FD9" w:rsidRPr="00CA25CF" w:rsidRDefault="002C0FD9" w:rsidP="00CA25CF">
            <w:pPr>
              <w:rPr>
                <w:rFonts w:cs="Arial"/>
                <w:color w:val="FF0000"/>
                <w:sz w:val="21"/>
                <w:szCs w:val="21"/>
              </w:rPr>
            </w:pPr>
          </w:p>
        </w:tc>
        <w:tc>
          <w:tcPr>
            <w:tcW w:w="217" w:type="dxa"/>
          </w:tcPr>
          <w:p w14:paraId="078FCF74" w14:textId="77777777" w:rsidR="002C0FD9" w:rsidRPr="00CA25CF" w:rsidRDefault="002C0FD9" w:rsidP="00CA25CF">
            <w:pPr>
              <w:rPr>
                <w:rFonts w:cs="Arial"/>
                <w:color w:val="FF0000"/>
                <w:sz w:val="21"/>
                <w:szCs w:val="21"/>
              </w:rPr>
            </w:pPr>
          </w:p>
        </w:tc>
        <w:tc>
          <w:tcPr>
            <w:tcW w:w="217" w:type="dxa"/>
          </w:tcPr>
          <w:p w14:paraId="331655F4" w14:textId="77777777" w:rsidR="002C0FD9" w:rsidRPr="00CA25CF" w:rsidRDefault="002C0FD9" w:rsidP="00CA25CF">
            <w:pPr>
              <w:rPr>
                <w:rFonts w:cs="Arial"/>
                <w:color w:val="FF0000"/>
                <w:sz w:val="21"/>
                <w:szCs w:val="21"/>
              </w:rPr>
            </w:pPr>
          </w:p>
        </w:tc>
      </w:tr>
      <w:tr w:rsidR="002C0FD9" w:rsidRPr="00A16219" w14:paraId="595F66EF" w14:textId="77777777" w:rsidTr="002C0FD9">
        <w:trPr>
          <w:trHeight w:val="635"/>
        </w:trPr>
        <w:tc>
          <w:tcPr>
            <w:tcW w:w="515" w:type="dxa"/>
          </w:tcPr>
          <w:p w14:paraId="56C7D777" w14:textId="77777777" w:rsidR="002C0FD9" w:rsidRPr="00CA25CF" w:rsidRDefault="002C0FD9" w:rsidP="00CA25CF">
            <w:pPr>
              <w:rPr>
                <w:rFonts w:cs="Arial"/>
                <w:color w:val="FF0000"/>
                <w:sz w:val="21"/>
                <w:szCs w:val="21"/>
              </w:rPr>
            </w:pPr>
          </w:p>
        </w:tc>
        <w:tc>
          <w:tcPr>
            <w:tcW w:w="217" w:type="dxa"/>
          </w:tcPr>
          <w:p w14:paraId="4BA1DADA" w14:textId="77777777" w:rsidR="002C0FD9" w:rsidRPr="00CA25CF" w:rsidRDefault="002C0FD9" w:rsidP="00CA25CF">
            <w:pPr>
              <w:rPr>
                <w:rFonts w:cs="Arial"/>
                <w:color w:val="FF0000"/>
                <w:sz w:val="21"/>
                <w:szCs w:val="21"/>
              </w:rPr>
            </w:pPr>
          </w:p>
        </w:tc>
        <w:tc>
          <w:tcPr>
            <w:tcW w:w="217" w:type="dxa"/>
          </w:tcPr>
          <w:p w14:paraId="1B55C93F" w14:textId="77777777" w:rsidR="002C0FD9" w:rsidRPr="00CA25CF" w:rsidRDefault="002C0FD9" w:rsidP="00CA25CF">
            <w:pPr>
              <w:rPr>
                <w:rFonts w:cs="Arial"/>
                <w:color w:val="FF0000"/>
                <w:sz w:val="21"/>
                <w:szCs w:val="21"/>
              </w:rPr>
            </w:pPr>
          </w:p>
        </w:tc>
        <w:tc>
          <w:tcPr>
            <w:tcW w:w="217" w:type="dxa"/>
          </w:tcPr>
          <w:p w14:paraId="45162684" w14:textId="77777777" w:rsidR="002C0FD9" w:rsidRPr="00CA25CF" w:rsidRDefault="002C0FD9" w:rsidP="00CA25CF">
            <w:pPr>
              <w:rPr>
                <w:rFonts w:cs="Arial"/>
                <w:color w:val="FF0000"/>
                <w:sz w:val="21"/>
                <w:szCs w:val="21"/>
              </w:rPr>
            </w:pPr>
          </w:p>
        </w:tc>
        <w:tc>
          <w:tcPr>
            <w:tcW w:w="217" w:type="dxa"/>
          </w:tcPr>
          <w:p w14:paraId="7DD06B5E" w14:textId="77777777" w:rsidR="002C0FD9" w:rsidRPr="00CA25CF" w:rsidRDefault="002C0FD9" w:rsidP="00CA25CF">
            <w:pPr>
              <w:rPr>
                <w:rFonts w:cs="Arial"/>
                <w:color w:val="FF0000"/>
                <w:sz w:val="21"/>
                <w:szCs w:val="21"/>
              </w:rPr>
            </w:pPr>
          </w:p>
        </w:tc>
        <w:tc>
          <w:tcPr>
            <w:tcW w:w="217" w:type="dxa"/>
          </w:tcPr>
          <w:p w14:paraId="3FB3F80C" w14:textId="77777777" w:rsidR="002C0FD9" w:rsidRPr="00CA25CF" w:rsidRDefault="002C0FD9" w:rsidP="00CA25CF">
            <w:pPr>
              <w:rPr>
                <w:rFonts w:cs="Arial"/>
                <w:color w:val="FF0000"/>
                <w:sz w:val="21"/>
                <w:szCs w:val="21"/>
              </w:rPr>
            </w:pPr>
          </w:p>
        </w:tc>
        <w:tc>
          <w:tcPr>
            <w:tcW w:w="217" w:type="dxa"/>
          </w:tcPr>
          <w:p w14:paraId="763FCAC9" w14:textId="77777777" w:rsidR="002C0FD9" w:rsidRPr="00CA25CF" w:rsidRDefault="002C0FD9" w:rsidP="00CA25CF">
            <w:pPr>
              <w:rPr>
                <w:rFonts w:cs="Arial"/>
                <w:color w:val="FF0000"/>
                <w:sz w:val="21"/>
                <w:szCs w:val="21"/>
              </w:rPr>
            </w:pPr>
          </w:p>
        </w:tc>
        <w:tc>
          <w:tcPr>
            <w:tcW w:w="217" w:type="dxa"/>
          </w:tcPr>
          <w:p w14:paraId="0853667A" w14:textId="77777777" w:rsidR="002C0FD9" w:rsidRPr="00CA25CF" w:rsidRDefault="002C0FD9" w:rsidP="00CA25CF">
            <w:pPr>
              <w:rPr>
                <w:rFonts w:cs="Arial"/>
                <w:color w:val="FF0000"/>
                <w:sz w:val="21"/>
                <w:szCs w:val="21"/>
              </w:rPr>
            </w:pPr>
          </w:p>
        </w:tc>
        <w:tc>
          <w:tcPr>
            <w:tcW w:w="217" w:type="dxa"/>
          </w:tcPr>
          <w:p w14:paraId="028F078D" w14:textId="77777777" w:rsidR="002C0FD9" w:rsidRPr="00CA25CF" w:rsidRDefault="002C0FD9" w:rsidP="00CA25CF">
            <w:pPr>
              <w:rPr>
                <w:rFonts w:cs="Arial"/>
                <w:color w:val="FF0000"/>
                <w:sz w:val="21"/>
                <w:szCs w:val="21"/>
              </w:rPr>
            </w:pPr>
          </w:p>
        </w:tc>
        <w:tc>
          <w:tcPr>
            <w:tcW w:w="217" w:type="dxa"/>
          </w:tcPr>
          <w:p w14:paraId="44216CA9" w14:textId="77777777" w:rsidR="002C0FD9" w:rsidRPr="00CA25CF" w:rsidRDefault="002C0FD9" w:rsidP="00CA25CF">
            <w:pPr>
              <w:rPr>
                <w:rFonts w:cs="Arial"/>
                <w:color w:val="FF0000"/>
                <w:sz w:val="21"/>
                <w:szCs w:val="21"/>
              </w:rPr>
            </w:pPr>
          </w:p>
        </w:tc>
        <w:tc>
          <w:tcPr>
            <w:tcW w:w="217" w:type="dxa"/>
          </w:tcPr>
          <w:p w14:paraId="51527154" w14:textId="77777777" w:rsidR="002C0FD9" w:rsidRPr="00CA25CF" w:rsidRDefault="002C0FD9" w:rsidP="00CA25CF">
            <w:pPr>
              <w:rPr>
                <w:rFonts w:cs="Arial"/>
                <w:color w:val="FF0000"/>
                <w:sz w:val="21"/>
                <w:szCs w:val="21"/>
              </w:rPr>
            </w:pPr>
          </w:p>
        </w:tc>
        <w:tc>
          <w:tcPr>
            <w:tcW w:w="217" w:type="dxa"/>
          </w:tcPr>
          <w:p w14:paraId="62D27D81" w14:textId="77777777" w:rsidR="002C0FD9" w:rsidRPr="00CA25CF" w:rsidRDefault="002C0FD9" w:rsidP="00CA25CF">
            <w:pPr>
              <w:rPr>
                <w:rFonts w:cs="Arial"/>
                <w:color w:val="FF0000"/>
                <w:sz w:val="21"/>
                <w:szCs w:val="21"/>
              </w:rPr>
            </w:pPr>
          </w:p>
        </w:tc>
        <w:tc>
          <w:tcPr>
            <w:tcW w:w="217" w:type="dxa"/>
          </w:tcPr>
          <w:p w14:paraId="40259D79" w14:textId="77777777" w:rsidR="002C0FD9" w:rsidRPr="00CA25CF" w:rsidRDefault="002C0FD9" w:rsidP="00CA25CF">
            <w:pPr>
              <w:rPr>
                <w:rFonts w:cs="Arial"/>
                <w:color w:val="FF0000"/>
                <w:sz w:val="21"/>
                <w:szCs w:val="21"/>
              </w:rPr>
            </w:pPr>
          </w:p>
        </w:tc>
        <w:tc>
          <w:tcPr>
            <w:tcW w:w="217" w:type="dxa"/>
          </w:tcPr>
          <w:p w14:paraId="7E16FC1A" w14:textId="77777777" w:rsidR="002C0FD9" w:rsidRPr="00CA25CF" w:rsidRDefault="002C0FD9" w:rsidP="00CA25CF">
            <w:pPr>
              <w:rPr>
                <w:rFonts w:cs="Arial"/>
                <w:color w:val="FF0000"/>
                <w:sz w:val="21"/>
                <w:szCs w:val="21"/>
              </w:rPr>
            </w:pPr>
          </w:p>
        </w:tc>
        <w:tc>
          <w:tcPr>
            <w:tcW w:w="217" w:type="dxa"/>
          </w:tcPr>
          <w:p w14:paraId="52D266C8" w14:textId="77777777" w:rsidR="002C0FD9" w:rsidRPr="00CA25CF" w:rsidRDefault="002C0FD9" w:rsidP="00CA25CF">
            <w:pPr>
              <w:rPr>
                <w:rFonts w:cs="Arial"/>
                <w:color w:val="FF0000"/>
                <w:sz w:val="21"/>
                <w:szCs w:val="21"/>
              </w:rPr>
            </w:pPr>
          </w:p>
        </w:tc>
        <w:tc>
          <w:tcPr>
            <w:tcW w:w="217" w:type="dxa"/>
          </w:tcPr>
          <w:p w14:paraId="6CBDF1BA" w14:textId="77777777" w:rsidR="002C0FD9" w:rsidRPr="00CA25CF" w:rsidRDefault="002C0FD9" w:rsidP="00CA25CF">
            <w:pPr>
              <w:rPr>
                <w:rFonts w:cs="Arial"/>
                <w:color w:val="FF0000"/>
                <w:sz w:val="21"/>
                <w:szCs w:val="21"/>
              </w:rPr>
            </w:pPr>
          </w:p>
        </w:tc>
        <w:tc>
          <w:tcPr>
            <w:tcW w:w="217" w:type="dxa"/>
          </w:tcPr>
          <w:p w14:paraId="4DEF5C10" w14:textId="77777777" w:rsidR="002C0FD9" w:rsidRPr="00CA25CF" w:rsidRDefault="002C0FD9" w:rsidP="00CA25CF">
            <w:pPr>
              <w:rPr>
                <w:rFonts w:cs="Arial"/>
                <w:color w:val="FF0000"/>
                <w:sz w:val="21"/>
                <w:szCs w:val="21"/>
              </w:rPr>
            </w:pPr>
          </w:p>
        </w:tc>
        <w:tc>
          <w:tcPr>
            <w:tcW w:w="217" w:type="dxa"/>
          </w:tcPr>
          <w:p w14:paraId="72ABB670" w14:textId="77777777" w:rsidR="002C0FD9" w:rsidRPr="00CA25CF" w:rsidRDefault="002C0FD9" w:rsidP="00CA25CF">
            <w:pPr>
              <w:rPr>
                <w:rFonts w:cs="Arial"/>
                <w:color w:val="FF0000"/>
                <w:sz w:val="21"/>
                <w:szCs w:val="21"/>
              </w:rPr>
            </w:pPr>
          </w:p>
        </w:tc>
        <w:tc>
          <w:tcPr>
            <w:tcW w:w="217" w:type="dxa"/>
          </w:tcPr>
          <w:p w14:paraId="4082E4B8" w14:textId="77777777" w:rsidR="002C0FD9" w:rsidRPr="00CA25CF" w:rsidRDefault="002C0FD9" w:rsidP="00CA25CF">
            <w:pPr>
              <w:rPr>
                <w:rFonts w:cs="Arial"/>
                <w:color w:val="FF0000"/>
                <w:sz w:val="21"/>
                <w:szCs w:val="21"/>
              </w:rPr>
            </w:pPr>
          </w:p>
        </w:tc>
        <w:tc>
          <w:tcPr>
            <w:tcW w:w="217" w:type="dxa"/>
          </w:tcPr>
          <w:p w14:paraId="788D2E3F" w14:textId="77777777" w:rsidR="002C0FD9" w:rsidRPr="00CA25CF" w:rsidRDefault="002C0FD9" w:rsidP="00CA25CF">
            <w:pPr>
              <w:rPr>
                <w:rFonts w:cs="Arial"/>
                <w:color w:val="FF0000"/>
                <w:sz w:val="21"/>
                <w:szCs w:val="21"/>
              </w:rPr>
            </w:pPr>
          </w:p>
        </w:tc>
        <w:tc>
          <w:tcPr>
            <w:tcW w:w="217" w:type="dxa"/>
          </w:tcPr>
          <w:p w14:paraId="5B342B0F" w14:textId="77777777" w:rsidR="002C0FD9" w:rsidRPr="00CA25CF" w:rsidRDefault="002C0FD9" w:rsidP="00CA25CF">
            <w:pPr>
              <w:rPr>
                <w:rFonts w:cs="Arial"/>
                <w:color w:val="FF0000"/>
                <w:sz w:val="21"/>
                <w:szCs w:val="21"/>
              </w:rPr>
            </w:pPr>
          </w:p>
        </w:tc>
        <w:tc>
          <w:tcPr>
            <w:tcW w:w="217" w:type="dxa"/>
          </w:tcPr>
          <w:p w14:paraId="7B64C82B" w14:textId="77777777" w:rsidR="002C0FD9" w:rsidRPr="00CA25CF" w:rsidRDefault="002C0FD9" w:rsidP="00CA25CF">
            <w:pPr>
              <w:rPr>
                <w:rFonts w:cs="Arial"/>
                <w:color w:val="FF0000"/>
                <w:sz w:val="21"/>
                <w:szCs w:val="21"/>
              </w:rPr>
            </w:pPr>
          </w:p>
        </w:tc>
        <w:tc>
          <w:tcPr>
            <w:tcW w:w="217" w:type="dxa"/>
          </w:tcPr>
          <w:p w14:paraId="64602523" w14:textId="77777777" w:rsidR="002C0FD9" w:rsidRPr="00CA25CF" w:rsidRDefault="002C0FD9" w:rsidP="00CA25CF">
            <w:pPr>
              <w:rPr>
                <w:rFonts w:cs="Arial"/>
                <w:color w:val="FF0000"/>
                <w:sz w:val="21"/>
                <w:szCs w:val="21"/>
              </w:rPr>
            </w:pPr>
          </w:p>
        </w:tc>
        <w:tc>
          <w:tcPr>
            <w:tcW w:w="217" w:type="dxa"/>
          </w:tcPr>
          <w:p w14:paraId="577D91CB" w14:textId="77777777" w:rsidR="002C0FD9" w:rsidRPr="00CA25CF" w:rsidRDefault="002C0FD9" w:rsidP="00CA25CF">
            <w:pPr>
              <w:rPr>
                <w:rFonts w:cs="Arial"/>
                <w:color w:val="FF0000"/>
                <w:sz w:val="21"/>
                <w:szCs w:val="21"/>
              </w:rPr>
            </w:pPr>
          </w:p>
        </w:tc>
        <w:tc>
          <w:tcPr>
            <w:tcW w:w="217" w:type="dxa"/>
          </w:tcPr>
          <w:p w14:paraId="074F1009" w14:textId="77777777" w:rsidR="002C0FD9" w:rsidRPr="00CA25CF" w:rsidRDefault="002C0FD9" w:rsidP="00CA25CF">
            <w:pPr>
              <w:rPr>
                <w:rFonts w:cs="Arial"/>
                <w:color w:val="FF0000"/>
                <w:sz w:val="21"/>
                <w:szCs w:val="21"/>
              </w:rPr>
            </w:pPr>
          </w:p>
        </w:tc>
        <w:tc>
          <w:tcPr>
            <w:tcW w:w="217" w:type="dxa"/>
          </w:tcPr>
          <w:p w14:paraId="7F26E356" w14:textId="77777777" w:rsidR="002C0FD9" w:rsidRPr="00CA25CF" w:rsidRDefault="002C0FD9" w:rsidP="00CA25CF">
            <w:pPr>
              <w:rPr>
                <w:rFonts w:cs="Arial"/>
                <w:color w:val="FF0000"/>
                <w:sz w:val="21"/>
                <w:szCs w:val="21"/>
              </w:rPr>
            </w:pPr>
          </w:p>
        </w:tc>
        <w:tc>
          <w:tcPr>
            <w:tcW w:w="217" w:type="dxa"/>
          </w:tcPr>
          <w:p w14:paraId="11EC51AE" w14:textId="77777777" w:rsidR="002C0FD9" w:rsidRPr="00CA25CF" w:rsidRDefault="002C0FD9" w:rsidP="00CA25CF">
            <w:pPr>
              <w:rPr>
                <w:rFonts w:cs="Arial"/>
                <w:color w:val="FF0000"/>
                <w:sz w:val="21"/>
                <w:szCs w:val="21"/>
              </w:rPr>
            </w:pPr>
          </w:p>
        </w:tc>
        <w:tc>
          <w:tcPr>
            <w:tcW w:w="217" w:type="dxa"/>
          </w:tcPr>
          <w:p w14:paraId="32064838" w14:textId="77777777" w:rsidR="002C0FD9" w:rsidRPr="00CA25CF" w:rsidRDefault="002C0FD9" w:rsidP="00CA25CF">
            <w:pPr>
              <w:rPr>
                <w:rFonts w:cs="Arial"/>
                <w:color w:val="FF0000"/>
                <w:sz w:val="21"/>
                <w:szCs w:val="21"/>
              </w:rPr>
            </w:pPr>
          </w:p>
        </w:tc>
        <w:tc>
          <w:tcPr>
            <w:tcW w:w="217" w:type="dxa"/>
          </w:tcPr>
          <w:p w14:paraId="360D552D" w14:textId="77777777" w:rsidR="002C0FD9" w:rsidRPr="00CA25CF" w:rsidRDefault="002C0FD9" w:rsidP="00CA25CF">
            <w:pPr>
              <w:rPr>
                <w:rFonts w:cs="Arial"/>
                <w:color w:val="FF0000"/>
                <w:sz w:val="21"/>
                <w:szCs w:val="21"/>
              </w:rPr>
            </w:pPr>
          </w:p>
        </w:tc>
        <w:tc>
          <w:tcPr>
            <w:tcW w:w="217" w:type="dxa"/>
          </w:tcPr>
          <w:p w14:paraId="3889681B" w14:textId="77777777" w:rsidR="002C0FD9" w:rsidRPr="00CA25CF" w:rsidRDefault="002C0FD9" w:rsidP="00CA25CF">
            <w:pPr>
              <w:rPr>
                <w:rFonts w:cs="Arial"/>
                <w:color w:val="FF0000"/>
                <w:sz w:val="21"/>
                <w:szCs w:val="21"/>
              </w:rPr>
            </w:pPr>
          </w:p>
        </w:tc>
        <w:tc>
          <w:tcPr>
            <w:tcW w:w="217" w:type="dxa"/>
          </w:tcPr>
          <w:p w14:paraId="0A6B9599" w14:textId="77777777" w:rsidR="002C0FD9" w:rsidRPr="00CA25CF" w:rsidRDefault="002C0FD9" w:rsidP="00CA25CF">
            <w:pPr>
              <w:rPr>
                <w:rFonts w:cs="Arial"/>
                <w:color w:val="FF0000"/>
                <w:sz w:val="21"/>
                <w:szCs w:val="21"/>
              </w:rPr>
            </w:pPr>
          </w:p>
        </w:tc>
        <w:tc>
          <w:tcPr>
            <w:tcW w:w="217" w:type="dxa"/>
          </w:tcPr>
          <w:p w14:paraId="5C56D47D" w14:textId="77777777" w:rsidR="002C0FD9" w:rsidRPr="00CA25CF" w:rsidRDefault="002C0FD9" w:rsidP="00CA25CF">
            <w:pPr>
              <w:rPr>
                <w:rFonts w:cs="Arial"/>
                <w:color w:val="FF0000"/>
                <w:sz w:val="21"/>
                <w:szCs w:val="21"/>
              </w:rPr>
            </w:pPr>
          </w:p>
        </w:tc>
        <w:tc>
          <w:tcPr>
            <w:tcW w:w="217" w:type="dxa"/>
          </w:tcPr>
          <w:p w14:paraId="0A22AB4F" w14:textId="77777777" w:rsidR="002C0FD9" w:rsidRPr="00CA25CF" w:rsidRDefault="002C0FD9" w:rsidP="00CA25CF">
            <w:pPr>
              <w:rPr>
                <w:rFonts w:cs="Arial"/>
                <w:color w:val="FF0000"/>
                <w:sz w:val="21"/>
                <w:szCs w:val="21"/>
              </w:rPr>
            </w:pPr>
          </w:p>
        </w:tc>
        <w:tc>
          <w:tcPr>
            <w:tcW w:w="217" w:type="dxa"/>
          </w:tcPr>
          <w:p w14:paraId="6F12BEC0" w14:textId="77777777" w:rsidR="002C0FD9" w:rsidRPr="00CA25CF" w:rsidRDefault="002C0FD9" w:rsidP="00CA25CF">
            <w:pPr>
              <w:rPr>
                <w:rFonts w:cs="Arial"/>
                <w:color w:val="FF0000"/>
                <w:sz w:val="21"/>
                <w:szCs w:val="21"/>
              </w:rPr>
            </w:pPr>
          </w:p>
        </w:tc>
        <w:tc>
          <w:tcPr>
            <w:tcW w:w="217" w:type="dxa"/>
          </w:tcPr>
          <w:p w14:paraId="3D2CCFC6" w14:textId="77777777" w:rsidR="002C0FD9" w:rsidRPr="00CA25CF" w:rsidRDefault="002C0FD9" w:rsidP="00CA25CF">
            <w:pPr>
              <w:rPr>
                <w:rFonts w:cs="Arial"/>
                <w:color w:val="FF0000"/>
                <w:sz w:val="21"/>
                <w:szCs w:val="21"/>
              </w:rPr>
            </w:pPr>
          </w:p>
        </w:tc>
        <w:tc>
          <w:tcPr>
            <w:tcW w:w="217" w:type="dxa"/>
          </w:tcPr>
          <w:p w14:paraId="7B2BBAB7" w14:textId="77777777" w:rsidR="002C0FD9" w:rsidRPr="00CA25CF" w:rsidRDefault="002C0FD9" w:rsidP="00CA25CF">
            <w:pPr>
              <w:rPr>
                <w:rFonts w:cs="Arial"/>
                <w:color w:val="FF0000"/>
                <w:sz w:val="21"/>
                <w:szCs w:val="21"/>
              </w:rPr>
            </w:pPr>
          </w:p>
        </w:tc>
        <w:tc>
          <w:tcPr>
            <w:tcW w:w="217" w:type="dxa"/>
          </w:tcPr>
          <w:p w14:paraId="57A6EBE0" w14:textId="77777777" w:rsidR="002C0FD9" w:rsidRPr="00CA25CF" w:rsidRDefault="002C0FD9" w:rsidP="00CA25CF">
            <w:pPr>
              <w:rPr>
                <w:rFonts w:cs="Arial"/>
                <w:color w:val="FF0000"/>
                <w:sz w:val="21"/>
                <w:szCs w:val="21"/>
              </w:rPr>
            </w:pPr>
          </w:p>
        </w:tc>
        <w:tc>
          <w:tcPr>
            <w:tcW w:w="217" w:type="dxa"/>
          </w:tcPr>
          <w:p w14:paraId="39B3D1B5" w14:textId="77777777" w:rsidR="002C0FD9" w:rsidRPr="00CA25CF" w:rsidRDefault="002C0FD9" w:rsidP="00CA25CF">
            <w:pPr>
              <w:rPr>
                <w:rFonts w:cs="Arial"/>
                <w:color w:val="FF0000"/>
                <w:sz w:val="21"/>
                <w:szCs w:val="21"/>
              </w:rPr>
            </w:pPr>
          </w:p>
        </w:tc>
        <w:tc>
          <w:tcPr>
            <w:tcW w:w="217" w:type="dxa"/>
          </w:tcPr>
          <w:p w14:paraId="4280E4B8" w14:textId="77777777" w:rsidR="002C0FD9" w:rsidRPr="00CA25CF" w:rsidRDefault="002C0FD9" w:rsidP="00CA25CF">
            <w:pPr>
              <w:rPr>
                <w:rFonts w:cs="Arial"/>
                <w:color w:val="FF0000"/>
                <w:sz w:val="21"/>
                <w:szCs w:val="21"/>
              </w:rPr>
            </w:pPr>
          </w:p>
        </w:tc>
        <w:tc>
          <w:tcPr>
            <w:tcW w:w="217" w:type="dxa"/>
          </w:tcPr>
          <w:p w14:paraId="65D34A1F" w14:textId="77777777" w:rsidR="002C0FD9" w:rsidRPr="00CA25CF" w:rsidRDefault="002C0FD9" w:rsidP="00CA25CF">
            <w:pPr>
              <w:rPr>
                <w:rFonts w:cs="Arial"/>
                <w:color w:val="FF0000"/>
                <w:sz w:val="21"/>
                <w:szCs w:val="21"/>
              </w:rPr>
            </w:pPr>
          </w:p>
        </w:tc>
        <w:tc>
          <w:tcPr>
            <w:tcW w:w="217" w:type="dxa"/>
          </w:tcPr>
          <w:p w14:paraId="75CF7AF3" w14:textId="77777777" w:rsidR="002C0FD9" w:rsidRPr="00CA25CF" w:rsidRDefault="002C0FD9" w:rsidP="00CA25CF">
            <w:pPr>
              <w:rPr>
                <w:rFonts w:cs="Arial"/>
                <w:color w:val="FF0000"/>
                <w:sz w:val="21"/>
                <w:szCs w:val="21"/>
              </w:rPr>
            </w:pPr>
          </w:p>
        </w:tc>
        <w:tc>
          <w:tcPr>
            <w:tcW w:w="217" w:type="dxa"/>
          </w:tcPr>
          <w:p w14:paraId="33ACA780" w14:textId="77777777" w:rsidR="002C0FD9" w:rsidRPr="00CA25CF" w:rsidRDefault="002C0FD9" w:rsidP="00CA25CF">
            <w:pPr>
              <w:rPr>
                <w:rFonts w:cs="Arial"/>
                <w:color w:val="FF0000"/>
                <w:sz w:val="21"/>
                <w:szCs w:val="21"/>
              </w:rPr>
            </w:pPr>
          </w:p>
        </w:tc>
        <w:tc>
          <w:tcPr>
            <w:tcW w:w="217" w:type="dxa"/>
          </w:tcPr>
          <w:p w14:paraId="01A2B0A5" w14:textId="77777777" w:rsidR="002C0FD9" w:rsidRPr="00CA25CF" w:rsidRDefault="002C0FD9" w:rsidP="00CA25CF">
            <w:pPr>
              <w:rPr>
                <w:rFonts w:cs="Arial"/>
                <w:color w:val="FF0000"/>
                <w:sz w:val="21"/>
                <w:szCs w:val="21"/>
              </w:rPr>
            </w:pPr>
          </w:p>
        </w:tc>
      </w:tr>
      <w:tr w:rsidR="002C0FD9" w:rsidRPr="00A16219" w14:paraId="04E65F02" w14:textId="77777777" w:rsidTr="002C0FD9">
        <w:trPr>
          <w:trHeight w:val="635"/>
        </w:trPr>
        <w:tc>
          <w:tcPr>
            <w:tcW w:w="515" w:type="dxa"/>
          </w:tcPr>
          <w:p w14:paraId="3BFCB31F" w14:textId="77777777" w:rsidR="002C0FD9" w:rsidRPr="00CA25CF" w:rsidRDefault="002C0FD9" w:rsidP="00CA25CF">
            <w:pPr>
              <w:rPr>
                <w:rFonts w:cs="Arial"/>
                <w:color w:val="FF0000"/>
                <w:sz w:val="21"/>
                <w:szCs w:val="21"/>
              </w:rPr>
            </w:pPr>
          </w:p>
        </w:tc>
        <w:tc>
          <w:tcPr>
            <w:tcW w:w="217" w:type="dxa"/>
          </w:tcPr>
          <w:p w14:paraId="68707876" w14:textId="77777777" w:rsidR="002C0FD9" w:rsidRPr="00CA25CF" w:rsidRDefault="002C0FD9" w:rsidP="00CA25CF">
            <w:pPr>
              <w:rPr>
                <w:rFonts w:cs="Arial"/>
                <w:color w:val="FF0000"/>
                <w:sz w:val="21"/>
                <w:szCs w:val="21"/>
              </w:rPr>
            </w:pPr>
          </w:p>
        </w:tc>
        <w:tc>
          <w:tcPr>
            <w:tcW w:w="217" w:type="dxa"/>
          </w:tcPr>
          <w:p w14:paraId="3DCA3CA8" w14:textId="77777777" w:rsidR="002C0FD9" w:rsidRPr="00CA25CF" w:rsidRDefault="002C0FD9" w:rsidP="00CA25CF">
            <w:pPr>
              <w:rPr>
                <w:rFonts w:cs="Arial"/>
                <w:color w:val="FF0000"/>
                <w:sz w:val="21"/>
                <w:szCs w:val="21"/>
              </w:rPr>
            </w:pPr>
          </w:p>
        </w:tc>
        <w:tc>
          <w:tcPr>
            <w:tcW w:w="217" w:type="dxa"/>
          </w:tcPr>
          <w:p w14:paraId="1285C131" w14:textId="77777777" w:rsidR="002C0FD9" w:rsidRPr="00CA25CF" w:rsidRDefault="002C0FD9" w:rsidP="00CA25CF">
            <w:pPr>
              <w:rPr>
                <w:rFonts w:cs="Arial"/>
                <w:color w:val="FF0000"/>
                <w:sz w:val="21"/>
                <w:szCs w:val="21"/>
              </w:rPr>
            </w:pPr>
          </w:p>
        </w:tc>
        <w:tc>
          <w:tcPr>
            <w:tcW w:w="217" w:type="dxa"/>
          </w:tcPr>
          <w:p w14:paraId="30512535" w14:textId="77777777" w:rsidR="002C0FD9" w:rsidRPr="00CA25CF" w:rsidRDefault="002C0FD9" w:rsidP="00CA25CF">
            <w:pPr>
              <w:rPr>
                <w:rFonts w:cs="Arial"/>
                <w:color w:val="FF0000"/>
                <w:sz w:val="21"/>
                <w:szCs w:val="21"/>
              </w:rPr>
            </w:pPr>
          </w:p>
        </w:tc>
        <w:tc>
          <w:tcPr>
            <w:tcW w:w="217" w:type="dxa"/>
          </w:tcPr>
          <w:p w14:paraId="340D22C5" w14:textId="77777777" w:rsidR="002C0FD9" w:rsidRPr="00CA25CF" w:rsidRDefault="002C0FD9" w:rsidP="00CA25CF">
            <w:pPr>
              <w:rPr>
                <w:rFonts w:cs="Arial"/>
                <w:color w:val="FF0000"/>
                <w:sz w:val="21"/>
                <w:szCs w:val="21"/>
              </w:rPr>
            </w:pPr>
          </w:p>
        </w:tc>
        <w:tc>
          <w:tcPr>
            <w:tcW w:w="217" w:type="dxa"/>
          </w:tcPr>
          <w:p w14:paraId="76FBA21A" w14:textId="77777777" w:rsidR="002C0FD9" w:rsidRPr="00CA25CF" w:rsidRDefault="002C0FD9" w:rsidP="00CA25CF">
            <w:pPr>
              <w:rPr>
                <w:rFonts w:cs="Arial"/>
                <w:color w:val="FF0000"/>
                <w:sz w:val="21"/>
                <w:szCs w:val="21"/>
              </w:rPr>
            </w:pPr>
          </w:p>
        </w:tc>
        <w:tc>
          <w:tcPr>
            <w:tcW w:w="217" w:type="dxa"/>
          </w:tcPr>
          <w:p w14:paraId="2E86A4AD" w14:textId="77777777" w:rsidR="002C0FD9" w:rsidRPr="00CA25CF" w:rsidRDefault="002C0FD9" w:rsidP="00CA25CF">
            <w:pPr>
              <w:rPr>
                <w:rFonts w:cs="Arial"/>
                <w:color w:val="FF0000"/>
                <w:sz w:val="21"/>
                <w:szCs w:val="21"/>
              </w:rPr>
            </w:pPr>
          </w:p>
        </w:tc>
        <w:tc>
          <w:tcPr>
            <w:tcW w:w="217" w:type="dxa"/>
          </w:tcPr>
          <w:p w14:paraId="7E68439B" w14:textId="77777777" w:rsidR="002C0FD9" w:rsidRPr="00CA25CF" w:rsidRDefault="002C0FD9" w:rsidP="00CA25CF">
            <w:pPr>
              <w:rPr>
                <w:rFonts w:cs="Arial"/>
                <w:color w:val="FF0000"/>
                <w:sz w:val="21"/>
                <w:szCs w:val="21"/>
              </w:rPr>
            </w:pPr>
          </w:p>
        </w:tc>
        <w:tc>
          <w:tcPr>
            <w:tcW w:w="217" w:type="dxa"/>
          </w:tcPr>
          <w:p w14:paraId="00F68B72" w14:textId="77777777" w:rsidR="002C0FD9" w:rsidRPr="00CA25CF" w:rsidRDefault="002C0FD9" w:rsidP="00CA25CF">
            <w:pPr>
              <w:rPr>
                <w:rFonts w:cs="Arial"/>
                <w:color w:val="FF0000"/>
                <w:sz w:val="21"/>
                <w:szCs w:val="21"/>
              </w:rPr>
            </w:pPr>
          </w:p>
        </w:tc>
        <w:tc>
          <w:tcPr>
            <w:tcW w:w="217" w:type="dxa"/>
          </w:tcPr>
          <w:p w14:paraId="0D504ABE" w14:textId="77777777" w:rsidR="002C0FD9" w:rsidRPr="00CA25CF" w:rsidRDefault="002C0FD9" w:rsidP="00CA25CF">
            <w:pPr>
              <w:rPr>
                <w:rFonts w:cs="Arial"/>
                <w:color w:val="FF0000"/>
                <w:sz w:val="21"/>
                <w:szCs w:val="21"/>
              </w:rPr>
            </w:pPr>
          </w:p>
        </w:tc>
        <w:tc>
          <w:tcPr>
            <w:tcW w:w="217" w:type="dxa"/>
          </w:tcPr>
          <w:p w14:paraId="5C500296" w14:textId="77777777" w:rsidR="002C0FD9" w:rsidRPr="00CA25CF" w:rsidRDefault="002C0FD9" w:rsidP="00CA25CF">
            <w:pPr>
              <w:rPr>
                <w:rFonts w:cs="Arial"/>
                <w:color w:val="FF0000"/>
                <w:sz w:val="21"/>
                <w:szCs w:val="21"/>
              </w:rPr>
            </w:pPr>
          </w:p>
        </w:tc>
        <w:tc>
          <w:tcPr>
            <w:tcW w:w="217" w:type="dxa"/>
          </w:tcPr>
          <w:p w14:paraId="0480163D" w14:textId="77777777" w:rsidR="002C0FD9" w:rsidRPr="00CA25CF" w:rsidRDefault="002C0FD9" w:rsidP="00CA25CF">
            <w:pPr>
              <w:rPr>
                <w:rFonts w:cs="Arial"/>
                <w:color w:val="FF0000"/>
                <w:sz w:val="21"/>
                <w:szCs w:val="21"/>
              </w:rPr>
            </w:pPr>
          </w:p>
        </w:tc>
        <w:tc>
          <w:tcPr>
            <w:tcW w:w="217" w:type="dxa"/>
          </w:tcPr>
          <w:p w14:paraId="40E1E6F2" w14:textId="77777777" w:rsidR="002C0FD9" w:rsidRPr="00CA25CF" w:rsidRDefault="002C0FD9" w:rsidP="00CA25CF">
            <w:pPr>
              <w:rPr>
                <w:rFonts w:cs="Arial"/>
                <w:color w:val="FF0000"/>
                <w:sz w:val="21"/>
                <w:szCs w:val="21"/>
              </w:rPr>
            </w:pPr>
          </w:p>
        </w:tc>
        <w:tc>
          <w:tcPr>
            <w:tcW w:w="217" w:type="dxa"/>
          </w:tcPr>
          <w:p w14:paraId="3565A203" w14:textId="77777777" w:rsidR="002C0FD9" w:rsidRPr="00CA25CF" w:rsidRDefault="002C0FD9" w:rsidP="00CA25CF">
            <w:pPr>
              <w:rPr>
                <w:rFonts w:cs="Arial"/>
                <w:color w:val="FF0000"/>
                <w:sz w:val="21"/>
                <w:szCs w:val="21"/>
              </w:rPr>
            </w:pPr>
          </w:p>
        </w:tc>
        <w:tc>
          <w:tcPr>
            <w:tcW w:w="217" w:type="dxa"/>
          </w:tcPr>
          <w:p w14:paraId="17052D9A" w14:textId="77777777" w:rsidR="002C0FD9" w:rsidRPr="00CA25CF" w:rsidRDefault="002C0FD9" w:rsidP="00CA25CF">
            <w:pPr>
              <w:rPr>
                <w:rFonts w:cs="Arial"/>
                <w:color w:val="FF0000"/>
                <w:sz w:val="21"/>
                <w:szCs w:val="21"/>
              </w:rPr>
            </w:pPr>
          </w:p>
        </w:tc>
        <w:tc>
          <w:tcPr>
            <w:tcW w:w="217" w:type="dxa"/>
          </w:tcPr>
          <w:p w14:paraId="3CB31EA0" w14:textId="77777777" w:rsidR="002C0FD9" w:rsidRPr="00CA25CF" w:rsidRDefault="002C0FD9" w:rsidP="00CA25CF">
            <w:pPr>
              <w:rPr>
                <w:rFonts w:cs="Arial"/>
                <w:color w:val="FF0000"/>
                <w:sz w:val="21"/>
                <w:szCs w:val="21"/>
              </w:rPr>
            </w:pPr>
          </w:p>
        </w:tc>
        <w:tc>
          <w:tcPr>
            <w:tcW w:w="217" w:type="dxa"/>
          </w:tcPr>
          <w:p w14:paraId="3EAAA403" w14:textId="77777777" w:rsidR="002C0FD9" w:rsidRPr="00CA25CF" w:rsidRDefault="002C0FD9" w:rsidP="00CA25CF">
            <w:pPr>
              <w:rPr>
                <w:rFonts w:cs="Arial"/>
                <w:color w:val="FF0000"/>
                <w:sz w:val="21"/>
                <w:szCs w:val="21"/>
              </w:rPr>
            </w:pPr>
          </w:p>
        </w:tc>
        <w:tc>
          <w:tcPr>
            <w:tcW w:w="217" w:type="dxa"/>
          </w:tcPr>
          <w:p w14:paraId="3362D04C" w14:textId="77777777" w:rsidR="002C0FD9" w:rsidRPr="00CA25CF" w:rsidRDefault="002C0FD9" w:rsidP="00CA25CF">
            <w:pPr>
              <w:rPr>
                <w:rFonts w:cs="Arial"/>
                <w:color w:val="FF0000"/>
                <w:sz w:val="21"/>
                <w:szCs w:val="21"/>
              </w:rPr>
            </w:pPr>
          </w:p>
        </w:tc>
        <w:tc>
          <w:tcPr>
            <w:tcW w:w="217" w:type="dxa"/>
          </w:tcPr>
          <w:p w14:paraId="70DDB8D7" w14:textId="77777777" w:rsidR="002C0FD9" w:rsidRPr="00CA25CF" w:rsidRDefault="002C0FD9" w:rsidP="00CA25CF">
            <w:pPr>
              <w:rPr>
                <w:rFonts w:cs="Arial"/>
                <w:color w:val="FF0000"/>
                <w:sz w:val="21"/>
                <w:szCs w:val="21"/>
              </w:rPr>
            </w:pPr>
          </w:p>
        </w:tc>
        <w:tc>
          <w:tcPr>
            <w:tcW w:w="217" w:type="dxa"/>
          </w:tcPr>
          <w:p w14:paraId="05090A05" w14:textId="77777777" w:rsidR="002C0FD9" w:rsidRPr="00CA25CF" w:rsidRDefault="002C0FD9" w:rsidP="00CA25CF">
            <w:pPr>
              <w:rPr>
                <w:rFonts w:cs="Arial"/>
                <w:color w:val="FF0000"/>
                <w:sz w:val="21"/>
                <w:szCs w:val="21"/>
              </w:rPr>
            </w:pPr>
          </w:p>
        </w:tc>
        <w:tc>
          <w:tcPr>
            <w:tcW w:w="217" w:type="dxa"/>
          </w:tcPr>
          <w:p w14:paraId="46D2034F" w14:textId="77777777" w:rsidR="002C0FD9" w:rsidRPr="00CA25CF" w:rsidRDefault="002C0FD9" w:rsidP="00CA25CF">
            <w:pPr>
              <w:rPr>
                <w:rFonts w:cs="Arial"/>
                <w:color w:val="FF0000"/>
                <w:sz w:val="21"/>
                <w:szCs w:val="21"/>
              </w:rPr>
            </w:pPr>
          </w:p>
        </w:tc>
        <w:tc>
          <w:tcPr>
            <w:tcW w:w="217" w:type="dxa"/>
          </w:tcPr>
          <w:p w14:paraId="01D5CEF6" w14:textId="77777777" w:rsidR="002C0FD9" w:rsidRPr="00CA25CF" w:rsidRDefault="002C0FD9" w:rsidP="00CA25CF">
            <w:pPr>
              <w:rPr>
                <w:rFonts w:cs="Arial"/>
                <w:color w:val="FF0000"/>
                <w:sz w:val="21"/>
                <w:szCs w:val="21"/>
              </w:rPr>
            </w:pPr>
          </w:p>
        </w:tc>
        <w:tc>
          <w:tcPr>
            <w:tcW w:w="217" w:type="dxa"/>
          </w:tcPr>
          <w:p w14:paraId="02715E01" w14:textId="77777777" w:rsidR="002C0FD9" w:rsidRPr="00CA25CF" w:rsidRDefault="002C0FD9" w:rsidP="00CA25CF">
            <w:pPr>
              <w:rPr>
                <w:rFonts w:cs="Arial"/>
                <w:color w:val="FF0000"/>
                <w:sz w:val="21"/>
                <w:szCs w:val="21"/>
              </w:rPr>
            </w:pPr>
          </w:p>
        </w:tc>
        <w:tc>
          <w:tcPr>
            <w:tcW w:w="217" w:type="dxa"/>
          </w:tcPr>
          <w:p w14:paraId="52300D67" w14:textId="77777777" w:rsidR="002C0FD9" w:rsidRPr="00CA25CF" w:rsidRDefault="002C0FD9" w:rsidP="00CA25CF">
            <w:pPr>
              <w:rPr>
                <w:rFonts w:cs="Arial"/>
                <w:color w:val="FF0000"/>
                <w:sz w:val="21"/>
                <w:szCs w:val="21"/>
              </w:rPr>
            </w:pPr>
          </w:p>
        </w:tc>
        <w:tc>
          <w:tcPr>
            <w:tcW w:w="217" w:type="dxa"/>
          </w:tcPr>
          <w:p w14:paraId="187F0C5F" w14:textId="77777777" w:rsidR="002C0FD9" w:rsidRPr="00CA25CF" w:rsidRDefault="002C0FD9" w:rsidP="00CA25CF">
            <w:pPr>
              <w:rPr>
                <w:rFonts w:cs="Arial"/>
                <w:color w:val="FF0000"/>
                <w:sz w:val="21"/>
                <w:szCs w:val="21"/>
              </w:rPr>
            </w:pPr>
          </w:p>
        </w:tc>
        <w:tc>
          <w:tcPr>
            <w:tcW w:w="217" w:type="dxa"/>
          </w:tcPr>
          <w:p w14:paraId="5D0A502F" w14:textId="77777777" w:rsidR="002C0FD9" w:rsidRPr="00CA25CF" w:rsidRDefault="002C0FD9" w:rsidP="00CA25CF">
            <w:pPr>
              <w:rPr>
                <w:rFonts w:cs="Arial"/>
                <w:color w:val="FF0000"/>
                <w:sz w:val="21"/>
                <w:szCs w:val="21"/>
              </w:rPr>
            </w:pPr>
          </w:p>
        </w:tc>
        <w:tc>
          <w:tcPr>
            <w:tcW w:w="217" w:type="dxa"/>
          </w:tcPr>
          <w:p w14:paraId="6FB2F356" w14:textId="77777777" w:rsidR="002C0FD9" w:rsidRPr="00CA25CF" w:rsidRDefault="002C0FD9" w:rsidP="00CA25CF">
            <w:pPr>
              <w:rPr>
                <w:rFonts w:cs="Arial"/>
                <w:color w:val="FF0000"/>
                <w:sz w:val="21"/>
                <w:szCs w:val="21"/>
              </w:rPr>
            </w:pPr>
          </w:p>
        </w:tc>
        <w:tc>
          <w:tcPr>
            <w:tcW w:w="217" w:type="dxa"/>
          </w:tcPr>
          <w:p w14:paraId="3F2E2965" w14:textId="77777777" w:rsidR="002C0FD9" w:rsidRPr="00CA25CF" w:rsidRDefault="002C0FD9" w:rsidP="00CA25CF">
            <w:pPr>
              <w:rPr>
                <w:rFonts w:cs="Arial"/>
                <w:color w:val="FF0000"/>
                <w:sz w:val="21"/>
                <w:szCs w:val="21"/>
              </w:rPr>
            </w:pPr>
          </w:p>
        </w:tc>
        <w:tc>
          <w:tcPr>
            <w:tcW w:w="217" w:type="dxa"/>
          </w:tcPr>
          <w:p w14:paraId="68F6EAF8" w14:textId="77777777" w:rsidR="002C0FD9" w:rsidRPr="00CA25CF" w:rsidRDefault="002C0FD9" w:rsidP="00CA25CF">
            <w:pPr>
              <w:rPr>
                <w:rFonts w:cs="Arial"/>
                <w:color w:val="FF0000"/>
                <w:sz w:val="21"/>
                <w:szCs w:val="21"/>
              </w:rPr>
            </w:pPr>
          </w:p>
        </w:tc>
        <w:tc>
          <w:tcPr>
            <w:tcW w:w="217" w:type="dxa"/>
          </w:tcPr>
          <w:p w14:paraId="63A11FC8" w14:textId="77777777" w:rsidR="002C0FD9" w:rsidRPr="00CA25CF" w:rsidRDefault="002C0FD9" w:rsidP="00CA25CF">
            <w:pPr>
              <w:rPr>
                <w:rFonts w:cs="Arial"/>
                <w:color w:val="FF0000"/>
                <w:sz w:val="21"/>
                <w:szCs w:val="21"/>
              </w:rPr>
            </w:pPr>
          </w:p>
        </w:tc>
        <w:tc>
          <w:tcPr>
            <w:tcW w:w="217" w:type="dxa"/>
          </w:tcPr>
          <w:p w14:paraId="374D26E1" w14:textId="77777777" w:rsidR="002C0FD9" w:rsidRPr="00CA25CF" w:rsidRDefault="002C0FD9" w:rsidP="00CA25CF">
            <w:pPr>
              <w:rPr>
                <w:rFonts w:cs="Arial"/>
                <w:color w:val="FF0000"/>
                <w:sz w:val="21"/>
                <w:szCs w:val="21"/>
              </w:rPr>
            </w:pPr>
          </w:p>
        </w:tc>
        <w:tc>
          <w:tcPr>
            <w:tcW w:w="217" w:type="dxa"/>
          </w:tcPr>
          <w:p w14:paraId="25D95CCF" w14:textId="77777777" w:rsidR="002C0FD9" w:rsidRPr="00CA25CF" w:rsidRDefault="002C0FD9" w:rsidP="00CA25CF">
            <w:pPr>
              <w:rPr>
                <w:rFonts w:cs="Arial"/>
                <w:color w:val="FF0000"/>
                <w:sz w:val="21"/>
                <w:szCs w:val="21"/>
              </w:rPr>
            </w:pPr>
          </w:p>
        </w:tc>
        <w:tc>
          <w:tcPr>
            <w:tcW w:w="217" w:type="dxa"/>
          </w:tcPr>
          <w:p w14:paraId="1ECA273A" w14:textId="77777777" w:rsidR="002C0FD9" w:rsidRPr="00CA25CF" w:rsidRDefault="002C0FD9" w:rsidP="00CA25CF">
            <w:pPr>
              <w:rPr>
                <w:rFonts w:cs="Arial"/>
                <w:color w:val="FF0000"/>
                <w:sz w:val="21"/>
                <w:szCs w:val="21"/>
              </w:rPr>
            </w:pPr>
          </w:p>
        </w:tc>
        <w:tc>
          <w:tcPr>
            <w:tcW w:w="217" w:type="dxa"/>
          </w:tcPr>
          <w:p w14:paraId="4C4F8E1F" w14:textId="77777777" w:rsidR="002C0FD9" w:rsidRPr="00CA25CF" w:rsidRDefault="002C0FD9" w:rsidP="00CA25CF">
            <w:pPr>
              <w:rPr>
                <w:rFonts w:cs="Arial"/>
                <w:color w:val="FF0000"/>
                <w:sz w:val="21"/>
                <w:szCs w:val="21"/>
              </w:rPr>
            </w:pPr>
          </w:p>
        </w:tc>
        <w:tc>
          <w:tcPr>
            <w:tcW w:w="217" w:type="dxa"/>
          </w:tcPr>
          <w:p w14:paraId="230C21FE" w14:textId="77777777" w:rsidR="002C0FD9" w:rsidRPr="00CA25CF" w:rsidRDefault="002C0FD9" w:rsidP="00CA25CF">
            <w:pPr>
              <w:rPr>
                <w:rFonts w:cs="Arial"/>
                <w:color w:val="FF0000"/>
                <w:sz w:val="21"/>
                <w:szCs w:val="21"/>
              </w:rPr>
            </w:pPr>
          </w:p>
        </w:tc>
        <w:tc>
          <w:tcPr>
            <w:tcW w:w="217" w:type="dxa"/>
          </w:tcPr>
          <w:p w14:paraId="2380C1E0" w14:textId="77777777" w:rsidR="002C0FD9" w:rsidRPr="00CA25CF" w:rsidRDefault="002C0FD9" w:rsidP="00CA25CF">
            <w:pPr>
              <w:rPr>
                <w:rFonts w:cs="Arial"/>
                <w:color w:val="FF0000"/>
                <w:sz w:val="21"/>
                <w:szCs w:val="21"/>
              </w:rPr>
            </w:pPr>
          </w:p>
        </w:tc>
        <w:tc>
          <w:tcPr>
            <w:tcW w:w="217" w:type="dxa"/>
          </w:tcPr>
          <w:p w14:paraId="1D9A757C" w14:textId="77777777" w:rsidR="002C0FD9" w:rsidRPr="00CA25CF" w:rsidRDefault="002C0FD9" w:rsidP="00CA25CF">
            <w:pPr>
              <w:rPr>
                <w:rFonts w:cs="Arial"/>
                <w:color w:val="FF0000"/>
                <w:sz w:val="21"/>
                <w:szCs w:val="21"/>
              </w:rPr>
            </w:pPr>
          </w:p>
        </w:tc>
        <w:tc>
          <w:tcPr>
            <w:tcW w:w="217" w:type="dxa"/>
          </w:tcPr>
          <w:p w14:paraId="4999D7FC" w14:textId="77777777" w:rsidR="002C0FD9" w:rsidRPr="00CA25CF" w:rsidRDefault="002C0FD9" w:rsidP="00CA25CF">
            <w:pPr>
              <w:rPr>
                <w:rFonts w:cs="Arial"/>
                <w:color w:val="FF0000"/>
                <w:sz w:val="21"/>
                <w:szCs w:val="21"/>
              </w:rPr>
            </w:pPr>
          </w:p>
        </w:tc>
        <w:tc>
          <w:tcPr>
            <w:tcW w:w="217" w:type="dxa"/>
          </w:tcPr>
          <w:p w14:paraId="2DFFB265" w14:textId="77777777" w:rsidR="002C0FD9" w:rsidRPr="00CA25CF" w:rsidRDefault="002C0FD9" w:rsidP="00CA25CF">
            <w:pPr>
              <w:rPr>
                <w:rFonts w:cs="Arial"/>
                <w:color w:val="FF0000"/>
                <w:sz w:val="21"/>
                <w:szCs w:val="21"/>
              </w:rPr>
            </w:pPr>
          </w:p>
        </w:tc>
        <w:tc>
          <w:tcPr>
            <w:tcW w:w="217" w:type="dxa"/>
          </w:tcPr>
          <w:p w14:paraId="456B89FC" w14:textId="77777777" w:rsidR="002C0FD9" w:rsidRPr="00CA25CF" w:rsidRDefault="002C0FD9" w:rsidP="00CA25CF">
            <w:pPr>
              <w:rPr>
                <w:rFonts w:cs="Arial"/>
                <w:color w:val="FF0000"/>
                <w:sz w:val="21"/>
                <w:szCs w:val="21"/>
              </w:rPr>
            </w:pPr>
          </w:p>
        </w:tc>
        <w:tc>
          <w:tcPr>
            <w:tcW w:w="217" w:type="dxa"/>
          </w:tcPr>
          <w:p w14:paraId="4999525A" w14:textId="77777777" w:rsidR="002C0FD9" w:rsidRPr="00CA25CF" w:rsidRDefault="002C0FD9" w:rsidP="00CA25CF">
            <w:pPr>
              <w:rPr>
                <w:rFonts w:cs="Arial"/>
                <w:color w:val="FF0000"/>
                <w:sz w:val="21"/>
                <w:szCs w:val="21"/>
              </w:rPr>
            </w:pPr>
          </w:p>
        </w:tc>
        <w:tc>
          <w:tcPr>
            <w:tcW w:w="217" w:type="dxa"/>
          </w:tcPr>
          <w:p w14:paraId="19F91D51" w14:textId="77777777" w:rsidR="002C0FD9" w:rsidRPr="00CA25CF" w:rsidRDefault="002C0FD9" w:rsidP="00CA25CF">
            <w:pPr>
              <w:rPr>
                <w:rFonts w:cs="Arial"/>
                <w:color w:val="FF0000"/>
                <w:sz w:val="21"/>
                <w:szCs w:val="21"/>
              </w:rPr>
            </w:pPr>
          </w:p>
        </w:tc>
      </w:tr>
      <w:tr w:rsidR="002C0FD9" w:rsidRPr="00A16219" w14:paraId="4BD3141D" w14:textId="77777777" w:rsidTr="002C0FD9">
        <w:trPr>
          <w:trHeight w:val="635"/>
        </w:trPr>
        <w:tc>
          <w:tcPr>
            <w:tcW w:w="515" w:type="dxa"/>
          </w:tcPr>
          <w:p w14:paraId="14D77425" w14:textId="77777777" w:rsidR="002C0FD9" w:rsidRPr="00CA25CF" w:rsidRDefault="002C0FD9" w:rsidP="00CA25CF">
            <w:pPr>
              <w:rPr>
                <w:rFonts w:cs="Arial"/>
                <w:color w:val="FF0000"/>
                <w:sz w:val="21"/>
                <w:szCs w:val="21"/>
              </w:rPr>
            </w:pPr>
          </w:p>
        </w:tc>
        <w:tc>
          <w:tcPr>
            <w:tcW w:w="217" w:type="dxa"/>
          </w:tcPr>
          <w:p w14:paraId="288F6D8F" w14:textId="77777777" w:rsidR="002C0FD9" w:rsidRPr="00CA25CF" w:rsidRDefault="002C0FD9" w:rsidP="00CA25CF">
            <w:pPr>
              <w:rPr>
                <w:rFonts w:cs="Arial"/>
                <w:color w:val="FF0000"/>
                <w:sz w:val="21"/>
                <w:szCs w:val="21"/>
              </w:rPr>
            </w:pPr>
          </w:p>
        </w:tc>
        <w:tc>
          <w:tcPr>
            <w:tcW w:w="217" w:type="dxa"/>
          </w:tcPr>
          <w:p w14:paraId="216AD0AE" w14:textId="77777777" w:rsidR="002C0FD9" w:rsidRPr="00CA25CF" w:rsidRDefault="002C0FD9" w:rsidP="00CA25CF">
            <w:pPr>
              <w:rPr>
                <w:rFonts w:cs="Arial"/>
                <w:color w:val="FF0000"/>
                <w:sz w:val="21"/>
                <w:szCs w:val="21"/>
              </w:rPr>
            </w:pPr>
          </w:p>
        </w:tc>
        <w:tc>
          <w:tcPr>
            <w:tcW w:w="217" w:type="dxa"/>
          </w:tcPr>
          <w:p w14:paraId="19D472DD" w14:textId="77777777" w:rsidR="002C0FD9" w:rsidRPr="00CA25CF" w:rsidRDefault="002C0FD9" w:rsidP="00CA25CF">
            <w:pPr>
              <w:rPr>
                <w:rFonts w:cs="Arial"/>
                <w:color w:val="FF0000"/>
                <w:sz w:val="21"/>
                <w:szCs w:val="21"/>
              </w:rPr>
            </w:pPr>
          </w:p>
        </w:tc>
        <w:tc>
          <w:tcPr>
            <w:tcW w:w="217" w:type="dxa"/>
          </w:tcPr>
          <w:p w14:paraId="06473EFD" w14:textId="77777777" w:rsidR="002C0FD9" w:rsidRPr="00CA25CF" w:rsidRDefault="002C0FD9" w:rsidP="00CA25CF">
            <w:pPr>
              <w:rPr>
                <w:rFonts w:cs="Arial"/>
                <w:color w:val="FF0000"/>
                <w:sz w:val="21"/>
                <w:szCs w:val="21"/>
              </w:rPr>
            </w:pPr>
          </w:p>
        </w:tc>
        <w:tc>
          <w:tcPr>
            <w:tcW w:w="217" w:type="dxa"/>
          </w:tcPr>
          <w:p w14:paraId="764813F3" w14:textId="77777777" w:rsidR="002C0FD9" w:rsidRPr="00CA25CF" w:rsidRDefault="002C0FD9" w:rsidP="00CA25CF">
            <w:pPr>
              <w:rPr>
                <w:rFonts w:cs="Arial"/>
                <w:color w:val="FF0000"/>
                <w:sz w:val="21"/>
                <w:szCs w:val="21"/>
              </w:rPr>
            </w:pPr>
          </w:p>
        </w:tc>
        <w:tc>
          <w:tcPr>
            <w:tcW w:w="217" w:type="dxa"/>
          </w:tcPr>
          <w:p w14:paraId="46323947" w14:textId="77777777" w:rsidR="002C0FD9" w:rsidRPr="00CA25CF" w:rsidRDefault="002C0FD9" w:rsidP="00CA25CF">
            <w:pPr>
              <w:rPr>
                <w:rFonts w:cs="Arial"/>
                <w:color w:val="FF0000"/>
                <w:sz w:val="21"/>
                <w:szCs w:val="21"/>
              </w:rPr>
            </w:pPr>
          </w:p>
        </w:tc>
        <w:tc>
          <w:tcPr>
            <w:tcW w:w="217" w:type="dxa"/>
          </w:tcPr>
          <w:p w14:paraId="0FCC3722" w14:textId="77777777" w:rsidR="002C0FD9" w:rsidRPr="00CA25CF" w:rsidRDefault="002C0FD9" w:rsidP="00CA25CF">
            <w:pPr>
              <w:rPr>
                <w:rFonts w:cs="Arial"/>
                <w:color w:val="FF0000"/>
                <w:sz w:val="21"/>
                <w:szCs w:val="21"/>
              </w:rPr>
            </w:pPr>
          </w:p>
        </w:tc>
        <w:tc>
          <w:tcPr>
            <w:tcW w:w="217" w:type="dxa"/>
          </w:tcPr>
          <w:p w14:paraId="286BBAC4" w14:textId="77777777" w:rsidR="002C0FD9" w:rsidRPr="00CA25CF" w:rsidRDefault="002C0FD9" w:rsidP="00CA25CF">
            <w:pPr>
              <w:rPr>
                <w:rFonts w:cs="Arial"/>
                <w:color w:val="FF0000"/>
                <w:sz w:val="21"/>
                <w:szCs w:val="21"/>
              </w:rPr>
            </w:pPr>
          </w:p>
        </w:tc>
        <w:tc>
          <w:tcPr>
            <w:tcW w:w="217" w:type="dxa"/>
          </w:tcPr>
          <w:p w14:paraId="47E8B982" w14:textId="77777777" w:rsidR="002C0FD9" w:rsidRPr="00CA25CF" w:rsidRDefault="002C0FD9" w:rsidP="00CA25CF">
            <w:pPr>
              <w:rPr>
                <w:rFonts w:cs="Arial"/>
                <w:color w:val="FF0000"/>
                <w:sz w:val="21"/>
                <w:szCs w:val="21"/>
              </w:rPr>
            </w:pPr>
          </w:p>
        </w:tc>
        <w:tc>
          <w:tcPr>
            <w:tcW w:w="217" w:type="dxa"/>
          </w:tcPr>
          <w:p w14:paraId="462194EE" w14:textId="77777777" w:rsidR="002C0FD9" w:rsidRPr="00CA25CF" w:rsidRDefault="002C0FD9" w:rsidP="00CA25CF">
            <w:pPr>
              <w:rPr>
                <w:rFonts w:cs="Arial"/>
                <w:color w:val="FF0000"/>
                <w:sz w:val="21"/>
                <w:szCs w:val="21"/>
              </w:rPr>
            </w:pPr>
          </w:p>
        </w:tc>
        <w:tc>
          <w:tcPr>
            <w:tcW w:w="217" w:type="dxa"/>
          </w:tcPr>
          <w:p w14:paraId="115B4D19" w14:textId="77777777" w:rsidR="002C0FD9" w:rsidRPr="00CA25CF" w:rsidRDefault="002C0FD9" w:rsidP="00CA25CF">
            <w:pPr>
              <w:rPr>
                <w:rFonts w:cs="Arial"/>
                <w:color w:val="FF0000"/>
                <w:sz w:val="21"/>
                <w:szCs w:val="21"/>
              </w:rPr>
            </w:pPr>
          </w:p>
        </w:tc>
        <w:tc>
          <w:tcPr>
            <w:tcW w:w="217" w:type="dxa"/>
          </w:tcPr>
          <w:p w14:paraId="76A97B5D" w14:textId="77777777" w:rsidR="002C0FD9" w:rsidRPr="00CA25CF" w:rsidRDefault="002C0FD9" w:rsidP="00CA25CF">
            <w:pPr>
              <w:rPr>
                <w:rFonts w:cs="Arial"/>
                <w:color w:val="FF0000"/>
                <w:sz w:val="21"/>
                <w:szCs w:val="21"/>
              </w:rPr>
            </w:pPr>
          </w:p>
        </w:tc>
        <w:tc>
          <w:tcPr>
            <w:tcW w:w="217" w:type="dxa"/>
          </w:tcPr>
          <w:p w14:paraId="5EEEA355" w14:textId="77777777" w:rsidR="002C0FD9" w:rsidRPr="00CA25CF" w:rsidRDefault="002C0FD9" w:rsidP="00CA25CF">
            <w:pPr>
              <w:rPr>
                <w:rFonts w:cs="Arial"/>
                <w:color w:val="FF0000"/>
                <w:sz w:val="21"/>
                <w:szCs w:val="21"/>
              </w:rPr>
            </w:pPr>
          </w:p>
        </w:tc>
        <w:tc>
          <w:tcPr>
            <w:tcW w:w="217" w:type="dxa"/>
          </w:tcPr>
          <w:p w14:paraId="03FCDA29" w14:textId="77777777" w:rsidR="002C0FD9" w:rsidRPr="00CA25CF" w:rsidRDefault="002C0FD9" w:rsidP="00CA25CF">
            <w:pPr>
              <w:rPr>
                <w:rFonts w:cs="Arial"/>
                <w:color w:val="FF0000"/>
                <w:sz w:val="21"/>
                <w:szCs w:val="21"/>
              </w:rPr>
            </w:pPr>
          </w:p>
        </w:tc>
        <w:tc>
          <w:tcPr>
            <w:tcW w:w="217" w:type="dxa"/>
          </w:tcPr>
          <w:p w14:paraId="164A080D" w14:textId="77777777" w:rsidR="002C0FD9" w:rsidRPr="00CA25CF" w:rsidRDefault="002C0FD9" w:rsidP="00CA25CF">
            <w:pPr>
              <w:rPr>
                <w:rFonts w:cs="Arial"/>
                <w:color w:val="FF0000"/>
                <w:sz w:val="21"/>
                <w:szCs w:val="21"/>
              </w:rPr>
            </w:pPr>
          </w:p>
        </w:tc>
        <w:tc>
          <w:tcPr>
            <w:tcW w:w="217" w:type="dxa"/>
          </w:tcPr>
          <w:p w14:paraId="31239432" w14:textId="77777777" w:rsidR="002C0FD9" w:rsidRPr="00CA25CF" w:rsidRDefault="002C0FD9" w:rsidP="00CA25CF">
            <w:pPr>
              <w:rPr>
                <w:rFonts w:cs="Arial"/>
                <w:color w:val="FF0000"/>
                <w:sz w:val="21"/>
                <w:szCs w:val="21"/>
              </w:rPr>
            </w:pPr>
          </w:p>
        </w:tc>
        <w:tc>
          <w:tcPr>
            <w:tcW w:w="217" w:type="dxa"/>
          </w:tcPr>
          <w:p w14:paraId="3CF901DB" w14:textId="77777777" w:rsidR="002C0FD9" w:rsidRPr="00CA25CF" w:rsidRDefault="002C0FD9" w:rsidP="00CA25CF">
            <w:pPr>
              <w:rPr>
                <w:rFonts w:cs="Arial"/>
                <w:color w:val="FF0000"/>
                <w:sz w:val="21"/>
                <w:szCs w:val="21"/>
              </w:rPr>
            </w:pPr>
          </w:p>
        </w:tc>
        <w:tc>
          <w:tcPr>
            <w:tcW w:w="217" w:type="dxa"/>
          </w:tcPr>
          <w:p w14:paraId="37C8F12C" w14:textId="77777777" w:rsidR="002C0FD9" w:rsidRPr="00CA25CF" w:rsidRDefault="002C0FD9" w:rsidP="00CA25CF">
            <w:pPr>
              <w:rPr>
                <w:rFonts w:cs="Arial"/>
                <w:color w:val="FF0000"/>
                <w:sz w:val="21"/>
                <w:szCs w:val="21"/>
              </w:rPr>
            </w:pPr>
          </w:p>
        </w:tc>
        <w:tc>
          <w:tcPr>
            <w:tcW w:w="217" w:type="dxa"/>
          </w:tcPr>
          <w:p w14:paraId="32D8EAD2" w14:textId="77777777" w:rsidR="002C0FD9" w:rsidRPr="00CA25CF" w:rsidRDefault="002C0FD9" w:rsidP="00CA25CF">
            <w:pPr>
              <w:rPr>
                <w:rFonts w:cs="Arial"/>
                <w:color w:val="FF0000"/>
                <w:sz w:val="21"/>
                <w:szCs w:val="21"/>
              </w:rPr>
            </w:pPr>
          </w:p>
        </w:tc>
        <w:tc>
          <w:tcPr>
            <w:tcW w:w="217" w:type="dxa"/>
          </w:tcPr>
          <w:p w14:paraId="46B538DB" w14:textId="77777777" w:rsidR="002C0FD9" w:rsidRPr="00CA25CF" w:rsidRDefault="002C0FD9" w:rsidP="00CA25CF">
            <w:pPr>
              <w:rPr>
                <w:rFonts w:cs="Arial"/>
                <w:color w:val="FF0000"/>
                <w:sz w:val="21"/>
                <w:szCs w:val="21"/>
              </w:rPr>
            </w:pPr>
          </w:p>
        </w:tc>
        <w:tc>
          <w:tcPr>
            <w:tcW w:w="217" w:type="dxa"/>
          </w:tcPr>
          <w:p w14:paraId="3152F6BC" w14:textId="77777777" w:rsidR="002C0FD9" w:rsidRPr="00CA25CF" w:rsidRDefault="002C0FD9" w:rsidP="00CA25CF">
            <w:pPr>
              <w:rPr>
                <w:rFonts w:cs="Arial"/>
                <w:color w:val="FF0000"/>
                <w:sz w:val="21"/>
                <w:szCs w:val="21"/>
              </w:rPr>
            </w:pPr>
          </w:p>
        </w:tc>
        <w:tc>
          <w:tcPr>
            <w:tcW w:w="217" w:type="dxa"/>
          </w:tcPr>
          <w:p w14:paraId="56D06795" w14:textId="77777777" w:rsidR="002C0FD9" w:rsidRPr="00CA25CF" w:rsidRDefault="002C0FD9" w:rsidP="00CA25CF">
            <w:pPr>
              <w:rPr>
                <w:rFonts w:cs="Arial"/>
                <w:color w:val="FF0000"/>
                <w:sz w:val="21"/>
                <w:szCs w:val="21"/>
              </w:rPr>
            </w:pPr>
          </w:p>
        </w:tc>
        <w:tc>
          <w:tcPr>
            <w:tcW w:w="217" w:type="dxa"/>
          </w:tcPr>
          <w:p w14:paraId="14229E71" w14:textId="77777777" w:rsidR="002C0FD9" w:rsidRPr="00CA25CF" w:rsidRDefault="002C0FD9" w:rsidP="00CA25CF">
            <w:pPr>
              <w:rPr>
                <w:rFonts w:cs="Arial"/>
                <w:color w:val="FF0000"/>
                <w:sz w:val="21"/>
                <w:szCs w:val="21"/>
              </w:rPr>
            </w:pPr>
          </w:p>
        </w:tc>
        <w:tc>
          <w:tcPr>
            <w:tcW w:w="217" w:type="dxa"/>
          </w:tcPr>
          <w:p w14:paraId="0F250A54" w14:textId="77777777" w:rsidR="002C0FD9" w:rsidRPr="00CA25CF" w:rsidRDefault="002C0FD9" w:rsidP="00CA25CF">
            <w:pPr>
              <w:rPr>
                <w:rFonts w:cs="Arial"/>
                <w:color w:val="FF0000"/>
                <w:sz w:val="21"/>
                <w:szCs w:val="21"/>
              </w:rPr>
            </w:pPr>
          </w:p>
        </w:tc>
        <w:tc>
          <w:tcPr>
            <w:tcW w:w="217" w:type="dxa"/>
          </w:tcPr>
          <w:p w14:paraId="1B09F19D" w14:textId="77777777" w:rsidR="002C0FD9" w:rsidRPr="00CA25CF" w:rsidRDefault="002C0FD9" w:rsidP="00CA25CF">
            <w:pPr>
              <w:rPr>
                <w:rFonts w:cs="Arial"/>
                <w:color w:val="FF0000"/>
                <w:sz w:val="21"/>
                <w:szCs w:val="21"/>
              </w:rPr>
            </w:pPr>
          </w:p>
        </w:tc>
        <w:tc>
          <w:tcPr>
            <w:tcW w:w="217" w:type="dxa"/>
          </w:tcPr>
          <w:p w14:paraId="6786D73E" w14:textId="77777777" w:rsidR="002C0FD9" w:rsidRPr="00CA25CF" w:rsidRDefault="002C0FD9" w:rsidP="00CA25CF">
            <w:pPr>
              <w:rPr>
                <w:rFonts w:cs="Arial"/>
                <w:color w:val="FF0000"/>
                <w:sz w:val="21"/>
                <w:szCs w:val="21"/>
              </w:rPr>
            </w:pPr>
          </w:p>
        </w:tc>
        <w:tc>
          <w:tcPr>
            <w:tcW w:w="217" w:type="dxa"/>
          </w:tcPr>
          <w:p w14:paraId="3AFC631B" w14:textId="77777777" w:rsidR="002C0FD9" w:rsidRPr="00CA25CF" w:rsidRDefault="002C0FD9" w:rsidP="00CA25CF">
            <w:pPr>
              <w:rPr>
                <w:rFonts w:cs="Arial"/>
                <w:color w:val="FF0000"/>
                <w:sz w:val="21"/>
                <w:szCs w:val="21"/>
              </w:rPr>
            </w:pPr>
          </w:p>
        </w:tc>
        <w:tc>
          <w:tcPr>
            <w:tcW w:w="217" w:type="dxa"/>
          </w:tcPr>
          <w:p w14:paraId="7F72C6C4" w14:textId="77777777" w:rsidR="002C0FD9" w:rsidRPr="00CA25CF" w:rsidRDefault="002C0FD9" w:rsidP="00CA25CF">
            <w:pPr>
              <w:rPr>
                <w:rFonts w:cs="Arial"/>
                <w:color w:val="FF0000"/>
                <w:sz w:val="21"/>
                <w:szCs w:val="21"/>
              </w:rPr>
            </w:pPr>
          </w:p>
        </w:tc>
        <w:tc>
          <w:tcPr>
            <w:tcW w:w="217" w:type="dxa"/>
          </w:tcPr>
          <w:p w14:paraId="714043BD" w14:textId="77777777" w:rsidR="002C0FD9" w:rsidRPr="00CA25CF" w:rsidRDefault="002C0FD9" w:rsidP="00CA25CF">
            <w:pPr>
              <w:rPr>
                <w:rFonts w:cs="Arial"/>
                <w:color w:val="FF0000"/>
                <w:sz w:val="21"/>
                <w:szCs w:val="21"/>
              </w:rPr>
            </w:pPr>
          </w:p>
        </w:tc>
        <w:tc>
          <w:tcPr>
            <w:tcW w:w="217" w:type="dxa"/>
          </w:tcPr>
          <w:p w14:paraId="49739123" w14:textId="77777777" w:rsidR="002C0FD9" w:rsidRPr="00CA25CF" w:rsidRDefault="002C0FD9" w:rsidP="00CA25CF">
            <w:pPr>
              <w:rPr>
                <w:rFonts w:cs="Arial"/>
                <w:color w:val="FF0000"/>
                <w:sz w:val="21"/>
                <w:szCs w:val="21"/>
              </w:rPr>
            </w:pPr>
          </w:p>
        </w:tc>
        <w:tc>
          <w:tcPr>
            <w:tcW w:w="217" w:type="dxa"/>
          </w:tcPr>
          <w:p w14:paraId="7193BFB5" w14:textId="77777777" w:rsidR="002C0FD9" w:rsidRPr="00CA25CF" w:rsidRDefault="002C0FD9" w:rsidP="00CA25CF">
            <w:pPr>
              <w:rPr>
                <w:rFonts w:cs="Arial"/>
                <w:color w:val="FF0000"/>
                <w:sz w:val="21"/>
                <w:szCs w:val="21"/>
              </w:rPr>
            </w:pPr>
          </w:p>
        </w:tc>
        <w:tc>
          <w:tcPr>
            <w:tcW w:w="217" w:type="dxa"/>
          </w:tcPr>
          <w:p w14:paraId="4C2E7458" w14:textId="77777777" w:rsidR="002C0FD9" w:rsidRPr="00CA25CF" w:rsidRDefault="002C0FD9" w:rsidP="00CA25CF">
            <w:pPr>
              <w:rPr>
                <w:rFonts w:cs="Arial"/>
                <w:color w:val="FF0000"/>
                <w:sz w:val="21"/>
                <w:szCs w:val="21"/>
              </w:rPr>
            </w:pPr>
          </w:p>
        </w:tc>
        <w:tc>
          <w:tcPr>
            <w:tcW w:w="217" w:type="dxa"/>
          </w:tcPr>
          <w:p w14:paraId="2D323BE5" w14:textId="77777777" w:rsidR="002C0FD9" w:rsidRPr="00CA25CF" w:rsidRDefault="002C0FD9" w:rsidP="00CA25CF">
            <w:pPr>
              <w:rPr>
                <w:rFonts w:cs="Arial"/>
                <w:color w:val="FF0000"/>
                <w:sz w:val="21"/>
                <w:szCs w:val="21"/>
              </w:rPr>
            </w:pPr>
          </w:p>
        </w:tc>
        <w:tc>
          <w:tcPr>
            <w:tcW w:w="217" w:type="dxa"/>
          </w:tcPr>
          <w:p w14:paraId="7B30978E" w14:textId="77777777" w:rsidR="002C0FD9" w:rsidRPr="00CA25CF" w:rsidRDefault="002C0FD9" w:rsidP="00CA25CF">
            <w:pPr>
              <w:rPr>
                <w:rFonts w:cs="Arial"/>
                <w:color w:val="FF0000"/>
                <w:sz w:val="21"/>
                <w:szCs w:val="21"/>
              </w:rPr>
            </w:pPr>
          </w:p>
        </w:tc>
        <w:tc>
          <w:tcPr>
            <w:tcW w:w="217" w:type="dxa"/>
          </w:tcPr>
          <w:p w14:paraId="12331AD9" w14:textId="77777777" w:rsidR="002C0FD9" w:rsidRPr="00CA25CF" w:rsidRDefault="002C0FD9" w:rsidP="00CA25CF">
            <w:pPr>
              <w:rPr>
                <w:rFonts w:cs="Arial"/>
                <w:color w:val="FF0000"/>
                <w:sz w:val="21"/>
                <w:szCs w:val="21"/>
              </w:rPr>
            </w:pPr>
          </w:p>
        </w:tc>
        <w:tc>
          <w:tcPr>
            <w:tcW w:w="217" w:type="dxa"/>
          </w:tcPr>
          <w:p w14:paraId="4D99BED6" w14:textId="77777777" w:rsidR="002C0FD9" w:rsidRPr="00CA25CF" w:rsidRDefault="002C0FD9" w:rsidP="00CA25CF">
            <w:pPr>
              <w:rPr>
                <w:rFonts w:cs="Arial"/>
                <w:color w:val="FF0000"/>
                <w:sz w:val="21"/>
                <w:szCs w:val="21"/>
              </w:rPr>
            </w:pPr>
          </w:p>
        </w:tc>
        <w:tc>
          <w:tcPr>
            <w:tcW w:w="217" w:type="dxa"/>
          </w:tcPr>
          <w:p w14:paraId="1E3B06F0" w14:textId="77777777" w:rsidR="002C0FD9" w:rsidRPr="00CA25CF" w:rsidRDefault="002C0FD9" w:rsidP="00CA25CF">
            <w:pPr>
              <w:rPr>
                <w:rFonts w:cs="Arial"/>
                <w:color w:val="FF0000"/>
                <w:sz w:val="21"/>
                <w:szCs w:val="21"/>
              </w:rPr>
            </w:pPr>
          </w:p>
        </w:tc>
        <w:tc>
          <w:tcPr>
            <w:tcW w:w="217" w:type="dxa"/>
          </w:tcPr>
          <w:p w14:paraId="5985EDF1" w14:textId="77777777" w:rsidR="002C0FD9" w:rsidRPr="00CA25CF" w:rsidRDefault="002C0FD9" w:rsidP="00CA25CF">
            <w:pPr>
              <w:rPr>
                <w:rFonts w:cs="Arial"/>
                <w:color w:val="FF0000"/>
                <w:sz w:val="21"/>
                <w:szCs w:val="21"/>
              </w:rPr>
            </w:pPr>
          </w:p>
        </w:tc>
        <w:tc>
          <w:tcPr>
            <w:tcW w:w="217" w:type="dxa"/>
          </w:tcPr>
          <w:p w14:paraId="02061EB5" w14:textId="77777777" w:rsidR="002C0FD9" w:rsidRPr="00CA25CF" w:rsidRDefault="002C0FD9" w:rsidP="00CA25CF">
            <w:pPr>
              <w:rPr>
                <w:rFonts w:cs="Arial"/>
                <w:color w:val="FF0000"/>
                <w:sz w:val="21"/>
                <w:szCs w:val="21"/>
              </w:rPr>
            </w:pPr>
          </w:p>
        </w:tc>
        <w:tc>
          <w:tcPr>
            <w:tcW w:w="217" w:type="dxa"/>
          </w:tcPr>
          <w:p w14:paraId="3FD4A54D" w14:textId="77777777" w:rsidR="002C0FD9" w:rsidRPr="00CA25CF" w:rsidRDefault="002C0FD9" w:rsidP="00CA25CF">
            <w:pPr>
              <w:rPr>
                <w:rFonts w:cs="Arial"/>
                <w:color w:val="FF0000"/>
                <w:sz w:val="21"/>
                <w:szCs w:val="21"/>
              </w:rPr>
            </w:pPr>
          </w:p>
        </w:tc>
        <w:tc>
          <w:tcPr>
            <w:tcW w:w="217" w:type="dxa"/>
          </w:tcPr>
          <w:p w14:paraId="5BD64082" w14:textId="77777777" w:rsidR="002C0FD9" w:rsidRPr="00CA25CF" w:rsidRDefault="002C0FD9" w:rsidP="00CA25CF">
            <w:pPr>
              <w:rPr>
                <w:rFonts w:cs="Arial"/>
                <w:color w:val="FF0000"/>
                <w:sz w:val="21"/>
                <w:szCs w:val="21"/>
              </w:rPr>
            </w:pPr>
          </w:p>
        </w:tc>
        <w:tc>
          <w:tcPr>
            <w:tcW w:w="217" w:type="dxa"/>
          </w:tcPr>
          <w:p w14:paraId="45759B49" w14:textId="77777777" w:rsidR="002C0FD9" w:rsidRPr="00CA25CF" w:rsidRDefault="002C0FD9" w:rsidP="00CA25CF">
            <w:pPr>
              <w:rPr>
                <w:rFonts w:cs="Arial"/>
                <w:color w:val="FF0000"/>
                <w:sz w:val="21"/>
                <w:szCs w:val="21"/>
              </w:rPr>
            </w:pPr>
          </w:p>
        </w:tc>
      </w:tr>
      <w:tr w:rsidR="002C0FD9" w:rsidRPr="00A16219" w14:paraId="440CC719" w14:textId="77777777" w:rsidTr="002C0FD9">
        <w:trPr>
          <w:trHeight w:val="635"/>
        </w:trPr>
        <w:tc>
          <w:tcPr>
            <w:tcW w:w="515" w:type="dxa"/>
          </w:tcPr>
          <w:p w14:paraId="7BB77925" w14:textId="77777777" w:rsidR="002C0FD9" w:rsidRPr="00CA25CF" w:rsidRDefault="002C0FD9" w:rsidP="00CA25CF">
            <w:pPr>
              <w:rPr>
                <w:rFonts w:cs="Arial"/>
                <w:color w:val="FF0000"/>
                <w:sz w:val="21"/>
                <w:szCs w:val="21"/>
              </w:rPr>
            </w:pPr>
          </w:p>
        </w:tc>
        <w:tc>
          <w:tcPr>
            <w:tcW w:w="217" w:type="dxa"/>
          </w:tcPr>
          <w:p w14:paraId="48AF6DC3" w14:textId="77777777" w:rsidR="002C0FD9" w:rsidRPr="00CA25CF" w:rsidRDefault="002C0FD9" w:rsidP="00CA25CF">
            <w:pPr>
              <w:rPr>
                <w:rFonts w:cs="Arial"/>
                <w:color w:val="FF0000"/>
                <w:sz w:val="21"/>
                <w:szCs w:val="21"/>
              </w:rPr>
            </w:pPr>
          </w:p>
        </w:tc>
        <w:tc>
          <w:tcPr>
            <w:tcW w:w="217" w:type="dxa"/>
          </w:tcPr>
          <w:p w14:paraId="0D12AC48" w14:textId="77777777" w:rsidR="002C0FD9" w:rsidRPr="00CA25CF" w:rsidRDefault="002C0FD9" w:rsidP="00CA25CF">
            <w:pPr>
              <w:rPr>
                <w:rFonts w:cs="Arial"/>
                <w:color w:val="FF0000"/>
                <w:sz w:val="21"/>
                <w:szCs w:val="21"/>
              </w:rPr>
            </w:pPr>
          </w:p>
        </w:tc>
        <w:tc>
          <w:tcPr>
            <w:tcW w:w="217" w:type="dxa"/>
          </w:tcPr>
          <w:p w14:paraId="206802DA" w14:textId="77777777" w:rsidR="002C0FD9" w:rsidRPr="00CA25CF" w:rsidRDefault="002C0FD9" w:rsidP="00CA25CF">
            <w:pPr>
              <w:rPr>
                <w:rFonts w:cs="Arial"/>
                <w:color w:val="FF0000"/>
                <w:sz w:val="21"/>
                <w:szCs w:val="21"/>
              </w:rPr>
            </w:pPr>
          </w:p>
        </w:tc>
        <w:tc>
          <w:tcPr>
            <w:tcW w:w="217" w:type="dxa"/>
          </w:tcPr>
          <w:p w14:paraId="51421D9E" w14:textId="77777777" w:rsidR="002C0FD9" w:rsidRPr="00CA25CF" w:rsidRDefault="002C0FD9" w:rsidP="00CA25CF">
            <w:pPr>
              <w:rPr>
                <w:rFonts w:cs="Arial"/>
                <w:color w:val="FF0000"/>
                <w:sz w:val="21"/>
                <w:szCs w:val="21"/>
              </w:rPr>
            </w:pPr>
          </w:p>
        </w:tc>
        <w:tc>
          <w:tcPr>
            <w:tcW w:w="217" w:type="dxa"/>
          </w:tcPr>
          <w:p w14:paraId="7077079E" w14:textId="77777777" w:rsidR="002C0FD9" w:rsidRPr="00CA25CF" w:rsidRDefault="002C0FD9" w:rsidP="00CA25CF">
            <w:pPr>
              <w:rPr>
                <w:rFonts w:cs="Arial"/>
                <w:color w:val="FF0000"/>
                <w:sz w:val="21"/>
                <w:szCs w:val="21"/>
              </w:rPr>
            </w:pPr>
          </w:p>
        </w:tc>
        <w:tc>
          <w:tcPr>
            <w:tcW w:w="217" w:type="dxa"/>
          </w:tcPr>
          <w:p w14:paraId="216C34B5" w14:textId="77777777" w:rsidR="002C0FD9" w:rsidRPr="00CA25CF" w:rsidRDefault="002C0FD9" w:rsidP="00CA25CF">
            <w:pPr>
              <w:rPr>
                <w:rFonts w:cs="Arial"/>
                <w:color w:val="FF0000"/>
                <w:sz w:val="21"/>
                <w:szCs w:val="21"/>
              </w:rPr>
            </w:pPr>
          </w:p>
        </w:tc>
        <w:tc>
          <w:tcPr>
            <w:tcW w:w="217" w:type="dxa"/>
          </w:tcPr>
          <w:p w14:paraId="4F2EC46B" w14:textId="77777777" w:rsidR="002C0FD9" w:rsidRPr="00CA25CF" w:rsidRDefault="002C0FD9" w:rsidP="00CA25CF">
            <w:pPr>
              <w:rPr>
                <w:rFonts w:cs="Arial"/>
                <w:color w:val="FF0000"/>
                <w:sz w:val="21"/>
                <w:szCs w:val="21"/>
              </w:rPr>
            </w:pPr>
          </w:p>
        </w:tc>
        <w:tc>
          <w:tcPr>
            <w:tcW w:w="217" w:type="dxa"/>
          </w:tcPr>
          <w:p w14:paraId="50320D58" w14:textId="77777777" w:rsidR="002C0FD9" w:rsidRPr="00CA25CF" w:rsidRDefault="002C0FD9" w:rsidP="00CA25CF">
            <w:pPr>
              <w:rPr>
                <w:rFonts w:cs="Arial"/>
                <w:color w:val="FF0000"/>
                <w:sz w:val="21"/>
                <w:szCs w:val="21"/>
              </w:rPr>
            </w:pPr>
          </w:p>
        </w:tc>
        <w:tc>
          <w:tcPr>
            <w:tcW w:w="217" w:type="dxa"/>
          </w:tcPr>
          <w:p w14:paraId="2B36C5F5" w14:textId="77777777" w:rsidR="002C0FD9" w:rsidRPr="00CA25CF" w:rsidRDefault="002C0FD9" w:rsidP="00CA25CF">
            <w:pPr>
              <w:rPr>
                <w:rFonts w:cs="Arial"/>
                <w:color w:val="FF0000"/>
                <w:sz w:val="21"/>
                <w:szCs w:val="21"/>
              </w:rPr>
            </w:pPr>
          </w:p>
        </w:tc>
        <w:tc>
          <w:tcPr>
            <w:tcW w:w="217" w:type="dxa"/>
          </w:tcPr>
          <w:p w14:paraId="6F550B70" w14:textId="77777777" w:rsidR="002C0FD9" w:rsidRPr="00CA25CF" w:rsidRDefault="002C0FD9" w:rsidP="00CA25CF">
            <w:pPr>
              <w:rPr>
                <w:rFonts w:cs="Arial"/>
                <w:color w:val="FF0000"/>
                <w:sz w:val="21"/>
                <w:szCs w:val="21"/>
              </w:rPr>
            </w:pPr>
          </w:p>
        </w:tc>
        <w:tc>
          <w:tcPr>
            <w:tcW w:w="217" w:type="dxa"/>
          </w:tcPr>
          <w:p w14:paraId="2CA4B3CF" w14:textId="77777777" w:rsidR="002C0FD9" w:rsidRPr="00CA25CF" w:rsidRDefault="002C0FD9" w:rsidP="00CA25CF">
            <w:pPr>
              <w:rPr>
                <w:rFonts w:cs="Arial"/>
                <w:color w:val="FF0000"/>
                <w:sz w:val="21"/>
                <w:szCs w:val="21"/>
              </w:rPr>
            </w:pPr>
          </w:p>
        </w:tc>
        <w:tc>
          <w:tcPr>
            <w:tcW w:w="217" w:type="dxa"/>
          </w:tcPr>
          <w:p w14:paraId="4592EA3C" w14:textId="77777777" w:rsidR="002C0FD9" w:rsidRPr="00CA25CF" w:rsidRDefault="002C0FD9" w:rsidP="00CA25CF">
            <w:pPr>
              <w:rPr>
                <w:rFonts w:cs="Arial"/>
                <w:color w:val="FF0000"/>
                <w:sz w:val="21"/>
                <w:szCs w:val="21"/>
              </w:rPr>
            </w:pPr>
          </w:p>
        </w:tc>
        <w:tc>
          <w:tcPr>
            <w:tcW w:w="217" w:type="dxa"/>
          </w:tcPr>
          <w:p w14:paraId="3030D810" w14:textId="77777777" w:rsidR="002C0FD9" w:rsidRPr="00CA25CF" w:rsidRDefault="002C0FD9" w:rsidP="00CA25CF">
            <w:pPr>
              <w:rPr>
                <w:rFonts w:cs="Arial"/>
                <w:color w:val="FF0000"/>
                <w:sz w:val="21"/>
                <w:szCs w:val="21"/>
              </w:rPr>
            </w:pPr>
          </w:p>
        </w:tc>
        <w:tc>
          <w:tcPr>
            <w:tcW w:w="217" w:type="dxa"/>
          </w:tcPr>
          <w:p w14:paraId="5CDDB69A" w14:textId="77777777" w:rsidR="002C0FD9" w:rsidRPr="00CA25CF" w:rsidRDefault="002C0FD9" w:rsidP="00CA25CF">
            <w:pPr>
              <w:rPr>
                <w:rFonts w:cs="Arial"/>
                <w:color w:val="FF0000"/>
                <w:sz w:val="21"/>
                <w:szCs w:val="21"/>
              </w:rPr>
            </w:pPr>
          </w:p>
        </w:tc>
        <w:tc>
          <w:tcPr>
            <w:tcW w:w="217" w:type="dxa"/>
          </w:tcPr>
          <w:p w14:paraId="40B31527" w14:textId="77777777" w:rsidR="002C0FD9" w:rsidRPr="00CA25CF" w:rsidRDefault="002C0FD9" w:rsidP="00CA25CF">
            <w:pPr>
              <w:rPr>
                <w:rFonts w:cs="Arial"/>
                <w:color w:val="FF0000"/>
                <w:sz w:val="21"/>
                <w:szCs w:val="21"/>
              </w:rPr>
            </w:pPr>
          </w:p>
        </w:tc>
        <w:tc>
          <w:tcPr>
            <w:tcW w:w="217" w:type="dxa"/>
          </w:tcPr>
          <w:p w14:paraId="313F3F87" w14:textId="77777777" w:rsidR="002C0FD9" w:rsidRPr="00CA25CF" w:rsidRDefault="002C0FD9" w:rsidP="00CA25CF">
            <w:pPr>
              <w:rPr>
                <w:rFonts w:cs="Arial"/>
                <w:color w:val="FF0000"/>
                <w:sz w:val="21"/>
                <w:szCs w:val="21"/>
              </w:rPr>
            </w:pPr>
          </w:p>
        </w:tc>
        <w:tc>
          <w:tcPr>
            <w:tcW w:w="217" w:type="dxa"/>
          </w:tcPr>
          <w:p w14:paraId="6274E705" w14:textId="77777777" w:rsidR="002C0FD9" w:rsidRPr="00CA25CF" w:rsidRDefault="002C0FD9" w:rsidP="00CA25CF">
            <w:pPr>
              <w:rPr>
                <w:rFonts w:cs="Arial"/>
                <w:color w:val="FF0000"/>
                <w:sz w:val="21"/>
                <w:szCs w:val="21"/>
              </w:rPr>
            </w:pPr>
          </w:p>
        </w:tc>
        <w:tc>
          <w:tcPr>
            <w:tcW w:w="217" w:type="dxa"/>
          </w:tcPr>
          <w:p w14:paraId="39CFA7DF" w14:textId="77777777" w:rsidR="002C0FD9" w:rsidRPr="00CA25CF" w:rsidRDefault="002C0FD9" w:rsidP="00CA25CF">
            <w:pPr>
              <w:rPr>
                <w:rFonts w:cs="Arial"/>
                <w:color w:val="FF0000"/>
                <w:sz w:val="21"/>
                <w:szCs w:val="21"/>
              </w:rPr>
            </w:pPr>
          </w:p>
        </w:tc>
        <w:tc>
          <w:tcPr>
            <w:tcW w:w="217" w:type="dxa"/>
          </w:tcPr>
          <w:p w14:paraId="6E67F5EB" w14:textId="77777777" w:rsidR="002C0FD9" w:rsidRPr="00CA25CF" w:rsidRDefault="002C0FD9" w:rsidP="00CA25CF">
            <w:pPr>
              <w:rPr>
                <w:rFonts w:cs="Arial"/>
                <w:color w:val="FF0000"/>
                <w:sz w:val="21"/>
                <w:szCs w:val="21"/>
              </w:rPr>
            </w:pPr>
          </w:p>
        </w:tc>
        <w:tc>
          <w:tcPr>
            <w:tcW w:w="217" w:type="dxa"/>
          </w:tcPr>
          <w:p w14:paraId="25522565" w14:textId="77777777" w:rsidR="002C0FD9" w:rsidRPr="00CA25CF" w:rsidRDefault="002C0FD9" w:rsidP="00CA25CF">
            <w:pPr>
              <w:rPr>
                <w:rFonts w:cs="Arial"/>
                <w:color w:val="FF0000"/>
                <w:sz w:val="21"/>
                <w:szCs w:val="21"/>
              </w:rPr>
            </w:pPr>
          </w:p>
        </w:tc>
        <w:tc>
          <w:tcPr>
            <w:tcW w:w="217" w:type="dxa"/>
          </w:tcPr>
          <w:p w14:paraId="5B715241" w14:textId="77777777" w:rsidR="002C0FD9" w:rsidRPr="00CA25CF" w:rsidRDefault="002C0FD9" w:rsidP="00CA25CF">
            <w:pPr>
              <w:rPr>
                <w:rFonts w:cs="Arial"/>
                <w:color w:val="FF0000"/>
                <w:sz w:val="21"/>
                <w:szCs w:val="21"/>
              </w:rPr>
            </w:pPr>
          </w:p>
        </w:tc>
        <w:tc>
          <w:tcPr>
            <w:tcW w:w="217" w:type="dxa"/>
          </w:tcPr>
          <w:p w14:paraId="256D7B28" w14:textId="77777777" w:rsidR="002C0FD9" w:rsidRPr="00CA25CF" w:rsidRDefault="002C0FD9" w:rsidP="00CA25CF">
            <w:pPr>
              <w:rPr>
                <w:rFonts w:cs="Arial"/>
                <w:color w:val="FF0000"/>
                <w:sz w:val="21"/>
                <w:szCs w:val="21"/>
              </w:rPr>
            </w:pPr>
          </w:p>
        </w:tc>
        <w:tc>
          <w:tcPr>
            <w:tcW w:w="217" w:type="dxa"/>
          </w:tcPr>
          <w:p w14:paraId="741A6473" w14:textId="77777777" w:rsidR="002C0FD9" w:rsidRPr="00CA25CF" w:rsidRDefault="002C0FD9" w:rsidP="00CA25CF">
            <w:pPr>
              <w:rPr>
                <w:rFonts w:cs="Arial"/>
                <w:color w:val="FF0000"/>
                <w:sz w:val="21"/>
                <w:szCs w:val="21"/>
              </w:rPr>
            </w:pPr>
          </w:p>
        </w:tc>
        <w:tc>
          <w:tcPr>
            <w:tcW w:w="217" w:type="dxa"/>
          </w:tcPr>
          <w:p w14:paraId="338C9573" w14:textId="77777777" w:rsidR="002C0FD9" w:rsidRPr="00CA25CF" w:rsidRDefault="002C0FD9" w:rsidP="00CA25CF">
            <w:pPr>
              <w:rPr>
                <w:rFonts w:cs="Arial"/>
                <w:color w:val="FF0000"/>
                <w:sz w:val="21"/>
                <w:szCs w:val="21"/>
              </w:rPr>
            </w:pPr>
          </w:p>
        </w:tc>
        <w:tc>
          <w:tcPr>
            <w:tcW w:w="217" w:type="dxa"/>
          </w:tcPr>
          <w:p w14:paraId="334E386A" w14:textId="77777777" w:rsidR="002C0FD9" w:rsidRPr="00CA25CF" w:rsidRDefault="002C0FD9" w:rsidP="00CA25CF">
            <w:pPr>
              <w:rPr>
                <w:rFonts w:cs="Arial"/>
                <w:color w:val="FF0000"/>
                <w:sz w:val="21"/>
                <w:szCs w:val="21"/>
              </w:rPr>
            </w:pPr>
          </w:p>
        </w:tc>
        <w:tc>
          <w:tcPr>
            <w:tcW w:w="217" w:type="dxa"/>
          </w:tcPr>
          <w:p w14:paraId="5AD719F7" w14:textId="77777777" w:rsidR="002C0FD9" w:rsidRPr="00CA25CF" w:rsidRDefault="002C0FD9" w:rsidP="00CA25CF">
            <w:pPr>
              <w:rPr>
                <w:rFonts w:cs="Arial"/>
                <w:color w:val="FF0000"/>
                <w:sz w:val="21"/>
                <w:szCs w:val="21"/>
              </w:rPr>
            </w:pPr>
          </w:p>
        </w:tc>
        <w:tc>
          <w:tcPr>
            <w:tcW w:w="217" w:type="dxa"/>
          </w:tcPr>
          <w:p w14:paraId="090C024F" w14:textId="77777777" w:rsidR="002C0FD9" w:rsidRPr="00CA25CF" w:rsidRDefault="002C0FD9" w:rsidP="00CA25CF">
            <w:pPr>
              <w:rPr>
                <w:rFonts w:cs="Arial"/>
                <w:color w:val="FF0000"/>
                <w:sz w:val="21"/>
                <w:szCs w:val="21"/>
              </w:rPr>
            </w:pPr>
          </w:p>
        </w:tc>
        <w:tc>
          <w:tcPr>
            <w:tcW w:w="217" w:type="dxa"/>
          </w:tcPr>
          <w:p w14:paraId="2CC1418E" w14:textId="77777777" w:rsidR="002C0FD9" w:rsidRPr="00CA25CF" w:rsidRDefault="002C0FD9" w:rsidP="00CA25CF">
            <w:pPr>
              <w:rPr>
                <w:rFonts w:cs="Arial"/>
                <w:color w:val="FF0000"/>
                <w:sz w:val="21"/>
                <w:szCs w:val="21"/>
              </w:rPr>
            </w:pPr>
          </w:p>
        </w:tc>
        <w:tc>
          <w:tcPr>
            <w:tcW w:w="217" w:type="dxa"/>
          </w:tcPr>
          <w:p w14:paraId="0CFCA88D" w14:textId="77777777" w:rsidR="002C0FD9" w:rsidRPr="00CA25CF" w:rsidRDefault="002C0FD9" w:rsidP="00CA25CF">
            <w:pPr>
              <w:rPr>
                <w:rFonts w:cs="Arial"/>
                <w:color w:val="FF0000"/>
                <w:sz w:val="21"/>
                <w:szCs w:val="21"/>
              </w:rPr>
            </w:pPr>
          </w:p>
        </w:tc>
        <w:tc>
          <w:tcPr>
            <w:tcW w:w="217" w:type="dxa"/>
          </w:tcPr>
          <w:p w14:paraId="53DAD308" w14:textId="77777777" w:rsidR="002C0FD9" w:rsidRPr="00CA25CF" w:rsidRDefault="002C0FD9" w:rsidP="00CA25CF">
            <w:pPr>
              <w:rPr>
                <w:rFonts w:cs="Arial"/>
                <w:color w:val="FF0000"/>
                <w:sz w:val="21"/>
                <w:szCs w:val="21"/>
              </w:rPr>
            </w:pPr>
          </w:p>
        </w:tc>
        <w:tc>
          <w:tcPr>
            <w:tcW w:w="217" w:type="dxa"/>
          </w:tcPr>
          <w:p w14:paraId="0CDEC163" w14:textId="77777777" w:rsidR="002C0FD9" w:rsidRPr="00CA25CF" w:rsidRDefault="002C0FD9" w:rsidP="00CA25CF">
            <w:pPr>
              <w:rPr>
                <w:rFonts w:cs="Arial"/>
                <w:color w:val="FF0000"/>
                <w:sz w:val="21"/>
                <w:szCs w:val="21"/>
              </w:rPr>
            </w:pPr>
          </w:p>
        </w:tc>
        <w:tc>
          <w:tcPr>
            <w:tcW w:w="217" w:type="dxa"/>
          </w:tcPr>
          <w:p w14:paraId="58ADA085" w14:textId="77777777" w:rsidR="002C0FD9" w:rsidRPr="00CA25CF" w:rsidRDefault="002C0FD9" w:rsidP="00CA25CF">
            <w:pPr>
              <w:rPr>
                <w:rFonts w:cs="Arial"/>
                <w:color w:val="FF0000"/>
                <w:sz w:val="21"/>
                <w:szCs w:val="21"/>
              </w:rPr>
            </w:pPr>
          </w:p>
        </w:tc>
        <w:tc>
          <w:tcPr>
            <w:tcW w:w="217" w:type="dxa"/>
          </w:tcPr>
          <w:p w14:paraId="17F3F8F1" w14:textId="77777777" w:rsidR="002C0FD9" w:rsidRPr="00CA25CF" w:rsidRDefault="002C0FD9" w:rsidP="00CA25CF">
            <w:pPr>
              <w:rPr>
                <w:rFonts w:cs="Arial"/>
                <w:color w:val="FF0000"/>
                <w:sz w:val="21"/>
                <w:szCs w:val="21"/>
              </w:rPr>
            </w:pPr>
          </w:p>
        </w:tc>
        <w:tc>
          <w:tcPr>
            <w:tcW w:w="217" w:type="dxa"/>
          </w:tcPr>
          <w:p w14:paraId="05A1FB3D" w14:textId="77777777" w:rsidR="002C0FD9" w:rsidRPr="00CA25CF" w:rsidRDefault="002C0FD9" w:rsidP="00CA25CF">
            <w:pPr>
              <w:rPr>
                <w:rFonts w:cs="Arial"/>
                <w:color w:val="FF0000"/>
                <w:sz w:val="21"/>
                <w:szCs w:val="21"/>
              </w:rPr>
            </w:pPr>
          </w:p>
        </w:tc>
        <w:tc>
          <w:tcPr>
            <w:tcW w:w="217" w:type="dxa"/>
          </w:tcPr>
          <w:p w14:paraId="323003CA" w14:textId="77777777" w:rsidR="002C0FD9" w:rsidRPr="00CA25CF" w:rsidRDefault="002C0FD9" w:rsidP="00CA25CF">
            <w:pPr>
              <w:rPr>
                <w:rFonts w:cs="Arial"/>
                <w:color w:val="FF0000"/>
                <w:sz w:val="21"/>
                <w:szCs w:val="21"/>
              </w:rPr>
            </w:pPr>
          </w:p>
        </w:tc>
        <w:tc>
          <w:tcPr>
            <w:tcW w:w="217" w:type="dxa"/>
          </w:tcPr>
          <w:p w14:paraId="770E31CC" w14:textId="77777777" w:rsidR="002C0FD9" w:rsidRPr="00CA25CF" w:rsidRDefault="002C0FD9" w:rsidP="00CA25CF">
            <w:pPr>
              <w:rPr>
                <w:rFonts w:cs="Arial"/>
                <w:color w:val="FF0000"/>
                <w:sz w:val="21"/>
                <w:szCs w:val="21"/>
              </w:rPr>
            </w:pPr>
          </w:p>
        </w:tc>
        <w:tc>
          <w:tcPr>
            <w:tcW w:w="217" w:type="dxa"/>
          </w:tcPr>
          <w:p w14:paraId="76996202" w14:textId="77777777" w:rsidR="002C0FD9" w:rsidRPr="00CA25CF" w:rsidRDefault="002C0FD9" w:rsidP="00CA25CF">
            <w:pPr>
              <w:rPr>
                <w:rFonts w:cs="Arial"/>
                <w:color w:val="FF0000"/>
                <w:sz w:val="21"/>
                <w:szCs w:val="21"/>
              </w:rPr>
            </w:pPr>
          </w:p>
        </w:tc>
        <w:tc>
          <w:tcPr>
            <w:tcW w:w="217" w:type="dxa"/>
          </w:tcPr>
          <w:p w14:paraId="7551CD27" w14:textId="77777777" w:rsidR="002C0FD9" w:rsidRPr="00CA25CF" w:rsidRDefault="002C0FD9" w:rsidP="00CA25CF">
            <w:pPr>
              <w:rPr>
                <w:rFonts w:cs="Arial"/>
                <w:color w:val="FF0000"/>
                <w:sz w:val="21"/>
                <w:szCs w:val="21"/>
              </w:rPr>
            </w:pPr>
          </w:p>
        </w:tc>
        <w:tc>
          <w:tcPr>
            <w:tcW w:w="217" w:type="dxa"/>
          </w:tcPr>
          <w:p w14:paraId="5E3836B2" w14:textId="77777777" w:rsidR="002C0FD9" w:rsidRPr="00CA25CF" w:rsidRDefault="002C0FD9" w:rsidP="00CA25CF">
            <w:pPr>
              <w:rPr>
                <w:rFonts w:cs="Arial"/>
                <w:color w:val="FF0000"/>
                <w:sz w:val="21"/>
                <w:szCs w:val="21"/>
              </w:rPr>
            </w:pPr>
          </w:p>
        </w:tc>
        <w:tc>
          <w:tcPr>
            <w:tcW w:w="217" w:type="dxa"/>
          </w:tcPr>
          <w:p w14:paraId="2D97294D" w14:textId="77777777" w:rsidR="002C0FD9" w:rsidRPr="00CA25CF" w:rsidRDefault="002C0FD9" w:rsidP="00CA25CF">
            <w:pPr>
              <w:rPr>
                <w:rFonts w:cs="Arial"/>
                <w:color w:val="FF0000"/>
                <w:sz w:val="21"/>
                <w:szCs w:val="21"/>
              </w:rPr>
            </w:pPr>
          </w:p>
        </w:tc>
        <w:tc>
          <w:tcPr>
            <w:tcW w:w="217" w:type="dxa"/>
          </w:tcPr>
          <w:p w14:paraId="1B183243" w14:textId="77777777" w:rsidR="002C0FD9" w:rsidRPr="00CA25CF" w:rsidRDefault="002C0FD9" w:rsidP="00CA25CF">
            <w:pPr>
              <w:rPr>
                <w:rFonts w:cs="Arial"/>
                <w:color w:val="FF0000"/>
                <w:sz w:val="21"/>
                <w:szCs w:val="21"/>
              </w:rPr>
            </w:pPr>
          </w:p>
        </w:tc>
        <w:tc>
          <w:tcPr>
            <w:tcW w:w="217" w:type="dxa"/>
          </w:tcPr>
          <w:p w14:paraId="0A4CEC2A" w14:textId="77777777" w:rsidR="002C0FD9" w:rsidRPr="00CA25CF" w:rsidRDefault="002C0FD9" w:rsidP="00CA25CF">
            <w:pPr>
              <w:rPr>
                <w:rFonts w:cs="Arial"/>
                <w:color w:val="FF0000"/>
                <w:sz w:val="21"/>
                <w:szCs w:val="21"/>
              </w:rPr>
            </w:pPr>
          </w:p>
        </w:tc>
      </w:tr>
      <w:tr w:rsidR="002C0FD9" w:rsidRPr="00A16219" w14:paraId="2903B53C" w14:textId="77777777" w:rsidTr="002C0FD9">
        <w:trPr>
          <w:trHeight w:val="635"/>
        </w:trPr>
        <w:tc>
          <w:tcPr>
            <w:tcW w:w="515" w:type="dxa"/>
          </w:tcPr>
          <w:p w14:paraId="393EDAA1" w14:textId="77777777" w:rsidR="002C0FD9" w:rsidRPr="00CA25CF" w:rsidRDefault="002C0FD9" w:rsidP="00CA25CF">
            <w:pPr>
              <w:rPr>
                <w:rFonts w:cs="Arial"/>
                <w:color w:val="FF0000"/>
                <w:sz w:val="21"/>
                <w:szCs w:val="21"/>
              </w:rPr>
            </w:pPr>
          </w:p>
        </w:tc>
        <w:tc>
          <w:tcPr>
            <w:tcW w:w="217" w:type="dxa"/>
          </w:tcPr>
          <w:p w14:paraId="3B563671" w14:textId="77777777" w:rsidR="002C0FD9" w:rsidRPr="00CA25CF" w:rsidRDefault="002C0FD9" w:rsidP="00CA25CF">
            <w:pPr>
              <w:rPr>
                <w:rFonts w:cs="Arial"/>
                <w:color w:val="FF0000"/>
                <w:sz w:val="21"/>
                <w:szCs w:val="21"/>
              </w:rPr>
            </w:pPr>
          </w:p>
        </w:tc>
        <w:tc>
          <w:tcPr>
            <w:tcW w:w="217" w:type="dxa"/>
          </w:tcPr>
          <w:p w14:paraId="757372BA" w14:textId="77777777" w:rsidR="002C0FD9" w:rsidRPr="00CA25CF" w:rsidRDefault="002C0FD9" w:rsidP="00CA25CF">
            <w:pPr>
              <w:rPr>
                <w:rFonts w:cs="Arial"/>
                <w:color w:val="FF0000"/>
                <w:sz w:val="21"/>
                <w:szCs w:val="21"/>
              </w:rPr>
            </w:pPr>
          </w:p>
        </w:tc>
        <w:tc>
          <w:tcPr>
            <w:tcW w:w="217" w:type="dxa"/>
          </w:tcPr>
          <w:p w14:paraId="69053610" w14:textId="77777777" w:rsidR="002C0FD9" w:rsidRPr="00CA25CF" w:rsidRDefault="002C0FD9" w:rsidP="00CA25CF">
            <w:pPr>
              <w:rPr>
                <w:rFonts w:cs="Arial"/>
                <w:color w:val="FF0000"/>
                <w:sz w:val="21"/>
                <w:szCs w:val="21"/>
              </w:rPr>
            </w:pPr>
          </w:p>
        </w:tc>
        <w:tc>
          <w:tcPr>
            <w:tcW w:w="217" w:type="dxa"/>
          </w:tcPr>
          <w:p w14:paraId="07F8049E" w14:textId="77777777" w:rsidR="002C0FD9" w:rsidRPr="00CA25CF" w:rsidRDefault="002C0FD9" w:rsidP="00CA25CF">
            <w:pPr>
              <w:rPr>
                <w:rFonts w:cs="Arial"/>
                <w:color w:val="FF0000"/>
                <w:sz w:val="21"/>
                <w:szCs w:val="21"/>
              </w:rPr>
            </w:pPr>
          </w:p>
        </w:tc>
        <w:tc>
          <w:tcPr>
            <w:tcW w:w="217" w:type="dxa"/>
          </w:tcPr>
          <w:p w14:paraId="50D5DE17" w14:textId="77777777" w:rsidR="002C0FD9" w:rsidRPr="00CA25CF" w:rsidRDefault="002C0FD9" w:rsidP="00CA25CF">
            <w:pPr>
              <w:rPr>
                <w:rFonts w:cs="Arial"/>
                <w:color w:val="FF0000"/>
                <w:sz w:val="21"/>
                <w:szCs w:val="21"/>
              </w:rPr>
            </w:pPr>
          </w:p>
        </w:tc>
        <w:tc>
          <w:tcPr>
            <w:tcW w:w="217" w:type="dxa"/>
          </w:tcPr>
          <w:p w14:paraId="37B5F724" w14:textId="77777777" w:rsidR="002C0FD9" w:rsidRPr="00CA25CF" w:rsidRDefault="002C0FD9" w:rsidP="00CA25CF">
            <w:pPr>
              <w:rPr>
                <w:rFonts w:cs="Arial"/>
                <w:color w:val="FF0000"/>
                <w:sz w:val="21"/>
                <w:szCs w:val="21"/>
              </w:rPr>
            </w:pPr>
          </w:p>
        </w:tc>
        <w:tc>
          <w:tcPr>
            <w:tcW w:w="217" w:type="dxa"/>
          </w:tcPr>
          <w:p w14:paraId="5AD6F14D" w14:textId="77777777" w:rsidR="002C0FD9" w:rsidRPr="00CA25CF" w:rsidRDefault="002C0FD9" w:rsidP="00CA25CF">
            <w:pPr>
              <w:rPr>
                <w:rFonts w:cs="Arial"/>
                <w:color w:val="FF0000"/>
                <w:sz w:val="21"/>
                <w:szCs w:val="21"/>
              </w:rPr>
            </w:pPr>
          </w:p>
        </w:tc>
        <w:tc>
          <w:tcPr>
            <w:tcW w:w="217" w:type="dxa"/>
          </w:tcPr>
          <w:p w14:paraId="02F3ECEB" w14:textId="77777777" w:rsidR="002C0FD9" w:rsidRPr="00CA25CF" w:rsidRDefault="002C0FD9" w:rsidP="00CA25CF">
            <w:pPr>
              <w:rPr>
                <w:rFonts w:cs="Arial"/>
                <w:color w:val="FF0000"/>
                <w:sz w:val="21"/>
                <w:szCs w:val="21"/>
              </w:rPr>
            </w:pPr>
          </w:p>
        </w:tc>
        <w:tc>
          <w:tcPr>
            <w:tcW w:w="217" w:type="dxa"/>
          </w:tcPr>
          <w:p w14:paraId="62D4B3F5" w14:textId="77777777" w:rsidR="002C0FD9" w:rsidRPr="00CA25CF" w:rsidRDefault="002C0FD9" w:rsidP="00CA25CF">
            <w:pPr>
              <w:rPr>
                <w:rFonts w:cs="Arial"/>
                <w:color w:val="FF0000"/>
                <w:sz w:val="21"/>
                <w:szCs w:val="21"/>
              </w:rPr>
            </w:pPr>
          </w:p>
        </w:tc>
        <w:tc>
          <w:tcPr>
            <w:tcW w:w="217" w:type="dxa"/>
          </w:tcPr>
          <w:p w14:paraId="1508ADE1" w14:textId="77777777" w:rsidR="002C0FD9" w:rsidRPr="00CA25CF" w:rsidRDefault="002C0FD9" w:rsidP="00CA25CF">
            <w:pPr>
              <w:rPr>
                <w:rFonts w:cs="Arial"/>
                <w:color w:val="FF0000"/>
                <w:sz w:val="21"/>
                <w:szCs w:val="21"/>
              </w:rPr>
            </w:pPr>
          </w:p>
        </w:tc>
        <w:tc>
          <w:tcPr>
            <w:tcW w:w="217" w:type="dxa"/>
          </w:tcPr>
          <w:p w14:paraId="09033C20" w14:textId="77777777" w:rsidR="002C0FD9" w:rsidRPr="00CA25CF" w:rsidRDefault="002C0FD9" w:rsidP="00CA25CF">
            <w:pPr>
              <w:rPr>
                <w:rFonts w:cs="Arial"/>
                <w:color w:val="FF0000"/>
                <w:sz w:val="21"/>
                <w:szCs w:val="21"/>
              </w:rPr>
            </w:pPr>
          </w:p>
        </w:tc>
        <w:tc>
          <w:tcPr>
            <w:tcW w:w="217" w:type="dxa"/>
          </w:tcPr>
          <w:p w14:paraId="5C26519E" w14:textId="77777777" w:rsidR="002C0FD9" w:rsidRPr="00CA25CF" w:rsidRDefault="002C0FD9" w:rsidP="00CA25CF">
            <w:pPr>
              <w:rPr>
                <w:rFonts w:cs="Arial"/>
                <w:color w:val="FF0000"/>
                <w:sz w:val="21"/>
                <w:szCs w:val="21"/>
              </w:rPr>
            </w:pPr>
          </w:p>
        </w:tc>
        <w:tc>
          <w:tcPr>
            <w:tcW w:w="217" w:type="dxa"/>
          </w:tcPr>
          <w:p w14:paraId="45160ADE" w14:textId="77777777" w:rsidR="002C0FD9" w:rsidRPr="00CA25CF" w:rsidRDefault="002C0FD9" w:rsidP="00CA25CF">
            <w:pPr>
              <w:rPr>
                <w:rFonts w:cs="Arial"/>
                <w:color w:val="FF0000"/>
                <w:sz w:val="21"/>
                <w:szCs w:val="21"/>
              </w:rPr>
            </w:pPr>
          </w:p>
        </w:tc>
        <w:tc>
          <w:tcPr>
            <w:tcW w:w="217" w:type="dxa"/>
          </w:tcPr>
          <w:p w14:paraId="79ABB2C6" w14:textId="77777777" w:rsidR="002C0FD9" w:rsidRPr="00CA25CF" w:rsidRDefault="002C0FD9" w:rsidP="00CA25CF">
            <w:pPr>
              <w:rPr>
                <w:rFonts w:cs="Arial"/>
                <w:color w:val="FF0000"/>
                <w:sz w:val="21"/>
                <w:szCs w:val="21"/>
              </w:rPr>
            </w:pPr>
          </w:p>
        </w:tc>
        <w:tc>
          <w:tcPr>
            <w:tcW w:w="217" w:type="dxa"/>
          </w:tcPr>
          <w:p w14:paraId="4AF644C0" w14:textId="77777777" w:rsidR="002C0FD9" w:rsidRPr="00CA25CF" w:rsidRDefault="002C0FD9" w:rsidP="00CA25CF">
            <w:pPr>
              <w:rPr>
                <w:rFonts w:cs="Arial"/>
                <w:color w:val="FF0000"/>
                <w:sz w:val="21"/>
                <w:szCs w:val="21"/>
              </w:rPr>
            </w:pPr>
          </w:p>
        </w:tc>
        <w:tc>
          <w:tcPr>
            <w:tcW w:w="217" w:type="dxa"/>
          </w:tcPr>
          <w:p w14:paraId="64B8461A" w14:textId="77777777" w:rsidR="002C0FD9" w:rsidRPr="00CA25CF" w:rsidRDefault="002C0FD9" w:rsidP="00CA25CF">
            <w:pPr>
              <w:rPr>
                <w:rFonts w:cs="Arial"/>
                <w:color w:val="FF0000"/>
                <w:sz w:val="21"/>
                <w:szCs w:val="21"/>
              </w:rPr>
            </w:pPr>
          </w:p>
        </w:tc>
        <w:tc>
          <w:tcPr>
            <w:tcW w:w="217" w:type="dxa"/>
          </w:tcPr>
          <w:p w14:paraId="0C6630CF" w14:textId="77777777" w:rsidR="002C0FD9" w:rsidRPr="00CA25CF" w:rsidRDefault="002C0FD9" w:rsidP="00CA25CF">
            <w:pPr>
              <w:rPr>
                <w:rFonts w:cs="Arial"/>
                <w:color w:val="FF0000"/>
                <w:sz w:val="21"/>
                <w:szCs w:val="21"/>
              </w:rPr>
            </w:pPr>
          </w:p>
        </w:tc>
        <w:tc>
          <w:tcPr>
            <w:tcW w:w="217" w:type="dxa"/>
          </w:tcPr>
          <w:p w14:paraId="476B351D" w14:textId="77777777" w:rsidR="002C0FD9" w:rsidRPr="00CA25CF" w:rsidRDefault="002C0FD9" w:rsidP="00CA25CF">
            <w:pPr>
              <w:rPr>
                <w:rFonts w:cs="Arial"/>
                <w:color w:val="FF0000"/>
                <w:sz w:val="21"/>
                <w:szCs w:val="21"/>
              </w:rPr>
            </w:pPr>
          </w:p>
        </w:tc>
        <w:tc>
          <w:tcPr>
            <w:tcW w:w="217" w:type="dxa"/>
          </w:tcPr>
          <w:p w14:paraId="76E1710C" w14:textId="77777777" w:rsidR="002C0FD9" w:rsidRPr="00CA25CF" w:rsidRDefault="002C0FD9" w:rsidP="00CA25CF">
            <w:pPr>
              <w:rPr>
                <w:rFonts w:cs="Arial"/>
                <w:color w:val="FF0000"/>
                <w:sz w:val="21"/>
                <w:szCs w:val="21"/>
              </w:rPr>
            </w:pPr>
          </w:p>
        </w:tc>
        <w:tc>
          <w:tcPr>
            <w:tcW w:w="217" w:type="dxa"/>
          </w:tcPr>
          <w:p w14:paraId="41BADF8E" w14:textId="77777777" w:rsidR="002C0FD9" w:rsidRPr="00CA25CF" w:rsidRDefault="002C0FD9" w:rsidP="00CA25CF">
            <w:pPr>
              <w:rPr>
                <w:rFonts w:cs="Arial"/>
                <w:color w:val="FF0000"/>
                <w:sz w:val="21"/>
                <w:szCs w:val="21"/>
              </w:rPr>
            </w:pPr>
          </w:p>
        </w:tc>
        <w:tc>
          <w:tcPr>
            <w:tcW w:w="217" w:type="dxa"/>
          </w:tcPr>
          <w:p w14:paraId="391F30B7" w14:textId="77777777" w:rsidR="002C0FD9" w:rsidRPr="00CA25CF" w:rsidRDefault="002C0FD9" w:rsidP="00CA25CF">
            <w:pPr>
              <w:rPr>
                <w:rFonts w:cs="Arial"/>
                <w:color w:val="FF0000"/>
                <w:sz w:val="21"/>
                <w:szCs w:val="21"/>
              </w:rPr>
            </w:pPr>
          </w:p>
        </w:tc>
        <w:tc>
          <w:tcPr>
            <w:tcW w:w="217" w:type="dxa"/>
          </w:tcPr>
          <w:p w14:paraId="7C9CA60F" w14:textId="77777777" w:rsidR="002C0FD9" w:rsidRPr="00CA25CF" w:rsidRDefault="002C0FD9" w:rsidP="00CA25CF">
            <w:pPr>
              <w:rPr>
                <w:rFonts w:cs="Arial"/>
                <w:color w:val="FF0000"/>
                <w:sz w:val="21"/>
                <w:szCs w:val="21"/>
              </w:rPr>
            </w:pPr>
          </w:p>
        </w:tc>
        <w:tc>
          <w:tcPr>
            <w:tcW w:w="217" w:type="dxa"/>
          </w:tcPr>
          <w:p w14:paraId="209B7587" w14:textId="77777777" w:rsidR="002C0FD9" w:rsidRPr="00CA25CF" w:rsidRDefault="002C0FD9" w:rsidP="00CA25CF">
            <w:pPr>
              <w:rPr>
                <w:rFonts w:cs="Arial"/>
                <w:color w:val="FF0000"/>
                <w:sz w:val="21"/>
                <w:szCs w:val="21"/>
              </w:rPr>
            </w:pPr>
          </w:p>
        </w:tc>
        <w:tc>
          <w:tcPr>
            <w:tcW w:w="217" w:type="dxa"/>
          </w:tcPr>
          <w:p w14:paraId="06F87B10" w14:textId="77777777" w:rsidR="002C0FD9" w:rsidRPr="00CA25CF" w:rsidRDefault="002C0FD9" w:rsidP="00CA25CF">
            <w:pPr>
              <w:rPr>
                <w:rFonts w:cs="Arial"/>
                <w:color w:val="FF0000"/>
                <w:sz w:val="21"/>
                <w:szCs w:val="21"/>
              </w:rPr>
            </w:pPr>
          </w:p>
        </w:tc>
        <w:tc>
          <w:tcPr>
            <w:tcW w:w="217" w:type="dxa"/>
          </w:tcPr>
          <w:p w14:paraId="0595BF13" w14:textId="77777777" w:rsidR="002C0FD9" w:rsidRPr="00CA25CF" w:rsidRDefault="002C0FD9" w:rsidP="00CA25CF">
            <w:pPr>
              <w:rPr>
                <w:rFonts w:cs="Arial"/>
                <w:color w:val="FF0000"/>
                <w:sz w:val="21"/>
                <w:szCs w:val="21"/>
              </w:rPr>
            </w:pPr>
          </w:p>
        </w:tc>
        <w:tc>
          <w:tcPr>
            <w:tcW w:w="217" w:type="dxa"/>
          </w:tcPr>
          <w:p w14:paraId="5CD00076" w14:textId="77777777" w:rsidR="002C0FD9" w:rsidRPr="00CA25CF" w:rsidRDefault="002C0FD9" w:rsidP="00CA25CF">
            <w:pPr>
              <w:rPr>
                <w:rFonts w:cs="Arial"/>
                <w:color w:val="FF0000"/>
                <w:sz w:val="21"/>
                <w:szCs w:val="21"/>
              </w:rPr>
            </w:pPr>
          </w:p>
        </w:tc>
        <w:tc>
          <w:tcPr>
            <w:tcW w:w="217" w:type="dxa"/>
          </w:tcPr>
          <w:p w14:paraId="32AE906D" w14:textId="77777777" w:rsidR="002C0FD9" w:rsidRPr="00CA25CF" w:rsidRDefault="002C0FD9" w:rsidP="00CA25CF">
            <w:pPr>
              <w:rPr>
                <w:rFonts w:cs="Arial"/>
                <w:color w:val="FF0000"/>
                <w:sz w:val="21"/>
                <w:szCs w:val="21"/>
              </w:rPr>
            </w:pPr>
          </w:p>
        </w:tc>
        <w:tc>
          <w:tcPr>
            <w:tcW w:w="217" w:type="dxa"/>
          </w:tcPr>
          <w:p w14:paraId="6DE76C1A" w14:textId="77777777" w:rsidR="002C0FD9" w:rsidRPr="00CA25CF" w:rsidRDefault="002C0FD9" w:rsidP="00CA25CF">
            <w:pPr>
              <w:rPr>
                <w:rFonts w:cs="Arial"/>
                <w:color w:val="FF0000"/>
                <w:sz w:val="21"/>
                <w:szCs w:val="21"/>
              </w:rPr>
            </w:pPr>
          </w:p>
        </w:tc>
        <w:tc>
          <w:tcPr>
            <w:tcW w:w="217" w:type="dxa"/>
          </w:tcPr>
          <w:p w14:paraId="622B1EB9" w14:textId="77777777" w:rsidR="002C0FD9" w:rsidRPr="00CA25CF" w:rsidRDefault="002C0FD9" w:rsidP="00CA25CF">
            <w:pPr>
              <w:rPr>
                <w:rFonts w:cs="Arial"/>
                <w:color w:val="FF0000"/>
                <w:sz w:val="21"/>
                <w:szCs w:val="21"/>
              </w:rPr>
            </w:pPr>
          </w:p>
        </w:tc>
        <w:tc>
          <w:tcPr>
            <w:tcW w:w="217" w:type="dxa"/>
          </w:tcPr>
          <w:p w14:paraId="2B469406" w14:textId="77777777" w:rsidR="002C0FD9" w:rsidRPr="00CA25CF" w:rsidRDefault="002C0FD9" w:rsidP="00CA25CF">
            <w:pPr>
              <w:rPr>
                <w:rFonts w:cs="Arial"/>
                <w:color w:val="FF0000"/>
                <w:sz w:val="21"/>
                <w:szCs w:val="21"/>
              </w:rPr>
            </w:pPr>
          </w:p>
        </w:tc>
        <w:tc>
          <w:tcPr>
            <w:tcW w:w="217" w:type="dxa"/>
          </w:tcPr>
          <w:p w14:paraId="4DA96479" w14:textId="77777777" w:rsidR="002C0FD9" w:rsidRPr="00CA25CF" w:rsidRDefault="002C0FD9" w:rsidP="00CA25CF">
            <w:pPr>
              <w:rPr>
                <w:rFonts w:cs="Arial"/>
                <w:color w:val="FF0000"/>
                <w:sz w:val="21"/>
                <w:szCs w:val="21"/>
              </w:rPr>
            </w:pPr>
          </w:p>
        </w:tc>
        <w:tc>
          <w:tcPr>
            <w:tcW w:w="217" w:type="dxa"/>
          </w:tcPr>
          <w:p w14:paraId="76805BEE" w14:textId="77777777" w:rsidR="002C0FD9" w:rsidRPr="00CA25CF" w:rsidRDefault="002C0FD9" w:rsidP="00CA25CF">
            <w:pPr>
              <w:rPr>
                <w:rFonts w:cs="Arial"/>
                <w:color w:val="FF0000"/>
                <w:sz w:val="21"/>
                <w:szCs w:val="21"/>
              </w:rPr>
            </w:pPr>
          </w:p>
        </w:tc>
        <w:tc>
          <w:tcPr>
            <w:tcW w:w="217" w:type="dxa"/>
          </w:tcPr>
          <w:p w14:paraId="3553C1D5" w14:textId="77777777" w:rsidR="002C0FD9" w:rsidRPr="00CA25CF" w:rsidRDefault="002C0FD9" w:rsidP="00CA25CF">
            <w:pPr>
              <w:rPr>
                <w:rFonts w:cs="Arial"/>
                <w:color w:val="FF0000"/>
                <w:sz w:val="21"/>
                <w:szCs w:val="21"/>
              </w:rPr>
            </w:pPr>
          </w:p>
        </w:tc>
        <w:tc>
          <w:tcPr>
            <w:tcW w:w="217" w:type="dxa"/>
          </w:tcPr>
          <w:p w14:paraId="693FD255" w14:textId="77777777" w:rsidR="002C0FD9" w:rsidRPr="00CA25CF" w:rsidRDefault="002C0FD9" w:rsidP="00CA25CF">
            <w:pPr>
              <w:rPr>
                <w:rFonts w:cs="Arial"/>
                <w:color w:val="FF0000"/>
                <w:sz w:val="21"/>
                <w:szCs w:val="21"/>
              </w:rPr>
            </w:pPr>
          </w:p>
        </w:tc>
        <w:tc>
          <w:tcPr>
            <w:tcW w:w="217" w:type="dxa"/>
          </w:tcPr>
          <w:p w14:paraId="5074EB6F" w14:textId="77777777" w:rsidR="002C0FD9" w:rsidRPr="00CA25CF" w:rsidRDefault="002C0FD9" w:rsidP="00CA25CF">
            <w:pPr>
              <w:rPr>
                <w:rFonts w:cs="Arial"/>
                <w:color w:val="FF0000"/>
                <w:sz w:val="21"/>
                <w:szCs w:val="21"/>
              </w:rPr>
            </w:pPr>
          </w:p>
        </w:tc>
        <w:tc>
          <w:tcPr>
            <w:tcW w:w="217" w:type="dxa"/>
          </w:tcPr>
          <w:p w14:paraId="3078D206" w14:textId="77777777" w:rsidR="002C0FD9" w:rsidRPr="00CA25CF" w:rsidRDefault="002C0FD9" w:rsidP="00CA25CF">
            <w:pPr>
              <w:rPr>
                <w:rFonts w:cs="Arial"/>
                <w:color w:val="FF0000"/>
                <w:sz w:val="21"/>
                <w:szCs w:val="21"/>
              </w:rPr>
            </w:pPr>
          </w:p>
        </w:tc>
        <w:tc>
          <w:tcPr>
            <w:tcW w:w="217" w:type="dxa"/>
          </w:tcPr>
          <w:p w14:paraId="261DFBB6" w14:textId="77777777" w:rsidR="002C0FD9" w:rsidRPr="00CA25CF" w:rsidRDefault="002C0FD9" w:rsidP="00CA25CF">
            <w:pPr>
              <w:rPr>
                <w:rFonts w:cs="Arial"/>
                <w:color w:val="FF0000"/>
                <w:sz w:val="21"/>
                <w:szCs w:val="21"/>
              </w:rPr>
            </w:pPr>
          </w:p>
        </w:tc>
        <w:tc>
          <w:tcPr>
            <w:tcW w:w="217" w:type="dxa"/>
          </w:tcPr>
          <w:p w14:paraId="674E2C30" w14:textId="77777777" w:rsidR="002C0FD9" w:rsidRPr="00CA25CF" w:rsidRDefault="002C0FD9" w:rsidP="00CA25CF">
            <w:pPr>
              <w:rPr>
                <w:rFonts w:cs="Arial"/>
                <w:color w:val="FF0000"/>
                <w:sz w:val="21"/>
                <w:szCs w:val="21"/>
              </w:rPr>
            </w:pPr>
          </w:p>
        </w:tc>
        <w:tc>
          <w:tcPr>
            <w:tcW w:w="217" w:type="dxa"/>
          </w:tcPr>
          <w:p w14:paraId="3D021AAF" w14:textId="77777777" w:rsidR="002C0FD9" w:rsidRPr="00CA25CF" w:rsidRDefault="002C0FD9" w:rsidP="00CA25CF">
            <w:pPr>
              <w:rPr>
                <w:rFonts w:cs="Arial"/>
                <w:color w:val="FF0000"/>
                <w:sz w:val="21"/>
                <w:szCs w:val="21"/>
              </w:rPr>
            </w:pPr>
          </w:p>
        </w:tc>
        <w:tc>
          <w:tcPr>
            <w:tcW w:w="217" w:type="dxa"/>
          </w:tcPr>
          <w:p w14:paraId="14C67EF9" w14:textId="77777777" w:rsidR="002C0FD9" w:rsidRPr="00CA25CF" w:rsidRDefault="002C0FD9" w:rsidP="00CA25CF">
            <w:pPr>
              <w:rPr>
                <w:rFonts w:cs="Arial"/>
                <w:color w:val="FF0000"/>
                <w:sz w:val="21"/>
                <w:szCs w:val="21"/>
              </w:rPr>
            </w:pPr>
          </w:p>
        </w:tc>
        <w:tc>
          <w:tcPr>
            <w:tcW w:w="217" w:type="dxa"/>
          </w:tcPr>
          <w:p w14:paraId="1E01D04E" w14:textId="77777777" w:rsidR="002C0FD9" w:rsidRPr="00CA25CF" w:rsidRDefault="002C0FD9" w:rsidP="00CA25CF">
            <w:pPr>
              <w:rPr>
                <w:rFonts w:cs="Arial"/>
                <w:color w:val="FF0000"/>
                <w:sz w:val="21"/>
                <w:szCs w:val="21"/>
              </w:rPr>
            </w:pPr>
          </w:p>
        </w:tc>
        <w:tc>
          <w:tcPr>
            <w:tcW w:w="217" w:type="dxa"/>
          </w:tcPr>
          <w:p w14:paraId="46A0FC81" w14:textId="77777777" w:rsidR="002C0FD9" w:rsidRPr="00CA25CF" w:rsidRDefault="002C0FD9" w:rsidP="00CA25CF">
            <w:pPr>
              <w:rPr>
                <w:rFonts w:cs="Arial"/>
                <w:color w:val="FF0000"/>
                <w:sz w:val="21"/>
                <w:szCs w:val="21"/>
              </w:rPr>
            </w:pPr>
          </w:p>
        </w:tc>
      </w:tr>
      <w:tr w:rsidR="002C0FD9" w:rsidRPr="00A16219" w14:paraId="1621516C" w14:textId="77777777" w:rsidTr="002C0FD9">
        <w:trPr>
          <w:trHeight w:val="635"/>
        </w:trPr>
        <w:tc>
          <w:tcPr>
            <w:tcW w:w="515" w:type="dxa"/>
          </w:tcPr>
          <w:p w14:paraId="0E4C8682" w14:textId="77777777" w:rsidR="002C0FD9" w:rsidRPr="00CA25CF" w:rsidRDefault="002C0FD9" w:rsidP="00CA25CF">
            <w:pPr>
              <w:rPr>
                <w:rFonts w:cs="Arial"/>
                <w:color w:val="FF0000"/>
                <w:sz w:val="21"/>
                <w:szCs w:val="21"/>
              </w:rPr>
            </w:pPr>
          </w:p>
        </w:tc>
        <w:tc>
          <w:tcPr>
            <w:tcW w:w="217" w:type="dxa"/>
          </w:tcPr>
          <w:p w14:paraId="28D0D62F" w14:textId="77777777" w:rsidR="002C0FD9" w:rsidRPr="00CA25CF" w:rsidRDefault="002C0FD9" w:rsidP="00CA25CF">
            <w:pPr>
              <w:rPr>
                <w:rFonts w:cs="Arial"/>
                <w:color w:val="FF0000"/>
                <w:sz w:val="21"/>
                <w:szCs w:val="21"/>
              </w:rPr>
            </w:pPr>
          </w:p>
        </w:tc>
        <w:tc>
          <w:tcPr>
            <w:tcW w:w="217" w:type="dxa"/>
          </w:tcPr>
          <w:p w14:paraId="6EB5A250" w14:textId="77777777" w:rsidR="002C0FD9" w:rsidRPr="00CA25CF" w:rsidRDefault="002C0FD9" w:rsidP="00CA25CF">
            <w:pPr>
              <w:rPr>
                <w:rFonts w:cs="Arial"/>
                <w:color w:val="FF0000"/>
                <w:sz w:val="21"/>
                <w:szCs w:val="21"/>
              </w:rPr>
            </w:pPr>
          </w:p>
        </w:tc>
        <w:tc>
          <w:tcPr>
            <w:tcW w:w="217" w:type="dxa"/>
          </w:tcPr>
          <w:p w14:paraId="4920BDB7" w14:textId="77777777" w:rsidR="002C0FD9" w:rsidRPr="00CA25CF" w:rsidRDefault="002C0FD9" w:rsidP="00CA25CF">
            <w:pPr>
              <w:rPr>
                <w:rFonts w:cs="Arial"/>
                <w:color w:val="FF0000"/>
                <w:sz w:val="21"/>
                <w:szCs w:val="21"/>
              </w:rPr>
            </w:pPr>
          </w:p>
        </w:tc>
        <w:tc>
          <w:tcPr>
            <w:tcW w:w="217" w:type="dxa"/>
          </w:tcPr>
          <w:p w14:paraId="081AE97B" w14:textId="77777777" w:rsidR="002C0FD9" w:rsidRPr="00CA25CF" w:rsidRDefault="002C0FD9" w:rsidP="00CA25CF">
            <w:pPr>
              <w:rPr>
                <w:rFonts w:cs="Arial"/>
                <w:color w:val="FF0000"/>
                <w:sz w:val="21"/>
                <w:szCs w:val="21"/>
              </w:rPr>
            </w:pPr>
          </w:p>
        </w:tc>
        <w:tc>
          <w:tcPr>
            <w:tcW w:w="217" w:type="dxa"/>
          </w:tcPr>
          <w:p w14:paraId="0B7BB88D" w14:textId="77777777" w:rsidR="002C0FD9" w:rsidRPr="00CA25CF" w:rsidRDefault="002C0FD9" w:rsidP="00CA25CF">
            <w:pPr>
              <w:rPr>
                <w:rFonts w:cs="Arial"/>
                <w:color w:val="FF0000"/>
                <w:sz w:val="21"/>
                <w:szCs w:val="21"/>
              </w:rPr>
            </w:pPr>
          </w:p>
        </w:tc>
        <w:tc>
          <w:tcPr>
            <w:tcW w:w="217" w:type="dxa"/>
          </w:tcPr>
          <w:p w14:paraId="2463BAC9" w14:textId="77777777" w:rsidR="002C0FD9" w:rsidRPr="00CA25CF" w:rsidRDefault="002C0FD9" w:rsidP="00CA25CF">
            <w:pPr>
              <w:rPr>
                <w:rFonts w:cs="Arial"/>
                <w:color w:val="FF0000"/>
                <w:sz w:val="21"/>
                <w:szCs w:val="21"/>
              </w:rPr>
            </w:pPr>
          </w:p>
        </w:tc>
        <w:tc>
          <w:tcPr>
            <w:tcW w:w="217" w:type="dxa"/>
          </w:tcPr>
          <w:p w14:paraId="21018863" w14:textId="77777777" w:rsidR="002C0FD9" w:rsidRPr="00CA25CF" w:rsidRDefault="002C0FD9" w:rsidP="00CA25CF">
            <w:pPr>
              <w:rPr>
                <w:rFonts w:cs="Arial"/>
                <w:color w:val="FF0000"/>
                <w:sz w:val="21"/>
                <w:szCs w:val="21"/>
              </w:rPr>
            </w:pPr>
          </w:p>
        </w:tc>
        <w:tc>
          <w:tcPr>
            <w:tcW w:w="217" w:type="dxa"/>
          </w:tcPr>
          <w:p w14:paraId="52DA0FDC" w14:textId="77777777" w:rsidR="002C0FD9" w:rsidRPr="00CA25CF" w:rsidRDefault="002C0FD9" w:rsidP="00CA25CF">
            <w:pPr>
              <w:rPr>
                <w:rFonts w:cs="Arial"/>
                <w:color w:val="FF0000"/>
                <w:sz w:val="21"/>
                <w:szCs w:val="21"/>
              </w:rPr>
            </w:pPr>
          </w:p>
        </w:tc>
        <w:tc>
          <w:tcPr>
            <w:tcW w:w="217" w:type="dxa"/>
          </w:tcPr>
          <w:p w14:paraId="129F5938" w14:textId="77777777" w:rsidR="002C0FD9" w:rsidRPr="00CA25CF" w:rsidRDefault="002C0FD9" w:rsidP="00CA25CF">
            <w:pPr>
              <w:rPr>
                <w:rFonts w:cs="Arial"/>
                <w:color w:val="FF0000"/>
                <w:sz w:val="21"/>
                <w:szCs w:val="21"/>
              </w:rPr>
            </w:pPr>
          </w:p>
        </w:tc>
        <w:tc>
          <w:tcPr>
            <w:tcW w:w="217" w:type="dxa"/>
          </w:tcPr>
          <w:p w14:paraId="062E7B36" w14:textId="77777777" w:rsidR="002C0FD9" w:rsidRPr="00CA25CF" w:rsidRDefault="002C0FD9" w:rsidP="00CA25CF">
            <w:pPr>
              <w:rPr>
                <w:rFonts w:cs="Arial"/>
                <w:color w:val="FF0000"/>
                <w:sz w:val="21"/>
                <w:szCs w:val="21"/>
              </w:rPr>
            </w:pPr>
          </w:p>
        </w:tc>
        <w:tc>
          <w:tcPr>
            <w:tcW w:w="217" w:type="dxa"/>
          </w:tcPr>
          <w:p w14:paraId="40396D21" w14:textId="77777777" w:rsidR="002C0FD9" w:rsidRPr="00CA25CF" w:rsidRDefault="002C0FD9" w:rsidP="00CA25CF">
            <w:pPr>
              <w:rPr>
                <w:rFonts w:cs="Arial"/>
                <w:color w:val="FF0000"/>
                <w:sz w:val="21"/>
                <w:szCs w:val="21"/>
              </w:rPr>
            </w:pPr>
          </w:p>
        </w:tc>
        <w:tc>
          <w:tcPr>
            <w:tcW w:w="217" w:type="dxa"/>
          </w:tcPr>
          <w:p w14:paraId="761C72C3" w14:textId="77777777" w:rsidR="002C0FD9" w:rsidRPr="00CA25CF" w:rsidRDefault="002C0FD9" w:rsidP="00CA25CF">
            <w:pPr>
              <w:rPr>
                <w:rFonts w:cs="Arial"/>
                <w:color w:val="FF0000"/>
                <w:sz w:val="21"/>
                <w:szCs w:val="21"/>
              </w:rPr>
            </w:pPr>
          </w:p>
        </w:tc>
        <w:tc>
          <w:tcPr>
            <w:tcW w:w="217" w:type="dxa"/>
          </w:tcPr>
          <w:p w14:paraId="3C6B92A2" w14:textId="77777777" w:rsidR="002C0FD9" w:rsidRPr="00CA25CF" w:rsidRDefault="002C0FD9" w:rsidP="00CA25CF">
            <w:pPr>
              <w:rPr>
                <w:rFonts w:cs="Arial"/>
                <w:color w:val="FF0000"/>
                <w:sz w:val="21"/>
                <w:szCs w:val="21"/>
              </w:rPr>
            </w:pPr>
          </w:p>
        </w:tc>
        <w:tc>
          <w:tcPr>
            <w:tcW w:w="217" w:type="dxa"/>
          </w:tcPr>
          <w:p w14:paraId="05E52AFF" w14:textId="77777777" w:rsidR="002C0FD9" w:rsidRPr="00CA25CF" w:rsidRDefault="002C0FD9" w:rsidP="00CA25CF">
            <w:pPr>
              <w:rPr>
                <w:rFonts w:cs="Arial"/>
                <w:color w:val="FF0000"/>
                <w:sz w:val="21"/>
                <w:szCs w:val="21"/>
              </w:rPr>
            </w:pPr>
          </w:p>
        </w:tc>
        <w:tc>
          <w:tcPr>
            <w:tcW w:w="217" w:type="dxa"/>
          </w:tcPr>
          <w:p w14:paraId="43AF1975" w14:textId="77777777" w:rsidR="002C0FD9" w:rsidRPr="00CA25CF" w:rsidRDefault="002C0FD9" w:rsidP="00CA25CF">
            <w:pPr>
              <w:rPr>
                <w:rFonts w:cs="Arial"/>
                <w:color w:val="FF0000"/>
                <w:sz w:val="21"/>
                <w:szCs w:val="21"/>
              </w:rPr>
            </w:pPr>
          </w:p>
        </w:tc>
        <w:tc>
          <w:tcPr>
            <w:tcW w:w="217" w:type="dxa"/>
          </w:tcPr>
          <w:p w14:paraId="2F706669" w14:textId="77777777" w:rsidR="002C0FD9" w:rsidRPr="00CA25CF" w:rsidRDefault="002C0FD9" w:rsidP="00CA25CF">
            <w:pPr>
              <w:rPr>
                <w:rFonts w:cs="Arial"/>
                <w:color w:val="FF0000"/>
                <w:sz w:val="21"/>
                <w:szCs w:val="21"/>
              </w:rPr>
            </w:pPr>
          </w:p>
        </w:tc>
        <w:tc>
          <w:tcPr>
            <w:tcW w:w="217" w:type="dxa"/>
          </w:tcPr>
          <w:p w14:paraId="061599DF" w14:textId="77777777" w:rsidR="002C0FD9" w:rsidRPr="00CA25CF" w:rsidRDefault="002C0FD9" w:rsidP="00CA25CF">
            <w:pPr>
              <w:rPr>
                <w:rFonts w:cs="Arial"/>
                <w:color w:val="FF0000"/>
                <w:sz w:val="21"/>
                <w:szCs w:val="21"/>
              </w:rPr>
            </w:pPr>
          </w:p>
        </w:tc>
        <w:tc>
          <w:tcPr>
            <w:tcW w:w="217" w:type="dxa"/>
          </w:tcPr>
          <w:p w14:paraId="05BCBDAE" w14:textId="77777777" w:rsidR="002C0FD9" w:rsidRPr="00CA25CF" w:rsidRDefault="002C0FD9" w:rsidP="00CA25CF">
            <w:pPr>
              <w:rPr>
                <w:rFonts w:cs="Arial"/>
                <w:color w:val="FF0000"/>
                <w:sz w:val="21"/>
                <w:szCs w:val="21"/>
              </w:rPr>
            </w:pPr>
          </w:p>
        </w:tc>
        <w:tc>
          <w:tcPr>
            <w:tcW w:w="217" w:type="dxa"/>
          </w:tcPr>
          <w:p w14:paraId="34C5827F" w14:textId="77777777" w:rsidR="002C0FD9" w:rsidRPr="00CA25CF" w:rsidRDefault="002C0FD9" w:rsidP="00CA25CF">
            <w:pPr>
              <w:rPr>
                <w:rFonts w:cs="Arial"/>
                <w:color w:val="FF0000"/>
                <w:sz w:val="21"/>
                <w:szCs w:val="21"/>
              </w:rPr>
            </w:pPr>
          </w:p>
        </w:tc>
        <w:tc>
          <w:tcPr>
            <w:tcW w:w="217" w:type="dxa"/>
          </w:tcPr>
          <w:p w14:paraId="182C0427" w14:textId="77777777" w:rsidR="002C0FD9" w:rsidRPr="00CA25CF" w:rsidRDefault="002C0FD9" w:rsidP="00CA25CF">
            <w:pPr>
              <w:rPr>
                <w:rFonts w:cs="Arial"/>
                <w:color w:val="FF0000"/>
                <w:sz w:val="21"/>
                <w:szCs w:val="21"/>
              </w:rPr>
            </w:pPr>
          </w:p>
        </w:tc>
        <w:tc>
          <w:tcPr>
            <w:tcW w:w="217" w:type="dxa"/>
          </w:tcPr>
          <w:p w14:paraId="6BA8009E" w14:textId="77777777" w:rsidR="002C0FD9" w:rsidRPr="00CA25CF" w:rsidRDefault="002C0FD9" w:rsidP="00CA25CF">
            <w:pPr>
              <w:rPr>
                <w:rFonts w:cs="Arial"/>
                <w:color w:val="FF0000"/>
                <w:sz w:val="21"/>
                <w:szCs w:val="21"/>
              </w:rPr>
            </w:pPr>
          </w:p>
        </w:tc>
        <w:tc>
          <w:tcPr>
            <w:tcW w:w="217" w:type="dxa"/>
          </w:tcPr>
          <w:p w14:paraId="272C8CEF" w14:textId="77777777" w:rsidR="002C0FD9" w:rsidRPr="00CA25CF" w:rsidRDefault="002C0FD9" w:rsidP="00CA25CF">
            <w:pPr>
              <w:rPr>
                <w:rFonts w:cs="Arial"/>
                <w:color w:val="FF0000"/>
                <w:sz w:val="21"/>
                <w:szCs w:val="21"/>
              </w:rPr>
            </w:pPr>
          </w:p>
        </w:tc>
        <w:tc>
          <w:tcPr>
            <w:tcW w:w="217" w:type="dxa"/>
          </w:tcPr>
          <w:p w14:paraId="73277713" w14:textId="77777777" w:rsidR="002C0FD9" w:rsidRPr="00CA25CF" w:rsidRDefault="002C0FD9" w:rsidP="00CA25CF">
            <w:pPr>
              <w:rPr>
                <w:rFonts w:cs="Arial"/>
                <w:color w:val="FF0000"/>
                <w:sz w:val="21"/>
                <w:szCs w:val="21"/>
              </w:rPr>
            </w:pPr>
          </w:p>
        </w:tc>
        <w:tc>
          <w:tcPr>
            <w:tcW w:w="217" w:type="dxa"/>
          </w:tcPr>
          <w:p w14:paraId="4C101454" w14:textId="77777777" w:rsidR="002C0FD9" w:rsidRPr="00CA25CF" w:rsidRDefault="002C0FD9" w:rsidP="00CA25CF">
            <w:pPr>
              <w:rPr>
                <w:rFonts w:cs="Arial"/>
                <w:color w:val="FF0000"/>
                <w:sz w:val="21"/>
                <w:szCs w:val="21"/>
              </w:rPr>
            </w:pPr>
          </w:p>
        </w:tc>
        <w:tc>
          <w:tcPr>
            <w:tcW w:w="217" w:type="dxa"/>
          </w:tcPr>
          <w:p w14:paraId="1FE8C118" w14:textId="77777777" w:rsidR="002C0FD9" w:rsidRPr="00CA25CF" w:rsidRDefault="002C0FD9" w:rsidP="00CA25CF">
            <w:pPr>
              <w:rPr>
                <w:rFonts w:cs="Arial"/>
                <w:color w:val="FF0000"/>
                <w:sz w:val="21"/>
                <w:szCs w:val="21"/>
              </w:rPr>
            </w:pPr>
          </w:p>
        </w:tc>
        <w:tc>
          <w:tcPr>
            <w:tcW w:w="217" w:type="dxa"/>
          </w:tcPr>
          <w:p w14:paraId="3F4482BF" w14:textId="77777777" w:rsidR="002C0FD9" w:rsidRPr="00CA25CF" w:rsidRDefault="002C0FD9" w:rsidP="00CA25CF">
            <w:pPr>
              <w:rPr>
                <w:rFonts w:cs="Arial"/>
                <w:color w:val="FF0000"/>
                <w:sz w:val="21"/>
                <w:szCs w:val="21"/>
              </w:rPr>
            </w:pPr>
          </w:p>
        </w:tc>
        <w:tc>
          <w:tcPr>
            <w:tcW w:w="217" w:type="dxa"/>
          </w:tcPr>
          <w:p w14:paraId="4258A8BC" w14:textId="77777777" w:rsidR="002C0FD9" w:rsidRPr="00CA25CF" w:rsidRDefault="002C0FD9" w:rsidP="00CA25CF">
            <w:pPr>
              <w:rPr>
                <w:rFonts w:cs="Arial"/>
                <w:color w:val="FF0000"/>
                <w:sz w:val="21"/>
                <w:szCs w:val="21"/>
              </w:rPr>
            </w:pPr>
          </w:p>
        </w:tc>
        <w:tc>
          <w:tcPr>
            <w:tcW w:w="217" w:type="dxa"/>
          </w:tcPr>
          <w:p w14:paraId="5E4E1BD9" w14:textId="77777777" w:rsidR="002C0FD9" w:rsidRPr="00CA25CF" w:rsidRDefault="002C0FD9" w:rsidP="00CA25CF">
            <w:pPr>
              <w:rPr>
                <w:rFonts w:cs="Arial"/>
                <w:color w:val="FF0000"/>
                <w:sz w:val="21"/>
                <w:szCs w:val="21"/>
              </w:rPr>
            </w:pPr>
          </w:p>
        </w:tc>
        <w:tc>
          <w:tcPr>
            <w:tcW w:w="217" w:type="dxa"/>
          </w:tcPr>
          <w:p w14:paraId="758F2EB8" w14:textId="77777777" w:rsidR="002C0FD9" w:rsidRPr="00CA25CF" w:rsidRDefault="002C0FD9" w:rsidP="00CA25CF">
            <w:pPr>
              <w:rPr>
                <w:rFonts w:cs="Arial"/>
                <w:color w:val="FF0000"/>
                <w:sz w:val="21"/>
                <w:szCs w:val="21"/>
              </w:rPr>
            </w:pPr>
          </w:p>
        </w:tc>
        <w:tc>
          <w:tcPr>
            <w:tcW w:w="217" w:type="dxa"/>
          </w:tcPr>
          <w:p w14:paraId="11002F59" w14:textId="77777777" w:rsidR="002C0FD9" w:rsidRPr="00CA25CF" w:rsidRDefault="002C0FD9" w:rsidP="00CA25CF">
            <w:pPr>
              <w:rPr>
                <w:rFonts w:cs="Arial"/>
                <w:color w:val="FF0000"/>
                <w:sz w:val="21"/>
                <w:szCs w:val="21"/>
              </w:rPr>
            </w:pPr>
          </w:p>
        </w:tc>
        <w:tc>
          <w:tcPr>
            <w:tcW w:w="217" w:type="dxa"/>
          </w:tcPr>
          <w:p w14:paraId="4F252F64" w14:textId="77777777" w:rsidR="002C0FD9" w:rsidRPr="00CA25CF" w:rsidRDefault="002C0FD9" w:rsidP="00CA25CF">
            <w:pPr>
              <w:rPr>
                <w:rFonts w:cs="Arial"/>
                <w:color w:val="FF0000"/>
                <w:sz w:val="21"/>
                <w:szCs w:val="21"/>
              </w:rPr>
            </w:pPr>
          </w:p>
        </w:tc>
        <w:tc>
          <w:tcPr>
            <w:tcW w:w="217" w:type="dxa"/>
          </w:tcPr>
          <w:p w14:paraId="6097E2CC" w14:textId="77777777" w:rsidR="002C0FD9" w:rsidRPr="00CA25CF" w:rsidRDefault="002C0FD9" w:rsidP="00CA25CF">
            <w:pPr>
              <w:rPr>
                <w:rFonts w:cs="Arial"/>
                <w:color w:val="FF0000"/>
                <w:sz w:val="21"/>
                <w:szCs w:val="21"/>
              </w:rPr>
            </w:pPr>
          </w:p>
        </w:tc>
        <w:tc>
          <w:tcPr>
            <w:tcW w:w="217" w:type="dxa"/>
          </w:tcPr>
          <w:p w14:paraId="3DE49349" w14:textId="77777777" w:rsidR="002C0FD9" w:rsidRPr="00CA25CF" w:rsidRDefault="002C0FD9" w:rsidP="00CA25CF">
            <w:pPr>
              <w:rPr>
                <w:rFonts w:cs="Arial"/>
                <w:color w:val="FF0000"/>
                <w:sz w:val="21"/>
                <w:szCs w:val="21"/>
              </w:rPr>
            </w:pPr>
          </w:p>
        </w:tc>
        <w:tc>
          <w:tcPr>
            <w:tcW w:w="217" w:type="dxa"/>
          </w:tcPr>
          <w:p w14:paraId="04F335EF" w14:textId="77777777" w:rsidR="002C0FD9" w:rsidRPr="00CA25CF" w:rsidRDefault="002C0FD9" w:rsidP="00CA25CF">
            <w:pPr>
              <w:rPr>
                <w:rFonts w:cs="Arial"/>
                <w:color w:val="FF0000"/>
                <w:sz w:val="21"/>
                <w:szCs w:val="21"/>
              </w:rPr>
            </w:pPr>
          </w:p>
        </w:tc>
        <w:tc>
          <w:tcPr>
            <w:tcW w:w="217" w:type="dxa"/>
          </w:tcPr>
          <w:p w14:paraId="0168C035" w14:textId="77777777" w:rsidR="002C0FD9" w:rsidRPr="00CA25CF" w:rsidRDefault="002C0FD9" w:rsidP="00CA25CF">
            <w:pPr>
              <w:rPr>
                <w:rFonts w:cs="Arial"/>
                <w:color w:val="FF0000"/>
                <w:sz w:val="21"/>
                <w:szCs w:val="21"/>
              </w:rPr>
            </w:pPr>
          </w:p>
        </w:tc>
        <w:tc>
          <w:tcPr>
            <w:tcW w:w="217" w:type="dxa"/>
          </w:tcPr>
          <w:p w14:paraId="2AA27571" w14:textId="77777777" w:rsidR="002C0FD9" w:rsidRPr="00CA25CF" w:rsidRDefault="002C0FD9" w:rsidP="00CA25CF">
            <w:pPr>
              <w:rPr>
                <w:rFonts w:cs="Arial"/>
                <w:color w:val="FF0000"/>
                <w:sz w:val="21"/>
                <w:szCs w:val="21"/>
              </w:rPr>
            </w:pPr>
          </w:p>
        </w:tc>
        <w:tc>
          <w:tcPr>
            <w:tcW w:w="217" w:type="dxa"/>
          </w:tcPr>
          <w:p w14:paraId="35802EC5" w14:textId="77777777" w:rsidR="002C0FD9" w:rsidRPr="00CA25CF" w:rsidRDefault="002C0FD9" w:rsidP="00CA25CF">
            <w:pPr>
              <w:rPr>
                <w:rFonts w:cs="Arial"/>
                <w:color w:val="FF0000"/>
                <w:sz w:val="21"/>
                <w:szCs w:val="21"/>
              </w:rPr>
            </w:pPr>
          </w:p>
        </w:tc>
        <w:tc>
          <w:tcPr>
            <w:tcW w:w="217" w:type="dxa"/>
          </w:tcPr>
          <w:p w14:paraId="118EFBD2" w14:textId="77777777" w:rsidR="002C0FD9" w:rsidRPr="00CA25CF" w:rsidRDefault="002C0FD9" w:rsidP="00CA25CF">
            <w:pPr>
              <w:rPr>
                <w:rFonts w:cs="Arial"/>
                <w:color w:val="FF0000"/>
                <w:sz w:val="21"/>
                <w:szCs w:val="21"/>
              </w:rPr>
            </w:pPr>
          </w:p>
        </w:tc>
        <w:tc>
          <w:tcPr>
            <w:tcW w:w="217" w:type="dxa"/>
          </w:tcPr>
          <w:p w14:paraId="355F64A8" w14:textId="77777777" w:rsidR="002C0FD9" w:rsidRPr="00CA25CF" w:rsidRDefault="002C0FD9" w:rsidP="00CA25CF">
            <w:pPr>
              <w:rPr>
                <w:rFonts w:cs="Arial"/>
                <w:color w:val="FF0000"/>
                <w:sz w:val="21"/>
                <w:szCs w:val="21"/>
              </w:rPr>
            </w:pPr>
          </w:p>
        </w:tc>
        <w:tc>
          <w:tcPr>
            <w:tcW w:w="217" w:type="dxa"/>
          </w:tcPr>
          <w:p w14:paraId="27A551CE" w14:textId="77777777" w:rsidR="002C0FD9" w:rsidRPr="00CA25CF" w:rsidRDefault="002C0FD9" w:rsidP="00CA25CF">
            <w:pPr>
              <w:rPr>
                <w:rFonts w:cs="Arial"/>
                <w:color w:val="FF0000"/>
                <w:sz w:val="21"/>
                <w:szCs w:val="21"/>
              </w:rPr>
            </w:pPr>
          </w:p>
        </w:tc>
        <w:tc>
          <w:tcPr>
            <w:tcW w:w="217" w:type="dxa"/>
          </w:tcPr>
          <w:p w14:paraId="0C401E56" w14:textId="77777777" w:rsidR="002C0FD9" w:rsidRPr="00CA25CF" w:rsidRDefault="002C0FD9" w:rsidP="00CA25CF">
            <w:pPr>
              <w:rPr>
                <w:rFonts w:cs="Arial"/>
                <w:color w:val="FF0000"/>
                <w:sz w:val="21"/>
                <w:szCs w:val="21"/>
              </w:rPr>
            </w:pPr>
          </w:p>
        </w:tc>
        <w:tc>
          <w:tcPr>
            <w:tcW w:w="217" w:type="dxa"/>
          </w:tcPr>
          <w:p w14:paraId="12D87C32" w14:textId="77777777" w:rsidR="002C0FD9" w:rsidRPr="00CA25CF" w:rsidRDefault="002C0FD9" w:rsidP="00CA25CF">
            <w:pPr>
              <w:rPr>
                <w:rFonts w:cs="Arial"/>
                <w:color w:val="FF0000"/>
                <w:sz w:val="21"/>
                <w:szCs w:val="21"/>
              </w:rPr>
            </w:pPr>
          </w:p>
        </w:tc>
      </w:tr>
      <w:tr w:rsidR="002C0FD9" w:rsidRPr="00A16219" w14:paraId="3E0B26F9" w14:textId="77777777" w:rsidTr="002C0FD9">
        <w:trPr>
          <w:trHeight w:val="635"/>
        </w:trPr>
        <w:tc>
          <w:tcPr>
            <w:tcW w:w="515" w:type="dxa"/>
          </w:tcPr>
          <w:p w14:paraId="173D6C1C" w14:textId="77777777" w:rsidR="002C0FD9" w:rsidRPr="00CA25CF" w:rsidRDefault="002C0FD9" w:rsidP="00CA25CF">
            <w:pPr>
              <w:rPr>
                <w:rFonts w:cs="Arial"/>
                <w:color w:val="FF0000"/>
                <w:sz w:val="21"/>
                <w:szCs w:val="21"/>
              </w:rPr>
            </w:pPr>
          </w:p>
        </w:tc>
        <w:tc>
          <w:tcPr>
            <w:tcW w:w="217" w:type="dxa"/>
          </w:tcPr>
          <w:p w14:paraId="2A6939C7" w14:textId="77777777" w:rsidR="002C0FD9" w:rsidRPr="00CA25CF" w:rsidRDefault="002C0FD9" w:rsidP="00CA25CF">
            <w:pPr>
              <w:rPr>
                <w:rFonts w:cs="Arial"/>
                <w:color w:val="FF0000"/>
                <w:sz w:val="21"/>
                <w:szCs w:val="21"/>
              </w:rPr>
            </w:pPr>
          </w:p>
        </w:tc>
        <w:tc>
          <w:tcPr>
            <w:tcW w:w="217" w:type="dxa"/>
          </w:tcPr>
          <w:p w14:paraId="21DA4556" w14:textId="77777777" w:rsidR="002C0FD9" w:rsidRPr="00CA25CF" w:rsidRDefault="002C0FD9" w:rsidP="00CA25CF">
            <w:pPr>
              <w:rPr>
                <w:rFonts w:cs="Arial"/>
                <w:color w:val="FF0000"/>
                <w:sz w:val="21"/>
                <w:szCs w:val="21"/>
              </w:rPr>
            </w:pPr>
          </w:p>
        </w:tc>
        <w:tc>
          <w:tcPr>
            <w:tcW w:w="217" w:type="dxa"/>
          </w:tcPr>
          <w:p w14:paraId="4DA2B701" w14:textId="77777777" w:rsidR="002C0FD9" w:rsidRPr="00CA25CF" w:rsidRDefault="002C0FD9" w:rsidP="00CA25CF">
            <w:pPr>
              <w:rPr>
                <w:rFonts w:cs="Arial"/>
                <w:color w:val="FF0000"/>
                <w:sz w:val="21"/>
                <w:szCs w:val="21"/>
              </w:rPr>
            </w:pPr>
          </w:p>
        </w:tc>
        <w:tc>
          <w:tcPr>
            <w:tcW w:w="217" w:type="dxa"/>
          </w:tcPr>
          <w:p w14:paraId="76537521" w14:textId="77777777" w:rsidR="002C0FD9" w:rsidRPr="00CA25CF" w:rsidRDefault="002C0FD9" w:rsidP="00CA25CF">
            <w:pPr>
              <w:rPr>
                <w:rFonts w:cs="Arial"/>
                <w:color w:val="FF0000"/>
                <w:sz w:val="21"/>
                <w:szCs w:val="21"/>
              </w:rPr>
            </w:pPr>
          </w:p>
        </w:tc>
        <w:tc>
          <w:tcPr>
            <w:tcW w:w="217" w:type="dxa"/>
          </w:tcPr>
          <w:p w14:paraId="7AC17609" w14:textId="77777777" w:rsidR="002C0FD9" w:rsidRPr="00CA25CF" w:rsidRDefault="002C0FD9" w:rsidP="00CA25CF">
            <w:pPr>
              <w:rPr>
                <w:rFonts w:cs="Arial"/>
                <w:color w:val="FF0000"/>
                <w:sz w:val="21"/>
                <w:szCs w:val="21"/>
              </w:rPr>
            </w:pPr>
          </w:p>
        </w:tc>
        <w:tc>
          <w:tcPr>
            <w:tcW w:w="217" w:type="dxa"/>
          </w:tcPr>
          <w:p w14:paraId="6ADA2BA2" w14:textId="77777777" w:rsidR="002C0FD9" w:rsidRPr="00CA25CF" w:rsidRDefault="002C0FD9" w:rsidP="00CA25CF">
            <w:pPr>
              <w:rPr>
                <w:rFonts w:cs="Arial"/>
                <w:color w:val="FF0000"/>
                <w:sz w:val="21"/>
                <w:szCs w:val="21"/>
              </w:rPr>
            </w:pPr>
          </w:p>
        </w:tc>
        <w:tc>
          <w:tcPr>
            <w:tcW w:w="217" w:type="dxa"/>
          </w:tcPr>
          <w:p w14:paraId="4EC8C323" w14:textId="77777777" w:rsidR="002C0FD9" w:rsidRPr="00CA25CF" w:rsidRDefault="002C0FD9" w:rsidP="00CA25CF">
            <w:pPr>
              <w:rPr>
                <w:rFonts w:cs="Arial"/>
                <w:color w:val="FF0000"/>
                <w:sz w:val="21"/>
                <w:szCs w:val="21"/>
              </w:rPr>
            </w:pPr>
          </w:p>
        </w:tc>
        <w:tc>
          <w:tcPr>
            <w:tcW w:w="217" w:type="dxa"/>
          </w:tcPr>
          <w:p w14:paraId="06F2F51A" w14:textId="77777777" w:rsidR="002C0FD9" w:rsidRPr="00CA25CF" w:rsidRDefault="002C0FD9" w:rsidP="00CA25CF">
            <w:pPr>
              <w:rPr>
                <w:rFonts w:cs="Arial"/>
                <w:color w:val="FF0000"/>
                <w:sz w:val="21"/>
                <w:szCs w:val="21"/>
              </w:rPr>
            </w:pPr>
          </w:p>
        </w:tc>
        <w:tc>
          <w:tcPr>
            <w:tcW w:w="217" w:type="dxa"/>
          </w:tcPr>
          <w:p w14:paraId="31B1A2B0" w14:textId="77777777" w:rsidR="002C0FD9" w:rsidRPr="00CA25CF" w:rsidRDefault="002C0FD9" w:rsidP="00CA25CF">
            <w:pPr>
              <w:rPr>
                <w:rFonts w:cs="Arial"/>
                <w:color w:val="FF0000"/>
                <w:sz w:val="21"/>
                <w:szCs w:val="21"/>
              </w:rPr>
            </w:pPr>
          </w:p>
        </w:tc>
        <w:tc>
          <w:tcPr>
            <w:tcW w:w="217" w:type="dxa"/>
          </w:tcPr>
          <w:p w14:paraId="06BB1547" w14:textId="77777777" w:rsidR="002C0FD9" w:rsidRPr="00CA25CF" w:rsidRDefault="002C0FD9" w:rsidP="00CA25CF">
            <w:pPr>
              <w:rPr>
                <w:rFonts w:cs="Arial"/>
                <w:color w:val="FF0000"/>
                <w:sz w:val="21"/>
                <w:szCs w:val="21"/>
              </w:rPr>
            </w:pPr>
          </w:p>
        </w:tc>
        <w:tc>
          <w:tcPr>
            <w:tcW w:w="217" w:type="dxa"/>
          </w:tcPr>
          <w:p w14:paraId="522C0861" w14:textId="77777777" w:rsidR="002C0FD9" w:rsidRPr="00CA25CF" w:rsidRDefault="002C0FD9" w:rsidP="00CA25CF">
            <w:pPr>
              <w:rPr>
                <w:rFonts w:cs="Arial"/>
                <w:color w:val="FF0000"/>
                <w:sz w:val="21"/>
                <w:szCs w:val="21"/>
              </w:rPr>
            </w:pPr>
          </w:p>
        </w:tc>
        <w:tc>
          <w:tcPr>
            <w:tcW w:w="217" w:type="dxa"/>
          </w:tcPr>
          <w:p w14:paraId="7E4A44EE" w14:textId="77777777" w:rsidR="002C0FD9" w:rsidRPr="00CA25CF" w:rsidRDefault="002C0FD9" w:rsidP="00CA25CF">
            <w:pPr>
              <w:rPr>
                <w:rFonts w:cs="Arial"/>
                <w:color w:val="FF0000"/>
                <w:sz w:val="21"/>
                <w:szCs w:val="21"/>
              </w:rPr>
            </w:pPr>
          </w:p>
        </w:tc>
        <w:tc>
          <w:tcPr>
            <w:tcW w:w="217" w:type="dxa"/>
          </w:tcPr>
          <w:p w14:paraId="02435A8C" w14:textId="77777777" w:rsidR="002C0FD9" w:rsidRPr="00CA25CF" w:rsidRDefault="002C0FD9" w:rsidP="00CA25CF">
            <w:pPr>
              <w:rPr>
                <w:rFonts w:cs="Arial"/>
                <w:color w:val="FF0000"/>
                <w:sz w:val="21"/>
                <w:szCs w:val="21"/>
              </w:rPr>
            </w:pPr>
          </w:p>
        </w:tc>
        <w:tc>
          <w:tcPr>
            <w:tcW w:w="217" w:type="dxa"/>
          </w:tcPr>
          <w:p w14:paraId="6CF5588A" w14:textId="77777777" w:rsidR="002C0FD9" w:rsidRPr="00CA25CF" w:rsidRDefault="002C0FD9" w:rsidP="00CA25CF">
            <w:pPr>
              <w:rPr>
                <w:rFonts w:cs="Arial"/>
                <w:color w:val="FF0000"/>
                <w:sz w:val="21"/>
                <w:szCs w:val="21"/>
              </w:rPr>
            </w:pPr>
          </w:p>
        </w:tc>
        <w:tc>
          <w:tcPr>
            <w:tcW w:w="217" w:type="dxa"/>
          </w:tcPr>
          <w:p w14:paraId="1B52A25E" w14:textId="77777777" w:rsidR="002C0FD9" w:rsidRPr="00CA25CF" w:rsidRDefault="002C0FD9" w:rsidP="00CA25CF">
            <w:pPr>
              <w:rPr>
                <w:rFonts w:cs="Arial"/>
                <w:color w:val="FF0000"/>
                <w:sz w:val="21"/>
                <w:szCs w:val="21"/>
              </w:rPr>
            </w:pPr>
          </w:p>
        </w:tc>
        <w:tc>
          <w:tcPr>
            <w:tcW w:w="217" w:type="dxa"/>
          </w:tcPr>
          <w:p w14:paraId="4C2BC0B2" w14:textId="77777777" w:rsidR="002C0FD9" w:rsidRPr="00CA25CF" w:rsidRDefault="002C0FD9" w:rsidP="00CA25CF">
            <w:pPr>
              <w:rPr>
                <w:rFonts w:cs="Arial"/>
                <w:color w:val="FF0000"/>
                <w:sz w:val="21"/>
                <w:szCs w:val="21"/>
              </w:rPr>
            </w:pPr>
          </w:p>
        </w:tc>
        <w:tc>
          <w:tcPr>
            <w:tcW w:w="217" w:type="dxa"/>
          </w:tcPr>
          <w:p w14:paraId="458C509E" w14:textId="77777777" w:rsidR="002C0FD9" w:rsidRPr="00CA25CF" w:rsidRDefault="002C0FD9" w:rsidP="00CA25CF">
            <w:pPr>
              <w:rPr>
                <w:rFonts w:cs="Arial"/>
                <w:color w:val="FF0000"/>
                <w:sz w:val="21"/>
                <w:szCs w:val="21"/>
              </w:rPr>
            </w:pPr>
          </w:p>
        </w:tc>
        <w:tc>
          <w:tcPr>
            <w:tcW w:w="217" w:type="dxa"/>
          </w:tcPr>
          <w:p w14:paraId="32FDA314" w14:textId="77777777" w:rsidR="002C0FD9" w:rsidRPr="00CA25CF" w:rsidRDefault="002C0FD9" w:rsidP="00CA25CF">
            <w:pPr>
              <w:rPr>
                <w:rFonts w:cs="Arial"/>
                <w:color w:val="FF0000"/>
                <w:sz w:val="21"/>
                <w:szCs w:val="21"/>
              </w:rPr>
            </w:pPr>
          </w:p>
        </w:tc>
        <w:tc>
          <w:tcPr>
            <w:tcW w:w="217" w:type="dxa"/>
          </w:tcPr>
          <w:p w14:paraId="4765FC66" w14:textId="77777777" w:rsidR="002C0FD9" w:rsidRPr="00CA25CF" w:rsidRDefault="002C0FD9" w:rsidP="00CA25CF">
            <w:pPr>
              <w:rPr>
                <w:rFonts w:cs="Arial"/>
                <w:color w:val="FF0000"/>
                <w:sz w:val="21"/>
                <w:szCs w:val="21"/>
              </w:rPr>
            </w:pPr>
          </w:p>
        </w:tc>
        <w:tc>
          <w:tcPr>
            <w:tcW w:w="217" w:type="dxa"/>
          </w:tcPr>
          <w:p w14:paraId="2E90AF7F" w14:textId="77777777" w:rsidR="002C0FD9" w:rsidRPr="00CA25CF" w:rsidRDefault="002C0FD9" w:rsidP="00CA25CF">
            <w:pPr>
              <w:rPr>
                <w:rFonts w:cs="Arial"/>
                <w:color w:val="FF0000"/>
                <w:sz w:val="21"/>
                <w:szCs w:val="21"/>
              </w:rPr>
            </w:pPr>
          </w:p>
        </w:tc>
        <w:tc>
          <w:tcPr>
            <w:tcW w:w="217" w:type="dxa"/>
          </w:tcPr>
          <w:p w14:paraId="7FA957D3" w14:textId="77777777" w:rsidR="002C0FD9" w:rsidRPr="00CA25CF" w:rsidRDefault="002C0FD9" w:rsidP="00CA25CF">
            <w:pPr>
              <w:rPr>
                <w:rFonts w:cs="Arial"/>
                <w:color w:val="FF0000"/>
                <w:sz w:val="21"/>
                <w:szCs w:val="21"/>
              </w:rPr>
            </w:pPr>
          </w:p>
        </w:tc>
        <w:tc>
          <w:tcPr>
            <w:tcW w:w="217" w:type="dxa"/>
          </w:tcPr>
          <w:p w14:paraId="1E9B3ECD" w14:textId="77777777" w:rsidR="002C0FD9" w:rsidRPr="00CA25CF" w:rsidRDefault="002C0FD9" w:rsidP="00CA25CF">
            <w:pPr>
              <w:rPr>
                <w:rFonts w:cs="Arial"/>
                <w:color w:val="FF0000"/>
                <w:sz w:val="21"/>
                <w:szCs w:val="21"/>
              </w:rPr>
            </w:pPr>
          </w:p>
        </w:tc>
        <w:tc>
          <w:tcPr>
            <w:tcW w:w="217" w:type="dxa"/>
          </w:tcPr>
          <w:p w14:paraId="44C50FC5" w14:textId="77777777" w:rsidR="002C0FD9" w:rsidRPr="00CA25CF" w:rsidRDefault="002C0FD9" w:rsidP="00CA25CF">
            <w:pPr>
              <w:rPr>
                <w:rFonts w:cs="Arial"/>
                <w:color w:val="FF0000"/>
                <w:sz w:val="21"/>
                <w:szCs w:val="21"/>
              </w:rPr>
            </w:pPr>
          </w:p>
        </w:tc>
        <w:tc>
          <w:tcPr>
            <w:tcW w:w="217" w:type="dxa"/>
          </w:tcPr>
          <w:p w14:paraId="56FAD57A" w14:textId="77777777" w:rsidR="002C0FD9" w:rsidRPr="00CA25CF" w:rsidRDefault="002C0FD9" w:rsidP="00CA25CF">
            <w:pPr>
              <w:rPr>
                <w:rFonts w:cs="Arial"/>
                <w:color w:val="FF0000"/>
                <w:sz w:val="21"/>
                <w:szCs w:val="21"/>
              </w:rPr>
            </w:pPr>
          </w:p>
        </w:tc>
        <w:tc>
          <w:tcPr>
            <w:tcW w:w="217" w:type="dxa"/>
          </w:tcPr>
          <w:p w14:paraId="6FDC8C26" w14:textId="77777777" w:rsidR="002C0FD9" w:rsidRPr="00CA25CF" w:rsidRDefault="002C0FD9" w:rsidP="00CA25CF">
            <w:pPr>
              <w:rPr>
                <w:rFonts w:cs="Arial"/>
                <w:color w:val="FF0000"/>
                <w:sz w:val="21"/>
                <w:szCs w:val="21"/>
              </w:rPr>
            </w:pPr>
          </w:p>
        </w:tc>
        <w:tc>
          <w:tcPr>
            <w:tcW w:w="217" w:type="dxa"/>
          </w:tcPr>
          <w:p w14:paraId="7AF97E0B" w14:textId="77777777" w:rsidR="002C0FD9" w:rsidRPr="00CA25CF" w:rsidRDefault="002C0FD9" w:rsidP="00CA25CF">
            <w:pPr>
              <w:rPr>
                <w:rFonts w:cs="Arial"/>
                <w:color w:val="FF0000"/>
                <w:sz w:val="21"/>
                <w:szCs w:val="21"/>
              </w:rPr>
            </w:pPr>
          </w:p>
        </w:tc>
        <w:tc>
          <w:tcPr>
            <w:tcW w:w="217" w:type="dxa"/>
          </w:tcPr>
          <w:p w14:paraId="50656FF2" w14:textId="77777777" w:rsidR="002C0FD9" w:rsidRPr="00CA25CF" w:rsidRDefault="002C0FD9" w:rsidP="00CA25CF">
            <w:pPr>
              <w:rPr>
                <w:rFonts w:cs="Arial"/>
                <w:color w:val="FF0000"/>
                <w:sz w:val="21"/>
                <w:szCs w:val="21"/>
              </w:rPr>
            </w:pPr>
          </w:p>
        </w:tc>
        <w:tc>
          <w:tcPr>
            <w:tcW w:w="217" w:type="dxa"/>
          </w:tcPr>
          <w:p w14:paraId="5E846BCE" w14:textId="77777777" w:rsidR="002C0FD9" w:rsidRPr="00CA25CF" w:rsidRDefault="002C0FD9" w:rsidP="00CA25CF">
            <w:pPr>
              <w:rPr>
                <w:rFonts w:cs="Arial"/>
                <w:color w:val="FF0000"/>
                <w:sz w:val="21"/>
                <w:szCs w:val="21"/>
              </w:rPr>
            </w:pPr>
          </w:p>
        </w:tc>
        <w:tc>
          <w:tcPr>
            <w:tcW w:w="217" w:type="dxa"/>
          </w:tcPr>
          <w:p w14:paraId="1928B653" w14:textId="77777777" w:rsidR="002C0FD9" w:rsidRPr="00CA25CF" w:rsidRDefault="002C0FD9" w:rsidP="00CA25CF">
            <w:pPr>
              <w:rPr>
                <w:rFonts w:cs="Arial"/>
                <w:color w:val="FF0000"/>
                <w:sz w:val="21"/>
                <w:szCs w:val="21"/>
              </w:rPr>
            </w:pPr>
          </w:p>
        </w:tc>
        <w:tc>
          <w:tcPr>
            <w:tcW w:w="217" w:type="dxa"/>
          </w:tcPr>
          <w:p w14:paraId="49E744A0" w14:textId="77777777" w:rsidR="002C0FD9" w:rsidRPr="00CA25CF" w:rsidRDefault="002C0FD9" w:rsidP="00CA25CF">
            <w:pPr>
              <w:rPr>
                <w:rFonts w:cs="Arial"/>
                <w:color w:val="FF0000"/>
                <w:sz w:val="21"/>
                <w:szCs w:val="21"/>
              </w:rPr>
            </w:pPr>
          </w:p>
        </w:tc>
        <w:tc>
          <w:tcPr>
            <w:tcW w:w="217" w:type="dxa"/>
          </w:tcPr>
          <w:p w14:paraId="484089FD" w14:textId="77777777" w:rsidR="002C0FD9" w:rsidRPr="00CA25CF" w:rsidRDefault="002C0FD9" w:rsidP="00CA25CF">
            <w:pPr>
              <w:rPr>
                <w:rFonts w:cs="Arial"/>
                <w:color w:val="FF0000"/>
                <w:sz w:val="21"/>
                <w:szCs w:val="21"/>
              </w:rPr>
            </w:pPr>
          </w:p>
        </w:tc>
        <w:tc>
          <w:tcPr>
            <w:tcW w:w="217" w:type="dxa"/>
          </w:tcPr>
          <w:p w14:paraId="6EFA7CE8" w14:textId="77777777" w:rsidR="002C0FD9" w:rsidRPr="00CA25CF" w:rsidRDefault="002C0FD9" w:rsidP="00CA25CF">
            <w:pPr>
              <w:rPr>
                <w:rFonts w:cs="Arial"/>
                <w:color w:val="FF0000"/>
                <w:sz w:val="21"/>
                <w:szCs w:val="21"/>
              </w:rPr>
            </w:pPr>
          </w:p>
        </w:tc>
        <w:tc>
          <w:tcPr>
            <w:tcW w:w="217" w:type="dxa"/>
          </w:tcPr>
          <w:p w14:paraId="1A96D3DC" w14:textId="77777777" w:rsidR="002C0FD9" w:rsidRPr="00CA25CF" w:rsidRDefault="002C0FD9" w:rsidP="00CA25CF">
            <w:pPr>
              <w:rPr>
                <w:rFonts w:cs="Arial"/>
                <w:color w:val="FF0000"/>
                <w:sz w:val="21"/>
                <w:szCs w:val="21"/>
              </w:rPr>
            </w:pPr>
          </w:p>
        </w:tc>
        <w:tc>
          <w:tcPr>
            <w:tcW w:w="217" w:type="dxa"/>
          </w:tcPr>
          <w:p w14:paraId="274A50E7" w14:textId="77777777" w:rsidR="002C0FD9" w:rsidRPr="00CA25CF" w:rsidRDefault="002C0FD9" w:rsidP="00CA25CF">
            <w:pPr>
              <w:rPr>
                <w:rFonts w:cs="Arial"/>
                <w:color w:val="FF0000"/>
                <w:sz w:val="21"/>
                <w:szCs w:val="21"/>
              </w:rPr>
            </w:pPr>
          </w:p>
        </w:tc>
        <w:tc>
          <w:tcPr>
            <w:tcW w:w="217" w:type="dxa"/>
          </w:tcPr>
          <w:p w14:paraId="690E6750" w14:textId="77777777" w:rsidR="002C0FD9" w:rsidRPr="00CA25CF" w:rsidRDefault="002C0FD9" w:rsidP="00CA25CF">
            <w:pPr>
              <w:rPr>
                <w:rFonts w:cs="Arial"/>
                <w:color w:val="FF0000"/>
                <w:sz w:val="21"/>
                <w:szCs w:val="21"/>
              </w:rPr>
            </w:pPr>
          </w:p>
        </w:tc>
        <w:tc>
          <w:tcPr>
            <w:tcW w:w="217" w:type="dxa"/>
          </w:tcPr>
          <w:p w14:paraId="689E4725" w14:textId="77777777" w:rsidR="002C0FD9" w:rsidRPr="00CA25CF" w:rsidRDefault="002C0FD9" w:rsidP="00CA25CF">
            <w:pPr>
              <w:rPr>
                <w:rFonts w:cs="Arial"/>
                <w:color w:val="FF0000"/>
                <w:sz w:val="21"/>
                <w:szCs w:val="21"/>
              </w:rPr>
            </w:pPr>
          </w:p>
        </w:tc>
        <w:tc>
          <w:tcPr>
            <w:tcW w:w="217" w:type="dxa"/>
          </w:tcPr>
          <w:p w14:paraId="1B1C438A" w14:textId="77777777" w:rsidR="002C0FD9" w:rsidRPr="00CA25CF" w:rsidRDefault="002C0FD9" w:rsidP="00CA25CF">
            <w:pPr>
              <w:rPr>
                <w:rFonts w:cs="Arial"/>
                <w:color w:val="FF0000"/>
                <w:sz w:val="21"/>
                <w:szCs w:val="21"/>
              </w:rPr>
            </w:pPr>
          </w:p>
        </w:tc>
        <w:tc>
          <w:tcPr>
            <w:tcW w:w="217" w:type="dxa"/>
          </w:tcPr>
          <w:p w14:paraId="2657CA98" w14:textId="77777777" w:rsidR="002C0FD9" w:rsidRPr="00CA25CF" w:rsidRDefault="002C0FD9" w:rsidP="00CA25CF">
            <w:pPr>
              <w:rPr>
                <w:rFonts w:cs="Arial"/>
                <w:color w:val="FF0000"/>
                <w:sz w:val="21"/>
                <w:szCs w:val="21"/>
              </w:rPr>
            </w:pPr>
          </w:p>
        </w:tc>
        <w:tc>
          <w:tcPr>
            <w:tcW w:w="217" w:type="dxa"/>
          </w:tcPr>
          <w:p w14:paraId="1103EB4F" w14:textId="77777777" w:rsidR="002C0FD9" w:rsidRPr="00CA25CF" w:rsidRDefault="002C0FD9" w:rsidP="00CA25CF">
            <w:pPr>
              <w:rPr>
                <w:rFonts w:cs="Arial"/>
                <w:color w:val="FF0000"/>
                <w:sz w:val="21"/>
                <w:szCs w:val="21"/>
              </w:rPr>
            </w:pPr>
          </w:p>
        </w:tc>
        <w:tc>
          <w:tcPr>
            <w:tcW w:w="217" w:type="dxa"/>
          </w:tcPr>
          <w:p w14:paraId="5E66F11E" w14:textId="77777777" w:rsidR="002C0FD9" w:rsidRPr="00CA25CF" w:rsidRDefault="002C0FD9" w:rsidP="00CA25CF">
            <w:pPr>
              <w:rPr>
                <w:rFonts w:cs="Arial"/>
                <w:color w:val="FF0000"/>
                <w:sz w:val="21"/>
                <w:szCs w:val="21"/>
              </w:rPr>
            </w:pPr>
          </w:p>
        </w:tc>
        <w:tc>
          <w:tcPr>
            <w:tcW w:w="217" w:type="dxa"/>
          </w:tcPr>
          <w:p w14:paraId="2E3CE750" w14:textId="77777777" w:rsidR="002C0FD9" w:rsidRPr="00CA25CF" w:rsidRDefault="002C0FD9" w:rsidP="00CA25CF">
            <w:pPr>
              <w:rPr>
                <w:rFonts w:cs="Arial"/>
                <w:color w:val="FF0000"/>
                <w:sz w:val="21"/>
                <w:szCs w:val="21"/>
              </w:rPr>
            </w:pPr>
          </w:p>
        </w:tc>
        <w:tc>
          <w:tcPr>
            <w:tcW w:w="217" w:type="dxa"/>
          </w:tcPr>
          <w:p w14:paraId="7182B29D" w14:textId="77777777" w:rsidR="002C0FD9" w:rsidRPr="00CA25CF" w:rsidRDefault="002C0FD9" w:rsidP="00CA25CF">
            <w:pPr>
              <w:rPr>
                <w:rFonts w:cs="Arial"/>
                <w:color w:val="FF0000"/>
                <w:sz w:val="21"/>
                <w:szCs w:val="21"/>
              </w:rPr>
            </w:pPr>
          </w:p>
        </w:tc>
      </w:tr>
      <w:tr w:rsidR="002C0FD9" w:rsidRPr="00A16219" w14:paraId="517197EB" w14:textId="77777777" w:rsidTr="002C0FD9">
        <w:trPr>
          <w:trHeight w:val="635"/>
        </w:trPr>
        <w:tc>
          <w:tcPr>
            <w:tcW w:w="515" w:type="dxa"/>
          </w:tcPr>
          <w:p w14:paraId="4CE2F48D" w14:textId="77777777" w:rsidR="002C0FD9" w:rsidRPr="00CA25CF" w:rsidRDefault="002C0FD9" w:rsidP="00CA25CF">
            <w:pPr>
              <w:rPr>
                <w:rFonts w:cs="Arial"/>
                <w:color w:val="FF0000"/>
                <w:sz w:val="21"/>
                <w:szCs w:val="21"/>
              </w:rPr>
            </w:pPr>
          </w:p>
        </w:tc>
        <w:tc>
          <w:tcPr>
            <w:tcW w:w="217" w:type="dxa"/>
          </w:tcPr>
          <w:p w14:paraId="39CC93C0" w14:textId="77777777" w:rsidR="002C0FD9" w:rsidRPr="00CA25CF" w:rsidRDefault="002C0FD9" w:rsidP="00CA25CF">
            <w:pPr>
              <w:rPr>
                <w:rFonts w:cs="Arial"/>
                <w:color w:val="FF0000"/>
                <w:sz w:val="21"/>
                <w:szCs w:val="21"/>
              </w:rPr>
            </w:pPr>
          </w:p>
        </w:tc>
        <w:tc>
          <w:tcPr>
            <w:tcW w:w="217" w:type="dxa"/>
          </w:tcPr>
          <w:p w14:paraId="784CEE02" w14:textId="77777777" w:rsidR="002C0FD9" w:rsidRPr="00CA25CF" w:rsidRDefault="002C0FD9" w:rsidP="00CA25CF">
            <w:pPr>
              <w:rPr>
                <w:rFonts w:cs="Arial"/>
                <w:color w:val="FF0000"/>
                <w:sz w:val="21"/>
                <w:szCs w:val="21"/>
              </w:rPr>
            </w:pPr>
          </w:p>
        </w:tc>
        <w:tc>
          <w:tcPr>
            <w:tcW w:w="217" w:type="dxa"/>
          </w:tcPr>
          <w:p w14:paraId="3A53CAF2" w14:textId="77777777" w:rsidR="002C0FD9" w:rsidRPr="00CA25CF" w:rsidRDefault="002C0FD9" w:rsidP="00CA25CF">
            <w:pPr>
              <w:rPr>
                <w:rFonts w:cs="Arial"/>
                <w:color w:val="FF0000"/>
                <w:sz w:val="21"/>
                <w:szCs w:val="21"/>
              </w:rPr>
            </w:pPr>
          </w:p>
        </w:tc>
        <w:tc>
          <w:tcPr>
            <w:tcW w:w="217" w:type="dxa"/>
          </w:tcPr>
          <w:p w14:paraId="3B9D884C" w14:textId="77777777" w:rsidR="002C0FD9" w:rsidRPr="00CA25CF" w:rsidRDefault="002C0FD9" w:rsidP="00CA25CF">
            <w:pPr>
              <w:rPr>
                <w:rFonts w:cs="Arial"/>
                <w:color w:val="FF0000"/>
                <w:sz w:val="21"/>
                <w:szCs w:val="21"/>
              </w:rPr>
            </w:pPr>
          </w:p>
        </w:tc>
        <w:tc>
          <w:tcPr>
            <w:tcW w:w="217" w:type="dxa"/>
          </w:tcPr>
          <w:p w14:paraId="2582920B" w14:textId="77777777" w:rsidR="002C0FD9" w:rsidRPr="00CA25CF" w:rsidRDefault="002C0FD9" w:rsidP="00CA25CF">
            <w:pPr>
              <w:rPr>
                <w:rFonts w:cs="Arial"/>
                <w:color w:val="FF0000"/>
                <w:sz w:val="21"/>
                <w:szCs w:val="21"/>
              </w:rPr>
            </w:pPr>
          </w:p>
        </w:tc>
        <w:tc>
          <w:tcPr>
            <w:tcW w:w="217" w:type="dxa"/>
          </w:tcPr>
          <w:p w14:paraId="1D297FF2" w14:textId="77777777" w:rsidR="002C0FD9" w:rsidRPr="00CA25CF" w:rsidRDefault="002C0FD9" w:rsidP="00CA25CF">
            <w:pPr>
              <w:rPr>
                <w:rFonts w:cs="Arial"/>
                <w:color w:val="FF0000"/>
                <w:sz w:val="21"/>
                <w:szCs w:val="21"/>
              </w:rPr>
            </w:pPr>
          </w:p>
        </w:tc>
        <w:tc>
          <w:tcPr>
            <w:tcW w:w="217" w:type="dxa"/>
          </w:tcPr>
          <w:p w14:paraId="5C1E397C" w14:textId="77777777" w:rsidR="002C0FD9" w:rsidRPr="00CA25CF" w:rsidRDefault="002C0FD9" w:rsidP="00CA25CF">
            <w:pPr>
              <w:rPr>
                <w:rFonts w:cs="Arial"/>
                <w:color w:val="FF0000"/>
                <w:sz w:val="21"/>
                <w:szCs w:val="21"/>
              </w:rPr>
            </w:pPr>
          </w:p>
        </w:tc>
        <w:tc>
          <w:tcPr>
            <w:tcW w:w="217" w:type="dxa"/>
          </w:tcPr>
          <w:p w14:paraId="0E902A55" w14:textId="77777777" w:rsidR="002C0FD9" w:rsidRPr="00CA25CF" w:rsidRDefault="002C0FD9" w:rsidP="00CA25CF">
            <w:pPr>
              <w:rPr>
                <w:rFonts w:cs="Arial"/>
                <w:color w:val="FF0000"/>
                <w:sz w:val="21"/>
                <w:szCs w:val="21"/>
              </w:rPr>
            </w:pPr>
          </w:p>
        </w:tc>
        <w:tc>
          <w:tcPr>
            <w:tcW w:w="217" w:type="dxa"/>
          </w:tcPr>
          <w:p w14:paraId="4BB4C204" w14:textId="77777777" w:rsidR="002C0FD9" w:rsidRPr="00CA25CF" w:rsidRDefault="002C0FD9" w:rsidP="00CA25CF">
            <w:pPr>
              <w:rPr>
                <w:rFonts w:cs="Arial"/>
                <w:color w:val="FF0000"/>
                <w:sz w:val="21"/>
                <w:szCs w:val="21"/>
              </w:rPr>
            </w:pPr>
          </w:p>
        </w:tc>
        <w:tc>
          <w:tcPr>
            <w:tcW w:w="217" w:type="dxa"/>
          </w:tcPr>
          <w:p w14:paraId="7083E3B3" w14:textId="77777777" w:rsidR="002C0FD9" w:rsidRPr="00CA25CF" w:rsidRDefault="002C0FD9" w:rsidP="00CA25CF">
            <w:pPr>
              <w:rPr>
                <w:rFonts w:cs="Arial"/>
                <w:color w:val="FF0000"/>
                <w:sz w:val="21"/>
                <w:szCs w:val="21"/>
              </w:rPr>
            </w:pPr>
          </w:p>
        </w:tc>
        <w:tc>
          <w:tcPr>
            <w:tcW w:w="217" w:type="dxa"/>
          </w:tcPr>
          <w:p w14:paraId="0EC3387A" w14:textId="77777777" w:rsidR="002C0FD9" w:rsidRPr="00CA25CF" w:rsidRDefault="002C0FD9" w:rsidP="00CA25CF">
            <w:pPr>
              <w:rPr>
                <w:rFonts w:cs="Arial"/>
                <w:color w:val="FF0000"/>
                <w:sz w:val="21"/>
                <w:szCs w:val="21"/>
              </w:rPr>
            </w:pPr>
          </w:p>
        </w:tc>
        <w:tc>
          <w:tcPr>
            <w:tcW w:w="217" w:type="dxa"/>
          </w:tcPr>
          <w:p w14:paraId="725A49C1" w14:textId="77777777" w:rsidR="002C0FD9" w:rsidRPr="00CA25CF" w:rsidRDefault="002C0FD9" w:rsidP="00CA25CF">
            <w:pPr>
              <w:rPr>
                <w:rFonts w:cs="Arial"/>
                <w:color w:val="FF0000"/>
                <w:sz w:val="21"/>
                <w:szCs w:val="21"/>
              </w:rPr>
            </w:pPr>
          </w:p>
        </w:tc>
        <w:tc>
          <w:tcPr>
            <w:tcW w:w="217" w:type="dxa"/>
          </w:tcPr>
          <w:p w14:paraId="0CCC5C1D" w14:textId="77777777" w:rsidR="002C0FD9" w:rsidRPr="00CA25CF" w:rsidRDefault="002C0FD9" w:rsidP="00CA25CF">
            <w:pPr>
              <w:rPr>
                <w:rFonts w:cs="Arial"/>
                <w:color w:val="FF0000"/>
                <w:sz w:val="21"/>
                <w:szCs w:val="21"/>
              </w:rPr>
            </w:pPr>
          </w:p>
        </w:tc>
        <w:tc>
          <w:tcPr>
            <w:tcW w:w="217" w:type="dxa"/>
          </w:tcPr>
          <w:p w14:paraId="16F686B3" w14:textId="77777777" w:rsidR="002C0FD9" w:rsidRPr="00CA25CF" w:rsidRDefault="002C0FD9" w:rsidP="00CA25CF">
            <w:pPr>
              <w:rPr>
                <w:rFonts w:cs="Arial"/>
                <w:color w:val="FF0000"/>
                <w:sz w:val="21"/>
                <w:szCs w:val="21"/>
              </w:rPr>
            </w:pPr>
          </w:p>
        </w:tc>
        <w:tc>
          <w:tcPr>
            <w:tcW w:w="217" w:type="dxa"/>
          </w:tcPr>
          <w:p w14:paraId="0A9A436B" w14:textId="77777777" w:rsidR="002C0FD9" w:rsidRPr="00CA25CF" w:rsidRDefault="002C0FD9" w:rsidP="00CA25CF">
            <w:pPr>
              <w:rPr>
                <w:rFonts w:cs="Arial"/>
                <w:color w:val="FF0000"/>
                <w:sz w:val="21"/>
                <w:szCs w:val="21"/>
              </w:rPr>
            </w:pPr>
          </w:p>
        </w:tc>
        <w:tc>
          <w:tcPr>
            <w:tcW w:w="217" w:type="dxa"/>
          </w:tcPr>
          <w:p w14:paraId="5B1910CC" w14:textId="77777777" w:rsidR="002C0FD9" w:rsidRPr="00CA25CF" w:rsidRDefault="002C0FD9" w:rsidP="00CA25CF">
            <w:pPr>
              <w:rPr>
                <w:rFonts w:cs="Arial"/>
                <w:color w:val="FF0000"/>
                <w:sz w:val="21"/>
                <w:szCs w:val="21"/>
              </w:rPr>
            </w:pPr>
          </w:p>
        </w:tc>
        <w:tc>
          <w:tcPr>
            <w:tcW w:w="217" w:type="dxa"/>
          </w:tcPr>
          <w:p w14:paraId="6BA65366" w14:textId="77777777" w:rsidR="002C0FD9" w:rsidRPr="00CA25CF" w:rsidRDefault="002C0FD9" w:rsidP="00CA25CF">
            <w:pPr>
              <w:rPr>
                <w:rFonts w:cs="Arial"/>
                <w:color w:val="FF0000"/>
                <w:sz w:val="21"/>
                <w:szCs w:val="21"/>
              </w:rPr>
            </w:pPr>
          </w:p>
        </w:tc>
        <w:tc>
          <w:tcPr>
            <w:tcW w:w="217" w:type="dxa"/>
          </w:tcPr>
          <w:p w14:paraId="66DA6278" w14:textId="77777777" w:rsidR="002C0FD9" w:rsidRPr="00CA25CF" w:rsidRDefault="002C0FD9" w:rsidP="00CA25CF">
            <w:pPr>
              <w:rPr>
                <w:rFonts w:cs="Arial"/>
                <w:color w:val="FF0000"/>
                <w:sz w:val="21"/>
                <w:szCs w:val="21"/>
              </w:rPr>
            </w:pPr>
          </w:p>
        </w:tc>
        <w:tc>
          <w:tcPr>
            <w:tcW w:w="217" w:type="dxa"/>
          </w:tcPr>
          <w:p w14:paraId="63007D84" w14:textId="77777777" w:rsidR="002C0FD9" w:rsidRPr="00CA25CF" w:rsidRDefault="002C0FD9" w:rsidP="00CA25CF">
            <w:pPr>
              <w:rPr>
                <w:rFonts w:cs="Arial"/>
                <w:color w:val="FF0000"/>
                <w:sz w:val="21"/>
                <w:szCs w:val="21"/>
              </w:rPr>
            </w:pPr>
          </w:p>
        </w:tc>
        <w:tc>
          <w:tcPr>
            <w:tcW w:w="217" w:type="dxa"/>
          </w:tcPr>
          <w:p w14:paraId="24DC2EAF" w14:textId="77777777" w:rsidR="002C0FD9" w:rsidRPr="00CA25CF" w:rsidRDefault="002C0FD9" w:rsidP="00CA25CF">
            <w:pPr>
              <w:rPr>
                <w:rFonts w:cs="Arial"/>
                <w:color w:val="FF0000"/>
                <w:sz w:val="21"/>
                <w:szCs w:val="21"/>
              </w:rPr>
            </w:pPr>
          </w:p>
        </w:tc>
        <w:tc>
          <w:tcPr>
            <w:tcW w:w="217" w:type="dxa"/>
          </w:tcPr>
          <w:p w14:paraId="2DF7C179" w14:textId="77777777" w:rsidR="002C0FD9" w:rsidRPr="00CA25CF" w:rsidRDefault="002C0FD9" w:rsidP="00CA25CF">
            <w:pPr>
              <w:rPr>
                <w:rFonts w:cs="Arial"/>
                <w:color w:val="FF0000"/>
                <w:sz w:val="21"/>
                <w:szCs w:val="21"/>
              </w:rPr>
            </w:pPr>
          </w:p>
        </w:tc>
        <w:tc>
          <w:tcPr>
            <w:tcW w:w="217" w:type="dxa"/>
          </w:tcPr>
          <w:p w14:paraId="14C606E4" w14:textId="77777777" w:rsidR="002C0FD9" w:rsidRPr="00CA25CF" w:rsidRDefault="002C0FD9" w:rsidP="00CA25CF">
            <w:pPr>
              <w:rPr>
                <w:rFonts w:cs="Arial"/>
                <w:color w:val="FF0000"/>
                <w:sz w:val="21"/>
                <w:szCs w:val="21"/>
              </w:rPr>
            </w:pPr>
          </w:p>
        </w:tc>
        <w:tc>
          <w:tcPr>
            <w:tcW w:w="217" w:type="dxa"/>
          </w:tcPr>
          <w:p w14:paraId="0C031AB2" w14:textId="77777777" w:rsidR="002C0FD9" w:rsidRPr="00CA25CF" w:rsidRDefault="002C0FD9" w:rsidP="00CA25CF">
            <w:pPr>
              <w:rPr>
                <w:rFonts w:cs="Arial"/>
                <w:color w:val="FF0000"/>
                <w:sz w:val="21"/>
                <w:szCs w:val="21"/>
              </w:rPr>
            </w:pPr>
          </w:p>
        </w:tc>
        <w:tc>
          <w:tcPr>
            <w:tcW w:w="217" w:type="dxa"/>
          </w:tcPr>
          <w:p w14:paraId="6E23C52D" w14:textId="77777777" w:rsidR="002C0FD9" w:rsidRPr="00CA25CF" w:rsidRDefault="002C0FD9" w:rsidP="00CA25CF">
            <w:pPr>
              <w:rPr>
                <w:rFonts w:cs="Arial"/>
                <w:color w:val="FF0000"/>
                <w:sz w:val="21"/>
                <w:szCs w:val="21"/>
              </w:rPr>
            </w:pPr>
          </w:p>
        </w:tc>
        <w:tc>
          <w:tcPr>
            <w:tcW w:w="217" w:type="dxa"/>
          </w:tcPr>
          <w:p w14:paraId="6D50371F" w14:textId="77777777" w:rsidR="002C0FD9" w:rsidRPr="00CA25CF" w:rsidRDefault="002C0FD9" w:rsidP="00CA25CF">
            <w:pPr>
              <w:rPr>
                <w:rFonts w:cs="Arial"/>
                <w:color w:val="FF0000"/>
                <w:sz w:val="21"/>
                <w:szCs w:val="21"/>
              </w:rPr>
            </w:pPr>
          </w:p>
        </w:tc>
        <w:tc>
          <w:tcPr>
            <w:tcW w:w="217" w:type="dxa"/>
          </w:tcPr>
          <w:p w14:paraId="395F9021" w14:textId="77777777" w:rsidR="002C0FD9" w:rsidRPr="00CA25CF" w:rsidRDefault="002C0FD9" w:rsidP="00CA25CF">
            <w:pPr>
              <w:rPr>
                <w:rFonts w:cs="Arial"/>
                <w:color w:val="FF0000"/>
                <w:sz w:val="21"/>
                <w:szCs w:val="21"/>
              </w:rPr>
            </w:pPr>
          </w:p>
        </w:tc>
        <w:tc>
          <w:tcPr>
            <w:tcW w:w="217" w:type="dxa"/>
          </w:tcPr>
          <w:p w14:paraId="2229232C" w14:textId="77777777" w:rsidR="002C0FD9" w:rsidRPr="00CA25CF" w:rsidRDefault="002C0FD9" w:rsidP="00CA25CF">
            <w:pPr>
              <w:rPr>
                <w:rFonts w:cs="Arial"/>
                <w:color w:val="FF0000"/>
                <w:sz w:val="21"/>
                <w:szCs w:val="21"/>
              </w:rPr>
            </w:pPr>
          </w:p>
        </w:tc>
        <w:tc>
          <w:tcPr>
            <w:tcW w:w="217" w:type="dxa"/>
          </w:tcPr>
          <w:p w14:paraId="1F371904" w14:textId="77777777" w:rsidR="002C0FD9" w:rsidRPr="00CA25CF" w:rsidRDefault="002C0FD9" w:rsidP="00CA25CF">
            <w:pPr>
              <w:rPr>
                <w:rFonts w:cs="Arial"/>
                <w:color w:val="FF0000"/>
                <w:sz w:val="21"/>
                <w:szCs w:val="21"/>
              </w:rPr>
            </w:pPr>
          </w:p>
        </w:tc>
        <w:tc>
          <w:tcPr>
            <w:tcW w:w="217" w:type="dxa"/>
          </w:tcPr>
          <w:p w14:paraId="1FC7739D" w14:textId="77777777" w:rsidR="002C0FD9" w:rsidRPr="00CA25CF" w:rsidRDefault="002C0FD9" w:rsidP="00CA25CF">
            <w:pPr>
              <w:rPr>
                <w:rFonts w:cs="Arial"/>
                <w:color w:val="FF0000"/>
                <w:sz w:val="21"/>
                <w:szCs w:val="21"/>
              </w:rPr>
            </w:pPr>
          </w:p>
        </w:tc>
        <w:tc>
          <w:tcPr>
            <w:tcW w:w="217" w:type="dxa"/>
          </w:tcPr>
          <w:p w14:paraId="41AB1A9D" w14:textId="77777777" w:rsidR="002C0FD9" w:rsidRPr="00CA25CF" w:rsidRDefault="002C0FD9" w:rsidP="00CA25CF">
            <w:pPr>
              <w:rPr>
                <w:rFonts w:cs="Arial"/>
                <w:color w:val="FF0000"/>
                <w:sz w:val="21"/>
                <w:szCs w:val="21"/>
              </w:rPr>
            </w:pPr>
          </w:p>
        </w:tc>
        <w:tc>
          <w:tcPr>
            <w:tcW w:w="217" w:type="dxa"/>
          </w:tcPr>
          <w:p w14:paraId="5C28C4F0" w14:textId="77777777" w:rsidR="002C0FD9" w:rsidRPr="00CA25CF" w:rsidRDefault="002C0FD9" w:rsidP="00CA25CF">
            <w:pPr>
              <w:rPr>
                <w:rFonts w:cs="Arial"/>
                <w:color w:val="FF0000"/>
                <w:sz w:val="21"/>
                <w:szCs w:val="21"/>
              </w:rPr>
            </w:pPr>
          </w:p>
        </w:tc>
        <w:tc>
          <w:tcPr>
            <w:tcW w:w="217" w:type="dxa"/>
          </w:tcPr>
          <w:p w14:paraId="2318051B" w14:textId="77777777" w:rsidR="002C0FD9" w:rsidRPr="00CA25CF" w:rsidRDefault="002C0FD9" w:rsidP="00CA25CF">
            <w:pPr>
              <w:rPr>
                <w:rFonts w:cs="Arial"/>
                <w:color w:val="FF0000"/>
                <w:sz w:val="21"/>
                <w:szCs w:val="21"/>
              </w:rPr>
            </w:pPr>
          </w:p>
        </w:tc>
        <w:tc>
          <w:tcPr>
            <w:tcW w:w="217" w:type="dxa"/>
          </w:tcPr>
          <w:p w14:paraId="6B888F15" w14:textId="77777777" w:rsidR="002C0FD9" w:rsidRPr="00CA25CF" w:rsidRDefault="002C0FD9" w:rsidP="00CA25CF">
            <w:pPr>
              <w:rPr>
                <w:rFonts w:cs="Arial"/>
                <w:color w:val="FF0000"/>
                <w:sz w:val="21"/>
                <w:szCs w:val="21"/>
              </w:rPr>
            </w:pPr>
          </w:p>
        </w:tc>
        <w:tc>
          <w:tcPr>
            <w:tcW w:w="217" w:type="dxa"/>
          </w:tcPr>
          <w:p w14:paraId="70E61442" w14:textId="77777777" w:rsidR="002C0FD9" w:rsidRPr="00CA25CF" w:rsidRDefault="002C0FD9" w:rsidP="00CA25CF">
            <w:pPr>
              <w:rPr>
                <w:rFonts w:cs="Arial"/>
                <w:color w:val="FF0000"/>
                <w:sz w:val="21"/>
                <w:szCs w:val="21"/>
              </w:rPr>
            </w:pPr>
          </w:p>
        </w:tc>
        <w:tc>
          <w:tcPr>
            <w:tcW w:w="217" w:type="dxa"/>
          </w:tcPr>
          <w:p w14:paraId="45A41CF1" w14:textId="77777777" w:rsidR="002C0FD9" w:rsidRPr="00CA25CF" w:rsidRDefault="002C0FD9" w:rsidP="00CA25CF">
            <w:pPr>
              <w:rPr>
                <w:rFonts w:cs="Arial"/>
                <w:color w:val="FF0000"/>
                <w:sz w:val="21"/>
                <w:szCs w:val="21"/>
              </w:rPr>
            </w:pPr>
          </w:p>
        </w:tc>
        <w:tc>
          <w:tcPr>
            <w:tcW w:w="217" w:type="dxa"/>
          </w:tcPr>
          <w:p w14:paraId="43F711DB" w14:textId="77777777" w:rsidR="002C0FD9" w:rsidRPr="00CA25CF" w:rsidRDefault="002C0FD9" w:rsidP="00CA25CF">
            <w:pPr>
              <w:rPr>
                <w:rFonts w:cs="Arial"/>
                <w:color w:val="FF0000"/>
                <w:sz w:val="21"/>
                <w:szCs w:val="21"/>
              </w:rPr>
            </w:pPr>
          </w:p>
        </w:tc>
        <w:tc>
          <w:tcPr>
            <w:tcW w:w="217" w:type="dxa"/>
          </w:tcPr>
          <w:p w14:paraId="7874E342" w14:textId="77777777" w:rsidR="002C0FD9" w:rsidRPr="00CA25CF" w:rsidRDefault="002C0FD9" w:rsidP="00CA25CF">
            <w:pPr>
              <w:rPr>
                <w:rFonts w:cs="Arial"/>
                <w:color w:val="FF0000"/>
                <w:sz w:val="21"/>
                <w:szCs w:val="21"/>
              </w:rPr>
            </w:pPr>
          </w:p>
        </w:tc>
        <w:tc>
          <w:tcPr>
            <w:tcW w:w="217" w:type="dxa"/>
          </w:tcPr>
          <w:p w14:paraId="373F5FFA" w14:textId="77777777" w:rsidR="002C0FD9" w:rsidRPr="00CA25CF" w:rsidRDefault="002C0FD9" w:rsidP="00CA25CF">
            <w:pPr>
              <w:rPr>
                <w:rFonts w:cs="Arial"/>
                <w:color w:val="FF0000"/>
                <w:sz w:val="21"/>
                <w:szCs w:val="21"/>
              </w:rPr>
            </w:pPr>
          </w:p>
        </w:tc>
        <w:tc>
          <w:tcPr>
            <w:tcW w:w="217" w:type="dxa"/>
          </w:tcPr>
          <w:p w14:paraId="1551BD2F" w14:textId="77777777" w:rsidR="002C0FD9" w:rsidRPr="00CA25CF" w:rsidRDefault="002C0FD9" w:rsidP="00CA25CF">
            <w:pPr>
              <w:rPr>
                <w:rFonts w:cs="Arial"/>
                <w:color w:val="FF0000"/>
                <w:sz w:val="21"/>
                <w:szCs w:val="21"/>
              </w:rPr>
            </w:pPr>
          </w:p>
        </w:tc>
        <w:tc>
          <w:tcPr>
            <w:tcW w:w="217" w:type="dxa"/>
          </w:tcPr>
          <w:p w14:paraId="7BD372DC" w14:textId="77777777" w:rsidR="002C0FD9" w:rsidRPr="00CA25CF" w:rsidRDefault="002C0FD9" w:rsidP="00CA25CF">
            <w:pPr>
              <w:rPr>
                <w:rFonts w:cs="Arial"/>
                <w:color w:val="FF0000"/>
                <w:sz w:val="21"/>
                <w:szCs w:val="21"/>
              </w:rPr>
            </w:pPr>
          </w:p>
        </w:tc>
        <w:tc>
          <w:tcPr>
            <w:tcW w:w="217" w:type="dxa"/>
          </w:tcPr>
          <w:p w14:paraId="79EA6A5D" w14:textId="77777777" w:rsidR="002C0FD9" w:rsidRPr="00CA25CF" w:rsidRDefault="002C0FD9" w:rsidP="00CA25CF">
            <w:pPr>
              <w:rPr>
                <w:rFonts w:cs="Arial"/>
                <w:color w:val="FF0000"/>
                <w:sz w:val="21"/>
                <w:szCs w:val="21"/>
              </w:rPr>
            </w:pPr>
          </w:p>
        </w:tc>
        <w:tc>
          <w:tcPr>
            <w:tcW w:w="217" w:type="dxa"/>
          </w:tcPr>
          <w:p w14:paraId="30FF6926" w14:textId="77777777" w:rsidR="002C0FD9" w:rsidRPr="00CA25CF" w:rsidRDefault="002C0FD9" w:rsidP="00CA25CF">
            <w:pPr>
              <w:rPr>
                <w:rFonts w:cs="Arial"/>
                <w:color w:val="FF0000"/>
                <w:sz w:val="21"/>
                <w:szCs w:val="21"/>
              </w:rPr>
            </w:pPr>
          </w:p>
        </w:tc>
      </w:tr>
      <w:tr w:rsidR="002C0FD9" w:rsidRPr="00A16219" w14:paraId="7001D274" w14:textId="77777777" w:rsidTr="002C0FD9">
        <w:trPr>
          <w:trHeight w:val="635"/>
        </w:trPr>
        <w:tc>
          <w:tcPr>
            <w:tcW w:w="515" w:type="dxa"/>
          </w:tcPr>
          <w:p w14:paraId="0DDDE64B" w14:textId="77777777" w:rsidR="002C0FD9" w:rsidRPr="00CA25CF" w:rsidRDefault="002C0FD9" w:rsidP="00CA25CF">
            <w:pPr>
              <w:rPr>
                <w:rFonts w:cs="Arial"/>
                <w:color w:val="FF0000"/>
                <w:sz w:val="21"/>
                <w:szCs w:val="21"/>
              </w:rPr>
            </w:pPr>
          </w:p>
        </w:tc>
        <w:tc>
          <w:tcPr>
            <w:tcW w:w="217" w:type="dxa"/>
          </w:tcPr>
          <w:p w14:paraId="14D88F82" w14:textId="77777777" w:rsidR="002C0FD9" w:rsidRPr="00CA25CF" w:rsidRDefault="002C0FD9" w:rsidP="00CA25CF">
            <w:pPr>
              <w:rPr>
                <w:rFonts w:cs="Arial"/>
                <w:color w:val="FF0000"/>
                <w:sz w:val="21"/>
                <w:szCs w:val="21"/>
              </w:rPr>
            </w:pPr>
          </w:p>
        </w:tc>
        <w:tc>
          <w:tcPr>
            <w:tcW w:w="217" w:type="dxa"/>
          </w:tcPr>
          <w:p w14:paraId="530633E9" w14:textId="77777777" w:rsidR="002C0FD9" w:rsidRPr="00CA25CF" w:rsidRDefault="002C0FD9" w:rsidP="00CA25CF">
            <w:pPr>
              <w:rPr>
                <w:rFonts w:cs="Arial"/>
                <w:color w:val="FF0000"/>
                <w:sz w:val="21"/>
                <w:szCs w:val="21"/>
              </w:rPr>
            </w:pPr>
          </w:p>
        </w:tc>
        <w:tc>
          <w:tcPr>
            <w:tcW w:w="217" w:type="dxa"/>
          </w:tcPr>
          <w:p w14:paraId="300248A3" w14:textId="77777777" w:rsidR="002C0FD9" w:rsidRPr="00CA25CF" w:rsidRDefault="002C0FD9" w:rsidP="00CA25CF">
            <w:pPr>
              <w:rPr>
                <w:rFonts w:cs="Arial"/>
                <w:color w:val="FF0000"/>
                <w:sz w:val="21"/>
                <w:szCs w:val="21"/>
              </w:rPr>
            </w:pPr>
          </w:p>
        </w:tc>
        <w:tc>
          <w:tcPr>
            <w:tcW w:w="217" w:type="dxa"/>
          </w:tcPr>
          <w:p w14:paraId="62A96AA2" w14:textId="77777777" w:rsidR="002C0FD9" w:rsidRPr="00CA25CF" w:rsidRDefault="002C0FD9" w:rsidP="00CA25CF">
            <w:pPr>
              <w:rPr>
                <w:rFonts w:cs="Arial"/>
                <w:color w:val="FF0000"/>
                <w:sz w:val="21"/>
                <w:szCs w:val="21"/>
              </w:rPr>
            </w:pPr>
          </w:p>
        </w:tc>
        <w:tc>
          <w:tcPr>
            <w:tcW w:w="217" w:type="dxa"/>
          </w:tcPr>
          <w:p w14:paraId="186CA564" w14:textId="77777777" w:rsidR="002C0FD9" w:rsidRPr="00CA25CF" w:rsidRDefault="002C0FD9" w:rsidP="00CA25CF">
            <w:pPr>
              <w:rPr>
                <w:rFonts w:cs="Arial"/>
                <w:color w:val="FF0000"/>
                <w:sz w:val="21"/>
                <w:szCs w:val="21"/>
              </w:rPr>
            </w:pPr>
          </w:p>
        </w:tc>
        <w:tc>
          <w:tcPr>
            <w:tcW w:w="217" w:type="dxa"/>
          </w:tcPr>
          <w:p w14:paraId="1B11AD52" w14:textId="77777777" w:rsidR="002C0FD9" w:rsidRPr="00CA25CF" w:rsidRDefault="002C0FD9" w:rsidP="00CA25CF">
            <w:pPr>
              <w:rPr>
                <w:rFonts w:cs="Arial"/>
                <w:color w:val="FF0000"/>
                <w:sz w:val="21"/>
                <w:szCs w:val="21"/>
              </w:rPr>
            </w:pPr>
          </w:p>
        </w:tc>
        <w:tc>
          <w:tcPr>
            <w:tcW w:w="217" w:type="dxa"/>
          </w:tcPr>
          <w:p w14:paraId="1032DAEA" w14:textId="77777777" w:rsidR="002C0FD9" w:rsidRPr="00CA25CF" w:rsidRDefault="002C0FD9" w:rsidP="00CA25CF">
            <w:pPr>
              <w:rPr>
                <w:rFonts w:cs="Arial"/>
                <w:color w:val="FF0000"/>
                <w:sz w:val="21"/>
                <w:szCs w:val="21"/>
              </w:rPr>
            </w:pPr>
          </w:p>
        </w:tc>
        <w:tc>
          <w:tcPr>
            <w:tcW w:w="217" w:type="dxa"/>
          </w:tcPr>
          <w:p w14:paraId="0A04F85C" w14:textId="77777777" w:rsidR="002C0FD9" w:rsidRPr="00CA25CF" w:rsidRDefault="002C0FD9" w:rsidP="00CA25CF">
            <w:pPr>
              <w:rPr>
                <w:rFonts w:cs="Arial"/>
                <w:color w:val="FF0000"/>
                <w:sz w:val="21"/>
                <w:szCs w:val="21"/>
              </w:rPr>
            </w:pPr>
          </w:p>
        </w:tc>
        <w:tc>
          <w:tcPr>
            <w:tcW w:w="217" w:type="dxa"/>
          </w:tcPr>
          <w:p w14:paraId="7BB8A17B" w14:textId="77777777" w:rsidR="002C0FD9" w:rsidRPr="00CA25CF" w:rsidRDefault="002C0FD9" w:rsidP="00CA25CF">
            <w:pPr>
              <w:rPr>
                <w:rFonts w:cs="Arial"/>
                <w:color w:val="FF0000"/>
                <w:sz w:val="21"/>
                <w:szCs w:val="21"/>
              </w:rPr>
            </w:pPr>
          </w:p>
        </w:tc>
        <w:tc>
          <w:tcPr>
            <w:tcW w:w="217" w:type="dxa"/>
          </w:tcPr>
          <w:p w14:paraId="7517F77F" w14:textId="77777777" w:rsidR="002C0FD9" w:rsidRPr="00CA25CF" w:rsidRDefault="002C0FD9" w:rsidP="00CA25CF">
            <w:pPr>
              <w:rPr>
                <w:rFonts w:cs="Arial"/>
                <w:color w:val="FF0000"/>
                <w:sz w:val="21"/>
                <w:szCs w:val="21"/>
              </w:rPr>
            </w:pPr>
          </w:p>
        </w:tc>
        <w:tc>
          <w:tcPr>
            <w:tcW w:w="217" w:type="dxa"/>
          </w:tcPr>
          <w:p w14:paraId="337EC118" w14:textId="77777777" w:rsidR="002C0FD9" w:rsidRPr="00CA25CF" w:rsidRDefault="002C0FD9" w:rsidP="00CA25CF">
            <w:pPr>
              <w:rPr>
                <w:rFonts w:cs="Arial"/>
                <w:color w:val="FF0000"/>
                <w:sz w:val="21"/>
                <w:szCs w:val="21"/>
              </w:rPr>
            </w:pPr>
          </w:p>
        </w:tc>
        <w:tc>
          <w:tcPr>
            <w:tcW w:w="217" w:type="dxa"/>
          </w:tcPr>
          <w:p w14:paraId="20C2763C" w14:textId="77777777" w:rsidR="002C0FD9" w:rsidRPr="00CA25CF" w:rsidRDefault="002C0FD9" w:rsidP="00CA25CF">
            <w:pPr>
              <w:rPr>
                <w:rFonts w:cs="Arial"/>
                <w:color w:val="FF0000"/>
                <w:sz w:val="21"/>
                <w:szCs w:val="21"/>
              </w:rPr>
            </w:pPr>
          </w:p>
        </w:tc>
        <w:tc>
          <w:tcPr>
            <w:tcW w:w="217" w:type="dxa"/>
          </w:tcPr>
          <w:p w14:paraId="5F3E9E55" w14:textId="77777777" w:rsidR="002C0FD9" w:rsidRPr="00CA25CF" w:rsidRDefault="002C0FD9" w:rsidP="00CA25CF">
            <w:pPr>
              <w:rPr>
                <w:rFonts w:cs="Arial"/>
                <w:color w:val="FF0000"/>
                <w:sz w:val="21"/>
                <w:szCs w:val="21"/>
              </w:rPr>
            </w:pPr>
          </w:p>
        </w:tc>
        <w:tc>
          <w:tcPr>
            <w:tcW w:w="217" w:type="dxa"/>
          </w:tcPr>
          <w:p w14:paraId="004D081C" w14:textId="77777777" w:rsidR="002C0FD9" w:rsidRPr="00CA25CF" w:rsidRDefault="002C0FD9" w:rsidP="00CA25CF">
            <w:pPr>
              <w:rPr>
                <w:rFonts w:cs="Arial"/>
                <w:color w:val="FF0000"/>
                <w:sz w:val="21"/>
                <w:szCs w:val="21"/>
              </w:rPr>
            </w:pPr>
          </w:p>
        </w:tc>
        <w:tc>
          <w:tcPr>
            <w:tcW w:w="217" w:type="dxa"/>
          </w:tcPr>
          <w:p w14:paraId="263CDCDC" w14:textId="77777777" w:rsidR="002C0FD9" w:rsidRPr="00CA25CF" w:rsidRDefault="002C0FD9" w:rsidP="00CA25CF">
            <w:pPr>
              <w:rPr>
                <w:rFonts w:cs="Arial"/>
                <w:color w:val="FF0000"/>
                <w:sz w:val="21"/>
                <w:szCs w:val="21"/>
              </w:rPr>
            </w:pPr>
          </w:p>
        </w:tc>
        <w:tc>
          <w:tcPr>
            <w:tcW w:w="217" w:type="dxa"/>
          </w:tcPr>
          <w:p w14:paraId="07F1B0BB" w14:textId="77777777" w:rsidR="002C0FD9" w:rsidRPr="00CA25CF" w:rsidRDefault="002C0FD9" w:rsidP="00CA25CF">
            <w:pPr>
              <w:rPr>
                <w:rFonts w:cs="Arial"/>
                <w:color w:val="FF0000"/>
                <w:sz w:val="21"/>
                <w:szCs w:val="21"/>
              </w:rPr>
            </w:pPr>
          </w:p>
        </w:tc>
        <w:tc>
          <w:tcPr>
            <w:tcW w:w="217" w:type="dxa"/>
          </w:tcPr>
          <w:p w14:paraId="5E159866" w14:textId="77777777" w:rsidR="002C0FD9" w:rsidRPr="00CA25CF" w:rsidRDefault="002C0FD9" w:rsidP="00CA25CF">
            <w:pPr>
              <w:rPr>
                <w:rFonts w:cs="Arial"/>
                <w:color w:val="FF0000"/>
                <w:sz w:val="21"/>
                <w:szCs w:val="21"/>
              </w:rPr>
            </w:pPr>
          </w:p>
        </w:tc>
        <w:tc>
          <w:tcPr>
            <w:tcW w:w="217" w:type="dxa"/>
          </w:tcPr>
          <w:p w14:paraId="7D84702B" w14:textId="77777777" w:rsidR="002C0FD9" w:rsidRPr="00CA25CF" w:rsidRDefault="002C0FD9" w:rsidP="00CA25CF">
            <w:pPr>
              <w:rPr>
                <w:rFonts w:cs="Arial"/>
                <w:color w:val="FF0000"/>
                <w:sz w:val="21"/>
                <w:szCs w:val="21"/>
              </w:rPr>
            </w:pPr>
          </w:p>
        </w:tc>
        <w:tc>
          <w:tcPr>
            <w:tcW w:w="217" w:type="dxa"/>
          </w:tcPr>
          <w:p w14:paraId="5CD03022" w14:textId="77777777" w:rsidR="002C0FD9" w:rsidRPr="00CA25CF" w:rsidRDefault="002C0FD9" w:rsidP="00CA25CF">
            <w:pPr>
              <w:rPr>
                <w:rFonts w:cs="Arial"/>
                <w:color w:val="FF0000"/>
                <w:sz w:val="21"/>
                <w:szCs w:val="21"/>
              </w:rPr>
            </w:pPr>
          </w:p>
        </w:tc>
        <w:tc>
          <w:tcPr>
            <w:tcW w:w="217" w:type="dxa"/>
          </w:tcPr>
          <w:p w14:paraId="39D374A0" w14:textId="77777777" w:rsidR="002C0FD9" w:rsidRPr="00CA25CF" w:rsidRDefault="002C0FD9" w:rsidP="00CA25CF">
            <w:pPr>
              <w:rPr>
                <w:rFonts w:cs="Arial"/>
                <w:color w:val="FF0000"/>
                <w:sz w:val="21"/>
                <w:szCs w:val="21"/>
              </w:rPr>
            </w:pPr>
          </w:p>
        </w:tc>
        <w:tc>
          <w:tcPr>
            <w:tcW w:w="217" w:type="dxa"/>
          </w:tcPr>
          <w:p w14:paraId="002DE3AA" w14:textId="77777777" w:rsidR="002C0FD9" w:rsidRPr="00CA25CF" w:rsidRDefault="002C0FD9" w:rsidP="00CA25CF">
            <w:pPr>
              <w:rPr>
                <w:rFonts w:cs="Arial"/>
                <w:color w:val="FF0000"/>
                <w:sz w:val="21"/>
                <w:szCs w:val="21"/>
              </w:rPr>
            </w:pPr>
          </w:p>
        </w:tc>
        <w:tc>
          <w:tcPr>
            <w:tcW w:w="217" w:type="dxa"/>
          </w:tcPr>
          <w:p w14:paraId="7B839372" w14:textId="77777777" w:rsidR="002C0FD9" w:rsidRPr="00CA25CF" w:rsidRDefault="002C0FD9" w:rsidP="00CA25CF">
            <w:pPr>
              <w:rPr>
                <w:rFonts w:cs="Arial"/>
                <w:color w:val="FF0000"/>
                <w:sz w:val="21"/>
                <w:szCs w:val="21"/>
              </w:rPr>
            </w:pPr>
          </w:p>
        </w:tc>
        <w:tc>
          <w:tcPr>
            <w:tcW w:w="217" w:type="dxa"/>
          </w:tcPr>
          <w:p w14:paraId="01BC8071" w14:textId="77777777" w:rsidR="002C0FD9" w:rsidRPr="00CA25CF" w:rsidRDefault="002C0FD9" w:rsidP="00CA25CF">
            <w:pPr>
              <w:rPr>
                <w:rFonts w:cs="Arial"/>
                <w:color w:val="FF0000"/>
                <w:sz w:val="21"/>
                <w:szCs w:val="21"/>
              </w:rPr>
            </w:pPr>
          </w:p>
        </w:tc>
        <w:tc>
          <w:tcPr>
            <w:tcW w:w="217" w:type="dxa"/>
          </w:tcPr>
          <w:p w14:paraId="379832DD" w14:textId="77777777" w:rsidR="002C0FD9" w:rsidRPr="00CA25CF" w:rsidRDefault="002C0FD9" w:rsidP="00CA25CF">
            <w:pPr>
              <w:rPr>
                <w:rFonts w:cs="Arial"/>
                <w:color w:val="FF0000"/>
                <w:sz w:val="21"/>
                <w:szCs w:val="21"/>
              </w:rPr>
            </w:pPr>
          </w:p>
        </w:tc>
        <w:tc>
          <w:tcPr>
            <w:tcW w:w="217" w:type="dxa"/>
          </w:tcPr>
          <w:p w14:paraId="64E40A86" w14:textId="77777777" w:rsidR="002C0FD9" w:rsidRPr="00CA25CF" w:rsidRDefault="002C0FD9" w:rsidP="00CA25CF">
            <w:pPr>
              <w:rPr>
                <w:rFonts w:cs="Arial"/>
                <w:color w:val="FF0000"/>
                <w:sz w:val="21"/>
                <w:szCs w:val="21"/>
              </w:rPr>
            </w:pPr>
          </w:p>
        </w:tc>
        <w:tc>
          <w:tcPr>
            <w:tcW w:w="217" w:type="dxa"/>
          </w:tcPr>
          <w:p w14:paraId="1B74970A" w14:textId="77777777" w:rsidR="002C0FD9" w:rsidRPr="00CA25CF" w:rsidRDefault="002C0FD9" w:rsidP="00CA25CF">
            <w:pPr>
              <w:rPr>
                <w:rFonts w:cs="Arial"/>
                <w:color w:val="FF0000"/>
                <w:sz w:val="21"/>
                <w:szCs w:val="21"/>
              </w:rPr>
            </w:pPr>
          </w:p>
        </w:tc>
        <w:tc>
          <w:tcPr>
            <w:tcW w:w="217" w:type="dxa"/>
          </w:tcPr>
          <w:p w14:paraId="62D324BC" w14:textId="77777777" w:rsidR="002C0FD9" w:rsidRPr="00CA25CF" w:rsidRDefault="002C0FD9" w:rsidP="00CA25CF">
            <w:pPr>
              <w:rPr>
                <w:rFonts w:cs="Arial"/>
                <w:color w:val="FF0000"/>
                <w:sz w:val="21"/>
                <w:szCs w:val="21"/>
              </w:rPr>
            </w:pPr>
          </w:p>
        </w:tc>
        <w:tc>
          <w:tcPr>
            <w:tcW w:w="217" w:type="dxa"/>
          </w:tcPr>
          <w:p w14:paraId="593532C9" w14:textId="77777777" w:rsidR="002C0FD9" w:rsidRPr="00CA25CF" w:rsidRDefault="002C0FD9" w:rsidP="00CA25CF">
            <w:pPr>
              <w:rPr>
                <w:rFonts w:cs="Arial"/>
                <w:color w:val="FF0000"/>
                <w:sz w:val="21"/>
                <w:szCs w:val="21"/>
              </w:rPr>
            </w:pPr>
          </w:p>
        </w:tc>
        <w:tc>
          <w:tcPr>
            <w:tcW w:w="217" w:type="dxa"/>
          </w:tcPr>
          <w:p w14:paraId="68EA37D6" w14:textId="77777777" w:rsidR="002C0FD9" w:rsidRPr="00CA25CF" w:rsidRDefault="002C0FD9" w:rsidP="00CA25CF">
            <w:pPr>
              <w:rPr>
                <w:rFonts w:cs="Arial"/>
                <w:color w:val="FF0000"/>
                <w:sz w:val="21"/>
                <w:szCs w:val="21"/>
              </w:rPr>
            </w:pPr>
          </w:p>
        </w:tc>
        <w:tc>
          <w:tcPr>
            <w:tcW w:w="217" w:type="dxa"/>
          </w:tcPr>
          <w:p w14:paraId="7C6CFF61" w14:textId="77777777" w:rsidR="002C0FD9" w:rsidRPr="00CA25CF" w:rsidRDefault="002C0FD9" w:rsidP="00CA25CF">
            <w:pPr>
              <w:rPr>
                <w:rFonts w:cs="Arial"/>
                <w:color w:val="FF0000"/>
                <w:sz w:val="21"/>
                <w:szCs w:val="21"/>
              </w:rPr>
            </w:pPr>
          </w:p>
        </w:tc>
        <w:tc>
          <w:tcPr>
            <w:tcW w:w="217" w:type="dxa"/>
          </w:tcPr>
          <w:p w14:paraId="7C8E28FE" w14:textId="77777777" w:rsidR="002C0FD9" w:rsidRPr="00CA25CF" w:rsidRDefault="002C0FD9" w:rsidP="00CA25CF">
            <w:pPr>
              <w:rPr>
                <w:rFonts w:cs="Arial"/>
                <w:color w:val="FF0000"/>
                <w:sz w:val="21"/>
                <w:szCs w:val="21"/>
              </w:rPr>
            </w:pPr>
          </w:p>
        </w:tc>
        <w:tc>
          <w:tcPr>
            <w:tcW w:w="217" w:type="dxa"/>
          </w:tcPr>
          <w:p w14:paraId="74C782BE" w14:textId="77777777" w:rsidR="002C0FD9" w:rsidRPr="00CA25CF" w:rsidRDefault="002C0FD9" w:rsidP="00CA25CF">
            <w:pPr>
              <w:rPr>
                <w:rFonts w:cs="Arial"/>
                <w:color w:val="FF0000"/>
                <w:sz w:val="21"/>
                <w:szCs w:val="21"/>
              </w:rPr>
            </w:pPr>
          </w:p>
        </w:tc>
        <w:tc>
          <w:tcPr>
            <w:tcW w:w="217" w:type="dxa"/>
          </w:tcPr>
          <w:p w14:paraId="24EFB793" w14:textId="77777777" w:rsidR="002C0FD9" w:rsidRPr="00CA25CF" w:rsidRDefault="002C0FD9" w:rsidP="00CA25CF">
            <w:pPr>
              <w:rPr>
                <w:rFonts w:cs="Arial"/>
                <w:color w:val="FF0000"/>
                <w:sz w:val="21"/>
                <w:szCs w:val="21"/>
              </w:rPr>
            </w:pPr>
          </w:p>
        </w:tc>
        <w:tc>
          <w:tcPr>
            <w:tcW w:w="217" w:type="dxa"/>
          </w:tcPr>
          <w:p w14:paraId="1B624252" w14:textId="77777777" w:rsidR="002C0FD9" w:rsidRPr="00CA25CF" w:rsidRDefault="002C0FD9" w:rsidP="00CA25CF">
            <w:pPr>
              <w:rPr>
                <w:rFonts w:cs="Arial"/>
                <w:color w:val="FF0000"/>
                <w:sz w:val="21"/>
                <w:szCs w:val="21"/>
              </w:rPr>
            </w:pPr>
          </w:p>
        </w:tc>
        <w:tc>
          <w:tcPr>
            <w:tcW w:w="217" w:type="dxa"/>
          </w:tcPr>
          <w:p w14:paraId="2396F4F2" w14:textId="77777777" w:rsidR="002C0FD9" w:rsidRPr="00CA25CF" w:rsidRDefault="002C0FD9" w:rsidP="00CA25CF">
            <w:pPr>
              <w:rPr>
                <w:rFonts w:cs="Arial"/>
                <w:color w:val="FF0000"/>
                <w:sz w:val="21"/>
                <w:szCs w:val="21"/>
              </w:rPr>
            </w:pPr>
          </w:p>
        </w:tc>
        <w:tc>
          <w:tcPr>
            <w:tcW w:w="217" w:type="dxa"/>
          </w:tcPr>
          <w:p w14:paraId="713FA162" w14:textId="77777777" w:rsidR="002C0FD9" w:rsidRPr="00CA25CF" w:rsidRDefault="002C0FD9" w:rsidP="00CA25CF">
            <w:pPr>
              <w:rPr>
                <w:rFonts w:cs="Arial"/>
                <w:color w:val="FF0000"/>
                <w:sz w:val="21"/>
                <w:szCs w:val="21"/>
              </w:rPr>
            </w:pPr>
          </w:p>
        </w:tc>
        <w:tc>
          <w:tcPr>
            <w:tcW w:w="217" w:type="dxa"/>
          </w:tcPr>
          <w:p w14:paraId="311F12A8" w14:textId="77777777" w:rsidR="002C0FD9" w:rsidRPr="00CA25CF" w:rsidRDefault="002C0FD9" w:rsidP="00CA25CF">
            <w:pPr>
              <w:rPr>
                <w:rFonts w:cs="Arial"/>
                <w:color w:val="FF0000"/>
                <w:sz w:val="21"/>
                <w:szCs w:val="21"/>
              </w:rPr>
            </w:pPr>
          </w:p>
        </w:tc>
        <w:tc>
          <w:tcPr>
            <w:tcW w:w="217" w:type="dxa"/>
          </w:tcPr>
          <w:p w14:paraId="101B79A5" w14:textId="77777777" w:rsidR="002C0FD9" w:rsidRPr="00CA25CF" w:rsidRDefault="002C0FD9" w:rsidP="00CA25CF">
            <w:pPr>
              <w:rPr>
                <w:rFonts w:cs="Arial"/>
                <w:color w:val="FF0000"/>
                <w:sz w:val="21"/>
                <w:szCs w:val="21"/>
              </w:rPr>
            </w:pPr>
          </w:p>
        </w:tc>
        <w:tc>
          <w:tcPr>
            <w:tcW w:w="217" w:type="dxa"/>
          </w:tcPr>
          <w:p w14:paraId="091674C7" w14:textId="77777777" w:rsidR="002C0FD9" w:rsidRPr="00CA25CF" w:rsidRDefault="002C0FD9" w:rsidP="00CA25CF">
            <w:pPr>
              <w:rPr>
                <w:rFonts w:cs="Arial"/>
                <w:color w:val="FF0000"/>
                <w:sz w:val="21"/>
                <w:szCs w:val="21"/>
              </w:rPr>
            </w:pPr>
          </w:p>
        </w:tc>
        <w:tc>
          <w:tcPr>
            <w:tcW w:w="217" w:type="dxa"/>
          </w:tcPr>
          <w:p w14:paraId="3D8AB4DC" w14:textId="77777777" w:rsidR="002C0FD9" w:rsidRPr="00CA25CF" w:rsidRDefault="002C0FD9" w:rsidP="00CA25CF">
            <w:pPr>
              <w:rPr>
                <w:rFonts w:cs="Arial"/>
                <w:color w:val="FF0000"/>
                <w:sz w:val="21"/>
                <w:szCs w:val="21"/>
              </w:rPr>
            </w:pPr>
          </w:p>
        </w:tc>
        <w:tc>
          <w:tcPr>
            <w:tcW w:w="217" w:type="dxa"/>
          </w:tcPr>
          <w:p w14:paraId="0D49291A" w14:textId="77777777" w:rsidR="002C0FD9" w:rsidRPr="00CA25CF" w:rsidRDefault="002C0FD9" w:rsidP="00CA25CF">
            <w:pPr>
              <w:rPr>
                <w:rFonts w:cs="Arial"/>
                <w:color w:val="FF0000"/>
                <w:sz w:val="21"/>
                <w:szCs w:val="21"/>
              </w:rPr>
            </w:pPr>
          </w:p>
        </w:tc>
        <w:tc>
          <w:tcPr>
            <w:tcW w:w="217" w:type="dxa"/>
          </w:tcPr>
          <w:p w14:paraId="4ABA815E" w14:textId="77777777" w:rsidR="002C0FD9" w:rsidRPr="00CA25CF" w:rsidRDefault="002C0FD9" w:rsidP="00CA25CF">
            <w:pPr>
              <w:rPr>
                <w:rFonts w:cs="Arial"/>
                <w:color w:val="FF0000"/>
                <w:sz w:val="21"/>
                <w:szCs w:val="21"/>
              </w:rPr>
            </w:pPr>
          </w:p>
        </w:tc>
      </w:tr>
      <w:tr w:rsidR="002C0FD9" w:rsidRPr="00A16219" w14:paraId="07DF0840" w14:textId="77777777" w:rsidTr="002C0FD9">
        <w:trPr>
          <w:trHeight w:val="635"/>
        </w:trPr>
        <w:tc>
          <w:tcPr>
            <w:tcW w:w="515" w:type="dxa"/>
          </w:tcPr>
          <w:p w14:paraId="10F3AE25" w14:textId="77777777" w:rsidR="002C0FD9" w:rsidRPr="00CA25CF" w:rsidRDefault="002C0FD9" w:rsidP="00CA25CF">
            <w:pPr>
              <w:rPr>
                <w:rFonts w:cs="Arial"/>
                <w:color w:val="FF0000"/>
                <w:sz w:val="21"/>
                <w:szCs w:val="21"/>
              </w:rPr>
            </w:pPr>
          </w:p>
        </w:tc>
        <w:tc>
          <w:tcPr>
            <w:tcW w:w="217" w:type="dxa"/>
          </w:tcPr>
          <w:p w14:paraId="6F6C7A9C" w14:textId="77777777" w:rsidR="002C0FD9" w:rsidRPr="00CA25CF" w:rsidRDefault="002C0FD9" w:rsidP="00CA25CF">
            <w:pPr>
              <w:rPr>
                <w:rFonts w:cs="Arial"/>
                <w:color w:val="FF0000"/>
                <w:sz w:val="21"/>
                <w:szCs w:val="21"/>
              </w:rPr>
            </w:pPr>
          </w:p>
        </w:tc>
        <w:tc>
          <w:tcPr>
            <w:tcW w:w="217" w:type="dxa"/>
          </w:tcPr>
          <w:p w14:paraId="2FA8A337" w14:textId="77777777" w:rsidR="002C0FD9" w:rsidRPr="00CA25CF" w:rsidRDefault="002C0FD9" w:rsidP="00CA25CF">
            <w:pPr>
              <w:rPr>
                <w:rFonts w:cs="Arial"/>
                <w:color w:val="FF0000"/>
                <w:sz w:val="21"/>
                <w:szCs w:val="21"/>
              </w:rPr>
            </w:pPr>
          </w:p>
        </w:tc>
        <w:tc>
          <w:tcPr>
            <w:tcW w:w="217" w:type="dxa"/>
          </w:tcPr>
          <w:p w14:paraId="738A4813" w14:textId="77777777" w:rsidR="002C0FD9" w:rsidRPr="00CA25CF" w:rsidRDefault="002C0FD9" w:rsidP="00CA25CF">
            <w:pPr>
              <w:rPr>
                <w:rFonts w:cs="Arial"/>
                <w:color w:val="FF0000"/>
                <w:sz w:val="21"/>
                <w:szCs w:val="21"/>
              </w:rPr>
            </w:pPr>
          </w:p>
        </w:tc>
        <w:tc>
          <w:tcPr>
            <w:tcW w:w="217" w:type="dxa"/>
          </w:tcPr>
          <w:p w14:paraId="1AFBEB9A" w14:textId="77777777" w:rsidR="002C0FD9" w:rsidRPr="00CA25CF" w:rsidRDefault="002C0FD9" w:rsidP="00CA25CF">
            <w:pPr>
              <w:rPr>
                <w:rFonts w:cs="Arial"/>
                <w:color w:val="FF0000"/>
                <w:sz w:val="21"/>
                <w:szCs w:val="21"/>
              </w:rPr>
            </w:pPr>
          </w:p>
        </w:tc>
        <w:tc>
          <w:tcPr>
            <w:tcW w:w="217" w:type="dxa"/>
          </w:tcPr>
          <w:p w14:paraId="4D8A3F99" w14:textId="77777777" w:rsidR="002C0FD9" w:rsidRPr="00CA25CF" w:rsidRDefault="002C0FD9" w:rsidP="00CA25CF">
            <w:pPr>
              <w:rPr>
                <w:rFonts w:cs="Arial"/>
                <w:color w:val="FF0000"/>
                <w:sz w:val="21"/>
                <w:szCs w:val="21"/>
              </w:rPr>
            </w:pPr>
          </w:p>
        </w:tc>
        <w:tc>
          <w:tcPr>
            <w:tcW w:w="217" w:type="dxa"/>
          </w:tcPr>
          <w:p w14:paraId="4BB6A374" w14:textId="77777777" w:rsidR="002C0FD9" w:rsidRPr="00CA25CF" w:rsidRDefault="002C0FD9" w:rsidP="00CA25CF">
            <w:pPr>
              <w:rPr>
                <w:rFonts w:cs="Arial"/>
                <w:color w:val="FF0000"/>
                <w:sz w:val="21"/>
                <w:szCs w:val="21"/>
              </w:rPr>
            </w:pPr>
          </w:p>
        </w:tc>
        <w:tc>
          <w:tcPr>
            <w:tcW w:w="217" w:type="dxa"/>
          </w:tcPr>
          <w:p w14:paraId="38A96EEF" w14:textId="77777777" w:rsidR="002C0FD9" w:rsidRPr="00CA25CF" w:rsidRDefault="002C0FD9" w:rsidP="00CA25CF">
            <w:pPr>
              <w:rPr>
                <w:rFonts w:cs="Arial"/>
                <w:color w:val="FF0000"/>
                <w:sz w:val="21"/>
                <w:szCs w:val="21"/>
              </w:rPr>
            </w:pPr>
          </w:p>
        </w:tc>
        <w:tc>
          <w:tcPr>
            <w:tcW w:w="217" w:type="dxa"/>
          </w:tcPr>
          <w:p w14:paraId="57119FD7" w14:textId="77777777" w:rsidR="002C0FD9" w:rsidRPr="00CA25CF" w:rsidRDefault="002C0FD9" w:rsidP="00CA25CF">
            <w:pPr>
              <w:rPr>
                <w:rFonts w:cs="Arial"/>
                <w:color w:val="FF0000"/>
                <w:sz w:val="21"/>
                <w:szCs w:val="21"/>
              </w:rPr>
            </w:pPr>
          </w:p>
        </w:tc>
        <w:tc>
          <w:tcPr>
            <w:tcW w:w="217" w:type="dxa"/>
          </w:tcPr>
          <w:p w14:paraId="5A2DCCDA" w14:textId="77777777" w:rsidR="002C0FD9" w:rsidRPr="00CA25CF" w:rsidRDefault="002C0FD9" w:rsidP="00CA25CF">
            <w:pPr>
              <w:rPr>
                <w:rFonts w:cs="Arial"/>
                <w:color w:val="FF0000"/>
                <w:sz w:val="21"/>
                <w:szCs w:val="21"/>
              </w:rPr>
            </w:pPr>
          </w:p>
        </w:tc>
        <w:tc>
          <w:tcPr>
            <w:tcW w:w="217" w:type="dxa"/>
          </w:tcPr>
          <w:p w14:paraId="2A18A78E" w14:textId="77777777" w:rsidR="002C0FD9" w:rsidRPr="00CA25CF" w:rsidRDefault="002C0FD9" w:rsidP="00CA25CF">
            <w:pPr>
              <w:rPr>
                <w:rFonts w:cs="Arial"/>
                <w:color w:val="FF0000"/>
                <w:sz w:val="21"/>
                <w:szCs w:val="21"/>
              </w:rPr>
            </w:pPr>
          </w:p>
        </w:tc>
        <w:tc>
          <w:tcPr>
            <w:tcW w:w="217" w:type="dxa"/>
          </w:tcPr>
          <w:p w14:paraId="0EE0BCB1" w14:textId="77777777" w:rsidR="002C0FD9" w:rsidRPr="00CA25CF" w:rsidRDefault="002C0FD9" w:rsidP="00CA25CF">
            <w:pPr>
              <w:rPr>
                <w:rFonts w:cs="Arial"/>
                <w:color w:val="FF0000"/>
                <w:sz w:val="21"/>
                <w:szCs w:val="21"/>
              </w:rPr>
            </w:pPr>
          </w:p>
        </w:tc>
        <w:tc>
          <w:tcPr>
            <w:tcW w:w="217" w:type="dxa"/>
          </w:tcPr>
          <w:p w14:paraId="5EB39E6D" w14:textId="77777777" w:rsidR="002C0FD9" w:rsidRPr="00CA25CF" w:rsidRDefault="002C0FD9" w:rsidP="00CA25CF">
            <w:pPr>
              <w:rPr>
                <w:rFonts w:cs="Arial"/>
                <w:color w:val="FF0000"/>
                <w:sz w:val="21"/>
                <w:szCs w:val="21"/>
              </w:rPr>
            </w:pPr>
          </w:p>
        </w:tc>
        <w:tc>
          <w:tcPr>
            <w:tcW w:w="217" w:type="dxa"/>
          </w:tcPr>
          <w:p w14:paraId="2BD1AA6B" w14:textId="77777777" w:rsidR="002C0FD9" w:rsidRPr="00CA25CF" w:rsidRDefault="002C0FD9" w:rsidP="00CA25CF">
            <w:pPr>
              <w:rPr>
                <w:rFonts w:cs="Arial"/>
                <w:color w:val="FF0000"/>
                <w:sz w:val="21"/>
                <w:szCs w:val="21"/>
              </w:rPr>
            </w:pPr>
          </w:p>
        </w:tc>
        <w:tc>
          <w:tcPr>
            <w:tcW w:w="217" w:type="dxa"/>
          </w:tcPr>
          <w:p w14:paraId="25839726" w14:textId="77777777" w:rsidR="002C0FD9" w:rsidRPr="00CA25CF" w:rsidRDefault="002C0FD9" w:rsidP="00CA25CF">
            <w:pPr>
              <w:rPr>
                <w:rFonts w:cs="Arial"/>
                <w:color w:val="FF0000"/>
                <w:sz w:val="21"/>
                <w:szCs w:val="21"/>
              </w:rPr>
            </w:pPr>
          </w:p>
        </w:tc>
        <w:tc>
          <w:tcPr>
            <w:tcW w:w="217" w:type="dxa"/>
          </w:tcPr>
          <w:p w14:paraId="444A6332" w14:textId="77777777" w:rsidR="002C0FD9" w:rsidRPr="00CA25CF" w:rsidRDefault="002C0FD9" w:rsidP="00CA25CF">
            <w:pPr>
              <w:rPr>
                <w:rFonts w:cs="Arial"/>
                <w:color w:val="FF0000"/>
                <w:sz w:val="21"/>
                <w:szCs w:val="21"/>
              </w:rPr>
            </w:pPr>
          </w:p>
        </w:tc>
        <w:tc>
          <w:tcPr>
            <w:tcW w:w="217" w:type="dxa"/>
          </w:tcPr>
          <w:p w14:paraId="74CC5F8F" w14:textId="77777777" w:rsidR="002C0FD9" w:rsidRPr="00CA25CF" w:rsidRDefault="002C0FD9" w:rsidP="00CA25CF">
            <w:pPr>
              <w:rPr>
                <w:rFonts w:cs="Arial"/>
                <w:color w:val="FF0000"/>
                <w:sz w:val="21"/>
                <w:szCs w:val="21"/>
              </w:rPr>
            </w:pPr>
          </w:p>
        </w:tc>
        <w:tc>
          <w:tcPr>
            <w:tcW w:w="217" w:type="dxa"/>
          </w:tcPr>
          <w:p w14:paraId="5F7AEE74" w14:textId="77777777" w:rsidR="002C0FD9" w:rsidRPr="00CA25CF" w:rsidRDefault="002C0FD9" w:rsidP="00CA25CF">
            <w:pPr>
              <w:rPr>
                <w:rFonts w:cs="Arial"/>
                <w:color w:val="FF0000"/>
                <w:sz w:val="21"/>
                <w:szCs w:val="21"/>
              </w:rPr>
            </w:pPr>
          </w:p>
        </w:tc>
        <w:tc>
          <w:tcPr>
            <w:tcW w:w="217" w:type="dxa"/>
          </w:tcPr>
          <w:p w14:paraId="0A1ABB93" w14:textId="77777777" w:rsidR="002C0FD9" w:rsidRPr="00CA25CF" w:rsidRDefault="002C0FD9" w:rsidP="00CA25CF">
            <w:pPr>
              <w:rPr>
                <w:rFonts w:cs="Arial"/>
                <w:color w:val="FF0000"/>
                <w:sz w:val="21"/>
                <w:szCs w:val="21"/>
              </w:rPr>
            </w:pPr>
          </w:p>
        </w:tc>
        <w:tc>
          <w:tcPr>
            <w:tcW w:w="217" w:type="dxa"/>
          </w:tcPr>
          <w:p w14:paraId="3E9AAB4D" w14:textId="77777777" w:rsidR="002C0FD9" w:rsidRPr="00CA25CF" w:rsidRDefault="002C0FD9" w:rsidP="00CA25CF">
            <w:pPr>
              <w:rPr>
                <w:rFonts w:cs="Arial"/>
                <w:color w:val="FF0000"/>
                <w:sz w:val="21"/>
                <w:szCs w:val="21"/>
              </w:rPr>
            </w:pPr>
          </w:p>
        </w:tc>
        <w:tc>
          <w:tcPr>
            <w:tcW w:w="217" w:type="dxa"/>
          </w:tcPr>
          <w:p w14:paraId="4EAA8BF4" w14:textId="77777777" w:rsidR="002C0FD9" w:rsidRPr="00CA25CF" w:rsidRDefault="002C0FD9" w:rsidP="00CA25CF">
            <w:pPr>
              <w:rPr>
                <w:rFonts w:cs="Arial"/>
                <w:color w:val="FF0000"/>
                <w:sz w:val="21"/>
                <w:szCs w:val="21"/>
              </w:rPr>
            </w:pPr>
          </w:p>
        </w:tc>
        <w:tc>
          <w:tcPr>
            <w:tcW w:w="217" w:type="dxa"/>
          </w:tcPr>
          <w:p w14:paraId="7FC7E774" w14:textId="77777777" w:rsidR="002C0FD9" w:rsidRPr="00CA25CF" w:rsidRDefault="002C0FD9" w:rsidP="00CA25CF">
            <w:pPr>
              <w:rPr>
                <w:rFonts w:cs="Arial"/>
                <w:color w:val="FF0000"/>
                <w:sz w:val="21"/>
                <w:szCs w:val="21"/>
              </w:rPr>
            </w:pPr>
          </w:p>
        </w:tc>
        <w:tc>
          <w:tcPr>
            <w:tcW w:w="217" w:type="dxa"/>
          </w:tcPr>
          <w:p w14:paraId="330748D9" w14:textId="77777777" w:rsidR="002C0FD9" w:rsidRPr="00CA25CF" w:rsidRDefault="002C0FD9" w:rsidP="00CA25CF">
            <w:pPr>
              <w:rPr>
                <w:rFonts w:cs="Arial"/>
                <w:color w:val="FF0000"/>
                <w:sz w:val="21"/>
                <w:szCs w:val="21"/>
              </w:rPr>
            </w:pPr>
          </w:p>
        </w:tc>
        <w:tc>
          <w:tcPr>
            <w:tcW w:w="217" w:type="dxa"/>
          </w:tcPr>
          <w:p w14:paraId="3982827A" w14:textId="77777777" w:rsidR="002C0FD9" w:rsidRPr="00CA25CF" w:rsidRDefault="002C0FD9" w:rsidP="00CA25CF">
            <w:pPr>
              <w:rPr>
                <w:rFonts w:cs="Arial"/>
                <w:color w:val="FF0000"/>
                <w:sz w:val="21"/>
                <w:szCs w:val="21"/>
              </w:rPr>
            </w:pPr>
          </w:p>
        </w:tc>
        <w:tc>
          <w:tcPr>
            <w:tcW w:w="217" w:type="dxa"/>
          </w:tcPr>
          <w:p w14:paraId="5ED44D66" w14:textId="77777777" w:rsidR="002C0FD9" w:rsidRPr="00CA25CF" w:rsidRDefault="002C0FD9" w:rsidP="00CA25CF">
            <w:pPr>
              <w:rPr>
                <w:rFonts w:cs="Arial"/>
                <w:color w:val="FF0000"/>
                <w:sz w:val="21"/>
                <w:szCs w:val="21"/>
              </w:rPr>
            </w:pPr>
          </w:p>
        </w:tc>
        <w:tc>
          <w:tcPr>
            <w:tcW w:w="217" w:type="dxa"/>
          </w:tcPr>
          <w:p w14:paraId="11AA1C0C" w14:textId="77777777" w:rsidR="002C0FD9" w:rsidRPr="00CA25CF" w:rsidRDefault="002C0FD9" w:rsidP="00CA25CF">
            <w:pPr>
              <w:rPr>
                <w:rFonts w:cs="Arial"/>
                <w:color w:val="FF0000"/>
                <w:sz w:val="21"/>
                <w:szCs w:val="21"/>
              </w:rPr>
            </w:pPr>
          </w:p>
        </w:tc>
        <w:tc>
          <w:tcPr>
            <w:tcW w:w="217" w:type="dxa"/>
          </w:tcPr>
          <w:p w14:paraId="4602B19B" w14:textId="77777777" w:rsidR="002C0FD9" w:rsidRPr="00CA25CF" w:rsidRDefault="002C0FD9" w:rsidP="00CA25CF">
            <w:pPr>
              <w:rPr>
                <w:rFonts w:cs="Arial"/>
                <w:color w:val="FF0000"/>
                <w:sz w:val="21"/>
                <w:szCs w:val="21"/>
              </w:rPr>
            </w:pPr>
          </w:p>
        </w:tc>
        <w:tc>
          <w:tcPr>
            <w:tcW w:w="217" w:type="dxa"/>
          </w:tcPr>
          <w:p w14:paraId="70645874" w14:textId="77777777" w:rsidR="002C0FD9" w:rsidRPr="00CA25CF" w:rsidRDefault="002C0FD9" w:rsidP="00CA25CF">
            <w:pPr>
              <w:rPr>
                <w:rFonts w:cs="Arial"/>
                <w:color w:val="FF0000"/>
                <w:sz w:val="21"/>
                <w:szCs w:val="21"/>
              </w:rPr>
            </w:pPr>
          </w:p>
        </w:tc>
        <w:tc>
          <w:tcPr>
            <w:tcW w:w="217" w:type="dxa"/>
          </w:tcPr>
          <w:p w14:paraId="54A24F7A" w14:textId="77777777" w:rsidR="002C0FD9" w:rsidRPr="00CA25CF" w:rsidRDefault="002C0FD9" w:rsidP="00CA25CF">
            <w:pPr>
              <w:rPr>
                <w:rFonts w:cs="Arial"/>
                <w:color w:val="FF0000"/>
                <w:sz w:val="21"/>
                <w:szCs w:val="21"/>
              </w:rPr>
            </w:pPr>
          </w:p>
        </w:tc>
        <w:tc>
          <w:tcPr>
            <w:tcW w:w="217" w:type="dxa"/>
          </w:tcPr>
          <w:p w14:paraId="71CFE664" w14:textId="77777777" w:rsidR="002C0FD9" w:rsidRPr="00CA25CF" w:rsidRDefault="002C0FD9" w:rsidP="00CA25CF">
            <w:pPr>
              <w:rPr>
                <w:rFonts w:cs="Arial"/>
                <w:color w:val="FF0000"/>
                <w:sz w:val="21"/>
                <w:szCs w:val="21"/>
              </w:rPr>
            </w:pPr>
          </w:p>
        </w:tc>
        <w:tc>
          <w:tcPr>
            <w:tcW w:w="217" w:type="dxa"/>
          </w:tcPr>
          <w:p w14:paraId="4FC679D2" w14:textId="77777777" w:rsidR="002C0FD9" w:rsidRPr="00CA25CF" w:rsidRDefault="002C0FD9" w:rsidP="00CA25CF">
            <w:pPr>
              <w:rPr>
                <w:rFonts w:cs="Arial"/>
                <w:color w:val="FF0000"/>
                <w:sz w:val="21"/>
                <w:szCs w:val="21"/>
              </w:rPr>
            </w:pPr>
          </w:p>
        </w:tc>
        <w:tc>
          <w:tcPr>
            <w:tcW w:w="217" w:type="dxa"/>
          </w:tcPr>
          <w:p w14:paraId="0C3C51EC" w14:textId="77777777" w:rsidR="002C0FD9" w:rsidRPr="00CA25CF" w:rsidRDefault="002C0FD9" w:rsidP="00CA25CF">
            <w:pPr>
              <w:rPr>
                <w:rFonts w:cs="Arial"/>
                <w:color w:val="FF0000"/>
                <w:sz w:val="21"/>
                <w:szCs w:val="21"/>
              </w:rPr>
            </w:pPr>
          </w:p>
        </w:tc>
        <w:tc>
          <w:tcPr>
            <w:tcW w:w="217" w:type="dxa"/>
          </w:tcPr>
          <w:p w14:paraId="011F7C0B" w14:textId="77777777" w:rsidR="002C0FD9" w:rsidRPr="00CA25CF" w:rsidRDefault="002C0FD9" w:rsidP="00CA25CF">
            <w:pPr>
              <w:rPr>
                <w:rFonts w:cs="Arial"/>
                <w:color w:val="FF0000"/>
                <w:sz w:val="21"/>
                <w:szCs w:val="21"/>
              </w:rPr>
            </w:pPr>
          </w:p>
        </w:tc>
        <w:tc>
          <w:tcPr>
            <w:tcW w:w="217" w:type="dxa"/>
          </w:tcPr>
          <w:p w14:paraId="2FE6530A" w14:textId="77777777" w:rsidR="002C0FD9" w:rsidRPr="00CA25CF" w:rsidRDefault="002C0FD9" w:rsidP="00CA25CF">
            <w:pPr>
              <w:rPr>
                <w:rFonts w:cs="Arial"/>
                <w:color w:val="FF0000"/>
                <w:sz w:val="21"/>
                <w:szCs w:val="21"/>
              </w:rPr>
            </w:pPr>
          </w:p>
        </w:tc>
        <w:tc>
          <w:tcPr>
            <w:tcW w:w="217" w:type="dxa"/>
          </w:tcPr>
          <w:p w14:paraId="320C8472" w14:textId="77777777" w:rsidR="002C0FD9" w:rsidRPr="00CA25CF" w:rsidRDefault="002C0FD9" w:rsidP="00CA25CF">
            <w:pPr>
              <w:rPr>
                <w:rFonts w:cs="Arial"/>
                <w:color w:val="FF0000"/>
                <w:sz w:val="21"/>
                <w:szCs w:val="21"/>
              </w:rPr>
            </w:pPr>
          </w:p>
        </w:tc>
        <w:tc>
          <w:tcPr>
            <w:tcW w:w="217" w:type="dxa"/>
          </w:tcPr>
          <w:p w14:paraId="2541D847" w14:textId="77777777" w:rsidR="002C0FD9" w:rsidRPr="00CA25CF" w:rsidRDefault="002C0FD9" w:rsidP="00CA25CF">
            <w:pPr>
              <w:rPr>
                <w:rFonts w:cs="Arial"/>
                <w:color w:val="FF0000"/>
                <w:sz w:val="21"/>
                <w:szCs w:val="21"/>
              </w:rPr>
            </w:pPr>
          </w:p>
        </w:tc>
        <w:tc>
          <w:tcPr>
            <w:tcW w:w="217" w:type="dxa"/>
          </w:tcPr>
          <w:p w14:paraId="6A12E93B" w14:textId="77777777" w:rsidR="002C0FD9" w:rsidRPr="00CA25CF" w:rsidRDefault="002C0FD9" w:rsidP="00CA25CF">
            <w:pPr>
              <w:rPr>
                <w:rFonts w:cs="Arial"/>
                <w:color w:val="FF0000"/>
                <w:sz w:val="21"/>
                <w:szCs w:val="21"/>
              </w:rPr>
            </w:pPr>
          </w:p>
        </w:tc>
        <w:tc>
          <w:tcPr>
            <w:tcW w:w="217" w:type="dxa"/>
          </w:tcPr>
          <w:p w14:paraId="728A5EED" w14:textId="77777777" w:rsidR="002C0FD9" w:rsidRPr="00CA25CF" w:rsidRDefault="002C0FD9" w:rsidP="00CA25CF">
            <w:pPr>
              <w:rPr>
                <w:rFonts w:cs="Arial"/>
                <w:color w:val="FF0000"/>
                <w:sz w:val="21"/>
                <w:szCs w:val="21"/>
              </w:rPr>
            </w:pPr>
          </w:p>
        </w:tc>
        <w:tc>
          <w:tcPr>
            <w:tcW w:w="217" w:type="dxa"/>
          </w:tcPr>
          <w:p w14:paraId="41688E34" w14:textId="77777777" w:rsidR="002C0FD9" w:rsidRPr="00CA25CF" w:rsidRDefault="002C0FD9" w:rsidP="00CA25CF">
            <w:pPr>
              <w:rPr>
                <w:rFonts w:cs="Arial"/>
                <w:color w:val="FF0000"/>
                <w:sz w:val="21"/>
                <w:szCs w:val="21"/>
              </w:rPr>
            </w:pPr>
          </w:p>
        </w:tc>
        <w:tc>
          <w:tcPr>
            <w:tcW w:w="217" w:type="dxa"/>
          </w:tcPr>
          <w:p w14:paraId="63242E24" w14:textId="77777777" w:rsidR="002C0FD9" w:rsidRPr="00CA25CF" w:rsidRDefault="002C0FD9" w:rsidP="00CA25CF">
            <w:pPr>
              <w:rPr>
                <w:rFonts w:cs="Arial"/>
                <w:color w:val="FF0000"/>
                <w:sz w:val="21"/>
                <w:szCs w:val="21"/>
              </w:rPr>
            </w:pPr>
          </w:p>
        </w:tc>
        <w:tc>
          <w:tcPr>
            <w:tcW w:w="217" w:type="dxa"/>
          </w:tcPr>
          <w:p w14:paraId="7E0AFF54" w14:textId="77777777" w:rsidR="002C0FD9" w:rsidRPr="00CA25CF" w:rsidRDefault="002C0FD9" w:rsidP="00CA25CF">
            <w:pPr>
              <w:rPr>
                <w:rFonts w:cs="Arial"/>
                <w:color w:val="FF0000"/>
                <w:sz w:val="21"/>
                <w:szCs w:val="21"/>
              </w:rPr>
            </w:pPr>
          </w:p>
        </w:tc>
        <w:tc>
          <w:tcPr>
            <w:tcW w:w="217" w:type="dxa"/>
          </w:tcPr>
          <w:p w14:paraId="06F23B12" w14:textId="77777777" w:rsidR="002C0FD9" w:rsidRPr="00CA25CF" w:rsidRDefault="002C0FD9" w:rsidP="00CA25CF">
            <w:pPr>
              <w:rPr>
                <w:rFonts w:cs="Arial"/>
                <w:color w:val="FF0000"/>
                <w:sz w:val="21"/>
                <w:szCs w:val="21"/>
              </w:rPr>
            </w:pPr>
          </w:p>
        </w:tc>
        <w:tc>
          <w:tcPr>
            <w:tcW w:w="217" w:type="dxa"/>
          </w:tcPr>
          <w:p w14:paraId="15D0D744" w14:textId="77777777" w:rsidR="002C0FD9" w:rsidRPr="00CA25CF" w:rsidRDefault="002C0FD9" w:rsidP="00CA25CF">
            <w:pPr>
              <w:rPr>
                <w:rFonts w:cs="Arial"/>
                <w:color w:val="FF0000"/>
                <w:sz w:val="21"/>
                <w:szCs w:val="21"/>
              </w:rPr>
            </w:pPr>
          </w:p>
        </w:tc>
      </w:tr>
      <w:tr w:rsidR="002C0FD9" w:rsidRPr="00A16219" w14:paraId="58C5FF48" w14:textId="77777777" w:rsidTr="002C0FD9">
        <w:trPr>
          <w:trHeight w:val="635"/>
        </w:trPr>
        <w:tc>
          <w:tcPr>
            <w:tcW w:w="515" w:type="dxa"/>
          </w:tcPr>
          <w:p w14:paraId="124C29BD" w14:textId="77777777" w:rsidR="002C0FD9" w:rsidRPr="00CA25CF" w:rsidRDefault="002C0FD9" w:rsidP="00CA25CF">
            <w:pPr>
              <w:rPr>
                <w:rFonts w:cs="Arial"/>
                <w:color w:val="FF0000"/>
                <w:sz w:val="21"/>
                <w:szCs w:val="21"/>
              </w:rPr>
            </w:pPr>
          </w:p>
        </w:tc>
        <w:tc>
          <w:tcPr>
            <w:tcW w:w="217" w:type="dxa"/>
          </w:tcPr>
          <w:p w14:paraId="0EE9EAC4" w14:textId="77777777" w:rsidR="002C0FD9" w:rsidRPr="00CA25CF" w:rsidRDefault="002C0FD9" w:rsidP="00CA25CF">
            <w:pPr>
              <w:rPr>
                <w:rFonts w:cs="Arial"/>
                <w:color w:val="FF0000"/>
                <w:sz w:val="21"/>
                <w:szCs w:val="21"/>
              </w:rPr>
            </w:pPr>
          </w:p>
        </w:tc>
        <w:tc>
          <w:tcPr>
            <w:tcW w:w="217" w:type="dxa"/>
          </w:tcPr>
          <w:p w14:paraId="3EE01009" w14:textId="77777777" w:rsidR="002C0FD9" w:rsidRPr="00CA25CF" w:rsidRDefault="002C0FD9" w:rsidP="00CA25CF">
            <w:pPr>
              <w:rPr>
                <w:rFonts w:cs="Arial"/>
                <w:color w:val="FF0000"/>
                <w:sz w:val="21"/>
                <w:szCs w:val="21"/>
              </w:rPr>
            </w:pPr>
          </w:p>
        </w:tc>
        <w:tc>
          <w:tcPr>
            <w:tcW w:w="217" w:type="dxa"/>
          </w:tcPr>
          <w:p w14:paraId="34D3F0E7" w14:textId="77777777" w:rsidR="002C0FD9" w:rsidRPr="00CA25CF" w:rsidRDefault="002C0FD9" w:rsidP="00CA25CF">
            <w:pPr>
              <w:rPr>
                <w:rFonts w:cs="Arial"/>
                <w:color w:val="FF0000"/>
                <w:sz w:val="21"/>
                <w:szCs w:val="21"/>
              </w:rPr>
            </w:pPr>
          </w:p>
        </w:tc>
        <w:tc>
          <w:tcPr>
            <w:tcW w:w="217" w:type="dxa"/>
          </w:tcPr>
          <w:p w14:paraId="41CD9A45" w14:textId="77777777" w:rsidR="002C0FD9" w:rsidRPr="00CA25CF" w:rsidRDefault="002C0FD9" w:rsidP="00CA25CF">
            <w:pPr>
              <w:rPr>
                <w:rFonts w:cs="Arial"/>
                <w:color w:val="FF0000"/>
                <w:sz w:val="21"/>
                <w:szCs w:val="21"/>
              </w:rPr>
            </w:pPr>
          </w:p>
        </w:tc>
        <w:tc>
          <w:tcPr>
            <w:tcW w:w="217" w:type="dxa"/>
          </w:tcPr>
          <w:p w14:paraId="07A4266E" w14:textId="77777777" w:rsidR="002C0FD9" w:rsidRPr="00CA25CF" w:rsidRDefault="002C0FD9" w:rsidP="00CA25CF">
            <w:pPr>
              <w:rPr>
                <w:rFonts w:cs="Arial"/>
                <w:color w:val="FF0000"/>
                <w:sz w:val="21"/>
                <w:szCs w:val="21"/>
              </w:rPr>
            </w:pPr>
          </w:p>
        </w:tc>
        <w:tc>
          <w:tcPr>
            <w:tcW w:w="217" w:type="dxa"/>
          </w:tcPr>
          <w:p w14:paraId="3F6309E0" w14:textId="77777777" w:rsidR="002C0FD9" w:rsidRPr="00CA25CF" w:rsidRDefault="002C0FD9" w:rsidP="00CA25CF">
            <w:pPr>
              <w:rPr>
                <w:rFonts w:cs="Arial"/>
                <w:color w:val="FF0000"/>
                <w:sz w:val="21"/>
                <w:szCs w:val="21"/>
              </w:rPr>
            </w:pPr>
          </w:p>
        </w:tc>
        <w:tc>
          <w:tcPr>
            <w:tcW w:w="217" w:type="dxa"/>
          </w:tcPr>
          <w:p w14:paraId="557EADE4" w14:textId="77777777" w:rsidR="002C0FD9" w:rsidRPr="00CA25CF" w:rsidRDefault="002C0FD9" w:rsidP="00CA25CF">
            <w:pPr>
              <w:rPr>
                <w:rFonts w:cs="Arial"/>
                <w:color w:val="FF0000"/>
                <w:sz w:val="21"/>
                <w:szCs w:val="21"/>
              </w:rPr>
            </w:pPr>
          </w:p>
        </w:tc>
        <w:tc>
          <w:tcPr>
            <w:tcW w:w="217" w:type="dxa"/>
          </w:tcPr>
          <w:p w14:paraId="77E1E3A9" w14:textId="77777777" w:rsidR="002C0FD9" w:rsidRPr="00CA25CF" w:rsidRDefault="002C0FD9" w:rsidP="00CA25CF">
            <w:pPr>
              <w:rPr>
                <w:rFonts w:cs="Arial"/>
                <w:color w:val="FF0000"/>
                <w:sz w:val="21"/>
                <w:szCs w:val="21"/>
              </w:rPr>
            </w:pPr>
          </w:p>
        </w:tc>
        <w:tc>
          <w:tcPr>
            <w:tcW w:w="217" w:type="dxa"/>
          </w:tcPr>
          <w:p w14:paraId="2FE7B073" w14:textId="77777777" w:rsidR="002C0FD9" w:rsidRPr="00CA25CF" w:rsidRDefault="002C0FD9" w:rsidP="00CA25CF">
            <w:pPr>
              <w:rPr>
                <w:rFonts w:cs="Arial"/>
                <w:color w:val="FF0000"/>
                <w:sz w:val="21"/>
                <w:szCs w:val="21"/>
              </w:rPr>
            </w:pPr>
          </w:p>
        </w:tc>
        <w:tc>
          <w:tcPr>
            <w:tcW w:w="217" w:type="dxa"/>
          </w:tcPr>
          <w:p w14:paraId="6668EE63" w14:textId="77777777" w:rsidR="002C0FD9" w:rsidRPr="00CA25CF" w:rsidRDefault="002C0FD9" w:rsidP="00CA25CF">
            <w:pPr>
              <w:rPr>
                <w:rFonts w:cs="Arial"/>
                <w:color w:val="FF0000"/>
                <w:sz w:val="21"/>
                <w:szCs w:val="21"/>
              </w:rPr>
            </w:pPr>
          </w:p>
        </w:tc>
        <w:tc>
          <w:tcPr>
            <w:tcW w:w="217" w:type="dxa"/>
          </w:tcPr>
          <w:p w14:paraId="628E3829" w14:textId="77777777" w:rsidR="002C0FD9" w:rsidRPr="00CA25CF" w:rsidRDefault="002C0FD9" w:rsidP="00CA25CF">
            <w:pPr>
              <w:rPr>
                <w:rFonts w:cs="Arial"/>
                <w:color w:val="FF0000"/>
                <w:sz w:val="21"/>
                <w:szCs w:val="21"/>
              </w:rPr>
            </w:pPr>
          </w:p>
        </w:tc>
        <w:tc>
          <w:tcPr>
            <w:tcW w:w="217" w:type="dxa"/>
          </w:tcPr>
          <w:p w14:paraId="050D61D4" w14:textId="77777777" w:rsidR="002C0FD9" w:rsidRPr="00CA25CF" w:rsidRDefault="002C0FD9" w:rsidP="00CA25CF">
            <w:pPr>
              <w:rPr>
                <w:rFonts w:cs="Arial"/>
                <w:color w:val="FF0000"/>
                <w:sz w:val="21"/>
                <w:szCs w:val="21"/>
              </w:rPr>
            </w:pPr>
          </w:p>
        </w:tc>
        <w:tc>
          <w:tcPr>
            <w:tcW w:w="217" w:type="dxa"/>
          </w:tcPr>
          <w:p w14:paraId="6D6EA8D3" w14:textId="77777777" w:rsidR="002C0FD9" w:rsidRPr="00CA25CF" w:rsidRDefault="002C0FD9" w:rsidP="00CA25CF">
            <w:pPr>
              <w:rPr>
                <w:rFonts w:cs="Arial"/>
                <w:color w:val="FF0000"/>
                <w:sz w:val="21"/>
                <w:szCs w:val="21"/>
              </w:rPr>
            </w:pPr>
          </w:p>
        </w:tc>
        <w:tc>
          <w:tcPr>
            <w:tcW w:w="217" w:type="dxa"/>
          </w:tcPr>
          <w:p w14:paraId="494FAA4D" w14:textId="77777777" w:rsidR="002C0FD9" w:rsidRPr="00CA25CF" w:rsidRDefault="002C0FD9" w:rsidP="00CA25CF">
            <w:pPr>
              <w:rPr>
                <w:rFonts w:cs="Arial"/>
                <w:color w:val="FF0000"/>
                <w:sz w:val="21"/>
                <w:szCs w:val="21"/>
              </w:rPr>
            </w:pPr>
          </w:p>
        </w:tc>
        <w:tc>
          <w:tcPr>
            <w:tcW w:w="217" w:type="dxa"/>
          </w:tcPr>
          <w:p w14:paraId="10452B5C" w14:textId="77777777" w:rsidR="002C0FD9" w:rsidRPr="00CA25CF" w:rsidRDefault="002C0FD9" w:rsidP="00CA25CF">
            <w:pPr>
              <w:rPr>
                <w:rFonts w:cs="Arial"/>
                <w:color w:val="FF0000"/>
                <w:sz w:val="21"/>
                <w:szCs w:val="21"/>
              </w:rPr>
            </w:pPr>
          </w:p>
        </w:tc>
        <w:tc>
          <w:tcPr>
            <w:tcW w:w="217" w:type="dxa"/>
          </w:tcPr>
          <w:p w14:paraId="489D24AA" w14:textId="77777777" w:rsidR="002C0FD9" w:rsidRPr="00CA25CF" w:rsidRDefault="002C0FD9" w:rsidP="00CA25CF">
            <w:pPr>
              <w:rPr>
                <w:rFonts w:cs="Arial"/>
                <w:color w:val="FF0000"/>
                <w:sz w:val="21"/>
                <w:szCs w:val="21"/>
              </w:rPr>
            </w:pPr>
          </w:p>
        </w:tc>
        <w:tc>
          <w:tcPr>
            <w:tcW w:w="217" w:type="dxa"/>
          </w:tcPr>
          <w:p w14:paraId="4F946918" w14:textId="77777777" w:rsidR="002C0FD9" w:rsidRPr="00CA25CF" w:rsidRDefault="002C0FD9" w:rsidP="00CA25CF">
            <w:pPr>
              <w:rPr>
                <w:rFonts w:cs="Arial"/>
                <w:color w:val="FF0000"/>
                <w:sz w:val="21"/>
                <w:szCs w:val="21"/>
              </w:rPr>
            </w:pPr>
          </w:p>
        </w:tc>
        <w:tc>
          <w:tcPr>
            <w:tcW w:w="217" w:type="dxa"/>
          </w:tcPr>
          <w:p w14:paraId="0B90A7AC" w14:textId="77777777" w:rsidR="002C0FD9" w:rsidRPr="00CA25CF" w:rsidRDefault="002C0FD9" w:rsidP="00CA25CF">
            <w:pPr>
              <w:rPr>
                <w:rFonts w:cs="Arial"/>
                <w:color w:val="FF0000"/>
                <w:sz w:val="21"/>
                <w:szCs w:val="21"/>
              </w:rPr>
            </w:pPr>
          </w:p>
        </w:tc>
        <w:tc>
          <w:tcPr>
            <w:tcW w:w="217" w:type="dxa"/>
          </w:tcPr>
          <w:p w14:paraId="477D1ED1" w14:textId="77777777" w:rsidR="002C0FD9" w:rsidRPr="00CA25CF" w:rsidRDefault="002C0FD9" w:rsidP="00CA25CF">
            <w:pPr>
              <w:rPr>
                <w:rFonts w:cs="Arial"/>
                <w:color w:val="FF0000"/>
                <w:sz w:val="21"/>
                <w:szCs w:val="21"/>
              </w:rPr>
            </w:pPr>
          </w:p>
        </w:tc>
        <w:tc>
          <w:tcPr>
            <w:tcW w:w="217" w:type="dxa"/>
          </w:tcPr>
          <w:p w14:paraId="26140DA5" w14:textId="77777777" w:rsidR="002C0FD9" w:rsidRPr="00CA25CF" w:rsidRDefault="002C0FD9" w:rsidP="00CA25CF">
            <w:pPr>
              <w:rPr>
                <w:rFonts w:cs="Arial"/>
                <w:color w:val="FF0000"/>
                <w:sz w:val="21"/>
                <w:szCs w:val="21"/>
              </w:rPr>
            </w:pPr>
          </w:p>
        </w:tc>
        <w:tc>
          <w:tcPr>
            <w:tcW w:w="217" w:type="dxa"/>
          </w:tcPr>
          <w:p w14:paraId="6A5C44FC" w14:textId="77777777" w:rsidR="002C0FD9" w:rsidRPr="00CA25CF" w:rsidRDefault="002C0FD9" w:rsidP="00CA25CF">
            <w:pPr>
              <w:rPr>
                <w:rFonts w:cs="Arial"/>
                <w:color w:val="FF0000"/>
                <w:sz w:val="21"/>
                <w:szCs w:val="21"/>
              </w:rPr>
            </w:pPr>
          </w:p>
        </w:tc>
        <w:tc>
          <w:tcPr>
            <w:tcW w:w="217" w:type="dxa"/>
          </w:tcPr>
          <w:p w14:paraId="70CF73C6" w14:textId="77777777" w:rsidR="002C0FD9" w:rsidRPr="00CA25CF" w:rsidRDefault="002C0FD9" w:rsidP="00CA25CF">
            <w:pPr>
              <w:rPr>
                <w:rFonts w:cs="Arial"/>
                <w:color w:val="FF0000"/>
                <w:sz w:val="21"/>
                <w:szCs w:val="21"/>
              </w:rPr>
            </w:pPr>
          </w:p>
        </w:tc>
        <w:tc>
          <w:tcPr>
            <w:tcW w:w="217" w:type="dxa"/>
          </w:tcPr>
          <w:p w14:paraId="61997946" w14:textId="77777777" w:rsidR="002C0FD9" w:rsidRPr="00CA25CF" w:rsidRDefault="002C0FD9" w:rsidP="00CA25CF">
            <w:pPr>
              <w:rPr>
                <w:rFonts w:cs="Arial"/>
                <w:color w:val="FF0000"/>
                <w:sz w:val="21"/>
                <w:szCs w:val="21"/>
              </w:rPr>
            </w:pPr>
          </w:p>
        </w:tc>
        <w:tc>
          <w:tcPr>
            <w:tcW w:w="217" w:type="dxa"/>
          </w:tcPr>
          <w:p w14:paraId="57CE667E" w14:textId="77777777" w:rsidR="002C0FD9" w:rsidRPr="00CA25CF" w:rsidRDefault="002C0FD9" w:rsidP="00CA25CF">
            <w:pPr>
              <w:rPr>
                <w:rFonts w:cs="Arial"/>
                <w:color w:val="FF0000"/>
                <w:sz w:val="21"/>
                <w:szCs w:val="21"/>
              </w:rPr>
            </w:pPr>
          </w:p>
        </w:tc>
        <w:tc>
          <w:tcPr>
            <w:tcW w:w="217" w:type="dxa"/>
          </w:tcPr>
          <w:p w14:paraId="243ED77A" w14:textId="77777777" w:rsidR="002C0FD9" w:rsidRPr="00CA25CF" w:rsidRDefault="002C0FD9" w:rsidP="00CA25CF">
            <w:pPr>
              <w:rPr>
                <w:rFonts w:cs="Arial"/>
                <w:color w:val="FF0000"/>
                <w:sz w:val="21"/>
                <w:szCs w:val="21"/>
              </w:rPr>
            </w:pPr>
          </w:p>
        </w:tc>
        <w:tc>
          <w:tcPr>
            <w:tcW w:w="217" w:type="dxa"/>
          </w:tcPr>
          <w:p w14:paraId="19DD25C9" w14:textId="77777777" w:rsidR="002C0FD9" w:rsidRPr="00CA25CF" w:rsidRDefault="002C0FD9" w:rsidP="00CA25CF">
            <w:pPr>
              <w:rPr>
                <w:rFonts w:cs="Arial"/>
                <w:color w:val="FF0000"/>
                <w:sz w:val="21"/>
                <w:szCs w:val="21"/>
              </w:rPr>
            </w:pPr>
          </w:p>
        </w:tc>
        <w:tc>
          <w:tcPr>
            <w:tcW w:w="217" w:type="dxa"/>
          </w:tcPr>
          <w:p w14:paraId="53FF47EA" w14:textId="77777777" w:rsidR="002C0FD9" w:rsidRPr="00CA25CF" w:rsidRDefault="002C0FD9" w:rsidP="00CA25CF">
            <w:pPr>
              <w:rPr>
                <w:rFonts w:cs="Arial"/>
                <w:color w:val="FF0000"/>
                <w:sz w:val="21"/>
                <w:szCs w:val="21"/>
              </w:rPr>
            </w:pPr>
          </w:p>
        </w:tc>
        <w:tc>
          <w:tcPr>
            <w:tcW w:w="217" w:type="dxa"/>
          </w:tcPr>
          <w:p w14:paraId="0376C92F" w14:textId="77777777" w:rsidR="002C0FD9" w:rsidRPr="00CA25CF" w:rsidRDefault="002C0FD9" w:rsidP="00CA25CF">
            <w:pPr>
              <w:rPr>
                <w:rFonts w:cs="Arial"/>
                <w:color w:val="FF0000"/>
                <w:sz w:val="21"/>
                <w:szCs w:val="21"/>
              </w:rPr>
            </w:pPr>
          </w:p>
        </w:tc>
        <w:tc>
          <w:tcPr>
            <w:tcW w:w="217" w:type="dxa"/>
          </w:tcPr>
          <w:p w14:paraId="7F10B622" w14:textId="77777777" w:rsidR="002C0FD9" w:rsidRPr="00CA25CF" w:rsidRDefault="002C0FD9" w:rsidP="00CA25CF">
            <w:pPr>
              <w:rPr>
                <w:rFonts w:cs="Arial"/>
                <w:color w:val="FF0000"/>
                <w:sz w:val="21"/>
                <w:szCs w:val="21"/>
              </w:rPr>
            </w:pPr>
          </w:p>
        </w:tc>
        <w:tc>
          <w:tcPr>
            <w:tcW w:w="217" w:type="dxa"/>
          </w:tcPr>
          <w:p w14:paraId="3F28410B" w14:textId="77777777" w:rsidR="002C0FD9" w:rsidRPr="00CA25CF" w:rsidRDefault="002C0FD9" w:rsidP="00CA25CF">
            <w:pPr>
              <w:rPr>
                <w:rFonts w:cs="Arial"/>
                <w:color w:val="FF0000"/>
                <w:sz w:val="21"/>
                <w:szCs w:val="21"/>
              </w:rPr>
            </w:pPr>
          </w:p>
        </w:tc>
        <w:tc>
          <w:tcPr>
            <w:tcW w:w="217" w:type="dxa"/>
          </w:tcPr>
          <w:p w14:paraId="0654253B" w14:textId="77777777" w:rsidR="002C0FD9" w:rsidRPr="00CA25CF" w:rsidRDefault="002C0FD9" w:rsidP="00CA25CF">
            <w:pPr>
              <w:rPr>
                <w:rFonts w:cs="Arial"/>
                <w:color w:val="FF0000"/>
                <w:sz w:val="21"/>
                <w:szCs w:val="21"/>
              </w:rPr>
            </w:pPr>
          </w:p>
        </w:tc>
        <w:tc>
          <w:tcPr>
            <w:tcW w:w="217" w:type="dxa"/>
          </w:tcPr>
          <w:p w14:paraId="652500ED" w14:textId="77777777" w:rsidR="002C0FD9" w:rsidRPr="00CA25CF" w:rsidRDefault="002C0FD9" w:rsidP="00CA25CF">
            <w:pPr>
              <w:rPr>
                <w:rFonts w:cs="Arial"/>
                <w:color w:val="FF0000"/>
                <w:sz w:val="21"/>
                <w:szCs w:val="21"/>
              </w:rPr>
            </w:pPr>
          </w:p>
        </w:tc>
        <w:tc>
          <w:tcPr>
            <w:tcW w:w="217" w:type="dxa"/>
          </w:tcPr>
          <w:p w14:paraId="57A182A7" w14:textId="77777777" w:rsidR="002C0FD9" w:rsidRPr="00CA25CF" w:rsidRDefault="002C0FD9" w:rsidP="00CA25CF">
            <w:pPr>
              <w:rPr>
                <w:rFonts w:cs="Arial"/>
                <w:color w:val="FF0000"/>
                <w:sz w:val="21"/>
                <w:szCs w:val="21"/>
              </w:rPr>
            </w:pPr>
          </w:p>
        </w:tc>
        <w:tc>
          <w:tcPr>
            <w:tcW w:w="217" w:type="dxa"/>
          </w:tcPr>
          <w:p w14:paraId="6A1E127D" w14:textId="77777777" w:rsidR="002C0FD9" w:rsidRPr="00CA25CF" w:rsidRDefault="002C0FD9" w:rsidP="00CA25CF">
            <w:pPr>
              <w:rPr>
                <w:rFonts w:cs="Arial"/>
                <w:color w:val="FF0000"/>
                <w:sz w:val="21"/>
                <w:szCs w:val="21"/>
              </w:rPr>
            </w:pPr>
          </w:p>
        </w:tc>
        <w:tc>
          <w:tcPr>
            <w:tcW w:w="217" w:type="dxa"/>
          </w:tcPr>
          <w:p w14:paraId="1EB82CBD" w14:textId="77777777" w:rsidR="002C0FD9" w:rsidRPr="00CA25CF" w:rsidRDefault="002C0FD9" w:rsidP="00CA25CF">
            <w:pPr>
              <w:rPr>
                <w:rFonts w:cs="Arial"/>
                <w:color w:val="FF0000"/>
                <w:sz w:val="21"/>
                <w:szCs w:val="21"/>
              </w:rPr>
            </w:pPr>
          </w:p>
        </w:tc>
        <w:tc>
          <w:tcPr>
            <w:tcW w:w="217" w:type="dxa"/>
          </w:tcPr>
          <w:p w14:paraId="1A9914A5" w14:textId="77777777" w:rsidR="002C0FD9" w:rsidRPr="00CA25CF" w:rsidRDefault="002C0FD9" w:rsidP="00CA25CF">
            <w:pPr>
              <w:rPr>
                <w:rFonts w:cs="Arial"/>
                <w:color w:val="FF0000"/>
                <w:sz w:val="21"/>
                <w:szCs w:val="21"/>
              </w:rPr>
            </w:pPr>
          </w:p>
        </w:tc>
        <w:tc>
          <w:tcPr>
            <w:tcW w:w="217" w:type="dxa"/>
          </w:tcPr>
          <w:p w14:paraId="7DB9CA71" w14:textId="77777777" w:rsidR="002C0FD9" w:rsidRPr="00CA25CF" w:rsidRDefault="002C0FD9" w:rsidP="00CA25CF">
            <w:pPr>
              <w:rPr>
                <w:rFonts w:cs="Arial"/>
                <w:color w:val="FF0000"/>
                <w:sz w:val="21"/>
                <w:szCs w:val="21"/>
              </w:rPr>
            </w:pPr>
          </w:p>
        </w:tc>
        <w:tc>
          <w:tcPr>
            <w:tcW w:w="217" w:type="dxa"/>
          </w:tcPr>
          <w:p w14:paraId="5B983C59" w14:textId="77777777" w:rsidR="002C0FD9" w:rsidRPr="00CA25CF" w:rsidRDefault="002C0FD9" w:rsidP="00CA25CF">
            <w:pPr>
              <w:rPr>
                <w:rFonts w:cs="Arial"/>
                <w:color w:val="FF0000"/>
                <w:sz w:val="21"/>
                <w:szCs w:val="21"/>
              </w:rPr>
            </w:pPr>
          </w:p>
        </w:tc>
        <w:tc>
          <w:tcPr>
            <w:tcW w:w="217" w:type="dxa"/>
          </w:tcPr>
          <w:p w14:paraId="7A50005D" w14:textId="77777777" w:rsidR="002C0FD9" w:rsidRPr="00CA25CF" w:rsidRDefault="002C0FD9" w:rsidP="00CA25CF">
            <w:pPr>
              <w:rPr>
                <w:rFonts w:cs="Arial"/>
                <w:color w:val="FF0000"/>
                <w:sz w:val="21"/>
                <w:szCs w:val="21"/>
              </w:rPr>
            </w:pPr>
          </w:p>
        </w:tc>
        <w:tc>
          <w:tcPr>
            <w:tcW w:w="217" w:type="dxa"/>
          </w:tcPr>
          <w:p w14:paraId="6A2AEE69" w14:textId="77777777" w:rsidR="002C0FD9" w:rsidRPr="00CA25CF" w:rsidRDefault="002C0FD9" w:rsidP="00CA25CF">
            <w:pPr>
              <w:rPr>
                <w:rFonts w:cs="Arial"/>
                <w:color w:val="FF0000"/>
                <w:sz w:val="21"/>
                <w:szCs w:val="21"/>
              </w:rPr>
            </w:pPr>
          </w:p>
        </w:tc>
        <w:tc>
          <w:tcPr>
            <w:tcW w:w="217" w:type="dxa"/>
          </w:tcPr>
          <w:p w14:paraId="0C09314D" w14:textId="77777777" w:rsidR="002C0FD9" w:rsidRPr="00CA25CF" w:rsidRDefault="002C0FD9" w:rsidP="00CA25CF">
            <w:pPr>
              <w:rPr>
                <w:rFonts w:cs="Arial"/>
                <w:color w:val="FF0000"/>
                <w:sz w:val="21"/>
                <w:szCs w:val="21"/>
              </w:rPr>
            </w:pPr>
          </w:p>
        </w:tc>
        <w:tc>
          <w:tcPr>
            <w:tcW w:w="217" w:type="dxa"/>
          </w:tcPr>
          <w:p w14:paraId="57B513D0" w14:textId="77777777" w:rsidR="002C0FD9" w:rsidRPr="00CA25CF" w:rsidRDefault="002C0FD9" w:rsidP="00CA25CF">
            <w:pPr>
              <w:rPr>
                <w:rFonts w:cs="Arial"/>
                <w:color w:val="FF0000"/>
                <w:sz w:val="21"/>
                <w:szCs w:val="21"/>
              </w:rPr>
            </w:pPr>
          </w:p>
        </w:tc>
      </w:tr>
      <w:tr w:rsidR="002C0FD9" w:rsidRPr="00A16219" w14:paraId="39EBA1B3" w14:textId="77777777" w:rsidTr="002C0FD9">
        <w:trPr>
          <w:trHeight w:val="635"/>
        </w:trPr>
        <w:tc>
          <w:tcPr>
            <w:tcW w:w="515" w:type="dxa"/>
          </w:tcPr>
          <w:p w14:paraId="3EDF5C80" w14:textId="77777777" w:rsidR="002C0FD9" w:rsidRPr="00CA25CF" w:rsidRDefault="002C0FD9" w:rsidP="00CA25CF">
            <w:pPr>
              <w:rPr>
                <w:rFonts w:cs="Arial"/>
                <w:color w:val="FF0000"/>
                <w:sz w:val="21"/>
                <w:szCs w:val="21"/>
              </w:rPr>
            </w:pPr>
          </w:p>
        </w:tc>
        <w:tc>
          <w:tcPr>
            <w:tcW w:w="217" w:type="dxa"/>
          </w:tcPr>
          <w:p w14:paraId="19EC7132" w14:textId="77777777" w:rsidR="002C0FD9" w:rsidRPr="00CA25CF" w:rsidRDefault="002C0FD9" w:rsidP="00CA25CF">
            <w:pPr>
              <w:rPr>
                <w:rFonts w:cs="Arial"/>
                <w:color w:val="FF0000"/>
                <w:sz w:val="21"/>
                <w:szCs w:val="21"/>
              </w:rPr>
            </w:pPr>
          </w:p>
        </w:tc>
        <w:tc>
          <w:tcPr>
            <w:tcW w:w="217" w:type="dxa"/>
          </w:tcPr>
          <w:p w14:paraId="1EBF44B6" w14:textId="77777777" w:rsidR="002C0FD9" w:rsidRPr="00CA25CF" w:rsidRDefault="002C0FD9" w:rsidP="00CA25CF">
            <w:pPr>
              <w:rPr>
                <w:rFonts w:cs="Arial"/>
                <w:color w:val="FF0000"/>
                <w:sz w:val="21"/>
                <w:szCs w:val="21"/>
              </w:rPr>
            </w:pPr>
          </w:p>
        </w:tc>
        <w:tc>
          <w:tcPr>
            <w:tcW w:w="217" w:type="dxa"/>
          </w:tcPr>
          <w:p w14:paraId="2ABBC0C7" w14:textId="77777777" w:rsidR="002C0FD9" w:rsidRPr="00CA25CF" w:rsidRDefault="002C0FD9" w:rsidP="00CA25CF">
            <w:pPr>
              <w:rPr>
                <w:rFonts w:cs="Arial"/>
                <w:color w:val="FF0000"/>
                <w:sz w:val="21"/>
                <w:szCs w:val="21"/>
              </w:rPr>
            </w:pPr>
          </w:p>
        </w:tc>
        <w:tc>
          <w:tcPr>
            <w:tcW w:w="217" w:type="dxa"/>
          </w:tcPr>
          <w:p w14:paraId="7FDF50C8" w14:textId="77777777" w:rsidR="002C0FD9" w:rsidRPr="00CA25CF" w:rsidRDefault="002C0FD9" w:rsidP="00CA25CF">
            <w:pPr>
              <w:rPr>
                <w:rFonts w:cs="Arial"/>
                <w:color w:val="FF0000"/>
                <w:sz w:val="21"/>
                <w:szCs w:val="21"/>
              </w:rPr>
            </w:pPr>
          </w:p>
        </w:tc>
        <w:tc>
          <w:tcPr>
            <w:tcW w:w="217" w:type="dxa"/>
          </w:tcPr>
          <w:p w14:paraId="352AF53A" w14:textId="77777777" w:rsidR="002C0FD9" w:rsidRPr="00CA25CF" w:rsidRDefault="002C0FD9" w:rsidP="00CA25CF">
            <w:pPr>
              <w:rPr>
                <w:rFonts w:cs="Arial"/>
                <w:color w:val="FF0000"/>
                <w:sz w:val="21"/>
                <w:szCs w:val="21"/>
              </w:rPr>
            </w:pPr>
          </w:p>
        </w:tc>
        <w:tc>
          <w:tcPr>
            <w:tcW w:w="217" w:type="dxa"/>
          </w:tcPr>
          <w:p w14:paraId="4C0E938D" w14:textId="77777777" w:rsidR="002C0FD9" w:rsidRPr="00CA25CF" w:rsidRDefault="002C0FD9" w:rsidP="00CA25CF">
            <w:pPr>
              <w:rPr>
                <w:rFonts w:cs="Arial"/>
                <w:color w:val="FF0000"/>
                <w:sz w:val="21"/>
                <w:szCs w:val="21"/>
              </w:rPr>
            </w:pPr>
          </w:p>
        </w:tc>
        <w:tc>
          <w:tcPr>
            <w:tcW w:w="217" w:type="dxa"/>
          </w:tcPr>
          <w:p w14:paraId="663F6E20" w14:textId="77777777" w:rsidR="002C0FD9" w:rsidRPr="00CA25CF" w:rsidRDefault="002C0FD9" w:rsidP="00CA25CF">
            <w:pPr>
              <w:rPr>
                <w:rFonts w:cs="Arial"/>
                <w:color w:val="FF0000"/>
                <w:sz w:val="21"/>
                <w:szCs w:val="21"/>
              </w:rPr>
            </w:pPr>
          </w:p>
        </w:tc>
        <w:tc>
          <w:tcPr>
            <w:tcW w:w="217" w:type="dxa"/>
          </w:tcPr>
          <w:p w14:paraId="2A709CAA" w14:textId="77777777" w:rsidR="002C0FD9" w:rsidRPr="00CA25CF" w:rsidRDefault="002C0FD9" w:rsidP="00CA25CF">
            <w:pPr>
              <w:rPr>
                <w:rFonts w:cs="Arial"/>
                <w:color w:val="FF0000"/>
                <w:sz w:val="21"/>
                <w:szCs w:val="21"/>
              </w:rPr>
            </w:pPr>
          </w:p>
        </w:tc>
        <w:tc>
          <w:tcPr>
            <w:tcW w:w="217" w:type="dxa"/>
          </w:tcPr>
          <w:p w14:paraId="3D36F3D5" w14:textId="77777777" w:rsidR="002C0FD9" w:rsidRPr="00CA25CF" w:rsidRDefault="002C0FD9" w:rsidP="00CA25CF">
            <w:pPr>
              <w:rPr>
                <w:rFonts w:cs="Arial"/>
                <w:color w:val="FF0000"/>
                <w:sz w:val="21"/>
                <w:szCs w:val="21"/>
              </w:rPr>
            </w:pPr>
          </w:p>
        </w:tc>
        <w:tc>
          <w:tcPr>
            <w:tcW w:w="217" w:type="dxa"/>
          </w:tcPr>
          <w:p w14:paraId="00351690" w14:textId="77777777" w:rsidR="002C0FD9" w:rsidRPr="00CA25CF" w:rsidRDefault="002C0FD9" w:rsidP="00CA25CF">
            <w:pPr>
              <w:rPr>
                <w:rFonts w:cs="Arial"/>
                <w:color w:val="FF0000"/>
                <w:sz w:val="21"/>
                <w:szCs w:val="21"/>
              </w:rPr>
            </w:pPr>
          </w:p>
        </w:tc>
        <w:tc>
          <w:tcPr>
            <w:tcW w:w="217" w:type="dxa"/>
          </w:tcPr>
          <w:p w14:paraId="0FAF402C" w14:textId="77777777" w:rsidR="002C0FD9" w:rsidRPr="00CA25CF" w:rsidRDefault="002C0FD9" w:rsidP="00CA25CF">
            <w:pPr>
              <w:rPr>
                <w:rFonts w:cs="Arial"/>
                <w:color w:val="FF0000"/>
                <w:sz w:val="21"/>
                <w:szCs w:val="21"/>
              </w:rPr>
            </w:pPr>
          </w:p>
        </w:tc>
        <w:tc>
          <w:tcPr>
            <w:tcW w:w="217" w:type="dxa"/>
          </w:tcPr>
          <w:p w14:paraId="513D91C1" w14:textId="77777777" w:rsidR="002C0FD9" w:rsidRPr="00CA25CF" w:rsidRDefault="002C0FD9" w:rsidP="00CA25CF">
            <w:pPr>
              <w:rPr>
                <w:rFonts w:cs="Arial"/>
                <w:color w:val="FF0000"/>
                <w:sz w:val="21"/>
                <w:szCs w:val="21"/>
              </w:rPr>
            </w:pPr>
          </w:p>
        </w:tc>
        <w:tc>
          <w:tcPr>
            <w:tcW w:w="217" w:type="dxa"/>
          </w:tcPr>
          <w:p w14:paraId="420D830B" w14:textId="77777777" w:rsidR="002C0FD9" w:rsidRPr="00CA25CF" w:rsidRDefault="002C0FD9" w:rsidP="00CA25CF">
            <w:pPr>
              <w:rPr>
                <w:rFonts w:cs="Arial"/>
                <w:color w:val="FF0000"/>
                <w:sz w:val="21"/>
                <w:szCs w:val="21"/>
              </w:rPr>
            </w:pPr>
          </w:p>
        </w:tc>
        <w:tc>
          <w:tcPr>
            <w:tcW w:w="217" w:type="dxa"/>
          </w:tcPr>
          <w:p w14:paraId="1B691890" w14:textId="77777777" w:rsidR="002C0FD9" w:rsidRPr="00CA25CF" w:rsidRDefault="002C0FD9" w:rsidP="00CA25CF">
            <w:pPr>
              <w:rPr>
                <w:rFonts w:cs="Arial"/>
                <w:color w:val="FF0000"/>
                <w:sz w:val="21"/>
                <w:szCs w:val="21"/>
              </w:rPr>
            </w:pPr>
          </w:p>
        </w:tc>
        <w:tc>
          <w:tcPr>
            <w:tcW w:w="217" w:type="dxa"/>
          </w:tcPr>
          <w:p w14:paraId="29DFFE71" w14:textId="77777777" w:rsidR="002C0FD9" w:rsidRPr="00CA25CF" w:rsidRDefault="002C0FD9" w:rsidP="00CA25CF">
            <w:pPr>
              <w:rPr>
                <w:rFonts w:cs="Arial"/>
                <w:color w:val="FF0000"/>
                <w:sz w:val="21"/>
                <w:szCs w:val="21"/>
              </w:rPr>
            </w:pPr>
          </w:p>
        </w:tc>
        <w:tc>
          <w:tcPr>
            <w:tcW w:w="217" w:type="dxa"/>
          </w:tcPr>
          <w:p w14:paraId="1130FC63" w14:textId="77777777" w:rsidR="002C0FD9" w:rsidRPr="00CA25CF" w:rsidRDefault="002C0FD9" w:rsidP="00CA25CF">
            <w:pPr>
              <w:rPr>
                <w:rFonts w:cs="Arial"/>
                <w:color w:val="FF0000"/>
                <w:sz w:val="21"/>
                <w:szCs w:val="21"/>
              </w:rPr>
            </w:pPr>
          </w:p>
        </w:tc>
        <w:tc>
          <w:tcPr>
            <w:tcW w:w="217" w:type="dxa"/>
          </w:tcPr>
          <w:p w14:paraId="1F4F1272" w14:textId="77777777" w:rsidR="002C0FD9" w:rsidRPr="00CA25CF" w:rsidRDefault="002C0FD9" w:rsidP="00CA25CF">
            <w:pPr>
              <w:rPr>
                <w:rFonts w:cs="Arial"/>
                <w:color w:val="FF0000"/>
                <w:sz w:val="21"/>
                <w:szCs w:val="21"/>
              </w:rPr>
            </w:pPr>
          </w:p>
        </w:tc>
        <w:tc>
          <w:tcPr>
            <w:tcW w:w="217" w:type="dxa"/>
          </w:tcPr>
          <w:p w14:paraId="378366E6" w14:textId="77777777" w:rsidR="002C0FD9" w:rsidRPr="00CA25CF" w:rsidRDefault="002C0FD9" w:rsidP="00CA25CF">
            <w:pPr>
              <w:rPr>
                <w:rFonts w:cs="Arial"/>
                <w:color w:val="FF0000"/>
                <w:sz w:val="21"/>
                <w:szCs w:val="21"/>
              </w:rPr>
            </w:pPr>
          </w:p>
        </w:tc>
        <w:tc>
          <w:tcPr>
            <w:tcW w:w="217" w:type="dxa"/>
          </w:tcPr>
          <w:p w14:paraId="470F43F8" w14:textId="77777777" w:rsidR="002C0FD9" w:rsidRPr="00CA25CF" w:rsidRDefault="002C0FD9" w:rsidP="00CA25CF">
            <w:pPr>
              <w:rPr>
                <w:rFonts w:cs="Arial"/>
                <w:color w:val="FF0000"/>
                <w:sz w:val="21"/>
                <w:szCs w:val="21"/>
              </w:rPr>
            </w:pPr>
          </w:p>
        </w:tc>
        <w:tc>
          <w:tcPr>
            <w:tcW w:w="217" w:type="dxa"/>
          </w:tcPr>
          <w:p w14:paraId="2FAF66B3" w14:textId="77777777" w:rsidR="002C0FD9" w:rsidRPr="00CA25CF" w:rsidRDefault="002C0FD9" w:rsidP="00CA25CF">
            <w:pPr>
              <w:rPr>
                <w:rFonts w:cs="Arial"/>
                <w:color w:val="FF0000"/>
                <w:sz w:val="21"/>
                <w:szCs w:val="21"/>
              </w:rPr>
            </w:pPr>
          </w:p>
        </w:tc>
        <w:tc>
          <w:tcPr>
            <w:tcW w:w="217" w:type="dxa"/>
          </w:tcPr>
          <w:p w14:paraId="7703A030" w14:textId="77777777" w:rsidR="002C0FD9" w:rsidRPr="00CA25CF" w:rsidRDefault="002C0FD9" w:rsidP="00CA25CF">
            <w:pPr>
              <w:rPr>
                <w:rFonts w:cs="Arial"/>
                <w:color w:val="FF0000"/>
                <w:sz w:val="21"/>
                <w:szCs w:val="21"/>
              </w:rPr>
            </w:pPr>
          </w:p>
        </w:tc>
        <w:tc>
          <w:tcPr>
            <w:tcW w:w="217" w:type="dxa"/>
          </w:tcPr>
          <w:p w14:paraId="6125565C" w14:textId="77777777" w:rsidR="002C0FD9" w:rsidRPr="00CA25CF" w:rsidRDefault="002C0FD9" w:rsidP="00CA25CF">
            <w:pPr>
              <w:rPr>
                <w:rFonts w:cs="Arial"/>
                <w:color w:val="FF0000"/>
                <w:sz w:val="21"/>
                <w:szCs w:val="21"/>
              </w:rPr>
            </w:pPr>
          </w:p>
        </w:tc>
        <w:tc>
          <w:tcPr>
            <w:tcW w:w="217" w:type="dxa"/>
          </w:tcPr>
          <w:p w14:paraId="706EEA1A" w14:textId="77777777" w:rsidR="002C0FD9" w:rsidRPr="00CA25CF" w:rsidRDefault="002C0FD9" w:rsidP="00CA25CF">
            <w:pPr>
              <w:rPr>
                <w:rFonts w:cs="Arial"/>
                <w:color w:val="FF0000"/>
                <w:sz w:val="21"/>
                <w:szCs w:val="21"/>
              </w:rPr>
            </w:pPr>
          </w:p>
        </w:tc>
        <w:tc>
          <w:tcPr>
            <w:tcW w:w="217" w:type="dxa"/>
          </w:tcPr>
          <w:p w14:paraId="6A17C9C0" w14:textId="77777777" w:rsidR="002C0FD9" w:rsidRPr="00CA25CF" w:rsidRDefault="002C0FD9" w:rsidP="00CA25CF">
            <w:pPr>
              <w:rPr>
                <w:rFonts w:cs="Arial"/>
                <w:color w:val="FF0000"/>
                <w:sz w:val="21"/>
                <w:szCs w:val="21"/>
              </w:rPr>
            </w:pPr>
          </w:p>
        </w:tc>
        <w:tc>
          <w:tcPr>
            <w:tcW w:w="217" w:type="dxa"/>
          </w:tcPr>
          <w:p w14:paraId="2DA3B094" w14:textId="77777777" w:rsidR="002C0FD9" w:rsidRPr="00CA25CF" w:rsidRDefault="002C0FD9" w:rsidP="00CA25CF">
            <w:pPr>
              <w:rPr>
                <w:rFonts w:cs="Arial"/>
                <w:color w:val="FF0000"/>
                <w:sz w:val="21"/>
                <w:szCs w:val="21"/>
              </w:rPr>
            </w:pPr>
          </w:p>
        </w:tc>
        <w:tc>
          <w:tcPr>
            <w:tcW w:w="217" w:type="dxa"/>
          </w:tcPr>
          <w:p w14:paraId="7BB9F1D5" w14:textId="77777777" w:rsidR="002C0FD9" w:rsidRPr="00CA25CF" w:rsidRDefault="002C0FD9" w:rsidP="00CA25CF">
            <w:pPr>
              <w:rPr>
                <w:rFonts w:cs="Arial"/>
                <w:color w:val="FF0000"/>
                <w:sz w:val="21"/>
                <w:szCs w:val="21"/>
              </w:rPr>
            </w:pPr>
          </w:p>
        </w:tc>
        <w:tc>
          <w:tcPr>
            <w:tcW w:w="217" w:type="dxa"/>
          </w:tcPr>
          <w:p w14:paraId="277F70F1" w14:textId="77777777" w:rsidR="002C0FD9" w:rsidRPr="00CA25CF" w:rsidRDefault="002C0FD9" w:rsidP="00CA25CF">
            <w:pPr>
              <w:rPr>
                <w:rFonts w:cs="Arial"/>
                <w:color w:val="FF0000"/>
                <w:sz w:val="21"/>
                <w:szCs w:val="21"/>
              </w:rPr>
            </w:pPr>
          </w:p>
        </w:tc>
        <w:tc>
          <w:tcPr>
            <w:tcW w:w="217" w:type="dxa"/>
          </w:tcPr>
          <w:p w14:paraId="5F1C8B11" w14:textId="77777777" w:rsidR="002C0FD9" w:rsidRPr="00CA25CF" w:rsidRDefault="002C0FD9" w:rsidP="00CA25CF">
            <w:pPr>
              <w:rPr>
                <w:rFonts w:cs="Arial"/>
                <w:color w:val="FF0000"/>
                <w:sz w:val="21"/>
                <w:szCs w:val="21"/>
              </w:rPr>
            </w:pPr>
          </w:p>
        </w:tc>
        <w:tc>
          <w:tcPr>
            <w:tcW w:w="217" w:type="dxa"/>
          </w:tcPr>
          <w:p w14:paraId="650FE9E2" w14:textId="77777777" w:rsidR="002C0FD9" w:rsidRPr="00CA25CF" w:rsidRDefault="002C0FD9" w:rsidP="00CA25CF">
            <w:pPr>
              <w:rPr>
                <w:rFonts w:cs="Arial"/>
                <w:color w:val="FF0000"/>
                <w:sz w:val="21"/>
                <w:szCs w:val="21"/>
              </w:rPr>
            </w:pPr>
          </w:p>
        </w:tc>
        <w:tc>
          <w:tcPr>
            <w:tcW w:w="217" w:type="dxa"/>
          </w:tcPr>
          <w:p w14:paraId="2E8C73B8" w14:textId="77777777" w:rsidR="002C0FD9" w:rsidRPr="00CA25CF" w:rsidRDefault="002C0FD9" w:rsidP="00CA25CF">
            <w:pPr>
              <w:rPr>
                <w:rFonts w:cs="Arial"/>
                <w:color w:val="FF0000"/>
                <w:sz w:val="21"/>
                <w:szCs w:val="21"/>
              </w:rPr>
            </w:pPr>
          </w:p>
        </w:tc>
        <w:tc>
          <w:tcPr>
            <w:tcW w:w="217" w:type="dxa"/>
          </w:tcPr>
          <w:p w14:paraId="5D4033E8" w14:textId="77777777" w:rsidR="002C0FD9" w:rsidRPr="00CA25CF" w:rsidRDefault="002C0FD9" w:rsidP="00CA25CF">
            <w:pPr>
              <w:rPr>
                <w:rFonts w:cs="Arial"/>
                <w:color w:val="FF0000"/>
                <w:sz w:val="21"/>
                <w:szCs w:val="21"/>
              </w:rPr>
            </w:pPr>
          </w:p>
        </w:tc>
        <w:tc>
          <w:tcPr>
            <w:tcW w:w="217" w:type="dxa"/>
          </w:tcPr>
          <w:p w14:paraId="031431DD" w14:textId="77777777" w:rsidR="002C0FD9" w:rsidRPr="00CA25CF" w:rsidRDefault="002C0FD9" w:rsidP="00CA25CF">
            <w:pPr>
              <w:rPr>
                <w:rFonts w:cs="Arial"/>
                <w:color w:val="FF0000"/>
                <w:sz w:val="21"/>
                <w:szCs w:val="21"/>
              </w:rPr>
            </w:pPr>
          </w:p>
        </w:tc>
        <w:tc>
          <w:tcPr>
            <w:tcW w:w="217" w:type="dxa"/>
          </w:tcPr>
          <w:p w14:paraId="38C991F3" w14:textId="77777777" w:rsidR="002C0FD9" w:rsidRPr="00CA25CF" w:rsidRDefault="002C0FD9" w:rsidP="00CA25CF">
            <w:pPr>
              <w:rPr>
                <w:rFonts w:cs="Arial"/>
                <w:color w:val="FF0000"/>
                <w:sz w:val="21"/>
                <w:szCs w:val="21"/>
              </w:rPr>
            </w:pPr>
          </w:p>
        </w:tc>
        <w:tc>
          <w:tcPr>
            <w:tcW w:w="217" w:type="dxa"/>
          </w:tcPr>
          <w:p w14:paraId="27F0E6A1" w14:textId="77777777" w:rsidR="002C0FD9" w:rsidRPr="00CA25CF" w:rsidRDefault="002C0FD9" w:rsidP="00CA25CF">
            <w:pPr>
              <w:rPr>
                <w:rFonts w:cs="Arial"/>
                <w:color w:val="FF0000"/>
                <w:sz w:val="21"/>
                <w:szCs w:val="21"/>
              </w:rPr>
            </w:pPr>
          </w:p>
        </w:tc>
        <w:tc>
          <w:tcPr>
            <w:tcW w:w="217" w:type="dxa"/>
          </w:tcPr>
          <w:p w14:paraId="5FCC86AD" w14:textId="77777777" w:rsidR="002C0FD9" w:rsidRPr="00CA25CF" w:rsidRDefault="002C0FD9" w:rsidP="00CA25CF">
            <w:pPr>
              <w:rPr>
                <w:rFonts w:cs="Arial"/>
                <w:color w:val="FF0000"/>
                <w:sz w:val="21"/>
                <w:szCs w:val="21"/>
              </w:rPr>
            </w:pPr>
          </w:p>
        </w:tc>
        <w:tc>
          <w:tcPr>
            <w:tcW w:w="217" w:type="dxa"/>
          </w:tcPr>
          <w:p w14:paraId="44579308" w14:textId="77777777" w:rsidR="002C0FD9" w:rsidRPr="00CA25CF" w:rsidRDefault="002C0FD9" w:rsidP="00CA25CF">
            <w:pPr>
              <w:rPr>
                <w:rFonts w:cs="Arial"/>
                <w:color w:val="FF0000"/>
                <w:sz w:val="21"/>
                <w:szCs w:val="21"/>
              </w:rPr>
            </w:pPr>
          </w:p>
        </w:tc>
        <w:tc>
          <w:tcPr>
            <w:tcW w:w="217" w:type="dxa"/>
          </w:tcPr>
          <w:p w14:paraId="6EB0813B" w14:textId="77777777" w:rsidR="002C0FD9" w:rsidRPr="00CA25CF" w:rsidRDefault="002C0FD9" w:rsidP="00CA25CF">
            <w:pPr>
              <w:rPr>
                <w:rFonts w:cs="Arial"/>
                <w:color w:val="FF0000"/>
                <w:sz w:val="21"/>
                <w:szCs w:val="21"/>
              </w:rPr>
            </w:pPr>
          </w:p>
        </w:tc>
        <w:tc>
          <w:tcPr>
            <w:tcW w:w="217" w:type="dxa"/>
          </w:tcPr>
          <w:p w14:paraId="045AA0C9" w14:textId="77777777" w:rsidR="002C0FD9" w:rsidRPr="00CA25CF" w:rsidRDefault="002C0FD9" w:rsidP="00CA25CF">
            <w:pPr>
              <w:rPr>
                <w:rFonts w:cs="Arial"/>
                <w:color w:val="FF0000"/>
                <w:sz w:val="21"/>
                <w:szCs w:val="21"/>
              </w:rPr>
            </w:pPr>
          </w:p>
        </w:tc>
        <w:tc>
          <w:tcPr>
            <w:tcW w:w="217" w:type="dxa"/>
          </w:tcPr>
          <w:p w14:paraId="23D6E529" w14:textId="77777777" w:rsidR="002C0FD9" w:rsidRPr="00CA25CF" w:rsidRDefault="002C0FD9" w:rsidP="00CA25CF">
            <w:pPr>
              <w:rPr>
                <w:rFonts w:cs="Arial"/>
                <w:color w:val="FF0000"/>
                <w:sz w:val="21"/>
                <w:szCs w:val="21"/>
              </w:rPr>
            </w:pPr>
          </w:p>
        </w:tc>
        <w:tc>
          <w:tcPr>
            <w:tcW w:w="217" w:type="dxa"/>
          </w:tcPr>
          <w:p w14:paraId="06221AD5" w14:textId="77777777" w:rsidR="002C0FD9" w:rsidRPr="00CA25CF" w:rsidRDefault="002C0FD9" w:rsidP="00CA25CF">
            <w:pPr>
              <w:rPr>
                <w:rFonts w:cs="Arial"/>
                <w:color w:val="FF0000"/>
                <w:sz w:val="21"/>
                <w:szCs w:val="21"/>
              </w:rPr>
            </w:pPr>
          </w:p>
        </w:tc>
        <w:tc>
          <w:tcPr>
            <w:tcW w:w="217" w:type="dxa"/>
          </w:tcPr>
          <w:p w14:paraId="656C150C" w14:textId="77777777" w:rsidR="002C0FD9" w:rsidRPr="00CA25CF" w:rsidRDefault="002C0FD9" w:rsidP="00CA25CF">
            <w:pPr>
              <w:rPr>
                <w:rFonts w:cs="Arial"/>
                <w:color w:val="FF0000"/>
                <w:sz w:val="21"/>
                <w:szCs w:val="21"/>
              </w:rPr>
            </w:pPr>
          </w:p>
        </w:tc>
        <w:tc>
          <w:tcPr>
            <w:tcW w:w="217" w:type="dxa"/>
          </w:tcPr>
          <w:p w14:paraId="7E706BFC" w14:textId="77777777" w:rsidR="002C0FD9" w:rsidRPr="00CA25CF" w:rsidRDefault="002C0FD9" w:rsidP="00CA25CF">
            <w:pPr>
              <w:rPr>
                <w:rFonts w:cs="Arial"/>
                <w:color w:val="FF0000"/>
                <w:sz w:val="21"/>
                <w:szCs w:val="21"/>
              </w:rPr>
            </w:pPr>
          </w:p>
        </w:tc>
      </w:tr>
      <w:tr w:rsidR="002C0FD9" w:rsidRPr="00A16219" w14:paraId="3AF96C90" w14:textId="77777777" w:rsidTr="002C0FD9">
        <w:trPr>
          <w:trHeight w:val="635"/>
        </w:trPr>
        <w:tc>
          <w:tcPr>
            <w:tcW w:w="515" w:type="dxa"/>
          </w:tcPr>
          <w:p w14:paraId="1FA7334F" w14:textId="77777777" w:rsidR="002C0FD9" w:rsidRPr="00CA25CF" w:rsidRDefault="002C0FD9" w:rsidP="00CA25CF">
            <w:pPr>
              <w:rPr>
                <w:rFonts w:cs="Arial"/>
                <w:color w:val="FF0000"/>
                <w:sz w:val="21"/>
                <w:szCs w:val="21"/>
              </w:rPr>
            </w:pPr>
          </w:p>
        </w:tc>
        <w:tc>
          <w:tcPr>
            <w:tcW w:w="217" w:type="dxa"/>
          </w:tcPr>
          <w:p w14:paraId="6C682B06" w14:textId="77777777" w:rsidR="002C0FD9" w:rsidRPr="00CA25CF" w:rsidRDefault="002C0FD9" w:rsidP="00CA25CF">
            <w:pPr>
              <w:rPr>
                <w:rFonts w:cs="Arial"/>
                <w:color w:val="FF0000"/>
                <w:sz w:val="21"/>
                <w:szCs w:val="21"/>
              </w:rPr>
            </w:pPr>
          </w:p>
        </w:tc>
        <w:tc>
          <w:tcPr>
            <w:tcW w:w="217" w:type="dxa"/>
          </w:tcPr>
          <w:p w14:paraId="73477066" w14:textId="77777777" w:rsidR="002C0FD9" w:rsidRPr="00CA25CF" w:rsidRDefault="002C0FD9" w:rsidP="00CA25CF">
            <w:pPr>
              <w:rPr>
                <w:rFonts w:cs="Arial"/>
                <w:color w:val="FF0000"/>
                <w:sz w:val="21"/>
                <w:szCs w:val="21"/>
              </w:rPr>
            </w:pPr>
          </w:p>
        </w:tc>
        <w:tc>
          <w:tcPr>
            <w:tcW w:w="217" w:type="dxa"/>
          </w:tcPr>
          <w:p w14:paraId="16AFF690" w14:textId="77777777" w:rsidR="002C0FD9" w:rsidRPr="00CA25CF" w:rsidRDefault="002C0FD9" w:rsidP="00CA25CF">
            <w:pPr>
              <w:rPr>
                <w:rFonts w:cs="Arial"/>
                <w:color w:val="FF0000"/>
                <w:sz w:val="21"/>
                <w:szCs w:val="21"/>
              </w:rPr>
            </w:pPr>
          </w:p>
        </w:tc>
        <w:tc>
          <w:tcPr>
            <w:tcW w:w="217" w:type="dxa"/>
          </w:tcPr>
          <w:p w14:paraId="7792AF60" w14:textId="77777777" w:rsidR="002C0FD9" w:rsidRPr="00CA25CF" w:rsidRDefault="002C0FD9" w:rsidP="00CA25CF">
            <w:pPr>
              <w:rPr>
                <w:rFonts w:cs="Arial"/>
                <w:color w:val="FF0000"/>
                <w:sz w:val="21"/>
                <w:szCs w:val="21"/>
              </w:rPr>
            </w:pPr>
          </w:p>
        </w:tc>
        <w:tc>
          <w:tcPr>
            <w:tcW w:w="217" w:type="dxa"/>
          </w:tcPr>
          <w:p w14:paraId="515EF780" w14:textId="77777777" w:rsidR="002C0FD9" w:rsidRPr="00CA25CF" w:rsidRDefault="002C0FD9" w:rsidP="00CA25CF">
            <w:pPr>
              <w:rPr>
                <w:rFonts w:cs="Arial"/>
                <w:color w:val="FF0000"/>
                <w:sz w:val="21"/>
                <w:szCs w:val="21"/>
              </w:rPr>
            </w:pPr>
          </w:p>
        </w:tc>
        <w:tc>
          <w:tcPr>
            <w:tcW w:w="217" w:type="dxa"/>
          </w:tcPr>
          <w:p w14:paraId="4349CC7B" w14:textId="77777777" w:rsidR="002C0FD9" w:rsidRPr="00CA25CF" w:rsidRDefault="002C0FD9" w:rsidP="00CA25CF">
            <w:pPr>
              <w:rPr>
                <w:rFonts w:cs="Arial"/>
                <w:color w:val="FF0000"/>
                <w:sz w:val="21"/>
                <w:szCs w:val="21"/>
              </w:rPr>
            </w:pPr>
          </w:p>
        </w:tc>
        <w:tc>
          <w:tcPr>
            <w:tcW w:w="217" w:type="dxa"/>
          </w:tcPr>
          <w:p w14:paraId="01366281" w14:textId="77777777" w:rsidR="002C0FD9" w:rsidRPr="00CA25CF" w:rsidRDefault="002C0FD9" w:rsidP="00CA25CF">
            <w:pPr>
              <w:rPr>
                <w:rFonts w:cs="Arial"/>
                <w:color w:val="FF0000"/>
                <w:sz w:val="21"/>
                <w:szCs w:val="21"/>
              </w:rPr>
            </w:pPr>
          </w:p>
        </w:tc>
        <w:tc>
          <w:tcPr>
            <w:tcW w:w="217" w:type="dxa"/>
          </w:tcPr>
          <w:p w14:paraId="1E6D9DD8" w14:textId="77777777" w:rsidR="002C0FD9" w:rsidRPr="00CA25CF" w:rsidRDefault="002C0FD9" w:rsidP="00CA25CF">
            <w:pPr>
              <w:rPr>
                <w:rFonts w:cs="Arial"/>
                <w:color w:val="FF0000"/>
                <w:sz w:val="21"/>
                <w:szCs w:val="21"/>
              </w:rPr>
            </w:pPr>
          </w:p>
        </w:tc>
        <w:tc>
          <w:tcPr>
            <w:tcW w:w="217" w:type="dxa"/>
          </w:tcPr>
          <w:p w14:paraId="6E4D3D09" w14:textId="77777777" w:rsidR="002C0FD9" w:rsidRPr="00CA25CF" w:rsidRDefault="002C0FD9" w:rsidP="00CA25CF">
            <w:pPr>
              <w:rPr>
                <w:rFonts w:cs="Arial"/>
                <w:color w:val="FF0000"/>
                <w:sz w:val="21"/>
                <w:szCs w:val="21"/>
              </w:rPr>
            </w:pPr>
          </w:p>
        </w:tc>
        <w:tc>
          <w:tcPr>
            <w:tcW w:w="217" w:type="dxa"/>
          </w:tcPr>
          <w:p w14:paraId="242B783F" w14:textId="77777777" w:rsidR="002C0FD9" w:rsidRPr="00CA25CF" w:rsidRDefault="002C0FD9" w:rsidP="00CA25CF">
            <w:pPr>
              <w:rPr>
                <w:rFonts w:cs="Arial"/>
                <w:color w:val="FF0000"/>
                <w:sz w:val="21"/>
                <w:szCs w:val="21"/>
              </w:rPr>
            </w:pPr>
          </w:p>
        </w:tc>
        <w:tc>
          <w:tcPr>
            <w:tcW w:w="217" w:type="dxa"/>
          </w:tcPr>
          <w:p w14:paraId="32B0CF3F" w14:textId="77777777" w:rsidR="002C0FD9" w:rsidRPr="00CA25CF" w:rsidRDefault="002C0FD9" w:rsidP="00CA25CF">
            <w:pPr>
              <w:rPr>
                <w:rFonts w:cs="Arial"/>
                <w:color w:val="FF0000"/>
                <w:sz w:val="21"/>
                <w:szCs w:val="21"/>
              </w:rPr>
            </w:pPr>
          </w:p>
        </w:tc>
        <w:tc>
          <w:tcPr>
            <w:tcW w:w="217" w:type="dxa"/>
          </w:tcPr>
          <w:p w14:paraId="440B6CDE" w14:textId="77777777" w:rsidR="002C0FD9" w:rsidRPr="00CA25CF" w:rsidRDefault="002C0FD9" w:rsidP="00CA25CF">
            <w:pPr>
              <w:rPr>
                <w:rFonts w:cs="Arial"/>
                <w:color w:val="FF0000"/>
                <w:sz w:val="21"/>
                <w:szCs w:val="21"/>
              </w:rPr>
            </w:pPr>
          </w:p>
        </w:tc>
        <w:tc>
          <w:tcPr>
            <w:tcW w:w="217" w:type="dxa"/>
          </w:tcPr>
          <w:p w14:paraId="055C5758" w14:textId="77777777" w:rsidR="002C0FD9" w:rsidRPr="00CA25CF" w:rsidRDefault="002C0FD9" w:rsidP="00CA25CF">
            <w:pPr>
              <w:rPr>
                <w:rFonts w:cs="Arial"/>
                <w:color w:val="FF0000"/>
                <w:sz w:val="21"/>
                <w:szCs w:val="21"/>
              </w:rPr>
            </w:pPr>
          </w:p>
        </w:tc>
        <w:tc>
          <w:tcPr>
            <w:tcW w:w="217" w:type="dxa"/>
          </w:tcPr>
          <w:p w14:paraId="428F8484" w14:textId="77777777" w:rsidR="002C0FD9" w:rsidRPr="00CA25CF" w:rsidRDefault="002C0FD9" w:rsidP="00CA25CF">
            <w:pPr>
              <w:rPr>
                <w:rFonts w:cs="Arial"/>
                <w:color w:val="FF0000"/>
                <w:sz w:val="21"/>
                <w:szCs w:val="21"/>
              </w:rPr>
            </w:pPr>
          </w:p>
        </w:tc>
        <w:tc>
          <w:tcPr>
            <w:tcW w:w="217" w:type="dxa"/>
          </w:tcPr>
          <w:p w14:paraId="16DB829D" w14:textId="77777777" w:rsidR="002C0FD9" w:rsidRPr="00CA25CF" w:rsidRDefault="002C0FD9" w:rsidP="00CA25CF">
            <w:pPr>
              <w:rPr>
                <w:rFonts w:cs="Arial"/>
                <w:color w:val="FF0000"/>
                <w:sz w:val="21"/>
                <w:szCs w:val="21"/>
              </w:rPr>
            </w:pPr>
          </w:p>
        </w:tc>
        <w:tc>
          <w:tcPr>
            <w:tcW w:w="217" w:type="dxa"/>
          </w:tcPr>
          <w:p w14:paraId="7E2E7F86" w14:textId="77777777" w:rsidR="002C0FD9" w:rsidRPr="00CA25CF" w:rsidRDefault="002C0FD9" w:rsidP="00CA25CF">
            <w:pPr>
              <w:rPr>
                <w:rFonts w:cs="Arial"/>
                <w:color w:val="FF0000"/>
                <w:sz w:val="21"/>
                <w:szCs w:val="21"/>
              </w:rPr>
            </w:pPr>
          </w:p>
        </w:tc>
        <w:tc>
          <w:tcPr>
            <w:tcW w:w="217" w:type="dxa"/>
          </w:tcPr>
          <w:p w14:paraId="58DF2440" w14:textId="77777777" w:rsidR="002C0FD9" w:rsidRPr="00CA25CF" w:rsidRDefault="002C0FD9" w:rsidP="00CA25CF">
            <w:pPr>
              <w:rPr>
                <w:rFonts w:cs="Arial"/>
                <w:color w:val="FF0000"/>
                <w:sz w:val="21"/>
                <w:szCs w:val="21"/>
              </w:rPr>
            </w:pPr>
          </w:p>
        </w:tc>
        <w:tc>
          <w:tcPr>
            <w:tcW w:w="217" w:type="dxa"/>
          </w:tcPr>
          <w:p w14:paraId="037E8CBC" w14:textId="77777777" w:rsidR="002C0FD9" w:rsidRPr="00CA25CF" w:rsidRDefault="002C0FD9" w:rsidP="00CA25CF">
            <w:pPr>
              <w:rPr>
                <w:rFonts w:cs="Arial"/>
                <w:color w:val="FF0000"/>
                <w:sz w:val="21"/>
                <w:szCs w:val="21"/>
              </w:rPr>
            </w:pPr>
          </w:p>
        </w:tc>
        <w:tc>
          <w:tcPr>
            <w:tcW w:w="217" w:type="dxa"/>
          </w:tcPr>
          <w:p w14:paraId="28E9C7D6" w14:textId="77777777" w:rsidR="002C0FD9" w:rsidRPr="00CA25CF" w:rsidRDefault="002C0FD9" w:rsidP="00CA25CF">
            <w:pPr>
              <w:rPr>
                <w:rFonts w:cs="Arial"/>
                <w:color w:val="FF0000"/>
                <w:sz w:val="21"/>
                <w:szCs w:val="21"/>
              </w:rPr>
            </w:pPr>
          </w:p>
        </w:tc>
        <w:tc>
          <w:tcPr>
            <w:tcW w:w="217" w:type="dxa"/>
          </w:tcPr>
          <w:p w14:paraId="2BA437C8" w14:textId="77777777" w:rsidR="002C0FD9" w:rsidRPr="00CA25CF" w:rsidRDefault="002C0FD9" w:rsidP="00CA25CF">
            <w:pPr>
              <w:rPr>
                <w:rFonts w:cs="Arial"/>
                <w:color w:val="FF0000"/>
                <w:sz w:val="21"/>
                <w:szCs w:val="21"/>
              </w:rPr>
            </w:pPr>
          </w:p>
        </w:tc>
        <w:tc>
          <w:tcPr>
            <w:tcW w:w="217" w:type="dxa"/>
          </w:tcPr>
          <w:p w14:paraId="55FCC1BB" w14:textId="77777777" w:rsidR="002C0FD9" w:rsidRPr="00CA25CF" w:rsidRDefault="002C0FD9" w:rsidP="00CA25CF">
            <w:pPr>
              <w:rPr>
                <w:rFonts w:cs="Arial"/>
                <w:color w:val="FF0000"/>
                <w:sz w:val="21"/>
                <w:szCs w:val="21"/>
              </w:rPr>
            </w:pPr>
          </w:p>
        </w:tc>
        <w:tc>
          <w:tcPr>
            <w:tcW w:w="217" w:type="dxa"/>
          </w:tcPr>
          <w:p w14:paraId="5CA1071C" w14:textId="77777777" w:rsidR="002C0FD9" w:rsidRPr="00CA25CF" w:rsidRDefault="002C0FD9" w:rsidP="00CA25CF">
            <w:pPr>
              <w:rPr>
                <w:rFonts w:cs="Arial"/>
                <w:color w:val="FF0000"/>
                <w:sz w:val="21"/>
                <w:szCs w:val="21"/>
              </w:rPr>
            </w:pPr>
          </w:p>
        </w:tc>
        <w:tc>
          <w:tcPr>
            <w:tcW w:w="217" w:type="dxa"/>
          </w:tcPr>
          <w:p w14:paraId="289AB7C2" w14:textId="77777777" w:rsidR="002C0FD9" w:rsidRPr="00CA25CF" w:rsidRDefault="002C0FD9" w:rsidP="00CA25CF">
            <w:pPr>
              <w:rPr>
                <w:rFonts w:cs="Arial"/>
                <w:color w:val="FF0000"/>
                <w:sz w:val="21"/>
                <w:szCs w:val="21"/>
              </w:rPr>
            </w:pPr>
          </w:p>
        </w:tc>
        <w:tc>
          <w:tcPr>
            <w:tcW w:w="217" w:type="dxa"/>
          </w:tcPr>
          <w:p w14:paraId="5288473F" w14:textId="77777777" w:rsidR="002C0FD9" w:rsidRPr="00CA25CF" w:rsidRDefault="002C0FD9" w:rsidP="00CA25CF">
            <w:pPr>
              <w:rPr>
                <w:rFonts w:cs="Arial"/>
                <w:color w:val="FF0000"/>
                <w:sz w:val="21"/>
                <w:szCs w:val="21"/>
              </w:rPr>
            </w:pPr>
          </w:p>
        </w:tc>
        <w:tc>
          <w:tcPr>
            <w:tcW w:w="217" w:type="dxa"/>
          </w:tcPr>
          <w:p w14:paraId="51221773" w14:textId="77777777" w:rsidR="002C0FD9" w:rsidRPr="00CA25CF" w:rsidRDefault="002C0FD9" w:rsidP="00CA25CF">
            <w:pPr>
              <w:rPr>
                <w:rFonts w:cs="Arial"/>
                <w:color w:val="FF0000"/>
                <w:sz w:val="21"/>
                <w:szCs w:val="21"/>
              </w:rPr>
            </w:pPr>
          </w:p>
        </w:tc>
        <w:tc>
          <w:tcPr>
            <w:tcW w:w="217" w:type="dxa"/>
          </w:tcPr>
          <w:p w14:paraId="23EA6F45" w14:textId="77777777" w:rsidR="002C0FD9" w:rsidRPr="00CA25CF" w:rsidRDefault="002C0FD9" w:rsidP="00CA25CF">
            <w:pPr>
              <w:rPr>
                <w:rFonts w:cs="Arial"/>
                <w:color w:val="FF0000"/>
                <w:sz w:val="21"/>
                <w:szCs w:val="21"/>
              </w:rPr>
            </w:pPr>
          </w:p>
        </w:tc>
        <w:tc>
          <w:tcPr>
            <w:tcW w:w="217" w:type="dxa"/>
          </w:tcPr>
          <w:p w14:paraId="73BB7165" w14:textId="77777777" w:rsidR="002C0FD9" w:rsidRPr="00CA25CF" w:rsidRDefault="002C0FD9" w:rsidP="00CA25CF">
            <w:pPr>
              <w:rPr>
                <w:rFonts w:cs="Arial"/>
                <w:color w:val="FF0000"/>
                <w:sz w:val="21"/>
                <w:szCs w:val="21"/>
              </w:rPr>
            </w:pPr>
          </w:p>
        </w:tc>
        <w:tc>
          <w:tcPr>
            <w:tcW w:w="217" w:type="dxa"/>
          </w:tcPr>
          <w:p w14:paraId="78FA2CE5" w14:textId="77777777" w:rsidR="002C0FD9" w:rsidRPr="00CA25CF" w:rsidRDefault="002C0FD9" w:rsidP="00CA25CF">
            <w:pPr>
              <w:rPr>
                <w:rFonts w:cs="Arial"/>
                <w:color w:val="FF0000"/>
                <w:sz w:val="21"/>
                <w:szCs w:val="21"/>
              </w:rPr>
            </w:pPr>
          </w:p>
        </w:tc>
        <w:tc>
          <w:tcPr>
            <w:tcW w:w="217" w:type="dxa"/>
          </w:tcPr>
          <w:p w14:paraId="30993B1D" w14:textId="77777777" w:rsidR="002C0FD9" w:rsidRPr="00CA25CF" w:rsidRDefault="002C0FD9" w:rsidP="00CA25CF">
            <w:pPr>
              <w:rPr>
                <w:rFonts w:cs="Arial"/>
                <w:color w:val="FF0000"/>
                <w:sz w:val="21"/>
                <w:szCs w:val="21"/>
              </w:rPr>
            </w:pPr>
          </w:p>
        </w:tc>
        <w:tc>
          <w:tcPr>
            <w:tcW w:w="217" w:type="dxa"/>
          </w:tcPr>
          <w:p w14:paraId="017D8CFF" w14:textId="77777777" w:rsidR="002C0FD9" w:rsidRPr="00CA25CF" w:rsidRDefault="002C0FD9" w:rsidP="00CA25CF">
            <w:pPr>
              <w:rPr>
                <w:rFonts w:cs="Arial"/>
                <w:color w:val="FF0000"/>
                <w:sz w:val="21"/>
                <w:szCs w:val="21"/>
              </w:rPr>
            </w:pPr>
          </w:p>
        </w:tc>
        <w:tc>
          <w:tcPr>
            <w:tcW w:w="217" w:type="dxa"/>
          </w:tcPr>
          <w:p w14:paraId="4896D4B9" w14:textId="77777777" w:rsidR="002C0FD9" w:rsidRPr="00CA25CF" w:rsidRDefault="002C0FD9" w:rsidP="00CA25CF">
            <w:pPr>
              <w:rPr>
                <w:rFonts w:cs="Arial"/>
                <w:color w:val="FF0000"/>
                <w:sz w:val="21"/>
                <w:szCs w:val="21"/>
              </w:rPr>
            </w:pPr>
          </w:p>
        </w:tc>
        <w:tc>
          <w:tcPr>
            <w:tcW w:w="217" w:type="dxa"/>
          </w:tcPr>
          <w:p w14:paraId="5D6B9EFD" w14:textId="77777777" w:rsidR="002C0FD9" w:rsidRPr="00CA25CF" w:rsidRDefault="002C0FD9" w:rsidP="00CA25CF">
            <w:pPr>
              <w:rPr>
                <w:rFonts w:cs="Arial"/>
                <w:color w:val="FF0000"/>
                <w:sz w:val="21"/>
                <w:szCs w:val="21"/>
              </w:rPr>
            </w:pPr>
          </w:p>
        </w:tc>
        <w:tc>
          <w:tcPr>
            <w:tcW w:w="217" w:type="dxa"/>
          </w:tcPr>
          <w:p w14:paraId="04BF36CA" w14:textId="77777777" w:rsidR="002C0FD9" w:rsidRPr="00CA25CF" w:rsidRDefault="002C0FD9" w:rsidP="00CA25CF">
            <w:pPr>
              <w:rPr>
                <w:rFonts w:cs="Arial"/>
                <w:color w:val="FF0000"/>
                <w:sz w:val="21"/>
                <w:szCs w:val="21"/>
              </w:rPr>
            </w:pPr>
          </w:p>
        </w:tc>
        <w:tc>
          <w:tcPr>
            <w:tcW w:w="217" w:type="dxa"/>
          </w:tcPr>
          <w:p w14:paraId="36A5A5EC" w14:textId="77777777" w:rsidR="002C0FD9" w:rsidRPr="00CA25CF" w:rsidRDefault="002C0FD9" w:rsidP="00CA25CF">
            <w:pPr>
              <w:rPr>
                <w:rFonts w:cs="Arial"/>
                <w:color w:val="FF0000"/>
                <w:sz w:val="21"/>
                <w:szCs w:val="21"/>
              </w:rPr>
            </w:pPr>
          </w:p>
        </w:tc>
        <w:tc>
          <w:tcPr>
            <w:tcW w:w="217" w:type="dxa"/>
          </w:tcPr>
          <w:p w14:paraId="0BDB0D9A" w14:textId="77777777" w:rsidR="002C0FD9" w:rsidRPr="00CA25CF" w:rsidRDefault="002C0FD9" w:rsidP="00CA25CF">
            <w:pPr>
              <w:rPr>
                <w:rFonts w:cs="Arial"/>
                <w:color w:val="FF0000"/>
                <w:sz w:val="21"/>
                <w:szCs w:val="21"/>
              </w:rPr>
            </w:pPr>
          </w:p>
        </w:tc>
        <w:tc>
          <w:tcPr>
            <w:tcW w:w="217" w:type="dxa"/>
          </w:tcPr>
          <w:p w14:paraId="6DA58FA1" w14:textId="77777777" w:rsidR="002C0FD9" w:rsidRPr="00CA25CF" w:rsidRDefault="002C0FD9" w:rsidP="00CA25CF">
            <w:pPr>
              <w:rPr>
                <w:rFonts w:cs="Arial"/>
                <w:color w:val="FF0000"/>
                <w:sz w:val="21"/>
                <w:szCs w:val="21"/>
              </w:rPr>
            </w:pPr>
          </w:p>
        </w:tc>
        <w:tc>
          <w:tcPr>
            <w:tcW w:w="217" w:type="dxa"/>
          </w:tcPr>
          <w:p w14:paraId="038406A8" w14:textId="77777777" w:rsidR="002C0FD9" w:rsidRPr="00CA25CF" w:rsidRDefault="002C0FD9" w:rsidP="00CA25CF">
            <w:pPr>
              <w:rPr>
                <w:rFonts w:cs="Arial"/>
                <w:color w:val="FF0000"/>
                <w:sz w:val="21"/>
                <w:szCs w:val="21"/>
              </w:rPr>
            </w:pPr>
          </w:p>
        </w:tc>
        <w:tc>
          <w:tcPr>
            <w:tcW w:w="217" w:type="dxa"/>
          </w:tcPr>
          <w:p w14:paraId="7B00158C" w14:textId="77777777" w:rsidR="002C0FD9" w:rsidRPr="00CA25CF" w:rsidRDefault="002C0FD9" w:rsidP="00CA25CF">
            <w:pPr>
              <w:rPr>
                <w:rFonts w:cs="Arial"/>
                <w:color w:val="FF0000"/>
                <w:sz w:val="21"/>
                <w:szCs w:val="21"/>
              </w:rPr>
            </w:pPr>
          </w:p>
        </w:tc>
        <w:tc>
          <w:tcPr>
            <w:tcW w:w="217" w:type="dxa"/>
          </w:tcPr>
          <w:p w14:paraId="4D4796BE" w14:textId="77777777" w:rsidR="002C0FD9" w:rsidRPr="00CA25CF" w:rsidRDefault="002C0FD9" w:rsidP="00CA25CF">
            <w:pPr>
              <w:rPr>
                <w:rFonts w:cs="Arial"/>
                <w:color w:val="FF0000"/>
                <w:sz w:val="21"/>
                <w:szCs w:val="21"/>
              </w:rPr>
            </w:pPr>
          </w:p>
        </w:tc>
        <w:tc>
          <w:tcPr>
            <w:tcW w:w="217" w:type="dxa"/>
          </w:tcPr>
          <w:p w14:paraId="4E6ECCAA" w14:textId="77777777" w:rsidR="002C0FD9" w:rsidRPr="00CA25CF" w:rsidRDefault="002C0FD9" w:rsidP="00CA25CF">
            <w:pPr>
              <w:rPr>
                <w:rFonts w:cs="Arial"/>
                <w:color w:val="FF0000"/>
                <w:sz w:val="21"/>
                <w:szCs w:val="21"/>
              </w:rPr>
            </w:pPr>
          </w:p>
        </w:tc>
        <w:tc>
          <w:tcPr>
            <w:tcW w:w="217" w:type="dxa"/>
          </w:tcPr>
          <w:p w14:paraId="0BAE8734" w14:textId="77777777" w:rsidR="002C0FD9" w:rsidRPr="00CA25CF" w:rsidRDefault="002C0FD9" w:rsidP="00CA25CF">
            <w:pPr>
              <w:rPr>
                <w:rFonts w:cs="Arial"/>
                <w:color w:val="FF0000"/>
                <w:sz w:val="21"/>
                <w:szCs w:val="21"/>
              </w:rPr>
            </w:pPr>
          </w:p>
        </w:tc>
        <w:tc>
          <w:tcPr>
            <w:tcW w:w="217" w:type="dxa"/>
          </w:tcPr>
          <w:p w14:paraId="41858984" w14:textId="77777777" w:rsidR="002C0FD9" w:rsidRPr="00CA25CF" w:rsidRDefault="002C0FD9" w:rsidP="00CA25CF">
            <w:pPr>
              <w:rPr>
                <w:rFonts w:cs="Arial"/>
                <w:color w:val="FF0000"/>
                <w:sz w:val="21"/>
                <w:szCs w:val="21"/>
              </w:rPr>
            </w:pPr>
          </w:p>
        </w:tc>
      </w:tr>
      <w:tr w:rsidR="002C0FD9" w:rsidRPr="00A16219" w14:paraId="526F8783" w14:textId="77777777" w:rsidTr="002C0FD9">
        <w:trPr>
          <w:trHeight w:val="635"/>
        </w:trPr>
        <w:tc>
          <w:tcPr>
            <w:tcW w:w="515" w:type="dxa"/>
          </w:tcPr>
          <w:p w14:paraId="0DC6A177" w14:textId="77777777" w:rsidR="002C0FD9" w:rsidRPr="00CA25CF" w:rsidRDefault="002C0FD9" w:rsidP="00CA25CF">
            <w:pPr>
              <w:rPr>
                <w:rFonts w:cs="Arial"/>
                <w:color w:val="FF0000"/>
                <w:sz w:val="21"/>
                <w:szCs w:val="21"/>
              </w:rPr>
            </w:pPr>
          </w:p>
        </w:tc>
        <w:tc>
          <w:tcPr>
            <w:tcW w:w="217" w:type="dxa"/>
          </w:tcPr>
          <w:p w14:paraId="182CFAD8" w14:textId="77777777" w:rsidR="002C0FD9" w:rsidRPr="00CA25CF" w:rsidRDefault="002C0FD9" w:rsidP="00CA25CF">
            <w:pPr>
              <w:rPr>
                <w:rFonts w:cs="Arial"/>
                <w:color w:val="FF0000"/>
                <w:sz w:val="21"/>
                <w:szCs w:val="21"/>
              </w:rPr>
            </w:pPr>
          </w:p>
        </w:tc>
        <w:tc>
          <w:tcPr>
            <w:tcW w:w="217" w:type="dxa"/>
          </w:tcPr>
          <w:p w14:paraId="109FF52E" w14:textId="77777777" w:rsidR="002C0FD9" w:rsidRPr="00CA25CF" w:rsidRDefault="002C0FD9" w:rsidP="00CA25CF">
            <w:pPr>
              <w:rPr>
                <w:rFonts w:cs="Arial"/>
                <w:color w:val="FF0000"/>
                <w:sz w:val="21"/>
                <w:szCs w:val="21"/>
              </w:rPr>
            </w:pPr>
          </w:p>
        </w:tc>
        <w:tc>
          <w:tcPr>
            <w:tcW w:w="217" w:type="dxa"/>
          </w:tcPr>
          <w:p w14:paraId="638DAED7" w14:textId="77777777" w:rsidR="002C0FD9" w:rsidRPr="00CA25CF" w:rsidRDefault="002C0FD9" w:rsidP="00CA25CF">
            <w:pPr>
              <w:rPr>
                <w:rFonts w:cs="Arial"/>
                <w:color w:val="FF0000"/>
                <w:sz w:val="21"/>
                <w:szCs w:val="21"/>
              </w:rPr>
            </w:pPr>
          </w:p>
        </w:tc>
        <w:tc>
          <w:tcPr>
            <w:tcW w:w="217" w:type="dxa"/>
          </w:tcPr>
          <w:p w14:paraId="4D7952BC" w14:textId="77777777" w:rsidR="002C0FD9" w:rsidRPr="00CA25CF" w:rsidRDefault="002C0FD9" w:rsidP="00CA25CF">
            <w:pPr>
              <w:rPr>
                <w:rFonts w:cs="Arial"/>
                <w:color w:val="FF0000"/>
                <w:sz w:val="21"/>
                <w:szCs w:val="21"/>
              </w:rPr>
            </w:pPr>
          </w:p>
        </w:tc>
        <w:tc>
          <w:tcPr>
            <w:tcW w:w="217" w:type="dxa"/>
          </w:tcPr>
          <w:p w14:paraId="4267CDF7" w14:textId="77777777" w:rsidR="002C0FD9" w:rsidRPr="00CA25CF" w:rsidRDefault="002C0FD9" w:rsidP="00CA25CF">
            <w:pPr>
              <w:rPr>
                <w:rFonts w:cs="Arial"/>
                <w:color w:val="FF0000"/>
                <w:sz w:val="21"/>
                <w:szCs w:val="21"/>
              </w:rPr>
            </w:pPr>
          </w:p>
        </w:tc>
        <w:tc>
          <w:tcPr>
            <w:tcW w:w="217" w:type="dxa"/>
          </w:tcPr>
          <w:p w14:paraId="23554424" w14:textId="77777777" w:rsidR="002C0FD9" w:rsidRPr="00CA25CF" w:rsidRDefault="002C0FD9" w:rsidP="00CA25CF">
            <w:pPr>
              <w:rPr>
                <w:rFonts w:cs="Arial"/>
                <w:color w:val="FF0000"/>
                <w:sz w:val="21"/>
                <w:szCs w:val="21"/>
              </w:rPr>
            </w:pPr>
          </w:p>
        </w:tc>
        <w:tc>
          <w:tcPr>
            <w:tcW w:w="217" w:type="dxa"/>
          </w:tcPr>
          <w:p w14:paraId="1923D087" w14:textId="77777777" w:rsidR="002C0FD9" w:rsidRPr="00CA25CF" w:rsidRDefault="002C0FD9" w:rsidP="00CA25CF">
            <w:pPr>
              <w:rPr>
                <w:rFonts w:cs="Arial"/>
                <w:color w:val="FF0000"/>
                <w:sz w:val="21"/>
                <w:szCs w:val="21"/>
              </w:rPr>
            </w:pPr>
          </w:p>
        </w:tc>
        <w:tc>
          <w:tcPr>
            <w:tcW w:w="217" w:type="dxa"/>
          </w:tcPr>
          <w:p w14:paraId="0E038E68" w14:textId="77777777" w:rsidR="002C0FD9" w:rsidRPr="00CA25CF" w:rsidRDefault="002C0FD9" w:rsidP="00CA25CF">
            <w:pPr>
              <w:rPr>
                <w:rFonts w:cs="Arial"/>
                <w:color w:val="FF0000"/>
                <w:sz w:val="21"/>
                <w:szCs w:val="21"/>
              </w:rPr>
            </w:pPr>
          </w:p>
        </w:tc>
        <w:tc>
          <w:tcPr>
            <w:tcW w:w="217" w:type="dxa"/>
          </w:tcPr>
          <w:p w14:paraId="397AEA92" w14:textId="77777777" w:rsidR="002C0FD9" w:rsidRPr="00CA25CF" w:rsidRDefault="002C0FD9" w:rsidP="00CA25CF">
            <w:pPr>
              <w:rPr>
                <w:rFonts w:cs="Arial"/>
                <w:color w:val="FF0000"/>
                <w:sz w:val="21"/>
                <w:szCs w:val="21"/>
              </w:rPr>
            </w:pPr>
          </w:p>
        </w:tc>
        <w:tc>
          <w:tcPr>
            <w:tcW w:w="217" w:type="dxa"/>
          </w:tcPr>
          <w:p w14:paraId="3B85C51F" w14:textId="77777777" w:rsidR="002C0FD9" w:rsidRPr="00CA25CF" w:rsidRDefault="002C0FD9" w:rsidP="00CA25CF">
            <w:pPr>
              <w:rPr>
                <w:rFonts w:cs="Arial"/>
                <w:color w:val="FF0000"/>
                <w:sz w:val="21"/>
                <w:szCs w:val="21"/>
              </w:rPr>
            </w:pPr>
          </w:p>
        </w:tc>
        <w:tc>
          <w:tcPr>
            <w:tcW w:w="217" w:type="dxa"/>
          </w:tcPr>
          <w:p w14:paraId="15E80730" w14:textId="77777777" w:rsidR="002C0FD9" w:rsidRPr="00CA25CF" w:rsidRDefault="002C0FD9" w:rsidP="00CA25CF">
            <w:pPr>
              <w:rPr>
                <w:rFonts w:cs="Arial"/>
                <w:color w:val="FF0000"/>
                <w:sz w:val="21"/>
                <w:szCs w:val="21"/>
              </w:rPr>
            </w:pPr>
          </w:p>
        </w:tc>
        <w:tc>
          <w:tcPr>
            <w:tcW w:w="217" w:type="dxa"/>
          </w:tcPr>
          <w:p w14:paraId="01687683" w14:textId="77777777" w:rsidR="002C0FD9" w:rsidRPr="00CA25CF" w:rsidRDefault="002C0FD9" w:rsidP="00CA25CF">
            <w:pPr>
              <w:rPr>
                <w:rFonts w:cs="Arial"/>
                <w:color w:val="FF0000"/>
                <w:sz w:val="21"/>
                <w:szCs w:val="21"/>
              </w:rPr>
            </w:pPr>
          </w:p>
        </w:tc>
        <w:tc>
          <w:tcPr>
            <w:tcW w:w="217" w:type="dxa"/>
          </w:tcPr>
          <w:p w14:paraId="1F972A4D" w14:textId="77777777" w:rsidR="002C0FD9" w:rsidRPr="00CA25CF" w:rsidRDefault="002C0FD9" w:rsidP="00CA25CF">
            <w:pPr>
              <w:rPr>
                <w:rFonts w:cs="Arial"/>
                <w:color w:val="FF0000"/>
                <w:sz w:val="21"/>
                <w:szCs w:val="21"/>
              </w:rPr>
            </w:pPr>
          </w:p>
        </w:tc>
        <w:tc>
          <w:tcPr>
            <w:tcW w:w="217" w:type="dxa"/>
          </w:tcPr>
          <w:p w14:paraId="053E93FC" w14:textId="77777777" w:rsidR="002C0FD9" w:rsidRPr="00CA25CF" w:rsidRDefault="002C0FD9" w:rsidP="00CA25CF">
            <w:pPr>
              <w:rPr>
                <w:rFonts w:cs="Arial"/>
                <w:color w:val="FF0000"/>
                <w:sz w:val="21"/>
                <w:szCs w:val="21"/>
              </w:rPr>
            </w:pPr>
          </w:p>
        </w:tc>
        <w:tc>
          <w:tcPr>
            <w:tcW w:w="217" w:type="dxa"/>
          </w:tcPr>
          <w:p w14:paraId="4CBFD884" w14:textId="77777777" w:rsidR="002C0FD9" w:rsidRPr="00CA25CF" w:rsidRDefault="002C0FD9" w:rsidP="00CA25CF">
            <w:pPr>
              <w:rPr>
                <w:rFonts w:cs="Arial"/>
                <w:color w:val="FF0000"/>
                <w:sz w:val="21"/>
                <w:szCs w:val="21"/>
              </w:rPr>
            </w:pPr>
          </w:p>
        </w:tc>
        <w:tc>
          <w:tcPr>
            <w:tcW w:w="217" w:type="dxa"/>
          </w:tcPr>
          <w:p w14:paraId="76E2175B" w14:textId="77777777" w:rsidR="002C0FD9" w:rsidRPr="00CA25CF" w:rsidRDefault="002C0FD9" w:rsidP="00CA25CF">
            <w:pPr>
              <w:rPr>
                <w:rFonts w:cs="Arial"/>
                <w:color w:val="FF0000"/>
                <w:sz w:val="21"/>
                <w:szCs w:val="21"/>
              </w:rPr>
            </w:pPr>
          </w:p>
        </w:tc>
        <w:tc>
          <w:tcPr>
            <w:tcW w:w="217" w:type="dxa"/>
          </w:tcPr>
          <w:p w14:paraId="5AA6E6A8" w14:textId="77777777" w:rsidR="002C0FD9" w:rsidRPr="00CA25CF" w:rsidRDefault="002C0FD9" w:rsidP="00CA25CF">
            <w:pPr>
              <w:rPr>
                <w:rFonts w:cs="Arial"/>
                <w:color w:val="FF0000"/>
                <w:sz w:val="21"/>
                <w:szCs w:val="21"/>
              </w:rPr>
            </w:pPr>
          </w:p>
        </w:tc>
        <w:tc>
          <w:tcPr>
            <w:tcW w:w="217" w:type="dxa"/>
          </w:tcPr>
          <w:p w14:paraId="4FEBAAC0" w14:textId="77777777" w:rsidR="002C0FD9" w:rsidRPr="00CA25CF" w:rsidRDefault="002C0FD9" w:rsidP="00CA25CF">
            <w:pPr>
              <w:rPr>
                <w:rFonts w:cs="Arial"/>
                <w:color w:val="FF0000"/>
                <w:sz w:val="21"/>
                <w:szCs w:val="21"/>
              </w:rPr>
            </w:pPr>
          </w:p>
        </w:tc>
        <w:tc>
          <w:tcPr>
            <w:tcW w:w="217" w:type="dxa"/>
          </w:tcPr>
          <w:p w14:paraId="1F025AEC" w14:textId="77777777" w:rsidR="002C0FD9" w:rsidRPr="00CA25CF" w:rsidRDefault="002C0FD9" w:rsidP="00CA25CF">
            <w:pPr>
              <w:rPr>
                <w:rFonts w:cs="Arial"/>
                <w:color w:val="FF0000"/>
                <w:sz w:val="21"/>
                <w:szCs w:val="21"/>
              </w:rPr>
            </w:pPr>
          </w:p>
        </w:tc>
        <w:tc>
          <w:tcPr>
            <w:tcW w:w="217" w:type="dxa"/>
          </w:tcPr>
          <w:p w14:paraId="3866DB0A" w14:textId="77777777" w:rsidR="002C0FD9" w:rsidRPr="00CA25CF" w:rsidRDefault="002C0FD9" w:rsidP="00CA25CF">
            <w:pPr>
              <w:rPr>
                <w:rFonts w:cs="Arial"/>
                <w:color w:val="FF0000"/>
                <w:sz w:val="21"/>
                <w:szCs w:val="21"/>
              </w:rPr>
            </w:pPr>
          </w:p>
        </w:tc>
        <w:tc>
          <w:tcPr>
            <w:tcW w:w="217" w:type="dxa"/>
          </w:tcPr>
          <w:p w14:paraId="5CEDD729" w14:textId="77777777" w:rsidR="002C0FD9" w:rsidRPr="00CA25CF" w:rsidRDefault="002C0FD9" w:rsidP="00CA25CF">
            <w:pPr>
              <w:rPr>
                <w:rFonts w:cs="Arial"/>
                <w:color w:val="FF0000"/>
                <w:sz w:val="21"/>
                <w:szCs w:val="21"/>
              </w:rPr>
            </w:pPr>
          </w:p>
        </w:tc>
        <w:tc>
          <w:tcPr>
            <w:tcW w:w="217" w:type="dxa"/>
          </w:tcPr>
          <w:p w14:paraId="2B643981" w14:textId="77777777" w:rsidR="002C0FD9" w:rsidRPr="00CA25CF" w:rsidRDefault="002C0FD9" w:rsidP="00CA25CF">
            <w:pPr>
              <w:rPr>
                <w:rFonts w:cs="Arial"/>
                <w:color w:val="FF0000"/>
                <w:sz w:val="21"/>
                <w:szCs w:val="21"/>
              </w:rPr>
            </w:pPr>
          </w:p>
        </w:tc>
        <w:tc>
          <w:tcPr>
            <w:tcW w:w="217" w:type="dxa"/>
          </w:tcPr>
          <w:p w14:paraId="3EFEDC23" w14:textId="77777777" w:rsidR="002C0FD9" w:rsidRPr="00CA25CF" w:rsidRDefault="002C0FD9" w:rsidP="00CA25CF">
            <w:pPr>
              <w:rPr>
                <w:rFonts w:cs="Arial"/>
                <w:color w:val="FF0000"/>
                <w:sz w:val="21"/>
                <w:szCs w:val="21"/>
              </w:rPr>
            </w:pPr>
          </w:p>
        </w:tc>
        <w:tc>
          <w:tcPr>
            <w:tcW w:w="217" w:type="dxa"/>
          </w:tcPr>
          <w:p w14:paraId="524FEF20" w14:textId="77777777" w:rsidR="002C0FD9" w:rsidRPr="00CA25CF" w:rsidRDefault="002C0FD9" w:rsidP="00CA25CF">
            <w:pPr>
              <w:rPr>
                <w:rFonts w:cs="Arial"/>
                <w:color w:val="FF0000"/>
                <w:sz w:val="21"/>
                <w:szCs w:val="21"/>
              </w:rPr>
            </w:pPr>
          </w:p>
        </w:tc>
        <w:tc>
          <w:tcPr>
            <w:tcW w:w="217" w:type="dxa"/>
          </w:tcPr>
          <w:p w14:paraId="5F95723E" w14:textId="77777777" w:rsidR="002C0FD9" w:rsidRPr="00CA25CF" w:rsidRDefault="002C0FD9" w:rsidP="00CA25CF">
            <w:pPr>
              <w:rPr>
                <w:rFonts w:cs="Arial"/>
                <w:color w:val="FF0000"/>
                <w:sz w:val="21"/>
                <w:szCs w:val="21"/>
              </w:rPr>
            </w:pPr>
          </w:p>
        </w:tc>
        <w:tc>
          <w:tcPr>
            <w:tcW w:w="217" w:type="dxa"/>
          </w:tcPr>
          <w:p w14:paraId="034CA9A4" w14:textId="77777777" w:rsidR="002C0FD9" w:rsidRPr="00CA25CF" w:rsidRDefault="002C0FD9" w:rsidP="00CA25CF">
            <w:pPr>
              <w:rPr>
                <w:rFonts w:cs="Arial"/>
                <w:color w:val="FF0000"/>
                <w:sz w:val="21"/>
                <w:szCs w:val="21"/>
              </w:rPr>
            </w:pPr>
          </w:p>
        </w:tc>
        <w:tc>
          <w:tcPr>
            <w:tcW w:w="217" w:type="dxa"/>
          </w:tcPr>
          <w:p w14:paraId="2F14A862" w14:textId="77777777" w:rsidR="002C0FD9" w:rsidRPr="00CA25CF" w:rsidRDefault="002C0FD9" w:rsidP="00CA25CF">
            <w:pPr>
              <w:rPr>
                <w:rFonts w:cs="Arial"/>
                <w:color w:val="FF0000"/>
                <w:sz w:val="21"/>
                <w:szCs w:val="21"/>
              </w:rPr>
            </w:pPr>
          </w:p>
        </w:tc>
        <w:tc>
          <w:tcPr>
            <w:tcW w:w="217" w:type="dxa"/>
          </w:tcPr>
          <w:p w14:paraId="468C8D19" w14:textId="77777777" w:rsidR="002C0FD9" w:rsidRPr="00CA25CF" w:rsidRDefault="002C0FD9" w:rsidP="00CA25CF">
            <w:pPr>
              <w:rPr>
                <w:rFonts w:cs="Arial"/>
                <w:color w:val="FF0000"/>
                <w:sz w:val="21"/>
                <w:szCs w:val="21"/>
              </w:rPr>
            </w:pPr>
          </w:p>
        </w:tc>
        <w:tc>
          <w:tcPr>
            <w:tcW w:w="217" w:type="dxa"/>
          </w:tcPr>
          <w:p w14:paraId="190DCC3B" w14:textId="77777777" w:rsidR="002C0FD9" w:rsidRPr="00CA25CF" w:rsidRDefault="002C0FD9" w:rsidP="00CA25CF">
            <w:pPr>
              <w:rPr>
                <w:rFonts w:cs="Arial"/>
                <w:color w:val="FF0000"/>
                <w:sz w:val="21"/>
                <w:szCs w:val="21"/>
              </w:rPr>
            </w:pPr>
          </w:p>
        </w:tc>
        <w:tc>
          <w:tcPr>
            <w:tcW w:w="217" w:type="dxa"/>
          </w:tcPr>
          <w:p w14:paraId="4160A63C" w14:textId="77777777" w:rsidR="002C0FD9" w:rsidRPr="00CA25CF" w:rsidRDefault="002C0FD9" w:rsidP="00CA25CF">
            <w:pPr>
              <w:rPr>
                <w:rFonts w:cs="Arial"/>
                <w:color w:val="FF0000"/>
                <w:sz w:val="21"/>
                <w:szCs w:val="21"/>
              </w:rPr>
            </w:pPr>
          </w:p>
        </w:tc>
        <w:tc>
          <w:tcPr>
            <w:tcW w:w="217" w:type="dxa"/>
          </w:tcPr>
          <w:p w14:paraId="33D62B7B" w14:textId="77777777" w:rsidR="002C0FD9" w:rsidRPr="00CA25CF" w:rsidRDefault="002C0FD9" w:rsidP="00CA25CF">
            <w:pPr>
              <w:rPr>
                <w:rFonts w:cs="Arial"/>
                <w:color w:val="FF0000"/>
                <w:sz w:val="21"/>
                <w:szCs w:val="21"/>
              </w:rPr>
            </w:pPr>
          </w:p>
        </w:tc>
        <w:tc>
          <w:tcPr>
            <w:tcW w:w="217" w:type="dxa"/>
          </w:tcPr>
          <w:p w14:paraId="3A4EE5CD" w14:textId="77777777" w:rsidR="002C0FD9" w:rsidRPr="00CA25CF" w:rsidRDefault="002C0FD9" w:rsidP="00CA25CF">
            <w:pPr>
              <w:rPr>
                <w:rFonts w:cs="Arial"/>
                <w:color w:val="FF0000"/>
                <w:sz w:val="21"/>
                <w:szCs w:val="21"/>
              </w:rPr>
            </w:pPr>
          </w:p>
        </w:tc>
        <w:tc>
          <w:tcPr>
            <w:tcW w:w="217" w:type="dxa"/>
          </w:tcPr>
          <w:p w14:paraId="7FD2B453" w14:textId="77777777" w:rsidR="002C0FD9" w:rsidRPr="00CA25CF" w:rsidRDefault="002C0FD9" w:rsidP="00CA25CF">
            <w:pPr>
              <w:rPr>
                <w:rFonts w:cs="Arial"/>
                <w:color w:val="FF0000"/>
                <w:sz w:val="21"/>
                <w:szCs w:val="21"/>
              </w:rPr>
            </w:pPr>
          </w:p>
        </w:tc>
        <w:tc>
          <w:tcPr>
            <w:tcW w:w="217" w:type="dxa"/>
          </w:tcPr>
          <w:p w14:paraId="515CBF99" w14:textId="77777777" w:rsidR="002C0FD9" w:rsidRPr="00CA25CF" w:rsidRDefault="002C0FD9" w:rsidP="00CA25CF">
            <w:pPr>
              <w:rPr>
                <w:rFonts w:cs="Arial"/>
                <w:color w:val="FF0000"/>
                <w:sz w:val="21"/>
                <w:szCs w:val="21"/>
              </w:rPr>
            </w:pPr>
          </w:p>
        </w:tc>
        <w:tc>
          <w:tcPr>
            <w:tcW w:w="217" w:type="dxa"/>
          </w:tcPr>
          <w:p w14:paraId="6E2F3C8D" w14:textId="77777777" w:rsidR="002C0FD9" w:rsidRPr="00CA25CF" w:rsidRDefault="002C0FD9" w:rsidP="00CA25CF">
            <w:pPr>
              <w:rPr>
                <w:rFonts w:cs="Arial"/>
                <w:color w:val="FF0000"/>
                <w:sz w:val="21"/>
                <w:szCs w:val="21"/>
              </w:rPr>
            </w:pPr>
          </w:p>
        </w:tc>
        <w:tc>
          <w:tcPr>
            <w:tcW w:w="217" w:type="dxa"/>
          </w:tcPr>
          <w:p w14:paraId="2532E39C" w14:textId="77777777" w:rsidR="002C0FD9" w:rsidRPr="00CA25CF" w:rsidRDefault="002C0FD9" w:rsidP="00CA25CF">
            <w:pPr>
              <w:rPr>
                <w:rFonts w:cs="Arial"/>
                <w:color w:val="FF0000"/>
                <w:sz w:val="21"/>
                <w:szCs w:val="21"/>
              </w:rPr>
            </w:pPr>
          </w:p>
        </w:tc>
        <w:tc>
          <w:tcPr>
            <w:tcW w:w="217" w:type="dxa"/>
          </w:tcPr>
          <w:p w14:paraId="2C52B136" w14:textId="77777777" w:rsidR="002C0FD9" w:rsidRPr="00CA25CF" w:rsidRDefault="002C0FD9" w:rsidP="00CA25CF">
            <w:pPr>
              <w:rPr>
                <w:rFonts w:cs="Arial"/>
                <w:color w:val="FF0000"/>
                <w:sz w:val="21"/>
                <w:szCs w:val="21"/>
              </w:rPr>
            </w:pPr>
          </w:p>
        </w:tc>
        <w:tc>
          <w:tcPr>
            <w:tcW w:w="217" w:type="dxa"/>
          </w:tcPr>
          <w:p w14:paraId="7B6540C7" w14:textId="77777777" w:rsidR="002C0FD9" w:rsidRPr="00CA25CF" w:rsidRDefault="002C0FD9" w:rsidP="00CA25CF">
            <w:pPr>
              <w:rPr>
                <w:rFonts w:cs="Arial"/>
                <w:color w:val="FF0000"/>
                <w:sz w:val="21"/>
                <w:szCs w:val="21"/>
              </w:rPr>
            </w:pPr>
          </w:p>
        </w:tc>
        <w:tc>
          <w:tcPr>
            <w:tcW w:w="217" w:type="dxa"/>
          </w:tcPr>
          <w:p w14:paraId="7672FC2A" w14:textId="77777777" w:rsidR="002C0FD9" w:rsidRPr="00CA25CF" w:rsidRDefault="002C0FD9" w:rsidP="00CA25CF">
            <w:pPr>
              <w:rPr>
                <w:rFonts w:cs="Arial"/>
                <w:color w:val="FF0000"/>
                <w:sz w:val="21"/>
                <w:szCs w:val="21"/>
              </w:rPr>
            </w:pPr>
          </w:p>
        </w:tc>
        <w:tc>
          <w:tcPr>
            <w:tcW w:w="217" w:type="dxa"/>
          </w:tcPr>
          <w:p w14:paraId="3440CA6C" w14:textId="77777777" w:rsidR="002C0FD9" w:rsidRPr="00CA25CF" w:rsidRDefault="002C0FD9" w:rsidP="00CA25CF">
            <w:pPr>
              <w:rPr>
                <w:rFonts w:cs="Arial"/>
                <w:color w:val="FF0000"/>
                <w:sz w:val="21"/>
                <w:szCs w:val="21"/>
              </w:rPr>
            </w:pPr>
          </w:p>
        </w:tc>
        <w:tc>
          <w:tcPr>
            <w:tcW w:w="217" w:type="dxa"/>
          </w:tcPr>
          <w:p w14:paraId="34A2721E" w14:textId="77777777" w:rsidR="002C0FD9" w:rsidRPr="00CA25CF" w:rsidRDefault="002C0FD9" w:rsidP="00CA25CF">
            <w:pPr>
              <w:rPr>
                <w:rFonts w:cs="Arial"/>
                <w:color w:val="FF0000"/>
                <w:sz w:val="21"/>
                <w:szCs w:val="21"/>
              </w:rPr>
            </w:pPr>
          </w:p>
        </w:tc>
        <w:tc>
          <w:tcPr>
            <w:tcW w:w="217" w:type="dxa"/>
          </w:tcPr>
          <w:p w14:paraId="5700BD6B" w14:textId="77777777" w:rsidR="002C0FD9" w:rsidRPr="00CA25CF" w:rsidRDefault="002C0FD9" w:rsidP="00CA25CF">
            <w:pPr>
              <w:rPr>
                <w:rFonts w:cs="Arial"/>
                <w:color w:val="FF0000"/>
                <w:sz w:val="21"/>
                <w:szCs w:val="21"/>
              </w:rPr>
            </w:pPr>
          </w:p>
        </w:tc>
      </w:tr>
      <w:tr w:rsidR="002C0FD9" w:rsidRPr="00A16219" w14:paraId="62B38903" w14:textId="77777777" w:rsidTr="002C0FD9">
        <w:trPr>
          <w:trHeight w:val="635"/>
        </w:trPr>
        <w:tc>
          <w:tcPr>
            <w:tcW w:w="515" w:type="dxa"/>
          </w:tcPr>
          <w:p w14:paraId="1BAE9E09" w14:textId="77777777" w:rsidR="002C0FD9" w:rsidRPr="00CA25CF" w:rsidRDefault="002C0FD9" w:rsidP="00CA25CF">
            <w:pPr>
              <w:rPr>
                <w:rFonts w:cs="Arial"/>
                <w:color w:val="FF0000"/>
                <w:sz w:val="21"/>
                <w:szCs w:val="21"/>
              </w:rPr>
            </w:pPr>
          </w:p>
        </w:tc>
        <w:tc>
          <w:tcPr>
            <w:tcW w:w="217" w:type="dxa"/>
          </w:tcPr>
          <w:p w14:paraId="14F172E6" w14:textId="77777777" w:rsidR="002C0FD9" w:rsidRPr="00CA25CF" w:rsidRDefault="002C0FD9" w:rsidP="00CA25CF">
            <w:pPr>
              <w:rPr>
                <w:rFonts w:cs="Arial"/>
                <w:color w:val="FF0000"/>
                <w:sz w:val="21"/>
                <w:szCs w:val="21"/>
              </w:rPr>
            </w:pPr>
          </w:p>
        </w:tc>
        <w:tc>
          <w:tcPr>
            <w:tcW w:w="217" w:type="dxa"/>
          </w:tcPr>
          <w:p w14:paraId="0DD19ACE" w14:textId="77777777" w:rsidR="002C0FD9" w:rsidRPr="00CA25CF" w:rsidRDefault="002C0FD9" w:rsidP="00CA25CF">
            <w:pPr>
              <w:rPr>
                <w:rFonts w:cs="Arial"/>
                <w:color w:val="FF0000"/>
                <w:sz w:val="21"/>
                <w:szCs w:val="21"/>
              </w:rPr>
            </w:pPr>
          </w:p>
        </w:tc>
        <w:tc>
          <w:tcPr>
            <w:tcW w:w="217" w:type="dxa"/>
          </w:tcPr>
          <w:p w14:paraId="3D2C7B9F" w14:textId="77777777" w:rsidR="002C0FD9" w:rsidRPr="00CA25CF" w:rsidRDefault="002C0FD9" w:rsidP="00CA25CF">
            <w:pPr>
              <w:rPr>
                <w:rFonts w:cs="Arial"/>
                <w:color w:val="FF0000"/>
                <w:sz w:val="21"/>
                <w:szCs w:val="21"/>
              </w:rPr>
            </w:pPr>
          </w:p>
        </w:tc>
        <w:tc>
          <w:tcPr>
            <w:tcW w:w="217" w:type="dxa"/>
          </w:tcPr>
          <w:p w14:paraId="6E8F51BC" w14:textId="77777777" w:rsidR="002C0FD9" w:rsidRPr="00CA25CF" w:rsidRDefault="002C0FD9" w:rsidP="00CA25CF">
            <w:pPr>
              <w:rPr>
                <w:rFonts w:cs="Arial"/>
                <w:color w:val="FF0000"/>
                <w:sz w:val="21"/>
                <w:szCs w:val="21"/>
              </w:rPr>
            </w:pPr>
          </w:p>
        </w:tc>
        <w:tc>
          <w:tcPr>
            <w:tcW w:w="217" w:type="dxa"/>
          </w:tcPr>
          <w:p w14:paraId="0B3F845F" w14:textId="77777777" w:rsidR="002C0FD9" w:rsidRPr="00CA25CF" w:rsidRDefault="002C0FD9" w:rsidP="00CA25CF">
            <w:pPr>
              <w:rPr>
                <w:rFonts w:cs="Arial"/>
                <w:color w:val="FF0000"/>
                <w:sz w:val="21"/>
                <w:szCs w:val="21"/>
              </w:rPr>
            </w:pPr>
          </w:p>
        </w:tc>
        <w:tc>
          <w:tcPr>
            <w:tcW w:w="217" w:type="dxa"/>
          </w:tcPr>
          <w:p w14:paraId="1EC5F9B8" w14:textId="77777777" w:rsidR="002C0FD9" w:rsidRPr="00CA25CF" w:rsidRDefault="002C0FD9" w:rsidP="00CA25CF">
            <w:pPr>
              <w:rPr>
                <w:rFonts w:cs="Arial"/>
                <w:color w:val="FF0000"/>
                <w:sz w:val="21"/>
                <w:szCs w:val="21"/>
              </w:rPr>
            </w:pPr>
          </w:p>
        </w:tc>
        <w:tc>
          <w:tcPr>
            <w:tcW w:w="217" w:type="dxa"/>
          </w:tcPr>
          <w:p w14:paraId="2C09CD14" w14:textId="77777777" w:rsidR="002C0FD9" w:rsidRPr="00CA25CF" w:rsidRDefault="002C0FD9" w:rsidP="00CA25CF">
            <w:pPr>
              <w:rPr>
                <w:rFonts w:cs="Arial"/>
                <w:color w:val="FF0000"/>
                <w:sz w:val="21"/>
                <w:szCs w:val="21"/>
              </w:rPr>
            </w:pPr>
          </w:p>
        </w:tc>
        <w:tc>
          <w:tcPr>
            <w:tcW w:w="217" w:type="dxa"/>
          </w:tcPr>
          <w:p w14:paraId="0F0D4BD0" w14:textId="77777777" w:rsidR="002C0FD9" w:rsidRPr="00CA25CF" w:rsidRDefault="002C0FD9" w:rsidP="00CA25CF">
            <w:pPr>
              <w:rPr>
                <w:rFonts w:cs="Arial"/>
                <w:color w:val="FF0000"/>
                <w:sz w:val="21"/>
                <w:szCs w:val="21"/>
              </w:rPr>
            </w:pPr>
          </w:p>
        </w:tc>
        <w:tc>
          <w:tcPr>
            <w:tcW w:w="217" w:type="dxa"/>
          </w:tcPr>
          <w:p w14:paraId="0C223259" w14:textId="77777777" w:rsidR="002C0FD9" w:rsidRPr="00CA25CF" w:rsidRDefault="002C0FD9" w:rsidP="00CA25CF">
            <w:pPr>
              <w:rPr>
                <w:rFonts w:cs="Arial"/>
                <w:color w:val="FF0000"/>
                <w:sz w:val="21"/>
                <w:szCs w:val="21"/>
              </w:rPr>
            </w:pPr>
          </w:p>
        </w:tc>
        <w:tc>
          <w:tcPr>
            <w:tcW w:w="217" w:type="dxa"/>
          </w:tcPr>
          <w:p w14:paraId="16F23443" w14:textId="77777777" w:rsidR="002C0FD9" w:rsidRPr="00CA25CF" w:rsidRDefault="002C0FD9" w:rsidP="00CA25CF">
            <w:pPr>
              <w:rPr>
                <w:rFonts w:cs="Arial"/>
                <w:color w:val="FF0000"/>
                <w:sz w:val="21"/>
                <w:szCs w:val="21"/>
              </w:rPr>
            </w:pPr>
          </w:p>
        </w:tc>
        <w:tc>
          <w:tcPr>
            <w:tcW w:w="217" w:type="dxa"/>
          </w:tcPr>
          <w:p w14:paraId="64CB9D18" w14:textId="77777777" w:rsidR="002C0FD9" w:rsidRPr="00CA25CF" w:rsidRDefault="002C0FD9" w:rsidP="00CA25CF">
            <w:pPr>
              <w:rPr>
                <w:rFonts w:cs="Arial"/>
                <w:color w:val="FF0000"/>
                <w:sz w:val="21"/>
                <w:szCs w:val="21"/>
              </w:rPr>
            </w:pPr>
          </w:p>
        </w:tc>
        <w:tc>
          <w:tcPr>
            <w:tcW w:w="217" w:type="dxa"/>
          </w:tcPr>
          <w:p w14:paraId="725688BE" w14:textId="77777777" w:rsidR="002C0FD9" w:rsidRPr="00CA25CF" w:rsidRDefault="002C0FD9" w:rsidP="00CA25CF">
            <w:pPr>
              <w:rPr>
                <w:rFonts w:cs="Arial"/>
                <w:color w:val="FF0000"/>
                <w:sz w:val="21"/>
                <w:szCs w:val="21"/>
              </w:rPr>
            </w:pPr>
          </w:p>
        </w:tc>
        <w:tc>
          <w:tcPr>
            <w:tcW w:w="217" w:type="dxa"/>
          </w:tcPr>
          <w:p w14:paraId="7CC8D7DB" w14:textId="77777777" w:rsidR="002C0FD9" w:rsidRPr="00CA25CF" w:rsidRDefault="002C0FD9" w:rsidP="00CA25CF">
            <w:pPr>
              <w:rPr>
                <w:rFonts w:cs="Arial"/>
                <w:color w:val="FF0000"/>
                <w:sz w:val="21"/>
                <w:szCs w:val="21"/>
              </w:rPr>
            </w:pPr>
          </w:p>
        </w:tc>
        <w:tc>
          <w:tcPr>
            <w:tcW w:w="217" w:type="dxa"/>
          </w:tcPr>
          <w:p w14:paraId="400DEFE9" w14:textId="77777777" w:rsidR="002C0FD9" w:rsidRPr="00CA25CF" w:rsidRDefault="002C0FD9" w:rsidP="00CA25CF">
            <w:pPr>
              <w:rPr>
                <w:rFonts w:cs="Arial"/>
                <w:color w:val="FF0000"/>
                <w:sz w:val="21"/>
                <w:szCs w:val="21"/>
              </w:rPr>
            </w:pPr>
          </w:p>
        </w:tc>
        <w:tc>
          <w:tcPr>
            <w:tcW w:w="217" w:type="dxa"/>
          </w:tcPr>
          <w:p w14:paraId="71B98127" w14:textId="77777777" w:rsidR="002C0FD9" w:rsidRPr="00CA25CF" w:rsidRDefault="002C0FD9" w:rsidP="00CA25CF">
            <w:pPr>
              <w:rPr>
                <w:rFonts w:cs="Arial"/>
                <w:color w:val="FF0000"/>
                <w:sz w:val="21"/>
                <w:szCs w:val="21"/>
              </w:rPr>
            </w:pPr>
          </w:p>
        </w:tc>
        <w:tc>
          <w:tcPr>
            <w:tcW w:w="217" w:type="dxa"/>
          </w:tcPr>
          <w:p w14:paraId="749CA841" w14:textId="77777777" w:rsidR="002C0FD9" w:rsidRPr="00CA25CF" w:rsidRDefault="002C0FD9" w:rsidP="00CA25CF">
            <w:pPr>
              <w:rPr>
                <w:rFonts w:cs="Arial"/>
                <w:color w:val="FF0000"/>
                <w:sz w:val="21"/>
                <w:szCs w:val="21"/>
              </w:rPr>
            </w:pPr>
          </w:p>
        </w:tc>
        <w:tc>
          <w:tcPr>
            <w:tcW w:w="217" w:type="dxa"/>
          </w:tcPr>
          <w:p w14:paraId="38EFC5D1" w14:textId="77777777" w:rsidR="002C0FD9" w:rsidRPr="00CA25CF" w:rsidRDefault="002C0FD9" w:rsidP="00CA25CF">
            <w:pPr>
              <w:rPr>
                <w:rFonts w:cs="Arial"/>
                <w:color w:val="FF0000"/>
                <w:sz w:val="21"/>
                <w:szCs w:val="21"/>
              </w:rPr>
            </w:pPr>
          </w:p>
        </w:tc>
        <w:tc>
          <w:tcPr>
            <w:tcW w:w="217" w:type="dxa"/>
          </w:tcPr>
          <w:p w14:paraId="6184B4AC" w14:textId="77777777" w:rsidR="002C0FD9" w:rsidRPr="00CA25CF" w:rsidRDefault="002C0FD9" w:rsidP="00CA25CF">
            <w:pPr>
              <w:rPr>
                <w:rFonts w:cs="Arial"/>
                <w:color w:val="FF0000"/>
                <w:sz w:val="21"/>
                <w:szCs w:val="21"/>
              </w:rPr>
            </w:pPr>
          </w:p>
        </w:tc>
        <w:tc>
          <w:tcPr>
            <w:tcW w:w="217" w:type="dxa"/>
          </w:tcPr>
          <w:p w14:paraId="3B140AD8" w14:textId="77777777" w:rsidR="002C0FD9" w:rsidRPr="00CA25CF" w:rsidRDefault="002C0FD9" w:rsidP="00CA25CF">
            <w:pPr>
              <w:rPr>
                <w:rFonts w:cs="Arial"/>
                <w:color w:val="FF0000"/>
                <w:sz w:val="21"/>
                <w:szCs w:val="21"/>
              </w:rPr>
            </w:pPr>
          </w:p>
        </w:tc>
        <w:tc>
          <w:tcPr>
            <w:tcW w:w="217" w:type="dxa"/>
          </w:tcPr>
          <w:p w14:paraId="0AF0CA94" w14:textId="77777777" w:rsidR="002C0FD9" w:rsidRPr="00CA25CF" w:rsidRDefault="002C0FD9" w:rsidP="00CA25CF">
            <w:pPr>
              <w:rPr>
                <w:rFonts w:cs="Arial"/>
                <w:color w:val="FF0000"/>
                <w:sz w:val="21"/>
                <w:szCs w:val="21"/>
              </w:rPr>
            </w:pPr>
          </w:p>
        </w:tc>
        <w:tc>
          <w:tcPr>
            <w:tcW w:w="217" w:type="dxa"/>
          </w:tcPr>
          <w:p w14:paraId="52983587" w14:textId="77777777" w:rsidR="002C0FD9" w:rsidRPr="00CA25CF" w:rsidRDefault="002C0FD9" w:rsidP="00CA25CF">
            <w:pPr>
              <w:rPr>
                <w:rFonts w:cs="Arial"/>
                <w:color w:val="FF0000"/>
                <w:sz w:val="21"/>
                <w:szCs w:val="21"/>
              </w:rPr>
            </w:pPr>
          </w:p>
        </w:tc>
        <w:tc>
          <w:tcPr>
            <w:tcW w:w="217" w:type="dxa"/>
          </w:tcPr>
          <w:p w14:paraId="344A6ADD" w14:textId="77777777" w:rsidR="002C0FD9" w:rsidRPr="00CA25CF" w:rsidRDefault="002C0FD9" w:rsidP="00CA25CF">
            <w:pPr>
              <w:rPr>
                <w:rFonts w:cs="Arial"/>
                <w:color w:val="FF0000"/>
                <w:sz w:val="21"/>
                <w:szCs w:val="21"/>
              </w:rPr>
            </w:pPr>
          </w:p>
        </w:tc>
        <w:tc>
          <w:tcPr>
            <w:tcW w:w="217" w:type="dxa"/>
          </w:tcPr>
          <w:p w14:paraId="25F26C90" w14:textId="77777777" w:rsidR="002C0FD9" w:rsidRPr="00CA25CF" w:rsidRDefault="002C0FD9" w:rsidP="00CA25CF">
            <w:pPr>
              <w:rPr>
                <w:rFonts w:cs="Arial"/>
                <w:color w:val="FF0000"/>
                <w:sz w:val="21"/>
                <w:szCs w:val="21"/>
              </w:rPr>
            </w:pPr>
          </w:p>
        </w:tc>
        <w:tc>
          <w:tcPr>
            <w:tcW w:w="217" w:type="dxa"/>
          </w:tcPr>
          <w:p w14:paraId="603BA6B4" w14:textId="77777777" w:rsidR="002C0FD9" w:rsidRPr="00CA25CF" w:rsidRDefault="002C0FD9" w:rsidP="00CA25CF">
            <w:pPr>
              <w:rPr>
                <w:rFonts w:cs="Arial"/>
                <w:color w:val="FF0000"/>
                <w:sz w:val="21"/>
                <w:szCs w:val="21"/>
              </w:rPr>
            </w:pPr>
          </w:p>
        </w:tc>
        <w:tc>
          <w:tcPr>
            <w:tcW w:w="217" w:type="dxa"/>
          </w:tcPr>
          <w:p w14:paraId="6B7731C9" w14:textId="77777777" w:rsidR="002C0FD9" w:rsidRPr="00CA25CF" w:rsidRDefault="002C0FD9" w:rsidP="00CA25CF">
            <w:pPr>
              <w:rPr>
                <w:rFonts w:cs="Arial"/>
                <w:color w:val="FF0000"/>
                <w:sz w:val="21"/>
                <w:szCs w:val="21"/>
              </w:rPr>
            </w:pPr>
          </w:p>
        </w:tc>
        <w:tc>
          <w:tcPr>
            <w:tcW w:w="217" w:type="dxa"/>
          </w:tcPr>
          <w:p w14:paraId="56BDE986" w14:textId="77777777" w:rsidR="002C0FD9" w:rsidRPr="00CA25CF" w:rsidRDefault="002C0FD9" w:rsidP="00CA25CF">
            <w:pPr>
              <w:rPr>
                <w:rFonts w:cs="Arial"/>
                <w:color w:val="FF0000"/>
                <w:sz w:val="21"/>
                <w:szCs w:val="21"/>
              </w:rPr>
            </w:pPr>
          </w:p>
        </w:tc>
        <w:tc>
          <w:tcPr>
            <w:tcW w:w="217" w:type="dxa"/>
          </w:tcPr>
          <w:p w14:paraId="4EB49D1C" w14:textId="77777777" w:rsidR="002C0FD9" w:rsidRPr="00CA25CF" w:rsidRDefault="002C0FD9" w:rsidP="00CA25CF">
            <w:pPr>
              <w:rPr>
                <w:rFonts w:cs="Arial"/>
                <w:color w:val="FF0000"/>
                <w:sz w:val="21"/>
                <w:szCs w:val="21"/>
              </w:rPr>
            </w:pPr>
          </w:p>
        </w:tc>
        <w:tc>
          <w:tcPr>
            <w:tcW w:w="217" w:type="dxa"/>
          </w:tcPr>
          <w:p w14:paraId="01FC1670" w14:textId="77777777" w:rsidR="002C0FD9" w:rsidRPr="00CA25CF" w:rsidRDefault="002C0FD9" w:rsidP="00CA25CF">
            <w:pPr>
              <w:rPr>
                <w:rFonts w:cs="Arial"/>
                <w:color w:val="FF0000"/>
                <w:sz w:val="21"/>
                <w:szCs w:val="21"/>
              </w:rPr>
            </w:pPr>
          </w:p>
        </w:tc>
        <w:tc>
          <w:tcPr>
            <w:tcW w:w="217" w:type="dxa"/>
          </w:tcPr>
          <w:p w14:paraId="3EF5834E" w14:textId="77777777" w:rsidR="002C0FD9" w:rsidRPr="00CA25CF" w:rsidRDefault="002C0FD9" w:rsidP="00CA25CF">
            <w:pPr>
              <w:rPr>
                <w:rFonts w:cs="Arial"/>
                <w:color w:val="FF0000"/>
                <w:sz w:val="21"/>
                <w:szCs w:val="21"/>
              </w:rPr>
            </w:pPr>
          </w:p>
        </w:tc>
        <w:tc>
          <w:tcPr>
            <w:tcW w:w="217" w:type="dxa"/>
          </w:tcPr>
          <w:p w14:paraId="6BBB1F27" w14:textId="77777777" w:rsidR="002C0FD9" w:rsidRPr="00CA25CF" w:rsidRDefault="002C0FD9" w:rsidP="00CA25CF">
            <w:pPr>
              <w:rPr>
                <w:rFonts w:cs="Arial"/>
                <w:color w:val="FF0000"/>
                <w:sz w:val="21"/>
                <w:szCs w:val="21"/>
              </w:rPr>
            </w:pPr>
          </w:p>
        </w:tc>
        <w:tc>
          <w:tcPr>
            <w:tcW w:w="217" w:type="dxa"/>
          </w:tcPr>
          <w:p w14:paraId="04A70785" w14:textId="77777777" w:rsidR="002C0FD9" w:rsidRPr="00CA25CF" w:rsidRDefault="002C0FD9" w:rsidP="00CA25CF">
            <w:pPr>
              <w:rPr>
                <w:rFonts w:cs="Arial"/>
                <w:color w:val="FF0000"/>
                <w:sz w:val="21"/>
                <w:szCs w:val="21"/>
              </w:rPr>
            </w:pPr>
          </w:p>
        </w:tc>
        <w:tc>
          <w:tcPr>
            <w:tcW w:w="217" w:type="dxa"/>
          </w:tcPr>
          <w:p w14:paraId="16D81F75" w14:textId="77777777" w:rsidR="002C0FD9" w:rsidRPr="00CA25CF" w:rsidRDefault="002C0FD9" w:rsidP="00CA25CF">
            <w:pPr>
              <w:rPr>
                <w:rFonts w:cs="Arial"/>
                <w:color w:val="FF0000"/>
                <w:sz w:val="21"/>
                <w:szCs w:val="21"/>
              </w:rPr>
            </w:pPr>
          </w:p>
        </w:tc>
        <w:tc>
          <w:tcPr>
            <w:tcW w:w="217" w:type="dxa"/>
          </w:tcPr>
          <w:p w14:paraId="7C3B906F" w14:textId="77777777" w:rsidR="002C0FD9" w:rsidRPr="00CA25CF" w:rsidRDefault="002C0FD9" w:rsidP="00CA25CF">
            <w:pPr>
              <w:rPr>
                <w:rFonts w:cs="Arial"/>
                <w:color w:val="FF0000"/>
                <w:sz w:val="21"/>
                <w:szCs w:val="21"/>
              </w:rPr>
            </w:pPr>
          </w:p>
        </w:tc>
        <w:tc>
          <w:tcPr>
            <w:tcW w:w="217" w:type="dxa"/>
          </w:tcPr>
          <w:p w14:paraId="1420F6BA" w14:textId="77777777" w:rsidR="002C0FD9" w:rsidRPr="00CA25CF" w:rsidRDefault="002C0FD9" w:rsidP="00CA25CF">
            <w:pPr>
              <w:rPr>
                <w:rFonts w:cs="Arial"/>
                <w:color w:val="FF0000"/>
                <w:sz w:val="21"/>
                <w:szCs w:val="21"/>
              </w:rPr>
            </w:pPr>
          </w:p>
        </w:tc>
        <w:tc>
          <w:tcPr>
            <w:tcW w:w="217" w:type="dxa"/>
          </w:tcPr>
          <w:p w14:paraId="4FA5EF8C" w14:textId="77777777" w:rsidR="002C0FD9" w:rsidRPr="00CA25CF" w:rsidRDefault="002C0FD9" w:rsidP="00CA25CF">
            <w:pPr>
              <w:rPr>
                <w:rFonts w:cs="Arial"/>
                <w:color w:val="FF0000"/>
                <w:sz w:val="21"/>
                <w:szCs w:val="21"/>
              </w:rPr>
            </w:pPr>
          </w:p>
        </w:tc>
        <w:tc>
          <w:tcPr>
            <w:tcW w:w="217" w:type="dxa"/>
          </w:tcPr>
          <w:p w14:paraId="2BE3AD9F" w14:textId="77777777" w:rsidR="002C0FD9" w:rsidRPr="00CA25CF" w:rsidRDefault="002C0FD9" w:rsidP="00CA25CF">
            <w:pPr>
              <w:rPr>
                <w:rFonts w:cs="Arial"/>
                <w:color w:val="FF0000"/>
                <w:sz w:val="21"/>
                <w:szCs w:val="21"/>
              </w:rPr>
            </w:pPr>
          </w:p>
        </w:tc>
        <w:tc>
          <w:tcPr>
            <w:tcW w:w="217" w:type="dxa"/>
          </w:tcPr>
          <w:p w14:paraId="5888657B" w14:textId="77777777" w:rsidR="002C0FD9" w:rsidRPr="00CA25CF" w:rsidRDefault="002C0FD9" w:rsidP="00CA25CF">
            <w:pPr>
              <w:rPr>
                <w:rFonts w:cs="Arial"/>
                <w:color w:val="FF0000"/>
                <w:sz w:val="21"/>
                <w:szCs w:val="21"/>
              </w:rPr>
            </w:pPr>
          </w:p>
        </w:tc>
        <w:tc>
          <w:tcPr>
            <w:tcW w:w="217" w:type="dxa"/>
          </w:tcPr>
          <w:p w14:paraId="03AA0CC8" w14:textId="77777777" w:rsidR="002C0FD9" w:rsidRPr="00CA25CF" w:rsidRDefault="002C0FD9" w:rsidP="00CA25CF">
            <w:pPr>
              <w:rPr>
                <w:rFonts w:cs="Arial"/>
                <w:color w:val="FF0000"/>
                <w:sz w:val="21"/>
                <w:szCs w:val="21"/>
              </w:rPr>
            </w:pPr>
          </w:p>
        </w:tc>
        <w:tc>
          <w:tcPr>
            <w:tcW w:w="217" w:type="dxa"/>
          </w:tcPr>
          <w:p w14:paraId="2DB91A1E" w14:textId="77777777" w:rsidR="002C0FD9" w:rsidRPr="00CA25CF" w:rsidRDefault="002C0FD9" w:rsidP="00CA25CF">
            <w:pPr>
              <w:rPr>
                <w:rFonts w:cs="Arial"/>
                <w:color w:val="FF0000"/>
                <w:sz w:val="21"/>
                <w:szCs w:val="21"/>
              </w:rPr>
            </w:pPr>
          </w:p>
        </w:tc>
        <w:tc>
          <w:tcPr>
            <w:tcW w:w="217" w:type="dxa"/>
          </w:tcPr>
          <w:p w14:paraId="312BB2FD" w14:textId="77777777" w:rsidR="002C0FD9" w:rsidRPr="00CA25CF" w:rsidRDefault="002C0FD9" w:rsidP="00CA25CF">
            <w:pPr>
              <w:rPr>
                <w:rFonts w:cs="Arial"/>
                <w:color w:val="FF0000"/>
                <w:sz w:val="21"/>
                <w:szCs w:val="21"/>
              </w:rPr>
            </w:pPr>
          </w:p>
        </w:tc>
        <w:tc>
          <w:tcPr>
            <w:tcW w:w="217" w:type="dxa"/>
          </w:tcPr>
          <w:p w14:paraId="747E4F53" w14:textId="77777777" w:rsidR="002C0FD9" w:rsidRPr="00CA25CF" w:rsidRDefault="002C0FD9" w:rsidP="00CA25CF">
            <w:pPr>
              <w:rPr>
                <w:rFonts w:cs="Arial"/>
                <w:color w:val="FF0000"/>
                <w:sz w:val="21"/>
                <w:szCs w:val="21"/>
              </w:rPr>
            </w:pPr>
          </w:p>
        </w:tc>
        <w:tc>
          <w:tcPr>
            <w:tcW w:w="217" w:type="dxa"/>
          </w:tcPr>
          <w:p w14:paraId="2CB624EE" w14:textId="77777777" w:rsidR="002C0FD9" w:rsidRPr="00CA25CF" w:rsidRDefault="002C0FD9" w:rsidP="00CA25CF">
            <w:pPr>
              <w:rPr>
                <w:rFonts w:cs="Arial"/>
                <w:color w:val="FF0000"/>
                <w:sz w:val="21"/>
                <w:szCs w:val="21"/>
              </w:rPr>
            </w:pPr>
          </w:p>
        </w:tc>
      </w:tr>
      <w:tr w:rsidR="002C0FD9" w:rsidRPr="00A16219" w14:paraId="11C941E4" w14:textId="77777777" w:rsidTr="002C0FD9">
        <w:trPr>
          <w:trHeight w:val="635"/>
        </w:trPr>
        <w:tc>
          <w:tcPr>
            <w:tcW w:w="515" w:type="dxa"/>
          </w:tcPr>
          <w:p w14:paraId="1C9C2E08" w14:textId="77777777" w:rsidR="002C0FD9" w:rsidRPr="00CA25CF" w:rsidRDefault="002C0FD9" w:rsidP="00CA25CF">
            <w:pPr>
              <w:rPr>
                <w:rFonts w:cs="Arial"/>
                <w:color w:val="FF0000"/>
                <w:sz w:val="21"/>
                <w:szCs w:val="21"/>
              </w:rPr>
            </w:pPr>
          </w:p>
        </w:tc>
        <w:tc>
          <w:tcPr>
            <w:tcW w:w="217" w:type="dxa"/>
          </w:tcPr>
          <w:p w14:paraId="2E9E98A3" w14:textId="77777777" w:rsidR="002C0FD9" w:rsidRPr="00CA25CF" w:rsidRDefault="002C0FD9" w:rsidP="00CA25CF">
            <w:pPr>
              <w:rPr>
                <w:rFonts w:cs="Arial"/>
                <w:color w:val="FF0000"/>
                <w:sz w:val="21"/>
                <w:szCs w:val="21"/>
              </w:rPr>
            </w:pPr>
          </w:p>
        </w:tc>
        <w:tc>
          <w:tcPr>
            <w:tcW w:w="217" w:type="dxa"/>
          </w:tcPr>
          <w:p w14:paraId="155273BE" w14:textId="77777777" w:rsidR="002C0FD9" w:rsidRPr="00CA25CF" w:rsidRDefault="002C0FD9" w:rsidP="00CA25CF">
            <w:pPr>
              <w:rPr>
                <w:rFonts w:cs="Arial"/>
                <w:color w:val="FF0000"/>
                <w:sz w:val="21"/>
                <w:szCs w:val="21"/>
              </w:rPr>
            </w:pPr>
          </w:p>
        </w:tc>
        <w:tc>
          <w:tcPr>
            <w:tcW w:w="217" w:type="dxa"/>
          </w:tcPr>
          <w:p w14:paraId="172F014A" w14:textId="77777777" w:rsidR="002C0FD9" w:rsidRPr="00CA25CF" w:rsidRDefault="002C0FD9" w:rsidP="00CA25CF">
            <w:pPr>
              <w:rPr>
                <w:rFonts w:cs="Arial"/>
                <w:color w:val="FF0000"/>
                <w:sz w:val="21"/>
                <w:szCs w:val="21"/>
              </w:rPr>
            </w:pPr>
          </w:p>
        </w:tc>
        <w:tc>
          <w:tcPr>
            <w:tcW w:w="217" w:type="dxa"/>
          </w:tcPr>
          <w:p w14:paraId="01512F61" w14:textId="77777777" w:rsidR="002C0FD9" w:rsidRPr="00CA25CF" w:rsidRDefault="002C0FD9" w:rsidP="00CA25CF">
            <w:pPr>
              <w:rPr>
                <w:rFonts w:cs="Arial"/>
                <w:color w:val="FF0000"/>
                <w:sz w:val="21"/>
                <w:szCs w:val="21"/>
              </w:rPr>
            </w:pPr>
          </w:p>
        </w:tc>
        <w:tc>
          <w:tcPr>
            <w:tcW w:w="217" w:type="dxa"/>
          </w:tcPr>
          <w:p w14:paraId="22935842" w14:textId="77777777" w:rsidR="002C0FD9" w:rsidRPr="00CA25CF" w:rsidRDefault="002C0FD9" w:rsidP="00CA25CF">
            <w:pPr>
              <w:rPr>
                <w:rFonts w:cs="Arial"/>
                <w:color w:val="FF0000"/>
                <w:sz w:val="21"/>
                <w:szCs w:val="21"/>
              </w:rPr>
            </w:pPr>
          </w:p>
        </w:tc>
        <w:tc>
          <w:tcPr>
            <w:tcW w:w="217" w:type="dxa"/>
          </w:tcPr>
          <w:p w14:paraId="09ADA26A" w14:textId="77777777" w:rsidR="002C0FD9" w:rsidRPr="00CA25CF" w:rsidRDefault="002C0FD9" w:rsidP="00CA25CF">
            <w:pPr>
              <w:rPr>
                <w:rFonts w:cs="Arial"/>
                <w:color w:val="FF0000"/>
                <w:sz w:val="21"/>
                <w:szCs w:val="21"/>
              </w:rPr>
            </w:pPr>
          </w:p>
        </w:tc>
        <w:tc>
          <w:tcPr>
            <w:tcW w:w="217" w:type="dxa"/>
          </w:tcPr>
          <w:p w14:paraId="653C7198" w14:textId="77777777" w:rsidR="002C0FD9" w:rsidRPr="00CA25CF" w:rsidRDefault="002C0FD9" w:rsidP="00CA25CF">
            <w:pPr>
              <w:rPr>
                <w:rFonts w:cs="Arial"/>
                <w:color w:val="FF0000"/>
                <w:sz w:val="21"/>
                <w:szCs w:val="21"/>
              </w:rPr>
            </w:pPr>
          </w:p>
        </w:tc>
        <w:tc>
          <w:tcPr>
            <w:tcW w:w="217" w:type="dxa"/>
          </w:tcPr>
          <w:p w14:paraId="5ADEB570" w14:textId="77777777" w:rsidR="002C0FD9" w:rsidRPr="00CA25CF" w:rsidRDefault="002C0FD9" w:rsidP="00CA25CF">
            <w:pPr>
              <w:rPr>
                <w:rFonts w:cs="Arial"/>
                <w:color w:val="FF0000"/>
                <w:sz w:val="21"/>
                <w:szCs w:val="21"/>
              </w:rPr>
            </w:pPr>
          </w:p>
        </w:tc>
        <w:tc>
          <w:tcPr>
            <w:tcW w:w="217" w:type="dxa"/>
          </w:tcPr>
          <w:p w14:paraId="2CE36A6C" w14:textId="77777777" w:rsidR="002C0FD9" w:rsidRPr="00CA25CF" w:rsidRDefault="002C0FD9" w:rsidP="00CA25CF">
            <w:pPr>
              <w:rPr>
                <w:rFonts w:cs="Arial"/>
                <w:color w:val="FF0000"/>
                <w:sz w:val="21"/>
                <w:szCs w:val="21"/>
              </w:rPr>
            </w:pPr>
          </w:p>
        </w:tc>
        <w:tc>
          <w:tcPr>
            <w:tcW w:w="217" w:type="dxa"/>
          </w:tcPr>
          <w:p w14:paraId="2B7677D2" w14:textId="77777777" w:rsidR="002C0FD9" w:rsidRPr="00CA25CF" w:rsidRDefault="002C0FD9" w:rsidP="00CA25CF">
            <w:pPr>
              <w:rPr>
                <w:rFonts w:cs="Arial"/>
                <w:color w:val="FF0000"/>
                <w:sz w:val="21"/>
                <w:szCs w:val="21"/>
              </w:rPr>
            </w:pPr>
          </w:p>
        </w:tc>
        <w:tc>
          <w:tcPr>
            <w:tcW w:w="217" w:type="dxa"/>
          </w:tcPr>
          <w:p w14:paraId="7ADF6ACF" w14:textId="77777777" w:rsidR="002C0FD9" w:rsidRPr="00CA25CF" w:rsidRDefault="002C0FD9" w:rsidP="00CA25CF">
            <w:pPr>
              <w:rPr>
                <w:rFonts w:cs="Arial"/>
                <w:color w:val="FF0000"/>
                <w:sz w:val="21"/>
                <w:szCs w:val="21"/>
              </w:rPr>
            </w:pPr>
          </w:p>
        </w:tc>
        <w:tc>
          <w:tcPr>
            <w:tcW w:w="217" w:type="dxa"/>
          </w:tcPr>
          <w:p w14:paraId="681177E4" w14:textId="77777777" w:rsidR="002C0FD9" w:rsidRPr="00CA25CF" w:rsidRDefault="002C0FD9" w:rsidP="00CA25CF">
            <w:pPr>
              <w:rPr>
                <w:rFonts w:cs="Arial"/>
                <w:color w:val="FF0000"/>
                <w:sz w:val="21"/>
                <w:szCs w:val="21"/>
              </w:rPr>
            </w:pPr>
          </w:p>
        </w:tc>
        <w:tc>
          <w:tcPr>
            <w:tcW w:w="217" w:type="dxa"/>
          </w:tcPr>
          <w:p w14:paraId="013146DD" w14:textId="77777777" w:rsidR="002C0FD9" w:rsidRPr="00CA25CF" w:rsidRDefault="002C0FD9" w:rsidP="00CA25CF">
            <w:pPr>
              <w:rPr>
                <w:rFonts w:cs="Arial"/>
                <w:color w:val="FF0000"/>
                <w:sz w:val="21"/>
                <w:szCs w:val="21"/>
              </w:rPr>
            </w:pPr>
          </w:p>
        </w:tc>
        <w:tc>
          <w:tcPr>
            <w:tcW w:w="217" w:type="dxa"/>
          </w:tcPr>
          <w:p w14:paraId="5A784860" w14:textId="77777777" w:rsidR="002C0FD9" w:rsidRPr="00CA25CF" w:rsidRDefault="002C0FD9" w:rsidP="00CA25CF">
            <w:pPr>
              <w:rPr>
                <w:rFonts w:cs="Arial"/>
                <w:color w:val="FF0000"/>
                <w:sz w:val="21"/>
                <w:szCs w:val="21"/>
              </w:rPr>
            </w:pPr>
          </w:p>
        </w:tc>
        <w:tc>
          <w:tcPr>
            <w:tcW w:w="217" w:type="dxa"/>
          </w:tcPr>
          <w:p w14:paraId="537D7EA4" w14:textId="77777777" w:rsidR="002C0FD9" w:rsidRPr="00CA25CF" w:rsidRDefault="002C0FD9" w:rsidP="00CA25CF">
            <w:pPr>
              <w:rPr>
                <w:rFonts w:cs="Arial"/>
                <w:color w:val="FF0000"/>
                <w:sz w:val="21"/>
                <w:szCs w:val="21"/>
              </w:rPr>
            </w:pPr>
          </w:p>
        </w:tc>
        <w:tc>
          <w:tcPr>
            <w:tcW w:w="217" w:type="dxa"/>
          </w:tcPr>
          <w:p w14:paraId="107030DF" w14:textId="77777777" w:rsidR="002C0FD9" w:rsidRPr="00CA25CF" w:rsidRDefault="002C0FD9" w:rsidP="00CA25CF">
            <w:pPr>
              <w:rPr>
                <w:rFonts w:cs="Arial"/>
                <w:color w:val="FF0000"/>
                <w:sz w:val="21"/>
                <w:szCs w:val="21"/>
              </w:rPr>
            </w:pPr>
          </w:p>
        </w:tc>
        <w:tc>
          <w:tcPr>
            <w:tcW w:w="217" w:type="dxa"/>
          </w:tcPr>
          <w:p w14:paraId="3B0FA5F1" w14:textId="77777777" w:rsidR="002C0FD9" w:rsidRPr="00CA25CF" w:rsidRDefault="002C0FD9" w:rsidP="00CA25CF">
            <w:pPr>
              <w:rPr>
                <w:rFonts w:cs="Arial"/>
                <w:color w:val="FF0000"/>
                <w:sz w:val="21"/>
                <w:szCs w:val="21"/>
              </w:rPr>
            </w:pPr>
          </w:p>
        </w:tc>
        <w:tc>
          <w:tcPr>
            <w:tcW w:w="217" w:type="dxa"/>
          </w:tcPr>
          <w:p w14:paraId="625DDA9A" w14:textId="77777777" w:rsidR="002C0FD9" w:rsidRPr="00CA25CF" w:rsidRDefault="002C0FD9" w:rsidP="00CA25CF">
            <w:pPr>
              <w:rPr>
                <w:rFonts w:cs="Arial"/>
                <w:color w:val="FF0000"/>
                <w:sz w:val="21"/>
                <w:szCs w:val="21"/>
              </w:rPr>
            </w:pPr>
          </w:p>
        </w:tc>
        <w:tc>
          <w:tcPr>
            <w:tcW w:w="217" w:type="dxa"/>
          </w:tcPr>
          <w:p w14:paraId="45982DCC" w14:textId="77777777" w:rsidR="002C0FD9" w:rsidRPr="00CA25CF" w:rsidRDefault="002C0FD9" w:rsidP="00CA25CF">
            <w:pPr>
              <w:rPr>
                <w:rFonts w:cs="Arial"/>
                <w:color w:val="FF0000"/>
                <w:sz w:val="21"/>
                <w:szCs w:val="21"/>
              </w:rPr>
            </w:pPr>
          </w:p>
        </w:tc>
        <w:tc>
          <w:tcPr>
            <w:tcW w:w="217" w:type="dxa"/>
          </w:tcPr>
          <w:p w14:paraId="7A21BB81" w14:textId="77777777" w:rsidR="002C0FD9" w:rsidRPr="00CA25CF" w:rsidRDefault="002C0FD9" w:rsidP="00CA25CF">
            <w:pPr>
              <w:rPr>
                <w:rFonts w:cs="Arial"/>
                <w:color w:val="FF0000"/>
                <w:sz w:val="21"/>
                <w:szCs w:val="21"/>
              </w:rPr>
            </w:pPr>
          </w:p>
        </w:tc>
        <w:tc>
          <w:tcPr>
            <w:tcW w:w="217" w:type="dxa"/>
          </w:tcPr>
          <w:p w14:paraId="7B23403E" w14:textId="77777777" w:rsidR="002C0FD9" w:rsidRPr="00CA25CF" w:rsidRDefault="002C0FD9" w:rsidP="00CA25CF">
            <w:pPr>
              <w:rPr>
                <w:rFonts w:cs="Arial"/>
                <w:color w:val="FF0000"/>
                <w:sz w:val="21"/>
                <w:szCs w:val="21"/>
              </w:rPr>
            </w:pPr>
          </w:p>
        </w:tc>
        <w:tc>
          <w:tcPr>
            <w:tcW w:w="217" w:type="dxa"/>
          </w:tcPr>
          <w:p w14:paraId="12647872" w14:textId="77777777" w:rsidR="002C0FD9" w:rsidRPr="00CA25CF" w:rsidRDefault="002C0FD9" w:rsidP="00CA25CF">
            <w:pPr>
              <w:rPr>
                <w:rFonts w:cs="Arial"/>
                <w:color w:val="FF0000"/>
                <w:sz w:val="21"/>
                <w:szCs w:val="21"/>
              </w:rPr>
            </w:pPr>
          </w:p>
        </w:tc>
        <w:tc>
          <w:tcPr>
            <w:tcW w:w="217" w:type="dxa"/>
          </w:tcPr>
          <w:p w14:paraId="336D72E0" w14:textId="77777777" w:rsidR="002C0FD9" w:rsidRPr="00CA25CF" w:rsidRDefault="002C0FD9" w:rsidP="00CA25CF">
            <w:pPr>
              <w:rPr>
                <w:rFonts w:cs="Arial"/>
                <w:color w:val="FF0000"/>
                <w:sz w:val="21"/>
                <w:szCs w:val="21"/>
              </w:rPr>
            </w:pPr>
          </w:p>
        </w:tc>
        <w:tc>
          <w:tcPr>
            <w:tcW w:w="217" w:type="dxa"/>
          </w:tcPr>
          <w:p w14:paraId="08DCBD77" w14:textId="77777777" w:rsidR="002C0FD9" w:rsidRPr="00CA25CF" w:rsidRDefault="002C0FD9" w:rsidP="00CA25CF">
            <w:pPr>
              <w:rPr>
                <w:rFonts w:cs="Arial"/>
                <w:color w:val="FF0000"/>
                <w:sz w:val="21"/>
                <w:szCs w:val="21"/>
              </w:rPr>
            </w:pPr>
          </w:p>
        </w:tc>
        <w:tc>
          <w:tcPr>
            <w:tcW w:w="217" w:type="dxa"/>
          </w:tcPr>
          <w:p w14:paraId="175D39A7" w14:textId="77777777" w:rsidR="002C0FD9" w:rsidRPr="00CA25CF" w:rsidRDefault="002C0FD9" w:rsidP="00CA25CF">
            <w:pPr>
              <w:rPr>
                <w:rFonts w:cs="Arial"/>
                <w:color w:val="FF0000"/>
                <w:sz w:val="21"/>
                <w:szCs w:val="21"/>
              </w:rPr>
            </w:pPr>
          </w:p>
        </w:tc>
        <w:tc>
          <w:tcPr>
            <w:tcW w:w="217" w:type="dxa"/>
          </w:tcPr>
          <w:p w14:paraId="6E7970B7" w14:textId="77777777" w:rsidR="002C0FD9" w:rsidRPr="00CA25CF" w:rsidRDefault="002C0FD9" w:rsidP="00CA25CF">
            <w:pPr>
              <w:rPr>
                <w:rFonts w:cs="Arial"/>
                <w:color w:val="FF0000"/>
                <w:sz w:val="21"/>
                <w:szCs w:val="21"/>
              </w:rPr>
            </w:pPr>
          </w:p>
        </w:tc>
        <w:tc>
          <w:tcPr>
            <w:tcW w:w="217" w:type="dxa"/>
          </w:tcPr>
          <w:p w14:paraId="43E60D66" w14:textId="77777777" w:rsidR="002C0FD9" w:rsidRPr="00CA25CF" w:rsidRDefault="002C0FD9" w:rsidP="00CA25CF">
            <w:pPr>
              <w:rPr>
                <w:rFonts w:cs="Arial"/>
                <w:color w:val="FF0000"/>
                <w:sz w:val="21"/>
                <w:szCs w:val="21"/>
              </w:rPr>
            </w:pPr>
          </w:p>
        </w:tc>
        <w:tc>
          <w:tcPr>
            <w:tcW w:w="217" w:type="dxa"/>
          </w:tcPr>
          <w:p w14:paraId="6B9CD1B3" w14:textId="77777777" w:rsidR="002C0FD9" w:rsidRPr="00CA25CF" w:rsidRDefault="002C0FD9" w:rsidP="00CA25CF">
            <w:pPr>
              <w:rPr>
                <w:rFonts w:cs="Arial"/>
                <w:color w:val="FF0000"/>
                <w:sz w:val="21"/>
                <w:szCs w:val="21"/>
              </w:rPr>
            </w:pPr>
          </w:p>
        </w:tc>
        <w:tc>
          <w:tcPr>
            <w:tcW w:w="217" w:type="dxa"/>
          </w:tcPr>
          <w:p w14:paraId="7A25C373" w14:textId="77777777" w:rsidR="002C0FD9" w:rsidRPr="00CA25CF" w:rsidRDefault="002C0FD9" w:rsidP="00CA25CF">
            <w:pPr>
              <w:rPr>
                <w:rFonts w:cs="Arial"/>
                <w:color w:val="FF0000"/>
                <w:sz w:val="21"/>
                <w:szCs w:val="21"/>
              </w:rPr>
            </w:pPr>
          </w:p>
        </w:tc>
        <w:tc>
          <w:tcPr>
            <w:tcW w:w="217" w:type="dxa"/>
          </w:tcPr>
          <w:p w14:paraId="15C8038C" w14:textId="77777777" w:rsidR="002C0FD9" w:rsidRPr="00CA25CF" w:rsidRDefault="002C0FD9" w:rsidP="00CA25CF">
            <w:pPr>
              <w:rPr>
                <w:rFonts w:cs="Arial"/>
                <w:color w:val="FF0000"/>
                <w:sz w:val="21"/>
                <w:szCs w:val="21"/>
              </w:rPr>
            </w:pPr>
          </w:p>
        </w:tc>
        <w:tc>
          <w:tcPr>
            <w:tcW w:w="217" w:type="dxa"/>
          </w:tcPr>
          <w:p w14:paraId="353CD393" w14:textId="77777777" w:rsidR="002C0FD9" w:rsidRPr="00CA25CF" w:rsidRDefault="002C0FD9" w:rsidP="00CA25CF">
            <w:pPr>
              <w:rPr>
                <w:rFonts w:cs="Arial"/>
                <w:color w:val="FF0000"/>
                <w:sz w:val="21"/>
                <w:szCs w:val="21"/>
              </w:rPr>
            </w:pPr>
          </w:p>
        </w:tc>
        <w:tc>
          <w:tcPr>
            <w:tcW w:w="217" w:type="dxa"/>
          </w:tcPr>
          <w:p w14:paraId="798D6D57" w14:textId="77777777" w:rsidR="002C0FD9" w:rsidRPr="00CA25CF" w:rsidRDefault="002C0FD9" w:rsidP="00CA25CF">
            <w:pPr>
              <w:rPr>
                <w:rFonts w:cs="Arial"/>
                <w:color w:val="FF0000"/>
                <w:sz w:val="21"/>
                <w:szCs w:val="21"/>
              </w:rPr>
            </w:pPr>
          </w:p>
        </w:tc>
        <w:tc>
          <w:tcPr>
            <w:tcW w:w="217" w:type="dxa"/>
          </w:tcPr>
          <w:p w14:paraId="41A892A0" w14:textId="77777777" w:rsidR="002C0FD9" w:rsidRPr="00CA25CF" w:rsidRDefault="002C0FD9" w:rsidP="00CA25CF">
            <w:pPr>
              <w:rPr>
                <w:rFonts w:cs="Arial"/>
                <w:color w:val="FF0000"/>
                <w:sz w:val="21"/>
                <w:szCs w:val="21"/>
              </w:rPr>
            </w:pPr>
          </w:p>
        </w:tc>
        <w:tc>
          <w:tcPr>
            <w:tcW w:w="217" w:type="dxa"/>
          </w:tcPr>
          <w:p w14:paraId="7B0DCCE1" w14:textId="77777777" w:rsidR="002C0FD9" w:rsidRPr="00CA25CF" w:rsidRDefault="002C0FD9" w:rsidP="00CA25CF">
            <w:pPr>
              <w:rPr>
                <w:rFonts w:cs="Arial"/>
                <w:color w:val="FF0000"/>
                <w:sz w:val="21"/>
                <w:szCs w:val="21"/>
              </w:rPr>
            </w:pPr>
          </w:p>
        </w:tc>
        <w:tc>
          <w:tcPr>
            <w:tcW w:w="217" w:type="dxa"/>
          </w:tcPr>
          <w:p w14:paraId="5B79BBE3" w14:textId="77777777" w:rsidR="002C0FD9" w:rsidRPr="00CA25CF" w:rsidRDefault="002C0FD9" w:rsidP="00CA25CF">
            <w:pPr>
              <w:rPr>
                <w:rFonts w:cs="Arial"/>
                <w:color w:val="FF0000"/>
                <w:sz w:val="21"/>
                <w:szCs w:val="21"/>
              </w:rPr>
            </w:pPr>
          </w:p>
        </w:tc>
        <w:tc>
          <w:tcPr>
            <w:tcW w:w="217" w:type="dxa"/>
          </w:tcPr>
          <w:p w14:paraId="6829DFBC" w14:textId="77777777" w:rsidR="002C0FD9" w:rsidRPr="00CA25CF" w:rsidRDefault="002C0FD9" w:rsidP="00CA25CF">
            <w:pPr>
              <w:rPr>
                <w:rFonts w:cs="Arial"/>
                <w:color w:val="FF0000"/>
                <w:sz w:val="21"/>
                <w:szCs w:val="21"/>
              </w:rPr>
            </w:pPr>
          </w:p>
        </w:tc>
        <w:tc>
          <w:tcPr>
            <w:tcW w:w="217" w:type="dxa"/>
          </w:tcPr>
          <w:p w14:paraId="29791B32" w14:textId="77777777" w:rsidR="002C0FD9" w:rsidRPr="00CA25CF" w:rsidRDefault="002C0FD9" w:rsidP="00CA25CF">
            <w:pPr>
              <w:rPr>
                <w:rFonts w:cs="Arial"/>
                <w:color w:val="FF0000"/>
                <w:sz w:val="21"/>
                <w:szCs w:val="21"/>
              </w:rPr>
            </w:pPr>
          </w:p>
        </w:tc>
        <w:tc>
          <w:tcPr>
            <w:tcW w:w="217" w:type="dxa"/>
          </w:tcPr>
          <w:p w14:paraId="26151639" w14:textId="77777777" w:rsidR="002C0FD9" w:rsidRPr="00CA25CF" w:rsidRDefault="002C0FD9" w:rsidP="00CA25CF">
            <w:pPr>
              <w:rPr>
                <w:rFonts w:cs="Arial"/>
                <w:color w:val="FF0000"/>
                <w:sz w:val="21"/>
                <w:szCs w:val="21"/>
              </w:rPr>
            </w:pPr>
          </w:p>
        </w:tc>
        <w:tc>
          <w:tcPr>
            <w:tcW w:w="217" w:type="dxa"/>
          </w:tcPr>
          <w:p w14:paraId="12024002" w14:textId="77777777" w:rsidR="002C0FD9" w:rsidRPr="00CA25CF" w:rsidRDefault="002C0FD9" w:rsidP="00CA25CF">
            <w:pPr>
              <w:rPr>
                <w:rFonts w:cs="Arial"/>
                <w:color w:val="FF0000"/>
                <w:sz w:val="21"/>
                <w:szCs w:val="21"/>
              </w:rPr>
            </w:pPr>
          </w:p>
        </w:tc>
        <w:tc>
          <w:tcPr>
            <w:tcW w:w="217" w:type="dxa"/>
          </w:tcPr>
          <w:p w14:paraId="7B5E4226" w14:textId="77777777" w:rsidR="002C0FD9" w:rsidRPr="00CA25CF" w:rsidRDefault="002C0FD9" w:rsidP="00CA25CF">
            <w:pPr>
              <w:rPr>
                <w:rFonts w:cs="Arial"/>
                <w:color w:val="FF0000"/>
                <w:sz w:val="21"/>
                <w:szCs w:val="21"/>
              </w:rPr>
            </w:pPr>
          </w:p>
        </w:tc>
        <w:tc>
          <w:tcPr>
            <w:tcW w:w="217" w:type="dxa"/>
          </w:tcPr>
          <w:p w14:paraId="6A1C9933" w14:textId="77777777" w:rsidR="002C0FD9" w:rsidRPr="00CA25CF" w:rsidRDefault="002C0FD9" w:rsidP="00CA25CF">
            <w:pPr>
              <w:rPr>
                <w:rFonts w:cs="Arial"/>
                <w:color w:val="FF0000"/>
                <w:sz w:val="21"/>
                <w:szCs w:val="21"/>
              </w:rPr>
            </w:pPr>
          </w:p>
        </w:tc>
        <w:tc>
          <w:tcPr>
            <w:tcW w:w="217" w:type="dxa"/>
          </w:tcPr>
          <w:p w14:paraId="662E1ADB" w14:textId="77777777" w:rsidR="002C0FD9" w:rsidRPr="00CA25CF" w:rsidRDefault="002C0FD9" w:rsidP="00CA25CF">
            <w:pPr>
              <w:rPr>
                <w:rFonts w:cs="Arial"/>
                <w:color w:val="FF0000"/>
                <w:sz w:val="21"/>
                <w:szCs w:val="21"/>
              </w:rPr>
            </w:pPr>
          </w:p>
        </w:tc>
      </w:tr>
      <w:tr w:rsidR="002C0FD9" w:rsidRPr="00A16219" w14:paraId="63D83A09" w14:textId="77777777" w:rsidTr="002C0FD9">
        <w:trPr>
          <w:trHeight w:val="635"/>
        </w:trPr>
        <w:tc>
          <w:tcPr>
            <w:tcW w:w="515" w:type="dxa"/>
          </w:tcPr>
          <w:p w14:paraId="70F184BE" w14:textId="77777777" w:rsidR="002C0FD9" w:rsidRPr="00CA25CF" w:rsidRDefault="002C0FD9" w:rsidP="00CA25CF">
            <w:pPr>
              <w:rPr>
                <w:rFonts w:cs="Arial"/>
                <w:color w:val="FF0000"/>
                <w:sz w:val="21"/>
                <w:szCs w:val="21"/>
              </w:rPr>
            </w:pPr>
          </w:p>
        </w:tc>
        <w:tc>
          <w:tcPr>
            <w:tcW w:w="217" w:type="dxa"/>
          </w:tcPr>
          <w:p w14:paraId="7C7E60B6" w14:textId="77777777" w:rsidR="002C0FD9" w:rsidRPr="00CA25CF" w:rsidRDefault="002C0FD9" w:rsidP="00CA25CF">
            <w:pPr>
              <w:rPr>
                <w:rFonts w:cs="Arial"/>
                <w:color w:val="FF0000"/>
                <w:sz w:val="21"/>
                <w:szCs w:val="21"/>
              </w:rPr>
            </w:pPr>
          </w:p>
        </w:tc>
        <w:tc>
          <w:tcPr>
            <w:tcW w:w="217" w:type="dxa"/>
          </w:tcPr>
          <w:p w14:paraId="17511158" w14:textId="77777777" w:rsidR="002C0FD9" w:rsidRPr="00CA25CF" w:rsidRDefault="002C0FD9" w:rsidP="00CA25CF">
            <w:pPr>
              <w:rPr>
                <w:rFonts w:cs="Arial"/>
                <w:color w:val="FF0000"/>
                <w:sz w:val="21"/>
                <w:szCs w:val="21"/>
              </w:rPr>
            </w:pPr>
          </w:p>
        </w:tc>
        <w:tc>
          <w:tcPr>
            <w:tcW w:w="217" w:type="dxa"/>
          </w:tcPr>
          <w:p w14:paraId="1C130DC0" w14:textId="77777777" w:rsidR="002C0FD9" w:rsidRPr="00CA25CF" w:rsidRDefault="002C0FD9" w:rsidP="00CA25CF">
            <w:pPr>
              <w:rPr>
                <w:rFonts w:cs="Arial"/>
                <w:color w:val="FF0000"/>
                <w:sz w:val="21"/>
                <w:szCs w:val="21"/>
              </w:rPr>
            </w:pPr>
          </w:p>
        </w:tc>
        <w:tc>
          <w:tcPr>
            <w:tcW w:w="217" w:type="dxa"/>
          </w:tcPr>
          <w:p w14:paraId="22033BBE" w14:textId="77777777" w:rsidR="002C0FD9" w:rsidRPr="00CA25CF" w:rsidRDefault="002C0FD9" w:rsidP="00CA25CF">
            <w:pPr>
              <w:rPr>
                <w:rFonts w:cs="Arial"/>
                <w:color w:val="FF0000"/>
                <w:sz w:val="21"/>
                <w:szCs w:val="21"/>
              </w:rPr>
            </w:pPr>
          </w:p>
        </w:tc>
        <w:tc>
          <w:tcPr>
            <w:tcW w:w="217" w:type="dxa"/>
          </w:tcPr>
          <w:p w14:paraId="7117BC51" w14:textId="77777777" w:rsidR="002C0FD9" w:rsidRPr="00CA25CF" w:rsidRDefault="002C0FD9" w:rsidP="00CA25CF">
            <w:pPr>
              <w:rPr>
                <w:rFonts w:cs="Arial"/>
                <w:color w:val="FF0000"/>
                <w:sz w:val="21"/>
                <w:szCs w:val="21"/>
              </w:rPr>
            </w:pPr>
          </w:p>
        </w:tc>
        <w:tc>
          <w:tcPr>
            <w:tcW w:w="217" w:type="dxa"/>
          </w:tcPr>
          <w:p w14:paraId="36A05687" w14:textId="77777777" w:rsidR="002C0FD9" w:rsidRPr="00CA25CF" w:rsidRDefault="002C0FD9" w:rsidP="00CA25CF">
            <w:pPr>
              <w:rPr>
                <w:rFonts w:cs="Arial"/>
                <w:color w:val="FF0000"/>
                <w:sz w:val="21"/>
                <w:szCs w:val="21"/>
              </w:rPr>
            </w:pPr>
          </w:p>
        </w:tc>
        <w:tc>
          <w:tcPr>
            <w:tcW w:w="217" w:type="dxa"/>
          </w:tcPr>
          <w:p w14:paraId="4024507C" w14:textId="77777777" w:rsidR="002C0FD9" w:rsidRPr="00CA25CF" w:rsidRDefault="002C0FD9" w:rsidP="00CA25CF">
            <w:pPr>
              <w:rPr>
                <w:rFonts w:cs="Arial"/>
                <w:color w:val="FF0000"/>
                <w:sz w:val="21"/>
                <w:szCs w:val="21"/>
              </w:rPr>
            </w:pPr>
          </w:p>
        </w:tc>
        <w:tc>
          <w:tcPr>
            <w:tcW w:w="217" w:type="dxa"/>
          </w:tcPr>
          <w:p w14:paraId="4C307DE9" w14:textId="77777777" w:rsidR="002C0FD9" w:rsidRPr="00CA25CF" w:rsidRDefault="002C0FD9" w:rsidP="00CA25CF">
            <w:pPr>
              <w:rPr>
                <w:rFonts w:cs="Arial"/>
                <w:color w:val="FF0000"/>
                <w:sz w:val="21"/>
                <w:szCs w:val="21"/>
              </w:rPr>
            </w:pPr>
          </w:p>
        </w:tc>
        <w:tc>
          <w:tcPr>
            <w:tcW w:w="217" w:type="dxa"/>
          </w:tcPr>
          <w:p w14:paraId="7B5B3DD1" w14:textId="77777777" w:rsidR="002C0FD9" w:rsidRPr="00CA25CF" w:rsidRDefault="002C0FD9" w:rsidP="00CA25CF">
            <w:pPr>
              <w:rPr>
                <w:rFonts w:cs="Arial"/>
                <w:color w:val="FF0000"/>
                <w:sz w:val="21"/>
                <w:szCs w:val="21"/>
              </w:rPr>
            </w:pPr>
          </w:p>
        </w:tc>
        <w:tc>
          <w:tcPr>
            <w:tcW w:w="217" w:type="dxa"/>
          </w:tcPr>
          <w:p w14:paraId="765F6386" w14:textId="77777777" w:rsidR="002C0FD9" w:rsidRPr="00CA25CF" w:rsidRDefault="002C0FD9" w:rsidP="00CA25CF">
            <w:pPr>
              <w:rPr>
                <w:rFonts w:cs="Arial"/>
                <w:color w:val="FF0000"/>
                <w:sz w:val="21"/>
                <w:szCs w:val="21"/>
              </w:rPr>
            </w:pPr>
          </w:p>
        </w:tc>
        <w:tc>
          <w:tcPr>
            <w:tcW w:w="217" w:type="dxa"/>
          </w:tcPr>
          <w:p w14:paraId="4479FB66" w14:textId="77777777" w:rsidR="002C0FD9" w:rsidRPr="00CA25CF" w:rsidRDefault="002C0FD9" w:rsidP="00CA25CF">
            <w:pPr>
              <w:rPr>
                <w:rFonts w:cs="Arial"/>
                <w:color w:val="FF0000"/>
                <w:sz w:val="21"/>
                <w:szCs w:val="21"/>
              </w:rPr>
            </w:pPr>
          </w:p>
        </w:tc>
        <w:tc>
          <w:tcPr>
            <w:tcW w:w="217" w:type="dxa"/>
          </w:tcPr>
          <w:p w14:paraId="16AE4B4E" w14:textId="77777777" w:rsidR="002C0FD9" w:rsidRPr="00CA25CF" w:rsidRDefault="002C0FD9" w:rsidP="00CA25CF">
            <w:pPr>
              <w:rPr>
                <w:rFonts w:cs="Arial"/>
                <w:color w:val="FF0000"/>
                <w:sz w:val="21"/>
                <w:szCs w:val="21"/>
              </w:rPr>
            </w:pPr>
          </w:p>
        </w:tc>
        <w:tc>
          <w:tcPr>
            <w:tcW w:w="217" w:type="dxa"/>
          </w:tcPr>
          <w:p w14:paraId="378B9B3F" w14:textId="77777777" w:rsidR="002C0FD9" w:rsidRPr="00CA25CF" w:rsidRDefault="002C0FD9" w:rsidP="00CA25CF">
            <w:pPr>
              <w:rPr>
                <w:rFonts w:cs="Arial"/>
                <w:color w:val="FF0000"/>
                <w:sz w:val="21"/>
                <w:szCs w:val="21"/>
              </w:rPr>
            </w:pPr>
          </w:p>
        </w:tc>
        <w:tc>
          <w:tcPr>
            <w:tcW w:w="217" w:type="dxa"/>
          </w:tcPr>
          <w:p w14:paraId="01CF844D" w14:textId="77777777" w:rsidR="002C0FD9" w:rsidRPr="00CA25CF" w:rsidRDefault="002C0FD9" w:rsidP="00CA25CF">
            <w:pPr>
              <w:rPr>
                <w:rFonts w:cs="Arial"/>
                <w:color w:val="FF0000"/>
                <w:sz w:val="21"/>
                <w:szCs w:val="21"/>
              </w:rPr>
            </w:pPr>
          </w:p>
        </w:tc>
        <w:tc>
          <w:tcPr>
            <w:tcW w:w="217" w:type="dxa"/>
          </w:tcPr>
          <w:p w14:paraId="11132B3C" w14:textId="77777777" w:rsidR="002C0FD9" w:rsidRPr="00CA25CF" w:rsidRDefault="002C0FD9" w:rsidP="00CA25CF">
            <w:pPr>
              <w:rPr>
                <w:rFonts w:cs="Arial"/>
                <w:color w:val="FF0000"/>
                <w:sz w:val="21"/>
                <w:szCs w:val="21"/>
              </w:rPr>
            </w:pPr>
          </w:p>
        </w:tc>
        <w:tc>
          <w:tcPr>
            <w:tcW w:w="217" w:type="dxa"/>
          </w:tcPr>
          <w:p w14:paraId="276E4530" w14:textId="77777777" w:rsidR="002C0FD9" w:rsidRPr="00CA25CF" w:rsidRDefault="002C0FD9" w:rsidP="00CA25CF">
            <w:pPr>
              <w:rPr>
                <w:rFonts w:cs="Arial"/>
                <w:color w:val="FF0000"/>
                <w:sz w:val="21"/>
                <w:szCs w:val="21"/>
              </w:rPr>
            </w:pPr>
          </w:p>
        </w:tc>
        <w:tc>
          <w:tcPr>
            <w:tcW w:w="217" w:type="dxa"/>
          </w:tcPr>
          <w:p w14:paraId="4C61093F" w14:textId="77777777" w:rsidR="002C0FD9" w:rsidRPr="00CA25CF" w:rsidRDefault="002C0FD9" w:rsidP="00CA25CF">
            <w:pPr>
              <w:rPr>
                <w:rFonts w:cs="Arial"/>
                <w:color w:val="FF0000"/>
                <w:sz w:val="21"/>
                <w:szCs w:val="21"/>
              </w:rPr>
            </w:pPr>
          </w:p>
        </w:tc>
        <w:tc>
          <w:tcPr>
            <w:tcW w:w="217" w:type="dxa"/>
          </w:tcPr>
          <w:p w14:paraId="41AC8250" w14:textId="77777777" w:rsidR="002C0FD9" w:rsidRPr="00CA25CF" w:rsidRDefault="002C0FD9" w:rsidP="00CA25CF">
            <w:pPr>
              <w:rPr>
                <w:rFonts w:cs="Arial"/>
                <w:color w:val="FF0000"/>
                <w:sz w:val="21"/>
                <w:szCs w:val="21"/>
              </w:rPr>
            </w:pPr>
          </w:p>
        </w:tc>
        <w:tc>
          <w:tcPr>
            <w:tcW w:w="217" w:type="dxa"/>
          </w:tcPr>
          <w:p w14:paraId="12101B65" w14:textId="77777777" w:rsidR="002C0FD9" w:rsidRPr="00CA25CF" w:rsidRDefault="002C0FD9" w:rsidP="00CA25CF">
            <w:pPr>
              <w:rPr>
                <w:rFonts w:cs="Arial"/>
                <w:color w:val="FF0000"/>
                <w:sz w:val="21"/>
                <w:szCs w:val="21"/>
              </w:rPr>
            </w:pPr>
          </w:p>
        </w:tc>
        <w:tc>
          <w:tcPr>
            <w:tcW w:w="217" w:type="dxa"/>
          </w:tcPr>
          <w:p w14:paraId="0EF7AD7D" w14:textId="77777777" w:rsidR="002C0FD9" w:rsidRPr="00CA25CF" w:rsidRDefault="002C0FD9" w:rsidP="00CA25CF">
            <w:pPr>
              <w:rPr>
                <w:rFonts w:cs="Arial"/>
                <w:color w:val="FF0000"/>
                <w:sz w:val="21"/>
                <w:szCs w:val="21"/>
              </w:rPr>
            </w:pPr>
          </w:p>
        </w:tc>
        <w:tc>
          <w:tcPr>
            <w:tcW w:w="217" w:type="dxa"/>
          </w:tcPr>
          <w:p w14:paraId="4EC745F0" w14:textId="77777777" w:rsidR="002C0FD9" w:rsidRPr="00CA25CF" w:rsidRDefault="002C0FD9" w:rsidP="00CA25CF">
            <w:pPr>
              <w:rPr>
                <w:rFonts w:cs="Arial"/>
                <w:color w:val="FF0000"/>
                <w:sz w:val="21"/>
                <w:szCs w:val="21"/>
              </w:rPr>
            </w:pPr>
          </w:p>
        </w:tc>
        <w:tc>
          <w:tcPr>
            <w:tcW w:w="217" w:type="dxa"/>
          </w:tcPr>
          <w:p w14:paraId="4DD2E480" w14:textId="77777777" w:rsidR="002C0FD9" w:rsidRPr="00CA25CF" w:rsidRDefault="002C0FD9" w:rsidP="00CA25CF">
            <w:pPr>
              <w:rPr>
                <w:rFonts w:cs="Arial"/>
                <w:color w:val="FF0000"/>
                <w:sz w:val="21"/>
                <w:szCs w:val="21"/>
              </w:rPr>
            </w:pPr>
          </w:p>
        </w:tc>
        <w:tc>
          <w:tcPr>
            <w:tcW w:w="217" w:type="dxa"/>
          </w:tcPr>
          <w:p w14:paraId="2E94D3F3" w14:textId="77777777" w:rsidR="002C0FD9" w:rsidRPr="00CA25CF" w:rsidRDefault="002C0FD9" w:rsidP="00CA25CF">
            <w:pPr>
              <w:rPr>
                <w:rFonts w:cs="Arial"/>
                <w:color w:val="FF0000"/>
                <w:sz w:val="21"/>
                <w:szCs w:val="21"/>
              </w:rPr>
            </w:pPr>
          </w:p>
        </w:tc>
        <w:tc>
          <w:tcPr>
            <w:tcW w:w="217" w:type="dxa"/>
          </w:tcPr>
          <w:p w14:paraId="1E93D5C4" w14:textId="77777777" w:rsidR="002C0FD9" w:rsidRPr="00CA25CF" w:rsidRDefault="002C0FD9" w:rsidP="00CA25CF">
            <w:pPr>
              <w:rPr>
                <w:rFonts w:cs="Arial"/>
                <w:color w:val="FF0000"/>
                <w:sz w:val="21"/>
                <w:szCs w:val="21"/>
              </w:rPr>
            </w:pPr>
          </w:p>
        </w:tc>
        <w:tc>
          <w:tcPr>
            <w:tcW w:w="217" w:type="dxa"/>
          </w:tcPr>
          <w:p w14:paraId="287C746E" w14:textId="77777777" w:rsidR="002C0FD9" w:rsidRPr="00CA25CF" w:rsidRDefault="002C0FD9" w:rsidP="00CA25CF">
            <w:pPr>
              <w:rPr>
                <w:rFonts w:cs="Arial"/>
                <w:color w:val="FF0000"/>
                <w:sz w:val="21"/>
                <w:szCs w:val="21"/>
              </w:rPr>
            </w:pPr>
          </w:p>
        </w:tc>
        <w:tc>
          <w:tcPr>
            <w:tcW w:w="217" w:type="dxa"/>
          </w:tcPr>
          <w:p w14:paraId="498B6A97" w14:textId="77777777" w:rsidR="002C0FD9" w:rsidRPr="00CA25CF" w:rsidRDefault="002C0FD9" w:rsidP="00CA25CF">
            <w:pPr>
              <w:rPr>
                <w:rFonts w:cs="Arial"/>
                <w:color w:val="FF0000"/>
                <w:sz w:val="21"/>
                <w:szCs w:val="21"/>
              </w:rPr>
            </w:pPr>
          </w:p>
        </w:tc>
        <w:tc>
          <w:tcPr>
            <w:tcW w:w="217" w:type="dxa"/>
          </w:tcPr>
          <w:p w14:paraId="0484F967" w14:textId="77777777" w:rsidR="002C0FD9" w:rsidRPr="00CA25CF" w:rsidRDefault="002C0FD9" w:rsidP="00CA25CF">
            <w:pPr>
              <w:rPr>
                <w:rFonts w:cs="Arial"/>
                <w:color w:val="FF0000"/>
                <w:sz w:val="21"/>
                <w:szCs w:val="21"/>
              </w:rPr>
            </w:pPr>
          </w:p>
        </w:tc>
        <w:tc>
          <w:tcPr>
            <w:tcW w:w="217" w:type="dxa"/>
          </w:tcPr>
          <w:p w14:paraId="7C609006" w14:textId="77777777" w:rsidR="002C0FD9" w:rsidRPr="00CA25CF" w:rsidRDefault="002C0FD9" w:rsidP="00CA25CF">
            <w:pPr>
              <w:rPr>
                <w:rFonts w:cs="Arial"/>
                <w:color w:val="FF0000"/>
                <w:sz w:val="21"/>
                <w:szCs w:val="21"/>
              </w:rPr>
            </w:pPr>
          </w:p>
        </w:tc>
        <w:tc>
          <w:tcPr>
            <w:tcW w:w="217" w:type="dxa"/>
          </w:tcPr>
          <w:p w14:paraId="1F822B72" w14:textId="77777777" w:rsidR="002C0FD9" w:rsidRPr="00CA25CF" w:rsidRDefault="002C0FD9" w:rsidP="00CA25CF">
            <w:pPr>
              <w:rPr>
                <w:rFonts w:cs="Arial"/>
                <w:color w:val="FF0000"/>
                <w:sz w:val="21"/>
                <w:szCs w:val="21"/>
              </w:rPr>
            </w:pPr>
          </w:p>
        </w:tc>
        <w:tc>
          <w:tcPr>
            <w:tcW w:w="217" w:type="dxa"/>
          </w:tcPr>
          <w:p w14:paraId="5FC9723A" w14:textId="77777777" w:rsidR="002C0FD9" w:rsidRPr="00CA25CF" w:rsidRDefault="002C0FD9" w:rsidP="00CA25CF">
            <w:pPr>
              <w:rPr>
                <w:rFonts w:cs="Arial"/>
                <w:color w:val="FF0000"/>
                <w:sz w:val="21"/>
                <w:szCs w:val="21"/>
              </w:rPr>
            </w:pPr>
          </w:p>
        </w:tc>
        <w:tc>
          <w:tcPr>
            <w:tcW w:w="217" w:type="dxa"/>
          </w:tcPr>
          <w:p w14:paraId="4E3015A7" w14:textId="77777777" w:rsidR="002C0FD9" w:rsidRPr="00CA25CF" w:rsidRDefault="002C0FD9" w:rsidP="00CA25CF">
            <w:pPr>
              <w:rPr>
                <w:rFonts w:cs="Arial"/>
                <w:color w:val="FF0000"/>
                <w:sz w:val="21"/>
                <w:szCs w:val="21"/>
              </w:rPr>
            </w:pPr>
          </w:p>
        </w:tc>
        <w:tc>
          <w:tcPr>
            <w:tcW w:w="217" w:type="dxa"/>
          </w:tcPr>
          <w:p w14:paraId="25BB87CE" w14:textId="77777777" w:rsidR="002C0FD9" w:rsidRPr="00CA25CF" w:rsidRDefault="002C0FD9" w:rsidP="00CA25CF">
            <w:pPr>
              <w:rPr>
                <w:rFonts w:cs="Arial"/>
                <w:color w:val="FF0000"/>
                <w:sz w:val="21"/>
                <w:szCs w:val="21"/>
              </w:rPr>
            </w:pPr>
          </w:p>
        </w:tc>
        <w:tc>
          <w:tcPr>
            <w:tcW w:w="217" w:type="dxa"/>
          </w:tcPr>
          <w:p w14:paraId="26559F09" w14:textId="77777777" w:rsidR="002C0FD9" w:rsidRPr="00CA25CF" w:rsidRDefault="002C0FD9" w:rsidP="00CA25CF">
            <w:pPr>
              <w:rPr>
                <w:rFonts w:cs="Arial"/>
                <w:color w:val="FF0000"/>
                <w:sz w:val="21"/>
                <w:szCs w:val="21"/>
              </w:rPr>
            </w:pPr>
          </w:p>
        </w:tc>
        <w:tc>
          <w:tcPr>
            <w:tcW w:w="217" w:type="dxa"/>
          </w:tcPr>
          <w:p w14:paraId="3DC2F4C3" w14:textId="77777777" w:rsidR="002C0FD9" w:rsidRPr="00CA25CF" w:rsidRDefault="002C0FD9" w:rsidP="00CA25CF">
            <w:pPr>
              <w:rPr>
                <w:rFonts w:cs="Arial"/>
                <w:color w:val="FF0000"/>
                <w:sz w:val="21"/>
                <w:szCs w:val="21"/>
              </w:rPr>
            </w:pPr>
          </w:p>
        </w:tc>
        <w:tc>
          <w:tcPr>
            <w:tcW w:w="217" w:type="dxa"/>
          </w:tcPr>
          <w:p w14:paraId="7B34A42B" w14:textId="77777777" w:rsidR="002C0FD9" w:rsidRPr="00CA25CF" w:rsidRDefault="002C0FD9" w:rsidP="00CA25CF">
            <w:pPr>
              <w:rPr>
                <w:rFonts w:cs="Arial"/>
                <w:color w:val="FF0000"/>
                <w:sz w:val="21"/>
                <w:szCs w:val="21"/>
              </w:rPr>
            </w:pPr>
          </w:p>
        </w:tc>
        <w:tc>
          <w:tcPr>
            <w:tcW w:w="217" w:type="dxa"/>
          </w:tcPr>
          <w:p w14:paraId="2D8B02D4" w14:textId="77777777" w:rsidR="002C0FD9" w:rsidRPr="00CA25CF" w:rsidRDefault="002C0FD9" w:rsidP="00CA25CF">
            <w:pPr>
              <w:rPr>
                <w:rFonts w:cs="Arial"/>
                <w:color w:val="FF0000"/>
                <w:sz w:val="21"/>
                <w:szCs w:val="21"/>
              </w:rPr>
            </w:pPr>
          </w:p>
        </w:tc>
        <w:tc>
          <w:tcPr>
            <w:tcW w:w="217" w:type="dxa"/>
          </w:tcPr>
          <w:p w14:paraId="48F84692" w14:textId="77777777" w:rsidR="002C0FD9" w:rsidRPr="00CA25CF" w:rsidRDefault="002C0FD9" w:rsidP="00CA25CF">
            <w:pPr>
              <w:rPr>
                <w:rFonts w:cs="Arial"/>
                <w:color w:val="FF0000"/>
                <w:sz w:val="21"/>
                <w:szCs w:val="21"/>
              </w:rPr>
            </w:pPr>
          </w:p>
        </w:tc>
        <w:tc>
          <w:tcPr>
            <w:tcW w:w="217" w:type="dxa"/>
          </w:tcPr>
          <w:p w14:paraId="77B83AC8" w14:textId="77777777" w:rsidR="002C0FD9" w:rsidRPr="00CA25CF" w:rsidRDefault="002C0FD9" w:rsidP="00CA25CF">
            <w:pPr>
              <w:rPr>
                <w:rFonts w:cs="Arial"/>
                <w:color w:val="FF0000"/>
                <w:sz w:val="21"/>
                <w:szCs w:val="21"/>
              </w:rPr>
            </w:pPr>
          </w:p>
        </w:tc>
        <w:tc>
          <w:tcPr>
            <w:tcW w:w="217" w:type="dxa"/>
          </w:tcPr>
          <w:p w14:paraId="71B41280" w14:textId="77777777" w:rsidR="002C0FD9" w:rsidRPr="00CA25CF" w:rsidRDefault="002C0FD9" w:rsidP="00CA25CF">
            <w:pPr>
              <w:rPr>
                <w:rFonts w:cs="Arial"/>
                <w:color w:val="FF0000"/>
                <w:sz w:val="21"/>
                <w:szCs w:val="21"/>
              </w:rPr>
            </w:pPr>
          </w:p>
        </w:tc>
        <w:tc>
          <w:tcPr>
            <w:tcW w:w="217" w:type="dxa"/>
          </w:tcPr>
          <w:p w14:paraId="24369E7B" w14:textId="77777777" w:rsidR="002C0FD9" w:rsidRPr="00CA25CF" w:rsidRDefault="002C0FD9" w:rsidP="00CA25CF">
            <w:pPr>
              <w:rPr>
                <w:rFonts w:cs="Arial"/>
                <w:color w:val="FF0000"/>
                <w:sz w:val="21"/>
                <w:szCs w:val="21"/>
              </w:rPr>
            </w:pPr>
          </w:p>
        </w:tc>
        <w:tc>
          <w:tcPr>
            <w:tcW w:w="217" w:type="dxa"/>
          </w:tcPr>
          <w:p w14:paraId="5E6A9066" w14:textId="77777777" w:rsidR="002C0FD9" w:rsidRPr="00CA25CF" w:rsidRDefault="002C0FD9" w:rsidP="00CA25CF">
            <w:pPr>
              <w:rPr>
                <w:rFonts w:cs="Arial"/>
                <w:color w:val="FF0000"/>
                <w:sz w:val="21"/>
                <w:szCs w:val="21"/>
              </w:rPr>
            </w:pPr>
          </w:p>
        </w:tc>
        <w:tc>
          <w:tcPr>
            <w:tcW w:w="217" w:type="dxa"/>
          </w:tcPr>
          <w:p w14:paraId="39329057" w14:textId="77777777" w:rsidR="002C0FD9" w:rsidRPr="00CA25CF" w:rsidRDefault="002C0FD9" w:rsidP="00CA25CF">
            <w:pPr>
              <w:rPr>
                <w:rFonts w:cs="Arial"/>
                <w:color w:val="FF0000"/>
                <w:sz w:val="21"/>
                <w:szCs w:val="21"/>
              </w:rPr>
            </w:pPr>
          </w:p>
        </w:tc>
      </w:tr>
      <w:tr w:rsidR="002C0FD9" w:rsidRPr="00A16219" w14:paraId="6762319D" w14:textId="77777777" w:rsidTr="002C0FD9">
        <w:trPr>
          <w:trHeight w:val="635"/>
        </w:trPr>
        <w:tc>
          <w:tcPr>
            <w:tcW w:w="515" w:type="dxa"/>
          </w:tcPr>
          <w:p w14:paraId="793762B4" w14:textId="77777777" w:rsidR="002C0FD9" w:rsidRPr="00CA25CF" w:rsidRDefault="002C0FD9" w:rsidP="00CA25CF">
            <w:pPr>
              <w:rPr>
                <w:rFonts w:cs="Arial"/>
                <w:color w:val="FF0000"/>
                <w:sz w:val="21"/>
                <w:szCs w:val="21"/>
              </w:rPr>
            </w:pPr>
          </w:p>
        </w:tc>
        <w:tc>
          <w:tcPr>
            <w:tcW w:w="217" w:type="dxa"/>
          </w:tcPr>
          <w:p w14:paraId="5CD281C2" w14:textId="77777777" w:rsidR="002C0FD9" w:rsidRPr="00CA25CF" w:rsidRDefault="002C0FD9" w:rsidP="00CA25CF">
            <w:pPr>
              <w:rPr>
                <w:rFonts w:cs="Arial"/>
                <w:color w:val="FF0000"/>
                <w:sz w:val="21"/>
                <w:szCs w:val="21"/>
              </w:rPr>
            </w:pPr>
          </w:p>
        </w:tc>
        <w:tc>
          <w:tcPr>
            <w:tcW w:w="217" w:type="dxa"/>
          </w:tcPr>
          <w:p w14:paraId="12C8DEC0" w14:textId="77777777" w:rsidR="002C0FD9" w:rsidRPr="00CA25CF" w:rsidRDefault="002C0FD9" w:rsidP="00CA25CF">
            <w:pPr>
              <w:rPr>
                <w:rFonts w:cs="Arial"/>
                <w:color w:val="FF0000"/>
                <w:sz w:val="21"/>
                <w:szCs w:val="21"/>
              </w:rPr>
            </w:pPr>
          </w:p>
        </w:tc>
        <w:tc>
          <w:tcPr>
            <w:tcW w:w="217" w:type="dxa"/>
          </w:tcPr>
          <w:p w14:paraId="3F16151C" w14:textId="77777777" w:rsidR="002C0FD9" w:rsidRPr="00CA25CF" w:rsidRDefault="002C0FD9" w:rsidP="00CA25CF">
            <w:pPr>
              <w:rPr>
                <w:rFonts w:cs="Arial"/>
                <w:color w:val="FF0000"/>
                <w:sz w:val="21"/>
                <w:szCs w:val="21"/>
              </w:rPr>
            </w:pPr>
          </w:p>
        </w:tc>
        <w:tc>
          <w:tcPr>
            <w:tcW w:w="217" w:type="dxa"/>
          </w:tcPr>
          <w:p w14:paraId="4D34B733" w14:textId="77777777" w:rsidR="002C0FD9" w:rsidRPr="00CA25CF" w:rsidRDefault="002C0FD9" w:rsidP="00CA25CF">
            <w:pPr>
              <w:rPr>
                <w:rFonts w:cs="Arial"/>
                <w:color w:val="FF0000"/>
                <w:sz w:val="21"/>
                <w:szCs w:val="21"/>
              </w:rPr>
            </w:pPr>
          </w:p>
        </w:tc>
        <w:tc>
          <w:tcPr>
            <w:tcW w:w="217" w:type="dxa"/>
          </w:tcPr>
          <w:p w14:paraId="7A650C2C" w14:textId="77777777" w:rsidR="002C0FD9" w:rsidRPr="00CA25CF" w:rsidRDefault="002C0FD9" w:rsidP="00CA25CF">
            <w:pPr>
              <w:rPr>
                <w:rFonts w:cs="Arial"/>
                <w:color w:val="FF0000"/>
                <w:sz w:val="21"/>
                <w:szCs w:val="21"/>
              </w:rPr>
            </w:pPr>
          </w:p>
        </w:tc>
        <w:tc>
          <w:tcPr>
            <w:tcW w:w="217" w:type="dxa"/>
          </w:tcPr>
          <w:p w14:paraId="1190DC5D" w14:textId="77777777" w:rsidR="002C0FD9" w:rsidRPr="00CA25CF" w:rsidRDefault="002C0FD9" w:rsidP="00CA25CF">
            <w:pPr>
              <w:rPr>
                <w:rFonts w:cs="Arial"/>
                <w:color w:val="FF0000"/>
                <w:sz w:val="21"/>
                <w:szCs w:val="21"/>
              </w:rPr>
            </w:pPr>
          </w:p>
        </w:tc>
        <w:tc>
          <w:tcPr>
            <w:tcW w:w="217" w:type="dxa"/>
          </w:tcPr>
          <w:p w14:paraId="7D62904E" w14:textId="77777777" w:rsidR="002C0FD9" w:rsidRPr="00CA25CF" w:rsidRDefault="002C0FD9" w:rsidP="00CA25CF">
            <w:pPr>
              <w:rPr>
                <w:rFonts w:cs="Arial"/>
                <w:color w:val="FF0000"/>
                <w:sz w:val="21"/>
                <w:szCs w:val="21"/>
              </w:rPr>
            </w:pPr>
          </w:p>
        </w:tc>
        <w:tc>
          <w:tcPr>
            <w:tcW w:w="217" w:type="dxa"/>
          </w:tcPr>
          <w:p w14:paraId="49470D33" w14:textId="77777777" w:rsidR="002C0FD9" w:rsidRPr="00CA25CF" w:rsidRDefault="002C0FD9" w:rsidP="00CA25CF">
            <w:pPr>
              <w:rPr>
                <w:rFonts w:cs="Arial"/>
                <w:color w:val="FF0000"/>
                <w:sz w:val="21"/>
                <w:szCs w:val="21"/>
              </w:rPr>
            </w:pPr>
          </w:p>
        </w:tc>
        <w:tc>
          <w:tcPr>
            <w:tcW w:w="217" w:type="dxa"/>
          </w:tcPr>
          <w:p w14:paraId="45D249F3" w14:textId="77777777" w:rsidR="002C0FD9" w:rsidRPr="00CA25CF" w:rsidRDefault="002C0FD9" w:rsidP="00CA25CF">
            <w:pPr>
              <w:rPr>
                <w:rFonts w:cs="Arial"/>
                <w:color w:val="FF0000"/>
                <w:sz w:val="21"/>
                <w:szCs w:val="21"/>
              </w:rPr>
            </w:pPr>
          </w:p>
        </w:tc>
        <w:tc>
          <w:tcPr>
            <w:tcW w:w="217" w:type="dxa"/>
          </w:tcPr>
          <w:p w14:paraId="2F6BC2C0" w14:textId="77777777" w:rsidR="002C0FD9" w:rsidRPr="00CA25CF" w:rsidRDefault="002C0FD9" w:rsidP="00CA25CF">
            <w:pPr>
              <w:rPr>
                <w:rFonts w:cs="Arial"/>
                <w:color w:val="FF0000"/>
                <w:sz w:val="21"/>
                <w:szCs w:val="21"/>
              </w:rPr>
            </w:pPr>
          </w:p>
        </w:tc>
        <w:tc>
          <w:tcPr>
            <w:tcW w:w="217" w:type="dxa"/>
          </w:tcPr>
          <w:p w14:paraId="541B0090" w14:textId="77777777" w:rsidR="002C0FD9" w:rsidRPr="00CA25CF" w:rsidRDefault="002C0FD9" w:rsidP="00CA25CF">
            <w:pPr>
              <w:rPr>
                <w:rFonts w:cs="Arial"/>
                <w:color w:val="FF0000"/>
                <w:sz w:val="21"/>
                <w:szCs w:val="21"/>
              </w:rPr>
            </w:pPr>
          </w:p>
        </w:tc>
        <w:tc>
          <w:tcPr>
            <w:tcW w:w="217" w:type="dxa"/>
          </w:tcPr>
          <w:p w14:paraId="2AF172B9" w14:textId="77777777" w:rsidR="002C0FD9" w:rsidRPr="00CA25CF" w:rsidRDefault="002C0FD9" w:rsidP="00CA25CF">
            <w:pPr>
              <w:rPr>
                <w:rFonts w:cs="Arial"/>
                <w:color w:val="FF0000"/>
                <w:sz w:val="21"/>
                <w:szCs w:val="21"/>
              </w:rPr>
            </w:pPr>
          </w:p>
        </w:tc>
        <w:tc>
          <w:tcPr>
            <w:tcW w:w="217" w:type="dxa"/>
          </w:tcPr>
          <w:p w14:paraId="0BCAF7F4" w14:textId="77777777" w:rsidR="002C0FD9" w:rsidRPr="00CA25CF" w:rsidRDefault="002C0FD9" w:rsidP="00CA25CF">
            <w:pPr>
              <w:rPr>
                <w:rFonts w:cs="Arial"/>
                <w:color w:val="FF0000"/>
                <w:sz w:val="21"/>
                <w:szCs w:val="21"/>
              </w:rPr>
            </w:pPr>
          </w:p>
        </w:tc>
        <w:tc>
          <w:tcPr>
            <w:tcW w:w="217" w:type="dxa"/>
          </w:tcPr>
          <w:p w14:paraId="04970FD4" w14:textId="77777777" w:rsidR="002C0FD9" w:rsidRPr="00CA25CF" w:rsidRDefault="002C0FD9" w:rsidP="00CA25CF">
            <w:pPr>
              <w:rPr>
                <w:rFonts w:cs="Arial"/>
                <w:color w:val="FF0000"/>
                <w:sz w:val="21"/>
                <w:szCs w:val="21"/>
              </w:rPr>
            </w:pPr>
          </w:p>
        </w:tc>
        <w:tc>
          <w:tcPr>
            <w:tcW w:w="217" w:type="dxa"/>
          </w:tcPr>
          <w:p w14:paraId="3246F6BB" w14:textId="77777777" w:rsidR="002C0FD9" w:rsidRPr="00CA25CF" w:rsidRDefault="002C0FD9" w:rsidP="00CA25CF">
            <w:pPr>
              <w:rPr>
                <w:rFonts w:cs="Arial"/>
                <w:color w:val="FF0000"/>
                <w:sz w:val="21"/>
                <w:szCs w:val="21"/>
              </w:rPr>
            </w:pPr>
          </w:p>
        </w:tc>
        <w:tc>
          <w:tcPr>
            <w:tcW w:w="217" w:type="dxa"/>
          </w:tcPr>
          <w:p w14:paraId="67743F0B" w14:textId="77777777" w:rsidR="002C0FD9" w:rsidRPr="00CA25CF" w:rsidRDefault="002C0FD9" w:rsidP="00CA25CF">
            <w:pPr>
              <w:rPr>
                <w:rFonts w:cs="Arial"/>
                <w:color w:val="FF0000"/>
                <w:sz w:val="21"/>
                <w:szCs w:val="21"/>
              </w:rPr>
            </w:pPr>
          </w:p>
        </w:tc>
        <w:tc>
          <w:tcPr>
            <w:tcW w:w="217" w:type="dxa"/>
          </w:tcPr>
          <w:p w14:paraId="71A38466" w14:textId="77777777" w:rsidR="002C0FD9" w:rsidRPr="00CA25CF" w:rsidRDefault="002C0FD9" w:rsidP="00CA25CF">
            <w:pPr>
              <w:rPr>
                <w:rFonts w:cs="Arial"/>
                <w:color w:val="FF0000"/>
                <w:sz w:val="21"/>
                <w:szCs w:val="21"/>
              </w:rPr>
            </w:pPr>
          </w:p>
        </w:tc>
        <w:tc>
          <w:tcPr>
            <w:tcW w:w="217" w:type="dxa"/>
          </w:tcPr>
          <w:p w14:paraId="291B437A" w14:textId="77777777" w:rsidR="002C0FD9" w:rsidRPr="00CA25CF" w:rsidRDefault="002C0FD9" w:rsidP="00CA25CF">
            <w:pPr>
              <w:rPr>
                <w:rFonts w:cs="Arial"/>
                <w:color w:val="FF0000"/>
                <w:sz w:val="21"/>
                <w:szCs w:val="21"/>
              </w:rPr>
            </w:pPr>
          </w:p>
        </w:tc>
        <w:tc>
          <w:tcPr>
            <w:tcW w:w="217" w:type="dxa"/>
          </w:tcPr>
          <w:p w14:paraId="15F873EB" w14:textId="77777777" w:rsidR="002C0FD9" w:rsidRPr="00CA25CF" w:rsidRDefault="002C0FD9" w:rsidP="00CA25CF">
            <w:pPr>
              <w:rPr>
                <w:rFonts w:cs="Arial"/>
                <w:color w:val="FF0000"/>
                <w:sz w:val="21"/>
                <w:szCs w:val="21"/>
              </w:rPr>
            </w:pPr>
          </w:p>
        </w:tc>
        <w:tc>
          <w:tcPr>
            <w:tcW w:w="217" w:type="dxa"/>
          </w:tcPr>
          <w:p w14:paraId="7783B49E" w14:textId="77777777" w:rsidR="002C0FD9" w:rsidRPr="00CA25CF" w:rsidRDefault="002C0FD9" w:rsidP="00CA25CF">
            <w:pPr>
              <w:rPr>
                <w:rFonts w:cs="Arial"/>
                <w:color w:val="FF0000"/>
                <w:sz w:val="21"/>
                <w:szCs w:val="21"/>
              </w:rPr>
            </w:pPr>
          </w:p>
        </w:tc>
        <w:tc>
          <w:tcPr>
            <w:tcW w:w="217" w:type="dxa"/>
          </w:tcPr>
          <w:p w14:paraId="12B4FEB9" w14:textId="77777777" w:rsidR="002C0FD9" w:rsidRPr="00CA25CF" w:rsidRDefault="002C0FD9" w:rsidP="00CA25CF">
            <w:pPr>
              <w:rPr>
                <w:rFonts w:cs="Arial"/>
                <w:color w:val="FF0000"/>
                <w:sz w:val="21"/>
                <w:szCs w:val="21"/>
              </w:rPr>
            </w:pPr>
          </w:p>
        </w:tc>
        <w:tc>
          <w:tcPr>
            <w:tcW w:w="217" w:type="dxa"/>
          </w:tcPr>
          <w:p w14:paraId="449CB348" w14:textId="77777777" w:rsidR="002C0FD9" w:rsidRPr="00CA25CF" w:rsidRDefault="002C0FD9" w:rsidP="00CA25CF">
            <w:pPr>
              <w:rPr>
                <w:rFonts w:cs="Arial"/>
                <w:color w:val="FF0000"/>
                <w:sz w:val="21"/>
                <w:szCs w:val="21"/>
              </w:rPr>
            </w:pPr>
          </w:p>
        </w:tc>
        <w:tc>
          <w:tcPr>
            <w:tcW w:w="217" w:type="dxa"/>
          </w:tcPr>
          <w:p w14:paraId="4A96B436" w14:textId="77777777" w:rsidR="002C0FD9" w:rsidRPr="00CA25CF" w:rsidRDefault="002C0FD9" w:rsidP="00CA25CF">
            <w:pPr>
              <w:rPr>
                <w:rFonts w:cs="Arial"/>
                <w:color w:val="FF0000"/>
                <w:sz w:val="21"/>
                <w:szCs w:val="21"/>
              </w:rPr>
            </w:pPr>
          </w:p>
        </w:tc>
        <w:tc>
          <w:tcPr>
            <w:tcW w:w="217" w:type="dxa"/>
          </w:tcPr>
          <w:p w14:paraId="128C5A68" w14:textId="77777777" w:rsidR="002C0FD9" w:rsidRPr="00CA25CF" w:rsidRDefault="002C0FD9" w:rsidP="00CA25CF">
            <w:pPr>
              <w:rPr>
                <w:rFonts w:cs="Arial"/>
                <w:color w:val="FF0000"/>
                <w:sz w:val="21"/>
                <w:szCs w:val="21"/>
              </w:rPr>
            </w:pPr>
          </w:p>
        </w:tc>
        <w:tc>
          <w:tcPr>
            <w:tcW w:w="217" w:type="dxa"/>
          </w:tcPr>
          <w:p w14:paraId="2D74F2A4" w14:textId="77777777" w:rsidR="002C0FD9" w:rsidRPr="00CA25CF" w:rsidRDefault="002C0FD9" w:rsidP="00CA25CF">
            <w:pPr>
              <w:rPr>
                <w:rFonts w:cs="Arial"/>
                <w:color w:val="FF0000"/>
                <w:sz w:val="21"/>
                <w:szCs w:val="21"/>
              </w:rPr>
            </w:pPr>
          </w:p>
        </w:tc>
        <w:tc>
          <w:tcPr>
            <w:tcW w:w="217" w:type="dxa"/>
          </w:tcPr>
          <w:p w14:paraId="7A8D5385" w14:textId="77777777" w:rsidR="002C0FD9" w:rsidRPr="00CA25CF" w:rsidRDefault="002C0FD9" w:rsidP="00CA25CF">
            <w:pPr>
              <w:rPr>
                <w:rFonts w:cs="Arial"/>
                <w:color w:val="FF0000"/>
                <w:sz w:val="21"/>
                <w:szCs w:val="21"/>
              </w:rPr>
            </w:pPr>
          </w:p>
        </w:tc>
        <w:tc>
          <w:tcPr>
            <w:tcW w:w="217" w:type="dxa"/>
          </w:tcPr>
          <w:p w14:paraId="1AC9FC45" w14:textId="77777777" w:rsidR="002C0FD9" w:rsidRPr="00CA25CF" w:rsidRDefault="002C0FD9" w:rsidP="00CA25CF">
            <w:pPr>
              <w:rPr>
                <w:rFonts w:cs="Arial"/>
                <w:color w:val="FF0000"/>
                <w:sz w:val="21"/>
                <w:szCs w:val="21"/>
              </w:rPr>
            </w:pPr>
          </w:p>
        </w:tc>
        <w:tc>
          <w:tcPr>
            <w:tcW w:w="217" w:type="dxa"/>
          </w:tcPr>
          <w:p w14:paraId="51DFAC92" w14:textId="77777777" w:rsidR="002C0FD9" w:rsidRPr="00CA25CF" w:rsidRDefault="002C0FD9" w:rsidP="00CA25CF">
            <w:pPr>
              <w:rPr>
                <w:rFonts w:cs="Arial"/>
                <w:color w:val="FF0000"/>
                <w:sz w:val="21"/>
                <w:szCs w:val="21"/>
              </w:rPr>
            </w:pPr>
          </w:p>
        </w:tc>
        <w:tc>
          <w:tcPr>
            <w:tcW w:w="217" w:type="dxa"/>
          </w:tcPr>
          <w:p w14:paraId="0CEC3E26" w14:textId="77777777" w:rsidR="002C0FD9" w:rsidRPr="00CA25CF" w:rsidRDefault="002C0FD9" w:rsidP="00CA25CF">
            <w:pPr>
              <w:rPr>
                <w:rFonts w:cs="Arial"/>
                <w:color w:val="FF0000"/>
                <w:sz w:val="21"/>
                <w:szCs w:val="21"/>
              </w:rPr>
            </w:pPr>
          </w:p>
        </w:tc>
        <w:tc>
          <w:tcPr>
            <w:tcW w:w="217" w:type="dxa"/>
          </w:tcPr>
          <w:p w14:paraId="5E18FADD" w14:textId="77777777" w:rsidR="002C0FD9" w:rsidRPr="00CA25CF" w:rsidRDefault="002C0FD9" w:rsidP="00CA25CF">
            <w:pPr>
              <w:rPr>
                <w:rFonts w:cs="Arial"/>
                <w:color w:val="FF0000"/>
                <w:sz w:val="21"/>
                <w:szCs w:val="21"/>
              </w:rPr>
            </w:pPr>
          </w:p>
        </w:tc>
        <w:tc>
          <w:tcPr>
            <w:tcW w:w="217" w:type="dxa"/>
          </w:tcPr>
          <w:p w14:paraId="7F5CDFED" w14:textId="77777777" w:rsidR="002C0FD9" w:rsidRPr="00CA25CF" w:rsidRDefault="002C0FD9" w:rsidP="00CA25CF">
            <w:pPr>
              <w:rPr>
                <w:rFonts w:cs="Arial"/>
                <w:color w:val="FF0000"/>
                <w:sz w:val="21"/>
                <w:szCs w:val="21"/>
              </w:rPr>
            </w:pPr>
          </w:p>
        </w:tc>
        <w:tc>
          <w:tcPr>
            <w:tcW w:w="217" w:type="dxa"/>
          </w:tcPr>
          <w:p w14:paraId="290779AA" w14:textId="77777777" w:rsidR="002C0FD9" w:rsidRPr="00CA25CF" w:rsidRDefault="002C0FD9" w:rsidP="00CA25CF">
            <w:pPr>
              <w:rPr>
                <w:rFonts w:cs="Arial"/>
                <w:color w:val="FF0000"/>
                <w:sz w:val="21"/>
                <w:szCs w:val="21"/>
              </w:rPr>
            </w:pPr>
          </w:p>
        </w:tc>
        <w:tc>
          <w:tcPr>
            <w:tcW w:w="217" w:type="dxa"/>
          </w:tcPr>
          <w:p w14:paraId="1ED33E42" w14:textId="77777777" w:rsidR="002C0FD9" w:rsidRPr="00CA25CF" w:rsidRDefault="002C0FD9" w:rsidP="00CA25CF">
            <w:pPr>
              <w:rPr>
                <w:rFonts w:cs="Arial"/>
                <w:color w:val="FF0000"/>
                <w:sz w:val="21"/>
                <w:szCs w:val="21"/>
              </w:rPr>
            </w:pPr>
          </w:p>
        </w:tc>
        <w:tc>
          <w:tcPr>
            <w:tcW w:w="217" w:type="dxa"/>
          </w:tcPr>
          <w:p w14:paraId="2908391A" w14:textId="77777777" w:rsidR="002C0FD9" w:rsidRPr="00CA25CF" w:rsidRDefault="002C0FD9" w:rsidP="00CA25CF">
            <w:pPr>
              <w:rPr>
                <w:rFonts w:cs="Arial"/>
                <w:color w:val="FF0000"/>
                <w:sz w:val="21"/>
                <w:szCs w:val="21"/>
              </w:rPr>
            </w:pPr>
          </w:p>
        </w:tc>
        <w:tc>
          <w:tcPr>
            <w:tcW w:w="217" w:type="dxa"/>
          </w:tcPr>
          <w:p w14:paraId="3B836D18" w14:textId="77777777" w:rsidR="002C0FD9" w:rsidRPr="00CA25CF" w:rsidRDefault="002C0FD9" w:rsidP="00CA25CF">
            <w:pPr>
              <w:rPr>
                <w:rFonts w:cs="Arial"/>
                <w:color w:val="FF0000"/>
                <w:sz w:val="21"/>
                <w:szCs w:val="21"/>
              </w:rPr>
            </w:pPr>
          </w:p>
        </w:tc>
        <w:tc>
          <w:tcPr>
            <w:tcW w:w="217" w:type="dxa"/>
          </w:tcPr>
          <w:p w14:paraId="3BFCF29B" w14:textId="77777777" w:rsidR="002C0FD9" w:rsidRPr="00CA25CF" w:rsidRDefault="002C0FD9" w:rsidP="00CA25CF">
            <w:pPr>
              <w:rPr>
                <w:rFonts w:cs="Arial"/>
                <w:color w:val="FF0000"/>
                <w:sz w:val="21"/>
                <w:szCs w:val="21"/>
              </w:rPr>
            </w:pPr>
          </w:p>
        </w:tc>
        <w:tc>
          <w:tcPr>
            <w:tcW w:w="217" w:type="dxa"/>
          </w:tcPr>
          <w:p w14:paraId="71F409AF" w14:textId="77777777" w:rsidR="002C0FD9" w:rsidRPr="00CA25CF" w:rsidRDefault="002C0FD9" w:rsidP="00CA25CF">
            <w:pPr>
              <w:rPr>
                <w:rFonts w:cs="Arial"/>
                <w:color w:val="FF0000"/>
                <w:sz w:val="21"/>
                <w:szCs w:val="21"/>
              </w:rPr>
            </w:pPr>
          </w:p>
        </w:tc>
        <w:tc>
          <w:tcPr>
            <w:tcW w:w="217" w:type="dxa"/>
          </w:tcPr>
          <w:p w14:paraId="3A247590" w14:textId="77777777" w:rsidR="002C0FD9" w:rsidRPr="00CA25CF" w:rsidRDefault="002C0FD9" w:rsidP="00CA25CF">
            <w:pPr>
              <w:rPr>
                <w:rFonts w:cs="Arial"/>
                <w:color w:val="FF0000"/>
                <w:sz w:val="21"/>
                <w:szCs w:val="21"/>
              </w:rPr>
            </w:pPr>
          </w:p>
        </w:tc>
        <w:tc>
          <w:tcPr>
            <w:tcW w:w="217" w:type="dxa"/>
          </w:tcPr>
          <w:p w14:paraId="23BED9E0" w14:textId="77777777" w:rsidR="002C0FD9" w:rsidRPr="00CA25CF" w:rsidRDefault="002C0FD9" w:rsidP="00CA25CF">
            <w:pPr>
              <w:rPr>
                <w:rFonts w:cs="Arial"/>
                <w:color w:val="FF0000"/>
                <w:sz w:val="21"/>
                <w:szCs w:val="21"/>
              </w:rPr>
            </w:pPr>
          </w:p>
        </w:tc>
        <w:tc>
          <w:tcPr>
            <w:tcW w:w="217" w:type="dxa"/>
          </w:tcPr>
          <w:p w14:paraId="6BB92191" w14:textId="77777777" w:rsidR="002C0FD9" w:rsidRPr="00CA25CF" w:rsidRDefault="002C0FD9" w:rsidP="00CA25CF">
            <w:pPr>
              <w:rPr>
                <w:rFonts w:cs="Arial"/>
                <w:color w:val="FF0000"/>
                <w:sz w:val="21"/>
                <w:szCs w:val="21"/>
              </w:rPr>
            </w:pPr>
          </w:p>
        </w:tc>
        <w:tc>
          <w:tcPr>
            <w:tcW w:w="217" w:type="dxa"/>
          </w:tcPr>
          <w:p w14:paraId="3849A48C" w14:textId="77777777" w:rsidR="002C0FD9" w:rsidRPr="00CA25CF" w:rsidRDefault="002C0FD9" w:rsidP="00CA25CF">
            <w:pPr>
              <w:rPr>
                <w:rFonts w:cs="Arial"/>
                <w:color w:val="FF0000"/>
                <w:sz w:val="21"/>
                <w:szCs w:val="21"/>
              </w:rPr>
            </w:pPr>
          </w:p>
        </w:tc>
        <w:tc>
          <w:tcPr>
            <w:tcW w:w="217" w:type="dxa"/>
          </w:tcPr>
          <w:p w14:paraId="7C3A65D9" w14:textId="77777777" w:rsidR="002C0FD9" w:rsidRPr="00CA25CF" w:rsidRDefault="002C0FD9" w:rsidP="00CA25CF">
            <w:pPr>
              <w:rPr>
                <w:rFonts w:cs="Arial"/>
                <w:color w:val="FF0000"/>
                <w:sz w:val="21"/>
                <w:szCs w:val="21"/>
              </w:rPr>
            </w:pPr>
          </w:p>
        </w:tc>
      </w:tr>
      <w:tr w:rsidR="002C0FD9" w:rsidRPr="00A16219" w14:paraId="0E68D268" w14:textId="77777777" w:rsidTr="002C0FD9">
        <w:trPr>
          <w:trHeight w:val="635"/>
        </w:trPr>
        <w:tc>
          <w:tcPr>
            <w:tcW w:w="515" w:type="dxa"/>
          </w:tcPr>
          <w:p w14:paraId="3D163092" w14:textId="77777777" w:rsidR="002C0FD9" w:rsidRPr="00CA25CF" w:rsidRDefault="002C0FD9" w:rsidP="00CA25CF">
            <w:pPr>
              <w:rPr>
                <w:rFonts w:cs="Arial"/>
                <w:color w:val="FF0000"/>
                <w:sz w:val="21"/>
                <w:szCs w:val="21"/>
              </w:rPr>
            </w:pPr>
          </w:p>
        </w:tc>
        <w:tc>
          <w:tcPr>
            <w:tcW w:w="217" w:type="dxa"/>
          </w:tcPr>
          <w:p w14:paraId="17523765" w14:textId="77777777" w:rsidR="002C0FD9" w:rsidRPr="00CA25CF" w:rsidRDefault="002C0FD9" w:rsidP="00CA25CF">
            <w:pPr>
              <w:rPr>
                <w:rFonts w:cs="Arial"/>
                <w:color w:val="FF0000"/>
                <w:sz w:val="21"/>
                <w:szCs w:val="21"/>
              </w:rPr>
            </w:pPr>
          </w:p>
        </w:tc>
        <w:tc>
          <w:tcPr>
            <w:tcW w:w="217" w:type="dxa"/>
          </w:tcPr>
          <w:p w14:paraId="4823D5D0" w14:textId="77777777" w:rsidR="002C0FD9" w:rsidRPr="00CA25CF" w:rsidRDefault="002C0FD9" w:rsidP="00CA25CF">
            <w:pPr>
              <w:rPr>
                <w:rFonts w:cs="Arial"/>
                <w:color w:val="FF0000"/>
                <w:sz w:val="21"/>
                <w:szCs w:val="21"/>
              </w:rPr>
            </w:pPr>
          </w:p>
        </w:tc>
        <w:tc>
          <w:tcPr>
            <w:tcW w:w="217" w:type="dxa"/>
          </w:tcPr>
          <w:p w14:paraId="21CE6847" w14:textId="77777777" w:rsidR="002C0FD9" w:rsidRPr="00CA25CF" w:rsidRDefault="002C0FD9" w:rsidP="00CA25CF">
            <w:pPr>
              <w:rPr>
                <w:rFonts w:cs="Arial"/>
                <w:color w:val="FF0000"/>
                <w:sz w:val="21"/>
                <w:szCs w:val="21"/>
              </w:rPr>
            </w:pPr>
          </w:p>
        </w:tc>
        <w:tc>
          <w:tcPr>
            <w:tcW w:w="217" w:type="dxa"/>
          </w:tcPr>
          <w:p w14:paraId="06832BDC" w14:textId="77777777" w:rsidR="002C0FD9" w:rsidRPr="00CA25CF" w:rsidRDefault="002C0FD9" w:rsidP="00CA25CF">
            <w:pPr>
              <w:rPr>
                <w:rFonts w:cs="Arial"/>
                <w:color w:val="FF0000"/>
                <w:sz w:val="21"/>
                <w:szCs w:val="21"/>
              </w:rPr>
            </w:pPr>
          </w:p>
        </w:tc>
        <w:tc>
          <w:tcPr>
            <w:tcW w:w="217" w:type="dxa"/>
          </w:tcPr>
          <w:p w14:paraId="71365602" w14:textId="77777777" w:rsidR="002C0FD9" w:rsidRPr="00CA25CF" w:rsidRDefault="002C0FD9" w:rsidP="00CA25CF">
            <w:pPr>
              <w:rPr>
                <w:rFonts w:cs="Arial"/>
                <w:color w:val="FF0000"/>
                <w:sz w:val="21"/>
                <w:szCs w:val="21"/>
              </w:rPr>
            </w:pPr>
          </w:p>
        </w:tc>
        <w:tc>
          <w:tcPr>
            <w:tcW w:w="217" w:type="dxa"/>
          </w:tcPr>
          <w:p w14:paraId="4C8E88AE" w14:textId="77777777" w:rsidR="002C0FD9" w:rsidRPr="00CA25CF" w:rsidRDefault="002C0FD9" w:rsidP="00CA25CF">
            <w:pPr>
              <w:rPr>
                <w:rFonts w:cs="Arial"/>
                <w:color w:val="FF0000"/>
                <w:sz w:val="21"/>
                <w:szCs w:val="21"/>
              </w:rPr>
            </w:pPr>
          </w:p>
        </w:tc>
        <w:tc>
          <w:tcPr>
            <w:tcW w:w="217" w:type="dxa"/>
          </w:tcPr>
          <w:p w14:paraId="131E6217" w14:textId="77777777" w:rsidR="002C0FD9" w:rsidRPr="00CA25CF" w:rsidRDefault="002C0FD9" w:rsidP="00CA25CF">
            <w:pPr>
              <w:rPr>
                <w:rFonts w:cs="Arial"/>
                <w:color w:val="FF0000"/>
                <w:sz w:val="21"/>
                <w:szCs w:val="21"/>
              </w:rPr>
            </w:pPr>
          </w:p>
        </w:tc>
        <w:tc>
          <w:tcPr>
            <w:tcW w:w="217" w:type="dxa"/>
          </w:tcPr>
          <w:p w14:paraId="0FA5CEE5" w14:textId="77777777" w:rsidR="002C0FD9" w:rsidRPr="00CA25CF" w:rsidRDefault="002C0FD9" w:rsidP="00CA25CF">
            <w:pPr>
              <w:rPr>
                <w:rFonts w:cs="Arial"/>
                <w:color w:val="FF0000"/>
                <w:sz w:val="21"/>
                <w:szCs w:val="21"/>
              </w:rPr>
            </w:pPr>
          </w:p>
        </w:tc>
        <w:tc>
          <w:tcPr>
            <w:tcW w:w="217" w:type="dxa"/>
          </w:tcPr>
          <w:p w14:paraId="66FEE60E" w14:textId="77777777" w:rsidR="002C0FD9" w:rsidRPr="00CA25CF" w:rsidRDefault="002C0FD9" w:rsidP="00CA25CF">
            <w:pPr>
              <w:rPr>
                <w:rFonts w:cs="Arial"/>
                <w:color w:val="FF0000"/>
                <w:sz w:val="21"/>
                <w:szCs w:val="21"/>
              </w:rPr>
            </w:pPr>
          </w:p>
        </w:tc>
        <w:tc>
          <w:tcPr>
            <w:tcW w:w="217" w:type="dxa"/>
          </w:tcPr>
          <w:p w14:paraId="5BCC9022" w14:textId="77777777" w:rsidR="002C0FD9" w:rsidRPr="00CA25CF" w:rsidRDefault="002C0FD9" w:rsidP="00CA25CF">
            <w:pPr>
              <w:rPr>
                <w:rFonts w:cs="Arial"/>
                <w:color w:val="FF0000"/>
                <w:sz w:val="21"/>
                <w:szCs w:val="21"/>
              </w:rPr>
            </w:pPr>
          </w:p>
        </w:tc>
        <w:tc>
          <w:tcPr>
            <w:tcW w:w="217" w:type="dxa"/>
          </w:tcPr>
          <w:p w14:paraId="51C25B84" w14:textId="77777777" w:rsidR="002C0FD9" w:rsidRPr="00CA25CF" w:rsidRDefault="002C0FD9" w:rsidP="00CA25CF">
            <w:pPr>
              <w:rPr>
                <w:rFonts w:cs="Arial"/>
                <w:color w:val="FF0000"/>
                <w:sz w:val="21"/>
                <w:szCs w:val="21"/>
              </w:rPr>
            </w:pPr>
          </w:p>
        </w:tc>
        <w:tc>
          <w:tcPr>
            <w:tcW w:w="217" w:type="dxa"/>
          </w:tcPr>
          <w:p w14:paraId="283DB7C3" w14:textId="77777777" w:rsidR="002C0FD9" w:rsidRPr="00CA25CF" w:rsidRDefault="002C0FD9" w:rsidP="00CA25CF">
            <w:pPr>
              <w:rPr>
                <w:rFonts w:cs="Arial"/>
                <w:color w:val="FF0000"/>
                <w:sz w:val="21"/>
                <w:szCs w:val="21"/>
              </w:rPr>
            </w:pPr>
          </w:p>
        </w:tc>
        <w:tc>
          <w:tcPr>
            <w:tcW w:w="217" w:type="dxa"/>
          </w:tcPr>
          <w:p w14:paraId="62BF8164" w14:textId="77777777" w:rsidR="002C0FD9" w:rsidRPr="00CA25CF" w:rsidRDefault="002C0FD9" w:rsidP="00CA25CF">
            <w:pPr>
              <w:rPr>
                <w:rFonts w:cs="Arial"/>
                <w:color w:val="FF0000"/>
                <w:sz w:val="21"/>
                <w:szCs w:val="21"/>
              </w:rPr>
            </w:pPr>
          </w:p>
        </w:tc>
        <w:tc>
          <w:tcPr>
            <w:tcW w:w="217" w:type="dxa"/>
          </w:tcPr>
          <w:p w14:paraId="67D3B317" w14:textId="77777777" w:rsidR="002C0FD9" w:rsidRPr="00CA25CF" w:rsidRDefault="002C0FD9" w:rsidP="00CA25CF">
            <w:pPr>
              <w:rPr>
                <w:rFonts w:cs="Arial"/>
                <w:color w:val="FF0000"/>
                <w:sz w:val="21"/>
                <w:szCs w:val="21"/>
              </w:rPr>
            </w:pPr>
          </w:p>
        </w:tc>
        <w:tc>
          <w:tcPr>
            <w:tcW w:w="217" w:type="dxa"/>
          </w:tcPr>
          <w:p w14:paraId="3F8A6A6C" w14:textId="77777777" w:rsidR="002C0FD9" w:rsidRPr="00CA25CF" w:rsidRDefault="002C0FD9" w:rsidP="00CA25CF">
            <w:pPr>
              <w:rPr>
                <w:rFonts w:cs="Arial"/>
                <w:color w:val="FF0000"/>
                <w:sz w:val="21"/>
                <w:szCs w:val="21"/>
              </w:rPr>
            </w:pPr>
          </w:p>
        </w:tc>
        <w:tc>
          <w:tcPr>
            <w:tcW w:w="217" w:type="dxa"/>
          </w:tcPr>
          <w:p w14:paraId="3C218EBF" w14:textId="77777777" w:rsidR="002C0FD9" w:rsidRPr="00CA25CF" w:rsidRDefault="002C0FD9" w:rsidP="00CA25CF">
            <w:pPr>
              <w:rPr>
                <w:rFonts w:cs="Arial"/>
                <w:color w:val="FF0000"/>
                <w:sz w:val="21"/>
                <w:szCs w:val="21"/>
              </w:rPr>
            </w:pPr>
          </w:p>
        </w:tc>
        <w:tc>
          <w:tcPr>
            <w:tcW w:w="217" w:type="dxa"/>
          </w:tcPr>
          <w:p w14:paraId="6E6E033C" w14:textId="77777777" w:rsidR="002C0FD9" w:rsidRPr="00CA25CF" w:rsidRDefault="002C0FD9" w:rsidP="00CA25CF">
            <w:pPr>
              <w:rPr>
                <w:rFonts w:cs="Arial"/>
                <w:color w:val="FF0000"/>
                <w:sz w:val="21"/>
                <w:szCs w:val="21"/>
              </w:rPr>
            </w:pPr>
          </w:p>
        </w:tc>
        <w:tc>
          <w:tcPr>
            <w:tcW w:w="217" w:type="dxa"/>
          </w:tcPr>
          <w:p w14:paraId="0D7F0A70" w14:textId="77777777" w:rsidR="002C0FD9" w:rsidRPr="00CA25CF" w:rsidRDefault="002C0FD9" w:rsidP="00CA25CF">
            <w:pPr>
              <w:rPr>
                <w:rFonts w:cs="Arial"/>
                <w:color w:val="FF0000"/>
                <w:sz w:val="21"/>
                <w:szCs w:val="21"/>
              </w:rPr>
            </w:pPr>
          </w:p>
        </w:tc>
        <w:tc>
          <w:tcPr>
            <w:tcW w:w="217" w:type="dxa"/>
          </w:tcPr>
          <w:p w14:paraId="5DC024E8" w14:textId="77777777" w:rsidR="002C0FD9" w:rsidRPr="00CA25CF" w:rsidRDefault="002C0FD9" w:rsidP="00CA25CF">
            <w:pPr>
              <w:rPr>
                <w:rFonts w:cs="Arial"/>
                <w:color w:val="FF0000"/>
                <w:sz w:val="21"/>
                <w:szCs w:val="21"/>
              </w:rPr>
            </w:pPr>
          </w:p>
        </w:tc>
        <w:tc>
          <w:tcPr>
            <w:tcW w:w="217" w:type="dxa"/>
          </w:tcPr>
          <w:p w14:paraId="2F54B74B" w14:textId="77777777" w:rsidR="002C0FD9" w:rsidRPr="00CA25CF" w:rsidRDefault="002C0FD9" w:rsidP="00CA25CF">
            <w:pPr>
              <w:rPr>
                <w:rFonts w:cs="Arial"/>
                <w:color w:val="FF0000"/>
                <w:sz w:val="21"/>
                <w:szCs w:val="21"/>
              </w:rPr>
            </w:pPr>
          </w:p>
        </w:tc>
        <w:tc>
          <w:tcPr>
            <w:tcW w:w="217" w:type="dxa"/>
          </w:tcPr>
          <w:p w14:paraId="60087802" w14:textId="77777777" w:rsidR="002C0FD9" w:rsidRPr="00CA25CF" w:rsidRDefault="002C0FD9" w:rsidP="00CA25CF">
            <w:pPr>
              <w:rPr>
                <w:rFonts w:cs="Arial"/>
                <w:color w:val="FF0000"/>
                <w:sz w:val="21"/>
                <w:szCs w:val="21"/>
              </w:rPr>
            </w:pPr>
          </w:p>
        </w:tc>
        <w:tc>
          <w:tcPr>
            <w:tcW w:w="217" w:type="dxa"/>
          </w:tcPr>
          <w:p w14:paraId="3FF0D4AB" w14:textId="77777777" w:rsidR="002C0FD9" w:rsidRPr="00CA25CF" w:rsidRDefault="002C0FD9" w:rsidP="00CA25CF">
            <w:pPr>
              <w:rPr>
                <w:rFonts w:cs="Arial"/>
                <w:color w:val="FF0000"/>
                <w:sz w:val="21"/>
                <w:szCs w:val="21"/>
              </w:rPr>
            </w:pPr>
          </w:p>
        </w:tc>
        <w:tc>
          <w:tcPr>
            <w:tcW w:w="217" w:type="dxa"/>
          </w:tcPr>
          <w:p w14:paraId="151B8C33" w14:textId="77777777" w:rsidR="002C0FD9" w:rsidRPr="00CA25CF" w:rsidRDefault="002C0FD9" w:rsidP="00CA25CF">
            <w:pPr>
              <w:rPr>
                <w:rFonts w:cs="Arial"/>
                <w:color w:val="FF0000"/>
                <w:sz w:val="21"/>
                <w:szCs w:val="21"/>
              </w:rPr>
            </w:pPr>
          </w:p>
        </w:tc>
        <w:tc>
          <w:tcPr>
            <w:tcW w:w="217" w:type="dxa"/>
          </w:tcPr>
          <w:p w14:paraId="5CDE3F77" w14:textId="77777777" w:rsidR="002C0FD9" w:rsidRPr="00CA25CF" w:rsidRDefault="002C0FD9" w:rsidP="00CA25CF">
            <w:pPr>
              <w:rPr>
                <w:rFonts w:cs="Arial"/>
                <w:color w:val="FF0000"/>
                <w:sz w:val="21"/>
                <w:szCs w:val="21"/>
              </w:rPr>
            </w:pPr>
          </w:p>
        </w:tc>
        <w:tc>
          <w:tcPr>
            <w:tcW w:w="217" w:type="dxa"/>
          </w:tcPr>
          <w:p w14:paraId="5535A83F" w14:textId="77777777" w:rsidR="002C0FD9" w:rsidRPr="00CA25CF" w:rsidRDefault="002C0FD9" w:rsidP="00CA25CF">
            <w:pPr>
              <w:rPr>
                <w:rFonts w:cs="Arial"/>
                <w:color w:val="FF0000"/>
                <w:sz w:val="21"/>
                <w:szCs w:val="21"/>
              </w:rPr>
            </w:pPr>
          </w:p>
        </w:tc>
        <w:tc>
          <w:tcPr>
            <w:tcW w:w="217" w:type="dxa"/>
          </w:tcPr>
          <w:p w14:paraId="068467EF" w14:textId="77777777" w:rsidR="002C0FD9" w:rsidRPr="00CA25CF" w:rsidRDefault="002C0FD9" w:rsidP="00CA25CF">
            <w:pPr>
              <w:rPr>
                <w:rFonts w:cs="Arial"/>
                <w:color w:val="FF0000"/>
                <w:sz w:val="21"/>
                <w:szCs w:val="21"/>
              </w:rPr>
            </w:pPr>
          </w:p>
        </w:tc>
        <w:tc>
          <w:tcPr>
            <w:tcW w:w="217" w:type="dxa"/>
          </w:tcPr>
          <w:p w14:paraId="2093F6A5" w14:textId="77777777" w:rsidR="002C0FD9" w:rsidRPr="00CA25CF" w:rsidRDefault="002C0FD9" w:rsidP="00CA25CF">
            <w:pPr>
              <w:rPr>
                <w:rFonts w:cs="Arial"/>
                <w:color w:val="FF0000"/>
                <w:sz w:val="21"/>
                <w:szCs w:val="21"/>
              </w:rPr>
            </w:pPr>
          </w:p>
        </w:tc>
        <w:tc>
          <w:tcPr>
            <w:tcW w:w="217" w:type="dxa"/>
          </w:tcPr>
          <w:p w14:paraId="6769E1F8" w14:textId="77777777" w:rsidR="002C0FD9" w:rsidRPr="00CA25CF" w:rsidRDefault="002C0FD9" w:rsidP="00CA25CF">
            <w:pPr>
              <w:rPr>
                <w:rFonts w:cs="Arial"/>
                <w:color w:val="FF0000"/>
                <w:sz w:val="21"/>
                <w:szCs w:val="21"/>
              </w:rPr>
            </w:pPr>
          </w:p>
        </w:tc>
        <w:tc>
          <w:tcPr>
            <w:tcW w:w="217" w:type="dxa"/>
          </w:tcPr>
          <w:p w14:paraId="640ED29D" w14:textId="77777777" w:rsidR="002C0FD9" w:rsidRPr="00CA25CF" w:rsidRDefault="002C0FD9" w:rsidP="00CA25CF">
            <w:pPr>
              <w:rPr>
                <w:rFonts w:cs="Arial"/>
                <w:color w:val="FF0000"/>
                <w:sz w:val="21"/>
                <w:szCs w:val="21"/>
              </w:rPr>
            </w:pPr>
          </w:p>
        </w:tc>
        <w:tc>
          <w:tcPr>
            <w:tcW w:w="217" w:type="dxa"/>
          </w:tcPr>
          <w:p w14:paraId="27B2C3FA" w14:textId="77777777" w:rsidR="002C0FD9" w:rsidRPr="00CA25CF" w:rsidRDefault="002C0FD9" w:rsidP="00CA25CF">
            <w:pPr>
              <w:rPr>
                <w:rFonts w:cs="Arial"/>
                <w:color w:val="FF0000"/>
                <w:sz w:val="21"/>
                <w:szCs w:val="21"/>
              </w:rPr>
            </w:pPr>
          </w:p>
        </w:tc>
        <w:tc>
          <w:tcPr>
            <w:tcW w:w="217" w:type="dxa"/>
          </w:tcPr>
          <w:p w14:paraId="101519BA" w14:textId="77777777" w:rsidR="002C0FD9" w:rsidRPr="00CA25CF" w:rsidRDefault="002C0FD9" w:rsidP="00CA25CF">
            <w:pPr>
              <w:rPr>
                <w:rFonts w:cs="Arial"/>
                <w:color w:val="FF0000"/>
                <w:sz w:val="21"/>
                <w:szCs w:val="21"/>
              </w:rPr>
            </w:pPr>
          </w:p>
        </w:tc>
        <w:tc>
          <w:tcPr>
            <w:tcW w:w="217" w:type="dxa"/>
          </w:tcPr>
          <w:p w14:paraId="1488A820" w14:textId="77777777" w:rsidR="002C0FD9" w:rsidRPr="00CA25CF" w:rsidRDefault="002C0FD9" w:rsidP="00CA25CF">
            <w:pPr>
              <w:rPr>
                <w:rFonts w:cs="Arial"/>
                <w:color w:val="FF0000"/>
                <w:sz w:val="21"/>
                <w:szCs w:val="21"/>
              </w:rPr>
            </w:pPr>
          </w:p>
        </w:tc>
        <w:tc>
          <w:tcPr>
            <w:tcW w:w="217" w:type="dxa"/>
          </w:tcPr>
          <w:p w14:paraId="59A685E7" w14:textId="77777777" w:rsidR="002C0FD9" w:rsidRPr="00CA25CF" w:rsidRDefault="002C0FD9" w:rsidP="00CA25CF">
            <w:pPr>
              <w:rPr>
                <w:rFonts w:cs="Arial"/>
                <w:color w:val="FF0000"/>
                <w:sz w:val="21"/>
                <w:szCs w:val="21"/>
              </w:rPr>
            </w:pPr>
          </w:p>
        </w:tc>
        <w:tc>
          <w:tcPr>
            <w:tcW w:w="217" w:type="dxa"/>
          </w:tcPr>
          <w:p w14:paraId="646BC42F" w14:textId="77777777" w:rsidR="002C0FD9" w:rsidRPr="00CA25CF" w:rsidRDefault="002C0FD9" w:rsidP="00CA25CF">
            <w:pPr>
              <w:rPr>
                <w:rFonts w:cs="Arial"/>
                <w:color w:val="FF0000"/>
                <w:sz w:val="21"/>
                <w:szCs w:val="21"/>
              </w:rPr>
            </w:pPr>
          </w:p>
        </w:tc>
        <w:tc>
          <w:tcPr>
            <w:tcW w:w="217" w:type="dxa"/>
          </w:tcPr>
          <w:p w14:paraId="1552340A" w14:textId="77777777" w:rsidR="002C0FD9" w:rsidRPr="00CA25CF" w:rsidRDefault="002C0FD9" w:rsidP="00CA25CF">
            <w:pPr>
              <w:rPr>
                <w:rFonts w:cs="Arial"/>
                <w:color w:val="FF0000"/>
                <w:sz w:val="21"/>
                <w:szCs w:val="21"/>
              </w:rPr>
            </w:pPr>
          </w:p>
        </w:tc>
        <w:tc>
          <w:tcPr>
            <w:tcW w:w="217" w:type="dxa"/>
          </w:tcPr>
          <w:p w14:paraId="0DA32BDE" w14:textId="77777777" w:rsidR="002C0FD9" w:rsidRPr="00CA25CF" w:rsidRDefault="002C0FD9" w:rsidP="00CA25CF">
            <w:pPr>
              <w:rPr>
                <w:rFonts w:cs="Arial"/>
                <w:color w:val="FF0000"/>
                <w:sz w:val="21"/>
                <w:szCs w:val="21"/>
              </w:rPr>
            </w:pPr>
          </w:p>
        </w:tc>
        <w:tc>
          <w:tcPr>
            <w:tcW w:w="217" w:type="dxa"/>
          </w:tcPr>
          <w:p w14:paraId="47D69B05" w14:textId="77777777" w:rsidR="002C0FD9" w:rsidRPr="00CA25CF" w:rsidRDefault="002C0FD9" w:rsidP="00CA25CF">
            <w:pPr>
              <w:rPr>
                <w:rFonts w:cs="Arial"/>
                <w:color w:val="FF0000"/>
                <w:sz w:val="21"/>
                <w:szCs w:val="21"/>
              </w:rPr>
            </w:pPr>
          </w:p>
        </w:tc>
        <w:tc>
          <w:tcPr>
            <w:tcW w:w="217" w:type="dxa"/>
          </w:tcPr>
          <w:p w14:paraId="0F05F193" w14:textId="77777777" w:rsidR="002C0FD9" w:rsidRPr="00CA25CF" w:rsidRDefault="002C0FD9" w:rsidP="00CA25CF">
            <w:pPr>
              <w:rPr>
                <w:rFonts w:cs="Arial"/>
                <w:color w:val="FF0000"/>
                <w:sz w:val="21"/>
                <w:szCs w:val="21"/>
              </w:rPr>
            </w:pPr>
          </w:p>
        </w:tc>
        <w:tc>
          <w:tcPr>
            <w:tcW w:w="217" w:type="dxa"/>
          </w:tcPr>
          <w:p w14:paraId="72115750" w14:textId="77777777" w:rsidR="002C0FD9" w:rsidRPr="00CA25CF" w:rsidRDefault="002C0FD9" w:rsidP="00CA25CF">
            <w:pPr>
              <w:rPr>
                <w:rFonts w:cs="Arial"/>
                <w:color w:val="FF0000"/>
                <w:sz w:val="21"/>
                <w:szCs w:val="21"/>
              </w:rPr>
            </w:pPr>
          </w:p>
        </w:tc>
        <w:tc>
          <w:tcPr>
            <w:tcW w:w="217" w:type="dxa"/>
          </w:tcPr>
          <w:p w14:paraId="1E4F79C5" w14:textId="77777777" w:rsidR="002C0FD9" w:rsidRPr="00CA25CF" w:rsidRDefault="002C0FD9" w:rsidP="00CA25CF">
            <w:pPr>
              <w:rPr>
                <w:rFonts w:cs="Arial"/>
                <w:color w:val="FF0000"/>
                <w:sz w:val="21"/>
                <w:szCs w:val="21"/>
              </w:rPr>
            </w:pPr>
          </w:p>
        </w:tc>
        <w:tc>
          <w:tcPr>
            <w:tcW w:w="217" w:type="dxa"/>
          </w:tcPr>
          <w:p w14:paraId="69FF4F02" w14:textId="77777777" w:rsidR="002C0FD9" w:rsidRPr="00CA25CF" w:rsidRDefault="002C0FD9" w:rsidP="00CA25CF">
            <w:pPr>
              <w:rPr>
                <w:rFonts w:cs="Arial"/>
                <w:color w:val="FF0000"/>
                <w:sz w:val="21"/>
                <w:szCs w:val="21"/>
              </w:rPr>
            </w:pPr>
          </w:p>
        </w:tc>
        <w:tc>
          <w:tcPr>
            <w:tcW w:w="217" w:type="dxa"/>
          </w:tcPr>
          <w:p w14:paraId="0286F4C5" w14:textId="77777777" w:rsidR="002C0FD9" w:rsidRPr="00CA25CF" w:rsidRDefault="002C0FD9" w:rsidP="00CA25CF">
            <w:pPr>
              <w:rPr>
                <w:rFonts w:cs="Arial"/>
                <w:color w:val="FF0000"/>
                <w:sz w:val="21"/>
                <w:szCs w:val="21"/>
              </w:rPr>
            </w:pPr>
          </w:p>
        </w:tc>
      </w:tr>
      <w:tr w:rsidR="002C0FD9" w:rsidRPr="00A16219" w14:paraId="315F59E1" w14:textId="77777777" w:rsidTr="002C0FD9">
        <w:trPr>
          <w:trHeight w:val="635"/>
        </w:trPr>
        <w:tc>
          <w:tcPr>
            <w:tcW w:w="515" w:type="dxa"/>
          </w:tcPr>
          <w:p w14:paraId="665C9308" w14:textId="77777777" w:rsidR="002C0FD9" w:rsidRPr="00CA25CF" w:rsidRDefault="002C0FD9" w:rsidP="00CA25CF">
            <w:pPr>
              <w:rPr>
                <w:rFonts w:cs="Arial"/>
                <w:color w:val="FF0000"/>
                <w:sz w:val="21"/>
                <w:szCs w:val="21"/>
              </w:rPr>
            </w:pPr>
          </w:p>
        </w:tc>
        <w:tc>
          <w:tcPr>
            <w:tcW w:w="217" w:type="dxa"/>
          </w:tcPr>
          <w:p w14:paraId="0881940B" w14:textId="77777777" w:rsidR="002C0FD9" w:rsidRPr="00CA25CF" w:rsidRDefault="002C0FD9" w:rsidP="00CA25CF">
            <w:pPr>
              <w:rPr>
                <w:rFonts w:cs="Arial"/>
                <w:color w:val="FF0000"/>
                <w:sz w:val="21"/>
                <w:szCs w:val="21"/>
              </w:rPr>
            </w:pPr>
          </w:p>
        </w:tc>
        <w:tc>
          <w:tcPr>
            <w:tcW w:w="217" w:type="dxa"/>
          </w:tcPr>
          <w:p w14:paraId="6E192051" w14:textId="77777777" w:rsidR="002C0FD9" w:rsidRPr="00CA25CF" w:rsidRDefault="002C0FD9" w:rsidP="00CA25CF">
            <w:pPr>
              <w:rPr>
                <w:rFonts w:cs="Arial"/>
                <w:color w:val="FF0000"/>
                <w:sz w:val="21"/>
                <w:szCs w:val="21"/>
              </w:rPr>
            </w:pPr>
          </w:p>
        </w:tc>
        <w:tc>
          <w:tcPr>
            <w:tcW w:w="217" w:type="dxa"/>
          </w:tcPr>
          <w:p w14:paraId="54F9B7B7" w14:textId="77777777" w:rsidR="002C0FD9" w:rsidRPr="00CA25CF" w:rsidRDefault="002C0FD9" w:rsidP="00CA25CF">
            <w:pPr>
              <w:rPr>
                <w:rFonts w:cs="Arial"/>
                <w:color w:val="FF0000"/>
                <w:sz w:val="21"/>
                <w:szCs w:val="21"/>
              </w:rPr>
            </w:pPr>
          </w:p>
        </w:tc>
        <w:tc>
          <w:tcPr>
            <w:tcW w:w="217" w:type="dxa"/>
          </w:tcPr>
          <w:p w14:paraId="0B09BDBA" w14:textId="77777777" w:rsidR="002C0FD9" w:rsidRPr="00CA25CF" w:rsidRDefault="002C0FD9" w:rsidP="00CA25CF">
            <w:pPr>
              <w:rPr>
                <w:rFonts w:cs="Arial"/>
                <w:color w:val="FF0000"/>
                <w:sz w:val="21"/>
                <w:szCs w:val="21"/>
              </w:rPr>
            </w:pPr>
          </w:p>
        </w:tc>
        <w:tc>
          <w:tcPr>
            <w:tcW w:w="217" w:type="dxa"/>
          </w:tcPr>
          <w:p w14:paraId="0FC03EAC" w14:textId="77777777" w:rsidR="002C0FD9" w:rsidRPr="00CA25CF" w:rsidRDefault="002C0FD9" w:rsidP="00CA25CF">
            <w:pPr>
              <w:rPr>
                <w:rFonts w:cs="Arial"/>
                <w:color w:val="FF0000"/>
                <w:sz w:val="21"/>
                <w:szCs w:val="21"/>
              </w:rPr>
            </w:pPr>
          </w:p>
        </w:tc>
        <w:tc>
          <w:tcPr>
            <w:tcW w:w="217" w:type="dxa"/>
          </w:tcPr>
          <w:p w14:paraId="5D310581" w14:textId="77777777" w:rsidR="002C0FD9" w:rsidRPr="00CA25CF" w:rsidRDefault="002C0FD9" w:rsidP="00CA25CF">
            <w:pPr>
              <w:rPr>
                <w:rFonts w:cs="Arial"/>
                <w:color w:val="FF0000"/>
                <w:sz w:val="21"/>
                <w:szCs w:val="21"/>
              </w:rPr>
            </w:pPr>
          </w:p>
        </w:tc>
        <w:tc>
          <w:tcPr>
            <w:tcW w:w="217" w:type="dxa"/>
          </w:tcPr>
          <w:p w14:paraId="3CAD0878" w14:textId="77777777" w:rsidR="002C0FD9" w:rsidRPr="00CA25CF" w:rsidRDefault="002C0FD9" w:rsidP="00CA25CF">
            <w:pPr>
              <w:rPr>
                <w:rFonts w:cs="Arial"/>
                <w:color w:val="FF0000"/>
                <w:sz w:val="21"/>
                <w:szCs w:val="21"/>
              </w:rPr>
            </w:pPr>
          </w:p>
        </w:tc>
        <w:tc>
          <w:tcPr>
            <w:tcW w:w="217" w:type="dxa"/>
          </w:tcPr>
          <w:p w14:paraId="552ABEEE" w14:textId="77777777" w:rsidR="002C0FD9" w:rsidRPr="00CA25CF" w:rsidRDefault="002C0FD9" w:rsidP="00CA25CF">
            <w:pPr>
              <w:rPr>
                <w:rFonts w:cs="Arial"/>
                <w:color w:val="FF0000"/>
                <w:sz w:val="21"/>
                <w:szCs w:val="21"/>
              </w:rPr>
            </w:pPr>
          </w:p>
        </w:tc>
        <w:tc>
          <w:tcPr>
            <w:tcW w:w="217" w:type="dxa"/>
          </w:tcPr>
          <w:p w14:paraId="63EB9A68" w14:textId="77777777" w:rsidR="002C0FD9" w:rsidRPr="00CA25CF" w:rsidRDefault="002C0FD9" w:rsidP="00CA25CF">
            <w:pPr>
              <w:rPr>
                <w:rFonts w:cs="Arial"/>
                <w:color w:val="FF0000"/>
                <w:sz w:val="21"/>
                <w:szCs w:val="21"/>
              </w:rPr>
            </w:pPr>
          </w:p>
        </w:tc>
        <w:tc>
          <w:tcPr>
            <w:tcW w:w="217" w:type="dxa"/>
          </w:tcPr>
          <w:p w14:paraId="608F81D6" w14:textId="77777777" w:rsidR="002C0FD9" w:rsidRPr="00CA25CF" w:rsidRDefault="002C0FD9" w:rsidP="00CA25CF">
            <w:pPr>
              <w:rPr>
                <w:rFonts w:cs="Arial"/>
                <w:color w:val="FF0000"/>
                <w:sz w:val="21"/>
                <w:szCs w:val="21"/>
              </w:rPr>
            </w:pPr>
          </w:p>
        </w:tc>
        <w:tc>
          <w:tcPr>
            <w:tcW w:w="217" w:type="dxa"/>
          </w:tcPr>
          <w:p w14:paraId="7C74EAD2" w14:textId="77777777" w:rsidR="002C0FD9" w:rsidRPr="00CA25CF" w:rsidRDefault="002C0FD9" w:rsidP="00CA25CF">
            <w:pPr>
              <w:rPr>
                <w:rFonts w:cs="Arial"/>
                <w:color w:val="FF0000"/>
                <w:sz w:val="21"/>
                <w:szCs w:val="21"/>
              </w:rPr>
            </w:pPr>
          </w:p>
        </w:tc>
        <w:tc>
          <w:tcPr>
            <w:tcW w:w="217" w:type="dxa"/>
          </w:tcPr>
          <w:p w14:paraId="2C6172B3" w14:textId="77777777" w:rsidR="002C0FD9" w:rsidRPr="00CA25CF" w:rsidRDefault="002C0FD9" w:rsidP="00CA25CF">
            <w:pPr>
              <w:rPr>
                <w:rFonts w:cs="Arial"/>
                <w:color w:val="FF0000"/>
                <w:sz w:val="21"/>
                <w:szCs w:val="21"/>
              </w:rPr>
            </w:pPr>
          </w:p>
        </w:tc>
        <w:tc>
          <w:tcPr>
            <w:tcW w:w="217" w:type="dxa"/>
          </w:tcPr>
          <w:p w14:paraId="317A12F9" w14:textId="77777777" w:rsidR="002C0FD9" w:rsidRPr="00CA25CF" w:rsidRDefault="002C0FD9" w:rsidP="00CA25CF">
            <w:pPr>
              <w:rPr>
                <w:rFonts w:cs="Arial"/>
                <w:color w:val="FF0000"/>
                <w:sz w:val="21"/>
                <w:szCs w:val="21"/>
              </w:rPr>
            </w:pPr>
          </w:p>
        </w:tc>
        <w:tc>
          <w:tcPr>
            <w:tcW w:w="217" w:type="dxa"/>
          </w:tcPr>
          <w:p w14:paraId="33369B0C" w14:textId="77777777" w:rsidR="002C0FD9" w:rsidRPr="00CA25CF" w:rsidRDefault="002C0FD9" w:rsidP="00CA25CF">
            <w:pPr>
              <w:rPr>
                <w:rFonts w:cs="Arial"/>
                <w:color w:val="FF0000"/>
                <w:sz w:val="21"/>
                <w:szCs w:val="21"/>
              </w:rPr>
            </w:pPr>
          </w:p>
        </w:tc>
        <w:tc>
          <w:tcPr>
            <w:tcW w:w="217" w:type="dxa"/>
          </w:tcPr>
          <w:p w14:paraId="50E6E4DD" w14:textId="77777777" w:rsidR="002C0FD9" w:rsidRPr="00CA25CF" w:rsidRDefault="002C0FD9" w:rsidP="00CA25CF">
            <w:pPr>
              <w:rPr>
                <w:rFonts w:cs="Arial"/>
                <w:color w:val="FF0000"/>
                <w:sz w:val="21"/>
                <w:szCs w:val="21"/>
              </w:rPr>
            </w:pPr>
          </w:p>
        </w:tc>
        <w:tc>
          <w:tcPr>
            <w:tcW w:w="217" w:type="dxa"/>
          </w:tcPr>
          <w:p w14:paraId="44E6D364" w14:textId="77777777" w:rsidR="002C0FD9" w:rsidRPr="00CA25CF" w:rsidRDefault="002C0FD9" w:rsidP="00CA25CF">
            <w:pPr>
              <w:rPr>
                <w:rFonts w:cs="Arial"/>
                <w:color w:val="FF0000"/>
                <w:sz w:val="21"/>
                <w:szCs w:val="21"/>
              </w:rPr>
            </w:pPr>
          </w:p>
        </w:tc>
        <w:tc>
          <w:tcPr>
            <w:tcW w:w="217" w:type="dxa"/>
          </w:tcPr>
          <w:p w14:paraId="66488CC0" w14:textId="77777777" w:rsidR="002C0FD9" w:rsidRPr="00CA25CF" w:rsidRDefault="002C0FD9" w:rsidP="00CA25CF">
            <w:pPr>
              <w:rPr>
                <w:rFonts w:cs="Arial"/>
                <w:color w:val="FF0000"/>
                <w:sz w:val="21"/>
                <w:szCs w:val="21"/>
              </w:rPr>
            </w:pPr>
          </w:p>
        </w:tc>
        <w:tc>
          <w:tcPr>
            <w:tcW w:w="217" w:type="dxa"/>
          </w:tcPr>
          <w:p w14:paraId="084C9166" w14:textId="77777777" w:rsidR="002C0FD9" w:rsidRPr="00CA25CF" w:rsidRDefault="002C0FD9" w:rsidP="00CA25CF">
            <w:pPr>
              <w:rPr>
                <w:rFonts w:cs="Arial"/>
                <w:color w:val="FF0000"/>
                <w:sz w:val="21"/>
                <w:szCs w:val="21"/>
              </w:rPr>
            </w:pPr>
          </w:p>
        </w:tc>
        <w:tc>
          <w:tcPr>
            <w:tcW w:w="217" w:type="dxa"/>
          </w:tcPr>
          <w:p w14:paraId="7C729BE4" w14:textId="77777777" w:rsidR="002C0FD9" w:rsidRPr="00CA25CF" w:rsidRDefault="002C0FD9" w:rsidP="00CA25CF">
            <w:pPr>
              <w:rPr>
                <w:rFonts w:cs="Arial"/>
                <w:color w:val="FF0000"/>
                <w:sz w:val="21"/>
                <w:szCs w:val="21"/>
              </w:rPr>
            </w:pPr>
          </w:p>
        </w:tc>
        <w:tc>
          <w:tcPr>
            <w:tcW w:w="217" w:type="dxa"/>
          </w:tcPr>
          <w:p w14:paraId="53D36F9D" w14:textId="77777777" w:rsidR="002C0FD9" w:rsidRPr="00CA25CF" w:rsidRDefault="002C0FD9" w:rsidP="00CA25CF">
            <w:pPr>
              <w:rPr>
                <w:rFonts w:cs="Arial"/>
                <w:color w:val="FF0000"/>
                <w:sz w:val="21"/>
                <w:szCs w:val="21"/>
              </w:rPr>
            </w:pPr>
          </w:p>
        </w:tc>
        <w:tc>
          <w:tcPr>
            <w:tcW w:w="217" w:type="dxa"/>
          </w:tcPr>
          <w:p w14:paraId="716DC88D" w14:textId="77777777" w:rsidR="002C0FD9" w:rsidRPr="00CA25CF" w:rsidRDefault="002C0FD9" w:rsidP="00CA25CF">
            <w:pPr>
              <w:rPr>
                <w:rFonts w:cs="Arial"/>
                <w:color w:val="FF0000"/>
                <w:sz w:val="21"/>
                <w:szCs w:val="21"/>
              </w:rPr>
            </w:pPr>
          </w:p>
        </w:tc>
        <w:tc>
          <w:tcPr>
            <w:tcW w:w="217" w:type="dxa"/>
          </w:tcPr>
          <w:p w14:paraId="1BB3C65B" w14:textId="77777777" w:rsidR="002C0FD9" w:rsidRPr="00CA25CF" w:rsidRDefault="002C0FD9" w:rsidP="00CA25CF">
            <w:pPr>
              <w:rPr>
                <w:rFonts w:cs="Arial"/>
                <w:color w:val="FF0000"/>
                <w:sz w:val="21"/>
                <w:szCs w:val="21"/>
              </w:rPr>
            </w:pPr>
          </w:p>
        </w:tc>
        <w:tc>
          <w:tcPr>
            <w:tcW w:w="217" w:type="dxa"/>
          </w:tcPr>
          <w:p w14:paraId="5ACD5192" w14:textId="77777777" w:rsidR="002C0FD9" w:rsidRPr="00CA25CF" w:rsidRDefault="002C0FD9" w:rsidP="00CA25CF">
            <w:pPr>
              <w:rPr>
                <w:rFonts w:cs="Arial"/>
                <w:color w:val="FF0000"/>
                <w:sz w:val="21"/>
                <w:szCs w:val="21"/>
              </w:rPr>
            </w:pPr>
          </w:p>
        </w:tc>
        <w:tc>
          <w:tcPr>
            <w:tcW w:w="217" w:type="dxa"/>
          </w:tcPr>
          <w:p w14:paraId="11BF36F1" w14:textId="77777777" w:rsidR="002C0FD9" w:rsidRPr="00CA25CF" w:rsidRDefault="002C0FD9" w:rsidP="00CA25CF">
            <w:pPr>
              <w:rPr>
                <w:rFonts w:cs="Arial"/>
                <w:color w:val="FF0000"/>
                <w:sz w:val="21"/>
                <w:szCs w:val="21"/>
              </w:rPr>
            </w:pPr>
          </w:p>
        </w:tc>
        <w:tc>
          <w:tcPr>
            <w:tcW w:w="217" w:type="dxa"/>
          </w:tcPr>
          <w:p w14:paraId="6FAB7A6A" w14:textId="77777777" w:rsidR="002C0FD9" w:rsidRPr="00CA25CF" w:rsidRDefault="002C0FD9" w:rsidP="00CA25CF">
            <w:pPr>
              <w:rPr>
                <w:rFonts w:cs="Arial"/>
                <w:color w:val="FF0000"/>
                <w:sz w:val="21"/>
                <w:szCs w:val="21"/>
              </w:rPr>
            </w:pPr>
          </w:p>
        </w:tc>
        <w:tc>
          <w:tcPr>
            <w:tcW w:w="217" w:type="dxa"/>
          </w:tcPr>
          <w:p w14:paraId="20841D8F" w14:textId="77777777" w:rsidR="002C0FD9" w:rsidRPr="00CA25CF" w:rsidRDefault="002C0FD9" w:rsidP="00CA25CF">
            <w:pPr>
              <w:rPr>
                <w:rFonts w:cs="Arial"/>
                <w:color w:val="FF0000"/>
                <w:sz w:val="21"/>
                <w:szCs w:val="21"/>
              </w:rPr>
            </w:pPr>
          </w:p>
        </w:tc>
        <w:tc>
          <w:tcPr>
            <w:tcW w:w="217" w:type="dxa"/>
          </w:tcPr>
          <w:p w14:paraId="076EC3C1" w14:textId="77777777" w:rsidR="002C0FD9" w:rsidRPr="00CA25CF" w:rsidRDefault="002C0FD9" w:rsidP="00CA25CF">
            <w:pPr>
              <w:rPr>
                <w:rFonts w:cs="Arial"/>
                <w:color w:val="FF0000"/>
                <w:sz w:val="21"/>
                <w:szCs w:val="21"/>
              </w:rPr>
            </w:pPr>
          </w:p>
        </w:tc>
        <w:tc>
          <w:tcPr>
            <w:tcW w:w="217" w:type="dxa"/>
          </w:tcPr>
          <w:p w14:paraId="3F587D8F" w14:textId="77777777" w:rsidR="002C0FD9" w:rsidRPr="00CA25CF" w:rsidRDefault="002C0FD9" w:rsidP="00CA25CF">
            <w:pPr>
              <w:rPr>
                <w:rFonts w:cs="Arial"/>
                <w:color w:val="FF0000"/>
                <w:sz w:val="21"/>
                <w:szCs w:val="21"/>
              </w:rPr>
            </w:pPr>
          </w:p>
        </w:tc>
        <w:tc>
          <w:tcPr>
            <w:tcW w:w="217" w:type="dxa"/>
          </w:tcPr>
          <w:p w14:paraId="40D5A480" w14:textId="77777777" w:rsidR="002C0FD9" w:rsidRPr="00CA25CF" w:rsidRDefault="002C0FD9" w:rsidP="00CA25CF">
            <w:pPr>
              <w:rPr>
                <w:rFonts w:cs="Arial"/>
                <w:color w:val="FF0000"/>
                <w:sz w:val="21"/>
                <w:szCs w:val="21"/>
              </w:rPr>
            </w:pPr>
          </w:p>
        </w:tc>
        <w:tc>
          <w:tcPr>
            <w:tcW w:w="217" w:type="dxa"/>
          </w:tcPr>
          <w:p w14:paraId="5F149C43" w14:textId="77777777" w:rsidR="002C0FD9" w:rsidRPr="00CA25CF" w:rsidRDefault="002C0FD9" w:rsidP="00CA25CF">
            <w:pPr>
              <w:rPr>
                <w:rFonts w:cs="Arial"/>
                <w:color w:val="FF0000"/>
                <w:sz w:val="21"/>
                <w:szCs w:val="21"/>
              </w:rPr>
            </w:pPr>
          </w:p>
        </w:tc>
        <w:tc>
          <w:tcPr>
            <w:tcW w:w="217" w:type="dxa"/>
          </w:tcPr>
          <w:p w14:paraId="34BBA768" w14:textId="77777777" w:rsidR="002C0FD9" w:rsidRPr="00CA25CF" w:rsidRDefault="002C0FD9" w:rsidP="00CA25CF">
            <w:pPr>
              <w:rPr>
                <w:rFonts w:cs="Arial"/>
                <w:color w:val="FF0000"/>
                <w:sz w:val="21"/>
                <w:szCs w:val="21"/>
              </w:rPr>
            </w:pPr>
          </w:p>
        </w:tc>
        <w:tc>
          <w:tcPr>
            <w:tcW w:w="217" w:type="dxa"/>
          </w:tcPr>
          <w:p w14:paraId="1E121E4B" w14:textId="77777777" w:rsidR="002C0FD9" w:rsidRPr="00CA25CF" w:rsidRDefault="002C0FD9" w:rsidP="00CA25CF">
            <w:pPr>
              <w:rPr>
                <w:rFonts w:cs="Arial"/>
                <w:color w:val="FF0000"/>
                <w:sz w:val="21"/>
                <w:szCs w:val="21"/>
              </w:rPr>
            </w:pPr>
          </w:p>
        </w:tc>
        <w:tc>
          <w:tcPr>
            <w:tcW w:w="217" w:type="dxa"/>
          </w:tcPr>
          <w:p w14:paraId="3820F119" w14:textId="77777777" w:rsidR="002C0FD9" w:rsidRPr="00CA25CF" w:rsidRDefault="002C0FD9" w:rsidP="00CA25CF">
            <w:pPr>
              <w:rPr>
                <w:rFonts w:cs="Arial"/>
                <w:color w:val="FF0000"/>
                <w:sz w:val="21"/>
                <w:szCs w:val="21"/>
              </w:rPr>
            </w:pPr>
          </w:p>
        </w:tc>
        <w:tc>
          <w:tcPr>
            <w:tcW w:w="217" w:type="dxa"/>
          </w:tcPr>
          <w:p w14:paraId="62CE1B5B" w14:textId="77777777" w:rsidR="002C0FD9" w:rsidRPr="00CA25CF" w:rsidRDefault="002C0FD9" w:rsidP="00CA25CF">
            <w:pPr>
              <w:rPr>
                <w:rFonts w:cs="Arial"/>
                <w:color w:val="FF0000"/>
                <w:sz w:val="21"/>
                <w:szCs w:val="21"/>
              </w:rPr>
            </w:pPr>
          </w:p>
        </w:tc>
        <w:tc>
          <w:tcPr>
            <w:tcW w:w="217" w:type="dxa"/>
          </w:tcPr>
          <w:p w14:paraId="17FC52A5" w14:textId="77777777" w:rsidR="002C0FD9" w:rsidRPr="00CA25CF" w:rsidRDefault="002C0FD9" w:rsidP="00CA25CF">
            <w:pPr>
              <w:rPr>
                <w:rFonts w:cs="Arial"/>
                <w:color w:val="FF0000"/>
                <w:sz w:val="21"/>
                <w:szCs w:val="21"/>
              </w:rPr>
            </w:pPr>
          </w:p>
        </w:tc>
        <w:tc>
          <w:tcPr>
            <w:tcW w:w="217" w:type="dxa"/>
          </w:tcPr>
          <w:p w14:paraId="45FB3C96" w14:textId="77777777" w:rsidR="002C0FD9" w:rsidRPr="00CA25CF" w:rsidRDefault="002C0FD9" w:rsidP="00CA25CF">
            <w:pPr>
              <w:rPr>
                <w:rFonts w:cs="Arial"/>
                <w:color w:val="FF0000"/>
                <w:sz w:val="21"/>
                <w:szCs w:val="21"/>
              </w:rPr>
            </w:pPr>
          </w:p>
        </w:tc>
        <w:tc>
          <w:tcPr>
            <w:tcW w:w="217" w:type="dxa"/>
          </w:tcPr>
          <w:p w14:paraId="52502C9E" w14:textId="77777777" w:rsidR="002C0FD9" w:rsidRPr="00CA25CF" w:rsidRDefault="002C0FD9" w:rsidP="00CA25CF">
            <w:pPr>
              <w:rPr>
                <w:rFonts w:cs="Arial"/>
                <w:color w:val="FF0000"/>
                <w:sz w:val="21"/>
                <w:szCs w:val="21"/>
              </w:rPr>
            </w:pPr>
          </w:p>
        </w:tc>
        <w:tc>
          <w:tcPr>
            <w:tcW w:w="217" w:type="dxa"/>
          </w:tcPr>
          <w:p w14:paraId="68CC9957" w14:textId="77777777" w:rsidR="002C0FD9" w:rsidRPr="00CA25CF" w:rsidRDefault="002C0FD9" w:rsidP="00CA25CF">
            <w:pPr>
              <w:rPr>
                <w:rFonts w:cs="Arial"/>
                <w:color w:val="FF0000"/>
                <w:sz w:val="21"/>
                <w:szCs w:val="21"/>
              </w:rPr>
            </w:pPr>
          </w:p>
        </w:tc>
        <w:tc>
          <w:tcPr>
            <w:tcW w:w="217" w:type="dxa"/>
          </w:tcPr>
          <w:p w14:paraId="0C2386AF" w14:textId="77777777" w:rsidR="002C0FD9" w:rsidRPr="00CA25CF" w:rsidRDefault="002C0FD9" w:rsidP="00CA25CF">
            <w:pPr>
              <w:rPr>
                <w:rFonts w:cs="Arial"/>
                <w:color w:val="FF0000"/>
                <w:sz w:val="21"/>
                <w:szCs w:val="21"/>
              </w:rPr>
            </w:pPr>
          </w:p>
        </w:tc>
        <w:tc>
          <w:tcPr>
            <w:tcW w:w="217" w:type="dxa"/>
          </w:tcPr>
          <w:p w14:paraId="49F2A684" w14:textId="77777777" w:rsidR="002C0FD9" w:rsidRPr="00CA25CF" w:rsidRDefault="002C0FD9" w:rsidP="00CA25CF">
            <w:pPr>
              <w:rPr>
                <w:rFonts w:cs="Arial"/>
                <w:color w:val="FF0000"/>
                <w:sz w:val="21"/>
                <w:szCs w:val="21"/>
              </w:rPr>
            </w:pPr>
          </w:p>
        </w:tc>
        <w:tc>
          <w:tcPr>
            <w:tcW w:w="217" w:type="dxa"/>
          </w:tcPr>
          <w:p w14:paraId="7CEADF9B" w14:textId="77777777" w:rsidR="002C0FD9" w:rsidRPr="00CA25CF" w:rsidRDefault="002C0FD9" w:rsidP="00CA25CF">
            <w:pPr>
              <w:rPr>
                <w:rFonts w:cs="Arial"/>
                <w:color w:val="FF0000"/>
                <w:sz w:val="21"/>
                <w:szCs w:val="21"/>
              </w:rPr>
            </w:pPr>
          </w:p>
        </w:tc>
        <w:tc>
          <w:tcPr>
            <w:tcW w:w="217" w:type="dxa"/>
          </w:tcPr>
          <w:p w14:paraId="59912C5A" w14:textId="77777777" w:rsidR="002C0FD9" w:rsidRPr="00CA25CF" w:rsidRDefault="002C0FD9" w:rsidP="00CA25CF">
            <w:pPr>
              <w:rPr>
                <w:rFonts w:cs="Arial"/>
                <w:color w:val="FF0000"/>
                <w:sz w:val="21"/>
                <w:szCs w:val="21"/>
              </w:rPr>
            </w:pPr>
          </w:p>
        </w:tc>
      </w:tr>
      <w:tr w:rsidR="002C0FD9" w:rsidRPr="00A16219" w14:paraId="256415B8" w14:textId="77777777" w:rsidTr="002C0FD9">
        <w:trPr>
          <w:trHeight w:val="635"/>
        </w:trPr>
        <w:tc>
          <w:tcPr>
            <w:tcW w:w="515" w:type="dxa"/>
          </w:tcPr>
          <w:p w14:paraId="3207D6C5" w14:textId="77777777" w:rsidR="002C0FD9" w:rsidRPr="00CA25CF" w:rsidRDefault="002C0FD9" w:rsidP="00CA25CF">
            <w:pPr>
              <w:rPr>
                <w:rFonts w:cs="Arial"/>
                <w:color w:val="FF0000"/>
                <w:sz w:val="21"/>
                <w:szCs w:val="21"/>
              </w:rPr>
            </w:pPr>
          </w:p>
        </w:tc>
        <w:tc>
          <w:tcPr>
            <w:tcW w:w="217" w:type="dxa"/>
          </w:tcPr>
          <w:p w14:paraId="71C708B9" w14:textId="77777777" w:rsidR="002C0FD9" w:rsidRPr="00CA25CF" w:rsidRDefault="002C0FD9" w:rsidP="00CA25CF">
            <w:pPr>
              <w:rPr>
                <w:rFonts w:cs="Arial"/>
                <w:color w:val="FF0000"/>
                <w:sz w:val="21"/>
                <w:szCs w:val="21"/>
              </w:rPr>
            </w:pPr>
          </w:p>
        </w:tc>
        <w:tc>
          <w:tcPr>
            <w:tcW w:w="217" w:type="dxa"/>
          </w:tcPr>
          <w:p w14:paraId="7BA69425" w14:textId="77777777" w:rsidR="002C0FD9" w:rsidRPr="00CA25CF" w:rsidRDefault="002C0FD9" w:rsidP="00CA25CF">
            <w:pPr>
              <w:rPr>
                <w:rFonts w:cs="Arial"/>
                <w:color w:val="FF0000"/>
                <w:sz w:val="21"/>
                <w:szCs w:val="21"/>
              </w:rPr>
            </w:pPr>
          </w:p>
        </w:tc>
        <w:tc>
          <w:tcPr>
            <w:tcW w:w="217" w:type="dxa"/>
          </w:tcPr>
          <w:p w14:paraId="408E41B5" w14:textId="77777777" w:rsidR="002C0FD9" w:rsidRPr="00CA25CF" w:rsidRDefault="002C0FD9" w:rsidP="00CA25CF">
            <w:pPr>
              <w:rPr>
                <w:rFonts w:cs="Arial"/>
                <w:color w:val="FF0000"/>
                <w:sz w:val="21"/>
                <w:szCs w:val="21"/>
              </w:rPr>
            </w:pPr>
          </w:p>
        </w:tc>
        <w:tc>
          <w:tcPr>
            <w:tcW w:w="217" w:type="dxa"/>
          </w:tcPr>
          <w:p w14:paraId="2C7B96BF" w14:textId="77777777" w:rsidR="002C0FD9" w:rsidRPr="00CA25CF" w:rsidRDefault="002C0FD9" w:rsidP="00CA25CF">
            <w:pPr>
              <w:rPr>
                <w:rFonts w:cs="Arial"/>
                <w:color w:val="FF0000"/>
                <w:sz w:val="21"/>
                <w:szCs w:val="21"/>
              </w:rPr>
            </w:pPr>
          </w:p>
        </w:tc>
        <w:tc>
          <w:tcPr>
            <w:tcW w:w="217" w:type="dxa"/>
          </w:tcPr>
          <w:p w14:paraId="1C52D6A2" w14:textId="77777777" w:rsidR="002C0FD9" w:rsidRPr="00CA25CF" w:rsidRDefault="002C0FD9" w:rsidP="00CA25CF">
            <w:pPr>
              <w:rPr>
                <w:rFonts w:cs="Arial"/>
                <w:color w:val="FF0000"/>
                <w:sz w:val="21"/>
                <w:szCs w:val="21"/>
              </w:rPr>
            </w:pPr>
          </w:p>
        </w:tc>
        <w:tc>
          <w:tcPr>
            <w:tcW w:w="217" w:type="dxa"/>
          </w:tcPr>
          <w:p w14:paraId="3100D600" w14:textId="77777777" w:rsidR="002C0FD9" w:rsidRPr="00CA25CF" w:rsidRDefault="002C0FD9" w:rsidP="00CA25CF">
            <w:pPr>
              <w:rPr>
                <w:rFonts w:cs="Arial"/>
                <w:color w:val="FF0000"/>
                <w:sz w:val="21"/>
                <w:szCs w:val="21"/>
              </w:rPr>
            </w:pPr>
          </w:p>
        </w:tc>
        <w:tc>
          <w:tcPr>
            <w:tcW w:w="217" w:type="dxa"/>
          </w:tcPr>
          <w:p w14:paraId="081E8CFA" w14:textId="77777777" w:rsidR="002C0FD9" w:rsidRPr="00CA25CF" w:rsidRDefault="002C0FD9" w:rsidP="00CA25CF">
            <w:pPr>
              <w:rPr>
                <w:rFonts w:cs="Arial"/>
                <w:color w:val="FF0000"/>
                <w:sz w:val="21"/>
                <w:szCs w:val="21"/>
              </w:rPr>
            </w:pPr>
          </w:p>
        </w:tc>
        <w:tc>
          <w:tcPr>
            <w:tcW w:w="217" w:type="dxa"/>
          </w:tcPr>
          <w:p w14:paraId="17131788" w14:textId="77777777" w:rsidR="002C0FD9" w:rsidRPr="00CA25CF" w:rsidRDefault="002C0FD9" w:rsidP="00CA25CF">
            <w:pPr>
              <w:rPr>
                <w:rFonts w:cs="Arial"/>
                <w:color w:val="FF0000"/>
                <w:sz w:val="21"/>
                <w:szCs w:val="21"/>
              </w:rPr>
            </w:pPr>
          </w:p>
        </w:tc>
        <w:tc>
          <w:tcPr>
            <w:tcW w:w="217" w:type="dxa"/>
          </w:tcPr>
          <w:p w14:paraId="527A8589" w14:textId="77777777" w:rsidR="002C0FD9" w:rsidRPr="00CA25CF" w:rsidRDefault="002C0FD9" w:rsidP="00CA25CF">
            <w:pPr>
              <w:rPr>
                <w:rFonts w:cs="Arial"/>
                <w:color w:val="FF0000"/>
                <w:sz w:val="21"/>
                <w:szCs w:val="21"/>
              </w:rPr>
            </w:pPr>
          </w:p>
        </w:tc>
        <w:tc>
          <w:tcPr>
            <w:tcW w:w="217" w:type="dxa"/>
          </w:tcPr>
          <w:p w14:paraId="4161BD66" w14:textId="77777777" w:rsidR="002C0FD9" w:rsidRPr="00CA25CF" w:rsidRDefault="002C0FD9" w:rsidP="00CA25CF">
            <w:pPr>
              <w:rPr>
                <w:rFonts w:cs="Arial"/>
                <w:color w:val="FF0000"/>
                <w:sz w:val="21"/>
                <w:szCs w:val="21"/>
              </w:rPr>
            </w:pPr>
          </w:p>
        </w:tc>
        <w:tc>
          <w:tcPr>
            <w:tcW w:w="217" w:type="dxa"/>
          </w:tcPr>
          <w:p w14:paraId="5DABC9B8" w14:textId="77777777" w:rsidR="002C0FD9" w:rsidRPr="00CA25CF" w:rsidRDefault="002C0FD9" w:rsidP="00CA25CF">
            <w:pPr>
              <w:rPr>
                <w:rFonts w:cs="Arial"/>
                <w:color w:val="FF0000"/>
                <w:sz w:val="21"/>
                <w:szCs w:val="21"/>
              </w:rPr>
            </w:pPr>
          </w:p>
        </w:tc>
        <w:tc>
          <w:tcPr>
            <w:tcW w:w="217" w:type="dxa"/>
          </w:tcPr>
          <w:p w14:paraId="2266859E" w14:textId="77777777" w:rsidR="002C0FD9" w:rsidRPr="00CA25CF" w:rsidRDefault="002C0FD9" w:rsidP="00CA25CF">
            <w:pPr>
              <w:rPr>
                <w:rFonts w:cs="Arial"/>
                <w:color w:val="FF0000"/>
                <w:sz w:val="21"/>
                <w:szCs w:val="21"/>
              </w:rPr>
            </w:pPr>
          </w:p>
        </w:tc>
        <w:tc>
          <w:tcPr>
            <w:tcW w:w="217" w:type="dxa"/>
          </w:tcPr>
          <w:p w14:paraId="5220B5D8" w14:textId="77777777" w:rsidR="002C0FD9" w:rsidRPr="00CA25CF" w:rsidRDefault="002C0FD9" w:rsidP="00CA25CF">
            <w:pPr>
              <w:rPr>
                <w:rFonts w:cs="Arial"/>
                <w:color w:val="FF0000"/>
                <w:sz w:val="21"/>
                <w:szCs w:val="21"/>
              </w:rPr>
            </w:pPr>
          </w:p>
        </w:tc>
        <w:tc>
          <w:tcPr>
            <w:tcW w:w="217" w:type="dxa"/>
          </w:tcPr>
          <w:p w14:paraId="4BED0931" w14:textId="77777777" w:rsidR="002C0FD9" w:rsidRPr="00CA25CF" w:rsidRDefault="002C0FD9" w:rsidP="00CA25CF">
            <w:pPr>
              <w:rPr>
                <w:rFonts w:cs="Arial"/>
                <w:color w:val="FF0000"/>
                <w:sz w:val="21"/>
                <w:szCs w:val="21"/>
              </w:rPr>
            </w:pPr>
          </w:p>
        </w:tc>
        <w:tc>
          <w:tcPr>
            <w:tcW w:w="217" w:type="dxa"/>
          </w:tcPr>
          <w:p w14:paraId="5F8681F4" w14:textId="77777777" w:rsidR="002C0FD9" w:rsidRPr="00CA25CF" w:rsidRDefault="002C0FD9" w:rsidP="00CA25CF">
            <w:pPr>
              <w:rPr>
                <w:rFonts w:cs="Arial"/>
                <w:color w:val="FF0000"/>
                <w:sz w:val="21"/>
                <w:szCs w:val="21"/>
              </w:rPr>
            </w:pPr>
          </w:p>
        </w:tc>
        <w:tc>
          <w:tcPr>
            <w:tcW w:w="217" w:type="dxa"/>
          </w:tcPr>
          <w:p w14:paraId="46344FB9" w14:textId="77777777" w:rsidR="002C0FD9" w:rsidRPr="00CA25CF" w:rsidRDefault="002C0FD9" w:rsidP="00CA25CF">
            <w:pPr>
              <w:rPr>
                <w:rFonts w:cs="Arial"/>
                <w:color w:val="FF0000"/>
                <w:sz w:val="21"/>
                <w:szCs w:val="21"/>
              </w:rPr>
            </w:pPr>
          </w:p>
        </w:tc>
        <w:tc>
          <w:tcPr>
            <w:tcW w:w="217" w:type="dxa"/>
          </w:tcPr>
          <w:p w14:paraId="5FE33D21" w14:textId="77777777" w:rsidR="002C0FD9" w:rsidRPr="00CA25CF" w:rsidRDefault="002C0FD9" w:rsidP="00CA25CF">
            <w:pPr>
              <w:rPr>
                <w:rFonts w:cs="Arial"/>
                <w:color w:val="FF0000"/>
                <w:sz w:val="21"/>
                <w:szCs w:val="21"/>
              </w:rPr>
            </w:pPr>
          </w:p>
        </w:tc>
        <w:tc>
          <w:tcPr>
            <w:tcW w:w="217" w:type="dxa"/>
          </w:tcPr>
          <w:p w14:paraId="2BACFB6C" w14:textId="77777777" w:rsidR="002C0FD9" w:rsidRPr="00CA25CF" w:rsidRDefault="002C0FD9" w:rsidP="00CA25CF">
            <w:pPr>
              <w:rPr>
                <w:rFonts w:cs="Arial"/>
                <w:color w:val="FF0000"/>
                <w:sz w:val="21"/>
                <w:szCs w:val="21"/>
              </w:rPr>
            </w:pPr>
          </w:p>
        </w:tc>
        <w:tc>
          <w:tcPr>
            <w:tcW w:w="217" w:type="dxa"/>
          </w:tcPr>
          <w:p w14:paraId="26362F4F" w14:textId="77777777" w:rsidR="002C0FD9" w:rsidRPr="00CA25CF" w:rsidRDefault="002C0FD9" w:rsidP="00CA25CF">
            <w:pPr>
              <w:rPr>
                <w:rFonts w:cs="Arial"/>
                <w:color w:val="FF0000"/>
                <w:sz w:val="21"/>
                <w:szCs w:val="21"/>
              </w:rPr>
            </w:pPr>
          </w:p>
        </w:tc>
        <w:tc>
          <w:tcPr>
            <w:tcW w:w="217" w:type="dxa"/>
          </w:tcPr>
          <w:p w14:paraId="07C1B1B6" w14:textId="77777777" w:rsidR="002C0FD9" w:rsidRPr="00CA25CF" w:rsidRDefault="002C0FD9" w:rsidP="00CA25CF">
            <w:pPr>
              <w:rPr>
                <w:rFonts w:cs="Arial"/>
                <w:color w:val="FF0000"/>
                <w:sz w:val="21"/>
                <w:szCs w:val="21"/>
              </w:rPr>
            </w:pPr>
          </w:p>
        </w:tc>
        <w:tc>
          <w:tcPr>
            <w:tcW w:w="217" w:type="dxa"/>
          </w:tcPr>
          <w:p w14:paraId="2CCB3596" w14:textId="77777777" w:rsidR="002C0FD9" w:rsidRPr="00CA25CF" w:rsidRDefault="002C0FD9" w:rsidP="00CA25CF">
            <w:pPr>
              <w:rPr>
                <w:rFonts w:cs="Arial"/>
                <w:color w:val="FF0000"/>
                <w:sz w:val="21"/>
                <w:szCs w:val="21"/>
              </w:rPr>
            </w:pPr>
          </w:p>
        </w:tc>
        <w:tc>
          <w:tcPr>
            <w:tcW w:w="217" w:type="dxa"/>
          </w:tcPr>
          <w:p w14:paraId="0AD38440" w14:textId="77777777" w:rsidR="002C0FD9" w:rsidRPr="00CA25CF" w:rsidRDefault="002C0FD9" w:rsidP="00CA25CF">
            <w:pPr>
              <w:rPr>
                <w:rFonts w:cs="Arial"/>
                <w:color w:val="FF0000"/>
                <w:sz w:val="21"/>
                <w:szCs w:val="21"/>
              </w:rPr>
            </w:pPr>
          </w:p>
        </w:tc>
        <w:tc>
          <w:tcPr>
            <w:tcW w:w="217" w:type="dxa"/>
          </w:tcPr>
          <w:p w14:paraId="6F854D09" w14:textId="77777777" w:rsidR="002C0FD9" w:rsidRPr="00CA25CF" w:rsidRDefault="002C0FD9" w:rsidP="00CA25CF">
            <w:pPr>
              <w:rPr>
                <w:rFonts w:cs="Arial"/>
                <w:color w:val="FF0000"/>
                <w:sz w:val="21"/>
                <w:szCs w:val="21"/>
              </w:rPr>
            </w:pPr>
          </w:p>
        </w:tc>
        <w:tc>
          <w:tcPr>
            <w:tcW w:w="217" w:type="dxa"/>
          </w:tcPr>
          <w:p w14:paraId="67E93E8A" w14:textId="77777777" w:rsidR="002C0FD9" w:rsidRPr="00CA25CF" w:rsidRDefault="002C0FD9" w:rsidP="00CA25CF">
            <w:pPr>
              <w:rPr>
                <w:rFonts w:cs="Arial"/>
                <w:color w:val="FF0000"/>
                <w:sz w:val="21"/>
                <w:szCs w:val="21"/>
              </w:rPr>
            </w:pPr>
          </w:p>
        </w:tc>
        <w:tc>
          <w:tcPr>
            <w:tcW w:w="217" w:type="dxa"/>
          </w:tcPr>
          <w:p w14:paraId="7A11201A" w14:textId="77777777" w:rsidR="002C0FD9" w:rsidRPr="00CA25CF" w:rsidRDefault="002C0FD9" w:rsidP="00CA25CF">
            <w:pPr>
              <w:rPr>
                <w:rFonts w:cs="Arial"/>
                <w:color w:val="FF0000"/>
                <w:sz w:val="21"/>
                <w:szCs w:val="21"/>
              </w:rPr>
            </w:pPr>
          </w:p>
        </w:tc>
        <w:tc>
          <w:tcPr>
            <w:tcW w:w="217" w:type="dxa"/>
          </w:tcPr>
          <w:p w14:paraId="7E097BD4" w14:textId="77777777" w:rsidR="002C0FD9" w:rsidRPr="00CA25CF" w:rsidRDefault="002C0FD9" w:rsidP="00CA25CF">
            <w:pPr>
              <w:rPr>
                <w:rFonts w:cs="Arial"/>
                <w:color w:val="FF0000"/>
                <w:sz w:val="21"/>
                <w:szCs w:val="21"/>
              </w:rPr>
            </w:pPr>
          </w:p>
        </w:tc>
        <w:tc>
          <w:tcPr>
            <w:tcW w:w="217" w:type="dxa"/>
          </w:tcPr>
          <w:p w14:paraId="4CE073EB" w14:textId="77777777" w:rsidR="002C0FD9" w:rsidRPr="00CA25CF" w:rsidRDefault="002C0FD9" w:rsidP="00CA25CF">
            <w:pPr>
              <w:rPr>
                <w:rFonts w:cs="Arial"/>
                <w:color w:val="FF0000"/>
                <w:sz w:val="21"/>
                <w:szCs w:val="21"/>
              </w:rPr>
            </w:pPr>
          </w:p>
        </w:tc>
        <w:tc>
          <w:tcPr>
            <w:tcW w:w="217" w:type="dxa"/>
          </w:tcPr>
          <w:p w14:paraId="59CBDA9B" w14:textId="77777777" w:rsidR="002C0FD9" w:rsidRPr="00CA25CF" w:rsidRDefault="002C0FD9" w:rsidP="00CA25CF">
            <w:pPr>
              <w:rPr>
                <w:rFonts w:cs="Arial"/>
                <w:color w:val="FF0000"/>
                <w:sz w:val="21"/>
                <w:szCs w:val="21"/>
              </w:rPr>
            </w:pPr>
          </w:p>
        </w:tc>
        <w:tc>
          <w:tcPr>
            <w:tcW w:w="217" w:type="dxa"/>
          </w:tcPr>
          <w:p w14:paraId="7C8E5D26" w14:textId="77777777" w:rsidR="002C0FD9" w:rsidRPr="00CA25CF" w:rsidRDefault="002C0FD9" w:rsidP="00CA25CF">
            <w:pPr>
              <w:rPr>
                <w:rFonts w:cs="Arial"/>
                <w:color w:val="FF0000"/>
                <w:sz w:val="21"/>
                <w:szCs w:val="21"/>
              </w:rPr>
            </w:pPr>
          </w:p>
        </w:tc>
        <w:tc>
          <w:tcPr>
            <w:tcW w:w="217" w:type="dxa"/>
          </w:tcPr>
          <w:p w14:paraId="7C9869C5" w14:textId="77777777" w:rsidR="002C0FD9" w:rsidRPr="00CA25CF" w:rsidRDefault="002C0FD9" w:rsidP="00CA25CF">
            <w:pPr>
              <w:rPr>
                <w:rFonts w:cs="Arial"/>
                <w:color w:val="FF0000"/>
                <w:sz w:val="21"/>
                <w:szCs w:val="21"/>
              </w:rPr>
            </w:pPr>
          </w:p>
        </w:tc>
        <w:tc>
          <w:tcPr>
            <w:tcW w:w="217" w:type="dxa"/>
          </w:tcPr>
          <w:p w14:paraId="7E1EAB37" w14:textId="77777777" w:rsidR="002C0FD9" w:rsidRPr="00CA25CF" w:rsidRDefault="002C0FD9" w:rsidP="00CA25CF">
            <w:pPr>
              <w:rPr>
                <w:rFonts w:cs="Arial"/>
                <w:color w:val="FF0000"/>
                <w:sz w:val="21"/>
                <w:szCs w:val="21"/>
              </w:rPr>
            </w:pPr>
          </w:p>
        </w:tc>
        <w:tc>
          <w:tcPr>
            <w:tcW w:w="217" w:type="dxa"/>
          </w:tcPr>
          <w:p w14:paraId="799B5889" w14:textId="77777777" w:rsidR="002C0FD9" w:rsidRPr="00CA25CF" w:rsidRDefault="002C0FD9" w:rsidP="00CA25CF">
            <w:pPr>
              <w:rPr>
                <w:rFonts w:cs="Arial"/>
                <w:color w:val="FF0000"/>
                <w:sz w:val="21"/>
                <w:szCs w:val="21"/>
              </w:rPr>
            </w:pPr>
          </w:p>
        </w:tc>
        <w:tc>
          <w:tcPr>
            <w:tcW w:w="217" w:type="dxa"/>
          </w:tcPr>
          <w:p w14:paraId="57A06DD7" w14:textId="77777777" w:rsidR="002C0FD9" w:rsidRPr="00CA25CF" w:rsidRDefault="002C0FD9" w:rsidP="00CA25CF">
            <w:pPr>
              <w:rPr>
                <w:rFonts w:cs="Arial"/>
                <w:color w:val="FF0000"/>
                <w:sz w:val="21"/>
                <w:szCs w:val="21"/>
              </w:rPr>
            </w:pPr>
          </w:p>
        </w:tc>
        <w:tc>
          <w:tcPr>
            <w:tcW w:w="217" w:type="dxa"/>
          </w:tcPr>
          <w:p w14:paraId="40A2A480" w14:textId="77777777" w:rsidR="002C0FD9" w:rsidRPr="00CA25CF" w:rsidRDefault="002C0FD9" w:rsidP="00CA25CF">
            <w:pPr>
              <w:rPr>
                <w:rFonts w:cs="Arial"/>
                <w:color w:val="FF0000"/>
                <w:sz w:val="21"/>
                <w:szCs w:val="21"/>
              </w:rPr>
            </w:pPr>
          </w:p>
        </w:tc>
        <w:tc>
          <w:tcPr>
            <w:tcW w:w="217" w:type="dxa"/>
          </w:tcPr>
          <w:p w14:paraId="3A8DA2B5" w14:textId="77777777" w:rsidR="002C0FD9" w:rsidRPr="00CA25CF" w:rsidRDefault="002C0FD9" w:rsidP="00CA25CF">
            <w:pPr>
              <w:rPr>
                <w:rFonts w:cs="Arial"/>
                <w:color w:val="FF0000"/>
                <w:sz w:val="21"/>
                <w:szCs w:val="21"/>
              </w:rPr>
            </w:pPr>
          </w:p>
        </w:tc>
        <w:tc>
          <w:tcPr>
            <w:tcW w:w="217" w:type="dxa"/>
          </w:tcPr>
          <w:p w14:paraId="66A7DC48" w14:textId="77777777" w:rsidR="002C0FD9" w:rsidRPr="00CA25CF" w:rsidRDefault="002C0FD9" w:rsidP="00CA25CF">
            <w:pPr>
              <w:rPr>
                <w:rFonts w:cs="Arial"/>
                <w:color w:val="FF0000"/>
                <w:sz w:val="21"/>
                <w:szCs w:val="21"/>
              </w:rPr>
            </w:pPr>
          </w:p>
        </w:tc>
        <w:tc>
          <w:tcPr>
            <w:tcW w:w="217" w:type="dxa"/>
          </w:tcPr>
          <w:p w14:paraId="50BAB0E3" w14:textId="77777777" w:rsidR="002C0FD9" w:rsidRPr="00CA25CF" w:rsidRDefault="002C0FD9" w:rsidP="00CA25CF">
            <w:pPr>
              <w:rPr>
                <w:rFonts w:cs="Arial"/>
                <w:color w:val="FF0000"/>
                <w:sz w:val="21"/>
                <w:szCs w:val="21"/>
              </w:rPr>
            </w:pPr>
          </w:p>
        </w:tc>
        <w:tc>
          <w:tcPr>
            <w:tcW w:w="217" w:type="dxa"/>
          </w:tcPr>
          <w:p w14:paraId="2520E289" w14:textId="77777777" w:rsidR="002C0FD9" w:rsidRPr="00CA25CF" w:rsidRDefault="002C0FD9" w:rsidP="00CA25CF">
            <w:pPr>
              <w:rPr>
                <w:rFonts w:cs="Arial"/>
                <w:color w:val="FF0000"/>
                <w:sz w:val="21"/>
                <w:szCs w:val="21"/>
              </w:rPr>
            </w:pPr>
          </w:p>
        </w:tc>
        <w:tc>
          <w:tcPr>
            <w:tcW w:w="217" w:type="dxa"/>
          </w:tcPr>
          <w:p w14:paraId="799F7516" w14:textId="77777777" w:rsidR="002C0FD9" w:rsidRPr="00CA25CF" w:rsidRDefault="002C0FD9" w:rsidP="00CA25CF">
            <w:pPr>
              <w:rPr>
                <w:rFonts w:cs="Arial"/>
                <w:color w:val="FF0000"/>
                <w:sz w:val="21"/>
                <w:szCs w:val="21"/>
              </w:rPr>
            </w:pPr>
          </w:p>
        </w:tc>
        <w:tc>
          <w:tcPr>
            <w:tcW w:w="217" w:type="dxa"/>
          </w:tcPr>
          <w:p w14:paraId="755BCC98" w14:textId="77777777" w:rsidR="002C0FD9" w:rsidRPr="00CA25CF" w:rsidRDefault="002C0FD9" w:rsidP="00CA25CF">
            <w:pPr>
              <w:rPr>
                <w:rFonts w:cs="Arial"/>
                <w:color w:val="FF0000"/>
                <w:sz w:val="21"/>
                <w:szCs w:val="21"/>
              </w:rPr>
            </w:pPr>
          </w:p>
        </w:tc>
        <w:tc>
          <w:tcPr>
            <w:tcW w:w="217" w:type="dxa"/>
          </w:tcPr>
          <w:p w14:paraId="5DC4C9F2" w14:textId="77777777" w:rsidR="002C0FD9" w:rsidRPr="00CA25CF" w:rsidRDefault="002C0FD9" w:rsidP="00CA25CF">
            <w:pPr>
              <w:rPr>
                <w:rFonts w:cs="Arial"/>
                <w:color w:val="FF0000"/>
                <w:sz w:val="21"/>
                <w:szCs w:val="21"/>
              </w:rPr>
            </w:pPr>
          </w:p>
        </w:tc>
        <w:tc>
          <w:tcPr>
            <w:tcW w:w="217" w:type="dxa"/>
          </w:tcPr>
          <w:p w14:paraId="618423F3" w14:textId="77777777" w:rsidR="002C0FD9" w:rsidRPr="00CA25CF" w:rsidRDefault="002C0FD9" w:rsidP="00CA25CF">
            <w:pPr>
              <w:rPr>
                <w:rFonts w:cs="Arial"/>
                <w:color w:val="FF0000"/>
                <w:sz w:val="21"/>
                <w:szCs w:val="21"/>
              </w:rPr>
            </w:pPr>
          </w:p>
        </w:tc>
      </w:tr>
      <w:tr w:rsidR="002C0FD9" w:rsidRPr="00A16219" w14:paraId="41507ACE" w14:textId="77777777" w:rsidTr="002C0FD9">
        <w:trPr>
          <w:trHeight w:val="635"/>
        </w:trPr>
        <w:tc>
          <w:tcPr>
            <w:tcW w:w="515" w:type="dxa"/>
          </w:tcPr>
          <w:p w14:paraId="0BA1F1AA" w14:textId="77777777" w:rsidR="002C0FD9" w:rsidRPr="00CA25CF" w:rsidRDefault="002C0FD9" w:rsidP="00CA25CF">
            <w:pPr>
              <w:rPr>
                <w:rFonts w:cs="Arial"/>
                <w:color w:val="FF0000"/>
                <w:sz w:val="21"/>
                <w:szCs w:val="21"/>
              </w:rPr>
            </w:pPr>
          </w:p>
        </w:tc>
        <w:tc>
          <w:tcPr>
            <w:tcW w:w="217" w:type="dxa"/>
          </w:tcPr>
          <w:p w14:paraId="5EC0B49D" w14:textId="77777777" w:rsidR="002C0FD9" w:rsidRPr="00CA25CF" w:rsidRDefault="002C0FD9" w:rsidP="00CA25CF">
            <w:pPr>
              <w:rPr>
                <w:rFonts w:cs="Arial"/>
                <w:color w:val="FF0000"/>
                <w:sz w:val="21"/>
                <w:szCs w:val="21"/>
              </w:rPr>
            </w:pPr>
          </w:p>
        </w:tc>
        <w:tc>
          <w:tcPr>
            <w:tcW w:w="217" w:type="dxa"/>
          </w:tcPr>
          <w:p w14:paraId="21DDCB2C" w14:textId="77777777" w:rsidR="002C0FD9" w:rsidRPr="00CA25CF" w:rsidRDefault="002C0FD9" w:rsidP="00CA25CF">
            <w:pPr>
              <w:rPr>
                <w:rFonts w:cs="Arial"/>
                <w:color w:val="FF0000"/>
                <w:sz w:val="21"/>
                <w:szCs w:val="21"/>
              </w:rPr>
            </w:pPr>
          </w:p>
        </w:tc>
        <w:tc>
          <w:tcPr>
            <w:tcW w:w="217" w:type="dxa"/>
          </w:tcPr>
          <w:p w14:paraId="54C80C2F" w14:textId="77777777" w:rsidR="002C0FD9" w:rsidRPr="00CA25CF" w:rsidRDefault="002C0FD9" w:rsidP="00CA25CF">
            <w:pPr>
              <w:rPr>
                <w:rFonts w:cs="Arial"/>
                <w:color w:val="FF0000"/>
                <w:sz w:val="21"/>
                <w:szCs w:val="21"/>
              </w:rPr>
            </w:pPr>
          </w:p>
        </w:tc>
        <w:tc>
          <w:tcPr>
            <w:tcW w:w="217" w:type="dxa"/>
          </w:tcPr>
          <w:p w14:paraId="19883F91" w14:textId="77777777" w:rsidR="002C0FD9" w:rsidRPr="00CA25CF" w:rsidRDefault="002C0FD9" w:rsidP="00CA25CF">
            <w:pPr>
              <w:rPr>
                <w:rFonts w:cs="Arial"/>
                <w:color w:val="FF0000"/>
                <w:sz w:val="21"/>
                <w:szCs w:val="21"/>
              </w:rPr>
            </w:pPr>
          </w:p>
        </w:tc>
        <w:tc>
          <w:tcPr>
            <w:tcW w:w="217" w:type="dxa"/>
          </w:tcPr>
          <w:p w14:paraId="1AFB6503" w14:textId="77777777" w:rsidR="002C0FD9" w:rsidRPr="00CA25CF" w:rsidRDefault="002C0FD9" w:rsidP="00CA25CF">
            <w:pPr>
              <w:rPr>
                <w:rFonts w:cs="Arial"/>
                <w:color w:val="FF0000"/>
                <w:sz w:val="21"/>
                <w:szCs w:val="21"/>
              </w:rPr>
            </w:pPr>
          </w:p>
        </w:tc>
        <w:tc>
          <w:tcPr>
            <w:tcW w:w="217" w:type="dxa"/>
          </w:tcPr>
          <w:p w14:paraId="395ED492" w14:textId="77777777" w:rsidR="002C0FD9" w:rsidRPr="00CA25CF" w:rsidRDefault="002C0FD9" w:rsidP="00CA25CF">
            <w:pPr>
              <w:rPr>
                <w:rFonts w:cs="Arial"/>
                <w:color w:val="FF0000"/>
                <w:sz w:val="21"/>
                <w:szCs w:val="21"/>
              </w:rPr>
            </w:pPr>
          </w:p>
        </w:tc>
        <w:tc>
          <w:tcPr>
            <w:tcW w:w="217" w:type="dxa"/>
          </w:tcPr>
          <w:p w14:paraId="060DAC86" w14:textId="77777777" w:rsidR="002C0FD9" w:rsidRPr="00CA25CF" w:rsidRDefault="002C0FD9" w:rsidP="00CA25CF">
            <w:pPr>
              <w:rPr>
                <w:rFonts w:cs="Arial"/>
                <w:color w:val="FF0000"/>
                <w:sz w:val="21"/>
                <w:szCs w:val="21"/>
              </w:rPr>
            </w:pPr>
          </w:p>
        </w:tc>
        <w:tc>
          <w:tcPr>
            <w:tcW w:w="217" w:type="dxa"/>
          </w:tcPr>
          <w:p w14:paraId="55A04F18" w14:textId="77777777" w:rsidR="002C0FD9" w:rsidRPr="00CA25CF" w:rsidRDefault="002C0FD9" w:rsidP="00CA25CF">
            <w:pPr>
              <w:rPr>
                <w:rFonts w:cs="Arial"/>
                <w:color w:val="FF0000"/>
                <w:sz w:val="21"/>
                <w:szCs w:val="21"/>
              </w:rPr>
            </w:pPr>
          </w:p>
        </w:tc>
        <w:tc>
          <w:tcPr>
            <w:tcW w:w="217" w:type="dxa"/>
          </w:tcPr>
          <w:p w14:paraId="02073153" w14:textId="77777777" w:rsidR="002C0FD9" w:rsidRPr="00CA25CF" w:rsidRDefault="002C0FD9" w:rsidP="00CA25CF">
            <w:pPr>
              <w:rPr>
                <w:rFonts w:cs="Arial"/>
                <w:color w:val="FF0000"/>
                <w:sz w:val="21"/>
                <w:szCs w:val="21"/>
              </w:rPr>
            </w:pPr>
          </w:p>
        </w:tc>
        <w:tc>
          <w:tcPr>
            <w:tcW w:w="217" w:type="dxa"/>
          </w:tcPr>
          <w:p w14:paraId="68FBFC51" w14:textId="77777777" w:rsidR="002C0FD9" w:rsidRPr="00CA25CF" w:rsidRDefault="002C0FD9" w:rsidP="00CA25CF">
            <w:pPr>
              <w:rPr>
                <w:rFonts w:cs="Arial"/>
                <w:color w:val="FF0000"/>
                <w:sz w:val="21"/>
                <w:szCs w:val="21"/>
              </w:rPr>
            </w:pPr>
          </w:p>
        </w:tc>
        <w:tc>
          <w:tcPr>
            <w:tcW w:w="217" w:type="dxa"/>
          </w:tcPr>
          <w:p w14:paraId="260B8DFD" w14:textId="77777777" w:rsidR="002C0FD9" w:rsidRPr="00CA25CF" w:rsidRDefault="002C0FD9" w:rsidP="00CA25CF">
            <w:pPr>
              <w:rPr>
                <w:rFonts w:cs="Arial"/>
                <w:color w:val="FF0000"/>
                <w:sz w:val="21"/>
                <w:szCs w:val="21"/>
              </w:rPr>
            </w:pPr>
          </w:p>
        </w:tc>
        <w:tc>
          <w:tcPr>
            <w:tcW w:w="217" w:type="dxa"/>
          </w:tcPr>
          <w:p w14:paraId="2452F63C" w14:textId="77777777" w:rsidR="002C0FD9" w:rsidRPr="00CA25CF" w:rsidRDefault="002C0FD9" w:rsidP="00CA25CF">
            <w:pPr>
              <w:rPr>
                <w:rFonts w:cs="Arial"/>
                <w:color w:val="FF0000"/>
                <w:sz w:val="21"/>
                <w:szCs w:val="21"/>
              </w:rPr>
            </w:pPr>
          </w:p>
        </w:tc>
        <w:tc>
          <w:tcPr>
            <w:tcW w:w="217" w:type="dxa"/>
          </w:tcPr>
          <w:p w14:paraId="1DBD0EAD" w14:textId="77777777" w:rsidR="002C0FD9" w:rsidRPr="00CA25CF" w:rsidRDefault="002C0FD9" w:rsidP="00CA25CF">
            <w:pPr>
              <w:rPr>
                <w:rFonts w:cs="Arial"/>
                <w:color w:val="FF0000"/>
                <w:sz w:val="21"/>
                <w:szCs w:val="21"/>
              </w:rPr>
            </w:pPr>
          </w:p>
        </w:tc>
        <w:tc>
          <w:tcPr>
            <w:tcW w:w="217" w:type="dxa"/>
          </w:tcPr>
          <w:p w14:paraId="78E8C322" w14:textId="77777777" w:rsidR="002C0FD9" w:rsidRPr="00CA25CF" w:rsidRDefault="002C0FD9" w:rsidP="00CA25CF">
            <w:pPr>
              <w:rPr>
                <w:rFonts w:cs="Arial"/>
                <w:color w:val="FF0000"/>
                <w:sz w:val="21"/>
                <w:szCs w:val="21"/>
              </w:rPr>
            </w:pPr>
          </w:p>
        </w:tc>
        <w:tc>
          <w:tcPr>
            <w:tcW w:w="217" w:type="dxa"/>
          </w:tcPr>
          <w:p w14:paraId="1492E9B6" w14:textId="77777777" w:rsidR="002C0FD9" w:rsidRPr="00CA25CF" w:rsidRDefault="002C0FD9" w:rsidP="00CA25CF">
            <w:pPr>
              <w:rPr>
                <w:rFonts w:cs="Arial"/>
                <w:color w:val="FF0000"/>
                <w:sz w:val="21"/>
                <w:szCs w:val="21"/>
              </w:rPr>
            </w:pPr>
          </w:p>
        </w:tc>
        <w:tc>
          <w:tcPr>
            <w:tcW w:w="217" w:type="dxa"/>
          </w:tcPr>
          <w:p w14:paraId="631CB66B" w14:textId="77777777" w:rsidR="002C0FD9" w:rsidRPr="00CA25CF" w:rsidRDefault="002C0FD9" w:rsidP="00CA25CF">
            <w:pPr>
              <w:rPr>
                <w:rFonts w:cs="Arial"/>
                <w:color w:val="FF0000"/>
                <w:sz w:val="21"/>
                <w:szCs w:val="21"/>
              </w:rPr>
            </w:pPr>
          </w:p>
        </w:tc>
        <w:tc>
          <w:tcPr>
            <w:tcW w:w="217" w:type="dxa"/>
          </w:tcPr>
          <w:p w14:paraId="5F8F15C3" w14:textId="77777777" w:rsidR="002C0FD9" w:rsidRPr="00CA25CF" w:rsidRDefault="002C0FD9" w:rsidP="00CA25CF">
            <w:pPr>
              <w:rPr>
                <w:rFonts w:cs="Arial"/>
                <w:color w:val="FF0000"/>
                <w:sz w:val="21"/>
                <w:szCs w:val="21"/>
              </w:rPr>
            </w:pPr>
          </w:p>
        </w:tc>
        <w:tc>
          <w:tcPr>
            <w:tcW w:w="217" w:type="dxa"/>
          </w:tcPr>
          <w:p w14:paraId="0F42D374" w14:textId="77777777" w:rsidR="002C0FD9" w:rsidRPr="00CA25CF" w:rsidRDefault="002C0FD9" w:rsidP="00CA25CF">
            <w:pPr>
              <w:rPr>
                <w:rFonts w:cs="Arial"/>
                <w:color w:val="FF0000"/>
                <w:sz w:val="21"/>
                <w:szCs w:val="21"/>
              </w:rPr>
            </w:pPr>
          </w:p>
        </w:tc>
        <w:tc>
          <w:tcPr>
            <w:tcW w:w="217" w:type="dxa"/>
          </w:tcPr>
          <w:p w14:paraId="11B6B50D" w14:textId="77777777" w:rsidR="002C0FD9" w:rsidRPr="00CA25CF" w:rsidRDefault="002C0FD9" w:rsidP="00CA25CF">
            <w:pPr>
              <w:rPr>
                <w:rFonts w:cs="Arial"/>
                <w:color w:val="FF0000"/>
                <w:sz w:val="21"/>
                <w:szCs w:val="21"/>
              </w:rPr>
            </w:pPr>
          </w:p>
        </w:tc>
        <w:tc>
          <w:tcPr>
            <w:tcW w:w="217" w:type="dxa"/>
          </w:tcPr>
          <w:p w14:paraId="294C7822" w14:textId="77777777" w:rsidR="002C0FD9" w:rsidRPr="00CA25CF" w:rsidRDefault="002C0FD9" w:rsidP="00CA25CF">
            <w:pPr>
              <w:rPr>
                <w:rFonts w:cs="Arial"/>
                <w:color w:val="FF0000"/>
                <w:sz w:val="21"/>
                <w:szCs w:val="21"/>
              </w:rPr>
            </w:pPr>
          </w:p>
        </w:tc>
        <w:tc>
          <w:tcPr>
            <w:tcW w:w="217" w:type="dxa"/>
          </w:tcPr>
          <w:p w14:paraId="75A983F8" w14:textId="77777777" w:rsidR="002C0FD9" w:rsidRPr="00CA25CF" w:rsidRDefault="002C0FD9" w:rsidP="00CA25CF">
            <w:pPr>
              <w:rPr>
                <w:rFonts w:cs="Arial"/>
                <w:color w:val="FF0000"/>
                <w:sz w:val="21"/>
                <w:szCs w:val="21"/>
              </w:rPr>
            </w:pPr>
          </w:p>
        </w:tc>
        <w:tc>
          <w:tcPr>
            <w:tcW w:w="217" w:type="dxa"/>
          </w:tcPr>
          <w:p w14:paraId="0338B636" w14:textId="77777777" w:rsidR="002C0FD9" w:rsidRPr="00CA25CF" w:rsidRDefault="002C0FD9" w:rsidP="00CA25CF">
            <w:pPr>
              <w:rPr>
                <w:rFonts w:cs="Arial"/>
                <w:color w:val="FF0000"/>
                <w:sz w:val="21"/>
                <w:szCs w:val="21"/>
              </w:rPr>
            </w:pPr>
          </w:p>
        </w:tc>
        <w:tc>
          <w:tcPr>
            <w:tcW w:w="217" w:type="dxa"/>
          </w:tcPr>
          <w:p w14:paraId="31B2E57F" w14:textId="77777777" w:rsidR="002C0FD9" w:rsidRPr="00CA25CF" w:rsidRDefault="002C0FD9" w:rsidP="00CA25CF">
            <w:pPr>
              <w:rPr>
                <w:rFonts w:cs="Arial"/>
                <w:color w:val="FF0000"/>
                <w:sz w:val="21"/>
                <w:szCs w:val="21"/>
              </w:rPr>
            </w:pPr>
          </w:p>
        </w:tc>
        <w:tc>
          <w:tcPr>
            <w:tcW w:w="217" w:type="dxa"/>
          </w:tcPr>
          <w:p w14:paraId="371B159A" w14:textId="77777777" w:rsidR="002C0FD9" w:rsidRPr="00CA25CF" w:rsidRDefault="002C0FD9" w:rsidP="00CA25CF">
            <w:pPr>
              <w:rPr>
                <w:rFonts w:cs="Arial"/>
                <w:color w:val="FF0000"/>
                <w:sz w:val="21"/>
                <w:szCs w:val="21"/>
              </w:rPr>
            </w:pPr>
          </w:p>
        </w:tc>
        <w:tc>
          <w:tcPr>
            <w:tcW w:w="217" w:type="dxa"/>
          </w:tcPr>
          <w:p w14:paraId="251884F8" w14:textId="77777777" w:rsidR="002C0FD9" w:rsidRPr="00CA25CF" w:rsidRDefault="002C0FD9" w:rsidP="00CA25CF">
            <w:pPr>
              <w:rPr>
                <w:rFonts w:cs="Arial"/>
                <w:color w:val="FF0000"/>
                <w:sz w:val="21"/>
                <w:szCs w:val="21"/>
              </w:rPr>
            </w:pPr>
          </w:p>
        </w:tc>
        <w:tc>
          <w:tcPr>
            <w:tcW w:w="217" w:type="dxa"/>
          </w:tcPr>
          <w:p w14:paraId="38B1F7A2" w14:textId="77777777" w:rsidR="002C0FD9" w:rsidRPr="00CA25CF" w:rsidRDefault="002C0FD9" w:rsidP="00CA25CF">
            <w:pPr>
              <w:rPr>
                <w:rFonts w:cs="Arial"/>
                <w:color w:val="FF0000"/>
                <w:sz w:val="21"/>
                <w:szCs w:val="21"/>
              </w:rPr>
            </w:pPr>
          </w:p>
        </w:tc>
        <w:tc>
          <w:tcPr>
            <w:tcW w:w="217" w:type="dxa"/>
          </w:tcPr>
          <w:p w14:paraId="1E75DE04" w14:textId="77777777" w:rsidR="002C0FD9" w:rsidRPr="00CA25CF" w:rsidRDefault="002C0FD9" w:rsidP="00CA25CF">
            <w:pPr>
              <w:rPr>
                <w:rFonts w:cs="Arial"/>
                <w:color w:val="FF0000"/>
                <w:sz w:val="21"/>
                <w:szCs w:val="21"/>
              </w:rPr>
            </w:pPr>
          </w:p>
        </w:tc>
        <w:tc>
          <w:tcPr>
            <w:tcW w:w="217" w:type="dxa"/>
          </w:tcPr>
          <w:p w14:paraId="2AD302F7" w14:textId="77777777" w:rsidR="002C0FD9" w:rsidRPr="00CA25CF" w:rsidRDefault="002C0FD9" w:rsidP="00CA25CF">
            <w:pPr>
              <w:rPr>
                <w:rFonts w:cs="Arial"/>
                <w:color w:val="FF0000"/>
                <w:sz w:val="21"/>
                <w:szCs w:val="21"/>
              </w:rPr>
            </w:pPr>
          </w:p>
        </w:tc>
        <w:tc>
          <w:tcPr>
            <w:tcW w:w="217" w:type="dxa"/>
          </w:tcPr>
          <w:p w14:paraId="7C258A74" w14:textId="77777777" w:rsidR="002C0FD9" w:rsidRPr="00CA25CF" w:rsidRDefault="002C0FD9" w:rsidP="00CA25CF">
            <w:pPr>
              <w:rPr>
                <w:rFonts w:cs="Arial"/>
                <w:color w:val="FF0000"/>
                <w:sz w:val="21"/>
                <w:szCs w:val="21"/>
              </w:rPr>
            </w:pPr>
          </w:p>
        </w:tc>
        <w:tc>
          <w:tcPr>
            <w:tcW w:w="217" w:type="dxa"/>
          </w:tcPr>
          <w:p w14:paraId="473D8458" w14:textId="77777777" w:rsidR="002C0FD9" w:rsidRPr="00CA25CF" w:rsidRDefault="002C0FD9" w:rsidP="00CA25CF">
            <w:pPr>
              <w:rPr>
                <w:rFonts w:cs="Arial"/>
                <w:color w:val="FF0000"/>
                <w:sz w:val="21"/>
                <w:szCs w:val="21"/>
              </w:rPr>
            </w:pPr>
          </w:p>
        </w:tc>
        <w:tc>
          <w:tcPr>
            <w:tcW w:w="217" w:type="dxa"/>
          </w:tcPr>
          <w:p w14:paraId="1E0AF5B8" w14:textId="77777777" w:rsidR="002C0FD9" w:rsidRPr="00CA25CF" w:rsidRDefault="002C0FD9" w:rsidP="00CA25CF">
            <w:pPr>
              <w:rPr>
                <w:rFonts w:cs="Arial"/>
                <w:color w:val="FF0000"/>
                <w:sz w:val="21"/>
                <w:szCs w:val="21"/>
              </w:rPr>
            </w:pPr>
          </w:p>
        </w:tc>
        <w:tc>
          <w:tcPr>
            <w:tcW w:w="217" w:type="dxa"/>
          </w:tcPr>
          <w:p w14:paraId="25814DD7" w14:textId="77777777" w:rsidR="002C0FD9" w:rsidRPr="00CA25CF" w:rsidRDefault="002C0FD9" w:rsidP="00CA25CF">
            <w:pPr>
              <w:rPr>
                <w:rFonts w:cs="Arial"/>
                <w:color w:val="FF0000"/>
                <w:sz w:val="21"/>
                <w:szCs w:val="21"/>
              </w:rPr>
            </w:pPr>
          </w:p>
        </w:tc>
        <w:tc>
          <w:tcPr>
            <w:tcW w:w="217" w:type="dxa"/>
          </w:tcPr>
          <w:p w14:paraId="6C93FB35" w14:textId="77777777" w:rsidR="002C0FD9" w:rsidRPr="00CA25CF" w:rsidRDefault="002C0FD9" w:rsidP="00CA25CF">
            <w:pPr>
              <w:rPr>
                <w:rFonts w:cs="Arial"/>
                <w:color w:val="FF0000"/>
                <w:sz w:val="21"/>
                <w:szCs w:val="21"/>
              </w:rPr>
            </w:pPr>
          </w:p>
        </w:tc>
        <w:tc>
          <w:tcPr>
            <w:tcW w:w="217" w:type="dxa"/>
          </w:tcPr>
          <w:p w14:paraId="041912C0" w14:textId="77777777" w:rsidR="002C0FD9" w:rsidRPr="00CA25CF" w:rsidRDefault="002C0FD9" w:rsidP="00CA25CF">
            <w:pPr>
              <w:rPr>
                <w:rFonts w:cs="Arial"/>
                <w:color w:val="FF0000"/>
                <w:sz w:val="21"/>
                <w:szCs w:val="21"/>
              </w:rPr>
            </w:pPr>
          </w:p>
        </w:tc>
        <w:tc>
          <w:tcPr>
            <w:tcW w:w="217" w:type="dxa"/>
          </w:tcPr>
          <w:p w14:paraId="50F0F1D7" w14:textId="77777777" w:rsidR="002C0FD9" w:rsidRPr="00CA25CF" w:rsidRDefault="002C0FD9" w:rsidP="00CA25CF">
            <w:pPr>
              <w:rPr>
                <w:rFonts w:cs="Arial"/>
                <w:color w:val="FF0000"/>
                <w:sz w:val="21"/>
                <w:szCs w:val="21"/>
              </w:rPr>
            </w:pPr>
          </w:p>
        </w:tc>
        <w:tc>
          <w:tcPr>
            <w:tcW w:w="217" w:type="dxa"/>
          </w:tcPr>
          <w:p w14:paraId="467AB7BF" w14:textId="77777777" w:rsidR="002C0FD9" w:rsidRPr="00CA25CF" w:rsidRDefault="002C0FD9" w:rsidP="00CA25CF">
            <w:pPr>
              <w:rPr>
                <w:rFonts w:cs="Arial"/>
                <w:color w:val="FF0000"/>
                <w:sz w:val="21"/>
                <w:szCs w:val="21"/>
              </w:rPr>
            </w:pPr>
          </w:p>
        </w:tc>
        <w:tc>
          <w:tcPr>
            <w:tcW w:w="217" w:type="dxa"/>
          </w:tcPr>
          <w:p w14:paraId="6CE7F0C7" w14:textId="77777777" w:rsidR="002C0FD9" w:rsidRPr="00CA25CF" w:rsidRDefault="002C0FD9" w:rsidP="00CA25CF">
            <w:pPr>
              <w:rPr>
                <w:rFonts w:cs="Arial"/>
                <w:color w:val="FF0000"/>
                <w:sz w:val="21"/>
                <w:szCs w:val="21"/>
              </w:rPr>
            </w:pPr>
          </w:p>
        </w:tc>
        <w:tc>
          <w:tcPr>
            <w:tcW w:w="217" w:type="dxa"/>
          </w:tcPr>
          <w:p w14:paraId="190CECB2" w14:textId="77777777" w:rsidR="002C0FD9" w:rsidRPr="00CA25CF" w:rsidRDefault="002C0FD9" w:rsidP="00CA25CF">
            <w:pPr>
              <w:rPr>
                <w:rFonts w:cs="Arial"/>
                <w:color w:val="FF0000"/>
                <w:sz w:val="21"/>
                <w:szCs w:val="21"/>
              </w:rPr>
            </w:pPr>
          </w:p>
        </w:tc>
        <w:tc>
          <w:tcPr>
            <w:tcW w:w="217" w:type="dxa"/>
          </w:tcPr>
          <w:p w14:paraId="1FE11972" w14:textId="77777777" w:rsidR="002C0FD9" w:rsidRPr="00CA25CF" w:rsidRDefault="002C0FD9" w:rsidP="00CA25CF">
            <w:pPr>
              <w:rPr>
                <w:rFonts w:cs="Arial"/>
                <w:color w:val="FF0000"/>
                <w:sz w:val="21"/>
                <w:szCs w:val="21"/>
              </w:rPr>
            </w:pPr>
          </w:p>
        </w:tc>
        <w:tc>
          <w:tcPr>
            <w:tcW w:w="217" w:type="dxa"/>
          </w:tcPr>
          <w:p w14:paraId="1999E769" w14:textId="77777777" w:rsidR="002C0FD9" w:rsidRPr="00CA25CF" w:rsidRDefault="002C0FD9" w:rsidP="00CA25CF">
            <w:pPr>
              <w:rPr>
                <w:rFonts w:cs="Arial"/>
                <w:color w:val="FF0000"/>
                <w:sz w:val="21"/>
                <w:szCs w:val="21"/>
              </w:rPr>
            </w:pPr>
          </w:p>
        </w:tc>
        <w:tc>
          <w:tcPr>
            <w:tcW w:w="217" w:type="dxa"/>
          </w:tcPr>
          <w:p w14:paraId="404F5513" w14:textId="77777777" w:rsidR="002C0FD9" w:rsidRPr="00CA25CF" w:rsidRDefault="002C0FD9" w:rsidP="00CA25CF">
            <w:pPr>
              <w:rPr>
                <w:rFonts w:cs="Arial"/>
                <w:color w:val="FF0000"/>
                <w:sz w:val="21"/>
                <w:szCs w:val="21"/>
              </w:rPr>
            </w:pPr>
          </w:p>
        </w:tc>
        <w:tc>
          <w:tcPr>
            <w:tcW w:w="217" w:type="dxa"/>
          </w:tcPr>
          <w:p w14:paraId="3E7FA101" w14:textId="77777777" w:rsidR="002C0FD9" w:rsidRPr="00CA25CF" w:rsidRDefault="002C0FD9" w:rsidP="00CA25CF">
            <w:pPr>
              <w:rPr>
                <w:rFonts w:cs="Arial"/>
                <w:color w:val="FF0000"/>
                <w:sz w:val="21"/>
                <w:szCs w:val="21"/>
              </w:rPr>
            </w:pPr>
          </w:p>
        </w:tc>
      </w:tr>
      <w:tr w:rsidR="002C0FD9" w:rsidRPr="00A16219" w14:paraId="3F9211A4" w14:textId="77777777" w:rsidTr="002C0FD9">
        <w:trPr>
          <w:trHeight w:val="635"/>
        </w:trPr>
        <w:tc>
          <w:tcPr>
            <w:tcW w:w="515" w:type="dxa"/>
          </w:tcPr>
          <w:p w14:paraId="478409B3" w14:textId="77777777" w:rsidR="002C0FD9" w:rsidRPr="00CA25CF" w:rsidRDefault="002C0FD9" w:rsidP="00CA25CF">
            <w:pPr>
              <w:rPr>
                <w:rFonts w:cs="Arial"/>
                <w:color w:val="FF0000"/>
                <w:sz w:val="21"/>
                <w:szCs w:val="21"/>
              </w:rPr>
            </w:pPr>
          </w:p>
        </w:tc>
        <w:tc>
          <w:tcPr>
            <w:tcW w:w="217" w:type="dxa"/>
          </w:tcPr>
          <w:p w14:paraId="2F750234" w14:textId="77777777" w:rsidR="002C0FD9" w:rsidRPr="00CA25CF" w:rsidRDefault="002C0FD9" w:rsidP="00CA25CF">
            <w:pPr>
              <w:rPr>
                <w:rFonts w:cs="Arial"/>
                <w:color w:val="FF0000"/>
                <w:sz w:val="21"/>
                <w:szCs w:val="21"/>
              </w:rPr>
            </w:pPr>
          </w:p>
        </w:tc>
        <w:tc>
          <w:tcPr>
            <w:tcW w:w="217" w:type="dxa"/>
          </w:tcPr>
          <w:p w14:paraId="36E24721" w14:textId="77777777" w:rsidR="002C0FD9" w:rsidRPr="00CA25CF" w:rsidRDefault="002C0FD9" w:rsidP="00CA25CF">
            <w:pPr>
              <w:rPr>
                <w:rFonts w:cs="Arial"/>
                <w:color w:val="FF0000"/>
                <w:sz w:val="21"/>
                <w:szCs w:val="21"/>
              </w:rPr>
            </w:pPr>
          </w:p>
        </w:tc>
        <w:tc>
          <w:tcPr>
            <w:tcW w:w="217" w:type="dxa"/>
          </w:tcPr>
          <w:p w14:paraId="21CF8658" w14:textId="77777777" w:rsidR="002C0FD9" w:rsidRPr="00CA25CF" w:rsidRDefault="002C0FD9" w:rsidP="00CA25CF">
            <w:pPr>
              <w:rPr>
                <w:rFonts w:cs="Arial"/>
                <w:color w:val="FF0000"/>
                <w:sz w:val="21"/>
                <w:szCs w:val="21"/>
              </w:rPr>
            </w:pPr>
          </w:p>
        </w:tc>
        <w:tc>
          <w:tcPr>
            <w:tcW w:w="217" w:type="dxa"/>
          </w:tcPr>
          <w:p w14:paraId="3161B124" w14:textId="77777777" w:rsidR="002C0FD9" w:rsidRPr="00CA25CF" w:rsidRDefault="002C0FD9" w:rsidP="00CA25CF">
            <w:pPr>
              <w:rPr>
                <w:rFonts w:cs="Arial"/>
                <w:color w:val="FF0000"/>
                <w:sz w:val="21"/>
                <w:szCs w:val="21"/>
              </w:rPr>
            </w:pPr>
          </w:p>
        </w:tc>
        <w:tc>
          <w:tcPr>
            <w:tcW w:w="217" w:type="dxa"/>
          </w:tcPr>
          <w:p w14:paraId="0BD57D62" w14:textId="77777777" w:rsidR="002C0FD9" w:rsidRPr="00CA25CF" w:rsidRDefault="002C0FD9" w:rsidP="00CA25CF">
            <w:pPr>
              <w:rPr>
                <w:rFonts w:cs="Arial"/>
                <w:color w:val="FF0000"/>
                <w:sz w:val="21"/>
                <w:szCs w:val="21"/>
              </w:rPr>
            </w:pPr>
          </w:p>
        </w:tc>
        <w:tc>
          <w:tcPr>
            <w:tcW w:w="217" w:type="dxa"/>
          </w:tcPr>
          <w:p w14:paraId="1837E123" w14:textId="77777777" w:rsidR="002C0FD9" w:rsidRPr="00CA25CF" w:rsidRDefault="002C0FD9" w:rsidP="00CA25CF">
            <w:pPr>
              <w:rPr>
                <w:rFonts w:cs="Arial"/>
                <w:color w:val="FF0000"/>
                <w:sz w:val="21"/>
                <w:szCs w:val="21"/>
              </w:rPr>
            </w:pPr>
          </w:p>
        </w:tc>
        <w:tc>
          <w:tcPr>
            <w:tcW w:w="217" w:type="dxa"/>
          </w:tcPr>
          <w:p w14:paraId="32C4A899" w14:textId="77777777" w:rsidR="002C0FD9" w:rsidRPr="00CA25CF" w:rsidRDefault="002C0FD9" w:rsidP="00CA25CF">
            <w:pPr>
              <w:rPr>
                <w:rFonts w:cs="Arial"/>
                <w:color w:val="FF0000"/>
                <w:sz w:val="21"/>
                <w:szCs w:val="21"/>
              </w:rPr>
            </w:pPr>
          </w:p>
        </w:tc>
        <w:tc>
          <w:tcPr>
            <w:tcW w:w="217" w:type="dxa"/>
          </w:tcPr>
          <w:p w14:paraId="3D84C7DB" w14:textId="77777777" w:rsidR="002C0FD9" w:rsidRPr="00CA25CF" w:rsidRDefault="002C0FD9" w:rsidP="00CA25CF">
            <w:pPr>
              <w:rPr>
                <w:rFonts w:cs="Arial"/>
                <w:color w:val="FF0000"/>
                <w:sz w:val="21"/>
                <w:szCs w:val="21"/>
              </w:rPr>
            </w:pPr>
          </w:p>
        </w:tc>
        <w:tc>
          <w:tcPr>
            <w:tcW w:w="217" w:type="dxa"/>
          </w:tcPr>
          <w:p w14:paraId="29F3E0F8" w14:textId="77777777" w:rsidR="002C0FD9" w:rsidRPr="00CA25CF" w:rsidRDefault="002C0FD9" w:rsidP="00CA25CF">
            <w:pPr>
              <w:rPr>
                <w:rFonts w:cs="Arial"/>
                <w:color w:val="FF0000"/>
                <w:sz w:val="21"/>
                <w:szCs w:val="21"/>
              </w:rPr>
            </w:pPr>
          </w:p>
        </w:tc>
        <w:tc>
          <w:tcPr>
            <w:tcW w:w="217" w:type="dxa"/>
          </w:tcPr>
          <w:p w14:paraId="0C0A5DB8" w14:textId="77777777" w:rsidR="002C0FD9" w:rsidRPr="00CA25CF" w:rsidRDefault="002C0FD9" w:rsidP="00CA25CF">
            <w:pPr>
              <w:rPr>
                <w:rFonts w:cs="Arial"/>
                <w:color w:val="FF0000"/>
                <w:sz w:val="21"/>
                <w:szCs w:val="21"/>
              </w:rPr>
            </w:pPr>
          </w:p>
        </w:tc>
        <w:tc>
          <w:tcPr>
            <w:tcW w:w="217" w:type="dxa"/>
          </w:tcPr>
          <w:p w14:paraId="04BA043C" w14:textId="77777777" w:rsidR="002C0FD9" w:rsidRPr="00CA25CF" w:rsidRDefault="002C0FD9" w:rsidP="00CA25CF">
            <w:pPr>
              <w:rPr>
                <w:rFonts w:cs="Arial"/>
                <w:color w:val="FF0000"/>
                <w:sz w:val="21"/>
                <w:szCs w:val="21"/>
              </w:rPr>
            </w:pPr>
          </w:p>
        </w:tc>
        <w:tc>
          <w:tcPr>
            <w:tcW w:w="217" w:type="dxa"/>
          </w:tcPr>
          <w:p w14:paraId="6F412199" w14:textId="77777777" w:rsidR="002C0FD9" w:rsidRPr="00CA25CF" w:rsidRDefault="002C0FD9" w:rsidP="00CA25CF">
            <w:pPr>
              <w:rPr>
                <w:rFonts w:cs="Arial"/>
                <w:color w:val="FF0000"/>
                <w:sz w:val="21"/>
                <w:szCs w:val="21"/>
              </w:rPr>
            </w:pPr>
          </w:p>
        </w:tc>
        <w:tc>
          <w:tcPr>
            <w:tcW w:w="217" w:type="dxa"/>
          </w:tcPr>
          <w:p w14:paraId="30B2E671" w14:textId="77777777" w:rsidR="002C0FD9" w:rsidRPr="00CA25CF" w:rsidRDefault="002C0FD9" w:rsidP="00CA25CF">
            <w:pPr>
              <w:rPr>
                <w:rFonts w:cs="Arial"/>
                <w:color w:val="FF0000"/>
                <w:sz w:val="21"/>
                <w:szCs w:val="21"/>
              </w:rPr>
            </w:pPr>
          </w:p>
        </w:tc>
        <w:tc>
          <w:tcPr>
            <w:tcW w:w="217" w:type="dxa"/>
          </w:tcPr>
          <w:p w14:paraId="5A3F3A44" w14:textId="77777777" w:rsidR="002C0FD9" w:rsidRPr="00CA25CF" w:rsidRDefault="002C0FD9" w:rsidP="00CA25CF">
            <w:pPr>
              <w:rPr>
                <w:rFonts w:cs="Arial"/>
                <w:color w:val="FF0000"/>
                <w:sz w:val="21"/>
                <w:szCs w:val="21"/>
              </w:rPr>
            </w:pPr>
          </w:p>
        </w:tc>
        <w:tc>
          <w:tcPr>
            <w:tcW w:w="217" w:type="dxa"/>
          </w:tcPr>
          <w:p w14:paraId="46AB2BE7" w14:textId="77777777" w:rsidR="002C0FD9" w:rsidRPr="00CA25CF" w:rsidRDefault="002C0FD9" w:rsidP="00CA25CF">
            <w:pPr>
              <w:rPr>
                <w:rFonts w:cs="Arial"/>
                <w:color w:val="FF0000"/>
                <w:sz w:val="21"/>
                <w:szCs w:val="21"/>
              </w:rPr>
            </w:pPr>
          </w:p>
        </w:tc>
        <w:tc>
          <w:tcPr>
            <w:tcW w:w="217" w:type="dxa"/>
          </w:tcPr>
          <w:p w14:paraId="2FC017A8" w14:textId="77777777" w:rsidR="002C0FD9" w:rsidRPr="00CA25CF" w:rsidRDefault="002C0FD9" w:rsidP="00CA25CF">
            <w:pPr>
              <w:rPr>
                <w:rFonts w:cs="Arial"/>
                <w:color w:val="FF0000"/>
                <w:sz w:val="21"/>
                <w:szCs w:val="21"/>
              </w:rPr>
            </w:pPr>
          </w:p>
        </w:tc>
        <w:tc>
          <w:tcPr>
            <w:tcW w:w="217" w:type="dxa"/>
          </w:tcPr>
          <w:p w14:paraId="77586098" w14:textId="77777777" w:rsidR="002C0FD9" w:rsidRPr="00CA25CF" w:rsidRDefault="002C0FD9" w:rsidP="00CA25CF">
            <w:pPr>
              <w:rPr>
                <w:rFonts w:cs="Arial"/>
                <w:color w:val="FF0000"/>
                <w:sz w:val="21"/>
                <w:szCs w:val="21"/>
              </w:rPr>
            </w:pPr>
          </w:p>
        </w:tc>
        <w:tc>
          <w:tcPr>
            <w:tcW w:w="217" w:type="dxa"/>
          </w:tcPr>
          <w:p w14:paraId="147E9BE3" w14:textId="77777777" w:rsidR="002C0FD9" w:rsidRPr="00CA25CF" w:rsidRDefault="002C0FD9" w:rsidP="00CA25CF">
            <w:pPr>
              <w:rPr>
                <w:rFonts w:cs="Arial"/>
                <w:color w:val="FF0000"/>
                <w:sz w:val="21"/>
                <w:szCs w:val="21"/>
              </w:rPr>
            </w:pPr>
          </w:p>
        </w:tc>
        <w:tc>
          <w:tcPr>
            <w:tcW w:w="217" w:type="dxa"/>
          </w:tcPr>
          <w:p w14:paraId="582EFFE5" w14:textId="77777777" w:rsidR="002C0FD9" w:rsidRPr="00CA25CF" w:rsidRDefault="002C0FD9" w:rsidP="00CA25CF">
            <w:pPr>
              <w:rPr>
                <w:rFonts w:cs="Arial"/>
                <w:color w:val="FF0000"/>
                <w:sz w:val="21"/>
                <w:szCs w:val="21"/>
              </w:rPr>
            </w:pPr>
          </w:p>
        </w:tc>
        <w:tc>
          <w:tcPr>
            <w:tcW w:w="217" w:type="dxa"/>
          </w:tcPr>
          <w:p w14:paraId="1E1BE962" w14:textId="77777777" w:rsidR="002C0FD9" w:rsidRPr="00CA25CF" w:rsidRDefault="002C0FD9" w:rsidP="00CA25CF">
            <w:pPr>
              <w:rPr>
                <w:rFonts w:cs="Arial"/>
                <w:color w:val="FF0000"/>
                <w:sz w:val="21"/>
                <w:szCs w:val="21"/>
              </w:rPr>
            </w:pPr>
          </w:p>
        </w:tc>
        <w:tc>
          <w:tcPr>
            <w:tcW w:w="217" w:type="dxa"/>
          </w:tcPr>
          <w:p w14:paraId="2FD50B60" w14:textId="77777777" w:rsidR="002C0FD9" w:rsidRPr="00CA25CF" w:rsidRDefault="002C0FD9" w:rsidP="00CA25CF">
            <w:pPr>
              <w:rPr>
                <w:rFonts w:cs="Arial"/>
                <w:color w:val="FF0000"/>
                <w:sz w:val="21"/>
                <w:szCs w:val="21"/>
              </w:rPr>
            </w:pPr>
          </w:p>
        </w:tc>
        <w:tc>
          <w:tcPr>
            <w:tcW w:w="217" w:type="dxa"/>
          </w:tcPr>
          <w:p w14:paraId="1B223340" w14:textId="77777777" w:rsidR="002C0FD9" w:rsidRPr="00CA25CF" w:rsidRDefault="002C0FD9" w:rsidP="00CA25CF">
            <w:pPr>
              <w:rPr>
                <w:rFonts w:cs="Arial"/>
                <w:color w:val="FF0000"/>
                <w:sz w:val="21"/>
                <w:szCs w:val="21"/>
              </w:rPr>
            </w:pPr>
          </w:p>
        </w:tc>
        <w:tc>
          <w:tcPr>
            <w:tcW w:w="217" w:type="dxa"/>
          </w:tcPr>
          <w:p w14:paraId="0A14DBC5" w14:textId="77777777" w:rsidR="002C0FD9" w:rsidRPr="00CA25CF" w:rsidRDefault="002C0FD9" w:rsidP="00CA25CF">
            <w:pPr>
              <w:rPr>
                <w:rFonts w:cs="Arial"/>
                <w:color w:val="FF0000"/>
                <w:sz w:val="21"/>
                <w:szCs w:val="21"/>
              </w:rPr>
            </w:pPr>
          </w:p>
        </w:tc>
        <w:tc>
          <w:tcPr>
            <w:tcW w:w="217" w:type="dxa"/>
          </w:tcPr>
          <w:p w14:paraId="5D3FCCE9" w14:textId="77777777" w:rsidR="002C0FD9" w:rsidRPr="00CA25CF" w:rsidRDefault="002C0FD9" w:rsidP="00CA25CF">
            <w:pPr>
              <w:rPr>
                <w:rFonts w:cs="Arial"/>
                <w:color w:val="FF0000"/>
                <w:sz w:val="21"/>
                <w:szCs w:val="21"/>
              </w:rPr>
            </w:pPr>
          </w:p>
        </w:tc>
        <w:tc>
          <w:tcPr>
            <w:tcW w:w="217" w:type="dxa"/>
          </w:tcPr>
          <w:p w14:paraId="73A4F742" w14:textId="77777777" w:rsidR="002C0FD9" w:rsidRPr="00CA25CF" w:rsidRDefault="002C0FD9" w:rsidP="00CA25CF">
            <w:pPr>
              <w:rPr>
                <w:rFonts w:cs="Arial"/>
                <w:color w:val="FF0000"/>
                <w:sz w:val="21"/>
                <w:szCs w:val="21"/>
              </w:rPr>
            </w:pPr>
          </w:p>
        </w:tc>
        <w:tc>
          <w:tcPr>
            <w:tcW w:w="217" w:type="dxa"/>
          </w:tcPr>
          <w:p w14:paraId="1AAE9F68" w14:textId="77777777" w:rsidR="002C0FD9" w:rsidRPr="00CA25CF" w:rsidRDefault="002C0FD9" w:rsidP="00CA25CF">
            <w:pPr>
              <w:rPr>
                <w:rFonts w:cs="Arial"/>
                <w:color w:val="FF0000"/>
                <w:sz w:val="21"/>
                <w:szCs w:val="21"/>
              </w:rPr>
            </w:pPr>
          </w:p>
        </w:tc>
        <w:tc>
          <w:tcPr>
            <w:tcW w:w="217" w:type="dxa"/>
          </w:tcPr>
          <w:p w14:paraId="382618FF" w14:textId="77777777" w:rsidR="002C0FD9" w:rsidRPr="00CA25CF" w:rsidRDefault="002C0FD9" w:rsidP="00CA25CF">
            <w:pPr>
              <w:rPr>
                <w:rFonts w:cs="Arial"/>
                <w:color w:val="FF0000"/>
                <w:sz w:val="21"/>
                <w:szCs w:val="21"/>
              </w:rPr>
            </w:pPr>
          </w:p>
        </w:tc>
        <w:tc>
          <w:tcPr>
            <w:tcW w:w="217" w:type="dxa"/>
          </w:tcPr>
          <w:p w14:paraId="2899BBAA" w14:textId="77777777" w:rsidR="002C0FD9" w:rsidRPr="00CA25CF" w:rsidRDefault="002C0FD9" w:rsidP="00CA25CF">
            <w:pPr>
              <w:rPr>
                <w:rFonts w:cs="Arial"/>
                <w:color w:val="FF0000"/>
                <w:sz w:val="21"/>
                <w:szCs w:val="21"/>
              </w:rPr>
            </w:pPr>
          </w:p>
        </w:tc>
        <w:tc>
          <w:tcPr>
            <w:tcW w:w="217" w:type="dxa"/>
          </w:tcPr>
          <w:p w14:paraId="2CC1381C" w14:textId="77777777" w:rsidR="002C0FD9" w:rsidRPr="00CA25CF" w:rsidRDefault="002C0FD9" w:rsidP="00CA25CF">
            <w:pPr>
              <w:rPr>
                <w:rFonts w:cs="Arial"/>
                <w:color w:val="FF0000"/>
                <w:sz w:val="21"/>
                <w:szCs w:val="21"/>
              </w:rPr>
            </w:pPr>
          </w:p>
        </w:tc>
        <w:tc>
          <w:tcPr>
            <w:tcW w:w="217" w:type="dxa"/>
          </w:tcPr>
          <w:p w14:paraId="0B924B5D" w14:textId="77777777" w:rsidR="002C0FD9" w:rsidRPr="00CA25CF" w:rsidRDefault="002C0FD9" w:rsidP="00CA25CF">
            <w:pPr>
              <w:rPr>
                <w:rFonts w:cs="Arial"/>
                <w:color w:val="FF0000"/>
                <w:sz w:val="21"/>
                <w:szCs w:val="21"/>
              </w:rPr>
            </w:pPr>
          </w:p>
        </w:tc>
        <w:tc>
          <w:tcPr>
            <w:tcW w:w="217" w:type="dxa"/>
          </w:tcPr>
          <w:p w14:paraId="0661E350" w14:textId="77777777" w:rsidR="002C0FD9" w:rsidRPr="00CA25CF" w:rsidRDefault="002C0FD9" w:rsidP="00CA25CF">
            <w:pPr>
              <w:rPr>
                <w:rFonts w:cs="Arial"/>
                <w:color w:val="FF0000"/>
                <w:sz w:val="21"/>
                <w:szCs w:val="21"/>
              </w:rPr>
            </w:pPr>
          </w:p>
        </w:tc>
        <w:tc>
          <w:tcPr>
            <w:tcW w:w="217" w:type="dxa"/>
          </w:tcPr>
          <w:p w14:paraId="745A3433" w14:textId="77777777" w:rsidR="002C0FD9" w:rsidRPr="00CA25CF" w:rsidRDefault="002C0FD9" w:rsidP="00CA25CF">
            <w:pPr>
              <w:rPr>
                <w:rFonts w:cs="Arial"/>
                <w:color w:val="FF0000"/>
                <w:sz w:val="21"/>
                <w:szCs w:val="21"/>
              </w:rPr>
            </w:pPr>
          </w:p>
        </w:tc>
        <w:tc>
          <w:tcPr>
            <w:tcW w:w="217" w:type="dxa"/>
          </w:tcPr>
          <w:p w14:paraId="439174F3" w14:textId="77777777" w:rsidR="002C0FD9" w:rsidRPr="00CA25CF" w:rsidRDefault="002C0FD9" w:rsidP="00CA25CF">
            <w:pPr>
              <w:rPr>
                <w:rFonts w:cs="Arial"/>
                <w:color w:val="FF0000"/>
                <w:sz w:val="21"/>
                <w:szCs w:val="21"/>
              </w:rPr>
            </w:pPr>
          </w:p>
        </w:tc>
        <w:tc>
          <w:tcPr>
            <w:tcW w:w="217" w:type="dxa"/>
          </w:tcPr>
          <w:p w14:paraId="3E4061D3" w14:textId="77777777" w:rsidR="002C0FD9" w:rsidRPr="00CA25CF" w:rsidRDefault="002C0FD9" w:rsidP="00CA25CF">
            <w:pPr>
              <w:rPr>
                <w:rFonts w:cs="Arial"/>
                <w:color w:val="FF0000"/>
                <w:sz w:val="21"/>
                <w:szCs w:val="21"/>
              </w:rPr>
            </w:pPr>
          </w:p>
        </w:tc>
        <w:tc>
          <w:tcPr>
            <w:tcW w:w="217" w:type="dxa"/>
          </w:tcPr>
          <w:p w14:paraId="46F5A36F" w14:textId="77777777" w:rsidR="002C0FD9" w:rsidRPr="00CA25CF" w:rsidRDefault="002C0FD9" w:rsidP="00CA25CF">
            <w:pPr>
              <w:rPr>
                <w:rFonts w:cs="Arial"/>
                <w:color w:val="FF0000"/>
                <w:sz w:val="21"/>
                <w:szCs w:val="21"/>
              </w:rPr>
            </w:pPr>
          </w:p>
        </w:tc>
        <w:tc>
          <w:tcPr>
            <w:tcW w:w="217" w:type="dxa"/>
          </w:tcPr>
          <w:p w14:paraId="588BB39D" w14:textId="77777777" w:rsidR="002C0FD9" w:rsidRPr="00CA25CF" w:rsidRDefault="002C0FD9" w:rsidP="00CA25CF">
            <w:pPr>
              <w:rPr>
                <w:rFonts w:cs="Arial"/>
                <w:color w:val="FF0000"/>
                <w:sz w:val="21"/>
                <w:szCs w:val="21"/>
              </w:rPr>
            </w:pPr>
          </w:p>
        </w:tc>
        <w:tc>
          <w:tcPr>
            <w:tcW w:w="217" w:type="dxa"/>
          </w:tcPr>
          <w:p w14:paraId="02766328" w14:textId="77777777" w:rsidR="002C0FD9" w:rsidRPr="00CA25CF" w:rsidRDefault="002C0FD9" w:rsidP="00CA25CF">
            <w:pPr>
              <w:rPr>
                <w:rFonts w:cs="Arial"/>
                <w:color w:val="FF0000"/>
                <w:sz w:val="21"/>
                <w:szCs w:val="21"/>
              </w:rPr>
            </w:pPr>
          </w:p>
        </w:tc>
        <w:tc>
          <w:tcPr>
            <w:tcW w:w="217" w:type="dxa"/>
          </w:tcPr>
          <w:p w14:paraId="12C6B633" w14:textId="77777777" w:rsidR="002C0FD9" w:rsidRPr="00CA25CF" w:rsidRDefault="002C0FD9" w:rsidP="00CA25CF">
            <w:pPr>
              <w:rPr>
                <w:rFonts w:cs="Arial"/>
                <w:color w:val="FF0000"/>
                <w:sz w:val="21"/>
                <w:szCs w:val="21"/>
              </w:rPr>
            </w:pPr>
          </w:p>
        </w:tc>
        <w:tc>
          <w:tcPr>
            <w:tcW w:w="217" w:type="dxa"/>
          </w:tcPr>
          <w:p w14:paraId="6C486CA3" w14:textId="77777777" w:rsidR="002C0FD9" w:rsidRPr="00CA25CF" w:rsidRDefault="002C0FD9" w:rsidP="00CA25CF">
            <w:pPr>
              <w:rPr>
                <w:rFonts w:cs="Arial"/>
                <w:color w:val="FF0000"/>
                <w:sz w:val="21"/>
                <w:szCs w:val="21"/>
              </w:rPr>
            </w:pPr>
          </w:p>
        </w:tc>
        <w:tc>
          <w:tcPr>
            <w:tcW w:w="217" w:type="dxa"/>
          </w:tcPr>
          <w:p w14:paraId="317C9D34" w14:textId="77777777" w:rsidR="002C0FD9" w:rsidRPr="00CA25CF" w:rsidRDefault="002C0FD9" w:rsidP="00CA25CF">
            <w:pPr>
              <w:rPr>
                <w:rFonts w:cs="Arial"/>
                <w:color w:val="FF0000"/>
                <w:sz w:val="21"/>
                <w:szCs w:val="21"/>
              </w:rPr>
            </w:pPr>
          </w:p>
        </w:tc>
        <w:tc>
          <w:tcPr>
            <w:tcW w:w="217" w:type="dxa"/>
          </w:tcPr>
          <w:p w14:paraId="14A7B4A0" w14:textId="77777777" w:rsidR="002C0FD9" w:rsidRPr="00CA25CF" w:rsidRDefault="002C0FD9" w:rsidP="00CA25CF">
            <w:pPr>
              <w:rPr>
                <w:rFonts w:cs="Arial"/>
                <w:color w:val="FF0000"/>
                <w:sz w:val="21"/>
                <w:szCs w:val="21"/>
              </w:rPr>
            </w:pPr>
          </w:p>
        </w:tc>
        <w:tc>
          <w:tcPr>
            <w:tcW w:w="217" w:type="dxa"/>
          </w:tcPr>
          <w:p w14:paraId="00C924B6" w14:textId="77777777" w:rsidR="002C0FD9" w:rsidRPr="00CA25CF" w:rsidRDefault="002C0FD9" w:rsidP="00CA25CF">
            <w:pPr>
              <w:rPr>
                <w:rFonts w:cs="Arial"/>
                <w:color w:val="FF0000"/>
                <w:sz w:val="21"/>
                <w:szCs w:val="21"/>
              </w:rPr>
            </w:pPr>
          </w:p>
        </w:tc>
      </w:tr>
      <w:tr w:rsidR="002C0FD9" w:rsidRPr="00A16219" w14:paraId="31299170" w14:textId="77777777" w:rsidTr="002C0FD9">
        <w:trPr>
          <w:trHeight w:val="635"/>
        </w:trPr>
        <w:tc>
          <w:tcPr>
            <w:tcW w:w="515" w:type="dxa"/>
          </w:tcPr>
          <w:p w14:paraId="61BB8AE8" w14:textId="77777777" w:rsidR="002C0FD9" w:rsidRPr="00CA25CF" w:rsidRDefault="002C0FD9" w:rsidP="00CA25CF">
            <w:pPr>
              <w:rPr>
                <w:rFonts w:cs="Arial"/>
                <w:color w:val="FF0000"/>
                <w:sz w:val="21"/>
                <w:szCs w:val="21"/>
              </w:rPr>
            </w:pPr>
          </w:p>
        </w:tc>
        <w:tc>
          <w:tcPr>
            <w:tcW w:w="217" w:type="dxa"/>
          </w:tcPr>
          <w:p w14:paraId="72CCD2C6" w14:textId="77777777" w:rsidR="002C0FD9" w:rsidRPr="00CA25CF" w:rsidRDefault="002C0FD9" w:rsidP="00CA25CF">
            <w:pPr>
              <w:rPr>
                <w:rFonts w:cs="Arial"/>
                <w:color w:val="FF0000"/>
                <w:sz w:val="21"/>
                <w:szCs w:val="21"/>
              </w:rPr>
            </w:pPr>
          </w:p>
        </w:tc>
        <w:tc>
          <w:tcPr>
            <w:tcW w:w="217" w:type="dxa"/>
          </w:tcPr>
          <w:p w14:paraId="36BEF6BB" w14:textId="77777777" w:rsidR="002C0FD9" w:rsidRPr="00CA25CF" w:rsidRDefault="002C0FD9" w:rsidP="00CA25CF">
            <w:pPr>
              <w:rPr>
                <w:rFonts w:cs="Arial"/>
                <w:color w:val="FF0000"/>
                <w:sz w:val="21"/>
                <w:szCs w:val="21"/>
              </w:rPr>
            </w:pPr>
          </w:p>
        </w:tc>
        <w:tc>
          <w:tcPr>
            <w:tcW w:w="217" w:type="dxa"/>
          </w:tcPr>
          <w:p w14:paraId="570C4710" w14:textId="77777777" w:rsidR="002C0FD9" w:rsidRPr="00CA25CF" w:rsidRDefault="002C0FD9" w:rsidP="00CA25CF">
            <w:pPr>
              <w:rPr>
                <w:rFonts w:cs="Arial"/>
                <w:color w:val="FF0000"/>
                <w:sz w:val="21"/>
                <w:szCs w:val="21"/>
              </w:rPr>
            </w:pPr>
          </w:p>
        </w:tc>
        <w:tc>
          <w:tcPr>
            <w:tcW w:w="217" w:type="dxa"/>
          </w:tcPr>
          <w:p w14:paraId="0D0F1692" w14:textId="77777777" w:rsidR="002C0FD9" w:rsidRPr="00CA25CF" w:rsidRDefault="002C0FD9" w:rsidP="00CA25CF">
            <w:pPr>
              <w:rPr>
                <w:rFonts w:cs="Arial"/>
                <w:color w:val="FF0000"/>
                <w:sz w:val="21"/>
                <w:szCs w:val="21"/>
              </w:rPr>
            </w:pPr>
          </w:p>
        </w:tc>
        <w:tc>
          <w:tcPr>
            <w:tcW w:w="217" w:type="dxa"/>
          </w:tcPr>
          <w:p w14:paraId="16E185C8" w14:textId="77777777" w:rsidR="002C0FD9" w:rsidRPr="00CA25CF" w:rsidRDefault="002C0FD9" w:rsidP="00CA25CF">
            <w:pPr>
              <w:rPr>
                <w:rFonts w:cs="Arial"/>
                <w:color w:val="FF0000"/>
                <w:sz w:val="21"/>
                <w:szCs w:val="21"/>
              </w:rPr>
            </w:pPr>
          </w:p>
        </w:tc>
        <w:tc>
          <w:tcPr>
            <w:tcW w:w="217" w:type="dxa"/>
          </w:tcPr>
          <w:p w14:paraId="64D5F99C" w14:textId="77777777" w:rsidR="002C0FD9" w:rsidRPr="00CA25CF" w:rsidRDefault="002C0FD9" w:rsidP="00CA25CF">
            <w:pPr>
              <w:rPr>
                <w:rFonts w:cs="Arial"/>
                <w:color w:val="FF0000"/>
                <w:sz w:val="21"/>
                <w:szCs w:val="21"/>
              </w:rPr>
            </w:pPr>
          </w:p>
        </w:tc>
        <w:tc>
          <w:tcPr>
            <w:tcW w:w="217" w:type="dxa"/>
          </w:tcPr>
          <w:p w14:paraId="7FD5B919" w14:textId="77777777" w:rsidR="002C0FD9" w:rsidRPr="00CA25CF" w:rsidRDefault="002C0FD9" w:rsidP="00CA25CF">
            <w:pPr>
              <w:rPr>
                <w:rFonts w:cs="Arial"/>
                <w:color w:val="FF0000"/>
                <w:sz w:val="21"/>
                <w:szCs w:val="21"/>
              </w:rPr>
            </w:pPr>
          </w:p>
        </w:tc>
        <w:tc>
          <w:tcPr>
            <w:tcW w:w="217" w:type="dxa"/>
          </w:tcPr>
          <w:p w14:paraId="452AF5B5" w14:textId="77777777" w:rsidR="002C0FD9" w:rsidRPr="00CA25CF" w:rsidRDefault="002C0FD9" w:rsidP="00CA25CF">
            <w:pPr>
              <w:rPr>
                <w:rFonts w:cs="Arial"/>
                <w:color w:val="FF0000"/>
                <w:sz w:val="21"/>
                <w:szCs w:val="21"/>
              </w:rPr>
            </w:pPr>
          </w:p>
        </w:tc>
        <w:tc>
          <w:tcPr>
            <w:tcW w:w="217" w:type="dxa"/>
          </w:tcPr>
          <w:p w14:paraId="1C2103BD" w14:textId="77777777" w:rsidR="002C0FD9" w:rsidRPr="00CA25CF" w:rsidRDefault="002C0FD9" w:rsidP="00CA25CF">
            <w:pPr>
              <w:rPr>
                <w:rFonts w:cs="Arial"/>
                <w:color w:val="FF0000"/>
                <w:sz w:val="21"/>
                <w:szCs w:val="21"/>
              </w:rPr>
            </w:pPr>
          </w:p>
        </w:tc>
        <w:tc>
          <w:tcPr>
            <w:tcW w:w="217" w:type="dxa"/>
          </w:tcPr>
          <w:p w14:paraId="39991B1D" w14:textId="77777777" w:rsidR="002C0FD9" w:rsidRPr="00CA25CF" w:rsidRDefault="002C0FD9" w:rsidP="00CA25CF">
            <w:pPr>
              <w:rPr>
                <w:rFonts w:cs="Arial"/>
                <w:color w:val="FF0000"/>
                <w:sz w:val="21"/>
                <w:szCs w:val="21"/>
              </w:rPr>
            </w:pPr>
          </w:p>
        </w:tc>
        <w:tc>
          <w:tcPr>
            <w:tcW w:w="217" w:type="dxa"/>
          </w:tcPr>
          <w:p w14:paraId="41B1FCE1" w14:textId="77777777" w:rsidR="002C0FD9" w:rsidRPr="00CA25CF" w:rsidRDefault="002C0FD9" w:rsidP="00CA25CF">
            <w:pPr>
              <w:rPr>
                <w:rFonts w:cs="Arial"/>
                <w:color w:val="FF0000"/>
                <w:sz w:val="21"/>
                <w:szCs w:val="21"/>
              </w:rPr>
            </w:pPr>
          </w:p>
        </w:tc>
        <w:tc>
          <w:tcPr>
            <w:tcW w:w="217" w:type="dxa"/>
          </w:tcPr>
          <w:p w14:paraId="643F194E" w14:textId="77777777" w:rsidR="002C0FD9" w:rsidRPr="00CA25CF" w:rsidRDefault="002C0FD9" w:rsidP="00CA25CF">
            <w:pPr>
              <w:rPr>
                <w:rFonts w:cs="Arial"/>
                <w:color w:val="FF0000"/>
                <w:sz w:val="21"/>
                <w:szCs w:val="21"/>
              </w:rPr>
            </w:pPr>
          </w:p>
        </w:tc>
        <w:tc>
          <w:tcPr>
            <w:tcW w:w="217" w:type="dxa"/>
          </w:tcPr>
          <w:p w14:paraId="63BAAFCF" w14:textId="77777777" w:rsidR="002C0FD9" w:rsidRPr="00CA25CF" w:rsidRDefault="002C0FD9" w:rsidP="00CA25CF">
            <w:pPr>
              <w:rPr>
                <w:rFonts w:cs="Arial"/>
                <w:color w:val="FF0000"/>
                <w:sz w:val="21"/>
                <w:szCs w:val="21"/>
              </w:rPr>
            </w:pPr>
          </w:p>
        </w:tc>
        <w:tc>
          <w:tcPr>
            <w:tcW w:w="217" w:type="dxa"/>
          </w:tcPr>
          <w:p w14:paraId="0BF77650" w14:textId="77777777" w:rsidR="002C0FD9" w:rsidRPr="00CA25CF" w:rsidRDefault="002C0FD9" w:rsidP="00CA25CF">
            <w:pPr>
              <w:rPr>
                <w:rFonts w:cs="Arial"/>
                <w:color w:val="FF0000"/>
                <w:sz w:val="21"/>
                <w:szCs w:val="21"/>
              </w:rPr>
            </w:pPr>
          </w:p>
        </w:tc>
        <w:tc>
          <w:tcPr>
            <w:tcW w:w="217" w:type="dxa"/>
          </w:tcPr>
          <w:p w14:paraId="2F8293EF" w14:textId="77777777" w:rsidR="002C0FD9" w:rsidRPr="00CA25CF" w:rsidRDefault="002C0FD9" w:rsidP="00CA25CF">
            <w:pPr>
              <w:rPr>
                <w:rFonts w:cs="Arial"/>
                <w:color w:val="FF0000"/>
                <w:sz w:val="21"/>
                <w:szCs w:val="21"/>
              </w:rPr>
            </w:pPr>
          </w:p>
        </w:tc>
        <w:tc>
          <w:tcPr>
            <w:tcW w:w="217" w:type="dxa"/>
          </w:tcPr>
          <w:p w14:paraId="3F720C7E" w14:textId="77777777" w:rsidR="002C0FD9" w:rsidRPr="00CA25CF" w:rsidRDefault="002C0FD9" w:rsidP="00CA25CF">
            <w:pPr>
              <w:rPr>
                <w:rFonts w:cs="Arial"/>
                <w:color w:val="FF0000"/>
                <w:sz w:val="21"/>
                <w:szCs w:val="21"/>
              </w:rPr>
            </w:pPr>
          </w:p>
        </w:tc>
        <w:tc>
          <w:tcPr>
            <w:tcW w:w="217" w:type="dxa"/>
          </w:tcPr>
          <w:p w14:paraId="1556215B" w14:textId="77777777" w:rsidR="002C0FD9" w:rsidRPr="00CA25CF" w:rsidRDefault="002C0FD9" w:rsidP="00CA25CF">
            <w:pPr>
              <w:rPr>
                <w:rFonts w:cs="Arial"/>
                <w:color w:val="FF0000"/>
                <w:sz w:val="21"/>
                <w:szCs w:val="21"/>
              </w:rPr>
            </w:pPr>
          </w:p>
        </w:tc>
        <w:tc>
          <w:tcPr>
            <w:tcW w:w="217" w:type="dxa"/>
          </w:tcPr>
          <w:p w14:paraId="244A62E6" w14:textId="77777777" w:rsidR="002C0FD9" w:rsidRPr="00CA25CF" w:rsidRDefault="002C0FD9" w:rsidP="00CA25CF">
            <w:pPr>
              <w:rPr>
                <w:rFonts w:cs="Arial"/>
                <w:color w:val="FF0000"/>
                <w:sz w:val="21"/>
                <w:szCs w:val="21"/>
              </w:rPr>
            </w:pPr>
          </w:p>
        </w:tc>
        <w:tc>
          <w:tcPr>
            <w:tcW w:w="217" w:type="dxa"/>
          </w:tcPr>
          <w:p w14:paraId="54C0C5EE" w14:textId="77777777" w:rsidR="002C0FD9" w:rsidRPr="00CA25CF" w:rsidRDefault="002C0FD9" w:rsidP="00CA25CF">
            <w:pPr>
              <w:rPr>
                <w:rFonts w:cs="Arial"/>
                <w:color w:val="FF0000"/>
                <w:sz w:val="21"/>
                <w:szCs w:val="21"/>
              </w:rPr>
            </w:pPr>
          </w:p>
        </w:tc>
        <w:tc>
          <w:tcPr>
            <w:tcW w:w="217" w:type="dxa"/>
          </w:tcPr>
          <w:p w14:paraId="02761408" w14:textId="77777777" w:rsidR="002C0FD9" w:rsidRPr="00CA25CF" w:rsidRDefault="002C0FD9" w:rsidP="00CA25CF">
            <w:pPr>
              <w:rPr>
                <w:rFonts w:cs="Arial"/>
                <w:color w:val="FF0000"/>
                <w:sz w:val="21"/>
                <w:szCs w:val="21"/>
              </w:rPr>
            </w:pPr>
          </w:p>
        </w:tc>
        <w:tc>
          <w:tcPr>
            <w:tcW w:w="217" w:type="dxa"/>
          </w:tcPr>
          <w:p w14:paraId="06EB1ED9" w14:textId="77777777" w:rsidR="002C0FD9" w:rsidRPr="00CA25CF" w:rsidRDefault="002C0FD9" w:rsidP="00CA25CF">
            <w:pPr>
              <w:rPr>
                <w:rFonts w:cs="Arial"/>
                <w:color w:val="FF0000"/>
                <w:sz w:val="21"/>
                <w:szCs w:val="21"/>
              </w:rPr>
            </w:pPr>
          </w:p>
        </w:tc>
        <w:tc>
          <w:tcPr>
            <w:tcW w:w="217" w:type="dxa"/>
          </w:tcPr>
          <w:p w14:paraId="050B1732" w14:textId="77777777" w:rsidR="002C0FD9" w:rsidRPr="00CA25CF" w:rsidRDefault="002C0FD9" w:rsidP="00CA25CF">
            <w:pPr>
              <w:rPr>
                <w:rFonts w:cs="Arial"/>
                <w:color w:val="FF0000"/>
                <w:sz w:val="21"/>
                <w:szCs w:val="21"/>
              </w:rPr>
            </w:pPr>
          </w:p>
        </w:tc>
        <w:tc>
          <w:tcPr>
            <w:tcW w:w="217" w:type="dxa"/>
          </w:tcPr>
          <w:p w14:paraId="158591A7" w14:textId="77777777" w:rsidR="002C0FD9" w:rsidRPr="00CA25CF" w:rsidRDefault="002C0FD9" w:rsidP="00CA25CF">
            <w:pPr>
              <w:rPr>
                <w:rFonts w:cs="Arial"/>
                <w:color w:val="FF0000"/>
                <w:sz w:val="21"/>
                <w:szCs w:val="21"/>
              </w:rPr>
            </w:pPr>
          </w:p>
        </w:tc>
        <w:tc>
          <w:tcPr>
            <w:tcW w:w="217" w:type="dxa"/>
          </w:tcPr>
          <w:p w14:paraId="40317C9A" w14:textId="77777777" w:rsidR="002C0FD9" w:rsidRPr="00CA25CF" w:rsidRDefault="002C0FD9" w:rsidP="00CA25CF">
            <w:pPr>
              <w:rPr>
                <w:rFonts w:cs="Arial"/>
                <w:color w:val="FF0000"/>
                <w:sz w:val="21"/>
                <w:szCs w:val="21"/>
              </w:rPr>
            </w:pPr>
          </w:p>
        </w:tc>
        <w:tc>
          <w:tcPr>
            <w:tcW w:w="217" w:type="dxa"/>
          </w:tcPr>
          <w:p w14:paraId="4585F716" w14:textId="77777777" w:rsidR="002C0FD9" w:rsidRPr="00CA25CF" w:rsidRDefault="002C0FD9" w:rsidP="00CA25CF">
            <w:pPr>
              <w:rPr>
                <w:rFonts w:cs="Arial"/>
                <w:color w:val="FF0000"/>
                <w:sz w:val="21"/>
                <w:szCs w:val="21"/>
              </w:rPr>
            </w:pPr>
          </w:p>
        </w:tc>
        <w:tc>
          <w:tcPr>
            <w:tcW w:w="217" w:type="dxa"/>
          </w:tcPr>
          <w:p w14:paraId="3F64EA59" w14:textId="77777777" w:rsidR="002C0FD9" w:rsidRPr="00CA25CF" w:rsidRDefault="002C0FD9" w:rsidP="00CA25CF">
            <w:pPr>
              <w:rPr>
                <w:rFonts w:cs="Arial"/>
                <w:color w:val="FF0000"/>
                <w:sz w:val="21"/>
                <w:szCs w:val="21"/>
              </w:rPr>
            </w:pPr>
          </w:p>
        </w:tc>
        <w:tc>
          <w:tcPr>
            <w:tcW w:w="217" w:type="dxa"/>
          </w:tcPr>
          <w:p w14:paraId="1D7F2CA1" w14:textId="77777777" w:rsidR="002C0FD9" w:rsidRPr="00CA25CF" w:rsidRDefault="002C0FD9" w:rsidP="00CA25CF">
            <w:pPr>
              <w:rPr>
                <w:rFonts w:cs="Arial"/>
                <w:color w:val="FF0000"/>
                <w:sz w:val="21"/>
                <w:szCs w:val="21"/>
              </w:rPr>
            </w:pPr>
          </w:p>
        </w:tc>
        <w:tc>
          <w:tcPr>
            <w:tcW w:w="217" w:type="dxa"/>
          </w:tcPr>
          <w:p w14:paraId="32DFDD3A" w14:textId="77777777" w:rsidR="002C0FD9" w:rsidRPr="00CA25CF" w:rsidRDefault="002C0FD9" w:rsidP="00CA25CF">
            <w:pPr>
              <w:rPr>
                <w:rFonts w:cs="Arial"/>
                <w:color w:val="FF0000"/>
                <w:sz w:val="21"/>
                <w:szCs w:val="21"/>
              </w:rPr>
            </w:pPr>
          </w:p>
        </w:tc>
        <w:tc>
          <w:tcPr>
            <w:tcW w:w="217" w:type="dxa"/>
          </w:tcPr>
          <w:p w14:paraId="5136D183" w14:textId="77777777" w:rsidR="002C0FD9" w:rsidRPr="00CA25CF" w:rsidRDefault="002C0FD9" w:rsidP="00CA25CF">
            <w:pPr>
              <w:rPr>
                <w:rFonts w:cs="Arial"/>
                <w:color w:val="FF0000"/>
                <w:sz w:val="21"/>
                <w:szCs w:val="21"/>
              </w:rPr>
            </w:pPr>
          </w:p>
        </w:tc>
        <w:tc>
          <w:tcPr>
            <w:tcW w:w="217" w:type="dxa"/>
          </w:tcPr>
          <w:p w14:paraId="3F106775" w14:textId="77777777" w:rsidR="002C0FD9" w:rsidRPr="00CA25CF" w:rsidRDefault="002C0FD9" w:rsidP="00CA25CF">
            <w:pPr>
              <w:rPr>
                <w:rFonts w:cs="Arial"/>
                <w:color w:val="FF0000"/>
                <w:sz w:val="21"/>
                <w:szCs w:val="21"/>
              </w:rPr>
            </w:pPr>
          </w:p>
        </w:tc>
        <w:tc>
          <w:tcPr>
            <w:tcW w:w="217" w:type="dxa"/>
          </w:tcPr>
          <w:p w14:paraId="735DB750" w14:textId="77777777" w:rsidR="002C0FD9" w:rsidRPr="00CA25CF" w:rsidRDefault="002C0FD9" w:rsidP="00CA25CF">
            <w:pPr>
              <w:rPr>
                <w:rFonts w:cs="Arial"/>
                <w:color w:val="FF0000"/>
                <w:sz w:val="21"/>
                <w:szCs w:val="21"/>
              </w:rPr>
            </w:pPr>
          </w:p>
        </w:tc>
        <w:tc>
          <w:tcPr>
            <w:tcW w:w="217" w:type="dxa"/>
          </w:tcPr>
          <w:p w14:paraId="6D4E60A9" w14:textId="77777777" w:rsidR="002C0FD9" w:rsidRPr="00CA25CF" w:rsidRDefault="002C0FD9" w:rsidP="00CA25CF">
            <w:pPr>
              <w:rPr>
                <w:rFonts w:cs="Arial"/>
                <w:color w:val="FF0000"/>
                <w:sz w:val="21"/>
                <w:szCs w:val="21"/>
              </w:rPr>
            </w:pPr>
          </w:p>
        </w:tc>
        <w:tc>
          <w:tcPr>
            <w:tcW w:w="217" w:type="dxa"/>
          </w:tcPr>
          <w:p w14:paraId="72DF231C" w14:textId="77777777" w:rsidR="002C0FD9" w:rsidRPr="00CA25CF" w:rsidRDefault="002C0FD9" w:rsidP="00CA25CF">
            <w:pPr>
              <w:rPr>
                <w:rFonts w:cs="Arial"/>
                <w:color w:val="FF0000"/>
                <w:sz w:val="21"/>
                <w:szCs w:val="21"/>
              </w:rPr>
            </w:pPr>
          </w:p>
        </w:tc>
        <w:tc>
          <w:tcPr>
            <w:tcW w:w="217" w:type="dxa"/>
          </w:tcPr>
          <w:p w14:paraId="7552E2C7" w14:textId="77777777" w:rsidR="002C0FD9" w:rsidRPr="00CA25CF" w:rsidRDefault="002C0FD9" w:rsidP="00CA25CF">
            <w:pPr>
              <w:rPr>
                <w:rFonts w:cs="Arial"/>
                <w:color w:val="FF0000"/>
                <w:sz w:val="21"/>
                <w:szCs w:val="21"/>
              </w:rPr>
            </w:pPr>
          </w:p>
        </w:tc>
        <w:tc>
          <w:tcPr>
            <w:tcW w:w="217" w:type="dxa"/>
          </w:tcPr>
          <w:p w14:paraId="07D2E502" w14:textId="77777777" w:rsidR="002C0FD9" w:rsidRPr="00CA25CF" w:rsidRDefault="002C0FD9" w:rsidP="00CA25CF">
            <w:pPr>
              <w:rPr>
                <w:rFonts w:cs="Arial"/>
                <w:color w:val="FF0000"/>
                <w:sz w:val="21"/>
                <w:szCs w:val="21"/>
              </w:rPr>
            </w:pPr>
          </w:p>
        </w:tc>
        <w:tc>
          <w:tcPr>
            <w:tcW w:w="217" w:type="dxa"/>
          </w:tcPr>
          <w:p w14:paraId="40A822D1" w14:textId="77777777" w:rsidR="002C0FD9" w:rsidRPr="00CA25CF" w:rsidRDefault="002C0FD9" w:rsidP="00CA25CF">
            <w:pPr>
              <w:rPr>
                <w:rFonts w:cs="Arial"/>
                <w:color w:val="FF0000"/>
                <w:sz w:val="21"/>
                <w:szCs w:val="21"/>
              </w:rPr>
            </w:pPr>
          </w:p>
        </w:tc>
        <w:tc>
          <w:tcPr>
            <w:tcW w:w="217" w:type="dxa"/>
          </w:tcPr>
          <w:p w14:paraId="0D4C8265" w14:textId="77777777" w:rsidR="002C0FD9" w:rsidRPr="00CA25CF" w:rsidRDefault="002C0FD9" w:rsidP="00CA25CF">
            <w:pPr>
              <w:rPr>
                <w:rFonts w:cs="Arial"/>
                <w:color w:val="FF0000"/>
                <w:sz w:val="21"/>
                <w:szCs w:val="21"/>
              </w:rPr>
            </w:pPr>
          </w:p>
        </w:tc>
        <w:tc>
          <w:tcPr>
            <w:tcW w:w="217" w:type="dxa"/>
          </w:tcPr>
          <w:p w14:paraId="4B3327B2" w14:textId="77777777" w:rsidR="002C0FD9" w:rsidRPr="00CA25CF" w:rsidRDefault="002C0FD9" w:rsidP="00CA25CF">
            <w:pPr>
              <w:rPr>
                <w:rFonts w:cs="Arial"/>
                <w:color w:val="FF0000"/>
                <w:sz w:val="21"/>
                <w:szCs w:val="21"/>
              </w:rPr>
            </w:pPr>
          </w:p>
        </w:tc>
        <w:tc>
          <w:tcPr>
            <w:tcW w:w="217" w:type="dxa"/>
          </w:tcPr>
          <w:p w14:paraId="0486AAB0" w14:textId="77777777" w:rsidR="002C0FD9" w:rsidRPr="00CA25CF" w:rsidRDefault="002C0FD9" w:rsidP="00CA25CF">
            <w:pPr>
              <w:rPr>
                <w:rFonts w:cs="Arial"/>
                <w:color w:val="FF0000"/>
                <w:sz w:val="21"/>
                <w:szCs w:val="21"/>
              </w:rPr>
            </w:pPr>
          </w:p>
        </w:tc>
        <w:tc>
          <w:tcPr>
            <w:tcW w:w="217" w:type="dxa"/>
          </w:tcPr>
          <w:p w14:paraId="3D4EDF4E" w14:textId="77777777" w:rsidR="002C0FD9" w:rsidRPr="00CA25CF" w:rsidRDefault="002C0FD9" w:rsidP="00CA25CF">
            <w:pPr>
              <w:rPr>
                <w:rFonts w:cs="Arial"/>
                <w:color w:val="FF0000"/>
                <w:sz w:val="21"/>
                <w:szCs w:val="21"/>
              </w:rPr>
            </w:pPr>
          </w:p>
        </w:tc>
        <w:tc>
          <w:tcPr>
            <w:tcW w:w="217" w:type="dxa"/>
          </w:tcPr>
          <w:p w14:paraId="15D9841D" w14:textId="77777777" w:rsidR="002C0FD9" w:rsidRPr="00CA25CF" w:rsidRDefault="002C0FD9" w:rsidP="00CA25CF">
            <w:pPr>
              <w:rPr>
                <w:rFonts w:cs="Arial"/>
                <w:color w:val="FF0000"/>
                <w:sz w:val="21"/>
                <w:szCs w:val="21"/>
              </w:rPr>
            </w:pPr>
          </w:p>
        </w:tc>
        <w:tc>
          <w:tcPr>
            <w:tcW w:w="217" w:type="dxa"/>
          </w:tcPr>
          <w:p w14:paraId="54ADF8AB" w14:textId="77777777" w:rsidR="002C0FD9" w:rsidRPr="00CA25CF" w:rsidRDefault="002C0FD9" w:rsidP="00CA25CF">
            <w:pPr>
              <w:rPr>
                <w:rFonts w:cs="Arial"/>
                <w:color w:val="FF0000"/>
                <w:sz w:val="21"/>
                <w:szCs w:val="21"/>
              </w:rPr>
            </w:pPr>
          </w:p>
        </w:tc>
      </w:tr>
      <w:tr w:rsidR="002C0FD9" w:rsidRPr="00A16219" w14:paraId="60B114ED" w14:textId="77777777" w:rsidTr="002C0FD9">
        <w:trPr>
          <w:trHeight w:val="635"/>
        </w:trPr>
        <w:tc>
          <w:tcPr>
            <w:tcW w:w="515" w:type="dxa"/>
          </w:tcPr>
          <w:p w14:paraId="22BD3CF2" w14:textId="77777777" w:rsidR="002C0FD9" w:rsidRPr="00CA25CF" w:rsidRDefault="002C0FD9" w:rsidP="00CA25CF">
            <w:pPr>
              <w:rPr>
                <w:rFonts w:cs="Arial"/>
                <w:color w:val="FF0000"/>
                <w:sz w:val="21"/>
                <w:szCs w:val="21"/>
              </w:rPr>
            </w:pPr>
          </w:p>
        </w:tc>
        <w:tc>
          <w:tcPr>
            <w:tcW w:w="217" w:type="dxa"/>
          </w:tcPr>
          <w:p w14:paraId="50D7DFC9" w14:textId="77777777" w:rsidR="002C0FD9" w:rsidRPr="00CA25CF" w:rsidRDefault="002C0FD9" w:rsidP="00CA25CF">
            <w:pPr>
              <w:rPr>
                <w:rFonts w:cs="Arial"/>
                <w:color w:val="FF0000"/>
                <w:sz w:val="21"/>
                <w:szCs w:val="21"/>
              </w:rPr>
            </w:pPr>
          </w:p>
        </w:tc>
        <w:tc>
          <w:tcPr>
            <w:tcW w:w="217" w:type="dxa"/>
          </w:tcPr>
          <w:p w14:paraId="04B113FD" w14:textId="77777777" w:rsidR="002C0FD9" w:rsidRPr="00CA25CF" w:rsidRDefault="002C0FD9" w:rsidP="00CA25CF">
            <w:pPr>
              <w:rPr>
                <w:rFonts w:cs="Arial"/>
                <w:color w:val="FF0000"/>
                <w:sz w:val="21"/>
                <w:szCs w:val="21"/>
              </w:rPr>
            </w:pPr>
          </w:p>
        </w:tc>
        <w:tc>
          <w:tcPr>
            <w:tcW w:w="217" w:type="dxa"/>
          </w:tcPr>
          <w:p w14:paraId="18588EF4" w14:textId="77777777" w:rsidR="002C0FD9" w:rsidRPr="00CA25CF" w:rsidRDefault="002C0FD9" w:rsidP="00CA25CF">
            <w:pPr>
              <w:rPr>
                <w:rFonts w:cs="Arial"/>
                <w:color w:val="FF0000"/>
                <w:sz w:val="21"/>
                <w:szCs w:val="21"/>
              </w:rPr>
            </w:pPr>
          </w:p>
        </w:tc>
        <w:tc>
          <w:tcPr>
            <w:tcW w:w="217" w:type="dxa"/>
          </w:tcPr>
          <w:p w14:paraId="1870E968" w14:textId="77777777" w:rsidR="002C0FD9" w:rsidRPr="00CA25CF" w:rsidRDefault="002C0FD9" w:rsidP="00CA25CF">
            <w:pPr>
              <w:rPr>
                <w:rFonts w:cs="Arial"/>
                <w:color w:val="FF0000"/>
                <w:sz w:val="21"/>
                <w:szCs w:val="21"/>
              </w:rPr>
            </w:pPr>
          </w:p>
        </w:tc>
        <w:tc>
          <w:tcPr>
            <w:tcW w:w="217" w:type="dxa"/>
          </w:tcPr>
          <w:p w14:paraId="3EB6E830" w14:textId="77777777" w:rsidR="002C0FD9" w:rsidRPr="00CA25CF" w:rsidRDefault="002C0FD9" w:rsidP="00CA25CF">
            <w:pPr>
              <w:rPr>
                <w:rFonts w:cs="Arial"/>
                <w:color w:val="FF0000"/>
                <w:sz w:val="21"/>
                <w:szCs w:val="21"/>
              </w:rPr>
            </w:pPr>
          </w:p>
        </w:tc>
        <w:tc>
          <w:tcPr>
            <w:tcW w:w="217" w:type="dxa"/>
          </w:tcPr>
          <w:p w14:paraId="09F65621" w14:textId="77777777" w:rsidR="002C0FD9" w:rsidRPr="00CA25CF" w:rsidRDefault="002C0FD9" w:rsidP="00CA25CF">
            <w:pPr>
              <w:rPr>
                <w:rFonts w:cs="Arial"/>
                <w:color w:val="FF0000"/>
                <w:sz w:val="21"/>
                <w:szCs w:val="21"/>
              </w:rPr>
            </w:pPr>
          </w:p>
        </w:tc>
        <w:tc>
          <w:tcPr>
            <w:tcW w:w="217" w:type="dxa"/>
          </w:tcPr>
          <w:p w14:paraId="4A52D78D" w14:textId="77777777" w:rsidR="002C0FD9" w:rsidRPr="00CA25CF" w:rsidRDefault="002C0FD9" w:rsidP="00CA25CF">
            <w:pPr>
              <w:rPr>
                <w:rFonts w:cs="Arial"/>
                <w:color w:val="FF0000"/>
                <w:sz w:val="21"/>
                <w:szCs w:val="21"/>
              </w:rPr>
            </w:pPr>
          </w:p>
        </w:tc>
        <w:tc>
          <w:tcPr>
            <w:tcW w:w="217" w:type="dxa"/>
          </w:tcPr>
          <w:p w14:paraId="67241277" w14:textId="77777777" w:rsidR="002C0FD9" w:rsidRPr="00CA25CF" w:rsidRDefault="002C0FD9" w:rsidP="00CA25CF">
            <w:pPr>
              <w:rPr>
                <w:rFonts w:cs="Arial"/>
                <w:color w:val="FF0000"/>
                <w:sz w:val="21"/>
                <w:szCs w:val="21"/>
              </w:rPr>
            </w:pPr>
          </w:p>
        </w:tc>
        <w:tc>
          <w:tcPr>
            <w:tcW w:w="217" w:type="dxa"/>
          </w:tcPr>
          <w:p w14:paraId="6DE53BB1" w14:textId="77777777" w:rsidR="002C0FD9" w:rsidRPr="00CA25CF" w:rsidRDefault="002C0FD9" w:rsidP="00CA25CF">
            <w:pPr>
              <w:rPr>
                <w:rFonts w:cs="Arial"/>
                <w:color w:val="FF0000"/>
                <w:sz w:val="21"/>
                <w:szCs w:val="21"/>
              </w:rPr>
            </w:pPr>
          </w:p>
        </w:tc>
        <w:tc>
          <w:tcPr>
            <w:tcW w:w="217" w:type="dxa"/>
          </w:tcPr>
          <w:p w14:paraId="0E2FD4B0" w14:textId="77777777" w:rsidR="002C0FD9" w:rsidRPr="00CA25CF" w:rsidRDefault="002C0FD9" w:rsidP="00CA25CF">
            <w:pPr>
              <w:rPr>
                <w:rFonts w:cs="Arial"/>
                <w:color w:val="FF0000"/>
                <w:sz w:val="21"/>
                <w:szCs w:val="21"/>
              </w:rPr>
            </w:pPr>
          </w:p>
        </w:tc>
        <w:tc>
          <w:tcPr>
            <w:tcW w:w="217" w:type="dxa"/>
          </w:tcPr>
          <w:p w14:paraId="5BFF2041" w14:textId="77777777" w:rsidR="002C0FD9" w:rsidRPr="00CA25CF" w:rsidRDefault="002C0FD9" w:rsidP="00CA25CF">
            <w:pPr>
              <w:rPr>
                <w:rFonts w:cs="Arial"/>
                <w:color w:val="FF0000"/>
                <w:sz w:val="21"/>
                <w:szCs w:val="21"/>
              </w:rPr>
            </w:pPr>
          </w:p>
        </w:tc>
        <w:tc>
          <w:tcPr>
            <w:tcW w:w="217" w:type="dxa"/>
          </w:tcPr>
          <w:p w14:paraId="65853FEB" w14:textId="77777777" w:rsidR="002C0FD9" w:rsidRPr="00CA25CF" w:rsidRDefault="002C0FD9" w:rsidP="00CA25CF">
            <w:pPr>
              <w:rPr>
                <w:rFonts w:cs="Arial"/>
                <w:color w:val="FF0000"/>
                <w:sz w:val="21"/>
                <w:szCs w:val="21"/>
              </w:rPr>
            </w:pPr>
          </w:p>
        </w:tc>
        <w:tc>
          <w:tcPr>
            <w:tcW w:w="217" w:type="dxa"/>
          </w:tcPr>
          <w:p w14:paraId="43F20033" w14:textId="77777777" w:rsidR="002C0FD9" w:rsidRPr="00CA25CF" w:rsidRDefault="002C0FD9" w:rsidP="00CA25CF">
            <w:pPr>
              <w:rPr>
                <w:rFonts w:cs="Arial"/>
                <w:color w:val="FF0000"/>
                <w:sz w:val="21"/>
                <w:szCs w:val="21"/>
              </w:rPr>
            </w:pPr>
          </w:p>
        </w:tc>
        <w:tc>
          <w:tcPr>
            <w:tcW w:w="217" w:type="dxa"/>
          </w:tcPr>
          <w:p w14:paraId="35FE7899" w14:textId="77777777" w:rsidR="002C0FD9" w:rsidRPr="00CA25CF" w:rsidRDefault="002C0FD9" w:rsidP="00CA25CF">
            <w:pPr>
              <w:rPr>
                <w:rFonts w:cs="Arial"/>
                <w:color w:val="FF0000"/>
                <w:sz w:val="21"/>
                <w:szCs w:val="21"/>
              </w:rPr>
            </w:pPr>
          </w:p>
        </w:tc>
        <w:tc>
          <w:tcPr>
            <w:tcW w:w="217" w:type="dxa"/>
          </w:tcPr>
          <w:p w14:paraId="7E6557C6" w14:textId="77777777" w:rsidR="002C0FD9" w:rsidRPr="00CA25CF" w:rsidRDefault="002C0FD9" w:rsidP="00CA25CF">
            <w:pPr>
              <w:rPr>
                <w:rFonts w:cs="Arial"/>
                <w:color w:val="FF0000"/>
                <w:sz w:val="21"/>
                <w:szCs w:val="21"/>
              </w:rPr>
            </w:pPr>
          </w:p>
        </w:tc>
        <w:tc>
          <w:tcPr>
            <w:tcW w:w="217" w:type="dxa"/>
          </w:tcPr>
          <w:p w14:paraId="10E5511A" w14:textId="77777777" w:rsidR="002C0FD9" w:rsidRPr="00CA25CF" w:rsidRDefault="002C0FD9" w:rsidP="00CA25CF">
            <w:pPr>
              <w:rPr>
                <w:rFonts w:cs="Arial"/>
                <w:color w:val="FF0000"/>
                <w:sz w:val="21"/>
                <w:szCs w:val="21"/>
              </w:rPr>
            </w:pPr>
          </w:p>
        </w:tc>
        <w:tc>
          <w:tcPr>
            <w:tcW w:w="217" w:type="dxa"/>
          </w:tcPr>
          <w:p w14:paraId="486503D3" w14:textId="77777777" w:rsidR="002C0FD9" w:rsidRPr="00CA25CF" w:rsidRDefault="002C0FD9" w:rsidP="00CA25CF">
            <w:pPr>
              <w:rPr>
                <w:rFonts w:cs="Arial"/>
                <w:color w:val="FF0000"/>
                <w:sz w:val="21"/>
                <w:szCs w:val="21"/>
              </w:rPr>
            </w:pPr>
          </w:p>
        </w:tc>
        <w:tc>
          <w:tcPr>
            <w:tcW w:w="217" w:type="dxa"/>
          </w:tcPr>
          <w:p w14:paraId="66508406" w14:textId="77777777" w:rsidR="002C0FD9" w:rsidRPr="00CA25CF" w:rsidRDefault="002C0FD9" w:rsidP="00CA25CF">
            <w:pPr>
              <w:rPr>
                <w:rFonts w:cs="Arial"/>
                <w:color w:val="FF0000"/>
                <w:sz w:val="21"/>
                <w:szCs w:val="21"/>
              </w:rPr>
            </w:pPr>
          </w:p>
        </w:tc>
        <w:tc>
          <w:tcPr>
            <w:tcW w:w="217" w:type="dxa"/>
          </w:tcPr>
          <w:p w14:paraId="39E5DA3C" w14:textId="77777777" w:rsidR="002C0FD9" w:rsidRPr="00CA25CF" w:rsidRDefault="002C0FD9" w:rsidP="00CA25CF">
            <w:pPr>
              <w:rPr>
                <w:rFonts w:cs="Arial"/>
                <w:color w:val="FF0000"/>
                <w:sz w:val="21"/>
                <w:szCs w:val="21"/>
              </w:rPr>
            </w:pPr>
          </w:p>
        </w:tc>
        <w:tc>
          <w:tcPr>
            <w:tcW w:w="217" w:type="dxa"/>
          </w:tcPr>
          <w:p w14:paraId="41F1F388" w14:textId="77777777" w:rsidR="002C0FD9" w:rsidRPr="00CA25CF" w:rsidRDefault="002C0FD9" w:rsidP="00CA25CF">
            <w:pPr>
              <w:rPr>
                <w:rFonts w:cs="Arial"/>
                <w:color w:val="FF0000"/>
                <w:sz w:val="21"/>
                <w:szCs w:val="21"/>
              </w:rPr>
            </w:pPr>
          </w:p>
        </w:tc>
        <w:tc>
          <w:tcPr>
            <w:tcW w:w="217" w:type="dxa"/>
          </w:tcPr>
          <w:p w14:paraId="7A188A09" w14:textId="77777777" w:rsidR="002C0FD9" w:rsidRPr="00CA25CF" w:rsidRDefault="002C0FD9" w:rsidP="00CA25CF">
            <w:pPr>
              <w:rPr>
                <w:rFonts w:cs="Arial"/>
                <w:color w:val="FF0000"/>
                <w:sz w:val="21"/>
                <w:szCs w:val="21"/>
              </w:rPr>
            </w:pPr>
          </w:p>
        </w:tc>
        <w:tc>
          <w:tcPr>
            <w:tcW w:w="217" w:type="dxa"/>
          </w:tcPr>
          <w:p w14:paraId="1A746F1C" w14:textId="77777777" w:rsidR="002C0FD9" w:rsidRPr="00CA25CF" w:rsidRDefault="002C0FD9" w:rsidP="00CA25CF">
            <w:pPr>
              <w:rPr>
                <w:rFonts w:cs="Arial"/>
                <w:color w:val="FF0000"/>
                <w:sz w:val="21"/>
                <w:szCs w:val="21"/>
              </w:rPr>
            </w:pPr>
          </w:p>
        </w:tc>
        <w:tc>
          <w:tcPr>
            <w:tcW w:w="217" w:type="dxa"/>
          </w:tcPr>
          <w:p w14:paraId="7FD757F7" w14:textId="77777777" w:rsidR="002C0FD9" w:rsidRPr="00CA25CF" w:rsidRDefault="002C0FD9" w:rsidP="00CA25CF">
            <w:pPr>
              <w:rPr>
                <w:rFonts w:cs="Arial"/>
                <w:color w:val="FF0000"/>
                <w:sz w:val="21"/>
                <w:szCs w:val="21"/>
              </w:rPr>
            </w:pPr>
          </w:p>
        </w:tc>
        <w:tc>
          <w:tcPr>
            <w:tcW w:w="217" w:type="dxa"/>
          </w:tcPr>
          <w:p w14:paraId="035693EC" w14:textId="77777777" w:rsidR="002C0FD9" w:rsidRPr="00CA25CF" w:rsidRDefault="002C0FD9" w:rsidP="00CA25CF">
            <w:pPr>
              <w:rPr>
                <w:rFonts w:cs="Arial"/>
                <w:color w:val="FF0000"/>
                <w:sz w:val="21"/>
                <w:szCs w:val="21"/>
              </w:rPr>
            </w:pPr>
          </w:p>
        </w:tc>
        <w:tc>
          <w:tcPr>
            <w:tcW w:w="217" w:type="dxa"/>
          </w:tcPr>
          <w:p w14:paraId="2B757B82" w14:textId="77777777" w:rsidR="002C0FD9" w:rsidRPr="00CA25CF" w:rsidRDefault="002C0FD9" w:rsidP="00CA25CF">
            <w:pPr>
              <w:rPr>
                <w:rFonts w:cs="Arial"/>
                <w:color w:val="FF0000"/>
                <w:sz w:val="21"/>
                <w:szCs w:val="21"/>
              </w:rPr>
            </w:pPr>
          </w:p>
        </w:tc>
        <w:tc>
          <w:tcPr>
            <w:tcW w:w="217" w:type="dxa"/>
          </w:tcPr>
          <w:p w14:paraId="550FFB99" w14:textId="77777777" w:rsidR="002C0FD9" w:rsidRPr="00CA25CF" w:rsidRDefault="002C0FD9" w:rsidP="00CA25CF">
            <w:pPr>
              <w:rPr>
                <w:rFonts w:cs="Arial"/>
                <w:color w:val="FF0000"/>
                <w:sz w:val="21"/>
                <w:szCs w:val="21"/>
              </w:rPr>
            </w:pPr>
          </w:p>
        </w:tc>
        <w:tc>
          <w:tcPr>
            <w:tcW w:w="217" w:type="dxa"/>
          </w:tcPr>
          <w:p w14:paraId="61340076" w14:textId="77777777" w:rsidR="002C0FD9" w:rsidRPr="00CA25CF" w:rsidRDefault="002C0FD9" w:rsidP="00CA25CF">
            <w:pPr>
              <w:rPr>
                <w:rFonts w:cs="Arial"/>
                <w:color w:val="FF0000"/>
                <w:sz w:val="21"/>
                <w:szCs w:val="21"/>
              </w:rPr>
            </w:pPr>
          </w:p>
        </w:tc>
        <w:tc>
          <w:tcPr>
            <w:tcW w:w="217" w:type="dxa"/>
          </w:tcPr>
          <w:p w14:paraId="23028D94" w14:textId="77777777" w:rsidR="002C0FD9" w:rsidRPr="00CA25CF" w:rsidRDefault="002C0FD9" w:rsidP="00CA25CF">
            <w:pPr>
              <w:rPr>
                <w:rFonts w:cs="Arial"/>
                <w:color w:val="FF0000"/>
                <w:sz w:val="21"/>
                <w:szCs w:val="21"/>
              </w:rPr>
            </w:pPr>
          </w:p>
        </w:tc>
        <w:tc>
          <w:tcPr>
            <w:tcW w:w="217" w:type="dxa"/>
          </w:tcPr>
          <w:p w14:paraId="33FE3105" w14:textId="77777777" w:rsidR="002C0FD9" w:rsidRPr="00CA25CF" w:rsidRDefault="002C0FD9" w:rsidP="00CA25CF">
            <w:pPr>
              <w:rPr>
                <w:rFonts w:cs="Arial"/>
                <w:color w:val="FF0000"/>
                <w:sz w:val="21"/>
                <w:szCs w:val="21"/>
              </w:rPr>
            </w:pPr>
          </w:p>
        </w:tc>
        <w:tc>
          <w:tcPr>
            <w:tcW w:w="217" w:type="dxa"/>
          </w:tcPr>
          <w:p w14:paraId="39AB66E2" w14:textId="77777777" w:rsidR="002C0FD9" w:rsidRPr="00CA25CF" w:rsidRDefault="002C0FD9" w:rsidP="00CA25CF">
            <w:pPr>
              <w:rPr>
                <w:rFonts w:cs="Arial"/>
                <w:color w:val="FF0000"/>
                <w:sz w:val="21"/>
                <w:szCs w:val="21"/>
              </w:rPr>
            </w:pPr>
          </w:p>
        </w:tc>
        <w:tc>
          <w:tcPr>
            <w:tcW w:w="217" w:type="dxa"/>
          </w:tcPr>
          <w:p w14:paraId="7F96AC50" w14:textId="77777777" w:rsidR="002C0FD9" w:rsidRPr="00CA25CF" w:rsidRDefault="002C0FD9" w:rsidP="00CA25CF">
            <w:pPr>
              <w:rPr>
                <w:rFonts w:cs="Arial"/>
                <w:color w:val="FF0000"/>
                <w:sz w:val="21"/>
                <w:szCs w:val="21"/>
              </w:rPr>
            </w:pPr>
          </w:p>
        </w:tc>
        <w:tc>
          <w:tcPr>
            <w:tcW w:w="217" w:type="dxa"/>
          </w:tcPr>
          <w:p w14:paraId="525D6C74" w14:textId="77777777" w:rsidR="002C0FD9" w:rsidRPr="00CA25CF" w:rsidRDefault="002C0FD9" w:rsidP="00CA25CF">
            <w:pPr>
              <w:rPr>
                <w:rFonts w:cs="Arial"/>
                <w:color w:val="FF0000"/>
                <w:sz w:val="21"/>
                <w:szCs w:val="21"/>
              </w:rPr>
            </w:pPr>
          </w:p>
        </w:tc>
        <w:tc>
          <w:tcPr>
            <w:tcW w:w="217" w:type="dxa"/>
          </w:tcPr>
          <w:p w14:paraId="65166D7D" w14:textId="77777777" w:rsidR="002C0FD9" w:rsidRPr="00CA25CF" w:rsidRDefault="002C0FD9" w:rsidP="00CA25CF">
            <w:pPr>
              <w:rPr>
                <w:rFonts w:cs="Arial"/>
                <w:color w:val="FF0000"/>
                <w:sz w:val="21"/>
                <w:szCs w:val="21"/>
              </w:rPr>
            </w:pPr>
          </w:p>
        </w:tc>
        <w:tc>
          <w:tcPr>
            <w:tcW w:w="217" w:type="dxa"/>
          </w:tcPr>
          <w:p w14:paraId="28733BF6" w14:textId="77777777" w:rsidR="002C0FD9" w:rsidRPr="00CA25CF" w:rsidRDefault="002C0FD9" w:rsidP="00CA25CF">
            <w:pPr>
              <w:rPr>
                <w:rFonts w:cs="Arial"/>
                <w:color w:val="FF0000"/>
                <w:sz w:val="21"/>
                <w:szCs w:val="21"/>
              </w:rPr>
            </w:pPr>
          </w:p>
        </w:tc>
        <w:tc>
          <w:tcPr>
            <w:tcW w:w="217" w:type="dxa"/>
          </w:tcPr>
          <w:p w14:paraId="67D02741" w14:textId="77777777" w:rsidR="002C0FD9" w:rsidRPr="00CA25CF" w:rsidRDefault="002C0FD9" w:rsidP="00CA25CF">
            <w:pPr>
              <w:rPr>
                <w:rFonts w:cs="Arial"/>
                <w:color w:val="FF0000"/>
                <w:sz w:val="21"/>
                <w:szCs w:val="21"/>
              </w:rPr>
            </w:pPr>
          </w:p>
        </w:tc>
        <w:tc>
          <w:tcPr>
            <w:tcW w:w="217" w:type="dxa"/>
          </w:tcPr>
          <w:p w14:paraId="377ECF1E" w14:textId="77777777" w:rsidR="002C0FD9" w:rsidRPr="00CA25CF" w:rsidRDefault="002C0FD9" w:rsidP="00CA25CF">
            <w:pPr>
              <w:rPr>
                <w:rFonts w:cs="Arial"/>
                <w:color w:val="FF0000"/>
                <w:sz w:val="21"/>
                <w:szCs w:val="21"/>
              </w:rPr>
            </w:pPr>
          </w:p>
        </w:tc>
        <w:tc>
          <w:tcPr>
            <w:tcW w:w="217" w:type="dxa"/>
          </w:tcPr>
          <w:p w14:paraId="16DC77F6" w14:textId="77777777" w:rsidR="002C0FD9" w:rsidRPr="00CA25CF" w:rsidRDefault="002C0FD9" w:rsidP="00CA25CF">
            <w:pPr>
              <w:rPr>
                <w:rFonts w:cs="Arial"/>
                <w:color w:val="FF0000"/>
                <w:sz w:val="21"/>
                <w:szCs w:val="21"/>
              </w:rPr>
            </w:pPr>
          </w:p>
        </w:tc>
        <w:tc>
          <w:tcPr>
            <w:tcW w:w="217" w:type="dxa"/>
          </w:tcPr>
          <w:p w14:paraId="22F2C57A" w14:textId="77777777" w:rsidR="002C0FD9" w:rsidRPr="00CA25CF" w:rsidRDefault="002C0FD9" w:rsidP="00CA25CF">
            <w:pPr>
              <w:rPr>
                <w:rFonts w:cs="Arial"/>
                <w:color w:val="FF0000"/>
                <w:sz w:val="21"/>
                <w:szCs w:val="21"/>
              </w:rPr>
            </w:pPr>
          </w:p>
        </w:tc>
        <w:tc>
          <w:tcPr>
            <w:tcW w:w="217" w:type="dxa"/>
          </w:tcPr>
          <w:p w14:paraId="568E9A22" w14:textId="77777777" w:rsidR="002C0FD9" w:rsidRPr="00CA25CF" w:rsidRDefault="002C0FD9" w:rsidP="00CA25CF">
            <w:pPr>
              <w:rPr>
                <w:rFonts w:cs="Arial"/>
                <w:color w:val="FF0000"/>
                <w:sz w:val="21"/>
                <w:szCs w:val="21"/>
              </w:rPr>
            </w:pPr>
          </w:p>
        </w:tc>
        <w:tc>
          <w:tcPr>
            <w:tcW w:w="217" w:type="dxa"/>
          </w:tcPr>
          <w:p w14:paraId="37BBE8C3" w14:textId="77777777" w:rsidR="002C0FD9" w:rsidRPr="00CA25CF" w:rsidRDefault="002C0FD9" w:rsidP="00CA25CF">
            <w:pPr>
              <w:rPr>
                <w:rFonts w:cs="Arial"/>
                <w:color w:val="FF0000"/>
                <w:sz w:val="21"/>
                <w:szCs w:val="21"/>
              </w:rPr>
            </w:pPr>
          </w:p>
        </w:tc>
        <w:tc>
          <w:tcPr>
            <w:tcW w:w="217" w:type="dxa"/>
          </w:tcPr>
          <w:p w14:paraId="3EDD5596" w14:textId="77777777" w:rsidR="002C0FD9" w:rsidRPr="00CA25CF" w:rsidRDefault="002C0FD9" w:rsidP="00CA25CF">
            <w:pPr>
              <w:rPr>
                <w:rFonts w:cs="Arial"/>
                <w:color w:val="FF0000"/>
                <w:sz w:val="21"/>
                <w:szCs w:val="21"/>
              </w:rPr>
            </w:pPr>
          </w:p>
        </w:tc>
        <w:tc>
          <w:tcPr>
            <w:tcW w:w="217" w:type="dxa"/>
          </w:tcPr>
          <w:p w14:paraId="4C291FAD" w14:textId="77777777" w:rsidR="002C0FD9" w:rsidRPr="00CA25CF" w:rsidRDefault="002C0FD9" w:rsidP="00CA25CF">
            <w:pPr>
              <w:rPr>
                <w:rFonts w:cs="Arial"/>
                <w:color w:val="FF0000"/>
                <w:sz w:val="21"/>
                <w:szCs w:val="21"/>
              </w:rPr>
            </w:pPr>
          </w:p>
        </w:tc>
      </w:tr>
      <w:tr w:rsidR="002C0FD9" w:rsidRPr="00A16219" w14:paraId="3060B5EC" w14:textId="77777777" w:rsidTr="002C0FD9">
        <w:trPr>
          <w:trHeight w:val="635"/>
        </w:trPr>
        <w:tc>
          <w:tcPr>
            <w:tcW w:w="515" w:type="dxa"/>
          </w:tcPr>
          <w:p w14:paraId="047CA337" w14:textId="77777777" w:rsidR="002C0FD9" w:rsidRPr="00CA25CF" w:rsidRDefault="002C0FD9" w:rsidP="00CA25CF">
            <w:pPr>
              <w:rPr>
                <w:rFonts w:cs="Arial"/>
                <w:color w:val="FF0000"/>
                <w:sz w:val="21"/>
                <w:szCs w:val="21"/>
              </w:rPr>
            </w:pPr>
          </w:p>
        </w:tc>
        <w:tc>
          <w:tcPr>
            <w:tcW w:w="217" w:type="dxa"/>
          </w:tcPr>
          <w:p w14:paraId="3C8E23A9" w14:textId="77777777" w:rsidR="002C0FD9" w:rsidRPr="00CA25CF" w:rsidRDefault="002C0FD9" w:rsidP="00CA25CF">
            <w:pPr>
              <w:rPr>
                <w:rFonts w:cs="Arial"/>
                <w:color w:val="FF0000"/>
                <w:sz w:val="21"/>
                <w:szCs w:val="21"/>
              </w:rPr>
            </w:pPr>
          </w:p>
        </w:tc>
        <w:tc>
          <w:tcPr>
            <w:tcW w:w="217" w:type="dxa"/>
          </w:tcPr>
          <w:p w14:paraId="33FAEA74" w14:textId="77777777" w:rsidR="002C0FD9" w:rsidRPr="00CA25CF" w:rsidRDefault="002C0FD9" w:rsidP="00CA25CF">
            <w:pPr>
              <w:rPr>
                <w:rFonts w:cs="Arial"/>
                <w:color w:val="FF0000"/>
                <w:sz w:val="21"/>
                <w:szCs w:val="21"/>
              </w:rPr>
            </w:pPr>
          </w:p>
        </w:tc>
        <w:tc>
          <w:tcPr>
            <w:tcW w:w="217" w:type="dxa"/>
          </w:tcPr>
          <w:p w14:paraId="3C0138BC" w14:textId="77777777" w:rsidR="002C0FD9" w:rsidRPr="00CA25CF" w:rsidRDefault="002C0FD9" w:rsidP="00CA25CF">
            <w:pPr>
              <w:rPr>
                <w:rFonts w:cs="Arial"/>
                <w:color w:val="FF0000"/>
                <w:sz w:val="21"/>
                <w:szCs w:val="21"/>
              </w:rPr>
            </w:pPr>
          </w:p>
        </w:tc>
        <w:tc>
          <w:tcPr>
            <w:tcW w:w="217" w:type="dxa"/>
          </w:tcPr>
          <w:p w14:paraId="15EA60E9" w14:textId="77777777" w:rsidR="002C0FD9" w:rsidRPr="00CA25CF" w:rsidRDefault="002C0FD9" w:rsidP="00CA25CF">
            <w:pPr>
              <w:rPr>
                <w:rFonts w:cs="Arial"/>
                <w:color w:val="FF0000"/>
                <w:sz w:val="21"/>
                <w:szCs w:val="21"/>
              </w:rPr>
            </w:pPr>
          </w:p>
        </w:tc>
        <w:tc>
          <w:tcPr>
            <w:tcW w:w="217" w:type="dxa"/>
          </w:tcPr>
          <w:p w14:paraId="5B94919A" w14:textId="77777777" w:rsidR="002C0FD9" w:rsidRPr="00CA25CF" w:rsidRDefault="002C0FD9" w:rsidP="00CA25CF">
            <w:pPr>
              <w:rPr>
                <w:rFonts w:cs="Arial"/>
                <w:color w:val="FF0000"/>
                <w:sz w:val="21"/>
                <w:szCs w:val="21"/>
              </w:rPr>
            </w:pPr>
          </w:p>
        </w:tc>
        <w:tc>
          <w:tcPr>
            <w:tcW w:w="217" w:type="dxa"/>
          </w:tcPr>
          <w:p w14:paraId="6DA29B4E" w14:textId="77777777" w:rsidR="002C0FD9" w:rsidRPr="00CA25CF" w:rsidRDefault="002C0FD9" w:rsidP="00CA25CF">
            <w:pPr>
              <w:rPr>
                <w:rFonts w:cs="Arial"/>
                <w:color w:val="FF0000"/>
                <w:sz w:val="21"/>
                <w:szCs w:val="21"/>
              </w:rPr>
            </w:pPr>
          </w:p>
        </w:tc>
        <w:tc>
          <w:tcPr>
            <w:tcW w:w="217" w:type="dxa"/>
          </w:tcPr>
          <w:p w14:paraId="122D01CA" w14:textId="77777777" w:rsidR="002C0FD9" w:rsidRPr="00CA25CF" w:rsidRDefault="002C0FD9" w:rsidP="00CA25CF">
            <w:pPr>
              <w:rPr>
                <w:rFonts w:cs="Arial"/>
                <w:color w:val="FF0000"/>
                <w:sz w:val="21"/>
                <w:szCs w:val="21"/>
              </w:rPr>
            </w:pPr>
          </w:p>
        </w:tc>
        <w:tc>
          <w:tcPr>
            <w:tcW w:w="217" w:type="dxa"/>
          </w:tcPr>
          <w:p w14:paraId="63AA5EFF" w14:textId="77777777" w:rsidR="002C0FD9" w:rsidRPr="00CA25CF" w:rsidRDefault="002C0FD9" w:rsidP="00CA25CF">
            <w:pPr>
              <w:rPr>
                <w:rFonts w:cs="Arial"/>
                <w:color w:val="FF0000"/>
                <w:sz w:val="21"/>
                <w:szCs w:val="21"/>
              </w:rPr>
            </w:pPr>
          </w:p>
        </w:tc>
        <w:tc>
          <w:tcPr>
            <w:tcW w:w="217" w:type="dxa"/>
          </w:tcPr>
          <w:p w14:paraId="1A0B5AD2" w14:textId="77777777" w:rsidR="002C0FD9" w:rsidRPr="00CA25CF" w:rsidRDefault="002C0FD9" w:rsidP="00CA25CF">
            <w:pPr>
              <w:rPr>
                <w:rFonts w:cs="Arial"/>
                <w:color w:val="FF0000"/>
                <w:sz w:val="21"/>
                <w:szCs w:val="21"/>
              </w:rPr>
            </w:pPr>
          </w:p>
        </w:tc>
        <w:tc>
          <w:tcPr>
            <w:tcW w:w="217" w:type="dxa"/>
          </w:tcPr>
          <w:p w14:paraId="40A7D945" w14:textId="77777777" w:rsidR="002C0FD9" w:rsidRPr="00CA25CF" w:rsidRDefault="002C0FD9" w:rsidP="00CA25CF">
            <w:pPr>
              <w:rPr>
                <w:rFonts w:cs="Arial"/>
                <w:color w:val="FF0000"/>
                <w:sz w:val="21"/>
                <w:szCs w:val="21"/>
              </w:rPr>
            </w:pPr>
          </w:p>
        </w:tc>
        <w:tc>
          <w:tcPr>
            <w:tcW w:w="217" w:type="dxa"/>
          </w:tcPr>
          <w:p w14:paraId="024701A3" w14:textId="77777777" w:rsidR="002C0FD9" w:rsidRPr="00CA25CF" w:rsidRDefault="002C0FD9" w:rsidP="00CA25CF">
            <w:pPr>
              <w:rPr>
                <w:rFonts w:cs="Arial"/>
                <w:color w:val="FF0000"/>
                <w:sz w:val="21"/>
                <w:szCs w:val="21"/>
              </w:rPr>
            </w:pPr>
          </w:p>
        </w:tc>
        <w:tc>
          <w:tcPr>
            <w:tcW w:w="217" w:type="dxa"/>
          </w:tcPr>
          <w:p w14:paraId="79168E52" w14:textId="77777777" w:rsidR="002C0FD9" w:rsidRPr="00CA25CF" w:rsidRDefault="002C0FD9" w:rsidP="00CA25CF">
            <w:pPr>
              <w:rPr>
                <w:rFonts w:cs="Arial"/>
                <w:color w:val="FF0000"/>
                <w:sz w:val="21"/>
                <w:szCs w:val="21"/>
              </w:rPr>
            </w:pPr>
          </w:p>
        </w:tc>
        <w:tc>
          <w:tcPr>
            <w:tcW w:w="217" w:type="dxa"/>
          </w:tcPr>
          <w:p w14:paraId="715EE443" w14:textId="77777777" w:rsidR="002C0FD9" w:rsidRPr="00CA25CF" w:rsidRDefault="002C0FD9" w:rsidP="00CA25CF">
            <w:pPr>
              <w:rPr>
                <w:rFonts w:cs="Arial"/>
                <w:color w:val="FF0000"/>
                <w:sz w:val="21"/>
                <w:szCs w:val="21"/>
              </w:rPr>
            </w:pPr>
          </w:p>
        </w:tc>
        <w:tc>
          <w:tcPr>
            <w:tcW w:w="217" w:type="dxa"/>
          </w:tcPr>
          <w:p w14:paraId="6067D480" w14:textId="77777777" w:rsidR="002C0FD9" w:rsidRPr="00CA25CF" w:rsidRDefault="002C0FD9" w:rsidP="00CA25CF">
            <w:pPr>
              <w:rPr>
                <w:rFonts w:cs="Arial"/>
                <w:color w:val="FF0000"/>
                <w:sz w:val="21"/>
                <w:szCs w:val="21"/>
              </w:rPr>
            </w:pPr>
          </w:p>
        </w:tc>
        <w:tc>
          <w:tcPr>
            <w:tcW w:w="217" w:type="dxa"/>
          </w:tcPr>
          <w:p w14:paraId="0A501D93" w14:textId="77777777" w:rsidR="002C0FD9" w:rsidRPr="00CA25CF" w:rsidRDefault="002C0FD9" w:rsidP="00CA25CF">
            <w:pPr>
              <w:rPr>
                <w:rFonts w:cs="Arial"/>
                <w:color w:val="FF0000"/>
                <w:sz w:val="21"/>
                <w:szCs w:val="21"/>
              </w:rPr>
            </w:pPr>
          </w:p>
        </w:tc>
        <w:tc>
          <w:tcPr>
            <w:tcW w:w="217" w:type="dxa"/>
          </w:tcPr>
          <w:p w14:paraId="3E8B5988" w14:textId="77777777" w:rsidR="002C0FD9" w:rsidRPr="00CA25CF" w:rsidRDefault="002C0FD9" w:rsidP="00CA25CF">
            <w:pPr>
              <w:rPr>
                <w:rFonts w:cs="Arial"/>
                <w:color w:val="FF0000"/>
                <w:sz w:val="21"/>
                <w:szCs w:val="21"/>
              </w:rPr>
            </w:pPr>
          </w:p>
        </w:tc>
        <w:tc>
          <w:tcPr>
            <w:tcW w:w="217" w:type="dxa"/>
          </w:tcPr>
          <w:p w14:paraId="02F69B0A" w14:textId="77777777" w:rsidR="002C0FD9" w:rsidRPr="00CA25CF" w:rsidRDefault="002C0FD9" w:rsidP="00CA25CF">
            <w:pPr>
              <w:rPr>
                <w:rFonts w:cs="Arial"/>
                <w:color w:val="FF0000"/>
                <w:sz w:val="21"/>
                <w:szCs w:val="21"/>
              </w:rPr>
            </w:pPr>
          </w:p>
        </w:tc>
        <w:tc>
          <w:tcPr>
            <w:tcW w:w="217" w:type="dxa"/>
          </w:tcPr>
          <w:p w14:paraId="49A67FEF" w14:textId="77777777" w:rsidR="002C0FD9" w:rsidRPr="00CA25CF" w:rsidRDefault="002C0FD9" w:rsidP="00CA25CF">
            <w:pPr>
              <w:rPr>
                <w:rFonts w:cs="Arial"/>
                <w:color w:val="FF0000"/>
                <w:sz w:val="21"/>
                <w:szCs w:val="21"/>
              </w:rPr>
            </w:pPr>
          </w:p>
        </w:tc>
        <w:tc>
          <w:tcPr>
            <w:tcW w:w="217" w:type="dxa"/>
          </w:tcPr>
          <w:p w14:paraId="1386E199" w14:textId="77777777" w:rsidR="002C0FD9" w:rsidRPr="00CA25CF" w:rsidRDefault="002C0FD9" w:rsidP="00CA25CF">
            <w:pPr>
              <w:rPr>
                <w:rFonts w:cs="Arial"/>
                <w:color w:val="FF0000"/>
                <w:sz w:val="21"/>
                <w:szCs w:val="21"/>
              </w:rPr>
            </w:pPr>
          </w:p>
        </w:tc>
        <w:tc>
          <w:tcPr>
            <w:tcW w:w="217" w:type="dxa"/>
          </w:tcPr>
          <w:p w14:paraId="38897908" w14:textId="77777777" w:rsidR="002C0FD9" w:rsidRPr="00CA25CF" w:rsidRDefault="002C0FD9" w:rsidP="00CA25CF">
            <w:pPr>
              <w:rPr>
                <w:rFonts w:cs="Arial"/>
                <w:color w:val="FF0000"/>
                <w:sz w:val="21"/>
                <w:szCs w:val="21"/>
              </w:rPr>
            </w:pPr>
          </w:p>
        </w:tc>
        <w:tc>
          <w:tcPr>
            <w:tcW w:w="217" w:type="dxa"/>
          </w:tcPr>
          <w:p w14:paraId="0CF50891" w14:textId="77777777" w:rsidR="002C0FD9" w:rsidRPr="00CA25CF" w:rsidRDefault="002C0FD9" w:rsidP="00CA25CF">
            <w:pPr>
              <w:rPr>
                <w:rFonts w:cs="Arial"/>
                <w:color w:val="FF0000"/>
                <w:sz w:val="21"/>
                <w:szCs w:val="21"/>
              </w:rPr>
            </w:pPr>
          </w:p>
        </w:tc>
        <w:tc>
          <w:tcPr>
            <w:tcW w:w="217" w:type="dxa"/>
          </w:tcPr>
          <w:p w14:paraId="2F56624B" w14:textId="77777777" w:rsidR="002C0FD9" w:rsidRPr="00CA25CF" w:rsidRDefault="002C0FD9" w:rsidP="00CA25CF">
            <w:pPr>
              <w:rPr>
                <w:rFonts w:cs="Arial"/>
                <w:color w:val="FF0000"/>
                <w:sz w:val="21"/>
                <w:szCs w:val="21"/>
              </w:rPr>
            </w:pPr>
          </w:p>
        </w:tc>
        <w:tc>
          <w:tcPr>
            <w:tcW w:w="217" w:type="dxa"/>
          </w:tcPr>
          <w:p w14:paraId="200592E4" w14:textId="77777777" w:rsidR="002C0FD9" w:rsidRPr="00CA25CF" w:rsidRDefault="002C0FD9" w:rsidP="00CA25CF">
            <w:pPr>
              <w:rPr>
                <w:rFonts w:cs="Arial"/>
                <w:color w:val="FF0000"/>
                <w:sz w:val="21"/>
                <w:szCs w:val="21"/>
              </w:rPr>
            </w:pPr>
          </w:p>
        </w:tc>
        <w:tc>
          <w:tcPr>
            <w:tcW w:w="217" w:type="dxa"/>
          </w:tcPr>
          <w:p w14:paraId="10E0FEC9" w14:textId="77777777" w:rsidR="002C0FD9" w:rsidRPr="00CA25CF" w:rsidRDefault="002C0FD9" w:rsidP="00CA25CF">
            <w:pPr>
              <w:rPr>
                <w:rFonts w:cs="Arial"/>
                <w:color w:val="FF0000"/>
                <w:sz w:val="21"/>
                <w:szCs w:val="21"/>
              </w:rPr>
            </w:pPr>
          </w:p>
        </w:tc>
        <w:tc>
          <w:tcPr>
            <w:tcW w:w="217" w:type="dxa"/>
          </w:tcPr>
          <w:p w14:paraId="229B2336" w14:textId="77777777" w:rsidR="002C0FD9" w:rsidRPr="00CA25CF" w:rsidRDefault="002C0FD9" w:rsidP="00CA25CF">
            <w:pPr>
              <w:rPr>
                <w:rFonts w:cs="Arial"/>
                <w:color w:val="FF0000"/>
                <w:sz w:val="21"/>
                <w:szCs w:val="21"/>
              </w:rPr>
            </w:pPr>
          </w:p>
        </w:tc>
        <w:tc>
          <w:tcPr>
            <w:tcW w:w="217" w:type="dxa"/>
          </w:tcPr>
          <w:p w14:paraId="34A29F51" w14:textId="77777777" w:rsidR="002C0FD9" w:rsidRPr="00CA25CF" w:rsidRDefault="002C0FD9" w:rsidP="00CA25CF">
            <w:pPr>
              <w:rPr>
                <w:rFonts w:cs="Arial"/>
                <w:color w:val="FF0000"/>
                <w:sz w:val="21"/>
                <w:szCs w:val="21"/>
              </w:rPr>
            </w:pPr>
          </w:p>
        </w:tc>
        <w:tc>
          <w:tcPr>
            <w:tcW w:w="217" w:type="dxa"/>
          </w:tcPr>
          <w:p w14:paraId="5DC6B1F4" w14:textId="77777777" w:rsidR="002C0FD9" w:rsidRPr="00CA25CF" w:rsidRDefault="002C0FD9" w:rsidP="00CA25CF">
            <w:pPr>
              <w:rPr>
                <w:rFonts w:cs="Arial"/>
                <w:color w:val="FF0000"/>
                <w:sz w:val="21"/>
                <w:szCs w:val="21"/>
              </w:rPr>
            </w:pPr>
          </w:p>
        </w:tc>
        <w:tc>
          <w:tcPr>
            <w:tcW w:w="217" w:type="dxa"/>
          </w:tcPr>
          <w:p w14:paraId="2AA5BB14" w14:textId="77777777" w:rsidR="002C0FD9" w:rsidRPr="00CA25CF" w:rsidRDefault="002C0FD9" w:rsidP="00CA25CF">
            <w:pPr>
              <w:rPr>
                <w:rFonts w:cs="Arial"/>
                <w:color w:val="FF0000"/>
                <w:sz w:val="21"/>
                <w:szCs w:val="21"/>
              </w:rPr>
            </w:pPr>
          </w:p>
        </w:tc>
        <w:tc>
          <w:tcPr>
            <w:tcW w:w="217" w:type="dxa"/>
          </w:tcPr>
          <w:p w14:paraId="3306B526" w14:textId="77777777" w:rsidR="002C0FD9" w:rsidRPr="00CA25CF" w:rsidRDefault="002C0FD9" w:rsidP="00CA25CF">
            <w:pPr>
              <w:rPr>
                <w:rFonts w:cs="Arial"/>
                <w:color w:val="FF0000"/>
                <w:sz w:val="21"/>
                <w:szCs w:val="21"/>
              </w:rPr>
            </w:pPr>
          </w:p>
        </w:tc>
        <w:tc>
          <w:tcPr>
            <w:tcW w:w="217" w:type="dxa"/>
          </w:tcPr>
          <w:p w14:paraId="23604634" w14:textId="77777777" w:rsidR="002C0FD9" w:rsidRPr="00CA25CF" w:rsidRDefault="002C0FD9" w:rsidP="00CA25CF">
            <w:pPr>
              <w:rPr>
                <w:rFonts w:cs="Arial"/>
                <w:color w:val="FF0000"/>
                <w:sz w:val="21"/>
                <w:szCs w:val="21"/>
              </w:rPr>
            </w:pPr>
          </w:p>
        </w:tc>
        <w:tc>
          <w:tcPr>
            <w:tcW w:w="217" w:type="dxa"/>
          </w:tcPr>
          <w:p w14:paraId="3F71F2BC" w14:textId="77777777" w:rsidR="002C0FD9" w:rsidRPr="00CA25CF" w:rsidRDefault="002C0FD9" w:rsidP="00CA25CF">
            <w:pPr>
              <w:rPr>
                <w:rFonts w:cs="Arial"/>
                <w:color w:val="FF0000"/>
                <w:sz w:val="21"/>
                <w:szCs w:val="21"/>
              </w:rPr>
            </w:pPr>
          </w:p>
        </w:tc>
        <w:tc>
          <w:tcPr>
            <w:tcW w:w="217" w:type="dxa"/>
          </w:tcPr>
          <w:p w14:paraId="1179F8D5" w14:textId="77777777" w:rsidR="002C0FD9" w:rsidRPr="00CA25CF" w:rsidRDefault="002C0FD9" w:rsidP="00CA25CF">
            <w:pPr>
              <w:rPr>
                <w:rFonts w:cs="Arial"/>
                <w:color w:val="FF0000"/>
                <w:sz w:val="21"/>
                <w:szCs w:val="21"/>
              </w:rPr>
            </w:pPr>
          </w:p>
        </w:tc>
        <w:tc>
          <w:tcPr>
            <w:tcW w:w="217" w:type="dxa"/>
          </w:tcPr>
          <w:p w14:paraId="0F4BB163" w14:textId="77777777" w:rsidR="002C0FD9" w:rsidRPr="00CA25CF" w:rsidRDefault="002C0FD9" w:rsidP="00CA25CF">
            <w:pPr>
              <w:rPr>
                <w:rFonts w:cs="Arial"/>
                <w:color w:val="FF0000"/>
                <w:sz w:val="21"/>
                <w:szCs w:val="21"/>
              </w:rPr>
            </w:pPr>
          </w:p>
        </w:tc>
        <w:tc>
          <w:tcPr>
            <w:tcW w:w="217" w:type="dxa"/>
          </w:tcPr>
          <w:p w14:paraId="65E0EAAB" w14:textId="77777777" w:rsidR="002C0FD9" w:rsidRPr="00CA25CF" w:rsidRDefault="002C0FD9" w:rsidP="00CA25CF">
            <w:pPr>
              <w:rPr>
                <w:rFonts w:cs="Arial"/>
                <w:color w:val="FF0000"/>
                <w:sz w:val="21"/>
                <w:szCs w:val="21"/>
              </w:rPr>
            </w:pPr>
          </w:p>
        </w:tc>
        <w:tc>
          <w:tcPr>
            <w:tcW w:w="217" w:type="dxa"/>
          </w:tcPr>
          <w:p w14:paraId="00979BCF" w14:textId="77777777" w:rsidR="002C0FD9" w:rsidRPr="00CA25CF" w:rsidRDefault="002C0FD9" w:rsidP="00CA25CF">
            <w:pPr>
              <w:rPr>
                <w:rFonts w:cs="Arial"/>
                <w:color w:val="FF0000"/>
                <w:sz w:val="21"/>
                <w:szCs w:val="21"/>
              </w:rPr>
            </w:pPr>
          </w:p>
        </w:tc>
        <w:tc>
          <w:tcPr>
            <w:tcW w:w="217" w:type="dxa"/>
          </w:tcPr>
          <w:p w14:paraId="53410713" w14:textId="77777777" w:rsidR="002C0FD9" w:rsidRPr="00CA25CF" w:rsidRDefault="002C0FD9" w:rsidP="00CA25CF">
            <w:pPr>
              <w:rPr>
                <w:rFonts w:cs="Arial"/>
                <w:color w:val="FF0000"/>
                <w:sz w:val="21"/>
                <w:szCs w:val="21"/>
              </w:rPr>
            </w:pPr>
          </w:p>
        </w:tc>
        <w:tc>
          <w:tcPr>
            <w:tcW w:w="217" w:type="dxa"/>
          </w:tcPr>
          <w:p w14:paraId="00B94A8F" w14:textId="77777777" w:rsidR="002C0FD9" w:rsidRPr="00CA25CF" w:rsidRDefault="002C0FD9" w:rsidP="00CA25CF">
            <w:pPr>
              <w:rPr>
                <w:rFonts w:cs="Arial"/>
                <w:color w:val="FF0000"/>
                <w:sz w:val="21"/>
                <w:szCs w:val="21"/>
              </w:rPr>
            </w:pPr>
          </w:p>
        </w:tc>
        <w:tc>
          <w:tcPr>
            <w:tcW w:w="217" w:type="dxa"/>
          </w:tcPr>
          <w:p w14:paraId="5F6E090B" w14:textId="77777777" w:rsidR="002C0FD9" w:rsidRPr="00CA25CF" w:rsidRDefault="002C0FD9" w:rsidP="00CA25CF">
            <w:pPr>
              <w:rPr>
                <w:rFonts w:cs="Arial"/>
                <w:color w:val="FF0000"/>
                <w:sz w:val="21"/>
                <w:szCs w:val="21"/>
              </w:rPr>
            </w:pPr>
          </w:p>
        </w:tc>
        <w:tc>
          <w:tcPr>
            <w:tcW w:w="217" w:type="dxa"/>
          </w:tcPr>
          <w:p w14:paraId="1B5DD493" w14:textId="77777777" w:rsidR="002C0FD9" w:rsidRPr="00CA25CF" w:rsidRDefault="002C0FD9" w:rsidP="00CA25CF">
            <w:pPr>
              <w:rPr>
                <w:rFonts w:cs="Arial"/>
                <w:color w:val="FF0000"/>
                <w:sz w:val="21"/>
                <w:szCs w:val="21"/>
              </w:rPr>
            </w:pPr>
          </w:p>
        </w:tc>
        <w:tc>
          <w:tcPr>
            <w:tcW w:w="217" w:type="dxa"/>
          </w:tcPr>
          <w:p w14:paraId="79B0C7B7" w14:textId="77777777" w:rsidR="002C0FD9" w:rsidRPr="00CA25CF" w:rsidRDefault="002C0FD9" w:rsidP="00CA25CF">
            <w:pPr>
              <w:rPr>
                <w:rFonts w:cs="Arial"/>
                <w:color w:val="FF0000"/>
                <w:sz w:val="21"/>
                <w:szCs w:val="21"/>
              </w:rPr>
            </w:pPr>
          </w:p>
        </w:tc>
        <w:tc>
          <w:tcPr>
            <w:tcW w:w="217" w:type="dxa"/>
          </w:tcPr>
          <w:p w14:paraId="0DEAC027" w14:textId="77777777" w:rsidR="002C0FD9" w:rsidRPr="00CA25CF" w:rsidRDefault="002C0FD9" w:rsidP="00CA25CF">
            <w:pPr>
              <w:rPr>
                <w:rFonts w:cs="Arial"/>
                <w:color w:val="FF0000"/>
                <w:sz w:val="21"/>
                <w:szCs w:val="21"/>
              </w:rPr>
            </w:pPr>
          </w:p>
        </w:tc>
        <w:tc>
          <w:tcPr>
            <w:tcW w:w="217" w:type="dxa"/>
          </w:tcPr>
          <w:p w14:paraId="01DA57A3" w14:textId="77777777" w:rsidR="002C0FD9" w:rsidRPr="00CA25CF" w:rsidRDefault="002C0FD9" w:rsidP="00CA25CF">
            <w:pPr>
              <w:rPr>
                <w:rFonts w:cs="Arial"/>
                <w:color w:val="FF0000"/>
                <w:sz w:val="21"/>
                <w:szCs w:val="21"/>
              </w:rPr>
            </w:pPr>
          </w:p>
        </w:tc>
      </w:tr>
      <w:tr w:rsidR="002C0FD9" w:rsidRPr="00A16219" w14:paraId="48AEA3F0" w14:textId="77777777" w:rsidTr="002C0FD9">
        <w:trPr>
          <w:trHeight w:val="635"/>
        </w:trPr>
        <w:tc>
          <w:tcPr>
            <w:tcW w:w="515" w:type="dxa"/>
          </w:tcPr>
          <w:p w14:paraId="092FF0F0" w14:textId="77777777" w:rsidR="002C0FD9" w:rsidRPr="00CA25CF" w:rsidRDefault="002C0FD9" w:rsidP="00CA25CF">
            <w:pPr>
              <w:rPr>
                <w:rFonts w:cs="Arial"/>
                <w:color w:val="FF0000"/>
                <w:sz w:val="21"/>
                <w:szCs w:val="21"/>
              </w:rPr>
            </w:pPr>
          </w:p>
        </w:tc>
        <w:tc>
          <w:tcPr>
            <w:tcW w:w="217" w:type="dxa"/>
          </w:tcPr>
          <w:p w14:paraId="0F3AD546" w14:textId="77777777" w:rsidR="002C0FD9" w:rsidRPr="00CA25CF" w:rsidRDefault="002C0FD9" w:rsidP="00CA25CF">
            <w:pPr>
              <w:rPr>
                <w:rFonts w:cs="Arial"/>
                <w:color w:val="FF0000"/>
                <w:sz w:val="21"/>
                <w:szCs w:val="21"/>
              </w:rPr>
            </w:pPr>
          </w:p>
        </w:tc>
        <w:tc>
          <w:tcPr>
            <w:tcW w:w="217" w:type="dxa"/>
          </w:tcPr>
          <w:p w14:paraId="5F1486BD" w14:textId="77777777" w:rsidR="002C0FD9" w:rsidRPr="00CA25CF" w:rsidRDefault="002C0FD9" w:rsidP="00CA25CF">
            <w:pPr>
              <w:rPr>
                <w:rFonts w:cs="Arial"/>
                <w:color w:val="FF0000"/>
                <w:sz w:val="21"/>
                <w:szCs w:val="21"/>
              </w:rPr>
            </w:pPr>
          </w:p>
        </w:tc>
        <w:tc>
          <w:tcPr>
            <w:tcW w:w="217" w:type="dxa"/>
          </w:tcPr>
          <w:p w14:paraId="3181F639" w14:textId="77777777" w:rsidR="002C0FD9" w:rsidRPr="00CA25CF" w:rsidRDefault="002C0FD9" w:rsidP="00CA25CF">
            <w:pPr>
              <w:rPr>
                <w:rFonts w:cs="Arial"/>
                <w:color w:val="FF0000"/>
                <w:sz w:val="21"/>
                <w:szCs w:val="21"/>
              </w:rPr>
            </w:pPr>
          </w:p>
        </w:tc>
        <w:tc>
          <w:tcPr>
            <w:tcW w:w="217" w:type="dxa"/>
          </w:tcPr>
          <w:p w14:paraId="61CFC252" w14:textId="77777777" w:rsidR="002C0FD9" w:rsidRPr="00CA25CF" w:rsidRDefault="002C0FD9" w:rsidP="00CA25CF">
            <w:pPr>
              <w:rPr>
                <w:rFonts w:cs="Arial"/>
                <w:color w:val="FF0000"/>
                <w:sz w:val="21"/>
                <w:szCs w:val="21"/>
              </w:rPr>
            </w:pPr>
          </w:p>
        </w:tc>
        <w:tc>
          <w:tcPr>
            <w:tcW w:w="217" w:type="dxa"/>
          </w:tcPr>
          <w:p w14:paraId="7A5EA6EA" w14:textId="77777777" w:rsidR="002C0FD9" w:rsidRPr="00CA25CF" w:rsidRDefault="002C0FD9" w:rsidP="00CA25CF">
            <w:pPr>
              <w:rPr>
                <w:rFonts w:cs="Arial"/>
                <w:color w:val="FF0000"/>
                <w:sz w:val="21"/>
                <w:szCs w:val="21"/>
              </w:rPr>
            </w:pPr>
          </w:p>
        </w:tc>
        <w:tc>
          <w:tcPr>
            <w:tcW w:w="217" w:type="dxa"/>
          </w:tcPr>
          <w:p w14:paraId="1C366B20" w14:textId="77777777" w:rsidR="002C0FD9" w:rsidRPr="00CA25CF" w:rsidRDefault="002C0FD9" w:rsidP="00CA25CF">
            <w:pPr>
              <w:rPr>
                <w:rFonts w:cs="Arial"/>
                <w:color w:val="FF0000"/>
                <w:sz w:val="21"/>
                <w:szCs w:val="21"/>
              </w:rPr>
            </w:pPr>
          </w:p>
        </w:tc>
        <w:tc>
          <w:tcPr>
            <w:tcW w:w="217" w:type="dxa"/>
          </w:tcPr>
          <w:p w14:paraId="6EB877B9" w14:textId="77777777" w:rsidR="002C0FD9" w:rsidRPr="00CA25CF" w:rsidRDefault="002C0FD9" w:rsidP="00CA25CF">
            <w:pPr>
              <w:rPr>
                <w:rFonts w:cs="Arial"/>
                <w:color w:val="FF0000"/>
                <w:sz w:val="21"/>
                <w:szCs w:val="21"/>
              </w:rPr>
            </w:pPr>
          </w:p>
        </w:tc>
        <w:tc>
          <w:tcPr>
            <w:tcW w:w="217" w:type="dxa"/>
          </w:tcPr>
          <w:p w14:paraId="35D5F0E3" w14:textId="77777777" w:rsidR="002C0FD9" w:rsidRPr="00CA25CF" w:rsidRDefault="002C0FD9" w:rsidP="00CA25CF">
            <w:pPr>
              <w:rPr>
                <w:rFonts w:cs="Arial"/>
                <w:color w:val="FF0000"/>
                <w:sz w:val="21"/>
                <w:szCs w:val="21"/>
              </w:rPr>
            </w:pPr>
          </w:p>
        </w:tc>
        <w:tc>
          <w:tcPr>
            <w:tcW w:w="217" w:type="dxa"/>
          </w:tcPr>
          <w:p w14:paraId="6B8717E4" w14:textId="77777777" w:rsidR="002C0FD9" w:rsidRPr="00CA25CF" w:rsidRDefault="002C0FD9" w:rsidP="00CA25CF">
            <w:pPr>
              <w:rPr>
                <w:rFonts w:cs="Arial"/>
                <w:color w:val="FF0000"/>
                <w:sz w:val="21"/>
                <w:szCs w:val="21"/>
              </w:rPr>
            </w:pPr>
          </w:p>
        </w:tc>
        <w:tc>
          <w:tcPr>
            <w:tcW w:w="217" w:type="dxa"/>
          </w:tcPr>
          <w:p w14:paraId="38AC8774" w14:textId="77777777" w:rsidR="002C0FD9" w:rsidRPr="00CA25CF" w:rsidRDefault="002C0FD9" w:rsidP="00CA25CF">
            <w:pPr>
              <w:rPr>
                <w:rFonts w:cs="Arial"/>
                <w:color w:val="FF0000"/>
                <w:sz w:val="21"/>
                <w:szCs w:val="21"/>
              </w:rPr>
            </w:pPr>
          </w:p>
        </w:tc>
        <w:tc>
          <w:tcPr>
            <w:tcW w:w="217" w:type="dxa"/>
          </w:tcPr>
          <w:p w14:paraId="4DD5501F" w14:textId="77777777" w:rsidR="002C0FD9" w:rsidRPr="00CA25CF" w:rsidRDefault="002C0FD9" w:rsidP="00CA25CF">
            <w:pPr>
              <w:rPr>
                <w:rFonts w:cs="Arial"/>
                <w:color w:val="FF0000"/>
                <w:sz w:val="21"/>
                <w:szCs w:val="21"/>
              </w:rPr>
            </w:pPr>
          </w:p>
        </w:tc>
        <w:tc>
          <w:tcPr>
            <w:tcW w:w="217" w:type="dxa"/>
          </w:tcPr>
          <w:p w14:paraId="0B6F8D15" w14:textId="77777777" w:rsidR="002C0FD9" w:rsidRPr="00CA25CF" w:rsidRDefault="002C0FD9" w:rsidP="00CA25CF">
            <w:pPr>
              <w:rPr>
                <w:rFonts w:cs="Arial"/>
                <w:color w:val="FF0000"/>
                <w:sz w:val="21"/>
                <w:szCs w:val="21"/>
              </w:rPr>
            </w:pPr>
          </w:p>
        </w:tc>
        <w:tc>
          <w:tcPr>
            <w:tcW w:w="217" w:type="dxa"/>
          </w:tcPr>
          <w:p w14:paraId="51840D9C" w14:textId="77777777" w:rsidR="002C0FD9" w:rsidRPr="00CA25CF" w:rsidRDefault="002C0FD9" w:rsidP="00CA25CF">
            <w:pPr>
              <w:rPr>
                <w:rFonts w:cs="Arial"/>
                <w:color w:val="FF0000"/>
                <w:sz w:val="21"/>
                <w:szCs w:val="21"/>
              </w:rPr>
            </w:pPr>
          </w:p>
        </w:tc>
        <w:tc>
          <w:tcPr>
            <w:tcW w:w="217" w:type="dxa"/>
          </w:tcPr>
          <w:p w14:paraId="520AEF3D" w14:textId="77777777" w:rsidR="002C0FD9" w:rsidRPr="00CA25CF" w:rsidRDefault="002C0FD9" w:rsidP="00CA25CF">
            <w:pPr>
              <w:rPr>
                <w:rFonts w:cs="Arial"/>
                <w:color w:val="FF0000"/>
                <w:sz w:val="21"/>
                <w:szCs w:val="21"/>
              </w:rPr>
            </w:pPr>
          </w:p>
        </w:tc>
        <w:tc>
          <w:tcPr>
            <w:tcW w:w="217" w:type="dxa"/>
          </w:tcPr>
          <w:p w14:paraId="0888E1A3" w14:textId="77777777" w:rsidR="002C0FD9" w:rsidRPr="00CA25CF" w:rsidRDefault="002C0FD9" w:rsidP="00CA25CF">
            <w:pPr>
              <w:rPr>
                <w:rFonts w:cs="Arial"/>
                <w:color w:val="FF0000"/>
                <w:sz w:val="21"/>
                <w:szCs w:val="21"/>
              </w:rPr>
            </w:pPr>
          </w:p>
        </w:tc>
        <w:tc>
          <w:tcPr>
            <w:tcW w:w="217" w:type="dxa"/>
          </w:tcPr>
          <w:p w14:paraId="0644E1F7" w14:textId="77777777" w:rsidR="002C0FD9" w:rsidRPr="00CA25CF" w:rsidRDefault="002C0FD9" w:rsidP="00CA25CF">
            <w:pPr>
              <w:rPr>
                <w:rFonts w:cs="Arial"/>
                <w:color w:val="FF0000"/>
                <w:sz w:val="21"/>
                <w:szCs w:val="21"/>
              </w:rPr>
            </w:pPr>
          </w:p>
        </w:tc>
        <w:tc>
          <w:tcPr>
            <w:tcW w:w="217" w:type="dxa"/>
          </w:tcPr>
          <w:p w14:paraId="1B9D799B" w14:textId="77777777" w:rsidR="002C0FD9" w:rsidRPr="00CA25CF" w:rsidRDefault="002C0FD9" w:rsidP="00CA25CF">
            <w:pPr>
              <w:rPr>
                <w:rFonts w:cs="Arial"/>
                <w:color w:val="FF0000"/>
                <w:sz w:val="21"/>
                <w:szCs w:val="21"/>
              </w:rPr>
            </w:pPr>
          </w:p>
        </w:tc>
        <w:tc>
          <w:tcPr>
            <w:tcW w:w="217" w:type="dxa"/>
          </w:tcPr>
          <w:p w14:paraId="034EDD9E" w14:textId="77777777" w:rsidR="002C0FD9" w:rsidRPr="00CA25CF" w:rsidRDefault="002C0FD9" w:rsidP="00CA25CF">
            <w:pPr>
              <w:rPr>
                <w:rFonts w:cs="Arial"/>
                <w:color w:val="FF0000"/>
                <w:sz w:val="21"/>
                <w:szCs w:val="21"/>
              </w:rPr>
            </w:pPr>
          </w:p>
        </w:tc>
        <w:tc>
          <w:tcPr>
            <w:tcW w:w="217" w:type="dxa"/>
          </w:tcPr>
          <w:p w14:paraId="0398B39E" w14:textId="77777777" w:rsidR="002C0FD9" w:rsidRPr="00CA25CF" w:rsidRDefault="002C0FD9" w:rsidP="00CA25CF">
            <w:pPr>
              <w:rPr>
                <w:rFonts w:cs="Arial"/>
                <w:color w:val="FF0000"/>
                <w:sz w:val="21"/>
                <w:szCs w:val="21"/>
              </w:rPr>
            </w:pPr>
          </w:p>
        </w:tc>
        <w:tc>
          <w:tcPr>
            <w:tcW w:w="217" w:type="dxa"/>
          </w:tcPr>
          <w:p w14:paraId="142F773D" w14:textId="77777777" w:rsidR="002C0FD9" w:rsidRPr="00CA25CF" w:rsidRDefault="002C0FD9" w:rsidP="00CA25CF">
            <w:pPr>
              <w:rPr>
                <w:rFonts w:cs="Arial"/>
                <w:color w:val="FF0000"/>
                <w:sz w:val="21"/>
                <w:szCs w:val="21"/>
              </w:rPr>
            </w:pPr>
          </w:p>
        </w:tc>
        <w:tc>
          <w:tcPr>
            <w:tcW w:w="217" w:type="dxa"/>
          </w:tcPr>
          <w:p w14:paraId="7BFE2A88" w14:textId="77777777" w:rsidR="002C0FD9" w:rsidRPr="00CA25CF" w:rsidRDefault="002C0FD9" w:rsidP="00CA25CF">
            <w:pPr>
              <w:rPr>
                <w:rFonts w:cs="Arial"/>
                <w:color w:val="FF0000"/>
                <w:sz w:val="21"/>
                <w:szCs w:val="21"/>
              </w:rPr>
            </w:pPr>
          </w:p>
        </w:tc>
        <w:tc>
          <w:tcPr>
            <w:tcW w:w="217" w:type="dxa"/>
          </w:tcPr>
          <w:p w14:paraId="60B291A5" w14:textId="77777777" w:rsidR="002C0FD9" w:rsidRPr="00CA25CF" w:rsidRDefault="002C0FD9" w:rsidP="00CA25CF">
            <w:pPr>
              <w:rPr>
                <w:rFonts w:cs="Arial"/>
                <w:color w:val="FF0000"/>
                <w:sz w:val="21"/>
                <w:szCs w:val="21"/>
              </w:rPr>
            </w:pPr>
          </w:p>
        </w:tc>
        <w:tc>
          <w:tcPr>
            <w:tcW w:w="217" w:type="dxa"/>
          </w:tcPr>
          <w:p w14:paraId="3D8A4055" w14:textId="77777777" w:rsidR="002C0FD9" w:rsidRPr="00CA25CF" w:rsidRDefault="002C0FD9" w:rsidP="00CA25CF">
            <w:pPr>
              <w:rPr>
                <w:rFonts w:cs="Arial"/>
                <w:color w:val="FF0000"/>
                <w:sz w:val="21"/>
                <w:szCs w:val="21"/>
              </w:rPr>
            </w:pPr>
          </w:p>
        </w:tc>
        <w:tc>
          <w:tcPr>
            <w:tcW w:w="217" w:type="dxa"/>
          </w:tcPr>
          <w:p w14:paraId="7BD2CB1A" w14:textId="77777777" w:rsidR="002C0FD9" w:rsidRPr="00CA25CF" w:rsidRDefault="002C0FD9" w:rsidP="00CA25CF">
            <w:pPr>
              <w:rPr>
                <w:rFonts w:cs="Arial"/>
                <w:color w:val="FF0000"/>
                <w:sz w:val="21"/>
                <w:szCs w:val="21"/>
              </w:rPr>
            </w:pPr>
          </w:p>
        </w:tc>
        <w:tc>
          <w:tcPr>
            <w:tcW w:w="217" w:type="dxa"/>
          </w:tcPr>
          <w:p w14:paraId="60C6968F" w14:textId="77777777" w:rsidR="002C0FD9" w:rsidRPr="00CA25CF" w:rsidRDefault="002C0FD9" w:rsidP="00CA25CF">
            <w:pPr>
              <w:rPr>
                <w:rFonts w:cs="Arial"/>
                <w:color w:val="FF0000"/>
                <w:sz w:val="21"/>
                <w:szCs w:val="21"/>
              </w:rPr>
            </w:pPr>
          </w:p>
        </w:tc>
        <w:tc>
          <w:tcPr>
            <w:tcW w:w="217" w:type="dxa"/>
          </w:tcPr>
          <w:p w14:paraId="3D8ADE5D" w14:textId="77777777" w:rsidR="002C0FD9" w:rsidRPr="00CA25CF" w:rsidRDefault="002C0FD9" w:rsidP="00CA25CF">
            <w:pPr>
              <w:rPr>
                <w:rFonts w:cs="Arial"/>
                <w:color w:val="FF0000"/>
                <w:sz w:val="21"/>
                <w:szCs w:val="21"/>
              </w:rPr>
            </w:pPr>
          </w:p>
        </w:tc>
        <w:tc>
          <w:tcPr>
            <w:tcW w:w="217" w:type="dxa"/>
          </w:tcPr>
          <w:p w14:paraId="13817DA4" w14:textId="77777777" w:rsidR="002C0FD9" w:rsidRPr="00CA25CF" w:rsidRDefault="002C0FD9" w:rsidP="00CA25CF">
            <w:pPr>
              <w:rPr>
                <w:rFonts w:cs="Arial"/>
                <w:color w:val="FF0000"/>
                <w:sz w:val="21"/>
                <w:szCs w:val="21"/>
              </w:rPr>
            </w:pPr>
          </w:p>
        </w:tc>
        <w:tc>
          <w:tcPr>
            <w:tcW w:w="217" w:type="dxa"/>
          </w:tcPr>
          <w:p w14:paraId="69BDA69C" w14:textId="77777777" w:rsidR="002C0FD9" w:rsidRPr="00CA25CF" w:rsidRDefault="002C0FD9" w:rsidP="00CA25CF">
            <w:pPr>
              <w:rPr>
                <w:rFonts w:cs="Arial"/>
                <w:color w:val="FF0000"/>
                <w:sz w:val="21"/>
                <w:szCs w:val="21"/>
              </w:rPr>
            </w:pPr>
          </w:p>
        </w:tc>
        <w:tc>
          <w:tcPr>
            <w:tcW w:w="217" w:type="dxa"/>
          </w:tcPr>
          <w:p w14:paraId="2BADAB0E" w14:textId="77777777" w:rsidR="002C0FD9" w:rsidRPr="00CA25CF" w:rsidRDefault="002C0FD9" w:rsidP="00CA25CF">
            <w:pPr>
              <w:rPr>
                <w:rFonts w:cs="Arial"/>
                <w:color w:val="FF0000"/>
                <w:sz w:val="21"/>
                <w:szCs w:val="21"/>
              </w:rPr>
            </w:pPr>
          </w:p>
        </w:tc>
        <w:tc>
          <w:tcPr>
            <w:tcW w:w="217" w:type="dxa"/>
          </w:tcPr>
          <w:p w14:paraId="4087FFA5" w14:textId="77777777" w:rsidR="002C0FD9" w:rsidRPr="00CA25CF" w:rsidRDefault="002C0FD9" w:rsidP="00CA25CF">
            <w:pPr>
              <w:rPr>
                <w:rFonts w:cs="Arial"/>
                <w:color w:val="FF0000"/>
                <w:sz w:val="21"/>
                <w:szCs w:val="21"/>
              </w:rPr>
            </w:pPr>
          </w:p>
        </w:tc>
        <w:tc>
          <w:tcPr>
            <w:tcW w:w="217" w:type="dxa"/>
          </w:tcPr>
          <w:p w14:paraId="3C672253" w14:textId="77777777" w:rsidR="002C0FD9" w:rsidRPr="00CA25CF" w:rsidRDefault="002C0FD9" w:rsidP="00CA25CF">
            <w:pPr>
              <w:rPr>
                <w:rFonts w:cs="Arial"/>
                <w:color w:val="FF0000"/>
                <w:sz w:val="21"/>
                <w:szCs w:val="21"/>
              </w:rPr>
            </w:pPr>
          </w:p>
        </w:tc>
        <w:tc>
          <w:tcPr>
            <w:tcW w:w="217" w:type="dxa"/>
          </w:tcPr>
          <w:p w14:paraId="5B9CABA2" w14:textId="77777777" w:rsidR="002C0FD9" w:rsidRPr="00CA25CF" w:rsidRDefault="002C0FD9" w:rsidP="00CA25CF">
            <w:pPr>
              <w:rPr>
                <w:rFonts w:cs="Arial"/>
                <w:color w:val="FF0000"/>
                <w:sz w:val="21"/>
                <w:szCs w:val="21"/>
              </w:rPr>
            </w:pPr>
          </w:p>
        </w:tc>
        <w:tc>
          <w:tcPr>
            <w:tcW w:w="217" w:type="dxa"/>
          </w:tcPr>
          <w:p w14:paraId="24714BC2" w14:textId="77777777" w:rsidR="002C0FD9" w:rsidRPr="00CA25CF" w:rsidRDefault="002C0FD9" w:rsidP="00CA25CF">
            <w:pPr>
              <w:rPr>
                <w:rFonts w:cs="Arial"/>
                <w:color w:val="FF0000"/>
                <w:sz w:val="21"/>
                <w:szCs w:val="21"/>
              </w:rPr>
            </w:pPr>
          </w:p>
        </w:tc>
        <w:tc>
          <w:tcPr>
            <w:tcW w:w="217" w:type="dxa"/>
          </w:tcPr>
          <w:p w14:paraId="29740627" w14:textId="77777777" w:rsidR="002C0FD9" w:rsidRPr="00CA25CF" w:rsidRDefault="002C0FD9" w:rsidP="00CA25CF">
            <w:pPr>
              <w:rPr>
                <w:rFonts w:cs="Arial"/>
                <w:color w:val="FF0000"/>
                <w:sz w:val="21"/>
                <w:szCs w:val="21"/>
              </w:rPr>
            </w:pPr>
          </w:p>
        </w:tc>
        <w:tc>
          <w:tcPr>
            <w:tcW w:w="217" w:type="dxa"/>
          </w:tcPr>
          <w:p w14:paraId="631CD43E" w14:textId="77777777" w:rsidR="002C0FD9" w:rsidRPr="00CA25CF" w:rsidRDefault="002C0FD9" w:rsidP="00CA25CF">
            <w:pPr>
              <w:rPr>
                <w:rFonts w:cs="Arial"/>
                <w:color w:val="FF0000"/>
                <w:sz w:val="21"/>
                <w:szCs w:val="21"/>
              </w:rPr>
            </w:pPr>
          </w:p>
        </w:tc>
        <w:tc>
          <w:tcPr>
            <w:tcW w:w="217" w:type="dxa"/>
          </w:tcPr>
          <w:p w14:paraId="640732B3" w14:textId="77777777" w:rsidR="002C0FD9" w:rsidRPr="00CA25CF" w:rsidRDefault="002C0FD9" w:rsidP="00CA25CF">
            <w:pPr>
              <w:rPr>
                <w:rFonts w:cs="Arial"/>
                <w:color w:val="FF0000"/>
                <w:sz w:val="21"/>
                <w:szCs w:val="21"/>
              </w:rPr>
            </w:pPr>
          </w:p>
        </w:tc>
        <w:tc>
          <w:tcPr>
            <w:tcW w:w="217" w:type="dxa"/>
          </w:tcPr>
          <w:p w14:paraId="0330F79D" w14:textId="77777777" w:rsidR="002C0FD9" w:rsidRPr="00CA25CF" w:rsidRDefault="002C0FD9" w:rsidP="00CA25CF">
            <w:pPr>
              <w:rPr>
                <w:rFonts w:cs="Arial"/>
                <w:color w:val="FF0000"/>
                <w:sz w:val="21"/>
                <w:szCs w:val="21"/>
              </w:rPr>
            </w:pPr>
          </w:p>
        </w:tc>
        <w:tc>
          <w:tcPr>
            <w:tcW w:w="217" w:type="dxa"/>
          </w:tcPr>
          <w:p w14:paraId="0897FBCF" w14:textId="77777777" w:rsidR="002C0FD9" w:rsidRPr="00CA25CF" w:rsidRDefault="002C0FD9" w:rsidP="00CA25CF">
            <w:pPr>
              <w:rPr>
                <w:rFonts w:cs="Arial"/>
                <w:color w:val="FF0000"/>
                <w:sz w:val="21"/>
                <w:szCs w:val="21"/>
              </w:rPr>
            </w:pPr>
          </w:p>
        </w:tc>
        <w:tc>
          <w:tcPr>
            <w:tcW w:w="217" w:type="dxa"/>
          </w:tcPr>
          <w:p w14:paraId="49A3E966" w14:textId="77777777" w:rsidR="002C0FD9" w:rsidRPr="00CA25CF" w:rsidRDefault="002C0FD9" w:rsidP="00CA25CF">
            <w:pPr>
              <w:rPr>
                <w:rFonts w:cs="Arial"/>
                <w:color w:val="FF0000"/>
                <w:sz w:val="21"/>
                <w:szCs w:val="21"/>
              </w:rPr>
            </w:pPr>
          </w:p>
        </w:tc>
        <w:tc>
          <w:tcPr>
            <w:tcW w:w="217" w:type="dxa"/>
          </w:tcPr>
          <w:p w14:paraId="303DDD8A" w14:textId="77777777" w:rsidR="002C0FD9" w:rsidRPr="00CA25CF" w:rsidRDefault="002C0FD9" w:rsidP="00CA25CF">
            <w:pPr>
              <w:rPr>
                <w:rFonts w:cs="Arial"/>
                <w:color w:val="FF0000"/>
                <w:sz w:val="21"/>
                <w:szCs w:val="21"/>
              </w:rPr>
            </w:pPr>
          </w:p>
        </w:tc>
        <w:tc>
          <w:tcPr>
            <w:tcW w:w="217" w:type="dxa"/>
          </w:tcPr>
          <w:p w14:paraId="5068CC7A" w14:textId="77777777" w:rsidR="002C0FD9" w:rsidRPr="00CA25CF" w:rsidRDefault="002C0FD9" w:rsidP="00CA25CF">
            <w:pPr>
              <w:rPr>
                <w:rFonts w:cs="Arial"/>
                <w:color w:val="FF0000"/>
                <w:sz w:val="21"/>
                <w:szCs w:val="21"/>
              </w:rPr>
            </w:pPr>
          </w:p>
        </w:tc>
        <w:tc>
          <w:tcPr>
            <w:tcW w:w="217" w:type="dxa"/>
          </w:tcPr>
          <w:p w14:paraId="5F7939E3" w14:textId="77777777" w:rsidR="002C0FD9" w:rsidRPr="00CA25CF" w:rsidRDefault="002C0FD9" w:rsidP="00CA25CF">
            <w:pPr>
              <w:rPr>
                <w:rFonts w:cs="Arial"/>
                <w:color w:val="FF0000"/>
                <w:sz w:val="21"/>
                <w:szCs w:val="21"/>
              </w:rPr>
            </w:pPr>
          </w:p>
        </w:tc>
      </w:tr>
      <w:tr w:rsidR="002C0FD9" w:rsidRPr="00A16219" w14:paraId="06CFA6F3" w14:textId="77777777" w:rsidTr="002C0FD9">
        <w:trPr>
          <w:trHeight w:val="635"/>
        </w:trPr>
        <w:tc>
          <w:tcPr>
            <w:tcW w:w="515" w:type="dxa"/>
          </w:tcPr>
          <w:p w14:paraId="6ED40C4B" w14:textId="77777777" w:rsidR="002C0FD9" w:rsidRPr="00CA25CF" w:rsidRDefault="002C0FD9" w:rsidP="00CA25CF">
            <w:pPr>
              <w:rPr>
                <w:rFonts w:cs="Arial"/>
                <w:color w:val="FF0000"/>
                <w:sz w:val="21"/>
                <w:szCs w:val="21"/>
              </w:rPr>
            </w:pPr>
          </w:p>
        </w:tc>
        <w:tc>
          <w:tcPr>
            <w:tcW w:w="217" w:type="dxa"/>
          </w:tcPr>
          <w:p w14:paraId="57E89ED8" w14:textId="77777777" w:rsidR="002C0FD9" w:rsidRPr="00CA25CF" w:rsidRDefault="002C0FD9" w:rsidP="00CA25CF">
            <w:pPr>
              <w:rPr>
                <w:rFonts w:cs="Arial"/>
                <w:color w:val="FF0000"/>
                <w:sz w:val="21"/>
                <w:szCs w:val="21"/>
              </w:rPr>
            </w:pPr>
          </w:p>
        </w:tc>
        <w:tc>
          <w:tcPr>
            <w:tcW w:w="217" w:type="dxa"/>
          </w:tcPr>
          <w:p w14:paraId="12229937" w14:textId="77777777" w:rsidR="002C0FD9" w:rsidRPr="00CA25CF" w:rsidRDefault="002C0FD9" w:rsidP="00CA25CF">
            <w:pPr>
              <w:rPr>
                <w:rFonts w:cs="Arial"/>
                <w:color w:val="FF0000"/>
                <w:sz w:val="21"/>
                <w:szCs w:val="21"/>
              </w:rPr>
            </w:pPr>
          </w:p>
        </w:tc>
        <w:tc>
          <w:tcPr>
            <w:tcW w:w="217" w:type="dxa"/>
          </w:tcPr>
          <w:p w14:paraId="545C972A" w14:textId="77777777" w:rsidR="002C0FD9" w:rsidRPr="00CA25CF" w:rsidRDefault="002C0FD9" w:rsidP="00CA25CF">
            <w:pPr>
              <w:rPr>
                <w:rFonts w:cs="Arial"/>
                <w:color w:val="FF0000"/>
                <w:sz w:val="21"/>
                <w:szCs w:val="21"/>
              </w:rPr>
            </w:pPr>
          </w:p>
        </w:tc>
        <w:tc>
          <w:tcPr>
            <w:tcW w:w="217" w:type="dxa"/>
          </w:tcPr>
          <w:p w14:paraId="7F200B55" w14:textId="77777777" w:rsidR="002C0FD9" w:rsidRPr="00CA25CF" w:rsidRDefault="002C0FD9" w:rsidP="00CA25CF">
            <w:pPr>
              <w:rPr>
                <w:rFonts w:cs="Arial"/>
                <w:color w:val="FF0000"/>
                <w:sz w:val="21"/>
                <w:szCs w:val="21"/>
              </w:rPr>
            </w:pPr>
          </w:p>
        </w:tc>
        <w:tc>
          <w:tcPr>
            <w:tcW w:w="217" w:type="dxa"/>
          </w:tcPr>
          <w:p w14:paraId="0B5FBD5C" w14:textId="77777777" w:rsidR="002C0FD9" w:rsidRPr="00CA25CF" w:rsidRDefault="002C0FD9" w:rsidP="00CA25CF">
            <w:pPr>
              <w:rPr>
                <w:rFonts w:cs="Arial"/>
                <w:color w:val="FF0000"/>
                <w:sz w:val="21"/>
                <w:szCs w:val="21"/>
              </w:rPr>
            </w:pPr>
          </w:p>
        </w:tc>
        <w:tc>
          <w:tcPr>
            <w:tcW w:w="217" w:type="dxa"/>
          </w:tcPr>
          <w:p w14:paraId="72F02119" w14:textId="77777777" w:rsidR="002C0FD9" w:rsidRPr="00CA25CF" w:rsidRDefault="002C0FD9" w:rsidP="00CA25CF">
            <w:pPr>
              <w:rPr>
                <w:rFonts w:cs="Arial"/>
                <w:color w:val="FF0000"/>
                <w:sz w:val="21"/>
                <w:szCs w:val="21"/>
              </w:rPr>
            </w:pPr>
          </w:p>
        </w:tc>
        <w:tc>
          <w:tcPr>
            <w:tcW w:w="217" w:type="dxa"/>
          </w:tcPr>
          <w:p w14:paraId="0132C282" w14:textId="77777777" w:rsidR="002C0FD9" w:rsidRPr="00CA25CF" w:rsidRDefault="002C0FD9" w:rsidP="00CA25CF">
            <w:pPr>
              <w:rPr>
                <w:rFonts w:cs="Arial"/>
                <w:color w:val="FF0000"/>
                <w:sz w:val="21"/>
                <w:szCs w:val="21"/>
              </w:rPr>
            </w:pPr>
          </w:p>
        </w:tc>
        <w:tc>
          <w:tcPr>
            <w:tcW w:w="217" w:type="dxa"/>
          </w:tcPr>
          <w:p w14:paraId="135CA376" w14:textId="77777777" w:rsidR="002C0FD9" w:rsidRPr="00CA25CF" w:rsidRDefault="002C0FD9" w:rsidP="00CA25CF">
            <w:pPr>
              <w:rPr>
                <w:rFonts w:cs="Arial"/>
                <w:color w:val="FF0000"/>
                <w:sz w:val="21"/>
                <w:szCs w:val="21"/>
              </w:rPr>
            </w:pPr>
          </w:p>
        </w:tc>
        <w:tc>
          <w:tcPr>
            <w:tcW w:w="217" w:type="dxa"/>
          </w:tcPr>
          <w:p w14:paraId="63F79C1D" w14:textId="77777777" w:rsidR="002C0FD9" w:rsidRPr="00CA25CF" w:rsidRDefault="002C0FD9" w:rsidP="00CA25CF">
            <w:pPr>
              <w:rPr>
                <w:rFonts w:cs="Arial"/>
                <w:color w:val="FF0000"/>
                <w:sz w:val="21"/>
                <w:szCs w:val="21"/>
              </w:rPr>
            </w:pPr>
          </w:p>
        </w:tc>
        <w:tc>
          <w:tcPr>
            <w:tcW w:w="217" w:type="dxa"/>
          </w:tcPr>
          <w:p w14:paraId="2D2CFD5C" w14:textId="77777777" w:rsidR="002C0FD9" w:rsidRPr="00CA25CF" w:rsidRDefault="002C0FD9" w:rsidP="00CA25CF">
            <w:pPr>
              <w:rPr>
                <w:rFonts w:cs="Arial"/>
                <w:color w:val="FF0000"/>
                <w:sz w:val="21"/>
                <w:szCs w:val="21"/>
              </w:rPr>
            </w:pPr>
          </w:p>
        </w:tc>
        <w:tc>
          <w:tcPr>
            <w:tcW w:w="217" w:type="dxa"/>
          </w:tcPr>
          <w:p w14:paraId="3200751C" w14:textId="77777777" w:rsidR="002C0FD9" w:rsidRPr="00CA25CF" w:rsidRDefault="002C0FD9" w:rsidP="00CA25CF">
            <w:pPr>
              <w:rPr>
                <w:rFonts w:cs="Arial"/>
                <w:color w:val="FF0000"/>
                <w:sz w:val="21"/>
                <w:szCs w:val="21"/>
              </w:rPr>
            </w:pPr>
          </w:p>
        </w:tc>
        <w:tc>
          <w:tcPr>
            <w:tcW w:w="217" w:type="dxa"/>
          </w:tcPr>
          <w:p w14:paraId="56997FF9" w14:textId="77777777" w:rsidR="002C0FD9" w:rsidRPr="00CA25CF" w:rsidRDefault="002C0FD9" w:rsidP="00CA25CF">
            <w:pPr>
              <w:rPr>
                <w:rFonts w:cs="Arial"/>
                <w:color w:val="FF0000"/>
                <w:sz w:val="21"/>
                <w:szCs w:val="21"/>
              </w:rPr>
            </w:pPr>
          </w:p>
        </w:tc>
        <w:tc>
          <w:tcPr>
            <w:tcW w:w="217" w:type="dxa"/>
          </w:tcPr>
          <w:p w14:paraId="59CF5443" w14:textId="77777777" w:rsidR="002C0FD9" w:rsidRPr="00CA25CF" w:rsidRDefault="002C0FD9" w:rsidP="00CA25CF">
            <w:pPr>
              <w:rPr>
                <w:rFonts w:cs="Arial"/>
                <w:color w:val="FF0000"/>
                <w:sz w:val="21"/>
                <w:szCs w:val="21"/>
              </w:rPr>
            </w:pPr>
          </w:p>
        </w:tc>
        <w:tc>
          <w:tcPr>
            <w:tcW w:w="217" w:type="dxa"/>
          </w:tcPr>
          <w:p w14:paraId="01E08242" w14:textId="77777777" w:rsidR="002C0FD9" w:rsidRPr="00CA25CF" w:rsidRDefault="002C0FD9" w:rsidP="00CA25CF">
            <w:pPr>
              <w:rPr>
                <w:rFonts w:cs="Arial"/>
                <w:color w:val="FF0000"/>
                <w:sz w:val="21"/>
                <w:szCs w:val="21"/>
              </w:rPr>
            </w:pPr>
          </w:p>
        </w:tc>
        <w:tc>
          <w:tcPr>
            <w:tcW w:w="217" w:type="dxa"/>
          </w:tcPr>
          <w:p w14:paraId="1CF1D161" w14:textId="77777777" w:rsidR="002C0FD9" w:rsidRPr="00CA25CF" w:rsidRDefault="002C0FD9" w:rsidP="00CA25CF">
            <w:pPr>
              <w:rPr>
                <w:rFonts w:cs="Arial"/>
                <w:color w:val="FF0000"/>
                <w:sz w:val="21"/>
                <w:szCs w:val="21"/>
              </w:rPr>
            </w:pPr>
          </w:p>
        </w:tc>
        <w:tc>
          <w:tcPr>
            <w:tcW w:w="217" w:type="dxa"/>
          </w:tcPr>
          <w:p w14:paraId="03FA40F3" w14:textId="77777777" w:rsidR="002C0FD9" w:rsidRPr="00CA25CF" w:rsidRDefault="002C0FD9" w:rsidP="00CA25CF">
            <w:pPr>
              <w:rPr>
                <w:rFonts w:cs="Arial"/>
                <w:color w:val="FF0000"/>
                <w:sz w:val="21"/>
                <w:szCs w:val="21"/>
              </w:rPr>
            </w:pPr>
          </w:p>
        </w:tc>
        <w:tc>
          <w:tcPr>
            <w:tcW w:w="217" w:type="dxa"/>
          </w:tcPr>
          <w:p w14:paraId="329A5211" w14:textId="77777777" w:rsidR="002C0FD9" w:rsidRPr="00CA25CF" w:rsidRDefault="002C0FD9" w:rsidP="00CA25CF">
            <w:pPr>
              <w:rPr>
                <w:rFonts w:cs="Arial"/>
                <w:color w:val="FF0000"/>
                <w:sz w:val="21"/>
                <w:szCs w:val="21"/>
              </w:rPr>
            </w:pPr>
          </w:p>
        </w:tc>
        <w:tc>
          <w:tcPr>
            <w:tcW w:w="217" w:type="dxa"/>
          </w:tcPr>
          <w:p w14:paraId="654B1AF5" w14:textId="77777777" w:rsidR="002C0FD9" w:rsidRPr="00CA25CF" w:rsidRDefault="002C0FD9" w:rsidP="00CA25CF">
            <w:pPr>
              <w:rPr>
                <w:rFonts w:cs="Arial"/>
                <w:color w:val="FF0000"/>
                <w:sz w:val="21"/>
                <w:szCs w:val="21"/>
              </w:rPr>
            </w:pPr>
          </w:p>
        </w:tc>
        <w:tc>
          <w:tcPr>
            <w:tcW w:w="217" w:type="dxa"/>
          </w:tcPr>
          <w:p w14:paraId="0D561F78" w14:textId="77777777" w:rsidR="002C0FD9" w:rsidRPr="00CA25CF" w:rsidRDefault="002C0FD9" w:rsidP="00CA25CF">
            <w:pPr>
              <w:rPr>
                <w:rFonts w:cs="Arial"/>
                <w:color w:val="FF0000"/>
                <w:sz w:val="21"/>
                <w:szCs w:val="21"/>
              </w:rPr>
            </w:pPr>
          </w:p>
        </w:tc>
        <w:tc>
          <w:tcPr>
            <w:tcW w:w="217" w:type="dxa"/>
          </w:tcPr>
          <w:p w14:paraId="3C01F8BD" w14:textId="77777777" w:rsidR="002C0FD9" w:rsidRPr="00CA25CF" w:rsidRDefault="002C0FD9" w:rsidP="00CA25CF">
            <w:pPr>
              <w:rPr>
                <w:rFonts w:cs="Arial"/>
                <w:color w:val="FF0000"/>
                <w:sz w:val="21"/>
                <w:szCs w:val="21"/>
              </w:rPr>
            </w:pPr>
          </w:p>
        </w:tc>
        <w:tc>
          <w:tcPr>
            <w:tcW w:w="217" w:type="dxa"/>
          </w:tcPr>
          <w:p w14:paraId="32B042B4" w14:textId="77777777" w:rsidR="002C0FD9" w:rsidRPr="00CA25CF" w:rsidRDefault="002C0FD9" w:rsidP="00CA25CF">
            <w:pPr>
              <w:rPr>
                <w:rFonts w:cs="Arial"/>
                <w:color w:val="FF0000"/>
                <w:sz w:val="21"/>
                <w:szCs w:val="21"/>
              </w:rPr>
            </w:pPr>
          </w:p>
        </w:tc>
        <w:tc>
          <w:tcPr>
            <w:tcW w:w="217" w:type="dxa"/>
          </w:tcPr>
          <w:p w14:paraId="2EFBB747" w14:textId="77777777" w:rsidR="002C0FD9" w:rsidRPr="00CA25CF" w:rsidRDefault="002C0FD9" w:rsidP="00CA25CF">
            <w:pPr>
              <w:rPr>
                <w:rFonts w:cs="Arial"/>
                <w:color w:val="FF0000"/>
                <w:sz w:val="21"/>
                <w:szCs w:val="21"/>
              </w:rPr>
            </w:pPr>
          </w:p>
        </w:tc>
        <w:tc>
          <w:tcPr>
            <w:tcW w:w="217" w:type="dxa"/>
          </w:tcPr>
          <w:p w14:paraId="09B2E800" w14:textId="77777777" w:rsidR="002C0FD9" w:rsidRPr="00CA25CF" w:rsidRDefault="002C0FD9" w:rsidP="00CA25CF">
            <w:pPr>
              <w:rPr>
                <w:rFonts w:cs="Arial"/>
                <w:color w:val="FF0000"/>
                <w:sz w:val="21"/>
                <w:szCs w:val="21"/>
              </w:rPr>
            </w:pPr>
          </w:p>
        </w:tc>
        <w:tc>
          <w:tcPr>
            <w:tcW w:w="217" w:type="dxa"/>
          </w:tcPr>
          <w:p w14:paraId="2F7B0D3C" w14:textId="77777777" w:rsidR="002C0FD9" w:rsidRPr="00CA25CF" w:rsidRDefault="002C0FD9" w:rsidP="00CA25CF">
            <w:pPr>
              <w:rPr>
                <w:rFonts w:cs="Arial"/>
                <w:color w:val="FF0000"/>
                <w:sz w:val="21"/>
                <w:szCs w:val="21"/>
              </w:rPr>
            </w:pPr>
          </w:p>
        </w:tc>
        <w:tc>
          <w:tcPr>
            <w:tcW w:w="217" w:type="dxa"/>
          </w:tcPr>
          <w:p w14:paraId="1EB78A58" w14:textId="77777777" w:rsidR="002C0FD9" w:rsidRPr="00CA25CF" w:rsidRDefault="002C0FD9" w:rsidP="00CA25CF">
            <w:pPr>
              <w:rPr>
                <w:rFonts w:cs="Arial"/>
                <w:color w:val="FF0000"/>
                <w:sz w:val="21"/>
                <w:szCs w:val="21"/>
              </w:rPr>
            </w:pPr>
          </w:p>
        </w:tc>
        <w:tc>
          <w:tcPr>
            <w:tcW w:w="217" w:type="dxa"/>
          </w:tcPr>
          <w:p w14:paraId="024319C1" w14:textId="77777777" w:rsidR="002C0FD9" w:rsidRPr="00CA25CF" w:rsidRDefault="002C0FD9" w:rsidP="00CA25CF">
            <w:pPr>
              <w:rPr>
                <w:rFonts w:cs="Arial"/>
                <w:color w:val="FF0000"/>
                <w:sz w:val="21"/>
                <w:szCs w:val="21"/>
              </w:rPr>
            </w:pPr>
          </w:p>
        </w:tc>
        <w:tc>
          <w:tcPr>
            <w:tcW w:w="217" w:type="dxa"/>
          </w:tcPr>
          <w:p w14:paraId="633FB509" w14:textId="77777777" w:rsidR="002C0FD9" w:rsidRPr="00CA25CF" w:rsidRDefault="002C0FD9" w:rsidP="00CA25CF">
            <w:pPr>
              <w:rPr>
                <w:rFonts w:cs="Arial"/>
                <w:color w:val="FF0000"/>
                <w:sz w:val="21"/>
                <w:szCs w:val="21"/>
              </w:rPr>
            </w:pPr>
          </w:p>
        </w:tc>
        <w:tc>
          <w:tcPr>
            <w:tcW w:w="217" w:type="dxa"/>
          </w:tcPr>
          <w:p w14:paraId="1E1115C2" w14:textId="77777777" w:rsidR="002C0FD9" w:rsidRPr="00CA25CF" w:rsidRDefault="002C0FD9" w:rsidP="00CA25CF">
            <w:pPr>
              <w:rPr>
                <w:rFonts w:cs="Arial"/>
                <w:color w:val="FF0000"/>
                <w:sz w:val="21"/>
                <w:szCs w:val="21"/>
              </w:rPr>
            </w:pPr>
          </w:p>
        </w:tc>
        <w:tc>
          <w:tcPr>
            <w:tcW w:w="217" w:type="dxa"/>
          </w:tcPr>
          <w:p w14:paraId="107C64C8" w14:textId="77777777" w:rsidR="002C0FD9" w:rsidRPr="00CA25CF" w:rsidRDefault="002C0FD9" w:rsidP="00CA25CF">
            <w:pPr>
              <w:rPr>
                <w:rFonts w:cs="Arial"/>
                <w:color w:val="FF0000"/>
                <w:sz w:val="21"/>
                <w:szCs w:val="21"/>
              </w:rPr>
            </w:pPr>
          </w:p>
        </w:tc>
        <w:tc>
          <w:tcPr>
            <w:tcW w:w="217" w:type="dxa"/>
          </w:tcPr>
          <w:p w14:paraId="0F331411" w14:textId="77777777" w:rsidR="002C0FD9" w:rsidRPr="00CA25CF" w:rsidRDefault="002C0FD9" w:rsidP="00CA25CF">
            <w:pPr>
              <w:rPr>
                <w:rFonts w:cs="Arial"/>
                <w:color w:val="FF0000"/>
                <w:sz w:val="21"/>
                <w:szCs w:val="21"/>
              </w:rPr>
            </w:pPr>
          </w:p>
        </w:tc>
        <w:tc>
          <w:tcPr>
            <w:tcW w:w="217" w:type="dxa"/>
          </w:tcPr>
          <w:p w14:paraId="359587A0" w14:textId="77777777" w:rsidR="002C0FD9" w:rsidRPr="00CA25CF" w:rsidRDefault="002C0FD9" w:rsidP="00CA25CF">
            <w:pPr>
              <w:rPr>
                <w:rFonts w:cs="Arial"/>
                <w:color w:val="FF0000"/>
                <w:sz w:val="21"/>
                <w:szCs w:val="21"/>
              </w:rPr>
            </w:pPr>
          </w:p>
        </w:tc>
        <w:tc>
          <w:tcPr>
            <w:tcW w:w="217" w:type="dxa"/>
          </w:tcPr>
          <w:p w14:paraId="4480C87C" w14:textId="77777777" w:rsidR="002C0FD9" w:rsidRPr="00CA25CF" w:rsidRDefault="002C0FD9" w:rsidP="00CA25CF">
            <w:pPr>
              <w:rPr>
                <w:rFonts w:cs="Arial"/>
                <w:color w:val="FF0000"/>
                <w:sz w:val="21"/>
                <w:szCs w:val="21"/>
              </w:rPr>
            </w:pPr>
          </w:p>
        </w:tc>
        <w:tc>
          <w:tcPr>
            <w:tcW w:w="217" w:type="dxa"/>
          </w:tcPr>
          <w:p w14:paraId="1B982234" w14:textId="77777777" w:rsidR="002C0FD9" w:rsidRPr="00CA25CF" w:rsidRDefault="002C0FD9" w:rsidP="00CA25CF">
            <w:pPr>
              <w:rPr>
                <w:rFonts w:cs="Arial"/>
                <w:color w:val="FF0000"/>
                <w:sz w:val="21"/>
                <w:szCs w:val="21"/>
              </w:rPr>
            </w:pPr>
          </w:p>
        </w:tc>
        <w:tc>
          <w:tcPr>
            <w:tcW w:w="217" w:type="dxa"/>
          </w:tcPr>
          <w:p w14:paraId="3664E09C" w14:textId="77777777" w:rsidR="002C0FD9" w:rsidRPr="00CA25CF" w:rsidRDefault="002C0FD9" w:rsidP="00CA25CF">
            <w:pPr>
              <w:rPr>
                <w:rFonts w:cs="Arial"/>
                <w:color w:val="FF0000"/>
                <w:sz w:val="21"/>
                <w:szCs w:val="21"/>
              </w:rPr>
            </w:pPr>
          </w:p>
        </w:tc>
        <w:tc>
          <w:tcPr>
            <w:tcW w:w="217" w:type="dxa"/>
          </w:tcPr>
          <w:p w14:paraId="57099198" w14:textId="77777777" w:rsidR="002C0FD9" w:rsidRPr="00CA25CF" w:rsidRDefault="002C0FD9" w:rsidP="00CA25CF">
            <w:pPr>
              <w:rPr>
                <w:rFonts w:cs="Arial"/>
                <w:color w:val="FF0000"/>
                <w:sz w:val="21"/>
                <w:szCs w:val="21"/>
              </w:rPr>
            </w:pPr>
          </w:p>
        </w:tc>
        <w:tc>
          <w:tcPr>
            <w:tcW w:w="217" w:type="dxa"/>
          </w:tcPr>
          <w:p w14:paraId="252354A7" w14:textId="77777777" w:rsidR="002C0FD9" w:rsidRPr="00CA25CF" w:rsidRDefault="002C0FD9" w:rsidP="00CA25CF">
            <w:pPr>
              <w:rPr>
                <w:rFonts w:cs="Arial"/>
                <w:color w:val="FF0000"/>
                <w:sz w:val="21"/>
                <w:szCs w:val="21"/>
              </w:rPr>
            </w:pPr>
          </w:p>
        </w:tc>
        <w:tc>
          <w:tcPr>
            <w:tcW w:w="217" w:type="dxa"/>
          </w:tcPr>
          <w:p w14:paraId="57735BBD" w14:textId="77777777" w:rsidR="002C0FD9" w:rsidRPr="00CA25CF" w:rsidRDefault="002C0FD9" w:rsidP="00CA25CF">
            <w:pPr>
              <w:rPr>
                <w:rFonts w:cs="Arial"/>
                <w:color w:val="FF0000"/>
                <w:sz w:val="21"/>
                <w:szCs w:val="21"/>
              </w:rPr>
            </w:pPr>
          </w:p>
        </w:tc>
        <w:tc>
          <w:tcPr>
            <w:tcW w:w="217" w:type="dxa"/>
          </w:tcPr>
          <w:p w14:paraId="7F935007" w14:textId="77777777" w:rsidR="002C0FD9" w:rsidRPr="00CA25CF" w:rsidRDefault="002C0FD9" w:rsidP="00CA25CF">
            <w:pPr>
              <w:rPr>
                <w:rFonts w:cs="Arial"/>
                <w:color w:val="FF0000"/>
                <w:sz w:val="21"/>
                <w:szCs w:val="21"/>
              </w:rPr>
            </w:pPr>
          </w:p>
        </w:tc>
        <w:tc>
          <w:tcPr>
            <w:tcW w:w="217" w:type="dxa"/>
          </w:tcPr>
          <w:p w14:paraId="51720BBC" w14:textId="77777777" w:rsidR="002C0FD9" w:rsidRPr="00CA25CF" w:rsidRDefault="002C0FD9" w:rsidP="00CA25CF">
            <w:pPr>
              <w:rPr>
                <w:rFonts w:cs="Arial"/>
                <w:color w:val="FF0000"/>
                <w:sz w:val="21"/>
                <w:szCs w:val="21"/>
              </w:rPr>
            </w:pPr>
          </w:p>
        </w:tc>
        <w:tc>
          <w:tcPr>
            <w:tcW w:w="217" w:type="dxa"/>
          </w:tcPr>
          <w:p w14:paraId="1F391A6B" w14:textId="77777777" w:rsidR="002C0FD9" w:rsidRPr="00CA25CF" w:rsidRDefault="002C0FD9" w:rsidP="00CA25CF">
            <w:pPr>
              <w:rPr>
                <w:rFonts w:cs="Arial"/>
                <w:color w:val="FF0000"/>
                <w:sz w:val="21"/>
                <w:szCs w:val="21"/>
              </w:rPr>
            </w:pPr>
          </w:p>
        </w:tc>
        <w:tc>
          <w:tcPr>
            <w:tcW w:w="217" w:type="dxa"/>
          </w:tcPr>
          <w:p w14:paraId="6CB73CA8" w14:textId="77777777" w:rsidR="002C0FD9" w:rsidRPr="00CA25CF" w:rsidRDefault="002C0FD9" w:rsidP="00CA25CF">
            <w:pPr>
              <w:rPr>
                <w:rFonts w:cs="Arial"/>
                <w:color w:val="FF0000"/>
                <w:sz w:val="21"/>
                <w:szCs w:val="21"/>
              </w:rPr>
            </w:pPr>
          </w:p>
        </w:tc>
        <w:tc>
          <w:tcPr>
            <w:tcW w:w="217" w:type="dxa"/>
          </w:tcPr>
          <w:p w14:paraId="4C9EE54D" w14:textId="77777777" w:rsidR="002C0FD9" w:rsidRPr="00CA25CF" w:rsidRDefault="002C0FD9" w:rsidP="00CA25CF">
            <w:pPr>
              <w:rPr>
                <w:rFonts w:cs="Arial"/>
                <w:color w:val="FF0000"/>
                <w:sz w:val="21"/>
                <w:szCs w:val="21"/>
              </w:rPr>
            </w:pPr>
          </w:p>
        </w:tc>
      </w:tr>
      <w:tr w:rsidR="002C0FD9" w:rsidRPr="00A16219" w14:paraId="112BADF1" w14:textId="77777777" w:rsidTr="002C0FD9">
        <w:trPr>
          <w:trHeight w:val="635"/>
        </w:trPr>
        <w:tc>
          <w:tcPr>
            <w:tcW w:w="515" w:type="dxa"/>
          </w:tcPr>
          <w:p w14:paraId="674461EF" w14:textId="77777777" w:rsidR="002C0FD9" w:rsidRPr="00CA25CF" w:rsidRDefault="002C0FD9" w:rsidP="00CA25CF">
            <w:pPr>
              <w:rPr>
                <w:rFonts w:cs="Arial"/>
                <w:color w:val="FF0000"/>
                <w:sz w:val="21"/>
                <w:szCs w:val="21"/>
              </w:rPr>
            </w:pPr>
          </w:p>
        </w:tc>
        <w:tc>
          <w:tcPr>
            <w:tcW w:w="217" w:type="dxa"/>
          </w:tcPr>
          <w:p w14:paraId="456E0DBA" w14:textId="77777777" w:rsidR="002C0FD9" w:rsidRPr="00CA25CF" w:rsidRDefault="002C0FD9" w:rsidP="00CA25CF">
            <w:pPr>
              <w:rPr>
                <w:rFonts w:cs="Arial"/>
                <w:color w:val="FF0000"/>
                <w:sz w:val="21"/>
                <w:szCs w:val="21"/>
              </w:rPr>
            </w:pPr>
          </w:p>
        </w:tc>
        <w:tc>
          <w:tcPr>
            <w:tcW w:w="217" w:type="dxa"/>
          </w:tcPr>
          <w:p w14:paraId="2A1174BC" w14:textId="77777777" w:rsidR="002C0FD9" w:rsidRPr="00CA25CF" w:rsidRDefault="002C0FD9" w:rsidP="00CA25CF">
            <w:pPr>
              <w:rPr>
                <w:rFonts w:cs="Arial"/>
                <w:color w:val="FF0000"/>
                <w:sz w:val="21"/>
                <w:szCs w:val="21"/>
              </w:rPr>
            </w:pPr>
          </w:p>
        </w:tc>
        <w:tc>
          <w:tcPr>
            <w:tcW w:w="217" w:type="dxa"/>
          </w:tcPr>
          <w:p w14:paraId="7AB813CE" w14:textId="77777777" w:rsidR="002C0FD9" w:rsidRPr="00CA25CF" w:rsidRDefault="002C0FD9" w:rsidP="00CA25CF">
            <w:pPr>
              <w:rPr>
                <w:rFonts w:cs="Arial"/>
                <w:color w:val="FF0000"/>
                <w:sz w:val="21"/>
                <w:szCs w:val="21"/>
              </w:rPr>
            </w:pPr>
          </w:p>
        </w:tc>
        <w:tc>
          <w:tcPr>
            <w:tcW w:w="217" w:type="dxa"/>
          </w:tcPr>
          <w:p w14:paraId="02DCB8EE" w14:textId="77777777" w:rsidR="002C0FD9" w:rsidRPr="00CA25CF" w:rsidRDefault="002C0FD9" w:rsidP="00CA25CF">
            <w:pPr>
              <w:rPr>
                <w:rFonts w:cs="Arial"/>
                <w:color w:val="FF0000"/>
                <w:sz w:val="21"/>
                <w:szCs w:val="21"/>
              </w:rPr>
            </w:pPr>
          </w:p>
        </w:tc>
        <w:tc>
          <w:tcPr>
            <w:tcW w:w="217" w:type="dxa"/>
          </w:tcPr>
          <w:p w14:paraId="68AF35EF" w14:textId="77777777" w:rsidR="002C0FD9" w:rsidRPr="00CA25CF" w:rsidRDefault="002C0FD9" w:rsidP="00CA25CF">
            <w:pPr>
              <w:rPr>
                <w:rFonts w:cs="Arial"/>
                <w:color w:val="FF0000"/>
                <w:sz w:val="21"/>
                <w:szCs w:val="21"/>
              </w:rPr>
            </w:pPr>
          </w:p>
        </w:tc>
        <w:tc>
          <w:tcPr>
            <w:tcW w:w="217" w:type="dxa"/>
          </w:tcPr>
          <w:p w14:paraId="24B509DD" w14:textId="77777777" w:rsidR="002C0FD9" w:rsidRPr="00CA25CF" w:rsidRDefault="002C0FD9" w:rsidP="00CA25CF">
            <w:pPr>
              <w:rPr>
                <w:rFonts w:cs="Arial"/>
                <w:color w:val="FF0000"/>
                <w:sz w:val="21"/>
                <w:szCs w:val="21"/>
              </w:rPr>
            </w:pPr>
          </w:p>
        </w:tc>
        <w:tc>
          <w:tcPr>
            <w:tcW w:w="217" w:type="dxa"/>
          </w:tcPr>
          <w:p w14:paraId="50482D50" w14:textId="77777777" w:rsidR="002C0FD9" w:rsidRPr="00CA25CF" w:rsidRDefault="002C0FD9" w:rsidP="00CA25CF">
            <w:pPr>
              <w:rPr>
                <w:rFonts w:cs="Arial"/>
                <w:color w:val="FF0000"/>
                <w:sz w:val="21"/>
                <w:szCs w:val="21"/>
              </w:rPr>
            </w:pPr>
          </w:p>
        </w:tc>
        <w:tc>
          <w:tcPr>
            <w:tcW w:w="217" w:type="dxa"/>
          </w:tcPr>
          <w:p w14:paraId="7BFF4195" w14:textId="77777777" w:rsidR="002C0FD9" w:rsidRPr="00CA25CF" w:rsidRDefault="002C0FD9" w:rsidP="00CA25CF">
            <w:pPr>
              <w:rPr>
                <w:rFonts w:cs="Arial"/>
                <w:color w:val="FF0000"/>
                <w:sz w:val="21"/>
                <w:szCs w:val="21"/>
              </w:rPr>
            </w:pPr>
          </w:p>
        </w:tc>
        <w:tc>
          <w:tcPr>
            <w:tcW w:w="217" w:type="dxa"/>
          </w:tcPr>
          <w:p w14:paraId="0A83E413" w14:textId="77777777" w:rsidR="002C0FD9" w:rsidRPr="00CA25CF" w:rsidRDefault="002C0FD9" w:rsidP="00CA25CF">
            <w:pPr>
              <w:rPr>
                <w:rFonts w:cs="Arial"/>
                <w:color w:val="FF0000"/>
                <w:sz w:val="21"/>
                <w:szCs w:val="21"/>
              </w:rPr>
            </w:pPr>
          </w:p>
        </w:tc>
        <w:tc>
          <w:tcPr>
            <w:tcW w:w="217" w:type="dxa"/>
          </w:tcPr>
          <w:p w14:paraId="00D15272" w14:textId="77777777" w:rsidR="002C0FD9" w:rsidRPr="00CA25CF" w:rsidRDefault="002C0FD9" w:rsidP="00CA25CF">
            <w:pPr>
              <w:rPr>
                <w:rFonts w:cs="Arial"/>
                <w:color w:val="FF0000"/>
                <w:sz w:val="21"/>
                <w:szCs w:val="21"/>
              </w:rPr>
            </w:pPr>
          </w:p>
        </w:tc>
        <w:tc>
          <w:tcPr>
            <w:tcW w:w="217" w:type="dxa"/>
          </w:tcPr>
          <w:p w14:paraId="795492F6" w14:textId="77777777" w:rsidR="002C0FD9" w:rsidRPr="00CA25CF" w:rsidRDefault="002C0FD9" w:rsidP="00CA25CF">
            <w:pPr>
              <w:rPr>
                <w:rFonts w:cs="Arial"/>
                <w:color w:val="FF0000"/>
                <w:sz w:val="21"/>
                <w:szCs w:val="21"/>
              </w:rPr>
            </w:pPr>
          </w:p>
        </w:tc>
        <w:tc>
          <w:tcPr>
            <w:tcW w:w="217" w:type="dxa"/>
          </w:tcPr>
          <w:p w14:paraId="3C96E65F" w14:textId="77777777" w:rsidR="002C0FD9" w:rsidRPr="00CA25CF" w:rsidRDefault="002C0FD9" w:rsidP="00CA25CF">
            <w:pPr>
              <w:rPr>
                <w:rFonts w:cs="Arial"/>
                <w:color w:val="FF0000"/>
                <w:sz w:val="21"/>
                <w:szCs w:val="21"/>
              </w:rPr>
            </w:pPr>
          </w:p>
        </w:tc>
        <w:tc>
          <w:tcPr>
            <w:tcW w:w="217" w:type="dxa"/>
          </w:tcPr>
          <w:p w14:paraId="0410AB40" w14:textId="77777777" w:rsidR="002C0FD9" w:rsidRPr="00CA25CF" w:rsidRDefault="002C0FD9" w:rsidP="00CA25CF">
            <w:pPr>
              <w:rPr>
                <w:rFonts w:cs="Arial"/>
                <w:color w:val="FF0000"/>
                <w:sz w:val="21"/>
                <w:szCs w:val="21"/>
              </w:rPr>
            </w:pPr>
          </w:p>
        </w:tc>
        <w:tc>
          <w:tcPr>
            <w:tcW w:w="217" w:type="dxa"/>
          </w:tcPr>
          <w:p w14:paraId="0E865679" w14:textId="77777777" w:rsidR="002C0FD9" w:rsidRPr="00CA25CF" w:rsidRDefault="002C0FD9" w:rsidP="00CA25CF">
            <w:pPr>
              <w:rPr>
                <w:rFonts w:cs="Arial"/>
                <w:color w:val="FF0000"/>
                <w:sz w:val="21"/>
                <w:szCs w:val="21"/>
              </w:rPr>
            </w:pPr>
          </w:p>
        </w:tc>
        <w:tc>
          <w:tcPr>
            <w:tcW w:w="217" w:type="dxa"/>
          </w:tcPr>
          <w:p w14:paraId="52B0177A" w14:textId="77777777" w:rsidR="002C0FD9" w:rsidRPr="00CA25CF" w:rsidRDefault="002C0FD9" w:rsidP="00CA25CF">
            <w:pPr>
              <w:rPr>
                <w:rFonts w:cs="Arial"/>
                <w:color w:val="FF0000"/>
                <w:sz w:val="21"/>
                <w:szCs w:val="21"/>
              </w:rPr>
            </w:pPr>
          </w:p>
        </w:tc>
        <w:tc>
          <w:tcPr>
            <w:tcW w:w="217" w:type="dxa"/>
          </w:tcPr>
          <w:p w14:paraId="48819403" w14:textId="77777777" w:rsidR="002C0FD9" w:rsidRPr="00CA25CF" w:rsidRDefault="002C0FD9" w:rsidP="00CA25CF">
            <w:pPr>
              <w:rPr>
                <w:rFonts w:cs="Arial"/>
                <w:color w:val="FF0000"/>
                <w:sz w:val="21"/>
                <w:szCs w:val="21"/>
              </w:rPr>
            </w:pPr>
          </w:p>
        </w:tc>
        <w:tc>
          <w:tcPr>
            <w:tcW w:w="217" w:type="dxa"/>
          </w:tcPr>
          <w:p w14:paraId="2E181820" w14:textId="77777777" w:rsidR="002C0FD9" w:rsidRPr="00CA25CF" w:rsidRDefault="002C0FD9" w:rsidP="00CA25CF">
            <w:pPr>
              <w:rPr>
                <w:rFonts w:cs="Arial"/>
                <w:color w:val="FF0000"/>
                <w:sz w:val="21"/>
                <w:szCs w:val="21"/>
              </w:rPr>
            </w:pPr>
          </w:p>
        </w:tc>
        <w:tc>
          <w:tcPr>
            <w:tcW w:w="217" w:type="dxa"/>
          </w:tcPr>
          <w:p w14:paraId="6D623FB7" w14:textId="77777777" w:rsidR="002C0FD9" w:rsidRPr="00CA25CF" w:rsidRDefault="002C0FD9" w:rsidP="00CA25CF">
            <w:pPr>
              <w:rPr>
                <w:rFonts w:cs="Arial"/>
                <w:color w:val="FF0000"/>
                <w:sz w:val="21"/>
                <w:szCs w:val="21"/>
              </w:rPr>
            </w:pPr>
          </w:p>
        </w:tc>
        <w:tc>
          <w:tcPr>
            <w:tcW w:w="217" w:type="dxa"/>
          </w:tcPr>
          <w:p w14:paraId="6D33433E" w14:textId="77777777" w:rsidR="002C0FD9" w:rsidRPr="00CA25CF" w:rsidRDefault="002C0FD9" w:rsidP="00CA25CF">
            <w:pPr>
              <w:rPr>
                <w:rFonts w:cs="Arial"/>
                <w:color w:val="FF0000"/>
                <w:sz w:val="21"/>
                <w:szCs w:val="21"/>
              </w:rPr>
            </w:pPr>
          </w:p>
        </w:tc>
        <w:tc>
          <w:tcPr>
            <w:tcW w:w="217" w:type="dxa"/>
          </w:tcPr>
          <w:p w14:paraId="62A793CA" w14:textId="77777777" w:rsidR="002C0FD9" w:rsidRPr="00CA25CF" w:rsidRDefault="002C0FD9" w:rsidP="00CA25CF">
            <w:pPr>
              <w:rPr>
                <w:rFonts w:cs="Arial"/>
                <w:color w:val="FF0000"/>
                <w:sz w:val="21"/>
                <w:szCs w:val="21"/>
              </w:rPr>
            </w:pPr>
          </w:p>
        </w:tc>
        <w:tc>
          <w:tcPr>
            <w:tcW w:w="217" w:type="dxa"/>
          </w:tcPr>
          <w:p w14:paraId="51DD865F" w14:textId="77777777" w:rsidR="002C0FD9" w:rsidRPr="00CA25CF" w:rsidRDefault="002C0FD9" w:rsidP="00CA25CF">
            <w:pPr>
              <w:rPr>
                <w:rFonts w:cs="Arial"/>
                <w:color w:val="FF0000"/>
                <w:sz w:val="21"/>
                <w:szCs w:val="21"/>
              </w:rPr>
            </w:pPr>
          </w:p>
        </w:tc>
        <w:tc>
          <w:tcPr>
            <w:tcW w:w="217" w:type="dxa"/>
          </w:tcPr>
          <w:p w14:paraId="3A78CA1F" w14:textId="77777777" w:rsidR="002C0FD9" w:rsidRPr="00CA25CF" w:rsidRDefault="002C0FD9" w:rsidP="00CA25CF">
            <w:pPr>
              <w:rPr>
                <w:rFonts w:cs="Arial"/>
                <w:color w:val="FF0000"/>
                <w:sz w:val="21"/>
                <w:szCs w:val="21"/>
              </w:rPr>
            </w:pPr>
          </w:p>
        </w:tc>
        <w:tc>
          <w:tcPr>
            <w:tcW w:w="217" w:type="dxa"/>
          </w:tcPr>
          <w:p w14:paraId="46EED869" w14:textId="77777777" w:rsidR="002C0FD9" w:rsidRPr="00CA25CF" w:rsidRDefault="002C0FD9" w:rsidP="00CA25CF">
            <w:pPr>
              <w:rPr>
                <w:rFonts w:cs="Arial"/>
                <w:color w:val="FF0000"/>
                <w:sz w:val="21"/>
                <w:szCs w:val="21"/>
              </w:rPr>
            </w:pPr>
          </w:p>
        </w:tc>
        <w:tc>
          <w:tcPr>
            <w:tcW w:w="217" w:type="dxa"/>
          </w:tcPr>
          <w:p w14:paraId="53F1031E" w14:textId="77777777" w:rsidR="002C0FD9" w:rsidRPr="00CA25CF" w:rsidRDefault="002C0FD9" w:rsidP="00CA25CF">
            <w:pPr>
              <w:rPr>
                <w:rFonts w:cs="Arial"/>
                <w:color w:val="FF0000"/>
                <w:sz w:val="21"/>
                <w:szCs w:val="21"/>
              </w:rPr>
            </w:pPr>
          </w:p>
        </w:tc>
        <w:tc>
          <w:tcPr>
            <w:tcW w:w="217" w:type="dxa"/>
          </w:tcPr>
          <w:p w14:paraId="601180F8" w14:textId="77777777" w:rsidR="002C0FD9" w:rsidRPr="00CA25CF" w:rsidRDefault="002C0FD9" w:rsidP="00CA25CF">
            <w:pPr>
              <w:rPr>
                <w:rFonts w:cs="Arial"/>
                <w:color w:val="FF0000"/>
                <w:sz w:val="21"/>
                <w:szCs w:val="21"/>
              </w:rPr>
            </w:pPr>
          </w:p>
        </w:tc>
        <w:tc>
          <w:tcPr>
            <w:tcW w:w="217" w:type="dxa"/>
          </w:tcPr>
          <w:p w14:paraId="1A8D9997" w14:textId="77777777" w:rsidR="002C0FD9" w:rsidRPr="00CA25CF" w:rsidRDefault="002C0FD9" w:rsidP="00CA25CF">
            <w:pPr>
              <w:rPr>
                <w:rFonts w:cs="Arial"/>
                <w:color w:val="FF0000"/>
                <w:sz w:val="21"/>
                <w:szCs w:val="21"/>
              </w:rPr>
            </w:pPr>
          </w:p>
        </w:tc>
        <w:tc>
          <w:tcPr>
            <w:tcW w:w="217" w:type="dxa"/>
          </w:tcPr>
          <w:p w14:paraId="4549F41F" w14:textId="77777777" w:rsidR="002C0FD9" w:rsidRPr="00CA25CF" w:rsidRDefault="002C0FD9" w:rsidP="00CA25CF">
            <w:pPr>
              <w:rPr>
                <w:rFonts w:cs="Arial"/>
                <w:color w:val="FF0000"/>
                <w:sz w:val="21"/>
                <w:szCs w:val="21"/>
              </w:rPr>
            </w:pPr>
          </w:p>
        </w:tc>
        <w:tc>
          <w:tcPr>
            <w:tcW w:w="217" w:type="dxa"/>
          </w:tcPr>
          <w:p w14:paraId="412720EE" w14:textId="77777777" w:rsidR="002C0FD9" w:rsidRPr="00CA25CF" w:rsidRDefault="002C0FD9" w:rsidP="00CA25CF">
            <w:pPr>
              <w:rPr>
                <w:rFonts w:cs="Arial"/>
                <w:color w:val="FF0000"/>
                <w:sz w:val="21"/>
                <w:szCs w:val="21"/>
              </w:rPr>
            </w:pPr>
          </w:p>
        </w:tc>
        <w:tc>
          <w:tcPr>
            <w:tcW w:w="217" w:type="dxa"/>
          </w:tcPr>
          <w:p w14:paraId="152711DF" w14:textId="77777777" w:rsidR="002C0FD9" w:rsidRPr="00CA25CF" w:rsidRDefault="002C0FD9" w:rsidP="00CA25CF">
            <w:pPr>
              <w:rPr>
                <w:rFonts w:cs="Arial"/>
                <w:color w:val="FF0000"/>
                <w:sz w:val="21"/>
                <w:szCs w:val="21"/>
              </w:rPr>
            </w:pPr>
          </w:p>
        </w:tc>
        <w:tc>
          <w:tcPr>
            <w:tcW w:w="217" w:type="dxa"/>
          </w:tcPr>
          <w:p w14:paraId="16E54F76" w14:textId="77777777" w:rsidR="002C0FD9" w:rsidRPr="00CA25CF" w:rsidRDefault="002C0FD9" w:rsidP="00CA25CF">
            <w:pPr>
              <w:rPr>
                <w:rFonts w:cs="Arial"/>
                <w:color w:val="FF0000"/>
                <w:sz w:val="21"/>
                <w:szCs w:val="21"/>
              </w:rPr>
            </w:pPr>
          </w:p>
        </w:tc>
        <w:tc>
          <w:tcPr>
            <w:tcW w:w="217" w:type="dxa"/>
          </w:tcPr>
          <w:p w14:paraId="7626253A" w14:textId="77777777" w:rsidR="002C0FD9" w:rsidRPr="00CA25CF" w:rsidRDefault="002C0FD9" w:rsidP="00CA25CF">
            <w:pPr>
              <w:rPr>
                <w:rFonts w:cs="Arial"/>
                <w:color w:val="FF0000"/>
                <w:sz w:val="21"/>
                <w:szCs w:val="21"/>
              </w:rPr>
            </w:pPr>
          </w:p>
        </w:tc>
        <w:tc>
          <w:tcPr>
            <w:tcW w:w="217" w:type="dxa"/>
          </w:tcPr>
          <w:p w14:paraId="306F073A" w14:textId="77777777" w:rsidR="002C0FD9" w:rsidRPr="00CA25CF" w:rsidRDefault="002C0FD9" w:rsidP="00CA25CF">
            <w:pPr>
              <w:rPr>
                <w:rFonts w:cs="Arial"/>
                <w:color w:val="FF0000"/>
                <w:sz w:val="21"/>
                <w:szCs w:val="21"/>
              </w:rPr>
            </w:pPr>
          </w:p>
        </w:tc>
        <w:tc>
          <w:tcPr>
            <w:tcW w:w="217" w:type="dxa"/>
          </w:tcPr>
          <w:p w14:paraId="2E74F7CA" w14:textId="77777777" w:rsidR="002C0FD9" w:rsidRPr="00CA25CF" w:rsidRDefault="002C0FD9" w:rsidP="00CA25CF">
            <w:pPr>
              <w:rPr>
                <w:rFonts w:cs="Arial"/>
                <w:color w:val="FF0000"/>
                <w:sz w:val="21"/>
                <w:szCs w:val="21"/>
              </w:rPr>
            </w:pPr>
          </w:p>
        </w:tc>
        <w:tc>
          <w:tcPr>
            <w:tcW w:w="217" w:type="dxa"/>
          </w:tcPr>
          <w:p w14:paraId="5852D14E" w14:textId="77777777" w:rsidR="002C0FD9" w:rsidRPr="00CA25CF" w:rsidRDefault="002C0FD9" w:rsidP="00CA25CF">
            <w:pPr>
              <w:rPr>
                <w:rFonts w:cs="Arial"/>
                <w:color w:val="FF0000"/>
                <w:sz w:val="21"/>
                <w:szCs w:val="21"/>
              </w:rPr>
            </w:pPr>
          </w:p>
        </w:tc>
        <w:tc>
          <w:tcPr>
            <w:tcW w:w="217" w:type="dxa"/>
          </w:tcPr>
          <w:p w14:paraId="7C347DC4" w14:textId="77777777" w:rsidR="002C0FD9" w:rsidRPr="00CA25CF" w:rsidRDefault="002C0FD9" w:rsidP="00CA25CF">
            <w:pPr>
              <w:rPr>
                <w:rFonts w:cs="Arial"/>
                <w:color w:val="FF0000"/>
                <w:sz w:val="21"/>
                <w:szCs w:val="21"/>
              </w:rPr>
            </w:pPr>
          </w:p>
        </w:tc>
        <w:tc>
          <w:tcPr>
            <w:tcW w:w="217" w:type="dxa"/>
          </w:tcPr>
          <w:p w14:paraId="04C9BFA5" w14:textId="77777777" w:rsidR="002C0FD9" w:rsidRPr="00CA25CF" w:rsidRDefault="002C0FD9" w:rsidP="00CA25CF">
            <w:pPr>
              <w:rPr>
                <w:rFonts w:cs="Arial"/>
                <w:color w:val="FF0000"/>
                <w:sz w:val="21"/>
                <w:szCs w:val="21"/>
              </w:rPr>
            </w:pPr>
          </w:p>
        </w:tc>
        <w:tc>
          <w:tcPr>
            <w:tcW w:w="217" w:type="dxa"/>
          </w:tcPr>
          <w:p w14:paraId="4AC9BE95" w14:textId="77777777" w:rsidR="002C0FD9" w:rsidRPr="00CA25CF" w:rsidRDefault="002C0FD9" w:rsidP="00CA25CF">
            <w:pPr>
              <w:rPr>
                <w:rFonts w:cs="Arial"/>
                <w:color w:val="FF0000"/>
                <w:sz w:val="21"/>
                <w:szCs w:val="21"/>
              </w:rPr>
            </w:pPr>
          </w:p>
        </w:tc>
        <w:tc>
          <w:tcPr>
            <w:tcW w:w="217" w:type="dxa"/>
          </w:tcPr>
          <w:p w14:paraId="38A14953" w14:textId="77777777" w:rsidR="002C0FD9" w:rsidRPr="00CA25CF" w:rsidRDefault="002C0FD9" w:rsidP="00CA25CF">
            <w:pPr>
              <w:rPr>
                <w:rFonts w:cs="Arial"/>
                <w:color w:val="FF0000"/>
                <w:sz w:val="21"/>
                <w:szCs w:val="21"/>
              </w:rPr>
            </w:pPr>
          </w:p>
        </w:tc>
        <w:tc>
          <w:tcPr>
            <w:tcW w:w="217" w:type="dxa"/>
          </w:tcPr>
          <w:p w14:paraId="1E86BDE9" w14:textId="77777777" w:rsidR="002C0FD9" w:rsidRPr="00CA25CF" w:rsidRDefault="002C0FD9" w:rsidP="00CA25CF">
            <w:pPr>
              <w:rPr>
                <w:rFonts w:cs="Arial"/>
                <w:color w:val="FF0000"/>
                <w:sz w:val="21"/>
                <w:szCs w:val="21"/>
              </w:rPr>
            </w:pPr>
          </w:p>
        </w:tc>
        <w:tc>
          <w:tcPr>
            <w:tcW w:w="217" w:type="dxa"/>
          </w:tcPr>
          <w:p w14:paraId="3230556F" w14:textId="77777777" w:rsidR="002C0FD9" w:rsidRPr="00CA25CF" w:rsidRDefault="002C0FD9" w:rsidP="00CA25CF">
            <w:pPr>
              <w:rPr>
                <w:rFonts w:cs="Arial"/>
                <w:color w:val="FF0000"/>
                <w:sz w:val="21"/>
                <w:szCs w:val="21"/>
              </w:rPr>
            </w:pPr>
          </w:p>
        </w:tc>
        <w:tc>
          <w:tcPr>
            <w:tcW w:w="217" w:type="dxa"/>
          </w:tcPr>
          <w:p w14:paraId="034A493D" w14:textId="77777777" w:rsidR="002C0FD9" w:rsidRPr="00CA25CF" w:rsidRDefault="002C0FD9" w:rsidP="00CA25CF">
            <w:pPr>
              <w:rPr>
                <w:rFonts w:cs="Arial"/>
                <w:color w:val="FF0000"/>
                <w:sz w:val="21"/>
                <w:szCs w:val="21"/>
              </w:rPr>
            </w:pPr>
          </w:p>
        </w:tc>
        <w:tc>
          <w:tcPr>
            <w:tcW w:w="217" w:type="dxa"/>
          </w:tcPr>
          <w:p w14:paraId="53E84854" w14:textId="77777777" w:rsidR="002C0FD9" w:rsidRPr="00CA25CF" w:rsidRDefault="002C0FD9" w:rsidP="00CA25CF">
            <w:pPr>
              <w:rPr>
                <w:rFonts w:cs="Arial"/>
                <w:color w:val="FF0000"/>
                <w:sz w:val="21"/>
                <w:szCs w:val="21"/>
              </w:rPr>
            </w:pPr>
          </w:p>
        </w:tc>
      </w:tr>
      <w:tr w:rsidR="002C0FD9" w:rsidRPr="00A16219" w14:paraId="346494A7" w14:textId="77777777" w:rsidTr="002C0FD9">
        <w:trPr>
          <w:trHeight w:val="635"/>
        </w:trPr>
        <w:tc>
          <w:tcPr>
            <w:tcW w:w="515" w:type="dxa"/>
          </w:tcPr>
          <w:p w14:paraId="53BC9E7D" w14:textId="77777777" w:rsidR="002C0FD9" w:rsidRPr="00CA25CF" w:rsidRDefault="002C0FD9" w:rsidP="00CA25CF">
            <w:pPr>
              <w:rPr>
                <w:rFonts w:cs="Arial"/>
                <w:color w:val="FF0000"/>
                <w:sz w:val="21"/>
                <w:szCs w:val="21"/>
              </w:rPr>
            </w:pPr>
          </w:p>
        </w:tc>
        <w:tc>
          <w:tcPr>
            <w:tcW w:w="217" w:type="dxa"/>
          </w:tcPr>
          <w:p w14:paraId="0618F423" w14:textId="77777777" w:rsidR="002C0FD9" w:rsidRPr="00CA25CF" w:rsidRDefault="002C0FD9" w:rsidP="00CA25CF">
            <w:pPr>
              <w:rPr>
                <w:rFonts w:cs="Arial"/>
                <w:color w:val="FF0000"/>
                <w:sz w:val="21"/>
                <w:szCs w:val="21"/>
              </w:rPr>
            </w:pPr>
          </w:p>
        </w:tc>
        <w:tc>
          <w:tcPr>
            <w:tcW w:w="217" w:type="dxa"/>
          </w:tcPr>
          <w:p w14:paraId="065A8436" w14:textId="77777777" w:rsidR="002C0FD9" w:rsidRPr="00CA25CF" w:rsidRDefault="002C0FD9" w:rsidP="00CA25CF">
            <w:pPr>
              <w:rPr>
                <w:rFonts w:cs="Arial"/>
                <w:color w:val="FF0000"/>
                <w:sz w:val="21"/>
                <w:szCs w:val="21"/>
              </w:rPr>
            </w:pPr>
          </w:p>
        </w:tc>
        <w:tc>
          <w:tcPr>
            <w:tcW w:w="217" w:type="dxa"/>
          </w:tcPr>
          <w:p w14:paraId="598EC682" w14:textId="77777777" w:rsidR="002C0FD9" w:rsidRPr="00CA25CF" w:rsidRDefault="002C0FD9" w:rsidP="00CA25CF">
            <w:pPr>
              <w:rPr>
                <w:rFonts w:cs="Arial"/>
                <w:color w:val="FF0000"/>
                <w:sz w:val="21"/>
                <w:szCs w:val="21"/>
              </w:rPr>
            </w:pPr>
          </w:p>
        </w:tc>
        <w:tc>
          <w:tcPr>
            <w:tcW w:w="217" w:type="dxa"/>
          </w:tcPr>
          <w:p w14:paraId="55626096" w14:textId="77777777" w:rsidR="002C0FD9" w:rsidRPr="00CA25CF" w:rsidRDefault="002C0FD9" w:rsidP="00CA25CF">
            <w:pPr>
              <w:rPr>
                <w:rFonts w:cs="Arial"/>
                <w:color w:val="FF0000"/>
                <w:sz w:val="21"/>
                <w:szCs w:val="21"/>
              </w:rPr>
            </w:pPr>
          </w:p>
        </w:tc>
        <w:tc>
          <w:tcPr>
            <w:tcW w:w="217" w:type="dxa"/>
          </w:tcPr>
          <w:p w14:paraId="3A2041E5" w14:textId="77777777" w:rsidR="002C0FD9" w:rsidRPr="00CA25CF" w:rsidRDefault="002C0FD9" w:rsidP="00CA25CF">
            <w:pPr>
              <w:rPr>
                <w:rFonts w:cs="Arial"/>
                <w:color w:val="FF0000"/>
                <w:sz w:val="21"/>
                <w:szCs w:val="21"/>
              </w:rPr>
            </w:pPr>
          </w:p>
        </w:tc>
        <w:tc>
          <w:tcPr>
            <w:tcW w:w="217" w:type="dxa"/>
          </w:tcPr>
          <w:p w14:paraId="028CBB26" w14:textId="77777777" w:rsidR="002C0FD9" w:rsidRPr="00CA25CF" w:rsidRDefault="002C0FD9" w:rsidP="00CA25CF">
            <w:pPr>
              <w:rPr>
                <w:rFonts w:cs="Arial"/>
                <w:color w:val="FF0000"/>
                <w:sz w:val="21"/>
                <w:szCs w:val="21"/>
              </w:rPr>
            </w:pPr>
          </w:p>
        </w:tc>
        <w:tc>
          <w:tcPr>
            <w:tcW w:w="217" w:type="dxa"/>
          </w:tcPr>
          <w:p w14:paraId="6BF442D2" w14:textId="77777777" w:rsidR="002C0FD9" w:rsidRPr="00CA25CF" w:rsidRDefault="002C0FD9" w:rsidP="00CA25CF">
            <w:pPr>
              <w:rPr>
                <w:rFonts w:cs="Arial"/>
                <w:color w:val="FF0000"/>
                <w:sz w:val="21"/>
                <w:szCs w:val="21"/>
              </w:rPr>
            </w:pPr>
          </w:p>
        </w:tc>
        <w:tc>
          <w:tcPr>
            <w:tcW w:w="217" w:type="dxa"/>
          </w:tcPr>
          <w:p w14:paraId="14B45DF7" w14:textId="77777777" w:rsidR="002C0FD9" w:rsidRPr="00CA25CF" w:rsidRDefault="002C0FD9" w:rsidP="00CA25CF">
            <w:pPr>
              <w:rPr>
                <w:rFonts w:cs="Arial"/>
                <w:color w:val="FF0000"/>
                <w:sz w:val="21"/>
                <w:szCs w:val="21"/>
              </w:rPr>
            </w:pPr>
          </w:p>
        </w:tc>
        <w:tc>
          <w:tcPr>
            <w:tcW w:w="217" w:type="dxa"/>
          </w:tcPr>
          <w:p w14:paraId="668597E2" w14:textId="77777777" w:rsidR="002C0FD9" w:rsidRPr="00CA25CF" w:rsidRDefault="002C0FD9" w:rsidP="00CA25CF">
            <w:pPr>
              <w:rPr>
                <w:rFonts w:cs="Arial"/>
                <w:color w:val="FF0000"/>
                <w:sz w:val="21"/>
                <w:szCs w:val="21"/>
              </w:rPr>
            </w:pPr>
          </w:p>
        </w:tc>
        <w:tc>
          <w:tcPr>
            <w:tcW w:w="217" w:type="dxa"/>
          </w:tcPr>
          <w:p w14:paraId="2E209A0F" w14:textId="77777777" w:rsidR="002C0FD9" w:rsidRPr="00CA25CF" w:rsidRDefault="002C0FD9" w:rsidP="00CA25CF">
            <w:pPr>
              <w:rPr>
                <w:rFonts w:cs="Arial"/>
                <w:color w:val="FF0000"/>
                <w:sz w:val="21"/>
                <w:szCs w:val="21"/>
              </w:rPr>
            </w:pPr>
          </w:p>
        </w:tc>
        <w:tc>
          <w:tcPr>
            <w:tcW w:w="217" w:type="dxa"/>
          </w:tcPr>
          <w:p w14:paraId="33C30CF0" w14:textId="77777777" w:rsidR="002C0FD9" w:rsidRPr="00CA25CF" w:rsidRDefault="002C0FD9" w:rsidP="00CA25CF">
            <w:pPr>
              <w:rPr>
                <w:rFonts w:cs="Arial"/>
                <w:color w:val="FF0000"/>
                <w:sz w:val="21"/>
                <w:szCs w:val="21"/>
              </w:rPr>
            </w:pPr>
          </w:p>
        </w:tc>
        <w:tc>
          <w:tcPr>
            <w:tcW w:w="217" w:type="dxa"/>
          </w:tcPr>
          <w:p w14:paraId="5CD424B5" w14:textId="77777777" w:rsidR="002C0FD9" w:rsidRPr="00CA25CF" w:rsidRDefault="002C0FD9" w:rsidP="00CA25CF">
            <w:pPr>
              <w:rPr>
                <w:rFonts w:cs="Arial"/>
                <w:color w:val="FF0000"/>
                <w:sz w:val="21"/>
                <w:szCs w:val="21"/>
              </w:rPr>
            </w:pPr>
          </w:p>
        </w:tc>
        <w:tc>
          <w:tcPr>
            <w:tcW w:w="217" w:type="dxa"/>
          </w:tcPr>
          <w:p w14:paraId="51912592" w14:textId="77777777" w:rsidR="002C0FD9" w:rsidRPr="00CA25CF" w:rsidRDefault="002C0FD9" w:rsidP="00CA25CF">
            <w:pPr>
              <w:rPr>
                <w:rFonts w:cs="Arial"/>
                <w:color w:val="FF0000"/>
                <w:sz w:val="21"/>
                <w:szCs w:val="21"/>
              </w:rPr>
            </w:pPr>
          </w:p>
        </w:tc>
        <w:tc>
          <w:tcPr>
            <w:tcW w:w="217" w:type="dxa"/>
          </w:tcPr>
          <w:p w14:paraId="485B2882" w14:textId="77777777" w:rsidR="002C0FD9" w:rsidRPr="00CA25CF" w:rsidRDefault="002C0FD9" w:rsidP="00CA25CF">
            <w:pPr>
              <w:rPr>
                <w:rFonts w:cs="Arial"/>
                <w:color w:val="FF0000"/>
                <w:sz w:val="21"/>
                <w:szCs w:val="21"/>
              </w:rPr>
            </w:pPr>
          </w:p>
        </w:tc>
        <w:tc>
          <w:tcPr>
            <w:tcW w:w="217" w:type="dxa"/>
          </w:tcPr>
          <w:p w14:paraId="6C2DCE3A" w14:textId="77777777" w:rsidR="002C0FD9" w:rsidRPr="00CA25CF" w:rsidRDefault="002C0FD9" w:rsidP="00CA25CF">
            <w:pPr>
              <w:rPr>
                <w:rFonts w:cs="Arial"/>
                <w:color w:val="FF0000"/>
                <w:sz w:val="21"/>
                <w:szCs w:val="21"/>
              </w:rPr>
            </w:pPr>
          </w:p>
        </w:tc>
        <w:tc>
          <w:tcPr>
            <w:tcW w:w="217" w:type="dxa"/>
          </w:tcPr>
          <w:p w14:paraId="344D8075" w14:textId="77777777" w:rsidR="002C0FD9" w:rsidRPr="00CA25CF" w:rsidRDefault="002C0FD9" w:rsidP="00CA25CF">
            <w:pPr>
              <w:rPr>
                <w:rFonts w:cs="Arial"/>
                <w:color w:val="FF0000"/>
                <w:sz w:val="21"/>
                <w:szCs w:val="21"/>
              </w:rPr>
            </w:pPr>
          </w:p>
        </w:tc>
        <w:tc>
          <w:tcPr>
            <w:tcW w:w="217" w:type="dxa"/>
          </w:tcPr>
          <w:p w14:paraId="1C45C5DF" w14:textId="77777777" w:rsidR="002C0FD9" w:rsidRPr="00CA25CF" w:rsidRDefault="002C0FD9" w:rsidP="00CA25CF">
            <w:pPr>
              <w:rPr>
                <w:rFonts w:cs="Arial"/>
                <w:color w:val="FF0000"/>
                <w:sz w:val="21"/>
                <w:szCs w:val="21"/>
              </w:rPr>
            </w:pPr>
          </w:p>
        </w:tc>
        <w:tc>
          <w:tcPr>
            <w:tcW w:w="217" w:type="dxa"/>
          </w:tcPr>
          <w:p w14:paraId="3BC4CCC9" w14:textId="77777777" w:rsidR="002C0FD9" w:rsidRPr="00CA25CF" w:rsidRDefault="002C0FD9" w:rsidP="00CA25CF">
            <w:pPr>
              <w:rPr>
                <w:rFonts w:cs="Arial"/>
                <w:color w:val="FF0000"/>
                <w:sz w:val="21"/>
                <w:szCs w:val="21"/>
              </w:rPr>
            </w:pPr>
          </w:p>
        </w:tc>
        <w:tc>
          <w:tcPr>
            <w:tcW w:w="217" w:type="dxa"/>
          </w:tcPr>
          <w:p w14:paraId="07F10D85" w14:textId="77777777" w:rsidR="002C0FD9" w:rsidRPr="00CA25CF" w:rsidRDefault="002C0FD9" w:rsidP="00CA25CF">
            <w:pPr>
              <w:rPr>
                <w:rFonts w:cs="Arial"/>
                <w:color w:val="FF0000"/>
                <w:sz w:val="21"/>
                <w:szCs w:val="21"/>
              </w:rPr>
            </w:pPr>
          </w:p>
        </w:tc>
        <w:tc>
          <w:tcPr>
            <w:tcW w:w="217" w:type="dxa"/>
          </w:tcPr>
          <w:p w14:paraId="45A05A45" w14:textId="77777777" w:rsidR="002C0FD9" w:rsidRPr="00CA25CF" w:rsidRDefault="002C0FD9" w:rsidP="00CA25CF">
            <w:pPr>
              <w:rPr>
                <w:rFonts w:cs="Arial"/>
                <w:color w:val="FF0000"/>
                <w:sz w:val="21"/>
                <w:szCs w:val="21"/>
              </w:rPr>
            </w:pPr>
          </w:p>
        </w:tc>
        <w:tc>
          <w:tcPr>
            <w:tcW w:w="217" w:type="dxa"/>
          </w:tcPr>
          <w:p w14:paraId="33B3D053" w14:textId="77777777" w:rsidR="002C0FD9" w:rsidRPr="00CA25CF" w:rsidRDefault="002C0FD9" w:rsidP="00CA25CF">
            <w:pPr>
              <w:rPr>
                <w:rFonts w:cs="Arial"/>
                <w:color w:val="FF0000"/>
                <w:sz w:val="21"/>
                <w:szCs w:val="21"/>
              </w:rPr>
            </w:pPr>
          </w:p>
        </w:tc>
        <w:tc>
          <w:tcPr>
            <w:tcW w:w="217" w:type="dxa"/>
          </w:tcPr>
          <w:p w14:paraId="144BD007" w14:textId="77777777" w:rsidR="002C0FD9" w:rsidRPr="00CA25CF" w:rsidRDefault="002C0FD9" w:rsidP="00CA25CF">
            <w:pPr>
              <w:rPr>
                <w:rFonts w:cs="Arial"/>
                <w:color w:val="FF0000"/>
                <w:sz w:val="21"/>
                <w:szCs w:val="21"/>
              </w:rPr>
            </w:pPr>
          </w:p>
        </w:tc>
        <w:tc>
          <w:tcPr>
            <w:tcW w:w="217" w:type="dxa"/>
          </w:tcPr>
          <w:p w14:paraId="3B786825" w14:textId="77777777" w:rsidR="002C0FD9" w:rsidRPr="00CA25CF" w:rsidRDefault="002C0FD9" w:rsidP="00CA25CF">
            <w:pPr>
              <w:rPr>
                <w:rFonts w:cs="Arial"/>
                <w:color w:val="FF0000"/>
                <w:sz w:val="21"/>
                <w:szCs w:val="21"/>
              </w:rPr>
            </w:pPr>
          </w:p>
        </w:tc>
        <w:tc>
          <w:tcPr>
            <w:tcW w:w="217" w:type="dxa"/>
          </w:tcPr>
          <w:p w14:paraId="154037D9" w14:textId="77777777" w:rsidR="002C0FD9" w:rsidRPr="00CA25CF" w:rsidRDefault="002C0FD9" w:rsidP="00CA25CF">
            <w:pPr>
              <w:rPr>
                <w:rFonts w:cs="Arial"/>
                <w:color w:val="FF0000"/>
                <w:sz w:val="21"/>
                <w:szCs w:val="21"/>
              </w:rPr>
            </w:pPr>
          </w:p>
        </w:tc>
        <w:tc>
          <w:tcPr>
            <w:tcW w:w="217" w:type="dxa"/>
          </w:tcPr>
          <w:p w14:paraId="5BAB4297" w14:textId="77777777" w:rsidR="002C0FD9" w:rsidRPr="00CA25CF" w:rsidRDefault="002C0FD9" w:rsidP="00CA25CF">
            <w:pPr>
              <w:rPr>
                <w:rFonts w:cs="Arial"/>
                <w:color w:val="FF0000"/>
                <w:sz w:val="21"/>
                <w:szCs w:val="21"/>
              </w:rPr>
            </w:pPr>
          </w:p>
        </w:tc>
        <w:tc>
          <w:tcPr>
            <w:tcW w:w="217" w:type="dxa"/>
          </w:tcPr>
          <w:p w14:paraId="542694FD" w14:textId="77777777" w:rsidR="002C0FD9" w:rsidRPr="00CA25CF" w:rsidRDefault="002C0FD9" w:rsidP="00CA25CF">
            <w:pPr>
              <w:rPr>
                <w:rFonts w:cs="Arial"/>
                <w:color w:val="FF0000"/>
                <w:sz w:val="21"/>
                <w:szCs w:val="21"/>
              </w:rPr>
            </w:pPr>
          </w:p>
        </w:tc>
        <w:tc>
          <w:tcPr>
            <w:tcW w:w="217" w:type="dxa"/>
          </w:tcPr>
          <w:p w14:paraId="672E8A98" w14:textId="77777777" w:rsidR="002C0FD9" w:rsidRPr="00CA25CF" w:rsidRDefault="002C0FD9" w:rsidP="00CA25CF">
            <w:pPr>
              <w:rPr>
                <w:rFonts w:cs="Arial"/>
                <w:color w:val="FF0000"/>
                <w:sz w:val="21"/>
                <w:szCs w:val="21"/>
              </w:rPr>
            </w:pPr>
          </w:p>
        </w:tc>
        <w:tc>
          <w:tcPr>
            <w:tcW w:w="217" w:type="dxa"/>
          </w:tcPr>
          <w:p w14:paraId="7F87DD81" w14:textId="77777777" w:rsidR="002C0FD9" w:rsidRPr="00CA25CF" w:rsidRDefault="002C0FD9" w:rsidP="00CA25CF">
            <w:pPr>
              <w:rPr>
                <w:rFonts w:cs="Arial"/>
                <w:color w:val="FF0000"/>
                <w:sz w:val="21"/>
                <w:szCs w:val="21"/>
              </w:rPr>
            </w:pPr>
          </w:p>
        </w:tc>
        <w:tc>
          <w:tcPr>
            <w:tcW w:w="217" w:type="dxa"/>
          </w:tcPr>
          <w:p w14:paraId="1A499A79" w14:textId="77777777" w:rsidR="002C0FD9" w:rsidRPr="00CA25CF" w:rsidRDefault="002C0FD9" w:rsidP="00CA25CF">
            <w:pPr>
              <w:rPr>
                <w:rFonts w:cs="Arial"/>
                <w:color w:val="FF0000"/>
                <w:sz w:val="21"/>
                <w:szCs w:val="21"/>
              </w:rPr>
            </w:pPr>
          </w:p>
        </w:tc>
        <w:tc>
          <w:tcPr>
            <w:tcW w:w="217" w:type="dxa"/>
          </w:tcPr>
          <w:p w14:paraId="14B7CA22" w14:textId="77777777" w:rsidR="002C0FD9" w:rsidRPr="00CA25CF" w:rsidRDefault="002C0FD9" w:rsidP="00CA25CF">
            <w:pPr>
              <w:rPr>
                <w:rFonts w:cs="Arial"/>
                <w:color w:val="FF0000"/>
                <w:sz w:val="21"/>
                <w:szCs w:val="21"/>
              </w:rPr>
            </w:pPr>
          </w:p>
        </w:tc>
        <w:tc>
          <w:tcPr>
            <w:tcW w:w="217" w:type="dxa"/>
          </w:tcPr>
          <w:p w14:paraId="69D23A57" w14:textId="77777777" w:rsidR="002C0FD9" w:rsidRPr="00CA25CF" w:rsidRDefault="002C0FD9" w:rsidP="00CA25CF">
            <w:pPr>
              <w:rPr>
                <w:rFonts w:cs="Arial"/>
                <w:color w:val="FF0000"/>
                <w:sz w:val="21"/>
                <w:szCs w:val="21"/>
              </w:rPr>
            </w:pPr>
          </w:p>
        </w:tc>
        <w:tc>
          <w:tcPr>
            <w:tcW w:w="217" w:type="dxa"/>
          </w:tcPr>
          <w:p w14:paraId="4114FA17" w14:textId="77777777" w:rsidR="002C0FD9" w:rsidRPr="00CA25CF" w:rsidRDefault="002C0FD9" w:rsidP="00CA25CF">
            <w:pPr>
              <w:rPr>
                <w:rFonts w:cs="Arial"/>
                <w:color w:val="FF0000"/>
                <w:sz w:val="21"/>
                <w:szCs w:val="21"/>
              </w:rPr>
            </w:pPr>
          </w:p>
        </w:tc>
        <w:tc>
          <w:tcPr>
            <w:tcW w:w="217" w:type="dxa"/>
          </w:tcPr>
          <w:p w14:paraId="5CCB2011" w14:textId="77777777" w:rsidR="002C0FD9" w:rsidRPr="00CA25CF" w:rsidRDefault="002C0FD9" w:rsidP="00CA25CF">
            <w:pPr>
              <w:rPr>
                <w:rFonts w:cs="Arial"/>
                <w:color w:val="FF0000"/>
                <w:sz w:val="21"/>
                <w:szCs w:val="21"/>
              </w:rPr>
            </w:pPr>
          </w:p>
        </w:tc>
        <w:tc>
          <w:tcPr>
            <w:tcW w:w="217" w:type="dxa"/>
          </w:tcPr>
          <w:p w14:paraId="779A129A" w14:textId="77777777" w:rsidR="002C0FD9" w:rsidRPr="00CA25CF" w:rsidRDefault="002C0FD9" w:rsidP="00CA25CF">
            <w:pPr>
              <w:rPr>
                <w:rFonts w:cs="Arial"/>
                <w:color w:val="FF0000"/>
                <w:sz w:val="21"/>
                <w:szCs w:val="21"/>
              </w:rPr>
            </w:pPr>
          </w:p>
        </w:tc>
        <w:tc>
          <w:tcPr>
            <w:tcW w:w="217" w:type="dxa"/>
          </w:tcPr>
          <w:p w14:paraId="6CC88365" w14:textId="77777777" w:rsidR="002C0FD9" w:rsidRPr="00CA25CF" w:rsidRDefault="002C0FD9" w:rsidP="00CA25CF">
            <w:pPr>
              <w:rPr>
                <w:rFonts w:cs="Arial"/>
                <w:color w:val="FF0000"/>
                <w:sz w:val="21"/>
                <w:szCs w:val="21"/>
              </w:rPr>
            </w:pPr>
          </w:p>
        </w:tc>
        <w:tc>
          <w:tcPr>
            <w:tcW w:w="217" w:type="dxa"/>
          </w:tcPr>
          <w:p w14:paraId="6365B7A5" w14:textId="77777777" w:rsidR="002C0FD9" w:rsidRPr="00CA25CF" w:rsidRDefault="002C0FD9" w:rsidP="00CA25CF">
            <w:pPr>
              <w:rPr>
                <w:rFonts w:cs="Arial"/>
                <w:color w:val="FF0000"/>
                <w:sz w:val="21"/>
                <w:szCs w:val="21"/>
              </w:rPr>
            </w:pPr>
          </w:p>
        </w:tc>
        <w:tc>
          <w:tcPr>
            <w:tcW w:w="217" w:type="dxa"/>
          </w:tcPr>
          <w:p w14:paraId="50431BD1" w14:textId="77777777" w:rsidR="002C0FD9" w:rsidRPr="00CA25CF" w:rsidRDefault="002C0FD9" w:rsidP="00CA25CF">
            <w:pPr>
              <w:rPr>
                <w:rFonts w:cs="Arial"/>
                <w:color w:val="FF0000"/>
                <w:sz w:val="21"/>
                <w:szCs w:val="21"/>
              </w:rPr>
            </w:pPr>
          </w:p>
        </w:tc>
        <w:tc>
          <w:tcPr>
            <w:tcW w:w="217" w:type="dxa"/>
          </w:tcPr>
          <w:p w14:paraId="398F09D3" w14:textId="77777777" w:rsidR="002C0FD9" w:rsidRPr="00CA25CF" w:rsidRDefault="002C0FD9" w:rsidP="00CA25CF">
            <w:pPr>
              <w:rPr>
                <w:rFonts w:cs="Arial"/>
                <w:color w:val="FF0000"/>
                <w:sz w:val="21"/>
                <w:szCs w:val="21"/>
              </w:rPr>
            </w:pPr>
          </w:p>
        </w:tc>
        <w:tc>
          <w:tcPr>
            <w:tcW w:w="217" w:type="dxa"/>
          </w:tcPr>
          <w:p w14:paraId="3F78C8E1" w14:textId="77777777" w:rsidR="002C0FD9" w:rsidRPr="00CA25CF" w:rsidRDefault="002C0FD9" w:rsidP="00CA25CF">
            <w:pPr>
              <w:rPr>
                <w:rFonts w:cs="Arial"/>
                <w:color w:val="FF0000"/>
                <w:sz w:val="21"/>
                <w:szCs w:val="21"/>
              </w:rPr>
            </w:pPr>
          </w:p>
        </w:tc>
        <w:tc>
          <w:tcPr>
            <w:tcW w:w="217" w:type="dxa"/>
          </w:tcPr>
          <w:p w14:paraId="17BF48CA" w14:textId="77777777" w:rsidR="002C0FD9" w:rsidRPr="00CA25CF" w:rsidRDefault="002C0FD9" w:rsidP="00CA25CF">
            <w:pPr>
              <w:rPr>
                <w:rFonts w:cs="Arial"/>
                <w:color w:val="FF0000"/>
                <w:sz w:val="21"/>
                <w:szCs w:val="21"/>
              </w:rPr>
            </w:pPr>
          </w:p>
        </w:tc>
        <w:tc>
          <w:tcPr>
            <w:tcW w:w="217" w:type="dxa"/>
          </w:tcPr>
          <w:p w14:paraId="20583A30" w14:textId="77777777" w:rsidR="002C0FD9" w:rsidRPr="00CA25CF" w:rsidRDefault="002C0FD9" w:rsidP="00CA25CF">
            <w:pPr>
              <w:rPr>
                <w:rFonts w:cs="Arial"/>
                <w:color w:val="FF0000"/>
                <w:sz w:val="21"/>
                <w:szCs w:val="21"/>
              </w:rPr>
            </w:pPr>
          </w:p>
        </w:tc>
        <w:tc>
          <w:tcPr>
            <w:tcW w:w="217" w:type="dxa"/>
          </w:tcPr>
          <w:p w14:paraId="73BCFDE1" w14:textId="77777777" w:rsidR="002C0FD9" w:rsidRPr="00CA25CF" w:rsidRDefault="002C0FD9" w:rsidP="00CA25CF">
            <w:pPr>
              <w:rPr>
                <w:rFonts w:cs="Arial"/>
                <w:color w:val="FF0000"/>
                <w:sz w:val="21"/>
                <w:szCs w:val="21"/>
              </w:rPr>
            </w:pPr>
          </w:p>
        </w:tc>
      </w:tr>
      <w:tr w:rsidR="002C0FD9" w:rsidRPr="00A16219" w14:paraId="2639FE74" w14:textId="77777777" w:rsidTr="002C0FD9">
        <w:trPr>
          <w:trHeight w:val="635"/>
        </w:trPr>
        <w:tc>
          <w:tcPr>
            <w:tcW w:w="515" w:type="dxa"/>
          </w:tcPr>
          <w:p w14:paraId="11A7A483" w14:textId="77777777" w:rsidR="002C0FD9" w:rsidRPr="00CA25CF" w:rsidRDefault="002C0FD9" w:rsidP="00CA25CF">
            <w:pPr>
              <w:rPr>
                <w:rFonts w:cs="Arial"/>
                <w:color w:val="FF0000"/>
                <w:sz w:val="21"/>
                <w:szCs w:val="21"/>
              </w:rPr>
            </w:pPr>
          </w:p>
        </w:tc>
        <w:tc>
          <w:tcPr>
            <w:tcW w:w="217" w:type="dxa"/>
          </w:tcPr>
          <w:p w14:paraId="675EE0E5" w14:textId="77777777" w:rsidR="002C0FD9" w:rsidRPr="00CA25CF" w:rsidRDefault="002C0FD9" w:rsidP="00CA25CF">
            <w:pPr>
              <w:rPr>
                <w:rFonts w:cs="Arial"/>
                <w:color w:val="FF0000"/>
                <w:sz w:val="21"/>
                <w:szCs w:val="21"/>
              </w:rPr>
            </w:pPr>
          </w:p>
        </w:tc>
        <w:tc>
          <w:tcPr>
            <w:tcW w:w="217" w:type="dxa"/>
          </w:tcPr>
          <w:p w14:paraId="3DE6B0F2" w14:textId="77777777" w:rsidR="002C0FD9" w:rsidRPr="00CA25CF" w:rsidRDefault="002C0FD9" w:rsidP="00CA25CF">
            <w:pPr>
              <w:rPr>
                <w:rFonts w:cs="Arial"/>
                <w:color w:val="FF0000"/>
                <w:sz w:val="21"/>
                <w:szCs w:val="21"/>
              </w:rPr>
            </w:pPr>
          </w:p>
        </w:tc>
        <w:tc>
          <w:tcPr>
            <w:tcW w:w="217" w:type="dxa"/>
          </w:tcPr>
          <w:p w14:paraId="561F0223" w14:textId="77777777" w:rsidR="002C0FD9" w:rsidRPr="00CA25CF" w:rsidRDefault="002C0FD9" w:rsidP="00CA25CF">
            <w:pPr>
              <w:rPr>
                <w:rFonts w:cs="Arial"/>
                <w:color w:val="FF0000"/>
                <w:sz w:val="21"/>
                <w:szCs w:val="21"/>
              </w:rPr>
            </w:pPr>
          </w:p>
        </w:tc>
        <w:tc>
          <w:tcPr>
            <w:tcW w:w="217" w:type="dxa"/>
          </w:tcPr>
          <w:p w14:paraId="7EA1EAD4" w14:textId="77777777" w:rsidR="002C0FD9" w:rsidRPr="00CA25CF" w:rsidRDefault="002C0FD9" w:rsidP="00CA25CF">
            <w:pPr>
              <w:rPr>
                <w:rFonts w:cs="Arial"/>
                <w:color w:val="FF0000"/>
                <w:sz w:val="21"/>
                <w:szCs w:val="21"/>
              </w:rPr>
            </w:pPr>
          </w:p>
        </w:tc>
        <w:tc>
          <w:tcPr>
            <w:tcW w:w="217" w:type="dxa"/>
          </w:tcPr>
          <w:p w14:paraId="24BAB95C" w14:textId="77777777" w:rsidR="002C0FD9" w:rsidRPr="00CA25CF" w:rsidRDefault="002C0FD9" w:rsidP="00CA25CF">
            <w:pPr>
              <w:rPr>
                <w:rFonts w:cs="Arial"/>
                <w:color w:val="FF0000"/>
                <w:sz w:val="21"/>
                <w:szCs w:val="21"/>
              </w:rPr>
            </w:pPr>
          </w:p>
        </w:tc>
        <w:tc>
          <w:tcPr>
            <w:tcW w:w="217" w:type="dxa"/>
          </w:tcPr>
          <w:p w14:paraId="2A65B8F1" w14:textId="77777777" w:rsidR="002C0FD9" w:rsidRPr="00CA25CF" w:rsidRDefault="002C0FD9" w:rsidP="00CA25CF">
            <w:pPr>
              <w:rPr>
                <w:rFonts w:cs="Arial"/>
                <w:color w:val="FF0000"/>
                <w:sz w:val="21"/>
                <w:szCs w:val="21"/>
              </w:rPr>
            </w:pPr>
          </w:p>
        </w:tc>
        <w:tc>
          <w:tcPr>
            <w:tcW w:w="217" w:type="dxa"/>
          </w:tcPr>
          <w:p w14:paraId="1B74CA13" w14:textId="77777777" w:rsidR="002C0FD9" w:rsidRPr="00CA25CF" w:rsidRDefault="002C0FD9" w:rsidP="00CA25CF">
            <w:pPr>
              <w:rPr>
                <w:rFonts w:cs="Arial"/>
                <w:color w:val="FF0000"/>
                <w:sz w:val="21"/>
                <w:szCs w:val="21"/>
              </w:rPr>
            </w:pPr>
          </w:p>
        </w:tc>
        <w:tc>
          <w:tcPr>
            <w:tcW w:w="217" w:type="dxa"/>
          </w:tcPr>
          <w:p w14:paraId="6A78EA2E" w14:textId="77777777" w:rsidR="002C0FD9" w:rsidRPr="00CA25CF" w:rsidRDefault="002C0FD9" w:rsidP="00CA25CF">
            <w:pPr>
              <w:rPr>
                <w:rFonts w:cs="Arial"/>
                <w:color w:val="FF0000"/>
                <w:sz w:val="21"/>
                <w:szCs w:val="21"/>
              </w:rPr>
            </w:pPr>
          </w:p>
        </w:tc>
        <w:tc>
          <w:tcPr>
            <w:tcW w:w="217" w:type="dxa"/>
          </w:tcPr>
          <w:p w14:paraId="3BBCD827" w14:textId="77777777" w:rsidR="002C0FD9" w:rsidRPr="00CA25CF" w:rsidRDefault="002C0FD9" w:rsidP="00CA25CF">
            <w:pPr>
              <w:rPr>
                <w:rFonts w:cs="Arial"/>
                <w:color w:val="FF0000"/>
                <w:sz w:val="21"/>
                <w:szCs w:val="21"/>
              </w:rPr>
            </w:pPr>
          </w:p>
        </w:tc>
        <w:tc>
          <w:tcPr>
            <w:tcW w:w="217" w:type="dxa"/>
          </w:tcPr>
          <w:p w14:paraId="56BD2A28" w14:textId="77777777" w:rsidR="002C0FD9" w:rsidRPr="00CA25CF" w:rsidRDefault="002C0FD9" w:rsidP="00CA25CF">
            <w:pPr>
              <w:rPr>
                <w:rFonts w:cs="Arial"/>
                <w:color w:val="FF0000"/>
                <w:sz w:val="21"/>
                <w:szCs w:val="21"/>
              </w:rPr>
            </w:pPr>
          </w:p>
        </w:tc>
        <w:tc>
          <w:tcPr>
            <w:tcW w:w="217" w:type="dxa"/>
          </w:tcPr>
          <w:p w14:paraId="32072024" w14:textId="77777777" w:rsidR="002C0FD9" w:rsidRPr="00CA25CF" w:rsidRDefault="002C0FD9" w:rsidP="00CA25CF">
            <w:pPr>
              <w:rPr>
                <w:rFonts w:cs="Arial"/>
                <w:color w:val="FF0000"/>
                <w:sz w:val="21"/>
                <w:szCs w:val="21"/>
              </w:rPr>
            </w:pPr>
          </w:p>
        </w:tc>
        <w:tc>
          <w:tcPr>
            <w:tcW w:w="217" w:type="dxa"/>
          </w:tcPr>
          <w:p w14:paraId="5668D639" w14:textId="77777777" w:rsidR="002C0FD9" w:rsidRPr="00CA25CF" w:rsidRDefault="002C0FD9" w:rsidP="00CA25CF">
            <w:pPr>
              <w:rPr>
                <w:rFonts w:cs="Arial"/>
                <w:color w:val="FF0000"/>
                <w:sz w:val="21"/>
                <w:szCs w:val="21"/>
              </w:rPr>
            </w:pPr>
          </w:p>
        </w:tc>
        <w:tc>
          <w:tcPr>
            <w:tcW w:w="217" w:type="dxa"/>
          </w:tcPr>
          <w:p w14:paraId="0EEF3E0C" w14:textId="77777777" w:rsidR="002C0FD9" w:rsidRPr="00CA25CF" w:rsidRDefault="002C0FD9" w:rsidP="00CA25CF">
            <w:pPr>
              <w:rPr>
                <w:rFonts w:cs="Arial"/>
                <w:color w:val="FF0000"/>
                <w:sz w:val="21"/>
                <w:szCs w:val="21"/>
              </w:rPr>
            </w:pPr>
          </w:p>
        </w:tc>
        <w:tc>
          <w:tcPr>
            <w:tcW w:w="217" w:type="dxa"/>
          </w:tcPr>
          <w:p w14:paraId="0B2C1712" w14:textId="77777777" w:rsidR="002C0FD9" w:rsidRPr="00CA25CF" w:rsidRDefault="002C0FD9" w:rsidP="00CA25CF">
            <w:pPr>
              <w:rPr>
                <w:rFonts w:cs="Arial"/>
                <w:color w:val="FF0000"/>
                <w:sz w:val="21"/>
                <w:szCs w:val="21"/>
              </w:rPr>
            </w:pPr>
          </w:p>
        </w:tc>
        <w:tc>
          <w:tcPr>
            <w:tcW w:w="217" w:type="dxa"/>
          </w:tcPr>
          <w:p w14:paraId="357DD6AC" w14:textId="77777777" w:rsidR="002C0FD9" w:rsidRPr="00CA25CF" w:rsidRDefault="002C0FD9" w:rsidP="00CA25CF">
            <w:pPr>
              <w:rPr>
                <w:rFonts w:cs="Arial"/>
                <w:color w:val="FF0000"/>
                <w:sz w:val="21"/>
                <w:szCs w:val="21"/>
              </w:rPr>
            </w:pPr>
          </w:p>
        </w:tc>
        <w:tc>
          <w:tcPr>
            <w:tcW w:w="217" w:type="dxa"/>
          </w:tcPr>
          <w:p w14:paraId="37A142C0" w14:textId="77777777" w:rsidR="002C0FD9" w:rsidRPr="00CA25CF" w:rsidRDefault="002C0FD9" w:rsidP="00CA25CF">
            <w:pPr>
              <w:rPr>
                <w:rFonts w:cs="Arial"/>
                <w:color w:val="FF0000"/>
                <w:sz w:val="21"/>
                <w:szCs w:val="21"/>
              </w:rPr>
            </w:pPr>
          </w:p>
        </w:tc>
        <w:tc>
          <w:tcPr>
            <w:tcW w:w="217" w:type="dxa"/>
          </w:tcPr>
          <w:p w14:paraId="408A976B" w14:textId="77777777" w:rsidR="002C0FD9" w:rsidRPr="00CA25CF" w:rsidRDefault="002C0FD9" w:rsidP="00CA25CF">
            <w:pPr>
              <w:rPr>
                <w:rFonts w:cs="Arial"/>
                <w:color w:val="FF0000"/>
                <w:sz w:val="21"/>
                <w:szCs w:val="21"/>
              </w:rPr>
            </w:pPr>
          </w:p>
        </w:tc>
        <w:tc>
          <w:tcPr>
            <w:tcW w:w="217" w:type="dxa"/>
          </w:tcPr>
          <w:p w14:paraId="1FDFAB48" w14:textId="77777777" w:rsidR="002C0FD9" w:rsidRPr="00CA25CF" w:rsidRDefault="002C0FD9" w:rsidP="00CA25CF">
            <w:pPr>
              <w:rPr>
                <w:rFonts w:cs="Arial"/>
                <w:color w:val="FF0000"/>
                <w:sz w:val="21"/>
                <w:szCs w:val="21"/>
              </w:rPr>
            </w:pPr>
          </w:p>
        </w:tc>
        <w:tc>
          <w:tcPr>
            <w:tcW w:w="217" w:type="dxa"/>
          </w:tcPr>
          <w:p w14:paraId="62BAA09A" w14:textId="77777777" w:rsidR="002C0FD9" w:rsidRPr="00CA25CF" w:rsidRDefault="002C0FD9" w:rsidP="00CA25CF">
            <w:pPr>
              <w:rPr>
                <w:rFonts w:cs="Arial"/>
                <w:color w:val="FF0000"/>
                <w:sz w:val="21"/>
                <w:szCs w:val="21"/>
              </w:rPr>
            </w:pPr>
          </w:p>
        </w:tc>
        <w:tc>
          <w:tcPr>
            <w:tcW w:w="217" w:type="dxa"/>
          </w:tcPr>
          <w:p w14:paraId="2CB01DAC" w14:textId="77777777" w:rsidR="002C0FD9" w:rsidRPr="00CA25CF" w:rsidRDefault="002C0FD9" w:rsidP="00CA25CF">
            <w:pPr>
              <w:rPr>
                <w:rFonts w:cs="Arial"/>
                <w:color w:val="FF0000"/>
                <w:sz w:val="21"/>
                <w:szCs w:val="21"/>
              </w:rPr>
            </w:pPr>
          </w:p>
        </w:tc>
        <w:tc>
          <w:tcPr>
            <w:tcW w:w="217" w:type="dxa"/>
          </w:tcPr>
          <w:p w14:paraId="7B6F0E45" w14:textId="77777777" w:rsidR="002C0FD9" w:rsidRPr="00CA25CF" w:rsidRDefault="002C0FD9" w:rsidP="00CA25CF">
            <w:pPr>
              <w:rPr>
                <w:rFonts w:cs="Arial"/>
                <w:color w:val="FF0000"/>
                <w:sz w:val="21"/>
                <w:szCs w:val="21"/>
              </w:rPr>
            </w:pPr>
          </w:p>
        </w:tc>
        <w:tc>
          <w:tcPr>
            <w:tcW w:w="217" w:type="dxa"/>
          </w:tcPr>
          <w:p w14:paraId="6E837582" w14:textId="77777777" w:rsidR="002C0FD9" w:rsidRPr="00CA25CF" w:rsidRDefault="002C0FD9" w:rsidP="00CA25CF">
            <w:pPr>
              <w:rPr>
                <w:rFonts w:cs="Arial"/>
                <w:color w:val="FF0000"/>
                <w:sz w:val="21"/>
                <w:szCs w:val="21"/>
              </w:rPr>
            </w:pPr>
          </w:p>
        </w:tc>
        <w:tc>
          <w:tcPr>
            <w:tcW w:w="217" w:type="dxa"/>
          </w:tcPr>
          <w:p w14:paraId="443FF396" w14:textId="77777777" w:rsidR="002C0FD9" w:rsidRPr="00CA25CF" w:rsidRDefault="002C0FD9" w:rsidP="00CA25CF">
            <w:pPr>
              <w:rPr>
                <w:rFonts w:cs="Arial"/>
                <w:color w:val="FF0000"/>
                <w:sz w:val="21"/>
                <w:szCs w:val="21"/>
              </w:rPr>
            </w:pPr>
          </w:p>
        </w:tc>
        <w:tc>
          <w:tcPr>
            <w:tcW w:w="217" w:type="dxa"/>
          </w:tcPr>
          <w:p w14:paraId="6470A8F7" w14:textId="77777777" w:rsidR="002C0FD9" w:rsidRPr="00CA25CF" w:rsidRDefault="002C0FD9" w:rsidP="00CA25CF">
            <w:pPr>
              <w:rPr>
                <w:rFonts w:cs="Arial"/>
                <w:color w:val="FF0000"/>
                <w:sz w:val="21"/>
                <w:szCs w:val="21"/>
              </w:rPr>
            </w:pPr>
          </w:p>
        </w:tc>
        <w:tc>
          <w:tcPr>
            <w:tcW w:w="217" w:type="dxa"/>
          </w:tcPr>
          <w:p w14:paraId="510F0603" w14:textId="77777777" w:rsidR="002C0FD9" w:rsidRPr="00CA25CF" w:rsidRDefault="002C0FD9" w:rsidP="00CA25CF">
            <w:pPr>
              <w:rPr>
                <w:rFonts w:cs="Arial"/>
                <w:color w:val="FF0000"/>
                <w:sz w:val="21"/>
                <w:szCs w:val="21"/>
              </w:rPr>
            </w:pPr>
          </w:p>
        </w:tc>
        <w:tc>
          <w:tcPr>
            <w:tcW w:w="217" w:type="dxa"/>
          </w:tcPr>
          <w:p w14:paraId="48668BB6" w14:textId="77777777" w:rsidR="002C0FD9" w:rsidRPr="00CA25CF" w:rsidRDefault="002C0FD9" w:rsidP="00CA25CF">
            <w:pPr>
              <w:rPr>
                <w:rFonts w:cs="Arial"/>
                <w:color w:val="FF0000"/>
                <w:sz w:val="21"/>
                <w:szCs w:val="21"/>
              </w:rPr>
            </w:pPr>
          </w:p>
        </w:tc>
        <w:tc>
          <w:tcPr>
            <w:tcW w:w="217" w:type="dxa"/>
          </w:tcPr>
          <w:p w14:paraId="210AB12A" w14:textId="77777777" w:rsidR="002C0FD9" w:rsidRPr="00CA25CF" w:rsidRDefault="002C0FD9" w:rsidP="00CA25CF">
            <w:pPr>
              <w:rPr>
                <w:rFonts w:cs="Arial"/>
                <w:color w:val="FF0000"/>
                <w:sz w:val="21"/>
                <w:szCs w:val="21"/>
              </w:rPr>
            </w:pPr>
          </w:p>
        </w:tc>
        <w:tc>
          <w:tcPr>
            <w:tcW w:w="217" w:type="dxa"/>
          </w:tcPr>
          <w:p w14:paraId="323B6F40" w14:textId="77777777" w:rsidR="002C0FD9" w:rsidRPr="00CA25CF" w:rsidRDefault="002C0FD9" w:rsidP="00CA25CF">
            <w:pPr>
              <w:rPr>
                <w:rFonts w:cs="Arial"/>
                <w:color w:val="FF0000"/>
                <w:sz w:val="21"/>
                <w:szCs w:val="21"/>
              </w:rPr>
            </w:pPr>
          </w:p>
        </w:tc>
        <w:tc>
          <w:tcPr>
            <w:tcW w:w="217" w:type="dxa"/>
          </w:tcPr>
          <w:p w14:paraId="2D27BFAB" w14:textId="77777777" w:rsidR="002C0FD9" w:rsidRPr="00CA25CF" w:rsidRDefault="002C0FD9" w:rsidP="00CA25CF">
            <w:pPr>
              <w:rPr>
                <w:rFonts w:cs="Arial"/>
                <w:color w:val="FF0000"/>
                <w:sz w:val="21"/>
                <w:szCs w:val="21"/>
              </w:rPr>
            </w:pPr>
          </w:p>
        </w:tc>
        <w:tc>
          <w:tcPr>
            <w:tcW w:w="217" w:type="dxa"/>
          </w:tcPr>
          <w:p w14:paraId="68F0DFA8" w14:textId="77777777" w:rsidR="002C0FD9" w:rsidRPr="00CA25CF" w:rsidRDefault="002C0FD9" w:rsidP="00CA25CF">
            <w:pPr>
              <w:rPr>
                <w:rFonts w:cs="Arial"/>
                <w:color w:val="FF0000"/>
                <w:sz w:val="21"/>
                <w:szCs w:val="21"/>
              </w:rPr>
            </w:pPr>
          </w:p>
        </w:tc>
        <w:tc>
          <w:tcPr>
            <w:tcW w:w="217" w:type="dxa"/>
          </w:tcPr>
          <w:p w14:paraId="7BC11661" w14:textId="77777777" w:rsidR="002C0FD9" w:rsidRPr="00CA25CF" w:rsidRDefault="002C0FD9" w:rsidP="00CA25CF">
            <w:pPr>
              <w:rPr>
                <w:rFonts w:cs="Arial"/>
                <w:color w:val="FF0000"/>
                <w:sz w:val="21"/>
                <w:szCs w:val="21"/>
              </w:rPr>
            </w:pPr>
          </w:p>
        </w:tc>
        <w:tc>
          <w:tcPr>
            <w:tcW w:w="217" w:type="dxa"/>
          </w:tcPr>
          <w:p w14:paraId="39848C16" w14:textId="77777777" w:rsidR="002C0FD9" w:rsidRPr="00CA25CF" w:rsidRDefault="002C0FD9" w:rsidP="00CA25CF">
            <w:pPr>
              <w:rPr>
                <w:rFonts w:cs="Arial"/>
                <w:color w:val="FF0000"/>
                <w:sz w:val="21"/>
                <w:szCs w:val="21"/>
              </w:rPr>
            </w:pPr>
          </w:p>
        </w:tc>
        <w:tc>
          <w:tcPr>
            <w:tcW w:w="217" w:type="dxa"/>
          </w:tcPr>
          <w:p w14:paraId="2CFF03C8" w14:textId="77777777" w:rsidR="002C0FD9" w:rsidRPr="00CA25CF" w:rsidRDefault="002C0FD9" w:rsidP="00CA25CF">
            <w:pPr>
              <w:rPr>
                <w:rFonts w:cs="Arial"/>
                <w:color w:val="FF0000"/>
                <w:sz w:val="21"/>
                <w:szCs w:val="21"/>
              </w:rPr>
            </w:pPr>
          </w:p>
        </w:tc>
        <w:tc>
          <w:tcPr>
            <w:tcW w:w="217" w:type="dxa"/>
          </w:tcPr>
          <w:p w14:paraId="4E40D6B0" w14:textId="77777777" w:rsidR="002C0FD9" w:rsidRPr="00CA25CF" w:rsidRDefault="002C0FD9" w:rsidP="00CA25CF">
            <w:pPr>
              <w:rPr>
                <w:rFonts w:cs="Arial"/>
                <w:color w:val="FF0000"/>
                <w:sz w:val="21"/>
                <w:szCs w:val="21"/>
              </w:rPr>
            </w:pPr>
          </w:p>
        </w:tc>
        <w:tc>
          <w:tcPr>
            <w:tcW w:w="217" w:type="dxa"/>
          </w:tcPr>
          <w:p w14:paraId="2878FF45" w14:textId="77777777" w:rsidR="002C0FD9" w:rsidRPr="00CA25CF" w:rsidRDefault="002C0FD9" w:rsidP="00CA25CF">
            <w:pPr>
              <w:rPr>
                <w:rFonts w:cs="Arial"/>
                <w:color w:val="FF0000"/>
                <w:sz w:val="21"/>
                <w:szCs w:val="21"/>
              </w:rPr>
            </w:pPr>
          </w:p>
        </w:tc>
        <w:tc>
          <w:tcPr>
            <w:tcW w:w="217" w:type="dxa"/>
          </w:tcPr>
          <w:p w14:paraId="44E5D208" w14:textId="77777777" w:rsidR="002C0FD9" w:rsidRPr="00CA25CF" w:rsidRDefault="002C0FD9" w:rsidP="00CA25CF">
            <w:pPr>
              <w:rPr>
                <w:rFonts w:cs="Arial"/>
                <w:color w:val="FF0000"/>
                <w:sz w:val="21"/>
                <w:szCs w:val="21"/>
              </w:rPr>
            </w:pPr>
          </w:p>
        </w:tc>
        <w:tc>
          <w:tcPr>
            <w:tcW w:w="217" w:type="dxa"/>
          </w:tcPr>
          <w:p w14:paraId="3FB76030" w14:textId="77777777" w:rsidR="002C0FD9" w:rsidRPr="00CA25CF" w:rsidRDefault="002C0FD9" w:rsidP="00CA25CF">
            <w:pPr>
              <w:rPr>
                <w:rFonts w:cs="Arial"/>
                <w:color w:val="FF0000"/>
                <w:sz w:val="21"/>
                <w:szCs w:val="21"/>
              </w:rPr>
            </w:pPr>
          </w:p>
        </w:tc>
        <w:tc>
          <w:tcPr>
            <w:tcW w:w="217" w:type="dxa"/>
          </w:tcPr>
          <w:p w14:paraId="78F1DEC3" w14:textId="77777777" w:rsidR="002C0FD9" w:rsidRPr="00CA25CF" w:rsidRDefault="002C0FD9" w:rsidP="00CA25CF">
            <w:pPr>
              <w:rPr>
                <w:rFonts w:cs="Arial"/>
                <w:color w:val="FF0000"/>
                <w:sz w:val="21"/>
                <w:szCs w:val="21"/>
              </w:rPr>
            </w:pPr>
          </w:p>
        </w:tc>
        <w:tc>
          <w:tcPr>
            <w:tcW w:w="217" w:type="dxa"/>
          </w:tcPr>
          <w:p w14:paraId="71FBCA0F" w14:textId="77777777" w:rsidR="002C0FD9" w:rsidRPr="00CA25CF" w:rsidRDefault="002C0FD9" w:rsidP="00CA25CF">
            <w:pPr>
              <w:rPr>
                <w:rFonts w:cs="Arial"/>
                <w:color w:val="FF0000"/>
                <w:sz w:val="21"/>
                <w:szCs w:val="21"/>
              </w:rPr>
            </w:pPr>
          </w:p>
        </w:tc>
        <w:tc>
          <w:tcPr>
            <w:tcW w:w="217" w:type="dxa"/>
          </w:tcPr>
          <w:p w14:paraId="63839EF4" w14:textId="77777777" w:rsidR="002C0FD9" w:rsidRPr="00CA25CF" w:rsidRDefault="002C0FD9" w:rsidP="00CA25CF">
            <w:pPr>
              <w:rPr>
                <w:rFonts w:cs="Arial"/>
                <w:color w:val="FF0000"/>
                <w:sz w:val="21"/>
                <w:szCs w:val="21"/>
              </w:rPr>
            </w:pPr>
          </w:p>
        </w:tc>
        <w:tc>
          <w:tcPr>
            <w:tcW w:w="217" w:type="dxa"/>
          </w:tcPr>
          <w:p w14:paraId="4B75DA12" w14:textId="77777777" w:rsidR="002C0FD9" w:rsidRPr="00CA25CF" w:rsidRDefault="002C0FD9" w:rsidP="00CA25CF">
            <w:pPr>
              <w:rPr>
                <w:rFonts w:cs="Arial"/>
                <w:color w:val="FF0000"/>
                <w:sz w:val="21"/>
                <w:szCs w:val="21"/>
              </w:rPr>
            </w:pPr>
          </w:p>
        </w:tc>
        <w:tc>
          <w:tcPr>
            <w:tcW w:w="217" w:type="dxa"/>
          </w:tcPr>
          <w:p w14:paraId="033BBFCE" w14:textId="77777777" w:rsidR="002C0FD9" w:rsidRPr="00CA25CF" w:rsidRDefault="002C0FD9" w:rsidP="00CA25CF">
            <w:pPr>
              <w:rPr>
                <w:rFonts w:cs="Arial"/>
                <w:color w:val="FF0000"/>
                <w:sz w:val="21"/>
                <w:szCs w:val="21"/>
              </w:rPr>
            </w:pPr>
          </w:p>
        </w:tc>
      </w:tr>
      <w:tr w:rsidR="002C0FD9" w:rsidRPr="00A16219" w14:paraId="7E0C5CEE" w14:textId="77777777" w:rsidTr="002C0FD9">
        <w:trPr>
          <w:trHeight w:val="635"/>
        </w:trPr>
        <w:tc>
          <w:tcPr>
            <w:tcW w:w="515" w:type="dxa"/>
          </w:tcPr>
          <w:p w14:paraId="19E37FF6" w14:textId="77777777" w:rsidR="002C0FD9" w:rsidRPr="00CA25CF" w:rsidRDefault="002C0FD9" w:rsidP="00CA25CF">
            <w:pPr>
              <w:rPr>
                <w:rFonts w:cs="Arial"/>
                <w:color w:val="FF0000"/>
                <w:sz w:val="21"/>
                <w:szCs w:val="21"/>
              </w:rPr>
            </w:pPr>
          </w:p>
        </w:tc>
        <w:tc>
          <w:tcPr>
            <w:tcW w:w="217" w:type="dxa"/>
          </w:tcPr>
          <w:p w14:paraId="47B0C65A" w14:textId="77777777" w:rsidR="002C0FD9" w:rsidRPr="00CA25CF" w:rsidRDefault="002C0FD9" w:rsidP="00CA25CF">
            <w:pPr>
              <w:rPr>
                <w:rFonts w:cs="Arial"/>
                <w:color w:val="FF0000"/>
                <w:sz w:val="21"/>
                <w:szCs w:val="21"/>
              </w:rPr>
            </w:pPr>
          </w:p>
        </w:tc>
        <w:tc>
          <w:tcPr>
            <w:tcW w:w="217" w:type="dxa"/>
          </w:tcPr>
          <w:p w14:paraId="63B63732" w14:textId="77777777" w:rsidR="002C0FD9" w:rsidRPr="00CA25CF" w:rsidRDefault="002C0FD9" w:rsidP="00CA25CF">
            <w:pPr>
              <w:rPr>
                <w:rFonts w:cs="Arial"/>
                <w:color w:val="FF0000"/>
                <w:sz w:val="21"/>
                <w:szCs w:val="21"/>
              </w:rPr>
            </w:pPr>
          </w:p>
        </w:tc>
        <w:tc>
          <w:tcPr>
            <w:tcW w:w="217" w:type="dxa"/>
          </w:tcPr>
          <w:p w14:paraId="60706476" w14:textId="77777777" w:rsidR="002C0FD9" w:rsidRPr="00CA25CF" w:rsidRDefault="002C0FD9" w:rsidP="00CA25CF">
            <w:pPr>
              <w:rPr>
                <w:rFonts w:cs="Arial"/>
                <w:color w:val="FF0000"/>
                <w:sz w:val="21"/>
                <w:szCs w:val="21"/>
              </w:rPr>
            </w:pPr>
          </w:p>
        </w:tc>
        <w:tc>
          <w:tcPr>
            <w:tcW w:w="217" w:type="dxa"/>
          </w:tcPr>
          <w:p w14:paraId="52CAE0E7" w14:textId="77777777" w:rsidR="002C0FD9" w:rsidRPr="00CA25CF" w:rsidRDefault="002C0FD9" w:rsidP="00CA25CF">
            <w:pPr>
              <w:rPr>
                <w:rFonts w:cs="Arial"/>
                <w:color w:val="FF0000"/>
                <w:sz w:val="21"/>
                <w:szCs w:val="21"/>
              </w:rPr>
            </w:pPr>
          </w:p>
        </w:tc>
        <w:tc>
          <w:tcPr>
            <w:tcW w:w="217" w:type="dxa"/>
          </w:tcPr>
          <w:p w14:paraId="4C22D62F" w14:textId="77777777" w:rsidR="002C0FD9" w:rsidRPr="00CA25CF" w:rsidRDefault="002C0FD9" w:rsidP="00CA25CF">
            <w:pPr>
              <w:rPr>
                <w:rFonts w:cs="Arial"/>
                <w:color w:val="FF0000"/>
                <w:sz w:val="21"/>
                <w:szCs w:val="21"/>
              </w:rPr>
            </w:pPr>
          </w:p>
        </w:tc>
        <w:tc>
          <w:tcPr>
            <w:tcW w:w="217" w:type="dxa"/>
          </w:tcPr>
          <w:p w14:paraId="6F7FA1DD" w14:textId="77777777" w:rsidR="002C0FD9" w:rsidRPr="00CA25CF" w:rsidRDefault="002C0FD9" w:rsidP="00CA25CF">
            <w:pPr>
              <w:rPr>
                <w:rFonts w:cs="Arial"/>
                <w:color w:val="FF0000"/>
                <w:sz w:val="21"/>
                <w:szCs w:val="21"/>
              </w:rPr>
            </w:pPr>
          </w:p>
        </w:tc>
        <w:tc>
          <w:tcPr>
            <w:tcW w:w="217" w:type="dxa"/>
          </w:tcPr>
          <w:p w14:paraId="0E717E7E" w14:textId="77777777" w:rsidR="002C0FD9" w:rsidRPr="00CA25CF" w:rsidRDefault="002C0FD9" w:rsidP="00CA25CF">
            <w:pPr>
              <w:rPr>
                <w:rFonts w:cs="Arial"/>
                <w:color w:val="FF0000"/>
                <w:sz w:val="21"/>
                <w:szCs w:val="21"/>
              </w:rPr>
            </w:pPr>
          </w:p>
        </w:tc>
        <w:tc>
          <w:tcPr>
            <w:tcW w:w="217" w:type="dxa"/>
          </w:tcPr>
          <w:p w14:paraId="330E6E22" w14:textId="77777777" w:rsidR="002C0FD9" w:rsidRPr="00CA25CF" w:rsidRDefault="002C0FD9" w:rsidP="00CA25CF">
            <w:pPr>
              <w:rPr>
                <w:rFonts w:cs="Arial"/>
                <w:color w:val="FF0000"/>
                <w:sz w:val="21"/>
                <w:szCs w:val="21"/>
              </w:rPr>
            </w:pPr>
          </w:p>
        </w:tc>
        <w:tc>
          <w:tcPr>
            <w:tcW w:w="217" w:type="dxa"/>
          </w:tcPr>
          <w:p w14:paraId="4BA3D755" w14:textId="77777777" w:rsidR="002C0FD9" w:rsidRPr="00CA25CF" w:rsidRDefault="002C0FD9" w:rsidP="00CA25CF">
            <w:pPr>
              <w:rPr>
                <w:rFonts w:cs="Arial"/>
                <w:color w:val="FF0000"/>
                <w:sz w:val="21"/>
                <w:szCs w:val="21"/>
              </w:rPr>
            </w:pPr>
          </w:p>
        </w:tc>
        <w:tc>
          <w:tcPr>
            <w:tcW w:w="217" w:type="dxa"/>
          </w:tcPr>
          <w:p w14:paraId="6788AE92" w14:textId="77777777" w:rsidR="002C0FD9" w:rsidRPr="00CA25CF" w:rsidRDefault="002C0FD9" w:rsidP="00CA25CF">
            <w:pPr>
              <w:rPr>
                <w:rFonts w:cs="Arial"/>
                <w:color w:val="FF0000"/>
                <w:sz w:val="21"/>
                <w:szCs w:val="21"/>
              </w:rPr>
            </w:pPr>
          </w:p>
        </w:tc>
        <w:tc>
          <w:tcPr>
            <w:tcW w:w="217" w:type="dxa"/>
          </w:tcPr>
          <w:p w14:paraId="019DF6F4" w14:textId="77777777" w:rsidR="002C0FD9" w:rsidRPr="00CA25CF" w:rsidRDefault="002C0FD9" w:rsidP="00CA25CF">
            <w:pPr>
              <w:rPr>
                <w:rFonts w:cs="Arial"/>
                <w:color w:val="FF0000"/>
                <w:sz w:val="21"/>
                <w:szCs w:val="21"/>
              </w:rPr>
            </w:pPr>
          </w:p>
        </w:tc>
        <w:tc>
          <w:tcPr>
            <w:tcW w:w="217" w:type="dxa"/>
          </w:tcPr>
          <w:p w14:paraId="24178EF0" w14:textId="77777777" w:rsidR="002C0FD9" w:rsidRPr="00CA25CF" w:rsidRDefault="002C0FD9" w:rsidP="00CA25CF">
            <w:pPr>
              <w:rPr>
                <w:rFonts w:cs="Arial"/>
                <w:color w:val="FF0000"/>
                <w:sz w:val="21"/>
                <w:szCs w:val="21"/>
              </w:rPr>
            </w:pPr>
          </w:p>
        </w:tc>
        <w:tc>
          <w:tcPr>
            <w:tcW w:w="217" w:type="dxa"/>
          </w:tcPr>
          <w:p w14:paraId="36D34BAE" w14:textId="77777777" w:rsidR="002C0FD9" w:rsidRPr="00CA25CF" w:rsidRDefault="002C0FD9" w:rsidP="00CA25CF">
            <w:pPr>
              <w:rPr>
                <w:rFonts w:cs="Arial"/>
                <w:color w:val="FF0000"/>
                <w:sz w:val="21"/>
                <w:szCs w:val="21"/>
              </w:rPr>
            </w:pPr>
          </w:p>
        </w:tc>
        <w:tc>
          <w:tcPr>
            <w:tcW w:w="217" w:type="dxa"/>
          </w:tcPr>
          <w:p w14:paraId="630B23EB" w14:textId="77777777" w:rsidR="002C0FD9" w:rsidRPr="00CA25CF" w:rsidRDefault="002C0FD9" w:rsidP="00CA25CF">
            <w:pPr>
              <w:rPr>
                <w:rFonts w:cs="Arial"/>
                <w:color w:val="FF0000"/>
                <w:sz w:val="21"/>
                <w:szCs w:val="21"/>
              </w:rPr>
            </w:pPr>
          </w:p>
        </w:tc>
        <w:tc>
          <w:tcPr>
            <w:tcW w:w="217" w:type="dxa"/>
          </w:tcPr>
          <w:p w14:paraId="3D6DDE77" w14:textId="77777777" w:rsidR="002C0FD9" w:rsidRPr="00CA25CF" w:rsidRDefault="002C0FD9" w:rsidP="00CA25CF">
            <w:pPr>
              <w:rPr>
                <w:rFonts w:cs="Arial"/>
                <w:color w:val="FF0000"/>
                <w:sz w:val="21"/>
                <w:szCs w:val="21"/>
              </w:rPr>
            </w:pPr>
          </w:p>
        </w:tc>
        <w:tc>
          <w:tcPr>
            <w:tcW w:w="217" w:type="dxa"/>
          </w:tcPr>
          <w:p w14:paraId="3AFC4AE1" w14:textId="77777777" w:rsidR="002C0FD9" w:rsidRPr="00CA25CF" w:rsidRDefault="002C0FD9" w:rsidP="00CA25CF">
            <w:pPr>
              <w:rPr>
                <w:rFonts w:cs="Arial"/>
                <w:color w:val="FF0000"/>
                <w:sz w:val="21"/>
                <w:szCs w:val="21"/>
              </w:rPr>
            </w:pPr>
          </w:p>
        </w:tc>
        <w:tc>
          <w:tcPr>
            <w:tcW w:w="217" w:type="dxa"/>
          </w:tcPr>
          <w:p w14:paraId="7BD176CC" w14:textId="77777777" w:rsidR="002C0FD9" w:rsidRPr="00CA25CF" w:rsidRDefault="002C0FD9" w:rsidP="00CA25CF">
            <w:pPr>
              <w:rPr>
                <w:rFonts w:cs="Arial"/>
                <w:color w:val="FF0000"/>
                <w:sz w:val="21"/>
                <w:szCs w:val="21"/>
              </w:rPr>
            </w:pPr>
          </w:p>
        </w:tc>
        <w:tc>
          <w:tcPr>
            <w:tcW w:w="217" w:type="dxa"/>
          </w:tcPr>
          <w:p w14:paraId="2DC760E1" w14:textId="77777777" w:rsidR="002C0FD9" w:rsidRPr="00CA25CF" w:rsidRDefault="002C0FD9" w:rsidP="00CA25CF">
            <w:pPr>
              <w:rPr>
                <w:rFonts w:cs="Arial"/>
                <w:color w:val="FF0000"/>
                <w:sz w:val="21"/>
                <w:szCs w:val="21"/>
              </w:rPr>
            </w:pPr>
          </w:p>
        </w:tc>
        <w:tc>
          <w:tcPr>
            <w:tcW w:w="217" w:type="dxa"/>
          </w:tcPr>
          <w:p w14:paraId="54DC5973" w14:textId="77777777" w:rsidR="002C0FD9" w:rsidRPr="00CA25CF" w:rsidRDefault="002C0FD9" w:rsidP="00CA25CF">
            <w:pPr>
              <w:rPr>
                <w:rFonts w:cs="Arial"/>
                <w:color w:val="FF0000"/>
                <w:sz w:val="21"/>
                <w:szCs w:val="21"/>
              </w:rPr>
            </w:pPr>
          </w:p>
        </w:tc>
        <w:tc>
          <w:tcPr>
            <w:tcW w:w="217" w:type="dxa"/>
          </w:tcPr>
          <w:p w14:paraId="24607615" w14:textId="77777777" w:rsidR="002C0FD9" w:rsidRPr="00CA25CF" w:rsidRDefault="002C0FD9" w:rsidP="00CA25CF">
            <w:pPr>
              <w:rPr>
                <w:rFonts w:cs="Arial"/>
                <w:color w:val="FF0000"/>
                <w:sz w:val="21"/>
                <w:szCs w:val="21"/>
              </w:rPr>
            </w:pPr>
          </w:p>
        </w:tc>
        <w:tc>
          <w:tcPr>
            <w:tcW w:w="217" w:type="dxa"/>
          </w:tcPr>
          <w:p w14:paraId="239ECD49" w14:textId="77777777" w:rsidR="002C0FD9" w:rsidRPr="00CA25CF" w:rsidRDefault="002C0FD9" w:rsidP="00CA25CF">
            <w:pPr>
              <w:rPr>
                <w:rFonts w:cs="Arial"/>
                <w:color w:val="FF0000"/>
                <w:sz w:val="21"/>
                <w:szCs w:val="21"/>
              </w:rPr>
            </w:pPr>
          </w:p>
        </w:tc>
        <w:tc>
          <w:tcPr>
            <w:tcW w:w="217" w:type="dxa"/>
          </w:tcPr>
          <w:p w14:paraId="1E363234" w14:textId="77777777" w:rsidR="002C0FD9" w:rsidRPr="00CA25CF" w:rsidRDefault="002C0FD9" w:rsidP="00CA25CF">
            <w:pPr>
              <w:rPr>
                <w:rFonts w:cs="Arial"/>
                <w:color w:val="FF0000"/>
                <w:sz w:val="21"/>
                <w:szCs w:val="21"/>
              </w:rPr>
            </w:pPr>
          </w:p>
        </w:tc>
        <w:tc>
          <w:tcPr>
            <w:tcW w:w="217" w:type="dxa"/>
          </w:tcPr>
          <w:p w14:paraId="2030AFB6" w14:textId="77777777" w:rsidR="002C0FD9" w:rsidRPr="00CA25CF" w:rsidRDefault="002C0FD9" w:rsidP="00CA25CF">
            <w:pPr>
              <w:rPr>
                <w:rFonts w:cs="Arial"/>
                <w:color w:val="FF0000"/>
                <w:sz w:val="21"/>
                <w:szCs w:val="21"/>
              </w:rPr>
            </w:pPr>
          </w:p>
        </w:tc>
        <w:tc>
          <w:tcPr>
            <w:tcW w:w="217" w:type="dxa"/>
          </w:tcPr>
          <w:p w14:paraId="06D1A326" w14:textId="77777777" w:rsidR="002C0FD9" w:rsidRPr="00CA25CF" w:rsidRDefault="002C0FD9" w:rsidP="00CA25CF">
            <w:pPr>
              <w:rPr>
                <w:rFonts w:cs="Arial"/>
                <w:color w:val="FF0000"/>
                <w:sz w:val="21"/>
                <w:szCs w:val="21"/>
              </w:rPr>
            </w:pPr>
          </w:p>
        </w:tc>
        <w:tc>
          <w:tcPr>
            <w:tcW w:w="217" w:type="dxa"/>
          </w:tcPr>
          <w:p w14:paraId="336CADF7" w14:textId="77777777" w:rsidR="002C0FD9" w:rsidRPr="00CA25CF" w:rsidRDefault="002C0FD9" w:rsidP="00CA25CF">
            <w:pPr>
              <w:rPr>
                <w:rFonts w:cs="Arial"/>
                <w:color w:val="FF0000"/>
                <w:sz w:val="21"/>
                <w:szCs w:val="21"/>
              </w:rPr>
            </w:pPr>
          </w:p>
        </w:tc>
        <w:tc>
          <w:tcPr>
            <w:tcW w:w="217" w:type="dxa"/>
          </w:tcPr>
          <w:p w14:paraId="6B5AA94E" w14:textId="77777777" w:rsidR="002C0FD9" w:rsidRPr="00CA25CF" w:rsidRDefault="002C0FD9" w:rsidP="00CA25CF">
            <w:pPr>
              <w:rPr>
                <w:rFonts w:cs="Arial"/>
                <w:color w:val="FF0000"/>
                <w:sz w:val="21"/>
                <w:szCs w:val="21"/>
              </w:rPr>
            </w:pPr>
          </w:p>
        </w:tc>
        <w:tc>
          <w:tcPr>
            <w:tcW w:w="217" w:type="dxa"/>
          </w:tcPr>
          <w:p w14:paraId="101E079B" w14:textId="77777777" w:rsidR="002C0FD9" w:rsidRPr="00CA25CF" w:rsidRDefault="002C0FD9" w:rsidP="00CA25CF">
            <w:pPr>
              <w:rPr>
                <w:rFonts w:cs="Arial"/>
                <w:color w:val="FF0000"/>
                <w:sz w:val="21"/>
                <w:szCs w:val="21"/>
              </w:rPr>
            </w:pPr>
          </w:p>
        </w:tc>
        <w:tc>
          <w:tcPr>
            <w:tcW w:w="217" w:type="dxa"/>
          </w:tcPr>
          <w:p w14:paraId="6B1678EF" w14:textId="77777777" w:rsidR="002C0FD9" w:rsidRPr="00CA25CF" w:rsidRDefault="002C0FD9" w:rsidP="00CA25CF">
            <w:pPr>
              <w:rPr>
                <w:rFonts w:cs="Arial"/>
                <w:color w:val="FF0000"/>
                <w:sz w:val="21"/>
                <w:szCs w:val="21"/>
              </w:rPr>
            </w:pPr>
          </w:p>
        </w:tc>
        <w:tc>
          <w:tcPr>
            <w:tcW w:w="217" w:type="dxa"/>
          </w:tcPr>
          <w:p w14:paraId="582A486E" w14:textId="77777777" w:rsidR="002C0FD9" w:rsidRPr="00CA25CF" w:rsidRDefault="002C0FD9" w:rsidP="00CA25CF">
            <w:pPr>
              <w:rPr>
                <w:rFonts w:cs="Arial"/>
                <w:color w:val="FF0000"/>
                <w:sz w:val="21"/>
                <w:szCs w:val="21"/>
              </w:rPr>
            </w:pPr>
          </w:p>
        </w:tc>
        <w:tc>
          <w:tcPr>
            <w:tcW w:w="217" w:type="dxa"/>
          </w:tcPr>
          <w:p w14:paraId="69299B78" w14:textId="77777777" w:rsidR="002C0FD9" w:rsidRPr="00CA25CF" w:rsidRDefault="002C0FD9" w:rsidP="00CA25CF">
            <w:pPr>
              <w:rPr>
                <w:rFonts w:cs="Arial"/>
                <w:color w:val="FF0000"/>
                <w:sz w:val="21"/>
                <w:szCs w:val="21"/>
              </w:rPr>
            </w:pPr>
          </w:p>
        </w:tc>
        <w:tc>
          <w:tcPr>
            <w:tcW w:w="217" w:type="dxa"/>
          </w:tcPr>
          <w:p w14:paraId="7C3E3FEE" w14:textId="77777777" w:rsidR="002C0FD9" w:rsidRPr="00CA25CF" w:rsidRDefault="002C0FD9" w:rsidP="00CA25CF">
            <w:pPr>
              <w:rPr>
                <w:rFonts w:cs="Arial"/>
                <w:color w:val="FF0000"/>
                <w:sz w:val="21"/>
                <w:szCs w:val="21"/>
              </w:rPr>
            </w:pPr>
          </w:p>
        </w:tc>
        <w:tc>
          <w:tcPr>
            <w:tcW w:w="217" w:type="dxa"/>
          </w:tcPr>
          <w:p w14:paraId="7B277888" w14:textId="77777777" w:rsidR="002C0FD9" w:rsidRPr="00CA25CF" w:rsidRDefault="002C0FD9" w:rsidP="00CA25CF">
            <w:pPr>
              <w:rPr>
                <w:rFonts w:cs="Arial"/>
                <w:color w:val="FF0000"/>
                <w:sz w:val="21"/>
                <w:szCs w:val="21"/>
              </w:rPr>
            </w:pPr>
          </w:p>
        </w:tc>
        <w:tc>
          <w:tcPr>
            <w:tcW w:w="217" w:type="dxa"/>
          </w:tcPr>
          <w:p w14:paraId="3447E8FA" w14:textId="77777777" w:rsidR="002C0FD9" w:rsidRPr="00CA25CF" w:rsidRDefault="002C0FD9" w:rsidP="00CA25CF">
            <w:pPr>
              <w:rPr>
                <w:rFonts w:cs="Arial"/>
                <w:color w:val="FF0000"/>
                <w:sz w:val="21"/>
                <w:szCs w:val="21"/>
              </w:rPr>
            </w:pPr>
          </w:p>
        </w:tc>
        <w:tc>
          <w:tcPr>
            <w:tcW w:w="217" w:type="dxa"/>
          </w:tcPr>
          <w:p w14:paraId="45C18421" w14:textId="77777777" w:rsidR="002C0FD9" w:rsidRPr="00CA25CF" w:rsidRDefault="002C0FD9" w:rsidP="00CA25CF">
            <w:pPr>
              <w:rPr>
                <w:rFonts w:cs="Arial"/>
                <w:color w:val="FF0000"/>
                <w:sz w:val="21"/>
                <w:szCs w:val="21"/>
              </w:rPr>
            </w:pPr>
          </w:p>
        </w:tc>
        <w:tc>
          <w:tcPr>
            <w:tcW w:w="217" w:type="dxa"/>
          </w:tcPr>
          <w:p w14:paraId="2BF6C081" w14:textId="77777777" w:rsidR="002C0FD9" w:rsidRPr="00CA25CF" w:rsidRDefault="002C0FD9" w:rsidP="00CA25CF">
            <w:pPr>
              <w:rPr>
                <w:rFonts w:cs="Arial"/>
                <w:color w:val="FF0000"/>
                <w:sz w:val="21"/>
                <w:szCs w:val="21"/>
              </w:rPr>
            </w:pPr>
          </w:p>
        </w:tc>
        <w:tc>
          <w:tcPr>
            <w:tcW w:w="217" w:type="dxa"/>
          </w:tcPr>
          <w:p w14:paraId="3443D886" w14:textId="77777777" w:rsidR="002C0FD9" w:rsidRPr="00CA25CF" w:rsidRDefault="002C0FD9" w:rsidP="00CA25CF">
            <w:pPr>
              <w:rPr>
                <w:rFonts w:cs="Arial"/>
                <w:color w:val="FF0000"/>
                <w:sz w:val="21"/>
                <w:szCs w:val="21"/>
              </w:rPr>
            </w:pPr>
          </w:p>
        </w:tc>
        <w:tc>
          <w:tcPr>
            <w:tcW w:w="217" w:type="dxa"/>
          </w:tcPr>
          <w:p w14:paraId="29D66758" w14:textId="77777777" w:rsidR="002C0FD9" w:rsidRPr="00CA25CF" w:rsidRDefault="002C0FD9" w:rsidP="00CA25CF">
            <w:pPr>
              <w:rPr>
                <w:rFonts w:cs="Arial"/>
                <w:color w:val="FF0000"/>
                <w:sz w:val="21"/>
                <w:szCs w:val="21"/>
              </w:rPr>
            </w:pPr>
          </w:p>
        </w:tc>
        <w:tc>
          <w:tcPr>
            <w:tcW w:w="217" w:type="dxa"/>
          </w:tcPr>
          <w:p w14:paraId="21476C91" w14:textId="77777777" w:rsidR="002C0FD9" w:rsidRPr="00CA25CF" w:rsidRDefault="002C0FD9" w:rsidP="00CA25CF">
            <w:pPr>
              <w:rPr>
                <w:rFonts w:cs="Arial"/>
                <w:color w:val="FF0000"/>
                <w:sz w:val="21"/>
                <w:szCs w:val="21"/>
              </w:rPr>
            </w:pPr>
          </w:p>
        </w:tc>
        <w:tc>
          <w:tcPr>
            <w:tcW w:w="217" w:type="dxa"/>
          </w:tcPr>
          <w:p w14:paraId="4C1CC919" w14:textId="77777777" w:rsidR="002C0FD9" w:rsidRPr="00CA25CF" w:rsidRDefault="002C0FD9" w:rsidP="00CA25CF">
            <w:pPr>
              <w:rPr>
                <w:rFonts w:cs="Arial"/>
                <w:color w:val="FF0000"/>
                <w:sz w:val="21"/>
                <w:szCs w:val="21"/>
              </w:rPr>
            </w:pPr>
          </w:p>
        </w:tc>
        <w:tc>
          <w:tcPr>
            <w:tcW w:w="217" w:type="dxa"/>
          </w:tcPr>
          <w:p w14:paraId="075B966F" w14:textId="77777777" w:rsidR="002C0FD9" w:rsidRPr="00CA25CF" w:rsidRDefault="002C0FD9" w:rsidP="00CA25CF">
            <w:pPr>
              <w:rPr>
                <w:rFonts w:cs="Arial"/>
                <w:color w:val="FF0000"/>
                <w:sz w:val="21"/>
                <w:szCs w:val="21"/>
              </w:rPr>
            </w:pPr>
          </w:p>
        </w:tc>
        <w:tc>
          <w:tcPr>
            <w:tcW w:w="217" w:type="dxa"/>
          </w:tcPr>
          <w:p w14:paraId="5FA6C556" w14:textId="77777777" w:rsidR="002C0FD9" w:rsidRPr="00CA25CF" w:rsidRDefault="002C0FD9" w:rsidP="00CA25CF">
            <w:pPr>
              <w:rPr>
                <w:rFonts w:cs="Arial"/>
                <w:color w:val="FF0000"/>
                <w:sz w:val="21"/>
                <w:szCs w:val="21"/>
              </w:rPr>
            </w:pPr>
          </w:p>
        </w:tc>
        <w:tc>
          <w:tcPr>
            <w:tcW w:w="217" w:type="dxa"/>
          </w:tcPr>
          <w:p w14:paraId="1BED6A1B" w14:textId="77777777" w:rsidR="002C0FD9" w:rsidRPr="00CA25CF" w:rsidRDefault="002C0FD9" w:rsidP="00CA25CF">
            <w:pPr>
              <w:rPr>
                <w:rFonts w:cs="Arial"/>
                <w:color w:val="FF0000"/>
                <w:sz w:val="21"/>
                <w:szCs w:val="21"/>
              </w:rPr>
            </w:pPr>
          </w:p>
        </w:tc>
      </w:tr>
      <w:tr w:rsidR="002C0FD9" w:rsidRPr="00A16219" w14:paraId="1517F182" w14:textId="77777777" w:rsidTr="002C0FD9">
        <w:trPr>
          <w:trHeight w:val="635"/>
        </w:trPr>
        <w:tc>
          <w:tcPr>
            <w:tcW w:w="515" w:type="dxa"/>
          </w:tcPr>
          <w:p w14:paraId="3B560F79" w14:textId="77777777" w:rsidR="002C0FD9" w:rsidRPr="00CA25CF" w:rsidRDefault="002C0FD9" w:rsidP="00CA25CF">
            <w:pPr>
              <w:rPr>
                <w:rFonts w:cs="Arial"/>
                <w:color w:val="FF0000"/>
                <w:sz w:val="21"/>
                <w:szCs w:val="21"/>
              </w:rPr>
            </w:pPr>
          </w:p>
        </w:tc>
        <w:tc>
          <w:tcPr>
            <w:tcW w:w="217" w:type="dxa"/>
          </w:tcPr>
          <w:p w14:paraId="6F9C55EB" w14:textId="77777777" w:rsidR="002C0FD9" w:rsidRPr="00CA25CF" w:rsidRDefault="002C0FD9" w:rsidP="00CA25CF">
            <w:pPr>
              <w:rPr>
                <w:rFonts w:cs="Arial"/>
                <w:color w:val="FF0000"/>
                <w:sz w:val="21"/>
                <w:szCs w:val="21"/>
              </w:rPr>
            </w:pPr>
          </w:p>
        </w:tc>
        <w:tc>
          <w:tcPr>
            <w:tcW w:w="217" w:type="dxa"/>
          </w:tcPr>
          <w:p w14:paraId="5B9904B7" w14:textId="77777777" w:rsidR="002C0FD9" w:rsidRPr="00CA25CF" w:rsidRDefault="002C0FD9" w:rsidP="00CA25CF">
            <w:pPr>
              <w:rPr>
                <w:rFonts w:cs="Arial"/>
                <w:color w:val="FF0000"/>
                <w:sz w:val="21"/>
                <w:szCs w:val="21"/>
              </w:rPr>
            </w:pPr>
          </w:p>
        </w:tc>
        <w:tc>
          <w:tcPr>
            <w:tcW w:w="217" w:type="dxa"/>
          </w:tcPr>
          <w:p w14:paraId="1856D359" w14:textId="77777777" w:rsidR="002C0FD9" w:rsidRPr="00CA25CF" w:rsidRDefault="002C0FD9" w:rsidP="00CA25CF">
            <w:pPr>
              <w:rPr>
                <w:rFonts w:cs="Arial"/>
                <w:color w:val="FF0000"/>
                <w:sz w:val="21"/>
                <w:szCs w:val="21"/>
              </w:rPr>
            </w:pPr>
          </w:p>
        </w:tc>
        <w:tc>
          <w:tcPr>
            <w:tcW w:w="217" w:type="dxa"/>
          </w:tcPr>
          <w:p w14:paraId="55F6C244" w14:textId="77777777" w:rsidR="002C0FD9" w:rsidRPr="00CA25CF" w:rsidRDefault="002C0FD9" w:rsidP="00CA25CF">
            <w:pPr>
              <w:rPr>
                <w:rFonts w:cs="Arial"/>
                <w:color w:val="FF0000"/>
                <w:sz w:val="21"/>
                <w:szCs w:val="21"/>
              </w:rPr>
            </w:pPr>
          </w:p>
        </w:tc>
        <w:tc>
          <w:tcPr>
            <w:tcW w:w="217" w:type="dxa"/>
          </w:tcPr>
          <w:p w14:paraId="768788BC" w14:textId="77777777" w:rsidR="002C0FD9" w:rsidRPr="00CA25CF" w:rsidRDefault="002C0FD9" w:rsidP="00CA25CF">
            <w:pPr>
              <w:rPr>
                <w:rFonts w:cs="Arial"/>
                <w:color w:val="FF0000"/>
                <w:sz w:val="21"/>
                <w:szCs w:val="21"/>
              </w:rPr>
            </w:pPr>
          </w:p>
        </w:tc>
        <w:tc>
          <w:tcPr>
            <w:tcW w:w="217" w:type="dxa"/>
          </w:tcPr>
          <w:p w14:paraId="489592ED" w14:textId="77777777" w:rsidR="002C0FD9" w:rsidRPr="00CA25CF" w:rsidRDefault="002C0FD9" w:rsidP="00CA25CF">
            <w:pPr>
              <w:rPr>
                <w:rFonts w:cs="Arial"/>
                <w:color w:val="FF0000"/>
                <w:sz w:val="21"/>
                <w:szCs w:val="21"/>
              </w:rPr>
            </w:pPr>
          </w:p>
        </w:tc>
        <w:tc>
          <w:tcPr>
            <w:tcW w:w="217" w:type="dxa"/>
          </w:tcPr>
          <w:p w14:paraId="2D3266E4" w14:textId="77777777" w:rsidR="002C0FD9" w:rsidRPr="00CA25CF" w:rsidRDefault="002C0FD9" w:rsidP="00CA25CF">
            <w:pPr>
              <w:rPr>
                <w:rFonts w:cs="Arial"/>
                <w:color w:val="FF0000"/>
                <w:sz w:val="21"/>
                <w:szCs w:val="21"/>
              </w:rPr>
            </w:pPr>
          </w:p>
        </w:tc>
        <w:tc>
          <w:tcPr>
            <w:tcW w:w="217" w:type="dxa"/>
          </w:tcPr>
          <w:p w14:paraId="01A1F5AD" w14:textId="77777777" w:rsidR="002C0FD9" w:rsidRPr="00CA25CF" w:rsidRDefault="002C0FD9" w:rsidP="00CA25CF">
            <w:pPr>
              <w:rPr>
                <w:rFonts w:cs="Arial"/>
                <w:color w:val="FF0000"/>
                <w:sz w:val="21"/>
                <w:szCs w:val="21"/>
              </w:rPr>
            </w:pPr>
          </w:p>
        </w:tc>
        <w:tc>
          <w:tcPr>
            <w:tcW w:w="217" w:type="dxa"/>
          </w:tcPr>
          <w:p w14:paraId="3D5A8DD8" w14:textId="77777777" w:rsidR="002C0FD9" w:rsidRPr="00CA25CF" w:rsidRDefault="002C0FD9" w:rsidP="00CA25CF">
            <w:pPr>
              <w:rPr>
                <w:rFonts w:cs="Arial"/>
                <w:color w:val="FF0000"/>
                <w:sz w:val="21"/>
                <w:szCs w:val="21"/>
              </w:rPr>
            </w:pPr>
          </w:p>
        </w:tc>
        <w:tc>
          <w:tcPr>
            <w:tcW w:w="217" w:type="dxa"/>
          </w:tcPr>
          <w:p w14:paraId="56006073" w14:textId="77777777" w:rsidR="002C0FD9" w:rsidRPr="00CA25CF" w:rsidRDefault="002C0FD9" w:rsidP="00CA25CF">
            <w:pPr>
              <w:rPr>
                <w:rFonts w:cs="Arial"/>
                <w:color w:val="FF0000"/>
                <w:sz w:val="21"/>
                <w:szCs w:val="21"/>
              </w:rPr>
            </w:pPr>
          </w:p>
        </w:tc>
        <w:tc>
          <w:tcPr>
            <w:tcW w:w="217" w:type="dxa"/>
          </w:tcPr>
          <w:p w14:paraId="6780FDEE" w14:textId="77777777" w:rsidR="002C0FD9" w:rsidRPr="00CA25CF" w:rsidRDefault="002C0FD9" w:rsidP="00CA25CF">
            <w:pPr>
              <w:rPr>
                <w:rFonts w:cs="Arial"/>
                <w:color w:val="FF0000"/>
                <w:sz w:val="21"/>
                <w:szCs w:val="21"/>
              </w:rPr>
            </w:pPr>
          </w:p>
        </w:tc>
        <w:tc>
          <w:tcPr>
            <w:tcW w:w="217" w:type="dxa"/>
          </w:tcPr>
          <w:p w14:paraId="5A9A91B7" w14:textId="77777777" w:rsidR="002C0FD9" w:rsidRPr="00CA25CF" w:rsidRDefault="002C0FD9" w:rsidP="00CA25CF">
            <w:pPr>
              <w:rPr>
                <w:rFonts w:cs="Arial"/>
                <w:color w:val="FF0000"/>
                <w:sz w:val="21"/>
                <w:szCs w:val="21"/>
              </w:rPr>
            </w:pPr>
          </w:p>
        </w:tc>
        <w:tc>
          <w:tcPr>
            <w:tcW w:w="217" w:type="dxa"/>
          </w:tcPr>
          <w:p w14:paraId="76D4F5CA" w14:textId="77777777" w:rsidR="002C0FD9" w:rsidRPr="00CA25CF" w:rsidRDefault="002C0FD9" w:rsidP="00CA25CF">
            <w:pPr>
              <w:rPr>
                <w:rFonts w:cs="Arial"/>
                <w:color w:val="FF0000"/>
                <w:sz w:val="21"/>
                <w:szCs w:val="21"/>
              </w:rPr>
            </w:pPr>
          </w:p>
        </w:tc>
        <w:tc>
          <w:tcPr>
            <w:tcW w:w="217" w:type="dxa"/>
          </w:tcPr>
          <w:p w14:paraId="62E63E31" w14:textId="77777777" w:rsidR="002C0FD9" w:rsidRPr="00CA25CF" w:rsidRDefault="002C0FD9" w:rsidP="00CA25CF">
            <w:pPr>
              <w:rPr>
                <w:rFonts w:cs="Arial"/>
                <w:color w:val="FF0000"/>
                <w:sz w:val="21"/>
                <w:szCs w:val="21"/>
              </w:rPr>
            </w:pPr>
          </w:p>
        </w:tc>
        <w:tc>
          <w:tcPr>
            <w:tcW w:w="217" w:type="dxa"/>
          </w:tcPr>
          <w:p w14:paraId="35ECC8B9" w14:textId="77777777" w:rsidR="002C0FD9" w:rsidRPr="00CA25CF" w:rsidRDefault="002C0FD9" w:rsidP="00CA25CF">
            <w:pPr>
              <w:rPr>
                <w:rFonts w:cs="Arial"/>
                <w:color w:val="FF0000"/>
                <w:sz w:val="21"/>
                <w:szCs w:val="21"/>
              </w:rPr>
            </w:pPr>
          </w:p>
        </w:tc>
        <w:tc>
          <w:tcPr>
            <w:tcW w:w="217" w:type="dxa"/>
          </w:tcPr>
          <w:p w14:paraId="57DD42C3" w14:textId="77777777" w:rsidR="002C0FD9" w:rsidRPr="00CA25CF" w:rsidRDefault="002C0FD9" w:rsidP="00CA25CF">
            <w:pPr>
              <w:rPr>
                <w:rFonts w:cs="Arial"/>
                <w:color w:val="FF0000"/>
                <w:sz w:val="21"/>
                <w:szCs w:val="21"/>
              </w:rPr>
            </w:pPr>
          </w:p>
        </w:tc>
        <w:tc>
          <w:tcPr>
            <w:tcW w:w="217" w:type="dxa"/>
          </w:tcPr>
          <w:p w14:paraId="5E571FB6" w14:textId="77777777" w:rsidR="002C0FD9" w:rsidRPr="00CA25CF" w:rsidRDefault="002C0FD9" w:rsidP="00CA25CF">
            <w:pPr>
              <w:rPr>
                <w:rFonts w:cs="Arial"/>
                <w:color w:val="FF0000"/>
                <w:sz w:val="21"/>
                <w:szCs w:val="21"/>
              </w:rPr>
            </w:pPr>
          </w:p>
        </w:tc>
        <w:tc>
          <w:tcPr>
            <w:tcW w:w="217" w:type="dxa"/>
          </w:tcPr>
          <w:p w14:paraId="4F686009" w14:textId="77777777" w:rsidR="002C0FD9" w:rsidRPr="00CA25CF" w:rsidRDefault="002C0FD9" w:rsidP="00CA25CF">
            <w:pPr>
              <w:rPr>
                <w:rFonts w:cs="Arial"/>
                <w:color w:val="FF0000"/>
                <w:sz w:val="21"/>
                <w:szCs w:val="21"/>
              </w:rPr>
            </w:pPr>
          </w:p>
        </w:tc>
        <w:tc>
          <w:tcPr>
            <w:tcW w:w="217" w:type="dxa"/>
          </w:tcPr>
          <w:p w14:paraId="723907B7" w14:textId="77777777" w:rsidR="002C0FD9" w:rsidRPr="00CA25CF" w:rsidRDefault="002C0FD9" w:rsidP="00CA25CF">
            <w:pPr>
              <w:rPr>
                <w:rFonts w:cs="Arial"/>
                <w:color w:val="FF0000"/>
                <w:sz w:val="21"/>
                <w:szCs w:val="21"/>
              </w:rPr>
            </w:pPr>
          </w:p>
        </w:tc>
        <w:tc>
          <w:tcPr>
            <w:tcW w:w="217" w:type="dxa"/>
          </w:tcPr>
          <w:p w14:paraId="10E9FE81" w14:textId="77777777" w:rsidR="002C0FD9" w:rsidRPr="00CA25CF" w:rsidRDefault="002C0FD9" w:rsidP="00CA25CF">
            <w:pPr>
              <w:rPr>
                <w:rFonts w:cs="Arial"/>
                <w:color w:val="FF0000"/>
                <w:sz w:val="21"/>
                <w:szCs w:val="21"/>
              </w:rPr>
            </w:pPr>
          </w:p>
        </w:tc>
        <w:tc>
          <w:tcPr>
            <w:tcW w:w="217" w:type="dxa"/>
          </w:tcPr>
          <w:p w14:paraId="7BD55A79" w14:textId="77777777" w:rsidR="002C0FD9" w:rsidRPr="00CA25CF" w:rsidRDefault="002C0FD9" w:rsidP="00CA25CF">
            <w:pPr>
              <w:rPr>
                <w:rFonts w:cs="Arial"/>
                <w:color w:val="FF0000"/>
                <w:sz w:val="21"/>
                <w:szCs w:val="21"/>
              </w:rPr>
            </w:pPr>
          </w:p>
        </w:tc>
        <w:tc>
          <w:tcPr>
            <w:tcW w:w="217" w:type="dxa"/>
          </w:tcPr>
          <w:p w14:paraId="42FCDC54" w14:textId="77777777" w:rsidR="002C0FD9" w:rsidRPr="00CA25CF" w:rsidRDefault="002C0FD9" w:rsidP="00CA25CF">
            <w:pPr>
              <w:rPr>
                <w:rFonts w:cs="Arial"/>
                <w:color w:val="FF0000"/>
                <w:sz w:val="21"/>
                <w:szCs w:val="21"/>
              </w:rPr>
            </w:pPr>
          </w:p>
        </w:tc>
        <w:tc>
          <w:tcPr>
            <w:tcW w:w="217" w:type="dxa"/>
          </w:tcPr>
          <w:p w14:paraId="799D4C77" w14:textId="77777777" w:rsidR="002C0FD9" w:rsidRPr="00CA25CF" w:rsidRDefault="002C0FD9" w:rsidP="00CA25CF">
            <w:pPr>
              <w:rPr>
                <w:rFonts w:cs="Arial"/>
                <w:color w:val="FF0000"/>
                <w:sz w:val="21"/>
                <w:szCs w:val="21"/>
              </w:rPr>
            </w:pPr>
          </w:p>
        </w:tc>
        <w:tc>
          <w:tcPr>
            <w:tcW w:w="217" w:type="dxa"/>
          </w:tcPr>
          <w:p w14:paraId="228B7C26" w14:textId="77777777" w:rsidR="002C0FD9" w:rsidRPr="00CA25CF" w:rsidRDefault="002C0FD9" w:rsidP="00CA25CF">
            <w:pPr>
              <w:rPr>
                <w:rFonts w:cs="Arial"/>
                <w:color w:val="FF0000"/>
                <w:sz w:val="21"/>
                <w:szCs w:val="21"/>
              </w:rPr>
            </w:pPr>
          </w:p>
        </w:tc>
        <w:tc>
          <w:tcPr>
            <w:tcW w:w="217" w:type="dxa"/>
          </w:tcPr>
          <w:p w14:paraId="5C268E80" w14:textId="77777777" w:rsidR="002C0FD9" w:rsidRPr="00CA25CF" w:rsidRDefault="002C0FD9" w:rsidP="00CA25CF">
            <w:pPr>
              <w:rPr>
                <w:rFonts w:cs="Arial"/>
                <w:color w:val="FF0000"/>
                <w:sz w:val="21"/>
                <w:szCs w:val="21"/>
              </w:rPr>
            </w:pPr>
          </w:p>
        </w:tc>
        <w:tc>
          <w:tcPr>
            <w:tcW w:w="217" w:type="dxa"/>
          </w:tcPr>
          <w:p w14:paraId="4E35B664" w14:textId="77777777" w:rsidR="002C0FD9" w:rsidRPr="00CA25CF" w:rsidRDefault="002C0FD9" w:rsidP="00CA25CF">
            <w:pPr>
              <w:rPr>
                <w:rFonts w:cs="Arial"/>
                <w:color w:val="FF0000"/>
                <w:sz w:val="21"/>
                <w:szCs w:val="21"/>
              </w:rPr>
            </w:pPr>
          </w:p>
        </w:tc>
        <w:tc>
          <w:tcPr>
            <w:tcW w:w="217" w:type="dxa"/>
          </w:tcPr>
          <w:p w14:paraId="7DA2F7C3" w14:textId="77777777" w:rsidR="002C0FD9" w:rsidRPr="00CA25CF" w:rsidRDefault="002C0FD9" w:rsidP="00CA25CF">
            <w:pPr>
              <w:rPr>
                <w:rFonts w:cs="Arial"/>
                <w:color w:val="FF0000"/>
                <w:sz w:val="21"/>
                <w:szCs w:val="21"/>
              </w:rPr>
            </w:pPr>
          </w:p>
        </w:tc>
        <w:tc>
          <w:tcPr>
            <w:tcW w:w="217" w:type="dxa"/>
          </w:tcPr>
          <w:p w14:paraId="7007E115" w14:textId="77777777" w:rsidR="002C0FD9" w:rsidRPr="00CA25CF" w:rsidRDefault="002C0FD9" w:rsidP="00CA25CF">
            <w:pPr>
              <w:rPr>
                <w:rFonts w:cs="Arial"/>
                <w:color w:val="FF0000"/>
                <w:sz w:val="21"/>
                <w:szCs w:val="21"/>
              </w:rPr>
            </w:pPr>
          </w:p>
        </w:tc>
        <w:tc>
          <w:tcPr>
            <w:tcW w:w="217" w:type="dxa"/>
          </w:tcPr>
          <w:p w14:paraId="7952DC62" w14:textId="77777777" w:rsidR="002C0FD9" w:rsidRPr="00CA25CF" w:rsidRDefault="002C0FD9" w:rsidP="00CA25CF">
            <w:pPr>
              <w:rPr>
                <w:rFonts w:cs="Arial"/>
                <w:color w:val="FF0000"/>
                <w:sz w:val="21"/>
                <w:szCs w:val="21"/>
              </w:rPr>
            </w:pPr>
          </w:p>
        </w:tc>
        <w:tc>
          <w:tcPr>
            <w:tcW w:w="217" w:type="dxa"/>
          </w:tcPr>
          <w:p w14:paraId="7ADDA23F" w14:textId="77777777" w:rsidR="002C0FD9" w:rsidRPr="00CA25CF" w:rsidRDefault="002C0FD9" w:rsidP="00CA25CF">
            <w:pPr>
              <w:rPr>
                <w:rFonts w:cs="Arial"/>
                <w:color w:val="FF0000"/>
                <w:sz w:val="21"/>
                <w:szCs w:val="21"/>
              </w:rPr>
            </w:pPr>
          </w:p>
        </w:tc>
        <w:tc>
          <w:tcPr>
            <w:tcW w:w="217" w:type="dxa"/>
          </w:tcPr>
          <w:p w14:paraId="23A63476" w14:textId="77777777" w:rsidR="002C0FD9" w:rsidRPr="00CA25CF" w:rsidRDefault="002C0FD9" w:rsidP="00CA25CF">
            <w:pPr>
              <w:rPr>
                <w:rFonts w:cs="Arial"/>
                <w:color w:val="FF0000"/>
                <w:sz w:val="21"/>
                <w:szCs w:val="21"/>
              </w:rPr>
            </w:pPr>
          </w:p>
        </w:tc>
        <w:tc>
          <w:tcPr>
            <w:tcW w:w="217" w:type="dxa"/>
          </w:tcPr>
          <w:p w14:paraId="3A376A29" w14:textId="77777777" w:rsidR="002C0FD9" w:rsidRPr="00CA25CF" w:rsidRDefault="002C0FD9" w:rsidP="00CA25CF">
            <w:pPr>
              <w:rPr>
                <w:rFonts w:cs="Arial"/>
                <w:color w:val="FF0000"/>
                <w:sz w:val="21"/>
                <w:szCs w:val="21"/>
              </w:rPr>
            </w:pPr>
          </w:p>
        </w:tc>
        <w:tc>
          <w:tcPr>
            <w:tcW w:w="217" w:type="dxa"/>
          </w:tcPr>
          <w:p w14:paraId="7AF071D2" w14:textId="77777777" w:rsidR="002C0FD9" w:rsidRPr="00CA25CF" w:rsidRDefault="002C0FD9" w:rsidP="00CA25CF">
            <w:pPr>
              <w:rPr>
                <w:rFonts w:cs="Arial"/>
                <w:color w:val="FF0000"/>
                <w:sz w:val="21"/>
                <w:szCs w:val="21"/>
              </w:rPr>
            </w:pPr>
          </w:p>
        </w:tc>
        <w:tc>
          <w:tcPr>
            <w:tcW w:w="217" w:type="dxa"/>
          </w:tcPr>
          <w:p w14:paraId="754B77B4" w14:textId="77777777" w:rsidR="002C0FD9" w:rsidRPr="00CA25CF" w:rsidRDefault="002C0FD9" w:rsidP="00CA25CF">
            <w:pPr>
              <w:rPr>
                <w:rFonts w:cs="Arial"/>
                <w:color w:val="FF0000"/>
                <w:sz w:val="21"/>
                <w:szCs w:val="21"/>
              </w:rPr>
            </w:pPr>
          </w:p>
        </w:tc>
        <w:tc>
          <w:tcPr>
            <w:tcW w:w="217" w:type="dxa"/>
          </w:tcPr>
          <w:p w14:paraId="6B3C1C50" w14:textId="77777777" w:rsidR="002C0FD9" w:rsidRPr="00CA25CF" w:rsidRDefault="002C0FD9" w:rsidP="00CA25CF">
            <w:pPr>
              <w:rPr>
                <w:rFonts w:cs="Arial"/>
                <w:color w:val="FF0000"/>
                <w:sz w:val="21"/>
                <w:szCs w:val="21"/>
              </w:rPr>
            </w:pPr>
          </w:p>
        </w:tc>
        <w:tc>
          <w:tcPr>
            <w:tcW w:w="217" w:type="dxa"/>
          </w:tcPr>
          <w:p w14:paraId="7C1726DD" w14:textId="77777777" w:rsidR="002C0FD9" w:rsidRPr="00CA25CF" w:rsidRDefault="002C0FD9" w:rsidP="00CA25CF">
            <w:pPr>
              <w:rPr>
                <w:rFonts w:cs="Arial"/>
                <w:color w:val="FF0000"/>
                <w:sz w:val="21"/>
                <w:szCs w:val="21"/>
              </w:rPr>
            </w:pPr>
          </w:p>
        </w:tc>
        <w:tc>
          <w:tcPr>
            <w:tcW w:w="217" w:type="dxa"/>
          </w:tcPr>
          <w:p w14:paraId="1F3AEB97" w14:textId="77777777" w:rsidR="002C0FD9" w:rsidRPr="00CA25CF" w:rsidRDefault="002C0FD9" w:rsidP="00CA25CF">
            <w:pPr>
              <w:rPr>
                <w:rFonts w:cs="Arial"/>
                <w:color w:val="FF0000"/>
                <w:sz w:val="21"/>
                <w:szCs w:val="21"/>
              </w:rPr>
            </w:pPr>
          </w:p>
        </w:tc>
        <w:tc>
          <w:tcPr>
            <w:tcW w:w="217" w:type="dxa"/>
          </w:tcPr>
          <w:p w14:paraId="326CCAB6" w14:textId="77777777" w:rsidR="002C0FD9" w:rsidRPr="00CA25CF" w:rsidRDefault="002C0FD9" w:rsidP="00CA25CF">
            <w:pPr>
              <w:rPr>
                <w:rFonts w:cs="Arial"/>
                <w:color w:val="FF0000"/>
                <w:sz w:val="21"/>
                <w:szCs w:val="21"/>
              </w:rPr>
            </w:pPr>
          </w:p>
        </w:tc>
        <w:tc>
          <w:tcPr>
            <w:tcW w:w="217" w:type="dxa"/>
          </w:tcPr>
          <w:p w14:paraId="12A96D34" w14:textId="77777777" w:rsidR="002C0FD9" w:rsidRPr="00CA25CF" w:rsidRDefault="002C0FD9" w:rsidP="00CA25CF">
            <w:pPr>
              <w:rPr>
                <w:rFonts w:cs="Arial"/>
                <w:color w:val="FF0000"/>
                <w:sz w:val="21"/>
                <w:szCs w:val="21"/>
              </w:rPr>
            </w:pPr>
          </w:p>
        </w:tc>
        <w:tc>
          <w:tcPr>
            <w:tcW w:w="217" w:type="dxa"/>
          </w:tcPr>
          <w:p w14:paraId="08CF2981" w14:textId="77777777" w:rsidR="002C0FD9" w:rsidRPr="00CA25CF" w:rsidRDefault="002C0FD9" w:rsidP="00CA25CF">
            <w:pPr>
              <w:rPr>
                <w:rFonts w:cs="Arial"/>
                <w:color w:val="FF0000"/>
                <w:sz w:val="21"/>
                <w:szCs w:val="21"/>
              </w:rPr>
            </w:pPr>
          </w:p>
        </w:tc>
        <w:tc>
          <w:tcPr>
            <w:tcW w:w="217" w:type="dxa"/>
          </w:tcPr>
          <w:p w14:paraId="0E77E387" w14:textId="77777777" w:rsidR="002C0FD9" w:rsidRPr="00CA25CF" w:rsidRDefault="002C0FD9" w:rsidP="00CA25CF">
            <w:pPr>
              <w:rPr>
                <w:rFonts w:cs="Arial"/>
                <w:color w:val="FF0000"/>
                <w:sz w:val="21"/>
                <w:szCs w:val="21"/>
              </w:rPr>
            </w:pPr>
          </w:p>
        </w:tc>
        <w:tc>
          <w:tcPr>
            <w:tcW w:w="217" w:type="dxa"/>
          </w:tcPr>
          <w:p w14:paraId="28606539" w14:textId="77777777" w:rsidR="002C0FD9" w:rsidRPr="00CA25CF" w:rsidRDefault="002C0FD9" w:rsidP="00CA25CF">
            <w:pPr>
              <w:rPr>
                <w:rFonts w:cs="Arial"/>
                <w:color w:val="FF0000"/>
                <w:sz w:val="21"/>
                <w:szCs w:val="21"/>
              </w:rPr>
            </w:pPr>
          </w:p>
        </w:tc>
      </w:tr>
      <w:tr w:rsidR="002C0FD9" w:rsidRPr="00A16219" w14:paraId="6354E36F" w14:textId="77777777" w:rsidTr="002C0FD9">
        <w:trPr>
          <w:trHeight w:val="635"/>
        </w:trPr>
        <w:tc>
          <w:tcPr>
            <w:tcW w:w="515" w:type="dxa"/>
          </w:tcPr>
          <w:p w14:paraId="5298CBBC" w14:textId="77777777" w:rsidR="002C0FD9" w:rsidRPr="00CA25CF" w:rsidRDefault="002C0FD9" w:rsidP="00CA25CF">
            <w:pPr>
              <w:rPr>
                <w:rFonts w:cs="Arial"/>
                <w:color w:val="FF0000"/>
                <w:sz w:val="21"/>
                <w:szCs w:val="21"/>
              </w:rPr>
            </w:pPr>
          </w:p>
        </w:tc>
        <w:tc>
          <w:tcPr>
            <w:tcW w:w="217" w:type="dxa"/>
          </w:tcPr>
          <w:p w14:paraId="4ACCDE63" w14:textId="77777777" w:rsidR="002C0FD9" w:rsidRPr="00CA25CF" w:rsidRDefault="002C0FD9" w:rsidP="00CA25CF">
            <w:pPr>
              <w:rPr>
                <w:rFonts w:cs="Arial"/>
                <w:color w:val="FF0000"/>
                <w:sz w:val="21"/>
                <w:szCs w:val="21"/>
              </w:rPr>
            </w:pPr>
          </w:p>
        </w:tc>
        <w:tc>
          <w:tcPr>
            <w:tcW w:w="217" w:type="dxa"/>
          </w:tcPr>
          <w:p w14:paraId="307C55CE" w14:textId="77777777" w:rsidR="002C0FD9" w:rsidRPr="00CA25CF" w:rsidRDefault="002C0FD9" w:rsidP="00CA25CF">
            <w:pPr>
              <w:rPr>
                <w:rFonts w:cs="Arial"/>
                <w:color w:val="FF0000"/>
                <w:sz w:val="21"/>
                <w:szCs w:val="21"/>
              </w:rPr>
            </w:pPr>
          </w:p>
        </w:tc>
        <w:tc>
          <w:tcPr>
            <w:tcW w:w="217" w:type="dxa"/>
          </w:tcPr>
          <w:p w14:paraId="2CF49182" w14:textId="77777777" w:rsidR="002C0FD9" w:rsidRPr="00CA25CF" w:rsidRDefault="002C0FD9" w:rsidP="00CA25CF">
            <w:pPr>
              <w:rPr>
                <w:rFonts w:cs="Arial"/>
                <w:color w:val="FF0000"/>
                <w:sz w:val="21"/>
                <w:szCs w:val="21"/>
              </w:rPr>
            </w:pPr>
          </w:p>
        </w:tc>
        <w:tc>
          <w:tcPr>
            <w:tcW w:w="217" w:type="dxa"/>
          </w:tcPr>
          <w:p w14:paraId="3D7F019E" w14:textId="77777777" w:rsidR="002C0FD9" w:rsidRPr="00CA25CF" w:rsidRDefault="002C0FD9" w:rsidP="00CA25CF">
            <w:pPr>
              <w:rPr>
                <w:rFonts w:cs="Arial"/>
                <w:color w:val="FF0000"/>
                <w:sz w:val="21"/>
                <w:szCs w:val="21"/>
              </w:rPr>
            </w:pPr>
          </w:p>
        </w:tc>
        <w:tc>
          <w:tcPr>
            <w:tcW w:w="217" w:type="dxa"/>
          </w:tcPr>
          <w:p w14:paraId="4C6DD8A0" w14:textId="77777777" w:rsidR="002C0FD9" w:rsidRPr="00CA25CF" w:rsidRDefault="002C0FD9" w:rsidP="00CA25CF">
            <w:pPr>
              <w:rPr>
                <w:rFonts w:cs="Arial"/>
                <w:color w:val="FF0000"/>
                <w:sz w:val="21"/>
                <w:szCs w:val="21"/>
              </w:rPr>
            </w:pPr>
          </w:p>
        </w:tc>
        <w:tc>
          <w:tcPr>
            <w:tcW w:w="217" w:type="dxa"/>
          </w:tcPr>
          <w:p w14:paraId="2D1C3DE1" w14:textId="77777777" w:rsidR="002C0FD9" w:rsidRPr="00CA25CF" w:rsidRDefault="002C0FD9" w:rsidP="00CA25CF">
            <w:pPr>
              <w:rPr>
                <w:rFonts w:cs="Arial"/>
                <w:color w:val="FF0000"/>
                <w:sz w:val="21"/>
                <w:szCs w:val="21"/>
              </w:rPr>
            </w:pPr>
          </w:p>
        </w:tc>
        <w:tc>
          <w:tcPr>
            <w:tcW w:w="217" w:type="dxa"/>
          </w:tcPr>
          <w:p w14:paraId="2F7EACB8" w14:textId="77777777" w:rsidR="002C0FD9" w:rsidRPr="00CA25CF" w:rsidRDefault="002C0FD9" w:rsidP="00CA25CF">
            <w:pPr>
              <w:rPr>
                <w:rFonts w:cs="Arial"/>
                <w:color w:val="FF0000"/>
                <w:sz w:val="21"/>
                <w:szCs w:val="21"/>
              </w:rPr>
            </w:pPr>
          </w:p>
        </w:tc>
        <w:tc>
          <w:tcPr>
            <w:tcW w:w="217" w:type="dxa"/>
          </w:tcPr>
          <w:p w14:paraId="29B4C95D" w14:textId="77777777" w:rsidR="002C0FD9" w:rsidRPr="00CA25CF" w:rsidRDefault="002C0FD9" w:rsidP="00CA25CF">
            <w:pPr>
              <w:rPr>
                <w:rFonts w:cs="Arial"/>
                <w:color w:val="FF0000"/>
                <w:sz w:val="21"/>
                <w:szCs w:val="21"/>
              </w:rPr>
            </w:pPr>
          </w:p>
        </w:tc>
        <w:tc>
          <w:tcPr>
            <w:tcW w:w="217" w:type="dxa"/>
          </w:tcPr>
          <w:p w14:paraId="179DC94F" w14:textId="77777777" w:rsidR="002C0FD9" w:rsidRPr="00CA25CF" w:rsidRDefault="002C0FD9" w:rsidP="00CA25CF">
            <w:pPr>
              <w:rPr>
                <w:rFonts w:cs="Arial"/>
                <w:color w:val="FF0000"/>
                <w:sz w:val="21"/>
                <w:szCs w:val="21"/>
              </w:rPr>
            </w:pPr>
          </w:p>
        </w:tc>
        <w:tc>
          <w:tcPr>
            <w:tcW w:w="217" w:type="dxa"/>
          </w:tcPr>
          <w:p w14:paraId="1B408AFB" w14:textId="77777777" w:rsidR="002C0FD9" w:rsidRPr="00CA25CF" w:rsidRDefault="002C0FD9" w:rsidP="00CA25CF">
            <w:pPr>
              <w:rPr>
                <w:rFonts w:cs="Arial"/>
                <w:color w:val="FF0000"/>
                <w:sz w:val="21"/>
                <w:szCs w:val="21"/>
              </w:rPr>
            </w:pPr>
          </w:p>
        </w:tc>
        <w:tc>
          <w:tcPr>
            <w:tcW w:w="217" w:type="dxa"/>
          </w:tcPr>
          <w:p w14:paraId="16208A44" w14:textId="77777777" w:rsidR="002C0FD9" w:rsidRPr="00CA25CF" w:rsidRDefault="002C0FD9" w:rsidP="00CA25CF">
            <w:pPr>
              <w:rPr>
                <w:rFonts w:cs="Arial"/>
                <w:color w:val="FF0000"/>
                <w:sz w:val="21"/>
                <w:szCs w:val="21"/>
              </w:rPr>
            </w:pPr>
          </w:p>
        </w:tc>
        <w:tc>
          <w:tcPr>
            <w:tcW w:w="217" w:type="dxa"/>
          </w:tcPr>
          <w:p w14:paraId="79650653" w14:textId="77777777" w:rsidR="002C0FD9" w:rsidRPr="00CA25CF" w:rsidRDefault="002C0FD9" w:rsidP="00CA25CF">
            <w:pPr>
              <w:rPr>
                <w:rFonts w:cs="Arial"/>
                <w:color w:val="FF0000"/>
                <w:sz w:val="21"/>
                <w:szCs w:val="21"/>
              </w:rPr>
            </w:pPr>
          </w:p>
        </w:tc>
        <w:tc>
          <w:tcPr>
            <w:tcW w:w="217" w:type="dxa"/>
          </w:tcPr>
          <w:p w14:paraId="33B0A420" w14:textId="77777777" w:rsidR="002C0FD9" w:rsidRPr="00CA25CF" w:rsidRDefault="002C0FD9" w:rsidP="00CA25CF">
            <w:pPr>
              <w:rPr>
                <w:rFonts w:cs="Arial"/>
                <w:color w:val="FF0000"/>
                <w:sz w:val="21"/>
                <w:szCs w:val="21"/>
              </w:rPr>
            </w:pPr>
          </w:p>
        </w:tc>
        <w:tc>
          <w:tcPr>
            <w:tcW w:w="217" w:type="dxa"/>
          </w:tcPr>
          <w:p w14:paraId="1A9530C6" w14:textId="77777777" w:rsidR="002C0FD9" w:rsidRPr="00CA25CF" w:rsidRDefault="002C0FD9" w:rsidP="00CA25CF">
            <w:pPr>
              <w:rPr>
                <w:rFonts w:cs="Arial"/>
                <w:color w:val="FF0000"/>
                <w:sz w:val="21"/>
                <w:szCs w:val="21"/>
              </w:rPr>
            </w:pPr>
          </w:p>
        </w:tc>
        <w:tc>
          <w:tcPr>
            <w:tcW w:w="217" w:type="dxa"/>
          </w:tcPr>
          <w:p w14:paraId="687CEAE7" w14:textId="77777777" w:rsidR="002C0FD9" w:rsidRPr="00CA25CF" w:rsidRDefault="002C0FD9" w:rsidP="00CA25CF">
            <w:pPr>
              <w:rPr>
                <w:rFonts w:cs="Arial"/>
                <w:color w:val="FF0000"/>
                <w:sz w:val="21"/>
                <w:szCs w:val="21"/>
              </w:rPr>
            </w:pPr>
          </w:p>
        </w:tc>
        <w:tc>
          <w:tcPr>
            <w:tcW w:w="217" w:type="dxa"/>
          </w:tcPr>
          <w:p w14:paraId="1B4C8AFE" w14:textId="77777777" w:rsidR="002C0FD9" w:rsidRPr="00CA25CF" w:rsidRDefault="002C0FD9" w:rsidP="00CA25CF">
            <w:pPr>
              <w:rPr>
                <w:rFonts w:cs="Arial"/>
                <w:color w:val="FF0000"/>
                <w:sz w:val="21"/>
                <w:szCs w:val="21"/>
              </w:rPr>
            </w:pPr>
          </w:p>
        </w:tc>
        <w:tc>
          <w:tcPr>
            <w:tcW w:w="217" w:type="dxa"/>
          </w:tcPr>
          <w:p w14:paraId="627CFB67" w14:textId="77777777" w:rsidR="002C0FD9" w:rsidRPr="00CA25CF" w:rsidRDefault="002C0FD9" w:rsidP="00CA25CF">
            <w:pPr>
              <w:rPr>
                <w:rFonts w:cs="Arial"/>
                <w:color w:val="FF0000"/>
                <w:sz w:val="21"/>
                <w:szCs w:val="21"/>
              </w:rPr>
            </w:pPr>
          </w:p>
        </w:tc>
        <w:tc>
          <w:tcPr>
            <w:tcW w:w="217" w:type="dxa"/>
          </w:tcPr>
          <w:p w14:paraId="6FC5830B" w14:textId="77777777" w:rsidR="002C0FD9" w:rsidRPr="00CA25CF" w:rsidRDefault="002C0FD9" w:rsidP="00CA25CF">
            <w:pPr>
              <w:rPr>
                <w:rFonts w:cs="Arial"/>
                <w:color w:val="FF0000"/>
                <w:sz w:val="21"/>
                <w:szCs w:val="21"/>
              </w:rPr>
            </w:pPr>
          </w:p>
        </w:tc>
        <w:tc>
          <w:tcPr>
            <w:tcW w:w="217" w:type="dxa"/>
          </w:tcPr>
          <w:p w14:paraId="07413B07" w14:textId="77777777" w:rsidR="002C0FD9" w:rsidRPr="00CA25CF" w:rsidRDefault="002C0FD9" w:rsidP="00CA25CF">
            <w:pPr>
              <w:rPr>
                <w:rFonts w:cs="Arial"/>
                <w:color w:val="FF0000"/>
                <w:sz w:val="21"/>
                <w:szCs w:val="21"/>
              </w:rPr>
            </w:pPr>
          </w:p>
        </w:tc>
        <w:tc>
          <w:tcPr>
            <w:tcW w:w="217" w:type="dxa"/>
          </w:tcPr>
          <w:p w14:paraId="6C8242F2" w14:textId="77777777" w:rsidR="002C0FD9" w:rsidRPr="00CA25CF" w:rsidRDefault="002C0FD9" w:rsidP="00CA25CF">
            <w:pPr>
              <w:rPr>
                <w:rFonts w:cs="Arial"/>
                <w:color w:val="FF0000"/>
                <w:sz w:val="21"/>
                <w:szCs w:val="21"/>
              </w:rPr>
            </w:pPr>
          </w:p>
        </w:tc>
        <w:tc>
          <w:tcPr>
            <w:tcW w:w="217" w:type="dxa"/>
          </w:tcPr>
          <w:p w14:paraId="5C4F4216" w14:textId="77777777" w:rsidR="002C0FD9" w:rsidRPr="00CA25CF" w:rsidRDefault="002C0FD9" w:rsidP="00CA25CF">
            <w:pPr>
              <w:rPr>
                <w:rFonts w:cs="Arial"/>
                <w:color w:val="FF0000"/>
                <w:sz w:val="21"/>
                <w:szCs w:val="21"/>
              </w:rPr>
            </w:pPr>
          </w:p>
        </w:tc>
        <w:tc>
          <w:tcPr>
            <w:tcW w:w="217" w:type="dxa"/>
          </w:tcPr>
          <w:p w14:paraId="67A72FB7" w14:textId="77777777" w:rsidR="002C0FD9" w:rsidRPr="00CA25CF" w:rsidRDefault="002C0FD9" w:rsidP="00CA25CF">
            <w:pPr>
              <w:rPr>
                <w:rFonts w:cs="Arial"/>
                <w:color w:val="FF0000"/>
                <w:sz w:val="21"/>
                <w:szCs w:val="21"/>
              </w:rPr>
            </w:pPr>
          </w:p>
        </w:tc>
        <w:tc>
          <w:tcPr>
            <w:tcW w:w="217" w:type="dxa"/>
          </w:tcPr>
          <w:p w14:paraId="13DE64A3" w14:textId="77777777" w:rsidR="002C0FD9" w:rsidRPr="00CA25CF" w:rsidRDefault="002C0FD9" w:rsidP="00CA25CF">
            <w:pPr>
              <w:rPr>
                <w:rFonts w:cs="Arial"/>
                <w:color w:val="FF0000"/>
                <w:sz w:val="21"/>
                <w:szCs w:val="21"/>
              </w:rPr>
            </w:pPr>
          </w:p>
        </w:tc>
        <w:tc>
          <w:tcPr>
            <w:tcW w:w="217" w:type="dxa"/>
          </w:tcPr>
          <w:p w14:paraId="55C77CEF" w14:textId="77777777" w:rsidR="002C0FD9" w:rsidRPr="00CA25CF" w:rsidRDefault="002C0FD9" w:rsidP="00CA25CF">
            <w:pPr>
              <w:rPr>
                <w:rFonts w:cs="Arial"/>
                <w:color w:val="FF0000"/>
                <w:sz w:val="21"/>
                <w:szCs w:val="21"/>
              </w:rPr>
            </w:pPr>
          </w:p>
        </w:tc>
        <w:tc>
          <w:tcPr>
            <w:tcW w:w="217" w:type="dxa"/>
          </w:tcPr>
          <w:p w14:paraId="6110ADBF" w14:textId="77777777" w:rsidR="002C0FD9" w:rsidRPr="00CA25CF" w:rsidRDefault="002C0FD9" w:rsidP="00CA25CF">
            <w:pPr>
              <w:rPr>
                <w:rFonts w:cs="Arial"/>
                <w:color w:val="FF0000"/>
                <w:sz w:val="21"/>
                <w:szCs w:val="21"/>
              </w:rPr>
            </w:pPr>
          </w:p>
        </w:tc>
        <w:tc>
          <w:tcPr>
            <w:tcW w:w="217" w:type="dxa"/>
          </w:tcPr>
          <w:p w14:paraId="57E658D1" w14:textId="77777777" w:rsidR="002C0FD9" w:rsidRPr="00CA25CF" w:rsidRDefault="002C0FD9" w:rsidP="00CA25CF">
            <w:pPr>
              <w:rPr>
                <w:rFonts w:cs="Arial"/>
                <w:color w:val="FF0000"/>
                <w:sz w:val="21"/>
                <w:szCs w:val="21"/>
              </w:rPr>
            </w:pPr>
          </w:p>
        </w:tc>
        <w:tc>
          <w:tcPr>
            <w:tcW w:w="217" w:type="dxa"/>
          </w:tcPr>
          <w:p w14:paraId="3AEA415D" w14:textId="77777777" w:rsidR="002C0FD9" w:rsidRPr="00CA25CF" w:rsidRDefault="002C0FD9" w:rsidP="00CA25CF">
            <w:pPr>
              <w:rPr>
                <w:rFonts w:cs="Arial"/>
                <w:color w:val="FF0000"/>
                <w:sz w:val="21"/>
                <w:szCs w:val="21"/>
              </w:rPr>
            </w:pPr>
          </w:p>
        </w:tc>
        <w:tc>
          <w:tcPr>
            <w:tcW w:w="217" w:type="dxa"/>
          </w:tcPr>
          <w:p w14:paraId="47DA54CB" w14:textId="77777777" w:rsidR="002C0FD9" w:rsidRPr="00CA25CF" w:rsidRDefault="002C0FD9" w:rsidP="00CA25CF">
            <w:pPr>
              <w:rPr>
                <w:rFonts w:cs="Arial"/>
                <w:color w:val="FF0000"/>
                <w:sz w:val="21"/>
                <w:szCs w:val="21"/>
              </w:rPr>
            </w:pPr>
          </w:p>
        </w:tc>
        <w:tc>
          <w:tcPr>
            <w:tcW w:w="217" w:type="dxa"/>
          </w:tcPr>
          <w:p w14:paraId="1DF3B894" w14:textId="77777777" w:rsidR="002C0FD9" w:rsidRPr="00CA25CF" w:rsidRDefault="002C0FD9" w:rsidP="00CA25CF">
            <w:pPr>
              <w:rPr>
                <w:rFonts w:cs="Arial"/>
                <w:color w:val="FF0000"/>
                <w:sz w:val="21"/>
                <w:szCs w:val="21"/>
              </w:rPr>
            </w:pPr>
          </w:p>
        </w:tc>
        <w:tc>
          <w:tcPr>
            <w:tcW w:w="217" w:type="dxa"/>
          </w:tcPr>
          <w:p w14:paraId="29FCCE86" w14:textId="77777777" w:rsidR="002C0FD9" w:rsidRPr="00CA25CF" w:rsidRDefault="002C0FD9" w:rsidP="00CA25CF">
            <w:pPr>
              <w:rPr>
                <w:rFonts w:cs="Arial"/>
                <w:color w:val="FF0000"/>
                <w:sz w:val="21"/>
                <w:szCs w:val="21"/>
              </w:rPr>
            </w:pPr>
          </w:p>
        </w:tc>
        <w:tc>
          <w:tcPr>
            <w:tcW w:w="217" w:type="dxa"/>
          </w:tcPr>
          <w:p w14:paraId="628BAC77" w14:textId="77777777" w:rsidR="002C0FD9" w:rsidRPr="00CA25CF" w:rsidRDefault="002C0FD9" w:rsidP="00CA25CF">
            <w:pPr>
              <w:rPr>
                <w:rFonts w:cs="Arial"/>
                <w:color w:val="FF0000"/>
                <w:sz w:val="21"/>
                <w:szCs w:val="21"/>
              </w:rPr>
            </w:pPr>
          </w:p>
        </w:tc>
        <w:tc>
          <w:tcPr>
            <w:tcW w:w="217" w:type="dxa"/>
          </w:tcPr>
          <w:p w14:paraId="23643D81" w14:textId="77777777" w:rsidR="002C0FD9" w:rsidRPr="00CA25CF" w:rsidRDefault="002C0FD9" w:rsidP="00CA25CF">
            <w:pPr>
              <w:rPr>
                <w:rFonts w:cs="Arial"/>
                <w:color w:val="FF0000"/>
                <w:sz w:val="21"/>
                <w:szCs w:val="21"/>
              </w:rPr>
            </w:pPr>
          </w:p>
        </w:tc>
        <w:tc>
          <w:tcPr>
            <w:tcW w:w="217" w:type="dxa"/>
          </w:tcPr>
          <w:p w14:paraId="57984365" w14:textId="77777777" w:rsidR="002C0FD9" w:rsidRPr="00CA25CF" w:rsidRDefault="002C0FD9" w:rsidP="00CA25CF">
            <w:pPr>
              <w:rPr>
                <w:rFonts w:cs="Arial"/>
                <w:color w:val="FF0000"/>
                <w:sz w:val="21"/>
                <w:szCs w:val="21"/>
              </w:rPr>
            </w:pPr>
          </w:p>
        </w:tc>
        <w:tc>
          <w:tcPr>
            <w:tcW w:w="217" w:type="dxa"/>
          </w:tcPr>
          <w:p w14:paraId="075E691D" w14:textId="77777777" w:rsidR="002C0FD9" w:rsidRPr="00CA25CF" w:rsidRDefault="002C0FD9" w:rsidP="00CA25CF">
            <w:pPr>
              <w:rPr>
                <w:rFonts w:cs="Arial"/>
                <w:color w:val="FF0000"/>
                <w:sz w:val="21"/>
                <w:szCs w:val="21"/>
              </w:rPr>
            </w:pPr>
          </w:p>
        </w:tc>
        <w:tc>
          <w:tcPr>
            <w:tcW w:w="217" w:type="dxa"/>
          </w:tcPr>
          <w:p w14:paraId="4BF334D5" w14:textId="77777777" w:rsidR="002C0FD9" w:rsidRPr="00CA25CF" w:rsidRDefault="002C0FD9" w:rsidP="00CA25CF">
            <w:pPr>
              <w:rPr>
                <w:rFonts w:cs="Arial"/>
                <w:color w:val="FF0000"/>
                <w:sz w:val="21"/>
                <w:szCs w:val="21"/>
              </w:rPr>
            </w:pPr>
          </w:p>
        </w:tc>
        <w:tc>
          <w:tcPr>
            <w:tcW w:w="217" w:type="dxa"/>
          </w:tcPr>
          <w:p w14:paraId="4C3EAB2A" w14:textId="77777777" w:rsidR="002C0FD9" w:rsidRPr="00CA25CF" w:rsidRDefault="002C0FD9" w:rsidP="00CA25CF">
            <w:pPr>
              <w:rPr>
                <w:rFonts w:cs="Arial"/>
                <w:color w:val="FF0000"/>
                <w:sz w:val="21"/>
                <w:szCs w:val="21"/>
              </w:rPr>
            </w:pPr>
          </w:p>
        </w:tc>
        <w:tc>
          <w:tcPr>
            <w:tcW w:w="217" w:type="dxa"/>
          </w:tcPr>
          <w:p w14:paraId="1B3957A8" w14:textId="77777777" w:rsidR="002C0FD9" w:rsidRPr="00CA25CF" w:rsidRDefault="002C0FD9" w:rsidP="00CA25CF">
            <w:pPr>
              <w:rPr>
                <w:rFonts w:cs="Arial"/>
                <w:color w:val="FF0000"/>
                <w:sz w:val="21"/>
                <w:szCs w:val="21"/>
              </w:rPr>
            </w:pPr>
          </w:p>
        </w:tc>
        <w:tc>
          <w:tcPr>
            <w:tcW w:w="217" w:type="dxa"/>
          </w:tcPr>
          <w:p w14:paraId="01E48301" w14:textId="77777777" w:rsidR="002C0FD9" w:rsidRPr="00CA25CF" w:rsidRDefault="002C0FD9" w:rsidP="00CA25CF">
            <w:pPr>
              <w:rPr>
                <w:rFonts w:cs="Arial"/>
                <w:color w:val="FF0000"/>
                <w:sz w:val="21"/>
                <w:szCs w:val="21"/>
              </w:rPr>
            </w:pPr>
          </w:p>
        </w:tc>
        <w:tc>
          <w:tcPr>
            <w:tcW w:w="217" w:type="dxa"/>
          </w:tcPr>
          <w:p w14:paraId="36826EF7" w14:textId="77777777" w:rsidR="002C0FD9" w:rsidRPr="00CA25CF" w:rsidRDefault="002C0FD9" w:rsidP="00CA25CF">
            <w:pPr>
              <w:rPr>
                <w:rFonts w:cs="Arial"/>
                <w:color w:val="FF0000"/>
                <w:sz w:val="21"/>
                <w:szCs w:val="21"/>
              </w:rPr>
            </w:pPr>
          </w:p>
        </w:tc>
        <w:tc>
          <w:tcPr>
            <w:tcW w:w="217" w:type="dxa"/>
          </w:tcPr>
          <w:p w14:paraId="44E7DD03" w14:textId="77777777" w:rsidR="002C0FD9" w:rsidRPr="00CA25CF" w:rsidRDefault="002C0FD9" w:rsidP="00CA25CF">
            <w:pPr>
              <w:rPr>
                <w:rFonts w:cs="Arial"/>
                <w:color w:val="FF0000"/>
                <w:sz w:val="21"/>
                <w:szCs w:val="21"/>
              </w:rPr>
            </w:pPr>
          </w:p>
        </w:tc>
        <w:tc>
          <w:tcPr>
            <w:tcW w:w="217" w:type="dxa"/>
          </w:tcPr>
          <w:p w14:paraId="0E16A06C" w14:textId="77777777" w:rsidR="002C0FD9" w:rsidRPr="00CA25CF" w:rsidRDefault="002C0FD9" w:rsidP="00CA25CF">
            <w:pPr>
              <w:rPr>
                <w:rFonts w:cs="Arial"/>
                <w:color w:val="FF0000"/>
                <w:sz w:val="21"/>
                <w:szCs w:val="21"/>
              </w:rPr>
            </w:pPr>
          </w:p>
        </w:tc>
        <w:tc>
          <w:tcPr>
            <w:tcW w:w="217" w:type="dxa"/>
          </w:tcPr>
          <w:p w14:paraId="15150B08" w14:textId="77777777" w:rsidR="002C0FD9" w:rsidRPr="00CA25CF" w:rsidRDefault="002C0FD9" w:rsidP="00CA25CF">
            <w:pPr>
              <w:rPr>
                <w:rFonts w:cs="Arial"/>
                <w:color w:val="FF0000"/>
                <w:sz w:val="21"/>
                <w:szCs w:val="21"/>
              </w:rPr>
            </w:pPr>
          </w:p>
        </w:tc>
      </w:tr>
      <w:tr w:rsidR="002C0FD9" w:rsidRPr="00A16219" w14:paraId="09E58C3D" w14:textId="77777777" w:rsidTr="002C0FD9">
        <w:trPr>
          <w:trHeight w:val="635"/>
        </w:trPr>
        <w:tc>
          <w:tcPr>
            <w:tcW w:w="515" w:type="dxa"/>
          </w:tcPr>
          <w:p w14:paraId="4AA5F5A3" w14:textId="77777777" w:rsidR="002C0FD9" w:rsidRPr="00CA25CF" w:rsidRDefault="002C0FD9" w:rsidP="00CA25CF">
            <w:pPr>
              <w:rPr>
                <w:rFonts w:cs="Arial"/>
                <w:color w:val="FF0000"/>
                <w:sz w:val="21"/>
                <w:szCs w:val="21"/>
              </w:rPr>
            </w:pPr>
          </w:p>
        </w:tc>
        <w:tc>
          <w:tcPr>
            <w:tcW w:w="217" w:type="dxa"/>
          </w:tcPr>
          <w:p w14:paraId="5BCD3FA9" w14:textId="77777777" w:rsidR="002C0FD9" w:rsidRPr="00CA25CF" w:rsidRDefault="002C0FD9" w:rsidP="00CA25CF">
            <w:pPr>
              <w:rPr>
                <w:rFonts w:cs="Arial"/>
                <w:color w:val="FF0000"/>
                <w:sz w:val="21"/>
                <w:szCs w:val="21"/>
              </w:rPr>
            </w:pPr>
          </w:p>
        </w:tc>
        <w:tc>
          <w:tcPr>
            <w:tcW w:w="217" w:type="dxa"/>
          </w:tcPr>
          <w:p w14:paraId="6C10213D" w14:textId="77777777" w:rsidR="002C0FD9" w:rsidRPr="00CA25CF" w:rsidRDefault="002C0FD9" w:rsidP="00CA25CF">
            <w:pPr>
              <w:rPr>
                <w:rFonts w:cs="Arial"/>
                <w:color w:val="FF0000"/>
                <w:sz w:val="21"/>
                <w:szCs w:val="21"/>
              </w:rPr>
            </w:pPr>
          </w:p>
        </w:tc>
        <w:tc>
          <w:tcPr>
            <w:tcW w:w="217" w:type="dxa"/>
          </w:tcPr>
          <w:p w14:paraId="41D8221D" w14:textId="77777777" w:rsidR="002C0FD9" w:rsidRPr="00CA25CF" w:rsidRDefault="002C0FD9" w:rsidP="00CA25CF">
            <w:pPr>
              <w:rPr>
                <w:rFonts w:cs="Arial"/>
                <w:color w:val="FF0000"/>
                <w:sz w:val="21"/>
                <w:szCs w:val="21"/>
              </w:rPr>
            </w:pPr>
          </w:p>
        </w:tc>
        <w:tc>
          <w:tcPr>
            <w:tcW w:w="217" w:type="dxa"/>
          </w:tcPr>
          <w:p w14:paraId="1BA17D3E" w14:textId="77777777" w:rsidR="002C0FD9" w:rsidRPr="00CA25CF" w:rsidRDefault="002C0FD9" w:rsidP="00CA25CF">
            <w:pPr>
              <w:rPr>
                <w:rFonts w:cs="Arial"/>
                <w:color w:val="FF0000"/>
                <w:sz w:val="21"/>
                <w:szCs w:val="21"/>
              </w:rPr>
            </w:pPr>
          </w:p>
        </w:tc>
        <w:tc>
          <w:tcPr>
            <w:tcW w:w="217" w:type="dxa"/>
          </w:tcPr>
          <w:p w14:paraId="1D4E6AAC" w14:textId="77777777" w:rsidR="002C0FD9" w:rsidRPr="00CA25CF" w:rsidRDefault="002C0FD9" w:rsidP="00CA25CF">
            <w:pPr>
              <w:rPr>
                <w:rFonts w:cs="Arial"/>
                <w:color w:val="FF0000"/>
                <w:sz w:val="21"/>
                <w:szCs w:val="21"/>
              </w:rPr>
            </w:pPr>
          </w:p>
        </w:tc>
        <w:tc>
          <w:tcPr>
            <w:tcW w:w="217" w:type="dxa"/>
          </w:tcPr>
          <w:p w14:paraId="645F1655" w14:textId="77777777" w:rsidR="002C0FD9" w:rsidRPr="00CA25CF" w:rsidRDefault="002C0FD9" w:rsidP="00CA25CF">
            <w:pPr>
              <w:rPr>
                <w:rFonts w:cs="Arial"/>
                <w:color w:val="FF0000"/>
                <w:sz w:val="21"/>
                <w:szCs w:val="21"/>
              </w:rPr>
            </w:pPr>
          </w:p>
        </w:tc>
        <w:tc>
          <w:tcPr>
            <w:tcW w:w="217" w:type="dxa"/>
          </w:tcPr>
          <w:p w14:paraId="2EE8B085" w14:textId="77777777" w:rsidR="002C0FD9" w:rsidRPr="00CA25CF" w:rsidRDefault="002C0FD9" w:rsidP="00CA25CF">
            <w:pPr>
              <w:rPr>
                <w:rFonts w:cs="Arial"/>
                <w:color w:val="FF0000"/>
                <w:sz w:val="21"/>
                <w:szCs w:val="21"/>
              </w:rPr>
            </w:pPr>
          </w:p>
        </w:tc>
        <w:tc>
          <w:tcPr>
            <w:tcW w:w="217" w:type="dxa"/>
          </w:tcPr>
          <w:p w14:paraId="2FC89889" w14:textId="77777777" w:rsidR="002C0FD9" w:rsidRPr="00CA25CF" w:rsidRDefault="002C0FD9" w:rsidP="00CA25CF">
            <w:pPr>
              <w:rPr>
                <w:rFonts w:cs="Arial"/>
                <w:color w:val="FF0000"/>
                <w:sz w:val="21"/>
                <w:szCs w:val="21"/>
              </w:rPr>
            </w:pPr>
          </w:p>
        </w:tc>
        <w:tc>
          <w:tcPr>
            <w:tcW w:w="217" w:type="dxa"/>
          </w:tcPr>
          <w:p w14:paraId="3D909EC7" w14:textId="77777777" w:rsidR="002C0FD9" w:rsidRPr="00CA25CF" w:rsidRDefault="002C0FD9" w:rsidP="00CA25CF">
            <w:pPr>
              <w:rPr>
                <w:rFonts w:cs="Arial"/>
                <w:color w:val="FF0000"/>
                <w:sz w:val="21"/>
                <w:szCs w:val="21"/>
              </w:rPr>
            </w:pPr>
          </w:p>
        </w:tc>
        <w:tc>
          <w:tcPr>
            <w:tcW w:w="217" w:type="dxa"/>
          </w:tcPr>
          <w:p w14:paraId="70281E6B" w14:textId="77777777" w:rsidR="002C0FD9" w:rsidRPr="00CA25CF" w:rsidRDefault="002C0FD9" w:rsidP="00CA25CF">
            <w:pPr>
              <w:rPr>
                <w:rFonts w:cs="Arial"/>
                <w:color w:val="FF0000"/>
                <w:sz w:val="21"/>
                <w:szCs w:val="21"/>
              </w:rPr>
            </w:pPr>
          </w:p>
        </w:tc>
        <w:tc>
          <w:tcPr>
            <w:tcW w:w="217" w:type="dxa"/>
          </w:tcPr>
          <w:p w14:paraId="4E23DED0" w14:textId="77777777" w:rsidR="002C0FD9" w:rsidRPr="00CA25CF" w:rsidRDefault="002C0FD9" w:rsidP="00CA25CF">
            <w:pPr>
              <w:rPr>
                <w:rFonts w:cs="Arial"/>
                <w:color w:val="FF0000"/>
                <w:sz w:val="21"/>
                <w:szCs w:val="21"/>
              </w:rPr>
            </w:pPr>
          </w:p>
        </w:tc>
        <w:tc>
          <w:tcPr>
            <w:tcW w:w="217" w:type="dxa"/>
          </w:tcPr>
          <w:p w14:paraId="5127B9A3" w14:textId="77777777" w:rsidR="002C0FD9" w:rsidRPr="00CA25CF" w:rsidRDefault="002C0FD9" w:rsidP="00CA25CF">
            <w:pPr>
              <w:rPr>
                <w:rFonts w:cs="Arial"/>
                <w:color w:val="FF0000"/>
                <w:sz w:val="21"/>
                <w:szCs w:val="21"/>
              </w:rPr>
            </w:pPr>
          </w:p>
        </w:tc>
        <w:tc>
          <w:tcPr>
            <w:tcW w:w="217" w:type="dxa"/>
          </w:tcPr>
          <w:p w14:paraId="7C098784" w14:textId="77777777" w:rsidR="002C0FD9" w:rsidRPr="00CA25CF" w:rsidRDefault="002C0FD9" w:rsidP="00CA25CF">
            <w:pPr>
              <w:rPr>
                <w:rFonts w:cs="Arial"/>
                <w:color w:val="FF0000"/>
                <w:sz w:val="21"/>
                <w:szCs w:val="21"/>
              </w:rPr>
            </w:pPr>
          </w:p>
        </w:tc>
        <w:tc>
          <w:tcPr>
            <w:tcW w:w="217" w:type="dxa"/>
          </w:tcPr>
          <w:p w14:paraId="14A0C2F9" w14:textId="77777777" w:rsidR="002C0FD9" w:rsidRPr="00CA25CF" w:rsidRDefault="002C0FD9" w:rsidP="00CA25CF">
            <w:pPr>
              <w:rPr>
                <w:rFonts w:cs="Arial"/>
                <w:color w:val="FF0000"/>
                <w:sz w:val="21"/>
                <w:szCs w:val="21"/>
              </w:rPr>
            </w:pPr>
          </w:p>
        </w:tc>
        <w:tc>
          <w:tcPr>
            <w:tcW w:w="217" w:type="dxa"/>
          </w:tcPr>
          <w:p w14:paraId="76649336" w14:textId="77777777" w:rsidR="002C0FD9" w:rsidRPr="00CA25CF" w:rsidRDefault="002C0FD9" w:rsidP="00CA25CF">
            <w:pPr>
              <w:rPr>
                <w:rFonts w:cs="Arial"/>
                <w:color w:val="FF0000"/>
                <w:sz w:val="21"/>
                <w:szCs w:val="21"/>
              </w:rPr>
            </w:pPr>
          </w:p>
        </w:tc>
        <w:tc>
          <w:tcPr>
            <w:tcW w:w="217" w:type="dxa"/>
          </w:tcPr>
          <w:p w14:paraId="0B7066C5" w14:textId="77777777" w:rsidR="002C0FD9" w:rsidRPr="00CA25CF" w:rsidRDefault="002C0FD9" w:rsidP="00CA25CF">
            <w:pPr>
              <w:rPr>
                <w:rFonts w:cs="Arial"/>
                <w:color w:val="FF0000"/>
                <w:sz w:val="21"/>
                <w:szCs w:val="21"/>
              </w:rPr>
            </w:pPr>
          </w:p>
        </w:tc>
        <w:tc>
          <w:tcPr>
            <w:tcW w:w="217" w:type="dxa"/>
          </w:tcPr>
          <w:p w14:paraId="72235979" w14:textId="77777777" w:rsidR="002C0FD9" w:rsidRPr="00CA25CF" w:rsidRDefault="002C0FD9" w:rsidP="00CA25CF">
            <w:pPr>
              <w:rPr>
                <w:rFonts w:cs="Arial"/>
                <w:color w:val="FF0000"/>
                <w:sz w:val="21"/>
                <w:szCs w:val="21"/>
              </w:rPr>
            </w:pPr>
          </w:p>
        </w:tc>
        <w:tc>
          <w:tcPr>
            <w:tcW w:w="217" w:type="dxa"/>
          </w:tcPr>
          <w:p w14:paraId="512C62DA" w14:textId="77777777" w:rsidR="002C0FD9" w:rsidRPr="00CA25CF" w:rsidRDefault="002C0FD9" w:rsidP="00CA25CF">
            <w:pPr>
              <w:rPr>
                <w:rFonts w:cs="Arial"/>
                <w:color w:val="FF0000"/>
                <w:sz w:val="21"/>
                <w:szCs w:val="21"/>
              </w:rPr>
            </w:pPr>
          </w:p>
        </w:tc>
        <w:tc>
          <w:tcPr>
            <w:tcW w:w="217" w:type="dxa"/>
          </w:tcPr>
          <w:p w14:paraId="2ED9349D" w14:textId="77777777" w:rsidR="002C0FD9" w:rsidRPr="00CA25CF" w:rsidRDefault="002C0FD9" w:rsidP="00CA25CF">
            <w:pPr>
              <w:rPr>
                <w:rFonts w:cs="Arial"/>
                <w:color w:val="FF0000"/>
                <w:sz w:val="21"/>
                <w:szCs w:val="21"/>
              </w:rPr>
            </w:pPr>
          </w:p>
        </w:tc>
        <w:tc>
          <w:tcPr>
            <w:tcW w:w="217" w:type="dxa"/>
          </w:tcPr>
          <w:p w14:paraId="5DC448B2" w14:textId="77777777" w:rsidR="002C0FD9" w:rsidRPr="00CA25CF" w:rsidRDefault="002C0FD9" w:rsidP="00CA25CF">
            <w:pPr>
              <w:rPr>
                <w:rFonts w:cs="Arial"/>
                <w:color w:val="FF0000"/>
                <w:sz w:val="21"/>
                <w:szCs w:val="21"/>
              </w:rPr>
            </w:pPr>
          </w:p>
        </w:tc>
        <w:tc>
          <w:tcPr>
            <w:tcW w:w="217" w:type="dxa"/>
          </w:tcPr>
          <w:p w14:paraId="4E25B073" w14:textId="77777777" w:rsidR="002C0FD9" w:rsidRPr="00CA25CF" w:rsidRDefault="002C0FD9" w:rsidP="00CA25CF">
            <w:pPr>
              <w:rPr>
                <w:rFonts w:cs="Arial"/>
                <w:color w:val="FF0000"/>
                <w:sz w:val="21"/>
                <w:szCs w:val="21"/>
              </w:rPr>
            </w:pPr>
          </w:p>
        </w:tc>
        <w:tc>
          <w:tcPr>
            <w:tcW w:w="217" w:type="dxa"/>
          </w:tcPr>
          <w:p w14:paraId="16EF192D" w14:textId="77777777" w:rsidR="002C0FD9" w:rsidRPr="00CA25CF" w:rsidRDefault="002C0FD9" w:rsidP="00CA25CF">
            <w:pPr>
              <w:rPr>
                <w:rFonts w:cs="Arial"/>
                <w:color w:val="FF0000"/>
                <w:sz w:val="21"/>
                <w:szCs w:val="21"/>
              </w:rPr>
            </w:pPr>
          </w:p>
        </w:tc>
        <w:tc>
          <w:tcPr>
            <w:tcW w:w="217" w:type="dxa"/>
          </w:tcPr>
          <w:p w14:paraId="6DA58E50" w14:textId="77777777" w:rsidR="002C0FD9" w:rsidRPr="00CA25CF" w:rsidRDefault="002C0FD9" w:rsidP="00CA25CF">
            <w:pPr>
              <w:rPr>
                <w:rFonts w:cs="Arial"/>
                <w:color w:val="FF0000"/>
                <w:sz w:val="21"/>
                <w:szCs w:val="21"/>
              </w:rPr>
            </w:pPr>
          </w:p>
        </w:tc>
        <w:tc>
          <w:tcPr>
            <w:tcW w:w="217" w:type="dxa"/>
          </w:tcPr>
          <w:p w14:paraId="03519165" w14:textId="77777777" w:rsidR="002C0FD9" w:rsidRPr="00CA25CF" w:rsidRDefault="002C0FD9" w:rsidP="00CA25CF">
            <w:pPr>
              <w:rPr>
                <w:rFonts w:cs="Arial"/>
                <w:color w:val="FF0000"/>
                <w:sz w:val="21"/>
                <w:szCs w:val="21"/>
              </w:rPr>
            </w:pPr>
          </w:p>
        </w:tc>
        <w:tc>
          <w:tcPr>
            <w:tcW w:w="217" w:type="dxa"/>
          </w:tcPr>
          <w:p w14:paraId="6B438C9B" w14:textId="77777777" w:rsidR="002C0FD9" w:rsidRPr="00CA25CF" w:rsidRDefault="002C0FD9" w:rsidP="00CA25CF">
            <w:pPr>
              <w:rPr>
                <w:rFonts w:cs="Arial"/>
                <w:color w:val="FF0000"/>
                <w:sz w:val="21"/>
                <w:szCs w:val="21"/>
              </w:rPr>
            </w:pPr>
          </w:p>
        </w:tc>
        <w:tc>
          <w:tcPr>
            <w:tcW w:w="217" w:type="dxa"/>
          </w:tcPr>
          <w:p w14:paraId="19760A01" w14:textId="77777777" w:rsidR="002C0FD9" w:rsidRPr="00CA25CF" w:rsidRDefault="002C0FD9" w:rsidP="00CA25CF">
            <w:pPr>
              <w:rPr>
                <w:rFonts w:cs="Arial"/>
                <w:color w:val="FF0000"/>
                <w:sz w:val="21"/>
                <w:szCs w:val="21"/>
              </w:rPr>
            </w:pPr>
          </w:p>
        </w:tc>
        <w:tc>
          <w:tcPr>
            <w:tcW w:w="217" w:type="dxa"/>
          </w:tcPr>
          <w:p w14:paraId="606A7DC9" w14:textId="77777777" w:rsidR="002C0FD9" w:rsidRPr="00CA25CF" w:rsidRDefault="002C0FD9" w:rsidP="00CA25CF">
            <w:pPr>
              <w:rPr>
                <w:rFonts w:cs="Arial"/>
                <w:color w:val="FF0000"/>
                <w:sz w:val="21"/>
                <w:szCs w:val="21"/>
              </w:rPr>
            </w:pPr>
          </w:p>
        </w:tc>
        <w:tc>
          <w:tcPr>
            <w:tcW w:w="217" w:type="dxa"/>
          </w:tcPr>
          <w:p w14:paraId="7068756A" w14:textId="77777777" w:rsidR="002C0FD9" w:rsidRPr="00CA25CF" w:rsidRDefault="002C0FD9" w:rsidP="00CA25CF">
            <w:pPr>
              <w:rPr>
                <w:rFonts w:cs="Arial"/>
                <w:color w:val="FF0000"/>
                <w:sz w:val="21"/>
                <w:szCs w:val="21"/>
              </w:rPr>
            </w:pPr>
          </w:p>
        </w:tc>
        <w:tc>
          <w:tcPr>
            <w:tcW w:w="217" w:type="dxa"/>
          </w:tcPr>
          <w:p w14:paraId="726D44D6" w14:textId="77777777" w:rsidR="002C0FD9" w:rsidRPr="00CA25CF" w:rsidRDefault="002C0FD9" w:rsidP="00CA25CF">
            <w:pPr>
              <w:rPr>
                <w:rFonts w:cs="Arial"/>
                <w:color w:val="FF0000"/>
                <w:sz w:val="21"/>
                <w:szCs w:val="21"/>
              </w:rPr>
            </w:pPr>
          </w:p>
        </w:tc>
        <w:tc>
          <w:tcPr>
            <w:tcW w:w="217" w:type="dxa"/>
          </w:tcPr>
          <w:p w14:paraId="64F6C425" w14:textId="77777777" w:rsidR="002C0FD9" w:rsidRPr="00CA25CF" w:rsidRDefault="002C0FD9" w:rsidP="00CA25CF">
            <w:pPr>
              <w:rPr>
                <w:rFonts w:cs="Arial"/>
                <w:color w:val="FF0000"/>
                <w:sz w:val="21"/>
                <w:szCs w:val="21"/>
              </w:rPr>
            </w:pPr>
          </w:p>
        </w:tc>
        <w:tc>
          <w:tcPr>
            <w:tcW w:w="217" w:type="dxa"/>
          </w:tcPr>
          <w:p w14:paraId="69CFA9C3" w14:textId="77777777" w:rsidR="002C0FD9" w:rsidRPr="00CA25CF" w:rsidRDefault="002C0FD9" w:rsidP="00CA25CF">
            <w:pPr>
              <w:rPr>
                <w:rFonts w:cs="Arial"/>
                <w:color w:val="FF0000"/>
                <w:sz w:val="21"/>
                <w:szCs w:val="21"/>
              </w:rPr>
            </w:pPr>
          </w:p>
        </w:tc>
        <w:tc>
          <w:tcPr>
            <w:tcW w:w="217" w:type="dxa"/>
          </w:tcPr>
          <w:p w14:paraId="5EB09460" w14:textId="77777777" w:rsidR="002C0FD9" w:rsidRPr="00CA25CF" w:rsidRDefault="002C0FD9" w:rsidP="00CA25CF">
            <w:pPr>
              <w:rPr>
                <w:rFonts w:cs="Arial"/>
                <w:color w:val="FF0000"/>
                <w:sz w:val="21"/>
                <w:szCs w:val="21"/>
              </w:rPr>
            </w:pPr>
          </w:p>
        </w:tc>
        <w:tc>
          <w:tcPr>
            <w:tcW w:w="217" w:type="dxa"/>
          </w:tcPr>
          <w:p w14:paraId="37390E5A" w14:textId="77777777" w:rsidR="002C0FD9" w:rsidRPr="00CA25CF" w:rsidRDefault="002C0FD9" w:rsidP="00CA25CF">
            <w:pPr>
              <w:rPr>
                <w:rFonts w:cs="Arial"/>
                <w:color w:val="FF0000"/>
                <w:sz w:val="21"/>
                <w:szCs w:val="21"/>
              </w:rPr>
            </w:pPr>
          </w:p>
        </w:tc>
        <w:tc>
          <w:tcPr>
            <w:tcW w:w="217" w:type="dxa"/>
          </w:tcPr>
          <w:p w14:paraId="22E8669E" w14:textId="77777777" w:rsidR="002C0FD9" w:rsidRPr="00CA25CF" w:rsidRDefault="002C0FD9" w:rsidP="00CA25CF">
            <w:pPr>
              <w:rPr>
                <w:rFonts w:cs="Arial"/>
                <w:color w:val="FF0000"/>
                <w:sz w:val="21"/>
                <w:szCs w:val="21"/>
              </w:rPr>
            </w:pPr>
          </w:p>
        </w:tc>
        <w:tc>
          <w:tcPr>
            <w:tcW w:w="217" w:type="dxa"/>
          </w:tcPr>
          <w:p w14:paraId="48B57FA8" w14:textId="77777777" w:rsidR="002C0FD9" w:rsidRPr="00CA25CF" w:rsidRDefault="002C0FD9" w:rsidP="00CA25CF">
            <w:pPr>
              <w:rPr>
                <w:rFonts w:cs="Arial"/>
                <w:color w:val="FF0000"/>
                <w:sz w:val="21"/>
                <w:szCs w:val="21"/>
              </w:rPr>
            </w:pPr>
          </w:p>
        </w:tc>
        <w:tc>
          <w:tcPr>
            <w:tcW w:w="217" w:type="dxa"/>
          </w:tcPr>
          <w:p w14:paraId="75EF3C13" w14:textId="77777777" w:rsidR="002C0FD9" w:rsidRPr="00CA25CF" w:rsidRDefault="002C0FD9" w:rsidP="00CA25CF">
            <w:pPr>
              <w:rPr>
                <w:rFonts w:cs="Arial"/>
                <w:color w:val="FF0000"/>
                <w:sz w:val="21"/>
                <w:szCs w:val="21"/>
              </w:rPr>
            </w:pPr>
          </w:p>
        </w:tc>
        <w:tc>
          <w:tcPr>
            <w:tcW w:w="217" w:type="dxa"/>
          </w:tcPr>
          <w:p w14:paraId="75E0A241" w14:textId="77777777" w:rsidR="002C0FD9" w:rsidRPr="00CA25CF" w:rsidRDefault="002C0FD9" w:rsidP="00CA25CF">
            <w:pPr>
              <w:rPr>
                <w:rFonts w:cs="Arial"/>
                <w:color w:val="FF0000"/>
                <w:sz w:val="21"/>
                <w:szCs w:val="21"/>
              </w:rPr>
            </w:pPr>
          </w:p>
        </w:tc>
        <w:tc>
          <w:tcPr>
            <w:tcW w:w="217" w:type="dxa"/>
          </w:tcPr>
          <w:p w14:paraId="45BD9378" w14:textId="77777777" w:rsidR="002C0FD9" w:rsidRPr="00CA25CF" w:rsidRDefault="002C0FD9" w:rsidP="00CA25CF">
            <w:pPr>
              <w:rPr>
                <w:rFonts w:cs="Arial"/>
                <w:color w:val="FF0000"/>
                <w:sz w:val="21"/>
                <w:szCs w:val="21"/>
              </w:rPr>
            </w:pPr>
          </w:p>
        </w:tc>
        <w:tc>
          <w:tcPr>
            <w:tcW w:w="217" w:type="dxa"/>
          </w:tcPr>
          <w:p w14:paraId="14CF462D" w14:textId="77777777" w:rsidR="002C0FD9" w:rsidRPr="00CA25CF" w:rsidRDefault="002C0FD9" w:rsidP="00CA25CF">
            <w:pPr>
              <w:rPr>
                <w:rFonts w:cs="Arial"/>
                <w:color w:val="FF0000"/>
                <w:sz w:val="21"/>
                <w:szCs w:val="21"/>
              </w:rPr>
            </w:pPr>
          </w:p>
        </w:tc>
        <w:tc>
          <w:tcPr>
            <w:tcW w:w="217" w:type="dxa"/>
          </w:tcPr>
          <w:p w14:paraId="6EC3EF2E" w14:textId="77777777" w:rsidR="002C0FD9" w:rsidRPr="00CA25CF" w:rsidRDefault="002C0FD9" w:rsidP="00CA25CF">
            <w:pPr>
              <w:rPr>
                <w:rFonts w:cs="Arial"/>
                <w:color w:val="FF0000"/>
                <w:sz w:val="21"/>
                <w:szCs w:val="21"/>
              </w:rPr>
            </w:pPr>
          </w:p>
        </w:tc>
        <w:tc>
          <w:tcPr>
            <w:tcW w:w="217" w:type="dxa"/>
          </w:tcPr>
          <w:p w14:paraId="6DBBB8CF" w14:textId="77777777" w:rsidR="002C0FD9" w:rsidRPr="00CA25CF" w:rsidRDefault="002C0FD9" w:rsidP="00CA25CF">
            <w:pPr>
              <w:rPr>
                <w:rFonts w:cs="Arial"/>
                <w:color w:val="FF0000"/>
                <w:sz w:val="21"/>
                <w:szCs w:val="21"/>
              </w:rPr>
            </w:pPr>
          </w:p>
        </w:tc>
        <w:tc>
          <w:tcPr>
            <w:tcW w:w="217" w:type="dxa"/>
          </w:tcPr>
          <w:p w14:paraId="55ADDC34" w14:textId="77777777" w:rsidR="002C0FD9" w:rsidRPr="00CA25CF" w:rsidRDefault="002C0FD9" w:rsidP="00CA25CF">
            <w:pPr>
              <w:rPr>
                <w:rFonts w:cs="Arial"/>
                <w:color w:val="FF0000"/>
                <w:sz w:val="21"/>
                <w:szCs w:val="21"/>
              </w:rPr>
            </w:pPr>
          </w:p>
        </w:tc>
      </w:tr>
      <w:tr w:rsidR="002C0FD9" w:rsidRPr="00A16219" w14:paraId="207DEAC3" w14:textId="77777777" w:rsidTr="002C0FD9">
        <w:trPr>
          <w:trHeight w:val="635"/>
        </w:trPr>
        <w:tc>
          <w:tcPr>
            <w:tcW w:w="515" w:type="dxa"/>
          </w:tcPr>
          <w:p w14:paraId="4641AF5D" w14:textId="77777777" w:rsidR="002C0FD9" w:rsidRPr="00CA25CF" w:rsidRDefault="002C0FD9" w:rsidP="00CA25CF">
            <w:pPr>
              <w:rPr>
                <w:rFonts w:cs="Arial"/>
                <w:color w:val="FF0000"/>
                <w:sz w:val="21"/>
                <w:szCs w:val="21"/>
              </w:rPr>
            </w:pPr>
          </w:p>
        </w:tc>
        <w:tc>
          <w:tcPr>
            <w:tcW w:w="217" w:type="dxa"/>
          </w:tcPr>
          <w:p w14:paraId="60F16D42" w14:textId="77777777" w:rsidR="002C0FD9" w:rsidRPr="00CA25CF" w:rsidRDefault="002C0FD9" w:rsidP="00CA25CF">
            <w:pPr>
              <w:rPr>
                <w:rFonts w:cs="Arial"/>
                <w:color w:val="FF0000"/>
                <w:sz w:val="21"/>
                <w:szCs w:val="21"/>
              </w:rPr>
            </w:pPr>
          </w:p>
        </w:tc>
        <w:tc>
          <w:tcPr>
            <w:tcW w:w="217" w:type="dxa"/>
          </w:tcPr>
          <w:p w14:paraId="28F95B17" w14:textId="77777777" w:rsidR="002C0FD9" w:rsidRPr="00CA25CF" w:rsidRDefault="002C0FD9" w:rsidP="00CA25CF">
            <w:pPr>
              <w:rPr>
                <w:rFonts w:cs="Arial"/>
                <w:color w:val="FF0000"/>
                <w:sz w:val="21"/>
                <w:szCs w:val="21"/>
              </w:rPr>
            </w:pPr>
          </w:p>
        </w:tc>
        <w:tc>
          <w:tcPr>
            <w:tcW w:w="217" w:type="dxa"/>
          </w:tcPr>
          <w:p w14:paraId="01283A3B" w14:textId="77777777" w:rsidR="002C0FD9" w:rsidRPr="00CA25CF" w:rsidRDefault="002C0FD9" w:rsidP="00CA25CF">
            <w:pPr>
              <w:rPr>
                <w:rFonts w:cs="Arial"/>
                <w:color w:val="FF0000"/>
                <w:sz w:val="21"/>
                <w:szCs w:val="21"/>
              </w:rPr>
            </w:pPr>
          </w:p>
        </w:tc>
        <w:tc>
          <w:tcPr>
            <w:tcW w:w="217" w:type="dxa"/>
          </w:tcPr>
          <w:p w14:paraId="7F4E97BC" w14:textId="77777777" w:rsidR="002C0FD9" w:rsidRPr="00CA25CF" w:rsidRDefault="002C0FD9" w:rsidP="00CA25CF">
            <w:pPr>
              <w:rPr>
                <w:rFonts w:cs="Arial"/>
                <w:color w:val="FF0000"/>
                <w:sz w:val="21"/>
                <w:szCs w:val="21"/>
              </w:rPr>
            </w:pPr>
          </w:p>
        </w:tc>
        <w:tc>
          <w:tcPr>
            <w:tcW w:w="217" w:type="dxa"/>
          </w:tcPr>
          <w:p w14:paraId="0520113F" w14:textId="77777777" w:rsidR="002C0FD9" w:rsidRPr="00CA25CF" w:rsidRDefault="002C0FD9" w:rsidP="00CA25CF">
            <w:pPr>
              <w:rPr>
                <w:rFonts w:cs="Arial"/>
                <w:color w:val="FF0000"/>
                <w:sz w:val="21"/>
                <w:szCs w:val="21"/>
              </w:rPr>
            </w:pPr>
          </w:p>
        </w:tc>
        <w:tc>
          <w:tcPr>
            <w:tcW w:w="217" w:type="dxa"/>
          </w:tcPr>
          <w:p w14:paraId="3A4245D3" w14:textId="77777777" w:rsidR="002C0FD9" w:rsidRPr="00CA25CF" w:rsidRDefault="002C0FD9" w:rsidP="00CA25CF">
            <w:pPr>
              <w:rPr>
                <w:rFonts w:cs="Arial"/>
                <w:color w:val="FF0000"/>
                <w:sz w:val="21"/>
                <w:szCs w:val="21"/>
              </w:rPr>
            </w:pPr>
          </w:p>
        </w:tc>
        <w:tc>
          <w:tcPr>
            <w:tcW w:w="217" w:type="dxa"/>
          </w:tcPr>
          <w:p w14:paraId="1B7D8260" w14:textId="77777777" w:rsidR="002C0FD9" w:rsidRPr="00CA25CF" w:rsidRDefault="002C0FD9" w:rsidP="00CA25CF">
            <w:pPr>
              <w:rPr>
                <w:rFonts w:cs="Arial"/>
                <w:color w:val="FF0000"/>
                <w:sz w:val="21"/>
                <w:szCs w:val="21"/>
              </w:rPr>
            </w:pPr>
          </w:p>
        </w:tc>
        <w:tc>
          <w:tcPr>
            <w:tcW w:w="217" w:type="dxa"/>
          </w:tcPr>
          <w:p w14:paraId="38FF64BB" w14:textId="77777777" w:rsidR="002C0FD9" w:rsidRPr="00CA25CF" w:rsidRDefault="002C0FD9" w:rsidP="00CA25CF">
            <w:pPr>
              <w:rPr>
                <w:rFonts w:cs="Arial"/>
                <w:color w:val="FF0000"/>
                <w:sz w:val="21"/>
                <w:szCs w:val="21"/>
              </w:rPr>
            </w:pPr>
          </w:p>
        </w:tc>
        <w:tc>
          <w:tcPr>
            <w:tcW w:w="217" w:type="dxa"/>
          </w:tcPr>
          <w:p w14:paraId="38C83B31" w14:textId="77777777" w:rsidR="002C0FD9" w:rsidRPr="00CA25CF" w:rsidRDefault="002C0FD9" w:rsidP="00CA25CF">
            <w:pPr>
              <w:rPr>
                <w:rFonts w:cs="Arial"/>
                <w:color w:val="FF0000"/>
                <w:sz w:val="21"/>
                <w:szCs w:val="21"/>
              </w:rPr>
            </w:pPr>
          </w:p>
        </w:tc>
        <w:tc>
          <w:tcPr>
            <w:tcW w:w="217" w:type="dxa"/>
          </w:tcPr>
          <w:p w14:paraId="749397CC" w14:textId="77777777" w:rsidR="002C0FD9" w:rsidRPr="00CA25CF" w:rsidRDefault="002C0FD9" w:rsidP="00CA25CF">
            <w:pPr>
              <w:rPr>
                <w:rFonts w:cs="Arial"/>
                <w:color w:val="FF0000"/>
                <w:sz w:val="21"/>
                <w:szCs w:val="21"/>
              </w:rPr>
            </w:pPr>
          </w:p>
        </w:tc>
        <w:tc>
          <w:tcPr>
            <w:tcW w:w="217" w:type="dxa"/>
          </w:tcPr>
          <w:p w14:paraId="5D335482" w14:textId="77777777" w:rsidR="002C0FD9" w:rsidRPr="00CA25CF" w:rsidRDefault="002C0FD9" w:rsidP="00CA25CF">
            <w:pPr>
              <w:rPr>
                <w:rFonts w:cs="Arial"/>
                <w:color w:val="FF0000"/>
                <w:sz w:val="21"/>
                <w:szCs w:val="21"/>
              </w:rPr>
            </w:pPr>
          </w:p>
        </w:tc>
        <w:tc>
          <w:tcPr>
            <w:tcW w:w="217" w:type="dxa"/>
          </w:tcPr>
          <w:p w14:paraId="153DF28B" w14:textId="77777777" w:rsidR="002C0FD9" w:rsidRPr="00CA25CF" w:rsidRDefault="002C0FD9" w:rsidP="00CA25CF">
            <w:pPr>
              <w:rPr>
                <w:rFonts w:cs="Arial"/>
                <w:color w:val="FF0000"/>
                <w:sz w:val="21"/>
                <w:szCs w:val="21"/>
              </w:rPr>
            </w:pPr>
          </w:p>
        </w:tc>
        <w:tc>
          <w:tcPr>
            <w:tcW w:w="217" w:type="dxa"/>
          </w:tcPr>
          <w:p w14:paraId="048E86E1" w14:textId="77777777" w:rsidR="002C0FD9" w:rsidRPr="00CA25CF" w:rsidRDefault="002C0FD9" w:rsidP="00CA25CF">
            <w:pPr>
              <w:rPr>
                <w:rFonts w:cs="Arial"/>
                <w:color w:val="FF0000"/>
                <w:sz w:val="21"/>
                <w:szCs w:val="21"/>
              </w:rPr>
            </w:pPr>
          </w:p>
        </w:tc>
        <w:tc>
          <w:tcPr>
            <w:tcW w:w="217" w:type="dxa"/>
          </w:tcPr>
          <w:p w14:paraId="6AD92B0B" w14:textId="77777777" w:rsidR="002C0FD9" w:rsidRPr="00CA25CF" w:rsidRDefault="002C0FD9" w:rsidP="00CA25CF">
            <w:pPr>
              <w:rPr>
                <w:rFonts w:cs="Arial"/>
                <w:color w:val="FF0000"/>
                <w:sz w:val="21"/>
                <w:szCs w:val="21"/>
              </w:rPr>
            </w:pPr>
          </w:p>
        </w:tc>
        <w:tc>
          <w:tcPr>
            <w:tcW w:w="217" w:type="dxa"/>
          </w:tcPr>
          <w:p w14:paraId="285545E0" w14:textId="77777777" w:rsidR="002C0FD9" w:rsidRPr="00CA25CF" w:rsidRDefault="002C0FD9" w:rsidP="00CA25CF">
            <w:pPr>
              <w:rPr>
                <w:rFonts w:cs="Arial"/>
                <w:color w:val="FF0000"/>
                <w:sz w:val="21"/>
                <w:szCs w:val="21"/>
              </w:rPr>
            </w:pPr>
          </w:p>
        </w:tc>
        <w:tc>
          <w:tcPr>
            <w:tcW w:w="217" w:type="dxa"/>
          </w:tcPr>
          <w:p w14:paraId="6A666608" w14:textId="77777777" w:rsidR="002C0FD9" w:rsidRPr="00CA25CF" w:rsidRDefault="002C0FD9" w:rsidP="00CA25CF">
            <w:pPr>
              <w:rPr>
                <w:rFonts w:cs="Arial"/>
                <w:color w:val="FF0000"/>
                <w:sz w:val="21"/>
                <w:szCs w:val="21"/>
              </w:rPr>
            </w:pPr>
          </w:p>
        </w:tc>
        <w:tc>
          <w:tcPr>
            <w:tcW w:w="217" w:type="dxa"/>
          </w:tcPr>
          <w:p w14:paraId="756541EE" w14:textId="77777777" w:rsidR="002C0FD9" w:rsidRPr="00CA25CF" w:rsidRDefault="002C0FD9" w:rsidP="00CA25CF">
            <w:pPr>
              <w:rPr>
                <w:rFonts w:cs="Arial"/>
                <w:color w:val="FF0000"/>
                <w:sz w:val="21"/>
                <w:szCs w:val="21"/>
              </w:rPr>
            </w:pPr>
          </w:p>
        </w:tc>
        <w:tc>
          <w:tcPr>
            <w:tcW w:w="217" w:type="dxa"/>
          </w:tcPr>
          <w:p w14:paraId="489F3F6C" w14:textId="77777777" w:rsidR="002C0FD9" w:rsidRPr="00CA25CF" w:rsidRDefault="002C0FD9" w:rsidP="00CA25CF">
            <w:pPr>
              <w:rPr>
                <w:rFonts w:cs="Arial"/>
                <w:color w:val="FF0000"/>
                <w:sz w:val="21"/>
                <w:szCs w:val="21"/>
              </w:rPr>
            </w:pPr>
          </w:p>
        </w:tc>
        <w:tc>
          <w:tcPr>
            <w:tcW w:w="217" w:type="dxa"/>
          </w:tcPr>
          <w:p w14:paraId="2050E4BC" w14:textId="77777777" w:rsidR="002C0FD9" w:rsidRPr="00CA25CF" w:rsidRDefault="002C0FD9" w:rsidP="00CA25CF">
            <w:pPr>
              <w:rPr>
                <w:rFonts w:cs="Arial"/>
                <w:color w:val="FF0000"/>
                <w:sz w:val="21"/>
                <w:szCs w:val="21"/>
              </w:rPr>
            </w:pPr>
          </w:p>
        </w:tc>
        <w:tc>
          <w:tcPr>
            <w:tcW w:w="217" w:type="dxa"/>
          </w:tcPr>
          <w:p w14:paraId="5A63B33F" w14:textId="77777777" w:rsidR="002C0FD9" w:rsidRPr="00CA25CF" w:rsidRDefault="002C0FD9" w:rsidP="00CA25CF">
            <w:pPr>
              <w:rPr>
                <w:rFonts w:cs="Arial"/>
                <w:color w:val="FF0000"/>
                <w:sz w:val="21"/>
                <w:szCs w:val="21"/>
              </w:rPr>
            </w:pPr>
          </w:p>
        </w:tc>
        <w:tc>
          <w:tcPr>
            <w:tcW w:w="217" w:type="dxa"/>
          </w:tcPr>
          <w:p w14:paraId="3DE06582" w14:textId="77777777" w:rsidR="002C0FD9" w:rsidRPr="00CA25CF" w:rsidRDefault="002C0FD9" w:rsidP="00CA25CF">
            <w:pPr>
              <w:rPr>
                <w:rFonts w:cs="Arial"/>
                <w:color w:val="FF0000"/>
                <w:sz w:val="21"/>
                <w:szCs w:val="21"/>
              </w:rPr>
            </w:pPr>
          </w:p>
        </w:tc>
        <w:tc>
          <w:tcPr>
            <w:tcW w:w="217" w:type="dxa"/>
          </w:tcPr>
          <w:p w14:paraId="64A2FC19" w14:textId="77777777" w:rsidR="002C0FD9" w:rsidRPr="00CA25CF" w:rsidRDefault="002C0FD9" w:rsidP="00CA25CF">
            <w:pPr>
              <w:rPr>
                <w:rFonts w:cs="Arial"/>
                <w:color w:val="FF0000"/>
                <w:sz w:val="21"/>
                <w:szCs w:val="21"/>
              </w:rPr>
            </w:pPr>
          </w:p>
        </w:tc>
        <w:tc>
          <w:tcPr>
            <w:tcW w:w="217" w:type="dxa"/>
          </w:tcPr>
          <w:p w14:paraId="5BAE3D0C" w14:textId="77777777" w:rsidR="002C0FD9" w:rsidRPr="00CA25CF" w:rsidRDefault="002C0FD9" w:rsidP="00CA25CF">
            <w:pPr>
              <w:rPr>
                <w:rFonts w:cs="Arial"/>
                <w:color w:val="FF0000"/>
                <w:sz w:val="21"/>
                <w:szCs w:val="21"/>
              </w:rPr>
            </w:pPr>
          </w:p>
        </w:tc>
        <w:tc>
          <w:tcPr>
            <w:tcW w:w="217" w:type="dxa"/>
          </w:tcPr>
          <w:p w14:paraId="4668D9C3" w14:textId="77777777" w:rsidR="002C0FD9" w:rsidRPr="00CA25CF" w:rsidRDefault="002C0FD9" w:rsidP="00CA25CF">
            <w:pPr>
              <w:rPr>
                <w:rFonts w:cs="Arial"/>
                <w:color w:val="FF0000"/>
                <w:sz w:val="21"/>
                <w:szCs w:val="21"/>
              </w:rPr>
            </w:pPr>
          </w:p>
        </w:tc>
        <w:tc>
          <w:tcPr>
            <w:tcW w:w="217" w:type="dxa"/>
          </w:tcPr>
          <w:p w14:paraId="3F76F6F7" w14:textId="77777777" w:rsidR="002C0FD9" w:rsidRPr="00CA25CF" w:rsidRDefault="002C0FD9" w:rsidP="00CA25CF">
            <w:pPr>
              <w:rPr>
                <w:rFonts w:cs="Arial"/>
                <w:color w:val="FF0000"/>
                <w:sz w:val="21"/>
                <w:szCs w:val="21"/>
              </w:rPr>
            </w:pPr>
          </w:p>
        </w:tc>
        <w:tc>
          <w:tcPr>
            <w:tcW w:w="217" w:type="dxa"/>
          </w:tcPr>
          <w:p w14:paraId="51ED3580" w14:textId="77777777" w:rsidR="002C0FD9" w:rsidRPr="00CA25CF" w:rsidRDefault="002C0FD9" w:rsidP="00CA25CF">
            <w:pPr>
              <w:rPr>
                <w:rFonts w:cs="Arial"/>
                <w:color w:val="FF0000"/>
                <w:sz w:val="21"/>
                <w:szCs w:val="21"/>
              </w:rPr>
            </w:pPr>
          </w:p>
        </w:tc>
        <w:tc>
          <w:tcPr>
            <w:tcW w:w="217" w:type="dxa"/>
          </w:tcPr>
          <w:p w14:paraId="142A4C30" w14:textId="77777777" w:rsidR="002C0FD9" w:rsidRPr="00CA25CF" w:rsidRDefault="002C0FD9" w:rsidP="00CA25CF">
            <w:pPr>
              <w:rPr>
                <w:rFonts w:cs="Arial"/>
                <w:color w:val="FF0000"/>
                <w:sz w:val="21"/>
                <w:szCs w:val="21"/>
              </w:rPr>
            </w:pPr>
          </w:p>
        </w:tc>
        <w:tc>
          <w:tcPr>
            <w:tcW w:w="217" w:type="dxa"/>
          </w:tcPr>
          <w:p w14:paraId="35B99B5D" w14:textId="77777777" w:rsidR="002C0FD9" w:rsidRPr="00CA25CF" w:rsidRDefault="002C0FD9" w:rsidP="00CA25CF">
            <w:pPr>
              <w:rPr>
                <w:rFonts w:cs="Arial"/>
                <w:color w:val="FF0000"/>
                <w:sz w:val="21"/>
                <w:szCs w:val="21"/>
              </w:rPr>
            </w:pPr>
          </w:p>
        </w:tc>
        <w:tc>
          <w:tcPr>
            <w:tcW w:w="217" w:type="dxa"/>
          </w:tcPr>
          <w:p w14:paraId="2C8A1507" w14:textId="77777777" w:rsidR="002C0FD9" w:rsidRPr="00CA25CF" w:rsidRDefault="002C0FD9" w:rsidP="00CA25CF">
            <w:pPr>
              <w:rPr>
                <w:rFonts w:cs="Arial"/>
                <w:color w:val="FF0000"/>
                <w:sz w:val="21"/>
                <w:szCs w:val="21"/>
              </w:rPr>
            </w:pPr>
          </w:p>
        </w:tc>
        <w:tc>
          <w:tcPr>
            <w:tcW w:w="217" w:type="dxa"/>
          </w:tcPr>
          <w:p w14:paraId="48558A01" w14:textId="77777777" w:rsidR="002C0FD9" w:rsidRPr="00CA25CF" w:rsidRDefault="002C0FD9" w:rsidP="00CA25CF">
            <w:pPr>
              <w:rPr>
                <w:rFonts w:cs="Arial"/>
                <w:color w:val="FF0000"/>
                <w:sz w:val="21"/>
                <w:szCs w:val="21"/>
              </w:rPr>
            </w:pPr>
          </w:p>
        </w:tc>
        <w:tc>
          <w:tcPr>
            <w:tcW w:w="217" w:type="dxa"/>
          </w:tcPr>
          <w:p w14:paraId="149C27C0" w14:textId="77777777" w:rsidR="002C0FD9" w:rsidRPr="00CA25CF" w:rsidRDefault="002C0FD9" w:rsidP="00CA25CF">
            <w:pPr>
              <w:rPr>
                <w:rFonts w:cs="Arial"/>
                <w:color w:val="FF0000"/>
                <w:sz w:val="21"/>
                <w:szCs w:val="21"/>
              </w:rPr>
            </w:pPr>
          </w:p>
        </w:tc>
        <w:tc>
          <w:tcPr>
            <w:tcW w:w="217" w:type="dxa"/>
          </w:tcPr>
          <w:p w14:paraId="45ADACFE" w14:textId="77777777" w:rsidR="002C0FD9" w:rsidRPr="00CA25CF" w:rsidRDefault="002C0FD9" w:rsidP="00CA25CF">
            <w:pPr>
              <w:rPr>
                <w:rFonts w:cs="Arial"/>
                <w:color w:val="FF0000"/>
                <w:sz w:val="21"/>
                <w:szCs w:val="21"/>
              </w:rPr>
            </w:pPr>
          </w:p>
        </w:tc>
        <w:tc>
          <w:tcPr>
            <w:tcW w:w="217" w:type="dxa"/>
          </w:tcPr>
          <w:p w14:paraId="32D2679D" w14:textId="77777777" w:rsidR="002C0FD9" w:rsidRPr="00CA25CF" w:rsidRDefault="002C0FD9" w:rsidP="00CA25CF">
            <w:pPr>
              <w:rPr>
                <w:rFonts w:cs="Arial"/>
                <w:color w:val="FF0000"/>
                <w:sz w:val="21"/>
                <w:szCs w:val="21"/>
              </w:rPr>
            </w:pPr>
          </w:p>
        </w:tc>
        <w:tc>
          <w:tcPr>
            <w:tcW w:w="217" w:type="dxa"/>
          </w:tcPr>
          <w:p w14:paraId="4CDDB59F" w14:textId="77777777" w:rsidR="002C0FD9" w:rsidRPr="00CA25CF" w:rsidRDefault="002C0FD9" w:rsidP="00CA25CF">
            <w:pPr>
              <w:rPr>
                <w:rFonts w:cs="Arial"/>
                <w:color w:val="FF0000"/>
                <w:sz w:val="21"/>
                <w:szCs w:val="21"/>
              </w:rPr>
            </w:pPr>
          </w:p>
        </w:tc>
        <w:tc>
          <w:tcPr>
            <w:tcW w:w="217" w:type="dxa"/>
          </w:tcPr>
          <w:p w14:paraId="708D6874" w14:textId="77777777" w:rsidR="002C0FD9" w:rsidRPr="00CA25CF" w:rsidRDefault="002C0FD9" w:rsidP="00CA25CF">
            <w:pPr>
              <w:rPr>
                <w:rFonts w:cs="Arial"/>
                <w:color w:val="FF0000"/>
                <w:sz w:val="21"/>
                <w:szCs w:val="21"/>
              </w:rPr>
            </w:pPr>
          </w:p>
        </w:tc>
        <w:tc>
          <w:tcPr>
            <w:tcW w:w="217" w:type="dxa"/>
          </w:tcPr>
          <w:p w14:paraId="7BED2638" w14:textId="77777777" w:rsidR="002C0FD9" w:rsidRPr="00CA25CF" w:rsidRDefault="002C0FD9" w:rsidP="00CA25CF">
            <w:pPr>
              <w:rPr>
                <w:rFonts w:cs="Arial"/>
                <w:color w:val="FF0000"/>
                <w:sz w:val="21"/>
                <w:szCs w:val="21"/>
              </w:rPr>
            </w:pPr>
          </w:p>
        </w:tc>
        <w:tc>
          <w:tcPr>
            <w:tcW w:w="217" w:type="dxa"/>
          </w:tcPr>
          <w:p w14:paraId="53E02AC1" w14:textId="77777777" w:rsidR="002C0FD9" w:rsidRPr="00CA25CF" w:rsidRDefault="002C0FD9" w:rsidP="00CA25CF">
            <w:pPr>
              <w:rPr>
                <w:rFonts w:cs="Arial"/>
                <w:color w:val="FF0000"/>
                <w:sz w:val="21"/>
                <w:szCs w:val="21"/>
              </w:rPr>
            </w:pPr>
          </w:p>
        </w:tc>
        <w:tc>
          <w:tcPr>
            <w:tcW w:w="217" w:type="dxa"/>
          </w:tcPr>
          <w:p w14:paraId="59D5040E" w14:textId="77777777" w:rsidR="002C0FD9" w:rsidRPr="00CA25CF" w:rsidRDefault="002C0FD9" w:rsidP="00CA25CF">
            <w:pPr>
              <w:rPr>
                <w:rFonts w:cs="Arial"/>
                <w:color w:val="FF0000"/>
                <w:sz w:val="21"/>
                <w:szCs w:val="21"/>
              </w:rPr>
            </w:pPr>
          </w:p>
        </w:tc>
        <w:tc>
          <w:tcPr>
            <w:tcW w:w="217" w:type="dxa"/>
          </w:tcPr>
          <w:p w14:paraId="5C097409" w14:textId="77777777" w:rsidR="002C0FD9" w:rsidRPr="00CA25CF" w:rsidRDefault="002C0FD9" w:rsidP="00CA25CF">
            <w:pPr>
              <w:rPr>
                <w:rFonts w:cs="Arial"/>
                <w:color w:val="FF0000"/>
                <w:sz w:val="21"/>
                <w:szCs w:val="21"/>
              </w:rPr>
            </w:pPr>
          </w:p>
        </w:tc>
        <w:tc>
          <w:tcPr>
            <w:tcW w:w="217" w:type="dxa"/>
          </w:tcPr>
          <w:p w14:paraId="71B56D22" w14:textId="77777777" w:rsidR="002C0FD9" w:rsidRPr="00CA25CF" w:rsidRDefault="002C0FD9" w:rsidP="00CA25CF">
            <w:pPr>
              <w:rPr>
                <w:rFonts w:cs="Arial"/>
                <w:color w:val="FF0000"/>
                <w:sz w:val="21"/>
                <w:szCs w:val="21"/>
              </w:rPr>
            </w:pPr>
          </w:p>
        </w:tc>
        <w:tc>
          <w:tcPr>
            <w:tcW w:w="217" w:type="dxa"/>
          </w:tcPr>
          <w:p w14:paraId="5828B8D2" w14:textId="77777777" w:rsidR="002C0FD9" w:rsidRPr="00CA25CF" w:rsidRDefault="002C0FD9" w:rsidP="00CA25CF">
            <w:pPr>
              <w:rPr>
                <w:rFonts w:cs="Arial"/>
                <w:color w:val="FF0000"/>
                <w:sz w:val="21"/>
                <w:szCs w:val="21"/>
              </w:rPr>
            </w:pPr>
          </w:p>
        </w:tc>
        <w:tc>
          <w:tcPr>
            <w:tcW w:w="217" w:type="dxa"/>
          </w:tcPr>
          <w:p w14:paraId="2D4739B7" w14:textId="77777777" w:rsidR="002C0FD9" w:rsidRPr="00CA25CF" w:rsidRDefault="002C0FD9" w:rsidP="00CA25CF">
            <w:pPr>
              <w:rPr>
                <w:rFonts w:cs="Arial"/>
                <w:color w:val="FF0000"/>
                <w:sz w:val="21"/>
                <w:szCs w:val="21"/>
              </w:rPr>
            </w:pPr>
          </w:p>
        </w:tc>
      </w:tr>
      <w:tr w:rsidR="002C0FD9" w:rsidRPr="00A16219" w14:paraId="37C04309" w14:textId="77777777" w:rsidTr="002C0FD9">
        <w:trPr>
          <w:trHeight w:val="635"/>
        </w:trPr>
        <w:tc>
          <w:tcPr>
            <w:tcW w:w="515" w:type="dxa"/>
          </w:tcPr>
          <w:p w14:paraId="19A4070B" w14:textId="77777777" w:rsidR="002C0FD9" w:rsidRPr="00CA25CF" w:rsidRDefault="002C0FD9" w:rsidP="00CA25CF">
            <w:pPr>
              <w:rPr>
                <w:rFonts w:cs="Arial"/>
                <w:color w:val="FF0000"/>
                <w:sz w:val="21"/>
                <w:szCs w:val="21"/>
              </w:rPr>
            </w:pPr>
          </w:p>
        </w:tc>
        <w:tc>
          <w:tcPr>
            <w:tcW w:w="217" w:type="dxa"/>
          </w:tcPr>
          <w:p w14:paraId="44AF006C" w14:textId="77777777" w:rsidR="002C0FD9" w:rsidRPr="00CA25CF" w:rsidRDefault="002C0FD9" w:rsidP="00CA25CF">
            <w:pPr>
              <w:rPr>
                <w:rFonts w:cs="Arial"/>
                <w:color w:val="FF0000"/>
                <w:sz w:val="21"/>
                <w:szCs w:val="21"/>
              </w:rPr>
            </w:pPr>
          </w:p>
        </w:tc>
        <w:tc>
          <w:tcPr>
            <w:tcW w:w="217" w:type="dxa"/>
          </w:tcPr>
          <w:p w14:paraId="08AFF765" w14:textId="77777777" w:rsidR="002C0FD9" w:rsidRPr="00CA25CF" w:rsidRDefault="002C0FD9" w:rsidP="00CA25CF">
            <w:pPr>
              <w:rPr>
                <w:rFonts w:cs="Arial"/>
                <w:color w:val="FF0000"/>
                <w:sz w:val="21"/>
                <w:szCs w:val="21"/>
              </w:rPr>
            </w:pPr>
          </w:p>
        </w:tc>
        <w:tc>
          <w:tcPr>
            <w:tcW w:w="217" w:type="dxa"/>
          </w:tcPr>
          <w:p w14:paraId="61B28E18" w14:textId="77777777" w:rsidR="002C0FD9" w:rsidRPr="00CA25CF" w:rsidRDefault="002C0FD9" w:rsidP="00CA25CF">
            <w:pPr>
              <w:rPr>
                <w:rFonts w:cs="Arial"/>
                <w:color w:val="FF0000"/>
                <w:sz w:val="21"/>
                <w:szCs w:val="21"/>
              </w:rPr>
            </w:pPr>
          </w:p>
        </w:tc>
        <w:tc>
          <w:tcPr>
            <w:tcW w:w="217" w:type="dxa"/>
          </w:tcPr>
          <w:p w14:paraId="1A021599" w14:textId="77777777" w:rsidR="002C0FD9" w:rsidRPr="00CA25CF" w:rsidRDefault="002C0FD9" w:rsidP="00CA25CF">
            <w:pPr>
              <w:rPr>
                <w:rFonts w:cs="Arial"/>
                <w:color w:val="FF0000"/>
                <w:sz w:val="21"/>
                <w:szCs w:val="21"/>
              </w:rPr>
            </w:pPr>
          </w:p>
        </w:tc>
        <w:tc>
          <w:tcPr>
            <w:tcW w:w="217" w:type="dxa"/>
          </w:tcPr>
          <w:p w14:paraId="5D03511E" w14:textId="77777777" w:rsidR="002C0FD9" w:rsidRPr="00CA25CF" w:rsidRDefault="002C0FD9" w:rsidP="00CA25CF">
            <w:pPr>
              <w:rPr>
                <w:rFonts w:cs="Arial"/>
                <w:color w:val="FF0000"/>
                <w:sz w:val="21"/>
                <w:szCs w:val="21"/>
              </w:rPr>
            </w:pPr>
          </w:p>
        </w:tc>
        <w:tc>
          <w:tcPr>
            <w:tcW w:w="217" w:type="dxa"/>
          </w:tcPr>
          <w:p w14:paraId="634BD120" w14:textId="77777777" w:rsidR="002C0FD9" w:rsidRPr="00CA25CF" w:rsidRDefault="002C0FD9" w:rsidP="00CA25CF">
            <w:pPr>
              <w:rPr>
                <w:rFonts w:cs="Arial"/>
                <w:color w:val="FF0000"/>
                <w:sz w:val="21"/>
                <w:szCs w:val="21"/>
              </w:rPr>
            </w:pPr>
          </w:p>
        </w:tc>
        <w:tc>
          <w:tcPr>
            <w:tcW w:w="217" w:type="dxa"/>
          </w:tcPr>
          <w:p w14:paraId="6EA2A1AC" w14:textId="77777777" w:rsidR="002C0FD9" w:rsidRPr="00CA25CF" w:rsidRDefault="002C0FD9" w:rsidP="00CA25CF">
            <w:pPr>
              <w:rPr>
                <w:rFonts w:cs="Arial"/>
                <w:color w:val="FF0000"/>
                <w:sz w:val="21"/>
                <w:szCs w:val="21"/>
              </w:rPr>
            </w:pPr>
          </w:p>
        </w:tc>
        <w:tc>
          <w:tcPr>
            <w:tcW w:w="217" w:type="dxa"/>
          </w:tcPr>
          <w:p w14:paraId="702136A6" w14:textId="77777777" w:rsidR="002C0FD9" w:rsidRPr="00CA25CF" w:rsidRDefault="002C0FD9" w:rsidP="00CA25CF">
            <w:pPr>
              <w:rPr>
                <w:rFonts w:cs="Arial"/>
                <w:color w:val="FF0000"/>
                <w:sz w:val="21"/>
                <w:szCs w:val="21"/>
              </w:rPr>
            </w:pPr>
          </w:p>
        </w:tc>
        <w:tc>
          <w:tcPr>
            <w:tcW w:w="217" w:type="dxa"/>
          </w:tcPr>
          <w:p w14:paraId="453A5F30" w14:textId="77777777" w:rsidR="002C0FD9" w:rsidRPr="00CA25CF" w:rsidRDefault="002C0FD9" w:rsidP="00CA25CF">
            <w:pPr>
              <w:rPr>
                <w:rFonts w:cs="Arial"/>
                <w:color w:val="FF0000"/>
                <w:sz w:val="21"/>
                <w:szCs w:val="21"/>
              </w:rPr>
            </w:pPr>
          </w:p>
        </w:tc>
        <w:tc>
          <w:tcPr>
            <w:tcW w:w="217" w:type="dxa"/>
          </w:tcPr>
          <w:p w14:paraId="6B628907" w14:textId="77777777" w:rsidR="002C0FD9" w:rsidRPr="00CA25CF" w:rsidRDefault="002C0FD9" w:rsidP="00CA25CF">
            <w:pPr>
              <w:rPr>
                <w:rFonts w:cs="Arial"/>
                <w:color w:val="FF0000"/>
                <w:sz w:val="21"/>
                <w:szCs w:val="21"/>
              </w:rPr>
            </w:pPr>
          </w:p>
        </w:tc>
        <w:tc>
          <w:tcPr>
            <w:tcW w:w="217" w:type="dxa"/>
          </w:tcPr>
          <w:p w14:paraId="3E2FD485" w14:textId="77777777" w:rsidR="002C0FD9" w:rsidRPr="00CA25CF" w:rsidRDefault="002C0FD9" w:rsidP="00CA25CF">
            <w:pPr>
              <w:rPr>
                <w:rFonts w:cs="Arial"/>
                <w:color w:val="FF0000"/>
                <w:sz w:val="21"/>
                <w:szCs w:val="21"/>
              </w:rPr>
            </w:pPr>
          </w:p>
        </w:tc>
        <w:tc>
          <w:tcPr>
            <w:tcW w:w="217" w:type="dxa"/>
          </w:tcPr>
          <w:p w14:paraId="4BF8B946" w14:textId="77777777" w:rsidR="002C0FD9" w:rsidRPr="00CA25CF" w:rsidRDefault="002C0FD9" w:rsidP="00CA25CF">
            <w:pPr>
              <w:rPr>
                <w:rFonts w:cs="Arial"/>
                <w:color w:val="FF0000"/>
                <w:sz w:val="21"/>
                <w:szCs w:val="21"/>
              </w:rPr>
            </w:pPr>
          </w:p>
        </w:tc>
        <w:tc>
          <w:tcPr>
            <w:tcW w:w="217" w:type="dxa"/>
          </w:tcPr>
          <w:p w14:paraId="1FE88CCC" w14:textId="77777777" w:rsidR="002C0FD9" w:rsidRPr="00CA25CF" w:rsidRDefault="002C0FD9" w:rsidP="00CA25CF">
            <w:pPr>
              <w:rPr>
                <w:rFonts w:cs="Arial"/>
                <w:color w:val="FF0000"/>
                <w:sz w:val="21"/>
                <w:szCs w:val="21"/>
              </w:rPr>
            </w:pPr>
          </w:p>
        </w:tc>
        <w:tc>
          <w:tcPr>
            <w:tcW w:w="217" w:type="dxa"/>
          </w:tcPr>
          <w:p w14:paraId="376E23D5" w14:textId="77777777" w:rsidR="002C0FD9" w:rsidRPr="00CA25CF" w:rsidRDefault="002C0FD9" w:rsidP="00CA25CF">
            <w:pPr>
              <w:rPr>
                <w:rFonts w:cs="Arial"/>
                <w:color w:val="FF0000"/>
                <w:sz w:val="21"/>
                <w:szCs w:val="21"/>
              </w:rPr>
            </w:pPr>
          </w:p>
        </w:tc>
        <w:tc>
          <w:tcPr>
            <w:tcW w:w="217" w:type="dxa"/>
          </w:tcPr>
          <w:p w14:paraId="17618549" w14:textId="77777777" w:rsidR="002C0FD9" w:rsidRPr="00CA25CF" w:rsidRDefault="002C0FD9" w:rsidP="00CA25CF">
            <w:pPr>
              <w:rPr>
                <w:rFonts w:cs="Arial"/>
                <w:color w:val="FF0000"/>
                <w:sz w:val="21"/>
                <w:szCs w:val="21"/>
              </w:rPr>
            </w:pPr>
          </w:p>
        </w:tc>
        <w:tc>
          <w:tcPr>
            <w:tcW w:w="217" w:type="dxa"/>
          </w:tcPr>
          <w:p w14:paraId="1343125F" w14:textId="77777777" w:rsidR="002C0FD9" w:rsidRPr="00CA25CF" w:rsidRDefault="002C0FD9" w:rsidP="00CA25CF">
            <w:pPr>
              <w:rPr>
                <w:rFonts w:cs="Arial"/>
                <w:color w:val="FF0000"/>
                <w:sz w:val="21"/>
                <w:szCs w:val="21"/>
              </w:rPr>
            </w:pPr>
          </w:p>
        </w:tc>
        <w:tc>
          <w:tcPr>
            <w:tcW w:w="217" w:type="dxa"/>
          </w:tcPr>
          <w:p w14:paraId="0F24799E" w14:textId="77777777" w:rsidR="002C0FD9" w:rsidRPr="00CA25CF" w:rsidRDefault="002C0FD9" w:rsidP="00CA25CF">
            <w:pPr>
              <w:rPr>
                <w:rFonts w:cs="Arial"/>
                <w:color w:val="FF0000"/>
                <w:sz w:val="21"/>
                <w:szCs w:val="21"/>
              </w:rPr>
            </w:pPr>
          </w:p>
        </w:tc>
        <w:tc>
          <w:tcPr>
            <w:tcW w:w="217" w:type="dxa"/>
          </w:tcPr>
          <w:p w14:paraId="055A513C" w14:textId="77777777" w:rsidR="002C0FD9" w:rsidRPr="00CA25CF" w:rsidRDefault="002C0FD9" w:rsidP="00CA25CF">
            <w:pPr>
              <w:rPr>
                <w:rFonts w:cs="Arial"/>
                <w:color w:val="FF0000"/>
                <w:sz w:val="21"/>
                <w:szCs w:val="21"/>
              </w:rPr>
            </w:pPr>
          </w:p>
        </w:tc>
        <w:tc>
          <w:tcPr>
            <w:tcW w:w="217" w:type="dxa"/>
          </w:tcPr>
          <w:p w14:paraId="74EB0C10" w14:textId="77777777" w:rsidR="002C0FD9" w:rsidRPr="00CA25CF" w:rsidRDefault="002C0FD9" w:rsidP="00CA25CF">
            <w:pPr>
              <w:rPr>
                <w:rFonts w:cs="Arial"/>
                <w:color w:val="FF0000"/>
                <w:sz w:val="21"/>
                <w:szCs w:val="21"/>
              </w:rPr>
            </w:pPr>
          </w:p>
        </w:tc>
        <w:tc>
          <w:tcPr>
            <w:tcW w:w="217" w:type="dxa"/>
          </w:tcPr>
          <w:p w14:paraId="783AB486" w14:textId="77777777" w:rsidR="002C0FD9" w:rsidRPr="00CA25CF" w:rsidRDefault="002C0FD9" w:rsidP="00CA25CF">
            <w:pPr>
              <w:rPr>
                <w:rFonts w:cs="Arial"/>
                <w:color w:val="FF0000"/>
                <w:sz w:val="21"/>
                <w:szCs w:val="21"/>
              </w:rPr>
            </w:pPr>
          </w:p>
        </w:tc>
        <w:tc>
          <w:tcPr>
            <w:tcW w:w="217" w:type="dxa"/>
          </w:tcPr>
          <w:p w14:paraId="7F2C7C7A" w14:textId="77777777" w:rsidR="002C0FD9" w:rsidRPr="00CA25CF" w:rsidRDefault="002C0FD9" w:rsidP="00CA25CF">
            <w:pPr>
              <w:rPr>
                <w:rFonts w:cs="Arial"/>
                <w:color w:val="FF0000"/>
                <w:sz w:val="21"/>
                <w:szCs w:val="21"/>
              </w:rPr>
            </w:pPr>
          </w:p>
        </w:tc>
        <w:tc>
          <w:tcPr>
            <w:tcW w:w="217" w:type="dxa"/>
          </w:tcPr>
          <w:p w14:paraId="68B041A3" w14:textId="77777777" w:rsidR="002C0FD9" w:rsidRPr="00CA25CF" w:rsidRDefault="002C0FD9" w:rsidP="00CA25CF">
            <w:pPr>
              <w:rPr>
                <w:rFonts w:cs="Arial"/>
                <w:color w:val="FF0000"/>
                <w:sz w:val="21"/>
                <w:szCs w:val="21"/>
              </w:rPr>
            </w:pPr>
          </w:p>
        </w:tc>
        <w:tc>
          <w:tcPr>
            <w:tcW w:w="217" w:type="dxa"/>
          </w:tcPr>
          <w:p w14:paraId="4CD30B04" w14:textId="77777777" w:rsidR="002C0FD9" w:rsidRPr="00CA25CF" w:rsidRDefault="002C0FD9" w:rsidP="00CA25CF">
            <w:pPr>
              <w:rPr>
                <w:rFonts w:cs="Arial"/>
                <w:color w:val="FF0000"/>
                <w:sz w:val="21"/>
                <w:szCs w:val="21"/>
              </w:rPr>
            </w:pPr>
          </w:p>
        </w:tc>
        <w:tc>
          <w:tcPr>
            <w:tcW w:w="217" w:type="dxa"/>
          </w:tcPr>
          <w:p w14:paraId="575A7B82" w14:textId="77777777" w:rsidR="002C0FD9" w:rsidRPr="00CA25CF" w:rsidRDefault="002C0FD9" w:rsidP="00CA25CF">
            <w:pPr>
              <w:rPr>
                <w:rFonts w:cs="Arial"/>
                <w:color w:val="FF0000"/>
                <w:sz w:val="21"/>
                <w:szCs w:val="21"/>
              </w:rPr>
            </w:pPr>
          </w:p>
        </w:tc>
        <w:tc>
          <w:tcPr>
            <w:tcW w:w="217" w:type="dxa"/>
          </w:tcPr>
          <w:p w14:paraId="45410903" w14:textId="77777777" w:rsidR="002C0FD9" w:rsidRPr="00CA25CF" w:rsidRDefault="002C0FD9" w:rsidP="00CA25CF">
            <w:pPr>
              <w:rPr>
                <w:rFonts w:cs="Arial"/>
                <w:color w:val="FF0000"/>
                <w:sz w:val="21"/>
                <w:szCs w:val="21"/>
              </w:rPr>
            </w:pPr>
          </w:p>
        </w:tc>
        <w:tc>
          <w:tcPr>
            <w:tcW w:w="217" w:type="dxa"/>
          </w:tcPr>
          <w:p w14:paraId="6B03894F" w14:textId="77777777" w:rsidR="002C0FD9" w:rsidRPr="00CA25CF" w:rsidRDefault="002C0FD9" w:rsidP="00CA25CF">
            <w:pPr>
              <w:rPr>
                <w:rFonts w:cs="Arial"/>
                <w:color w:val="FF0000"/>
                <w:sz w:val="21"/>
                <w:szCs w:val="21"/>
              </w:rPr>
            </w:pPr>
          </w:p>
        </w:tc>
        <w:tc>
          <w:tcPr>
            <w:tcW w:w="217" w:type="dxa"/>
          </w:tcPr>
          <w:p w14:paraId="01B79802" w14:textId="77777777" w:rsidR="002C0FD9" w:rsidRPr="00CA25CF" w:rsidRDefault="002C0FD9" w:rsidP="00CA25CF">
            <w:pPr>
              <w:rPr>
                <w:rFonts w:cs="Arial"/>
                <w:color w:val="FF0000"/>
                <w:sz w:val="21"/>
                <w:szCs w:val="21"/>
              </w:rPr>
            </w:pPr>
          </w:p>
        </w:tc>
        <w:tc>
          <w:tcPr>
            <w:tcW w:w="217" w:type="dxa"/>
          </w:tcPr>
          <w:p w14:paraId="7B4F4563" w14:textId="77777777" w:rsidR="002C0FD9" w:rsidRPr="00CA25CF" w:rsidRDefault="002C0FD9" w:rsidP="00CA25CF">
            <w:pPr>
              <w:rPr>
                <w:rFonts w:cs="Arial"/>
                <w:color w:val="FF0000"/>
                <w:sz w:val="21"/>
                <w:szCs w:val="21"/>
              </w:rPr>
            </w:pPr>
          </w:p>
        </w:tc>
        <w:tc>
          <w:tcPr>
            <w:tcW w:w="217" w:type="dxa"/>
          </w:tcPr>
          <w:p w14:paraId="2B25DDCE" w14:textId="77777777" w:rsidR="002C0FD9" w:rsidRPr="00CA25CF" w:rsidRDefault="002C0FD9" w:rsidP="00CA25CF">
            <w:pPr>
              <w:rPr>
                <w:rFonts w:cs="Arial"/>
                <w:color w:val="FF0000"/>
                <w:sz w:val="21"/>
                <w:szCs w:val="21"/>
              </w:rPr>
            </w:pPr>
          </w:p>
        </w:tc>
        <w:tc>
          <w:tcPr>
            <w:tcW w:w="217" w:type="dxa"/>
          </w:tcPr>
          <w:p w14:paraId="66BAF562" w14:textId="77777777" w:rsidR="002C0FD9" w:rsidRPr="00CA25CF" w:rsidRDefault="002C0FD9" w:rsidP="00CA25CF">
            <w:pPr>
              <w:rPr>
                <w:rFonts w:cs="Arial"/>
                <w:color w:val="FF0000"/>
                <w:sz w:val="21"/>
                <w:szCs w:val="21"/>
              </w:rPr>
            </w:pPr>
          </w:p>
        </w:tc>
        <w:tc>
          <w:tcPr>
            <w:tcW w:w="217" w:type="dxa"/>
          </w:tcPr>
          <w:p w14:paraId="2D64B0BB" w14:textId="77777777" w:rsidR="002C0FD9" w:rsidRPr="00CA25CF" w:rsidRDefault="002C0FD9" w:rsidP="00CA25CF">
            <w:pPr>
              <w:rPr>
                <w:rFonts w:cs="Arial"/>
                <w:color w:val="FF0000"/>
                <w:sz w:val="21"/>
                <w:szCs w:val="21"/>
              </w:rPr>
            </w:pPr>
          </w:p>
        </w:tc>
        <w:tc>
          <w:tcPr>
            <w:tcW w:w="217" w:type="dxa"/>
          </w:tcPr>
          <w:p w14:paraId="0ADCC0A4" w14:textId="77777777" w:rsidR="002C0FD9" w:rsidRPr="00CA25CF" w:rsidRDefault="002C0FD9" w:rsidP="00CA25CF">
            <w:pPr>
              <w:rPr>
                <w:rFonts w:cs="Arial"/>
                <w:color w:val="FF0000"/>
                <w:sz w:val="21"/>
                <w:szCs w:val="21"/>
              </w:rPr>
            </w:pPr>
          </w:p>
        </w:tc>
        <w:tc>
          <w:tcPr>
            <w:tcW w:w="217" w:type="dxa"/>
          </w:tcPr>
          <w:p w14:paraId="51D70AB9" w14:textId="77777777" w:rsidR="002C0FD9" w:rsidRPr="00CA25CF" w:rsidRDefault="002C0FD9" w:rsidP="00CA25CF">
            <w:pPr>
              <w:rPr>
                <w:rFonts w:cs="Arial"/>
                <w:color w:val="FF0000"/>
                <w:sz w:val="21"/>
                <w:szCs w:val="21"/>
              </w:rPr>
            </w:pPr>
          </w:p>
        </w:tc>
        <w:tc>
          <w:tcPr>
            <w:tcW w:w="217" w:type="dxa"/>
          </w:tcPr>
          <w:p w14:paraId="41C34F6C" w14:textId="77777777" w:rsidR="002C0FD9" w:rsidRPr="00CA25CF" w:rsidRDefault="002C0FD9" w:rsidP="00CA25CF">
            <w:pPr>
              <w:rPr>
                <w:rFonts w:cs="Arial"/>
                <w:color w:val="FF0000"/>
                <w:sz w:val="21"/>
                <w:szCs w:val="21"/>
              </w:rPr>
            </w:pPr>
          </w:p>
        </w:tc>
        <w:tc>
          <w:tcPr>
            <w:tcW w:w="217" w:type="dxa"/>
          </w:tcPr>
          <w:p w14:paraId="7CCAB181" w14:textId="77777777" w:rsidR="002C0FD9" w:rsidRPr="00CA25CF" w:rsidRDefault="002C0FD9" w:rsidP="00CA25CF">
            <w:pPr>
              <w:rPr>
                <w:rFonts w:cs="Arial"/>
                <w:color w:val="FF0000"/>
                <w:sz w:val="21"/>
                <w:szCs w:val="21"/>
              </w:rPr>
            </w:pPr>
          </w:p>
        </w:tc>
        <w:tc>
          <w:tcPr>
            <w:tcW w:w="217" w:type="dxa"/>
          </w:tcPr>
          <w:p w14:paraId="0708A8D0" w14:textId="77777777" w:rsidR="002C0FD9" w:rsidRPr="00CA25CF" w:rsidRDefault="002C0FD9" w:rsidP="00CA25CF">
            <w:pPr>
              <w:rPr>
                <w:rFonts w:cs="Arial"/>
                <w:color w:val="FF0000"/>
                <w:sz w:val="21"/>
                <w:szCs w:val="21"/>
              </w:rPr>
            </w:pPr>
          </w:p>
        </w:tc>
        <w:tc>
          <w:tcPr>
            <w:tcW w:w="217" w:type="dxa"/>
          </w:tcPr>
          <w:p w14:paraId="7240EC48" w14:textId="77777777" w:rsidR="002C0FD9" w:rsidRPr="00CA25CF" w:rsidRDefault="002C0FD9" w:rsidP="00CA25CF">
            <w:pPr>
              <w:rPr>
                <w:rFonts w:cs="Arial"/>
                <w:color w:val="FF0000"/>
                <w:sz w:val="21"/>
                <w:szCs w:val="21"/>
              </w:rPr>
            </w:pPr>
          </w:p>
        </w:tc>
        <w:tc>
          <w:tcPr>
            <w:tcW w:w="217" w:type="dxa"/>
          </w:tcPr>
          <w:p w14:paraId="3FB57341" w14:textId="77777777" w:rsidR="002C0FD9" w:rsidRPr="00CA25CF" w:rsidRDefault="002C0FD9" w:rsidP="00CA25CF">
            <w:pPr>
              <w:rPr>
                <w:rFonts w:cs="Arial"/>
                <w:color w:val="FF0000"/>
                <w:sz w:val="21"/>
                <w:szCs w:val="21"/>
              </w:rPr>
            </w:pPr>
          </w:p>
        </w:tc>
        <w:tc>
          <w:tcPr>
            <w:tcW w:w="217" w:type="dxa"/>
          </w:tcPr>
          <w:p w14:paraId="2F134A13" w14:textId="77777777" w:rsidR="002C0FD9" w:rsidRPr="00CA25CF" w:rsidRDefault="002C0FD9" w:rsidP="00CA25CF">
            <w:pPr>
              <w:rPr>
                <w:rFonts w:cs="Arial"/>
                <w:color w:val="FF0000"/>
                <w:sz w:val="21"/>
                <w:szCs w:val="21"/>
              </w:rPr>
            </w:pPr>
          </w:p>
        </w:tc>
        <w:tc>
          <w:tcPr>
            <w:tcW w:w="217" w:type="dxa"/>
          </w:tcPr>
          <w:p w14:paraId="120D7CFE" w14:textId="77777777" w:rsidR="002C0FD9" w:rsidRPr="00CA25CF" w:rsidRDefault="002C0FD9" w:rsidP="00CA25CF">
            <w:pPr>
              <w:rPr>
                <w:rFonts w:cs="Arial"/>
                <w:color w:val="FF0000"/>
                <w:sz w:val="21"/>
                <w:szCs w:val="21"/>
              </w:rPr>
            </w:pPr>
          </w:p>
        </w:tc>
        <w:tc>
          <w:tcPr>
            <w:tcW w:w="217" w:type="dxa"/>
          </w:tcPr>
          <w:p w14:paraId="2A80D7B1" w14:textId="77777777" w:rsidR="002C0FD9" w:rsidRPr="00CA25CF" w:rsidRDefault="002C0FD9" w:rsidP="00CA25CF">
            <w:pPr>
              <w:rPr>
                <w:rFonts w:cs="Arial"/>
                <w:color w:val="FF0000"/>
                <w:sz w:val="21"/>
                <w:szCs w:val="21"/>
              </w:rPr>
            </w:pPr>
          </w:p>
        </w:tc>
        <w:tc>
          <w:tcPr>
            <w:tcW w:w="217" w:type="dxa"/>
          </w:tcPr>
          <w:p w14:paraId="2BDF7CB7" w14:textId="77777777" w:rsidR="002C0FD9" w:rsidRPr="00CA25CF" w:rsidRDefault="002C0FD9" w:rsidP="00CA25CF">
            <w:pPr>
              <w:rPr>
                <w:rFonts w:cs="Arial"/>
                <w:color w:val="FF0000"/>
                <w:sz w:val="21"/>
                <w:szCs w:val="21"/>
              </w:rPr>
            </w:pPr>
          </w:p>
        </w:tc>
      </w:tr>
      <w:tr w:rsidR="002C0FD9" w:rsidRPr="00A16219" w14:paraId="7DF3AEE1" w14:textId="77777777" w:rsidTr="002C0FD9">
        <w:trPr>
          <w:trHeight w:val="635"/>
        </w:trPr>
        <w:tc>
          <w:tcPr>
            <w:tcW w:w="515" w:type="dxa"/>
          </w:tcPr>
          <w:p w14:paraId="65D87FD7" w14:textId="77777777" w:rsidR="002C0FD9" w:rsidRPr="00CA25CF" w:rsidRDefault="002C0FD9" w:rsidP="00CA25CF">
            <w:pPr>
              <w:rPr>
                <w:rFonts w:cs="Arial"/>
                <w:color w:val="FF0000"/>
                <w:sz w:val="21"/>
                <w:szCs w:val="21"/>
              </w:rPr>
            </w:pPr>
          </w:p>
        </w:tc>
        <w:tc>
          <w:tcPr>
            <w:tcW w:w="217" w:type="dxa"/>
          </w:tcPr>
          <w:p w14:paraId="3DAD5790" w14:textId="77777777" w:rsidR="002C0FD9" w:rsidRPr="00CA25CF" w:rsidRDefault="002C0FD9" w:rsidP="00CA25CF">
            <w:pPr>
              <w:rPr>
                <w:rFonts w:cs="Arial"/>
                <w:color w:val="FF0000"/>
                <w:sz w:val="21"/>
                <w:szCs w:val="21"/>
              </w:rPr>
            </w:pPr>
          </w:p>
        </w:tc>
        <w:tc>
          <w:tcPr>
            <w:tcW w:w="217" w:type="dxa"/>
          </w:tcPr>
          <w:p w14:paraId="3E04FDD6" w14:textId="77777777" w:rsidR="002C0FD9" w:rsidRPr="00CA25CF" w:rsidRDefault="002C0FD9" w:rsidP="00CA25CF">
            <w:pPr>
              <w:rPr>
                <w:rFonts w:cs="Arial"/>
                <w:color w:val="FF0000"/>
                <w:sz w:val="21"/>
                <w:szCs w:val="21"/>
              </w:rPr>
            </w:pPr>
          </w:p>
        </w:tc>
        <w:tc>
          <w:tcPr>
            <w:tcW w:w="217" w:type="dxa"/>
          </w:tcPr>
          <w:p w14:paraId="608AE25E" w14:textId="77777777" w:rsidR="002C0FD9" w:rsidRPr="00CA25CF" w:rsidRDefault="002C0FD9" w:rsidP="00CA25CF">
            <w:pPr>
              <w:rPr>
                <w:rFonts w:cs="Arial"/>
                <w:color w:val="FF0000"/>
                <w:sz w:val="21"/>
                <w:szCs w:val="21"/>
              </w:rPr>
            </w:pPr>
          </w:p>
        </w:tc>
        <w:tc>
          <w:tcPr>
            <w:tcW w:w="217" w:type="dxa"/>
          </w:tcPr>
          <w:p w14:paraId="4B1B1201" w14:textId="77777777" w:rsidR="002C0FD9" w:rsidRPr="00CA25CF" w:rsidRDefault="002C0FD9" w:rsidP="00CA25CF">
            <w:pPr>
              <w:rPr>
                <w:rFonts w:cs="Arial"/>
                <w:color w:val="FF0000"/>
                <w:sz w:val="21"/>
                <w:szCs w:val="21"/>
              </w:rPr>
            </w:pPr>
          </w:p>
        </w:tc>
        <w:tc>
          <w:tcPr>
            <w:tcW w:w="217" w:type="dxa"/>
          </w:tcPr>
          <w:p w14:paraId="688E92BE" w14:textId="77777777" w:rsidR="002C0FD9" w:rsidRPr="00CA25CF" w:rsidRDefault="002C0FD9" w:rsidP="00CA25CF">
            <w:pPr>
              <w:rPr>
                <w:rFonts w:cs="Arial"/>
                <w:color w:val="FF0000"/>
                <w:sz w:val="21"/>
                <w:szCs w:val="21"/>
              </w:rPr>
            </w:pPr>
          </w:p>
        </w:tc>
        <w:tc>
          <w:tcPr>
            <w:tcW w:w="217" w:type="dxa"/>
          </w:tcPr>
          <w:p w14:paraId="40A06FD2" w14:textId="77777777" w:rsidR="002C0FD9" w:rsidRPr="00CA25CF" w:rsidRDefault="002C0FD9" w:rsidP="00CA25CF">
            <w:pPr>
              <w:rPr>
                <w:rFonts w:cs="Arial"/>
                <w:color w:val="FF0000"/>
                <w:sz w:val="21"/>
                <w:szCs w:val="21"/>
              </w:rPr>
            </w:pPr>
          </w:p>
        </w:tc>
        <w:tc>
          <w:tcPr>
            <w:tcW w:w="217" w:type="dxa"/>
          </w:tcPr>
          <w:p w14:paraId="65EE9B3C" w14:textId="77777777" w:rsidR="002C0FD9" w:rsidRPr="00CA25CF" w:rsidRDefault="002C0FD9" w:rsidP="00CA25CF">
            <w:pPr>
              <w:rPr>
                <w:rFonts w:cs="Arial"/>
                <w:color w:val="FF0000"/>
                <w:sz w:val="21"/>
                <w:szCs w:val="21"/>
              </w:rPr>
            </w:pPr>
          </w:p>
        </w:tc>
        <w:tc>
          <w:tcPr>
            <w:tcW w:w="217" w:type="dxa"/>
          </w:tcPr>
          <w:p w14:paraId="0DC645BC" w14:textId="77777777" w:rsidR="002C0FD9" w:rsidRPr="00CA25CF" w:rsidRDefault="002C0FD9" w:rsidP="00CA25CF">
            <w:pPr>
              <w:rPr>
                <w:rFonts w:cs="Arial"/>
                <w:color w:val="FF0000"/>
                <w:sz w:val="21"/>
                <w:szCs w:val="21"/>
              </w:rPr>
            </w:pPr>
          </w:p>
        </w:tc>
        <w:tc>
          <w:tcPr>
            <w:tcW w:w="217" w:type="dxa"/>
          </w:tcPr>
          <w:p w14:paraId="0A6DF738" w14:textId="77777777" w:rsidR="002C0FD9" w:rsidRPr="00CA25CF" w:rsidRDefault="002C0FD9" w:rsidP="00CA25CF">
            <w:pPr>
              <w:rPr>
                <w:rFonts w:cs="Arial"/>
                <w:color w:val="FF0000"/>
                <w:sz w:val="21"/>
                <w:szCs w:val="21"/>
              </w:rPr>
            </w:pPr>
          </w:p>
        </w:tc>
        <w:tc>
          <w:tcPr>
            <w:tcW w:w="217" w:type="dxa"/>
          </w:tcPr>
          <w:p w14:paraId="37B1E27B" w14:textId="77777777" w:rsidR="002C0FD9" w:rsidRPr="00CA25CF" w:rsidRDefault="002C0FD9" w:rsidP="00CA25CF">
            <w:pPr>
              <w:rPr>
                <w:rFonts w:cs="Arial"/>
                <w:color w:val="FF0000"/>
                <w:sz w:val="21"/>
                <w:szCs w:val="21"/>
              </w:rPr>
            </w:pPr>
          </w:p>
        </w:tc>
        <w:tc>
          <w:tcPr>
            <w:tcW w:w="217" w:type="dxa"/>
          </w:tcPr>
          <w:p w14:paraId="3E4A58EF" w14:textId="77777777" w:rsidR="002C0FD9" w:rsidRPr="00CA25CF" w:rsidRDefault="002C0FD9" w:rsidP="00CA25CF">
            <w:pPr>
              <w:rPr>
                <w:rFonts w:cs="Arial"/>
                <w:color w:val="FF0000"/>
                <w:sz w:val="21"/>
                <w:szCs w:val="21"/>
              </w:rPr>
            </w:pPr>
          </w:p>
        </w:tc>
        <w:tc>
          <w:tcPr>
            <w:tcW w:w="217" w:type="dxa"/>
          </w:tcPr>
          <w:p w14:paraId="454290E8" w14:textId="77777777" w:rsidR="002C0FD9" w:rsidRPr="00CA25CF" w:rsidRDefault="002C0FD9" w:rsidP="00CA25CF">
            <w:pPr>
              <w:rPr>
                <w:rFonts w:cs="Arial"/>
                <w:color w:val="FF0000"/>
                <w:sz w:val="21"/>
                <w:szCs w:val="21"/>
              </w:rPr>
            </w:pPr>
          </w:p>
        </w:tc>
        <w:tc>
          <w:tcPr>
            <w:tcW w:w="217" w:type="dxa"/>
          </w:tcPr>
          <w:p w14:paraId="25BDE415" w14:textId="77777777" w:rsidR="002C0FD9" w:rsidRPr="00CA25CF" w:rsidRDefault="002C0FD9" w:rsidP="00CA25CF">
            <w:pPr>
              <w:rPr>
                <w:rFonts w:cs="Arial"/>
                <w:color w:val="FF0000"/>
                <w:sz w:val="21"/>
                <w:szCs w:val="21"/>
              </w:rPr>
            </w:pPr>
          </w:p>
        </w:tc>
        <w:tc>
          <w:tcPr>
            <w:tcW w:w="217" w:type="dxa"/>
          </w:tcPr>
          <w:p w14:paraId="00E3BE44" w14:textId="77777777" w:rsidR="002C0FD9" w:rsidRPr="00CA25CF" w:rsidRDefault="002C0FD9" w:rsidP="00CA25CF">
            <w:pPr>
              <w:rPr>
                <w:rFonts w:cs="Arial"/>
                <w:color w:val="FF0000"/>
                <w:sz w:val="21"/>
                <w:szCs w:val="21"/>
              </w:rPr>
            </w:pPr>
          </w:p>
        </w:tc>
        <w:tc>
          <w:tcPr>
            <w:tcW w:w="217" w:type="dxa"/>
          </w:tcPr>
          <w:p w14:paraId="3C06F8DE" w14:textId="77777777" w:rsidR="002C0FD9" w:rsidRPr="00CA25CF" w:rsidRDefault="002C0FD9" w:rsidP="00CA25CF">
            <w:pPr>
              <w:rPr>
                <w:rFonts w:cs="Arial"/>
                <w:color w:val="FF0000"/>
                <w:sz w:val="21"/>
                <w:szCs w:val="21"/>
              </w:rPr>
            </w:pPr>
          </w:p>
        </w:tc>
        <w:tc>
          <w:tcPr>
            <w:tcW w:w="217" w:type="dxa"/>
          </w:tcPr>
          <w:p w14:paraId="72861F09" w14:textId="77777777" w:rsidR="002C0FD9" w:rsidRPr="00CA25CF" w:rsidRDefault="002C0FD9" w:rsidP="00CA25CF">
            <w:pPr>
              <w:rPr>
                <w:rFonts w:cs="Arial"/>
                <w:color w:val="FF0000"/>
                <w:sz w:val="21"/>
                <w:szCs w:val="21"/>
              </w:rPr>
            </w:pPr>
          </w:p>
        </w:tc>
        <w:tc>
          <w:tcPr>
            <w:tcW w:w="217" w:type="dxa"/>
          </w:tcPr>
          <w:p w14:paraId="1E617F07" w14:textId="77777777" w:rsidR="002C0FD9" w:rsidRPr="00CA25CF" w:rsidRDefault="002C0FD9" w:rsidP="00CA25CF">
            <w:pPr>
              <w:rPr>
                <w:rFonts w:cs="Arial"/>
                <w:color w:val="FF0000"/>
                <w:sz w:val="21"/>
                <w:szCs w:val="21"/>
              </w:rPr>
            </w:pPr>
          </w:p>
        </w:tc>
        <w:tc>
          <w:tcPr>
            <w:tcW w:w="217" w:type="dxa"/>
          </w:tcPr>
          <w:p w14:paraId="1D52F275" w14:textId="77777777" w:rsidR="002C0FD9" w:rsidRPr="00CA25CF" w:rsidRDefault="002C0FD9" w:rsidP="00CA25CF">
            <w:pPr>
              <w:rPr>
                <w:rFonts w:cs="Arial"/>
                <w:color w:val="FF0000"/>
                <w:sz w:val="21"/>
                <w:szCs w:val="21"/>
              </w:rPr>
            </w:pPr>
          </w:p>
        </w:tc>
        <w:tc>
          <w:tcPr>
            <w:tcW w:w="217" w:type="dxa"/>
          </w:tcPr>
          <w:p w14:paraId="122C2DDA" w14:textId="77777777" w:rsidR="002C0FD9" w:rsidRPr="00CA25CF" w:rsidRDefault="002C0FD9" w:rsidP="00CA25CF">
            <w:pPr>
              <w:rPr>
                <w:rFonts w:cs="Arial"/>
                <w:color w:val="FF0000"/>
                <w:sz w:val="21"/>
                <w:szCs w:val="21"/>
              </w:rPr>
            </w:pPr>
          </w:p>
        </w:tc>
        <w:tc>
          <w:tcPr>
            <w:tcW w:w="217" w:type="dxa"/>
          </w:tcPr>
          <w:p w14:paraId="43E7B247" w14:textId="77777777" w:rsidR="002C0FD9" w:rsidRPr="00CA25CF" w:rsidRDefault="002C0FD9" w:rsidP="00CA25CF">
            <w:pPr>
              <w:rPr>
                <w:rFonts w:cs="Arial"/>
                <w:color w:val="FF0000"/>
                <w:sz w:val="21"/>
                <w:szCs w:val="21"/>
              </w:rPr>
            </w:pPr>
          </w:p>
        </w:tc>
        <w:tc>
          <w:tcPr>
            <w:tcW w:w="217" w:type="dxa"/>
          </w:tcPr>
          <w:p w14:paraId="2AAF1C78" w14:textId="77777777" w:rsidR="002C0FD9" w:rsidRPr="00CA25CF" w:rsidRDefault="002C0FD9" w:rsidP="00CA25CF">
            <w:pPr>
              <w:rPr>
                <w:rFonts w:cs="Arial"/>
                <w:color w:val="FF0000"/>
                <w:sz w:val="21"/>
                <w:szCs w:val="21"/>
              </w:rPr>
            </w:pPr>
          </w:p>
        </w:tc>
        <w:tc>
          <w:tcPr>
            <w:tcW w:w="217" w:type="dxa"/>
          </w:tcPr>
          <w:p w14:paraId="1AE3F6CC" w14:textId="77777777" w:rsidR="002C0FD9" w:rsidRPr="00CA25CF" w:rsidRDefault="002C0FD9" w:rsidP="00CA25CF">
            <w:pPr>
              <w:rPr>
                <w:rFonts w:cs="Arial"/>
                <w:color w:val="FF0000"/>
                <w:sz w:val="21"/>
                <w:szCs w:val="21"/>
              </w:rPr>
            </w:pPr>
          </w:p>
        </w:tc>
        <w:tc>
          <w:tcPr>
            <w:tcW w:w="217" w:type="dxa"/>
          </w:tcPr>
          <w:p w14:paraId="367FA35C" w14:textId="77777777" w:rsidR="002C0FD9" w:rsidRPr="00CA25CF" w:rsidRDefault="002C0FD9" w:rsidP="00CA25CF">
            <w:pPr>
              <w:rPr>
                <w:rFonts w:cs="Arial"/>
                <w:color w:val="FF0000"/>
                <w:sz w:val="21"/>
                <w:szCs w:val="21"/>
              </w:rPr>
            </w:pPr>
          </w:p>
        </w:tc>
        <w:tc>
          <w:tcPr>
            <w:tcW w:w="217" w:type="dxa"/>
          </w:tcPr>
          <w:p w14:paraId="59AAE38D" w14:textId="77777777" w:rsidR="002C0FD9" w:rsidRPr="00CA25CF" w:rsidRDefault="002C0FD9" w:rsidP="00CA25CF">
            <w:pPr>
              <w:rPr>
                <w:rFonts w:cs="Arial"/>
                <w:color w:val="FF0000"/>
                <w:sz w:val="21"/>
                <w:szCs w:val="21"/>
              </w:rPr>
            </w:pPr>
          </w:p>
        </w:tc>
        <w:tc>
          <w:tcPr>
            <w:tcW w:w="217" w:type="dxa"/>
          </w:tcPr>
          <w:p w14:paraId="0BE87DFB" w14:textId="77777777" w:rsidR="002C0FD9" w:rsidRPr="00CA25CF" w:rsidRDefault="002C0FD9" w:rsidP="00CA25CF">
            <w:pPr>
              <w:rPr>
                <w:rFonts w:cs="Arial"/>
                <w:color w:val="FF0000"/>
                <w:sz w:val="21"/>
                <w:szCs w:val="21"/>
              </w:rPr>
            </w:pPr>
          </w:p>
        </w:tc>
        <w:tc>
          <w:tcPr>
            <w:tcW w:w="217" w:type="dxa"/>
          </w:tcPr>
          <w:p w14:paraId="7135ACEB" w14:textId="77777777" w:rsidR="002C0FD9" w:rsidRPr="00CA25CF" w:rsidRDefault="002C0FD9" w:rsidP="00CA25CF">
            <w:pPr>
              <w:rPr>
                <w:rFonts w:cs="Arial"/>
                <w:color w:val="FF0000"/>
                <w:sz w:val="21"/>
                <w:szCs w:val="21"/>
              </w:rPr>
            </w:pPr>
          </w:p>
        </w:tc>
        <w:tc>
          <w:tcPr>
            <w:tcW w:w="217" w:type="dxa"/>
          </w:tcPr>
          <w:p w14:paraId="3337B00E" w14:textId="77777777" w:rsidR="002C0FD9" w:rsidRPr="00CA25CF" w:rsidRDefault="002C0FD9" w:rsidP="00CA25CF">
            <w:pPr>
              <w:rPr>
                <w:rFonts w:cs="Arial"/>
                <w:color w:val="FF0000"/>
                <w:sz w:val="21"/>
                <w:szCs w:val="21"/>
              </w:rPr>
            </w:pPr>
          </w:p>
        </w:tc>
        <w:tc>
          <w:tcPr>
            <w:tcW w:w="217" w:type="dxa"/>
          </w:tcPr>
          <w:p w14:paraId="7A69C626" w14:textId="77777777" w:rsidR="002C0FD9" w:rsidRPr="00CA25CF" w:rsidRDefault="002C0FD9" w:rsidP="00CA25CF">
            <w:pPr>
              <w:rPr>
                <w:rFonts w:cs="Arial"/>
                <w:color w:val="FF0000"/>
                <w:sz w:val="21"/>
                <w:szCs w:val="21"/>
              </w:rPr>
            </w:pPr>
          </w:p>
        </w:tc>
        <w:tc>
          <w:tcPr>
            <w:tcW w:w="217" w:type="dxa"/>
          </w:tcPr>
          <w:p w14:paraId="46E3A16E" w14:textId="77777777" w:rsidR="002C0FD9" w:rsidRPr="00CA25CF" w:rsidRDefault="002C0FD9" w:rsidP="00CA25CF">
            <w:pPr>
              <w:rPr>
                <w:rFonts w:cs="Arial"/>
                <w:color w:val="FF0000"/>
                <w:sz w:val="21"/>
                <w:szCs w:val="21"/>
              </w:rPr>
            </w:pPr>
          </w:p>
        </w:tc>
        <w:tc>
          <w:tcPr>
            <w:tcW w:w="217" w:type="dxa"/>
          </w:tcPr>
          <w:p w14:paraId="25B4DBF1" w14:textId="77777777" w:rsidR="002C0FD9" w:rsidRPr="00CA25CF" w:rsidRDefault="002C0FD9" w:rsidP="00CA25CF">
            <w:pPr>
              <w:rPr>
                <w:rFonts w:cs="Arial"/>
                <w:color w:val="FF0000"/>
                <w:sz w:val="21"/>
                <w:szCs w:val="21"/>
              </w:rPr>
            </w:pPr>
          </w:p>
        </w:tc>
        <w:tc>
          <w:tcPr>
            <w:tcW w:w="217" w:type="dxa"/>
          </w:tcPr>
          <w:p w14:paraId="2666845E" w14:textId="77777777" w:rsidR="002C0FD9" w:rsidRPr="00CA25CF" w:rsidRDefault="002C0FD9" w:rsidP="00CA25CF">
            <w:pPr>
              <w:rPr>
                <w:rFonts w:cs="Arial"/>
                <w:color w:val="FF0000"/>
                <w:sz w:val="21"/>
                <w:szCs w:val="21"/>
              </w:rPr>
            </w:pPr>
          </w:p>
        </w:tc>
        <w:tc>
          <w:tcPr>
            <w:tcW w:w="217" w:type="dxa"/>
          </w:tcPr>
          <w:p w14:paraId="45F0DF7E" w14:textId="77777777" w:rsidR="002C0FD9" w:rsidRPr="00CA25CF" w:rsidRDefault="002C0FD9" w:rsidP="00CA25CF">
            <w:pPr>
              <w:rPr>
                <w:rFonts w:cs="Arial"/>
                <w:color w:val="FF0000"/>
                <w:sz w:val="21"/>
                <w:szCs w:val="21"/>
              </w:rPr>
            </w:pPr>
          </w:p>
        </w:tc>
        <w:tc>
          <w:tcPr>
            <w:tcW w:w="217" w:type="dxa"/>
          </w:tcPr>
          <w:p w14:paraId="44BABA57" w14:textId="77777777" w:rsidR="002C0FD9" w:rsidRPr="00CA25CF" w:rsidRDefault="002C0FD9" w:rsidP="00CA25CF">
            <w:pPr>
              <w:rPr>
                <w:rFonts w:cs="Arial"/>
                <w:color w:val="FF0000"/>
                <w:sz w:val="21"/>
                <w:szCs w:val="21"/>
              </w:rPr>
            </w:pPr>
          </w:p>
        </w:tc>
        <w:tc>
          <w:tcPr>
            <w:tcW w:w="217" w:type="dxa"/>
          </w:tcPr>
          <w:p w14:paraId="4A8B8614" w14:textId="77777777" w:rsidR="002C0FD9" w:rsidRPr="00CA25CF" w:rsidRDefault="002C0FD9" w:rsidP="00CA25CF">
            <w:pPr>
              <w:rPr>
                <w:rFonts w:cs="Arial"/>
                <w:color w:val="FF0000"/>
                <w:sz w:val="21"/>
                <w:szCs w:val="21"/>
              </w:rPr>
            </w:pPr>
          </w:p>
        </w:tc>
        <w:tc>
          <w:tcPr>
            <w:tcW w:w="217" w:type="dxa"/>
          </w:tcPr>
          <w:p w14:paraId="65A38B60" w14:textId="77777777" w:rsidR="002C0FD9" w:rsidRPr="00CA25CF" w:rsidRDefault="002C0FD9" w:rsidP="00CA25CF">
            <w:pPr>
              <w:rPr>
                <w:rFonts w:cs="Arial"/>
                <w:color w:val="FF0000"/>
                <w:sz w:val="21"/>
                <w:szCs w:val="21"/>
              </w:rPr>
            </w:pPr>
          </w:p>
        </w:tc>
        <w:tc>
          <w:tcPr>
            <w:tcW w:w="217" w:type="dxa"/>
          </w:tcPr>
          <w:p w14:paraId="4E26C11C" w14:textId="77777777" w:rsidR="002C0FD9" w:rsidRPr="00CA25CF" w:rsidRDefault="002C0FD9" w:rsidP="00CA25CF">
            <w:pPr>
              <w:rPr>
                <w:rFonts w:cs="Arial"/>
                <w:color w:val="FF0000"/>
                <w:sz w:val="21"/>
                <w:szCs w:val="21"/>
              </w:rPr>
            </w:pPr>
          </w:p>
        </w:tc>
        <w:tc>
          <w:tcPr>
            <w:tcW w:w="217" w:type="dxa"/>
          </w:tcPr>
          <w:p w14:paraId="3FCB23D7" w14:textId="77777777" w:rsidR="002C0FD9" w:rsidRPr="00CA25CF" w:rsidRDefault="002C0FD9" w:rsidP="00CA25CF">
            <w:pPr>
              <w:rPr>
                <w:rFonts w:cs="Arial"/>
                <w:color w:val="FF0000"/>
                <w:sz w:val="21"/>
                <w:szCs w:val="21"/>
              </w:rPr>
            </w:pPr>
          </w:p>
        </w:tc>
        <w:tc>
          <w:tcPr>
            <w:tcW w:w="217" w:type="dxa"/>
          </w:tcPr>
          <w:p w14:paraId="6F2AD2AF" w14:textId="77777777" w:rsidR="002C0FD9" w:rsidRPr="00CA25CF" w:rsidRDefault="002C0FD9" w:rsidP="00CA25CF">
            <w:pPr>
              <w:rPr>
                <w:rFonts w:cs="Arial"/>
                <w:color w:val="FF0000"/>
                <w:sz w:val="21"/>
                <w:szCs w:val="21"/>
              </w:rPr>
            </w:pPr>
          </w:p>
        </w:tc>
        <w:tc>
          <w:tcPr>
            <w:tcW w:w="217" w:type="dxa"/>
          </w:tcPr>
          <w:p w14:paraId="58E16CC6" w14:textId="77777777" w:rsidR="002C0FD9" w:rsidRPr="00CA25CF" w:rsidRDefault="002C0FD9" w:rsidP="00CA25CF">
            <w:pPr>
              <w:rPr>
                <w:rFonts w:cs="Arial"/>
                <w:color w:val="FF0000"/>
                <w:sz w:val="21"/>
                <w:szCs w:val="21"/>
              </w:rPr>
            </w:pPr>
          </w:p>
        </w:tc>
        <w:tc>
          <w:tcPr>
            <w:tcW w:w="217" w:type="dxa"/>
          </w:tcPr>
          <w:p w14:paraId="5B16C2AB" w14:textId="77777777" w:rsidR="002C0FD9" w:rsidRPr="00CA25CF" w:rsidRDefault="002C0FD9" w:rsidP="00CA25CF">
            <w:pPr>
              <w:rPr>
                <w:rFonts w:cs="Arial"/>
                <w:color w:val="FF0000"/>
                <w:sz w:val="21"/>
                <w:szCs w:val="21"/>
              </w:rPr>
            </w:pPr>
          </w:p>
        </w:tc>
        <w:tc>
          <w:tcPr>
            <w:tcW w:w="217" w:type="dxa"/>
          </w:tcPr>
          <w:p w14:paraId="1336F2B0" w14:textId="77777777" w:rsidR="002C0FD9" w:rsidRPr="00CA25CF" w:rsidRDefault="002C0FD9" w:rsidP="00CA25CF">
            <w:pPr>
              <w:rPr>
                <w:rFonts w:cs="Arial"/>
                <w:color w:val="FF0000"/>
                <w:sz w:val="21"/>
                <w:szCs w:val="21"/>
              </w:rPr>
            </w:pPr>
          </w:p>
        </w:tc>
        <w:tc>
          <w:tcPr>
            <w:tcW w:w="217" w:type="dxa"/>
          </w:tcPr>
          <w:p w14:paraId="3E09183D" w14:textId="77777777" w:rsidR="002C0FD9" w:rsidRPr="00CA25CF" w:rsidRDefault="002C0FD9" w:rsidP="00CA25CF">
            <w:pPr>
              <w:rPr>
                <w:rFonts w:cs="Arial"/>
                <w:color w:val="FF0000"/>
                <w:sz w:val="21"/>
                <w:szCs w:val="21"/>
              </w:rPr>
            </w:pPr>
          </w:p>
        </w:tc>
      </w:tr>
      <w:tr w:rsidR="002C0FD9" w:rsidRPr="00A16219" w14:paraId="1934AA58" w14:textId="77777777" w:rsidTr="002C0FD9">
        <w:trPr>
          <w:trHeight w:val="635"/>
        </w:trPr>
        <w:tc>
          <w:tcPr>
            <w:tcW w:w="515" w:type="dxa"/>
          </w:tcPr>
          <w:p w14:paraId="0888DBF6" w14:textId="77777777" w:rsidR="002C0FD9" w:rsidRPr="00CA25CF" w:rsidRDefault="002C0FD9" w:rsidP="00CA25CF">
            <w:pPr>
              <w:rPr>
                <w:rFonts w:cs="Arial"/>
                <w:color w:val="FF0000"/>
                <w:sz w:val="21"/>
                <w:szCs w:val="21"/>
              </w:rPr>
            </w:pPr>
          </w:p>
        </w:tc>
        <w:tc>
          <w:tcPr>
            <w:tcW w:w="217" w:type="dxa"/>
          </w:tcPr>
          <w:p w14:paraId="056B2757" w14:textId="77777777" w:rsidR="002C0FD9" w:rsidRPr="00CA25CF" w:rsidRDefault="002C0FD9" w:rsidP="00CA25CF">
            <w:pPr>
              <w:rPr>
                <w:rFonts w:cs="Arial"/>
                <w:color w:val="FF0000"/>
                <w:sz w:val="21"/>
                <w:szCs w:val="21"/>
              </w:rPr>
            </w:pPr>
          </w:p>
        </w:tc>
        <w:tc>
          <w:tcPr>
            <w:tcW w:w="217" w:type="dxa"/>
          </w:tcPr>
          <w:p w14:paraId="7AD0E634" w14:textId="77777777" w:rsidR="002C0FD9" w:rsidRPr="00CA25CF" w:rsidRDefault="002C0FD9" w:rsidP="00CA25CF">
            <w:pPr>
              <w:rPr>
                <w:rFonts w:cs="Arial"/>
                <w:color w:val="FF0000"/>
                <w:sz w:val="21"/>
                <w:szCs w:val="21"/>
              </w:rPr>
            </w:pPr>
          </w:p>
        </w:tc>
        <w:tc>
          <w:tcPr>
            <w:tcW w:w="217" w:type="dxa"/>
          </w:tcPr>
          <w:p w14:paraId="3B1C6289" w14:textId="77777777" w:rsidR="002C0FD9" w:rsidRPr="00CA25CF" w:rsidRDefault="002C0FD9" w:rsidP="00CA25CF">
            <w:pPr>
              <w:rPr>
                <w:rFonts w:cs="Arial"/>
                <w:color w:val="FF0000"/>
                <w:sz w:val="21"/>
                <w:szCs w:val="21"/>
              </w:rPr>
            </w:pPr>
          </w:p>
        </w:tc>
        <w:tc>
          <w:tcPr>
            <w:tcW w:w="217" w:type="dxa"/>
          </w:tcPr>
          <w:p w14:paraId="4AFCEF2C" w14:textId="77777777" w:rsidR="002C0FD9" w:rsidRPr="00CA25CF" w:rsidRDefault="002C0FD9" w:rsidP="00CA25CF">
            <w:pPr>
              <w:rPr>
                <w:rFonts w:cs="Arial"/>
                <w:color w:val="FF0000"/>
                <w:sz w:val="21"/>
                <w:szCs w:val="21"/>
              </w:rPr>
            </w:pPr>
          </w:p>
        </w:tc>
        <w:tc>
          <w:tcPr>
            <w:tcW w:w="217" w:type="dxa"/>
          </w:tcPr>
          <w:p w14:paraId="647036CF" w14:textId="77777777" w:rsidR="002C0FD9" w:rsidRPr="00CA25CF" w:rsidRDefault="002C0FD9" w:rsidP="00CA25CF">
            <w:pPr>
              <w:rPr>
                <w:rFonts w:cs="Arial"/>
                <w:color w:val="FF0000"/>
                <w:sz w:val="21"/>
                <w:szCs w:val="21"/>
              </w:rPr>
            </w:pPr>
          </w:p>
        </w:tc>
        <w:tc>
          <w:tcPr>
            <w:tcW w:w="217" w:type="dxa"/>
          </w:tcPr>
          <w:p w14:paraId="3FF39C82" w14:textId="77777777" w:rsidR="002C0FD9" w:rsidRPr="00CA25CF" w:rsidRDefault="002C0FD9" w:rsidP="00CA25CF">
            <w:pPr>
              <w:rPr>
                <w:rFonts w:cs="Arial"/>
                <w:color w:val="FF0000"/>
                <w:sz w:val="21"/>
                <w:szCs w:val="21"/>
              </w:rPr>
            </w:pPr>
          </w:p>
        </w:tc>
        <w:tc>
          <w:tcPr>
            <w:tcW w:w="217" w:type="dxa"/>
          </w:tcPr>
          <w:p w14:paraId="7FC803FC" w14:textId="77777777" w:rsidR="002C0FD9" w:rsidRPr="00CA25CF" w:rsidRDefault="002C0FD9" w:rsidP="00CA25CF">
            <w:pPr>
              <w:rPr>
                <w:rFonts w:cs="Arial"/>
                <w:color w:val="FF0000"/>
                <w:sz w:val="21"/>
                <w:szCs w:val="21"/>
              </w:rPr>
            </w:pPr>
          </w:p>
        </w:tc>
        <w:tc>
          <w:tcPr>
            <w:tcW w:w="217" w:type="dxa"/>
          </w:tcPr>
          <w:p w14:paraId="374DD5CE" w14:textId="77777777" w:rsidR="002C0FD9" w:rsidRPr="00CA25CF" w:rsidRDefault="002C0FD9" w:rsidP="00CA25CF">
            <w:pPr>
              <w:rPr>
                <w:rFonts w:cs="Arial"/>
                <w:color w:val="FF0000"/>
                <w:sz w:val="21"/>
                <w:szCs w:val="21"/>
              </w:rPr>
            </w:pPr>
          </w:p>
        </w:tc>
        <w:tc>
          <w:tcPr>
            <w:tcW w:w="217" w:type="dxa"/>
          </w:tcPr>
          <w:p w14:paraId="40101208" w14:textId="77777777" w:rsidR="002C0FD9" w:rsidRPr="00CA25CF" w:rsidRDefault="002C0FD9" w:rsidP="00CA25CF">
            <w:pPr>
              <w:rPr>
                <w:rFonts w:cs="Arial"/>
                <w:color w:val="FF0000"/>
                <w:sz w:val="21"/>
                <w:szCs w:val="21"/>
              </w:rPr>
            </w:pPr>
          </w:p>
        </w:tc>
        <w:tc>
          <w:tcPr>
            <w:tcW w:w="217" w:type="dxa"/>
          </w:tcPr>
          <w:p w14:paraId="4390A0B6" w14:textId="77777777" w:rsidR="002C0FD9" w:rsidRPr="00CA25CF" w:rsidRDefault="002C0FD9" w:rsidP="00CA25CF">
            <w:pPr>
              <w:rPr>
                <w:rFonts w:cs="Arial"/>
                <w:color w:val="FF0000"/>
                <w:sz w:val="21"/>
                <w:szCs w:val="21"/>
              </w:rPr>
            </w:pPr>
          </w:p>
        </w:tc>
        <w:tc>
          <w:tcPr>
            <w:tcW w:w="217" w:type="dxa"/>
          </w:tcPr>
          <w:p w14:paraId="1E723DDC" w14:textId="77777777" w:rsidR="002C0FD9" w:rsidRPr="00CA25CF" w:rsidRDefault="002C0FD9" w:rsidP="00CA25CF">
            <w:pPr>
              <w:rPr>
                <w:rFonts w:cs="Arial"/>
                <w:color w:val="FF0000"/>
                <w:sz w:val="21"/>
                <w:szCs w:val="21"/>
              </w:rPr>
            </w:pPr>
          </w:p>
        </w:tc>
        <w:tc>
          <w:tcPr>
            <w:tcW w:w="217" w:type="dxa"/>
          </w:tcPr>
          <w:p w14:paraId="1FBBEF4D" w14:textId="77777777" w:rsidR="002C0FD9" w:rsidRPr="00CA25CF" w:rsidRDefault="002C0FD9" w:rsidP="00CA25CF">
            <w:pPr>
              <w:rPr>
                <w:rFonts w:cs="Arial"/>
                <w:color w:val="FF0000"/>
                <w:sz w:val="21"/>
                <w:szCs w:val="21"/>
              </w:rPr>
            </w:pPr>
          </w:p>
        </w:tc>
        <w:tc>
          <w:tcPr>
            <w:tcW w:w="217" w:type="dxa"/>
          </w:tcPr>
          <w:p w14:paraId="07D8104D" w14:textId="77777777" w:rsidR="002C0FD9" w:rsidRPr="00CA25CF" w:rsidRDefault="002C0FD9" w:rsidP="00CA25CF">
            <w:pPr>
              <w:rPr>
                <w:rFonts w:cs="Arial"/>
                <w:color w:val="FF0000"/>
                <w:sz w:val="21"/>
                <w:szCs w:val="21"/>
              </w:rPr>
            </w:pPr>
          </w:p>
        </w:tc>
        <w:tc>
          <w:tcPr>
            <w:tcW w:w="217" w:type="dxa"/>
          </w:tcPr>
          <w:p w14:paraId="06F61DB6" w14:textId="77777777" w:rsidR="002C0FD9" w:rsidRPr="00CA25CF" w:rsidRDefault="002C0FD9" w:rsidP="00CA25CF">
            <w:pPr>
              <w:rPr>
                <w:rFonts w:cs="Arial"/>
                <w:color w:val="FF0000"/>
                <w:sz w:val="21"/>
                <w:szCs w:val="21"/>
              </w:rPr>
            </w:pPr>
          </w:p>
        </w:tc>
        <w:tc>
          <w:tcPr>
            <w:tcW w:w="217" w:type="dxa"/>
          </w:tcPr>
          <w:p w14:paraId="2ADE8A63" w14:textId="77777777" w:rsidR="002C0FD9" w:rsidRPr="00CA25CF" w:rsidRDefault="002C0FD9" w:rsidP="00CA25CF">
            <w:pPr>
              <w:rPr>
                <w:rFonts w:cs="Arial"/>
                <w:color w:val="FF0000"/>
                <w:sz w:val="21"/>
                <w:szCs w:val="21"/>
              </w:rPr>
            </w:pPr>
          </w:p>
        </w:tc>
        <w:tc>
          <w:tcPr>
            <w:tcW w:w="217" w:type="dxa"/>
          </w:tcPr>
          <w:p w14:paraId="366FC571" w14:textId="77777777" w:rsidR="002C0FD9" w:rsidRPr="00CA25CF" w:rsidRDefault="002C0FD9" w:rsidP="00CA25CF">
            <w:pPr>
              <w:rPr>
                <w:rFonts w:cs="Arial"/>
                <w:color w:val="FF0000"/>
                <w:sz w:val="21"/>
                <w:szCs w:val="21"/>
              </w:rPr>
            </w:pPr>
          </w:p>
        </w:tc>
        <w:tc>
          <w:tcPr>
            <w:tcW w:w="217" w:type="dxa"/>
          </w:tcPr>
          <w:p w14:paraId="78F652D8" w14:textId="77777777" w:rsidR="002C0FD9" w:rsidRPr="00CA25CF" w:rsidRDefault="002C0FD9" w:rsidP="00CA25CF">
            <w:pPr>
              <w:rPr>
                <w:rFonts w:cs="Arial"/>
                <w:color w:val="FF0000"/>
                <w:sz w:val="21"/>
                <w:szCs w:val="21"/>
              </w:rPr>
            </w:pPr>
          </w:p>
        </w:tc>
        <w:tc>
          <w:tcPr>
            <w:tcW w:w="217" w:type="dxa"/>
          </w:tcPr>
          <w:p w14:paraId="1CD51DA9" w14:textId="77777777" w:rsidR="002C0FD9" w:rsidRPr="00CA25CF" w:rsidRDefault="002C0FD9" w:rsidP="00CA25CF">
            <w:pPr>
              <w:rPr>
                <w:rFonts w:cs="Arial"/>
                <w:color w:val="FF0000"/>
                <w:sz w:val="21"/>
                <w:szCs w:val="21"/>
              </w:rPr>
            </w:pPr>
          </w:p>
        </w:tc>
        <w:tc>
          <w:tcPr>
            <w:tcW w:w="217" w:type="dxa"/>
          </w:tcPr>
          <w:p w14:paraId="36DF932B" w14:textId="77777777" w:rsidR="002C0FD9" w:rsidRPr="00CA25CF" w:rsidRDefault="002C0FD9" w:rsidP="00CA25CF">
            <w:pPr>
              <w:rPr>
                <w:rFonts w:cs="Arial"/>
                <w:color w:val="FF0000"/>
                <w:sz w:val="21"/>
                <w:szCs w:val="21"/>
              </w:rPr>
            </w:pPr>
          </w:p>
        </w:tc>
        <w:tc>
          <w:tcPr>
            <w:tcW w:w="217" w:type="dxa"/>
          </w:tcPr>
          <w:p w14:paraId="3A1DA9FE" w14:textId="77777777" w:rsidR="002C0FD9" w:rsidRPr="00CA25CF" w:rsidRDefault="002C0FD9" w:rsidP="00CA25CF">
            <w:pPr>
              <w:rPr>
                <w:rFonts w:cs="Arial"/>
                <w:color w:val="FF0000"/>
                <w:sz w:val="21"/>
                <w:szCs w:val="21"/>
              </w:rPr>
            </w:pPr>
          </w:p>
        </w:tc>
        <w:tc>
          <w:tcPr>
            <w:tcW w:w="217" w:type="dxa"/>
          </w:tcPr>
          <w:p w14:paraId="1F0F5928" w14:textId="77777777" w:rsidR="002C0FD9" w:rsidRPr="00CA25CF" w:rsidRDefault="002C0FD9" w:rsidP="00CA25CF">
            <w:pPr>
              <w:rPr>
                <w:rFonts w:cs="Arial"/>
                <w:color w:val="FF0000"/>
                <w:sz w:val="21"/>
                <w:szCs w:val="21"/>
              </w:rPr>
            </w:pPr>
          </w:p>
        </w:tc>
        <w:tc>
          <w:tcPr>
            <w:tcW w:w="217" w:type="dxa"/>
          </w:tcPr>
          <w:p w14:paraId="2ADC0BE1" w14:textId="77777777" w:rsidR="002C0FD9" w:rsidRPr="00CA25CF" w:rsidRDefault="002C0FD9" w:rsidP="00CA25CF">
            <w:pPr>
              <w:rPr>
                <w:rFonts w:cs="Arial"/>
                <w:color w:val="FF0000"/>
                <w:sz w:val="21"/>
                <w:szCs w:val="21"/>
              </w:rPr>
            </w:pPr>
          </w:p>
        </w:tc>
        <w:tc>
          <w:tcPr>
            <w:tcW w:w="217" w:type="dxa"/>
          </w:tcPr>
          <w:p w14:paraId="56C080FE" w14:textId="77777777" w:rsidR="002C0FD9" w:rsidRPr="00CA25CF" w:rsidRDefault="002C0FD9" w:rsidP="00CA25CF">
            <w:pPr>
              <w:rPr>
                <w:rFonts w:cs="Arial"/>
                <w:color w:val="FF0000"/>
                <w:sz w:val="21"/>
                <w:szCs w:val="21"/>
              </w:rPr>
            </w:pPr>
          </w:p>
        </w:tc>
        <w:tc>
          <w:tcPr>
            <w:tcW w:w="217" w:type="dxa"/>
          </w:tcPr>
          <w:p w14:paraId="32216A57" w14:textId="77777777" w:rsidR="002C0FD9" w:rsidRPr="00CA25CF" w:rsidRDefault="002C0FD9" w:rsidP="00CA25CF">
            <w:pPr>
              <w:rPr>
                <w:rFonts w:cs="Arial"/>
                <w:color w:val="FF0000"/>
                <w:sz w:val="21"/>
                <w:szCs w:val="21"/>
              </w:rPr>
            </w:pPr>
          </w:p>
        </w:tc>
        <w:tc>
          <w:tcPr>
            <w:tcW w:w="217" w:type="dxa"/>
          </w:tcPr>
          <w:p w14:paraId="46F94BD2" w14:textId="77777777" w:rsidR="002C0FD9" w:rsidRPr="00CA25CF" w:rsidRDefault="002C0FD9" w:rsidP="00CA25CF">
            <w:pPr>
              <w:rPr>
                <w:rFonts w:cs="Arial"/>
                <w:color w:val="FF0000"/>
                <w:sz w:val="21"/>
                <w:szCs w:val="21"/>
              </w:rPr>
            </w:pPr>
          </w:p>
        </w:tc>
        <w:tc>
          <w:tcPr>
            <w:tcW w:w="217" w:type="dxa"/>
          </w:tcPr>
          <w:p w14:paraId="64DE8450" w14:textId="77777777" w:rsidR="002C0FD9" w:rsidRPr="00CA25CF" w:rsidRDefault="002C0FD9" w:rsidP="00CA25CF">
            <w:pPr>
              <w:rPr>
                <w:rFonts w:cs="Arial"/>
                <w:color w:val="FF0000"/>
                <w:sz w:val="21"/>
                <w:szCs w:val="21"/>
              </w:rPr>
            </w:pPr>
          </w:p>
        </w:tc>
        <w:tc>
          <w:tcPr>
            <w:tcW w:w="217" w:type="dxa"/>
          </w:tcPr>
          <w:p w14:paraId="4786E6C6" w14:textId="77777777" w:rsidR="002C0FD9" w:rsidRPr="00CA25CF" w:rsidRDefault="002C0FD9" w:rsidP="00CA25CF">
            <w:pPr>
              <w:rPr>
                <w:rFonts w:cs="Arial"/>
                <w:color w:val="FF0000"/>
                <w:sz w:val="21"/>
                <w:szCs w:val="21"/>
              </w:rPr>
            </w:pPr>
          </w:p>
        </w:tc>
        <w:tc>
          <w:tcPr>
            <w:tcW w:w="217" w:type="dxa"/>
          </w:tcPr>
          <w:p w14:paraId="1D50217C" w14:textId="77777777" w:rsidR="002C0FD9" w:rsidRPr="00CA25CF" w:rsidRDefault="002C0FD9" w:rsidP="00CA25CF">
            <w:pPr>
              <w:rPr>
                <w:rFonts w:cs="Arial"/>
                <w:color w:val="FF0000"/>
                <w:sz w:val="21"/>
                <w:szCs w:val="21"/>
              </w:rPr>
            </w:pPr>
          </w:p>
        </w:tc>
        <w:tc>
          <w:tcPr>
            <w:tcW w:w="217" w:type="dxa"/>
          </w:tcPr>
          <w:p w14:paraId="26214693" w14:textId="77777777" w:rsidR="002C0FD9" w:rsidRPr="00CA25CF" w:rsidRDefault="002C0FD9" w:rsidP="00CA25CF">
            <w:pPr>
              <w:rPr>
                <w:rFonts w:cs="Arial"/>
                <w:color w:val="FF0000"/>
                <w:sz w:val="21"/>
                <w:szCs w:val="21"/>
              </w:rPr>
            </w:pPr>
          </w:p>
        </w:tc>
        <w:tc>
          <w:tcPr>
            <w:tcW w:w="217" w:type="dxa"/>
          </w:tcPr>
          <w:p w14:paraId="659D358A" w14:textId="77777777" w:rsidR="002C0FD9" w:rsidRPr="00CA25CF" w:rsidRDefault="002C0FD9" w:rsidP="00CA25CF">
            <w:pPr>
              <w:rPr>
                <w:rFonts w:cs="Arial"/>
                <w:color w:val="FF0000"/>
                <w:sz w:val="21"/>
                <w:szCs w:val="21"/>
              </w:rPr>
            </w:pPr>
          </w:p>
        </w:tc>
        <w:tc>
          <w:tcPr>
            <w:tcW w:w="217" w:type="dxa"/>
          </w:tcPr>
          <w:p w14:paraId="5B1BDB8D" w14:textId="77777777" w:rsidR="002C0FD9" w:rsidRPr="00CA25CF" w:rsidRDefault="002C0FD9" w:rsidP="00CA25CF">
            <w:pPr>
              <w:rPr>
                <w:rFonts w:cs="Arial"/>
                <w:color w:val="FF0000"/>
                <w:sz w:val="21"/>
                <w:szCs w:val="21"/>
              </w:rPr>
            </w:pPr>
          </w:p>
        </w:tc>
        <w:tc>
          <w:tcPr>
            <w:tcW w:w="217" w:type="dxa"/>
          </w:tcPr>
          <w:p w14:paraId="56C2AA0E" w14:textId="77777777" w:rsidR="002C0FD9" w:rsidRPr="00CA25CF" w:rsidRDefault="002C0FD9" w:rsidP="00CA25CF">
            <w:pPr>
              <w:rPr>
                <w:rFonts w:cs="Arial"/>
                <w:color w:val="FF0000"/>
                <w:sz w:val="21"/>
                <w:szCs w:val="21"/>
              </w:rPr>
            </w:pPr>
          </w:p>
        </w:tc>
        <w:tc>
          <w:tcPr>
            <w:tcW w:w="217" w:type="dxa"/>
          </w:tcPr>
          <w:p w14:paraId="0502C244" w14:textId="77777777" w:rsidR="002C0FD9" w:rsidRPr="00CA25CF" w:rsidRDefault="002C0FD9" w:rsidP="00CA25CF">
            <w:pPr>
              <w:rPr>
                <w:rFonts w:cs="Arial"/>
                <w:color w:val="FF0000"/>
                <w:sz w:val="21"/>
                <w:szCs w:val="21"/>
              </w:rPr>
            </w:pPr>
          </w:p>
        </w:tc>
        <w:tc>
          <w:tcPr>
            <w:tcW w:w="217" w:type="dxa"/>
          </w:tcPr>
          <w:p w14:paraId="55E362C0" w14:textId="77777777" w:rsidR="002C0FD9" w:rsidRPr="00CA25CF" w:rsidRDefault="002C0FD9" w:rsidP="00CA25CF">
            <w:pPr>
              <w:rPr>
                <w:rFonts w:cs="Arial"/>
                <w:color w:val="FF0000"/>
                <w:sz w:val="21"/>
                <w:szCs w:val="21"/>
              </w:rPr>
            </w:pPr>
          </w:p>
        </w:tc>
        <w:tc>
          <w:tcPr>
            <w:tcW w:w="217" w:type="dxa"/>
          </w:tcPr>
          <w:p w14:paraId="0F50347F" w14:textId="77777777" w:rsidR="002C0FD9" w:rsidRPr="00CA25CF" w:rsidRDefault="002C0FD9" w:rsidP="00CA25CF">
            <w:pPr>
              <w:rPr>
                <w:rFonts w:cs="Arial"/>
                <w:color w:val="FF0000"/>
                <w:sz w:val="21"/>
                <w:szCs w:val="21"/>
              </w:rPr>
            </w:pPr>
          </w:p>
        </w:tc>
        <w:tc>
          <w:tcPr>
            <w:tcW w:w="217" w:type="dxa"/>
          </w:tcPr>
          <w:p w14:paraId="12FAB053" w14:textId="77777777" w:rsidR="002C0FD9" w:rsidRPr="00CA25CF" w:rsidRDefault="002C0FD9" w:rsidP="00CA25CF">
            <w:pPr>
              <w:rPr>
                <w:rFonts w:cs="Arial"/>
                <w:color w:val="FF0000"/>
                <w:sz w:val="21"/>
                <w:szCs w:val="21"/>
              </w:rPr>
            </w:pPr>
          </w:p>
        </w:tc>
        <w:tc>
          <w:tcPr>
            <w:tcW w:w="217" w:type="dxa"/>
          </w:tcPr>
          <w:p w14:paraId="364B1EDE" w14:textId="77777777" w:rsidR="002C0FD9" w:rsidRPr="00CA25CF" w:rsidRDefault="002C0FD9" w:rsidP="00CA25CF">
            <w:pPr>
              <w:rPr>
                <w:rFonts w:cs="Arial"/>
                <w:color w:val="FF0000"/>
                <w:sz w:val="21"/>
                <w:szCs w:val="21"/>
              </w:rPr>
            </w:pPr>
          </w:p>
        </w:tc>
        <w:tc>
          <w:tcPr>
            <w:tcW w:w="217" w:type="dxa"/>
          </w:tcPr>
          <w:p w14:paraId="7AEC05C2" w14:textId="77777777" w:rsidR="002C0FD9" w:rsidRPr="00CA25CF" w:rsidRDefault="002C0FD9" w:rsidP="00CA25CF">
            <w:pPr>
              <w:rPr>
                <w:rFonts w:cs="Arial"/>
                <w:color w:val="FF0000"/>
                <w:sz w:val="21"/>
                <w:szCs w:val="21"/>
              </w:rPr>
            </w:pPr>
          </w:p>
        </w:tc>
        <w:tc>
          <w:tcPr>
            <w:tcW w:w="217" w:type="dxa"/>
          </w:tcPr>
          <w:p w14:paraId="4BA5DEE2" w14:textId="77777777" w:rsidR="002C0FD9" w:rsidRPr="00CA25CF" w:rsidRDefault="002C0FD9" w:rsidP="00CA25CF">
            <w:pPr>
              <w:rPr>
                <w:rFonts w:cs="Arial"/>
                <w:color w:val="FF0000"/>
                <w:sz w:val="21"/>
                <w:szCs w:val="21"/>
              </w:rPr>
            </w:pPr>
          </w:p>
        </w:tc>
        <w:tc>
          <w:tcPr>
            <w:tcW w:w="217" w:type="dxa"/>
          </w:tcPr>
          <w:p w14:paraId="3564643C" w14:textId="77777777" w:rsidR="002C0FD9" w:rsidRPr="00CA25CF" w:rsidRDefault="002C0FD9" w:rsidP="00CA25CF">
            <w:pPr>
              <w:rPr>
                <w:rFonts w:cs="Arial"/>
                <w:color w:val="FF0000"/>
                <w:sz w:val="21"/>
                <w:szCs w:val="21"/>
              </w:rPr>
            </w:pPr>
          </w:p>
        </w:tc>
        <w:tc>
          <w:tcPr>
            <w:tcW w:w="217" w:type="dxa"/>
          </w:tcPr>
          <w:p w14:paraId="67662D5B" w14:textId="77777777" w:rsidR="002C0FD9" w:rsidRPr="00CA25CF" w:rsidRDefault="002C0FD9" w:rsidP="00CA25CF">
            <w:pPr>
              <w:rPr>
                <w:rFonts w:cs="Arial"/>
                <w:color w:val="FF0000"/>
                <w:sz w:val="21"/>
                <w:szCs w:val="21"/>
              </w:rPr>
            </w:pPr>
          </w:p>
        </w:tc>
        <w:tc>
          <w:tcPr>
            <w:tcW w:w="217" w:type="dxa"/>
          </w:tcPr>
          <w:p w14:paraId="55E6FAE9" w14:textId="77777777" w:rsidR="002C0FD9" w:rsidRPr="00CA25CF" w:rsidRDefault="002C0FD9" w:rsidP="00CA25CF">
            <w:pPr>
              <w:rPr>
                <w:rFonts w:cs="Arial"/>
                <w:color w:val="FF0000"/>
                <w:sz w:val="21"/>
                <w:szCs w:val="21"/>
              </w:rPr>
            </w:pPr>
          </w:p>
        </w:tc>
      </w:tr>
      <w:tr w:rsidR="002C0FD9" w:rsidRPr="00A16219" w14:paraId="3D20A7A3" w14:textId="77777777" w:rsidTr="002C0FD9">
        <w:trPr>
          <w:trHeight w:val="635"/>
        </w:trPr>
        <w:tc>
          <w:tcPr>
            <w:tcW w:w="515" w:type="dxa"/>
          </w:tcPr>
          <w:p w14:paraId="1477A273" w14:textId="77777777" w:rsidR="002C0FD9" w:rsidRPr="00CA25CF" w:rsidRDefault="002C0FD9" w:rsidP="00CA25CF">
            <w:pPr>
              <w:rPr>
                <w:rFonts w:cs="Arial"/>
                <w:color w:val="FF0000"/>
                <w:sz w:val="21"/>
                <w:szCs w:val="21"/>
              </w:rPr>
            </w:pPr>
          </w:p>
        </w:tc>
        <w:tc>
          <w:tcPr>
            <w:tcW w:w="217" w:type="dxa"/>
          </w:tcPr>
          <w:p w14:paraId="4C9FDD42" w14:textId="77777777" w:rsidR="002C0FD9" w:rsidRPr="00CA25CF" w:rsidRDefault="002C0FD9" w:rsidP="00CA25CF">
            <w:pPr>
              <w:rPr>
                <w:rFonts w:cs="Arial"/>
                <w:color w:val="FF0000"/>
                <w:sz w:val="21"/>
                <w:szCs w:val="21"/>
              </w:rPr>
            </w:pPr>
          </w:p>
        </w:tc>
        <w:tc>
          <w:tcPr>
            <w:tcW w:w="217" w:type="dxa"/>
          </w:tcPr>
          <w:p w14:paraId="2BF811C2" w14:textId="77777777" w:rsidR="002C0FD9" w:rsidRPr="00CA25CF" w:rsidRDefault="002C0FD9" w:rsidP="00CA25CF">
            <w:pPr>
              <w:rPr>
                <w:rFonts w:cs="Arial"/>
                <w:color w:val="FF0000"/>
                <w:sz w:val="21"/>
                <w:szCs w:val="21"/>
              </w:rPr>
            </w:pPr>
          </w:p>
        </w:tc>
        <w:tc>
          <w:tcPr>
            <w:tcW w:w="217" w:type="dxa"/>
          </w:tcPr>
          <w:p w14:paraId="66CDFEB7" w14:textId="77777777" w:rsidR="002C0FD9" w:rsidRPr="00CA25CF" w:rsidRDefault="002C0FD9" w:rsidP="00CA25CF">
            <w:pPr>
              <w:rPr>
                <w:rFonts w:cs="Arial"/>
                <w:color w:val="FF0000"/>
                <w:sz w:val="21"/>
                <w:szCs w:val="21"/>
              </w:rPr>
            </w:pPr>
          </w:p>
        </w:tc>
        <w:tc>
          <w:tcPr>
            <w:tcW w:w="217" w:type="dxa"/>
          </w:tcPr>
          <w:p w14:paraId="07B19803" w14:textId="77777777" w:rsidR="002C0FD9" w:rsidRPr="00CA25CF" w:rsidRDefault="002C0FD9" w:rsidP="00CA25CF">
            <w:pPr>
              <w:rPr>
                <w:rFonts w:cs="Arial"/>
                <w:color w:val="FF0000"/>
                <w:sz w:val="21"/>
                <w:szCs w:val="21"/>
              </w:rPr>
            </w:pPr>
          </w:p>
        </w:tc>
        <w:tc>
          <w:tcPr>
            <w:tcW w:w="217" w:type="dxa"/>
          </w:tcPr>
          <w:p w14:paraId="43216349" w14:textId="77777777" w:rsidR="002C0FD9" w:rsidRPr="00CA25CF" w:rsidRDefault="002C0FD9" w:rsidP="00CA25CF">
            <w:pPr>
              <w:rPr>
                <w:rFonts w:cs="Arial"/>
                <w:color w:val="FF0000"/>
                <w:sz w:val="21"/>
                <w:szCs w:val="21"/>
              </w:rPr>
            </w:pPr>
          </w:p>
        </w:tc>
        <w:tc>
          <w:tcPr>
            <w:tcW w:w="217" w:type="dxa"/>
          </w:tcPr>
          <w:p w14:paraId="72EACA33" w14:textId="77777777" w:rsidR="002C0FD9" w:rsidRPr="00CA25CF" w:rsidRDefault="002C0FD9" w:rsidP="00CA25CF">
            <w:pPr>
              <w:rPr>
                <w:rFonts w:cs="Arial"/>
                <w:color w:val="FF0000"/>
                <w:sz w:val="21"/>
                <w:szCs w:val="21"/>
              </w:rPr>
            </w:pPr>
          </w:p>
        </w:tc>
        <w:tc>
          <w:tcPr>
            <w:tcW w:w="217" w:type="dxa"/>
          </w:tcPr>
          <w:p w14:paraId="345BE8D6" w14:textId="77777777" w:rsidR="002C0FD9" w:rsidRPr="00CA25CF" w:rsidRDefault="002C0FD9" w:rsidP="00CA25CF">
            <w:pPr>
              <w:rPr>
                <w:rFonts w:cs="Arial"/>
                <w:color w:val="FF0000"/>
                <w:sz w:val="21"/>
                <w:szCs w:val="21"/>
              </w:rPr>
            </w:pPr>
          </w:p>
        </w:tc>
        <w:tc>
          <w:tcPr>
            <w:tcW w:w="217" w:type="dxa"/>
          </w:tcPr>
          <w:p w14:paraId="45001935" w14:textId="77777777" w:rsidR="002C0FD9" w:rsidRPr="00CA25CF" w:rsidRDefault="002C0FD9" w:rsidP="00CA25CF">
            <w:pPr>
              <w:rPr>
                <w:rFonts w:cs="Arial"/>
                <w:color w:val="FF0000"/>
                <w:sz w:val="21"/>
                <w:szCs w:val="21"/>
              </w:rPr>
            </w:pPr>
          </w:p>
        </w:tc>
        <w:tc>
          <w:tcPr>
            <w:tcW w:w="217" w:type="dxa"/>
          </w:tcPr>
          <w:p w14:paraId="2FD3DA53" w14:textId="77777777" w:rsidR="002C0FD9" w:rsidRPr="00CA25CF" w:rsidRDefault="002C0FD9" w:rsidP="00CA25CF">
            <w:pPr>
              <w:rPr>
                <w:rFonts w:cs="Arial"/>
                <w:color w:val="FF0000"/>
                <w:sz w:val="21"/>
                <w:szCs w:val="21"/>
              </w:rPr>
            </w:pPr>
          </w:p>
        </w:tc>
        <w:tc>
          <w:tcPr>
            <w:tcW w:w="217" w:type="dxa"/>
          </w:tcPr>
          <w:p w14:paraId="6D6B7459" w14:textId="77777777" w:rsidR="002C0FD9" w:rsidRPr="00CA25CF" w:rsidRDefault="002C0FD9" w:rsidP="00CA25CF">
            <w:pPr>
              <w:rPr>
                <w:rFonts w:cs="Arial"/>
                <w:color w:val="FF0000"/>
                <w:sz w:val="21"/>
                <w:szCs w:val="21"/>
              </w:rPr>
            </w:pPr>
          </w:p>
        </w:tc>
        <w:tc>
          <w:tcPr>
            <w:tcW w:w="217" w:type="dxa"/>
          </w:tcPr>
          <w:p w14:paraId="4E5B5E23" w14:textId="77777777" w:rsidR="002C0FD9" w:rsidRPr="00CA25CF" w:rsidRDefault="002C0FD9" w:rsidP="00CA25CF">
            <w:pPr>
              <w:rPr>
                <w:rFonts w:cs="Arial"/>
                <w:color w:val="FF0000"/>
                <w:sz w:val="21"/>
                <w:szCs w:val="21"/>
              </w:rPr>
            </w:pPr>
          </w:p>
        </w:tc>
        <w:tc>
          <w:tcPr>
            <w:tcW w:w="217" w:type="dxa"/>
          </w:tcPr>
          <w:p w14:paraId="22373C75" w14:textId="77777777" w:rsidR="002C0FD9" w:rsidRPr="00CA25CF" w:rsidRDefault="002C0FD9" w:rsidP="00CA25CF">
            <w:pPr>
              <w:rPr>
                <w:rFonts w:cs="Arial"/>
                <w:color w:val="FF0000"/>
                <w:sz w:val="21"/>
                <w:szCs w:val="21"/>
              </w:rPr>
            </w:pPr>
          </w:p>
        </w:tc>
        <w:tc>
          <w:tcPr>
            <w:tcW w:w="217" w:type="dxa"/>
          </w:tcPr>
          <w:p w14:paraId="3C1722E1" w14:textId="77777777" w:rsidR="002C0FD9" w:rsidRPr="00CA25CF" w:rsidRDefault="002C0FD9" w:rsidP="00CA25CF">
            <w:pPr>
              <w:rPr>
                <w:rFonts w:cs="Arial"/>
                <w:color w:val="FF0000"/>
                <w:sz w:val="21"/>
                <w:szCs w:val="21"/>
              </w:rPr>
            </w:pPr>
          </w:p>
        </w:tc>
        <w:tc>
          <w:tcPr>
            <w:tcW w:w="217" w:type="dxa"/>
          </w:tcPr>
          <w:p w14:paraId="5EA1EB6D" w14:textId="77777777" w:rsidR="002C0FD9" w:rsidRPr="00CA25CF" w:rsidRDefault="002C0FD9" w:rsidP="00CA25CF">
            <w:pPr>
              <w:rPr>
                <w:rFonts w:cs="Arial"/>
                <w:color w:val="FF0000"/>
                <w:sz w:val="21"/>
                <w:szCs w:val="21"/>
              </w:rPr>
            </w:pPr>
          </w:p>
        </w:tc>
        <w:tc>
          <w:tcPr>
            <w:tcW w:w="217" w:type="dxa"/>
          </w:tcPr>
          <w:p w14:paraId="04D19EB3" w14:textId="77777777" w:rsidR="002C0FD9" w:rsidRPr="00CA25CF" w:rsidRDefault="002C0FD9" w:rsidP="00CA25CF">
            <w:pPr>
              <w:rPr>
                <w:rFonts w:cs="Arial"/>
                <w:color w:val="FF0000"/>
                <w:sz w:val="21"/>
                <w:szCs w:val="21"/>
              </w:rPr>
            </w:pPr>
          </w:p>
        </w:tc>
        <w:tc>
          <w:tcPr>
            <w:tcW w:w="217" w:type="dxa"/>
          </w:tcPr>
          <w:p w14:paraId="78C1F44B" w14:textId="77777777" w:rsidR="002C0FD9" w:rsidRPr="00CA25CF" w:rsidRDefault="002C0FD9" w:rsidP="00CA25CF">
            <w:pPr>
              <w:rPr>
                <w:rFonts w:cs="Arial"/>
                <w:color w:val="FF0000"/>
                <w:sz w:val="21"/>
                <w:szCs w:val="21"/>
              </w:rPr>
            </w:pPr>
          </w:p>
        </w:tc>
        <w:tc>
          <w:tcPr>
            <w:tcW w:w="217" w:type="dxa"/>
          </w:tcPr>
          <w:p w14:paraId="43C5D516" w14:textId="77777777" w:rsidR="002C0FD9" w:rsidRPr="00CA25CF" w:rsidRDefault="002C0FD9" w:rsidP="00CA25CF">
            <w:pPr>
              <w:rPr>
                <w:rFonts w:cs="Arial"/>
                <w:color w:val="FF0000"/>
                <w:sz w:val="21"/>
                <w:szCs w:val="21"/>
              </w:rPr>
            </w:pPr>
          </w:p>
        </w:tc>
        <w:tc>
          <w:tcPr>
            <w:tcW w:w="217" w:type="dxa"/>
          </w:tcPr>
          <w:p w14:paraId="178C7FCA" w14:textId="77777777" w:rsidR="002C0FD9" w:rsidRPr="00CA25CF" w:rsidRDefault="002C0FD9" w:rsidP="00CA25CF">
            <w:pPr>
              <w:rPr>
                <w:rFonts w:cs="Arial"/>
                <w:color w:val="FF0000"/>
                <w:sz w:val="21"/>
                <w:szCs w:val="21"/>
              </w:rPr>
            </w:pPr>
          </w:p>
        </w:tc>
        <w:tc>
          <w:tcPr>
            <w:tcW w:w="217" w:type="dxa"/>
          </w:tcPr>
          <w:p w14:paraId="040F3736" w14:textId="77777777" w:rsidR="002C0FD9" w:rsidRPr="00CA25CF" w:rsidRDefault="002C0FD9" w:rsidP="00CA25CF">
            <w:pPr>
              <w:rPr>
                <w:rFonts w:cs="Arial"/>
                <w:color w:val="FF0000"/>
                <w:sz w:val="21"/>
                <w:szCs w:val="21"/>
              </w:rPr>
            </w:pPr>
          </w:p>
        </w:tc>
        <w:tc>
          <w:tcPr>
            <w:tcW w:w="217" w:type="dxa"/>
          </w:tcPr>
          <w:p w14:paraId="56C5C964" w14:textId="77777777" w:rsidR="002C0FD9" w:rsidRPr="00CA25CF" w:rsidRDefault="002C0FD9" w:rsidP="00CA25CF">
            <w:pPr>
              <w:rPr>
                <w:rFonts w:cs="Arial"/>
                <w:color w:val="FF0000"/>
                <w:sz w:val="21"/>
                <w:szCs w:val="21"/>
              </w:rPr>
            </w:pPr>
          </w:p>
        </w:tc>
        <w:tc>
          <w:tcPr>
            <w:tcW w:w="217" w:type="dxa"/>
          </w:tcPr>
          <w:p w14:paraId="7CCBD2B2" w14:textId="77777777" w:rsidR="002C0FD9" w:rsidRPr="00CA25CF" w:rsidRDefault="002C0FD9" w:rsidP="00CA25CF">
            <w:pPr>
              <w:rPr>
                <w:rFonts w:cs="Arial"/>
                <w:color w:val="FF0000"/>
                <w:sz w:val="21"/>
                <w:szCs w:val="21"/>
              </w:rPr>
            </w:pPr>
          </w:p>
        </w:tc>
        <w:tc>
          <w:tcPr>
            <w:tcW w:w="217" w:type="dxa"/>
          </w:tcPr>
          <w:p w14:paraId="325F00E8" w14:textId="77777777" w:rsidR="002C0FD9" w:rsidRPr="00CA25CF" w:rsidRDefault="002C0FD9" w:rsidP="00CA25CF">
            <w:pPr>
              <w:rPr>
                <w:rFonts w:cs="Arial"/>
                <w:color w:val="FF0000"/>
                <w:sz w:val="21"/>
                <w:szCs w:val="21"/>
              </w:rPr>
            </w:pPr>
          </w:p>
        </w:tc>
        <w:tc>
          <w:tcPr>
            <w:tcW w:w="217" w:type="dxa"/>
          </w:tcPr>
          <w:p w14:paraId="01B2A312" w14:textId="77777777" w:rsidR="002C0FD9" w:rsidRPr="00CA25CF" w:rsidRDefault="002C0FD9" w:rsidP="00CA25CF">
            <w:pPr>
              <w:rPr>
                <w:rFonts w:cs="Arial"/>
                <w:color w:val="FF0000"/>
                <w:sz w:val="21"/>
                <w:szCs w:val="21"/>
              </w:rPr>
            </w:pPr>
          </w:p>
        </w:tc>
        <w:tc>
          <w:tcPr>
            <w:tcW w:w="217" w:type="dxa"/>
          </w:tcPr>
          <w:p w14:paraId="3D269466" w14:textId="77777777" w:rsidR="002C0FD9" w:rsidRPr="00CA25CF" w:rsidRDefault="002C0FD9" w:rsidP="00CA25CF">
            <w:pPr>
              <w:rPr>
                <w:rFonts w:cs="Arial"/>
                <w:color w:val="FF0000"/>
                <w:sz w:val="21"/>
                <w:szCs w:val="21"/>
              </w:rPr>
            </w:pPr>
          </w:p>
        </w:tc>
        <w:tc>
          <w:tcPr>
            <w:tcW w:w="217" w:type="dxa"/>
          </w:tcPr>
          <w:p w14:paraId="0C17E301" w14:textId="77777777" w:rsidR="002C0FD9" w:rsidRPr="00CA25CF" w:rsidRDefault="002C0FD9" w:rsidP="00CA25CF">
            <w:pPr>
              <w:rPr>
                <w:rFonts w:cs="Arial"/>
                <w:color w:val="FF0000"/>
                <w:sz w:val="21"/>
                <w:szCs w:val="21"/>
              </w:rPr>
            </w:pPr>
          </w:p>
        </w:tc>
        <w:tc>
          <w:tcPr>
            <w:tcW w:w="217" w:type="dxa"/>
          </w:tcPr>
          <w:p w14:paraId="0B6C4E98" w14:textId="77777777" w:rsidR="002C0FD9" w:rsidRPr="00CA25CF" w:rsidRDefault="002C0FD9" w:rsidP="00CA25CF">
            <w:pPr>
              <w:rPr>
                <w:rFonts w:cs="Arial"/>
                <w:color w:val="FF0000"/>
                <w:sz w:val="21"/>
                <w:szCs w:val="21"/>
              </w:rPr>
            </w:pPr>
          </w:p>
        </w:tc>
        <w:tc>
          <w:tcPr>
            <w:tcW w:w="217" w:type="dxa"/>
          </w:tcPr>
          <w:p w14:paraId="550FDDA8" w14:textId="77777777" w:rsidR="002C0FD9" w:rsidRPr="00CA25CF" w:rsidRDefault="002C0FD9" w:rsidP="00CA25CF">
            <w:pPr>
              <w:rPr>
                <w:rFonts w:cs="Arial"/>
                <w:color w:val="FF0000"/>
                <w:sz w:val="21"/>
                <w:szCs w:val="21"/>
              </w:rPr>
            </w:pPr>
          </w:p>
        </w:tc>
        <w:tc>
          <w:tcPr>
            <w:tcW w:w="217" w:type="dxa"/>
          </w:tcPr>
          <w:p w14:paraId="5CB757F6" w14:textId="77777777" w:rsidR="002C0FD9" w:rsidRPr="00CA25CF" w:rsidRDefault="002C0FD9" w:rsidP="00CA25CF">
            <w:pPr>
              <w:rPr>
                <w:rFonts w:cs="Arial"/>
                <w:color w:val="FF0000"/>
                <w:sz w:val="21"/>
                <w:szCs w:val="21"/>
              </w:rPr>
            </w:pPr>
          </w:p>
        </w:tc>
        <w:tc>
          <w:tcPr>
            <w:tcW w:w="217" w:type="dxa"/>
          </w:tcPr>
          <w:p w14:paraId="00B661B8" w14:textId="77777777" w:rsidR="002C0FD9" w:rsidRPr="00CA25CF" w:rsidRDefault="002C0FD9" w:rsidP="00CA25CF">
            <w:pPr>
              <w:rPr>
                <w:rFonts w:cs="Arial"/>
                <w:color w:val="FF0000"/>
                <w:sz w:val="21"/>
                <w:szCs w:val="21"/>
              </w:rPr>
            </w:pPr>
          </w:p>
        </w:tc>
        <w:tc>
          <w:tcPr>
            <w:tcW w:w="217" w:type="dxa"/>
          </w:tcPr>
          <w:p w14:paraId="6FCF9227" w14:textId="77777777" w:rsidR="002C0FD9" w:rsidRPr="00CA25CF" w:rsidRDefault="002C0FD9" w:rsidP="00CA25CF">
            <w:pPr>
              <w:rPr>
                <w:rFonts w:cs="Arial"/>
                <w:color w:val="FF0000"/>
                <w:sz w:val="21"/>
                <w:szCs w:val="21"/>
              </w:rPr>
            </w:pPr>
          </w:p>
        </w:tc>
        <w:tc>
          <w:tcPr>
            <w:tcW w:w="217" w:type="dxa"/>
          </w:tcPr>
          <w:p w14:paraId="0926D8DC" w14:textId="77777777" w:rsidR="002C0FD9" w:rsidRPr="00CA25CF" w:rsidRDefault="002C0FD9" w:rsidP="00CA25CF">
            <w:pPr>
              <w:rPr>
                <w:rFonts w:cs="Arial"/>
                <w:color w:val="FF0000"/>
                <w:sz w:val="21"/>
                <w:szCs w:val="21"/>
              </w:rPr>
            </w:pPr>
          </w:p>
        </w:tc>
        <w:tc>
          <w:tcPr>
            <w:tcW w:w="217" w:type="dxa"/>
          </w:tcPr>
          <w:p w14:paraId="325A2426" w14:textId="77777777" w:rsidR="002C0FD9" w:rsidRPr="00CA25CF" w:rsidRDefault="002C0FD9" w:rsidP="00CA25CF">
            <w:pPr>
              <w:rPr>
                <w:rFonts w:cs="Arial"/>
                <w:color w:val="FF0000"/>
                <w:sz w:val="21"/>
                <w:szCs w:val="21"/>
              </w:rPr>
            </w:pPr>
          </w:p>
        </w:tc>
        <w:tc>
          <w:tcPr>
            <w:tcW w:w="217" w:type="dxa"/>
          </w:tcPr>
          <w:p w14:paraId="4729906F" w14:textId="77777777" w:rsidR="002C0FD9" w:rsidRPr="00CA25CF" w:rsidRDefault="002C0FD9" w:rsidP="00CA25CF">
            <w:pPr>
              <w:rPr>
                <w:rFonts w:cs="Arial"/>
                <w:color w:val="FF0000"/>
                <w:sz w:val="21"/>
                <w:szCs w:val="21"/>
              </w:rPr>
            </w:pPr>
          </w:p>
        </w:tc>
        <w:tc>
          <w:tcPr>
            <w:tcW w:w="217" w:type="dxa"/>
          </w:tcPr>
          <w:p w14:paraId="2096C8DE" w14:textId="77777777" w:rsidR="002C0FD9" w:rsidRPr="00CA25CF" w:rsidRDefault="002C0FD9" w:rsidP="00CA25CF">
            <w:pPr>
              <w:rPr>
                <w:rFonts w:cs="Arial"/>
                <w:color w:val="FF0000"/>
                <w:sz w:val="21"/>
                <w:szCs w:val="21"/>
              </w:rPr>
            </w:pPr>
          </w:p>
        </w:tc>
        <w:tc>
          <w:tcPr>
            <w:tcW w:w="217" w:type="dxa"/>
          </w:tcPr>
          <w:p w14:paraId="53A4BE9E" w14:textId="77777777" w:rsidR="002C0FD9" w:rsidRPr="00CA25CF" w:rsidRDefault="002C0FD9" w:rsidP="00CA25CF">
            <w:pPr>
              <w:rPr>
                <w:rFonts w:cs="Arial"/>
                <w:color w:val="FF0000"/>
                <w:sz w:val="21"/>
                <w:szCs w:val="21"/>
              </w:rPr>
            </w:pPr>
          </w:p>
        </w:tc>
        <w:tc>
          <w:tcPr>
            <w:tcW w:w="217" w:type="dxa"/>
          </w:tcPr>
          <w:p w14:paraId="7231A8A9" w14:textId="77777777" w:rsidR="002C0FD9" w:rsidRPr="00CA25CF" w:rsidRDefault="002C0FD9" w:rsidP="00CA25CF">
            <w:pPr>
              <w:rPr>
                <w:rFonts w:cs="Arial"/>
                <w:color w:val="FF0000"/>
                <w:sz w:val="21"/>
                <w:szCs w:val="21"/>
              </w:rPr>
            </w:pPr>
          </w:p>
        </w:tc>
        <w:tc>
          <w:tcPr>
            <w:tcW w:w="217" w:type="dxa"/>
          </w:tcPr>
          <w:p w14:paraId="76203F7F" w14:textId="77777777" w:rsidR="002C0FD9" w:rsidRPr="00CA25CF" w:rsidRDefault="002C0FD9" w:rsidP="00CA25CF">
            <w:pPr>
              <w:rPr>
                <w:rFonts w:cs="Arial"/>
                <w:color w:val="FF0000"/>
                <w:sz w:val="21"/>
                <w:szCs w:val="21"/>
              </w:rPr>
            </w:pPr>
          </w:p>
        </w:tc>
        <w:tc>
          <w:tcPr>
            <w:tcW w:w="217" w:type="dxa"/>
          </w:tcPr>
          <w:p w14:paraId="4E30DEC0" w14:textId="77777777" w:rsidR="002C0FD9" w:rsidRPr="00CA25CF" w:rsidRDefault="002C0FD9" w:rsidP="00CA25CF">
            <w:pPr>
              <w:rPr>
                <w:rFonts w:cs="Arial"/>
                <w:color w:val="FF0000"/>
                <w:sz w:val="21"/>
                <w:szCs w:val="21"/>
              </w:rPr>
            </w:pPr>
          </w:p>
        </w:tc>
        <w:tc>
          <w:tcPr>
            <w:tcW w:w="217" w:type="dxa"/>
          </w:tcPr>
          <w:p w14:paraId="43DE5014" w14:textId="77777777" w:rsidR="002C0FD9" w:rsidRPr="00CA25CF" w:rsidRDefault="002C0FD9" w:rsidP="00CA25CF">
            <w:pPr>
              <w:rPr>
                <w:rFonts w:cs="Arial"/>
                <w:color w:val="FF0000"/>
                <w:sz w:val="21"/>
                <w:szCs w:val="21"/>
              </w:rPr>
            </w:pPr>
          </w:p>
        </w:tc>
        <w:tc>
          <w:tcPr>
            <w:tcW w:w="217" w:type="dxa"/>
          </w:tcPr>
          <w:p w14:paraId="42B2F16C" w14:textId="77777777" w:rsidR="002C0FD9" w:rsidRPr="00CA25CF" w:rsidRDefault="002C0FD9" w:rsidP="00CA25CF">
            <w:pPr>
              <w:rPr>
                <w:rFonts w:cs="Arial"/>
                <w:color w:val="FF0000"/>
                <w:sz w:val="21"/>
                <w:szCs w:val="21"/>
              </w:rPr>
            </w:pPr>
          </w:p>
        </w:tc>
        <w:tc>
          <w:tcPr>
            <w:tcW w:w="217" w:type="dxa"/>
          </w:tcPr>
          <w:p w14:paraId="65E49420" w14:textId="77777777" w:rsidR="002C0FD9" w:rsidRPr="00CA25CF" w:rsidRDefault="002C0FD9" w:rsidP="00CA25CF">
            <w:pPr>
              <w:rPr>
                <w:rFonts w:cs="Arial"/>
                <w:color w:val="FF0000"/>
                <w:sz w:val="21"/>
                <w:szCs w:val="21"/>
              </w:rPr>
            </w:pPr>
          </w:p>
        </w:tc>
        <w:tc>
          <w:tcPr>
            <w:tcW w:w="217" w:type="dxa"/>
          </w:tcPr>
          <w:p w14:paraId="0D136BF1" w14:textId="77777777" w:rsidR="002C0FD9" w:rsidRPr="00CA25CF" w:rsidRDefault="002C0FD9" w:rsidP="00CA25CF">
            <w:pPr>
              <w:rPr>
                <w:rFonts w:cs="Arial"/>
                <w:color w:val="FF0000"/>
                <w:sz w:val="21"/>
                <w:szCs w:val="21"/>
              </w:rPr>
            </w:pPr>
          </w:p>
        </w:tc>
      </w:tr>
      <w:tr w:rsidR="002C0FD9" w:rsidRPr="00A16219" w14:paraId="4B005DA3" w14:textId="77777777" w:rsidTr="002C0FD9">
        <w:trPr>
          <w:trHeight w:val="635"/>
        </w:trPr>
        <w:tc>
          <w:tcPr>
            <w:tcW w:w="515" w:type="dxa"/>
          </w:tcPr>
          <w:p w14:paraId="28CBDCB3" w14:textId="77777777" w:rsidR="002C0FD9" w:rsidRPr="00CA25CF" w:rsidRDefault="002C0FD9" w:rsidP="00CA25CF">
            <w:pPr>
              <w:rPr>
                <w:rFonts w:cs="Arial"/>
                <w:color w:val="FF0000"/>
                <w:sz w:val="21"/>
                <w:szCs w:val="21"/>
              </w:rPr>
            </w:pPr>
          </w:p>
        </w:tc>
        <w:tc>
          <w:tcPr>
            <w:tcW w:w="217" w:type="dxa"/>
          </w:tcPr>
          <w:p w14:paraId="2FDE999E" w14:textId="77777777" w:rsidR="002C0FD9" w:rsidRPr="00CA25CF" w:rsidRDefault="002C0FD9" w:rsidP="00CA25CF">
            <w:pPr>
              <w:rPr>
                <w:rFonts w:cs="Arial"/>
                <w:color w:val="FF0000"/>
                <w:sz w:val="21"/>
                <w:szCs w:val="21"/>
              </w:rPr>
            </w:pPr>
          </w:p>
        </w:tc>
        <w:tc>
          <w:tcPr>
            <w:tcW w:w="217" w:type="dxa"/>
          </w:tcPr>
          <w:p w14:paraId="09B80D08" w14:textId="77777777" w:rsidR="002C0FD9" w:rsidRPr="00CA25CF" w:rsidRDefault="002C0FD9" w:rsidP="00CA25CF">
            <w:pPr>
              <w:rPr>
                <w:rFonts w:cs="Arial"/>
                <w:color w:val="FF0000"/>
                <w:sz w:val="21"/>
                <w:szCs w:val="21"/>
              </w:rPr>
            </w:pPr>
          </w:p>
        </w:tc>
        <w:tc>
          <w:tcPr>
            <w:tcW w:w="217" w:type="dxa"/>
          </w:tcPr>
          <w:p w14:paraId="74D89C15" w14:textId="77777777" w:rsidR="002C0FD9" w:rsidRPr="00CA25CF" w:rsidRDefault="002C0FD9" w:rsidP="00CA25CF">
            <w:pPr>
              <w:rPr>
                <w:rFonts w:cs="Arial"/>
                <w:color w:val="FF0000"/>
                <w:sz w:val="21"/>
                <w:szCs w:val="21"/>
              </w:rPr>
            </w:pPr>
          </w:p>
        </w:tc>
        <w:tc>
          <w:tcPr>
            <w:tcW w:w="217" w:type="dxa"/>
          </w:tcPr>
          <w:p w14:paraId="34E8C9F7" w14:textId="77777777" w:rsidR="002C0FD9" w:rsidRPr="00CA25CF" w:rsidRDefault="002C0FD9" w:rsidP="00CA25CF">
            <w:pPr>
              <w:rPr>
                <w:rFonts w:cs="Arial"/>
                <w:color w:val="FF0000"/>
                <w:sz w:val="21"/>
                <w:szCs w:val="21"/>
              </w:rPr>
            </w:pPr>
          </w:p>
        </w:tc>
        <w:tc>
          <w:tcPr>
            <w:tcW w:w="217" w:type="dxa"/>
          </w:tcPr>
          <w:p w14:paraId="6198D7A1" w14:textId="77777777" w:rsidR="002C0FD9" w:rsidRPr="00CA25CF" w:rsidRDefault="002C0FD9" w:rsidP="00CA25CF">
            <w:pPr>
              <w:rPr>
                <w:rFonts w:cs="Arial"/>
                <w:color w:val="FF0000"/>
                <w:sz w:val="21"/>
                <w:szCs w:val="21"/>
              </w:rPr>
            </w:pPr>
          </w:p>
        </w:tc>
        <w:tc>
          <w:tcPr>
            <w:tcW w:w="217" w:type="dxa"/>
          </w:tcPr>
          <w:p w14:paraId="3F951F98" w14:textId="77777777" w:rsidR="002C0FD9" w:rsidRPr="00CA25CF" w:rsidRDefault="002C0FD9" w:rsidP="00CA25CF">
            <w:pPr>
              <w:rPr>
                <w:rFonts w:cs="Arial"/>
                <w:color w:val="FF0000"/>
                <w:sz w:val="21"/>
                <w:szCs w:val="21"/>
              </w:rPr>
            </w:pPr>
          </w:p>
        </w:tc>
        <w:tc>
          <w:tcPr>
            <w:tcW w:w="217" w:type="dxa"/>
          </w:tcPr>
          <w:p w14:paraId="56E9D778" w14:textId="77777777" w:rsidR="002C0FD9" w:rsidRPr="00CA25CF" w:rsidRDefault="002C0FD9" w:rsidP="00CA25CF">
            <w:pPr>
              <w:rPr>
                <w:rFonts w:cs="Arial"/>
                <w:color w:val="FF0000"/>
                <w:sz w:val="21"/>
                <w:szCs w:val="21"/>
              </w:rPr>
            </w:pPr>
          </w:p>
        </w:tc>
        <w:tc>
          <w:tcPr>
            <w:tcW w:w="217" w:type="dxa"/>
          </w:tcPr>
          <w:p w14:paraId="63FBFAD9" w14:textId="77777777" w:rsidR="002C0FD9" w:rsidRPr="00CA25CF" w:rsidRDefault="002C0FD9" w:rsidP="00CA25CF">
            <w:pPr>
              <w:rPr>
                <w:rFonts w:cs="Arial"/>
                <w:color w:val="FF0000"/>
                <w:sz w:val="21"/>
                <w:szCs w:val="21"/>
              </w:rPr>
            </w:pPr>
          </w:p>
        </w:tc>
        <w:tc>
          <w:tcPr>
            <w:tcW w:w="217" w:type="dxa"/>
          </w:tcPr>
          <w:p w14:paraId="54D33205" w14:textId="77777777" w:rsidR="002C0FD9" w:rsidRPr="00CA25CF" w:rsidRDefault="002C0FD9" w:rsidP="00CA25CF">
            <w:pPr>
              <w:rPr>
                <w:rFonts w:cs="Arial"/>
                <w:color w:val="FF0000"/>
                <w:sz w:val="21"/>
                <w:szCs w:val="21"/>
              </w:rPr>
            </w:pPr>
          </w:p>
        </w:tc>
        <w:tc>
          <w:tcPr>
            <w:tcW w:w="217" w:type="dxa"/>
          </w:tcPr>
          <w:p w14:paraId="4532C5D4" w14:textId="77777777" w:rsidR="002C0FD9" w:rsidRPr="00CA25CF" w:rsidRDefault="002C0FD9" w:rsidP="00CA25CF">
            <w:pPr>
              <w:rPr>
                <w:rFonts w:cs="Arial"/>
                <w:color w:val="FF0000"/>
                <w:sz w:val="21"/>
                <w:szCs w:val="21"/>
              </w:rPr>
            </w:pPr>
          </w:p>
        </w:tc>
        <w:tc>
          <w:tcPr>
            <w:tcW w:w="217" w:type="dxa"/>
          </w:tcPr>
          <w:p w14:paraId="47DC31F4" w14:textId="77777777" w:rsidR="002C0FD9" w:rsidRPr="00CA25CF" w:rsidRDefault="002C0FD9" w:rsidP="00CA25CF">
            <w:pPr>
              <w:rPr>
                <w:rFonts w:cs="Arial"/>
                <w:color w:val="FF0000"/>
                <w:sz w:val="21"/>
                <w:szCs w:val="21"/>
              </w:rPr>
            </w:pPr>
          </w:p>
        </w:tc>
        <w:tc>
          <w:tcPr>
            <w:tcW w:w="217" w:type="dxa"/>
          </w:tcPr>
          <w:p w14:paraId="6575329B" w14:textId="77777777" w:rsidR="002C0FD9" w:rsidRPr="00CA25CF" w:rsidRDefault="002C0FD9" w:rsidP="00CA25CF">
            <w:pPr>
              <w:rPr>
                <w:rFonts w:cs="Arial"/>
                <w:color w:val="FF0000"/>
                <w:sz w:val="21"/>
                <w:szCs w:val="21"/>
              </w:rPr>
            </w:pPr>
          </w:p>
        </w:tc>
        <w:tc>
          <w:tcPr>
            <w:tcW w:w="217" w:type="dxa"/>
          </w:tcPr>
          <w:p w14:paraId="5C2363C3" w14:textId="77777777" w:rsidR="002C0FD9" w:rsidRPr="00CA25CF" w:rsidRDefault="002C0FD9" w:rsidP="00CA25CF">
            <w:pPr>
              <w:rPr>
                <w:rFonts w:cs="Arial"/>
                <w:color w:val="FF0000"/>
                <w:sz w:val="21"/>
                <w:szCs w:val="21"/>
              </w:rPr>
            </w:pPr>
          </w:p>
        </w:tc>
        <w:tc>
          <w:tcPr>
            <w:tcW w:w="217" w:type="dxa"/>
          </w:tcPr>
          <w:p w14:paraId="54B7088E" w14:textId="77777777" w:rsidR="002C0FD9" w:rsidRPr="00CA25CF" w:rsidRDefault="002C0FD9" w:rsidP="00CA25CF">
            <w:pPr>
              <w:rPr>
                <w:rFonts w:cs="Arial"/>
                <w:color w:val="FF0000"/>
                <w:sz w:val="21"/>
                <w:szCs w:val="21"/>
              </w:rPr>
            </w:pPr>
          </w:p>
        </w:tc>
        <w:tc>
          <w:tcPr>
            <w:tcW w:w="217" w:type="dxa"/>
          </w:tcPr>
          <w:p w14:paraId="0CD00BD3" w14:textId="77777777" w:rsidR="002C0FD9" w:rsidRPr="00CA25CF" w:rsidRDefault="002C0FD9" w:rsidP="00CA25CF">
            <w:pPr>
              <w:rPr>
                <w:rFonts w:cs="Arial"/>
                <w:color w:val="FF0000"/>
                <w:sz w:val="21"/>
                <w:szCs w:val="21"/>
              </w:rPr>
            </w:pPr>
          </w:p>
        </w:tc>
        <w:tc>
          <w:tcPr>
            <w:tcW w:w="217" w:type="dxa"/>
          </w:tcPr>
          <w:p w14:paraId="24626822" w14:textId="77777777" w:rsidR="002C0FD9" w:rsidRPr="00CA25CF" w:rsidRDefault="002C0FD9" w:rsidP="00CA25CF">
            <w:pPr>
              <w:rPr>
                <w:rFonts w:cs="Arial"/>
                <w:color w:val="FF0000"/>
                <w:sz w:val="21"/>
                <w:szCs w:val="21"/>
              </w:rPr>
            </w:pPr>
          </w:p>
        </w:tc>
        <w:tc>
          <w:tcPr>
            <w:tcW w:w="217" w:type="dxa"/>
          </w:tcPr>
          <w:p w14:paraId="6E41A8F4" w14:textId="77777777" w:rsidR="002C0FD9" w:rsidRPr="00CA25CF" w:rsidRDefault="002C0FD9" w:rsidP="00CA25CF">
            <w:pPr>
              <w:rPr>
                <w:rFonts w:cs="Arial"/>
                <w:color w:val="FF0000"/>
                <w:sz w:val="21"/>
                <w:szCs w:val="21"/>
              </w:rPr>
            </w:pPr>
          </w:p>
        </w:tc>
        <w:tc>
          <w:tcPr>
            <w:tcW w:w="217" w:type="dxa"/>
          </w:tcPr>
          <w:p w14:paraId="67FB9937" w14:textId="77777777" w:rsidR="002C0FD9" w:rsidRPr="00CA25CF" w:rsidRDefault="002C0FD9" w:rsidP="00CA25CF">
            <w:pPr>
              <w:rPr>
                <w:rFonts w:cs="Arial"/>
                <w:color w:val="FF0000"/>
                <w:sz w:val="21"/>
                <w:szCs w:val="21"/>
              </w:rPr>
            </w:pPr>
          </w:p>
        </w:tc>
        <w:tc>
          <w:tcPr>
            <w:tcW w:w="217" w:type="dxa"/>
          </w:tcPr>
          <w:p w14:paraId="3A31C77F" w14:textId="77777777" w:rsidR="002C0FD9" w:rsidRPr="00CA25CF" w:rsidRDefault="002C0FD9" w:rsidP="00CA25CF">
            <w:pPr>
              <w:rPr>
                <w:rFonts w:cs="Arial"/>
                <w:color w:val="FF0000"/>
                <w:sz w:val="21"/>
                <w:szCs w:val="21"/>
              </w:rPr>
            </w:pPr>
          </w:p>
        </w:tc>
        <w:tc>
          <w:tcPr>
            <w:tcW w:w="217" w:type="dxa"/>
          </w:tcPr>
          <w:p w14:paraId="22BF17EC" w14:textId="77777777" w:rsidR="002C0FD9" w:rsidRPr="00CA25CF" w:rsidRDefault="002C0FD9" w:rsidP="00CA25CF">
            <w:pPr>
              <w:rPr>
                <w:rFonts w:cs="Arial"/>
                <w:color w:val="FF0000"/>
                <w:sz w:val="21"/>
                <w:szCs w:val="21"/>
              </w:rPr>
            </w:pPr>
          </w:p>
        </w:tc>
        <w:tc>
          <w:tcPr>
            <w:tcW w:w="217" w:type="dxa"/>
          </w:tcPr>
          <w:p w14:paraId="180588D6" w14:textId="77777777" w:rsidR="002C0FD9" w:rsidRPr="00CA25CF" w:rsidRDefault="002C0FD9" w:rsidP="00CA25CF">
            <w:pPr>
              <w:rPr>
                <w:rFonts w:cs="Arial"/>
                <w:color w:val="FF0000"/>
                <w:sz w:val="21"/>
                <w:szCs w:val="21"/>
              </w:rPr>
            </w:pPr>
          </w:p>
        </w:tc>
        <w:tc>
          <w:tcPr>
            <w:tcW w:w="217" w:type="dxa"/>
          </w:tcPr>
          <w:p w14:paraId="275F33E3" w14:textId="77777777" w:rsidR="002C0FD9" w:rsidRPr="00CA25CF" w:rsidRDefault="002C0FD9" w:rsidP="00CA25CF">
            <w:pPr>
              <w:rPr>
                <w:rFonts w:cs="Arial"/>
                <w:color w:val="FF0000"/>
                <w:sz w:val="21"/>
                <w:szCs w:val="21"/>
              </w:rPr>
            </w:pPr>
          </w:p>
        </w:tc>
        <w:tc>
          <w:tcPr>
            <w:tcW w:w="217" w:type="dxa"/>
          </w:tcPr>
          <w:p w14:paraId="0A566382" w14:textId="77777777" w:rsidR="002C0FD9" w:rsidRPr="00CA25CF" w:rsidRDefault="002C0FD9" w:rsidP="00CA25CF">
            <w:pPr>
              <w:rPr>
                <w:rFonts w:cs="Arial"/>
                <w:color w:val="FF0000"/>
                <w:sz w:val="21"/>
                <w:szCs w:val="21"/>
              </w:rPr>
            </w:pPr>
          </w:p>
        </w:tc>
        <w:tc>
          <w:tcPr>
            <w:tcW w:w="217" w:type="dxa"/>
          </w:tcPr>
          <w:p w14:paraId="2F34361D" w14:textId="77777777" w:rsidR="002C0FD9" w:rsidRPr="00CA25CF" w:rsidRDefault="002C0FD9" w:rsidP="00CA25CF">
            <w:pPr>
              <w:rPr>
                <w:rFonts w:cs="Arial"/>
                <w:color w:val="FF0000"/>
                <w:sz w:val="21"/>
                <w:szCs w:val="21"/>
              </w:rPr>
            </w:pPr>
          </w:p>
        </w:tc>
        <w:tc>
          <w:tcPr>
            <w:tcW w:w="217" w:type="dxa"/>
          </w:tcPr>
          <w:p w14:paraId="010CBFBF" w14:textId="77777777" w:rsidR="002C0FD9" w:rsidRPr="00CA25CF" w:rsidRDefault="002C0FD9" w:rsidP="00CA25CF">
            <w:pPr>
              <w:rPr>
                <w:rFonts w:cs="Arial"/>
                <w:color w:val="FF0000"/>
                <w:sz w:val="21"/>
                <w:szCs w:val="21"/>
              </w:rPr>
            </w:pPr>
          </w:p>
        </w:tc>
        <w:tc>
          <w:tcPr>
            <w:tcW w:w="217" w:type="dxa"/>
          </w:tcPr>
          <w:p w14:paraId="6124A141" w14:textId="77777777" w:rsidR="002C0FD9" w:rsidRPr="00CA25CF" w:rsidRDefault="002C0FD9" w:rsidP="00CA25CF">
            <w:pPr>
              <w:rPr>
                <w:rFonts w:cs="Arial"/>
                <w:color w:val="FF0000"/>
                <w:sz w:val="21"/>
                <w:szCs w:val="21"/>
              </w:rPr>
            </w:pPr>
          </w:p>
        </w:tc>
        <w:tc>
          <w:tcPr>
            <w:tcW w:w="217" w:type="dxa"/>
          </w:tcPr>
          <w:p w14:paraId="554B3486" w14:textId="77777777" w:rsidR="002C0FD9" w:rsidRPr="00CA25CF" w:rsidRDefault="002C0FD9" w:rsidP="00CA25CF">
            <w:pPr>
              <w:rPr>
                <w:rFonts w:cs="Arial"/>
                <w:color w:val="FF0000"/>
                <w:sz w:val="21"/>
                <w:szCs w:val="21"/>
              </w:rPr>
            </w:pPr>
          </w:p>
        </w:tc>
        <w:tc>
          <w:tcPr>
            <w:tcW w:w="217" w:type="dxa"/>
          </w:tcPr>
          <w:p w14:paraId="412ACBED" w14:textId="77777777" w:rsidR="002C0FD9" w:rsidRPr="00CA25CF" w:rsidRDefault="002C0FD9" w:rsidP="00CA25CF">
            <w:pPr>
              <w:rPr>
                <w:rFonts w:cs="Arial"/>
                <w:color w:val="FF0000"/>
                <w:sz w:val="21"/>
                <w:szCs w:val="21"/>
              </w:rPr>
            </w:pPr>
          </w:p>
        </w:tc>
        <w:tc>
          <w:tcPr>
            <w:tcW w:w="217" w:type="dxa"/>
          </w:tcPr>
          <w:p w14:paraId="21DE155F" w14:textId="77777777" w:rsidR="002C0FD9" w:rsidRPr="00CA25CF" w:rsidRDefault="002C0FD9" w:rsidP="00CA25CF">
            <w:pPr>
              <w:rPr>
                <w:rFonts w:cs="Arial"/>
                <w:color w:val="FF0000"/>
                <w:sz w:val="21"/>
                <w:szCs w:val="21"/>
              </w:rPr>
            </w:pPr>
          </w:p>
        </w:tc>
        <w:tc>
          <w:tcPr>
            <w:tcW w:w="217" w:type="dxa"/>
          </w:tcPr>
          <w:p w14:paraId="5FE6A1EB" w14:textId="77777777" w:rsidR="002C0FD9" w:rsidRPr="00CA25CF" w:rsidRDefault="002C0FD9" w:rsidP="00CA25CF">
            <w:pPr>
              <w:rPr>
                <w:rFonts w:cs="Arial"/>
                <w:color w:val="FF0000"/>
                <w:sz w:val="21"/>
                <w:szCs w:val="21"/>
              </w:rPr>
            </w:pPr>
          </w:p>
        </w:tc>
        <w:tc>
          <w:tcPr>
            <w:tcW w:w="217" w:type="dxa"/>
          </w:tcPr>
          <w:p w14:paraId="2DDEAE5B" w14:textId="77777777" w:rsidR="002C0FD9" w:rsidRPr="00CA25CF" w:rsidRDefault="002C0FD9" w:rsidP="00CA25CF">
            <w:pPr>
              <w:rPr>
                <w:rFonts w:cs="Arial"/>
                <w:color w:val="FF0000"/>
                <w:sz w:val="21"/>
                <w:szCs w:val="21"/>
              </w:rPr>
            </w:pPr>
          </w:p>
        </w:tc>
        <w:tc>
          <w:tcPr>
            <w:tcW w:w="217" w:type="dxa"/>
          </w:tcPr>
          <w:p w14:paraId="52D3A7CF" w14:textId="77777777" w:rsidR="002C0FD9" w:rsidRPr="00CA25CF" w:rsidRDefault="002C0FD9" w:rsidP="00CA25CF">
            <w:pPr>
              <w:rPr>
                <w:rFonts w:cs="Arial"/>
                <w:color w:val="FF0000"/>
                <w:sz w:val="21"/>
                <w:szCs w:val="21"/>
              </w:rPr>
            </w:pPr>
          </w:p>
        </w:tc>
        <w:tc>
          <w:tcPr>
            <w:tcW w:w="217" w:type="dxa"/>
          </w:tcPr>
          <w:p w14:paraId="1CD9865F" w14:textId="77777777" w:rsidR="002C0FD9" w:rsidRPr="00CA25CF" w:rsidRDefault="002C0FD9" w:rsidP="00CA25CF">
            <w:pPr>
              <w:rPr>
                <w:rFonts w:cs="Arial"/>
                <w:color w:val="FF0000"/>
                <w:sz w:val="21"/>
                <w:szCs w:val="21"/>
              </w:rPr>
            </w:pPr>
          </w:p>
        </w:tc>
        <w:tc>
          <w:tcPr>
            <w:tcW w:w="217" w:type="dxa"/>
          </w:tcPr>
          <w:p w14:paraId="600499A4" w14:textId="77777777" w:rsidR="002C0FD9" w:rsidRPr="00CA25CF" w:rsidRDefault="002C0FD9" w:rsidP="00CA25CF">
            <w:pPr>
              <w:rPr>
                <w:rFonts w:cs="Arial"/>
                <w:color w:val="FF0000"/>
                <w:sz w:val="21"/>
                <w:szCs w:val="21"/>
              </w:rPr>
            </w:pPr>
          </w:p>
        </w:tc>
        <w:tc>
          <w:tcPr>
            <w:tcW w:w="217" w:type="dxa"/>
          </w:tcPr>
          <w:p w14:paraId="2B870C16" w14:textId="77777777" w:rsidR="002C0FD9" w:rsidRPr="00CA25CF" w:rsidRDefault="002C0FD9" w:rsidP="00CA25CF">
            <w:pPr>
              <w:rPr>
                <w:rFonts w:cs="Arial"/>
                <w:color w:val="FF0000"/>
                <w:sz w:val="21"/>
                <w:szCs w:val="21"/>
              </w:rPr>
            </w:pPr>
          </w:p>
        </w:tc>
        <w:tc>
          <w:tcPr>
            <w:tcW w:w="217" w:type="dxa"/>
          </w:tcPr>
          <w:p w14:paraId="76E763DB" w14:textId="77777777" w:rsidR="002C0FD9" w:rsidRPr="00CA25CF" w:rsidRDefault="002C0FD9" w:rsidP="00CA25CF">
            <w:pPr>
              <w:rPr>
                <w:rFonts w:cs="Arial"/>
                <w:color w:val="FF0000"/>
                <w:sz w:val="21"/>
                <w:szCs w:val="21"/>
              </w:rPr>
            </w:pPr>
          </w:p>
        </w:tc>
        <w:tc>
          <w:tcPr>
            <w:tcW w:w="217" w:type="dxa"/>
          </w:tcPr>
          <w:p w14:paraId="25EECDC8" w14:textId="77777777" w:rsidR="002C0FD9" w:rsidRPr="00CA25CF" w:rsidRDefault="002C0FD9" w:rsidP="00CA25CF">
            <w:pPr>
              <w:rPr>
                <w:rFonts w:cs="Arial"/>
                <w:color w:val="FF0000"/>
                <w:sz w:val="21"/>
                <w:szCs w:val="21"/>
              </w:rPr>
            </w:pPr>
          </w:p>
        </w:tc>
        <w:tc>
          <w:tcPr>
            <w:tcW w:w="217" w:type="dxa"/>
          </w:tcPr>
          <w:p w14:paraId="555949D9" w14:textId="77777777" w:rsidR="002C0FD9" w:rsidRPr="00CA25CF" w:rsidRDefault="002C0FD9" w:rsidP="00CA25CF">
            <w:pPr>
              <w:rPr>
                <w:rFonts w:cs="Arial"/>
                <w:color w:val="FF0000"/>
                <w:sz w:val="21"/>
                <w:szCs w:val="21"/>
              </w:rPr>
            </w:pPr>
          </w:p>
        </w:tc>
        <w:tc>
          <w:tcPr>
            <w:tcW w:w="217" w:type="dxa"/>
          </w:tcPr>
          <w:p w14:paraId="5D72DBA7" w14:textId="77777777" w:rsidR="002C0FD9" w:rsidRPr="00CA25CF" w:rsidRDefault="002C0FD9" w:rsidP="00CA25CF">
            <w:pPr>
              <w:rPr>
                <w:rFonts w:cs="Arial"/>
                <w:color w:val="FF0000"/>
                <w:sz w:val="21"/>
                <w:szCs w:val="21"/>
              </w:rPr>
            </w:pPr>
          </w:p>
        </w:tc>
        <w:tc>
          <w:tcPr>
            <w:tcW w:w="217" w:type="dxa"/>
          </w:tcPr>
          <w:p w14:paraId="1A617CFF" w14:textId="77777777" w:rsidR="002C0FD9" w:rsidRPr="00CA25CF" w:rsidRDefault="002C0FD9" w:rsidP="00CA25CF">
            <w:pPr>
              <w:rPr>
                <w:rFonts w:cs="Arial"/>
                <w:color w:val="FF0000"/>
                <w:sz w:val="21"/>
                <w:szCs w:val="21"/>
              </w:rPr>
            </w:pPr>
          </w:p>
        </w:tc>
        <w:tc>
          <w:tcPr>
            <w:tcW w:w="217" w:type="dxa"/>
          </w:tcPr>
          <w:p w14:paraId="2905089F" w14:textId="77777777" w:rsidR="002C0FD9" w:rsidRPr="00CA25CF" w:rsidRDefault="002C0FD9" w:rsidP="00CA25CF">
            <w:pPr>
              <w:rPr>
                <w:rFonts w:cs="Arial"/>
                <w:color w:val="FF0000"/>
                <w:sz w:val="21"/>
                <w:szCs w:val="21"/>
              </w:rPr>
            </w:pPr>
          </w:p>
        </w:tc>
        <w:tc>
          <w:tcPr>
            <w:tcW w:w="217" w:type="dxa"/>
          </w:tcPr>
          <w:p w14:paraId="41288844" w14:textId="77777777" w:rsidR="002C0FD9" w:rsidRPr="00CA25CF" w:rsidRDefault="002C0FD9" w:rsidP="00CA25CF">
            <w:pPr>
              <w:rPr>
                <w:rFonts w:cs="Arial"/>
                <w:color w:val="FF0000"/>
                <w:sz w:val="21"/>
                <w:szCs w:val="21"/>
              </w:rPr>
            </w:pPr>
          </w:p>
        </w:tc>
      </w:tr>
      <w:tr w:rsidR="002C0FD9" w:rsidRPr="00A16219" w14:paraId="6E92F46C" w14:textId="77777777" w:rsidTr="002C0FD9">
        <w:trPr>
          <w:trHeight w:val="635"/>
        </w:trPr>
        <w:tc>
          <w:tcPr>
            <w:tcW w:w="515" w:type="dxa"/>
          </w:tcPr>
          <w:p w14:paraId="6815143F" w14:textId="77777777" w:rsidR="002C0FD9" w:rsidRPr="00CA25CF" w:rsidRDefault="002C0FD9" w:rsidP="00CA25CF">
            <w:pPr>
              <w:rPr>
                <w:rFonts w:cs="Arial"/>
                <w:color w:val="FF0000"/>
                <w:sz w:val="21"/>
                <w:szCs w:val="21"/>
              </w:rPr>
            </w:pPr>
          </w:p>
        </w:tc>
        <w:tc>
          <w:tcPr>
            <w:tcW w:w="217" w:type="dxa"/>
          </w:tcPr>
          <w:p w14:paraId="0BB6B385" w14:textId="77777777" w:rsidR="002C0FD9" w:rsidRPr="00CA25CF" w:rsidRDefault="002C0FD9" w:rsidP="00CA25CF">
            <w:pPr>
              <w:rPr>
                <w:rFonts w:cs="Arial"/>
                <w:color w:val="FF0000"/>
                <w:sz w:val="21"/>
                <w:szCs w:val="21"/>
              </w:rPr>
            </w:pPr>
          </w:p>
        </w:tc>
        <w:tc>
          <w:tcPr>
            <w:tcW w:w="217" w:type="dxa"/>
          </w:tcPr>
          <w:p w14:paraId="7B11A7BD" w14:textId="77777777" w:rsidR="002C0FD9" w:rsidRPr="00CA25CF" w:rsidRDefault="002C0FD9" w:rsidP="00CA25CF">
            <w:pPr>
              <w:rPr>
                <w:rFonts w:cs="Arial"/>
                <w:color w:val="FF0000"/>
                <w:sz w:val="21"/>
                <w:szCs w:val="21"/>
              </w:rPr>
            </w:pPr>
          </w:p>
        </w:tc>
        <w:tc>
          <w:tcPr>
            <w:tcW w:w="217" w:type="dxa"/>
          </w:tcPr>
          <w:p w14:paraId="6F5D073A" w14:textId="77777777" w:rsidR="002C0FD9" w:rsidRPr="00CA25CF" w:rsidRDefault="002C0FD9" w:rsidP="00CA25CF">
            <w:pPr>
              <w:rPr>
                <w:rFonts w:cs="Arial"/>
                <w:color w:val="FF0000"/>
                <w:sz w:val="21"/>
                <w:szCs w:val="21"/>
              </w:rPr>
            </w:pPr>
          </w:p>
        </w:tc>
        <w:tc>
          <w:tcPr>
            <w:tcW w:w="217" w:type="dxa"/>
          </w:tcPr>
          <w:p w14:paraId="5EEB28CA" w14:textId="77777777" w:rsidR="002C0FD9" w:rsidRPr="00CA25CF" w:rsidRDefault="002C0FD9" w:rsidP="00CA25CF">
            <w:pPr>
              <w:rPr>
                <w:rFonts w:cs="Arial"/>
                <w:color w:val="FF0000"/>
                <w:sz w:val="21"/>
                <w:szCs w:val="21"/>
              </w:rPr>
            </w:pPr>
          </w:p>
        </w:tc>
        <w:tc>
          <w:tcPr>
            <w:tcW w:w="217" w:type="dxa"/>
          </w:tcPr>
          <w:p w14:paraId="7E88BCCC" w14:textId="77777777" w:rsidR="002C0FD9" w:rsidRPr="00CA25CF" w:rsidRDefault="002C0FD9" w:rsidP="00CA25CF">
            <w:pPr>
              <w:rPr>
                <w:rFonts w:cs="Arial"/>
                <w:color w:val="FF0000"/>
                <w:sz w:val="21"/>
                <w:szCs w:val="21"/>
              </w:rPr>
            </w:pPr>
          </w:p>
        </w:tc>
        <w:tc>
          <w:tcPr>
            <w:tcW w:w="217" w:type="dxa"/>
          </w:tcPr>
          <w:p w14:paraId="5EBFE222" w14:textId="77777777" w:rsidR="002C0FD9" w:rsidRPr="00CA25CF" w:rsidRDefault="002C0FD9" w:rsidP="00CA25CF">
            <w:pPr>
              <w:rPr>
                <w:rFonts w:cs="Arial"/>
                <w:color w:val="FF0000"/>
                <w:sz w:val="21"/>
                <w:szCs w:val="21"/>
              </w:rPr>
            </w:pPr>
          </w:p>
        </w:tc>
        <w:tc>
          <w:tcPr>
            <w:tcW w:w="217" w:type="dxa"/>
          </w:tcPr>
          <w:p w14:paraId="02530E25" w14:textId="77777777" w:rsidR="002C0FD9" w:rsidRPr="00CA25CF" w:rsidRDefault="002C0FD9" w:rsidP="00CA25CF">
            <w:pPr>
              <w:rPr>
                <w:rFonts w:cs="Arial"/>
                <w:color w:val="FF0000"/>
                <w:sz w:val="21"/>
                <w:szCs w:val="21"/>
              </w:rPr>
            </w:pPr>
          </w:p>
        </w:tc>
        <w:tc>
          <w:tcPr>
            <w:tcW w:w="217" w:type="dxa"/>
          </w:tcPr>
          <w:p w14:paraId="4752421C" w14:textId="77777777" w:rsidR="002C0FD9" w:rsidRPr="00CA25CF" w:rsidRDefault="002C0FD9" w:rsidP="00CA25CF">
            <w:pPr>
              <w:rPr>
                <w:rFonts w:cs="Arial"/>
                <w:color w:val="FF0000"/>
                <w:sz w:val="21"/>
                <w:szCs w:val="21"/>
              </w:rPr>
            </w:pPr>
          </w:p>
        </w:tc>
        <w:tc>
          <w:tcPr>
            <w:tcW w:w="217" w:type="dxa"/>
          </w:tcPr>
          <w:p w14:paraId="39BF0D82" w14:textId="77777777" w:rsidR="002C0FD9" w:rsidRPr="00CA25CF" w:rsidRDefault="002C0FD9" w:rsidP="00CA25CF">
            <w:pPr>
              <w:rPr>
                <w:rFonts w:cs="Arial"/>
                <w:color w:val="FF0000"/>
                <w:sz w:val="21"/>
                <w:szCs w:val="21"/>
              </w:rPr>
            </w:pPr>
          </w:p>
        </w:tc>
        <w:tc>
          <w:tcPr>
            <w:tcW w:w="217" w:type="dxa"/>
          </w:tcPr>
          <w:p w14:paraId="7175FCD4" w14:textId="77777777" w:rsidR="002C0FD9" w:rsidRPr="00CA25CF" w:rsidRDefault="002C0FD9" w:rsidP="00CA25CF">
            <w:pPr>
              <w:rPr>
                <w:rFonts w:cs="Arial"/>
                <w:color w:val="FF0000"/>
                <w:sz w:val="21"/>
                <w:szCs w:val="21"/>
              </w:rPr>
            </w:pPr>
          </w:p>
        </w:tc>
        <w:tc>
          <w:tcPr>
            <w:tcW w:w="217" w:type="dxa"/>
          </w:tcPr>
          <w:p w14:paraId="56715197" w14:textId="77777777" w:rsidR="002C0FD9" w:rsidRPr="00CA25CF" w:rsidRDefault="002C0FD9" w:rsidP="00CA25CF">
            <w:pPr>
              <w:rPr>
                <w:rFonts w:cs="Arial"/>
                <w:color w:val="FF0000"/>
                <w:sz w:val="21"/>
                <w:szCs w:val="21"/>
              </w:rPr>
            </w:pPr>
          </w:p>
        </w:tc>
        <w:tc>
          <w:tcPr>
            <w:tcW w:w="217" w:type="dxa"/>
          </w:tcPr>
          <w:p w14:paraId="5454025E" w14:textId="77777777" w:rsidR="002C0FD9" w:rsidRPr="00CA25CF" w:rsidRDefault="002C0FD9" w:rsidP="00CA25CF">
            <w:pPr>
              <w:rPr>
                <w:rFonts w:cs="Arial"/>
                <w:color w:val="FF0000"/>
                <w:sz w:val="21"/>
                <w:szCs w:val="21"/>
              </w:rPr>
            </w:pPr>
          </w:p>
        </w:tc>
        <w:tc>
          <w:tcPr>
            <w:tcW w:w="217" w:type="dxa"/>
          </w:tcPr>
          <w:p w14:paraId="35EBBB4C" w14:textId="77777777" w:rsidR="002C0FD9" w:rsidRPr="00CA25CF" w:rsidRDefault="002C0FD9" w:rsidP="00CA25CF">
            <w:pPr>
              <w:rPr>
                <w:rFonts w:cs="Arial"/>
                <w:color w:val="FF0000"/>
                <w:sz w:val="21"/>
                <w:szCs w:val="21"/>
              </w:rPr>
            </w:pPr>
          </w:p>
        </w:tc>
        <w:tc>
          <w:tcPr>
            <w:tcW w:w="217" w:type="dxa"/>
          </w:tcPr>
          <w:p w14:paraId="2F7D22B6" w14:textId="77777777" w:rsidR="002C0FD9" w:rsidRPr="00CA25CF" w:rsidRDefault="002C0FD9" w:rsidP="00CA25CF">
            <w:pPr>
              <w:rPr>
                <w:rFonts w:cs="Arial"/>
                <w:color w:val="FF0000"/>
                <w:sz w:val="21"/>
                <w:szCs w:val="21"/>
              </w:rPr>
            </w:pPr>
          </w:p>
        </w:tc>
        <w:tc>
          <w:tcPr>
            <w:tcW w:w="217" w:type="dxa"/>
          </w:tcPr>
          <w:p w14:paraId="6EA95A42" w14:textId="77777777" w:rsidR="002C0FD9" w:rsidRPr="00CA25CF" w:rsidRDefault="002C0FD9" w:rsidP="00CA25CF">
            <w:pPr>
              <w:rPr>
                <w:rFonts w:cs="Arial"/>
                <w:color w:val="FF0000"/>
                <w:sz w:val="21"/>
                <w:szCs w:val="21"/>
              </w:rPr>
            </w:pPr>
          </w:p>
        </w:tc>
        <w:tc>
          <w:tcPr>
            <w:tcW w:w="217" w:type="dxa"/>
          </w:tcPr>
          <w:p w14:paraId="71F89461" w14:textId="77777777" w:rsidR="002C0FD9" w:rsidRPr="00CA25CF" w:rsidRDefault="002C0FD9" w:rsidP="00CA25CF">
            <w:pPr>
              <w:rPr>
                <w:rFonts w:cs="Arial"/>
                <w:color w:val="FF0000"/>
                <w:sz w:val="21"/>
                <w:szCs w:val="21"/>
              </w:rPr>
            </w:pPr>
          </w:p>
        </w:tc>
        <w:tc>
          <w:tcPr>
            <w:tcW w:w="217" w:type="dxa"/>
          </w:tcPr>
          <w:p w14:paraId="6861378F" w14:textId="77777777" w:rsidR="002C0FD9" w:rsidRPr="00CA25CF" w:rsidRDefault="002C0FD9" w:rsidP="00CA25CF">
            <w:pPr>
              <w:rPr>
                <w:rFonts w:cs="Arial"/>
                <w:color w:val="FF0000"/>
                <w:sz w:val="21"/>
                <w:szCs w:val="21"/>
              </w:rPr>
            </w:pPr>
          </w:p>
        </w:tc>
        <w:tc>
          <w:tcPr>
            <w:tcW w:w="217" w:type="dxa"/>
          </w:tcPr>
          <w:p w14:paraId="749D5F8F" w14:textId="77777777" w:rsidR="002C0FD9" w:rsidRPr="00CA25CF" w:rsidRDefault="002C0FD9" w:rsidP="00CA25CF">
            <w:pPr>
              <w:rPr>
                <w:rFonts w:cs="Arial"/>
                <w:color w:val="FF0000"/>
                <w:sz w:val="21"/>
                <w:szCs w:val="21"/>
              </w:rPr>
            </w:pPr>
          </w:p>
        </w:tc>
        <w:tc>
          <w:tcPr>
            <w:tcW w:w="217" w:type="dxa"/>
          </w:tcPr>
          <w:p w14:paraId="5467DF65" w14:textId="77777777" w:rsidR="002C0FD9" w:rsidRPr="00CA25CF" w:rsidRDefault="002C0FD9" w:rsidP="00CA25CF">
            <w:pPr>
              <w:rPr>
                <w:rFonts w:cs="Arial"/>
                <w:color w:val="FF0000"/>
                <w:sz w:val="21"/>
                <w:szCs w:val="21"/>
              </w:rPr>
            </w:pPr>
          </w:p>
        </w:tc>
        <w:tc>
          <w:tcPr>
            <w:tcW w:w="217" w:type="dxa"/>
          </w:tcPr>
          <w:p w14:paraId="2FF1F57E" w14:textId="77777777" w:rsidR="002C0FD9" w:rsidRPr="00CA25CF" w:rsidRDefault="002C0FD9" w:rsidP="00CA25CF">
            <w:pPr>
              <w:rPr>
                <w:rFonts w:cs="Arial"/>
                <w:color w:val="FF0000"/>
                <w:sz w:val="21"/>
                <w:szCs w:val="21"/>
              </w:rPr>
            </w:pPr>
          </w:p>
        </w:tc>
        <w:tc>
          <w:tcPr>
            <w:tcW w:w="217" w:type="dxa"/>
          </w:tcPr>
          <w:p w14:paraId="7063A768" w14:textId="77777777" w:rsidR="002C0FD9" w:rsidRPr="00CA25CF" w:rsidRDefault="002C0FD9" w:rsidP="00CA25CF">
            <w:pPr>
              <w:rPr>
                <w:rFonts w:cs="Arial"/>
                <w:color w:val="FF0000"/>
                <w:sz w:val="21"/>
                <w:szCs w:val="21"/>
              </w:rPr>
            </w:pPr>
          </w:p>
        </w:tc>
        <w:tc>
          <w:tcPr>
            <w:tcW w:w="217" w:type="dxa"/>
          </w:tcPr>
          <w:p w14:paraId="3A1A294F" w14:textId="77777777" w:rsidR="002C0FD9" w:rsidRPr="00CA25CF" w:rsidRDefault="002C0FD9" w:rsidP="00CA25CF">
            <w:pPr>
              <w:rPr>
                <w:rFonts w:cs="Arial"/>
                <w:color w:val="FF0000"/>
                <w:sz w:val="21"/>
                <w:szCs w:val="21"/>
              </w:rPr>
            </w:pPr>
          </w:p>
        </w:tc>
        <w:tc>
          <w:tcPr>
            <w:tcW w:w="217" w:type="dxa"/>
          </w:tcPr>
          <w:p w14:paraId="18AF7E2A" w14:textId="77777777" w:rsidR="002C0FD9" w:rsidRPr="00CA25CF" w:rsidRDefault="002C0FD9" w:rsidP="00CA25CF">
            <w:pPr>
              <w:rPr>
                <w:rFonts w:cs="Arial"/>
                <w:color w:val="FF0000"/>
                <w:sz w:val="21"/>
                <w:szCs w:val="21"/>
              </w:rPr>
            </w:pPr>
          </w:p>
        </w:tc>
        <w:tc>
          <w:tcPr>
            <w:tcW w:w="217" w:type="dxa"/>
          </w:tcPr>
          <w:p w14:paraId="1F87C928" w14:textId="77777777" w:rsidR="002C0FD9" w:rsidRPr="00CA25CF" w:rsidRDefault="002C0FD9" w:rsidP="00CA25CF">
            <w:pPr>
              <w:rPr>
                <w:rFonts w:cs="Arial"/>
                <w:color w:val="FF0000"/>
                <w:sz w:val="21"/>
                <w:szCs w:val="21"/>
              </w:rPr>
            </w:pPr>
          </w:p>
        </w:tc>
        <w:tc>
          <w:tcPr>
            <w:tcW w:w="217" w:type="dxa"/>
          </w:tcPr>
          <w:p w14:paraId="373CCA57" w14:textId="77777777" w:rsidR="002C0FD9" w:rsidRPr="00CA25CF" w:rsidRDefault="002C0FD9" w:rsidP="00CA25CF">
            <w:pPr>
              <w:rPr>
                <w:rFonts w:cs="Arial"/>
                <w:color w:val="FF0000"/>
                <w:sz w:val="21"/>
                <w:szCs w:val="21"/>
              </w:rPr>
            </w:pPr>
          </w:p>
        </w:tc>
        <w:tc>
          <w:tcPr>
            <w:tcW w:w="217" w:type="dxa"/>
          </w:tcPr>
          <w:p w14:paraId="322B3809" w14:textId="77777777" w:rsidR="002C0FD9" w:rsidRPr="00CA25CF" w:rsidRDefault="002C0FD9" w:rsidP="00CA25CF">
            <w:pPr>
              <w:rPr>
                <w:rFonts w:cs="Arial"/>
                <w:color w:val="FF0000"/>
                <w:sz w:val="21"/>
                <w:szCs w:val="21"/>
              </w:rPr>
            </w:pPr>
          </w:p>
        </w:tc>
        <w:tc>
          <w:tcPr>
            <w:tcW w:w="217" w:type="dxa"/>
          </w:tcPr>
          <w:p w14:paraId="3F116F3C" w14:textId="77777777" w:rsidR="002C0FD9" w:rsidRPr="00CA25CF" w:rsidRDefault="002C0FD9" w:rsidP="00CA25CF">
            <w:pPr>
              <w:rPr>
                <w:rFonts w:cs="Arial"/>
                <w:color w:val="FF0000"/>
                <w:sz w:val="21"/>
                <w:szCs w:val="21"/>
              </w:rPr>
            </w:pPr>
          </w:p>
        </w:tc>
        <w:tc>
          <w:tcPr>
            <w:tcW w:w="217" w:type="dxa"/>
          </w:tcPr>
          <w:p w14:paraId="1AE532F5" w14:textId="77777777" w:rsidR="002C0FD9" w:rsidRPr="00CA25CF" w:rsidRDefault="002C0FD9" w:rsidP="00CA25CF">
            <w:pPr>
              <w:rPr>
                <w:rFonts w:cs="Arial"/>
                <w:color w:val="FF0000"/>
                <w:sz w:val="21"/>
                <w:szCs w:val="21"/>
              </w:rPr>
            </w:pPr>
          </w:p>
        </w:tc>
        <w:tc>
          <w:tcPr>
            <w:tcW w:w="217" w:type="dxa"/>
          </w:tcPr>
          <w:p w14:paraId="65E09288" w14:textId="77777777" w:rsidR="002C0FD9" w:rsidRPr="00CA25CF" w:rsidRDefault="002C0FD9" w:rsidP="00CA25CF">
            <w:pPr>
              <w:rPr>
                <w:rFonts w:cs="Arial"/>
                <w:color w:val="FF0000"/>
                <w:sz w:val="21"/>
                <w:szCs w:val="21"/>
              </w:rPr>
            </w:pPr>
          </w:p>
        </w:tc>
        <w:tc>
          <w:tcPr>
            <w:tcW w:w="217" w:type="dxa"/>
          </w:tcPr>
          <w:p w14:paraId="736247B7" w14:textId="77777777" w:rsidR="002C0FD9" w:rsidRPr="00CA25CF" w:rsidRDefault="002C0FD9" w:rsidP="00CA25CF">
            <w:pPr>
              <w:rPr>
                <w:rFonts w:cs="Arial"/>
                <w:color w:val="FF0000"/>
                <w:sz w:val="21"/>
                <w:szCs w:val="21"/>
              </w:rPr>
            </w:pPr>
          </w:p>
        </w:tc>
        <w:tc>
          <w:tcPr>
            <w:tcW w:w="217" w:type="dxa"/>
          </w:tcPr>
          <w:p w14:paraId="1C662F4B" w14:textId="77777777" w:rsidR="002C0FD9" w:rsidRPr="00CA25CF" w:rsidRDefault="002C0FD9" w:rsidP="00CA25CF">
            <w:pPr>
              <w:rPr>
                <w:rFonts w:cs="Arial"/>
                <w:color w:val="FF0000"/>
                <w:sz w:val="21"/>
                <w:szCs w:val="21"/>
              </w:rPr>
            </w:pPr>
          </w:p>
        </w:tc>
        <w:tc>
          <w:tcPr>
            <w:tcW w:w="217" w:type="dxa"/>
          </w:tcPr>
          <w:p w14:paraId="173114CF" w14:textId="77777777" w:rsidR="002C0FD9" w:rsidRPr="00CA25CF" w:rsidRDefault="002C0FD9" w:rsidP="00CA25CF">
            <w:pPr>
              <w:rPr>
                <w:rFonts w:cs="Arial"/>
                <w:color w:val="FF0000"/>
                <w:sz w:val="21"/>
                <w:szCs w:val="21"/>
              </w:rPr>
            </w:pPr>
          </w:p>
        </w:tc>
        <w:tc>
          <w:tcPr>
            <w:tcW w:w="217" w:type="dxa"/>
          </w:tcPr>
          <w:p w14:paraId="50F80464" w14:textId="77777777" w:rsidR="002C0FD9" w:rsidRPr="00CA25CF" w:rsidRDefault="002C0FD9" w:rsidP="00CA25CF">
            <w:pPr>
              <w:rPr>
                <w:rFonts w:cs="Arial"/>
                <w:color w:val="FF0000"/>
                <w:sz w:val="21"/>
                <w:szCs w:val="21"/>
              </w:rPr>
            </w:pPr>
          </w:p>
        </w:tc>
        <w:tc>
          <w:tcPr>
            <w:tcW w:w="217" w:type="dxa"/>
          </w:tcPr>
          <w:p w14:paraId="55CD5D33" w14:textId="77777777" w:rsidR="002C0FD9" w:rsidRPr="00CA25CF" w:rsidRDefault="002C0FD9" w:rsidP="00CA25CF">
            <w:pPr>
              <w:rPr>
                <w:rFonts w:cs="Arial"/>
                <w:color w:val="FF0000"/>
                <w:sz w:val="21"/>
                <w:szCs w:val="21"/>
              </w:rPr>
            </w:pPr>
          </w:p>
        </w:tc>
        <w:tc>
          <w:tcPr>
            <w:tcW w:w="217" w:type="dxa"/>
          </w:tcPr>
          <w:p w14:paraId="427D4472" w14:textId="77777777" w:rsidR="002C0FD9" w:rsidRPr="00CA25CF" w:rsidRDefault="002C0FD9" w:rsidP="00CA25CF">
            <w:pPr>
              <w:rPr>
                <w:rFonts w:cs="Arial"/>
                <w:color w:val="FF0000"/>
                <w:sz w:val="21"/>
                <w:szCs w:val="21"/>
              </w:rPr>
            </w:pPr>
          </w:p>
        </w:tc>
        <w:tc>
          <w:tcPr>
            <w:tcW w:w="217" w:type="dxa"/>
          </w:tcPr>
          <w:p w14:paraId="5AB797DD" w14:textId="77777777" w:rsidR="002C0FD9" w:rsidRPr="00CA25CF" w:rsidRDefault="002C0FD9" w:rsidP="00CA25CF">
            <w:pPr>
              <w:rPr>
                <w:rFonts w:cs="Arial"/>
                <w:color w:val="FF0000"/>
                <w:sz w:val="21"/>
                <w:szCs w:val="21"/>
              </w:rPr>
            </w:pPr>
          </w:p>
        </w:tc>
        <w:tc>
          <w:tcPr>
            <w:tcW w:w="217" w:type="dxa"/>
          </w:tcPr>
          <w:p w14:paraId="5049D9F1" w14:textId="77777777" w:rsidR="002C0FD9" w:rsidRPr="00CA25CF" w:rsidRDefault="002C0FD9" w:rsidP="00CA25CF">
            <w:pPr>
              <w:rPr>
                <w:rFonts w:cs="Arial"/>
                <w:color w:val="FF0000"/>
                <w:sz w:val="21"/>
                <w:szCs w:val="21"/>
              </w:rPr>
            </w:pPr>
          </w:p>
        </w:tc>
        <w:tc>
          <w:tcPr>
            <w:tcW w:w="217" w:type="dxa"/>
          </w:tcPr>
          <w:p w14:paraId="3C3AD887" w14:textId="77777777" w:rsidR="002C0FD9" w:rsidRPr="00CA25CF" w:rsidRDefault="002C0FD9" w:rsidP="00CA25CF">
            <w:pPr>
              <w:rPr>
                <w:rFonts w:cs="Arial"/>
                <w:color w:val="FF0000"/>
                <w:sz w:val="21"/>
                <w:szCs w:val="21"/>
              </w:rPr>
            </w:pPr>
          </w:p>
        </w:tc>
        <w:tc>
          <w:tcPr>
            <w:tcW w:w="217" w:type="dxa"/>
          </w:tcPr>
          <w:p w14:paraId="3891950D" w14:textId="77777777" w:rsidR="002C0FD9" w:rsidRPr="00CA25CF" w:rsidRDefault="002C0FD9" w:rsidP="00CA25CF">
            <w:pPr>
              <w:rPr>
                <w:rFonts w:cs="Arial"/>
                <w:color w:val="FF0000"/>
                <w:sz w:val="21"/>
                <w:szCs w:val="21"/>
              </w:rPr>
            </w:pPr>
          </w:p>
        </w:tc>
        <w:tc>
          <w:tcPr>
            <w:tcW w:w="217" w:type="dxa"/>
          </w:tcPr>
          <w:p w14:paraId="440FDDAD" w14:textId="77777777" w:rsidR="002C0FD9" w:rsidRPr="00CA25CF" w:rsidRDefault="002C0FD9" w:rsidP="00CA25CF">
            <w:pPr>
              <w:rPr>
                <w:rFonts w:cs="Arial"/>
                <w:color w:val="FF0000"/>
                <w:sz w:val="21"/>
                <w:szCs w:val="21"/>
              </w:rPr>
            </w:pPr>
          </w:p>
        </w:tc>
        <w:tc>
          <w:tcPr>
            <w:tcW w:w="217" w:type="dxa"/>
          </w:tcPr>
          <w:p w14:paraId="2FB81A67" w14:textId="77777777" w:rsidR="002C0FD9" w:rsidRPr="00CA25CF" w:rsidRDefault="002C0FD9" w:rsidP="00CA25CF">
            <w:pPr>
              <w:rPr>
                <w:rFonts w:cs="Arial"/>
                <w:color w:val="FF0000"/>
                <w:sz w:val="21"/>
                <w:szCs w:val="21"/>
              </w:rPr>
            </w:pPr>
          </w:p>
        </w:tc>
        <w:tc>
          <w:tcPr>
            <w:tcW w:w="217" w:type="dxa"/>
          </w:tcPr>
          <w:p w14:paraId="44D9B21E" w14:textId="77777777" w:rsidR="002C0FD9" w:rsidRPr="00CA25CF" w:rsidRDefault="002C0FD9" w:rsidP="00CA25CF">
            <w:pPr>
              <w:rPr>
                <w:rFonts w:cs="Arial"/>
                <w:color w:val="FF0000"/>
                <w:sz w:val="21"/>
                <w:szCs w:val="21"/>
              </w:rPr>
            </w:pPr>
          </w:p>
        </w:tc>
      </w:tr>
      <w:tr w:rsidR="002C0FD9" w:rsidRPr="00A16219" w14:paraId="45C136ED" w14:textId="77777777" w:rsidTr="002C0FD9">
        <w:trPr>
          <w:trHeight w:val="635"/>
        </w:trPr>
        <w:tc>
          <w:tcPr>
            <w:tcW w:w="515" w:type="dxa"/>
          </w:tcPr>
          <w:p w14:paraId="16B7D709" w14:textId="77777777" w:rsidR="002C0FD9" w:rsidRPr="00CA25CF" w:rsidRDefault="002C0FD9" w:rsidP="00CA25CF">
            <w:pPr>
              <w:rPr>
                <w:rFonts w:cs="Arial"/>
                <w:color w:val="FF0000"/>
                <w:sz w:val="21"/>
                <w:szCs w:val="21"/>
              </w:rPr>
            </w:pPr>
          </w:p>
        </w:tc>
        <w:tc>
          <w:tcPr>
            <w:tcW w:w="217" w:type="dxa"/>
          </w:tcPr>
          <w:p w14:paraId="25C13B3B" w14:textId="77777777" w:rsidR="002C0FD9" w:rsidRPr="00CA25CF" w:rsidRDefault="002C0FD9" w:rsidP="00CA25CF">
            <w:pPr>
              <w:rPr>
                <w:rFonts w:cs="Arial"/>
                <w:color w:val="FF0000"/>
                <w:sz w:val="21"/>
                <w:szCs w:val="21"/>
              </w:rPr>
            </w:pPr>
          </w:p>
        </w:tc>
        <w:tc>
          <w:tcPr>
            <w:tcW w:w="217" w:type="dxa"/>
          </w:tcPr>
          <w:p w14:paraId="0109FA70" w14:textId="77777777" w:rsidR="002C0FD9" w:rsidRPr="00CA25CF" w:rsidRDefault="002C0FD9" w:rsidP="00CA25CF">
            <w:pPr>
              <w:rPr>
                <w:rFonts w:cs="Arial"/>
                <w:color w:val="FF0000"/>
                <w:sz w:val="21"/>
                <w:szCs w:val="21"/>
              </w:rPr>
            </w:pPr>
          </w:p>
        </w:tc>
        <w:tc>
          <w:tcPr>
            <w:tcW w:w="217" w:type="dxa"/>
          </w:tcPr>
          <w:p w14:paraId="76D95068" w14:textId="77777777" w:rsidR="002C0FD9" w:rsidRPr="00CA25CF" w:rsidRDefault="002C0FD9" w:rsidP="00CA25CF">
            <w:pPr>
              <w:rPr>
                <w:rFonts w:cs="Arial"/>
                <w:color w:val="FF0000"/>
                <w:sz w:val="21"/>
                <w:szCs w:val="21"/>
              </w:rPr>
            </w:pPr>
          </w:p>
        </w:tc>
        <w:tc>
          <w:tcPr>
            <w:tcW w:w="217" w:type="dxa"/>
          </w:tcPr>
          <w:p w14:paraId="09EEAF0E" w14:textId="77777777" w:rsidR="002C0FD9" w:rsidRPr="00CA25CF" w:rsidRDefault="002C0FD9" w:rsidP="00CA25CF">
            <w:pPr>
              <w:rPr>
                <w:rFonts w:cs="Arial"/>
                <w:color w:val="FF0000"/>
                <w:sz w:val="21"/>
                <w:szCs w:val="21"/>
              </w:rPr>
            </w:pPr>
          </w:p>
        </w:tc>
        <w:tc>
          <w:tcPr>
            <w:tcW w:w="217" w:type="dxa"/>
          </w:tcPr>
          <w:p w14:paraId="24BE621C" w14:textId="77777777" w:rsidR="002C0FD9" w:rsidRPr="00CA25CF" w:rsidRDefault="002C0FD9" w:rsidP="00CA25CF">
            <w:pPr>
              <w:rPr>
                <w:rFonts w:cs="Arial"/>
                <w:color w:val="FF0000"/>
                <w:sz w:val="21"/>
                <w:szCs w:val="21"/>
              </w:rPr>
            </w:pPr>
          </w:p>
        </w:tc>
        <w:tc>
          <w:tcPr>
            <w:tcW w:w="217" w:type="dxa"/>
          </w:tcPr>
          <w:p w14:paraId="36C6A497" w14:textId="77777777" w:rsidR="002C0FD9" w:rsidRPr="00CA25CF" w:rsidRDefault="002C0FD9" w:rsidP="00CA25CF">
            <w:pPr>
              <w:rPr>
                <w:rFonts w:cs="Arial"/>
                <w:color w:val="FF0000"/>
                <w:sz w:val="21"/>
                <w:szCs w:val="21"/>
              </w:rPr>
            </w:pPr>
          </w:p>
        </w:tc>
        <w:tc>
          <w:tcPr>
            <w:tcW w:w="217" w:type="dxa"/>
          </w:tcPr>
          <w:p w14:paraId="7DA4F537" w14:textId="77777777" w:rsidR="002C0FD9" w:rsidRPr="00CA25CF" w:rsidRDefault="002C0FD9" w:rsidP="00CA25CF">
            <w:pPr>
              <w:rPr>
                <w:rFonts w:cs="Arial"/>
                <w:color w:val="FF0000"/>
                <w:sz w:val="21"/>
                <w:szCs w:val="21"/>
              </w:rPr>
            </w:pPr>
          </w:p>
        </w:tc>
        <w:tc>
          <w:tcPr>
            <w:tcW w:w="217" w:type="dxa"/>
          </w:tcPr>
          <w:p w14:paraId="3C60404F" w14:textId="77777777" w:rsidR="002C0FD9" w:rsidRPr="00CA25CF" w:rsidRDefault="002C0FD9" w:rsidP="00CA25CF">
            <w:pPr>
              <w:rPr>
                <w:rFonts w:cs="Arial"/>
                <w:color w:val="FF0000"/>
                <w:sz w:val="21"/>
                <w:szCs w:val="21"/>
              </w:rPr>
            </w:pPr>
          </w:p>
        </w:tc>
        <w:tc>
          <w:tcPr>
            <w:tcW w:w="217" w:type="dxa"/>
          </w:tcPr>
          <w:p w14:paraId="538FDDCE" w14:textId="77777777" w:rsidR="002C0FD9" w:rsidRPr="00CA25CF" w:rsidRDefault="002C0FD9" w:rsidP="00CA25CF">
            <w:pPr>
              <w:rPr>
                <w:rFonts w:cs="Arial"/>
                <w:color w:val="FF0000"/>
                <w:sz w:val="21"/>
                <w:szCs w:val="21"/>
              </w:rPr>
            </w:pPr>
          </w:p>
        </w:tc>
        <w:tc>
          <w:tcPr>
            <w:tcW w:w="217" w:type="dxa"/>
          </w:tcPr>
          <w:p w14:paraId="513D1023" w14:textId="77777777" w:rsidR="002C0FD9" w:rsidRPr="00CA25CF" w:rsidRDefault="002C0FD9" w:rsidP="00CA25CF">
            <w:pPr>
              <w:rPr>
                <w:rFonts w:cs="Arial"/>
                <w:color w:val="FF0000"/>
                <w:sz w:val="21"/>
                <w:szCs w:val="21"/>
              </w:rPr>
            </w:pPr>
          </w:p>
        </w:tc>
        <w:tc>
          <w:tcPr>
            <w:tcW w:w="217" w:type="dxa"/>
          </w:tcPr>
          <w:p w14:paraId="2EA0E290" w14:textId="77777777" w:rsidR="002C0FD9" w:rsidRPr="00CA25CF" w:rsidRDefault="002C0FD9" w:rsidP="00CA25CF">
            <w:pPr>
              <w:rPr>
                <w:rFonts w:cs="Arial"/>
                <w:color w:val="FF0000"/>
                <w:sz w:val="21"/>
                <w:szCs w:val="21"/>
              </w:rPr>
            </w:pPr>
          </w:p>
        </w:tc>
        <w:tc>
          <w:tcPr>
            <w:tcW w:w="217" w:type="dxa"/>
          </w:tcPr>
          <w:p w14:paraId="6D206B9A" w14:textId="77777777" w:rsidR="002C0FD9" w:rsidRPr="00CA25CF" w:rsidRDefault="002C0FD9" w:rsidP="00CA25CF">
            <w:pPr>
              <w:rPr>
                <w:rFonts w:cs="Arial"/>
                <w:color w:val="FF0000"/>
                <w:sz w:val="21"/>
                <w:szCs w:val="21"/>
              </w:rPr>
            </w:pPr>
          </w:p>
        </w:tc>
        <w:tc>
          <w:tcPr>
            <w:tcW w:w="217" w:type="dxa"/>
          </w:tcPr>
          <w:p w14:paraId="0FCCE31E" w14:textId="77777777" w:rsidR="002C0FD9" w:rsidRPr="00CA25CF" w:rsidRDefault="002C0FD9" w:rsidP="00CA25CF">
            <w:pPr>
              <w:rPr>
                <w:rFonts w:cs="Arial"/>
                <w:color w:val="FF0000"/>
                <w:sz w:val="21"/>
                <w:szCs w:val="21"/>
              </w:rPr>
            </w:pPr>
          </w:p>
        </w:tc>
        <w:tc>
          <w:tcPr>
            <w:tcW w:w="217" w:type="dxa"/>
          </w:tcPr>
          <w:p w14:paraId="4231A63A" w14:textId="77777777" w:rsidR="002C0FD9" w:rsidRPr="00CA25CF" w:rsidRDefault="002C0FD9" w:rsidP="00CA25CF">
            <w:pPr>
              <w:rPr>
                <w:rFonts w:cs="Arial"/>
                <w:color w:val="FF0000"/>
                <w:sz w:val="21"/>
                <w:szCs w:val="21"/>
              </w:rPr>
            </w:pPr>
          </w:p>
        </w:tc>
        <w:tc>
          <w:tcPr>
            <w:tcW w:w="217" w:type="dxa"/>
          </w:tcPr>
          <w:p w14:paraId="05C2DEFB" w14:textId="77777777" w:rsidR="002C0FD9" w:rsidRPr="00CA25CF" w:rsidRDefault="002C0FD9" w:rsidP="00CA25CF">
            <w:pPr>
              <w:rPr>
                <w:rFonts w:cs="Arial"/>
                <w:color w:val="FF0000"/>
                <w:sz w:val="21"/>
                <w:szCs w:val="21"/>
              </w:rPr>
            </w:pPr>
          </w:p>
        </w:tc>
        <w:tc>
          <w:tcPr>
            <w:tcW w:w="217" w:type="dxa"/>
          </w:tcPr>
          <w:p w14:paraId="1FF109D8" w14:textId="77777777" w:rsidR="002C0FD9" w:rsidRPr="00CA25CF" w:rsidRDefault="002C0FD9" w:rsidP="00CA25CF">
            <w:pPr>
              <w:rPr>
                <w:rFonts w:cs="Arial"/>
                <w:color w:val="FF0000"/>
                <w:sz w:val="21"/>
                <w:szCs w:val="21"/>
              </w:rPr>
            </w:pPr>
          </w:p>
        </w:tc>
        <w:tc>
          <w:tcPr>
            <w:tcW w:w="217" w:type="dxa"/>
          </w:tcPr>
          <w:p w14:paraId="7D1361F5" w14:textId="77777777" w:rsidR="002C0FD9" w:rsidRPr="00CA25CF" w:rsidRDefault="002C0FD9" w:rsidP="00CA25CF">
            <w:pPr>
              <w:rPr>
                <w:rFonts w:cs="Arial"/>
                <w:color w:val="FF0000"/>
                <w:sz w:val="21"/>
                <w:szCs w:val="21"/>
              </w:rPr>
            </w:pPr>
          </w:p>
        </w:tc>
        <w:tc>
          <w:tcPr>
            <w:tcW w:w="217" w:type="dxa"/>
          </w:tcPr>
          <w:p w14:paraId="6BA1E093" w14:textId="77777777" w:rsidR="002C0FD9" w:rsidRPr="00CA25CF" w:rsidRDefault="002C0FD9" w:rsidP="00CA25CF">
            <w:pPr>
              <w:rPr>
                <w:rFonts w:cs="Arial"/>
                <w:color w:val="FF0000"/>
                <w:sz w:val="21"/>
                <w:szCs w:val="21"/>
              </w:rPr>
            </w:pPr>
          </w:p>
        </w:tc>
        <w:tc>
          <w:tcPr>
            <w:tcW w:w="217" w:type="dxa"/>
          </w:tcPr>
          <w:p w14:paraId="3C3148E2" w14:textId="77777777" w:rsidR="002C0FD9" w:rsidRPr="00CA25CF" w:rsidRDefault="002C0FD9" w:rsidP="00CA25CF">
            <w:pPr>
              <w:rPr>
                <w:rFonts w:cs="Arial"/>
                <w:color w:val="FF0000"/>
                <w:sz w:val="21"/>
                <w:szCs w:val="21"/>
              </w:rPr>
            </w:pPr>
          </w:p>
        </w:tc>
        <w:tc>
          <w:tcPr>
            <w:tcW w:w="217" w:type="dxa"/>
          </w:tcPr>
          <w:p w14:paraId="49C5EC14" w14:textId="77777777" w:rsidR="002C0FD9" w:rsidRPr="00CA25CF" w:rsidRDefault="002C0FD9" w:rsidP="00CA25CF">
            <w:pPr>
              <w:rPr>
                <w:rFonts w:cs="Arial"/>
                <w:color w:val="FF0000"/>
                <w:sz w:val="21"/>
                <w:szCs w:val="21"/>
              </w:rPr>
            </w:pPr>
          </w:p>
        </w:tc>
        <w:tc>
          <w:tcPr>
            <w:tcW w:w="217" w:type="dxa"/>
          </w:tcPr>
          <w:p w14:paraId="48FE9D46" w14:textId="77777777" w:rsidR="002C0FD9" w:rsidRPr="00CA25CF" w:rsidRDefault="002C0FD9" w:rsidP="00CA25CF">
            <w:pPr>
              <w:rPr>
                <w:rFonts w:cs="Arial"/>
                <w:color w:val="FF0000"/>
                <w:sz w:val="21"/>
                <w:szCs w:val="21"/>
              </w:rPr>
            </w:pPr>
          </w:p>
        </w:tc>
        <w:tc>
          <w:tcPr>
            <w:tcW w:w="217" w:type="dxa"/>
          </w:tcPr>
          <w:p w14:paraId="6AE45062" w14:textId="77777777" w:rsidR="002C0FD9" w:rsidRPr="00CA25CF" w:rsidRDefault="002C0FD9" w:rsidP="00CA25CF">
            <w:pPr>
              <w:rPr>
                <w:rFonts w:cs="Arial"/>
                <w:color w:val="FF0000"/>
                <w:sz w:val="21"/>
                <w:szCs w:val="21"/>
              </w:rPr>
            </w:pPr>
          </w:p>
        </w:tc>
        <w:tc>
          <w:tcPr>
            <w:tcW w:w="217" w:type="dxa"/>
          </w:tcPr>
          <w:p w14:paraId="53ECA428" w14:textId="77777777" w:rsidR="002C0FD9" w:rsidRPr="00CA25CF" w:rsidRDefault="002C0FD9" w:rsidP="00CA25CF">
            <w:pPr>
              <w:rPr>
                <w:rFonts w:cs="Arial"/>
                <w:color w:val="FF0000"/>
                <w:sz w:val="21"/>
                <w:szCs w:val="21"/>
              </w:rPr>
            </w:pPr>
          </w:p>
        </w:tc>
        <w:tc>
          <w:tcPr>
            <w:tcW w:w="217" w:type="dxa"/>
          </w:tcPr>
          <w:p w14:paraId="3862633B" w14:textId="77777777" w:rsidR="002C0FD9" w:rsidRPr="00CA25CF" w:rsidRDefault="002C0FD9" w:rsidP="00CA25CF">
            <w:pPr>
              <w:rPr>
                <w:rFonts w:cs="Arial"/>
                <w:color w:val="FF0000"/>
                <w:sz w:val="21"/>
                <w:szCs w:val="21"/>
              </w:rPr>
            </w:pPr>
          </w:p>
        </w:tc>
        <w:tc>
          <w:tcPr>
            <w:tcW w:w="217" w:type="dxa"/>
          </w:tcPr>
          <w:p w14:paraId="318599F6" w14:textId="77777777" w:rsidR="002C0FD9" w:rsidRPr="00CA25CF" w:rsidRDefault="002C0FD9" w:rsidP="00CA25CF">
            <w:pPr>
              <w:rPr>
                <w:rFonts w:cs="Arial"/>
                <w:color w:val="FF0000"/>
                <w:sz w:val="21"/>
                <w:szCs w:val="21"/>
              </w:rPr>
            </w:pPr>
          </w:p>
        </w:tc>
        <w:tc>
          <w:tcPr>
            <w:tcW w:w="217" w:type="dxa"/>
          </w:tcPr>
          <w:p w14:paraId="6D704FCD" w14:textId="77777777" w:rsidR="002C0FD9" w:rsidRPr="00CA25CF" w:rsidRDefault="002C0FD9" w:rsidP="00CA25CF">
            <w:pPr>
              <w:rPr>
                <w:rFonts w:cs="Arial"/>
                <w:color w:val="FF0000"/>
                <w:sz w:val="21"/>
                <w:szCs w:val="21"/>
              </w:rPr>
            </w:pPr>
          </w:p>
        </w:tc>
        <w:tc>
          <w:tcPr>
            <w:tcW w:w="217" w:type="dxa"/>
          </w:tcPr>
          <w:p w14:paraId="08B258B9" w14:textId="77777777" w:rsidR="002C0FD9" w:rsidRPr="00CA25CF" w:rsidRDefault="002C0FD9" w:rsidP="00CA25CF">
            <w:pPr>
              <w:rPr>
                <w:rFonts w:cs="Arial"/>
                <w:color w:val="FF0000"/>
                <w:sz w:val="21"/>
                <w:szCs w:val="21"/>
              </w:rPr>
            </w:pPr>
          </w:p>
        </w:tc>
        <w:tc>
          <w:tcPr>
            <w:tcW w:w="217" w:type="dxa"/>
          </w:tcPr>
          <w:p w14:paraId="3D025E3D" w14:textId="77777777" w:rsidR="002C0FD9" w:rsidRPr="00CA25CF" w:rsidRDefault="002C0FD9" w:rsidP="00CA25CF">
            <w:pPr>
              <w:rPr>
                <w:rFonts w:cs="Arial"/>
                <w:color w:val="FF0000"/>
                <w:sz w:val="21"/>
                <w:szCs w:val="21"/>
              </w:rPr>
            </w:pPr>
          </w:p>
        </w:tc>
        <w:tc>
          <w:tcPr>
            <w:tcW w:w="217" w:type="dxa"/>
          </w:tcPr>
          <w:p w14:paraId="1EE62A5F" w14:textId="77777777" w:rsidR="002C0FD9" w:rsidRPr="00CA25CF" w:rsidRDefault="002C0FD9" w:rsidP="00CA25CF">
            <w:pPr>
              <w:rPr>
                <w:rFonts w:cs="Arial"/>
                <w:color w:val="FF0000"/>
                <w:sz w:val="21"/>
                <w:szCs w:val="21"/>
              </w:rPr>
            </w:pPr>
          </w:p>
        </w:tc>
        <w:tc>
          <w:tcPr>
            <w:tcW w:w="217" w:type="dxa"/>
          </w:tcPr>
          <w:p w14:paraId="7EF43AAD" w14:textId="77777777" w:rsidR="002C0FD9" w:rsidRPr="00CA25CF" w:rsidRDefault="002C0FD9" w:rsidP="00CA25CF">
            <w:pPr>
              <w:rPr>
                <w:rFonts w:cs="Arial"/>
                <w:color w:val="FF0000"/>
                <w:sz w:val="21"/>
                <w:szCs w:val="21"/>
              </w:rPr>
            </w:pPr>
          </w:p>
        </w:tc>
        <w:tc>
          <w:tcPr>
            <w:tcW w:w="217" w:type="dxa"/>
          </w:tcPr>
          <w:p w14:paraId="7A7BF994" w14:textId="77777777" w:rsidR="002C0FD9" w:rsidRPr="00CA25CF" w:rsidRDefault="002C0FD9" w:rsidP="00CA25CF">
            <w:pPr>
              <w:rPr>
                <w:rFonts w:cs="Arial"/>
                <w:color w:val="FF0000"/>
                <w:sz w:val="21"/>
                <w:szCs w:val="21"/>
              </w:rPr>
            </w:pPr>
          </w:p>
        </w:tc>
        <w:tc>
          <w:tcPr>
            <w:tcW w:w="217" w:type="dxa"/>
          </w:tcPr>
          <w:p w14:paraId="012290D7" w14:textId="77777777" w:rsidR="002C0FD9" w:rsidRPr="00CA25CF" w:rsidRDefault="002C0FD9" w:rsidP="00CA25CF">
            <w:pPr>
              <w:rPr>
                <w:rFonts w:cs="Arial"/>
                <w:color w:val="FF0000"/>
                <w:sz w:val="21"/>
                <w:szCs w:val="21"/>
              </w:rPr>
            </w:pPr>
          </w:p>
        </w:tc>
        <w:tc>
          <w:tcPr>
            <w:tcW w:w="217" w:type="dxa"/>
          </w:tcPr>
          <w:p w14:paraId="261B3524" w14:textId="77777777" w:rsidR="002C0FD9" w:rsidRPr="00CA25CF" w:rsidRDefault="002C0FD9" w:rsidP="00CA25CF">
            <w:pPr>
              <w:rPr>
                <w:rFonts w:cs="Arial"/>
                <w:color w:val="FF0000"/>
                <w:sz w:val="21"/>
                <w:szCs w:val="21"/>
              </w:rPr>
            </w:pPr>
          </w:p>
        </w:tc>
        <w:tc>
          <w:tcPr>
            <w:tcW w:w="217" w:type="dxa"/>
          </w:tcPr>
          <w:p w14:paraId="7CD25FEC" w14:textId="77777777" w:rsidR="002C0FD9" w:rsidRPr="00CA25CF" w:rsidRDefault="002C0FD9" w:rsidP="00CA25CF">
            <w:pPr>
              <w:rPr>
                <w:rFonts w:cs="Arial"/>
                <w:color w:val="FF0000"/>
                <w:sz w:val="21"/>
                <w:szCs w:val="21"/>
              </w:rPr>
            </w:pPr>
          </w:p>
        </w:tc>
        <w:tc>
          <w:tcPr>
            <w:tcW w:w="217" w:type="dxa"/>
          </w:tcPr>
          <w:p w14:paraId="2DB6CEC5" w14:textId="77777777" w:rsidR="002C0FD9" w:rsidRPr="00CA25CF" w:rsidRDefault="002C0FD9" w:rsidP="00CA25CF">
            <w:pPr>
              <w:rPr>
                <w:rFonts w:cs="Arial"/>
                <w:color w:val="FF0000"/>
                <w:sz w:val="21"/>
                <w:szCs w:val="21"/>
              </w:rPr>
            </w:pPr>
          </w:p>
        </w:tc>
        <w:tc>
          <w:tcPr>
            <w:tcW w:w="217" w:type="dxa"/>
          </w:tcPr>
          <w:p w14:paraId="5927182F" w14:textId="77777777" w:rsidR="002C0FD9" w:rsidRPr="00CA25CF" w:rsidRDefault="002C0FD9" w:rsidP="00CA25CF">
            <w:pPr>
              <w:rPr>
                <w:rFonts w:cs="Arial"/>
                <w:color w:val="FF0000"/>
                <w:sz w:val="21"/>
                <w:szCs w:val="21"/>
              </w:rPr>
            </w:pPr>
          </w:p>
        </w:tc>
        <w:tc>
          <w:tcPr>
            <w:tcW w:w="217" w:type="dxa"/>
          </w:tcPr>
          <w:p w14:paraId="4BD79AE4" w14:textId="77777777" w:rsidR="002C0FD9" w:rsidRPr="00CA25CF" w:rsidRDefault="002C0FD9" w:rsidP="00CA25CF">
            <w:pPr>
              <w:rPr>
                <w:rFonts w:cs="Arial"/>
                <w:color w:val="FF0000"/>
                <w:sz w:val="21"/>
                <w:szCs w:val="21"/>
              </w:rPr>
            </w:pPr>
          </w:p>
        </w:tc>
        <w:tc>
          <w:tcPr>
            <w:tcW w:w="217" w:type="dxa"/>
          </w:tcPr>
          <w:p w14:paraId="295DF22C" w14:textId="77777777" w:rsidR="002C0FD9" w:rsidRPr="00CA25CF" w:rsidRDefault="002C0FD9" w:rsidP="00CA25CF">
            <w:pPr>
              <w:rPr>
                <w:rFonts w:cs="Arial"/>
                <w:color w:val="FF0000"/>
                <w:sz w:val="21"/>
                <w:szCs w:val="21"/>
              </w:rPr>
            </w:pPr>
          </w:p>
        </w:tc>
        <w:tc>
          <w:tcPr>
            <w:tcW w:w="217" w:type="dxa"/>
          </w:tcPr>
          <w:p w14:paraId="1420578E" w14:textId="77777777" w:rsidR="002C0FD9" w:rsidRPr="00CA25CF" w:rsidRDefault="002C0FD9" w:rsidP="00CA25CF">
            <w:pPr>
              <w:rPr>
                <w:rFonts w:cs="Arial"/>
                <w:color w:val="FF0000"/>
                <w:sz w:val="21"/>
                <w:szCs w:val="21"/>
              </w:rPr>
            </w:pPr>
          </w:p>
        </w:tc>
        <w:tc>
          <w:tcPr>
            <w:tcW w:w="217" w:type="dxa"/>
          </w:tcPr>
          <w:p w14:paraId="37CBA6B2" w14:textId="77777777" w:rsidR="002C0FD9" w:rsidRPr="00CA25CF" w:rsidRDefault="002C0FD9" w:rsidP="00CA25CF">
            <w:pPr>
              <w:rPr>
                <w:rFonts w:cs="Arial"/>
                <w:color w:val="FF0000"/>
                <w:sz w:val="21"/>
                <w:szCs w:val="21"/>
              </w:rPr>
            </w:pPr>
          </w:p>
        </w:tc>
        <w:tc>
          <w:tcPr>
            <w:tcW w:w="217" w:type="dxa"/>
          </w:tcPr>
          <w:p w14:paraId="1AC6D8C7" w14:textId="77777777" w:rsidR="002C0FD9" w:rsidRPr="00CA25CF" w:rsidRDefault="002C0FD9" w:rsidP="00CA25CF">
            <w:pPr>
              <w:rPr>
                <w:rFonts w:cs="Arial"/>
                <w:color w:val="FF0000"/>
                <w:sz w:val="21"/>
                <w:szCs w:val="21"/>
              </w:rPr>
            </w:pPr>
          </w:p>
        </w:tc>
        <w:tc>
          <w:tcPr>
            <w:tcW w:w="217" w:type="dxa"/>
          </w:tcPr>
          <w:p w14:paraId="5977032A" w14:textId="77777777" w:rsidR="002C0FD9" w:rsidRPr="00CA25CF" w:rsidRDefault="002C0FD9" w:rsidP="00CA25CF">
            <w:pPr>
              <w:rPr>
                <w:rFonts w:cs="Arial"/>
                <w:color w:val="FF0000"/>
                <w:sz w:val="21"/>
                <w:szCs w:val="21"/>
              </w:rPr>
            </w:pPr>
          </w:p>
        </w:tc>
      </w:tr>
      <w:tr w:rsidR="002C0FD9" w:rsidRPr="00A16219" w14:paraId="1708A688" w14:textId="77777777" w:rsidTr="002C0FD9">
        <w:trPr>
          <w:trHeight w:val="635"/>
        </w:trPr>
        <w:tc>
          <w:tcPr>
            <w:tcW w:w="515" w:type="dxa"/>
          </w:tcPr>
          <w:p w14:paraId="206505AE" w14:textId="77777777" w:rsidR="002C0FD9" w:rsidRPr="00CA25CF" w:rsidRDefault="002C0FD9" w:rsidP="00CA25CF">
            <w:pPr>
              <w:rPr>
                <w:rFonts w:cs="Arial"/>
                <w:color w:val="FF0000"/>
                <w:sz w:val="21"/>
                <w:szCs w:val="21"/>
              </w:rPr>
            </w:pPr>
          </w:p>
        </w:tc>
        <w:tc>
          <w:tcPr>
            <w:tcW w:w="217" w:type="dxa"/>
          </w:tcPr>
          <w:p w14:paraId="5E97A70C" w14:textId="77777777" w:rsidR="002C0FD9" w:rsidRPr="00CA25CF" w:rsidRDefault="002C0FD9" w:rsidP="00CA25CF">
            <w:pPr>
              <w:rPr>
                <w:rFonts w:cs="Arial"/>
                <w:color w:val="FF0000"/>
                <w:sz w:val="21"/>
                <w:szCs w:val="21"/>
              </w:rPr>
            </w:pPr>
          </w:p>
        </w:tc>
        <w:tc>
          <w:tcPr>
            <w:tcW w:w="217" w:type="dxa"/>
          </w:tcPr>
          <w:p w14:paraId="7AF05218" w14:textId="77777777" w:rsidR="002C0FD9" w:rsidRPr="00CA25CF" w:rsidRDefault="002C0FD9" w:rsidP="00CA25CF">
            <w:pPr>
              <w:rPr>
                <w:rFonts w:cs="Arial"/>
                <w:color w:val="FF0000"/>
                <w:sz w:val="21"/>
                <w:szCs w:val="21"/>
              </w:rPr>
            </w:pPr>
          </w:p>
        </w:tc>
        <w:tc>
          <w:tcPr>
            <w:tcW w:w="217" w:type="dxa"/>
          </w:tcPr>
          <w:p w14:paraId="708A61A5" w14:textId="77777777" w:rsidR="002C0FD9" w:rsidRPr="00CA25CF" w:rsidRDefault="002C0FD9" w:rsidP="00CA25CF">
            <w:pPr>
              <w:rPr>
                <w:rFonts w:cs="Arial"/>
                <w:color w:val="FF0000"/>
                <w:sz w:val="21"/>
                <w:szCs w:val="21"/>
              </w:rPr>
            </w:pPr>
          </w:p>
        </w:tc>
        <w:tc>
          <w:tcPr>
            <w:tcW w:w="217" w:type="dxa"/>
          </w:tcPr>
          <w:p w14:paraId="07D0EB9C" w14:textId="77777777" w:rsidR="002C0FD9" w:rsidRPr="00CA25CF" w:rsidRDefault="002C0FD9" w:rsidP="00CA25CF">
            <w:pPr>
              <w:rPr>
                <w:rFonts w:cs="Arial"/>
                <w:color w:val="FF0000"/>
                <w:sz w:val="21"/>
                <w:szCs w:val="21"/>
              </w:rPr>
            </w:pPr>
          </w:p>
        </w:tc>
        <w:tc>
          <w:tcPr>
            <w:tcW w:w="217" w:type="dxa"/>
          </w:tcPr>
          <w:p w14:paraId="74EB6C1A" w14:textId="77777777" w:rsidR="002C0FD9" w:rsidRPr="00CA25CF" w:rsidRDefault="002C0FD9" w:rsidP="00CA25CF">
            <w:pPr>
              <w:rPr>
                <w:rFonts w:cs="Arial"/>
                <w:color w:val="FF0000"/>
                <w:sz w:val="21"/>
                <w:szCs w:val="21"/>
              </w:rPr>
            </w:pPr>
          </w:p>
        </w:tc>
        <w:tc>
          <w:tcPr>
            <w:tcW w:w="217" w:type="dxa"/>
          </w:tcPr>
          <w:p w14:paraId="069F16A3" w14:textId="77777777" w:rsidR="002C0FD9" w:rsidRPr="00CA25CF" w:rsidRDefault="002C0FD9" w:rsidP="00CA25CF">
            <w:pPr>
              <w:rPr>
                <w:rFonts w:cs="Arial"/>
                <w:color w:val="FF0000"/>
                <w:sz w:val="21"/>
                <w:szCs w:val="21"/>
              </w:rPr>
            </w:pPr>
          </w:p>
        </w:tc>
        <w:tc>
          <w:tcPr>
            <w:tcW w:w="217" w:type="dxa"/>
          </w:tcPr>
          <w:p w14:paraId="203421FD" w14:textId="77777777" w:rsidR="002C0FD9" w:rsidRPr="00CA25CF" w:rsidRDefault="002C0FD9" w:rsidP="00CA25CF">
            <w:pPr>
              <w:rPr>
                <w:rFonts w:cs="Arial"/>
                <w:color w:val="FF0000"/>
                <w:sz w:val="21"/>
                <w:szCs w:val="21"/>
              </w:rPr>
            </w:pPr>
          </w:p>
        </w:tc>
        <w:tc>
          <w:tcPr>
            <w:tcW w:w="217" w:type="dxa"/>
          </w:tcPr>
          <w:p w14:paraId="0B08B849" w14:textId="77777777" w:rsidR="002C0FD9" w:rsidRPr="00CA25CF" w:rsidRDefault="002C0FD9" w:rsidP="00CA25CF">
            <w:pPr>
              <w:rPr>
                <w:rFonts w:cs="Arial"/>
                <w:color w:val="FF0000"/>
                <w:sz w:val="21"/>
                <w:szCs w:val="21"/>
              </w:rPr>
            </w:pPr>
          </w:p>
        </w:tc>
        <w:tc>
          <w:tcPr>
            <w:tcW w:w="217" w:type="dxa"/>
          </w:tcPr>
          <w:p w14:paraId="68928609" w14:textId="77777777" w:rsidR="002C0FD9" w:rsidRPr="00CA25CF" w:rsidRDefault="002C0FD9" w:rsidP="00CA25CF">
            <w:pPr>
              <w:rPr>
                <w:rFonts w:cs="Arial"/>
                <w:color w:val="FF0000"/>
                <w:sz w:val="21"/>
                <w:szCs w:val="21"/>
              </w:rPr>
            </w:pPr>
          </w:p>
        </w:tc>
        <w:tc>
          <w:tcPr>
            <w:tcW w:w="217" w:type="dxa"/>
          </w:tcPr>
          <w:p w14:paraId="582CE5FA" w14:textId="77777777" w:rsidR="002C0FD9" w:rsidRPr="00CA25CF" w:rsidRDefault="002C0FD9" w:rsidP="00CA25CF">
            <w:pPr>
              <w:rPr>
                <w:rFonts w:cs="Arial"/>
                <w:color w:val="FF0000"/>
                <w:sz w:val="21"/>
                <w:szCs w:val="21"/>
              </w:rPr>
            </w:pPr>
          </w:p>
        </w:tc>
        <w:tc>
          <w:tcPr>
            <w:tcW w:w="217" w:type="dxa"/>
          </w:tcPr>
          <w:p w14:paraId="4D7F9870" w14:textId="77777777" w:rsidR="002C0FD9" w:rsidRPr="00CA25CF" w:rsidRDefault="002C0FD9" w:rsidP="00CA25CF">
            <w:pPr>
              <w:rPr>
                <w:rFonts w:cs="Arial"/>
                <w:color w:val="FF0000"/>
                <w:sz w:val="21"/>
                <w:szCs w:val="21"/>
              </w:rPr>
            </w:pPr>
          </w:p>
        </w:tc>
        <w:tc>
          <w:tcPr>
            <w:tcW w:w="217" w:type="dxa"/>
          </w:tcPr>
          <w:p w14:paraId="3307DAC1" w14:textId="77777777" w:rsidR="002C0FD9" w:rsidRPr="00CA25CF" w:rsidRDefault="002C0FD9" w:rsidP="00CA25CF">
            <w:pPr>
              <w:rPr>
                <w:rFonts w:cs="Arial"/>
                <w:color w:val="FF0000"/>
                <w:sz w:val="21"/>
                <w:szCs w:val="21"/>
              </w:rPr>
            </w:pPr>
          </w:p>
        </w:tc>
        <w:tc>
          <w:tcPr>
            <w:tcW w:w="217" w:type="dxa"/>
          </w:tcPr>
          <w:p w14:paraId="4F5FDE54" w14:textId="77777777" w:rsidR="002C0FD9" w:rsidRPr="00CA25CF" w:rsidRDefault="002C0FD9" w:rsidP="00CA25CF">
            <w:pPr>
              <w:rPr>
                <w:rFonts w:cs="Arial"/>
                <w:color w:val="FF0000"/>
                <w:sz w:val="21"/>
                <w:szCs w:val="21"/>
              </w:rPr>
            </w:pPr>
          </w:p>
        </w:tc>
        <w:tc>
          <w:tcPr>
            <w:tcW w:w="217" w:type="dxa"/>
          </w:tcPr>
          <w:p w14:paraId="2BE1098B" w14:textId="77777777" w:rsidR="002C0FD9" w:rsidRPr="00CA25CF" w:rsidRDefault="002C0FD9" w:rsidP="00CA25CF">
            <w:pPr>
              <w:rPr>
                <w:rFonts w:cs="Arial"/>
                <w:color w:val="FF0000"/>
                <w:sz w:val="21"/>
                <w:szCs w:val="21"/>
              </w:rPr>
            </w:pPr>
          </w:p>
        </w:tc>
        <w:tc>
          <w:tcPr>
            <w:tcW w:w="217" w:type="dxa"/>
          </w:tcPr>
          <w:p w14:paraId="7337E8D8" w14:textId="77777777" w:rsidR="002C0FD9" w:rsidRPr="00CA25CF" w:rsidRDefault="002C0FD9" w:rsidP="00CA25CF">
            <w:pPr>
              <w:rPr>
                <w:rFonts w:cs="Arial"/>
                <w:color w:val="FF0000"/>
                <w:sz w:val="21"/>
                <w:szCs w:val="21"/>
              </w:rPr>
            </w:pPr>
          </w:p>
        </w:tc>
        <w:tc>
          <w:tcPr>
            <w:tcW w:w="217" w:type="dxa"/>
          </w:tcPr>
          <w:p w14:paraId="42EC8E05" w14:textId="77777777" w:rsidR="002C0FD9" w:rsidRPr="00CA25CF" w:rsidRDefault="002C0FD9" w:rsidP="00CA25CF">
            <w:pPr>
              <w:rPr>
                <w:rFonts w:cs="Arial"/>
                <w:color w:val="FF0000"/>
                <w:sz w:val="21"/>
                <w:szCs w:val="21"/>
              </w:rPr>
            </w:pPr>
          </w:p>
        </w:tc>
        <w:tc>
          <w:tcPr>
            <w:tcW w:w="217" w:type="dxa"/>
          </w:tcPr>
          <w:p w14:paraId="081130B5" w14:textId="77777777" w:rsidR="002C0FD9" w:rsidRPr="00CA25CF" w:rsidRDefault="002C0FD9" w:rsidP="00CA25CF">
            <w:pPr>
              <w:rPr>
                <w:rFonts w:cs="Arial"/>
                <w:color w:val="FF0000"/>
                <w:sz w:val="21"/>
                <w:szCs w:val="21"/>
              </w:rPr>
            </w:pPr>
          </w:p>
        </w:tc>
        <w:tc>
          <w:tcPr>
            <w:tcW w:w="217" w:type="dxa"/>
          </w:tcPr>
          <w:p w14:paraId="16864FE5" w14:textId="77777777" w:rsidR="002C0FD9" w:rsidRPr="00CA25CF" w:rsidRDefault="002C0FD9" w:rsidP="00CA25CF">
            <w:pPr>
              <w:rPr>
                <w:rFonts w:cs="Arial"/>
                <w:color w:val="FF0000"/>
                <w:sz w:val="21"/>
                <w:szCs w:val="21"/>
              </w:rPr>
            </w:pPr>
          </w:p>
        </w:tc>
        <w:tc>
          <w:tcPr>
            <w:tcW w:w="217" w:type="dxa"/>
          </w:tcPr>
          <w:p w14:paraId="39B3CA40" w14:textId="77777777" w:rsidR="002C0FD9" w:rsidRPr="00CA25CF" w:rsidRDefault="002C0FD9" w:rsidP="00CA25CF">
            <w:pPr>
              <w:rPr>
                <w:rFonts w:cs="Arial"/>
                <w:color w:val="FF0000"/>
                <w:sz w:val="21"/>
                <w:szCs w:val="21"/>
              </w:rPr>
            </w:pPr>
          </w:p>
        </w:tc>
        <w:tc>
          <w:tcPr>
            <w:tcW w:w="217" w:type="dxa"/>
          </w:tcPr>
          <w:p w14:paraId="4162CCB8" w14:textId="77777777" w:rsidR="002C0FD9" w:rsidRPr="00CA25CF" w:rsidRDefault="002C0FD9" w:rsidP="00CA25CF">
            <w:pPr>
              <w:rPr>
                <w:rFonts w:cs="Arial"/>
                <w:color w:val="FF0000"/>
                <w:sz w:val="21"/>
                <w:szCs w:val="21"/>
              </w:rPr>
            </w:pPr>
          </w:p>
        </w:tc>
        <w:tc>
          <w:tcPr>
            <w:tcW w:w="217" w:type="dxa"/>
          </w:tcPr>
          <w:p w14:paraId="06549606" w14:textId="77777777" w:rsidR="002C0FD9" w:rsidRPr="00CA25CF" w:rsidRDefault="002C0FD9" w:rsidP="00CA25CF">
            <w:pPr>
              <w:rPr>
                <w:rFonts w:cs="Arial"/>
                <w:color w:val="FF0000"/>
                <w:sz w:val="21"/>
                <w:szCs w:val="21"/>
              </w:rPr>
            </w:pPr>
          </w:p>
        </w:tc>
        <w:tc>
          <w:tcPr>
            <w:tcW w:w="217" w:type="dxa"/>
          </w:tcPr>
          <w:p w14:paraId="760C1C39" w14:textId="77777777" w:rsidR="002C0FD9" w:rsidRPr="00CA25CF" w:rsidRDefault="002C0FD9" w:rsidP="00CA25CF">
            <w:pPr>
              <w:rPr>
                <w:rFonts w:cs="Arial"/>
                <w:color w:val="FF0000"/>
                <w:sz w:val="21"/>
                <w:szCs w:val="21"/>
              </w:rPr>
            </w:pPr>
          </w:p>
        </w:tc>
        <w:tc>
          <w:tcPr>
            <w:tcW w:w="217" w:type="dxa"/>
          </w:tcPr>
          <w:p w14:paraId="49A3B1D0" w14:textId="77777777" w:rsidR="002C0FD9" w:rsidRPr="00CA25CF" w:rsidRDefault="002C0FD9" w:rsidP="00CA25CF">
            <w:pPr>
              <w:rPr>
                <w:rFonts w:cs="Arial"/>
                <w:color w:val="FF0000"/>
                <w:sz w:val="21"/>
                <w:szCs w:val="21"/>
              </w:rPr>
            </w:pPr>
          </w:p>
        </w:tc>
        <w:tc>
          <w:tcPr>
            <w:tcW w:w="217" w:type="dxa"/>
          </w:tcPr>
          <w:p w14:paraId="27E96330" w14:textId="77777777" w:rsidR="002C0FD9" w:rsidRPr="00CA25CF" w:rsidRDefault="002C0FD9" w:rsidP="00CA25CF">
            <w:pPr>
              <w:rPr>
                <w:rFonts w:cs="Arial"/>
                <w:color w:val="FF0000"/>
                <w:sz w:val="21"/>
                <w:szCs w:val="21"/>
              </w:rPr>
            </w:pPr>
          </w:p>
        </w:tc>
        <w:tc>
          <w:tcPr>
            <w:tcW w:w="217" w:type="dxa"/>
          </w:tcPr>
          <w:p w14:paraId="3F8EEE1F" w14:textId="77777777" w:rsidR="002C0FD9" w:rsidRPr="00CA25CF" w:rsidRDefault="002C0FD9" w:rsidP="00CA25CF">
            <w:pPr>
              <w:rPr>
                <w:rFonts w:cs="Arial"/>
                <w:color w:val="FF0000"/>
                <w:sz w:val="21"/>
                <w:szCs w:val="21"/>
              </w:rPr>
            </w:pPr>
          </w:p>
        </w:tc>
        <w:tc>
          <w:tcPr>
            <w:tcW w:w="217" w:type="dxa"/>
          </w:tcPr>
          <w:p w14:paraId="6951F240" w14:textId="77777777" w:rsidR="002C0FD9" w:rsidRPr="00CA25CF" w:rsidRDefault="002C0FD9" w:rsidP="00CA25CF">
            <w:pPr>
              <w:rPr>
                <w:rFonts w:cs="Arial"/>
                <w:color w:val="FF0000"/>
                <w:sz w:val="21"/>
                <w:szCs w:val="21"/>
              </w:rPr>
            </w:pPr>
          </w:p>
        </w:tc>
        <w:tc>
          <w:tcPr>
            <w:tcW w:w="217" w:type="dxa"/>
          </w:tcPr>
          <w:p w14:paraId="07C77D09" w14:textId="77777777" w:rsidR="002C0FD9" w:rsidRPr="00CA25CF" w:rsidRDefault="002C0FD9" w:rsidP="00CA25CF">
            <w:pPr>
              <w:rPr>
                <w:rFonts w:cs="Arial"/>
                <w:color w:val="FF0000"/>
                <w:sz w:val="21"/>
                <w:szCs w:val="21"/>
              </w:rPr>
            </w:pPr>
          </w:p>
        </w:tc>
        <w:tc>
          <w:tcPr>
            <w:tcW w:w="217" w:type="dxa"/>
          </w:tcPr>
          <w:p w14:paraId="0B147872" w14:textId="77777777" w:rsidR="002C0FD9" w:rsidRPr="00CA25CF" w:rsidRDefault="002C0FD9" w:rsidP="00CA25CF">
            <w:pPr>
              <w:rPr>
                <w:rFonts w:cs="Arial"/>
                <w:color w:val="FF0000"/>
                <w:sz w:val="21"/>
                <w:szCs w:val="21"/>
              </w:rPr>
            </w:pPr>
          </w:p>
        </w:tc>
        <w:tc>
          <w:tcPr>
            <w:tcW w:w="217" w:type="dxa"/>
          </w:tcPr>
          <w:p w14:paraId="2B5D6D68" w14:textId="77777777" w:rsidR="002C0FD9" w:rsidRPr="00CA25CF" w:rsidRDefault="002C0FD9" w:rsidP="00CA25CF">
            <w:pPr>
              <w:rPr>
                <w:rFonts w:cs="Arial"/>
                <w:color w:val="FF0000"/>
                <w:sz w:val="21"/>
                <w:szCs w:val="21"/>
              </w:rPr>
            </w:pPr>
          </w:p>
        </w:tc>
        <w:tc>
          <w:tcPr>
            <w:tcW w:w="217" w:type="dxa"/>
          </w:tcPr>
          <w:p w14:paraId="3A3AE6E7" w14:textId="77777777" w:rsidR="002C0FD9" w:rsidRPr="00CA25CF" w:rsidRDefault="002C0FD9" w:rsidP="00CA25CF">
            <w:pPr>
              <w:rPr>
                <w:rFonts w:cs="Arial"/>
                <w:color w:val="FF0000"/>
                <w:sz w:val="21"/>
                <w:szCs w:val="21"/>
              </w:rPr>
            </w:pPr>
          </w:p>
        </w:tc>
        <w:tc>
          <w:tcPr>
            <w:tcW w:w="217" w:type="dxa"/>
          </w:tcPr>
          <w:p w14:paraId="00B907A2" w14:textId="77777777" w:rsidR="002C0FD9" w:rsidRPr="00CA25CF" w:rsidRDefault="002C0FD9" w:rsidP="00CA25CF">
            <w:pPr>
              <w:rPr>
                <w:rFonts w:cs="Arial"/>
                <w:color w:val="FF0000"/>
                <w:sz w:val="21"/>
                <w:szCs w:val="21"/>
              </w:rPr>
            </w:pPr>
          </w:p>
        </w:tc>
        <w:tc>
          <w:tcPr>
            <w:tcW w:w="217" w:type="dxa"/>
          </w:tcPr>
          <w:p w14:paraId="556691EA" w14:textId="77777777" w:rsidR="002C0FD9" w:rsidRPr="00CA25CF" w:rsidRDefault="002C0FD9" w:rsidP="00CA25CF">
            <w:pPr>
              <w:rPr>
                <w:rFonts w:cs="Arial"/>
                <w:color w:val="FF0000"/>
                <w:sz w:val="21"/>
                <w:szCs w:val="21"/>
              </w:rPr>
            </w:pPr>
          </w:p>
        </w:tc>
        <w:tc>
          <w:tcPr>
            <w:tcW w:w="217" w:type="dxa"/>
          </w:tcPr>
          <w:p w14:paraId="5AF8A376" w14:textId="77777777" w:rsidR="002C0FD9" w:rsidRPr="00CA25CF" w:rsidRDefault="002C0FD9" w:rsidP="00CA25CF">
            <w:pPr>
              <w:rPr>
                <w:rFonts w:cs="Arial"/>
                <w:color w:val="FF0000"/>
                <w:sz w:val="21"/>
                <w:szCs w:val="21"/>
              </w:rPr>
            </w:pPr>
          </w:p>
        </w:tc>
        <w:tc>
          <w:tcPr>
            <w:tcW w:w="217" w:type="dxa"/>
          </w:tcPr>
          <w:p w14:paraId="0FA3C8ED" w14:textId="77777777" w:rsidR="002C0FD9" w:rsidRPr="00CA25CF" w:rsidRDefault="002C0FD9" w:rsidP="00CA25CF">
            <w:pPr>
              <w:rPr>
                <w:rFonts w:cs="Arial"/>
                <w:color w:val="FF0000"/>
                <w:sz w:val="21"/>
                <w:szCs w:val="21"/>
              </w:rPr>
            </w:pPr>
          </w:p>
        </w:tc>
        <w:tc>
          <w:tcPr>
            <w:tcW w:w="217" w:type="dxa"/>
          </w:tcPr>
          <w:p w14:paraId="195FE485" w14:textId="77777777" w:rsidR="002C0FD9" w:rsidRPr="00CA25CF" w:rsidRDefault="002C0FD9" w:rsidP="00CA25CF">
            <w:pPr>
              <w:rPr>
                <w:rFonts w:cs="Arial"/>
                <w:color w:val="FF0000"/>
                <w:sz w:val="21"/>
                <w:szCs w:val="21"/>
              </w:rPr>
            </w:pPr>
          </w:p>
        </w:tc>
        <w:tc>
          <w:tcPr>
            <w:tcW w:w="217" w:type="dxa"/>
          </w:tcPr>
          <w:p w14:paraId="0ECE938B" w14:textId="77777777" w:rsidR="002C0FD9" w:rsidRPr="00CA25CF" w:rsidRDefault="002C0FD9" w:rsidP="00CA25CF">
            <w:pPr>
              <w:rPr>
                <w:rFonts w:cs="Arial"/>
                <w:color w:val="FF0000"/>
                <w:sz w:val="21"/>
                <w:szCs w:val="21"/>
              </w:rPr>
            </w:pPr>
          </w:p>
        </w:tc>
        <w:tc>
          <w:tcPr>
            <w:tcW w:w="217" w:type="dxa"/>
          </w:tcPr>
          <w:p w14:paraId="25FEEB14" w14:textId="77777777" w:rsidR="002C0FD9" w:rsidRPr="00CA25CF" w:rsidRDefault="002C0FD9" w:rsidP="00CA25CF">
            <w:pPr>
              <w:rPr>
                <w:rFonts w:cs="Arial"/>
                <w:color w:val="FF0000"/>
                <w:sz w:val="21"/>
                <w:szCs w:val="21"/>
              </w:rPr>
            </w:pPr>
          </w:p>
        </w:tc>
        <w:tc>
          <w:tcPr>
            <w:tcW w:w="217" w:type="dxa"/>
          </w:tcPr>
          <w:p w14:paraId="3F8D1EDB" w14:textId="77777777" w:rsidR="002C0FD9" w:rsidRPr="00CA25CF" w:rsidRDefault="002C0FD9" w:rsidP="00CA25CF">
            <w:pPr>
              <w:rPr>
                <w:rFonts w:cs="Arial"/>
                <w:color w:val="FF0000"/>
                <w:sz w:val="21"/>
                <w:szCs w:val="21"/>
              </w:rPr>
            </w:pPr>
          </w:p>
        </w:tc>
        <w:tc>
          <w:tcPr>
            <w:tcW w:w="217" w:type="dxa"/>
          </w:tcPr>
          <w:p w14:paraId="23E58111" w14:textId="77777777" w:rsidR="002C0FD9" w:rsidRPr="00CA25CF" w:rsidRDefault="002C0FD9" w:rsidP="00CA25CF">
            <w:pPr>
              <w:rPr>
                <w:rFonts w:cs="Arial"/>
                <w:color w:val="FF0000"/>
                <w:sz w:val="21"/>
                <w:szCs w:val="21"/>
              </w:rPr>
            </w:pPr>
          </w:p>
        </w:tc>
        <w:tc>
          <w:tcPr>
            <w:tcW w:w="217" w:type="dxa"/>
          </w:tcPr>
          <w:p w14:paraId="369523EC" w14:textId="77777777" w:rsidR="002C0FD9" w:rsidRPr="00CA25CF" w:rsidRDefault="002C0FD9" w:rsidP="00CA25CF">
            <w:pPr>
              <w:rPr>
                <w:rFonts w:cs="Arial"/>
                <w:color w:val="FF0000"/>
                <w:sz w:val="21"/>
                <w:szCs w:val="21"/>
              </w:rPr>
            </w:pPr>
          </w:p>
        </w:tc>
        <w:tc>
          <w:tcPr>
            <w:tcW w:w="217" w:type="dxa"/>
          </w:tcPr>
          <w:p w14:paraId="128FD7CC" w14:textId="77777777" w:rsidR="002C0FD9" w:rsidRPr="00CA25CF" w:rsidRDefault="002C0FD9" w:rsidP="00CA25CF">
            <w:pPr>
              <w:rPr>
                <w:rFonts w:cs="Arial"/>
                <w:color w:val="FF0000"/>
                <w:sz w:val="21"/>
                <w:szCs w:val="21"/>
              </w:rPr>
            </w:pPr>
          </w:p>
        </w:tc>
        <w:tc>
          <w:tcPr>
            <w:tcW w:w="217" w:type="dxa"/>
          </w:tcPr>
          <w:p w14:paraId="33567664" w14:textId="77777777" w:rsidR="002C0FD9" w:rsidRPr="00CA25CF" w:rsidRDefault="002C0FD9" w:rsidP="00CA25CF">
            <w:pPr>
              <w:rPr>
                <w:rFonts w:cs="Arial"/>
                <w:color w:val="FF0000"/>
                <w:sz w:val="21"/>
                <w:szCs w:val="21"/>
              </w:rPr>
            </w:pPr>
          </w:p>
        </w:tc>
      </w:tr>
      <w:tr w:rsidR="002C0FD9" w:rsidRPr="00A16219" w14:paraId="223B3CB5" w14:textId="77777777" w:rsidTr="002C0FD9">
        <w:trPr>
          <w:trHeight w:val="635"/>
        </w:trPr>
        <w:tc>
          <w:tcPr>
            <w:tcW w:w="515" w:type="dxa"/>
          </w:tcPr>
          <w:p w14:paraId="41E97ED5" w14:textId="77777777" w:rsidR="002C0FD9" w:rsidRPr="00CA25CF" w:rsidRDefault="002C0FD9" w:rsidP="00CA25CF">
            <w:pPr>
              <w:rPr>
                <w:rFonts w:cs="Arial"/>
                <w:color w:val="FF0000"/>
                <w:sz w:val="21"/>
                <w:szCs w:val="21"/>
              </w:rPr>
            </w:pPr>
          </w:p>
        </w:tc>
        <w:tc>
          <w:tcPr>
            <w:tcW w:w="217" w:type="dxa"/>
          </w:tcPr>
          <w:p w14:paraId="35B37989" w14:textId="77777777" w:rsidR="002C0FD9" w:rsidRPr="00CA25CF" w:rsidRDefault="002C0FD9" w:rsidP="00CA25CF">
            <w:pPr>
              <w:rPr>
                <w:rFonts w:cs="Arial"/>
                <w:color w:val="FF0000"/>
                <w:sz w:val="21"/>
                <w:szCs w:val="21"/>
              </w:rPr>
            </w:pPr>
          </w:p>
        </w:tc>
        <w:tc>
          <w:tcPr>
            <w:tcW w:w="217" w:type="dxa"/>
          </w:tcPr>
          <w:p w14:paraId="414A5389" w14:textId="77777777" w:rsidR="002C0FD9" w:rsidRPr="00CA25CF" w:rsidRDefault="002C0FD9" w:rsidP="00CA25CF">
            <w:pPr>
              <w:rPr>
                <w:rFonts w:cs="Arial"/>
                <w:color w:val="FF0000"/>
                <w:sz w:val="21"/>
                <w:szCs w:val="21"/>
              </w:rPr>
            </w:pPr>
          </w:p>
        </w:tc>
        <w:tc>
          <w:tcPr>
            <w:tcW w:w="217" w:type="dxa"/>
          </w:tcPr>
          <w:p w14:paraId="5B7395A5" w14:textId="77777777" w:rsidR="002C0FD9" w:rsidRPr="00CA25CF" w:rsidRDefault="002C0FD9" w:rsidP="00CA25CF">
            <w:pPr>
              <w:rPr>
                <w:rFonts w:cs="Arial"/>
                <w:color w:val="FF0000"/>
                <w:sz w:val="21"/>
                <w:szCs w:val="21"/>
              </w:rPr>
            </w:pPr>
          </w:p>
        </w:tc>
        <w:tc>
          <w:tcPr>
            <w:tcW w:w="217" w:type="dxa"/>
          </w:tcPr>
          <w:p w14:paraId="7C40C3D6" w14:textId="77777777" w:rsidR="002C0FD9" w:rsidRPr="00CA25CF" w:rsidRDefault="002C0FD9" w:rsidP="00CA25CF">
            <w:pPr>
              <w:rPr>
                <w:rFonts w:cs="Arial"/>
                <w:color w:val="FF0000"/>
                <w:sz w:val="21"/>
                <w:szCs w:val="21"/>
              </w:rPr>
            </w:pPr>
          </w:p>
        </w:tc>
        <w:tc>
          <w:tcPr>
            <w:tcW w:w="217" w:type="dxa"/>
          </w:tcPr>
          <w:p w14:paraId="5BA5F455" w14:textId="77777777" w:rsidR="002C0FD9" w:rsidRPr="00CA25CF" w:rsidRDefault="002C0FD9" w:rsidP="00CA25CF">
            <w:pPr>
              <w:rPr>
                <w:rFonts w:cs="Arial"/>
                <w:color w:val="FF0000"/>
                <w:sz w:val="21"/>
                <w:szCs w:val="21"/>
              </w:rPr>
            </w:pPr>
          </w:p>
        </w:tc>
        <w:tc>
          <w:tcPr>
            <w:tcW w:w="217" w:type="dxa"/>
          </w:tcPr>
          <w:p w14:paraId="089B4A02" w14:textId="77777777" w:rsidR="002C0FD9" w:rsidRPr="00CA25CF" w:rsidRDefault="002C0FD9" w:rsidP="00CA25CF">
            <w:pPr>
              <w:rPr>
                <w:rFonts w:cs="Arial"/>
                <w:color w:val="FF0000"/>
                <w:sz w:val="21"/>
                <w:szCs w:val="21"/>
              </w:rPr>
            </w:pPr>
          </w:p>
        </w:tc>
        <w:tc>
          <w:tcPr>
            <w:tcW w:w="217" w:type="dxa"/>
          </w:tcPr>
          <w:p w14:paraId="4872DC22" w14:textId="77777777" w:rsidR="002C0FD9" w:rsidRPr="00CA25CF" w:rsidRDefault="002C0FD9" w:rsidP="00CA25CF">
            <w:pPr>
              <w:rPr>
                <w:rFonts w:cs="Arial"/>
                <w:color w:val="FF0000"/>
                <w:sz w:val="21"/>
                <w:szCs w:val="21"/>
              </w:rPr>
            </w:pPr>
          </w:p>
        </w:tc>
        <w:tc>
          <w:tcPr>
            <w:tcW w:w="217" w:type="dxa"/>
          </w:tcPr>
          <w:p w14:paraId="7973E109" w14:textId="77777777" w:rsidR="002C0FD9" w:rsidRPr="00CA25CF" w:rsidRDefault="002C0FD9" w:rsidP="00CA25CF">
            <w:pPr>
              <w:rPr>
                <w:rFonts w:cs="Arial"/>
                <w:color w:val="FF0000"/>
                <w:sz w:val="21"/>
                <w:szCs w:val="21"/>
              </w:rPr>
            </w:pPr>
          </w:p>
        </w:tc>
        <w:tc>
          <w:tcPr>
            <w:tcW w:w="217" w:type="dxa"/>
          </w:tcPr>
          <w:p w14:paraId="6D8D0A8E" w14:textId="77777777" w:rsidR="002C0FD9" w:rsidRPr="00CA25CF" w:rsidRDefault="002C0FD9" w:rsidP="00CA25CF">
            <w:pPr>
              <w:rPr>
                <w:rFonts w:cs="Arial"/>
                <w:color w:val="FF0000"/>
                <w:sz w:val="21"/>
                <w:szCs w:val="21"/>
              </w:rPr>
            </w:pPr>
          </w:p>
        </w:tc>
        <w:tc>
          <w:tcPr>
            <w:tcW w:w="217" w:type="dxa"/>
          </w:tcPr>
          <w:p w14:paraId="56DAE631" w14:textId="77777777" w:rsidR="002C0FD9" w:rsidRPr="00CA25CF" w:rsidRDefault="002C0FD9" w:rsidP="00CA25CF">
            <w:pPr>
              <w:rPr>
                <w:rFonts w:cs="Arial"/>
                <w:color w:val="FF0000"/>
                <w:sz w:val="21"/>
                <w:szCs w:val="21"/>
              </w:rPr>
            </w:pPr>
          </w:p>
        </w:tc>
        <w:tc>
          <w:tcPr>
            <w:tcW w:w="217" w:type="dxa"/>
          </w:tcPr>
          <w:p w14:paraId="26BDC257" w14:textId="77777777" w:rsidR="002C0FD9" w:rsidRPr="00CA25CF" w:rsidRDefault="002C0FD9" w:rsidP="00CA25CF">
            <w:pPr>
              <w:rPr>
                <w:rFonts w:cs="Arial"/>
                <w:color w:val="FF0000"/>
                <w:sz w:val="21"/>
                <w:szCs w:val="21"/>
              </w:rPr>
            </w:pPr>
          </w:p>
        </w:tc>
        <w:tc>
          <w:tcPr>
            <w:tcW w:w="217" w:type="dxa"/>
          </w:tcPr>
          <w:p w14:paraId="58D54398" w14:textId="77777777" w:rsidR="002C0FD9" w:rsidRPr="00CA25CF" w:rsidRDefault="002C0FD9" w:rsidP="00CA25CF">
            <w:pPr>
              <w:rPr>
                <w:rFonts w:cs="Arial"/>
                <w:color w:val="FF0000"/>
                <w:sz w:val="21"/>
                <w:szCs w:val="21"/>
              </w:rPr>
            </w:pPr>
          </w:p>
        </w:tc>
        <w:tc>
          <w:tcPr>
            <w:tcW w:w="217" w:type="dxa"/>
          </w:tcPr>
          <w:p w14:paraId="088EFCB5" w14:textId="77777777" w:rsidR="002C0FD9" w:rsidRPr="00CA25CF" w:rsidRDefault="002C0FD9" w:rsidP="00CA25CF">
            <w:pPr>
              <w:rPr>
                <w:rFonts w:cs="Arial"/>
                <w:color w:val="FF0000"/>
                <w:sz w:val="21"/>
                <w:szCs w:val="21"/>
              </w:rPr>
            </w:pPr>
          </w:p>
        </w:tc>
        <w:tc>
          <w:tcPr>
            <w:tcW w:w="217" w:type="dxa"/>
          </w:tcPr>
          <w:p w14:paraId="7081611A" w14:textId="77777777" w:rsidR="002C0FD9" w:rsidRPr="00CA25CF" w:rsidRDefault="002C0FD9" w:rsidP="00CA25CF">
            <w:pPr>
              <w:rPr>
                <w:rFonts w:cs="Arial"/>
                <w:color w:val="FF0000"/>
                <w:sz w:val="21"/>
                <w:szCs w:val="21"/>
              </w:rPr>
            </w:pPr>
          </w:p>
        </w:tc>
        <w:tc>
          <w:tcPr>
            <w:tcW w:w="217" w:type="dxa"/>
          </w:tcPr>
          <w:p w14:paraId="2E7708E0" w14:textId="77777777" w:rsidR="002C0FD9" w:rsidRPr="00CA25CF" w:rsidRDefault="002C0FD9" w:rsidP="00CA25CF">
            <w:pPr>
              <w:rPr>
                <w:rFonts w:cs="Arial"/>
                <w:color w:val="FF0000"/>
                <w:sz w:val="21"/>
                <w:szCs w:val="21"/>
              </w:rPr>
            </w:pPr>
          </w:p>
        </w:tc>
        <w:tc>
          <w:tcPr>
            <w:tcW w:w="217" w:type="dxa"/>
          </w:tcPr>
          <w:p w14:paraId="279C388B" w14:textId="77777777" w:rsidR="002C0FD9" w:rsidRPr="00CA25CF" w:rsidRDefault="002C0FD9" w:rsidP="00CA25CF">
            <w:pPr>
              <w:rPr>
                <w:rFonts w:cs="Arial"/>
                <w:color w:val="FF0000"/>
                <w:sz w:val="21"/>
                <w:szCs w:val="21"/>
              </w:rPr>
            </w:pPr>
          </w:p>
        </w:tc>
        <w:tc>
          <w:tcPr>
            <w:tcW w:w="217" w:type="dxa"/>
          </w:tcPr>
          <w:p w14:paraId="2F31E4B2" w14:textId="77777777" w:rsidR="002C0FD9" w:rsidRPr="00CA25CF" w:rsidRDefault="002C0FD9" w:rsidP="00CA25CF">
            <w:pPr>
              <w:rPr>
                <w:rFonts w:cs="Arial"/>
                <w:color w:val="FF0000"/>
                <w:sz w:val="21"/>
                <w:szCs w:val="21"/>
              </w:rPr>
            </w:pPr>
          </w:p>
        </w:tc>
        <w:tc>
          <w:tcPr>
            <w:tcW w:w="217" w:type="dxa"/>
          </w:tcPr>
          <w:p w14:paraId="281F3CFC" w14:textId="77777777" w:rsidR="002C0FD9" w:rsidRPr="00CA25CF" w:rsidRDefault="002C0FD9" w:rsidP="00CA25CF">
            <w:pPr>
              <w:rPr>
                <w:rFonts w:cs="Arial"/>
                <w:color w:val="FF0000"/>
                <w:sz w:val="21"/>
                <w:szCs w:val="21"/>
              </w:rPr>
            </w:pPr>
          </w:p>
        </w:tc>
        <w:tc>
          <w:tcPr>
            <w:tcW w:w="217" w:type="dxa"/>
          </w:tcPr>
          <w:p w14:paraId="51734B7D" w14:textId="77777777" w:rsidR="002C0FD9" w:rsidRPr="00CA25CF" w:rsidRDefault="002C0FD9" w:rsidP="00CA25CF">
            <w:pPr>
              <w:rPr>
                <w:rFonts w:cs="Arial"/>
                <w:color w:val="FF0000"/>
                <w:sz w:val="21"/>
                <w:szCs w:val="21"/>
              </w:rPr>
            </w:pPr>
          </w:p>
        </w:tc>
        <w:tc>
          <w:tcPr>
            <w:tcW w:w="217" w:type="dxa"/>
          </w:tcPr>
          <w:p w14:paraId="4F23E03D" w14:textId="77777777" w:rsidR="002C0FD9" w:rsidRPr="00CA25CF" w:rsidRDefault="002C0FD9" w:rsidP="00CA25CF">
            <w:pPr>
              <w:rPr>
                <w:rFonts w:cs="Arial"/>
                <w:color w:val="FF0000"/>
                <w:sz w:val="21"/>
                <w:szCs w:val="21"/>
              </w:rPr>
            </w:pPr>
          </w:p>
        </w:tc>
        <w:tc>
          <w:tcPr>
            <w:tcW w:w="217" w:type="dxa"/>
          </w:tcPr>
          <w:p w14:paraId="2E5E583B" w14:textId="77777777" w:rsidR="002C0FD9" w:rsidRPr="00CA25CF" w:rsidRDefault="002C0FD9" w:rsidP="00CA25CF">
            <w:pPr>
              <w:rPr>
                <w:rFonts w:cs="Arial"/>
                <w:color w:val="FF0000"/>
                <w:sz w:val="21"/>
                <w:szCs w:val="21"/>
              </w:rPr>
            </w:pPr>
          </w:p>
        </w:tc>
        <w:tc>
          <w:tcPr>
            <w:tcW w:w="217" w:type="dxa"/>
          </w:tcPr>
          <w:p w14:paraId="746BA1A1" w14:textId="77777777" w:rsidR="002C0FD9" w:rsidRPr="00CA25CF" w:rsidRDefault="002C0FD9" w:rsidP="00CA25CF">
            <w:pPr>
              <w:rPr>
                <w:rFonts w:cs="Arial"/>
                <w:color w:val="FF0000"/>
                <w:sz w:val="21"/>
                <w:szCs w:val="21"/>
              </w:rPr>
            </w:pPr>
          </w:p>
        </w:tc>
        <w:tc>
          <w:tcPr>
            <w:tcW w:w="217" w:type="dxa"/>
          </w:tcPr>
          <w:p w14:paraId="6024814B" w14:textId="77777777" w:rsidR="002C0FD9" w:rsidRPr="00CA25CF" w:rsidRDefault="002C0FD9" w:rsidP="00CA25CF">
            <w:pPr>
              <w:rPr>
                <w:rFonts w:cs="Arial"/>
                <w:color w:val="FF0000"/>
                <w:sz w:val="21"/>
                <w:szCs w:val="21"/>
              </w:rPr>
            </w:pPr>
          </w:p>
        </w:tc>
        <w:tc>
          <w:tcPr>
            <w:tcW w:w="217" w:type="dxa"/>
          </w:tcPr>
          <w:p w14:paraId="7380F1FC" w14:textId="77777777" w:rsidR="002C0FD9" w:rsidRPr="00CA25CF" w:rsidRDefault="002C0FD9" w:rsidP="00CA25CF">
            <w:pPr>
              <w:rPr>
                <w:rFonts w:cs="Arial"/>
                <w:color w:val="FF0000"/>
                <w:sz w:val="21"/>
                <w:szCs w:val="21"/>
              </w:rPr>
            </w:pPr>
          </w:p>
        </w:tc>
        <w:tc>
          <w:tcPr>
            <w:tcW w:w="217" w:type="dxa"/>
          </w:tcPr>
          <w:p w14:paraId="34D04549" w14:textId="77777777" w:rsidR="002C0FD9" w:rsidRPr="00CA25CF" w:rsidRDefault="002C0FD9" w:rsidP="00CA25CF">
            <w:pPr>
              <w:rPr>
                <w:rFonts w:cs="Arial"/>
                <w:color w:val="FF0000"/>
                <w:sz w:val="21"/>
                <w:szCs w:val="21"/>
              </w:rPr>
            </w:pPr>
          </w:p>
        </w:tc>
        <w:tc>
          <w:tcPr>
            <w:tcW w:w="217" w:type="dxa"/>
          </w:tcPr>
          <w:p w14:paraId="34FEDB36" w14:textId="77777777" w:rsidR="002C0FD9" w:rsidRPr="00CA25CF" w:rsidRDefault="002C0FD9" w:rsidP="00CA25CF">
            <w:pPr>
              <w:rPr>
                <w:rFonts w:cs="Arial"/>
                <w:color w:val="FF0000"/>
                <w:sz w:val="21"/>
                <w:szCs w:val="21"/>
              </w:rPr>
            </w:pPr>
          </w:p>
        </w:tc>
        <w:tc>
          <w:tcPr>
            <w:tcW w:w="217" w:type="dxa"/>
          </w:tcPr>
          <w:p w14:paraId="302C6A5B" w14:textId="77777777" w:rsidR="002C0FD9" w:rsidRPr="00CA25CF" w:rsidRDefault="002C0FD9" w:rsidP="00CA25CF">
            <w:pPr>
              <w:rPr>
                <w:rFonts w:cs="Arial"/>
                <w:color w:val="FF0000"/>
                <w:sz w:val="21"/>
                <w:szCs w:val="21"/>
              </w:rPr>
            </w:pPr>
          </w:p>
        </w:tc>
        <w:tc>
          <w:tcPr>
            <w:tcW w:w="217" w:type="dxa"/>
          </w:tcPr>
          <w:p w14:paraId="32F8E054" w14:textId="77777777" w:rsidR="002C0FD9" w:rsidRPr="00CA25CF" w:rsidRDefault="002C0FD9" w:rsidP="00CA25CF">
            <w:pPr>
              <w:rPr>
                <w:rFonts w:cs="Arial"/>
                <w:color w:val="FF0000"/>
                <w:sz w:val="21"/>
                <w:szCs w:val="21"/>
              </w:rPr>
            </w:pPr>
          </w:p>
        </w:tc>
        <w:tc>
          <w:tcPr>
            <w:tcW w:w="217" w:type="dxa"/>
          </w:tcPr>
          <w:p w14:paraId="10C2C3FF" w14:textId="77777777" w:rsidR="002C0FD9" w:rsidRPr="00CA25CF" w:rsidRDefault="002C0FD9" w:rsidP="00CA25CF">
            <w:pPr>
              <w:rPr>
                <w:rFonts w:cs="Arial"/>
                <w:color w:val="FF0000"/>
                <w:sz w:val="21"/>
                <w:szCs w:val="21"/>
              </w:rPr>
            </w:pPr>
          </w:p>
        </w:tc>
        <w:tc>
          <w:tcPr>
            <w:tcW w:w="217" w:type="dxa"/>
          </w:tcPr>
          <w:p w14:paraId="1AE5BA12" w14:textId="77777777" w:rsidR="002C0FD9" w:rsidRPr="00CA25CF" w:rsidRDefault="002C0FD9" w:rsidP="00CA25CF">
            <w:pPr>
              <w:rPr>
                <w:rFonts w:cs="Arial"/>
                <w:color w:val="FF0000"/>
                <w:sz w:val="21"/>
                <w:szCs w:val="21"/>
              </w:rPr>
            </w:pPr>
          </w:p>
        </w:tc>
        <w:tc>
          <w:tcPr>
            <w:tcW w:w="217" w:type="dxa"/>
          </w:tcPr>
          <w:p w14:paraId="7A20135C" w14:textId="77777777" w:rsidR="002C0FD9" w:rsidRPr="00CA25CF" w:rsidRDefault="002C0FD9" w:rsidP="00CA25CF">
            <w:pPr>
              <w:rPr>
                <w:rFonts w:cs="Arial"/>
                <w:color w:val="FF0000"/>
                <w:sz w:val="21"/>
                <w:szCs w:val="21"/>
              </w:rPr>
            </w:pPr>
          </w:p>
        </w:tc>
        <w:tc>
          <w:tcPr>
            <w:tcW w:w="217" w:type="dxa"/>
          </w:tcPr>
          <w:p w14:paraId="3B93B3EC" w14:textId="77777777" w:rsidR="002C0FD9" w:rsidRPr="00CA25CF" w:rsidRDefault="002C0FD9" w:rsidP="00CA25CF">
            <w:pPr>
              <w:rPr>
                <w:rFonts w:cs="Arial"/>
                <w:color w:val="FF0000"/>
                <w:sz w:val="21"/>
                <w:szCs w:val="21"/>
              </w:rPr>
            </w:pPr>
          </w:p>
        </w:tc>
        <w:tc>
          <w:tcPr>
            <w:tcW w:w="217" w:type="dxa"/>
          </w:tcPr>
          <w:p w14:paraId="2C6A362F" w14:textId="77777777" w:rsidR="002C0FD9" w:rsidRPr="00CA25CF" w:rsidRDefault="002C0FD9" w:rsidP="00CA25CF">
            <w:pPr>
              <w:rPr>
                <w:rFonts w:cs="Arial"/>
                <w:color w:val="FF0000"/>
                <w:sz w:val="21"/>
                <w:szCs w:val="21"/>
              </w:rPr>
            </w:pPr>
          </w:p>
        </w:tc>
        <w:tc>
          <w:tcPr>
            <w:tcW w:w="217" w:type="dxa"/>
          </w:tcPr>
          <w:p w14:paraId="01AD6D90" w14:textId="77777777" w:rsidR="002C0FD9" w:rsidRPr="00CA25CF" w:rsidRDefault="002C0FD9" w:rsidP="00CA25CF">
            <w:pPr>
              <w:rPr>
                <w:rFonts w:cs="Arial"/>
                <w:color w:val="FF0000"/>
                <w:sz w:val="21"/>
                <w:szCs w:val="21"/>
              </w:rPr>
            </w:pPr>
          </w:p>
        </w:tc>
        <w:tc>
          <w:tcPr>
            <w:tcW w:w="217" w:type="dxa"/>
          </w:tcPr>
          <w:p w14:paraId="7550E189" w14:textId="77777777" w:rsidR="002C0FD9" w:rsidRPr="00CA25CF" w:rsidRDefault="002C0FD9" w:rsidP="00CA25CF">
            <w:pPr>
              <w:rPr>
                <w:rFonts w:cs="Arial"/>
                <w:color w:val="FF0000"/>
                <w:sz w:val="21"/>
                <w:szCs w:val="21"/>
              </w:rPr>
            </w:pPr>
          </w:p>
        </w:tc>
        <w:tc>
          <w:tcPr>
            <w:tcW w:w="217" w:type="dxa"/>
          </w:tcPr>
          <w:p w14:paraId="3AE935C4" w14:textId="77777777" w:rsidR="002C0FD9" w:rsidRPr="00CA25CF" w:rsidRDefault="002C0FD9" w:rsidP="00CA25CF">
            <w:pPr>
              <w:rPr>
                <w:rFonts w:cs="Arial"/>
                <w:color w:val="FF0000"/>
                <w:sz w:val="21"/>
                <w:szCs w:val="21"/>
              </w:rPr>
            </w:pPr>
          </w:p>
        </w:tc>
        <w:tc>
          <w:tcPr>
            <w:tcW w:w="217" w:type="dxa"/>
          </w:tcPr>
          <w:p w14:paraId="1FC06750" w14:textId="77777777" w:rsidR="002C0FD9" w:rsidRPr="00CA25CF" w:rsidRDefault="002C0FD9" w:rsidP="00CA25CF">
            <w:pPr>
              <w:rPr>
                <w:rFonts w:cs="Arial"/>
                <w:color w:val="FF0000"/>
                <w:sz w:val="21"/>
                <w:szCs w:val="21"/>
              </w:rPr>
            </w:pPr>
          </w:p>
        </w:tc>
        <w:tc>
          <w:tcPr>
            <w:tcW w:w="217" w:type="dxa"/>
          </w:tcPr>
          <w:p w14:paraId="33482A00" w14:textId="77777777" w:rsidR="002C0FD9" w:rsidRPr="00CA25CF" w:rsidRDefault="002C0FD9" w:rsidP="00CA25CF">
            <w:pPr>
              <w:rPr>
                <w:rFonts w:cs="Arial"/>
                <w:color w:val="FF0000"/>
                <w:sz w:val="21"/>
                <w:szCs w:val="21"/>
              </w:rPr>
            </w:pPr>
          </w:p>
        </w:tc>
        <w:tc>
          <w:tcPr>
            <w:tcW w:w="217" w:type="dxa"/>
          </w:tcPr>
          <w:p w14:paraId="728015D8" w14:textId="77777777" w:rsidR="002C0FD9" w:rsidRPr="00CA25CF" w:rsidRDefault="002C0FD9" w:rsidP="00CA25CF">
            <w:pPr>
              <w:rPr>
                <w:rFonts w:cs="Arial"/>
                <w:color w:val="FF0000"/>
                <w:sz w:val="21"/>
                <w:szCs w:val="21"/>
              </w:rPr>
            </w:pPr>
          </w:p>
        </w:tc>
        <w:tc>
          <w:tcPr>
            <w:tcW w:w="217" w:type="dxa"/>
          </w:tcPr>
          <w:p w14:paraId="36D2E320" w14:textId="77777777" w:rsidR="002C0FD9" w:rsidRPr="00CA25CF" w:rsidRDefault="002C0FD9" w:rsidP="00CA25CF">
            <w:pPr>
              <w:rPr>
                <w:rFonts w:cs="Arial"/>
                <w:color w:val="FF0000"/>
                <w:sz w:val="21"/>
                <w:szCs w:val="21"/>
              </w:rPr>
            </w:pPr>
          </w:p>
        </w:tc>
        <w:tc>
          <w:tcPr>
            <w:tcW w:w="217" w:type="dxa"/>
          </w:tcPr>
          <w:p w14:paraId="53600C6E" w14:textId="77777777" w:rsidR="002C0FD9" w:rsidRPr="00CA25CF" w:rsidRDefault="002C0FD9" w:rsidP="00CA25CF">
            <w:pPr>
              <w:rPr>
                <w:rFonts w:cs="Arial"/>
                <w:color w:val="FF0000"/>
                <w:sz w:val="21"/>
                <w:szCs w:val="21"/>
              </w:rPr>
            </w:pPr>
          </w:p>
        </w:tc>
        <w:tc>
          <w:tcPr>
            <w:tcW w:w="217" w:type="dxa"/>
          </w:tcPr>
          <w:p w14:paraId="26C9AE94" w14:textId="77777777" w:rsidR="002C0FD9" w:rsidRPr="00CA25CF" w:rsidRDefault="002C0FD9" w:rsidP="00CA25CF">
            <w:pPr>
              <w:rPr>
                <w:rFonts w:cs="Arial"/>
                <w:color w:val="FF0000"/>
                <w:sz w:val="21"/>
                <w:szCs w:val="21"/>
              </w:rPr>
            </w:pPr>
          </w:p>
        </w:tc>
      </w:tr>
      <w:tr w:rsidR="002C0FD9" w:rsidRPr="00A16219" w14:paraId="7B09F564" w14:textId="77777777" w:rsidTr="002C0FD9">
        <w:trPr>
          <w:trHeight w:val="635"/>
        </w:trPr>
        <w:tc>
          <w:tcPr>
            <w:tcW w:w="515" w:type="dxa"/>
          </w:tcPr>
          <w:p w14:paraId="5594B688" w14:textId="77777777" w:rsidR="002C0FD9" w:rsidRPr="00CA25CF" w:rsidRDefault="002C0FD9" w:rsidP="00CA25CF">
            <w:pPr>
              <w:rPr>
                <w:rFonts w:cs="Arial"/>
                <w:color w:val="FF0000"/>
                <w:sz w:val="21"/>
                <w:szCs w:val="21"/>
              </w:rPr>
            </w:pPr>
          </w:p>
        </w:tc>
        <w:tc>
          <w:tcPr>
            <w:tcW w:w="217" w:type="dxa"/>
          </w:tcPr>
          <w:p w14:paraId="452B63E3" w14:textId="77777777" w:rsidR="002C0FD9" w:rsidRPr="00CA25CF" w:rsidRDefault="002C0FD9" w:rsidP="00CA25CF">
            <w:pPr>
              <w:rPr>
                <w:rFonts w:cs="Arial"/>
                <w:color w:val="FF0000"/>
                <w:sz w:val="21"/>
                <w:szCs w:val="21"/>
              </w:rPr>
            </w:pPr>
          </w:p>
        </w:tc>
        <w:tc>
          <w:tcPr>
            <w:tcW w:w="217" w:type="dxa"/>
          </w:tcPr>
          <w:p w14:paraId="2CA3C532" w14:textId="77777777" w:rsidR="002C0FD9" w:rsidRPr="00CA25CF" w:rsidRDefault="002C0FD9" w:rsidP="00CA25CF">
            <w:pPr>
              <w:rPr>
                <w:rFonts w:cs="Arial"/>
                <w:color w:val="FF0000"/>
                <w:sz w:val="21"/>
                <w:szCs w:val="21"/>
              </w:rPr>
            </w:pPr>
          </w:p>
        </w:tc>
        <w:tc>
          <w:tcPr>
            <w:tcW w:w="217" w:type="dxa"/>
          </w:tcPr>
          <w:p w14:paraId="21D0DED1" w14:textId="77777777" w:rsidR="002C0FD9" w:rsidRPr="00CA25CF" w:rsidRDefault="002C0FD9" w:rsidP="00CA25CF">
            <w:pPr>
              <w:rPr>
                <w:rFonts w:cs="Arial"/>
                <w:color w:val="FF0000"/>
                <w:sz w:val="21"/>
                <w:szCs w:val="21"/>
              </w:rPr>
            </w:pPr>
          </w:p>
        </w:tc>
        <w:tc>
          <w:tcPr>
            <w:tcW w:w="217" w:type="dxa"/>
          </w:tcPr>
          <w:p w14:paraId="6500AE9F" w14:textId="77777777" w:rsidR="002C0FD9" w:rsidRPr="00CA25CF" w:rsidRDefault="002C0FD9" w:rsidP="00CA25CF">
            <w:pPr>
              <w:rPr>
                <w:rFonts w:cs="Arial"/>
                <w:color w:val="FF0000"/>
                <w:sz w:val="21"/>
                <w:szCs w:val="21"/>
              </w:rPr>
            </w:pPr>
          </w:p>
        </w:tc>
        <w:tc>
          <w:tcPr>
            <w:tcW w:w="217" w:type="dxa"/>
          </w:tcPr>
          <w:p w14:paraId="6637FA87" w14:textId="77777777" w:rsidR="002C0FD9" w:rsidRPr="00CA25CF" w:rsidRDefault="002C0FD9" w:rsidP="00CA25CF">
            <w:pPr>
              <w:rPr>
                <w:rFonts w:cs="Arial"/>
                <w:color w:val="FF0000"/>
                <w:sz w:val="21"/>
                <w:szCs w:val="21"/>
              </w:rPr>
            </w:pPr>
          </w:p>
        </w:tc>
        <w:tc>
          <w:tcPr>
            <w:tcW w:w="217" w:type="dxa"/>
          </w:tcPr>
          <w:p w14:paraId="0C92F50C" w14:textId="77777777" w:rsidR="002C0FD9" w:rsidRPr="00CA25CF" w:rsidRDefault="002C0FD9" w:rsidP="00CA25CF">
            <w:pPr>
              <w:rPr>
                <w:rFonts w:cs="Arial"/>
                <w:color w:val="FF0000"/>
                <w:sz w:val="21"/>
                <w:szCs w:val="21"/>
              </w:rPr>
            </w:pPr>
          </w:p>
        </w:tc>
        <w:tc>
          <w:tcPr>
            <w:tcW w:w="217" w:type="dxa"/>
          </w:tcPr>
          <w:p w14:paraId="7CCF8554" w14:textId="77777777" w:rsidR="002C0FD9" w:rsidRPr="00CA25CF" w:rsidRDefault="002C0FD9" w:rsidP="00CA25CF">
            <w:pPr>
              <w:rPr>
                <w:rFonts w:cs="Arial"/>
                <w:color w:val="FF0000"/>
                <w:sz w:val="21"/>
                <w:szCs w:val="21"/>
              </w:rPr>
            </w:pPr>
          </w:p>
        </w:tc>
        <w:tc>
          <w:tcPr>
            <w:tcW w:w="217" w:type="dxa"/>
          </w:tcPr>
          <w:p w14:paraId="403ADBA8" w14:textId="77777777" w:rsidR="002C0FD9" w:rsidRPr="00CA25CF" w:rsidRDefault="002C0FD9" w:rsidP="00CA25CF">
            <w:pPr>
              <w:rPr>
                <w:rFonts w:cs="Arial"/>
                <w:color w:val="FF0000"/>
                <w:sz w:val="21"/>
                <w:szCs w:val="21"/>
              </w:rPr>
            </w:pPr>
          </w:p>
        </w:tc>
        <w:tc>
          <w:tcPr>
            <w:tcW w:w="217" w:type="dxa"/>
          </w:tcPr>
          <w:p w14:paraId="2D098457" w14:textId="77777777" w:rsidR="002C0FD9" w:rsidRPr="00CA25CF" w:rsidRDefault="002C0FD9" w:rsidP="00CA25CF">
            <w:pPr>
              <w:rPr>
                <w:rFonts w:cs="Arial"/>
                <w:color w:val="FF0000"/>
                <w:sz w:val="21"/>
                <w:szCs w:val="21"/>
              </w:rPr>
            </w:pPr>
          </w:p>
        </w:tc>
        <w:tc>
          <w:tcPr>
            <w:tcW w:w="217" w:type="dxa"/>
          </w:tcPr>
          <w:p w14:paraId="6126BBF2" w14:textId="77777777" w:rsidR="002C0FD9" w:rsidRPr="00CA25CF" w:rsidRDefault="002C0FD9" w:rsidP="00CA25CF">
            <w:pPr>
              <w:rPr>
                <w:rFonts w:cs="Arial"/>
                <w:color w:val="FF0000"/>
                <w:sz w:val="21"/>
                <w:szCs w:val="21"/>
              </w:rPr>
            </w:pPr>
          </w:p>
        </w:tc>
        <w:tc>
          <w:tcPr>
            <w:tcW w:w="217" w:type="dxa"/>
          </w:tcPr>
          <w:p w14:paraId="2605118D" w14:textId="77777777" w:rsidR="002C0FD9" w:rsidRPr="00CA25CF" w:rsidRDefault="002C0FD9" w:rsidP="00CA25CF">
            <w:pPr>
              <w:rPr>
                <w:rFonts w:cs="Arial"/>
                <w:color w:val="FF0000"/>
                <w:sz w:val="21"/>
                <w:szCs w:val="21"/>
              </w:rPr>
            </w:pPr>
          </w:p>
        </w:tc>
        <w:tc>
          <w:tcPr>
            <w:tcW w:w="217" w:type="dxa"/>
          </w:tcPr>
          <w:p w14:paraId="2B7F1183" w14:textId="77777777" w:rsidR="002C0FD9" w:rsidRPr="00CA25CF" w:rsidRDefault="002C0FD9" w:rsidP="00CA25CF">
            <w:pPr>
              <w:rPr>
                <w:rFonts w:cs="Arial"/>
                <w:color w:val="FF0000"/>
                <w:sz w:val="21"/>
                <w:szCs w:val="21"/>
              </w:rPr>
            </w:pPr>
          </w:p>
        </w:tc>
        <w:tc>
          <w:tcPr>
            <w:tcW w:w="217" w:type="dxa"/>
          </w:tcPr>
          <w:p w14:paraId="44CF8669" w14:textId="77777777" w:rsidR="002C0FD9" w:rsidRPr="00CA25CF" w:rsidRDefault="002C0FD9" w:rsidP="00CA25CF">
            <w:pPr>
              <w:rPr>
                <w:rFonts w:cs="Arial"/>
                <w:color w:val="FF0000"/>
                <w:sz w:val="21"/>
                <w:szCs w:val="21"/>
              </w:rPr>
            </w:pPr>
          </w:p>
        </w:tc>
        <w:tc>
          <w:tcPr>
            <w:tcW w:w="217" w:type="dxa"/>
          </w:tcPr>
          <w:p w14:paraId="68645058" w14:textId="77777777" w:rsidR="002C0FD9" w:rsidRPr="00CA25CF" w:rsidRDefault="002C0FD9" w:rsidP="00CA25CF">
            <w:pPr>
              <w:rPr>
                <w:rFonts w:cs="Arial"/>
                <w:color w:val="FF0000"/>
                <w:sz w:val="21"/>
                <w:szCs w:val="21"/>
              </w:rPr>
            </w:pPr>
          </w:p>
        </w:tc>
        <w:tc>
          <w:tcPr>
            <w:tcW w:w="217" w:type="dxa"/>
          </w:tcPr>
          <w:p w14:paraId="6B6B36E1" w14:textId="77777777" w:rsidR="002C0FD9" w:rsidRPr="00CA25CF" w:rsidRDefault="002C0FD9" w:rsidP="00CA25CF">
            <w:pPr>
              <w:rPr>
                <w:rFonts w:cs="Arial"/>
                <w:color w:val="FF0000"/>
                <w:sz w:val="21"/>
                <w:szCs w:val="21"/>
              </w:rPr>
            </w:pPr>
          </w:p>
        </w:tc>
        <w:tc>
          <w:tcPr>
            <w:tcW w:w="217" w:type="dxa"/>
          </w:tcPr>
          <w:p w14:paraId="0B2539B2" w14:textId="77777777" w:rsidR="002C0FD9" w:rsidRPr="00CA25CF" w:rsidRDefault="002C0FD9" w:rsidP="00CA25CF">
            <w:pPr>
              <w:rPr>
                <w:rFonts w:cs="Arial"/>
                <w:color w:val="FF0000"/>
                <w:sz w:val="21"/>
                <w:szCs w:val="21"/>
              </w:rPr>
            </w:pPr>
          </w:p>
        </w:tc>
        <w:tc>
          <w:tcPr>
            <w:tcW w:w="217" w:type="dxa"/>
          </w:tcPr>
          <w:p w14:paraId="2E2320FB" w14:textId="77777777" w:rsidR="002C0FD9" w:rsidRPr="00CA25CF" w:rsidRDefault="002C0FD9" w:rsidP="00CA25CF">
            <w:pPr>
              <w:rPr>
                <w:rFonts w:cs="Arial"/>
                <w:color w:val="FF0000"/>
                <w:sz w:val="21"/>
                <w:szCs w:val="21"/>
              </w:rPr>
            </w:pPr>
          </w:p>
        </w:tc>
        <w:tc>
          <w:tcPr>
            <w:tcW w:w="217" w:type="dxa"/>
          </w:tcPr>
          <w:p w14:paraId="14B50352" w14:textId="77777777" w:rsidR="002C0FD9" w:rsidRPr="00CA25CF" w:rsidRDefault="002C0FD9" w:rsidP="00CA25CF">
            <w:pPr>
              <w:rPr>
                <w:rFonts w:cs="Arial"/>
                <w:color w:val="FF0000"/>
                <w:sz w:val="21"/>
                <w:szCs w:val="21"/>
              </w:rPr>
            </w:pPr>
          </w:p>
        </w:tc>
        <w:tc>
          <w:tcPr>
            <w:tcW w:w="217" w:type="dxa"/>
          </w:tcPr>
          <w:p w14:paraId="7F4D14DC" w14:textId="77777777" w:rsidR="002C0FD9" w:rsidRPr="00CA25CF" w:rsidRDefault="002C0FD9" w:rsidP="00CA25CF">
            <w:pPr>
              <w:rPr>
                <w:rFonts w:cs="Arial"/>
                <w:color w:val="FF0000"/>
                <w:sz w:val="21"/>
                <w:szCs w:val="21"/>
              </w:rPr>
            </w:pPr>
          </w:p>
        </w:tc>
        <w:tc>
          <w:tcPr>
            <w:tcW w:w="217" w:type="dxa"/>
          </w:tcPr>
          <w:p w14:paraId="4B264557" w14:textId="77777777" w:rsidR="002C0FD9" w:rsidRPr="00CA25CF" w:rsidRDefault="002C0FD9" w:rsidP="00CA25CF">
            <w:pPr>
              <w:rPr>
                <w:rFonts w:cs="Arial"/>
                <w:color w:val="FF0000"/>
                <w:sz w:val="21"/>
                <w:szCs w:val="21"/>
              </w:rPr>
            </w:pPr>
          </w:p>
        </w:tc>
        <w:tc>
          <w:tcPr>
            <w:tcW w:w="217" w:type="dxa"/>
          </w:tcPr>
          <w:p w14:paraId="163EF965" w14:textId="77777777" w:rsidR="002C0FD9" w:rsidRPr="00CA25CF" w:rsidRDefault="002C0FD9" w:rsidP="00CA25CF">
            <w:pPr>
              <w:rPr>
                <w:rFonts w:cs="Arial"/>
                <w:color w:val="FF0000"/>
                <w:sz w:val="21"/>
                <w:szCs w:val="21"/>
              </w:rPr>
            </w:pPr>
          </w:p>
        </w:tc>
        <w:tc>
          <w:tcPr>
            <w:tcW w:w="217" w:type="dxa"/>
          </w:tcPr>
          <w:p w14:paraId="08F2428E" w14:textId="77777777" w:rsidR="002C0FD9" w:rsidRPr="00CA25CF" w:rsidRDefault="002C0FD9" w:rsidP="00CA25CF">
            <w:pPr>
              <w:rPr>
                <w:rFonts w:cs="Arial"/>
                <w:color w:val="FF0000"/>
                <w:sz w:val="21"/>
                <w:szCs w:val="21"/>
              </w:rPr>
            </w:pPr>
          </w:p>
        </w:tc>
        <w:tc>
          <w:tcPr>
            <w:tcW w:w="217" w:type="dxa"/>
          </w:tcPr>
          <w:p w14:paraId="50EFF12A" w14:textId="77777777" w:rsidR="002C0FD9" w:rsidRPr="00CA25CF" w:rsidRDefault="002C0FD9" w:rsidP="00CA25CF">
            <w:pPr>
              <w:rPr>
                <w:rFonts w:cs="Arial"/>
                <w:color w:val="FF0000"/>
                <w:sz w:val="21"/>
                <w:szCs w:val="21"/>
              </w:rPr>
            </w:pPr>
          </w:p>
        </w:tc>
        <w:tc>
          <w:tcPr>
            <w:tcW w:w="217" w:type="dxa"/>
          </w:tcPr>
          <w:p w14:paraId="2003BF36" w14:textId="77777777" w:rsidR="002C0FD9" w:rsidRPr="00CA25CF" w:rsidRDefault="002C0FD9" w:rsidP="00CA25CF">
            <w:pPr>
              <w:rPr>
                <w:rFonts w:cs="Arial"/>
                <w:color w:val="FF0000"/>
                <w:sz w:val="21"/>
                <w:szCs w:val="21"/>
              </w:rPr>
            </w:pPr>
          </w:p>
        </w:tc>
        <w:tc>
          <w:tcPr>
            <w:tcW w:w="217" w:type="dxa"/>
          </w:tcPr>
          <w:p w14:paraId="4ACB441F" w14:textId="77777777" w:rsidR="002C0FD9" w:rsidRPr="00CA25CF" w:rsidRDefault="002C0FD9" w:rsidP="00CA25CF">
            <w:pPr>
              <w:rPr>
                <w:rFonts w:cs="Arial"/>
                <w:color w:val="FF0000"/>
                <w:sz w:val="21"/>
                <w:szCs w:val="21"/>
              </w:rPr>
            </w:pPr>
          </w:p>
        </w:tc>
        <w:tc>
          <w:tcPr>
            <w:tcW w:w="217" w:type="dxa"/>
          </w:tcPr>
          <w:p w14:paraId="73013A5E" w14:textId="77777777" w:rsidR="002C0FD9" w:rsidRPr="00CA25CF" w:rsidRDefault="002C0FD9" w:rsidP="00CA25CF">
            <w:pPr>
              <w:rPr>
                <w:rFonts w:cs="Arial"/>
                <w:color w:val="FF0000"/>
                <w:sz w:val="21"/>
                <w:szCs w:val="21"/>
              </w:rPr>
            </w:pPr>
          </w:p>
        </w:tc>
        <w:tc>
          <w:tcPr>
            <w:tcW w:w="217" w:type="dxa"/>
          </w:tcPr>
          <w:p w14:paraId="11291193" w14:textId="77777777" w:rsidR="002C0FD9" w:rsidRPr="00CA25CF" w:rsidRDefault="002C0FD9" w:rsidP="00CA25CF">
            <w:pPr>
              <w:rPr>
                <w:rFonts w:cs="Arial"/>
                <w:color w:val="FF0000"/>
                <w:sz w:val="21"/>
                <w:szCs w:val="21"/>
              </w:rPr>
            </w:pPr>
          </w:p>
        </w:tc>
        <w:tc>
          <w:tcPr>
            <w:tcW w:w="217" w:type="dxa"/>
          </w:tcPr>
          <w:p w14:paraId="6F93FDC1" w14:textId="77777777" w:rsidR="002C0FD9" w:rsidRPr="00CA25CF" w:rsidRDefault="002C0FD9" w:rsidP="00CA25CF">
            <w:pPr>
              <w:rPr>
                <w:rFonts w:cs="Arial"/>
                <w:color w:val="FF0000"/>
                <w:sz w:val="21"/>
                <w:szCs w:val="21"/>
              </w:rPr>
            </w:pPr>
          </w:p>
        </w:tc>
        <w:tc>
          <w:tcPr>
            <w:tcW w:w="217" w:type="dxa"/>
          </w:tcPr>
          <w:p w14:paraId="1B7ACEA6" w14:textId="77777777" w:rsidR="002C0FD9" w:rsidRPr="00CA25CF" w:rsidRDefault="002C0FD9" w:rsidP="00CA25CF">
            <w:pPr>
              <w:rPr>
                <w:rFonts w:cs="Arial"/>
                <w:color w:val="FF0000"/>
                <w:sz w:val="21"/>
                <w:szCs w:val="21"/>
              </w:rPr>
            </w:pPr>
          </w:p>
        </w:tc>
        <w:tc>
          <w:tcPr>
            <w:tcW w:w="217" w:type="dxa"/>
          </w:tcPr>
          <w:p w14:paraId="5156819B" w14:textId="77777777" w:rsidR="002C0FD9" w:rsidRPr="00CA25CF" w:rsidRDefault="002C0FD9" w:rsidP="00CA25CF">
            <w:pPr>
              <w:rPr>
                <w:rFonts w:cs="Arial"/>
                <w:color w:val="FF0000"/>
                <w:sz w:val="21"/>
                <w:szCs w:val="21"/>
              </w:rPr>
            </w:pPr>
          </w:p>
        </w:tc>
        <w:tc>
          <w:tcPr>
            <w:tcW w:w="217" w:type="dxa"/>
          </w:tcPr>
          <w:p w14:paraId="7EB70633" w14:textId="77777777" w:rsidR="002C0FD9" w:rsidRPr="00CA25CF" w:rsidRDefault="002C0FD9" w:rsidP="00CA25CF">
            <w:pPr>
              <w:rPr>
                <w:rFonts w:cs="Arial"/>
                <w:color w:val="FF0000"/>
                <w:sz w:val="21"/>
                <w:szCs w:val="21"/>
              </w:rPr>
            </w:pPr>
          </w:p>
        </w:tc>
        <w:tc>
          <w:tcPr>
            <w:tcW w:w="217" w:type="dxa"/>
          </w:tcPr>
          <w:p w14:paraId="4E75CC23" w14:textId="77777777" w:rsidR="002C0FD9" w:rsidRPr="00CA25CF" w:rsidRDefault="002C0FD9" w:rsidP="00CA25CF">
            <w:pPr>
              <w:rPr>
                <w:rFonts w:cs="Arial"/>
                <w:color w:val="FF0000"/>
                <w:sz w:val="21"/>
                <w:szCs w:val="21"/>
              </w:rPr>
            </w:pPr>
          </w:p>
        </w:tc>
        <w:tc>
          <w:tcPr>
            <w:tcW w:w="217" w:type="dxa"/>
          </w:tcPr>
          <w:p w14:paraId="18252D10" w14:textId="77777777" w:rsidR="002C0FD9" w:rsidRPr="00CA25CF" w:rsidRDefault="002C0FD9" w:rsidP="00CA25CF">
            <w:pPr>
              <w:rPr>
                <w:rFonts w:cs="Arial"/>
                <w:color w:val="FF0000"/>
                <w:sz w:val="21"/>
                <w:szCs w:val="21"/>
              </w:rPr>
            </w:pPr>
          </w:p>
        </w:tc>
        <w:tc>
          <w:tcPr>
            <w:tcW w:w="217" w:type="dxa"/>
          </w:tcPr>
          <w:p w14:paraId="653E8A30" w14:textId="77777777" w:rsidR="002C0FD9" w:rsidRPr="00CA25CF" w:rsidRDefault="002C0FD9" w:rsidP="00CA25CF">
            <w:pPr>
              <w:rPr>
                <w:rFonts w:cs="Arial"/>
                <w:color w:val="FF0000"/>
                <w:sz w:val="21"/>
                <w:szCs w:val="21"/>
              </w:rPr>
            </w:pPr>
          </w:p>
        </w:tc>
        <w:tc>
          <w:tcPr>
            <w:tcW w:w="217" w:type="dxa"/>
          </w:tcPr>
          <w:p w14:paraId="2B48494D" w14:textId="77777777" w:rsidR="002C0FD9" w:rsidRPr="00CA25CF" w:rsidRDefault="002C0FD9" w:rsidP="00CA25CF">
            <w:pPr>
              <w:rPr>
                <w:rFonts w:cs="Arial"/>
                <w:color w:val="FF0000"/>
                <w:sz w:val="21"/>
                <w:szCs w:val="21"/>
              </w:rPr>
            </w:pPr>
          </w:p>
        </w:tc>
        <w:tc>
          <w:tcPr>
            <w:tcW w:w="217" w:type="dxa"/>
          </w:tcPr>
          <w:p w14:paraId="0F30DE1A" w14:textId="77777777" w:rsidR="002C0FD9" w:rsidRPr="00CA25CF" w:rsidRDefault="002C0FD9" w:rsidP="00CA25CF">
            <w:pPr>
              <w:rPr>
                <w:rFonts w:cs="Arial"/>
                <w:color w:val="FF0000"/>
                <w:sz w:val="21"/>
                <w:szCs w:val="21"/>
              </w:rPr>
            </w:pPr>
          </w:p>
        </w:tc>
        <w:tc>
          <w:tcPr>
            <w:tcW w:w="217" w:type="dxa"/>
          </w:tcPr>
          <w:p w14:paraId="60C537BA" w14:textId="77777777" w:rsidR="002C0FD9" w:rsidRPr="00CA25CF" w:rsidRDefault="002C0FD9" w:rsidP="00CA25CF">
            <w:pPr>
              <w:rPr>
                <w:rFonts w:cs="Arial"/>
                <w:color w:val="FF0000"/>
                <w:sz w:val="21"/>
                <w:szCs w:val="21"/>
              </w:rPr>
            </w:pPr>
          </w:p>
        </w:tc>
        <w:tc>
          <w:tcPr>
            <w:tcW w:w="217" w:type="dxa"/>
          </w:tcPr>
          <w:p w14:paraId="08F7C1D3" w14:textId="77777777" w:rsidR="002C0FD9" w:rsidRPr="00CA25CF" w:rsidRDefault="002C0FD9" w:rsidP="00CA25CF">
            <w:pPr>
              <w:rPr>
                <w:rFonts w:cs="Arial"/>
                <w:color w:val="FF0000"/>
                <w:sz w:val="21"/>
                <w:szCs w:val="21"/>
              </w:rPr>
            </w:pPr>
          </w:p>
        </w:tc>
        <w:tc>
          <w:tcPr>
            <w:tcW w:w="217" w:type="dxa"/>
          </w:tcPr>
          <w:p w14:paraId="23D37AAB" w14:textId="77777777" w:rsidR="002C0FD9" w:rsidRPr="00CA25CF" w:rsidRDefault="002C0FD9" w:rsidP="00CA25CF">
            <w:pPr>
              <w:rPr>
                <w:rFonts w:cs="Arial"/>
                <w:color w:val="FF0000"/>
                <w:sz w:val="21"/>
                <w:szCs w:val="21"/>
              </w:rPr>
            </w:pPr>
          </w:p>
        </w:tc>
        <w:tc>
          <w:tcPr>
            <w:tcW w:w="217" w:type="dxa"/>
          </w:tcPr>
          <w:p w14:paraId="0315C2BF" w14:textId="77777777" w:rsidR="002C0FD9" w:rsidRPr="00CA25CF" w:rsidRDefault="002C0FD9" w:rsidP="00CA25CF">
            <w:pPr>
              <w:rPr>
                <w:rFonts w:cs="Arial"/>
                <w:color w:val="FF0000"/>
                <w:sz w:val="21"/>
                <w:szCs w:val="21"/>
              </w:rPr>
            </w:pPr>
          </w:p>
        </w:tc>
        <w:tc>
          <w:tcPr>
            <w:tcW w:w="217" w:type="dxa"/>
          </w:tcPr>
          <w:p w14:paraId="74DCDDF1" w14:textId="77777777" w:rsidR="002C0FD9" w:rsidRPr="00CA25CF" w:rsidRDefault="002C0FD9" w:rsidP="00CA25CF">
            <w:pPr>
              <w:rPr>
                <w:rFonts w:cs="Arial"/>
                <w:color w:val="FF0000"/>
                <w:sz w:val="21"/>
                <w:szCs w:val="21"/>
              </w:rPr>
            </w:pPr>
          </w:p>
        </w:tc>
        <w:tc>
          <w:tcPr>
            <w:tcW w:w="217" w:type="dxa"/>
          </w:tcPr>
          <w:p w14:paraId="583B6E79" w14:textId="77777777" w:rsidR="002C0FD9" w:rsidRPr="00CA25CF" w:rsidRDefault="002C0FD9" w:rsidP="00CA25CF">
            <w:pPr>
              <w:rPr>
                <w:rFonts w:cs="Arial"/>
                <w:color w:val="FF0000"/>
                <w:sz w:val="21"/>
                <w:szCs w:val="21"/>
              </w:rPr>
            </w:pPr>
          </w:p>
        </w:tc>
      </w:tr>
      <w:tr w:rsidR="002C0FD9" w:rsidRPr="00A16219" w14:paraId="2D0AF05B" w14:textId="77777777" w:rsidTr="002C0FD9">
        <w:trPr>
          <w:trHeight w:val="635"/>
        </w:trPr>
        <w:tc>
          <w:tcPr>
            <w:tcW w:w="515" w:type="dxa"/>
          </w:tcPr>
          <w:p w14:paraId="4817EA93" w14:textId="77777777" w:rsidR="002C0FD9" w:rsidRPr="00CA25CF" w:rsidRDefault="002C0FD9" w:rsidP="00CA25CF">
            <w:pPr>
              <w:rPr>
                <w:rFonts w:cs="Arial"/>
                <w:color w:val="FF0000"/>
                <w:sz w:val="21"/>
                <w:szCs w:val="21"/>
              </w:rPr>
            </w:pPr>
          </w:p>
        </w:tc>
        <w:tc>
          <w:tcPr>
            <w:tcW w:w="217" w:type="dxa"/>
          </w:tcPr>
          <w:p w14:paraId="588EDCCC" w14:textId="77777777" w:rsidR="002C0FD9" w:rsidRPr="00CA25CF" w:rsidRDefault="002C0FD9" w:rsidP="00CA25CF">
            <w:pPr>
              <w:rPr>
                <w:rFonts w:cs="Arial"/>
                <w:color w:val="FF0000"/>
                <w:sz w:val="21"/>
                <w:szCs w:val="21"/>
              </w:rPr>
            </w:pPr>
          </w:p>
        </w:tc>
        <w:tc>
          <w:tcPr>
            <w:tcW w:w="217" w:type="dxa"/>
          </w:tcPr>
          <w:p w14:paraId="7BB95E50" w14:textId="77777777" w:rsidR="002C0FD9" w:rsidRPr="00CA25CF" w:rsidRDefault="002C0FD9" w:rsidP="00CA25CF">
            <w:pPr>
              <w:rPr>
                <w:rFonts w:cs="Arial"/>
                <w:color w:val="FF0000"/>
                <w:sz w:val="21"/>
                <w:szCs w:val="21"/>
              </w:rPr>
            </w:pPr>
          </w:p>
        </w:tc>
        <w:tc>
          <w:tcPr>
            <w:tcW w:w="217" w:type="dxa"/>
          </w:tcPr>
          <w:p w14:paraId="11642BF6" w14:textId="77777777" w:rsidR="002C0FD9" w:rsidRPr="00CA25CF" w:rsidRDefault="002C0FD9" w:rsidP="00CA25CF">
            <w:pPr>
              <w:rPr>
                <w:rFonts w:cs="Arial"/>
                <w:color w:val="FF0000"/>
                <w:sz w:val="21"/>
                <w:szCs w:val="21"/>
              </w:rPr>
            </w:pPr>
          </w:p>
        </w:tc>
        <w:tc>
          <w:tcPr>
            <w:tcW w:w="217" w:type="dxa"/>
          </w:tcPr>
          <w:p w14:paraId="4AF72A73" w14:textId="77777777" w:rsidR="002C0FD9" w:rsidRPr="00CA25CF" w:rsidRDefault="002C0FD9" w:rsidP="00CA25CF">
            <w:pPr>
              <w:rPr>
                <w:rFonts w:cs="Arial"/>
                <w:color w:val="FF0000"/>
                <w:sz w:val="21"/>
                <w:szCs w:val="21"/>
              </w:rPr>
            </w:pPr>
          </w:p>
        </w:tc>
        <w:tc>
          <w:tcPr>
            <w:tcW w:w="217" w:type="dxa"/>
          </w:tcPr>
          <w:p w14:paraId="07244C75" w14:textId="77777777" w:rsidR="002C0FD9" w:rsidRPr="00CA25CF" w:rsidRDefault="002C0FD9" w:rsidP="00CA25CF">
            <w:pPr>
              <w:rPr>
                <w:rFonts w:cs="Arial"/>
                <w:color w:val="FF0000"/>
                <w:sz w:val="21"/>
                <w:szCs w:val="21"/>
              </w:rPr>
            </w:pPr>
          </w:p>
        </w:tc>
        <w:tc>
          <w:tcPr>
            <w:tcW w:w="217" w:type="dxa"/>
          </w:tcPr>
          <w:p w14:paraId="1695CD58" w14:textId="77777777" w:rsidR="002C0FD9" w:rsidRPr="00CA25CF" w:rsidRDefault="002C0FD9" w:rsidP="00CA25CF">
            <w:pPr>
              <w:rPr>
                <w:rFonts w:cs="Arial"/>
                <w:color w:val="FF0000"/>
                <w:sz w:val="21"/>
                <w:szCs w:val="21"/>
              </w:rPr>
            </w:pPr>
          </w:p>
        </w:tc>
        <w:tc>
          <w:tcPr>
            <w:tcW w:w="217" w:type="dxa"/>
          </w:tcPr>
          <w:p w14:paraId="0BF35C39" w14:textId="77777777" w:rsidR="002C0FD9" w:rsidRPr="00CA25CF" w:rsidRDefault="002C0FD9" w:rsidP="00CA25CF">
            <w:pPr>
              <w:rPr>
                <w:rFonts w:cs="Arial"/>
                <w:color w:val="FF0000"/>
                <w:sz w:val="21"/>
                <w:szCs w:val="21"/>
              </w:rPr>
            </w:pPr>
          </w:p>
        </w:tc>
        <w:tc>
          <w:tcPr>
            <w:tcW w:w="217" w:type="dxa"/>
          </w:tcPr>
          <w:p w14:paraId="1225B37A" w14:textId="77777777" w:rsidR="002C0FD9" w:rsidRPr="00CA25CF" w:rsidRDefault="002C0FD9" w:rsidP="00CA25CF">
            <w:pPr>
              <w:rPr>
                <w:rFonts w:cs="Arial"/>
                <w:color w:val="FF0000"/>
                <w:sz w:val="21"/>
                <w:szCs w:val="21"/>
              </w:rPr>
            </w:pPr>
          </w:p>
        </w:tc>
        <w:tc>
          <w:tcPr>
            <w:tcW w:w="217" w:type="dxa"/>
          </w:tcPr>
          <w:p w14:paraId="4B630EB6" w14:textId="77777777" w:rsidR="002C0FD9" w:rsidRPr="00CA25CF" w:rsidRDefault="002C0FD9" w:rsidP="00CA25CF">
            <w:pPr>
              <w:rPr>
                <w:rFonts w:cs="Arial"/>
                <w:color w:val="FF0000"/>
                <w:sz w:val="21"/>
                <w:szCs w:val="21"/>
              </w:rPr>
            </w:pPr>
          </w:p>
        </w:tc>
        <w:tc>
          <w:tcPr>
            <w:tcW w:w="217" w:type="dxa"/>
          </w:tcPr>
          <w:p w14:paraId="32382938" w14:textId="77777777" w:rsidR="002C0FD9" w:rsidRPr="00CA25CF" w:rsidRDefault="002C0FD9" w:rsidP="00CA25CF">
            <w:pPr>
              <w:rPr>
                <w:rFonts w:cs="Arial"/>
                <w:color w:val="FF0000"/>
                <w:sz w:val="21"/>
                <w:szCs w:val="21"/>
              </w:rPr>
            </w:pPr>
          </w:p>
        </w:tc>
        <w:tc>
          <w:tcPr>
            <w:tcW w:w="217" w:type="dxa"/>
          </w:tcPr>
          <w:p w14:paraId="2F921FAA" w14:textId="77777777" w:rsidR="002C0FD9" w:rsidRPr="00CA25CF" w:rsidRDefault="002C0FD9" w:rsidP="00CA25CF">
            <w:pPr>
              <w:rPr>
                <w:rFonts w:cs="Arial"/>
                <w:color w:val="FF0000"/>
                <w:sz w:val="21"/>
                <w:szCs w:val="21"/>
              </w:rPr>
            </w:pPr>
          </w:p>
        </w:tc>
        <w:tc>
          <w:tcPr>
            <w:tcW w:w="217" w:type="dxa"/>
          </w:tcPr>
          <w:p w14:paraId="13D579D4" w14:textId="77777777" w:rsidR="002C0FD9" w:rsidRPr="00CA25CF" w:rsidRDefault="002C0FD9" w:rsidP="00CA25CF">
            <w:pPr>
              <w:rPr>
                <w:rFonts w:cs="Arial"/>
                <w:color w:val="FF0000"/>
                <w:sz w:val="21"/>
                <w:szCs w:val="21"/>
              </w:rPr>
            </w:pPr>
          </w:p>
        </w:tc>
        <w:tc>
          <w:tcPr>
            <w:tcW w:w="217" w:type="dxa"/>
          </w:tcPr>
          <w:p w14:paraId="7FAF6EE9" w14:textId="77777777" w:rsidR="002C0FD9" w:rsidRPr="00CA25CF" w:rsidRDefault="002C0FD9" w:rsidP="00CA25CF">
            <w:pPr>
              <w:rPr>
                <w:rFonts w:cs="Arial"/>
                <w:color w:val="FF0000"/>
                <w:sz w:val="21"/>
                <w:szCs w:val="21"/>
              </w:rPr>
            </w:pPr>
          </w:p>
        </w:tc>
        <w:tc>
          <w:tcPr>
            <w:tcW w:w="217" w:type="dxa"/>
          </w:tcPr>
          <w:p w14:paraId="083EE9FE" w14:textId="77777777" w:rsidR="002C0FD9" w:rsidRPr="00CA25CF" w:rsidRDefault="002C0FD9" w:rsidP="00CA25CF">
            <w:pPr>
              <w:rPr>
                <w:rFonts w:cs="Arial"/>
                <w:color w:val="FF0000"/>
                <w:sz w:val="21"/>
                <w:szCs w:val="21"/>
              </w:rPr>
            </w:pPr>
          </w:p>
        </w:tc>
        <w:tc>
          <w:tcPr>
            <w:tcW w:w="217" w:type="dxa"/>
          </w:tcPr>
          <w:p w14:paraId="70A366CC" w14:textId="77777777" w:rsidR="002C0FD9" w:rsidRPr="00CA25CF" w:rsidRDefault="002C0FD9" w:rsidP="00CA25CF">
            <w:pPr>
              <w:rPr>
                <w:rFonts w:cs="Arial"/>
                <w:color w:val="FF0000"/>
                <w:sz w:val="21"/>
                <w:szCs w:val="21"/>
              </w:rPr>
            </w:pPr>
          </w:p>
        </w:tc>
        <w:tc>
          <w:tcPr>
            <w:tcW w:w="217" w:type="dxa"/>
          </w:tcPr>
          <w:p w14:paraId="47ABA2C9" w14:textId="77777777" w:rsidR="002C0FD9" w:rsidRPr="00CA25CF" w:rsidRDefault="002C0FD9" w:rsidP="00CA25CF">
            <w:pPr>
              <w:rPr>
                <w:rFonts w:cs="Arial"/>
                <w:color w:val="FF0000"/>
                <w:sz w:val="21"/>
                <w:szCs w:val="21"/>
              </w:rPr>
            </w:pPr>
          </w:p>
        </w:tc>
        <w:tc>
          <w:tcPr>
            <w:tcW w:w="217" w:type="dxa"/>
          </w:tcPr>
          <w:p w14:paraId="1E90CA78" w14:textId="77777777" w:rsidR="002C0FD9" w:rsidRPr="00CA25CF" w:rsidRDefault="002C0FD9" w:rsidP="00CA25CF">
            <w:pPr>
              <w:rPr>
                <w:rFonts w:cs="Arial"/>
                <w:color w:val="FF0000"/>
                <w:sz w:val="21"/>
                <w:szCs w:val="21"/>
              </w:rPr>
            </w:pPr>
          </w:p>
        </w:tc>
        <w:tc>
          <w:tcPr>
            <w:tcW w:w="217" w:type="dxa"/>
          </w:tcPr>
          <w:p w14:paraId="33B42214" w14:textId="77777777" w:rsidR="002C0FD9" w:rsidRPr="00CA25CF" w:rsidRDefault="002C0FD9" w:rsidP="00CA25CF">
            <w:pPr>
              <w:rPr>
                <w:rFonts w:cs="Arial"/>
                <w:color w:val="FF0000"/>
                <w:sz w:val="21"/>
                <w:szCs w:val="21"/>
              </w:rPr>
            </w:pPr>
          </w:p>
        </w:tc>
        <w:tc>
          <w:tcPr>
            <w:tcW w:w="217" w:type="dxa"/>
          </w:tcPr>
          <w:p w14:paraId="208C33DB" w14:textId="77777777" w:rsidR="002C0FD9" w:rsidRPr="00CA25CF" w:rsidRDefault="002C0FD9" w:rsidP="00CA25CF">
            <w:pPr>
              <w:rPr>
                <w:rFonts w:cs="Arial"/>
                <w:color w:val="FF0000"/>
                <w:sz w:val="21"/>
                <w:szCs w:val="21"/>
              </w:rPr>
            </w:pPr>
          </w:p>
        </w:tc>
        <w:tc>
          <w:tcPr>
            <w:tcW w:w="217" w:type="dxa"/>
          </w:tcPr>
          <w:p w14:paraId="3DAE2330" w14:textId="77777777" w:rsidR="002C0FD9" w:rsidRPr="00CA25CF" w:rsidRDefault="002C0FD9" w:rsidP="00CA25CF">
            <w:pPr>
              <w:rPr>
                <w:rFonts w:cs="Arial"/>
                <w:color w:val="FF0000"/>
                <w:sz w:val="21"/>
                <w:szCs w:val="21"/>
              </w:rPr>
            </w:pPr>
          </w:p>
        </w:tc>
        <w:tc>
          <w:tcPr>
            <w:tcW w:w="217" w:type="dxa"/>
          </w:tcPr>
          <w:p w14:paraId="5C88BEFA" w14:textId="77777777" w:rsidR="002C0FD9" w:rsidRPr="00CA25CF" w:rsidRDefault="002C0FD9" w:rsidP="00CA25CF">
            <w:pPr>
              <w:rPr>
                <w:rFonts w:cs="Arial"/>
                <w:color w:val="FF0000"/>
                <w:sz w:val="21"/>
                <w:szCs w:val="21"/>
              </w:rPr>
            </w:pPr>
          </w:p>
        </w:tc>
        <w:tc>
          <w:tcPr>
            <w:tcW w:w="217" w:type="dxa"/>
          </w:tcPr>
          <w:p w14:paraId="05137529" w14:textId="77777777" w:rsidR="002C0FD9" w:rsidRPr="00CA25CF" w:rsidRDefault="002C0FD9" w:rsidP="00CA25CF">
            <w:pPr>
              <w:rPr>
                <w:rFonts w:cs="Arial"/>
                <w:color w:val="FF0000"/>
                <w:sz w:val="21"/>
                <w:szCs w:val="21"/>
              </w:rPr>
            </w:pPr>
          </w:p>
        </w:tc>
        <w:tc>
          <w:tcPr>
            <w:tcW w:w="217" w:type="dxa"/>
          </w:tcPr>
          <w:p w14:paraId="56824E6E" w14:textId="77777777" w:rsidR="002C0FD9" w:rsidRPr="00CA25CF" w:rsidRDefault="002C0FD9" w:rsidP="00CA25CF">
            <w:pPr>
              <w:rPr>
                <w:rFonts w:cs="Arial"/>
                <w:color w:val="FF0000"/>
                <w:sz w:val="21"/>
                <w:szCs w:val="21"/>
              </w:rPr>
            </w:pPr>
          </w:p>
        </w:tc>
        <w:tc>
          <w:tcPr>
            <w:tcW w:w="217" w:type="dxa"/>
          </w:tcPr>
          <w:p w14:paraId="6007B610" w14:textId="77777777" w:rsidR="002C0FD9" w:rsidRPr="00CA25CF" w:rsidRDefault="002C0FD9" w:rsidP="00CA25CF">
            <w:pPr>
              <w:rPr>
                <w:rFonts w:cs="Arial"/>
                <w:color w:val="FF0000"/>
                <w:sz w:val="21"/>
                <w:szCs w:val="21"/>
              </w:rPr>
            </w:pPr>
          </w:p>
        </w:tc>
        <w:tc>
          <w:tcPr>
            <w:tcW w:w="217" w:type="dxa"/>
          </w:tcPr>
          <w:p w14:paraId="22E0776E" w14:textId="77777777" w:rsidR="002C0FD9" w:rsidRPr="00CA25CF" w:rsidRDefault="002C0FD9" w:rsidP="00CA25CF">
            <w:pPr>
              <w:rPr>
                <w:rFonts w:cs="Arial"/>
                <w:color w:val="FF0000"/>
                <w:sz w:val="21"/>
                <w:szCs w:val="21"/>
              </w:rPr>
            </w:pPr>
          </w:p>
        </w:tc>
        <w:tc>
          <w:tcPr>
            <w:tcW w:w="217" w:type="dxa"/>
          </w:tcPr>
          <w:p w14:paraId="185274DB" w14:textId="77777777" w:rsidR="002C0FD9" w:rsidRPr="00CA25CF" w:rsidRDefault="002C0FD9" w:rsidP="00CA25CF">
            <w:pPr>
              <w:rPr>
                <w:rFonts w:cs="Arial"/>
                <w:color w:val="FF0000"/>
                <w:sz w:val="21"/>
                <w:szCs w:val="21"/>
              </w:rPr>
            </w:pPr>
          </w:p>
        </w:tc>
        <w:tc>
          <w:tcPr>
            <w:tcW w:w="217" w:type="dxa"/>
          </w:tcPr>
          <w:p w14:paraId="2E59AA62" w14:textId="77777777" w:rsidR="002C0FD9" w:rsidRPr="00CA25CF" w:rsidRDefault="002C0FD9" w:rsidP="00CA25CF">
            <w:pPr>
              <w:rPr>
                <w:rFonts w:cs="Arial"/>
                <w:color w:val="FF0000"/>
                <w:sz w:val="21"/>
                <w:szCs w:val="21"/>
              </w:rPr>
            </w:pPr>
          </w:p>
        </w:tc>
        <w:tc>
          <w:tcPr>
            <w:tcW w:w="217" w:type="dxa"/>
          </w:tcPr>
          <w:p w14:paraId="40EA4D9D" w14:textId="77777777" w:rsidR="002C0FD9" w:rsidRPr="00CA25CF" w:rsidRDefault="002C0FD9" w:rsidP="00CA25CF">
            <w:pPr>
              <w:rPr>
                <w:rFonts w:cs="Arial"/>
                <w:color w:val="FF0000"/>
                <w:sz w:val="21"/>
                <w:szCs w:val="21"/>
              </w:rPr>
            </w:pPr>
          </w:p>
        </w:tc>
        <w:tc>
          <w:tcPr>
            <w:tcW w:w="217" w:type="dxa"/>
          </w:tcPr>
          <w:p w14:paraId="77B05BF8" w14:textId="77777777" w:rsidR="002C0FD9" w:rsidRPr="00CA25CF" w:rsidRDefault="002C0FD9" w:rsidP="00CA25CF">
            <w:pPr>
              <w:rPr>
                <w:rFonts w:cs="Arial"/>
                <w:color w:val="FF0000"/>
                <w:sz w:val="21"/>
                <w:szCs w:val="21"/>
              </w:rPr>
            </w:pPr>
          </w:p>
        </w:tc>
        <w:tc>
          <w:tcPr>
            <w:tcW w:w="217" w:type="dxa"/>
          </w:tcPr>
          <w:p w14:paraId="43C5346D" w14:textId="77777777" w:rsidR="002C0FD9" w:rsidRPr="00CA25CF" w:rsidRDefault="002C0FD9" w:rsidP="00CA25CF">
            <w:pPr>
              <w:rPr>
                <w:rFonts w:cs="Arial"/>
                <w:color w:val="FF0000"/>
                <w:sz w:val="21"/>
                <w:szCs w:val="21"/>
              </w:rPr>
            </w:pPr>
          </w:p>
        </w:tc>
        <w:tc>
          <w:tcPr>
            <w:tcW w:w="217" w:type="dxa"/>
          </w:tcPr>
          <w:p w14:paraId="7F7912AF" w14:textId="77777777" w:rsidR="002C0FD9" w:rsidRPr="00CA25CF" w:rsidRDefault="002C0FD9" w:rsidP="00CA25CF">
            <w:pPr>
              <w:rPr>
                <w:rFonts w:cs="Arial"/>
                <w:color w:val="FF0000"/>
                <w:sz w:val="21"/>
                <w:szCs w:val="21"/>
              </w:rPr>
            </w:pPr>
          </w:p>
        </w:tc>
        <w:tc>
          <w:tcPr>
            <w:tcW w:w="217" w:type="dxa"/>
          </w:tcPr>
          <w:p w14:paraId="62CEC2A7" w14:textId="77777777" w:rsidR="002C0FD9" w:rsidRPr="00CA25CF" w:rsidRDefault="002C0FD9" w:rsidP="00CA25CF">
            <w:pPr>
              <w:rPr>
                <w:rFonts w:cs="Arial"/>
                <w:color w:val="FF0000"/>
                <w:sz w:val="21"/>
                <w:szCs w:val="21"/>
              </w:rPr>
            </w:pPr>
          </w:p>
        </w:tc>
        <w:tc>
          <w:tcPr>
            <w:tcW w:w="217" w:type="dxa"/>
          </w:tcPr>
          <w:p w14:paraId="310E5CE8" w14:textId="77777777" w:rsidR="002C0FD9" w:rsidRPr="00CA25CF" w:rsidRDefault="002C0FD9" w:rsidP="00CA25CF">
            <w:pPr>
              <w:rPr>
                <w:rFonts w:cs="Arial"/>
                <w:color w:val="FF0000"/>
                <w:sz w:val="21"/>
                <w:szCs w:val="21"/>
              </w:rPr>
            </w:pPr>
          </w:p>
        </w:tc>
        <w:tc>
          <w:tcPr>
            <w:tcW w:w="217" w:type="dxa"/>
          </w:tcPr>
          <w:p w14:paraId="0F0EFAC3" w14:textId="77777777" w:rsidR="002C0FD9" w:rsidRPr="00CA25CF" w:rsidRDefault="002C0FD9" w:rsidP="00CA25CF">
            <w:pPr>
              <w:rPr>
                <w:rFonts w:cs="Arial"/>
                <w:color w:val="FF0000"/>
                <w:sz w:val="21"/>
                <w:szCs w:val="21"/>
              </w:rPr>
            </w:pPr>
          </w:p>
        </w:tc>
        <w:tc>
          <w:tcPr>
            <w:tcW w:w="217" w:type="dxa"/>
          </w:tcPr>
          <w:p w14:paraId="4CB6D372" w14:textId="77777777" w:rsidR="002C0FD9" w:rsidRPr="00CA25CF" w:rsidRDefault="002C0FD9" w:rsidP="00CA25CF">
            <w:pPr>
              <w:rPr>
                <w:rFonts w:cs="Arial"/>
                <w:color w:val="FF0000"/>
                <w:sz w:val="21"/>
                <w:szCs w:val="21"/>
              </w:rPr>
            </w:pPr>
          </w:p>
        </w:tc>
        <w:tc>
          <w:tcPr>
            <w:tcW w:w="217" w:type="dxa"/>
          </w:tcPr>
          <w:p w14:paraId="1CDA96A1" w14:textId="77777777" w:rsidR="002C0FD9" w:rsidRPr="00CA25CF" w:rsidRDefault="002C0FD9" w:rsidP="00CA25CF">
            <w:pPr>
              <w:rPr>
                <w:rFonts w:cs="Arial"/>
                <w:color w:val="FF0000"/>
                <w:sz w:val="21"/>
                <w:szCs w:val="21"/>
              </w:rPr>
            </w:pPr>
          </w:p>
        </w:tc>
        <w:tc>
          <w:tcPr>
            <w:tcW w:w="217" w:type="dxa"/>
          </w:tcPr>
          <w:p w14:paraId="08D16CA4" w14:textId="77777777" w:rsidR="002C0FD9" w:rsidRPr="00CA25CF" w:rsidRDefault="002C0FD9" w:rsidP="00CA25CF">
            <w:pPr>
              <w:rPr>
                <w:rFonts w:cs="Arial"/>
                <w:color w:val="FF0000"/>
                <w:sz w:val="21"/>
                <w:szCs w:val="21"/>
              </w:rPr>
            </w:pPr>
          </w:p>
        </w:tc>
        <w:tc>
          <w:tcPr>
            <w:tcW w:w="217" w:type="dxa"/>
          </w:tcPr>
          <w:p w14:paraId="6541945C" w14:textId="77777777" w:rsidR="002C0FD9" w:rsidRPr="00CA25CF" w:rsidRDefault="002C0FD9" w:rsidP="00CA25CF">
            <w:pPr>
              <w:rPr>
                <w:rFonts w:cs="Arial"/>
                <w:color w:val="FF0000"/>
                <w:sz w:val="21"/>
                <w:szCs w:val="21"/>
              </w:rPr>
            </w:pPr>
          </w:p>
        </w:tc>
        <w:tc>
          <w:tcPr>
            <w:tcW w:w="217" w:type="dxa"/>
          </w:tcPr>
          <w:p w14:paraId="1FE583E3" w14:textId="77777777" w:rsidR="002C0FD9" w:rsidRPr="00CA25CF" w:rsidRDefault="002C0FD9" w:rsidP="00CA25CF">
            <w:pPr>
              <w:rPr>
                <w:rFonts w:cs="Arial"/>
                <w:color w:val="FF0000"/>
                <w:sz w:val="21"/>
                <w:szCs w:val="21"/>
              </w:rPr>
            </w:pPr>
          </w:p>
        </w:tc>
        <w:tc>
          <w:tcPr>
            <w:tcW w:w="217" w:type="dxa"/>
          </w:tcPr>
          <w:p w14:paraId="4301559C" w14:textId="77777777" w:rsidR="002C0FD9" w:rsidRPr="00CA25CF" w:rsidRDefault="002C0FD9" w:rsidP="00CA25CF">
            <w:pPr>
              <w:rPr>
                <w:rFonts w:cs="Arial"/>
                <w:color w:val="FF0000"/>
                <w:sz w:val="21"/>
                <w:szCs w:val="21"/>
              </w:rPr>
            </w:pPr>
          </w:p>
        </w:tc>
        <w:tc>
          <w:tcPr>
            <w:tcW w:w="217" w:type="dxa"/>
          </w:tcPr>
          <w:p w14:paraId="253E19B7" w14:textId="77777777" w:rsidR="002C0FD9" w:rsidRPr="00CA25CF" w:rsidRDefault="002C0FD9" w:rsidP="00CA25CF">
            <w:pPr>
              <w:rPr>
                <w:rFonts w:cs="Arial"/>
                <w:color w:val="FF0000"/>
                <w:sz w:val="21"/>
                <w:szCs w:val="21"/>
              </w:rPr>
            </w:pPr>
          </w:p>
        </w:tc>
        <w:tc>
          <w:tcPr>
            <w:tcW w:w="217" w:type="dxa"/>
          </w:tcPr>
          <w:p w14:paraId="5A6D455D" w14:textId="77777777" w:rsidR="002C0FD9" w:rsidRPr="00CA25CF" w:rsidRDefault="002C0FD9" w:rsidP="00CA25CF">
            <w:pPr>
              <w:rPr>
                <w:rFonts w:cs="Arial"/>
                <w:color w:val="FF0000"/>
                <w:sz w:val="21"/>
                <w:szCs w:val="21"/>
              </w:rPr>
            </w:pPr>
          </w:p>
        </w:tc>
      </w:tr>
      <w:tr w:rsidR="002C0FD9" w:rsidRPr="00A16219" w14:paraId="37F78FA4" w14:textId="77777777" w:rsidTr="002C0FD9">
        <w:trPr>
          <w:trHeight w:val="635"/>
        </w:trPr>
        <w:tc>
          <w:tcPr>
            <w:tcW w:w="515" w:type="dxa"/>
          </w:tcPr>
          <w:p w14:paraId="17B3984C" w14:textId="77777777" w:rsidR="002C0FD9" w:rsidRPr="00CA25CF" w:rsidRDefault="002C0FD9" w:rsidP="00CA25CF">
            <w:pPr>
              <w:rPr>
                <w:rFonts w:cs="Arial"/>
                <w:color w:val="FF0000"/>
                <w:sz w:val="21"/>
                <w:szCs w:val="21"/>
              </w:rPr>
            </w:pPr>
          </w:p>
        </w:tc>
        <w:tc>
          <w:tcPr>
            <w:tcW w:w="217" w:type="dxa"/>
          </w:tcPr>
          <w:p w14:paraId="5FE648CA" w14:textId="77777777" w:rsidR="002C0FD9" w:rsidRPr="00CA25CF" w:rsidRDefault="002C0FD9" w:rsidP="00CA25CF">
            <w:pPr>
              <w:rPr>
                <w:rFonts w:cs="Arial"/>
                <w:color w:val="FF0000"/>
                <w:sz w:val="21"/>
                <w:szCs w:val="21"/>
              </w:rPr>
            </w:pPr>
          </w:p>
        </w:tc>
        <w:tc>
          <w:tcPr>
            <w:tcW w:w="217" w:type="dxa"/>
          </w:tcPr>
          <w:p w14:paraId="20835B88" w14:textId="77777777" w:rsidR="002C0FD9" w:rsidRPr="00CA25CF" w:rsidRDefault="002C0FD9" w:rsidP="00CA25CF">
            <w:pPr>
              <w:rPr>
                <w:rFonts w:cs="Arial"/>
                <w:color w:val="FF0000"/>
                <w:sz w:val="21"/>
                <w:szCs w:val="21"/>
              </w:rPr>
            </w:pPr>
          </w:p>
        </w:tc>
        <w:tc>
          <w:tcPr>
            <w:tcW w:w="217" w:type="dxa"/>
          </w:tcPr>
          <w:p w14:paraId="6A5B2454" w14:textId="77777777" w:rsidR="002C0FD9" w:rsidRPr="00CA25CF" w:rsidRDefault="002C0FD9" w:rsidP="00CA25CF">
            <w:pPr>
              <w:rPr>
                <w:rFonts w:cs="Arial"/>
                <w:color w:val="FF0000"/>
                <w:sz w:val="21"/>
                <w:szCs w:val="21"/>
              </w:rPr>
            </w:pPr>
          </w:p>
        </w:tc>
        <w:tc>
          <w:tcPr>
            <w:tcW w:w="217" w:type="dxa"/>
          </w:tcPr>
          <w:p w14:paraId="458DA5FF" w14:textId="77777777" w:rsidR="002C0FD9" w:rsidRPr="00CA25CF" w:rsidRDefault="002C0FD9" w:rsidP="00CA25CF">
            <w:pPr>
              <w:rPr>
                <w:rFonts w:cs="Arial"/>
                <w:color w:val="FF0000"/>
                <w:sz w:val="21"/>
                <w:szCs w:val="21"/>
              </w:rPr>
            </w:pPr>
          </w:p>
        </w:tc>
        <w:tc>
          <w:tcPr>
            <w:tcW w:w="217" w:type="dxa"/>
          </w:tcPr>
          <w:p w14:paraId="66260EA9" w14:textId="77777777" w:rsidR="002C0FD9" w:rsidRPr="00CA25CF" w:rsidRDefault="002C0FD9" w:rsidP="00CA25CF">
            <w:pPr>
              <w:rPr>
                <w:rFonts w:cs="Arial"/>
                <w:color w:val="FF0000"/>
                <w:sz w:val="21"/>
                <w:szCs w:val="21"/>
              </w:rPr>
            </w:pPr>
          </w:p>
        </w:tc>
        <w:tc>
          <w:tcPr>
            <w:tcW w:w="217" w:type="dxa"/>
          </w:tcPr>
          <w:p w14:paraId="5D0D603B" w14:textId="77777777" w:rsidR="002C0FD9" w:rsidRPr="00CA25CF" w:rsidRDefault="002C0FD9" w:rsidP="00CA25CF">
            <w:pPr>
              <w:rPr>
                <w:rFonts w:cs="Arial"/>
                <w:color w:val="FF0000"/>
                <w:sz w:val="21"/>
                <w:szCs w:val="21"/>
              </w:rPr>
            </w:pPr>
          </w:p>
        </w:tc>
        <w:tc>
          <w:tcPr>
            <w:tcW w:w="217" w:type="dxa"/>
          </w:tcPr>
          <w:p w14:paraId="6531946B" w14:textId="77777777" w:rsidR="002C0FD9" w:rsidRPr="00CA25CF" w:rsidRDefault="002C0FD9" w:rsidP="00CA25CF">
            <w:pPr>
              <w:rPr>
                <w:rFonts w:cs="Arial"/>
                <w:color w:val="FF0000"/>
                <w:sz w:val="21"/>
                <w:szCs w:val="21"/>
              </w:rPr>
            </w:pPr>
          </w:p>
        </w:tc>
        <w:tc>
          <w:tcPr>
            <w:tcW w:w="217" w:type="dxa"/>
          </w:tcPr>
          <w:p w14:paraId="3A17B6AC" w14:textId="77777777" w:rsidR="002C0FD9" w:rsidRPr="00CA25CF" w:rsidRDefault="002C0FD9" w:rsidP="00CA25CF">
            <w:pPr>
              <w:rPr>
                <w:rFonts w:cs="Arial"/>
                <w:color w:val="FF0000"/>
                <w:sz w:val="21"/>
                <w:szCs w:val="21"/>
              </w:rPr>
            </w:pPr>
          </w:p>
        </w:tc>
        <w:tc>
          <w:tcPr>
            <w:tcW w:w="217" w:type="dxa"/>
          </w:tcPr>
          <w:p w14:paraId="3AC7AA3E" w14:textId="77777777" w:rsidR="002C0FD9" w:rsidRPr="00CA25CF" w:rsidRDefault="002C0FD9" w:rsidP="00CA25CF">
            <w:pPr>
              <w:rPr>
                <w:rFonts w:cs="Arial"/>
                <w:color w:val="FF0000"/>
                <w:sz w:val="21"/>
                <w:szCs w:val="21"/>
              </w:rPr>
            </w:pPr>
          </w:p>
        </w:tc>
        <w:tc>
          <w:tcPr>
            <w:tcW w:w="217" w:type="dxa"/>
          </w:tcPr>
          <w:p w14:paraId="18DAEA7C" w14:textId="77777777" w:rsidR="002C0FD9" w:rsidRPr="00CA25CF" w:rsidRDefault="002C0FD9" w:rsidP="00CA25CF">
            <w:pPr>
              <w:rPr>
                <w:rFonts w:cs="Arial"/>
                <w:color w:val="FF0000"/>
                <w:sz w:val="21"/>
                <w:szCs w:val="21"/>
              </w:rPr>
            </w:pPr>
          </w:p>
        </w:tc>
        <w:tc>
          <w:tcPr>
            <w:tcW w:w="217" w:type="dxa"/>
          </w:tcPr>
          <w:p w14:paraId="21626859" w14:textId="77777777" w:rsidR="002C0FD9" w:rsidRPr="00CA25CF" w:rsidRDefault="002C0FD9" w:rsidP="00CA25CF">
            <w:pPr>
              <w:rPr>
                <w:rFonts w:cs="Arial"/>
                <w:color w:val="FF0000"/>
                <w:sz w:val="21"/>
                <w:szCs w:val="21"/>
              </w:rPr>
            </w:pPr>
          </w:p>
        </w:tc>
        <w:tc>
          <w:tcPr>
            <w:tcW w:w="217" w:type="dxa"/>
          </w:tcPr>
          <w:p w14:paraId="5749D4E1" w14:textId="77777777" w:rsidR="002C0FD9" w:rsidRPr="00CA25CF" w:rsidRDefault="002C0FD9" w:rsidP="00CA25CF">
            <w:pPr>
              <w:rPr>
                <w:rFonts w:cs="Arial"/>
                <w:color w:val="FF0000"/>
                <w:sz w:val="21"/>
                <w:szCs w:val="21"/>
              </w:rPr>
            </w:pPr>
          </w:p>
        </w:tc>
        <w:tc>
          <w:tcPr>
            <w:tcW w:w="217" w:type="dxa"/>
          </w:tcPr>
          <w:p w14:paraId="46789E92" w14:textId="77777777" w:rsidR="002C0FD9" w:rsidRPr="00CA25CF" w:rsidRDefault="002C0FD9" w:rsidP="00CA25CF">
            <w:pPr>
              <w:rPr>
                <w:rFonts w:cs="Arial"/>
                <w:color w:val="FF0000"/>
                <w:sz w:val="21"/>
                <w:szCs w:val="21"/>
              </w:rPr>
            </w:pPr>
          </w:p>
        </w:tc>
        <w:tc>
          <w:tcPr>
            <w:tcW w:w="217" w:type="dxa"/>
          </w:tcPr>
          <w:p w14:paraId="1C6810EC" w14:textId="77777777" w:rsidR="002C0FD9" w:rsidRPr="00CA25CF" w:rsidRDefault="002C0FD9" w:rsidP="00CA25CF">
            <w:pPr>
              <w:rPr>
                <w:rFonts w:cs="Arial"/>
                <w:color w:val="FF0000"/>
                <w:sz w:val="21"/>
                <w:szCs w:val="21"/>
              </w:rPr>
            </w:pPr>
          </w:p>
        </w:tc>
        <w:tc>
          <w:tcPr>
            <w:tcW w:w="217" w:type="dxa"/>
          </w:tcPr>
          <w:p w14:paraId="5F5DE4F4" w14:textId="77777777" w:rsidR="002C0FD9" w:rsidRPr="00CA25CF" w:rsidRDefault="002C0FD9" w:rsidP="00CA25CF">
            <w:pPr>
              <w:rPr>
                <w:rFonts w:cs="Arial"/>
                <w:color w:val="FF0000"/>
                <w:sz w:val="21"/>
                <w:szCs w:val="21"/>
              </w:rPr>
            </w:pPr>
          </w:p>
        </w:tc>
        <w:tc>
          <w:tcPr>
            <w:tcW w:w="217" w:type="dxa"/>
          </w:tcPr>
          <w:p w14:paraId="30255FD3" w14:textId="77777777" w:rsidR="002C0FD9" w:rsidRPr="00CA25CF" w:rsidRDefault="002C0FD9" w:rsidP="00CA25CF">
            <w:pPr>
              <w:rPr>
                <w:rFonts w:cs="Arial"/>
                <w:color w:val="FF0000"/>
                <w:sz w:val="21"/>
                <w:szCs w:val="21"/>
              </w:rPr>
            </w:pPr>
          </w:p>
        </w:tc>
        <w:tc>
          <w:tcPr>
            <w:tcW w:w="217" w:type="dxa"/>
          </w:tcPr>
          <w:p w14:paraId="24D9ECCF" w14:textId="77777777" w:rsidR="002C0FD9" w:rsidRPr="00CA25CF" w:rsidRDefault="002C0FD9" w:rsidP="00CA25CF">
            <w:pPr>
              <w:rPr>
                <w:rFonts w:cs="Arial"/>
                <w:color w:val="FF0000"/>
                <w:sz w:val="21"/>
                <w:szCs w:val="21"/>
              </w:rPr>
            </w:pPr>
          </w:p>
        </w:tc>
        <w:tc>
          <w:tcPr>
            <w:tcW w:w="217" w:type="dxa"/>
          </w:tcPr>
          <w:p w14:paraId="575E7BCB" w14:textId="77777777" w:rsidR="002C0FD9" w:rsidRPr="00CA25CF" w:rsidRDefault="002C0FD9" w:rsidP="00CA25CF">
            <w:pPr>
              <w:rPr>
                <w:rFonts w:cs="Arial"/>
                <w:color w:val="FF0000"/>
                <w:sz w:val="21"/>
                <w:szCs w:val="21"/>
              </w:rPr>
            </w:pPr>
          </w:p>
        </w:tc>
        <w:tc>
          <w:tcPr>
            <w:tcW w:w="217" w:type="dxa"/>
          </w:tcPr>
          <w:p w14:paraId="5EBFF63B" w14:textId="77777777" w:rsidR="002C0FD9" w:rsidRPr="00CA25CF" w:rsidRDefault="002C0FD9" w:rsidP="00CA25CF">
            <w:pPr>
              <w:rPr>
                <w:rFonts w:cs="Arial"/>
                <w:color w:val="FF0000"/>
                <w:sz w:val="21"/>
                <w:szCs w:val="21"/>
              </w:rPr>
            </w:pPr>
          </w:p>
        </w:tc>
        <w:tc>
          <w:tcPr>
            <w:tcW w:w="217" w:type="dxa"/>
          </w:tcPr>
          <w:p w14:paraId="05562D53" w14:textId="77777777" w:rsidR="002C0FD9" w:rsidRPr="00CA25CF" w:rsidRDefault="002C0FD9" w:rsidP="00CA25CF">
            <w:pPr>
              <w:rPr>
                <w:rFonts w:cs="Arial"/>
                <w:color w:val="FF0000"/>
                <w:sz w:val="21"/>
                <w:szCs w:val="21"/>
              </w:rPr>
            </w:pPr>
          </w:p>
        </w:tc>
        <w:tc>
          <w:tcPr>
            <w:tcW w:w="217" w:type="dxa"/>
          </w:tcPr>
          <w:p w14:paraId="56156E3E" w14:textId="77777777" w:rsidR="002C0FD9" w:rsidRPr="00CA25CF" w:rsidRDefault="002C0FD9" w:rsidP="00CA25CF">
            <w:pPr>
              <w:rPr>
                <w:rFonts w:cs="Arial"/>
                <w:color w:val="FF0000"/>
                <w:sz w:val="21"/>
                <w:szCs w:val="21"/>
              </w:rPr>
            </w:pPr>
          </w:p>
        </w:tc>
        <w:tc>
          <w:tcPr>
            <w:tcW w:w="217" w:type="dxa"/>
          </w:tcPr>
          <w:p w14:paraId="0F3316FE" w14:textId="77777777" w:rsidR="002C0FD9" w:rsidRPr="00CA25CF" w:rsidRDefault="002C0FD9" w:rsidP="00CA25CF">
            <w:pPr>
              <w:rPr>
                <w:rFonts w:cs="Arial"/>
                <w:color w:val="FF0000"/>
                <w:sz w:val="21"/>
                <w:szCs w:val="21"/>
              </w:rPr>
            </w:pPr>
          </w:p>
        </w:tc>
        <w:tc>
          <w:tcPr>
            <w:tcW w:w="217" w:type="dxa"/>
          </w:tcPr>
          <w:p w14:paraId="3605D947" w14:textId="77777777" w:rsidR="002C0FD9" w:rsidRPr="00CA25CF" w:rsidRDefault="002C0FD9" w:rsidP="00CA25CF">
            <w:pPr>
              <w:rPr>
                <w:rFonts w:cs="Arial"/>
                <w:color w:val="FF0000"/>
                <w:sz w:val="21"/>
                <w:szCs w:val="21"/>
              </w:rPr>
            </w:pPr>
          </w:p>
        </w:tc>
        <w:tc>
          <w:tcPr>
            <w:tcW w:w="217" w:type="dxa"/>
          </w:tcPr>
          <w:p w14:paraId="196D4BD1" w14:textId="77777777" w:rsidR="002C0FD9" w:rsidRPr="00CA25CF" w:rsidRDefault="002C0FD9" w:rsidP="00CA25CF">
            <w:pPr>
              <w:rPr>
                <w:rFonts w:cs="Arial"/>
                <w:color w:val="FF0000"/>
                <w:sz w:val="21"/>
                <w:szCs w:val="21"/>
              </w:rPr>
            </w:pPr>
          </w:p>
        </w:tc>
        <w:tc>
          <w:tcPr>
            <w:tcW w:w="217" w:type="dxa"/>
          </w:tcPr>
          <w:p w14:paraId="11024E4C" w14:textId="77777777" w:rsidR="002C0FD9" w:rsidRPr="00CA25CF" w:rsidRDefault="002C0FD9" w:rsidP="00CA25CF">
            <w:pPr>
              <w:rPr>
                <w:rFonts w:cs="Arial"/>
                <w:color w:val="FF0000"/>
                <w:sz w:val="21"/>
                <w:szCs w:val="21"/>
              </w:rPr>
            </w:pPr>
          </w:p>
        </w:tc>
        <w:tc>
          <w:tcPr>
            <w:tcW w:w="217" w:type="dxa"/>
          </w:tcPr>
          <w:p w14:paraId="20826405" w14:textId="77777777" w:rsidR="002C0FD9" w:rsidRPr="00CA25CF" w:rsidRDefault="002C0FD9" w:rsidP="00CA25CF">
            <w:pPr>
              <w:rPr>
                <w:rFonts w:cs="Arial"/>
                <w:color w:val="FF0000"/>
                <w:sz w:val="21"/>
                <w:szCs w:val="21"/>
              </w:rPr>
            </w:pPr>
          </w:p>
        </w:tc>
        <w:tc>
          <w:tcPr>
            <w:tcW w:w="217" w:type="dxa"/>
          </w:tcPr>
          <w:p w14:paraId="4543E650" w14:textId="77777777" w:rsidR="002C0FD9" w:rsidRPr="00CA25CF" w:rsidRDefault="002C0FD9" w:rsidP="00CA25CF">
            <w:pPr>
              <w:rPr>
                <w:rFonts w:cs="Arial"/>
                <w:color w:val="FF0000"/>
                <w:sz w:val="21"/>
                <w:szCs w:val="21"/>
              </w:rPr>
            </w:pPr>
          </w:p>
        </w:tc>
        <w:tc>
          <w:tcPr>
            <w:tcW w:w="217" w:type="dxa"/>
          </w:tcPr>
          <w:p w14:paraId="58E76460" w14:textId="77777777" w:rsidR="002C0FD9" w:rsidRPr="00CA25CF" w:rsidRDefault="002C0FD9" w:rsidP="00CA25CF">
            <w:pPr>
              <w:rPr>
                <w:rFonts w:cs="Arial"/>
                <w:color w:val="FF0000"/>
                <w:sz w:val="21"/>
                <w:szCs w:val="21"/>
              </w:rPr>
            </w:pPr>
          </w:p>
        </w:tc>
        <w:tc>
          <w:tcPr>
            <w:tcW w:w="217" w:type="dxa"/>
          </w:tcPr>
          <w:p w14:paraId="4002A47F" w14:textId="77777777" w:rsidR="002C0FD9" w:rsidRPr="00CA25CF" w:rsidRDefault="002C0FD9" w:rsidP="00CA25CF">
            <w:pPr>
              <w:rPr>
                <w:rFonts w:cs="Arial"/>
                <w:color w:val="FF0000"/>
                <w:sz w:val="21"/>
                <w:szCs w:val="21"/>
              </w:rPr>
            </w:pPr>
          </w:p>
        </w:tc>
        <w:tc>
          <w:tcPr>
            <w:tcW w:w="217" w:type="dxa"/>
          </w:tcPr>
          <w:p w14:paraId="406D6C03" w14:textId="77777777" w:rsidR="002C0FD9" w:rsidRPr="00CA25CF" w:rsidRDefault="002C0FD9" w:rsidP="00CA25CF">
            <w:pPr>
              <w:rPr>
                <w:rFonts w:cs="Arial"/>
                <w:color w:val="FF0000"/>
                <w:sz w:val="21"/>
                <w:szCs w:val="21"/>
              </w:rPr>
            </w:pPr>
          </w:p>
        </w:tc>
        <w:tc>
          <w:tcPr>
            <w:tcW w:w="217" w:type="dxa"/>
          </w:tcPr>
          <w:p w14:paraId="40D57AB1" w14:textId="77777777" w:rsidR="002C0FD9" w:rsidRPr="00CA25CF" w:rsidRDefault="002C0FD9" w:rsidP="00CA25CF">
            <w:pPr>
              <w:rPr>
                <w:rFonts w:cs="Arial"/>
                <w:color w:val="FF0000"/>
                <w:sz w:val="21"/>
                <w:szCs w:val="21"/>
              </w:rPr>
            </w:pPr>
          </w:p>
        </w:tc>
        <w:tc>
          <w:tcPr>
            <w:tcW w:w="217" w:type="dxa"/>
          </w:tcPr>
          <w:p w14:paraId="58D0BCB4" w14:textId="77777777" w:rsidR="002C0FD9" w:rsidRPr="00CA25CF" w:rsidRDefault="002C0FD9" w:rsidP="00CA25CF">
            <w:pPr>
              <w:rPr>
                <w:rFonts w:cs="Arial"/>
                <w:color w:val="FF0000"/>
                <w:sz w:val="21"/>
                <w:szCs w:val="21"/>
              </w:rPr>
            </w:pPr>
          </w:p>
        </w:tc>
        <w:tc>
          <w:tcPr>
            <w:tcW w:w="217" w:type="dxa"/>
          </w:tcPr>
          <w:p w14:paraId="5AE42E84" w14:textId="77777777" w:rsidR="002C0FD9" w:rsidRPr="00CA25CF" w:rsidRDefault="002C0FD9" w:rsidP="00CA25CF">
            <w:pPr>
              <w:rPr>
                <w:rFonts w:cs="Arial"/>
                <w:color w:val="FF0000"/>
                <w:sz w:val="21"/>
                <w:szCs w:val="21"/>
              </w:rPr>
            </w:pPr>
          </w:p>
        </w:tc>
        <w:tc>
          <w:tcPr>
            <w:tcW w:w="217" w:type="dxa"/>
          </w:tcPr>
          <w:p w14:paraId="7ED951B8" w14:textId="77777777" w:rsidR="002C0FD9" w:rsidRPr="00CA25CF" w:rsidRDefault="002C0FD9" w:rsidP="00CA25CF">
            <w:pPr>
              <w:rPr>
                <w:rFonts w:cs="Arial"/>
                <w:color w:val="FF0000"/>
                <w:sz w:val="21"/>
                <w:szCs w:val="21"/>
              </w:rPr>
            </w:pPr>
          </w:p>
        </w:tc>
        <w:tc>
          <w:tcPr>
            <w:tcW w:w="217" w:type="dxa"/>
          </w:tcPr>
          <w:p w14:paraId="722102E4" w14:textId="77777777" w:rsidR="002C0FD9" w:rsidRPr="00CA25CF" w:rsidRDefault="002C0FD9" w:rsidP="00CA25CF">
            <w:pPr>
              <w:rPr>
                <w:rFonts w:cs="Arial"/>
                <w:color w:val="FF0000"/>
                <w:sz w:val="21"/>
                <w:szCs w:val="21"/>
              </w:rPr>
            </w:pPr>
          </w:p>
        </w:tc>
        <w:tc>
          <w:tcPr>
            <w:tcW w:w="217" w:type="dxa"/>
          </w:tcPr>
          <w:p w14:paraId="7778D930" w14:textId="77777777" w:rsidR="002C0FD9" w:rsidRPr="00CA25CF" w:rsidRDefault="002C0FD9" w:rsidP="00CA25CF">
            <w:pPr>
              <w:rPr>
                <w:rFonts w:cs="Arial"/>
                <w:color w:val="FF0000"/>
                <w:sz w:val="21"/>
                <w:szCs w:val="21"/>
              </w:rPr>
            </w:pPr>
          </w:p>
        </w:tc>
        <w:tc>
          <w:tcPr>
            <w:tcW w:w="217" w:type="dxa"/>
          </w:tcPr>
          <w:p w14:paraId="72310A15" w14:textId="77777777" w:rsidR="002C0FD9" w:rsidRPr="00CA25CF" w:rsidRDefault="002C0FD9" w:rsidP="00CA25CF">
            <w:pPr>
              <w:rPr>
                <w:rFonts w:cs="Arial"/>
                <w:color w:val="FF0000"/>
                <w:sz w:val="21"/>
                <w:szCs w:val="21"/>
              </w:rPr>
            </w:pPr>
          </w:p>
        </w:tc>
        <w:tc>
          <w:tcPr>
            <w:tcW w:w="217" w:type="dxa"/>
          </w:tcPr>
          <w:p w14:paraId="5E5CCD60" w14:textId="77777777" w:rsidR="002C0FD9" w:rsidRPr="00CA25CF" w:rsidRDefault="002C0FD9" w:rsidP="00CA25CF">
            <w:pPr>
              <w:rPr>
                <w:rFonts w:cs="Arial"/>
                <w:color w:val="FF0000"/>
                <w:sz w:val="21"/>
                <w:szCs w:val="21"/>
              </w:rPr>
            </w:pPr>
          </w:p>
        </w:tc>
        <w:tc>
          <w:tcPr>
            <w:tcW w:w="217" w:type="dxa"/>
          </w:tcPr>
          <w:p w14:paraId="293FBE8F" w14:textId="77777777" w:rsidR="002C0FD9" w:rsidRPr="00CA25CF" w:rsidRDefault="002C0FD9" w:rsidP="00CA25CF">
            <w:pPr>
              <w:rPr>
                <w:rFonts w:cs="Arial"/>
                <w:color w:val="FF0000"/>
                <w:sz w:val="21"/>
                <w:szCs w:val="21"/>
              </w:rPr>
            </w:pPr>
          </w:p>
        </w:tc>
        <w:tc>
          <w:tcPr>
            <w:tcW w:w="217" w:type="dxa"/>
          </w:tcPr>
          <w:p w14:paraId="0D7E2FE5" w14:textId="77777777" w:rsidR="002C0FD9" w:rsidRPr="00CA25CF" w:rsidRDefault="002C0FD9" w:rsidP="00CA25CF">
            <w:pPr>
              <w:rPr>
                <w:rFonts w:cs="Arial"/>
                <w:color w:val="FF0000"/>
                <w:sz w:val="21"/>
                <w:szCs w:val="21"/>
              </w:rPr>
            </w:pPr>
          </w:p>
        </w:tc>
        <w:tc>
          <w:tcPr>
            <w:tcW w:w="217" w:type="dxa"/>
          </w:tcPr>
          <w:p w14:paraId="3D0023A8" w14:textId="77777777" w:rsidR="002C0FD9" w:rsidRPr="00CA25CF" w:rsidRDefault="002C0FD9" w:rsidP="00CA25CF">
            <w:pPr>
              <w:rPr>
                <w:rFonts w:cs="Arial"/>
                <w:color w:val="FF0000"/>
                <w:sz w:val="21"/>
                <w:szCs w:val="21"/>
              </w:rPr>
            </w:pPr>
          </w:p>
        </w:tc>
        <w:tc>
          <w:tcPr>
            <w:tcW w:w="217" w:type="dxa"/>
          </w:tcPr>
          <w:p w14:paraId="4964B81A" w14:textId="77777777" w:rsidR="002C0FD9" w:rsidRPr="00CA25CF" w:rsidRDefault="002C0FD9" w:rsidP="00CA25CF">
            <w:pPr>
              <w:rPr>
                <w:rFonts w:cs="Arial"/>
                <w:color w:val="FF0000"/>
                <w:sz w:val="21"/>
                <w:szCs w:val="21"/>
              </w:rPr>
            </w:pPr>
          </w:p>
        </w:tc>
      </w:tr>
      <w:tr w:rsidR="002C0FD9" w:rsidRPr="00A16219" w14:paraId="104EB03D" w14:textId="77777777" w:rsidTr="002C0FD9">
        <w:trPr>
          <w:trHeight w:val="635"/>
        </w:trPr>
        <w:tc>
          <w:tcPr>
            <w:tcW w:w="515" w:type="dxa"/>
          </w:tcPr>
          <w:p w14:paraId="2F4E6A62" w14:textId="77777777" w:rsidR="002C0FD9" w:rsidRPr="00CA25CF" w:rsidRDefault="002C0FD9" w:rsidP="00CA25CF">
            <w:pPr>
              <w:rPr>
                <w:rFonts w:cs="Arial"/>
                <w:color w:val="FF0000"/>
                <w:sz w:val="21"/>
                <w:szCs w:val="21"/>
              </w:rPr>
            </w:pPr>
          </w:p>
        </w:tc>
        <w:tc>
          <w:tcPr>
            <w:tcW w:w="217" w:type="dxa"/>
          </w:tcPr>
          <w:p w14:paraId="6E540957" w14:textId="77777777" w:rsidR="002C0FD9" w:rsidRPr="00CA25CF" w:rsidRDefault="002C0FD9" w:rsidP="00CA25CF">
            <w:pPr>
              <w:rPr>
                <w:rFonts w:cs="Arial"/>
                <w:color w:val="FF0000"/>
                <w:sz w:val="21"/>
                <w:szCs w:val="21"/>
              </w:rPr>
            </w:pPr>
          </w:p>
        </w:tc>
        <w:tc>
          <w:tcPr>
            <w:tcW w:w="217" w:type="dxa"/>
          </w:tcPr>
          <w:p w14:paraId="28F74358" w14:textId="77777777" w:rsidR="002C0FD9" w:rsidRPr="00CA25CF" w:rsidRDefault="002C0FD9" w:rsidP="00CA25CF">
            <w:pPr>
              <w:rPr>
                <w:rFonts w:cs="Arial"/>
                <w:color w:val="FF0000"/>
                <w:sz w:val="21"/>
                <w:szCs w:val="21"/>
              </w:rPr>
            </w:pPr>
          </w:p>
        </w:tc>
        <w:tc>
          <w:tcPr>
            <w:tcW w:w="217" w:type="dxa"/>
          </w:tcPr>
          <w:p w14:paraId="30DF60A9" w14:textId="77777777" w:rsidR="002C0FD9" w:rsidRPr="00CA25CF" w:rsidRDefault="002C0FD9" w:rsidP="00CA25CF">
            <w:pPr>
              <w:rPr>
                <w:rFonts w:cs="Arial"/>
                <w:color w:val="FF0000"/>
                <w:sz w:val="21"/>
                <w:szCs w:val="21"/>
              </w:rPr>
            </w:pPr>
          </w:p>
        </w:tc>
        <w:tc>
          <w:tcPr>
            <w:tcW w:w="217" w:type="dxa"/>
          </w:tcPr>
          <w:p w14:paraId="048BF722" w14:textId="77777777" w:rsidR="002C0FD9" w:rsidRPr="00CA25CF" w:rsidRDefault="002C0FD9" w:rsidP="00CA25CF">
            <w:pPr>
              <w:rPr>
                <w:rFonts w:cs="Arial"/>
                <w:color w:val="FF0000"/>
                <w:sz w:val="21"/>
                <w:szCs w:val="21"/>
              </w:rPr>
            </w:pPr>
          </w:p>
        </w:tc>
        <w:tc>
          <w:tcPr>
            <w:tcW w:w="217" w:type="dxa"/>
          </w:tcPr>
          <w:p w14:paraId="08948EA0" w14:textId="77777777" w:rsidR="002C0FD9" w:rsidRPr="00CA25CF" w:rsidRDefault="002C0FD9" w:rsidP="00CA25CF">
            <w:pPr>
              <w:rPr>
                <w:rFonts w:cs="Arial"/>
                <w:color w:val="FF0000"/>
                <w:sz w:val="21"/>
                <w:szCs w:val="21"/>
              </w:rPr>
            </w:pPr>
          </w:p>
        </w:tc>
        <w:tc>
          <w:tcPr>
            <w:tcW w:w="217" w:type="dxa"/>
          </w:tcPr>
          <w:p w14:paraId="4630373D" w14:textId="77777777" w:rsidR="002C0FD9" w:rsidRPr="00CA25CF" w:rsidRDefault="002C0FD9" w:rsidP="00CA25CF">
            <w:pPr>
              <w:rPr>
                <w:rFonts w:cs="Arial"/>
                <w:color w:val="FF0000"/>
                <w:sz w:val="21"/>
                <w:szCs w:val="21"/>
              </w:rPr>
            </w:pPr>
          </w:p>
        </w:tc>
        <w:tc>
          <w:tcPr>
            <w:tcW w:w="217" w:type="dxa"/>
          </w:tcPr>
          <w:p w14:paraId="42C3F1F5" w14:textId="77777777" w:rsidR="002C0FD9" w:rsidRPr="00CA25CF" w:rsidRDefault="002C0FD9" w:rsidP="00CA25CF">
            <w:pPr>
              <w:rPr>
                <w:rFonts w:cs="Arial"/>
                <w:color w:val="FF0000"/>
                <w:sz w:val="21"/>
                <w:szCs w:val="21"/>
              </w:rPr>
            </w:pPr>
          </w:p>
        </w:tc>
        <w:tc>
          <w:tcPr>
            <w:tcW w:w="217" w:type="dxa"/>
          </w:tcPr>
          <w:p w14:paraId="722612D3" w14:textId="77777777" w:rsidR="002C0FD9" w:rsidRPr="00CA25CF" w:rsidRDefault="002C0FD9" w:rsidP="00CA25CF">
            <w:pPr>
              <w:rPr>
                <w:rFonts w:cs="Arial"/>
                <w:color w:val="FF0000"/>
                <w:sz w:val="21"/>
                <w:szCs w:val="21"/>
              </w:rPr>
            </w:pPr>
          </w:p>
        </w:tc>
        <w:tc>
          <w:tcPr>
            <w:tcW w:w="217" w:type="dxa"/>
          </w:tcPr>
          <w:p w14:paraId="39AD2C27" w14:textId="77777777" w:rsidR="002C0FD9" w:rsidRPr="00CA25CF" w:rsidRDefault="002C0FD9" w:rsidP="00CA25CF">
            <w:pPr>
              <w:rPr>
                <w:rFonts w:cs="Arial"/>
                <w:color w:val="FF0000"/>
                <w:sz w:val="21"/>
                <w:szCs w:val="21"/>
              </w:rPr>
            </w:pPr>
          </w:p>
        </w:tc>
        <w:tc>
          <w:tcPr>
            <w:tcW w:w="217" w:type="dxa"/>
          </w:tcPr>
          <w:p w14:paraId="4383A59D" w14:textId="77777777" w:rsidR="002C0FD9" w:rsidRPr="00CA25CF" w:rsidRDefault="002C0FD9" w:rsidP="00CA25CF">
            <w:pPr>
              <w:rPr>
                <w:rFonts w:cs="Arial"/>
                <w:color w:val="FF0000"/>
                <w:sz w:val="21"/>
                <w:szCs w:val="21"/>
              </w:rPr>
            </w:pPr>
          </w:p>
        </w:tc>
        <w:tc>
          <w:tcPr>
            <w:tcW w:w="217" w:type="dxa"/>
          </w:tcPr>
          <w:p w14:paraId="2C7562E2" w14:textId="77777777" w:rsidR="002C0FD9" w:rsidRPr="00CA25CF" w:rsidRDefault="002C0FD9" w:rsidP="00CA25CF">
            <w:pPr>
              <w:rPr>
                <w:rFonts w:cs="Arial"/>
                <w:color w:val="FF0000"/>
                <w:sz w:val="21"/>
                <w:szCs w:val="21"/>
              </w:rPr>
            </w:pPr>
          </w:p>
        </w:tc>
        <w:tc>
          <w:tcPr>
            <w:tcW w:w="217" w:type="dxa"/>
          </w:tcPr>
          <w:p w14:paraId="2E5F52B1" w14:textId="77777777" w:rsidR="002C0FD9" w:rsidRPr="00CA25CF" w:rsidRDefault="002C0FD9" w:rsidP="00CA25CF">
            <w:pPr>
              <w:rPr>
                <w:rFonts w:cs="Arial"/>
                <w:color w:val="FF0000"/>
                <w:sz w:val="21"/>
                <w:szCs w:val="21"/>
              </w:rPr>
            </w:pPr>
          </w:p>
        </w:tc>
        <w:tc>
          <w:tcPr>
            <w:tcW w:w="217" w:type="dxa"/>
          </w:tcPr>
          <w:p w14:paraId="19F41AEF" w14:textId="77777777" w:rsidR="002C0FD9" w:rsidRPr="00CA25CF" w:rsidRDefault="002C0FD9" w:rsidP="00CA25CF">
            <w:pPr>
              <w:rPr>
                <w:rFonts w:cs="Arial"/>
                <w:color w:val="FF0000"/>
                <w:sz w:val="21"/>
                <w:szCs w:val="21"/>
              </w:rPr>
            </w:pPr>
          </w:p>
        </w:tc>
        <w:tc>
          <w:tcPr>
            <w:tcW w:w="217" w:type="dxa"/>
          </w:tcPr>
          <w:p w14:paraId="44B9F301" w14:textId="77777777" w:rsidR="002C0FD9" w:rsidRPr="00CA25CF" w:rsidRDefault="002C0FD9" w:rsidP="00CA25CF">
            <w:pPr>
              <w:rPr>
                <w:rFonts w:cs="Arial"/>
                <w:color w:val="FF0000"/>
                <w:sz w:val="21"/>
                <w:szCs w:val="21"/>
              </w:rPr>
            </w:pPr>
          </w:p>
        </w:tc>
        <w:tc>
          <w:tcPr>
            <w:tcW w:w="217" w:type="dxa"/>
          </w:tcPr>
          <w:p w14:paraId="2CAC3F56" w14:textId="77777777" w:rsidR="002C0FD9" w:rsidRPr="00CA25CF" w:rsidRDefault="002C0FD9" w:rsidP="00CA25CF">
            <w:pPr>
              <w:rPr>
                <w:rFonts w:cs="Arial"/>
                <w:color w:val="FF0000"/>
                <w:sz w:val="21"/>
                <w:szCs w:val="21"/>
              </w:rPr>
            </w:pPr>
          </w:p>
        </w:tc>
        <w:tc>
          <w:tcPr>
            <w:tcW w:w="217" w:type="dxa"/>
          </w:tcPr>
          <w:p w14:paraId="67069524" w14:textId="77777777" w:rsidR="002C0FD9" w:rsidRPr="00CA25CF" w:rsidRDefault="002C0FD9" w:rsidP="00CA25CF">
            <w:pPr>
              <w:rPr>
                <w:rFonts w:cs="Arial"/>
                <w:color w:val="FF0000"/>
                <w:sz w:val="21"/>
                <w:szCs w:val="21"/>
              </w:rPr>
            </w:pPr>
          </w:p>
        </w:tc>
        <w:tc>
          <w:tcPr>
            <w:tcW w:w="217" w:type="dxa"/>
          </w:tcPr>
          <w:p w14:paraId="02946A30" w14:textId="77777777" w:rsidR="002C0FD9" w:rsidRPr="00CA25CF" w:rsidRDefault="002C0FD9" w:rsidP="00CA25CF">
            <w:pPr>
              <w:rPr>
                <w:rFonts w:cs="Arial"/>
                <w:color w:val="FF0000"/>
                <w:sz w:val="21"/>
                <w:szCs w:val="21"/>
              </w:rPr>
            </w:pPr>
          </w:p>
        </w:tc>
        <w:tc>
          <w:tcPr>
            <w:tcW w:w="217" w:type="dxa"/>
          </w:tcPr>
          <w:p w14:paraId="12BA5A54" w14:textId="77777777" w:rsidR="002C0FD9" w:rsidRPr="00CA25CF" w:rsidRDefault="002C0FD9" w:rsidP="00CA25CF">
            <w:pPr>
              <w:rPr>
                <w:rFonts w:cs="Arial"/>
                <w:color w:val="FF0000"/>
                <w:sz w:val="21"/>
                <w:szCs w:val="21"/>
              </w:rPr>
            </w:pPr>
          </w:p>
        </w:tc>
        <w:tc>
          <w:tcPr>
            <w:tcW w:w="217" w:type="dxa"/>
          </w:tcPr>
          <w:p w14:paraId="12280669" w14:textId="77777777" w:rsidR="002C0FD9" w:rsidRPr="00CA25CF" w:rsidRDefault="002C0FD9" w:rsidP="00CA25CF">
            <w:pPr>
              <w:rPr>
                <w:rFonts w:cs="Arial"/>
                <w:color w:val="FF0000"/>
                <w:sz w:val="21"/>
                <w:szCs w:val="21"/>
              </w:rPr>
            </w:pPr>
          </w:p>
        </w:tc>
        <w:tc>
          <w:tcPr>
            <w:tcW w:w="217" w:type="dxa"/>
          </w:tcPr>
          <w:p w14:paraId="248AB5F9" w14:textId="77777777" w:rsidR="002C0FD9" w:rsidRPr="00CA25CF" w:rsidRDefault="002C0FD9" w:rsidP="00CA25CF">
            <w:pPr>
              <w:rPr>
                <w:rFonts w:cs="Arial"/>
                <w:color w:val="FF0000"/>
                <w:sz w:val="21"/>
                <w:szCs w:val="21"/>
              </w:rPr>
            </w:pPr>
          </w:p>
        </w:tc>
        <w:tc>
          <w:tcPr>
            <w:tcW w:w="217" w:type="dxa"/>
          </w:tcPr>
          <w:p w14:paraId="7873E466" w14:textId="77777777" w:rsidR="002C0FD9" w:rsidRPr="00CA25CF" w:rsidRDefault="002C0FD9" w:rsidP="00CA25CF">
            <w:pPr>
              <w:rPr>
                <w:rFonts w:cs="Arial"/>
                <w:color w:val="FF0000"/>
                <w:sz w:val="21"/>
                <w:szCs w:val="21"/>
              </w:rPr>
            </w:pPr>
          </w:p>
        </w:tc>
        <w:tc>
          <w:tcPr>
            <w:tcW w:w="217" w:type="dxa"/>
          </w:tcPr>
          <w:p w14:paraId="110E202F" w14:textId="77777777" w:rsidR="002C0FD9" w:rsidRPr="00CA25CF" w:rsidRDefault="002C0FD9" w:rsidP="00CA25CF">
            <w:pPr>
              <w:rPr>
                <w:rFonts w:cs="Arial"/>
                <w:color w:val="FF0000"/>
                <w:sz w:val="21"/>
                <w:szCs w:val="21"/>
              </w:rPr>
            </w:pPr>
          </w:p>
        </w:tc>
        <w:tc>
          <w:tcPr>
            <w:tcW w:w="217" w:type="dxa"/>
          </w:tcPr>
          <w:p w14:paraId="65F5599A" w14:textId="77777777" w:rsidR="002C0FD9" w:rsidRPr="00CA25CF" w:rsidRDefault="002C0FD9" w:rsidP="00CA25CF">
            <w:pPr>
              <w:rPr>
                <w:rFonts w:cs="Arial"/>
                <w:color w:val="FF0000"/>
                <w:sz w:val="21"/>
                <w:szCs w:val="21"/>
              </w:rPr>
            </w:pPr>
          </w:p>
        </w:tc>
        <w:tc>
          <w:tcPr>
            <w:tcW w:w="217" w:type="dxa"/>
          </w:tcPr>
          <w:p w14:paraId="107B616F" w14:textId="77777777" w:rsidR="002C0FD9" w:rsidRPr="00CA25CF" w:rsidRDefault="002C0FD9" w:rsidP="00CA25CF">
            <w:pPr>
              <w:rPr>
                <w:rFonts w:cs="Arial"/>
                <w:color w:val="FF0000"/>
                <w:sz w:val="21"/>
                <w:szCs w:val="21"/>
              </w:rPr>
            </w:pPr>
          </w:p>
        </w:tc>
        <w:tc>
          <w:tcPr>
            <w:tcW w:w="217" w:type="dxa"/>
          </w:tcPr>
          <w:p w14:paraId="685595CC" w14:textId="77777777" w:rsidR="002C0FD9" w:rsidRPr="00CA25CF" w:rsidRDefault="002C0FD9" w:rsidP="00CA25CF">
            <w:pPr>
              <w:rPr>
                <w:rFonts w:cs="Arial"/>
                <w:color w:val="FF0000"/>
                <w:sz w:val="21"/>
                <w:szCs w:val="21"/>
              </w:rPr>
            </w:pPr>
          </w:p>
        </w:tc>
        <w:tc>
          <w:tcPr>
            <w:tcW w:w="217" w:type="dxa"/>
          </w:tcPr>
          <w:p w14:paraId="36608EF9" w14:textId="77777777" w:rsidR="002C0FD9" w:rsidRPr="00CA25CF" w:rsidRDefault="002C0FD9" w:rsidP="00CA25CF">
            <w:pPr>
              <w:rPr>
                <w:rFonts w:cs="Arial"/>
                <w:color w:val="FF0000"/>
                <w:sz w:val="21"/>
                <w:szCs w:val="21"/>
              </w:rPr>
            </w:pPr>
          </w:p>
        </w:tc>
        <w:tc>
          <w:tcPr>
            <w:tcW w:w="217" w:type="dxa"/>
          </w:tcPr>
          <w:p w14:paraId="3159B475" w14:textId="77777777" w:rsidR="002C0FD9" w:rsidRPr="00CA25CF" w:rsidRDefault="002C0FD9" w:rsidP="00CA25CF">
            <w:pPr>
              <w:rPr>
                <w:rFonts w:cs="Arial"/>
                <w:color w:val="FF0000"/>
                <w:sz w:val="21"/>
                <w:szCs w:val="21"/>
              </w:rPr>
            </w:pPr>
          </w:p>
        </w:tc>
        <w:tc>
          <w:tcPr>
            <w:tcW w:w="217" w:type="dxa"/>
          </w:tcPr>
          <w:p w14:paraId="596CC9B7" w14:textId="77777777" w:rsidR="002C0FD9" w:rsidRPr="00CA25CF" w:rsidRDefault="002C0FD9" w:rsidP="00CA25CF">
            <w:pPr>
              <w:rPr>
                <w:rFonts w:cs="Arial"/>
                <w:color w:val="FF0000"/>
                <w:sz w:val="21"/>
                <w:szCs w:val="21"/>
              </w:rPr>
            </w:pPr>
          </w:p>
        </w:tc>
        <w:tc>
          <w:tcPr>
            <w:tcW w:w="217" w:type="dxa"/>
          </w:tcPr>
          <w:p w14:paraId="3D8349D2" w14:textId="77777777" w:rsidR="002C0FD9" w:rsidRPr="00CA25CF" w:rsidRDefault="002C0FD9" w:rsidP="00CA25CF">
            <w:pPr>
              <w:rPr>
                <w:rFonts w:cs="Arial"/>
                <w:color w:val="FF0000"/>
                <w:sz w:val="21"/>
                <w:szCs w:val="21"/>
              </w:rPr>
            </w:pPr>
          </w:p>
        </w:tc>
        <w:tc>
          <w:tcPr>
            <w:tcW w:w="217" w:type="dxa"/>
          </w:tcPr>
          <w:p w14:paraId="70B3DD0B" w14:textId="77777777" w:rsidR="002C0FD9" w:rsidRPr="00CA25CF" w:rsidRDefault="002C0FD9" w:rsidP="00CA25CF">
            <w:pPr>
              <w:rPr>
                <w:rFonts w:cs="Arial"/>
                <w:color w:val="FF0000"/>
                <w:sz w:val="21"/>
                <w:szCs w:val="21"/>
              </w:rPr>
            </w:pPr>
          </w:p>
        </w:tc>
        <w:tc>
          <w:tcPr>
            <w:tcW w:w="217" w:type="dxa"/>
          </w:tcPr>
          <w:p w14:paraId="3F33F472" w14:textId="77777777" w:rsidR="002C0FD9" w:rsidRPr="00CA25CF" w:rsidRDefault="002C0FD9" w:rsidP="00CA25CF">
            <w:pPr>
              <w:rPr>
                <w:rFonts w:cs="Arial"/>
                <w:color w:val="FF0000"/>
                <w:sz w:val="21"/>
                <w:szCs w:val="21"/>
              </w:rPr>
            </w:pPr>
          </w:p>
        </w:tc>
        <w:tc>
          <w:tcPr>
            <w:tcW w:w="217" w:type="dxa"/>
          </w:tcPr>
          <w:p w14:paraId="47358039" w14:textId="77777777" w:rsidR="002C0FD9" w:rsidRPr="00CA25CF" w:rsidRDefault="002C0FD9" w:rsidP="00CA25CF">
            <w:pPr>
              <w:rPr>
                <w:rFonts w:cs="Arial"/>
                <w:color w:val="FF0000"/>
                <w:sz w:val="21"/>
                <w:szCs w:val="21"/>
              </w:rPr>
            </w:pPr>
          </w:p>
        </w:tc>
        <w:tc>
          <w:tcPr>
            <w:tcW w:w="217" w:type="dxa"/>
          </w:tcPr>
          <w:p w14:paraId="6A84D722" w14:textId="77777777" w:rsidR="002C0FD9" w:rsidRPr="00CA25CF" w:rsidRDefault="002C0FD9" w:rsidP="00CA25CF">
            <w:pPr>
              <w:rPr>
                <w:rFonts w:cs="Arial"/>
                <w:color w:val="FF0000"/>
                <w:sz w:val="21"/>
                <w:szCs w:val="21"/>
              </w:rPr>
            </w:pPr>
          </w:p>
        </w:tc>
        <w:tc>
          <w:tcPr>
            <w:tcW w:w="217" w:type="dxa"/>
          </w:tcPr>
          <w:p w14:paraId="053E17AF" w14:textId="77777777" w:rsidR="002C0FD9" w:rsidRPr="00CA25CF" w:rsidRDefault="002C0FD9" w:rsidP="00CA25CF">
            <w:pPr>
              <w:rPr>
                <w:rFonts w:cs="Arial"/>
                <w:color w:val="FF0000"/>
                <w:sz w:val="21"/>
                <w:szCs w:val="21"/>
              </w:rPr>
            </w:pPr>
          </w:p>
        </w:tc>
        <w:tc>
          <w:tcPr>
            <w:tcW w:w="217" w:type="dxa"/>
          </w:tcPr>
          <w:p w14:paraId="3A1F505E" w14:textId="77777777" w:rsidR="002C0FD9" w:rsidRPr="00CA25CF" w:rsidRDefault="002C0FD9" w:rsidP="00CA25CF">
            <w:pPr>
              <w:rPr>
                <w:rFonts w:cs="Arial"/>
                <w:color w:val="FF0000"/>
                <w:sz w:val="21"/>
                <w:szCs w:val="21"/>
              </w:rPr>
            </w:pPr>
          </w:p>
        </w:tc>
        <w:tc>
          <w:tcPr>
            <w:tcW w:w="217" w:type="dxa"/>
          </w:tcPr>
          <w:p w14:paraId="5E5AFE0A" w14:textId="77777777" w:rsidR="002C0FD9" w:rsidRPr="00CA25CF" w:rsidRDefault="002C0FD9" w:rsidP="00CA25CF">
            <w:pPr>
              <w:rPr>
                <w:rFonts w:cs="Arial"/>
                <w:color w:val="FF0000"/>
                <w:sz w:val="21"/>
                <w:szCs w:val="21"/>
              </w:rPr>
            </w:pPr>
          </w:p>
        </w:tc>
        <w:tc>
          <w:tcPr>
            <w:tcW w:w="217" w:type="dxa"/>
          </w:tcPr>
          <w:p w14:paraId="63D0A1F1" w14:textId="77777777" w:rsidR="002C0FD9" w:rsidRPr="00CA25CF" w:rsidRDefault="002C0FD9" w:rsidP="00CA25CF">
            <w:pPr>
              <w:rPr>
                <w:rFonts w:cs="Arial"/>
                <w:color w:val="FF0000"/>
                <w:sz w:val="21"/>
                <w:szCs w:val="21"/>
              </w:rPr>
            </w:pPr>
          </w:p>
        </w:tc>
        <w:tc>
          <w:tcPr>
            <w:tcW w:w="217" w:type="dxa"/>
          </w:tcPr>
          <w:p w14:paraId="55E1925C" w14:textId="77777777" w:rsidR="002C0FD9" w:rsidRPr="00CA25CF" w:rsidRDefault="002C0FD9" w:rsidP="00CA25CF">
            <w:pPr>
              <w:rPr>
                <w:rFonts w:cs="Arial"/>
                <w:color w:val="FF0000"/>
                <w:sz w:val="21"/>
                <w:szCs w:val="21"/>
              </w:rPr>
            </w:pPr>
          </w:p>
        </w:tc>
        <w:tc>
          <w:tcPr>
            <w:tcW w:w="217" w:type="dxa"/>
          </w:tcPr>
          <w:p w14:paraId="49B8BE45" w14:textId="77777777" w:rsidR="002C0FD9" w:rsidRPr="00CA25CF" w:rsidRDefault="002C0FD9" w:rsidP="00CA25CF">
            <w:pPr>
              <w:rPr>
                <w:rFonts w:cs="Arial"/>
                <w:color w:val="FF0000"/>
                <w:sz w:val="21"/>
                <w:szCs w:val="21"/>
              </w:rPr>
            </w:pPr>
          </w:p>
        </w:tc>
        <w:tc>
          <w:tcPr>
            <w:tcW w:w="217" w:type="dxa"/>
          </w:tcPr>
          <w:p w14:paraId="4F6837A7" w14:textId="77777777" w:rsidR="002C0FD9" w:rsidRPr="00CA25CF" w:rsidRDefault="002C0FD9" w:rsidP="00CA25CF">
            <w:pPr>
              <w:rPr>
                <w:rFonts w:cs="Arial"/>
                <w:color w:val="FF0000"/>
                <w:sz w:val="21"/>
                <w:szCs w:val="21"/>
              </w:rPr>
            </w:pPr>
          </w:p>
        </w:tc>
        <w:tc>
          <w:tcPr>
            <w:tcW w:w="217" w:type="dxa"/>
          </w:tcPr>
          <w:p w14:paraId="6C2BF2A8" w14:textId="77777777" w:rsidR="002C0FD9" w:rsidRPr="00CA25CF" w:rsidRDefault="002C0FD9" w:rsidP="00CA25CF">
            <w:pPr>
              <w:rPr>
                <w:rFonts w:cs="Arial"/>
                <w:color w:val="FF0000"/>
                <w:sz w:val="21"/>
                <w:szCs w:val="21"/>
              </w:rPr>
            </w:pPr>
          </w:p>
        </w:tc>
        <w:tc>
          <w:tcPr>
            <w:tcW w:w="217" w:type="dxa"/>
          </w:tcPr>
          <w:p w14:paraId="6D0913EF" w14:textId="77777777" w:rsidR="002C0FD9" w:rsidRPr="00CA25CF" w:rsidRDefault="002C0FD9" w:rsidP="00CA25CF">
            <w:pPr>
              <w:rPr>
                <w:rFonts w:cs="Arial"/>
                <w:color w:val="FF0000"/>
                <w:sz w:val="21"/>
                <w:szCs w:val="21"/>
              </w:rPr>
            </w:pPr>
          </w:p>
        </w:tc>
      </w:tr>
      <w:tr w:rsidR="002C0FD9" w:rsidRPr="00A16219" w14:paraId="4BD1E9E5" w14:textId="77777777" w:rsidTr="002C0FD9">
        <w:trPr>
          <w:trHeight w:val="635"/>
        </w:trPr>
        <w:tc>
          <w:tcPr>
            <w:tcW w:w="515" w:type="dxa"/>
          </w:tcPr>
          <w:p w14:paraId="35CBC3BE" w14:textId="77777777" w:rsidR="002C0FD9" w:rsidRPr="00CA25CF" w:rsidRDefault="002C0FD9" w:rsidP="00CA25CF">
            <w:pPr>
              <w:rPr>
                <w:rFonts w:cs="Arial"/>
                <w:color w:val="FF0000"/>
                <w:sz w:val="21"/>
                <w:szCs w:val="21"/>
              </w:rPr>
            </w:pPr>
          </w:p>
        </w:tc>
        <w:tc>
          <w:tcPr>
            <w:tcW w:w="217" w:type="dxa"/>
          </w:tcPr>
          <w:p w14:paraId="6521109C" w14:textId="77777777" w:rsidR="002C0FD9" w:rsidRPr="00CA25CF" w:rsidRDefault="002C0FD9" w:rsidP="00CA25CF">
            <w:pPr>
              <w:rPr>
                <w:rFonts w:cs="Arial"/>
                <w:color w:val="FF0000"/>
                <w:sz w:val="21"/>
                <w:szCs w:val="21"/>
              </w:rPr>
            </w:pPr>
          </w:p>
        </w:tc>
        <w:tc>
          <w:tcPr>
            <w:tcW w:w="217" w:type="dxa"/>
          </w:tcPr>
          <w:p w14:paraId="4087208A" w14:textId="77777777" w:rsidR="002C0FD9" w:rsidRPr="00CA25CF" w:rsidRDefault="002C0FD9" w:rsidP="00CA25CF">
            <w:pPr>
              <w:rPr>
                <w:rFonts w:cs="Arial"/>
                <w:color w:val="FF0000"/>
                <w:sz w:val="21"/>
                <w:szCs w:val="21"/>
              </w:rPr>
            </w:pPr>
          </w:p>
        </w:tc>
        <w:tc>
          <w:tcPr>
            <w:tcW w:w="217" w:type="dxa"/>
          </w:tcPr>
          <w:p w14:paraId="1AF82F3E" w14:textId="77777777" w:rsidR="002C0FD9" w:rsidRPr="00CA25CF" w:rsidRDefault="002C0FD9" w:rsidP="00CA25CF">
            <w:pPr>
              <w:rPr>
                <w:rFonts w:cs="Arial"/>
                <w:color w:val="FF0000"/>
                <w:sz w:val="21"/>
                <w:szCs w:val="21"/>
              </w:rPr>
            </w:pPr>
          </w:p>
        </w:tc>
        <w:tc>
          <w:tcPr>
            <w:tcW w:w="217" w:type="dxa"/>
          </w:tcPr>
          <w:p w14:paraId="3E392096" w14:textId="77777777" w:rsidR="002C0FD9" w:rsidRPr="00CA25CF" w:rsidRDefault="002C0FD9" w:rsidP="00CA25CF">
            <w:pPr>
              <w:rPr>
                <w:rFonts w:cs="Arial"/>
                <w:color w:val="FF0000"/>
                <w:sz w:val="21"/>
                <w:szCs w:val="21"/>
              </w:rPr>
            </w:pPr>
          </w:p>
        </w:tc>
        <w:tc>
          <w:tcPr>
            <w:tcW w:w="217" w:type="dxa"/>
          </w:tcPr>
          <w:p w14:paraId="30A3E3C6" w14:textId="77777777" w:rsidR="002C0FD9" w:rsidRPr="00CA25CF" w:rsidRDefault="002C0FD9" w:rsidP="00CA25CF">
            <w:pPr>
              <w:rPr>
                <w:rFonts w:cs="Arial"/>
                <w:color w:val="FF0000"/>
                <w:sz w:val="21"/>
                <w:szCs w:val="21"/>
              </w:rPr>
            </w:pPr>
          </w:p>
        </w:tc>
        <w:tc>
          <w:tcPr>
            <w:tcW w:w="217" w:type="dxa"/>
          </w:tcPr>
          <w:p w14:paraId="1A65EF22" w14:textId="77777777" w:rsidR="002C0FD9" w:rsidRPr="00CA25CF" w:rsidRDefault="002C0FD9" w:rsidP="00CA25CF">
            <w:pPr>
              <w:rPr>
                <w:rFonts w:cs="Arial"/>
                <w:color w:val="FF0000"/>
                <w:sz w:val="21"/>
                <w:szCs w:val="21"/>
              </w:rPr>
            </w:pPr>
          </w:p>
        </w:tc>
        <w:tc>
          <w:tcPr>
            <w:tcW w:w="217" w:type="dxa"/>
          </w:tcPr>
          <w:p w14:paraId="5393BAC6" w14:textId="77777777" w:rsidR="002C0FD9" w:rsidRPr="00CA25CF" w:rsidRDefault="002C0FD9" w:rsidP="00CA25CF">
            <w:pPr>
              <w:rPr>
                <w:rFonts w:cs="Arial"/>
                <w:color w:val="FF0000"/>
                <w:sz w:val="21"/>
                <w:szCs w:val="21"/>
              </w:rPr>
            </w:pPr>
          </w:p>
        </w:tc>
        <w:tc>
          <w:tcPr>
            <w:tcW w:w="217" w:type="dxa"/>
          </w:tcPr>
          <w:p w14:paraId="65712C72" w14:textId="77777777" w:rsidR="002C0FD9" w:rsidRPr="00CA25CF" w:rsidRDefault="002C0FD9" w:rsidP="00CA25CF">
            <w:pPr>
              <w:rPr>
                <w:rFonts w:cs="Arial"/>
                <w:color w:val="FF0000"/>
                <w:sz w:val="21"/>
                <w:szCs w:val="21"/>
              </w:rPr>
            </w:pPr>
          </w:p>
        </w:tc>
        <w:tc>
          <w:tcPr>
            <w:tcW w:w="217" w:type="dxa"/>
          </w:tcPr>
          <w:p w14:paraId="41C30E8B" w14:textId="77777777" w:rsidR="002C0FD9" w:rsidRPr="00CA25CF" w:rsidRDefault="002C0FD9" w:rsidP="00CA25CF">
            <w:pPr>
              <w:rPr>
                <w:rFonts w:cs="Arial"/>
                <w:color w:val="FF0000"/>
                <w:sz w:val="21"/>
                <w:szCs w:val="21"/>
              </w:rPr>
            </w:pPr>
          </w:p>
        </w:tc>
        <w:tc>
          <w:tcPr>
            <w:tcW w:w="217" w:type="dxa"/>
          </w:tcPr>
          <w:p w14:paraId="7311D15F" w14:textId="77777777" w:rsidR="002C0FD9" w:rsidRPr="00CA25CF" w:rsidRDefault="002C0FD9" w:rsidP="00CA25CF">
            <w:pPr>
              <w:rPr>
                <w:rFonts w:cs="Arial"/>
                <w:color w:val="FF0000"/>
                <w:sz w:val="21"/>
                <w:szCs w:val="21"/>
              </w:rPr>
            </w:pPr>
          </w:p>
        </w:tc>
        <w:tc>
          <w:tcPr>
            <w:tcW w:w="217" w:type="dxa"/>
          </w:tcPr>
          <w:p w14:paraId="0D9A126A" w14:textId="77777777" w:rsidR="002C0FD9" w:rsidRPr="00CA25CF" w:rsidRDefault="002C0FD9" w:rsidP="00CA25CF">
            <w:pPr>
              <w:rPr>
                <w:rFonts w:cs="Arial"/>
                <w:color w:val="FF0000"/>
                <w:sz w:val="21"/>
                <w:szCs w:val="21"/>
              </w:rPr>
            </w:pPr>
          </w:p>
        </w:tc>
        <w:tc>
          <w:tcPr>
            <w:tcW w:w="217" w:type="dxa"/>
          </w:tcPr>
          <w:p w14:paraId="6AC12B5F" w14:textId="77777777" w:rsidR="002C0FD9" w:rsidRPr="00CA25CF" w:rsidRDefault="002C0FD9" w:rsidP="00CA25CF">
            <w:pPr>
              <w:rPr>
                <w:rFonts w:cs="Arial"/>
                <w:color w:val="FF0000"/>
                <w:sz w:val="21"/>
                <w:szCs w:val="21"/>
              </w:rPr>
            </w:pPr>
          </w:p>
        </w:tc>
        <w:tc>
          <w:tcPr>
            <w:tcW w:w="217" w:type="dxa"/>
          </w:tcPr>
          <w:p w14:paraId="0FA9C491" w14:textId="77777777" w:rsidR="002C0FD9" w:rsidRPr="00CA25CF" w:rsidRDefault="002C0FD9" w:rsidP="00CA25CF">
            <w:pPr>
              <w:rPr>
                <w:rFonts w:cs="Arial"/>
                <w:color w:val="FF0000"/>
                <w:sz w:val="21"/>
                <w:szCs w:val="21"/>
              </w:rPr>
            </w:pPr>
          </w:p>
        </w:tc>
        <w:tc>
          <w:tcPr>
            <w:tcW w:w="217" w:type="dxa"/>
          </w:tcPr>
          <w:p w14:paraId="7EE6951C" w14:textId="77777777" w:rsidR="002C0FD9" w:rsidRPr="00CA25CF" w:rsidRDefault="002C0FD9" w:rsidP="00CA25CF">
            <w:pPr>
              <w:rPr>
                <w:rFonts w:cs="Arial"/>
                <w:color w:val="FF0000"/>
                <w:sz w:val="21"/>
                <w:szCs w:val="21"/>
              </w:rPr>
            </w:pPr>
          </w:p>
        </w:tc>
        <w:tc>
          <w:tcPr>
            <w:tcW w:w="217" w:type="dxa"/>
          </w:tcPr>
          <w:p w14:paraId="6EF35A57" w14:textId="77777777" w:rsidR="002C0FD9" w:rsidRPr="00CA25CF" w:rsidRDefault="002C0FD9" w:rsidP="00CA25CF">
            <w:pPr>
              <w:rPr>
                <w:rFonts w:cs="Arial"/>
                <w:color w:val="FF0000"/>
                <w:sz w:val="21"/>
                <w:szCs w:val="21"/>
              </w:rPr>
            </w:pPr>
          </w:p>
        </w:tc>
        <w:tc>
          <w:tcPr>
            <w:tcW w:w="217" w:type="dxa"/>
          </w:tcPr>
          <w:p w14:paraId="08DDAF86" w14:textId="77777777" w:rsidR="002C0FD9" w:rsidRPr="00CA25CF" w:rsidRDefault="002C0FD9" w:rsidP="00CA25CF">
            <w:pPr>
              <w:rPr>
                <w:rFonts w:cs="Arial"/>
                <w:color w:val="FF0000"/>
                <w:sz w:val="21"/>
                <w:szCs w:val="21"/>
              </w:rPr>
            </w:pPr>
          </w:p>
        </w:tc>
        <w:tc>
          <w:tcPr>
            <w:tcW w:w="217" w:type="dxa"/>
          </w:tcPr>
          <w:p w14:paraId="3BA35B28" w14:textId="77777777" w:rsidR="002C0FD9" w:rsidRPr="00CA25CF" w:rsidRDefault="002C0FD9" w:rsidP="00CA25CF">
            <w:pPr>
              <w:rPr>
                <w:rFonts w:cs="Arial"/>
                <w:color w:val="FF0000"/>
                <w:sz w:val="21"/>
                <w:szCs w:val="21"/>
              </w:rPr>
            </w:pPr>
          </w:p>
        </w:tc>
        <w:tc>
          <w:tcPr>
            <w:tcW w:w="217" w:type="dxa"/>
          </w:tcPr>
          <w:p w14:paraId="04ECDF35" w14:textId="77777777" w:rsidR="002C0FD9" w:rsidRPr="00CA25CF" w:rsidRDefault="002C0FD9" w:rsidP="00CA25CF">
            <w:pPr>
              <w:rPr>
                <w:rFonts w:cs="Arial"/>
                <w:color w:val="FF0000"/>
                <w:sz w:val="21"/>
                <w:szCs w:val="21"/>
              </w:rPr>
            </w:pPr>
          </w:p>
        </w:tc>
        <w:tc>
          <w:tcPr>
            <w:tcW w:w="217" w:type="dxa"/>
          </w:tcPr>
          <w:p w14:paraId="0E3BA749" w14:textId="77777777" w:rsidR="002C0FD9" w:rsidRPr="00CA25CF" w:rsidRDefault="002C0FD9" w:rsidP="00CA25CF">
            <w:pPr>
              <w:rPr>
                <w:rFonts w:cs="Arial"/>
                <w:color w:val="FF0000"/>
                <w:sz w:val="21"/>
                <w:szCs w:val="21"/>
              </w:rPr>
            </w:pPr>
          </w:p>
        </w:tc>
        <w:tc>
          <w:tcPr>
            <w:tcW w:w="217" w:type="dxa"/>
          </w:tcPr>
          <w:p w14:paraId="218D4362" w14:textId="77777777" w:rsidR="002C0FD9" w:rsidRPr="00CA25CF" w:rsidRDefault="002C0FD9" w:rsidP="00CA25CF">
            <w:pPr>
              <w:rPr>
                <w:rFonts w:cs="Arial"/>
                <w:color w:val="FF0000"/>
                <w:sz w:val="21"/>
                <w:szCs w:val="21"/>
              </w:rPr>
            </w:pPr>
          </w:p>
        </w:tc>
        <w:tc>
          <w:tcPr>
            <w:tcW w:w="217" w:type="dxa"/>
          </w:tcPr>
          <w:p w14:paraId="435ED25B" w14:textId="77777777" w:rsidR="002C0FD9" w:rsidRPr="00CA25CF" w:rsidRDefault="002C0FD9" w:rsidP="00CA25CF">
            <w:pPr>
              <w:rPr>
                <w:rFonts w:cs="Arial"/>
                <w:color w:val="FF0000"/>
                <w:sz w:val="21"/>
                <w:szCs w:val="21"/>
              </w:rPr>
            </w:pPr>
          </w:p>
        </w:tc>
        <w:tc>
          <w:tcPr>
            <w:tcW w:w="217" w:type="dxa"/>
          </w:tcPr>
          <w:p w14:paraId="27B8B90A" w14:textId="77777777" w:rsidR="002C0FD9" w:rsidRPr="00CA25CF" w:rsidRDefault="002C0FD9" w:rsidP="00CA25CF">
            <w:pPr>
              <w:rPr>
                <w:rFonts w:cs="Arial"/>
                <w:color w:val="FF0000"/>
                <w:sz w:val="21"/>
                <w:szCs w:val="21"/>
              </w:rPr>
            </w:pPr>
          </w:p>
        </w:tc>
        <w:tc>
          <w:tcPr>
            <w:tcW w:w="217" w:type="dxa"/>
          </w:tcPr>
          <w:p w14:paraId="749F6F26" w14:textId="77777777" w:rsidR="002C0FD9" w:rsidRPr="00CA25CF" w:rsidRDefault="002C0FD9" w:rsidP="00CA25CF">
            <w:pPr>
              <w:rPr>
                <w:rFonts w:cs="Arial"/>
                <w:color w:val="FF0000"/>
                <w:sz w:val="21"/>
                <w:szCs w:val="21"/>
              </w:rPr>
            </w:pPr>
          </w:p>
        </w:tc>
        <w:tc>
          <w:tcPr>
            <w:tcW w:w="217" w:type="dxa"/>
          </w:tcPr>
          <w:p w14:paraId="2377FFB0" w14:textId="77777777" w:rsidR="002C0FD9" w:rsidRPr="00CA25CF" w:rsidRDefault="002C0FD9" w:rsidP="00CA25CF">
            <w:pPr>
              <w:rPr>
                <w:rFonts w:cs="Arial"/>
                <w:color w:val="FF0000"/>
                <w:sz w:val="21"/>
                <w:szCs w:val="21"/>
              </w:rPr>
            </w:pPr>
          </w:p>
        </w:tc>
        <w:tc>
          <w:tcPr>
            <w:tcW w:w="217" w:type="dxa"/>
          </w:tcPr>
          <w:p w14:paraId="4D98D894" w14:textId="77777777" w:rsidR="002C0FD9" w:rsidRPr="00CA25CF" w:rsidRDefault="002C0FD9" w:rsidP="00CA25CF">
            <w:pPr>
              <w:rPr>
                <w:rFonts w:cs="Arial"/>
                <w:color w:val="FF0000"/>
                <w:sz w:val="21"/>
                <w:szCs w:val="21"/>
              </w:rPr>
            </w:pPr>
          </w:p>
        </w:tc>
        <w:tc>
          <w:tcPr>
            <w:tcW w:w="217" w:type="dxa"/>
          </w:tcPr>
          <w:p w14:paraId="7BB99734" w14:textId="77777777" w:rsidR="002C0FD9" w:rsidRPr="00CA25CF" w:rsidRDefault="002C0FD9" w:rsidP="00CA25CF">
            <w:pPr>
              <w:rPr>
                <w:rFonts w:cs="Arial"/>
                <w:color w:val="FF0000"/>
                <w:sz w:val="21"/>
                <w:szCs w:val="21"/>
              </w:rPr>
            </w:pPr>
          </w:p>
        </w:tc>
        <w:tc>
          <w:tcPr>
            <w:tcW w:w="217" w:type="dxa"/>
          </w:tcPr>
          <w:p w14:paraId="19EAA63F" w14:textId="77777777" w:rsidR="002C0FD9" w:rsidRPr="00CA25CF" w:rsidRDefault="002C0FD9" w:rsidP="00CA25CF">
            <w:pPr>
              <w:rPr>
                <w:rFonts w:cs="Arial"/>
                <w:color w:val="FF0000"/>
                <w:sz w:val="21"/>
                <w:szCs w:val="21"/>
              </w:rPr>
            </w:pPr>
          </w:p>
        </w:tc>
        <w:tc>
          <w:tcPr>
            <w:tcW w:w="217" w:type="dxa"/>
          </w:tcPr>
          <w:p w14:paraId="59F87835" w14:textId="77777777" w:rsidR="002C0FD9" w:rsidRPr="00CA25CF" w:rsidRDefault="002C0FD9" w:rsidP="00CA25CF">
            <w:pPr>
              <w:rPr>
                <w:rFonts w:cs="Arial"/>
                <w:color w:val="FF0000"/>
                <w:sz w:val="21"/>
                <w:szCs w:val="21"/>
              </w:rPr>
            </w:pPr>
          </w:p>
        </w:tc>
        <w:tc>
          <w:tcPr>
            <w:tcW w:w="217" w:type="dxa"/>
          </w:tcPr>
          <w:p w14:paraId="2C28615F" w14:textId="77777777" w:rsidR="002C0FD9" w:rsidRPr="00CA25CF" w:rsidRDefault="002C0FD9" w:rsidP="00CA25CF">
            <w:pPr>
              <w:rPr>
                <w:rFonts w:cs="Arial"/>
                <w:color w:val="FF0000"/>
                <w:sz w:val="21"/>
                <w:szCs w:val="21"/>
              </w:rPr>
            </w:pPr>
          </w:p>
        </w:tc>
        <w:tc>
          <w:tcPr>
            <w:tcW w:w="217" w:type="dxa"/>
          </w:tcPr>
          <w:p w14:paraId="242C445E" w14:textId="77777777" w:rsidR="002C0FD9" w:rsidRPr="00CA25CF" w:rsidRDefault="002C0FD9" w:rsidP="00CA25CF">
            <w:pPr>
              <w:rPr>
                <w:rFonts w:cs="Arial"/>
                <w:color w:val="FF0000"/>
                <w:sz w:val="21"/>
                <w:szCs w:val="21"/>
              </w:rPr>
            </w:pPr>
          </w:p>
        </w:tc>
        <w:tc>
          <w:tcPr>
            <w:tcW w:w="217" w:type="dxa"/>
          </w:tcPr>
          <w:p w14:paraId="51478F3B" w14:textId="77777777" w:rsidR="002C0FD9" w:rsidRPr="00CA25CF" w:rsidRDefault="002C0FD9" w:rsidP="00CA25CF">
            <w:pPr>
              <w:rPr>
                <w:rFonts w:cs="Arial"/>
                <w:color w:val="FF0000"/>
                <w:sz w:val="21"/>
                <w:szCs w:val="21"/>
              </w:rPr>
            </w:pPr>
          </w:p>
        </w:tc>
        <w:tc>
          <w:tcPr>
            <w:tcW w:w="217" w:type="dxa"/>
          </w:tcPr>
          <w:p w14:paraId="414EB668" w14:textId="77777777" w:rsidR="002C0FD9" w:rsidRPr="00CA25CF" w:rsidRDefault="002C0FD9" w:rsidP="00CA25CF">
            <w:pPr>
              <w:rPr>
                <w:rFonts w:cs="Arial"/>
                <w:color w:val="FF0000"/>
                <w:sz w:val="21"/>
                <w:szCs w:val="21"/>
              </w:rPr>
            </w:pPr>
          </w:p>
        </w:tc>
        <w:tc>
          <w:tcPr>
            <w:tcW w:w="217" w:type="dxa"/>
          </w:tcPr>
          <w:p w14:paraId="03B883CF" w14:textId="77777777" w:rsidR="002C0FD9" w:rsidRPr="00CA25CF" w:rsidRDefault="002C0FD9" w:rsidP="00CA25CF">
            <w:pPr>
              <w:rPr>
                <w:rFonts w:cs="Arial"/>
                <w:color w:val="FF0000"/>
                <w:sz w:val="21"/>
                <w:szCs w:val="21"/>
              </w:rPr>
            </w:pPr>
          </w:p>
        </w:tc>
        <w:tc>
          <w:tcPr>
            <w:tcW w:w="217" w:type="dxa"/>
          </w:tcPr>
          <w:p w14:paraId="58A54F60" w14:textId="77777777" w:rsidR="002C0FD9" w:rsidRPr="00CA25CF" w:rsidRDefault="002C0FD9" w:rsidP="00CA25CF">
            <w:pPr>
              <w:rPr>
                <w:rFonts w:cs="Arial"/>
                <w:color w:val="FF0000"/>
                <w:sz w:val="21"/>
                <w:szCs w:val="21"/>
              </w:rPr>
            </w:pPr>
          </w:p>
        </w:tc>
        <w:tc>
          <w:tcPr>
            <w:tcW w:w="217" w:type="dxa"/>
          </w:tcPr>
          <w:p w14:paraId="58E2F209" w14:textId="77777777" w:rsidR="002C0FD9" w:rsidRPr="00CA25CF" w:rsidRDefault="002C0FD9" w:rsidP="00CA25CF">
            <w:pPr>
              <w:rPr>
                <w:rFonts w:cs="Arial"/>
                <w:color w:val="FF0000"/>
                <w:sz w:val="21"/>
                <w:szCs w:val="21"/>
              </w:rPr>
            </w:pPr>
          </w:p>
        </w:tc>
        <w:tc>
          <w:tcPr>
            <w:tcW w:w="217" w:type="dxa"/>
          </w:tcPr>
          <w:p w14:paraId="156C2D25" w14:textId="77777777" w:rsidR="002C0FD9" w:rsidRPr="00CA25CF" w:rsidRDefault="002C0FD9" w:rsidP="00CA25CF">
            <w:pPr>
              <w:rPr>
                <w:rFonts w:cs="Arial"/>
                <w:color w:val="FF0000"/>
                <w:sz w:val="21"/>
                <w:szCs w:val="21"/>
              </w:rPr>
            </w:pPr>
          </w:p>
        </w:tc>
        <w:tc>
          <w:tcPr>
            <w:tcW w:w="217" w:type="dxa"/>
          </w:tcPr>
          <w:p w14:paraId="720CB12A" w14:textId="77777777" w:rsidR="002C0FD9" w:rsidRPr="00CA25CF" w:rsidRDefault="002C0FD9" w:rsidP="00CA25CF">
            <w:pPr>
              <w:rPr>
                <w:rFonts w:cs="Arial"/>
                <w:color w:val="FF0000"/>
                <w:sz w:val="21"/>
                <w:szCs w:val="21"/>
              </w:rPr>
            </w:pPr>
          </w:p>
        </w:tc>
        <w:tc>
          <w:tcPr>
            <w:tcW w:w="217" w:type="dxa"/>
          </w:tcPr>
          <w:p w14:paraId="6BF59875" w14:textId="77777777" w:rsidR="002C0FD9" w:rsidRPr="00CA25CF" w:rsidRDefault="002C0FD9" w:rsidP="00CA25CF">
            <w:pPr>
              <w:rPr>
                <w:rFonts w:cs="Arial"/>
                <w:color w:val="FF0000"/>
                <w:sz w:val="21"/>
                <w:szCs w:val="21"/>
              </w:rPr>
            </w:pPr>
          </w:p>
        </w:tc>
        <w:tc>
          <w:tcPr>
            <w:tcW w:w="217" w:type="dxa"/>
          </w:tcPr>
          <w:p w14:paraId="47E6B89D" w14:textId="77777777" w:rsidR="002C0FD9" w:rsidRPr="00CA25CF" w:rsidRDefault="002C0FD9" w:rsidP="00CA25CF">
            <w:pPr>
              <w:rPr>
                <w:rFonts w:cs="Arial"/>
                <w:color w:val="FF0000"/>
                <w:sz w:val="21"/>
                <w:szCs w:val="21"/>
              </w:rPr>
            </w:pPr>
          </w:p>
        </w:tc>
        <w:tc>
          <w:tcPr>
            <w:tcW w:w="217" w:type="dxa"/>
          </w:tcPr>
          <w:p w14:paraId="79453F77" w14:textId="77777777" w:rsidR="002C0FD9" w:rsidRPr="00CA25CF" w:rsidRDefault="002C0FD9" w:rsidP="00CA25CF">
            <w:pPr>
              <w:rPr>
                <w:rFonts w:cs="Arial"/>
                <w:color w:val="FF0000"/>
                <w:sz w:val="21"/>
                <w:szCs w:val="21"/>
              </w:rPr>
            </w:pPr>
          </w:p>
        </w:tc>
        <w:tc>
          <w:tcPr>
            <w:tcW w:w="217" w:type="dxa"/>
          </w:tcPr>
          <w:p w14:paraId="70A0AFAA" w14:textId="77777777" w:rsidR="002C0FD9" w:rsidRPr="00CA25CF" w:rsidRDefault="002C0FD9" w:rsidP="00CA25CF">
            <w:pPr>
              <w:rPr>
                <w:rFonts w:cs="Arial"/>
                <w:color w:val="FF0000"/>
                <w:sz w:val="21"/>
                <w:szCs w:val="21"/>
              </w:rPr>
            </w:pPr>
          </w:p>
        </w:tc>
        <w:tc>
          <w:tcPr>
            <w:tcW w:w="217" w:type="dxa"/>
          </w:tcPr>
          <w:p w14:paraId="5F7FFB20" w14:textId="77777777" w:rsidR="002C0FD9" w:rsidRPr="00CA25CF" w:rsidRDefault="002C0FD9" w:rsidP="00CA25CF">
            <w:pPr>
              <w:rPr>
                <w:rFonts w:cs="Arial"/>
                <w:color w:val="FF0000"/>
                <w:sz w:val="21"/>
                <w:szCs w:val="21"/>
              </w:rPr>
            </w:pPr>
          </w:p>
        </w:tc>
      </w:tr>
      <w:tr w:rsidR="002C0FD9" w:rsidRPr="00A16219" w14:paraId="2169F245" w14:textId="77777777" w:rsidTr="002C0FD9">
        <w:trPr>
          <w:trHeight w:val="635"/>
        </w:trPr>
        <w:tc>
          <w:tcPr>
            <w:tcW w:w="515" w:type="dxa"/>
          </w:tcPr>
          <w:p w14:paraId="4F06C5EA" w14:textId="77777777" w:rsidR="002C0FD9" w:rsidRPr="00CA25CF" w:rsidRDefault="002C0FD9" w:rsidP="00CA25CF">
            <w:pPr>
              <w:rPr>
                <w:rFonts w:cs="Arial"/>
                <w:color w:val="FF0000"/>
                <w:sz w:val="21"/>
                <w:szCs w:val="21"/>
              </w:rPr>
            </w:pPr>
          </w:p>
        </w:tc>
        <w:tc>
          <w:tcPr>
            <w:tcW w:w="217" w:type="dxa"/>
          </w:tcPr>
          <w:p w14:paraId="51E38609" w14:textId="77777777" w:rsidR="002C0FD9" w:rsidRPr="00CA25CF" w:rsidRDefault="002C0FD9" w:rsidP="00CA25CF">
            <w:pPr>
              <w:rPr>
                <w:rFonts w:cs="Arial"/>
                <w:color w:val="FF0000"/>
                <w:sz w:val="21"/>
                <w:szCs w:val="21"/>
              </w:rPr>
            </w:pPr>
          </w:p>
        </w:tc>
        <w:tc>
          <w:tcPr>
            <w:tcW w:w="217" w:type="dxa"/>
          </w:tcPr>
          <w:p w14:paraId="2099F3EB" w14:textId="77777777" w:rsidR="002C0FD9" w:rsidRPr="00CA25CF" w:rsidRDefault="002C0FD9" w:rsidP="00CA25CF">
            <w:pPr>
              <w:rPr>
                <w:rFonts w:cs="Arial"/>
                <w:color w:val="FF0000"/>
                <w:sz w:val="21"/>
                <w:szCs w:val="21"/>
              </w:rPr>
            </w:pPr>
          </w:p>
        </w:tc>
        <w:tc>
          <w:tcPr>
            <w:tcW w:w="217" w:type="dxa"/>
          </w:tcPr>
          <w:p w14:paraId="4D2F4062" w14:textId="77777777" w:rsidR="002C0FD9" w:rsidRPr="00CA25CF" w:rsidRDefault="002C0FD9" w:rsidP="00CA25CF">
            <w:pPr>
              <w:rPr>
                <w:rFonts w:cs="Arial"/>
                <w:color w:val="FF0000"/>
                <w:sz w:val="21"/>
                <w:szCs w:val="21"/>
              </w:rPr>
            </w:pPr>
          </w:p>
        </w:tc>
        <w:tc>
          <w:tcPr>
            <w:tcW w:w="217" w:type="dxa"/>
          </w:tcPr>
          <w:p w14:paraId="28C5CA6B" w14:textId="77777777" w:rsidR="002C0FD9" w:rsidRPr="00CA25CF" w:rsidRDefault="002C0FD9" w:rsidP="00CA25CF">
            <w:pPr>
              <w:rPr>
                <w:rFonts w:cs="Arial"/>
                <w:color w:val="FF0000"/>
                <w:sz w:val="21"/>
                <w:szCs w:val="21"/>
              </w:rPr>
            </w:pPr>
          </w:p>
        </w:tc>
        <w:tc>
          <w:tcPr>
            <w:tcW w:w="217" w:type="dxa"/>
          </w:tcPr>
          <w:p w14:paraId="46F3240B" w14:textId="77777777" w:rsidR="002C0FD9" w:rsidRPr="00CA25CF" w:rsidRDefault="002C0FD9" w:rsidP="00CA25CF">
            <w:pPr>
              <w:rPr>
                <w:rFonts w:cs="Arial"/>
                <w:color w:val="FF0000"/>
                <w:sz w:val="21"/>
                <w:szCs w:val="21"/>
              </w:rPr>
            </w:pPr>
          </w:p>
        </w:tc>
        <w:tc>
          <w:tcPr>
            <w:tcW w:w="217" w:type="dxa"/>
          </w:tcPr>
          <w:p w14:paraId="78BA842C" w14:textId="77777777" w:rsidR="002C0FD9" w:rsidRPr="00CA25CF" w:rsidRDefault="002C0FD9" w:rsidP="00CA25CF">
            <w:pPr>
              <w:rPr>
                <w:rFonts w:cs="Arial"/>
                <w:color w:val="FF0000"/>
                <w:sz w:val="21"/>
                <w:szCs w:val="21"/>
              </w:rPr>
            </w:pPr>
          </w:p>
        </w:tc>
        <w:tc>
          <w:tcPr>
            <w:tcW w:w="217" w:type="dxa"/>
          </w:tcPr>
          <w:p w14:paraId="266D8572" w14:textId="77777777" w:rsidR="002C0FD9" w:rsidRPr="00CA25CF" w:rsidRDefault="002C0FD9" w:rsidP="00CA25CF">
            <w:pPr>
              <w:rPr>
                <w:rFonts w:cs="Arial"/>
                <w:color w:val="FF0000"/>
                <w:sz w:val="21"/>
                <w:szCs w:val="21"/>
              </w:rPr>
            </w:pPr>
          </w:p>
        </w:tc>
        <w:tc>
          <w:tcPr>
            <w:tcW w:w="217" w:type="dxa"/>
          </w:tcPr>
          <w:p w14:paraId="52A52AD3" w14:textId="77777777" w:rsidR="002C0FD9" w:rsidRPr="00CA25CF" w:rsidRDefault="002C0FD9" w:rsidP="00CA25CF">
            <w:pPr>
              <w:rPr>
                <w:rFonts w:cs="Arial"/>
                <w:color w:val="FF0000"/>
                <w:sz w:val="21"/>
                <w:szCs w:val="21"/>
              </w:rPr>
            </w:pPr>
          </w:p>
        </w:tc>
        <w:tc>
          <w:tcPr>
            <w:tcW w:w="217" w:type="dxa"/>
          </w:tcPr>
          <w:p w14:paraId="2568B446" w14:textId="77777777" w:rsidR="002C0FD9" w:rsidRPr="00CA25CF" w:rsidRDefault="002C0FD9" w:rsidP="00CA25CF">
            <w:pPr>
              <w:rPr>
                <w:rFonts w:cs="Arial"/>
                <w:color w:val="FF0000"/>
                <w:sz w:val="21"/>
                <w:szCs w:val="21"/>
              </w:rPr>
            </w:pPr>
          </w:p>
        </w:tc>
        <w:tc>
          <w:tcPr>
            <w:tcW w:w="217" w:type="dxa"/>
          </w:tcPr>
          <w:p w14:paraId="3CD8B02E" w14:textId="77777777" w:rsidR="002C0FD9" w:rsidRPr="00CA25CF" w:rsidRDefault="002C0FD9" w:rsidP="00CA25CF">
            <w:pPr>
              <w:rPr>
                <w:rFonts w:cs="Arial"/>
                <w:color w:val="FF0000"/>
                <w:sz w:val="21"/>
                <w:szCs w:val="21"/>
              </w:rPr>
            </w:pPr>
          </w:p>
        </w:tc>
        <w:tc>
          <w:tcPr>
            <w:tcW w:w="217" w:type="dxa"/>
          </w:tcPr>
          <w:p w14:paraId="5FEBAAE0" w14:textId="77777777" w:rsidR="002C0FD9" w:rsidRPr="00CA25CF" w:rsidRDefault="002C0FD9" w:rsidP="00CA25CF">
            <w:pPr>
              <w:rPr>
                <w:rFonts w:cs="Arial"/>
                <w:color w:val="FF0000"/>
                <w:sz w:val="21"/>
                <w:szCs w:val="21"/>
              </w:rPr>
            </w:pPr>
          </w:p>
        </w:tc>
        <w:tc>
          <w:tcPr>
            <w:tcW w:w="217" w:type="dxa"/>
          </w:tcPr>
          <w:p w14:paraId="6F074F3B" w14:textId="77777777" w:rsidR="002C0FD9" w:rsidRPr="00CA25CF" w:rsidRDefault="002C0FD9" w:rsidP="00CA25CF">
            <w:pPr>
              <w:rPr>
                <w:rFonts w:cs="Arial"/>
                <w:color w:val="FF0000"/>
                <w:sz w:val="21"/>
                <w:szCs w:val="21"/>
              </w:rPr>
            </w:pPr>
          </w:p>
        </w:tc>
        <w:tc>
          <w:tcPr>
            <w:tcW w:w="217" w:type="dxa"/>
          </w:tcPr>
          <w:p w14:paraId="06776DF1" w14:textId="77777777" w:rsidR="002C0FD9" w:rsidRPr="00CA25CF" w:rsidRDefault="002C0FD9" w:rsidP="00CA25CF">
            <w:pPr>
              <w:rPr>
                <w:rFonts w:cs="Arial"/>
                <w:color w:val="FF0000"/>
                <w:sz w:val="21"/>
                <w:szCs w:val="21"/>
              </w:rPr>
            </w:pPr>
          </w:p>
        </w:tc>
        <w:tc>
          <w:tcPr>
            <w:tcW w:w="217" w:type="dxa"/>
          </w:tcPr>
          <w:p w14:paraId="2EC1726B" w14:textId="77777777" w:rsidR="002C0FD9" w:rsidRPr="00CA25CF" w:rsidRDefault="002C0FD9" w:rsidP="00CA25CF">
            <w:pPr>
              <w:rPr>
                <w:rFonts w:cs="Arial"/>
                <w:color w:val="FF0000"/>
                <w:sz w:val="21"/>
                <w:szCs w:val="21"/>
              </w:rPr>
            </w:pPr>
          </w:p>
        </w:tc>
        <w:tc>
          <w:tcPr>
            <w:tcW w:w="217" w:type="dxa"/>
          </w:tcPr>
          <w:p w14:paraId="4E4F51BB" w14:textId="77777777" w:rsidR="002C0FD9" w:rsidRPr="00CA25CF" w:rsidRDefault="002C0FD9" w:rsidP="00CA25CF">
            <w:pPr>
              <w:rPr>
                <w:rFonts w:cs="Arial"/>
                <w:color w:val="FF0000"/>
                <w:sz w:val="21"/>
                <w:szCs w:val="21"/>
              </w:rPr>
            </w:pPr>
          </w:p>
        </w:tc>
        <w:tc>
          <w:tcPr>
            <w:tcW w:w="217" w:type="dxa"/>
          </w:tcPr>
          <w:p w14:paraId="53FF4B20" w14:textId="77777777" w:rsidR="002C0FD9" w:rsidRPr="00CA25CF" w:rsidRDefault="002C0FD9" w:rsidP="00CA25CF">
            <w:pPr>
              <w:rPr>
                <w:rFonts w:cs="Arial"/>
                <w:color w:val="FF0000"/>
                <w:sz w:val="21"/>
                <w:szCs w:val="21"/>
              </w:rPr>
            </w:pPr>
          </w:p>
        </w:tc>
        <w:tc>
          <w:tcPr>
            <w:tcW w:w="217" w:type="dxa"/>
          </w:tcPr>
          <w:p w14:paraId="03F1DC73" w14:textId="77777777" w:rsidR="002C0FD9" w:rsidRPr="00CA25CF" w:rsidRDefault="002C0FD9" w:rsidP="00CA25CF">
            <w:pPr>
              <w:rPr>
                <w:rFonts w:cs="Arial"/>
                <w:color w:val="FF0000"/>
                <w:sz w:val="21"/>
                <w:szCs w:val="21"/>
              </w:rPr>
            </w:pPr>
          </w:p>
        </w:tc>
        <w:tc>
          <w:tcPr>
            <w:tcW w:w="217" w:type="dxa"/>
          </w:tcPr>
          <w:p w14:paraId="70A2E8BD" w14:textId="77777777" w:rsidR="002C0FD9" w:rsidRPr="00CA25CF" w:rsidRDefault="002C0FD9" w:rsidP="00CA25CF">
            <w:pPr>
              <w:rPr>
                <w:rFonts w:cs="Arial"/>
                <w:color w:val="FF0000"/>
                <w:sz w:val="21"/>
                <w:szCs w:val="21"/>
              </w:rPr>
            </w:pPr>
          </w:p>
        </w:tc>
        <w:tc>
          <w:tcPr>
            <w:tcW w:w="217" w:type="dxa"/>
          </w:tcPr>
          <w:p w14:paraId="34C78702" w14:textId="77777777" w:rsidR="002C0FD9" w:rsidRPr="00CA25CF" w:rsidRDefault="002C0FD9" w:rsidP="00CA25CF">
            <w:pPr>
              <w:rPr>
                <w:rFonts w:cs="Arial"/>
                <w:color w:val="FF0000"/>
                <w:sz w:val="21"/>
                <w:szCs w:val="21"/>
              </w:rPr>
            </w:pPr>
          </w:p>
        </w:tc>
        <w:tc>
          <w:tcPr>
            <w:tcW w:w="217" w:type="dxa"/>
          </w:tcPr>
          <w:p w14:paraId="6593243A" w14:textId="77777777" w:rsidR="002C0FD9" w:rsidRPr="00CA25CF" w:rsidRDefault="002C0FD9" w:rsidP="00CA25CF">
            <w:pPr>
              <w:rPr>
                <w:rFonts w:cs="Arial"/>
                <w:color w:val="FF0000"/>
                <w:sz w:val="21"/>
                <w:szCs w:val="21"/>
              </w:rPr>
            </w:pPr>
          </w:p>
        </w:tc>
        <w:tc>
          <w:tcPr>
            <w:tcW w:w="217" w:type="dxa"/>
          </w:tcPr>
          <w:p w14:paraId="58E1B05E" w14:textId="77777777" w:rsidR="002C0FD9" w:rsidRPr="00CA25CF" w:rsidRDefault="002C0FD9" w:rsidP="00CA25CF">
            <w:pPr>
              <w:rPr>
                <w:rFonts w:cs="Arial"/>
                <w:color w:val="FF0000"/>
                <w:sz w:val="21"/>
                <w:szCs w:val="21"/>
              </w:rPr>
            </w:pPr>
          </w:p>
        </w:tc>
        <w:tc>
          <w:tcPr>
            <w:tcW w:w="217" w:type="dxa"/>
          </w:tcPr>
          <w:p w14:paraId="6537E42E" w14:textId="77777777" w:rsidR="002C0FD9" w:rsidRPr="00CA25CF" w:rsidRDefault="002C0FD9" w:rsidP="00CA25CF">
            <w:pPr>
              <w:rPr>
                <w:rFonts w:cs="Arial"/>
                <w:color w:val="FF0000"/>
                <w:sz w:val="21"/>
                <w:szCs w:val="21"/>
              </w:rPr>
            </w:pPr>
          </w:p>
        </w:tc>
        <w:tc>
          <w:tcPr>
            <w:tcW w:w="217" w:type="dxa"/>
          </w:tcPr>
          <w:p w14:paraId="2C39B757" w14:textId="77777777" w:rsidR="002C0FD9" w:rsidRPr="00CA25CF" w:rsidRDefault="002C0FD9" w:rsidP="00CA25CF">
            <w:pPr>
              <w:rPr>
                <w:rFonts w:cs="Arial"/>
                <w:color w:val="FF0000"/>
                <w:sz w:val="21"/>
                <w:szCs w:val="21"/>
              </w:rPr>
            </w:pPr>
          </w:p>
        </w:tc>
        <w:tc>
          <w:tcPr>
            <w:tcW w:w="217" w:type="dxa"/>
          </w:tcPr>
          <w:p w14:paraId="3D3B5D65" w14:textId="77777777" w:rsidR="002C0FD9" w:rsidRPr="00CA25CF" w:rsidRDefault="002C0FD9" w:rsidP="00CA25CF">
            <w:pPr>
              <w:rPr>
                <w:rFonts w:cs="Arial"/>
                <w:color w:val="FF0000"/>
                <w:sz w:val="21"/>
                <w:szCs w:val="21"/>
              </w:rPr>
            </w:pPr>
          </w:p>
        </w:tc>
        <w:tc>
          <w:tcPr>
            <w:tcW w:w="217" w:type="dxa"/>
          </w:tcPr>
          <w:p w14:paraId="297ACEE6" w14:textId="77777777" w:rsidR="002C0FD9" w:rsidRPr="00CA25CF" w:rsidRDefault="002C0FD9" w:rsidP="00CA25CF">
            <w:pPr>
              <w:rPr>
                <w:rFonts w:cs="Arial"/>
                <w:color w:val="FF0000"/>
                <w:sz w:val="21"/>
                <w:szCs w:val="21"/>
              </w:rPr>
            </w:pPr>
          </w:p>
        </w:tc>
        <w:tc>
          <w:tcPr>
            <w:tcW w:w="217" w:type="dxa"/>
          </w:tcPr>
          <w:p w14:paraId="676013E9" w14:textId="77777777" w:rsidR="002C0FD9" w:rsidRPr="00CA25CF" w:rsidRDefault="002C0FD9" w:rsidP="00CA25CF">
            <w:pPr>
              <w:rPr>
                <w:rFonts w:cs="Arial"/>
                <w:color w:val="FF0000"/>
                <w:sz w:val="21"/>
                <w:szCs w:val="21"/>
              </w:rPr>
            </w:pPr>
          </w:p>
        </w:tc>
        <w:tc>
          <w:tcPr>
            <w:tcW w:w="217" w:type="dxa"/>
          </w:tcPr>
          <w:p w14:paraId="6BE8C0FC" w14:textId="77777777" w:rsidR="002C0FD9" w:rsidRPr="00CA25CF" w:rsidRDefault="002C0FD9" w:rsidP="00CA25CF">
            <w:pPr>
              <w:rPr>
                <w:rFonts w:cs="Arial"/>
                <w:color w:val="FF0000"/>
                <w:sz w:val="21"/>
                <w:szCs w:val="21"/>
              </w:rPr>
            </w:pPr>
          </w:p>
        </w:tc>
        <w:tc>
          <w:tcPr>
            <w:tcW w:w="217" w:type="dxa"/>
          </w:tcPr>
          <w:p w14:paraId="5B40809A" w14:textId="77777777" w:rsidR="002C0FD9" w:rsidRPr="00CA25CF" w:rsidRDefault="002C0FD9" w:rsidP="00CA25CF">
            <w:pPr>
              <w:rPr>
                <w:rFonts w:cs="Arial"/>
                <w:color w:val="FF0000"/>
                <w:sz w:val="21"/>
                <w:szCs w:val="21"/>
              </w:rPr>
            </w:pPr>
          </w:p>
        </w:tc>
        <w:tc>
          <w:tcPr>
            <w:tcW w:w="217" w:type="dxa"/>
          </w:tcPr>
          <w:p w14:paraId="549273ED" w14:textId="77777777" w:rsidR="002C0FD9" w:rsidRPr="00CA25CF" w:rsidRDefault="002C0FD9" w:rsidP="00CA25CF">
            <w:pPr>
              <w:rPr>
                <w:rFonts w:cs="Arial"/>
                <w:color w:val="FF0000"/>
                <w:sz w:val="21"/>
                <w:szCs w:val="21"/>
              </w:rPr>
            </w:pPr>
          </w:p>
        </w:tc>
        <w:tc>
          <w:tcPr>
            <w:tcW w:w="217" w:type="dxa"/>
          </w:tcPr>
          <w:p w14:paraId="11763F17" w14:textId="77777777" w:rsidR="002C0FD9" w:rsidRPr="00CA25CF" w:rsidRDefault="002C0FD9" w:rsidP="00CA25CF">
            <w:pPr>
              <w:rPr>
                <w:rFonts w:cs="Arial"/>
                <w:color w:val="FF0000"/>
                <w:sz w:val="21"/>
                <w:szCs w:val="21"/>
              </w:rPr>
            </w:pPr>
          </w:p>
        </w:tc>
        <w:tc>
          <w:tcPr>
            <w:tcW w:w="217" w:type="dxa"/>
          </w:tcPr>
          <w:p w14:paraId="005F0FBB" w14:textId="77777777" w:rsidR="002C0FD9" w:rsidRPr="00CA25CF" w:rsidRDefault="002C0FD9" w:rsidP="00CA25CF">
            <w:pPr>
              <w:rPr>
                <w:rFonts w:cs="Arial"/>
                <w:color w:val="FF0000"/>
                <w:sz w:val="21"/>
                <w:szCs w:val="21"/>
              </w:rPr>
            </w:pPr>
          </w:p>
        </w:tc>
        <w:tc>
          <w:tcPr>
            <w:tcW w:w="217" w:type="dxa"/>
          </w:tcPr>
          <w:p w14:paraId="59EB1927" w14:textId="77777777" w:rsidR="002C0FD9" w:rsidRPr="00CA25CF" w:rsidRDefault="002C0FD9" w:rsidP="00CA25CF">
            <w:pPr>
              <w:rPr>
                <w:rFonts w:cs="Arial"/>
                <w:color w:val="FF0000"/>
                <w:sz w:val="21"/>
                <w:szCs w:val="21"/>
              </w:rPr>
            </w:pPr>
          </w:p>
        </w:tc>
        <w:tc>
          <w:tcPr>
            <w:tcW w:w="217" w:type="dxa"/>
          </w:tcPr>
          <w:p w14:paraId="2B30CB0E" w14:textId="77777777" w:rsidR="002C0FD9" w:rsidRPr="00CA25CF" w:rsidRDefault="002C0FD9" w:rsidP="00CA25CF">
            <w:pPr>
              <w:rPr>
                <w:rFonts w:cs="Arial"/>
                <w:color w:val="FF0000"/>
                <w:sz w:val="21"/>
                <w:szCs w:val="21"/>
              </w:rPr>
            </w:pPr>
          </w:p>
        </w:tc>
        <w:tc>
          <w:tcPr>
            <w:tcW w:w="217" w:type="dxa"/>
          </w:tcPr>
          <w:p w14:paraId="09EAB0CE" w14:textId="77777777" w:rsidR="002C0FD9" w:rsidRPr="00CA25CF" w:rsidRDefault="002C0FD9" w:rsidP="00CA25CF">
            <w:pPr>
              <w:rPr>
                <w:rFonts w:cs="Arial"/>
                <w:color w:val="FF0000"/>
                <w:sz w:val="21"/>
                <w:szCs w:val="21"/>
              </w:rPr>
            </w:pPr>
          </w:p>
        </w:tc>
        <w:tc>
          <w:tcPr>
            <w:tcW w:w="217" w:type="dxa"/>
          </w:tcPr>
          <w:p w14:paraId="0B8D84B7" w14:textId="77777777" w:rsidR="002C0FD9" w:rsidRPr="00CA25CF" w:rsidRDefault="002C0FD9" w:rsidP="00CA25CF">
            <w:pPr>
              <w:rPr>
                <w:rFonts w:cs="Arial"/>
                <w:color w:val="FF0000"/>
                <w:sz w:val="21"/>
                <w:szCs w:val="21"/>
              </w:rPr>
            </w:pPr>
          </w:p>
        </w:tc>
        <w:tc>
          <w:tcPr>
            <w:tcW w:w="217" w:type="dxa"/>
          </w:tcPr>
          <w:p w14:paraId="4F290498" w14:textId="77777777" w:rsidR="002C0FD9" w:rsidRPr="00CA25CF" w:rsidRDefault="002C0FD9" w:rsidP="00CA25CF">
            <w:pPr>
              <w:rPr>
                <w:rFonts w:cs="Arial"/>
                <w:color w:val="FF0000"/>
                <w:sz w:val="21"/>
                <w:szCs w:val="21"/>
              </w:rPr>
            </w:pPr>
          </w:p>
        </w:tc>
        <w:tc>
          <w:tcPr>
            <w:tcW w:w="217" w:type="dxa"/>
          </w:tcPr>
          <w:p w14:paraId="73A22A2F" w14:textId="77777777" w:rsidR="002C0FD9" w:rsidRPr="00CA25CF" w:rsidRDefault="002C0FD9" w:rsidP="00CA25CF">
            <w:pPr>
              <w:rPr>
                <w:rFonts w:cs="Arial"/>
                <w:color w:val="FF0000"/>
                <w:sz w:val="21"/>
                <w:szCs w:val="21"/>
              </w:rPr>
            </w:pPr>
          </w:p>
        </w:tc>
        <w:tc>
          <w:tcPr>
            <w:tcW w:w="217" w:type="dxa"/>
          </w:tcPr>
          <w:p w14:paraId="2F394DA7" w14:textId="77777777" w:rsidR="002C0FD9" w:rsidRPr="00CA25CF" w:rsidRDefault="002C0FD9" w:rsidP="00CA25CF">
            <w:pPr>
              <w:rPr>
                <w:rFonts w:cs="Arial"/>
                <w:color w:val="FF0000"/>
                <w:sz w:val="21"/>
                <w:szCs w:val="21"/>
              </w:rPr>
            </w:pPr>
          </w:p>
        </w:tc>
        <w:tc>
          <w:tcPr>
            <w:tcW w:w="217" w:type="dxa"/>
          </w:tcPr>
          <w:p w14:paraId="4464CDD1" w14:textId="77777777" w:rsidR="002C0FD9" w:rsidRPr="00CA25CF" w:rsidRDefault="002C0FD9" w:rsidP="00CA25CF">
            <w:pPr>
              <w:rPr>
                <w:rFonts w:cs="Arial"/>
                <w:color w:val="FF0000"/>
                <w:sz w:val="21"/>
                <w:szCs w:val="21"/>
              </w:rPr>
            </w:pPr>
          </w:p>
        </w:tc>
        <w:tc>
          <w:tcPr>
            <w:tcW w:w="217" w:type="dxa"/>
          </w:tcPr>
          <w:p w14:paraId="6A38B612" w14:textId="77777777" w:rsidR="002C0FD9" w:rsidRPr="00CA25CF" w:rsidRDefault="002C0FD9" w:rsidP="00CA25CF">
            <w:pPr>
              <w:rPr>
                <w:rFonts w:cs="Arial"/>
                <w:color w:val="FF0000"/>
                <w:sz w:val="21"/>
                <w:szCs w:val="21"/>
              </w:rPr>
            </w:pPr>
          </w:p>
        </w:tc>
        <w:tc>
          <w:tcPr>
            <w:tcW w:w="217" w:type="dxa"/>
          </w:tcPr>
          <w:p w14:paraId="1CADC701" w14:textId="77777777" w:rsidR="002C0FD9" w:rsidRPr="00CA25CF" w:rsidRDefault="002C0FD9" w:rsidP="00CA25CF">
            <w:pPr>
              <w:rPr>
                <w:rFonts w:cs="Arial"/>
                <w:color w:val="FF0000"/>
                <w:sz w:val="21"/>
                <w:szCs w:val="21"/>
              </w:rPr>
            </w:pPr>
          </w:p>
        </w:tc>
        <w:tc>
          <w:tcPr>
            <w:tcW w:w="217" w:type="dxa"/>
          </w:tcPr>
          <w:p w14:paraId="51B82B82" w14:textId="77777777" w:rsidR="002C0FD9" w:rsidRPr="00CA25CF" w:rsidRDefault="002C0FD9" w:rsidP="00CA25CF">
            <w:pPr>
              <w:rPr>
                <w:rFonts w:cs="Arial"/>
                <w:color w:val="FF0000"/>
                <w:sz w:val="21"/>
                <w:szCs w:val="21"/>
              </w:rPr>
            </w:pPr>
          </w:p>
        </w:tc>
      </w:tr>
      <w:tr w:rsidR="002C0FD9" w:rsidRPr="00A16219" w14:paraId="135E97F7" w14:textId="77777777" w:rsidTr="002C0FD9">
        <w:trPr>
          <w:trHeight w:val="635"/>
        </w:trPr>
        <w:tc>
          <w:tcPr>
            <w:tcW w:w="515" w:type="dxa"/>
          </w:tcPr>
          <w:p w14:paraId="788004F3" w14:textId="77777777" w:rsidR="002C0FD9" w:rsidRPr="00CA25CF" w:rsidRDefault="002C0FD9" w:rsidP="00CA25CF">
            <w:pPr>
              <w:rPr>
                <w:rFonts w:cs="Arial"/>
                <w:color w:val="FF0000"/>
                <w:sz w:val="21"/>
                <w:szCs w:val="21"/>
              </w:rPr>
            </w:pPr>
          </w:p>
        </w:tc>
        <w:tc>
          <w:tcPr>
            <w:tcW w:w="217" w:type="dxa"/>
          </w:tcPr>
          <w:p w14:paraId="624ACDD8" w14:textId="77777777" w:rsidR="002C0FD9" w:rsidRPr="00CA25CF" w:rsidRDefault="002C0FD9" w:rsidP="00CA25CF">
            <w:pPr>
              <w:rPr>
                <w:rFonts w:cs="Arial"/>
                <w:color w:val="FF0000"/>
                <w:sz w:val="21"/>
                <w:szCs w:val="21"/>
              </w:rPr>
            </w:pPr>
          </w:p>
        </w:tc>
        <w:tc>
          <w:tcPr>
            <w:tcW w:w="217" w:type="dxa"/>
          </w:tcPr>
          <w:p w14:paraId="6AC7C323" w14:textId="77777777" w:rsidR="002C0FD9" w:rsidRPr="00CA25CF" w:rsidRDefault="002C0FD9" w:rsidP="00CA25CF">
            <w:pPr>
              <w:rPr>
                <w:rFonts w:cs="Arial"/>
                <w:color w:val="FF0000"/>
                <w:sz w:val="21"/>
                <w:szCs w:val="21"/>
              </w:rPr>
            </w:pPr>
          </w:p>
        </w:tc>
        <w:tc>
          <w:tcPr>
            <w:tcW w:w="217" w:type="dxa"/>
          </w:tcPr>
          <w:p w14:paraId="0C961698" w14:textId="77777777" w:rsidR="002C0FD9" w:rsidRPr="00CA25CF" w:rsidRDefault="002C0FD9" w:rsidP="00CA25CF">
            <w:pPr>
              <w:rPr>
                <w:rFonts w:cs="Arial"/>
                <w:color w:val="FF0000"/>
                <w:sz w:val="21"/>
                <w:szCs w:val="21"/>
              </w:rPr>
            </w:pPr>
          </w:p>
        </w:tc>
        <w:tc>
          <w:tcPr>
            <w:tcW w:w="217" w:type="dxa"/>
          </w:tcPr>
          <w:p w14:paraId="74ED88E0" w14:textId="77777777" w:rsidR="002C0FD9" w:rsidRPr="00CA25CF" w:rsidRDefault="002C0FD9" w:rsidP="00CA25CF">
            <w:pPr>
              <w:rPr>
                <w:rFonts w:cs="Arial"/>
                <w:color w:val="FF0000"/>
                <w:sz w:val="21"/>
                <w:szCs w:val="21"/>
              </w:rPr>
            </w:pPr>
          </w:p>
        </w:tc>
        <w:tc>
          <w:tcPr>
            <w:tcW w:w="217" w:type="dxa"/>
          </w:tcPr>
          <w:p w14:paraId="57A8FA67" w14:textId="77777777" w:rsidR="002C0FD9" w:rsidRPr="00CA25CF" w:rsidRDefault="002C0FD9" w:rsidP="00CA25CF">
            <w:pPr>
              <w:rPr>
                <w:rFonts w:cs="Arial"/>
                <w:color w:val="FF0000"/>
                <w:sz w:val="21"/>
                <w:szCs w:val="21"/>
              </w:rPr>
            </w:pPr>
          </w:p>
        </w:tc>
        <w:tc>
          <w:tcPr>
            <w:tcW w:w="217" w:type="dxa"/>
          </w:tcPr>
          <w:p w14:paraId="089B1305" w14:textId="77777777" w:rsidR="002C0FD9" w:rsidRPr="00CA25CF" w:rsidRDefault="002C0FD9" w:rsidP="00CA25CF">
            <w:pPr>
              <w:rPr>
                <w:rFonts w:cs="Arial"/>
                <w:color w:val="FF0000"/>
                <w:sz w:val="21"/>
                <w:szCs w:val="21"/>
              </w:rPr>
            </w:pPr>
          </w:p>
        </w:tc>
        <w:tc>
          <w:tcPr>
            <w:tcW w:w="217" w:type="dxa"/>
          </w:tcPr>
          <w:p w14:paraId="403552E0" w14:textId="77777777" w:rsidR="002C0FD9" w:rsidRPr="00CA25CF" w:rsidRDefault="002C0FD9" w:rsidP="00CA25CF">
            <w:pPr>
              <w:rPr>
                <w:rFonts w:cs="Arial"/>
                <w:color w:val="FF0000"/>
                <w:sz w:val="21"/>
                <w:szCs w:val="21"/>
              </w:rPr>
            </w:pPr>
          </w:p>
        </w:tc>
        <w:tc>
          <w:tcPr>
            <w:tcW w:w="217" w:type="dxa"/>
          </w:tcPr>
          <w:p w14:paraId="58B92DB8" w14:textId="77777777" w:rsidR="002C0FD9" w:rsidRPr="00CA25CF" w:rsidRDefault="002C0FD9" w:rsidP="00CA25CF">
            <w:pPr>
              <w:rPr>
                <w:rFonts w:cs="Arial"/>
                <w:color w:val="FF0000"/>
                <w:sz w:val="21"/>
                <w:szCs w:val="21"/>
              </w:rPr>
            </w:pPr>
          </w:p>
        </w:tc>
        <w:tc>
          <w:tcPr>
            <w:tcW w:w="217" w:type="dxa"/>
          </w:tcPr>
          <w:p w14:paraId="531BDD96" w14:textId="77777777" w:rsidR="002C0FD9" w:rsidRPr="00CA25CF" w:rsidRDefault="002C0FD9" w:rsidP="00CA25CF">
            <w:pPr>
              <w:rPr>
                <w:rFonts w:cs="Arial"/>
                <w:color w:val="FF0000"/>
                <w:sz w:val="21"/>
                <w:szCs w:val="21"/>
              </w:rPr>
            </w:pPr>
          </w:p>
        </w:tc>
        <w:tc>
          <w:tcPr>
            <w:tcW w:w="217" w:type="dxa"/>
          </w:tcPr>
          <w:p w14:paraId="6F1092FD" w14:textId="77777777" w:rsidR="002C0FD9" w:rsidRPr="00CA25CF" w:rsidRDefault="002C0FD9" w:rsidP="00CA25CF">
            <w:pPr>
              <w:rPr>
                <w:rFonts w:cs="Arial"/>
                <w:color w:val="FF0000"/>
                <w:sz w:val="21"/>
                <w:szCs w:val="21"/>
              </w:rPr>
            </w:pPr>
          </w:p>
        </w:tc>
        <w:tc>
          <w:tcPr>
            <w:tcW w:w="217" w:type="dxa"/>
          </w:tcPr>
          <w:p w14:paraId="69E3E965" w14:textId="77777777" w:rsidR="002C0FD9" w:rsidRPr="00CA25CF" w:rsidRDefault="002C0FD9" w:rsidP="00CA25CF">
            <w:pPr>
              <w:rPr>
                <w:rFonts w:cs="Arial"/>
                <w:color w:val="FF0000"/>
                <w:sz w:val="21"/>
                <w:szCs w:val="21"/>
              </w:rPr>
            </w:pPr>
          </w:p>
        </w:tc>
        <w:tc>
          <w:tcPr>
            <w:tcW w:w="217" w:type="dxa"/>
          </w:tcPr>
          <w:p w14:paraId="677DC0B3" w14:textId="77777777" w:rsidR="002C0FD9" w:rsidRPr="00CA25CF" w:rsidRDefault="002C0FD9" w:rsidP="00CA25CF">
            <w:pPr>
              <w:rPr>
                <w:rFonts w:cs="Arial"/>
                <w:color w:val="FF0000"/>
                <w:sz w:val="21"/>
                <w:szCs w:val="21"/>
              </w:rPr>
            </w:pPr>
          </w:p>
        </w:tc>
        <w:tc>
          <w:tcPr>
            <w:tcW w:w="217" w:type="dxa"/>
          </w:tcPr>
          <w:p w14:paraId="5E567A47" w14:textId="77777777" w:rsidR="002C0FD9" w:rsidRPr="00CA25CF" w:rsidRDefault="002C0FD9" w:rsidP="00CA25CF">
            <w:pPr>
              <w:rPr>
                <w:rFonts w:cs="Arial"/>
                <w:color w:val="FF0000"/>
                <w:sz w:val="21"/>
                <w:szCs w:val="21"/>
              </w:rPr>
            </w:pPr>
          </w:p>
        </w:tc>
        <w:tc>
          <w:tcPr>
            <w:tcW w:w="217" w:type="dxa"/>
          </w:tcPr>
          <w:p w14:paraId="369DDB2C" w14:textId="77777777" w:rsidR="002C0FD9" w:rsidRPr="00CA25CF" w:rsidRDefault="002C0FD9" w:rsidP="00CA25CF">
            <w:pPr>
              <w:rPr>
                <w:rFonts w:cs="Arial"/>
                <w:color w:val="FF0000"/>
                <w:sz w:val="21"/>
                <w:szCs w:val="21"/>
              </w:rPr>
            </w:pPr>
          </w:p>
        </w:tc>
        <w:tc>
          <w:tcPr>
            <w:tcW w:w="217" w:type="dxa"/>
          </w:tcPr>
          <w:p w14:paraId="60EDF79B" w14:textId="77777777" w:rsidR="002C0FD9" w:rsidRPr="00CA25CF" w:rsidRDefault="002C0FD9" w:rsidP="00CA25CF">
            <w:pPr>
              <w:rPr>
                <w:rFonts w:cs="Arial"/>
                <w:color w:val="FF0000"/>
                <w:sz w:val="21"/>
                <w:szCs w:val="21"/>
              </w:rPr>
            </w:pPr>
          </w:p>
        </w:tc>
        <w:tc>
          <w:tcPr>
            <w:tcW w:w="217" w:type="dxa"/>
          </w:tcPr>
          <w:p w14:paraId="2440E03C" w14:textId="77777777" w:rsidR="002C0FD9" w:rsidRPr="00CA25CF" w:rsidRDefault="002C0FD9" w:rsidP="00CA25CF">
            <w:pPr>
              <w:rPr>
                <w:rFonts w:cs="Arial"/>
                <w:color w:val="FF0000"/>
                <w:sz w:val="21"/>
                <w:szCs w:val="21"/>
              </w:rPr>
            </w:pPr>
          </w:p>
        </w:tc>
        <w:tc>
          <w:tcPr>
            <w:tcW w:w="217" w:type="dxa"/>
          </w:tcPr>
          <w:p w14:paraId="67E718FD" w14:textId="77777777" w:rsidR="002C0FD9" w:rsidRPr="00CA25CF" w:rsidRDefault="002C0FD9" w:rsidP="00CA25CF">
            <w:pPr>
              <w:rPr>
                <w:rFonts w:cs="Arial"/>
                <w:color w:val="FF0000"/>
                <w:sz w:val="21"/>
                <w:szCs w:val="21"/>
              </w:rPr>
            </w:pPr>
          </w:p>
        </w:tc>
        <w:tc>
          <w:tcPr>
            <w:tcW w:w="217" w:type="dxa"/>
          </w:tcPr>
          <w:p w14:paraId="27B68EC8" w14:textId="77777777" w:rsidR="002C0FD9" w:rsidRPr="00CA25CF" w:rsidRDefault="002C0FD9" w:rsidP="00CA25CF">
            <w:pPr>
              <w:rPr>
                <w:rFonts w:cs="Arial"/>
                <w:color w:val="FF0000"/>
                <w:sz w:val="21"/>
                <w:szCs w:val="21"/>
              </w:rPr>
            </w:pPr>
          </w:p>
        </w:tc>
        <w:tc>
          <w:tcPr>
            <w:tcW w:w="217" w:type="dxa"/>
          </w:tcPr>
          <w:p w14:paraId="21906593" w14:textId="77777777" w:rsidR="002C0FD9" w:rsidRPr="00CA25CF" w:rsidRDefault="002C0FD9" w:rsidP="00CA25CF">
            <w:pPr>
              <w:rPr>
                <w:rFonts w:cs="Arial"/>
                <w:color w:val="FF0000"/>
                <w:sz w:val="21"/>
                <w:szCs w:val="21"/>
              </w:rPr>
            </w:pPr>
          </w:p>
        </w:tc>
        <w:tc>
          <w:tcPr>
            <w:tcW w:w="217" w:type="dxa"/>
          </w:tcPr>
          <w:p w14:paraId="3B9586DA" w14:textId="77777777" w:rsidR="002C0FD9" w:rsidRPr="00CA25CF" w:rsidRDefault="002C0FD9" w:rsidP="00CA25CF">
            <w:pPr>
              <w:rPr>
                <w:rFonts w:cs="Arial"/>
                <w:color w:val="FF0000"/>
                <w:sz w:val="21"/>
                <w:szCs w:val="21"/>
              </w:rPr>
            </w:pPr>
          </w:p>
        </w:tc>
        <w:tc>
          <w:tcPr>
            <w:tcW w:w="217" w:type="dxa"/>
          </w:tcPr>
          <w:p w14:paraId="726339DA" w14:textId="77777777" w:rsidR="002C0FD9" w:rsidRPr="00CA25CF" w:rsidRDefault="002C0FD9" w:rsidP="00CA25CF">
            <w:pPr>
              <w:rPr>
                <w:rFonts w:cs="Arial"/>
                <w:color w:val="FF0000"/>
                <w:sz w:val="21"/>
                <w:szCs w:val="21"/>
              </w:rPr>
            </w:pPr>
          </w:p>
        </w:tc>
        <w:tc>
          <w:tcPr>
            <w:tcW w:w="217" w:type="dxa"/>
          </w:tcPr>
          <w:p w14:paraId="63AF462C" w14:textId="77777777" w:rsidR="002C0FD9" w:rsidRPr="00CA25CF" w:rsidRDefault="002C0FD9" w:rsidP="00CA25CF">
            <w:pPr>
              <w:rPr>
                <w:rFonts w:cs="Arial"/>
                <w:color w:val="FF0000"/>
                <w:sz w:val="21"/>
                <w:szCs w:val="21"/>
              </w:rPr>
            </w:pPr>
          </w:p>
        </w:tc>
        <w:tc>
          <w:tcPr>
            <w:tcW w:w="217" w:type="dxa"/>
          </w:tcPr>
          <w:p w14:paraId="5623E811" w14:textId="77777777" w:rsidR="002C0FD9" w:rsidRPr="00CA25CF" w:rsidRDefault="002C0FD9" w:rsidP="00CA25CF">
            <w:pPr>
              <w:rPr>
                <w:rFonts w:cs="Arial"/>
                <w:color w:val="FF0000"/>
                <w:sz w:val="21"/>
                <w:szCs w:val="21"/>
              </w:rPr>
            </w:pPr>
          </w:p>
        </w:tc>
        <w:tc>
          <w:tcPr>
            <w:tcW w:w="217" w:type="dxa"/>
          </w:tcPr>
          <w:p w14:paraId="3A8AA519" w14:textId="77777777" w:rsidR="002C0FD9" w:rsidRPr="00CA25CF" w:rsidRDefault="002C0FD9" w:rsidP="00CA25CF">
            <w:pPr>
              <w:rPr>
                <w:rFonts w:cs="Arial"/>
                <w:color w:val="FF0000"/>
                <w:sz w:val="21"/>
                <w:szCs w:val="21"/>
              </w:rPr>
            </w:pPr>
          </w:p>
        </w:tc>
        <w:tc>
          <w:tcPr>
            <w:tcW w:w="217" w:type="dxa"/>
          </w:tcPr>
          <w:p w14:paraId="73EC9083" w14:textId="77777777" w:rsidR="002C0FD9" w:rsidRPr="00CA25CF" w:rsidRDefault="002C0FD9" w:rsidP="00CA25CF">
            <w:pPr>
              <w:rPr>
                <w:rFonts w:cs="Arial"/>
                <w:color w:val="FF0000"/>
                <w:sz w:val="21"/>
                <w:szCs w:val="21"/>
              </w:rPr>
            </w:pPr>
          </w:p>
        </w:tc>
        <w:tc>
          <w:tcPr>
            <w:tcW w:w="217" w:type="dxa"/>
          </w:tcPr>
          <w:p w14:paraId="5570E906" w14:textId="77777777" w:rsidR="002C0FD9" w:rsidRPr="00CA25CF" w:rsidRDefault="002C0FD9" w:rsidP="00CA25CF">
            <w:pPr>
              <w:rPr>
                <w:rFonts w:cs="Arial"/>
                <w:color w:val="FF0000"/>
                <w:sz w:val="21"/>
                <w:szCs w:val="21"/>
              </w:rPr>
            </w:pPr>
          </w:p>
        </w:tc>
        <w:tc>
          <w:tcPr>
            <w:tcW w:w="217" w:type="dxa"/>
          </w:tcPr>
          <w:p w14:paraId="67A8798C" w14:textId="77777777" w:rsidR="002C0FD9" w:rsidRPr="00CA25CF" w:rsidRDefault="002C0FD9" w:rsidP="00CA25CF">
            <w:pPr>
              <w:rPr>
                <w:rFonts w:cs="Arial"/>
                <w:color w:val="FF0000"/>
                <w:sz w:val="21"/>
                <w:szCs w:val="21"/>
              </w:rPr>
            </w:pPr>
          </w:p>
        </w:tc>
        <w:tc>
          <w:tcPr>
            <w:tcW w:w="217" w:type="dxa"/>
          </w:tcPr>
          <w:p w14:paraId="454BDF0E" w14:textId="77777777" w:rsidR="002C0FD9" w:rsidRPr="00CA25CF" w:rsidRDefault="002C0FD9" w:rsidP="00CA25CF">
            <w:pPr>
              <w:rPr>
                <w:rFonts w:cs="Arial"/>
                <w:color w:val="FF0000"/>
                <w:sz w:val="21"/>
                <w:szCs w:val="21"/>
              </w:rPr>
            </w:pPr>
          </w:p>
        </w:tc>
        <w:tc>
          <w:tcPr>
            <w:tcW w:w="217" w:type="dxa"/>
          </w:tcPr>
          <w:p w14:paraId="0AB8E4D8" w14:textId="77777777" w:rsidR="002C0FD9" w:rsidRPr="00CA25CF" w:rsidRDefault="002C0FD9" w:rsidP="00CA25CF">
            <w:pPr>
              <w:rPr>
                <w:rFonts w:cs="Arial"/>
                <w:color w:val="FF0000"/>
                <w:sz w:val="21"/>
                <w:szCs w:val="21"/>
              </w:rPr>
            </w:pPr>
          </w:p>
        </w:tc>
        <w:tc>
          <w:tcPr>
            <w:tcW w:w="217" w:type="dxa"/>
          </w:tcPr>
          <w:p w14:paraId="722FF441" w14:textId="77777777" w:rsidR="002C0FD9" w:rsidRPr="00CA25CF" w:rsidRDefault="002C0FD9" w:rsidP="00CA25CF">
            <w:pPr>
              <w:rPr>
                <w:rFonts w:cs="Arial"/>
                <w:color w:val="FF0000"/>
                <w:sz w:val="21"/>
                <w:szCs w:val="21"/>
              </w:rPr>
            </w:pPr>
          </w:p>
        </w:tc>
        <w:tc>
          <w:tcPr>
            <w:tcW w:w="217" w:type="dxa"/>
          </w:tcPr>
          <w:p w14:paraId="34BA4DE3" w14:textId="77777777" w:rsidR="002C0FD9" w:rsidRPr="00CA25CF" w:rsidRDefault="002C0FD9" w:rsidP="00CA25CF">
            <w:pPr>
              <w:rPr>
                <w:rFonts w:cs="Arial"/>
                <w:color w:val="FF0000"/>
                <w:sz w:val="21"/>
                <w:szCs w:val="21"/>
              </w:rPr>
            </w:pPr>
          </w:p>
        </w:tc>
        <w:tc>
          <w:tcPr>
            <w:tcW w:w="217" w:type="dxa"/>
          </w:tcPr>
          <w:p w14:paraId="6A4AC312" w14:textId="77777777" w:rsidR="002C0FD9" w:rsidRPr="00CA25CF" w:rsidRDefault="002C0FD9" w:rsidP="00CA25CF">
            <w:pPr>
              <w:rPr>
                <w:rFonts w:cs="Arial"/>
                <w:color w:val="FF0000"/>
                <w:sz w:val="21"/>
                <w:szCs w:val="21"/>
              </w:rPr>
            </w:pPr>
          </w:p>
        </w:tc>
        <w:tc>
          <w:tcPr>
            <w:tcW w:w="217" w:type="dxa"/>
          </w:tcPr>
          <w:p w14:paraId="512A7FED" w14:textId="77777777" w:rsidR="002C0FD9" w:rsidRPr="00CA25CF" w:rsidRDefault="002C0FD9" w:rsidP="00CA25CF">
            <w:pPr>
              <w:rPr>
                <w:rFonts w:cs="Arial"/>
                <w:color w:val="FF0000"/>
                <w:sz w:val="21"/>
                <w:szCs w:val="21"/>
              </w:rPr>
            </w:pPr>
          </w:p>
        </w:tc>
        <w:tc>
          <w:tcPr>
            <w:tcW w:w="217" w:type="dxa"/>
          </w:tcPr>
          <w:p w14:paraId="667A80A3" w14:textId="77777777" w:rsidR="002C0FD9" w:rsidRPr="00CA25CF" w:rsidRDefault="002C0FD9" w:rsidP="00CA25CF">
            <w:pPr>
              <w:rPr>
                <w:rFonts w:cs="Arial"/>
                <w:color w:val="FF0000"/>
                <w:sz w:val="21"/>
                <w:szCs w:val="21"/>
              </w:rPr>
            </w:pPr>
          </w:p>
        </w:tc>
        <w:tc>
          <w:tcPr>
            <w:tcW w:w="217" w:type="dxa"/>
          </w:tcPr>
          <w:p w14:paraId="04A5C961" w14:textId="77777777" w:rsidR="002C0FD9" w:rsidRPr="00CA25CF" w:rsidRDefault="002C0FD9" w:rsidP="00CA25CF">
            <w:pPr>
              <w:rPr>
                <w:rFonts w:cs="Arial"/>
                <w:color w:val="FF0000"/>
                <w:sz w:val="21"/>
                <w:szCs w:val="21"/>
              </w:rPr>
            </w:pPr>
          </w:p>
        </w:tc>
        <w:tc>
          <w:tcPr>
            <w:tcW w:w="217" w:type="dxa"/>
          </w:tcPr>
          <w:p w14:paraId="672B51BF" w14:textId="77777777" w:rsidR="002C0FD9" w:rsidRPr="00CA25CF" w:rsidRDefault="002C0FD9" w:rsidP="00CA25CF">
            <w:pPr>
              <w:rPr>
                <w:rFonts w:cs="Arial"/>
                <w:color w:val="FF0000"/>
                <w:sz w:val="21"/>
                <w:szCs w:val="21"/>
              </w:rPr>
            </w:pPr>
          </w:p>
        </w:tc>
        <w:tc>
          <w:tcPr>
            <w:tcW w:w="217" w:type="dxa"/>
          </w:tcPr>
          <w:p w14:paraId="03EBFF7B" w14:textId="77777777" w:rsidR="002C0FD9" w:rsidRPr="00CA25CF" w:rsidRDefault="002C0FD9" w:rsidP="00CA25CF">
            <w:pPr>
              <w:rPr>
                <w:rFonts w:cs="Arial"/>
                <w:color w:val="FF0000"/>
                <w:sz w:val="21"/>
                <w:szCs w:val="21"/>
              </w:rPr>
            </w:pPr>
          </w:p>
        </w:tc>
        <w:tc>
          <w:tcPr>
            <w:tcW w:w="217" w:type="dxa"/>
          </w:tcPr>
          <w:p w14:paraId="0FB4C52A" w14:textId="77777777" w:rsidR="002C0FD9" w:rsidRPr="00CA25CF" w:rsidRDefault="002C0FD9" w:rsidP="00CA25CF">
            <w:pPr>
              <w:rPr>
                <w:rFonts w:cs="Arial"/>
                <w:color w:val="FF0000"/>
                <w:sz w:val="21"/>
                <w:szCs w:val="21"/>
              </w:rPr>
            </w:pPr>
          </w:p>
        </w:tc>
        <w:tc>
          <w:tcPr>
            <w:tcW w:w="217" w:type="dxa"/>
          </w:tcPr>
          <w:p w14:paraId="24FC8791" w14:textId="77777777" w:rsidR="002C0FD9" w:rsidRPr="00CA25CF" w:rsidRDefault="002C0FD9" w:rsidP="00CA25CF">
            <w:pPr>
              <w:rPr>
                <w:rFonts w:cs="Arial"/>
                <w:color w:val="FF0000"/>
                <w:sz w:val="21"/>
                <w:szCs w:val="21"/>
              </w:rPr>
            </w:pPr>
          </w:p>
        </w:tc>
        <w:tc>
          <w:tcPr>
            <w:tcW w:w="217" w:type="dxa"/>
          </w:tcPr>
          <w:p w14:paraId="06E99F12" w14:textId="77777777" w:rsidR="002C0FD9" w:rsidRPr="00CA25CF" w:rsidRDefault="002C0FD9" w:rsidP="00CA25CF">
            <w:pPr>
              <w:rPr>
                <w:rFonts w:cs="Arial"/>
                <w:color w:val="FF0000"/>
                <w:sz w:val="21"/>
                <w:szCs w:val="21"/>
              </w:rPr>
            </w:pPr>
          </w:p>
        </w:tc>
        <w:tc>
          <w:tcPr>
            <w:tcW w:w="217" w:type="dxa"/>
          </w:tcPr>
          <w:p w14:paraId="4B881D67" w14:textId="77777777" w:rsidR="002C0FD9" w:rsidRPr="00CA25CF" w:rsidRDefault="002C0FD9" w:rsidP="00CA25CF">
            <w:pPr>
              <w:rPr>
                <w:rFonts w:cs="Arial"/>
                <w:color w:val="FF0000"/>
                <w:sz w:val="21"/>
                <w:szCs w:val="21"/>
              </w:rPr>
            </w:pPr>
          </w:p>
        </w:tc>
        <w:tc>
          <w:tcPr>
            <w:tcW w:w="217" w:type="dxa"/>
          </w:tcPr>
          <w:p w14:paraId="3FDCC42C" w14:textId="77777777" w:rsidR="002C0FD9" w:rsidRPr="00CA25CF" w:rsidRDefault="002C0FD9" w:rsidP="00CA25CF">
            <w:pPr>
              <w:rPr>
                <w:rFonts w:cs="Arial"/>
                <w:color w:val="FF0000"/>
                <w:sz w:val="21"/>
                <w:szCs w:val="21"/>
              </w:rPr>
            </w:pPr>
          </w:p>
        </w:tc>
      </w:tr>
      <w:tr w:rsidR="002C0FD9" w:rsidRPr="00A16219" w14:paraId="4A4CFEA1" w14:textId="77777777" w:rsidTr="002C0FD9">
        <w:trPr>
          <w:trHeight w:val="635"/>
        </w:trPr>
        <w:tc>
          <w:tcPr>
            <w:tcW w:w="515" w:type="dxa"/>
          </w:tcPr>
          <w:p w14:paraId="2EF89940" w14:textId="77777777" w:rsidR="002C0FD9" w:rsidRPr="00CA25CF" w:rsidRDefault="002C0FD9" w:rsidP="00CA25CF">
            <w:pPr>
              <w:rPr>
                <w:rFonts w:cs="Arial"/>
                <w:color w:val="FF0000"/>
                <w:sz w:val="21"/>
                <w:szCs w:val="21"/>
              </w:rPr>
            </w:pPr>
          </w:p>
        </w:tc>
        <w:tc>
          <w:tcPr>
            <w:tcW w:w="217" w:type="dxa"/>
          </w:tcPr>
          <w:p w14:paraId="121C00C6" w14:textId="77777777" w:rsidR="002C0FD9" w:rsidRPr="00CA25CF" w:rsidRDefault="002C0FD9" w:rsidP="00CA25CF">
            <w:pPr>
              <w:rPr>
                <w:rFonts w:cs="Arial"/>
                <w:color w:val="FF0000"/>
                <w:sz w:val="21"/>
                <w:szCs w:val="21"/>
              </w:rPr>
            </w:pPr>
          </w:p>
        </w:tc>
        <w:tc>
          <w:tcPr>
            <w:tcW w:w="217" w:type="dxa"/>
          </w:tcPr>
          <w:p w14:paraId="57565B35" w14:textId="77777777" w:rsidR="002C0FD9" w:rsidRPr="00CA25CF" w:rsidRDefault="002C0FD9" w:rsidP="00CA25CF">
            <w:pPr>
              <w:rPr>
                <w:rFonts w:cs="Arial"/>
                <w:color w:val="FF0000"/>
                <w:sz w:val="21"/>
                <w:szCs w:val="21"/>
              </w:rPr>
            </w:pPr>
          </w:p>
        </w:tc>
        <w:tc>
          <w:tcPr>
            <w:tcW w:w="217" w:type="dxa"/>
          </w:tcPr>
          <w:p w14:paraId="26F5F1B2" w14:textId="77777777" w:rsidR="002C0FD9" w:rsidRPr="00CA25CF" w:rsidRDefault="002C0FD9" w:rsidP="00CA25CF">
            <w:pPr>
              <w:rPr>
                <w:rFonts w:cs="Arial"/>
                <w:color w:val="FF0000"/>
                <w:sz w:val="21"/>
                <w:szCs w:val="21"/>
              </w:rPr>
            </w:pPr>
          </w:p>
        </w:tc>
        <w:tc>
          <w:tcPr>
            <w:tcW w:w="217" w:type="dxa"/>
          </w:tcPr>
          <w:p w14:paraId="444613A7" w14:textId="77777777" w:rsidR="002C0FD9" w:rsidRPr="00CA25CF" w:rsidRDefault="002C0FD9" w:rsidP="00CA25CF">
            <w:pPr>
              <w:rPr>
                <w:rFonts w:cs="Arial"/>
                <w:color w:val="FF0000"/>
                <w:sz w:val="21"/>
                <w:szCs w:val="21"/>
              </w:rPr>
            </w:pPr>
          </w:p>
        </w:tc>
        <w:tc>
          <w:tcPr>
            <w:tcW w:w="217" w:type="dxa"/>
          </w:tcPr>
          <w:p w14:paraId="4F6CCD47" w14:textId="77777777" w:rsidR="002C0FD9" w:rsidRPr="00CA25CF" w:rsidRDefault="002C0FD9" w:rsidP="00CA25CF">
            <w:pPr>
              <w:rPr>
                <w:rFonts w:cs="Arial"/>
                <w:color w:val="FF0000"/>
                <w:sz w:val="21"/>
                <w:szCs w:val="21"/>
              </w:rPr>
            </w:pPr>
          </w:p>
        </w:tc>
        <w:tc>
          <w:tcPr>
            <w:tcW w:w="217" w:type="dxa"/>
          </w:tcPr>
          <w:p w14:paraId="1C0BEDF1" w14:textId="77777777" w:rsidR="002C0FD9" w:rsidRPr="00CA25CF" w:rsidRDefault="002C0FD9" w:rsidP="00CA25CF">
            <w:pPr>
              <w:rPr>
                <w:rFonts w:cs="Arial"/>
                <w:color w:val="FF0000"/>
                <w:sz w:val="21"/>
                <w:szCs w:val="21"/>
              </w:rPr>
            </w:pPr>
          </w:p>
        </w:tc>
        <w:tc>
          <w:tcPr>
            <w:tcW w:w="217" w:type="dxa"/>
          </w:tcPr>
          <w:p w14:paraId="10B40587" w14:textId="77777777" w:rsidR="002C0FD9" w:rsidRPr="00CA25CF" w:rsidRDefault="002C0FD9" w:rsidP="00CA25CF">
            <w:pPr>
              <w:rPr>
                <w:rFonts w:cs="Arial"/>
                <w:color w:val="FF0000"/>
                <w:sz w:val="21"/>
                <w:szCs w:val="21"/>
              </w:rPr>
            </w:pPr>
          </w:p>
        </w:tc>
        <w:tc>
          <w:tcPr>
            <w:tcW w:w="217" w:type="dxa"/>
          </w:tcPr>
          <w:p w14:paraId="6544D0C0" w14:textId="77777777" w:rsidR="002C0FD9" w:rsidRPr="00CA25CF" w:rsidRDefault="002C0FD9" w:rsidP="00CA25CF">
            <w:pPr>
              <w:rPr>
                <w:rFonts w:cs="Arial"/>
                <w:color w:val="FF0000"/>
                <w:sz w:val="21"/>
                <w:szCs w:val="21"/>
              </w:rPr>
            </w:pPr>
          </w:p>
        </w:tc>
        <w:tc>
          <w:tcPr>
            <w:tcW w:w="217" w:type="dxa"/>
          </w:tcPr>
          <w:p w14:paraId="1C09453F" w14:textId="77777777" w:rsidR="002C0FD9" w:rsidRPr="00CA25CF" w:rsidRDefault="002C0FD9" w:rsidP="00CA25CF">
            <w:pPr>
              <w:rPr>
                <w:rFonts w:cs="Arial"/>
                <w:color w:val="FF0000"/>
                <w:sz w:val="21"/>
                <w:szCs w:val="21"/>
              </w:rPr>
            </w:pPr>
          </w:p>
        </w:tc>
        <w:tc>
          <w:tcPr>
            <w:tcW w:w="217" w:type="dxa"/>
          </w:tcPr>
          <w:p w14:paraId="2AB24027" w14:textId="77777777" w:rsidR="002C0FD9" w:rsidRPr="00CA25CF" w:rsidRDefault="002C0FD9" w:rsidP="00CA25CF">
            <w:pPr>
              <w:rPr>
                <w:rFonts w:cs="Arial"/>
                <w:color w:val="FF0000"/>
                <w:sz w:val="21"/>
                <w:szCs w:val="21"/>
              </w:rPr>
            </w:pPr>
          </w:p>
        </w:tc>
        <w:tc>
          <w:tcPr>
            <w:tcW w:w="217" w:type="dxa"/>
          </w:tcPr>
          <w:p w14:paraId="1353EFD6" w14:textId="77777777" w:rsidR="002C0FD9" w:rsidRPr="00CA25CF" w:rsidRDefault="002C0FD9" w:rsidP="00CA25CF">
            <w:pPr>
              <w:rPr>
                <w:rFonts w:cs="Arial"/>
                <w:color w:val="FF0000"/>
                <w:sz w:val="21"/>
                <w:szCs w:val="21"/>
              </w:rPr>
            </w:pPr>
          </w:p>
        </w:tc>
        <w:tc>
          <w:tcPr>
            <w:tcW w:w="217" w:type="dxa"/>
          </w:tcPr>
          <w:p w14:paraId="1624AC27" w14:textId="77777777" w:rsidR="002C0FD9" w:rsidRPr="00CA25CF" w:rsidRDefault="002C0FD9" w:rsidP="00CA25CF">
            <w:pPr>
              <w:rPr>
                <w:rFonts w:cs="Arial"/>
                <w:color w:val="FF0000"/>
                <w:sz w:val="21"/>
                <w:szCs w:val="21"/>
              </w:rPr>
            </w:pPr>
          </w:p>
        </w:tc>
        <w:tc>
          <w:tcPr>
            <w:tcW w:w="217" w:type="dxa"/>
          </w:tcPr>
          <w:p w14:paraId="17ED0B9E" w14:textId="77777777" w:rsidR="002C0FD9" w:rsidRPr="00CA25CF" w:rsidRDefault="002C0FD9" w:rsidP="00CA25CF">
            <w:pPr>
              <w:rPr>
                <w:rFonts w:cs="Arial"/>
                <w:color w:val="FF0000"/>
                <w:sz w:val="21"/>
                <w:szCs w:val="21"/>
              </w:rPr>
            </w:pPr>
          </w:p>
        </w:tc>
        <w:tc>
          <w:tcPr>
            <w:tcW w:w="217" w:type="dxa"/>
          </w:tcPr>
          <w:p w14:paraId="7BE36FC1" w14:textId="77777777" w:rsidR="002C0FD9" w:rsidRPr="00CA25CF" w:rsidRDefault="002C0FD9" w:rsidP="00CA25CF">
            <w:pPr>
              <w:rPr>
                <w:rFonts w:cs="Arial"/>
                <w:color w:val="FF0000"/>
                <w:sz w:val="21"/>
                <w:szCs w:val="21"/>
              </w:rPr>
            </w:pPr>
          </w:p>
        </w:tc>
        <w:tc>
          <w:tcPr>
            <w:tcW w:w="217" w:type="dxa"/>
          </w:tcPr>
          <w:p w14:paraId="5F434AA1" w14:textId="77777777" w:rsidR="002C0FD9" w:rsidRPr="00CA25CF" w:rsidRDefault="002C0FD9" w:rsidP="00CA25CF">
            <w:pPr>
              <w:rPr>
                <w:rFonts w:cs="Arial"/>
                <w:color w:val="FF0000"/>
                <w:sz w:val="21"/>
                <w:szCs w:val="21"/>
              </w:rPr>
            </w:pPr>
          </w:p>
        </w:tc>
        <w:tc>
          <w:tcPr>
            <w:tcW w:w="217" w:type="dxa"/>
          </w:tcPr>
          <w:p w14:paraId="3392E492" w14:textId="77777777" w:rsidR="002C0FD9" w:rsidRPr="00CA25CF" w:rsidRDefault="002C0FD9" w:rsidP="00CA25CF">
            <w:pPr>
              <w:rPr>
                <w:rFonts w:cs="Arial"/>
                <w:color w:val="FF0000"/>
                <w:sz w:val="21"/>
                <w:szCs w:val="21"/>
              </w:rPr>
            </w:pPr>
          </w:p>
        </w:tc>
        <w:tc>
          <w:tcPr>
            <w:tcW w:w="217" w:type="dxa"/>
          </w:tcPr>
          <w:p w14:paraId="255785F7" w14:textId="77777777" w:rsidR="002C0FD9" w:rsidRPr="00CA25CF" w:rsidRDefault="002C0FD9" w:rsidP="00CA25CF">
            <w:pPr>
              <w:rPr>
                <w:rFonts w:cs="Arial"/>
                <w:color w:val="FF0000"/>
                <w:sz w:val="21"/>
                <w:szCs w:val="21"/>
              </w:rPr>
            </w:pPr>
          </w:p>
        </w:tc>
        <w:tc>
          <w:tcPr>
            <w:tcW w:w="217" w:type="dxa"/>
          </w:tcPr>
          <w:p w14:paraId="29BB0ECD" w14:textId="77777777" w:rsidR="002C0FD9" w:rsidRPr="00CA25CF" w:rsidRDefault="002C0FD9" w:rsidP="00CA25CF">
            <w:pPr>
              <w:rPr>
                <w:rFonts w:cs="Arial"/>
                <w:color w:val="FF0000"/>
                <w:sz w:val="21"/>
                <w:szCs w:val="21"/>
              </w:rPr>
            </w:pPr>
          </w:p>
        </w:tc>
        <w:tc>
          <w:tcPr>
            <w:tcW w:w="217" w:type="dxa"/>
          </w:tcPr>
          <w:p w14:paraId="08339F8C" w14:textId="77777777" w:rsidR="002C0FD9" w:rsidRPr="00CA25CF" w:rsidRDefault="002C0FD9" w:rsidP="00CA25CF">
            <w:pPr>
              <w:rPr>
                <w:rFonts w:cs="Arial"/>
                <w:color w:val="FF0000"/>
                <w:sz w:val="21"/>
                <w:szCs w:val="21"/>
              </w:rPr>
            </w:pPr>
          </w:p>
        </w:tc>
        <w:tc>
          <w:tcPr>
            <w:tcW w:w="217" w:type="dxa"/>
          </w:tcPr>
          <w:p w14:paraId="3F7C85DE" w14:textId="77777777" w:rsidR="002C0FD9" w:rsidRPr="00CA25CF" w:rsidRDefault="002C0FD9" w:rsidP="00CA25CF">
            <w:pPr>
              <w:rPr>
                <w:rFonts w:cs="Arial"/>
                <w:color w:val="FF0000"/>
                <w:sz w:val="21"/>
                <w:szCs w:val="21"/>
              </w:rPr>
            </w:pPr>
          </w:p>
        </w:tc>
        <w:tc>
          <w:tcPr>
            <w:tcW w:w="217" w:type="dxa"/>
          </w:tcPr>
          <w:p w14:paraId="27285E7B" w14:textId="77777777" w:rsidR="002C0FD9" w:rsidRPr="00CA25CF" w:rsidRDefault="002C0FD9" w:rsidP="00CA25CF">
            <w:pPr>
              <w:rPr>
                <w:rFonts w:cs="Arial"/>
                <w:color w:val="FF0000"/>
                <w:sz w:val="21"/>
                <w:szCs w:val="21"/>
              </w:rPr>
            </w:pPr>
          </w:p>
        </w:tc>
        <w:tc>
          <w:tcPr>
            <w:tcW w:w="217" w:type="dxa"/>
          </w:tcPr>
          <w:p w14:paraId="52BD5D70" w14:textId="77777777" w:rsidR="002C0FD9" w:rsidRPr="00CA25CF" w:rsidRDefault="002C0FD9" w:rsidP="00CA25CF">
            <w:pPr>
              <w:rPr>
                <w:rFonts w:cs="Arial"/>
                <w:color w:val="FF0000"/>
                <w:sz w:val="21"/>
                <w:szCs w:val="21"/>
              </w:rPr>
            </w:pPr>
          </w:p>
        </w:tc>
        <w:tc>
          <w:tcPr>
            <w:tcW w:w="217" w:type="dxa"/>
          </w:tcPr>
          <w:p w14:paraId="45B679D6" w14:textId="77777777" w:rsidR="002C0FD9" w:rsidRPr="00CA25CF" w:rsidRDefault="002C0FD9" w:rsidP="00CA25CF">
            <w:pPr>
              <w:rPr>
                <w:rFonts w:cs="Arial"/>
                <w:color w:val="FF0000"/>
                <w:sz w:val="21"/>
                <w:szCs w:val="21"/>
              </w:rPr>
            </w:pPr>
          </w:p>
        </w:tc>
        <w:tc>
          <w:tcPr>
            <w:tcW w:w="217" w:type="dxa"/>
          </w:tcPr>
          <w:p w14:paraId="046CF304" w14:textId="77777777" w:rsidR="002C0FD9" w:rsidRPr="00CA25CF" w:rsidRDefault="002C0FD9" w:rsidP="00CA25CF">
            <w:pPr>
              <w:rPr>
                <w:rFonts w:cs="Arial"/>
                <w:color w:val="FF0000"/>
                <w:sz w:val="21"/>
                <w:szCs w:val="21"/>
              </w:rPr>
            </w:pPr>
          </w:p>
        </w:tc>
        <w:tc>
          <w:tcPr>
            <w:tcW w:w="217" w:type="dxa"/>
          </w:tcPr>
          <w:p w14:paraId="62B3A5FC" w14:textId="77777777" w:rsidR="002C0FD9" w:rsidRPr="00CA25CF" w:rsidRDefault="002C0FD9" w:rsidP="00CA25CF">
            <w:pPr>
              <w:rPr>
                <w:rFonts w:cs="Arial"/>
                <w:color w:val="FF0000"/>
                <w:sz w:val="21"/>
                <w:szCs w:val="21"/>
              </w:rPr>
            </w:pPr>
          </w:p>
        </w:tc>
        <w:tc>
          <w:tcPr>
            <w:tcW w:w="217" w:type="dxa"/>
          </w:tcPr>
          <w:p w14:paraId="20F3A3F8" w14:textId="77777777" w:rsidR="002C0FD9" w:rsidRPr="00CA25CF" w:rsidRDefault="002C0FD9" w:rsidP="00CA25CF">
            <w:pPr>
              <w:rPr>
                <w:rFonts w:cs="Arial"/>
                <w:color w:val="FF0000"/>
                <w:sz w:val="21"/>
                <w:szCs w:val="21"/>
              </w:rPr>
            </w:pPr>
          </w:p>
        </w:tc>
        <w:tc>
          <w:tcPr>
            <w:tcW w:w="217" w:type="dxa"/>
          </w:tcPr>
          <w:p w14:paraId="3DE61864" w14:textId="77777777" w:rsidR="002C0FD9" w:rsidRPr="00CA25CF" w:rsidRDefault="002C0FD9" w:rsidP="00CA25CF">
            <w:pPr>
              <w:rPr>
                <w:rFonts w:cs="Arial"/>
                <w:color w:val="FF0000"/>
                <w:sz w:val="21"/>
                <w:szCs w:val="21"/>
              </w:rPr>
            </w:pPr>
          </w:p>
        </w:tc>
        <w:tc>
          <w:tcPr>
            <w:tcW w:w="217" w:type="dxa"/>
          </w:tcPr>
          <w:p w14:paraId="3F42901E" w14:textId="77777777" w:rsidR="002C0FD9" w:rsidRPr="00CA25CF" w:rsidRDefault="002C0FD9" w:rsidP="00CA25CF">
            <w:pPr>
              <w:rPr>
                <w:rFonts w:cs="Arial"/>
                <w:color w:val="FF0000"/>
                <w:sz w:val="21"/>
                <w:szCs w:val="21"/>
              </w:rPr>
            </w:pPr>
          </w:p>
        </w:tc>
        <w:tc>
          <w:tcPr>
            <w:tcW w:w="217" w:type="dxa"/>
          </w:tcPr>
          <w:p w14:paraId="779F95ED" w14:textId="77777777" w:rsidR="002C0FD9" w:rsidRPr="00CA25CF" w:rsidRDefault="002C0FD9" w:rsidP="00CA25CF">
            <w:pPr>
              <w:rPr>
                <w:rFonts w:cs="Arial"/>
                <w:color w:val="FF0000"/>
                <w:sz w:val="21"/>
                <w:szCs w:val="21"/>
              </w:rPr>
            </w:pPr>
          </w:p>
        </w:tc>
        <w:tc>
          <w:tcPr>
            <w:tcW w:w="217" w:type="dxa"/>
          </w:tcPr>
          <w:p w14:paraId="4047ACCB" w14:textId="77777777" w:rsidR="002C0FD9" w:rsidRPr="00CA25CF" w:rsidRDefault="002C0FD9" w:rsidP="00CA25CF">
            <w:pPr>
              <w:rPr>
                <w:rFonts w:cs="Arial"/>
                <w:color w:val="FF0000"/>
                <w:sz w:val="21"/>
                <w:szCs w:val="21"/>
              </w:rPr>
            </w:pPr>
          </w:p>
        </w:tc>
        <w:tc>
          <w:tcPr>
            <w:tcW w:w="217" w:type="dxa"/>
          </w:tcPr>
          <w:p w14:paraId="18BCBFCA" w14:textId="77777777" w:rsidR="002C0FD9" w:rsidRPr="00CA25CF" w:rsidRDefault="002C0FD9" w:rsidP="00CA25CF">
            <w:pPr>
              <w:rPr>
                <w:rFonts w:cs="Arial"/>
                <w:color w:val="FF0000"/>
                <w:sz w:val="21"/>
                <w:szCs w:val="21"/>
              </w:rPr>
            </w:pPr>
          </w:p>
        </w:tc>
        <w:tc>
          <w:tcPr>
            <w:tcW w:w="217" w:type="dxa"/>
          </w:tcPr>
          <w:p w14:paraId="1C166C45" w14:textId="77777777" w:rsidR="002C0FD9" w:rsidRPr="00CA25CF" w:rsidRDefault="002C0FD9" w:rsidP="00CA25CF">
            <w:pPr>
              <w:rPr>
                <w:rFonts w:cs="Arial"/>
                <w:color w:val="FF0000"/>
                <w:sz w:val="21"/>
                <w:szCs w:val="21"/>
              </w:rPr>
            </w:pPr>
          </w:p>
        </w:tc>
        <w:tc>
          <w:tcPr>
            <w:tcW w:w="217" w:type="dxa"/>
          </w:tcPr>
          <w:p w14:paraId="23445C46" w14:textId="77777777" w:rsidR="002C0FD9" w:rsidRPr="00CA25CF" w:rsidRDefault="002C0FD9" w:rsidP="00CA25CF">
            <w:pPr>
              <w:rPr>
                <w:rFonts w:cs="Arial"/>
                <w:color w:val="FF0000"/>
                <w:sz w:val="21"/>
                <w:szCs w:val="21"/>
              </w:rPr>
            </w:pPr>
          </w:p>
        </w:tc>
        <w:tc>
          <w:tcPr>
            <w:tcW w:w="217" w:type="dxa"/>
          </w:tcPr>
          <w:p w14:paraId="1094AEAB" w14:textId="77777777" w:rsidR="002C0FD9" w:rsidRPr="00CA25CF" w:rsidRDefault="002C0FD9" w:rsidP="00CA25CF">
            <w:pPr>
              <w:rPr>
                <w:rFonts w:cs="Arial"/>
                <w:color w:val="FF0000"/>
                <w:sz w:val="21"/>
                <w:szCs w:val="21"/>
              </w:rPr>
            </w:pPr>
          </w:p>
        </w:tc>
        <w:tc>
          <w:tcPr>
            <w:tcW w:w="217" w:type="dxa"/>
          </w:tcPr>
          <w:p w14:paraId="32FD834E" w14:textId="77777777" w:rsidR="002C0FD9" w:rsidRPr="00CA25CF" w:rsidRDefault="002C0FD9" w:rsidP="00CA25CF">
            <w:pPr>
              <w:rPr>
                <w:rFonts w:cs="Arial"/>
                <w:color w:val="FF0000"/>
                <w:sz w:val="21"/>
                <w:szCs w:val="21"/>
              </w:rPr>
            </w:pPr>
          </w:p>
        </w:tc>
        <w:tc>
          <w:tcPr>
            <w:tcW w:w="217" w:type="dxa"/>
          </w:tcPr>
          <w:p w14:paraId="42A30F1E" w14:textId="77777777" w:rsidR="002C0FD9" w:rsidRPr="00CA25CF" w:rsidRDefault="002C0FD9" w:rsidP="00CA25CF">
            <w:pPr>
              <w:rPr>
                <w:rFonts w:cs="Arial"/>
                <w:color w:val="FF0000"/>
                <w:sz w:val="21"/>
                <w:szCs w:val="21"/>
              </w:rPr>
            </w:pPr>
          </w:p>
        </w:tc>
        <w:tc>
          <w:tcPr>
            <w:tcW w:w="217" w:type="dxa"/>
          </w:tcPr>
          <w:p w14:paraId="0487CC31" w14:textId="77777777" w:rsidR="002C0FD9" w:rsidRPr="00CA25CF" w:rsidRDefault="002C0FD9" w:rsidP="00CA25CF">
            <w:pPr>
              <w:rPr>
                <w:rFonts w:cs="Arial"/>
                <w:color w:val="FF0000"/>
                <w:sz w:val="21"/>
                <w:szCs w:val="21"/>
              </w:rPr>
            </w:pPr>
          </w:p>
        </w:tc>
        <w:tc>
          <w:tcPr>
            <w:tcW w:w="217" w:type="dxa"/>
          </w:tcPr>
          <w:p w14:paraId="68B1228E" w14:textId="77777777" w:rsidR="002C0FD9" w:rsidRPr="00CA25CF" w:rsidRDefault="002C0FD9" w:rsidP="00CA25CF">
            <w:pPr>
              <w:rPr>
                <w:rFonts w:cs="Arial"/>
                <w:color w:val="FF0000"/>
                <w:sz w:val="21"/>
                <w:szCs w:val="21"/>
              </w:rPr>
            </w:pPr>
          </w:p>
        </w:tc>
        <w:tc>
          <w:tcPr>
            <w:tcW w:w="217" w:type="dxa"/>
          </w:tcPr>
          <w:p w14:paraId="6E87889C" w14:textId="77777777" w:rsidR="002C0FD9" w:rsidRPr="00CA25CF" w:rsidRDefault="002C0FD9" w:rsidP="00CA25CF">
            <w:pPr>
              <w:rPr>
                <w:rFonts w:cs="Arial"/>
                <w:color w:val="FF0000"/>
                <w:sz w:val="21"/>
                <w:szCs w:val="21"/>
              </w:rPr>
            </w:pPr>
          </w:p>
        </w:tc>
        <w:tc>
          <w:tcPr>
            <w:tcW w:w="217" w:type="dxa"/>
          </w:tcPr>
          <w:p w14:paraId="6090BF82" w14:textId="77777777" w:rsidR="002C0FD9" w:rsidRPr="00CA25CF" w:rsidRDefault="002C0FD9" w:rsidP="00CA25CF">
            <w:pPr>
              <w:rPr>
                <w:rFonts w:cs="Arial"/>
                <w:color w:val="FF0000"/>
                <w:sz w:val="21"/>
                <w:szCs w:val="21"/>
              </w:rPr>
            </w:pPr>
          </w:p>
        </w:tc>
        <w:tc>
          <w:tcPr>
            <w:tcW w:w="217" w:type="dxa"/>
          </w:tcPr>
          <w:p w14:paraId="2C0FBB37" w14:textId="77777777" w:rsidR="002C0FD9" w:rsidRPr="00CA25CF" w:rsidRDefault="002C0FD9" w:rsidP="00CA25CF">
            <w:pPr>
              <w:rPr>
                <w:rFonts w:cs="Arial"/>
                <w:color w:val="FF0000"/>
                <w:sz w:val="21"/>
                <w:szCs w:val="21"/>
              </w:rPr>
            </w:pPr>
          </w:p>
        </w:tc>
        <w:tc>
          <w:tcPr>
            <w:tcW w:w="217" w:type="dxa"/>
          </w:tcPr>
          <w:p w14:paraId="728DF06A" w14:textId="77777777" w:rsidR="002C0FD9" w:rsidRPr="00CA25CF" w:rsidRDefault="002C0FD9" w:rsidP="00CA25CF">
            <w:pPr>
              <w:rPr>
                <w:rFonts w:cs="Arial"/>
                <w:color w:val="FF0000"/>
                <w:sz w:val="21"/>
                <w:szCs w:val="21"/>
              </w:rPr>
            </w:pPr>
          </w:p>
        </w:tc>
      </w:tr>
      <w:tr w:rsidR="002C0FD9" w:rsidRPr="00A16219" w14:paraId="7F4B82A7" w14:textId="77777777" w:rsidTr="002C0FD9">
        <w:trPr>
          <w:trHeight w:val="635"/>
        </w:trPr>
        <w:tc>
          <w:tcPr>
            <w:tcW w:w="515" w:type="dxa"/>
          </w:tcPr>
          <w:p w14:paraId="06D14487" w14:textId="77777777" w:rsidR="002C0FD9" w:rsidRPr="00CA25CF" w:rsidRDefault="002C0FD9" w:rsidP="00CA25CF">
            <w:pPr>
              <w:rPr>
                <w:rFonts w:cs="Arial"/>
                <w:color w:val="FF0000"/>
                <w:sz w:val="21"/>
                <w:szCs w:val="21"/>
              </w:rPr>
            </w:pPr>
          </w:p>
        </w:tc>
        <w:tc>
          <w:tcPr>
            <w:tcW w:w="217" w:type="dxa"/>
          </w:tcPr>
          <w:p w14:paraId="253EA0F2" w14:textId="77777777" w:rsidR="002C0FD9" w:rsidRPr="00CA25CF" w:rsidRDefault="002C0FD9" w:rsidP="00CA25CF">
            <w:pPr>
              <w:rPr>
                <w:rFonts w:cs="Arial"/>
                <w:color w:val="FF0000"/>
                <w:sz w:val="21"/>
                <w:szCs w:val="21"/>
              </w:rPr>
            </w:pPr>
          </w:p>
        </w:tc>
        <w:tc>
          <w:tcPr>
            <w:tcW w:w="217" w:type="dxa"/>
          </w:tcPr>
          <w:p w14:paraId="6EB13CB4" w14:textId="77777777" w:rsidR="002C0FD9" w:rsidRPr="00CA25CF" w:rsidRDefault="002C0FD9" w:rsidP="00CA25CF">
            <w:pPr>
              <w:rPr>
                <w:rFonts w:cs="Arial"/>
                <w:color w:val="FF0000"/>
                <w:sz w:val="21"/>
                <w:szCs w:val="21"/>
              </w:rPr>
            </w:pPr>
          </w:p>
        </w:tc>
        <w:tc>
          <w:tcPr>
            <w:tcW w:w="217" w:type="dxa"/>
          </w:tcPr>
          <w:p w14:paraId="2072A899" w14:textId="77777777" w:rsidR="002C0FD9" w:rsidRPr="00CA25CF" w:rsidRDefault="002C0FD9" w:rsidP="00CA25CF">
            <w:pPr>
              <w:rPr>
                <w:rFonts w:cs="Arial"/>
                <w:color w:val="FF0000"/>
                <w:sz w:val="21"/>
                <w:szCs w:val="21"/>
              </w:rPr>
            </w:pPr>
          </w:p>
        </w:tc>
        <w:tc>
          <w:tcPr>
            <w:tcW w:w="217" w:type="dxa"/>
          </w:tcPr>
          <w:p w14:paraId="69BABBF0" w14:textId="77777777" w:rsidR="002C0FD9" w:rsidRPr="00CA25CF" w:rsidRDefault="002C0FD9" w:rsidP="00CA25CF">
            <w:pPr>
              <w:rPr>
                <w:rFonts w:cs="Arial"/>
                <w:color w:val="FF0000"/>
                <w:sz w:val="21"/>
                <w:szCs w:val="21"/>
              </w:rPr>
            </w:pPr>
          </w:p>
        </w:tc>
        <w:tc>
          <w:tcPr>
            <w:tcW w:w="217" w:type="dxa"/>
          </w:tcPr>
          <w:p w14:paraId="3BC8D588" w14:textId="77777777" w:rsidR="002C0FD9" w:rsidRPr="00CA25CF" w:rsidRDefault="002C0FD9" w:rsidP="00CA25CF">
            <w:pPr>
              <w:rPr>
                <w:rFonts w:cs="Arial"/>
                <w:color w:val="FF0000"/>
                <w:sz w:val="21"/>
                <w:szCs w:val="21"/>
              </w:rPr>
            </w:pPr>
          </w:p>
        </w:tc>
        <w:tc>
          <w:tcPr>
            <w:tcW w:w="217" w:type="dxa"/>
          </w:tcPr>
          <w:p w14:paraId="22B4991A" w14:textId="77777777" w:rsidR="002C0FD9" w:rsidRPr="00CA25CF" w:rsidRDefault="002C0FD9" w:rsidP="00CA25CF">
            <w:pPr>
              <w:rPr>
                <w:rFonts w:cs="Arial"/>
                <w:color w:val="FF0000"/>
                <w:sz w:val="21"/>
                <w:szCs w:val="21"/>
              </w:rPr>
            </w:pPr>
          </w:p>
        </w:tc>
        <w:tc>
          <w:tcPr>
            <w:tcW w:w="217" w:type="dxa"/>
          </w:tcPr>
          <w:p w14:paraId="056233FF" w14:textId="77777777" w:rsidR="002C0FD9" w:rsidRPr="00CA25CF" w:rsidRDefault="002C0FD9" w:rsidP="00CA25CF">
            <w:pPr>
              <w:rPr>
                <w:rFonts w:cs="Arial"/>
                <w:color w:val="FF0000"/>
                <w:sz w:val="21"/>
                <w:szCs w:val="21"/>
              </w:rPr>
            </w:pPr>
          </w:p>
        </w:tc>
        <w:tc>
          <w:tcPr>
            <w:tcW w:w="217" w:type="dxa"/>
          </w:tcPr>
          <w:p w14:paraId="23715DEF" w14:textId="77777777" w:rsidR="002C0FD9" w:rsidRPr="00CA25CF" w:rsidRDefault="002C0FD9" w:rsidP="00CA25CF">
            <w:pPr>
              <w:rPr>
                <w:rFonts w:cs="Arial"/>
                <w:color w:val="FF0000"/>
                <w:sz w:val="21"/>
                <w:szCs w:val="21"/>
              </w:rPr>
            </w:pPr>
          </w:p>
        </w:tc>
        <w:tc>
          <w:tcPr>
            <w:tcW w:w="217" w:type="dxa"/>
          </w:tcPr>
          <w:p w14:paraId="4F2D5850" w14:textId="77777777" w:rsidR="002C0FD9" w:rsidRPr="00CA25CF" w:rsidRDefault="002C0FD9" w:rsidP="00CA25CF">
            <w:pPr>
              <w:rPr>
                <w:rFonts w:cs="Arial"/>
                <w:color w:val="FF0000"/>
                <w:sz w:val="21"/>
                <w:szCs w:val="21"/>
              </w:rPr>
            </w:pPr>
          </w:p>
        </w:tc>
        <w:tc>
          <w:tcPr>
            <w:tcW w:w="217" w:type="dxa"/>
          </w:tcPr>
          <w:p w14:paraId="19A1E1A3" w14:textId="77777777" w:rsidR="002C0FD9" w:rsidRPr="00CA25CF" w:rsidRDefault="002C0FD9" w:rsidP="00CA25CF">
            <w:pPr>
              <w:rPr>
                <w:rFonts w:cs="Arial"/>
                <w:color w:val="FF0000"/>
                <w:sz w:val="21"/>
                <w:szCs w:val="21"/>
              </w:rPr>
            </w:pPr>
          </w:p>
        </w:tc>
        <w:tc>
          <w:tcPr>
            <w:tcW w:w="217" w:type="dxa"/>
          </w:tcPr>
          <w:p w14:paraId="7259E541" w14:textId="77777777" w:rsidR="002C0FD9" w:rsidRPr="00CA25CF" w:rsidRDefault="002C0FD9" w:rsidP="00CA25CF">
            <w:pPr>
              <w:rPr>
                <w:rFonts w:cs="Arial"/>
                <w:color w:val="FF0000"/>
                <w:sz w:val="21"/>
                <w:szCs w:val="21"/>
              </w:rPr>
            </w:pPr>
          </w:p>
        </w:tc>
        <w:tc>
          <w:tcPr>
            <w:tcW w:w="217" w:type="dxa"/>
          </w:tcPr>
          <w:p w14:paraId="7DBCF3E8" w14:textId="77777777" w:rsidR="002C0FD9" w:rsidRPr="00CA25CF" w:rsidRDefault="002C0FD9" w:rsidP="00CA25CF">
            <w:pPr>
              <w:rPr>
                <w:rFonts w:cs="Arial"/>
                <w:color w:val="FF0000"/>
                <w:sz w:val="21"/>
                <w:szCs w:val="21"/>
              </w:rPr>
            </w:pPr>
          </w:p>
        </w:tc>
        <w:tc>
          <w:tcPr>
            <w:tcW w:w="217" w:type="dxa"/>
          </w:tcPr>
          <w:p w14:paraId="54E610E1" w14:textId="77777777" w:rsidR="002C0FD9" w:rsidRPr="00CA25CF" w:rsidRDefault="002C0FD9" w:rsidP="00CA25CF">
            <w:pPr>
              <w:rPr>
                <w:rFonts w:cs="Arial"/>
                <w:color w:val="FF0000"/>
                <w:sz w:val="21"/>
                <w:szCs w:val="21"/>
              </w:rPr>
            </w:pPr>
          </w:p>
        </w:tc>
        <w:tc>
          <w:tcPr>
            <w:tcW w:w="217" w:type="dxa"/>
          </w:tcPr>
          <w:p w14:paraId="19225C7C" w14:textId="77777777" w:rsidR="002C0FD9" w:rsidRPr="00CA25CF" w:rsidRDefault="002C0FD9" w:rsidP="00CA25CF">
            <w:pPr>
              <w:rPr>
                <w:rFonts w:cs="Arial"/>
                <w:color w:val="FF0000"/>
                <w:sz w:val="21"/>
                <w:szCs w:val="21"/>
              </w:rPr>
            </w:pPr>
          </w:p>
        </w:tc>
        <w:tc>
          <w:tcPr>
            <w:tcW w:w="217" w:type="dxa"/>
          </w:tcPr>
          <w:p w14:paraId="5642C53B" w14:textId="77777777" w:rsidR="002C0FD9" w:rsidRPr="00CA25CF" w:rsidRDefault="002C0FD9" w:rsidP="00CA25CF">
            <w:pPr>
              <w:rPr>
                <w:rFonts w:cs="Arial"/>
                <w:color w:val="FF0000"/>
                <w:sz w:val="21"/>
                <w:szCs w:val="21"/>
              </w:rPr>
            </w:pPr>
          </w:p>
        </w:tc>
        <w:tc>
          <w:tcPr>
            <w:tcW w:w="217" w:type="dxa"/>
          </w:tcPr>
          <w:p w14:paraId="5A954D83" w14:textId="77777777" w:rsidR="002C0FD9" w:rsidRPr="00CA25CF" w:rsidRDefault="002C0FD9" w:rsidP="00CA25CF">
            <w:pPr>
              <w:rPr>
                <w:rFonts w:cs="Arial"/>
                <w:color w:val="FF0000"/>
                <w:sz w:val="21"/>
                <w:szCs w:val="21"/>
              </w:rPr>
            </w:pPr>
          </w:p>
        </w:tc>
        <w:tc>
          <w:tcPr>
            <w:tcW w:w="217" w:type="dxa"/>
          </w:tcPr>
          <w:p w14:paraId="2CCB75B4" w14:textId="77777777" w:rsidR="002C0FD9" w:rsidRPr="00CA25CF" w:rsidRDefault="002C0FD9" w:rsidP="00CA25CF">
            <w:pPr>
              <w:rPr>
                <w:rFonts w:cs="Arial"/>
                <w:color w:val="FF0000"/>
                <w:sz w:val="21"/>
                <w:szCs w:val="21"/>
              </w:rPr>
            </w:pPr>
          </w:p>
        </w:tc>
        <w:tc>
          <w:tcPr>
            <w:tcW w:w="217" w:type="dxa"/>
          </w:tcPr>
          <w:p w14:paraId="146F4F70" w14:textId="77777777" w:rsidR="002C0FD9" w:rsidRPr="00CA25CF" w:rsidRDefault="002C0FD9" w:rsidP="00CA25CF">
            <w:pPr>
              <w:rPr>
                <w:rFonts w:cs="Arial"/>
                <w:color w:val="FF0000"/>
                <w:sz w:val="21"/>
                <w:szCs w:val="21"/>
              </w:rPr>
            </w:pPr>
          </w:p>
        </w:tc>
        <w:tc>
          <w:tcPr>
            <w:tcW w:w="217" w:type="dxa"/>
          </w:tcPr>
          <w:p w14:paraId="0D473563" w14:textId="77777777" w:rsidR="002C0FD9" w:rsidRPr="00CA25CF" w:rsidRDefault="002C0FD9" w:rsidP="00CA25CF">
            <w:pPr>
              <w:rPr>
                <w:rFonts w:cs="Arial"/>
                <w:color w:val="FF0000"/>
                <w:sz w:val="21"/>
                <w:szCs w:val="21"/>
              </w:rPr>
            </w:pPr>
          </w:p>
        </w:tc>
        <w:tc>
          <w:tcPr>
            <w:tcW w:w="217" w:type="dxa"/>
          </w:tcPr>
          <w:p w14:paraId="7FD7C531" w14:textId="77777777" w:rsidR="002C0FD9" w:rsidRPr="00CA25CF" w:rsidRDefault="002C0FD9" w:rsidP="00CA25CF">
            <w:pPr>
              <w:rPr>
                <w:rFonts w:cs="Arial"/>
                <w:color w:val="FF0000"/>
                <w:sz w:val="21"/>
                <w:szCs w:val="21"/>
              </w:rPr>
            </w:pPr>
          </w:p>
        </w:tc>
        <w:tc>
          <w:tcPr>
            <w:tcW w:w="217" w:type="dxa"/>
          </w:tcPr>
          <w:p w14:paraId="13B4EBC7" w14:textId="77777777" w:rsidR="002C0FD9" w:rsidRPr="00CA25CF" w:rsidRDefault="002C0FD9" w:rsidP="00CA25CF">
            <w:pPr>
              <w:rPr>
                <w:rFonts w:cs="Arial"/>
                <w:color w:val="FF0000"/>
                <w:sz w:val="21"/>
                <w:szCs w:val="21"/>
              </w:rPr>
            </w:pPr>
          </w:p>
        </w:tc>
        <w:tc>
          <w:tcPr>
            <w:tcW w:w="217" w:type="dxa"/>
          </w:tcPr>
          <w:p w14:paraId="1EC5F841" w14:textId="77777777" w:rsidR="002C0FD9" w:rsidRPr="00CA25CF" w:rsidRDefault="002C0FD9" w:rsidP="00CA25CF">
            <w:pPr>
              <w:rPr>
                <w:rFonts w:cs="Arial"/>
                <w:color w:val="FF0000"/>
                <w:sz w:val="21"/>
                <w:szCs w:val="21"/>
              </w:rPr>
            </w:pPr>
          </w:p>
        </w:tc>
        <w:tc>
          <w:tcPr>
            <w:tcW w:w="217" w:type="dxa"/>
          </w:tcPr>
          <w:p w14:paraId="2BD1899D" w14:textId="77777777" w:rsidR="002C0FD9" w:rsidRPr="00CA25CF" w:rsidRDefault="002C0FD9" w:rsidP="00CA25CF">
            <w:pPr>
              <w:rPr>
                <w:rFonts w:cs="Arial"/>
                <w:color w:val="FF0000"/>
                <w:sz w:val="21"/>
                <w:szCs w:val="21"/>
              </w:rPr>
            </w:pPr>
          </w:p>
        </w:tc>
        <w:tc>
          <w:tcPr>
            <w:tcW w:w="217" w:type="dxa"/>
          </w:tcPr>
          <w:p w14:paraId="20992820" w14:textId="77777777" w:rsidR="002C0FD9" w:rsidRPr="00CA25CF" w:rsidRDefault="002C0FD9" w:rsidP="00CA25CF">
            <w:pPr>
              <w:rPr>
                <w:rFonts w:cs="Arial"/>
                <w:color w:val="FF0000"/>
                <w:sz w:val="21"/>
                <w:szCs w:val="21"/>
              </w:rPr>
            </w:pPr>
          </w:p>
        </w:tc>
        <w:tc>
          <w:tcPr>
            <w:tcW w:w="217" w:type="dxa"/>
          </w:tcPr>
          <w:p w14:paraId="2EA5102B" w14:textId="77777777" w:rsidR="002C0FD9" w:rsidRPr="00CA25CF" w:rsidRDefault="002C0FD9" w:rsidP="00CA25CF">
            <w:pPr>
              <w:rPr>
                <w:rFonts w:cs="Arial"/>
                <w:color w:val="FF0000"/>
                <w:sz w:val="21"/>
                <w:szCs w:val="21"/>
              </w:rPr>
            </w:pPr>
          </w:p>
        </w:tc>
        <w:tc>
          <w:tcPr>
            <w:tcW w:w="217" w:type="dxa"/>
          </w:tcPr>
          <w:p w14:paraId="0D6A1279" w14:textId="77777777" w:rsidR="002C0FD9" w:rsidRPr="00CA25CF" w:rsidRDefault="002C0FD9" w:rsidP="00CA25CF">
            <w:pPr>
              <w:rPr>
                <w:rFonts w:cs="Arial"/>
                <w:color w:val="FF0000"/>
                <w:sz w:val="21"/>
                <w:szCs w:val="21"/>
              </w:rPr>
            </w:pPr>
          </w:p>
        </w:tc>
        <w:tc>
          <w:tcPr>
            <w:tcW w:w="217" w:type="dxa"/>
          </w:tcPr>
          <w:p w14:paraId="39535F0F" w14:textId="77777777" w:rsidR="002C0FD9" w:rsidRPr="00CA25CF" w:rsidRDefault="002C0FD9" w:rsidP="00CA25CF">
            <w:pPr>
              <w:rPr>
                <w:rFonts w:cs="Arial"/>
                <w:color w:val="FF0000"/>
                <w:sz w:val="21"/>
                <w:szCs w:val="21"/>
              </w:rPr>
            </w:pPr>
          </w:p>
        </w:tc>
        <w:tc>
          <w:tcPr>
            <w:tcW w:w="217" w:type="dxa"/>
          </w:tcPr>
          <w:p w14:paraId="4E7297A4" w14:textId="77777777" w:rsidR="002C0FD9" w:rsidRPr="00CA25CF" w:rsidRDefault="002C0FD9" w:rsidP="00CA25CF">
            <w:pPr>
              <w:rPr>
                <w:rFonts w:cs="Arial"/>
                <w:color w:val="FF0000"/>
                <w:sz w:val="21"/>
                <w:szCs w:val="21"/>
              </w:rPr>
            </w:pPr>
          </w:p>
        </w:tc>
        <w:tc>
          <w:tcPr>
            <w:tcW w:w="217" w:type="dxa"/>
          </w:tcPr>
          <w:p w14:paraId="1D305C93" w14:textId="77777777" w:rsidR="002C0FD9" w:rsidRPr="00CA25CF" w:rsidRDefault="002C0FD9" w:rsidP="00CA25CF">
            <w:pPr>
              <w:rPr>
                <w:rFonts w:cs="Arial"/>
                <w:color w:val="FF0000"/>
                <w:sz w:val="21"/>
                <w:szCs w:val="21"/>
              </w:rPr>
            </w:pPr>
          </w:p>
        </w:tc>
        <w:tc>
          <w:tcPr>
            <w:tcW w:w="217" w:type="dxa"/>
          </w:tcPr>
          <w:p w14:paraId="635C3FC1" w14:textId="77777777" w:rsidR="002C0FD9" w:rsidRPr="00CA25CF" w:rsidRDefault="002C0FD9" w:rsidP="00CA25CF">
            <w:pPr>
              <w:rPr>
                <w:rFonts w:cs="Arial"/>
                <w:color w:val="FF0000"/>
                <w:sz w:val="21"/>
                <w:szCs w:val="21"/>
              </w:rPr>
            </w:pPr>
          </w:p>
        </w:tc>
        <w:tc>
          <w:tcPr>
            <w:tcW w:w="217" w:type="dxa"/>
          </w:tcPr>
          <w:p w14:paraId="6506AC79" w14:textId="77777777" w:rsidR="002C0FD9" w:rsidRPr="00CA25CF" w:rsidRDefault="002C0FD9" w:rsidP="00CA25CF">
            <w:pPr>
              <w:rPr>
                <w:rFonts w:cs="Arial"/>
                <w:color w:val="FF0000"/>
                <w:sz w:val="21"/>
                <w:szCs w:val="21"/>
              </w:rPr>
            </w:pPr>
          </w:p>
        </w:tc>
        <w:tc>
          <w:tcPr>
            <w:tcW w:w="217" w:type="dxa"/>
          </w:tcPr>
          <w:p w14:paraId="4C13843C" w14:textId="77777777" w:rsidR="002C0FD9" w:rsidRPr="00CA25CF" w:rsidRDefault="002C0FD9" w:rsidP="00CA25CF">
            <w:pPr>
              <w:rPr>
                <w:rFonts w:cs="Arial"/>
                <w:color w:val="FF0000"/>
                <w:sz w:val="21"/>
                <w:szCs w:val="21"/>
              </w:rPr>
            </w:pPr>
          </w:p>
        </w:tc>
        <w:tc>
          <w:tcPr>
            <w:tcW w:w="217" w:type="dxa"/>
          </w:tcPr>
          <w:p w14:paraId="23C4C951" w14:textId="77777777" w:rsidR="002C0FD9" w:rsidRPr="00CA25CF" w:rsidRDefault="002C0FD9" w:rsidP="00CA25CF">
            <w:pPr>
              <w:rPr>
                <w:rFonts w:cs="Arial"/>
                <w:color w:val="FF0000"/>
                <w:sz w:val="21"/>
                <w:szCs w:val="21"/>
              </w:rPr>
            </w:pPr>
          </w:p>
        </w:tc>
        <w:tc>
          <w:tcPr>
            <w:tcW w:w="217" w:type="dxa"/>
          </w:tcPr>
          <w:p w14:paraId="4F6BE1E5" w14:textId="77777777" w:rsidR="002C0FD9" w:rsidRPr="00CA25CF" w:rsidRDefault="002C0FD9" w:rsidP="00CA25CF">
            <w:pPr>
              <w:rPr>
                <w:rFonts w:cs="Arial"/>
                <w:color w:val="FF0000"/>
                <w:sz w:val="21"/>
                <w:szCs w:val="21"/>
              </w:rPr>
            </w:pPr>
          </w:p>
        </w:tc>
        <w:tc>
          <w:tcPr>
            <w:tcW w:w="217" w:type="dxa"/>
          </w:tcPr>
          <w:p w14:paraId="78C5F43E" w14:textId="77777777" w:rsidR="002C0FD9" w:rsidRPr="00CA25CF" w:rsidRDefault="002C0FD9" w:rsidP="00CA25CF">
            <w:pPr>
              <w:rPr>
                <w:rFonts w:cs="Arial"/>
                <w:color w:val="FF0000"/>
                <w:sz w:val="21"/>
                <w:szCs w:val="21"/>
              </w:rPr>
            </w:pPr>
          </w:p>
        </w:tc>
        <w:tc>
          <w:tcPr>
            <w:tcW w:w="217" w:type="dxa"/>
          </w:tcPr>
          <w:p w14:paraId="5D37D77F" w14:textId="77777777" w:rsidR="002C0FD9" w:rsidRPr="00CA25CF" w:rsidRDefault="002C0FD9" w:rsidP="00CA25CF">
            <w:pPr>
              <w:rPr>
                <w:rFonts w:cs="Arial"/>
                <w:color w:val="FF0000"/>
                <w:sz w:val="21"/>
                <w:szCs w:val="21"/>
              </w:rPr>
            </w:pPr>
          </w:p>
        </w:tc>
        <w:tc>
          <w:tcPr>
            <w:tcW w:w="217" w:type="dxa"/>
          </w:tcPr>
          <w:p w14:paraId="42530F69" w14:textId="77777777" w:rsidR="002C0FD9" w:rsidRPr="00CA25CF" w:rsidRDefault="002C0FD9" w:rsidP="00CA25CF">
            <w:pPr>
              <w:rPr>
                <w:rFonts w:cs="Arial"/>
                <w:color w:val="FF0000"/>
                <w:sz w:val="21"/>
                <w:szCs w:val="21"/>
              </w:rPr>
            </w:pPr>
          </w:p>
        </w:tc>
        <w:tc>
          <w:tcPr>
            <w:tcW w:w="217" w:type="dxa"/>
          </w:tcPr>
          <w:p w14:paraId="0782F4AF" w14:textId="77777777" w:rsidR="002C0FD9" w:rsidRPr="00CA25CF" w:rsidRDefault="002C0FD9" w:rsidP="00CA25CF">
            <w:pPr>
              <w:rPr>
                <w:rFonts w:cs="Arial"/>
                <w:color w:val="FF0000"/>
                <w:sz w:val="21"/>
                <w:szCs w:val="21"/>
              </w:rPr>
            </w:pPr>
          </w:p>
        </w:tc>
        <w:tc>
          <w:tcPr>
            <w:tcW w:w="217" w:type="dxa"/>
          </w:tcPr>
          <w:p w14:paraId="45F18044" w14:textId="77777777" w:rsidR="002C0FD9" w:rsidRPr="00CA25CF" w:rsidRDefault="002C0FD9" w:rsidP="00CA25CF">
            <w:pPr>
              <w:rPr>
                <w:rFonts w:cs="Arial"/>
                <w:color w:val="FF0000"/>
                <w:sz w:val="21"/>
                <w:szCs w:val="21"/>
              </w:rPr>
            </w:pPr>
          </w:p>
        </w:tc>
        <w:tc>
          <w:tcPr>
            <w:tcW w:w="217" w:type="dxa"/>
          </w:tcPr>
          <w:p w14:paraId="5CD28E5D" w14:textId="77777777" w:rsidR="002C0FD9" w:rsidRPr="00CA25CF" w:rsidRDefault="002C0FD9" w:rsidP="00CA25CF">
            <w:pPr>
              <w:rPr>
                <w:rFonts w:cs="Arial"/>
                <w:color w:val="FF0000"/>
                <w:sz w:val="21"/>
                <w:szCs w:val="21"/>
              </w:rPr>
            </w:pPr>
          </w:p>
        </w:tc>
        <w:tc>
          <w:tcPr>
            <w:tcW w:w="217" w:type="dxa"/>
          </w:tcPr>
          <w:p w14:paraId="14AC6193" w14:textId="77777777" w:rsidR="002C0FD9" w:rsidRPr="00CA25CF" w:rsidRDefault="002C0FD9" w:rsidP="00CA25CF">
            <w:pPr>
              <w:rPr>
                <w:rFonts w:cs="Arial"/>
                <w:color w:val="FF0000"/>
                <w:sz w:val="21"/>
                <w:szCs w:val="21"/>
              </w:rPr>
            </w:pPr>
          </w:p>
        </w:tc>
        <w:tc>
          <w:tcPr>
            <w:tcW w:w="217" w:type="dxa"/>
          </w:tcPr>
          <w:p w14:paraId="34280B6F" w14:textId="77777777" w:rsidR="002C0FD9" w:rsidRPr="00CA25CF" w:rsidRDefault="002C0FD9" w:rsidP="00CA25CF">
            <w:pPr>
              <w:rPr>
                <w:rFonts w:cs="Arial"/>
                <w:color w:val="FF0000"/>
                <w:sz w:val="21"/>
                <w:szCs w:val="21"/>
              </w:rPr>
            </w:pPr>
          </w:p>
        </w:tc>
      </w:tr>
      <w:tr w:rsidR="002C0FD9" w:rsidRPr="00A16219" w14:paraId="3AA47DED" w14:textId="77777777" w:rsidTr="002C0FD9">
        <w:trPr>
          <w:trHeight w:val="635"/>
        </w:trPr>
        <w:tc>
          <w:tcPr>
            <w:tcW w:w="515" w:type="dxa"/>
          </w:tcPr>
          <w:p w14:paraId="0EE03F00" w14:textId="77777777" w:rsidR="002C0FD9" w:rsidRPr="00CA25CF" w:rsidRDefault="002C0FD9" w:rsidP="00CA25CF">
            <w:pPr>
              <w:rPr>
                <w:rFonts w:cs="Arial"/>
                <w:color w:val="FF0000"/>
                <w:sz w:val="21"/>
                <w:szCs w:val="21"/>
              </w:rPr>
            </w:pPr>
          </w:p>
        </w:tc>
        <w:tc>
          <w:tcPr>
            <w:tcW w:w="217" w:type="dxa"/>
          </w:tcPr>
          <w:p w14:paraId="4BDD9FEB" w14:textId="77777777" w:rsidR="002C0FD9" w:rsidRPr="00CA25CF" w:rsidRDefault="002C0FD9" w:rsidP="00CA25CF">
            <w:pPr>
              <w:rPr>
                <w:rFonts w:cs="Arial"/>
                <w:color w:val="FF0000"/>
                <w:sz w:val="21"/>
                <w:szCs w:val="21"/>
              </w:rPr>
            </w:pPr>
          </w:p>
        </w:tc>
        <w:tc>
          <w:tcPr>
            <w:tcW w:w="217" w:type="dxa"/>
          </w:tcPr>
          <w:p w14:paraId="104CC7B3" w14:textId="77777777" w:rsidR="002C0FD9" w:rsidRPr="00CA25CF" w:rsidRDefault="002C0FD9" w:rsidP="00CA25CF">
            <w:pPr>
              <w:rPr>
                <w:rFonts w:cs="Arial"/>
                <w:color w:val="FF0000"/>
                <w:sz w:val="21"/>
                <w:szCs w:val="21"/>
              </w:rPr>
            </w:pPr>
          </w:p>
        </w:tc>
        <w:tc>
          <w:tcPr>
            <w:tcW w:w="217" w:type="dxa"/>
          </w:tcPr>
          <w:p w14:paraId="6C95E2E2" w14:textId="77777777" w:rsidR="002C0FD9" w:rsidRPr="00CA25CF" w:rsidRDefault="002C0FD9" w:rsidP="00CA25CF">
            <w:pPr>
              <w:rPr>
                <w:rFonts w:cs="Arial"/>
                <w:color w:val="FF0000"/>
                <w:sz w:val="21"/>
                <w:szCs w:val="21"/>
              </w:rPr>
            </w:pPr>
          </w:p>
        </w:tc>
        <w:tc>
          <w:tcPr>
            <w:tcW w:w="217" w:type="dxa"/>
          </w:tcPr>
          <w:p w14:paraId="4D2DF588" w14:textId="77777777" w:rsidR="002C0FD9" w:rsidRPr="00CA25CF" w:rsidRDefault="002C0FD9" w:rsidP="00CA25CF">
            <w:pPr>
              <w:rPr>
                <w:rFonts w:cs="Arial"/>
                <w:color w:val="FF0000"/>
                <w:sz w:val="21"/>
                <w:szCs w:val="21"/>
              </w:rPr>
            </w:pPr>
          </w:p>
        </w:tc>
        <w:tc>
          <w:tcPr>
            <w:tcW w:w="217" w:type="dxa"/>
          </w:tcPr>
          <w:p w14:paraId="77313ECA" w14:textId="77777777" w:rsidR="002C0FD9" w:rsidRPr="00CA25CF" w:rsidRDefault="002C0FD9" w:rsidP="00CA25CF">
            <w:pPr>
              <w:rPr>
                <w:rFonts w:cs="Arial"/>
                <w:color w:val="FF0000"/>
                <w:sz w:val="21"/>
                <w:szCs w:val="21"/>
              </w:rPr>
            </w:pPr>
          </w:p>
        </w:tc>
        <w:tc>
          <w:tcPr>
            <w:tcW w:w="217" w:type="dxa"/>
          </w:tcPr>
          <w:p w14:paraId="3742CA2A" w14:textId="77777777" w:rsidR="002C0FD9" w:rsidRPr="00CA25CF" w:rsidRDefault="002C0FD9" w:rsidP="00CA25CF">
            <w:pPr>
              <w:rPr>
                <w:rFonts w:cs="Arial"/>
                <w:color w:val="FF0000"/>
                <w:sz w:val="21"/>
                <w:szCs w:val="21"/>
              </w:rPr>
            </w:pPr>
          </w:p>
        </w:tc>
        <w:tc>
          <w:tcPr>
            <w:tcW w:w="217" w:type="dxa"/>
          </w:tcPr>
          <w:p w14:paraId="18526DA0" w14:textId="77777777" w:rsidR="002C0FD9" w:rsidRPr="00CA25CF" w:rsidRDefault="002C0FD9" w:rsidP="00CA25CF">
            <w:pPr>
              <w:rPr>
                <w:rFonts w:cs="Arial"/>
                <w:color w:val="FF0000"/>
                <w:sz w:val="21"/>
                <w:szCs w:val="21"/>
              </w:rPr>
            </w:pPr>
          </w:p>
        </w:tc>
        <w:tc>
          <w:tcPr>
            <w:tcW w:w="217" w:type="dxa"/>
          </w:tcPr>
          <w:p w14:paraId="2D4447BA" w14:textId="77777777" w:rsidR="002C0FD9" w:rsidRPr="00CA25CF" w:rsidRDefault="002C0FD9" w:rsidP="00CA25CF">
            <w:pPr>
              <w:rPr>
                <w:rFonts w:cs="Arial"/>
                <w:color w:val="FF0000"/>
                <w:sz w:val="21"/>
                <w:szCs w:val="21"/>
              </w:rPr>
            </w:pPr>
          </w:p>
        </w:tc>
        <w:tc>
          <w:tcPr>
            <w:tcW w:w="217" w:type="dxa"/>
          </w:tcPr>
          <w:p w14:paraId="2F8071AE" w14:textId="77777777" w:rsidR="002C0FD9" w:rsidRPr="00CA25CF" w:rsidRDefault="002C0FD9" w:rsidP="00CA25CF">
            <w:pPr>
              <w:rPr>
                <w:rFonts w:cs="Arial"/>
                <w:color w:val="FF0000"/>
                <w:sz w:val="21"/>
                <w:szCs w:val="21"/>
              </w:rPr>
            </w:pPr>
          </w:p>
        </w:tc>
        <w:tc>
          <w:tcPr>
            <w:tcW w:w="217" w:type="dxa"/>
          </w:tcPr>
          <w:p w14:paraId="6D95E225" w14:textId="77777777" w:rsidR="002C0FD9" w:rsidRPr="00CA25CF" w:rsidRDefault="002C0FD9" w:rsidP="00CA25CF">
            <w:pPr>
              <w:rPr>
                <w:rFonts w:cs="Arial"/>
                <w:color w:val="FF0000"/>
                <w:sz w:val="21"/>
                <w:szCs w:val="21"/>
              </w:rPr>
            </w:pPr>
          </w:p>
        </w:tc>
        <w:tc>
          <w:tcPr>
            <w:tcW w:w="217" w:type="dxa"/>
          </w:tcPr>
          <w:p w14:paraId="2A119FA7" w14:textId="77777777" w:rsidR="002C0FD9" w:rsidRPr="00CA25CF" w:rsidRDefault="002C0FD9" w:rsidP="00CA25CF">
            <w:pPr>
              <w:rPr>
                <w:rFonts w:cs="Arial"/>
                <w:color w:val="FF0000"/>
                <w:sz w:val="21"/>
                <w:szCs w:val="21"/>
              </w:rPr>
            </w:pPr>
          </w:p>
        </w:tc>
        <w:tc>
          <w:tcPr>
            <w:tcW w:w="217" w:type="dxa"/>
          </w:tcPr>
          <w:p w14:paraId="0126870A" w14:textId="77777777" w:rsidR="002C0FD9" w:rsidRPr="00CA25CF" w:rsidRDefault="002C0FD9" w:rsidP="00CA25CF">
            <w:pPr>
              <w:rPr>
                <w:rFonts w:cs="Arial"/>
                <w:color w:val="FF0000"/>
                <w:sz w:val="21"/>
                <w:szCs w:val="21"/>
              </w:rPr>
            </w:pPr>
          </w:p>
        </w:tc>
        <w:tc>
          <w:tcPr>
            <w:tcW w:w="217" w:type="dxa"/>
          </w:tcPr>
          <w:p w14:paraId="3E17350B" w14:textId="77777777" w:rsidR="002C0FD9" w:rsidRPr="00CA25CF" w:rsidRDefault="002C0FD9" w:rsidP="00CA25CF">
            <w:pPr>
              <w:rPr>
                <w:rFonts w:cs="Arial"/>
                <w:color w:val="FF0000"/>
                <w:sz w:val="21"/>
                <w:szCs w:val="21"/>
              </w:rPr>
            </w:pPr>
          </w:p>
        </w:tc>
        <w:tc>
          <w:tcPr>
            <w:tcW w:w="217" w:type="dxa"/>
          </w:tcPr>
          <w:p w14:paraId="1B5AB97F" w14:textId="77777777" w:rsidR="002C0FD9" w:rsidRPr="00CA25CF" w:rsidRDefault="002C0FD9" w:rsidP="00CA25CF">
            <w:pPr>
              <w:rPr>
                <w:rFonts w:cs="Arial"/>
                <w:color w:val="FF0000"/>
                <w:sz w:val="21"/>
                <w:szCs w:val="21"/>
              </w:rPr>
            </w:pPr>
          </w:p>
        </w:tc>
        <w:tc>
          <w:tcPr>
            <w:tcW w:w="217" w:type="dxa"/>
          </w:tcPr>
          <w:p w14:paraId="028AFB8E" w14:textId="77777777" w:rsidR="002C0FD9" w:rsidRPr="00CA25CF" w:rsidRDefault="002C0FD9" w:rsidP="00CA25CF">
            <w:pPr>
              <w:rPr>
                <w:rFonts w:cs="Arial"/>
                <w:color w:val="FF0000"/>
                <w:sz w:val="21"/>
                <w:szCs w:val="21"/>
              </w:rPr>
            </w:pPr>
          </w:p>
        </w:tc>
        <w:tc>
          <w:tcPr>
            <w:tcW w:w="217" w:type="dxa"/>
          </w:tcPr>
          <w:p w14:paraId="28E135D4" w14:textId="77777777" w:rsidR="002C0FD9" w:rsidRPr="00CA25CF" w:rsidRDefault="002C0FD9" w:rsidP="00CA25CF">
            <w:pPr>
              <w:rPr>
                <w:rFonts w:cs="Arial"/>
                <w:color w:val="FF0000"/>
                <w:sz w:val="21"/>
                <w:szCs w:val="21"/>
              </w:rPr>
            </w:pPr>
          </w:p>
        </w:tc>
        <w:tc>
          <w:tcPr>
            <w:tcW w:w="217" w:type="dxa"/>
          </w:tcPr>
          <w:p w14:paraId="62DAC52E" w14:textId="77777777" w:rsidR="002C0FD9" w:rsidRPr="00CA25CF" w:rsidRDefault="002C0FD9" w:rsidP="00CA25CF">
            <w:pPr>
              <w:rPr>
                <w:rFonts w:cs="Arial"/>
                <w:color w:val="FF0000"/>
                <w:sz w:val="21"/>
                <w:szCs w:val="21"/>
              </w:rPr>
            </w:pPr>
          </w:p>
        </w:tc>
        <w:tc>
          <w:tcPr>
            <w:tcW w:w="217" w:type="dxa"/>
          </w:tcPr>
          <w:p w14:paraId="7DCB6B45" w14:textId="77777777" w:rsidR="002C0FD9" w:rsidRPr="00CA25CF" w:rsidRDefault="002C0FD9" w:rsidP="00CA25CF">
            <w:pPr>
              <w:rPr>
                <w:rFonts w:cs="Arial"/>
                <w:color w:val="FF0000"/>
                <w:sz w:val="21"/>
                <w:szCs w:val="21"/>
              </w:rPr>
            </w:pPr>
          </w:p>
        </w:tc>
        <w:tc>
          <w:tcPr>
            <w:tcW w:w="217" w:type="dxa"/>
          </w:tcPr>
          <w:p w14:paraId="7FDF360A" w14:textId="77777777" w:rsidR="002C0FD9" w:rsidRPr="00CA25CF" w:rsidRDefault="002C0FD9" w:rsidP="00CA25CF">
            <w:pPr>
              <w:rPr>
                <w:rFonts w:cs="Arial"/>
                <w:color w:val="FF0000"/>
                <w:sz w:val="21"/>
                <w:szCs w:val="21"/>
              </w:rPr>
            </w:pPr>
          </w:p>
        </w:tc>
        <w:tc>
          <w:tcPr>
            <w:tcW w:w="217" w:type="dxa"/>
          </w:tcPr>
          <w:p w14:paraId="31292721" w14:textId="77777777" w:rsidR="002C0FD9" w:rsidRPr="00CA25CF" w:rsidRDefault="002C0FD9" w:rsidP="00CA25CF">
            <w:pPr>
              <w:rPr>
                <w:rFonts w:cs="Arial"/>
                <w:color w:val="FF0000"/>
                <w:sz w:val="21"/>
                <w:szCs w:val="21"/>
              </w:rPr>
            </w:pPr>
          </w:p>
        </w:tc>
        <w:tc>
          <w:tcPr>
            <w:tcW w:w="217" w:type="dxa"/>
          </w:tcPr>
          <w:p w14:paraId="12CEDC75" w14:textId="77777777" w:rsidR="002C0FD9" w:rsidRPr="00CA25CF" w:rsidRDefault="002C0FD9" w:rsidP="00CA25CF">
            <w:pPr>
              <w:rPr>
                <w:rFonts w:cs="Arial"/>
                <w:color w:val="FF0000"/>
                <w:sz w:val="21"/>
                <w:szCs w:val="21"/>
              </w:rPr>
            </w:pPr>
          </w:p>
        </w:tc>
        <w:tc>
          <w:tcPr>
            <w:tcW w:w="217" w:type="dxa"/>
          </w:tcPr>
          <w:p w14:paraId="24EC2236" w14:textId="77777777" w:rsidR="002C0FD9" w:rsidRPr="00CA25CF" w:rsidRDefault="002C0FD9" w:rsidP="00CA25CF">
            <w:pPr>
              <w:rPr>
                <w:rFonts w:cs="Arial"/>
                <w:color w:val="FF0000"/>
                <w:sz w:val="21"/>
                <w:szCs w:val="21"/>
              </w:rPr>
            </w:pPr>
          </w:p>
        </w:tc>
        <w:tc>
          <w:tcPr>
            <w:tcW w:w="217" w:type="dxa"/>
          </w:tcPr>
          <w:p w14:paraId="11E943D1" w14:textId="77777777" w:rsidR="002C0FD9" w:rsidRPr="00CA25CF" w:rsidRDefault="002C0FD9" w:rsidP="00CA25CF">
            <w:pPr>
              <w:rPr>
                <w:rFonts w:cs="Arial"/>
                <w:color w:val="FF0000"/>
                <w:sz w:val="21"/>
                <w:szCs w:val="21"/>
              </w:rPr>
            </w:pPr>
          </w:p>
        </w:tc>
        <w:tc>
          <w:tcPr>
            <w:tcW w:w="217" w:type="dxa"/>
          </w:tcPr>
          <w:p w14:paraId="3CDB665E" w14:textId="77777777" w:rsidR="002C0FD9" w:rsidRPr="00CA25CF" w:rsidRDefault="002C0FD9" w:rsidP="00CA25CF">
            <w:pPr>
              <w:rPr>
                <w:rFonts w:cs="Arial"/>
                <w:color w:val="FF0000"/>
                <w:sz w:val="21"/>
                <w:szCs w:val="21"/>
              </w:rPr>
            </w:pPr>
          </w:p>
        </w:tc>
        <w:tc>
          <w:tcPr>
            <w:tcW w:w="217" w:type="dxa"/>
          </w:tcPr>
          <w:p w14:paraId="47F2FBE4" w14:textId="77777777" w:rsidR="002C0FD9" w:rsidRPr="00CA25CF" w:rsidRDefault="002C0FD9" w:rsidP="00CA25CF">
            <w:pPr>
              <w:rPr>
                <w:rFonts w:cs="Arial"/>
                <w:color w:val="FF0000"/>
                <w:sz w:val="21"/>
                <w:szCs w:val="21"/>
              </w:rPr>
            </w:pPr>
          </w:p>
        </w:tc>
        <w:tc>
          <w:tcPr>
            <w:tcW w:w="217" w:type="dxa"/>
          </w:tcPr>
          <w:p w14:paraId="4FB62834" w14:textId="77777777" w:rsidR="002C0FD9" w:rsidRPr="00CA25CF" w:rsidRDefault="002C0FD9" w:rsidP="00CA25CF">
            <w:pPr>
              <w:rPr>
                <w:rFonts w:cs="Arial"/>
                <w:color w:val="FF0000"/>
                <w:sz w:val="21"/>
                <w:szCs w:val="21"/>
              </w:rPr>
            </w:pPr>
          </w:p>
        </w:tc>
        <w:tc>
          <w:tcPr>
            <w:tcW w:w="217" w:type="dxa"/>
          </w:tcPr>
          <w:p w14:paraId="1A312C95" w14:textId="77777777" w:rsidR="002C0FD9" w:rsidRPr="00CA25CF" w:rsidRDefault="002C0FD9" w:rsidP="00CA25CF">
            <w:pPr>
              <w:rPr>
                <w:rFonts w:cs="Arial"/>
                <w:color w:val="FF0000"/>
                <w:sz w:val="21"/>
                <w:szCs w:val="21"/>
              </w:rPr>
            </w:pPr>
          </w:p>
        </w:tc>
        <w:tc>
          <w:tcPr>
            <w:tcW w:w="217" w:type="dxa"/>
          </w:tcPr>
          <w:p w14:paraId="6B8813DD" w14:textId="77777777" w:rsidR="002C0FD9" w:rsidRPr="00CA25CF" w:rsidRDefault="002C0FD9" w:rsidP="00CA25CF">
            <w:pPr>
              <w:rPr>
                <w:rFonts w:cs="Arial"/>
                <w:color w:val="FF0000"/>
                <w:sz w:val="21"/>
                <w:szCs w:val="21"/>
              </w:rPr>
            </w:pPr>
          </w:p>
        </w:tc>
        <w:tc>
          <w:tcPr>
            <w:tcW w:w="217" w:type="dxa"/>
          </w:tcPr>
          <w:p w14:paraId="5E6EE6EA" w14:textId="77777777" w:rsidR="002C0FD9" w:rsidRPr="00CA25CF" w:rsidRDefault="002C0FD9" w:rsidP="00CA25CF">
            <w:pPr>
              <w:rPr>
                <w:rFonts w:cs="Arial"/>
                <w:color w:val="FF0000"/>
                <w:sz w:val="21"/>
                <w:szCs w:val="21"/>
              </w:rPr>
            </w:pPr>
          </w:p>
        </w:tc>
        <w:tc>
          <w:tcPr>
            <w:tcW w:w="217" w:type="dxa"/>
          </w:tcPr>
          <w:p w14:paraId="5F9D92EC" w14:textId="77777777" w:rsidR="002C0FD9" w:rsidRPr="00CA25CF" w:rsidRDefault="002C0FD9" w:rsidP="00CA25CF">
            <w:pPr>
              <w:rPr>
                <w:rFonts w:cs="Arial"/>
                <w:color w:val="FF0000"/>
                <w:sz w:val="21"/>
                <w:szCs w:val="21"/>
              </w:rPr>
            </w:pPr>
          </w:p>
        </w:tc>
        <w:tc>
          <w:tcPr>
            <w:tcW w:w="217" w:type="dxa"/>
          </w:tcPr>
          <w:p w14:paraId="3B1A4180" w14:textId="77777777" w:rsidR="002C0FD9" w:rsidRPr="00CA25CF" w:rsidRDefault="002C0FD9" w:rsidP="00CA25CF">
            <w:pPr>
              <w:rPr>
                <w:rFonts w:cs="Arial"/>
                <w:color w:val="FF0000"/>
                <w:sz w:val="21"/>
                <w:szCs w:val="21"/>
              </w:rPr>
            </w:pPr>
          </w:p>
        </w:tc>
        <w:tc>
          <w:tcPr>
            <w:tcW w:w="217" w:type="dxa"/>
          </w:tcPr>
          <w:p w14:paraId="794F9633" w14:textId="77777777" w:rsidR="002C0FD9" w:rsidRPr="00CA25CF" w:rsidRDefault="002C0FD9" w:rsidP="00CA25CF">
            <w:pPr>
              <w:rPr>
                <w:rFonts w:cs="Arial"/>
                <w:color w:val="FF0000"/>
                <w:sz w:val="21"/>
                <w:szCs w:val="21"/>
              </w:rPr>
            </w:pPr>
          </w:p>
        </w:tc>
        <w:tc>
          <w:tcPr>
            <w:tcW w:w="217" w:type="dxa"/>
          </w:tcPr>
          <w:p w14:paraId="7D422666" w14:textId="77777777" w:rsidR="002C0FD9" w:rsidRPr="00CA25CF" w:rsidRDefault="002C0FD9" w:rsidP="00CA25CF">
            <w:pPr>
              <w:rPr>
                <w:rFonts w:cs="Arial"/>
                <w:color w:val="FF0000"/>
                <w:sz w:val="21"/>
                <w:szCs w:val="21"/>
              </w:rPr>
            </w:pPr>
          </w:p>
        </w:tc>
        <w:tc>
          <w:tcPr>
            <w:tcW w:w="217" w:type="dxa"/>
          </w:tcPr>
          <w:p w14:paraId="6DC80B44" w14:textId="77777777" w:rsidR="002C0FD9" w:rsidRPr="00CA25CF" w:rsidRDefault="002C0FD9" w:rsidP="00CA25CF">
            <w:pPr>
              <w:rPr>
                <w:rFonts w:cs="Arial"/>
                <w:color w:val="FF0000"/>
                <w:sz w:val="21"/>
                <w:szCs w:val="21"/>
              </w:rPr>
            </w:pPr>
          </w:p>
        </w:tc>
        <w:tc>
          <w:tcPr>
            <w:tcW w:w="217" w:type="dxa"/>
          </w:tcPr>
          <w:p w14:paraId="2E65256B" w14:textId="77777777" w:rsidR="002C0FD9" w:rsidRPr="00CA25CF" w:rsidRDefault="002C0FD9" w:rsidP="00CA25CF">
            <w:pPr>
              <w:rPr>
                <w:rFonts w:cs="Arial"/>
                <w:color w:val="FF0000"/>
                <w:sz w:val="21"/>
                <w:szCs w:val="21"/>
              </w:rPr>
            </w:pPr>
          </w:p>
        </w:tc>
        <w:tc>
          <w:tcPr>
            <w:tcW w:w="217" w:type="dxa"/>
          </w:tcPr>
          <w:p w14:paraId="79593B21" w14:textId="77777777" w:rsidR="002C0FD9" w:rsidRPr="00CA25CF" w:rsidRDefault="002C0FD9" w:rsidP="00CA25CF">
            <w:pPr>
              <w:rPr>
                <w:rFonts w:cs="Arial"/>
                <w:color w:val="FF0000"/>
                <w:sz w:val="21"/>
                <w:szCs w:val="21"/>
              </w:rPr>
            </w:pPr>
          </w:p>
        </w:tc>
        <w:tc>
          <w:tcPr>
            <w:tcW w:w="217" w:type="dxa"/>
          </w:tcPr>
          <w:p w14:paraId="6F3E6935" w14:textId="77777777" w:rsidR="002C0FD9" w:rsidRPr="00CA25CF" w:rsidRDefault="002C0FD9" w:rsidP="00CA25CF">
            <w:pPr>
              <w:rPr>
                <w:rFonts w:cs="Arial"/>
                <w:color w:val="FF0000"/>
                <w:sz w:val="21"/>
                <w:szCs w:val="21"/>
              </w:rPr>
            </w:pPr>
          </w:p>
        </w:tc>
        <w:tc>
          <w:tcPr>
            <w:tcW w:w="217" w:type="dxa"/>
          </w:tcPr>
          <w:p w14:paraId="4856F8A2" w14:textId="77777777" w:rsidR="002C0FD9" w:rsidRPr="00CA25CF" w:rsidRDefault="002C0FD9" w:rsidP="00CA25CF">
            <w:pPr>
              <w:rPr>
                <w:rFonts w:cs="Arial"/>
                <w:color w:val="FF0000"/>
                <w:sz w:val="21"/>
                <w:szCs w:val="21"/>
              </w:rPr>
            </w:pPr>
          </w:p>
        </w:tc>
        <w:tc>
          <w:tcPr>
            <w:tcW w:w="217" w:type="dxa"/>
          </w:tcPr>
          <w:p w14:paraId="4B8D4BB9" w14:textId="77777777" w:rsidR="002C0FD9" w:rsidRPr="00CA25CF" w:rsidRDefault="002C0FD9" w:rsidP="00CA25CF">
            <w:pPr>
              <w:rPr>
                <w:rFonts w:cs="Arial"/>
                <w:color w:val="FF0000"/>
                <w:sz w:val="21"/>
                <w:szCs w:val="21"/>
              </w:rPr>
            </w:pPr>
          </w:p>
        </w:tc>
        <w:tc>
          <w:tcPr>
            <w:tcW w:w="217" w:type="dxa"/>
          </w:tcPr>
          <w:p w14:paraId="069ECF21" w14:textId="77777777" w:rsidR="002C0FD9" w:rsidRPr="00CA25CF" w:rsidRDefault="002C0FD9" w:rsidP="00CA25CF">
            <w:pPr>
              <w:rPr>
                <w:rFonts w:cs="Arial"/>
                <w:color w:val="FF0000"/>
                <w:sz w:val="21"/>
                <w:szCs w:val="21"/>
              </w:rPr>
            </w:pPr>
          </w:p>
        </w:tc>
        <w:tc>
          <w:tcPr>
            <w:tcW w:w="217" w:type="dxa"/>
          </w:tcPr>
          <w:p w14:paraId="157CCD14" w14:textId="77777777" w:rsidR="002C0FD9" w:rsidRPr="00CA25CF" w:rsidRDefault="002C0FD9" w:rsidP="00CA25CF">
            <w:pPr>
              <w:rPr>
                <w:rFonts w:cs="Arial"/>
                <w:color w:val="FF0000"/>
                <w:sz w:val="21"/>
                <w:szCs w:val="21"/>
              </w:rPr>
            </w:pPr>
          </w:p>
        </w:tc>
        <w:tc>
          <w:tcPr>
            <w:tcW w:w="217" w:type="dxa"/>
          </w:tcPr>
          <w:p w14:paraId="6FD4328F" w14:textId="77777777" w:rsidR="002C0FD9" w:rsidRPr="00CA25CF" w:rsidRDefault="002C0FD9" w:rsidP="00CA25CF">
            <w:pPr>
              <w:rPr>
                <w:rFonts w:cs="Arial"/>
                <w:color w:val="FF0000"/>
                <w:sz w:val="21"/>
                <w:szCs w:val="21"/>
              </w:rPr>
            </w:pPr>
          </w:p>
        </w:tc>
      </w:tr>
      <w:tr w:rsidR="002C0FD9" w:rsidRPr="00A16219" w14:paraId="68330EC2" w14:textId="77777777" w:rsidTr="002C0FD9">
        <w:trPr>
          <w:trHeight w:val="635"/>
        </w:trPr>
        <w:tc>
          <w:tcPr>
            <w:tcW w:w="515" w:type="dxa"/>
          </w:tcPr>
          <w:p w14:paraId="537FCF2E" w14:textId="77777777" w:rsidR="002C0FD9" w:rsidRPr="00CA25CF" w:rsidRDefault="002C0FD9" w:rsidP="00CA25CF">
            <w:pPr>
              <w:rPr>
                <w:rFonts w:cs="Arial"/>
                <w:color w:val="FF0000"/>
                <w:sz w:val="21"/>
                <w:szCs w:val="21"/>
              </w:rPr>
            </w:pPr>
          </w:p>
        </w:tc>
        <w:tc>
          <w:tcPr>
            <w:tcW w:w="217" w:type="dxa"/>
          </w:tcPr>
          <w:p w14:paraId="693BE8A2" w14:textId="77777777" w:rsidR="002C0FD9" w:rsidRPr="00CA25CF" w:rsidRDefault="002C0FD9" w:rsidP="00CA25CF">
            <w:pPr>
              <w:rPr>
                <w:rFonts w:cs="Arial"/>
                <w:color w:val="FF0000"/>
                <w:sz w:val="21"/>
                <w:szCs w:val="21"/>
              </w:rPr>
            </w:pPr>
          </w:p>
        </w:tc>
        <w:tc>
          <w:tcPr>
            <w:tcW w:w="217" w:type="dxa"/>
          </w:tcPr>
          <w:p w14:paraId="3A586F49" w14:textId="77777777" w:rsidR="002C0FD9" w:rsidRPr="00CA25CF" w:rsidRDefault="002C0FD9" w:rsidP="00CA25CF">
            <w:pPr>
              <w:rPr>
                <w:rFonts w:cs="Arial"/>
                <w:color w:val="FF0000"/>
                <w:sz w:val="21"/>
                <w:szCs w:val="21"/>
              </w:rPr>
            </w:pPr>
          </w:p>
        </w:tc>
        <w:tc>
          <w:tcPr>
            <w:tcW w:w="217" w:type="dxa"/>
          </w:tcPr>
          <w:p w14:paraId="6DB21497" w14:textId="77777777" w:rsidR="002C0FD9" w:rsidRPr="00CA25CF" w:rsidRDefault="002C0FD9" w:rsidP="00CA25CF">
            <w:pPr>
              <w:rPr>
                <w:rFonts w:cs="Arial"/>
                <w:color w:val="FF0000"/>
                <w:sz w:val="21"/>
                <w:szCs w:val="21"/>
              </w:rPr>
            </w:pPr>
          </w:p>
        </w:tc>
        <w:tc>
          <w:tcPr>
            <w:tcW w:w="217" w:type="dxa"/>
          </w:tcPr>
          <w:p w14:paraId="63CCD339" w14:textId="77777777" w:rsidR="002C0FD9" w:rsidRPr="00CA25CF" w:rsidRDefault="002C0FD9" w:rsidP="00CA25CF">
            <w:pPr>
              <w:rPr>
                <w:rFonts w:cs="Arial"/>
                <w:color w:val="FF0000"/>
                <w:sz w:val="21"/>
                <w:szCs w:val="21"/>
              </w:rPr>
            </w:pPr>
          </w:p>
        </w:tc>
        <w:tc>
          <w:tcPr>
            <w:tcW w:w="217" w:type="dxa"/>
          </w:tcPr>
          <w:p w14:paraId="43D020FA" w14:textId="77777777" w:rsidR="002C0FD9" w:rsidRPr="00CA25CF" w:rsidRDefault="002C0FD9" w:rsidP="00CA25CF">
            <w:pPr>
              <w:rPr>
                <w:rFonts w:cs="Arial"/>
                <w:color w:val="FF0000"/>
                <w:sz w:val="21"/>
                <w:szCs w:val="21"/>
              </w:rPr>
            </w:pPr>
          </w:p>
        </w:tc>
        <w:tc>
          <w:tcPr>
            <w:tcW w:w="217" w:type="dxa"/>
          </w:tcPr>
          <w:p w14:paraId="228DE68C" w14:textId="77777777" w:rsidR="002C0FD9" w:rsidRPr="00CA25CF" w:rsidRDefault="002C0FD9" w:rsidP="00CA25CF">
            <w:pPr>
              <w:rPr>
                <w:rFonts w:cs="Arial"/>
                <w:color w:val="FF0000"/>
                <w:sz w:val="21"/>
                <w:szCs w:val="21"/>
              </w:rPr>
            </w:pPr>
          </w:p>
        </w:tc>
        <w:tc>
          <w:tcPr>
            <w:tcW w:w="217" w:type="dxa"/>
          </w:tcPr>
          <w:p w14:paraId="38D24687" w14:textId="77777777" w:rsidR="002C0FD9" w:rsidRPr="00CA25CF" w:rsidRDefault="002C0FD9" w:rsidP="00CA25CF">
            <w:pPr>
              <w:rPr>
                <w:rFonts w:cs="Arial"/>
                <w:color w:val="FF0000"/>
                <w:sz w:val="21"/>
                <w:szCs w:val="21"/>
              </w:rPr>
            </w:pPr>
          </w:p>
        </w:tc>
        <w:tc>
          <w:tcPr>
            <w:tcW w:w="217" w:type="dxa"/>
          </w:tcPr>
          <w:p w14:paraId="75E86F53" w14:textId="77777777" w:rsidR="002C0FD9" w:rsidRPr="00CA25CF" w:rsidRDefault="002C0FD9" w:rsidP="00CA25CF">
            <w:pPr>
              <w:rPr>
                <w:rFonts w:cs="Arial"/>
                <w:color w:val="FF0000"/>
                <w:sz w:val="21"/>
                <w:szCs w:val="21"/>
              </w:rPr>
            </w:pPr>
          </w:p>
        </w:tc>
        <w:tc>
          <w:tcPr>
            <w:tcW w:w="217" w:type="dxa"/>
          </w:tcPr>
          <w:p w14:paraId="7103AB86" w14:textId="77777777" w:rsidR="002C0FD9" w:rsidRPr="00CA25CF" w:rsidRDefault="002C0FD9" w:rsidP="00CA25CF">
            <w:pPr>
              <w:rPr>
                <w:rFonts w:cs="Arial"/>
                <w:color w:val="FF0000"/>
                <w:sz w:val="21"/>
                <w:szCs w:val="21"/>
              </w:rPr>
            </w:pPr>
          </w:p>
        </w:tc>
        <w:tc>
          <w:tcPr>
            <w:tcW w:w="217" w:type="dxa"/>
          </w:tcPr>
          <w:p w14:paraId="34D834EF" w14:textId="77777777" w:rsidR="002C0FD9" w:rsidRPr="00CA25CF" w:rsidRDefault="002C0FD9" w:rsidP="00CA25CF">
            <w:pPr>
              <w:rPr>
                <w:rFonts w:cs="Arial"/>
                <w:color w:val="FF0000"/>
                <w:sz w:val="21"/>
                <w:szCs w:val="21"/>
              </w:rPr>
            </w:pPr>
          </w:p>
        </w:tc>
        <w:tc>
          <w:tcPr>
            <w:tcW w:w="217" w:type="dxa"/>
          </w:tcPr>
          <w:p w14:paraId="65737509" w14:textId="77777777" w:rsidR="002C0FD9" w:rsidRPr="00CA25CF" w:rsidRDefault="002C0FD9" w:rsidP="00CA25CF">
            <w:pPr>
              <w:rPr>
                <w:rFonts w:cs="Arial"/>
                <w:color w:val="FF0000"/>
                <w:sz w:val="21"/>
                <w:szCs w:val="21"/>
              </w:rPr>
            </w:pPr>
          </w:p>
        </w:tc>
        <w:tc>
          <w:tcPr>
            <w:tcW w:w="217" w:type="dxa"/>
          </w:tcPr>
          <w:p w14:paraId="195DCDA9" w14:textId="77777777" w:rsidR="002C0FD9" w:rsidRPr="00CA25CF" w:rsidRDefault="002C0FD9" w:rsidP="00CA25CF">
            <w:pPr>
              <w:rPr>
                <w:rFonts w:cs="Arial"/>
                <w:color w:val="FF0000"/>
                <w:sz w:val="21"/>
                <w:szCs w:val="21"/>
              </w:rPr>
            </w:pPr>
          </w:p>
        </w:tc>
        <w:tc>
          <w:tcPr>
            <w:tcW w:w="217" w:type="dxa"/>
          </w:tcPr>
          <w:p w14:paraId="3EA79BBE" w14:textId="77777777" w:rsidR="002C0FD9" w:rsidRPr="00CA25CF" w:rsidRDefault="002C0FD9" w:rsidP="00CA25CF">
            <w:pPr>
              <w:rPr>
                <w:rFonts w:cs="Arial"/>
                <w:color w:val="FF0000"/>
                <w:sz w:val="21"/>
                <w:szCs w:val="21"/>
              </w:rPr>
            </w:pPr>
          </w:p>
        </w:tc>
        <w:tc>
          <w:tcPr>
            <w:tcW w:w="217" w:type="dxa"/>
          </w:tcPr>
          <w:p w14:paraId="3F0EAF93" w14:textId="77777777" w:rsidR="002C0FD9" w:rsidRPr="00CA25CF" w:rsidRDefault="002C0FD9" w:rsidP="00CA25CF">
            <w:pPr>
              <w:rPr>
                <w:rFonts w:cs="Arial"/>
                <w:color w:val="FF0000"/>
                <w:sz w:val="21"/>
                <w:szCs w:val="21"/>
              </w:rPr>
            </w:pPr>
          </w:p>
        </w:tc>
        <w:tc>
          <w:tcPr>
            <w:tcW w:w="217" w:type="dxa"/>
          </w:tcPr>
          <w:p w14:paraId="3172754B" w14:textId="77777777" w:rsidR="002C0FD9" w:rsidRPr="00CA25CF" w:rsidRDefault="002C0FD9" w:rsidP="00CA25CF">
            <w:pPr>
              <w:rPr>
                <w:rFonts w:cs="Arial"/>
                <w:color w:val="FF0000"/>
                <w:sz w:val="21"/>
                <w:szCs w:val="21"/>
              </w:rPr>
            </w:pPr>
          </w:p>
        </w:tc>
        <w:tc>
          <w:tcPr>
            <w:tcW w:w="217" w:type="dxa"/>
          </w:tcPr>
          <w:p w14:paraId="0F0A7E63" w14:textId="77777777" w:rsidR="002C0FD9" w:rsidRPr="00CA25CF" w:rsidRDefault="002C0FD9" w:rsidP="00CA25CF">
            <w:pPr>
              <w:rPr>
                <w:rFonts w:cs="Arial"/>
                <w:color w:val="FF0000"/>
                <w:sz w:val="21"/>
                <w:szCs w:val="21"/>
              </w:rPr>
            </w:pPr>
          </w:p>
        </w:tc>
        <w:tc>
          <w:tcPr>
            <w:tcW w:w="217" w:type="dxa"/>
          </w:tcPr>
          <w:p w14:paraId="209F6206" w14:textId="77777777" w:rsidR="002C0FD9" w:rsidRPr="00CA25CF" w:rsidRDefault="002C0FD9" w:rsidP="00CA25CF">
            <w:pPr>
              <w:rPr>
                <w:rFonts w:cs="Arial"/>
                <w:color w:val="FF0000"/>
                <w:sz w:val="21"/>
                <w:szCs w:val="21"/>
              </w:rPr>
            </w:pPr>
          </w:p>
        </w:tc>
        <w:tc>
          <w:tcPr>
            <w:tcW w:w="217" w:type="dxa"/>
          </w:tcPr>
          <w:p w14:paraId="1D8053A7" w14:textId="77777777" w:rsidR="002C0FD9" w:rsidRPr="00CA25CF" w:rsidRDefault="002C0FD9" w:rsidP="00CA25CF">
            <w:pPr>
              <w:rPr>
                <w:rFonts w:cs="Arial"/>
                <w:color w:val="FF0000"/>
                <w:sz w:val="21"/>
                <w:szCs w:val="21"/>
              </w:rPr>
            </w:pPr>
          </w:p>
        </w:tc>
        <w:tc>
          <w:tcPr>
            <w:tcW w:w="217" w:type="dxa"/>
          </w:tcPr>
          <w:p w14:paraId="5F15EE7B" w14:textId="77777777" w:rsidR="002C0FD9" w:rsidRPr="00CA25CF" w:rsidRDefault="002C0FD9" w:rsidP="00CA25CF">
            <w:pPr>
              <w:rPr>
                <w:rFonts w:cs="Arial"/>
                <w:color w:val="FF0000"/>
                <w:sz w:val="21"/>
                <w:szCs w:val="21"/>
              </w:rPr>
            </w:pPr>
          </w:p>
        </w:tc>
        <w:tc>
          <w:tcPr>
            <w:tcW w:w="217" w:type="dxa"/>
          </w:tcPr>
          <w:p w14:paraId="676AC317" w14:textId="77777777" w:rsidR="002C0FD9" w:rsidRPr="00CA25CF" w:rsidRDefault="002C0FD9" w:rsidP="00CA25CF">
            <w:pPr>
              <w:rPr>
                <w:rFonts w:cs="Arial"/>
                <w:color w:val="FF0000"/>
                <w:sz w:val="21"/>
                <w:szCs w:val="21"/>
              </w:rPr>
            </w:pPr>
          </w:p>
        </w:tc>
        <w:tc>
          <w:tcPr>
            <w:tcW w:w="217" w:type="dxa"/>
          </w:tcPr>
          <w:p w14:paraId="05CB4477" w14:textId="77777777" w:rsidR="002C0FD9" w:rsidRPr="00CA25CF" w:rsidRDefault="002C0FD9" w:rsidP="00CA25CF">
            <w:pPr>
              <w:rPr>
                <w:rFonts w:cs="Arial"/>
                <w:color w:val="FF0000"/>
                <w:sz w:val="21"/>
                <w:szCs w:val="21"/>
              </w:rPr>
            </w:pPr>
          </w:p>
        </w:tc>
        <w:tc>
          <w:tcPr>
            <w:tcW w:w="217" w:type="dxa"/>
          </w:tcPr>
          <w:p w14:paraId="620E4D6A" w14:textId="77777777" w:rsidR="002C0FD9" w:rsidRPr="00CA25CF" w:rsidRDefault="002C0FD9" w:rsidP="00CA25CF">
            <w:pPr>
              <w:rPr>
                <w:rFonts w:cs="Arial"/>
                <w:color w:val="FF0000"/>
                <w:sz w:val="21"/>
                <w:szCs w:val="21"/>
              </w:rPr>
            </w:pPr>
          </w:p>
        </w:tc>
        <w:tc>
          <w:tcPr>
            <w:tcW w:w="217" w:type="dxa"/>
          </w:tcPr>
          <w:p w14:paraId="59BCC096" w14:textId="77777777" w:rsidR="002C0FD9" w:rsidRPr="00CA25CF" w:rsidRDefault="002C0FD9" w:rsidP="00CA25CF">
            <w:pPr>
              <w:rPr>
                <w:rFonts w:cs="Arial"/>
                <w:color w:val="FF0000"/>
                <w:sz w:val="21"/>
                <w:szCs w:val="21"/>
              </w:rPr>
            </w:pPr>
          </w:p>
        </w:tc>
        <w:tc>
          <w:tcPr>
            <w:tcW w:w="217" w:type="dxa"/>
          </w:tcPr>
          <w:p w14:paraId="3935159B" w14:textId="77777777" w:rsidR="002C0FD9" w:rsidRPr="00CA25CF" w:rsidRDefault="002C0FD9" w:rsidP="00CA25CF">
            <w:pPr>
              <w:rPr>
                <w:rFonts w:cs="Arial"/>
                <w:color w:val="FF0000"/>
                <w:sz w:val="21"/>
                <w:szCs w:val="21"/>
              </w:rPr>
            </w:pPr>
          </w:p>
        </w:tc>
        <w:tc>
          <w:tcPr>
            <w:tcW w:w="217" w:type="dxa"/>
          </w:tcPr>
          <w:p w14:paraId="448AB05A" w14:textId="77777777" w:rsidR="002C0FD9" w:rsidRPr="00CA25CF" w:rsidRDefault="002C0FD9" w:rsidP="00CA25CF">
            <w:pPr>
              <w:rPr>
                <w:rFonts w:cs="Arial"/>
                <w:color w:val="FF0000"/>
                <w:sz w:val="21"/>
                <w:szCs w:val="21"/>
              </w:rPr>
            </w:pPr>
          </w:p>
        </w:tc>
        <w:tc>
          <w:tcPr>
            <w:tcW w:w="217" w:type="dxa"/>
          </w:tcPr>
          <w:p w14:paraId="179C4CC2" w14:textId="77777777" w:rsidR="002C0FD9" w:rsidRPr="00CA25CF" w:rsidRDefault="002C0FD9" w:rsidP="00CA25CF">
            <w:pPr>
              <w:rPr>
                <w:rFonts w:cs="Arial"/>
                <w:color w:val="FF0000"/>
                <w:sz w:val="21"/>
                <w:szCs w:val="21"/>
              </w:rPr>
            </w:pPr>
          </w:p>
        </w:tc>
        <w:tc>
          <w:tcPr>
            <w:tcW w:w="217" w:type="dxa"/>
          </w:tcPr>
          <w:p w14:paraId="62395CB5" w14:textId="77777777" w:rsidR="002C0FD9" w:rsidRPr="00CA25CF" w:rsidRDefault="002C0FD9" w:rsidP="00CA25CF">
            <w:pPr>
              <w:rPr>
                <w:rFonts w:cs="Arial"/>
                <w:color w:val="FF0000"/>
                <w:sz w:val="21"/>
                <w:szCs w:val="21"/>
              </w:rPr>
            </w:pPr>
          </w:p>
        </w:tc>
        <w:tc>
          <w:tcPr>
            <w:tcW w:w="217" w:type="dxa"/>
          </w:tcPr>
          <w:p w14:paraId="4DA6685D" w14:textId="77777777" w:rsidR="002C0FD9" w:rsidRPr="00CA25CF" w:rsidRDefault="002C0FD9" w:rsidP="00CA25CF">
            <w:pPr>
              <w:rPr>
                <w:rFonts w:cs="Arial"/>
                <w:color w:val="FF0000"/>
                <w:sz w:val="21"/>
                <w:szCs w:val="21"/>
              </w:rPr>
            </w:pPr>
          </w:p>
        </w:tc>
        <w:tc>
          <w:tcPr>
            <w:tcW w:w="217" w:type="dxa"/>
          </w:tcPr>
          <w:p w14:paraId="03FEA51C" w14:textId="77777777" w:rsidR="002C0FD9" w:rsidRPr="00CA25CF" w:rsidRDefault="002C0FD9" w:rsidP="00CA25CF">
            <w:pPr>
              <w:rPr>
                <w:rFonts w:cs="Arial"/>
                <w:color w:val="FF0000"/>
                <w:sz w:val="21"/>
                <w:szCs w:val="21"/>
              </w:rPr>
            </w:pPr>
          </w:p>
        </w:tc>
        <w:tc>
          <w:tcPr>
            <w:tcW w:w="217" w:type="dxa"/>
          </w:tcPr>
          <w:p w14:paraId="5B10D72C" w14:textId="77777777" w:rsidR="002C0FD9" w:rsidRPr="00CA25CF" w:rsidRDefault="002C0FD9" w:rsidP="00CA25CF">
            <w:pPr>
              <w:rPr>
                <w:rFonts w:cs="Arial"/>
                <w:color w:val="FF0000"/>
                <w:sz w:val="21"/>
                <w:szCs w:val="21"/>
              </w:rPr>
            </w:pPr>
          </w:p>
        </w:tc>
        <w:tc>
          <w:tcPr>
            <w:tcW w:w="217" w:type="dxa"/>
          </w:tcPr>
          <w:p w14:paraId="301B8F13" w14:textId="77777777" w:rsidR="002C0FD9" w:rsidRPr="00CA25CF" w:rsidRDefault="002C0FD9" w:rsidP="00CA25CF">
            <w:pPr>
              <w:rPr>
                <w:rFonts w:cs="Arial"/>
                <w:color w:val="FF0000"/>
                <w:sz w:val="21"/>
                <w:szCs w:val="21"/>
              </w:rPr>
            </w:pPr>
          </w:p>
        </w:tc>
        <w:tc>
          <w:tcPr>
            <w:tcW w:w="217" w:type="dxa"/>
          </w:tcPr>
          <w:p w14:paraId="2C4C8872" w14:textId="77777777" w:rsidR="002C0FD9" w:rsidRPr="00CA25CF" w:rsidRDefault="002C0FD9" w:rsidP="00CA25CF">
            <w:pPr>
              <w:rPr>
                <w:rFonts w:cs="Arial"/>
                <w:color w:val="FF0000"/>
                <w:sz w:val="21"/>
                <w:szCs w:val="21"/>
              </w:rPr>
            </w:pPr>
          </w:p>
        </w:tc>
        <w:tc>
          <w:tcPr>
            <w:tcW w:w="217" w:type="dxa"/>
          </w:tcPr>
          <w:p w14:paraId="0F1B4E44" w14:textId="77777777" w:rsidR="002C0FD9" w:rsidRPr="00CA25CF" w:rsidRDefault="002C0FD9" w:rsidP="00CA25CF">
            <w:pPr>
              <w:rPr>
                <w:rFonts w:cs="Arial"/>
                <w:color w:val="FF0000"/>
                <w:sz w:val="21"/>
                <w:szCs w:val="21"/>
              </w:rPr>
            </w:pPr>
          </w:p>
        </w:tc>
        <w:tc>
          <w:tcPr>
            <w:tcW w:w="217" w:type="dxa"/>
          </w:tcPr>
          <w:p w14:paraId="259639CE" w14:textId="77777777" w:rsidR="002C0FD9" w:rsidRPr="00CA25CF" w:rsidRDefault="002C0FD9" w:rsidP="00CA25CF">
            <w:pPr>
              <w:rPr>
                <w:rFonts w:cs="Arial"/>
                <w:color w:val="FF0000"/>
                <w:sz w:val="21"/>
                <w:szCs w:val="21"/>
              </w:rPr>
            </w:pPr>
          </w:p>
        </w:tc>
        <w:tc>
          <w:tcPr>
            <w:tcW w:w="217" w:type="dxa"/>
          </w:tcPr>
          <w:p w14:paraId="0F346908" w14:textId="77777777" w:rsidR="002C0FD9" w:rsidRPr="00CA25CF" w:rsidRDefault="002C0FD9" w:rsidP="00CA25CF">
            <w:pPr>
              <w:rPr>
                <w:rFonts w:cs="Arial"/>
                <w:color w:val="FF0000"/>
                <w:sz w:val="21"/>
                <w:szCs w:val="21"/>
              </w:rPr>
            </w:pPr>
          </w:p>
        </w:tc>
        <w:tc>
          <w:tcPr>
            <w:tcW w:w="217" w:type="dxa"/>
          </w:tcPr>
          <w:p w14:paraId="68AE1F89" w14:textId="77777777" w:rsidR="002C0FD9" w:rsidRPr="00CA25CF" w:rsidRDefault="002C0FD9" w:rsidP="00CA25CF">
            <w:pPr>
              <w:rPr>
                <w:rFonts w:cs="Arial"/>
                <w:color w:val="FF0000"/>
                <w:sz w:val="21"/>
                <w:szCs w:val="21"/>
              </w:rPr>
            </w:pPr>
          </w:p>
        </w:tc>
        <w:tc>
          <w:tcPr>
            <w:tcW w:w="217" w:type="dxa"/>
          </w:tcPr>
          <w:p w14:paraId="7AFCBD7B" w14:textId="77777777" w:rsidR="002C0FD9" w:rsidRPr="00CA25CF" w:rsidRDefault="002C0FD9" w:rsidP="00CA25CF">
            <w:pPr>
              <w:rPr>
                <w:rFonts w:cs="Arial"/>
                <w:color w:val="FF0000"/>
                <w:sz w:val="21"/>
                <w:szCs w:val="21"/>
              </w:rPr>
            </w:pPr>
          </w:p>
        </w:tc>
        <w:tc>
          <w:tcPr>
            <w:tcW w:w="217" w:type="dxa"/>
          </w:tcPr>
          <w:p w14:paraId="4CFE1B68" w14:textId="77777777" w:rsidR="002C0FD9" w:rsidRPr="00CA25CF" w:rsidRDefault="002C0FD9" w:rsidP="00CA25CF">
            <w:pPr>
              <w:rPr>
                <w:rFonts w:cs="Arial"/>
                <w:color w:val="FF0000"/>
                <w:sz w:val="21"/>
                <w:szCs w:val="21"/>
              </w:rPr>
            </w:pPr>
          </w:p>
        </w:tc>
        <w:tc>
          <w:tcPr>
            <w:tcW w:w="217" w:type="dxa"/>
          </w:tcPr>
          <w:p w14:paraId="4B6E4B0F" w14:textId="77777777" w:rsidR="002C0FD9" w:rsidRPr="00CA25CF" w:rsidRDefault="002C0FD9" w:rsidP="00CA25CF">
            <w:pPr>
              <w:rPr>
                <w:rFonts w:cs="Arial"/>
                <w:color w:val="FF0000"/>
                <w:sz w:val="21"/>
                <w:szCs w:val="21"/>
              </w:rPr>
            </w:pPr>
          </w:p>
        </w:tc>
        <w:tc>
          <w:tcPr>
            <w:tcW w:w="217" w:type="dxa"/>
          </w:tcPr>
          <w:p w14:paraId="614255F7" w14:textId="77777777" w:rsidR="002C0FD9" w:rsidRPr="00CA25CF" w:rsidRDefault="002C0FD9" w:rsidP="00CA25CF">
            <w:pPr>
              <w:rPr>
                <w:rFonts w:cs="Arial"/>
                <w:color w:val="FF0000"/>
                <w:sz w:val="21"/>
                <w:szCs w:val="21"/>
              </w:rPr>
            </w:pPr>
          </w:p>
        </w:tc>
        <w:tc>
          <w:tcPr>
            <w:tcW w:w="217" w:type="dxa"/>
          </w:tcPr>
          <w:p w14:paraId="48E8C490" w14:textId="77777777" w:rsidR="002C0FD9" w:rsidRPr="00CA25CF" w:rsidRDefault="002C0FD9" w:rsidP="00CA25CF">
            <w:pPr>
              <w:rPr>
                <w:rFonts w:cs="Arial"/>
                <w:color w:val="FF0000"/>
                <w:sz w:val="21"/>
                <w:szCs w:val="21"/>
              </w:rPr>
            </w:pPr>
          </w:p>
        </w:tc>
        <w:tc>
          <w:tcPr>
            <w:tcW w:w="217" w:type="dxa"/>
          </w:tcPr>
          <w:p w14:paraId="24C9AE5E" w14:textId="77777777" w:rsidR="002C0FD9" w:rsidRPr="00CA25CF" w:rsidRDefault="002C0FD9" w:rsidP="00CA25CF">
            <w:pPr>
              <w:rPr>
                <w:rFonts w:cs="Arial"/>
                <w:color w:val="FF0000"/>
                <w:sz w:val="21"/>
                <w:szCs w:val="21"/>
              </w:rPr>
            </w:pPr>
          </w:p>
        </w:tc>
      </w:tr>
      <w:tr w:rsidR="002C0FD9" w:rsidRPr="00A16219" w14:paraId="631AAB38" w14:textId="77777777" w:rsidTr="002C0FD9">
        <w:trPr>
          <w:trHeight w:val="635"/>
        </w:trPr>
        <w:tc>
          <w:tcPr>
            <w:tcW w:w="515" w:type="dxa"/>
          </w:tcPr>
          <w:p w14:paraId="09CA14AD" w14:textId="77777777" w:rsidR="002C0FD9" w:rsidRPr="00CA25CF" w:rsidRDefault="002C0FD9" w:rsidP="00CA25CF">
            <w:pPr>
              <w:rPr>
                <w:rFonts w:cs="Arial"/>
                <w:color w:val="FF0000"/>
                <w:sz w:val="21"/>
                <w:szCs w:val="21"/>
              </w:rPr>
            </w:pPr>
          </w:p>
        </w:tc>
        <w:tc>
          <w:tcPr>
            <w:tcW w:w="217" w:type="dxa"/>
          </w:tcPr>
          <w:p w14:paraId="2887EF6A" w14:textId="77777777" w:rsidR="002C0FD9" w:rsidRPr="00CA25CF" w:rsidRDefault="002C0FD9" w:rsidP="00CA25CF">
            <w:pPr>
              <w:rPr>
                <w:rFonts w:cs="Arial"/>
                <w:color w:val="FF0000"/>
                <w:sz w:val="21"/>
                <w:szCs w:val="21"/>
              </w:rPr>
            </w:pPr>
          </w:p>
        </w:tc>
        <w:tc>
          <w:tcPr>
            <w:tcW w:w="217" w:type="dxa"/>
          </w:tcPr>
          <w:p w14:paraId="01F882B0" w14:textId="77777777" w:rsidR="002C0FD9" w:rsidRPr="00CA25CF" w:rsidRDefault="002C0FD9" w:rsidP="00CA25CF">
            <w:pPr>
              <w:rPr>
                <w:rFonts w:cs="Arial"/>
                <w:color w:val="FF0000"/>
                <w:sz w:val="21"/>
                <w:szCs w:val="21"/>
              </w:rPr>
            </w:pPr>
          </w:p>
        </w:tc>
        <w:tc>
          <w:tcPr>
            <w:tcW w:w="217" w:type="dxa"/>
          </w:tcPr>
          <w:p w14:paraId="35BA50DC" w14:textId="77777777" w:rsidR="002C0FD9" w:rsidRPr="00CA25CF" w:rsidRDefault="002C0FD9" w:rsidP="00CA25CF">
            <w:pPr>
              <w:rPr>
                <w:rFonts w:cs="Arial"/>
                <w:color w:val="FF0000"/>
                <w:sz w:val="21"/>
                <w:szCs w:val="21"/>
              </w:rPr>
            </w:pPr>
          </w:p>
        </w:tc>
        <w:tc>
          <w:tcPr>
            <w:tcW w:w="217" w:type="dxa"/>
          </w:tcPr>
          <w:p w14:paraId="47BCE73C" w14:textId="77777777" w:rsidR="002C0FD9" w:rsidRPr="00CA25CF" w:rsidRDefault="002C0FD9" w:rsidP="00CA25CF">
            <w:pPr>
              <w:rPr>
                <w:rFonts w:cs="Arial"/>
                <w:color w:val="FF0000"/>
                <w:sz w:val="21"/>
                <w:szCs w:val="21"/>
              </w:rPr>
            </w:pPr>
          </w:p>
        </w:tc>
        <w:tc>
          <w:tcPr>
            <w:tcW w:w="217" w:type="dxa"/>
          </w:tcPr>
          <w:p w14:paraId="34FFB513" w14:textId="77777777" w:rsidR="002C0FD9" w:rsidRPr="00CA25CF" w:rsidRDefault="002C0FD9" w:rsidP="00CA25CF">
            <w:pPr>
              <w:rPr>
                <w:rFonts w:cs="Arial"/>
                <w:color w:val="FF0000"/>
                <w:sz w:val="21"/>
                <w:szCs w:val="21"/>
              </w:rPr>
            </w:pPr>
          </w:p>
        </w:tc>
        <w:tc>
          <w:tcPr>
            <w:tcW w:w="217" w:type="dxa"/>
          </w:tcPr>
          <w:p w14:paraId="50D2704B" w14:textId="77777777" w:rsidR="002C0FD9" w:rsidRPr="00CA25CF" w:rsidRDefault="002C0FD9" w:rsidP="00CA25CF">
            <w:pPr>
              <w:rPr>
                <w:rFonts w:cs="Arial"/>
                <w:color w:val="FF0000"/>
                <w:sz w:val="21"/>
                <w:szCs w:val="21"/>
              </w:rPr>
            </w:pPr>
          </w:p>
        </w:tc>
        <w:tc>
          <w:tcPr>
            <w:tcW w:w="217" w:type="dxa"/>
          </w:tcPr>
          <w:p w14:paraId="342AD7A5" w14:textId="77777777" w:rsidR="002C0FD9" w:rsidRPr="00CA25CF" w:rsidRDefault="002C0FD9" w:rsidP="00CA25CF">
            <w:pPr>
              <w:rPr>
                <w:rFonts w:cs="Arial"/>
                <w:color w:val="FF0000"/>
                <w:sz w:val="21"/>
                <w:szCs w:val="21"/>
              </w:rPr>
            </w:pPr>
          </w:p>
        </w:tc>
        <w:tc>
          <w:tcPr>
            <w:tcW w:w="217" w:type="dxa"/>
          </w:tcPr>
          <w:p w14:paraId="6A9FAC15" w14:textId="77777777" w:rsidR="002C0FD9" w:rsidRPr="00CA25CF" w:rsidRDefault="002C0FD9" w:rsidP="00CA25CF">
            <w:pPr>
              <w:rPr>
                <w:rFonts w:cs="Arial"/>
                <w:color w:val="FF0000"/>
                <w:sz w:val="21"/>
                <w:szCs w:val="21"/>
              </w:rPr>
            </w:pPr>
          </w:p>
        </w:tc>
        <w:tc>
          <w:tcPr>
            <w:tcW w:w="217" w:type="dxa"/>
          </w:tcPr>
          <w:p w14:paraId="0A9984FD" w14:textId="77777777" w:rsidR="002C0FD9" w:rsidRPr="00CA25CF" w:rsidRDefault="002C0FD9" w:rsidP="00CA25CF">
            <w:pPr>
              <w:rPr>
                <w:rFonts w:cs="Arial"/>
                <w:color w:val="FF0000"/>
                <w:sz w:val="21"/>
                <w:szCs w:val="21"/>
              </w:rPr>
            </w:pPr>
          </w:p>
        </w:tc>
        <w:tc>
          <w:tcPr>
            <w:tcW w:w="217" w:type="dxa"/>
          </w:tcPr>
          <w:p w14:paraId="3E8F8BD7" w14:textId="77777777" w:rsidR="002C0FD9" w:rsidRPr="00CA25CF" w:rsidRDefault="002C0FD9" w:rsidP="00CA25CF">
            <w:pPr>
              <w:rPr>
                <w:rFonts w:cs="Arial"/>
                <w:color w:val="FF0000"/>
                <w:sz w:val="21"/>
                <w:szCs w:val="21"/>
              </w:rPr>
            </w:pPr>
          </w:p>
        </w:tc>
        <w:tc>
          <w:tcPr>
            <w:tcW w:w="217" w:type="dxa"/>
          </w:tcPr>
          <w:p w14:paraId="23F49E35" w14:textId="77777777" w:rsidR="002C0FD9" w:rsidRPr="00CA25CF" w:rsidRDefault="002C0FD9" w:rsidP="00CA25CF">
            <w:pPr>
              <w:rPr>
                <w:rFonts w:cs="Arial"/>
                <w:color w:val="FF0000"/>
                <w:sz w:val="21"/>
                <w:szCs w:val="21"/>
              </w:rPr>
            </w:pPr>
          </w:p>
        </w:tc>
        <w:tc>
          <w:tcPr>
            <w:tcW w:w="217" w:type="dxa"/>
          </w:tcPr>
          <w:p w14:paraId="7A662EB1" w14:textId="77777777" w:rsidR="002C0FD9" w:rsidRPr="00CA25CF" w:rsidRDefault="002C0FD9" w:rsidP="00CA25CF">
            <w:pPr>
              <w:rPr>
                <w:rFonts w:cs="Arial"/>
                <w:color w:val="FF0000"/>
                <w:sz w:val="21"/>
                <w:szCs w:val="21"/>
              </w:rPr>
            </w:pPr>
          </w:p>
        </w:tc>
        <w:tc>
          <w:tcPr>
            <w:tcW w:w="217" w:type="dxa"/>
          </w:tcPr>
          <w:p w14:paraId="3D1A3B88" w14:textId="77777777" w:rsidR="002C0FD9" w:rsidRPr="00CA25CF" w:rsidRDefault="002C0FD9" w:rsidP="00CA25CF">
            <w:pPr>
              <w:rPr>
                <w:rFonts w:cs="Arial"/>
                <w:color w:val="FF0000"/>
                <w:sz w:val="21"/>
                <w:szCs w:val="21"/>
              </w:rPr>
            </w:pPr>
          </w:p>
        </w:tc>
        <w:tc>
          <w:tcPr>
            <w:tcW w:w="217" w:type="dxa"/>
          </w:tcPr>
          <w:p w14:paraId="326A9438" w14:textId="77777777" w:rsidR="002C0FD9" w:rsidRPr="00CA25CF" w:rsidRDefault="002C0FD9" w:rsidP="00CA25CF">
            <w:pPr>
              <w:rPr>
                <w:rFonts w:cs="Arial"/>
                <w:color w:val="FF0000"/>
                <w:sz w:val="21"/>
                <w:szCs w:val="21"/>
              </w:rPr>
            </w:pPr>
          </w:p>
        </w:tc>
        <w:tc>
          <w:tcPr>
            <w:tcW w:w="217" w:type="dxa"/>
          </w:tcPr>
          <w:p w14:paraId="3DC4EA95" w14:textId="77777777" w:rsidR="002C0FD9" w:rsidRPr="00CA25CF" w:rsidRDefault="002C0FD9" w:rsidP="00CA25CF">
            <w:pPr>
              <w:rPr>
                <w:rFonts w:cs="Arial"/>
                <w:color w:val="FF0000"/>
                <w:sz w:val="21"/>
                <w:szCs w:val="21"/>
              </w:rPr>
            </w:pPr>
          </w:p>
        </w:tc>
        <w:tc>
          <w:tcPr>
            <w:tcW w:w="217" w:type="dxa"/>
          </w:tcPr>
          <w:p w14:paraId="46681F7C" w14:textId="77777777" w:rsidR="002C0FD9" w:rsidRPr="00CA25CF" w:rsidRDefault="002C0FD9" w:rsidP="00CA25CF">
            <w:pPr>
              <w:rPr>
                <w:rFonts w:cs="Arial"/>
                <w:color w:val="FF0000"/>
                <w:sz w:val="21"/>
                <w:szCs w:val="21"/>
              </w:rPr>
            </w:pPr>
          </w:p>
        </w:tc>
        <w:tc>
          <w:tcPr>
            <w:tcW w:w="217" w:type="dxa"/>
          </w:tcPr>
          <w:p w14:paraId="238CAB38" w14:textId="77777777" w:rsidR="002C0FD9" w:rsidRPr="00CA25CF" w:rsidRDefault="002C0FD9" w:rsidP="00CA25CF">
            <w:pPr>
              <w:rPr>
                <w:rFonts w:cs="Arial"/>
                <w:color w:val="FF0000"/>
                <w:sz w:val="21"/>
                <w:szCs w:val="21"/>
              </w:rPr>
            </w:pPr>
          </w:p>
        </w:tc>
        <w:tc>
          <w:tcPr>
            <w:tcW w:w="217" w:type="dxa"/>
          </w:tcPr>
          <w:p w14:paraId="66914EA5" w14:textId="77777777" w:rsidR="002C0FD9" w:rsidRPr="00CA25CF" w:rsidRDefault="002C0FD9" w:rsidP="00CA25CF">
            <w:pPr>
              <w:rPr>
                <w:rFonts w:cs="Arial"/>
                <w:color w:val="FF0000"/>
                <w:sz w:val="21"/>
                <w:szCs w:val="21"/>
              </w:rPr>
            </w:pPr>
          </w:p>
        </w:tc>
        <w:tc>
          <w:tcPr>
            <w:tcW w:w="217" w:type="dxa"/>
          </w:tcPr>
          <w:p w14:paraId="6F82FED5" w14:textId="77777777" w:rsidR="002C0FD9" w:rsidRPr="00CA25CF" w:rsidRDefault="002C0FD9" w:rsidP="00CA25CF">
            <w:pPr>
              <w:rPr>
                <w:rFonts w:cs="Arial"/>
                <w:color w:val="FF0000"/>
                <w:sz w:val="21"/>
                <w:szCs w:val="21"/>
              </w:rPr>
            </w:pPr>
          </w:p>
        </w:tc>
        <w:tc>
          <w:tcPr>
            <w:tcW w:w="217" w:type="dxa"/>
          </w:tcPr>
          <w:p w14:paraId="0F772AFE" w14:textId="77777777" w:rsidR="002C0FD9" w:rsidRPr="00CA25CF" w:rsidRDefault="002C0FD9" w:rsidP="00CA25CF">
            <w:pPr>
              <w:rPr>
                <w:rFonts w:cs="Arial"/>
                <w:color w:val="FF0000"/>
                <w:sz w:val="21"/>
                <w:szCs w:val="21"/>
              </w:rPr>
            </w:pPr>
          </w:p>
        </w:tc>
        <w:tc>
          <w:tcPr>
            <w:tcW w:w="217" w:type="dxa"/>
          </w:tcPr>
          <w:p w14:paraId="69B8FE41" w14:textId="77777777" w:rsidR="002C0FD9" w:rsidRPr="00CA25CF" w:rsidRDefault="002C0FD9" w:rsidP="00CA25CF">
            <w:pPr>
              <w:rPr>
                <w:rFonts w:cs="Arial"/>
                <w:color w:val="FF0000"/>
                <w:sz w:val="21"/>
                <w:szCs w:val="21"/>
              </w:rPr>
            </w:pPr>
          </w:p>
        </w:tc>
        <w:tc>
          <w:tcPr>
            <w:tcW w:w="217" w:type="dxa"/>
          </w:tcPr>
          <w:p w14:paraId="78FEF55A" w14:textId="77777777" w:rsidR="002C0FD9" w:rsidRPr="00CA25CF" w:rsidRDefault="002C0FD9" w:rsidP="00CA25CF">
            <w:pPr>
              <w:rPr>
                <w:rFonts w:cs="Arial"/>
                <w:color w:val="FF0000"/>
                <w:sz w:val="21"/>
                <w:szCs w:val="21"/>
              </w:rPr>
            </w:pPr>
          </w:p>
        </w:tc>
        <w:tc>
          <w:tcPr>
            <w:tcW w:w="217" w:type="dxa"/>
          </w:tcPr>
          <w:p w14:paraId="6817738E" w14:textId="77777777" w:rsidR="002C0FD9" w:rsidRPr="00CA25CF" w:rsidRDefault="002C0FD9" w:rsidP="00CA25CF">
            <w:pPr>
              <w:rPr>
                <w:rFonts w:cs="Arial"/>
                <w:color w:val="FF0000"/>
                <w:sz w:val="21"/>
                <w:szCs w:val="21"/>
              </w:rPr>
            </w:pPr>
          </w:p>
        </w:tc>
        <w:tc>
          <w:tcPr>
            <w:tcW w:w="217" w:type="dxa"/>
          </w:tcPr>
          <w:p w14:paraId="66B90425" w14:textId="77777777" w:rsidR="002C0FD9" w:rsidRPr="00CA25CF" w:rsidRDefault="002C0FD9" w:rsidP="00CA25CF">
            <w:pPr>
              <w:rPr>
                <w:rFonts w:cs="Arial"/>
                <w:color w:val="FF0000"/>
                <w:sz w:val="21"/>
                <w:szCs w:val="21"/>
              </w:rPr>
            </w:pPr>
          </w:p>
        </w:tc>
        <w:tc>
          <w:tcPr>
            <w:tcW w:w="217" w:type="dxa"/>
          </w:tcPr>
          <w:p w14:paraId="62E0FF6B" w14:textId="77777777" w:rsidR="002C0FD9" w:rsidRPr="00CA25CF" w:rsidRDefault="002C0FD9" w:rsidP="00CA25CF">
            <w:pPr>
              <w:rPr>
                <w:rFonts w:cs="Arial"/>
                <w:color w:val="FF0000"/>
                <w:sz w:val="21"/>
                <w:szCs w:val="21"/>
              </w:rPr>
            </w:pPr>
          </w:p>
        </w:tc>
        <w:tc>
          <w:tcPr>
            <w:tcW w:w="217" w:type="dxa"/>
          </w:tcPr>
          <w:p w14:paraId="6CB38F00" w14:textId="77777777" w:rsidR="002C0FD9" w:rsidRPr="00CA25CF" w:rsidRDefault="002C0FD9" w:rsidP="00CA25CF">
            <w:pPr>
              <w:rPr>
                <w:rFonts w:cs="Arial"/>
                <w:color w:val="FF0000"/>
                <w:sz w:val="21"/>
                <w:szCs w:val="21"/>
              </w:rPr>
            </w:pPr>
          </w:p>
        </w:tc>
        <w:tc>
          <w:tcPr>
            <w:tcW w:w="217" w:type="dxa"/>
          </w:tcPr>
          <w:p w14:paraId="3F81D8C1" w14:textId="77777777" w:rsidR="002C0FD9" w:rsidRPr="00CA25CF" w:rsidRDefault="002C0FD9" w:rsidP="00CA25CF">
            <w:pPr>
              <w:rPr>
                <w:rFonts w:cs="Arial"/>
                <w:color w:val="FF0000"/>
                <w:sz w:val="21"/>
                <w:szCs w:val="21"/>
              </w:rPr>
            </w:pPr>
          </w:p>
        </w:tc>
        <w:tc>
          <w:tcPr>
            <w:tcW w:w="217" w:type="dxa"/>
          </w:tcPr>
          <w:p w14:paraId="73653136" w14:textId="77777777" w:rsidR="002C0FD9" w:rsidRPr="00CA25CF" w:rsidRDefault="002C0FD9" w:rsidP="00CA25CF">
            <w:pPr>
              <w:rPr>
                <w:rFonts w:cs="Arial"/>
                <w:color w:val="FF0000"/>
                <w:sz w:val="21"/>
                <w:szCs w:val="21"/>
              </w:rPr>
            </w:pPr>
          </w:p>
        </w:tc>
        <w:tc>
          <w:tcPr>
            <w:tcW w:w="217" w:type="dxa"/>
          </w:tcPr>
          <w:p w14:paraId="0C1DE14D" w14:textId="77777777" w:rsidR="002C0FD9" w:rsidRPr="00CA25CF" w:rsidRDefault="002C0FD9" w:rsidP="00CA25CF">
            <w:pPr>
              <w:rPr>
                <w:rFonts w:cs="Arial"/>
                <w:color w:val="FF0000"/>
                <w:sz w:val="21"/>
                <w:szCs w:val="21"/>
              </w:rPr>
            </w:pPr>
          </w:p>
        </w:tc>
        <w:tc>
          <w:tcPr>
            <w:tcW w:w="217" w:type="dxa"/>
          </w:tcPr>
          <w:p w14:paraId="71590409" w14:textId="77777777" w:rsidR="002C0FD9" w:rsidRPr="00CA25CF" w:rsidRDefault="002C0FD9" w:rsidP="00CA25CF">
            <w:pPr>
              <w:rPr>
                <w:rFonts w:cs="Arial"/>
                <w:color w:val="FF0000"/>
                <w:sz w:val="21"/>
                <w:szCs w:val="21"/>
              </w:rPr>
            </w:pPr>
          </w:p>
        </w:tc>
        <w:tc>
          <w:tcPr>
            <w:tcW w:w="217" w:type="dxa"/>
          </w:tcPr>
          <w:p w14:paraId="7EFCCEE4" w14:textId="77777777" w:rsidR="002C0FD9" w:rsidRPr="00CA25CF" w:rsidRDefault="002C0FD9" w:rsidP="00CA25CF">
            <w:pPr>
              <w:rPr>
                <w:rFonts w:cs="Arial"/>
                <w:color w:val="FF0000"/>
                <w:sz w:val="21"/>
                <w:szCs w:val="21"/>
              </w:rPr>
            </w:pPr>
          </w:p>
        </w:tc>
        <w:tc>
          <w:tcPr>
            <w:tcW w:w="217" w:type="dxa"/>
          </w:tcPr>
          <w:p w14:paraId="439A0A2C" w14:textId="77777777" w:rsidR="002C0FD9" w:rsidRPr="00CA25CF" w:rsidRDefault="002C0FD9" w:rsidP="00CA25CF">
            <w:pPr>
              <w:rPr>
                <w:rFonts w:cs="Arial"/>
                <w:color w:val="FF0000"/>
                <w:sz w:val="21"/>
                <w:szCs w:val="21"/>
              </w:rPr>
            </w:pPr>
          </w:p>
        </w:tc>
        <w:tc>
          <w:tcPr>
            <w:tcW w:w="217" w:type="dxa"/>
          </w:tcPr>
          <w:p w14:paraId="078511E1" w14:textId="77777777" w:rsidR="002C0FD9" w:rsidRPr="00CA25CF" w:rsidRDefault="002C0FD9" w:rsidP="00CA25CF">
            <w:pPr>
              <w:rPr>
                <w:rFonts w:cs="Arial"/>
                <w:color w:val="FF0000"/>
                <w:sz w:val="21"/>
                <w:szCs w:val="21"/>
              </w:rPr>
            </w:pPr>
          </w:p>
        </w:tc>
        <w:tc>
          <w:tcPr>
            <w:tcW w:w="217" w:type="dxa"/>
          </w:tcPr>
          <w:p w14:paraId="170B9AB1" w14:textId="77777777" w:rsidR="002C0FD9" w:rsidRPr="00CA25CF" w:rsidRDefault="002C0FD9" w:rsidP="00CA25CF">
            <w:pPr>
              <w:rPr>
                <w:rFonts w:cs="Arial"/>
                <w:color w:val="FF0000"/>
                <w:sz w:val="21"/>
                <w:szCs w:val="21"/>
              </w:rPr>
            </w:pPr>
          </w:p>
        </w:tc>
        <w:tc>
          <w:tcPr>
            <w:tcW w:w="217" w:type="dxa"/>
          </w:tcPr>
          <w:p w14:paraId="333A2363" w14:textId="77777777" w:rsidR="002C0FD9" w:rsidRPr="00CA25CF" w:rsidRDefault="002C0FD9" w:rsidP="00CA25CF">
            <w:pPr>
              <w:rPr>
                <w:rFonts w:cs="Arial"/>
                <w:color w:val="FF0000"/>
                <w:sz w:val="21"/>
                <w:szCs w:val="21"/>
              </w:rPr>
            </w:pPr>
          </w:p>
        </w:tc>
        <w:tc>
          <w:tcPr>
            <w:tcW w:w="217" w:type="dxa"/>
          </w:tcPr>
          <w:p w14:paraId="586C5173" w14:textId="77777777" w:rsidR="002C0FD9" w:rsidRPr="00CA25CF" w:rsidRDefault="002C0FD9" w:rsidP="00CA25CF">
            <w:pPr>
              <w:rPr>
                <w:rFonts w:cs="Arial"/>
                <w:color w:val="FF0000"/>
                <w:sz w:val="21"/>
                <w:szCs w:val="21"/>
              </w:rPr>
            </w:pPr>
          </w:p>
        </w:tc>
        <w:tc>
          <w:tcPr>
            <w:tcW w:w="217" w:type="dxa"/>
          </w:tcPr>
          <w:p w14:paraId="4E7D835D" w14:textId="77777777" w:rsidR="002C0FD9" w:rsidRPr="00CA25CF" w:rsidRDefault="002C0FD9" w:rsidP="00CA25CF">
            <w:pPr>
              <w:rPr>
                <w:rFonts w:cs="Arial"/>
                <w:color w:val="FF0000"/>
                <w:sz w:val="21"/>
                <w:szCs w:val="21"/>
              </w:rPr>
            </w:pPr>
          </w:p>
        </w:tc>
        <w:tc>
          <w:tcPr>
            <w:tcW w:w="217" w:type="dxa"/>
          </w:tcPr>
          <w:p w14:paraId="402577C7" w14:textId="77777777" w:rsidR="002C0FD9" w:rsidRPr="00CA25CF" w:rsidRDefault="002C0FD9" w:rsidP="00CA25CF">
            <w:pPr>
              <w:rPr>
                <w:rFonts w:cs="Arial"/>
                <w:color w:val="FF0000"/>
                <w:sz w:val="21"/>
                <w:szCs w:val="21"/>
              </w:rPr>
            </w:pPr>
          </w:p>
        </w:tc>
        <w:tc>
          <w:tcPr>
            <w:tcW w:w="217" w:type="dxa"/>
          </w:tcPr>
          <w:p w14:paraId="7870E3D5" w14:textId="77777777" w:rsidR="002C0FD9" w:rsidRPr="00CA25CF" w:rsidRDefault="002C0FD9" w:rsidP="00CA25CF">
            <w:pPr>
              <w:rPr>
                <w:rFonts w:cs="Arial"/>
                <w:color w:val="FF0000"/>
                <w:sz w:val="21"/>
                <w:szCs w:val="21"/>
              </w:rPr>
            </w:pPr>
          </w:p>
        </w:tc>
        <w:tc>
          <w:tcPr>
            <w:tcW w:w="217" w:type="dxa"/>
          </w:tcPr>
          <w:p w14:paraId="1DE15AB7" w14:textId="77777777" w:rsidR="002C0FD9" w:rsidRPr="00CA25CF" w:rsidRDefault="002C0FD9" w:rsidP="00CA25CF">
            <w:pPr>
              <w:rPr>
                <w:rFonts w:cs="Arial"/>
                <w:color w:val="FF0000"/>
                <w:sz w:val="21"/>
                <w:szCs w:val="21"/>
              </w:rPr>
            </w:pPr>
          </w:p>
        </w:tc>
        <w:tc>
          <w:tcPr>
            <w:tcW w:w="217" w:type="dxa"/>
          </w:tcPr>
          <w:p w14:paraId="6961ED61" w14:textId="77777777" w:rsidR="002C0FD9" w:rsidRPr="00CA25CF" w:rsidRDefault="002C0FD9" w:rsidP="00CA25CF">
            <w:pPr>
              <w:rPr>
                <w:rFonts w:cs="Arial"/>
                <w:color w:val="FF0000"/>
                <w:sz w:val="21"/>
                <w:szCs w:val="21"/>
              </w:rPr>
            </w:pPr>
          </w:p>
        </w:tc>
        <w:tc>
          <w:tcPr>
            <w:tcW w:w="217" w:type="dxa"/>
          </w:tcPr>
          <w:p w14:paraId="6CDC8657" w14:textId="77777777" w:rsidR="002C0FD9" w:rsidRPr="00CA25CF" w:rsidRDefault="002C0FD9" w:rsidP="00CA25CF">
            <w:pPr>
              <w:rPr>
                <w:rFonts w:cs="Arial"/>
                <w:color w:val="FF0000"/>
                <w:sz w:val="21"/>
                <w:szCs w:val="21"/>
              </w:rPr>
            </w:pPr>
          </w:p>
        </w:tc>
      </w:tr>
      <w:tr w:rsidR="002C0FD9" w:rsidRPr="00A16219" w14:paraId="62103C8E" w14:textId="77777777" w:rsidTr="002C0FD9">
        <w:trPr>
          <w:trHeight w:val="635"/>
        </w:trPr>
        <w:tc>
          <w:tcPr>
            <w:tcW w:w="515" w:type="dxa"/>
          </w:tcPr>
          <w:p w14:paraId="112767AD" w14:textId="77777777" w:rsidR="002C0FD9" w:rsidRPr="00CA25CF" w:rsidRDefault="002C0FD9" w:rsidP="00CA25CF">
            <w:pPr>
              <w:rPr>
                <w:rFonts w:cs="Arial"/>
                <w:color w:val="FF0000"/>
                <w:sz w:val="21"/>
                <w:szCs w:val="21"/>
              </w:rPr>
            </w:pPr>
          </w:p>
        </w:tc>
        <w:tc>
          <w:tcPr>
            <w:tcW w:w="217" w:type="dxa"/>
          </w:tcPr>
          <w:p w14:paraId="2FC113A4" w14:textId="77777777" w:rsidR="002C0FD9" w:rsidRPr="00CA25CF" w:rsidRDefault="002C0FD9" w:rsidP="00CA25CF">
            <w:pPr>
              <w:rPr>
                <w:rFonts w:cs="Arial"/>
                <w:color w:val="FF0000"/>
                <w:sz w:val="21"/>
                <w:szCs w:val="21"/>
              </w:rPr>
            </w:pPr>
          </w:p>
        </w:tc>
        <w:tc>
          <w:tcPr>
            <w:tcW w:w="217" w:type="dxa"/>
          </w:tcPr>
          <w:p w14:paraId="1D1B5279" w14:textId="77777777" w:rsidR="002C0FD9" w:rsidRPr="00CA25CF" w:rsidRDefault="002C0FD9" w:rsidP="00CA25CF">
            <w:pPr>
              <w:rPr>
                <w:rFonts w:cs="Arial"/>
                <w:color w:val="FF0000"/>
                <w:sz w:val="21"/>
                <w:szCs w:val="21"/>
              </w:rPr>
            </w:pPr>
          </w:p>
        </w:tc>
        <w:tc>
          <w:tcPr>
            <w:tcW w:w="217" w:type="dxa"/>
          </w:tcPr>
          <w:p w14:paraId="3C37A1E8" w14:textId="77777777" w:rsidR="002C0FD9" w:rsidRPr="00CA25CF" w:rsidRDefault="002C0FD9" w:rsidP="00CA25CF">
            <w:pPr>
              <w:rPr>
                <w:rFonts w:cs="Arial"/>
                <w:color w:val="FF0000"/>
                <w:sz w:val="21"/>
                <w:szCs w:val="21"/>
              </w:rPr>
            </w:pPr>
          </w:p>
        </w:tc>
        <w:tc>
          <w:tcPr>
            <w:tcW w:w="217" w:type="dxa"/>
          </w:tcPr>
          <w:p w14:paraId="3D4B12BB" w14:textId="77777777" w:rsidR="002C0FD9" w:rsidRPr="00CA25CF" w:rsidRDefault="002C0FD9" w:rsidP="00CA25CF">
            <w:pPr>
              <w:rPr>
                <w:rFonts w:cs="Arial"/>
                <w:color w:val="FF0000"/>
                <w:sz w:val="21"/>
                <w:szCs w:val="21"/>
              </w:rPr>
            </w:pPr>
          </w:p>
        </w:tc>
        <w:tc>
          <w:tcPr>
            <w:tcW w:w="217" w:type="dxa"/>
          </w:tcPr>
          <w:p w14:paraId="041A546C" w14:textId="77777777" w:rsidR="002C0FD9" w:rsidRPr="00CA25CF" w:rsidRDefault="002C0FD9" w:rsidP="00CA25CF">
            <w:pPr>
              <w:rPr>
                <w:rFonts w:cs="Arial"/>
                <w:color w:val="FF0000"/>
                <w:sz w:val="21"/>
                <w:szCs w:val="21"/>
              </w:rPr>
            </w:pPr>
          </w:p>
        </w:tc>
        <w:tc>
          <w:tcPr>
            <w:tcW w:w="217" w:type="dxa"/>
          </w:tcPr>
          <w:p w14:paraId="01256777" w14:textId="77777777" w:rsidR="002C0FD9" w:rsidRPr="00CA25CF" w:rsidRDefault="002C0FD9" w:rsidP="00CA25CF">
            <w:pPr>
              <w:rPr>
                <w:rFonts w:cs="Arial"/>
                <w:color w:val="FF0000"/>
                <w:sz w:val="21"/>
                <w:szCs w:val="21"/>
              </w:rPr>
            </w:pPr>
          </w:p>
        </w:tc>
        <w:tc>
          <w:tcPr>
            <w:tcW w:w="217" w:type="dxa"/>
          </w:tcPr>
          <w:p w14:paraId="12FEE480" w14:textId="77777777" w:rsidR="002C0FD9" w:rsidRPr="00CA25CF" w:rsidRDefault="002C0FD9" w:rsidP="00CA25CF">
            <w:pPr>
              <w:rPr>
                <w:rFonts w:cs="Arial"/>
                <w:color w:val="FF0000"/>
                <w:sz w:val="21"/>
                <w:szCs w:val="21"/>
              </w:rPr>
            </w:pPr>
          </w:p>
        </w:tc>
        <w:tc>
          <w:tcPr>
            <w:tcW w:w="217" w:type="dxa"/>
          </w:tcPr>
          <w:p w14:paraId="5790B2AE" w14:textId="77777777" w:rsidR="002C0FD9" w:rsidRPr="00CA25CF" w:rsidRDefault="002C0FD9" w:rsidP="00CA25CF">
            <w:pPr>
              <w:rPr>
                <w:rFonts w:cs="Arial"/>
                <w:color w:val="FF0000"/>
                <w:sz w:val="21"/>
                <w:szCs w:val="21"/>
              </w:rPr>
            </w:pPr>
          </w:p>
        </w:tc>
        <w:tc>
          <w:tcPr>
            <w:tcW w:w="217" w:type="dxa"/>
          </w:tcPr>
          <w:p w14:paraId="65239AAF" w14:textId="77777777" w:rsidR="002C0FD9" w:rsidRPr="00CA25CF" w:rsidRDefault="002C0FD9" w:rsidP="00CA25CF">
            <w:pPr>
              <w:rPr>
                <w:rFonts w:cs="Arial"/>
                <w:color w:val="FF0000"/>
                <w:sz w:val="21"/>
                <w:szCs w:val="21"/>
              </w:rPr>
            </w:pPr>
          </w:p>
        </w:tc>
        <w:tc>
          <w:tcPr>
            <w:tcW w:w="217" w:type="dxa"/>
          </w:tcPr>
          <w:p w14:paraId="21F20929" w14:textId="77777777" w:rsidR="002C0FD9" w:rsidRPr="00CA25CF" w:rsidRDefault="002C0FD9" w:rsidP="00CA25CF">
            <w:pPr>
              <w:rPr>
                <w:rFonts w:cs="Arial"/>
                <w:color w:val="FF0000"/>
                <w:sz w:val="21"/>
                <w:szCs w:val="21"/>
              </w:rPr>
            </w:pPr>
          </w:p>
        </w:tc>
        <w:tc>
          <w:tcPr>
            <w:tcW w:w="217" w:type="dxa"/>
          </w:tcPr>
          <w:p w14:paraId="5D563EB6" w14:textId="77777777" w:rsidR="002C0FD9" w:rsidRPr="00CA25CF" w:rsidRDefault="002C0FD9" w:rsidP="00CA25CF">
            <w:pPr>
              <w:rPr>
                <w:rFonts w:cs="Arial"/>
                <w:color w:val="FF0000"/>
                <w:sz w:val="21"/>
                <w:szCs w:val="21"/>
              </w:rPr>
            </w:pPr>
          </w:p>
        </w:tc>
        <w:tc>
          <w:tcPr>
            <w:tcW w:w="217" w:type="dxa"/>
          </w:tcPr>
          <w:p w14:paraId="50B0BDA2" w14:textId="77777777" w:rsidR="002C0FD9" w:rsidRPr="00CA25CF" w:rsidRDefault="002C0FD9" w:rsidP="00CA25CF">
            <w:pPr>
              <w:rPr>
                <w:rFonts w:cs="Arial"/>
                <w:color w:val="FF0000"/>
                <w:sz w:val="21"/>
                <w:szCs w:val="21"/>
              </w:rPr>
            </w:pPr>
          </w:p>
        </w:tc>
        <w:tc>
          <w:tcPr>
            <w:tcW w:w="217" w:type="dxa"/>
          </w:tcPr>
          <w:p w14:paraId="2767D0D0" w14:textId="77777777" w:rsidR="002C0FD9" w:rsidRPr="00CA25CF" w:rsidRDefault="002C0FD9" w:rsidP="00CA25CF">
            <w:pPr>
              <w:rPr>
                <w:rFonts w:cs="Arial"/>
                <w:color w:val="FF0000"/>
                <w:sz w:val="21"/>
                <w:szCs w:val="21"/>
              </w:rPr>
            </w:pPr>
          </w:p>
        </w:tc>
        <w:tc>
          <w:tcPr>
            <w:tcW w:w="217" w:type="dxa"/>
          </w:tcPr>
          <w:p w14:paraId="54C270B0" w14:textId="77777777" w:rsidR="002C0FD9" w:rsidRPr="00CA25CF" w:rsidRDefault="002C0FD9" w:rsidP="00CA25CF">
            <w:pPr>
              <w:rPr>
                <w:rFonts w:cs="Arial"/>
                <w:color w:val="FF0000"/>
                <w:sz w:val="21"/>
                <w:szCs w:val="21"/>
              </w:rPr>
            </w:pPr>
          </w:p>
        </w:tc>
        <w:tc>
          <w:tcPr>
            <w:tcW w:w="217" w:type="dxa"/>
          </w:tcPr>
          <w:p w14:paraId="4269E176" w14:textId="77777777" w:rsidR="002C0FD9" w:rsidRPr="00CA25CF" w:rsidRDefault="002C0FD9" w:rsidP="00CA25CF">
            <w:pPr>
              <w:rPr>
                <w:rFonts w:cs="Arial"/>
                <w:color w:val="FF0000"/>
                <w:sz w:val="21"/>
                <w:szCs w:val="21"/>
              </w:rPr>
            </w:pPr>
          </w:p>
        </w:tc>
        <w:tc>
          <w:tcPr>
            <w:tcW w:w="217" w:type="dxa"/>
          </w:tcPr>
          <w:p w14:paraId="72FB3751" w14:textId="77777777" w:rsidR="002C0FD9" w:rsidRPr="00CA25CF" w:rsidRDefault="002C0FD9" w:rsidP="00CA25CF">
            <w:pPr>
              <w:rPr>
                <w:rFonts w:cs="Arial"/>
                <w:color w:val="FF0000"/>
                <w:sz w:val="21"/>
                <w:szCs w:val="21"/>
              </w:rPr>
            </w:pPr>
          </w:p>
        </w:tc>
        <w:tc>
          <w:tcPr>
            <w:tcW w:w="217" w:type="dxa"/>
          </w:tcPr>
          <w:p w14:paraId="2A861B42" w14:textId="77777777" w:rsidR="002C0FD9" w:rsidRPr="00CA25CF" w:rsidRDefault="002C0FD9" w:rsidP="00CA25CF">
            <w:pPr>
              <w:rPr>
                <w:rFonts w:cs="Arial"/>
                <w:color w:val="FF0000"/>
                <w:sz w:val="21"/>
                <w:szCs w:val="21"/>
              </w:rPr>
            </w:pPr>
          </w:p>
        </w:tc>
        <w:tc>
          <w:tcPr>
            <w:tcW w:w="217" w:type="dxa"/>
          </w:tcPr>
          <w:p w14:paraId="75D07DFA" w14:textId="77777777" w:rsidR="002C0FD9" w:rsidRPr="00CA25CF" w:rsidRDefault="002C0FD9" w:rsidP="00CA25CF">
            <w:pPr>
              <w:rPr>
                <w:rFonts w:cs="Arial"/>
                <w:color w:val="FF0000"/>
                <w:sz w:val="21"/>
                <w:szCs w:val="21"/>
              </w:rPr>
            </w:pPr>
          </w:p>
        </w:tc>
        <w:tc>
          <w:tcPr>
            <w:tcW w:w="217" w:type="dxa"/>
          </w:tcPr>
          <w:p w14:paraId="5A7DD934" w14:textId="77777777" w:rsidR="002C0FD9" w:rsidRPr="00CA25CF" w:rsidRDefault="002C0FD9" w:rsidP="00CA25CF">
            <w:pPr>
              <w:rPr>
                <w:rFonts w:cs="Arial"/>
                <w:color w:val="FF0000"/>
                <w:sz w:val="21"/>
                <w:szCs w:val="21"/>
              </w:rPr>
            </w:pPr>
          </w:p>
        </w:tc>
        <w:tc>
          <w:tcPr>
            <w:tcW w:w="217" w:type="dxa"/>
          </w:tcPr>
          <w:p w14:paraId="2902839F" w14:textId="77777777" w:rsidR="002C0FD9" w:rsidRPr="00CA25CF" w:rsidRDefault="002C0FD9" w:rsidP="00CA25CF">
            <w:pPr>
              <w:rPr>
                <w:rFonts w:cs="Arial"/>
                <w:color w:val="FF0000"/>
                <w:sz w:val="21"/>
                <w:szCs w:val="21"/>
              </w:rPr>
            </w:pPr>
          </w:p>
        </w:tc>
        <w:tc>
          <w:tcPr>
            <w:tcW w:w="217" w:type="dxa"/>
          </w:tcPr>
          <w:p w14:paraId="60803B88" w14:textId="77777777" w:rsidR="002C0FD9" w:rsidRPr="00CA25CF" w:rsidRDefault="002C0FD9" w:rsidP="00CA25CF">
            <w:pPr>
              <w:rPr>
                <w:rFonts w:cs="Arial"/>
                <w:color w:val="FF0000"/>
                <w:sz w:val="21"/>
                <w:szCs w:val="21"/>
              </w:rPr>
            </w:pPr>
          </w:p>
        </w:tc>
        <w:tc>
          <w:tcPr>
            <w:tcW w:w="217" w:type="dxa"/>
          </w:tcPr>
          <w:p w14:paraId="3278C944" w14:textId="77777777" w:rsidR="002C0FD9" w:rsidRPr="00CA25CF" w:rsidRDefault="002C0FD9" w:rsidP="00CA25CF">
            <w:pPr>
              <w:rPr>
                <w:rFonts w:cs="Arial"/>
                <w:color w:val="FF0000"/>
                <w:sz w:val="21"/>
                <w:szCs w:val="21"/>
              </w:rPr>
            </w:pPr>
          </w:p>
        </w:tc>
        <w:tc>
          <w:tcPr>
            <w:tcW w:w="217" w:type="dxa"/>
          </w:tcPr>
          <w:p w14:paraId="5ECE0F04" w14:textId="77777777" w:rsidR="002C0FD9" w:rsidRPr="00CA25CF" w:rsidRDefault="002C0FD9" w:rsidP="00CA25CF">
            <w:pPr>
              <w:rPr>
                <w:rFonts w:cs="Arial"/>
                <w:color w:val="FF0000"/>
                <w:sz w:val="21"/>
                <w:szCs w:val="21"/>
              </w:rPr>
            </w:pPr>
          </w:p>
        </w:tc>
        <w:tc>
          <w:tcPr>
            <w:tcW w:w="217" w:type="dxa"/>
          </w:tcPr>
          <w:p w14:paraId="2222FA13" w14:textId="77777777" w:rsidR="002C0FD9" w:rsidRPr="00CA25CF" w:rsidRDefault="002C0FD9" w:rsidP="00CA25CF">
            <w:pPr>
              <w:rPr>
                <w:rFonts w:cs="Arial"/>
                <w:color w:val="FF0000"/>
                <w:sz w:val="21"/>
                <w:szCs w:val="21"/>
              </w:rPr>
            </w:pPr>
          </w:p>
        </w:tc>
        <w:tc>
          <w:tcPr>
            <w:tcW w:w="217" w:type="dxa"/>
          </w:tcPr>
          <w:p w14:paraId="32E07AC7" w14:textId="77777777" w:rsidR="002C0FD9" w:rsidRPr="00CA25CF" w:rsidRDefault="002C0FD9" w:rsidP="00CA25CF">
            <w:pPr>
              <w:rPr>
                <w:rFonts w:cs="Arial"/>
                <w:color w:val="FF0000"/>
                <w:sz w:val="21"/>
                <w:szCs w:val="21"/>
              </w:rPr>
            </w:pPr>
          </w:p>
        </w:tc>
        <w:tc>
          <w:tcPr>
            <w:tcW w:w="217" w:type="dxa"/>
          </w:tcPr>
          <w:p w14:paraId="68D2EFE5" w14:textId="77777777" w:rsidR="002C0FD9" w:rsidRPr="00CA25CF" w:rsidRDefault="002C0FD9" w:rsidP="00CA25CF">
            <w:pPr>
              <w:rPr>
                <w:rFonts w:cs="Arial"/>
                <w:color w:val="FF0000"/>
                <w:sz w:val="21"/>
                <w:szCs w:val="21"/>
              </w:rPr>
            </w:pPr>
          </w:p>
        </w:tc>
        <w:tc>
          <w:tcPr>
            <w:tcW w:w="217" w:type="dxa"/>
          </w:tcPr>
          <w:p w14:paraId="7F4A0897" w14:textId="77777777" w:rsidR="002C0FD9" w:rsidRPr="00CA25CF" w:rsidRDefault="002C0FD9" w:rsidP="00CA25CF">
            <w:pPr>
              <w:rPr>
                <w:rFonts w:cs="Arial"/>
                <w:color w:val="FF0000"/>
                <w:sz w:val="21"/>
                <w:szCs w:val="21"/>
              </w:rPr>
            </w:pPr>
          </w:p>
        </w:tc>
        <w:tc>
          <w:tcPr>
            <w:tcW w:w="217" w:type="dxa"/>
          </w:tcPr>
          <w:p w14:paraId="56389858" w14:textId="77777777" w:rsidR="002C0FD9" w:rsidRPr="00CA25CF" w:rsidRDefault="002C0FD9" w:rsidP="00CA25CF">
            <w:pPr>
              <w:rPr>
                <w:rFonts w:cs="Arial"/>
                <w:color w:val="FF0000"/>
                <w:sz w:val="21"/>
                <w:szCs w:val="21"/>
              </w:rPr>
            </w:pPr>
          </w:p>
        </w:tc>
        <w:tc>
          <w:tcPr>
            <w:tcW w:w="217" w:type="dxa"/>
          </w:tcPr>
          <w:p w14:paraId="54393BD0" w14:textId="77777777" w:rsidR="002C0FD9" w:rsidRPr="00CA25CF" w:rsidRDefault="002C0FD9" w:rsidP="00CA25CF">
            <w:pPr>
              <w:rPr>
                <w:rFonts w:cs="Arial"/>
                <w:color w:val="FF0000"/>
                <w:sz w:val="21"/>
                <w:szCs w:val="21"/>
              </w:rPr>
            </w:pPr>
          </w:p>
        </w:tc>
        <w:tc>
          <w:tcPr>
            <w:tcW w:w="217" w:type="dxa"/>
          </w:tcPr>
          <w:p w14:paraId="32B87E38" w14:textId="77777777" w:rsidR="002C0FD9" w:rsidRPr="00CA25CF" w:rsidRDefault="002C0FD9" w:rsidP="00CA25CF">
            <w:pPr>
              <w:rPr>
                <w:rFonts w:cs="Arial"/>
                <w:color w:val="FF0000"/>
                <w:sz w:val="21"/>
                <w:szCs w:val="21"/>
              </w:rPr>
            </w:pPr>
          </w:p>
        </w:tc>
        <w:tc>
          <w:tcPr>
            <w:tcW w:w="217" w:type="dxa"/>
          </w:tcPr>
          <w:p w14:paraId="6ACEF425" w14:textId="77777777" w:rsidR="002C0FD9" w:rsidRPr="00CA25CF" w:rsidRDefault="002C0FD9" w:rsidP="00CA25CF">
            <w:pPr>
              <w:rPr>
                <w:rFonts w:cs="Arial"/>
                <w:color w:val="FF0000"/>
                <w:sz w:val="21"/>
                <w:szCs w:val="21"/>
              </w:rPr>
            </w:pPr>
          </w:p>
        </w:tc>
        <w:tc>
          <w:tcPr>
            <w:tcW w:w="217" w:type="dxa"/>
          </w:tcPr>
          <w:p w14:paraId="20792C6D" w14:textId="77777777" w:rsidR="002C0FD9" w:rsidRPr="00CA25CF" w:rsidRDefault="002C0FD9" w:rsidP="00CA25CF">
            <w:pPr>
              <w:rPr>
                <w:rFonts w:cs="Arial"/>
                <w:color w:val="FF0000"/>
                <w:sz w:val="21"/>
                <w:szCs w:val="21"/>
              </w:rPr>
            </w:pPr>
          </w:p>
        </w:tc>
        <w:tc>
          <w:tcPr>
            <w:tcW w:w="217" w:type="dxa"/>
          </w:tcPr>
          <w:p w14:paraId="63AA042C" w14:textId="77777777" w:rsidR="002C0FD9" w:rsidRPr="00CA25CF" w:rsidRDefault="002C0FD9" w:rsidP="00CA25CF">
            <w:pPr>
              <w:rPr>
                <w:rFonts w:cs="Arial"/>
                <w:color w:val="FF0000"/>
                <w:sz w:val="21"/>
                <w:szCs w:val="21"/>
              </w:rPr>
            </w:pPr>
          </w:p>
        </w:tc>
        <w:tc>
          <w:tcPr>
            <w:tcW w:w="217" w:type="dxa"/>
          </w:tcPr>
          <w:p w14:paraId="0C6EFD21" w14:textId="77777777" w:rsidR="002C0FD9" w:rsidRPr="00CA25CF" w:rsidRDefault="002C0FD9" w:rsidP="00CA25CF">
            <w:pPr>
              <w:rPr>
                <w:rFonts w:cs="Arial"/>
                <w:color w:val="FF0000"/>
                <w:sz w:val="21"/>
                <w:szCs w:val="21"/>
              </w:rPr>
            </w:pPr>
          </w:p>
        </w:tc>
        <w:tc>
          <w:tcPr>
            <w:tcW w:w="217" w:type="dxa"/>
          </w:tcPr>
          <w:p w14:paraId="18F1991B" w14:textId="77777777" w:rsidR="002C0FD9" w:rsidRPr="00CA25CF" w:rsidRDefault="002C0FD9" w:rsidP="00CA25CF">
            <w:pPr>
              <w:rPr>
                <w:rFonts w:cs="Arial"/>
                <w:color w:val="FF0000"/>
                <w:sz w:val="21"/>
                <w:szCs w:val="21"/>
              </w:rPr>
            </w:pPr>
          </w:p>
        </w:tc>
        <w:tc>
          <w:tcPr>
            <w:tcW w:w="217" w:type="dxa"/>
          </w:tcPr>
          <w:p w14:paraId="078B6A8B" w14:textId="77777777" w:rsidR="002C0FD9" w:rsidRPr="00CA25CF" w:rsidRDefault="002C0FD9" w:rsidP="00CA25CF">
            <w:pPr>
              <w:rPr>
                <w:rFonts w:cs="Arial"/>
                <w:color w:val="FF0000"/>
                <w:sz w:val="21"/>
                <w:szCs w:val="21"/>
              </w:rPr>
            </w:pPr>
          </w:p>
        </w:tc>
        <w:tc>
          <w:tcPr>
            <w:tcW w:w="217" w:type="dxa"/>
          </w:tcPr>
          <w:p w14:paraId="0A82FFC9" w14:textId="77777777" w:rsidR="002C0FD9" w:rsidRPr="00CA25CF" w:rsidRDefault="002C0FD9" w:rsidP="00CA25CF">
            <w:pPr>
              <w:rPr>
                <w:rFonts w:cs="Arial"/>
                <w:color w:val="FF0000"/>
                <w:sz w:val="21"/>
                <w:szCs w:val="21"/>
              </w:rPr>
            </w:pPr>
          </w:p>
        </w:tc>
        <w:tc>
          <w:tcPr>
            <w:tcW w:w="217" w:type="dxa"/>
          </w:tcPr>
          <w:p w14:paraId="5E9B78B7" w14:textId="77777777" w:rsidR="002C0FD9" w:rsidRPr="00CA25CF" w:rsidRDefault="002C0FD9" w:rsidP="00CA25CF">
            <w:pPr>
              <w:rPr>
                <w:rFonts w:cs="Arial"/>
                <w:color w:val="FF0000"/>
                <w:sz w:val="21"/>
                <w:szCs w:val="21"/>
              </w:rPr>
            </w:pPr>
          </w:p>
        </w:tc>
        <w:tc>
          <w:tcPr>
            <w:tcW w:w="217" w:type="dxa"/>
          </w:tcPr>
          <w:p w14:paraId="0D72F540" w14:textId="77777777" w:rsidR="002C0FD9" w:rsidRPr="00CA25CF" w:rsidRDefault="002C0FD9" w:rsidP="00CA25CF">
            <w:pPr>
              <w:rPr>
                <w:rFonts w:cs="Arial"/>
                <w:color w:val="FF0000"/>
                <w:sz w:val="21"/>
                <w:szCs w:val="21"/>
              </w:rPr>
            </w:pPr>
          </w:p>
        </w:tc>
        <w:tc>
          <w:tcPr>
            <w:tcW w:w="217" w:type="dxa"/>
          </w:tcPr>
          <w:p w14:paraId="0E3759E4" w14:textId="77777777" w:rsidR="002C0FD9" w:rsidRPr="00CA25CF" w:rsidRDefault="002C0FD9" w:rsidP="00CA25CF">
            <w:pPr>
              <w:rPr>
                <w:rFonts w:cs="Arial"/>
                <w:color w:val="FF0000"/>
                <w:sz w:val="21"/>
                <w:szCs w:val="21"/>
              </w:rPr>
            </w:pPr>
          </w:p>
        </w:tc>
        <w:tc>
          <w:tcPr>
            <w:tcW w:w="217" w:type="dxa"/>
          </w:tcPr>
          <w:p w14:paraId="7C8037CC" w14:textId="77777777" w:rsidR="002C0FD9" w:rsidRPr="00CA25CF" w:rsidRDefault="002C0FD9" w:rsidP="00CA25CF">
            <w:pPr>
              <w:rPr>
                <w:rFonts w:cs="Arial"/>
                <w:color w:val="FF0000"/>
                <w:sz w:val="21"/>
                <w:szCs w:val="21"/>
              </w:rPr>
            </w:pPr>
          </w:p>
        </w:tc>
        <w:tc>
          <w:tcPr>
            <w:tcW w:w="217" w:type="dxa"/>
          </w:tcPr>
          <w:p w14:paraId="5DE9813F" w14:textId="77777777" w:rsidR="002C0FD9" w:rsidRPr="00CA25CF" w:rsidRDefault="002C0FD9" w:rsidP="00CA25CF">
            <w:pPr>
              <w:rPr>
                <w:rFonts w:cs="Arial"/>
                <w:color w:val="FF0000"/>
                <w:sz w:val="21"/>
                <w:szCs w:val="21"/>
              </w:rPr>
            </w:pPr>
          </w:p>
        </w:tc>
      </w:tr>
      <w:tr w:rsidR="002C0FD9" w:rsidRPr="00A16219" w14:paraId="400572E3" w14:textId="77777777" w:rsidTr="002C0FD9">
        <w:trPr>
          <w:trHeight w:val="635"/>
        </w:trPr>
        <w:tc>
          <w:tcPr>
            <w:tcW w:w="515" w:type="dxa"/>
          </w:tcPr>
          <w:p w14:paraId="23EFF84B" w14:textId="77777777" w:rsidR="002C0FD9" w:rsidRPr="00CA25CF" w:rsidRDefault="002C0FD9" w:rsidP="00CA25CF">
            <w:pPr>
              <w:rPr>
                <w:rFonts w:cs="Arial"/>
                <w:color w:val="FF0000"/>
                <w:sz w:val="21"/>
                <w:szCs w:val="21"/>
              </w:rPr>
            </w:pPr>
          </w:p>
        </w:tc>
        <w:tc>
          <w:tcPr>
            <w:tcW w:w="217" w:type="dxa"/>
          </w:tcPr>
          <w:p w14:paraId="48150D84" w14:textId="77777777" w:rsidR="002C0FD9" w:rsidRPr="00CA25CF" w:rsidRDefault="002C0FD9" w:rsidP="00CA25CF">
            <w:pPr>
              <w:rPr>
                <w:rFonts w:cs="Arial"/>
                <w:color w:val="FF0000"/>
                <w:sz w:val="21"/>
                <w:szCs w:val="21"/>
              </w:rPr>
            </w:pPr>
          </w:p>
        </w:tc>
        <w:tc>
          <w:tcPr>
            <w:tcW w:w="217" w:type="dxa"/>
          </w:tcPr>
          <w:p w14:paraId="6AB46A9A" w14:textId="77777777" w:rsidR="002C0FD9" w:rsidRPr="00CA25CF" w:rsidRDefault="002C0FD9" w:rsidP="00CA25CF">
            <w:pPr>
              <w:rPr>
                <w:rFonts w:cs="Arial"/>
                <w:color w:val="FF0000"/>
                <w:sz w:val="21"/>
                <w:szCs w:val="21"/>
              </w:rPr>
            </w:pPr>
          </w:p>
        </w:tc>
        <w:tc>
          <w:tcPr>
            <w:tcW w:w="217" w:type="dxa"/>
          </w:tcPr>
          <w:p w14:paraId="266A7422" w14:textId="77777777" w:rsidR="002C0FD9" w:rsidRPr="00CA25CF" w:rsidRDefault="002C0FD9" w:rsidP="00CA25CF">
            <w:pPr>
              <w:rPr>
                <w:rFonts w:cs="Arial"/>
                <w:color w:val="FF0000"/>
                <w:sz w:val="21"/>
                <w:szCs w:val="21"/>
              </w:rPr>
            </w:pPr>
          </w:p>
        </w:tc>
        <w:tc>
          <w:tcPr>
            <w:tcW w:w="217" w:type="dxa"/>
          </w:tcPr>
          <w:p w14:paraId="5CF5FC30" w14:textId="77777777" w:rsidR="002C0FD9" w:rsidRPr="00CA25CF" w:rsidRDefault="002C0FD9" w:rsidP="00CA25CF">
            <w:pPr>
              <w:rPr>
                <w:rFonts w:cs="Arial"/>
                <w:color w:val="FF0000"/>
                <w:sz w:val="21"/>
                <w:szCs w:val="21"/>
              </w:rPr>
            </w:pPr>
          </w:p>
        </w:tc>
        <w:tc>
          <w:tcPr>
            <w:tcW w:w="217" w:type="dxa"/>
          </w:tcPr>
          <w:p w14:paraId="63D8B459" w14:textId="77777777" w:rsidR="002C0FD9" w:rsidRPr="00CA25CF" w:rsidRDefault="002C0FD9" w:rsidP="00CA25CF">
            <w:pPr>
              <w:rPr>
                <w:rFonts w:cs="Arial"/>
                <w:color w:val="FF0000"/>
                <w:sz w:val="21"/>
                <w:szCs w:val="21"/>
              </w:rPr>
            </w:pPr>
          </w:p>
        </w:tc>
        <w:tc>
          <w:tcPr>
            <w:tcW w:w="217" w:type="dxa"/>
          </w:tcPr>
          <w:p w14:paraId="0B8B9E4A" w14:textId="77777777" w:rsidR="002C0FD9" w:rsidRPr="00CA25CF" w:rsidRDefault="002C0FD9" w:rsidP="00CA25CF">
            <w:pPr>
              <w:rPr>
                <w:rFonts w:cs="Arial"/>
                <w:color w:val="FF0000"/>
                <w:sz w:val="21"/>
                <w:szCs w:val="21"/>
              </w:rPr>
            </w:pPr>
          </w:p>
        </w:tc>
        <w:tc>
          <w:tcPr>
            <w:tcW w:w="217" w:type="dxa"/>
          </w:tcPr>
          <w:p w14:paraId="06443C33" w14:textId="77777777" w:rsidR="002C0FD9" w:rsidRPr="00CA25CF" w:rsidRDefault="002C0FD9" w:rsidP="00CA25CF">
            <w:pPr>
              <w:rPr>
                <w:rFonts w:cs="Arial"/>
                <w:color w:val="FF0000"/>
                <w:sz w:val="21"/>
                <w:szCs w:val="21"/>
              </w:rPr>
            </w:pPr>
          </w:p>
        </w:tc>
        <w:tc>
          <w:tcPr>
            <w:tcW w:w="217" w:type="dxa"/>
          </w:tcPr>
          <w:p w14:paraId="02C636AA" w14:textId="77777777" w:rsidR="002C0FD9" w:rsidRPr="00CA25CF" w:rsidRDefault="002C0FD9" w:rsidP="00CA25CF">
            <w:pPr>
              <w:rPr>
                <w:rFonts w:cs="Arial"/>
                <w:color w:val="FF0000"/>
                <w:sz w:val="21"/>
                <w:szCs w:val="21"/>
              </w:rPr>
            </w:pPr>
          </w:p>
        </w:tc>
        <w:tc>
          <w:tcPr>
            <w:tcW w:w="217" w:type="dxa"/>
          </w:tcPr>
          <w:p w14:paraId="092BCBD6" w14:textId="77777777" w:rsidR="002C0FD9" w:rsidRPr="00CA25CF" w:rsidRDefault="002C0FD9" w:rsidP="00CA25CF">
            <w:pPr>
              <w:rPr>
                <w:rFonts w:cs="Arial"/>
                <w:color w:val="FF0000"/>
                <w:sz w:val="21"/>
                <w:szCs w:val="21"/>
              </w:rPr>
            </w:pPr>
          </w:p>
        </w:tc>
        <w:tc>
          <w:tcPr>
            <w:tcW w:w="217" w:type="dxa"/>
          </w:tcPr>
          <w:p w14:paraId="70378D6F" w14:textId="77777777" w:rsidR="002C0FD9" w:rsidRPr="00CA25CF" w:rsidRDefault="002C0FD9" w:rsidP="00CA25CF">
            <w:pPr>
              <w:rPr>
                <w:rFonts w:cs="Arial"/>
                <w:color w:val="FF0000"/>
                <w:sz w:val="21"/>
                <w:szCs w:val="21"/>
              </w:rPr>
            </w:pPr>
          </w:p>
        </w:tc>
        <w:tc>
          <w:tcPr>
            <w:tcW w:w="217" w:type="dxa"/>
          </w:tcPr>
          <w:p w14:paraId="1E39D11B" w14:textId="77777777" w:rsidR="002C0FD9" w:rsidRPr="00CA25CF" w:rsidRDefault="002C0FD9" w:rsidP="00CA25CF">
            <w:pPr>
              <w:rPr>
                <w:rFonts w:cs="Arial"/>
                <w:color w:val="FF0000"/>
                <w:sz w:val="21"/>
                <w:szCs w:val="21"/>
              </w:rPr>
            </w:pPr>
          </w:p>
        </w:tc>
        <w:tc>
          <w:tcPr>
            <w:tcW w:w="217" w:type="dxa"/>
          </w:tcPr>
          <w:p w14:paraId="2B17B1AE" w14:textId="77777777" w:rsidR="002C0FD9" w:rsidRPr="00CA25CF" w:rsidRDefault="002C0FD9" w:rsidP="00CA25CF">
            <w:pPr>
              <w:rPr>
                <w:rFonts w:cs="Arial"/>
                <w:color w:val="FF0000"/>
                <w:sz w:val="21"/>
                <w:szCs w:val="21"/>
              </w:rPr>
            </w:pPr>
          </w:p>
        </w:tc>
        <w:tc>
          <w:tcPr>
            <w:tcW w:w="217" w:type="dxa"/>
          </w:tcPr>
          <w:p w14:paraId="470834E1" w14:textId="77777777" w:rsidR="002C0FD9" w:rsidRPr="00CA25CF" w:rsidRDefault="002C0FD9" w:rsidP="00CA25CF">
            <w:pPr>
              <w:rPr>
                <w:rFonts w:cs="Arial"/>
                <w:color w:val="FF0000"/>
                <w:sz w:val="21"/>
                <w:szCs w:val="21"/>
              </w:rPr>
            </w:pPr>
          </w:p>
        </w:tc>
        <w:tc>
          <w:tcPr>
            <w:tcW w:w="217" w:type="dxa"/>
          </w:tcPr>
          <w:p w14:paraId="20E17F52" w14:textId="77777777" w:rsidR="002C0FD9" w:rsidRPr="00CA25CF" w:rsidRDefault="002C0FD9" w:rsidP="00CA25CF">
            <w:pPr>
              <w:rPr>
                <w:rFonts w:cs="Arial"/>
                <w:color w:val="FF0000"/>
                <w:sz w:val="21"/>
                <w:szCs w:val="21"/>
              </w:rPr>
            </w:pPr>
          </w:p>
        </w:tc>
        <w:tc>
          <w:tcPr>
            <w:tcW w:w="217" w:type="dxa"/>
          </w:tcPr>
          <w:p w14:paraId="05DE2FA1" w14:textId="77777777" w:rsidR="002C0FD9" w:rsidRPr="00CA25CF" w:rsidRDefault="002C0FD9" w:rsidP="00CA25CF">
            <w:pPr>
              <w:rPr>
                <w:rFonts w:cs="Arial"/>
                <w:color w:val="FF0000"/>
                <w:sz w:val="21"/>
                <w:szCs w:val="21"/>
              </w:rPr>
            </w:pPr>
          </w:p>
        </w:tc>
        <w:tc>
          <w:tcPr>
            <w:tcW w:w="217" w:type="dxa"/>
          </w:tcPr>
          <w:p w14:paraId="37D5E7DD" w14:textId="77777777" w:rsidR="002C0FD9" w:rsidRPr="00CA25CF" w:rsidRDefault="002C0FD9" w:rsidP="00CA25CF">
            <w:pPr>
              <w:rPr>
                <w:rFonts w:cs="Arial"/>
                <w:color w:val="FF0000"/>
                <w:sz w:val="21"/>
                <w:szCs w:val="21"/>
              </w:rPr>
            </w:pPr>
          </w:p>
        </w:tc>
        <w:tc>
          <w:tcPr>
            <w:tcW w:w="217" w:type="dxa"/>
          </w:tcPr>
          <w:p w14:paraId="242CE1DA" w14:textId="77777777" w:rsidR="002C0FD9" w:rsidRPr="00CA25CF" w:rsidRDefault="002C0FD9" w:rsidP="00CA25CF">
            <w:pPr>
              <w:rPr>
                <w:rFonts w:cs="Arial"/>
                <w:color w:val="FF0000"/>
                <w:sz w:val="21"/>
                <w:szCs w:val="21"/>
              </w:rPr>
            </w:pPr>
          </w:p>
        </w:tc>
        <w:tc>
          <w:tcPr>
            <w:tcW w:w="217" w:type="dxa"/>
          </w:tcPr>
          <w:p w14:paraId="68E1367E" w14:textId="77777777" w:rsidR="002C0FD9" w:rsidRPr="00CA25CF" w:rsidRDefault="002C0FD9" w:rsidP="00CA25CF">
            <w:pPr>
              <w:rPr>
                <w:rFonts w:cs="Arial"/>
                <w:color w:val="FF0000"/>
                <w:sz w:val="21"/>
                <w:szCs w:val="21"/>
              </w:rPr>
            </w:pPr>
          </w:p>
        </w:tc>
        <w:tc>
          <w:tcPr>
            <w:tcW w:w="217" w:type="dxa"/>
          </w:tcPr>
          <w:p w14:paraId="22F478DC" w14:textId="77777777" w:rsidR="002C0FD9" w:rsidRPr="00CA25CF" w:rsidRDefault="002C0FD9" w:rsidP="00CA25CF">
            <w:pPr>
              <w:rPr>
                <w:rFonts w:cs="Arial"/>
                <w:color w:val="FF0000"/>
                <w:sz w:val="21"/>
                <w:szCs w:val="21"/>
              </w:rPr>
            </w:pPr>
          </w:p>
        </w:tc>
        <w:tc>
          <w:tcPr>
            <w:tcW w:w="217" w:type="dxa"/>
          </w:tcPr>
          <w:p w14:paraId="17CD57C8" w14:textId="77777777" w:rsidR="002C0FD9" w:rsidRPr="00CA25CF" w:rsidRDefault="002C0FD9" w:rsidP="00CA25CF">
            <w:pPr>
              <w:rPr>
                <w:rFonts w:cs="Arial"/>
                <w:color w:val="FF0000"/>
                <w:sz w:val="21"/>
                <w:szCs w:val="21"/>
              </w:rPr>
            </w:pPr>
          </w:p>
        </w:tc>
        <w:tc>
          <w:tcPr>
            <w:tcW w:w="217" w:type="dxa"/>
          </w:tcPr>
          <w:p w14:paraId="3BAD4E8D" w14:textId="77777777" w:rsidR="002C0FD9" w:rsidRPr="00CA25CF" w:rsidRDefault="002C0FD9" w:rsidP="00CA25CF">
            <w:pPr>
              <w:rPr>
                <w:rFonts w:cs="Arial"/>
                <w:color w:val="FF0000"/>
                <w:sz w:val="21"/>
                <w:szCs w:val="21"/>
              </w:rPr>
            </w:pPr>
          </w:p>
        </w:tc>
        <w:tc>
          <w:tcPr>
            <w:tcW w:w="217" w:type="dxa"/>
          </w:tcPr>
          <w:p w14:paraId="02AB4839" w14:textId="77777777" w:rsidR="002C0FD9" w:rsidRPr="00CA25CF" w:rsidRDefault="002C0FD9" w:rsidP="00CA25CF">
            <w:pPr>
              <w:rPr>
                <w:rFonts w:cs="Arial"/>
                <w:color w:val="FF0000"/>
                <w:sz w:val="21"/>
                <w:szCs w:val="21"/>
              </w:rPr>
            </w:pPr>
          </w:p>
        </w:tc>
        <w:tc>
          <w:tcPr>
            <w:tcW w:w="217" w:type="dxa"/>
          </w:tcPr>
          <w:p w14:paraId="7FFE73BE" w14:textId="77777777" w:rsidR="002C0FD9" w:rsidRPr="00CA25CF" w:rsidRDefault="002C0FD9" w:rsidP="00CA25CF">
            <w:pPr>
              <w:rPr>
                <w:rFonts w:cs="Arial"/>
                <w:color w:val="FF0000"/>
                <w:sz w:val="21"/>
                <w:szCs w:val="21"/>
              </w:rPr>
            </w:pPr>
          </w:p>
        </w:tc>
        <w:tc>
          <w:tcPr>
            <w:tcW w:w="217" w:type="dxa"/>
          </w:tcPr>
          <w:p w14:paraId="5FAB3357" w14:textId="77777777" w:rsidR="002C0FD9" w:rsidRPr="00CA25CF" w:rsidRDefault="002C0FD9" w:rsidP="00CA25CF">
            <w:pPr>
              <w:rPr>
                <w:rFonts w:cs="Arial"/>
                <w:color w:val="FF0000"/>
                <w:sz w:val="21"/>
                <w:szCs w:val="21"/>
              </w:rPr>
            </w:pPr>
          </w:p>
        </w:tc>
        <w:tc>
          <w:tcPr>
            <w:tcW w:w="217" w:type="dxa"/>
          </w:tcPr>
          <w:p w14:paraId="45DD6FFD" w14:textId="77777777" w:rsidR="002C0FD9" w:rsidRPr="00CA25CF" w:rsidRDefault="002C0FD9" w:rsidP="00CA25CF">
            <w:pPr>
              <w:rPr>
                <w:rFonts w:cs="Arial"/>
                <w:color w:val="FF0000"/>
                <w:sz w:val="21"/>
                <w:szCs w:val="21"/>
              </w:rPr>
            </w:pPr>
          </w:p>
        </w:tc>
        <w:tc>
          <w:tcPr>
            <w:tcW w:w="217" w:type="dxa"/>
          </w:tcPr>
          <w:p w14:paraId="5B1E1F84" w14:textId="77777777" w:rsidR="002C0FD9" w:rsidRPr="00CA25CF" w:rsidRDefault="002C0FD9" w:rsidP="00CA25CF">
            <w:pPr>
              <w:rPr>
                <w:rFonts w:cs="Arial"/>
                <w:color w:val="FF0000"/>
                <w:sz w:val="21"/>
                <w:szCs w:val="21"/>
              </w:rPr>
            </w:pPr>
          </w:p>
        </w:tc>
        <w:tc>
          <w:tcPr>
            <w:tcW w:w="217" w:type="dxa"/>
          </w:tcPr>
          <w:p w14:paraId="2DABE64B" w14:textId="77777777" w:rsidR="002C0FD9" w:rsidRPr="00CA25CF" w:rsidRDefault="002C0FD9" w:rsidP="00CA25CF">
            <w:pPr>
              <w:rPr>
                <w:rFonts w:cs="Arial"/>
                <w:color w:val="FF0000"/>
                <w:sz w:val="21"/>
                <w:szCs w:val="21"/>
              </w:rPr>
            </w:pPr>
          </w:p>
        </w:tc>
        <w:tc>
          <w:tcPr>
            <w:tcW w:w="217" w:type="dxa"/>
          </w:tcPr>
          <w:p w14:paraId="36AE8ED5" w14:textId="77777777" w:rsidR="002C0FD9" w:rsidRPr="00CA25CF" w:rsidRDefault="002C0FD9" w:rsidP="00CA25CF">
            <w:pPr>
              <w:rPr>
                <w:rFonts w:cs="Arial"/>
                <w:color w:val="FF0000"/>
                <w:sz w:val="21"/>
                <w:szCs w:val="21"/>
              </w:rPr>
            </w:pPr>
          </w:p>
        </w:tc>
        <w:tc>
          <w:tcPr>
            <w:tcW w:w="217" w:type="dxa"/>
          </w:tcPr>
          <w:p w14:paraId="61AA5512" w14:textId="77777777" w:rsidR="002C0FD9" w:rsidRPr="00CA25CF" w:rsidRDefault="002C0FD9" w:rsidP="00CA25CF">
            <w:pPr>
              <w:rPr>
                <w:rFonts w:cs="Arial"/>
                <w:color w:val="FF0000"/>
                <w:sz w:val="21"/>
                <w:szCs w:val="21"/>
              </w:rPr>
            </w:pPr>
          </w:p>
        </w:tc>
        <w:tc>
          <w:tcPr>
            <w:tcW w:w="217" w:type="dxa"/>
          </w:tcPr>
          <w:p w14:paraId="5E8E8F9E" w14:textId="77777777" w:rsidR="002C0FD9" w:rsidRPr="00CA25CF" w:rsidRDefault="002C0FD9" w:rsidP="00CA25CF">
            <w:pPr>
              <w:rPr>
                <w:rFonts w:cs="Arial"/>
                <w:color w:val="FF0000"/>
                <w:sz w:val="21"/>
                <w:szCs w:val="21"/>
              </w:rPr>
            </w:pPr>
          </w:p>
        </w:tc>
        <w:tc>
          <w:tcPr>
            <w:tcW w:w="217" w:type="dxa"/>
          </w:tcPr>
          <w:p w14:paraId="1E2898D0" w14:textId="77777777" w:rsidR="002C0FD9" w:rsidRPr="00CA25CF" w:rsidRDefault="002C0FD9" w:rsidP="00CA25CF">
            <w:pPr>
              <w:rPr>
                <w:rFonts w:cs="Arial"/>
                <w:color w:val="FF0000"/>
                <w:sz w:val="21"/>
                <w:szCs w:val="21"/>
              </w:rPr>
            </w:pPr>
          </w:p>
        </w:tc>
        <w:tc>
          <w:tcPr>
            <w:tcW w:w="217" w:type="dxa"/>
          </w:tcPr>
          <w:p w14:paraId="167B1312" w14:textId="77777777" w:rsidR="002C0FD9" w:rsidRPr="00CA25CF" w:rsidRDefault="002C0FD9" w:rsidP="00CA25CF">
            <w:pPr>
              <w:rPr>
                <w:rFonts w:cs="Arial"/>
                <w:color w:val="FF0000"/>
                <w:sz w:val="21"/>
                <w:szCs w:val="21"/>
              </w:rPr>
            </w:pPr>
          </w:p>
        </w:tc>
        <w:tc>
          <w:tcPr>
            <w:tcW w:w="217" w:type="dxa"/>
          </w:tcPr>
          <w:p w14:paraId="0A97532A" w14:textId="77777777" w:rsidR="002C0FD9" w:rsidRPr="00CA25CF" w:rsidRDefault="002C0FD9" w:rsidP="00CA25CF">
            <w:pPr>
              <w:rPr>
                <w:rFonts w:cs="Arial"/>
                <w:color w:val="FF0000"/>
                <w:sz w:val="21"/>
                <w:szCs w:val="21"/>
              </w:rPr>
            </w:pPr>
          </w:p>
        </w:tc>
        <w:tc>
          <w:tcPr>
            <w:tcW w:w="217" w:type="dxa"/>
          </w:tcPr>
          <w:p w14:paraId="6A5E1985" w14:textId="77777777" w:rsidR="002C0FD9" w:rsidRPr="00CA25CF" w:rsidRDefault="002C0FD9" w:rsidP="00CA25CF">
            <w:pPr>
              <w:rPr>
                <w:rFonts w:cs="Arial"/>
                <w:color w:val="FF0000"/>
                <w:sz w:val="21"/>
                <w:szCs w:val="21"/>
              </w:rPr>
            </w:pPr>
          </w:p>
        </w:tc>
        <w:tc>
          <w:tcPr>
            <w:tcW w:w="217" w:type="dxa"/>
          </w:tcPr>
          <w:p w14:paraId="3705E40D" w14:textId="77777777" w:rsidR="002C0FD9" w:rsidRPr="00CA25CF" w:rsidRDefault="002C0FD9" w:rsidP="00CA25CF">
            <w:pPr>
              <w:rPr>
                <w:rFonts w:cs="Arial"/>
                <w:color w:val="FF0000"/>
                <w:sz w:val="21"/>
                <w:szCs w:val="21"/>
              </w:rPr>
            </w:pPr>
          </w:p>
        </w:tc>
        <w:tc>
          <w:tcPr>
            <w:tcW w:w="217" w:type="dxa"/>
          </w:tcPr>
          <w:p w14:paraId="780A8D4D" w14:textId="77777777" w:rsidR="002C0FD9" w:rsidRPr="00CA25CF" w:rsidRDefault="002C0FD9" w:rsidP="00CA25CF">
            <w:pPr>
              <w:rPr>
                <w:rFonts w:cs="Arial"/>
                <w:color w:val="FF0000"/>
                <w:sz w:val="21"/>
                <w:szCs w:val="21"/>
              </w:rPr>
            </w:pPr>
          </w:p>
        </w:tc>
        <w:tc>
          <w:tcPr>
            <w:tcW w:w="217" w:type="dxa"/>
          </w:tcPr>
          <w:p w14:paraId="47DBC739" w14:textId="77777777" w:rsidR="002C0FD9" w:rsidRPr="00CA25CF" w:rsidRDefault="002C0FD9" w:rsidP="00CA25CF">
            <w:pPr>
              <w:rPr>
                <w:rFonts w:cs="Arial"/>
                <w:color w:val="FF0000"/>
                <w:sz w:val="21"/>
                <w:szCs w:val="21"/>
              </w:rPr>
            </w:pPr>
          </w:p>
        </w:tc>
        <w:tc>
          <w:tcPr>
            <w:tcW w:w="217" w:type="dxa"/>
          </w:tcPr>
          <w:p w14:paraId="5576A01C" w14:textId="77777777" w:rsidR="002C0FD9" w:rsidRPr="00CA25CF" w:rsidRDefault="002C0FD9" w:rsidP="00CA25CF">
            <w:pPr>
              <w:rPr>
                <w:rFonts w:cs="Arial"/>
                <w:color w:val="FF0000"/>
                <w:sz w:val="21"/>
                <w:szCs w:val="21"/>
              </w:rPr>
            </w:pPr>
          </w:p>
        </w:tc>
        <w:tc>
          <w:tcPr>
            <w:tcW w:w="217" w:type="dxa"/>
          </w:tcPr>
          <w:p w14:paraId="42E93A2C" w14:textId="77777777" w:rsidR="002C0FD9" w:rsidRPr="00CA25CF" w:rsidRDefault="002C0FD9" w:rsidP="00CA25CF">
            <w:pPr>
              <w:rPr>
                <w:rFonts w:cs="Arial"/>
                <w:color w:val="FF0000"/>
                <w:sz w:val="21"/>
                <w:szCs w:val="21"/>
              </w:rPr>
            </w:pPr>
          </w:p>
        </w:tc>
        <w:tc>
          <w:tcPr>
            <w:tcW w:w="217" w:type="dxa"/>
          </w:tcPr>
          <w:p w14:paraId="08698853" w14:textId="77777777" w:rsidR="002C0FD9" w:rsidRPr="00CA25CF" w:rsidRDefault="002C0FD9" w:rsidP="00CA25CF">
            <w:pPr>
              <w:rPr>
                <w:rFonts w:cs="Arial"/>
                <w:color w:val="FF0000"/>
                <w:sz w:val="21"/>
                <w:szCs w:val="21"/>
              </w:rPr>
            </w:pPr>
          </w:p>
        </w:tc>
        <w:tc>
          <w:tcPr>
            <w:tcW w:w="217" w:type="dxa"/>
          </w:tcPr>
          <w:p w14:paraId="539F7F90" w14:textId="77777777" w:rsidR="002C0FD9" w:rsidRPr="00CA25CF" w:rsidRDefault="002C0FD9" w:rsidP="00CA25CF">
            <w:pPr>
              <w:rPr>
                <w:rFonts w:cs="Arial"/>
                <w:color w:val="FF0000"/>
                <w:sz w:val="21"/>
                <w:szCs w:val="21"/>
              </w:rPr>
            </w:pPr>
          </w:p>
        </w:tc>
        <w:tc>
          <w:tcPr>
            <w:tcW w:w="217" w:type="dxa"/>
          </w:tcPr>
          <w:p w14:paraId="28EDA5FC" w14:textId="77777777" w:rsidR="002C0FD9" w:rsidRPr="00CA25CF" w:rsidRDefault="002C0FD9" w:rsidP="00CA25CF">
            <w:pPr>
              <w:rPr>
                <w:rFonts w:cs="Arial"/>
                <w:color w:val="FF0000"/>
                <w:sz w:val="21"/>
                <w:szCs w:val="21"/>
              </w:rPr>
            </w:pPr>
          </w:p>
        </w:tc>
      </w:tr>
      <w:tr w:rsidR="002C0FD9" w:rsidRPr="00A16219" w14:paraId="7913DCCF" w14:textId="77777777" w:rsidTr="002C0FD9">
        <w:trPr>
          <w:trHeight w:val="635"/>
        </w:trPr>
        <w:tc>
          <w:tcPr>
            <w:tcW w:w="515" w:type="dxa"/>
          </w:tcPr>
          <w:p w14:paraId="2C154D1A" w14:textId="77777777" w:rsidR="002C0FD9" w:rsidRPr="00CA25CF" w:rsidRDefault="002C0FD9" w:rsidP="00CA25CF">
            <w:pPr>
              <w:rPr>
                <w:rFonts w:cs="Arial"/>
                <w:color w:val="FF0000"/>
                <w:sz w:val="21"/>
                <w:szCs w:val="21"/>
              </w:rPr>
            </w:pPr>
          </w:p>
        </w:tc>
        <w:tc>
          <w:tcPr>
            <w:tcW w:w="217" w:type="dxa"/>
          </w:tcPr>
          <w:p w14:paraId="483BA1BB" w14:textId="77777777" w:rsidR="002C0FD9" w:rsidRPr="00CA25CF" w:rsidRDefault="002C0FD9" w:rsidP="00CA25CF">
            <w:pPr>
              <w:rPr>
                <w:rFonts w:cs="Arial"/>
                <w:color w:val="FF0000"/>
                <w:sz w:val="21"/>
                <w:szCs w:val="21"/>
              </w:rPr>
            </w:pPr>
          </w:p>
        </w:tc>
        <w:tc>
          <w:tcPr>
            <w:tcW w:w="217" w:type="dxa"/>
          </w:tcPr>
          <w:p w14:paraId="32B8611F" w14:textId="77777777" w:rsidR="002C0FD9" w:rsidRPr="00CA25CF" w:rsidRDefault="002C0FD9" w:rsidP="00CA25CF">
            <w:pPr>
              <w:rPr>
                <w:rFonts w:cs="Arial"/>
                <w:color w:val="FF0000"/>
                <w:sz w:val="21"/>
                <w:szCs w:val="21"/>
              </w:rPr>
            </w:pPr>
          </w:p>
        </w:tc>
        <w:tc>
          <w:tcPr>
            <w:tcW w:w="217" w:type="dxa"/>
          </w:tcPr>
          <w:p w14:paraId="6672A219" w14:textId="77777777" w:rsidR="002C0FD9" w:rsidRPr="00CA25CF" w:rsidRDefault="002C0FD9" w:rsidP="00CA25CF">
            <w:pPr>
              <w:rPr>
                <w:rFonts w:cs="Arial"/>
                <w:color w:val="FF0000"/>
                <w:sz w:val="21"/>
                <w:szCs w:val="21"/>
              </w:rPr>
            </w:pPr>
          </w:p>
        </w:tc>
        <w:tc>
          <w:tcPr>
            <w:tcW w:w="217" w:type="dxa"/>
          </w:tcPr>
          <w:p w14:paraId="56C18FFE" w14:textId="77777777" w:rsidR="002C0FD9" w:rsidRPr="00CA25CF" w:rsidRDefault="002C0FD9" w:rsidP="00CA25CF">
            <w:pPr>
              <w:rPr>
                <w:rFonts w:cs="Arial"/>
                <w:color w:val="FF0000"/>
                <w:sz w:val="21"/>
                <w:szCs w:val="21"/>
              </w:rPr>
            </w:pPr>
          </w:p>
        </w:tc>
        <w:tc>
          <w:tcPr>
            <w:tcW w:w="217" w:type="dxa"/>
          </w:tcPr>
          <w:p w14:paraId="5ABDE73A" w14:textId="77777777" w:rsidR="002C0FD9" w:rsidRPr="00CA25CF" w:rsidRDefault="002C0FD9" w:rsidP="00CA25CF">
            <w:pPr>
              <w:rPr>
                <w:rFonts w:cs="Arial"/>
                <w:color w:val="FF0000"/>
                <w:sz w:val="21"/>
                <w:szCs w:val="21"/>
              </w:rPr>
            </w:pPr>
          </w:p>
        </w:tc>
        <w:tc>
          <w:tcPr>
            <w:tcW w:w="217" w:type="dxa"/>
          </w:tcPr>
          <w:p w14:paraId="425C81C0" w14:textId="77777777" w:rsidR="002C0FD9" w:rsidRPr="00CA25CF" w:rsidRDefault="002C0FD9" w:rsidP="00CA25CF">
            <w:pPr>
              <w:rPr>
                <w:rFonts w:cs="Arial"/>
                <w:color w:val="FF0000"/>
                <w:sz w:val="21"/>
                <w:szCs w:val="21"/>
              </w:rPr>
            </w:pPr>
          </w:p>
        </w:tc>
        <w:tc>
          <w:tcPr>
            <w:tcW w:w="217" w:type="dxa"/>
          </w:tcPr>
          <w:p w14:paraId="71EA68E1" w14:textId="77777777" w:rsidR="002C0FD9" w:rsidRPr="00CA25CF" w:rsidRDefault="002C0FD9" w:rsidP="00CA25CF">
            <w:pPr>
              <w:rPr>
                <w:rFonts w:cs="Arial"/>
                <w:color w:val="FF0000"/>
                <w:sz w:val="21"/>
                <w:szCs w:val="21"/>
              </w:rPr>
            </w:pPr>
          </w:p>
        </w:tc>
        <w:tc>
          <w:tcPr>
            <w:tcW w:w="217" w:type="dxa"/>
          </w:tcPr>
          <w:p w14:paraId="48C6808A" w14:textId="77777777" w:rsidR="002C0FD9" w:rsidRPr="00CA25CF" w:rsidRDefault="002C0FD9" w:rsidP="00CA25CF">
            <w:pPr>
              <w:rPr>
                <w:rFonts w:cs="Arial"/>
                <w:color w:val="FF0000"/>
                <w:sz w:val="21"/>
                <w:szCs w:val="21"/>
              </w:rPr>
            </w:pPr>
          </w:p>
        </w:tc>
        <w:tc>
          <w:tcPr>
            <w:tcW w:w="217" w:type="dxa"/>
          </w:tcPr>
          <w:p w14:paraId="023E1144" w14:textId="77777777" w:rsidR="002C0FD9" w:rsidRPr="00CA25CF" w:rsidRDefault="002C0FD9" w:rsidP="00CA25CF">
            <w:pPr>
              <w:rPr>
                <w:rFonts w:cs="Arial"/>
                <w:color w:val="FF0000"/>
                <w:sz w:val="21"/>
                <w:szCs w:val="21"/>
              </w:rPr>
            </w:pPr>
          </w:p>
        </w:tc>
        <w:tc>
          <w:tcPr>
            <w:tcW w:w="217" w:type="dxa"/>
          </w:tcPr>
          <w:p w14:paraId="22291D18" w14:textId="77777777" w:rsidR="002C0FD9" w:rsidRPr="00CA25CF" w:rsidRDefault="002C0FD9" w:rsidP="00CA25CF">
            <w:pPr>
              <w:rPr>
                <w:rFonts w:cs="Arial"/>
                <w:color w:val="FF0000"/>
                <w:sz w:val="21"/>
                <w:szCs w:val="21"/>
              </w:rPr>
            </w:pPr>
          </w:p>
        </w:tc>
        <w:tc>
          <w:tcPr>
            <w:tcW w:w="217" w:type="dxa"/>
          </w:tcPr>
          <w:p w14:paraId="1E4DEED3" w14:textId="77777777" w:rsidR="002C0FD9" w:rsidRPr="00CA25CF" w:rsidRDefault="002C0FD9" w:rsidP="00CA25CF">
            <w:pPr>
              <w:rPr>
                <w:rFonts w:cs="Arial"/>
                <w:color w:val="FF0000"/>
                <w:sz w:val="21"/>
                <w:szCs w:val="21"/>
              </w:rPr>
            </w:pPr>
          </w:p>
        </w:tc>
        <w:tc>
          <w:tcPr>
            <w:tcW w:w="217" w:type="dxa"/>
          </w:tcPr>
          <w:p w14:paraId="2ECFDB9C" w14:textId="77777777" w:rsidR="002C0FD9" w:rsidRPr="00CA25CF" w:rsidRDefault="002C0FD9" w:rsidP="00CA25CF">
            <w:pPr>
              <w:rPr>
                <w:rFonts w:cs="Arial"/>
                <w:color w:val="FF0000"/>
                <w:sz w:val="21"/>
                <w:szCs w:val="21"/>
              </w:rPr>
            </w:pPr>
          </w:p>
        </w:tc>
        <w:tc>
          <w:tcPr>
            <w:tcW w:w="217" w:type="dxa"/>
          </w:tcPr>
          <w:p w14:paraId="7728CA08" w14:textId="77777777" w:rsidR="002C0FD9" w:rsidRPr="00CA25CF" w:rsidRDefault="002C0FD9" w:rsidP="00CA25CF">
            <w:pPr>
              <w:rPr>
                <w:rFonts w:cs="Arial"/>
                <w:color w:val="FF0000"/>
                <w:sz w:val="21"/>
                <w:szCs w:val="21"/>
              </w:rPr>
            </w:pPr>
          </w:p>
        </w:tc>
        <w:tc>
          <w:tcPr>
            <w:tcW w:w="217" w:type="dxa"/>
          </w:tcPr>
          <w:p w14:paraId="72DB975B" w14:textId="77777777" w:rsidR="002C0FD9" w:rsidRPr="00CA25CF" w:rsidRDefault="002C0FD9" w:rsidP="00CA25CF">
            <w:pPr>
              <w:rPr>
                <w:rFonts w:cs="Arial"/>
                <w:color w:val="FF0000"/>
                <w:sz w:val="21"/>
                <w:szCs w:val="21"/>
              </w:rPr>
            </w:pPr>
          </w:p>
        </w:tc>
        <w:tc>
          <w:tcPr>
            <w:tcW w:w="217" w:type="dxa"/>
          </w:tcPr>
          <w:p w14:paraId="6D4A6109" w14:textId="77777777" w:rsidR="002C0FD9" w:rsidRPr="00CA25CF" w:rsidRDefault="002C0FD9" w:rsidP="00CA25CF">
            <w:pPr>
              <w:rPr>
                <w:rFonts w:cs="Arial"/>
                <w:color w:val="FF0000"/>
                <w:sz w:val="21"/>
                <w:szCs w:val="21"/>
              </w:rPr>
            </w:pPr>
          </w:p>
        </w:tc>
        <w:tc>
          <w:tcPr>
            <w:tcW w:w="217" w:type="dxa"/>
          </w:tcPr>
          <w:p w14:paraId="59799486" w14:textId="77777777" w:rsidR="002C0FD9" w:rsidRPr="00CA25CF" w:rsidRDefault="002C0FD9" w:rsidP="00CA25CF">
            <w:pPr>
              <w:rPr>
                <w:rFonts w:cs="Arial"/>
                <w:color w:val="FF0000"/>
                <w:sz w:val="21"/>
                <w:szCs w:val="21"/>
              </w:rPr>
            </w:pPr>
          </w:p>
        </w:tc>
        <w:tc>
          <w:tcPr>
            <w:tcW w:w="217" w:type="dxa"/>
          </w:tcPr>
          <w:p w14:paraId="2843B511" w14:textId="77777777" w:rsidR="002C0FD9" w:rsidRPr="00CA25CF" w:rsidRDefault="002C0FD9" w:rsidP="00CA25CF">
            <w:pPr>
              <w:rPr>
                <w:rFonts w:cs="Arial"/>
                <w:color w:val="FF0000"/>
                <w:sz w:val="21"/>
                <w:szCs w:val="21"/>
              </w:rPr>
            </w:pPr>
          </w:p>
        </w:tc>
        <w:tc>
          <w:tcPr>
            <w:tcW w:w="217" w:type="dxa"/>
          </w:tcPr>
          <w:p w14:paraId="48862597" w14:textId="77777777" w:rsidR="002C0FD9" w:rsidRPr="00CA25CF" w:rsidRDefault="002C0FD9" w:rsidP="00CA25CF">
            <w:pPr>
              <w:rPr>
                <w:rFonts w:cs="Arial"/>
                <w:color w:val="FF0000"/>
                <w:sz w:val="21"/>
                <w:szCs w:val="21"/>
              </w:rPr>
            </w:pPr>
          </w:p>
        </w:tc>
        <w:tc>
          <w:tcPr>
            <w:tcW w:w="217" w:type="dxa"/>
          </w:tcPr>
          <w:p w14:paraId="5D5CF895" w14:textId="77777777" w:rsidR="002C0FD9" w:rsidRPr="00CA25CF" w:rsidRDefault="002C0FD9" w:rsidP="00CA25CF">
            <w:pPr>
              <w:rPr>
                <w:rFonts w:cs="Arial"/>
                <w:color w:val="FF0000"/>
                <w:sz w:val="21"/>
                <w:szCs w:val="21"/>
              </w:rPr>
            </w:pPr>
          </w:p>
        </w:tc>
        <w:tc>
          <w:tcPr>
            <w:tcW w:w="217" w:type="dxa"/>
          </w:tcPr>
          <w:p w14:paraId="52B94717" w14:textId="77777777" w:rsidR="002C0FD9" w:rsidRPr="00CA25CF" w:rsidRDefault="002C0FD9" w:rsidP="00CA25CF">
            <w:pPr>
              <w:rPr>
                <w:rFonts w:cs="Arial"/>
                <w:color w:val="FF0000"/>
                <w:sz w:val="21"/>
                <w:szCs w:val="21"/>
              </w:rPr>
            </w:pPr>
          </w:p>
        </w:tc>
        <w:tc>
          <w:tcPr>
            <w:tcW w:w="217" w:type="dxa"/>
          </w:tcPr>
          <w:p w14:paraId="28E92AD4" w14:textId="77777777" w:rsidR="002C0FD9" w:rsidRPr="00CA25CF" w:rsidRDefault="002C0FD9" w:rsidP="00CA25CF">
            <w:pPr>
              <w:rPr>
                <w:rFonts w:cs="Arial"/>
                <w:color w:val="FF0000"/>
                <w:sz w:val="21"/>
                <w:szCs w:val="21"/>
              </w:rPr>
            </w:pPr>
          </w:p>
        </w:tc>
        <w:tc>
          <w:tcPr>
            <w:tcW w:w="217" w:type="dxa"/>
          </w:tcPr>
          <w:p w14:paraId="141CC8F5" w14:textId="77777777" w:rsidR="002C0FD9" w:rsidRPr="00CA25CF" w:rsidRDefault="002C0FD9" w:rsidP="00CA25CF">
            <w:pPr>
              <w:rPr>
                <w:rFonts w:cs="Arial"/>
                <w:color w:val="FF0000"/>
                <w:sz w:val="21"/>
                <w:szCs w:val="21"/>
              </w:rPr>
            </w:pPr>
          </w:p>
        </w:tc>
        <w:tc>
          <w:tcPr>
            <w:tcW w:w="217" w:type="dxa"/>
          </w:tcPr>
          <w:p w14:paraId="2F560C7D" w14:textId="77777777" w:rsidR="002C0FD9" w:rsidRPr="00CA25CF" w:rsidRDefault="002C0FD9" w:rsidP="00CA25CF">
            <w:pPr>
              <w:rPr>
                <w:rFonts w:cs="Arial"/>
                <w:color w:val="FF0000"/>
                <w:sz w:val="21"/>
                <w:szCs w:val="21"/>
              </w:rPr>
            </w:pPr>
          </w:p>
        </w:tc>
        <w:tc>
          <w:tcPr>
            <w:tcW w:w="217" w:type="dxa"/>
          </w:tcPr>
          <w:p w14:paraId="1329D4B4" w14:textId="77777777" w:rsidR="002C0FD9" w:rsidRPr="00CA25CF" w:rsidRDefault="002C0FD9" w:rsidP="00CA25CF">
            <w:pPr>
              <w:rPr>
                <w:rFonts w:cs="Arial"/>
                <w:color w:val="FF0000"/>
                <w:sz w:val="21"/>
                <w:szCs w:val="21"/>
              </w:rPr>
            </w:pPr>
          </w:p>
        </w:tc>
        <w:tc>
          <w:tcPr>
            <w:tcW w:w="217" w:type="dxa"/>
          </w:tcPr>
          <w:p w14:paraId="46D1C732" w14:textId="77777777" w:rsidR="002C0FD9" w:rsidRPr="00CA25CF" w:rsidRDefault="002C0FD9" w:rsidP="00CA25CF">
            <w:pPr>
              <w:rPr>
                <w:rFonts w:cs="Arial"/>
                <w:color w:val="FF0000"/>
                <w:sz w:val="21"/>
                <w:szCs w:val="21"/>
              </w:rPr>
            </w:pPr>
          </w:p>
        </w:tc>
        <w:tc>
          <w:tcPr>
            <w:tcW w:w="217" w:type="dxa"/>
          </w:tcPr>
          <w:p w14:paraId="78D39FC7" w14:textId="77777777" w:rsidR="002C0FD9" w:rsidRPr="00CA25CF" w:rsidRDefault="002C0FD9" w:rsidP="00CA25CF">
            <w:pPr>
              <w:rPr>
                <w:rFonts w:cs="Arial"/>
                <w:color w:val="FF0000"/>
                <w:sz w:val="21"/>
                <w:szCs w:val="21"/>
              </w:rPr>
            </w:pPr>
          </w:p>
        </w:tc>
        <w:tc>
          <w:tcPr>
            <w:tcW w:w="217" w:type="dxa"/>
          </w:tcPr>
          <w:p w14:paraId="69A59498" w14:textId="77777777" w:rsidR="002C0FD9" w:rsidRPr="00CA25CF" w:rsidRDefault="002C0FD9" w:rsidP="00CA25CF">
            <w:pPr>
              <w:rPr>
                <w:rFonts w:cs="Arial"/>
                <w:color w:val="FF0000"/>
                <w:sz w:val="21"/>
                <w:szCs w:val="21"/>
              </w:rPr>
            </w:pPr>
          </w:p>
        </w:tc>
        <w:tc>
          <w:tcPr>
            <w:tcW w:w="217" w:type="dxa"/>
          </w:tcPr>
          <w:p w14:paraId="10427C70" w14:textId="77777777" w:rsidR="002C0FD9" w:rsidRPr="00CA25CF" w:rsidRDefault="002C0FD9" w:rsidP="00CA25CF">
            <w:pPr>
              <w:rPr>
                <w:rFonts w:cs="Arial"/>
                <w:color w:val="FF0000"/>
                <w:sz w:val="21"/>
                <w:szCs w:val="21"/>
              </w:rPr>
            </w:pPr>
          </w:p>
        </w:tc>
        <w:tc>
          <w:tcPr>
            <w:tcW w:w="217" w:type="dxa"/>
          </w:tcPr>
          <w:p w14:paraId="61AC99C5" w14:textId="77777777" w:rsidR="002C0FD9" w:rsidRPr="00CA25CF" w:rsidRDefault="002C0FD9" w:rsidP="00CA25CF">
            <w:pPr>
              <w:rPr>
                <w:rFonts w:cs="Arial"/>
                <w:color w:val="FF0000"/>
                <w:sz w:val="21"/>
                <w:szCs w:val="21"/>
              </w:rPr>
            </w:pPr>
          </w:p>
        </w:tc>
        <w:tc>
          <w:tcPr>
            <w:tcW w:w="217" w:type="dxa"/>
          </w:tcPr>
          <w:p w14:paraId="3594068A" w14:textId="77777777" w:rsidR="002C0FD9" w:rsidRPr="00CA25CF" w:rsidRDefault="002C0FD9" w:rsidP="00CA25CF">
            <w:pPr>
              <w:rPr>
                <w:rFonts w:cs="Arial"/>
                <w:color w:val="FF0000"/>
                <w:sz w:val="21"/>
                <w:szCs w:val="21"/>
              </w:rPr>
            </w:pPr>
          </w:p>
        </w:tc>
        <w:tc>
          <w:tcPr>
            <w:tcW w:w="217" w:type="dxa"/>
          </w:tcPr>
          <w:p w14:paraId="0ACBAC29" w14:textId="77777777" w:rsidR="002C0FD9" w:rsidRPr="00CA25CF" w:rsidRDefault="002C0FD9" w:rsidP="00CA25CF">
            <w:pPr>
              <w:rPr>
                <w:rFonts w:cs="Arial"/>
                <w:color w:val="FF0000"/>
                <w:sz w:val="21"/>
                <w:szCs w:val="21"/>
              </w:rPr>
            </w:pPr>
          </w:p>
        </w:tc>
        <w:tc>
          <w:tcPr>
            <w:tcW w:w="217" w:type="dxa"/>
          </w:tcPr>
          <w:p w14:paraId="42985412" w14:textId="77777777" w:rsidR="002C0FD9" w:rsidRPr="00CA25CF" w:rsidRDefault="002C0FD9" w:rsidP="00CA25CF">
            <w:pPr>
              <w:rPr>
                <w:rFonts w:cs="Arial"/>
                <w:color w:val="FF0000"/>
                <w:sz w:val="21"/>
                <w:szCs w:val="21"/>
              </w:rPr>
            </w:pPr>
          </w:p>
        </w:tc>
        <w:tc>
          <w:tcPr>
            <w:tcW w:w="217" w:type="dxa"/>
          </w:tcPr>
          <w:p w14:paraId="68DE12B3" w14:textId="77777777" w:rsidR="002C0FD9" w:rsidRPr="00CA25CF" w:rsidRDefault="002C0FD9" w:rsidP="00CA25CF">
            <w:pPr>
              <w:rPr>
                <w:rFonts w:cs="Arial"/>
                <w:color w:val="FF0000"/>
                <w:sz w:val="21"/>
                <w:szCs w:val="21"/>
              </w:rPr>
            </w:pPr>
          </w:p>
        </w:tc>
        <w:tc>
          <w:tcPr>
            <w:tcW w:w="217" w:type="dxa"/>
          </w:tcPr>
          <w:p w14:paraId="2A8046E7" w14:textId="77777777" w:rsidR="002C0FD9" w:rsidRPr="00CA25CF" w:rsidRDefault="002C0FD9" w:rsidP="00CA25CF">
            <w:pPr>
              <w:rPr>
                <w:rFonts w:cs="Arial"/>
                <w:color w:val="FF0000"/>
                <w:sz w:val="21"/>
                <w:szCs w:val="21"/>
              </w:rPr>
            </w:pPr>
          </w:p>
        </w:tc>
        <w:tc>
          <w:tcPr>
            <w:tcW w:w="217" w:type="dxa"/>
          </w:tcPr>
          <w:p w14:paraId="162CD8A6" w14:textId="77777777" w:rsidR="002C0FD9" w:rsidRPr="00CA25CF" w:rsidRDefault="002C0FD9" w:rsidP="00CA25CF">
            <w:pPr>
              <w:rPr>
                <w:rFonts w:cs="Arial"/>
                <w:color w:val="FF0000"/>
                <w:sz w:val="21"/>
                <w:szCs w:val="21"/>
              </w:rPr>
            </w:pPr>
          </w:p>
        </w:tc>
        <w:tc>
          <w:tcPr>
            <w:tcW w:w="217" w:type="dxa"/>
          </w:tcPr>
          <w:p w14:paraId="51800BC8" w14:textId="77777777" w:rsidR="002C0FD9" w:rsidRPr="00CA25CF" w:rsidRDefault="002C0FD9" w:rsidP="00CA25CF">
            <w:pPr>
              <w:rPr>
                <w:rFonts w:cs="Arial"/>
                <w:color w:val="FF0000"/>
                <w:sz w:val="21"/>
                <w:szCs w:val="21"/>
              </w:rPr>
            </w:pPr>
          </w:p>
        </w:tc>
        <w:tc>
          <w:tcPr>
            <w:tcW w:w="217" w:type="dxa"/>
          </w:tcPr>
          <w:p w14:paraId="3850C954" w14:textId="77777777" w:rsidR="002C0FD9" w:rsidRPr="00CA25CF" w:rsidRDefault="002C0FD9" w:rsidP="00CA25CF">
            <w:pPr>
              <w:rPr>
                <w:rFonts w:cs="Arial"/>
                <w:color w:val="FF0000"/>
                <w:sz w:val="21"/>
                <w:szCs w:val="21"/>
              </w:rPr>
            </w:pPr>
          </w:p>
        </w:tc>
        <w:tc>
          <w:tcPr>
            <w:tcW w:w="217" w:type="dxa"/>
          </w:tcPr>
          <w:p w14:paraId="0E4874E9" w14:textId="77777777" w:rsidR="002C0FD9" w:rsidRPr="00CA25CF" w:rsidRDefault="002C0FD9" w:rsidP="00CA25CF">
            <w:pPr>
              <w:rPr>
                <w:rFonts w:cs="Arial"/>
                <w:color w:val="FF0000"/>
                <w:sz w:val="21"/>
                <w:szCs w:val="21"/>
              </w:rPr>
            </w:pPr>
          </w:p>
        </w:tc>
        <w:tc>
          <w:tcPr>
            <w:tcW w:w="217" w:type="dxa"/>
          </w:tcPr>
          <w:p w14:paraId="0CB9B683" w14:textId="77777777" w:rsidR="002C0FD9" w:rsidRPr="00CA25CF" w:rsidRDefault="002C0FD9" w:rsidP="00CA25CF">
            <w:pPr>
              <w:rPr>
                <w:rFonts w:cs="Arial"/>
                <w:color w:val="FF0000"/>
                <w:sz w:val="21"/>
                <w:szCs w:val="21"/>
              </w:rPr>
            </w:pPr>
          </w:p>
        </w:tc>
        <w:tc>
          <w:tcPr>
            <w:tcW w:w="217" w:type="dxa"/>
          </w:tcPr>
          <w:p w14:paraId="4B9B64FB" w14:textId="77777777" w:rsidR="002C0FD9" w:rsidRPr="00CA25CF" w:rsidRDefault="002C0FD9" w:rsidP="00CA25CF">
            <w:pPr>
              <w:rPr>
                <w:rFonts w:cs="Arial"/>
                <w:color w:val="FF0000"/>
                <w:sz w:val="21"/>
                <w:szCs w:val="21"/>
              </w:rPr>
            </w:pPr>
          </w:p>
        </w:tc>
        <w:tc>
          <w:tcPr>
            <w:tcW w:w="217" w:type="dxa"/>
          </w:tcPr>
          <w:p w14:paraId="237DBD2A" w14:textId="77777777" w:rsidR="002C0FD9" w:rsidRPr="00CA25CF" w:rsidRDefault="002C0FD9" w:rsidP="00CA25CF">
            <w:pPr>
              <w:rPr>
                <w:rFonts w:cs="Arial"/>
                <w:color w:val="FF0000"/>
                <w:sz w:val="21"/>
                <w:szCs w:val="21"/>
              </w:rPr>
            </w:pPr>
          </w:p>
        </w:tc>
        <w:tc>
          <w:tcPr>
            <w:tcW w:w="217" w:type="dxa"/>
          </w:tcPr>
          <w:p w14:paraId="29CEAEC7" w14:textId="77777777" w:rsidR="002C0FD9" w:rsidRPr="00CA25CF" w:rsidRDefault="002C0FD9" w:rsidP="00CA25CF">
            <w:pPr>
              <w:rPr>
                <w:rFonts w:cs="Arial"/>
                <w:color w:val="FF0000"/>
                <w:sz w:val="21"/>
                <w:szCs w:val="21"/>
              </w:rPr>
            </w:pPr>
          </w:p>
        </w:tc>
      </w:tr>
      <w:tr w:rsidR="002C0FD9" w:rsidRPr="00A16219" w14:paraId="2E049894" w14:textId="77777777" w:rsidTr="002C0FD9">
        <w:trPr>
          <w:trHeight w:val="635"/>
        </w:trPr>
        <w:tc>
          <w:tcPr>
            <w:tcW w:w="515" w:type="dxa"/>
          </w:tcPr>
          <w:p w14:paraId="0A0AED36" w14:textId="77777777" w:rsidR="002C0FD9" w:rsidRPr="00CA25CF" w:rsidRDefault="002C0FD9" w:rsidP="00CA25CF">
            <w:pPr>
              <w:rPr>
                <w:rFonts w:cs="Arial"/>
                <w:color w:val="FF0000"/>
                <w:sz w:val="21"/>
                <w:szCs w:val="21"/>
              </w:rPr>
            </w:pPr>
          </w:p>
        </w:tc>
        <w:tc>
          <w:tcPr>
            <w:tcW w:w="217" w:type="dxa"/>
          </w:tcPr>
          <w:p w14:paraId="603AD568" w14:textId="77777777" w:rsidR="002C0FD9" w:rsidRPr="00CA25CF" w:rsidRDefault="002C0FD9" w:rsidP="00CA25CF">
            <w:pPr>
              <w:rPr>
                <w:rFonts w:cs="Arial"/>
                <w:color w:val="FF0000"/>
                <w:sz w:val="21"/>
                <w:szCs w:val="21"/>
              </w:rPr>
            </w:pPr>
          </w:p>
        </w:tc>
        <w:tc>
          <w:tcPr>
            <w:tcW w:w="217" w:type="dxa"/>
          </w:tcPr>
          <w:p w14:paraId="4C19D7BD" w14:textId="77777777" w:rsidR="002C0FD9" w:rsidRPr="00CA25CF" w:rsidRDefault="002C0FD9" w:rsidP="00CA25CF">
            <w:pPr>
              <w:rPr>
                <w:rFonts w:cs="Arial"/>
                <w:color w:val="FF0000"/>
                <w:sz w:val="21"/>
                <w:szCs w:val="21"/>
              </w:rPr>
            </w:pPr>
          </w:p>
        </w:tc>
        <w:tc>
          <w:tcPr>
            <w:tcW w:w="217" w:type="dxa"/>
          </w:tcPr>
          <w:p w14:paraId="16764927" w14:textId="77777777" w:rsidR="002C0FD9" w:rsidRPr="00CA25CF" w:rsidRDefault="002C0FD9" w:rsidP="00CA25CF">
            <w:pPr>
              <w:rPr>
                <w:rFonts w:cs="Arial"/>
                <w:color w:val="FF0000"/>
                <w:sz w:val="21"/>
                <w:szCs w:val="21"/>
              </w:rPr>
            </w:pPr>
          </w:p>
        </w:tc>
        <w:tc>
          <w:tcPr>
            <w:tcW w:w="217" w:type="dxa"/>
          </w:tcPr>
          <w:p w14:paraId="52E10853" w14:textId="77777777" w:rsidR="002C0FD9" w:rsidRPr="00CA25CF" w:rsidRDefault="002C0FD9" w:rsidP="00CA25CF">
            <w:pPr>
              <w:rPr>
                <w:rFonts w:cs="Arial"/>
                <w:color w:val="FF0000"/>
                <w:sz w:val="21"/>
                <w:szCs w:val="21"/>
              </w:rPr>
            </w:pPr>
          </w:p>
        </w:tc>
        <w:tc>
          <w:tcPr>
            <w:tcW w:w="217" w:type="dxa"/>
          </w:tcPr>
          <w:p w14:paraId="1E0949F9" w14:textId="77777777" w:rsidR="002C0FD9" w:rsidRPr="00CA25CF" w:rsidRDefault="002C0FD9" w:rsidP="00CA25CF">
            <w:pPr>
              <w:rPr>
                <w:rFonts w:cs="Arial"/>
                <w:color w:val="FF0000"/>
                <w:sz w:val="21"/>
                <w:szCs w:val="21"/>
              </w:rPr>
            </w:pPr>
          </w:p>
        </w:tc>
        <w:tc>
          <w:tcPr>
            <w:tcW w:w="217" w:type="dxa"/>
          </w:tcPr>
          <w:p w14:paraId="6567858F" w14:textId="77777777" w:rsidR="002C0FD9" w:rsidRPr="00CA25CF" w:rsidRDefault="002C0FD9" w:rsidP="00CA25CF">
            <w:pPr>
              <w:rPr>
                <w:rFonts w:cs="Arial"/>
                <w:color w:val="FF0000"/>
                <w:sz w:val="21"/>
                <w:szCs w:val="21"/>
              </w:rPr>
            </w:pPr>
          </w:p>
        </w:tc>
        <w:tc>
          <w:tcPr>
            <w:tcW w:w="217" w:type="dxa"/>
          </w:tcPr>
          <w:p w14:paraId="4F7BB051" w14:textId="77777777" w:rsidR="002C0FD9" w:rsidRPr="00CA25CF" w:rsidRDefault="002C0FD9" w:rsidP="00CA25CF">
            <w:pPr>
              <w:rPr>
                <w:rFonts w:cs="Arial"/>
                <w:color w:val="FF0000"/>
                <w:sz w:val="21"/>
                <w:szCs w:val="21"/>
              </w:rPr>
            </w:pPr>
          </w:p>
        </w:tc>
        <w:tc>
          <w:tcPr>
            <w:tcW w:w="217" w:type="dxa"/>
          </w:tcPr>
          <w:p w14:paraId="5727E672" w14:textId="77777777" w:rsidR="002C0FD9" w:rsidRPr="00CA25CF" w:rsidRDefault="002C0FD9" w:rsidP="00CA25CF">
            <w:pPr>
              <w:rPr>
                <w:rFonts w:cs="Arial"/>
                <w:color w:val="FF0000"/>
                <w:sz w:val="21"/>
                <w:szCs w:val="21"/>
              </w:rPr>
            </w:pPr>
          </w:p>
        </w:tc>
        <w:tc>
          <w:tcPr>
            <w:tcW w:w="217" w:type="dxa"/>
          </w:tcPr>
          <w:p w14:paraId="30C08725" w14:textId="77777777" w:rsidR="002C0FD9" w:rsidRPr="00CA25CF" w:rsidRDefault="002C0FD9" w:rsidP="00CA25CF">
            <w:pPr>
              <w:rPr>
                <w:rFonts w:cs="Arial"/>
                <w:color w:val="FF0000"/>
                <w:sz w:val="21"/>
                <w:szCs w:val="21"/>
              </w:rPr>
            </w:pPr>
          </w:p>
        </w:tc>
        <w:tc>
          <w:tcPr>
            <w:tcW w:w="217" w:type="dxa"/>
          </w:tcPr>
          <w:p w14:paraId="650D6736" w14:textId="77777777" w:rsidR="002C0FD9" w:rsidRPr="00CA25CF" w:rsidRDefault="002C0FD9" w:rsidP="00CA25CF">
            <w:pPr>
              <w:rPr>
                <w:rFonts w:cs="Arial"/>
                <w:color w:val="FF0000"/>
                <w:sz w:val="21"/>
                <w:szCs w:val="21"/>
              </w:rPr>
            </w:pPr>
          </w:p>
        </w:tc>
        <w:tc>
          <w:tcPr>
            <w:tcW w:w="217" w:type="dxa"/>
          </w:tcPr>
          <w:p w14:paraId="4E3D7B7A" w14:textId="77777777" w:rsidR="002C0FD9" w:rsidRPr="00CA25CF" w:rsidRDefault="002C0FD9" w:rsidP="00CA25CF">
            <w:pPr>
              <w:rPr>
                <w:rFonts w:cs="Arial"/>
                <w:color w:val="FF0000"/>
                <w:sz w:val="21"/>
                <w:szCs w:val="21"/>
              </w:rPr>
            </w:pPr>
          </w:p>
        </w:tc>
        <w:tc>
          <w:tcPr>
            <w:tcW w:w="217" w:type="dxa"/>
          </w:tcPr>
          <w:p w14:paraId="27B6D0A3" w14:textId="77777777" w:rsidR="002C0FD9" w:rsidRPr="00CA25CF" w:rsidRDefault="002C0FD9" w:rsidP="00CA25CF">
            <w:pPr>
              <w:rPr>
                <w:rFonts w:cs="Arial"/>
                <w:color w:val="FF0000"/>
                <w:sz w:val="21"/>
                <w:szCs w:val="21"/>
              </w:rPr>
            </w:pPr>
          </w:p>
        </w:tc>
        <w:tc>
          <w:tcPr>
            <w:tcW w:w="217" w:type="dxa"/>
          </w:tcPr>
          <w:p w14:paraId="2B6EC479" w14:textId="77777777" w:rsidR="002C0FD9" w:rsidRPr="00CA25CF" w:rsidRDefault="002C0FD9" w:rsidP="00CA25CF">
            <w:pPr>
              <w:rPr>
                <w:rFonts w:cs="Arial"/>
                <w:color w:val="FF0000"/>
                <w:sz w:val="21"/>
                <w:szCs w:val="21"/>
              </w:rPr>
            </w:pPr>
          </w:p>
        </w:tc>
        <w:tc>
          <w:tcPr>
            <w:tcW w:w="217" w:type="dxa"/>
          </w:tcPr>
          <w:p w14:paraId="537425D4" w14:textId="77777777" w:rsidR="002C0FD9" w:rsidRPr="00CA25CF" w:rsidRDefault="002C0FD9" w:rsidP="00CA25CF">
            <w:pPr>
              <w:rPr>
                <w:rFonts w:cs="Arial"/>
                <w:color w:val="FF0000"/>
                <w:sz w:val="21"/>
                <w:szCs w:val="21"/>
              </w:rPr>
            </w:pPr>
          </w:p>
        </w:tc>
        <w:tc>
          <w:tcPr>
            <w:tcW w:w="217" w:type="dxa"/>
          </w:tcPr>
          <w:p w14:paraId="29DC27FC" w14:textId="77777777" w:rsidR="002C0FD9" w:rsidRPr="00CA25CF" w:rsidRDefault="002C0FD9" w:rsidP="00CA25CF">
            <w:pPr>
              <w:rPr>
                <w:rFonts w:cs="Arial"/>
                <w:color w:val="FF0000"/>
                <w:sz w:val="21"/>
                <w:szCs w:val="21"/>
              </w:rPr>
            </w:pPr>
          </w:p>
        </w:tc>
        <w:tc>
          <w:tcPr>
            <w:tcW w:w="217" w:type="dxa"/>
          </w:tcPr>
          <w:p w14:paraId="7DF6AC96" w14:textId="77777777" w:rsidR="002C0FD9" w:rsidRPr="00CA25CF" w:rsidRDefault="002C0FD9" w:rsidP="00CA25CF">
            <w:pPr>
              <w:rPr>
                <w:rFonts w:cs="Arial"/>
                <w:color w:val="FF0000"/>
                <w:sz w:val="21"/>
                <w:szCs w:val="21"/>
              </w:rPr>
            </w:pPr>
          </w:p>
        </w:tc>
        <w:tc>
          <w:tcPr>
            <w:tcW w:w="217" w:type="dxa"/>
          </w:tcPr>
          <w:p w14:paraId="7B47DF9D" w14:textId="77777777" w:rsidR="002C0FD9" w:rsidRPr="00CA25CF" w:rsidRDefault="002C0FD9" w:rsidP="00CA25CF">
            <w:pPr>
              <w:rPr>
                <w:rFonts w:cs="Arial"/>
                <w:color w:val="FF0000"/>
                <w:sz w:val="21"/>
                <w:szCs w:val="21"/>
              </w:rPr>
            </w:pPr>
          </w:p>
        </w:tc>
        <w:tc>
          <w:tcPr>
            <w:tcW w:w="217" w:type="dxa"/>
          </w:tcPr>
          <w:p w14:paraId="0F5A843F" w14:textId="77777777" w:rsidR="002C0FD9" w:rsidRPr="00CA25CF" w:rsidRDefault="002C0FD9" w:rsidP="00CA25CF">
            <w:pPr>
              <w:rPr>
                <w:rFonts w:cs="Arial"/>
                <w:color w:val="FF0000"/>
                <w:sz w:val="21"/>
                <w:szCs w:val="21"/>
              </w:rPr>
            </w:pPr>
          </w:p>
        </w:tc>
        <w:tc>
          <w:tcPr>
            <w:tcW w:w="217" w:type="dxa"/>
          </w:tcPr>
          <w:p w14:paraId="1E902241" w14:textId="77777777" w:rsidR="002C0FD9" w:rsidRPr="00CA25CF" w:rsidRDefault="002C0FD9" w:rsidP="00CA25CF">
            <w:pPr>
              <w:rPr>
                <w:rFonts w:cs="Arial"/>
                <w:color w:val="FF0000"/>
                <w:sz w:val="21"/>
                <w:szCs w:val="21"/>
              </w:rPr>
            </w:pPr>
          </w:p>
        </w:tc>
        <w:tc>
          <w:tcPr>
            <w:tcW w:w="217" w:type="dxa"/>
          </w:tcPr>
          <w:p w14:paraId="1A7EE863" w14:textId="77777777" w:rsidR="002C0FD9" w:rsidRPr="00CA25CF" w:rsidRDefault="002C0FD9" w:rsidP="00CA25CF">
            <w:pPr>
              <w:rPr>
                <w:rFonts w:cs="Arial"/>
                <w:color w:val="FF0000"/>
                <w:sz w:val="21"/>
                <w:szCs w:val="21"/>
              </w:rPr>
            </w:pPr>
          </w:p>
        </w:tc>
        <w:tc>
          <w:tcPr>
            <w:tcW w:w="217" w:type="dxa"/>
          </w:tcPr>
          <w:p w14:paraId="11A5F077" w14:textId="77777777" w:rsidR="002C0FD9" w:rsidRPr="00CA25CF" w:rsidRDefault="002C0FD9" w:rsidP="00CA25CF">
            <w:pPr>
              <w:rPr>
                <w:rFonts w:cs="Arial"/>
                <w:color w:val="FF0000"/>
                <w:sz w:val="21"/>
                <w:szCs w:val="21"/>
              </w:rPr>
            </w:pPr>
          </w:p>
        </w:tc>
        <w:tc>
          <w:tcPr>
            <w:tcW w:w="217" w:type="dxa"/>
          </w:tcPr>
          <w:p w14:paraId="2606B82F" w14:textId="77777777" w:rsidR="002C0FD9" w:rsidRPr="00CA25CF" w:rsidRDefault="002C0FD9" w:rsidP="00CA25CF">
            <w:pPr>
              <w:rPr>
                <w:rFonts w:cs="Arial"/>
                <w:color w:val="FF0000"/>
                <w:sz w:val="21"/>
                <w:szCs w:val="21"/>
              </w:rPr>
            </w:pPr>
          </w:p>
        </w:tc>
        <w:tc>
          <w:tcPr>
            <w:tcW w:w="217" w:type="dxa"/>
          </w:tcPr>
          <w:p w14:paraId="6AD4AA54" w14:textId="77777777" w:rsidR="002C0FD9" w:rsidRPr="00CA25CF" w:rsidRDefault="002C0FD9" w:rsidP="00CA25CF">
            <w:pPr>
              <w:rPr>
                <w:rFonts w:cs="Arial"/>
                <w:color w:val="FF0000"/>
                <w:sz w:val="21"/>
                <w:szCs w:val="21"/>
              </w:rPr>
            </w:pPr>
          </w:p>
        </w:tc>
        <w:tc>
          <w:tcPr>
            <w:tcW w:w="217" w:type="dxa"/>
          </w:tcPr>
          <w:p w14:paraId="7B974EC0" w14:textId="77777777" w:rsidR="002C0FD9" w:rsidRPr="00CA25CF" w:rsidRDefault="002C0FD9" w:rsidP="00CA25CF">
            <w:pPr>
              <w:rPr>
                <w:rFonts w:cs="Arial"/>
                <w:color w:val="FF0000"/>
                <w:sz w:val="21"/>
                <w:szCs w:val="21"/>
              </w:rPr>
            </w:pPr>
          </w:p>
        </w:tc>
        <w:tc>
          <w:tcPr>
            <w:tcW w:w="217" w:type="dxa"/>
          </w:tcPr>
          <w:p w14:paraId="76B50DB7" w14:textId="77777777" w:rsidR="002C0FD9" w:rsidRPr="00CA25CF" w:rsidRDefault="002C0FD9" w:rsidP="00CA25CF">
            <w:pPr>
              <w:rPr>
                <w:rFonts w:cs="Arial"/>
                <w:color w:val="FF0000"/>
                <w:sz w:val="21"/>
                <w:szCs w:val="21"/>
              </w:rPr>
            </w:pPr>
          </w:p>
        </w:tc>
        <w:tc>
          <w:tcPr>
            <w:tcW w:w="217" w:type="dxa"/>
          </w:tcPr>
          <w:p w14:paraId="1ADC09F6" w14:textId="77777777" w:rsidR="002C0FD9" w:rsidRPr="00CA25CF" w:rsidRDefault="002C0FD9" w:rsidP="00CA25CF">
            <w:pPr>
              <w:rPr>
                <w:rFonts w:cs="Arial"/>
                <w:color w:val="FF0000"/>
                <w:sz w:val="21"/>
                <w:szCs w:val="21"/>
              </w:rPr>
            </w:pPr>
          </w:p>
        </w:tc>
        <w:tc>
          <w:tcPr>
            <w:tcW w:w="217" w:type="dxa"/>
          </w:tcPr>
          <w:p w14:paraId="0676EC2D" w14:textId="77777777" w:rsidR="002C0FD9" w:rsidRPr="00CA25CF" w:rsidRDefault="002C0FD9" w:rsidP="00CA25CF">
            <w:pPr>
              <w:rPr>
                <w:rFonts w:cs="Arial"/>
                <w:color w:val="FF0000"/>
                <w:sz w:val="21"/>
                <w:szCs w:val="21"/>
              </w:rPr>
            </w:pPr>
          </w:p>
        </w:tc>
        <w:tc>
          <w:tcPr>
            <w:tcW w:w="217" w:type="dxa"/>
          </w:tcPr>
          <w:p w14:paraId="1B4F2A9B" w14:textId="77777777" w:rsidR="002C0FD9" w:rsidRPr="00CA25CF" w:rsidRDefault="002C0FD9" w:rsidP="00CA25CF">
            <w:pPr>
              <w:rPr>
                <w:rFonts w:cs="Arial"/>
                <w:color w:val="FF0000"/>
                <w:sz w:val="21"/>
                <w:szCs w:val="21"/>
              </w:rPr>
            </w:pPr>
          </w:p>
        </w:tc>
        <w:tc>
          <w:tcPr>
            <w:tcW w:w="217" w:type="dxa"/>
          </w:tcPr>
          <w:p w14:paraId="47222EE3" w14:textId="77777777" w:rsidR="002C0FD9" w:rsidRPr="00CA25CF" w:rsidRDefault="002C0FD9" w:rsidP="00CA25CF">
            <w:pPr>
              <w:rPr>
                <w:rFonts w:cs="Arial"/>
                <w:color w:val="FF0000"/>
                <w:sz w:val="21"/>
                <w:szCs w:val="21"/>
              </w:rPr>
            </w:pPr>
          </w:p>
        </w:tc>
        <w:tc>
          <w:tcPr>
            <w:tcW w:w="217" w:type="dxa"/>
          </w:tcPr>
          <w:p w14:paraId="056D853F" w14:textId="77777777" w:rsidR="002C0FD9" w:rsidRPr="00CA25CF" w:rsidRDefault="002C0FD9" w:rsidP="00CA25CF">
            <w:pPr>
              <w:rPr>
                <w:rFonts w:cs="Arial"/>
                <w:color w:val="FF0000"/>
                <w:sz w:val="21"/>
                <w:szCs w:val="21"/>
              </w:rPr>
            </w:pPr>
          </w:p>
        </w:tc>
        <w:tc>
          <w:tcPr>
            <w:tcW w:w="217" w:type="dxa"/>
          </w:tcPr>
          <w:p w14:paraId="559D8000" w14:textId="77777777" w:rsidR="002C0FD9" w:rsidRPr="00CA25CF" w:rsidRDefault="002C0FD9" w:rsidP="00CA25CF">
            <w:pPr>
              <w:rPr>
                <w:rFonts w:cs="Arial"/>
                <w:color w:val="FF0000"/>
                <w:sz w:val="21"/>
                <w:szCs w:val="21"/>
              </w:rPr>
            </w:pPr>
          </w:p>
        </w:tc>
        <w:tc>
          <w:tcPr>
            <w:tcW w:w="217" w:type="dxa"/>
          </w:tcPr>
          <w:p w14:paraId="16447018" w14:textId="77777777" w:rsidR="002C0FD9" w:rsidRPr="00CA25CF" w:rsidRDefault="002C0FD9" w:rsidP="00CA25CF">
            <w:pPr>
              <w:rPr>
                <w:rFonts w:cs="Arial"/>
                <w:color w:val="FF0000"/>
                <w:sz w:val="21"/>
                <w:szCs w:val="21"/>
              </w:rPr>
            </w:pPr>
          </w:p>
        </w:tc>
        <w:tc>
          <w:tcPr>
            <w:tcW w:w="217" w:type="dxa"/>
          </w:tcPr>
          <w:p w14:paraId="5A8D185E" w14:textId="77777777" w:rsidR="002C0FD9" w:rsidRPr="00CA25CF" w:rsidRDefault="002C0FD9" w:rsidP="00CA25CF">
            <w:pPr>
              <w:rPr>
                <w:rFonts w:cs="Arial"/>
                <w:color w:val="FF0000"/>
                <w:sz w:val="21"/>
                <w:szCs w:val="21"/>
              </w:rPr>
            </w:pPr>
          </w:p>
        </w:tc>
        <w:tc>
          <w:tcPr>
            <w:tcW w:w="217" w:type="dxa"/>
          </w:tcPr>
          <w:p w14:paraId="71ECAB35" w14:textId="77777777" w:rsidR="002C0FD9" w:rsidRPr="00CA25CF" w:rsidRDefault="002C0FD9" w:rsidP="00CA25CF">
            <w:pPr>
              <w:rPr>
                <w:rFonts w:cs="Arial"/>
                <w:color w:val="FF0000"/>
                <w:sz w:val="21"/>
                <w:szCs w:val="21"/>
              </w:rPr>
            </w:pPr>
          </w:p>
        </w:tc>
        <w:tc>
          <w:tcPr>
            <w:tcW w:w="217" w:type="dxa"/>
          </w:tcPr>
          <w:p w14:paraId="1F710106" w14:textId="77777777" w:rsidR="002C0FD9" w:rsidRPr="00CA25CF" w:rsidRDefault="002C0FD9" w:rsidP="00CA25CF">
            <w:pPr>
              <w:rPr>
                <w:rFonts w:cs="Arial"/>
                <w:color w:val="FF0000"/>
                <w:sz w:val="21"/>
                <w:szCs w:val="21"/>
              </w:rPr>
            </w:pPr>
          </w:p>
        </w:tc>
        <w:tc>
          <w:tcPr>
            <w:tcW w:w="217" w:type="dxa"/>
          </w:tcPr>
          <w:p w14:paraId="4D4104E4" w14:textId="77777777" w:rsidR="002C0FD9" w:rsidRPr="00CA25CF" w:rsidRDefault="002C0FD9" w:rsidP="00CA25CF">
            <w:pPr>
              <w:rPr>
                <w:rFonts w:cs="Arial"/>
                <w:color w:val="FF0000"/>
                <w:sz w:val="21"/>
                <w:szCs w:val="21"/>
              </w:rPr>
            </w:pPr>
          </w:p>
        </w:tc>
        <w:tc>
          <w:tcPr>
            <w:tcW w:w="217" w:type="dxa"/>
          </w:tcPr>
          <w:p w14:paraId="52658421" w14:textId="77777777" w:rsidR="002C0FD9" w:rsidRPr="00CA25CF" w:rsidRDefault="002C0FD9" w:rsidP="00CA25CF">
            <w:pPr>
              <w:rPr>
                <w:rFonts w:cs="Arial"/>
                <w:color w:val="FF0000"/>
                <w:sz w:val="21"/>
                <w:szCs w:val="21"/>
              </w:rPr>
            </w:pPr>
          </w:p>
        </w:tc>
        <w:tc>
          <w:tcPr>
            <w:tcW w:w="217" w:type="dxa"/>
          </w:tcPr>
          <w:p w14:paraId="1B8AD602" w14:textId="77777777" w:rsidR="002C0FD9" w:rsidRPr="00CA25CF" w:rsidRDefault="002C0FD9" w:rsidP="00CA25CF">
            <w:pPr>
              <w:rPr>
                <w:rFonts w:cs="Arial"/>
                <w:color w:val="FF0000"/>
                <w:sz w:val="21"/>
                <w:szCs w:val="21"/>
              </w:rPr>
            </w:pPr>
          </w:p>
        </w:tc>
        <w:tc>
          <w:tcPr>
            <w:tcW w:w="217" w:type="dxa"/>
          </w:tcPr>
          <w:p w14:paraId="3840D368" w14:textId="77777777" w:rsidR="002C0FD9" w:rsidRPr="00CA25CF" w:rsidRDefault="002C0FD9" w:rsidP="00CA25CF">
            <w:pPr>
              <w:rPr>
                <w:rFonts w:cs="Arial"/>
                <w:color w:val="FF0000"/>
                <w:sz w:val="21"/>
                <w:szCs w:val="21"/>
              </w:rPr>
            </w:pPr>
          </w:p>
        </w:tc>
        <w:tc>
          <w:tcPr>
            <w:tcW w:w="217" w:type="dxa"/>
          </w:tcPr>
          <w:p w14:paraId="29FB1DF7" w14:textId="77777777" w:rsidR="002C0FD9" w:rsidRPr="00CA25CF" w:rsidRDefault="002C0FD9" w:rsidP="00CA25CF">
            <w:pPr>
              <w:rPr>
                <w:rFonts w:cs="Arial"/>
                <w:color w:val="FF0000"/>
                <w:sz w:val="21"/>
                <w:szCs w:val="21"/>
              </w:rPr>
            </w:pPr>
          </w:p>
        </w:tc>
        <w:tc>
          <w:tcPr>
            <w:tcW w:w="217" w:type="dxa"/>
          </w:tcPr>
          <w:p w14:paraId="21B956C3" w14:textId="77777777" w:rsidR="002C0FD9" w:rsidRPr="00CA25CF" w:rsidRDefault="002C0FD9" w:rsidP="00CA25CF">
            <w:pPr>
              <w:rPr>
                <w:rFonts w:cs="Arial"/>
                <w:color w:val="FF0000"/>
                <w:sz w:val="21"/>
                <w:szCs w:val="21"/>
              </w:rPr>
            </w:pPr>
          </w:p>
        </w:tc>
        <w:tc>
          <w:tcPr>
            <w:tcW w:w="217" w:type="dxa"/>
          </w:tcPr>
          <w:p w14:paraId="5E423BFF" w14:textId="77777777" w:rsidR="002C0FD9" w:rsidRPr="00CA25CF" w:rsidRDefault="002C0FD9" w:rsidP="00CA25CF">
            <w:pPr>
              <w:rPr>
                <w:rFonts w:cs="Arial"/>
                <w:color w:val="FF0000"/>
                <w:sz w:val="21"/>
                <w:szCs w:val="21"/>
              </w:rPr>
            </w:pPr>
          </w:p>
        </w:tc>
      </w:tr>
      <w:tr w:rsidR="002C0FD9" w:rsidRPr="00A16219" w14:paraId="4CD6E19D" w14:textId="77777777" w:rsidTr="002C0FD9">
        <w:trPr>
          <w:trHeight w:val="635"/>
        </w:trPr>
        <w:tc>
          <w:tcPr>
            <w:tcW w:w="515" w:type="dxa"/>
          </w:tcPr>
          <w:p w14:paraId="015E31AC" w14:textId="77777777" w:rsidR="002C0FD9" w:rsidRPr="00CA25CF" w:rsidRDefault="002C0FD9" w:rsidP="00CA25CF">
            <w:pPr>
              <w:rPr>
                <w:rFonts w:cs="Arial"/>
                <w:color w:val="FF0000"/>
                <w:sz w:val="21"/>
                <w:szCs w:val="21"/>
              </w:rPr>
            </w:pPr>
          </w:p>
        </w:tc>
        <w:tc>
          <w:tcPr>
            <w:tcW w:w="217" w:type="dxa"/>
          </w:tcPr>
          <w:p w14:paraId="15A4470A" w14:textId="77777777" w:rsidR="002C0FD9" w:rsidRPr="00CA25CF" w:rsidRDefault="002C0FD9" w:rsidP="00CA25CF">
            <w:pPr>
              <w:rPr>
                <w:rFonts w:cs="Arial"/>
                <w:color w:val="FF0000"/>
                <w:sz w:val="21"/>
                <w:szCs w:val="21"/>
              </w:rPr>
            </w:pPr>
          </w:p>
        </w:tc>
        <w:tc>
          <w:tcPr>
            <w:tcW w:w="217" w:type="dxa"/>
          </w:tcPr>
          <w:p w14:paraId="5A45FCE9" w14:textId="77777777" w:rsidR="002C0FD9" w:rsidRPr="00CA25CF" w:rsidRDefault="002C0FD9" w:rsidP="00CA25CF">
            <w:pPr>
              <w:rPr>
                <w:rFonts w:cs="Arial"/>
                <w:color w:val="FF0000"/>
                <w:sz w:val="21"/>
                <w:szCs w:val="21"/>
              </w:rPr>
            </w:pPr>
          </w:p>
        </w:tc>
        <w:tc>
          <w:tcPr>
            <w:tcW w:w="217" w:type="dxa"/>
          </w:tcPr>
          <w:p w14:paraId="4A04576A" w14:textId="77777777" w:rsidR="002C0FD9" w:rsidRPr="00CA25CF" w:rsidRDefault="002C0FD9" w:rsidP="00CA25CF">
            <w:pPr>
              <w:rPr>
                <w:rFonts w:cs="Arial"/>
                <w:color w:val="FF0000"/>
                <w:sz w:val="21"/>
                <w:szCs w:val="21"/>
              </w:rPr>
            </w:pPr>
          </w:p>
        </w:tc>
        <w:tc>
          <w:tcPr>
            <w:tcW w:w="217" w:type="dxa"/>
          </w:tcPr>
          <w:p w14:paraId="239A5ACC" w14:textId="77777777" w:rsidR="002C0FD9" w:rsidRPr="00CA25CF" w:rsidRDefault="002C0FD9" w:rsidP="00CA25CF">
            <w:pPr>
              <w:rPr>
                <w:rFonts w:cs="Arial"/>
                <w:color w:val="FF0000"/>
                <w:sz w:val="21"/>
                <w:szCs w:val="21"/>
              </w:rPr>
            </w:pPr>
          </w:p>
        </w:tc>
        <w:tc>
          <w:tcPr>
            <w:tcW w:w="217" w:type="dxa"/>
          </w:tcPr>
          <w:p w14:paraId="7399FD0D" w14:textId="77777777" w:rsidR="002C0FD9" w:rsidRPr="00CA25CF" w:rsidRDefault="002C0FD9" w:rsidP="00CA25CF">
            <w:pPr>
              <w:rPr>
                <w:rFonts w:cs="Arial"/>
                <w:color w:val="FF0000"/>
                <w:sz w:val="21"/>
                <w:szCs w:val="21"/>
              </w:rPr>
            </w:pPr>
          </w:p>
        </w:tc>
        <w:tc>
          <w:tcPr>
            <w:tcW w:w="217" w:type="dxa"/>
          </w:tcPr>
          <w:p w14:paraId="758DDDB8" w14:textId="77777777" w:rsidR="002C0FD9" w:rsidRPr="00CA25CF" w:rsidRDefault="002C0FD9" w:rsidP="00CA25CF">
            <w:pPr>
              <w:rPr>
                <w:rFonts w:cs="Arial"/>
                <w:color w:val="FF0000"/>
                <w:sz w:val="21"/>
                <w:szCs w:val="21"/>
              </w:rPr>
            </w:pPr>
          </w:p>
        </w:tc>
        <w:tc>
          <w:tcPr>
            <w:tcW w:w="217" w:type="dxa"/>
          </w:tcPr>
          <w:p w14:paraId="5E7FE1BD" w14:textId="77777777" w:rsidR="002C0FD9" w:rsidRPr="00CA25CF" w:rsidRDefault="002C0FD9" w:rsidP="00CA25CF">
            <w:pPr>
              <w:rPr>
                <w:rFonts w:cs="Arial"/>
                <w:color w:val="FF0000"/>
                <w:sz w:val="21"/>
                <w:szCs w:val="21"/>
              </w:rPr>
            </w:pPr>
          </w:p>
        </w:tc>
        <w:tc>
          <w:tcPr>
            <w:tcW w:w="217" w:type="dxa"/>
          </w:tcPr>
          <w:p w14:paraId="6B040046" w14:textId="77777777" w:rsidR="002C0FD9" w:rsidRPr="00CA25CF" w:rsidRDefault="002C0FD9" w:rsidP="00CA25CF">
            <w:pPr>
              <w:rPr>
                <w:rFonts w:cs="Arial"/>
                <w:color w:val="FF0000"/>
                <w:sz w:val="21"/>
                <w:szCs w:val="21"/>
              </w:rPr>
            </w:pPr>
          </w:p>
        </w:tc>
        <w:tc>
          <w:tcPr>
            <w:tcW w:w="217" w:type="dxa"/>
          </w:tcPr>
          <w:p w14:paraId="138B7DDC" w14:textId="77777777" w:rsidR="002C0FD9" w:rsidRPr="00CA25CF" w:rsidRDefault="002C0FD9" w:rsidP="00CA25CF">
            <w:pPr>
              <w:rPr>
                <w:rFonts w:cs="Arial"/>
                <w:color w:val="FF0000"/>
                <w:sz w:val="21"/>
                <w:szCs w:val="21"/>
              </w:rPr>
            </w:pPr>
          </w:p>
        </w:tc>
        <w:tc>
          <w:tcPr>
            <w:tcW w:w="217" w:type="dxa"/>
          </w:tcPr>
          <w:p w14:paraId="69682122" w14:textId="77777777" w:rsidR="002C0FD9" w:rsidRPr="00CA25CF" w:rsidRDefault="002C0FD9" w:rsidP="00CA25CF">
            <w:pPr>
              <w:rPr>
                <w:rFonts w:cs="Arial"/>
                <w:color w:val="FF0000"/>
                <w:sz w:val="21"/>
                <w:szCs w:val="21"/>
              </w:rPr>
            </w:pPr>
          </w:p>
        </w:tc>
        <w:tc>
          <w:tcPr>
            <w:tcW w:w="217" w:type="dxa"/>
          </w:tcPr>
          <w:p w14:paraId="5ACC08BD" w14:textId="77777777" w:rsidR="002C0FD9" w:rsidRPr="00CA25CF" w:rsidRDefault="002C0FD9" w:rsidP="00CA25CF">
            <w:pPr>
              <w:rPr>
                <w:rFonts w:cs="Arial"/>
                <w:color w:val="FF0000"/>
                <w:sz w:val="21"/>
                <w:szCs w:val="21"/>
              </w:rPr>
            </w:pPr>
          </w:p>
        </w:tc>
        <w:tc>
          <w:tcPr>
            <w:tcW w:w="217" w:type="dxa"/>
          </w:tcPr>
          <w:p w14:paraId="6078305F" w14:textId="77777777" w:rsidR="002C0FD9" w:rsidRPr="00CA25CF" w:rsidRDefault="002C0FD9" w:rsidP="00CA25CF">
            <w:pPr>
              <w:rPr>
                <w:rFonts w:cs="Arial"/>
                <w:color w:val="FF0000"/>
                <w:sz w:val="21"/>
                <w:szCs w:val="21"/>
              </w:rPr>
            </w:pPr>
          </w:p>
        </w:tc>
        <w:tc>
          <w:tcPr>
            <w:tcW w:w="217" w:type="dxa"/>
          </w:tcPr>
          <w:p w14:paraId="7DE4940F" w14:textId="77777777" w:rsidR="002C0FD9" w:rsidRPr="00CA25CF" w:rsidRDefault="002C0FD9" w:rsidP="00CA25CF">
            <w:pPr>
              <w:rPr>
                <w:rFonts w:cs="Arial"/>
                <w:color w:val="FF0000"/>
                <w:sz w:val="21"/>
                <w:szCs w:val="21"/>
              </w:rPr>
            </w:pPr>
          </w:p>
        </w:tc>
        <w:tc>
          <w:tcPr>
            <w:tcW w:w="217" w:type="dxa"/>
          </w:tcPr>
          <w:p w14:paraId="451104B3" w14:textId="77777777" w:rsidR="002C0FD9" w:rsidRPr="00CA25CF" w:rsidRDefault="002C0FD9" w:rsidP="00CA25CF">
            <w:pPr>
              <w:rPr>
                <w:rFonts w:cs="Arial"/>
                <w:color w:val="FF0000"/>
                <w:sz w:val="21"/>
                <w:szCs w:val="21"/>
              </w:rPr>
            </w:pPr>
          </w:p>
        </w:tc>
        <w:tc>
          <w:tcPr>
            <w:tcW w:w="217" w:type="dxa"/>
          </w:tcPr>
          <w:p w14:paraId="38EE2D9B" w14:textId="77777777" w:rsidR="002C0FD9" w:rsidRPr="00CA25CF" w:rsidRDefault="002C0FD9" w:rsidP="00CA25CF">
            <w:pPr>
              <w:rPr>
                <w:rFonts w:cs="Arial"/>
                <w:color w:val="FF0000"/>
                <w:sz w:val="21"/>
                <w:szCs w:val="21"/>
              </w:rPr>
            </w:pPr>
          </w:p>
        </w:tc>
        <w:tc>
          <w:tcPr>
            <w:tcW w:w="217" w:type="dxa"/>
          </w:tcPr>
          <w:p w14:paraId="24586056" w14:textId="77777777" w:rsidR="002C0FD9" w:rsidRPr="00CA25CF" w:rsidRDefault="002C0FD9" w:rsidP="00CA25CF">
            <w:pPr>
              <w:rPr>
                <w:rFonts w:cs="Arial"/>
                <w:color w:val="FF0000"/>
                <w:sz w:val="21"/>
                <w:szCs w:val="21"/>
              </w:rPr>
            </w:pPr>
          </w:p>
        </w:tc>
        <w:tc>
          <w:tcPr>
            <w:tcW w:w="217" w:type="dxa"/>
          </w:tcPr>
          <w:p w14:paraId="6D749297" w14:textId="77777777" w:rsidR="002C0FD9" w:rsidRPr="00CA25CF" w:rsidRDefault="002C0FD9" w:rsidP="00CA25CF">
            <w:pPr>
              <w:rPr>
                <w:rFonts w:cs="Arial"/>
                <w:color w:val="FF0000"/>
                <w:sz w:val="21"/>
                <w:szCs w:val="21"/>
              </w:rPr>
            </w:pPr>
          </w:p>
        </w:tc>
        <w:tc>
          <w:tcPr>
            <w:tcW w:w="217" w:type="dxa"/>
          </w:tcPr>
          <w:p w14:paraId="2C289268" w14:textId="77777777" w:rsidR="002C0FD9" w:rsidRPr="00CA25CF" w:rsidRDefault="002C0FD9" w:rsidP="00CA25CF">
            <w:pPr>
              <w:rPr>
                <w:rFonts w:cs="Arial"/>
                <w:color w:val="FF0000"/>
                <w:sz w:val="21"/>
                <w:szCs w:val="21"/>
              </w:rPr>
            </w:pPr>
          </w:p>
        </w:tc>
        <w:tc>
          <w:tcPr>
            <w:tcW w:w="217" w:type="dxa"/>
          </w:tcPr>
          <w:p w14:paraId="2B857AAC" w14:textId="77777777" w:rsidR="002C0FD9" w:rsidRPr="00CA25CF" w:rsidRDefault="002C0FD9" w:rsidP="00CA25CF">
            <w:pPr>
              <w:rPr>
                <w:rFonts w:cs="Arial"/>
                <w:color w:val="FF0000"/>
                <w:sz w:val="21"/>
                <w:szCs w:val="21"/>
              </w:rPr>
            </w:pPr>
          </w:p>
        </w:tc>
        <w:tc>
          <w:tcPr>
            <w:tcW w:w="217" w:type="dxa"/>
          </w:tcPr>
          <w:p w14:paraId="3ABFD8A0" w14:textId="77777777" w:rsidR="002C0FD9" w:rsidRPr="00CA25CF" w:rsidRDefault="002C0FD9" w:rsidP="00CA25CF">
            <w:pPr>
              <w:rPr>
                <w:rFonts w:cs="Arial"/>
                <w:color w:val="FF0000"/>
                <w:sz w:val="21"/>
                <w:szCs w:val="21"/>
              </w:rPr>
            </w:pPr>
          </w:p>
        </w:tc>
        <w:tc>
          <w:tcPr>
            <w:tcW w:w="217" w:type="dxa"/>
          </w:tcPr>
          <w:p w14:paraId="6CE6382E" w14:textId="77777777" w:rsidR="002C0FD9" w:rsidRPr="00CA25CF" w:rsidRDefault="002C0FD9" w:rsidP="00CA25CF">
            <w:pPr>
              <w:rPr>
                <w:rFonts w:cs="Arial"/>
                <w:color w:val="FF0000"/>
                <w:sz w:val="21"/>
                <w:szCs w:val="21"/>
              </w:rPr>
            </w:pPr>
          </w:p>
        </w:tc>
        <w:tc>
          <w:tcPr>
            <w:tcW w:w="217" w:type="dxa"/>
          </w:tcPr>
          <w:p w14:paraId="5706368B" w14:textId="77777777" w:rsidR="002C0FD9" w:rsidRPr="00CA25CF" w:rsidRDefault="002C0FD9" w:rsidP="00CA25CF">
            <w:pPr>
              <w:rPr>
                <w:rFonts w:cs="Arial"/>
                <w:color w:val="FF0000"/>
                <w:sz w:val="21"/>
                <w:szCs w:val="21"/>
              </w:rPr>
            </w:pPr>
          </w:p>
        </w:tc>
        <w:tc>
          <w:tcPr>
            <w:tcW w:w="217" w:type="dxa"/>
          </w:tcPr>
          <w:p w14:paraId="246759AD" w14:textId="77777777" w:rsidR="002C0FD9" w:rsidRPr="00CA25CF" w:rsidRDefault="002C0FD9" w:rsidP="00CA25CF">
            <w:pPr>
              <w:rPr>
                <w:rFonts w:cs="Arial"/>
                <w:color w:val="FF0000"/>
                <w:sz w:val="21"/>
                <w:szCs w:val="21"/>
              </w:rPr>
            </w:pPr>
          </w:p>
        </w:tc>
        <w:tc>
          <w:tcPr>
            <w:tcW w:w="217" w:type="dxa"/>
          </w:tcPr>
          <w:p w14:paraId="2BE7F9E5" w14:textId="77777777" w:rsidR="002C0FD9" w:rsidRPr="00CA25CF" w:rsidRDefault="002C0FD9" w:rsidP="00CA25CF">
            <w:pPr>
              <w:rPr>
                <w:rFonts w:cs="Arial"/>
                <w:color w:val="FF0000"/>
                <w:sz w:val="21"/>
                <w:szCs w:val="21"/>
              </w:rPr>
            </w:pPr>
          </w:p>
        </w:tc>
        <w:tc>
          <w:tcPr>
            <w:tcW w:w="217" w:type="dxa"/>
          </w:tcPr>
          <w:p w14:paraId="7D6A9AEF" w14:textId="77777777" w:rsidR="002C0FD9" w:rsidRPr="00CA25CF" w:rsidRDefault="002C0FD9" w:rsidP="00CA25CF">
            <w:pPr>
              <w:rPr>
                <w:rFonts w:cs="Arial"/>
                <w:color w:val="FF0000"/>
                <w:sz w:val="21"/>
                <w:szCs w:val="21"/>
              </w:rPr>
            </w:pPr>
          </w:p>
        </w:tc>
        <w:tc>
          <w:tcPr>
            <w:tcW w:w="217" w:type="dxa"/>
          </w:tcPr>
          <w:p w14:paraId="7DC6AD5E" w14:textId="77777777" w:rsidR="002C0FD9" w:rsidRPr="00CA25CF" w:rsidRDefault="002C0FD9" w:rsidP="00CA25CF">
            <w:pPr>
              <w:rPr>
                <w:rFonts w:cs="Arial"/>
                <w:color w:val="FF0000"/>
                <w:sz w:val="21"/>
                <w:szCs w:val="21"/>
              </w:rPr>
            </w:pPr>
          </w:p>
        </w:tc>
        <w:tc>
          <w:tcPr>
            <w:tcW w:w="217" w:type="dxa"/>
          </w:tcPr>
          <w:p w14:paraId="49F5FA97" w14:textId="77777777" w:rsidR="002C0FD9" w:rsidRPr="00CA25CF" w:rsidRDefault="002C0FD9" w:rsidP="00CA25CF">
            <w:pPr>
              <w:rPr>
                <w:rFonts w:cs="Arial"/>
                <w:color w:val="FF0000"/>
                <w:sz w:val="21"/>
                <w:szCs w:val="21"/>
              </w:rPr>
            </w:pPr>
          </w:p>
        </w:tc>
        <w:tc>
          <w:tcPr>
            <w:tcW w:w="217" w:type="dxa"/>
          </w:tcPr>
          <w:p w14:paraId="7C9B4E0A" w14:textId="77777777" w:rsidR="002C0FD9" w:rsidRPr="00CA25CF" w:rsidRDefault="002C0FD9" w:rsidP="00CA25CF">
            <w:pPr>
              <w:rPr>
                <w:rFonts w:cs="Arial"/>
                <w:color w:val="FF0000"/>
                <w:sz w:val="21"/>
                <w:szCs w:val="21"/>
              </w:rPr>
            </w:pPr>
          </w:p>
        </w:tc>
        <w:tc>
          <w:tcPr>
            <w:tcW w:w="217" w:type="dxa"/>
          </w:tcPr>
          <w:p w14:paraId="6D0DD801" w14:textId="77777777" w:rsidR="002C0FD9" w:rsidRPr="00CA25CF" w:rsidRDefault="002C0FD9" w:rsidP="00CA25CF">
            <w:pPr>
              <w:rPr>
                <w:rFonts w:cs="Arial"/>
                <w:color w:val="FF0000"/>
                <w:sz w:val="21"/>
                <w:szCs w:val="21"/>
              </w:rPr>
            </w:pPr>
          </w:p>
        </w:tc>
        <w:tc>
          <w:tcPr>
            <w:tcW w:w="217" w:type="dxa"/>
          </w:tcPr>
          <w:p w14:paraId="4724A0AA" w14:textId="77777777" w:rsidR="002C0FD9" w:rsidRPr="00CA25CF" w:rsidRDefault="002C0FD9" w:rsidP="00CA25CF">
            <w:pPr>
              <w:rPr>
                <w:rFonts w:cs="Arial"/>
                <w:color w:val="FF0000"/>
                <w:sz w:val="21"/>
                <w:szCs w:val="21"/>
              </w:rPr>
            </w:pPr>
          </w:p>
        </w:tc>
        <w:tc>
          <w:tcPr>
            <w:tcW w:w="217" w:type="dxa"/>
          </w:tcPr>
          <w:p w14:paraId="63346ECD" w14:textId="77777777" w:rsidR="002C0FD9" w:rsidRPr="00CA25CF" w:rsidRDefault="002C0FD9" w:rsidP="00CA25CF">
            <w:pPr>
              <w:rPr>
                <w:rFonts w:cs="Arial"/>
                <w:color w:val="FF0000"/>
                <w:sz w:val="21"/>
                <w:szCs w:val="21"/>
              </w:rPr>
            </w:pPr>
          </w:p>
        </w:tc>
        <w:tc>
          <w:tcPr>
            <w:tcW w:w="217" w:type="dxa"/>
          </w:tcPr>
          <w:p w14:paraId="6D8B8E87" w14:textId="77777777" w:rsidR="002C0FD9" w:rsidRPr="00CA25CF" w:rsidRDefault="002C0FD9" w:rsidP="00CA25CF">
            <w:pPr>
              <w:rPr>
                <w:rFonts w:cs="Arial"/>
                <w:color w:val="FF0000"/>
                <w:sz w:val="21"/>
                <w:szCs w:val="21"/>
              </w:rPr>
            </w:pPr>
          </w:p>
        </w:tc>
        <w:tc>
          <w:tcPr>
            <w:tcW w:w="217" w:type="dxa"/>
          </w:tcPr>
          <w:p w14:paraId="1DE7CC01" w14:textId="77777777" w:rsidR="002C0FD9" w:rsidRPr="00CA25CF" w:rsidRDefault="002C0FD9" w:rsidP="00CA25CF">
            <w:pPr>
              <w:rPr>
                <w:rFonts w:cs="Arial"/>
                <w:color w:val="FF0000"/>
                <w:sz w:val="21"/>
                <w:szCs w:val="21"/>
              </w:rPr>
            </w:pPr>
          </w:p>
        </w:tc>
        <w:tc>
          <w:tcPr>
            <w:tcW w:w="217" w:type="dxa"/>
          </w:tcPr>
          <w:p w14:paraId="6089F8AF" w14:textId="77777777" w:rsidR="002C0FD9" w:rsidRPr="00CA25CF" w:rsidRDefault="002C0FD9" w:rsidP="00CA25CF">
            <w:pPr>
              <w:rPr>
                <w:rFonts w:cs="Arial"/>
                <w:color w:val="FF0000"/>
                <w:sz w:val="21"/>
                <w:szCs w:val="21"/>
              </w:rPr>
            </w:pPr>
          </w:p>
        </w:tc>
        <w:tc>
          <w:tcPr>
            <w:tcW w:w="217" w:type="dxa"/>
          </w:tcPr>
          <w:p w14:paraId="281645DD" w14:textId="77777777" w:rsidR="002C0FD9" w:rsidRPr="00CA25CF" w:rsidRDefault="002C0FD9" w:rsidP="00CA25CF">
            <w:pPr>
              <w:rPr>
                <w:rFonts w:cs="Arial"/>
                <w:color w:val="FF0000"/>
                <w:sz w:val="21"/>
                <w:szCs w:val="21"/>
              </w:rPr>
            </w:pPr>
          </w:p>
        </w:tc>
        <w:tc>
          <w:tcPr>
            <w:tcW w:w="217" w:type="dxa"/>
          </w:tcPr>
          <w:p w14:paraId="79830586" w14:textId="77777777" w:rsidR="002C0FD9" w:rsidRPr="00CA25CF" w:rsidRDefault="002C0FD9" w:rsidP="00CA25CF">
            <w:pPr>
              <w:rPr>
                <w:rFonts w:cs="Arial"/>
                <w:color w:val="FF0000"/>
                <w:sz w:val="21"/>
                <w:szCs w:val="21"/>
              </w:rPr>
            </w:pPr>
          </w:p>
        </w:tc>
        <w:tc>
          <w:tcPr>
            <w:tcW w:w="217" w:type="dxa"/>
          </w:tcPr>
          <w:p w14:paraId="3277E881" w14:textId="77777777" w:rsidR="002C0FD9" w:rsidRPr="00CA25CF" w:rsidRDefault="002C0FD9" w:rsidP="00CA25CF">
            <w:pPr>
              <w:rPr>
                <w:rFonts w:cs="Arial"/>
                <w:color w:val="FF0000"/>
                <w:sz w:val="21"/>
                <w:szCs w:val="21"/>
              </w:rPr>
            </w:pPr>
          </w:p>
        </w:tc>
        <w:tc>
          <w:tcPr>
            <w:tcW w:w="217" w:type="dxa"/>
          </w:tcPr>
          <w:p w14:paraId="3D1F7C3F" w14:textId="77777777" w:rsidR="002C0FD9" w:rsidRPr="00CA25CF" w:rsidRDefault="002C0FD9" w:rsidP="00CA25CF">
            <w:pPr>
              <w:rPr>
                <w:rFonts w:cs="Arial"/>
                <w:color w:val="FF0000"/>
                <w:sz w:val="21"/>
                <w:szCs w:val="21"/>
              </w:rPr>
            </w:pPr>
          </w:p>
        </w:tc>
        <w:tc>
          <w:tcPr>
            <w:tcW w:w="217" w:type="dxa"/>
          </w:tcPr>
          <w:p w14:paraId="7BEE5F7D" w14:textId="77777777" w:rsidR="002C0FD9" w:rsidRPr="00CA25CF" w:rsidRDefault="002C0FD9" w:rsidP="00CA25CF">
            <w:pPr>
              <w:rPr>
                <w:rFonts w:cs="Arial"/>
                <w:color w:val="FF0000"/>
                <w:sz w:val="21"/>
                <w:szCs w:val="21"/>
              </w:rPr>
            </w:pPr>
          </w:p>
        </w:tc>
        <w:tc>
          <w:tcPr>
            <w:tcW w:w="217" w:type="dxa"/>
          </w:tcPr>
          <w:p w14:paraId="02D2401D" w14:textId="77777777" w:rsidR="002C0FD9" w:rsidRPr="00CA25CF" w:rsidRDefault="002C0FD9" w:rsidP="00CA25CF">
            <w:pPr>
              <w:rPr>
                <w:rFonts w:cs="Arial"/>
                <w:color w:val="FF0000"/>
                <w:sz w:val="21"/>
                <w:szCs w:val="21"/>
              </w:rPr>
            </w:pPr>
          </w:p>
        </w:tc>
        <w:tc>
          <w:tcPr>
            <w:tcW w:w="217" w:type="dxa"/>
          </w:tcPr>
          <w:p w14:paraId="56F25C32" w14:textId="77777777" w:rsidR="002C0FD9" w:rsidRPr="00CA25CF" w:rsidRDefault="002C0FD9" w:rsidP="00CA25CF">
            <w:pPr>
              <w:rPr>
                <w:rFonts w:cs="Arial"/>
                <w:color w:val="FF0000"/>
                <w:sz w:val="21"/>
                <w:szCs w:val="21"/>
              </w:rPr>
            </w:pPr>
          </w:p>
        </w:tc>
        <w:tc>
          <w:tcPr>
            <w:tcW w:w="217" w:type="dxa"/>
          </w:tcPr>
          <w:p w14:paraId="2AC7C4D5" w14:textId="77777777" w:rsidR="002C0FD9" w:rsidRPr="00CA25CF" w:rsidRDefault="002C0FD9" w:rsidP="00CA25CF">
            <w:pPr>
              <w:rPr>
                <w:rFonts w:cs="Arial"/>
                <w:color w:val="FF0000"/>
                <w:sz w:val="21"/>
                <w:szCs w:val="21"/>
              </w:rPr>
            </w:pPr>
          </w:p>
        </w:tc>
      </w:tr>
      <w:tr w:rsidR="002C0FD9" w:rsidRPr="00A16219" w14:paraId="296BFB8A" w14:textId="77777777" w:rsidTr="002C0FD9">
        <w:trPr>
          <w:trHeight w:val="635"/>
        </w:trPr>
        <w:tc>
          <w:tcPr>
            <w:tcW w:w="515" w:type="dxa"/>
          </w:tcPr>
          <w:p w14:paraId="6A9A33C0" w14:textId="77777777" w:rsidR="002C0FD9" w:rsidRPr="00CA25CF" w:rsidRDefault="002C0FD9" w:rsidP="00CA25CF">
            <w:pPr>
              <w:rPr>
                <w:rFonts w:cs="Arial"/>
                <w:color w:val="FF0000"/>
                <w:sz w:val="21"/>
                <w:szCs w:val="21"/>
              </w:rPr>
            </w:pPr>
          </w:p>
        </w:tc>
        <w:tc>
          <w:tcPr>
            <w:tcW w:w="217" w:type="dxa"/>
          </w:tcPr>
          <w:p w14:paraId="38C04649" w14:textId="77777777" w:rsidR="002C0FD9" w:rsidRPr="00CA25CF" w:rsidRDefault="002C0FD9" w:rsidP="00CA25CF">
            <w:pPr>
              <w:rPr>
                <w:rFonts w:cs="Arial"/>
                <w:color w:val="FF0000"/>
                <w:sz w:val="21"/>
                <w:szCs w:val="21"/>
              </w:rPr>
            </w:pPr>
          </w:p>
        </w:tc>
        <w:tc>
          <w:tcPr>
            <w:tcW w:w="217" w:type="dxa"/>
          </w:tcPr>
          <w:p w14:paraId="435529D3" w14:textId="77777777" w:rsidR="002C0FD9" w:rsidRPr="00CA25CF" w:rsidRDefault="002C0FD9" w:rsidP="00CA25CF">
            <w:pPr>
              <w:rPr>
                <w:rFonts w:cs="Arial"/>
                <w:color w:val="FF0000"/>
                <w:sz w:val="21"/>
                <w:szCs w:val="21"/>
              </w:rPr>
            </w:pPr>
          </w:p>
        </w:tc>
        <w:tc>
          <w:tcPr>
            <w:tcW w:w="217" w:type="dxa"/>
          </w:tcPr>
          <w:p w14:paraId="35324C2F" w14:textId="77777777" w:rsidR="002C0FD9" w:rsidRPr="00CA25CF" w:rsidRDefault="002C0FD9" w:rsidP="00CA25CF">
            <w:pPr>
              <w:rPr>
                <w:rFonts w:cs="Arial"/>
                <w:color w:val="FF0000"/>
                <w:sz w:val="21"/>
                <w:szCs w:val="21"/>
              </w:rPr>
            </w:pPr>
          </w:p>
        </w:tc>
        <w:tc>
          <w:tcPr>
            <w:tcW w:w="217" w:type="dxa"/>
          </w:tcPr>
          <w:p w14:paraId="65A17A51" w14:textId="77777777" w:rsidR="002C0FD9" w:rsidRPr="00CA25CF" w:rsidRDefault="002C0FD9" w:rsidP="00CA25CF">
            <w:pPr>
              <w:rPr>
                <w:rFonts w:cs="Arial"/>
                <w:color w:val="FF0000"/>
                <w:sz w:val="21"/>
                <w:szCs w:val="21"/>
              </w:rPr>
            </w:pPr>
          </w:p>
        </w:tc>
        <w:tc>
          <w:tcPr>
            <w:tcW w:w="217" w:type="dxa"/>
          </w:tcPr>
          <w:p w14:paraId="7EDE6E0F" w14:textId="77777777" w:rsidR="002C0FD9" w:rsidRPr="00CA25CF" w:rsidRDefault="002C0FD9" w:rsidP="00CA25CF">
            <w:pPr>
              <w:rPr>
                <w:rFonts w:cs="Arial"/>
                <w:color w:val="FF0000"/>
                <w:sz w:val="21"/>
                <w:szCs w:val="21"/>
              </w:rPr>
            </w:pPr>
          </w:p>
        </w:tc>
        <w:tc>
          <w:tcPr>
            <w:tcW w:w="217" w:type="dxa"/>
          </w:tcPr>
          <w:p w14:paraId="36312039" w14:textId="77777777" w:rsidR="002C0FD9" w:rsidRPr="00CA25CF" w:rsidRDefault="002C0FD9" w:rsidP="00CA25CF">
            <w:pPr>
              <w:rPr>
                <w:rFonts w:cs="Arial"/>
                <w:color w:val="FF0000"/>
                <w:sz w:val="21"/>
                <w:szCs w:val="21"/>
              </w:rPr>
            </w:pPr>
          </w:p>
        </w:tc>
        <w:tc>
          <w:tcPr>
            <w:tcW w:w="217" w:type="dxa"/>
          </w:tcPr>
          <w:p w14:paraId="15ADFE68" w14:textId="77777777" w:rsidR="002C0FD9" w:rsidRPr="00CA25CF" w:rsidRDefault="002C0FD9" w:rsidP="00CA25CF">
            <w:pPr>
              <w:rPr>
                <w:rFonts w:cs="Arial"/>
                <w:color w:val="FF0000"/>
                <w:sz w:val="21"/>
                <w:szCs w:val="21"/>
              </w:rPr>
            </w:pPr>
          </w:p>
        </w:tc>
        <w:tc>
          <w:tcPr>
            <w:tcW w:w="217" w:type="dxa"/>
          </w:tcPr>
          <w:p w14:paraId="4F058B23" w14:textId="77777777" w:rsidR="002C0FD9" w:rsidRPr="00CA25CF" w:rsidRDefault="002C0FD9" w:rsidP="00CA25CF">
            <w:pPr>
              <w:rPr>
                <w:rFonts w:cs="Arial"/>
                <w:color w:val="FF0000"/>
                <w:sz w:val="21"/>
                <w:szCs w:val="21"/>
              </w:rPr>
            </w:pPr>
          </w:p>
        </w:tc>
        <w:tc>
          <w:tcPr>
            <w:tcW w:w="217" w:type="dxa"/>
          </w:tcPr>
          <w:p w14:paraId="22B78FC3" w14:textId="77777777" w:rsidR="002C0FD9" w:rsidRPr="00CA25CF" w:rsidRDefault="002C0FD9" w:rsidP="00CA25CF">
            <w:pPr>
              <w:rPr>
                <w:rFonts w:cs="Arial"/>
                <w:color w:val="FF0000"/>
                <w:sz w:val="21"/>
                <w:szCs w:val="21"/>
              </w:rPr>
            </w:pPr>
          </w:p>
        </w:tc>
        <w:tc>
          <w:tcPr>
            <w:tcW w:w="217" w:type="dxa"/>
          </w:tcPr>
          <w:p w14:paraId="771301B4" w14:textId="77777777" w:rsidR="002C0FD9" w:rsidRPr="00CA25CF" w:rsidRDefault="002C0FD9" w:rsidP="00CA25CF">
            <w:pPr>
              <w:rPr>
                <w:rFonts w:cs="Arial"/>
                <w:color w:val="FF0000"/>
                <w:sz w:val="21"/>
                <w:szCs w:val="21"/>
              </w:rPr>
            </w:pPr>
          </w:p>
        </w:tc>
        <w:tc>
          <w:tcPr>
            <w:tcW w:w="217" w:type="dxa"/>
          </w:tcPr>
          <w:p w14:paraId="2F355CBD" w14:textId="77777777" w:rsidR="002C0FD9" w:rsidRPr="00CA25CF" w:rsidRDefault="002C0FD9" w:rsidP="00CA25CF">
            <w:pPr>
              <w:rPr>
                <w:rFonts w:cs="Arial"/>
                <w:color w:val="FF0000"/>
                <w:sz w:val="21"/>
                <w:szCs w:val="21"/>
              </w:rPr>
            </w:pPr>
          </w:p>
        </w:tc>
        <w:tc>
          <w:tcPr>
            <w:tcW w:w="217" w:type="dxa"/>
          </w:tcPr>
          <w:p w14:paraId="2D338C5D" w14:textId="77777777" w:rsidR="002C0FD9" w:rsidRPr="00CA25CF" w:rsidRDefault="002C0FD9" w:rsidP="00CA25CF">
            <w:pPr>
              <w:rPr>
                <w:rFonts w:cs="Arial"/>
                <w:color w:val="FF0000"/>
                <w:sz w:val="21"/>
                <w:szCs w:val="21"/>
              </w:rPr>
            </w:pPr>
          </w:p>
        </w:tc>
        <w:tc>
          <w:tcPr>
            <w:tcW w:w="217" w:type="dxa"/>
          </w:tcPr>
          <w:p w14:paraId="2D9C8D20" w14:textId="77777777" w:rsidR="002C0FD9" w:rsidRPr="00CA25CF" w:rsidRDefault="002C0FD9" w:rsidP="00CA25CF">
            <w:pPr>
              <w:rPr>
                <w:rFonts w:cs="Arial"/>
                <w:color w:val="FF0000"/>
                <w:sz w:val="21"/>
                <w:szCs w:val="21"/>
              </w:rPr>
            </w:pPr>
          </w:p>
        </w:tc>
        <w:tc>
          <w:tcPr>
            <w:tcW w:w="217" w:type="dxa"/>
          </w:tcPr>
          <w:p w14:paraId="69DEC716" w14:textId="77777777" w:rsidR="002C0FD9" w:rsidRPr="00CA25CF" w:rsidRDefault="002C0FD9" w:rsidP="00CA25CF">
            <w:pPr>
              <w:rPr>
                <w:rFonts w:cs="Arial"/>
                <w:color w:val="FF0000"/>
                <w:sz w:val="21"/>
                <w:szCs w:val="21"/>
              </w:rPr>
            </w:pPr>
          </w:p>
        </w:tc>
        <w:tc>
          <w:tcPr>
            <w:tcW w:w="217" w:type="dxa"/>
          </w:tcPr>
          <w:p w14:paraId="22887541" w14:textId="77777777" w:rsidR="002C0FD9" w:rsidRPr="00CA25CF" w:rsidRDefault="002C0FD9" w:rsidP="00CA25CF">
            <w:pPr>
              <w:rPr>
                <w:rFonts w:cs="Arial"/>
                <w:color w:val="FF0000"/>
                <w:sz w:val="21"/>
                <w:szCs w:val="21"/>
              </w:rPr>
            </w:pPr>
          </w:p>
        </w:tc>
        <w:tc>
          <w:tcPr>
            <w:tcW w:w="217" w:type="dxa"/>
          </w:tcPr>
          <w:p w14:paraId="6807056B" w14:textId="77777777" w:rsidR="002C0FD9" w:rsidRPr="00CA25CF" w:rsidRDefault="002C0FD9" w:rsidP="00CA25CF">
            <w:pPr>
              <w:rPr>
                <w:rFonts w:cs="Arial"/>
                <w:color w:val="FF0000"/>
                <w:sz w:val="21"/>
                <w:szCs w:val="21"/>
              </w:rPr>
            </w:pPr>
          </w:p>
        </w:tc>
        <w:tc>
          <w:tcPr>
            <w:tcW w:w="217" w:type="dxa"/>
          </w:tcPr>
          <w:p w14:paraId="7067CCA9" w14:textId="77777777" w:rsidR="002C0FD9" w:rsidRPr="00CA25CF" w:rsidRDefault="002C0FD9" w:rsidP="00CA25CF">
            <w:pPr>
              <w:rPr>
                <w:rFonts w:cs="Arial"/>
                <w:color w:val="FF0000"/>
                <w:sz w:val="21"/>
                <w:szCs w:val="21"/>
              </w:rPr>
            </w:pPr>
          </w:p>
        </w:tc>
        <w:tc>
          <w:tcPr>
            <w:tcW w:w="217" w:type="dxa"/>
          </w:tcPr>
          <w:p w14:paraId="592353B9" w14:textId="77777777" w:rsidR="002C0FD9" w:rsidRPr="00CA25CF" w:rsidRDefault="002C0FD9" w:rsidP="00CA25CF">
            <w:pPr>
              <w:rPr>
                <w:rFonts w:cs="Arial"/>
                <w:color w:val="FF0000"/>
                <w:sz w:val="21"/>
                <w:szCs w:val="21"/>
              </w:rPr>
            </w:pPr>
          </w:p>
        </w:tc>
        <w:tc>
          <w:tcPr>
            <w:tcW w:w="217" w:type="dxa"/>
          </w:tcPr>
          <w:p w14:paraId="3B4FC270" w14:textId="77777777" w:rsidR="002C0FD9" w:rsidRPr="00CA25CF" w:rsidRDefault="002C0FD9" w:rsidP="00CA25CF">
            <w:pPr>
              <w:rPr>
                <w:rFonts w:cs="Arial"/>
                <w:color w:val="FF0000"/>
                <w:sz w:val="21"/>
                <w:szCs w:val="21"/>
              </w:rPr>
            </w:pPr>
          </w:p>
        </w:tc>
        <w:tc>
          <w:tcPr>
            <w:tcW w:w="217" w:type="dxa"/>
          </w:tcPr>
          <w:p w14:paraId="7DE3218B" w14:textId="77777777" w:rsidR="002C0FD9" w:rsidRPr="00CA25CF" w:rsidRDefault="002C0FD9" w:rsidP="00CA25CF">
            <w:pPr>
              <w:rPr>
                <w:rFonts w:cs="Arial"/>
                <w:color w:val="FF0000"/>
                <w:sz w:val="21"/>
                <w:szCs w:val="21"/>
              </w:rPr>
            </w:pPr>
          </w:p>
        </w:tc>
        <w:tc>
          <w:tcPr>
            <w:tcW w:w="217" w:type="dxa"/>
          </w:tcPr>
          <w:p w14:paraId="0D8AD00E" w14:textId="77777777" w:rsidR="002C0FD9" w:rsidRPr="00CA25CF" w:rsidRDefault="002C0FD9" w:rsidP="00CA25CF">
            <w:pPr>
              <w:rPr>
                <w:rFonts w:cs="Arial"/>
                <w:color w:val="FF0000"/>
                <w:sz w:val="21"/>
                <w:szCs w:val="21"/>
              </w:rPr>
            </w:pPr>
          </w:p>
        </w:tc>
        <w:tc>
          <w:tcPr>
            <w:tcW w:w="217" w:type="dxa"/>
          </w:tcPr>
          <w:p w14:paraId="215C549F" w14:textId="77777777" w:rsidR="002C0FD9" w:rsidRPr="00CA25CF" w:rsidRDefault="002C0FD9" w:rsidP="00CA25CF">
            <w:pPr>
              <w:rPr>
                <w:rFonts w:cs="Arial"/>
                <w:color w:val="FF0000"/>
                <w:sz w:val="21"/>
                <w:szCs w:val="21"/>
              </w:rPr>
            </w:pPr>
          </w:p>
        </w:tc>
        <w:tc>
          <w:tcPr>
            <w:tcW w:w="217" w:type="dxa"/>
          </w:tcPr>
          <w:p w14:paraId="6E271FB1" w14:textId="77777777" w:rsidR="002C0FD9" w:rsidRPr="00CA25CF" w:rsidRDefault="002C0FD9" w:rsidP="00CA25CF">
            <w:pPr>
              <w:rPr>
                <w:rFonts w:cs="Arial"/>
                <w:color w:val="FF0000"/>
                <w:sz w:val="21"/>
                <w:szCs w:val="21"/>
              </w:rPr>
            </w:pPr>
          </w:p>
        </w:tc>
        <w:tc>
          <w:tcPr>
            <w:tcW w:w="217" w:type="dxa"/>
          </w:tcPr>
          <w:p w14:paraId="6DF7B186" w14:textId="77777777" w:rsidR="002C0FD9" w:rsidRPr="00CA25CF" w:rsidRDefault="002C0FD9" w:rsidP="00CA25CF">
            <w:pPr>
              <w:rPr>
                <w:rFonts w:cs="Arial"/>
                <w:color w:val="FF0000"/>
                <w:sz w:val="21"/>
                <w:szCs w:val="21"/>
              </w:rPr>
            </w:pPr>
          </w:p>
        </w:tc>
        <w:tc>
          <w:tcPr>
            <w:tcW w:w="217" w:type="dxa"/>
          </w:tcPr>
          <w:p w14:paraId="526254FE" w14:textId="77777777" w:rsidR="002C0FD9" w:rsidRPr="00CA25CF" w:rsidRDefault="002C0FD9" w:rsidP="00CA25CF">
            <w:pPr>
              <w:rPr>
                <w:rFonts w:cs="Arial"/>
                <w:color w:val="FF0000"/>
                <w:sz w:val="21"/>
                <w:szCs w:val="21"/>
              </w:rPr>
            </w:pPr>
          </w:p>
        </w:tc>
        <w:tc>
          <w:tcPr>
            <w:tcW w:w="217" w:type="dxa"/>
          </w:tcPr>
          <w:p w14:paraId="21638318" w14:textId="77777777" w:rsidR="002C0FD9" w:rsidRPr="00CA25CF" w:rsidRDefault="002C0FD9" w:rsidP="00CA25CF">
            <w:pPr>
              <w:rPr>
                <w:rFonts w:cs="Arial"/>
                <w:color w:val="FF0000"/>
                <w:sz w:val="21"/>
                <w:szCs w:val="21"/>
              </w:rPr>
            </w:pPr>
          </w:p>
        </w:tc>
        <w:tc>
          <w:tcPr>
            <w:tcW w:w="217" w:type="dxa"/>
          </w:tcPr>
          <w:p w14:paraId="01A8FC00" w14:textId="77777777" w:rsidR="002C0FD9" w:rsidRPr="00CA25CF" w:rsidRDefault="002C0FD9" w:rsidP="00CA25CF">
            <w:pPr>
              <w:rPr>
                <w:rFonts w:cs="Arial"/>
                <w:color w:val="FF0000"/>
                <w:sz w:val="21"/>
                <w:szCs w:val="21"/>
              </w:rPr>
            </w:pPr>
          </w:p>
        </w:tc>
        <w:tc>
          <w:tcPr>
            <w:tcW w:w="217" w:type="dxa"/>
          </w:tcPr>
          <w:p w14:paraId="4AD83C07" w14:textId="77777777" w:rsidR="002C0FD9" w:rsidRPr="00CA25CF" w:rsidRDefault="002C0FD9" w:rsidP="00CA25CF">
            <w:pPr>
              <w:rPr>
                <w:rFonts w:cs="Arial"/>
                <w:color w:val="FF0000"/>
                <w:sz w:val="21"/>
                <w:szCs w:val="21"/>
              </w:rPr>
            </w:pPr>
          </w:p>
        </w:tc>
        <w:tc>
          <w:tcPr>
            <w:tcW w:w="217" w:type="dxa"/>
          </w:tcPr>
          <w:p w14:paraId="6483C2F1" w14:textId="77777777" w:rsidR="002C0FD9" w:rsidRPr="00CA25CF" w:rsidRDefault="002C0FD9" w:rsidP="00CA25CF">
            <w:pPr>
              <w:rPr>
                <w:rFonts w:cs="Arial"/>
                <w:color w:val="FF0000"/>
                <w:sz w:val="21"/>
                <w:szCs w:val="21"/>
              </w:rPr>
            </w:pPr>
          </w:p>
        </w:tc>
        <w:tc>
          <w:tcPr>
            <w:tcW w:w="217" w:type="dxa"/>
          </w:tcPr>
          <w:p w14:paraId="2DDA7A28" w14:textId="77777777" w:rsidR="002C0FD9" w:rsidRPr="00CA25CF" w:rsidRDefault="002C0FD9" w:rsidP="00CA25CF">
            <w:pPr>
              <w:rPr>
                <w:rFonts w:cs="Arial"/>
                <w:color w:val="FF0000"/>
                <w:sz w:val="21"/>
                <w:szCs w:val="21"/>
              </w:rPr>
            </w:pPr>
          </w:p>
        </w:tc>
        <w:tc>
          <w:tcPr>
            <w:tcW w:w="217" w:type="dxa"/>
          </w:tcPr>
          <w:p w14:paraId="318D2BDF" w14:textId="77777777" w:rsidR="002C0FD9" w:rsidRPr="00CA25CF" w:rsidRDefault="002C0FD9" w:rsidP="00CA25CF">
            <w:pPr>
              <w:rPr>
                <w:rFonts w:cs="Arial"/>
                <w:color w:val="FF0000"/>
                <w:sz w:val="21"/>
                <w:szCs w:val="21"/>
              </w:rPr>
            </w:pPr>
          </w:p>
        </w:tc>
        <w:tc>
          <w:tcPr>
            <w:tcW w:w="217" w:type="dxa"/>
          </w:tcPr>
          <w:p w14:paraId="0FD8CD9A" w14:textId="77777777" w:rsidR="002C0FD9" w:rsidRPr="00CA25CF" w:rsidRDefault="002C0FD9" w:rsidP="00CA25CF">
            <w:pPr>
              <w:rPr>
                <w:rFonts w:cs="Arial"/>
                <w:color w:val="FF0000"/>
                <w:sz w:val="21"/>
                <w:szCs w:val="21"/>
              </w:rPr>
            </w:pPr>
          </w:p>
        </w:tc>
        <w:tc>
          <w:tcPr>
            <w:tcW w:w="217" w:type="dxa"/>
          </w:tcPr>
          <w:p w14:paraId="0B543A48" w14:textId="77777777" w:rsidR="002C0FD9" w:rsidRPr="00CA25CF" w:rsidRDefault="002C0FD9" w:rsidP="00CA25CF">
            <w:pPr>
              <w:rPr>
                <w:rFonts w:cs="Arial"/>
                <w:color w:val="FF0000"/>
                <w:sz w:val="21"/>
                <w:szCs w:val="21"/>
              </w:rPr>
            </w:pPr>
          </w:p>
        </w:tc>
        <w:tc>
          <w:tcPr>
            <w:tcW w:w="217" w:type="dxa"/>
          </w:tcPr>
          <w:p w14:paraId="394C8B83" w14:textId="77777777" w:rsidR="002C0FD9" w:rsidRPr="00CA25CF" w:rsidRDefault="002C0FD9" w:rsidP="00CA25CF">
            <w:pPr>
              <w:rPr>
                <w:rFonts w:cs="Arial"/>
                <w:color w:val="FF0000"/>
                <w:sz w:val="21"/>
                <w:szCs w:val="21"/>
              </w:rPr>
            </w:pPr>
          </w:p>
        </w:tc>
        <w:tc>
          <w:tcPr>
            <w:tcW w:w="217" w:type="dxa"/>
          </w:tcPr>
          <w:p w14:paraId="4890F2A3" w14:textId="77777777" w:rsidR="002C0FD9" w:rsidRPr="00CA25CF" w:rsidRDefault="002C0FD9" w:rsidP="00CA25CF">
            <w:pPr>
              <w:rPr>
                <w:rFonts w:cs="Arial"/>
                <w:color w:val="FF0000"/>
                <w:sz w:val="21"/>
                <w:szCs w:val="21"/>
              </w:rPr>
            </w:pPr>
          </w:p>
        </w:tc>
        <w:tc>
          <w:tcPr>
            <w:tcW w:w="217" w:type="dxa"/>
          </w:tcPr>
          <w:p w14:paraId="7BB92D14" w14:textId="77777777" w:rsidR="002C0FD9" w:rsidRPr="00CA25CF" w:rsidRDefault="002C0FD9" w:rsidP="00CA25CF">
            <w:pPr>
              <w:rPr>
                <w:rFonts w:cs="Arial"/>
                <w:color w:val="FF0000"/>
                <w:sz w:val="21"/>
                <w:szCs w:val="21"/>
              </w:rPr>
            </w:pPr>
          </w:p>
        </w:tc>
        <w:tc>
          <w:tcPr>
            <w:tcW w:w="217" w:type="dxa"/>
          </w:tcPr>
          <w:p w14:paraId="0A035E9E" w14:textId="77777777" w:rsidR="002C0FD9" w:rsidRPr="00CA25CF" w:rsidRDefault="002C0FD9" w:rsidP="00CA25CF">
            <w:pPr>
              <w:rPr>
                <w:rFonts w:cs="Arial"/>
                <w:color w:val="FF0000"/>
                <w:sz w:val="21"/>
                <w:szCs w:val="21"/>
              </w:rPr>
            </w:pPr>
          </w:p>
        </w:tc>
        <w:tc>
          <w:tcPr>
            <w:tcW w:w="217" w:type="dxa"/>
          </w:tcPr>
          <w:p w14:paraId="3E517ABC" w14:textId="77777777" w:rsidR="002C0FD9" w:rsidRPr="00CA25CF" w:rsidRDefault="002C0FD9" w:rsidP="00CA25CF">
            <w:pPr>
              <w:rPr>
                <w:rFonts w:cs="Arial"/>
                <w:color w:val="FF0000"/>
                <w:sz w:val="21"/>
                <w:szCs w:val="21"/>
              </w:rPr>
            </w:pPr>
          </w:p>
        </w:tc>
        <w:tc>
          <w:tcPr>
            <w:tcW w:w="217" w:type="dxa"/>
          </w:tcPr>
          <w:p w14:paraId="56DE65FF" w14:textId="77777777" w:rsidR="002C0FD9" w:rsidRPr="00CA25CF" w:rsidRDefault="002C0FD9" w:rsidP="00CA25CF">
            <w:pPr>
              <w:rPr>
                <w:rFonts w:cs="Arial"/>
                <w:color w:val="FF0000"/>
                <w:sz w:val="21"/>
                <w:szCs w:val="21"/>
              </w:rPr>
            </w:pPr>
          </w:p>
        </w:tc>
        <w:tc>
          <w:tcPr>
            <w:tcW w:w="217" w:type="dxa"/>
          </w:tcPr>
          <w:p w14:paraId="2CFBD076" w14:textId="77777777" w:rsidR="002C0FD9" w:rsidRPr="00CA25CF" w:rsidRDefault="002C0FD9" w:rsidP="00CA25CF">
            <w:pPr>
              <w:rPr>
                <w:rFonts w:cs="Arial"/>
                <w:color w:val="FF0000"/>
                <w:sz w:val="21"/>
                <w:szCs w:val="21"/>
              </w:rPr>
            </w:pPr>
          </w:p>
        </w:tc>
        <w:tc>
          <w:tcPr>
            <w:tcW w:w="217" w:type="dxa"/>
          </w:tcPr>
          <w:p w14:paraId="53791D20" w14:textId="77777777" w:rsidR="002C0FD9" w:rsidRPr="00CA25CF" w:rsidRDefault="002C0FD9" w:rsidP="00CA25CF">
            <w:pPr>
              <w:rPr>
                <w:rFonts w:cs="Arial"/>
                <w:color w:val="FF0000"/>
                <w:sz w:val="21"/>
                <w:szCs w:val="21"/>
              </w:rPr>
            </w:pPr>
          </w:p>
        </w:tc>
        <w:tc>
          <w:tcPr>
            <w:tcW w:w="217" w:type="dxa"/>
          </w:tcPr>
          <w:p w14:paraId="685F41CB" w14:textId="77777777" w:rsidR="002C0FD9" w:rsidRPr="00CA25CF" w:rsidRDefault="002C0FD9" w:rsidP="00CA25CF">
            <w:pPr>
              <w:rPr>
                <w:rFonts w:cs="Arial"/>
                <w:color w:val="FF0000"/>
                <w:sz w:val="21"/>
                <w:szCs w:val="21"/>
              </w:rPr>
            </w:pPr>
          </w:p>
        </w:tc>
      </w:tr>
      <w:tr w:rsidR="002C0FD9" w:rsidRPr="00A16219" w14:paraId="7BD0A034" w14:textId="77777777" w:rsidTr="002C0FD9">
        <w:trPr>
          <w:trHeight w:val="635"/>
        </w:trPr>
        <w:tc>
          <w:tcPr>
            <w:tcW w:w="515" w:type="dxa"/>
          </w:tcPr>
          <w:p w14:paraId="2E9D9B1A" w14:textId="77777777" w:rsidR="002C0FD9" w:rsidRPr="00CA25CF" w:rsidRDefault="002C0FD9" w:rsidP="00CA25CF">
            <w:pPr>
              <w:rPr>
                <w:rFonts w:cs="Arial"/>
                <w:color w:val="FF0000"/>
                <w:sz w:val="21"/>
                <w:szCs w:val="21"/>
              </w:rPr>
            </w:pPr>
          </w:p>
        </w:tc>
        <w:tc>
          <w:tcPr>
            <w:tcW w:w="217" w:type="dxa"/>
          </w:tcPr>
          <w:p w14:paraId="6F53F03C" w14:textId="77777777" w:rsidR="002C0FD9" w:rsidRPr="00CA25CF" w:rsidRDefault="002C0FD9" w:rsidP="00CA25CF">
            <w:pPr>
              <w:rPr>
                <w:rFonts w:cs="Arial"/>
                <w:color w:val="FF0000"/>
                <w:sz w:val="21"/>
                <w:szCs w:val="21"/>
              </w:rPr>
            </w:pPr>
          </w:p>
        </w:tc>
        <w:tc>
          <w:tcPr>
            <w:tcW w:w="217" w:type="dxa"/>
          </w:tcPr>
          <w:p w14:paraId="02342C0E" w14:textId="77777777" w:rsidR="002C0FD9" w:rsidRPr="00CA25CF" w:rsidRDefault="002C0FD9" w:rsidP="00CA25CF">
            <w:pPr>
              <w:rPr>
                <w:rFonts w:cs="Arial"/>
                <w:color w:val="FF0000"/>
                <w:sz w:val="21"/>
                <w:szCs w:val="21"/>
              </w:rPr>
            </w:pPr>
          </w:p>
        </w:tc>
        <w:tc>
          <w:tcPr>
            <w:tcW w:w="217" w:type="dxa"/>
          </w:tcPr>
          <w:p w14:paraId="268ACB1C" w14:textId="77777777" w:rsidR="002C0FD9" w:rsidRPr="00CA25CF" w:rsidRDefault="002C0FD9" w:rsidP="00CA25CF">
            <w:pPr>
              <w:rPr>
                <w:rFonts w:cs="Arial"/>
                <w:color w:val="FF0000"/>
                <w:sz w:val="21"/>
                <w:szCs w:val="21"/>
              </w:rPr>
            </w:pPr>
          </w:p>
        </w:tc>
        <w:tc>
          <w:tcPr>
            <w:tcW w:w="217" w:type="dxa"/>
          </w:tcPr>
          <w:p w14:paraId="359EC997" w14:textId="77777777" w:rsidR="002C0FD9" w:rsidRPr="00CA25CF" w:rsidRDefault="002C0FD9" w:rsidP="00CA25CF">
            <w:pPr>
              <w:rPr>
                <w:rFonts w:cs="Arial"/>
                <w:color w:val="FF0000"/>
                <w:sz w:val="21"/>
                <w:szCs w:val="21"/>
              </w:rPr>
            </w:pPr>
          </w:p>
        </w:tc>
        <w:tc>
          <w:tcPr>
            <w:tcW w:w="217" w:type="dxa"/>
          </w:tcPr>
          <w:p w14:paraId="27A87D39" w14:textId="77777777" w:rsidR="002C0FD9" w:rsidRPr="00CA25CF" w:rsidRDefault="002C0FD9" w:rsidP="00CA25CF">
            <w:pPr>
              <w:rPr>
                <w:rFonts w:cs="Arial"/>
                <w:color w:val="FF0000"/>
                <w:sz w:val="21"/>
                <w:szCs w:val="21"/>
              </w:rPr>
            </w:pPr>
          </w:p>
        </w:tc>
        <w:tc>
          <w:tcPr>
            <w:tcW w:w="217" w:type="dxa"/>
          </w:tcPr>
          <w:p w14:paraId="05D8C59C" w14:textId="77777777" w:rsidR="002C0FD9" w:rsidRPr="00CA25CF" w:rsidRDefault="002C0FD9" w:rsidP="00CA25CF">
            <w:pPr>
              <w:rPr>
                <w:rFonts w:cs="Arial"/>
                <w:color w:val="FF0000"/>
                <w:sz w:val="21"/>
                <w:szCs w:val="21"/>
              </w:rPr>
            </w:pPr>
          </w:p>
        </w:tc>
        <w:tc>
          <w:tcPr>
            <w:tcW w:w="217" w:type="dxa"/>
          </w:tcPr>
          <w:p w14:paraId="6821933D" w14:textId="77777777" w:rsidR="002C0FD9" w:rsidRPr="00CA25CF" w:rsidRDefault="002C0FD9" w:rsidP="00CA25CF">
            <w:pPr>
              <w:rPr>
                <w:rFonts w:cs="Arial"/>
                <w:color w:val="FF0000"/>
                <w:sz w:val="21"/>
                <w:szCs w:val="21"/>
              </w:rPr>
            </w:pPr>
          </w:p>
        </w:tc>
        <w:tc>
          <w:tcPr>
            <w:tcW w:w="217" w:type="dxa"/>
          </w:tcPr>
          <w:p w14:paraId="6B1A7362" w14:textId="77777777" w:rsidR="002C0FD9" w:rsidRPr="00CA25CF" w:rsidRDefault="002C0FD9" w:rsidP="00CA25CF">
            <w:pPr>
              <w:rPr>
                <w:rFonts w:cs="Arial"/>
                <w:color w:val="FF0000"/>
                <w:sz w:val="21"/>
                <w:szCs w:val="21"/>
              </w:rPr>
            </w:pPr>
          </w:p>
        </w:tc>
        <w:tc>
          <w:tcPr>
            <w:tcW w:w="217" w:type="dxa"/>
          </w:tcPr>
          <w:p w14:paraId="70C969D7" w14:textId="77777777" w:rsidR="002C0FD9" w:rsidRPr="00CA25CF" w:rsidRDefault="002C0FD9" w:rsidP="00CA25CF">
            <w:pPr>
              <w:rPr>
                <w:rFonts w:cs="Arial"/>
                <w:color w:val="FF0000"/>
                <w:sz w:val="21"/>
                <w:szCs w:val="21"/>
              </w:rPr>
            </w:pPr>
          </w:p>
        </w:tc>
        <w:tc>
          <w:tcPr>
            <w:tcW w:w="217" w:type="dxa"/>
          </w:tcPr>
          <w:p w14:paraId="79EE44E1" w14:textId="77777777" w:rsidR="002C0FD9" w:rsidRPr="00CA25CF" w:rsidRDefault="002C0FD9" w:rsidP="00CA25CF">
            <w:pPr>
              <w:rPr>
                <w:rFonts w:cs="Arial"/>
                <w:color w:val="FF0000"/>
                <w:sz w:val="21"/>
                <w:szCs w:val="21"/>
              </w:rPr>
            </w:pPr>
          </w:p>
        </w:tc>
        <w:tc>
          <w:tcPr>
            <w:tcW w:w="217" w:type="dxa"/>
          </w:tcPr>
          <w:p w14:paraId="44D55B9B" w14:textId="77777777" w:rsidR="002C0FD9" w:rsidRPr="00CA25CF" w:rsidRDefault="002C0FD9" w:rsidP="00CA25CF">
            <w:pPr>
              <w:rPr>
                <w:rFonts w:cs="Arial"/>
                <w:color w:val="FF0000"/>
                <w:sz w:val="21"/>
                <w:szCs w:val="21"/>
              </w:rPr>
            </w:pPr>
          </w:p>
        </w:tc>
        <w:tc>
          <w:tcPr>
            <w:tcW w:w="217" w:type="dxa"/>
          </w:tcPr>
          <w:p w14:paraId="48282A7E" w14:textId="77777777" w:rsidR="002C0FD9" w:rsidRPr="00CA25CF" w:rsidRDefault="002C0FD9" w:rsidP="00CA25CF">
            <w:pPr>
              <w:rPr>
                <w:rFonts w:cs="Arial"/>
                <w:color w:val="FF0000"/>
                <w:sz w:val="21"/>
                <w:szCs w:val="21"/>
              </w:rPr>
            </w:pPr>
          </w:p>
        </w:tc>
        <w:tc>
          <w:tcPr>
            <w:tcW w:w="217" w:type="dxa"/>
          </w:tcPr>
          <w:p w14:paraId="47F2EDCD" w14:textId="77777777" w:rsidR="002C0FD9" w:rsidRPr="00CA25CF" w:rsidRDefault="002C0FD9" w:rsidP="00CA25CF">
            <w:pPr>
              <w:rPr>
                <w:rFonts w:cs="Arial"/>
                <w:color w:val="FF0000"/>
                <w:sz w:val="21"/>
                <w:szCs w:val="21"/>
              </w:rPr>
            </w:pPr>
          </w:p>
        </w:tc>
        <w:tc>
          <w:tcPr>
            <w:tcW w:w="217" w:type="dxa"/>
          </w:tcPr>
          <w:p w14:paraId="4D99BCFF" w14:textId="77777777" w:rsidR="002C0FD9" w:rsidRPr="00CA25CF" w:rsidRDefault="002C0FD9" w:rsidP="00CA25CF">
            <w:pPr>
              <w:rPr>
                <w:rFonts w:cs="Arial"/>
                <w:color w:val="FF0000"/>
                <w:sz w:val="21"/>
                <w:szCs w:val="21"/>
              </w:rPr>
            </w:pPr>
          </w:p>
        </w:tc>
        <w:tc>
          <w:tcPr>
            <w:tcW w:w="217" w:type="dxa"/>
          </w:tcPr>
          <w:p w14:paraId="1DF44F37" w14:textId="77777777" w:rsidR="002C0FD9" w:rsidRPr="00CA25CF" w:rsidRDefault="002C0FD9" w:rsidP="00CA25CF">
            <w:pPr>
              <w:rPr>
                <w:rFonts w:cs="Arial"/>
                <w:color w:val="FF0000"/>
                <w:sz w:val="21"/>
                <w:szCs w:val="21"/>
              </w:rPr>
            </w:pPr>
          </w:p>
        </w:tc>
        <w:tc>
          <w:tcPr>
            <w:tcW w:w="217" w:type="dxa"/>
          </w:tcPr>
          <w:p w14:paraId="408FBCE2" w14:textId="77777777" w:rsidR="002C0FD9" w:rsidRPr="00CA25CF" w:rsidRDefault="002C0FD9" w:rsidP="00CA25CF">
            <w:pPr>
              <w:rPr>
                <w:rFonts w:cs="Arial"/>
                <w:color w:val="FF0000"/>
                <w:sz w:val="21"/>
                <w:szCs w:val="21"/>
              </w:rPr>
            </w:pPr>
          </w:p>
        </w:tc>
        <w:tc>
          <w:tcPr>
            <w:tcW w:w="217" w:type="dxa"/>
          </w:tcPr>
          <w:p w14:paraId="654E0403" w14:textId="77777777" w:rsidR="002C0FD9" w:rsidRPr="00CA25CF" w:rsidRDefault="002C0FD9" w:rsidP="00CA25CF">
            <w:pPr>
              <w:rPr>
                <w:rFonts w:cs="Arial"/>
                <w:color w:val="FF0000"/>
                <w:sz w:val="21"/>
                <w:szCs w:val="21"/>
              </w:rPr>
            </w:pPr>
          </w:p>
        </w:tc>
        <w:tc>
          <w:tcPr>
            <w:tcW w:w="217" w:type="dxa"/>
          </w:tcPr>
          <w:p w14:paraId="7CFCE617" w14:textId="77777777" w:rsidR="002C0FD9" w:rsidRPr="00CA25CF" w:rsidRDefault="002C0FD9" w:rsidP="00CA25CF">
            <w:pPr>
              <w:rPr>
                <w:rFonts w:cs="Arial"/>
                <w:color w:val="FF0000"/>
                <w:sz w:val="21"/>
                <w:szCs w:val="21"/>
              </w:rPr>
            </w:pPr>
          </w:p>
        </w:tc>
        <w:tc>
          <w:tcPr>
            <w:tcW w:w="217" w:type="dxa"/>
          </w:tcPr>
          <w:p w14:paraId="0D13FBFE" w14:textId="77777777" w:rsidR="002C0FD9" w:rsidRPr="00CA25CF" w:rsidRDefault="002C0FD9" w:rsidP="00CA25CF">
            <w:pPr>
              <w:rPr>
                <w:rFonts w:cs="Arial"/>
                <w:color w:val="FF0000"/>
                <w:sz w:val="21"/>
                <w:szCs w:val="21"/>
              </w:rPr>
            </w:pPr>
          </w:p>
        </w:tc>
        <w:tc>
          <w:tcPr>
            <w:tcW w:w="217" w:type="dxa"/>
          </w:tcPr>
          <w:p w14:paraId="52B6E782" w14:textId="77777777" w:rsidR="002C0FD9" w:rsidRPr="00CA25CF" w:rsidRDefault="002C0FD9" w:rsidP="00CA25CF">
            <w:pPr>
              <w:rPr>
                <w:rFonts w:cs="Arial"/>
                <w:color w:val="FF0000"/>
                <w:sz w:val="21"/>
                <w:szCs w:val="21"/>
              </w:rPr>
            </w:pPr>
          </w:p>
        </w:tc>
        <w:tc>
          <w:tcPr>
            <w:tcW w:w="217" w:type="dxa"/>
          </w:tcPr>
          <w:p w14:paraId="4DDC54D2" w14:textId="77777777" w:rsidR="002C0FD9" w:rsidRPr="00CA25CF" w:rsidRDefault="002C0FD9" w:rsidP="00CA25CF">
            <w:pPr>
              <w:rPr>
                <w:rFonts w:cs="Arial"/>
                <w:color w:val="FF0000"/>
                <w:sz w:val="21"/>
                <w:szCs w:val="21"/>
              </w:rPr>
            </w:pPr>
          </w:p>
        </w:tc>
        <w:tc>
          <w:tcPr>
            <w:tcW w:w="217" w:type="dxa"/>
          </w:tcPr>
          <w:p w14:paraId="18AEDA07" w14:textId="77777777" w:rsidR="002C0FD9" w:rsidRPr="00CA25CF" w:rsidRDefault="002C0FD9" w:rsidP="00CA25CF">
            <w:pPr>
              <w:rPr>
                <w:rFonts w:cs="Arial"/>
                <w:color w:val="FF0000"/>
                <w:sz w:val="21"/>
                <w:szCs w:val="21"/>
              </w:rPr>
            </w:pPr>
          </w:p>
        </w:tc>
        <w:tc>
          <w:tcPr>
            <w:tcW w:w="217" w:type="dxa"/>
          </w:tcPr>
          <w:p w14:paraId="06EEFAF0" w14:textId="77777777" w:rsidR="002C0FD9" w:rsidRPr="00CA25CF" w:rsidRDefault="002C0FD9" w:rsidP="00CA25CF">
            <w:pPr>
              <w:rPr>
                <w:rFonts w:cs="Arial"/>
                <w:color w:val="FF0000"/>
                <w:sz w:val="21"/>
                <w:szCs w:val="21"/>
              </w:rPr>
            </w:pPr>
          </w:p>
        </w:tc>
        <w:tc>
          <w:tcPr>
            <w:tcW w:w="217" w:type="dxa"/>
          </w:tcPr>
          <w:p w14:paraId="191D8C1A" w14:textId="77777777" w:rsidR="002C0FD9" w:rsidRPr="00CA25CF" w:rsidRDefault="002C0FD9" w:rsidP="00CA25CF">
            <w:pPr>
              <w:rPr>
                <w:rFonts w:cs="Arial"/>
                <w:color w:val="FF0000"/>
                <w:sz w:val="21"/>
                <w:szCs w:val="21"/>
              </w:rPr>
            </w:pPr>
          </w:p>
        </w:tc>
        <w:tc>
          <w:tcPr>
            <w:tcW w:w="217" w:type="dxa"/>
          </w:tcPr>
          <w:p w14:paraId="1D947CCA" w14:textId="77777777" w:rsidR="002C0FD9" w:rsidRPr="00CA25CF" w:rsidRDefault="002C0FD9" w:rsidP="00CA25CF">
            <w:pPr>
              <w:rPr>
                <w:rFonts w:cs="Arial"/>
                <w:color w:val="FF0000"/>
                <w:sz w:val="21"/>
                <w:szCs w:val="21"/>
              </w:rPr>
            </w:pPr>
          </w:p>
        </w:tc>
        <w:tc>
          <w:tcPr>
            <w:tcW w:w="217" w:type="dxa"/>
          </w:tcPr>
          <w:p w14:paraId="648425D3" w14:textId="77777777" w:rsidR="002C0FD9" w:rsidRPr="00CA25CF" w:rsidRDefault="002C0FD9" w:rsidP="00CA25CF">
            <w:pPr>
              <w:rPr>
                <w:rFonts w:cs="Arial"/>
                <w:color w:val="FF0000"/>
                <w:sz w:val="21"/>
                <w:szCs w:val="21"/>
              </w:rPr>
            </w:pPr>
          </w:p>
        </w:tc>
        <w:tc>
          <w:tcPr>
            <w:tcW w:w="217" w:type="dxa"/>
          </w:tcPr>
          <w:p w14:paraId="3CAC04B1" w14:textId="77777777" w:rsidR="002C0FD9" w:rsidRPr="00CA25CF" w:rsidRDefault="002C0FD9" w:rsidP="00CA25CF">
            <w:pPr>
              <w:rPr>
                <w:rFonts w:cs="Arial"/>
                <w:color w:val="FF0000"/>
                <w:sz w:val="21"/>
                <w:szCs w:val="21"/>
              </w:rPr>
            </w:pPr>
          </w:p>
        </w:tc>
        <w:tc>
          <w:tcPr>
            <w:tcW w:w="217" w:type="dxa"/>
          </w:tcPr>
          <w:p w14:paraId="2E3CC980" w14:textId="77777777" w:rsidR="002C0FD9" w:rsidRPr="00CA25CF" w:rsidRDefault="002C0FD9" w:rsidP="00CA25CF">
            <w:pPr>
              <w:rPr>
                <w:rFonts w:cs="Arial"/>
                <w:color w:val="FF0000"/>
                <w:sz w:val="21"/>
                <w:szCs w:val="21"/>
              </w:rPr>
            </w:pPr>
          </w:p>
        </w:tc>
        <w:tc>
          <w:tcPr>
            <w:tcW w:w="217" w:type="dxa"/>
          </w:tcPr>
          <w:p w14:paraId="6D0B0D1D" w14:textId="77777777" w:rsidR="002C0FD9" w:rsidRPr="00CA25CF" w:rsidRDefault="002C0FD9" w:rsidP="00CA25CF">
            <w:pPr>
              <w:rPr>
                <w:rFonts w:cs="Arial"/>
                <w:color w:val="FF0000"/>
                <w:sz w:val="21"/>
                <w:szCs w:val="21"/>
              </w:rPr>
            </w:pPr>
          </w:p>
        </w:tc>
        <w:tc>
          <w:tcPr>
            <w:tcW w:w="217" w:type="dxa"/>
          </w:tcPr>
          <w:p w14:paraId="5C02F4AA" w14:textId="77777777" w:rsidR="002C0FD9" w:rsidRPr="00CA25CF" w:rsidRDefault="002C0FD9" w:rsidP="00CA25CF">
            <w:pPr>
              <w:rPr>
                <w:rFonts w:cs="Arial"/>
                <w:color w:val="FF0000"/>
                <w:sz w:val="21"/>
                <w:szCs w:val="21"/>
              </w:rPr>
            </w:pPr>
          </w:p>
        </w:tc>
        <w:tc>
          <w:tcPr>
            <w:tcW w:w="217" w:type="dxa"/>
          </w:tcPr>
          <w:p w14:paraId="78710395" w14:textId="77777777" w:rsidR="002C0FD9" w:rsidRPr="00CA25CF" w:rsidRDefault="002C0FD9" w:rsidP="00CA25CF">
            <w:pPr>
              <w:rPr>
                <w:rFonts w:cs="Arial"/>
                <w:color w:val="FF0000"/>
                <w:sz w:val="21"/>
                <w:szCs w:val="21"/>
              </w:rPr>
            </w:pPr>
          </w:p>
        </w:tc>
        <w:tc>
          <w:tcPr>
            <w:tcW w:w="217" w:type="dxa"/>
          </w:tcPr>
          <w:p w14:paraId="22A36590" w14:textId="77777777" w:rsidR="002C0FD9" w:rsidRPr="00CA25CF" w:rsidRDefault="002C0FD9" w:rsidP="00CA25CF">
            <w:pPr>
              <w:rPr>
                <w:rFonts w:cs="Arial"/>
                <w:color w:val="FF0000"/>
                <w:sz w:val="21"/>
                <w:szCs w:val="21"/>
              </w:rPr>
            </w:pPr>
          </w:p>
        </w:tc>
        <w:tc>
          <w:tcPr>
            <w:tcW w:w="217" w:type="dxa"/>
          </w:tcPr>
          <w:p w14:paraId="717C1782" w14:textId="77777777" w:rsidR="002C0FD9" w:rsidRPr="00CA25CF" w:rsidRDefault="002C0FD9" w:rsidP="00CA25CF">
            <w:pPr>
              <w:rPr>
                <w:rFonts w:cs="Arial"/>
                <w:color w:val="FF0000"/>
                <w:sz w:val="21"/>
                <w:szCs w:val="21"/>
              </w:rPr>
            </w:pPr>
          </w:p>
        </w:tc>
        <w:tc>
          <w:tcPr>
            <w:tcW w:w="217" w:type="dxa"/>
          </w:tcPr>
          <w:p w14:paraId="409EBA08" w14:textId="77777777" w:rsidR="002C0FD9" w:rsidRPr="00CA25CF" w:rsidRDefault="002C0FD9" w:rsidP="00CA25CF">
            <w:pPr>
              <w:rPr>
                <w:rFonts w:cs="Arial"/>
                <w:color w:val="FF0000"/>
                <w:sz w:val="21"/>
                <w:szCs w:val="21"/>
              </w:rPr>
            </w:pPr>
          </w:p>
        </w:tc>
        <w:tc>
          <w:tcPr>
            <w:tcW w:w="217" w:type="dxa"/>
          </w:tcPr>
          <w:p w14:paraId="24539CA6" w14:textId="77777777" w:rsidR="002C0FD9" w:rsidRPr="00CA25CF" w:rsidRDefault="002C0FD9" w:rsidP="00CA25CF">
            <w:pPr>
              <w:rPr>
                <w:rFonts w:cs="Arial"/>
                <w:color w:val="FF0000"/>
                <w:sz w:val="21"/>
                <w:szCs w:val="21"/>
              </w:rPr>
            </w:pPr>
          </w:p>
        </w:tc>
        <w:tc>
          <w:tcPr>
            <w:tcW w:w="217" w:type="dxa"/>
          </w:tcPr>
          <w:p w14:paraId="36AD5AAE" w14:textId="77777777" w:rsidR="002C0FD9" w:rsidRPr="00CA25CF" w:rsidRDefault="002C0FD9" w:rsidP="00CA25CF">
            <w:pPr>
              <w:rPr>
                <w:rFonts w:cs="Arial"/>
                <w:color w:val="FF0000"/>
                <w:sz w:val="21"/>
                <w:szCs w:val="21"/>
              </w:rPr>
            </w:pPr>
          </w:p>
        </w:tc>
        <w:tc>
          <w:tcPr>
            <w:tcW w:w="217" w:type="dxa"/>
          </w:tcPr>
          <w:p w14:paraId="337C9EE7" w14:textId="77777777" w:rsidR="002C0FD9" w:rsidRPr="00CA25CF" w:rsidRDefault="002C0FD9" w:rsidP="00CA25CF">
            <w:pPr>
              <w:rPr>
                <w:rFonts w:cs="Arial"/>
                <w:color w:val="FF0000"/>
                <w:sz w:val="21"/>
                <w:szCs w:val="21"/>
              </w:rPr>
            </w:pPr>
          </w:p>
        </w:tc>
        <w:tc>
          <w:tcPr>
            <w:tcW w:w="217" w:type="dxa"/>
          </w:tcPr>
          <w:p w14:paraId="4EE8C7A7" w14:textId="77777777" w:rsidR="002C0FD9" w:rsidRPr="00CA25CF" w:rsidRDefault="002C0FD9" w:rsidP="00CA25CF">
            <w:pPr>
              <w:rPr>
                <w:rFonts w:cs="Arial"/>
                <w:color w:val="FF0000"/>
                <w:sz w:val="21"/>
                <w:szCs w:val="21"/>
              </w:rPr>
            </w:pPr>
          </w:p>
        </w:tc>
        <w:tc>
          <w:tcPr>
            <w:tcW w:w="217" w:type="dxa"/>
          </w:tcPr>
          <w:p w14:paraId="5340334C" w14:textId="77777777" w:rsidR="002C0FD9" w:rsidRPr="00CA25CF" w:rsidRDefault="002C0FD9" w:rsidP="00CA25CF">
            <w:pPr>
              <w:rPr>
                <w:rFonts w:cs="Arial"/>
                <w:color w:val="FF0000"/>
                <w:sz w:val="21"/>
                <w:szCs w:val="21"/>
              </w:rPr>
            </w:pPr>
          </w:p>
        </w:tc>
        <w:tc>
          <w:tcPr>
            <w:tcW w:w="217" w:type="dxa"/>
          </w:tcPr>
          <w:p w14:paraId="60FCDE72" w14:textId="77777777" w:rsidR="002C0FD9" w:rsidRPr="00CA25CF" w:rsidRDefault="002C0FD9" w:rsidP="00CA25CF">
            <w:pPr>
              <w:rPr>
                <w:rFonts w:cs="Arial"/>
                <w:color w:val="FF0000"/>
                <w:sz w:val="21"/>
                <w:szCs w:val="21"/>
              </w:rPr>
            </w:pPr>
          </w:p>
        </w:tc>
        <w:tc>
          <w:tcPr>
            <w:tcW w:w="217" w:type="dxa"/>
          </w:tcPr>
          <w:p w14:paraId="5FEEB492" w14:textId="77777777" w:rsidR="002C0FD9" w:rsidRPr="00CA25CF" w:rsidRDefault="002C0FD9" w:rsidP="00CA25CF">
            <w:pPr>
              <w:rPr>
                <w:rFonts w:cs="Arial"/>
                <w:color w:val="FF0000"/>
                <w:sz w:val="21"/>
                <w:szCs w:val="21"/>
              </w:rPr>
            </w:pPr>
          </w:p>
        </w:tc>
        <w:tc>
          <w:tcPr>
            <w:tcW w:w="217" w:type="dxa"/>
          </w:tcPr>
          <w:p w14:paraId="63923A3A" w14:textId="77777777" w:rsidR="002C0FD9" w:rsidRPr="00CA25CF" w:rsidRDefault="002C0FD9" w:rsidP="00CA25CF">
            <w:pPr>
              <w:rPr>
                <w:rFonts w:cs="Arial"/>
                <w:color w:val="FF0000"/>
                <w:sz w:val="21"/>
                <w:szCs w:val="21"/>
              </w:rPr>
            </w:pPr>
          </w:p>
        </w:tc>
      </w:tr>
      <w:tr w:rsidR="002C0FD9" w:rsidRPr="00A16219" w14:paraId="44E723FB" w14:textId="77777777" w:rsidTr="002C0FD9">
        <w:trPr>
          <w:trHeight w:val="635"/>
        </w:trPr>
        <w:tc>
          <w:tcPr>
            <w:tcW w:w="515" w:type="dxa"/>
          </w:tcPr>
          <w:p w14:paraId="0D9EE2A1" w14:textId="77777777" w:rsidR="002C0FD9" w:rsidRPr="00CA25CF" w:rsidRDefault="002C0FD9" w:rsidP="00CA25CF">
            <w:pPr>
              <w:rPr>
                <w:rFonts w:cs="Arial"/>
                <w:color w:val="FF0000"/>
                <w:sz w:val="21"/>
                <w:szCs w:val="21"/>
              </w:rPr>
            </w:pPr>
          </w:p>
        </w:tc>
        <w:tc>
          <w:tcPr>
            <w:tcW w:w="217" w:type="dxa"/>
          </w:tcPr>
          <w:p w14:paraId="2368F802" w14:textId="77777777" w:rsidR="002C0FD9" w:rsidRPr="00CA25CF" w:rsidRDefault="002C0FD9" w:rsidP="00CA25CF">
            <w:pPr>
              <w:rPr>
                <w:rFonts w:cs="Arial"/>
                <w:color w:val="FF0000"/>
                <w:sz w:val="21"/>
                <w:szCs w:val="21"/>
              </w:rPr>
            </w:pPr>
          </w:p>
        </w:tc>
        <w:tc>
          <w:tcPr>
            <w:tcW w:w="217" w:type="dxa"/>
          </w:tcPr>
          <w:p w14:paraId="0CFF1D13" w14:textId="77777777" w:rsidR="002C0FD9" w:rsidRPr="00CA25CF" w:rsidRDefault="002C0FD9" w:rsidP="00CA25CF">
            <w:pPr>
              <w:rPr>
                <w:rFonts w:cs="Arial"/>
                <w:color w:val="FF0000"/>
                <w:sz w:val="21"/>
                <w:szCs w:val="21"/>
              </w:rPr>
            </w:pPr>
          </w:p>
        </w:tc>
        <w:tc>
          <w:tcPr>
            <w:tcW w:w="217" w:type="dxa"/>
          </w:tcPr>
          <w:p w14:paraId="320B2C28" w14:textId="77777777" w:rsidR="002C0FD9" w:rsidRPr="00CA25CF" w:rsidRDefault="002C0FD9" w:rsidP="00CA25CF">
            <w:pPr>
              <w:rPr>
                <w:rFonts w:cs="Arial"/>
                <w:color w:val="FF0000"/>
                <w:sz w:val="21"/>
                <w:szCs w:val="21"/>
              </w:rPr>
            </w:pPr>
          </w:p>
        </w:tc>
        <w:tc>
          <w:tcPr>
            <w:tcW w:w="217" w:type="dxa"/>
          </w:tcPr>
          <w:p w14:paraId="71A9D498" w14:textId="77777777" w:rsidR="002C0FD9" w:rsidRPr="00CA25CF" w:rsidRDefault="002C0FD9" w:rsidP="00CA25CF">
            <w:pPr>
              <w:rPr>
                <w:rFonts w:cs="Arial"/>
                <w:color w:val="FF0000"/>
                <w:sz w:val="21"/>
                <w:szCs w:val="21"/>
              </w:rPr>
            </w:pPr>
          </w:p>
        </w:tc>
        <w:tc>
          <w:tcPr>
            <w:tcW w:w="217" w:type="dxa"/>
          </w:tcPr>
          <w:p w14:paraId="1B4DB1CC" w14:textId="77777777" w:rsidR="002C0FD9" w:rsidRPr="00CA25CF" w:rsidRDefault="002C0FD9" w:rsidP="00CA25CF">
            <w:pPr>
              <w:rPr>
                <w:rFonts w:cs="Arial"/>
                <w:color w:val="FF0000"/>
                <w:sz w:val="21"/>
                <w:szCs w:val="21"/>
              </w:rPr>
            </w:pPr>
          </w:p>
        </w:tc>
        <w:tc>
          <w:tcPr>
            <w:tcW w:w="217" w:type="dxa"/>
          </w:tcPr>
          <w:p w14:paraId="0EAAAC37" w14:textId="77777777" w:rsidR="002C0FD9" w:rsidRPr="00CA25CF" w:rsidRDefault="002C0FD9" w:rsidP="00CA25CF">
            <w:pPr>
              <w:rPr>
                <w:rFonts w:cs="Arial"/>
                <w:color w:val="FF0000"/>
                <w:sz w:val="21"/>
                <w:szCs w:val="21"/>
              </w:rPr>
            </w:pPr>
          </w:p>
        </w:tc>
        <w:tc>
          <w:tcPr>
            <w:tcW w:w="217" w:type="dxa"/>
          </w:tcPr>
          <w:p w14:paraId="449D69EF" w14:textId="77777777" w:rsidR="002C0FD9" w:rsidRPr="00CA25CF" w:rsidRDefault="002C0FD9" w:rsidP="00CA25CF">
            <w:pPr>
              <w:rPr>
                <w:rFonts w:cs="Arial"/>
                <w:color w:val="FF0000"/>
                <w:sz w:val="21"/>
                <w:szCs w:val="21"/>
              </w:rPr>
            </w:pPr>
          </w:p>
        </w:tc>
        <w:tc>
          <w:tcPr>
            <w:tcW w:w="217" w:type="dxa"/>
          </w:tcPr>
          <w:p w14:paraId="65F5D941" w14:textId="77777777" w:rsidR="002C0FD9" w:rsidRPr="00CA25CF" w:rsidRDefault="002C0FD9" w:rsidP="00CA25CF">
            <w:pPr>
              <w:rPr>
                <w:rFonts w:cs="Arial"/>
                <w:color w:val="FF0000"/>
                <w:sz w:val="21"/>
                <w:szCs w:val="21"/>
              </w:rPr>
            </w:pPr>
          </w:p>
        </w:tc>
        <w:tc>
          <w:tcPr>
            <w:tcW w:w="217" w:type="dxa"/>
          </w:tcPr>
          <w:p w14:paraId="239C6DE1" w14:textId="77777777" w:rsidR="002C0FD9" w:rsidRPr="00CA25CF" w:rsidRDefault="002C0FD9" w:rsidP="00CA25CF">
            <w:pPr>
              <w:rPr>
                <w:rFonts w:cs="Arial"/>
                <w:color w:val="FF0000"/>
                <w:sz w:val="21"/>
                <w:szCs w:val="21"/>
              </w:rPr>
            </w:pPr>
          </w:p>
        </w:tc>
        <w:tc>
          <w:tcPr>
            <w:tcW w:w="217" w:type="dxa"/>
          </w:tcPr>
          <w:p w14:paraId="43300D5B" w14:textId="77777777" w:rsidR="002C0FD9" w:rsidRPr="00CA25CF" w:rsidRDefault="002C0FD9" w:rsidP="00CA25CF">
            <w:pPr>
              <w:rPr>
                <w:rFonts w:cs="Arial"/>
                <w:color w:val="FF0000"/>
                <w:sz w:val="21"/>
                <w:szCs w:val="21"/>
              </w:rPr>
            </w:pPr>
          </w:p>
        </w:tc>
        <w:tc>
          <w:tcPr>
            <w:tcW w:w="217" w:type="dxa"/>
          </w:tcPr>
          <w:p w14:paraId="257D33E0" w14:textId="77777777" w:rsidR="002C0FD9" w:rsidRPr="00CA25CF" w:rsidRDefault="002C0FD9" w:rsidP="00CA25CF">
            <w:pPr>
              <w:rPr>
                <w:rFonts w:cs="Arial"/>
                <w:color w:val="FF0000"/>
                <w:sz w:val="21"/>
                <w:szCs w:val="21"/>
              </w:rPr>
            </w:pPr>
          </w:p>
        </w:tc>
        <w:tc>
          <w:tcPr>
            <w:tcW w:w="217" w:type="dxa"/>
          </w:tcPr>
          <w:p w14:paraId="4F3BEDB8" w14:textId="77777777" w:rsidR="002C0FD9" w:rsidRPr="00CA25CF" w:rsidRDefault="002C0FD9" w:rsidP="00CA25CF">
            <w:pPr>
              <w:rPr>
                <w:rFonts w:cs="Arial"/>
                <w:color w:val="FF0000"/>
                <w:sz w:val="21"/>
                <w:szCs w:val="21"/>
              </w:rPr>
            </w:pPr>
          </w:p>
        </w:tc>
        <w:tc>
          <w:tcPr>
            <w:tcW w:w="217" w:type="dxa"/>
          </w:tcPr>
          <w:p w14:paraId="491B8169" w14:textId="77777777" w:rsidR="002C0FD9" w:rsidRPr="00CA25CF" w:rsidRDefault="002C0FD9" w:rsidP="00CA25CF">
            <w:pPr>
              <w:rPr>
                <w:rFonts w:cs="Arial"/>
                <w:color w:val="FF0000"/>
                <w:sz w:val="21"/>
                <w:szCs w:val="21"/>
              </w:rPr>
            </w:pPr>
          </w:p>
        </w:tc>
        <w:tc>
          <w:tcPr>
            <w:tcW w:w="217" w:type="dxa"/>
          </w:tcPr>
          <w:p w14:paraId="3F40839E" w14:textId="77777777" w:rsidR="002C0FD9" w:rsidRPr="00CA25CF" w:rsidRDefault="002C0FD9" w:rsidP="00CA25CF">
            <w:pPr>
              <w:rPr>
                <w:rFonts w:cs="Arial"/>
                <w:color w:val="FF0000"/>
                <w:sz w:val="21"/>
                <w:szCs w:val="21"/>
              </w:rPr>
            </w:pPr>
          </w:p>
        </w:tc>
        <w:tc>
          <w:tcPr>
            <w:tcW w:w="217" w:type="dxa"/>
          </w:tcPr>
          <w:p w14:paraId="29062283" w14:textId="77777777" w:rsidR="002C0FD9" w:rsidRPr="00CA25CF" w:rsidRDefault="002C0FD9" w:rsidP="00CA25CF">
            <w:pPr>
              <w:rPr>
                <w:rFonts w:cs="Arial"/>
                <w:color w:val="FF0000"/>
                <w:sz w:val="21"/>
                <w:szCs w:val="21"/>
              </w:rPr>
            </w:pPr>
          </w:p>
        </w:tc>
        <w:tc>
          <w:tcPr>
            <w:tcW w:w="217" w:type="dxa"/>
          </w:tcPr>
          <w:p w14:paraId="6B66B475" w14:textId="77777777" w:rsidR="002C0FD9" w:rsidRPr="00CA25CF" w:rsidRDefault="002C0FD9" w:rsidP="00CA25CF">
            <w:pPr>
              <w:rPr>
                <w:rFonts w:cs="Arial"/>
                <w:color w:val="FF0000"/>
                <w:sz w:val="21"/>
                <w:szCs w:val="21"/>
              </w:rPr>
            </w:pPr>
          </w:p>
        </w:tc>
        <w:tc>
          <w:tcPr>
            <w:tcW w:w="217" w:type="dxa"/>
          </w:tcPr>
          <w:p w14:paraId="5E25E789" w14:textId="77777777" w:rsidR="002C0FD9" w:rsidRPr="00CA25CF" w:rsidRDefault="002C0FD9" w:rsidP="00CA25CF">
            <w:pPr>
              <w:rPr>
                <w:rFonts w:cs="Arial"/>
                <w:color w:val="FF0000"/>
                <w:sz w:val="21"/>
                <w:szCs w:val="21"/>
              </w:rPr>
            </w:pPr>
          </w:p>
        </w:tc>
        <w:tc>
          <w:tcPr>
            <w:tcW w:w="217" w:type="dxa"/>
          </w:tcPr>
          <w:p w14:paraId="6F305659" w14:textId="77777777" w:rsidR="002C0FD9" w:rsidRPr="00CA25CF" w:rsidRDefault="002C0FD9" w:rsidP="00CA25CF">
            <w:pPr>
              <w:rPr>
                <w:rFonts w:cs="Arial"/>
                <w:color w:val="FF0000"/>
                <w:sz w:val="21"/>
                <w:szCs w:val="21"/>
              </w:rPr>
            </w:pPr>
          </w:p>
        </w:tc>
        <w:tc>
          <w:tcPr>
            <w:tcW w:w="217" w:type="dxa"/>
          </w:tcPr>
          <w:p w14:paraId="2C6D7D88" w14:textId="77777777" w:rsidR="002C0FD9" w:rsidRPr="00CA25CF" w:rsidRDefault="002C0FD9" w:rsidP="00CA25CF">
            <w:pPr>
              <w:rPr>
                <w:rFonts w:cs="Arial"/>
                <w:color w:val="FF0000"/>
                <w:sz w:val="21"/>
                <w:szCs w:val="21"/>
              </w:rPr>
            </w:pPr>
          </w:p>
        </w:tc>
        <w:tc>
          <w:tcPr>
            <w:tcW w:w="217" w:type="dxa"/>
          </w:tcPr>
          <w:p w14:paraId="7F75A524" w14:textId="77777777" w:rsidR="002C0FD9" w:rsidRPr="00CA25CF" w:rsidRDefault="002C0FD9" w:rsidP="00CA25CF">
            <w:pPr>
              <w:rPr>
                <w:rFonts w:cs="Arial"/>
                <w:color w:val="FF0000"/>
                <w:sz w:val="21"/>
                <w:szCs w:val="21"/>
              </w:rPr>
            </w:pPr>
          </w:p>
        </w:tc>
        <w:tc>
          <w:tcPr>
            <w:tcW w:w="217" w:type="dxa"/>
          </w:tcPr>
          <w:p w14:paraId="5F4D5501" w14:textId="77777777" w:rsidR="002C0FD9" w:rsidRPr="00CA25CF" w:rsidRDefault="002C0FD9" w:rsidP="00CA25CF">
            <w:pPr>
              <w:rPr>
                <w:rFonts w:cs="Arial"/>
                <w:color w:val="FF0000"/>
                <w:sz w:val="21"/>
                <w:szCs w:val="21"/>
              </w:rPr>
            </w:pPr>
          </w:p>
        </w:tc>
        <w:tc>
          <w:tcPr>
            <w:tcW w:w="217" w:type="dxa"/>
          </w:tcPr>
          <w:p w14:paraId="34C2FC07" w14:textId="77777777" w:rsidR="002C0FD9" w:rsidRPr="00CA25CF" w:rsidRDefault="002C0FD9" w:rsidP="00CA25CF">
            <w:pPr>
              <w:rPr>
                <w:rFonts w:cs="Arial"/>
                <w:color w:val="FF0000"/>
                <w:sz w:val="21"/>
                <w:szCs w:val="21"/>
              </w:rPr>
            </w:pPr>
          </w:p>
        </w:tc>
        <w:tc>
          <w:tcPr>
            <w:tcW w:w="217" w:type="dxa"/>
          </w:tcPr>
          <w:p w14:paraId="374B6B44" w14:textId="77777777" w:rsidR="002C0FD9" w:rsidRPr="00CA25CF" w:rsidRDefault="002C0FD9" w:rsidP="00CA25CF">
            <w:pPr>
              <w:rPr>
                <w:rFonts w:cs="Arial"/>
                <w:color w:val="FF0000"/>
                <w:sz w:val="21"/>
                <w:szCs w:val="21"/>
              </w:rPr>
            </w:pPr>
          </w:p>
        </w:tc>
        <w:tc>
          <w:tcPr>
            <w:tcW w:w="217" w:type="dxa"/>
          </w:tcPr>
          <w:p w14:paraId="635ED78F" w14:textId="77777777" w:rsidR="002C0FD9" w:rsidRPr="00CA25CF" w:rsidRDefault="002C0FD9" w:rsidP="00CA25CF">
            <w:pPr>
              <w:rPr>
                <w:rFonts w:cs="Arial"/>
                <w:color w:val="FF0000"/>
                <w:sz w:val="21"/>
                <w:szCs w:val="21"/>
              </w:rPr>
            </w:pPr>
          </w:p>
        </w:tc>
        <w:tc>
          <w:tcPr>
            <w:tcW w:w="217" w:type="dxa"/>
          </w:tcPr>
          <w:p w14:paraId="48806A35" w14:textId="77777777" w:rsidR="002C0FD9" w:rsidRPr="00CA25CF" w:rsidRDefault="002C0FD9" w:rsidP="00CA25CF">
            <w:pPr>
              <w:rPr>
                <w:rFonts w:cs="Arial"/>
                <w:color w:val="FF0000"/>
                <w:sz w:val="21"/>
                <w:szCs w:val="21"/>
              </w:rPr>
            </w:pPr>
          </w:p>
        </w:tc>
        <w:tc>
          <w:tcPr>
            <w:tcW w:w="217" w:type="dxa"/>
          </w:tcPr>
          <w:p w14:paraId="01774441" w14:textId="77777777" w:rsidR="002C0FD9" w:rsidRPr="00CA25CF" w:rsidRDefault="002C0FD9" w:rsidP="00CA25CF">
            <w:pPr>
              <w:rPr>
                <w:rFonts w:cs="Arial"/>
                <w:color w:val="FF0000"/>
                <w:sz w:val="21"/>
                <w:szCs w:val="21"/>
              </w:rPr>
            </w:pPr>
          </w:p>
        </w:tc>
        <w:tc>
          <w:tcPr>
            <w:tcW w:w="217" w:type="dxa"/>
          </w:tcPr>
          <w:p w14:paraId="578232A6" w14:textId="77777777" w:rsidR="002C0FD9" w:rsidRPr="00CA25CF" w:rsidRDefault="002C0FD9" w:rsidP="00CA25CF">
            <w:pPr>
              <w:rPr>
                <w:rFonts w:cs="Arial"/>
                <w:color w:val="FF0000"/>
                <w:sz w:val="21"/>
                <w:szCs w:val="21"/>
              </w:rPr>
            </w:pPr>
          </w:p>
        </w:tc>
        <w:tc>
          <w:tcPr>
            <w:tcW w:w="217" w:type="dxa"/>
          </w:tcPr>
          <w:p w14:paraId="38DDFD9F" w14:textId="77777777" w:rsidR="002C0FD9" w:rsidRPr="00CA25CF" w:rsidRDefault="002C0FD9" w:rsidP="00CA25CF">
            <w:pPr>
              <w:rPr>
                <w:rFonts w:cs="Arial"/>
                <w:color w:val="FF0000"/>
                <w:sz w:val="21"/>
                <w:szCs w:val="21"/>
              </w:rPr>
            </w:pPr>
          </w:p>
        </w:tc>
        <w:tc>
          <w:tcPr>
            <w:tcW w:w="217" w:type="dxa"/>
          </w:tcPr>
          <w:p w14:paraId="3757909B" w14:textId="77777777" w:rsidR="002C0FD9" w:rsidRPr="00CA25CF" w:rsidRDefault="002C0FD9" w:rsidP="00CA25CF">
            <w:pPr>
              <w:rPr>
                <w:rFonts w:cs="Arial"/>
                <w:color w:val="FF0000"/>
                <w:sz w:val="21"/>
                <w:szCs w:val="21"/>
              </w:rPr>
            </w:pPr>
          </w:p>
        </w:tc>
        <w:tc>
          <w:tcPr>
            <w:tcW w:w="217" w:type="dxa"/>
          </w:tcPr>
          <w:p w14:paraId="35536DF7" w14:textId="77777777" w:rsidR="002C0FD9" w:rsidRPr="00CA25CF" w:rsidRDefault="002C0FD9" w:rsidP="00CA25CF">
            <w:pPr>
              <w:rPr>
                <w:rFonts w:cs="Arial"/>
                <w:color w:val="FF0000"/>
                <w:sz w:val="21"/>
                <w:szCs w:val="21"/>
              </w:rPr>
            </w:pPr>
          </w:p>
        </w:tc>
        <w:tc>
          <w:tcPr>
            <w:tcW w:w="217" w:type="dxa"/>
          </w:tcPr>
          <w:p w14:paraId="5CAE6689" w14:textId="77777777" w:rsidR="002C0FD9" w:rsidRPr="00CA25CF" w:rsidRDefault="002C0FD9" w:rsidP="00CA25CF">
            <w:pPr>
              <w:rPr>
                <w:rFonts w:cs="Arial"/>
                <w:color w:val="FF0000"/>
                <w:sz w:val="21"/>
                <w:szCs w:val="21"/>
              </w:rPr>
            </w:pPr>
          </w:p>
        </w:tc>
        <w:tc>
          <w:tcPr>
            <w:tcW w:w="217" w:type="dxa"/>
          </w:tcPr>
          <w:p w14:paraId="29A06C63" w14:textId="77777777" w:rsidR="002C0FD9" w:rsidRPr="00CA25CF" w:rsidRDefault="002C0FD9" w:rsidP="00CA25CF">
            <w:pPr>
              <w:rPr>
                <w:rFonts w:cs="Arial"/>
                <w:color w:val="FF0000"/>
                <w:sz w:val="21"/>
                <w:szCs w:val="21"/>
              </w:rPr>
            </w:pPr>
          </w:p>
        </w:tc>
        <w:tc>
          <w:tcPr>
            <w:tcW w:w="217" w:type="dxa"/>
          </w:tcPr>
          <w:p w14:paraId="0A6AEAE9" w14:textId="77777777" w:rsidR="002C0FD9" w:rsidRPr="00CA25CF" w:rsidRDefault="002C0FD9" w:rsidP="00CA25CF">
            <w:pPr>
              <w:rPr>
                <w:rFonts w:cs="Arial"/>
                <w:color w:val="FF0000"/>
                <w:sz w:val="21"/>
                <w:szCs w:val="21"/>
              </w:rPr>
            </w:pPr>
          </w:p>
        </w:tc>
        <w:tc>
          <w:tcPr>
            <w:tcW w:w="217" w:type="dxa"/>
          </w:tcPr>
          <w:p w14:paraId="42C2910F" w14:textId="77777777" w:rsidR="002C0FD9" w:rsidRPr="00CA25CF" w:rsidRDefault="002C0FD9" w:rsidP="00CA25CF">
            <w:pPr>
              <w:rPr>
                <w:rFonts w:cs="Arial"/>
                <w:color w:val="FF0000"/>
                <w:sz w:val="21"/>
                <w:szCs w:val="21"/>
              </w:rPr>
            </w:pPr>
          </w:p>
        </w:tc>
        <w:tc>
          <w:tcPr>
            <w:tcW w:w="217" w:type="dxa"/>
          </w:tcPr>
          <w:p w14:paraId="3D43D0EE" w14:textId="77777777" w:rsidR="002C0FD9" w:rsidRPr="00CA25CF" w:rsidRDefault="002C0FD9" w:rsidP="00CA25CF">
            <w:pPr>
              <w:rPr>
                <w:rFonts w:cs="Arial"/>
                <w:color w:val="FF0000"/>
                <w:sz w:val="21"/>
                <w:szCs w:val="21"/>
              </w:rPr>
            </w:pPr>
          </w:p>
        </w:tc>
        <w:tc>
          <w:tcPr>
            <w:tcW w:w="217" w:type="dxa"/>
          </w:tcPr>
          <w:p w14:paraId="6DB30430" w14:textId="77777777" w:rsidR="002C0FD9" w:rsidRPr="00CA25CF" w:rsidRDefault="002C0FD9" w:rsidP="00CA25CF">
            <w:pPr>
              <w:rPr>
                <w:rFonts w:cs="Arial"/>
                <w:color w:val="FF0000"/>
                <w:sz w:val="21"/>
                <w:szCs w:val="21"/>
              </w:rPr>
            </w:pPr>
          </w:p>
        </w:tc>
        <w:tc>
          <w:tcPr>
            <w:tcW w:w="217" w:type="dxa"/>
          </w:tcPr>
          <w:p w14:paraId="07B49B74" w14:textId="77777777" w:rsidR="002C0FD9" w:rsidRPr="00CA25CF" w:rsidRDefault="002C0FD9" w:rsidP="00CA25CF">
            <w:pPr>
              <w:rPr>
                <w:rFonts w:cs="Arial"/>
                <w:color w:val="FF0000"/>
                <w:sz w:val="21"/>
                <w:szCs w:val="21"/>
              </w:rPr>
            </w:pPr>
          </w:p>
        </w:tc>
        <w:tc>
          <w:tcPr>
            <w:tcW w:w="217" w:type="dxa"/>
          </w:tcPr>
          <w:p w14:paraId="36BC67EA" w14:textId="77777777" w:rsidR="002C0FD9" w:rsidRPr="00CA25CF" w:rsidRDefault="002C0FD9" w:rsidP="00CA25CF">
            <w:pPr>
              <w:rPr>
                <w:rFonts w:cs="Arial"/>
                <w:color w:val="FF0000"/>
                <w:sz w:val="21"/>
                <w:szCs w:val="21"/>
              </w:rPr>
            </w:pPr>
          </w:p>
        </w:tc>
        <w:tc>
          <w:tcPr>
            <w:tcW w:w="217" w:type="dxa"/>
          </w:tcPr>
          <w:p w14:paraId="74EB4D61" w14:textId="77777777" w:rsidR="002C0FD9" w:rsidRPr="00CA25CF" w:rsidRDefault="002C0FD9" w:rsidP="00CA25CF">
            <w:pPr>
              <w:rPr>
                <w:rFonts w:cs="Arial"/>
                <w:color w:val="FF0000"/>
                <w:sz w:val="21"/>
                <w:szCs w:val="21"/>
              </w:rPr>
            </w:pPr>
          </w:p>
        </w:tc>
        <w:tc>
          <w:tcPr>
            <w:tcW w:w="217" w:type="dxa"/>
          </w:tcPr>
          <w:p w14:paraId="0204661F" w14:textId="77777777" w:rsidR="002C0FD9" w:rsidRPr="00CA25CF" w:rsidRDefault="002C0FD9" w:rsidP="00CA25CF">
            <w:pPr>
              <w:rPr>
                <w:rFonts w:cs="Arial"/>
                <w:color w:val="FF0000"/>
                <w:sz w:val="21"/>
                <w:szCs w:val="21"/>
              </w:rPr>
            </w:pPr>
          </w:p>
        </w:tc>
        <w:tc>
          <w:tcPr>
            <w:tcW w:w="217" w:type="dxa"/>
          </w:tcPr>
          <w:p w14:paraId="7DCE6BAE" w14:textId="77777777" w:rsidR="002C0FD9" w:rsidRPr="00CA25CF" w:rsidRDefault="002C0FD9" w:rsidP="00CA25CF">
            <w:pPr>
              <w:rPr>
                <w:rFonts w:cs="Arial"/>
                <w:color w:val="FF0000"/>
                <w:sz w:val="21"/>
                <w:szCs w:val="21"/>
              </w:rPr>
            </w:pPr>
          </w:p>
        </w:tc>
        <w:tc>
          <w:tcPr>
            <w:tcW w:w="217" w:type="dxa"/>
          </w:tcPr>
          <w:p w14:paraId="7305E9CC" w14:textId="77777777" w:rsidR="002C0FD9" w:rsidRPr="00CA25CF" w:rsidRDefault="002C0FD9" w:rsidP="00CA25CF">
            <w:pPr>
              <w:rPr>
                <w:rFonts w:cs="Arial"/>
                <w:color w:val="FF0000"/>
                <w:sz w:val="21"/>
                <w:szCs w:val="21"/>
              </w:rPr>
            </w:pPr>
          </w:p>
        </w:tc>
      </w:tr>
      <w:tr w:rsidR="002C0FD9" w:rsidRPr="00A16219" w14:paraId="39686966" w14:textId="77777777" w:rsidTr="002C0FD9">
        <w:trPr>
          <w:trHeight w:val="635"/>
        </w:trPr>
        <w:tc>
          <w:tcPr>
            <w:tcW w:w="515" w:type="dxa"/>
          </w:tcPr>
          <w:p w14:paraId="725C2B2C" w14:textId="77777777" w:rsidR="002C0FD9" w:rsidRPr="00CA25CF" w:rsidRDefault="002C0FD9" w:rsidP="00CA25CF">
            <w:pPr>
              <w:rPr>
                <w:rFonts w:cs="Arial"/>
                <w:color w:val="FF0000"/>
                <w:sz w:val="21"/>
                <w:szCs w:val="21"/>
              </w:rPr>
            </w:pPr>
          </w:p>
        </w:tc>
        <w:tc>
          <w:tcPr>
            <w:tcW w:w="217" w:type="dxa"/>
          </w:tcPr>
          <w:p w14:paraId="54F132C4" w14:textId="77777777" w:rsidR="002C0FD9" w:rsidRPr="00CA25CF" w:rsidRDefault="002C0FD9" w:rsidP="00CA25CF">
            <w:pPr>
              <w:rPr>
                <w:rFonts w:cs="Arial"/>
                <w:color w:val="FF0000"/>
                <w:sz w:val="21"/>
                <w:szCs w:val="21"/>
              </w:rPr>
            </w:pPr>
          </w:p>
        </w:tc>
        <w:tc>
          <w:tcPr>
            <w:tcW w:w="217" w:type="dxa"/>
          </w:tcPr>
          <w:p w14:paraId="443565BD" w14:textId="77777777" w:rsidR="002C0FD9" w:rsidRPr="00CA25CF" w:rsidRDefault="002C0FD9" w:rsidP="00CA25CF">
            <w:pPr>
              <w:rPr>
                <w:rFonts w:cs="Arial"/>
                <w:color w:val="FF0000"/>
                <w:sz w:val="21"/>
                <w:szCs w:val="21"/>
              </w:rPr>
            </w:pPr>
          </w:p>
        </w:tc>
        <w:tc>
          <w:tcPr>
            <w:tcW w:w="217" w:type="dxa"/>
          </w:tcPr>
          <w:p w14:paraId="4F8CEA03" w14:textId="77777777" w:rsidR="002C0FD9" w:rsidRPr="00CA25CF" w:rsidRDefault="002C0FD9" w:rsidP="00CA25CF">
            <w:pPr>
              <w:rPr>
                <w:rFonts w:cs="Arial"/>
                <w:color w:val="FF0000"/>
                <w:sz w:val="21"/>
                <w:szCs w:val="21"/>
              </w:rPr>
            </w:pPr>
          </w:p>
        </w:tc>
        <w:tc>
          <w:tcPr>
            <w:tcW w:w="217" w:type="dxa"/>
          </w:tcPr>
          <w:p w14:paraId="6BFA5392" w14:textId="77777777" w:rsidR="002C0FD9" w:rsidRPr="00CA25CF" w:rsidRDefault="002C0FD9" w:rsidP="00CA25CF">
            <w:pPr>
              <w:rPr>
                <w:rFonts w:cs="Arial"/>
                <w:color w:val="FF0000"/>
                <w:sz w:val="21"/>
                <w:szCs w:val="21"/>
              </w:rPr>
            </w:pPr>
          </w:p>
        </w:tc>
        <w:tc>
          <w:tcPr>
            <w:tcW w:w="217" w:type="dxa"/>
          </w:tcPr>
          <w:p w14:paraId="7D650A1C" w14:textId="77777777" w:rsidR="002C0FD9" w:rsidRPr="00CA25CF" w:rsidRDefault="002C0FD9" w:rsidP="00CA25CF">
            <w:pPr>
              <w:rPr>
                <w:rFonts w:cs="Arial"/>
                <w:color w:val="FF0000"/>
                <w:sz w:val="21"/>
                <w:szCs w:val="21"/>
              </w:rPr>
            </w:pPr>
          </w:p>
        </w:tc>
        <w:tc>
          <w:tcPr>
            <w:tcW w:w="217" w:type="dxa"/>
          </w:tcPr>
          <w:p w14:paraId="2841E0F7" w14:textId="77777777" w:rsidR="002C0FD9" w:rsidRPr="00CA25CF" w:rsidRDefault="002C0FD9" w:rsidP="00CA25CF">
            <w:pPr>
              <w:rPr>
                <w:rFonts w:cs="Arial"/>
                <w:color w:val="FF0000"/>
                <w:sz w:val="21"/>
                <w:szCs w:val="21"/>
              </w:rPr>
            </w:pPr>
          </w:p>
        </w:tc>
        <w:tc>
          <w:tcPr>
            <w:tcW w:w="217" w:type="dxa"/>
          </w:tcPr>
          <w:p w14:paraId="026022E6" w14:textId="77777777" w:rsidR="002C0FD9" w:rsidRPr="00CA25CF" w:rsidRDefault="002C0FD9" w:rsidP="00CA25CF">
            <w:pPr>
              <w:rPr>
                <w:rFonts w:cs="Arial"/>
                <w:color w:val="FF0000"/>
                <w:sz w:val="21"/>
                <w:szCs w:val="21"/>
              </w:rPr>
            </w:pPr>
          </w:p>
        </w:tc>
        <w:tc>
          <w:tcPr>
            <w:tcW w:w="217" w:type="dxa"/>
          </w:tcPr>
          <w:p w14:paraId="3D2789C0" w14:textId="77777777" w:rsidR="002C0FD9" w:rsidRPr="00CA25CF" w:rsidRDefault="002C0FD9" w:rsidP="00CA25CF">
            <w:pPr>
              <w:rPr>
                <w:rFonts w:cs="Arial"/>
                <w:color w:val="FF0000"/>
                <w:sz w:val="21"/>
                <w:szCs w:val="21"/>
              </w:rPr>
            </w:pPr>
          </w:p>
        </w:tc>
        <w:tc>
          <w:tcPr>
            <w:tcW w:w="217" w:type="dxa"/>
          </w:tcPr>
          <w:p w14:paraId="30DC6D6F" w14:textId="77777777" w:rsidR="002C0FD9" w:rsidRPr="00CA25CF" w:rsidRDefault="002C0FD9" w:rsidP="00CA25CF">
            <w:pPr>
              <w:rPr>
                <w:rFonts w:cs="Arial"/>
                <w:color w:val="FF0000"/>
                <w:sz w:val="21"/>
                <w:szCs w:val="21"/>
              </w:rPr>
            </w:pPr>
          </w:p>
        </w:tc>
        <w:tc>
          <w:tcPr>
            <w:tcW w:w="217" w:type="dxa"/>
          </w:tcPr>
          <w:p w14:paraId="135F0E46" w14:textId="77777777" w:rsidR="002C0FD9" w:rsidRPr="00CA25CF" w:rsidRDefault="002C0FD9" w:rsidP="00CA25CF">
            <w:pPr>
              <w:rPr>
                <w:rFonts w:cs="Arial"/>
                <w:color w:val="FF0000"/>
                <w:sz w:val="21"/>
                <w:szCs w:val="21"/>
              </w:rPr>
            </w:pPr>
          </w:p>
        </w:tc>
        <w:tc>
          <w:tcPr>
            <w:tcW w:w="217" w:type="dxa"/>
          </w:tcPr>
          <w:p w14:paraId="40B349D4" w14:textId="77777777" w:rsidR="002C0FD9" w:rsidRPr="00CA25CF" w:rsidRDefault="002C0FD9" w:rsidP="00CA25CF">
            <w:pPr>
              <w:rPr>
                <w:rFonts w:cs="Arial"/>
                <w:color w:val="FF0000"/>
                <w:sz w:val="21"/>
                <w:szCs w:val="21"/>
              </w:rPr>
            </w:pPr>
          </w:p>
        </w:tc>
        <w:tc>
          <w:tcPr>
            <w:tcW w:w="217" w:type="dxa"/>
          </w:tcPr>
          <w:p w14:paraId="39241EE9" w14:textId="77777777" w:rsidR="002C0FD9" w:rsidRPr="00CA25CF" w:rsidRDefault="002C0FD9" w:rsidP="00CA25CF">
            <w:pPr>
              <w:rPr>
                <w:rFonts w:cs="Arial"/>
                <w:color w:val="FF0000"/>
                <w:sz w:val="21"/>
                <w:szCs w:val="21"/>
              </w:rPr>
            </w:pPr>
          </w:p>
        </w:tc>
        <w:tc>
          <w:tcPr>
            <w:tcW w:w="217" w:type="dxa"/>
          </w:tcPr>
          <w:p w14:paraId="39C2A2C4" w14:textId="77777777" w:rsidR="002C0FD9" w:rsidRPr="00CA25CF" w:rsidRDefault="002C0FD9" w:rsidP="00CA25CF">
            <w:pPr>
              <w:rPr>
                <w:rFonts w:cs="Arial"/>
                <w:color w:val="FF0000"/>
                <w:sz w:val="21"/>
                <w:szCs w:val="21"/>
              </w:rPr>
            </w:pPr>
          </w:p>
        </w:tc>
        <w:tc>
          <w:tcPr>
            <w:tcW w:w="217" w:type="dxa"/>
          </w:tcPr>
          <w:p w14:paraId="7AEB1609" w14:textId="77777777" w:rsidR="002C0FD9" w:rsidRPr="00CA25CF" w:rsidRDefault="002C0FD9" w:rsidP="00CA25CF">
            <w:pPr>
              <w:rPr>
                <w:rFonts w:cs="Arial"/>
                <w:color w:val="FF0000"/>
                <w:sz w:val="21"/>
                <w:szCs w:val="21"/>
              </w:rPr>
            </w:pPr>
          </w:p>
        </w:tc>
        <w:tc>
          <w:tcPr>
            <w:tcW w:w="217" w:type="dxa"/>
          </w:tcPr>
          <w:p w14:paraId="27B9597F" w14:textId="77777777" w:rsidR="002C0FD9" w:rsidRPr="00CA25CF" w:rsidRDefault="002C0FD9" w:rsidP="00CA25CF">
            <w:pPr>
              <w:rPr>
                <w:rFonts w:cs="Arial"/>
                <w:color w:val="FF0000"/>
                <w:sz w:val="21"/>
                <w:szCs w:val="21"/>
              </w:rPr>
            </w:pPr>
          </w:p>
        </w:tc>
        <w:tc>
          <w:tcPr>
            <w:tcW w:w="217" w:type="dxa"/>
          </w:tcPr>
          <w:p w14:paraId="0CAB2B24" w14:textId="77777777" w:rsidR="002C0FD9" w:rsidRPr="00CA25CF" w:rsidRDefault="002C0FD9" w:rsidP="00CA25CF">
            <w:pPr>
              <w:rPr>
                <w:rFonts w:cs="Arial"/>
                <w:color w:val="FF0000"/>
                <w:sz w:val="21"/>
                <w:szCs w:val="21"/>
              </w:rPr>
            </w:pPr>
          </w:p>
        </w:tc>
        <w:tc>
          <w:tcPr>
            <w:tcW w:w="217" w:type="dxa"/>
          </w:tcPr>
          <w:p w14:paraId="1DA2BAEE" w14:textId="77777777" w:rsidR="002C0FD9" w:rsidRPr="00CA25CF" w:rsidRDefault="002C0FD9" w:rsidP="00CA25CF">
            <w:pPr>
              <w:rPr>
                <w:rFonts w:cs="Arial"/>
                <w:color w:val="FF0000"/>
                <w:sz w:val="21"/>
                <w:szCs w:val="21"/>
              </w:rPr>
            </w:pPr>
          </w:p>
        </w:tc>
        <w:tc>
          <w:tcPr>
            <w:tcW w:w="217" w:type="dxa"/>
          </w:tcPr>
          <w:p w14:paraId="06E9EE71" w14:textId="77777777" w:rsidR="002C0FD9" w:rsidRPr="00CA25CF" w:rsidRDefault="002C0FD9" w:rsidP="00CA25CF">
            <w:pPr>
              <w:rPr>
                <w:rFonts w:cs="Arial"/>
                <w:color w:val="FF0000"/>
                <w:sz w:val="21"/>
                <w:szCs w:val="21"/>
              </w:rPr>
            </w:pPr>
          </w:p>
        </w:tc>
        <w:tc>
          <w:tcPr>
            <w:tcW w:w="217" w:type="dxa"/>
          </w:tcPr>
          <w:p w14:paraId="576D1E72" w14:textId="77777777" w:rsidR="002C0FD9" w:rsidRPr="00CA25CF" w:rsidRDefault="002C0FD9" w:rsidP="00CA25CF">
            <w:pPr>
              <w:rPr>
                <w:rFonts w:cs="Arial"/>
                <w:color w:val="FF0000"/>
                <w:sz w:val="21"/>
                <w:szCs w:val="21"/>
              </w:rPr>
            </w:pPr>
          </w:p>
        </w:tc>
        <w:tc>
          <w:tcPr>
            <w:tcW w:w="217" w:type="dxa"/>
          </w:tcPr>
          <w:p w14:paraId="1035DA80" w14:textId="77777777" w:rsidR="002C0FD9" w:rsidRPr="00CA25CF" w:rsidRDefault="002C0FD9" w:rsidP="00CA25CF">
            <w:pPr>
              <w:rPr>
                <w:rFonts w:cs="Arial"/>
                <w:color w:val="FF0000"/>
                <w:sz w:val="21"/>
                <w:szCs w:val="21"/>
              </w:rPr>
            </w:pPr>
          </w:p>
        </w:tc>
        <w:tc>
          <w:tcPr>
            <w:tcW w:w="217" w:type="dxa"/>
          </w:tcPr>
          <w:p w14:paraId="7D0C273B" w14:textId="77777777" w:rsidR="002C0FD9" w:rsidRPr="00CA25CF" w:rsidRDefault="002C0FD9" w:rsidP="00CA25CF">
            <w:pPr>
              <w:rPr>
                <w:rFonts w:cs="Arial"/>
                <w:color w:val="FF0000"/>
                <w:sz w:val="21"/>
                <w:szCs w:val="21"/>
              </w:rPr>
            </w:pPr>
          </w:p>
        </w:tc>
        <w:tc>
          <w:tcPr>
            <w:tcW w:w="217" w:type="dxa"/>
          </w:tcPr>
          <w:p w14:paraId="5649EE41" w14:textId="77777777" w:rsidR="002C0FD9" w:rsidRPr="00CA25CF" w:rsidRDefault="002C0FD9" w:rsidP="00CA25CF">
            <w:pPr>
              <w:rPr>
                <w:rFonts w:cs="Arial"/>
                <w:color w:val="FF0000"/>
                <w:sz w:val="21"/>
                <w:szCs w:val="21"/>
              </w:rPr>
            </w:pPr>
          </w:p>
        </w:tc>
        <w:tc>
          <w:tcPr>
            <w:tcW w:w="217" w:type="dxa"/>
          </w:tcPr>
          <w:p w14:paraId="6D461C23" w14:textId="77777777" w:rsidR="002C0FD9" w:rsidRPr="00CA25CF" w:rsidRDefault="002C0FD9" w:rsidP="00CA25CF">
            <w:pPr>
              <w:rPr>
                <w:rFonts w:cs="Arial"/>
                <w:color w:val="FF0000"/>
                <w:sz w:val="21"/>
                <w:szCs w:val="21"/>
              </w:rPr>
            </w:pPr>
          </w:p>
        </w:tc>
        <w:tc>
          <w:tcPr>
            <w:tcW w:w="217" w:type="dxa"/>
          </w:tcPr>
          <w:p w14:paraId="35B25377" w14:textId="77777777" w:rsidR="002C0FD9" w:rsidRPr="00CA25CF" w:rsidRDefault="002C0FD9" w:rsidP="00CA25CF">
            <w:pPr>
              <w:rPr>
                <w:rFonts w:cs="Arial"/>
                <w:color w:val="FF0000"/>
                <w:sz w:val="21"/>
                <w:szCs w:val="21"/>
              </w:rPr>
            </w:pPr>
          </w:p>
        </w:tc>
        <w:tc>
          <w:tcPr>
            <w:tcW w:w="217" w:type="dxa"/>
          </w:tcPr>
          <w:p w14:paraId="1538D386" w14:textId="77777777" w:rsidR="002C0FD9" w:rsidRPr="00CA25CF" w:rsidRDefault="002C0FD9" w:rsidP="00CA25CF">
            <w:pPr>
              <w:rPr>
                <w:rFonts w:cs="Arial"/>
                <w:color w:val="FF0000"/>
                <w:sz w:val="21"/>
                <w:szCs w:val="21"/>
              </w:rPr>
            </w:pPr>
          </w:p>
        </w:tc>
        <w:tc>
          <w:tcPr>
            <w:tcW w:w="217" w:type="dxa"/>
          </w:tcPr>
          <w:p w14:paraId="4017869C" w14:textId="77777777" w:rsidR="002C0FD9" w:rsidRPr="00CA25CF" w:rsidRDefault="002C0FD9" w:rsidP="00CA25CF">
            <w:pPr>
              <w:rPr>
                <w:rFonts w:cs="Arial"/>
                <w:color w:val="FF0000"/>
                <w:sz w:val="21"/>
                <w:szCs w:val="21"/>
              </w:rPr>
            </w:pPr>
          </w:p>
        </w:tc>
        <w:tc>
          <w:tcPr>
            <w:tcW w:w="217" w:type="dxa"/>
          </w:tcPr>
          <w:p w14:paraId="6193DAB9" w14:textId="77777777" w:rsidR="002C0FD9" w:rsidRPr="00CA25CF" w:rsidRDefault="002C0FD9" w:rsidP="00CA25CF">
            <w:pPr>
              <w:rPr>
                <w:rFonts w:cs="Arial"/>
                <w:color w:val="FF0000"/>
                <w:sz w:val="21"/>
                <w:szCs w:val="21"/>
              </w:rPr>
            </w:pPr>
          </w:p>
        </w:tc>
        <w:tc>
          <w:tcPr>
            <w:tcW w:w="217" w:type="dxa"/>
          </w:tcPr>
          <w:p w14:paraId="003AD310" w14:textId="77777777" w:rsidR="002C0FD9" w:rsidRPr="00CA25CF" w:rsidRDefault="002C0FD9" w:rsidP="00CA25CF">
            <w:pPr>
              <w:rPr>
                <w:rFonts w:cs="Arial"/>
                <w:color w:val="FF0000"/>
                <w:sz w:val="21"/>
                <w:szCs w:val="21"/>
              </w:rPr>
            </w:pPr>
          </w:p>
        </w:tc>
        <w:tc>
          <w:tcPr>
            <w:tcW w:w="217" w:type="dxa"/>
          </w:tcPr>
          <w:p w14:paraId="6BBFB6D8" w14:textId="77777777" w:rsidR="002C0FD9" w:rsidRPr="00CA25CF" w:rsidRDefault="002C0FD9" w:rsidP="00CA25CF">
            <w:pPr>
              <w:rPr>
                <w:rFonts w:cs="Arial"/>
                <w:color w:val="FF0000"/>
                <w:sz w:val="21"/>
                <w:szCs w:val="21"/>
              </w:rPr>
            </w:pPr>
          </w:p>
        </w:tc>
        <w:tc>
          <w:tcPr>
            <w:tcW w:w="217" w:type="dxa"/>
          </w:tcPr>
          <w:p w14:paraId="34D678DA" w14:textId="77777777" w:rsidR="002C0FD9" w:rsidRPr="00CA25CF" w:rsidRDefault="002C0FD9" w:rsidP="00CA25CF">
            <w:pPr>
              <w:rPr>
                <w:rFonts w:cs="Arial"/>
                <w:color w:val="FF0000"/>
                <w:sz w:val="21"/>
                <w:szCs w:val="21"/>
              </w:rPr>
            </w:pPr>
          </w:p>
        </w:tc>
        <w:tc>
          <w:tcPr>
            <w:tcW w:w="217" w:type="dxa"/>
          </w:tcPr>
          <w:p w14:paraId="22E71924" w14:textId="77777777" w:rsidR="002C0FD9" w:rsidRPr="00CA25CF" w:rsidRDefault="002C0FD9" w:rsidP="00CA25CF">
            <w:pPr>
              <w:rPr>
                <w:rFonts w:cs="Arial"/>
                <w:color w:val="FF0000"/>
                <w:sz w:val="21"/>
                <w:szCs w:val="21"/>
              </w:rPr>
            </w:pPr>
          </w:p>
        </w:tc>
        <w:tc>
          <w:tcPr>
            <w:tcW w:w="217" w:type="dxa"/>
          </w:tcPr>
          <w:p w14:paraId="16BC3AAB" w14:textId="77777777" w:rsidR="002C0FD9" w:rsidRPr="00CA25CF" w:rsidRDefault="002C0FD9" w:rsidP="00CA25CF">
            <w:pPr>
              <w:rPr>
                <w:rFonts w:cs="Arial"/>
                <w:color w:val="FF0000"/>
                <w:sz w:val="21"/>
                <w:szCs w:val="21"/>
              </w:rPr>
            </w:pPr>
          </w:p>
        </w:tc>
        <w:tc>
          <w:tcPr>
            <w:tcW w:w="217" w:type="dxa"/>
          </w:tcPr>
          <w:p w14:paraId="4E237BA0" w14:textId="77777777" w:rsidR="002C0FD9" w:rsidRPr="00CA25CF" w:rsidRDefault="002C0FD9" w:rsidP="00CA25CF">
            <w:pPr>
              <w:rPr>
                <w:rFonts w:cs="Arial"/>
                <w:color w:val="FF0000"/>
                <w:sz w:val="21"/>
                <w:szCs w:val="21"/>
              </w:rPr>
            </w:pPr>
          </w:p>
        </w:tc>
        <w:tc>
          <w:tcPr>
            <w:tcW w:w="217" w:type="dxa"/>
          </w:tcPr>
          <w:p w14:paraId="424A8A3B" w14:textId="77777777" w:rsidR="002C0FD9" w:rsidRPr="00CA25CF" w:rsidRDefault="002C0FD9" w:rsidP="00CA25CF">
            <w:pPr>
              <w:rPr>
                <w:rFonts w:cs="Arial"/>
                <w:color w:val="FF0000"/>
                <w:sz w:val="21"/>
                <w:szCs w:val="21"/>
              </w:rPr>
            </w:pPr>
          </w:p>
        </w:tc>
        <w:tc>
          <w:tcPr>
            <w:tcW w:w="217" w:type="dxa"/>
          </w:tcPr>
          <w:p w14:paraId="40A5E2DC" w14:textId="77777777" w:rsidR="002C0FD9" w:rsidRPr="00CA25CF" w:rsidRDefault="002C0FD9" w:rsidP="00CA25CF">
            <w:pPr>
              <w:rPr>
                <w:rFonts w:cs="Arial"/>
                <w:color w:val="FF0000"/>
                <w:sz w:val="21"/>
                <w:szCs w:val="21"/>
              </w:rPr>
            </w:pPr>
          </w:p>
        </w:tc>
        <w:tc>
          <w:tcPr>
            <w:tcW w:w="217" w:type="dxa"/>
          </w:tcPr>
          <w:p w14:paraId="36FCDB34" w14:textId="77777777" w:rsidR="002C0FD9" w:rsidRPr="00CA25CF" w:rsidRDefault="002C0FD9" w:rsidP="00CA25CF">
            <w:pPr>
              <w:rPr>
                <w:rFonts w:cs="Arial"/>
                <w:color w:val="FF0000"/>
                <w:sz w:val="21"/>
                <w:szCs w:val="21"/>
              </w:rPr>
            </w:pPr>
          </w:p>
        </w:tc>
        <w:tc>
          <w:tcPr>
            <w:tcW w:w="217" w:type="dxa"/>
          </w:tcPr>
          <w:p w14:paraId="1D722618" w14:textId="77777777" w:rsidR="002C0FD9" w:rsidRPr="00CA25CF" w:rsidRDefault="002C0FD9" w:rsidP="00CA25CF">
            <w:pPr>
              <w:rPr>
                <w:rFonts w:cs="Arial"/>
                <w:color w:val="FF0000"/>
                <w:sz w:val="21"/>
                <w:szCs w:val="21"/>
              </w:rPr>
            </w:pPr>
          </w:p>
        </w:tc>
        <w:tc>
          <w:tcPr>
            <w:tcW w:w="217" w:type="dxa"/>
          </w:tcPr>
          <w:p w14:paraId="3F2C3625" w14:textId="77777777" w:rsidR="002C0FD9" w:rsidRPr="00CA25CF" w:rsidRDefault="002C0FD9" w:rsidP="00CA25CF">
            <w:pPr>
              <w:rPr>
                <w:rFonts w:cs="Arial"/>
                <w:color w:val="FF0000"/>
                <w:sz w:val="21"/>
                <w:szCs w:val="21"/>
              </w:rPr>
            </w:pPr>
          </w:p>
        </w:tc>
        <w:tc>
          <w:tcPr>
            <w:tcW w:w="217" w:type="dxa"/>
          </w:tcPr>
          <w:p w14:paraId="1E25F19A" w14:textId="77777777" w:rsidR="002C0FD9" w:rsidRPr="00CA25CF" w:rsidRDefault="002C0FD9" w:rsidP="00CA25CF">
            <w:pPr>
              <w:rPr>
                <w:rFonts w:cs="Arial"/>
                <w:color w:val="FF0000"/>
                <w:sz w:val="21"/>
                <w:szCs w:val="21"/>
              </w:rPr>
            </w:pPr>
          </w:p>
        </w:tc>
        <w:tc>
          <w:tcPr>
            <w:tcW w:w="217" w:type="dxa"/>
          </w:tcPr>
          <w:p w14:paraId="30B2515A" w14:textId="77777777" w:rsidR="002C0FD9" w:rsidRPr="00CA25CF" w:rsidRDefault="002C0FD9" w:rsidP="00CA25CF">
            <w:pPr>
              <w:rPr>
                <w:rFonts w:cs="Arial"/>
                <w:color w:val="FF0000"/>
                <w:sz w:val="21"/>
                <w:szCs w:val="21"/>
              </w:rPr>
            </w:pPr>
          </w:p>
        </w:tc>
        <w:tc>
          <w:tcPr>
            <w:tcW w:w="217" w:type="dxa"/>
          </w:tcPr>
          <w:p w14:paraId="43E7AA35" w14:textId="77777777" w:rsidR="002C0FD9" w:rsidRPr="00CA25CF" w:rsidRDefault="002C0FD9" w:rsidP="00CA25CF">
            <w:pPr>
              <w:rPr>
                <w:rFonts w:cs="Arial"/>
                <w:color w:val="FF0000"/>
                <w:sz w:val="21"/>
                <w:szCs w:val="21"/>
              </w:rPr>
            </w:pPr>
          </w:p>
        </w:tc>
        <w:tc>
          <w:tcPr>
            <w:tcW w:w="217" w:type="dxa"/>
          </w:tcPr>
          <w:p w14:paraId="29799C28" w14:textId="77777777" w:rsidR="002C0FD9" w:rsidRPr="00CA25CF" w:rsidRDefault="002C0FD9" w:rsidP="00CA25CF">
            <w:pPr>
              <w:rPr>
                <w:rFonts w:cs="Arial"/>
                <w:color w:val="FF0000"/>
                <w:sz w:val="21"/>
                <w:szCs w:val="21"/>
              </w:rPr>
            </w:pPr>
          </w:p>
        </w:tc>
      </w:tr>
      <w:tr w:rsidR="002C0FD9" w:rsidRPr="00A16219" w14:paraId="5A540D63" w14:textId="77777777" w:rsidTr="002C0FD9">
        <w:trPr>
          <w:trHeight w:val="635"/>
        </w:trPr>
        <w:tc>
          <w:tcPr>
            <w:tcW w:w="515" w:type="dxa"/>
          </w:tcPr>
          <w:p w14:paraId="75A030BD" w14:textId="77777777" w:rsidR="002C0FD9" w:rsidRPr="00CA25CF" w:rsidRDefault="002C0FD9" w:rsidP="00CA25CF">
            <w:pPr>
              <w:rPr>
                <w:rFonts w:cs="Arial"/>
                <w:color w:val="FF0000"/>
                <w:sz w:val="21"/>
                <w:szCs w:val="21"/>
              </w:rPr>
            </w:pPr>
          </w:p>
        </w:tc>
        <w:tc>
          <w:tcPr>
            <w:tcW w:w="217" w:type="dxa"/>
          </w:tcPr>
          <w:p w14:paraId="1D7AB5D4" w14:textId="77777777" w:rsidR="002C0FD9" w:rsidRPr="00CA25CF" w:rsidRDefault="002C0FD9" w:rsidP="00CA25CF">
            <w:pPr>
              <w:rPr>
                <w:rFonts w:cs="Arial"/>
                <w:color w:val="FF0000"/>
                <w:sz w:val="21"/>
                <w:szCs w:val="21"/>
              </w:rPr>
            </w:pPr>
          </w:p>
        </w:tc>
        <w:tc>
          <w:tcPr>
            <w:tcW w:w="217" w:type="dxa"/>
          </w:tcPr>
          <w:p w14:paraId="079E408A" w14:textId="77777777" w:rsidR="002C0FD9" w:rsidRPr="00CA25CF" w:rsidRDefault="002C0FD9" w:rsidP="00CA25CF">
            <w:pPr>
              <w:rPr>
                <w:rFonts w:cs="Arial"/>
                <w:color w:val="FF0000"/>
                <w:sz w:val="21"/>
                <w:szCs w:val="21"/>
              </w:rPr>
            </w:pPr>
          </w:p>
        </w:tc>
        <w:tc>
          <w:tcPr>
            <w:tcW w:w="217" w:type="dxa"/>
          </w:tcPr>
          <w:p w14:paraId="5D1E9C4A" w14:textId="77777777" w:rsidR="002C0FD9" w:rsidRPr="00CA25CF" w:rsidRDefault="002C0FD9" w:rsidP="00CA25CF">
            <w:pPr>
              <w:rPr>
                <w:rFonts w:cs="Arial"/>
                <w:color w:val="FF0000"/>
                <w:sz w:val="21"/>
                <w:szCs w:val="21"/>
              </w:rPr>
            </w:pPr>
          </w:p>
        </w:tc>
        <w:tc>
          <w:tcPr>
            <w:tcW w:w="217" w:type="dxa"/>
          </w:tcPr>
          <w:p w14:paraId="7A5E9886" w14:textId="77777777" w:rsidR="002C0FD9" w:rsidRPr="00CA25CF" w:rsidRDefault="002C0FD9" w:rsidP="00CA25CF">
            <w:pPr>
              <w:rPr>
                <w:rFonts w:cs="Arial"/>
                <w:color w:val="FF0000"/>
                <w:sz w:val="21"/>
                <w:szCs w:val="21"/>
              </w:rPr>
            </w:pPr>
          </w:p>
        </w:tc>
        <w:tc>
          <w:tcPr>
            <w:tcW w:w="217" w:type="dxa"/>
          </w:tcPr>
          <w:p w14:paraId="1A0E3E20" w14:textId="77777777" w:rsidR="002C0FD9" w:rsidRPr="00CA25CF" w:rsidRDefault="002C0FD9" w:rsidP="00CA25CF">
            <w:pPr>
              <w:rPr>
                <w:rFonts w:cs="Arial"/>
                <w:color w:val="FF0000"/>
                <w:sz w:val="21"/>
                <w:szCs w:val="21"/>
              </w:rPr>
            </w:pPr>
          </w:p>
        </w:tc>
        <w:tc>
          <w:tcPr>
            <w:tcW w:w="217" w:type="dxa"/>
          </w:tcPr>
          <w:p w14:paraId="2F720540" w14:textId="77777777" w:rsidR="002C0FD9" w:rsidRPr="00CA25CF" w:rsidRDefault="002C0FD9" w:rsidP="00CA25CF">
            <w:pPr>
              <w:rPr>
                <w:rFonts w:cs="Arial"/>
                <w:color w:val="FF0000"/>
                <w:sz w:val="21"/>
                <w:szCs w:val="21"/>
              </w:rPr>
            </w:pPr>
          </w:p>
        </w:tc>
        <w:tc>
          <w:tcPr>
            <w:tcW w:w="217" w:type="dxa"/>
          </w:tcPr>
          <w:p w14:paraId="444047DC" w14:textId="77777777" w:rsidR="002C0FD9" w:rsidRPr="00CA25CF" w:rsidRDefault="002C0FD9" w:rsidP="00CA25CF">
            <w:pPr>
              <w:rPr>
                <w:rFonts w:cs="Arial"/>
                <w:color w:val="FF0000"/>
                <w:sz w:val="21"/>
                <w:szCs w:val="21"/>
              </w:rPr>
            </w:pPr>
          </w:p>
        </w:tc>
        <w:tc>
          <w:tcPr>
            <w:tcW w:w="217" w:type="dxa"/>
          </w:tcPr>
          <w:p w14:paraId="71119411" w14:textId="77777777" w:rsidR="002C0FD9" w:rsidRPr="00CA25CF" w:rsidRDefault="002C0FD9" w:rsidP="00CA25CF">
            <w:pPr>
              <w:rPr>
                <w:rFonts w:cs="Arial"/>
                <w:color w:val="FF0000"/>
                <w:sz w:val="21"/>
                <w:szCs w:val="21"/>
              </w:rPr>
            </w:pPr>
          </w:p>
        </w:tc>
        <w:tc>
          <w:tcPr>
            <w:tcW w:w="217" w:type="dxa"/>
          </w:tcPr>
          <w:p w14:paraId="4A6A4583" w14:textId="77777777" w:rsidR="002C0FD9" w:rsidRPr="00CA25CF" w:rsidRDefault="002C0FD9" w:rsidP="00CA25CF">
            <w:pPr>
              <w:rPr>
                <w:rFonts w:cs="Arial"/>
                <w:color w:val="FF0000"/>
                <w:sz w:val="21"/>
                <w:szCs w:val="21"/>
              </w:rPr>
            </w:pPr>
          </w:p>
        </w:tc>
        <w:tc>
          <w:tcPr>
            <w:tcW w:w="217" w:type="dxa"/>
          </w:tcPr>
          <w:p w14:paraId="69F99DA9" w14:textId="77777777" w:rsidR="002C0FD9" w:rsidRPr="00CA25CF" w:rsidRDefault="002C0FD9" w:rsidP="00CA25CF">
            <w:pPr>
              <w:rPr>
                <w:rFonts w:cs="Arial"/>
                <w:color w:val="FF0000"/>
                <w:sz w:val="21"/>
                <w:szCs w:val="21"/>
              </w:rPr>
            </w:pPr>
          </w:p>
        </w:tc>
        <w:tc>
          <w:tcPr>
            <w:tcW w:w="217" w:type="dxa"/>
          </w:tcPr>
          <w:p w14:paraId="28224BE4" w14:textId="77777777" w:rsidR="002C0FD9" w:rsidRPr="00CA25CF" w:rsidRDefault="002C0FD9" w:rsidP="00CA25CF">
            <w:pPr>
              <w:rPr>
                <w:rFonts w:cs="Arial"/>
                <w:color w:val="FF0000"/>
                <w:sz w:val="21"/>
                <w:szCs w:val="21"/>
              </w:rPr>
            </w:pPr>
          </w:p>
        </w:tc>
        <w:tc>
          <w:tcPr>
            <w:tcW w:w="217" w:type="dxa"/>
          </w:tcPr>
          <w:p w14:paraId="46C62818" w14:textId="77777777" w:rsidR="002C0FD9" w:rsidRPr="00CA25CF" w:rsidRDefault="002C0FD9" w:rsidP="00CA25CF">
            <w:pPr>
              <w:rPr>
                <w:rFonts w:cs="Arial"/>
                <w:color w:val="FF0000"/>
                <w:sz w:val="21"/>
                <w:szCs w:val="21"/>
              </w:rPr>
            </w:pPr>
          </w:p>
        </w:tc>
        <w:tc>
          <w:tcPr>
            <w:tcW w:w="217" w:type="dxa"/>
          </w:tcPr>
          <w:p w14:paraId="3AFCF863" w14:textId="77777777" w:rsidR="002C0FD9" w:rsidRPr="00CA25CF" w:rsidRDefault="002C0FD9" w:rsidP="00CA25CF">
            <w:pPr>
              <w:rPr>
                <w:rFonts w:cs="Arial"/>
                <w:color w:val="FF0000"/>
                <w:sz w:val="21"/>
                <w:szCs w:val="21"/>
              </w:rPr>
            </w:pPr>
          </w:p>
        </w:tc>
        <w:tc>
          <w:tcPr>
            <w:tcW w:w="217" w:type="dxa"/>
          </w:tcPr>
          <w:p w14:paraId="15D1B560" w14:textId="77777777" w:rsidR="002C0FD9" w:rsidRPr="00CA25CF" w:rsidRDefault="002C0FD9" w:rsidP="00CA25CF">
            <w:pPr>
              <w:rPr>
                <w:rFonts w:cs="Arial"/>
                <w:color w:val="FF0000"/>
                <w:sz w:val="21"/>
                <w:szCs w:val="21"/>
              </w:rPr>
            </w:pPr>
          </w:p>
        </w:tc>
        <w:tc>
          <w:tcPr>
            <w:tcW w:w="217" w:type="dxa"/>
          </w:tcPr>
          <w:p w14:paraId="2927DB53" w14:textId="77777777" w:rsidR="002C0FD9" w:rsidRPr="00CA25CF" w:rsidRDefault="002C0FD9" w:rsidP="00CA25CF">
            <w:pPr>
              <w:rPr>
                <w:rFonts w:cs="Arial"/>
                <w:color w:val="FF0000"/>
                <w:sz w:val="21"/>
                <w:szCs w:val="21"/>
              </w:rPr>
            </w:pPr>
          </w:p>
        </w:tc>
        <w:tc>
          <w:tcPr>
            <w:tcW w:w="217" w:type="dxa"/>
          </w:tcPr>
          <w:p w14:paraId="7915C282" w14:textId="77777777" w:rsidR="002C0FD9" w:rsidRPr="00CA25CF" w:rsidRDefault="002C0FD9" w:rsidP="00CA25CF">
            <w:pPr>
              <w:rPr>
                <w:rFonts w:cs="Arial"/>
                <w:color w:val="FF0000"/>
                <w:sz w:val="21"/>
                <w:szCs w:val="21"/>
              </w:rPr>
            </w:pPr>
          </w:p>
        </w:tc>
        <w:tc>
          <w:tcPr>
            <w:tcW w:w="217" w:type="dxa"/>
          </w:tcPr>
          <w:p w14:paraId="52D400BE" w14:textId="77777777" w:rsidR="002C0FD9" w:rsidRPr="00CA25CF" w:rsidRDefault="002C0FD9" w:rsidP="00CA25CF">
            <w:pPr>
              <w:rPr>
                <w:rFonts w:cs="Arial"/>
                <w:color w:val="FF0000"/>
                <w:sz w:val="21"/>
                <w:szCs w:val="21"/>
              </w:rPr>
            </w:pPr>
          </w:p>
        </w:tc>
        <w:tc>
          <w:tcPr>
            <w:tcW w:w="217" w:type="dxa"/>
          </w:tcPr>
          <w:p w14:paraId="2A2D5B1B" w14:textId="77777777" w:rsidR="002C0FD9" w:rsidRPr="00CA25CF" w:rsidRDefault="002C0FD9" w:rsidP="00CA25CF">
            <w:pPr>
              <w:rPr>
                <w:rFonts w:cs="Arial"/>
                <w:color w:val="FF0000"/>
                <w:sz w:val="21"/>
                <w:szCs w:val="21"/>
              </w:rPr>
            </w:pPr>
          </w:p>
        </w:tc>
        <w:tc>
          <w:tcPr>
            <w:tcW w:w="217" w:type="dxa"/>
          </w:tcPr>
          <w:p w14:paraId="290CEBBC" w14:textId="77777777" w:rsidR="002C0FD9" w:rsidRPr="00CA25CF" w:rsidRDefault="002C0FD9" w:rsidP="00CA25CF">
            <w:pPr>
              <w:rPr>
                <w:rFonts w:cs="Arial"/>
                <w:color w:val="FF0000"/>
                <w:sz w:val="21"/>
                <w:szCs w:val="21"/>
              </w:rPr>
            </w:pPr>
          </w:p>
        </w:tc>
        <w:tc>
          <w:tcPr>
            <w:tcW w:w="217" w:type="dxa"/>
          </w:tcPr>
          <w:p w14:paraId="6FBC455D" w14:textId="77777777" w:rsidR="002C0FD9" w:rsidRPr="00CA25CF" w:rsidRDefault="002C0FD9" w:rsidP="00CA25CF">
            <w:pPr>
              <w:rPr>
                <w:rFonts w:cs="Arial"/>
                <w:color w:val="FF0000"/>
                <w:sz w:val="21"/>
                <w:szCs w:val="21"/>
              </w:rPr>
            </w:pPr>
          </w:p>
        </w:tc>
        <w:tc>
          <w:tcPr>
            <w:tcW w:w="217" w:type="dxa"/>
          </w:tcPr>
          <w:p w14:paraId="24BDF839" w14:textId="77777777" w:rsidR="002C0FD9" w:rsidRPr="00CA25CF" w:rsidRDefault="002C0FD9" w:rsidP="00CA25CF">
            <w:pPr>
              <w:rPr>
                <w:rFonts w:cs="Arial"/>
                <w:color w:val="FF0000"/>
                <w:sz w:val="21"/>
                <w:szCs w:val="21"/>
              </w:rPr>
            </w:pPr>
          </w:p>
        </w:tc>
        <w:tc>
          <w:tcPr>
            <w:tcW w:w="217" w:type="dxa"/>
          </w:tcPr>
          <w:p w14:paraId="26E86AB7" w14:textId="77777777" w:rsidR="002C0FD9" w:rsidRPr="00CA25CF" w:rsidRDefault="002C0FD9" w:rsidP="00CA25CF">
            <w:pPr>
              <w:rPr>
                <w:rFonts w:cs="Arial"/>
                <w:color w:val="FF0000"/>
                <w:sz w:val="21"/>
                <w:szCs w:val="21"/>
              </w:rPr>
            </w:pPr>
          </w:p>
        </w:tc>
        <w:tc>
          <w:tcPr>
            <w:tcW w:w="217" w:type="dxa"/>
          </w:tcPr>
          <w:p w14:paraId="3D52B750" w14:textId="77777777" w:rsidR="002C0FD9" w:rsidRPr="00CA25CF" w:rsidRDefault="002C0FD9" w:rsidP="00CA25CF">
            <w:pPr>
              <w:rPr>
                <w:rFonts w:cs="Arial"/>
                <w:color w:val="FF0000"/>
                <w:sz w:val="21"/>
                <w:szCs w:val="21"/>
              </w:rPr>
            </w:pPr>
          </w:p>
        </w:tc>
        <w:tc>
          <w:tcPr>
            <w:tcW w:w="217" w:type="dxa"/>
          </w:tcPr>
          <w:p w14:paraId="294F40D2" w14:textId="77777777" w:rsidR="002C0FD9" w:rsidRPr="00CA25CF" w:rsidRDefault="002C0FD9" w:rsidP="00CA25CF">
            <w:pPr>
              <w:rPr>
                <w:rFonts w:cs="Arial"/>
                <w:color w:val="FF0000"/>
                <w:sz w:val="21"/>
                <w:szCs w:val="21"/>
              </w:rPr>
            </w:pPr>
          </w:p>
        </w:tc>
        <w:tc>
          <w:tcPr>
            <w:tcW w:w="217" w:type="dxa"/>
          </w:tcPr>
          <w:p w14:paraId="60767A13" w14:textId="77777777" w:rsidR="002C0FD9" w:rsidRPr="00CA25CF" w:rsidRDefault="002C0FD9" w:rsidP="00CA25CF">
            <w:pPr>
              <w:rPr>
                <w:rFonts w:cs="Arial"/>
                <w:color w:val="FF0000"/>
                <w:sz w:val="21"/>
                <w:szCs w:val="21"/>
              </w:rPr>
            </w:pPr>
          </w:p>
        </w:tc>
        <w:tc>
          <w:tcPr>
            <w:tcW w:w="217" w:type="dxa"/>
          </w:tcPr>
          <w:p w14:paraId="3C36172D" w14:textId="77777777" w:rsidR="002C0FD9" w:rsidRPr="00CA25CF" w:rsidRDefault="002C0FD9" w:rsidP="00CA25CF">
            <w:pPr>
              <w:rPr>
                <w:rFonts w:cs="Arial"/>
                <w:color w:val="FF0000"/>
                <w:sz w:val="21"/>
                <w:szCs w:val="21"/>
              </w:rPr>
            </w:pPr>
          </w:p>
        </w:tc>
        <w:tc>
          <w:tcPr>
            <w:tcW w:w="217" w:type="dxa"/>
          </w:tcPr>
          <w:p w14:paraId="0223DEE3" w14:textId="77777777" w:rsidR="002C0FD9" w:rsidRPr="00CA25CF" w:rsidRDefault="002C0FD9" w:rsidP="00CA25CF">
            <w:pPr>
              <w:rPr>
                <w:rFonts w:cs="Arial"/>
                <w:color w:val="FF0000"/>
                <w:sz w:val="21"/>
                <w:szCs w:val="21"/>
              </w:rPr>
            </w:pPr>
          </w:p>
        </w:tc>
        <w:tc>
          <w:tcPr>
            <w:tcW w:w="217" w:type="dxa"/>
          </w:tcPr>
          <w:p w14:paraId="352A4D28" w14:textId="77777777" w:rsidR="002C0FD9" w:rsidRPr="00CA25CF" w:rsidRDefault="002C0FD9" w:rsidP="00CA25CF">
            <w:pPr>
              <w:rPr>
                <w:rFonts w:cs="Arial"/>
                <w:color w:val="FF0000"/>
                <w:sz w:val="21"/>
                <w:szCs w:val="21"/>
              </w:rPr>
            </w:pPr>
          </w:p>
        </w:tc>
        <w:tc>
          <w:tcPr>
            <w:tcW w:w="217" w:type="dxa"/>
          </w:tcPr>
          <w:p w14:paraId="32DED532" w14:textId="77777777" w:rsidR="002C0FD9" w:rsidRPr="00CA25CF" w:rsidRDefault="002C0FD9" w:rsidP="00CA25CF">
            <w:pPr>
              <w:rPr>
                <w:rFonts w:cs="Arial"/>
                <w:color w:val="FF0000"/>
                <w:sz w:val="21"/>
                <w:szCs w:val="21"/>
              </w:rPr>
            </w:pPr>
          </w:p>
        </w:tc>
        <w:tc>
          <w:tcPr>
            <w:tcW w:w="217" w:type="dxa"/>
          </w:tcPr>
          <w:p w14:paraId="29A5AB98" w14:textId="77777777" w:rsidR="002C0FD9" w:rsidRPr="00CA25CF" w:rsidRDefault="002C0FD9" w:rsidP="00CA25CF">
            <w:pPr>
              <w:rPr>
                <w:rFonts w:cs="Arial"/>
                <w:color w:val="FF0000"/>
                <w:sz w:val="21"/>
                <w:szCs w:val="21"/>
              </w:rPr>
            </w:pPr>
          </w:p>
        </w:tc>
        <w:tc>
          <w:tcPr>
            <w:tcW w:w="217" w:type="dxa"/>
          </w:tcPr>
          <w:p w14:paraId="53B4A42F" w14:textId="77777777" w:rsidR="002C0FD9" w:rsidRPr="00CA25CF" w:rsidRDefault="002C0FD9" w:rsidP="00CA25CF">
            <w:pPr>
              <w:rPr>
                <w:rFonts w:cs="Arial"/>
                <w:color w:val="FF0000"/>
                <w:sz w:val="21"/>
                <w:szCs w:val="21"/>
              </w:rPr>
            </w:pPr>
          </w:p>
        </w:tc>
        <w:tc>
          <w:tcPr>
            <w:tcW w:w="217" w:type="dxa"/>
          </w:tcPr>
          <w:p w14:paraId="540B813B" w14:textId="77777777" w:rsidR="002C0FD9" w:rsidRPr="00CA25CF" w:rsidRDefault="002C0FD9" w:rsidP="00CA25CF">
            <w:pPr>
              <w:rPr>
                <w:rFonts w:cs="Arial"/>
                <w:color w:val="FF0000"/>
                <w:sz w:val="21"/>
                <w:szCs w:val="21"/>
              </w:rPr>
            </w:pPr>
          </w:p>
        </w:tc>
        <w:tc>
          <w:tcPr>
            <w:tcW w:w="217" w:type="dxa"/>
          </w:tcPr>
          <w:p w14:paraId="58698C53" w14:textId="77777777" w:rsidR="002C0FD9" w:rsidRPr="00CA25CF" w:rsidRDefault="002C0FD9" w:rsidP="00CA25CF">
            <w:pPr>
              <w:rPr>
                <w:rFonts w:cs="Arial"/>
                <w:color w:val="FF0000"/>
                <w:sz w:val="21"/>
                <w:szCs w:val="21"/>
              </w:rPr>
            </w:pPr>
          </w:p>
        </w:tc>
        <w:tc>
          <w:tcPr>
            <w:tcW w:w="217" w:type="dxa"/>
          </w:tcPr>
          <w:p w14:paraId="64392876" w14:textId="77777777" w:rsidR="002C0FD9" w:rsidRPr="00CA25CF" w:rsidRDefault="002C0FD9" w:rsidP="00CA25CF">
            <w:pPr>
              <w:rPr>
                <w:rFonts w:cs="Arial"/>
                <w:color w:val="FF0000"/>
                <w:sz w:val="21"/>
                <w:szCs w:val="21"/>
              </w:rPr>
            </w:pPr>
          </w:p>
        </w:tc>
        <w:tc>
          <w:tcPr>
            <w:tcW w:w="217" w:type="dxa"/>
          </w:tcPr>
          <w:p w14:paraId="7FD22EAD" w14:textId="77777777" w:rsidR="002C0FD9" w:rsidRPr="00CA25CF" w:rsidRDefault="002C0FD9" w:rsidP="00CA25CF">
            <w:pPr>
              <w:rPr>
                <w:rFonts w:cs="Arial"/>
                <w:color w:val="FF0000"/>
                <w:sz w:val="21"/>
                <w:szCs w:val="21"/>
              </w:rPr>
            </w:pPr>
          </w:p>
        </w:tc>
        <w:tc>
          <w:tcPr>
            <w:tcW w:w="217" w:type="dxa"/>
          </w:tcPr>
          <w:p w14:paraId="3D558DB2" w14:textId="77777777" w:rsidR="002C0FD9" w:rsidRPr="00CA25CF" w:rsidRDefault="002C0FD9" w:rsidP="00CA25CF">
            <w:pPr>
              <w:rPr>
                <w:rFonts w:cs="Arial"/>
                <w:color w:val="FF0000"/>
                <w:sz w:val="21"/>
                <w:szCs w:val="21"/>
              </w:rPr>
            </w:pPr>
          </w:p>
        </w:tc>
        <w:tc>
          <w:tcPr>
            <w:tcW w:w="217" w:type="dxa"/>
          </w:tcPr>
          <w:p w14:paraId="1629C041" w14:textId="77777777" w:rsidR="002C0FD9" w:rsidRPr="00CA25CF" w:rsidRDefault="002C0FD9" w:rsidP="00CA25CF">
            <w:pPr>
              <w:rPr>
                <w:rFonts w:cs="Arial"/>
                <w:color w:val="FF0000"/>
                <w:sz w:val="21"/>
                <w:szCs w:val="21"/>
              </w:rPr>
            </w:pPr>
          </w:p>
        </w:tc>
        <w:tc>
          <w:tcPr>
            <w:tcW w:w="217" w:type="dxa"/>
          </w:tcPr>
          <w:p w14:paraId="5AC1483E" w14:textId="77777777" w:rsidR="002C0FD9" w:rsidRPr="00CA25CF" w:rsidRDefault="002C0FD9" w:rsidP="00CA25CF">
            <w:pPr>
              <w:rPr>
                <w:rFonts w:cs="Arial"/>
                <w:color w:val="FF0000"/>
                <w:sz w:val="21"/>
                <w:szCs w:val="21"/>
              </w:rPr>
            </w:pPr>
          </w:p>
        </w:tc>
        <w:tc>
          <w:tcPr>
            <w:tcW w:w="217" w:type="dxa"/>
          </w:tcPr>
          <w:p w14:paraId="43FD4911" w14:textId="77777777" w:rsidR="002C0FD9" w:rsidRPr="00CA25CF" w:rsidRDefault="002C0FD9" w:rsidP="00CA25CF">
            <w:pPr>
              <w:rPr>
                <w:rFonts w:cs="Arial"/>
                <w:color w:val="FF0000"/>
                <w:sz w:val="21"/>
                <w:szCs w:val="21"/>
              </w:rPr>
            </w:pPr>
          </w:p>
        </w:tc>
        <w:tc>
          <w:tcPr>
            <w:tcW w:w="217" w:type="dxa"/>
          </w:tcPr>
          <w:p w14:paraId="66E8E325" w14:textId="77777777" w:rsidR="002C0FD9" w:rsidRPr="00CA25CF" w:rsidRDefault="002C0FD9" w:rsidP="00CA25CF">
            <w:pPr>
              <w:rPr>
                <w:rFonts w:cs="Arial"/>
                <w:color w:val="FF0000"/>
                <w:sz w:val="21"/>
                <w:szCs w:val="21"/>
              </w:rPr>
            </w:pPr>
          </w:p>
        </w:tc>
        <w:tc>
          <w:tcPr>
            <w:tcW w:w="217" w:type="dxa"/>
          </w:tcPr>
          <w:p w14:paraId="0F5EF7B5" w14:textId="77777777" w:rsidR="002C0FD9" w:rsidRPr="00CA25CF" w:rsidRDefault="002C0FD9" w:rsidP="00CA25CF">
            <w:pPr>
              <w:rPr>
                <w:rFonts w:cs="Arial"/>
                <w:color w:val="FF0000"/>
                <w:sz w:val="21"/>
                <w:szCs w:val="21"/>
              </w:rPr>
            </w:pPr>
          </w:p>
        </w:tc>
        <w:tc>
          <w:tcPr>
            <w:tcW w:w="217" w:type="dxa"/>
          </w:tcPr>
          <w:p w14:paraId="4951987F" w14:textId="77777777" w:rsidR="002C0FD9" w:rsidRPr="00CA25CF" w:rsidRDefault="002C0FD9" w:rsidP="00CA25CF">
            <w:pPr>
              <w:rPr>
                <w:rFonts w:cs="Arial"/>
                <w:color w:val="FF0000"/>
                <w:sz w:val="21"/>
                <w:szCs w:val="21"/>
              </w:rPr>
            </w:pPr>
          </w:p>
        </w:tc>
      </w:tr>
      <w:tr w:rsidR="002C0FD9" w:rsidRPr="00A16219" w14:paraId="5018503C" w14:textId="77777777" w:rsidTr="002C0FD9">
        <w:trPr>
          <w:trHeight w:val="635"/>
        </w:trPr>
        <w:tc>
          <w:tcPr>
            <w:tcW w:w="515" w:type="dxa"/>
          </w:tcPr>
          <w:p w14:paraId="65927338" w14:textId="77777777" w:rsidR="002C0FD9" w:rsidRPr="00CA25CF" w:rsidRDefault="002C0FD9" w:rsidP="00CA25CF">
            <w:pPr>
              <w:rPr>
                <w:rFonts w:cs="Arial"/>
                <w:color w:val="FF0000"/>
                <w:sz w:val="21"/>
                <w:szCs w:val="21"/>
              </w:rPr>
            </w:pPr>
          </w:p>
        </w:tc>
        <w:tc>
          <w:tcPr>
            <w:tcW w:w="217" w:type="dxa"/>
          </w:tcPr>
          <w:p w14:paraId="3E5B0688" w14:textId="77777777" w:rsidR="002C0FD9" w:rsidRPr="00CA25CF" w:rsidRDefault="002C0FD9" w:rsidP="00CA25CF">
            <w:pPr>
              <w:rPr>
                <w:rFonts w:cs="Arial"/>
                <w:color w:val="FF0000"/>
                <w:sz w:val="21"/>
                <w:szCs w:val="21"/>
              </w:rPr>
            </w:pPr>
          </w:p>
        </w:tc>
        <w:tc>
          <w:tcPr>
            <w:tcW w:w="217" w:type="dxa"/>
          </w:tcPr>
          <w:p w14:paraId="45166B6B" w14:textId="77777777" w:rsidR="002C0FD9" w:rsidRPr="00CA25CF" w:rsidRDefault="002C0FD9" w:rsidP="00CA25CF">
            <w:pPr>
              <w:rPr>
                <w:rFonts w:cs="Arial"/>
                <w:color w:val="FF0000"/>
                <w:sz w:val="21"/>
                <w:szCs w:val="21"/>
              </w:rPr>
            </w:pPr>
          </w:p>
        </w:tc>
        <w:tc>
          <w:tcPr>
            <w:tcW w:w="217" w:type="dxa"/>
          </w:tcPr>
          <w:p w14:paraId="0823C3D0" w14:textId="77777777" w:rsidR="002C0FD9" w:rsidRPr="00CA25CF" w:rsidRDefault="002C0FD9" w:rsidP="00CA25CF">
            <w:pPr>
              <w:rPr>
                <w:rFonts w:cs="Arial"/>
                <w:color w:val="FF0000"/>
                <w:sz w:val="21"/>
                <w:szCs w:val="21"/>
              </w:rPr>
            </w:pPr>
          </w:p>
        </w:tc>
        <w:tc>
          <w:tcPr>
            <w:tcW w:w="217" w:type="dxa"/>
          </w:tcPr>
          <w:p w14:paraId="5F1BB12B" w14:textId="77777777" w:rsidR="002C0FD9" w:rsidRPr="00CA25CF" w:rsidRDefault="002C0FD9" w:rsidP="00CA25CF">
            <w:pPr>
              <w:rPr>
                <w:rFonts w:cs="Arial"/>
                <w:color w:val="FF0000"/>
                <w:sz w:val="21"/>
                <w:szCs w:val="21"/>
              </w:rPr>
            </w:pPr>
          </w:p>
        </w:tc>
        <w:tc>
          <w:tcPr>
            <w:tcW w:w="217" w:type="dxa"/>
          </w:tcPr>
          <w:p w14:paraId="446897B6" w14:textId="77777777" w:rsidR="002C0FD9" w:rsidRPr="00CA25CF" w:rsidRDefault="002C0FD9" w:rsidP="00CA25CF">
            <w:pPr>
              <w:rPr>
                <w:rFonts w:cs="Arial"/>
                <w:color w:val="FF0000"/>
                <w:sz w:val="21"/>
                <w:szCs w:val="21"/>
              </w:rPr>
            </w:pPr>
          </w:p>
        </w:tc>
        <w:tc>
          <w:tcPr>
            <w:tcW w:w="217" w:type="dxa"/>
          </w:tcPr>
          <w:p w14:paraId="7B90F9D4" w14:textId="77777777" w:rsidR="002C0FD9" w:rsidRPr="00CA25CF" w:rsidRDefault="002C0FD9" w:rsidP="00CA25CF">
            <w:pPr>
              <w:rPr>
                <w:rFonts w:cs="Arial"/>
                <w:color w:val="FF0000"/>
                <w:sz w:val="21"/>
                <w:szCs w:val="21"/>
              </w:rPr>
            </w:pPr>
          </w:p>
        </w:tc>
        <w:tc>
          <w:tcPr>
            <w:tcW w:w="217" w:type="dxa"/>
          </w:tcPr>
          <w:p w14:paraId="03CD3C9F" w14:textId="77777777" w:rsidR="002C0FD9" w:rsidRPr="00CA25CF" w:rsidRDefault="002C0FD9" w:rsidP="00CA25CF">
            <w:pPr>
              <w:rPr>
                <w:rFonts w:cs="Arial"/>
                <w:color w:val="FF0000"/>
                <w:sz w:val="21"/>
                <w:szCs w:val="21"/>
              </w:rPr>
            </w:pPr>
          </w:p>
        </w:tc>
        <w:tc>
          <w:tcPr>
            <w:tcW w:w="217" w:type="dxa"/>
          </w:tcPr>
          <w:p w14:paraId="739B43F3" w14:textId="77777777" w:rsidR="002C0FD9" w:rsidRPr="00CA25CF" w:rsidRDefault="002C0FD9" w:rsidP="00CA25CF">
            <w:pPr>
              <w:rPr>
                <w:rFonts w:cs="Arial"/>
                <w:color w:val="FF0000"/>
                <w:sz w:val="21"/>
                <w:szCs w:val="21"/>
              </w:rPr>
            </w:pPr>
          </w:p>
        </w:tc>
        <w:tc>
          <w:tcPr>
            <w:tcW w:w="217" w:type="dxa"/>
          </w:tcPr>
          <w:p w14:paraId="268AB737" w14:textId="77777777" w:rsidR="002C0FD9" w:rsidRPr="00CA25CF" w:rsidRDefault="002C0FD9" w:rsidP="00CA25CF">
            <w:pPr>
              <w:rPr>
                <w:rFonts w:cs="Arial"/>
                <w:color w:val="FF0000"/>
                <w:sz w:val="21"/>
                <w:szCs w:val="21"/>
              </w:rPr>
            </w:pPr>
          </w:p>
        </w:tc>
        <w:tc>
          <w:tcPr>
            <w:tcW w:w="217" w:type="dxa"/>
          </w:tcPr>
          <w:p w14:paraId="32A38F13" w14:textId="77777777" w:rsidR="002C0FD9" w:rsidRPr="00CA25CF" w:rsidRDefault="002C0FD9" w:rsidP="00CA25CF">
            <w:pPr>
              <w:rPr>
                <w:rFonts w:cs="Arial"/>
                <w:color w:val="FF0000"/>
                <w:sz w:val="21"/>
                <w:szCs w:val="21"/>
              </w:rPr>
            </w:pPr>
          </w:p>
        </w:tc>
        <w:tc>
          <w:tcPr>
            <w:tcW w:w="217" w:type="dxa"/>
          </w:tcPr>
          <w:p w14:paraId="47B49A6D" w14:textId="77777777" w:rsidR="002C0FD9" w:rsidRPr="00CA25CF" w:rsidRDefault="002C0FD9" w:rsidP="00CA25CF">
            <w:pPr>
              <w:rPr>
                <w:rFonts w:cs="Arial"/>
                <w:color w:val="FF0000"/>
                <w:sz w:val="21"/>
                <w:szCs w:val="21"/>
              </w:rPr>
            </w:pPr>
          </w:p>
        </w:tc>
        <w:tc>
          <w:tcPr>
            <w:tcW w:w="217" w:type="dxa"/>
          </w:tcPr>
          <w:p w14:paraId="76952F38" w14:textId="77777777" w:rsidR="002C0FD9" w:rsidRPr="00CA25CF" w:rsidRDefault="002C0FD9" w:rsidP="00CA25CF">
            <w:pPr>
              <w:rPr>
                <w:rFonts w:cs="Arial"/>
                <w:color w:val="FF0000"/>
                <w:sz w:val="21"/>
                <w:szCs w:val="21"/>
              </w:rPr>
            </w:pPr>
          </w:p>
        </w:tc>
        <w:tc>
          <w:tcPr>
            <w:tcW w:w="217" w:type="dxa"/>
          </w:tcPr>
          <w:p w14:paraId="54417F90" w14:textId="77777777" w:rsidR="002C0FD9" w:rsidRPr="00CA25CF" w:rsidRDefault="002C0FD9" w:rsidP="00CA25CF">
            <w:pPr>
              <w:rPr>
                <w:rFonts w:cs="Arial"/>
                <w:color w:val="FF0000"/>
                <w:sz w:val="21"/>
                <w:szCs w:val="21"/>
              </w:rPr>
            </w:pPr>
          </w:p>
        </w:tc>
        <w:tc>
          <w:tcPr>
            <w:tcW w:w="217" w:type="dxa"/>
          </w:tcPr>
          <w:p w14:paraId="6FC799B1" w14:textId="77777777" w:rsidR="002C0FD9" w:rsidRPr="00CA25CF" w:rsidRDefault="002C0FD9" w:rsidP="00CA25CF">
            <w:pPr>
              <w:rPr>
                <w:rFonts w:cs="Arial"/>
                <w:color w:val="FF0000"/>
                <w:sz w:val="21"/>
                <w:szCs w:val="21"/>
              </w:rPr>
            </w:pPr>
          </w:p>
        </w:tc>
        <w:tc>
          <w:tcPr>
            <w:tcW w:w="217" w:type="dxa"/>
          </w:tcPr>
          <w:p w14:paraId="57600818" w14:textId="77777777" w:rsidR="002C0FD9" w:rsidRPr="00CA25CF" w:rsidRDefault="002C0FD9" w:rsidP="00CA25CF">
            <w:pPr>
              <w:rPr>
                <w:rFonts w:cs="Arial"/>
                <w:color w:val="FF0000"/>
                <w:sz w:val="21"/>
                <w:szCs w:val="21"/>
              </w:rPr>
            </w:pPr>
          </w:p>
        </w:tc>
        <w:tc>
          <w:tcPr>
            <w:tcW w:w="217" w:type="dxa"/>
          </w:tcPr>
          <w:p w14:paraId="1A237708" w14:textId="77777777" w:rsidR="002C0FD9" w:rsidRPr="00CA25CF" w:rsidRDefault="002C0FD9" w:rsidP="00CA25CF">
            <w:pPr>
              <w:rPr>
                <w:rFonts w:cs="Arial"/>
                <w:color w:val="FF0000"/>
                <w:sz w:val="21"/>
                <w:szCs w:val="21"/>
              </w:rPr>
            </w:pPr>
          </w:p>
        </w:tc>
        <w:tc>
          <w:tcPr>
            <w:tcW w:w="217" w:type="dxa"/>
          </w:tcPr>
          <w:p w14:paraId="5D9A407A" w14:textId="77777777" w:rsidR="002C0FD9" w:rsidRPr="00CA25CF" w:rsidRDefault="002C0FD9" w:rsidP="00CA25CF">
            <w:pPr>
              <w:rPr>
                <w:rFonts w:cs="Arial"/>
                <w:color w:val="FF0000"/>
                <w:sz w:val="21"/>
                <w:szCs w:val="21"/>
              </w:rPr>
            </w:pPr>
          </w:p>
        </w:tc>
        <w:tc>
          <w:tcPr>
            <w:tcW w:w="217" w:type="dxa"/>
          </w:tcPr>
          <w:p w14:paraId="01A8689B" w14:textId="77777777" w:rsidR="002C0FD9" w:rsidRPr="00CA25CF" w:rsidRDefault="002C0FD9" w:rsidP="00CA25CF">
            <w:pPr>
              <w:rPr>
                <w:rFonts w:cs="Arial"/>
                <w:color w:val="FF0000"/>
                <w:sz w:val="21"/>
                <w:szCs w:val="21"/>
              </w:rPr>
            </w:pPr>
          </w:p>
        </w:tc>
        <w:tc>
          <w:tcPr>
            <w:tcW w:w="217" w:type="dxa"/>
          </w:tcPr>
          <w:p w14:paraId="34C1C572" w14:textId="77777777" w:rsidR="002C0FD9" w:rsidRPr="00CA25CF" w:rsidRDefault="002C0FD9" w:rsidP="00CA25CF">
            <w:pPr>
              <w:rPr>
                <w:rFonts w:cs="Arial"/>
                <w:color w:val="FF0000"/>
                <w:sz w:val="21"/>
                <w:szCs w:val="21"/>
              </w:rPr>
            </w:pPr>
          </w:p>
        </w:tc>
        <w:tc>
          <w:tcPr>
            <w:tcW w:w="217" w:type="dxa"/>
          </w:tcPr>
          <w:p w14:paraId="08C076AB" w14:textId="77777777" w:rsidR="002C0FD9" w:rsidRPr="00CA25CF" w:rsidRDefault="002C0FD9" w:rsidP="00CA25CF">
            <w:pPr>
              <w:rPr>
                <w:rFonts w:cs="Arial"/>
                <w:color w:val="FF0000"/>
                <w:sz w:val="21"/>
                <w:szCs w:val="21"/>
              </w:rPr>
            </w:pPr>
          </w:p>
        </w:tc>
        <w:tc>
          <w:tcPr>
            <w:tcW w:w="217" w:type="dxa"/>
          </w:tcPr>
          <w:p w14:paraId="5A952B57" w14:textId="77777777" w:rsidR="002C0FD9" w:rsidRPr="00CA25CF" w:rsidRDefault="002C0FD9" w:rsidP="00CA25CF">
            <w:pPr>
              <w:rPr>
                <w:rFonts w:cs="Arial"/>
                <w:color w:val="FF0000"/>
                <w:sz w:val="21"/>
                <w:szCs w:val="21"/>
              </w:rPr>
            </w:pPr>
          </w:p>
        </w:tc>
        <w:tc>
          <w:tcPr>
            <w:tcW w:w="217" w:type="dxa"/>
          </w:tcPr>
          <w:p w14:paraId="27AC870E" w14:textId="77777777" w:rsidR="002C0FD9" w:rsidRPr="00CA25CF" w:rsidRDefault="002C0FD9" w:rsidP="00CA25CF">
            <w:pPr>
              <w:rPr>
                <w:rFonts w:cs="Arial"/>
                <w:color w:val="FF0000"/>
                <w:sz w:val="21"/>
                <w:szCs w:val="21"/>
              </w:rPr>
            </w:pPr>
          </w:p>
        </w:tc>
        <w:tc>
          <w:tcPr>
            <w:tcW w:w="217" w:type="dxa"/>
          </w:tcPr>
          <w:p w14:paraId="20C5E92C" w14:textId="77777777" w:rsidR="002C0FD9" w:rsidRPr="00CA25CF" w:rsidRDefault="002C0FD9" w:rsidP="00CA25CF">
            <w:pPr>
              <w:rPr>
                <w:rFonts w:cs="Arial"/>
                <w:color w:val="FF0000"/>
                <w:sz w:val="21"/>
                <w:szCs w:val="21"/>
              </w:rPr>
            </w:pPr>
          </w:p>
        </w:tc>
        <w:tc>
          <w:tcPr>
            <w:tcW w:w="217" w:type="dxa"/>
          </w:tcPr>
          <w:p w14:paraId="638F0297" w14:textId="77777777" w:rsidR="002C0FD9" w:rsidRPr="00CA25CF" w:rsidRDefault="002C0FD9" w:rsidP="00CA25CF">
            <w:pPr>
              <w:rPr>
                <w:rFonts w:cs="Arial"/>
                <w:color w:val="FF0000"/>
                <w:sz w:val="21"/>
                <w:szCs w:val="21"/>
              </w:rPr>
            </w:pPr>
          </w:p>
        </w:tc>
        <w:tc>
          <w:tcPr>
            <w:tcW w:w="217" w:type="dxa"/>
          </w:tcPr>
          <w:p w14:paraId="0063513F" w14:textId="77777777" w:rsidR="002C0FD9" w:rsidRPr="00CA25CF" w:rsidRDefault="002C0FD9" w:rsidP="00CA25CF">
            <w:pPr>
              <w:rPr>
                <w:rFonts w:cs="Arial"/>
                <w:color w:val="FF0000"/>
                <w:sz w:val="21"/>
                <w:szCs w:val="21"/>
              </w:rPr>
            </w:pPr>
          </w:p>
        </w:tc>
        <w:tc>
          <w:tcPr>
            <w:tcW w:w="217" w:type="dxa"/>
          </w:tcPr>
          <w:p w14:paraId="7D30910F" w14:textId="77777777" w:rsidR="002C0FD9" w:rsidRPr="00CA25CF" w:rsidRDefault="002C0FD9" w:rsidP="00CA25CF">
            <w:pPr>
              <w:rPr>
                <w:rFonts w:cs="Arial"/>
                <w:color w:val="FF0000"/>
                <w:sz w:val="21"/>
                <w:szCs w:val="21"/>
              </w:rPr>
            </w:pPr>
          </w:p>
        </w:tc>
        <w:tc>
          <w:tcPr>
            <w:tcW w:w="217" w:type="dxa"/>
          </w:tcPr>
          <w:p w14:paraId="4B39EEFA" w14:textId="77777777" w:rsidR="002C0FD9" w:rsidRPr="00CA25CF" w:rsidRDefault="002C0FD9" w:rsidP="00CA25CF">
            <w:pPr>
              <w:rPr>
                <w:rFonts w:cs="Arial"/>
                <w:color w:val="FF0000"/>
                <w:sz w:val="21"/>
                <w:szCs w:val="21"/>
              </w:rPr>
            </w:pPr>
          </w:p>
        </w:tc>
        <w:tc>
          <w:tcPr>
            <w:tcW w:w="217" w:type="dxa"/>
          </w:tcPr>
          <w:p w14:paraId="0891BEB8" w14:textId="77777777" w:rsidR="002C0FD9" w:rsidRPr="00CA25CF" w:rsidRDefault="002C0FD9" w:rsidP="00CA25CF">
            <w:pPr>
              <w:rPr>
                <w:rFonts w:cs="Arial"/>
                <w:color w:val="FF0000"/>
                <w:sz w:val="21"/>
                <w:szCs w:val="21"/>
              </w:rPr>
            </w:pPr>
          </w:p>
        </w:tc>
        <w:tc>
          <w:tcPr>
            <w:tcW w:w="217" w:type="dxa"/>
          </w:tcPr>
          <w:p w14:paraId="5A4E60C6" w14:textId="77777777" w:rsidR="002C0FD9" w:rsidRPr="00CA25CF" w:rsidRDefault="002C0FD9" w:rsidP="00CA25CF">
            <w:pPr>
              <w:rPr>
                <w:rFonts w:cs="Arial"/>
                <w:color w:val="FF0000"/>
                <w:sz w:val="21"/>
                <w:szCs w:val="21"/>
              </w:rPr>
            </w:pPr>
          </w:p>
        </w:tc>
        <w:tc>
          <w:tcPr>
            <w:tcW w:w="217" w:type="dxa"/>
          </w:tcPr>
          <w:p w14:paraId="0BE37429" w14:textId="77777777" w:rsidR="002C0FD9" w:rsidRPr="00CA25CF" w:rsidRDefault="002C0FD9" w:rsidP="00CA25CF">
            <w:pPr>
              <w:rPr>
                <w:rFonts w:cs="Arial"/>
                <w:color w:val="FF0000"/>
                <w:sz w:val="21"/>
                <w:szCs w:val="21"/>
              </w:rPr>
            </w:pPr>
          </w:p>
        </w:tc>
        <w:tc>
          <w:tcPr>
            <w:tcW w:w="217" w:type="dxa"/>
          </w:tcPr>
          <w:p w14:paraId="2FEBEF69" w14:textId="77777777" w:rsidR="002C0FD9" w:rsidRPr="00CA25CF" w:rsidRDefault="002C0FD9" w:rsidP="00CA25CF">
            <w:pPr>
              <w:rPr>
                <w:rFonts w:cs="Arial"/>
                <w:color w:val="FF0000"/>
                <w:sz w:val="21"/>
                <w:szCs w:val="21"/>
              </w:rPr>
            </w:pPr>
          </w:p>
        </w:tc>
        <w:tc>
          <w:tcPr>
            <w:tcW w:w="217" w:type="dxa"/>
          </w:tcPr>
          <w:p w14:paraId="094C5090" w14:textId="77777777" w:rsidR="002C0FD9" w:rsidRPr="00CA25CF" w:rsidRDefault="002C0FD9" w:rsidP="00CA25CF">
            <w:pPr>
              <w:rPr>
                <w:rFonts w:cs="Arial"/>
                <w:color w:val="FF0000"/>
                <w:sz w:val="21"/>
                <w:szCs w:val="21"/>
              </w:rPr>
            </w:pPr>
          </w:p>
        </w:tc>
        <w:tc>
          <w:tcPr>
            <w:tcW w:w="217" w:type="dxa"/>
          </w:tcPr>
          <w:p w14:paraId="4FBB4761" w14:textId="77777777" w:rsidR="002C0FD9" w:rsidRPr="00CA25CF" w:rsidRDefault="002C0FD9" w:rsidP="00CA25CF">
            <w:pPr>
              <w:rPr>
                <w:rFonts w:cs="Arial"/>
                <w:color w:val="FF0000"/>
                <w:sz w:val="21"/>
                <w:szCs w:val="21"/>
              </w:rPr>
            </w:pPr>
          </w:p>
        </w:tc>
        <w:tc>
          <w:tcPr>
            <w:tcW w:w="217" w:type="dxa"/>
          </w:tcPr>
          <w:p w14:paraId="5EAE2E60" w14:textId="77777777" w:rsidR="002C0FD9" w:rsidRPr="00CA25CF" w:rsidRDefault="002C0FD9" w:rsidP="00CA25CF">
            <w:pPr>
              <w:rPr>
                <w:rFonts w:cs="Arial"/>
                <w:color w:val="FF0000"/>
                <w:sz w:val="21"/>
                <w:szCs w:val="21"/>
              </w:rPr>
            </w:pPr>
          </w:p>
        </w:tc>
        <w:tc>
          <w:tcPr>
            <w:tcW w:w="217" w:type="dxa"/>
          </w:tcPr>
          <w:p w14:paraId="5B36066B" w14:textId="77777777" w:rsidR="002C0FD9" w:rsidRPr="00CA25CF" w:rsidRDefault="002C0FD9" w:rsidP="00CA25CF">
            <w:pPr>
              <w:rPr>
                <w:rFonts w:cs="Arial"/>
                <w:color w:val="FF0000"/>
                <w:sz w:val="21"/>
                <w:szCs w:val="21"/>
              </w:rPr>
            </w:pPr>
          </w:p>
        </w:tc>
        <w:tc>
          <w:tcPr>
            <w:tcW w:w="217" w:type="dxa"/>
          </w:tcPr>
          <w:p w14:paraId="42A12624" w14:textId="77777777" w:rsidR="002C0FD9" w:rsidRPr="00CA25CF" w:rsidRDefault="002C0FD9" w:rsidP="00CA25CF">
            <w:pPr>
              <w:rPr>
                <w:rFonts w:cs="Arial"/>
                <w:color w:val="FF0000"/>
                <w:sz w:val="21"/>
                <w:szCs w:val="21"/>
              </w:rPr>
            </w:pPr>
          </w:p>
        </w:tc>
        <w:tc>
          <w:tcPr>
            <w:tcW w:w="217" w:type="dxa"/>
          </w:tcPr>
          <w:p w14:paraId="3B4102CD" w14:textId="77777777" w:rsidR="002C0FD9" w:rsidRPr="00CA25CF" w:rsidRDefault="002C0FD9" w:rsidP="00CA25CF">
            <w:pPr>
              <w:rPr>
                <w:rFonts w:cs="Arial"/>
                <w:color w:val="FF0000"/>
                <w:sz w:val="21"/>
                <w:szCs w:val="21"/>
              </w:rPr>
            </w:pPr>
          </w:p>
        </w:tc>
        <w:tc>
          <w:tcPr>
            <w:tcW w:w="217" w:type="dxa"/>
          </w:tcPr>
          <w:p w14:paraId="48155680" w14:textId="77777777" w:rsidR="002C0FD9" w:rsidRPr="00CA25CF" w:rsidRDefault="002C0FD9" w:rsidP="00CA25CF">
            <w:pPr>
              <w:rPr>
                <w:rFonts w:cs="Arial"/>
                <w:color w:val="FF0000"/>
                <w:sz w:val="21"/>
                <w:szCs w:val="21"/>
              </w:rPr>
            </w:pPr>
          </w:p>
        </w:tc>
        <w:tc>
          <w:tcPr>
            <w:tcW w:w="217" w:type="dxa"/>
          </w:tcPr>
          <w:p w14:paraId="75A45925" w14:textId="77777777" w:rsidR="002C0FD9" w:rsidRPr="00CA25CF" w:rsidRDefault="002C0FD9" w:rsidP="00CA25CF">
            <w:pPr>
              <w:rPr>
                <w:rFonts w:cs="Arial"/>
                <w:color w:val="FF0000"/>
                <w:sz w:val="21"/>
                <w:szCs w:val="21"/>
              </w:rPr>
            </w:pPr>
          </w:p>
        </w:tc>
        <w:tc>
          <w:tcPr>
            <w:tcW w:w="217" w:type="dxa"/>
          </w:tcPr>
          <w:p w14:paraId="3CFCC8D1" w14:textId="77777777" w:rsidR="002C0FD9" w:rsidRPr="00CA25CF" w:rsidRDefault="002C0FD9" w:rsidP="00CA25CF">
            <w:pPr>
              <w:rPr>
                <w:rFonts w:cs="Arial"/>
                <w:color w:val="FF0000"/>
                <w:sz w:val="21"/>
                <w:szCs w:val="21"/>
              </w:rPr>
            </w:pPr>
          </w:p>
        </w:tc>
        <w:tc>
          <w:tcPr>
            <w:tcW w:w="217" w:type="dxa"/>
          </w:tcPr>
          <w:p w14:paraId="48B0D4D0" w14:textId="77777777" w:rsidR="002C0FD9" w:rsidRPr="00CA25CF" w:rsidRDefault="002C0FD9" w:rsidP="00CA25CF">
            <w:pPr>
              <w:rPr>
                <w:rFonts w:cs="Arial"/>
                <w:color w:val="FF0000"/>
                <w:sz w:val="21"/>
                <w:szCs w:val="21"/>
              </w:rPr>
            </w:pPr>
          </w:p>
        </w:tc>
        <w:tc>
          <w:tcPr>
            <w:tcW w:w="217" w:type="dxa"/>
          </w:tcPr>
          <w:p w14:paraId="42E11611" w14:textId="77777777" w:rsidR="002C0FD9" w:rsidRPr="00CA25CF" w:rsidRDefault="002C0FD9" w:rsidP="00CA25CF">
            <w:pPr>
              <w:rPr>
                <w:rFonts w:cs="Arial"/>
                <w:color w:val="FF0000"/>
                <w:sz w:val="21"/>
                <w:szCs w:val="21"/>
              </w:rPr>
            </w:pPr>
          </w:p>
        </w:tc>
      </w:tr>
      <w:tr w:rsidR="002C0FD9" w:rsidRPr="00A16219" w14:paraId="42E343D8" w14:textId="77777777" w:rsidTr="002C0FD9">
        <w:trPr>
          <w:trHeight w:val="635"/>
        </w:trPr>
        <w:tc>
          <w:tcPr>
            <w:tcW w:w="515" w:type="dxa"/>
          </w:tcPr>
          <w:p w14:paraId="4FCAE144" w14:textId="77777777" w:rsidR="002C0FD9" w:rsidRPr="00CA25CF" w:rsidRDefault="002C0FD9" w:rsidP="00CA25CF">
            <w:pPr>
              <w:rPr>
                <w:rFonts w:cs="Arial"/>
                <w:color w:val="FF0000"/>
                <w:sz w:val="21"/>
                <w:szCs w:val="21"/>
              </w:rPr>
            </w:pPr>
          </w:p>
        </w:tc>
        <w:tc>
          <w:tcPr>
            <w:tcW w:w="217" w:type="dxa"/>
          </w:tcPr>
          <w:p w14:paraId="3530D4E1" w14:textId="77777777" w:rsidR="002C0FD9" w:rsidRPr="00CA25CF" w:rsidRDefault="002C0FD9" w:rsidP="00CA25CF">
            <w:pPr>
              <w:rPr>
                <w:rFonts w:cs="Arial"/>
                <w:color w:val="FF0000"/>
                <w:sz w:val="21"/>
                <w:szCs w:val="21"/>
              </w:rPr>
            </w:pPr>
          </w:p>
        </w:tc>
        <w:tc>
          <w:tcPr>
            <w:tcW w:w="217" w:type="dxa"/>
          </w:tcPr>
          <w:p w14:paraId="2D639A26" w14:textId="77777777" w:rsidR="002C0FD9" w:rsidRPr="00CA25CF" w:rsidRDefault="002C0FD9" w:rsidP="00CA25CF">
            <w:pPr>
              <w:rPr>
                <w:rFonts w:cs="Arial"/>
                <w:color w:val="FF0000"/>
                <w:sz w:val="21"/>
                <w:szCs w:val="21"/>
              </w:rPr>
            </w:pPr>
          </w:p>
        </w:tc>
        <w:tc>
          <w:tcPr>
            <w:tcW w:w="217" w:type="dxa"/>
          </w:tcPr>
          <w:p w14:paraId="611D788C" w14:textId="77777777" w:rsidR="002C0FD9" w:rsidRPr="00CA25CF" w:rsidRDefault="002C0FD9" w:rsidP="00CA25CF">
            <w:pPr>
              <w:rPr>
                <w:rFonts w:cs="Arial"/>
                <w:color w:val="FF0000"/>
                <w:sz w:val="21"/>
                <w:szCs w:val="21"/>
              </w:rPr>
            </w:pPr>
          </w:p>
        </w:tc>
        <w:tc>
          <w:tcPr>
            <w:tcW w:w="217" w:type="dxa"/>
          </w:tcPr>
          <w:p w14:paraId="42A67D68" w14:textId="77777777" w:rsidR="002C0FD9" w:rsidRPr="00CA25CF" w:rsidRDefault="002C0FD9" w:rsidP="00CA25CF">
            <w:pPr>
              <w:rPr>
                <w:rFonts w:cs="Arial"/>
                <w:color w:val="FF0000"/>
                <w:sz w:val="21"/>
                <w:szCs w:val="21"/>
              </w:rPr>
            </w:pPr>
          </w:p>
        </w:tc>
        <w:tc>
          <w:tcPr>
            <w:tcW w:w="217" w:type="dxa"/>
          </w:tcPr>
          <w:p w14:paraId="0825E3DD" w14:textId="77777777" w:rsidR="002C0FD9" w:rsidRPr="00CA25CF" w:rsidRDefault="002C0FD9" w:rsidP="00CA25CF">
            <w:pPr>
              <w:rPr>
                <w:rFonts w:cs="Arial"/>
                <w:color w:val="FF0000"/>
                <w:sz w:val="21"/>
                <w:szCs w:val="21"/>
              </w:rPr>
            </w:pPr>
          </w:p>
        </w:tc>
        <w:tc>
          <w:tcPr>
            <w:tcW w:w="217" w:type="dxa"/>
          </w:tcPr>
          <w:p w14:paraId="30A34A09" w14:textId="77777777" w:rsidR="002C0FD9" w:rsidRPr="00CA25CF" w:rsidRDefault="002C0FD9" w:rsidP="00CA25CF">
            <w:pPr>
              <w:rPr>
                <w:rFonts w:cs="Arial"/>
                <w:color w:val="FF0000"/>
                <w:sz w:val="21"/>
                <w:szCs w:val="21"/>
              </w:rPr>
            </w:pPr>
          </w:p>
        </w:tc>
        <w:tc>
          <w:tcPr>
            <w:tcW w:w="217" w:type="dxa"/>
          </w:tcPr>
          <w:p w14:paraId="035C1051" w14:textId="77777777" w:rsidR="002C0FD9" w:rsidRPr="00CA25CF" w:rsidRDefault="002C0FD9" w:rsidP="00CA25CF">
            <w:pPr>
              <w:rPr>
                <w:rFonts w:cs="Arial"/>
                <w:color w:val="FF0000"/>
                <w:sz w:val="21"/>
                <w:szCs w:val="21"/>
              </w:rPr>
            </w:pPr>
          </w:p>
        </w:tc>
        <w:tc>
          <w:tcPr>
            <w:tcW w:w="217" w:type="dxa"/>
          </w:tcPr>
          <w:p w14:paraId="7DEAAD1E" w14:textId="77777777" w:rsidR="002C0FD9" w:rsidRPr="00CA25CF" w:rsidRDefault="002C0FD9" w:rsidP="00CA25CF">
            <w:pPr>
              <w:rPr>
                <w:rFonts w:cs="Arial"/>
                <w:color w:val="FF0000"/>
                <w:sz w:val="21"/>
                <w:szCs w:val="21"/>
              </w:rPr>
            </w:pPr>
          </w:p>
        </w:tc>
        <w:tc>
          <w:tcPr>
            <w:tcW w:w="217" w:type="dxa"/>
          </w:tcPr>
          <w:p w14:paraId="2F0052DB" w14:textId="77777777" w:rsidR="002C0FD9" w:rsidRPr="00CA25CF" w:rsidRDefault="002C0FD9" w:rsidP="00CA25CF">
            <w:pPr>
              <w:rPr>
                <w:rFonts w:cs="Arial"/>
                <w:color w:val="FF0000"/>
                <w:sz w:val="21"/>
                <w:szCs w:val="21"/>
              </w:rPr>
            </w:pPr>
          </w:p>
        </w:tc>
        <w:tc>
          <w:tcPr>
            <w:tcW w:w="217" w:type="dxa"/>
          </w:tcPr>
          <w:p w14:paraId="3A77783F" w14:textId="77777777" w:rsidR="002C0FD9" w:rsidRPr="00CA25CF" w:rsidRDefault="002C0FD9" w:rsidP="00CA25CF">
            <w:pPr>
              <w:rPr>
                <w:rFonts w:cs="Arial"/>
                <w:color w:val="FF0000"/>
                <w:sz w:val="21"/>
                <w:szCs w:val="21"/>
              </w:rPr>
            </w:pPr>
          </w:p>
        </w:tc>
        <w:tc>
          <w:tcPr>
            <w:tcW w:w="217" w:type="dxa"/>
          </w:tcPr>
          <w:p w14:paraId="144CD6D1" w14:textId="77777777" w:rsidR="002C0FD9" w:rsidRPr="00CA25CF" w:rsidRDefault="002C0FD9" w:rsidP="00CA25CF">
            <w:pPr>
              <w:rPr>
                <w:rFonts w:cs="Arial"/>
                <w:color w:val="FF0000"/>
                <w:sz w:val="21"/>
                <w:szCs w:val="21"/>
              </w:rPr>
            </w:pPr>
          </w:p>
        </w:tc>
        <w:tc>
          <w:tcPr>
            <w:tcW w:w="217" w:type="dxa"/>
          </w:tcPr>
          <w:p w14:paraId="62D9BFCE" w14:textId="77777777" w:rsidR="002C0FD9" w:rsidRPr="00CA25CF" w:rsidRDefault="002C0FD9" w:rsidP="00CA25CF">
            <w:pPr>
              <w:rPr>
                <w:rFonts w:cs="Arial"/>
                <w:color w:val="FF0000"/>
                <w:sz w:val="21"/>
                <w:szCs w:val="21"/>
              </w:rPr>
            </w:pPr>
          </w:p>
        </w:tc>
        <w:tc>
          <w:tcPr>
            <w:tcW w:w="217" w:type="dxa"/>
          </w:tcPr>
          <w:p w14:paraId="56A01E4C" w14:textId="77777777" w:rsidR="002C0FD9" w:rsidRPr="00CA25CF" w:rsidRDefault="002C0FD9" w:rsidP="00CA25CF">
            <w:pPr>
              <w:rPr>
                <w:rFonts w:cs="Arial"/>
                <w:color w:val="FF0000"/>
                <w:sz w:val="21"/>
                <w:szCs w:val="21"/>
              </w:rPr>
            </w:pPr>
          </w:p>
        </w:tc>
        <w:tc>
          <w:tcPr>
            <w:tcW w:w="217" w:type="dxa"/>
          </w:tcPr>
          <w:p w14:paraId="57B728FE" w14:textId="77777777" w:rsidR="002C0FD9" w:rsidRPr="00CA25CF" w:rsidRDefault="002C0FD9" w:rsidP="00CA25CF">
            <w:pPr>
              <w:rPr>
                <w:rFonts w:cs="Arial"/>
                <w:color w:val="FF0000"/>
                <w:sz w:val="21"/>
                <w:szCs w:val="21"/>
              </w:rPr>
            </w:pPr>
          </w:p>
        </w:tc>
        <w:tc>
          <w:tcPr>
            <w:tcW w:w="217" w:type="dxa"/>
          </w:tcPr>
          <w:p w14:paraId="28AC7AE1" w14:textId="77777777" w:rsidR="002C0FD9" w:rsidRPr="00CA25CF" w:rsidRDefault="002C0FD9" w:rsidP="00CA25CF">
            <w:pPr>
              <w:rPr>
                <w:rFonts w:cs="Arial"/>
                <w:color w:val="FF0000"/>
                <w:sz w:val="21"/>
                <w:szCs w:val="21"/>
              </w:rPr>
            </w:pPr>
          </w:p>
        </w:tc>
        <w:tc>
          <w:tcPr>
            <w:tcW w:w="217" w:type="dxa"/>
          </w:tcPr>
          <w:p w14:paraId="7BF2E513" w14:textId="77777777" w:rsidR="002C0FD9" w:rsidRPr="00CA25CF" w:rsidRDefault="002C0FD9" w:rsidP="00CA25CF">
            <w:pPr>
              <w:rPr>
                <w:rFonts w:cs="Arial"/>
                <w:color w:val="FF0000"/>
                <w:sz w:val="21"/>
                <w:szCs w:val="21"/>
              </w:rPr>
            </w:pPr>
          </w:p>
        </w:tc>
        <w:tc>
          <w:tcPr>
            <w:tcW w:w="217" w:type="dxa"/>
          </w:tcPr>
          <w:p w14:paraId="304AF3DA" w14:textId="77777777" w:rsidR="002C0FD9" w:rsidRPr="00CA25CF" w:rsidRDefault="002C0FD9" w:rsidP="00CA25CF">
            <w:pPr>
              <w:rPr>
                <w:rFonts w:cs="Arial"/>
                <w:color w:val="FF0000"/>
                <w:sz w:val="21"/>
                <w:szCs w:val="21"/>
              </w:rPr>
            </w:pPr>
          </w:p>
        </w:tc>
        <w:tc>
          <w:tcPr>
            <w:tcW w:w="217" w:type="dxa"/>
          </w:tcPr>
          <w:p w14:paraId="4679C5E4" w14:textId="77777777" w:rsidR="002C0FD9" w:rsidRPr="00CA25CF" w:rsidRDefault="002C0FD9" w:rsidP="00CA25CF">
            <w:pPr>
              <w:rPr>
                <w:rFonts w:cs="Arial"/>
                <w:color w:val="FF0000"/>
                <w:sz w:val="21"/>
                <w:szCs w:val="21"/>
              </w:rPr>
            </w:pPr>
          </w:p>
        </w:tc>
        <w:tc>
          <w:tcPr>
            <w:tcW w:w="217" w:type="dxa"/>
          </w:tcPr>
          <w:p w14:paraId="48A9918C" w14:textId="77777777" w:rsidR="002C0FD9" w:rsidRPr="00CA25CF" w:rsidRDefault="002C0FD9" w:rsidP="00CA25CF">
            <w:pPr>
              <w:rPr>
                <w:rFonts w:cs="Arial"/>
                <w:color w:val="FF0000"/>
                <w:sz w:val="21"/>
                <w:szCs w:val="21"/>
              </w:rPr>
            </w:pPr>
          </w:p>
        </w:tc>
        <w:tc>
          <w:tcPr>
            <w:tcW w:w="217" w:type="dxa"/>
          </w:tcPr>
          <w:p w14:paraId="2C4179E8" w14:textId="77777777" w:rsidR="002C0FD9" w:rsidRPr="00CA25CF" w:rsidRDefault="002C0FD9" w:rsidP="00CA25CF">
            <w:pPr>
              <w:rPr>
                <w:rFonts w:cs="Arial"/>
                <w:color w:val="FF0000"/>
                <w:sz w:val="21"/>
                <w:szCs w:val="21"/>
              </w:rPr>
            </w:pPr>
          </w:p>
        </w:tc>
        <w:tc>
          <w:tcPr>
            <w:tcW w:w="217" w:type="dxa"/>
          </w:tcPr>
          <w:p w14:paraId="66EE8F26" w14:textId="77777777" w:rsidR="002C0FD9" w:rsidRPr="00CA25CF" w:rsidRDefault="002C0FD9" w:rsidP="00CA25CF">
            <w:pPr>
              <w:rPr>
                <w:rFonts w:cs="Arial"/>
                <w:color w:val="FF0000"/>
                <w:sz w:val="21"/>
                <w:szCs w:val="21"/>
              </w:rPr>
            </w:pPr>
          </w:p>
        </w:tc>
        <w:tc>
          <w:tcPr>
            <w:tcW w:w="217" w:type="dxa"/>
          </w:tcPr>
          <w:p w14:paraId="68F684C9" w14:textId="77777777" w:rsidR="002C0FD9" w:rsidRPr="00CA25CF" w:rsidRDefault="002C0FD9" w:rsidP="00CA25CF">
            <w:pPr>
              <w:rPr>
                <w:rFonts w:cs="Arial"/>
                <w:color w:val="FF0000"/>
                <w:sz w:val="21"/>
                <w:szCs w:val="21"/>
              </w:rPr>
            </w:pPr>
          </w:p>
        </w:tc>
        <w:tc>
          <w:tcPr>
            <w:tcW w:w="217" w:type="dxa"/>
          </w:tcPr>
          <w:p w14:paraId="54510702" w14:textId="77777777" w:rsidR="002C0FD9" w:rsidRPr="00CA25CF" w:rsidRDefault="002C0FD9" w:rsidP="00CA25CF">
            <w:pPr>
              <w:rPr>
                <w:rFonts w:cs="Arial"/>
                <w:color w:val="FF0000"/>
                <w:sz w:val="21"/>
                <w:szCs w:val="21"/>
              </w:rPr>
            </w:pPr>
          </w:p>
        </w:tc>
        <w:tc>
          <w:tcPr>
            <w:tcW w:w="217" w:type="dxa"/>
          </w:tcPr>
          <w:p w14:paraId="4386B876" w14:textId="77777777" w:rsidR="002C0FD9" w:rsidRPr="00CA25CF" w:rsidRDefault="002C0FD9" w:rsidP="00CA25CF">
            <w:pPr>
              <w:rPr>
                <w:rFonts w:cs="Arial"/>
                <w:color w:val="FF0000"/>
                <w:sz w:val="21"/>
                <w:szCs w:val="21"/>
              </w:rPr>
            </w:pPr>
          </w:p>
        </w:tc>
        <w:tc>
          <w:tcPr>
            <w:tcW w:w="217" w:type="dxa"/>
          </w:tcPr>
          <w:p w14:paraId="225F4D74" w14:textId="77777777" w:rsidR="002C0FD9" w:rsidRPr="00CA25CF" w:rsidRDefault="002C0FD9" w:rsidP="00CA25CF">
            <w:pPr>
              <w:rPr>
                <w:rFonts w:cs="Arial"/>
                <w:color w:val="FF0000"/>
                <w:sz w:val="21"/>
                <w:szCs w:val="21"/>
              </w:rPr>
            </w:pPr>
          </w:p>
        </w:tc>
        <w:tc>
          <w:tcPr>
            <w:tcW w:w="217" w:type="dxa"/>
          </w:tcPr>
          <w:p w14:paraId="3D2B12AA" w14:textId="77777777" w:rsidR="002C0FD9" w:rsidRPr="00CA25CF" w:rsidRDefault="002C0FD9" w:rsidP="00CA25CF">
            <w:pPr>
              <w:rPr>
                <w:rFonts w:cs="Arial"/>
                <w:color w:val="FF0000"/>
                <w:sz w:val="21"/>
                <w:szCs w:val="21"/>
              </w:rPr>
            </w:pPr>
          </w:p>
        </w:tc>
        <w:tc>
          <w:tcPr>
            <w:tcW w:w="217" w:type="dxa"/>
          </w:tcPr>
          <w:p w14:paraId="3877CE16" w14:textId="77777777" w:rsidR="002C0FD9" w:rsidRPr="00CA25CF" w:rsidRDefault="002C0FD9" w:rsidP="00CA25CF">
            <w:pPr>
              <w:rPr>
                <w:rFonts w:cs="Arial"/>
                <w:color w:val="FF0000"/>
                <w:sz w:val="21"/>
                <w:szCs w:val="21"/>
              </w:rPr>
            </w:pPr>
          </w:p>
        </w:tc>
        <w:tc>
          <w:tcPr>
            <w:tcW w:w="217" w:type="dxa"/>
          </w:tcPr>
          <w:p w14:paraId="672A0306" w14:textId="77777777" w:rsidR="002C0FD9" w:rsidRPr="00CA25CF" w:rsidRDefault="002C0FD9" w:rsidP="00CA25CF">
            <w:pPr>
              <w:rPr>
                <w:rFonts w:cs="Arial"/>
                <w:color w:val="FF0000"/>
                <w:sz w:val="21"/>
                <w:szCs w:val="21"/>
              </w:rPr>
            </w:pPr>
          </w:p>
        </w:tc>
        <w:tc>
          <w:tcPr>
            <w:tcW w:w="217" w:type="dxa"/>
          </w:tcPr>
          <w:p w14:paraId="51C2DFA2" w14:textId="77777777" w:rsidR="002C0FD9" w:rsidRPr="00CA25CF" w:rsidRDefault="002C0FD9" w:rsidP="00CA25CF">
            <w:pPr>
              <w:rPr>
                <w:rFonts w:cs="Arial"/>
                <w:color w:val="FF0000"/>
                <w:sz w:val="21"/>
                <w:szCs w:val="21"/>
              </w:rPr>
            </w:pPr>
          </w:p>
        </w:tc>
        <w:tc>
          <w:tcPr>
            <w:tcW w:w="217" w:type="dxa"/>
          </w:tcPr>
          <w:p w14:paraId="3C0A3D9E" w14:textId="77777777" w:rsidR="002C0FD9" w:rsidRPr="00CA25CF" w:rsidRDefault="002C0FD9" w:rsidP="00CA25CF">
            <w:pPr>
              <w:rPr>
                <w:rFonts w:cs="Arial"/>
                <w:color w:val="FF0000"/>
                <w:sz w:val="21"/>
                <w:szCs w:val="21"/>
              </w:rPr>
            </w:pPr>
          </w:p>
        </w:tc>
        <w:tc>
          <w:tcPr>
            <w:tcW w:w="217" w:type="dxa"/>
          </w:tcPr>
          <w:p w14:paraId="6FEAA239" w14:textId="77777777" w:rsidR="002C0FD9" w:rsidRPr="00CA25CF" w:rsidRDefault="002C0FD9" w:rsidP="00CA25CF">
            <w:pPr>
              <w:rPr>
                <w:rFonts w:cs="Arial"/>
                <w:color w:val="FF0000"/>
                <w:sz w:val="21"/>
                <w:szCs w:val="21"/>
              </w:rPr>
            </w:pPr>
          </w:p>
        </w:tc>
        <w:tc>
          <w:tcPr>
            <w:tcW w:w="217" w:type="dxa"/>
          </w:tcPr>
          <w:p w14:paraId="175E5E05" w14:textId="77777777" w:rsidR="002C0FD9" w:rsidRPr="00CA25CF" w:rsidRDefault="002C0FD9" w:rsidP="00CA25CF">
            <w:pPr>
              <w:rPr>
                <w:rFonts w:cs="Arial"/>
                <w:color w:val="FF0000"/>
                <w:sz w:val="21"/>
                <w:szCs w:val="21"/>
              </w:rPr>
            </w:pPr>
          </w:p>
        </w:tc>
        <w:tc>
          <w:tcPr>
            <w:tcW w:w="217" w:type="dxa"/>
          </w:tcPr>
          <w:p w14:paraId="1A499C4B" w14:textId="77777777" w:rsidR="002C0FD9" w:rsidRPr="00CA25CF" w:rsidRDefault="002C0FD9" w:rsidP="00CA25CF">
            <w:pPr>
              <w:rPr>
                <w:rFonts w:cs="Arial"/>
                <w:color w:val="FF0000"/>
                <w:sz w:val="21"/>
                <w:szCs w:val="21"/>
              </w:rPr>
            </w:pPr>
          </w:p>
        </w:tc>
        <w:tc>
          <w:tcPr>
            <w:tcW w:w="217" w:type="dxa"/>
          </w:tcPr>
          <w:p w14:paraId="14FD9EBF" w14:textId="77777777" w:rsidR="002C0FD9" w:rsidRPr="00CA25CF" w:rsidRDefault="002C0FD9" w:rsidP="00CA25CF">
            <w:pPr>
              <w:rPr>
                <w:rFonts w:cs="Arial"/>
                <w:color w:val="FF0000"/>
                <w:sz w:val="21"/>
                <w:szCs w:val="21"/>
              </w:rPr>
            </w:pPr>
          </w:p>
        </w:tc>
        <w:tc>
          <w:tcPr>
            <w:tcW w:w="217" w:type="dxa"/>
          </w:tcPr>
          <w:p w14:paraId="60BFD363" w14:textId="77777777" w:rsidR="002C0FD9" w:rsidRPr="00CA25CF" w:rsidRDefault="002C0FD9" w:rsidP="00CA25CF">
            <w:pPr>
              <w:rPr>
                <w:rFonts w:cs="Arial"/>
                <w:color w:val="FF0000"/>
                <w:sz w:val="21"/>
                <w:szCs w:val="21"/>
              </w:rPr>
            </w:pPr>
          </w:p>
        </w:tc>
        <w:tc>
          <w:tcPr>
            <w:tcW w:w="217" w:type="dxa"/>
          </w:tcPr>
          <w:p w14:paraId="3A1D5A2D" w14:textId="77777777" w:rsidR="002C0FD9" w:rsidRPr="00CA25CF" w:rsidRDefault="002C0FD9" w:rsidP="00CA25CF">
            <w:pPr>
              <w:rPr>
                <w:rFonts w:cs="Arial"/>
                <w:color w:val="FF0000"/>
                <w:sz w:val="21"/>
                <w:szCs w:val="21"/>
              </w:rPr>
            </w:pPr>
          </w:p>
        </w:tc>
        <w:tc>
          <w:tcPr>
            <w:tcW w:w="217" w:type="dxa"/>
          </w:tcPr>
          <w:p w14:paraId="131948B1" w14:textId="77777777" w:rsidR="002C0FD9" w:rsidRPr="00CA25CF" w:rsidRDefault="002C0FD9" w:rsidP="00CA25CF">
            <w:pPr>
              <w:rPr>
                <w:rFonts w:cs="Arial"/>
                <w:color w:val="FF0000"/>
                <w:sz w:val="21"/>
                <w:szCs w:val="21"/>
              </w:rPr>
            </w:pPr>
          </w:p>
        </w:tc>
        <w:tc>
          <w:tcPr>
            <w:tcW w:w="217" w:type="dxa"/>
          </w:tcPr>
          <w:p w14:paraId="4C0667B2" w14:textId="77777777" w:rsidR="002C0FD9" w:rsidRPr="00CA25CF" w:rsidRDefault="002C0FD9" w:rsidP="00CA25CF">
            <w:pPr>
              <w:rPr>
                <w:rFonts w:cs="Arial"/>
                <w:color w:val="FF0000"/>
                <w:sz w:val="21"/>
                <w:szCs w:val="21"/>
              </w:rPr>
            </w:pPr>
          </w:p>
        </w:tc>
        <w:tc>
          <w:tcPr>
            <w:tcW w:w="217" w:type="dxa"/>
          </w:tcPr>
          <w:p w14:paraId="2CC4F6C0" w14:textId="77777777" w:rsidR="002C0FD9" w:rsidRPr="00CA25CF" w:rsidRDefault="002C0FD9" w:rsidP="00CA25CF">
            <w:pPr>
              <w:rPr>
                <w:rFonts w:cs="Arial"/>
                <w:color w:val="FF0000"/>
                <w:sz w:val="21"/>
                <w:szCs w:val="21"/>
              </w:rPr>
            </w:pPr>
          </w:p>
        </w:tc>
        <w:tc>
          <w:tcPr>
            <w:tcW w:w="217" w:type="dxa"/>
          </w:tcPr>
          <w:p w14:paraId="1B3AEA7C" w14:textId="77777777" w:rsidR="002C0FD9" w:rsidRPr="00CA25CF" w:rsidRDefault="002C0FD9" w:rsidP="00CA25CF">
            <w:pPr>
              <w:rPr>
                <w:rFonts w:cs="Arial"/>
                <w:color w:val="FF0000"/>
                <w:sz w:val="21"/>
                <w:szCs w:val="21"/>
              </w:rPr>
            </w:pPr>
          </w:p>
        </w:tc>
        <w:tc>
          <w:tcPr>
            <w:tcW w:w="217" w:type="dxa"/>
          </w:tcPr>
          <w:p w14:paraId="3E425C81" w14:textId="77777777" w:rsidR="002C0FD9" w:rsidRPr="00CA25CF" w:rsidRDefault="002C0FD9" w:rsidP="00CA25CF">
            <w:pPr>
              <w:rPr>
                <w:rFonts w:cs="Arial"/>
                <w:color w:val="FF0000"/>
                <w:sz w:val="21"/>
                <w:szCs w:val="21"/>
              </w:rPr>
            </w:pPr>
          </w:p>
        </w:tc>
        <w:tc>
          <w:tcPr>
            <w:tcW w:w="217" w:type="dxa"/>
          </w:tcPr>
          <w:p w14:paraId="12E3A951" w14:textId="77777777" w:rsidR="002C0FD9" w:rsidRPr="00CA25CF" w:rsidRDefault="002C0FD9" w:rsidP="00CA25CF">
            <w:pPr>
              <w:rPr>
                <w:rFonts w:cs="Arial"/>
                <w:color w:val="FF0000"/>
                <w:sz w:val="21"/>
                <w:szCs w:val="21"/>
              </w:rPr>
            </w:pPr>
          </w:p>
        </w:tc>
      </w:tr>
      <w:tr w:rsidR="002C0FD9" w:rsidRPr="00A16219" w14:paraId="17205E53" w14:textId="77777777" w:rsidTr="002C0FD9">
        <w:trPr>
          <w:trHeight w:val="635"/>
        </w:trPr>
        <w:tc>
          <w:tcPr>
            <w:tcW w:w="515" w:type="dxa"/>
          </w:tcPr>
          <w:p w14:paraId="23AE90E2" w14:textId="77777777" w:rsidR="002C0FD9" w:rsidRPr="00CA25CF" w:rsidRDefault="002C0FD9" w:rsidP="00CA25CF">
            <w:pPr>
              <w:rPr>
                <w:rFonts w:cs="Arial"/>
                <w:color w:val="FF0000"/>
                <w:sz w:val="21"/>
                <w:szCs w:val="21"/>
              </w:rPr>
            </w:pPr>
          </w:p>
        </w:tc>
        <w:tc>
          <w:tcPr>
            <w:tcW w:w="217" w:type="dxa"/>
          </w:tcPr>
          <w:p w14:paraId="7AF8F8A7" w14:textId="77777777" w:rsidR="002C0FD9" w:rsidRPr="00CA25CF" w:rsidRDefault="002C0FD9" w:rsidP="00CA25CF">
            <w:pPr>
              <w:rPr>
                <w:rFonts w:cs="Arial"/>
                <w:color w:val="FF0000"/>
                <w:sz w:val="21"/>
                <w:szCs w:val="21"/>
              </w:rPr>
            </w:pPr>
          </w:p>
        </w:tc>
        <w:tc>
          <w:tcPr>
            <w:tcW w:w="217" w:type="dxa"/>
          </w:tcPr>
          <w:p w14:paraId="3C68149B" w14:textId="77777777" w:rsidR="002C0FD9" w:rsidRPr="00CA25CF" w:rsidRDefault="002C0FD9" w:rsidP="00CA25CF">
            <w:pPr>
              <w:rPr>
                <w:rFonts w:cs="Arial"/>
                <w:color w:val="FF0000"/>
                <w:sz w:val="21"/>
                <w:szCs w:val="21"/>
              </w:rPr>
            </w:pPr>
          </w:p>
        </w:tc>
        <w:tc>
          <w:tcPr>
            <w:tcW w:w="217" w:type="dxa"/>
          </w:tcPr>
          <w:p w14:paraId="7FEB5466" w14:textId="77777777" w:rsidR="002C0FD9" w:rsidRPr="00CA25CF" w:rsidRDefault="002C0FD9" w:rsidP="00CA25CF">
            <w:pPr>
              <w:rPr>
                <w:rFonts w:cs="Arial"/>
                <w:color w:val="FF0000"/>
                <w:sz w:val="21"/>
                <w:szCs w:val="21"/>
              </w:rPr>
            </w:pPr>
          </w:p>
        </w:tc>
        <w:tc>
          <w:tcPr>
            <w:tcW w:w="217" w:type="dxa"/>
          </w:tcPr>
          <w:p w14:paraId="0211C1F2" w14:textId="77777777" w:rsidR="002C0FD9" w:rsidRPr="00CA25CF" w:rsidRDefault="002C0FD9" w:rsidP="00CA25CF">
            <w:pPr>
              <w:rPr>
                <w:rFonts w:cs="Arial"/>
                <w:color w:val="FF0000"/>
                <w:sz w:val="21"/>
                <w:szCs w:val="21"/>
              </w:rPr>
            </w:pPr>
          </w:p>
        </w:tc>
        <w:tc>
          <w:tcPr>
            <w:tcW w:w="217" w:type="dxa"/>
          </w:tcPr>
          <w:p w14:paraId="7E4A222C" w14:textId="77777777" w:rsidR="002C0FD9" w:rsidRPr="00CA25CF" w:rsidRDefault="002C0FD9" w:rsidP="00CA25CF">
            <w:pPr>
              <w:rPr>
                <w:rFonts w:cs="Arial"/>
                <w:color w:val="FF0000"/>
                <w:sz w:val="21"/>
                <w:szCs w:val="21"/>
              </w:rPr>
            </w:pPr>
          </w:p>
        </w:tc>
        <w:tc>
          <w:tcPr>
            <w:tcW w:w="217" w:type="dxa"/>
          </w:tcPr>
          <w:p w14:paraId="7D0DFA34" w14:textId="77777777" w:rsidR="002C0FD9" w:rsidRPr="00CA25CF" w:rsidRDefault="002C0FD9" w:rsidP="00CA25CF">
            <w:pPr>
              <w:rPr>
                <w:rFonts w:cs="Arial"/>
                <w:color w:val="FF0000"/>
                <w:sz w:val="21"/>
                <w:szCs w:val="21"/>
              </w:rPr>
            </w:pPr>
          </w:p>
        </w:tc>
        <w:tc>
          <w:tcPr>
            <w:tcW w:w="217" w:type="dxa"/>
          </w:tcPr>
          <w:p w14:paraId="1C449634" w14:textId="77777777" w:rsidR="002C0FD9" w:rsidRPr="00CA25CF" w:rsidRDefault="002C0FD9" w:rsidP="00CA25CF">
            <w:pPr>
              <w:rPr>
                <w:rFonts w:cs="Arial"/>
                <w:color w:val="FF0000"/>
                <w:sz w:val="21"/>
                <w:szCs w:val="21"/>
              </w:rPr>
            </w:pPr>
          </w:p>
        </w:tc>
        <w:tc>
          <w:tcPr>
            <w:tcW w:w="217" w:type="dxa"/>
          </w:tcPr>
          <w:p w14:paraId="0E42FF5E" w14:textId="77777777" w:rsidR="002C0FD9" w:rsidRPr="00CA25CF" w:rsidRDefault="002C0FD9" w:rsidP="00CA25CF">
            <w:pPr>
              <w:rPr>
                <w:rFonts w:cs="Arial"/>
                <w:color w:val="FF0000"/>
                <w:sz w:val="21"/>
                <w:szCs w:val="21"/>
              </w:rPr>
            </w:pPr>
          </w:p>
        </w:tc>
        <w:tc>
          <w:tcPr>
            <w:tcW w:w="217" w:type="dxa"/>
          </w:tcPr>
          <w:p w14:paraId="3B4B6EA6" w14:textId="77777777" w:rsidR="002C0FD9" w:rsidRPr="00CA25CF" w:rsidRDefault="002C0FD9" w:rsidP="00CA25CF">
            <w:pPr>
              <w:rPr>
                <w:rFonts w:cs="Arial"/>
                <w:color w:val="FF0000"/>
                <w:sz w:val="21"/>
                <w:szCs w:val="21"/>
              </w:rPr>
            </w:pPr>
          </w:p>
        </w:tc>
        <w:tc>
          <w:tcPr>
            <w:tcW w:w="217" w:type="dxa"/>
          </w:tcPr>
          <w:p w14:paraId="57E0A44E" w14:textId="77777777" w:rsidR="002C0FD9" w:rsidRPr="00CA25CF" w:rsidRDefault="002C0FD9" w:rsidP="00CA25CF">
            <w:pPr>
              <w:rPr>
                <w:rFonts w:cs="Arial"/>
                <w:color w:val="FF0000"/>
                <w:sz w:val="21"/>
                <w:szCs w:val="21"/>
              </w:rPr>
            </w:pPr>
          </w:p>
        </w:tc>
        <w:tc>
          <w:tcPr>
            <w:tcW w:w="217" w:type="dxa"/>
          </w:tcPr>
          <w:p w14:paraId="600C218C" w14:textId="77777777" w:rsidR="002C0FD9" w:rsidRPr="00CA25CF" w:rsidRDefault="002C0FD9" w:rsidP="00CA25CF">
            <w:pPr>
              <w:rPr>
                <w:rFonts w:cs="Arial"/>
                <w:color w:val="FF0000"/>
                <w:sz w:val="21"/>
                <w:szCs w:val="21"/>
              </w:rPr>
            </w:pPr>
          </w:p>
        </w:tc>
        <w:tc>
          <w:tcPr>
            <w:tcW w:w="217" w:type="dxa"/>
          </w:tcPr>
          <w:p w14:paraId="4C6FD033" w14:textId="77777777" w:rsidR="002C0FD9" w:rsidRPr="00CA25CF" w:rsidRDefault="002C0FD9" w:rsidP="00CA25CF">
            <w:pPr>
              <w:rPr>
                <w:rFonts w:cs="Arial"/>
                <w:color w:val="FF0000"/>
                <w:sz w:val="21"/>
                <w:szCs w:val="21"/>
              </w:rPr>
            </w:pPr>
          </w:p>
        </w:tc>
        <w:tc>
          <w:tcPr>
            <w:tcW w:w="217" w:type="dxa"/>
          </w:tcPr>
          <w:p w14:paraId="78931448" w14:textId="77777777" w:rsidR="002C0FD9" w:rsidRPr="00CA25CF" w:rsidRDefault="002C0FD9" w:rsidP="00CA25CF">
            <w:pPr>
              <w:rPr>
                <w:rFonts w:cs="Arial"/>
                <w:color w:val="FF0000"/>
                <w:sz w:val="21"/>
                <w:szCs w:val="21"/>
              </w:rPr>
            </w:pPr>
          </w:p>
        </w:tc>
        <w:tc>
          <w:tcPr>
            <w:tcW w:w="217" w:type="dxa"/>
          </w:tcPr>
          <w:p w14:paraId="3D7E139B" w14:textId="77777777" w:rsidR="002C0FD9" w:rsidRPr="00CA25CF" w:rsidRDefault="002C0FD9" w:rsidP="00CA25CF">
            <w:pPr>
              <w:rPr>
                <w:rFonts w:cs="Arial"/>
                <w:color w:val="FF0000"/>
                <w:sz w:val="21"/>
                <w:szCs w:val="21"/>
              </w:rPr>
            </w:pPr>
          </w:p>
        </w:tc>
        <w:tc>
          <w:tcPr>
            <w:tcW w:w="217" w:type="dxa"/>
          </w:tcPr>
          <w:p w14:paraId="28C2E81E" w14:textId="77777777" w:rsidR="002C0FD9" w:rsidRPr="00CA25CF" w:rsidRDefault="002C0FD9" w:rsidP="00CA25CF">
            <w:pPr>
              <w:rPr>
                <w:rFonts w:cs="Arial"/>
                <w:color w:val="FF0000"/>
                <w:sz w:val="21"/>
                <w:szCs w:val="21"/>
              </w:rPr>
            </w:pPr>
          </w:p>
        </w:tc>
        <w:tc>
          <w:tcPr>
            <w:tcW w:w="217" w:type="dxa"/>
          </w:tcPr>
          <w:p w14:paraId="584F9353" w14:textId="77777777" w:rsidR="002C0FD9" w:rsidRPr="00CA25CF" w:rsidRDefault="002C0FD9" w:rsidP="00CA25CF">
            <w:pPr>
              <w:rPr>
                <w:rFonts w:cs="Arial"/>
                <w:color w:val="FF0000"/>
                <w:sz w:val="21"/>
                <w:szCs w:val="21"/>
              </w:rPr>
            </w:pPr>
          </w:p>
        </w:tc>
        <w:tc>
          <w:tcPr>
            <w:tcW w:w="217" w:type="dxa"/>
          </w:tcPr>
          <w:p w14:paraId="7FD3BB7A" w14:textId="77777777" w:rsidR="002C0FD9" w:rsidRPr="00CA25CF" w:rsidRDefault="002C0FD9" w:rsidP="00CA25CF">
            <w:pPr>
              <w:rPr>
                <w:rFonts w:cs="Arial"/>
                <w:color w:val="FF0000"/>
                <w:sz w:val="21"/>
                <w:szCs w:val="21"/>
              </w:rPr>
            </w:pPr>
          </w:p>
        </w:tc>
        <w:tc>
          <w:tcPr>
            <w:tcW w:w="217" w:type="dxa"/>
          </w:tcPr>
          <w:p w14:paraId="78CC3FD6" w14:textId="77777777" w:rsidR="002C0FD9" w:rsidRPr="00CA25CF" w:rsidRDefault="002C0FD9" w:rsidP="00CA25CF">
            <w:pPr>
              <w:rPr>
                <w:rFonts w:cs="Arial"/>
                <w:color w:val="FF0000"/>
                <w:sz w:val="21"/>
                <w:szCs w:val="21"/>
              </w:rPr>
            </w:pPr>
          </w:p>
        </w:tc>
        <w:tc>
          <w:tcPr>
            <w:tcW w:w="217" w:type="dxa"/>
          </w:tcPr>
          <w:p w14:paraId="4EB9F2FF" w14:textId="77777777" w:rsidR="002C0FD9" w:rsidRPr="00CA25CF" w:rsidRDefault="002C0FD9" w:rsidP="00CA25CF">
            <w:pPr>
              <w:rPr>
                <w:rFonts w:cs="Arial"/>
                <w:color w:val="FF0000"/>
                <w:sz w:val="21"/>
                <w:szCs w:val="21"/>
              </w:rPr>
            </w:pPr>
          </w:p>
        </w:tc>
        <w:tc>
          <w:tcPr>
            <w:tcW w:w="217" w:type="dxa"/>
          </w:tcPr>
          <w:p w14:paraId="4EABFD06" w14:textId="77777777" w:rsidR="002C0FD9" w:rsidRPr="00CA25CF" w:rsidRDefault="002C0FD9" w:rsidP="00CA25CF">
            <w:pPr>
              <w:rPr>
                <w:rFonts w:cs="Arial"/>
                <w:color w:val="FF0000"/>
                <w:sz w:val="21"/>
                <w:szCs w:val="21"/>
              </w:rPr>
            </w:pPr>
          </w:p>
        </w:tc>
        <w:tc>
          <w:tcPr>
            <w:tcW w:w="217" w:type="dxa"/>
          </w:tcPr>
          <w:p w14:paraId="3716A799" w14:textId="77777777" w:rsidR="002C0FD9" w:rsidRPr="00CA25CF" w:rsidRDefault="002C0FD9" w:rsidP="00CA25CF">
            <w:pPr>
              <w:rPr>
                <w:rFonts w:cs="Arial"/>
                <w:color w:val="FF0000"/>
                <w:sz w:val="21"/>
                <w:szCs w:val="21"/>
              </w:rPr>
            </w:pPr>
          </w:p>
        </w:tc>
        <w:tc>
          <w:tcPr>
            <w:tcW w:w="217" w:type="dxa"/>
          </w:tcPr>
          <w:p w14:paraId="7B2858F1" w14:textId="77777777" w:rsidR="002C0FD9" w:rsidRPr="00CA25CF" w:rsidRDefault="002C0FD9" w:rsidP="00CA25CF">
            <w:pPr>
              <w:rPr>
                <w:rFonts w:cs="Arial"/>
                <w:color w:val="FF0000"/>
                <w:sz w:val="21"/>
                <w:szCs w:val="21"/>
              </w:rPr>
            </w:pPr>
          </w:p>
        </w:tc>
        <w:tc>
          <w:tcPr>
            <w:tcW w:w="217" w:type="dxa"/>
          </w:tcPr>
          <w:p w14:paraId="55E916E0" w14:textId="77777777" w:rsidR="002C0FD9" w:rsidRPr="00CA25CF" w:rsidRDefault="002C0FD9" w:rsidP="00CA25CF">
            <w:pPr>
              <w:rPr>
                <w:rFonts w:cs="Arial"/>
                <w:color w:val="FF0000"/>
                <w:sz w:val="21"/>
                <w:szCs w:val="21"/>
              </w:rPr>
            </w:pPr>
          </w:p>
        </w:tc>
        <w:tc>
          <w:tcPr>
            <w:tcW w:w="217" w:type="dxa"/>
          </w:tcPr>
          <w:p w14:paraId="6A1F7CD8" w14:textId="77777777" w:rsidR="002C0FD9" w:rsidRPr="00CA25CF" w:rsidRDefault="002C0FD9" w:rsidP="00CA25CF">
            <w:pPr>
              <w:rPr>
                <w:rFonts w:cs="Arial"/>
                <w:color w:val="FF0000"/>
                <w:sz w:val="21"/>
                <w:szCs w:val="21"/>
              </w:rPr>
            </w:pPr>
          </w:p>
        </w:tc>
        <w:tc>
          <w:tcPr>
            <w:tcW w:w="217" w:type="dxa"/>
          </w:tcPr>
          <w:p w14:paraId="550552C5" w14:textId="77777777" w:rsidR="002C0FD9" w:rsidRPr="00CA25CF" w:rsidRDefault="002C0FD9" w:rsidP="00CA25CF">
            <w:pPr>
              <w:rPr>
                <w:rFonts w:cs="Arial"/>
                <w:color w:val="FF0000"/>
                <w:sz w:val="21"/>
                <w:szCs w:val="21"/>
              </w:rPr>
            </w:pPr>
          </w:p>
        </w:tc>
        <w:tc>
          <w:tcPr>
            <w:tcW w:w="217" w:type="dxa"/>
          </w:tcPr>
          <w:p w14:paraId="48452369" w14:textId="77777777" w:rsidR="002C0FD9" w:rsidRPr="00CA25CF" w:rsidRDefault="002C0FD9" w:rsidP="00CA25CF">
            <w:pPr>
              <w:rPr>
                <w:rFonts w:cs="Arial"/>
                <w:color w:val="FF0000"/>
                <w:sz w:val="21"/>
                <w:szCs w:val="21"/>
              </w:rPr>
            </w:pPr>
          </w:p>
        </w:tc>
        <w:tc>
          <w:tcPr>
            <w:tcW w:w="217" w:type="dxa"/>
          </w:tcPr>
          <w:p w14:paraId="1F6C56CD" w14:textId="77777777" w:rsidR="002C0FD9" w:rsidRPr="00CA25CF" w:rsidRDefault="002C0FD9" w:rsidP="00CA25CF">
            <w:pPr>
              <w:rPr>
                <w:rFonts w:cs="Arial"/>
                <w:color w:val="FF0000"/>
                <w:sz w:val="21"/>
                <w:szCs w:val="21"/>
              </w:rPr>
            </w:pPr>
          </w:p>
        </w:tc>
        <w:tc>
          <w:tcPr>
            <w:tcW w:w="217" w:type="dxa"/>
          </w:tcPr>
          <w:p w14:paraId="1A4AC048" w14:textId="77777777" w:rsidR="002C0FD9" w:rsidRPr="00CA25CF" w:rsidRDefault="002C0FD9" w:rsidP="00CA25CF">
            <w:pPr>
              <w:rPr>
                <w:rFonts w:cs="Arial"/>
                <w:color w:val="FF0000"/>
                <w:sz w:val="21"/>
                <w:szCs w:val="21"/>
              </w:rPr>
            </w:pPr>
          </w:p>
        </w:tc>
        <w:tc>
          <w:tcPr>
            <w:tcW w:w="217" w:type="dxa"/>
          </w:tcPr>
          <w:p w14:paraId="40BF3A69" w14:textId="77777777" w:rsidR="002C0FD9" w:rsidRPr="00CA25CF" w:rsidRDefault="002C0FD9" w:rsidP="00CA25CF">
            <w:pPr>
              <w:rPr>
                <w:rFonts w:cs="Arial"/>
                <w:color w:val="FF0000"/>
                <w:sz w:val="21"/>
                <w:szCs w:val="21"/>
              </w:rPr>
            </w:pPr>
          </w:p>
        </w:tc>
        <w:tc>
          <w:tcPr>
            <w:tcW w:w="217" w:type="dxa"/>
          </w:tcPr>
          <w:p w14:paraId="0330A717" w14:textId="77777777" w:rsidR="002C0FD9" w:rsidRPr="00CA25CF" w:rsidRDefault="002C0FD9" w:rsidP="00CA25CF">
            <w:pPr>
              <w:rPr>
                <w:rFonts w:cs="Arial"/>
                <w:color w:val="FF0000"/>
                <w:sz w:val="21"/>
                <w:szCs w:val="21"/>
              </w:rPr>
            </w:pPr>
          </w:p>
        </w:tc>
        <w:tc>
          <w:tcPr>
            <w:tcW w:w="217" w:type="dxa"/>
          </w:tcPr>
          <w:p w14:paraId="7C86C1C4" w14:textId="77777777" w:rsidR="002C0FD9" w:rsidRPr="00CA25CF" w:rsidRDefault="002C0FD9" w:rsidP="00CA25CF">
            <w:pPr>
              <w:rPr>
                <w:rFonts w:cs="Arial"/>
                <w:color w:val="FF0000"/>
                <w:sz w:val="21"/>
                <w:szCs w:val="21"/>
              </w:rPr>
            </w:pPr>
          </w:p>
        </w:tc>
        <w:tc>
          <w:tcPr>
            <w:tcW w:w="217" w:type="dxa"/>
          </w:tcPr>
          <w:p w14:paraId="58C4870C" w14:textId="77777777" w:rsidR="002C0FD9" w:rsidRPr="00CA25CF" w:rsidRDefault="002C0FD9" w:rsidP="00CA25CF">
            <w:pPr>
              <w:rPr>
                <w:rFonts w:cs="Arial"/>
                <w:color w:val="FF0000"/>
                <w:sz w:val="21"/>
                <w:szCs w:val="21"/>
              </w:rPr>
            </w:pPr>
          </w:p>
        </w:tc>
        <w:tc>
          <w:tcPr>
            <w:tcW w:w="217" w:type="dxa"/>
          </w:tcPr>
          <w:p w14:paraId="067DB818" w14:textId="77777777" w:rsidR="002C0FD9" w:rsidRPr="00CA25CF" w:rsidRDefault="002C0FD9" w:rsidP="00CA25CF">
            <w:pPr>
              <w:rPr>
                <w:rFonts w:cs="Arial"/>
                <w:color w:val="FF0000"/>
                <w:sz w:val="21"/>
                <w:szCs w:val="21"/>
              </w:rPr>
            </w:pPr>
          </w:p>
        </w:tc>
        <w:tc>
          <w:tcPr>
            <w:tcW w:w="217" w:type="dxa"/>
          </w:tcPr>
          <w:p w14:paraId="200C374E" w14:textId="77777777" w:rsidR="002C0FD9" w:rsidRPr="00CA25CF" w:rsidRDefault="002C0FD9" w:rsidP="00CA25CF">
            <w:pPr>
              <w:rPr>
                <w:rFonts w:cs="Arial"/>
                <w:color w:val="FF0000"/>
                <w:sz w:val="21"/>
                <w:szCs w:val="21"/>
              </w:rPr>
            </w:pPr>
          </w:p>
        </w:tc>
        <w:tc>
          <w:tcPr>
            <w:tcW w:w="217" w:type="dxa"/>
          </w:tcPr>
          <w:p w14:paraId="0FB262DC" w14:textId="77777777" w:rsidR="002C0FD9" w:rsidRPr="00CA25CF" w:rsidRDefault="002C0FD9" w:rsidP="00CA25CF">
            <w:pPr>
              <w:rPr>
                <w:rFonts w:cs="Arial"/>
                <w:color w:val="FF0000"/>
                <w:sz w:val="21"/>
                <w:szCs w:val="21"/>
              </w:rPr>
            </w:pPr>
          </w:p>
        </w:tc>
        <w:tc>
          <w:tcPr>
            <w:tcW w:w="217" w:type="dxa"/>
          </w:tcPr>
          <w:p w14:paraId="49875C40" w14:textId="77777777" w:rsidR="002C0FD9" w:rsidRPr="00CA25CF" w:rsidRDefault="002C0FD9" w:rsidP="00CA25CF">
            <w:pPr>
              <w:rPr>
                <w:rFonts w:cs="Arial"/>
                <w:color w:val="FF0000"/>
                <w:sz w:val="21"/>
                <w:szCs w:val="21"/>
              </w:rPr>
            </w:pPr>
          </w:p>
        </w:tc>
        <w:tc>
          <w:tcPr>
            <w:tcW w:w="217" w:type="dxa"/>
          </w:tcPr>
          <w:p w14:paraId="68EAE448" w14:textId="77777777" w:rsidR="002C0FD9" w:rsidRPr="00CA25CF" w:rsidRDefault="002C0FD9" w:rsidP="00CA25CF">
            <w:pPr>
              <w:rPr>
                <w:rFonts w:cs="Arial"/>
                <w:color w:val="FF0000"/>
                <w:sz w:val="21"/>
                <w:szCs w:val="21"/>
              </w:rPr>
            </w:pPr>
          </w:p>
        </w:tc>
        <w:tc>
          <w:tcPr>
            <w:tcW w:w="217" w:type="dxa"/>
          </w:tcPr>
          <w:p w14:paraId="1644809D" w14:textId="77777777" w:rsidR="002C0FD9" w:rsidRPr="00CA25CF" w:rsidRDefault="002C0FD9" w:rsidP="00CA25CF">
            <w:pPr>
              <w:rPr>
                <w:rFonts w:cs="Arial"/>
                <w:color w:val="FF0000"/>
                <w:sz w:val="21"/>
                <w:szCs w:val="21"/>
              </w:rPr>
            </w:pPr>
          </w:p>
        </w:tc>
        <w:tc>
          <w:tcPr>
            <w:tcW w:w="217" w:type="dxa"/>
          </w:tcPr>
          <w:p w14:paraId="5D06D46F" w14:textId="77777777" w:rsidR="002C0FD9" w:rsidRPr="00CA25CF" w:rsidRDefault="002C0FD9" w:rsidP="00CA25CF">
            <w:pPr>
              <w:rPr>
                <w:rFonts w:cs="Arial"/>
                <w:color w:val="FF0000"/>
                <w:sz w:val="21"/>
                <w:szCs w:val="21"/>
              </w:rPr>
            </w:pPr>
          </w:p>
        </w:tc>
        <w:tc>
          <w:tcPr>
            <w:tcW w:w="217" w:type="dxa"/>
          </w:tcPr>
          <w:p w14:paraId="6A109883" w14:textId="77777777" w:rsidR="002C0FD9" w:rsidRPr="00CA25CF" w:rsidRDefault="002C0FD9" w:rsidP="00CA25CF">
            <w:pPr>
              <w:rPr>
                <w:rFonts w:cs="Arial"/>
                <w:color w:val="FF0000"/>
                <w:sz w:val="21"/>
                <w:szCs w:val="21"/>
              </w:rPr>
            </w:pPr>
          </w:p>
        </w:tc>
        <w:tc>
          <w:tcPr>
            <w:tcW w:w="217" w:type="dxa"/>
          </w:tcPr>
          <w:p w14:paraId="19B7D2E7" w14:textId="77777777" w:rsidR="002C0FD9" w:rsidRPr="00CA25CF" w:rsidRDefault="002C0FD9" w:rsidP="00CA25CF">
            <w:pPr>
              <w:rPr>
                <w:rFonts w:cs="Arial"/>
                <w:color w:val="FF0000"/>
                <w:sz w:val="21"/>
                <w:szCs w:val="21"/>
              </w:rPr>
            </w:pPr>
          </w:p>
        </w:tc>
        <w:tc>
          <w:tcPr>
            <w:tcW w:w="217" w:type="dxa"/>
          </w:tcPr>
          <w:p w14:paraId="3C229E51" w14:textId="77777777" w:rsidR="002C0FD9" w:rsidRPr="00CA25CF" w:rsidRDefault="002C0FD9" w:rsidP="00CA25CF">
            <w:pPr>
              <w:rPr>
                <w:rFonts w:cs="Arial"/>
                <w:color w:val="FF0000"/>
                <w:sz w:val="21"/>
                <w:szCs w:val="21"/>
              </w:rPr>
            </w:pPr>
          </w:p>
        </w:tc>
      </w:tr>
      <w:tr w:rsidR="002C0FD9" w:rsidRPr="00A16219" w14:paraId="26DDBC9A" w14:textId="77777777" w:rsidTr="002C0FD9">
        <w:trPr>
          <w:trHeight w:val="635"/>
        </w:trPr>
        <w:tc>
          <w:tcPr>
            <w:tcW w:w="515" w:type="dxa"/>
          </w:tcPr>
          <w:p w14:paraId="4FCF41E9" w14:textId="77777777" w:rsidR="002C0FD9" w:rsidRPr="00CA25CF" w:rsidRDefault="002C0FD9" w:rsidP="00CA25CF">
            <w:pPr>
              <w:rPr>
                <w:rFonts w:cs="Arial"/>
                <w:color w:val="FF0000"/>
                <w:sz w:val="21"/>
                <w:szCs w:val="21"/>
              </w:rPr>
            </w:pPr>
          </w:p>
        </w:tc>
        <w:tc>
          <w:tcPr>
            <w:tcW w:w="217" w:type="dxa"/>
          </w:tcPr>
          <w:p w14:paraId="5D20647B" w14:textId="77777777" w:rsidR="002C0FD9" w:rsidRPr="00CA25CF" w:rsidRDefault="002C0FD9" w:rsidP="00CA25CF">
            <w:pPr>
              <w:rPr>
                <w:rFonts w:cs="Arial"/>
                <w:color w:val="FF0000"/>
                <w:sz w:val="21"/>
                <w:szCs w:val="21"/>
              </w:rPr>
            </w:pPr>
          </w:p>
        </w:tc>
        <w:tc>
          <w:tcPr>
            <w:tcW w:w="217" w:type="dxa"/>
          </w:tcPr>
          <w:p w14:paraId="3EBB9E8C" w14:textId="77777777" w:rsidR="002C0FD9" w:rsidRPr="00CA25CF" w:rsidRDefault="002C0FD9" w:rsidP="00CA25CF">
            <w:pPr>
              <w:rPr>
                <w:rFonts w:cs="Arial"/>
                <w:color w:val="FF0000"/>
                <w:sz w:val="21"/>
                <w:szCs w:val="21"/>
              </w:rPr>
            </w:pPr>
          </w:p>
        </w:tc>
        <w:tc>
          <w:tcPr>
            <w:tcW w:w="217" w:type="dxa"/>
          </w:tcPr>
          <w:p w14:paraId="3EBE2EDC" w14:textId="77777777" w:rsidR="002C0FD9" w:rsidRPr="00CA25CF" w:rsidRDefault="002C0FD9" w:rsidP="00CA25CF">
            <w:pPr>
              <w:rPr>
                <w:rFonts w:cs="Arial"/>
                <w:color w:val="FF0000"/>
                <w:sz w:val="21"/>
                <w:szCs w:val="21"/>
              </w:rPr>
            </w:pPr>
          </w:p>
        </w:tc>
        <w:tc>
          <w:tcPr>
            <w:tcW w:w="217" w:type="dxa"/>
          </w:tcPr>
          <w:p w14:paraId="21188B23" w14:textId="77777777" w:rsidR="002C0FD9" w:rsidRPr="00CA25CF" w:rsidRDefault="002C0FD9" w:rsidP="00CA25CF">
            <w:pPr>
              <w:rPr>
                <w:rFonts w:cs="Arial"/>
                <w:color w:val="FF0000"/>
                <w:sz w:val="21"/>
                <w:szCs w:val="21"/>
              </w:rPr>
            </w:pPr>
          </w:p>
        </w:tc>
        <w:tc>
          <w:tcPr>
            <w:tcW w:w="217" w:type="dxa"/>
          </w:tcPr>
          <w:p w14:paraId="459E6FB1" w14:textId="77777777" w:rsidR="002C0FD9" w:rsidRPr="00CA25CF" w:rsidRDefault="002C0FD9" w:rsidP="00CA25CF">
            <w:pPr>
              <w:rPr>
                <w:rFonts w:cs="Arial"/>
                <w:color w:val="FF0000"/>
                <w:sz w:val="21"/>
                <w:szCs w:val="21"/>
              </w:rPr>
            </w:pPr>
          </w:p>
        </w:tc>
        <w:tc>
          <w:tcPr>
            <w:tcW w:w="217" w:type="dxa"/>
          </w:tcPr>
          <w:p w14:paraId="6A2FB90F" w14:textId="77777777" w:rsidR="002C0FD9" w:rsidRPr="00CA25CF" w:rsidRDefault="002C0FD9" w:rsidP="00CA25CF">
            <w:pPr>
              <w:rPr>
                <w:rFonts w:cs="Arial"/>
                <w:color w:val="FF0000"/>
                <w:sz w:val="21"/>
                <w:szCs w:val="21"/>
              </w:rPr>
            </w:pPr>
          </w:p>
        </w:tc>
        <w:tc>
          <w:tcPr>
            <w:tcW w:w="217" w:type="dxa"/>
          </w:tcPr>
          <w:p w14:paraId="43DB5389" w14:textId="77777777" w:rsidR="002C0FD9" w:rsidRPr="00CA25CF" w:rsidRDefault="002C0FD9" w:rsidP="00CA25CF">
            <w:pPr>
              <w:rPr>
                <w:rFonts w:cs="Arial"/>
                <w:color w:val="FF0000"/>
                <w:sz w:val="21"/>
                <w:szCs w:val="21"/>
              </w:rPr>
            </w:pPr>
          </w:p>
        </w:tc>
        <w:tc>
          <w:tcPr>
            <w:tcW w:w="217" w:type="dxa"/>
          </w:tcPr>
          <w:p w14:paraId="50207580" w14:textId="77777777" w:rsidR="002C0FD9" w:rsidRPr="00CA25CF" w:rsidRDefault="002C0FD9" w:rsidP="00CA25CF">
            <w:pPr>
              <w:rPr>
                <w:rFonts w:cs="Arial"/>
                <w:color w:val="FF0000"/>
                <w:sz w:val="21"/>
                <w:szCs w:val="21"/>
              </w:rPr>
            </w:pPr>
          </w:p>
        </w:tc>
        <w:tc>
          <w:tcPr>
            <w:tcW w:w="217" w:type="dxa"/>
          </w:tcPr>
          <w:p w14:paraId="08489B53" w14:textId="77777777" w:rsidR="002C0FD9" w:rsidRPr="00CA25CF" w:rsidRDefault="002C0FD9" w:rsidP="00CA25CF">
            <w:pPr>
              <w:rPr>
                <w:rFonts w:cs="Arial"/>
                <w:color w:val="FF0000"/>
                <w:sz w:val="21"/>
                <w:szCs w:val="21"/>
              </w:rPr>
            </w:pPr>
          </w:p>
        </w:tc>
        <w:tc>
          <w:tcPr>
            <w:tcW w:w="217" w:type="dxa"/>
          </w:tcPr>
          <w:p w14:paraId="647B813D" w14:textId="77777777" w:rsidR="002C0FD9" w:rsidRPr="00CA25CF" w:rsidRDefault="002C0FD9" w:rsidP="00CA25CF">
            <w:pPr>
              <w:rPr>
                <w:rFonts w:cs="Arial"/>
                <w:color w:val="FF0000"/>
                <w:sz w:val="21"/>
                <w:szCs w:val="21"/>
              </w:rPr>
            </w:pPr>
          </w:p>
        </w:tc>
        <w:tc>
          <w:tcPr>
            <w:tcW w:w="217" w:type="dxa"/>
          </w:tcPr>
          <w:p w14:paraId="7119E2F0" w14:textId="77777777" w:rsidR="002C0FD9" w:rsidRPr="00CA25CF" w:rsidRDefault="002C0FD9" w:rsidP="00CA25CF">
            <w:pPr>
              <w:rPr>
                <w:rFonts w:cs="Arial"/>
                <w:color w:val="FF0000"/>
                <w:sz w:val="21"/>
                <w:szCs w:val="21"/>
              </w:rPr>
            </w:pPr>
          </w:p>
        </w:tc>
        <w:tc>
          <w:tcPr>
            <w:tcW w:w="217" w:type="dxa"/>
          </w:tcPr>
          <w:p w14:paraId="092412F8" w14:textId="77777777" w:rsidR="002C0FD9" w:rsidRPr="00CA25CF" w:rsidRDefault="002C0FD9" w:rsidP="00CA25CF">
            <w:pPr>
              <w:rPr>
                <w:rFonts w:cs="Arial"/>
                <w:color w:val="FF0000"/>
                <w:sz w:val="21"/>
                <w:szCs w:val="21"/>
              </w:rPr>
            </w:pPr>
          </w:p>
        </w:tc>
        <w:tc>
          <w:tcPr>
            <w:tcW w:w="217" w:type="dxa"/>
          </w:tcPr>
          <w:p w14:paraId="47F85849" w14:textId="77777777" w:rsidR="002C0FD9" w:rsidRPr="00CA25CF" w:rsidRDefault="002C0FD9" w:rsidP="00CA25CF">
            <w:pPr>
              <w:rPr>
                <w:rFonts w:cs="Arial"/>
                <w:color w:val="FF0000"/>
                <w:sz w:val="21"/>
                <w:szCs w:val="21"/>
              </w:rPr>
            </w:pPr>
          </w:p>
        </w:tc>
        <w:tc>
          <w:tcPr>
            <w:tcW w:w="217" w:type="dxa"/>
          </w:tcPr>
          <w:p w14:paraId="1D5FB819" w14:textId="77777777" w:rsidR="002C0FD9" w:rsidRPr="00CA25CF" w:rsidRDefault="002C0FD9" w:rsidP="00CA25CF">
            <w:pPr>
              <w:rPr>
                <w:rFonts w:cs="Arial"/>
                <w:color w:val="FF0000"/>
                <w:sz w:val="21"/>
                <w:szCs w:val="21"/>
              </w:rPr>
            </w:pPr>
          </w:p>
        </w:tc>
        <w:tc>
          <w:tcPr>
            <w:tcW w:w="217" w:type="dxa"/>
          </w:tcPr>
          <w:p w14:paraId="7C2646CF" w14:textId="77777777" w:rsidR="002C0FD9" w:rsidRPr="00CA25CF" w:rsidRDefault="002C0FD9" w:rsidP="00CA25CF">
            <w:pPr>
              <w:rPr>
                <w:rFonts w:cs="Arial"/>
                <w:color w:val="FF0000"/>
                <w:sz w:val="21"/>
                <w:szCs w:val="21"/>
              </w:rPr>
            </w:pPr>
          </w:p>
        </w:tc>
        <w:tc>
          <w:tcPr>
            <w:tcW w:w="217" w:type="dxa"/>
          </w:tcPr>
          <w:p w14:paraId="63776816" w14:textId="77777777" w:rsidR="002C0FD9" w:rsidRPr="00CA25CF" w:rsidRDefault="002C0FD9" w:rsidP="00CA25CF">
            <w:pPr>
              <w:rPr>
                <w:rFonts w:cs="Arial"/>
                <w:color w:val="FF0000"/>
                <w:sz w:val="21"/>
                <w:szCs w:val="21"/>
              </w:rPr>
            </w:pPr>
          </w:p>
        </w:tc>
        <w:tc>
          <w:tcPr>
            <w:tcW w:w="217" w:type="dxa"/>
          </w:tcPr>
          <w:p w14:paraId="76E0FB9D" w14:textId="77777777" w:rsidR="002C0FD9" w:rsidRPr="00CA25CF" w:rsidRDefault="002C0FD9" w:rsidP="00CA25CF">
            <w:pPr>
              <w:rPr>
                <w:rFonts w:cs="Arial"/>
                <w:color w:val="FF0000"/>
                <w:sz w:val="21"/>
                <w:szCs w:val="21"/>
              </w:rPr>
            </w:pPr>
          </w:p>
        </w:tc>
        <w:tc>
          <w:tcPr>
            <w:tcW w:w="217" w:type="dxa"/>
          </w:tcPr>
          <w:p w14:paraId="3021BE42" w14:textId="77777777" w:rsidR="002C0FD9" w:rsidRPr="00CA25CF" w:rsidRDefault="002C0FD9" w:rsidP="00CA25CF">
            <w:pPr>
              <w:rPr>
                <w:rFonts w:cs="Arial"/>
                <w:color w:val="FF0000"/>
                <w:sz w:val="21"/>
                <w:szCs w:val="21"/>
              </w:rPr>
            </w:pPr>
          </w:p>
        </w:tc>
        <w:tc>
          <w:tcPr>
            <w:tcW w:w="217" w:type="dxa"/>
          </w:tcPr>
          <w:p w14:paraId="198CA5FF" w14:textId="77777777" w:rsidR="002C0FD9" w:rsidRPr="00CA25CF" w:rsidRDefault="002C0FD9" w:rsidP="00CA25CF">
            <w:pPr>
              <w:rPr>
                <w:rFonts w:cs="Arial"/>
                <w:color w:val="FF0000"/>
                <w:sz w:val="21"/>
                <w:szCs w:val="21"/>
              </w:rPr>
            </w:pPr>
          </w:p>
        </w:tc>
        <w:tc>
          <w:tcPr>
            <w:tcW w:w="217" w:type="dxa"/>
          </w:tcPr>
          <w:p w14:paraId="43C8EE12" w14:textId="77777777" w:rsidR="002C0FD9" w:rsidRPr="00CA25CF" w:rsidRDefault="002C0FD9" w:rsidP="00CA25CF">
            <w:pPr>
              <w:rPr>
                <w:rFonts w:cs="Arial"/>
                <w:color w:val="FF0000"/>
                <w:sz w:val="21"/>
                <w:szCs w:val="21"/>
              </w:rPr>
            </w:pPr>
          </w:p>
        </w:tc>
        <w:tc>
          <w:tcPr>
            <w:tcW w:w="217" w:type="dxa"/>
          </w:tcPr>
          <w:p w14:paraId="0E61F87E" w14:textId="77777777" w:rsidR="002C0FD9" w:rsidRPr="00CA25CF" w:rsidRDefault="002C0FD9" w:rsidP="00CA25CF">
            <w:pPr>
              <w:rPr>
                <w:rFonts w:cs="Arial"/>
                <w:color w:val="FF0000"/>
                <w:sz w:val="21"/>
                <w:szCs w:val="21"/>
              </w:rPr>
            </w:pPr>
          </w:p>
        </w:tc>
        <w:tc>
          <w:tcPr>
            <w:tcW w:w="217" w:type="dxa"/>
          </w:tcPr>
          <w:p w14:paraId="5F86A5FB" w14:textId="77777777" w:rsidR="002C0FD9" w:rsidRPr="00CA25CF" w:rsidRDefault="002C0FD9" w:rsidP="00CA25CF">
            <w:pPr>
              <w:rPr>
                <w:rFonts w:cs="Arial"/>
                <w:color w:val="FF0000"/>
                <w:sz w:val="21"/>
                <w:szCs w:val="21"/>
              </w:rPr>
            </w:pPr>
          </w:p>
        </w:tc>
        <w:tc>
          <w:tcPr>
            <w:tcW w:w="217" w:type="dxa"/>
          </w:tcPr>
          <w:p w14:paraId="4B9A6E77" w14:textId="77777777" w:rsidR="002C0FD9" w:rsidRPr="00CA25CF" w:rsidRDefault="002C0FD9" w:rsidP="00CA25CF">
            <w:pPr>
              <w:rPr>
                <w:rFonts w:cs="Arial"/>
                <w:color w:val="FF0000"/>
                <w:sz w:val="21"/>
                <w:szCs w:val="21"/>
              </w:rPr>
            </w:pPr>
          </w:p>
        </w:tc>
        <w:tc>
          <w:tcPr>
            <w:tcW w:w="217" w:type="dxa"/>
          </w:tcPr>
          <w:p w14:paraId="7E8CB4BA" w14:textId="77777777" w:rsidR="002C0FD9" w:rsidRPr="00CA25CF" w:rsidRDefault="002C0FD9" w:rsidP="00CA25CF">
            <w:pPr>
              <w:rPr>
                <w:rFonts w:cs="Arial"/>
                <w:color w:val="FF0000"/>
                <w:sz w:val="21"/>
                <w:szCs w:val="21"/>
              </w:rPr>
            </w:pPr>
          </w:p>
        </w:tc>
        <w:tc>
          <w:tcPr>
            <w:tcW w:w="217" w:type="dxa"/>
          </w:tcPr>
          <w:p w14:paraId="76FE3A2E" w14:textId="77777777" w:rsidR="002C0FD9" w:rsidRPr="00CA25CF" w:rsidRDefault="002C0FD9" w:rsidP="00CA25CF">
            <w:pPr>
              <w:rPr>
                <w:rFonts w:cs="Arial"/>
                <w:color w:val="FF0000"/>
                <w:sz w:val="21"/>
                <w:szCs w:val="21"/>
              </w:rPr>
            </w:pPr>
          </w:p>
        </w:tc>
        <w:tc>
          <w:tcPr>
            <w:tcW w:w="217" w:type="dxa"/>
          </w:tcPr>
          <w:p w14:paraId="120AE53C" w14:textId="77777777" w:rsidR="002C0FD9" w:rsidRPr="00CA25CF" w:rsidRDefault="002C0FD9" w:rsidP="00CA25CF">
            <w:pPr>
              <w:rPr>
                <w:rFonts w:cs="Arial"/>
                <w:color w:val="FF0000"/>
                <w:sz w:val="21"/>
                <w:szCs w:val="21"/>
              </w:rPr>
            </w:pPr>
          </w:p>
        </w:tc>
        <w:tc>
          <w:tcPr>
            <w:tcW w:w="217" w:type="dxa"/>
          </w:tcPr>
          <w:p w14:paraId="4708DF46" w14:textId="77777777" w:rsidR="002C0FD9" w:rsidRPr="00CA25CF" w:rsidRDefault="002C0FD9" w:rsidP="00CA25CF">
            <w:pPr>
              <w:rPr>
                <w:rFonts w:cs="Arial"/>
                <w:color w:val="FF0000"/>
                <w:sz w:val="21"/>
                <w:szCs w:val="21"/>
              </w:rPr>
            </w:pPr>
          </w:p>
        </w:tc>
        <w:tc>
          <w:tcPr>
            <w:tcW w:w="217" w:type="dxa"/>
          </w:tcPr>
          <w:p w14:paraId="3A6A6E46" w14:textId="77777777" w:rsidR="002C0FD9" w:rsidRPr="00CA25CF" w:rsidRDefault="002C0FD9" w:rsidP="00CA25CF">
            <w:pPr>
              <w:rPr>
                <w:rFonts w:cs="Arial"/>
                <w:color w:val="FF0000"/>
                <w:sz w:val="21"/>
                <w:szCs w:val="21"/>
              </w:rPr>
            </w:pPr>
          </w:p>
        </w:tc>
        <w:tc>
          <w:tcPr>
            <w:tcW w:w="217" w:type="dxa"/>
          </w:tcPr>
          <w:p w14:paraId="20155836" w14:textId="77777777" w:rsidR="002C0FD9" w:rsidRPr="00CA25CF" w:rsidRDefault="002C0FD9" w:rsidP="00CA25CF">
            <w:pPr>
              <w:rPr>
                <w:rFonts w:cs="Arial"/>
                <w:color w:val="FF0000"/>
                <w:sz w:val="21"/>
                <w:szCs w:val="21"/>
              </w:rPr>
            </w:pPr>
          </w:p>
        </w:tc>
        <w:tc>
          <w:tcPr>
            <w:tcW w:w="217" w:type="dxa"/>
          </w:tcPr>
          <w:p w14:paraId="6DE5CEDB" w14:textId="77777777" w:rsidR="002C0FD9" w:rsidRPr="00CA25CF" w:rsidRDefault="002C0FD9" w:rsidP="00CA25CF">
            <w:pPr>
              <w:rPr>
                <w:rFonts w:cs="Arial"/>
                <w:color w:val="FF0000"/>
                <w:sz w:val="21"/>
                <w:szCs w:val="21"/>
              </w:rPr>
            </w:pPr>
          </w:p>
        </w:tc>
        <w:tc>
          <w:tcPr>
            <w:tcW w:w="217" w:type="dxa"/>
          </w:tcPr>
          <w:p w14:paraId="243D8D17" w14:textId="77777777" w:rsidR="002C0FD9" w:rsidRPr="00CA25CF" w:rsidRDefault="002C0FD9" w:rsidP="00CA25CF">
            <w:pPr>
              <w:rPr>
                <w:rFonts w:cs="Arial"/>
                <w:color w:val="FF0000"/>
                <w:sz w:val="21"/>
                <w:szCs w:val="21"/>
              </w:rPr>
            </w:pPr>
          </w:p>
        </w:tc>
        <w:tc>
          <w:tcPr>
            <w:tcW w:w="217" w:type="dxa"/>
          </w:tcPr>
          <w:p w14:paraId="685A63A0" w14:textId="77777777" w:rsidR="002C0FD9" w:rsidRPr="00CA25CF" w:rsidRDefault="002C0FD9" w:rsidP="00CA25CF">
            <w:pPr>
              <w:rPr>
                <w:rFonts w:cs="Arial"/>
                <w:color w:val="FF0000"/>
                <w:sz w:val="21"/>
                <w:szCs w:val="21"/>
              </w:rPr>
            </w:pPr>
          </w:p>
        </w:tc>
        <w:tc>
          <w:tcPr>
            <w:tcW w:w="217" w:type="dxa"/>
          </w:tcPr>
          <w:p w14:paraId="6EACDAC5" w14:textId="77777777" w:rsidR="002C0FD9" w:rsidRPr="00CA25CF" w:rsidRDefault="002C0FD9" w:rsidP="00CA25CF">
            <w:pPr>
              <w:rPr>
                <w:rFonts w:cs="Arial"/>
                <w:color w:val="FF0000"/>
                <w:sz w:val="21"/>
                <w:szCs w:val="21"/>
              </w:rPr>
            </w:pPr>
          </w:p>
        </w:tc>
        <w:tc>
          <w:tcPr>
            <w:tcW w:w="217" w:type="dxa"/>
          </w:tcPr>
          <w:p w14:paraId="7851BC1D" w14:textId="77777777" w:rsidR="002C0FD9" w:rsidRPr="00CA25CF" w:rsidRDefault="002C0FD9" w:rsidP="00CA25CF">
            <w:pPr>
              <w:rPr>
                <w:rFonts w:cs="Arial"/>
                <w:color w:val="FF0000"/>
                <w:sz w:val="21"/>
                <w:szCs w:val="21"/>
              </w:rPr>
            </w:pPr>
          </w:p>
        </w:tc>
        <w:tc>
          <w:tcPr>
            <w:tcW w:w="217" w:type="dxa"/>
          </w:tcPr>
          <w:p w14:paraId="72AA8ACF" w14:textId="77777777" w:rsidR="002C0FD9" w:rsidRPr="00CA25CF" w:rsidRDefault="002C0FD9" w:rsidP="00CA25CF">
            <w:pPr>
              <w:rPr>
                <w:rFonts w:cs="Arial"/>
                <w:color w:val="FF0000"/>
                <w:sz w:val="21"/>
                <w:szCs w:val="21"/>
              </w:rPr>
            </w:pPr>
          </w:p>
        </w:tc>
        <w:tc>
          <w:tcPr>
            <w:tcW w:w="217" w:type="dxa"/>
          </w:tcPr>
          <w:p w14:paraId="139C2528" w14:textId="77777777" w:rsidR="002C0FD9" w:rsidRPr="00CA25CF" w:rsidRDefault="002C0FD9" w:rsidP="00CA25CF">
            <w:pPr>
              <w:rPr>
                <w:rFonts w:cs="Arial"/>
                <w:color w:val="FF0000"/>
                <w:sz w:val="21"/>
                <w:szCs w:val="21"/>
              </w:rPr>
            </w:pPr>
          </w:p>
        </w:tc>
        <w:tc>
          <w:tcPr>
            <w:tcW w:w="217" w:type="dxa"/>
          </w:tcPr>
          <w:p w14:paraId="684A300B" w14:textId="77777777" w:rsidR="002C0FD9" w:rsidRPr="00CA25CF" w:rsidRDefault="002C0FD9" w:rsidP="00CA25CF">
            <w:pPr>
              <w:rPr>
                <w:rFonts w:cs="Arial"/>
                <w:color w:val="FF0000"/>
                <w:sz w:val="21"/>
                <w:szCs w:val="21"/>
              </w:rPr>
            </w:pPr>
          </w:p>
        </w:tc>
        <w:tc>
          <w:tcPr>
            <w:tcW w:w="217" w:type="dxa"/>
          </w:tcPr>
          <w:p w14:paraId="0121FEE6" w14:textId="77777777" w:rsidR="002C0FD9" w:rsidRPr="00CA25CF" w:rsidRDefault="002C0FD9" w:rsidP="00CA25CF">
            <w:pPr>
              <w:rPr>
                <w:rFonts w:cs="Arial"/>
                <w:color w:val="FF0000"/>
                <w:sz w:val="21"/>
                <w:szCs w:val="21"/>
              </w:rPr>
            </w:pPr>
          </w:p>
        </w:tc>
        <w:tc>
          <w:tcPr>
            <w:tcW w:w="217" w:type="dxa"/>
          </w:tcPr>
          <w:p w14:paraId="103C7C6C" w14:textId="77777777" w:rsidR="002C0FD9" w:rsidRPr="00CA25CF" w:rsidRDefault="002C0FD9" w:rsidP="00CA25CF">
            <w:pPr>
              <w:rPr>
                <w:rFonts w:cs="Arial"/>
                <w:color w:val="FF0000"/>
                <w:sz w:val="21"/>
                <w:szCs w:val="21"/>
              </w:rPr>
            </w:pPr>
          </w:p>
        </w:tc>
        <w:tc>
          <w:tcPr>
            <w:tcW w:w="217" w:type="dxa"/>
          </w:tcPr>
          <w:p w14:paraId="7B7DFDEB" w14:textId="77777777" w:rsidR="002C0FD9" w:rsidRPr="00CA25CF" w:rsidRDefault="002C0FD9" w:rsidP="00CA25CF">
            <w:pPr>
              <w:rPr>
                <w:rFonts w:cs="Arial"/>
                <w:color w:val="FF0000"/>
                <w:sz w:val="21"/>
                <w:szCs w:val="21"/>
              </w:rPr>
            </w:pPr>
          </w:p>
        </w:tc>
        <w:tc>
          <w:tcPr>
            <w:tcW w:w="217" w:type="dxa"/>
          </w:tcPr>
          <w:p w14:paraId="2B831F0A" w14:textId="77777777" w:rsidR="002C0FD9" w:rsidRPr="00CA25CF" w:rsidRDefault="002C0FD9" w:rsidP="00CA25CF">
            <w:pPr>
              <w:rPr>
                <w:rFonts w:cs="Arial"/>
                <w:color w:val="FF0000"/>
                <w:sz w:val="21"/>
                <w:szCs w:val="21"/>
              </w:rPr>
            </w:pPr>
          </w:p>
        </w:tc>
        <w:tc>
          <w:tcPr>
            <w:tcW w:w="217" w:type="dxa"/>
          </w:tcPr>
          <w:p w14:paraId="604A8BB0" w14:textId="77777777" w:rsidR="002C0FD9" w:rsidRPr="00CA25CF" w:rsidRDefault="002C0FD9" w:rsidP="00CA25CF">
            <w:pPr>
              <w:rPr>
                <w:rFonts w:cs="Arial"/>
                <w:color w:val="FF0000"/>
                <w:sz w:val="21"/>
                <w:szCs w:val="21"/>
              </w:rPr>
            </w:pPr>
          </w:p>
        </w:tc>
      </w:tr>
      <w:tr w:rsidR="002C0FD9" w:rsidRPr="00A16219" w14:paraId="7A49FEBB" w14:textId="77777777" w:rsidTr="002C0FD9">
        <w:trPr>
          <w:trHeight w:val="635"/>
        </w:trPr>
        <w:tc>
          <w:tcPr>
            <w:tcW w:w="515" w:type="dxa"/>
          </w:tcPr>
          <w:p w14:paraId="2399155F" w14:textId="77777777" w:rsidR="002C0FD9" w:rsidRPr="00CA25CF" w:rsidRDefault="002C0FD9" w:rsidP="00CA25CF">
            <w:pPr>
              <w:rPr>
                <w:rFonts w:cs="Arial"/>
                <w:color w:val="FF0000"/>
                <w:sz w:val="21"/>
                <w:szCs w:val="21"/>
              </w:rPr>
            </w:pPr>
          </w:p>
        </w:tc>
        <w:tc>
          <w:tcPr>
            <w:tcW w:w="217" w:type="dxa"/>
          </w:tcPr>
          <w:p w14:paraId="42D5A48B" w14:textId="77777777" w:rsidR="002C0FD9" w:rsidRPr="00CA25CF" w:rsidRDefault="002C0FD9" w:rsidP="00CA25CF">
            <w:pPr>
              <w:rPr>
                <w:rFonts w:cs="Arial"/>
                <w:color w:val="FF0000"/>
                <w:sz w:val="21"/>
                <w:szCs w:val="21"/>
              </w:rPr>
            </w:pPr>
          </w:p>
        </w:tc>
        <w:tc>
          <w:tcPr>
            <w:tcW w:w="217" w:type="dxa"/>
          </w:tcPr>
          <w:p w14:paraId="191649D5" w14:textId="77777777" w:rsidR="002C0FD9" w:rsidRPr="00CA25CF" w:rsidRDefault="002C0FD9" w:rsidP="00CA25CF">
            <w:pPr>
              <w:rPr>
                <w:rFonts w:cs="Arial"/>
                <w:color w:val="FF0000"/>
                <w:sz w:val="21"/>
                <w:szCs w:val="21"/>
              </w:rPr>
            </w:pPr>
          </w:p>
        </w:tc>
        <w:tc>
          <w:tcPr>
            <w:tcW w:w="217" w:type="dxa"/>
          </w:tcPr>
          <w:p w14:paraId="071B21FC" w14:textId="77777777" w:rsidR="002C0FD9" w:rsidRPr="00CA25CF" w:rsidRDefault="002C0FD9" w:rsidP="00CA25CF">
            <w:pPr>
              <w:rPr>
                <w:rFonts w:cs="Arial"/>
                <w:color w:val="FF0000"/>
                <w:sz w:val="21"/>
                <w:szCs w:val="21"/>
              </w:rPr>
            </w:pPr>
          </w:p>
        </w:tc>
        <w:tc>
          <w:tcPr>
            <w:tcW w:w="217" w:type="dxa"/>
          </w:tcPr>
          <w:p w14:paraId="36F37D77" w14:textId="77777777" w:rsidR="002C0FD9" w:rsidRPr="00CA25CF" w:rsidRDefault="002C0FD9" w:rsidP="00CA25CF">
            <w:pPr>
              <w:rPr>
                <w:rFonts w:cs="Arial"/>
                <w:color w:val="FF0000"/>
                <w:sz w:val="21"/>
                <w:szCs w:val="21"/>
              </w:rPr>
            </w:pPr>
          </w:p>
        </w:tc>
        <w:tc>
          <w:tcPr>
            <w:tcW w:w="217" w:type="dxa"/>
          </w:tcPr>
          <w:p w14:paraId="36210B8F" w14:textId="77777777" w:rsidR="002C0FD9" w:rsidRPr="00CA25CF" w:rsidRDefault="002C0FD9" w:rsidP="00CA25CF">
            <w:pPr>
              <w:rPr>
                <w:rFonts w:cs="Arial"/>
                <w:color w:val="FF0000"/>
                <w:sz w:val="21"/>
                <w:szCs w:val="21"/>
              </w:rPr>
            </w:pPr>
          </w:p>
        </w:tc>
        <w:tc>
          <w:tcPr>
            <w:tcW w:w="217" w:type="dxa"/>
          </w:tcPr>
          <w:p w14:paraId="2CC531CF" w14:textId="77777777" w:rsidR="002C0FD9" w:rsidRPr="00CA25CF" w:rsidRDefault="002C0FD9" w:rsidP="00CA25CF">
            <w:pPr>
              <w:rPr>
                <w:rFonts w:cs="Arial"/>
                <w:color w:val="FF0000"/>
                <w:sz w:val="21"/>
                <w:szCs w:val="21"/>
              </w:rPr>
            </w:pPr>
          </w:p>
        </w:tc>
        <w:tc>
          <w:tcPr>
            <w:tcW w:w="217" w:type="dxa"/>
          </w:tcPr>
          <w:p w14:paraId="2414A945" w14:textId="77777777" w:rsidR="002C0FD9" w:rsidRPr="00CA25CF" w:rsidRDefault="002C0FD9" w:rsidP="00CA25CF">
            <w:pPr>
              <w:rPr>
                <w:rFonts w:cs="Arial"/>
                <w:color w:val="FF0000"/>
                <w:sz w:val="21"/>
                <w:szCs w:val="21"/>
              </w:rPr>
            </w:pPr>
          </w:p>
        </w:tc>
        <w:tc>
          <w:tcPr>
            <w:tcW w:w="217" w:type="dxa"/>
          </w:tcPr>
          <w:p w14:paraId="47AE7217" w14:textId="77777777" w:rsidR="002C0FD9" w:rsidRPr="00CA25CF" w:rsidRDefault="002C0FD9" w:rsidP="00CA25CF">
            <w:pPr>
              <w:rPr>
                <w:rFonts w:cs="Arial"/>
                <w:color w:val="FF0000"/>
                <w:sz w:val="21"/>
                <w:szCs w:val="21"/>
              </w:rPr>
            </w:pPr>
          </w:p>
        </w:tc>
        <w:tc>
          <w:tcPr>
            <w:tcW w:w="217" w:type="dxa"/>
          </w:tcPr>
          <w:p w14:paraId="0A5BB4C6" w14:textId="77777777" w:rsidR="002C0FD9" w:rsidRPr="00CA25CF" w:rsidRDefault="002C0FD9" w:rsidP="00CA25CF">
            <w:pPr>
              <w:rPr>
                <w:rFonts w:cs="Arial"/>
                <w:color w:val="FF0000"/>
                <w:sz w:val="21"/>
                <w:szCs w:val="21"/>
              </w:rPr>
            </w:pPr>
          </w:p>
        </w:tc>
        <w:tc>
          <w:tcPr>
            <w:tcW w:w="217" w:type="dxa"/>
          </w:tcPr>
          <w:p w14:paraId="7B32D04A" w14:textId="77777777" w:rsidR="002C0FD9" w:rsidRPr="00CA25CF" w:rsidRDefault="002C0FD9" w:rsidP="00CA25CF">
            <w:pPr>
              <w:rPr>
                <w:rFonts w:cs="Arial"/>
                <w:color w:val="FF0000"/>
                <w:sz w:val="21"/>
                <w:szCs w:val="21"/>
              </w:rPr>
            </w:pPr>
          </w:p>
        </w:tc>
        <w:tc>
          <w:tcPr>
            <w:tcW w:w="217" w:type="dxa"/>
          </w:tcPr>
          <w:p w14:paraId="676DA835" w14:textId="77777777" w:rsidR="002C0FD9" w:rsidRPr="00CA25CF" w:rsidRDefault="002C0FD9" w:rsidP="00CA25CF">
            <w:pPr>
              <w:rPr>
                <w:rFonts w:cs="Arial"/>
                <w:color w:val="FF0000"/>
                <w:sz w:val="21"/>
                <w:szCs w:val="21"/>
              </w:rPr>
            </w:pPr>
          </w:p>
        </w:tc>
        <w:tc>
          <w:tcPr>
            <w:tcW w:w="217" w:type="dxa"/>
          </w:tcPr>
          <w:p w14:paraId="74DAE6B9" w14:textId="77777777" w:rsidR="002C0FD9" w:rsidRPr="00CA25CF" w:rsidRDefault="002C0FD9" w:rsidP="00CA25CF">
            <w:pPr>
              <w:rPr>
                <w:rFonts w:cs="Arial"/>
                <w:color w:val="FF0000"/>
                <w:sz w:val="21"/>
                <w:szCs w:val="21"/>
              </w:rPr>
            </w:pPr>
          </w:p>
        </w:tc>
        <w:tc>
          <w:tcPr>
            <w:tcW w:w="217" w:type="dxa"/>
          </w:tcPr>
          <w:p w14:paraId="0CD22F83" w14:textId="77777777" w:rsidR="002C0FD9" w:rsidRPr="00CA25CF" w:rsidRDefault="002C0FD9" w:rsidP="00CA25CF">
            <w:pPr>
              <w:rPr>
                <w:rFonts w:cs="Arial"/>
                <w:color w:val="FF0000"/>
                <w:sz w:val="21"/>
                <w:szCs w:val="21"/>
              </w:rPr>
            </w:pPr>
          </w:p>
        </w:tc>
        <w:tc>
          <w:tcPr>
            <w:tcW w:w="217" w:type="dxa"/>
          </w:tcPr>
          <w:p w14:paraId="76756211" w14:textId="77777777" w:rsidR="002C0FD9" w:rsidRPr="00CA25CF" w:rsidRDefault="002C0FD9" w:rsidP="00CA25CF">
            <w:pPr>
              <w:rPr>
                <w:rFonts w:cs="Arial"/>
                <w:color w:val="FF0000"/>
                <w:sz w:val="21"/>
                <w:szCs w:val="21"/>
              </w:rPr>
            </w:pPr>
          </w:p>
        </w:tc>
        <w:tc>
          <w:tcPr>
            <w:tcW w:w="217" w:type="dxa"/>
          </w:tcPr>
          <w:p w14:paraId="10403032" w14:textId="77777777" w:rsidR="002C0FD9" w:rsidRPr="00CA25CF" w:rsidRDefault="002C0FD9" w:rsidP="00CA25CF">
            <w:pPr>
              <w:rPr>
                <w:rFonts w:cs="Arial"/>
                <w:color w:val="FF0000"/>
                <w:sz w:val="21"/>
                <w:szCs w:val="21"/>
              </w:rPr>
            </w:pPr>
          </w:p>
        </w:tc>
        <w:tc>
          <w:tcPr>
            <w:tcW w:w="217" w:type="dxa"/>
          </w:tcPr>
          <w:p w14:paraId="0985B7F9" w14:textId="77777777" w:rsidR="002C0FD9" w:rsidRPr="00CA25CF" w:rsidRDefault="002C0FD9" w:rsidP="00CA25CF">
            <w:pPr>
              <w:rPr>
                <w:rFonts w:cs="Arial"/>
                <w:color w:val="FF0000"/>
                <w:sz w:val="21"/>
                <w:szCs w:val="21"/>
              </w:rPr>
            </w:pPr>
          </w:p>
        </w:tc>
        <w:tc>
          <w:tcPr>
            <w:tcW w:w="217" w:type="dxa"/>
          </w:tcPr>
          <w:p w14:paraId="69EF7BB5" w14:textId="77777777" w:rsidR="002C0FD9" w:rsidRPr="00CA25CF" w:rsidRDefault="002C0FD9" w:rsidP="00CA25CF">
            <w:pPr>
              <w:rPr>
                <w:rFonts w:cs="Arial"/>
                <w:color w:val="FF0000"/>
                <w:sz w:val="21"/>
                <w:szCs w:val="21"/>
              </w:rPr>
            </w:pPr>
          </w:p>
        </w:tc>
        <w:tc>
          <w:tcPr>
            <w:tcW w:w="217" w:type="dxa"/>
          </w:tcPr>
          <w:p w14:paraId="2369CE0F" w14:textId="77777777" w:rsidR="002C0FD9" w:rsidRPr="00CA25CF" w:rsidRDefault="002C0FD9" w:rsidP="00CA25CF">
            <w:pPr>
              <w:rPr>
                <w:rFonts w:cs="Arial"/>
                <w:color w:val="FF0000"/>
                <w:sz w:val="21"/>
                <w:szCs w:val="21"/>
              </w:rPr>
            </w:pPr>
          </w:p>
        </w:tc>
        <w:tc>
          <w:tcPr>
            <w:tcW w:w="217" w:type="dxa"/>
          </w:tcPr>
          <w:p w14:paraId="2D12E03B" w14:textId="77777777" w:rsidR="002C0FD9" w:rsidRPr="00CA25CF" w:rsidRDefault="002C0FD9" w:rsidP="00CA25CF">
            <w:pPr>
              <w:rPr>
                <w:rFonts w:cs="Arial"/>
                <w:color w:val="FF0000"/>
                <w:sz w:val="21"/>
                <w:szCs w:val="21"/>
              </w:rPr>
            </w:pPr>
          </w:p>
        </w:tc>
        <w:tc>
          <w:tcPr>
            <w:tcW w:w="217" w:type="dxa"/>
          </w:tcPr>
          <w:p w14:paraId="4830F58D" w14:textId="77777777" w:rsidR="002C0FD9" w:rsidRPr="00CA25CF" w:rsidRDefault="002C0FD9" w:rsidP="00CA25CF">
            <w:pPr>
              <w:rPr>
                <w:rFonts w:cs="Arial"/>
                <w:color w:val="FF0000"/>
                <w:sz w:val="21"/>
                <w:szCs w:val="21"/>
              </w:rPr>
            </w:pPr>
          </w:p>
        </w:tc>
        <w:tc>
          <w:tcPr>
            <w:tcW w:w="217" w:type="dxa"/>
          </w:tcPr>
          <w:p w14:paraId="1948EBF4" w14:textId="77777777" w:rsidR="002C0FD9" w:rsidRPr="00CA25CF" w:rsidRDefault="002C0FD9" w:rsidP="00CA25CF">
            <w:pPr>
              <w:rPr>
                <w:rFonts w:cs="Arial"/>
                <w:color w:val="FF0000"/>
                <w:sz w:val="21"/>
                <w:szCs w:val="21"/>
              </w:rPr>
            </w:pPr>
          </w:p>
        </w:tc>
        <w:tc>
          <w:tcPr>
            <w:tcW w:w="217" w:type="dxa"/>
          </w:tcPr>
          <w:p w14:paraId="1D90BF4B" w14:textId="77777777" w:rsidR="002C0FD9" w:rsidRPr="00CA25CF" w:rsidRDefault="002C0FD9" w:rsidP="00CA25CF">
            <w:pPr>
              <w:rPr>
                <w:rFonts w:cs="Arial"/>
                <w:color w:val="FF0000"/>
                <w:sz w:val="21"/>
                <w:szCs w:val="21"/>
              </w:rPr>
            </w:pPr>
          </w:p>
        </w:tc>
        <w:tc>
          <w:tcPr>
            <w:tcW w:w="217" w:type="dxa"/>
          </w:tcPr>
          <w:p w14:paraId="550756F1" w14:textId="77777777" w:rsidR="002C0FD9" w:rsidRPr="00CA25CF" w:rsidRDefault="002C0FD9" w:rsidP="00CA25CF">
            <w:pPr>
              <w:rPr>
                <w:rFonts w:cs="Arial"/>
                <w:color w:val="FF0000"/>
                <w:sz w:val="21"/>
                <w:szCs w:val="21"/>
              </w:rPr>
            </w:pPr>
          </w:p>
        </w:tc>
        <w:tc>
          <w:tcPr>
            <w:tcW w:w="217" w:type="dxa"/>
          </w:tcPr>
          <w:p w14:paraId="159F4C52" w14:textId="77777777" w:rsidR="002C0FD9" w:rsidRPr="00CA25CF" w:rsidRDefault="002C0FD9" w:rsidP="00CA25CF">
            <w:pPr>
              <w:rPr>
                <w:rFonts w:cs="Arial"/>
                <w:color w:val="FF0000"/>
                <w:sz w:val="21"/>
                <w:szCs w:val="21"/>
              </w:rPr>
            </w:pPr>
          </w:p>
        </w:tc>
        <w:tc>
          <w:tcPr>
            <w:tcW w:w="217" w:type="dxa"/>
          </w:tcPr>
          <w:p w14:paraId="1B3FA76E" w14:textId="77777777" w:rsidR="002C0FD9" w:rsidRPr="00CA25CF" w:rsidRDefault="002C0FD9" w:rsidP="00CA25CF">
            <w:pPr>
              <w:rPr>
                <w:rFonts w:cs="Arial"/>
                <w:color w:val="FF0000"/>
                <w:sz w:val="21"/>
                <w:szCs w:val="21"/>
              </w:rPr>
            </w:pPr>
          </w:p>
        </w:tc>
        <w:tc>
          <w:tcPr>
            <w:tcW w:w="217" w:type="dxa"/>
          </w:tcPr>
          <w:p w14:paraId="7406DEEE" w14:textId="77777777" w:rsidR="002C0FD9" w:rsidRPr="00CA25CF" w:rsidRDefault="002C0FD9" w:rsidP="00CA25CF">
            <w:pPr>
              <w:rPr>
                <w:rFonts w:cs="Arial"/>
                <w:color w:val="FF0000"/>
                <w:sz w:val="21"/>
                <w:szCs w:val="21"/>
              </w:rPr>
            </w:pPr>
          </w:p>
        </w:tc>
        <w:tc>
          <w:tcPr>
            <w:tcW w:w="217" w:type="dxa"/>
          </w:tcPr>
          <w:p w14:paraId="46A3449A" w14:textId="77777777" w:rsidR="002C0FD9" w:rsidRPr="00CA25CF" w:rsidRDefault="002C0FD9" w:rsidP="00CA25CF">
            <w:pPr>
              <w:rPr>
                <w:rFonts w:cs="Arial"/>
                <w:color w:val="FF0000"/>
                <w:sz w:val="21"/>
                <w:szCs w:val="21"/>
              </w:rPr>
            </w:pPr>
          </w:p>
        </w:tc>
        <w:tc>
          <w:tcPr>
            <w:tcW w:w="217" w:type="dxa"/>
          </w:tcPr>
          <w:p w14:paraId="008B9041" w14:textId="77777777" w:rsidR="002C0FD9" w:rsidRPr="00CA25CF" w:rsidRDefault="002C0FD9" w:rsidP="00CA25CF">
            <w:pPr>
              <w:rPr>
                <w:rFonts w:cs="Arial"/>
                <w:color w:val="FF0000"/>
                <w:sz w:val="21"/>
                <w:szCs w:val="21"/>
              </w:rPr>
            </w:pPr>
          </w:p>
        </w:tc>
        <w:tc>
          <w:tcPr>
            <w:tcW w:w="217" w:type="dxa"/>
          </w:tcPr>
          <w:p w14:paraId="0529CBF5" w14:textId="77777777" w:rsidR="002C0FD9" w:rsidRPr="00CA25CF" w:rsidRDefault="002C0FD9" w:rsidP="00CA25CF">
            <w:pPr>
              <w:rPr>
                <w:rFonts w:cs="Arial"/>
                <w:color w:val="FF0000"/>
                <w:sz w:val="21"/>
                <w:szCs w:val="21"/>
              </w:rPr>
            </w:pPr>
          </w:p>
        </w:tc>
        <w:tc>
          <w:tcPr>
            <w:tcW w:w="217" w:type="dxa"/>
          </w:tcPr>
          <w:p w14:paraId="2F822E47" w14:textId="77777777" w:rsidR="002C0FD9" w:rsidRPr="00CA25CF" w:rsidRDefault="002C0FD9" w:rsidP="00CA25CF">
            <w:pPr>
              <w:rPr>
                <w:rFonts w:cs="Arial"/>
                <w:color w:val="FF0000"/>
                <w:sz w:val="21"/>
                <w:szCs w:val="21"/>
              </w:rPr>
            </w:pPr>
          </w:p>
        </w:tc>
        <w:tc>
          <w:tcPr>
            <w:tcW w:w="217" w:type="dxa"/>
          </w:tcPr>
          <w:p w14:paraId="30362895" w14:textId="77777777" w:rsidR="002C0FD9" w:rsidRPr="00CA25CF" w:rsidRDefault="002C0FD9" w:rsidP="00CA25CF">
            <w:pPr>
              <w:rPr>
                <w:rFonts w:cs="Arial"/>
                <w:color w:val="FF0000"/>
                <w:sz w:val="21"/>
                <w:szCs w:val="21"/>
              </w:rPr>
            </w:pPr>
          </w:p>
        </w:tc>
        <w:tc>
          <w:tcPr>
            <w:tcW w:w="217" w:type="dxa"/>
          </w:tcPr>
          <w:p w14:paraId="28BFA29A" w14:textId="77777777" w:rsidR="002C0FD9" w:rsidRPr="00CA25CF" w:rsidRDefault="002C0FD9" w:rsidP="00CA25CF">
            <w:pPr>
              <w:rPr>
                <w:rFonts w:cs="Arial"/>
                <w:color w:val="FF0000"/>
                <w:sz w:val="21"/>
                <w:szCs w:val="21"/>
              </w:rPr>
            </w:pPr>
          </w:p>
        </w:tc>
        <w:tc>
          <w:tcPr>
            <w:tcW w:w="217" w:type="dxa"/>
          </w:tcPr>
          <w:p w14:paraId="5ACDAE32" w14:textId="77777777" w:rsidR="002C0FD9" w:rsidRPr="00CA25CF" w:rsidRDefault="002C0FD9" w:rsidP="00CA25CF">
            <w:pPr>
              <w:rPr>
                <w:rFonts w:cs="Arial"/>
                <w:color w:val="FF0000"/>
                <w:sz w:val="21"/>
                <w:szCs w:val="21"/>
              </w:rPr>
            </w:pPr>
          </w:p>
        </w:tc>
        <w:tc>
          <w:tcPr>
            <w:tcW w:w="217" w:type="dxa"/>
          </w:tcPr>
          <w:p w14:paraId="1FA097DC" w14:textId="77777777" w:rsidR="002C0FD9" w:rsidRPr="00CA25CF" w:rsidRDefault="002C0FD9" w:rsidP="00CA25CF">
            <w:pPr>
              <w:rPr>
                <w:rFonts w:cs="Arial"/>
                <w:color w:val="FF0000"/>
                <w:sz w:val="21"/>
                <w:szCs w:val="21"/>
              </w:rPr>
            </w:pPr>
          </w:p>
        </w:tc>
        <w:tc>
          <w:tcPr>
            <w:tcW w:w="217" w:type="dxa"/>
          </w:tcPr>
          <w:p w14:paraId="6EEE8D10" w14:textId="77777777" w:rsidR="002C0FD9" w:rsidRPr="00CA25CF" w:rsidRDefault="002C0FD9" w:rsidP="00CA25CF">
            <w:pPr>
              <w:rPr>
                <w:rFonts w:cs="Arial"/>
                <w:color w:val="FF0000"/>
                <w:sz w:val="21"/>
                <w:szCs w:val="21"/>
              </w:rPr>
            </w:pPr>
          </w:p>
        </w:tc>
        <w:tc>
          <w:tcPr>
            <w:tcW w:w="217" w:type="dxa"/>
          </w:tcPr>
          <w:p w14:paraId="50A69D37" w14:textId="77777777" w:rsidR="002C0FD9" w:rsidRPr="00CA25CF" w:rsidRDefault="002C0FD9" w:rsidP="00CA25CF">
            <w:pPr>
              <w:rPr>
                <w:rFonts w:cs="Arial"/>
                <w:color w:val="FF0000"/>
                <w:sz w:val="21"/>
                <w:szCs w:val="21"/>
              </w:rPr>
            </w:pPr>
          </w:p>
        </w:tc>
        <w:tc>
          <w:tcPr>
            <w:tcW w:w="217" w:type="dxa"/>
          </w:tcPr>
          <w:p w14:paraId="22EA314E" w14:textId="77777777" w:rsidR="002C0FD9" w:rsidRPr="00CA25CF" w:rsidRDefault="002C0FD9" w:rsidP="00CA25CF">
            <w:pPr>
              <w:rPr>
                <w:rFonts w:cs="Arial"/>
                <w:color w:val="FF0000"/>
                <w:sz w:val="21"/>
                <w:szCs w:val="21"/>
              </w:rPr>
            </w:pPr>
          </w:p>
        </w:tc>
        <w:tc>
          <w:tcPr>
            <w:tcW w:w="217" w:type="dxa"/>
          </w:tcPr>
          <w:p w14:paraId="0D724D83" w14:textId="77777777" w:rsidR="002C0FD9" w:rsidRPr="00CA25CF" w:rsidRDefault="002C0FD9" w:rsidP="00CA25CF">
            <w:pPr>
              <w:rPr>
                <w:rFonts w:cs="Arial"/>
                <w:color w:val="FF0000"/>
                <w:sz w:val="21"/>
                <w:szCs w:val="21"/>
              </w:rPr>
            </w:pPr>
          </w:p>
        </w:tc>
        <w:tc>
          <w:tcPr>
            <w:tcW w:w="217" w:type="dxa"/>
          </w:tcPr>
          <w:p w14:paraId="75145BB3" w14:textId="77777777" w:rsidR="002C0FD9" w:rsidRPr="00CA25CF" w:rsidRDefault="002C0FD9" w:rsidP="00CA25CF">
            <w:pPr>
              <w:rPr>
                <w:rFonts w:cs="Arial"/>
                <w:color w:val="FF0000"/>
                <w:sz w:val="21"/>
                <w:szCs w:val="21"/>
              </w:rPr>
            </w:pPr>
          </w:p>
        </w:tc>
        <w:tc>
          <w:tcPr>
            <w:tcW w:w="217" w:type="dxa"/>
          </w:tcPr>
          <w:p w14:paraId="290EDC50" w14:textId="77777777" w:rsidR="002C0FD9" w:rsidRPr="00CA25CF" w:rsidRDefault="002C0FD9" w:rsidP="00CA25CF">
            <w:pPr>
              <w:rPr>
                <w:rFonts w:cs="Arial"/>
                <w:color w:val="FF0000"/>
                <w:sz w:val="21"/>
                <w:szCs w:val="21"/>
              </w:rPr>
            </w:pPr>
          </w:p>
        </w:tc>
        <w:tc>
          <w:tcPr>
            <w:tcW w:w="217" w:type="dxa"/>
          </w:tcPr>
          <w:p w14:paraId="3A26AD53" w14:textId="77777777" w:rsidR="002C0FD9" w:rsidRPr="00CA25CF" w:rsidRDefault="002C0FD9" w:rsidP="00CA25CF">
            <w:pPr>
              <w:rPr>
                <w:rFonts w:cs="Arial"/>
                <w:color w:val="FF0000"/>
                <w:sz w:val="21"/>
                <w:szCs w:val="21"/>
              </w:rPr>
            </w:pPr>
          </w:p>
        </w:tc>
        <w:tc>
          <w:tcPr>
            <w:tcW w:w="217" w:type="dxa"/>
          </w:tcPr>
          <w:p w14:paraId="78D40ED5" w14:textId="77777777" w:rsidR="002C0FD9" w:rsidRPr="00CA25CF" w:rsidRDefault="002C0FD9" w:rsidP="00CA25CF">
            <w:pPr>
              <w:rPr>
                <w:rFonts w:cs="Arial"/>
                <w:color w:val="FF0000"/>
                <w:sz w:val="21"/>
                <w:szCs w:val="21"/>
              </w:rPr>
            </w:pPr>
          </w:p>
        </w:tc>
      </w:tr>
      <w:tr w:rsidR="002C0FD9" w:rsidRPr="00A16219" w14:paraId="164C923E" w14:textId="77777777" w:rsidTr="002C0FD9">
        <w:trPr>
          <w:trHeight w:val="635"/>
        </w:trPr>
        <w:tc>
          <w:tcPr>
            <w:tcW w:w="515" w:type="dxa"/>
          </w:tcPr>
          <w:p w14:paraId="03BE47CB" w14:textId="77777777" w:rsidR="002C0FD9" w:rsidRPr="00CA25CF" w:rsidRDefault="002C0FD9" w:rsidP="00CA25CF">
            <w:pPr>
              <w:rPr>
                <w:rFonts w:cs="Arial"/>
                <w:color w:val="FF0000"/>
                <w:sz w:val="21"/>
                <w:szCs w:val="21"/>
              </w:rPr>
            </w:pPr>
          </w:p>
        </w:tc>
        <w:tc>
          <w:tcPr>
            <w:tcW w:w="217" w:type="dxa"/>
          </w:tcPr>
          <w:p w14:paraId="35D4F3F7" w14:textId="77777777" w:rsidR="002C0FD9" w:rsidRPr="00CA25CF" w:rsidRDefault="002C0FD9" w:rsidP="00CA25CF">
            <w:pPr>
              <w:rPr>
                <w:rFonts w:cs="Arial"/>
                <w:color w:val="FF0000"/>
                <w:sz w:val="21"/>
                <w:szCs w:val="21"/>
              </w:rPr>
            </w:pPr>
          </w:p>
        </w:tc>
        <w:tc>
          <w:tcPr>
            <w:tcW w:w="217" w:type="dxa"/>
          </w:tcPr>
          <w:p w14:paraId="45A00D91" w14:textId="77777777" w:rsidR="002C0FD9" w:rsidRPr="00CA25CF" w:rsidRDefault="002C0FD9" w:rsidP="00CA25CF">
            <w:pPr>
              <w:rPr>
                <w:rFonts w:cs="Arial"/>
                <w:color w:val="FF0000"/>
                <w:sz w:val="21"/>
                <w:szCs w:val="21"/>
              </w:rPr>
            </w:pPr>
          </w:p>
        </w:tc>
        <w:tc>
          <w:tcPr>
            <w:tcW w:w="217" w:type="dxa"/>
          </w:tcPr>
          <w:p w14:paraId="28354E6A" w14:textId="77777777" w:rsidR="002C0FD9" w:rsidRPr="00CA25CF" w:rsidRDefault="002C0FD9" w:rsidP="00CA25CF">
            <w:pPr>
              <w:rPr>
                <w:rFonts w:cs="Arial"/>
                <w:color w:val="FF0000"/>
                <w:sz w:val="21"/>
                <w:szCs w:val="21"/>
              </w:rPr>
            </w:pPr>
          </w:p>
        </w:tc>
        <w:tc>
          <w:tcPr>
            <w:tcW w:w="217" w:type="dxa"/>
          </w:tcPr>
          <w:p w14:paraId="200E1113" w14:textId="77777777" w:rsidR="002C0FD9" w:rsidRPr="00CA25CF" w:rsidRDefault="002C0FD9" w:rsidP="00CA25CF">
            <w:pPr>
              <w:rPr>
                <w:rFonts w:cs="Arial"/>
                <w:color w:val="FF0000"/>
                <w:sz w:val="21"/>
                <w:szCs w:val="21"/>
              </w:rPr>
            </w:pPr>
          </w:p>
        </w:tc>
        <w:tc>
          <w:tcPr>
            <w:tcW w:w="217" w:type="dxa"/>
          </w:tcPr>
          <w:p w14:paraId="56B1D434" w14:textId="77777777" w:rsidR="002C0FD9" w:rsidRPr="00CA25CF" w:rsidRDefault="002C0FD9" w:rsidP="00CA25CF">
            <w:pPr>
              <w:rPr>
                <w:rFonts w:cs="Arial"/>
                <w:color w:val="FF0000"/>
                <w:sz w:val="21"/>
                <w:szCs w:val="21"/>
              </w:rPr>
            </w:pPr>
          </w:p>
        </w:tc>
        <w:tc>
          <w:tcPr>
            <w:tcW w:w="217" w:type="dxa"/>
          </w:tcPr>
          <w:p w14:paraId="7F26A19C" w14:textId="77777777" w:rsidR="002C0FD9" w:rsidRPr="00CA25CF" w:rsidRDefault="002C0FD9" w:rsidP="00CA25CF">
            <w:pPr>
              <w:rPr>
                <w:rFonts w:cs="Arial"/>
                <w:color w:val="FF0000"/>
                <w:sz w:val="21"/>
                <w:szCs w:val="21"/>
              </w:rPr>
            </w:pPr>
          </w:p>
        </w:tc>
        <w:tc>
          <w:tcPr>
            <w:tcW w:w="217" w:type="dxa"/>
          </w:tcPr>
          <w:p w14:paraId="0812CBE5" w14:textId="77777777" w:rsidR="002C0FD9" w:rsidRPr="00CA25CF" w:rsidRDefault="002C0FD9" w:rsidP="00CA25CF">
            <w:pPr>
              <w:rPr>
                <w:rFonts w:cs="Arial"/>
                <w:color w:val="FF0000"/>
                <w:sz w:val="21"/>
                <w:szCs w:val="21"/>
              </w:rPr>
            </w:pPr>
          </w:p>
        </w:tc>
        <w:tc>
          <w:tcPr>
            <w:tcW w:w="217" w:type="dxa"/>
          </w:tcPr>
          <w:p w14:paraId="5424CB29" w14:textId="77777777" w:rsidR="002C0FD9" w:rsidRPr="00CA25CF" w:rsidRDefault="002C0FD9" w:rsidP="00CA25CF">
            <w:pPr>
              <w:rPr>
                <w:rFonts w:cs="Arial"/>
                <w:color w:val="FF0000"/>
                <w:sz w:val="21"/>
                <w:szCs w:val="21"/>
              </w:rPr>
            </w:pPr>
          </w:p>
        </w:tc>
        <w:tc>
          <w:tcPr>
            <w:tcW w:w="217" w:type="dxa"/>
          </w:tcPr>
          <w:p w14:paraId="2292BBDD" w14:textId="77777777" w:rsidR="002C0FD9" w:rsidRPr="00CA25CF" w:rsidRDefault="002C0FD9" w:rsidP="00CA25CF">
            <w:pPr>
              <w:rPr>
                <w:rFonts w:cs="Arial"/>
                <w:color w:val="FF0000"/>
                <w:sz w:val="21"/>
                <w:szCs w:val="21"/>
              </w:rPr>
            </w:pPr>
          </w:p>
        </w:tc>
        <w:tc>
          <w:tcPr>
            <w:tcW w:w="217" w:type="dxa"/>
          </w:tcPr>
          <w:p w14:paraId="723DCA33" w14:textId="77777777" w:rsidR="002C0FD9" w:rsidRPr="00CA25CF" w:rsidRDefault="002C0FD9" w:rsidP="00CA25CF">
            <w:pPr>
              <w:rPr>
                <w:rFonts w:cs="Arial"/>
                <w:color w:val="FF0000"/>
                <w:sz w:val="21"/>
                <w:szCs w:val="21"/>
              </w:rPr>
            </w:pPr>
          </w:p>
        </w:tc>
        <w:tc>
          <w:tcPr>
            <w:tcW w:w="217" w:type="dxa"/>
          </w:tcPr>
          <w:p w14:paraId="4782FA37" w14:textId="77777777" w:rsidR="002C0FD9" w:rsidRPr="00CA25CF" w:rsidRDefault="002C0FD9" w:rsidP="00CA25CF">
            <w:pPr>
              <w:rPr>
                <w:rFonts w:cs="Arial"/>
                <w:color w:val="FF0000"/>
                <w:sz w:val="21"/>
                <w:szCs w:val="21"/>
              </w:rPr>
            </w:pPr>
          </w:p>
        </w:tc>
        <w:tc>
          <w:tcPr>
            <w:tcW w:w="217" w:type="dxa"/>
          </w:tcPr>
          <w:p w14:paraId="06C5FB35" w14:textId="77777777" w:rsidR="002C0FD9" w:rsidRPr="00CA25CF" w:rsidRDefault="002C0FD9" w:rsidP="00CA25CF">
            <w:pPr>
              <w:rPr>
                <w:rFonts w:cs="Arial"/>
                <w:color w:val="FF0000"/>
                <w:sz w:val="21"/>
                <w:szCs w:val="21"/>
              </w:rPr>
            </w:pPr>
          </w:p>
        </w:tc>
        <w:tc>
          <w:tcPr>
            <w:tcW w:w="217" w:type="dxa"/>
          </w:tcPr>
          <w:p w14:paraId="7442D0F4" w14:textId="77777777" w:rsidR="002C0FD9" w:rsidRPr="00CA25CF" w:rsidRDefault="002C0FD9" w:rsidP="00CA25CF">
            <w:pPr>
              <w:rPr>
                <w:rFonts w:cs="Arial"/>
                <w:color w:val="FF0000"/>
                <w:sz w:val="21"/>
                <w:szCs w:val="21"/>
              </w:rPr>
            </w:pPr>
          </w:p>
        </w:tc>
        <w:tc>
          <w:tcPr>
            <w:tcW w:w="217" w:type="dxa"/>
          </w:tcPr>
          <w:p w14:paraId="42572364" w14:textId="77777777" w:rsidR="002C0FD9" w:rsidRPr="00CA25CF" w:rsidRDefault="002C0FD9" w:rsidP="00CA25CF">
            <w:pPr>
              <w:rPr>
                <w:rFonts w:cs="Arial"/>
                <w:color w:val="FF0000"/>
                <w:sz w:val="21"/>
                <w:szCs w:val="21"/>
              </w:rPr>
            </w:pPr>
          </w:p>
        </w:tc>
        <w:tc>
          <w:tcPr>
            <w:tcW w:w="217" w:type="dxa"/>
          </w:tcPr>
          <w:p w14:paraId="23F58BD2" w14:textId="77777777" w:rsidR="002C0FD9" w:rsidRPr="00CA25CF" w:rsidRDefault="002C0FD9" w:rsidP="00CA25CF">
            <w:pPr>
              <w:rPr>
                <w:rFonts w:cs="Arial"/>
                <w:color w:val="FF0000"/>
                <w:sz w:val="21"/>
                <w:szCs w:val="21"/>
              </w:rPr>
            </w:pPr>
          </w:p>
        </w:tc>
        <w:tc>
          <w:tcPr>
            <w:tcW w:w="217" w:type="dxa"/>
          </w:tcPr>
          <w:p w14:paraId="1E01BEA0" w14:textId="77777777" w:rsidR="002C0FD9" w:rsidRPr="00CA25CF" w:rsidRDefault="002C0FD9" w:rsidP="00CA25CF">
            <w:pPr>
              <w:rPr>
                <w:rFonts w:cs="Arial"/>
                <w:color w:val="FF0000"/>
                <w:sz w:val="21"/>
                <w:szCs w:val="21"/>
              </w:rPr>
            </w:pPr>
          </w:p>
        </w:tc>
        <w:tc>
          <w:tcPr>
            <w:tcW w:w="217" w:type="dxa"/>
          </w:tcPr>
          <w:p w14:paraId="43FAB09B" w14:textId="77777777" w:rsidR="002C0FD9" w:rsidRPr="00CA25CF" w:rsidRDefault="002C0FD9" w:rsidP="00CA25CF">
            <w:pPr>
              <w:rPr>
                <w:rFonts w:cs="Arial"/>
                <w:color w:val="FF0000"/>
                <w:sz w:val="21"/>
                <w:szCs w:val="21"/>
              </w:rPr>
            </w:pPr>
          </w:p>
        </w:tc>
        <w:tc>
          <w:tcPr>
            <w:tcW w:w="217" w:type="dxa"/>
          </w:tcPr>
          <w:p w14:paraId="0355F1CB" w14:textId="77777777" w:rsidR="002C0FD9" w:rsidRPr="00CA25CF" w:rsidRDefault="002C0FD9" w:rsidP="00CA25CF">
            <w:pPr>
              <w:rPr>
                <w:rFonts w:cs="Arial"/>
                <w:color w:val="FF0000"/>
                <w:sz w:val="21"/>
                <w:szCs w:val="21"/>
              </w:rPr>
            </w:pPr>
          </w:p>
        </w:tc>
        <w:tc>
          <w:tcPr>
            <w:tcW w:w="217" w:type="dxa"/>
          </w:tcPr>
          <w:p w14:paraId="1329B72A" w14:textId="77777777" w:rsidR="002C0FD9" w:rsidRPr="00CA25CF" w:rsidRDefault="002C0FD9" w:rsidP="00CA25CF">
            <w:pPr>
              <w:rPr>
                <w:rFonts w:cs="Arial"/>
                <w:color w:val="FF0000"/>
                <w:sz w:val="21"/>
                <w:szCs w:val="21"/>
              </w:rPr>
            </w:pPr>
          </w:p>
        </w:tc>
        <w:tc>
          <w:tcPr>
            <w:tcW w:w="217" w:type="dxa"/>
          </w:tcPr>
          <w:p w14:paraId="4264857F" w14:textId="77777777" w:rsidR="002C0FD9" w:rsidRPr="00CA25CF" w:rsidRDefault="002C0FD9" w:rsidP="00CA25CF">
            <w:pPr>
              <w:rPr>
                <w:rFonts w:cs="Arial"/>
                <w:color w:val="FF0000"/>
                <w:sz w:val="21"/>
                <w:szCs w:val="21"/>
              </w:rPr>
            </w:pPr>
          </w:p>
        </w:tc>
        <w:tc>
          <w:tcPr>
            <w:tcW w:w="217" w:type="dxa"/>
          </w:tcPr>
          <w:p w14:paraId="25623EAB" w14:textId="77777777" w:rsidR="002C0FD9" w:rsidRPr="00CA25CF" w:rsidRDefault="002C0FD9" w:rsidP="00CA25CF">
            <w:pPr>
              <w:rPr>
                <w:rFonts w:cs="Arial"/>
                <w:color w:val="FF0000"/>
                <w:sz w:val="21"/>
                <w:szCs w:val="21"/>
              </w:rPr>
            </w:pPr>
          </w:p>
        </w:tc>
        <w:tc>
          <w:tcPr>
            <w:tcW w:w="217" w:type="dxa"/>
          </w:tcPr>
          <w:p w14:paraId="450ADE51" w14:textId="77777777" w:rsidR="002C0FD9" w:rsidRPr="00CA25CF" w:rsidRDefault="002C0FD9" w:rsidP="00CA25CF">
            <w:pPr>
              <w:rPr>
                <w:rFonts w:cs="Arial"/>
                <w:color w:val="FF0000"/>
                <w:sz w:val="21"/>
                <w:szCs w:val="21"/>
              </w:rPr>
            </w:pPr>
          </w:p>
        </w:tc>
        <w:tc>
          <w:tcPr>
            <w:tcW w:w="217" w:type="dxa"/>
          </w:tcPr>
          <w:p w14:paraId="4CFFAC1B" w14:textId="77777777" w:rsidR="002C0FD9" w:rsidRPr="00CA25CF" w:rsidRDefault="002C0FD9" w:rsidP="00CA25CF">
            <w:pPr>
              <w:rPr>
                <w:rFonts w:cs="Arial"/>
                <w:color w:val="FF0000"/>
                <w:sz w:val="21"/>
                <w:szCs w:val="21"/>
              </w:rPr>
            </w:pPr>
          </w:p>
        </w:tc>
        <w:tc>
          <w:tcPr>
            <w:tcW w:w="217" w:type="dxa"/>
          </w:tcPr>
          <w:p w14:paraId="077A6A1E" w14:textId="77777777" w:rsidR="002C0FD9" w:rsidRPr="00CA25CF" w:rsidRDefault="002C0FD9" w:rsidP="00CA25CF">
            <w:pPr>
              <w:rPr>
                <w:rFonts w:cs="Arial"/>
                <w:color w:val="FF0000"/>
                <w:sz w:val="21"/>
                <w:szCs w:val="21"/>
              </w:rPr>
            </w:pPr>
          </w:p>
        </w:tc>
        <w:tc>
          <w:tcPr>
            <w:tcW w:w="217" w:type="dxa"/>
          </w:tcPr>
          <w:p w14:paraId="7E45C05C" w14:textId="77777777" w:rsidR="002C0FD9" w:rsidRPr="00CA25CF" w:rsidRDefault="002C0FD9" w:rsidP="00CA25CF">
            <w:pPr>
              <w:rPr>
                <w:rFonts w:cs="Arial"/>
                <w:color w:val="FF0000"/>
                <w:sz w:val="21"/>
                <w:szCs w:val="21"/>
              </w:rPr>
            </w:pPr>
          </w:p>
        </w:tc>
        <w:tc>
          <w:tcPr>
            <w:tcW w:w="217" w:type="dxa"/>
          </w:tcPr>
          <w:p w14:paraId="54F183DB" w14:textId="77777777" w:rsidR="002C0FD9" w:rsidRPr="00CA25CF" w:rsidRDefault="002C0FD9" w:rsidP="00CA25CF">
            <w:pPr>
              <w:rPr>
                <w:rFonts w:cs="Arial"/>
                <w:color w:val="FF0000"/>
                <w:sz w:val="21"/>
                <w:szCs w:val="21"/>
              </w:rPr>
            </w:pPr>
          </w:p>
        </w:tc>
        <w:tc>
          <w:tcPr>
            <w:tcW w:w="217" w:type="dxa"/>
          </w:tcPr>
          <w:p w14:paraId="505C3AC1" w14:textId="77777777" w:rsidR="002C0FD9" w:rsidRPr="00CA25CF" w:rsidRDefault="002C0FD9" w:rsidP="00CA25CF">
            <w:pPr>
              <w:rPr>
                <w:rFonts w:cs="Arial"/>
                <w:color w:val="FF0000"/>
                <w:sz w:val="21"/>
                <w:szCs w:val="21"/>
              </w:rPr>
            </w:pPr>
          </w:p>
        </w:tc>
        <w:tc>
          <w:tcPr>
            <w:tcW w:w="217" w:type="dxa"/>
          </w:tcPr>
          <w:p w14:paraId="7D46E1EA" w14:textId="77777777" w:rsidR="002C0FD9" w:rsidRPr="00CA25CF" w:rsidRDefault="002C0FD9" w:rsidP="00CA25CF">
            <w:pPr>
              <w:rPr>
                <w:rFonts w:cs="Arial"/>
                <w:color w:val="FF0000"/>
                <w:sz w:val="21"/>
                <w:szCs w:val="21"/>
              </w:rPr>
            </w:pPr>
          </w:p>
        </w:tc>
        <w:tc>
          <w:tcPr>
            <w:tcW w:w="217" w:type="dxa"/>
          </w:tcPr>
          <w:p w14:paraId="2355CC1D" w14:textId="77777777" w:rsidR="002C0FD9" w:rsidRPr="00CA25CF" w:rsidRDefault="002C0FD9" w:rsidP="00CA25CF">
            <w:pPr>
              <w:rPr>
                <w:rFonts w:cs="Arial"/>
                <w:color w:val="FF0000"/>
                <w:sz w:val="21"/>
                <w:szCs w:val="21"/>
              </w:rPr>
            </w:pPr>
          </w:p>
        </w:tc>
        <w:tc>
          <w:tcPr>
            <w:tcW w:w="217" w:type="dxa"/>
          </w:tcPr>
          <w:p w14:paraId="2D8442FD" w14:textId="77777777" w:rsidR="002C0FD9" w:rsidRPr="00CA25CF" w:rsidRDefault="002C0FD9" w:rsidP="00CA25CF">
            <w:pPr>
              <w:rPr>
                <w:rFonts w:cs="Arial"/>
                <w:color w:val="FF0000"/>
                <w:sz w:val="21"/>
                <w:szCs w:val="21"/>
              </w:rPr>
            </w:pPr>
          </w:p>
        </w:tc>
        <w:tc>
          <w:tcPr>
            <w:tcW w:w="217" w:type="dxa"/>
          </w:tcPr>
          <w:p w14:paraId="460A9E34" w14:textId="77777777" w:rsidR="002C0FD9" w:rsidRPr="00CA25CF" w:rsidRDefault="002C0FD9" w:rsidP="00CA25CF">
            <w:pPr>
              <w:rPr>
                <w:rFonts w:cs="Arial"/>
                <w:color w:val="FF0000"/>
                <w:sz w:val="21"/>
                <w:szCs w:val="21"/>
              </w:rPr>
            </w:pPr>
          </w:p>
        </w:tc>
        <w:tc>
          <w:tcPr>
            <w:tcW w:w="217" w:type="dxa"/>
          </w:tcPr>
          <w:p w14:paraId="206416DF" w14:textId="77777777" w:rsidR="002C0FD9" w:rsidRPr="00CA25CF" w:rsidRDefault="002C0FD9" w:rsidP="00CA25CF">
            <w:pPr>
              <w:rPr>
                <w:rFonts w:cs="Arial"/>
                <w:color w:val="FF0000"/>
                <w:sz w:val="21"/>
                <w:szCs w:val="21"/>
              </w:rPr>
            </w:pPr>
          </w:p>
        </w:tc>
        <w:tc>
          <w:tcPr>
            <w:tcW w:w="217" w:type="dxa"/>
          </w:tcPr>
          <w:p w14:paraId="3ACE24A8" w14:textId="77777777" w:rsidR="002C0FD9" w:rsidRPr="00CA25CF" w:rsidRDefault="002C0FD9" w:rsidP="00CA25CF">
            <w:pPr>
              <w:rPr>
                <w:rFonts w:cs="Arial"/>
                <w:color w:val="FF0000"/>
                <w:sz w:val="21"/>
                <w:szCs w:val="21"/>
              </w:rPr>
            </w:pPr>
          </w:p>
        </w:tc>
        <w:tc>
          <w:tcPr>
            <w:tcW w:w="217" w:type="dxa"/>
          </w:tcPr>
          <w:p w14:paraId="11610AFD" w14:textId="77777777" w:rsidR="002C0FD9" w:rsidRPr="00CA25CF" w:rsidRDefault="002C0FD9" w:rsidP="00CA25CF">
            <w:pPr>
              <w:rPr>
                <w:rFonts w:cs="Arial"/>
                <w:color w:val="FF0000"/>
                <w:sz w:val="21"/>
                <w:szCs w:val="21"/>
              </w:rPr>
            </w:pPr>
          </w:p>
        </w:tc>
        <w:tc>
          <w:tcPr>
            <w:tcW w:w="217" w:type="dxa"/>
          </w:tcPr>
          <w:p w14:paraId="52EF4A1A" w14:textId="77777777" w:rsidR="002C0FD9" w:rsidRPr="00CA25CF" w:rsidRDefault="002C0FD9" w:rsidP="00CA25CF">
            <w:pPr>
              <w:rPr>
                <w:rFonts w:cs="Arial"/>
                <w:color w:val="FF0000"/>
                <w:sz w:val="21"/>
                <w:szCs w:val="21"/>
              </w:rPr>
            </w:pPr>
          </w:p>
        </w:tc>
        <w:tc>
          <w:tcPr>
            <w:tcW w:w="217" w:type="dxa"/>
          </w:tcPr>
          <w:p w14:paraId="40FA9825" w14:textId="77777777" w:rsidR="002C0FD9" w:rsidRPr="00CA25CF" w:rsidRDefault="002C0FD9" w:rsidP="00CA25CF">
            <w:pPr>
              <w:rPr>
                <w:rFonts w:cs="Arial"/>
                <w:color w:val="FF0000"/>
                <w:sz w:val="21"/>
                <w:szCs w:val="21"/>
              </w:rPr>
            </w:pPr>
          </w:p>
        </w:tc>
        <w:tc>
          <w:tcPr>
            <w:tcW w:w="217" w:type="dxa"/>
          </w:tcPr>
          <w:p w14:paraId="68AB8EF8" w14:textId="77777777" w:rsidR="002C0FD9" w:rsidRPr="00CA25CF" w:rsidRDefault="002C0FD9" w:rsidP="00CA25CF">
            <w:pPr>
              <w:rPr>
                <w:rFonts w:cs="Arial"/>
                <w:color w:val="FF0000"/>
                <w:sz w:val="21"/>
                <w:szCs w:val="21"/>
              </w:rPr>
            </w:pPr>
          </w:p>
        </w:tc>
        <w:tc>
          <w:tcPr>
            <w:tcW w:w="217" w:type="dxa"/>
          </w:tcPr>
          <w:p w14:paraId="18989D88" w14:textId="77777777" w:rsidR="002C0FD9" w:rsidRPr="00CA25CF" w:rsidRDefault="002C0FD9" w:rsidP="00CA25CF">
            <w:pPr>
              <w:rPr>
                <w:rFonts w:cs="Arial"/>
                <w:color w:val="FF0000"/>
                <w:sz w:val="21"/>
                <w:szCs w:val="21"/>
              </w:rPr>
            </w:pPr>
          </w:p>
        </w:tc>
        <w:tc>
          <w:tcPr>
            <w:tcW w:w="217" w:type="dxa"/>
          </w:tcPr>
          <w:p w14:paraId="31E0314A" w14:textId="77777777" w:rsidR="002C0FD9" w:rsidRPr="00CA25CF" w:rsidRDefault="002C0FD9" w:rsidP="00CA25CF">
            <w:pPr>
              <w:rPr>
                <w:rFonts w:cs="Arial"/>
                <w:color w:val="FF0000"/>
                <w:sz w:val="21"/>
                <w:szCs w:val="21"/>
              </w:rPr>
            </w:pPr>
          </w:p>
        </w:tc>
        <w:tc>
          <w:tcPr>
            <w:tcW w:w="217" w:type="dxa"/>
          </w:tcPr>
          <w:p w14:paraId="00CFB748" w14:textId="77777777" w:rsidR="002C0FD9" w:rsidRPr="00CA25CF" w:rsidRDefault="002C0FD9" w:rsidP="00CA25CF">
            <w:pPr>
              <w:rPr>
                <w:rFonts w:cs="Arial"/>
                <w:color w:val="FF0000"/>
                <w:sz w:val="21"/>
                <w:szCs w:val="21"/>
              </w:rPr>
            </w:pPr>
          </w:p>
        </w:tc>
        <w:tc>
          <w:tcPr>
            <w:tcW w:w="217" w:type="dxa"/>
          </w:tcPr>
          <w:p w14:paraId="3BB6FF00" w14:textId="77777777" w:rsidR="002C0FD9" w:rsidRPr="00CA25CF" w:rsidRDefault="002C0FD9" w:rsidP="00CA25CF">
            <w:pPr>
              <w:rPr>
                <w:rFonts w:cs="Arial"/>
                <w:color w:val="FF0000"/>
                <w:sz w:val="21"/>
                <w:szCs w:val="21"/>
              </w:rPr>
            </w:pPr>
          </w:p>
        </w:tc>
        <w:tc>
          <w:tcPr>
            <w:tcW w:w="217" w:type="dxa"/>
          </w:tcPr>
          <w:p w14:paraId="76618587" w14:textId="77777777" w:rsidR="002C0FD9" w:rsidRPr="00CA25CF" w:rsidRDefault="002C0FD9" w:rsidP="00CA25CF">
            <w:pPr>
              <w:rPr>
                <w:rFonts w:cs="Arial"/>
                <w:color w:val="FF0000"/>
                <w:sz w:val="21"/>
                <w:szCs w:val="21"/>
              </w:rPr>
            </w:pPr>
          </w:p>
        </w:tc>
      </w:tr>
      <w:tr w:rsidR="002C0FD9" w:rsidRPr="00A16219" w14:paraId="2C5841D6" w14:textId="77777777" w:rsidTr="002C0FD9">
        <w:trPr>
          <w:trHeight w:val="635"/>
        </w:trPr>
        <w:tc>
          <w:tcPr>
            <w:tcW w:w="515" w:type="dxa"/>
          </w:tcPr>
          <w:p w14:paraId="1293144A" w14:textId="77777777" w:rsidR="002C0FD9" w:rsidRPr="00CA25CF" w:rsidRDefault="002C0FD9" w:rsidP="00CA25CF">
            <w:pPr>
              <w:rPr>
                <w:rFonts w:cs="Arial"/>
                <w:color w:val="FF0000"/>
                <w:sz w:val="21"/>
                <w:szCs w:val="21"/>
              </w:rPr>
            </w:pPr>
          </w:p>
        </w:tc>
        <w:tc>
          <w:tcPr>
            <w:tcW w:w="217" w:type="dxa"/>
          </w:tcPr>
          <w:p w14:paraId="2F7E2477" w14:textId="77777777" w:rsidR="002C0FD9" w:rsidRPr="00CA25CF" w:rsidRDefault="002C0FD9" w:rsidP="00CA25CF">
            <w:pPr>
              <w:rPr>
                <w:rFonts w:cs="Arial"/>
                <w:color w:val="FF0000"/>
                <w:sz w:val="21"/>
                <w:szCs w:val="21"/>
              </w:rPr>
            </w:pPr>
          </w:p>
        </w:tc>
        <w:tc>
          <w:tcPr>
            <w:tcW w:w="217" w:type="dxa"/>
          </w:tcPr>
          <w:p w14:paraId="1549AAF2" w14:textId="77777777" w:rsidR="002C0FD9" w:rsidRPr="00CA25CF" w:rsidRDefault="002C0FD9" w:rsidP="00CA25CF">
            <w:pPr>
              <w:rPr>
                <w:rFonts w:cs="Arial"/>
                <w:color w:val="FF0000"/>
                <w:sz w:val="21"/>
                <w:szCs w:val="21"/>
              </w:rPr>
            </w:pPr>
          </w:p>
        </w:tc>
        <w:tc>
          <w:tcPr>
            <w:tcW w:w="217" w:type="dxa"/>
          </w:tcPr>
          <w:p w14:paraId="462FC4DB" w14:textId="77777777" w:rsidR="002C0FD9" w:rsidRPr="00CA25CF" w:rsidRDefault="002C0FD9" w:rsidP="00CA25CF">
            <w:pPr>
              <w:rPr>
                <w:rFonts w:cs="Arial"/>
                <w:color w:val="FF0000"/>
                <w:sz w:val="21"/>
                <w:szCs w:val="21"/>
              </w:rPr>
            </w:pPr>
          </w:p>
        </w:tc>
        <w:tc>
          <w:tcPr>
            <w:tcW w:w="217" w:type="dxa"/>
          </w:tcPr>
          <w:p w14:paraId="319FCF37" w14:textId="77777777" w:rsidR="002C0FD9" w:rsidRPr="00CA25CF" w:rsidRDefault="002C0FD9" w:rsidP="00CA25CF">
            <w:pPr>
              <w:rPr>
                <w:rFonts w:cs="Arial"/>
                <w:color w:val="FF0000"/>
                <w:sz w:val="21"/>
                <w:szCs w:val="21"/>
              </w:rPr>
            </w:pPr>
          </w:p>
        </w:tc>
        <w:tc>
          <w:tcPr>
            <w:tcW w:w="217" w:type="dxa"/>
          </w:tcPr>
          <w:p w14:paraId="5ADD39A9" w14:textId="77777777" w:rsidR="002C0FD9" w:rsidRPr="00CA25CF" w:rsidRDefault="002C0FD9" w:rsidP="00CA25CF">
            <w:pPr>
              <w:rPr>
                <w:rFonts w:cs="Arial"/>
                <w:color w:val="FF0000"/>
                <w:sz w:val="21"/>
                <w:szCs w:val="21"/>
              </w:rPr>
            </w:pPr>
          </w:p>
        </w:tc>
        <w:tc>
          <w:tcPr>
            <w:tcW w:w="217" w:type="dxa"/>
          </w:tcPr>
          <w:p w14:paraId="73F9E993" w14:textId="77777777" w:rsidR="002C0FD9" w:rsidRPr="00CA25CF" w:rsidRDefault="002C0FD9" w:rsidP="00CA25CF">
            <w:pPr>
              <w:rPr>
                <w:rFonts w:cs="Arial"/>
                <w:color w:val="FF0000"/>
                <w:sz w:val="21"/>
                <w:szCs w:val="21"/>
              </w:rPr>
            </w:pPr>
          </w:p>
        </w:tc>
        <w:tc>
          <w:tcPr>
            <w:tcW w:w="217" w:type="dxa"/>
          </w:tcPr>
          <w:p w14:paraId="55829CCB" w14:textId="77777777" w:rsidR="002C0FD9" w:rsidRPr="00CA25CF" w:rsidRDefault="002C0FD9" w:rsidP="00CA25CF">
            <w:pPr>
              <w:rPr>
                <w:rFonts w:cs="Arial"/>
                <w:color w:val="FF0000"/>
                <w:sz w:val="21"/>
                <w:szCs w:val="21"/>
              </w:rPr>
            </w:pPr>
          </w:p>
        </w:tc>
        <w:tc>
          <w:tcPr>
            <w:tcW w:w="217" w:type="dxa"/>
          </w:tcPr>
          <w:p w14:paraId="0EC60346" w14:textId="77777777" w:rsidR="002C0FD9" w:rsidRPr="00CA25CF" w:rsidRDefault="002C0FD9" w:rsidP="00CA25CF">
            <w:pPr>
              <w:rPr>
                <w:rFonts w:cs="Arial"/>
                <w:color w:val="FF0000"/>
                <w:sz w:val="21"/>
                <w:szCs w:val="21"/>
              </w:rPr>
            </w:pPr>
          </w:p>
        </w:tc>
        <w:tc>
          <w:tcPr>
            <w:tcW w:w="217" w:type="dxa"/>
          </w:tcPr>
          <w:p w14:paraId="5D783AA4" w14:textId="77777777" w:rsidR="002C0FD9" w:rsidRPr="00CA25CF" w:rsidRDefault="002C0FD9" w:rsidP="00CA25CF">
            <w:pPr>
              <w:rPr>
                <w:rFonts w:cs="Arial"/>
                <w:color w:val="FF0000"/>
                <w:sz w:val="21"/>
                <w:szCs w:val="21"/>
              </w:rPr>
            </w:pPr>
          </w:p>
        </w:tc>
        <w:tc>
          <w:tcPr>
            <w:tcW w:w="217" w:type="dxa"/>
          </w:tcPr>
          <w:p w14:paraId="686E97D7" w14:textId="77777777" w:rsidR="002C0FD9" w:rsidRPr="00CA25CF" w:rsidRDefault="002C0FD9" w:rsidP="00CA25CF">
            <w:pPr>
              <w:rPr>
                <w:rFonts w:cs="Arial"/>
                <w:color w:val="FF0000"/>
                <w:sz w:val="21"/>
                <w:szCs w:val="21"/>
              </w:rPr>
            </w:pPr>
          </w:p>
        </w:tc>
        <w:tc>
          <w:tcPr>
            <w:tcW w:w="217" w:type="dxa"/>
          </w:tcPr>
          <w:p w14:paraId="75C41361" w14:textId="77777777" w:rsidR="002C0FD9" w:rsidRPr="00CA25CF" w:rsidRDefault="002C0FD9" w:rsidP="00CA25CF">
            <w:pPr>
              <w:rPr>
                <w:rFonts w:cs="Arial"/>
                <w:color w:val="FF0000"/>
                <w:sz w:val="21"/>
                <w:szCs w:val="21"/>
              </w:rPr>
            </w:pPr>
          </w:p>
        </w:tc>
        <w:tc>
          <w:tcPr>
            <w:tcW w:w="217" w:type="dxa"/>
          </w:tcPr>
          <w:p w14:paraId="7E286F3D" w14:textId="77777777" w:rsidR="002C0FD9" w:rsidRPr="00CA25CF" w:rsidRDefault="002C0FD9" w:rsidP="00CA25CF">
            <w:pPr>
              <w:rPr>
                <w:rFonts w:cs="Arial"/>
                <w:color w:val="FF0000"/>
                <w:sz w:val="21"/>
                <w:szCs w:val="21"/>
              </w:rPr>
            </w:pPr>
          </w:p>
        </w:tc>
        <w:tc>
          <w:tcPr>
            <w:tcW w:w="217" w:type="dxa"/>
          </w:tcPr>
          <w:p w14:paraId="704072DD" w14:textId="77777777" w:rsidR="002C0FD9" w:rsidRPr="00CA25CF" w:rsidRDefault="002C0FD9" w:rsidP="00CA25CF">
            <w:pPr>
              <w:rPr>
                <w:rFonts w:cs="Arial"/>
                <w:color w:val="FF0000"/>
                <w:sz w:val="21"/>
                <w:szCs w:val="21"/>
              </w:rPr>
            </w:pPr>
          </w:p>
        </w:tc>
        <w:tc>
          <w:tcPr>
            <w:tcW w:w="217" w:type="dxa"/>
          </w:tcPr>
          <w:p w14:paraId="7383844A" w14:textId="77777777" w:rsidR="002C0FD9" w:rsidRPr="00CA25CF" w:rsidRDefault="002C0FD9" w:rsidP="00CA25CF">
            <w:pPr>
              <w:rPr>
                <w:rFonts w:cs="Arial"/>
                <w:color w:val="FF0000"/>
                <w:sz w:val="21"/>
                <w:szCs w:val="21"/>
              </w:rPr>
            </w:pPr>
          </w:p>
        </w:tc>
        <w:tc>
          <w:tcPr>
            <w:tcW w:w="217" w:type="dxa"/>
          </w:tcPr>
          <w:p w14:paraId="1776FC67" w14:textId="77777777" w:rsidR="002C0FD9" w:rsidRPr="00CA25CF" w:rsidRDefault="002C0FD9" w:rsidP="00CA25CF">
            <w:pPr>
              <w:rPr>
                <w:rFonts w:cs="Arial"/>
                <w:color w:val="FF0000"/>
                <w:sz w:val="21"/>
                <w:szCs w:val="21"/>
              </w:rPr>
            </w:pPr>
          </w:p>
        </w:tc>
        <w:tc>
          <w:tcPr>
            <w:tcW w:w="217" w:type="dxa"/>
          </w:tcPr>
          <w:p w14:paraId="4ABDB616" w14:textId="77777777" w:rsidR="002C0FD9" w:rsidRPr="00CA25CF" w:rsidRDefault="002C0FD9" w:rsidP="00CA25CF">
            <w:pPr>
              <w:rPr>
                <w:rFonts w:cs="Arial"/>
                <w:color w:val="FF0000"/>
                <w:sz w:val="21"/>
                <w:szCs w:val="21"/>
              </w:rPr>
            </w:pPr>
          </w:p>
        </w:tc>
        <w:tc>
          <w:tcPr>
            <w:tcW w:w="217" w:type="dxa"/>
          </w:tcPr>
          <w:p w14:paraId="6AFF4C72" w14:textId="77777777" w:rsidR="002C0FD9" w:rsidRPr="00CA25CF" w:rsidRDefault="002C0FD9" w:rsidP="00CA25CF">
            <w:pPr>
              <w:rPr>
                <w:rFonts w:cs="Arial"/>
                <w:color w:val="FF0000"/>
                <w:sz w:val="21"/>
                <w:szCs w:val="21"/>
              </w:rPr>
            </w:pPr>
          </w:p>
        </w:tc>
        <w:tc>
          <w:tcPr>
            <w:tcW w:w="217" w:type="dxa"/>
          </w:tcPr>
          <w:p w14:paraId="5F24A52D" w14:textId="77777777" w:rsidR="002C0FD9" w:rsidRPr="00CA25CF" w:rsidRDefault="002C0FD9" w:rsidP="00CA25CF">
            <w:pPr>
              <w:rPr>
                <w:rFonts w:cs="Arial"/>
                <w:color w:val="FF0000"/>
                <w:sz w:val="21"/>
                <w:szCs w:val="21"/>
              </w:rPr>
            </w:pPr>
          </w:p>
        </w:tc>
        <w:tc>
          <w:tcPr>
            <w:tcW w:w="217" w:type="dxa"/>
          </w:tcPr>
          <w:p w14:paraId="1BE1A19E" w14:textId="77777777" w:rsidR="002C0FD9" w:rsidRPr="00CA25CF" w:rsidRDefault="002C0FD9" w:rsidP="00CA25CF">
            <w:pPr>
              <w:rPr>
                <w:rFonts w:cs="Arial"/>
                <w:color w:val="FF0000"/>
                <w:sz w:val="21"/>
                <w:szCs w:val="21"/>
              </w:rPr>
            </w:pPr>
          </w:p>
        </w:tc>
        <w:tc>
          <w:tcPr>
            <w:tcW w:w="217" w:type="dxa"/>
          </w:tcPr>
          <w:p w14:paraId="3A01DDF3" w14:textId="77777777" w:rsidR="002C0FD9" w:rsidRPr="00CA25CF" w:rsidRDefault="002C0FD9" w:rsidP="00CA25CF">
            <w:pPr>
              <w:rPr>
                <w:rFonts w:cs="Arial"/>
                <w:color w:val="FF0000"/>
                <w:sz w:val="21"/>
                <w:szCs w:val="21"/>
              </w:rPr>
            </w:pPr>
          </w:p>
        </w:tc>
        <w:tc>
          <w:tcPr>
            <w:tcW w:w="217" w:type="dxa"/>
          </w:tcPr>
          <w:p w14:paraId="74AC8BEA" w14:textId="77777777" w:rsidR="002C0FD9" w:rsidRPr="00CA25CF" w:rsidRDefault="002C0FD9" w:rsidP="00CA25CF">
            <w:pPr>
              <w:rPr>
                <w:rFonts w:cs="Arial"/>
                <w:color w:val="FF0000"/>
                <w:sz w:val="21"/>
                <w:szCs w:val="21"/>
              </w:rPr>
            </w:pPr>
          </w:p>
        </w:tc>
        <w:tc>
          <w:tcPr>
            <w:tcW w:w="217" w:type="dxa"/>
          </w:tcPr>
          <w:p w14:paraId="1A808BA4" w14:textId="77777777" w:rsidR="002C0FD9" w:rsidRPr="00CA25CF" w:rsidRDefault="002C0FD9" w:rsidP="00CA25CF">
            <w:pPr>
              <w:rPr>
                <w:rFonts w:cs="Arial"/>
                <w:color w:val="FF0000"/>
                <w:sz w:val="21"/>
                <w:szCs w:val="21"/>
              </w:rPr>
            </w:pPr>
          </w:p>
        </w:tc>
        <w:tc>
          <w:tcPr>
            <w:tcW w:w="217" w:type="dxa"/>
          </w:tcPr>
          <w:p w14:paraId="5079E12D" w14:textId="77777777" w:rsidR="002C0FD9" w:rsidRPr="00CA25CF" w:rsidRDefault="002C0FD9" w:rsidP="00CA25CF">
            <w:pPr>
              <w:rPr>
                <w:rFonts w:cs="Arial"/>
                <w:color w:val="FF0000"/>
                <w:sz w:val="21"/>
                <w:szCs w:val="21"/>
              </w:rPr>
            </w:pPr>
          </w:p>
        </w:tc>
        <w:tc>
          <w:tcPr>
            <w:tcW w:w="217" w:type="dxa"/>
          </w:tcPr>
          <w:p w14:paraId="6EC069F0" w14:textId="77777777" w:rsidR="002C0FD9" w:rsidRPr="00CA25CF" w:rsidRDefault="002C0FD9" w:rsidP="00CA25CF">
            <w:pPr>
              <w:rPr>
                <w:rFonts w:cs="Arial"/>
                <w:color w:val="FF0000"/>
                <w:sz w:val="21"/>
                <w:szCs w:val="21"/>
              </w:rPr>
            </w:pPr>
          </w:p>
        </w:tc>
        <w:tc>
          <w:tcPr>
            <w:tcW w:w="217" w:type="dxa"/>
          </w:tcPr>
          <w:p w14:paraId="66AD2049" w14:textId="77777777" w:rsidR="002C0FD9" w:rsidRPr="00CA25CF" w:rsidRDefault="002C0FD9" w:rsidP="00CA25CF">
            <w:pPr>
              <w:rPr>
                <w:rFonts w:cs="Arial"/>
                <w:color w:val="FF0000"/>
                <w:sz w:val="21"/>
                <w:szCs w:val="21"/>
              </w:rPr>
            </w:pPr>
          </w:p>
        </w:tc>
        <w:tc>
          <w:tcPr>
            <w:tcW w:w="217" w:type="dxa"/>
          </w:tcPr>
          <w:p w14:paraId="1ABC735A" w14:textId="77777777" w:rsidR="002C0FD9" w:rsidRPr="00CA25CF" w:rsidRDefault="002C0FD9" w:rsidP="00CA25CF">
            <w:pPr>
              <w:rPr>
                <w:rFonts w:cs="Arial"/>
                <w:color w:val="FF0000"/>
                <w:sz w:val="21"/>
                <w:szCs w:val="21"/>
              </w:rPr>
            </w:pPr>
          </w:p>
        </w:tc>
        <w:tc>
          <w:tcPr>
            <w:tcW w:w="217" w:type="dxa"/>
          </w:tcPr>
          <w:p w14:paraId="4AA20D93" w14:textId="77777777" w:rsidR="002C0FD9" w:rsidRPr="00CA25CF" w:rsidRDefault="002C0FD9" w:rsidP="00CA25CF">
            <w:pPr>
              <w:rPr>
                <w:rFonts w:cs="Arial"/>
                <w:color w:val="FF0000"/>
                <w:sz w:val="21"/>
                <w:szCs w:val="21"/>
              </w:rPr>
            </w:pPr>
          </w:p>
        </w:tc>
        <w:tc>
          <w:tcPr>
            <w:tcW w:w="217" w:type="dxa"/>
          </w:tcPr>
          <w:p w14:paraId="45EF9DFD" w14:textId="77777777" w:rsidR="002C0FD9" w:rsidRPr="00CA25CF" w:rsidRDefault="002C0FD9" w:rsidP="00CA25CF">
            <w:pPr>
              <w:rPr>
                <w:rFonts w:cs="Arial"/>
                <w:color w:val="FF0000"/>
                <w:sz w:val="21"/>
                <w:szCs w:val="21"/>
              </w:rPr>
            </w:pPr>
          </w:p>
        </w:tc>
        <w:tc>
          <w:tcPr>
            <w:tcW w:w="217" w:type="dxa"/>
          </w:tcPr>
          <w:p w14:paraId="148CC7BB" w14:textId="77777777" w:rsidR="002C0FD9" w:rsidRPr="00CA25CF" w:rsidRDefault="002C0FD9" w:rsidP="00CA25CF">
            <w:pPr>
              <w:rPr>
                <w:rFonts w:cs="Arial"/>
                <w:color w:val="FF0000"/>
                <w:sz w:val="21"/>
                <w:szCs w:val="21"/>
              </w:rPr>
            </w:pPr>
          </w:p>
        </w:tc>
        <w:tc>
          <w:tcPr>
            <w:tcW w:w="217" w:type="dxa"/>
          </w:tcPr>
          <w:p w14:paraId="77D71C15" w14:textId="77777777" w:rsidR="002C0FD9" w:rsidRPr="00CA25CF" w:rsidRDefault="002C0FD9" w:rsidP="00CA25CF">
            <w:pPr>
              <w:rPr>
                <w:rFonts w:cs="Arial"/>
                <w:color w:val="FF0000"/>
                <w:sz w:val="21"/>
                <w:szCs w:val="21"/>
              </w:rPr>
            </w:pPr>
          </w:p>
        </w:tc>
        <w:tc>
          <w:tcPr>
            <w:tcW w:w="217" w:type="dxa"/>
          </w:tcPr>
          <w:p w14:paraId="125D58F4" w14:textId="77777777" w:rsidR="002C0FD9" w:rsidRPr="00CA25CF" w:rsidRDefault="002C0FD9" w:rsidP="00CA25CF">
            <w:pPr>
              <w:rPr>
                <w:rFonts w:cs="Arial"/>
                <w:color w:val="FF0000"/>
                <w:sz w:val="21"/>
                <w:szCs w:val="21"/>
              </w:rPr>
            </w:pPr>
          </w:p>
        </w:tc>
        <w:tc>
          <w:tcPr>
            <w:tcW w:w="217" w:type="dxa"/>
          </w:tcPr>
          <w:p w14:paraId="222A3DC4" w14:textId="77777777" w:rsidR="002C0FD9" w:rsidRPr="00CA25CF" w:rsidRDefault="002C0FD9" w:rsidP="00CA25CF">
            <w:pPr>
              <w:rPr>
                <w:rFonts w:cs="Arial"/>
                <w:color w:val="FF0000"/>
                <w:sz w:val="21"/>
                <w:szCs w:val="21"/>
              </w:rPr>
            </w:pPr>
          </w:p>
        </w:tc>
        <w:tc>
          <w:tcPr>
            <w:tcW w:w="217" w:type="dxa"/>
          </w:tcPr>
          <w:p w14:paraId="499059BA" w14:textId="77777777" w:rsidR="002C0FD9" w:rsidRPr="00CA25CF" w:rsidRDefault="002C0FD9" w:rsidP="00CA25CF">
            <w:pPr>
              <w:rPr>
                <w:rFonts w:cs="Arial"/>
                <w:color w:val="FF0000"/>
                <w:sz w:val="21"/>
                <w:szCs w:val="21"/>
              </w:rPr>
            </w:pPr>
          </w:p>
        </w:tc>
        <w:tc>
          <w:tcPr>
            <w:tcW w:w="217" w:type="dxa"/>
          </w:tcPr>
          <w:p w14:paraId="41CF0006" w14:textId="77777777" w:rsidR="002C0FD9" w:rsidRPr="00CA25CF" w:rsidRDefault="002C0FD9" w:rsidP="00CA25CF">
            <w:pPr>
              <w:rPr>
                <w:rFonts w:cs="Arial"/>
                <w:color w:val="FF0000"/>
                <w:sz w:val="21"/>
                <w:szCs w:val="21"/>
              </w:rPr>
            </w:pPr>
          </w:p>
        </w:tc>
        <w:tc>
          <w:tcPr>
            <w:tcW w:w="217" w:type="dxa"/>
          </w:tcPr>
          <w:p w14:paraId="3D40BCA6" w14:textId="77777777" w:rsidR="002C0FD9" w:rsidRPr="00CA25CF" w:rsidRDefault="002C0FD9" w:rsidP="00CA25CF">
            <w:pPr>
              <w:rPr>
                <w:rFonts w:cs="Arial"/>
                <w:color w:val="FF0000"/>
                <w:sz w:val="21"/>
                <w:szCs w:val="21"/>
              </w:rPr>
            </w:pPr>
          </w:p>
        </w:tc>
        <w:tc>
          <w:tcPr>
            <w:tcW w:w="217" w:type="dxa"/>
          </w:tcPr>
          <w:p w14:paraId="7791F74E" w14:textId="77777777" w:rsidR="002C0FD9" w:rsidRPr="00CA25CF" w:rsidRDefault="002C0FD9" w:rsidP="00CA25CF">
            <w:pPr>
              <w:rPr>
                <w:rFonts w:cs="Arial"/>
                <w:color w:val="FF0000"/>
                <w:sz w:val="21"/>
                <w:szCs w:val="21"/>
              </w:rPr>
            </w:pPr>
          </w:p>
        </w:tc>
        <w:tc>
          <w:tcPr>
            <w:tcW w:w="217" w:type="dxa"/>
          </w:tcPr>
          <w:p w14:paraId="35C964B9" w14:textId="77777777" w:rsidR="002C0FD9" w:rsidRPr="00CA25CF" w:rsidRDefault="002C0FD9" w:rsidP="00CA25CF">
            <w:pPr>
              <w:rPr>
                <w:rFonts w:cs="Arial"/>
                <w:color w:val="FF0000"/>
                <w:sz w:val="21"/>
                <w:szCs w:val="21"/>
              </w:rPr>
            </w:pPr>
          </w:p>
        </w:tc>
        <w:tc>
          <w:tcPr>
            <w:tcW w:w="217" w:type="dxa"/>
          </w:tcPr>
          <w:p w14:paraId="0A29CA94" w14:textId="77777777" w:rsidR="002C0FD9" w:rsidRPr="00CA25CF" w:rsidRDefault="002C0FD9" w:rsidP="00CA25CF">
            <w:pPr>
              <w:rPr>
                <w:rFonts w:cs="Arial"/>
                <w:color w:val="FF0000"/>
                <w:sz w:val="21"/>
                <w:szCs w:val="21"/>
              </w:rPr>
            </w:pPr>
          </w:p>
        </w:tc>
        <w:tc>
          <w:tcPr>
            <w:tcW w:w="217" w:type="dxa"/>
          </w:tcPr>
          <w:p w14:paraId="004D3A2E" w14:textId="77777777" w:rsidR="002C0FD9" w:rsidRPr="00CA25CF" w:rsidRDefault="002C0FD9" w:rsidP="00CA25CF">
            <w:pPr>
              <w:rPr>
                <w:rFonts w:cs="Arial"/>
                <w:color w:val="FF0000"/>
                <w:sz w:val="21"/>
                <w:szCs w:val="21"/>
              </w:rPr>
            </w:pPr>
          </w:p>
        </w:tc>
        <w:tc>
          <w:tcPr>
            <w:tcW w:w="217" w:type="dxa"/>
          </w:tcPr>
          <w:p w14:paraId="2DBDA2D8" w14:textId="77777777" w:rsidR="002C0FD9" w:rsidRPr="00CA25CF" w:rsidRDefault="002C0FD9" w:rsidP="00CA25CF">
            <w:pPr>
              <w:rPr>
                <w:rFonts w:cs="Arial"/>
                <w:color w:val="FF0000"/>
                <w:sz w:val="21"/>
                <w:szCs w:val="21"/>
              </w:rPr>
            </w:pPr>
          </w:p>
        </w:tc>
        <w:tc>
          <w:tcPr>
            <w:tcW w:w="217" w:type="dxa"/>
          </w:tcPr>
          <w:p w14:paraId="5F1D11C8" w14:textId="77777777" w:rsidR="002C0FD9" w:rsidRPr="00CA25CF" w:rsidRDefault="002C0FD9" w:rsidP="00CA25CF">
            <w:pPr>
              <w:rPr>
                <w:rFonts w:cs="Arial"/>
                <w:color w:val="FF0000"/>
                <w:sz w:val="21"/>
                <w:szCs w:val="21"/>
              </w:rPr>
            </w:pPr>
          </w:p>
        </w:tc>
        <w:tc>
          <w:tcPr>
            <w:tcW w:w="217" w:type="dxa"/>
          </w:tcPr>
          <w:p w14:paraId="794021A9" w14:textId="77777777" w:rsidR="002C0FD9" w:rsidRPr="00CA25CF" w:rsidRDefault="002C0FD9" w:rsidP="00CA25CF">
            <w:pPr>
              <w:rPr>
                <w:rFonts w:cs="Arial"/>
                <w:color w:val="FF0000"/>
                <w:sz w:val="21"/>
                <w:szCs w:val="21"/>
              </w:rPr>
            </w:pPr>
          </w:p>
        </w:tc>
      </w:tr>
      <w:tr w:rsidR="002C0FD9" w:rsidRPr="00A16219" w14:paraId="7DFA497C" w14:textId="77777777" w:rsidTr="002C0FD9">
        <w:trPr>
          <w:trHeight w:val="635"/>
        </w:trPr>
        <w:tc>
          <w:tcPr>
            <w:tcW w:w="515" w:type="dxa"/>
          </w:tcPr>
          <w:p w14:paraId="50E288BB" w14:textId="77777777" w:rsidR="002C0FD9" w:rsidRPr="00CA25CF" w:rsidRDefault="002C0FD9" w:rsidP="00CA25CF">
            <w:pPr>
              <w:rPr>
                <w:rFonts w:cs="Arial"/>
                <w:color w:val="FF0000"/>
                <w:sz w:val="21"/>
                <w:szCs w:val="21"/>
              </w:rPr>
            </w:pPr>
          </w:p>
        </w:tc>
        <w:tc>
          <w:tcPr>
            <w:tcW w:w="217" w:type="dxa"/>
          </w:tcPr>
          <w:p w14:paraId="1DA44D8B" w14:textId="77777777" w:rsidR="002C0FD9" w:rsidRPr="00CA25CF" w:rsidRDefault="002C0FD9" w:rsidP="00CA25CF">
            <w:pPr>
              <w:rPr>
                <w:rFonts w:cs="Arial"/>
                <w:color w:val="FF0000"/>
                <w:sz w:val="21"/>
                <w:szCs w:val="21"/>
              </w:rPr>
            </w:pPr>
          </w:p>
        </w:tc>
        <w:tc>
          <w:tcPr>
            <w:tcW w:w="217" w:type="dxa"/>
          </w:tcPr>
          <w:p w14:paraId="433F9EA5" w14:textId="77777777" w:rsidR="002C0FD9" w:rsidRPr="00CA25CF" w:rsidRDefault="002C0FD9" w:rsidP="00CA25CF">
            <w:pPr>
              <w:rPr>
                <w:rFonts w:cs="Arial"/>
                <w:color w:val="FF0000"/>
                <w:sz w:val="21"/>
                <w:szCs w:val="21"/>
              </w:rPr>
            </w:pPr>
          </w:p>
        </w:tc>
        <w:tc>
          <w:tcPr>
            <w:tcW w:w="217" w:type="dxa"/>
          </w:tcPr>
          <w:p w14:paraId="7AB5EEEA" w14:textId="77777777" w:rsidR="002C0FD9" w:rsidRPr="00CA25CF" w:rsidRDefault="002C0FD9" w:rsidP="00CA25CF">
            <w:pPr>
              <w:rPr>
                <w:rFonts w:cs="Arial"/>
                <w:color w:val="FF0000"/>
                <w:sz w:val="21"/>
                <w:szCs w:val="21"/>
              </w:rPr>
            </w:pPr>
          </w:p>
        </w:tc>
        <w:tc>
          <w:tcPr>
            <w:tcW w:w="217" w:type="dxa"/>
          </w:tcPr>
          <w:p w14:paraId="309B7215" w14:textId="77777777" w:rsidR="002C0FD9" w:rsidRPr="00CA25CF" w:rsidRDefault="002C0FD9" w:rsidP="00CA25CF">
            <w:pPr>
              <w:rPr>
                <w:rFonts w:cs="Arial"/>
                <w:color w:val="FF0000"/>
                <w:sz w:val="21"/>
                <w:szCs w:val="21"/>
              </w:rPr>
            </w:pPr>
          </w:p>
        </w:tc>
        <w:tc>
          <w:tcPr>
            <w:tcW w:w="217" w:type="dxa"/>
          </w:tcPr>
          <w:p w14:paraId="567458D5" w14:textId="77777777" w:rsidR="002C0FD9" w:rsidRPr="00CA25CF" w:rsidRDefault="002C0FD9" w:rsidP="00CA25CF">
            <w:pPr>
              <w:rPr>
                <w:rFonts w:cs="Arial"/>
                <w:color w:val="FF0000"/>
                <w:sz w:val="21"/>
                <w:szCs w:val="21"/>
              </w:rPr>
            </w:pPr>
          </w:p>
        </w:tc>
        <w:tc>
          <w:tcPr>
            <w:tcW w:w="217" w:type="dxa"/>
          </w:tcPr>
          <w:p w14:paraId="4880CEFA" w14:textId="77777777" w:rsidR="002C0FD9" w:rsidRPr="00CA25CF" w:rsidRDefault="002C0FD9" w:rsidP="00CA25CF">
            <w:pPr>
              <w:rPr>
                <w:rFonts w:cs="Arial"/>
                <w:color w:val="FF0000"/>
                <w:sz w:val="21"/>
                <w:szCs w:val="21"/>
              </w:rPr>
            </w:pPr>
          </w:p>
        </w:tc>
        <w:tc>
          <w:tcPr>
            <w:tcW w:w="217" w:type="dxa"/>
          </w:tcPr>
          <w:p w14:paraId="1091205E" w14:textId="77777777" w:rsidR="002C0FD9" w:rsidRPr="00CA25CF" w:rsidRDefault="002C0FD9" w:rsidP="00CA25CF">
            <w:pPr>
              <w:rPr>
                <w:rFonts w:cs="Arial"/>
                <w:color w:val="FF0000"/>
                <w:sz w:val="21"/>
                <w:szCs w:val="21"/>
              </w:rPr>
            </w:pPr>
          </w:p>
        </w:tc>
        <w:tc>
          <w:tcPr>
            <w:tcW w:w="217" w:type="dxa"/>
          </w:tcPr>
          <w:p w14:paraId="2A937DEE" w14:textId="77777777" w:rsidR="002C0FD9" w:rsidRPr="00CA25CF" w:rsidRDefault="002C0FD9" w:rsidP="00CA25CF">
            <w:pPr>
              <w:rPr>
                <w:rFonts w:cs="Arial"/>
                <w:color w:val="FF0000"/>
                <w:sz w:val="21"/>
                <w:szCs w:val="21"/>
              </w:rPr>
            </w:pPr>
          </w:p>
        </w:tc>
        <w:tc>
          <w:tcPr>
            <w:tcW w:w="217" w:type="dxa"/>
          </w:tcPr>
          <w:p w14:paraId="7752EDBF" w14:textId="77777777" w:rsidR="002C0FD9" w:rsidRPr="00CA25CF" w:rsidRDefault="002C0FD9" w:rsidP="00CA25CF">
            <w:pPr>
              <w:rPr>
                <w:rFonts w:cs="Arial"/>
                <w:color w:val="FF0000"/>
                <w:sz w:val="21"/>
                <w:szCs w:val="21"/>
              </w:rPr>
            </w:pPr>
          </w:p>
        </w:tc>
        <w:tc>
          <w:tcPr>
            <w:tcW w:w="217" w:type="dxa"/>
          </w:tcPr>
          <w:p w14:paraId="4377B3DE" w14:textId="77777777" w:rsidR="002C0FD9" w:rsidRPr="00CA25CF" w:rsidRDefault="002C0FD9" w:rsidP="00CA25CF">
            <w:pPr>
              <w:rPr>
                <w:rFonts w:cs="Arial"/>
                <w:color w:val="FF0000"/>
                <w:sz w:val="21"/>
                <w:szCs w:val="21"/>
              </w:rPr>
            </w:pPr>
          </w:p>
        </w:tc>
        <w:tc>
          <w:tcPr>
            <w:tcW w:w="217" w:type="dxa"/>
          </w:tcPr>
          <w:p w14:paraId="623C32AC" w14:textId="77777777" w:rsidR="002C0FD9" w:rsidRPr="00CA25CF" w:rsidRDefault="002C0FD9" w:rsidP="00CA25CF">
            <w:pPr>
              <w:rPr>
                <w:rFonts w:cs="Arial"/>
                <w:color w:val="FF0000"/>
                <w:sz w:val="21"/>
                <w:szCs w:val="21"/>
              </w:rPr>
            </w:pPr>
          </w:p>
        </w:tc>
        <w:tc>
          <w:tcPr>
            <w:tcW w:w="217" w:type="dxa"/>
          </w:tcPr>
          <w:p w14:paraId="3A70E752" w14:textId="77777777" w:rsidR="002C0FD9" w:rsidRPr="00CA25CF" w:rsidRDefault="002C0FD9" w:rsidP="00CA25CF">
            <w:pPr>
              <w:rPr>
                <w:rFonts w:cs="Arial"/>
                <w:color w:val="FF0000"/>
                <w:sz w:val="21"/>
                <w:szCs w:val="21"/>
              </w:rPr>
            </w:pPr>
          </w:p>
        </w:tc>
        <w:tc>
          <w:tcPr>
            <w:tcW w:w="217" w:type="dxa"/>
          </w:tcPr>
          <w:p w14:paraId="186711C7" w14:textId="77777777" w:rsidR="002C0FD9" w:rsidRPr="00CA25CF" w:rsidRDefault="002C0FD9" w:rsidP="00CA25CF">
            <w:pPr>
              <w:rPr>
                <w:rFonts w:cs="Arial"/>
                <w:color w:val="FF0000"/>
                <w:sz w:val="21"/>
                <w:szCs w:val="21"/>
              </w:rPr>
            </w:pPr>
          </w:p>
        </w:tc>
        <w:tc>
          <w:tcPr>
            <w:tcW w:w="217" w:type="dxa"/>
          </w:tcPr>
          <w:p w14:paraId="4521C2BA" w14:textId="77777777" w:rsidR="002C0FD9" w:rsidRPr="00CA25CF" w:rsidRDefault="002C0FD9" w:rsidP="00CA25CF">
            <w:pPr>
              <w:rPr>
                <w:rFonts w:cs="Arial"/>
                <w:color w:val="FF0000"/>
                <w:sz w:val="21"/>
                <w:szCs w:val="21"/>
              </w:rPr>
            </w:pPr>
          </w:p>
        </w:tc>
        <w:tc>
          <w:tcPr>
            <w:tcW w:w="217" w:type="dxa"/>
          </w:tcPr>
          <w:p w14:paraId="3B3845B1" w14:textId="77777777" w:rsidR="002C0FD9" w:rsidRPr="00CA25CF" w:rsidRDefault="002C0FD9" w:rsidP="00CA25CF">
            <w:pPr>
              <w:rPr>
                <w:rFonts w:cs="Arial"/>
                <w:color w:val="FF0000"/>
                <w:sz w:val="21"/>
                <w:szCs w:val="21"/>
              </w:rPr>
            </w:pPr>
          </w:p>
        </w:tc>
        <w:tc>
          <w:tcPr>
            <w:tcW w:w="217" w:type="dxa"/>
          </w:tcPr>
          <w:p w14:paraId="78D67542" w14:textId="77777777" w:rsidR="002C0FD9" w:rsidRPr="00CA25CF" w:rsidRDefault="002C0FD9" w:rsidP="00CA25CF">
            <w:pPr>
              <w:rPr>
                <w:rFonts w:cs="Arial"/>
                <w:color w:val="FF0000"/>
                <w:sz w:val="21"/>
                <w:szCs w:val="21"/>
              </w:rPr>
            </w:pPr>
          </w:p>
        </w:tc>
        <w:tc>
          <w:tcPr>
            <w:tcW w:w="217" w:type="dxa"/>
          </w:tcPr>
          <w:p w14:paraId="565D5CA3" w14:textId="77777777" w:rsidR="002C0FD9" w:rsidRPr="00CA25CF" w:rsidRDefault="002C0FD9" w:rsidP="00CA25CF">
            <w:pPr>
              <w:rPr>
                <w:rFonts w:cs="Arial"/>
                <w:color w:val="FF0000"/>
                <w:sz w:val="21"/>
                <w:szCs w:val="21"/>
              </w:rPr>
            </w:pPr>
          </w:p>
        </w:tc>
        <w:tc>
          <w:tcPr>
            <w:tcW w:w="217" w:type="dxa"/>
          </w:tcPr>
          <w:p w14:paraId="56B7B633" w14:textId="77777777" w:rsidR="002C0FD9" w:rsidRPr="00CA25CF" w:rsidRDefault="002C0FD9" w:rsidP="00CA25CF">
            <w:pPr>
              <w:rPr>
                <w:rFonts w:cs="Arial"/>
                <w:color w:val="FF0000"/>
                <w:sz w:val="21"/>
                <w:szCs w:val="21"/>
              </w:rPr>
            </w:pPr>
          </w:p>
        </w:tc>
        <w:tc>
          <w:tcPr>
            <w:tcW w:w="217" w:type="dxa"/>
          </w:tcPr>
          <w:p w14:paraId="60D5AC53" w14:textId="77777777" w:rsidR="002C0FD9" w:rsidRPr="00CA25CF" w:rsidRDefault="002C0FD9" w:rsidP="00CA25CF">
            <w:pPr>
              <w:rPr>
                <w:rFonts w:cs="Arial"/>
                <w:color w:val="FF0000"/>
                <w:sz w:val="21"/>
                <w:szCs w:val="21"/>
              </w:rPr>
            </w:pPr>
          </w:p>
        </w:tc>
        <w:tc>
          <w:tcPr>
            <w:tcW w:w="217" w:type="dxa"/>
          </w:tcPr>
          <w:p w14:paraId="0040D847" w14:textId="77777777" w:rsidR="002C0FD9" w:rsidRPr="00CA25CF" w:rsidRDefault="002C0FD9" w:rsidP="00CA25CF">
            <w:pPr>
              <w:rPr>
                <w:rFonts w:cs="Arial"/>
                <w:color w:val="FF0000"/>
                <w:sz w:val="21"/>
                <w:szCs w:val="21"/>
              </w:rPr>
            </w:pPr>
          </w:p>
        </w:tc>
        <w:tc>
          <w:tcPr>
            <w:tcW w:w="217" w:type="dxa"/>
          </w:tcPr>
          <w:p w14:paraId="52B5D364" w14:textId="77777777" w:rsidR="002C0FD9" w:rsidRPr="00CA25CF" w:rsidRDefault="002C0FD9" w:rsidP="00CA25CF">
            <w:pPr>
              <w:rPr>
                <w:rFonts w:cs="Arial"/>
                <w:color w:val="FF0000"/>
                <w:sz w:val="21"/>
                <w:szCs w:val="21"/>
              </w:rPr>
            </w:pPr>
          </w:p>
        </w:tc>
        <w:tc>
          <w:tcPr>
            <w:tcW w:w="217" w:type="dxa"/>
          </w:tcPr>
          <w:p w14:paraId="247B74A1" w14:textId="77777777" w:rsidR="002C0FD9" w:rsidRPr="00CA25CF" w:rsidRDefault="002C0FD9" w:rsidP="00CA25CF">
            <w:pPr>
              <w:rPr>
                <w:rFonts w:cs="Arial"/>
                <w:color w:val="FF0000"/>
                <w:sz w:val="21"/>
                <w:szCs w:val="21"/>
              </w:rPr>
            </w:pPr>
          </w:p>
        </w:tc>
        <w:tc>
          <w:tcPr>
            <w:tcW w:w="217" w:type="dxa"/>
          </w:tcPr>
          <w:p w14:paraId="2F36096C" w14:textId="77777777" w:rsidR="002C0FD9" w:rsidRPr="00CA25CF" w:rsidRDefault="002C0FD9" w:rsidP="00CA25CF">
            <w:pPr>
              <w:rPr>
                <w:rFonts w:cs="Arial"/>
                <w:color w:val="FF0000"/>
                <w:sz w:val="21"/>
                <w:szCs w:val="21"/>
              </w:rPr>
            </w:pPr>
          </w:p>
        </w:tc>
        <w:tc>
          <w:tcPr>
            <w:tcW w:w="217" w:type="dxa"/>
          </w:tcPr>
          <w:p w14:paraId="47145245" w14:textId="77777777" w:rsidR="002C0FD9" w:rsidRPr="00CA25CF" w:rsidRDefault="002C0FD9" w:rsidP="00CA25CF">
            <w:pPr>
              <w:rPr>
                <w:rFonts w:cs="Arial"/>
                <w:color w:val="FF0000"/>
                <w:sz w:val="21"/>
                <w:szCs w:val="21"/>
              </w:rPr>
            </w:pPr>
          </w:p>
        </w:tc>
        <w:tc>
          <w:tcPr>
            <w:tcW w:w="217" w:type="dxa"/>
          </w:tcPr>
          <w:p w14:paraId="71A4F954" w14:textId="77777777" w:rsidR="002C0FD9" w:rsidRPr="00CA25CF" w:rsidRDefault="002C0FD9" w:rsidP="00CA25CF">
            <w:pPr>
              <w:rPr>
                <w:rFonts w:cs="Arial"/>
                <w:color w:val="FF0000"/>
                <w:sz w:val="21"/>
                <w:szCs w:val="21"/>
              </w:rPr>
            </w:pPr>
          </w:p>
        </w:tc>
        <w:tc>
          <w:tcPr>
            <w:tcW w:w="217" w:type="dxa"/>
          </w:tcPr>
          <w:p w14:paraId="60FE0AAB" w14:textId="77777777" w:rsidR="002C0FD9" w:rsidRPr="00CA25CF" w:rsidRDefault="002C0FD9" w:rsidP="00CA25CF">
            <w:pPr>
              <w:rPr>
                <w:rFonts w:cs="Arial"/>
                <w:color w:val="FF0000"/>
                <w:sz w:val="21"/>
                <w:szCs w:val="21"/>
              </w:rPr>
            </w:pPr>
          </w:p>
        </w:tc>
        <w:tc>
          <w:tcPr>
            <w:tcW w:w="217" w:type="dxa"/>
          </w:tcPr>
          <w:p w14:paraId="0CEC2568" w14:textId="77777777" w:rsidR="002C0FD9" w:rsidRPr="00CA25CF" w:rsidRDefault="002C0FD9" w:rsidP="00CA25CF">
            <w:pPr>
              <w:rPr>
                <w:rFonts w:cs="Arial"/>
                <w:color w:val="FF0000"/>
                <w:sz w:val="21"/>
                <w:szCs w:val="21"/>
              </w:rPr>
            </w:pPr>
          </w:p>
        </w:tc>
        <w:tc>
          <w:tcPr>
            <w:tcW w:w="217" w:type="dxa"/>
          </w:tcPr>
          <w:p w14:paraId="5A63ADBE" w14:textId="77777777" w:rsidR="002C0FD9" w:rsidRPr="00CA25CF" w:rsidRDefault="002C0FD9" w:rsidP="00CA25CF">
            <w:pPr>
              <w:rPr>
                <w:rFonts w:cs="Arial"/>
                <w:color w:val="FF0000"/>
                <w:sz w:val="21"/>
                <w:szCs w:val="21"/>
              </w:rPr>
            </w:pPr>
          </w:p>
        </w:tc>
        <w:tc>
          <w:tcPr>
            <w:tcW w:w="217" w:type="dxa"/>
          </w:tcPr>
          <w:p w14:paraId="3D0D3D3F" w14:textId="77777777" w:rsidR="002C0FD9" w:rsidRPr="00CA25CF" w:rsidRDefault="002C0FD9" w:rsidP="00CA25CF">
            <w:pPr>
              <w:rPr>
                <w:rFonts w:cs="Arial"/>
                <w:color w:val="FF0000"/>
                <w:sz w:val="21"/>
                <w:szCs w:val="21"/>
              </w:rPr>
            </w:pPr>
          </w:p>
        </w:tc>
        <w:tc>
          <w:tcPr>
            <w:tcW w:w="217" w:type="dxa"/>
          </w:tcPr>
          <w:p w14:paraId="3FF370F4" w14:textId="77777777" w:rsidR="002C0FD9" w:rsidRPr="00CA25CF" w:rsidRDefault="002C0FD9" w:rsidP="00CA25CF">
            <w:pPr>
              <w:rPr>
                <w:rFonts w:cs="Arial"/>
                <w:color w:val="FF0000"/>
                <w:sz w:val="21"/>
                <w:szCs w:val="21"/>
              </w:rPr>
            </w:pPr>
          </w:p>
        </w:tc>
        <w:tc>
          <w:tcPr>
            <w:tcW w:w="217" w:type="dxa"/>
          </w:tcPr>
          <w:p w14:paraId="79411D06" w14:textId="77777777" w:rsidR="002C0FD9" w:rsidRPr="00CA25CF" w:rsidRDefault="002C0FD9" w:rsidP="00CA25CF">
            <w:pPr>
              <w:rPr>
                <w:rFonts w:cs="Arial"/>
                <w:color w:val="FF0000"/>
                <w:sz w:val="21"/>
                <w:szCs w:val="21"/>
              </w:rPr>
            </w:pPr>
          </w:p>
        </w:tc>
        <w:tc>
          <w:tcPr>
            <w:tcW w:w="217" w:type="dxa"/>
          </w:tcPr>
          <w:p w14:paraId="52036DF5" w14:textId="77777777" w:rsidR="002C0FD9" w:rsidRPr="00CA25CF" w:rsidRDefault="002C0FD9" w:rsidP="00CA25CF">
            <w:pPr>
              <w:rPr>
                <w:rFonts w:cs="Arial"/>
                <w:color w:val="FF0000"/>
                <w:sz w:val="21"/>
                <w:szCs w:val="21"/>
              </w:rPr>
            </w:pPr>
          </w:p>
        </w:tc>
        <w:tc>
          <w:tcPr>
            <w:tcW w:w="217" w:type="dxa"/>
          </w:tcPr>
          <w:p w14:paraId="689E36BA" w14:textId="77777777" w:rsidR="002C0FD9" w:rsidRPr="00CA25CF" w:rsidRDefault="002C0FD9" w:rsidP="00CA25CF">
            <w:pPr>
              <w:rPr>
                <w:rFonts w:cs="Arial"/>
                <w:color w:val="FF0000"/>
                <w:sz w:val="21"/>
                <w:szCs w:val="21"/>
              </w:rPr>
            </w:pPr>
          </w:p>
        </w:tc>
        <w:tc>
          <w:tcPr>
            <w:tcW w:w="217" w:type="dxa"/>
          </w:tcPr>
          <w:p w14:paraId="18A67EE6" w14:textId="77777777" w:rsidR="002C0FD9" w:rsidRPr="00CA25CF" w:rsidRDefault="002C0FD9" w:rsidP="00CA25CF">
            <w:pPr>
              <w:rPr>
                <w:rFonts w:cs="Arial"/>
                <w:color w:val="FF0000"/>
                <w:sz w:val="21"/>
                <w:szCs w:val="21"/>
              </w:rPr>
            </w:pPr>
          </w:p>
        </w:tc>
        <w:tc>
          <w:tcPr>
            <w:tcW w:w="217" w:type="dxa"/>
          </w:tcPr>
          <w:p w14:paraId="465F04A9" w14:textId="77777777" w:rsidR="002C0FD9" w:rsidRPr="00CA25CF" w:rsidRDefault="002C0FD9" w:rsidP="00CA25CF">
            <w:pPr>
              <w:rPr>
                <w:rFonts w:cs="Arial"/>
                <w:color w:val="FF0000"/>
                <w:sz w:val="21"/>
                <w:szCs w:val="21"/>
              </w:rPr>
            </w:pPr>
          </w:p>
        </w:tc>
        <w:tc>
          <w:tcPr>
            <w:tcW w:w="217" w:type="dxa"/>
          </w:tcPr>
          <w:p w14:paraId="4642AFB2" w14:textId="77777777" w:rsidR="002C0FD9" w:rsidRPr="00CA25CF" w:rsidRDefault="002C0FD9" w:rsidP="00CA25CF">
            <w:pPr>
              <w:rPr>
                <w:rFonts w:cs="Arial"/>
                <w:color w:val="FF0000"/>
                <w:sz w:val="21"/>
                <w:szCs w:val="21"/>
              </w:rPr>
            </w:pPr>
          </w:p>
        </w:tc>
        <w:tc>
          <w:tcPr>
            <w:tcW w:w="217" w:type="dxa"/>
          </w:tcPr>
          <w:p w14:paraId="075B1383" w14:textId="77777777" w:rsidR="002C0FD9" w:rsidRPr="00CA25CF" w:rsidRDefault="002C0FD9" w:rsidP="00CA25CF">
            <w:pPr>
              <w:rPr>
                <w:rFonts w:cs="Arial"/>
                <w:color w:val="FF0000"/>
                <w:sz w:val="21"/>
                <w:szCs w:val="21"/>
              </w:rPr>
            </w:pPr>
          </w:p>
        </w:tc>
        <w:tc>
          <w:tcPr>
            <w:tcW w:w="217" w:type="dxa"/>
          </w:tcPr>
          <w:p w14:paraId="4C0845E1" w14:textId="77777777" w:rsidR="002C0FD9" w:rsidRPr="00CA25CF" w:rsidRDefault="002C0FD9" w:rsidP="00CA25CF">
            <w:pPr>
              <w:rPr>
                <w:rFonts w:cs="Arial"/>
                <w:color w:val="FF0000"/>
                <w:sz w:val="21"/>
                <w:szCs w:val="21"/>
              </w:rPr>
            </w:pPr>
          </w:p>
        </w:tc>
        <w:tc>
          <w:tcPr>
            <w:tcW w:w="217" w:type="dxa"/>
          </w:tcPr>
          <w:p w14:paraId="746DB8E7" w14:textId="77777777" w:rsidR="002C0FD9" w:rsidRPr="00CA25CF" w:rsidRDefault="002C0FD9" w:rsidP="00CA25CF">
            <w:pPr>
              <w:rPr>
                <w:rFonts w:cs="Arial"/>
                <w:color w:val="FF0000"/>
                <w:sz w:val="21"/>
                <w:szCs w:val="21"/>
              </w:rPr>
            </w:pPr>
          </w:p>
        </w:tc>
        <w:tc>
          <w:tcPr>
            <w:tcW w:w="217" w:type="dxa"/>
          </w:tcPr>
          <w:p w14:paraId="305B72E6" w14:textId="77777777" w:rsidR="002C0FD9" w:rsidRPr="00CA25CF" w:rsidRDefault="002C0FD9" w:rsidP="00CA25CF">
            <w:pPr>
              <w:rPr>
                <w:rFonts w:cs="Arial"/>
                <w:color w:val="FF0000"/>
                <w:sz w:val="21"/>
                <w:szCs w:val="21"/>
              </w:rPr>
            </w:pPr>
          </w:p>
        </w:tc>
        <w:tc>
          <w:tcPr>
            <w:tcW w:w="217" w:type="dxa"/>
          </w:tcPr>
          <w:p w14:paraId="3F53BA7F" w14:textId="77777777" w:rsidR="002C0FD9" w:rsidRPr="00CA25CF" w:rsidRDefault="002C0FD9" w:rsidP="00CA25CF">
            <w:pPr>
              <w:rPr>
                <w:rFonts w:cs="Arial"/>
                <w:color w:val="FF0000"/>
                <w:sz w:val="21"/>
                <w:szCs w:val="21"/>
              </w:rPr>
            </w:pPr>
          </w:p>
        </w:tc>
        <w:tc>
          <w:tcPr>
            <w:tcW w:w="217" w:type="dxa"/>
          </w:tcPr>
          <w:p w14:paraId="0A2664EB" w14:textId="77777777" w:rsidR="002C0FD9" w:rsidRPr="00CA25CF" w:rsidRDefault="002C0FD9" w:rsidP="00CA25CF">
            <w:pPr>
              <w:rPr>
                <w:rFonts w:cs="Arial"/>
                <w:color w:val="FF0000"/>
                <w:sz w:val="21"/>
                <w:szCs w:val="21"/>
              </w:rPr>
            </w:pPr>
          </w:p>
        </w:tc>
      </w:tr>
      <w:tr w:rsidR="002C0FD9" w:rsidRPr="00A16219" w14:paraId="6787C5B5" w14:textId="77777777" w:rsidTr="002C0FD9">
        <w:trPr>
          <w:trHeight w:val="635"/>
        </w:trPr>
        <w:tc>
          <w:tcPr>
            <w:tcW w:w="515" w:type="dxa"/>
          </w:tcPr>
          <w:p w14:paraId="05E20A25" w14:textId="77777777" w:rsidR="002C0FD9" w:rsidRPr="00CA25CF" w:rsidRDefault="002C0FD9" w:rsidP="00CA25CF">
            <w:pPr>
              <w:rPr>
                <w:rFonts w:cs="Arial"/>
                <w:color w:val="FF0000"/>
                <w:sz w:val="21"/>
                <w:szCs w:val="21"/>
              </w:rPr>
            </w:pPr>
          </w:p>
        </w:tc>
        <w:tc>
          <w:tcPr>
            <w:tcW w:w="217" w:type="dxa"/>
          </w:tcPr>
          <w:p w14:paraId="4BABD6BA" w14:textId="77777777" w:rsidR="002C0FD9" w:rsidRPr="00CA25CF" w:rsidRDefault="002C0FD9" w:rsidP="00CA25CF">
            <w:pPr>
              <w:rPr>
                <w:rFonts w:cs="Arial"/>
                <w:color w:val="FF0000"/>
                <w:sz w:val="21"/>
                <w:szCs w:val="21"/>
              </w:rPr>
            </w:pPr>
          </w:p>
        </w:tc>
        <w:tc>
          <w:tcPr>
            <w:tcW w:w="217" w:type="dxa"/>
          </w:tcPr>
          <w:p w14:paraId="1A597AA2" w14:textId="77777777" w:rsidR="002C0FD9" w:rsidRPr="00CA25CF" w:rsidRDefault="002C0FD9" w:rsidP="00CA25CF">
            <w:pPr>
              <w:rPr>
                <w:rFonts w:cs="Arial"/>
                <w:color w:val="FF0000"/>
                <w:sz w:val="21"/>
                <w:szCs w:val="21"/>
              </w:rPr>
            </w:pPr>
          </w:p>
        </w:tc>
        <w:tc>
          <w:tcPr>
            <w:tcW w:w="217" w:type="dxa"/>
          </w:tcPr>
          <w:p w14:paraId="75C26341" w14:textId="77777777" w:rsidR="002C0FD9" w:rsidRPr="00CA25CF" w:rsidRDefault="002C0FD9" w:rsidP="00CA25CF">
            <w:pPr>
              <w:rPr>
                <w:rFonts w:cs="Arial"/>
                <w:color w:val="FF0000"/>
                <w:sz w:val="21"/>
                <w:szCs w:val="21"/>
              </w:rPr>
            </w:pPr>
          </w:p>
        </w:tc>
        <w:tc>
          <w:tcPr>
            <w:tcW w:w="217" w:type="dxa"/>
          </w:tcPr>
          <w:p w14:paraId="3D669C9D" w14:textId="77777777" w:rsidR="002C0FD9" w:rsidRPr="00CA25CF" w:rsidRDefault="002C0FD9" w:rsidP="00CA25CF">
            <w:pPr>
              <w:rPr>
                <w:rFonts w:cs="Arial"/>
                <w:color w:val="FF0000"/>
                <w:sz w:val="21"/>
                <w:szCs w:val="21"/>
              </w:rPr>
            </w:pPr>
          </w:p>
        </w:tc>
        <w:tc>
          <w:tcPr>
            <w:tcW w:w="217" w:type="dxa"/>
          </w:tcPr>
          <w:p w14:paraId="2493115F" w14:textId="77777777" w:rsidR="002C0FD9" w:rsidRPr="00CA25CF" w:rsidRDefault="002C0FD9" w:rsidP="00CA25CF">
            <w:pPr>
              <w:rPr>
                <w:rFonts w:cs="Arial"/>
                <w:color w:val="FF0000"/>
                <w:sz w:val="21"/>
                <w:szCs w:val="21"/>
              </w:rPr>
            </w:pPr>
          </w:p>
        </w:tc>
        <w:tc>
          <w:tcPr>
            <w:tcW w:w="217" w:type="dxa"/>
          </w:tcPr>
          <w:p w14:paraId="390E374A" w14:textId="77777777" w:rsidR="002C0FD9" w:rsidRPr="00CA25CF" w:rsidRDefault="002C0FD9" w:rsidP="00CA25CF">
            <w:pPr>
              <w:rPr>
                <w:rFonts w:cs="Arial"/>
                <w:color w:val="FF0000"/>
                <w:sz w:val="21"/>
                <w:szCs w:val="21"/>
              </w:rPr>
            </w:pPr>
          </w:p>
        </w:tc>
        <w:tc>
          <w:tcPr>
            <w:tcW w:w="217" w:type="dxa"/>
          </w:tcPr>
          <w:p w14:paraId="716BDA30" w14:textId="77777777" w:rsidR="002C0FD9" w:rsidRPr="00CA25CF" w:rsidRDefault="002C0FD9" w:rsidP="00CA25CF">
            <w:pPr>
              <w:rPr>
                <w:rFonts w:cs="Arial"/>
                <w:color w:val="FF0000"/>
                <w:sz w:val="21"/>
                <w:szCs w:val="21"/>
              </w:rPr>
            </w:pPr>
          </w:p>
        </w:tc>
        <w:tc>
          <w:tcPr>
            <w:tcW w:w="217" w:type="dxa"/>
          </w:tcPr>
          <w:p w14:paraId="519E4824" w14:textId="77777777" w:rsidR="002C0FD9" w:rsidRPr="00CA25CF" w:rsidRDefault="002C0FD9" w:rsidP="00CA25CF">
            <w:pPr>
              <w:rPr>
                <w:rFonts w:cs="Arial"/>
                <w:color w:val="FF0000"/>
                <w:sz w:val="21"/>
                <w:szCs w:val="21"/>
              </w:rPr>
            </w:pPr>
          </w:p>
        </w:tc>
        <w:tc>
          <w:tcPr>
            <w:tcW w:w="217" w:type="dxa"/>
          </w:tcPr>
          <w:p w14:paraId="40426BB6" w14:textId="77777777" w:rsidR="002C0FD9" w:rsidRPr="00CA25CF" w:rsidRDefault="002C0FD9" w:rsidP="00CA25CF">
            <w:pPr>
              <w:rPr>
                <w:rFonts w:cs="Arial"/>
                <w:color w:val="FF0000"/>
                <w:sz w:val="21"/>
                <w:szCs w:val="21"/>
              </w:rPr>
            </w:pPr>
          </w:p>
        </w:tc>
        <w:tc>
          <w:tcPr>
            <w:tcW w:w="217" w:type="dxa"/>
          </w:tcPr>
          <w:p w14:paraId="4F2B0EC4" w14:textId="77777777" w:rsidR="002C0FD9" w:rsidRPr="00CA25CF" w:rsidRDefault="002C0FD9" w:rsidP="00CA25CF">
            <w:pPr>
              <w:rPr>
                <w:rFonts w:cs="Arial"/>
                <w:color w:val="FF0000"/>
                <w:sz w:val="21"/>
                <w:szCs w:val="21"/>
              </w:rPr>
            </w:pPr>
          </w:p>
        </w:tc>
        <w:tc>
          <w:tcPr>
            <w:tcW w:w="217" w:type="dxa"/>
          </w:tcPr>
          <w:p w14:paraId="41E25363" w14:textId="77777777" w:rsidR="002C0FD9" w:rsidRPr="00CA25CF" w:rsidRDefault="002C0FD9" w:rsidP="00CA25CF">
            <w:pPr>
              <w:rPr>
                <w:rFonts w:cs="Arial"/>
                <w:color w:val="FF0000"/>
                <w:sz w:val="21"/>
                <w:szCs w:val="21"/>
              </w:rPr>
            </w:pPr>
          </w:p>
        </w:tc>
        <w:tc>
          <w:tcPr>
            <w:tcW w:w="217" w:type="dxa"/>
          </w:tcPr>
          <w:p w14:paraId="22A5E32B" w14:textId="77777777" w:rsidR="002C0FD9" w:rsidRPr="00CA25CF" w:rsidRDefault="002C0FD9" w:rsidP="00CA25CF">
            <w:pPr>
              <w:rPr>
                <w:rFonts w:cs="Arial"/>
                <w:color w:val="FF0000"/>
                <w:sz w:val="21"/>
                <w:szCs w:val="21"/>
              </w:rPr>
            </w:pPr>
          </w:p>
        </w:tc>
        <w:tc>
          <w:tcPr>
            <w:tcW w:w="217" w:type="dxa"/>
          </w:tcPr>
          <w:p w14:paraId="5108B92B" w14:textId="77777777" w:rsidR="002C0FD9" w:rsidRPr="00CA25CF" w:rsidRDefault="002C0FD9" w:rsidP="00CA25CF">
            <w:pPr>
              <w:rPr>
                <w:rFonts w:cs="Arial"/>
                <w:color w:val="FF0000"/>
                <w:sz w:val="21"/>
                <w:szCs w:val="21"/>
              </w:rPr>
            </w:pPr>
          </w:p>
        </w:tc>
        <w:tc>
          <w:tcPr>
            <w:tcW w:w="217" w:type="dxa"/>
          </w:tcPr>
          <w:p w14:paraId="56B48A93" w14:textId="77777777" w:rsidR="002C0FD9" w:rsidRPr="00CA25CF" w:rsidRDefault="002C0FD9" w:rsidP="00CA25CF">
            <w:pPr>
              <w:rPr>
                <w:rFonts w:cs="Arial"/>
                <w:color w:val="FF0000"/>
                <w:sz w:val="21"/>
                <w:szCs w:val="21"/>
              </w:rPr>
            </w:pPr>
          </w:p>
        </w:tc>
        <w:tc>
          <w:tcPr>
            <w:tcW w:w="217" w:type="dxa"/>
          </w:tcPr>
          <w:p w14:paraId="67350F14" w14:textId="77777777" w:rsidR="002C0FD9" w:rsidRPr="00CA25CF" w:rsidRDefault="002C0FD9" w:rsidP="00CA25CF">
            <w:pPr>
              <w:rPr>
                <w:rFonts w:cs="Arial"/>
                <w:color w:val="FF0000"/>
                <w:sz w:val="21"/>
                <w:szCs w:val="21"/>
              </w:rPr>
            </w:pPr>
          </w:p>
        </w:tc>
        <w:tc>
          <w:tcPr>
            <w:tcW w:w="217" w:type="dxa"/>
          </w:tcPr>
          <w:p w14:paraId="79905EC2" w14:textId="77777777" w:rsidR="002C0FD9" w:rsidRPr="00CA25CF" w:rsidRDefault="002C0FD9" w:rsidP="00CA25CF">
            <w:pPr>
              <w:rPr>
                <w:rFonts w:cs="Arial"/>
                <w:color w:val="FF0000"/>
                <w:sz w:val="21"/>
                <w:szCs w:val="21"/>
              </w:rPr>
            </w:pPr>
          </w:p>
        </w:tc>
        <w:tc>
          <w:tcPr>
            <w:tcW w:w="217" w:type="dxa"/>
          </w:tcPr>
          <w:p w14:paraId="32903948" w14:textId="77777777" w:rsidR="002C0FD9" w:rsidRPr="00CA25CF" w:rsidRDefault="002C0FD9" w:rsidP="00CA25CF">
            <w:pPr>
              <w:rPr>
                <w:rFonts w:cs="Arial"/>
                <w:color w:val="FF0000"/>
                <w:sz w:val="21"/>
                <w:szCs w:val="21"/>
              </w:rPr>
            </w:pPr>
          </w:p>
        </w:tc>
        <w:tc>
          <w:tcPr>
            <w:tcW w:w="217" w:type="dxa"/>
          </w:tcPr>
          <w:p w14:paraId="61F23BEC" w14:textId="77777777" w:rsidR="002C0FD9" w:rsidRPr="00CA25CF" w:rsidRDefault="002C0FD9" w:rsidP="00CA25CF">
            <w:pPr>
              <w:rPr>
                <w:rFonts w:cs="Arial"/>
                <w:color w:val="FF0000"/>
                <w:sz w:val="21"/>
                <w:szCs w:val="21"/>
              </w:rPr>
            </w:pPr>
          </w:p>
        </w:tc>
        <w:tc>
          <w:tcPr>
            <w:tcW w:w="217" w:type="dxa"/>
          </w:tcPr>
          <w:p w14:paraId="24F1B27D" w14:textId="77777777" w:rsidR="002C0FD9" w:rsidRPr="00CA25CF" w:rsidRDefault="002C0FD9" w:rsidP="00CA25CF">
            <w:pPr>
              <w:rPr>
                <w:rFonts w:cs="Arial"/>
                <w:color w:val="FF0000"/>
                <w:sz w:val="21"/>
                <w:szCs w:val="21"/>
              </w:rPr>
            </w:pPr>
          </w:p>
        </w:tc>
        <w:tc>
          <w:tcPr>
            <w:tcW w:w="217" w:type="dxa"/>
          </w:tcPr>
          <w:p w14:paraId="67593282" w14:textId="77777777" w:rsidR="002C0FD9" w:rsidRPr="00CA25CF" w:rsidRDefault="002C0FD9" w:rsidP="00CA25CF">
            <w:pPr>
              <w:rPr>
                <w:rFonts w:cs="Arial"/>
                <w:color w:val="FF0000"/>
                <w:sz w:val="21"/>
                <w:szCs w:val="21"/>
              </w:rPr>
            </w:pPr>
          </w:p>
        </w:tc>
        <w:tc>
          <w:tcPr>
            <w:tcW w:w="217" w:type="dxa"/>
          </w:tcPr>
          <w:p w14:paraId="63F3A1E8" w14:textId="77777777" w:rsidR="002C0FD9" w:rsidRPr="00CA25CF" w:rsidRDefault="002C0FD9" w:rsidP="00CA25CF">
            <w:pPr>
              <w:rPr>
                <w:rFonts w:cs="Arial"/>
                <w:color w:val="FF0000"/>
                <w:sz w:val="21"/>
                <w:szCs w:val="21"/>
              </w:rPr>
            </w:pPr>
          </w:p>
        </w:tc>
        <w:tc>
          <w:tcPr>
            <w:tcW w:w="217" w:type="dxa"/>
          </w:tcPr>
          <w:p w14:paraId="149724B7" w14:textId="77777777" w:rsidR="002C0FD9" w:rsidRPr="00CA25CF" w:rsidRDefault="002C0FD9" w:rsidP="00CA25CF">
            <w:pPr>
              <w:rPr>
                <w:rFonts w:cs="Arial"/>
                <w:color w:val="FF0000"/>
                <w:sz w:val="21"/>
                <w:szCs w:val="21"/>
              </w:rPr>
            </w:pPr>
          </w:p>
        </w:tc>
        <w:tc>
          <w:tcPr>
            <w:tcW w:w="217" w:type="dxa"/>
          </w:tcPr>
          <w:p w14:paraId="05683562" w14:textId="77777777" w:rsidR="002C0FD9" w:rsidRPr="00CA25CF" w:rsidRDefault="002C0FD9" w:rsidP="00CA25CF">
            <w:pPr>
              <w:rPr>
                <w:rFonts w:cs="Arial"/>
                <w:color w:val="FF0000"/>
                <w:sz w:val="21"/>
                <w:szCs w:val="21"/>
              </w:rPr>
            </w:pPr>
          </w:p>
        </w:tc>
        <w:tc>
          <w:tcPr>
            <w:tcW w:w="217" w:type="dxa"/>
          </w:tcPr>
          <w:p w14:paraId="09D4AD39" w14:textId="77777777" w:rsidR="002C0FD9" w:rsidRPr="00CA25CF" w:rsidRDefault="002C0FD9" w:rsidP="00CA25CF">
            <w:pPr>
              <w:rPr>
                <w:rFonts w:cs="Arial"/>
                <w:color w:val="FF0000"/>
                <w:sz w:val="21"/>
                <w:szCs w:val="21"/>
              </w:rPr>
            </w:pPr>
          </w:p>
        </w:tc>
        <w:tc>
          <w:tcPr>
            <w:tcW w:w="217" w:type="dxa"/>
          </w:tcPr>
          <w:p w14:paraId="3F061529" w14:textId="77777777" w:rsidR="002C0FD9" w:rsidRPr="00CA25CF" w:rsidRDefault="002C0FD9" w:rsidP="00CA25CF">
            <w:pPr>
              <w:rPr>
                <w:rFonts w:cs="Arial"/>
                <w:color w:val="FF0000"/>
                <w:sz w:val="21"/>
                <w:szCs w:val="21"/>
              </w:rPr>
            </w:pPr>
          </w:p>
        </w:tc>
        <w:tc>
          <w:tcPr>
            <w:tcW w:w="217" w:type="dxa"/>
          </w:tcPr>
          <w:p w14:paraId="67669B3C" w14:textId="77777777" w:rsidR="002C0FD9" w:rsidRPr="00CA25CF" w:rsidRDefault="002C0FD9" w:rsidP="00CA25CF">
            <w:pPr>
              <w:rPr>
                <w:rFonts w:cs="Arial"/>
                <w:color w:val="FF0000"/>
                <w:sz w:val="21"/>
                <w:szCs w:val="21"/>
              </w:rPr>
            </w:pPr>
          </w:p>
        </w:tc>
        <w:tc>
          <w:tcPr>
            <w:tcW w:w="217" w:type="dxa"/>
          </w:tcPr>
          <w:p w14:paraId="665E48BA" w14:textId="77777777" w:rsidR="002C0FD9" w:rsidRPr="00CA25CF" w:rsidRDefault="002C0FD9" w:rsidP="00CA25CF">
            <w:pPr>
              <w:rPr>
                <w:rFonts w:cs="Arial"/>
                <w:color w:val="FF0000"/>
                <w:sz w:val="21"/>
                <w:szCs w:val="21"/>
              </w:rPr>
            </w:pPr>
          </w:p>
        </w:tc>
        <w:tc>
          <w:tcPr>
            <w:tcW w:w="217" w:type="dxa"/>
          </w:tcPr>
          <w:p w14:paraId="4A18F20B" w14:textId="77777777" w:rsidR="002C0FD9" w:rsidRPr="00CA25CF" w:rsidRDefault="002C0FD9" w:rsidP="00CA25CF">
            <w:pPr>
              <w:rPr>
                <w:rFonts w:cs="Arial"/>
                <w:color w:val="FF0000"/>
                <w:sz w:val="21"/>
                <w:szCs w:val="21"/>
              </w:rPr>
            </w:pPr>
          </w:p>
        </w:tc>
        <w:tc>
          <w:tcPr>
            <w:tcW w:w="217" w:type="dxa"/>
          </w:tcPr>
          <w:p w14:paraId="3A0A6E1B" w14:textId="77777777" w:rsidR="002C0FD9" w:rsidRPr="00CA25CF" w:rsidRDefault="002C0FD9" w:rsidP="00CA25CF">
            <w:pPr>
              <w:rPr>
                <w:rFonts w:cs="Arial"/>
                <w:color w:val="FF0000"/>
                <w:sz w:val="21"/>
                <w:szCs w:val="21"/>
              </w:rPr>
            </w:pPr>
          </w:p>
        </w:tc>
        <w:tc>
          <w:tcPr>
            <w:tcW w:w="217" w:type="dxa"/>
          </w:tcPr>
          <w:p w14:paraId="3D2EE10B" w14:textId="77777777" w:rsidR="002C0FD9" w:rsidRPr="00CA25CF" w:rsidRDefault="002C0FD9" w:rsidP="00CA25CF">
            <w:pPr>
              <w:rPr>
                <w:rFonts w:cs="Arial"/>
                <w:color w:val="FF0000"/>
                <w:sz w:val="21"/>
                <w:szCs w:val="21"/>
              </w:rPr>
            </w:pPr>
          </w:p>
        </w:tc>
        <w:tc>
          <w:tcPr>
            <w:tcW w:w="217" w:type="dxa"/>
          </w:tcPr>
          <w:p w14:paraId="4A7C37AA" w14:textId="77777777" w:rsidR="002C0FD9" w:rsidRPr="00CA25CF" w:rsidRDefault="002C0FD9" w:rsidP="00CA25CF">
            <w:pPr>
              <w:rPr>
                <w:rFonts w:cs="Arial"/>
                <w:color w:val="FF0000"/>
                <w:sz w:val="21"/>
                <w:szCs w:val="21"/>
              </w:rPr>
            </w:pPr>
          </w:p>
        </w:tc>
        <w:tc>
          <w:tcPr>
            <w:tcW w:w="217" w:type="dxa"/>
          </w:tcPr>
          <w:p w14:paraId="1A705857" w14:textId="77777777" w:rsidR="002C0FD9" w:rsidRPr="00CA25CF" w:rsidRDefault="002C0FD9" w:rsidP="00CA25CF">
            <w:pPr>
              <w:rPr>
                <w:rFonts w:cs="Arial"/>
                <w:color w:val="FF0000"/>
                <w:sz w:val="21"/>
                <w:szCs w:val="21"/>
              </w:rPr>
            </w:pPr>
          </w:p>
        </w:tc>
        <w:tc>
          <w:tcPr>
            <w:tcW w:w="217" w:type="dxa"/>
          </w:tcPr>
          <w:p w14:paraId="62F9C471" w14:textId="77777777" w:rsidR="002C0FD9" w:rsidRPr="00CA25CF" w:rsidRDefault="002C0FD9" w:rsidP="00CA25CF">
            <w:pPr>
              <w:rPr>
                <w:rFonts w:cs="Arial"/>
                <w:color w:val="FF0000"/>
                <w:sz w:val="21"/>
                <w:szCs w:val="21"/>
              </w:rPr>
            </w:pPr>
          </w:p>
        </w:tc>
        <w:tc>
          <w:tcPr>
            <w:tcW w:w="217" w:type="dxa"/>
          </w:tcPr>
          <w:p w14:paraId="22F1FDCB" w14:textId="77777777" w:rsidR="002C0FD9" w:rsidRPr="00CA25CF" w:rsidRDefault="002C0FD9" w:rsidP="00CA25CF">
            <w:pPr>
              <w:rPr>
                <w:rFonts w:cs="Arial"/>
                <w:color w:val="FF0000"/>
                <w:sz w:val="21"/>
                <w:szCs w:val="21"/>
              </w:rPr>
            </w:pPr>
          </w:p>
        </w:tc>
        <w:tc>
          <w:tcPr>
            <w:tcW w:w="217" w:type="dxa"/>
          </w:tcPr>
          <w:p w14:paraId="38A206F3" w14:textId="77777777" w:rsidR="002C0FD9" w:rsidRPr="00CA25CF" w:rsidRDefault="002C0FD9" w:rsidP="00CA25CF">
            <w:pPr>
              <w:rPr>
                <w:rFonts w:cs="Arial"/>
                <w:color w:val="FF0000"/>
                <w:sz w:val="21"/>
                <w:szCs w:val="21"/>
              </w:rPr>
            </w:pPr>
          </w:p>
        </w:tc>
        <w:tc>
          <w:tcPr>
            <w:tcW w:w="217" w:type="dxa"/>
          </w:tcPr>
          <w:p w14:paraId="3AF16694" w14:textId="77777777" w:rsidR="002C0FD9" w:rsidRPr="00CA25CF" w:rsidRDefault="002C0FD9" w:rsidP="00CA25CF">
            <w:pPr>
              <w:rPr>
                <w:rFonts w:cs="Arial"/>
                <w:color w:val="FF0000"/>
                <w:sz w:val="21"/>
                <w:szCs w:val="21"/>
              </w:rPr>
            </w:pPr>
          </w:p>
        </w:tc>
        <w:tc>
          <w:tcPr>
            <w:tcW w:w="217" w:type="dxa"/>
          </w:tcPr>
          <w:p w14:paraId="59F90E7C" w14:textId="77777777" w:rsidR="002C0FD9" w:rsidRPr="00CA25CF" w:rsidRDefault="002C0FD9" w:rsidP="00CA25CF">
            <w:pPr>
              <w:rPr>
                <w:rFonts w:cs="Arial"/>
                <w:color w:val="FF0000"/>
                <w:sz w:val="21"/>
                <w:szCs w:val="21"/>
              </w:rPr>
            </w:pPr>
          </w:p>
        </w:tc>
        <w:tc>
          <w:tcPr>
            <w:tcW w:w="217" w:type="dxa"/>
          </w:tcPr>
          <w:p w14:paraId="42AD9944" w14:textId="77777777" w:rsidR="002C0FD9" w:rsidRPr="00CA25CF" w:rsidRDefault="002C0FD9" w:rsidP="00CA25CF">
            <w:pPr>
              <w:rPr>
                <w:rFonts w:cs="Arial"/>
                <w:color w:val="FF0000"/>
                <w:sz w:val="21"/>
                <w:szCs w:val="21"/>
              </w:rPr>
            </w:pPr>
          </w:p>
        </w:tc>
        <w:tc>
          <w:tcPr>
            <w:tcW w:w="217" w:type="dxa"/>
          </w:tcPr>
          <w:p w14:paraId="18DDA6F6" w14:textId="77777777" w:rsidR="002C0FD9" w:rsidRPr="00CA25CF" w:rsidRDefault="002C0FD9" w:rsidP="00CA25CF">
            <w:pPr>
              <w:rPr>
                <w:rFonts w:cs="Arial"/>
                <w:color w:val="FF0000"/>
                <w:sz w:val="21"/>
                <w:szCs w:val="21"/>
              </w:rPr>
            </w:pPr>
          </w:p>
        </w:tc>
        <w:tc>
          <w:tcPr>
            <w:tcW w:w="217" w:type="dxa"/>
          </w:tcPr>
          <w:p w14:paraId="0A5AFC5E" w14:textId="77777777" w:rsidR="002C0FD9" w:rsidRPr="00CA25CF" w:rsidRDefault="002C0FD9" w:rsidP="00CA25CF">
            <w:pPr>
              <w:rPr>
                <w:rFonts w:cs="Arial"/>
                <w:color w:val="FF0000"/>
                <w:sz w:val="21"/>
                <w:szCs w:val="21"/>
              </w:rPr>
            </w:pPr>
          </w:p>
        </w:tc>
        <w:tc>
          <w:tcPr>
            <w:tcW w:w="217" w:type="dxa"/>
          </w:tcPr>
          <w:p w14:paraId="5F90632F" w14:textId="77777777" w:rsidR="002C0FD9" w:rsidRPr="00CA25CF" w:rsidRDefault="002C0FD9" w:rsidP="00CA25CF">
            <w:pPr>
              <w:rPr>
                <w:rFonts w:cs="Arial"/>
                <w:color w:val="FF0000"/>
                <w:sz w:val="21"/>
                <w:szCs w:val="21"/>
              </w:rPr>
            </w:pPr>
          </w:p>
        </w:tc>
        <w:tc>
          <w:tcPr>
            <w:tcW w:w="217" w:type="dxa"/>
          </w:tcPr>
          <w:p w14:paraId="4139F564" w14:textId="77777777" w:rsidR="002C0FD9" w:rsidRPr="00CA25CF" w:rsidRDefault="002C0FD9" w:rsidP="00CA25CF">
            <w:pPr>
              <w:rPr>
                <w:rFonts w:cs="Arial"/>
                <w:color w:val="FF0000"/>
                <w:sz w:val="21"/>
                <w:szCs w:val="21"/>
              </w:rPr>
            </w:pPr>
          </w:p>
        </w:tc>
      </w:tr>
      <w:tr w:rsidR="002C0FD9" w:rsidRPr="00A16219" w14:paraId="2CB6A54F" w14:textId="77777777" w:rsidTr="002C0FD9">
        <w:trPr>
          <w:trHeight w:val="635"/>
        </w:trPr>
        <w:tc>
          <w:tcPr>
            <w:tcW w:w="515" w:type="dxa"/>
          </w:tcPr>
          <w:p w14:paraId="5EB89C6D" w14:textId="77777777" w:rsidR="002C0FD9" w:rsidRPr="00CA25CF" w:rsidRDefault="002C0FD9" w:rsidP="00CA25CF">
            <w:pPr>
              <w:rPr>
                <w:rFonts w:cs="Arial"/>
                <w:color w:val="FF0000"/>
                <w:sz w:val="21"/>
                <w:szCs w:val="21"/>
              </w:rPr>
            </w:pPr>
          </w:p>
        </w:tc>
        <w:tc>
          <w:tcPr>
            <w:tcW w:w="217" w:type="dxa"/>
          </w:tcPr>
          <w:p w14:paraId="6B55DC1C" w14:textId="77777777" w:rsidR="002C0FD9" w:rsidRPr="00CA25CF" w:rsidRDefault="002C0FD9" w:rsidP="00CA25CF">
            <w:pPr>
              <w:rPr>
                <w:rFonts w:cs="Arial"/>
                <w:color w:val="FF0000"/>
                <w:sz w:val="21"/>
                <w:szCs w:val="21"/>
              </w:rPr>
            </w:pPr>
          </w:p>
        </w:tc>
        <w:tc>
          <w:tcPr>
            <w:tcW w:w="217" w:type="dxa"/>
          </w:tcPr>
          <w:p w14:paraId="57EA0832" w14:textId="77777777" w:rsidR="002C0FD9" w:rsidRPr="00CA25CF" w:rsidRDefault="002C0FD9" w:rsidP="00CA25CF">
            <w:pPr>
              <w:rPr>
                <w:rFonts w:cs="Arial"/>
                <w:color w:val="FF0000"/>
                <w:sz w:val="21"/>
                <w:szCs w:val="21"/>
              </w:rPr>
            </w:pPr>
          </w:p>
        </w:tc>
        <w:tc>
          <w:tcPr>
            <w:tcW w:w="217" w:type="dxa"/>
          </w:tcPr>
          <w:p w14:paraId="484940E7" w14:textId="77777777" w:rsidR="002C0FD9" w:rsidRPr="00CA25CF" w:rsidRDefault="002C0FD9" w:rsidP="00CA25CF">
            <w:pPr>
              <w:rPr>
                <w:rFonts w:cs="Arial"/>
                <w:color w:val="FF0000"/>
                <w:sz w:val="21"/>
                <w:szCs w:val="21"/>
              </w:rPr>
            </w:pPr>
          </w:p>
        </w:tc>
        <w:tc>
          <w:tcPr>
            <w:tcW w:w="217" w:type="dxa"/>
          </w:tcPr>
          <w:p w14:paraId="3D4BB67C" w14:textId="77777777" w:rsidR="002C0FD9" w:rsidRPr="00CA25CF" w:rsidRDefault="002C0FD9" w:rsidP="00CA25CF">
            <w:pPr>
              <w:rPr>
                <w:rFonts w:cs="Arial"/>
                <w:color w:val="FF0000"/>
                <w:sz w:val="21"/>
                <w:szCs w:val="21"/>
              </w:rPr>
            </w:pPr>
          </w:p>
        </w:tc>
        <w:tc>
          <w:tcPr>
            <w:tcW w:w="217" w:type="dxa"/>
          </w:tcPr>
          <w:p w14:paraId="1CA48159" w14:textId="77777777" w:rsidR="002C0FD9" w:rsidRPr="00CA25CF" w:rsidRDefault="002C0FD9" w:rsidP="00CA25CF">
            <w:pPr>
              <w:rPr>
                <w:rFonts w:cs="Arial"/>
                <w:color w:val="FF0000"/>
                <w:sz w:val="21"/>
                <w:szCs w:val="21"/>
              </w:rPr>
            </w:pPr>
          </w:p>
        </w:tc>
        <w:tc>
          <w:tcPr>
            <w:tcW w:w="217" w:type="dxa"/>
          </w:tcPr>
          <w:p w14:paraId="6E03060D" w14:textId="77777777" w:rsidR="002C0FD9" w:rsidRPr="00CA25CF" w:rsidRDefault="002C0FD9" w:rsidP="00CA25CF">
            <w:pPr>
              <w:rPr>
                <w:rFonts w:cs="Arial"/>
                <w:color w:val="FF0000"/>
                <w:sz w:val="21"/>
                <w:szCs w:val="21"/>
              </w:rPr>
            </w:pPr>
          </w:p>
        </w:tc>
        <w:tc>
          <w:tcPr>
            <w:tcW w:w="217" w:type="dxa"/>
          </w:tcPr>
          <w:p w14:paraId="050C0EF2" w14:textId="77777777" w:rsidR="002C0FD9" w:rsidRPr="00CA25CF" w:rsidRDefault="002C0FD9" w:rsidP="00CA25CF">
            <w:pPr>
              <w:rPr>
                <w:rFonts w:cs="Arial"/>
                <w:color w:val="FF0000"/>
                <w:sz w:val="21"/>
                <w:szCs w:val="21"/>
              </w:rPr>
            </w:pPr>
          </w:p>
        </w:tc>
        <w:tc>
          <w:tcPr>
            <w:tcW w:w="217" w:type="dxa"/>
          </w:tcPr>
          <w:p w14:paraId="3AA614E2" w14:textId="77777777" w:rsidR="002C0FD9" w:rsidRPr="00CA25CF" w:rsidRDefault="002C0FD9" w:rsidP="00CA25CF">
            <w:pPr>
              <w:rPr>
                <w:rFonts w:cs="Arial"/>
                <w:color w:val="FF0000"/>
                <w:sz w:val="21"/>
                <w:szCs w:val="21"/>
              </w:rPr>
            </w:pPr>
          </w:p>
        </w:tc>
        <w:tc>
          <w:tcPr>
            <w:tcW w:w="217" w:type="dxa"/>
          </w:tcPr>
          <w:p w14:paraId="107BFA12" w14:textId="77777777" w:rsidR="002C0FD9" w:rsidRPr="00CA25CF" w:rsidRDefault="002C0FD9" w:rsidP="00CA25CF">
            <w:pPr>
              <w:rPr>
                <w:rFonts w:cs="Arial"/>
                <w:color w:val="FF0000"/>
                <w:sz w:val="21"/>
                <w:szCs w:val="21"/>
              </w:rPr>
            </w:pPr>
          </w:p>
        </w:tc>
        <w:tc>
          <w:tcPr>
            <w:tcW w:w="217" w:type="dxa"/>
          </w:tcPr>
          <w:p w14:paraId="7F354174" w14:textId="77777777" w:rsidR="002C0FD9" w:rsidRPr="00CA25CF" w:rsidRDefault="002C0FD9" w:rsidP="00CA25CF">
            <w:pPr>
              <w:rPr>
                <w:rFonts w:cs="Arial"/>
                <w:color w:val="FF0000"/>
                <w:sz w:val="21"/>
                <w:szCs w:val="21"/>
              </w:rPr>
            </w:pPr>
          </w:p>
        </w:tc>
        <w:tc>
          <w:tcPr>
            <w:tcW w:w="217" w:type="dxa"/>
          </w:tcPr>
          <w:p w14:paraId="391CF2D5" w14:textId="77777777" w:rsidR="002C0FD9" w:rsidRPr="00CA25CF" w:rsidRDefault="002C0FD9" w:rsidP="00CA25CF">
            <w:pPr>
              <w:rPr>
                <w:rFonts w:cs="Arial"/>
                <w:color w:val="FF0000"/>
                <w:sz w:val="21"/>
                <w:szCs w:val="21"/>
              </w:rPr>
            </w:pPr>
          </w:p>
        </w:tc>
        <w:tc>
          <w:tcPr>
            <w:tcW w:w="217" w:type="dxa"/>
          </w:tcPr>
          <w:p w14:paraId="269C9A3D" w14:textId="77777777" w:rsidR="002C0FD9" w:rsidRPr="00CA25CF" w:rsidRDefault="002C0FD9" w:rsidP="00CA25CF">
            <w:pPr>
              <w:rPr>
                <w:rFonts w:cs="Arial"/>
                <w:color w:val="FF0000"/>
                <w:sz w:val="21"/>
                <w:szCs w:val="21"/>
              </w:rPr>
            </w:pPr>
          </w:p>
        </w:tc>
        <w:tc>
          <w:tcPr>
            <w:tcW w:w="217" w:type="dxa"/>
          </w:tcPr>
          <w:p w14:paraId="60D5ED3A" w14:textId="77777777" w:rsidR="002C0FD9" w:rsidRPr="00CA25CF" w:rsidRDefault="002C0FD9" w:rsidP="00CA25CF">
            <w:pPr>
              <w:rPr>
                <w:rFonts w:cs="Arial"/>
                <w:color w:val="FF0000"/>
                <w:sz w:val="21"/>
                <w:szCs w:val="21"/>
              </w:rPr>
            </w:pPr>
          </w:p>
        </w:tc>
        <w:tc>
          <w:tcPr>
            <w:tcW w:w="217" w:type="dxa"/>
          </w:tcPr>
          <w:p w14:paraId="09FAA676" w14:textId="77777777" w:rsidR="002C0FD9" w:rsidRPr="00CA25CF" w:rsidRDefault="002C0FD9" w:rsidP="00CA25CF">
            <w:pPr>
              <w:rPr>
                <w:rFonts w:cs="Arial"/>
                <w:color w:val="FF0000"/>
                <w:sz w:val="21"/>
                <w:szCs w:val="21"/>
              </w:rPr>
            </w:pPr>
          </w:p>
        </w:tc>
        <w:tc>
          <w:tcPr>
            <w:tcW w:w="217" w:type="dxa"/>
          </w:tcPr>
          <w:p w14:paraId="6FD0AEEB" w14:textId="77777777" w:rsidR="002C0FD9" w:rsidRPr="00CA25CF" w:rsidRDefault="002C0FD9" w:rsidP="00CA25CF">
            <w:pPr>
              <w:rPr>
                <w:rFonts w:cs="Arial"/>
                <w:color w:val="FF0000"/>
                <w:sz w:val="21"/>
                <w:szCs w:val="21"/>
              </w:rPr>
            </w:pPr>
          </w:p>
        </w:tc>
        <w:tc>
          <w:tcPr>
            <w:tcW w:w="217" w:type="dxa"/>
          </w:tcPr>
          <w:p w14:paraId="33D35419" w14:textId="77777777" w:rsidR="002C0FD9" w:rsidRPr="00CA25CF" w:rsidRDefault="002C0FD9" w:rsidP="00CA25CF">
            <w:pPr>
              <w:rPr>
                <w:rFonts w:cs="Arial"/>
                <w:color w:val="FF0000"/>
                <w:sz w:val="21"/>
                <w:szCs w:val="21"/>
              </w:rPr>
            </w:pPr>
          </w:p>
        </w:tc>
        <w:tc>
          <w:tcPr>
            <w:tcW w:w="217" w:type="dxa"/>
          </w:tcPr>
          <w:p w14:paraId="4D4E1E1F" w14:textId="77777777" w:rsidR="002C0FD9" w:rsidRPr="00CA25CF" w:rsidRDefault="002C0FD9" w:rsidP="00CA25CF">
            <w:pPr>
              <w:rPr>
                <w:rFonts w:cs="Arial"/>
                <w:color w:val="FF0000"/>
                <w:sz w:val="21"/>
                <w:szCs w:val="21"/>
              </w:rPr>
            </w:pPr>
          </w:p>
        </w:tc>
        <w:tc>
          <w:tcPr>
            <w:tcW w:w="217" w:type="dxa"/>
          </w:tcPr>
          <w:p w14:paraId="48E65956" w14:textId="77777777" w:rsidR="002C0FD9" w:rsidRPr="00CA25CF" w:rsidRDefault="002C0FD9" w:rsidP="00CA25CF">
            <w:pPr>
              <w:rPr>
                <w:rFonts w:cs="Arial"/>
                <w:color w:val="FF0000"/>
                <w:sz w:val="21"/>
                <w:szCs w:val="21"/>
              </w:rPr>
            </w:pPr>
          </w:p>
        </w:tc>
        <w:tc>
          <w:tcPr>
            <w:tcW w:w="217" w:type="dxa"/>
          </w:tcPr>
          <w:p w14:paraId="47FE1C6C" w14:textId="77777777" w:rsidR="002C0FD9" w:rsidRPr="00CA25CF" w:rsidRDefault="002C0FD9" w:rsidP="00CA25CF">
            <w:pPr>
              <w:rPr>
                <w:rFonts w:cs="Arial"/>
                <w:color w:val="FF0000"/>
                <w:sz w:val="21"/>
                <w:szCs w:val="21"/>
              </w:rPr>
            </w:pPr>
          </w:p>
        </w:tc>
        <w:tc>
          <w:tcPr>
            <w:tcW w:w="217" w:type="dxa"/>
          </w:tcPr>
          <w:p w14:paraId="7A952F73" w14:textId="77777777" w:rsidR="002C0FD9" w:rsidRPr="00CA25CF" w:rsidRDefault="002C0FD9" w:rsidP="00CA25CF">
            <w:pPr>
              <w:rPr>
                <w:rFonts w:cs="Arial"/>
                <w:color w:val="FF0000"/>
                <w:sz w:val="21"/>
                <w:szCs w:val="21"/>
              </w:rPr>
            </w:pPr>
          </w:p>
        </w:tc>
        <w:tc>
          <w:tcPr>
            <w:tcW w:w="217" w:type="dxa"/>
          </w:tcPr>
          <w:p w14:paraId="484A5546" w14:textId="77777777" w:rsidR="002C0FD9" w:rsidRPr="00CA25CF" w:rsidRDefault="002C0FD9" w:rsidP="00CA25CF">
            <w:pPr>
              <w:rPr>
                <w:rFonts w:cs="Arial"/>
                <w:color w:val="FF0000"/>
                <w:sz w:val="21"/>
                <w:szCs w:val="21"/>
              </w:rPr>
            </w:pPr>
          </w:p>
        </w:tc>
        <w:tc>
          <w:tcPr>
            <w:tcW w:w="217" w:type="dxa"/>
          </w:tcPr>
          <w:p w14:paraId="66B63A11" w14:textId="77777777" w:rsidR="002C0FD9" w:rsidRPr="00CA25CF" w:rsidRDefault="002C0FD9" w:rsidP="00CA25CF">
            <w:pPr>
              <w:rPr>
                <w:rFonts w:cs="Arial"/>
                <w:color w:val="FF0000"/>
                <w:sz w:val="21"/>
                <w:szCs w:val="21"/>
              </w:rPr>
            </w:pPr>
          </w:p>
        </w:tc>
        <w:tc>
          <w:tcPr>
            <w:tcW w:w="217" w:type="dxa"/>
          </w:tcPr>
          <w:p w14:paraId="77DE7DA2" w14:textId="77777777" w:rsidR="002C0FD9" w:rsidRPr="00CA25CF" w:rsidRDefault="002C0FD9" w:rsidP="00CA25CF">
            <w:pPr>
              <w:rPr>
                <w:rFonts w:cs="Arial"/>
                <w:color w:val="FF0000"/>
                <w:sz w:val="21"/>
                <w:szCs w:val="21"/>
              </w:rPr>
            </w:pPr>
          </w:p>
        </w:tc>
        <w:tc>
          <w:tcPr>
            <w:tcW w:w="217" w:type="dxa"/>
          </w:tcPr>
          <w:p w14:paraId="2D86996D" w14:textId="77777777" w:rsidR="002C0FD9" w:rsidRPr="00CA25CF" w:rsidRDefault="002C0FD9" w:rsidP="00CA25CF">
            <w:pPr>
              <w:rPr>
                <w:rFonts w:cs="Arial"/>
                <w:color w:val="FF0000"/>
                <w:sz w:val="21"/>
                <w:szCs w:val="21"/>
              </w:rPr>
            </w:pPr>
          </w:p>
        </w:tc>
        <w:tc>
          <w:tcPr>
            <w:tcW w:w="217" w:type="dxa"/>
          </w:tcPr>
          <w:p w14:paraId="1FB8C1E4" w14:textId="77777777" w:rsidR="002C0FD9" w:rsidRPr="00CA25CF" w:rsidRDefault="002C0FD9" w:rsidP="00CA25CF">
            <w:pPr>
              <w:rPr>
                <w:rFonts w:cs="Arial"/>
                <w:color w:val="FF0000"/>
                <w:sz w:val="21"/>
                <w:szCs w:val="21"/>
              </w:rPr>
            </w:pPr>
          </w:p>
        </w:tc>
        <w:tc>
          <w:tcPr>
            <w:tcW w:w="217" w:type="dxa"/>
          </w:tcPr>
          <w:p w14:paraId="0DF312C3" w14:textId="77777777" w:rsidR="002C0FD9" w:rsidRPr="00CA25CF" w:rsidRDefault="002C0FD9" w:rsidP="00CA25CF">
            <w:pPr>
              <w:rPr>
                <w:rFonts w:cs="Arial"/>
                <w:color w:val="FF0000"/>
                <w:sz w:val="21"/>
                <w:szCs w:val="21"/>
              </w:rPr>
            </w:pPr>
          </w:p>
        </w:tc>
        <w:tc>
          <w:tcPr>
            <w:tcW w:w="217" w:type="dxa"/>
          </w:tcPr>
          <w:p w14:paraId="41236887" w14:textId="77777777" w:rsidR="002C0FD9" w:rsidRPr="00CA25CF" w:rsidRDefault="002C0FD9" w:rsidP="00CA25CF">
            <w:pPr>
              <w:rPr>
                <w:rFonts w:cs="Arial"/>
                <w:color w:val="FF0000"/>
                <w:sz w:val="21"/>
                <w:szCs w:val="21"/>
              </w:rPr>
            </w:pPr>
          </w:p>
        </w:tc>
        <w:tc>
          <w:tcPr>
            <w:tcW w:w="217" w:type="dxa"/>
          </w:tcPr>
          <w:p w14:paraId="066DEAE6" w14:textId="77777777" w:rsidR="002C0FD9" w:rsidRPr="00CA25CF" w:rsidRDefault="002C0FD9" w:rsidP="00CA25CF">
            <w:pPr>
              <w:rPr>
                <w:rFonts w:cs="Arial"/>
                <w:color w:val="FF0000"/>
                <w:sz w:val="21"/>
                <w:szCs w:val="21"/>
              </w:rPr>
            </w:pPr>
          </w:p>
        </w:tc>
        <w:tc>
          <w:tcPr>
            <w:tcW w:w="217" w:type="dxa"/>
          </w:tcPr>
          <w:p w14:paraId="41D92397" w14:textId="77777777" w:rsidR="002C0FD9" w:rsidRPr="00CA25CF" w:rsidRDefault="002C0FD9" w:rsidP="00CA25CF">
            <w:pPr>
              <w:rPr>
                <w:rFonts w:cs="Arial"/>
                <w:color w:val="FF0000"/>
                <w:sz w:val="21"/>
                <w:szCs w:val="21"/>
              </w:rPr>
            </w:pPr>
          </w:p>
        </w:tc>
        <w:tc>
          <w:tcPr>
            <w:tcW w:w="217" w:type="dxa"/>
          </w:tcPr>
          <w:p w14:paraId="42372DE0" w14:textId="77777777" w:rsidR="002C0FD9" w:rsidRPr="00CA25CF" w:rsidRDefault="002C0FD9" w:rsidP="00CA25CF">
            <w:pPr>
              <w:rPr>
                <w:rFonts w:cs="Arial"/>
                <w:color w:val="FF0000"/>
                <w:sz w:val="21"/>
                <w:szCs w:val="21"/>
              </w:rPr>
            </w:pPr>
          </w:p>
        </w:tc>
        <w:tc>
          <w:tcPr>
            <w:tcW w:w="217" w:type="dxa"/>
          </w:tcPr>
          <w:p w14:paraId="59E7B1EE" w14:textId="77777777" w:rsidR="002C0FD9" w:rsidRPr="00CA25CF" w:rsidRDefault="002C0FD9" w:rsidP="00CA25CF">
            <w:pPr>
              <w:rPr>
                <w:rFonts w:cs="Arial"/>
                <w:color w:val="FF0000"/>
                <w:sz w:val="21"/>
                <w:szCs w:val="21"/>
              </w:rPr>
            </w:pPr>
          </w:p>
        </w:tc>
        <w:tc>
          <w:tcPr>
            <w:tcW w:w="217" w:type="dxa"/>
          </w:tcPr>
          <w:p w14:paraId="28A1E336" w14:textId="77777777" w:rsidR="002C0FD9" w:rsidRPr="00CA25CF" w:rsidRDefault="002C0FD9" w:rsidP="00CA25CF">
            <w:pPr>
              <w:rPr>
                <w:rFonts w:cs="Arial"/>
                <w:color w:val="FF0000"/>
                <w:sz w:val="21"/>
                <w:szCs w:val="21"/>
              </w:rPr>
            </w:pPr>
          </w:p>
        </w:tc>
        <w:tc>
          <w:tcPr>
            <w:tcW w:w="217" w:type="dxa"/>
          </w:tcPr>
          <w:p w14:paraId="659649BC" w14:textId="77777777" w:rsidR="002C0FD9" w:rsidRPr="00CA25CF" w:rsidRDefault="002C0FD9" w:rsidP="00CA25CF">
            <w:pPr>
              <w:rPr>
                <w:rFonts w:cs="Arial"/>
                <w:color w:val="FF0000"/>
                <w:sz w:val="21"/>
                <w:szCs w:val="21"/>
              </w:rPr>
            </w:pPr>
          </w:p>
        </w:tc>
        <w:tc>
          <w:tcPr>
            <w:tcW w:w="217" w:type="dxa"/>
          </w:tcPr>
          <w:p w14:paraId="51979733" w14:textId="77777777" w:rsidR="002C0FD9" w:rsidRPr="00CA25CF" w:rsidRDefault="002C0FD9" w:rsidP="00CA25CF">
            <w:pPr>
              <w:rPr>
                <w:rFonts w:cs="Arial"/>
                <w:color w:val="FF0000"/>
                <w:sz w:val="21"/>
                <w:szCs w:val="21"/>
              </w:rPr>
            </w:pPr>
          </w:p>
        </w:tc>
        <w:tc>
          <w:tcPr>
            <w:tcW w:w="217" w:type="dxa"/>
          </w:tcPr>
          <w:p w14:paraId="3F905A91" w14:textId="77777777" w:rsidR="002C0FD9" w:rsidRPr="00CA25CF" w:rsidRDefault="002C0FD9" w:rsidP="00CA25CF">
            <w:pPr>
              <w:rPr>
                <w:rFonts w:cs="Arial"/>
                <w:color w:val="FF0000"/>
                <w:sz w:val="21"/>
                <w:szCs w:val="21"/>
              </w:rPr>
            </w:pPr>
          </w:p>
        </w:tc>
        <w:tc>
          <w:tcPr>
            <w:tcW w:w="217" w:type="dxa"/>
          </w:tcPr>
          <w:p w14:paraId="1FEF3AC1" w14:textId="77777777" w:rsidR="002C0FD9" w:rsidRPr="00CA25CF" w:rsidRDefault="002C0FD9" w:rsidP="00CA25CF">
            <w:pPr>
              <w:rPr>
                <w:rFonts w:cs="Arial"/>
                <w:color w:val="FF0000"/>
                <w:sz w:val="21"/>
                <w:szCs w:val="21"/>
              </w:rPr>
            </w:pPr>
          </w:p>
        </w:tc>
        <w:tc>
          <w:tcPr>
            <w:tcW w:w="217" w:type="dxa"/>
          </w:tcPr>
          <w:p w14:paraId="37ADBBEE" w14:textId="77777777" w:rsidR="002C0FD9" w:rsidRPr="00CA25CF" w:rsidRDefault="002C0FD9" w:rsidP="00CA25CF">
            <w:pPr>
              <w:rPr>
                <w:rFonts w:cs="Arial"/>
                <w:color w:val="FF0000"/>
                <w:sz w:val="21"/>
                <w:szCs w:val="21"/>
              </w:rPr>
            </w:pPr>
          </w:p>
        </w:tc>
        <w:tc>
          <w:tcPr>
            <w:tcW w:w="217" w:type="dxa"/>
          </w:tcPr>
          <w:p w14:paraId="1F0F6DAF" w14:textId="77777777" w:rsidR="002C0FD9" w:rsidRPr="00CA25CF" w:rsidRDefault="002C0FD9" w:rsidP="00CA25CF">
            <w:pPr>
              <w:rPr>
                <w:rFonts w:cs="Arial"/>
                <w:color w:val="FF0000"/>
                <w:sz w:val="21"/>
                <w:szCs w:val="21"/>
              </w:rPr>
            </w:pPr>
          </w:p>
        </w:tc>
        <w:tc>
          <w:tcPr>
            <w:tcW w:w="217" w:type="dxa"/>
          </w:tcPr>
          <w:p w14:paraId="2DEF8C58" w14:textId="77777777" w:rsidR="002C0FD9" w:rsidRPr="00CA25CF" w:rsidRDefault="002C0FD9" w:rsidP="00CA25CF">
            <w:pPr>
              <w:rPr>
                <w:rFonts w:cs="Arial"/>
                <w:color w:val="FF0000"/>
                <w:sz w:val="21"/>
                <w:szCs w:val="21"/>
              </w:rPr>
            </w:pPr>
          </w:p>
        </w:tc>
        <w:tc>
          <w:tcPr>
            <w:tcW w:w="217" w:type="dxa"/>
          </w:tcPr>
          <w:p w14:paraId="59E7E788" w14:textId="77777777" w:rsidR="002C0FD9" w:rsidRPr="00CA25CF" w:rsidRDefault="002C0FD9" w:rsidP="00CA25CF">
            <w:pPr>
              <w:rPr>
                <w:rFonts w:cs="Arial"/>
                <w:color w:val="FF0000"/>
                <w:sz w:val="21"/>
                <w:szCs w:val="21"/>
              </w:rPr>
            </w:pPr>
          </w:p>
        </w:tc>
        <w:tc>
          <w:tcPr>
            <w:tcW w:w="217" w:type="dxa"/>
          </w:tcPr>
          <w:p w14:paraId="30AA24E6" w14:textId="77777777" w:rsidR="002C0FD9" w:rsidRPr="00CA25CF" w:rsidRDefault="002C0FD9" w:rsidP="00CA25CF">
            <w:pPr>
              <w:rPr>
                <w:rFonts w:cs="Arial"/>
                <w:color w:val="FF0000"/>
                <w:sz w:val="21"/>
                <w:szCs w:val="21"/>
              </w:rPr>
            </w:pPr>
          </w:p>
        </w:tc>
        <w:tc>
          <w:tcPr>
            <w:tcW w:w="217" w:type="dxa"/>
          </w:tcPr>
          <w:p w14:paraId="0A5652E4" w14:textId="77777777" w:rsidR="002C0FD9" w:rsidRPr="00CA25CF" w:rsidRDefault="002C0FD9" w:rsidP="00CA25CF">
            <w:pPr>
              <w:rPr>
                <w:rFonts w:cs="Arial"/>
                <w:color w:val="FF0000"/>
                <w:sz w:val="21"/>
                <w:szCs w:val="21"/>
              </w:rPr>
            </w:pPr>
          </w:p>
        </w:tc>
      </w:tr>
      <w:tr w:rsidR="002C0FD9" w:rsidRPr="00A16219" w14:paraId="221FFE67" w14:textId="77777777" w:rsidTr="002C0FD9">
        <w:trPr>
          <w:trHeight w:val="635"/>
        </w:trPr>
        <w:tc>
          <w:tcPr>
            <w:tcW w:w="515" w:type="dxa"/>
          </w:tcPr>
          <w:p w14:paraId="75F08F2E" w14:textId="77777777" w:rsidR="002C0FD9" w:rsidRPr="00CA25CF" w:rsidRDefault="002C0FD9" w:rsidP="00CA25CF">
            <w:pPr>
              <w:rPr>
                <w:rFonts w:cs="Arial"/>
                <w:color w:val="FF0000"/>
                <w:sz w:val="21"/>
                <w:szCs w:val="21"/>
              </w:rPr>
            </w:pPr>
          </w:p>
        </w:tc>
        <w:tc>
          <w:tcPr>
            <w:tcW w:w="217" w:type="dxa"/>
          </w:tcPr>
          <w:p w14:paraId="28B1BC7E" w14:textId="77777777" w:rsidR="002C0FD9" w:rsidRPr="00CA25CF" w:rsidRDefault="002C0FD9" w:rsidP="00CA25CF">
            <w:pPr>
              <w:rPr>
                <w:rFonts w:cs="Arial"/>
                <w:color w:val="FF0000"/>
                <w:sz w:val="21"/>
                <w:szCs w:val="21"/>
              </w:rPr>
            </w:pPr>
          </w:p>
        </w:tc>
        <w:tc>
          <w:tcPr>
            <w:tcW w:w="217" w:type="dxa"/>
          </w:tcPr>
          <w:p w14:paraId="4598ED16" w14:textId="77777777" w:rsidR="002C0FD9" w:rsidRPr="00CA25CF" w:rsidRDefault="002C0FD9" w:rsidP="00CA25CF">
            <w:pPr>
              <w:rPr>
                <w:rFonts w:cs="Arial"/>
                <w:color w:val="FF0000"/>
                <w:sz w:val="21"/>
                <w:szCs w:val="21"/>
              </w:rPr>
            </w:pPr>
          </w:p>
        </w:tc>
        <w:tc>
          <w:tcPr>
            <w:tcW w:w="217" w:type="dxa"/>
          </w:tcPr>
          <w:p w14:paraId="16CC517E" w14:textId="77777777" w:rsidR="002C0FD9" w:rsidRPr="00CA25CF" w:rsidRDefault="002C0FD9" w:rsidP="00CA25CF">
            <w:pPr>
              <w:rPr>
                <w:rFonts w:cs="Arial"/>
                <w:color w:val="FF0000"/>
                <w:sz w:val="21"/>
                <w:szCs w:val="21"/>
              </w:rPr>
            </w:pPr>
          </w:p>
        </w:tc>
        <w:tc>
          <w:tcPr>
            <w:tcW w:w="217" w:type="dxa"/>
          </w:tcPr>
          <w:p w14:paraId="375F02D9" w14:textId="77777777" w:rsidR="002C0FD9" w:rsidRPr="00CA25CF" w:rsidRDefault="002C0FD9" w:rsidP="00CA25CF">
            <w:pPr>
              <w:rPr>
                <w:rFonts w:cs="Arial"/>
                <w:color w:val="FF0000"/>
                <w:sz w:val="21"/>
                <w:szCs w:val="21"/>
              </w:rPr>
            </w:pPr>
          </w:p>
        </w:tc>
        <w:tc>
          <w:tcPr>
            <w:tcW w:w="217" w:type="dxa"/>
          </w:tcPr>
          <w:p w14:paraId="52FD21E3" w14:textId="77777777" w:rsidR="002C0FD9" w:rsidRPr="00CA25CF" w:rsidRDefault="002C0FD9" w:rsidP="00CA25CF">
            <w:pPr>
              <w:rPr>
                <w:rFonts w:cs="Arial"/>
                <w:color w:val="FF0000"/>
                <w:sz w:val="21"/>
                <w:szCs w:val="21"/>
              </w:rPr>
            </w:pPr>
          </w:p>
        </w:tc>
        <w:tc>
          <w:tcPr>
            <w:tcW w:w="217" w:type="dxa"/>
          </w:tcPr>
          <w:p w14:paraId="5409E040" w14:textId="77777777" w:rsidR="002C0FD9" w:rsidRPr="00CA25CF" w:rsidRDefault="002C0FD9" w:rsidP="00CA25CF">
            <w:pPr>
              <w:rPr>
                <w:rFonts w:cs="Arial"/>
                <w:color w:val="FF0000"/>
                <w:sz w:val="21"/>
                <w:szCs w:val="21"/>
              </w:rPr>
            </w:pPr>
          </w:p>
        </w:tc>
        <w:tc>
          <w:tcPr>
            <w:tcW w:w="217" w:type="dxa"/>
          </w:tcPr>
          <w:p w14:paraId="19ECC87A" w14:textId="77777777" w:rsidR="002C0FD9" w:rsidRPr="00CA25CF" w:rsidRDefault="002C0FD9" w:rsidP="00CA25CF">
            <w:pPr>
              <w:rPr>
                <w:rFonts w:cs="Arial"/>
                <w:color w:val="FF0000"/>
                <w:sz w:val="21"/>
                <w:szCs w:val="21"/>
              </w:rPr>
            </w:pPr>
          </w:p>
        </w:tc>
        <w:tc>
          <w:tcPr>
            <w:tcW w:w="217" w:type="dxa"/>
          </w:tcPr>
          <w:p w14:paraId="2BD39FE7" w14:textId="77777777" w:rsidR="002C0FD9" w:rsidRPr="00CA25CF" w:rsidRDefault="002C0FD9" w:rsidP="00CA25CF">
            <w:pPr>
              <w:rPr>
                <w:rFonts w:cs="Arial"/>
                <w:color w:val="FF0000"/>
                <w:sz w:val="21"/>
                <w:szCs w:val="21"/>
              </w:rPr>
            </w:pPr>
          </w:p>
        </w:tc>
        <w:tc>
          <w:tcPr>
            <w:tcW w:w="217" w:type="dxa"/>
          </w:tcPr>
          <w:p w14:paraId="70AA2181" w14:textId="77777777" w:rsidR="002C0FD9" w:rsidRPr="00CA25CF" w:rsidRDefault="002C0FD9" w:rsidP="00CA25CF">
            <w:pPr>
              <w:rPr>
                <w:rFonts w:cs="Arial"/>
                <w:color w:val="FF0000"/>
                <w:sz w:val="21"/>
                <w:szCs w:val="21"/>
              </w:rPr>
            </w:pPr>
          </w:p>
        </w:tc>
        <w:tc>
          <w:tcPr>
            <w:tcW w:w="217" w:type="dxa"/>
          </w:tcPr>
          <w:p w14:paraId="49D441BB" w14:textId="77777777" w:rsidR="002C0FD9" w:rsidRPr="00CA25CF" w:rsidRDefault="002C0FD9" w:rsidP="00CA25CF">
            <w:pPr>
              <w:rPr>
                <w:rFonts w:cs="Arial"/>
                <w:color w:val="FF0000"/>
                <w:sz w:val="21"/>
                <w:szCs w:val="21"/>
              </w:rPr>
            </w:pPr>
          </w:p>
        </w:tc>
        <w:tc>
          <w:tcPr>
            <w:tcW w:w="217" w:type="dxa"/>
          </w:tcPr>
          <w:p w14:paraId="6EEA841D" w14:textId="77777777" w:rsidR="002C0FD9" w:rsidRPr="00CA25CF" w:rsidRDefault="002C0FD9" w:rsidP="00CA25CF">
            <w:pPr>
              <w:rPr>
                <w:rFonts w:cs="Arial"/>
                <w:color w:val="FF0000"/>
                <w:sz w:val="21"/>
                <w:szCs w:val="21"/>
              </w:rPr>
            </w:pPr>
          </w:p>
        </w:tc>
        <w:tc>
          <w:tcPr>
            <w:tcW w:w="217" w:type="dxa"/>
          </w:tcPr>
          <w:p w14:paraId="35DB3CEE" w14:textId="77777777" w:rsidR="002C0FD9" w:rsidRPr="00CA25CF" w:rsidRDefault="002C0FD9" w:rsidP="00CA25CF">
            <w:pPr>
              <w:rPr>
                <w:rFonts w:cs="Arial"/>
                <w:color w:val="FF0000"/>
                <w:sz w:val="21"/>
                <w:szCs w:val="21"/>
              </w:rPr>
            </w:pPr>
          </w:p>
        </w:tc>
        <w:tc>
          <w:tcPr>
            <w:tcW w:w="217" w:type="dxa"/>
          </w:tcPr>
          <w:p w14:paraId="36BD3B9F" w14:textId="77777777" w:rsidR="002C0FD9" w:rsidRPr="00CA25CF" w:rsidRDefault="002C0FD9" w:rsidP="00CA25CF">
            <w:pPr>
              <w:rPr>
                <w:rFonts w:cs="Arial"/>
                <w:color w:val="FF0000"/>
                <w:sz w:val="21"/>
                <w:szCs w:val="21"/>
              </w:rPr>
            </w:pPr>
          </w:p>
        </w:tc>
        <w:tc>
          <w:tcPr>
            <w:tcW w:w="217" w:type="dxa"/>
          </w:tcPr>
          <w:p w14:paraId="14A50F57" w14:textId="77777777" w:rsidR="002C0FD9" w:rsidRPr="00CA25CF" w:rsidRDefault="002C0FD9" w:rsidP="00CA25CF">
            <w:pPr>
              <w:rPr>
                <w:rFonts w:cs="Arial"/>
                <w:color w:val="FF0000"/>
                <w:sz w:val="21"/>
                <w:szCs w:val="21"/>
              </w:rPr>
            </w:pPr>
          </w:p>
        </w:tc>
        <w:tc>
          <w:tcPr>
            <w:tcW w:w="217" w:type="dxa"/>
          </w:tcPr>
          <w:p w14:paraId="1B4A4883" w14:textId="77777777" w:rsidR="002C0FD9" w:rsidRPr="00CA25CF" w:rsidRDefault="002C0FD9" w:rsidP="00CA25CF">
            <w:pPr>
              <w:rPr>
                <w:rFonts w:cs="Arial"/>
                <w:color w:val="FF0000"/>
                <w:sz w:val="21"/>
                <w:szCs w:val="21"/>
              </w:rPr>
            </w:pPr>
          </w:p>
        </w:tc>
        <w:tc>
          <w:tcPr>
            <w:tcW w:w="217" w:type="dxa"/>
          </w:tcPr>
          <w:p w14:paraId="0BCC7D25" w14:textId="77777777" w:rsidR="002C0FD9" w:rsidRPr="00CA25CF" w:rsidRDefault="002C0FD9" w:rsidP="00CA25CF">
            <w:pPr>
              <w:rPr>
                <w:rFonts w:cs="Arial"/>
                <w:color w:val="FF0000"/>
                <w:sz w:val="21"/>
                <w:szCs w:val="21"/>
              </w:rPr>
            </w:pPr>
          </w:p>
        </w:tc>
        <w:tc>
          <w:tcPr>
            <w:tcW w:w="217" w:type="dxa"/>
          </w:tcPr>
          <w:p w14:paraId="3EE9A6B8" w14:textId="77777777" w:rsidR="002C0FD9" w:rsidRPr="00CA25CF" w:rsidRDefault="002C0FD9" w:rsidP="00CA25CF">
            <w:pPr>
              <w:rPr>
                <w:rFonts w:cs="Arial"/>
                <w:color w:val="FF0000"/>
                <w:sz w:val="21"/>
                <w:szCs w:val="21"/>
              </w:rPr>
            </w:pPr>
          </w:p>
        </w:tc>
        <w:tc>
          <w:tcPr>
            <w:tcW w:w="217" w:type="dxa"/>
          </w:tcPr>
          <w:p w14:paraId="24ADB61D" w14:textId="77777777" w:rsidR="002C0FD9" w:rsidRPr="00CA25CF" w:rsidRDefault="002C0FD9" w:rsidP="00CA25CF">
            <w:pPr>
              <w:rPr>
                <w:rFonts w:cs="Arial"/>
                <w:color w:val="FF0000"/>
                <w:sz w:val="21"/>
                <w:szCs w:val="21"/>
              </w:rPr>
            </w:pPr>
          </w:p>
        </w:tc>
        <w:tc>
          <w:tcPr>
            <w:tcW w:w="217" w:type="dxa"/>
          </w:tcPr>
          <w:p w14:paraId="37304523" w14:textId="77777777" w:rsidR="002C0FD9" w:rsidRPr="00CA25CF" w:rsidRDefault="002C0FD9" w:rsidP="00CA25CF">
            <w:pPr>
              <w:rPr>
                <w:rFonts w:cs="Arial"/>
                <w:color w:val="FF0000"/>
                <w:sz w:val="21"/>
                <w:szCs w:val="21"/>
              </w:rPr>
            </w:pPr>
          </w:p>
        </w:tc>
        <w:tc>
          <w:tcPr>
            <w:tcW w:w="217" w:type="dxa"/>
          </w:tcPr>
          <w:p w14:paraId="51D917F2" w14:textId="77777777" w:rsidR="002C0FD9" w:rsidRPr="00CA25CF" w:rsidRDefault="002C0FD9" w:rsidP="00CA25CF">
            <w:pPr>
              <w:rPr>
                <w:rFonts w:cs="Arial"/>
                <w:color w:val="FF0000"/>
                <w:sz w:val="21"/>
                <w:szCs w:val="21"/>
              </w:rPr>
            </w:pPr>
          </w:p>
        </w:tc>
        <w:tc>
          <w:tcPr>
            <w:tcW w:w="217" w:type="dxa"/>
          </w:tcPr>
          <w:p w14:paraId="10787CA7" w14:textId="77777777" w:rsidR="002C0FD9" w:rsidRPr="00CA25CF" w:rsidRDefault="002C0FD9" w:rsidP="00CA25CF">
            <w:pPr>
              <w:rPr>
                <w:rFonts w:cs="Arial"/>
                <w:color w:val="FF0000"/>
                <w:sz w:val="21"/>
                <w:szCs w:val="21"/>
              </w:rPr>
            </w:pPr>
          </w:p>
        </w:tc>
        <w:tc>
          <w:tcPr>
            <w:tcW w:w="217" w:type="dxa"/>
          </w:tcPr>
          <w:p w14:paraId="7952CF0F" w14:textId="77777777" w:rsidR="002C0FD9" w:rsidRPr="00CA25CF" w:rsidRDefault="002C0FD9" w:rsidP="00CA25CF">
            <w:pPr>
              <w:rPr>
                <w:rFonts w:cs="Arial"/>
                <w:color w:val="FF0000"/>
                <w:sz w:val="21"/>
                <w:szCs w:val="21"/>
              </w:rPr>
            </w:pPr>
          </w:p>
        </w:tc>
        <w:tc>
          <w:tcPr>
            <w:tcW w:w="217" w:type="dxa"/>
          </w:tcPr>
          <w:p w14:paraId="78DE5BB8" w14:textId="77777777" w:rsidR="002C0FD9" w:rsidRPr="00CA25CF" w:rsidRDefault="002C0FD9" w:rsidP="00CA25CF">
            <w:pPr>
              <w:rPr>
                <w:rFonts w:cs="Arial"/>
                <w:color w:val="FF0000"/>
                <w:sz w:val="21"/>
                <w:szCs w:val="21"/>
              </w:rPr>
            </w:pPr>
          </w:p>
        </w:tc>
        <w:tc>
          <w:tcPr>
            <w:tcW w:w="217" w:type="dxa"/>
          </w:tcPr>
          <w:p w14:paraId="0571A9FE" w14:textId="77777777" w:rsidR="002C0FD9" w:rsidRPr="00CA25CF" w:rsidRDefault="002C0FD9" w:rsidP="00CA25CF">
            <w:pPr>
              <w:rPr>
                <w:rFonts w:cs="Arial"/>
                <w:color w:val="FF0000"/>
                <w:sz w:val="21"/>
                <w:szCs w:val="21"/>
              </w:rPr>
            </w:pPr>
          </w:p>
        </w:tc>
        <w:tc>
          <w:tcPr>
            <w:tcW w:w="217" w:type="dxa"/>
          </w:tcPr>
          <w:p w14:paraId="74932A65" w14:textId="77777777" w:rsidR="002C0FD9" w:rsidRPr="00CA25CF" w:rsidRDefault="002C0FD9" w:rsidP="00CA25CF">
            <w:pPr>
              <w:rPr>
                <w:rFonts w:cs="Arial"/>
                <w:color w:val="FF0000"/>
                <w:sz w:val="21"/>
                <w:szCs w:val="21"/>
              </w:rPr>
            </w:pPr>
          </w:p>
        </w:tc>
        <w:tc>
          <w:tcPr>
            <w:tcW w:w="217" w:type="dxa"/>
          </w:tcPr>
          <w:p w14:paraId="4CCE5C94" w14:textId="77777777" w:rsidR="002C0FD9" w:rsidRPr="00CA25CF" w:rsidRDefault="002C0FD9" w:rsidP="00CA25CF">
            <w:pPr>
              <w:rPr>
                <w:rFonts w:cs="Arial"/>
                <w:color w:val="FF0000"/>
                <w:sz w:val="21"/>
                <w:szCs w:val="21"/>
              </w:rPr>
            </w:pPr>
          </w:p>
        </w:tc>
        <w:tc>
          <w:tcPr>
            <w:tcW w:w="217" w:type="dxa"/>
          </w:tcPr>
          <w:p w14:paraId="23C26538" w14:textId="77777777" w:rsidR="002C0FD9" w:rsidRPr="00CA25CF" w:rsidRDefault="002C0FD9" w:rsidP="00CA25CF">
            <w:pPr>
              <w:rPr>
                <w:rFonts w:cs="Arial"/>
                <w:color w:val="FF0000"/>
                <w:sz w:val="21"/>
                <w:szCs w:val="21"/>
              </w:rPr>
            </w:pPr>
          </w:p>
        </w:tc>
        <w:tc>
          <w:tcPr>
            <w:tcW w:w="217" w:type="dxa"/>
          </w:tcPr>
          <w:p w14:paraId="73B1EBCF" w14:textId="77777777" w:rsidR="002C0FD9" w:rsidRPr="00CA25CF" w:rsidRDefault="002C0FD9" w:rsidP="00CA25CF">
            <w:pPr>
              <w:rPr>
                <w:rFonts w:cs="Arial"/>
                <w:color w:val="FF0000"/>
                <w:sz w:val="21"/>
                <w:szCs w:val="21"/>
              </w:rPr>
            </w:pPr>
          </w:p>
        </w:tc>
        <w:tc>
          <w:tcPr>
            <w:tcW w:w="217" w:type="dxa"/>
          </w:tcPr>
          <w:p w14:paraId="0BB05592" w14:textId="77777777" w:rsidR="002C0FD9" w:rsidRPr="00CA25CF" w:rsidRDefault="002C0FD9" w:rsidP="00CA25CF">
            <w:pPr>
              <w:rPr>
                <w:rFonts w:cs="Arial"/>
                <w:color w:val="FF0000"/>
                <w:sz w:val="21"/>
                <w:szCs w:val="21"/>
              </w:rPr>
            </w:pPr>
          </w:p>
        </w:tc>
        <w:tc>
          <w:tcPr>
            <w:tcW w:w="217" w:type="dxa"/>
          </w:tcPr>
          <w:p w14:paraId="06CF6EC6" w14:textId="77777777" w:rsidR="002C0FD9" w:rsidRPr="00CA25CF" w:rsidRDefault="002C0FD9" w:rsidP="00CA25CF">
            <w:pPr>
              <w:rPr>
                <w:rFonts w:cs="Arial"/>
                <w:color w:val="FF0000"/>
                <w:sz w:val="21"/>
                <w:szCs w:val="21"/>
              </w:rPr>
            </w:pPr>
          </w:p>
        </w:tc>
        <w:tc>
          <w:tcPr>
            <w:tcW w:w="217" w:type="dxa"/>
          </w:tcPr>
          <w:p w14:paraId="5ED96643" w14:textId="77777777" w:rsidR="002C0FD9" w:rsidRPr="00CA25CF" w:rsidRDefault="002C0FD9" w:rsidP="00CA25CF">
            <w:pPr>
              <w:rPr>
                <w:rFonts w:cs="Arial"/>
                <w:color w:val="FF0000"/>
                <w:sz w:val="21"/>
                <w:szCs w:val="21"/>
              </w:rPr>
            </w:pPr>
          </w:p>
        </w:tc>
        <w:tc>
          <w:tcPr>
            <w:tcW w:w="217" w:type="dxa"/>
          </w:tcPr>
          <w:p w14:paraId="55350B5B" w14:textId="77777777" w:rsidR="002C0FD9" w:rsidRPr="00CA25CF" w:rsidRDefault="002C0FD9" w:rsidP="00CA25CF">
            <w:pPr>
              <w:rPr>
                <w:rFonts w:cs="Arial"/>
                <w:color w:val="FF0000"/>
                <w:sz w:val="21"/>
                <w:szCs w:val="21"/>
              </w:rPr>
            </w:pPr>
          </w:p>
        </w:tc>
        <w:tc>
          <w:tcPr>
            <w:tcW w:w="217" w:type="dxa"/>
          </w:tcPr>
          <w:p w14:paraId="6F0174ED" w14:textId="77777777" w:rsidR="002C0FD9" w:rsidRPr="00CA25CF" w:rsidRDefault="002C0FD9" w:rsidP="00CA25CF">
            <w:pPr>
              <w:rPr>
                <w:rFonts w:cs="Arial"/>
                <w:color w:val="FF0000"/>
                <w:sz w:val="21"/>
                <w:szCs w:val="21"/>
              </w:rPr>
            </w:pPr>
          </w:p>
        </w:tc>
        <w:tc>
          <w:tcPr>
            <w:tcW w:w="217" w:type="dxa"/>
          </w:tcPr>
          <w:p w14:paraId="25EFA441" w14:textId="77777777" w:rsidR="002C0FD9" w:rsidRPr="00CA25CF" w:rsidRDefault="002C0FD9" w:rsidP="00CA25CF">
            <w:pPr>
              <w:rPr>
                <w:rFonts w:cs="Arial"/>
                <w:color w:val="FF0000"/>
                <w:sz w:val="21"/>
                <w:szCs w:val="21"/>
              </w:rPr>
            </w:pPr>
          </w:p>
        </w:tc>
        <w:tc>
          <w:tcPr>
            <w:tcW w:w="217" w:type="dxa"/>
          </w:tcPr>
          <w:p w14:paraId="757D2AB3" w14:textId="77777777" w:rsidR="002C0FD9" w:rsidRPr="00CA25CF" w:rsidRDefault="002C0FD9" w:rsidP="00CA25CF">
            <w:pPr>
              <w:rPr>
                <w:rFonts w:cs="Arial"/>
                <w:color w:val="FF0000"/>
                <w:sz w:val="21"/>
                <w:szCs w:val="21"/>
              </w:rPr>
            </w:pPr>
          </w:p>
        </w:tc>
        <w:tc>
          <w:tcPr>
            <w:tcW w:w="217" w:type="dxa"/>
          </w:tcPr>
          <w:p w14:paraId="5DDC141B" w14:textId="77777777" w:rsidR="002C0FD9" w:rsidRPr="00CA25CF" w:rsidRDefault="002C0FD9" w:rsidP="00CA25CF">
            <w:pPr>
              <w:rPr>
                <w:rFonts w:cs="Arial"/>
                <w:color w:val="FF0000"/>
                <w:sz w:val="21"/>
                <w:szCs w:val="21"/>
              </w:rPr>
            </w:pPr>
          </w:p>
        </w:tc>
        <w:tc>
          <w:tcPr>
            <w:tcW w:w="217" w:type="dxa"/>
          </w:tcPr>
          <w:p w14:paraId="5EFC2C0B" w14:textId="77777777" w:rsidR="002C0FD9" w:rsidRPr="00CA25CF" w:rsidRDefault="002C0FD9" w:rsidP="00CA25CF">
            <w:pPr>
              <w:rPr>
                <w:rFonts w:cs="Arial"/>
                <w:color w:val="FF0000"/>
                <w:sz w:val="21"/>
                <w:szCs w:val="21"/>
              </w:rPr>
            </w:pPr>
          </w:p>
        </w:tc>
        <w:tc>
          <w:tcPr>
            <w:tcW w:w="217" w:type="dxa"/>
          </w:tcPr>
          <w:p w14:paraId="0B3292D7" w14:textId="77777777" w:rsidR="002C0FD9" w:rsidRPr="00CA25CF" w:rsidRDefault="002C0FD9" w:rsidP="00CA25CF">
            <w:pPr>
              <w:rPr>
                <w:rFonts w:cs="Arial"/>
                <w:color w:val="FF0000"/>
                <w:sz w:val="21"/>
                <w:szCs w:val="21"/>
              </w:rPr>
            </w:pPr>
          </w:p>
        </w:tc>
        <w:tc>
          <w:tcPr>
            <w:tcW w:w="217" w:type="dxa"/>
          </w:tcPr>
          <w:p w14:paraId="2E380AB6" w14:textId="77777777" w:rsidR="002C0FD9" w:rsidRPr="00CA25CF" w:rsidRDefault="002C0FD9" w:rsidP="00CA25CF">
            <w:pPr>
              <w:rPr>
                <w:rFonts w:cs="Arial"/>
                <w:color w:val="FF0000"/>
                <w:sz w:val="21"/>
                <w:szCs w:val="21"/>
              </w:rPr>
            </w:pPr>
          </w:p>
        </w:tc>
        <w:tc>
          <w:tcPr>
            <w:tcW w:w="217" w:type="dxa"/>
          </w:tcPr>
          <w:p w14:paraId="36FFC255" w14:textId="77777777" w:rsidR="002C0FD9" w:rsidRPr="00CA25CF" w:rsidRDefault="002C0FD9" w:rsidP="00CA25CF">
            <w:pPr>
              <w:rPr>
                <w:rFonts w:cs="Arial"/>
                <w:color w:val="FF0000"/>
                <w:sz w:val="21"/>
                <w:szCs w:val="21"/>
              </w:rPr>
            </w:pPr>
          </w:p>
        </w:tc>
        <w:tc>
          <w:tcPr>
            <w:tcW w:w="217" w:type="dxa"/>
          </w:tcPr>
          <w:p w14:paraId="0CCF0508" w14:textId="77777777" w:rsidR="002C0FD9" w:rsidRPr="00CA25CF" w:rsidRDefault="002C0FD9" w:rsidP="00CA25CF">
            <w:pPr>
              <w:rPr>
                <w:rFonts w:cs="Arial"/>
                <w:color w:val="FF0000"/>
                <w:sz w:val="21"/>
                <w:szCs w:val="21"/>
              </w:rPr>
            </w:pPr>
          </w:p>
        </w:tc>
        <w:tc>
          <w:tcPr>
            <w:tcW w:w="217" w:type="dxa"/>
          </w:tcPr>
          <w:p w14:paraId="7D00C8B0" w14:textId="77777777" w:rsidR="002C0FD9" w:rsidRPr="00CA25CF" w:rsidRDefault="002C0FD9" w:rsidP="00CA25CF">
            <w:pPr>
              <w:rPr>
                <w:rFonts w:cs="Arial"/>
                <w:color w:val="FF0000"/>
                <w:sz w:val="21"/>
                <w:szCs w:val="21"/>
              </w:rPr>
            </w:pPr>
          </w:p>
        </w:tc>
      </w:tr>
      <w:tr w:rsidR="002C0FD9" w:rsidRPr="00A16219" w14:paraId="6CACA2F0" w14:textId="77777777" w:rsidTr="002C0FD9">
        <w:trPr>
          <w:trHeight w:val="635"/>
        </w:trPr>
        <w:tc>
          <w:tcPr>
            <w:tcW w:w="515" w:type="dxa"/>
          </w:tcPr>
          <w:p w14:paraId="406F6FA3" w14:textId="77777777" w:rsidR="002C0FD9" w:rsidRPr="00CA25CF" w:rsidRDefault="002C0FD9" w:rsidP="00CA25CF">
            <w:pPr>
              <w:rPr>
                <w:rFonts w:cs="Arial"/>
                <w:color w:val="FF0000"/>
                <w:sz w:val="21"/>
                <w:szCs w:val="21"/>
              </w:rPr>
            </w:pPr>
          </w:p>
        </w:tc>
        <w:tc>
          <w:tcPr>
            <w:tcW w:w="217" w:type="dxa"/>
          </w:tcPr>
          <w:p w14:paraId="0E1A9F3A" w14:textId="77777777" w:rsidR="002C0FD9" w:rsidRPr="00CA25CF" w:rsidRDefault="002C0FD9" w:rsidP="00CA25CF">
            <w:pPr>
              <w:rPr>
                <w:rFonts w:cs="Arial"/>
                <w:color w:val="FF0000"/>
                <w:sz w:val="21"/>
                <w:szCs w:val="21"/>
              </w:rPr>
            </w:pPr>
          </w:p>
        </w:tc>
        <w:tc>
          <w:tcPr>
            <w:tcW w:w="217" w:type="dxa"/>
          </w:tcPr>
          <w:p w14:paraId="2E5B33D6" w14:textId="77777777" w:rsidR="002C0FD9" w:rsidRPr="00CA25CF" w:rsidRDefault="002C0FD9" w:rsidP="00CA25CF">
            <w:pPr>
              <w:rPr>
                <w:rFonts w:cs="Arial"/>
                <w:color w:val="FF0000"/>
                <w:sz w:val="21"/>
                <w:szCs w:val="21"/>
              </w:rPr>
            </w:pPr>
          </w:p>
        </w:tc>
        <w:tc>
          <w:tcPr>
            <w:tcW w:w="217" w:type="dxa"/>
          </w:tcPr>
          <w:p w14:paraId="7BE06252" w14:textId="77777777" w:rsidR="002C0FD9" w:rsidRPr="00CA25CF" w:rsidRDefault="002C0FD9" w:rsidP="00CA25CF">
            <w:pPr>
              <w:rPr>
                <w:rFonts w:cs="Arial"/>
                <w:color w:val="FF0000"/>
                <w:sz w:val="21"/>
                <w:szCs w:val="21"/>
              </w:rPr>
            </w:pPr>
          </w:p>
        </w:tc>
        <w:tc>
          <w:tcPr>
            <w:tcW w:w="217" w:type="dxa"/>
          </w:tcPr>
          <w:p w14:paraId="6A28CBDD" w14:textId="77777777" w:rsidR="002C0FD9" w:rsidRPr="00CA25CF" w:rsidRDefault="002C0FD9" w:rsidP="00CA25CF">
            <w:pPr>
              <w:rPr>
                <w:rFonts w:cs="Arial"/>
                <w:color w:val="FF0000"/>
                <w:sz w:val="21"/>
                <w:szCs w:val="21"/>
              </w:rPr>
            </w:pPr>
          </w:p>
        </w:tc>
        <w:tc>
          <w:tcPr>
            <w:tcW w:w="217" w:type="dxa"/>
          </w:tcPr>
          <w:p w14:paraId="3A21C2AA" w14:textId="77777777" w:rsidR="002C0FD9" w:rsidRPr="00CA25CF" w:rsidRDefault="002C0FD9" w:rsidP="00CA25CF">
            <w:pPr>
              <w:rPr>
                <w:rFonts w:cs="Arial"/>
                <w:color w:val="FF0000"/>
                <w:sz w:val="21"/>
                <w:szCs w:val="21"/>
              </w:rPr>
            </w:pPr>
          </w:p>
        </w:tc>
        <w:tc>
          <w:tcPr>
            <w:tcW w:w="217" w:type="dxa"/>
          </w:tcPr>
          <w:p w14:paraId="3C35C462" w14:textId="77777777" w:rsidR="002C0FD9" w:rsidRPr="00CA25CF" w:rsidRDefault="002C0FD9" w:rsidP="00CA25CF">
            <w:pPr>
              <w:rPr>
                <w:rFonts w:cs="Arial"/>
                <w:color w:val="FF0000"/>
                <w:sz w:val="21"/>
                <w:szCs w:val="21"/>
              </w:rPr>
            </w:pPr>
          </w:p>
        </w:tc>
        <w:tc>
          <w:tcPr>
            <w:tcW w:w="217" w:type="dxa"/>
          </w:tcPr>
          <w:p w14:paraId="75BBA828" w14:textId="77777777" w:rsidR="002C0FD9" w:rsidRPr="00CA25CF" w:rsidRDefault="002C0FD9" w:rsidP="00CA25CF">
            <w:pPr>
              <w:rPr>
                <w:rFonts w:cs="Arial"/>
                <w:color w:val="FF0000"/>
                <w:sz w:val="21"/>
                <w:szCs w:val="21"/>
              </w:rPr>
            </w:pPr>
          </w:p>
        </w:tc>
        <w:tc>
          <w:tcPr>
            <w:tcW w:w="217" w:type="dxa"/>
          </w:tcPr>
          <w:p w14:paraId="3B2F0E74" w14:textId="77777777" w:rsidR="002C0FD9" w:rsidRPr="00CA25CF" w:rsidRDefault="002C0FD9" w:rsidP="00CA25CF">
            <w:pPr>
              <w:rPr>
                <w:rFonts w:cs="Arial"/>
                <w:color w:val="FF0000"/>
                <w:sz w:val="21"/>
                <w:szCs w:val="21"/>
              </w:rPr>
            </w:pPr>
          </w:p>
        </w:tc>
        <w:tc>
          <w:tcPr>
            <w:tcW w:w="217" w:type="dxa"/>
          </w:tcPr>
          <w:p w14:paraId="174A3EA7" w14:textId="77777777" w:rsidR="002C0FD9" w:rsidRPr="00CA25CF" w:rsidRDefault="002C0FD9" w:rsidP="00CA25CF">
            <w:pPr>
              <w:rPr>
                <w:rFonts w:cs="Arial"/>
                <w:color w:val="FF0000"/>
                <w:sz w:val="21"/>
                <w:szCs w:val="21"/>
              </w:rPr>
            </w:pPr>
          </w:p>
        </w:tc>
        <w:tc>
          <w:tcPr>
            <w:tcW w:w="217" w:type="dxa"/>
          </w:tcPr>
          <w:p w14:paraId="16523D39" w14:textId="77777777" w:rsidR="002C0FD9" w:rsidRPr="00CA25CF" w:rsidRDefault="002C0FD9" w:rsidP="00CA25CF">
            <w:pPr>
              <w:rPr>
                <w:rFonts w:cs="Arial"/>
                <w:color w:val="FF0000"/>
                <w:sz w:val="21"/>
                <w:szCs w:val="21"/>
              </w:rPr>
            </w:pPr>
          </w:p>
        </w:tc>
        <w:tc>
          <w:tcPr>
            <w:tcW w:w="217" w:type="dxa"/>
          </w:tcPr>
          <w:p w14:paraId="6C038228" w14:textId="77777777" w:rsidR="002C0FD9" w:rsidRPr="00CA25CF" w:rsidRDefault="002C0FD9" w:rsidP="00CA25CF">
            <w:pPr>
              <w:rPr>
                <w:rFonts w:cs="Arial"/>
                <w:color w:val="FF0000"/>
                <w:sz w:val="21"/>
                <w:szCs w:val="21"/>
              </w:rPr>
            </w:pPr>
          </w:p>
        </w:tc>
        <w:tc>
          <w:tcPr>
            <w:tcW w:w="217" w:type="dxa"/>
          </w:tcPr>
          <w:p w14:paraId="5DA51930" w14:textId="77777777" w:rsidR="002C0FD9" w:rsidRPr="00CA25CF" w:rsidRDefault="002C0FD9" w:rsidP="00CA25CF">
            <w:pPr>
              <w:rPr>
                <w:rFonts w:cs="Arial"/>
                <w:color w:val="FF0000"/>
                <w:sz w:val="21"/>
                <w:szCs w:val="21"/>
              </w:rPr>
            </w:pPr>
          </w:p>
        </w:tc>
        <w:tc>
          <w:tcPr>
            <w:tcW w:w="217" w:type="dxa"/>
          </w:tcPr>
          <w:p w14:paraId="21C42C6B" w14:textId="77777777" w:rsidR="002C0FD9" w:rsidRPr="00CA25CF" w:rsidRDefault="002C0FD9" w:rsidP="00CA25CF">
            <w:pPr>
              <w:rPr>
                <w:rFonts w:cs="Arial"/>
                <w:color w:val="FF0000"/>
                <w:sz w:val="21"/>
                <w:szCs w:val="21"/>
              </w:rPr>
            </w:pPr>
          </w:p>
        </w:tc>
        <w:tc>
          <w:tcPr>
            <w:tcW w:w="217" w:type="dxa"/>
          </w:tcPr>
          <w:p w14:paraId="7DE8C083" w14:textId="77777777" w:rsidR="002C0FD9" w:rsidRPr="00CA25CF" w:rsidRDefault="002C0FD9" w:rsidP="00CA25CF">
            <w:pPr>
              <w:rPr>
                <w:rFonts w:cs="Arial"/>
                <w:color w:val="FF0000"/>
                <w:sz w:val="21"/>
                <w:szCs w:val="21"/>
              </w:rPr>
            </w:pPr>
          </w:p>
        </w:tc>
        <w:tc>
          <w:tcPr>
            <w:tcW w:w="217" w:type="dxa"/>
          </w:tcPr>
          <w:p w14:paraId="652E51E8" w14:textId="77777777" w:rsidR="002C0FD9" w:rsidRPr="00CA25CF" w:rsidRDefault="002C0FD9" w:rsidP="00CA25CF">
            <w:pPr>
              <w:rPr>
                <w:rFonts w:cs="Arial"/>
                <w:color w:val="FF0000"/>
                <w:sz w:val="21"/>
                <w:szCs w:val="21"/>
              </w:rPr>
            </w:pPr>
          </w:p>
        </w:tc>
        <w:tc>
          <w:tcPr>
            <w:tcW w:w="217" w:type="dxa"/>
          </w:tcPr>
          <w:p w14:paraId="3D0915E9" w14:textId="77777777" w:rsidR="002C0FD9" w:rsidRPr="00CA25CF" w:rsidRDefault="002C0FD9" w:rsidP="00CA25CF">
            <w:pPr>
              <w:rPr>
                <w:rFonts w:cs="Arial"/>
                <w:color w:val="FF0000"/>
                <w:sz w:val="21"/>
                <w:szCs w:val="21"/>
              </w:rPr>
            </w:pPr>
          </w:p>
        </w:tc>
        <w:tc>
          <w:tcPr>
            <w:tcW w:w="217" w:type="dxa"/>
          </w:tcPr>
          <w:p w14:paraId="209A6350" w14:textId="77777777" w:rsidR="002C0FD9" w:rsidRPr="00CA25CF" w:rsidRDefault="002C0FD9" w:rsidP="00CA25CF">
            <w:pPr>
              <w:rPr>
                <w:rFonts w:cs="Arial"/>
                <w:color w:val="FF0000"/>
                <w:sz w:val="21"/>
                <w:szCs w:val="21"/>
              </w:rPr>
            </w:pPr>
          </w:p>
        </w:tc>
        <w:tc>
          <w:tcPr>
            <w:tcW w:w="217" w:type="dxa"/>
          </w:tcPr>
          <w:p w14:paraId="5DE0BB78" w14:textId="77777777" w:rsidR="002C0FD9" w:rsidRPr="00CA25CF" w:rsidRDefault="002C0FD9" w:rsidP="00CA25CF">
            <w:pPr>
              <w:rPr>
                <w:rFonts w:cs="Arial"/>
                <w:color w:val="FF0000"/>
                <w:sz w:val="21"/>
                <w:szCs w:val="21"/>
              </w:rPr>
            </w:pPr>
          </w:p>
        </w:tc>
        <w:tc>
          <w:tcPr>
            <w:tcW w:w="217" w:type="dxa"/>
          </w:tcPr>
          <w:p w14:paraId="1184C868" w14:textId="77777777" w:rsidR="002C0FD9" w:rsidRPr="00CA25CF" w:rsidRDefault="002C0FD9" w:rsidP="00CA25CF">
            <w:pPr>
              <w:rPr>
                <w:rFonts w:cs="Arial"/>
                <w:color w:val="FF0000"/>
                <w:sz w:val="21"/>
                <w:szCs w:val="21"/>
              </w:rPr>
            </w:pPr>
          </w:p>
        </w:tc>
        <w:tc>
          <w:tcPr>
            <w:tcW w:w="217" w:type="dxa"/>
          </w:tcPr>
          <w:p w14:paraId="2E090125" w14:textId="77777777" w:rsidR="002C0FD9" w:rsidRPr="00CA25CF" w:rsidRDefault="002C0FD9" w:rsidP="00CA25CF">
            <w:pPr>
              <w:rPr>
                <w:rFonts w:cs="Arial"/>
                <w:color w:val="FF0000"/>
                <w:sz w:val="21"/>
                <w:szCs w:val="21"/>
              </w:rPr>
            </w:pPr>
          </w:p>
        </w:tc>
        <w:tc>
          <w:tcPr>
            <w:tcW w:w="217" w:type="dxa"/>
          </w:tcPr>
          <w:p w14:paraId="2A7DA73C" w14:textId="77777777" w:rsidR="002C0FD9" w:rsidRPr="00CA25CF" w:rsidRDefault="002C0FD9" w:rsidP="00CA25CF">
            <w:pPr>
              <w:rPr>
                <w:rFonts w:cs="Arial"/>
                <w:color w:val="FF0000"/>
                <w:sz w:val="21"/>
                <w:szCs w:val="21"/>
              </w:rPr>
            </w:pPr>
          </w:p>
        </w:tc>
        <w:tc>
          <w:tcPr>
            <w:tcW w:w="217" w:type="dxa"/>
          </w:tcPr>
          <w:p w14:paraId="31856484" w14:textId="77777777" w:rsidR="002C0FD9" w:rsidRPr="00CA25CF" w:rsidRDefault="002C0FD9" w:rsidP="00CA25CF">
            <w:pPr>
              <w:rPr>
                <w:rFonts w:cs="Arial"/>
                <w:color w:val="FF0000"/>
                <w:sz w:val="21"/>
                <w:szCs w:val="21"/>
              </w:rPr>
            </w:pPr>
          </w:p>
        </w:tc>
        <w:tc>
          <w:tcPr>
            <w:tcW w:w="217" w:type="dxa"/>
          </w:tcPr>
          <w:p w14:paraId="656DECE0" w14:textId="77777777" w:rsidR="002C0FD9" w:rsidRPr="00CA25CF" w:rsidRDefault="002C0FD9" w:rsidP="00CA25CF">
            <w:pPr>
              <w:rPr>
                <w:rFonts w:cs="Arial"/>
                <w:color w:val="FF0000"/>
                <w:sz w:val="21"/>
                <w:szCs w:val="21"/>
              </w:rPr>
            </w:pPr>
          </w:p>
        </w:tc>
        <w:tc>
          <w:tcPr>
            <w:tcW w:w="217" w:type="dxa"/>
          </w:tcPr>
          <w:p w14:paraId="45252DCF" w14:textId="77777777" w:rsidR="002C0FD9" w:rsidRPr="00CA25CF" w:rsidRDefault="002C0FD9" w:rsidP="00CA25CF">
            <w:pPr>
              <w:rPr>
                <w:rFonts w:cs="Arial"/>
                <w:color w:val="FF0000"/>
                <w:sz w:val="21"/>
                <w:szCs w:val="21"/>
              </w:rPr>
            </w:pPr>
          </w:p>
        </w:tc>
        <w:tc>
          <w:tcPr>
            <w:tcW w:w="217" w:type="dxa"/>
          </w:tcPr>
          <w:p w14:paraId="3E5B2F46" w14:textId="77777777" w:rsidR="002C0FD9" w:rsidRPr="00CA25CF" w:rsidRDefault="002C0FD9" w:rsidP="00CA25CF">
            <w:pPr>
              <w:rPr>
                <w:rFonts w:cs="Arial"/>
                <w:color w:val="FF0000"/>
                <w:sz w:val="21"/>
                <w:szCs w:val="21"/>
              </w:rPr>
            </w:pPr>
          </w:p>
        </w:tc>
        <w:tc>
          <w:tcPr>
            <w:tcW w:w="217" w:type="dxa"/>
          </w:tcPr>
          <w:p w14:paraId="4B31586F" w14:textId="77777777" w:rsidR="002C0FD9" w:rsidRPr="00CA25CF" w:rsidRDefault="002C0FD9" w:rsidP="00CA25CF">
            <w:pPr>
              <w:rPr>
                <w:rFonts w:cs="Arial"/>
                <w:color w:val="FF0000"/>
                <w:sz w:val="21"/>
                <w:szCs w:val="21"/>
              </w:rPr>
            </w:pPr>
          </w:p>
        </w:tc>
        <w:tc>
          <w:tcPr>
            <w:tcW w:w="217" w:type="dxa"/>
          </w:tcPr>
          <w:p w14:paraId="3F1A8985" w14:textId="77777777" w:rsidR="002C0FD9" w:rsidRPr="00CA25CF" w:rsidRDefault="002C0FD9" w:rsidP="00CA25CF">
            <w:pPr>
              <w:rPr>
                <w:rFonts w:cs="Arial"/>
                <w:color w:val="FF0000"/>
                <w:sz w:val="21"/>
                <w:szCs w:val="21"/>
              </w:rPr>
            </w:pPr>
          </w:p>
        </w:tc>
        <w:tc>
          <w:tcPr>
            <w:tcW w:w="217" w:type="dxa"/>
          </w:tcPr>
          <w:p w14:paraId="781A7C12" w14:textId="77777777" w:rsidR="002C0FD9" w:rsidRPr="00CA25CF" w:rsidRDefault="002C0FD9" w:rsidP="00CA25CF">
            <w:pPr>
              <w:rPr>
                <w:rFonts w:cs="Arial"/>
                <w:color w:val="FF0000"/>
                <w:sz w:val="21"/>
                <w:szCs w:val="21"/>
              </w:rPr>
            </w:pPr>
          </w:p>
        </w:tc>
        <w:tc>
          <w:tcPr>
            <w:tcW w:w="217" w:type="dxa"/>
          </w:tcPr>
          <w:p w14:paraId="2B16A6B1" w14:textId="77777777" w:rsidR="002C0FD9" w:rsidRPr="00CA25CF" w:rsidRDefault="002C0FD9" w:rsidP="00CA25CF">
            <w:pPr>
              <w:rPr>
                <w:rFonts w:cs="Arial"/>
                <w:color w:val="FF0000"/>
                <w:sz w:val="21"/>
                <w:szCs w:val="21"/>
              </w:rPr>
            </w:pPr>
          </w:p>
        </w:tc>
        <w:tc>
          <w:tcPr>
            <w:tcW w:w="217" w:type="dxa"/>
          </w:tcPr>
          <w:p w14:paraId="1F059A36" w14:textId="77777777" w:rsidR="002C0FD9" w:rsidRPr="00CA25CF" w:rsidRDefault="002C0FD9" w:rsidP="00CA25CF">
            <w:pPr>
              <w:rPr>
                <w:rFonts w:cs="Arial"/>
                <w:color w:val="FF0000"/>
                <w:sz w:val="21"/>
                <w:szCs w:val="21"/>
              </w:rPr>
            </w:pPr>
          </w:p>
        </w:tc>
        <w:tc>
          <w:tcPr>
            <w:tcW w:w="217" w:type="dxa"/>
          </w:tcPr>
          <w:p w14:paraId="34F9CF27" w14:textId="77777777" w:rsidR="002C0FD9" w:rsidRPr="00CA25CF" w:rsidRDefault="002C0FD9" w:rsidP="00CA25CF">
            <w:pPr>
              <w:rPr>
                <w:rFonts w:cs="Arial"/>
                <w:color w:val="FF0000"/>
                <w:sz w:val="21"/>
                <w:szCs w:val="21"/>
              </w:rPr>
            </w:pPr>
          </w:p>
        </w:tc>
        <w:tc>
          <w:tcPr>
            <w:tcW w:w="217" w:type="dxa"/>
          </w:tcPr>
          <w:p w14:paraId="6E8CD438" w14:textId="77777777" w:rsidR="002C0FD9" w:rsidRPr="00CA25CF" w:rsidRDefault="002C0FD9" w:rsidP="00CA25CF">
            <w:pPr>
              <w:rPr>
                <w:rFonts w:cs="Arial"/>
                <w:color w:val="FF0000"/>
                <w:sz w:val="21"/>
                <w:szCs w:val="21"/>
              </w:rPr>
            </w:pPr>
          </w:p>
        </w:tc>
        <w:tc>
          <w:tcPr>
            <w:tcW w:w="217" w:type="dxa"/>
          </w:tcPr>
          <w:p w14:paraId="2BB66C5E" w14:textId="77777777" w:rsidR="002C0FD9" w:rsidRPr="00CA25CF" w:rsidRDefault="002C0FD9" w:rsidP="00CA25CF">
            <w:pPr>
              <w:rPr>
                <w:rFonts w:cs="Arial"/>
                <w:color w:val="FF0000"/>
                <w:sz w:val="21"/>
                <w:szCs w:val="21"/>
              </w:rPr>
            </w:pPr>
          </w:p>
        </w:tc>
        <w:tc>
          <w:tcPr>
            <w:tcW w:w="217" w:type="dxa"/>
          </w:tcPr>
          <w:p w14:paraId="10682DF0" w14:textId="77777777" w:rsidR="002C0FD9" w:rsidRPr="00CA25CF" w:rsidRDefault="002C0FD9" w:rsidP="00CA25CF">
            <w:pPr>
              <w:rPr>
                <w:rFonts w:cs="Arial"/>
                <w:color w:val="FF0000"/>
                <w:sz w:val="21"/>
                <w:szCs w:val="21"/>
              </w:rPr>
            </w:pPr>
          </w:p>
        </w:tc>
        <w:tc>
          <w:tcPr>
            <w:tcW w:w="217" w:type="dxa"/>
          </w:tcPr>
          <w:p w14:paraId="07B71739" w14:textId="77777777" w:rsidR="002C0FD9" w:rsidRPr="00CA25CF" w:rsidRDefault="002C0FD9" w:rsidP="00CA25CF">
            <w:pPr>
              <w:rPr>
                <w:rFonts w:cs="Arial"/>
                <w:color w:val="FF0000"/>
                <w:sz w:val="21"/>
                <w:szCs w:val="21"/>
              </w:rPr>
            </w:pPr>
          </w:p>
        </w:tc>
        <w:tc>
          <w:tcPr>
            <w:tcW w:w="217" w:type="dxa"/>
          </w:tcPr>
          <w:p w14:paraId="1602A0AE" w14:textId="77777777" w:rsidR="002C0FD9" w:rsidRPr="00CA25CF" w:rsidRDefault="002C0FD9" w:rsidP="00CA25CF">
            <w:pPr>
              <w:rPr>
                <w:rFonts w:cs="Arial"/>
                <w:color w:val="FF0000"/>
                <w:sz w:val="21"/>
                <w:szCs w:val="21"/>
              </w:rPr>
            </w:pPr>
          </w:p>
        </w:tc>
        <w:tc>
          <w:tcPr>
            <w:tcW w:w="217" w:type="dxa"/>
          </w:tcPr>
          <w:p w14:paraId="7DDAE4CF" w14:textId="77777777" w:rsidR="002C0FD9" w:rsidRPr="00CA25CF" w:rsidRDefault="002C0FD9" w:rsidP="00CA25CF">
            <w:pPr>
              <w:rPr>
                <w:rFonts w:cs="Arial"/>
                <w:color w:val="FF0000"/>
                <w:sz w:val="21"/>
                <w:szCs w:val="21"/>
              </w:rPr>
            </w:pPr>
          </w:p>
        </w:tc>
        <w:tc>
          <w:tcPr>
            <w:tcW w:w="217" w:type="dxa"/>
          </w:tcPr>
          <w:p w14:paraId="5188E2D7" w14:textId="77777777" w:rsidR="002C0FD9" w:rsidRPr="00CA25CF" w:rsidRDefault="002C0FD9" w:rsidP="00CA25CF">
            <w:pPr>
              <w:rPr>
                <w:rFonts w:cs="Arial"/>
                <w:color w:val="FF0000"/>
                <w:sz w:val="21"/>
                <w:szCs w:val="21"/>
              </w:rPr>
            </w:pPr>
          </w:p>
        </w:tc>
        <w:tc>
          <w:tcPr>
            <w:tcW w:w="217" w:type="dxa"/>
          </w:tcPr>
          <w:p w14:paraId="0B7345E0" w14:textId="77777777" w:rsidR="002C0FD9" w:rsidRPr="00CA25CF" w:rsidRDefault="002C0FD9" w:rsidP="00CA25CF">
            <w:pPr>
              <w:rPr>
                <w:rFonts w:cs="Arial"/>
                <w:color w:val="FF0000"/>
                <w:sz w:val="21"/>
                <w:szCs w:val="21"/>
              </w:rPr>
            </w:pPr>
          </w:p>
        </w:tc>
        <w:tc>
          <w:tcPr>
            <w:tcW w:w="217" w:type="dxa"/>
          </w:tcPr>
          <w:p w14:paraId="604C47D6" w14:textId="77777777" w:rsidR="002C0FD9" w:rsidRPr="00CA25CF" w:rsidRDefault="002C0FD9" w:rsidP="00CA25CF">
            <w:pPr>
              <w:rPr>
                <w:rFonts w:cs="Arial"/>
                <w:color w:val="FF0000"/>
                <w:sz w:val="21"/>
                <w:szCs w:val="21"/>
              </w:rPr>
            </w:pPr>
          </w:p>
        </w:tc>
        <w:tc>
          <w:tcPr>
            <w:tcW w:w="217" w:type="dxa"/>
          </w:tcPr>
          <w:p w14:paraId="696CD60D" w14:textId="77777777" w:rsidR="002C0FD9" w:rsidRPr="00CA25CF" w:rsidRDefault="002C0FD9" w:rsidP="00CA25CF">
            <w:pPr>
              <w:rPr>
                <w:rFonts w:cs="Arial"/>
                <w:color w:val="FF0000"/>
                <w:sz w:val="21"/>
                <w:szCs w:val="21"/>
              </w:rPr>
            </w:pPr>
          </w:p>
        </w:tc>
        <w:tc>
          <w:tcPr>
            <w:tcW w:w="217" w:type="dxa"/>
          </w:tcPr>
          <w:p w14:paraId="0F5C8D7D" w14:textId="77777777" w:rsidR="002C0FD9" w:rsidRPr="00CA25CF" w:rsidRDefault="002C0FD9" w:rsidP="00CA25CF">
            <w:pPr>
              <w:rPr>
                <w:rFonts w:cs="Arial"/>
                <w:color w:val="FF0000"/>
                <w:sz w:val="21"/>
                <w:szCs w:val="21"/>
              </w:rPr>
            </w:pPr>
          </w:p>
        </w:tc>
      </w:tr>
      <w:tr w:rsidR="002C0FD9" w:rsidRPr="00A16219" w14:paraId="1E421FD8" w14:textId="77777777" w:rsidTr="002C0FD9">
        <w:trPr>
          <w:trHeight w:val="635"/>
        </w:trPr>
        <w:tc>
          <w:tcPr>
            <w:tcW w:w="515" w:type="dxa"/>
          </w:tcPr>
          <w:p w14:paraId="35F3C9AC" w14:textId="77777777" w:rsidR="002C0FD9" w:rsidRPr="00CA25CF" w:rsidRDefault="002C0FD9" w:rsidP="00CA25CF">
            <w:pPr>
              <w:rPr>
                <w:rFonts w:cs="Arial"/>
                <w:color w:val="FF0000"/>
                <w:sz w:val="21"/>
                <w:szCs w:val="21"/>
              </w:rPr>
            </w:pPr>
          </w:p>
        </w:tc>
        <w:tc>
          <w:tcPr>
            <w:tcW w:w="217" w:type="dxa"/>
          </w:tcPr>
          <w:p w14:paraId="648CA852" w14:textId="77777777" w:rsidR="002C0FD9" w:rsidRPr="00CA25CF" w:rsidRDefault="002C0FD9" w:rsidP="00CA25CF">
            <w:pPr>
              <w:rPr>
                <w:rFonts w:cs="Arial"/>
                <w:color w:val="FF0000"/>
                <w:sz w:val="21"/>
                <w:szCs w:val="21"/>
              </w:rPr>
            </w:pPr>
          </w:p>
        </w:tc>
        <w:tc>
          <w:tcPr>
            <w:tcW w:w="217" w:type="dxa"/>
          </w:tcPr>
          <w:p w14:paraId="03222DA8" w14:textId="77777777" w:rsidR="002C0FD9" w:rsidRPr="00CA25CF" w:rsidRDefault="002C0FD9" w:rsidP="00CA25CF">
            <w:pPr>
              <w:rPr>
                <w:rFonts w:cs="Arial"/>
                <w:color w:val="FF0000"/>
                <w:sz w:val="21"/>
                <w:szCs w:val="21"/>
              </w:rPr>
            </w:pPr>
          </w:p>
        </w:tc>
        <w:tc>
          <w:tcPr>
            <w:tcW w:w="217" w:type="dxa"/>
          </w:tcPr>
          <w:p w14:paraId="513E2DAB" w14:textId="77777777" w:rsidR="002C0FD9" w:rsidRPr="00CA25CF" w:rsidRDefault="002C0FD9" w:rsidP="00CA25CF">
            <w:pPr>
              <w:rPr>
                <w:rFonts w:cs="Arial"/>
                <w:color w:val="FF0000"/>
                <w:sz w:val="21"/>
                <w:szCs w:val="21"/>
              </w:rPr>
            </w:pPr>
          </w:p>
        </w:tc>
        <w:tc>
          <w:tcPr>
            <w:tcW w:w="217" w:type="dxa"/>
          </w:tcPr>
          <w:p w14:paraId="596AD655" w14:textId="77777777" w:rsidR="002C0FD9" w:rsidRPr="00CA25CF" w:rsidRDefault="002C0FD9" w:rsidP="00CA25CF">
            <w:pPr>
              <w:rPr>
                <w:rFonts w:cs="Arial"/>
                <w:color w:val="FF0000"/>
                <w:sz w:val="21"/>
                <w:szCs w:val="21"/>
              </w:rPr>
            </w:pPr>
          </w:p>
        </w:tc>
        <w:tc>
          <w:tcPr>
            <w:tcW w:w="217" w:type="dxa"/>
          </w:tcPr>
          <w:p w14:paraId="72AD6A38" w14:textId="77777777" w:rsidR="002C0FD9" w:rsidRPr="00CA25CF" w:rsidRDefault="002C0FD9" w:rsidP="00CA25CF">
            <w:pPr>
              <w:rPr>
                <w:rFonts w:cs="Arial"/>
                <w:color w:val="FF0000"/>
                <w:sz w:val="21"/>
                <w:szCs w:val="21"/>
              </w:rPr>
            </w:pPr>
          </w:p>
        </w:tc>
        <w:tc>
          <w:tcPr>
            <w:tcW w:w="217" w:type="dxa"/>
          </w:tcPr>
          <w:p w14:paraId="01D0E367" w14:textId="77777777" w:rsidR="002C0FD9" w:rsidRPr="00CA25CF" w:rsidRDefault="002C0FD9" w:rsidP="00CA25CF">
            <w:pPr>
              <w:rPr>
                <w:rFonts w:cs="Arial"/>
                <w:color w:val="FF0000"/>
                <w:sz w:val="21"/>
                <w:szCs w:val="21"/>
              </w:rPr>
            </w:pPr>
          </w:p>
        </w:tc>
        <w:tc>
          <w:tcPr>
            <w:tcW w:w="217" w:type="dxa"/>
          </w:tcPr>
          <w:p w14:paraId="45B0A00A" w14:textId="77777777" w:rsidR="002C0FD9" w:rsidRPr="00CA25CF" w:rsidRDefault="002C0FD9" w:rsidP="00CA25CF">
            <w:pPr>
              <w:rPr>
                <w:rFonts w:cs="Arial"/>
                <w:color w:val="FF0000"/>
                <w:sz w:val="21"/>
                <w:szCs w:val="21"/>
              </w:rPr>
            </w:pPr>
          </w:p>
        </w:tc>
        <w:tc>
          <w:tcPr>
            <w:tcW w:w="217" w:type="dxa"/>
          </w:tcPr>
          <w:p w14:paraId="23F86D43" w14:textId="77777777" w:rsidR="002C0FD9" w:rsidRPr="00CA25CF" w:rsidRDefault="002C0FD9" w:rsidP="00CA25CF">
            <w:pPr>
              <w:rPr>
                <w:rFonts w:cs="Arial"/>
                <w:color w:val="FF0000"/>
                <w:sz w:val="21"/>
                <w:szCs w:val="21"/>
              </w:rPr>
            </w:pPr>
          </w:p>
        </w:tc>
        <w:tc>
          <w:tcPr>
            <w:tcW w:w="217" w:type="dxa"/>
          </w:tcPr>
          <w:p w14:paraId="0C8474B7" w14:textId="77777777" w:rsidR="002C0FD9" w:rsidRPr="00CA25CF" w:rsidRDefault="002C0FD9" w:rsidP="00CA25CF">
            <w:pPr>
              <w:rPr>
                <w:rFonts w:cs="Arial"/>
                <w:color w:val="FF0000"/>
                <w:sz w:val="21"/>
                <w:szCs w:val="21"/>
              </w:rPr>
            </w:pPr>
          </w:p>
        </w:tc>
        <w:tc>
          <w:tcPr>
            <w:tcW w:w="217" w:type="dxa"/>
          </w:tcPr>
          <w:p w14:paraId="507E4DFF" w14:textId="77777777" w:rsidR="002C0FD9" w:rsidRPr="00CA25CF" w:rsidRDefault="002C0FD9" w:rsidP="00CA25CF">
            <w:pPr>
              <w:rPr>
                <w:rFonts w:cs="Arial"/>
                <w:color w:val="FF0000"/>
                <w:sz w:val="21"/>
                <w:szCs w:val="21"/>
              </w:rPr>
            </w:pPr>
          </w:p>
        </w:tc>
        <w:tc>
          <w:tcPr>
            <w:tcW w:w="217" w:type="dxa"/>
          </w:tcPr>
          <w:p w14:paraId="18830E59" w14:textId="77777777" w:rsidR="002C0FD9" w:rsidRPr="00CA25CF" w:rsidRDefault="002C0FD9" w:rsidP="00CA25CF">
            <w:pPr>
              <w:rPr>
                <w:rFonts w:cs="Arial"/>
                <w:color w:val="FF0000"/>
                <w:sz w:val="21"/>
                <w:szCs w:val="21"/>
              </w:rPr>
            </w:pPr>
          </w:p>
        </w:tc>
        <w:tc>
          <w:tcPr>
            <w:tcW w:w="217" w:type="dxa"/>
          </w:tcPr>
          <w:p w14:paraId="76CA3695" w14:textId="77777777" w:rsidR="002C0FD9" w:rsidRPr="00CA25CF" w:rsidRDefault="002C0FD9" w:rsidP="00CA25CF">
            <w:pPr>
              <w:rPr>
                <w:rFonts w:cs="Arial"/>
                <w:color w:val="FF0000"/>
                <w:sz w:val="21"/>
                <w:szCs w:val="21"/>
              </w:rPr>
            </w:pPr>
          </w:p>
        </w:tc>
        <w:tc>
          <w:tcPr>
            <w:tcW w:w="217" w:type="dxa"/>
          </w:tcPr>
          <w:p w14:paraId="469CF28E" w14:textId="77777777" w:rsidR="002C0FD9" w:rsidRPr="00CA25CF" w:rsidRDefault="002C0FD9" w:rsidP="00CA25CF">
            <w:pPr>
              <w:rPr>
                <w:rFonts w:cs="Arial"/>
                <w:color w:val="FF0000"/>
                <w:sz w:val="21"/>
                <w:szCs w:val="21"/>
              </w:rPr>
            </w:pPr>
          </w:p>
        </w:tc>
        <w:tc>
          <w:tcPr>
            <w:tcW w:w="217" w:type="dxa"/>
          </w:tcPr>
          <w:p w14:paraId="0E12182B" w14:textId="77777777" w:rsidR="002C0FD9" w:rsidRPr="00CA25CF" w:rsidRDefault="002C0FD9" w:rsidP="00CA25CF">
            <w:pPr>
              <w:rPr>
                <w:rFonts w:cs="Arial"/>
                <w:color w:val="FF0000"/>
                <w:sz w:val="21"/>
                <w:szCs w:val="21"/>
              </w:rPr>
            </w:pPr>
          </w:p>
        </w:tc>
        <w:tc>
          <w:tcPr>
            <w:tcW w:w="217" w:type="dxa"/>
          </w:tcPr>
          <w:p w14:paraId="6735D048" w14:textId="77777777" w:rsidR="002C0FD9" w:rsidRPr="00CA25CF" w:rsidRDefault="002C0FD9" w:rsidP="00CA25CF">
            <w:pPr>
              <w:rPr>
                <w:rFonts w:cs="Arial"/>
                <w:color w:val="FF0000"/>
                <w:sz w:val="21"/>
                <w:szCs w:val="21"/>
              </w:rPr>
            </w:pPr>
          </w:p>
        </w:tc>
        <w:tc>
          <w:tcPr>
            <w:tcW w:w="217" w:type="dxa"/>
          </w:tcPr>
          <w:p w14:paraId="16844FDF" w14:textId="77777777" w:rsidR="002C0FD9" w:rsidRPr="00CA25CF" w:rsidRDefault="002C0FD9" w:rsidP="00CA25CF">
            <w:pPr>
              <w:rPr>
                <w:rFonts w:cs="Arial"/>
                <w:color w:val="FF0000"/>
                <w:sz w:val="21"/>
                <w:szCs w:val="21"/>
              </w:rPr>
            </w:pPr>
          </w:p>
        </w:tc>
        <w:tc>
          <w:tcPr>
            <w:tcW w:w="217" w:type="dxa"/>
          </w:tcPr>
          <w:p w14:paraId="6CF8DF32" w14:textId="77777777" w:rsidR="002C0FD9" w:rsidRPr="00CA25CF" w:rsidRDefault="002C0FD9" w:rsidP="00CA25CF">
            <w:pPr>
              <w:rPr>
                <w:rFonts w:cs="Arial"/>
                <w:color w:val="FF0000"/>
                <w:sz w:val="21"/>
                <w:szCs w:val="21"/>
              </w:rPr>
            </w:pPr>
          </w:p>
        </w:tc>
        <w:tc>
          <w:tcPr>
            <w:tcW w:w="217" w:type="dxa"/>
          </w:tcPr>
          <w:p w14:paraId="2297826B" w14:textId="77777777" w:rsidR="002C0FD9" w:rsidRPr="00CA25CF" w:rsidRDefault="002C0FD9" w:rsidP="00CA25CF">
            <w:pPr>
              <w:rPr>
                <w:rFonts w:cs="Arial"/>
                <w:color w:val="FF0000"/>
                <w:sz w:val="21"/>
                <w:szCs w:val="21"/>
              </w:rPr>
            </w:pPr>
          </w:p>
        </w:tc>
        <w:tc>
          <w:tcPr>
            <w:tcW w:w="217" w:type="dxa"/>
          </w:tcPr>
          <w:p w14:paraId="29730316" w14:textId="77777777" w:rsidR="002C0FD9" w:rsidRPr="00CA25CF" w:rsidRDefault="002C0FD9" w:rsidP="00CA25CF">
            <w:pPr>
              <w:rPr>
                <w:rFonts w:cs="Arial"/>
                <w:color w:val="FF0000"/>
                <w:sz w:val="21"/>
                <w:szCs w:val="21"/>
              </w:rPr>
            </w:pPr>
          </w:p>
        </w:tc>
        <w:tc>
          <w:tcPr>
            <w:tcW w:w="217" w:type="dxa"/>
          </w:tcPr>
          <w:p w14:paraId="3C4A3005" w14:textId="77777777" w:rsidR="002C0FD9" w:rsidRPr="00CA25CF" w:rsidRDefault="002C0FD9" w:rsidP="00CA25CF">
            <w:pPr>
              <w:rPr>
                <w:rFonts w:cs="Arial"/>
                <w:color w:val="FF0000"/>
                <w:sz w:val="21"/>
                <w:szCs w:val="21"/>
              </w:rPr>
            </w:pPr>
          </w:p>
        </w:tc>
        <w:tc>
          <w:tcPr>
            <w:tcW w:w="217" w:type="dxa"/>
          </w:tcPr>
          <w:p w14:paraId="0520FF2B" w14:textId="77777777" w:rsidR="002C0FD9" w:rsidRPr="00CA25CF" w:rsidRDefault="002C0FD9" w:rsidP="00CA25CF">
            <w:pPr>
              <w:rPr>
                <w:rFonts w:cs="Arial"/>
                <w:color w:val="FF0000"/>
                <w:sz w:val="21"/>
                <w:szCs w:val="21"/>
              </w:rPr>
            </w:pPr>
          </w:p>
        </w:tc>
        <w:tc>
          <w:tcPr>
            <w:tcW w:w="217" w:type="dxa"/>
          </w:tcPr>
          <w:p w14:paraId="5DE9D5CF" w14:textId="77777777" w:rsidR="002C0FD9" w:rsidRPr="00CA25CF" w:rsidRDefault="002C0FD9" w:rsidP="00CA25CF">
            <w:pPr>
              <w:rPr>
                <w:rFonts w:cs="Arial"/>
                <w:color w:val="FF0000"/>
                <w:sz w:val="21"/>
                <w:szCs w:val="21"/>
              </w:rPr>
            </w:pPr>
          </w:p>
        </w:tc>
        <w:tc>
          <w:tcPr>
            <w:tcW w:w="217" w:type="dxa"/>
          </w:tcPr>
          <w:p w14:paraId="6EBC4116" w14:textId="77777777" w:rsidR="002C0FD9" w:rsidRPr="00CA25CF" w:rsidRDefault="002C0FD9" w:rsidP="00CA25CF">
            <w:pPr>
              <w:rPr>
                <w:rFonts w:cs="Arial"/>
                <w:color w:val="FF0000"/>
                <w:sz w:val="21"/>
                <w:szCs w:val="21"/>
              </w:rPr>
            </w:pPr>
          </w:p>
        </w:tc>
        <w:tc>
          <w:tcPr>
            <w:tcW w:w="217" w:type="dxa"/>
          </w:tcPr>
          <w:p w14:paraId="4719CF7E" w14:textId="77777777" w:rsidR="002C0FD9" w:rsidRPr="00CA25CF" w:rsidRDefault="002C0FD9" w:rsidP="00CA25CF">
            <w:pPr>
              <w:rPr>
                <w:rFonts w:cs="Arial"/>
                <w:color w:val="FF0000"/>
                <w:sz w:val="21"/>
                <w:szCs w:val="21"/>
              </w:rPr>
            </w:pPr>
          </w:p>
        </w:tc>
        <w:tc>
          <w:tcPr>
            <w:tcW w:w="217" w:type="dxa"/>
          </w:tcPr>
          <w:p w14:paraId="443A0132" w14:textId="77777777" w:rsidR="002C0FD9" w:rsidRPr="00CA25CF" w:rsidRDefault="002C0FD9" w:rsidP="00CA25CF">
            <w:pPr>
              <w:rPr>
                <w:rFonts w:cs="Arial"/>
                <w:color w:val="FF0000"/>
                <w:sz w:val="21"/>
                <w:szCs w:val="21"/>
              </w:rPr>
            </w:pPr>
          </w:p>
        </w:tc>
        <w:tc>
          <w:tcPr>
            <w:tcW w:w="217" w:type="dxa"/>
          </w:tcPr>
          <w:p w14:paraId="004CAEA3" w14:textId="77777777" w:rsidR="002C0FD9" w:rsidRPr="00CA25CF" w:rsidRDefault="002C0FD9" w:rsidP="00CA25CF">
            <w:pPr>
              <w:rPr>
                <w:rFonts w:cs="Arial"/>
                <w:color w:val="FF0000"/>
                <w:sz w:val="21"/>
                <w:szCs w:val="21"/>
              </w:rPr>
            </w:pPr>
          </w:p>
        </w:tc>
        <w:tc>
          <w:tcPr>
            <w:tcW w:w="217" w:type="dxa"/>
          </w:tcPr>
          <w:p w14:paraId="18D46408" w14:textId="77777777" w:rsidR="002C0FD9" w:rsidRPr="00CA25CF" w:rsidRDefault="002C0FD9" w:rsidP="00CA25CF">
            <w:pPr>
              <w:rPr>
                <w:rFonts w:cs="Arial"/>
                <w:color w:val="FF0000"/>
                <w:sz w:val="21"/>
                <w:szCs w:val="21"/>
              </w:rPr>
            </w:pPr>
          </w:p>
        </w:tc>
        <w:tc>
          <w:tcPr>
            <w:tcW w:w="217" w:type="dxa"/>
          </w:tcPr>
          <w:p w14:paraId="270E3EF5" w14:textId="77777777" w:rsidR="002C0FD9" w:rsidRPr="00CA25CF" w:rsidRDefault="002C0FD9" w:rsidP="00CA25CF">
            <w:pPr>
              <w:rPr>
                <w:rFonts w:cs="Arial"/>
                <w:color w:val="FF0000"/>
                <w:sz w:val="21"/>
                <w:szCs w:val="21"/>
              </w:rPr>
            </w:pPr>
          </w:p>
        </w:tc>
        <w:tc>
          <w:tcPr>
            <w:tcW w:w="217" w:type="dxa"/>
          </w:tcPr>
          <w:p w14:paraId="6891F9C0" w14:textId="77777777" w:rsidR="002C0FD9" w:rsidRPr="00CA25CF" w:rsidRDefault="002C0FD9" w:rsidP="00CA25CF">
            <w:pPr>
              <w:rPr>
                <w:rFonts w:cs="Arial"/>
                <w:color w:val="FF0000"/>
                <w:sz w:val="21"/>
                <w:szCs w:val="21"/>
              </w:rPr>
            </w:pPr>
          </w:p>
        </w:tc>
        <w:tc>
          <w:tcPr>
            <w:tcW w:w="217" w:type="dxa"/>
          </w:tcPr>
          <w:p w14:paraId="4327285F" w14:textId="77777777" w:rsidR="002C0FD9" w:rsidRPr="00CA25CF" w:rsidRDefault="002C0FD9" w:rsidP="00CA25CF">
            <w:pPr>
              <w:rPr>
                <w:rFonts w:cs="Arial"/>
                <w:color w:val="FF0000"/>
                <w:sz w:val="21"/>
                <w:szCs w:val="21"/>
              </w:rPr>
            </w:pPr>
          </w:p>
        </w:tc>
        <w:tc>
          <w:tcPr>
            <w:tcW w:w="217" w:type="dxa"/>
          </w:tcPr>
          <w:p w14:paraId="50449462" w14:textId="77777777" w:rsidR="002C0FD9" w:rsidRPr="00CA25CF" w:rsidRDefault="002C0FD9" w:rsidP="00CA25CF">
            <w:pPr>
              <w:rPr>
                <w:rFonts w:cs="Arial"/>
                <w:color w:val="FF0000"/>
                <w:sz w:val="21"/>
                <w:szCs w:val="21"/>
              </w:rPr>
            </w:pPr>
          </w:p>
        </w:tc>
        <w:tc>
          <w:tcPr>
            <w:tcW w:w="217" w:type="dxa"/>
          </w:tcPr>
          <w:p w14:paraId="71FD6591" w14:textId="77777777" w:rsidR="002C0FD9" w:rsidRPr="00CA25CF" w:rsidRDefault="002C0FD9" w:rsidP="00CA25CF">
            <w:pPr>
              <w:rPr>
                <w:rFonts w:cs="Arial"/>
                <w:color w:val="FF0000"/>
                <w:sz w:val="21"/>
                <w:szCs w:val="21"/>
              </w:rPr>
            </w:pPr>
          </w:p>
        </w:tc>
        <w:tc>
          <w:tcPr>
            <w:tcW w:w="217" w:type="dxa"/>
          </w:tcPr>
          <w:p w14:paraId="212E5015" w14:textId="77777777" w:rsidR="002C0FD9" w:rsidRPr="00CA25CF" w:rsidRDefault="002C0FD9" w:rsidP="00CA25CF">
            <w:pPr>
              <w:rPr>
                <w:rFonts w:cs="Arial"/>
                <w:color w:val="FF0000"/>
                <w:sz w:val="21"/>
                <w:szCs w:val="21"/>
              </w:rPr>
            </w:pPr>
          </w:p>
        </w:tc>
        <w:tc>
          <w:tcPr>
            <w:tcW w:w="217" w:type="dxa"/>
          </w:tcPr>
          <w:p w14:paraId="08C2F865" w14:textId="77777777" w:rsidR="002C0FD9" w:rsidRPr="00CA25CF" w:rsidRDefault="002C0FD9" w:rsidP="00CA25CF">
            <w:pPr>
              <w:rPr>
                <w:rFonts w:cs="Arial"/>
                <w:color w:val="FF0000"/>
                <w:sz w:val="21"/>
                <w:szCs w:val="21"/>
              </w:rPr>
            </w:pPr>
          </w:p>
        </w:tc>
        <w:tc>
          <w:tcPr>
            <w:tcW w:w="217" w:type="dxa"/>
          </w:tcPr>
          <w:p w14:paraId="3ABFE819" w14:textId="77777777" w:rsidR="002C0FD9" w:rsidRPr="00CA25CF" w:rsidRDefault="002C0FD9" w:rsidP="00CA25CF">
            <w:pPr>
              <w:rPr>
                <w:rFonts w:cs="Arial"/>
                <w:color w:val="FF0000"/>
                <w:sz w:val="21"/>
                <w:szCs w:val="21"/>
              </w:rPr>
            </w:pPr>
          </w:p>
        </w:tc>
        <w:tc>
          <w:tcPr>
            <w:tcW w:w="217" w:type="dxa"/>
          </w:tcPr>
          <w:p w14:paraId="6F37E3C4" w14:textId="77777777" w:rsidR="002C0FD9" w:rsidRPr="00CA25CF" w:rsidRDefault="002C0FD9" w:rsidP="00CA25CF">
            <w:pPr>
              <w:rPr>
                <w:rFonts w:cs="Arial"/>
                <w:color w:val="FF0000"/>
                <w:sz w:val="21"/>
                <w:szCs w:val="21"/>
              </w:rPr>
            </w:pPr>
          </w:p>
        </w:tc>
        <w:tc>
          <w:tcPr>
            <w:tcW w:w="217" w:type="dxa"/>
          </w:tcPr>
          <w:p w14:paraId="4E29CA7E" w14:textId="77777777" w:rsidR="002C0FD9" w:rsidRPr="00CA25CF" w:rsidRDefault="002C0FD9" w:rsidP="00CA25CF">
            <w:pPr>
              <w:rPr>
                <w:rFonts w:cs="Arial"/>
                <w:color w:val="FF0000"/>
                <w:sz w:val="21"/>
                <w:szCs w:val="21"/>
              </w:rPr>
            </w:pPr>
          </w:p>
        </w:tc>
        <w:tc>
          <w:tcPr>
            <w:tcW w:w="217" w:type="dxa"/>
          </w:tcPr>
          <w:p w14:paraId="344A1A04" w14:textId="77777777" w:rsidR="002C0FD9" w:rsidRPr="00CA25CF" w:rsidRDefault="002C0FD9" w:rsidP="00CA25CF">
            <w:pPr>
              <w:rPr>
                <w:rFonts w:cs="Arial"/>
                <w:color w:val="FF0000"/>
                <w:sz w:val="21"/>
                <w:szCs w:val="21"/>
              </w:rPr>
            </w:pPr>
          </w:p>
        </w:tc>
        <w:tc>
          <w:tcPr>
            <w:tcW w:w="217" w:type="dxa"/>
          </w:tcPr>
          <w:p w14:paraId="19D4E7EB" w14:textId="77777777" w:rsidR="002C0FD9" w:rsidRPr="00CA25CF" w:rsidRDefault="002C0FD9" w:rsidP="00CA25CF">
            <w:pPr>
              <w:rPr>
                <w:rFonts w:cs="Arial"/>
                <w:color w:val="FF0000"/>
                <w:sz w:val="21"/>
                <w:szCs w:val="21"/>
              </w:rPr>
            </w:pPr>
          </w:p>
        </w:tc>
        <w:tc>
          <w:tcPr>
            <w:tcW w:w="217" w:type="dxa"/>
          </w:tcPr>
          <w:p w14:paraId="17D1DB65" w14:textId="77777777" w:rsidR="002C0FD9" w:rsidRPr="00CA25CF" w:rsidRDefault="002C0FD9" w:rsidP="00CA25CF">
            <w:pPr>
              <w:rPr>
                <w:rFonts w:cs="Arial"/>
                <w:color w:val="FF0000"/>
                <w:sz w:val="21"/>
                <w:szCs w:val="21"/>
              </w:rPr>
            </w:pPr>
          </w:p>
        </w:tc>
        <w:tc>
          <w:tcPr>
            <w:tcW w:w="217" w:type="dxa"/>
          </w:tcPr>
          <w:p w14:paraId="68DA6DEE" w14:textId="77777777" w:rsidR="002C0FD9" w:rsidRPr="00CA25CF" w:rsidRDefault="002C0FD9" w:rsidP="00CA25CF">
            <w:pPr>
              <w:rPr>
                <w:rFonts w:cs="Arial"/>
                <w:color w:val="FF0000"/>
                <w:sz w:val="21"/>
                <w:szCs w:val="21"/>
              </w:rPr>
            </w:pPr>
          </w:p>
        </w:tc>
        <w:tc>
          <w:tcPr>
            <w:tcW w:w="217" w:type="dxa"/>
          </w:tcPr>
          <w:p w14:paraId="1EB8452A" w14:textId="77777777" w:rsidR="002C0FD9" w:rsidRPr="00CA25CF" w:rsidRDefault="002C0FD9" w:rsidP="00CA25CF">
            <w:pPr>
              <w:rPr>
                <w:rFonts w:cs="Arial"/>
                <w:color w:val="FF0000"/>
                <w:sz w:val="21"/>
                <w:szCs w:val="21"/>
              </w:rPr>
            </w:pPr>
          </w:p>
        </w:tc>
      </w:tr>
      <w:tr w:rsidR="002C0FD9" w:rsidRPr="00A16219" w14:paraId="039C9DA5" w14:textId="77777777" w:rsidTr="002C0FD9">
        <w:trPr>
          <w:trHeight w:val="635"/>
        </w:trPr>
        <w:tc>
          <w:tcPr>
            <w:tcW w:w="515" w:type="dxa"/>
          </w:tcPr>
          <w:p w14:paraId="69CC7529" w14:textId="77777777" w:rsidR="002C0FD9" w:rsidRPr="00CA25CF" w:rsidRDefault="002C0FD9" w:rsidP="00CA25CF">
            <w:pPr>
              <w:rPr>
                <w:rFonts w:cs="Arial"/>
                <w:color w:val="FF0000"/>
                <w:sz w:val="21"/>
                <w:szCs w:val="21"/>
              </w:rPr>
            </w:pPr>
          </w:p>
        </w:tc>
        <w:tc>
          <w:tcPr>
            <w:tcW w:w="217" w:type="dxa"/>
          </w:tcPr>
          <w:p w14:paraId="63B7A1F9" w14:textId="77777777" w:rsidR="002C0FD9" w:rsidRPr="00CA25CF" w:rsidRDefault="002C0FD9" w:rsidP="00CA25CF">
            <w:pPr>
              <w:rPr>
                <w:rFonts w:cs="Arial"/>
                <w:color w:val="FF0000"/>
                <w:sz w:val="21"/>
                <w:szCs w:val="21"/>
              </w:rPr>
            </w:pPr>
          </w:p>
        </w:tc>
        <w:tc>
          <w:tcPr>
            <w:tcW w:w="217" w:type="dxa"/>
          </w:tcPr>
          <w:p w14:paraId="16CDC5DF" w14:textId="77777777" w:rsidR="002C0FD9" w:rsidRPr="00CA25CF" w:rsidRDefault="002C0FD9" w:rsidP="00CA25CF">
            <w:pPr>
              <w:rPr>
                <w:rFonts w:cs="Arial"/>
                <w:color w:val="FF0000"/>
                <w:sz w:val="21"/>
                <w:szCs w:val="21"/>
              </w:rPr>
            </w:pPr>
          </w:p>
        </w:tc>
        <w:tc>
          <w:tcPr>
            <w:tcW w:w="217" w:type="dxa"/>
          </w:tcPr>
          <w:p w14:paraId="6F2CAB84" w14:textId="77777777" w:rsidR="002C0FD9" w:rsidRPr="00CA25CF" w:rsidRDefault="002C0FD9" w:rsidP="00CA25CF">
            <w:pPr>
              <w:rPr>
                <w:rFonts w:cs="Arial"/>
                <w:color w:val="FF0000"/>
                <w:sz w:val="21"/>
                <w:szCs w:val="21"/>
              </w:rPr>
            </w:pPr>
          </w:p>
        </w:tc>
        <w:tc>
          <w:tcPr>
            <w:tcW w:w="217" w:type="dxa"/>
          </w:tcPr>
          <w:p w14:paraId="1FBCC6F0" w14:textId="77777777" w:rsidR="002C0FD9" w:rsidRPr="00CA25CF" w:rsidRDefault="002C0FD9" w:rsidP="00CA25CF">
            <w:pPr>
              <w:rPr>
                <w:rFonts w:cs="Arial"/>
                <w:color w:val="FF0000"/>
                <w:sz w:val="21"/>
                <w:szCs w:val="21"/>
              </w:rPr>
            </w:pPr>
          </w:p>
        </w:tc>
        <w:tc>
          <w:tcPr>
            <w:tcW w:w="217" w:type="dxa"/>
          </w:tcPr>
          <w:p w14:paraId="2828B2E4" w14:textId="77777777" w:rsidR="002C0FD9" w:rsidRPr="00CA25CF" w:rsidRDefault="002C0FD9" w:rsidP="00CA25CF">
            <w:pPr>
              <w:rPr>
                <w:rFonts w:cs="Arial"/>
                <w:color w:val="FF0000"/>
                <w:sz w:val="21"/>
                <w:szCs w:val="21"/>
              </w:rPr>
            </w:pPr>
          </w:p>
        </w:tc>
        <w:tc>
          <w:tcPr>
            <w:tcW w:w="217" w:type="dxa"/>
          </w:tcPr>
          <w:p w14:paraId="3C63962B" w14:textId="77777777" w:rsidR="002C0FD9" w:rsidRPr="00CA25CF" w:rsidRDefault="002C0FD9" w:rsidP="00CA25CF">
            <w:pPr>
              <w:rPr>
                <w:rFonts w:cs="Arial"/>
                <w:color w:val="FF0000"/>
                <w:sz w:val="21"/>
                <w:szCs w:val="21"/>
              </w:rPr>
            </w:pPr>
          </w:p>
        </w:tc>
        <w:tc>
          <w:tcPr>
            <w:tcW w:w="217" w:type="dxa"/>
          </w:tcPr>
          <w:p w14:paraId="5384B215" w14:textId="77777777" w:rsidR="002C0FD9" w:rsidRPr="00CA25CF" w:rsidRDefault="002C0FD9" w:rsidP="00CA25CF">
            <w:pPr>
              <w:rPr>
                <w:rFonts w:cs="Arial"/>
                <w:color w:val="FF0000"/>
                <w:sz w:val="21"/>
                <w:szCs w:val="21"/>
              </w:rPr>
            </w:pPr>
          </w:p>
        </w:tc>
        <w:tc>
          <w:tcPr>
            <w:tcW w:w="217" w:type="dxa"/>
          </w:tcPr>
          <w:p w14:paraId="24B0ADE4" w14:textId="77777777" w:rsidR="002C0FD9" w:rsidRPr="00CA25CF" w:rsidRDefault="002C0FD9" w:rsidP="00CA25CF">
            <w:pPr>
              <w:rPr>
                <w:rFonts w:cs="Arial"/>
                <w:color w:val="FF0000"/>
                <w:sz w:val="21"/>
                <w:szCs w:val="21"/>
              </w:rPr>
            </w:pPr>
          </w:p>
        </w:tc>
        <w:tc>
          <w:tcPr>
            <w:tcW w:w="217" w:type="dxa"/>
          </w:tcPr>
          <w:p w14:paraId="290BCAA3" w14:textId="77777777" w:rsidR="002C0FD9" w:rsidRPr="00CA25CF" w:rsidRDefault="002C0FD9" w:rsidP="00CA25CF">
            <w:pPr>
              <w:rPr>
                <w:rFonts w:cs="Arial"/>
                <w:color w:val="FF0000"/>
                <w:sz w:val="21"/>
                <w:szCs w:val="21"/>
              </w:rPr>
            </w:pPr>
          </w:p>
        </w:tc>
        <w:tc>
          <w:tcPr>
            <w:tcW w:w="217" w:type="dxa"/>
          </w:tcPr>
          <w:p w14:paraId="44699BA4" w14:textId="77777777" w:rsidR="002C0FD9" w:rsidRPr="00CA25CF" w:rsidRDefault="002C0FD9" w:rsidP="00CA25CF">
            <w:pPr>
              <w:rPr>
                <w:rFonts w:cs="Arial"/>
                <w:color w:val="FF0000"/>
                <w:sz w:val="21"/>
                <w:szCs w:val="21"/>
              </w:rPr>
            </w:pPr>
          </w:p>
        </w:tc>
        <w:tc>
          <w:tcPr>
            <w:tcW w:w="217" w:type="dxa"/>
          </w:tcPr>
          <w:p w14:paraId="2284C6E9" w14:textId="77777777" w:rsidR="002C0FD9" w:rsidRPr="00CA25CF" w:rsidRDefault="002C0FD9" w:rsidP="00CA25CF">
            <w:pPr>
              <w:rPr>
                <w:rFonts w:cs="Arial"/>
                <w:color w:val="FF0000"/>
                <w:sz w:val="21"/>
                <w:szCs w:val="21"/>
              </w:rPr>
            </w:pPr>
          </w:p>
        </w:tc>
        <w:tc>
          <w:tcPr>
            <w:tcW w:w="217" w:type="dxa"/>
          </w:tcPr>
          <w:p w14:paraId="5ACF9470" w14:textId="77777777" w:rsidR="002C0FD9" w:rsidRPr="00CA25CF" w:rsidRDefault="002C0FD9" w:rsidP="00CA25CF">
            <w:pPr>
              <w:rPr>
                <w:rFonts w:cs="Arial"/>
                <w:color w:val="FF0000"/>
                <w:sz w:val="21"/>
                <w:szCs w:val="21"/>
              </w:rPr>
            </w:pPr>
          </w:p>
        </w:tc>
        <w:tc>
          <w:tcPr>
            <w:tcW w:w="217" w:type="dxa"/>
          </w:tcPr>
          <w:p w14:paraId="687E6494" w14:textId="77777777" w:rsidR="002C0FD9" w:rsidRPr="00CA25CF" w:rsidRDefault="002C0FD9" w:rsidP="00CA25CF">
            <w:pPr>
              <w:rPr>
                <w:rFonts w:cs="Arial"/>
                <w:color w:val="FF0000"/>
                <w:sz w:val="21"/>
                <w:szCs w:val="21"/>
              </w:rPr>
            </w:pPr>
          </w:p>
        </w:tc>
        <w:tc>
          <w:tcPr>
            <w:tcW w:w="217" w:type="dxa"/>
          </w:tcPr>
          <w:p w14:paraId="53E55E14" w14:textId="77777777" w:rsidR="002C0FD9" w:rsidRPr="00CA25CF" w:rsidRDefault="002C0FD9" w:rsidP="00CA25CF">
            <w:pPr>
              <w:rPr>
                <w:rFonts w:cs="Arial"/>
                <w:color w:val="FF0000"/>
                <w:sz w:val="21"/>
                <w:szCs w:val="21"/>
              </w:rPr>
            </w:pPr>
          </w:p>
        </w:tc>
        <w:tc>
          <w:tcPr>
            <w:tcW w:w="217" w:type="dxa"/>
          </w:tcPr>
          <w:p w14:paraId="2156F6B7" w14:textId="77777777" w:rsidR="002C0FD9" w:rsidRPr="00CA25CF" w:rsidRDefault="002C0FD9" w:rsidP="00CA25CF">
            <w:pPr>
              <w:rPr>
                <w:rFonts w:cs="Arial"/>
                <w:color w:val="FF0000"/>
                <w:sz w:val="21"/>
                <w:szCs w:val="21"/>
              </w:rPr>
            </w:pPr>
          </w:p>
        </w:tc>
        <w:tc>
          <w:tcPr>
            <w:tcW w:w="217" w:type="dxa"/>
          </w:tcPr>
          <w:p w14:paraId="20438EF8" w14:textId="77777777" w:rsidR="002C0FD9" w:rsidRPr="00CA25CF" w:rsidRDefault="002C0FD9" w:rsidP="00CA25CF">
            <w:pPr>
              <w:rPr>
                <w:rFonts w:cs="Arial"/>
                <w:color w:val="FF0000"/>
                <w:sz w:val="21"/>
                <w:szCs w:val="21"/>
              </w:rPr>
            </w:pPr>
          </w:p>
        </w:tc>
        <w:tc>
          <w:tcPr>
            <w:tcW w:w="217" w:type="dxa"/>
          </w:tcPr>
          <w:p w14:paraId="5AD07451" w14:textId="77777777" w:rsidR="002C0FD9" w:rsidRPr="00CA25CF" w:rsidRDefault="002C0FD9" w:rsidP="00CA25CF">
            <w:pPr>
              <w:rPr>
                <w:rFonts w:cs="Arial"/>
                <w:color w:val="FF0000"/>
                <w:sz w:val="21"/>
                <w:szCs w:val="21"/>
              </w:rPr>
            </w:pPr>
          </w:p>
        </w:tc>
        <w:tc>
          <w:tcPr>
            <w:tcW w:w="217" w:type="dxa"/>
          </w:tcPr>
          <w:p w14:paraId="0A0B386C" w14:textId="77777777" w:rsidR="002C0FD9" w:rsidRPr="00CA25CF" w:rsidRDefault="002C0FD9" w:rsidP="00CA25CF">
            <w:pPr>
              <w:rPr>
                <w:rFonts w:cs="Arial"/>
                <w:color w:val="FF0000"/>
                <w:sz w:val="21"/>
                <w:szCs w:val="21"/>
              </w:rPr>
            </w:pPr>
          </w:p>
        </w:tc>
        <w:tc>
          <w:tcPr>
            <w:tcW w:w="217" w:type="dxa"/>
          </w:tcPr>
          <w:p w14:paraId="6B803769" w14:textId="77777777" w:rsidR="002C0FD9" w:rsidRPr="00CA25CF" w:rsidRDefault="002C0FD9" w:rsidP="00CA25CF">
            <w:pPr>
              <w:rPr>
                <w:rFonts w:cs="Arial"/>
                <w:color w:val="FF0000"/>
                <w:sz w:val="21"/>
                <w:szCs w:val="21"/>
              </w:rPr>
            </w:pPr>
          </w:p>
        </w:tc>
        <w:tc>
          <w:tcPr>
            <w:tcW w:w="217" w:type="dxa"/>
          </w:tcPr>
          <w:p w14:paraId="30DAAF7B" w14:textId="77777777" w:rsidR="002C0FD9" w:rsidRPr="00CA25CF" w:rsidRDefault="002C0FD9" w:rsidP="00CA25CF">
            <w:pPr>
              <w:rPr>
                <w:rFonts w:cs="Arial"/>
                <w:color w:val="FF0000"/>
                <w:sz w:val="21"/>
                <w:szCs w:val="21"/>
              </w:rPr>
            </w:pPr>
          </w:p>
        </w:tc>
        <w:tc>
          <w:tcPr>
            <w:tcW w:w="217" w:type="dxa"/>
          </w:tcPr>
          <w:p w14:paraId="508AD095" w14:textId="77777777" w:rsidR="002C0FD9" w:rsidRPr="00CA25CF" w:rsidRDefault="002C0FD9" w:rsidP="00CA25CF">
            <w:pPr>
              <w:rPr>
                <w:rFonts w:cs="Arial"/>
                <w:color w:val="FF0000"/>
                <w:sz w:val="21"/>
                <w:szCs w:val="21"/>
              </w:rPr>
            </w:pPr>
          </w:p>
        </w:tc>
        <w:tc>
          <w:tcPr>
            <w:tcW w:w="217" w:type="dxa"/>
          </w:tcPr>
          <w:p w14:paraId="7870C83B" w14:textId="77777777" w:rsidR="002C0FD9" w:rsidRPr="00CA25CF" w:rsidRDefault="002C0FD9" w:rsidP="00CA25CF">
            <w:pPr>
              <w:rPr>
                <w:rFonts w:cs="Arial"/>
                <w:color w:val="FF0000"/>
                <w:sz w:val="21"/>
                <w:szCs w:val="21"/>
              </w:rPr>
            </w:pPr>
          </w:p>
        </w:tc>
        <w:tc>
          <w:tcPr>
            <w:tcW w:w="217" w:type="dxa"/>
          </w:tcPr>
          <w:p w14:paraId="19BE730D" w14:textId="77777777" w:rsidR="002C0FD9" w:rsidRPr="00CA25CF" w:rsidRDefault="002C0FD9" w:rsidP="00CA25CF">
            <w:pPr>
              <w:rPr>
                <w:rFonts w:cs="Arial"/>
                <w:color w:val="FF0000"/>
                <w:sz w:val="21"/>
                <w:szCs w:val="21"/>
              </w:rPr>
            </w:pPr>
          </w:p>
        </w:tc>
        <w:tc>
          <w:tcPr>
            <w:tcW w:w="217" w:type="dxa"/>
          </w:tcPr>
          <w:p w14:paraId="3A5077B0" w14:textId="77777777" w:rsidR="002C0FD9" w:rsidRPr="00CA25CF" w:rsidRDefault="002C0FD9" w:rsidP="00CA25CF">
            <w:pPr>
              <w:rPr>
                <w:rFonts w:cs="Arial"/>
                <w:color w:val="FF0000"/>
                <w:sz w:val="21"/>
                <w:szCs w:val="21"/>
              </w:rPr>
            </w:pPr>
          </w:p>
        </w:tc>
        <w:tc>
          <w:tcPr>
            <w:tcW w:w="217" w:type="dxa"/>
          </w:tcPr>
          <w:p w14:paraId="3C0C7D18" w14:textId="77777777" w:rsidR="002C0FD9" w:rsidRPr="00CA25CF" w:rsidRDefault="002C0FD9" w:rsidP="00CA25CF">
            <w:pPr>
              <w:rPr>
                <w:rFonts w:cs="Arial"/>
                <w:color w:val="FF0000"/>
                <w:sz w:val="21"/>
                <w:szCs w:val="21"/>
              </w:rPr>
            </w:pPr>
          </w:p>
        </w:tc>
        <w:tc>
          <w:tcPr>
            <w:tcW w:w="217" w:type="dxa"/>
          </w:tcPr>
          <w:p w14:paraId="4627D99C" w14:textId="77777777" w:rsidR="002C0FD9" w:rsidRPr="00CA25CF" w:rsidRDefault="002C0FD9" w:rsidP="00CA25CF">
            <w:pPr>
              <w:rPr>
                <w:rFonts w:cs="Arial"/>
                <w:color w:val="FF0000"/>
                <w:sz w:val="21"/>
                <w:szCs w:val="21"/>
              </w:rPr>
            </w:pPr>
          </w:p>
        </w:tc>
        <w:tc>
          <w:tcPr>
            <w:tcW w:w="217" w:type="dxa"/>
          </w:tcPr>
          <w:p w14:paraId="01D411FD" w14:textId="77777777" w:rsidR="002C0FD9" w:rsidRPr="00CA25CF" w:rsidRDefault="002C0FD9" w:rsidP="00CA25CF">
            <w:pPr>
              <w:rPr>
                <w:rFonts w:cs="Arial"/>
                <w:color w:val="FF0000"/>
                <w:sz w:val="21"/>
                <w:szCs w:val="21"/>
              </w:rPr>
            </w:pPr>
          </w:p>
        </w:tc>
        <w:tc>
          <w:tcPr>
            <w:tcW w:w="217" w:type="dxa"/>
          </w:tcPr>
          <w:p w14:paraId="3FC2C1FF" w14:textId="77777777" w:rsidR="002C0FD9" w:rsidRPr="00CA25CF" w:rsidRDefault="002C0FD9" w:rsidP="00CA25CF">
            <w:pPr>
              <w:rPr>
                <w:rFonts w:cs="Arial"/>
                <w:color w:val="FF0000"/>
                <w:sz w:val="21"/>
                <w:szCs w:val="21"/>
              </w:rPr>
            </w:pPr>
          </w:p>
        </w:tc>
        <w:tc>
          <w:tcPr>
            <w:tcW w:w="217" w:type="dxa"/>
          </w:tcPr>
          <w:p w14:paraId="2D991820" w14:textId="77777777" w:rsidR="002C0FD9" w:rsidRPr="00CA25CF" w:rsidRDefault="002C0FD9" w:rsidP="00CA25CF">
            <w:pPr>
              <w:rPr>
                <w:rFonts w:cs="Arial"/>
                <w:color w:val="FF0000"/>
                <w:sz w:val="21"/>
                <w:szCs w:val="21"/>
              </w:rPr>
            </w:pPr>
          </w:p>
        </w:tc>
        <w:tc>
          <w:tcPr>
            <w:tcW w:w="217" w:type="dxa"/>
          </w:tcPr>
          <w:p w14:paraId="653F4EDA" w14:textId="77777777" w:rsidR="002C0FD9" w:rsidRPr="00CA25CF" w:rsidRDefault="002C0FD9" w:rsidP="00CA25CF">
            <w:pPr>
              <w:rPr>
                <w:rFonts w:cs="Arial"/>
                <w:color w:val="FF0000"/>
                <w:sz w:val="21"/>
                <w:szCs w:val="21"/>
              </w:rPr>
            </w:pPr>
          </w:p>
        </w:tc>
        <w:tc>
          <w:tcPr>
            <w:tcW w:w="217" w:type="dxa"/>
          </w:tcPr>
          <w:p w14:paraId="48C0E91F" w14:textId="77777777" w:rsidR="002C0FD9" w:rsidRPr="00CA25CF" w:rsidRDefault="002C0FD9" w:rsidP="00CA25CF">
            <w:pPr>
              <w:rPr>
                <w:rFonts w:cs="Arial"/>
                <w:color w:val="FF0000"/>
                <w:sz w:val="21"/>
                <w:szCs w:val="21"/>
              </w:rPr>
            </w:pPr>
          </w:p>
        </w:tc>
        <w:tc>
          <w:tcPr>
            <w:tcW w:w="217" w:type="dxa"/>
          </w:tcPr>
          <w:p w14:paraId="2BBC21A1" w14:textId="77777777" w:rsidR="002C0FD9" w:rsidRPr="00CA25CF" w:rsidRDefault="002C0FD9" w:rsidP="00CA25CF">
            <w:pPr>
              <w:rPr>
                <w:rFonts w:cs="Arial"/>
                <w:color w:val="FF0000"/>
                <w:sz w:val="21"/>
                <w:szCs w:val="21"/>
              </w:rPr>
            </w:pPr>
          </w:p>
        </w:tc>
        <w:tc>
          <w:tcPr>
            <w:tcW w:w="217" w:type="dxa"/>
          </w:tcPr>
          <w:p w14:paraId="6B62EF62" w14:textId="77777777" w:rsidR="002C0FD9" w:rsidRPr="00CA25CF" w:rsidRDefault="002C0FD9" w:rsidP="00CA25CF">
            <w:pPr>
              <w:rPr>
                <w:rFonts w:cs="Arial"/>
                <w:color w:val="FF0000"/>
                <w:sz w:val="21"/>
                <w:szCs w:val="21"/>
              </w:rPr>
            </w:pPr>
          </w:p>
        </w:tc>
        <w:tc>
          <w:tcPr>
            <w:tcW w:w="217" w:type="dxa"/>
          </w:tcPr>
          <w:p w14:paraId="4D8670E5" w14:textId="77777777" w:rsidR="002C0FD9" w:rsidRPr="00CA25CF" w:rsidRDefault="002C0FD9" w:rsidP="00CA25CF">
            <w:pPr>
              <w:rPr>
                <w:rFonts w:cs="Arial"/>
                <w:color w:val="FF0000"/>
                <w:sz w:val="21"/>
                <w:szCs w:val="21"/>
              </w:rPr>
            </w:pPr>
          </w:p>
        </w:tc>
        <w:tc>
          <w:tcPr>
            <w:tcW w:w="217" w:type="dxa"/>
          </w:tcPr>
          <w:p w14:paraId="39A5E96B" w14:textId="77777777" w:rsidR="002C0FD9" w:rsidRPr="00CA25CF" w:rsidRDefault="002C0FD9" w:rsidP="00CA25CF">
            <w:pPr>
              <w:rPr>
                <w:rFonts w:cs="Arial"/>
                <w:color w:val="FF0000"/>
                <w:sz w:val="21"/>
                <w:szCs w:val="21"/>
              </w:rPr>
            </w:pPr>
          </w:p>
        </w:tc>
        <w:tc>
          <w:tcPr>
            <w:tcW w:w="217" w:type="dxa"/>
          </w:tcPr>
          <w:p w14:paraId="2CF87AC0" w14:textId="77777777" w:rsidR="002C0FD9" w:rsidRPr="00CA25CF" w:rsidRDefault="002C0FD9" w:rsidP="00CA25CF">
            <w:pPr>
              <w:rPr>
                <w:rFonts w:cs="Arial"/>
                <w:color w:val="FF0000"/>
                <w:sz w:val="21"/>
                <w:szCs w:val="21"/>
              </w:rPr>
            </w:pPr>
          </w:p>
        </w:tc>
        <w:tc>
          <w:tcPr>
            <w:tcW w:w="217" w:type="dxa"/>
          </w:tcPr>
          <w:p w14:paraId="5389D929" w14:textId="77777777" w:rsidR="002C0FD9" w:rsidRPr="00CA25CF" w:rsidRDefault="002C0FD9" w:rsidP="00CA25CF">
            <w:pPr>
              <w:rPr>
                <w:rFonts w:cs="Arial"/>
                <w:color w:val="FF0000"/>
                <w:sz w:val="21"/>
                <w:szCs w:val="21"/>
              </w:rPr>
            </w:pPr>
          </w:p>
        </w:tc>
        <w:tc>
          <w:tcPr>
            <w:tcW w:w="217" w:type="dxa"/>
          </w:tcPr>
          <w:p w14:paraId="6A5CE9AF" w14:textId="77777777" w:rsidR="002C0FD9" w:rsidRPr="00CA25CF" w:rsidRDefault="002C0FD9" w:rsidP="00CA25CF">
            <w:pPr>
              <w:rPr>
                <w:rFonts w:cs="Arial"/>
                <w:color w:val="FF0000"/>
                <w:sz w:val="21"/>
                <w:szCs w:val="21"/>
              </w:rPr>
            </w:pPr>
          </w:p>
        </w:tc>
        <w:tc>
          <w:tcPr>
            <w:tcW w:w="217" w:type="dxa"/>
          </w:tcPr>
          <w:p w14:paraId="097DDF14" w14:textId="77777777" w:rsidR="002C0FD9" w:rsidRPr="00CA25CF" w:rsidRDefault="002C0FD9" w:rsidP="00CA25CF">
            <w:pPr>
              <w:rPr>
                <w:rFonts w:cs="Arial"/>
                <w:color w:val="FF0000"/>
                <w:sz w:val="21"/>
                <w:szCs w:val="21"/>
              </w:rPr>
            </w:pPr>
          </w:p>
        </w:tc>
        <w:tc>
          <w:tcPr>
            <w:tcW w:w="217" w:type="dxa"/>
          </w:tcPr>
          <w:p w14:paraId="3CE3C973" w14:textId="77777777" w:rsidR="002C0FD9" w:rsidRPr="00CA25CF" w:rsidRDefault="002C0FD9" w:rsidP="00CA25CF">
            <w:pPr>
              <w:rPr>
                <w:rFonts w:cs="Arial"/>
                <w:color w:val="FF0000"/>
                <w:sz w:val="21"/>
                <w:szCs w:val="21"/>
              </w:rPr>
            </w:pPr>
          </w:p>
        </w:tc>
        <w:tc>
          <w:tcPr>
            <w:tcW w:w="217" w:type="dxa"/>
          </w:tcPr>
          <w:p w14:paraId="09B409B0" w14:textId="77777777" w:rsidR="002C0FD9" w:rsidRPr="00CA25CF" w:rsidRDefault="002C0FD9" w:rsidP="00CA25CF">
            <w:pPr>
              <w:rPr>
                <w:rFonts w:cs="Arial"/>
                <w:color w:val="FF0000"/>
                <w:sz w:val="21"/>
                <w:szCs w:val="21"/>
              </w:rPr>
            </w:pPr>
          </w:p>
        </w:tc>
        <w:tc>
          <w:tcPr>
            <w:tcW w:w="217" w:type="dxa"/>
          </w:tcPr>
          <w:p w14:paraId="5AE44E4C" w14:textId="77777777" w:rsidR="002C0FD9" w:rsidRPr="00CA25CF" w:rsidRDefault="002C0FD9" w:rsidP="00CA25CF">
            <w:pPr>
              <w:rPr>
                <w:rFonts w:cs="Arial"/>
                <w:color w:val="FF0000"/>
                <w:sz w:val="21"/>
                <w:szCs w:val="21"/>
              </w:rPr>
            </w:pPr>
          </w:p>
        </w:tc>
      </w:tr>
      <w:tr w:rsidR="002C0FD9" w:rsidRPr="00A16219" w14:paraId="6133AF09" w14:textId="77777777" w:rsidTr="002C0FD9">
        <w:trPr>
          <w:trHeight w:val="635"/>
        </w:trPr>
        <w:tc>
          <w:tcPr>
            <w:tcW w:w="515" w:type="dxa"/>
          </w:tcPr>
          <w:p w14:paraId="2A5862DD" w14:textId="77777777" w:rsidR="002C0FD9" w:rsidRPr="00CA25CF" w:rsidRDefault="002C0FD9" w:rsidP="00CA25CF">
            <w:pPr>
              <w:rPr>
                <w:rFonts w:cs="Arial"/>
                <w:color w:val="FF0000"/>
                <w:sz w:val="21"/>
                <w:szCs w:val="21"/>
              </w:rPr>
            </w:pPr>
          </w:p>
        </w:tc>
        <w:tc>
          <w:tcPr>
            <w:tcW w:w="217" w:type="dxa"/>
          </w:tcPr>
          <w:p w14:paraId="1BD57A4D" w14:textId="77777777" w:rsidR="002C0FD9" w:rsidRPr="00CA25CF" w:rsidRDefault="002C0FD9" w:rsidP="00CA25CF">
            <w:pPr>
              <w:rPr>
                <w:rFonts w:cs="Arial"/>
                <w:color w:val="FF0000"/>
                <w:sz w:val="21"/>
                <w:szCs w:val="21"/>
              </w:rPr>
            </w:pPr>
          </w:p>
        </w:tc>
        <w:tc>
          <w:tcPr>
            <w:tcW w:w="217" w:type="dxa"/>
          </w:tcPr>
          <w:p w14:paraId="67C1906C" w14:textId="77777777" w:rsidR="002C0FD9" w:rsidRPr="00CA25CF" w:rsidRDefault="002C0FD9" w:rsidP="00CA25CF">
            <w:pPr>
              <w:rPr>
                <w:rFonts w:cs="Arial"/>
                <w:color w:val="FF0000"/>
                <w:sz w:val="21"/>
                <w:szCs w:val="21"/>
              </w:rPr>
            </w:pPr>
          </w:p>
        </w:tc>
        <w:tc>
          <w:tcPr>
            <w:tcW w:w="217" w:type="dxa"/>
          </w:tcPr>
          <w:p w14:paraId="07CE5EC6" w14:textId="77777777" w:rsidR="002C0FD9" w:rsidRPr="00CA25CF" w:rsidRDefault="002C0FD9" w:rsidP="00CA25CF">
            <w:pPr>
              <w:rPr>
                <w:rFonts w:cs="Arial"/>
                <w:color w:val="FF0000"/>
                <w:sz w:val="21"/>
                <w:szCs w:val="21"/>
              </w:rPr>
            </w:pPr>
          </w:p>
        </w:tc>
        <w:tc>
          <w:tcPr>
            <w:tcW w:w="217" w:type="dxa"/>
          </w:tcPr>
          <w:p w14:paraId="131675C0" w14:textId="77777777" w:rsidR="002C0FD9" w:rsidRPr="00CA25CF" w:rsidRDefault="002C0FD9" w:rsidP="00CA25CF">
            <w:pPr>
              <w:rPr>
                <w:rFonts w:cs="Arial"/>
                <w:color w:val="FF0000"/>
                <w:sz w:val="21"/>
                <w:szCs w:val="21"/>
              </w:rPr>
            </w:pPr>
          </w:p>
        </w:tc>
        <w:tc>
          <w:tcPr>
            <w:tcW w:w="217" w:type="dxa"/>
          </w:tcPr>
          <w:p w14:paraId="5FAFF37B" w14:textId="77777777" w:rsidR="002C0FD9" w:rsidRPr="00CA25CF" w:rsidRDefault="002C0FD9" w:rsidP="00CA25CF">
            <w:pPr>
              <w:rPr>
                <w:rFonts w:cs="Arial"/>
                <w:color w:val="FF0000"/>
                <w:sz w:val="21"/>
                <w:szCs w:val="21"/>
              </w:rPr>
            </w:pPr>
          </w:p>
        </w:tc>
        <w:tc>
          <w:tcPr>
            <w:tcW w:w="217" w:type="dxa"/>
          </w:tcPr>
          <w:p w14:paraId="7C1CA061" w14:textId="77777777" w:rsidR="002C0FD9" w:rsidRPr="00CA25CF" w:rsidRDefault="002C0FD9" w:rsidP="00CA25CF">
            <w:pPr>
              <w:rPr>
                <w:rFonts w:cs="Arial"/>
                <w:color w:val="FF0000"/>
                <w:sz w:val="21"/>
                <w:szCs w:val="21"/>
              </w:rPr>
            </w:pPr>
          </w:p>
        </w:tc>
        <w:tc>
          <w:tcPr>
            <w:tcW w:w="217" w:type="dxa"/>
          </w:tcPr>
          <w:p w14:paraId="71419C40" w14:textId="77777777" w:rsidR="002C0FD9" w:rsidRPr="00CA25CF" w:rsidRDefault="002C0FD9" w:rsidP="00CA25CF">
            <w:pPr>
              <w:rPr>
                <w:rFonts w:cs="Arial"/>
                <w:color w:val="FF0000"/>
                <w:sz w:val="21"/>
                <w:szCs w:val="21"/>
              </w:rPr>
            </w:pPr>
          </w:p>
        </w:tc>
        <w:tc>
          <w:tcPr>
            <w:tcW w:w="217" w:type="dxa"/>
          </w:tcPr>
          <w:p w14:paraId="7D143C8E" w14:textId="77777777" w:rsidR="002C0FD9" w:rsidRPr="00CA25CF" w:rsidRDefault="002C0FD9" w:rsidP="00CA25CF">
            <w:pPr>
              <w:rPr>
                <w:rFonts w:cs="Arial"/>
                <w:color w:val="FF0000"/>
                <w:sz w:val="21"/>
                <w:szCs w:val="21"/>
              </w:rPr>
            </w:pPr>
          </w:p>
        </w:tc>
        <w:tc>
          <w:tcPr>
            <w:tcW w:w="217" w:type="dxa"/>
          </w:tcPr>
          <w:p w14:paraId="0C6416CA" w14:textId="77777777" w:rsidR="002C0FD9" w:rsidRPr="00CA25CF" w:rsidRDefault="002C0FD9" w:rsidP="00CA25CF">
            <w:pPr>
              <w:rPr>
                <w:rFonts w:cs="Arial"/>
                <w:color w:val="FF0000"/>
                <w:sz w:val="21"/>
                <w:szCs w:val="21"/>
              </w:rPr>
            </w:pPr>
          </w:p>
        </w:tc>
        <w:tc>
          <w:tcPr>
            <w:tcW w:w="217" w:type="dxa"/>
          </w:tcPr>
          <w:p w14:paraId="76CAF8F4" w14:textId="77777777" w:rsidR="002C0FD9" w:rsidRPr="00CA25CF" w:rsidRDefault="002C0FD9" w:rsidP="00CA25CF">
            <w:pPr>
              <w:rPr>
                <w:rFonts w:cs="Arial"/>
                <w:color w:val="FF0000"/>
                <w:sz w:val="21"/>
                <w:szCs w:val="21"/>
              </w:rPr>
            </w:pPr>
          </w:p>
        </w:tc>
        <w:tc>
          <w:tcPr>
            <w:tcW w:w="217" w:type="dxa"/>
          </w:tcPr>
          <w:p w14:paraId="63BDA3F9" w14:textId="77777777" w:rsidR="002C0FD9" w:rsidRPr="00CA25CF" w:rsidRDefault="002C0FD9" w:rsidP="00CA25CF">
            <w:pPr>
              <w:rPr>
                <w:rFonts w:cs="Arial"/>
                <w:color w:val="FF0000"/>
                <w:sz w:val="21"/>
                <w:szCs w:val="21"/>
              </w:rPr>
            </w:pPr>
          </w:p>
        </w:tc>
        <w:tc>
          <w:tcPr>
            <w:tcW w:w="217" w:type="dxa"/>
          </w:tcPr>
          <w:p w14:paraId="7D48608B" w14:textId="77777777" w:rsidR="002C0FD9" w:rsidRPr="00CA25CF" w:rsidRDefault="002C0FD9" w:rsidP="00CA25CF">
            <w:pPr>
              <w:rPr>
                <w:rFonts w:cs="Arial"/>
                <w:color w:val="FF0000"/>
                <w:sz w:val="21"/>
                <w:szCs w:val="21"/>
              </w:rPr>
            </w:pPr>
          </w:p>
        </w:tc>
        <w:tc>
          <w:tcPr>
            <w:tcW w:w="217" w:type="dxa"/>
          </w:tcPr>
          <w:p w14:paraId="5CACB393" w14:textId="77777777" w:rsidR="002C0FD9" w:rsidRPr="00CA25CF" w:rsidRDefault="002C0FD9" w:rsidP="00CA25CF">
            <w:pPr>
              <w:rPr>
                <w:rFonts w:cs="Arial"/>
                <w:color w:val="FF0000"/>
                <w:sz w:val="21"/>
                <w:szCs w:val="21"/>
              </w:rPr>
            </w:pPr>
          </w:p>
        </w:tc>
        <w:tc>
          <w:tcPr>
            <w:tcW w:w="217" w:type="dxa"/>
          </w:tcPr>
          <w:p w14:paraId="6871EAA3" w14:textId="77777777" w:rsidR="002C0FD9" w:rsidRPr="00CA25CF" w:rsidRDefault="002C0FD9" w:rsidP="00CA25CF">
            <w:pPr>
              <w:rPr>
                <w:rFonts w:cs="Arial"/>
                <w:color w:val="FF0000"/>
                <w:sz w:val="21"/>
                <w:szCs w:val="21"/>
              </w:rPr>
            </w:pPr>
          </w:p>
        </w:tc>
        <w:tc>
          <w:tcPr>
            <w:tcW w:w="217" w:type="dxa"/>
          </w:tcPr>
          <w:p w14:paraId="7543600E" w14:textId="77777777" w:rsidR="002C0FD9" w:rsidRPr="00CA25CF" w:rsidRDefault="002C0FD9" w:rsidP="00CA25CF">
            <w:pPr>
              <w:rPr>
                <w:rFonts w:cs="Arial"/>
                <w:color w:val="FF0000"/>
                <w:sz w:val="21"/>
                <w:szCs w:val="21"/>
              </w:rPr>
            </w:pPr>
          </w:p>
        </w:tc>
        <w:tc>
          <w:tcPr>
            <w:tcW w:w="217" w:type="dxa"/>
          </w:tcPr>
          <w:p w14:paraId="34C8E80E" w14:textId="77777777" w:rsidR="002C0FD9" w:rsidRPr="00CA25CF" w:rsidRDefault="002C0FD9" w:rsidP="00CA25CF">
            <w:pPr>
              <w:rPr>
                <w:rFonts w:cs="Arial"/>
                <w:color w:val="FF0000"/>
                <w:sz w:val="21"/>
                <w:szCs w:val="21"/>
              </w:rPr>
            </w:pPr>
          </w:p>
        </w:tc>
        <w:tc>
          <w:tcPr>
            <w:tcW w:w="217" w:type="dxa"/>
          </w:tcPr>
          <w:p w14:paraId="1A7B3B61" w14:textId="77777777" w:rsidR="002C0FD9" w:rsidRPr="00CA25CF" w:rsidRDefault="002C0FD9" w:rsidP="00CA25CF">
            <w:pPr>
              <w:rPr>
                <w:rFonts w:cs="Arial"/>
                <w:color w:val="FF0000"/>
                <w:sz w:val="21"/>
                <w:szCs w:val="21"/>
              </w:rPr>
            </w:pPr>
          </w:p>
        </w:tc>
        <w:tc>
          <w:tcPr>
            <w:tcW w:w="217" w:type="dxa"/>
          </w:tcPr>
          <w:p w14:paraId="04A1A6FF" w14:textId="77777777" w:rsidR="002C0FD9" w:rsidRPr="00CA25CF" w:rsidRDefault="002C0FD9" w:rsidP="00CA25CF">
            <w:pPr>
              <w:rPr>
                <w:rFonts w:cs="Arial"/>
                <w:color w:val="FF0000"/>
                <w:sz w:val="21"/>
                <w:szCs w:val="21"/>
              </w:rPr>
            </w:pPr>
          </w:p>
        </w:tc>
        <w:tc>
          <w:tcPr>
            <w:tcW w:w="217" w:type="dxa"/>
          </w:tcPr>
          <w:p w14:paraId="4890454D" w14:textId="77777777" w:rsidR="002C0FD9" w:rsidRPr="00CA25CF" w:rsidRDefault="002C0FD9" w:rsidP="00CA25CF">
            <w:pPr>
              <w:rPr>
                <w:rFonts w:cs="Arial"/>
                <w:color w:val="FF0000"/>
                <w:sz w:val="21"/>
                <w:szCs w:val="21"/>
              </w:rPr>
            </w:pPr>
          </w:p>
        </w:tc>
        <w:tc>
          <w:tcPr>
            <w:tcW w:w="217" w:type="dxa"/>
          </w:tcPr>
          <w:p w14:paraId="61BF6B72" w14:textId="77777777" w:rsidR="002C0FD9" w:rsidRPr="00CA25CF" w:rsidRDefault="002C0FD9" w:rsidP="00CA25CF">
            <w:pPr>
              <w:rPr>
                <w:rFonts w:cs="Arial"/>
                <w:color w:val="FF0000"/>
                <w:sz w:val="21"/>
                <w:szCs w:val="21"/>
              </w:rPr>
            </w:pPr>
          </w:p>
        </w:tc>
        <w:tc>
          <w:tcPr>
            <w:tcW w:w="217" w:type="dxa"/>
          </w:tcPr>
          <w:p w14:paraId="0789D167" w14:textId="77777777" w:rsidR="002C0FD9" w:rsidRPr="00CA25CF" w:rsidRDefault="002C0FD9" w:rsidP="00CA25CF">
            <w:pPr>
              <w:rPr>
                <w:rFonts w:cs="Arial"/>
                <w:color w:val="FF0000"/>
                <w:sz w:val="21"/>
                <w:szCs w:val="21"/>
              </w:rPr>
            </w:pPr>
          </w:p>
        </w:tc>
        <w:tc>
          <w:tcPr>
            <w:tcW w:w="217" w:type="dxa"/>
          </w:tcPr>
          <w:p w14:paraId="4D331FDA" w14:textId="77777777" w:rsidR="002C0FD9" w:rsidRPr="00CA25CF" w:rsidRDefault="002C0FD9" w:rsidP="00CA25CF">
            <w:pPr>
              <w:rPr>
                <w:rFonts w:cs="Arial"/>
                <w:color w:val="FF0000"/>
                <w:sz w:val="21"/>
                <w:szCs w:val="21"/>
              </w:rPr>
            </w:pPr>
          </w:p>
        </w:tc>
        <w:tc>
          <w:tcPr>
            <w:tcW w:w="217" w:type="dxa"/>
          </w:tcPr>
          <w:p w14:paraId="3D59DA51" w14:textId="77777777" w:rsidR="002C0FD9" w:rsidRPr="00CA25CF" w:rsidRDefault="002C0FD9" w:rsidP="00CA25CF">
            <w:pPr>
              <w:rPr>
                <w:rFonts w:cs="Arial"/>
                <w:color w:val="FF0000"/>
                <w:sz w:val="21"/>
                <w:szCs w:val="21"/>
              </w:rPr>
            </w:pPr>
          </w:p>
        </w:tc>
        <w:tc>
          <w:tcPr>
            <w:tcW w:w="217" w:type="dxa"/>
          </w:tcPr>
          <w:p w14:paraId="3B193363" w14:textId="77777777" w:rsidR="002C0FD9" w:rsidRPr="00CA25CF" w:rsidRDefault="002C0FD9" w:rsidP="00CA25CF">
            <w:pPr>
              <w:rPr>
                <w:rFonts w:cs="Arial"/>
                <w:color w:val="FF0000"/>
                <w:sz w:val="21"/>
                <w:szCs w:val="21"/>
              </w:rPr>
            </w:pPr>
          </w:p>
        </w:tc>
        <w:tc>
          <w:tcPr>
            <w:tcW w:w="217" w:type="dxa"/>
          </w:tcPr>
          <w:p w14:paraId="50D52E43" w14:textId="77777777" w:rsidR="002C0FD9" w:rsidRPr="00CA25CF" w:rsidRDefault="002C0FD9" w:rsidP="00CA25CF">
            <w:pPr>
              <w:rPr>
                <w:rFonts w:cs="Arial"/>
                <w:color w:val="FF0000"/>
                <w:sz w:val="21"/>
                <w:szCs w:val="21"/>
              </w:rPr>
            </w:pPr>
          </w:p>
        </w:tc>
        <w:tc>
          <w:tcPr>
            <w:tcW w:w="217" w:type="dxa"/>
          </w:tcPr>
          <w:p w14:paraId="1D5C9D41" w14:textId="77777777" w:rsidR="002C0FD9" w:rsidRPr="00CA25CF" w:rsidRDefault="002C0FD9" w:rsidP="00CA25CF">
            <w:pPr>
              <w:rPr>
                <w:rFonts w:cs="Arial"/>
                <w:color w:val="FF0000"/>
                <w:sz w:val="21"/>
                <w:szCs w:val="21"/>
              </w:rPr>
            </w:pPr>
          </w:p>
        </w:tc>
        <w:tc>
          <w:tcPr>
            <w:tcW w:w="217" w:type="dxa"/>
          </w:tcPr>
          <w:p w14:paraId="05098316" w14:textId="77777777" w:rsidR="002C0FD9" w:rsidRPr="00CA25CF" w:rsidRDefault="002C0FD9" w:rsidP="00CA25CF">
            <w:pPr>
              <w:rPr>
                <w:rFonts w:cs="Arial"/>
                <w:color w:val="FF0000"/>
                <w:sz w:val="21"/>
                <w:szCs w:val="21"/>
              </w:rPr>
            </w:pPr>
          </w:p>
        </w:tc>
        <w:tc>
          <w:tcPr>
            <w:tcW w:w="217" w:type="dxa"/>
          </w:tcPr>
          <w:p w14:paraId="58F68682" w14:textId="77777777" w:rsidR="002C0FD9" w:rsidRPr="00CA25CF" w:rsidRDefault="002C0FD9" w:rsidP="00CA25CF">
            <w:pPr>
              <w:rPr>
                <w:rFonts w:cs="Arial"/>
                <w:color w:val="FF0000"/>
                <w:sz w:val="21"/>
                <w:szCs w:val="21"/>
              </w:rPr>
            </w:pPr>
          </w:p>
        </w:tc>
        <w:tc>
          <w:tcPr>
            <w:tcW w:w="217" w:type="dxa"/>
          </w:tcPr>
          <w:p w14:paraId="049306D1" w14:textId="77777777" w:rsidR="002C0FD9" w:rsidRPr="00CA25CF" w:rsidRDefault="002C0FD9" w:rsidP="00CA25CF">
            <w:pPr>
              <w:rPr>
                <w:rFonts w:cs="Arial"/>
                <w:color w:val="FF0000"/>
                <w:sz w:val="21"/>
                <w:szCs w:val="21"/>
              </w:rPr>
            </w:pPr>
          </w:p>
        </w:tc>
        <w:tc>
          <w:tcPr>
            <w:tcW w:w="217" w:type="dxa"/>
          </w:tcPr>
          <w:p w14:paraId="17792E62" w14:textId="77777777" w:rsidR="002C0FD9" w:rsidRPr="00CA25CF" w:rsidRDefault="002C0FD9" w:rsidP="00CA25CF">
            <w:pPr>
              <w:rPr>
                <w:rFonts w:cs="Arial"/>
                <w:color w:val="FF0000"/>
                <w:sz w:val="21"/>
                <w:szCs w:val="21"/>
              </w:rPr>
            </w:pPr>
          </w:p>
        </w:tc>
        <w:tc>
          <w:tcPr>
            <w:tcW w:w="217" w:type="dxa"/>
          </w:tcPr>
          <w:p w14:paraId="1EF530C2" w14:textId="77777777" w:rsidR="002C0FD9" w:rsidRPr="00CA25CF" w:rsidRDefault="002C0FD9" w:rsidP="00CA25CF">
            <w:pPr>
              <w:rPr>
                <w:rFonts w:cs="Arial"/>
                <w:color w:val="FF0000"/>
                <w:sz w:val="21"/>
                <w:szCs w:val="21"/>
              </w:rPr>
            </w:pPr>
          </w:p>
        </w:tc>
        <w:tc>
          <w:tcPr>
            <w:tcW w:w="217" w:type="dxa"/>
          </w:tcPr>
          <w:p w14:paraId="3F5C3D12" w14:textId="77777777" w:rsidR="002C0FD9" w:rsidRPr="00CA25CF" w:rsidRDefault="002C0FD9" w:rsidP="00CA25CF">
            <w:pPr>
              <w:rPr>
                <w:rFonts w:cs="Arial"/>
                <w:color w:val="FF0000"/>
                <w:sz w:val="21"/>
                <w:szCs w:val="21"/>
              </w:rPr>
            </w:pPr>
          </w:p>
        </w:tc>
        <w:tc>
          <w:tcPr>
            <w:tcW w:w="217" w:type="dxa"/>
          </w:tcPr>
          <w:p w14:paraId="509FB707" w14:textId="77777777" w:rsidR="002C0FD9" w:rsidRPr="00CA25CF" w:rsidRDefault="002C0FD9" w:rsidP="00CA25CF">
            <w:pPr>
              <w:rPr>
                <w:rFonts w:cs="Arial"/>
                <w:color w:val="FF0000"/>
                <w:sz w:val="21"/>
                <w:szCs w:val="21"/>
              </w:rPr>
            </w:pPr>
          </w:p>
        </w:tc>
        <w:tc>
          <w:tcPr>
            <w:tcW w:w="217" w:type="dxa"/>
          </w:tcPr>
          <w:p w14:paraId="1A3D5911" w14:textId="77777777" w:rsidR="002C0FD9" w:rsidRPr="00CA25CF" w:rsidRDefault="002C0FD9" w:rsidP="00CA25CF">
            <w:pPr>
              <w:rPr>
                <w:rFonts w:cs="Arial"/>
                <w:color w:val="FF0000"/>
                <w:sz w:val="21"/>
                <w:szCs w:val="21"/>
              </w:rPr>
            </w:pPr>
          </w:p>
        </w:tc>
        <w:tc>
          <w:tcPr>
            <w:tcW w:w="217" w:type="dxa"/>
          </w:tcPr>
          <w:p w14:paraId="3E8EACA1" w14:textId="77777777" w:rsidR="002C0FD9" w:rsidRPr="00CA25CF" w:rsidRDefault="002C0FD9" w:rsidP="00CA25CF">
            <w:pPr>
              <w:rPr>
                <w:rFonts w:cs="Arial"/>
                <w:color w:val="FF0000"/>
                <w:sz w:val="21"/>
                <w:szCs w:val="21"/>
              </w:rPr>
            </w:pPr>
          </w:p>
        </w:tc>
        <w:tc>
          <w:tcPr>
            <w:tcW w:w="217" w:type="dxa"/>
          </w:tcPr>
          <w:p w14:paraId="028172F6" w14:textId="77777777" w:rsidR="002C0FD9" w:rsidRPr="00CA25CF" w:rsidRDefault="002C0FD9" w:rsidP="00CA25CF">
            <w:pPr>
              <w:rPr>
                <w:rFonts w:cs="Arial"/>
                <w:color w:val="FF0000"/>
                <w:sz w:val="21"/>
                <w:szCs w:val="21"/>
              </w:rPr>
            </w:pPr>
          </w:p>
        </w:tc>
        <w:tc>
          <w:tcPr>
            <w:tcW w:w="217" w:type="dxa"/>
          </w:tcPr>
          <w:p w14:paraId="3B23EC02" w14:textId="77777777" w:rsidR="002C0FD9" w:rsidRPr="00CA25CF" w:rsidRDefault="002C0FD9" w:rsidP="00CA25CF">
            <w:pPr>
              <w:rPr>
                <w:rFonts w:cs="Arial"/>
                <w:color w:val="FF0000"/>
                <w:sz w:val="21"/>
                <w:szCs w:val="21"/>
              </w:rPr>
            </w:pPr>
          </w:p>
        </w:tc>
        <w:tc>
          <w:tcPr>
            <w:tcW w:w="217" w:type="dxa"/>
          </w:tcPr>
          <w:p w14:paraId="6C21DBBF" w14:textId="77777777" w:rsidR="002C0FD9" w:rsidRPr="00CA25CF" w:rsidRDefault="002C0FD9" w:rsidP="00CA25CF">
            <w:pPr>
              <w:rPr>
                <w:rFonts w:cs="Arial"/>
                <w:color w:val="FF0000"/>
                <w:sz w:val="21"/>
                <w:szCs w:val="21"/>
              </w:rPr>
            </w:pPr>
          </w:p>
        </w:tc>
        <w:tc>
          <w:tcPr>
            <w:tcW w:w="217" w:type="dxa"/>
          </w:tcPr>
          <w:p w14:paraId="69F8291E" w14:textId="77777777" w:rsidR="002C0FD9" w:rsidRPr="00CA25CF" w:rsidRDefault="002C0FD9" w:rsidP="00CA25CF">
            <w:pPr>
              <w:rPr>
                <w:rFonts w:cs="Arial"/>
                <w:color w:val="FF0000"/>
                <w:sz w:val="21"/>
                <w:szCs w:val="21"/>
              </w:rPr>
            </w:pPr>
          </w:p>
        </w:tc>
        <w:tc>
          <w:tcPr>
            <w:tcW w:w="217" w:type="dxa"/>
          </w:tcPr>
          <w:p w14:paraId="704E51F7" w14:textId="77777777" w:rsidR="002C0FD9" w:rsidRPr="00CA25CF" w:rsidRDefault="002C0FD9" w:rsidP="00CA25CF">
            <w:pPr>
              <w:rPr>
                <w:rFonts w:cs="Arial"/>
                <w:color w:val="FF0000"/>
                <w:sz w:val="21"/>
                <w:szCs w:val="21"/>
              </w:rPr>
            </w:pPr>
          </w:p>
        </w:tc>
        <w:tc>
          <w:tcPr>
            <w:tcW w:w="217" w:type="dxa"/>
          </w:tcPr>
          <w:p w14:paraId="07AB6A6B" w14:textId="77777777" w:rsidR="002C0FD9" w:rsidRPr="00CA25CF" w:rsidRDefault="002C0FD9" w:rsidP="00CA25CF">
            <w:pPr>
              <w:rPr>
                <w:rFonts w:cs="Arial"/>
                <w:color w:val="FF0000"/>
                <w:sz w:val="21"/>
                <w:szCs w:val="21"/>
              </w:rPr>
            </w:pPr>
          </w:p>
        </w:tc>
        <w:tc>
          <w:tcPr>
            <w:tcW w:w="217" w:type="dxa"/>
          </w:tcPr>
          <w:p w14:paraId="561E3DBF" w14:textId="77777777" w:rsidR="002C0FD9" w:rsidRPr="00CA25CF" w:rsidRDefault="002C0FD9" w:rsidP="00CA25CF">
            <w:pPr>
              <w:rPr>
                <w:rFonts w:cs="Arial"/>
                <w:color w:val="FF0000"/>
                <w:sz w:val="21"/>
                <w:szCs w:val="21"/>
              </w:rPr>
            </w:pPr>
          </w:p>
        </w:tc>
      </w:tr>
      <w:tr w:rsidR="002C0FD9" w:rsidRPr="00A16219" w14:paraId="666314DE" w14:textId="77777777" w:rsidTr="002C0FD9">
        <w:trPr>
          <w:trHeight w:val="635"/>
        </w:trPr>
        <w:tc>
          <w:tcPr>
            <w:tcW w:w="515" w:type="dxa"/>
          </w:tcPr>
          <w:p w14:paraId="16CEE6A1" w14:textId="77777777" w:rsidR="002C0FD9" w:rsidRPr="00CA25CF" w:rsidRDefault="002C0FD9" w:rsidP="00CA25CF">
            <w:pPr>
              <w:rPr>
                <w:rFonts w:cs="Arial"/>
                <w:color w:val="FF0000"/>
                <w:sz w:val="21"/>
                <w:szCs w:val="21"/>
              </w:rPr>
            </w:pPr>
          </w:p>
        </w:tc>
        <w:tc>
          <w:tcPr>
            <w:tcW w:w="217" w:type="dxa"/>
          </w:tcPr>
          <w:p w14:paraId="1A7279B8" w14:textId="77777777" w:rsidR="002C0FD9" w:rsidRPr="00CA25CF" w:rsidRDefault="002C0FD9" w:rsidP="00CA25CF">
            <w:pPr>
              <w:rPr>
                <w:rFonts w:cs="Arial"/>
                <w:color w:val="FF0000"/>
                <w:sz w:val="21"/>
                <w:szCs w:val="21"/>
              </w:rPr>
            </w:pPr>
          </w:p>
        </w:tc>
        <w:tc>
          <w:tcPr>
            <w:tcW w:w="217" w:type="dxa"/>
          </w:tcPr>
          <w:p w14:paraId="34B44968" w14:textId="77777777" w:rsidR="002C0FD9" w:rsidRPr="00CA25CF" w:rsidRDefault="002C0FD9" w:rsidP="00CA25CF">
            <w:pPr>
              <w:rPr>
                <w:rFonts w:cs="Arial"/>
                <w:color w:val="FF0000"/>
                <w:sz w:val="21"/>
                <w:szCs w:val="21"/>
              </w:rPr>
            </w:pPr>
          </w:p>
        </w:tc>
        <w:tc>
          <w:tcPr>
            <w:tcW w:w="217" w:type="dxa"/>
          </w:tcPr>
          <w:p w14:paraId="0370F227" w14:textId="77777777" w:rsidR="002C0FD9" w:rsidRPr="00CA25CF" w:rsidRDefault="002C0FD9" w:rsidP="00CA25CF">
            <w:pPr>
              <w:rPr>
                <w:rFonts w:cs="Arial"/>
                <w:color w:val="FF0000"/>
                <w:sz w:val="21"/>
                <w:szCs w:val="21"/>
              </w:rPr>
            </w:pPr>
          </w:p>
        </w:tc>
        <w:tc>
          <w:tcPr>
            <w:tcW w:w="217" w:type="dxa"/>
          </w:tcPr>
          <w:p w14:paraId="1F066DB4" w14:textId="77777777" w:rsidR="002C0FD9" w:rsidRPr="00CA25CF" w:rsidRDefault="002C0FD9" w:rsidP="00CA25CF">
            <w:pPr>
              <w:rPr>
                <w:rFonts w:cs="Arial"/>
                <w:color w:val="FF0000"/>
                <w:sz w:val="21"/>
                <w:szCs w:val="21"/>
              </w:rPr>
            </w:pPr>
          </w:p>
        </w:tc>
        <w:tc>
          <w:tcPr>
            <w:tcW w:w="217" w:type="dxa"/>
          </w:tcPr>
          <w:p w14:paraId="54AB5A52" w14:textId="77777777" w:rsidR="002C0FD9" w:rsidRPr="00CA25CF" w:rsidRDefault="002C0FD9" w:rsidP="00CA25CF">
            <w:pPr>
              <w:rPr>
                <w:rFonts w:cs="Arial"/>
                <w:color w:val="FF0000"/>
                <w:sz w:val="21"/>
                <w:szCs w:val="21"/>
              </w:rPr>
            </w:pPr>
          </w:p>
        </w:tc>
        <w:tc>
          <w:tcPr>
            <w:tcW w:w="217" w:type="dxa"/>
          </w:tcPr>
          <w:p w14:paraId="4CB4E404" w14:textId="77777777" w:rsidR="002C0FD9" w:rsidRPr="00CA25CF" w:rsidRDefault="002C0FD9" w:rsidP="00CA25CF">
            <w:pPr>
              <w:rPr>
                <w:rFonts w:cs="Arial"/>
                <w:color w:val="FF0000"/>
                <w:sz w:val="21"/>
                <w:szCs w:val="21"/>
              </w:rPr>
            </w:pPr>
          </w:p>
        </w:tc>
        <w:tc>
          <w:tcPr>
            <w:tcW w:w="217" w:type="dxa"/>
          </w:tcPr>
          <w:p w14:paraId="529C3A54" w14:textId="77777777" w:rsidR="002C0FD9" w:rsidRPr="00CA25CF" w:rsidRDefault="002C0FD9" w:rsidP="00CA25CF">
            <w:pPr>
              <w:rPr>
                <w:rFonts w:cs="Arial"/>
                <w:color w:val="FF0000"/>
                <w:sz w:val="21"/>
                <w:szCs w:val="21"/>
              </w:rPr>
            </w:pPr>
          </w:p>
        </w:tc>
        <w:tc>
          <w:tcPr>
            <w:tcW w:w="217" w:type="dxa"/>
          </w:tcPr>
          <w:p w14:paraId="4E76904A" w14:textId="77777777" w:rsidR="002C0FD9" w:rsidRPr="00CA25CF" w:rsidRDefault="002C0FD9" w:rsidP="00CA25CF">
            <w:pPr>
              <w:rPr>
                <w:rFonts w:cs="Arial"/>
                <w:color w:val="FF0000"/>
                <w:sz w:val="21"/>
                <w:szCs w:val="21"/>
              </w:rPr>
            </w:pPr>
          </w:p>
        </w:tc>
        <w:tc>
          <w:tcPr>
            <w:tcW w:w="217" w:type="dxa"/>
          </w:tcPr>
          <w:p w14:paraId="358A56AD" w14:textId="77777777" w:rsidR="002C0FD9" w:rsidRPr="00CA25CF" w:rsidRDefault="002C0FD9" w:rsidP="00CA25CF">
            <w:pPr>
              <w:rPr>
                <w:rFonts w:cs="Arial"/>
                <w:color w:val="FF0000"/>
                <w:sz w:val="21"/>
                <w:szCs w:val="21"/>
              </w:rPr>
            </w:pPr>
          </w:p>
        </w:tc>
        <w:tc>
          <w:tcPr>
            <w:tcW w:w="217" w:type="dxa"/>
          </w:tcPr>
          <w:p w14:paraId="172C04FD" w14:textId="77777777" w:rsidR="002C0FD9" w:rsidRPr="00CA25CF" w:rsidRDefault="002C0FD9" w:rsidP="00CA25CF">
            <w:pPr>
              <w:rPr>
                <w:rFonts w:cs="Arial"/>
                <w:color w:val="FF0000"/>
                <w:sz w:val="21"/>
                <w:szCs w:val="21"/>
              </w:rPr>
            </w:pPr>
          </w:p>
        </w:tc>
        <w:tc>
          <w:tcPr>
            <w:tcW w:w="217" w:type="dxa"/>
          </w:tcPr>
          <w:p w14:paraId="0EC82518" w14:textId="77777777" w:rsidR="002C0FD9" w:rsidRPr="00CA25CF" w:rsidRDefault="002C0FD9" w:rsidP="00CA25CF">
            <w:pPr>
              <w:rPr>
                <w:rFonts w:cs="Arial"/>
                <w:color w:val="FF0000"/>
                <w:sz w:val="21"/>
                <w:szCs w:val="21"/>
              </w:rPr>
            </w:pPr>
          </w:p>
        </w:tc>
        <w:tc>
          <w:tcPr>
            <w:tcW w:w="217" w:type="dxa"/>
          </w:tcPr>
          <w:p w14:paraId="2F43D2A0" w14:textId="77777777" w:rsidR="002C0FD9" w:rsidRPr="00CA25CF" w:rsidRDefault="002C0FD9" w:rsidP="00CA25CF">
            <w:pPr>
              <w:rPr>
                <w:rFonts w:cs="Arial"/>
                <w:color w:val="FF0000"/>
                <w:sz w:val="21"/>
                <w:szCs w:val="21"/>
              </w:rPr>
            </w:pPr>
          </w:p>
        </w:tc>
        <w:tc>
          <w:tcPr>
            <w:tcW w:w="217" w:type="dxa"/>
          </w:tcPr>
          <w:p w14:paraId="57F413D9" w14:textId="77777777" w:rsidR="002C0FD9" w:rsidRPr="00CA25CF" w:rsidRDefault="002C0FD9" w:rsidP="00CA25CF">
            <w:pPr>
              <w:rPr>
                <w:rFonts w:cs="Arial"/>
                <w:color w:val="FF0000"/>
                <w:sz w:val="21"/>
                <w:szCs w:val="21"/>
              </w:rPr>
            </w:pPr>
          </w:p>
        </w:tc>
        <w:tc>
          <w:tcPr>
            <w:tcW w:w="217" w:type="dxa"/>
          </w:tcPr>
          <w:p w14:paraId="49AA4FDC" w14:textId="77777777" w:rsidR="002C0FD9" w:rsidRPr="00CA25CF" w:rsidRDefault="002C0FD9" w:rsidP="00CA25CF">
            <w:pPr>
              <w:rPr>
                <w:rFonts w:cs="Arial"/>
                <w:color w:val="FF0000"/>
                <w:sz w:val="21"/>
                <w:szCs w:val="21"/>
              </w:rPr>
            </w:pPr>
          </w:p>
        </w:tc>
        <w:tc>
          <w:tcPr>
            <w:tcW w:w="217" w:type="dxa"/>
          </w:tcPr>
          <w:p w14:paraId="25C69792" w14:textId="77777777" w:rsidR="002C0FD9" w:rsidRPr="00CA25CF" w:rsidRDefault="002C0FD9" w:rsidP="00CA25CF">
            <w:pPr>
              <w:rPr>
                <w:rFonts w:cs="Arial"/>
                <w:color w:val="FF0000"/>
                <w:sz w:val="21"/>
                <w:szCs w:val="21"/>
              </w:rPr>
            </w:pPr>
          </w:p>
        </w:tc>
        <w:tc>
          <w:tcPr>
            <w:tcW w:w="217" w:type="dxa"/>
          </w:tcPr>
          <w:p w14:paraId="4EB17E0D" w14:textId="77777777" w:rsidR="002C0FD9" w:rsidRPr="00CA25CF" w:rsidRDefault="002C0FD9" w:rsidP="00CA25CF">
            <w:pPr>
              <w:rPr>
                <w:rFonts w:cs="Arial"/>
                <w:color w:val="FF0000"/>
                <w:sz w:val="21"/>
                <w:szCs w:val="21"/>
              </w:rPr>
            </w:pPr>
          </w:p>
        </w:tc>
        <w:tc>
          <w:tcPr>
            <w:tcW w:w="217" w:type="dxa"/>
          </w:tcPr>
          <w:p w14:paraId="0A3D938A" w14:textId="77777777" w:rsidR="002C0FD9" w:rsidRPr="00CA25CF" w:rsidRDefault="002C0FD9" w:rsidP="00CA25CF">
            <w:pPr>
              <w:rPr>
                <w:rFonts w:cs="Arial"/>
                <w:color w:val="FF0000"/>
                <w:sz w:val="21"/>
                <w:szCs w:val="21"/>
              </w:rPr>
            </w:pPr>
          </w:p>
        </w:tc>
        <w:tc>
          <w:tcPr>
            <w:tcW w:w="217" w:type="dxa"/>
          </w:tcPr>
          <w:p w14:paraId="7751CE4D" w14:textId="77777777" w:rsidR="002C0FD9" w:rsidRPr="00CA25CF" w:rsidRDefault="002C0FD9" w:rsidP="00CA25CF">
            <w:pPr>
              <w:rPr>
                <w:rFonts w:cs="Arial"/>
                <w:color w:val="FF0000"/>
                <w:sz w:val="21"/>
                <w:szCs w:val="21"/>
              </w:rPr>
            </w:pPr>
          </w:p>
        </w:tc>
        <w:tc>
          <w:tcPr>
            <w:tcW w:w="217" w:type="dxa"/>
          </w:tcPr>
          <w:p w14:paraId="18645085" w14:textId="77777777" w:rsidR="002C0FD9" w:rsidRPr="00CA25CF" w:rsidRDefault="002C0FD9" w:rsidP="00CA25CF">
            <w:pPr>
              <w:rPr>
                <w:rFonts w:cs="Arial"/>
                <w:color w:val="FF0000"/>
                <w:sz w:val="21"/>
                <w:szCs w:val="21"/>
              </w:rPr>
            </w:pPr>
          </w:p>
        </w:tc>
        <w:tc>
          <w:tcPr>
            <w:tcW w:w="217" w:type="dxa"/>
          </w:tcPr>
          <w:p w14:paraId="5B71AB0C" w14:textId="77777777" w:rsidR="002C0FD9" w:rsidRPr="00CA25CF" w:rsidRDefault="002C0FD9" w:rsidP="00CA25CF">
            <w:pPr>
              <w:rPr>
                <w:rFonts w:cs="Arial"/>
                <w:color w:val="FF0000"/>
                <w:sz w:val="21"/>
                <w:szCs w:val="21"/>
              </w:rPr>
            </w:pPr>
          </w:p>
        </w:tc>
        <w:tc>
          <w:tcPr>
            <w:tcW w:w="217" w:type="dxa"/>
          </w:tcPr>
          <w:p w14:paraId="32BBD60F" w14:textId="77777777" w:rsidR="002C0FD9" w:rsidRPr="00CA25CF" w:rsidRDefault="002C0FD9" w:rsidP="00CA25CF">
            <w:pPr>
              <w:rPr>
                <w:rFonts w:cs="Arial"/>
                <w:color w:val="FF0000"/>
                <w:sz w:val="21"/>
                <w:szCs w:val="21"/>
              </w:rPr>
            </w:pPr>
          </w:p>
        </w:tc>
        <w:tc>
          <w:tcPr>
            <w:tcW w:w="217" w:type="dxa"/>
          </w:tcPr>
          <w:p w14:paraId="6B0FCA19" w14:textId="77777777" w:rsidR="002C0FD9" w:rsidRPr="00CA25CF" w:rsidRDefault="002C0FD9" w:rsidP="00CA25CF">
            <w:pPr>
              <w:rPr>
                <w:rFonts w:cs="Arial"/>
                <w:color w:val="FF0000"/>
                <w:sz w:val="21"/>
                <w:szCs w:val="21"/>
              </w:rPr>
            </w:pPr>
          </w:p>
        </w:tc>
        <w:tc>
          <w:tcPr>
            <w:tcW w:w="217" w:type="dxa"/>
          </w:tcPr>
          <w:p w14:paraId="57C91A51" w14:textId="77777777" w:rsidR="002C0FD9" w:rsidRPr="00CA25CF" w:rsidRDefault="002C0FD9" w:rsidP="00CA25CF">
            <w:pPr>
              <w:rPr>
                <w:rFonts w:cs="Arial"/>
                <w:color w:val="FF0000"/>
                <w:sz w:val="21"/>
                <w:szCs w:val="21"/>
              </w:rPr>
            </w:pPr>
          </w:p>
        </w:tc>
        <w:tc>
          <w:tcPr>
            <w:tcW w:w="217" w:type="dxa"/>
          </w:tcPr>
          <w:p w14:paraId="59036B38" w14:textId="77777777" w:rsidR="002C0FD9" w:rsidRPr="00CA25CF" w:rsidRDefault="002C0FD9" w:rsidP="00CA25CF">
            <w:pPr>
              <w:rPr>
                <w:rFonts w:cs="Arial"/>
                <w:color w:val="FF0000"/>
                <w:sz w:val="21"/>
                <w:szCs w:val="21"/>
              </w:rPr>
            </w:pPr>
          </w:p>
        </w:tc>
        <w:tc>
          <w:tcPr>
            <w:tcW w:w="217" w:type="dxa"/>
          </w:tcPr>
          <w:p w14:paraId="73351C5B" w14:textId="77777777" w:rsidR="002C0FD9" w:rsidRPr="00CA25CF" w:rsidRDefault="002C0FD9" w:rsidP="00CA25CF">
            <w:pPr>
              <w:rPr>
                <w:rFonts w:cs="Arial"/>
                <w:color w:val="FF0000"/>
                <w:sz w:val="21"/>
                <w:szCs w:val="21"/>
              </w:rPr>
            </w:pPr>
          </w:p>
        </w:tc>
        <w:tc>
          <w:tcPr>
            <w:tcW w:w="217" w:type="dxa"/>
          </w:tcPr>
          <w:p w14:paraId="578DC72B" w14:textId="77777777" w:rsidR="002C0FD9" w:rsidRPr="00CA25CF" w:rsidRDefault="002C0FD9" w:rsidP="00CA25CF">
            <w:pPr>
              <w:rPr>
                <w:rFonts w:cs="Arial"/>
                <w:color w:val="FF0000"/>
                <w:sz w:val="21"/>
                <w:szCs w:val="21"/>
              </w:rPr>
            </w:pPr>
          </w:p>
        </w:tc>
        <w:tc>
          <w:tcPr>
            <w:tcW w:w="217" w:type="dxa"/>
          </w:tcPr>
          <w:p w14:paraId="751E9D0D" w14:textId="77777777" w:rsidR="002C0FD9" w:rsidRPr="00CA25CF" w:rsidRDefault="002C0FD9" w:rsidP="00CA25CF">
            <w:pPr>
              <w:rPr>
                <w:rFonts w:cs="Arial"/>
                <w:color w:val="FF0000"/>
                <w:sz w:val="21"/>
                <w:szCs w:val="21"/>
              </w:rPr>
            </w:pPr>
          </w:p>
        </w:tc>
        <w:tc>
          <w:tcPr>
            <w:tcW w:w="217" w:type="dxa"/>
          </w:tcPr>
          <w:p w14:paraId="327BF329" w14:textId="77777777" w:rsidR="002C0FD9" w:rsidRPr="00CA25CF" w:rsidRDefault="002C0FD9" w:rsidP="00CA25CF">
            <w:pPr>
              <w:rPr>
                <w:rFonts w:cs="Arial"/>
                <w:color w:val="FF0000"/>
                <w:sz w:val="21"/>
                <w:szCs w:val="21"/>
              </w:rPr>
            </w:pPr>
          </w:p>
        </w:tc>
        <w:tc>
          <w:tcPr>
            <w:tcW w:w="217" w:type="dxa"/>
          </w:tcPr>
          <w:p w14:paraId="582C33E6" w14:textId="77777777" w:rsidR="002C0FD9" w:rsidRPr="00CA25CF" w:rsidRDefault="002C0FD9" w:rsidP="00CA25CF">
            <w:pPr>
              <w:rPr>
                <w:rFonts w:cs="Arial"/>
                <w:color w:val="FF0000"/>
                <w:sz w:val="21"/>
                <w:szCs w:val="21"/>
              </w:rPr>
            </w:pPr>
          </w:p>
        </w:tc>
        <w:tc>
          <w:tcPr>
            <w:tcW w:w="217" w:type="dxa"/>
          </w:tcPr>
          <w:p w14:paraId="32CFEDC0" w14:textId="77777777" w:rsidR="002C0FD9" w:rsidRPr="00CA25CF" w:rsidRDefault="002C0FD9" w:rsidP="00CA25CF">
            <w:pPr>
              <w:rPr>
                <w:rFonts w:cs="Arial"/>
                <w:color w:val="FF0000"/>
                <w:sz w:val="21"/>
                <w:szCs w:val="21"/>
              </w:rPr>
            </w:pPr>
          </w:p>
        </w:tc>
        <w:tc>
          <w:tcPr>
            <w:tcW w:w="217" w:type="dxa"/>
          </w:tcPr>
          <w:p w14:paraId="6DE0A781" w14:textId="77777777" w:rsidR="002C0FD9" w:rsidRPr="00CA25CF" w:rsidRDefault="002C0FD9" w:rsidP="00CA25CF">
            <w:pPr>
              <w:rPr>
                <w:rFonts w:cs="Arial"/>
                <w:color w:val="FF0000"/>
                <w:sz w:val="21"/>
                <w:szCs w:val="21"/>
              </w:rPr>
            </w:pPr>
          </w:p>
        </w:tc>
        <w:tc>
          <w:tcPr>
            <w:tcW w:w="217" w:type="dxa"/>
          </w:tcPr>
          <w:p w14:paraId="5E86E803" w14:textId="77777777" w:rsidR="002C0FD9" w:rsidRPr="00CA25CF" w:rsidRDefault="002C0FD9" w:rsidP="00CA25CF">
            <w:pPr>
              <w:rPr>
                <w:rFonts w:cs="Arial"/>
                <w:color w:val="FF0000"/>
                <w:sz w:val="21"/>
                <w:szCs w:val="21"/>
              </w:rPr>
            </w:pPr>
          </w:p>
        </w:tc>
        <w:tc>
          <w:tcPr>
            <w:tcW w:w="217" w:type="dxa"/>
          </w:tcPr>
          <w:p w14:paraId="787FA75C" w14:textId="77777777" w:rsidR="002C0FD9" w:rsidRPr="00CA25CF" w:rsidRDefault="002C0FD9" w:rsidP="00CA25CF">
            <w:pPr>
              <w:rPr>
                <w:rFonts w:cs="Arial"/>
                <w:color w:val="FF0000"/>
                <w:sz w:val="21"/>
                <w:szCs w:val="21"/>
              </w:rPr>
            </w:pPr>
          </w:p>
        </w:tc>
        <w:tc>
          <w:tcPr>
            <w:tcW w:w="217" w:type="dxa"/>
          </w:tcPr>
          <w:p w14:paraId="54446051" w14:textId="77777777" w:rsidR="002C0FD9" w:rsidRPr="00CA25CF" w:rsidRDefault="002C0FD9" w:rsidP="00CA25CF">
            <w:pPr>
              <w:rPr>
                <w:rFonts w:cs="Arial"/>
                <w:color w:val="FF0000"/>
                <w:sz w:val="21"/>
                <w:szCs w:val="21"/>
              </w:rPr>
            </w:pPr>
          </w:p>
        </w:tc>
        <w:tc>
          <w:tcPr>
            <w:tcW w:w="217" w:type="dxa"/>
          </w:tcPr>
          <w:p w14:paraId="5E2FF2D8" w14:textId="77777777" w:rsidR="002C0FD9" w:rsidRPr="00CA25CF" w:rsidRDefault="002C0FD9" w:rsidP="00CA25CF">
            <w:pPr>
              <w:rPr>
                <w:rFonts w:cs="Arial"/>
                <w:color w:val="FF0000"/>
                <w:sz w:val="21"/>
                <w:szCs w:val="21"/>
              </w:rPr>
            </w:pPr>
          </w:p>
        </w:tc>
        <w:tc>
          <w:tcPr>
            <w:tcW w:w="217" w:type="dxa"/>
          </w:tcPr>
          <w:p w14:paraId="70842620" w14:textId="77777777" w:rsidR="002C0FD9" w:rsidRPr="00CA25CF" w:rsidRDefault="002C0FD9" w:rsidP="00CA25CF">
            <w:pPr>
              <w:rPr>
                <w:rFonts w:cs="Arial"/>
                <w:color w:val="FF0000"/>
                <w:sz w:val="21"/>
                <w:szCs w:val="21"/>
              </w:rPr>
            </w:pPr>
          </w:p>
        </w:tc>
        <w:tc>
          <w:tcPr>
            <w:tcW w:w="217" w:type="dxa"/>
          </w:tcPr>
          <w:p w14:paraId="18B79BC7" w14:textId="77777777" w:rsidR="002C0FD9" w:rsidRPr="00CA25CF" w:rsidRDefault="002C0FD9" w:rsidP="00CA25CF">
            <w:pPr>
              <w:rPr>
                <w:rFonts w:cs="Arial"/>
                <w:color w:val="FF0000"/>
                <w:sz w:val="21"/>
                <w:szCs w:val="21"/>
              </w:rPr>
            </w:pPr>
          </w:p>
        </w:tc>
        <w:tc>
          <w:tcPr>
            <w:tcW w:w="217" w:type="dxa"/>
          </w:tcPr>
          <w:p w14:paraId="56DFE866" w14:textId="77777777" w:rsidR="002C0FD9" w:rsidRPr="00CA25CF" w:rsidRDefault="002C0FD9" w:rsidP="00CA25CF">
            <w:pPr>
              <w:rPr>
                <w:rFonts w:cs="Arial"/>
                <w:color w:val="FF0000"/>
                <w:sz w:val="21"/>
                <w:szCs w:val="21"/>
              </w:rPr>
            </w:pPr>
          </w:p>
        </w:tc>
        <w:tc>
          <w:tcPr>
            <w:tcW w:w="217" w:type="dxa"/>
          </w:tcPr>
          <w:p w14:paraId="66E3795A" w14:textId="77777777" w:rsidR="002C0FD9" w:rsidRPr="00CA25CF" w:rsidRDefault="002C0FD9" w:rsidP="00CA25CF">
            <w:pPr>
              <w:rPr>
                <w:rFonts w:cs="Arial"/>
                <w:color w:val="FF0000"/>
                <w:sz w:val="21"/>
                <w:szCs w:val="21"/>
              </w:rPr>
            </w:pPr>
          </w:p>
        </w:tc>
        <w:tc>
          <w:tcPr>
            <w:tcW w:w="217" w:type="dxa"/>
          </w:tcPr>
          <w:p w14:paraId="3FB36BE7" w14:textId="77777777" w:rsidR="002C0FD9" w:rsidRPr="00CA25CF" w:rsidRDefault="002C0FD9" w:rsidP="00CA25CF">
            <w:pPr>
              <w:rPr>
                <w:rFonts w:cs="Arial"/>
                <w:color w:val="FF0000"/>
                <w:sz w:val="21"/>
                <w:szCs w:val="21"/>
              </w:rPr>
            </w:pPr>
          </w:p>
        </w:tc>
        <w:tc>
          <w:tcPr>
            <w:tcW w:w="217" w:type="dxa"/>
          </w:tcPr>
          <w:p w14:paraId="613F6092" w14:textId="77777777" w:rsidR="002C0FD9" w:rsidRPr="00CA25CF" w:rsidRDefault="002C0FD9" w:rsidP="00CA25CF">
            <w:pPr>
              <w:rPr>
                <w:rFonts w:cs="Arial"/>
                <w:color w:val="FF0000"/>
                <w:sz w:val="21"/>
                <w:szCs w:val="21"/>
              </w:rPr>
            </w:pPr>
          </w:p>
        </w:tc>
        <w:tc>
          <w:tcPr>
            <w:tcW w:w="217" w:type="dxa"/>
          </w:tcPr>
          <w:p w14:paraId="5768B135" w14:textId="77777777" w:rsidR="002C0FD9" w:rsidRPr="00CA25CF" w:rsidRDefault="002C0FD9" w:rsidP="00CA25CF">
            <w:pPr>
              <w:rPr>
                <w:rFonts w:cs="Arial"/>
                <w:color w:val="FF0000"/>
                <w:sz w:val="21"/>
                <w:szCs w:val="21"/>
              </w:rPr>
            </w:pPr>
          </w:p>
        </w:tc>
      </w:tr>
      <w:tr w:rsidR="002C0FD9" w:rsidRPr="00A16219" w14:paraId="188991CE" w14:textId="77777777" w:rsidTr="002C0FD9">
        <w:trPr>
          <w:trHeight w:val="635"/>
        </w:trPr>
        <w:tc>
          <w:tcPr>
            <w:tcW w:w="515" w:type="dxa"/>
          </w:tcPr>
          <w:p w14:paraId="022487F5" w14:textId="77777777" w:rsidR="002C0FD9" w:rsidRPr="00CA25CF" w:rsidRDefault="002C0FD9" w:rsidP="00CA25CF">
            <w:pPr>
              <w:rPr>
                <w:rFonts w:cs="Arial"/>
                <w:color w:val="FF0000"/>
                <w:sz w:val="21"/>
                <w:szCs w:val="21"/>
              </w:rPr>
            </w:pPr>
          </w:p>
        </w:tc>
        <w:tc>
          <w:tcPr>
            <w:tcW w:w="217" w:type="dxa"/>
          </w:tcPr>
          <w:p w14:paraId="4E80666B" w14:textId="77777777" w:rsidR="002C0FD9" w:rsidRPr="00CA25CF" w:rsidRDefault="002C0FD9" w:rsidP="00CA25CF">
            <w:pPr>
              <w:rPr>
                <w:rFonts w:cs="Arial"/>
                <w:color w:val="FF0000"/>
                <w:sz w:val="21"/>
                <w:szCs w:val="21"/>
              </w:rPr>
            </w:pPr>
          </w:p>
        </w:tc>
        <w:tc>
          <w:tcPr>
            <w:tcW w:w="217" w:type="dxa"/>
          </w:tcPr>
          <w:p w14:paraId="2EE5FB5B" w14:textId="77777777" w:rsidR="002C0FD9" w:rsidRPr="00CA25CF" w:rsidRDefault="002C0FD9" w:rsidP="00CA25CF">
            <w:pPr>
              <w:rPr>
                <w:rFonts w:cs="Arial"/>
                <w:color w:val="FF0000"/>
                <w:sz w:val="21"/>
                <w:szCs w:val="21"/>
              </w:rPr>
            </w:pPr>
          </w:p>
        </w:tc>
        <w:tc>
          <w:tcPr>
            <w:tcW w:w="217" w:type="dxa"/>
          </w:tcPr>
          <w:p w14:paraId="47E88C6D" w14:textId="77777777" w:rsidR="002C0FD9" w:rsidRPr="00CA25CF" w:rsidRDefault="002C0FD9" w:rsidP="00CA25CF">
            <w:pPr>
              <w:rPr>
                <w:rFonts w:cs="Arial"/>
                <w:color w:val="FF0000"/>
                <w:sz w:val="21"/>
                <w:szCs w:val="21"/>
              </w:rPr>
            </w:pPr>
          </w:p>
        </w:tc>
        <w:tc>
          <w:tcPr>
            <w:tcW w:w="217" w:type="dxa"/>
          </w:tcPr>
          <w:p w14:paraId="3F601E8B" w14:textId="77777777" w:rsidR="002C0FD9" w:rsidRPr="00CA25CF" w:rsidRDefault="002C0FD9" w:rsidP="00CA25CF">
            <w:pPr>
              <w:rPr>
                <w:rFonts w:cs="Arial"/>
                <w:color w:val="FF0000"/>
                <w:sz w:val="21"/>
                <w:szCs w:val="21"/>
              </w:rPr>
            </w:pPr>
          </w:p>
        </w:tc>
        <w:tc>
          <w:tcPr>
            <w:tcW w:w="217" w:type="dxa"/>
          </w:tcPr>
          <w:p w14:paraId="65809861" w14:textId="77777777" w:rsidR="002C0FD9" w:rsidRPr="00CA25CF" w:rsidRDefault="002C0FD9" w:rsidP="00CA25CF">
            <w:pPr>
              <w:rPr>
                <w:rFonts w:cs="Arial"/>
                <w:color w:val="FF0000"/>
                <w:sz w:val="21"/>
                <w:szCs w:val="21"/>
              </w:rPr>
            </w:pPr>
          </w:p>
        </w:tc>
        <w:tc>
          <w:tcPr>
            <w:tcW w:w="217" w:type="dxa"/>
          </w:tcPr>
          <w:p w14:paraId="1162B1EF" w14:textId="77777777" w:rsidR="002C0FD9" w:rsidRPr="00CA25CF" w:rsidRDefault="002C0FD9" w:rsidP="00CA25CF">
            <w:pPr>
              <w:rPr>
                <w:rFonts w:cs="Arial"/>
                <w:color w:val="FF0000"/>
                <w:sz w:val="21"/>
                <w:szCs w:val="21"/>
              </w:rPr>
            </w:pPr>
          </w:p>
        </w:tc>
        <w:tc>
          <w:tcPr>
            <w:tcW w:w="217" w:type="dxa"/>
          </w:tcPr>
          <w:p w14:paraId="1250D87F" w14:textId="77777777" w:rsidR="002C0FD9" w:rsidRPr="00CA25CF" w:rsidRDefault="002C0FD9" w:rsidP="00CA25CF">
            <w:pPr>
              <w:rPr>
                <w:rFonts w:cs="Arial"/>
                <w:color w:val="FF0000"/>
                <w:sz w:val="21"/>
                <w:szCs w:val="21"/>
              </w:rPr>
            </w:pPr>
          </w:p>
        </w:tc>
        <w:tc>
          <w:tcPr>
            <w:tcW w:w="217" w:type="dxa"/>
          </w:tcPr>
          <w:p w14:paraId="428E3C3B" w14:textId="77777777" w:rsidR="002C0FD9" w:rsidRPr="00CA25CF" w:rsidRDefault="002C0FD9" w:rsidP="00CA25CF">
            <w:pPr>
              <w:rPr>
                <w:rFonts w:cs="Arial"/>
                <w:color w:val="FF0000"/>
                <w:sz w:val="21"/>
                <w:szCs w:val="21"/>
              </w:rPr>
            </w:pPr>
          </w:p>
        </w:tc>
        <w:tc>
          <w:tcPr>
            <w:tcW w:w="217" w:type="dxa"/>
          </w:tcPr>
          <w:p w14:paraId="65A970D5" w14:textId="77777777" w:rsidR="002C0FD9" w:rsidRPr="00CA25CF" w:rsidRDefault="002C0FD9" w:rsidP="00CA25CF">
            <w:pPr>
              <w:rPr>
                <w:rFonts w:cs="Arial"/>
                <w:color w:val="FF0000"/>
                <w:sz w:val="21"/>
                <w:szCs w:val="21"/>
              </w:rPr>
            </w:pPr>
          </w:p>
        </w:tc>
        <w:tc>
          <w:tcPr>
            <w:tcW w:w="217" w:type="dxa"/>
          </w:tcPr>
          <w:p w14:paraId="305A8D92" w14:textId="77777777" w:rsidR="002C0FD9" w:rsidRPr="00CA25CF" w:rsidRDefault="002C0FD9" w:rsidP="00CA25CF">
            <w:pPr>
              <w:rPr>
                <w:rFonts w:cs="Arial"/>
                <w:color w:val="FF0000"/>
                <w:sz w:val="21"/>
                <w:szCs w:val="21"/>
              </w:rPr>
            </w:pPr>
          </w:p>
        </w:tc>
        <w:tc>
          <w:tcPr>
            <w:tcW w:w="217" w:type="dxa"/>
          </w:tcPr>
          <w:p w14:paraId="1CF5ECFD" w14:textId="77777777" w:rsidR="002C0FD9" w:rsidRPr="00CA25CF" w:rsidRDefault="002C0FD9" w:rsidP="00CA25CF">
            <w:pPr>
              <w:rPr>
                <w:rFonts w:cs="Arial"/>
                <w:color w:val="FF0000"/>
                <w:sz w:val="21"/>
                <w:szCs w:val="21"/>
              </w:rPr>
            </w:pPr>
          </w:p>
        </w:tc>
        <w:tc>
          <w:tcPr>
            <w:tcW w:w="217" w:type="dxa"/>
          </w:tcPr>
          <w:p w14:paraId="21915C4F" w14:textId="77777777" w:rsidR="002C0FD9" w:rsidRPr="00CA25CF" w:rsidRDefault="002C0FD9" w:rsidP="00CA25CF">
            <w:pPr>
              <w:rPr>
                <w:rFonts w:cs="Arial"/>
                <w:color w:val="FF0000"/>
                <w:sz w:val="21"/>
                <w:szCs w:val="21"/>
              </w:rPr>
            </w:pPr>
          </w:p>
        </w:tc>
        <w:tc>
          <w:tcPr>
            <w:tcW w:w="217" w:type="dxa"/>
          </w:tcPr>
          <w:p w14:paraId="608F1797" w14:textId="77777777" w:rsidR="002C0FD9" w:rsidRPr="00CA25CF" w:rsidRDefault="002C0FD9" w:rsidP="00CA25CF">
            <w:pPr>
              <w:rPr>
                <w:rFonts w:cs="Arial"/>
                <w:color w:val="FF0000"/>
                <w:sz w:val="21"/>
                <w:szCs w:val="21"/>
              </w:rPr>
            </w:pPr>
          </w:p>
        </w:tc>
        <w:tc>
          <w:tcPr>
            <w:tcW w:w="217" w:type="dxa"/>
          </w:tcPr>
          <w:p w14:paraId="6C88F456" w14:textId="77777777" w:rsidR="002C0FD9" w:rsidRPr="00CA25CF" w:rsidRDefault="002C0FD9" w:rsidP="00CA25CF">
            <w:pPr>
              <w:rPr>
                <w:rFonts w:cs="Arial"/>
                <w:color w:val="FF0000"/>
                <w:sz w:val="21"/>
                <w:szCs w:val="21"/>
              </w:rPr>
            </w:pPr>
          </w:p>
        </w:tc>
        <w:tc>
          <w:tcPr>
            <w:tcW w:w="217" w:type="dxa"/>
          </w:tcPr>
          <w:p w14:paraId="5D128A71" w14:textId="77777777" w:rsidR="002C0FD9" w:rsidRPr="00CA25CF" w:rsidRDefault="002C0FD9" w:rsidP="00CA25CF">
            <w:pPr>
              <w:rPr>
                <w:rFonts w:cs="Arial"/>
                <w:color w:val="FF0000"/>
                <w:sz w:val="21"/>
                <w:szCs w:val="21"/>
              </w:rPr>
            </w:pPr>
          </w:p>
        </w:tc>
        <w:tc>
          <w:tcPr>
            <w:tcW w:w="217" w:type="dxa"/>
          </w:tcPr>
          <w:p w14:paraId="2B55ECFD" w14:textId="77777777" w:rsidR="002C0FD9" w:rsidRPr="00CA25CF" w:rsidRDefault="002C0FD9" w:rsidP="00CA25CF">
            <w:pPr>
              <w:rPr>
                <w:rFonts w:cs="Arial"/>
                <w:color w:val="FF0000"/>
                <w:sz w:val="21"/>
                <w:szCs w:val="21"/>
              </w:rPr>
            </w:pPr>
          </w:p>
        </w:tc>
        <w:tc>
          <w:tcPr>
            <w:tcW w:w="217" w:type="dxa"/>
          </w:tcPr>
          <w:p w14:paraId="1A717AE2" w14:textId="77777777" w:rsidR="002C0FD9" w:rsidRPr="00CA25CF" w:rsidRDefault="002C0FD9" w:rsidP="00CA25CF">
            <w:pPr>
              <w:rPr>
                <w:rFonts w:cs="Arial"/>
                <w:color w:val="FF0000"/>
                <w:sz w:val="21"/>
                <w:szCs w:val="21"/>
              </w:rPr>
            </w:pPr>
          </w:p>
        </w:tc>
        <w:tc>
          <w:tcPr>
            <w:tcW w:w="217" w:type="dxa"/>
          </w:tcPr>
          <w:p w14:paraId="0E83E2D5" w14:textId="77777777" w:rsidR="002C0FD9" w:rsidRPr="00CA25CF" w:rsidRDefault="002C0FD9" w:rsidP="00CA25CF">
            <w:pPr>
              <w:rPr>
                <w:rFonts w:cs="Arial"/>
                <w:color w:val="FF0000"/>
                <w:sz w:val="21"/>
                <w:szCs w:val="21"/>
              </w:rPr>
            </w:pPr>
          </w:p>
        </w:tc>
        <w:tc>
          <w:tcPr>
            <w:tcW w:w="217" w:type="dxa"/>
          </w:tcPr>
          <w:p w14:paraId="74A1B7BA" w14:textId="77777777" w:rsidR="002C0FD9" w:rsidRPr="00CA25CF" w:rsidRDefault="002C0FD9" w:rsidP="00CA25CF">
            <w:pPr>
              <w:rPr>
                <w:rFonts w:cs="Arial"/>
                <w:color w:val="FF0000"/>
                <w:sz w:val="21"/>
                <w:szCs w:val="21"/>
              </w:rPr>
            </w:pPr>
          </w:p>
        </w:tc>
        <w:tc>
          <w:tcPr>
            <w:tcW w:w="217" w:type="dxa"/>
          </w:tcPr>
          <w:p w14:paraId="7B125D2B" w14:textId="77777777" w:rsidR="002C0FD9" w:rsidRPr="00CA25CF" w:rsidRDefault="002C0FD9" w:rsidP="00CA25CF">
            <w:pPr>
              <w:rPr>
                <w:rFonts w:cs="Arial"/>
                <w:color w:val="FF0000"/>
                <w:sz w:val="21"/>
                <w:szCs w:val="21"/>
              </w:rPr>
            </w:pPr>
          </w:p>
        </w:tc>
        <w:tc>
          <w:tcPr>
            <w:tcW w:w="217" w:type="dxa"/>
          </w:tcPr>
          <w:p w14:paraId="0A8D2B8B" w14:textId="77777777" w:rsidR="002C0FD9" w:rsidRPr="00CA25CF" w:rsidRDefault="002C0FD9" w:rsidP="00CA25CF">
            <w:pPr>
              <w:rPr>
                <w:rFonts w:cs="Arial"/>
                <w:color w:val="FF0000"/>
                <w:sz w:val="21"/>
                <w:szCs w:val="21"/>
              </w:rPr>
            </w:pPr>
          </w:p>
        </w:tc>
        <w:tc>
          <w:tcPr>
            <w:tcW w:w="217" w:type="dxa"/>
          </w:tcPr>
          <w:p w14:paraId="64CC1CC8" w14:textId="77777777" w:rsidR="002C0FD9" w:rsidRPr="00CA25CF" w:rsidRDefault="002C0FD9" w:rsidP="00CA25CF">
            <w:pPr>
              <w:rPr>
                <w:rFonts w:cs="Arial"/>
                <w:color w:val="FF0000"/>
                <w:sz w:val="21"/>
                <w:szCs w:val="21"/>
              </w:rPr>
            </w:pPr>
          </w:p>
        </w:tc>
        <w:tc>
          <w:tcPr>
            <w:tcW w:w="217" w:type="dxa"/>
          </w:tcPr>
          <w:p w14:paraId="057901B9" w14:textId="77777777" w:rsidR="002C0FD9" w:rsidRPr="00CA25CF" w:rsidRDefault="002C0FD9" w:rsidP="00CA25CF">
            <w:pPr>
              <w:rPr>
                <w:rFonts w:cs="Arial"/>
                <w:color w:val="FF0000"/>
                <w:sz w:val="21"/>
                <w:szCs w:val="21"/>
              </w:rPr>
            </w:pPr>
          </w:p>
        </w:tc>
        <w:tc>
          <w:tcPr>
            <w:tcW w:w="217" w:type="dxa"/>
          </w:tcPr>
          <w:p w14:paraId="0E43BA40" w14:textId="77777777" w:rsidR="002C0FD9" w:rsidRPr="00CA25CF" w:rsidRDefault="002C0FD9" w:rsidP="00CA25CF">
            <w:pPr>
              <w:rPr>
                <w:rFonts w:cs="Arial"/>
                <w:color w:val="FF0000"/>
                <w:sz w:val="21"/>
                <w:szCs w:val="21"/>
              </w:rPr>
            </w:pPr>
          </w:p>
        </w:tc>
        <w:tc>
          <w:tcPr>
            <w:tcW w:w="217" w:type="dxa"/>
          </w:tcPr>
          <w:p w14:paraId="574CEAE3" w14:textId="77777777" w:rsidR="002C0FD9" w:rsidRPr="00CA25CF" w:rsidRDefault="002C0FD9" w:rsidP="00CA25CF">
            <w:pPr>
              <w:rPr>
                <w:rFonts w:cs="Arial"/>
                <w:color w:val="FF0000"/>
                <w:sz w:val="21"/>
                <w:szCs w:val="21"/>
              </w:rPr>
            </w:pPr>
          </w:p>
        </w:tc>
        <w:tc>
          <w:tcPr>
            <w:tcW w:w="217" w:type="dxa"/>
          </w:tcPr>
          <w:p w14:paraId="3CDBE4CD" w14:textId="77777777" w:rsidR="002C0FD9" w:rsidRPr="00CA25CF" w:rsidRDefault="002C0FD9" w:rsidP="00CA25CF">
            <w:pPr>
              <w:rPr>
                <w:rFonts w:cs="Arial"/>
                <w:color w:val="FF0000"/>
                <w:sz w:val="21"/>
                <w:szCs w:val="21"/>
              </w:rPr>
            </w:pPr>
          </w:p>
        </w:tc>
        <w:tc>
          <w:tcPr>
            <w:tcW w:w="217" w:type="dxa"/>
          </w:tcPr>
          <w:p w14:paraId="5AE55A3F" w14:textId="77777777" w:rsidR="002C0FD9" w:rsidRPr="00CA25CF" w:rsidRDefault="002C0FD9" w:rsidP="00CA25CF">
            <w:pPr>
              <w:rPr>
                <w:rFonts w:cs="Arial"/>
                <w:color w:val="FF0000"/>
                <w:sz w:val="21"/>
                <w:szCs w:val="21"/>
              </w:rPr>
            </w:pPr>
          </w:p>
        </w:tc>
        <w:tc>
          <w:tcPr>
            <w:tcW w:w="217" w:type="dxa"/>
          </w:tcPr>
          <w:p w14:paraId="2BC4118F" w14:textId="77777777" w:rsidR="002C0FD9" w:rsidRPr="00CA25CF" w:rsidRDefault="002C0FD9" w:rsidP="00CA25CF">
            <w:pPr>
              <w:rPr>
                <w:rFonts w:cs="Arial"/>
                <w:color w:val="FF0000"/>
                <w:sz w:val="21"/>
                <w:szCs w:val="21"/>
              </w:rPr>
            </w:pPr>
          </w:p>
        </w:tc>
        <w:tc>
          <w:tcPr>
            <w:tcW w:w="217" w:type="dxa"/>
          </w:tcPr>
          <w:p w14:paraId="1BE2594B" w14:textId="77777777" w:rsidR="002C0FD9" w:rsidRPr="00CA25CF" w:rsidRDefault="002C0FD9" w:rsidP="00CA25CF">
            <w:pPr>
              <w:rPr>
                <w:rFonts w:cs="Arial"/>
                <w:color w:val="FF0000"/>
                <w:sz w:val="21"/>
                <w:szCs w:val="21"/>
              </w:rPr>
            </w:pPr>
          </w:p>
        </w:tc>
        <w:tc>
          <w:tcPr>
            <w:tcW w:w="217" w:type="dxa"/>
          </w:tcPr>
          <w:p w14:paraId="55884A84" w14:textId="77777777" w:rsidR="002C0FD9" w:rsidRPr="00CA25CF" w:rsidRDefault="002C0FD9" w:rsidP="00CA25CF">
            <w:pPr>
              <w:rPr>
                <w:rFonts w:cs="Arial"/>
                <w:color w:val="FF0000"/>
                <w:sz w:val="21"/>
                <w:szCs w:val="21"/>
              </w:rPr>
            </w:pPr>
          </w:p>
        </w:tc>
        <w:tc>
          <w:tcPr>
            <w:tcW w:w="217" w:type="dxa"/>
          </w:tcPr>
          <w:p w14:paraId="689F939A" w14:textId="77777777" w:rsidR="002C0FD9" w:rsidRPr="00CA25CF" w:rsidRDefault="002C0FD9" w:rsidP="00CA25CF">
            <w:pPr>
              <w:rPr>
                <w:rFonts w:cs="Arial"/>
                <w:color w:val="FF0000"/>
                <w:sz w:val="21"/>
                <w:szCs w:val="21"/>
              </w:rPr>
            </w:pPr>
          </w:p>
        </w:tc>
        <w:tc>
          <w:tcPr>
            <w:tcW w:w="217" w:type="dxa"/>
          </w:tcPr>
          <w:p w14:paraId="4CEE5921" w14:textId="77777777" w:rsidR="002C0FD9" w:rsidRPr="00CA25CF" w:rsidRDefault="002C0FD9" w:rsidP="00CA25CF">
            <w:pPr>
              <w:rPr>
                <w:rFonts w:cs="Arial"/>
                <w:color w:val="FF0000"/>
                <w:sz w:val="21"/>
                <w:szCs w:val="21"/>
              </w:rPr>
            </w:pPr>
          </w:p>
        </w:tc>
        <w:tc>
          <w:tcPr>
            <w:tcW w:w="217" w:type="dxa"/>
          </w:tcPr>
          <w:p w14:paraId="6EDE2D30" w14:textId="77777777" w:rsidR="002C0FD9" w:rsidRPr="00CA25CF" w:rsidRDefault="002C0FD9" w:rsidP="00CA25CF">
            <w:pPr>
              <w:rPr>
                <w:rFonts w:cs="Arial"/>
                <w:color w:val="FF0000"/>
                <w:sz w:val="21"/>
                <w:szCs w:val="21"/>
              </w:rPr>
            </w:pPr>
          </w:p>
        </w:tc>
        <w:tc>
          <w:tcPr>
            <w:tcW w:w="217" w:type="dxa"/>
          </w:tcPr>
          <w:p w14:paraId="5C788159" w14:textId="77777777" w:rsidR="002C0FD9" w:rsidRPr="00CA25CF" w:rsidRDefault="002C0FD9" w:rsidP="00CA25CF">
            <w:pPr>
              <w:rPr>
                <w:rFonts w:cs="Arial"/>
                <w:color w:val="FF0000"/>
                <w:sz w:val="21"/>
                <w:szCs w:val="21"/>
              </w:rPr>
            </w:pPr>
          </w:p>
        </w:tc>
        <w:tc>
          <w:tcPr>
            <w:tcW w:w="217" w:type="dxa"/>
          </w:tcPr>
          <w:p w14:paraId="1607175D" w14:textId="77777777" w:rsidR="002C0FD9" w:rsidRPr="00CA25CF" w:rsidRDefault="002C0FD9" w:rsidP="00CA25CF">
            <w:pPr>
              <w:rPr>
                <w:rFonts w:cs="Arial"/>
                <w:color w:val="FF0000"/>
                <w:sz w:val="21"/>
                <w:szCs w:val="21"/>
              </w:rPr>
            </w:pPr>
          </w:p>
        </w:tc>
        <w:tc>
          <w:tcPr>
            <w:tcW w:w="217" w:type="dxa"/>
          </w:tcPr>
          <w:p w14:paraId="29181112" w14:textId="77777777" w:rsidR="002C0FD9" w:rsidRPr="00CA25CF" w:rsidRDefault="002C0FD9" w:rsidP="00CA25CF">
            <w:pPr>
              <w:rPr>
                <w:rFonts w:cs="Arial"/>
                <w:color w:val="FF0000"/>
                <w:sz w:val="21"/>
                <w:szCs w:val="21"/>
              </w:rPr>
            </w:pPr>
          </w:p>
        </w:tc>
        <w:tc>
          <w:tcPr>
            <w:tcW w:w="217" w:type="dxa"/>
          </w:tcPr>
          <w:p w14:paraId="1B53A18E" w14:textId="77777777" w:rsidR="002C0FD9" w:rsidRPr="00CA25CF" w:rsidRDefault="002C0FD9" w:rsidP="00CA25CF">
            <w:pPr>
              <w:rPr>
                <w:rFonts w:cs="Arial"/>
                <w:color w:val="FF0000"/>
                <w:sz w:val="21"/>
                <w:szCs w:val="21"/>
              </w:rPr>
            </w:pPr>
          </w:p>
        </w:tc>
        <w:tc>
          <w:tcPr>
            <w:tcW w:w="217" w:type="dxa"/>
          </w:tcPr>
          <w:p w14:paraId="72697908" w14:textId="77777777" w:rsidR="002C0FD9" w:rsidRPr="00CA25CF" w:rsidRDefault="002C0FD9" w:rsidP="00CA25CF">
            <w:pPr>
              <w:rPr>
                <w:rFonts w:cs="Arial"/>
                <w:color w:val="FF0000"/>
                <w:sz w:val="21"/>
                <w:szCs w:val="21"/>
              </w:rPr>
            </w:pPr>
          </w:p>
        </w:tc>
        <w:tc>
          <w:tcPr>
            <w:tcW w:w="217" w:type="dxa"/>
          </w:tcPr>
          <w:p w14:paraId="53552DCD" w14:textId="77777777" w:rsidR="002C0FD9" w:rsidRPr="00CA25CF" w:rsidRDefault="002C0FD9" w:rsidP="00CA25CF">
            <w:pPr>
              <w:rPr>
                <w:rFonts w:cs="Arial"/>
                <w:color w:val="FF0000"/>
                <w:sz w:val="21"/>
                <w:szCs w:val="21"/>
              </w:rPr>
            </w:pPr>
          </w:p>
        </w:tc>
        <w:tc>
          <w:tcPr>
            <w:tcW w:w="217" w:type="dxa"/>
          </w:tcPr>
          <w:p w14:paraId="05CB0218" w14:textId="77777777" w:rsidR="002C0FD9" w:rsidRPr="00CA25CF" w:rsidRDefault="002C0FD9" w:rsidP="00CA25CF">
            <w:pPr>
              <w:rPr>
                <w:rFonts w:cs="Arial"/>
                <w:color w:val="FF0000"/>
                <w:sz w:val="21"/>
                <w:szCs w:val="21"/>
              </w:rPr>
            </w:pPr>
          </w:p>
        </w:tc>
        <w:tc>
          <w:tcPr>
            <w:tcW w:w="217" w:type="dxa"/>
          </w:tcPr>
          <w:p w14:paraId="581C066B" w14:textId="77777777" w:rsidR="002C0FD9" w:rsidRPr="00CA25CF" w:rsidRDefault="002C0FD9" w:rsidP="00CA25CF">
            <w:pPr>
              <w:rPr>
                <w:rFonts w:cs="Arial"/>
                <w:color w:val="FF0000"/>
                <w:sz w:val="21"/>
                <w:szCs w:val="21"/>
              </w:rPr>
            </w:pPr>
          </w:p>
        </w:tc>
        <w:tc>
          <w:tcPr>
            <w:tcW w:w="217" w:type="dxa"/>
          </w:tcPr>
          <w:p w14:paraId="462F1D73" w14:textId="77777777" w:rsidR="002C0FD9" w:rsidRPr="00CA25CF" w:rsidRDefault="002C0FD9" w:rsidP="00CA25CF">
            <w:pPr>
              <w:rPr>
                <w:rFonts w:cs="Arial"/>
                <w:color w:val="FF0000"/>
                <w:sz w:val="21"/>
                <w:szCs w:val="21"/>
              </w:rPr>
            </w:pPr>
          </w:p>
        </w:tc>
      </w:tr>
      <w:tr w:rsidR="002C0FD9" w:rsidRPr="00A16219" w14:paraId="0985E915" w14:textId="77777777" w:rsidTr="002C0FD9">
        <w:trPr>
          <w:trHeight w:val="635"/>
        </w:trPr>
        <w:tc>
          <w:tcPr>
            <w:tcW w:w="515" w:type="dxa"/>
          </w:tcPr>
          <w:p w14:paraId="70AB5B2F" w14:textId="77777777" w:rsidR="002C0FD9" w:rsidRPr="00CA25CF" w:rsidRDefault="002C0FD9" w:rsidP="00CA25CF">
            <w:pPr>
              <w:rPr>
                <w:rFonts w:cs="Arial"/>
                <w:color w:val="FF0000"/>
                <w:sz w:val="21"/>
                <w:szCs w:val="21"/>
              </w:rPr>
            </w:pPr>
          </w:p>
        </w:tc>
        <w:tc>
          <w:tcPr>
            <w:tcW w:w="217" w:type="dxa"/>
          </w:tcPr>
          <w:p w14:paraId="78D6019F" w14:textId="77777777" w:rsidR="002C0FD9" w:rsidRPr="00CA25CF" w:rsidRDefault="002C0FD9" w:rsidP="00CA25CF">
            <w:pPr>
              <w:rPr>
                <w:rFonts w:cs="Arial"/>
                <w:color w:val="FF0000"/>
                <w:sz w:val="21"/>
                <w:szCs w:val="21"/>
              </w:rPr>
            </w:pPr>
          </w:p>
        </w:tc>
        <w:tc>
          <w:tcPr>
            <w:tcW w:w="217" w:type="dxa"/>
          </w:tcPr>
          <w:p w14:paraId="45093203" w14:textId="77777777" w:rsidR="002C0FD9" w:rsidRPr="00CA25CF" w:rsidRDefault="002C0FD9" w:rsidP="00CA25CF">
            <w:pPr>
              <w:rPr>
                <w:rFonts w:cs="Arial"/>
                <w:color w:val="FF0000"/>
                <w:sz w:val="21"/>
                <w:szCs w:val="21"/>
              </w:rPr>
            </w:pPr>
          </w:p>
        </w:tc>
        <w:tc>
          <w:tcPr>
            <w:tcW w:w="217" w:type="dxa"/>
          </w:tcPr>
          <w:p w14:paraId="0CD083AC" w14:textId="77777777" w:rsidR="002C0FD9" w:rsidRPr="00CA25CF" w:rsidRDefault="002C0FD9" w:rsidP="00CA25CF">
            <w:pPr>
              <w:rPr>
                <w:rFonts w:cs="Arial"/>
                <w:color w:val="FF0000"/>
                <w:sz w:val="21"/>
                <w:szCs w:val="21"/>
              </w:rPr>
            </w:pPr>
          </w:p>
        </w:tc>
        <w:tc>
          <w:tcPr>
            <w:tcW w:w="217" w:type="dxa"/>
          </w:tcPr>
          <w:p w14:paraId="36580426" w14:textId="77777777" w:rsidR="002C0FD9" w:rsidRPr="00CA25CF" w:rsidRDefault="002C0FD9" w:rsidP="00CA25CF">
            <w:pPr>
              <w:rPr>
                <w:rFonts w:cs="Arial"/>
                <w:color w:val="FF0000"/>
                <w:sz w:val="21"/>
                <w:szCs w:val="21"/>
              </w:rPr>
            </w:pPr>
          </w:p>
        </w:tc>
        <w:tc>
          <w:tcPr>
            <w:tcW w:w="217" w:type="dxa"/>
          </w:tcPr>
          <w:p w14:paraId="69A3F527" w14:textId="77777777" w:rsidR="002C0FD9" w:rsidRPr="00CA25CF" w:rsidRDefault="002C0FD9" w:rsidP="00CA25CF">
            <w:pPr>
              <w:rPr>
                <w:rFonts w:cs="Arial"/>
                <w:color w:val="FF0000"/>
                <w:sz w:val="21"/>
                <w:szCs w:val="21"/>
              </w:rPr>
            </w:pPr>
          </w:p>
        </w:tc>
        <w:tc>
          <w:tcPr>
            <w:tcW w:w="217" w:type="dxa"/>
          </w:tcPr>
          <w:p w14:paraId="5200C0B8" w14:textId="77777777" w:rsidR="002C0FD9" w:rsidRPr="00CA25CF" w:rsidRDefault="002C0FD9" w:rsidP="00CA25CF">
            <w:pPr>
              <w:rPr>
                <w:rFonts w:cs="Arial"/>
                <w:color w:val="FF0000"/>
                <w:sz w:val="21"/>
                <w:szCs w:val="21"/>
              </w:rPr>
            </w:pPr>
          </w:p>
        </w:tc>
        <w:tc>
          <w:tcPr>
            <w:tcW w:w="217" w:type="dxa"/>
          </w:tcPr>
          <w:p w14:paraId="01EE2DBC" w14:textId="77777777" w:rsidR="002C0FD9" w:rsidRPr="00CA25CF" w:rsidRDefault="002C0FD9" w:rsidP="00CA25CF">
            <w:pPr>
              <w:rPr>
                <w:rFonts w:cs="Arial"/>
                <w:color w:val="FF0000"/>
                <w:sz w:val="21"/>
                <w:szCs w:val="21"/>
              </w:rPr>
            </w:pPr>
          </w:p>
        </w:tc>
        <w:tc>
          <w:tcPr>
            <w:tcW w:w="217" w:type="dxa"/>
          </w:tcPr>
          <w:p w14:paraId="295D4570" w14:textId="77777777" w:rsidR="002C0FD9" w:rsidRPr="00CA25CF" w:rsidRDefault="002C0FD9" w:rsidP="00CA25CF">
            <w:pPr>
              <w:rPr>
                <w:rFonts w:cs="Arial"/>
                <w:color w:val="FF0000"/>
                <w:sz w:val="21"/>
                <w:szCs w:val="21"/>
              </w:rPr>
            </w:pPr>
          </w:p>
        </w:tc>
        <w:tc>
          <w:tcPr>
            <w:tcW w:w="217" w:type="dxa"/>
          </w:tcPr>
          <w:p w14:paraId="7A3D9FBF" w14:textId="77777777" w:rsidR="002C0FD9" w:rsidRPr="00CA25CF" w:rsidRDefault="002C0FD9" w:rsidP="00CA25CF">
            <w:pPr>
              <w:rPr>
                <w:rFonts w:cs="Arial"/>
                <w:color w:val="FF0000"/>
                <w:sz w:val="21"/>
                <w:szCs w:val="21"/>
              </w:rPr>
            </w:pPr>
          </w:p>
        </w:tc>
        <w:tc>
          <w:tcPr>
            <w:tcW w:w="217" w:type="dxa"/>
          </w:tcPr>
          <w:p w14:paraId="29264CDD" w14:textId="77777777" w:rsidR="002C0FD9" w:rsidRPr="00CA25CF" w:rsidRDefault="002C0FD9" w:rsidP="00CA25CF">
            <w:pPr>
              <w:rPr>
                <w:rFonts w:cs="Arial"/>
                <w:color w:val="FF0000"/>
                <w:sz w:val="21"/>
                <w:szCs w:val="21"/>
              </w:rPr>
            </w:pPr>
          </w:p>
        </w:tc>
        <w:tc>
          <w:tcPr>
            <w:tcW w:w="217" w:type="dxa"/>
          </w:tcPr>
          <w:p w14:paraId="3D5F721B" w14:textId="77777777" w:rsidR="002C0FD9" w:rsidRPr="00CA25CF" w:rsidRDefault="002C0FD9" w:rsidP="00CA25CF">
            <w:pPr>
              <w:rPr>
                <w:rFonts w:cs="Arial"/>
                <w:color w:val="FF0000"/>
                <w:sz w:val="21"/>
                <w:szCs w:val="21"/>
              </w:rPr>
            </w:pPr>
          </w:p>
        </w:tc>
        <w:tc>
          <w:tcPr>
            <w:tcW w:w="217" w:type="dxa"/>
          </w:tcPr>
          <w:p w14:paraId="11A95C04" w14:textId="77777777" w:rsidR="002C0FD9" w:rsidRPr="00CA25CF" w:rsidRDefault="002C0FD9" w:rsidP="00CA25CF">
            <w:pPr>
              <w:rPr>
                <w:rFonts w:cs="Arial"/>
                <w:color w:val="FF0000"/>
                <w:sz w:val="21"/>
                <w:szCs w:val="21"/>
              </w:rPr>
            </w:pPr>
          </w:p>
        </w:tc>
        <w:tc>
          <w:tcPr>
            <w:tcW w:w="217" w:type="dxa"/>
          </w:tcPr>
          <w:p w14:paraId="293BAFA4" w14:textId="77777777" w:rsidR="002C0FD9" w:rsidRPr="00CA25CF" w:rsidRDefault="002C0FD9" w:rsidP="00CA25CF">
            <w:pPr>
              <w:rPr>
                <w:rFonts w:cs="Arial"/>
                <w:color w:val="FF0000"/>
                <w:sz w:val="21"/>
                <w:szCs w:val="21"/>
              </w:rPr>
            </w:pPr>
          </w:p>
        </w:tc>
        <w:tc>
          <w:tcPr>
            <w:tcW w:w="217" w:type="dxa"/>
          </w:tcPr>
          <w:p w14:paraId="71CDE42B" w14:textId="77777777" w:rsidR="002C0FD9" w:rsidRPr="00CA25CF" w:rsidRDefault="002C0FD9" w:rsidP="00CA25CF">
            <w:pPr>
              <w:rPr>
                <w:rFonts w:cs="Arial"/>
                <w:color w:val="FF0000"/>
                <w:sz w:val="21"/>
                <w:szCs w:val="21"/>
              </w:rPr>
            </w:pPr>
          </w:p>
        </w:tc>
        <w:tc>
          <w:tcPr>
            <w:tcW w:w="217" w:type="dxa"/>
          </w:tcPr>
          <w:p w14:paraId="02B72B4E" w14:textId="77777777" w:rsidR="002C0FD9" w:rsidRPr="00CA25CF" w:rsidRDefault="002C0FD9" w:rsidP="00CA25CF">
            <w:pPr>
              <w:rPr>
                <w:rFonts w:cs="Arial"/>
                <w:color w:val="FF0000"/>
                <w:sz w:val="21"/>
                <w:szCs w:val="21"/>
              </w:rPr>
            </w:pPr>
          </w:p>
        </w:tc>
        <w:tc>
          <w:tcPr>
            <w:tcW w:w="217" w:type="dxa"/>
          </w:tcPr>
          <w:p w14:paraId="4804EF2E" w14:textId="77777777" w:rsidR="002C0FD9" w:rsidRPr="00CA25CF" w:rsidRDefault="002C0FD9" w:rsidP="00CA25CF">
            <w:pPr>
              <w:rPr>
                <w:rFonts w:cs="Arial"/>
                <w:color w:val="FF0000"/>
                <w:sz w:val="21"/>
                <w:szCs w:val="21"/>
              </w:rPr>
            </w:pPr>
          </w:p>
        </w:tc>
        <w:tc>
          <w:tcPr>
            <w:tcW w:w="217" w:type="dxa"/>
          </w:tcPr>
          <w:p w14:paraId="00589920" w14:textId="77777777" w:rsidR="002C0FD9" w:rsidRPr="00CA25CF" w:rsidRDefault="002C0FD9" w:rsidP="00CA25CF">
            <w:pPr>
              <w:rPr>
                <w:rFonts w:cs="Arial"/>
                <w:color w:val="FF0000"/>
                <w:sz w:val="21"/>
                <w:szCs w:val="21"/>
              </w:rPr>
            </w:pPr>
          </w:p>
        </w:tc>
        <w:tc>
          <w:tcPr>
            <w:tcW w:w="217" w:type="dxa"/>
          </w:tcPr>
          <w:p w14:paraId="61F709D5" w14:textId="77777777" w:rsidR="002C0FD9" w:rsidRPr="00CA25CF" w:rsidRDefault="002C0FD9" w:rsidP="00CA25CF">
            <w:pPr>
              <w:rPr>
                <w:rFonts w:cs="Arial"/>
                <w:color w:val="FF0000"/>
                <w:sz w:val="21"/>
                <w:szCs w:val="21"/>
              </w:rPr>
            </w:pPr>
          </w:p>
        </w:tc>
        <w:tc>
          <w:tcPr>
            <w:tcW w:w="217" w:type="dxa"/>
          </w:tcPr>
          <w:p w14:paraId="5D412CD6" w14:textId="77777777" w:rsidR="002C0FD9" w:rsidRPr="00CA25CF" w:rsidRDefault="002C0FD9" w:rsidP="00CA25CF">
            <w:pPr>
              <w:rPr>
                <w:rFonts w:cs="Arial"/>
                <w:color w:val="FF0000"/>
                <w:sz w:val="21"/>
                <w:szCs w:val="21"/>
              </w:rPr>
            </w:pPr>
          </w:p>
        </w:tc>
        <w:tc>
          <w:tcPr>
            <w:tcW w:w="217" w:type="dxa"/>
          </w:tcPr>
          <w:p w14:paraId="2861EAA8" w14:textId="77777777" w:rsidR="002C0FD9" w:rsidRPr="00CA25CF" w:rsidRDefault="002C0FD9" w:rsidP="00CA25CF">
            <w:pPr>
              <w:rPr>
                <w:rFonts w:cs="Arial"/>
                <w:color w:val="FF0000"/>
                <w:sz w:val="21"/>
                <w:szCs w:val="21"/>
              </w:rPr>
            </w:pPr>
          </w:p>
        </w:tc>
        <w:tc>
          <w:tcPr>
            <w:tcW w:w="217" w:type="dxa"/>
          </w:tcPr>
          <w:p w14:paraId="4F73EB7F" w14:textId="77777777" w:rsidR="002C0FD9" w:rsidRPr="00CA25CF" w:rsidRDefault="002C0FD9" w:rsidP="00CA25CF">
            <w:pPr>
              <w:rPr>
                <w:rFonts w:cs="Arial"/>
                <w:color w:val="FF0000"/>
                <w:sz w:val="21"/>
                <w:szCs w:val="21"/>
              </w:rPr>
            </w:pPr>
          </w:p>
        </w:tc>
        <w:tc>
          <w:tcPr>
            <w:tcW w:w="217" w:type="dxa"/>
          </w:tcPr>
          <w:p w14:paraId="2D1E5761" w14:textId="77777777" w:rsidR="002C0FD9" w:rsidRPr="00CA25CF" w:rsidRDefault="002C0FD9" w:rsidP="00CA25CF">
            <w:pPr>
              <w:rPr>
                <w:rFonts w:cs="Arial"/>
                <w:color w:val="FF0000"/>
                <w:sz w:val="21"/>
                <w:szCs w:val="21"/>
              </w:rPr>
            </w:pPr>
          </w:p>
        </w:tc>
        <w:tc>
          <w:tcPr>
            <w:tcW w:w="217" w:type="dxa"/>
          </w:tcPr>
          <w:p w14:paraId="000B01D4" w14:textId="77777777" w:rsidR="002C0FD9" w:rsidRPr="00CA25CF" w:rsidRDefault="002C0FD9" w:rsidP="00CA25CF">
            <w:pPr>
              <w:rPr>
                <w:rFonts w:cs="Arial"/>
                <w:color w:val="FF0000"/>
                <w:sz w:val="21"/>
                <w:szCs w:val="21"/>
              </w:rPr>
            </w:pPr>
          </w:p>
        </w:tc>
        <w:tc>
          <w:tcPr>
            <w:tcW w:w="217" w:type="dxa"/>
          </w:tcPr>
          <w:p w14:paraId="4151D079" w14:textId="77777777" w:rsidR="002C0FD9" w:rsidRPr="00CA25CF" w:rsidRDefault="002C0FD9" w:rsidP="00CA25CF">
            <w:pPr>
              <w:rPr>
                <w:rFonts w:cs="Arial"/>
                <w:color w:val="FF0000"/>
                <w:sz w:val="21"/>
                <w:szCs w:val="21"/>
              </w:rPr>
            </w:pPr>
          </w:p>
        </w:tc>
        <w:tc>
          <w:tcPr>
            <w:tcW w:w="217" w:type="dxa"/>
          </w:tcPr>
          <w:p w14:paraId="7AB77D1C" w14:textId="77777777" w:rsidR="002C0FD9" w:rsidRPr="00CA25CF" w:rsidRDefault="002C0FD9" w:rsidP="00CA25CF">
            <w:pPr>
              <w:rPr>
                <w:rFonts w:cs="Arial"/>
                <w:color w:val="FF0000"/>
                <w:sz w:val="21"/>
                <w:szCs w:val="21"/>
              </w:rPr>
            </w:pPr>
          </w:p>
        </w:tc>
        <w:tc>
          <w:tcPr>
            <w:tcW w:w="217" w:type="dxa"/>
          </w:tcPr>
          <w:p w14:paraId="6C4789C3" w14:textId="77777777" w:rsidR="002C0FD9" w:rsidRPr="00CA25CF" w:rsidRDefault="002C0FD9" w:rsidP="00CA25CF">
            <w:pPr>
              <w:rPr>
                <w:rFonts w:cs="Arial"/>
                <w:color w:val="FF0000"/>
                <w:sz w:val="21"/>
                <w:szCs w:val="21"/>
              </w:rPr>
            </w:pPr>
          </w:p>
        </w:tc>
        <w:tc>
          <w:tcPr>
            <w:tcW w:w="217" w:type="dxa"/>
          </w:tcPr>
          <w:p w14:paraId="0F7D01F1" w14:textId="77777777" w:rsidR="002C0FD9" w:rsidRPr="00CA25CF" w:rsidRDefault="002C0FD9" w:rsidP="00CA25CF">
            <w:pPr>
              <w:rPr>
                <w:rFonts w:cs="Arial"/>
                <w:color w:val="FF0000"/>
                <w:sz w:val="21"/>
                <w:szCs w:val="21"/>
              </w:rPr>
            </w:pPr>
          </w:p>
        </w:tc>
        <w:tc>
          <w:tcPr>
            <w:tcW w:w="217" w:type="dxa"/>
          </w:tcPr>
          <w:p w14:paraId="49C03705" w14:textId="77777777" w:rsidR="002C0FD9" w:rsidRPr="00CA25CF" w:rsidRDefault="002C0FD9" w:rsidP="00CA25CF">
            <w:pPr>
              <w:rPr>
                <w:rFonts w:cs="Arial"/>
                <w:color w:val="FF0000"/>
                <w:sz w:val="21"/>
                <w:szCs w:val="21"/>
              </w:rPr>
            </w:pPr>
          </w:p>
        </w:tc>
        <w:tc>
          <w:tcPr>
            <w:tcW w:w="217" w:type="dxa"/>
          </w:tcPr>
          <w:p w14:paraId="6E0B84B1" w14:textId="77777777" w:rsidR="002C0FD9" w:rsidRPr="00CA25CF" w:rsidRDefault="002C0FD9" w:rsidP="00CA25CF">
            <w:pPr>
              <w:rPr>
                <w:rFonts w:cs="Arial"/>
                <w:color w:val="FF0000"/>
                <w:sz w:val="21"/>
                <w:szCs w:val="21"/>
              </w:rPr>
            </w:pPr>
          </w:p>
        </w:tc>
        <w:tc>
          <w:tcPr>
            <w:tcW w:w="217" w:type="dxa"/>
          </w:tcPr>
          <w:p w14:paraId="4AEE7E40" w14:textId="77777777" w:rsidR="002C0FD9" w:rsidRPr="00CA25CF" w:rsidRDefault="002C0FD9" w:rsidP="00CA25CF">
            <w:pPr>
              <w:rPr>
                <w:rFonts w:cs="Arial"/>
                <w:color w:val="FF0000"/>
                <w:sz w:val="21"/>
                <w:szCs w:val="21"/>
              </w:rPr>
            </w:pPr>
          </w:p>
        </w:tc>
        <w:tc>
          <w:tcPr>
            <w:tcW w:w="217" w:type="dxa"/>
          </w:tcPr>
          <w:p w14:paraId="3A6E3225" w14:textId="77777777" w:rsidR="002C0FD9" w:rsidRPr="00CA25CF" w:rsidRDefault="002C0FD9" w:rsidP="00CA25CF">
            <w:pPr>
              <w:rPr>
                <w:rFonts w:cs="Arial"/>
                <w:color w:val="FF0000"/>
                <w:sz w:val="21"/>
                <w:szCs w:val="21"/>
              </w:rPr>
            </w:pPr>
          </w:p>
        </w:tc>
        <w:tc>
          <w:tcPr>
            <w:tcW w:w="217" w:type="dxa"/>
          </w:tcPr>
          <w:p w14:paraId="30868790" w14:textId="77777777" w:rsidR="002C0FD9" w:rsidRPr="00CA25CF" w:rsidRDefault="002C0FD9" w:rsidP="00CA25CF">
            <w:pPr>
              <w:rPr>
                <w:rFonts w:cs="Arial"/>
                <w:color w:val="FF0000"/>
                <w:sz w:val="21"/>
                <w:szCs w:val="21"/>
              </w:rPr>
            </w:pPr>
          </w:p>
        </w:tc>
        <w:tc>
          <w:tcPr>
            <w:tcW w:w="217" w:type="dxa"/>
          </w:tcPr>
          <w:p w14:paraId="340B7C26" w14:textId="77777777" w:rsidR="002C0FD9" w:rsidRPr="00CA25CF" w:rsidRDefault="002C0FD9" w:rsidP="00CA25CF">
            <w:pPr>
              <w:rPr>
                <w:rFonts w:cs="Arial"/>
                <w:color w:val="FF0000"/>
                <w:sz w:val="21"/>
                <w:szCs w:val="21"/>
              </w:rPr>
            </w:pPr>
          </w:p>
        </w:tc>
        <w:tc>
          <w:tcPr>
            <w:tcW w:w="217" w:type="dxa"/>
          </w:tcPr>
          <w:p w14:paraId="37A699AB" w14:textId="77777777" w:rsidR="002C0FD9" w:rsidRPr="00CA25CF" w:rsidRDefault="002C0FD9" w:rsidP="00CA25CF">
            <w:pPr>
              <w:rPr>
                <w:rFonts w:cs="Arial"/>
                <w:color w:val="FF0000"/>
                <w:sz w:val="21"/>
                <w:szCs w:val="21"/>
              </w:rPr>
            </w:pPr>
          </w:p>
        </w:tc>
        <w:tc>
          <w:tcPr>
            <w:tcW w:w="217" w:type="dxa"/>
          </w:tcPr>
          <w:p w14:paraId="0D620320" w14:textId="77777777" w:rsidR="002C0FD9" w:rsidRPr="00CA25CF" w:rsidRDefault="002C0FD9" w:rsidP="00CA25CF">
            <w:pPr>
              <w:rPr>
                <w:rFonts w:cs="Arial"/>
                <w:color w:val="FF0000"/>
                <w:sz w:val="21"/>
                <w:szCs w:val="21"/>
              </w:rPr>
            </w:pPr>
          </w:p>
        </w:tc>
        <w:tc>
          <w:tcPr>
            <w:tcW w:w="217" w:type="dxa"/>
          </w:tcPr>
          <w:p w14:paraId="041E997A" w14:textId="77777777" w:rsidR="002C0FD9" w:rsidRPr="00CA25CF" w:rsidRDefault="002C0FD9" w:rsidP="00CA25CF">
            <w:pPr>
              <w:rPr>
                <w:rFonts w:cs="Arial"/>
                <w:color w:val="FF0000"/>
                <w:sz w:val="21"/>
                <w:szCs w:val="21"/>
              </w:rPr>
            </w:pPr>
          </w:p>
        </w:tc>
        <w:tc>
          <w:tcPr>
            <w:tcW w:w="217" w:type="dxa"/>
          </w:tcPr>
          <w:p w14:paraId="24F28F4D" w14:textId="77777777" w:rsidR="002C0FD9" w:rsidRPr="00CA25CF" w:rsidRDefault="002C0FD9" w:rsidP="00CA25CF">
            <w:pPr>
              <w:rPr>
                <w:rFonts w:cs="Arial"/>
                <w:color w:val="FF0000"/>
                <w:sz w:val="21"/>
                <w:szCs w:val="21"/>
              </w:rPr>
            </w:pPr>
          </w:p>
        </w:tc>
        <w:tc>
          <w:tcPr>
            <w:tcW w:w="217" w:type="dxa"/>
          </w:tcPr>
          <w:p w14:paraId="0870365F" w14:textId="77777777" w:rsidR="002C0FD9" w:rsidRPr="00CA25CF" w:rsidRDefault="002C0FD9" w:rsidP="00CA25CF">
            <w:pPr>
              <w:rPr>
                <w:rFonts w:cs="Arial"/>
                <w:color w:val="FF0000"/>
                <w:sz w:val="21"/>
                <w:szCs w:val="21"/>
              </w:rPr>
            </w:pPr>
          </w:p>
        </w:tc>
        <w:tc>
          <w:tcPr>
            <w:tcW w:w="217" w:type="dxa"/>
          </w:tcPr>
          <w:p w14:paraId="53E2933B" w14:textId="77777777" w:rsidR="002C0FD9" w:rsidRPr="00CA25CF" w:rsidRDefault="002C0FD9" w:rsidP="00CA25CF">
            <w:pPr>
              <w:rPr>
                <w:rFonts w:cs="Arial"/>
                <w:color w:val="FF0000"/>
                <w:sz w:val="21"/>
                <w:szCs w:val="21"/>
              </w:rPr>
            </w:pPr>
          </w:p>
        </w:tc>
        <w:tc>
          <w:tcPr>
            <w:tcW w:w="217" w:type="dxa"/>
          </w:tcPr>
          <w:p w14:paraId="36372B88" w14:textId="77777777" w:rsidR="002C0FD9" w:rsidRPr="00CA25CF" w:rsidRDefault="002C0FD9" w:rsidP="00CA25CF">
            <w:pPr>
              <w:rPr>
                <w:rFonts w:cs="Arial"/>
                <w:color w:val="FF0000"/>
                <w:sz w:val="21"/>
                <w:szCs w:val="21"/>
              </w:rPr>
            </w:pPr>
          </w:p>
        </w:tc>
        <w:tc>
          <w:tcPr>
            <w:tcW w:w="217" w:type="dxa"/>
          </w:tcPr>
          <w:p w14:paraId="7D8DC5DD" w14:textId="77777777" w:rsidR="002C0FD9" w:rsidRPr="00CA25CF" w:rsidRDefault="002C0FD9" w:rsidP="00CA25CF">
            <w:pPr>
              <w:rPr>
                <w:rFonts w:cs="Arial"/>
                <w:color w:val="FF0000"/>
                <w:sz w:val="21"/>
                <w:szCs w:val="21"/>
              </w:rPr>
            </w:pPr>
          </w:p>
        </w:tc>
        <w:tc>
          <w:tcPr>
            <w:tcW w:w="217" w:type="dxa"/>
          </w:tcPr>
          <w:p w14:paraId="42EC97BC" w14:textId="77777777" w:rsidR="002C0FD9" w:rsidRPr="00CA25CF" w:rsidRDefault="002C0FD9" w:rsidP="00CA25CF">
            <w:pPr>
              <w:rPr>
                <w:rFonts w:cs="Arial"/>
                <w:color w:val="FF0000"/>
                <w:sz w:val="21"/>
                <w:szCs w:val="21"/>
              </w:rPr>
            </w:pPr>
          </w:p>
        </w:tc>
      </w:tr>
      <w:tr w:rsidR="002C0FD9" w:rsidRPr="00A16219" w14:paraId="3A96B860" w14:textId="77777777" w:rsidTr="002C0FD9">
        <w:trPr>
          <w:trHeight w:val="635"/>
        </w:trPr>
        <w:tc>
          <w:tcPr>
            <w:tcW w:w="515" w:type="dxa"/>
          </w:tcPr>
          <w:p w14:paraId="714B7FAD" w14:textId="77777777" w:rsidR="002C0FD9" w:rsidRPr="00CA25CF" w:rsidRDefault="002C0FD9" w:rsidP="00CA25CF">
            <w:pPr>
              <w:rPr>
                <w:rFonts w:cs="Arial"/>
                <w:color w:val="FF0000"/>
                <w:sz w:val="21"/>
                <w:szCs w:val="21"/>
              </w:rPr>
            </w:pPr>
          </w:p>
        </w:tc>
        <w:tc>
          <w:tcPr>
            <w:tcW w:w="217" w:type="dxa"/>
          </w:tcPr>
          <w:p w14:paraId="786E00C3" w14:textId="77777777" w:rsidR="002C0FD9" w:rsidRPr="00CA25CF" w:rsidRDefault="002C0FD9" w:rsidP="00CA25CF">
            <w:pPr>
              <w:rPr>
                <w:rFonts w:cs="Arial"/>
                <w:color w:val="FF0000"/>
                <w:sz w:val="21"/>
                <w:szCs w:val="21"/>
              </w:rPr>
            </w:pPr>
          </w:p>
        </w:tc>
        <w:tc>
          <w:tcPr>
            <w:tcW w:w="217" w:type="dxa"/>
          </w:tcPr>
          <w:p w14:paraId="2F202EDA" w14:textId="77777777" w:rsidR="002C0FD9" w:rsidRPr="00CA25CF" w:rsidRDefault="002C0FD9" w:rsidP="00CA25CF">
            <w:pPr>
              <w:rPr>
                <w:rFonts w:cs="Arial"/>
                <w:color w:val="FF0000"/>
                <w:sz w:val="21"/>
                <w:szCs w:val="21"/>
              </w:rPr>
            </w:pPr>
          </w:p>
        </w:tc>
        <w:tc>
          <w:tcPr>
            <w:tcW w:w="217" w:type="dxa"/>
          </w:tcPr>
          <w:p w14:paraId="00B23E56" w14:textId="77777777" w:rsidR="002C0FD9" w:rsidRPr="00CA25CF" w:rsidRDefault="002C0FD9" w:rsidP="00CA25CF">
            <w:pPr>
              <w:rPr>
                <w:rFonts w:cs="Arial"/>
                <w:color w:val="FF0000"/>
                <w:sz w:val="21"/>
                <w:szCs w:val="21"/>
              </w:rPr>
            </w:pPr>
          </w:p>
        </w:tc>
        <w:tc>
          <w:tcPr>
            <w:tcW w:w="217" w:type="dxa"/>
          </w:tcPr>
          <w:p w14:paraId="510E1440" w14:textId="77777777" w:rsidR="002C0FD9" w:rsidRPr="00CA25CF" w:rsidRDefault="002C0FD9" w:rsidP="00CA25CF">
            <w:pPr>
              <w:rPr>
                <w:rFonts w:cs="Arial"/>
                <w:color w:val="FF0000"/>
                <w:sz w:val="21"/>
                <w:szCs w:val="21"/>
              </w:rPr>
            </w:pPr>
          </w:p>
        </w:tc>
        <w:tc>
          <w:tcPr>
            <w:tcW w:w="217" w:type="dxa"/>
          </w:tcPr>
          <w:p w14:paraId="242BBF22" w14:textId="77777777" w:rsidR="002C0FD9" w:rsidRPr="00CA25CF" w:rsidRDefault="002C0FD9" w:rsidP="00CA25CF">
            <w:pPr>
              <w:rPr>
                <w:rFonts w:cs="Arial"/>
                <w:color w:val="FF0000"/>
                <w:sz w:val="21"/>
                <w:szCs w:val="21"/>
              </w:rPr>
            </w:pPr>
          </w:p>
        </w:tc>
        <w:tc>
          <w:tcPr>
            <w:tcW w:w="217" w:type="dxa"/>
          </w:tcPr>
          <w:p w14:paraId="3D503F2A" w14:textId="77777777" w:rsidR="002C0FD9" w:rsidRPr="00CA25CF" w:rsidRDefault="002C0FD9" w:rsidP="00CA25CF">
            <w:pPr>
              <w:rPr>
                <w:rFonts w:cs="Arial"/>
                <w:color w:val="FF0000"/>
                <w:sz w:val="21"/>
                <w:szCs w:val="21"/>
              </w:rPr>
            </w:pPr>
          </w:p>
        </w:tc>
        <w:tc>
          <w:tcPr>
            <w:tcW w:w="217" w:type="dxa"/>
          </w:tcPr>
          <w:p w14:paraId="4A93F07E" w14:textId="77777777" w:rsidR="002C0FD9" w:rsidRPr="00CA25CF" w:rsidRDefault="002C0FD9" w:rsidP="00CA25CF">
            <w:pPr>
              <w:rPr>
                <w:rFonts w:cs="Arial"/>
                <w:color w:val="FF0000"/>
                <w:sz w:val="21"/>
                <w:szCs w:val="21"/>
              </w:rPr>
            </w:pPr>
          </w:p>
        </w:tc>
        <w:tc>
          <w:tcPr>
            <w:tcW w:w="217" w:type="dxa"/>
          </w:tcPr>
          <w:p w14:paraId="287E017E" w14:textId="77777777" w:rsidR="002C0FD9" w:rsidRPr="00CA25CF" w:rsidRDefault="002C0FD9" w:rsidP="00CA25CF">
            <w:pPr>
              <w:rPr>
                <w:rFonts w:cs="Arial"/>
                <w:color w:val="FF0000"/>
                <w:sz w:val="21"/>
                <w:szCs w:val="21"/>
              </w:rPr>
            </w:pPr>
          </w:p>
        </w:tc>
        <w:tc>
          <w:tcPr>
            <w:tcW w:w="217" w:type="dxa"/>
          </w:tcPr>
          <w:p w14:paraId="050C11F3" w14:textId="77777777" w:rsidR="002C0FD9" w:rsidRPr="00CA25CF" w:rsidRDefault="002C0FD9" w:rsidP="00CA25CF">
            <w:pPr>
              <w:rPr>
                <w:rFonts w:cs="Arial"/>
                <w:color w:val="FF0000"/>
                <w:sz w:val="21"/>
                <w:szCs w:val="21"/>
              </w:rPr>
            </w:pPr>
          </w:p>
        </w:tc>
        <w:tc>
          <w:tcPr>
            <w:tcW w:w="217" w:type="dxa"/>
          </w:tcPr>
          <w:p w14:paraId="3B193C38" w14:textId="77777777" w:rsidR="002C0FD9" w:rsidRPr="00CA25CF" w:rsidRDefault="002C0FD9" w:rsidP="00CA25CF">
            <w:pPr>
              <w:rPr>
                <w:rFonts w:cs="Arial"/>
                <w:color w:val="FF0000"/>
                <w:sz w:val="21"/>
                <w:szCs w:val="21"/>
              </w:rPr>
            </w:pPr>
          </w:p>
        </w:tc>
        <w:tc>
          <w:tcPr>
            <w:tcW w:w="217" w:type="dxa"/>
          </w:tcPr>
          <w:p w14:paraId="5227F8E0" w14:textId="77777777" w:rsidR="002C0FD9" w:rsidRPr="00CA25CF" w:rsidRDefault="002C0FD9" w:rsidP="00CA25CF">
            <w:pPr>
              <w:rPr>
                <w:rFonts w:cs="Arial"/>
                <w:color w:val="FF0000"/>
                <w:sz w:val="21"/>
                <w:szCs w:val="21"/>
              </w:rPr>
            </w:pPr>
          </w:p>
        </w:tc>
        <w:tc>
          <w:tcPr>
            <w:tcW w:w="217" w:type="dxa"/>
          </w:tcPr>
          <w:p w14:paraId="62837C9E" w14:textId="77777777" w:rsidR="002C0FD9" w:rsidRPr="00CA25CF" w:rsidRDefault="002C0FD9" w:rsidP="00CA25CF">
            <w:pPr>
              <w:rPr>
                <w:rFonts w:cs="Arial"/>
                <w:color w:val="FF0000"/>
                <w:sz w:val="21"/>
                <w:szCs w:val="21"/>
              </w:rPr>
            </w:pPr>
          </w:p>
        </w:tc>
        <w:tc>
          <w:tcPr>
            <w:tcW w:w="217" w:type="dxa"/>
          </w:tcPr>
          <w:p w14:paraId="6950B208" w14:textId="77777777" w:rsidR="002C0FD9" w:rsidRPr="00CA25CF" w:rsidRDefault="002C0FD9" w:rsidP="00CA25CF">
            <w:pPr>
              <w:rPr>
                <w:rFonts w:cs="Arial"/>
                <w:color w:val="FF0000"/>
                <w:sz w:val="21"/>
                <w:szCs w:val="21"/>
              </w:rPr>
            </w:pPr>
          </w:p>
        </w:tc>
        <w:tc>
          <w:tcPr>
            <w:tcW w:w="217" w:type="dxa"/>
          </w:tcPr>
          <w:p w14:paraId="57CAC7AE" w14:textId="77777777" w:rsidR="002C0FD9" w:rsidRPr="00CA25CF" w:rsidRDefault="002C0FD9" w:rsidP="00CA25CF">
            <w:pPr>
              <w:rPr>
                <w:rFonts w:cs="Arial"/>
                <w:color w:val="FF0000"/>
                <w:sz w:val="21"/>
                <w:szCs w:val="21"/>
              </w:rPr>
            </w:pPr>
          </w:p>
        </w:tc>
        <w:tc>
          <w:tcPr>
            <w:tcW w:w="217" w:type="dxa"/>
          </w:tcPr>
          <w:p w14:paraId="195B31D5" w14:textId="77777777" w:rsidR="002C0FD9" w:rsidRPr="00CA25CF" w:rsidRDefault="002C0FD9" w:rsidP="00CA25CF">
            <w:pPr>
              <w:rPr>
                <w:rFonts w:cs="Arial"/>
                <w:color w:val="FF0000"/>
                <w:sz w:val="21"/>
                <w:szCs w:val="21"/>
              </w:rPr>
            </w:pPr>
          </w:p>
        </w:tc>
        <w:tc>
          <w:tcPr>
            <w:tcW w:w="217" w:type="dxa"/>
          </w:tcPr>
          <w:p w14:paraId="5A938721" w14:textId="77777777" w:rsidR="002C0FD9" w:rsidRPr="00CA25CF" w:rsidRDefault="002C0FD9" w:rsidP="00CA25CF">
            <w:pPr>
              <w:rPr>
                <w:rFonts w:cs="Arial"/>
                <w:color w:val="FF0000"/>
                <w:sz w:val="21"/>
                <w:szCs w:val="21"/>
              </w:rPr>
            </w:pPr>
          </w:p>
        </w:tc>
        <w:tc>
          <w:tcPr>
            <w:tcW w:w="217" w:type="dxa"/>
          </w:tcPr>
          <w:p w14:paraId="68B3D327" w14:textId="77777777" w:rsidR="002C0FD9" w:rsidRPr="00CA25CF" w:rsidRDefault="002C0FD9" w:rsidP="00CA25CF">
            <w:pPr>
              <w:rPr>
                <w:rFonts w:cs="Arial"/>
                <w:color w:val="FF0000"/>
                <w:sz w:val="21"/>
                <w:szCs w:val="21"/>
              </w:rPr>
            </w:pPr>
          </w:p>
        </w:tc>
        <w:tc>
          <w:tcPr>
            <w:tcW w:w="217" w:type="dxa"/>
          </w:tcPr>
          <w:p w14:paraId="55B87B06" w14:textId="77777777" w:rsidR="002C0FD9" w:rsidRPr="00CA25CF" w:rsidRDefault="002C0FD9" w:rsidP="00CA25CF">
            <w:pPr>
              <w:rPr>
                <w:rFonts w:cs="Arial"/>
                <w:color w:val="FF0000"/>
                <w:sz w:val="21"/>
                <w:szCs w:val="21"/>
              </w:rPr>
            </w:pPr>
          </w:p>
        </w:tc>
        <w:tc>
          <w:tcPr>
            <w:tcW w:w="217" w:type="dxa"/>
          </w:tcPr>
          <w:p w14:paraId="215478B0" w14:textId="77777777" w:rsidR="002C0FD9" w:rsidRPr="00CA25CF" w:rsidRDefault="002C0FD9" w:rsidP="00CA25CF">
            <w:pPr>
              <w:rPr>
                <w:rFonts w:cs="Arial"/>
                <w:color w:val="FF0000"/>
                <w:sz w:val="21"/>
                <w:szCs w:val="21"/>
              </w:rPr>
            </w:pPr>
          </w:p>
        </w:tc>
        <w:tc>
          <w:tcPr>
            <w:tcW w:w="217" w:type="dxa"/>
          </w:tcPr>
          <w:p w14:paraId="40A6B3CE" w14:textId="77777777" w:rsidR="002C0FD9" w:rsidRPr="00CA25CF" w:rsidRDefault="002C0FD9" w:rsidP="00CA25CF">
            <w:pPr>
              <w:rPr>
                <w:rFonts w:cs="Arial"/>
                <w:color w:val="FF0000"/>
                <w:sz w:val="21"/>
                <w:szCs w:val="21"/>
              </w:rPr>
            </w:pPr>
          </w:p>
        </w:tc>
        <w:tc>
          <w:tcPr>
            <w:tcW w:w="217" w:type="dxa"/>
          </w:tcPr>
          <w:p w14:paraId="564CC4B2" w14:textId="77777777" w:rsidR="002C0FD9" w:rsidRPr="00CA25CF" w:rsidRDefault="002C0FD9" w:rsidP="00CA25CF">
            <w:pPr>
              <w:rPr>
                <w:rFonts w:cs="Arial"/>
                <w:color w:val="FF0000"/>
                <w:sz w:val="21"/>
                <w:szCs w:val="21"/>
              </w:rPr>
            </w:pPr>
          </w:p>
        </w:tc>
        <w:tc>
          <w:tcPr>
            <w:tcW w:w="217" w:type="dxa"/>
          </w:tcPr>
          <w:p w14:paraId="5A22B8DA" w14:textId="77777777" w:rsidR="002C0FD9" w:rsidRPr="00CA25CF" w:rsidRDefault="002C0FD9" w:rsidP="00CA25CF">
            <w:pPr>
              <w:rPr>
                <w:rFonts w:cs="Arial"/>
                <w:color w:val="FF0000"/>
                <w:sz w:val="21"/>
                <w:szCs w:val="21"/>
              </w:rPr>
            </w:pPr>
          </w:p>
        </w:tc>
        <w:tc>
          <w:tcPr>
            <w:tcW w:w="217" w:type="dxa"/>
          </w:tcPr>
          <w:p w14:paraId="011A7B62" w14:textId="77777777" w:rsidR="002C0FD9" w:rsidRPr="00CA25CF" w:rsidRDefault="002C0FD9" w:rsidP="00CA25CF">
            <w:pPr>
              <w:rPr>
                <w:rFonts w:cs="Arial"/>
                <w:color w:val="FF0000"/>
                <w:sz w:val="21"/>
                <w:szCs w:val="21"/>
              </w:rPr>
            </w:pPr>
          </w:p>
        </w:tc>
        <w:tc>
          <w:tcPr>
            <w:tcW w:w="217" w:type="dxa"/>
          </w:tcPr>
          <w:p w14:paraId="6FFC1F90" w14:textId="77777777" w:rsidR="002C0FD9" w:rsidRPr="00CA25CF" w:rsidRDefault="002C0FD9" w:rsidP="00CA25CF">
            <w:pPr>
              <w:rPr>
                <w:rFonts w:cs="Arial"/>
                <w:color w:val="FF0000"/>
                <w:sz w:val="21"/>
                <w:szCs w:val="21"/>
              </w:rPr>
            </w:pPr>
          </w:p>
        </w:tc>
        <w:tc>
          <w:tcPr>
            <w:tcW w:w="217" w:type="dxa"/>
          </w:tcPr>
          <w:p w14:paraId="3653C3A9" w14:textId="77777777" w:rsidR="002C0FD9" w:rsidRPr="00CA25CF" w:rsidRDefault="002C0FD9" w:rsidP="00CA25CF">
            <w:pPr>
              <w:rPr>
                <w:rFonts w:cs="Arial"/>
                <w:color w:val="FF0000"/>
                <w:sz w:val="21"/>
                <w:szCs w:val="21"/>
              </w:rPr>
            </w:pPr>
          </w:p>
        </w:tc>
        <w:tc>
          <w:tcPr>
            <w:tcW w:w="217" w:type="dxa"/>
          </w:tcPr>
          <w:p w14:paraId="4686026F" w14:textId="77777777" w:rsidR="002C0FD9" w:rsidRPr="00CA25CF" w:rsidRDefault="002C0FD9" w:rsidP="00CA25CF">
            <w:pPr>
              <w:rPr>
                <w:rFonts w:cs="Arial"/>
                <w:color w:val="FF0000"/>
                <w:sz w:val="21"/>
                <w:szCs w:val="21"/>
              </w:rPr>
            </w:pPr>
          </w:p>
        </w:tc>
        <w:tc>
          <w:tcPr>
            <w:tcW w:w="217" w:type="dxa"/>
          </w:tcPr>
          <w:p w14:paraId="1E184693" w14:textId="77777777" w:rsidR="002C0FD9" w:rsidRPr="00CA25CF" w:rsidRDefault="002C0FD9" w:rsidP="00CA25CF">
            <w:pPr>
              <w:rPr>
                <w:rFonts w:cs="Arial"/>
                <w:color w:val="FF0000"/>
                <w:sz w:val="21"/>
                <w:szCs w:val="21"/>
              </w:rPr>
            </w:pPr>
          </w:p>
        </w:tc>
        <w:tc>
          <w:tcPr>
            <w:tcW w:w="217" w:type="dxa"/>
          </w:tcPr>
          <w:p w14:paraId="24583E9C" w14:textId="77777777" w:rsidR="002C0FD9" w:rsidRPr="00CA25CF" w:rsidRDefault="002C0FD9" w:rsidP="00CA25CF">
            <w:pPr>
              <w:rPr>
                <w:rFonts w:cs="Arial"/>
                <w:color w:val="FF0000"/>
                <w:sz w:val="21"/>
                <w:szCs w:val="21"/>
              </w:rPr>
            </w:pPr>
          </w:p>
        </w:tc>
        <w:tc>
          <w:tcPr>
            <w:tcW w:w="217" w:type="dxa"/>
          </w:tcPr>
          <w:p w14:paraId="6866ABE7" w14:textId="77777777" w:rsidR="002C0FD9" w:rsidRPr="00CA25CF" w:rsidRDefault="002C0FD9" w:rsidP="00CA25CF">
            <w:pPr>
              <w:rPr>
                <w:rFonts w:cs="Arial"/>
                <w:color w:val="FF0000"/>
                <w:sz w:val="21"/>
                <w:szCs w:val="21"/>
              </w:rPr>
            </w:pPr>
          </w:p>
        </w:tc>
        <w:tc>
          <w:tcPr>
            <w:tcW w:w="217" w:type="dxa"/>
          </w:tcPr>
          <w:p w14:paraId="45DDB6D4" w14:textId="77777777" w:rsidR="002C0FD9" w:rsidRPr="00CA25CF" w:rsidRDefault="002C0FD9" w:rsidP="00CA25CF">
            <w:pPr>
              <w:rPr>
                <w:rFonts w:cs="Arial"/>
                <w:color w:val="FF0000"/>
                <w:sz w:val="21"/>
                <w:szCs w:val="21"/>
              </w:rPr>
            </w:pPr>
          </w:p>
        </w:tc>
        <w:tc>
          <w:tcPr>
            <w:tcW w:w="217" w:type="dxa"/>
          </w:tcPr>
          <w:p w14:paraId="65BBAACC" w14:textId="77777777" w:rsidR="002C0FD9" w:rsidRPr="00CA25CF" w:rsidRDefault="002C0FD9" w:rsidP="00CA25CF">
            <w:pPr>
              <w:rPr>
                <w:rFonts w:cs="Arial"/>
                <w:color w:val="FF0000"/>
                <w:sz w:val="21"/>
                <w:szCs w:val="21"/>
              </w:rPr>
            </w:pPr>
          </w:p>
        </w:tc>
        <w:tc>
          <w:tcPr>
            <w:tcW w:w="217" w:type="dxa"/>
          </w:tcPr>
          <w:p w14:paraId="6B942E65" w14:textId="77777777" w:rsidR="002C0FD9" w:rsidRPr="00CA25CF" w:rsidRDefault="002C0FD9" w:rsidP="00CA25CF">
            <w:pPr>
              <w:rPr>
                <w:rFonts w:cs="Arial"/>
                <w:color w:val="FF0000"/>
                <w:sz w:val="21"/>
                <w:szCs w:val="21"/>
              </w:rPr>
            </w:pPr>
          </w:p>
        </w:tc>
        <w:tc>
          <w:tcPr>
            <w:tcW w:w="217" w:type="dxa"/>
          </w:tcPr>
          <w:p w14:paraId="2EC4D42D" w14:textId="77777777" w:rsidR="002C0FD9" w:rsidRPr="00CA25CF" w:rsidRDefault="002C0FD9" w:rsidP="00CA25CF">
            <w:pPr>
              <w:rPr>
                <w:rFonts w:cs="Arial"/>
                <w:color w:val="FF0000"/>
                <w:sz w:val="21"/>
                <w:szCs w:val="21"/>
              </w:rPr>
            </w:pPr>
          </w:p>
        </w:tc>
        <w:tc>
          <w:tcPr>
            <w:tcW w:w="217" w:type="dxa"/>
          </w:tcPr>
          <w:p w14:paraId="500C8303" w14:textId="77777777" w:rsidR="002C0FD9" w:rsidRPr="00CA25CF" w:rsidRDefault="002C0FD9" w:rsidP="00CA25CF">
            <w:pPr>
              <w:rPr>
                <w:rFonts w:cs="Arial"/>
                <w:color w:val="FF0000"/>
                <w:sz w:val="21"/>
                <w:szCs w:val="21"/>
              </w:rPr>
            </w:pPr>
          </w:p>
        </w:tc>
        <w:tc>
          <w:tcPr>
            <w:tcW w:w="217" w:type="dxa"/>
          </w:tcPr>
          <w:p w14:paraId="0B0ADA91" w14:textId="77777777" w:rsidR="002C0FD9" w:rsidRPr="00CA25CF" w:rsidRDefault="002C0FD9" w:rsidP="00CA25CF">
            <w:pPr>
              <w:rPr>
                <w:rFonts w:cs="Arial"/>
                <w:color w:val="FF0000"/>
                <w:sz w:val="21"/>
                <w:szCs w:val="21"/>
              </w:rPr>
            </w:pPr>
          </w:p>
        </w:tc>
        <w:tc>
          <w:tcPr>
            <w:tcW w:w="217" w:type="dxa"/>
          </w:tcPr>
          <w:p w14:paraId="3A6FA34D" w14:textId="77777777" w:rsidR="002C0FD9" w:rsidRPr="00CA25CF" w:rsidRDefault="002C0FD9" w:rsidP="00CA25CF">
            <w:pPr>
              <w:rPr>
                <w:rFonts w:cs="Arial"/>
                <w:color w:val="FF0000"/>
                <w:sz w:val="21"/>
                <w:szCs w:val="21"/>
              </w:rPr>
            </w:pPr>
          </w:p>
        </w:tc>
        <w:tc>
          <w:tcPr>
            <w:tcW w:w="217" w:type="dxa"/>
          </w:tcPr>
          <w:p w14:paraId="67D88468" w14:textId="77777777" w:rsidR="002C0FD9" w:rsidRPr="00CA25CF" w:rsidRDefault="002C0FD9" w:rsidP="00CA25CF">
            <w:pPr>
              <w:rPr>
                <w:rFonts w:cs="Arial"/>
                <w:color w:val="FF0000"/>
                <w:sz w:val="21"/>
                <w:szCs w:val="21"/>
              </w:rPr>
            </w:pPr>
          </w:p>
        </w:tc>
        <w:tc>
          <w:tcPr>
            <w:tcW w:w="217" w:type="dxa"/>
          </w:tcPr>
          <w:p w14:paraId="785C75E6" w14:textId="77777777" w:rsidR="002C0FD9" w:rsidRPr="00CA25CF" w:rsidRDefault="002C0FD9" w:rsidP="00CA25CF">
            <w:pPr>
              <w:rPr>
                <w:rFonts w:cs="Arial"/>
                <w:color w:val="FF0000"/>
                <w:sz w:val="21"/>
                <w:szCs w:val="21"/>
              </w:rPr>
            </w:pPr>
          </w:p>
        </w:tc>
        <w:tc>
          <w:tcPr>
            <w:tcW w:w="217" w:type="dxa"/>
          </w:tcPr>
          <w:p w14:paraId="0E23FCE2" w14:textId="77777777" w:rsidR="002C0FD9" w:rsidRPr="00CA25CF" w:rsidRDefault="002C0FD9" w:rsidP="00CA25CF">
            <w:pPr>
              <w:rPr>
                <w:rFonts w:cs="Arial"/>
                <w:color w:val="FF0000"/>
                <w:sz w:val="21"/>
                <w:szCs w:val="21"/>
              </w:rPr>
            </w:pPr>
          </w:p>
        </w:tc>
        <w:tc>
          <w:tcPr>
            <w:tcW w:w="217" w:type="dxa"/>
          </w:tcPr>
          <w:p w14:paraId="15A9150A" w14:textId="77777777" w:rsidR="002C0FD9" w:rsidRPr="00CA25CF" w:rsidRDefault="002C0FD9" w:rsidP="00CA25CF">
            <w:pPr>
              <w:rPr>
                <w:rFonts w:cs="Arial"/>
                <w:color w:val="FF0000"/>
                <w:sz w:val="21"/>
                <w:szCs w:val="21"/>
              </w:rPr>
            </w:pPr>
          </w:p>
        </w:tc>
        <w:tc>
          <w:tcPr>
            <w:tcW w:w="217" w:type="dxa"/>
          </w:tcPr>
          <w:p w14:paraId="1298D72F" w14:textId="77777777" w:rsidR="002C0FD9" w:rsidRPr="00CA25CF" w:rsidRDefault="002C0FD9" w:rsidP="00CA25CF">
            <w:pPr>
              <w:rPr>
                <w:rFonts w:cs="Arial"/>
                <w:color w:val="FF0000"/>
                <w:sz w:val="21"/>
                <w:szCs w:val="21"/>
              </w:rPr>
            </w:pPr>
          </w:p>
        </w:tc>
        <w:tc>
          <w:tcPr>
            <w:tcW w:w="217" w:type="dxa"/>
          </w:tcPr>
          <w:p w14:paraId="0C83E28B" w14:textId="77777777" w:rsidR="002C0FD9" w:rsidRPr="00CA25CF" w:rsidRDefault="002C0FD9" w:rsidP="00CA25CF">
            <w:pPr>
              <w:rPr>
                <w:rFonts w:cs="Arial"/>
                <w:color w:val="FF0000"/>
                <w:sz w:val="21"/>
                <w:szCs w:val="21"/>
              </w:rPr>
            </w:pPr>
          </w:p>
        </w:tc>
      </w:tr>
      <w:tr w:rsidR="002C0FD9" w:rsidRPr="00A16219" w14:paraId="094EBC8E" w14:textId="77777777" w:rsidTr="002C0FD9">
        <w:trPr>
          <w:trHeight w:val="635"/>
        </w:trPr>
        <w:tc>
          <w:tcPr>
            <w:tcW w:w="515" w:type="dxa"/>
          </w:tcPr>
          <w:p w14:paraId="432C1876" w14:textId="77777777" w:rsidR="002C0FD9" w:rsidRPr="00CA25CF" w:rsidRDefault="002C0FD9" w:rsidP="00CA25CF">
            <w:pPr>
              <w:rPr>
                <w:rFonts w:cs="Arial"/>
                <w:color w:val="FF0000"/>
                <w:sz w:val="21"/>
                <w:szCs w:val="21"/>
              </w:rPr>
            </w:pPr>
          </w:p>
        </w:tc>
        <w:tc>
          <w:tcPr>
            <w:tcW w:w="217" w:type="dxa"/>
          </w:tcPr>
          <w:p w14:paraId="0DB33BB0" w14:textId="77777777" w:rsidR="002C0FD9" w:rsidRPr="00CA25CF" w:rsidRDefault="002C0FD9" w:rsidP="00CA25CF">
            <w:pPr>
              <w:rPr>
                <w:rFonts w:cs="Arial"/>
                <w:color w:val="FF0000"/>
                <w:sz w:val="21"/>
                <w:szCs w:val="21"/>
              </w:rPr>
            </w:pPr>
          </w:p>
        </w:tc>
        <w:tc>
          <w:tcPr>
            <w:tcW w:w="217" w:type="dxa"/>
          </w:tcPr>
          <w:p w14:paraId="30059A18" w14:textId="77777777" w:rsidR="002C0FD9" w:rsidRPr="00CA25CF" w:rsidRDefault="002C0FD9" w:rsidP="00CA25CF">
            <w:pPr>
              <w:rPr>
                <w:rFonts w:cs="Arial"/>
                <w:color w:val="FF0000"/>
                <w:sz w:val="21"/>
                <w:szCs w:val="21"/>
              </w:rPr>
            </w:pPr>
          </w:p>
        </w:tc>
        <w:tc>
          <w:tcPr>
            <w:tcW w:w="217" w:type="dxa"/>
          </w:tcPr>
          <w:p w14:paraId="61F54550" w14:textId="77777777" w:rsidR="002C0FD9" w:rsidRPr="00CA25CF" w:rsidRDefault="002C0FD9" w:rsidP="00CA25CF">
            <w:pPr>
              <w:rPr>
                <w:rFonts w:cs="Arial"/>
                <w:color w:val="FF0000"/>
                <w:sz w:val="21"/>
                <w:szCs w:val="21"/>
              </w:rPr>
            </w:pPr>
          </w:p>
        </w:tc>
        <w:tc>
          <w:tcPr>
            <w:tcW w:w="217" w:type="dxa"/>
          </w:tcPr>
          <w:p w14:paraId="1970E98D" w14:textId="77777777" w:rsidR="002C0FD9" w:rsidRPr="00CA25CF" w:rsidRDefault="002C0FD9" w:rsidP="00CA25CF">
            <w:pPr>
              <w:rPr>
                <w:rFonts w:cs="Arial"/>
                <w:color w:val="FF0000"/>
                <w:sz w:val="21"/>
                <w:szCs w:val="21"/>
              </w:rPr>
            </w:pPr>
          </w:p>
        </w:tc>
        <w:tc>
          <w:tcPr>
            <w:tcW w:w="217" w:type="dxa"/>
          </w:tcPr>
          <w:p w14:paraId="1BBC97BF" w14:textId="77777777" w:rsidR="002C0FD9" w:rsidRPr="00CA25CF" w:rsidRDefault="002C0FD9" w:rsidP="00CA25CF">
            <w:pPr>
              <w:rPr>
                <w:rFonts w:cs="Arial"/>
                <w:color w:val="FF0000"/>
                <w:sz w:val="21"/>
                <w:szCs w:val="21"/>
              </w:rPr>
            </w:pPr>
          </w:p>
        </w:tc>
        <w:tc>
          <w:tcPr>
            <w:tcW w:w="217" w:type="dxa"/>
          </w:tcPr>
          <w:p w14:paraId="2D1645D7" w14:textId="77777777" w:rsidR="002C0FD9" w:rsidRPr="00CA25CF" w:rsidRDefault="002C0FD9" w:rsidP="00CA25CF">
            <w:pPr>
              <w:rPr>
                <w:rFonts w:cs="Arial"/>
                <w:color w:val="FF0000"/>
                <w:sz w:val="21"/>
                <w:szCs w:val="21"/>
              </w:rPr>
            </w:pPr>
          </w:p>
        </w:tc>
        <w:tc>
          <w:tcPr>
            <w:tcW w:w="217" w:type="dxa"/>
          </w:tcPr>
          <w:p w14:paraId="4A821F93" w14:textId="77777777" w:rsidR="002C0FD9" w:rsidRPr="00CA25CF" w:rsidRDefault="002C0FD9" w:rsidP="00CA25CF">
            <w:pPr>
              <w:rPr>
                <w:rFonts w:cs="Arial"/>
                <w:color w:val="FF0000"/>
                <w:sz w:val="21"/>
                <w:szCs w:val="21"/>
              </w:rPr>
            </w:pPr>
          </w:p>
        </w:tc>
        <w:tc>
          <w:tcPr>
            <w:tcW w:w="217" w:type="dxa"/>
          </w:tcPr>
          <w:p w14:paraId="7D021567" w14:textId="77777777" w:rsidR="002C0FD9" w:rsidRPr="00CA25CF" w:rsidRDefault="002C0FD9" w:rsidP="00CA25CF">
            <w:pPr>
              <w:rPr>
                <w:rFonts w:cs="Arial"/>
                <w:color w:val="FF0000"/>
                <w:sz w:val="21"/>
                <w:szCs w:val="21"/>
              </w:rPr>
            </w:pPr>
          </w:p>
        </w:tc>
        <w:tc>
          <w:tcPr>
            <w:tcW w:w="217" w:type="dxa"/>
          </w:tcPr>
          <w:p w14:paraId="53FC09CD" w14:textId="77777777" w:rsidR="002C0FD9" w:rsidRPr="00CA25CF" w:rsidRDefault="002C0FD9" w:rsidP="00CA25CF">
            <w:pPr>
              <w:rPr>
                <w:rFonts w:cs="Arial"/>
                <w:color w:val="FF0000"/>
                <w:sz w:val="21"/>
                <w:szCs w:val="21"/>
              </w:rPr>
            </w:pPr>
          </w:p>
        </w:tc>
        <w:tc>
          <w:tcPr>
            <w:tcW w:w="217" w:type="dxa"/>
          </w:tcPr>
          <w:p w14:paraId="0710E135" w14:textId="77777777" w:rsidR="002C0FD9" w:rsidRPr="00CA25CF" w:rsidRDefault="002C0FD9" w:rsidP="00CA25CF">
            <w:pPr>
              <w:rPr>
                <w:rFonts w:cs="Arial"/>
                <w:color w:val="FF0000"/>
                <w:sz w:val="21"/>
                <w:szCs w:val="21"/>
              </w:rPr>
            </w:pPr>
          </w:p>
        </w:tc>
        <w:tc>
          <w:tcPr>
            <w:tcW w:w="217" w:type="dxa"/>
          </w:tcPr>
          <w:p w14:paraId="2D9C58AA" w14:textId="77777777" w:rsidR="002C0FD9" w:rsidRPr="00CA25CF" w:rsidRDefault="002C0FD9" w:rsidP="00CA25CF">
            <w:pPr>
              <w:rPr>
                <w:rFonts w:cs="Arial"/>
                <w:color w:val="FF0000"/>
                <w:sz w:val="21"/>
                <w:szCs w:val="21"/>
              </w:rPr>
            </w:pPr>
          </w:p>
        </w:tc>
        <w:tc>
          <w:tcPr>
            <w:tcW w:w="217" w:type="dxa"/>
          </w:tcPr>
          <w:p w14:paraId="62024441" w14:textId="77777777" w:rsidR="002C0FD9" w:rsidRPr="00CA25CF" w:rsidRDefault="002C0FD9" w:rsidP="00CA25CF">
            <w:pPr>
              <w:rPr>
                <w:rFonts w:cs="Arial"/>
                <w:color w:val="FF0000"/>
                <w:sz w:val="21"/>
                <w:szCs w:val="21"/>
              </w:rPr>
            </w:pPr>
          </w:p>
        </w:tc>
        <w:tc>
          <w:tcPr>
            <w:tcW w:w="217" w:type="dxa"/>
          </w:tcPr>
          <w:p w14:paraId="0C014AEE" w14:textId="77777777" w:rsidR="002C0FD9" w:rsidRPr="00CA25CF" w:rsidRDefault="002C0FD9" w:rsidP="00CA25CF">
            <w:pPr>
              <w:rPr>
                <w:rFonts w:cs="Arial"/>
                <w:color w:val="FF0000"/>
                <w:sz w:val="21"/>
                <w:szCs w:val="21"/>
              </w:rPr>
            </w:pPr>
          </w:p>
        </w:tc>
        <w:tc>
          <w:tcPr>
            <w:tcW w:w="217" w:type="dxa"/>
          </w:tcPr>
          <w:p w14:paraId="28A453B8" w14:textId="77777777" w:rsidR="002C0FD9" w:rsidRPr="00CA25CF" w:rsidRDefault="002C0FD9" w:rsidP="00CA25CF">
            <w:pPr>
              <w:rPr>
                <w:rFonts w:cs="Arial"/>
                <w:color w:val="FF0000"/>
                <w:sz w:val="21"/>
                <w:szCs w:val="21"/>
              </w:rPr>
            </w:pPr>
          </w:p>
        </w:tc>
        <w:tc>
          <w:tcPr>
            <w:tcW w:w="217" w:type="dxa"/>
          </w:tcPr>
          <w:p w14:paraId="432C89B8" w14:textId="77777777" w:rsidR="002C0FD9" w:rsidRPr="00CA25CF" w:rsidRDefault="002C0FD9" w:rsidP="00CA25CF">
            <w:pPr>
              <w:rPr>
                <w:rFonts w:cs="Arial"/>
                <w:color w:val="FF0000"/>
                <w:sz w:val="21"/>
                <w:szCs w:val="21"/>
              </w:rPr>
            </w:pPr>
          </w:p>
        </w:tc>
        <w:tc>
          <w:tcPr>
            <w:tcW w:w="217" w:type="dxa"/>
          </w:tcPr>
          <w:p w14:paraId="1EAC2373" w14:textId="77777777" w:rsidR="002C0FD9" w:rsidRPr="00CA25CF" w:rsidRDefault="002C0FD9" w:rsidP="00CA25CF">
            <w:pPr>
              <w:rPr>
                <w:rFonts w:cs="Arial"/>
                <w:color w:val="FF0000"/>
                <w:sz w:val="21"/>
                <w:szCs w:val="21"/>
              </w:rPr>
            </w:pPr>
          </w:p>
        </w:tc>
        <w:tc>
          <w:tcPr>
            <w:tcW w:w="217" w:type="dxa"/>
          </w:tcPr>
          <w:p w14:paraId="4CD8B0D1" w14:textId="77777777" w:rsidR="002C0FD9" w:rsidRPr="00CA25CF" w:rsidRDefault="002C0FD9" w:rsidP="00CA25CF">
            <w:pPr>
              <w:rPr>
                <w:rFonts w:cs="Arial"/>
                <w:color w:val="FF0000"/>
                <w:sz w:val="21"/>
                <w:szCs w:val="21"/>
              </w:rPr>
            </w:pPr>
          </w:p>
        </w:tc>
        <w:tc>
          <w:tcPr>
            <w:tcW w:w="217" w:type="dxa"/>
          </w:tcPr>
          <w:p w14:paraId="30042B0D" w14:textId="77777777" w:rsidR="002C0FD9" w:rsidRPr="00CA25CF" w:rsidRDefault="002C0FD9" w:rsidP="00CA25CF">
            <w:pPr>
              <w:rPr>
                <w:rFonts w:cs="Arial"/>
                <w:color w:val="FF0000"/>
                <w:sz w:val="21"/>
                <w:szCs w:val="21"/>
              </w:rPr>
            </w:pPr>
          </w:p>
        </w:tc>
        <w:tc>
          <w:tcPr>
            <w:tcW w:w="217" w:type="dxa"/>
          </w:tcPr>
          <w:p w14:paraId="2AF4657E" w14:textId="77777777" w:rsidR="002C0FD9" w:rsidRPr="00CA25CF" w:rsidRDefault="002C0FD9" w:rsidP="00CA25CF">
            <w:pPr>
              <w:rPr>
                <w:rFonts w:cs="Arial"/>
                <w:color w:val="FF0000"/>
                <w:sz w:val="21"/>
                <w:szCs w:val="21"/>
              </w:rPr>
            </w:pPr>
          </w:p>
        </w:tc>
        <w:tc>
          <w:tcPr>
            <w:tcW w:w="217" w:type="dxa"/>
          </w:tcPr>
          <w:p w14:paraId="7CE66F75" w14:textId="77777777" w:rsidR="002C0FD9" w:rsidRPr="00CA25CF" w:rsidRDefault="002C0FD9" w:rsidP="00CA25CF">
            <w:pPr>
              <w:rPr>
                <w:rFonts w:cs="Arial"/>
                <w:color w:val="FF0000"/>
                <w:sz w:val="21"/>
                <w:szCs w:val="21"/>
              </w:rPr>
            </w:pPr>
          </w:p>
        </w:tc>
        <w:tc>
          <w:tcPr>
            <w:tcW w:w="217" w:type="dxa"/>
          </w:tcPr>
          <w:p w14:paraId="2F4ECFCB" w14:textId="77777777" w:rsidR="002C0FD9" w:rsidRPr="00CA25CF" w:rsidRDefault="002C0FD9" w:rsidP="00CA25CF">
            <w:pPr>
              <w:rPr>
                <w:rFonts w:cs="Arial"/>
                <w:color w:val="FF0000"/>
                <w:sz w:val="21"/>
                <w:szCs w:val="21"/>
              </w:rPr>
            </w:pPr>
          </w:p>
        </w:tc>
        <w:tc>
          <w:tcPr>
            <w:tcW w:w="217" w:type="dxa"/>
          </w:tcPr>
          <w:p w14:paraId="7D8674FC" w14:textId="77777777" w:rsidR="002C0FD9" w:rsidRPr="00CA25CF" w:rsidRDefault="002C0FD9" w:rsidP="00CA25CF">
            <w:pPr>
              <w:rPr>
                <w:rFonts w:cs="Arial"/>
                <w:color w:val="FF0000"/>
                <w:sz w:val="21"/>
                <w:szCs w:val="21"/>
              </w:rPr>
            </w:pPr>
          </w:p>
        </w:tc>
        <w:tc>
          <w:tcPr>
            <w:tcW w:w="217" w:type="dxa"/>
          </w:tcPr>
          <w:p w14:paraId="2A42EA60" w14:textId="77777777" w:rsidR="002C0FD9" w:rsidRPr="00CA25CF" w:rsidRDefault="002C0FD9" w:rsidP="00CA25CF">
            <w:pPr>
              <w:rPr>
                <w:rFonts w:cs="Arial"/>
                <w:color w:val="FF0000"/>
                <w:sz w:val="21"/>
                <w:szCs w:val="21"/>
              </w:rPr>
            </w:pPr>
          </w:p>
        </w:tc>
        <w:tc>
          <w:tcPr>
            <w:tcW w:w="217" w:type="dxa"/>
          </w:tcPr>
          <w:p w14:paraId="64261DE5" w14:textId="77777777" w:rsidR="002C0FD9" w:rsidRPr="00CA25CF" w:rsidRDefault="002C0FD9" w:rsidP="00CA25CF">
            <w:pPr>
              <w:rPr>
                <w:rFonts w:cs="Arial"/>
                <w:color w:val="FF0000"/>
                <w:sz w:val="21"/>
                <w:szCs w:val="21"/>
              </w:rPr>
            </w:pPr>
          </w:p>
        </w:tc>
        <w:tc>
          <w:tcPr>
            <w:tcW w:w="217" w:type="dxa"/>
          </w:tcPr>
          <w:p w14:paraId="2555BCCD" w14:textId="77777777" w:rsidR="002C0FD9" w:rsidRPr="00CA25CF" w:rsidRDefault="002C0FD9" w:rsidP="00CA25CF">
            <w:pPr>
              <w:rPr>
                <w:rFonts w:cs="Arial"/>
                <w:color w:val="FF0000"/>
                <w:sz w:val="21"/>
                <w:szCs w:val="21"/>
              </w:rPr>
            </w:pPr>
          </w:p>
        </w:tc>
        <w:tc>
          <w:tcPr>
            <w:tcW w:w="217" w:type="dxa"/>
          </w:tcPr>
          <w:p w14:paraId="6538B972" w14:textId="77777777" w:rsidR="002C0FD9" w:rsidRPr="00CA25CF" w:rsidRDefault="002C0FD9" w:rsidP="00CA25CF">
            <w:pPr>
              <w:rPr>
                <w:rFonts w:cs="Arial"/>
                <w:color w:val="FF0000"/>
                <w:sz w:val="21"/>
                <w:szCs w:val="21"/>
              </w:rPr>
            </w:pPr>
          </w:p>
        </w:tc>
        <w:tc>
          <w:tcPr>
            <w:tcW w:w="217" w:type="dxa"/>
          </w:tcPr>
          <w:p w14:paraId="4C2F345D" w14:textId="77777777" w:rsidR="002C0FD9" w:rsidRPr="00CA25CF" w:rsidRDefault="002C0FD9" w:rsidP="00CA25CF">
            <w:pPr>
              <w:rPr>
                <w:rFonts w:cs="Arial"/>
                <w:color w:val="FF0000"/>
                <w:sz w:val="21"/>
                <w:szCs w:val="21"/>
              </w:rPr>
            </w:pPr>
          </w:p>
        </w:tc>
        <w:tc>
          <w:tcPr>
            <w:tcW w:w="217" w:type="dxa"/>
          </w:tcPr>
          <w:p w14:paraId="49F8A77B" w14:textId="77777777" w:rsidR="002C0FD9" w:rsidRPr="00CA25CF" w:rsidRDefault="002C0FD9" w:rsidP="00CA25CF">
            <w:pPr>
              <w:rPr>
                <w:rFonts w:cs="Arial"/>
                <w:color w:val="FF0000"/>
                <w:sz w:val="21"/>
                <w:szCs w:val="21"/>
              </w:rPr>
            </w:pPr>
          </w:p>
        </w:tc>
        <w:tc>
          <w:tcPr>
            <w:tcW w:w="217" w:type="dxa"/>
          </w:tcPr>
          <w:p w14:paraId="633DEF66" w14:textId="77777777" w:rsidR="002C0FD9" w:rsidRPr="00CA25CF" w:rsidRDefault="002C0FD9" w:rsidP="00CA25CF">
            <w:pPr>
              <w:rPr>
                <w:rFonts w:cs="Arial"/>
                <w:color w:val="FF0000"/>
                <w:sz w:val="21"/>
                <w:szCs w:val="21"/>
              </w:rPr>
            </w:pPr>
          </w:p>
        </w:tc>
        <w:tc>
          <w:tcPr>
            <w:tcW w:w="217" w:type="dxa"/>
          </w:tcPr>
          <w:p w14:paraId="5A161477" w14:textId="77777777" w:rsidR="002C0FD9" w:rsidRPr="00CA25CF" w:rsidRDefault="002C0FD9" w:rsidP="00CA25CF">
            <w:pPr>
              <w:rPr>
                <w:rFonts w:cs="Arial"/>
                <w:color w:val="FF0000"/>
                <w:sz w:val="21"/>
                <w:szCs w:val="21"/>
              </w:rPr>
            </w:pPr>
          </w:p>
        </w:tc>
        <w:tc>
          <w:tcPr>
            <w:tcW w:w="217" w:type="dxa"/>
          </w:tcPr>
          <w:p w14:paraId="1C1BEF1A" w14:textId="77777777" w:rsidR="002C0FD9" w:rsidRPr="00CA25CF" w:rsidRDefault="002C0FD9" w:rsidP="00CA25CF">
            <w:pPr>
              <w:rPr>
                <w:rFonts w:cs="Arial"/>
                <w:color w:val="FF0000"/>
                <w:sz w:val="21"/>
                <w:szCs w:val="21"/>
              </w:rPr>
            </w:pPr>
          </w:p>
        </w:tc>
        <w:tc>
          <w:tcPr>
            <w:tcW w:w="217" w:type="dxa"/>
          </w:tcPr>
          <w:p w14:paraId="76B07210" w14:textId="77777777" w:rsidR="002C0FD9" w:rsidRPr="00CA25CF" w:rsidRDefault="002C0FD9" w:rsidP="00CA25CF">
            <w:pPr>
              <w:rPr>
                <w:rFonts w:cs="Arial"/>
                <w:color w:val="FF0000"/>
                <w:sz w:val="21"/>
                <w:szCs w:val="21"/>
              </w:rPr>
            </w:pPr>
          </w:p>
        </w:tc>
        <w:tc>
          <w:tcPr>
            <w:tcW w:w="217" w:type="dxa"/>
          </w:tcPr>
          <w:p w14:paraId="6A14C3CD" w14:textId="77777777" w:rsidR="002C0FD9" w:rsidRPr="00CA25CF" w:rsidRDefault="002C0FD9" w:rsidP="00CA25CF">
            <w:pPr>
              <w:rPr>
                <w:rFonts w:cs="Arial"/>
                <w:color w:val="FF0000"/>
                <w:sz w:val="21"/>
                <w:szCs w:val="21"/>
              </w:rPr>
            </w:pPr>
          </w:p>
        </w:tc>
        <w:tc>
          <w:tcPr>
            <w:tcW w:w="217" w:type="dxa"/>
          </w:tcPr>
          <w:p w14:paraId="39A87035" w14:textId="77777777" w:rsidR="002C0FD9" w:rsidRPr="00CA25CF" w:rsidRDefault="002C0FD9" w:rsidP="00CA25CF">
            <w:pPr>
              <w:rPr>
                <w:rFonts w:cs="Arial"/>
                <w:color w:val="FF0000"/>
                <w:sz w:val="21"/>
                <w:szCs w:val="21"/>
              </w:rPr>
            </w:pPr>
          </w:p>
        </w:tc>
        <w:tc>
          <w:tcPr>
            <w:tcW w:w="217" w:type="dxa"/>
          </w:tcPr>
          <w:p w14:paraId="0DE567D7" w14:textId="77777777" w:rsidR="002C0FD9" w:rsidRPr="00CA25CF" w:rsidRDefault="002C0FD9" w:rsidP="00CA25CF">
            <w:pPr>
              <w:rPr>
                <w:rFonts w:cs="Arial"/>
                <w:color w:val="FF0000"/>
                <w:sz w:val="21"/>
                <w:szCs w:val="21"/>
              </w:rPr>
            </w:pPr>
          </w:p>
        </w:tc>
        <w:tc>
          <w:tcPr>
            <w:tcW w:w="217" w:type="dxa"/>
          </w:tcPr>
          <w:p w14:paraId="34CD5AA1" w14:textId="77777777" w:rsidR="002C0FD9" w:rsidRPr="00CA25CF" w:rsidRDefault="002C0FD9" w:rsidP="00CA25CF">
            <w:pPr>
              <w:rPr>
                <w:rFonts w:cs="Arial"/>
                <w:color w:val="FF0000"/>
                <w:sz w:val="21"/>
                <w:szCs w:val="21"/>
              </w:rPr>
            </w:pPr>
          </w:p>
        </w:tc>
        <w:tc>
          <w:tcPr>
            <w:tcW w:w="217" w:type="dxa"/>
          </w:tcPr>
          <w:p w14:paraId="451A9CD1" w14:textId="77777777" w:rsidR="002C0FD9" w:rsidRPr="00CA25CF" w:rsidRDefault="002C0FD9" w:rsidP="00CA25CF">
            <w:pPr>
              <w:rPr>
                <w:rFonts w:cs="Arial"/>
                <w:color w:val="FF0000"/>
                <w:sz w:val="21"/>
                <w:szCs w:val="21"/>
              </w:rPr>
            </w:pPr>
          </w:p>
        </w:tc>
        <w:tc>
          <w:tcPr>
            <w:tcW w:w="217" w:type="dxa"/>
          </w:tcPr>
          <w:p w14:paraId="28FEDEF6" w14:textId="77777777" w:rsidR="002C0FD9" w:rsidRPr="00CA25CF" w:rsidRDefault="002C0FD9" w:rsidP="00CA25CF">
            <w:pPr>
              <w:rPr>
                <w:rFonts w:cs="Arial"/>
                <w:color w:val="FF0000"/>
                <w:sz w:val="21"/>
                <w:szCs w:val="21"/>
              </w:rPr>
            </w:pPr>
          </w:p>
        </w:tc>
        <w:tc>
          <w:tcPr>
            <w:tcW w:w="217" w:type="dxa"/>
          </w:tcPr>
          <w:p w14:paraId="54BC3F75" w14:textId="77777777" w:rsidR="002C0FD9" w:rsidRPr="00CA25CF" w:rsidRDefault="002C0FD9" w:rsidP="00CA25CF">
            <w:pPr>
              <w:rPr>
                <w:rFonts w:cs="Arial"/>
                <w:color w:val="FF0000"/>
                <w:sz w:val="21"/>
                <w:szCs w:val="21"/>
              </w:rPr>
            </w:pPr>
          </w:p>
        </w:tc>
        <w:tc>
          <w:tcPr>
            <w:tcW w:w="217" w:type="dxa"/>
          </w:tcPr>
          <w:p w14:paraId="54DB5F44" w14:textId="77777777" w:rsidR="002C0FD9" w:rsidRPr="00CA25CF" w:rsidRDefault="002C0FD9" w:rsidP="00CA25CF">
            <w:pPr>
              <w:rPr>
                <w:rFonts w:cs="Arial"/>
                <w:color w:val="FF0000"/>
                <w:sz w:val="21"/>
                <w:szCs w:val="21"/>
              </w:rPr>
            </w:pPr>
          </w:p>
        </w:tc>
        <w:tc>
          <w:tcPr>
            <w:tcW w:w="217" w:type="dxa"/>
          </w:tcPr>
          <w:p w14:paraId="7EE2A5E4" w14:textId="77777777" w:rsidR="002C0FD9" w:rsidRPr="00CA25CF" w:rsidRDefault="002C0FD9" w:rsidP="00CA25CF">
            <w:pPr>
              <w:rPr>
                <w:rFonts w:cs="Arial"/>
                <w:color w:val="FF0000"/>
                <w:sz w:val="21"/>
                <w:szCs w:val="21"/>
              </w:rPr>
            </w:pPr>
          </w:p>
        </w:tc>
        <w:tc>
          <w:tcPr>
            <w:tcW w:w="217" w:type="dxa"/>
          </w:tcPr>
          <w:p w14:paraId="58031523" w14:textId="77777777" w:rsidR="002C0FD9" w:rsidRPr="00CA25CF" w:rsidRDefault="002C0FD9" w:rsidP="00CA25CF">
            <w:pPr>
              <w:rPr>
                <w:rFonts w:cs="Arial"/>
                <w:color w:val="FF0000"/>
                <w:sz w:val="21"/>
                <w:szCs w:val="21"/>
              </w:rPr>
            </w:pPr>
          </w:p>
        </w:tc>
      </w:tr>
      <w:tr w:rsidR="002C0FD9" w:rsidRPr="00A16219" w14:paraId="714798BC" w14:textId="77777777" w:rsidTr="002C0FD9">
        <w:trPr>
          <w:trHeight w:val="635"/>
        </w:trPr>
        <w:tc>
          <w:tcPr>
            <w:tcW w:w="515" w:type="dxa"/>
          </w:tcPr>
          <w:p w14:paraId="2CA44916" w14:textId="77777777" w:rsidR="002C0FD9" w:rsidRPr="00CA25CF" w:rsidRDefault="002C0FD9" w:rsidP="00CA25CF">
            <w:pPr>
              <w:rPr>
                <w:rFonts w:cs="Arial"/>
                <w:color w:val="FF0000"/>
                <w:sz w:val="21"/>
                <w:szCs w:val="21"/>
              </w:rPr>
            </w:pPr>
          </w:p>
        </w:tc>
        <w:tc>
          <w:tcPr>
            <w:tcW w:w="217" w:type="dxa"/>
          </w:tcPr>
          <w:p w14:paraId="35949EFE" w14:textId="77777777" w:rsidR="002C0FD9" w:rsidRPr="00CA25CF" w:rsidRDefault="002C0FD9" w:rsidP="00CA25CF">
            <w:pPr>
              <w:rPr>
                <w:rFonts w:cs="Arial"/>
                <w:color w:val="FF0000"/>
                <w:sz w:val="21"/>
                <w:szCs w:val="21"/>
              </w:rPr>
            </w:pPr>
          </w:p>
        </w:tc>
        <w:tc>
          <w:tcPr>
            <w:tcW w:w="217" w:type="dxa"/>
          </w:tcPr>
          <w:p w14:paraId="21A4537D" w14:textId="77777777" w:rsidR="002C0FD9" w:rsidRPr="00CA25CF" w:rsidRDefault="002C0FD9" w:rsidP="00CA25CF">
            <w:pPr>
              <w:rPr>
                <w:rFonts w:cs="Arial"/>
                <w:color w:val="FF0000"/>
                <w:sz w:val="21"/>
                <w:szCs w:val="21"/>
              </w:rPr>
            </w:pPr>
          </w:p>
        </w:tc>
        <w:tc>
          <w:tcPr>
            <w:tcW w:w="217" w:type="dxa"/>
          </w:tcPr>
          <w:p w14:paraId="38239463" w14:textId="77777777" w:rsidR="002C0FD9" w:rsidRPr="00CA25CF" w:rsidRDefault="002C0FD9" w:rsidP="00CA25CF">
            <w:pPr>
              <w:rPr>
                <w:rFonts w:cs="Arial"/>
                <w:color w:val="FF0000"/>
                <w:sz w:val="21"/>
                <w:szCs w:val="21"/>
              </w:rPr>
            </w:pPr>
          </w:p>
        </w:tc>
        <w:tc>
          <w:tcPr>
            <w:tcW w:w="217" w:type="dxa"/>
          </w:tcPr>
          <w:p w14:paraId="480079B9" w14:textId="77777777" w:rsidR="002C0FD9" w:rsidRPr="00CA25CF" w:rsidRDefault="002C0FD9" w:rsidP="00CA25CF">
            <w:pPr>
              <w:rPr>
                <w:rFonts w:cs="Arial"/>
                <w:color w:val="FF0000"/>
                <w:sz w:val="21"/>
                <w:szCs w:val="21"/>
              </w:rPr>
            </w:pPr>
          </w:p>
        </w:tc>
        <w:tc>
          <w:tcPr>
            <w:tcW w:w="217" w:type="dxa"/>
          </w:tcPr>
          <w:p w14:paraId="554A8D4A" w14:textId="77777777" w:rsidR="002C0FD9" w:rsidRPr="00CA25CF" w:rsidRDefault="002C0FD9" w:rsidP="00CA25CF">
            <w:pPr>
              <w:rPr>
                <w:rFonts w:cs="Arial"/>
                <w:color w:val="FF0000"/>
                <w:sz w:val="21"/>
                <w:szCs w:val="21"/>
              </w:rPr>
            </w:pPr>
          </w:p>
        </w:tc>
        <w:tc>
          <w:tcPr>
            <w:tcW w:w="217" w:type="dxa"/>
          </w:tcPr>
          <w:p w14:paraId="281B3CFB" w14:textId="77777777" w:rsidR="002C0FD9" w:rsidRPr="00CA25CF" w:rsidRDefault="002C0FD9" w:rsidP="00CA25CF">
            <w:pPr>
              <w:rPr>
                <w:rFonts w:cs="Arial"/>
                <w:color w:val="FF0000"/>
                <w:sz w:val="21"/>
                <w:szCs w:val="21"/>
              </w:rPr>
            </w:pPr>
          </w:p>
        </w:tc>
        <w:tc>
          <w:tcPr>
            <w:tcW w:w="217" w:type="dxa"/>
          </w:tcPr>
          <w:p w14:paraId="37FF2EA5" w14:textId="77777777" w:rsidR="002C0FD9" w:rsidRPr="00CA25CF" w:rsidRDefault="002C0FD9" w:rsidP="00CA25CF">
            <w:pPr>
              <w:rPr>
                <w:rFonts w:cs="Arial"/>
                <w:color w:val="FF0000"/>
                <w:sz w:val="21"/>
                <w:szCs w:val="21"/>
              </w:rPr>
            </w:pPr>
          </w:p>
        </w:tc>
        <w:tc>
          <w:tcPr>
            <w:tcW w:w="217" w:type="dxa"/>
          </w:tcPr>
          <w:p w14:paraId="53AD3207" w14:textId="77777777" w:rsidR="002C0FD9" w:rsidRPr="00CA25CF" w:rsidRDefault="002C0FD9" w:rsidP="00CA25CF">
            <w:pPr>
              <w:rPr>
                <w:rFonts w:cs="Arial"/>
                <w:color w:val="FF0000"/>
                <w:sz w:val="21"/>
                <w:szCs w:val="21"/>
              </w:rPr>
            </w:pPr>
          </w:p>
        </w:tc>
        <w:tc>
          <w:tcPr>
            <w:tcW w:w="217" w:type="dxa"/>
          </w:tcPr>
          <w:p w14:paraId="36651853" w14:textId="77777777" w:rsidR="002C0FD9" w:rsidRPr="00CA25CF" w:rsidRDefault="002C0FD9" w:rsidP="00CA25CF">
            <w:pPr>
              <w:rPr>
                <w:rFonts w:cs="Arial"/>
                <w:color w:val="FF0000"/>
                <w:sz w:val="21"/>
                <w:szCs w:val="21"/>
              </w:rPr>
            </w:pPr>
          </w:p>
        </w:tc>
        <w:tc>
          <w:tcPr>
            <w:tcW w:w="217" w:type="dxa"/>
          </w:tcPr>
          <w:p w14:paraId="5F630390" w14:textId="77777777" w:rsidR="002C0FD9" w:rsidRPr="00CA25CF" w:rsidRDefault="002C0FD9" w:rsidP="00CA25CF">
            <w:pPr>
              <w:rPr>
                <w:rFonts w:cs="Arial"/>
                <w:color w:val="FF0000"/>
                <w:sz w:val="21"/>
                <w:szCs w:val="21"/>
              </w:rPr>
            </w:pPr>
          </w:p>
        </w:tc>
        <w:tc>
          <w:tcPr>
            <w:tcW w:w="217" w:type="dxa"/>
          </w:tcPr>
          <w:p w14:paraId="748C9C3A" w14:textId="77777777" w:rsidR="002C0FD9" w:rsidRPr="00CA25CF" w:rsidRDefault="002C0FD9" w:rsidP="00CA25CF">
            <w:pPr>
              <w:rPr>
                <w:rFonts w:cs="Arial"/>
                <w:color w:val="FF0000"/>
                <w:sz w:val="21"/>
                <w:szCs w:val="21"/>
              </w:rPr>
            </w:pPr>
          </w:p>
        </w:tc>
        <w:tc>
          <w:tcPr>
            <w:tcW w:w="217" w:type="dxa"/>
          </w:tcPr>
          <w:p w14:paraId="51525302" w14:textId="77777777" w:rsidR="002C0FD9" w:rsidRPr="00CA25CF" w:rsidRDefault="002C0FD9" w:rsidP="00CA25CF">
            <w:pPr>
              <w:rPr>
                <w:rFonts w:cs="Arial"/>
                <w:color w:val="FF0000"/>
                <w:sz w:val="21"/>
                <w:szCs w:val="21"/>
              </w:rPr>
            </w:pPr>
          </w:p>
        </w:tc>
        <w:tc>
          <w:tcPr>
            <w:tcW w:w="217" w:type="dxa"/>
          </w:tcPr>
          <w:p w14:paraId="5E4749D1" w14:textId="77777777" w:rsidR="002C0FD9" w:rsidRPr="00CA25CF" w:rsidRDefault="002C0FD9" w:rsidP="00CA25CF">
            <w:pPr>
              <w:rPr>
                <w:rFonts w:cs="Arial"/>
                <w:color w:val="FF0000"/>
                <w:sz w:val="21"/>
                <w:szCs w:val="21"/>
              </w:rPr>
            </w:pPr>
          </w:p>
        </w:tc>
        <w:tc>
          <w:tcPr>
            <w:tcW w:w="217" w:type="dxa"/>
          </w:tcPr>
          <w:p w14:paraId="6FE7CBD0" w14:textId="77777777" w:rsidR="002C0FD9" w:rsidRPr="00CA25CF" w:rsidRDefault="002C0FD9" w:rsidP="00CA25CF">
            <w:pPr>
              <w:rPr>
                <w:rFonts w:cs="Arial"/>
                <w:color w:val="FF0000"/>
                <w:sz w:val="21"/>
                <w:szCs w:val="21"/>
              </w:rPr>
            </w:pPr>
          </w:p>
        </w:tc>
        <w:tc>
          <w:tcPr>
            <w:tcW w:w="217" w:type="dxa"/>
          </w:tcPr>
          <w:p w14:paraId="2A82D231" w14:textId="77777777" w:rsidR="002C0FD9" w:rsidRPr="00CA25CF" w:rsidRDefault="002C0FD9" w:rsidP="00CA25CF">
            <w:pPr>
              <w:rPr>
                <w:rFonts w:cs="Arial"/>
                <w:color w:val="FF0000"/>
                <w:sz w:val="21"/>
                <w:szCs w:val="21"/>
              </w:rPr>
            </w:pPr>
          </w:p>
        </w:tc>
        <w:tc>
          <w:tcPr>
            <w:tcW w:w="217" w:type="dxa"/>
          </w:tcPr>
          <w:p w14:paraId="77C65D5E" w14:textId="77777777" w:rsidR="002C0FD9" w:rsidRPr="00CA25CF" w:rsidRDefault="002C0FD9" w:rsidP="00CA25CF">
            <w:pPr>
              <w:rPr>
                <w:rFonts w:cs="Arial"/>
                <w:color w:val="FF0000"/>
                <w:sz w:val="21"/>
                <w:szCs w:val="21"/>
              </w:rPr>
            </w:pPr>
          </w:p>
        </w:tc>
        <w:tc>
          <w:tcPr>
            <w:tcW w:w="217" w:type="dxa"/>
          </w:tcPr>
          <w:p w14:paraId="0FF8C880" w14:textId="77777777" w:rsidR="002C0FD9" w:rsidRPr="00CA25CF" w:rsidRDefault="002C0FD9" w:rsidP="00CA25CF">
            <w:pPr>
              <w:rPr>
                <w:rFonts w:cs="Arial"/>
                <w:color w:val="FF0000"/>
                <w:sz w:val="21"/>
                <w:szCs w:val="21"/>
              </w:rPr>
            </w:pPr>
          </w:p>
        </w:tc>
        <w:tc>
          <w:tcPr>
            <w:tcW w:w="217" w:type="dxa"/>
          </w:tcPr>
          <w:p w14:paraId="563098CF" w14:textId="77777777" w:rsidR="002C0FD9" w:rsidRPr="00CA25CF" w:rsidRDefault="002C0FD9" w:rsidP="00CA25CF">
            <w:pPr>
              <w:rPr>
                <w:rFonts w:cs="Arial"/>
                <w:color w:val="FF0000"/>
                <w:sz w:val="21"/>
                <w:szCs w:val="21"/>
              </w:rPr>
            </w:pPr>
          </w:p>
        </w:tc>
        <w:tc>
          <w:tcPr>
            <w:tcW w:w="217" w:type="dxa"/>
          </w:tcPr>
          <w:p w14:paraId="216333E3" w14:textId="77777777" w:rsidR="002C0FD9" w:rsidRPr="00CA25CF" w:rsidRDefault="002C0FD9" w:rsidP="00CA25CF">
            <w:pPr>
              <w:rPr>
                <w:rFonts w:cs="Arial"/>
                <w:color w:val="FF0000"/>
                <w:sz w:val="21"/>
                <w:szCs w:val="21"/>
              </w:rPr>
            </w:pPr>
          </w:p>
        </w:tc>
        <w:tc>
          <w:tcPr>
            <w:tcW w:w="217" w:type="dxa"/>
          </w:tcPr>
          <w:p w14:paraId="75CA5A83" w14:textId="77777777" w:rsidR="002C0FD9" w:rsidRPr="00CA25CF" w:rsidRDefault="002C0FD9" w:rsidP="00CA25CF">
            <w:pPr>
              <w:rPr>
                <w:rFonts w:cs="Arial"/>
                <w:color w:val="FF0000"/>
                <w:sz w:val="21"/>
                <w:szCs w:val="21"/>
              </w:rPr>
            </w:pPr>
          </w:p>
        </w:tc>
        <w:tc>
          <w:tcPr>
            <w:tcW w:w="217" w:type="dxa"/>
          </w:tcPr>
          <w:p w14:paraId="6EFF45A1" w14:textId="77777777" w:rsidR="002C0FD9" w:rsidRPr="00CA25CF" w:rsidRDefault="002C0FD9" w:rsidP="00CA25CF">
            <w:pPr>
              <w:rPr>
                <w:rFonts w:cs="Arial"/>
                <w:color w:val="FF0000"/>
                <w:sz w:val="21"/>
                <w:szCs w:val="21"/>
              </w:rPr>
            </w:pPr>
          </w:p>
        </w:tc>
        <w:tc>
          <w:tcPr>
            <w:tcW w:w="217" w:type="dxa"/>
          </w:tcPr>
          <w:p w14:paraId="521F1CDC" w14:textId="77777777" w:rsidR="002C0FD9" w:rsidRPr="00CA25CF" w:rsidRDefault="002C0FD9" w:rsidP="00CA25CF">
            <w:pPr>
              <w:rPr>
                <w:rFonts w:cs="Arial"/>
                <w:color w:val="FF0000"/>
                <w:sz w:val="21"/>
                <w:szCs w:val="21"/>
              </w:rPr>
            </w:pPr>
          </w:p>
        </w:tc>
        <w:tc>
          <w:tcPr>
            <w:tcW w:w="217" w:type="dxa"/>
          </w:tcPr>
          <w:p w14:paraId="0EA30901" w14:textId="77777777" w:rsidR="002C0FD9" w:rsidRPr="00CA25CF" w:rsidRDefault="002C0FD9" w:rsidP="00CA25CF">
            <w:pPr>
              <w:rPr>
                <w:rFonts w:cs="Arial"/>
                <w:color w:val="FF0000"/>
                <w:sz w:val="21"/>
                <w:szCs w:val="21"/>
              </w:rPr>
            </w:pPr>
          </w:p>
        </w:tc>
        <w:tc>
          <w:tcPr>
            <w:tcW w:w="217" w:type="dxa"/>
          </w:tcPr>
          <w:p w14:paraId="1F9D201D" w14:textId="77777777" w:rsidR="002C0FD9" w:rsidRPr="00CA25CF" w:rsidRDefault="002C0FD9" w:rsidP="00CA25CF">
            <w:pPr>
              <w:rPr>
                <w:rFonts w:cs="Arial"/>
                <w:color w:val="FF0000"/>
                <w:sz w:val="21"/>
                <w:szCs w:val="21"/>
              </w:rPr>
            </w:pPr>
          </w:p>
        </w:tc>
        <w:tc>
          <w:tcPr>
            <w:tcW w:w="217" w:type="dxa"/>
          </w:tcPr>
          <w:p w14:paraId="69E5CD94" w14:textId="77777777" w:rsidR="002C0FD9" w:rsidRPr="00CA25CF" w:rsidRDefault="002C0FD9" w:rsidP="00CA25CF">
            <w:pPr>
              <w:rPr>
                <w:rFonts w:cs="Arial"/>
                <w:color w:val="FF0000"/>
                <w:sz w:val="21"/>
                <w:szCs w:val="21"/>
              </w:rPr>
            </w:pPr>
          </w:p>
        </w:tc>
        <w:tc>
          <w:tcPr>
            <w:tcW w:w="217" w:type="dxa"/>
          </w:tcPr>
          <w:p w14:paraId="300C86D3" w14:textId="77777777" w:rsidR="002C0FD9" w:rsidRPr="00CA25CF" w:rsidRDefault="002C0FD9" w:rsidP="00CA25CF">
            <w:pPr>
              <w:rPr>
                <w:rFonts w:cs="Arial"/>
                <w:color w:val="FF0000"/>
                <w:sz w:val="21"/>
                <w:szCs w:val="21"/>
              </w:rPr>
            </w:pPr>
          </w:p>
        </w:tc>
        <w:tc>
          <w:tcPr>
            <w:tcW w:w="217" w:type="dxa"/>
          </w:tcPr>
          <w:p w14:paraId="6B9D213E" w14:textId="77777777" w:rsidR="002C0FD9" w:rsidRPr="00CA25CF" w:rsidRDefault="002C0FD9" w:rsidP="00CA25CF">
            <w:pPr>
              <w:rPr>
                <w:rFonts w:cs="Arial"/>
                <w:color w:val="FF0000"/>
                <w:sz w:val="21"/>
                <w:szCs w:val="21"/>
              </w:rPr>
            </w:pPr>
          </w:p>
        </w:tc>
        <w:tc>
          <w:tcPr>
            <w:tcW w:w="217" w:type="dxa"/>
          </w:tcPr>
          <w:p w14:paraId="06114A80" w14:textId="77777777" w:rsidR="002C0FD9" w:rsidRPr="00CA25CF" w:rsidRDefault="002C0FD9" w:rsidP="00CA25CF">
            <w:pPr>
              <w:rPr>
                <w:rFonts w:cs="Arial"/>
                <w:color w:val="FF0000"/>
                <w:sz w:val="21"/>
                <w:szCs w:val="21"/>
              </w:rPr>
            </w:pPr>
          </w:p>
        </w:tc>
        <w:tc>
          <w:tcPr>
            <w:tcW w:w="217" w:type="dxa"/>
          </w:tcPr>
          <w:p w14:paraId="6063D775" w14:textId="77777777" w:rsidR="002C0FD9" w:rsidRPr="00CA25CF" w:rsidRDefault="002C0FD9" w:rsidP="00CA25CF">
            <w:pPr>
              <w:rPr>
                <w:rFonts w:cs="Arial"/>
                <w:color w:val="FF0000"/>
                <w:sz w:val="21"/>
                <w:szCs w:val="21"/>
              </w:rPr>
            </w:pPr>
          </w:p>
        </w:tc>
        <w:tc>
          <w:tcPr>
            <w:tcW w:w="217" w:type="dxa"/>
          </w:tcPr>
          <w:p w14:paraId="714D7DDD" w14:textId="77777777" w:rsidR="002C0FD9" w:rsidRPr="00CA25CF" w:rsidRDefault="002C0FD9" w:rsidP="00CA25CF">
            <w:pPr>
              <w:rPr>
                <w:rFonts w:cs="Arial"/>
                <w:color w:val="FF0000"/>
                <w:sz w:val="21"/>
                <w:szCs w:val="21"/>
              </w:rPr>
            </w:pPr>
          </w:p>
        </w:tc>
        <w:tc>
          <w:tcPr>
            <w:tcW w:w="217" w:type="dxa"/>
          </w:tcPr>
          <w:p w14:paraId="44E289BC" w14:textId="77777777" w:rsidR="002C0FD9" w:rsidRPr="00CA25CF" w:rsidRDefault="002C0FD9" w:rsidP="00CA25CF">
            <w:pPr>
              <w:rPr>
                <w:rFonts w:cs="Arial"/>
                <w:color w:val="FF0000"/>
                <w:sz w:val="21"/>
                <w:szCs w:val="21"/>
              </w:rPr>
            </w:pPr>
          </w:p>
        </w:tc>
        <w:tc>
          <w:tcPr>
            <w:tcW w:w="217" w:type="dxa"/>
          </w:tcPr>
          <w:p w14:paraId="41CAD447" w14:textId="77777777" w:rsidR="002C0FD9" w:rsidRPr="00CA25CF" w:rsidRDefault="002C0FD9" w:rsidP="00CA25CF">
            <w:pPr>
              <w:rPr>
                <w:rFonts w:cs="Arial"/>
                <w:color w:val="FF0000"/>
                <w:sz w:val="21"/>
                <w:szCs w:val="21"/>
              </w:rPr>
            </w:pPr>
          </w:p>
        </w:tc>
        <w:tc>
          <w:tcPr>
            <w:tcW w:w="217" w:type="dxa"/>
          </w:tcPr>
          <w:p w14:paraId="1D3E7F9D" w14:textId="77777777" w:rsidR="002C0FD9" w:rsidRPr="00CA25CF" w:rsidRDefault="002C0FD9" w:rsidP="00CA25CF">
            <w:pPr>
              <w:rPr>
                <w:rFonts w:cs="Arial"/>
                <w:color w:val="FF0000"/>
                <w:sz w:val="21"/>
                <w:szCs w:val="21"/>
              </w:rPr>
            </w:pPr>
          </w:p>
        </w:tc>
        <w:tc>
          <w:tcPr>
            <w:tcW w:w="217" w:type="dxa"/>
          </w:tcPr>
          <w:p w14:paraId="01B25905" w14:textId="77777777" w:rsidR="002C0FD9" w:rsidRPr="00CA25CF" w:rsidRDefault="002C0FD9" w:rsidP="00CA25CF">
            <w:pPr>
              <w:rPr>
                <w:rFonts w:cs="Arial"/>
                <w:color w:val="FF0000"/>
                <w:sz w:val="21"/>
                <w:szCs w:val="21"/>
              </w:rPr>
            </w:pPr>
          </w:p>
        </w:tc>
        <w:tc>
          <w:tcPr>
            <w:tcW w:w="217" w:type="dxa"/>
          </w:tcPr>
          <w:p w14:paraId="320DC406" w14:textId="77777777" w:rsidR="002C0FD9" w:rsidRPr="00CA25CF" w:rsidRDefault="002C0FD9" w:rsidP="00CA25CF">
            <w:pPr>
              <w:rPr>
                <w:rFonts w:cs="Arial"/>
                <w:color w:val="FF0000"/>
                <w:sz w:val="21"/>
                <w:szCs w:val="21"/>
              </w:rPr>
            </w:pPr>
          </w:p>
        </w:tc>
        <w:tc>
          <w:tcPr>
            <w:tcW w:w="217" w:type="dxa"/>
          </w:tcPr>
          <w:p w14:paraId="5525DE4A" w14:textId="77777777" w:rsidR="002C0FD9" w:rsidRPr="00CA25CF" w:rsidRDefault="002C0FD9" w:rsidP="00CA25CF">
            <w:pPr>
              <w:rPr>
                <w:rFonts w:cs="Arial"/>
                <w:color w:val="FF0000"/>
                <w:sz w:val="21"/>
                <w:szCs w:val="21"/>
              </w:rPr>
            </w:pPr>
          </w:p>
        </w:tc>
        <w:tc>
          <w:tcPr>
            <w:tcW w:w="217" w:type="dxa"/>
          </w:tcPr>
          <w:p w14:paraId="28CDB1FF" w14:textId="77777777" w:rsidR="002C0FD9" w:rsidRPr="00CA25CF" w:rsidRDefault="002C0FD9" w:rsidP="00CA25CF">
            <w:pPr>
              <w:rPr>
                <w:rFonts w:cs="Arial"/>
                <w:color w:val="FF0000"/>
                <w:sz w:val="21"/>
                <w:szCs w:val="21"/>
              </w:rPr>
            </w:pPr>
          </w:p>
        </w:tc>
        <w:tc>
          <w:tcPr>
            <w:tcW w:w="217" w:type="dxa"/>
          </w:tcPr>
          <w:p w14:paraId="763259CD" w14:textId="77777777" w:rsidR="002C0FD9" w:rsidRPr="00CA25CF" w:rsidRDefault="002C0FD9" w:rsidP="00CA25CF">
            <w:pPr>
              <w:rPr>
                <w:rFonts w:cs="Arial"/>
                <w:color w:val="FF0000"/>
                <w:sz w:val="21"/>
                <w:szCs w:val="21"/>
              </w:rPr>
            </w:pPr>
          </w:p>
        </w:tc>
        <w:tc>
          <w:tcPr>
            <w:tcW w:w="217" w:type="dxa"/>
          </w:tcPr>
          <w:p w14:paraId="04AC0955" w14:textId="77777777" w:rsidR="002C0FD9" w:rsidRPr="00CA25CF" w:rsidRDefault="002C0FD9" w:rsidP="00CA25CF">
            <w:pPr>
              <w:rPr>
                <w:rFonts w:cs="Arial"/>
                <w:color w:val="FF0000"/>
                <w:sz w:val="21"/>
                <w:szCs w:val="21"/>
              </w:rPr>
            </w:pPr>
          </w:p>
        </w:tc>
        <w:tc>
          <w:tcPr>
            <w:tcW w:w="217" w:type="dxa"/>
          </w:tcPr>
          <w:p w14:paraId="56EEBF18" w14:textId="77777777" w:rsidR="002C0FD9" w:rsidRPr="00CA25CF" w:rsidRDefault="002C0FD9" w:rsidP="00CA25CF">
            <w:pPr>
              <w:rPr>
                <w:rFonts w:cs="Arial"/>
                <w:color w:val="FF0000"/>
                <w:sz w:val="21"/>
                <w:szCs w:val="21"/>
              </w:rPr>
            </w:pPr>
          </w:p>
        </w:tc>
        <w:tc>
          <w:tcPr>
            <w:tcW w:w="217" w:type="dxa"/>
          </w:tcPr>
          <w:p w14:paraId="2025E4EC" w14:textId="77777777" w:rsidR="002C0FD9" w:rsidRPr="00CA25CF" w:rsidRDefault="002C0FD9" w:rsidP="00CA25CF">
            <w:pPr>
              <w:rPr>
                <w:rFonts w:cs="Arial"/>
                <w:color w:val="FF0000"/>
                <w:sz w:val="21"/>
                <w:szCs w:val="21"/>
              </w:rPr>
            </w:pPr>
          </w:p>
        </w:tc>
        <w:tc>
          <w:tcPr>
            <w:tcW w:w="217" w:type="dxa"/>
          </w:tcPr>
          <w:p w14:paraId="68CBE61B" w14:textId="77777777" w:rsidR="002C0FD9" w:rsidRPr="00CA25CF" w:rsidRDefault="002C0FD9" w:rsidP="00CA25CF">
            <w:pPr>
              <w:rPr>
                <w:rFonts w:cs="Arial"/>
                <w:color w:val="FF0000"/>
                <w:sz w:val="21"/>
                <w:szCs w:val="21"/>
              </w:rPr>
            </w:pPr>
          </w:p>
        </w:tc>
      </w:tr>
      <w:tr w:rsidR="002C0FD9" w:rsidRPr="00A16219" w14:paraId="45CE0CF8" w14:textId="77777777" w:rsidTr="002C0FD9">
        <w:trPr>
          <w:trHeight w:val="635"/>
        </w:trPr>
        <w:tc>
          <w:tcPr>
            <w:tcW w:w="515" w:type="dxa"/>
          </w:tcPr>
          <w:p w14:paraId="62BB58F5" w14:textId="77777777" w:rsidR="002C0FD9" w:rsidRPr="00CA25CF" w:rsidRDefault="002C0FD9" w:rsidP="00CA25CF">
            <w:pPr>
              <w:rPr>
                <w:rFonts w:cs="Arial"/>
                <w:color w:val="FF0000"/>
                <w:sz w:val="21"/>
                <w:szCs w:val="21"/>
              </w:rPr>
            </w:pPr>
          </w:p>
        </w:tc>
        <w:tc>
          <w:tcPr>
            <w:tcW w:w="217" w:type="dxa"/>
          </w:tcPr>
          <w:p w14:paraId="4850A82A" w14:textId="77777777" w:rsidR="002C0FD9" w:rsidRPr="00CA25CF" w:rsidRDefault="002C0FD9" w:rsidP="00CA25CF">
            <w:pPr>
              <w:rPr>
                <w:rFonts w:cs="Arial"/>
                <w:color w:val="FF0000"/>
                <w:sz w:val="21"/>
                <w:szCs w:val="21"/>
              </w:rPr>
            </w:pPr>
          </w:p>
        </w:tc>
        <w:tc>
          <w:tcPr>
            <w:tcW w:w="217" w:type="dxa"/>
          </w:tcPr>
          <w:p w14:paraId="59502215" w14:textId="77777777" w:rsidR="002C0FD9" w:rsidRPr="00CA25CF" w:rsidRDefault="002C0FD9" w:rsidP="00CA25CF">
            <w:pPr>
              <w:rPr>
                <w:rFonts w:cs="Arial"/>
                <w:color w:val="FF0000"/>
                <w:sz w:val="21"/>
                <w:szCs w:val="21"/>
              </w:rPr>
            </w:pPr>
          </w:p>
        </w:tc>
        <w:tc>
          <w:tcPr>
            <w:tcW w:w="217" w:type="dxa"/>
          </w:tcPr>
          <w:p w14:paraId="72385CC3" w14:textId="77777777" w:rsidR="002C0FD9" w:rsidRPr="00CA25CF" w:rsidRDefault="002C0FD9" w:rsidP="00CA25CF">
            <w:pPr>
              <w:rPr>
                <w:rFonts w:cs="Arial"/>
                <w:color w:val="FF0000"/>
                <w:sz w:val="21"/>
                <w:szCs w:val="21"/>
              </w:rPr>
            </w:pPr>
          </w:p>
        </w:tc>
        <w:tc>
          <w:tcPr>
            <w:tcW w:w="217" w:type="dxa"/>
          </w:tcPr>
          <w:p w14:paraId="774B9C92" w14:textId="77777777" w:rsidR="002C0FD9" w:rsidRPr="00CA25CF" w:rsidRDefault="002C0FD9" w:rsidP="00CA25CF">
            <w:pPr>
              <w:rPr>
                <w:rFonts w:cs="Arial"/>
                <w:color w:val="FF0000"/>
                <w:sz w:val="21"/>
                <w:szCs w:val="21"/>
              </w:rPr>
            </w:pPr>
          </w:p>
        </w:tc>
        <w:tc>
          <w:tcPr>
            <w:tcW w:w="217" w:type="dxa"/>
          </w:tcPr>
          <w:p w14:paraId="2AC29749" w14:textId="77777777" w:rsidR="002C0FD9" w:rsidRPr="00CA25CF" w:rsidRDefault="002C0FD9" w:rsidP="00CA25CF">
            <w:pPr>
              <w:rPr>
                <w:rFonts w:cs="Arial"/>
                <w:color w:val="FF0000"/>
                <w:sz w:val="21"/>
                <w:szCs w:val="21"/>
              </w:rPr>
            </w:pPr>
          </w:p>
        </w:tc>
        <w:tc>
          <w:tcPr>
            <w:tcW w:w="217" w:type="dxa"/>
          </w:tcPr>
          <w:p w14:paraId="063283F2" w14:textId="77777777" w:rsidR="002C0FD9" w:rsidRPr="00CA25CF" w:rsidRDefault="002C0FD9" w:rsidP="00CA25CF">
            <w:pPr>
              <w:rPr>
                <w:rFonts w:cs="Arial"/>
                <w:color w:val="FF0000"/>
                <w:sz w:val="21"/>
                <w:szCs w:val="21"/>
              </w:rPr>
            </w:pPr>
          </w:p>
        </w:tc>
        <w:tc>
          <w:tcPr>
            <w:tcW w:w="217" w:type="dxa"/>
          </w:tcPr>
          <w:p w14:paraId="5AFC85C6" w14:textId="77777777" w:rsidR="002C0FD9" w:rsidRPr="00CA25CF" w:rsidRDefault="002C0FD9" w:rsidP="00CA25CF">
            <w:pPr>
              <w:rPr>
                <w:rFonts w:cs="Arial"/>
                <w:color w:val="FF0000"/>
                <w:sz w:val="21"/>
                <w:szCs w:val="21"/>
              </w:rPr>
            </w:pPr>
          </w:p>
        </w:tc>
        <w:tc>
          <w:tcPr>
            <w:tcW w:w="217" w:type="dxa"/>
          </w:tcPr>
          <w:p w14:paraId="24A4D2E0" w14:textId="77777777" w:rsidR="002C0FD9" w:rsidRPr="00CA25CF" w:rsidRDefault="002C0FD9" w:rsidP="00CA25CF">
            <w:pPr>
              <w:rPr>
                <w:rFonts w:cs="Arial"/>
                <w:color w:val="FF0000"/>
                <w:sz w:val="21"/>
                <w:szCs w:val="21"/>
              </w:rPr>
            </w:pPr>
          </w:p>
        </w:tc>
        <w:tc>
          <w:tcPr>
            <w:tcW w:w="217" w:type="dxa"/>
          </w:tcPr>
          <w:p w14:paraId="623A9BF6" w14:textId="77777777" w:rsidR="002C0FD9" w:rsidRPr="00CA25CF" w:rsidRDefault="002C0FD9" w:rsidP="00CA25CF">
            <w:pPr>
              <w:rPr>
                <w:rFonts w:cs="Arial"/>
                <w:color w:val="FF0000"/>
                <w:sz w:val="21"/>
                <w:szCs w:val="21"/>
              </w:rPr>
            </w:pPr>
          </w:p>
        </w:tc>
        <w:tc>
          <w:tcPr>
            <w:tcW w:w="217" w:type="dxa"/>
          </w:tcPr>
          <w:p w14:paraId="7D7E1C3B" w14:textId="77777777" w:rsidR="002C0FD9" w:rsidRPr="00CA25CF" w:rsidRDefault="002C0FD9" w:rsidP="00CA25CF">
            <w:pPr>
              <w:rPr>
                <w:rFonts w:cs="Arial"/>
                <w:color w:val="FF0000"/>
                <w:sz w:val="21"/>
                <w:szCs w:val="21"/>
              </w:rPr>
            </w:pPr>
          </w:p>
        </w:tc>
        <w:tc>
          <w:tcPr>
            <w:tcW w:w="217" w:type="dxa"/>
          </w:tcPr>
          <w:p w14:paraId="6A0E0AE7" w14:textId="77777777" w:rsidR="002C0FD9" w:rsidRPr="00CA25CF" w:rsidRDefault="002C0FD9" w:rsidP="00CA25CF">
            <w:pPr>
              <w:rPr>
                <w:rFonts w:cs="Arial"/>
                <w:color w:val="FF0000"/>
                <w:sz w:val="21"/>
                <w:szCs w:val="21"/>
              </w:rPr>
            </w:pPr>
          </w:p>
        </w:tc>
        <w:tc>
          <w:tcPr>
            <w:tcW w:w="217" w:type="dxa"/>
          </w:tcPr>
          <w:p w14:paraId="37C52958" w14:textId="77777777" w:rsidR="002C0FD9" w:rsidRPr="00CA25CF" w:rsidRDefault="002C0FD9" w:rsidP="00CA25CF">
            <w:pPr>
              <w:rPr>
                <w:rFonts w:cs="Arial"/>
                <w:color w:val="FF0000"/>
                <w:sz w:val="21"/>
                <w:szCs w:val="21"/>
              </w:rPr>
            </w:pPr>
          </w:p>
        </w:tc>
        <w:tc>
          <w:tcPr>
            <w:tcW w:w="217" w:type="dxa"/>
          </w:tcPr>
          <w:p w14:paraId="21CFDE40" w14:textId="77777777" w:rsidR="002C0FD9" w:rsidRPr="00CA25CF" w:rsidRDefault="002C0FD9" w:rsidP="00CA25CF">
            <w:pPr>
              <w:rPr>
                <w:rFonts w:cs="Arial"/>
                <w:color w:val="FF0000"/>
                <w:sz w:val="21"/>
                <w:szCs w:val="21"/>
              </w:rPr>
            </w:pPr>
          </w:p>
        </w:tc>
        <w:tc>
          <w:tcPr>
            <w:tcW w:w="217" w:type="dxa"/>
          </w:tcPr>
          <w:p w14:paraId="3E8E0974" w14:textId="77777777" w:rsidR="002C0FD9" w:rsidRPr="00CA25CF" w:rsidRDefault="002C0FD9" w:rsidP="00CA25CF">
            <w:pPr>
              <w:rPr>
                <w:rFonts w:cs="Arial"/>
                <w:color w:val="FF0000"/>
                <w:sz w:val="21"/>
                <w:szCs w:val="21"/>
              </w:rPr>
            </w:pPr>
          </w:p>
        </w:tc>
        <w:tc>
          <w:tcPr>
            <w:tcW w:w="217" w:type="dxa"/>
          </w:tcPr>
          <w:p w14:paraId="6A0D7690" w14:textId="77777777" w:rsidR="002C0FD9" w:rsidRPr="00CA25CF" w:rsidRDefault="002C0FD9" w:rsidP="00CA25CF">
            <w:pPr>
              <w:rPr>
                <w:rFonts w:cs="Arial"/>
                <w:color w:val="FF0000"/>
                <w:sz w:val="21"/>
                <w:szCs w:val="21"/>
              </w:rPr>
            </w:pPr>
          </w:p>
        </w:tc>
        <w:tc>
          <w:tcPr>
            <w:tcW w:w="217" w:type="dxa"/>
          </w:tcPr>
          <w:p w14:paraId="218A60D5" w14:textId="77777777" w:rsidR="002C0FD9" w:rsidRPr="00CA25CF" w:rsidRDefault="002C0FD9" w:rsidP="00CA25CF">
            <w:pPr>
              <w:rPr>
                <w:rFonts w:cs="Arial"/>
                <w:color w:val="FF0000"/>
                <w:sz w:val="21"/>
                <w:szCs w:val="21"/>
              </w:rPr>
            </w:pPr>
          </w:p>
        </w:tc>
        <w:tc>
          <w:tcPr>
            <w:tcW w:w="217" w:type="dxa"/>
          </w:tcPr>
          <w:p w14:paraId="54B1A225" w14:textId="77777777" w:rsidR="002C0FD9" w:rsidRPr="00CA25CF" w:rsidRDefault="002C0FD9" w:rsidP="00CA25CF">
            <w:pPr>
              <w:rPr>
                <w:rFonts w:cs="Arial"/>
                <w:color w:val="FF0000"/>
                <w:sz w:val="21"/>
                <w:szCs w:val="21"/>
              </w:rPr>
            </w:pPr>
          </w:p>
        </w:tc>
        <w:tc>
          <w:tcPr>
            <w:tcW w:w="217" w:type="dxa"/>
          </w:tcPr>
          <w:p w14:paraId="3DA64C52" w14:textId="77777777" w:rsidR="002C0FD9" w:rsidRPr="00CA25CF" w:rsidRDefault="002C0FD9" w:rsidP="00CA25CF">
            <w:pPr>
              <w:rPr>
                <w:rFonts w:cs="Arial"/>
                <w:color w:val="FF0000"/>
                <w:sz w:val="21"/>
                <w:szCs w:val="21"/>
              </w:rPr>
            </w:pPr>
          </w:p>
        </w:tc>
        <w:tc>
          <w:tcPr>
            <w:tcW w:w="217" w:type="dxa"/>
          </w:tcPr>
          <w:p w14:paraId="2FCAA854" w14:textId="77777777" w:rsidR="002C0FD9" w:rsidRPr="00CA25CF" w:rsidRDefault="002C0FD9" w:rsidP="00CA25CF">
            <w:pPr>
              <w:rPr>
                <w:rFonts w:cs="Arial"/>
                <w:color w:val="FF0000"/>
                <w:sz w:val="21"/>
                <w:szCs w:val="21"/>
              </w:rPr>
            </w:pPr>
          </w:p>
        </w:tc>
        <w:tc>
          <w:tcPr>
            <w:tcW w:w="217" w:type="dxa"/>
          </w:tcPr>
          <w:p w14:paraId="0CA85D62" w14:textId="77777777" w:rsidR="002C0FD9" w:rsidRPr="00CA25CF" w:rsidRDefault="002C0FD9" w:rsidP="00CA25CF">
            <w:pPr>
              <w:rPr>
                <w:rFonts w:cs="Arial"/>
                <w:color w:val="FF0000"/>
                <w:sz w:val="21"/>
                <w:szCs w:val="21"/>
              </w:rPr>
            </w:pPr>
          </w:p>
        </w:tc>
        <w:tc>
          <w:tcPr>
            <w:tcW w:w="217" w:type="dxa"/>
          </w:tcPr>
          <w:p w14:paraId="32133B4A" w14:textId="77777777" w:rsidR="002C0FD9" w:rsidRPr="00CA25CF" w:rsidRDefault="002C0FD9" w:rsidP="00CA25CF">
            <w:pPr>
              <w:rPr>
                <w:rFonts w:cs="Arial"/>
                <w:color w:val="FF0000"/>
                <w:sz w:val="21"/>
                <w:szCs w:val="21"/>
              </w:rPr>
            </w:pPr>
          </w:p>
        </w:tc>
        <w:tc>
          <w:tcPr>
            <w:tcW w:w="217" w:type="dxa"/>
          </w:tcPr>
          <w:p w14:paraId="26D652B0" w14:textId="77777777" w:rsidR="002C0FD9" w:rsidRPr="00CA25CF" w:rsidRDefault="002C0FD9" w:rsidP="00CA25CF">
            <w:pPr>
              <w:rPr>
                <w:rFonts w:cs="Arial"/>
                <w:color w:val="FF0000"/>
                <w:sz w:val="21"/>
                <w:szCs w:val="21"/>
              </w:rPr>
            </w:pPr>
          </w:p>
        </w:tc>
        <w:tc>
          <w:tcPr>
            <w:tcW w:w="217" w:type="dxa"/>
          </w:tcPr>
          <w:p w14:paraId="072EE463" w14:textId="77777777" w:rsidR="002C0FD9" w:rsidRPr="00CA25CF" w:rsidRDefault="002C0FD9" w:rsidP="00CA25CF">
            <w:pPr>
              <w:rPr>
                <w:rFonts w:cs="Arial"/>
                <w:color w:val="FF0000"/>
                <w:sz w:val="21"/>
                <w:szCs w:val="21"/>
              </w:rPr>
            </w:pPr>
          </w:p>
        </w:tc>
        <w:tc>
          <w:tcPr>
            <w:tcW w:w="217" w:type="dxa"/>
          </w:tcPr>
          <w:p w14:paraId="2CFC5127" w14:textId="77777777" w:rsidR="002C0FD9" w:rsidRPr="00CA25CF" w:rsidRDefault="002C0FD9" w:rsidP="00CA25CF">
            <w:pPr>
              <w:rPr>
                <w:rFonts w:cs="Arial"/>
                <w:color w:val="FF0000"/>
                <w:sz w:val="21"/>
                <w:szCs w:val="21"/>
              </w:rPr>
            </w:pPr>
          </w:p>
        </w:tc>
        <w:tc>
          <w:tcPr>
            <w:tcW w:w="217" w:type="dxa"/>
          </w:tcPr>
          <w:p w14:paraId="66C21EEE" w14:textId="77777777" w:rsidR="002C0FD9" w:rsidRPr="00CA25CF" w:rsidRDefault="002C0FD9" w:rsidP="00CA25CF">
            <w:pPr>
              <w:rPr>
                <w:rFonts w:cs="Arial"/>
                <w:color w:val="FF0000"/>
                <w:sz w:val="21"/>
                <w:szCs w:val="21"/>
              </w:rPr>
            </w:pPr>
          </w:p>
        </w:tc>
        <w:tc>
          <w:tcPr>
            <w:tcW w:w="217" w:type="dxa"/>
          </w:tcPr>
          <w:p w14:paraId="40298187" w14:textId="77777777" w:rsidR="002C0FD9" w:rsidRPr="00CA25CF" w:rsidRDefault="002C0FD9" w:rsidP="00CA25CF">
            <w:pPr>
              <w:rPr>
                <w:rFonts w:cs="Arial"/>
                <w:color w:val="FF0000"/>
                <w:sz w:val="21"/>
                <w:szCs w:val="21"/>
              </w:rPr>
            </w:pPr>
          </w:p>
        </w:tc>
        <w:tc>
          <w:tcPr>
            <w:tcW w:w="217" w:type="dxa"/>
          </w:tcPr>
          <w:p w14:paraId="135AF58E" w14:textId="77777777" w:rsidR="002C0FD9" w:rsidRPr="00CA25CF" w:rsidRDefault="002C0FD9" w:rsidP="00CA25CF">
            <w:pPr>
              <w:rPr>
                <w:rFonts w:cs="Arial"/>
                <w:color w:val="FF0000"/>
                <w:sz w:val="21"/>
                <w:szCs w:val="21"/>
              </w:rPr>
            </w:pPr>
          </w:p>
        </w:tc>
        <w:tc>
          <w:tcPr>
            <w:tcW w:w="217" w:type="dxa"/>
          </w:tcPr>
          <w:p w14:paraId="238B1670" w14:textId="77777777" w:rsidR="002C0FD9" w:rsidRPr="00CA25CF" w:rsidRDefault="002C0FD9" w:rsidP="00CA25CF">
            <w:pPr>
              <w:rPr>
                <w:rFonts w:cs="Arial"/>
                <w:color w:val="FF0000"/>
                <w:sz w:val="21"/>
                <w:szCs w:val="21"/>
              </w:rPr>
            </w:pPr>
          </w:p>
        </w:tc>
        <w:tc>
          <w:tcPr>
            <w:tcW w:w="217" w:type="dxa"/>
          </w:tcPr>
          <w:p w14:paraId="29E895F7" w14:textId="77777777" w:rsidR="002C0FD9" w:rsidRPr="00CA25CF" w:rsidRDefault="002C0FD9" w:rsidP="00CA25CF">
            <w:pPr>
              <w:rPr>
                <w:rFonts w:cs="Arial"/>
                <w:color w:val="FF0000"/>
                <w:sz w:val="21"/>
                <w:szCs w:val="21"/>
              </w:rPr>
            </w:pPr>
          </w:p>
        </w:tc>
        <w:tc>
          <w:tcPr>
            <w:tcW w:w="217" w:type="dxa"/>
          </w:tcPr>
          <w:p w14:paraId="5ACDDEF3" w14:textId="77777777" w:rsidR="002C0FD9" w:rsidRPr="00CA25CF" w:rsidRDefault="002C0FD9" w:rsidP="00CA25CF">
            <w:pPr>
              <w:rPr>
                <w:rFonts w:cs="Arial"/>
                <w:color w:val="FF0000"/>
                <w:sz w:val="21"/>
                <w:szCs w:val="21"/>
              </w:rPr>
            </w:pPr>
          </w:p>
        </w:tc>
        <w:tc>
          <w:tcPr>
            <w:tcW w:w="217" w:type="dxa"/>
          </w:tcPr>
          <w:p w14:paraId="26EEEF4A" w14:textId="77777777" w:rsidR="002C0FD9" w:rsidRPr="00CA25CF" w:rsidRDefault="002C0FD9" w:rsidP="00CA25CF">
            <w:pPr>
              <w:rPr>
                <w:rFonts w:cs="Arial"/>
                <w:color w:val="FF0000"/>
                <w:sz w:val="21"/>
                <w:szCs w:val="21"/>
              </w:rPr>
            </w:pPr>
          </w:p>
        </w:tc>
        <w:tc>
          <w:tcPr>
            <w:tcW w:w="217" w:type="dxa"/>
          </w:tcPr>
          <w:p w14:paraId="375EA9A6" w14:textId="77777777" w:rsidR="002C0FD9" w:rsidRPr="00CA25CF" w:rsidRDefault="002C0FD9" w:rsidP="00CA25CF">
            <w:pPr>
              <w:rPr>
                <w:rFonts w:cs="Arial"/>
                <w:color w:val="FF0000"/>
                <w:sz w:val="21"/>
                <w:szCs w:val="21"/>
              </w:rPr>
            </w:pPr>
          </w:p>
        </w:tc>
        <w:tc>
          <w:tcPr>
            <w:tcW w:w="217" w:type="dxa"/>
          </w:tcPr>
          <w:p w14:paraId="459F0EE2" w14:textId="77777777" w:rsidR="002C0FD9" w:rsidRPr="00CA25CF" w:rsidRDefault="002C0FD9" w:rsidP="00CA25CF">
            <w:pPr>
              <w:rPr>
                <w:rFonts w:cs="Arial"/>
                <w:color w:val="FF0000"/>
                <w:sz w:val="21"/>
                <w:szCs w:val="21"/>
              </w:rPr>
            </w:pPr>
          </w:p>
        </w:tc>
        <w:tc>
          <w:tcPr>
            <w:tcW w:w="217" w:type="dxa"/>
          </w:tcPr>
          <w:p w14:paraId="020ADC2E" w14:textId="77777777" w:rsidR="002C0FD9" w:rsidRPr="00CA25CF" w:rsidRDefault="002C0FD9" w:rsidP="00CA25CF">
            <w:pPr>
              <w:rPr>
                <w:rFonts w:cs="Arial"/>
                <w:color w:val="FF0000"/>
                <w:sz w:val="21"/>
                <w:szCs w:val="21"/>
              </w:rPr>
            </w:pPr>
          </w:p>
        </w:tc>
        <w:tc>
          <w:tcPr>
            <w:tcW w:w="217" w:type="dxa"/>
          </w:tcPr>
          <w:p w14:paraId="75AD8FA6" w14:textId="77777777" w:rsidR="002C0FD9" w:rsidRPr="00CA25CF" w:rsidRDefault="002C0FD9" w:rsidP="00CA25CF">
            <w:pPr>
              <w:rPr>
                <w:rFonts w:cs="Arial"/>
                <w:color w:val="FF0000"/>
                <w:sz w:val="21"/>
                <w:szCs w:val="21"/>
              </w:rPr>
            </w:pPr>
          </w:p>
        </w:tc>
        <w:tc>
          <w:tcPr>
            <w:tcW w:w="217" w:type="dxa"/>
          </w:tcPr>
          <w:p w14:paraId="1E6CC354" w14:textId="77777777" w:rsidR="002C0FD9" w:rsidRPr="00CA25CF" w:rsidRDefault="002C0FD9" w:rsidP="00CA25CF">
            <w:pPr>
              <w:rPr>
                <w:rFonts w:cs="Arial"/>
                <w:color w:val="FF0000"/>
                <w:sz w:val="21"/>
                <w:szCs w:val="21"/>
              </w:rPr>
            </w:pPr>
          </w:p>
        </w:tc>
        <w:tc>
          <w:tcPr>
            <w:tcW w:w="217" w:type="dxa"/>
          </w:tcPr>
          <w:p w14:paraId="4D8E26D6" w14:textId="77777777" w:rsidR="002C0FD9" w:rsidRPr="00CA25CF" w:rsidRDefault="002C0FD9" w:rsidP="00CA25CF">
            <w:pPr>
              <w:rPr>
                <w:rFonts w:cs="Arial"/>
                <w:color w:val="FF0000"/>
                <w:sz w:val="21"/>
                <w:szCs w:val="21"/>
              </w:rPr>
            </w:pPr>
          </w:p>
        </w:tc>
        <w:tc>
          <w:tcPr>
            <w:tcW w:w="217" w:type="dxa"/>
          </w:tcPr>
          <w:p w14:paraId="6174B7DB" w14:textId="77777777" w:rsidR="002C0FD9" w:rsidRPr="00CA25CF" w:rsidRDefault="002C0FD9" w:rsidP="00CA25CF">
            <w:pPr>
              <w:rPr>
                <w:rFonts w:cs="Arial"/>
                <w:color w:val="FF0000"/>
                <w:sz w:val="21"/>
                <w:szCs w:val="21"/>
              </w:rPr>
            </w:pPr>
          </w:p>
        </w:tc>
        <w:tc>
          <w:tcPr>
            <w:tcW w:w="217" w:type="dxa"/>
          </w:tcPr>
          <w:p w14:paraId="55BE3DC6" w14:textId="77777777" w:rsidR="002C0FD9" w:rsidRPr="00CA25CF" w:rsidRDefault="002C0FD9" w:rsidP="00CA25CF">
            <w:pPr>
              <w:rPr>
                <w:rFonts w:cs="Arial"/>
                <w:color w:val="FF0000"/>
                <w:sz w:val="21"/>
                <w:szCs w:val="21"/>
              </w:rPr>
            </w:pPr>
          </w:p>
        </w:tc>
        <w:tc>
          <w:tcPr>
            <w:tcW w:w="217" w:type="dxa"/>
          </w:tcPr>
          <w:p w14:paraId="7E54C060" w14:textId="77777777" w:rsidR="002C0FD9" w:rsidRPr="00CA25CF" w:rsidRDefault="002C0FD9" w:rsidP="00CA25CF">
            <w:pPr>
              <w:rPr>
                <w:rFonts w:cs="Arial"/>
                <w:color w:val="FF0000"/>
                <w:sz w:val="21"/>
                <w:szCs w:val="21"/>
              </w:rPr>
            </w:pPr>
          </w:p>
        </w:tc>
        <w:tc>
          <w:tcPr>
            <w:tcW w:w="217" w:type="dxa"/>
          </w:tcPr>
          <w:p w14:paraId="14650EDA" w14:textId="77777777" w:rsidR="002C0FD9" w:rsidRPr="00CA25CF" w:rsidRDefault="002C0FD9" w:rsidP="00CA25CF">
            <w:pPr>
              <w:rPr>
                <w:rFonts w:cs="Arial"/>
                <w:color w:val="FF0000"/>
                <w:sz w:val="21"/>
                <w:szCs w:val="21"/>
              </w:rPr>
            </w:pPr>
          </w:p>
        </w:tc>
        <w:tc>
          <w:tcPr>
            <w:tcW w:w="217" w:type="dxa"/>
          </w:tcPr>
          <w:p w14:paraId="03F76AEF" w14:textId="77777777" w:rsidR="002C0FD9" w:rsidRPr="00CA25CF" w:rsidRDefault="002C0FD9" w:rsidP="00CA25CF">
            <w:pPr>
              <w:rPr>
                <w:rFonts w:cs="Arial"/>
                <w:color w:val="FF0000"/>
                <w:sz w:val="21"/>
                <w:szCs w:val="21"/>
              </w:rPr>
            </w:pPr>
          </w:p>
        </w:tc>
      </w:tr>
      <w:tr w:rsidR="002C0FD9" w:rsidRPr="00A16219" w14:paraId="374350B3" w14:textId="77777777" w:rsidTr="002C0FD9">
        <w:trPr>
          <w:trHeight w:val="635"/>
        </w:trPr>
        <w:tc>
          <w:tcPr>
            <w:tcW w:w="515" w:type="dxa"/>
          </w:tcPr>
          <w:p w14:paraId="0CD45E23" w14:textId="77777777" w:rsidR="002C0FD9" w:rsidRPr="00CA25CF" w:rsidRDefault="002C0FD9" w:rsidP="00CA25CF">
            <w:pPr>
              <w:rPr>
                <w:rFonts w:cs="Arial"/>
                <w:color w:val="FF0000"/>
                <w:sz w:val="21"/>
                <w:szCs w:val="21"/>
              </w:rPr>
            </w:pPr>
          </w:p>
        </w:tc>
        <w:tc>
          <w:tcPr>
            <w:tcW w:w="217" w:type="dxa"/>
          </w:tcPr>
          <w:p w14:paraId="4A2C2899" w14:textId="77777777" w:rsidR="002C0FD9" w:rsidRPr="00CA25CF" w:rsidRDefault="002C0FD9" w:rsidP="00CA25CF">
            <w:pPr>
              <w:rPr>
                <w:rFonts w:cs="Arial"/>
                <w:color w:val="FF0000"/>
                <w:sz w:val="21"/>
                <w:szCs w:val="21"/>
              </w:rPr>
            </w:pPr>
          </w:p>
        </w:tc>
        <w:tc>
          <w:tcPr>
            <w:tcW w:w="217" w:type="dxa"/>
          </w:tcPr>
          <w:p w14:paraId="1B1E6527" w14:textId="77777777" w:rsidR="002C0FD9" w:rsidRPr="00CA25CF" w:rsidRDefault="002C0FD9" w:rsidP="00CA25CF">
            <w:pPr>
              <w:rPr>
                <w:rFonts w:cs="Arial"/>
                <w:color w:val="FF0000"/>
                <w:sz w:val="21"/>
                <w:szCs w:val="21"/>
              </w:rPr>
            </w:pPr>
          </w:p>
        </w:tc>
        <w:tc>
          <w:tcPr>
            <w:tcW w:w="217" w:type="dxa"/>
          </w:tcPr>
          <w:p w14:paraId="781B4E66" w14:textId="77777777" w:rsidR="002C0FD9" w:rsidRPr="00CA25CF" w:rsidRDefault="002C0FD9" w:rsidP="00CA25CF">
            <w:pPr>
              <w:rPr>
                <w:rFonts w:cs="Arial"/>
                <w:color w:val="FF0000"/>
                <w:sz w:val="21"/>
                <w:szCs w:val="21"/>
              </w:rPr>
            </w:pPr>
          </w:p>
        </w:tc>
        <w:tc>
          <w:tcPr>
            <w:tcW w:w="217" w:type="dxa"/>
          </w:tcPr>
          <w:p w14:paraId="4A9B98F6" w14:textId="77777777" w:rsidR="002C0FD9" w:rsidRPr="00CA25CF" w:rsidRDefault="002C0FD9" w:rsidP="00CA25CF">
            <w:pPr>
              <w:rPr>
                <w:rFonts w:cs="Arial"/>
                <w:color w:val="FF0000"/>
                <w:sz w:val="21"/>
                <w:szCs w:val="21"/>
              </w:rPr>
            </w:pPr>
          </w:p>
        </w:tc>
        <w:tc>
          <w:tcPr>
            <w:tcW w:w="217" w:type="dxa"/>
          </w:tcPr>
          <w:p w14:paraId="4E480396" w14:textId="77777777" w:rsidR="002C0FD9" w:rsidRPr="00CA25CF" w:rsidRDefault="002C0FD9" w:rsidP="00CA25CF">
            <w:pPr>
              <w:rPr>
                <w:rFonts w:cs="Arial"/>
                <w:color w:val="FF0000"/>
                <w:sz w:val="21"/>
                <w:szCs w:val="21"/>
              </w:rPr>
            </w:pPr>
          </w:p>
        </w:tc>
        <w:tc>
          <w:tcPr>
            <w:tcW w:w="217" w:type="dxa"/>
          </w:tcPr>
          <w:p w14:paraId="3BBE72C0" w14:textId="77777777" w:rsidR="002C0FD9" w:rsidRPr="00CA25CF" w:rsidRDefault="002C0FD9" w:rsidP="00CA25CF">
            <w:pPr>
              <w:rPr>
                <w:rFonts w:cs="Arial"/>
                <w:color w:val="FF0000"/>
                <w:sz w:val="21"/>
                <w:szCs w:val="21"/>
              </w:rPr>
            </w:pPr>
          </w:p>
        </w:tc>
        <w:tc>
          <w:tcPr>
            <w:tcW w:w="217" w:type="dxa"/>
          </w:tcPr>
          <w:p w14:paraId="144500C0" w14:textId="77777777" w:rsidR="002C0FD9" w:rsidRPr="00CA25CF" w:rsidRDefault="002C0FD9" w:rsidP="00CA25CF">
            <w:pPr>
              <w:rPr>
                <w:rFonts w:cs="Arial"/>
                <w:color w:val="FF0000"/>
                <w:sz w:val="21"/>
                <w:szCs w:val="21"/>
              </w:rPr>
            </w:pPr>
          </w:p>
        </w:tc>
        <w:tc>
          <w:tcPr>
            <w:tcW w:w="217" w:type="dxa"/>
          </w:tcPr>
          <w:p w14:paraId="363A86CA" w14:textId="77777777" w:rsidR="002C0FD9" w:rsidRPr="00CA25CF" w:rsidRDefault="002C0FD9" w:rsidP="00CA25CF">
            <w:pPr>
              <w:rPr>
                <w:rFonts w:cs="Arial"/>
                <w:color w:val="FF0000"/>
                <w:sz w:val="21"/>
                <w:szCs w:val="21"/>
              </w:rPr>
            </w:pPr>
          </w:p>
        </w:tc>
        <w:tc>
          <w:tcPr>
            <w:tcW w:w="217" w:type="dxa"/>
          </w:tcPr>
          <w:p w14:paraId="7E51C055" w14:textId="77777777" w:rsidR="002C0FD9" w:rsidRPr="00CA25CF" w:rsidRDefault="002C0FD9" w:rsidP="00CA25CF">
            <w:pPr>
              <w:rPr>
                <w:rFonts w:cs="Arial"/>
                <w:color w:val="FF0000"/>
                <w:sz w:val="21"/>
                <w:szCs w:val="21"/>
              </w:rPr>
            </w:pPr>
          </w:p>
        </w:tc>
        <w:tc>
          <w:tcPr>
            <w:tcW w:w="217" w:type="dxa"/>
          </w:tcPr>
          <w:p w14:paraId="214C6BA0" w14:textId="77777777" w:rsidR="002C0FD9" w:rsidRPr="00CA25CF" w:rsidRDefault="002C0FD9" w:rsidP="00CA25CF">
            <w:pPr>
              <w:rPr>
                <w:rFonts w:cs="Arial"/>
                <w:color w:val="FF0000"/>
                <w:sz w:val="21"/>
                <w:szCs w:val="21"/>
              </w:rPr>
            </w:pPr>
          </w:p>
        </w:tc>
        <w:tc>
          <w:tcPr>
            <w:tcW w:w="217" w:type="dxa"/>
          </w:tcPr>
          <w:p w14:paraId="0BC99E70" w14:textId="77777777" w:rsidR="002C0FD9" w:rsidRPr="00CA25CF" w:rsidRDefault="002C0FD9" w:rsidP="00CA25CF">
            <w:pPr>
              <w:rPr>
                <w:rFonts w:cs="Arial"/>
                <w:color w:val="FF0000"/>
                <w:sz w:val="21"/>
                <w:szCs w:val="21"/>
              </w:rPr>
            </w:pPr>
          </w:p>
        </w:tc>
        <w:tc>
          <w:tcPr>
            <w:tcW w:w="217" w:type="dxa"/>
          </w:tcPr>
          <w:p w14:paraId="50CFE2D6" w14:textId="77777777" w:rsidR="002C0FD9" w:rsidRPr="00CA25CF" w:rsidRDefault="002C0FD9" w:rsidP="00CA25CF">
            <w:pPr>
              <w:rPr>
                <w:rFonts w:cs="Arial"/>
                <w:color w:val="FF0000"/>
                <w:sz w:val="21"/>
                <w:szCs w:val="21"/>
              </w:rPr>
            </w:pPr>
          </w:p>
        </w:tc>
        <w:tc>
          <w:tcPr>
            <w:tcW w:w="217" w:type="dxa"/>
          </w:tcPr>
          <w:p w14:paraId="523E15C4" w14:textId="77777777" w:rsidR="002C0FD9" w:rsidRPr="00CA25CF" w:rsidRDefault="002C0FD9" w:rsidP="00CA25CF">
            <w:pPr>
              <w:rPr>
                <w:rFonts w:cs="Arial"/>
                <w:color w:val="FF0000"/>
                <w:sz w:val="21"/>
                <w:szCs w:val="21"/>
              </w:rPr>
            </w:pPr>
          </w:p>
        </w:tc>
        <w:tc>
          <w:tcPr>
            <w:tcW w:w="217" w:type="dxa"/>
          </w:tcPr>
          <w:p w14:paraId="32D5DADE" w14:textId="77777777" w:rsidR="002C0FD9" w:rsidRPr="00CA25CF" w:rsidRDefault="002C0FD9" w:rsidP="00CA25CF">
            <w:pPr>
              <w:rPr>
                <w:rFonts w:cs="Arial"/>
                <w:color w:val="FF0000"/>
                <w:sz w:val="21"/>
                <w:szCs w:val="21"/>
              </w:rPr>
            </w:pPr>
          </w:p>
        </w:tc>
        <w:tc>
          <w:tcPr>
            <w:tcW w:w="217" w:type="dxa"/>
          </w:tcPr>
          <w:p w14:paraId="513A483F" w14:textId="77777777" w:rsidR="002C0FD9" w:rsidRPr="00CA25CF" w:rsidRDefault="002C0FD9" w:rsidP="00CA25CF">
            <w:pPr>
              <w:rPr>
                <w:rFonts w:cs="Arial"/>
                <w:color w:val="FF0000"/>
                <w:sz w:val="21"/>
                <w:szCs w:val="21"/>
              </w:rPr>
            </w:pPr>
          </w:p>
        </w:tc>
        <w:tc>
          <w:tcPr>
            <w:tcW w:w="217" w:type="dxa"/>
          </w:tcPr>
          <w:p w14:paraId="43F26B4F" w14:textId="77777777" w:rsidR="002C0FD9" w:rsidRPr="00CA25CF" w:rsidRDefault="002C0FD9" w:rsidP="00CA25CF">
            <w:pPr>
              <w:rPr>
                <w:rFonts w:cs="Arial"/>
                <w:color w:val="FF0000"/>
                <w:sz w:val="21"/>
                <w:szCs w:val="21"/>
              </w:rPr>
            </w:pPr>
          </w:p>
        </w:tc>
        <w:tc>
          <w:tcPr>
            <w:tcW w:w="217" w:type="dxa"/>
          </w:tcPr>
          <w:p w14:paraId="460B880C" w14:textId="77777777" w:rsidR="002C0FD9" w:rsidRPr="00CA25CF" w:rsidRDefault="002C0FD9" w:rsidP="00CA25CF">
            <w:pPr>
              <w:rPr>
                <w:rFonts w:cs="Arial"/>
                <w:color w:val="FF0000"/>
                <w:sz w:val="21"/>
                <w:szCs w:val="21"/>
              </w:rPr>
            </w:pPr>
          </w:p>
        </w:tc>
        <w:tc>
          <w:tcPr>
            <w:tcW w:w="217" w:type="dxa"/>
          </w:tcPr>
          <w:p w14:paraId="436EFFBD" w14:textId="77777777" w:rsidR="002C0FD9" w:rsidRPr="00CA25CF" w:rsidRDefault="002C0FD9" w:rsidP="00CA25CF">
            <w:pPr>
              <w:rPr>
                <w:rFonts w:cs="Arial"/>
                <w:color w:val="FF0000"/>
                <w:sz w:val="21"/>
                <w:szCs w:val="21"/>
              </w:rPr>
            </w:pPr>
          </w:p>
        </w:tc>
        <w:tc>
          <w:tcPr>
            <w:tcW w:w="217" w:type="dxa"/>
          </w:tcPr>
          <w:p w14:paraId="1455C529" w14:textId="77777777" w:rsidR="002C0FD9" w:rsidRPr="00CA25CF" w:rsidRDefault="002C0FD9" w:rsidP="00CA25CF">
            <w:pPr>
              <w:rPr>
                <w:rFonts w:cs="Arial"/>
                <w:color w:val="FF0000"/>
                <w:sz w:val="21"/>
                <w:szCs w:val="21"/>
              </w:rPr>
            </w:pPr>
          </w:p>
        </w:tc>
        <w:tc>
          <w:tcPr>
            <w:tcW w:w="217" w:type="dxa"/>
          </w:tcPr>
          <w:p w14:paraId="39798505" w14:textId="77777777" w:rsidR="002C0FD9" w:rsidRPr="00CA25CF" w:rsidRDefault="002C0FD9" w:rsidP="00CA25CF">
            <w:pPr>
              <w:rPr>
                <w:rFonts w:cs="Arial"/>
                <w:color w:val="FF0000"/>
                <w:sz w:val="21"/>
                <w:szCs w:val="21"/>
              </w:rPr>
            </w:pPr>
          </w:p>
        </w:tc>
        <w:tc>
          <w:tcPr>
            <w:tcW w:w="217" w:type="dxa"/>
          </w:tcPr>
          <w:p w14:paraId="05F0E377" w14:textId="77777777" w:rsidR="002C0FD9" w:rsidRPr="00CA25CF" w:rsidRDefault="002C0FD9" w:rsidP="00CA25CF">
            <w:pPr>
              <w:rPr>
                <w:rFonts w:cs="Arial"/>
                <w:color w:val="FF0000"/>
                <w:sz w:val="21"/>
                <w:szCs w:val="21"/>
              </w:rPr>
            </w:pPr>
          </w:p>
        </w:tc>
        <w:tc>
          <w:tcPr>
            <w:tcW w:w="217" w:type="dxa"/>
          </w:tcPr>
          <w:p w14:paraId="05530D1F" w14:textId="77777777" w:rsidR="002C0FD9" w:rsidRPr="00CA25CF" w:rsidRDefault="002C0FD9" w:rsidP="00CA25CF">
            <w:pPr>
              <w:rPr>
                <w:rFonts w:cs="Arial"/>
                <w:color w:val="FF0000"/>
                <w:sz w:val="21"/>
                <w:szCs w:val="21"/>
              </w:rPr>
            </w:pPr>
          </w:p>
        </w:tc>
        <w:tc>
          <w:tcPr>
            <w:tcW w:w="217" w:type="dxa"/>
          </w:tcPr>
          <w:p w14:paraId="5E2B1D46" w14:textId="77777777" w:rsidR="002C0FD9" w:rsidRPr="00CA25CF" w:rsidRDefault="002C0FD9" w:rsidP="00CA25CF">
            <w:pPr>
              <w:rPr>
                <w:rFonts w:cs="Arial"/>
                <w:color w:val="FF0000"/>
                <w:sz w:val="21"/>
                <w:szCs w:val="21"/>
              </w:rPr>
            </w:pPr>
          </w:p>
        </w:tc>
        <w:tc>
          <w:tcPr>
            <w:tcW w:w="217" w:type="dxa"/>
          </w:tcPr>
          <w:p w14:paraId="370EFD6B" w14:textId="77777777" w:rsidR="002C0FD9" w:rsidRPr="00CA25CF" w:rsidRDefault="002C0FD9" w:rsidP="00CA25CF">
            <w:pPr>
              <w:rPr>
                <w:rFonts w:cs="Arial"/>
                <w:color w:val="FF0000"/>
                <w:sz w:val="21"/>
                <w:szCs w:val="21"/>
              </w:rPr>
            </w:pPr>
          </w:p>
        </w:tc>
        <w:tc>
          <w:tcPr>
            <w:tcW w:w="217" w:type="dxa"/>
          </w:tcPr>
          <w:p w14:paraId="551CB66E" w14:textId="77777777" w:rsidR="002C0FD9" w:rsidRPr="00CA25CF" w:rsidRDefault="002C0FD9" w:rsidP="00CA25CF">
            <w:pPr>
              <w:rPr>
                <w:rFonts w:cs="Arial"/>
                <w:color w:val="FF0000"/>
                <w:sz w:val="21"/>
                <w:szCs w:val="21"/>
              </w:rPr>
            </w:pPr>
          </w:p>
        </w:tc>
        <w:tc>
          <w:tcPr>
            <w:tcW w:w="217" w:type="dxa"/>
          </w:tcPr>
          <w:p w14:paraId="498F7B84" w14:textId="77777777" w:rsidR="002C0FD9" w:rsidRPr="00CA25CF" w:rsidRDefault="002C0FD9" w:rsidP="00CA25CF">
            <w:pPr>
              <w:rPr>
                <w:rFonts w:cs="Arial"/>
                <w:color w:val="FF0000"/>
                <w:sz w:val="21"/>
                <w:szCs w:val="21"/>
              </w:rPr>
            </w:pPr>
          </w:p>
        </w:tc>
        <w:tc>
          <w:tcPr>
            <w:tcW w:w="217" w:type="dxa"/>
          </w:tcPr>
          <w:p w14:paraId="208263D4" w14:textId="77777777" w:rsidR="002C0FD9" w:rsidRPr="00CA25CF" w:rsidRDefault="002C0FD9" w:rsidP="00CA25CF">
            <w:pPr>
              <w:rPr>
                <w:rFonts w:cs="Arial"/>
                <w:color w:val="FF0000"/>
                <w:sz w:val="21"/>
                <w:szCs w:val="21"/>
              </w:rPr>
            </w:pPr>
          </w:p>
        </w:tc>
        <w:tc>
          <w:tcPr>
            <w:tcW w:w="217" w:type="dxa"/>
          </w:tcPr>
          <w:p w14:paraId="453C6C92" w14:textId="77777777" w:rsidR="002C0FD9" w:rsidRPr="00CA25CF" w:rsidRDefault="002C0FD9" w:rsidP="00CA25CF">
            <w:pPr>
              <w:rPr>
                <w:rFonts w:cs="Arial"/>
                <w:color w:val="FF0000"/>
                <w:sz w:val="21"/>
                <w:szCs w:val="21"/>
              </w:rPr>
            </w:pPr>
          </w:p>
        </w:tc>
        <w:tc>
          <w:tcPr>
            <w:tcW w:w="217" w:type="dxa"/>
          </w:tcPr>
          <w:p w14:paraId="3A1DEB7D" w14:textId="77777777" w:rsidR="002C0FD9" w:rsidRPr="00CA25CF" w:rsidRDefault="002C0FD9" w:rsidP="00CA25CF">
            <w:pPr>
              <w:rPr>
                <w:rFonts w:cs="Arial"/>
                <w:color w:val="FF0000"/>
                <w:sz w:val="21"/>
                <w:szCs w:val="21"/>
              </w:rPr>
            </w:pPr>
          </w:p>
        </w:tc>
        <w:tc>
          <w:tcPr>
            <w:tcW w:w="217" w:type="dxa"/>
          </w:tcPr>
          <w:p w14:paraId="28DFFB12" w14:textId="77777777" w:rsidR="002C0FD9" w:rsidRPr="00CA25CF" w:rsidRDefault="002C0FD9" w:rsidP="00CA25CF">
            <w:pPr>
              <w:rPr>
                <w:rFonts w:cs="Arial"/>
                <w:color w:val="FF0000"/>
                <w:sz w:val="21"/>
                <w:szCs w:val="21"/>
              </w:rPr>
            </w:pPr>
          </w:p>
        </w:tc>
        <w:tc>
          <w:tcPr>
            <w:tcW w:w="217" w:type="dxa"/>
          </w:tcPr>
          <w:p w14:paraId="33AFA127" w14:textId="77777777" w:rsidR="002C0FD9" w:rsidRPr="00CA25CF" w:rsidRDefault="002C0FD9" w:rsidP="00CA25CF">
            <w:pPr>
              <w:rPr>
                <w:rFonts w:cs="Arial"/>
                <w:color w:val="FF0000"/>
                <w:sz w:val="21"/>
                <w:szCs w:val="21"/>
              </w:rPr>
            </w:pPr>
          </w:p>
        </w:tc>
        <w:tc>
          <w:tcPr>
            <w:tcW w:w="217" w:type="dxa"/>
          </w:tcPr>
          <w:p w14:paraId="73C6372C" w14:textId="77777777" w:rsidR="002C0FD9" w:rsidRPr="00CA25CF" w:rsidRDefault="002C0FD9" w:rsidP="00CA25CF">
            <w:pPr>
              <w:rPr>
                <w:rFonts w:cs="Arial"/>
                <w:color w:val="FF0000"/>
                <w:sz w:val="21"/>
                <w:szCs w:val="21"/>
              </w:rPr>
            </w:pPr>
          </w:p>
        </w:tc>
        <w:tc>
          <w:tcPr>
            <w:tcW w:w="217" w:type="dxa"/>
          </w:tcPr>
          <w:p w14:paraId="163F834E" w14:textId="77777777" w:rsidR="002C0FD9" w:rsidRPr="00CA25CF" w:rsidRDefault="002C0FD9" w:rsidP="00CA25CF">
            <w:pPr>
              <w:rPr>
                <w:rFonts w:cs="Arial"/>
                <w:color w:val="FF0000"/>
                <w:sz w:val="21"/>
                <w:szCs w:val="21"/>
              </w:rPr>
            </w:pPr>
          </w:p>
        </w:tc>
        <w:tc>
          <w:tcPr>
            <w:tcW w:w="217" w:type="dxa"/>
          </w:tcPr>
          <w:p w14:paraId="1D9D059B" w14:textId="77777777" w:rsidR="002C0FD9" w:rsidRPr="00CA25CF" w:rsidRDefault="002C0FD9" w:rsidP="00CA25CF">
            <w:pPr>
              <w:rPr>
                <w:rFonts w:cs="Arial"/>
                <w:color w:val="FF0000"/>
                <w:sz w:val="21"/>
                <w:szCs w:val="21"/>
              </w:rPr>
            </w:pPr>
          </w:p>
        </w:tc>
        <w:tc>
          <w:tcPr>
            <w:tcW w:w="217" w:type="dxa"/>
          </w:tcPr>
          <w:p w14:paraId="2BECBC9D" w14:textId="77777777" w:rsidR="002C0FD9" w:rsidRPr="00CA25CF" w:rsidRDefault="002C0FD9" w:rsidP="00CA25CF">
            <w:pPr>
              <w:rPr>
                <w:rFonts w:cs="Arial"/>
                <w:color w:val="FF0000"/>
                <w:sz w:val="21"/>
                <w:szCs w:val="21"/>
              </w:rPr>
            </w:pPr>
          </w:p>
        </w:tc>
        <w:tc>
          <w:tcPr>
            <w:tcW w:w="217" w:type="dxa"/>
          </w:tcPr>
          <w:p w14:paraId="340C9A71" w14:textId="77777777" w:rsidR="002C0FD9" w:rsidRPr="00CA25CF" w:rsidRDefault="002C0FD9" w:rsidP="00CA25CF">
            <w:pPr>
              <w:rPr>
                <w:rFonts w:cs="Arial"/>
                <w:color w:val="FF0000"/>
                <w:sz w:val="21"/>
                <w:szCs w:val="21"/>
              </w:rPr>
            </w:pPr>
          </w:p>
        </w:tc>
        <w:tc>
          <w:tcPr>
            <w:tcW w:w="217" w:type="dxa"/>
          </w:tcPr>
          <w:p w14:paraId="628DBEDC" w14:textId="77777777" w:rsidR="002C0FD9" w:rsidRPr="00CA25CF" w:rsidRDefault="002C0FD9" w:rsidP="00CA25CF">
            <w:pPr>
              <w:rPr>
                <w:rFonts w:cs="Arial"/>
                <w:color w:val="FF0000"/>
                <w:sz w:val="21"/>
                <w:szCs w:val="21"/>
              </w:rPr>
            </w:pPr>
          </w:p>
        </w:tc>
        <w:tc>
          <w:tcPr>
            <w:tcW w:w="217" w:type="dxa"/>
          </w:tcPr>
          <w:p w14:paraId="72DFE7A5" w14:textId="77777777" w:rsidR="002C0FD9" w:rsidRPr="00CA25CF" w:rsidRDefault="002C0FD9" w:rsidP="00CA25CF">
            <w:pPr>
              <w:rPr>
                <w:rFonts w:cs="Arial"/>
                <w:color w:val="FF0000"/>
                <w:sz w:val="21"/>
                <w:szCs w:val="21"/>
              </w:rPr>
            </w:pPr>
          </w:p>
        </w:tc>
        <w:tc>
          <w:tcPr>
            <w:tcW w:w="217" w:type="dxa"/>
          </w:tcPr>
          <w:p w14:paraId="12C68A19" w14:textId="77777777" w:rsidR="002C0FD9" w:rsidRPr="00CA25CF" w:rsidRDefault="002C0FD9" w:rsidP="00CA25CF">
            <w:pPr>
              <w:rPr>
                <w:rFonts w:cs="Arial"/>
                <w:color w:val="FF0000"/>
                <w:sz w:val="21"/>
                <w:szCs w:val="21"/>
              </w:rPr>
            </w:pPr>
          </w:p>
        </w:tc>
        <w:tc>
          <w:tcPr>
            <w:tcW w:w="217" w:type="dxa"/>
          </w:tcPr>
          <w:p w14:paraId="65AC9CCC" w14:textId="77777777" w:rsidR="002C0FD9" w:rsidRPr="00CA25CF" w:rsidRDefault="002C0FD9" w:rsidP="00CA25CF">
            <w:pPr>
              <w:rPr>
                <w:rFonts w:cs="Arial"/>
                <w:color w:val="FF0000"/>
                <w:sz w:val="21"/>
                <w:szCs w:val="21"/>
              </w:rPr>
            </w:pPr>
          </w:p>
        </w:tc>
        <w:tc>
          <w:tcPr>
            <w:tcW w:w="217" w:type="dxa"/>
          </w:tcPr>
          <w:p w14:paraId="2A083566" w14:textId="77777777" w:rsidR="002C0FD9" w:rsidRPr="00CA25CF" w:rsidRDefault="002C0FD9" w:rsidP="00CA25CF">
            <w:pPr>
              <w:rPr>
                <w:rFonts w:cs="Arial"/>
                <w:color w:val="FF0000"/>
                <w:sz w:val="21"/>
                <w:szCs w:val="21"/>
              </w:rPr>
            </w:pPr>
          </w:p>
        </w:tc>
        <w:tc>
          <w:tcPr>
            <w:tcW w:w="217" w:type="dxa"/>
          </w:tcPr>
          <w:p w14:paraId="17F54420" w14:textId="77777777" w:rsidR="002C0FD9" w:rsidRPr="00CA25CF" w:rsidRDefault="002C0FD9" w:rsidP="00CA25CF">
            <w:pPr>
              <w:rPr>
                <w:rFonts w:cs="Arial"/>
                <w:color w:val="FF0000"/>
                <w:sz w:val="21"/>
                <w:szCs w:val="21"/>
              </w:rPr>
            </w:pPr>
          </w:p>
        </w:tc>
      </w:tr>
      <w:tr w:rsidR="002C0FD9" w:rsidRPr="00A16219" w14:paraId="33420C7E" w14:textId="77777777" w:rsidTr="002C0FD9">
        <w:trPr>
          <w:trHeight w:val="635"/>
        </w:trPr>
        <w:tc>
          <w:tcPr>
            <w:tcW w:w="515" w:type="dxa"/>
          </w:tcPr>
          <w:p w14:paraId="2C7BAB09" w14:textId="77777777" w:rsidR="002C0FD9" w:rsidRPr="00CA25CF" w:rsidRDefault="002C0FD9" w:rsidP="00CA25CF">
            <w:pPr>
              <w:rPr>
                <w:rFonts w:cs="Arial"/>
                <w:color w:val="FF0000"/>
                <w:sz w:val="21"/>
                <w:szCs w:val="21"/>
              </w:rPr>
            </w:pPr>
          </w:p>
        </w:tc>
        <w:tc>
          <w:tcPr>
            <w:tcW w:w="217" w:type="dxa"/>
          </w:tcPr>
          <w:p w14:paraId="1F5D411A" w14:textId="77777777" w:rsidR="002C0FD9" w:rsidRPr="00CA25CF" w:rsidRDefault="002C0FD9" w:rsidP="00CA25CF">
            <w:pPr>
              <w:rPr>
                <w:rFonts w:cs="Arial"/>
                <w:color w:val="FF0000"/>
                <w:sz w:val="21"/>
                <w:szCs w:val="21"/>
              </w:rPr>
            </w:pPr>
          </w:p>
        </w:tc>
        <w:tc>
          <w:tcPr>
            <w:tcW w:w="217" w:type="dxa"/>
          </w:tcPr>
          <w:p w14:paraId="57974B33" w14:textId="77777777" w:rsidR="002C0FD9" w:rsidRPr="00CA25CF" w:rsidRDefault="002C0FD9" w:rsidP="00CA25CF">
            <w:pPr>
              <w:rPr>
                <w:rFonts w:cs="Arial"/>
                <w:color w:val="FF0000"/>
                <w:sz w:val="21"/>
                <w:szCs w:val="21"/>
              </w:rPr>
            </w:pPr>
          </w:p>
        </w:tc>
        <w:tc>
          <w:tcPr>
            <w:tcW w:w="217" w:type="dxa"/>
          </w:tcPr>
          <w:p w14:paraId="622CCBAD" w14:textId="77777777" w:rsidR="002C0FD9" w:rsidRPr="00CA25CF" w:rsidRDefault="002C0FD9" w:rsidP="00CA25CF">
            <w:pPr>
              <w:rPr>
                <w:rFonts w:cs="Arial"/>
                <w:color w:val="FF0000"/>
                <w:sz w:val="21"/>
                <w:szCs w:val="21"/>
              </w:rPr>
            </w:pPr>
          </w:p>
        </w:tc>
        <w:tc>
          <w:tcPr>
            <w:tcW w:w="217" w:type="dxa"/>
          </w:tcPr>
          <w:p w14:paraId="6B8E981E" w14:textId="77777777" w:rsidR="002C0FD9" w:rsidRPr="00CA25CF" w:rsidRDefault="002C0FD9" w:rsidP="00CA25CF">
            <w:pPr>
              <w:rPr>
                <w:rFonts w:cs="Arial"/>
                <w:color w:val="FF0000"/>
                <w:sz w:val="21"/>
                <w:szCs w:val="21"/>
              </w:rPr>
            </w:pPr>
          </w:p>
        </w:tc>
        <w:tc>
          <w:tcPr>
            <w:tcW w:w="217" w:type="dxa"/>
          </w:tcPr>
          <w:p w14:paraId="586EA2CB" w14:textId="77777777" w:rsidR="002C0FD9" w:rsidRPr="00CA25CF" w:rsidRDefault="002C0FD9" w:rsidP="00CA25CF">
            <w:pPr>
              <w:rPr>
                <w:rFonts w:cs="Arial"/>
                <w:color w:val="FF0000"/>
                <w:sz w:val="21"/>
                <w:szCs w:val="21"/>
              </w:rPr>
            </w:pPr>
          </w:p>
        </w:tc>
        <w:tc>
          <w:tcPr>
            <w:tcW w:w="217" w:type="dxa"/>
          </w:tcPr>
          <w:p w14:paraId="2768352B" w14:textId="77777777" w:rsidR="002C0FD9" w:rsidRPr="00CA25CF" w:rsidRDefault="002C0FD9" w:rsidP="00CA25CF">
            <w:pPr>
              <w:rPr>
                <w:rFonts w:cs="Arial"/>
                <w:color w:val="FF0000"/>
                <w:sz w:val="21"/>
                <w:szCs w:val="21"/>
              </w:rPr>
            </w:pPr>
          </w:p>
        </w:tc>
        <w:tc>
          <w:tcPr>
            <w:tcW w:w="217" w:type="dxa"/>
          </w:tcPr>
          <w:p w14:paraId="63CC69EB" w14:textId="77777777" w:rsidR="002C0FD9" w:rsidRPr="00CA25CF" w:rsidRDefault="002C0FD9" w:rsidP="00CA25CF">
            <w:pPr>
              <w:rPr>
                <w:rFonts w:cs="Arial"/>
                <w:color w:val="FF0000"/>
                <w:sz w:val="21"/>
                <w:szCs w:val="21"/>
              </w:rPr>
            </w:pPr>
          </w:p>
        </w:tc>
        <w:tc>
          <w:tcPr>
            <w:tcW w:w="217" w:type="dxa"/>
          </w:tcPr>
          <w:p w14:paraId="34083829" w14:textId="77777777" w:rsidR="002C0FD9" w:rsidRPr="00CA25CF" w:rsidRDefault="002C0FD9" w:rsidP="00CA25CF">
            <w:pPr>
              <w:rPr>
                <w:rFonts w:cs="Arial"/>
                <w:color w:val="FF0000"/>
                <w:sz w:val="21"/>
                <w:szCs w:val="21"/>
              </w:rPr>
            </w:pPr>
          </w:p>
        </w:tc>
        <w:tc>
          <w:tcPr>
            <w:tcW w:w="217" w:type="dxa"/>
          </w:tcPr>
          <w:p w14:paraId="3A5F43ED" w14:textId="77777777" w:rsidR="002C0FD9" w:rsidRPr="00CA25CF" w:rsidRDefault="002C0FD9" w:rsidP="00CA25CF">
            <w:pPr>
              <w:rPr>
                <w:rFonts w:cs="Arial"/>
                <w:color w:val="FF0000"/>
                <w:sz w:val="21"/>
                <w:szCs w:val="21"/>
              </w:rPr>
            </w:pPr>
          </w:p>
        </w:tc>
        <w:tc>
          <w:tcPr>
            <w:tcW w:w="217" w:type="dxa"/>
          </w:tcPr>
          <w:p w14:paraId="73BDBC6D" w14:textId="77777777" w:rsidR="002C0FD9" w:rsidRPr="00CA25CF" w:rsidRDefault="002C0FD9" w:rsidP="00CA25CF">
            <w:pPr>
              <w:rPr>
                <w:rFonts w:cs="Arial"/>
                <w:color w:val="FF0000"/>
                <w:sz w:val="21"/>
                <w:szCs w:val="21"/>
              </w:rPr>
            </w:pPr>
          </w:p>
        </w:tc>
        <w:tc>
          <w:tcPr>
            <w:tcW w:w="217" w:type="dxa"/>
          </w:tcPr>
          <w:p w14:paraId="50F29FED" w14:textId="77777777" w:rsidR="002C0FD9" w:rsidRPr="00CA25CF" w:rsidRDefault="002C0FD9" w:rsidP="00CA25CF">
            <w:pPr>
              <w:rPr>
                <w:rFonts w:cs="Arial"/>
                <w:color w:val="FF0000"/>
                <w:sz w:val="21"/>
                <w:szCs w:val="21"/>
              </w:rPr>
            </w:pPr>
          </w:p>
        </w:tc>
        <w:tc>
          <w:tcPr>
            <w:tcW w:w="217" w:type="dxa"/>
          </w:tcPr>
          <w:p w14:paraId="06EE2A62" w14:textId="77777777" w:rsidR="002C0FD9" w:rsidRPr="00CA25CF" w:rsidRDefault="002C0FD9" w:rsidP="00CA25CF">
            <w:pPr>
              <w:rPr>
                <w:rFonts w:cs="Arial"/>
                <w:color w:val="FF0000"/>
                <w:sz w:val="21"/>
                <w:szCs w:val="21"/>
              </w:rPr>
            </w:pPr>
          </w:p>
        </w:tc>
        <w:tc>
          <w:tcPr>
            <w:tcW w:w="217" w:type="dxa"/>
          </w:tcPr>
          <w:p w14:paraId="79DC9890" w14:textId="77777777" w:rsidR="002C0FD9" w:rsidRPr="00CA25CF" w:rsidRDefault="002C0FD9" w:rsidP="00CA25CF">
            <w:pPr>
              <w:rPr>
                <w:rFonts w:cs="Arial"/>
                <w:color w:val="FF0000"/>
                <w:sz w:val="21"/>
                <w:szCs w:val="21"/>
              </w:rPr>
            </w:pPr>
          </w:p>
        </w:tc>
        <w:tc>
          <w:tcPr>
            <w:tcW w:w="217" w:type="dxa"/>
          </w:tcPr>
          <w:p w14:paraId="1ED5B78A" w14:textId="77777777" w:rsidR="002C0FD9" w:rsidRPr="00CA25CF" w:rsidRDefault="002C0FD9" w:rsidP="00CA25CF">
            <w:pPr>
              <w:rPr>
                <w:rFonts w:cs="Arial"/>
                <w:color w:val="FF0000"/>
                <w:sz w:val="21"/>
                <w:szCs w:val="21"/>
              </w:rPr>
            </w:pPr>
          </w:p>
        </w:tc>
        <w:tc>
          <w:tcPr>
            <w:tcW w:w="217" w:type="dxa"/>
          </w:tcPr>
          <w:p w14:paraId="07EED9EA" w14:textId="77777777" w:rsidR="002C0FD9" w:rsidRPr="00CA25CF" w:rsidRDefault="002C0FD9" w:rsidP="00CA25CF">
            <w:pPr>
              <w:rPr>
                <w:rFonts w:cs="Arial"/>
                <w:color w:val="FF0000"/>
                <w:sz w:val="21"/>
                <w:szCs w:val="21"/>
              </w:rPr>
            </w:pPr>
          </w:p>
        </w:tc>
        <w:tc>
          <w:tcPr>
            <w:tcW w:w="217" w:type="dxa"/>
          </w:tcPr>
          <w:p w14:paraId="712AA2FF" w14:textId="77777777" w:rsidR="002C0FD9" w:rsidRPr="00CA25CF" w:rsidRDefault="002C0FD9" w:rsidP="00CA25CF">
            <w:pPr>
              <w:rPr>
                <w:rFonts w:cs="Arial"/>
                <w:color w:val="FF0000"/>
                <w:sz w:val="21"/>
                <w:szCs w:val="21"/>
              </w:rPr>
            </w:pPr>
          </w:p>
        </w:tc>
        <w:tc>
          <w:tcPr>
            <w:tcW w:w="217" w:type="dxa"/>
          </w:tcPr>
          <w:p w14:paraId="0BBC0B4C" w14:textId="77777777" w:rsidR="002C0FD9" w:rsidRPr="00CA25CF" w:rsidRDefault="002C0FD9" w:rsidP="00CA25CF">
            <w:pPr>
              <w:rPr>
                <w:rFonts w:cs="Arial"/>
                <w:color w:val="FF0000"/>
                <w:sz w:val="21"/>
                <w:szCs w:val="21"/>
              </w:rPr>
            </w:pPr>
          </w:p>
        </w:tc>
        <w:tc>
          <w:tcPr>
            <w:tcW w:w="217" w:type="dxa"/>
          </w:tcPr>
          <w:p w14:paraId="480A236C" w14:textId="77777777" w:rsidR="002C0FD9" w:rsidRPr="00CA25CF" w:rsidRDefault="002C0FD9" w:rsidP="00CA25CF">
            <w:pPr>
              <w:rPr>
                <w:rFonts w:cs="Arial"/>
                <w:color w:val="FF0000"/>
                <w:sz w:val="21"/>
                <w:szCs w:val="21"/>
              </w:rPr>
            </w:pPr>
          </w:p>
        </w:tc>
        <w:tc>
          <w:tcPr>
            <w:tcW w:w="217" w:type="dxa"/>
          </w:tcPr>
          <w:p w14:paraId="47FDC4A5" w14:textId="77777777" w:rsidR="002C0FD9" w:rsidRPr="00CA25CF" w:rsidRDefault="002C0FD9" w:rsidP="00CA25CF">
            <w:pPr>
              <w:rPr>
                <w:rFonts w:cs="Arial"/>
                <w:color w:val="FF0000"/>
                <w:sz w:val="21"/>
                <w:szCs w:val="21"/>
              </w:rPr>
            </w:pPr>
          </w:p>
        </w:tc>
        <w:tc>
          <w:tcPr>
            <w:tcW w:w="217" w:type="dxa"/>
          </w:tcPr>
          <w:p w14:paraId="6D6DC2AF" w14:textId="77777777" w:rsidR="002C0FD9" w:rsidRPr="00CA25CF" w:rsidRDefault="002C0FD9" w:rsidP="00CA25CF">
            <w:pPr>
              <w:rPr>
                <w:rFonts w:cs="Arial"/>
                <w:color w:val="FF0000"/>
                <w:sz w:val="21"/>
                <w:szCs w:val="21"/>
              </w:rPr>
            </w:pPr>
          </w:p>
        </w:tc>
        <w:tc>
          <w:tcPr>
            <w:tcW w:w="217" w:type="dxa"/>
          </w:tcPr>
          <w:p w14:paraId="26D29E20" w14:textId="77777777" w:rsidR="002C0FD9" w:rsidRPr="00CA25CF" w:rsidRDefault="002C0FD9" w:rsidP="00CA25CF">
            <w:pPr>
              <w:rPr>
                <w:rFonts w:cs="Arial"/>
                <w:color w:val="FF0000"/>
                <w:sz w:val="21"/>
                <w:szCs w:val="21"/>
              </w:rPr>
            </w:pPr>
          </w:p>
        </w:tc>
        <w:tc>
          <w:tcPr>
            <w:tcW w:w="217" w:type="dxa"/>
          </w:tcPr>
          <w:p w14:paraId="7908F056" w14:textId="77777777" w:rsidR="002C0FD9" w:rsidRPr="00CA25CF" w:rsidRDefault="002C0FD9" w:rsidP="00CA25CF">
            <w:pPr>
              <w:rPr>
                <w:rFonts w:cs="Arial"/>
                <w:color w:val="FF0000"/>
                <w:sz w:val="21"/>
                <w:szCs w:val="21"/>
              </w:rPr>
            </w:pPr>
          </w:p>
        </w:tc>
        <w:tc>
          <w:tcPr>
            <w:tcW w:w="217" w:type="dxa"/>
          </w:tcPr>
          <w:p w14:paraId="66F914B7" w14:textId="77777777" w:rsidR="002C0FD9" w:rsidRPr="00CA25CF" w:rsidRDefault="002C0FD9" w:rsidP="00CA25CF">
            <w:pPr>
              <w:rPr>
                <w:rFonts w:cs="Arial"/>
                <w:color w:val="FF0000"/>
                <w:sz w:val="21"/>
                <w:szCs w:val="21"/>
              </w:rPr>
            </w:pPr>
          </w:p>
        </w:tc>
        <w:tc>
          <w:tcPr>
            <w:tcW w:w="217" w:type="dxa"/>
          </w:tcPr>
          <w:p w14:paraId="7C9CABE2" w14:textId="77777777" w:rsidR="002C0FD9" w:rsidRPr="00CA25CF" w:rsidRDefault="002C0FD9" w:rsidP="00CA25CF">
            <w:pPr>
              <w:rPr>
                <w:rFonts w:cs="Arial"/>
                <w:color w:val="FF0000"/>
                <w:sz w:val="21"/>
                <w:szCs w:val="21"/>
              </w:rPr>
            </w:pPr>
          </w:p>
        </w:tc>
        <w:tc>
          <w:tcPr>
            <w:tcW w:w="217" w:type="dxa"/>
          </w:tcPr>
          <w:p w14:paraId="217B0386" w14:textId="77777777" w:rsidR="002C0FD9" w:rsidRPr="00CA25CF" w:rsidRDefault="002C0FD9" w:rsidP="00CA25CF">
            <w:pPr>
              <w:rPr>
                <w:rFonts w:cs="Arial"/>
                <w:color w:val="FF0000"/>
                <w:sz w:val="21"/>
                <w:szCs w:val="21"/>
              </w:rPr>
            </w:pPr>
          </w:p>
        </w:tc>
        <w:tc>
          <w:tcPr>
            <w:tcW w:w="217" w:type="dxa"/>
          </w:tcPr>
          <w:p w14:paraId="07430047" w14:textId="77777777" w:rsidR="002C0FD9" w:rsidRPr="00CA25CF" w:rsidRDefault="002C0FD9" w:rsidP="00CA25CF">
            <w:pPr>
              <w:rPr>
                <w:rFonts w:cs="Arial"/>
                <w:color w:val="FF0000"/>
                <w:sz w:val="21"/>
                <w:szCs w:val="21"/>
              </w:rPr>
            </w:pPr>
          </w:p>
        </w:tc>
        <w:tc>
          <w:tcPr>
            <w:tcW w:w="217" w:type="dxa"/>
          </w:tcPr>
          <w:p w14:paraId="306E5A0B" w14:textId="77777777" w:rsidR="002C0FD9" w:rsidRPr="00CA25CF" w:rsidRDefault="002C0FD9" w:rsidP="00CA25CF">
            <w:pPr>
              <w:rPr>
                <w:rFonts w:cs="Arial"/>
                <w:color w:val="FF0000"/>
                <w:sz w:val="21"/>
                <w:szCs w:val="21"/>
              </w:rPr>
            </w:pPr>
          </w:p>
        </w:tc>
        <w:tc>
          <w:tcPr>
            <w:tcW w:w="217" w:type="dxa"/>
          </w:tcPr>
          <w:p w14:paraId="14811EF5" w14:textId="77777777" w:rsidR="002C0FD9" w:rsidRPr="00CA25CF" w:rsidRDefault="002C0FD9" w:rsidP="00CA25CF">
            <w:pPr>
              <w:rPr>
                <w:rFonts w:cs="Arial"/>
                <w:color w:val="FF0000"/>
                <w:sz w:val="21"/>
                <w:szCs w:val="21"/>
              </w:rPr>
            </w:pPr>
          </w:p>
        </w:tc>
        <w:tc>
          <w:tcPr>
            <w:tcW w:w="217" w:type="dxa"/>
          </w:tcPr>
          <w:p w14:paraId="388D5101" w14:textId="77777777" w:rsidR="002C0FD9" w:rsidRPr="00CA25CF" w:rsidRDefault="002C0FD9" w:rsidP="00CA25CF">
            <w:pPr>
              <w:rPr>
                <w:rFonts w:cs="Arial"/>
                <w:color w:val="FF0000"/>
                <w:sz w:val="21"/>
                <w:szCs w:val="21"/>
              </w:rPr>
            </w:pPr>
          </w:p>
        </w:tc>
        <w:tc>
          <w:tcPr>
            <w:tcW w:w="217" w:type="dxa"/>
          </w:tcPr>
          <w:p w14:paraId="20696F74" w14:textId="77777777" w:rsidR="002C0FD9" w:rsidRPr="00CA25CF" w:rsidRDefault="002C0FD9" w:rsidP="00CA25CF">
            <w:pPr>
              <w:rPr>
                <w:rFonts w:cs="Arial"/>
                <w:color w:val="FF0000"/>
                <w:sz w:val="21"/>
                <w:szCs w:val="21"/>
              </w:rPr>
            </w:pPr>
          </w:p>
        </w:tc>
        <w:tc>
          <w:tcPr>
            <w:tcW w:w="217" w:type="dxa"/>
          </w:tcPr>
          <w:p w14:paraId="07E571B0" w14:textId="77777777" w:rsidR="002C0FD9" w:rsidRPr="00CA25CF" w:rsidRDefault="002C0FD9" w:rsidP="00CA25CF">
            <w:pPr>
              <w:rPr>
                <w:rFonts w:cs="Arial"/>
                <w:color w:val="FF0000"/>
                <w:sz w:val="21"/>
                <w:szCs w:val="21"/>
              </w:rPr>
            </w:pPr>
          </w:p>
        </w:tc>
        <w:tc>
          <w:tcPr>
            <w:tcW w:w="217" w:type="dxa"/>
          </w:tcPr>
          <w:p w14:paraId="0847176D" w14:textId="77777777" w:rsidR="002C0FD9" w:rsidRPr="00CA25CF" w:rsidRDefault="002C0FD9" w:rsidP="00CA25CF">
            <w:pPr>
              <w:rPr>
                <w:rFonts w:cs="Arial"/>
                <w:color w:val="FF0000"/>
                <w:sz w:val="21"/>
                <w:szCs w:val="21"/>
              </w:rPr>
            </w:pPr>
          </w:p>
        </w:tc>
        <w:tc>
          <w:tcPr>
            <w:tcW w:w="217" w:type="dxa"/>
          </w:tcPr>
          <w:p w14:paraId="2A5A63B3" w14:textId="77777777" w:rsidR="002C0FD9" w:rsidRPr="00CA25CF" w:rsidRDefault="002C0FD9" w:rsidP="00CA25CF">
            <w:pPr>
              <w:rPr>
                <w:rFonts w:cs="Arial"/>
                <w:color w:val="FF0000"/>
                <w:sz w:val="21"/>
                <w:szCs w:val="21"/>
              </w:rPr>
            </w:pPr>
          </w:p>
        </w:tc>
        <w:tc>
          <w:tcPr>
            <w:tcW w:w="217" w:type="dxa"/>
          </w:tcPr>
          <w:p w14:paraId="68AF9F38" w14:textId="77777777" w:rsidR="002C0FD9" w:rsidRPr="00CA25CF" w:rsidRDefault="002C0FD9" w:rsidP="00CA25CF">
            <w:pPr>
              <w:rPr>
                <w:rFonts w:cs="Arial"/>
                <w:color w:val="FF0000"/>
                <w:sz w:val="21"/>
                <w:szCs w:val="21"/>
              </w:rPr>
            </w:pPr>
          </w:p>
        </w:tc>
        <w:tc>
          <w:tcPr>
            <w:tcW w:w="217" w:type="dxa"/>
          </w:tcPr>
          <w:p w14:paraId="347C1557" w14:textId="77777777" w:rsidR="002C0FD9" w:rsidRPr="00CA25CF" w:rsidRDefault="002C0FD9" w:rsidP="00CA25CF">
            <w:pPr>
              <w:rPr>
                <w:rFonts w:cs="Arial"/>
                <w:color w:val="FF0000"/>
                <w:sz w:val="21"/>
                <w:szCs w:val="21"/>
              </w:rPr>
            </w:pPr>
          </w:p>
        </w:tc>
        <w:tc>
          <w:tcPr>
            <w:tcW w:w="217" w:type="dxa"/>
          </w:tcPr>
          <w:p w14:paraId="174B76F6" w14:textId="77777777" w:rsidR="002C0FD9" w:rsidRPr="00CA25CF" w:rsidRDefault="002C0FD9" w:rsidP="00CA25CF">
            <w:pPr>
              <w:rPr>
                <w:rFonts w:cs="Arial"/>
                <w:color w:val="FF0000"/>
                <w:sz w:val="21"/>
                <w:szCs w:val="21"/>
              </w:rPr>
            </w:pPr>
          </w:p>
        </w:tc>
        <w:tc>
          <w:tcPr>
            <w:tcW w:w="217" w:type="dxa"/>
          </w:tcPr>
          <w:p w14:paraId="451F725D" w14:textId="77777777" w:rsidR="002C0FD9" w:rsidRPr="00CA25CF" w:rsidRDefault="002C0FD9" w:rsidP="00CA25CF">
            <w:pPr>
              <w:rPr>
                <w:rFonts w:cs="Arial"/>
                <w:color w:val="FF0000"/>
                <w:sz w:val="21"/>
                <w:szCs w:val="21"/>
              </w:rPr>
            </w:pPr>
          </w:p>
        </w:tc>
        <w:tc>
          <w:tcPr>
            <w:tcW w:w="217" w:type="dxa"/>
          </w:tcPr>
          <w:p w14:paraId="6273400F" w14:textId="77777777" w:rsidR="002C0FD9" w:rsidRPr="00CA25CF" w:rsidRDefault="002C0FD9" w:rsidP="00CA25CF">
            <w:pPr>
              <w:rPr>
                <w:rFonts w:cs="Arial"/>
                <w:color w:val="FF0000"/>
                <w:sz w:val="21"/>
                <w:szCs w:val="21"/>
              </w:rPr>
            </w:pPr>
          </w:p>
        </w:tc>
        <w:tc>
          <w:tcPr>
            <w:tcW w:w="217" w:type="dxa"/>
          </w:tcPr>
          <w:p w14:paraId="7A6D7D53" w14:textId="77777777" w:rsidR="002C0FD9" w:rsidRPr="00CA25CF" w:rsidRDefault="002C0FD9" w:rsidP="00CA25CF">
            <w:pPr>
              <w:rPr>
                <w:rFonts w:cs="Arial"/>
                <w:color w:val="FF0000"/>
                <w:sz w:val="21"/>
                <w:szCs w:val="21"/>
              </w:rPr>
            </w:pPr>
          </w:p>
        </w:tc>
        <w:tc>
          <w:tcPr>
            <w:tcW w:w="217" w:type="dxa"/>
          </w:tcPr>
          <w:p w14:paraId="556DDF59" w14:textId="77777777" w:rsidR="002C0FD9" w:rsidRPr="00CA25CF" w:rsidRDefault="002C0FD9" w:rsidP="00CA25CF">
            <w:pPr>
              <w:rPr>
                <w:rFonts w:cs="Arial"/>
                <w:color w:val="FF0000"/>
                <w:sz w:val="21"/>
                <w:szCs w:val="21"/>
              </w:rPr>
            </w:pPr>
          </w:p>
        </w:tc>
        <w:tc>
          <w:tcPr>
            <w:tcW w:w="217" w:type="dxa"/>
          </w:tcPr>
          <w:p w14:paraId="731E3F75" w14:textId="77777777" w:rsidR="002C0FD9" w:rsidRPr="00CA25CF" w:rsidRDefault="002C0FD9" w:rsidP="00CA25CF">
            <w:pPr>
              <w:rPr>
                <w:rFonts w:cs="Arial"/>
                <w:color w:val="FF0000"/>
                <w:sz w:val="21"/>
                <w:szCs w:val="21"/>
              </w:rPr>
            </w:pPr>
          </w:p>
        </w:tc>
        <w:tc>
          <w:tcPr>
            <w:tcW w:w="217" w:type="dxa"/>
          </w:tcPr>
          <w:p w14:paraId="6A755B72" w14:textId="77777777" w:rsidR="002C0FD9" w:rsidRPr="00CA25CF" w:rsidRDefault="002C0FD9" w:rsidP="00CA25CF">
            <w:pPr>
              <w:rPr>
                <w:rFonts w:cs="Arial"/>
                <w:color w:val="FF0000"/>
                <w:sz w:val="21"/>
                <w:szCs w:val="21"/>
              </w:rPr>
            </w:pPr>
          </w:p>
        </w:tc>
      </w:tr>
      <w:tr w:rsidR="002C0FD9" w:rsidRPr="00A16219" w14:paraId="38EBD520" w14:textId="77777777" w:rsidTr="002C0FD9">
        <w:trPr>
          <w:trHeight w:val="635"/>
        </w:trPr>
        <w:tc>
          <w:tcPr>
            <w:tcW w:w="515" w:type="dxa"/>
          </w:tcPr>
          <w:p w14:paraId="07E5FCB8" w14:textId="77777777" w:rsidR="002C0FD9" w:rsidRPr="00CA25CF" w:rsidRDefault="002C0FD9" w:rsidP="00CA25CF">
            <w:pPr>
              <w:rPr>
                <w:rFonts w:cs="Arial"/>
                <w:color w:val="FF0000"/>
                <w:sz w:val="21"/>
                <w:szCs w:val="21"/>
              </w:rPr>
            </w:pPr>
          </w:p>
        </w:tc>
        <w:tc>
          <w:tcPr>
            <w:tcW w:w="217" w:type="dxa"/>
          </w:tcPr>
          <w:p w14:paraId="1D1CC223" w14:textId="77777777" w:rsidR="002C0FD9" w:rsidRPr="00CA25CF" w:rsidRDefault="002C0FD9" w:rsidP="00CA25CF">
            <w:pPr>
              <w:rPr>
                <w:rFonts w:cs="Arial"/>
                <w:color w:val="FF0000"/>
                <w:sz w:val="21"/>
                <w:szCs w:val="21"/>
              </w:rPr>
            </w:pPr>
          </w:p>
        </w:tc>
        <w:tc>
          <w:tcPr>
            <w:tcW w:w="217" w:type="dxa"/>
          </w:tcPr>
          <w:p w14:paraId="73508164" w14:textId="77777777" w:rsidR="002C0FD9" w:rsidRPr="00CA25CF" w:rsidRDefault="002C0FD9" w:rsidP="00CA25CF">
            <w:pPr>
              <w:rPr>
                <w:rFonts w:cs="Arial"/>
                <w:color w:val="FF0000"/>
                <w:sz w:val="21"/>
                <w:szCs w:val="21"/>
              </w:rPr>
            </w:pPr>
          </w:p>
        </w:tc>
        <w:tc>
          <w:tcPr>
            <w:tcW w:w="217" w:type="dxa"/>
          </w:tcPr>
          <w:p w14:paraId="7280E0DF" w14:textId="77777777" w:rsidR="002C0FD9" w:rsidRPr="00CA25CF" w:rsidRDefault="002C0FD9" w:rsidP="00CA25CF">
            <w:pPr>
              <w:rPr>
                <w:rFonts w:cs="Arial"/>
                <w:color w:val="FF0000"/>
                <w:sz w:val="21"/>
                <w:szCs w:val="21"/>
              </w:rPr>
            </w:pPr>
          </w:p>
        </w:tc>
        <w:tc>
          <w:tcPr>
            <w:tcW w:w="217" w:type="dxa"/>
          </w:tcPr>
          <w:p w14:paraId="553FBB7A" w14:textId="77777777" w:rsidR="002C0FD9" w:rsidRPr="00CA25CF" w:rsidRDefault="002C0FD9" w:rsidP="00CA25CF">
            <w:pPr>
              <w:rPr>
                <w:rFonts w:cs="Arial"/>
                <w:color w:val="FF0000"/>
                <w:sz w:val="21"/>
                <w:szCs w:val="21"/>
              </w:rPr>
            </w:pPr>
          </w:p>
        </w:tc>
        <w:tc>
          <w:tcPr>
            <w:tcW w:w="217" w:type="dxa"/>
          </w:tcPr>
          <w:p w14:paraId="090829E4" w14:textId="77777777" w:rsidR="002C0FD9" w:rsidRPr="00CA25CF" w:rsidRDefault="002C0FD9" w:rsidP="00CA25CF">
            <w:pPr>
              <w:rPr>
                <w:rFonts w:cs="Arial"/>
                <w:color w:val="FF0000"/>
                <w:sz w:val="21"/>
                <w:szCs w:val="21"/>
              </w:rPr>
            </w:pPr>
          </w:p>
        </w:tc>
        <w:tc>
          <w:tcPr>
            <w:tcW w:w="217" w:type="dxa"/>
          </w:tcPr>
          <w:p w14:paraId="193BB8E4" w14:textId="77777777" w:rsidR="002C0FD9" w:rsidRPr="00CA25CF" w:rsidRDefault="002C0FD9" w:rsidP="00CA25CF">
            <w:pPr>
              <w:rPr>
                <w:rFonts w:cs="Arial"/>
                <w:color w:val="FF0000"/>
                <w:sz w:val="21"/>
                <w:szCs w:val="21"/>
              </w:rPr>
            </w:pPr>
          </w:p>
        </w:tc>
        <w:tc>
          <w:tcPr>
            <w:tcW w:w="217" w:type="dxa"/>
          </w:tcPr>
          <w:p w14:paraId="2330CAFC" w14:textId="77777777" w:rsidR="002C0FD9" w:rsidRPr="00CA25CF" w:rsidRDefault="002C0FD9" w:rsidP="00CA25CF">
            <w:pPr>
              <w:rPr>
                <w:rFonts w:cs="Arial"/>
                <w:color w:val="FF0000"/>
                <w:sz w:val="21"/>
                <w:szCs w:val="21"/>
              </w:rPr>
            </w:pPr>
          </w:p>
        </w:tc>
        <w:tc>
          <w:tcPr>
            <w:tcW w:w="217" w:type="dxa"/>
          </w:tcPr>
          <w:p w14:paraId="21E7FC51" w14:textId="77777777" w:rsidR="002C0FD9" w:rsidRPr="00CA25CF" w:rsidRDefault="002C0FD9" w:rsidP="00CA25CF">
            <w:pPr>
              <w:rPr>
                <w:rFonts w:cs="Arial"/>
                <w:color w:val="FF0000"/>
                <w:sz w:val="21"/>
                <w:szCs w:val="21"/>
              </w:rPr>
            </w:pPr>
          </w:p>
        </w:tc>
        <w:tc>
          <w:tcPr>
            <w:tcW w:w="217" w:type="dxa"/>
          </w:tcPr>
          <w:p w14:paraId="5BC76FF0" w14:textId="77777777" w:rsidR="002C0FD9" w:rsidRPr="00CA25CF" w:rsidRDefault="002C0FD9" w:rsidP="00CA25CF">
            <w:pPr>
              <w:rPr>
                <w:rFonts w:cs="Arial"/>
                <w:color w:val="FF0000"/>
                <w:sz w:val="21"/>
                <w:szCs w:val="21"/>
              </w:rPr>
            </w:pPr>
          </w:p>
        </w:tc>
        <w:tc>
          <w:tcPr>
            <w:tcW w:w="217" w:type="dxa"/>
          </w:tcPr>
          <w:p w14:paraId="0D1E3317" w14:textId="77777777" w:rsidR="002C0FD9" w:rsidRPr="00CA25CF" w:rsidRDefault="002C0FD9" w:rsidP="00CA25CF">
            <w:pPr>
              <w:rPr>
                <w:rFonts w:cs="Arial"/>
                <w:color w:val="FF0000"/>
                <w:sz w:val="21"/>
                <w:szCs w:val="21"/>
              </w:rPr>
            </w:pPr>
          </w:p>
        </w:tc>
        <w:tc>
          <w:tcPr>
            <w:tcW w:w="217" w:type="dxa"/>
          </w:tcPr>
          <w:p w14:paraId="5A9AB838" w14:textId="77777777" w:rsidR="002C0FD9" w:rsidRPr="00CA25CF" w:rsidRDefault="002C0FD9" w:rsidP="00CA25CF">
            <w:pPr>
              <w:rPr>
                <w:rFonts w:cs="Arial"/>
                <w:color w:val="FF0000"/>
                <w:sz w:val="21"/>
                <w:szCs w:val="21"/>
              </w:rPr>
            </w:pPr>
          </w:p>
        </w:tc>
        <w:tc>
          <w:tcPr>
            <w:tcW w:w="217" w:type="dxa"/>
          </w:tcPr>
          <w:p w14:paraId="7C9A2564" w14:textId="77777777" w:rsidR="002C0FD9" w:rsidRPr="00CA25CF" w:rsidRDefault="002C0FD9" w:rsidP="00CA25CF">
            <w:pPr>
              <w:rPr>
                <w:rFonts w:cs="Arial"/>
                <w:color w:val="FF0000"/>
                <w:sz w:val="21"/>
                <w:szCs w:val="21"/>
              </w:rPr>
            </w:pPr>
          </w:p>
        </w:tc>
        <w:tc>
          <w:tcPr>
            <w:tcW w:w="217" w:type="dxa"/>
          </w:tcPr>
          <w:p w14:paraId="4099607E" w14:textId="77777777" w:rsidR="002C0FD9" w:rsidRPr="00CA25CF" w:rsidRDefault="002C0FD9" w:rsidP="00CA25CF">
            <w:pPr>
              <w:rPr>
                <w:rFonts w:cs="Arial"/>
                <w:color w:val="FF0000"/>
                <w:sz w:val="21"/>
                <w:szCs w:val="21"/>
              </w:rPr>
            </w:pPr>
          </w:p>
        </w:tc>
        <w:tc>
          <w:tcPr>
            <w:tcW w:w="217" w:type="dxa"/>
          </w:tcPr>
          <w:p w14:paraId="5717A2A8" w14:textId="77777777" w:rsidR="002C0FD9" w:rsidRPr="00CA25CF" w:rsidRDefault="002C0FD9" w:rsidP="00CA25CF">
            <w:pPr>
              <w:rPr>
                <w:rFonts w:cs="Arial"/>
                <w:color w:val="FF0000"/>
                <w:sz w:val="21"/>
                <w:szCs w:val="21"/>
              </w:rPr>
            </w:pPr>
          </w:p>
        </w:tc>
        <w:tc>
          <w:tcPr>
            <w:tcW w:w="217" w:type="dxa"/>
          </w:tcPr>
          <w:p w14:paraId="40C7DB8D" w14:textId="77777777" w:rsidR="002C0FD9" w:rsidRPr="00CA25CF" w:rsidRDefault="002C0FD9" w:rsidP="00CA25CF">
            <w:pPr>
              <w:rPr>
                <w:rFonts w:cs="Arial"/>
                <w:color w:val="FF0000"/>
                <w:sz w:val="21"/>
                <w:szCs w:val="21"/>
              </w:rPr>
            </w:pPr>
          </w:p>
        </w:tc>
        <w:tc>
          <w:tcPr>
            <w:tcW w:w="217" w:type="dxa"/>
          </w:tcPr>
          <w:p w14:paraId="4E3E85DD" w14:textId="77777777" w:rsidR="002C0FD9" w:rsidRPr="00CA25CF" w:rsidRDefault="002C0FD9" w:rsidP="00CA25CF">
            <w:pPr>
              <w:rPr>
                <w:rFonts w:cs="Arial"/>
                <w:color w:val="FF0000"/>
                <w:sz w:val="21"/>
                <w:szCs w:val="21"/>
              </w:rPr>
            </w:pPr>
          </w:p>
        </w:tc>
        <w:tc>
          <w:tcPr>
            <w:tcW w:w="217" w:type="dxa"/>
          </w:tcPr>
          <w:p w14:paraId="4FA260BA" w14:textId="77777777" w:rsidR="002C0FD9" w:rsidRPr="00CA25CF" w:rsidRDefault="002C0FD9" w:rsidP="00CA25CF">
            <w:pPr>
              <w:rPr>
                <w:rFonts w:cs="Arial"/>
                <w:color w:val="FF0000"/>
                <w:sz w:val="21"/>
                <w:szCs w:val="21"/>
              </w:rPr>
            </w:pPr>
          </w:p>
        </w:tc>
        <w:tc>
          <w:tcPr>
            <w:tcW w:w="217" w:type="dxa"/>
          </w:tcPr>
          <w:p w14:paraId="23659990" w14:textId="77777777" w:rsidR="002C0FD9" w:rsidRPr="00CA25CF" w:rsidRDefault="002C0FD9" w:rsidP="00CA25CF">
            <w:pPr>
              <w:rPr>
                <w:rFonts w:cs="Arial"/>
                <w:color w:val="FF0000"/>
                <w:sz w:val="21"/>
                <w:szCs w:val="21"/>
              </w:rPr>
            </w:pPr>
          </w:p>
        </w:tc>
        <w:tc>
          <w:tcPr>
            <w:tcW w:w="217" w:type="dxa"/>
          </w:tcPr>
          <w:p w14:paraId="0BC0E290" w14:textId="77777777" w:rsidR="002C0FD9" w:rsidRPr="00CA25CF" w:rsidRDefault="002C0FD9" w:rsidP="00CA25CF">
            <w:pPr>
              <w:rPr>
                <w:rFonts w:cs="Arial"/>
                <w:color w:val="FF0000"/>
                <w:sz w:val="21"/>
                <w:szCs w:val="21"/>
              </w:rPr>
            </w:pPr>
          </w:p>
        </w:tc>
        <w:tc>
          <w:tcPr>
            <w:tcW w:w="217" w:type="dxa"/>
          </w:tcPr>
          <w:p w14:paraId="01C0591A" w14:textId="77777777" w:rsidR="002C0FD9" w:rsidRPr="00CA25CF" w:rsidRDefault="002C0FD9" w:rsidP="00CA25CF">
            <w:pPr>
              <w:rPr>
                <w:rFonts w:cs="Arial"/>
                <w:color w:val="FF0000"/>
                <w:sz w:val="21"/>
                <w:szCs w:val="21"/>
              </w:rPr>
            </w:pPr>
          </w:p>
        </w:tc>
        <w:tc>
          <w:tcPr>
            <w:tcW w:w="217" w:type="dxa"/>
          </w:tcPr>
          <w:p w14:paraId="4B26E30E" w14:textId="77777777" w:rsidR="002C0FD9" w:rsidRPr="00CA25CF" w:rsidRDefault="002C0FD9" w:rsidP="00CA25CF">
            <w:pPr>
              <w:rPr>
                <w:rFonts w:cs="Arial"/>
                <w:color w:val="FF0000"/>
                <w:sz w:val="21"/>
                <w:szCs w:val="21"/>
              </w:rPr>
            </w:pPr>
          </w:p>
        </w:tc>
        <w:tc>
          <w:tcPr>
            <w:tcW w:w="217" w:type="dxa"/>
          </w:tcPr>
          <w:p w14:paraId="2DE17B2A" w14:textId="77777777" w:rsidR="002C0FD9" w:rsidRPr="00CA25CF" w:rsidRDefault="002C0FD9" w:rsidP="00CA25CF">
            <w:pPr>
              <w:rPr>
                <w:rFonts w:cs="Arial"/>
                <w:color w:val="FF0000"/>
                <w:sz w:val="21"/>
                <w:szCs w:val="21"/>
              </w:rPr>
            </w:pPr>
          </w:p>
        </w:tc>
        <w:tc>
          <w:tcPr>
            <w:tcW w:w="217" w:type="dxa"/>
          </w:tcPr>
          <w:p w14:paraId="3E3EB407" w14:textId="77777777" w:rsidR="002C0FD9" w:rsidRPr="00CA25CF" w:rsidRDefault="002C0FD9" w:rsidP="00CA25CF">
            <w:pPr>
              <w:rPr>
                <w:rFonts w:cs="Arial"/>
                <w:color w:val="FF0000"/>
                <w:sz w:val="21"/>
                <w:szCs w:val="21"/>
              </w:rPr>
            </w:pPr>
          </w:p>
        </w:tc>
        <w:tc>
          <w:tcPr>
            <w:tcW w:w="217" w:type="dxa"/>
          </w:tcPr>
          <w:p w14:paraId="068D4C1C" w14:textId="77777777" w:rsidR="002C0FD9" w:rsidRPr="00CA25CF" w:rsidRDefault="002C0FD9" w:rsidP="00CA25CF">
            <w:pPr>
              <w:rPr>
                <w:rFonts w:cs="Arial"/>
                <w:color w:val="FF0000"/>
                <w:sz w:val="21"/>
                <w:szCs w:val="21"/>
              </w:rPr>
            </w:pPr>
          </w:p>
        </w:tc>
        <w:tc>
          <w:tcPr>
            <w:tcW w:w="217" w:type="dxa"/>
          </w:tcPr>
          <w:p w14:paraId="75AD804C" w14:textId="77777777" w:rsidR="002C0FD9" w:rsidRPr="00CA25CF" w:rsidRDefault="002C0FD9" w:rsidP="00CA25CF">
            <w:pPr>
              <w:rPr>
                <w:rFonts w:cs="Arial"/>
                <w:color w:val="FF0000"/>
                <w:sz w:val="21"/>
                <w:szCs w:val="21"/>
              </w:rPr>
            </w:pPr>
          </w:p>
        </w:tc>
        <w:tc>
          <w:tcPr>
            <w:tcW w:w="217" w:type="dxa"/>
          </w:tcPr>
          <w:p w14:paraId="1C1FD14F" w14:textId="77777777" w:rsidR="002C0FD9" w:rsidRPr="00CA25CF" w:rsidRDefault="002C0FD9" w:rsidP="00CA25CF">
            <w:pPr>
              <w:rPr>
                <w:rFonts w:cs="Arial"/>
                <w:color w:val="FF0000"/>
                <w:sz w:val="21"/>
                <w:szCs w:val="21"/>
              </w:rPr>
            </w:pPr>
          </w:p>
        </w:tc>
        <w:tc>
          <w:tcPr>
            <w:tcW w:w="217" w:type="dxa"/>
          </w:tcPr>
          <w:p w14:paraId="0BAD742E" w14:textId="77777777" w:rsidR="002C0FD9" w:rsidRPr="00CA25CF" w:rsidRDefault="002C0FD9" w:rsidP="00CA25CF">
            <w:pPr>
              <w:rPr>
                <w:rFonts w:cs="Arial"/>
                <w:color w:val="FF0000"/>
                <w:sz w:val="21"/>
                <w:szCs w:val="21"/>
              </w:rPr>
            </w:pPr>
          </w:p>
        </w:tc>
        <w:tc>
          <w:tcPr>
            <w:tcW w:w="217" w:type="dxa"/>
          </w:tcPr>
          <w:p w14:paraId="184ED032" w14:textId="77777777" w:rsidR="002C0FD9" w:rsidRPr="00CA25CF" w:rsidRDefault="002C0FD9" w:rsidP="00CA25CF">
            <w:pPr>
              <w:rPr>
                <w:rFonts w:cs="Arial"/>
                <w:color w:val="FF0000"/>
                <w:sz w:val="21"/>
                <w:szCs w:val="21"/>
              </w:rPr>
            </w:pPr>
          </w:p>
        </w:tc>
        <w:tc>
          <w:tcPr>
            <w:tcW w:w="217" w:type="dxa"/>
          </w:tcPr>
          <w:p w14:paraId="2295CC95" w14:textId="77777777" w:rsidR="002C0FD9" w:rsidRPr="00CA25CF" w:rsidRDefault="002C0FD9" w:rsidP="00CA25CF">
            <w:pPr>
              <w:rPr>
                <w:rFonts w:cs="Arial"/>
                <w:color w:val="FF0000"/>
                <w:sz w:val="21"/>
                <w:szCs w:val="21"/>
              </w:rPr>
            </w:pPr>
          </w:p>
        </w:tc>
        <w:tc>
          <w:tcPr>
            <w:tcW w:w="217" w:type="dxa"/>
          </w:tcPr>
          <w:p w14:paraId="67D62F5E" w14:textId="77777777" w:rsidR="002C0FD9" w:rsidRPr="00CA25CF" w:rsidRDefault="002C0FD9" w:rsidP="00CA25CF">
            <w:pPr>
              <w:rPr>
                <w:rFonts w:cs="Arial"/>
                <w:color w:val="FF0000"/>
                <w:sz w:val="21"/>
                <w:szCs w:val="21"/>
              </w:rPr>
            </w:pPr>
          </w:p>
        </w:tc>
        <w:tc>
          <w:tcPr>
            <w:tcW w:w="217" w:type="dxa"/>
          </w:tcPr>
          <w:p w14:paraId="1EE40EAE" w14:textId="77777777" w:rsidR="002C0FD9" w:rsidRPr="00CA25CF" w:rsidRDefault="002C0FD9" w:rsidP="00CA25CF">
            <w:pPr>
              <w:rPr>
                <w:rFonts w:cs="Arial"/>
                <w:color w:val="FF0000"/>
                <w:sz w:val="21"/>
                <w:szCs w:val="21"/>
              </w:rPr>
            </w:pPr>
          </w:p>
        </w:tc>
        <w:tc>
          <w:tcPr>
            <w:tcW w:w="217" w:type="dxa"/>
          </w:tcPr>
          <w:p w14:paraId="2E13E169" w14:textId="77777777" w:rsidR="002C0FD9" w:rsidRPr="00CA25CF" w:rsidRDefault="002C0FD9" w:rsidP="00CA25CF">
            <w:pPr>
              <w:rPr>
                <w:rFonts w:cs="Arial"/>
                <w:color w:val="FF0000"/>
                <w:sz w:val="21"/>
                <w:szCs w:val="21"/>
              </w:rPr>
            </w:pPr>
          </w:p>
        </w:tc>
        <w:tc>
          <w:tcPr>
            <w:tcW w:w="217" w:type="dxa"/>
          </w:tcPr>
          <w:p w14:paraId="4BBB3576" w14:textId="77777777" w:rsidR="002C0FD9" w:rsidRPr="00CA25CF" w:rsidRDefault="002C0FD9" w:rsidP="00CA25CF">
            <w:pPr>
              <w:rPr>
                <w:rFonts w:cs="Arial"/>
                <w:color w:val="FF0000"/>
                <w:sz w:val="21"/>
                <w:szCs w:val="21"/>
              </w:rPr>
            </w:pPr>
          </w:p>
        </w:tc>
        <w:tc>
          <w:tcPr>
            <w:tcW w:w="217" w:type="dxa"/>
          </w:tcPr>
          <w:p w14:paraId="67FED22C" w14:textId="77777777" w:rsidR="002C0FD9" w:rsidRPr="00CA25CF" w:rsidRDefault="002C0FD9" w:rsidP="00CA25CF">
            <w:pPr>
              <w:rPr>
                <w:rFonts w:cs="Arial"/>
                <w:color w:val="FF0000"/>
                <w:sz w:val="21"/>
                <w:szCs w:val="21"/>
              </w:rPr>
            </w:pPr>
          </w:p>
        </w:tc>
        <w:tc>
          <w:tcPr>
            <w:tcW w:w="217" w:type="dxa"/>
          </w:tcPr>
          <w:p w14:paraId="35D1C7D0" w14:textId="77777777" w:rsidR="002C0FD9" w:rsidRPr="00CA25CF" w:rsidRDefault="002C0FD9" w:rsidP="00CA25CF">
            <w:pPr>
              <w:rPr>
                <w:rFonts w:cs="Arial"/>
                <w:color w:val="FF0000"/>
                <w:sz w:val="21"/>
                <w:szCs w:val="21"/>
              </w:rPr>
            </w:pPr>
          </w:p>
        </w:tc>
        <w:tc>
          <w:tcPr>
            <w:tcW w:w="217" w:type="dxa"/>
          </w:tcPr>
          <w:p w14:paraId="4BEB4AA2" w14:textId="77777777" w:rsidR="002C0FD9" w:rsidRPr="00CA25CF" w:rsidRDefault="002C0FD9" w:rsidP="00CA25CF">
            <w:pPr>
              <w:rPr>
                <w:rFonts w:cs="Arial"/>
                <w:color w:val="FF0000"/>
                <w:sz w:val="21"/>
                <w:szCs w:val="21"/>
              </w:rPr>
            </w:pPr>
          </w:p>
        </w:tc>
        <w:tc>
          <w:tcPr>
            <w:tcW w:w="217" w:type="dxa"/>
          </w:tcPr>
          <w:p w14:paraId="1C9AFB0D" w14:textId="77777777" w:rsidR="002C0FD9" w:rsidRPr="00CA25CF" w:rsidRDefault="002C0FD9" w:rsidP="00CA25CF">
            <w:pPr>
              <w:rPr>
                <w:rFonts w:cs="Arial"/>
                <w:color w:val="FF0000"/>
                <w:sz w:val="21"/>
                <w:szCs w:val="21"/>
              </w:rPr>
            </w:pPr>
          </w:p>
        </w:tc>
        <w:tc>
          <w:tcPr>
            <w:tcW w:w="217" w:type="dxa"/>
          </w:tcPr>
          <w:p w14:paraId="009DDF2B" w14:textId="77777777" w:rsidR="002C0FD9" w:rsidRPr="00CA25CF" w:rsidRDefault="002C0FD9" w:rsidP="00CA25CF">
            <w:pPr>
              <w:rPr>
                <w:rFonts w:cs="Arial"/>
                <w:color w:val="FF0000"/>
                <w:sz w:val="21"/>
                <w:szCs w:val="21"/>
              </w:rPr>
            </w:pPr>
          </w:p>
        </w:tc>
        <w:tc>
          <w:tcPr>
            <w:tcW w:w="217" w:type="dxa"/>
          </w:tcPr>
          <w:p w14:paraId="43872600" w14:textId="77777777" w:rsidR="002C0FD9" w:rsidRPr="00CA25CF" w:rsidRDefault="002C0FD9" w:rsidP="00CA25CF">
            <w:pPr>
              <w:rPr>
                <w:rFonts w:cs="Arial"/>
                <w:color w:val="FF0000"/>
                <w:sz w:val="21"/>
                <w:szCs w:val="21"/>
              </w:rPr>
            </w:pPr>
          </w:p>
        </w:tc>
        <w:tc>
          <w:tcPr>
            <w:tcW w:w="217" w:type="dxa"/>
          </w:tcPr>
          <w:p w14:paraId="32C99C61" w14:textId="77777777" w:rsidR="002C0FD9" w:rsidRPr="00CA25CF" w:rsidRDefault="002C0FD9" w:rsidP="00CA25CF">
            <w:pPr>
              <w:rPr>
                <w:rFonts w:cs="Arial"/>
                <w:color w:val="FF0000"/>
                <w:sz w:val="21"/>
                <w:szCs w:val="21"/>
              </w:rPr>
            </w:pPr>
          </w:p>
        </w:tc>
        <w:tc>
          <w:tcPr>
            <w:tcW w:w="217" w:type="dxa"/>
          </w:tcPr>
          <w:p w14:paraId="7B80F406" w14:textId="77777777" w:rsidR="002C0FD9" w:rsidRPr="00CA25CF" w:rsidRDefault="002C0FD9" w:rsidP="00CA25CF">
            <w:pPr>
              <w:rPr>
                <w:rFonts w:cs="Arial"/>
                <w:color w:val="FF0000"/>
                <w:sz w:val="21"/>
                <w:szCs w:val="21"/>
              </w:rPr>
            </w:pPr>
          </w:p>
        </w:tc>
        <w:tc>
          <w:tcPr>
            <w:tcW w:w="217" w:type="dxa"/>
          </w:tcPr>
          <w:p w14:paraId="1D1E92A0" w14:textId="77777777" w:rsidR="002C0FD9" w:rsidRPr="00CA25CF" w:rsidRDefault="002C0FD9" w:rsidP="00CA25CF">
            <w:pPr>
              <w:rPr>
                <w:rFonts w:cs="Arial"/>
                <w:color w:val="FF0000"/>
                <w:sz w:val="21"/>
                <w:szCs w:val="21"/>
              </w:rPr>
            </w:pPr>
          </w:p>
        </w:tc>
      </w:tr>
      <w:tr w:rsidR="002C0FD9" w:rsidRPr="00A16219" w14:paraId="0F868CC9" w14:textId="77777777" w:rsidTr="002C0FD9">
        <w:trPr>
          <w:trHeight w:val="635"/>
        </w:trPr>
        <w:tc>
          <w:tcPr>
            <w:tcW w:w="515" w:type="dxa"/>
          </w:tcPr>
          <w:p w14:paraId="4A5BEDAA" w14:textId="77777777" w:rsidR="002C0FD9" w:rsidRPr="00CA25CF" w:rsidRDefault="002C0FD9" w:rsidP="00CA25CF">
            <w:pPr>
              <w:rPr>
                <w:rFonts w:cs="Arial"/>
                <w:color w:val="FF0000"/>
                <w:sz w:val="21"/>
                <w:szCs w:val="21"/>
              </w:rPr>
            </w:pPr>
          </w:p>
        </w:tc>
        <w:tc>
          <w:tcPr>
            <w:tcW w:w="217" w:type="dxa"/>
          </w:tcPr>
          <w:p w14:paraId="43B95FB6" w14:textId="77777777" w:rsidR="002C0FD9" w:rsidRPr="00CA25CF" w:rsidRDefault="002C0FD9" w:rsidP="00CA25CF">
            <w:pPr>
              <w:rPr>
                <w:rFonts w:cs="Arial"/>
                <w:color w:val="FF0000"/>
                <w:sz w:val="21"/>
                <w:szCs w:val="21"/>
              </w:rPr>
            </w:pPr>
          </w:p>
        </w:tc>
        <w:tc>
          <w:tcPr>
            <w:tcW w:w="217" w:type="dxa"/>
          </w:tcPr>
          <w:p w14:paraId="39999180" w14:textId="77777777" w:rsidR="002C0FD9" w:rsidRPr="00CA25CF" w:rsidRDefault="002C0FD9" w:rsidP="00CA25CF">
            <w:pPr>
              <w:rPr>
                <w:rFonts w:cs="Arial"/>
                <w:color w:val="FF0000"/>
                <w:sz w:val="21"/>
                <w:szCs w:val="21"/>
              </w:rPr>
            </w:pPr>
          </w:p>
        </w:tc>
        <w:tc>
          <w:tcPr>
            <w:tcW w:w="217" w:type="dxa"/>
          </w:tcPr>
          <w:p w14:paraId="536FA0CF" w14:textId="77777777" w:rsidR="002C0FD9" w:rsidRPr="00CA25CF" w:rsidRDefault="002C0FD9" w:rsidP="00CA25CF">
            <w:pPr>
              <w:rPr>
                <w:rFonts w:cs="Arial"/>
                <w:color w:val="FF0000"/>
                <w:sz w:val="21"/>
                <w:szCs w:val="21"/>
              </w:rPr>
            </w:pPr>
          </w:p>
        </w:tc>
        <w:tc>
          <w:tcPr>
            <w:tcW w:w="217" w:type="dxa"/>
          </w:tcPr>
          <w:p w14:paraId="7C78FFB6" w14:textId="77777777" w:rsidR="002C0FD9" w:rsidRPr="00CA25CF" w:rsidRDefault="002C0FD9" w:rsidP="00CA25CF">
            <w:pPr>
              <w:rPr>
                <w:rFonts w:cs="Arial"/>
                <w:color w:val="FF0000"/>
                <w:sz w:val="21"/>
                <w:szCs w:val="21"/>
              </w:rPr>
            </w:pPr>
          </w:p>
        </w:tc>
        <w:tc>
          <w:tcPr>
            <w:tcW w:w="217" w:type="dxa"/>
          </w:tcPr>
          <w:p w14:paraId="48F6D324" w14:textId="77777777" w:rsidR="002C0FD9" w:rsidRPr="00CA25CF" w:rsidRDefault="002C0FD9" w:rsidP="00CA25CF">
            <w:pPr>
              <w:rPr>
                <w:rFonts w:cs="Arial"/>
                <w:color w:val="FF0000"/>
                <w:sz w:val="21"/>
                <w:szCs w:val="21"/>
              </w:rPr>
            </w:pPr>
          </w:p>
        </w:tc>
        <w:tc>
          <w:tcPr>
            <w:tcW w:w="217" w:type="dxa"/>
          </w:tcPr>
          <w:p w14:paraId="400EE6D1" w14:textId="77777777" w:rsidR="002C0FD9" w:rsidRPr="00CA25CF" w:rsidRDefault="002C0FD9" w:rsidP="00CA25CF">
            <w:pPr>
              <w:rPr>
                <w:rFonts w:cs="Arial"/>
                <w:color w:val="FF0000"/>
                <w:sz w:val="21"/>
                <w:szCs w:val="21"/>
              </w:rPr>
            </w:pPr>
          </w:p>
        </w:tc>
        <w:tc>
          <w:tcPr>
            <w:tcW w:w="217" w:type="dxa"/>
          </w:tcPr>
          <w:p w14:paraId="16B9B87E" w14:textId="77777777" w:rsidR="002C0FD9" w:rsidRPr="00CA25CF" w:rsidRDefault="002C0FD9" w:rsidP="00CA25CF">
            <w:pPr>
              <w:rPr>
                <w:rFonts w:cs="Arial"/>
                <w:color w:val="FF0000"/>
                <w:sz w:val="21"/>
                <w:szCs w:val="21"/>
              </w:rPr>
            </w:pPr>
          </w:p>
        </w:tc>
        <w:tc>
          <w:tcPr>
            <w:tcW w:w="217" w:type="dxa"/>
          </w:tcPr>
          <w:p w14:paraId="6DE78812" w14:textId="77777777" w:rsidR="002C0FD9" w:rsidRPr="00CA25CF" w:rsidRDefault="002C0FD9" w:rsidP="00CA25CF">
            <w:pPr>
              <w:rPr>
                <w:rFonts w:cs="Arial"/>
                <w:color w:val="FF0000"/>
                <w:sz w:val="21"/>
                <w:szCs w:val="21"/>
              </w:rPr>
            </w:pPr>
          </w:p>
        </w:tc>
        <w:tc>
          <w:tcPr>
            <w:tcW w:w="217" w:type="dxa"/>
          </w:tcPr>
          <w:p w14:paraId="665C139F" w14:textId="77777777" w:rsidR="002C0FD9" w:rsidRPr="00CA25CF" w:rsidRDefault="002C0FD9" w:rsidP="00CA25CF">
            <w:pPr>
              <w:rPr>
                <w:rFonts w:cs="Arial"/>
                <w:color w:val="FF0000"/>
                <w:sz w:val="21"/>
                <w:szCs w:val="21"/>
              </w:rPr>
            </w:pPr>
          </w:p>
        </w:tc>
        <w:tc>
          <w:tcPr>
            <w:tcW w:w="217" w:type="dxa"/>
          </w:tcPr>
          <w:p w14:paraId="7569A8FA" w14:textId="77777777" w:rsidR="002C0FD9" w:rsidRPr="00CA25CF" w:rsidRDefault="002C0FD9" w:rsidP="00CA25CF">
            <w:pPr>
              <w:rPr>
                <w:rFonts w:cs="Arial"/>
                <w:color w:val="FF0000"/>
                <w:sz w:val="21"/>
                <w:szCs w:val="21"/>
              </w:rPr>
            </w:pPr>
          </w:p>
        </w:tc>
        <w:tc>
          <w:tcPr>
            <w:tcW w:w="217" w:type="dxa"/>
          </w:tcPr>
          <w:p w14:paraId="71848670" w14:textId="77777777" w:rsidR="002C0FD9" w:rsidRPr="00CA25CF" w:rsidRDefault="002C0FD9" w:rsidP="00CA25CF">
            <w:pPr>
              <w:rPr>
                <w:rFonts w:cs="Arial"/>
                <w:color w:val="FF0000"/>
                <w:sz w:val="21"/>
                <w:szCs w:val="21"/>
              </w:rPr>
            </w:pPr>
          </w:p>
        </w:tc>
        <w:tc>
          <w:tcPr>
            <w:tcW w:w="217" w:type="dxa"/>
          </w:tcPr>
          <w:p w14:paraId="04266E0D" w14:textId="77777777" w:rsidR="002C0FD9" w:rsidRPr="00CA25CF" w:rsidRDefault="002C0FD9" w:rsidP="00CA25CF">
            <w:pPr>
              <w:rPr>
                <w:rFonts w:cs="Arial"/>
                <w:color w:val="FF0000"/>
                <w:sz w:val="21"/>
                <w:szCs w:val="21"/>
              </w:rPr>
            </w:pPr>
          </w:p>
        </w:tc>
        <w:tc>
          <w:tcPr>
            <w:tcW w:w="217" w:type="dxa"/>
          </w:tcPr>
          <w:p w14:paraId="5158A9D6" w14:textId="77777777" w:rsidR="002C0FD9" w:rsidRPr="00CA25CF" w:rsidRDefault="002C0FD9" w:rsidP="00CA25CF">
            <w:pPr>
              <w:rPr>
                <w:rFonts w:cs="Arial"/>
                <w:color w:val="FF0000"/>
                <w:sz w:val="21"/>
                <w:szCs w:val="21"/>
              </w:rPr>
            </w:pPr>
          </w:p>
        </w:tc>
        <w:tc>
          <w:tcPr>
            <w:tcW w:w="217" w:type="dxa"/>
          </w:tcPr>
          <w:p w14:paraId="51784AA9" w14:textId="77777777" w:rsidR="002C0FD9" w:rsidRPr="00CA25CF" w:rsidRDefault="002C0FD9" w:rsidP="00CA25CF">
            <w:pPr>
              <w:rPr>
                <w:rFonts w:cs="Arial"/>
                <w:color w:val="FF0000"/>
                <w:sz w:val="21"/>
                <w:szCs w:val="21"/>
              </w:rPr>
            </w:pPr>
          </w:p>
        </w:tc>
        <w:tc>
          <w:tcPr>
            <w:tcW w:w="217" w:type="dxa"/>
          </w:tcPr>
          <w:p w14:paraId="0ED52005" w14:textId="77777777" w:rsidR="002C0FD9" w:rsidRPr="00CA25CF" w:rsidRDefault="002C0FD9" w:rsidP="00CA25CF">
            <w:pPr>
              <w:rPr>
                <w:rFonts w:cs="Arial"/>
                <w:color w:val="FF0000"/>
                <w:sz w:val="21"/>
                <w:szCs w:val="21"/>
              </w:rPr>
            </w:pPr>
          </w:p>
        </w:tc>
        <w:tc>
          <w:tcPr>
            <w:tcW w:w="217" w:type="dxa"/>
          </w:tcPr>
          <w:p w14:paraId="213A2580" w14:textId="77777777" w:rsidR="002C0FD9" w:rsidRPr="00CA25CF" w:rsidRDefault="002C0FD9" w:rsidP="00CA25CF">
            <w:pPr>
              <w:rPr>
                <w:rFonts w:cs="Arial"/>
                <w:color w:val="FF0000"/>
                <w:sz w:val="21"/>
                <w:szCs w:val="21"/>
              </w:rPr>
            </w:pPr>
          </w:p>
        </w:tc>
        <w:tc>
          <w:tcPr>
            <w:tcW w:w="217" w:type="dxa"/>
          </w:tcPr>
          <w:p w14:paraId="4EBD767E" w14:textId="77777777" w:rsidR="002C0FD9" w:rsidRPr="00CA25CF" w:rsidRDefault="002C0FD9" w:rsidP="00CA25CF">
            <w:pPr>
              <w:rPr>
                <w:rFonts w:cs="Arial"/>
                <w:color w:val="FF0000"/>
                <w:sz w:val="21"/>
                <w:szCs w:val="21"/>
              </w:rPr>
            </w:pPr>
          </w:p>
        </w:tc>
        <w:tc>
          <w:tcPr>
            <w:tcW w:w="217" w:type="dxa"/>
          </w:tcPr>
          <w:p w14:paraId="55779531" w14:textId="77777777" w:rsidR="002C0FD9" w:rsidRPr="00CA25CF" w:rsidRDefault="002C0FD9" w:rsidP="00CA25CF">
            <w:pPr>
              <w:rPr>
                <w:rFonts w:cs="Arial"/>
                <w:color w:val="FF0000"/>
                <w:sz w:val="21"/>
                <w:szCs w:val="21"/>
              </w:rPr>
            </w:pPr>
          </w:p>
        </w:tc>
        <w:tc>
          <w:tcPr>
            <w:tcW w:w="217" w:type="dxa"/>
          </w:tcPr>
          <w:p w14:paraId="67A35556" w14:textId="77777777" w:rsidR="002C0FD9" w:rsidRPr="00CA25CF" w:rsidRDefault="002C0FD9" w:rsidP="00CA25CF">
            <w:pPr>
              <w:rPr>
                <w:rFonts w:cs="Arial"/>
                <w:color w:val="FF0000"/>
                <w:sz w:val="21"/>
                <w:szCs w:val="21"/>
              </w:rPr>
            </w:pPr>
          </w:p>
        </w:tc>
        <w:tc>
          <w:tcPr>
            <w:tcW w:w="217" w:type="dxa"/>
          </w:tcPr>
          <w:p w14:paraId="000DAA99" w14:textId="77777777" w:rsidR="002C0FD9" w:rsidRPr="00CA25CF" w:rsidRDefault="002C0FD9" w:rsidP="00CA25CF">
            <w:pPr>
              <w:rPr>
                <w:rFonts w:cs="Arial"/>
                <w:color w:val="FF0000"/>
                <w:sz w:val="21"/>
                <w:szCs w:val="21"/>
              </w:rPr>
            </w:pPr>
          </w:p>
        </w:tc>
        <w:tc>
          <w:tcPr>
            <w:tcW w:w="217" w:type="dxa"/>
          </w:tcPr>
          <w:p w14:paraId="275667B5" w14:textId="77777777" w:rsidR="002C0FD9" w:rsidRPr="00CA25CF" w:rsidRDefault="002C0FD9" w:rsidP="00CA25CF">
            <w:pPr>
              <w:rPr>
                <w:rFonts w:cs="Arial"/>
                <w:color w:val="FF0000"/>
                <w:sz w:val="21"/>
                <w:szCs w:val="21"/>
              </w:rPr>
            </w:pPr>
          </w:p>
        </w:tc>
        <w:tc>
          <w:tcPr>
            <w:tcW w:w="217" w:type="dxa"/>
          </w:tcPr>
          <w:p w14:paraId="38D5401B" w14:textId="77777777" w:rsidR="002C0FD9" w:rsidRPr="00CA25CF" w:rsidRDefault="002C0FD9" w:rsidP="00CA25CF">
            <w:pPr>
              <w:rPr>
                <w:rFonts w:cs="Arial"/>
                <w:color w:val="FF0000"/>
                <w:sz w:val="21"/>
                <w:szCs w:val="21"/>
              </w:rPr>
            </w:pPr>
          </w:p>
        </w:tc>
        <w:tc>
          <w:tcPr>
            <w:tcW w:w="217" w:type="dxa"/>
          </w:tcPr>
          <w:p w14:paraId="68091982" w14:textId="77777777" w:rsidR="002C0FD9" w:rsidRPr="00CA25CF" w:rsidRDefault="002C0FD9" w:rsidP="00CA25CF">
            <w:pPr>
              <w:rPr>
                <w:rFonts w:cs="Arial"/>
                <w:color w:val="FF0000"/>
                <w:sz w:val="21"/>
                <w:szCs w:val="21"/>
              </w:rPr>
            </w:pPr>
          </w:p>
        </w:tc>
        <w:tc>
          <w:tcPr>
            <w:tcW w:w="217" w:type="dxa"/>
          </w:tcPr>
          <w:p w14:paraId="402477ED" w14:textId="77777777" w:rsidR="002C0FD9" w:rsidRPr="00CA25CF" w:rsidRDefault="002C0FD9" w:rsidP="00CA25CF">
            <w:pPr>
              <w:rPr>
                <w:rFonts w:cs="Arial"/>
                <w:color w:val="FF0000"/>
                <w:sz w:val="21"/>
                <w:szCs w:val="21"/>
              </w:rPr>
            </w:pPr>
          </w:p>
        </w:tc>
        <w:tc>
          <w:tcPr>
            <w:tcW w:w="217" w:type="dxa"/>
          </w:tcPr>
          <w:p w14:paraId="5219A7EC" w14:textId="77777777" w:rsidR="002C0FD9" w:rsidRPr="00CA25CF" w:rsidRDefault="002C0FD9" w:rsidP="00CA25CF">
            <w:pPr>
              <w:rPr>
                <w:rFonts w:cs="Arial"/>
                <w:color w:val="FF0000"/>
                <w:sz w:val="21"/>
                <w:szCs w:val="21"/>
              </w:rPr>
            </w:pPr>
          </w:p>
        </w:tc>
        <w:tc>
          <w:tcPr>
            <w:tcW w:w="217" w:type="dxa"/>
          </w:tcPr>
          <w:p w14:paraId="3D4BE6FF" w14:textId="77777777" w:rsidR="002C0FD9" w:rsidRPr="00CA25CF" w:rsidRDefault="002C0FD9" w:rsidP="00CA25CF">
            <w:pPr>
              <w:rPr>
                <w:rFonts w:cs="Arial"/>
                <w:color w:val="FF0000"/>
                <w:sz w:val="21"/>
                <w:szCs w:val="21"/>
              </w:rPr>
            </w:pPr>
          </w:p>
        </w:tc>
        <w:tc>
          <w:tcPr>
            <w:tcW w:w="217" w:type="dxa"/>
          </w:tcPr>
          <w:p w14:paraId="23E98B72" w14:textId="77777777" w:rsidR="002C0FD9" w:rsidRPr="00CA25CF" w:rsidRDefault="002C0FD9" w:rsidP="00CA25CF">
            <w:pPr>
              <w:rPr>
                <w:rFonts w:cs="Arial"/>
                <w:color w:val="FF0000"/>
                <w:sz w:val="21"/>
                <w:szCs w:val="21"/>
              </w:rPr>
            </w:pPr>
          </w:p>
        </w:tc>
        <w:tc>
          <w:tcPr>
            <w:tcW w:w="217" w:type="dxa"/>
          </w:tcPr>
          <w:p w14:paraId="519760D7" w14:textId="77777777" w:rsidR="002C0FD9" w:rsidRPr="00CA25CF" w:rsidRDefault="002C0FD9" w:rsidP="00CA25CF">
            <w:pPr>
              <w:rPr>
                <w:rFonts w:cs="Arial"/>
                <w:color w:val="FF0000"/>
                <w:sz w:val="21"/>
                <w:szCs w:val="21"/>
              </w:rPr>
            </w:pPr>
          </w:p>
        </w:tc>
        <w:tc>
          <w:tcPr>
            <w:tcW w:w="217" w:type="dxa"/>
          </w:tcPr>
          <w:p w14:paraId="376AFC6F" w14:textId="77777777" w:rsidR="002C0FD9" w:rsidRPr="00CA25CF" w:rsidRDefault="002C0FD9" w:rsidP="00CA25CF">
            <w:pPr>
              <w:rPr>
                <w:rFonts w:cs="Arial"/>
                <w:color w:val="FF0000"/>
                <w:sz w:val="21"/>
                <w:szCs w:val="21"/>
              </w:rPr>
            </w:pPr>
          </w:p>
        </w:tc>
        <w:tc>
          <w:tcPr>
            <w:tcW w:w="217" w:type="dxa"/>
          </w:tcPr>
          <w:p w14:paraId="1E63107C" w14:textId="77777777" w:rsidR="002C0FD9" w:rsidRPr="00CA25CF" w:rsidRDefault="002C0FD9" w:rsidP="00CA25CF">
            <w:pPr>
              <w:rPr>
                <w:rFonts w:cs="Arial"/>
                <w:color w:val="FF0000"/>
                <w:sz w:val="21"/>
                <w:szCs w:val="21"/>
              </w:rPr>
            </w:pPr>
          </w:p>
        </w:tc>
        <w:tc>
          <w:tcPr>
            <w:tcW w:w="217" w:type="dxa"/>
          </w:tcPr>
          <w:p w14:paraId="597C1693" w14:textId="77777777" w:rsidR="002C0FD9" w:rsidRPr="00CA25CF" w:rsidRDefault="002C0FD9" w:rsidP="00CA25CF">
            <w:pPr>
              <w:rPr>
                <w:rFonts w:cs="Arial"/>
                <w:color w:val="FF0000"/>
                <w:sz w:val="21"/>
                <w:szCs w:val="21"/>
              </w:rPr>
            </w:pPr>
          </w:p>
        </w:tc>
        <w:tc>
          <w:tcPr>
            <w:tcW w:w="217" w:type="dxa"/>
          </w:tcPr>
          <w:p w14:paraId="087AE1B8" w14:textId="77777777" w:rsidR="002C0FD9" w:rsidRPr="00CA25CF" w:rsidRDefault="002C0FD9" w:rsidP="00CA25CF">
            <w:pPr>
              <w:rPr>
                <w:rFonts w:cs="Arial"/>
                <w:color w:val="FF0000"/>
                <w:sz w:val="21"/>
                <w:szCs w:val="21"/>
              </w:rPr>
            </w:pPr>
          </w:p>
        </w:tc>
        <w:tc>
          <w:tcPr>
            <w:tcW w:w="217" w:type="dxa"/>
          </w:tcPr>
          <w:p w14:paraId="6D31FAED" w14:textId="77777777" w:rsidR="002C0FD9" w:rsidRPr="00CA25CF" w:rsidRDefault="002C0FD9" w:rsidP="00CA25CF">
            <w:pPr>
              <w:rPr>
                <w:rFonts w:cs="Arial"/>
                <w:color w:val="FF0000"/>
                <w:sz w:val="21"/>
                <w:szCs w:val="21"/>
              </w:rPr>
            </w:pPr>
          </w:p>
        </w:tc>
        <w:tc>
          <w:tcPr>
            <w:tcW w:w="217" w:type="dxa"/>
          </w:tcPr>
          <w:p w14:paraId="317440F2" w14:textId="77777777" w:rsidR="002C0FD9" w:rsidRPr="00CA25CF" w:rsidRDefault="002C0FD9" w:rsidP="00CA25CF">
            <w:pPr>
              <w:rPr>
                <w:rFonts w:cs="Arial"/>
                <w:color w:val="FF0000"/>
                <w:sz w:val="21"/>
                <w:szCs w:val="21"/>
              </w:rPr>
            </w:pPr>
          </w:p>
        </w:tc>
        <w:tc>
          <w:tcPr>
            <w:tcW w:w="217" w:type="dxa"/>
          </w:tcPr>
          <w:p w14:paraId="53EC5E80" w14:textId="77777777" w:rsidR="002C0FD9" w:rsidRPr="00CA25CF" w:rsidRDefault="002C0FD9" w:rsidP="00CA25CF">
            <w:pPr>
              <w:rPr>
                <w:rFonts w:cs="Arial"/>
                <w:color w:val="FF0000"/>
                <w:sz w:val="21"/>
                <w:szCs w:val="21"/>
              </w:rPr>
            </w:pPr>
          </w:p>
        </w:tc>
        <w:tc>
          <w:tcPr>
            <w:tcW w:w="217" w:type="dxa"/>
          </w:tcPr>
          <w:p w14:paraId="2DF2457E" w14:textId="77777777" w:rsidR="002C0FD9" w:rsidRPr="00CA25CF" w:rsidRDefault="002C0FD9" w:rsidP="00CA25CF">
            <w:pPr>
              <w:rPr>
                <w:rFonts w:cs="Arial"/>
                <w:color w:val="FF0000"/>
                <w:sz w:val="21"/>
                <w:szCs w:val="21"/>
              </w:rPr>
            </w:pPr>
          </w:p>
        </w:tc>
        <w:tc>
          <w:tcPr>
            <w:tcW w:w="217" w:type="dxa"/>
          </w:tcPr>
          <w:p w14:paraId="4260C951" w14:textId="77777777" w:rsidR="002C0FD9" w:rsidRPr="00CA25CF" w:rsidRDefault="002C0FD9" w:rsidP="00CA25CF">
            <w:pPr>
              <w:rPr>
                <w:rFonts w:cs="Arial"/>
                <w:color w:val="FF0000"/>
                <w:sz w:val="21"/>
                <w:szCs w:val="21"/>
              </w:rPr>
            </w:pPr>
          </w:p>
        </w:tc>
        <w:tc>
          <w:tcPr>
            <w:tcW w:w="217" w:type="dxa"/>
          </w:tcPr>
          <w:p w14:paraId="1617FA66" w14:textId="77777777" w:rsidR="002C0FD9" w:rsidRPr="00CA25CF" w:rsidRDefault="002C0FD9" w:rsidP="00CA25CF">
            <w:pPr>
              <w:rPr>
                <w:rFonts w:cs="Arial"/>
                <w:color w:val="FF0000"/>
                <w:sz w:val="21"/>
                <w:szCs w:val="21"/>
              </w:rPr>
            </w:pPr>
          </w:p>
        </w:tc>
        <w:tc>
          <w:tcPr>
            <w:tcW w:w="217" w:type="dxa"/>
          </w:tcPr>
          <w:p w14:paraId="30EDE9F5" w14:textId="77777777" w:rsidR="002C0FD9" w:rsidRPr="00CA25CF" w:rsidRDefault="002C0FD9" w:rsidP="00CA25CF">
            <w:pPr>
              <w:rPr>
                <w:rFonts w:cs="Arial"/>
                <w:color w:val="FF0000"/>
                <w:sz w:val="21"/>
                <w:szCs w:val="21"/>
              </w:rPr>
            </w:pPr>
          </w:p>
        </w:tc>
        <w:tc>
          <w:tcPr>
            <w:tcW w:w="217" w:type="dxa"/>
          </w:tcPr>
          <w:p w14:paraId="323519BF" w14:textId="77777777" w:rsidR="002C0FD9" w:rsidRPr="00CA25CF" w:rsidRDefault="002C0FD9" w:rsidP="00CA25CF">
            <w:pPr>
              <w:rPr>
                <w:rFonts w:cs="Arial"/>
                <w:color w:val="FF0000"/>
                <w:sz w:val="21"/>
                <w:szCs w:val="21"/>
              </w:rPr>
            </w:pPr>
          </w:p>
        </w:tc>
        <w:tc>
          <w:tcPr>
            <w:tcW w:w="217" w:type="dxa"/>
          </w:tcPr>
          <w:p w14:paraId="3A2981A3" w14:textId="77777777" w:rsidR="002C0FD9" w:rsidRPr="00CA25CF" w:rsidRDefault="002C0FD9" w:rsidP="00CA25CF">
            <w:pPr>
              <w:rPr>
                <w:rFonts w:cs="Arial"/>
                <w:color w:val="FF0000"/>
                <w:sz w:val="21"/>
                <w:szCs w:val="21"/>
              </w:rPr>
            </w:pPr>
          </w:p>
        </w:tc>
        <w:tc>
          <w:tcPr>
            <w:tcW w:w="217" w:type="dxa"/>
          </w:tcPr>
          <w:p w14:paraId="655F2E78" w14:textId="77777777" w:rsidR="002C0FD9" w:rsidRPr="00CA25CF" w:rsidRDefault="002C0FD9" w:rsidP="00CA25CF">
            <w:pPr>
              <w:rPr>
                <w:rFonts w:cs="Arial"/>
                <w:color w:val="FF0000"/>
                <w:sz w:val="21"/>
                <w:szCs w:val="21"/>
              </w:rPr>
            </w:pPr>
          </w:p>
        </w:tc>
      </w:tr>
      <w:tr w:rsidR="002C0FD9" w:rsidRPr="00A16219" w14:paraId="6D50FC19" w14:textId="77777777" w:rsidTr="002C0FD9">
        <w:trPr>
          <w:trHeight w:val="635"/>
        </w:trPr>
        <w:tc>
          <w:tcPr>
            <w:tcW w:w="515" w:type="dxa"/>
          </w:tcPr>
          <w:p w14:paraId="37D3B0AB" w14:textId="77777777" w:rsidR="002C0FD9" w:rsidRPr="00CA25CF" w:rsidRDefault="002C0FD9" w:rsidP="00CA25CF">
            <w:pPr>
              <w:rPr>
                <w:rFonts w:cs="Arial"/>
                <w:color w:val="FF0000"/>
                <w:sz w:val="21"/>
                <w:szCs w:val="21"/>
              </w:rPr>
            </w:pPr>
          </w:p>
        </w:tc>
        <w:tc>
          <w:tcPr>
            <w:tcW w:w="217" w:type="dxa"/>
          </w:tcPr>
          <w:p w14:paraId="4F2D6C0F" w14:textId="77777777" w:rsidR="002C0FD9" w:rsidRPr="00CA25CF" w:rsidRDefault="002C0FD9" w:rsidP="00CA25CF">
            <w:pPr>
              <w:rPr>
                <w:rFonts w:cs="Arial"/>
                <w:color w:val="FF0000"/>
                <w:sz w:val="21"/>
                <w:szCs w:val="21"/>
              </w:rPr>
            </w:pPr>
          </w:p>
        </w:tc>
        <w:tc>
          <w:tcPr>
            <w:tcW w:w="217" w:type="dxa"/>
          </w:tcPr>
          <w:p w14:paraId="1C97506C" w14:textId="77777777" w:rsidR="002C0FD9" w:rsidRPr="00CA25CF" w:rsidRDefault="002C0FD9" w:rsidP="00CA25CF">
            <w:pPr>
              <w:rPr>
                <w:rFonts w:cs="Arial"/>
                <w:color w:val="FF0000"/>
                <w:sz w:val="21"/>
                <w:szCs w:val="21"/>
              </w:rPr>
            </w:pPr>
          </w:p>
        </w:tc>
        <w:tc>
          <w:tcPr>
            <w:tcW w:w="217" w:type="dxa"/>
          </w:tcPr>
          <w:p w14:paraId="73F4F1F5" w14:textId="77777777" w:rsidR="002C0FD9" w:rsidRPr="00CA25CF" w:rsidRDefault="002C0FD9" w:rsidP="00CA25CF">
            <w:pPr>
              <w:rPr>
                <w:rFonts w:cs="Arial"/>
                <w:color w:val="FF0000"/>
                <w:sz w:val="21"/>
                <w:szCs w:val="21"/>
              </w:rPr>
            </w:pPr>
          </w:p>
        </w:tc>
        <w:tc>
          <w:tcPr>
            <w:tcW w:w="217" w:type="dxa"/>
          </w:tcPr>
          <w:p w14:paraId="16F34316" w14:textId="77777777" w:rsidR="002C0FD9" w:rsidRPr="00CA25CF" w:rsidRDefault="002C0FD9" w:rsidP="00CA25CF">
            <w:pPr>
              <w:rPr>
                <w:rFonts w:cs="Arial"/>
                <w:color w:val="FF0000"/>
                <w:sz w:val="21"/>
                <w:szCs w:val="21"/>
              </w:rPr>
            </w:pPr>
          </w:p>
        </w:tc>
        <w:tc>
          <w:tcPr>
            <w:tcW w:w="217" w:type="dxa"/>
          </w:tcPr>
          <w:p w14:paraId="0D6158DE" w14:textId="77777777" w:rsidR="002C0FD9" w:rsidRPr="00CA25CF" w:rsidRDefault="002C0FD9" w:rsidP="00CA25CF">
            <w:pPr>
              <w:rPr>
                <w:rFonts w:cs="Arial"/>
                <w:color w:val="FF0000"/>
                <w:sz w:val="21"/>
                <w:szCs w:val="21"/>
              </w:rPr>
            </w:pPr>
          </w:p>
        </w:tc>
        <w:tc>
          <w:tcPr>
            <w:tcW w:w="217" w:type="dxa"/>
          </w:tcPr>
          <w:p w14:paraId="6A9B0720" w14:textId="77777777" w:rsidR="002C0FD9" w:rsidRPr="00CA25CF" w:rsidRDefault="002C0FD9" w:rsidP="00CA25CF">
            <w:pPr>
              <w:rPr>
                <w:rFonts w:cs="Arial"/>
                <w:color w:val="FF0000"/>
                <w:sz w:val="21"/>
                <w:szCs w:val="21"/>
              </w:rPr>
            </w:pPr>
          </w:p>
        </w:tc>
        <w:tc>
          <w:tcPr>
            <w:tcW w:w="217" w:type="dxa"/>
          </w:tcPr>
          <w:p w14:paraId="586D4598" w14:textId="77777777" w:rsidR="002C0FD9" w:rsidRPr="00CA25CF" w:rsidRDefault="002C0FD9" w:rsidP="00CA25CF">
            <w:pPr>
              <w:rPr>
                <w:rFonts w:cs="Arial"/>
                <w:color w:val="FF0000"/>
                <w:sz w:val="21"/>
                <w:szCs w:val="21"/>
              </w:rPr>
            </w:pPr>
          </w:p>
        </w:tc>
        <w:tc>
          <w:tcPr>
            <w:tcW w:w="217" w:type="dxa"/>
          </w:tcPr>
          <w:p w14:paraId="7313B26E" w14:textId="77777777" w:rsidR="002C0FD9" w:rsidRPr="00CA25CF" w:rsidRDefault="002C0FD9" w:rsidP="00CA25CF">
            <w:pPr>
              <w:rPr>
                <w:rFonts w:cs="Arial"/>
                <w:color w:val="FF0000"/>
                <w:sz w:val="21"/>
                <w:szCs w:val="21"/>
              </w:rPr>
            </w:pPr>
          </w:p>
        </w:tc>
        <w:tc>
          <w:tcPr>
            <w:tcW w:w="217" w:type="dxa"/>
          </w:tcPr>
          <w:p w14:paraId="55B11A79" w14:textId="77777777" w:rsidR="002C0FD9" w:rsidRPr="00CA25CF" w:rsidRDefault="002C0FD9" w:rsidP="00CA25CF">
            <w:pPr>
              <w:rPr>
                <w:rFonts w:cs="Arial"/>
                <w:color w:val="FF0000"/>
                <w:sz w:val="21"/>
                <w:szCs w:val="21"/>
              </w:rPr>
            </w:pPr>
          </w:p>
        </w:tc>
        <w:tc>
          <w:tcPr>
            <w:tcW w:w="217" w:type="dxa"/>
          </w:tcPr>
          <w:p w14:paraId="06517F2F" w14:textId="77777777" w:rsidR="002C0FD9" w:rsidRPr="00CA25CF" w:rsidRDefault="002C0FD9" w:rsidP="00CA25CF">
            <w:pPr>
              <w:rPr>
                <w:rFonts w:cs="Arial"/>
                <w:color w:val="FF0000"/>
                <w:sz w:val="21"/>
                <w:szCs w:val="21"/>
              </w:rPr>
            </w:pPr>
          </w:p>
        </w:tc>
        <w:tc>
          <w:tcPr>
            <w:tcW w:w="217" w:type="dxa"/>
          </w:tcPr>
          <w:p w14:paraId="7F88DEC6" w14:textId="77777777" w:rsidR="002C0FD9" w:rsidRPr="00CA25CF" w:rsidRDefault="002C0FD9" w:rsidP="00CA25CF">
            <w:pPr>
              <w:rPr>
                <w:rFonts w:cs="Arial"/>
                <w:color w:val="FF0000"/>
                <w:sz w:val="21"/>
                <w:szCs w:val="21"/>
              </w:rPr>
            </w:pPr>
          </w:p>
        </w:tc>
        <w:tc>
          <w:tcPr>
            <w:tcW w:w="217" w:type="dxa"/>
          </w:tcPr>
          <w:p w14:paraId="40D754AE" w14:textId="77777777" w:rsidR="002C0FD9" w:rsidRPr="00CA25CF" w:rsidRDefault="002C0FD9" w:rsidP="00CA25CF">
            <w:pPr>
              <w:rPr>
                <w:rFonts w:cs="Arial"/>
                <w:color w:val="FF0000"/>
                <w:sz w:val="21"/>
                <w:szCs w:val="21"/>
              </w:rPr>
            </w:pPr>
          </w:p>
        </w:tc>
        <w:tc>
          <w:tcPr>
            <w:tcW w:w="217" w:type="dxa"/>
          </w:tcPr>
          <w:p w14:paraId="1FD86FB4" w14:textId="77777777" w:rsidR="002C0FD9" w:rsidRPr="00CA25CF" w:rsidRDefault="002C0FD9" w:rsidP="00CA25CF">
            <w:pPr>
              <w:rPr>
                <w:rFonts w:cs="Arial"/>
                <w:color w:val="FF0000"/>
                <w:sz w:val="21"/>
                <w:szCs w:val="21"/>
              </w:rPr>
            </w:pPr>
          </w:p>
        </w:tc>
        <w:tc>
          <w:tcPr>
            <w:tcW w:w="217" w:type="dxa"/>
          </w:tcPr>
          <w:p w14:paraId="4D4213B9" w14:textId="77777777" w:rsidR="002C0FD9" w:rsidRPr="00CA25CF" w:rsidRDefault="002C0FD9" w:rsidP="00CA25CF">
            <w:pPr>
              <w:rPr>
                <w:rFonts w:cs="Arial"/>
                <w:color w:val="FF0000"/>
                <w:sz w:val="21"/>
                <w:szCs w:val="21"/>
              </w:rPr>
            </w:pPr>
          </w:p>
        </w:tc>
        <w:tc>
          <w:tcPr>
            <w:tcW w:w="217" w:type="dxa"/>
          </w:tcPr>
          <w:p w14:paraId="7AFB770C" w14:textId="77777777" w:rsidR="002C0FD9" w:rsidRPr="00CA25CF" w:rsidRDefault="002C0FD9" w:rsidP="00CA25CF">
            <w:pPr>
              <w:rPr>
                <w:rFonts w:cs="Arial"/>
                <w:color w:val="FF0000"/>
                <w:sz w:val="21"/>
                <w:szCs w:val="21"/>
              </w:rPr>
            </w:pPr>
          </w:p>
        </w:tc>
        <w:tc>
          <w:tcPr>
            <w:tcW w:w="217" w:type="dxa"/>
          </w:tcPr>
          <w:p w14:paraId="1C12F535" w14:textId="77777777" w:rsidR="002C0FD9" w:rsidRPr="00CA25CF" w:rsidRDefault="002C0FD9" w:rsidP="00CA25CF">
            <w:pPr>
              <w:rPr>
                <w:rFonts w:cs="Arial"/>
                <w:color w:val="FF0000"/>
                <w:sz w:val="21"/>
                <w:szCs w:val="21"/>
              </w:rPr>
            </w:pPr>
          </w:p>
        </w:tc>
        <w:tc>
          <w:tcPr>
            <w:tcW w:w="217" w:type="dxa"/>
          </w:tcPr>
          <w:p w14:paraId="1E55B0AC" w14:textId="77777777" w:rsidR="002C0FD9" w:rsidRPr="00CA25CF" w:rsidRDefault="002C0FD9" w:rsidP="00CA25CF">
            <w:pPr>
              <w:rPr>
                <w:rFonts w:cs="Arial"/>
                <w:color w:val="FF0000"/>
                <w:sz w:val="21"/>
                <w:szCs w:val="21"/>
              </w:rPr>
            </w:pPr>
          </w:p>
        </w:tc>
        <w:tc>
          <w:tcPr>
            <w:tcW w:w="217" w:type="dxa"/>
          </w:tcPr>
          <w:p w14:paraId="586775B9" w14:textId="77777777" w:rsidR="002C0FD9" w:rsidRPr="00CA25CF" w:rsidRDefault="002C0FD9" w:rsidP="00CA25CF">
            <w:pPr>
              <w:rPr>
                <w:rFonts w:cs="Arial"/>
                <w:color w:val="FF0000"/>
                <w:sz w:val="21"/>
                <w:szCs w:val="21"/>
              </w:rPr>
            </w:pPr>
          </w:p>
        </w:tc>
        <w:tc>
          <w:tcPr>
            <w:tcW w:w="217" w:type="dxa"/>
          </w:tcPr>
          <w:p w14:paraId="141C1FBD" w14:textId="77777777" w:rsidR="002C0FD9" w:rsidRPr="00CA25CF" w:rsidRDefault="002C0FD9" w:rsidP="00CA25CF">
            <w:pPr>
              <w:rPr>
                <w:rFonts w:cs="Arial"/>
                <w:color w:val="FF0000"/>
                <w:sz w:val="21"/>
                <w:szCs w:val="21"/>
              </w:rPr>
            </w:pPr>
          </w:p>
        </w:tc>
        <w:tc>
          <w:tcPr>
            <w:tcW w:w="217" w:type="dxa"/>
          </w:tcPr>
          <w:p w14:paraId="15FA4DDC" w14:textId="77777777" w:rsidR="002C0FD9" w:rsidRPr="00CA25CF" w:rsidRDefault="002C0FD9" w:rsidP="00CA25CF">
            <w:pPr>
              <w:rPr>
                <w:rFonts w:cs="Arial"/>
                <w:color w:val="FF0000"/>
                <w:sz w:val="21"/>
                <w:szCs w:val="21"/>
              </w:rPr>
            </w:pPr>
          </w:p>
        </w:tc>
        <w:tc>
          <w:tcPr>
            <w:tcW w:w="217" w:type="dxa"/>
          </w:tcPr>
          <w:p w14:paraId="3E89AD3D" w14:textId="77777777" w:rsidR="002C0FD9" w:rsidRPr="00CA25CF" w:rsidRDefault="002C0FD9" w:rsidP="00CA25CF">
            <w:pPr>
              <w:rPr>
                <w:rFonts w:cs="Arial"/>
                <w:color w:val="FF0000"/>
                <w:sz w:val="21"/>
                <w:szCs w:val="21"/>
              </w:rPr>
            </w:pPr>
          </w:p>
        </w:tc>
        <w:tc>
          <w:tcPr>
            <w:tcW w:w="217" w:type="dxa"/>
          </w:tcPr>
          <w:p w14:paraId="42C7DF77" w14:textId="77777777" w:rsidR="002C0FD9" w:rsidRPr="00CA25CF" w:rsidRDefault="002C0FD9" w:rsidP="00CA25CF">
            <w:pPr>
              <w:rPr>
                <w:rFonts w:cs="Arial"/>
                <w:color w:val="FF0000"/>
                <w:sz w:val="21"/>
                <w:szCs w:val="21"/>
              </w:rPr>
            </w:pPr>
          </w:p>
        </w:tc>
        <w:tc>
          <w:tcPr>
            <w:tcW w:w="217" w:type="dxa"/>
          </w:tcPr>
          <w:p w14:paraId="08D4BE10" w14:textId="77777777" w:rsidR="002C0FD9" w:rsidRPr="00CA25CF" w:rsidRDefault="002C0FD9" w:rsidP="00CA25CF">
            <w:pPr>
              <w:rPr>
                <w:rFonts w:cs="Arial"/>
                <w:color w:val="FF0000"/>
                <w:sz w:val="21"/>
                <w:szCs w:val="21"/>
              </w:rPr>
            </w:pPr>
          </w:p>
        </w:tc>
        <w:tc>
          <w:tcPr>
            <w:tcW w:w="217" w:type="dxa"/>
          </w:tcPr>
          <w:p w14:paraId="648C1984" w14:textId="77777777" w:rsidR="002C0FD9" w:rsidRPr="00CA25CF" w:rsidRDefault="002C0FD9" w:rsidP="00CA25CF">
            <w:pPr>
              <w:rPr>
                <w:rFonts w:cs="Arial"/>
                <w:color w:val="FF0000"/>
                <w:sz w:val="21"/>
                <w:szCs w:val="21"/>
              </w:rPr>
            </w:pPr>
          </w:p>
        </w:tc>
        <w:tc>
          <w:tcPr>
            <w:tcW w:w="217" w:type="dxa"/>
          </w:tcPr>
          <w:p w14:paraId="6DBBD583" w14:textId="77777777" w:rsidR="002C0FD9" w:rsidRPr="00CA25CF" w:rsidRDefault="002C0FD9" w:rsidP="00CA25CF">
            <w:pPr>
              <w:rPr>
                <w:rFonts w:cs="Arial"/>
                <w:color w:val="FF0000"/>
                <w:sz w:val="21"/>
                <w:szCs w:val="21"/>
              </w:rPr>
            </w:pPr>
          </w:p>
        </w:tc>
        <w:tc>
          <w:tcPr>
            <w:tcW w:w="217" w:type="dxa"/>
          </w:tcPr>
          <w:p w14:paraId="59FAE665" w14:textId="77777777" w:rsidR="002C0FD9" w:rsidRPr="00CA25CF" w:rsidRDefault="002C0FD9" w:rsidP="00CA25CF">
            <w:pPr>
              <w:rPr>
                <w:rFonts w:cs="Arial"/>
                <w:color w:val="FF0000"/>
                <w:sz w:val="21"/>
                <w:szCs w:val="21"/>
              </w:rPr>
            </w:pPr>
          </w:p>
        </w:tc>
        <w:tc>
          <w:tcPr>
            <w:tcW w:w="217" w:type="dxa"/>
          </w:tcPr>
          <w:p w14:paraId="09658870" w14:textId="77777777" w:rsidR="002C0FD9" w:rsidRPr="00CA25CF" w:rsidRDefault="002C0FD9" w:rsidP="00CA25CF">
            <w:pPr>
              <w:rPr>
                <w:rFonts w:cs="Arial"/>
                <w:color w:val="FF0000"/>
                <w:sz w:val="21"/>
                <w:szCs w:val="21"/>
              </w:rPr>
            </w:pPr>
          </w:p>
        </w:tc>
        <w:tc>
          <w:tcPr>
            <w:tcW w:w="217" w:type="dxa"/>
          </w:tcPr>
          <w:p w14:paraId="172FD8B4" w14:textId="77777777" w:rsidR="002C0FD9" w:rsidRPr="00CA25CF" w:rsidRDefault="002C0FD9" w:rsidP="00CA25CF">
            <w:pPr>
              <w:rPr>
                <w:rFonts w:cs="Arial"/>
                <w:color w:val="FF0000"/>
                <w:sz w:val="21"/>
                <w:szCs w:val="21"/>
              </w:rPr>
            </w:pPr>
          </w:p>
        </w:tc>
        <w:tc>
          <w:tcPr>
            <w:tcW w:w="217" w:type="dxa"/>
          </w:tcPr>
          <w:p w14:paraId="219924B8" w14:textId="77777777" w:rsidR="002C0FD9" w:rsidRPr="00CA25CF" w:rsidRDefault="002C0FD9" w:rsidP="00CA25CF">
            <w:pPr>
              <w:rPr>
                <w:rFonts w:cs="Arial"/>
                <w:color w:val="FF0000"/>
                <w:sz w:val="21"/>
                <w:szCs w:val="21"/>
              </w:rPr>
            </w:pPr>
          </w:p>
        </w:tc>
        <w:tc>
          <w:tcPr>
            <w:tcW w:w="217" w:type="dxa"/>
          </w:tcPr>
          <w:p w14:paraId="0B226A95" w14:textId="77777777" w:rsidR="002C0FD9" w:rsidRPr="00CA25CF" w:rsidRDefault="002C0FD9" w:rsidP="00CA25CF">
            <w:pPr>
              <w:rPr>
                <w:rFonts w:cs="Arial"/>
                <w:color w:val="FF0000"/>
                <w:sz w:val="21"/>
                <w:szCs w:val="21"/>
              </w:rPr>
            </w:pPr>
          </w:p>
        </w:tc>
        <w:tc>
          <w:tcPr>
            <w:tcW w:w="217" w:type="dxa"/>
          </w:tcPr>
          <w:p w14:paraId="425F9166" w14:textId="77777777" w:rsidR="002C0FD9" w:rsidRPr="00CA25CF" w:rsidRDefault="002C0FD9" w:rsidP="00CA25CF">
            <w:pPr>
              <w:rPr>
                <w:rFonts w:cs="Arial"/>
                <w:color w:val="FF0000"/>
                <w:sz w:val="21"/>
                <w:szCs w:val="21"/>
              </w:rPr>
            </w:pPr>
          </w:p>
        </w:tc>
        <w:tc>
          <w:tcPr>
            <w:tcW w:w="217" w:type="dxa"/>
          </w:tcPr>
          <w:p w14:paraId="6759C387" w14:textId="77777777" w:rsidR="002C0FD9" w:rsidRPr="00CA25CF" w:rsidRDefault="002C0FD9" w:rsidP="00CA25CF">
            <w:pPr>
              <w:rPr>
                <w:rFonts w:cs="Arial"/>
                <w:color w:val="FF0000"/>
                <w:sz w:val="21"/>
                <w:szCs w:val="21"/>
              </w:rPr>
            </w:pPr>
          </w:p>
        </w:tc>
        <w:tc>
          <w:tcPr>
            <w:tcW w:w="217" w:type="dxa"/>
          </w:tcPr>
          <w:p w14:paraId="79AF0B33" w14:textId="77777777" w:rsidR="002C0FD9" w:rsidRPr="00CA25CF" w:rsidRDefault="002C0FD9" w:rsidP="00CA25CF">
            <w:pPr>
              <w:rPr>
                <w:rFonts w:cs="Arial"/>
                <w:color w:val="FF0000"/>
                <w:sz w:val="21"/>
                <w:szCs w:val="21"/>
              </w:rPr>
            </w:pPr>
          </w:p>
        </w:tc>
        <w:tc>
          <w:tcPr>
            <w:tcW w:w="217" w:type="dxa"/>
          </w:tcPr>
          <w:p w14:paraId="4B4D98B7" w14:textId="77777777" w:rsidR="002C0FD9" w:rsidRPr="00CA25CF" w:rsidRDefault="002C0FD9" w:rsidP="00CA25CF">
            <w:pPr>
              <w:rPr>
                <w:rFonts w:cs="Arial"/>
                <w:color w:val="FF0000"/>
                <w:sz w:val="21"/>
                <w:szCs w:val="21"/>
              </w:rPr>
            </w:pPr>
          </w:p>
        </w:tc>
        <w:tc>
          <w:tcPr>
            <w:tcW w:w="217" w:type="dxa"/>
          </w:tcPr>
          <w:p w14:paraId="7AE8819D" w14:textId="77777777" w:rsidR="002C0FD9" w:rsidRPr="00CA25CF" w:rsidRDefault="002C0FD9" w:rsidP="00CA25CF">
            <w:pPr>
              <w:rPr>
                <w:rFonts w:cs="Arial"/>
                <w:color w:val="FF0000"/>
                <w:sz w:val="21"/>
                <w:szCs w:val="21"/>
              </w:rPr>
            </w:pPr>
          </w:p>
        </w:tc>
        <w:tc>
          <w:tcPr>
            <w:tcW w:w="217" w:type="dxa"/>
          </w:tcPr>
          <w:p w14:paraId="44C15BC5" w14:textId="77777777" w:rsidR="002C0FD9" w:rsidRPr="00CA25CF" w:rsidRDefault="002C0FD9" w:rsidP="00CA25CF">
            <w:pPr>
              <w:rPr>
                <w:rFonts w:cs="Arial"/>
                <w:color w:val="FF0000"/>
                <w:sz w:val="21"/>
                <w:szCs w:val="21"/>
              </w:rPr>
            </w:pPr>
          </w:p>
        </w:tc>
        <w:tc>
          <w:tcPr>
            <w:tcW w:w="217" w:type="dxa"/>
          </w:tcPr>
          <w:p w14:paraId="48EA7872" w14:textId="77777777" w:rsidR="002C0FD9" w:rsidRPr="00CA25CF" w:rsidRDefault="002C0FD9" w:rsidP="00CA25CF">
            <w:pPr>
              <w:rPr>
                <w:rFonts w:cs="Arial"/>
                <w:color w:val="FF0000"/>
                <w:sz w:val="21"/>
                <w:szCs w:val="21"/>
              </w:rPr>
            </w:pPr>
          </w:p>
        </w:tc>
        <w:tc>
          <w:tcPr>
            <w:tcW w:w="217" w:type="dxa"/>
          </w:tcPr>
          <w:p w14:paraId="661B8C1F" w14:textId="77777777" w:rsidR="002C0FD9" w:rsidRPr="00CA25CF" w:rsidRDefault="002C0FD9" w:rsidP="00CA25CF">
            <w:pPr>
              <w:rPr>
                <w:rFonts w:cs="Arial"/>
                <w:color w:val="FF0000"/>
                <w:sz w:val="21"/>
                <w:szCs w:val="21"/>
              </w:rPr>
            </w:pPr>
          </w:p>
        </w:tc>
        <w:tc>
          <w:tcPr>
            <w:tcW w:w="217" w:type="dxa"/>
          </w:tcPr>
          <w:p w14:paraId="49DB71E1" w14:textId="77777777" w:rsidR="002C0FD9" w:rsidRPr="00CA25CF" w:rsidRDefault="002C0FD9" w:rsidP="00CA25CF">
            <w:pPr>
              <w:rPr>
                <w:rFonts w:cs="Arial"/>
                <w:color w:val="FF0000"/>
                <w:sz w:val="21"/>
                <w:szCs w:val="21"/>
              </w:rPr>
            </w:pPr>
          </w:p>
        </w:tc>
        <w:tc>
          <w:tcPr>
            <w:tcW w:w="217" w:type="dxa"/>
          </w:tcPr>
          <w:p w14:paraId="02AC9ECE" w14:textId="77777777" w:rsidR="002C0FD9" w:rsidRPr="00CA25CF" w:rsidRDefault="002C0FD9" w:rsidP="00CA25CF">
            <w:pPr>
              <w:rPr>
                <w:rFonts w:cs="Arial"/>
                <w:color w:val="FF0000"/>
                <w:sz w:val="21"/>
                <w:szCs w:val="21"/>
              </w:rPr>
            </w:pPr>
          </w:p>
        </w:tc>
        <w:tc>
          <w:tcPr>
            <w:tcW w:w="217" w:type="dxa"/>
          </w:tcPr>
          <w:p w14:paraId="3355050D" w14:textId="77777777" w:rsidR="002C0FD9" w:rsidRPr="00CA25CF" w:rsidRDefault="002C0FD9" w:rsidP="00CA25CF">
            <w:pPr>
              <w:rPr>
                <w:rFonts w:cs="Arial"/>
                <w:color w:val="FF0000"/>
                <w:sz w:val="21"/>
                <w:szCs w:val="21"/>
              </w:rPr>
            </w:pPr>
          </w:p>
        </w:tc>
        <w:tc>
          <w:tcPr>
            <w:tcW w:w="217" w:type="dxa"/>
          </w:tcPr>
          <w:p w14:paraId="5FAF90C0" w14:textId="77777777" w:rsidR="002C0FD9" w:rsidRPr="00CA25CF" w:rsidRDefault="002C0FD9" w:rsidP="00CA25CF">
            <w:pPr>
              <w:rPr>
                <w:rFonts w:cs="Arial"/>
                <w:color w:val="FF0000"/>
                <w:sz w:val="21"/>
                <w:szCs w:val="21"/>
              </w:rPr>
            </w:pPr>
          </w:p>
        </w:tc>
      </w:tr>
      <w:tr w:rsidR="002C0FD9" w:rsidRPr="00A16219" w14:paraId="4E3E397D" w14:textId="77777777" w:rsidTr="002C0FD9">
        <w:trPr>
          <w:trHeight w:val="635"/>
        </w:trPr>
        <w:tc>
          <w:tcPr>
            <w:tcW w:w="515" w:type="dxa"/>
          </w:tcPr>
          <w:p w14:paraId="56E44FEE" w14:textId="77777777" w:rsidR="002C0FD9" w:rsidRPr="00CA25CF" w:rsidRDefault="002C0FD9" w:rsidP="00CA25CF">
            <w:pPr>
              <w:rPr>
                <w:rFonts w:cs="Arial"/>
                <w:color w:val="FF0000"/>
                <w:sz w:val="21"/>
                <w:szCs w:val="21"/>
              </w:rPr>
            </w:pPr>
          </w:p>
        </w:tc>
        <w:tc>
          <w:tcPr>
            <w:tcW w:w="217" w:type="dxa"/>
          </w:tcPr>
          <w:p w14:paraId="0FDB3940" w14:textId="77777777" w:rsidR="002C0FD9" w:rsidRPr="00CA25CF" w:rsidRDefault="002C0FD9" w:rsidP="00CA25CF">
            <w:pPr>
              <w:rPr>
                <w:rFonts w:cs="Arial"/>
                <w:color w:val="FF0000"/>
                <w:sz w:val="21"/>
                <w:szCs w:val="21"/>
              </w:rPr>
            </w:pPr>
          </w:p>
        </w:tc>
        <w:tc>
          <w:tcPr>
            <w:tcW w:w="217" w:type="dxa"/>
          </w:tcPr>
          <w:p w14:paraId="68301348" w14:textId="77777777" w:rsidR="002C0FD9" w:rsidRPr="00CA25CF" w:rsidRDefault="002C0FD9" w:rsidP="00CA25CF">
            <w:pPr>
              <w:rPr>
                <w:rFonts w:cs="Arial"/>
                <w:color w:val="FF0000"/>
                <w:sz w:val="21"/>
                <w:szCs w:val="21"/>
              </w:rPr>
            </w:pPr>
          </w:p>
        </w:tc>
        <w:tc>
          <w:tcPr>
            <w:tcW w:w="217" w:type="dxa"/>
          </w:tcPr>
          <w:p w14:paraId="1760927E" w14:textId="77777777" w:rsidR="002C0FD9" w:rsidRPr="00CA25CF" w:rsidRDefault="002C0FD9" w:rsidP="00CA25CF">
            <w:pPr>
              <w:rPr>
                <w:rFonts w:cs="Arial"/>
                <w:color w:val="FF0000"/>
                <w:sz w:val="21"/>
                <w:szCs w:val="21"/>
              </w:rPr>
            </w:pPr>
          </w:p>
        </w:tc>
        <w:tc>
          <w:tcPr>
            <w:tcW w:w="217" w:type="dxa"/>
          </w:tcPr>
          <w:p w14:paraId="6EE09D60" w14:textId="77777777" w:rsidR="002C0FD9" w:rsidRPr="00CA25CF" w:rsidRDefault="002C0FD9" w:rsidP="00CA25CF">
            <w:pPr>
              <w:rPr>
                <w:rFonts w:cs="Arial"/>
                <w:color w:val="FF0000"/>
                <w:sz w:val="21"/>
                <w:szCs w:val="21"/>
              </w:rPr>
            </w:pPr>
          </w:p>
        </w:tc>
        <w:tc>
          <w:tcPr>
            <w:tcW w:w="217" w:type="dxa"/>
          </w:tcPr>
          <w:p w14:paraId="3A024F28" w14:textId="77777777" w:rsidR="002C0FD9" w:rsidRPr="00CA25CF" w:rsidRDefault="002C0FD9" w:rsidP="00CA25CF">
            <w:pPr>
              <w:rPr>
                <w:rFonts w:cs="Arial"/>
                <w:color w:val="FF0000"/>
                <w:sz w:val="21"/>
                <w:szCs w:val="21"/>
              </w:rPr>
            </w:pPr>
          </w:p>
        </w:tc>
        <w:tc>
          <w:tcPr>
            <w:tcW w:w="217" w:type="dxa"/>
          </w:tcPr>
          <w:p w14:paraId="05A37EF0" w14:textId="77777777" w:rsidR="002C0FD9" w:rsidRPr="00CA25CF" w:rsidRDefault="002C0FD9" w:rsidP="00CA25CF">
            <w:pPr>
              <w:rPr>
                <w:rFonts w:cs="Arial"/>
                <w:color w:val="FF0000"/>
                <w:sz w:val="21"/>
                <w:szCs w:val="21"/>
              </w:rPr>
            </w:pPr>
          </w:p>
        </w:tc>
        <w:tc>
          <w:tcPr>
            <w:tcW w:w="217" w:type="dxa"/>
          </w:tcPr>
          <w:p w14:paraId="6C4962A6" w14:textId="77777777" w:rsidR="002C0FD9" w:rsidRPr="00CA25CF" w:rsidRDefault="002C0FD9" w:rsidP="00CA25CF">
            <w:pPr>
              <w:rPr>
                <w:rFonts w:cs="Arial"/>
                <w:color w:val="FF0000"/>
                <w:sz w:val="21"/>
                <w:szCs w:val="21"/>
              </w:rPr>
            </w:pPr>
          </w:p>
        </w:tc>
        <w:tc>
          <w:tcPr>
            <w:tcW w:w="217" w:type="dxa"/>
          </w:tcPr>
          <w:p w14:paraId="565A739D" w14:textId="77777777" w:rsidR="002C0FD9" w:rsidRPr="00CA25CF" w:rsidRDefault="002C0FD9" w:rsidP="00CA25CF">
            <w:pPr>
              <w:rPr>
                <w:rFonts w:cs="Arial"/>
                <w:color w:val="FF0000"/>
                <w:sz w:val="21"/>
                <w:szCs w:val="21"/>
              </w:rPr>
            </w:pPr>
          </w:p>
        </w:tc>
        <w:tc>
          <w:tcPr>
            <w:tcW w:w="217" w:type="dxa"/>
          </w:tcPr>
          <w:p w14:paraId="67122ADF" w14:textId="77777777" w:rsidR="002C0FD9" w:rsidRPr="00CA25CF" w:rsidRDefault="002C0FD9" w:rsidP="00CA25CF">
            <w:pPr>
              <w:rPr>
                <w:rFonts w:cs="Arial"/>
                <w:color w:val="FF0000"/>
                <w:sz w:val="21"/>
                <w:szCs w:val="21"/>
              </w:rPr>
            </w:pPr>
          </w:p>
        </w:tc>
        <w:tc>
          <w:tcPr>
            <w:tcW w:w="217" w:type="dxa"/>
          </w:tcPr>
          <w:p w14:paraId="3F0388E0" w14:textId="77777777" w:rsidR="002C0FD9" w:rsidRPr="00CA25CF" w:rsidRDefault="002C0FD9" w:rsidP="00CA25CF">
            <w:pPr>
              <w:rPr>
                <w:rFonts w:cs="Arial"/>
                <w:color w:val="FF0000"/>
                <w:sz w:val="21"/>
                <w:szCs w:val="21"/>
              </w:rPr>
            </w:pPr>
          </w:p>
        </w:tc>
        <w:tc>
          <w:tcPr>
            <w:tcW w:w="217" w:type="dxa"/>
          </w:tcPr>
          <w:p w14:paraId="05A6C761" w14:textId="77777777" w:rsidR="002C0FD9" w:rsidRPr="00CA25CF" w:rsidRDefault="002C0FD9" w:rsidP="00CA25CF">
            <w:pPr>
              <w:rPr>
                <w:rFonts w:cs="Arial"/>
                <w:color w:val="FF0000"/>
                <w:sz w:val="21"/>
                <w:szCs w:val="21"/>
              </w:rPr>
            </w:pPr>
          </w:p>
        </w:tc>
        <w:tc>
          <w:tcPr>
            <w:tcW w:w="217" w:type="dxa"/>
          </w:tcPr>
          <w:p w14:paraId="6A3B8B15" w14:textId="77777777" w:rsidR="002C0FD9" w:rsidRPr="00CA25CF" w:rsidRDefault="002C0FD9" w:rsidP="00CA25CF">
            <w:pPr>
              <w:rPr>
                <w:rFonts w:cs="Arial"/>
                <w:color w:val="FF0000"/>
                <w:sz w:val="21"/>
                <w:szCs w:val="21"/>
              </w:rPr>
            </w:pPr>
          </w:p>
        </w:tc>
        <w:tc>
          <w:tcPr>
            <w:tcW w:w="217" w:type="dxa"/>
          </w:tcPr>
          <w:p w14:paraId="0953A356" w14:textId="77777777" w:rsidR="002C0FD9" w:rsidRPr="00CA25CF" w:rsidRDefault="002C0FD9" w:rsidP="00CA25CF">
            <w:pPr>
              <w:rPr>
                <w:rFonts w:cs="Arial"/>
                <w:color w:val="FF0000"/>
                <w:sz w:val="21"/>
                <w:szCs w:val="21"/>
              </w:rPr>
            </w:pPr>
          </w:p>
        </w:tc>
        <w:tc>
          <w:tcPr>
            <w:tcW w:w="217" w:type="dxa"/>
          </w:tcPr>
          <w:p w14:paraId="68ADD3A3" w14:textId="77777777" w:rsidR="002C0FD9" w:rsidRPr="00CA25CF" w:rsidRDefault="002C0FD9" w:rsidP="00CA25CF">
            <w:pPr>
              <w:rPr>
                <w:rFonts w:cs="Arial"/>
                <w:color w:val="FF0000"/>
                <w:sz w:val="21"/>
                <w:szCs w:val="21"/>
              </w:rPr>
            </w:pPr>
          </w:p>
        </w:tc>
        <w:tc>
          <w:tcPr>
            <w:tcW w:w="217" w:type="dxa"/>
          </w:tcPr>
          <w:p w14:paraId="6F9CF34C" w14:textId="77777777" w:rsidR="002C0FD9" w:rsidRPr="00CA25CF" w:rsidRDefault="002C0FD9" w:rsidP="00CA25CF">
            <w:pPr>
              <w:rPr>
                <w:rFonts w:cs="Arial"/>
                <w:color w:val="FF0000"/>
                <w:sz w:val="21"/>
                <w:szCs w:val="21"/>
              </w:rPr>
            </w:pPr>
          </w:p>
        </w:tc>
        <w:tc>
          <w:tcPr>
            <w:tcW w:w="217" w:type="dxa"/>
          </w:tcPr>
          <w:p w14:paraId="732E97B4" w14:textId="77777777" w:rsidR="002C0FD9" w:rsidRPr="00CA25CF" w:rsidRDefault="002C0FD9" w:rsidP="00CA25CF">
            <w:pPr>
              <w:rPr>
                <w:rFonts w:cs="Arial"/>
                <w:color w:val="FF0000"/>
                <w:sz w:val="21"/>
                <w:szCs w:val="21"/>
              </w:rPr>
            </w:pPr>
          </w:p>
        </w:tc>
        <w:tc>
          <w:tcPr>
            <w:tcW w:w="217" w:type="dxa"/>
          </w:tcPr>
          <w:p w14:paraId="5D7EC036" w14:textId="77777777" w:rsidR="002C0FD9" w:rsidRPr="00CA25CF" w:rsidRDefault="002C0FD9" w:rsidP="00CA25CF">
            <w:pPr>
              <w:rPr>
                <w:rFonts w:cs="Arial"/>
                <w:color w:val="FF0000"/>
                <w:sz w:val="21"/>
                <w:szCs w:val="21"/>
              </w:rPr>
            </w:pPr>
          </w:p>
        </w:tc>
        <w:tc>
          <w:tcPr>
            <w:tcW w:w="217" w:type="dxa"/>
          </w:tcPr>
          <w:p w14:paraId="62A0C024" w14:textId="77777777" w:rsidR="002C0FD9" w:rsidRPr="00CA25CF" w:rsidRDefault="002C0FD9" w:rsidP="00CA25CF">
            <w:pPr>
              <w:rPr>
                <w:rFonts w:cs="Arial"/>
                <w:color w:val="FF0000"/>
                <w:sz w:val="21"/>
                <w:szCs w:val="21"/>
              </w:rPr>
            </w:pPr>
          </w:p>
        </w:tc>
        <w:tc>
          <w:tcPr>
            <w:tcW w:w="217" w:type="dxa"/>
          </w:tcPr>
          <w:p w14:paraId="4BF80DD4" w14:textId="77777777" w:rsidR="002C0FD9" w:rsidRPr="00CA25CF" w:rsidRDefault="002C0FD9" w:rsidP="00CA25CF">
            <w:pPr>
              <w:rPr>
                <w:rFonts w:cs="Arial"/>
                <w:color w:val="FF0000"/>
                <w:sz w:val="21"/>
                <w:szCs w:val="21"/>
              </w:rPr>
            </w:pPr>
          </w:p>
        </w:tc>
        <w:tc>
          <w:tcPr>
            <w:tcW w:w="217" w:type="dxa"/>
          </w:tcPr>
          <w:p w14:paraId="06375550" w14:textId="77777777" w:rsidR="002C0FD9" w:rsidRPr="00CA25CF" w:rsidRDefault="002C0FD9" w:rsidP="00CA25CF">
            <w:pPr>
              <w:rPr>
                <w:rFonts w:cs="Arial"/>
                <w:color w:val="FF0000"/>
                <w:sz w:val="21"/>
                <w:szCs w:val="21"/>
              </w:rPr>
            </w:pPr>
          </w:p>
        </w:tc>
        <w:tc>
          <w:tcPr>
            <w:tcW w:w="217" w:type="dxa"/>
          </w:tcPr>
          <w:p w14:paraId="13D082A1" w14:textId="77777777" w:rsidR="002C0FD9" w:rsidRPr="00CA25CF" w:rsidRDefault="002C0FD9" w:rsidP="00CA25CF">
            <w:pPr>
              <w:rPr>
                <w:rFonts w:cs="Arial"/>
                <w:color w:val="FF0000"/>
                <w:sz w:val="21"/>
                <w:szCs w:val="21"/>
              </w:rPr>
            </w:pPr>
          </w:p>
        </w:tc>
        <w:tc>
          <w:tcPr>
            <w:tcW w:w="217" w:type="dxa"/>
          </w:tcPr>
          <w:p w14:paraId="4130268A" w14:textId="77777777" w:rsidR="002C0FD9" w:rsidRPr="00CA25CF" w:rsidRDefault="002C0FD9" w:rsidP="00CA25CF">
            <w:pPr>
              <w:rPr>
                <w:rFonts w:cs="Arial"/>
                <w:color w:val="FF0000"/>
                <w:sz w:val="21"/>
                <w:szCs w:val="21"/>
              </w:rPr>
            </w:pPr>
          </w:p>
        </w:tc>
        <w:tc>
          <w:tcPr>
            <w:tcW w:w="217" w:type="dxa"/>
          </w:tcPr>
          <w:p w14:paraId="6F4363FB" w14:textId="77777777" w:rsidR="002C0FD9" w:rsidRPr="00CA25CF" w:rsidRDefault="002C0FD9" w:rsidP="00CA25CF">
            <w:pPr>
              <w:rPr>
                <w:rFonts w:cs="Arial"/>
                <w:color w:val="FF0000"/>
                <w:sz w:val="21"/>
                <w:szCs w:val="21"/>
              </w:rPr>
            </w:pPr>
          </w:p>
        </w:tc>
        <w:tc>
          <w:tcPr>
            <w:tcW w:w="217" w:type="dxa"/>
          </w:tcPr>
          <w:p w14:paraId="075F8AF3" w14:textId="77777777" w:rsidR="002C0FD9" w:rsidRPr="00CA25CF" w:rsidRDefault="002C0FD9" w:rsidP="00CA25CF">
            <w:pPr>
              <w:rPr>
                <w:rFonts w:cs="Arial"/>
                <w:color w:val="FF0000"/>
                <w:sz w:val="21"/>
                <w:szCs w:val="21"/>
              </w:rPr>
            </w:pPr>
          </w:p>
        </w:tc>
        <w:tc>
          <w:tcPr>
            <w:tcW w:w="217" w:type="dxa"/>
          </w:tcPr>
          <w:p w14:paraId="77623C01" w14:textId="77777777" w:rsidR="002C0FD9" w:rsidRPr="00CA25CF" w:rsidRDefault="002C0FD9" w:rsidP="00CA25CF">
            <w:pPr>
              <w:rPr>
                <w:rFonts w:cs="Arial"/>
                <w:color w:val="FF0000"/>
                <w:sz w:val="21"/>
                <w:szCs w:val="21"/>
              </w:rPr>
            </w:pPr>
          </w:p>
        </w:tc>
        <w:tc>
          <w:tcPr>
            <w:tcW w:w="217" w:type="dxa"/>
          </w:tcPr>
          <w:p w14:paraId="0EA4E741" w14:textId="77777777" w:rsidR="002C0FD9" w:rsidRPr="00CA25CF" w:rsidRDefault="002C0FD9" w:rsidP="00CA25CF">
            <w:pPr>
              <w:rPr>
                <w:rFonts w:cs="Arial"/>
                <w:color w:val="FF0000"/>
                <w:sz w:val="21"/>
                <w:szCs w:val="21"/>
              </w:rPr>
            </w:pPr>
          </w:p>
        </w:tc>
        <w:tc>
          <w:tcPr>
            <w:tcW w:w="217" w:type="dxa"/>
          </w:tcPr>
          <w:p w14:paraId="674869E0" w14:textId="77777777" w:rsidR="002C0FD9" w:rsidRPr="00CA25CF" w:rsidRDefault="002C0FD9" w:rsidP="00CA25CF">
            <w:pPr>
              <w:rPr>
                <w:rFonts w:cs="Arial"/>
                <w:color w:val="FF0000"/>
                <w:sz w:val="21"/>
                <w:szCs w:val="21"/>
              </w:rPr>
            </w:pPr>
          </w:p>
        </w:tc>
        <w:tc>
          <w:tcPr>
            <w:tcW w:w="217" w:type="dxa"/>
          </w:tcPr>
          <w:p w14:paraId="6012983B" w14:textId="77777777" w:rsidR="002C0FD9" w:rsidRPr="00CA25CF" w:rsidRDefault="002C0FD9" w:rsidP="00CA25CF">
            <w:pPr>
              <w:rPr>
                <w:rFonts w:cs="Arial"/>
                <w:color w:val="FF0000"/>
                <w:sz w:val="21"/>
                <w:szCs w:val="21"/>
              </w:rPr>
            </w:pPr>
          </w:p>
        </w:tc>
        <w:tc>
          <w:tcPr>
            <w:tcW w:w="217" w:type="dxa"/>
          </w:tcPr>
          <w:p w14:paraId="4466F1D1" w14:textId="77777777" w:rsidR="002C0FD9" w:rsidRPr="00CA25CF" w:rsidRDefault="002C0FD9" w:rsidP="00CA25CF">
            <w:pPr>
              <w:rPr>
                <w:rFonts w:cs="Arial"/>
                <w:color w:val="FF0000"/>
                <w:sz w:val="21"/>
                <w:szCs w:val="21"/>
              </w:rPr>
            </w:pPr>
          </w:p>
        </w:tc>
        <w:tc>
          <w:tcPr>
            <w:tcW w:w="217" w:type="dxa"/>
          </w:tcPr>
          <w:p w14:paraId="3C57A55C" w14:textId="77777777" w:rsidR="002C0FD9" w:rsidRPr="00CA25CF" w:rsidRDefault="002C0FD9" w:rsidP="00CA25CF">
            <w:pPr>
              <w:rPr>
                <w:rFonts w:cs="Arial"/>
                <w:color w:val="FF0000"/>
                <w:sz w:val="21"/>
                <w:szCs w:val="21"/>
              </w:rPr>
            </w:pPr>
          </w:p>
        </w:tc>
        <w:tc>
          <w:tcPr>
            <w:tcW w:w="217" w:type="dxa"/>
          </w:tcPr>
          <w:p w14:paraId="096F8A60" w14:textId="77777777" w:rsidR="002C0FD9" w:rsidRPr="00CA25CF" w:rsidRDefault="002C0FD9" w:rsidP="00CA25CF">
            <w:pPr>
              <w:rPr>
                <w:rFonts w:cs="Arial"/>
                <w:color w:val="FF0000"/>
                <w:sz w:val="21"/>
                <w:szCs w:val="21"/>
              </w:rPr>
            </w:pPr>
          </w:p>
        </w:tc>
        <w:tc>
          <w:tcPr>
            <w:tcW w:w="217" w:type="dxa"/>
          </w:tcPr>
          <w:p w14:paraId="171C3116" w14:textId="77777777" w:rsidR="002C0FD9" w:rsidRPr="00CA25CF" w:rsidRDefault="002C0FD9" w:rsidP="00CA25CF">
            <w:pPr>
              <w:rPr>
                <w:rFonts w:cs="Arial"/>
                <w:color w:val="FF0000"/>
                <w:sz w:val="21"/>
                <w:szCs w:val="21"/>
              </w:rPr>
            </w:pPr>
          </w:p>
        </w:tc>
        <w:tc>
          <w:tcPr>
            <w:tcW w:w="217" w:type="dxa"/>
          </w:tcPr>
          <w:p w14:paraId="2F93D2EA" w14:textId="77777777" w:rsidR="002C0FD9" w:rsidRPr="00CA25CF" w:rsidRDefault="002C0FD9" w:rsidP="00CA25CF">
            <w:pPr>
              <w:rPr>
                <w:rFonts w:cs="Arial"/>
                <w:color w:val="FF0000"/>
                <w:sz w:val="21"/>
                <w:szCs w:val="21"/>
              </w:rPr>
            </w:pPr>
          </w:p>
        </w:tc>
        <w:tc>
          <w:tcPr>
            <w:tcW w:w="217" w:type="dxa"/>
          </w:tcPr>
          <w:p w14:paraId="550F1E25" w14:textId="77777777" w:rsidR="002C0FD9" w:rsidRPr="00CA25CF" w:rsidRDefault="002C0FD9" w:rsidP="00CA25CF">
            <w:pPr>
              <w:rPr>
                <w:rFonts w:cs="Arial"/>
                <w:color w:val="FF0000"/>
                <w:sz w:val="21"/>
                <w:szCs w:val="21"/>
              </w:rPr>
            </w:pPr>
          </w:p>
        </w:tc>
        <w:tc>
          <w:tcPr>
            <w:tcW w:w="217" w:type="dxa"/>
          </w:tcPr>
          <w:p w14:paraId="400441B1" w14:textId="77777777" w:rsidR="002C0FD9" w:rsidRPr="00CA25CF" w:rsidRDefault="002C0FD9" w:rsidP="00CA25CF">
            <w:pPr>
              <w:rPr>
                <w:rFonts w:cs="Arial"/>
                <w:color w:val="FF0000"/>
                <w:sz w:val="21"/>
                <w:szCs w:val="21"/>
              </w:rPr>
            </w:pPr>
          </w:p>
        </w:tc>
        <w:tc>
          <w:tcPr>
            <w:tcW w:w="217" w:type="dxa"/>
          </w:tcPr>
          <w:p w14:paraId="7E58EB61" w14:textId="77777777" w:rsidR="002C0FD9" w:rsidRPr="00CA25CF" w:rsidRDefault="002C0FD9" w:rsidP="00CA25CF">
            <w:pPr>
              <w:rPr>
                <w:rFonts w:cs="Arial"/>
                <w:color w:val="FF0000"/>
                <w:sz w:val="21"/>
                <w:szCs w:val="21"/>
              </w:rPr>
            </w:pPr>
          </w:p>
        </w:tc>
        <w:tc>
          <w:tcPr>
            <w:tcW w:w="217" w:type="dxa"/>
          </w:tcPr>
          <w:p w14:paraId="344ADE67" w14:textId="77777777" w:rsidR="002C0FD9" w:rsidRPr="00CA25CF" w:rsidRDefault="002C0FD9" w:rsidP="00CA25CF">
            <w:pPr>
              <w:rPr>
                <w:rFonts w:cs="Arial"/>
                <w:color w:val="FF0000"/>
                <w:sz w:val="21"/>
                <w:szCs w:val="21"/>
              </w:rPr>
            </w:pPr>
          </w:p>
        </w:tc>
        <w:tc>
          <w:tcPr>
            <w:tcW w:w="217" w:type="dxa"/>
          </w:tcPr>
          <w:p w14:paraId="3742DA21" w14:textId="77777777" w:rsidR="002C0FD9" w:rsidRPr="00CA25CF" w:rsidRDefault="002C0FD9" w:rsidP="00CA25CF">
            <w:pPr>
              <w:rPr>
                <w:rFonts w:cs="Arial"/>
                <w:color w:val="FF0000"/>
                <w:sz w:val="21"/>
                <w:szCs w:val="21"/>
              </w:rPr>
            </w:pPr>
          </w:p>
        </w:tc>
        <w:tc>
          <w:tcPr>
            <w:tcW w:w="217" w:type="dxa"/>
          </w:tcPr>
          <w:p w14:paraId="1AB6ED1F" w14:textId="77777777" w:rsidR="002C0FD9" w:rsidRPr="00CA25CF" w:rsidRDefault="002C0FD9" w:rsidP="00CA25CF">
            <w:pPr>
              <w:rPr>
                <w:rFonts w:cs="Arial"/>
                <w:color w:val="FF0000"/>
                <w:sz w:val="21"/>
                <w:szCs w:val="21"/>
              </w:rPr>
            </w:pPr>
          </w:p>
        </w:tc>
        <w:tc>
          <w:tcPr>
            <w:tcW w:w="217" w:type="dxa"/>
          </w:tcPr>
          <w:p w14:paraId="76B37C86" w14:textId="77777777" w:rsidR="002C0FD9" w:rsidRPr="00CA25CF" w:rsidRDefault="002C0FD9" w:rsidP="00CA25CF">
            <w:pPr>
              <w:rPr>
                <w:rFonts w:cs="Arial"/>
                <w:color w:val="FF0000"/>
                <w:sz w:val="21"/>
                <w:szCs w:val="21"/>
              </w:rPr>
            </w:pPr>
          </w:p>
        </w:tc>
        <w:tc>
          <w:tcPr>
            <w:tcW w:w="217" w:type="dxa"/>
          </w:tcPr>
          <w:p w14:paraId="5EBD1EB5" w14:textId="77777777" w:rsidR="002C0FD9" w:rsidRPr="00CA25CF" w:rsidRDefault="002C0FD9" w:rsidP="00CA25CF">
            <w:pPr>
              <w:rPr>
                <w:rFonts w:cs="Arial"/>
                <w:color w:val="FF0000"/>
                <w:sz w:val="21"/>
                <w:szCs w:val="21"/>
              </w:rPr>
            </w:pPr>
          </w:p>
        </w:tc>
        <w:tc>
          <w:tcPr>
            <w:tcW w:w="217" w:type="dxa"/>
          </w:tcPr>
          <w:p w14:paraId="184FF387" w14:textId="77777777" w:rsidR="002C0FD9" w:rsidRPr="00CA25CF" w:rsidRDefault="002C0FD9" w:rsidP="00CA25CF">
            <w:pPr>
              <w:rPr>
                <w:rFonts w:cs="Arial"/>
                <w:color w:val="FF0000"/>
                <w:sz w:val="21"/>
                <w:szCs w:val="21"/>
              </w:rPr>
            </w:pPr>
          </w:p>
        </w:tc>
      </w:tr>
      <w:tr w:rsidR="002C0FD9" w:rsidRPr="00A16219" w14:paraId="3A08DA35" w14:textId="77777777" w:rsidTr="002C0FD9">
        <w:trPr>
          <w:trHeight w:val="635"/>
        </w:trPr>
        <w:tc>
          <w:tcPr>
            <w:tcW w:w="515" w:type="dxa"/>
          </w:tcPr>
          <w:p w14:paraId="44305A22" w14:textId="77777777" w:rsidR="002C0FD9" w:rsidRPr="00CA25CF" w:rsidRDefault="002C0FD9" w:rsidP="00CA25CF">
            <w:pPr>
              <w:rPr>
                <w:rFonts w:cs="Arial"/>
                <w:color w:val="FF0000"/>
                <w:sz w:val="21"/>
                <w:szCs w:val="21"/>
              </w:rPr>
            </w:pPr>
          </w:p>
        </w:tc>
        <w:tc>
          <w:tcPr>
            <w:tcW w:w="217" w:type="dxa"/>
          </w:tcPr>
          <w:p w14:paraId="0DFEAF82" w14:textId="77777777" w:rsidR="002C0FD9" w:rsidRPr="00CA25CF" w:rsidRDefault="002C0FD9" w:rsidP="00CA25CF">
            <w:pPr>
              <w:rPr>
                <w:rFonts w:cs="Arial"/>
                <w:color w:val="FF0000"/>
                <w:sz w:val="21"/>
                <w:szCs w:val="21"/>
              </w:rPr>
            </w:pPr>
          </w:p>
        </w:tc>
        <w:tc>
          <w:tcPr>
            <w:tcW w:w="217" w:type="dxa"/>
          </w:tcPr>
          <w:p w14:paraId="7E9FC9F1" w14:textId="77777777" w:rsidR="002C0FD9" w:rsidRPr="00CA25CF" w:rsidRDefault="002C0FD9" w:rsidP="00CA25CF">
            <w:pPr>
              <w:rPr>
                <w:rFonts w:cs="Arial"/>
                <w:color w:val="FF0000"/>
                <w:sz w:val="21"/>
                <w:szCs w:val="21"/>
              </w:rPr>
            </w:pPr>
          </w:p>
        </w:tc>
        <w:tc>
          <w:tcPr>
            <w:tcW w:w="217" w:type="dxa"/>
          </w:tcPr>
          <w:p w14:paraId="531319D6" w14:textId="77777777" w:rsidR="002C0FD9" w:rsidRPr="00CA25CF" w:rsidRDefault="002C0FD9" w:rsidP="00CA25CF">
            <w:pPr>
              <w:rPr>
                <w:rFonts w:cs="Arial"/>
                <w:color w:val="FF0000"/>
                <w:sz w:val="21"/>
                <w:szCs w:val="21"/>
              </w:rPr>
            </w:pPr>
          </w:p>
        </w:tc>
        <w:tc>
          <w:tcPr>
            <w:tcW w:w="217" w:type="dxa"/>
          </w:tcPr>
          <w:p w14:paraId="1ED3072D" w14:textId="77777777" w:rsidR="002C0FD9" w:rsidRPr="00CA25CF" w:rsidRDefault="002C0FD9" w:rsidP="00CA25CF">
            <w:pPr>
              <w:rPr>
                <w:rFonts w:cs="Arial"/>
                <w:color w:val="FF0000"/>
                <w:sz w:val="21"/>
                <w:szCs w:val="21"/>
              </w:rPr>
            </w:pPr>
          </w:p>
        </w:tc>
        <w:tc>
          <w:tcPr>
            <w:tcW w:w="217" w:type="dxa"/>
          </w:tcPr>
          <w:p w14:paraId="20C71A6C" w14:textId="77777777" w:rsidR="002C0FD9" w:rsidRPr="00CA25CF" w:rsidRDefault="002C0FD9" w:rsidP="00CA25CF">
            <w:pPr>
              <w:rPr>
                <w:rFonts w:cs="Arial"/>
                <w:color w:val="FF0000"/>
                <w:sz w:val="21"/>
                <w:szCs w:val="21"/>
              </w:rPr>
            </w:pPr>
          </w:p>
        </w:tc>
        <w:tc>
          <w:tcPr>
            <w:tcW w:w="217" w:type="dxa"/>
          </w:tcPr>
          <w:p w14:paraId="114D693E" w14:textId="77777777" w:rsidR="002C0FD9" w:rsidRPr="00CA25CF" w:rsidRDefault="002C0FD9" w:rsidP="00CA25CF">
            <w:pPr>
              <w:rPr>
                <w:rFonts w:cs="Arial"/>
                <w:color w:val="FF0000"/>
                <w:sz w:val="21"/>
                <w:szCs w:val="21"/>
              </w:rPr>
            </w:pPr>
          </w:p>
        </w:tc>
        <w:tc>
          <w:tcPr>
            <w:tcW w:w="217" w:type="dxa"/>
          </w:tcPr>
          <w:p w14:paraId="61CB385A" w14:textId="77777777" w:rsidR="002C0FD9" w:rsidRPr="00CA25CF" w:rsidRDefault="002C0FD9" w:rsidP="00CA25CF">
            <w:pPr>
              <w:rPr>
                <w:rFonts w:cs="Arial"/>
                <w:color w:val="FF0000"/>
                <w:sz w:val="21"/>
                <w:szCs w:val="21"/>
              </w:rPr>
            </w:pPr>
          </w:p>
        </w:tc>
        <w:tc>
          <w:tcPr>
            <w:tcW w:w="217" w:type="dxa"/>
          </w:tcPr>
          <w:p w14:paraId="4C3DC3D0" w14:textId="77777777" w:rsidR="002C0FD9" w:rsidRPr="00CA25CF" w:rsidRDefault="002C0FD9" w:rsidP="00CA25CF">
            <w:pPr>
              <w:rPr>
                <w:rFonts w:cs="Arial"/>
                <w:color w:val="FF0000"/>
                <w:sz w:val="21"/>
                <w:szCs w:val="21"/>
              </w:rPr>
            </w:pPr>
          </w:p>
        </w:tc>
        <w:tc>
          <w:tcPr>
            <w:tcW w:w="217" w:type="dxa"/>
          </w:tcPr>
          <w:p w14:paraId="788DEAB6" w14:textId="77777777" w:rsidR="002C0FD9" w:rsidRPr="00CA25CF" w:rsidRDefault="002C0FD9" w:rsidP="00CA25CF">
            <w:pPr>
              <w:rPr>
                <w:rFonts w:cs="Arial"/>
                <w:color w:val="FF0000"/>
                <w:sz w:val="21"/>
                <w:szCs w:val="21"/>
              </w:rPr>
            </w:pPr>
          </w:p>
        </w:tc>
        <w:tc>
          <w:tcPr>
            <w:tcW w:w="217" w:type="dxa"/>
          </w:tcPr>
          <w:p w14:paraId="77723463" w14:textId="77777777" w:rsidR="002C0FD9" w:rsidRPr="00CA25CF" w:rsidRDefault="002C0FD9" w:rsidP="00CA25CF">
            <w:pPr>
              <w:rPr>
                <w:rFonts w:cs="Arial"/>
                <w:color w:val="FF0000"/>
                <w:sz w:val="21"/>
                <w:szCs w:val="21"/>
              </w:rPr>
            </w:pPr>
          </w:p>
        </w:tc>
        <w:tc>
          <w:tcPr>
            <w:tcW w:w="217" w:type="dxa"/>
          </w:tcPr>
          <w:p w14:paraId="7350A5EF" w14:textId="77777777" w:rsidR="002C0FD9" w:rsidRPr="00CA25CF" w:rsidRDefault="002C0FD9" w:rsidP="00CA25CF">
            <w:pPr>
              <w:rPr>
                <w:rFonts w:cs="Arial"/>
                <w:color w:val="FF0000"/>
                <w:sz w:val="21"/>
                <w:szCs w:val="21"/>
              </w:rPr>
            </w:pPr>
          </w:p>
        </w:tc>
        <w:tc>
          <w:tcPr>
            <w:tcW w:w="217" w:type="dxa"/>
          </w:tcPr>
          <w:p w14:paraId="77FAB848" w14:textId="77777777" w:rsidR="002C0FD9" w:rsidRPr="00CA25CF" w:rsidRDefault="002C0FD9" w:rsidP="00CA25CF">
            <w:pPr>
              <w:rPr>
                <w:rFonts w:cs="Arial"/>
                <w:color w:val="FF0000"/>
                <w:sz w:val="21"/>
                <w:szCs w:val="21"/>
              </w:rPr>
            </w:pPr>
          </w:p>
        </w:tc>
        <w:tc>
          <w:tcPr>
            <w:tcW w:w="217" w:type="dxa"/>
          </w:tcPr>
          <w:p w14:paraId="687CA91A" w14:textId="77777777" w:rsidR="002C0FD9" w:rsidRPr="00CA25CF" w:rsidRDefault="002C0FD9" w:rsidP="00CA25CF">
            <w:pPr>
              <w:rPr>
                <w:rFonts w:cs="Arial"/>
                <w:color w:val="FF0000"/>
                <w:sz w:val="21"/>
                <w:szCs w:val="21"/>
              </w:rPr>
            </w:pPr>
          </w:p>
        </w:tc>
        <w:tc>
          <w:tcPr>
            <w:tcW w:w="217" w:type="dxa"/>
          </w:tcPr>
          <w:p w14:paraId="11702988" w14:textId="77777777" w:rsidR="002C0FD9" w:rsidRPr="00CA25CF" w:rsidRDefault="002C0FD9" w:rsidP="00CA25CF">
            <w:pPr>
              <w:rPr>
                <w:rFonts w:cs="Arial"/>
                <w:color w:val="FF0000"/>
                <w:sz w:val="21"/>
                <w:szCs w:val="21"/>
              </w:rPr>
            </w:pPr>
          </w:p>
        </w:tc>
        <w:tc>
          <w:tcPr>
            <w:tcW w:w="217" w:type="dxa"/>
          </w:tcPr>
          <w:p w14:paraId="16F60D24" w14:textId="77777777" w:rsidR="002C0FD9" w:rsidRPr="00CA25CF" w:rsidRDefault="002C0FD9" w:rsidP="00CA25CF">
            <w:pPr>
              <w:rPr>
                <w:rFonts w:cs="Arial"/>
                <w:color w:val="FF0000"/>
                <w:sz w:val="21"/>
                <w:szCs w:val="21"/>
              </w:rPr>
            </w:pPr>
          </w:p>
        </w:tc>
        <w:tc>
          <w:tcPr>
            <w:tcW w:w="217" w:type="dxa"/>
          </w:tcPr>
          <w:p w14:paraId="7862E389" w14:textId="77777777" w:rsidR="002C0FD9" w:rsidRPr="00CA25CF" w:rsidRDefault="002C0FD9" w:rsidP="00CA25CF">
            <w:pPr>
              <w:rPr>
                <w:rFonts w:cs="Arial"/>
                <w:color w:val="FF0000"/>
                <w:sz w:val="21"/>
                <w:szCs w:val="21"/>
              </w:rPr>
            </w:pPr>
          </w:p>
        </w:tc>
        <w:tc>
          <w:tcPr>
            <w:tcW w:w="217" w:type="dxa"/>
          </w:tcPr>
          <w:p w14:paraId="04BFE739" w14:textId="77777777" w:rsidR="002C0FD9" w:rsidRPr="00CA25CF" w:rsidRDefault="002C0FD9" w:rsidP="00CA25CF">
            <w:pPr>
              <w:rPr>
                <w:rFonts w:cs="Arial"/>
                <w:color w:val="FF0000"/>
                <w:sz w:val="21"/>
                <w:szCs w:val="21"/>
              </w:rPr>
            </w:pPr>
          </w:p>
        </w:tc>
        <w:tc>
          <w:tcPr>
            <w:tcW w:w="217" w:type="dxa"/>
          </w:tcPr>
          <w:p w14:paraId="51163120" w14:textId="77777777" w:rsidR="002C0FD9" w:rsidRPr="00CA25CF" w:rsidRDefault="002C0FD9" w:rsidP="00CA25CF">
            <w:pPr>
              <w:rPr>
                <w:rFonts w:cs="Arial"/>
                <w:color w:val="FF0000"/>
                <w:sz w:val="21"/>
                <w:szCs w:val="21"/>
              </w:rPr>
            </w:pPr>
          </w:p>
        </w:tc>
        <w:tc>
          <w:tcPr>
            <w:tcW w:w="217" w:type="dxa"/>
          </w:tcPr>
          <w:p w14:paraId="5B677409" w14:textId="77777777" w:rsidR="002C0FD9" w:rsidRPr="00CA25CF" w:rsidRDefault="002C0FD9" w:rsidP="00CA25CF">
            <w:pPr>
              <w:rPr>
                <w:rFonts w:cs="Arial"/>
                <w:color w:val="FF0000"/>
                <w:sz w:val="21"/>
                <w:szCs w:val="21"/>
              </w:rPr>
            </w:pPr>
          </w:p>
        </w:tc>
        <w:tc>
          <w:tcPr>
            <w:tcW w:w="217" w:type="dxa"/>
          </w:tcPr>
          <w:p w14:paraId="2ADB6E30" w14:textId="77777777" w:rsidR="002C0FD9" w:rsidRPr="00CA25CF" w:rsidRDefault="002C0FD9" w:rsidP="00CA25CF">
            <w:pPr>
              <w:rPr>
                <w:rFonts w:cs="Arial"/>
                <w:color w:val="FF0000"/>
                <w:sz w:val="21"/>
                <w:szCs w:val="21"/>
              </w:rPr>
            </w:pPr>
          </w:p>
        </w:tc>
        <w:tc>
          <w:tcPr>
            <w:tcW w:w="217" w:type="dxa"/>
          </w:tcPr>
          <w:p w14:paraId="3F1EF703" w14:textId="77777777" w:rsidR="002C0FD9" w:rsidRPr="00CA25CF" w:rsidRDefault="002C0FD9" w:rsidP="00CA25CF">
            <w:pPr>
              <w:rPr>
                <w:rFonts w:cs="Arial"/>
                <w:color w:val="FF0000"/>
                <w:sz w:val="21"/>
                <w:szCs w:val="21"/>
              </w:rPr>
            </w:pPr>
          </w:p>
        </w:tc>
        <w:tc>
          <w:tcPr>
            <w:tcW w:w="217" w:type="dxa"/>
          </w:tcPr>
          <w:p w14:paraId="21F7042F" w14:textId="77777777" w:rsidR="002C0FD9" w:rsidRPr="00CA25CF" w:rsidRDefault="002C0FD9" w:rsidP="00CA25CF">
            <w:pPr>
              <w:rPr>
                <w:rFonts w:cs="Arial"/>
                <w:color w:val="FF0000"/>
                <w:sz w:val="21"/>
                <w:szCs w:val="21"/>
              </w:rPr>
            </w:pPr>
          </w:p>
        </w:tc>
        <w:tc>
          <w:tcPr>
            <w:tcW w:w="217" w:type="dxa"/>
          </w:tcPr>
          <w:p w14:paraId="1C684D9A" w14:textId="77777777" w:rsidR="002C0FD9" w:rsidRPr="00CA25CF" w:rsidRDefault="002C0FD9" w:rsidP="00CA25CF">
            <w:pPr>
              <w:rPr>
                <w:rFonts w:cs="Arial"/>
                <w:color w:val="FF0000"/>
                <w:sz w:val="21"/>
                <w:szCs w:val="21"/>
              </w:rPr>
            </w:pPr>
          </w:p>
        </w:tc>
        <w:tc>
          <w:tcPr>
            <w:tcW w:w="217" w:type="dxa"/>
          </w:tcPr>
          <w:p w14:paraId="6875CE35" w14:textId="77777777" w:rsidR="002C0FD9" w:rsidRPr="00CA25CF" w:rsidRDefault="002C0FD9" w:rsidP="00CA25CF">
            <w:pPr>
              <w:rPr>
                <w:rFonts w:cs="Arial"/>
                <w:color w:val="FF0000"/>
                <w:sz w:val="21"/>
                <w:szCs w:val="21"/>
              </w:rPr>
            </w:pPr>
          </w:p>
        </w:tc>
        <w:tc>
          <w:tcPr>
            <w:tcW w:w="217" w:type="dxa"/>
          </w:tcPr>
          <w:p w14:paraId="0A74A91D" w14:textId="77777777" w:rsidR="002C0FD9" w:rsidRPr="00CA25CF" w:rsidRDefault="002C0FD9" w:rsidP="00CA25CF">
            <w:pPr>
              <w:rPr>
                <w:rFonts w:cs="Arial"/>
                <w:color w:val="FF0000"/>
                <w:sz w:val="21"/>
                <w:szCs w:val="21"/>
              </w:rPr>
            </w:pPr>
          </w:p>
        </w:tc>
        <w:tc>
          <w:tcPr>
            <w:tcW w:w="217" w:type="dxa"/>
          </w:tcPr>
          <w:p w14:paraId="3888798E" w14:textId="77777777" w:rsidR="002C0FD9" w:rsidRPr="00CA25CF" w:rsidRDefault="002C0FD9" w:rsidP="00CA25CF">
            <w:pPr>
              <w:rPr>
                <w:rFonts w:cs="Arial"/>
                <w:color w:val="FF0000"/>
                <w:sz w:val="21"/>
                <w:szCs w:val="21"/>
              </w:rPr>
            </w:pPr>
          </w:p>
        </w:tc>
        <w:tc>
          <w:tcPr>
            <w:tcW w:w="217" w:type="dxa"/>
          </w:tcPr>
          <w:p w14:paraId="66AC0304" w14:textId="77777777" w:rsidR="002C0FD9" w:rsidRPr="00CA25CF" w:rsidRDefault="002C0FD9" w:rsidP="00CA25CF">
            <w:pPr>
              <w:rPr>
                <w:rFonts w:cs="Arial"/>
                <w:color w:val="FF0000"/>
                <w:sz w:val="21"/>
                <w:szCs w:val="21"/>
              </w:rPr>
            </w:pPr>
          </w:p>
        </w:tc>
        <w:tc>
          <w:tcPr>
            <w:tcW w:w="217" w:type="dxa"/>
          </w:tcPr>
          <w:p w14:paraId="6FFCA6C3" w14:textId="77777777" w:rsidR="002C0FD9" w:rsidRPr="00CA25CF" w:rsidRDefault="002C0FD9" w:rsidP="00CA25CF">
            <w:pPr>
              <w:rPr>
                <w:rFonts w:cs="Arial"/>
                <w:color w:val="FF0000"/>
                <w:sz w:val="21"/>
                <w:szCs w:val="21"/>
              </w:rPr>
            </w:pPr>
          </w:p>
        </w:tc>
        <w:tc>
          <w:tcPr>
            <w:tcW w:w="217" w:type="dxa"/>
          </w:tcPr>
          <w:p w14:paraId="4A967FC6" w14:textId="77777777" w:rsidR="002C0FD9" w:rsidRPr="00CA25CF" w:rsidRDefault="002C0FD9" w:rsidP="00CA25CF">
            <w:pPr>
              <w:rPr>
                <w:rFonts w:cs="Arial"/>
                <w:color w:val="FF0000"/>
                <w:sz w:val="21"/>
                <w:szCs w:val="21"/>
              </w:rPr>
            </w:pPr>
          </w:p>
        </w:tc>
        <w:tc>
          <w:tcPr>
            <w:tcW w:w="217" w:type="dxa"/>
          </w:tcPr>
          <w:p w14:paraId="0AB0AF37" w14:textId="77777777" w:rsidR="002C0FD9" w:rsidRPr="00CA25CF" w:rsidRDefault="002C0FD9" w:rsidP="00CA25CF">
            <w:pPr>
              <w:rPr>
                <w:rFonts w:cs="Arial"/>
                <w:color w:val="FF0000"/>
                <w:sz w:val="21"/>
                <w:szCs w:val="21"/>
              </w:rPr>
            </w:pPr>
          </w:p>
        </w:tc>
        <w:tc>
          <w:tcPr>
            <w:tcW w:w="217" w:type="dxa"/>
          </w:tcPr>
          <w:p w14:paraId="373E941E" w14:textId="77777777" w:rsidR="002C0FD9" w:rsidRPr="00CA25CF" w:rsidRDefault="002C0FD9" w:rsidP="00CA25CF">
            <w:pPr>
              <w:rPr>
                <w:rFonts w:cs="Arial"/>
                <w:color w:val="FF0000"/>
                <w:sz w:val="21"/>
                <w:szCs w:val="21"/>
              </w:rPr>
            </w:pPr>
          </w:p>
        </w:tc>
        <w:tc>
          <w:tcPr>
            <w:tcW w:w="217" w:type="dxa"/>
          </w:tcPr>
          <w:p w14:paraId="76C51325" w14:textId="77777777" w:rsidR="002C0FD9" w:rsidRPr="00CA25CF" w:rsidRDefault="002C0FD9" w:rsidP="00CA25CF">
            <w:pPr>
              <w:rPr>
                <w:rFonts w:cs="Arial"/>
                <w:color w:val="FF0000"/>
                <w:sz w:val="21"/>
                <w:szCs w:val="21"/>
              </w:rPr>
            </w:pPr>
          </w:p>
        </w:tc>
        <w:tc>
          <w:tcPr>
            <w:tcW w:w="217" w:type="dxa"/>
          </w:tcPr>
          <w:p w14:paraId="017C60E4" w14:textId="77777777" w:rsidR="002C0FD9" w:rsidRPr="00CA25CF" w:rsidRDefault="002C0FD9" w:rsidP="00CA25CF">
            <w:pPr>
              <w:rPr>
                <w:rFonts w:cs="Arial"/>
                <w:color w:val="FF0000"/>
                <w:sz w:val="21"/>
                <w:szCs w:val="21"/>
              </w:rPr>
            </w:pPr>
          </w:p>
        </w:tc>
        <w:tc>
          <w:tcPr>
            <w:tcW w:w="217" w:type="dxa"/>
          </w:tcPr>
          <w:p w14:paraId="1B9DB444" w14:textId="77777777" w:rsidR="002C0FD9" w:rsidRPr="00CA25CF" w:rsidRDefault="002C0FD9" w:rsidP="00CA25CF">
            <w:pPr>
              <w:rPr>
                <w:rFonts w:cs="Arial"/>
                <w:color w:val="FF0000"/>
                <w:sz w:val="21"/>
                <w:szCs w:val="21"/>
              </w:rPr>
            </w:pPr>
          </w:p>
        </w:tc>
        <w:tc>
          <w:tcPr>
            <w:tcW w:w="217" w:type="dxa"/>
          </w:tcPr>
          <w:p w14:paraId="0C195958" w14:textId="77777777" w:rsidR="002C0FD9" w:rsidRPr="00CA25CF" w:rsidRDefault="002C0FD9" w:rsidP="00CA25CF">
            <w:pPr>
              <w:rPr>
                <w:rFonts w:cs="Arial"/>
                <w:color w:val="FF0000"/>
                <w:sz w:val="21"/>
                <w:szCs w:val="21"/>
              </w:rPr>
            </w:pPr>
          </w:p>
        </w:tc>
        <w:tc>
          <w:tcPr>
            <w:tcW w:w="217" w:type="dxa"/>
          </w:tcPr>
          <w:p w14:paraId="43852C45" w14:textId="77777777" w:rsidR="002C0FD9" w:rsidRPr="00CA25CF" w:rsidRDefault="002C0FD9" w:rsidP="00CA25CF">
            <w:pPr>
              <w:rPr>
                <w:rFonts w:cs="Arial"/>
                <w:color w:val="FF0000"/>
                <w:sz w:val="21"/>
                <w:szCs w:val="21"/>
              </w:rPr>
            </w:pPr>
          </w:p>
        </w:tc>
        <w:tc>
          <w:tcPr>
            <w:tcW w:w="217" w:type="dxa"/>
          </w:tcPr>
          <w:p w14:paraId="67002419" w14:textId="77777777" w:rsidR="002C0FD9" w:rsidRPr="00CA25CF" w:rsidRDefault="002C0FD9" w:rsidP="00CA25CF">
            <w:pPr>
              <w:rPr>
                <w:rFonts w:cs="Arial"/>
                <w:color w:val="FF0000"/>
                <w:sz w:val="21"/>
                <w:szCs w:val="21"/>
              </w:rPr>
            </w:pPr>
          </w:p>
        </w:tc>
        <w:tc>
          <w:tcPr>
            <w:tcW w:w="217" w:type="dxa"/>
          </w:tcPr>
          <w:p w14:paraId="0B75D131" w14:textId="77777777" w:rsidR="002C0FD9" w:rsidRPr="00CA25CF" w:rsidRDefault="002C0FD9" w:rsidP="00CA25CF">
            <w:pPr>
              <w:rPr>
                <w:rFonts w:cs="Arial"/>
                <w:color w:val="FF0000"/>
                <w:sz w:val="21"/>
                <w:szCs w:val="21"/>
              </w:rPr>
            </w:pPr>
          </w:p>
        </w:tc>
        <w:tc>
          <w:tcPr>
            <w:tcW w:w="217" w:type="dxa"/>
          </w:tcPr>
          <w:p w14:paraId="41E6ECD0" w14:textId="77777777" w:rsidR="002C0FD9" w:rsidRPr="00CA25CF" w:rsidRDefault="002C0FD9" w:rsidP="00CA25CF">
            <w:pPr>
              <w:rPr>
                <w:rFonts w:cs="Arial"/>
                <w:color w:val="FF0000"/>
                <w:sz w:val="21"/>
                <w:szCs w:val="21"/>
              </w:rPr>
            </w:pPr>
          </w:p>
        </w:tc>
        <w:tc>
          <w:tcPr>
            <w:tcW w:w="217" w:type="dxa"/>
          </w:tcPr>
          <w:p w14:paraId="5317C140" w14:textId="77777777" w:rsidR="002C0FD9" w:rsidRPr="00CA25CF" w:rsidRDefault="002C0FD9" w:rsidP="00CA25CF">
            <w:pPr>
              <w:rPr>
                <w:rFonts w:cs="Arial"/>
                <w:color w:val="FF0000"/>
                <w:sz w:val="21"/>
                <w:szCs w:val="21"/>
              </w:rPr>
            </w:pPr>
          </w:p>
        </w:tc>
        <w:tc>
          <w:tcPr>
            <w:tcW w:w="217" w:type="dxa"/>
          </w:tcPr>
          <w:p w14:paraId="515D9E59" w14:textId="77777777" w:rsidR="002C0FD9" w:rsidRPr="00CA25CF" w:rsidRDefault="002C0FD9" w:rsidP="00CA25CF">
            <w:pPr>
              <w:rPr>
                <w:rFonts w:cs="Arial"/>
                <w:color w:val="FF0000"/>
                <w:sz w:val="21"/>
                <w:szCs w:val="21"/>
              </w:rPr>
            </w:pPr>
          </w:p>
        </w:tc>
        <w:tc>
          <w:tcPr>
            <w:tcW w:w="217" w:type="dxa"/>
          </w:tcPr>
          <w:p w14:paraId="0F909DF8" w14:textId="77777777" w:rsidR="002C0FD9" w:rsidRPr="00CA25CF" w:rsidRDefault="002C0FD9" w:rsidP="00CA25CF">
            <w:pPr>
              <w:rPr>
                <w:rFonts w:cs="Arial"/>
                <w:color w:val="FF0000"/>
                <w:sz w:val="21"/>
                <w:szCs w:val="21"/>
              </w:rPr>
            </w:pPr>
          </w:p>
        </w:tc>
      </w:tr>
      <w:tr w:rsidR="002C0FD9" w:rsidRPr="00A16219" w14:paraId="4AADA989" w14:textId="77777777" w:rsidTr="002C0FD9">
        <w:trPr>
          <w:trHeight w:val="635"/>
        </w:trPr>
        <w:tc>
          <w:tcPr>
            <w:tcW w:w="515" w:type="dxa"/>
          </w:tcPr>
          <w:p w14:paraId="00A7F60E" w14:textId="77777777" w:rsidR="002C0FD9" w:rsidRPr="00CA25CF" w:rsidRDefault="002C0FD9" w:rsidP="00CA25CF">
            <w:pPr>
              <w:rPr>
                <w:rFonts w:cs="Arial"/>
                <w:color w:val="FF0000"/>
                <w:sz w:val="21"/>
                <w:szCs w:val="21"/>
              </w:rPr>
            </w:pPr>
          </w:p>
        </w:tc>
        <w:tc>
          <w:tcPr>
            <w:tcW w:w="217" w:type="dxa"/>
          </w:tcPr>
          <w:p w14:paraId="46971F8C" w14:textId="77777777" w:rsidR="002C0FD9" w:rsidRPr="00CA25CF" w:rsidRDefault="002C0FD9" w:rsidP="00CA25CF">
            <w:pPr>
              <w:rPr>
                <w:rFonts w:cs="Arial"/>
                <w:color w:val="FF0000"/>
                <w:sz w:val="21"/>
                <w:szCs w:val="21"/>
              </w:rPr>
            </w:pPr>
          </w:p>
        </w:tc>
        <w:tc>
          <w:tcPr>
            <w:tcW w:w="217" w:type="dxa"/>
          </w:tcPr>
          <w:p w14:paraId="2EA21AFF" w14:textId="77777777" w:rsidR="002C0FD9" w:rsidRPr="00CA25CF" w:rsidRDefault="002C0FD9" w:rsidP="00CA25CF">
            <w:pPr>
              <w:rPr>
                <w:rFonts w:cs="Arial"/>
                <w:color w:val="FF0000"/>
                <w:sz w:val="21"/>
                <w:szCs w:val="21"/>
              </w:rPr>
            </w:pPr>
          </w:p>
        </w:tc>
        <w:tc>
          <w:tcPr>
            <w:tcW w:w="217" w:type="dxa"/>
          </w:tcPr>
          <w:p w14:paraId="1BF2857A" w14:textId="77777777" w:rsidR="002C0FD9" w:rsidRPr="00CA25CF" w:rsidRDefault="002C0FD9" w:rsidP="00CA25CF">
            <w:pPr>
              <w:rPr>
                <w:rFonts w:cs="Arial"/>
                <w:color w:val="FF0000"/>
                <w:sz w:val="21"/>
                <w:szCs w:val="21"/>
              </w:rPr>
            </w:pPr>
          </w:p>
        </w:tc>
        <w:tc>
          <w:tcPr>
            <w:tcW w:w="217" w:type="dxa"/>
          </w:tcPr>
          <w:p w14:paraId="41F74ED2" w14:textId="77777777" w:rsidR="002C0FD9" w:rsidRPr="00CA25CF" w:rsidRDefault="002C0FD9" w:rsidP="00CA25CF">
            <w:pPr>
              <w:rPr>
                <w:rFonts w:cs="Arial"/>
                <w:color w:val="FF0000"/>
                <w:sz w:val="21"/>
                <w:szCs w:val="21"/>
              </w:rPr>
            </w:pPr>
          </w:p>
        </w:tc>
        <w:tc>
          <w:tcPr>
            <w:tcW w:w="217" w:type="dxa"/>
          </w:tcPr>
          <w:p w14:paraId="47979C4A" w14:textId="77777777" w:rsidR="002C0FD9" w:rsidRPr="00CA25CF" w:rsidRDefault="002C0FD9" w:rsidP="00CA25CF">
            <w:pPr>
              <w:rPr>
                <w:rFonts w:cs="Arial"/>
                <w:color w:val="FF0000"/>
                <w:sz w:val="21"/>
                <w:szCs w:val="21"/>
              </w:rPr>
            </w:pPr>
          </w:p>
        </w:tc>
        <w:tc>
          <w:tcPr>
            <w:tcW w:w="217" w:type="dxa"/>
          </w:tcPr>
          <w:p w14:paraId="1E53A019" w14:textId="77777777" w:rsidR="002C0FD9" w:rsidRPr="00CA25CF" w:rsidRDefault="002C0FD9" w:rsidP="00CA25CF">
            <w:pPr>
              <w:rPr>
                <w:rFonts w:cs="Arial"/>
                <w:color w:val="FF0000"/>
                <w:sz w:val="21"/>
                <w:szCs w:val="21"/>
              </w:rPr>
            </w:pPr>
          </w:p>
        </w:tc>
        <w:tc>
          <w:tcPr>
            <w:tcW w:w="217" w:type="dxa"/>
          </w:tcPr>
          <w:p w14:paraId="09319110" w14:textId="77777777" w:rsidR="002C0FD9" w:rsidRPr="00CA25CF" w:rsidRDefault="002C0FD9" w:rsidP="00CA25CF">
            <w:pPr>
              <w:rPr>
                <w:rFonts w:cs="Arial"/>
                <w:color w:val="FF0000"/>
                <w:sz w:val="21"/>
                <w:szCs w:val="21"/>
              </w:rPr>
            </w:pPr>
          </w:p>
        </w:tc>
        <w:tc>
          <w:tcPr>
            <w:tcW w:w="217" w:type="dxa"/>
          </w:tcPr>
          <w:p w14:paraId="4D96CC35" w14:textId="77777777" w:rsidR="002C0FD9" w:rsidRPr="00CA25CF" w:rsidRDefault="002C0FD9" w:rsidP="00CA25CF">
            <w:pPr>
              <w:rPr>
                <w:rFonts w:cs="Arial"/>
                <w:color w:val="FF0000"/>
                <w:sz w:val="21"/>
                <w:szCs w:val="21"/>
              </w:rPr>
            </w:pPr>
          </w:p>
        </w:tc>
        <w:tc>
          <w:tcPr>
            <w:tcW w:w="217" w:type="dxa"/>
          </w:tcPr>
          <w:p w14:paraId="2D24EC57" w14:textId="77777777" w:rsidR="002C0FD9" w:rsidRPr="00CA25CF" w:rsidRDefault="002C0FD9" w:rsidP="00CA25CF">
            <w:pPr>
              <w:rPr>
                <w:rFonts w:cs="Arial"/>
                <w:color w:val="FF0000"/>
                <w:sz w:val="21"/>
                <w:szCs w:val="21"/>
              </w:rPr>
            </w:pPr>
          </w:p>
        </w:tc>
        <w:tc>
          <w:tcPr>
            <w:tcW w:w="217" w:type="dxa"/>
          </w:tcPr>
          <w:p w14:paraId="7C8B8C56" w14:textId="77777777" w:rsidR="002C0FD9" w:rsidRPr="00CA25CF" w:rsidRDefault="002C0FD9" w:rsidP="00CA25CF">
            <w:pPr>
              <w:rPr>
                <w:rFonts w:cs="Arial"/>
                <w:color w:val="FF0000"/>
                <w:sz w:val="21"/>
                <w:szCs w:val="21"/>
              </w:rPr>
            </w:pPr>
          </w:p>
        </w:tc>
        <w:tc>
          <w:tcPr>
            <w:tcW w:w="217" w:type="dxa"/>
          </w:tcPr>
          <w:p w14:paraId="1093AB11" w14:textId="77777777" w:rsidR="002C0FD9" w:rsidRPr="00CA25CF" w:rsidRDefault="002C0FD9" w:rsidP="00CA25CF">
            <w:pPr>
              <w:rPr>
                <w:rFonts w:cs="Arial"/>
                <w:color w:val="FF0000"/>
                <w:sz w:val="21"/>
                <w:szCs w:val="21"/>
              </w:rPr>
            </w:pPr>
          </w:p>
        </w:tc>
        <w:tc>
          <w:tcPr>
            <w:tcW w:w="217" w:type="dxa"/>
          </w:tcPr>
          <w:p w14:paraId="0C166D57" w14:textId="77777777" w:rsidR="002C0FD9" w:rsidRPr="00CA25CF" w:rsidRDefault="002C0FD9" w:rsidP="00CA25CF">
            <w:pPr>
              <w:rPr>
                <w:rFonts w:cs="Arial"/>
                <w:color w:val="FF0000"/>
                <w:sz w:val="21"/>
                <w:szCs w:val="21"/>
              </w:rPr>
            </w:pPr>
          </w:p>
        </w:tc>
        <w:tc>
          <w:tcPr>
            <w:tcW w:w="217" w:type="dxa"/>
          </w:tcPr>
          <w:p w14:paraId="536D64FE" w14:textId="77777777" w:rsidR="002C0FD9" w:rsidRPr="00CA25CF" w:rsidRDefault="002C0FD9" w:rsidP="00CA25CF">
            <w:pPr>
              <w:rPr>
                <w:rFonts w:cs="Arial"/>
                <w:color w:val="FF0000"/>
                <w:sz w:val="21"/>
                <w:szCs w:val="21"/>
              </w:rPr>
            </w:pPr>
          </w:p>
        </w:tc>
        <w:tc>
          <w:tcPr>
            <w:tcW w:w="217" w:type="dxa"/>
          </w:tcPr>
          <w:p w14:paraId="26C83B91" w14:textId="77777777" w:rsidR="002C0FD9" w:rsidRPr="00CA25CF" w:rsidRDefault="002C0FD9" w:rsidP="00CA25CF">
            <w:pPr>
              <w:rPr>
                <w:rFonts w:cs="Arial"/>
                <w:color w:val="FF0000"/>
                <w:sz w:val="21"/>
                <w:szCs w:val="21"/>
              </w:rPr>
            </w:pPr>
          </w:p>
        </w:tc>
        <w:tc>
          <w:tcPr>
            <w:tcW w:w="217" w:type="dxa"/>
          </w:tcPr>
          <w:p w14:paraId="6AA1F49A" w14:textId="77777777" w:rsidR="002C0FD9" w:rsidRPr="00CA25CF" w:rsidRDefault="002C0FD9" w:rsidP="00CA25CF">
            <w:pPr>
              <w:rPr>
                <w:rFonts w:cs="Arial"/>
                <w:color w:val="FF0000"/>
                <w:sz w:val="21"/>
                <w:szCs w:val="21"/>
              </w:rPr>
            </w:pPr>
          </w:p>
        </w:tc>
        <w:tc>
          <w:tcPr>
            <w:tcW w:w="217" w:type="dxa"/>
          </w:tcPr>
          <w:p w14:paraId="6231AA5C" w14:textId="77777777" w:rsidR="002C0FD9" w:rsidRPr="00CA25CF" w:rsidRDefault="002C0FD9" w:rsidP="00CA25CF">
            <w:pPr>
              <w:rPr>
                <w:rFonts w:cs="Arial"/>
                <w:color w:val="FF0000"/>
                <w:sz w:val="21"/>
                <w:szCs w:val="21"/>
              </w:rPr>
            </w:pPr>
          </w:p>
        </w:tc>
        <w:tc>
          <w:tcPr>
            <w:tcW w:w="217" w:type="dxa"/>
          </w:tcPr>
          <w:p w14:paraId="26617346" w14:textId="77777777" w:rsidR="002C0FD9" w:rsidRPr="00CA25CF" w:rsidRDefault="002C0FD9" w:rsidP="00CA25CF">
            <w:pPr>
              <w:rPr>
                <w:rFonts w:cs="Arial"/>
                <w:color w:val="FF0000"/>
                <w:sz w:val="21"/>
                <w:szCs w:val="21"/>
              </w:rPr>
            </w:pPr>
          </w:p>
        </w:tc>
        <w:tc>
          <w:tcPr>
            <w:tcW w:w="217" w:type="dxa"/>
          </w:tcPr>
          <w:p w14:paraId="039014D5" w14:textId="77777777" w:rsidR="002C0FD9" w:rsidRPr="00CA25CF" w:rsidRDefault="002C0FD9" w:rsidP="00CA25CF">
            <w:pPr>
              <w:rPr>
                <w:rFonts w:cs="Arial"/>
                <w:color w:val="FF0000"/>
                <w:sz w:val="21"/>
                <w:szCs w:val="21"/>
              </w:rPr>
            </w:pPr>
          </w:p>
        </w:tc>
        <w:tc>
          <w:tcPr>
            <w:tcW w:w="217" w:type="dxa"/>
          </w:tcPr>
          <w:p w14:paraId="497BDF08" w14:textId="77777777" w:rsidR="002C0FD9" w:rsidRPr="00CA25CF" w:rsidRDefault="002C0FD9" w:rsidP="00CA25CF">
            <w:pPr>
              <w:rPr>
                <w:rFonts w:cs="Arial"/>
                <w:color w:val="FF0000"/>
                <w:sz w:val="21"/>
                <w:szCs w:val="21"/>
              </w:rPr>
            </w:pPr>
          </w:p>
        </w:tc>
        <w:tc>
          <w:tcPr>
            <w:tcW w:w="217" w:type="dxa"/>
          </w:tcPr>
          <w:p w14:paraId="302823D4" w14:textId="77777777" w:rsidR="002C0FD9" w:rsidRPr="00CA25CF" w:rsidRDefault="002C0FD9" w:rsidP="00CA25CF">
            <w:pPr>
              <w:rPr>
                <w:rFonts w:cs="Arial"/>
                <w:color w:val="FF0000"/>
                <w:sz w:val="21"/>
                <w:szCs w:val="21"/>
              </w:rPr>
            </w:pPr>
          </w:p>
        </w:tc>
        <w:tc>
          <w:tcPr>
            <w:tcW w:w="217" w:type="dxa"/>
          </w:tcPr>
          <w:p w14:paraId="0EF34167" w14:textId="77777777" w:rsidR="002C0FD9" w:rsidRPr="00CA25CF" w:rsidRDefault="002C0FD9" w:rsidP="00CA25CF">
            <w:pPr>
              <w:rPr>
                <w:rFonts w:cs="Arial"/>
                <w:color w:val="FF0000"/>
                <w:sz w:val="21"/>
                <w:szCs w:val="21"/>
              </w:rPr>
            </w:pPr>
          </w:p>
        </w:tc>
        <w:tc>
          <w:tcPr>
            <w:tcW w:w="217" w:type="dxa"/>
          </w:tcPr>
          <w:p w14:paraId="2520C78A" w14:textId="77777777" w:rsidR="002C0FD9" w:rsidRPr="00CA25CF" w:rsidRDefault="002C0FD9" w:rsidP="00CA25CF">
            <w:pPr>
              <w:rPr>
                <w:rFonts w:cs="Arial"/>
                <w:color w:val="FF0000"/>
                <w:sz w:val="21"/>
                <w:szCs w:val="21"/>
              </w:rPr>
            </w:pPr>
          </w:p>
        </w:tc>
        <w:tc>
          <w:tcPr>
            <w:tcW w:w="217" w:type="dxa"/>
          </w:tcPr>
          <w:p w14:paraId="7593B8AB" w14:textId="77777777" w:rsidR="002C0FD9" w:rsidRPr="00CA25CF" w:rsidRDefault="002C0FD9" w:rsidP="00CA25CF">
            <w:pPr>
              <w:rPr>
                <w:rFonts w:cs="Arial"/>
                <w:color w:val="FF0000"/>
                <w:sz w:val="21"/>
                <w:szCs w:val="21"/>
              </w:rPr>
            </w:pPr>
          </w:p>
        </w:tc>
        <w:tc>
          <w:tcPr>
            <w:tcW w:w="217" w:type="dxa"/>
          </w:tcPr>
          <w:p w14:paraId="3F207986" w14:textId="77777777" w:rsidR="002C0FD9" w:rsidRPr="00CA25CF" w:rsidRDefault="002C0FD9" w:rsidP="00CA25CF">
            <w:pPr>
              <w:rPr>
                <w:rFonts w:cs="Arial"/>
                <w:color w:val="FF0000"/>
                <w:sz w:val="21"/>
                <w:szCs w:val="21"/>
              </w:rPr>
            </w:pPr>
          </w:p>
        </w:tc>
        <w:tc>
          <w:tcPr>
            <w:tcW w:w="217" w:type="dxa"/>
          </w:tcPr>
          <w:p w14:paraId="5BE2D7D4" w14:textId="77777777" w:rsidR="002C0FD9" w:rsidRPr="00CA25CF" w:rsidRDefault="002C0FD9" w:rsidP="00CA25CF">
            <w:pPr>
              <w:rPr>
                <w:rFonts w:cs="Arial"/>
                <w:color w:val="FF0000"/>
                <w:sz w:val="21"/>
                <w:szCs w:val="21"/>
              </w:rPr>
            </w:pPr>
          </w:p>
        </w:tc>
        <w:tc>
          <w:tcPr>
            <w:tcW w:w="217" w:type="dxa"/>
          </w:tcPr>
          <w:p w14:paraId="287ECB2A" w14:textId="77777777" w:rsidR="002C0FD9" w:rsidRPr="00CA25CF" w:rsidRDefault="002C0FD9" w:rsidP="00CA25CF">
            <w:pPr>
              <w:rPr>
                <w:rFonts w:cs="Arial"/>
                <w:color w:val="FF0000"/>
                <w:sz w:val="21"/>
                <w:szCs w:val="21"/>
              </w:rPr>
            </w:pPr>
          </w:p>
        </w:tc>
        <w:tc>
          <w:tcPr>
            <w:tcW w:w="217" w:type="dxa"/>
          </w:tcPr>
          <w:p w14:paraId="2344DA5C" w14:textId="77777777" w:rsidR="002C0FD9" w:rsidRPr="00CA25CF" w:rsidRDefault="002C0FD9" w:rsidP="00CA25CF">
            <w:pPr>
              <w:rPr>
                <w:rFonts w:cs="Arial"/>
                <w:color w:val="FF0000"/>
                <w:sz w:val="21"/>
                <w:szCs w:val="21"/>
              </w:rPr>
            </w:pPr>
          </w:p>
        </w:tc>
        <w:tc>
          <w:tcPr>
            <w:tcW w:w="217" w:type="dxa"/>
          </w:tcPr>
          <w:p w14:paraId="2379B591" w14:textId="77777777" w:rsidR="002C0FD9" w:rsidRPr="00CA25CF" w:rsidRDefault="002C0FD9" w:rsidP="00CA25CF">
            <w:pPr>
              <w:rPr>
                <w:rFonts w:cs="Arial"/>
                <w:color w:val="FF0000"/>
                <w:sz w:val="21"/>
                <w:szCs w:val="21"/>
              </w:rPr>
            </w:pPr>
          </w:p>
        </w:tc>
        <w:tc>
          <w:tcPr>
            <w:tcW w:w="217" w:type="dxa"/>
          </w:tcPr>
          <w:p w14:paraId="0F3753B8" w14:textId="77777777" w:rsidR="002C0FD9" w:rsidRPr="00CA25CF" w:rsidRDefault="002C0FD9" w:rsidP="00CA25CF">
            <w:pPr>
              <w:rPr>
                <w:rFonts w:cs="Arial"/>
                <w:color w:val="FF0000"/>
                <w:sz w:val="21"/>
                <w:szCs w:val="21"/>
              </w:rPr>
            </w:pPr>
          </w:p>
        </w:tc>
        <w:tc>
          <w:tcPr>
            <w:tcW w:w="217" w:type="dxa"/>
          </w:tcPr>
          <w:p w14:paraId="58937DBA" w14:textId="77777777" w:rsidR="002C0FD9" w:rsidRPr="00CA25CF" w:rsidRDefault="002C0FD9" w:rsidP="00CA25CF">
            <w:pPr>
              <w:rPr>
                <w:rFonts w:cs="Arial"/>
                <w:color w:val="FF0000"/>
                <w:sz w:val="21"/>
                <w:szCs w:val="21"/>
              </w:rPr>
            </w:pPr>
          </w:p>
        </w:tc>
        <w:tc>
          <w:tcPr>
            <w:tcW w:w="217" w:type="dxa"/>
          </w:tcPr>
          <w:p w14:paraId="2D4B3824" w14:textId="77777777" w:rsidR="002C0FD9" w:rsidRPr="00CA25CF" w:rsidRDefault="002C0FD9" w:rsidP="00CA25CF">
            <w:pPr>
              <w:rPr>
                <w:rFonts w:cs="Arial"/>
                <w:color w:val="FF0000"/>
                <w:sz w:val="21"/>
                <w:szCs w:val="21"/>
              </w:rPr>
            </w:pPr>
          </w:p>
        </w:tc>
        <w:tc>
          <w:tcPr>
            <w:tcW w:w="217" w:type="dxa"/>
          </w:tcPr>
          <w:p w14:paraId="39B58250" w14:textId="77777777" w:rsidR="002C0FD9" w:rsidRPr="00CA25CF" w:rsidRDefault="002C0FD9" w:rsidP="00CA25CF">
            <w:pPr>
              <w:rPr>
                <w:rFonts w:cs="Arial"/>
                <w:color w:val="FF0000"/>
                <w:sz w:val="21"/>
                <w:szCs w:val="21"/>
              </w:rPr>
            </w:pPr>
          </w:p>
        </w:tc>
        <w:tc>
          <w:tcPr>
            <w:tcW w:w="217" w:type="dxa"/>
          </w:tcPr>
          <w:p w14:paraId="03550A9D" w14:textId="77777777" w:rsidR="002C0FD9" w:rsidRPr="00CA25CF" w:rsidRDefault="002C0FD9" w:rsidP="00CA25CF">
            <w:pPr>
              <w:rPr>
                <w:rFonts w:cs="Arial"/>
                <w:color w:val="FF0000"/>
                <w:sz w:val="21"/>
                <w:szCs w:val="21"/>
              </w:rPr>
            </w:pPr>
          </w:p>
        </w:tc>
        <w:tc>
          <w:tcPr>
            <w:tcW w:w="217" w:type="dxa"/>
          </w:tcPr>
          <w:p w14:paraId="7084CA73" w14:textId="77777777" w:rsidR="002C0FD9" w:rsidRPr="00CA25CF" w:rsidRDefault="002C0FD9" w:rsidP="00CA25CF">
            <w:pPr>
              <w:rPr>
                <w:rFonts w:cs="Arial"/>
                <w:color w:val="FF0000"/>
                <w:sz w:val="21"/>
                <w:szCs w:val="21"/>
              </w:rPr>
            </w:pPr>
          </w:p>
        </w:tc>
        <w:tc>
          <w:tcPr>
            <w:tcW w:w="217" w:type="dxa"/>
          </w:tcPr>
          <w:p w14:paraId="31579E6F" w14:textId="77777777" w:rsidR="002C0FD9" w:rsidRPr="00CA25CF" w:rsidRDefault="002C0FD9" w:rsidP="00CA25CF">
            <w:pPr>
              <w:rPr>
                <w:rFonts w:cs="Arial"/>
                <w:color w:val="FF0000"/>
                <w:sz w:val="21"/>
                <w:szCs w:val="21"/>
              </w:rPr>
            </w:pPr>
          </w:p>
        </w:tc>
        <w:tc>
          <w:tcPr>
            <w:tcW w:w="217" w:type="dxa"/>
          </w:tcPr>
          <w:p w14:paraId="0965CE16" w14:textId="77777777" w:rsidR="002C0FD9" w:rsidRPr="00CA25CF" w:rsidRDefault="002C0FD9" w:rsidP="00CA25CF">
            <w:pPr>
              <w:rPr>
                <w:rFonts w:cs="Arial"/>
                <w:color w:val="FF0000"/>
                <w:sz w:val="21"/>
                <w:szCs w:val="21"/>
              </w:rPr>
            </w:pPr>
          </w:p>
        </w:tc>
        <w:tc>
          <w:tcPr>
            <w:tcW w:w="217" w:type="dxa"/>
          </w:tcPr>
          <w:p w14:paraId="219FD997" w14:textId="77777777" w:rsidR="002C0FD9" w:rsidRPr="00CA25CF" w:rsidRDefault="002C0FD9" w:rsidP="00CA25CF">
            <w:pPr>
              <w:rPr>
                <w:rFonts w:cs="Arial"/>
                <w:color w:val="FF0000"/>
                <w:sz w:val="21"/>
                <w:szCs w:val="21"/>
              </w:rPr>
            </w:pPr>
          </w:p>
        </w:tc>
        <w:tc>
          <w:tcPr>
            <w:tcW w:w="217" w:type="dxa"/>
          </w:tcPr>
          <w:p w14:paraId="0C6B4728" w14:textId="77777777" w:rsidR="002C0FD9" w:rsidRPr="00CA25CF" w:rsidRDefault="002C0FD9" w:rsidP="00CA25CF">
            <w:pPr>
              <w:rPr>
                <w:rFonts w:cs="Arial"/>
                <w:color w:val="FF0000"/>
                <w:sz w:val="21"/>
                <w:szCs w:val="21"/>
              </w:rPr>
            </w:pPr>
          </w:p>
        </w:tc>
        <w:tc>
          <w:tcPr>
            <w:tcW w:w="217" w:type="dxa"/>
          </w:tcPr>
          <w:p w14:paraId="0A958015" w14:textId="77777777" w:rsidR="002C0FD9" w:rsidRPr="00CA25CF" w:rsidRDefault="002C0FD9" w:rsidP="00CA25CF">
            <w:pPr>
              <w:rPr>
                <w:rFonts w:cs="Arial"/>
                <w:color w:val="FF0000"/>
                <w:sz w:val="21"/>
                <w:szCs w:val="21"/>
              </w:rPr>
            </w:pPr>
          </w:p>
        </w:tc>
        <w:tc>
          <w:tcPr>
            <w:tcW w:w="217" w:type="dxa"/>
          </w:tcPr>
          <w:p w14:paraId="245F6219" w14:textId="77777777" w:rsidR="002C0FD9" w:rsidRPr="00CA25CF" w:rsidRDefault="002C0FD9" w:rsidP="00CA25CF">
            <w:pPr>
              <w:rPr>
                <w:rFonts w:cs="Arial"/>
                <w:color w:val="FF0000"/>
                <w:sz w:val="21"/>
                <w:szCs w:val="21"/>
              </w:rPr>
            </w:pPr>
          </w:p>
        </w:tc>
        <w:tc>
          <w:tcPr>
            <w:tcW w:w="217" w:type="dxa"/>
          </w:tcPr>
          <w:p w14:paraId="7A4322F5" w14:textId="77777777" w:rsidR="002C0FD9" w:rsidRPr="00CA25CF" w:rsidRDefault="002C0FD9" w:rsidP="00CA25CF">
            <w:pPr>
              <w:rPr>
                <w:rFonts w:cs="Arial"/>
                <w:color w:val="FF0000"/>
                <w:sz w:val="21"/>
                <w:szCs w:val="21"/>
              </w:rPr>
            </w:pPr>
          </w:p>
        </w:tc>
        <w:tc>
          <w:tcPr>
            <w:tcW w:w="217" w:type="dxa"/>
          </w:tcPr>
          <w:p w14:paraId="7CA114F3" w14:textId="77777777" w:rsidR="002C0FD9" w:rsidRPr="00CA25CF" w:rsidRDefault="002C0FD9" w:rsidP="00CA25CF">
            <w:pPr>
              <w:rPr>
                <w:rFonts w:cs="Arial"/>
                <w:color w:val="FF0000"/>
                <w:sz w:val="21"/>
                <w:szCs w:val="21"/>
              </w:rPr>
            </w:pPr>
          </w:p>
        </w:tc>
      </w:tr>
      <w:tr w:rsidR="002C0FD9" w:rsidRPr="00A16219" w14:paraId="0B2F8284" w14:textId="77777777" w:rsidTr="002C0FD9">
        <w:trPr>
          <w:trHeight w:val="635"/>
        </w:trPr>
        <w:tc>
          <w:tcPr>
            <w:tcW w:w="515" w:type="dxa"/>
          </w:tcPr>
          <w:p w14:paraId="034DBEF8" w14:textId="77777777" w:rsidR="002C0FD9" w:rsidRPr="00CA25CF" w:rsidRDefault="002C0FD9" w:rsidP="00CA25CF">
            <w:pPr>
              <w:rPr>
                <w:rFonts w:cs="Arial"/>
                <w:color w:val="FF0000"/>
                <w:sz w:val="21"/>
                <w:szCs w:val="21"/>
              </w:rPr>
            </w:pPr>
          </w:p>
        </w:tc>
        <w:tc>
          <w:tcPr>
            <w:tcW w:w="217" w:type="dxa"/>
          </w:tcPr>
          <w:p w14:paraId="58A3ED89" w14:textId="77777777" w:rsidR="002C0FD9" w:rsidRPr="00CA25CF" w:rsidRDefault="002C0FD9" w:rsidP="00CA25CF">
            <w:pPr>
              <w:rPr>
                <w:rFonts w:cs="Arial"/>
                <w:color w:val="FF0000"/>
                <w:sz w:val="21"/>
                <w:szCs w:val="21"/>
              </w:rPr>
            </w:pPr>
          </w:p>
        </w:tc>
        <w:tc>
          <w:tcPr>
            <w:tcW w:w="217" w:type="dxa"/>
          </w:tcPr>
          <w:p w14:paraId="23DC7884" w14:textId="77777777" w:rsidR="002C0FD9" w:rsidRPr="00CA25CF" w:rsidRDefault="002C0FD9" w:rsidP="00CA25CF">
            <w:pPr>
              <w:rPr>
                <w:rFonts w:cs="Arial"/>
                <w:color w:val="FF0000"/>
                <w:sz w:val="21"/>
                <w:szCs w:val="21"/>
              </w:rPr>
            </w:pPr>
          </w:p>
        </w:tc>
        <w:tc>
          <w:tcPr>
            <w:tcW w:w="217" w:type="dxa"/>
          </w:tcPr>
          <w:p w14:paraId="5C081EF7" w14:textId="77777777" w:rsidR="002C0FD9" w:rsidRPr="00CA25CF" w:rsidRDefault="002C0FD9" w:rsidP="00CA25CF">
            <w:pPr>
              <w:rPr>
                <w:rFonts w:cs="Arial"/>
                <w:color w:val="FF0000"/>
                <w:sz w:val="21"/>
                <w:szCs w:val="21"/>
              </w:rPr>
            </w:pPr>
          </w:p>
        </w:tc>
        <w:tc>
          <w:tcPr>
            <w:tcW w:w="217" w:type="dxa"/>
          </w:tcPr>
          <w:p w14:paraId="3E98E0B8" w14:textId="77777777" w:rsidR="002C0FD9" w:rsidRPr="00CA25CF" w:rsidRDefault="002C0FD9" w:rsidP="00CA25CF">
            <w:pPr>
              <w:rPr>
                <w:rFonts w:cs="Arial"/>
                <w:color w:val="FF0000"/>
                <w:sz w:val="21"/>
                <w:szCs w:val="21"/>
              </w:rPr>
            </w:pPr>
          </w:p>
        </w:tc>
        <w:tc>
          <w:tcPr>
            <w:tcW w:w="217" w:type="dxa"/>
          </w:tcPr>
          <w:p w14:paraId="09F1B768" w14:textId="77777777" w:rsidR="002C0FD9" w:rsidRPr="00CA25CF" w:rsidRDefault="002C0FD9" w:rsidP="00CA25CF">
            <w:pPr>
              <w:rPr>
                <w:rFonts w:cs="Arial"/>
                <w:color w:val="FF0000"/>
                <w:sz w:val="21"/>
                <w:szCs w:val="21"/>
              </w:rPr>
            </w:pPr>
          </w:p>
        </w:tc>
        <w:tc>
          <w:tcPr>
            <w:tcW w:w="217" w:type="dxa"/>
          </w:tcPr>
          <w:p w14:paraId="1915CBFA" w14:textId="77777777" w:rsidR="002C0FD9" w:rsidRPr="00CA25CF" w:rsidRDefault="002C0FD9" w:rsidP="00CA25CF">
            <w:pPr>
              <w:rPr>
                <w:rFonts w:cs="Arial"/>
                <w:color w:val="FF0000"/>
                <w:sz w:val="21"/>
                <w:szCs w:val="21"/>
              </w:rPr>
            </w:pPr>
          </w:p>
        </w:tc>
        <w:tc>
          <w:tcPr>
            <w:tcW w:w="217" w:type="dxa"/>
          </w:tcPr>
          <w:p w14:paraId="743EFC53" w14:textId="77777777" w:rsidR="002C0FD9" w:rsidRPr="00CA25CF" w:rsidRDefault="002C0FD9" w:rsidP="00CA25CF">
            <w:pPr>
              <w:rPr>
                <w:rFonts w:cs="Arial"/>
                <w:color w:val="FF0000"/>
                <w:sz w:val="21"/>
                <w:szCs w:val="21"/>
              </w:rPr>
            </w:pPr>
          </w:p>
        </w:tc>
        <w:tc>
          <w:tcPr>
            <w:tcW w:w="217" w:type="dxa"/>
          </w:tcPr>
          <w:p w14:paraId="2F62F96F" w14:textId="77777777" w:rsidR="002C0FD9" w:rsidRPr="00CA25CF" w:rsidRDefault="002C0FD9" w:rsidP="00CA25CF">
            <w:pPr>
              <w:rPr>
                <w:rFonts w:cs="Arial"/>
                <w:color w:val="FF0000"/>
                <w:sz w:val="21"/>
                <w:szCs w:val="21"/>
              </w:rPr>
            </w:pPr>
          </w:p>
        </w:tc>
        <w:tc>
          <w:tcPr>
            <w:tcW w:w="217" w:type="dxa"/>
          </w:tcPr>
          <w:p w14:paraId="0307E5C7" w14:textId="77777777" w:rsidR="002C0FD9" w:rsidRPr="00CA25CF" w:rsidRDefault="002C0FD9" w:rsidP="00CA25CF">
            <w:pPr>
              <w:rPr>
                <w:rFonts w:cs="Arial"/>
                <w:color w:val="FF0000"/>
                <w:sz w:val="21"/>
                <w:szCs w:val="21"/>
              </w:rPr>
            </w:pPr>
          </w:p>
        </w:tc>
        <w:tc>
          <w:tcPr>
            <w:tcW w:w="217" w:type="dxa"/>
          </w:tcPr>
          <w:p w14:paraId="6106BD96" w14:textId="77777777" w:rsidR="002C0FD9" w:rsidRPr="00CA25CF" w:rsidRDefault="002C0FD9" w:rsidP="00CA25CF">
            <w:pPr>
              <w:rPr>
                <w:rFonts w:cs="Arial"/>
                <w:color w:val="FF0000"/>
                <w:sz w:val="21"/>
                <w:szCs w:val="21"/>
              </w:rPr>
            </w:pPr>
          </w:p>
        </w:tc>
        <w:tc>
          <w:tcPr>
            <w:tcW w:w="217" w:type="dxa"/>
          </w:tcPr>
          <w:p w14:paraId="5AA40978" w14:textId="77777777" w:rsidR="002C0FD9" w:rsidRPr="00CA25CF" w:rsidRDefault="002C0FD9" w:rsidP="00CA25CF">
            <w:pPr>
              <w:rPr>
                <w:rFonts w:cs="Arial"/>
                <w:color w:val="FF0000"/>
                <w:sz w:val="21"/>
                <w:szCs w:val="21"/>
              </w:rPr>
            </w:pPr>
          </w:p>
        </w:tc>
        <w:tc>
          <w:tcPr>
            <w:tcW w:w="217" w:type="dxa"/>
          </w:tcPr>
          <w:p w14:paraId="620C399A" w14:textId="77777777" w:rsidR="002C0FD9" w:rsidRPr="00CA25CF" w:rsidRDefault="002C0FD9" w:rsidP="00CA25CF">
            <w:pPr>
              <w:rPr>
                <w:rFonts w:cs="Arial"/>
                <w:color w:val="FF0000"/>
                <w:sz w:val="21"/>
                <w:szCs w:val="21"/>
              </w:rPr>
            </w:pPr>
          </w:p>
        </w:tc>
        <w:tc>
          <w:tcPr>
            <w:tcW w:w="217" w:type="dxa"/>
          </w:tcPr>
          <w:p w14:paraId="0A0AB033" w14:textId="77777777" w:rsidR="002C0FD9" w:rsidRPr="00CA25CF" w:rsidRDefault="002C0FD9" w:rsidP="00CA25CF">
            <w:pPr>
              <w:rPr>
                <w:rFonts w:cs="Arial"/>
                <w:color w:val="FF0000"/>
                <w:sz w:val="21"/>
                <w:szCs w:val="21"/>
              </w:rPr>
            </w:pPr>
          </w:p>
        </w:tc>
        <w:tc>
          <w:tcPr>
            <w:tcW w:w="217" w:type="dxa"/>
          </w:tcPr>
          <w:p w14:paraId="5716538A" w14:textId="77777777" w:rsidR="002C0FD9" w:rsidRPr="00CA25CF" w:rsidRDefault="002C0FD9" w:rsidP="00CA25CF">
            <w:pPr>
              <w:rPr>
                <w:rFonts w:cs="Arial"/>
                <w:color w:val="FF0000"/>
                <w:sz w:val="21"/>
                <w:szCs w:val="21"/>
              </w:rPr>
            </w:pPr>
          </w:p>
        </w:tc>
        <w:tc>
          <w:tcPr>
            <w:tcW w:w="217" w:type="dxa"/>
          </w:tcPr>
          <w:p w14:paraId="0E8FCC1F" w14:textId="77777777" w:rsidR="002C0FD9" w:rsidRPr="00CA25CF" w:rsidRDefault="002C0FD9" w:rsidP="00CA25CF">
            <w:pPr>
              <w:rPr>
                <w:rFonts w:cs="Arial"/>
                <w:color w:val="FF0000"/>
                <w:sz w:val="21"/>
                <w:szCs w:val="21"/>
              </w:rPr>
            </w:pPr>
          </w:p>
        </w:tc>
        <w:tc>
          <w:tcPr>
            <w:tcW w:w="217" w:type="dxa"/>
          </w:tcPr>
          <w:p w14:paraId="3D9685D2" w14:textId="77777777" w:rsidR="002C0FD9" w:rsidRPr="00CA25CF" w:rsidRDefault="002C0FD9" w:rsidP="00CA25CF">
            <w:pPr>
              <w:rPr>
                <w:rFonts w:cs="Arial"/>
                <w:color w:val="FF0000"/>
                <w:sz w:val="21"/>
                <w:szCs w:val="21"/>
              </w:rPr>
            </w:pPr>
          </w:p>
        </w:tc>
        <w:tc>
          <w:tcPr>
            <w:tcW w:w="217" w:type="dxa"/>
          </w:tcPr>
          <w:p w14:paraId="5298AAD8" w14:textId="77777777" w:rsidR="002C0FD9" w:rsidRPr="00CA25CF" w:rsidRDefault="002C0FD9" w:rsidP="00CA25CF">
            <w:pPr>
              <w:rPr>
                <w:rFonts w:cs="Arial"/>
                <w:color w:val="FF0000"/>
                <w:sz w:val="21"/>
                <w:szCs w:val="21"/>
              </w:rPr>
            </w:pPr>
          </w:p>
        </w:tc>
        <w:tc>
          <w:tcPr>
            <w:tcW w:w="217" w:type="dxa"/>
          </w:tcPr>
          <w:p w14:paraId="45DF0D57" w14:textId="77777777" w:rsidR="002C0FD9" w:rsidRPr="00CA25CF" w:rsidRDefault="002C0FD9" w:rsidP="00CA25CF">
            <w:pPr>
              <w:rPr>
                <w:rFonts w:cs="Arial"/>
                <w:color w:val="FF0000"/>
                <w:sz w:val="21"/>
                <w:szCs w:val="21"/>
              </w:rPr>
            </w:pPr>
          </w:p>
        </w:tc>
        <w:tc>
          <w:tcPr>
            <w:tcW w:w="217" w:type="dxa"/>
          </w:tcPr>
          <w:p w14:paraId="190F9986" w14:textId="77777777" w:rsidR="002C0FD9" w:rsidRPr="00CA25CF" w:rsidRDefault="002C0FD9" w:rsidP="00CA25CF">
            <w:pPr>
              <w:rPr>
                <w:rFonts w:cs="Arial"/>
                <w:color w:val="FF0000"/>
                <w:sz w:val="21"/>
                <w:szCs w:val="21"/>
              </w:rPr>
            </w:pPr>
          </w:p>
        </w:tc>
        <w:tc>
          <w:tcPr>
            <w:tcW w:w="217" w:type="dxa"/>
          </w:tcPr>
          <w:p w14:paraId="06817822" w14:textId="77777777" w:rsidR="002C0FD9" w:rsidRPr="00CA25CF" w:rsidRDefault="002C0FD9" w:rsidP="00CA25CF">
            <w:pPr>
              <w:rPr>
                <w:rFonts w:cs="Arial"/>
                <w:color w:val="FF0000"/>
                <w:sz w:val="21"/>
                <w:szCs w:val="21"/>
              </w:rPr>
            </w:pPr>
          </w:p>
        </w:tc>
        <w:tc>
          <w:tcPr>
            <w:tcW w:w="217" w:type="dxa"/>
          </w:tcPr>
          <w:p w14:paraId="2FEA6AA6" w14:textId="77777777" w:rsidR="002C0FD9" w:rsidRPr="00CA25CF" w:rsidRDefault="002C0FD9" w:rsidP="00CA25CF">
            <w:pPr>
              <w:rPr>
                <w:rFonts w:cs="Arial"/>
                <w:color w:val="FF0000"/>
                <w:sz w:val="21"/>
                <w:szCs w:val="21"/>
              </w:rPr>
            </w:pPr>
          </w:p>
        </w:tc>
        <w:tc>
          <w:tcPr>
            <w:tcW w:w="217" w:type="dxa"/>
          </w:tcPr>
          <w:p w14:paraId="4F0A21EB" w14:textId="77777777" w:rsidR="002C0FD9" w:rsidRPr="00CA25CF" w:rsidRDefault="002C0FD9" w:rsidP="00CA25CF">
            <w:pPr>
              <w:rPr>
                <w:rFonts w:cs="Arial"/>
                <w:color w:val="FF0000"/>
                <w:sz w:val="21"/>
                <w:szCs w:val="21"/>
              </w:rPr>
            </w:pPr>
          </w:p>
        </w:tc>
        <w:tc>
          <w:tcPr>
            <w:tcW w:w="217" w:type="dxa"/>
          </w:tcPr>
          <w:p w14:paraId="52C41660" w14:textId="77777777" w:rsidR="002C0FD9" w:rsidRPr="00CA25CF" w:rsidRDefault="002C0FD9" w:rsidP="00CA25CF">
            <w:pPr>
              <w:rPr>
                <w:rFonts w:cs="Arial"/>
                <w:color w:val="FF0000"/>
                <w:sz w:val="21"/>
                <w:szCs w:val="21"/>
              </w:rPr>
            </w:pPr>
          </w:p>
        </w:tc>
        <w:tc>
          <w:tcPr>
            <w:tcW w:w="217" w:type="dxa"/>
          </w:tcPr>
          <w:p w14:paraId="479B5131" w14:textId="77777777" w:rsidR="002C0FD9" w:rsidRPr="00CA25CF" w:rsidRDefault="002C0FD9" w:rsidP="00CA25CF">
            <w:pPr>
              <w:rPr>
                <w:rFonts w:cs="Arial"/>
                <w:color w:val="FF0000"/>
                <w:sz w:val="21"/>
                <w:szCs w:val="21"/>
              </w:rPr>
            </w:pPr>
          </w:p>
        </w:tc>
        <w:tc>
          <w:tcPr>
            <w:tcW w:w="217" w:type="dxa"/>
          </w:tcPr>
          <w:p w14:paraId="2C86A95B" w14:textId="77777777" w:rsidR="002C0FD9" w:rsidRPr="00CA25CF" w:rsidRDefault="002C0FD9" w:rsidP="00CA25CF">
            <w:pPr>
              <w:rPr>
                <w:rFonts w:cs="Arial"/>
                <w:color w:val="FF0000"/>
                <w:sz w:val="21"/>
                <w:szCs w:val="21"/>
              </w:rPr>
            </w:pPr>
          </w:p>
        </w:tc>
        <w:tc>
          <w:tcPr>
            <w:tcW w:w="217" w:type="dxa"/>
          </w:tcPr>
          <w:p w14:paraId="451BD8C2" w14:textId="77777777" w:rsidR="002C0FD9" w:rsidRPr="00CA25CF" w:rsidRDefault="002C0FD9" w:rsidP="00CA25CF">
            <w:pPr>
              <w:rPr>
                <w:rFonts w:cs="Arial"/>
                <w:color w:val="FF0000"/>
                <w:sz w:val="21"/>
                <w:szCs w:val="21"/>
              </w:rPr>
            </w:pPr>
          </w:p>
        </w:tc>
        <w:tc>
          <w:tcPr>
            <w:tcW w:w="217" w:type="dxa"/>
          </w:tcPr>
          <w:p w14:paraId="58575601" w14:textId="77777777" w:rsidR="002C0FD9" w:rsidRPr="00CA25CF" w:rsidRDefault="002C0FD9" w:rsidP="00CA25CF">
            <w:pPr>
              <w:rPr>
                <w:rFonts w:cs="Arial"/>
                <w:color w:val="FF0000"/>
                <w:sz w:val="21"/>
                <w:szCs w:val="21"/>
              </w:rPr>
            </w:pPr>
          </w:p>
        </w:tc>
        <w:tc>
          <w:tcPr>
            <w:tcW w:w="217" w:type="dxa"/>
          </w:tcPr>
          <w:p w14:paraId="298B41CD" w14:textId="77777777" w:rsidR="002C0FD9" w:rsidRPr="00CA25CF" w:rsidRDefault="002C0FD9" w:rsidP="00CA25CF">
            <w:pPr>
              <w:rPr>
                <w:rFonts w:cs="Arial"/>
                <w:color w:val="FF0000"/>
                <w:sz w:val="21"/>
                <w:szCs w:val="21"/>
              </w:rPr>
            </w:pPr>
          </w:p>
        </w:tc>
        <w:tc>
          <w:tcPr>
            <w:tcW w:w="217" w:type="dxa"/>
          </w:tcPr>
          <w:p w14:paraId="5E681C5A" w14:textId="77777777" w:rsidR="002C0FD9" w:rsidRPr="00CA25CF" w:rsidRDefault="002C0FD9" w:rsidP="00CA25CF">
            <w:pPr>
              <w:rPr>
                <w:rFonts w:cs="Arial"/>
                <w:color w:val="FF0000"/>
                <w:sz w:val="21"/>
                <w:szCs w:val="21"/>
              </w:rPr>
            </w:pPr>
          </w:p>
        </w:tc>
        <w:tc>
          <w:tcPr>
            <w:tcW w:w="217" w:type="dxa"/>
          </w:tcPr>
          <w:p w14:paraId="5B14A274" w14:textId="77777777" w:rsidR="002C0FD9" w:rsidRPr="00CA25CF" w:rsidRDefault="002C0FD9" w:rsidP="00CA25CF">
            <w:pPr>
              <w:rPr>
                <w:rFonts w:cs="Arial"/>
                <w:color w:val="FF0000"/>
                <w:sz w:val="21"/>
                <w:szCs w:val="21"/>
              </w:rPr>
            </w:pPr>
          </w:p>
        </w:tc>
        <w:tc>
          <w:tcPr>
            <w:tcW w:w="217" w:type="dxa"/>
          </w:tcPr>
          <w:p w14:paraId="41A91C59" w14:textId="77777777" w:rsidR="002C0FD9" w:rsidRPr="00CA25CF" w:rsidRDefault="002C0FD9" w:rsidP="00CA25CF">
            <w:pPr>
              <w:rPr>
                <w:rFonts w:cs="Arial"/>
                <w:color w:val="FF0000"/>
                <w:sz w:val="21"/>
                <w:szCs w:val="21"/>
              </w:rPr>
            </w:pPr>
          </w:p>
        </w:tc>
        <w:tc>
          <w:tcPr>
            <w:tcW w:w="217" w:type="dxa"/>
          </w:tcPr>
          <w:p w14:paraId="0FB164DE" w14:textId="77777777" w:rsidR="002C0FD9" w:rsidRPr="00CA25CF" w:rsidRDefault="002C0FD9" w:rsidP="00CA25CF">
            <w:pPr>
              <w:rPr>
                <w:rFonts w:cs="Arial"/>
                <w:color w:val="FF0000"/>
                <w:sz w:val="21"/>
                <w:szCs w:val="21"/>
              </w:rPr>
            </w:pPr>
          </w:p>
        </w:tc>
        <w:tc>
          <w:tcPr>
            <w:tcW w:w="217" w:type="dxa"/>
          </w:tcPr>
          <w:p w14:paraId="237746A8" w14:textId="77777777" w:rsidR="002C0FD9" w:rsidRPr="00CA25CF" w:rsidRDefault="002C0FD9" w:rsidP="00CA25CF">
            <w:pPr>
              <w:rPr>
                <w:rFonts w:cs="Arial"/>
                <w:color w:val="FF0000"/>
                <w:sz w:val="21"/>
                <w:szCs w:val="21"/>
              </w:rPr>
            </w:pPr>
          </w:p>
        </w:tc>
        <w:tc>
          <w:tcPr>
            <w:tcW w:w="217" w:type="dxa"/>
          </w:tcPr>
          <w:p w14:paraId="31DE62BD" w14:textId="77777777" w:rsidR="002C0FD9" w:rsidRPr="00CA25CF" w:rsidRDefault="002C0FD9" w:rsidP="00CA25CF">
            <w:pPr>
              <w:rPr>
                <w:rFonts w:cs="Arial"/>
                <w:color w:val="FF0000"/>
                <w:sz w:val="21"/>
                <w:szCs w:val="21"/>
              </w:rPr>
            </w:pPr>
          </w:p>
        </w:tc>
        <w:tc>
          <w:tcPr>
            <w:tcW w:w="217" w:type="dxa"/>
          </w:tcPr>
          <w:p w14:paraId="3B7EBFFB" w14:textId="77777777" w:rsidR="002C0FD9" w:rsidRPr="00CA25CF" w:rsidRDefault="002C0FD9" w:rsidP="00CA25CF">
            <w:pPr>
              <w:rPr>
                <w:rFonts w:cs="Arial"/>
                <w:color w:val="FF0000"/>
                <w:sz w:val="21"/>
                <w:szCs w:val="21"/>
              </w:rPr>
            </w:pPr>
          </w:p>
        </w:tc>
        <w:tc>
          <w:tcPr>
            <w:tcW w:w="217" w:type="dxa"/>
          </w:tcPr>
          <w:p w14:paraId="0897D96D" w14:textId="77777777" w:rsidR="002C0FD9" w:rsidRPr="00CA25CF" w:rsidRDefault="002C0FD9" w:rsidP="00CA25CF">
            <w:pPr>
              <w:rPr>
                <w:rFonts w:cs="Arial"/>
                <w:color w:val="FF0000"/>
                <w:sz w:val="21"/>
                <w:szCs w:val="21"/>
              </w:rPr>
            </w:pPr>
          </w:p>
        </w:tc>
        <w:tc>
          <w:tcPr>
            <w:tcW w:w="217" w:type="dxa"/>
          </w:tcPr>
          <w:p w14:paraId="447CEAE3" w14:textId="77777777" w:rsidR="002C0FD9" w:rsidRPr="00CA25CF" w:rsidRDefault="002C0FD9" w:rsidP="00CA25CF">
            <w:pPr>
              <w:rPr>
                <w:rFonts w:cs="Arial"/>
                <w:color w:val="FF0000"/>
                <w:sz w:val="21"/>
                <w:szCs w:val="21"/>
              </w:rPr>
            </w:pPr>
          </w:p>
        </w:tc>
        <w:tc>
          <w:tcPr>
            <w:tcW w:w="217" w:type="dxa"/>
          </w:tcPr>
          <w:p w14:paraId="074BDA77" w14:textId="77777777" w:rsidR="002C0FD9" w:rsidRPr="00CA25CF" w:rsidRDefault="002C0FD9" w:rsidP="00CA25CF">
            <w:pPr>
              <w:rPr>
                <w:rFonts w:cs="Arial"/>
                <w:color w:val="FF0000"/>
                <w:sz w:val="21"/>
                <w:szCs w:val="21"/>
              </w:rPr>
            </w:pPr>
          </w:p>
        </w:tc>
        <w:tc>
          <w:tcPr>
            <w:tcW w:w="217" w:type="dxa"/>
          </w:tcPr>
          <w:p w14:paraId="0408AC19" w14:textId="77777777" w:rsidR="002C0FD9" w:rsidRPr="00CA25CF" w:rsidRDefault="002C0FD9" w:rsidP="00CA25CF">
            <w:pPr>
              <w:rPr>
                <w:rFonts w:cs="Arial"/>
                <w:color w:val="FF0000"/>
                <w:sz w:val="21"/>
                <w:szCs w:val="21"/>
              </w:rPr>
            </w:pPr>
          </w:p>
        </w:tc>
        <w:tc>
          <w:tcPr>
            <w:tcW w:w="217" w:type="dxa"/>
          </w:tcPr>
          <w:p w14:paraId="5BBEFCA5" w14:textId="77777777" w:rsidR="002C0FD9" w:rsidRPr="00CA25CF" w:rsidRDefault="002C0FD9" w:rsidP="00CA25CF">
            <w:pPr>
              <w:rPr>
                <w:rFonts w:cs="Arial"/>
                <w:color w:val="FF0000"/>
                <w:sz w:val="21"/>
                <w:szCs w:val="21"/>
              </w:rPr>
            </w:pPr>
          </w:p>
        </w:tc>
        <w:tc>
          <w:tcPr>
            <w:tcW w:w="217" w:type="dxa"/>
          </w:tcPr>
          <w:p w14:paraId="48EF1D4F" w14:textId="77777777" w:rsidR="002C0FD9" w:rsidRPr="00CA25CF" w:rsidRDefault="002C0FD9" w:rsidP="00CA25CF">
            <w:pPr>
              <w:rPr>
                <w:rFonts w:cs="Arial"/>
                <w:color w:val="FF0000"/>
                <w:sz w:val="21"/>
                <w:szCs w:val="21"/>
              </w:rPr>
            </w:pPr>
          </w:p>
        </w:tc>
        <w:tc>
          <w:tcPr>
            <w:tcW w:w="217" w:type="dxa"/>
          </w:tcPr>
          <w:p w14:paraId="18443199" w14:textId="77777777" w:rsidR="002C0FD9" w:rsidRPr="00CA25CF" w:rsidRDefault="002C0FD9" w:rsidP="00CA25CF">
            <w:pPr>
              <w:rPr>
                <w:rFonts w:cs="Arial"/>
                <w:color w:val="FF0000"/>
                <w:sz w:val="21"/>
                <w:szCs w:val="21"/>
              </w:rPr>
            </w:pPr>
          </w:p>
        </w:tc>
      </w:tr>
      <w:tr w:rsidR="002C0FD9" w:rsidRPr="00A16219" w14:paraId="1FDCCDD1" w14:textId="77777777" w:rsidTr="002C0FD9">
        <w:trPr>
          <w:trHeight w:val="635"/>
        </w:trPr>
        <w:tc>
          <w:tcPr>
            <w:tcW w:w="515" w:type="dxa"/>
          </w:tcPr>
          <w:p w14:paraId="38AEC3D1" w14:textId="77777777" w:rsidR="002C0FD9" w:rsidRPr="00CA25CF" w:rsidRDefault="002C0FD9" w:rsidP="00CA25CF">
            <w:pPr>
              <w:rPr>
                <w:rFonts w:cs="Arial"/>
                <w:color w:val="FF0000"/>
                <w:sz w:val="21"/>
                <w:szCs w:val="21"/>
              </w:rPr>
            </w:pPr>
          </w:p>
        </w:tc>
        <w:tc>
          <w:tcPr>
            <w:tcW w:w="217" w:type="dxa"/>
          </w:tcPr>
          <w:p w14:paraId="239AF5CE" w14:textId="77777777" w:rsidR="002C0FD9" w:rsidRPr="00CA25CF" w:rsidRDefault="002C0FD9" w:rsidP="00CA25CF">
            <w:pPr>
              <w:rPr>
                <w:rFonts w:cs="Arial"/>
                <w:color w:val="FF0000"/>
                <w:sz w:val="21"/>
                <w:szCs w:val="21"/>
              </w:rPr>
            </w:pPr>
          </w:p>
        </w:tc>
        <w:tc>
          <w:tcPr>
            <w:tcW w:w="217" w:type="dxa"/>
          </w:tcPr>
          <w:p w14:paraId="0AD4A140" w14:textId="77777777" w:rsidR="002C0FD9" w:rsidRPr="00CA25CF" w:rsidRDefault="002C0FD9" w:rsidP="00CA25CF">
            <w:pPr>
              <w:rPr>
                <w:rFonts w:cs="Arial"/>
                <w:color w:val="FF0000"/>
                <w:sz w:val="21"/>
                <w:szCs w:val="21"/>
              </w:rPr>
            </w:pPr>
          </w:p>
        </w:tc>
        <w:tc>
          <w:tcPr>
            <w:tcW w:w="217" w:type="dxa"/>
          </w:tcPr>
          <w:p w14:paraId="1A3ADDAF" w14:textId="77777777" w:rsidR="002C0FD9" w:rsidRPr="00CA25CF" w:rsidRDefault="002C0FD9" w:rsidP="00CA25CF">
            <w:pPr>
              <w:rPr>
                <w:rFonts w:cs="Arial"/>
                <w:color w:val="FF0000"/>
                <w:sz w:val="21"/>
                <w:szCs w:val="21"/>
              </w:rPr>
            </w:pPr>
          </w:p>
        </w:tc>
        <w:tc>
          <w:tcPr>
            <w:tcW w:w="217" w:type="dxa"/>
          </w:tcPr>
          <w:p w14:paraId="5F573659" w14:textId="77777777" w:rsidR="002C0FD9" w:rsidRPr="00CA25CF" w:rsidRDefault="002C0FD9" w:rsidP="00CA25CF">
            <w:pPr>
              <w:rPr>
                <w:rFonts w:cs="Arial"/>
                <w:color w:val="FF0000"/>
                <w:sz w:val="21"/>
                <w:szCs w:val="21"/>
              </w:rPr>
            </w:pPr>
          </w:p>
        </w:tc>
        <w:tc>
          <w:tcPr>
            <w:tcW w:w="217" w:type="dxa"/>
          </w:tcPr>
          <w:p w14:paraId="2FCCE1E1" w14:textId="77777777" w:rsidR="002C0FD9" w:rsidRPr="00CA25CF" w:rsidRDefault="002C0FD9" w:rsidP="00CA25CF">
            <w:pPr>
              <w:rPr>
                <w:rFonts w:cs="Arial"/>
                <w:color w:val="FF0000"/>
                <w:sz w:val="21"/>
                <w:szCs w:val="21"/>
              </w:rPr>
            </w:pPr>
          </w:p>
        </w:tc>
        <w:tc>
          <w:tcPr>
            <w:tcW w:w="217" w:type="dxa"/>
          </w:tcPr>
          <w:p w14:paraId="62023DA4" w14:textId="77777777" w:rsidR="002C0FD9" w:rsidRPr="00CA25CF" w:rsidRDefault="002C0FD9" w:rsidP="00CA25CF">
            <w:pPr>
              <w:rPr>
                <w:rFonts w:cs="Arial"/>
                <w:color w:val="FF0000"/>
                <w:sz w:val="21"/>
                <w:szCs w:val="21"/>
              </w:rPr>
            </w:pPr>
          </w:p>
        </w:tc>
        <w:tc>
          <w:tcPr>
            <w:tcW w:w="217" w:type="dxa"/>
          </w:tcPr>
          <w:p w14:paraId="0B03B2AB" w14:textId="77777777" w:rsidR="002C0FD9" w:rsidRPr="00CA25CF" w:rsidRDefault="002C0FD9" w:rsidP="00CA25CF">
            <w:pPr>
              <w:rPr>
                <w:rFonts w:cs="Arial"/>
                <w:color w:val="FF0000"/>
                <w:sz w:val="21"/>
                <w:szCs w:val="21"/>
              </w:rPr>
            </w:pPr>
          </w:p>
        </w:tc>
        <w:tc>
          <w:tcPr>
            <w:tcW w:w="217" w:type="dxa"/>
          </w:tcPr>
          <w:p w14:paraId="27EA07CA" w14:textId="77777777" w:rsidR="002C0FD9" w:rsidRPr="00CA25CF" w:rsidRDefault="002C0FD9" w:rsidP="00CA25CF">
            <w:pPr>
              <w:rPr>
                <w:rFonts w:cs="Arial"/>
                <w:color w:val="FF0000"/>
                <w:sz w:val="21"/>
                <w:szCs w:val="21"/>
              </w:rPr>
            </w:pPr>
          </w:p>
        </w:tc>
        <w:tc>
          <w:tcPr>
            <w:tcW w:w="217" w:type="dxa"/>
          </w:tcPr>
          <w:p w14:paraId="583996AA" w14:textId="77777777" w:rsidR="002C0FD9" w:rsidRPr="00CA25CF" w:rsidRDefault="002C0FD9" w:rsidP="00CA25CF">
            <w:pPr>
              <w:rPr>
                <w:rFonts w:cs="Arial"/>
                <w:color w:val="FF0000"/>
                <w:sz w:val="21"/>
                <w:szCs w:val="21"/>
              </w:rPr>
            </w:pPr>
          </w:p>
        </w:tc>
        <w:tc>
          <w:tcPr>
            <w:tcW w:w="217" w:type="dxa"/>
          </w:tcPr>
          <w:p w14:paraId="3455E022" w14:textId="77777777" w:rsidR="002C0FD9" w:rsidRPr="00CA25CF" w:rsidRDefault="002C0FD9" w:rsidP="00CA25CF">
            <w:pPr>
              <w:rPr>
                <w:rFonts w:cs="Arial"/>
                <w:color w:val="FF0000"/>
                <w:sz w:val="21"/>
                <w:szCs w:val="21"/>
              </w:rPr>
            </w:pPr>
          </w:p>
        </w:tc>
        <w:tc>
          <w:tcPr>
            <w:tcW w:w="217" w:type="dxa"/>
          </w:tcPr>
          <w:p w14:paraId="5D84532A" w14:textId="77777777" w:rsidR="002C0FD9" w:rsidRPr="00CA25CF" w:rsidRDefault="002C0FD9" w:rsidP="00CA25CF">
            <w:pPr>
              <w:rPr>
                <w:rFonts w:cs="Arial"/>
                <w:color w:val="FF0000"/>
                <w:sz w:val="21"/>
                <w:szCs w:val="21"/>
              </w:rPr>
            </w:pPr>
          </w:p>
        </w:tc>
        <w:tc>
          <w:tcPr>
            <w:tcW w:w="217" w:type="dxa"/>
          </w:tcPr>
          <w:p w14:paraId="387751CB" w14:textId="77777777" w:rsidR="002C0FD9" w:rsidRPr="00CA25CF" w:rsidRDefault="002C0FD9" w:rsidP="00CA25CF">
            <w:pPr>
              <w:rPr>
                <w:rFonts w:cs="Arial"/>
                <w:color w:val="FF0000"/>
                <w:sz w:val="21"/>
                <w:szCs w:val="21"/>
              </w:rPr>
            </w:pPr>
          </w:p>
        </w:tc>
        <w:tc>
          <w:tcPr>
            <w:tcW w:w="217" w:type="dxa"/>
          </w:tcPr>
          <w:p w14:paraId="5489A2ED" w14:textId="77777777" w:rsidR="002C0FD9" w:rsidRPr="00CA25CF" w:rsidRDefault="002C0FD9" w:rsidP="00CA25CF">
            <w:pPr>
              <w:rPr>
                <w:rFonts w:cs="Arial"/>
                <w:color w:val="FF0000"/>
                <w:sz w:val="21"/>
                <w:szCs w:val="21"/>
              </w:rPr>
            </w:pPr>
          </w:p>
        </w:tc>
        <w:tc>
          <w:tcPr>
            <w:tcW w:w="217" w:type="dxa"/>
          </w:tcPr>
          <w:p w14:paraId="3F3C3132" w14:textId="77777777" w:rsidR="002C0FD9" w:rsidRPr="00CA25CF" w:rsidRDefault="002C0FD9" w:rsidP="00CA25CF">
            <w:pPr>
              <w:rPr>
                <w:rFonts w:cs="Arial"/>
                <w:color w:val="FF0000"/>
                <w:sz w:val="21"/>
                <w:szCs w:val="21"/>
              </w:rPr>
            </w:pPr>
          </w:p>
        </w:tc>
        <w:tc>
          <w:tcPr>
            <w:tcW w:w="217" w:type="dxa"/>
          </w:tcPr>
          <w:p w14:paraId="03380F81" w14:textId="77777777" w:rsidR="002C0FD9" w:rsidRPr="00CA25CF" w:rsidRDefault="002C0FD9" w:rsidP="00CA25CF">
            <w:pPr>
              <w:rPr>
                <w:rFonts w:cs="Arial"/>
                <w:color w:val="FF0000"/>
                <w:sz w:val="21"/>
                <w:szCs w:val="21"/>
              </w:rPr>
            </w:pPr>
          </w:p>
        </w:tc>
        <w:tc>
          <w:tcPr>
            <w:tcW w:w="217" w:type="dxa"/>
          </w:tcPr>
          <w:p w14:paraId="18B76E28" w14:textId="77777777" w:rsidR="002C0FD9" w:rsidRPr="00CA25CF" w:rsidRDefault="002C0FD9" w:rsidP="00CA25CF">
            <w:pPr>
              <w:rPr>
                <w:rFonts w:cs="Arial"/>
                <w:color w:val="FF0000"/>
                <w:sz w:val="21"/>
                <w:szCs w:val="21"/>
              </w:rPr>
            </w:pPr>
          </w:p>
        </w:tc>
        <w:tc>
          <w:tcPr>
            <w:tcW w:w="217" w:type="dxa"/>
          </w:tcPr>
          <w:p w14:paraId="5009A10A" w14:textId="77777777" w:rsidR="002C0FD9" w:rsidRPr="00CA25CF" w:rsidRDefault="002C0FD9" w:rsidP="00CA25CF">
            <w:pPr>
              <w:rPr>
                <w:rFonts w:cs="Arial"/>
                <w:color w:val="FF0000"/>
                <w:sz w:val="21"/>
                <w:szCs w:val="21"/>
              </w:rPr>
            </w:pPr>
          </w:p>
        </w:tc>
        <w:tc>
          <w:tcPr>
            <w:tcW w:w="217" w:type="dxa"/>
          </w:tcPr>
          <w:p w14:paraId="1C73E96E" w14:textId="77777777" w:rsidR="002C0FD9" w:rsidRPr="00CA25CF" w:rsidRDefault="002C0FD9" w:rsidP="00CA25CF">
            <w:pPr>
              <w:rPr>
                <w:rFonts w:cs="Arial"/>
                <w:color w:val="FF0000"/>
                <w:sz w:val="21"/>
                <w:szCs w:val="21"/>
              </w:rPr>
            </w:pPr>
          </w:p>
        </w:tc>
        <w:tc>
          <w:tcPr>
            <w:tcW w:w="217" w:type="dxa"/>
          </w:tcPr>
          <w:p w14:paraId="25CEF0E9" w14:textId="77777777" w:rsidR="002C0FD9" w:rsidRPr="00CA25CF" w:rsidRDefault="002C0FD9" w:rsidP="00CA25CF">
            <w:pPr>
              <w:rPr>
                <w:rFonts w:cs="Arial"/>
                <w:color w:val="FF0000"/>
                <w:sz w:val="21"/>
                <w:szCs w:val="21"/>
              </w:rPr>
            </w:pPr>
          </w:p>
        </w:tc>
        <w:tc>
          <w:tcPr>
            <w:tcW w:w="217" w:type="dxa"/>
          </w:tcPr>
          <w:p w14:paraId="0EFCED38" w14:textId="77777777" w:rsidR="002C0FD9" w:rsidRPr="00CA25CF" w:rsidRDefault="002C0FD9" w:rsidP="00CA25CF">
            <w:pPr>
              <w:rPr>
                <w:rFonts w:cs="Arial"/>
                <w:color w:val="FF0000"/>
                <w:sz w:val="21"/>
                <w:szCs w:val="21"/>
              </w:rPr>
            </w:pPr>
          </w:p>
        </w:tc>
        <w:tc>
          <w:tcPr>
            <w:tcW w:w="217" w:type="dxa"/>
          </w:tcPr>
          <w:p w14:paraId="18253744" w14:textId="77777777" w:rsidR="002C0FD9" w:rsidRPr="00CA25CF" w:rsidRDefault="002C0FD9" w:rsidP="00CA25CF">
            <w:pPr>
              <w:rPr>
                <w:rFonts w:cs="Arial"/>
                <w:color w:val="FF0000"/>
                <w:sz w:val="21"/>
                <w:szCs w:val="21"/>
              </w:rPr>
            </w:pPr>
          </w:p>
        </w:tc>
        <w:tc>
          <w:tcPr>
            <w:tcW w:w="217" w:type="dxa"/>
          </w:tcPr>
          <w:p w14:paraId="66C5EED6" w14:textId="77777777" w:rsidR="002C0FD9" w:rsidRPr="00CA25CF" w:rsidRDefault="002C0FD9" w:rsidP="00CA25CF">
            <w:pPr>
              <w:rPr>
                <w:rFonts w:cs="Arial"/>
                <w:color w:val="FF0000"/>
                <w:sz w:val="21"/>
                <w:szCs w:val="21"/>
              </w:rPr>
            </w:pPr>
          </w:p>
        </w:tc>
        <w:tc>
          <w:tcPr>
            <w:tcW w:w="217" w:type="dxa"/>
          </w:tcPr>
          <w:p w14:paraId="52687E5A" w14:textId="77777777" w:rsidR="002C0FD9" w:rsidRPr="00CA25CF" w:rsidRDefault="002C0FD9" w:rsidP="00CA25CF">
            <w:pPr>
              <w:rPr>
                <w:rFonts w:cs="Arial"/>
                <w:color w:val="FF0000"/>
                <w:sz w:val="21"/>
                <w:szCs w:val="21"/>
              </w:rPr>
            </w:pPr>
          </w:p>
        </w:tc>
        <w:tc>
          <w:tcPr>
            <w:tcW w:w="217" w:type="dxa"/>
          </w:tcPr>
          <w:p w14:paraId="0DC43125" w14:textId="77777777" w:rsidR="002C0FD9" w:rsidRPr="00CA25CF" w:rsidRDefault="002C0FD9" w:rsidP="00CA25CF">
            <w:pPr>
              <w:rPr>
                <w:rFonts w:cs="Arial"/>
                <w:color w:val="FF0000"/>
                <w:sz w:val="21"/>
                <w:szCs w:val="21"/>
              </w:rPr>
            </w:pPr>
          </w:p>
        </w:tc>
        <w:tc>
          <w:tcPr>
            <w:tcW w:w="217" w:type="dxa"/>
          </w:tcPr>
          <w:p w14:paraId="3A9E01E1" w14:textId="77777777" w:rsidR="002C0FD9" w:rsidRPr="00CA25CF" w:rsidRDefault="002C0FD9" w:rsidP="00CA25CF">
            <w:pPr>
              <w:rPr>
                <w:rFonts w:cs="Arial"/>
                <w:color w:val="FF0000"/>
                <w:sz w:val="21"/>
                <w:szCs w:val="21"/>
              </w:rPr>
            </w:pPr>
          </w:p>
        </w:tc>
        <w:tc>
          <w:tcPr>
            <w:tcW w:w="217" w:type="dxa"/>
          </w:tcPr>
          <w:p w14:paraId="5ABAD95F" w14:textId="77777777" w:rsidR="002C0FD9" w:rsidRPr="00CA25CF" w:rsidRDefault="002C0FD9" w:rsidP="00CA25CF">
            <w:pPr>
              <w:rPr>
                <w:rFonts w:cs="Arial"/>
                <w:color w:val="FF0000"/>
                <w:sz w:val="21"/>
                <w:szCs w:val="21"/>
              </w:rPr>
            </w:pPr>
          </w:p>
        </w:tc>
        <w:tc>
          <w:tcPr>
            <w:tcW w:w="217" w:type="dxa"/>
          </w:tcPr>
          <w:p w14:paraId="4D31FA09" w14:textId="77777777" w:rsidR="002C0FD9" w:rsidRPr="00CA25CF" w:rsidRDefault="002C0FD9" w:rsidP="00CA25CF">
            <w:pPr>
              <w:rPr>
                <w:rFonts w:cs="Arial"/>
                <w:color w:val="FF0000"/>
                <w:sz w:val="21"/>
                <w:szCs w:val="21"/>
              </w:rPr>
            </w:pPr>
          </w:p>
        </w:tc>
        <w:tc>
          <w:tcPr>
            <w:tcW w:w="217" w:type="dxa"/>
          </w:tcPr>
          <w:p w14:paraId="11521406" w14:textId="77777777" w:rsidR="002C0FD9" w:rsidRPr="00CA25CF" w:rsidRDefault="002C0FD9" w:rsidP="00CA25CF">
            <w:pPr>
              <w:rPr>
                <w:rFonts w:cs="Arial"/>
                <w:color w:val="FF0000"/>
                <w:sz w:val="21"/>
                <w:szCs w:val="21"/>
              </w:rPr>
            </w:pPr>
          </w:p>
        </w:tc>
        <w:tc>
          <w:tcPr>
            <w:tcW w:w="217" w:type="dxa"/>
          </w:tcPr>
          <w:p w14:paraId="14D6DB1C" w14:textId="77777777" w:rsidR="002C0FD9" w:rsidRPr="00CA25CF" w:rsidRDefault="002C0FD9" w:rsidP="00CA25CF">
            <w:pPr>
              <w:rPr>
                <w:rFonts w:cs="Arial"/>
                <w:color w:val="FF0000"/>
                <w:sz w:val="21"/>
                <w:szCs w:val="21"/>
              </w:rPr>
            </w:pPr>
          </w:p>
        </w:tc>
        <w:tc>
          <w:tcPr>
            <w:tcW w:w="217" w:type="dxa"/>
          </w:tcPr>
          <w:p w14:paraId="11A08C1A" w14:textId="77777777" w:rsidR="002C0FD9" w:rsidRPr="00CA25CF" w:rsidRDefault="002C0FD9" w:rsidP="00CA25CF">
            <w:pPr>
              <w:rPr>
                <w:rFonts w:cs="Arial"/>
                <w:color w:val="FF0000"/>
                <w:sz w:val="21"/>
                <w:szCs w:val="21"/>
              </w:rPr>
            </w:pPr>
          </w:p>
        </w:tc>
        <w:tc>
          <w:tcPr>
            <w:tcW w:w="217" w:type="dxa"/>
          </w:tcPr>
          <w:p w14:paraId="572B8D7F" w14:textId="77777777" w:rsidR="002C0FD9" w:rsidRPr="00CA25CF" w:rsidRDefault="002C0FD9" w:rsidP="00CA25CF">
            <w:pPr>
              <w:rPr>
                <w:rFonts w:cs="Arial"/>
                <w:color w:val="FF0000"/>
                <w:sz w:val="21"/>
                <w:szCs w:val="21"/>
              </w:rPr>
            </w:pPr>
          </w:p>
        </w:tc>
        <w:tc>
          <w:tcPr>
            <w:tcW w:w="217" w:type="dxa"/>
          </w:tcPr>
          <w:p w14:paraId="3CE028FD" w14:textId="77777777" w:rsidR="002C0FD9" w:rsidRPr="00CA25CF" w:rsidRDefault="002C0FD9" w:rsidP="00CA25CF">
            <w:pPr>
              <w:rPr>
                <w:rFonts w:cs="Arial"/>
                <w:color w:val="FF0000"/>
                <w:sz w:val="21"/>
                <w:szCs w:val="21"/>
              </w:rPr>
            </w:pPr>
          </w:p>
        </w:tc>
        <w:tc>
          <w:tcPr>
            <w:tcW w:w="217" w:type="dxa"/>
          </w:tcPr>
          <w:p w14:paraId="7E91424E" w14:textId="77777777" w:rsidR="002C0FD9" w:rsidRPr="00CA25CF" w:rsidRDefault="002C0FD9" w:rsidP="00CA25CF">
            <w:pPr>
              <w:rPr>
                <w:rFonts w:cs="Arial"/>
                <w:color w:val="FF0000"/>
                <w:sz w:val="21"/>
                <w:szCs w:val="21"/>
              </w:rPr>
            </w:pPr>
          </w:p>
        </w:tc>
        <w:tc>
          <w:tcPr>
            <w:tcW w:w="217" w:type="dxa"/>
          </w:tcPr>
          <w:p w14:paraId="25A9A6B8" w14:textId="77777777" w:rsidR="002C0FD9" w:rsidRPr="00CA25CF" w:rsidRDefault="002C0FD9" w:rsidP="00CA25CF">
            <w:pPr>
              <w:rPr>
                <w:rFonts w:cs="Arial"/>
                <w:color w:val="FF0000"/>
                <w:sz w:val="21"/>
                <w:szCs w:val="21"/>
              </w:rPr>
            </w:pPr>
          </w:p>
        </w:tc>
        <w:tc>
          <w:tcPr>
            <w:tcW w:w="217" w:type="dxa"/>
          </w:tcPr>
          <w:p w14:paraId="786DA866" w14:textId="77777777" w:rsidR="002C0FD9" w:rsidRPr="00CA25CF" w:rsidRDefault="002C0FD9" w:rsidP="00CA25CF">
            <w:pPr>
              <w:rPr>
                <w:rFonts w:cs="Arial"/>
                <w:color w:val="FF0000"/>
                <w:sz w:val="21"/>
                <w:szCs w:val="21"/>
              </w:rPr>
            </w:pPr>
          </w:p>
        </w:tc>
        <w:tc>
          <w:tcPr>
            <w:tcW w:w="217" w:type="dxa"/>
          </w:tcPr>
          <w:p w14:paraId="21E23CCE" w14:textId="77777777" w:rsidR="002C0FD9" w:rsidRPr="00CA25CF" w:rsidRDefault="002C0FD9" w:rsidP="00CA25CF">
            <w:pPr>
              <w:rPr>
                <w:rFonts w:cs="Arial"/>
                <w:color w:val="FF0000"/>
                <w:sz w:val="21"/>
                <w:szCs w:val="21"/>
              </w:rPr>
            </w:pPr>
          </w:p>
        </w:tc>
        <w:tc>
          <w:tcPr>
            <w:tcW w:w="217" w:type="dxa"/>
          </w:tcPr>
          <w:p w14:paraId="7F4365F3" w14:textId="77777777" w:rsidR="002C0FD9" w:rsidRPr="00CA25CF" w:rsidRDefault="002C0FD9" w:rsidP="00CA25CF">
            <w:pPr>
              <w:rPr>
                <w:rFonts w:cs="Arial"/>
                <w:color w:val="FF0000"/>
                <w:sz w:val="21"/>
                <w:szCs w:val="21"/>
              </w:rPr>
            </w:pPr>
          </w:p>
        </w:tc>
        <w:tc>
          <w:tcPr>
            <w:tcW w:w="217" w:type="dxa"/>
          </w:tcPr>
          <w:p w14:paraId="57AB278B" w14:textId="77777777" w:rsidR="002C0FD9" w:rsidRPr="00CA25CF" w:rsidRDefault="002C0FD9" w:rsidP="00CA25CF">
            <w:pPr>
              <w:rPr>
                <w:rFonts w:cs="Arial"/>
                <w:color w:val="FF0000"/>
                <w:sz w:val="21"/>
                <w:szCs w:val="21"/>
              </w:rPr>
            </w:pPr>
          </w:p>
        </w:tc>
        <w:tc>
          <w:tcPr>
            <w:tcW w:w="217" w:type="dxa"/>
          </w:tcPr>
          <w:p w14:paraId="5C18DA88" w14:textId="77777777" w:rsidR="002C0FD9" w:rsidRPr="00CA25CF" w:rsidRDefault="002C0FD9" w:rsidP="00CA25CF">
            <w:pPr>
              <w:rPr>
                <w:rFonts w:cs="Arial"/>
                <w:color w:val="FF0000"/>
                <w:sz w:val="21"/>
                <w:szCs w:val="21"/>
              </w:rPr>
            </w:pPr>
          </w:p>
        </w:tc>
        <w:tc>
          <w:tcPr>
            <w:tcW w:w="217" w:type="dxa"/>
          </w:tcPr>
          <w:p w14:paraId="408487D8" w14:textId="77777777" w:rsidR="002C0FD9" w:rsidRPr="00CA25CF" w:rsidRDefault="002C0FD9" w:rsidP="00CA25CF">
            <w:pPr>
              <w:rPr>
                <w:rFonts w:cs="Arial"/>
                <w:color w:val="FF0000"/>
                <w:sz w:val="21"/>
                <w:szCs w:val="21"/>
              </w:rPr>
            </w:pPr>
          </w:p>
        </w:tc>
        <w:tc>
          <w:tcPr>
            <w:tcW w:w="217" w:type="dxa"/>
          </w:tcPr>
          <w:p w14:paraId="375C4DA6" w14:textId="77777777" w:rsidR="002C0FD9" w:rsidRPr="00CA25CF" w:rsidRDefault="002C0FD9" w:rsidP="00CA25CF">
            <w:pPr>
              <w:rPr>
                <w:rFonts w:cs="Arial"/>
                <w:color w:val="FF0000"/>
                <w:sz w:val="21"/>
                <w:szCs w:val="21"/>
              </w:rPr>
            </w:pPr>
          </w:p>
        </w:tc>
        <w:tc>
          <w:tcPr>
            <w:tcW w:w="217" w:type="dxa"/>
          </w:tcPr>
          <w:p w14:paraId="6B1BAD86" w14:textId="77777777" w:rsidR="002C0FD9" w:rsidRPr="00CA25CF" w:rsidRDefault="002C0FD9" w:rsidP="00CA25CF">
            <w:pPr>
              <w:rPr>
                <w:rFonts w:cs="Arial"/>
                <w:color w:val="FF0000"/>
                <w:sz w:val="21"/>
                <w:szCs w:val="21"/>
              </w:rPr>
            </w:pPr>
          </w:p>
        </w:tc>
      </w:tr>
      <w:tr w:rsidR="002C0FD9" w:rsidRPr="00A16219" w14:paraId="55DF01C9" w14:textId="77777777" w:rsidTr="002C0FD9">
        <w:trPr>
          <w:trHeight w:val="635"/>
        </w:trPr>
        <w:tc>
          <w:tcPr>
            <w:tcW w:w="515" w:type="dxa"/>
          </w:tcPr>
          <w:p w14:paraId="74D08032" w14:textId="77777777" w:rsidR="002C0FD9" w:rsidRPr="00CA25CF" w:rsidRDefault="002C0FD9" w:rsidP="00CA25CF">
            <w:pPr>
              <w:rPr>
                <w:rFonts w:cs="Arial"/>
                <w:color w:val="FF0000"/>
                <w:sz w:val="21"/>
                <w:szCs w:val="21"/>
              </w:rPr>
            </w:pPr>
          </w:p>
        </w:tc>
        <w:tc>
          <w:tcPr>
            <w:tcW w:w="217" w:type="dxa"/>
          </w:tcPr>
          <w:p w14:paraId="7DD303FC" w14:textId="77777777" w:rsidR="002C0FD9" w:rsidRPr="00CA25CF" w:rsidRDefault="002C0FD9" w:rsidP="00CA25CF">
            <w:pPr>
              <w:rPr>
                <w:rFonts w:cs="Arial"/>
                <w:color w:val="FF0000"/>
                <w:sz w:val="21"/>
                <w:szCs w:val="21"/>
              </w:rPr>
            </w:pPr>
          </w:p>
        </w:tc>
        <w:tc>
          <w:tcPr>
            <w:tcW w:w="217" w:type="dxa"/>
          </w:tcPr>
          <w:p w14:paraId="234CC41F" w14:textId="77777777" w:rsidR="002C0FD9" w:rsidRPr="00CA25CF" w:rsidRDefault="002C0FD9" w:rsidP="00CA25CF">
            <w:pPr>
              <w:rPr>
                <w:rFonts w:cs="Arial"/>
                <w:color w:val="FF0000"/>
                <w:sz w:val="21"/>
                <w:szCs w:val="21"/>
              </w:rPr>
            </w:pPr>
          </w:p>
        </w:tc>
        <w:tc>
          <w:tcPr>
            <w:tcW w:w="217" w:type="dxa"/>
          </w:tcPr>
          <w:p w14:paraId="530CB08D" w14:textId="77777777" w:rsidR="002C0FD9" w:rsidRPr="00CA25CF" w:rsidRDefault="002C0FD9" w:rsidP="00CA25CF">
            <w:pPr>
              <w:rPr>
                <w:rFonts w:cs="Arial"/>
                <w:color w:val="FF0000"/>
                <w:sz w:val="21"/>
                <w:szCs w:val="21"/>
              </w:rPr>
            </w:pPr>
          </w:p>
        </w:tc>
        <w:tc>
          <w:tcPr>
            <w:tcW w:w="217" w:type="dxa"/>
          </w:tcPr>
          <w:p w14:paraId="28DE0284" w14:textId="77777777" w:rsidR="002C0FD9" w:rsidRPr="00CA25CF" w:rsidRDefault="002C0FD9" w:rsidP="00CA25CF">
            <w:pPr>
              <w:rPr>
                <w:rFonts w:cs="Arial"/>
                <w:color w:val="FF0000"/>
                <w:sz w:val="21"/>
                <w:szCs w:val="21"/>
              </w:rPr>
            </w:pPr>
          </w:p>
        </w:tc>
        <w:tc>
          <w:tcPr>
            <w:tcW w:w="217" w:type="dxa"/>
          </w:tcPr>
          <w:p w14:paraId="68134E01" w14:textId="77777777" w:rsidR="002C0FD9" w:rsidRPr="00CA25CF" w:rsidRDefault="002C0FD9" w:rsidP="00CA25CF">
            <w:pPr>
              <w:rPr>
                <w:rFonts w:cs="Arial"/>
                <w:color w:val="FF0000"/>
                <w:sz w:val="21"/>
                <w:szCs w:val="21"/>
              </w:rPr>
            </w:pPr>
          </w:p>
        </w:tc>
        <w:tc>
          <w:tcPr>
            <w:tcW w:w="217" w:type="dxa"/>
          </w:tcPr>
          <w:p w14:paraId="47A46437" w14:textId="77777777" w:rsidR="002C0FD9" w:rsidRPr="00CA25CF" w:rsidRDefault="002C0FD9" w:rsidP="00CA25CF">
            <w:pPr>
              <w:rPr>
                <w:rFonts w:cs="Arial"/>
                <w:color w:val="FF0000"/>
                <w:sz w:val="21"/>
                <w:szCs w:val="21"/>
              </w:rPr>
            </w:pPr>
          </w:p>
        </w:tc>
        <w:tc>
          <w:tcPr>
            <w:tcW w:w="217" w:type="dxa"/>
          </w:tcPr>
          <w:p w14:paraId="08A56262" w14:textId="77777777" w:rsidR="002C0FD9" w:rsidRPr="00CA25CF" w:rsidRDefault="002C0FD9" w:rsidP="00CA25CF">
            <w:pPr>
              <w:rPr>
                <w:rFonts w:cs="Arial"/>
                <w:color w:val="FF0000"/>
                <w:sz w:val="21"/>
                <w:szCs w:val="21"/>
              </w:rPr>
            </w:pPr>
          </w:p>
        </w:tc>
        <w:tc>
          <w:tcPr>
            <w:tcW w:w="217" w:type="dxa"/>
          </w:tcPr>
          <w:p w14:paraId="4BBBF941" w14:textId="77777777" w:rsidR="002C0FD9" w:rsidRPr="00CA25CF" w:rsidRDefault="002C0FD9" w:rsidP="00CA25CF">
            <w:pPr>
              <w:rPr>
                <w:rFonts w:cs="Arial"/>
                <w:color w:val="FF0000"/>
                <w:sz w:val="21"/>
                <w:szCs w:val="21"/>
              </w:rPr>
            </w:pPr>
          </w:p>
        </w:tc>
        <w:tc>
          <w:tcPr>
            <w:tcW w:w="217" w:type="dxa"/>
          </w:tcPr>
          <w:p w14:paraId="05562089" w14:textId="77777777" w:rsidR="002C0FD9" w:rsidRPr="00CA25CF" w:rsidRDefault="002C0FD9" w:rsidP="00CA25CF">
            <w:pPr>
              <w:rPr>
                <w:rFonts w:cs="Arial"/>
                <w:color w:val="FF0000"/>
                <w:sz w:val="21"/>
                <w:szCs w:val="21"/>
              </w:rPr>
            </w:pPr>
          </w:p>
        </w:tc>
        <w:tc>
          <w:tcPr>
            <w:tcW w:w="217" w:type="dxa"/>
          </w:tcPr>
          <w:p w14:paraId="542AED27" w14:textId="77777777" w:rsidR="002C0FD9" w:rsidRPr="00CA25CF" w:rsidRDefault="002C0FD9" w:rsidP="00CA25CF">
            <w:pPr>
              <w:rPr>
                <w:rFonts w:cs="Arial"/>
                <w:color w:val="FF0000"/>
                <w:sz w:val="21"/>
                <w:szCs w:val="21"/>
              </w:rPr>
            </w:pPr>
          </w:p>
        </w:tc>
        <w:tc>
          <w:tcPr>
            <w:tcW w:w="217" w:type="dxa"/>
          </w:tcPr>
          <w:p w14:paraId="0DD8D2A7" w14:textId="77777777" w:rsidR="002C0FD9" w:rsidRPr="00CA25CF" w:rsidRDefault="002C0FD9" w:rsidP="00CA25CF">
            <w:pPr>
              <w:rPr>
                <w:rFonts w:cs="Arial"/>
                <w:color w:val="FF0000"/>
                <w:sz w:val="21"/>
                <w:szCs w:val="21"/>
              </w:rPr>
            </w:pPr>
          </w:p>
        </w:tc>
        <w:tc>
          <w:tcPr>
            <w:tcW w:w="217" w:type="dxa"/>
          </w:tcPr>
          <w:p w14:paraId="52161035" w14:textId="77777777" w:rsidR="002C0FD9" w:rsidRPr="00CA25CF" w:rsidRDefault="002C0FD9" w:rsidP="00CA25CF">
            <w:pPr>
              <w:rPr>
                <w:rFonts w:cs="Arial"/>
                <w:color w:val="FF0000"/>
                <w:sz w:val="21"/>
                <w:szCs w:val="21"/>
              </w:rPr>
            </w:pPr>
          </w:p>
        </w:tc>
        <w:tc>
          <w:tcPr>
            <w:tcW w:w="217" w:type="dxa"/>
          </w:tcPr>
          <w:p w14:paraId="33789C4B" w14:textId="77777777" w:rsidR="002C0FD9" w:rsidRPr="00CA25CF" w:rsidRDefault="002C0FD9" w:rsidP="00CA25CF">
            <w:pPr>
              <w:rPr>
                <w:rFonts w:cs="Arial"/>
                <w:color w:val="FF0000"/>
                <w:sz w:val="21"/>
                <w:szCs w:val="21"/>
              </w:rPr>
            </w:pPr>
          </w:p>
        </w:tc>
        <w:tc>
          <w:tcPr>
            <w:tcW w:w="217" w:type="dxa"/>
          </w:tcPr>
          <w:p w14:paraId="3510B753" w14:textId="77777777" w:rsidR="002C0FD9" w:rsidRPr="00CA25CF" w:rsidRDefault="002C0FD9" w:rsidP="00CA25CF">
            <w:pPr>
              <w:rPr>
                <w:rFonts w:cs="Arial"/>
                <w:color w:val="FF0000"/>
                <w:sz w:val="21"/>
                <w:szCs w:val="21"/>
              </w:rPr>
            </w:pPr>
          </w:p>
        </w:tc>
        <w:tc>
          <w:tcPr>
            <w:tcW w:w="217" w:type="dxa"/>
          </w:tcPr>
          <w:p w14:paraId="5D55A8F7" w14:textId="77777777" w:rsidR="002C0FD9" w:rsidRPr="00CA25CF" w:rsidRDefault="002C0FD9" w:rsidP="00CA25CF">
            <w:pPr>
              <w:rPr>
                <w:rFonts w:cs="Arial"/>
                <w:color w:val="FF0000"/>
                <w:sz w:val="21"/>
                <w:szCs w:val="21"/>
              </w:rPr>
            </w:pPr>
          </w:p>
        </w:tc>
        <w:tc>
          <w:tcPr>
            <w:tcW w:w="217" w:type="dxa"/>
          </w:tcPr>
          <w:p w14:paraId="3A400650" w14:textId="77777777" w:rsidR="002C0FD9" w:rsidRPr="00CA25CF" w:rsidRDefault="002C0FD9" w:rsidP="00CA25CF">
            <w:pPr>
              <w:rPr>
                <w:rFonts w:cs="Arial"/>
                <w:color w:val="FF0000"/>
                <w:sz w:val="21"/>
                <w:szCs w:val="21"/>
              </w:rPr>
            </w:pPr>
          </w:p>
        </w:tc>
        <w:tc>
          <w:tcPr>
            <w:tcW w:w="217" w:type="dxa"/>
          </w:tcPr>
          <w:p w14:paraId="453F0B32" w14:textId="77777777" w:rsidR="002C0FD9" w:rsidRPr="00CA25CF" w:rsidRDefault="002C0FD9" w:rsidP="00CA25CF">
            <w:pPr>
              <w:rPr>
                <w:rFonts w:cs="Arial"/>
                <w:color w:val="FF0000"/>
                <w:sz w:val="21"/>
                <w:szCs w:val="21"/>
              </w:rPr>
            </w:pPr>
          </w:p>
        </w:tc>
        <w:tc>
          <w:tcPr>
            <w:tcW w:w="217" w:type="dxa"/>
          </w:tcPr>
          <w:p w14:paraId="1E9D58BB" w14:textId="77777777" w:rsidR="002C0FD9" w:rsidRPr="00CA25CF" w:rsidRDefault="002C0FD9" w:rsidP="00CA25CF">
            <w:pPr>
              <w:rPr>
                <w:rFonts w:cs="Arial"/>
                <w:color w:val="FF0000"/>
                <w:sz w:val="21"/>
                <w:szCs w:val="21"/>
              </w:rPr>
            </w:pPr>
          </w:p>
        </w:tc>
        <w:tc>
          <w:tcPr>
            <w:tcW w:w="217" w:type="dxa"/>
          </w:tcPr>
          <w:p w14:paraId="1561B010" w14:textId="77777777" w:rsidR="002C0FD9" w:rsidRPr="00CA25CF" w:rsidRDefault="002C0FD9" w:rsidP="00CA25CF">
            <w:pPr>
              <w:rPr>
                <w:rFonts w:cs="Arial"/>
                <w:color w:val="FF0000"/>
                <w:sz w:val="21"/>
                <w:szCs w:val="21"/>
              </w:rPr>
            </w:pPr>
          </w:p>
        </w:tc>
        <w:tc>
          <w:tcPr>
            <w:tcW w:w="217" w:type="dxa"/>
          </w:tcPr>
          <w:p w14:paraId="5FAC1D25" w14:textId="77777777" w:rsidR="002C0FD9" w:rsidRPr="00CA25CF" w:rsidRDefault="002C0FD9" w:rsidP="00CA25CF">
            <w:pPr>
              <w:rPr>
                <w:rFonts w:cs="Arial"/>
                <w:color w:val="FF0000"/>
                <w:sz w:val="21"/>
                <w:szCs w:val="21"/>
              </w:rPr>
            </w:pPr>
          </w:p>
        </w:tc>
        <w:tc>
          <w:tcPr>
            <w:tcW w:w="217" w:type="dxa"/>
          </w:tcPr>
          <w:p w14:paraId="68E6EB48" w14:textId="77777777" w:rsidR="002C0FD9" w:rsidRPr="00CA25CF" w:rsidRDefault="002C0FD9" w:rsidP="00CA25CF">
            <w:pPr>
              <w:rPr>
                <w:rFonts w:cs="Arial"/>
                <w:color w:val="FF0000"/>
                <w:sz w:val="21"/>
                <w:szCs w:val="21"/>
              </w:rPr>
            </w:pPr>
          </w:p>
        </w:tc>
        <w:tc>
          <w:tcPr>
            <w:tcW w:w="217" w:type="dxa"/>
          </w:tcPr>
          <w:p w14:paraId="7DDD16FF" w14:textId="77777777" w:rsidR="002C0FD9" w:rsidRPr="00CA25CF" w:rsidRDefault="002C0FD9" w:rsidP="00CA25CF">
            <w:pPr>
              <w:rPr>
                <w:rFonts w:cs="Arial"/>
                <w:color w:val="FF0000"/>
                <w:sz w:val="21"/>
                <w:szCs w:val="21"/>
              </w:rPr>
            </w:pPr>
          </w:p>
        </w:tc>
        <w:tc>
          <w:tcPr>
            <w:tcW w:w="217" w:type="dxa"/>
          </w:tcPr>
          <w:p w14:paraId="25C83FC8" w14:textId="77777777" w:rsidR="002C0FD9" w:rsidRPr="00CA25CF" w:rsidRDefault="002C0FD9" w:rsidP="00CA25CF">
            <w:pPr>
              <w:rPr>
                <w:rFonts w:cs="Arial"/>
                <w:color w:val="FF0000"/>
                <w:sz w:val="21"/>
                <w:szCs w:val="21"/>
              </w:rPr>
            </w:pPr>
          </w:p>
        </w:tc>
        <w:tc>
          <w:tcPr>
            <w:tcW w:w="217" w:type="dxa"/>
          </w:tcPr>
          <w:p w14:paraId="0E439AF9" w14:textId="77777777" w:rsidR="002C0FD9" w:rsidRPr="00CA25CF" w:rsidRDefault="002C0FD9" w:rsidP="00CA25CF">
            <w:pPr>
              <w:rPr>
                <w:rFonts w:cs="Arial"/>
                <w:color w:val="FF0000"/>
                <w:sz w:val="21"/>
                <w:szCs w:val="21"/>
              </w:rPr>
            </w:pPr>
          </w:p>
        </w:tc>
        <w:tc>
          <w:tcPr>
            <w:tcW w:w="217" w:type="dxa"/>
          </w:tcPr>
          <w:p w14:paraId="529D0897" w14:textId="77777777" w:rsidR="002C0FD9" w:rsidRPr="00CA25CF" w:rsidRDefault="002C0FD9" w:rsidP="00CA25CF">
            <w:pPr>
              <w:rPr>
                <w:rFonts w:cs="Arial"/>
                <w:color w:val="FF0000"/>
                <w:sz w:val="21"/>
                <w:szCs w:val="21"/>
              </w:rPr>
            </w:pPr>
          </w:p>
        </w:tc>
        <w:tc>
          <w:tcPr>
            <w:tcW w:w="217" w:type="dxa"/>
          </w:tcPr>
          <w:p w14:paraId="6D5F634B" w14:textId="77777777" w:rsidR="002C0FD9" w:rsidRPr="00CA25CF" w:rsidRDefault="002C0FD9" w:rsidP="00CA25CF">
            <w:pPr>
              <w:rPr>
                <w:rFonts w:cs="Arial"/>
                <w:color w:val="FF0000"/>
                <w:sz w:val="21"/>
                <w:szCs w:val="21"/>
              </w:rPr>
            </w:pPr>
          </w:p>
        </w:tc>
        <w:tc>
          <w:tcPr>
            <w:tcW w:w="217" w:type="dxa"/>
          </w:tcPr>
          <w:p w14:paraId="7F71174C" w14:textId="77777777" w:rsidR="002C0FD9" w:rsidRPr="00CA25CF" w:rsidRDefault="002C0FD9" w:rsidP="00CA25CF">
            <w:pPr>
              <w:rPr>
                <w:rFonts w:cs="Arial"/>
                <w:color w:val="FF0000"/>
                <w:sz w:val="21"/>
                <w:szCs w:val="21"/>
              </w:rPr>
            </w:pPr>
          </w:p>
        </w:tc>
        <w:tc>
          <w:tcPr>
            <w:tcW w:w="217" w:type="dxa"/>
          </w:tcPr>
          <w:p w14:paraId="3097C3C2" w14:textId="77777777" w:rsidR="002C0FD9" w:rsidRPr="00CA25CF" w:rsidRDefault="002C0FD9" w:rsidP="00CA25CF">
            <w:pPr>
              <w:rPr>
                <w:rFonts w:cs="Arial"/>
                <w:color w:val="FF0000"/>
                <w:sz w:val="21"/>
                <w:szCs w:val="21"/>
              </w:rPr>
            </w:pPr>
          </w:p>
        </w:tc>
        <w:tc>
          <w:tcPr>
            <w:tcW w:w="217" w:type="dxa"/>
          </w:tcPr>
          <w:p w14:paraId="493DBAC6" w14:textId="77777777" w:rsidR="002C0FD9" w:rsidRPr="00CA25CF" w:rsidRDefault="002C0FD9" w:rsidP="00CA25CF">
            <w:pPr>
              <w:rPr>
                <w:rFonts w:cs="Arial"/>
                <w:color w:val="FF0000"/>
                <w:sz w:val="21"/>
                <w:szCs w:val="21"/>
              </w:rPr>
            </w:pPr>
          </w:p>
        </w:tc>
        <w:tc>
          <w:tcPr>
            <w:tcW w:w="217" w:type="dxa"/>
          </w:tcPr>
          <w:p w14:paraId="60331AD7" w14:textId="77777777" w:rsidR="002C0FD9" w:rsidRPr="00CA25CF" w:rsidRDefault="002C0FD9" w:rsidP="00CA25CF">
            <w:pPr>
              <w:rPr>
                <w:rFonts w:cs="Arial"/>
                <w:color w:val="FF0000"/>
                <w:sz w:val="21"/>
                <w:szCs w:val="21"/>
              </w:rPr>
            </w:pPr>
          </w:p>
        </w:tc>
        <w:tc>
          <w:tcPr>
            <w:tcW w:w="217" w:type="dxa"/>
          </w:tcPr>
          <w:p w14:paraId="23998CF0" w14:textId="77777777" w:rsidR="002C0FD9" w:rsidRPr="00CA25CF" w:rsidRDefault="002C0FD9" w:rsidP="00CA25CF">
            <w:pPr>
              <w:rPr>
                <w:rFonts w:cs="Arial"/>
                <w:color w:val="FF0000"/>
                <w:sz w:val="21"/>
                <w:szCs w:val="21"/>
              </w:rPr>
            </w:pPr>
          </w:p>
        </w:tc>
        <w:tc>
          <w:tcPr>
            <w:tcW w:w="217" w:type="dxa"/>
          </w:tcPr>
          <w:p w14:paraId="54C09D11" w14:textId="77777777" w:rsidR="002C0FD9" w:rsidRPr="00CA25CF" w:rsidRDefault="002C0FD9" w:rsidP="00CA25CF">
            <w:pPr>
              <w:rPr>
                <w:rFonts w:cs="Arial"/>
                <w:color w:val="FF0000"/>
                <w:sz w:val="21"/>
                <w:szCs w:val="21"/>
              </w:rPr>
            </w:pPr>
          </w:p>
        </w:tc>
        <w:tc>
          <w:tcPr>
            <w:tcW w:w="217" w:type="dxa"/>
          </w:tcPr>
          <w:p w14:paraId="7C5672C2" w14:textId="77777777" w:rsidR="002C0FD9" w:rsidRPr="00CA25CF" w:rsidRDefault="002C0FD9" w:rsidP="00CA25CF">
            <w:pPr>
              <w:rPr>
                <w:rFonts w:cs="Arial"/>
                <w:color w:val="FF0000"/>
                <w:sz w:val="21"/>
                <w:szCs w:val="21"/>
              </w:rPr>
            </w:pPr>
          </w:p>
        </w:tc>
        <w:tc>
          <w:tcPr>
            <w:tcW w:w="217" w:type="dxa"/>
          </w:tcPr>
          <w:p w14:paraId="1B7D77A9" w14:textId="77777777" w:rsidR="002C0FD9" w:rsidRPr="00CA25CF" w:rsidRDefault="002C0FD9" w:rsidP="00CA25CF">
            <w:pPr>
              <w:rPr>
                <w:rFonts w:cs="Arial"/>
                <w:color w:val="FF0000"/>
                <w:sz w:val="21"/>
                <w:szCs w:val="21"/>
              </w:rPr>
            </w:pPr>
          </w:p>
        </w:tc>
        <w:tc>
          <w:tcPr>
            <w:tcW w:w="217" w:type="dxa"/>
          </w:tcPr>
          <w:p w14:paraId="3764598C" w14:textId="77777777" w:rsidR="002C0FD9" w:rsidRPr="00CA25CF" w:rsidRDefault="002C0FD9" w:rsidP="00CA25CF">
            <w:pPr>
              <w:rPr>
                <w:rFonts w:cs="Arial"/>
                <w:color w:val="FF0000"/>
                <w:sz w:val="21"/>
                <w:szCs w:val="21"/>
              </w:rPr>
            </w:pPr>
          </w:p>
        </w:tc>
        <w:tc>
          <w:tcPr>
            <w:tcW w:w="217" w:type="dxa"/>
          </w:tcPr>
          <w:p w14:paraId="1FCC30D2" w14:textId="77777777" w:rsidR="002C0FD9" w:rsidRPr="00CA25CF" w:rsidRDefault="002C0FD9" w:rsidP="00CA25CF">
            <w:pPr>
              <w:rPr>
                <w:rFonts w:cs="Arial"/>
                <w:color w:val="FF0000"/>
                <w:sz w:val="21"/>
                <w:szCs w:val="21"/>
              </w:rPr>
            </w:pPr>
          </w:p>
        </w:tc>
        <w:tc>
          <w:tcPr>
            <w:tcW w:w="217" w:type="dxa"/>
          </w:tcPr>
          <w:p w14:paraId="77799D69" w14:textId="77777777" w:rsidR="002C0FD9" w:rsidRPr="00CA25CF" w:rsidRDefault="002C0FD9" w:rsidP="00CA25CF">
            <w:pPr>
              <w:rPr>
                <w:rFonts w:cs="Arial"/>
                <w:color w:val="FF0000"/>
                <w:sz w:val="21"/>
                <w:szCs w:val="21"/>
              </w:rPr>
            </w:pPr>
          </w:p>
        </w:tc>
        <w:tc>
          <w:tcPr>
            <w:tcW w:w="217" w:type="dxa"/>
          </w:tcPr>
          <w:p w14:paraId="0F98BD08" w14:textId="77777777" w:rsidR="002C0FD9" w:rsidRPr="00CA25CF" w:rsidRDefault="002C0FD9" w:rsidP="00CA25CF">
            <w:pPr>
              <w:rPr>
                <w:rFonts w:cs="Arial"/>
                <w:color w:val="FF0000"/>
                <w:sz w:val="21"/>
                <w:szCs w:val="21"/>
              </w:rPr>
            </w:pPr>
          </w:p>
        </w:tc>
        <w:tc>
          <w:tcPr>
            <w:tcW w:w="217" w:type="dxa"/>
          </w:tcPr>
          <w:p w14:paraId="7198A75B" w14:textId="77777777" w:rsidR="002C0FD9" w:rsidRPr="00CA25CF" w:rsidRDefault="002C0FD9" w:rsidP="00CA25CF">
            <w:pPr>
              <w:rPr>
                <w:rFonts w:cs="Arial"/>
                <w:color w:val="FF0000"/>
                <w:sz w:val="21"/>
                <w:szCs w:val="21"/>
              </w:rPr>
            </w:pPr>
          </w:p>
        </w:tc>
        <w:tc>
          <w:tcPr>
            <w:tcW w:w="217" w:type="dxa"/>
          </w:tcPr>
          <w:p w14:paraId="08594AE5" w14:textId="77777777" w:rsidR="002C0FD9" w:rsidRPr="00CA25CF" w:rsidRDefault="002C0FD9" w:rsidP="00CA25CF">
            <w:pPr>
              <w:rPr>
                <w:rFonts w:cs="Arial"/>
                <w:color w:val="FF0000"/>
                <w:sz w:val="21"/>
                <w:szCs w:val="21"/>
              </w:rPr>
            </w:pPr>
          </w:p>
        </w:tc>
        <w:tc>
          <w:tcPr>
            <w:tcW w:w="217" w:type="dxa"/>
          </w:tcPr>
          <w:p w14:paraId="649AD7D4" w14:textId="77777777" w:rsidR="002C0FD9" w:rsidRPr="00CA25CF" w:rsidRDefault="002C0FD9" w:rsidP="00CA25CF">
            <w:pPr>
              <w:rPr>
                <w:rFonts w:cs="Arial"/>
                <w:color w:val="FF0000"/>
                <w:sz w:val="21"/>
                <w:szCs w:val="21"/>
              </w:rPr>
            </w:pPr>
          </w:p>
        </w:tc>
        <w:tc>
          <w:tcPr>
            <w:tcW w:w="217" w:type="dxa"/>
          </w:tcPr>
          <w:p w14:paraId="2356D967" w14:textId="77777777" w:rsidR="002C0FD9" w:rsidRPr="00CA25CF" w:rsidRDefault="002C0FD9" w:rsidP="00CA25CF">
            <w:pPr>
              <w:rPr>
                <w:rFonts w:cs="Arial"/>
                <w:color w:val="FF0000"/>
                <w:sz w:val="21"/>
                <w:szCs w:val="21"/>
              </w:rPr>
            </w:pPr>
          </w:p>
        </w:tc>
      </w:tr>
      <w:tr w:rsidR="002C0FD9" w:rsidRPr="00A16219" w14:paraId="6E650C18" w14:textId="77777777" w:rsidTr="002C0FD9">
        <w:trPr>
          <w:trHeight w:val="635"/>
        </w:trPr>
        <w:tc>
          <w:tcPr>
            <w:tcW w:w="515" w:type="dxa"/>
          </w:tcPr>
          <w:p w14:paraId="67544CCA" w14:textId="77777777" w:rsidR="002C0FD9" w:rsidRPr="00CA25CF" w:rsidRDefault="002C0FD9" w:rsidP="00CA25CF">
            <w:pPr>
              <w:rPr>
                <w:rFonts w:cs="Arial"/>
                <w:color w:val="FF0000"/>
                <w:sz w:val="21"/>
                <w:szCs w:val="21"/>
              </w:rPr>
            </w:pPr>
          </w:p>
        </w:tc>
        <w:tc>
          <w:tcPr>
            <w:tcW w:w="217" w:type="dxa"/>
          </w:tcPr>
          <w:p w14:paraId="2812DA3E" w14:textId="77777777" w:rsidR="002C0FD9" w:rsidRPr="00CA25CF" w:rsidRDefault="002C0FD9" w:rsidP="00CA25CF">
            <w:pPr>
              <w:rPr>
                <w:rFonts w:cs="Arial"/>
                <w:color w:val="FF0000"/>
                <w:sz w:val="21"/>
                <w:szCs w:val="21"/>
              </w:rPr>
            </w:pPr>
          </w:p>
        </w:tc>
        <w:tc>
          <w:tcPr>
            <w:tcW w:w="217" w:type="dxa"/>
          </w:tcPr>
          <w:p w14:paraId="764B55D6" w14:textId="77777777" w:rsidR="002C0FD9" w:rsidRPr="00CA25CF" w:rsidRDefault="002C0FD9" w:rsidP="00CA25CF">
            <w:pPr>
              <w:rPr>
                <w:rFonts w:cs="Arial"/>
                <w:color w:val="FF0000"/>
                <w:sz w:val="21"/>
                <w:szCs w:val="21"/>
              </w:rPr>
            </w:pPr>
          </w:p>
        </w:tc>
        <w:tc>
          <w:tcPr>
            <w:tcW w:w="217" w:type="dxa"/>
          </w:tcPr>
          <w:p w14:paraId="4328E05D" w14:textId="77777777" w:rsidR="002C0FD9" w:rsidRPr="00CA25CF" w:rsidRDefault="002C0FD9" w:rsidP="00CA25CF">
            <w:pPr>
              <w:rPr>
                <w:rFonts w:cs="Arial"/>
                <w:color w:val="FF0000"/>
                <w:sz w:val="21"/>
                <w:szCs w:val="21"/>
              </w:rPr>
            </w:pPr>
          </w:p>
        </w:tc>
        <w:tc>
          <w:tcPr>
            <w:tcW w:w="217" w:type="dxa"/>
          </w:tcPr>
          <w:p w14:paraId="12341FBD" w14:textId="77777777" w:rsidR="002C0FD9" w:rsidRPr="00CA25CF" w:rsidRDefault="002C0FD9" w:rsidP="00CA25CF">
            <w:pPr>
              <w:rPr>
                <w:rFonts w:cs="Arial"/>
                <w:color w:val="FF0000"/>
                <w:sz w:val="21"/>
                <w:szCs w:val="21"/>
              </w:rPr>
            </w:pPr>
          </w:p>
        </w:tc>
        <w:tc>
          <w:tcPr>
            <w:tcW w:w="217" w:type="dxa"/>
          </w:tcPr>
          <w:p w14:paraId="74B241DD" w14:textId="77777777" w:rsidR="002C0FD9" w:rsidRPr="00CA25CF" w:rsidRDefault="002C0FD9" w:rsidP="00CA25CF">
            <w:pPr>
              <w:rPr>
                <w:rFonts w:cs="Arial"/>
                <w:color w:val="FF0000"/>
                <w:sz w:val="21"/>
                <w:szCs w:val="21"/>
              </w:rPr>
            </w:pPr>
          </w:p>
        </w:tc>
        <w:tc>
          <w:tcPr>
            <w:tcW w:w="217" w:type="dxa"/>
          </w:tcPr>
          <w:p w14:paraId="7595C1EE" w14:textId="77777777" w:rsidR="002C0FD9" w:rsidRPr="00CA25CF" w:rsidRDefault="002C0FD9" w:rsidP="00CA25CF">
            <w:pPr>
              <w:rPr>
                <w:rFonts w:cs="Arial"/>
                <w:color w:val="FF0000"/>
                <w:sz w:val="21"/>
                <w:szCs w:val="21"/>
              </w:rPr>
            </w:pPr>
          </w:p>
        </w:tc>
        <w:tc>
          <w:tcPr>
            <w:tcW w:w="217" w:type="dxa"/>
          </w:tcPr>
          <w:p w14:paraId="0D3DB10A" w14:textId="77777777" w:rsidR="002C0FD9" w:rsidRPr="00CA25CF" w:rsidRDefault="002C0FD9" w:rsidP="00CA25CF">
            <w:pPr>
              <w:rPr>
                <w:rFonts w:cs="Arial"/>
                <w:color w:val="FF0000"/>
                <w:sz w:val="21"/>
                <w:szCs w:val="21"/>
              </w:rPr>
            </w:pPr>
          </w:p>
        </w:tc>
        <w:tc>
          <w:tcPr>
            <w:tcW w:w="217" w:type="dxa"/>
          </w:tcPr>
          <w:p w14:paraId="12BD7D90" w14:textId="77777777" w:rsidR="002C0FD9" w:rsidRPr="00CA25CF" w:rsidRDefault="002C0FD9" w:rsidP="00CA25CF">
            <w:pPr>
              <w:rPr>
                <w:rFonts w:cs="Arial"/>
                <w:color w:val="FF0000"/>
                <w:sz w:val="21"/>
                <w:szCs w:val="21"/>
              </w:rPr>
            </w:pPr>
          </w:p>
        </w:tc>
        <w:tc>
          <w:tcPr>
            <w:tcW w:w="217" w:type="dxa"/>
          </w:tcPr>
          <w:p w14:paraId="0A86C83F" w14:textId="77777777" w:rsidR="002C0FD9" w:rsidRPr="00CA25CF" w:rsidRDefault="002C0FD9" w:rsidP="00CA25CF">
            <w:pPr>
              <w:rPr>
                <w:rFonts w:cs="Arial"/>
                <w:color w:val="FF0000"/>
                <w:sz w:val="21"/>
                <w:szCs w:val="21"/>
              </w:rPr>
            </w:pPr>
          </w:p>
        </w:tc>
        <w:tc>
          <w:tcPr>
            <w:tcW w:w="217" w:type="dxa"/>
          </w:tcPr>
          <w:p w14:paraId="6FBCBE93" w14:textId="77777777" w:rsidR="002C0FD9" w:rsidRPr="00CA25CF" w:rsidRDefault="002C0FD9" w:rsidP="00CA25CF">
            <w:pPr>
              <w:rPr>
                <w:rFonts w:cs="Arial"/>
                <w:color w:val="FF0000"/>
                <w:sz w:val="21"/>
                <w:szCs w:val="21"/>
              </w:rPr>
            </w:pPr>
          </w:p>
        </w:tc>
        <w:tc>
          <w:tcPr>
            <w:tcW w:w="217" w:type="dxa"/>
          </w:tcPr>
          <w:p w14:paraId="36E7F541" w14:textId="77777777" w:rsidR="002C0FD9" w:rsidRPr="00CA25CF" w:rsidRDefault="002C0FD9" w:rsidP="00CA25CF">
            <w:pPr>
              <w:rPr>
                <w:rFonts w:cs="Arial"/>
                <w:color w:val="FF0000"/>
                <w:sz w:val="21"/>
                <w:szCs w:val="21"/>
              </w:rPr>
            </w:pPr>
          </w:p>
        </w:tc>
        <w:tc>
          <w:tcPr>
            <w:tcW w:w="217" w:type="dxa"/>
          </w:tcPr>
          <w:p w14:paraId="7BB88F02" w14:textId="77777777" w:rsidR="002C0FD9" w:rsidRPr="00CA25CF" w:rsidRDefault="002C0FD9" w:rsidP="00CA25CF">
            <w:pPr>
              <w:rPr>
                <w:rFonts w:cs="Arial"/>
                <w:color w:val="FF0000"/>
                <w:sz w:val="21"/>
                <w:szCs w:val="21"/>
              </w:rPr>
            </w:pPr>
          </w:p>
        </w:tc>
        <w:tc>
          <w:tcPr>
            <w:tcW w:w="217" w:type="dxa"/>
          </w:tcPr>
          <w:p w14:paraId="72533C1B" w14:textId="77777777" w:rsidR="002C0FD9" w:rsidRPr="00CA25CF" w:rsidRDefault="002C0FD9" w:rsidP="00CA25CF">
            <w:pPr>
              <w:rPr>
                <w:rFonts w:cs="Arial"/>
                <w:color w:val="FF0000"/>
                <w:sz w:val="21"/>
                <w:szCs w:val="21"/>
              </w:rPr>
            </w:pPr>
          </w:p>
        </w:tc>
        <w:tc>
          <w:tcPr>
            <w:tcW w:w="217" w:type="dxa"/>
          </w:tcPr>
          <w:p w14:paraId="7E35C5BA" w14:textId="77777777" w:rsidR="002C0FD9" w:rsidRPr="00CA25CF" w:rsidRDefault="002C0FD9" w:rsidP="00CA25CF">
            <w:pPr>
              <w:rPr>
                <w:rFonts w:cs="Arial"/>
                <w:color w:val="FF0000"/>
                <w:sz w:val="21"/>
                <w:szCs w:val="21"/>
              </w:rPr>
            </w:pPr>
          </w:p>
        </w:tc>
        <w:tc>
          <w:tcPr>
            <w:tcW w:w="217" w:type="dxa"/>
          </w:tcPr>
          <w:p w14:paraId="6FEF5C64" w14:textId="77777777" w:rsidR="002C0FD9" w:rsidRPr="00CA25CF" w:rsidRDefault="002C0FD9" w:rsidP="00CA25CF">
            <w:pPr>
              <w:rPr>
                <w:rFonts w:cs="Arial"/>
                <w:color w:val="FF0000"/>
                <w:sz w:val="21"/>
                <w:szCs w:val="21"/>
              </w:rPr>
            </w:pPr>
          </w:p>
        </w:tc>
        <w:tc>
          <w:tcPr>
            <w:tcW w:w="217" w:type="dxa"/>
          </w:tcPr>
          <w:p w14:paraId="4CB850DA" w14:textId="77777777" w:rsidR="002C0FD9" w:rsidRPr="00CA25CF" w:rsidRDefault="002C0FD9" w:rsidP="00CA25CF">
            <w:pPr>
              <w:rPr>
                <w:rFonts w:cs="Arial"/>
                <w:color w:val="FF0000"/>
                <w:sz w:val="21"/>
                <w:szCs w:val="21"/>
              </w:rPr>
            </w:pPr>
          </w:p>
        </w:tc>
        <w:tc>
          <w:tcPr>
            <w:tcW w:w="217" w:type="dxa"/>
          </w:tcPr>
          <w:p w14:paraId="5602A405" w14:textId="77777777" w:rsidR="002C0FD9" w:rsidRPr="00CA25CF" w:rsidRDefault="002C0FD9" w:rsidP="00CA25CF">
            <w:pPr>
              <w:rPr>
                <w:rFonts w:cs="Arial"/>
                <w:color w:val="FF0000"/>
                <w:sz w:val="21"/>
                <w:szCs w:val="21"/>
              </w:rPr>
            </w:pPr>
          </w:p>
        </w:tc>
        <w:tc>
          <w:tcPr>
            <w:tcW w:w="217" w:type="dxa"/>
          </w:tcPr>
          <w:p w14:paraId="3E5B3214" w14:textId="77777777" w:rsidR="002C0FD9" w:rsidRPr="00CA25CF" w:rsidRDefault="002C0FD9" w:rsidP="00CA25CF">
            <w:pPr>
              <w:rPr>
                <w:rFonts w:cs="Arial"/>
                <w:color w:val="FF0000"/>
                <w:sz w:val="21"/>
                <w:szCs w:val="21"/>
              </w:rPr>
            </w:pPr>
          </w:p>
        </w:tc>
        <w:tc>
          <w:tcPr>
            <w:tcW w:w="217" w:type="dxa"/>
          </w:tcPr>
          <w:p w14:paraId="4B9CF013" w14:textId="77777777" w:rsidR="002C0FD9" w:rsidRPr="00CA25CF" w:rsidRDefault="002C0FD9" w:rsidP="00CA25CF">
            <w:pPr>
              <w:rPr>
                <w:rFonts w:cs="Arial"/>
                <w:color w:val="FF0000"/>
                <w:sz w:val="21"/>
                <w:szCs w:val="21"/>
              </w:rPr>
            </w:pPr>
          </w:p>
        </w:tc>
        <w:tc>
          <w:tcPr>
            <w:tcW w:w="217" w:type="dxa"/>
          </w:tcPr>
          <w:p w14:paraId="5EB2D554" w14:textId="77777777" w:rsidR="002C0FD9" w:rsidRPr="00CA25CF" w:rsidRDefault="002C0FD9" w:rsidP="00CA25CF">
            <w:pPr>
              <w:rPr>
                <w:rFonts w:cs="Arial"/>
                <w:color w:val="FF0000"/>
                <w:sz w:val="21"/>
                <w:szCs w:val="21"/>
              </w:rPr>
            </w:pPr>
          </w:p>
        </w:tc>
        <w:tc>
          <w:tcPr>
            <w:tcW w:w="217" w:type="dxa"/>
          </w:tcPr>
          <w:p w14:paraId="0DAEDBD9" w14:textId="77777777" w:rsidR="002C0FD9" w:rsidRPr="00CA25CF" w:rsidRDefault="002C0FD9" w:rsidP="00CA25CF">
            <w:pPr>
              <w:rPr>
                <w:rFonts w:cs="Arial"/>
                <w:color w:val="FF0000"/>
                <w:sz w:val="21"/>
                <w:szCs w:val="21"/>
              </w:rPr>
            </w:pPr>
          </w:p>
        </w:tc>
        <w:tc>
          <w:tcPr>
            <w:tcW w:w="217" w:type="dxa"/>
          </w:tcPr>
          <w:p w14:paraId="0834CFA1" w14:textId="77777777" w:rsidR="002C0FD9" w:rsidRPr="00CA25CF" w:rsidRDefault="002C0FD9" w:rsidP="00CA25CF">
            <w:pPr>
              <w:rPr>
                <w:rFonts w:cs="Arial"/>
                <w:color w:val="FF0000"/>
                <w:sz w:val="21"/>
                <w:szCs w:val="21"/>
              </w:rPr>
            </w:pPr>
          </w:p>
        </w:tc>
        <w:tc>
          <w:tcPr>
            <w:tcW w:w="217" w:type="dxa"/>
          </w:tcPr>
          <w:p w14:paraId="6D0E0503" w14:textId="77777777" w:rsidR="002C0FD9" w:rsidRPr="00CA25CF" w:rsidRDefault="002C0FD9" w:rsidP="00CA25CF">
            <w:pPr>
              <w:rPr>
                <w:rFonts w:cs="Arial"/>
                <w:color w:val="FF0000"/>
                <w:sz w:val="21"/>
                <w:szCs w:val="21"/>
              </w:rPr>
            </w:pPr>
          </w:p>
        </w:tc>
        <w:tc>
          <w:tcPr>
            <w:tcW w:w="217" w:type="dxa"/>
          </w:tcPr>
          <w:p w14:paraId="4DE346C4" w14:textId="77777777" w:rsidR="002C0FD9" w:rsidRPr="00CA25CF" w:rsidRDefault="002C0FD9" w:rsidP="00CA25CF">
            <w:pPr>
              <w:rPr>
                <w:rFonts w:cs="Arial"/>
                <w:color w:val="FF0000"/>
                <w:sz w:val="21"/>
                <w:szCs w:val="21"/>
              </w:rPr>
            </w:pPr>
          </w:p>
        </w:tc>
        <w:tc>
          <w:tcPr>
            <w:tcW w:w="217" w:type="dxa"/>
          </w:tcPr>
          <w:p w14:paraId="231E9EA7" w14:textId="77777777" w:rsidR="002C0FD9" w:rsidRPr="00CA25CF" w:rsidRDefault="002C0FD9" w:rsidP="00CA25CF">
            <w:pPr>
              <w:rPr>
                <w:rFonts w:cs="Arial"/>
                <w:color w:val="FF0000"/>
                <w:sz w:val="21"/>
                <w:szCs w:val="21"/>
              </w:rPr>
            </w:pPr>
          </w:p>
        </w:tc>
        <w:tc>
          <w:tcPr>
            <w:tcW w:w="217" w:type="dxa"/>
          </w:tcPr>
          <w:p w14:paraId="68B93126" w14:textId="77777777" w:rsidR="002C0FD9" w:rsidRPr="00CA25CF" w:rsidRDefault="002C0FD9" w:rsidP="00CA25CF">
            <w:pPr>
              <w:rPr>
                <w:rFonts w:cs="Arial"/>
                <w:color w:val="FF0000"/>
                <w:sz w:val="21"/>
                <w:szCs w:val="21"/>
              </w:rPr>
            </w:pPr>
          </w:p>
        </w:tc>
        <w:tc>
          <w:tcPr>
            <w:tcW w:w="217" w:type="dxa"/>
          </w:tcPr>
          <w:p w14:paraId="239F7FC2" w14:textId="77777777" w:rsidR="002C0FD9" w:rsidRPr="00CA25CF" w:rsidRDefault="002C0FD9" w:rsidP="00CA25CF">
            <w:pPr>
              <w:rPr>
                <w:rFonts w:cs="Arial"/>
                <w:color w:val="FF0000"/>
                <w:sz w:val="21"/>
                <w:szCs w:val="21"/>
              </w:rPr>
            </w:pPr>
          </w:p>
        </w:tc>
        <w:tc>
          <w:tcPr>
            <w:tcW w:w="217" w:type="dxa"/>
          </w:tcPr>
          <w:p w14:paraId="38F5001B" w14:textId="77777777" w:rsidR="002C0FD9" w:rsidRPr="00CA25CF" w:rsidRDefault="002C0FD9" w:rsidP="00CA25CF">
            <w:pPr>
              <w:rPr>
                <w:rFonts w:cs="Arial"/>
                <w:color w:val="FF0000"/>
                <w:sz w:val="21"/>
                <w:szCs w:val="21"/>
              </w:rPr>
            </w:pPr>
          </w:p>
        </w:tc>
        <w:tc>
          <w:tcPr>
            <w:tcW w:w="217" w:type="dxa"/>
          </w:tcPr>
          <w:p w14:paraId="2A11E25A" w14:textId="77777777" w:rsidR="002C0FD9" w:rsidRPr="00CA25CF" w:rsidRDefault="002C0FD9" w:rsidP="00CA25CF">
            <w:pPr>
              <w:rPr>
                <w:rFonts w:cs="Arial"/>
                <w:color w:val="FF0000"/>
                <w:sz w:val="21"/>
                <w:szCs w:val="21"/>
              </w:rPr>
            </w:pPr>
          </w:p>
        </w:tc>
        <w:tc>
          <w:tcPr>
            <w:tcW w:w="217" w:type="dxa"/>
          </w:tcPr>
          <w:p w14:paraId="0B2568AC" w14:textId="77777777" w:rsidR="002C0FD9" w:rsidRPr="00CA25CF" w:rsidRDefault="002C0FD9" w:rsidP="00CA25CF">
            <w:pPr>
              <w:rPr>
                <w:rFonts w:cs="Arial"/>
                <w:color w:val="FF0000"/>
                <w:sz w:val="21"/>
                <w:szCs w:val="21"/>
              </w:rPr>
            </w:pPr>
          </w:p>
        </w:tc>
        <w:tc>
          <w:tcPr>
            <w:tcW w:w="217" w:type="dxa"/>
          </w:tcPr>
          <w:p w14:paraId="352D3706" w14:textId="77777777" w:rsidR="002C0FD9" w:rsidRPr="00CA25CF" w:rsidRDefault="002C0FD9" w:rsidP="00CA25CF">
            <w:pPr>
              <w:rPr>
                <w:rFonts w:cs="Arial"/>
                <w:color w:val="FF0000"/>
                <w:sz w:val="21"/>
                <w:szCs w:val="21"/>
              </w:rPr>
            </w:pPr>
          </w:p>
        </w:tc>
        <w:tc>
          <w:tcPr>
            <w:tcW w:w="217" w:type="dxa"/>
          </w:tcPr>
          <w:p w14:paraId="22A49EEC" w14:textId="77777777" w:rsidR="002C0FD9" w:rsidRPr="00CA25CF" w:rsidRDefault="002C0FD9" w:rsidP="00CA25CF">
            <w:pPr>
              <w:rPr>
                <w:rFonts w:cs="Arial"/>
                <w:color w:val="FF0000"/>
                <w:sz w:val="21"/>
                <w:szCs w:val="21"/>
              </w:rPr>
            </w:pPr>
          </w:p>
        </w:tc>
        <w:tc>
          <w:tcPr>
            <w:tcW w:w="217" w:type="dxa"/>
          </w:tcPr>
          <w:p w14:paraId="207190FD" w14:textId="77777777" w:rsidR="002C0FD9" w:rsidRPr="00CA25CF" w:rsidRDefault="002C0FD9" w:rsidP="00CA25CF">
            <w:pPr>
              <w:rPr>
                <w:rFonts w:cs="Arial"/>
                <w:color w:val="FF0000"/>
                <w:sz w:val="21"/>
                <w:szCs w:val="21"/>
              </w:rPr>
            </w:pPr>
          </w:p>
        </w:tc>
        <w:tc>
          <w:tcPr>
            <w:tcW w:w="217" w:type="dxa"/>
          </w:tcPr>
          <w:p w14:paraId="3FD3F7CD" w14:textId="77777777" w:rsidR="002C0FD9" w:rsidRPr="00CA25CF" w:rsidRDefault="002C0FD9" w:rsidP="00CA25CF">
            <w:pPr>
              <w:rPr>
                <w:rFonts w:cs="Arial"/>
                <w:color w:val="FF0000"/>
                <w:sz w:val="21"/>
                <w:szCs w:val="21"/>
              </w:rPr>
            </w:pPr>
          </w:p>
        </w:tc>
        <w:tc>
          <w:tcPr>
            <w:tcW w:w="217" w:type="dxa"/>
          </w:tcPr>
          <w:p w14:paraId="41D64EA9" w14:textId="77777777" w:rsidR="002C0FD9" w:rsidRPr="00CA25CF" w:rsidRDefault="002C0FD9" w:rsidP="00CA25CF">
            <w:pPr>
              <w:rPr>
                <w:rFonts w:cs="Arial"/>
                <w:color w:val="FF0000"/>
                <w:sz w:val="21"/>
                <w:szCs w:val="21"/>
              </w:rPr>
            </w:pPr>
          </w:p>
        </w:tc>
        <w:tc>
          <w:tcPr>
            <w:tcW w:w="217" w:type="dxa"/>
          </w:tcPr>
          <w:p w14:paraId="55948568" w14:textId="77777777" w:rsidR="002C0FD9" w:rsidRPr="00CA25CF" w:rsidRDefault="002C0FD9" w:rsidP="00CA25CF">
            <w:pPr>
              <w:rPr>
                <w:rFonts w:cs="Arial"/>
                <w:color w:val="FF0000"/>
                <w:sz w:val="21"/>
                <w:szCs w:val="21"/>
              </w:rPr>
            </w:pPr>
          </w:p>
        </w:tc>
        <w:tc>
          <w:tcPr>
            <w:tcW w:w="217" w:type="dxa"/>
          </w:tcPr>
          <w:p w14:paraId="3DCEC2B8" w14:textId="77777777" w:rsidR="002C0FD9" w:rsidRPr="00CA25CF" w:rsidRDefault="002C0FD9" w:rsidP="00CA25CF">
            <w:pPr>
              <w:rPr>
                <w:rFonts w:cs="Arial"/>
                <w:color w:val="FF0000"/>
                <w:sz w:val="21"/>
                <w:szCs w:val="21"/>
              </w:rPr>
            </w:pPr>
          </w:p>
        </w:tc>
        <w:tc>
          <w:tcPr>
            <w:tcW w:w="217" w:type="dxa"/>
          </w:tcPr>
          <w:p w14:paraId="4010E1D0" w14:textId="77777777" w:rsidR="002C0FD9" w:rsidRPr="00CA25CF" w:rsidRDefault="002C0FD9" w:rsidP="00CA25CF">
            <w:pPr>
              <w:rPr>
                <w:rFonts w:cs="Arial"/>
                <w:color w:val="FF0000"/>
                <w:sz w:val="21"/>
                <w:szCs w:val="21"/>
              </w:rPr>
            </w:pPr>
          </w:p>
        </w:tc>
        <w:tc>
          <w:tcPr>
            <w:tcW w:w="217" w:type="dxa"/>
          </w:tcPr>
          <w:p w14:paraId="62B3C1A7" w14:textId="77777777" w:rsidR="002C0FD9" w:rsidRPr="00CA25CF" w:rsidRDefault="002C0FD9" w:rsidP="00CA25CF">
            <w:pPr>
              <w:rPr>
                <w:rFonts w:cs="Arial"/>
                <w:color w:val="FF0000"/>
                <w:sz w:val="21"/>
                <w:szCs w:val="21"/>
              </w:rPr>
            </w:pPr>
          </w:p>
        </w:tc>
        <w:tc>
          <w:tcPr>
            <w:tcW w:w="217" w:type="dxa"/>
          </w:tcPr>
          <w:p w14:paraId="2518FC63" w14:textId="77777777" w:rsidR="002C0FD9" w:rsidRPr="00CA25CF" w:rsidRDefault="002C0FD9" w:rsidP="00CA25CF">
            <w:pPr>
              <w:rPr>
                <w:rFonts w:cs="Arial"/>
                <w:color w:val="FF0000"/>
                <w:sz w:val="21"/>
                <w:szCs w:val="21"/>
              </w:rPr>
            </w:pPr>
          </w:p>
        </w:tc>
        <w:tc>
          <w:tcPr>
            <w:tcW w:w="217" w:type="dxa"/>
          </w:tcPr>
          <w:p w14:paraId="4A9717D7" w14:textId="77777777" w:rsidR="002C0FD9" w:rsidRPr="00CA25CF" w:rsidRDefault="002C0FD9" w:rsidP="00CA25CF">
            <w:pPr>
              <w:rPr>
                <w:rFonts w:cs="Arial"/>
                <w:color w:val="FF0000"/>
                <w:sz w:val="21"/>
                <w:szCs w:val="21"/>
              </w:rPr>
            </w:pPr>
          </w:p>
        </w:tc>
        <w:tc>
          <w:tcPr>
            <w:tcW w:w="217" w:type="dxa"/>
          </w:tcPr>
          <w:p w14:paraId="217A5D96" w14:textId="77777777" w:rsidR="002C0FD9" w:rsidRPr="00CA25CF" w:rsidRDefault="002C0FD9" w:rsidP="00CA25CF">
            <w:pPr>
              <w:rPr>
                <w:rFonts w:cs="Arial"/>
                <w:color w:val="FF0000"/>
                <w:sz w:val="21"/>
                <w:szCs w:val="21"/>
              </w:rPr>
            </w:pPr>
          </w:p>
        </w:tc>
      </w:tr>
      <w:tr w:rsidR="002C0FD9" w:rsidRPr="00A16219" w14:paraId="3FCEBEA0" w14:textId="77777777" w:rsidTr="002C0FD9">
        <w:trPr>
          <w:trHeight w:val="635"/>
        </w:trPr>
        <w:tc>
          <w:tcPr>
            <w:tcW w:w="515" w:type="dxa"/>
          </w:tcPr>
          <w:p w14:paraId="358DF54C" w14:textId="77777777" w:rsidR="002C0FD9" w:rsidRPr="00CA25CF" w:rsidRDefault="002C0FD9" w:rsidP="00CA25CF">
            <w:pPr>
              <w:rPr>
                <w:rFonts w:cs="Arial"/>
                <w:color w:val="FF0000"/>
                <w:sz w:val="21"/>
                <w:szCs w:val="21"/>
              </w:rPr>
            </w:pPr>
          </w:p>
        </w:tc>
        <w:tc>
          <w:tcPr>
            <w:tcW w:w="217" w:type="dxa"/>
          </w:tcPr>
          <w:p w14:paraId="220832C3" w14:textId="77777777" w:rsidR="002C0FD9" w:rsidRPr="00CA25CF" w:rsidRDefault="002C0FD9" w:rsidP="00CA25CF">
            <w:pPr>
              <w:rPr>
                <w:rFonts w:cs="Arial"/>
                <w:color w:val="FF0000"/>
                <w:sz w:val="21"/>
                <w:szCs w:val="21"/>
              </w:rPr>
            </w:pPr>
          </w:p>
        </w:tc>
        <w:tc>
          <w:tcPr>
            <w:tcW w:w="217" w:type="dxa"/>
          </w:tcPr>
          <w:p w14:paraId="2F9027A0" w14:textId="77777777" w:rsidR="002C0FD9" w:rsidRPr="00CA25CF" w:rsidRDefault="002C0FD9" w:rsidP="00CA25CF">
            <w:pPr>
              <w:rPr>
                <w:rFonts w:cs="Arial"/>
                <w:color w:val="FF0000"/>
                <w:sz w:val="21"/>
                <w:szCs w:val="21"/>
              </w:rPr>
            </w:pPr>
          </w:p>
        </w:tc>
        <w:tc>
          <w:tcPr>
            <w:tcW w:w="217" w:type="dxa"/>
          </w:tcPr>
          <w:p w14:paraId="484CF539" w14:textId="77777777" w:rsidR="002C0FD9" w:rsidRPr="00CA25CF" w:rsidRDefault="002C0FD9" w:rsidP="00CA25CF">
            <w:pPr>
              <w:rPr>
                <w:rFonts w:cs="Arial"/>
                <w:color w:val="FF0000"/>
                <w:sz w:val="21"/>
                <w:szCs w:val="21"/>
              </w:rPr>
            </w:pPr>
          </w:p>
        </w:tc>
        <w:tc>
          <w:tcPr>
            <w:tcW w:w="217" w:type="dxa"/>
          </w:tcPr>
          <w:p w14:paraId="4B686C37" w14:textId="77777777" w:rsidR="002C0FD9" w:rsidRPr="00CA25CF" w:rsidRDefault="002C0FD9" w:rsidP="00CA25CF">
            <w:pPr>
              <w:rPr>
                <w:rFonts w:cs="Arial"/>
                <w:color w:val="FF0000"/>
                <w:sz w:val="21"/>
                <w:szCs w:val="21"/>
              </w:rPr>
            </w:pPr>
          </w:p>
        </w:tc>
        <w:tc>
          <w:tcPr>
            <w:tcW w:w="217" w:type="dxa"/>
          </w:tcPr>
          <w:p w14:paraId="000C5207" w14:textId="77777777" w:rsidR="002C0FD9" w:rsidRPr="00CA25CF" w:rsidRDefault="002C0FD9" w:rsidP="00CA25CF">
            <w:pPr>
              <w:rPr>
                <w:rFonts w:cs="Arial"/>
                <w:color w:val="FF0000"/>
                <w:sz w:val="21"/>
                <w:szCs w:val="21"/>
              </w:rPr>
            </w:pPr>
          </w:p>
        </w:tc>
        <w:tc>
          <w:tcPr>
            <w:tcW w:w="217" w:type="dxa"/>
          </w:tcPr>
          <w:p w14:paraId="73B37410" w14:textId="77777777" w:rsidR="002C0FD9" w:rsidRPr="00CA25CF" w:rsidRDefault="002C0FD9" w:rsidP="00CA25CF">
            <w:pPr>
              <w:rPr>
                <w:rFonts w:cs="Arial"/>
                <w:color w:val="FF0000"/>
                <w:sz w:val="21"/>
                <w:szCs w:val="21"/>
              </w:rPr>
            </w:pPr>
          </w:p>
        </w:tc>
        <w:tc>
          <w:tcPr>
            <w:tcW w:w="217" w:type="dxa"/>
          </w:tcPr>
          <w:p w14:paraId="46787962" w14:textId="77777777" w:rsidR="002C0FD9" w:rsidRPr="00CA25CF" w:rsidRDefault="002C0FD9" w:rsidP="00CA25CF">
            <w:pPr>
              <w:rPr>
                <w:rFonts w:cs="Arial"/>
                <w:color w:val="FF0000"/>
                <w:sz w:val="21"/>
                <w:szCs w:val="21"/>
              </w:rPr>
            </w:pPr>
          </w:p>
        </w:tc>
        <w:tc>
          <w:tcPr>
            <w:tcW w:w="217" w:type="dxa"/>
          </w:tcPr>
          <w:p w14:paraId="16D5778D" w14:textId="77777777" w:rsidR="002C0FD9" w:rsidRPr="00CA25CF" w:rsidRDefault="002C0FD9" w:rsidP="00CA25CF">
            <w:pPr>
              <w:rPr>
                <w:rFonts w:cs="Arial"/>
                <w:color w:val="FF0000"/>
                <w:sz w:val="21"/>
                <w:szCs w:val="21"/>
              </w:rPr>
            </w:pPr>
          </w:p>
        </w:tc>
        <w:tc>
          <w:tcPr>
            <w:tcW w:w="217" w:type="dxa"/>
          </w:tcPr>
          <w:p w14:paraId="165812A0" w14:textId="77777777" w:rsidR="002C0FD9" w:rsidRPr="00CA25CF" w:rsidRDefault="002C0FD9" w:rsidP="00CA25CF">
            <w:pPr>
              <w:rPr>
                <w:rFonts w:cs="Arial"/>
                <w:color w:val="FF0000"/>
                <w:sz w:val="21"/>
                <w:szCs w:val="21"/>
              </w:rPr>
            </w:pPr>
          </w:p>
        </w:tc>
        <w:tc>
          <w:tcPr>
            <w:tcW w:w="217" w:type="dxa"/>
          </w:tcPr>
          <w:p w14:paraId="4BCF32A8" w14:textId="77777777" w:rsidR="002C0FD9" w:rsidRPr="00CA25CF" w:rsidRDefault="002C0FD9" w:rsidP="00CA25CF">
            <w:pPr>
              <w:rPr>
                <w:rFonts w:cs="Arial"/>
                <w:color w:val="FF0000"/>
                <w:sz w:val="21"/>
                <w:szCs w:val="21"/>
              </w:rPr>
            </w:pPr>
          </w:p>
        </w:tc>
        <w:tc>
          <w:tcPr>
            <w:tcW w:w="217" w:type="dxa"/>
          </w:tcPr>
          <w:p w14:paraId="66D72927" w14:textId="77777777" w:rsidR="002C0FD9" w:rsidRPr="00CA25CF" w:rsidRDefault="002C0FD9" w:rsidP="00CA25CF">
            <w:pPr>
              <w:rPr>
                <w:rFonts w:cs="Arial"/>
                <w:color w:val="FF0000"/>
                <w:sz w:val="21"/>
                <w:szCs w:val="21"/>
              </w:rPr>
            </w:pPr>
          </w:p>
        </w:tc>
        <w:tc>
          <w:tcPr>
            <w:tcW w:w="217" w:type="dxa"/>
          </w:tcPr>
          <w:p w14:paraId="67529A01" w14:textId="77777777" w:rsidR="002C0FD9" w:rsidRPr="00CA25CF" w:rsidRDefault="002C0FD9" w:rsidP="00CA25CF">
            <w:pPr>
              <w:rPr>
                <w:rFonts w:cs="Arial"/>
                <w:color w:val="FF0000"/>
                <w:sz w:val="21"/>
                <w:szCs w:val="21"/>
              </w:rPr>
            </w:pPr>
          </w:p>
        </w:tc>
        <w:tc>
          <w:tcPr>
            <w:tcW w:w="217" w:type="dxa"/>
          </w:tcPr>
          <w:p w14:paraId="66EAF439" w14:textId="77777777" w:rsidR="002C0FD9" w:rsidRPr="00CA25CF" w:rsidRDefault="002C0FD9" w:rsidP="00CA25CF">
            <w:pPr>
              <w:rPr>
                <w:rFonts w:cs="Arial"/>
                <w:color w:val="FF0000"/>
                <w:sz w:val="21"/>
                <w:szCs w:val="21"/>
              </w:rPr>
            </w:pPr>
          </w:p>
        </w:tc>
        <w:tc>
          <w:tcPr>
            <w:tcW w:w="217" w:type="dxa"/>
          </w:tcPr>
          <w:p w14:paraId="5EA82312" w14:textId="77777777" w:rsidR="002C0FD9" w:rsidRPr="00CA25CF" w:rsidRDefault="002C0FD9" w:rsidP="00CA25CF">
            <w:pPr>
              <w:rPr>
                <w:rFonts w:cs="Arial"/>
                <w:color w:val="FF0000"/>
                <w:sz w:val="21"/>
                <w:szCs w:val="21"/>
              </w:rPr>
            </w:pPr>
          </w:p>
        </w:tc>
        <w:tc>
          <w:tcPr>
            <w:tcW w:w="217" w:type="dxa"/>
          </w:tcPr>
          <w:p w14:paraId="735646BF" w14:textId="77777777" w:rsidR="002C0FD9" w:rsidRPr="00CA25CF" w:rsidRDefault="002C0FD9" w:rsidP="00CA25CF">
            <w:pPr>
              <w:rPr>
                <w:rFonts w:cs="Arial"/>
                <w:color w:val="FF0000"/>
                <w:sz w:val="21"/>
                <w:szCs w:val="21"/>
              </w:rPr>
            </w:pPr>
          </w:p>
        </w:tc>
        <w:tc>
          <w:tcPr>
            <w:tcW w:w="217" w:type="dxa"/>
          </w:tcPr>
          <w:p w14:paraId="4FE50C17" w14:textId="77777777" w:rsidR="002C0FD9" w:rsidRPr="00CA25CF" w:rsidRDefault="002C0FD9" w:rsidP="00CA25CF">
            <w:pPr>
              <w:rPr>
                <w:rFonts w:cs="Arial"/>
                <w:color w:val="FF0000"/>
                <w:sz w:val="21"/>
                <w:szCs w:val="21"/>
              </w:rPr>
            </w:pPr>
          </w:p>
        </w:tc>
        <w:tc>
          <w:tcPr>
            <w:tcW w:w="217" w:type="dxa"/>
          </w:tcPr>
          <w:p w14:paraId="210DAE31" w14:textId="77777777" w:rsidR="002C0FD9" w:rsidRPr="00CA25CF" w:rsidRDefault="002C0FD9" w:rsidP="00CA25CF">
            <w:pPr>
              <w:rPr>
                <w:rFonts w:cs="Arial"/>
                <w:color w:val="FF0000"/>
                <w:sz w:val="21"/>
                <w:szCs w:val="21"/>
              </w:rPr>
            </w:pPr>
          </w:p>
        </w:tc>
        <w:tc>
          <w:tcPr>
            <w:tcW w:w="217" w:type="dxa"/>
          </w:tcPr>
          <w:p w14:paraId="24E04D7E" w14:textId="77777777" w:rsidR="002C0FD9" w:rsidRPr="00CA25CF" w:rsidRDefault="002C0FD9" w:rsidP="00CA25CF">
            <w:pPr>
              <w:rPr>
                <w:rFonts w:cs="Arial"/>
                <w:color w:val="FF0000"/>
                <w:sz w:val="21"/>
                <w:szCs w:val="21"/>
              </w:rPr>
            </w:pPr>
          </w:p>
        </w:tc>
        <w:tc>
          <w:tcPr>
            <w:tcW w:w="217" w:type="dxa"/>
          </w:tcPr>
          <w:p w14:paraId="4C099D62" w14:textId="77777777" w:rsidR="002C0FD9" w:rsidRPr="00CA25CF" w:rsidRDefault="002C0FD9" w:rsidP="00CA25CF">
            <w:pPr>
              <w:rPr>
                <w:rFonts w:cs="Arial"/>
                <w:color w:val="FF0000"/>
                <w:sz w:val="21"/>
                <w:szCs w:val="21"/>
              </w:rPr>
            </w:pPr>
          </w:p>
        </w:tc>
        <w:tc>
          <w:tcPr>
            <w:tcW w:w="217" w:type="dxa"/>
          </w:tcPr>
          <w:p w14:paraId="27E7A4CD" w14:textId="77777777" w:rsidR="002C0FD9" w:rsidRPr="00CA25CF" w:rsidRDefault="002C0FD9" w:rsidP="00CA25CF">
            <w:pPr>
              <w:rPr>
                <w:rFonts w:cs="Arial"/>
                <w:color w:val="FF0000"/>
                <w:sz w:val="21"/>
                <w:szCs w:val="21"/>
              </w:rPr>
            </w:pPr>
          </w:p>
        </w:tc>
        <w:tc>
          <w:tcPr>
            <w:tcW w:w="217" w:type="dxa"/>
          </w:tcPr>
          <w:p w14:paraId="7CAA0B09" w14:textId="77777777" w:rsidR="002C0FD9" w:rsidRPr="00CA25CF" w:rsidRDefault="002C0FD9" w:rsidP="00CA25CF">
            <w:pPr>
              <w:rPr>
                <w:rFonts w:cs="Arial"/>
                <w:color w:val="FF0000"/>
                <w:sz w:val="21"/>
                <w:szCs w:val="21"/>
              </w:rPr>
            </w:pPr>
          </w:p>
        </w:tc>
        <w:tc>
          <w:tcPr>
            <w:tcW w:w="217" w:type="dxa"/>
          </w:tcPr>
          <w:p w14:paraId="22764BD0" w14:textId="77777777" w:rsidR="002C0FD9" w:rsidRPr="00CA25CF" w:rsidRDefault="002C0FD9" w:rsidP="00CA25CF">
            <w:pPr>
              <w:rPr>
                <w:rFonts w:cs="Arial"/>
                <w:color w:val="FF0000"/>
                <w:sz w:val="21"/>
                <w:szCs w:val="21"/>
              </w:rPr>
            </w:pPr>
          </w:p>
        </w:tc>
        <w:tc>
          <w:tcPr>
            <w:tcW w:w="217" w:type="dxa"/>
          </w:tcPr>
          <w:p w14:paraId="2F47217C" w14:textId="77777777" w:rsidR="002C0FD9" w:rsidRPr="00CA25CF" w:rsidRDefault="002C0FD9" w:rsidP="00CA25CF">
            <w:pPr>
              <w:rPr>
                <w:rFonts w:cs="Arial"/>
                <w:color w:val="FF0000"/>
                <w:sz w:val="21"/>
                <w:szCs w:val="21"/>
              </w:rPr>
            </w:pPr>
          </w:p>
        </w:tc>
        <w:tc>
          <w:tcPr>
            <w:tcW w:w="217" w:type="dxa"/>
          </w:tcPr>
          <w:p w14:paraId="56DC715B" w14:textId="77777777" w:rsidR="002C0FD9" w:rsidRPr="00CA25CF" w:rsidRDefault="002C0FD9" w:rsidP="00CA25CF">
            <w:pPr>
              <w:rPr>
                <w:rFonts w:cs="Arial"/>
                <w:color w:val="FF0000"/>
                <w:sz w:val="21"/>
                <w:szCs w:val="21"/>
              </w:rPr>
            </w:pPr>
          </w:p>
        </w:tc>
        <w:tc>
          <w:tcPr>
            <w:tcW w:w="217" w:type="dxa"/>
          </w:tcPr>
          <w:p w14:paraId="61F58BB2" w14:textId="77777777" w:rsidR="002C0FD9" w:rsidRPr="00CA25CF" w:rsidRDefault="002C0FD9" w:rsidP="00CA25CF">
            <w:pPr>
              <w:rPr>
                <w:rFonts w:cs="Arial"/>
                <w:color w:val="FF0000"/>
                <w:sz w:val="21"/>
                <w:szCs w:val="21"/>
              </w:rPr>
            </w:pPr>
          </w:p>
        </w:tc>
        <w:tc>
          <w:tcPr>
            <w:tcW w:w="217" w:type="dxa"/>
          </w:tcPr>
          <w:p w14:paraId="23FD0B20" w14:textId="77777777" w:rsidR="002C0FD9" w:rsidRPr="00CA25CF" w:rsidRDefault="002C0FD9" w:rsidP="00CA25CF">
            <w:pPr>
              <w:rPr>
                <w:rFonts w:cs="Arial"/>
                <w:color w:val="FF0000"/>
                <w:sz w:val="21"/>
                <w:szCs w:val="21"/>
              </w:rPr>
            </w:pPr>
          </w:p>
        </w:tc>
        <w:tc>
          <w:tcPr>
            <w:tcW w:w="217" w:type="dxa"/>
          </w:tcPr>
          <w:p w14:paraId="3DA08DD6" w14:textId="77777777" w:rsidR="002C0FD9" w:rsidRPr="00CA25CF" w:rsidRDefault="002C0FD9" w:rsidP="00CA25CF">
            <w:pPr>
              <w:rPr>
                <w:rFonts w:cs="Arial"/>
                <w:color w:val="FF0000"/>
                <w:sz w:val="21"/>
                <w:szCs w:val="21"/>
              </w:rPr>
            </w:pPr>
          </w:p>
        </w:tc>
        <w:tc>
          <w:tcPr>
            <w:tcW w:w="217" w:type="dxa"/>
          </w:tcPr>
          <w:p w14:paraId="536E21F5" w14:textId="77777777" w:rsidR="002C0FD9" w:rsidRPr="00CA25CF" w:rsidRDefault="002C0FD9" w:rsidP="00CA25CF">
            <w:pPr>
              <w:rPr>
                <w:rFonts w:cs="Arial"/>
                <w:color w:val="FF0000"/>
                <w:sz w:val="21"/>
                <w:szCs w:val="21"/>
              </w:rPr>
            </w:pPr>
          </w:p>
        </w:tc>
        <w:tc>
          <w:tcPr>
            <w:tcW w:w="217" w:type="dxa"/>
          </w:tcPr>
          <w:p w14:paraId="43199E54" w14:textId="77777777" w:rsidR="002C0FD9" w:rsidRPr="00CA25CF" w:rsidRDefault="002C0FD9" w:rsidP="00CA25CF">
            <w:pPr>
              <w:rPr>
                <w:rFonts w:cs="Arial"/>
                <w:color w:val="FF0000"/>
                <w:sz w:val="21"/>
                <w:szCs w:val="21"/>
              </w:rPr>
            </w:pPr>
          </w:p>
        </w:tc>
        <w:tc>
          <w:tcPr>
            <w:tcW w:w="217" w:type="dxa"/>
          </w:tcPr>
          <w:p w14:paraId="48DBCCB0" w14:textId="77777777" w:rsidR="002C0FD9" w:rsidRPr="00CA25CF" w:rsidRDefault="002C0FD9" w:rsidP="00CA25CF">
            <w:pPr>
              <w:rPr>
                <w:rFonts w:cs="Arial"/>
                <w:color w:val="FF0000"/>
                <w:sz w:val="21"/>
                <w:szCs w:val="21"/>
              </w:rPr>
            </w:pPr>
          </w:p>
        </w:tc>
        <w:tc>
          <w:tcPr>
            <w:tcW w:w="217" w:type="dxa"/>
          </w:tcPr>
          <w:p w14:paraId="3348636A" w14:textId="77777777" w:rsidR="002C0FD9" w:rsidRPr="00CA25CF" w:rsidRDefault="002C0FD9" w:rsidP="00CA25CF">
            <w:pPr>
              <w:rPr>
                <w:rFonts w:cs="Arial"/>
                <w:color w:val="FF0000"/>
                <w:sz w:val="21"/>
                <w:szCs w:val="21"/>
              </w:rPr>
            </w:pPr>
          </w:p>
        </w:tc>
        <w:tc>
          <w:tcPr>
            <w:tcW w:w="217" w:type="dxa"/>
          </w:tcPr>
          <w:p w14:paraId="7B1AAD6D" w14:textId="77777777" w:rsidR="002C0FD9" w:rsidRPr="00CA25CF" w:rsidRDefault="002C0FD9" w:rsidP="00CA25CF">
            <w:pPr>
              <w:rPr>
                <w:rFonts w:cs="Arial"/>
                <w:color w:val="FF0000"/>
                <w:sz w:val="21"/>
                <w:szCs w:val="21"/>
              </w:rPr>
            </w:pPr>
          </w:p>
        </w:tc>
        <w:tc>
          <w:tcPr>
            <w:tcW w:w="217" w:type="dxa"/>
          </w:tcPr>
          <w:p w14:paraId="497C1938" w14:textId="77777777" w:rsidR="002C0FD9" w:rsidRPr="00CA25CF" w:rsidRDefault="002C0FD9" w:rsidP="00CA25CF">
            <w:pPr>
              <w:rPr>
                <w:rFonts w:cs="Arial"/>
                <w:color w:val="FF0000"/>
                <w:sz w:val="21"/>
                <w:szCs w:val="21"/>
              </w:rPr>
            </w:pPr>
          </w:p>
        </w:tc>
        <w:tc>
          <w:tcPr>
            <w:tcW w:w="217" w:type="dxa"/>
          </w:tcPr>
          <w:p w14:paraId="38E06577" w14:textId="77777777" w:rsidR="002C0FD9" w:rsidRPr="00CA25CF" w:rsidRDefault="002C0FD9" w:rsidP="00CA25CF">
            <w:pPr>
              <w:rPr>
                <w:rFonts w:cs="Arial"/>
                <w:color w:val="FF0000"/>
                <w:sz w:val="21"/>
                <w:szCs w:val="21"/>
              </w:rPr>
            </w:pPr>
          </w:p>
        </w:tc>
        <w:tc>
          <w:tcPr>
            <w:tcW w:w="217" w:type="dxa"/>
          </w:tcPr>
          <w:p w14:paraId="13A16432" w14:textId="77777777" w:rsidR="002C0FD9" w:rsidRPr="00CA25CF" w:rsidRDefault="002C0FD9" w:rsidP="00CA25CF">
            <w:pPr>
              <w:rPr>
                <w:rFonts w:cs="Arial"/>
                <w:color w:val="FF0000"/>
                <w:sz w:val="21"/>
                <w:szCs w:val="21"/>
              </w:rPr>
            </w:pPr>
          </w:p>
        </w:tc>
        <w:tc>
          <w:tcPr>
            <w:tcW w:w="217" w:type="dxa"/>
          </w:tcPr>
          <w:p w14:paraId="318D7D19" w14:textId="77777777" w:rsidR="002C0FD9" w:rsidRPr="00CA25CF" w:rsidRDefault="002C0FD9" w:rsidP="00CA25CF">
            <w:pPr>
              <w:rPr>
                <w:rFonts w:cs="Arial"/>
                <w:color w:val="FF0000"/>
                <w:sz w:val="21"/>
                <w:szCs w:val="21"/>
              </w:rPr>
            </w:pPr>
          </w:p>
        </w:tc>
        <w:tc>
          <w:tcPr>
            <w:tcW w:w="217" w:type="dxa"/>
          </w:tcPr>
          <w:p w14:paraId="1C0504FF" w14:textId="77777777" w:rsidR="002C0FD9" w:rsidRPr="00CA25CF" w:rsidRDefault="002C0FD9" w:rsidP="00CA25CF">
            <w:pPr>
              <w:rPr>
                <w:rFonts w:cs="Arial"/>
                <w:color w:val="FF0000"/>
                <w:sz w:val="21"/>
                <w:szCs w:val="21"/>
              </w:rPr>
            </w:pPr>
          </w:p>
        </w:tc>
        <w:tc>
          <w:tcPr>
            <w:tcW w:w="217" w:type="dxa"/>
          </w:tcPr>
          <w:p w14:paraId="079D671C" w14:textId="77777777" w:rsidR="002C0FD9" w:rsidRPr="00CA25CF" w:rsidRDefault="002C0FD9" w:rsidP="00CA25CF">
            <w:pPr>
              <w:rPr>
                <w:rFonts w:cs="Arial"/>
                <w:color w:val="FF0000"/>
                <w:sz w:val="21"/>
                <w:szCs w:val="21"/>
              </w:rPr>
            </w:pPr>
          </w:p>
        </w:tc>
        <w:tc>
          <w:tcPr>
            <w:tcW w:w="217" w:type="dxa"/>
          </w:tcPr>
          <w:p w14:paraId="3C8940B0" w14:textId="77777777" w:rsidR="002C0FD9" w:rsidRPr="00CA25CF" w:rsidRDefault="002C0FD9" w:rsidP="00CA25CF">
            <w:pPr>
              <w:rPr>
                <w:rFonts w:cs="Arial"/>
                <w:color w:val="FF0000"/>
                <w:sz w:val="21"/>
                <w:szCs w:val="21"/>
              </w:rPr>
            </w:pPr>
          </w:p>
        </w:tc>
        <w:tc>
          <w:tcPr>
            <w:tcW w:w="217" w:type="dxa"/>
          </w:tcPr>
          <w:p w14:paraId="78837D85" w14:textId="77777777" w:rsidR="002C0FD9" w:rsidRPr="00CA25CF" w:rsidRDefault="002C0FD9" w:rsidP="00CA25CF">
            <w:pPr>
              <w:rPr>
                <w:rFonts w:cs="Arial"/>
                <w:color w:val="FF0000"/>
                <w:sz w:val="21"/>
                <w:szCs w:val="21"/>
              </w:rPr>
            </w:pPr>
          </w:p>
        </w:tc>
        <w:tc>
          <w:tcPr>
            <w:tcW w:w="217" w:type="dxa"/>
          </w:tcPr>
          <w:p w14:paraId="6773527F" w14:textId="77777777" w:rsidR="002C0FD9" w:rsidRPr="00CA25CF" w:rsidRDefault="002C0FD9" w:rsidP="00CA25CF">
            <w:pPr>
              <w:rPr>
                <w:rFonts w:cs="Arial"/>
                <w:color w:val="FF0000"/>
                <w:sz w:val="21"/>
                <w:szCs w:val="21"/>
              </w:rPr>
            </w:pPr>
          </w:p>
        </w:tc>
        <w:tc>
          <w:tcPr>
            <w:tcW w:w="217" w:type="dxa"/>
          </w:tcPr>
          <w:p w14:paraId="4E30C3A7" w14:textId="77777777" w:rsidR="002C0FD9" w:rsidRPr="00CA25CF" w:rsidRDefault="002C0FD9" w:rsidP="00CA25CF">
            <w:pPr>
              <w:rPr>
                <w:rFonts w:cs="Arial"/>
                <w:color w:val="FF0000"/>
                <w:sz w:val="21"/>
                <w:szCs w:val="21"/>
              </w:rPr>
            </w:pPr>
          </w:p>
        </w:tc>
      </w:tr>
      <w:tr w:rsidR="002C0FD9" w:rsidRPr="00A16219" w14:paraId="20D4DC02" w14:textId="77777777" w:rsidTr="002C0FD9">
        <w:trPr>
          <w:trHeight w:val="635"/>
        </w:trPr>
        <w:tc>
          <w:tcPr>
            <w:tcW w:w="515" w:type="dxa"/>
          </w:tcPr>
          <w:p w14:paraId="7973DB9C" w14:textId="77777777" w:rsidR="002C0FD9" w:rsidRPr="00CA25CF" w:rsidRDefault="002C0FD9" w:rsidP="00CA25CF">
            <w:pPr>
              <w:rPr>
                <w:rFonts w:cs="Arial"/>
                <w:color w:val="FF0000"/>
                <w:sz w:val="21"/>
                <w:szCs w:val="21"/>
              </w:rPr>
            </w:pPr>
          </w:p>
        </w:tc>
        <w:tc>
          <w:tcPr>
            <w:tcW w:w="217" w:type="dxa"/>
          </w:tcPr>
          <w:p w14:paraId="6CBCE78E" w14:textId="77777777" w:rsidR="002C0FD9" w:rsidRPr="00CA25CF" w:rsidRDefault="002C0FD9" w:rsidP="00CA25CF">
            <w:pPr>
              <w:rPr>
                <w:rFonts w:cs="Arial"/>
                <w:color w:val="FF0000"/>
                <w:sz w:val="21"/>
                <w:szCs w:val="21"/>
              </w:rPr>
            </w:pPr>
          </w:p>
        </w:tc>
        <w:tc>
          <w:tcPr>
            <w:tcW w:w="217" w:type="dxa"/>
          </w:tcPr>
          <w:p w14:paraId="260C2467" w14:textId="77777777" w:rsidR="002C0FD9" w:rsidRPr="00CA25CF" w:rsidRDefault="002C0FD9" w:rsidP="00CA25CF">
            <w:pPr>
              <w:rPr>
                <w:rFonts w:cs="Arial"/>
                <w:color w:val="FF0000"/>
                <w:sz w:val="21"/>
                <w:szCs w:val="21"/>
              </w:rPr>
            </w:pPr>
          </w:p>
        </w:tc>
        <w:tc>
          <w:tcPr>
            <w:tcW w:w="217" w:type="dxa"/>
          </w:tcPr>
          <w:p w14:paraId="3ADD59F6" w14:textId="77777777" w:rsidR="002C0FD9" w:rsidRPr="00CA25CF" w:rsidRDefault="002C0FD9" w:rsidP="00CA25CF">
            <w:pPr>
              <w:rPr>
                <w:rFonts w:cs="Arial"/>
                <w:color w:val="FF0000"/>
                <w:sz w:val="21"/>
                <w:szCs w:val="21"/>
              </w:rPr>
            </w:pPr>
          </w:p>
        </w:tc>
        <w:tc>
          <w:tcPr>
            <w:tcW w:w="217" w:type="dxa"/>
          </w:tcPr>
          <w:p w14:paraId="58D10456" w14:textId="77777777" w:rsidR="002C0FD9" w:rsidRPr="00CA25CF" w:rsidRDefault="002C0FD9" w:rsidP="00CA25CF">
            <w:pPr>
              <w:rPr>
                <w:rFonts w:cs="Arial"/>
                <w:color w:val="FF0000"/>
                <w:sz w:val="21"/>
                <w:szCs w:val="21"/>
              </w:rPr>
            </w:pPr>
          </w:p>
        </w:tc>
        <w:tc>
          <w:tcPr>
            <w:tcW w:w="217" w:type="dxa"/>
          </w:tcPr>
          <w:p w14:paraId="65A04C81" w14:textId="77777777" w:rsidR="002C0FD9" w:rsidRPr="00CA25CF" w:rsidRDefault="002C0FD9" w:rsidP="00CA25CF">
            <w:pPr>
              <w:rPr>
                <w:rFonts w:cs="Arial"/>
                <w:color w:val="FF0000"/>
                <w:sz w:val="21"/>
                <w:szCs w:val="21"/>
              </w:rPr>
            </w:pPr>
          </w:p>
        </w:tc>
        <w:tc>
          <w:tcPr>
            <w:tcW w:w="217" w:type="dxa"/>
          </w:tcPr>
          <w:p w14:paraId="51A3D4F7" w14:textId="77777777" w:rsidR="002C0FD9" w:rsidRPr="00CA25CF" w:rsidRDefault="002C0FD9" w:rsidP="00CA25CF">
            <w:pPr>
              <w:rPr>
                <w:rFonts w:cs="Arial"/>
                <w:color w:val="FF0000"/>
                <w:sz w:val="21"/>
                <w:szCs w:val="21"/>
              </w:rPr>
            </w:pPr>
          </w:p>
        </w:tc>
        <w:tc>
          <w:tcPr>
            <w:tcW w:w="217" w:type="dxa"/>
          </w:tcPr>
          <w:p w14:paraId="152DFB59" w14:textId="77777777" w:rsidR="002C0FD9" w:rsidRPr="00CA25CF" w:rsidRDefault="002C0FD9" w:rsidP="00CA25CF">
            <w:pPr>
              <w:rPr>
                <w:rFonts w:cs="Arial"/>
                <w:color w:val="FF0000"/>
                <w:sz w:val="21"/>
                <w:szCs w:val="21"/>
              </w:rPr>
            </w:pPr>
          </w:p>
        </w:tc>
        <w:tc>
          <w:tcPr>
            <w:tcW w:w="217" w:type="dxa"/>
          </w:tcPr>
          <w:p w14:paraId="2010433A" w14:textId="77777777" w:rsidR="002C0FD9" w:rsidRPr="00CA25CF" w:rsidRDefault="002C0FD9" w:rsidP="00CA25CF">
            <w:pPr>
              <w:rPr>
                <w:rFonts w:cs="Arial"/>
                <w:color w:val="FF0000"/>
                <w:sz w:val="21"/>
                <w:szCs w:val="21"/>
              </w:rPr>
            </w:pPr>
          </w:p>
        </w:tc>
        <w:tc>
          <w:tcPr>
            <w:tcW w:w="217" w:type="dxa"/>
          </w:tcPr>
          <w:p w14:paraId="2AEFBCE5" w14:textId="77777777" w:rsidR="002C0FD9" w:rsidRPr="00CA25CF" w:rsidRDefault="002C0FD9" w:rsidP="00CA25CF">
            <w:pPr>
              <w:rPr>
                <w:rFonts w:cs="Arial"/>
                <w:color w:val="FF0000"/>
                <w:sz w:val="21"/>
                <w:szCs w:val="21"/>
              </w:rPr>
            </w:pPr>
          </w:p>
        </w:tc>
        <w:tc>
          <w:tcPr>
            <w:tcW w:w="217" w:type="dxa"/>
          </w:tcPr>
          <w:p w14:paraId="4A2E7934" w14:textId="77777777" w:rsidR="002C0FD9" w:rsidRPr="00CA25CF" w:rsidRDefault="002C0FD9" w:rsidP="00CA25CF">
            <w:pPr>
              <w:rPr>
                <w:rFonts w:cs="Arial"/>
                <w:color w:val="FF0000"/>
                <w:sz w:val="21"/>
                <w:szCs w:val="21"/>
              </w:rPr>
            </w:pPr>
          </w:p>
        </w:tc>
        <w:tc>
          <w:tcPr>
            <w:tcW w:w="217" w:type="dxa"/>
          </w:tcPr>
          <w:p w14:paraId="73EC9BD3" w14:textId="77777777" w:rsidR="002C0FD9" w:rsidRPr="00CA25CF" w:rsidRDefault="002C0FD9" w:rsidP="00CA25CF">
            <w:pPr>
              <w:rPr>
                <w:rFonts w:cs="Arial"/>
                <w:color w:val="FF0000"/>
                <w:sz w:val="21"/>
                <w:szCs w:val="21"/>
              </w:rPr>
            </w:pPr>
          </w:p>
        </w:tc>
        <w:tc>
          <w:tcPr>
            <w:tcW w:w="217" w:type="dxa"/>
          </w:tcPr>
          <w:p w14:paraId="5722E8FC" w14:textId="77777777" w:rsidR="002C0FD9" w:rsidRPr="00CA25CF" w:rsidRDefault="002C0FD9" w:rsidP="00CA25CF">
            <w:pPr>
              <w:rPr>
                <w:rFonts w:cs="Arial"/>
                <w:color w:val="FF0000"/>
                <w:sz w:val="21"/>
                <w:szCs w:val="21"/>
              </w:rPr>
            </w:pPr>
          </w:p>
        </w:tc>
        <w:tc>
          <w:tcPr>
            <w:tcW w:w="217" w:type="dxa"/>
          </w:tcPr>
          <w:p w14:paraId="7150E4A2" w14:textId="77777777" w:rsidR="002C0FD9" w:rsidRPr="00CA25CF" w:rsidRDefault="002C0FD9" w:rsidP="00CA25CF">
            <w:pPr>
              <w:rPr>
                <w:rFonts w:cs="Arial"/>
                <w:color w:val="FF0000"/>
                <w:sz w:val="21"/>
                <w:szCs w:val="21"/>
              </w:rPr>
            </w:pPr>
          </w:p>
        </w:tc>
        <w:tc>
          <w:tcPr>
            <w:tcW w:w="217" w:type="dxa"/>
          </w:tcPr>
          <w:p w14:paraId="476019EE" w14:textId="77777777" w:rsidR="002C0FD9" w:rsidRPr="00CA25CF" w:rsidRDefault="002C0FD9" w:rsidP="00CA25CF">
            <w:pPr>
              <w:rPr>
                <w:rFonts w:cs="Arial"/>
                <w:color w:val="FF0000"/>
                <w:sz w:val="21"/>
                <w:szCs w:val="21"/>
              </w:rPr>
            </w:pPr>
          </w:p>
        </w:tc>
        <w:tc>
          <w:tcPr>
            <w:tcW w:w="217" w:type="dxa"/>
          </w:tcPr>
          <w:p w14:paraId="4CCF9BB2" w14:textId="77777777" w:rsidR="002C0FD9" w:rsidRPr="00CA25CF" w:rsidRDefault="002C0FD9" w:rsidP="00CA25CF">
            <w:pPr>
              <w:rPr>
                <w:rFonts w:cs="Arial"/>
                <w:color w:val="FF0000"/>
                <w:sz w:val="21"/>
                <w:szCs w:val="21"/>
              </w:rPr>
            </w:pPr>
          </w:p>
        </w:tc>
        <w:tc>
          <w:tcPr>
            <w:tcW w:w="217" w:type="dxa"/>
          </w:tcPr>
          <w:p w14:paraId="5394EC81" w14:textId="77777777" w:rsidR="002C0FD9" w:rsidRPr="00CA25CF" w:rsidRDefault="002C0FD9" w:rsidP="00CA25CF">
            <w:pPr>
              <w:rPr>
                <w:rFonts w:cs="Arial"/>
                <w:color w:val="FF0000"/>
                <w:sz w:val="21"/>
                <w:szCs w:val="21"/>
              </w:rPr>
            </w:pPr>
          </w:p>
        </w:tc>
        <w:tc>
          <w:tcPr>
            <w:tcW w:w="217" w:type="dxa"/>
          </w:tcPr>
          <w:p w14:paraId="1341FFD6" w14:textId="77777777" w:rsidR="002C0FD9" w:rsidRPr="00CA25CF" w:rsidRDefault="002C0FD9" w:rsidP="00CA25CF">
            <w:pPr>
              <w:rPr>
                <w:rFonts w:cs="Arial"/>
                <w:color w:val="FF0000"/>
                <w:sz w:val="21"/>
                <w:szCs w:val="21"/>
              </w:rPr>
            </w:pPr>
          </w:p>
        </w:tc>
        <w:tc>
          <w:tcPr>
            <w:tcW w:w="217" w:type="dxa"/>
          </w:tcPr>
          <w:p w14:paraId="66006897" w14:textId="77777777" w:rsidR="002C0FD9" w:rsidRPr="00CA25CF" w:rsidRDefault="002C0FD9" w:rsidP="00CA25CF">
            <w:pPr>
              <w:rPr>
                <w:rFonts w:cs="Arial"/>
                <w:color w:val="FF0000"/>
                <w:sz w:val="21"/>
                <w:szCs w:val="21"/>
              </w:rPr>
            </w:pPr>
          </w:p>
        </w:tc>
        <w:tc>
          <w:tcPr>
            <w:tcW w:w="217" w:type="dxa"/>
          </w:tcPr>
          <w:p w14:paraId="38B95D5F" w14:textId="77777777" w:rsidR="002C0FD9" w:rsidRPr="00CA25CF" w:rsidRDefault="002C0FD9" w:rsidP="00CA25CF">
            <w:pPr>
              <w:rPr>
                <w:rFonts w:cs="Arial"/>
                <w:color w:val="FF0000"/>
                <w:sz w:val="21"/>
                <w:szCs w:val="21"/>
              </w:rPr>
            </w:pPr>
          </w:p>
        </w:tc>
        <w:tc>
          <w:tcPr>
            <w:tcW w:w="217" w:type="dxa"/>
          </w:tcPr>
          <w:p w14:paraId="3A3FCA4C" w14:textId="77777777" w:rsidR="002C0FD9" w:rsidRPr="00CA25CF" w:rsidRDefault="002C0FD9" w:rsidP="00CA25CF">
            <w:pPr>
              <w:rPr>
                <w:rFonts w:cs="Arial"/>
                <w:color w:val="FF0000"/>
                <w:sz w:val="21"/>
                <w:szCs w:val="21"/>
              </w:rPr>
            </w:pPr>
          </w:p>
        </w:tc>
        <w:tc>
          <w:tcPr>
            <w:tcW w:w="217" w:type="dxa"/>
          </w:tcPr>
          <w:p w14:paraId="3C4095B5" w14:textId="77777777" w:rsidR="002C0FD9" w:rsidRPr="00CA25CF" w:rsidRDefault="002C0FD9" w:rsidP="00CA25CF">
            <w:pPr>
              <w:rPr>
                <w:rFonts w:cs="Arial"/>
                <w:color w:val="FF0000"/>
                <w:sz w:val="21"/>
                <w:szCs w:val="21"/>
              </w:rPr>
            </w:pPr>
          </w:p>
        </w:tc>
        <w:tc>
          <w:tcPr>
            <w:tcW w:w="217" w:type="dxa"/>
          </w:tcPr>
          <w:p w14:paraId="14BC2144" w14:textId="77777777" w:rsidR="002C0FD9" w:rsidRPr="00CA25CF" w:rsidRDefault="002C0FD9" w:rsidP="00CA25CF">
            <w:pPr>
              <w:rPr>
                <w:rFonts w:cs="Arial"/>
                <w:color w:val="FF0000"/>
                <w:sz w:val="21"/>
                <w:szCs w:val="21"/>
              </w:rPr>
            </w:pPr>
          </w:p>
        </w:tc>
        <w:tc>
          <w:tcPr>
            <w:tcW w:w="217" w:type="dxa"/>
          </w:tcPr>
          <w:p w14:paraId="1054DF62" w14:textId="77777777" w:rsidR="002C0FD9" w:rsidRPr="00CA25CF" w:rsidRDefault="002C0FD9" w:rsidP="00CA25CF">
            <w:pPr>
              <w:rPr>
                <w:rFonts w:cs="Arial"/>
                <w:color w:val="FF0000"/>
                <w:sz w:val="21"/>
                <w:szCs w:val="21"/>
              </w:rPr>
            </w:pPr>
          </w:p>
        </w:tc>
        <w:tc>
          <w:tcPr>
            <w:tcW w:w="217" w:type="dxa"/>
          </w:tcPr>
          <w:p w14:paraId="230A767D" w14:textId="77777777" w:rsidR="002C0FD9" w:rsidRPr="00CA25CF" w:rsidRDefault="002C0FD9" w:rsidP="00CA25CF">
            <w:pPr>
              <w:rPr>
                <w:rFonts w:cs="Arial"/>
                <w:color w:val="FF0000"/>
                <w:sz w:val="21"/>
                <w:szCs w:val="21"/>
              </w:rPr>
            </w:pPr>
          </w:p>
        </w:tc>
        <w:tc>
          <w:tcPr>
            <w:tcW w:w="217" w:type="dxa"/>
          </w:tcPr>
          <w:p w14:paraId="6370629D" w14:textId="77777777" w:rsidR="002C0FD9" w:rsidRPr="00CA25CF" w:rsidRDefault="002C0FD9" w:rsidP="00CA25CF">
            <w:pPr>
              <w:rPr>
                <w:rFonts w:cs="Arial"/>
                <w:color w:val="FF0000"/>
                <w:sz w:val="21"/>
                <w:szCs w:val="21"/>
              </w:rPr>
            </w:pPr>
          </w:p>
        </w:tc>
        <w:tc>
          <w:tcPr>
            <w:tcW w:w="217" w:type="dxa"/>
          </w:tcPr>
          <w:p w14:paraId="69840CA1" w14:textId="77777777" w:rsidR="002C0FD9" w:rsidRPr="00CA25CF" w:rsidRDefault="002C0FD9" w:rsidP="00CA25CF">
            <w:pPr>
              <w:rPr>
                <w:rFonts w:cs="Arial"/>
                <w:color w:val="FF0000"/>
                <w:sz w:val="21"/>
                <w:szCs w:val="21"/>
              </w:rPr>
            </w:pPr>
          </w:p>
        </w:tc>
        <w:tc>
          <w:tcPr>
            <w:tcW w:w="217" w:type="dxa"/>
          </w:tcPr>
          <w:p w14:paraId="09E57666" w14:textId="77777777" w:rsidR="002C0FD9" w:rsidRPr="00CA25CF" w:rsidRDefault="002C0FD9" w:rsidP="00CA25CF">
            <w:pPr>
              <w:rPr>
                <w:rFonts w:cs="Arial"/>
                <w:color w:val="FF0000"/>
                <w:sz w:val="21"/>
                <w:szCs w:val="21"/>
              </w:rPr>
            </w:pPr>
          </w:p>
        </w:tc>
        <w:tc>
          <w:tcPr>
            <w:tcW w:w="217" w:type="dxa"/>
          </w:tcPr>
          <w:p w14:paraId="42FBEED6" w14:textId="77777777" w:rsidR="002C0FD9" w:rsidRPr="00CA25CF" w:rsidRDefault="002C0FD9" w:rsidP="00CA25CF">
            <w:pPr>
              <w:rPr>
                <w:rFonts w:cs="Arial"/>
                <w:color w:val="FF0000"/>
                <w:sz w:val="21"/>
                <w:szCs w:val="21"/>
              </w:rPr>
            </w:pPr>
          </w:p>
        </w:tc>
        <w:tc>
          <w:tcPr>
            <w:tcW w:w="217" w:type="dxa"/>
          </w:tcPr>
          <w:p w14:paraId="56066208" w14:textId="77777777" w:rsidR="002C0FD9" w:rsidRPr="00CA25CF" w:rsidRDefault="002C0FD9" w:rsidP="00CA25CF">
            <w:pPr>
              <w:rPr>
                <w:rFonts w:cs="Arial"/>
                <w:color w:val="FF0000"/>
                <w:sz w:val="21"/>
                <w:szCs w:val="21"/>
              </w:rPr>
            </w:pPr>
          </w:p>
        </w:tc>
        <w:tc>
          <w:tcPr>
            <w:tcW w:w="217" w:type="dxa"/>
          </w:tcPr>
          <w:p w14:paraId="4DEBA206" w14:textId="77777777" w:rsidR="002C0FD9" w:rsidRPr="00CA25CF" w:rsidRDefault="002C0FD9" w:rsidP="00CA25CF">
            <w:pPr>
              <w:rPr>
                <w:rFonts w:cs="Arial"/>
                <w:color w:val="FF0000"/>
                <w:sz w:val="21"/>
                <w:szCs w:val="21"/>
              </w:rPr>
            </w:pPr>
          </w:p>
        </w:tc>
        <w:tc>
          <w:tcPr>
            <w:tcW w:w="217" w:type="dxa"/>
          </w:tcPr>
          <w:p w14:paraId="63B3A734" w14:textId="77777777" w:rsidR="002C0FD9" w:rsidRPr="00CA25CF" w:rsidRDefault="002C0FD9" w:rsidP="00CA25CF">
            <w:pPr>
              <w:rPr>
                <w:rFonts w:cs="Arial"/>
                <w:color w:val="FF0000"/>
                <w:sz w:val="21"/>
                <w:szCs w:val="21"/>
              </w:rPr>
            </w:pPr>
          </w:p>
        </w:tc>
        <w:tc>
          <w:tcPr>
            <w:tcW w:w="217" w:type="dxa"/>
          </w:tcPr>
          <w:p w14:paraId="7E226CB9" w14:textId="77777777" w:rsidR="002C0FD9" w:rsidRPr="00CA25CF" w:rsidRDefault="002C0FD9" w:rsidP="00CA25CF">
            <w:pPr>
              <w:rPr>
                <w:rFonts w:cs="Arial"/>
                <w:color w:val="FF0000"/>
                <w:sz w:val="21"/>
                <w:szCs w:val="21"/>
              </w:rPr>
            </w:pPr>
          </w:p>
        </w:tc>
        <w:tc>
          <w:tcPr>
            <w:tcW w:w="217" w:type="dxa"/>
          </w:tcPr>
          <w:p w14:paraId="09B1F88F" w14:textId="77777777" w:rsidR="002C0FD9" w:rsidRPr="00CA25CF" w:rsidRDefault="002C0FD9" w:rsidP="00CA25CF">
            <w:pPr>
              <w:rPr>
                <w:rFonts w:cs="Arial"/>
                <w:color w:val="FF0000"/>
                <w:sz w:val="21"/>
                <w:szCs w:val="21"/>
              </w:rPr>
            </w:pPr>
          </w:p>
        </w:tc>
        <w:tc>
          <w:tcPr>
            <w:tcW w:w="217" w:type="dxa"/>
          </w:tcPr>
          <w:p w14:paraId="0B994977" w14:textId="77777777" w:rsidR="002C0FD9" w:rsidRPr="00CA25CF" w:rsidRDefault="002C0FD9" w:rsidP="00CA25CF">
            <w:pPr>
              <w:rPr>
                <w:rFonts w:cs="Arial"/>
                <w:color w:val="FF0000"/>
                <w:sz w:val="21"/>
                <w:szCs w:val="21"/>
              </w:rPr>
            </w:pPr>
          </w:p>
        </w:tc>
        <w:tc>
          <w:tcPr>
            <w:tcW w:w="217" w:type="dxa"/>
          </w:tcPr>
          <w:p w14:paraId="12A40099" w14:textId="77777777" w:rsidR="002C0FD9" w:rsidRPr="00CA25CF" w:rsidRDefault="002C0FD9" w:rsidP="00CA25CF">
            <w:pPr>
              <w:rPr>
                <w:rFonts w:cs="Arial"/>
                <w:color w:val="FF0000"/>
                <w:sz w:val="21"/>
                <w:szCs w:val="21"/>
              </w:rPr>
            </w:pPr>
          </w:p>
        </w:tc>
        <w:tc>
          <w:tcPr>
            <w:tcW w:w="217" w:type="dxa"/>
          </w:tcPr>
          <w:p w14:paraId="38B7A10F" w14:textId="77777777" w:rsidR="002C0FD9" w:rsidRPr="00CA25CF" w:rsidRDefault="002C0FD9" w:rsidP="00CA25CF">
            <w:pPr>
              <w:rPr>
                <w:rFonts w:cs="Arial"/>
                <w:color w:val="FF0000"/>
                <w:sz w:val="21"/>
                <w:szCs w:val="21"/>
              </w:rPr>
            </w:pPr>
          </w:p>
        </w:tc>
        <w:tc>
          <w:tcPr>
            <w:tcW w:w="217" w:type="dxa"/>
          </w:tcPr>
          <w:p w14:paraId="77AA8E1E" w14:textId="77777777" w:rsidR="002C0FD9" w:rsidRPr="00CA25CF" w:rsidRDefault="002C0FD9" w:rsidP="00CA25CF">
            <w:pPr>
              <w:rPr>
                <w:rFonts w:cs="Arial"/>
                <w:color w:val="FF0000"/>
                <w:sz w:val="21"/>
                <w:szCs w:val="21"/>
              </w:rPr>
            </w:pPr>
          </w:p>
        </w:tc>
        <w:tc>
          <w:tcPr>
            <w:tcW w:w="217" w:type="dxa"/>
          </w:tcPr>
          <w:p w14:paraId="651B14A6" w14:textId="77777777" w:rsidR="002C0FD9" w:rsidRPr="00CA25CF" w:rsidRDefault="002C0FD9" w:rsidP="00CA25CF">
            <w:pPr>
              <w:rPr>
                <w:rFonts w:cs="Arial"/>
                <w:color w:val="FF0000"/>
                <w:sz w:val="21"/>
                <w:szCs w:val="21"/>
              </w:rPr>
            </w:pPr>
          </w:p>
        </w:tc>
        <w:tc>
          <w:tcPr>
            <w:tcW w:w="217" w:type="dxa"/>
          </w:tcPr>
          <w:p w14:paraId="5AF418F7" w14:textId="77777777" w:rsidR="002C0FD9" w:rsidRPr="00CA25CF" w:rsidRDefault="002C0FD9" w:rsidP="00CA25CF">
            <w:pPr>
              <w:rPr>
                <w:rFonts w:cs="Arial"/>
                <w:color w:val="FF0000"/>
                <w:sz w:val="21"/>
                <w:szCs w:val="21"/>
              </w:rPr>
            </w:pPr>
          </w:p>
        </w:tc>
        <w:tc>
          <w:tcPr>
            <w:tcW w:w="217" w:type="dxa"/>
          </w:tcPr>
          <w:p w14:paraId="616EB4D0" w14:textId="77777777" w:rsidR="002C0FD9" w:rsidRPr="00CA25CF" w:rsidRDefault="002C0FD9" w:rsidP="00CA25CF">
            <w:pPr>
              <w:rPr>
                <w:rFonts w:cs="Arial"/>
                <w:color w:val="FF0000"/>
                <w:sz w:val="21"/>
                <w:szCs w:val="21"/>
              </w:rPr>
            </w:pPr>
          </w:p>
        </w:tc>
        <w:tc>
          <w:tcPr>
            <w:tcW w:w="217" w:type="dxa"/>
          </w:tcPr>
          <w:p w14:paraId="6F1B7DC8" w14:textId="77777777" w:rsidR="002C0FD9" w:rsidRPr="00CA25CF" w:rsidRDefault="002C0FD9" w:rsidP="00CA25CF">
            <w:pPr>
              <w:rPr>
                <w:rFonts w:cs="Arial"/>
                <w:color w:val="FF0000"/>
                <w:sz w:val="21"/>
                <w:szCs w:val="21"/>
              </w:rPr>
            </w:pPr>
          </w:p>
        </w:tc>
        <w:tc>
          <w:tcPr>
            <w:tcW w:w="217" w:type="dxa"/>
          </w:tcPr>
          <w:p w14:paraId="0CB542EB" w14:textId="77777777" w:rsidR="002C0FD9" w:rsidRPr="00CA25CF" w:rsidRDefault="002C0FD9" w:rsidP="00CA25CF">
            <w:pPr>
              <w:rPr>
                <w:rFonts w:cs="Arial"/>
                <w:color w:val="FF0000"/>
                <w:sz w:val="21"/>
                <w:szCs w:val="21"/>
              </w:rPr>
            </w:pPr>
          </w:p>
        </w:tc>
      </w:tr>
      <w:tr w:rsidR="002C0FD9" w:rsidRPr="00A16219" w14:paraId="3266ADBD" w14:textId="77777777" w:rsidTr="002C0FD9">
        <w:trPr>
          <w:trHeight w:val="635"/>
        </w:trPr>
        <w:tc>
          <w:tcPr>
            <w:tcW w:w="515" w:type="dxa"/>
          </w:tcPr>
          <w:p w14:paraId="2108F9C4" w14:textId="77777777" w:rsidR="002C0FD9" w:rsidRPr="00CA25CF" w:rsidRDefault="002C0FD9" w:rsidP="00CA25CF">
            <w:pPr>
              <w:rPr>
                <w:rFonts w:cs="Arial"/>
                <w:color w:val="FF0000"/>
                <w:sz w:val="21"/>
                <w:szCs w:val="21"/>
              </w:rPr>
            </w:pPr>
          </w:p>
        </w:tc>
        <w:tc>
          <w:tcPr>
            <w:tcW w:w="217" w:type="dxa"/>
          </w:tcPr>
          <w:p w14:paraId="7062A127" w14:textId="77777777" w:rsidR="002C0FD9" w:rsidRPr="00CA25CF" w:rsidRDefault="002C0FD9" w:rsidP="00CA25CF">
            <w:pPr>
              <w:rPr>
                <w:rFonts w:cs="Arial"/>
                <w:color w:val="FF0000"/>
                <w:sz w:val="21"/>
                <w:szCs w:val="21"/>
              </w:rPr>
            </w:pPr>
          </w:p>
        </w:tc>
        <w:tc>
          <w:tcPr>
            <w:tcW w:w="217" w:type="dxa"/>
          </w:tcPr>
          <w:p w14:paraId="12CD43EA" w14:textId="77777777" w:rsidR="002C0FD9" w:rsidRPr="00CA25CF" w:rsidRDefault="002C0FD9" w:rsidP="00CA25CF">
            <w:pPr>
              <w:rPr>
                <w:rFonts w:cs="Arial"/>
                <w:color w:val="FF0000"/>
                <w:sz w:val="21"/>
                <w:szCs w:val="21"/>
              </w:rPr>
            </w:pPr>
          </w:p>
        </w:tc>
        <w:tc>
          <w:tcPr>
            <w:tcW w:w="217" w:type="dxa"/>
          </w:tcPr>
          <w:p w14:paraId="67B32D50" w14:textId="77777777" w:rsidR="002C0FD9" w:rsidRPr="00CA25CF" w:rsidRDefault="002C0FD9" w:rsidP="00CA25CF">
            <w:pPr>
              <w:rPr>
                <w:rFonts w:cs="Arial"/>
                <w:color w:val="FF0000"/>
                <w:sz w:val="21"/>
                <w:szCs w:val="21"/>
              </w:rPr>
            </w:pPr>
          </w:p>
        </w:tc>
        <w:tc>
          <w:tcPr>
            <w:tcW w:w="217" w:type="dxa"/>
          </w:tcPr>
          <w:p w14:paraId="5FDE56F0" w14:textId="77777777" w:rsidR="002C0FD9" w:rsidRPr="00CA25CF" w:rsidRDefault="002C0FD9" w:rsidP="00CA25CF">
            <w:pPr>
              <w:rPr>
                <w:rFonts w:cs="Arial"/>
                <w:color w:val="FF0000"/>
                <w:sz w:val="21"/>
                <w:szCs w:val="21"/>
              </w:rPr>
            </w:pPr>
          </w:p>
        </w:tc>
        <w:tc>
          <w:tcPr>
            <w:tcW w:w="217" w:type="dxa"/>
          </w:tcPr>
          <w:p w14:paraId="6FBA1F35" w14:textId="77777777" w:rsidR="002C0FD9" w:rsidRPr="00CA25CF" w:rsidRDefault="002C0FD9" w:rsidP="00CA25CF">
            <w:pPr>
              <w:rPr>
                <w:rFonts w:cs="Arial"/>
                <w:color w:val="FF0000"/>
                <w:sz w:val="21"/>
                <w:szCs w:val="21"/>
              </w:rPr>
            </w:pPr>
          </w:p>
        </w:tc>
        <w:tc>
          <w:tcPr>
            <w:tcW w:w="217" w:type="dxa"/>
          </w:tcPr>
          <w:p w14:paraId="524C3548" w14:textId="77777777" w:rsidR="002C0FD9" w:rsidRPr="00CA25CF" w:rsidRDefault="002C0FD9" w:rsidP="00CA25CF">
            <w:pPr>
              <w:rPr>
                <w:rFonts w:cs="Arial"/>
                <w:color w:val="FF0000"/>
                <w:sz w:val="21"/>
                <w:szCs w:val="21"/>
              </w:rPr>
            </w:pPr>
          </w:p>
        </w:tc>
        <w:tc>
          <w:tcPr>
            <w:tcW w:w="217" w:type="dxa"/>
          </w:tcPr>
          <w:p w14:paraId="50A4DCC1" w14:textId="77777777" w:rsidR="002C0FD9" w:rsidRPr="00CA25CF" w:rsidRDefault="002C0FD9" w:rsidP="00CA25CF">
            <w:pPr>
              <w:rPr>
                <w:rFonts w:cs="Arial"/>
                <w:color w:val="FF0000"/>
                <w:sz w:val="21"/>
                <w:szCs w:val="21"/>
              </w:rPr>
            </w:pPr>
          </w:p>
        </w:tc>
        <w:tc>
          <w:tcPr>
            <w:tcW w:w="217" w:type="dxa"/>
          </w:tcPr>
          <w:p w14:paraId="5FB5AA88" w14:textId="77777777" w:rsidR="002C0FD9" w:rsidRPr="00CA25CF" w:rsidRDefault="002C0FD9" w:rsidP="00CA25CF">
            <w:pPr>
              <w:rPr>
                <w:rFonts w:cs="Arial"/>
                <w:color w:val="FF0000"/>
                <w:sz w:val="21"/>
                <w:szCs w:val="21"/>
              </w:rPr>
            </w:pPr>
          </w:p>
        </w:tc>
        <w:tc>
          <w:tcPr>
            <w:tcW w:w="217" w:type="dxa"/>
          </w:tcPr>
          <w:p w14:paraId="575C1C1D" w14:textId="77777777" w:rsidR="002C0FD9" w:rsidRPr="00CA25CF" w:rsidRDefault="002C0FD9" w:rsidP="00CA25CF">
            <w:pPr>
              <w:rPr>
                <w:rFonts w:cs="Arial"/>
                <w:color w:val="FF0000"/>
                <w:sz w:val="21"/>
                <w:szCs w:val="21"/>
              </w:rPr>
            </w:pPr>
          </w:p>
        </w:tc>
        <w:tc>
          <w:tcPr>
            <w:tcW w:w="217" w:type="dxa"/>
          </w:tcPr>
          <w:p w14:paraId="03AF7648" w14:textId="77777777" w:rsidR="002C0FD9" w:rsidRPr="00CA25CF" w:rsidRDefault="002C0FD9" w:rsidP="00CA25CF">
            <w:pPr>
              <w:rPr>
                <w:rFonts w:cs="Arial"/>
                <w:color w:val="FF0000"/>
                <w:sz w:val="21"/>
                <w:szCs w:val="21"/>
              </w:rPr>
            </w:pPr>
          </w:p>
        </w:tc>
        <w:tc>
          <w:tcPr>
            <w:tcW w:w="217" w:type="dxa"/>
          </w:tcPr>
          <w:p w14:paraId="7D59514A" w14:textId="77777777" w:rsidR="002C0FD9" w:rsidRPr="00CA25CF" w:rsidRDefault="002C0FD9" w:rsidP="00CA25CF">
            <w:pPr>
              <w:rPr>
                <w:rFonts w:cs="Arial"/>
                <w:color w:val="FF0000"/>
                <w:sz w:val="21"/>
                <w:szCs w:val="21"/>
              </w:rPr>
            </w:pPr>
          </w:p>
        </w:tc>
        <w:tc>
          <w:tcPr>
            <w:tcW w:w="217" w:type="dxa"/>
          </w:tcPr>
          <w:p w14:paraId="6690795E" w14:textId="77777777" w:rsidR="002C0FD9" w:rsidRPr="00CA25CF" w:rsidRDefault="002C0FD9" w:rsidP="00CA25CF">
            <w:pPr>
              <w:rPr>
                <w:rFonts w:cs="Arial"/>
                <w:color w:val="FF0000"/>
                <w:sz w:val="21"/>
                <w:szCs w:val="21"/>
              </w:rPr>
            </w:pPr>
          </w:p>
        </w:tc>
        <w:tc>
          <w:tcPr>
            <w:tcW w:w="217" w:type="dxa"/>
          </w:tcPr>
          <w:p w14:paraId="4F8D0428" w14:textId="77777777" w:rsidR="002C0FD9" w:rsidRPr="00CA25CF" w:rsidRDefault="002C0FD9" w:rsidP="00CA25CF">
            <w:pPr>
              <w:rPr>
                <w:rFonts w:cs="Arial"/>
                <w:color w:val="FF0000"/>
                <w:sz w:val="21"/>
                <w:szCs w:val="21"/>
              </w:rPr>
            </w:pPr>
          </w:p>
        </w:tc>
        <w:tc>
          <w:tcPr>
            <w:tcW w:w="217" w:type="dxa"/>
          </w:tcPr>
          <w:p w14:paraId="6FE559C8" w14:textId="77777777" w:rsidR="002C0FD9" w:rsidRPr="00CA25CF" w:rsidRDefault="002C0FD9" w:rsidP="00CA25CF">
            <w:pPr>
              <w:rPr>
                <w:rFonts w:cs="Arial"/>
                <w:color w:val="FF0000"/>
                <w:sz w:val="21"/>
                <w:szCs w:val="21"/>
              </w:rPr>
            </w:pPr>
          </w:p>
        </w:tc>
        <w:tc>
          <w:tcPr>
            <w:tcW w:w="217" w:type="dxa"/>
          </w:tcPr>
          <w:p w14:paraId="4CB23309" w14:textId="77777777" w:rsidR="002C0FD9" w:rsidRPr="00CA25CF" w:rsidRDefault="002C0FD9" w:rsidP="00CA25CF">
            <w:pPr>
              <w:rPr>
                <w:rFonts w:cs="Arial"/>
                <w:color w:val="FF0000"/>
                <w:sz w:val="21"/>
                <w:szCs w:val="21"/>
              </w:rPr>
            </w:pPr>
          </w:p>
        </w:tc>
        <w:tc>
          <w:tcPr>
            <w:tcW w:w="217" w:type="dxa"/>
          </w:tcPr>
          <w:p w14:paraId="6B5CB0F7" w14:textId="77777777" w:rsidR="002C0FD9" w:rsidRPr="00CA25CF" w:rsidRDefault="002C0FD9" w:rsidP="00CA25CF">
            <w:pPr>
              <w:rPr>
                <w:rFonts w:cs="Arial"/>
                <w:color w:val="FF0000"/>
                <w:sz w:val="21"/>
                <w:szCs w:val="21"/>
              </w:rPr>
            </w:pPr>
          </w:p>
        </w:tc>
        <w:tc>
          <w:tcPr>
            <w:tcW w:w="217" w:type="dxa"/>
          </w:tcPr>
          <w:p w14:paraId="5DFDE59F" w14:textId="77777777" w:rsidR="002C0FD9" w:rsidRPr="00CA25CF" w:rsidRDefault="002C0FD9" w:rsidP="00CA25CF">
            <w:pPr>
              <w:rPr>
                <w:rFonts w:cs="Arial"/>
                <w:color w:val="FF0000"/>
                <w:sz w:val="21"/>
                <w:szCs w:val="21"/>
              </w:rPr>
            </w:pPr>
          </w:p>
        </w:tc>
        <w:tc>
          <w:tcPr>
            <w:tcW w:w="217" w:type="dxa"/>
          </w:tcPr>
          <w:p w14:paraId="705EE232" w14:textId="77777777" w:rsidR="002C0FD9" w:rsidRPr="00CA25CF" w:rsidRDefault="002C0FD9" w:rsidP="00CA25CF">
            <w:pPr>
              <w:rPr>
                <w:rFonts w:cs="Arial"/>
                <w:color w:val="FF0000"/>
                <w:sz w:val="21"/>
                <w:szCs w:val="21"/>
              </w:rPr>
            </w:pPr>
          </w:p>
        </w:tc>
        <w:tc>
          <w:tcPr>
            <w:tcW w:w="217" w:type="dxa"/>
          </w:tcPr>
          <w:p w14:paraId="0318856A" w14:textId="77777777" w:rsidR="002C0FD9" w:rsidRPr="00CA25CF" w:rsidRDefault="002C0FD9" w:rsidP="00CA25CF">
            <w:pPr>
              <w:rPr>
                <w:rFonts w:cs="Arial"/>
                <w:color w:val="FF0000"/>
                <w:sz w:val="21"/>
                <w:szCs w:val="21"/>
              </w:rPr>
            </w:pPr>
          </w:p>
        </w:tc>
        <w:tc>
          <w:tcPr>
            <w:tcW w:w="217" w:type="dxa"/>
          </w:tcPr>
          <w:p w14:paraId="5EC2E08A" w14:textId="77777777" w:rsidR="002C0FD9" w:rsidRPr="00CA25CF" w:rsidRDefault="002C0FD9" w:rsidP="00CA25CF">
            <w:pPr>
              <w:rPr>
                <w:rFonts w:cs="Arial"/>
                <w:color w:val="FF0000"/>
                <w:sz w:val="21"/>
                <w:szCs w:val="21"/>
              </w:rPr>
            </w:pPr>
          </w:p>
        </w:tc>
        <w:tc>
          <w:tcPr>
            <w:tcW w:w="217" w:type="dxa"/>
          </w:tcPr>
          <w:p w14:paraId="752CEE57" w14:textId="77777777" w:rsidR="002C0FD9" w:rsidRPr="00CA25CF" w:rsidRDefault="002C0FD9" w:rsidP="00CA25CF">
            <w:pPr>
              <w:rPr>
                <w:rFonts w:cs="Arial"/>
                <w:color w:val="FF0000"/>
                <w:sz w:val="21"/>
                <w:szCs w:val="21"/>
              </w:rPr>
            </w:pPr>
          </w:p>
        </w:tc>
        <w:tc>
          <w:tcPr>
            <w:tcW w:w="217" w:type="dxa"/>
          </w:tcPr>
          <w:p w14:paraId="57C07923" w14:textId="77777777" w:rsidR="002C0FD9" w:rsidRPr="00CA25CF" w:rsidRDefault="002C0FD9" w:rsidP="00CA25CF">
            <w:pPr>
              <w:rPr>
                <w:rFonts w:cs="Arial"/>
                <w:color w:val="FF0000"/>
                <w:sz w:val="21"/>
                <w:szCs w:val="21"/>
              </w:rPr>
            </w:pPr>
          </w:p>
        </w:tc>
        <w:tc>
          <w:tcPr>
            <w:tcW w:w="217" w:type="dxa"/>
          </w:tcPr>
          <w:p w14:paraId="0DF42562" w14:textId="77777777" w:rsidR="002C0FD9" w:rsidRPr="00CA25CF" w:rsidRDefault="002C0FD9" w:rsidP="00CA25CF">
            <w:pPr>
              <w:rPr>
                <w:rFonts w:cs="Arial"/>
                <w:color w:val="FF0000"/>
                <w:sz w:val="21"/>
                <w:szCs w:val="21"/>
              </w:rPr>
            </w:pPr>
          </w:p>
        </w:tc>
        <w:tc>
          <w:tcPr>
            <w:tcW w:w="217" w:type="dxa"/>
          </w:tcPr>
          <w:p w14:paraId="6A4AE921" w14:textId="77777777" w:rsidR="002C0FD9" w:rsidRPr="00CA25CF" w:rsidRDefault="002C0FD9" w:rsidP="00CA25CF">
            <w:pPr>
              <w:rPr>
                <w:rFonts w:cs="Arial"/>
                <w:color w:val="FF0000"/>
                <w:sz w:val="21"/>
                <w:szCs w:val="21"/>
              </w:rPr>
            </w:pPr>
          </w:p>
        </w:tc>
        <w:tc>
          <w:tcPr>
            <w:tcW w:w="217" w:type="dxa"/>
          </w:tcPr>
          <w:p w14:paraId="56DE9099" w14:textId="77777777" w:rsidR="002C0FD9" w:rsidRPr="00CA25CF" w:rsidRDefault="002C0FD9" w:rsidP="00CA25CF">
            <w:pPr>
              <w:rPr>
                <w:rFonts w:cs="Arial"/>
                <w:color w:val="FF0000"/>
                <w:sz w:val="21"/>
                <w:szCs w:val="21"/>
              </w:rPr>
            </w:pPr>
          </w:p>
        </w:tc>
        <w:tc>
          <w:tcPr>
            <w:tcW w:w="217" w:type="dxa"/>
          </w:tcPr>
          <w:p w14:paraId="335E0FDB" w14:textId="77777777" w:rsidR="002C0FD9" w:rsidRPr="00CA25CF" w:rsidRDefault="002C0FD9" w:rsidP="00CA25CF">
            <w:pPr>
              <w:rPr>
                <w:rFonts w:cs="Arial"/>
                <w:color w:val="FF0000"/>
                <w:sz w:val="21"/>
                <w:szCs w:val="21"/>
              </w:rPr>
            </w:pPr>
          </w:p>
        </w:tc>
        <w:tc>
          <w:tcPr>
            <w:tcW w:w="217" w:type="dxa"/>
          </w:tcPr>
          <w:p w14:paraId="3A9308F8" w14:textId="77777777" w:rsidR="002C0FD9" w:rsidRPr="00CA25CF" w:rsidRDefault="002C0FD9" w:rsidP="00CA25CF">
            <w:pPr>
              <w:rPr>
                <w:rFonts w:cs="Arial"/>
                <w:color w:val="FF0000"/>
                <w:sz w:val="21"/>
                <w:szCs w:val="21"/>
              </w:rPr>
            </w:pPr>
          </w:p>
        </w:tc>
        <w:tc>
          <w:tcPr>
            <w:tcW w:w="217" w:type="dxa"/>
          </w:tcPr>
          <w:p w14:paraId="35CBE5B7" w14:textId="77777777" w:rsidR="002C0FD9" w:rsidRPr="00CA25CF" w:rsidRDefault="002C0FD9" w:rsidP="00CA25CF">
            <w:pPr>
              <w:rPr>
                <w:rFonts w:cs="Arial"/>
                <w:color w:val="FF0000"/>
                <w:sz w:val="21"/>
                <w:szCs w:val="21"/>
              </w:rPr>
            </w:pPr>
          </w:p>
        </w:tc>
        <w:tc>
          <w:tcPr>
            <w:tcW w:w="217" w:type="dxa"/>
          </w:tcPr>
          <w:p w14:paraId="6A386C3A" w14:textId="77777777" w:rsidR="002C0FD9" w:rsidRPr="00CA25CF" w:rsidRDefault="002C0FD9" w:rsidP="00CA25CF">
            <w:pPr>
              <w:rPr>
                <w:rFonts w:cs="Arial"/>
                <w:color w:val="FF0000"/>
                <w:sz w:val="21"/>
                <w:szCs w:val="21"/>
              </w:rPr>
            </w:pPr>
          </w:p>
        </w:tc>
        <w:tc>
          <w:tcPr>
            <w:tcW w:w="217" w:type="dxa"/>
          </w:tcPr>
          <w:p w14:paraId="119CE99B" w14:textId="77777777" w:rsidR="002C0FD9" w:rsidRPr="00CA25CF" w:rsidRDefault="002C0FD9" w:rsidP="00CA25CF">
            <w:pPr>
              <w:rPr>
                <w:rFonts w:cs="Arial"/>
                <w:color w:val="FF0000"/>
                <w:sz w:val="21"/>
                <w:szCs w:val="21"/>
              </w:rPr>
            </w:pPr>
          </w:p>
        </w:tc>
        <w:tc>
          <w:tcPr>
            <w:tcW w:w="217" w:type="dxa"/>
          </w:tcPr>
          <w:p w14:paraId="4BBA8E70" w14:textId="77777777" w:rsidR="002C0FD9" w:rsidRPr="00CA25CF" w:rsidRDefault="002C0FD9" w:rsidP="00CA25CF">
            <w:pPr>
              <w:rPr>
                <w:rFonts w:cs="Arial"/>
                <w:color w:val="FF0000"/>
                <w:sz w:val="21"/>
                <w:szCs w:val="21"/>
              </w:rPr>
            </w:pPr>
          </w:p>
        </w:tc>
        <w:tc>
          <w:tcPr>
            <w:tcW w:w="217" w:type="dxa"/>
          </w:tcPr>
          <w:p w14:paraId="4EF74231" w14:textId="77777777" w:rsidR="002C0FD9" w:rsidRPr="00CA25CF" w:rsidRDefault="002C0FD9" w:rsidP="00CA25CF">
            <w:pPr>
              <w:rPr>
                <w:rFonts w:cs="Arial"/>
                <w:color w:val="FF0000"/>
                <w:sz w:val="21"/>
                <w:szCs w:val="21"/>
              </w:rPr>
            </w:pPr>
          </w:p>
        </w:tc>
        <w:tc>
          <w:tcPr>
            <w:tcW w:w="217" w:type="dxa"/>
          </w:tcPr>
          <w:p w14:paraId="7EB33407" w14:textId="77777777" w:rsidR="002C0FD9" w:rsidRPr="00CA25CF" w:rsidRDefault="002C0FD9" w:rsidP="00CA25CF">
            <w:pPr>
              <w:rPr>
                <w:rFonts w:cs="Arial"/>
                <w:color w:val="FF0000"/>
                <w:sz w:val="21"/>
                <w:szCs w:val="21"/>
              </w:rPr>
            </w:pPr>
          </w:p>
        </w:tc>
        <w:tc>
          <w:tcPr>
            <w:tcW w:w="217" w:type="dxa"/>
          </w:tcPr>
          <w:p w14:paraId="3BDFF5C4" w14:textId="77777777" w:rsidR="002C0FD9" w:rsidRPr="00CA25CF" w:rsidRDefault="002C0FD9" w:rsidP="00CA25CF">
            <w:pPr>
              <w:rPr>
                <w:rFonts w:cs="Arial"/>
                <w:color w:val="FF0000"/>
                <w:sz w:val="21"/>
                <w:szCs w:val="21"/>
              </w:rPr>
            </w:pPr>
          </w:p>
        </w:tc>
        <w:tc>
          <w:tcPr>
            <w:tcW w:w="217" w:type="dxa"/>
          </w:tcPr>
          <w:p w14:paraId="19E43865" w14:textId="77777777" w:rsidR="002C0FD9" w:rsidRPr="00CA25CF" w:rsidRDefault="002C0FD9" w:rsidP="00CA25CF">
            <w:pPr>
              <w:rPr>
                <w:rFonts w:cs="Arial"/>
                <w:color w:val="FF0000"/>
                <w:sz w:val="21"/>
                <w:szCs w:val="21"/>
              </w:rPr>
            </w:pPr>
          </w:p>
        </w:tc>
        <w:tc>
          <w:tcPr>
            <w:tcW w:w="217" w:type="dxa"/>
          </w:tcPr>
          <w:p w14:paraId="63544C83" w14:textId="77777777" w:rsidR="002C0FD9" w:rsidRPr="00CA25CF" w:rsidRDefault="002C0FD9" w:rsidP="00CA25CF">
            <w:pPr>
              <w:rPr>
                <w:rFonts w:cs="Arial"/>
                <w:color w:val="FF0000"/>
                <w:sz w:val="21"/>
                <w:szCs w:val="21"/>
              </w:rPr>
            </w:pPr>
          </w:p>
        </w:tc>
        <w:tc>
          <w:tcPr>
            <w:tcW w:w="217" w:type="dxa"/>
          </w:tcPr>
          <w:p w14:paraId="340824EB" w14:textId="77777777" w:rsidR="002C0FD9" w:rsidRPr="00CA25CF" w:rsidRDefault="002C0FD9" w:rsidP="00CA25CF">
            <w:pPr>
              <w:rPr>
                <w:rFonts w:cs="Arial"/>
                <w:color w:val="FF0000"/>
                <w:sz w:val="21"/>
                <w:szCs w:val="21"/>
              </w:rPr>
            </w:pPr>
          </w:p>
        </w:tc>
        <w:tc>
          <w:tcPr>
            <w:tcW w:w="217" w:type="dxa"/>
          </w:tcPr>
          <w:p w14:paraId="377D115B" w14:textId="77777777" w:rsidR="002C0FD9" w:rsidRPr="00CA25CF" w:rsidRDefault="002C0FD9" w:rsidP="00CA25CF">
            <w:pPr>
              <w:rPr>
                <w:rFonts w:cs="Arial"/>
                <w:color w:val="FF0000"/>
                <w:sz w:val="21"/>
                <w:szCs w:val="21"/>
              </w:rPr>
            </w:pPr>
          </w:p>
        </w:tc>
        <w:tc>
          <w:tcPr>
            <w:tcW w:w="217" w:type="dxa"/>
          </w:tcPr>
          <w:p w14:paraId="540F9C8F" w14:textId="77777777" w:rsidR="002C0FD9" w:rsidRPr="00CA25CF" w:rsidRDefault="002C0FD9" w:rsidP="00CA25CF">
            <w:pPr>
              <w:rPr>
                <w:rFonts w:cs="Arial"/>
                <w:color w:val="FF0000"/>
                <w:sz w:val="21"/>
                <w:szCs w:val="21"/>
              </w:rPr>
            </w:pPr>
          </w:p>
        </w:tc>
        <w:tc>
          <w:tcPr>
            <w:tcW w:w="217" w:type="dxa"/>
          </w:tcPr>
          <w:p w14:paraId="75F6053E" w14:textId="77777777" w:rsidR="002C0FD9" w:rsidRPr="00CA25CF" w:rsidRDefault="002C0FD9" w:rsidP="00CA25CF">
            <w:pPr>
              <w:rPr>
                <w:rFonts w:cs="Arial"/>
                <w:color w:val="FF0000"/>
                <w:sz w:val="21"/>
                <w:szCs w:val="21"/>
              </w:rPr>
            </w:pPr>
          </w:p>
        </w:tc>
        <w:tc>
          <w:tcPr>
            <w:tcW w:w="217" w:type="dxa"/>
          </w:tcPr>
          <w:p w14:paraId="7A341FEB" w14:textId="77777777" w:rsidR="002C0FD9" w:rsidRPr="00CA25CF" w:rsidRDefault="002C0FD9" w:rsidP="00CA25CF">
            <w:pPr>
              <w:rPr>
                <w:rFonts w:cs="Arial"/>
                <w:color w:val="FF0000"/>
                <w:sz w:val="21"/>
                <w:szCs w:val="21"/>
              </w:rPr>
            </w:pPr>
          </w:p>
        </w:tc>
        <w:tc>
          <w:tcPr>
            <w:tcW w:w="217" w:type="dxa"/>
          </w:tcPr>
          <w:p w14:paraId="3CB97913" w14:textId="77777777" w:rsidR="002C0FD9" w:rsidRPr="00CA25CF" w:rsidRDefault="002C0FD9" w:rsidP="00CA25CF">
            <w:pPr>
              <w:rPr>
                <w:rFonts w:cs="Arial"/>
                <w:color w:val="FF0000"/>
                <w:sz w:val="21"/>
                <w:szCs w:val="21"/>
              </w:rPr>
            </w:pPr>
          </w:p>
        </w:tc>
      </w:tr>
      <w:tr w:rsidR="002C0FD9" w:rsidRPr="00A16219" w14:paraId="1DA4B357" w14:textId="77777777" w:rsidTr="002C0FD9">
        <w:trPr>
          <w:trHeight w:val="635"/>
        </w:trPr>
        <w:tc>
          <w:tcPr>
            <w:tcW w:w="515" w:type="dxa"/>
          </w:tcPr>
          <w:p w14:paraId="2823EB5A" w14:textId="77777777" w:rsidR="002C0FD9" w:rsidRPr="00CA25CF" w:rsidRDefault="002C0FD9" w:rsidP="00CA25CF">
            <w:pPr>
              <w:rPr>
                <w:rFonts w:cs="Arial"/>
                <w:color w:val="FF0000"/>
                <w:sz w:val="21"/>
                <w:szCs w:val="21"/>
              </w:rPr>
            </w:pPr>
          </w:p>
        </w:tc>
        <w:tc>
          <w:tcPr>
            <w:tcW w:w="217" w:type="dxa"/>
          </w:tcPr>
          <w:p w14:paraId="05089E4F" w14:textId="77777777" w:rsidR="002C0FD9" w:rsidRPr="00CA25CF" w:rsidRDefault="002C0FD9" w:rsidP="00CA25CF">
            <w:pPr>
              <w:rPr>
                <w:rFonts w:cs="Arial"/>
                <w:color w:val="FF0000"/>
                <w:sz w:val="21"/>
                <w:szCs w:val="21"/>
              </w:rPr>
            </w:pPr>
          </w:p>
        </w:tc>
        <w:tc>
          <w:tcPr>
            <w:tcW w:w="217" w:type="dxa"/>
          </w:tcPr>
          <w:p w14:paraId="36AE0289" w14:textId="77777777" w:rsidR="002C0FD9" w:rsidRPr="00CA25CF" w:rsidRDefault="002C0FD9" w:rsidP="00CA25CF">
            <w:pPr>
              <w:rPr>
                <w:rFonts w:cs="Arial"/>
                <w:color w:val="FF0000"/>
                <w:sz w:val="21"/>
                <w:szCs w:val="21"/>
              </w:rPr>
            </w:pPr>
          </w:p>
        </w:tc>
        <w:tc>
          <w:tcPr>
            <w:tcW w:w="217" w:type="dxa"/>
          </w:tcPr>
          <w:p w14:paraId="4CA40056" w14:textId="77777777" w:rsidR="002C0FD9" w:rsidRPr="00CA25CF" w:rsidRDefault="002C0FD9" w:rsidP="00CA25CF">
            <w:pPr>
              <w:rPr>
                <w:rFonts w:cs="Arial"/>
                <w:color w:val="FF0000"/>
                <w:sz w:val="21"/>
                <w:szCs w:val="21"/>
              </w:rPr>
            </w:pPr>
          </w:p>
        </w:tc>
        <w:tc>
          <w:tcPr>
            <w:tcW w:w="217" w:type="dxa"/>
          </w:tcPr>
          <w:p w14:paraId="4AADB06B" w14:textId="77777777" w:rsidR="002C0FD9" w:rsidRPr="00CA25CF" w:rsidRDefault="002C0FD9" w:rsidP="00CA25CF">
            <w:pPr>
              <w:rPr>
                <w:rFonts w:cs="Arial"/>
                <w:color w:val="FF0000"/>
                <w:sz w:val="21"/>
                <w:szCs w:val="21"/>
              </w:rPr>
            </w:pPr>
          </w:p>
        </w:tc>
        <w:tc>
          <w:tcPr>
            <w:tcW w:w="217" w:type="dxa"/>
          </w:tcPr>
          <w:p w14:paraId="0455D629" w14:textId="77777777" w:rsidR="002C0FD9" w:rsidRPr="00CA25CF" w:rsidRDefault="002C0FD9" w:rsidP="00CA25CF">
            <w:pPr>
              <w:rPr>
                <w:rFonts w:cs="Arial"/>
                <w:color w:val="FF0000"/>
                <w:sz w:val="21"/>
                <w:szCs w:val="21"/>
              </w:rPr>
            </w:pPr>
          </w:p>
        </w:tc>
        <w:tc>
          <w:tcPr>
            <w:tcW w:w="217" w:type="dxa"/>
          </w:tcPr>
          <w:p w14:paraId="6C059BD6" w14:textId="77777777" w:rsidR="002C0FD9" w:rsidRPr="00CA25CF" w:rsidRDefault="002C0FD9" w:rsidP="00CA25CF">
            <w:pPr>
              <w:rPr>
                <w:rFonts w:cs="Arial"/>
                <w:color w:val="FF0000"/>
                <w:sz w:val="21"/>
                <w:szCs w:val="21"/>
              </w:rPr>
            </w:pPr>
          </w:p>
        </w:tc>
        <w:tc>
          <w:tcPr>
            <w:tcW w:w="217" w:type="dxa"/>
          </w:tcPr>
          <w:p w14:paraId="2E3862BF" w14:textId="77777777" w:rsidR="002C0FD9" w:rsidRPr="00CA25CF" w:rsidRDefault="002C0FD9" w:rsidP="00CA25CF">
            <w:pPr>
              <w:rPr>
                <w:rFonts w:cs="Arial"/>
                <w:color w:val="FF0000"/>
                <w:sz w:val="21"/>
                <w:szCs w:val="21"/>
              </w:rPr>
            </w:pPr>
          </w:p>
        </w:tc>
        <w:tc>
          <w:tcPr>
            <w:tcW w:w="217" w:type="dxa"/>
          </w:tcPr>
          <w:p w14:paraId="4430F28F" w14:textId="77777777" w:rsidR="002C0FD9" w:rsidRPr="00CA25CF" w:rsidRDefault="002C0FD9" w:rsidP="00CA25CF">
            <w:pPr>
              <w:rPr>
                <w:rFonts w:cs="Arial"/>
                <w:color w:val="FF0000"/>
                <w:sz w:val="21"/>
                <w:szCs w:val="21"/>
              </w:rPr>
            </w:pPr>
          </w:p>
        </w:tc>
        <w:tc>
          <w:tcPr>
            <w:tcW w:w="217" w:type="dxa"/>
          </w:tcPr>
          <w:p w14:paraId="24D62221" w14:textId="77777777" w:rsidR="002C0FD9" w:rsidRPr="00CA25CF" w:rsidRDefault="002C0FD9" w:rsidP="00CA25CF">
            <w:pPr>
              <w:rPr>
                <w:rFonts w:cs="Arial"/>
                <w:color w:val="FF0000"/>
                <w:sz w:val="21"/>
                <w:szCs w:val="21"/>
              </w:rPr>
            </w:pPr>
          </w:p>
        </w:tc>
        <w:tc>
          <w:tcPr>
            <w:tcW w:w="217" w:type="dxa"/>
          </w:tcPr>
          <w:p w14:paraId="45E81F15" w14:textId="77777777" w:rsidR="002C0FD9" w:rsidRPr="00CA25CF" w:rsidRDefault="002C0FD9" w:rsidP="00CA25CF">
            <w:pPr>
              <w:rPr>
                <w:rFonts w:cs="Arial"/>
                <w:color w:val="FF0000"/>
                <w:sz w:val="21"/>
                <w:szCs w:val="21"/>
              </w:rPr>
            </w:pPr>
          </w:p>
        </w:tc>
        <w:tc>
          <w:tcPr>
            <w:tcW w:w="217" w:type="dxa"/>
          </w:tcPr>
          <w:p w14:paraId="74FD5353" w14:textId="77777777" w:rsidR="002C0FD9" w:rsidRPr="00CA25CF" w:rsidRDefault="002C0FD9" w:rsidP="00CA25CF">
            <w:pPr>
              <w:rPr>
                <w:rFonts w:cs="Arial"/>
                <w:color w:val="FF0000"/>
                <w:sz w:val="21"/>
                <w:szCs w:val="21"/>
              </w:rPr>
            </w:pPr>
          </w:p>
        </w:tc>
        <w:tc>
          <w:tcPr>
            <w:tcW w:w="217" w:type="dxa"/>
          </w:tcPr>
          <w:p w14:paraId="35728A2B" w14:textId="77777777" w:rsidR="002C0FD9" w:rsidRPr="00CA25CF" w:rsidRDefault="002C0FD9" w:rsidP="00CA25CF">
            <w:pPr>
              <w:rPr>
                <w:rFonts w:cs="Arial"/>
                <w:color w:val="FF0000"/>
                <w:sz w:val="21"/>
                <w:szCs w:val="21"/>
              </w:rPr>
            </w:pPr>
          </w:p>
        </w:tc>
        <w:tc>
          <w:tcPr>
            <w:tcW w:w="217" w:type="dxa"/>
          </w:tcPr>
          <w:p w14:paraId="062B6692" w14:textId="77777777" w:rsidR="002C0FD9" w:rsidRPr="00CA25CF" w:rsidRDefault="002C0FD9" w:rsidP="00CA25CF">
            <w:pPr>
              <w:rPr>
                <w:rFonts w:cs="Arial"/>
                <w:color w:val="FF0000"/>
                <w:sz w:val="21"/>
                <w:szCs w:val="21"/>
              </w:rPr>
            </w:pPr>
          </w:p>
        </w:tc>
        <w:tc>
          <w:tcPr>
            <w:tcW w:w="217" w:type="dxa"/>
          </w:tcPr>
          <w:p w14:paraId="4A0AA570" w14:textId="77777777" w:rsidR="002C0FD9" w:rsidRPr="00CA25CF" w:rsidRDefault="002C0FD9" w:rsidP="00CA25CF">
            <w:pPr>
              <w:rPr>
                <w:rFonts w:cs="Arial"/>
                <w:color w:val="FF0000"/>
                <w:sz w:val="21"/>
                <w:szCs w:val="21"/>
              </w:rPr>
            </w:pPr>
          </w:p>
        </w:tc>
        <w:tc>
          <w:tcPr>
            <w:tcW w:w="217" w:type="dxa"/>
          </w:tcPr>
          <w:p w14:paraId="15798E96" w14:textId="77777777" w:rsidR="002C0FD9" w:rsidRPr="00CA25CF" w:rsidRDefault="002C0FD9" w:rsidP="00CA25CF">
            <w:pPr>
              <w:rPr>
                <w:rFonts w:cs="Arial"/>
                <w:color w:val="FF0000"/>
                <w:sz w:val="21"/>
                <w:szCs w:val="21"/>
              </w:rPr>
            </w:pPr>
          </w:p>
        </w:tc>
        <w:tc>
          <w:tcPr>
            <w:tcW w:w="217" w:type="dxa"/>
          </w:tcPr>
          <w:p w14:paraId="735FBC3F" w14:textId="77777777" w:rsidR="002C0FD9" w:rsidRPr="00CA25CF" w:rsidRDefault="002C0FD9" w:rsidP="00CA25CF">
            <w:pPr>
              <w:rPr>
                <w:rFonts w:cs="Arial"/>
                <w:color w:val="FF0000"/>
                <w:sz w:val="21"/>
                <w:szCs w:val="21"/>
              </w:rPr>
            </w:pPr>
          </w:p>
        </w:tc>
        <w:tc>
          <w:tcPr>
            <w:tcW w:w="217" w:type="dxa"/>
          </w:tcPr>
          <w:p w14:paraId="3AC5C016" w14:textId="77777777" w:rsidR="002C0FD9" w:rsidRPr="00CA25CF" w:rsidRDefault="002C0FD9" w:rsidP="00CA25CF">
            <w:pPr>
              <w:rPr>
                <w:rFonts w:cs="Arial"/>
                <w:color w:val="FF0000"/>
                <w:sz w:val="21"/>
                <w:szCs w:val="21"/>
              </w:rPr>
            </w:pPr>
          </w:p>
        </w:tc>
        <w:tc>
          <w:tcPr>
            <w:tcW w:w="217" w:type="dxa"/>
          </w:tcPr>
          <w:p w14:paraId="4F66E7EE" w14:textId="77777777" w:rsidR="002C0FD9" w:rsidRPr="00CA25CF" w:rsidRDefault="002C0FD9" w:rsidP="00CA25CF">
            <w:pPr>
              <w:rPr>
                <w:rFonts w:cs="Arial"/>
                <w:color w:val="FF0000"/>
                <w:sz w:val="21"/>
                <w:szCs w:val="21"/>
              </w:rPr>
            </w:pPr>
          </w:p>
        </w:tc>
        <w:tc>
          <w:tcPr>
            <w:tcW w:w="217" w:type="dxa"/>
          </w:tcPr>
          <w:p w14:paraId="39DC6A6E" w14:textId="77777777" w:rsidR="002C0FD9" w:rsidRPr="00CA25CF" w:rsidRDefault="002C0FD9" w:rsidP="00CA25CF">
            <w:pPr>
              <w:rPr>
                <w:rFonts w:cs="Arial"/>
                <w:color w:val="FF0000"/>
                <w:sz w:val="21"/>
                <w:szCs w:val="21"/>
              </w:rPr>
            </w:pPr>
          </w:p>
        </w:tc>
        <w:tc>
          <w:tcPr>
            <w:tcW w:w="217" w:type="dxa"/>
          </w:tcPr>
          <w:p w14:paraId="57EBD70D" w14:textId="77777777" w:rsidR="002C0FD9" w:rsidRPr="00CA25CF" w:rsidRDefault="002C0FD9" w:rsidP="00CA25CF">
            <w:pPr>
              <w:rPr>
                <w:rFonts w:cs="Arial"/>
                <w:color w:val="FF0000"/>
                <w:sz w:val="21"/>
                <w:szCs w:val="21"/>
              </w:rPr>
            </w:pPr>
          </w:p>
        </w:tc>
        <w:tc>
          <w:tcPr>
            <w:tcW w:w="217" w:type="dxa"/>
          </w:tcPr>
          <w:p w14:paraId="0DA5E671" w14:textId="77777777" w:rsidR="002C0FD9" w:rsidRPr="00CA25CF" w:rsidRDefault="002C0FD9" w:rsidP="00CA25CF">
            <w:pPr>
              <w:rPr>
                <w:rFonts w:cs="Arial"/>
                <w:color w:val="FF0000"/>
                <w:sz w:val="21"/>
                <w:szCs w:val="21"/>
              </w:rPr>
            </w:pPr>
          </w:p>
        </w:tc>
        <w:tc>
          <w:tcPr>
            <w:tcW w:w="217" w:type="dxa"/>
          </w:tcPr>
          <w:p w14:paraId="308632ED" w14:textId="77777777" w:rsidR="002C0FD9" w:rsidRPr="00CA25CF" w:rsidRDefault="002C0FD9" w:rsidP="00CA25CF">
            <w:pPr>
              <w:rPr>
                <w:rFonts w:cs="Arial"/>
                <w:color w:val="FF0000"/>
                <w:sz w:val="21"/>
                <w:szCs w:val="21"/>
              </w:rPr>
            </w:pPr>
          </w:p>
        </w:tc>
        <w:tc>
          <w:tcPr>
            <w:tcW w:w="217" w:type="dxa"/>
          </w:tcPr>
          <w:p w14:paraId="275C7894" w14:textId="77777777" w:rsidR="002C0FD9" w:rsidRPr="00CA25CF" w:rsidRDefault="002C0FD9" w:rsidP="00CA25CF">
            <w:pPr>
              <w:rPr>
                <w:rFonts w:cs="Arial"/>
                <w:color w:val="FF0000"/>
                <w:sz w:val="21"/>
                <w:szCs w:val="21"/>
              </w:rPr>
            </w:pPr>
          </w:p>
        </w:tc>
        <w:tc>
          <w:tcPr>
            <w:tcW w:w="217" w:type="dxa"/>
          </w:tcPr>
          <w:p w14:paraId="218A8E60" w14:textId="77777777" w:rsidR="002C0FD9" w:rsidRPr="00CA25CF" w:rsidRDefault="002C0FD9" w:rsidP="00CA25CF">
            <w:pPr>
              <w:rPr>
                <w:rFonts w:cs="Arial"/>
                <w:color w:val="FF0000"/>
                <w:sz w:val="21"/>
                <w:szCs w:val="21"/>
              </w:rPr>
            </w:pPr>
          </w:p>
        </w:tc>
        <w:tc>
          <w:tcPr>
            <w:tcW w:w="217" w:type="dxa"/>
          </w:tcPr>
          <w:p w14:paraId="5B84ACB9" w14:textId="77777777" w:rsidR="002C0FD9" w:rsidRPr="00CA25CF" w:rsidRDefault="002C0FD9" w:rsidP="00CA25CF">
            <w:pPr>
              <w:rPr>
                <w:rFonts w:cs="Arial"/>
                <w:color w:val="FF0000"/>
                <w:sz w:val="21"/>
                <w:szCs w:val="21"/>
              </w:rPr>
            </w:pPr>
          </w:p>
        </w:tc>
        <w:tc>
          <w:tcPr>
            <w:tcW w:w="217" w:type="dxa"/>
          </w:tcPr>
          <w:p w14:paraId="0BE329B9" w14:textId="77777777" w:rsidR="002C0FD9" w:rsidRPr="00CA25CF" w:rsidRDefault="002C0FD9" w:rsidP="00CA25CF">
            <w:pPr>
              <w:rPr>
                <w:rFonts w:cs="Arial"/>
                <w:color w:val="FF0000"/>
                <w:sz w:val="21"/>
                <w:szCs w:val="21"/>
              </w:rPr>
            </w:pPr>
          </w:p>
        </w:tc>
        <w:tc>
          <w:tcPr>
            <w:tcW w:w="217" w:type="dxa"/>
          </w:tcPr>
          <w:p w14:paraId="24C462FE" w14:textId="77777777" w:rsidR="002C0FD9" w:rsidRPr="00CA25CF" w:rsidRDefault="002C0FD9" w:rsidP="00CA25CF">
            <w:pPr>
              <w:rPr>
                <w:rFonts w:cs="Arial"/>
                <w:color w:val="FF0000"/>
                <w:sz w:val="21"/>
                <w:szCs w:val="21"/>
              </w:rPr>
            </w:pPr>
          </w:p>
        </w:tc>
        <w:tc>
          <w:tcPr>
            <w:tcW w:w="217" w:type="dxa"/>
          </w:tcPr>
          <w:p w14:paraId="1D167A60" w14:textId="77777777" w:rsidR="002C0FD9" w:rsidRPr="00CA25CF" w:rsidRDefault="002C0FD9" w:rsidP="00CA25CF">
            <w:pPr>
              <w:rPr>
                <w:rFonts w:cs="Arial"/>
                <w:color w:val="FF0000"/>
                <w:sz w:val="21"/>
                <w:szCs w:val="21"/>
              </w:rPr>
            </w:pPr>
          </w:p>
        </w:tc>
        <w:tc>
          <w:tcPr>
            <w:tcW w:w="217" w:type="dxa"/>
          </w:tcPr>
          <w:p w14:paraId="02616F06" w14:textId="77777777" w:rsidR="002C0FD9" w:rsidRPr="00CA25CF" w:rsidRDefault="002C0FD9" w:rsidP="00CA25CF">
            <w:pPr>
              <w:rPr>
                <w:rFonts w:cs="Arial"/>
                <w:color w:val="FF0000"/>
                <w:sz w:val="21"/>
                <w:szCs w:val="21"/>
              </w:rPr>
            </w:pPr>
          </w:p>
        </w:tc>
        <w:tc>
          <w:tcPr>
            <w:tcW w:w="217" w:type="dxa"/>
          </w:tcPr>
          <w:p w14:paraId="6EECEADB" w14:textId="77777777" w:rsidR="002C0FD9" w:rsidRPr="00CA25CF" w:rsidRDefault="002C0FD9" w:rsidP="00CA25CF">
            <w:pPr>
              <w:rPr>
                <w:rFonts w:cs="Arial"/>
                <w:color w:val="FF0000"/>
                <w:sz w:val="21"/>
                <w:szCs w:val="21"/>
              </w:rPr>
            </w:pPr>
          </w:p>
        </w:tc>
        <w:tc>
          <w:tcPr>
            <w:tcW w:w="217" w:type="dxa"/>
          </w:tcPr>
          <w:p w14:paraId="11FABDD0" w14:textId="77777777" w:rsidR="002C0FD9" w:rsidRPr="00CA25CF" w:rsidRDefault="002C0FD9" w:rsidP="00CA25CF">
            <w:pPr>
              <w:rPr>
                <w:rFonts w:cs="Arial"/>
                <w:color w:val="FF0000"/>
                <w:sz w:val="21"/>
                <w:szCs w:val="21"/>
              </w:rPr>
            </w:pPr>
          </w:p>
        </w:tc>
        <w:tc>
          <w:tcPr>
            <w:tcW w:w="217" w:type="dxa"/>
          </w:tcPr>
          <w:p w14:paraId="5B508E55" w14:textId="77777777" w:rsidR="002C0FD9" w:rsidRPr="00CA25CF" w:rsidRDefault="002C0FD9" w:rsidP="00CA25CF">
            <w:pPr>
              <w:rPr>
                <w:rFonts w:cs="Arial"/>
                <w:color w:val="FF0000"/>
                <w:sz w:val="21"/>
                <w:szCs w:val="21"/>
              </w:rPr>
            </w:pPr>
          </w:p>
        </w:tc>
        <w:tc>
          <w:tcPr>
            <w:tcW w:w="217" w:type="dxa"/>
          </w:tcPr>
          <w:p w14:paraId="3C712E71" w14:textId="77777777" w:rsidR="002C0FD9" w:rsidRPr="00CA25CF" w:rsidRDefault="002C0FD9" w:rsidP="00CA25CF">
            <w:pPr>
              <w:rPr>
                <w:rFonts w:cs="Arial"/>
                <w:color w:val="FF0000"/>
                <w:sz w:val="21"/>
                <w:szCs w:val="21"/>
              </w:rPr>
            </w:pPr>
          </w:p>
        </w:tc>
        <w:tc>
          <w:tcPr>
            <w:tcW w:w="217" w:type="dxa"/>
          </w:tcPr>
          <w:p w14:paraId="5D0F7D8A" w14:textId="77777777" w:rsidR="002C0FD9" w:rsidRPr="00CA25CF" w:rsidRDefault="002C0FD9" w:rsidP="00CA25CF">
            <w:pPr>
              <w:rPr>
                <w:rFonts w:cs="Arial"/>
                <w:color w:val="FF0000"/>
                <w:sz w:val="21"/>
                <w:szCs w:val="21"/>
              </w:rPr>
            </w:pPr>
          </w:p>
        </w:tc>
        <w:tc>
          <w:tcPr>
            <w:tcW w:w="217" w:type="dxa"/>
          </w:tcPr>
          <w:p w14:paraId="365004D4" w14:textId="77777777" w:rsidR="002C0FD9" w:rsidRPr="00CA25CF" w:rsidRDefault="002C0FD9" w:rsidP="00CA25CF">
            <w:pPr>
              <w:rPr>
                <w:rFonts w:cs="Arial"/>
                <w:color w:val="FF0000"/>
                <w:sz w:val="21"/>
                <w:szCs w:val="21"/>
              </w:rPr>
            </w:pPr>
          </w:p>
        </w:tc>
        <w:tc>
          <w:tcPr>
            <w:tcW w:w="217" w:type="dxa"/>
          </w:tcPr>
          <w:p w14:paraId="36D60FDC" w14:textId="77777777" w:rsidR="002C0FD9" w:rsidRPr="00CA25CF" w:rsidRDefault="002C0FD9" w:rsidP="00CA25CF">
            <w:pPr>
              <w:rPr>
                <w:rFonts w:cs="Arial"/>
                <w:color w:val="FF0000"/>
                <w:sz w:val="21"/>
                <w:szCs w:val="21"/>
              </w:rPr>
            </w:pPr>
          </w:p>
        </w:tc>
        <w:tc>
          <w:tcPr>
            <w:tcW w:w="217" w:type="dxa"/>
          </w:tcPr>
          <w:p w14:paraId="4D2B3267" w14:textId="77777777" w:rsidR="002C0FD9" w:rsidRPr="00CA25CF" w:rsidRDefault="002C0FD9" w:rsidP="00CA25CF">
            <w:pPr>
              <w:rPr>
                <w:rFonts w:cs="Arial"/>
                <w:color w:val="FF0000"/>
                <w:sz w:val="21"/>
                <w:szCs w:val="21"/>
              </w:rPr>
            </w:pPr>
          </w:p>
        </w:tc>
        <w:tc>
          <w:tcPr>
            <w:tcW w:w="217" w:type="dxa"/>
          </w:tcPr>
          <w:p w14:paraId="0D397E33" w14:textId="77777777" w:rsidR="002C0FD9" w:rsidRPr="00CA25CF" w:rsidRDefault="002C0FD9" w:rsidP="00CA25CF">
            <w:pPr>
              <w:rPr>
                <w:rFonts w:cs="Arial"/>
                <w:color w:val="FF0000"/>
                <w:sz w:val="21"/>
                <w:szCs w:val="21"/>
              </w:rPr>
            </w:pPr>
          </w:p>
        </w:tc>
        <w:tc>
          <w:tcPr>
            <w:tcW w:w="217" w:type="dxa"/>
          </w:tcPr>
          <w:p w14:paraId="71AB29C4" w14:textId="77777777" w:rsidR="002C0FD9" w:rsidRPr="00CA25CF" w:rsidRDefault="002C0FD9" w:rsidP="00CA25CF">
            <w:pPr>
              <w:rPr>
                <w:rFonts w:cs="Arial"/>
                <w:color w:val="FF0000"/>
                <w:sz w:val="21"/>
                <w:szCs w:val="21"/>
              </w:rPr>
            </w:pPr>
          </w:p>
        </w:tc>
        <w:tc>
          <w:tcPr>
            <w:tcW w:w="217" w:type="dxa"/>
          </w:tcPr>
          <w:p w14:paraId="4E6E29BB" w14:textId="77777777" w:rsidR="002C0FD9" w:rsidRPr="00CA25CF" w:rsidRDefault="002C0FD9" w:rsidP="00CA25CF">
            <w:pPr>
              <w:rPr>
                <w:rFonts w:cs="Arial"/>
                <w:color w:val="FF0000"/>
                <w:sz w:val="21"/>
                <w:szCs w:val="21"/>
              </w:rPr>
            </w:pPr>
          </w:p>
        </w:tc>
        <w:tc>
          <w:tcPr>
            <w:tcW w:w="217" w:type="dxa"/>
          </w:tcPr>
          <w:p w14:paraId="7343C991" w14:textId="77777777" w:rsidR="002C0FD9" w:rsidRPr="00CA25CF" w:rsidRDefault="002C0FD9" w:rsidP="00CA25CF">
            <w:pPr>
              <w:rPr>
                <w:rFonts w:cs="Arial"/>
                <w:color w:val="FF0000"/>
                <w:sz w:val="21"/>
                <w:szCs w:val="21"/>
              </w:rPr>
            </w:pPr>
          </w:p>
        </w:tc>
        <w:tc>
          <w:tcPr>
            <w:tcW w:w="217" w:type="dxa"/>
          </w:tcPr>
          <w:p w14:paraId="0A98A954" w14:textId="77777777" w:rsidR="002C0FD9" w:rsidRPr="00CA25CF" w:rsidRDefault="002C0FD9" w:rsidP="00CA25CF">
            <w:pPr>
              <w:rPr>
                <w:rFonts w:cs="Arial"/>
                <w:color w:val="FF0000"/>
                <w:sz w:val="21"/>
                <w:szCs w:val="21"/>
              </w:rPr>
            </w:pPr>
          </w:p>
        </w:tc>
      </w:tr>
      <w:tr w:rsidR="002C0FD9" w:rsidRPr="00A16219" w14:paraId="3E2EE148" w14:textId="77777777" w:rsidTr="002C0FD9">
        <w:trPr>
          <w:trHeight w:val="635"/>
        </w:trPr>
        <w:tc>
          <w:tcPr>
            <w:tcW w:w="515" w:type="dxa"/>
          </w:tcPr>
          <w:p w14:paraId="5280D072" w14:textId="77777777" w:rsidR="002C0FD9" w:rsidRPr="00CA25CF" w:rsidRDefault="002C0FD9" w:rsidP="00CA25CF">
            <w:pPr>
              <w:rPr>
                <w:rFonts w:cs="Arial"/>
                <w:color w:val="FF0000"/>
                <w:sz w:val="21"/>
                <w:szCs w:val="21"/>
              </w:rPr>
            </w:pPr>
          </w:p>
        </w:tc>
        <w:tc>
          <w:tcPr>
            <w:tcW w:w="217" w:type="dxa"/>
          </w:tcPr>
          <w:p w14:paraId="32C975F7" w14:textId="77777777" w:rsidR="002C0FD9" w:rsidRPr="00CA25CF" w:rsidRDefault="002C0FD9" w:rsidP="00CA25CF">
            <w:pPr>
              <w:rPr>
                <w:rFonts w:cs="Arial"/>
                <w:color w:val="FF0000"/>
                <w:sz w:val="21"/>
                <w:szCs w:val="21"/>
              </w:rPr>
            </w:pPr>
          </w:p>
        </w:tc>
        <w:tc>
          <w:tcPr>
            <w:tcW w:w="217" w:type="dxa"/>
          </w:tcPr>
          <w:p w14:paraId="75BF4252" w14:textId="77777777" w:rsidR="002C0FD9" w:rsidRPr="00CA25CF" w:rsidRDefault="002C0FD9" w:rsidP="00CA25CF">
            <w:pPr>
              <w:rPr>
                <w:rFonts w:cs="Arial"/>
                <w:color w:val="FF0000"/>
                <w:sz w:val="21"/>
                <w:szCs w:val="21"/>
              </w:rPr>
            </w:pPr>
          </w:p>
        </w:tc>
        <w:tc>
          <w:tcPr>
            <w:tcW w:w="217" w:type="dxa"/>
          </w:tcPr>
          <w:p w14:paraId="45602977" w14:textId="77777777" w:rsidR="002C0FD9" w:rsidRPr="00CA25CF" w:rsidRDefault="002C0FD9" w:rsidP="00CA25CF">
            <w:pPr>
              <w:rPr>
                <w:rFonts w:cs="Arial"/>
                <w:color w:val="FF0000"/>
                <w:sz w:val="21"/>
                <w:szCs w:val="21"/>
              </w:rPr>
            </w:pPr>
          </w:p>
        </w:tc>
        <w:tc>
          <w:tcPr>
            <w:tcW w:w="217" w:type="dxa"/>
          </w:tcPr>
          <w:p w14:paraId="1523A6CE" w14:textId="77777777" w:rsidR="002C0FD9" w:rsidRPr="00CA25CF" w:rsidRDefault="002C0FD9" w:rsidP="00CA25CF">
            <w:pPr>
              <w:rPr>
                <w:rFonts w:cs="Arial"/>
                <w:color w:val="FF0000"/>
                <w:sz w:val="21"/>
                <w:szCs w:val="21"/>
              </w:rPr>
            </w:pPr>
          </w:p>
        </w:tc>
        <w:tc>
          <w:tcPr>
            <w:tcW w:w="217" w:type="dxa"/>
          </w:tcPr>
          <w:p w14:paraId="13C2E7E2" w14:textId="77777777" w:rsidR="002C0FD9" w:rsidRPr="00CA25CF" w:rsidRDefault="002C0FD9" w:rsidP="00CA25CF">
            <w:pPr>
              <w:rPr>
                <w:rFonts w:cs="Arial"/>
                <w:color w:val="FF0000"/>
                <w:sz w:val="21"/>
                <w:szCs w:val="21"/>
              </w:rPr>
            </w:pPr>
          </w:p>
        </w:tc>
        <w:tc>
          <w:tcPr>
            <w:tcW w:w="217" w:type="dxa"/>
          </w:tcPr>
          <w:p w14:paraId="374681AC" w14:textId="77777777" w:rsidR="002C0FD9" w:rsidRPr="00CA25CF" w:rsidRDefault="002C0FD9" w:rsidP="00CA25CF">
            <w:pPr>
              <w:rPr>
                <w:rFonts w:cs="Arial"/>
                <w:color w:val="FF0000"/>
                <w:sz w:val="21"/>
                <w:szCs w:val="21"/>
              </w:rPr>
            </w:pPr>
          </w:p>
        </w:tc>
        <w:tc>
          <w:tcPr>
            <w:tcW w:w="217" w:type="dxa"/>
          </w:tcPr>
          <w:p w14:paraId="26E982A5" w14:textId="77777777" w:rsidR="002C0FD9" w:rsidRPr="00CA25CF" w:rsidRDefault="002C0FD9" w:rsidP="00CA25CF">
            <w:pPr>
              <w:rPr>
                <w:rFonts w:cs="Arial"/>
                <w:color w:val="FF0000"/>
                <w:sz w:val="21"/>
                <w:szCs w:val="21"/>
              </w:rPr>
            </w:pPr>
          </w:p>
        </w:tc>
        <w:tc>
          <w:tcPr>
            <w:tcW w:w="217" w:type="dxa"/>
          </w:tcPr>
          <w:p w14:paraId="6745C1A4" w14:textId="77777777" w:rsidR="002C0FD9" w:rsidRPr="00CA25CF" w:rsidRDefault="002C0FD9" w:rsidP="00CA25CF">
            <w:pPr>
              <w:rPr>
                <w:rFonts w:cs="Arial"/>
                <w:color w:val="FF0000"/>
                <w:sz w:val="21"/>
                <w:szCs w:val="21"/>
              </w:rPr>
            </w:pPr>
          </w:p>
        </w:tc>
        <w:tc>
          <w:tcPr>
            <w:tcW w:w="217" w:type="dxa"/>
          </w:tcPr>
          <w:p w14:paraId="7A229847" w14:textId="77777777" w:rsidR="002C0FD9" w:rsidRPr="00CA25CF" w:rsidRDefault="002C0FD9" w:rsidP="00CA25CF">
            <w:pPr>
              <w:rPr>
                <w:rFonts w:cs="Arial"/>
                <w:color w:val="FF0000"/>
                <w:sz w:val="21"/>
                <w:szCs w:val="21"/>
              </w:rPr>
            </w:pPr>
          </w:p>
        </w:tc>
        <w:tc>
          <w:tcPr>
            <w:tcW w:w="217" w:type="dxa"/>
          </w:tcPr>
          <w:p w14:paraId="1C38C49F" w14:textId="77777777" w:rsidR="002C0FD9" w:rsidRPr="00CA25CF" w:rsidRDefault="002C0FD9" w:rsidP="00CA25CF">
            <w:pPr>
              <w:rPr>
                <w:rFonts w:cs="Arial"/>
                <w:color w:val="FF0000"/>
                <w:sz w:val="21"/>
                <w:szCs w:val="21"/>
              </w:rPr>
            </w:pPr>
          </w:p>
        </w:tc>
        <w:tc>
          <w:tcPr>
            <w:tcW w:w="217" w:type="dxa"/>
          </w:tcPr>
          <w:p w14:paraId="48DBBFBC" w14:textId="77777777" w:rsidR="002C0FD9" w:rsidRPr="00CA25CF" w:rsidRDefault="002C0FD9" w:rsidP="00CA25CF">
            <w:pPr>
              <w:rPr>
                <w:rFonts w:cs="Arial"/>
                <w:color w:val="FF0000"/>
                <w:sz w:val="21"/>
                <w:szCs w:val="21"/>
              </w:rPr>
            </w:pPr>
          </w:p>
        </w:tc>
        <w:tc>
          <w:tcPr>
            <w:tcW w:w="217" w:type="dxa"/>
          </w:tcPr>
          <w:p w14:paraId="31575D13" w14:textId="77777777" w:rsidR="002C0FD9" w:rsidRPr="00CA25CF" w:rsidRDefault="002C0FD9" w:rsidP="00CA25CF">
            <w:pPr>
              <w:rPr>
                <w:rFonts w:cs="Arial"/>
                <w:color w:val="FF0000"/>
                <w:sz w:val="21"/>
                <w:szCs w:val="21"/>
              </w:rPr>
            </w:pPr>
          </w:p>
        </w:tc>
        <w:tc>
          <w:tcPr>
            <w:tcW w:w="217" w:type="dxa"/>
          </w:tcPr>
          <w:p w14:paraId="7F9A6A34" w14:textId="77777777" w:rsidR="002C0FD9" w:rsidRPr="00CA25CF" w:rsidRDefault="002C0FD9" w:rsidP="00CA25CF">
            <w:pPr>
              <w:rPr>
                <w:rFonts w:cs="Arial"/>
                <w:color w:val="FF0000"/>
                <w:sz w:val="21"/>
                <w:szCs w:val="21"/>
              </w:rPr>
            </w:pPr>
          </w:p>
        </w:tc>
        <w:tc>
          <w:tcPr>
            <w:tcW w:w="217" w:type="dxa"/>
          </w:tcPr>
          <w:p w14:paraId="61E957F5" w14:textId="77777777" w:rsidR="002C0FD9" w:rsidRPr="00CA25CF" w:rsidRDefault="002C0FD9" w:rsidP="00CA25CF">
            <w:pPr>
              <w:rPr>
                <w:rFonts w:cs="Arial"/>
                <w:color w:val="FF0000"/>
                <w:sz w:val="21"/>
                <w:szCs w:val="21"/>
              </w:rPr>
            </w:pPr>
          </w:p>
        </w:tc>
        <w:tc>
          <w:tcPr>
            <w:tcW w:w="217" w:type="dxa"/>
          </w:tcPr>
          <w:p w14:paraId="4FE030A3" w14:textId="77777777" w:rsidR="002C0FD9" w:rsidRPr="00CA25CF" w:rsidRDefault="002C0FD9" w:rsidP="00CA25CF">
            <w:pPr>
              <w:rPr>
                <w:rFonts w:cs="Arial"/>
                <w:color w:val="FF0000"/>
                <w:sz w:val="21"/>
                <w:szCs w:val="21"/>
              </w:rPr>
            </w:pPr>
          </w:p>
        </w:tc>
        <w:tc>
          <w:tcPr>
            <w:tcW w:w="217" w:type="dxa"/>
          </w:tcPr>
          <w:p w14:paraId="66B6C6DD" w14:textId="77777777" w:rsidR="002C0FD9" w:rsidRPr="00CA25CF" w:rsidRDefault="002C0FD9" w:rsidP="00CA25CF">
            <w:pPr>
              <w:rPr>
                <w:rFonts w:cs="Arial"/>
                <w:color w:val="FF0000"/>
                <w:sz w:val="21"/>
                <w:szCs w:val="21"/>
              </w:rPr>
            </w:pPr>
          </w:p>
        </w:tc>
        <w:tc>
          <w:tcPr>
            <w:tcW w:w="217" w:type="dxa"/>
          </w:tcPr>
          <w:p w14:paraId="0CF7EA79" w14:textId="77777777" w:rsidR="002C0FD9" w:rsidRPr="00CA25CF" w:rsidRDefault="002C0FD9" w:rsidP="00CA25CF">
            <w:pPr>
              <w:rPr>
                <w:rFonts w:cs="Arial"/>
                <w:color w:val="FF0000"/>
                <w:sz w:val="21"/>
                <w:szCs w:val="21"/>
              </w:rPr>
            </w:pPr>
          </w:p>
        </w:tc>
        <w:tc>
          <w:tcPr>
            <w:tcW w:w="217" w:type="dxa"/>
          </w:tcPr>
          <w:p w14:paraId="1DEAE3CC" w14:textId="77777777" w:rsidR="002C0FD9" w:rsidRPr="00CA25CF" w:rsidRDefault="002C0FD9" w:rsidP="00CA25CF">
            <w:pPr>
              <w:rPr>
                <w:rFonts w:cs="Arial"/>
                <w:color w:val="FF0000"/>
                <w:sz w:val="21"/>
                <w:szCs w:val="21"/>
              </w:rPr>
            </w:pPr>
          </w:p>
        </w:tc>
        <w:tc>
          <w:tcPr>
            <w:tcW w:w="217" w:type="dxa"/>
          </w:tcPr>
          <w:p w14:paraId="5731D9A8" w14:textId="77777777" w:rsidR="002C0FD9" w:rsidRPr="00CA25CF" w:rsidRDefault="002C0FD9" w:rsidP="00CA25CF">
            <w:pPr>
              <w:rPr>
                <w:rFonts w:cs="Arial"/>
                <w:color w:val="FF0000"/>
                <w:sz w:val="21"/>
                <w:szCs w:val="21"/>
              </w:rPr>
            </w:pPr>
          </w:p>
        </w:tc>
        <w:tc>
          <w:tcPr>
            <w:tcW w:w="217" w:type="dxa"/>
          </w:tcPr>
          <w:p w14:paraId="2E77E5FD" w14:textId="77777777" w:rsidR="002C0FD9" w:rsidRPr="00CA25CF" w:rsidRDefault="002C0FD9" w:rsidP="00CA25CF">
            <w:pPr>
              <w:rPr>
                <w:rFonts w:cs="Arial"/>
                <w:color w:val="FF0000"/>
                <w:sz w:val="21"/>
                <w:szCs w:val="21"/>
              </w:rPr>
            </w:pPr>
          </w:p>
        </w:tc>
        <w:tc>
          <w:tcPr>
            <w:tcW w:w="217" w:type="dxa"/>
          </w:tcPr>
          <w:p w14:paraId="48BEDA39" w14:textId="77777777" w:rsidR="002C0FD9" w:rsidRPr="00CA25CF" w:rsidRDefault="002C0FD9" w:rsidP="00CA25CF">
            <w:pPr>
              <w:rPr>
                <w:rFonts w:cs="Arial"/>
                <w:color w:val="FF0000"/>
                <w:sz w:val="21"/>
                <w:szCs w:val="21"/>
              </w:rPr>
            </w:pPr>
          </w:p>
        </w:tc>
        <w:tc>
          <w:tcPr>
            <w:tcW w:w="217" w:type="dxa"/>
          </w:tcPr>
          <w:p w14:paraId="5CC6A934" w14:textId="77777777" w:rsidR="002C0FD9" w:rsidRPr="00CA25CF" w:rsidRDefault="002C0FD9" w:rsidP="00CA25CF">
            <w:pPr>
              <w:rPr>
                <w:rFonts w:cs="Arial"/>
                <w:color w:val="FF0000"/>
                <w:sz w:val="21"/>
                <w:szCs w:val="21"/>
              </w:rPr>
            </w:pPr>
          </w:p>
        </w:tc>
        <w:tc>
          <w:tcPr>
            <w:tcW w:w="217" w:type="dxa"/>
          </w:tcPr>
          <w:p w14:paraId="4C560A54" w14:textId="77777777" w:rsidR="002C0FD9" w:rsidRPr="00CA25CF" w:rsidRDefault="002C0FD9" w:rsidP="00CA25CF">
            <w:pPr>
              <w:rPr>
                <w:rFonts w:cs="Arial"/>
                <w:color w:val="FF0000"/>
                <w:sz w:val="21"/>
                <w:szCs w:val="21"/>
              </w:rPr>
            </w:pPr>
          </w:p>
        </w:tc>
        <w:tc>
          <w:tcPr>
            <w:tcW w:w="217" w:type="dxa"/>
          </w:tcPr>
          <w:p w14:paraId="1BD71B93" w14:textId="77777777" w:rsidR="002C0FD9" w:rsidRPr="00CA25CF" w:rsidRDefault="002C0FD9" w:rsidP="00CA25CF">
            <w:pPr>
              <w:rPr>
                <w:rFonts w:cs="Arial"/>
                <w:color w:val="FF0000"/>
                <w:sz w:val="21"/>
                <w:szCs w:val="21"/>
              </w:rPr>
            </w:pPr>
          </w:p>
        </w:tc>
        <w:tc>
          <w:tcPr>
            <w:tcW w:w="217" w:type="dxa"/>
          </w:tcPr>
          <w:p w14:paraId="26498ED3" w14:textId="77777777" w:rsidR="002C0FD9" w:rsidRPr="00CA25CF" w:rsidRDefault="002C0FD9" w:rsidP="00CA25CF">
            <w:pPr>
              <w:rPr>
                <w:rFonts w:cs="Arial"/>
                <w:color w:val="FF0000"/>
                <w:sz w:val="21"/>
                <w:szCs w:val="21"/>
              </w:rPr>
            </w:pPr>
          </w:p>
        </w:tc>
        <w:tc>
          <w:tcPr>
            <w:tcW w:w="217" w:type="dxa"/>
          </w:tcPr>
          <w:p w14:paraId="6EF905DF" w14:textId="77777777" w:rsidR="002C0FD9" w:rsidRPr="00CA25CF" w:rsidRDefault="002C0FD9" w:rsidP="00CA25CF">
            <w:pPr>
              <w:rPr>
                <w:rFonts w:cs="Arial"/>
                <w:color w:val="FF0000"/>
                <w:sz w:val="21"/>
                <w:szCs w:val="21"/>
              </w:rPr>
            </w:pPr>
          </w:p>
        </w:tc>
        <w:tc>
          <w:tcPr>
            <w:tcW w:w="217" w:type="dxa"/>
          </w:tcPr>
          <w:p w14:paraId="62633851" w14:textId="77777777" w:rsidR="002C0FD9" w:rsidRPr="00CA25CF" w:rsidRDefault="002C0FD9" w:rsidP="00CA25CF">
            <w:pPr>
              <w:rPr>
                <w:rFonts w:cs="Arial"/>
                <w:color w:val="FF0000"/>
                <w:sz w:val="21"/>
                <w:szCs w:val="21"/>
              </w:rPr>
            </w:pPr>
          </w:p>
        </w:tc>
        <w:tc>
          <w:tcPr>
            <w:tcW w:w="217" w:type="dxa"/>
          </w:tcPr>
          <w:p w14:paraId="13746275" w14:textId="77777777" w:rsidR="002C0FD9" w:rsidRPr="00CA25CF" w:rsidRDefault="002C0FD9" w:rsidP="00CA25CF">
            <w:pPr>
              <w:rPr>
                <w:rFonts w:cs="Arial"/>
                <w:color w:val="FF0000"/>
                <w:sz w:val="21"/>
                <w:szCs w:val="21"/>
              </w:rPr>
            </w:pPr>
          </w:p>
        </w:tc>
        <w:tc>
          <w:tcPr>
            <w:tcW w:w="217" w:type="dxa"/>
          </w:tcPr>
          <w:p w14:paraId="72F1CC9C" w14:textId="77777777" w:rsidR="002C0FD9" w:rsidRPr="00CA25CF" w:rsidRDefault="002C0FD9" w:rsidP="00CA25CF">
            <w:pPr>
              <w:rPr>
                <w:rFonts w:cs="Arial"/>
                <w:color w:val="FF0000"/>
                <w:sz w:val="21"/>
                <w:szCs w:val="21"/>
              </w:rPr>
            </w:pPr>
          </w:p>
        </w:tc>
        <w:tc>
          <w:tcPr>
            <w:tcW w:w="217" w:type="dxa"/>
          </w:tcPr>
          <w:p w14:paraId="41438005" w14:textId="77777777" w:rsidR="002C0FD9" w:rsidRPr="00CA25CF" w:rsidRDefault="002C0FD9" w:rsidP="00CA25CF">
            <w:pPr>
              <w:rPr>
                <w:rFonts w:cs="Arial"/>
                <w:color w:val="FF0000"/>
                <w:sz w:val="21"/>
                <w:szCs w:val="21"/>
              </w:rPr>
            </w:pPr>
          </w:p>
        </w:tc>
        <w:tc>
          <w:tcPr>
            <w:tcW w:w="217" w:type="dxa"/>
          </w:tcPr>
          <w:p w14:paraId="559329B0" w14:textId="77777777" w:rsidR="002C0FD9" w:rsidRPr="00CA25CF" w:rsidRDefault="002C0FD9" w:rsidP="00CA25CF">
            <w:pPr>
              <w:rPr>
                <w:rFonts w:cs="Arial"/>
                <w:color w:val="FF0000"/>
                <w:sz w:val="21"/>
                <w:szCs w:val="21"/>
              </w:rPr>
            </w:pPr>
          </w:p>
        </w:tc>
        <w:tc>
          <w:tcPr>
            <w:tcW w:w="217" w:type="dxa"/>
          </w:tcPr>
          <w:p w14:paraId="09B33808" w14:textId="77777777" w:rsidR="002C0FD9" w:rsidRPr="00CA25CF" w:rsidRDefault="002C0FD9" w:rsidP="00CA25CF">
            <w:pPr>
              <w:rPr>
                <w:rFonts w:cs="Arial"/>
                <w:color w:val="FF0000"/>
                <w:sz w:val="21"/>
                <w:szCs w:val="21"/>
              </w:rPr>
            </w:pPr>
          </w:p>
        </w:tc>
        <w:tc>
          <w:tcPr>
            <w:tcW w:w="217" w:type="dxa"/>
          </w:tcPr>
          <w:p w14:paraId="3B793E62" w14:textId="77777777" w:rsidR="002C0FD9" w:rsidRPr="00CA25CF" w:rsidRDefault="002C0FD9" w:rsidP="00CA25CF">
            <w:pPr>
              <w:rPr>
                <w:rFonts w:cs="Arial"/>
                <w:color w:val="FF0000"/>
                <w:sz w:val="21"/>
                <w:szCs w:val="21"/>
              </w:rPr>
            </w:pPr>
          </w:p>
        </w:tc>
        <w:tc>
          <w:tcPr>
            <w:tcW w:w="217" w:type="dxa"/>
          </w:tcPr>
          <w:p w14:paraId="355B0746" w14:textId="77777777" w:rsidR="002C0FD9" w:rsidRPr="00CA25CF" w:rsidRDefault="002C0FD9" w:rsidP="00CA25CF">
            <w:pPr>
              <w:rPr>
                <w:rFonts w:cs="Arial"/>
                <w:color w:val="FF0000"/>
                <w:sz w:val="21"/>
                <w:szCs w:val="21"/>
              </w:rPr>
            </w:pPr>
          </w:p>
        </w:tc>
        <w:tc>
          <w:tcPr>
            <w:tcW w:w="217" w:type="dxa"/>
          </w:tcPr>
          <w:p w14:paraId="0032E1D3" w14:textId="77777777" w:rsidR="002C0FD9" w:rsidRPr="00CA25CF" w:rsidRDefault="002C0FD9" w:rsidP="00CA25CF">
            <w:pPr>
              <w:rPr>
                <w:rFonts w:cs="Arial"/>
                <w:color w:val="FF0000"/>
                <w:sz w:val="21"/>
                <w:szCs w:val="21"/>
              </w:rPr>
            </w:pPr>
          </w:p>
        </w:tc>
        <w:tc>
          <w:tcPr>
            <w:tcW w:w="217" w:type="dxa"/>
          </w:tcPr>
          <w:p w14:paraId="3B0E0384" w14:textId="77777777" w:rsidR="002C0FD9" w:rsidRPr="00CA25CF" w:rsidRDefault="002C0FD9" w:rsidP="00CA25CF">
            <w:pPr>
              <w:rPr>
                <w:rFonts w:cs="Arial"/>
                <w:color w:val="FF0000"/>
                <w:sz w:val="21"/>
                <w:szCs w:val="21"/>
              </w:rPr>
            </w:pPr>
          </w:p>
        </w:tc>
        <w:tc>
          <w:tcPr>
            <w:tcW w:w="217" w:type="dxa"/>
          </w:tcPr>
          <w:p w14:paraId="23A9AAB6" w14:textId="77777777" w:rsidR="002C0FD9" w:rsidRPr="00CA25CF" w:rsidRDefault="002C0FD9" w:rsidP="00CA25CF">
            <w:pPr>
              <w:rPr>
                <w:rFonts w:cs="Arial"/>
                <w:color w:val="FF0000"/>
                <w:sz w:val="21"/>
                <w:szCs w:val="21"/>
              </w:rPr>
            </w:pPr>
          </w:p>
        </w:tc>
        <w:tc>
          <w:tcPr>
            <w:tcW w:w="217" w:type="dxa"/>
          </w:tcPr>
          <w:p w14:paraId="3F06BC1E" w14:textId="77777777" w:rsidR="002C0FD9" w:rsidRPr="00CA25CF" w:rsidRDefault="002C0FD9" w:rsidP="00CA25CF">
            <w:pPr>
              <w:rPr>
                <w:rFonts w:cs="Arial"/>
                <w:color w:val="FF0000"/>
                <w:sz w:val="21"/>
                <w:szCs w:val="21"/>
              </w:rPr>
            </w:pPr>
          </w:p>
        </w:tc>
        <w:tc>
          <w:tcPr>
            <w:tcW w:w="217" w:type="dxa"/>
          </w:tcPr>
          <w:p w14:paraId="006BA6FD" w14:textId="77777777" w:rsidR="002C0FD9" w:rsidRPr="00CA25CF" w:rsidRDefault="002C0FD9" w:rsidP="00CA25CF">
            <w:pPr>
              <w:rPr>
                <w:rFonts w:cs="Arial"/>
                <w:color w:val="FF0000"/>
                <w:sz w:val="21"/>
                <w:szCs w:val="21"/>
              </w:rPr>
            </w:pPr>
          </w:p>
        </w:tc>
        <w:tc>
          <w:tcPr>
            <w:tcW w:w="217" w:type="dxa"/>
          </w:tcPr>
          <w:p w14:paraId="3CF1F474" w14:textId="77777777" w:rsidR="002C0FD9" w:rsidRPr="00CA25CF" w:rsidRDefault="002C0FD9" w:rsidP="00CA25CF">
            <w:pPr>
              <w:rPr>
                <w:rFonts w:cs="Arial"/>
                <w:color w:val="FF0000"/>
                <w:sz w:val="21"/>
                <w:szCs w:val="21"/>
              </w:rPr>
            </w:pPr>
          </w:p>
        </w:tc>
        <w:tc>
          <w:tcPr>
            <w:tcW w:w="217" w:type="dxa"/>
          </w:tcPr>
          <w:p w14:paraId="293BD6FE" w14:textId="77777777" w:rsidR="002C0FD9" w:rsidRPr="00CA25CF" w:rsidRDefault="002C0FD9" w:rsidP="00CA25CF">
            <w:pPr>
              <w:rPr>
                <w:rFonts w:cs="Arial"/>
                <w:color w:val="FF0000"/>
                <w:sz w:val="21"/>
                <w:szCs w:val="21"/>
              </w:rPr>
            </w:pPr>
          </w:p>
        </w:tc>
        <w:tc>
          <w:tcPr>
            <w:tcW w:w="217" w:type="dxa"/>
          </w:tcPr>
          <w:p w14:paraId="77B38CD6" w14:textId="77777777" w:rsidR="002C0FD9" w:rsidRPr="00CA25CF" w:rsidRDefault="002C0FD9" w:rsidP="00CA25CF">
            <w:pPr>
              <w:rPr>
                <w:rFonts w:cs="Arial"/>
                <w:color w:val="FF0000"/>
                <w:sz w:val="21"/>
                <w:szCs w:val="21"/>
              </w:rPr>
            </w:pPr>
          </w:p>
        </w:tc>
      </w:tr>
      <w:tr w:rsidR="002C0FD9" w:rsidRPr="00A16219" w14:paraId="01BF4DA4" w14:textId="77777777" w:rsidTr="002C0FD9">
        <w:trPr>
          <w:trHeight w:val="635"/>
        </w:trPr>
        <w:tc>
          <w:tcPr>
            <w:tcW w:w="515" w:type="dxa"/>
          </w:tcPr>
          <w:p w14:paraId="27856472" w14:textId="77777777" w:rsidR="002C0FD9" w:rsidRPr="00CA25CF" w:rsidRDefault="002C0FD9" w:rsidP="00CA25CF">
            <w:pPr>
              <w:rPr>
                <w:rFonts w:cs="Arial"/>
                <w:color w:val="FF0000"/>
                <w:sz w:val="21"/>
                <w:szCs w:val="21"/>
              </w:rPr>
            </w:pPr>
          </w:p>
        </w:tc>
        <w:tc>
          <w:tcPr>
            <w:tcW w:w="217" w:type="dxa"/>
          </w:tcPr>
          <w:p w14:paraId="436B225C" w14:textId="77777777" w:rsidR="002C0FD9" w:rsidRPr="00CA25CF" w:rsidRDefault="002C0FD9" w:rsidP="00CA25CF">
            <w:pPr>
              <w:rPr>
                <w:rFonts w:cs="Arial"/>
                <w:color w:val="FF0000"/>
                <w:sz w:val="21"/>
                <w:szCs w:val="21"/>
              </w:rPr>
            </w:pPr>
          </w:p>
        </w:tc>
        <w:tc>
          <w:tcPr>
            <w:tcW w:w="217" w:type="dxa"/>
          </w:tcPr>
          <w:p w14:paraId="0011FF10" w14:textId="77777777" w:rsidR="002C0FD9" w:rsidRPr="00CA25CF" w:rsidRDefault="002C0FD9" w:rsidP="00CA25CF">
            <w:pPr>
              <w:rPr>
                <w:rFonts w:cs="Arial"/>
                <w:color w:val="FF0000"/>
                <w:sz w:val="21"/>
                <w:szCs w:val="21"/>
              </w:rPr>
            </w:pPr>
          </w:p>
        </w:tc>
        <w:tc>
          <w:tcPr>
            <w:tcW w:w="217" w:type="dxa"/>
          </w:tcPr>
          <w:p w14:paraId="4D72C1E8" w14:textId="77777777" w:rsidR="002C0FD9" w:rsidRPr="00CA25CF" w:rsidRDefault="002C0FD9" w:rsidP="00CA25CF">
            <w:pPr>
              <w:rPr>
                <w:rFonts w:cs="Arial"/>
                <w:color w:val="FF0000"/>
                <w:sz w:val="21"/>
                <w:szCs w:val="21"/>
              </w:rPr>
            </w:pPr>
          </w:p>
        </w:tc>
        <w:tc>
          <w:tcPr>
            <w:tcW w:w="217" w:type="dxa"/>
          </w:tcPr>
          <w:p w14:paraId="4685CADB" w14:textId="77777777" w:rsidR="002C0FD9" w:rsidRPr="00CA25CF" w:rsidRDefault="002C0FD9" w:rsidP="00CA25CF">
            <w:pPr>
              <w:rPr>
                <w:rFonts w:cs="Arial"/>
                <w:color w:val="FF0000"/>
                <w:sz w:val="21"/>
                <w:szCs w:val="21"/>
              </w:rPr>
            </w:pPr>
          </w:p>
        </w:tc>
        <w:tc>
          <w:tcPr>
            <w:tcW w:w="217" w:type="dxa"/>
          </w:tcPr>
          <w:p w14:paraId="15C4186A" w14:textId="77777777" w:rsidR="002C0FD9" w:rsidRPr="00CA25CF" w:rsidRDefault="002C0FD9" w:rsidP="00CA25CF">
            <w:pPr>
              <w:rPr>
                <w:rFonts w:cs="Arial"/>
                <w:color w:val="FF0000"/>
                <w:sz w:val="21"/>
                <w:szCs w:val="21"/>
              </w:rPr>
            </w:pPr>
          </w:p>
        </w:tc>
        <w:tc>
          <w:tcPr>
            <w:tcW w:w="217" w:type="dxa"/>
          </w:tcPr>
          <w:p w14:paraId="1EE960B8" w14:textId="77777777" w:rsidR="002C0FD9" w:rsidRPr="00CA25CF" w:rsidRDefault="002C0FD9" w:rsidP="00CA25CF">
            <w:pPr>
              <w:rPr>
                <w:rFonts w:cs="Arial"/>
                <w:color w:val="FF0000"/>
                <w:sz w:val="21"/>
                <w:szCs w:val="21"/>
              </w:rPr>
            </w:pPr>
          </w:p>
        </w:tc>
        <w:tc>
          <w:tcPr>
            <w:tcW w:w="217" w:type="dxa"/>
          </w:tcPr>
          <w:p w14:paraId="7A302DE2" w14:textId="77777777" w:rsidR="002C0FD9" w:rsidRPr="00CA25CF" w:rsidRDefault="002C0FD9" w:rsidP="00CA25CF">
            <w:pPr>
              <w:rPr>
                <w:rFonts w:cs="Arial"/>
                <w:color w:val="FF0000"/>
                <w:sz w:val="21"/>
                <w:szCs w:val="21"/>
              </w:rPr>
            </w:pPr>
          </w:p>
        </w:tc>
        <w:tc>
          <w:tcPr>
            <w:tcW w:w="217" w:type="dxa"/>
          </w:tcPr>
          <w:p w14:paraId="255D3C67" w14:textId="77777777" w:rsidR="002C0FD9" w:rsidRPr="00CA25CF" w:rsidRDefault="002C0FD9" w:rsidP="00CA25CF">
            <w:pPr>
              <w:rPr>
                <w:rFonts w:cs="Arial"/>
                <w:color w:val="FF0000"/>
                <w:sz w:val="21"/>
                <w:szCs w:val="21"/>
              </w:rPr>
            </w:pPr>
          </w:p>
        </w:tc>
        <w:tc>
          <w:tcPr>
            <w:tcW w:w="217" w:type="dxa"/>
          </w:tcPr>
          <w:p w14:paraId="04E2F44B" w14:textId="77777777" w:rsidR="002C0FD9" w:rsidRPr="00CA25CF" w:rsidRDefault="002C0FD9" w:rsidP="00CA25CF">
            <w:pPr>
              <w:rPr>
                <w:rFonts w:cs="Arial"/>
                <w:color w:val="FF0000"/>
                <w:sz w:val="21"/>
                <w:szCs w:val="21"/>
              </w:rPr>
            </w:pPr>
          </w:p>
        </w:tc>
        <w:tc>
          <w:tcPr>
            <w:tcW w:w="217" w:type="dxa"/>
          </w:tcPr>
          <w:p w14:paraId="11C28F8E" w14:textId="77777777" w:rsidR="002C0FD9" w:rsidRPr="00CA25CF" w:rsidRDefault="002C0FD9" w:rsidP="00CA25CF">
            <w:pPr>
              <w:rPr>
                <w:rFonts w:cs="Arial"/>
                <w:color w:val="FF0000"/>
                <w:sz w:val="21"/>
                <w:szCs w:val="21"/>
              </w:rPr>
            </w:pPr>
          </w:p>
        </w:tc>
        <w:tc>
          <w:tcPr>
            <w:tcW w:w="217" w:type="dxa"/>
          </w:tcPr>
          <w:p w14:paraId="7009F7CD" w14:textId="77777777" w:rsidR="002C0FD9" w:rsidRPr="00CA25CF" w:rsidRDefault="002C0FD9" w:rsidP="00CA25CF">
            <w:pPr>
              <w:rPr>
                <w:rFonts w:cs="Arial"/>
                <w:color w:val="FF0000"/>
                <w:sz w:val="21"/>
                <w:szCs w:val="21"/>
              </w:rPr>
            </w:pPr>
          </w:p>
        </w:tc>
        <w:tc>
          <w:tcPr>
            <w:tcW w:w="217" w:type="dxa"/>
          </w:tcPr>
          <w:p w14:paraId="49745CAC" w14:textId="77777777" w:rsidR="002C0FD9" w:rsidRPr="00CA25CF" w:rsidRDefault="002C0FD9" w:rsidP="00CA25CF">
            <w:pPr>
              <w:rPr>
                <w:rFonts w:cs="Arial"/>
                <w:color w:val="FF0000"/>
                <w:sz w:val="21"/>
                <w:szCs w:val="21"/>
              </w:rPr>
            </w:pPr>
          </w:p>
        </w:tc>
        <w:tc>
          <w:tcPr>
            <w:tcW w:w="217" w:type="dxa"/>
          </w:tcPr>
          <w:p w14:paraId="10140D3A" w14:textId="77777777" w:rsidR="002C0FD9" w:rsidRPr="00CA25CF" w:rsidRDefault="002C0FD9" w:rsidP="00CA25CF">
            <w:pPr>
              <w:rPr>
                <w:rFonts w:cs="Arial"/>
                <w:color w:val="FF0000"/>
                <w:sz w:val="21"/>
                <w:szCs w:val="21"/>
              </w:rPr>
            </w:pPr>
          </w:p>
        </w:tc>
        <w:tc>
          <w:tcPr>
            <w:tcW w:w="217" w:type="dxa"/>
          </w:tcPr>
          <w:p w14:paraId="6C4C1C45" w14:textId="77777777" w:rsidR="002C0FD9" w:rsidRPr="00CA25CF" w:rsidRDefault="002C0FD9" w:rsidP="00CA25CF">
            <w:pPr>
              <w:rPr>
                <w:rFonts w:cs="Arial"/>
                <w:color w:val="FF0000"/>
                <w:sz w:val="21"/>
                <w:szCs w:val="21"/>
              </w:rPr>
            </w:pPr>
          </w:p>
        </w:tc>
        <w:tc>
          <w:tcPr>
            <w:tcW w:w="217" w:type="dxa"/>
          </w:tcPr>
          <w:p w14:paraId="3EE577BB" w14:textId="77777777" w:rsidR="002C0FD9" w:rsidRPr="00CA25CF" w:rsidRDefault="002C0FD9" w:rsidP="00CA25CF">
            <w:pPr>
              <w:rPr>
                <w:rFonts w:cs="Arial"/>
                <w:color w:val="FF0000"/>
                <w:sz w:val="21"/>
                <w:szCs w:val="21"/>
              </w:rPr>
            </w:pPr>
          </w:p>
        </w:tc>
        <w:tc>
          <w:tcPr>
            <w:tcW w:w="217" w:type="dxa"/>
          </w:tcPr>
          <w:p w14:paraId="042F13BC" w14:textId="77777777" w:rsidR="002C0FD9" w:rsidRPr="00CA25CF" w:rsidRDefault="002C0FD9" w:rsidP="00CA25CF">
            <w:pPr>
              <w:rPr>
                <w:rFonts w:cs="Arial"/>
                <w:color w:val="FF0000"/>
                <w:sz w:val="21"/>
                <w:szCs w:val="21"/>
              </w:rPr>
            </w:pPr>
          </w:p>
        </w:tc>
        <w:tc>
          <w:tcPr>
            <w:tcW w:w="217" w:type="dxa"/>
          </w:tcPr>
          <w:p w14:paraId="1D14BBC3" w14:textId="77777777" w:rsidR="002C0FD9" w:rsidRPr="00CA25CF" w:rsidRDefault="002C0FD9" w:rsidP="00CA25CF">
            <w:pPr>
              <w:rPr>
                <w:rFonts w:cs="Arial"/>
                <w:color w:val="FF0000"/>
                <w:sz w:val="21"/>
                <w:szCs w:val="21"/>
              </w:rPr>
            </w:pPr>
          </w:p>
        </w:tc>
        <w:tc>
          <w:tcPr>
            <w:tcW w:w="217" w:type="dxa"/>
          </w:tcPr>
          <w:p w14:paraId="3F73DE9D" w14:textId="77777777" w:rsidR="002C0FD9" w:rsidRPr="00CA25CF" w:rsidRDefault="002C0FD9" w:rsidP="00CA25CF">
            <w:pPr>
              <w:rPr>
                <w:rFonts w:cs="Arial"/>
                <w:color w:val="FF0000"/>
                <w:sz w:val="21"/>
                <w:szCs w:val="21"/>
              </w:rPr>
            </w:pPr>
          </w:p>
        </w:tc>
        <w:tc>
          <w:tcPr>
            <w:tcW w:w="217" w:type="dxa"/>
          </w:tcPr>
          <w:p w14:paraId="5B2FFE68" w14:textId="77777777" w:rsidR="002C0FD9" w:rsidRPr="00CA25CF" w:rsidRDefault="002C0FD9" w:rsidP="00CA25CF">
            <w:pPr>
              <w:rPr>
                <w:rFonts w:cs="Arial"/>
                <w:color w:val="FF0000"/>
                <w:sz w:val="21"/>
                <w:szCs w:val="21"/>
              </w:rPr>
            </w:pPr>
          </w:p>
        </w:tc>
        <w:tc>
          <w:tcPr>
            <w:tcW w:w="217" w:type="dxa"/>
          </w:tcPr>
          <w:p w14:paraId="5B3FBFA9" w14:textId="77777777" w:rsidR="002C0FD9" w:rsidRPr="00CA25CF" w:rsidRDefault="002C0FD9" w:rsidP="00CA25CF">
            <w:pPr>
              <w:rPr>
                <w:rFonts w:cs="Arial"/>
                <w:color w:val="FF0000"/>
                <w:sz w:val="21"/>
                <w:szCs w:val="21"/>
              </w:rPr>
            </w:pPr>
          </w:p>
        </w:tc>
        <w:tc>
          <w:tcPr>
            <w:tcW w:w="217" w:type="dxa"/>
          </w:tcPr>
          <w:p w14:paraId="37A8951B" w14:textId="77777777" w:rsidR="002C0FD9" w:rsidRPr="00CA25CF" w:rsidRDefault="002C0FD9" w:rsidP="00CA25CF">
            <w:pPr>
              <w:rPr>
                <w:rFonts w:cs="Arial"/>
                <w:color w:val="FF0000"/>
                <w:sz w:val="21"/>
                <w:szCs w:val="21"/>
              </w:rPr>
            </w:pPr>
          </w:p>
        </w:tc>
        <w:tc>
          <w:tcPr>
            <w:tcW w:w="217" w:type="dxa"/>
          </w:tcPr>
          <w:p w14:paraId="596CF710" w14:textId="77777777" w:rsidR="002C0FD9" w:rsidRPr="00CA25CF" w:rsidRDefault="002C0FD9" w:rsidP="00CA25CF">
            <w:pPr>
              <w:rPr>
                <w:rFonts w:cs="Arial"/>
                <w:color w:val="FF0000"/>
                <w:sz w:val="21"/>
                <w:szCs w:val="21"/>
              </w:rPr>
            </w:pPr>
          </w:p>
        </w:tc>
        <w:tc>
          <w:tcPr>
            <w:tcW w:w="217" w:type="dxa"/>
          </w:tcPr>
          <w:p w14:paraId="444EFAE0" w14:textId="77777777" w:rsidR="002C0FD9" w:rsidRPr="00CA25CF" w:rsidRDefault="002C0FD9" w:rsidP="00CA25CF">
            <w:pPr>
              <w:rPr>
                <w:rFonts w:cs="Arial"/>
                <w:color w:val="FF0000"/>
                <w:sz w:val="21"/>
                <w:szCs w:val="21"/>
              </w:rPr>
            </w:pPr>
          </w:p>
        </w:tc>
        <w:tc>
          <w:tcPr>
            <w:tcW w:w="217" w:type="dxa"/>
          </w:tcPr>
          <w:p w14:paraId="24FB49F4" w14:textId="77777777" w:rsidR="002C0FD9" w:rsidRPr="00CA25CF" w:rsidRDefault="002C0FD9" w:rsidP="00CA25CF">
            <w:pPr>
              <w:rPr>
                <w:rFonts w:cs="Arial"/>
                <w:color w:val="FF0000"/>
                <w:sz w:val="21"/>
                <w:szCs w:val="21"/>
              </w:rPr>
            </w:pPr>
          </w:p>
        </w:tc>
        <w:tc>
          <w:tcPr>
            <w:tcW w:w="217" w:type="dxa"/>
          </w:tcPr>
          <w:p w14:paraId="5750E2AA" w14:textId="77777777" w:rsidR="002C0FD9" w:rsidRPr="00CA25CF" w:rsidRDefault="002C0FD9" w:rsidP="00CA25CF">
            <w:pPr>
              <w:rPr>
                <w:rFonts w:cs="Arial"/>
                <w:color w:val="FF0000"/>
                <w:sz w:val="21"/>
                <w:szCs w:val="21"/>
              </w:rPr>
            </w:pPr>
          </w:p>
        </w:tc>
        <w:tc>
          <w:tcPr>
            <w:tcW w:w="217" w:type="dxa"/>
          </w:tcPr>
          <w:p w14:paraId="55148978" w14:textId="77777777" w:rsidR="002C0FD9" w:rsidRPr="00CA25CF" w:rsidRDefault="002C0FD9" w:rsidP="00CA25CF">
            <w:pPr>
              <w:rPr>
                <w:rFonts w:cs="Arial"/>
                <w:color w:val="FF0000"/>
                <w:sz w:val="21"/>
                <w:szCs w:val="21"/>
              </w:rPr>
            </w:pPr>
          </w:p>
        </w:tc>
        <w:tc>
          <w:tcPr>
            <w:tcW w:w="217" w:type="dxa"/>
          </w:tcPr>
          <w:p w14:paraId="0FEAA826" w14:textId="77777777" w:rsidR="002C0FD9" w:rsidRPr="00CA25CF" w:rsidRDefault="002C0FD9" w:rsidP="00CA25CF">
            <w:pPr>
              <w:rPr>
                <w:rFonts w:cs="Arial"/>
                <w:color w:val="FF0000"/>
                <w:sz w:val="21"/>
                <w:szCs w:val="21"/>
              </w:rPr>
            </w:pPr>
          </w:p>
        </w:tc>
        <w:tc>
          <w:tcPr>
            <w:tcW w:w="217" w:type="dxa"/>
          </w:tcPr>
          <w:p w14:paraId="38416E55" w14:textId="77777777" w:rsidR="002C0FD9" w:rsidRPr="00CA25CF" w:rsidRDefault="002C0FD9" w:rsidP="00CA25CF">
            <w:pPr>
              <w:rPr>
                <w:rFonts w:cs="Arial"/>
                <w:color w:val="FF0000"/>
                <w:sz w:val="21"/>
                <w:szCs w:val="21"/>
              </w:rPr>
            </w:pPr>
          </w:p>
        </w:tc>
        <w:tc>
          <w:tcPr>
            <w:tcW w:w="217" w:type="dxa"/>
          </w:tcPr>
          <w:p w14:paraId="41327305" w14:textId="77777777" w:rsidR="002C0FD9" w:rsidRPr="00CA25CF" w:rsidRDefault="002C0FD9" w:rsidP="00CA25CF">
            <w:pPr>
              <w:rPr>
                <w:rFonts w:cs="Arial"/>
                <w:color w:val="FF0000"/>
                <w:sz w:val="21"/>
                <w:szCs w:val="21"/>
              </w:rPr>
            </w:pPr>
          </w:p>
        </w:tc>
        <w:tc>
          <w:tcPr>
            <w:tcW w:w="217" w:type="dxa"/>
          </w:tcPr>
          <w:p w14:paraId="47734CE0" w14:textId="77777777" w:rsidR="002C0FD9" w:rsidRPr="00CA25CF" w:rsidRDefault="002C0FD9" w:rsidP="00CA25CF">
            <w:pPr>
              <w:rPr>
                <w:rFonts w:cs="Arial"/>
                <w:color w:val="FF0000"/>
                <w:sz w:val="21"/>
                <w:szCs w:val="21"/>
              </w:rPr>
            </w:pPr>
          </w:p>
        </w:tc>
        <w:tc>
          <w:tcPr>
            <w:tcW w:w="217" w:type="dxa"/>
          </w:tcPr>
          <w:p w14:paraId="2D5900D9" w14:textId="77777777" w:rsidR="002C0FD9" w:rsidRPr="00CA25CF" w:rsidRDefault="002C0FD9" w:rsidP="00CA25CF">
            <w:pPr>
              <w:rPr>
                <w:rFonts w:cs="Arial"/>
                <w:color w:val="FF0000"/>
                <w:sz w:val="21"/>
                <w:szCs w:val="21"/>
              </w:rPr>
            </w:pPr>
          </w:p>
        </w:tc>
        <w:tc>
          <w:tcPr>
            <w:tcW w:w="217" w:type="dxa"/>
          </w:tcPr>
          <w:p w14:paraId="4A8245A5" w14:textId="77777777" w:rsidR="002C0FD9" w:rsidRPr="00CA25CF" w:rsidRDefault="002C0FD9" w:rsidP="00CA25CF">
            <w:pPr>
              <w:rPr>
                <w:rFonts w:cs="Arial"/>
                <w:color w:val="FF0000"/>
                <w:sz w:val="21"/>
                <w:szCs w:val="21"/>
              </w:rPr>
            </w:pPr>
          </w:p>
        </w:tc>
        <w:tc>
          <w:tcPr>
            <w:tcW w:w="217" w:type="dxa"/>
          </w:tcPr>
          <w:p w14:paraId="02B6A95B" w14:textId="77777777" w:rsidR="002C0FD9" w:rsidRPr="00CA25CF" w:rsidRDefault="002C0FD9" w:rsidP="00CA25CF">
            <w:pPr>
              <w:rPr>
                <w:rFonts w:cs="Arial"/>
                <w:color w:val="FF0000"/>
                <w:sz w:val="21"/>
                <w:szCs w:val="21"/>
              </w:rPr>
            </w:pPr>
          </w:p>
        </w:tc>
        <w:tc>
          <w:tcPr>
            <w:tcW w:w="217" w:type="dxa"/>
          </w:tcPr>
          <w:p w14:paraId="348BB671" w14:textId="77777777" w:rsidR="002C0FD9" w:rsidRPr="00CA25CF" w:rsidRDefault="002C0FD9" w:rsidP="00CA25CF">
            <w:pPr>
              <w:rPr>
                <w:rFonts w:cs="Arial"/>
                <w:color w:val="FF0000"/>
                <w:sz w:val="21"/>
                <w:szCs w:val="21"/>
              </w:rPr>
            </w:pPr>
          </w:p>
        </w:tc>
        <w:tc>
          <w:tcPr>
            <w:tcW w:w="217" w:type="dxa"/>
          </w:tcPr>
          <w:p w14:paraId="6EE2D13C" w14:textId="77777777" w:rsidR="002C0FD9" w:rsidRPr="00CA25CF" w:rsidRDefault="002C0FD9" w:rsidP="00CA25CF">
            <w:pPr>
              <w:rPr>
                <w:rFonts w:cs="Arial"/>
                <w:color w:val="FF0000"/>
                <w:sz w:val="21"/>
                <w:szCs w:val="21"/>
              </w:rPr>
            </w:pPr>
          </w:p>
        </w:tc>
        <w:tc>
          <w:tcPr>
            <w:tcW w:w="217" w:type="dxa"/>
          </w:tcPr>
          <w:p w14:paraId="0E81E6E2" w14:textId="77777777" w:rsidR="002C0FD9" w:rsidRPr="00CA25CF" w:rsidRDefault="002C0FD9" w:rsidP="00CA25CF">
            <w:pPr>
              <w:rPr>
                <w:rFonts w:cs="Arial"/>
                <w:color w:val="FF0000"/>
                <w:sz w:val="21"/>
                <w:szCs w:val="21"/>
              </w:rPr>
            </w:pPr>
          </w:p>
        </w:tc>
        <w:tc>
          <w:tcPr>
            <w:tcW w:w="217" w:type="dxa"/>
          </w:tcPr>
          <w:p w14:paraId="288317C9" w14:textId="77777777" w:rsidR="002C0FD9" w:rsidRPr="00CA25CF" w:rsidRDefault="002C0FD9" w:rsidP="00CA25CF">
            <w:pPr>
              <w:rPr>
                <w:rFonts w:cs="Arial"/>
                <w:color w:val="FF0000"/>
                <w:sz w:val="21"/>
                <w:szCs w:val="21"/>
              </w:rPr>
            </w:pPr>
          </w:p>
        </w:tc>
        <w:tc>
          <w:tcPr>
            <w:tcW w:w="217" w:type="dxa"/>
          </w:tcPr>
          <w:p w14:paraId="48344FE3" w14:textId="77777777" w:rsidR="002C0FD9" w:rsidRPr="00CA25CF" w:rsidRDefault="002C0FD9" w:rsidP="00CA25CF">
            <w:pPr>
              <w:rPr>
                <w:rFonts w:cs="Arial"/>
                <w:color w:val="FF0000"/>
                <w:sz w:val="21"/>
                <w:szCs w:val="21"/>
              </w:rPr>
            </w:pPr>
          </w:p>
        </w:tc>
        <w:tc>
          <w:tcPr>
            <w:tcW w:w="217" w:type="dxa"/>
          </w:tcPr>
          <w:p w14:paraId="19E99773" w14:textId="77777777" w:rsidR="002C0FD9" w:rsidRPr="00CA25CF" w:rsidRDefault="002C0FD9" w:rsidP="00CA25CF">
            <w:pPr>
              <w:rPr>
                <w:rFonts w:cs="Arial"/>
                <w:color w:val="FF0000"/>
                <w:sz w:val="21"/>
                <w:szCs w:val="21"/>
              </w:rPr>
            </w:pPr>
          </w:p>
        </w:tc>
        <w:tc>
          <w:tcPr>
            <w:tcW w:w="217" w:type="dxa"/>
          </w:tcPr>
          <w:p w14:paraId="3163E467" w14:textId="77777777" w:rsidR="002C0FD9" w:rsidRPr="00CA25CF" w:rsidRDefault="002C0FD9" w:rsidP="00CA25CF">
            <w:pPr>
              <w:rPr>
                <w:rFonts w:cs="Arial"/>
                <w:color w:val="FF0000"/>
                <w:sz w:val="21"/>
                <w:szCs w:val="21"/>
              </w:rPr>
            </w:pPr>
          </w:p>
        </w:tc>
        <w:tc>
          <w:tcPr>
            <w:tcW w:w="217" w:type="dxa"/>
          </w:tcPr>
          <w:p w14:paraId="603E2426" w14:textId="77777777" w:rsidR="002C0FD9" w:rsidRPr="00CA25CF" w:rsidRDefault="002C0FD9" w:rsidP="00CA25CF">
            <w:pPr>
              <w:rPr>
                <w:rFonts w:cs="Arial"/>
                <w:color w:val="FF0000"/>
                <w:sz w:val="21"/>
                <w:szCs w:val="21"/>
              </w:rPr>
            </w:pPr>
          </w:p>
        </w:tc>
        <w:tc>
          <w:tcPr>
            <w:tcW w:w="217" w:type="dxa"/>
          </w:tcPr>
          <w:p w14:paraId="4AFDB2C0" w14:textId="77777777" w:rsidR="002C0FD9" w:rsidRPr="00CA25CF" w:rsidRDefault="002C0FD9" w:rsidP="00CA25CF">
            <w:pPr>
              <w:rPr>
                <w:rFonts w:cs="Arial"/>
                <w:color w:val="FF0000"/>
                <w:sz w:val="21"/>
                <w:szCs w:val="21"/>
              </w:rPr>
            </w:pPr>
          </w:p>
        </w:tc>
      </w:tr>
      <w:tr w:rsidR="002C0FD9" w:rsidRPr="00A16219" w14:paraId="1D676229" w14:textId="77777777" w:rsidTr="002C0FD9">
        <w:trPr>
          <w:trHeight w:val="635"/>
        </w:trPr>
        <w:tc>
          <w:tcPr>
            <w:tcW w:w="515" w:type="dxa"/>
          </w:tcPr>
          <w:p w14:paraId="2312308C" w14:textId="77777777" w:rsidR="002C0FD9" w:rsidRPr="00CA25CF" w:rsidRDefault="002C0FD9" w:rsidP="00CA25CF">
            <w:pPr>
              <w:rPr>
                <w:rFonts w:cs="Arial"/>
                <w:color w:val="FF0000"/>
                <w:sz w:val="21"/>
                <w:szCs w:val="21"/>
              </w:rPr>
            </w:pPr>
          </w:p>
        </w:tc>
        <w:tc>
          <w:tcPr>
            <w:tcW w:w="217" w:type="dxa"/>
          </w:tcPr>
          <w:p w14:paraId="0BDD2589" w14:textId="77777777" w:rsidR="002C0FD9" w:rsidRPr="00CA25CF" w:rsidRDefault="002C0FD9" w:rsidP="00CA25CF">
            <w:pPr>
              <w:rPr>
                <w:rFonts w:cs="Arial"/>
                <w:color w:val="FF0000"/>
                <w:sz w:val="21"/>
                <w:szCs w:val="21"/>
              </w:rPr>
            </w:pPr>
          </w:p>
        </w:tc>
        <w:tc>
          <w:tcPr>
            <w:tcW w:w="217" w:type="dxa"/>
          </w:tcPr>
          <w:p w14:paraId="3DF5A581" w14:textId="77777777" w:rsidR="002C0FD9" w:rsidRPr="00CA25CF" w:rsidRDefault="002C0FD9" w:rsidP="00CA25CF">
            <w:pPr>
              <w:rPr>
                <w:rFonts w:cs="Arial"/>
                <w:color w:val="FF0000"/>
                <w:sz w:val="21"/>
                <w:szCs w:val="21"/>
              </w:rPr>
            </w:pPr>
          </w:p>
        </w:tc>
        <w:tc>
          <w:tcPr>
            <w:tcW w:w="217" w:type="dxa"/>
          </w:tcPr>
          <w:p w14:paraId="13DB0A33" w14:textId="77777777" w:rsidR="002C0FD9" w:rsidRPr="00CA25CF" w:rsidRDefault="002C0FD9" w:rsidP="00CA25CF">
            <w:pPr>
              <w:rPr>
                <w:rFonts w:cs="Arial"/>
                <w:color w:val="FF0000"/>
                <w:sz w:val="21"/>
                <w:szCs w:val="21"/>
              </w:rPr>
            </w:pPr>
          </w:p>
        </w:tc>
        <w:tc>
          <w:tcPr>
            <w:tcW w:w="217" w:type="dxa"/>
          </w:tcPr>
          <w:p w14:paraId="5523132E" w14:textId="77777777" w:rsidR="002C0FD9" w:rsidRPr="00CA25CF" w:rsidRDefault="002C0FD9" w:rsidP="00CA25CF">
            <w:pPr>
              <w:rPr>
                <w:rFonts w:cs="Arial"/>
                <w:color w:val="FF0000"/>
                <w:sz w:val="21"/>
                <w:szCs w:val="21"/>
              </w:rPr>
            </w:pPr>
          </w:p>
        </w:tc>
        <w:tc>
          <w:tcPr>
            <w:tcW w:w="217" w:type="dxa"/>
          </w:tcPr>
          <w:p w14:paraId="3DA39E95" w14:textId="77777777" w:rsidR="002C0FD9" w:rsidRPr="00CA25CF" w:rsidRDefault="002C0FD9" w:rsidP="00CA25CF">
            <w:pPr>
              <w:rPr>
                <w:rFonts w:cs="Arial"/>
                <w:color w:val="FF0000"/>
                <w:sz w:val="21"/>
                <w:szCs w:val="21"/>
              </w:rPr>
            </w:pPr>
          </w:p>
        </w:tc>
        <w:tc>
          <w:tcPr>
            <w:tcW w:w="217" w:type="dxa"/>
          </w:tcPr>
          <w:p w14:paraId="49078FEC" w14:textId="77777777" w:rsidR="002C0FD9" w:rsidRPr="00CA25CF" w:rsidRDefault="002C0FD9" w:rsidP="00CA25CF">
            <w:pPr>
              <w:rPr>
                <w:rFonts w:cs="Arial"/>
                <w:color w:val="FF0000"/>
                <w:sz w:val="21"/>
                <w:szCs w:val="21"/>
              </w:rPr>
            </w:pPr>
          </w:p>
        </w:tc>
        <w:tc>
          <w:tcPr>
            <w:tcW w:w="217" w:type="dxa"/>
          </w:tcPr>
          <w:p w14:paraId="422929C0" w14:textId="77777777" w:rsidR="002C0FD9" w:rsidRPr="00CA25CF" w:rsidRDefault="002C0FD9" w:rsidP="00CA25CF">
            <w:pPr>
              <w:rPr>
                <w:rFonts w:cs="Arial"/>
                <w:color w:val="FF0000"/>
                <w:sz w:val="21"/>
                <w:szCs w:val="21"/>
              </w:rPr>
            </w:pPr>
          </w:p>
        </w:tc>
        <w:tc>
          <w:tcPr>
            <w:tcW w:w="217" w:type="dxa"/>
          </w:tcPr>
          <w:p w14:paraId="40337C7F" w14:textId="77777777" w:rsidR="002C0FD9" w:rsidRPr="00CA25CF" w:rsidRDefault="002C0FD9" w:rsidP="00CA25CF">
            <w:pPr>
              <w:rPr>
                <w:rFonts w:cs="Arial"/>
                <w:color w:val="FF0000"/>
                <w:sz w:val="21"/>
                <w:szCs w:val="21"/>
              </w:rPr>
            </w:pPr>
          </w:p>
        </w:tc>
        <w:tc>
          <w:tcPr>
            <w:tcW w:w="217" w:type="dxa"/>
          </w:tcPr>
          <w:p w14:paraId="123BF47F" w14:textId="77777777" w:rsidR="002C0FD9" w:rsidRPr="00CA25CF" w:rsidRDefault="002C0FD9" w:rsidP="00CA25CF">
            <w:pPr>
              <w:rPr>
                <w:rFonts w:cs="Arial"/>
                <w:color w:val="FF0000"/>
                <w:sz w:val="21"/>
                <w:szCs w:val="21"/>
              </w:rPr>
            </w:pPr>
          </w:p>
        </w:tc>
        <w:tc>
          <w:tcPr>
            <w:tcW w:w="217" w:type="dxa"/>
          </w:tcPr>
          <w:p w14:paraId="211F763E" w14:textId="77777777" w:rsidR="002C0FD9" w:rsidRPr="00CA25CF" w:rsidRDefault="002C0FD9" w:rsidP="00CA25CF">
            <w:pPr>
              <w:rPr>
                <w:rFonts w:cs="Arial"/>
                <w:color w:val="FF0000"/>
                <w:sz w:val="21"/>
                <w:szCs w:val="21"/>
              </w:rPr>
            </w:pPr>
          </w:p>
        </w:tc>
        <w:tc>
          <w:tcPr>
            <w:tcW w:w="217" w:type="dxa"/>
          </w:tcPr>
          <w:p w14:paraId="4F07F4A6" w14:textId="77777777" w:rsidR="002C0FD9" w:rsidRPr="00CA25CF" w:rsidRDefault="002C0FD9" w:rsidP="00CA25CF">
            <w:pPr>
              <w:rPr>
                <w:rFonts w:cs="Arial"/>
                <w:color w:val="FF0000"/>
                <w:sz w:val="21"/>
                <w:szCs w:val="21"/>
              </w:rPr>
            </w:pPr>
          </w:p>
        </w:tc>
        <w:tc>
          <w:tcPr>
            <w:tcW w:w="217" w:type="dxa"/>
          </w:tcPr>
          <w:p w14:paraId="7F41731F" w14:textId="77777777" w:rsidR="002C0FD9" w:rsidRPr="00CA25CF" w:rsidRDefault="002C0FD9" w:rsidP="00CA25CF">
            <w:pPr>
              <w:rPr>
                <w:rFonts w:cs="Arial"/>
                <w:color w:val="FF0000"/>
                <w:sz w:val="21"/>
                <w:szCs w:val="21"/>
              </w:rPr>
            </w:pPr>
          </w:p>
        </w:tc>
        <w:tc>
          <w:tcPr>
            <w:tcW w:w="217" w:type="dxa"/>
          </w:tcPr>
          <w:p w14:paraId="0CEA5EE8" w14:textId="77777777" w:rsidR="002C0FD9" w:rsidRPr="00CA25CF" w:rsidRDefault="002C0FD9" w:rsidP="00CA25CF">
            <w:pPr>
              <w:rPr>
                <w:rFonts w:cs="Arial"/>
                <w:color w:val="FF0000"/>
                <w:sz w:val="21"/>
                <w:szCs w:val="21"/>
              </w:rPr>
            </w:pPr>
          </w:p>
        </w:tc>
        <w:tc>
          <w:tcPr>
            <w:tcW w:w="217" w:type="dxa"/>
          </w:tcPr>
          <w:p w14:paraId="16479A50" w14:textId="77777777" w:rsidR="002C0FD9" w:rsidRPr="00CA25CF" w:rsidRDefault="002C0FD9" w:rsidP="00CA25CF">
            <w:pPr>
              <w:rPr>
                <w:rFonts w:cs="Arial"/>
                <w:color w:val="FF0000"/>
                <w:sz w:val="21"/>
                <w:szCs w:val="21"/>
              </w:rPr>
            </w:pPr>
          </w:p>
        </w:tc>
        <w:tc>
          <w:tcPr>
            <w:tcW w:w="217" w:type="dxa"/>
          </w:tcPr>
          <w:p w14:paraId="53F7B319" w14:textId="77777777" w:rsidR="002C0FD9" w:rsidRPr="00CA25CF" w:rsidRDefault="002C0FD9" w:rsidP="00CA25CF">
            <w:pPr>
              <w:rPr>
                <w:rFonts w:cs="Arial"/>
                <w:color w:val="FF0000"/>
                <w:sz w:val="21"/>
                <w:szCs w:val="21"/>
              </w:rPr>
            </w:pPr>
          </w:p>
        </w:tc>
        <w:tc>
          <w:tcPr>
            <w:tcW w:w="217" w:type="dxa"/>
          </w:tcPr>
          <w:p w14:paraId="609E9D39" w14:textId="77777777" w:rsidR="002C0FD9" w:rsidRPr="00CA25CF" w:rsidRDefault="002C0FD9" w:rsidP="00CA25CF">
            <w:pPr>
              <w:rPr>
                <w:rFonts w:cs="Arial"/>
                <w:color w:val="FF0000"/>
                <w:sz w:val="21"/>
                <w:szCs w:val="21"/>
              </w:rPr>
            </w:pPr>
          </w:p>
        </w:tc>
        <w:tc>
          <w:tcPr>
            <w:tcW w:w="217" w:type="dxa"/>
          </w:tcPr>
          <w:p w14:paraId="40027710" w14:textId="77777777" w:rsidR="002C0FD9" w:rsidRPr="00CA25CF" w:rsidRDefault="002C0FD9" w:rsidP="00CA25CF">
            <w:pPr>
              <w:rPr>
                <w:rFonts w:cs="Arial"/>
                <w:color w:val="FF0000"/>
                <w:sz w:val="21"/>
                <w:szCs w:val="21"/>
              </w:rPr>
            </w:pPr>
          </w:p>
        </w:tc>
        <w:tc>
          <w:tcPr>
            <w:tcW w:w="217" w:type="dxa"/>
          </w:tcPr>
          <w:p w14:paraId="399E751C" w14:textId="77777777" w:rsidR="002C0FD9" w:rsidRPr="00CA25CF" w:rsidRDefault="002C0FD9" w:rsidP="00CA25CF">
            <w:pPr>
              <w:rPr>
                <w:rFonts w:cs="Arial"/>
                <w:color w:val="FF0000"/>
                <w:sz w:val="21"/>
                <w:szCs w:val="21"/>
              </w:rPr>
            </w:pPr>
          </w:p>
        </w:tc>
        <w:tc>
          <w:tcPr>
            <w:tcW w:w="217" w:type="dxa"/>
          </w:tcPr>
          <w:p w14:paraId="0EFF73EA" w14:textId="77777777" w:rsidR="002C0FD9" w:rsidRPr="00CA25CF" w:rsidRDefault="002C0FD9" w:rsidP="00CA25CF">
            <w:pPr>
              <w:rPr>
                <w:rFonts w:cs="Arial"/>
                <w:color w:val="FF0000"/>
                <w:sz w:val="21"/>
                <w:szCs w:val="21"/>
              </w:rPr>
            </w:pPr>
          </w:p>
        </w:tc>
        <w:tc>
          <w:tcPr>
            <w:tcW w:w="217" w:type="dxa"/>
          </w:tcPr>
          <w:p w14:paraId="790E8915" w14:textId="77777777" w:rsidR="002C0FD9" w:rsidRPr="00CA25CF" w:rsidRDefault="002C0FD9" w:rsidP="00CA25CF">
            <w:pPr>
              <w:rPr>
                <w:rFonts w:cs="Arial"/>
                <w:color w:val="FF0000"/>
                <w:sz w:val="21"/>
                <w:szCs w:val="21"/>
              </w:rPr>
            </w:pPr>
          </w:p>
        </w:tc>
        <w:tc>
          <w:tcPr>
            <w:tcW w:w="217" w:type="dxa"/>
          </w:tcPr>
          <w:p w14:paraId="3DADE9DC" w14:textId="77777777" w:rsidR="002C0FD9" w:rsidRPr="00CA25CF" w:rsidRDefault="002C0FD9" w:rsidP="00CA25CF">
            <w:pPr>
              <w:rPr>
                <w:rFonts w:cs="Arial"/>
                <w:color w:val="FF0000"/>
                <w:sz w:val="21"/>
                <w:szCs w:val="21"/>
              </w:rPr>
            </w:pPr>
          </w:p>
        </w:tc>
        <w:tc>
          <w:tcPr>
            <w:tcW w:w="217" w:type="dxa"/>
          </w:tcPr>
          <w:p w14:paraId="53F160BB" w14:textId="77777777" w:rsidR="002C0FD9" w:rsidRPr="00CA25CF" w:rsidRDefault="002C0FD9" w:rsidP="00CA25CF">
            <w:pPr>
              <w:rPr>
                <w:rFonts w:cs="Arial"/>
                <w:color w:val="FF0000"/>
                <w:sz w:val="21"/>
                <w:szCs w:val="21"/>
              </w:rPr>
            </w:pPr>
          </w:p>
        </w:tc>
        <w:tc>
          <w:tcPr>
            <w:tcW w:w="217" w:type="dxa"/>
          </w:tcPr>
          <w:p w14:paraId="6E18CE88" w14:textId="77777777" w:rsidR="002C0FD9" w:rsidRPr="00CA25CF" w:rsidRDefault="002C0FD9" w:rsidP="00CA25CF">
            <w:pPr>
              <w:rPr>
                <w:rFonts w:cs="Arial"/>
                <w:color w:val="FF0000"/>
                <w:sz w:val="21"/>
                <w:szCs w:val="21"/>
              </w:rPr>
            </w:pPr>
          </w:p>
        </w:tc>
        <w:tc>
          <w:tcPr>
            <w:tcW w:w="217" w:type="dxa"/>
          </w:tcPr>
          <w:p w14:paraId="48B82720" w14:textId="77777777" w:rsidR="002C0FD9" w:rsidRPr="00CA25CF" w:rsidRDefault="002C0FD9" w:rsidP="00CA25CF">
            <w:pPr>
              <w:rPr>
                <w:rFonts w:cs="Arial"/>
                <w:color w:val="FF0000"/>
                <w:sz w:val="21"/>
                <w:szCs w:val="21"/>
              </w:rPr>
            </w:pPr>
          </w:p>
        </w:tc>
        <w:tc>
          <w:tcPr>
            <w:tcW w:w="217" w:type="dxa"/>
          </w:tcPr>
          <w:p w14:paraId="5BC1C9DE" w14:textId="77777777" w:rsidR="002C0FD9" w:rsidRPr="00CA25CF" w:rsidRDefault="002C0FD9" w:rsidP="00CA25CF">
            <w:pPr>
              <w:rPr>
                <w:rFonts w:cs="Arial"/>
                <w:color w:val="FF0000"/>
                <w:sz w:val="21"/>
                <w:szCs w:val="21"/>
              </w:rPr>
            </w:pPr>
          </w:p>
        </w:tc>
        <w:tc>
          <w:tcPr>
            <w:tcW w:w="217" w:type="dxa"/>
          </w:tcPr>
          <w:p w14:paraId="346A4249" w14:textId="77777777" w:rsidR="002C0FD9" w:rsidRPr="00CA25CF" w:rsidRDefault="002C0FD9" w:rsidP="00CA25CF">
            <w:pPr>
              <w:rPr>
                <w:rFonts w:cs="Arial"/>
                <w:color w:val="FF0000"/>
                <w:sz w:val="21"/>
                <w:szCs w:val="21"/>
              </w:rPr>
            </w:pPr>
          </w:p>
        </w:tc>
        <w:tc>
          <w:tcPr>
            <w:tcW w:w="217" w:type="dxa"/>
          </w:tcPr>
          <w:p w14:paraId="6B7DAEED" w14:textId="77777777" w:rsidR="002C0FD9" w:rsidRPr="00CA25CF" w:rsidRDefault="002C0FD9" w:rsidP="00CA25CF">
            <w:pPr>
              <w:rPr>
                <w:rFonts w:cs="Arial"/>
                <w:color w:val="FF0000"/>
                <w:sz w:val="21"/>
                <w:szCs w:val="21"/>
              </w:rPr>
            </w:pPr>
          </w:p>
        </w:tc>
        <w:tc>
          <w:tcPr>
            <w:tcW w:w="217" w:type="dxa"/>
          </w:tcPr>
          <w:p w14:paraId="4FACB415" w14:textId="77777777" w:rsidR="002C0FD9" w:rsidRPr="00CA25CF" w:rsidRDefault="002C0FD9" w:rsidP="00CA25CF">
            <w:pPr>
              <w:rPr>
                <w:rFonts w:cs="Arial"/>
                <w:color w:val="FF0000"/>
                <w:sz w:val="21"/>
                <w:szCs w:val="21"/>
              </w:rPr>
            </w:pPr>
          </w:p>
        </w:tc>
        <w:tc>
          <w:tcPr>
            <w:tcW w:w="217" w:type="dxa"/>
          </w:tcPr>
          <w:p w14:paraId="2F855861" w14:textId="77777777" w:rsidR="002C0FD9" w:rsidRPr="00CA25CF" w:rsidRDefault="002C0FD9" w:rsidP="00CA25CF">
            <w:pPr>
              <w:rPr>
                <w:rFonts w:cs="Arial"/>
                <w:color w:val="FF0000"/>
                <w:sz w:val="21"/>
                <w:szCs w:val="21"/>
              </w:rPr>
            </w:pPr>
          </w:p>
        </w:tc>
        <w:tc>
          <w:tcPr>
            <w:tcW w:w="217" w:type="dxa"/>
          </w:tcPr>
          <w:p w14:paraId="299C5768" w14:textId="77777777" w:rsidR="002C0FD9" w:rsidRPr="00CA25CF" w:rsidRDefault="002C0FD9" w:rsidP="00CA25CF">
            <w:pPr>
              <w:rPr>
                <w:rFonts w:cs="Arial"/>
                <w:color w:val="FF0000"/>
                <w:sz w:val="21"/>
                <w:szCs w:val="21"/>
              </w:rPr>
            </w:pPr>
          </w:p>
        </w:tc>
        <w:tc>
          <w:tcPr>
            <w:tcW w:w="217" w:type="dxa"/>
          </w:tcPr>
          <w:p w14:paraId="6DD20646" w14:textId="77777777" w:rsidR="002C0FD9" w:rsidRPr="00CA25CF" w:rsidRDefault="002C0FD9" w:rsidP="00CA25CF">
            <w:pPr>
              <w:rPr>
                <w:rFonts w:cs="Arial"/>
                <w:color w:val="FF0000"/>
                <w:sz w:val="21"/>
                <w:szCs w:val="21"/>
              </w:rPr>
            </w:pPr>
          </w:p>
        </w:tc>
        <w:tc>
          <w:tcPr>
            <w:tcW w:w="217" w:type="dxa"/>
          </w:tcPr>
          <w:p w14:paraId="2D478EF0" w14:textId="77777777" w:rsidR="002C0FD9" w:rsidRPr="00CA25CF" w:rsidRDefault="002C0FD9" w:rsidP="00CA25CF">
            <w:pPr>
              <w:rPr>
                <w:rFonts w:cs="Arial"/>
                <w:color w:val="FF0000"/>
                <w:sz w:val="21"/>
                <w:szCs w:val="21"/>
              </w:rPr>
            </w:pPr>
          </w:p>
        </w:tc>
        <w:tc>
          <w:tcPr>
            <w:tcW w:w="217" w:type="dxa"/>
          </w:tcPr>
          <w:p w14:paraId="2D43490F" w14:textId="77777777" w:rsidR="002C0FD9" w:rsidRPr="00CA25CF" w:rsidRDefault="002C0FD9" w:rsidP="00CA25CF">
            <w:pPr>
              <w:rPr>
                <w:rFonts w:cs="Arial"/>
                <w:color w:val="FF0000"/>
                <w:sz w:val="21"/>
                <w:szCs w:val="21"/>
              </w:rPr>
            </w:pPr>
          </w:p>
        </w:tc>
        <w:tc>
          <w:tcPr>
            <w:tcW w:w="217" w:type="dxa"/>
          </w:tcPr>
          <w:p w14:paraId="09567CF3" w14:textId="77777777" w:rsidR="002C0FD9" w:rsidRPr="00CA25CF" w:rsidRDefault="002C0FD9" w:rsidP="00CA25CF">
            <w:pPr>
              <w:rPr>
                <w:rFonts w:cs="Arial"/>
                <w:color w:val="FF0000"/>
                <w:sz w:val="21"/>
                <w:szCs w:val="21"/>
              </w:rPr>
            </w:pPr>
          </w:p>
        </w:tc>
        <w:tc>
          <w:tcPr>
            <w:tcW w:w="217" w:type="dxa"/>
          </w:tcPr>
          <w:p w14:paraId="5604281B" w14:textId="77777777" w:rsidR="002C0FD9" w:rsidRPr="00CA25CF" w:rsidRDefault="002C0FD9" w:rsidP="00CA25CF">
            <w:pPr>
              <w:rPr>
                <w:rFonts w:cs="Arial"/>
                <w:color w:val="FF0000"/>
                <w:sz w:val="21"/>
                <w:szCs w:val="21"/>
              </w:rPr>
            </w:pPr>
          </w:p>
        </w:tc>
        <w:tc>
          <w:tcPr>
            <w:tcW w:w="217" w:type="dxa"/>
          </w:tcPr>
          <w:p w14:paraId="788365A1" w14:textId="77777777" w:rsidR="002C0FD9" w:rsidRPr="00CA25CF" w:rsidRDefault="002C0FD9" w:rsidP="00CA25CF">
            <w:pPr>
              <w:rPr>
                <w:rFonts w:cs="Arial"/>
                <w:color w:val="FF0000"/>
                <w:sz w:val="21"/>
                <w:szCs w:val="21"/>
              </w:rPr>
            </w:pPr>
          </w:p>
        </w:tc>
        <w:tc>
          <w:tcPr>
            <w:tcW w:w="217" w:type="dxa"/>
          </w:tcPr>
          <w:p w14:paraId="63DEB8D0" w14:textId="77777777" w:rsidR="002C0FD9" w:rsidRPr="00CA25CF" w:rsidRDefault="002C0FD9" w:rsidP="00CA25CF">
            <w:pPr>
              <w:rPr>
                <w:rFonts w:cs="Arial"/>
                <w:color w:val="FF0000"/>
                <w:sz w:val="21"/>
                <w:szCs w:val="21"/>
              </w:rPr>
            </w:pPr>
          </w:p>
        </w:tc>
        <w:tc>
          <w:tcPr>
            <w:tcW w:w="217" w:type="dxa"/>
          </w:tcPr>
          <w:p w14:paraId="7264EFFB" w14:textId="77777777" w:rsidR="002C0FD9" w:rsidRPr="00CA25CF" w:rsidRDefault="002C0FD9" w:rsidP="00CA25CF">
            <w:pPr>
              <w:rPr>
                <w:rFonts w:cs="Arial"/>
                <w:color w:val="FF0000"/>
                <w:sz w:val="21"/>
                <w:szCs w:val="21"/>
              </w:rPr>
            </w:pPr>
          </w:p>
        </w:tc>
        <w:tc>
          <w:tcPr>
            <w:tcW w:w="217" w:type="dxa"/>
          </w:tcPr>
          <w:p w14:paraId="25576A05" w14:textId="77777777" w:rsidR="002C0FD9" w:rsidRPr="00CA25CF" w:rsidRDefault="002C0FD9" w:rsidP="00CA25CF">
            <w:pPr>
              <w:rPr>
                <w:rFonts w:cs="Arial"/>
                <w:color w:val="FF0000"/>
                <w:sz w:val="21"/>
                <w:szCs w:val="21"/>
              </w:rPr>
            </w:pPr>
          </w:p>
        </w:tc>
        <w:tc>
          <w:tcPr>
            <w:tcW w:w="217" w:type="dxa"/>
          </w:tcPr>
          <w:p w14:paraId="258B02A2" w14:textId="77777777" w:rsidR="002C0FD9" w:rsidRPr="00CA25CF" w:rsidRDefault="002C0FD9" w:rsidP="00CA25CF">
            <w:pPr>
              <w:rPr>
                <w:rFonts w:cs="Arial"/>
                <w:color w:val="FF0000"/>
                <w:sz w:val="21"/>
                <w:szCs w:val="21"/>
              </w:rPr>
            </w:pPr>
          </w:p>
        </w:tc>
        <w:tc>
          <w:tcPr>
            <w:tcW w:w="217" w:type="dxa"/>
          </w:tcPr>
          <w:p w14:paraId="60F0B8E5" w14:textId="77777777" w:rsidR="002C0FD9" w:rsidRPr="00CA25CF" w:rsidRDefault="002C0FD9" w:rsidP="00CA25CF">
            <w:pPr>
              <w:rPr>
                <w:rFonts w:cs="Arial"/>
                <w:color w:val="FF0000"/>
                <w:sz w:val="21"/>
                <w:szCs w:val="21"/>
              </w:rPr>
            </w:pPr>
          </w:p>
        </w:tc>
        <w:tc>
          <w:tcPr>
            <w:tcW w:w="217" w:type="dxa"/>
          </w:tcPr>
          <w:p w14:paraId="0DF2244D" w14:textId="77777777" w:rsidR="002C0FD9" w:rsidRPr="00CA25CF" w:rsidRDefault="002C0FD9" w:rsidP="00CA25CF">
            <w:pPr>
              <w:rPr>
                <w:rFonts w:cs="Arial"/>
                <w:color w:val="FF0000"/>
                <w:sz w:val="21"/>
                <w:szCs w:val="21"/>
              </w:rPr>
            </w:pPr>
          </w:p>
        </w:tc>
      </w:tr>
      <w:tr w:rsidR="002C0FD9" w:rsidRPr="00A16219" w14:paraId="2A61919F" w14:textId="77777777" w:rsidTr="002C0FD9">
        <w:trPr>
          <w:trHeight w:val="635"/>
        </w:trPr>
        <w:tc>
          <w:tcPr>
            <w:tcW w:w="515" w:type="dxa"/>
          </w:tcPr>
          <w:p w14:paraId="222D7D9D" w14:textId="77777777" w:rsidR="002C0FD9" w:rsidRPr="00CA25CF" w:rsidRDefault="002C0FD9" w:rsidP="00CA25CF">
            <w:pPr>
              <w:rPr>
                <w:rFonts w:cs="Arial"/>
                <w:color w:val="FF0000"/>
                <w:sz w:val="21"/>
                <w:szCs w:val="21"/>
              </w:rPr>
            </w:pPr>
          </w:p>
        </w:tc>
        <w:tc>
          <w:tcPr>
            <w:tcW w:w="217" w:type="dxa"/>
          </w:tcPr>
          <w:p w14:paraId="4638A4C9" w14:textId="77777777" w:rsidR="002C0FD9" w:rsidRPr="00CA25CF" w:rsidRDefault="002C0FD9" w:rsidP="00CA25CF">
            <w:pPr>
              <w:rPr>
                <w:rFonts w:cs="Arial"/>
                <w:color w:val="FF0000"/>
                <w:sz w:val="21"/>
                <w:szCs w:val="21"/>
              </w:rPr>
            </w:pPr>
          </w:p>
        </w:tc>
        <w:tc>
          <w:tcPr>
            <w:tcW w:w="217" w:type="dxa"/>
          </w:tcPr>
          <w:p w14:paraId="06168811" w14:textId="77777777" w:rsidR="002C0FD9" w:rsidRPr="00CA25CF" w:rsidRDefault="002C0FD9" w:rsidP="00CA25CF">
            <w:pPr>
              <w:rPr>
                <w:rFonts w:cs="Arial"/>
                <w:color w:val="FF0000"/>
                <w:sz w:val="21"/>
                <w:szCs w:val="21"/>
              </w:rPr>
            </w:pPr>
          </w:p>
        </w:tc>
        <w:tc>
          <w:tcPr>
            <w:tcW w:w="217" w:type="dxa"/>
          </w:tcPr>
          <w:p w14:paraId="296EADDF" w14:textId="77777777" w:rsidR="002C0FD9" w:rsidRPr="00CA25CF" w:rsidRDefault="002C0FD9" w:rsidP="00CA25CF">
            <w:pPr>
              <w:rPr>
                <w:rFonts w:cs="Arial"/>
                <w:color w:val="FF0000"/>
                <w:sz w:val="21"/>
                <w:szCs w:val="21"/>
              </w:rPr>
            </w:pPr>
          </w:p>
        </w:tc>
        <w:tc>
          <w:tcPr>
            <w:tcW w:w="217" w:type="dxa"/>
          </w:tcPr>
          <w:p w14:paraId="1611189C" w14:textId="77777777" w:rsidR="002C0FD9" w:rsidRPr="00CA25CF" w:rsidRDefault="002C0FD9" w:rsidP="00CA25CF">
            <w:pPr>
              <w:rPr>
                <w:rFonts w:cs="Arial"/>
                <w:color w:val="FF0000"/>
                <w:sz w:val="21"/>
                <w:szCs w:val="21"/>
              </w:rPr>
            </w:pPr>
          </w:p>
        </w:tc>
        <w:tc>
          <w:tcPr>
            <w:tcW w:w="217" w:type="dxa"/>
          </w:tcPr>
          <w:p w14:paraId="28E9CEEC" w14:textId="77777777" w:rsidR="002C0FD9" w:rsidRPr="00CA25CF" w:rsidRDefault="002C0FD9" w:rsidP="00CA25CF">
            <w:pPr>
              <w:rPr>
                <w:rFonts w:cs="Arial"/>
                <w:color w:val="FF0000"/>
                <w:sz w:val="21"/>
                <w:szCs w:val="21"/>
              </w:rPr>
            </w:pPr>
          </w:p>
        </w:tc>
        <w:tc>
          <w:tcPr>
            <w:tcW w:w="217" w:type="dxa"/>
          </w:tcPr>
          <w:p w14:paraId="2CB3FAB1" w14:textId="77777777" w:rsidR="002C0FD9" w:rsidRPr="00CA25CF" w:rsidRDefault="002C0FD9" w:rsidP="00CA25CF">
            <w:pPr>
              <w:rPr>
                <w:rFonts w:cs="Arial"/>
                <w:color w:val="FF0000"/>
                <w:sz w:val="21"/>
                <w:szCs w:val="21"/>
              </w:rPr>
            </w:pPr>
          </w:p>
        </w:tc>
        <w:tc>
          <w:tcPr>
            <w:tcW w:w="217" w:type="dxa"/>
          </w:tcPr>
          <w:p w14:paraId="0FA532AB" w14:textId="77777777" w:rsidR="002C0FD9" w:rsidRPr="00CA25CF" w:rsidRDefault="002C0FD9" w:rsidP="00CA25CF">
            <w:pPr>
              <w:rPr>
                <w:rFonts w:cs="Arial"/>
                <w:color w:val="FF0000"/>
                <w:sz w:val="21"/>
                <w:szCs w:val="21"/>
              </w:rPr>
            </w:pPr>
          </w:p>
        </w:tc>
        <w:tc>
          <w:tcPr>
            <w:tcW w:w="217" w:type="dxa"/>
          </w:tcPr>
          <w:p w14:paraId="4F957FD8" w14:textId="77777777" w:rsidR="002C0FD9" w:rsidRPr="00CA25CF" w:rsidRDefault="002C0FD9" w:rsidP="00CA25CF">
            <w:pPr>
              <w:rPr>
                <w:rFonts w:cs="Arial"/>
                <w:color w:val="FF0000"/>
                <w:sz w:val="21"/>
                <w:szCs w:val="21"/>
              </w:rPr>
            </w:pPr>
          </w:p>
        </w:tc>
        <w:tc>
          <w:tcPr>
            <w:tcW w:w="217" w:type="dxa"/>
          </w:tcPr>
          <w:p w14:paraId="35566460" w14:textId="77777777" w:rsidR="002C0FD9" w:rsidRPr="00CA25CF" w:rsidRDefault="002C0FD9" w:rsidP="00CA25CF">
            <w:pPr>
              <w:rPr>
                <w:rFonts w:cs="Arial"/>
                <w:color w:val="FF0000"/>
                <w:sz w:val="21"/>
                <w:szCs w:val="21"/>
              </w:rPr>
            </w:pPr>
          </w:p>
        </w:tc>
        <w:tc>
          <w:tcPr>
            <w:tcW w:w="217" w:type="dxa"/>
          </w:tcPr>
          <w:p w14:paraId="4E5587B9" w14:textId="77777777" w:rsidR="002C0FD9" w:rsidRPr="00CA25CF" w:rsidRDefault="002C0FD9" w:rsidP="00CA25CF">
            <w:pPr>
              <w:rPr>
                <w:rFonts w:cs="Arial"/>
                <w:color w:val="FF0000"/>
                <w:sz w:val="21"/>
                <w:szCs w:val="21"/>
              </w:rPr>
            </w:pPr>
          </w:p>
        </w:tc>
        <w:tc>
          <w:tcPr>
            <w:tcW w:w="217" w:type="dxa"/>
          </w:tcPr>
          <w:p w14:paraId="42449DAC" w14:textId="77777777" w:rsidR="002C0FD9" w:rsidRPr="00CA25CF" w:rsidRDefault="002C0FD9" w:rsidP="00CA25CF">
            <w:pPr>
              <w:rPr>
                <w:rFonts w:cs="Arial"/>
                <w:color w:val="FF0000"/>
                <w:sz w:val="21"/>
                <w:szCs w:val="21"/>
              </w:rPr>
            </w:pPr>
          </w:p>
        </w:tc>
        <w:tc>
          <w:tcPr>
            <w:tcW w:w="217" w:type="dxa"/>
          </w:tcPr>
          <w:p w14:paraId="5D61A4AD" w14:textId="77777777" w:rsidR="002C0FD9" w:rsidRPr="00CA25CF" w:rsidRDefault="002C0FD9" w:rsidP="00CA25CF">
            <w:pPr>
              <w:rPr>
                <w:rFonts w:cs="Arial"/>
                <w:color w:val="FF0000"/>
                <w:sz w:val="21"/>
                <w:szCs w:val="21"/>
              </w:rPr>
            </w:pPr>
          </w:p>
        </w:tc>
        <w:tc>
          <w:tcPr>
            <w:tcW w:w="217" w:type="dxa"/>
          </w:tcPr>
          <w:p w14:paraId="05F76ED9" w14:textId="77777777" w:rsidR="002C0FD9" w:rsidRPr="00CA25CF" w:rsidRDefault="002C0FD9" w:rsidP="00CA25CF">
            <w:pPr>
              <w:rPr>
                <w:rFonts w:cs="Arial"/>
                <w:color w:val="FF0000"/>
                <w:sz w:val="21"/>
                <w:szCs w:val="21"/>
              </w:rPr>
            </w:pPr>
          </w:p>
        </w:tc>
        <w:tc>
          <w:tcPr>
            <w:tcW w:w="217" w:type="dxa"/>
          </w:tcPr>
          <w:p w14:paraId="006420D3" w14:textId="77777777" w:rsidR="002C0FD9" w:rsidRPr="00CA25CF" w:rsidRDefault="002C0FD9" w:rsidP="00CA25CF">
            <w:pPr>
              <w:rPr>
                <w:rFonts w:cs="Arial"/>
                <w:color w:val="FF0000"/>
                <w:sz w:val="21"/>
                <w:szCs w:val="21"/>
              </w:rPr>
            </w:pPr>
          </w:p>
        </w:tc>
        <w:tc>
          <w:tcPr>
            <w:tcW w:w="217" w:type="dxa"/>
          </w:tcPr>
          <w:p w14:paraId="1C4BF5A7" w14:textId="77777777" w:rsidR="002C0FD9" w:rsidRPr="00CA25CF" w:rsidRDefault="002C0FD9" w:rsidP="00CA25CF">
            <w:pPr>
              <w:rPr>
                <w:rFonts w:cs="Arial"/>
                <w:color w:val="FF0000"/>
                <w:sz w:val="21"/>
                <w:szCs w:val="21"/>
              </w:rPr>
            </w:pPr>
          </w:p>
        </w:tc>
        <w:tc>
          <w:tcPr>
            <w:tcW w:w="217" w:type="dxa"/>
          </w:tcPr>
          <w:p w14:paraId="291BC796" w14:textId="77777777" w:rsidR="002C0FD9" w:rsidRPr="00CA25CF" w:rsidRDefault="002C0FD9" w:rsidP="00CA25CF">
            <w:pPr>
              <w:rPr>
                <w:rFonts w:cs="Arial"/>
                <w:color w:val="FF0000"/>
                <w:sz w:val="21"/>
                <w:szCs w:val="21"/>
              </w:rPr>
            </w:pPr>
          </w:p>
        </w:tc>
        <w:tc>
          <w:tcPr>
            <w:tcW w:w="217" w:type="dxa"/>
          </w:tcPr>
          <w:p w14:paraId="29C48508" w14:textId="77777777" w:rsidR="002C0FD9" w:rsidRPr="00CA25CF" w:rsidRDefault="002C0FD9" w:rsidP="00CA25CF">
            <w:pPr>
              <w:rPr>
                <w:rFonts w:cs="Arial"/>
                <w:color w:val="FF0000"/>
                <w:sz w:val="21"/>
                <w:szCs w:val="21"/>
              </w:rPr>
            </w:pPr>
          </w:p>
        </w:tc>
        <w:tc>
          <w:tcPr>
            <w:tcW w:w="217" w:type="dxa"/>
          </w:tcPr>
          <w:p w14:paraId="73305EF1" w14:textId="77777777" w:rsidR="002C0FD9" w:rsidRPr="00CA25CF" w:rsidRDefault="002C0FD9" w:rsidP="00CA25CF">
            <w:pPr>
              <w:rPr>
                <w:rFonts w:cs="Arial"/>
                <w:color w:val="FF0000"/>
                <w:sz w:val="21"/>
                <w:szCs w:val="21"/>
              </w:rPr>
            </w:pPr>
          </w:p>
        </w:tc>
        <w:tc>
          <w:tcPr>
            <w:tcW w:w="217" w:type="dxa"/>
          </w:tcPr>
          <w:p w14:paraId="21B737FE" w14:textId="77777777" w:rsidR="002C0FD9" w:rsidRPr="00CA25CF" w:rsidRDefault="002C0FD9" w:rsidP="00CA25CF">
            <w:pPr>
              <w:rPr>
                <w:rFonts w:cs="Arial"/>
                <w:color w:val="FF0000"/>
                <w:sz w:val="21"/>
                <w:szCs w:val="21"/>
              </w:rPr>
            </w:pPr>
          </w:p>
        </w:tc>
        <w:tc>
          <w:tcPr>
            <w:tcW w:w="217" w:type="dxa"/>
          </w:tcPr>
          <w:p w14:paraId="0CEBC918" w14:textId="77777777" w:rsidR="002C0FD9" w:rsidRPr="00CA25CF" w:rsidRDefault="002C0FD9" w:rsidP="00CA25CF">
            <w:pPr>
              <w:rPr>
                <w:rFonts w:cs="Arial"/>
                <w:color w:val="FF0000"/>
                <w:sz w:val="21"/>
                <w:szCs w:val="21"/>
              </w:rPr>
            </w:pPr>
          </w:p>
        </w:tc>
        <w:tc>
          <w:tcPr>
            <w:tcW w:w="217" w:type="dxa"/>
          </w:tcPr>
          <w:p w14:paraId="4C8E4B93" w14:textId="77777777" w:rsidR="002C0FD9" w:rsidRPr="00CA25CF" w:rsidRDefault="002C0FD9" w:rsidP="00CA25CF">
            <w:pPr>
              <w:rPr>
                <w:rFonts w:cs="Arial"/>
                <w:color w:val="FF0000"/>
                <w:sz w:val="21"/>
                <w:szCs w:val="21"/>
              </w:rPr>
            </w:pPr>
          </w:p>
        </w:tc>
        <w:tc>
          <w:tcPr>
            <w:tcW w:w="217" w:type="dxa"/>
          </w:tcPr>
          <w:p w14:paraId="09F6268A" w14:textId="77777777" w:rsidR="002C0FD9" w:rsidRPr="00CA25CF" w:rsidRDefault="002C0FD9" w:rsidP="00CA25CF">
            <w:pPr>
              <w:rPr>
                <w:rFonts w:cs="Arial"/>
                <w:color w:val="FF0000"/>
                <w:sz w:val="21"/>
                <w:szCs w:val="21"/>
              </w:rPr>
            </w:pPr>
          </w:p>
        </w:tc>
        <w:tc>
          <w:tcPr>
            <w:tcW w:w="217" w:type="dxa"/>
          </w:tcPr>
          <w:p w14:paraId="43313155" w14:textId="77777777" w:rsidR="002C0FD9" w:rsidRPr="00CA25CF" w:rsidRDefault="002C0FD9" w:rsidP="00CA25CF">
            <w:pPr>
              <w:rPr>
                <w:rFonts w:cs="Arial"/>
                <w:color w:val="FF0000"/>
                <w:sz w:val="21"/>
                <w:szCs w:val="21"/>
              </w:rPr>
            </w:pPr>
          </w:p>
        </w:tc>
        <w:tc>
          <w:tcPr>
            <w:tcW w:w="217" w:type="dxa"/>
          </w:tcPr>
          <w:p w14:paraId="513E625E" w14:textId="77777777" w:rsidR="002C0FD9" w:rsidRPr="00CA25CF" w:rsidRDefault="002C0FD9" w:rsidP="00CA25CF">
            <w:pPr>
              <w:rPr>
                <w:rFonts w:cs="Arial"/>
                <w:color w:val="FF0000"/>
                <w:sz w:val="21"/>
                <w:szCs w:val="21"/>
              </w:rPr>
            </w:pPr>
          </w:p>
        </w:tc>
        <w:tc>
          <w:tcPr>
            <w:tcW w:w="217" w:type="dxa"/>
          </w:tcPr>
          <w:p w14:paraId="61509DD7" w14:textId="77777777" w:rsidR="002C0FD9" w:rsidRPr="00CA25CF" w:rsidRDefault="002C0FD9" w:rsidP="00CA25CF">
            <w:pPr>
              <w:rPr>
                <w:rFonts w:cs="Arial"/>
                <w:color w:val="FF0000"/>
                <w:sz w:val="21"/>
                <w:szCs w:val="21"/>
              </w:rPr>
            </w:pPr>
          </w:p>
        </w:tc>
        <w:tc>
          <w:tcPr>
            <w:tcW w:w="217" w:type="dxa"/>
          </w:tcPr>
          <w:p w14:paraId="6CC43E4F" w14:textId="77777777" w:rsidR="002C0FD9" w:rsidRPr="00CA25CF" w:rsidRDefault="002C0FD9" w:rsidP="00CA25CF">
            <w:pPr>
              <w:rPr>
                <w:rFonts w:cs="Arial"/>
                <w:color w:val="FF0000"/>
                <w:sz w:val="21"/>
                <w:szCs w:val="21"/>
              </w:rPr>
            </w:pPr>
          </w:p>
        </w:tc>
        <w:tc>
          <w:tcPr>
            <w:tcW w:w="217" w:type="dxa"/>
          </w:tcPr>
          <w:p w14:paraId="3F974A8B" w14:textId="77777777" w:rsidR="002C0FD9" w:rsidRPr="00CA25CF" w:rsidRDefault="002C0FD9" w:rsidP="00CA25CF">
            <w:pPr>
              <w:rPr>
                <w:rFonts w:cs="Arial"/>
                <w:color w:val="FF0000"/>
                <w:sz w:val="21"/>
                <w:szCs w:val="21"/>
              </w:rPr>
            </w:pPr>
          </w:p>
        </w:tc>
        <w:tc>
          <w:tcPr>
            <w:tcW w:w="217" w:type="dxa"/>
          </w:tcPr>
          <w:p w14:paraId="2A139B47" w14:textId="77777777" w:rsidR="002C0FD9" w:rsidRPr="00CA25CF" w:rsidRDefault="002C0FD9" w:rsidP="00CA25CF">
            <w:pPr>
              <w:rPr>
                <w:rFonts w:cs="Arial"/>
                <w:color w:val="FF0000"/>
                <w:sz w:val="21"/>
                <w:szCs w:val="21"/>
              </w:rPr>
            </w:pPr>
          </w:p>
        </w:tc>
        <w:tc>
          <w:tcPr>
            <w:tcW w:w="217" w:type="dxa"/>
          </w:tcPr>
          <w:p w14:paraId="4D38B208" w14:textId="77777777" w:rsidR="002C0FD9" w:rsidRPr="00CA25CF" w:rsidRDefault="002C0FD9" w:rsidP="00CA25CF">
            <w:pPr>
              <w:rPr>
                <w:rFonts w:cs="Arial"/>
                <w:color w:val="FF0000"/>
                <w:sz w:val="21"/>
                <w:szCs w:val="21"/>
              </w:rPr>
            </w:pPr>
          </w:p>
        </w:tc>
        <w:tc>
          <w:tcPr>
            <w:tcW w:w="217" w:type="dxa"/>
          </w:tcPr>
          <w:p w14:paraId="1312C270" w14:textId="77777777" w:rsidR="002C0FD9" w:rsidRPr="00CA25CF" w:rsidRDefault="002C0FD9" w:rsidP="00CA25CF">
            <w:pPr>
              <w:rPr>
                <w:rFonts w:cs="Arial"/>
                <w:color w:val="FF0000"/>
                <w:sz w:val="21"/>
                <w:szCs w:val="21"/>
              </w:rPr>
            </w:pPr>
          </w:p>
        </w:tc>
        <w:tc>
          <w:tcPr>
            <w:tcW w:w="217" w:type="dxa"/>
          </w:tcPr>
          <w:p w14:paraId="51B9FAE2" w14:textId="77777777" w:rsidR="002C0FD9" w:rsidRPr="00CA25CF" w:rsidRDefault="002C0FD9" w:rsidP="00CA25CF">
            <w:pPr>
              <w:rPr>
                <w:rFonts w:cs="Arial"/>
                <w:color w:val="FF0000"/>
                <w:sz w:val="21"/>
                <w:szCs w:val="21"/>
              </w:rPr>
            </w:pPr>
          </w:p>
        </w:tc>
        <w:tc>
          <w:tcPr>
            <w:tcW w:w="217" w:type="dxa"/>
          </w:tcPr>
          <w:p w14:paraId="66DA92C8" w14:textId="77777777" w:rsidR="002C0FD9" w:rsidRPr="00CA25CF" w:rsidRDefault="002C0FD9" w:rsidP="00CA25CF">
            <w:pPr>
              <w:rPr>
                <w:rFonts w:cs="Arial"/>
                <w:color w:val="FF0000"/>
                <w:sz w:val="21"/>
                <w:szCs w:val="21"/>
              </w:rPr>
            </w:pPr>
          </w:p>
        </w:tc>
        <w:tc>
          <w:tcPr>
            <w:tcW w:w="217" w:type="dxa"/>
          </w:tcPr>
          <w:p w14:paraId="6A3DE4F6" w14:textId="77777777" w:rsidR="002C0FD9" w:rsidRPr="00CA25CF" w:rsidRDefault="002C0FD9" w:rsidP="00CA25CF">
            <w:pPr>
              <w:rPr>
                <w:rFonts w:cs="Arial"/>
                <w:color w:val="FF0000"/>
                <w:sz w:val="21"/>
                <w:szCs w:val="21"/>
              </w:rPr>
            </w:pPr>
          </w:p>
        </w:tc>
        <w:tc>
          <w:tcPr>
            <w:tcW w:w="217" w:type="dxa"/>
          </w:tcPr>
          <w:p w14:paraId="63859731" w14:textId="77777777" w:rsidR="002C0FD9" w:rsidRPr="00CA25CF" w:rsidRDefault="002C0FD9" w:rsidP="00CA25CF">
            <w:pPr>
              <w:rPr>
                <w:rFonts w:cs="Arial"/>
                <w:color w:val="FF0000"/>
                <w:sz w:val="21"/>
                <w:szCs w:val="21"/>
              </w:rPr>
            </w:pPr>
          </w:p>
        </w:tc>
        <w:tc>
          <w:tcPr>
            <w:tcW w:w="217" w:type="dxa"/>
          </w:tcPr>
          <w:p w14:paraId="17062D3D" w14:textId="77777777" w:rsidR="002C0FD9" w:rsidRPr="00CA25CF" w:rsidRDefault="002C0FD9" w:rsidP="00CA25CF">
            <w:pPr>
              <w:rPr>
                <w:rFonts w:cs="Arial"/>
                <w:color w:val="FF0000"/>
                <w:sz w:val="21"/>
                <w:szCs w:val="21"/>
              </w:rPr>
            </w:pPr>
          </w:p>
        </w:tc>
        <w:tc>
          <w:tcPr>
            <w:tcW w:w="217" w:type="dxa"/>
          </w:tcPr>
          <w:p w14:paraId="630228FE" w14:textId="77777777" w:rsidR="002C0FD9" w:rsidRPr="00CA25CF" w:rsidRDefault="002C0FD9" w:rsidP="00CA25CF">
            <w:pPr>
              <w:rPr>
                <w:rFonts w:cs="Arial"/>
                <w:color w:val="FF0000"/>
                <w:sz w:val="21"/>
                <w:szCs w:val="21"/>
              </w:rPr>
            </w:pPr>
          </w:p>
        </w:tc>
        <w:tc>
          <w:tcPr>
            <w:tcW w:w="217" w:type="dxa"/>
          </w:tcPr>
          <w:p w14:paraId="64EB7C13" w14:textId="77777777" w:rsidR="002C0FD9" w:rsidRPr="00CA25CF" w:rsidRDefault="002C0FD9" w:rsidP="00CA25CF">
            <w:pPr>
              <w:rPr>
                <w:rFonts w:cs="Arial"/>
                <w:color w:val="FF0000"/>
                <w:sz w:val="21"/>
                <w:szCs w:val="21"/>
              </w:rPr>
            </w:pPr>
          </w:p>
        </w:tc>
        <w:tc>
          <w:tcPr>
            <w:tcW w:w="217" w:type="dxa"/>
          </w:tcPr>
          <w:p w14:paraId="3903E302" w14:textId="77777777" w:rsidR="002C0FD9" w:rsidRPr="00CA25CF" w:rsidRDefault="002C0FD9" w:rsidP="00CA25CF">
            <w:pPr>
              <w:rPr>
                <w:rFonts w:cs="Arial"/>
                <w:color w:val="FF0000"/>
                <w:sz w:val="21"/>
                <w:szCs w:val="21"/>
              </w:rPr>
            </w:pPr>
          </w:p>
        </w:tc>
        <w:tc>
          <w:tcPr>
            <w:tcW w:w="217" w:type="dxa"/>
          </w:tcPr>
          <w:p w14:paraId="6528921A" w14:textId="77777777" w:rsidR="002C0FD9" w:rsidRPr="00CA25CF" w:rsidRDefault="002C0FD9" w:rsidP="00CA25CF">
            <w:pPr>
              <w:rPr>
                <w:rFonts w:cs="Arial"/>
                <w:color w:val="FF0000"/>
                <w:sz w:val="21"/>
                <w:szCs w:val="21"/>
              </w:rPr>
            </w:pPr>
          </w:p>
        </w:tc>
        <w:tc>
          <w:tcPr>
            <w:tcW w:w="217" w:type="dxa"/>
          </w:tcPr>
          <w:p w14:paraId="6079C922" w14:textId="77777777" w:rsidR="002C0FD9" w:rsidRPr="00CA25CF" w:rsidRDefault="002C0FD9" w:rsidP="00CA25CF">
            <w:pPr>
              <w:rPr>
                <w:rFonts w:cs="Arial"/>
                <w:color w:val="FF0000"/>
                <w:sz w:val="21"/>
                <w:szCs w:val="21"/>
              </w:rPr>
            </w:pPr>
          </w:p>
        </w:tc>
        <w:tc>
          <w:tcPr>
            <w:tcW w:w="217" w:type="dxa"/>
          </w:tcPr>
          <w:p w14:paraId="3B260773" w14:textId="77777777" w:rsidR="002C0FD9" w:rsidRPr="00CA25CF" w:rsidRDefault="002C0FD9" w:rsidP="00CA25CF">
            <w:pPr>
              <w:rPr>
                <w:rFonts w:cs="Arial"/>
                <w:color w:val="FF0000"/>
                <w:sz w:val="21"/>
                <w:szCs w:val="21"/>
              </w:rPr>
            </w:pPr>
          </w:p>
        </w:tc>
        <w:tc>
          <w:tcPr>
            <w:tcW w:w="217" w:type="dxa"/>
          </w:tcPr>
          <w:p w14:paraId="3CF8A869" w14:textId="77777777" w:rsidR="002C0FD9" w:rsidRPr="00CA25CF" w:rsidRDefault="002C0FD9" w:rsidP="00CA25CF">
            <w:pPr>
              <w:rPr>
                <w:rFonts w:cs="Arial"/>
                <w:color w:val="FF0000"/>
                <w:sz w:val="21"/>
                <w:szCs w:val="21"/>
              </w:rPr>
            </w:pPr>
          </w:p>
        </w:tc>
      </w:tr>
      <w:tr w:rsidR="002C0FD9" w:rsidRPr="00A16219" w14:paraId="23F47C01" w14:textId="77777777" w:rsidTr="002C0FD9">
        <w:trPr>
          <w:trHeight w:val="635"/>
        </w:trPr>
        <w:tc>
          <w:tcPr>
            <w:tcW w:w="515" w:type="dxa"/>
          </w:tcPr>
          <w:p w14:paraId="7C1C538E" w14:textId="77777777" w:rsidR="002C0FD9" w:rsidRPr="00CA25CF" w:rsidRDefault="002C0FD9" w:rsidP="00CA25CF">
            <w:pPr>
              <w:rPr>
                <w:rFonts w:cs="Arial"/>
                <w:color w:val="FF0000"/>
                <w:sz w:val="21"/>
                <w:szCs w:val="21"/>
              </w:rPr>
            </w:pPr>
          </w:p>
        </w:tc>
        <w:tc>
          <w:tcPr>
            <w:tcW w:w="217" w:type="dxa"/>
          </w:tcPr>
          <w:p w14:paraId="65BE63C6" w14:textId="77777777" w:rsidR="002C0FD9" w:rsidRPr="00CA25CF" w:rsidRDefault="002C0FD9" w:rsidP="00CA25CF">
            <w:pPr>
              <w:rPr>
                <w:rFonts w:cs="Arial"/>
                <w:color w:val="FF0000"/>
                <w:sz w:val="21"/>
                <w:szCs w:val="21"/>
              </w:rPr>
            </w:pPr>
          </w:p>
        </w:tc>
        <w:tc>
          <w:tcPr>
            <w:tcW w:w="217" w:type="dxa"/>
          </w:tcPr>
          <w:p w14:paraId="54068011" w14:textId="77777777" w:rsidR="002C0FD9" w:rsidRPr="00CA25CF" w:rsidRDefault="002C0FD9" w:rsidP="00CA25CF">
            <w:pPr>
              <w:rPr>
                <w:rFonts w:cs="Arial"/>
                <w:color w:val="FF0000"/>
                <w:sz w:val="21"/>
                <w:szCs w:val="21"/>
              </w:rPr>
            </w:pPr>
          </w:p>
        </w:tc>
        <w:tc>
          <w:tcPr>
            <w:tcW w:w="217" w:type="dxa"/>
          </w:tcPr>
          <w:p w14:paraId="186BDD8D" w14:textId="77777777" w:rsidR="002C0FD9" w:rsidRPr="00CA25CF" w:rsidRDefault="002C0FD9" w:rsidP="00CA25CF">
            <w:pPr>
              <w:rPr>
                <w:rFonts w:cs="Arial"/>
                <w:color w:val="FF0000"/>
                <w:sz w:val="21"/>
                <w:szCs w:val="21"/>
              </w:rPr>
            </w:pPr>
          </w:p>
        </w:tc>
        <w:tc>
          <w:tcPr>
            <w:tcW w:w="217" w:type="dxa"/>
          </w:tcPr>
          <w:p w14:paraId="7D1F27BC" w14:textId="77777777" w:rsidR="002C0FD9" w:rsidRPr="00CA25CF" w:rsidRDefault="002C0FD9" w:rsidP="00CA25CF">
            <w:pPr>
              <w:rPr>
                <w:rFonts w:cs="Arial"/>
                <w:color w:val="FF0000"/>
                <w:sz w:val="21"/>
                <w:szCs w:val="21"/>
              </w:rPr>
            </w:pPr>
          </w:p>
        </w:tc>
        <w:tc>
          <w:tcPr>
            <w:tcW w:w="217" w:type="dxa"/>
          </w:tcPr>
          <w:p w14:paraId="2F445C5F" w14:textId="77777777" w:rsidR="002C0FD9" w:rsidRPr="00CA25CF" w:rsidRDefault="002C0FD9" w:rsidP="00CA25CF">
            <w:pPr>
              <w:rPr>
                <w:rFonts w:cs="Arial"/>
                <w:color w:val="FF0000"/>
                <w:sz w:val="21"/>
                <w:szCs w:val="21"/>
              </w:rPr>
            </w:pPr>
          </w:p>
        </w:tc>
        <w:tc>
          <w:tcPr>
            <w:tcW w:w="217" w:type="dxa"/>
          </w:tcPr>
          <w:p w14:paraId="6C9872C3" w14:textId="77777777" w:rsidR="002C0FD9" w:rsidRPr="00CA25CF" w:rsidRDefault="002C0FD9" w:rsidP="00CA25CF">
            <w:pPr>
              <w:rPr>
                <w:rFonts w:cs="Arial"/>
                <w:color w:val="FF0000"/>
                <w:sz w:val="21"/>
                <w:szCs w:val="21"/>
              </w:rPr>
            </w:pPr>
          </w:p>
        </w:tc>
        <w:tc>
          <w:tcPr>
            <w:tcW w:w="217" w:type="dxa"/>
          </w:tcPr>
          <w:p w14:paraId="2F77A345" w14:textId="77777777" w:rsidR="002C0FD9" w:rsidRPr="00CA25CF" w:rsidRDefault="002C0FD9" w:rsidP="00CA25CF">
            <w:pPr>
              <w:rPr>
                <w:rFonts w:cs="Arial"/>
                <w:color w:val="FF0000"/>
                <w:sz w:val="21"/>
                <w:szCs w:val="21"/>
              </w:rPr>
            </w:pPr>
          </w:p>
        </w:tc>
        <w:tc>
          <w:tcPr>
            <w:tcW w:w="217" w:type="dxa"/>
          </w:tcPr>
          <w:p w14:paraId="1BBF4E48" w14:textId="77777777" w:rsidR="002C0FD9" w:rsidRPr="00CA25CF" w:rsidRDefault="002C0FD9" w:rsidP="00CA25CF">
            <w:pPr>
              <w:rPr>
                <w:rFonts w:cs="Arial"/>
                <w:color w:val="FF0000"/>
                <w:sz w:val="21"/>
                <w:szCs w:val="21"/>
              </w:rPr>
            </w:pPr>
          </w:p>
        </w:tc>
        <w:tc>
          <w:tcPr>
            <w:tcW w:w="217" w:type="dxa"/>
          </w:tcPr>
          <w:p w14:paraId="152AED2F" w14:textId="77777777" w:rsidR="002C0FD9" w:rsidRPr="00CA25CF" w:rsidRDefault="002C0FD9" w:rsidP="00CA25CF">
            <w:pPr>
              <w:rPr>
                <w:rFonts w:cs="Arial"/>
                <w:color w:val="FF0000"/>
                <w:sz w:val="21"/>
                <w:szCs w:val="21"/>
              </w:rPr>
            </w:pPr>
          </w:p>
        </w:tc>
        <w:tc>
          <w:tcPr>
            <w:tcW w:w="217" w:type="dxa"/>
          </w:tcPr>
          <w:p w14:paraId="2AD9F36D" w14:textId="77777777" w:rsidR="002C0FD9" w:rsidRPr="00CA25CF" w:rsidRDefault="002C0FD9" w:rsidP="00CA25CF">
            <w:pPr>
              <w:rPr>
                <w:rFonts w:cs="Arial"/>
                <w:color w:val="FF0000"/>
                <w:sz w:val="21"/>
                <w:szCs w:val="21"/>
              </w:rPr>
            </w:pPr>
          </w:p>
        </w:tc>
        <w:tc>
          <w:tcPr>
            <w:tcW w:w="217" w:type="dxa"/>
          </w:tcPr>
          <w:p w14:paraId="065C5DCA" w14:textId="77777777" w:rsidR="002C0FD9" w:rsidRPr="00CA25CF" w:rsidRDefault="002C0FD9" w:rsidP="00CA25CF">
            <w:pPr>
              <w:rPr>
                <w:rFonts w:cs="Arial"/>
                <w:color w:val="FF0000"/>
                <w:sz w:val="21"/>
                <w:szCs w:val="21"/>
              </w:rPr>
            </w:pPr>
          </w:p>
        </w:tc>
        <w:tc>
          <w:tcPr>
            <w:tcW w:w="217" w:type="dxa"/>
          </w:tcPr>
          <w:p w14:paraId="2086C2E9" w14:textId="77777777" w:rsidR="002C0FD9" w:rsidRPr="00CA25CF" w:rsidRDefault="002C0FD9" w:rsidP="00CA25CF">
            <w:pPr>
              <w:rPr>
                <w:rFonts w:cs="Arial"/>
                <w:color w:val="FF0000"/>
                <w:sz w:val="21"/>
                <w:szCs w:val="21"/>
              </w:rPr>
            </w:pPr>
          </w:p>
        </w:tc>
        <w:tc>
          <w:tcPr>
            <w:tcW w:w="217" w:type="dxa"/>
          </w:tcPr>
          <w:p w14:paraId="6CF024C8" w14:textId="77777777" w:rsidR="002C0FD9" w:rsidRPr="00CA25CF" w:rsidRDefault="002C0FD9" w:rsidP="00CA25CF">
            <w:pPr>
              <w:rPr>
                <w:rFonts w:cs="Arial"/>
                <w:color w:val="FF0000"/>
                <w:sz w:val="21"/>
                <w:szCs w:val="21"/>
              </w:rPr>
            </w:pPr>
          </w:p>
        </w:tc>
        <w:tc>
          <w:tcPr>
            <w:tcW w:w="217" w:type="dxa"/>
          </w:tcPr>
          <w:p w14:paraId="53BFF914" w14:textId="77777777" w:rsidR="002C0FD9" w:rsidRPr="00CA25CF" w:rsidRDefault="002C0FD9" w:rsidP="00CA25CF">
            <w:pPr>
              <w:rPr>
                <w:rFonts w:cs="Arial"/>
                <w:color w:val="FF0000"/>
                <w:sz w:val="21"/>
                <w:szCs w:val="21"/>
              </w:rPr>
            </w:pPr>
          </w:p>
        </w:tc>
        <w:tc>
          <w:tcPr>
            <w:tcW w:w="217" w:type="dxa"/>
          </w:tcPr>
          <w:p w14:paraId="06C347D1" w14:textId="77777777" w:rsidR="002C0FD9" w:rsidRPr="00CA25CF" w:rsidRDefault="002C0FD9" w:rsidP="00CA25CF">
            <w:pPr>
              <w:rPr>
                <w:rFonts w:cs="Arial"/>
                <w:color w:val="FF0000"/>
                <w:sz w:val="21"/>
                <w:szCs w:val="21"/>
              </w:rPr>
            </w:pPr>
          </w:p>
        </w:tc>
        <w:tc>
          <w:tcPr>
            <w:tcW w:w="217" w:type="dxa"/>
          </w:tcPr>
          <w:p w14:paraId="0CA6BE59" w14:textId="77777777" w:rsidR="002C0FD9" w:rsidRPr="00CA25CF" w:rsidRDefault="002C0FD9" w:rsidP="00CA25CF">
            <w:pPr>
              <w:rPr>
                <w:rFonts w:cs="Arial"/>
                <w:color w:val="FF0000"/>
                <w:sz w:val="21"/>
                <w:szCs w:val="21"/>
              </w:rPr>
            </w:pPr>
          </w:p>
        </w:tc>
        <w:tc>
          <w:tcPr>
            <w:tcW w:w="217" w:type="dxa"/>
          </w:tcPr>
          <w:p w14:paraId="73E11041" w14:textId="77777777" w:rsidR="002C0FD9" w:rsidRPr="00CA25CF" w:rsidRDefault="002C0FD9" w:rsidP="00CA25CF">
            <w:pPr>
              <w:rPr>
                <w:rFonts w:cs="Arial"/>
                <w:color w:val="FF0000"/>
                <w:sz w:val="21"/>
                <w:szCs w:val="21"/>
              </w:rPr>
            </w:pPr>
          </w:p>
        </w:tc>
        <w:tc>
          <w:tcPr>
            <w:tcW w:w="217" w:type="dxa"/>
          </w:tcPr>
          <w:p w14:paraId="1C398919" w14:textId="77777777" w:rsidR="002C0FD9" w:rsidRPr="00CA25CF" w:rsidRDefault="002C0FD9" w:rsidP="00CA25CF">
            <w:pPr>
              <w:rPr>
                <w:rFonts w:cs="Arial"/>
                <w:color w:val="FF0000"/>
                <w:sz w:val="21"/>
                <w:szCs w:val="21"/>
              </w:rPr>
            </w:pPr>
          </w:p>
        </w:tc>
        <w:tc>
          <w:tcPr>
            <w:tcW w:w="217" w:type="dxa"/>
          </w:tcPr>
          <w:p w14:paraId="664D44BE" w14:textId="77777777" w:rsidR="002C0FD9" w:rsidRPr="00CA25CF" w:rsidRDefault="002C0FD9" w:rsidP="00CA25CF">
            <w:pPr>
              <w:rPr>
                <w:rFonts w:cs="Arial"/>
                <w:color w:val="FF0000"/>
                <w:sz w:val="21"/>
                <w:szCs w:val="21"/>
              </w:rPr>
            </w:pPr>
          </w:p>
        </w:tc>
        <w:tc>
          <w:tcPr>
            <w:tcW w:w="217" w:type="dxa"/>
          </w:tcPr>
          <w:p w14:paraId="3D5323DC" w14:textId="77777777" w:rsidR="002C0FD9" w:rsidRPr="00CA25CF" w:rsidRDefault="002C0FD9" w:rsidP="00CA25CF">
            <w:pPr>
              <w:rPr>
                <w:rFonts w:cs="Arial"/>
                <w:color w:val="FF0000"/>
                <w:sz w:val="21"/>
                <w:szCs w:val="21"/>
              </w:rPr>
            </w:pPr>
          </w:p>
        </w:tc>
        <w:tc>
          <w:tcPr>
            <w:tcW w:w="217" w:type="dxa"/>
          </w:tcPr>
          <w:p w14:paraId="39938BE9" w14:textId="77777777" w:rsidR="002C0FD9" w:rsidRPr="00CA25CF" w:rsidRDefault="002C0FD9" w:rsidP="00CA25CF">
            <w:pPr>
              <w:rPr>
                <w:rFonts w:cs="Arial"/>
                <w:color w:val="FF0000"/>
                <w:sz w:val="21"/>
                <w:szCs w:val="21"/>
              </w:rPr>
            </w:pPr>
          </w:p>
        </w:tc>
        <w:tc>
          <w:tcPr>
            <w:tcW w:w="217" w:type="dxa"/>
          </w:tcPr>
          <w:p w14:paraId="6C6B2D14" w14:textId="77777777" w:rsidR="002C0FD9" w:rsidRPr="00CA25CF" w:rsidRDefault="002C0FD9" w:rsidP="00CA25CF">
            <w:pPr>
              <w:rPr>
                <w:rFonts w:cs="Arial"/>
                <w:color w:val="FF0000"/>
                <w:sz w:val="21"/>
                <w:szCs w:val="21"/>
              </w:rPr>
            </w:pPr>
          </w:p>
        </w:tc>
        <w:tc>
          <w:tcPr>
            <w:tcW w:w="217" w:type="dxa"/>
          </w:tcPr>
          <w:p w14:paraId="66AD4463" w14:textId="77777777" w:rsidR="002C0FD9" w:rsidRPr="00CA25CF" w:rsidRDefault="002C0FD9" w:rsidP="00CA25CF">
            <w:pPr>
              <w:rPr>
                <w:rFonts w:cs="Arial"/>
                <w:color w:val="FF0000"/>
                <w:sz w:val="21"/>
                <w:szCs w:val="21"/>
              </w:rPr>
            </w:pPr>
          </w:p>
        </w:tc>
        <w:tc>
          <w:tcPr>
            <w:tcW w:w="217" w:type="dxa"/>
          </w:tcPr>
          <w:p w14:paraId="20256801" w14:textId="77777777" w:rsidR="002C0FD9" w:rsidRPr="00CA25CF" w:rsidRDefault="002C0FD9" w:rsidP="00CA25CF">
            <w:pPr>
              <w:rPr>
                <w:rFonts w:cs="Arial"/>
                <w:color w:val="FF0000"/>
                <w:sz w:val="21"/>
                <w:szCs w:val="21"/>
              </w:rPr>
            </w:pPr>
          </w:p>
        </w:tc>
        <w:tc>
          <w:tcPr>
            <w:tcW w:w="217" w:type="dxa"/>
          </w:tcPr>
          <w:p w14:paraId="5613A044" w14:textId="77777777" w:rsidR="002C0FD9" w:rsidRPr="00CA25CF" w:rsidRDefault="002C0FD9" w:rsidP="00CA25CF">
            <w:pPr>
              <w:rPr>
                <w:rFonts w:cs="Arial"/>
                <w:color w:val="FF0000"/>
                <w:sz w:val="21"/>
                <w:szCs w:val="21"/>
              </w:rPr>
            </w:pPr>
          </w:p>
        </w:tc>
        <w:tc>
          <w:tcPr>
            <w:tcW w:w="217" w:type="dxa"/>
          </w:tcPr>
          <w:p w14:paraId="49F8297E" w14:textId="77777777" w:rsidR="002C0FD9" w:rsidRPr="00CA25CF" w:rsidRDefault="002C0FD9" w:rsidP="00CA25CF">
            <w:pPr>
              <w:rPr>
                <w:rFonts w:cs="Arial"/>
                <w:color w:val="FF0000"/>
                <w:sz w:val="21"/>
                <w:szCs w:val="21"/>
              </w:rPr>
            </w:pPr>
          </w:p>
        </w:tc>
        <w:tc>
          <w:tcPr>
            <w:tcW w:w="217" w:type="dxa"/>
          </w:tcPr>
          <w:p w14:paraId="505CA9FA" w14:textId="77777777" w:rsidR="002C0FD9" w:rsidRPr="00CA25CF" w:rsidRDefault="002C0FD9" w:rsidP="00CA25CF">
            <w:pPr>
              <w:rPr>
                <w:rFonts w:cs="Arial"/>
                <w:color w:val="FF0000"/>
                <w:sz w:val="21"/>
                <w:szCs w:val="21"/>
              </w:rPr>
            </w:pPr>
          </w:p>
        </w:tc>
        <w:tc>
          <w:tcPr>
            <w:tcW w:w="217" w:type="dxa"/>
          </w:tcPr>
          <w:p w14:paraId="0DF1C88B" w14:textId="77777777" w:rsidR="002C0FD9" w:rsidRPr="00CA25CF" w:rsidRDefault="002C0FD9" w:rsidP="00CA25CF">
            <w:pPr>
              <w:rPr>
                <w:rFonts w:cs="Arial"/>
                <w:color w:val="FF0000"/>
                <w:sz w:val="21"/>
                <w:szCs w:val="21"/>
              </w:rPr>
            </w:pPr>
          </w:p>
        </w:tc>
        <w:tc>
          <w:tcPr>
            <w:tcW w:w="217" w:type="dxa"/>
          </w:tcPr>
          <w:p w14:paraId="0FA7457B" w14:textId="77777777" w:rsidR="002C0FD9" w:rsidRPr="00CA25CF" w:rsidRDefault="002C0FD9" w:rsidP="00CA25CF">
            <w:pPr>
              <w:rPr>
                <w:rFonts w:cs="Arial"/>
                <w:color w:val="FF0000"/>
                <w:sz w:val="21"/>
                <w:szCs w:val="21"/>
              </w:rPr>
            </w:pPr>
          </w:p>
        </w:tc>
        <w:tc>
          <w:tcPr>
            <w:tcW w:w="217" w:type="dxa"/>
          </w:tcPr>
          <w:p w14:paraId="1F213004" w14:textId="77777777" w:rsidR="002C0FD9" w:rsidRPr="00CA25CF" w:rsidRDefault="002C0FD9" w:rsidP="00CA25CF">
            <w:pPr>
              <w:rPr>
                <w:rFonts w:cs="Arial"/>
                <w:color w:val="FF0000"/>
                <w:sz w:val="21"/>
                <w:szCs w:val="21"/>
              </w:rPr>
            </w:pPr>
          </w:p>
        </w:tc>
        <w:tc>
          <w:tcPr>
            <w:tcW w:w="217" w:type="dxa"/>
          </w:tcPr>
          <w:p w14:paraId="573BC2FF" w14:textId="77777777" w:rsidR="002C0FD9" w:rsidRPr="00CA25CF" w:rsidRDefault="002C0FD9" w:rsidP="00CA25CF">
            <w:pPr>
              <w:rPr>
                <w:rFonts w:cs="Arial"/>
                <w:color w:val="FF0000"/>
                <w:sz w:val="21"/>
                <w:szCs w:val="21"/>
              </w:rPr>
            </w:pPr>
          </w:p>
        </w:tc>
        <w:tc>
          <w:tcPr>
            <w:tcW w:w="217" w:type="dxa"/>
          </w:tcPr>
          <w:p w14:paraId="2AB49DA9" w14:textId="77777777" w:rsidR="002C0FD9" w:rsidRPr="00CA25CF" w:rsidRDefault="002C0FD9" w:rsidP="00CA25CF">
            <w:pPr>
              <w:rPr>
                <w:rFonts w:cs="Arial"/>
                <w:color w:val="FF0000"/>
                <w:sz w:val="21"/>
                <w:szCs w:val="21"/>
              </w:rPr>
            </w:pPr>
          </w:p>
        </w:tc>
        <w:tc>
          <w:tcPr>
            <w:tcW w:w="217" w:type="dxa"/>
          </w:tcPr>
          <w:p w14:paraId="6E111AE2" w14:textId="77777777" w:rsidR="002C0FD9" w:rsidRPr="00CA25CF" w:rsidRDefault="002C0FD9" w:rsidP="00CA25CF">
            <w:pPr>
              <w:rPr>
                <w:rFonts w:cs="Arial"/>
                <w:color w:val="FF0000"/>
                <w:sz w:val="21"/>
                <w:szCs w:val="21"/>
              </w:rPr>
            </w:pPr>
          </w:p>
        </w:tc>
        <w:tc>
          <w:tcPr>
            <w:tcW w:w="217" w:type="dxa"/>
          </w:tcPr>
          <w:p w14:paraId="21413CAD" w14:textId="77777777" w:rsidR="002C0FD9" w:rsidRPr="00CA25CF" w:rsidRDefault="002C0FD9" w:rsidP="00CA25CF">
            <w:pPr>
              <w:rPr>
                <w:rFonts w:cs="Arial"/>
                <w:color w:val="FF0000"/>
                <w:sz w:val="21"/>
                <w:szCs w:val="21"/>
              </w:rPr>
            </w:pPr>
          </w:p>
        </w:tc>
        <w:tc>
          <w:tcPr>
            <w:tcW w:w="217" w:type="dxa"/>
          </w:tcPr>
          <w:p w14:paraId="5EC173F7" w14:textId="77777777" w:rsidR="002C0FD9" w:rsidRPr="00CA25CF" w:rsidRDefault="002C0FD9" w:rsidP="00CA25CF">
            <w:pPr>
              <w:rPr>
                <w:rFonts w:cs="Arial"/>
                <w:color w:val="FF0000"/>
                <w:sz w:val="21"/>
                <w:szCs w:val="21"/>
              </w:rPr>
            </w:pPr>
          </w:p>
        </w:tc>
        <w:tc>
          <w:tcPr>
            <w:tcW w:w="217" w:type="dxa"/>
          </w:tcPr>
          <w:p w14:paraId="3E8AB0A2" w14:textId="77777777" w:rsidR="002C0FD9" w:rsidRPr="00CA25CF" w:rsidRDefault="002C0FD9" w:rsidP="00CA25CF">
            <w:pPr>
              <w:rPr>
                <w:rFonts w:cs="Arial"/>
                <w:color w:val="FF0000"/>
                <w:sz w:val="21"/>
                <w:szCs w:val="21"/>
              </w:rPr>
            </w:pPr>
          </w:p>
        </w:tc>
        <w:tc>
          <w:tcPr>
            <w:tcW w:w="217" w:type="dxa"/>
          </w:tcPr>
          <w:p w14:paraId="69A711E3" w14:textId="77777777" w:rsidR="002C0FD9" w:rsidRPr="00CA25CF" w:rsidRDefault="002C0FD9" w:rsidP="00CA25CF">
            <w:pPr>
              <w:rPr>
                <w:rFonts w:cs="Arial"/>
                <w:color w:val="FF0000"/>
                <w:sz w:val="21"/>
                <w:szCs w:val="21"/>
              </w:rPr>
            </w:pPr>
          </w:p>
        </w:tc>
        <w:tc>
          <w:tcPr>
            <w:tcW w:w="217" w:type="dxa"/>
          </w:tcPr>
          <w:p w14:paraId="496625E7" w14:textId="77777777" w:rsidR="002C0FD9" w:rsidRPr="00CA25CF" w:rsidRDefault="002C0FD9" w:rsidP="00CA25CF">
            <w:pPr>
              <w:rPr>
                <w:rFonts w:cs="Arial"/>
                <w:color w:val="FF0000"/>
                <w:sz w:val="21"/>
                <w:szCs w:val="21"/>
              </w:rPr>
            </w:pPr>
          </w:p>
        </w:tc>
        <w:tc>
          <w:tcPr>
            <w:tcW w:w="217" w:type="dxa"/>
          </w:tcPr>
          <w:p w14:paraId="6EC8F318" w14:textId="77777777" w:rsidR="002C0FD9" w:rsidRPr="00CA25CF" w:rsidRDefault="002C0FD9" w:rsidP="00CA25CF">
            <w:pPr>
              <w:rPr>
                <w:rFonts w:cs="Arial"/>
                <w:color w:val="FF0000"/>
                <w:sz w:val="21"/>
                <w:szCs w:val="21"/>
              </w:rPr>
            </w:pPr>
          </w:p>
        </w:tc>
        <w:tc>
          <w:tcPr>
            <w:tcW w:w="217" w:type="dxa"/>
          </w:tcPr>
          <w:p w14:paraId="2E22DA4E" w14:textId="77777777" w:rsidR="002C0FD9" w:rsidRPr="00CA25CF" w:rsidRDefault="002C0FD9" w:rsidP="00CA25CF">
            <w:pPr>
              <w:rPr>
                <w:rFonts w:cs="Arial"/>
                <w:color w:val="FF0000"/>
                <w:sz w:val="21"/>
                <w:szCs w:val="21"/>
              </w:rPr>
            </w:pPr>
          </w:p>
        </w:tc>
        <w:tc>
          <w:tcPr>
            <w:tcW w:w="217" w:type="dxa"/>
          </w:tcPr>
          <w:p w14:paraId="0A1D9C1C" w14:textId="77777777" w:rsidR="002C0FD9" w:rsidRPr="00CA25CF" w:rsidRDefault="002C0FD9" w:rsidP="00CA25CF">
            <w:pPr>
              <w:rPr>
                <w:rFonts w:cs="Arial"/>
                <w:color w:val="FF0000"/>
                <w:sz w:val="21"/>
                <w:szCs w:val="21"/>
              </w:rPr>
            </w:pPr>
          </w:p>
        </w:tc>
        <w:tc>
          <w:tcPr>
            <w:tcW w:w="217" w:type="dxa"/>
          </w:tcPr>
          <w:p w14:paraId="2CFA935F" w14:textId="77777777" w:rsidR="002C0FD9" w:rsidRPr="00CA25CF" w:rsidRDefault="002C0FD9" w:rsidP="00CA25CF">
            <w:pPr>
              <w:rPr>
                <w:rFonts w:cs="Arial"/>
                <w:color w:val="FF0000"/>
                <w:sz w:val="21"/>
                <w:szCs w:val="21"/>
              </w:rPr>
            </w:pPr>
          </w:p>
        </w:tc>
      </w:tr>
      <w:tr w:rsidR="002C0FD9" w:rsidRPr="00A16219" w14:paraId="4690E443" w14:textId="77777777" w:rsidTr="002C0FD9">
        <w:trPr>
          <w:trHeight w:val="635"/>
        </w:trPr>
        <w:tc>
          <w:tcPr>
            <w:tcW w:w="515" w:type="dxa"/>
          </w:tcPr>
          <w:p w14:paraId="7545F9B1" w14:textId="77777777" w:rsidR="002C0FD9" w:rsidRPr="00CA25CF" w:rsidRDefault="002C0FD9" w:rsidP="00CA25CF">
            <w:pPr>
              <w:rPr>
                <w:rFonts w:cs="Arial"/>
                <w:color w:val="FF0000"/>
                <w:sz w:val="21"/>
                <w:szCs w:val="21"/>
              </w:rPr>
            </w:pPr>
          </w:p>
        </w:tc>
        <w:tc>
          <w:tcPr>
            <w:tcW w:w="217" w:type="dxa"/>
          </w:tcPr>
          <w:p w14:paraId="1888F882" w14:textId="77777777" w:rsidR="002C0FD9" w:rsidRPr="00CA25CF" w:rsidRDefault="002C0FD9" w:rsidP="00CA25CF">
            <w:pPr>
              <w:rPr>
                <w:rFonts w:cs="Arial"/>
                <w:color w:val="FF0000"/>
                <w:sz w:val="21"/>
                <w:szCs w:val="21"/>
              </w:rPr>
            </w:pPr>
          </w:p>
        </w:tc>
        <w:tc>
          <w:tcPr>
            <w:tcW w:w="217" w:type="dxa"/>
          </w:tcPr>
          <w:p w14:paraId="59B25AC8" w14:textId="77777777" w:rsidR="002C0FD9" w:rsidRPr="00CA25CF" w:rsidRDefault="002C0FD9" w:rsidP="00CA25CF">
            <w:pPr>
              <w:rPr>
                <w:rFonts w:cs="Arial"/>
                <w:color w:val="FF0000"/>
                <w:sz w:val="21"/>
                <w:szCs w:val="21"/>
              </w:rPr>
            </w:pPr>
          </w:p>
        </w:tc>
        <w:tc>
          <w:tcPr>
            <w:tcW w:w="217" w:type="dxa"/>
          </w:tcPr>
          <w:p w14:paraId="2A519668" w14:textId="77777777" w:rsidR="002C0FD9" w:rsidRPr="00CA25CF" w:rsidRDefault="002C0FD9" w:rsidP="00CA25CF">
            <w:pPr>
              <w:rPr>
                <w:rFonts w:cs="Arial"/>
                <w:color w:val="FF0000"/>
                <w:sz w:val="21"/>
                <w:szCs w:val="21"/>
              </w:rPr>
            </w:pPr>
          </w:p>
        </w:tc>
        <w:tc>
          <w:tcPr>
            <w:tcW w:w="217" w:type="dxa"/>
          </w:tcPr>
          <w:p w14:paraId="1703CEE7" w14:textId="77777777" w:rsidR="002C0FD9" w:rsidRPr="00CA25CF" w:rsidRDefault="002C0FD9" w:rsidP="00CA25CF">
            <w:pPr>
              <w:rPr>
                <w:rFonts w:cs="Arial"/>
                <w:color w:val="FF0000"/>
                <w:sz w:val="21"/>
                <w:szCs w:val="21"/>
              </w:rPr>
            </w:pPr>
          </w:p>
        </w:tc>
        <w:tc>
          <w:tcPr>
            <w:tcW w:w="217" w:type="dxa"/>
          </w:tcPr>
          <w:p w14:paraId="08253376" w14:textId="77777777" w:rsidR="002C0FD9" w:rsidRPr="00CA25CF" w:rsidRDefault="002C0FD9" w:rsidP="00CA25CF">
            <w:pPr>
              <w:rPr>
                <w:rFonts w:cs="Arial"/>
                <w:color w:val="FF0000"/>
                <w:sz w:val="21"/>
                <w:szCs w:val="21"/>
              </w:rPr>
            </w:pPr>
          </w:p>
        </w:tc>
        <w:tc>
          <w:tcPr>
            <w:tcW w:w="217" w:type="dxa"/>
          </w:tcPr>
          <w:p w14:paraId="1633EA8B" w14:textId="77777777" w:rsidR="002C0FD9" w:rsidRPr="00CA25CF" w:rsidRDefault="002C0FD9" w:rsidP="00CA25CF">
            <w:pPr>
              <w:rPr>
                <w:rFonts w:cs="Arial"/>
                <w:color w:val="FF0000"/>
                <w:sz w:val="21"/>
                <w:szCs w:val="21"/>
              </w:rPr>
            </w:pPr>
          </w:p>
        </w:tc>
        <w:tc>
          <w:tcPr>
            <w:tcW w:w="217" w:type="dxa"/>
          </w:tcPr>
          <w:p w14:paraId="60B9A492" w14:textId="77777777" w:rsidR="002C0FD9" w:rsidRPr="00CA25CF" w:rsidRDefault="002C0FD9" w:rsidP="00CA25CF">
            <w:pPr>
              <w:rPr>
                <w:rFonts w:cs="Arial"/>
                <w:color w:val="FF0000"/>
                <w:sz w:val="21"/>
                <w:szCs w:val="21"/>
              </w:rPr>
            </w:pPr>
          </w:p>
        </w:tc>
        <w:tc>
          <w:tcPr>
            <w:tcW w:w="217" w:type="dxa"/>
          </w:tcPr>
          <w:p w14:paraId="4CEB5938" w14:textId="77777777" w:rsidR="002C0FD9" w:rsidRPr="00CA25CF" w:rsidRDefault="002C0FD9" w:rsidP="00CA25CF">
            <w:pPr>
              <w:rPr>
                <w:rFonts w:cs="Arial"/>
                <w:color w:val="FF0000"/>
                <w:sz w:val="21"/>
                <w:szCs w:val="21"/>
              </w:rPr>
            </w:pPr>
          </w:p>
        </w:tc>
        <w:tc>
          <w:tcPr>
            <w:tcW w:w="217" w:type="dxa"/>
          </w:tcPr>
          <w:p w14:paraId="7BCA8D8F" w14:textId="77777777" w:rsidR="002C0FD9" w:rsidRPr="00CA25CF" w:rsidRDefault="002C0FD9" w:rsidP="00CA25CF">
            <w:pPr>
              <w:rPr>
                <w:rFonts w:cs="Arial"/>
                <w:color w:val="FF0000"/>
                <w:sz w:val="21"/>
                <w:szCs w:val="21"/>
              </w:rPr>
            </w:pPr>
          </w:p>
        </w:tc>
        <w:tc>
          <w:tcPr>
            <w:tcW w:w="217" w:type="dxa"/>
          </w:tcPr>
          <w:p w14:paraId="24A5AD73" w14:textId="77777777" w:rsidR="002C0FD9" w:rsidRPr="00CA25CF" w:rsidRDefault="002C0FD9" w:rsidP="00CA25CF">
            <w:pPr>
              <w:rPr>
                <w:rFonts w:cs="Arial"/>
                <w:color w:val="FF0000"/>
                <w:sz w:val="21"/>
                <w:szCs w:val="21"/>
              </w:rPr>
            </w:pPr>
          </w:p>
        </w:tc>
        <w:tc>
          <w:tcPr>
            <w:tcW w:w="217" w:type="dxa"/>
          </w:tcPr>
          <w:p w14:paraId="02FBCA0E" w14:textId="77777777" w:rsidR="002C0FD9" w:rsidRPr="00CA25CF" w:rsidRDefault="002C0FD9" w:rsidP="00CA25CF">
            <w:pPr>
              <w:rPr>
                <w:rFonts w:cs="Arial"/>
                <w:color w:val="FF0000"/>
                <w:sz w:val="21"/>
                <w:szCs w:val="21"/>
              </w:rPr>
            </w:pPr>
          </w:p>
        </w:tc>
        <w:tc>
          <w:tcPr>
            <w:tcW w:w="217" w:type="dxa"/>
          </w:tcPr>
          <w:p w14:paraId="1083342F" w14:textId="77777777" w:rsidR="002C0FD9" w:rsidRPr="00CA25CF" w:rsidRDefault="002C0FD9" w:rsidP="00CA25CF">
            <w:pPr>
              <w:rPr>
                <w:rFonts w:cs="Arial"/>
                <w:color w:val="FF0000"/>
                <w:sz w:val="21"/>
                <w:szCs w:val="21"/>
              </w:rPr>
            </w:pPr>
          </w:p>
        </w:tc>
        <w:tc>
          <w:tcPr>
            <w:tcW w:w="217" w:type="dxa"/>
          </w:tcPr>
          <w:p w14:paraId="1475B24A" w14:textId="77777777" w:rsidR="002C0FD9" w:rsidRPr="00CA25CF" w:rsidRDefault="002C0FD9" w:rsidP="00CA25CF">
            <w:pPr>
              <w:rPr>
                <w:rFonts w:cs="Arial"/>
                <w:color w:val="FF0000"/>
                <w:sz w:val="21"/>
                <w:szCs w:val="21"/>
              </w:rPr>
            </w:pPr>
          </w:p>
        </w:tc>
        <w:tc>
          <w:tcPr>
            <w:tcW w:w="217" w:type="dxa"/>
          </w:tcPr>
          <w:p w14:paraId="024588BE" w14:textId="77777777" w:rsidR="002C0FD9" w:rsidRPr="00CA25CF" w:rsidRDefault="002C0FD9" w:rsidP="00CA25CF">
            <w:pPr>
              <w:rPr>
                <w:rFonts w:cs="Arial"/>
                <w:color w:val="FF0000"/>
                <w:sz w:val="21"/>
                <w:szCs w:val="21"/>
              </w:rPr>
            </w:pPr>
          </w:p>
        </w:tc>
        <w:tc>
          <w:tcPr>
            <w:tcW w:w="217" w:type="dxa"/>
          </w:tcPr>
          <w:p w14:paraId="409B9BEB" w14:textId="77777777" w:rsidR="002C0FD9" w:rsidRPr="00CA25CF" w:rsidRDefault="002C0FD9" w:rsidP="00CA25CF">
            <w:pPr>
              <w:rPr>
                <w:rFonts w:cs="Arial"/>
                <w:color w:val="FF0000"/>
                <w:sz w:val="21"/>
                <w:szCs w:val="21"/>
              </w:rPr>
            </w:pPr>
          </w:p>
        </w:tc>
        <w:tc>
          <w:tcPr>
            <w:tcW w:w="217" w:type="dxa"/>
          </w:tcPr>
          <w:p w14:paraId="2CB9575F" w14:textId="77777777" w:rsidR="002C0FD9" w:rsidRPr="00CA25CF" w:rsidRDefault="002C0FD9" w:rsidP="00CA25CF">
            <w:pPr>
              <w:rPr>
                <w:rFonts w:cs="Arial"/>
                <w:color w:val="FF0000"/>
                <w:sz w:val="21"/>
                <w:szCs w:val="21"/>
              </w:rPr>
            </w:pPr>
          </w:p>
        </w:tc>
        <w:tc>
          <w:tcPr>
            <w:tcW w:w="217" w:type="dxa"/>
          </w:tcPr>
          <w:p w14:paraId="5D59AF8D" w14:textId="77777777" w:rsidR="002C0FD9" w:rsidRPr="00CA25CF" w:rsidRDefault="002C0FD9" w:rsidP="00CA25CF">
            <w:pPr>
              <w:rPr>
                <w:rFonts w:cs="Arial"/>
                <w:color w:val="FF0000"/>
                <w:sz w:val="21"/>
                <w:szCs w:val="21"/>
              </w:rPr>
            </w:pPr>
          </w:p>
        </w:tc>
        <w:tc>
          <w:tcPr>
            <w:tcW w:w="217" w:type="dxa"/>
          </w:tcPr>
          <w:p w14:paraId="54B09E78" w14:textId="77777777" w:rsidR="002C0FD9" w:rsidRPr="00CA25CF" w:rsidRDefault="002C0FD9" w:rsidP="00CA25CF">
            <w:pPr>
              <w:rPr>
                <w:rFonts w:cs="Arial"/>
                <w:color w:val="FF0000"/>
                <w:sz w:val="21"/>
                <w:szCs w:val="21"/>
              </w:rPr>
            </w:pPr>
          </w:p>
        </w:tc>
        <w:tc>
          <w:tcPr>
            <w:tcW w:w="217" w:type="dxa"/>
          </w:tcPr>
          <w:p w14:paraId="16BC512A" w14:textId="77777777" w:rsidR="002C0FD9" w:rsidRPr="00CA25CF" w:rsidRDefault="002C0FD9" w:rsidP="00CA25CF">
            <w:pPr>
              <w:rPr>
                <w:rFonts w:cs="Arial"/>
                <w:color w:val="FF0000"/>
                <w:sz w:val="21"/>
                <w:szCs w:val="21"/>
              </w:rPr>
            </w:pPr>
          </w:p>
        </w:tc>
        <w:tc>
          <w:tcPr>
            <w:tcW w:w="217" w:type="dxa"/>
          </w:tcPr>
          <w:p w14:paraId="51827D7E" w14:textId="77777777" w:rsidR="002C0FD9" w:rsidRPr="00CA25CF" w:rsidRDefault="002C0FD9" w:rsidP="00CA25CF">
            <w:pPr>
              <w:rPr>
                <w:rFonts w:cs="Arial"/>
                <w:color w:val="FF0000"/>
                <w:sz w:val="21"/>
                <w:szCs w:val="21"/>
              </w:rPr>
            </w:pPr>
          </w:p>
        </w:tc>
        <w:tc>
          <w:tcPr>
            <w:tcW w:w="217" w:type="dxa"/>
          </w:tcPr>
          <w:p w14:paraId="16151E52" w14:textId="77777777" w:rsidR="002C0FD9" w:rsidRPr="00CA25CF" w:rsidRDefault="002C0FD9" w:rsidP="00CA25CF">
            <w:pPr>
              <w:rPr>
                <w:rFonts w:cs="Arial"/>
                <w:color w:val="FF0000"/>
                <w:sz w:val="21"/>
                <w:szCs w:val="21"/>
              </w:rPr>
            </w:pPr>
          </w:p>
        </w:tc>
        <w:tc>
          <w:tcPr>
            <w:tcW w:w="217" w:type="dxa"/>
          </w:tcPr>
          <w:p w14:paraId="4338F792" w14:textId="77777777" w:rsidR="002C0FD9" w:rsidRPr="00CA25CF" w:rsidRDefault="002C0FD9" w:rsidP="00CA25CF">
            <w:pPr>
              <w:rPr>
                <w:rFonts w:cs="Arial"/>
                <w:color w:val="FF0000"/>
                <w:sz w:val="21"/>
                <w:szCs w:val="21"/>
              </w:rPr>
            </w:pPr>
          </w:p>
        </w:tc>
        <w:tc>
          <w:tcPr>
            <w:tcW w:w="217" w:type="dxa"/>
          </w:tcPr>
          <w:p w14:paraId="7B7E7653" w14:textId="77777777" w:rsidR="002C0FD9" w:rsidRPr="00CA25CF" w:rsidRDefault="002C0FD9" w:rsidP="00CA25CF">
            <w:pPr>
              <w:rPr>
                <w:rFonts w:cs="Arial"/>
                <w:color w:val="FF0000"/>
                <w:sz w:val="21"/>
                <w:szCs w:val="21"/>
              </w:rPr>
            </w:pPr>
          </w:p>
        </w:tc>
        <w:tc>
          <w:tcPr>
            <w:tcW w:w="217" w:type="dxa"/>
          </w:tcPr>
          <w:p w14:paraId="3D8E49A2" w14:textId="77777777" w:rsidR="002C0FD9" w:rsidRPr="00CA25CF" w:rsidRDefault="002C0FD9" w:rsidP="00CA25CF">
            <w:pPr>
              <w:rPr>
                <w:rFonts w:cs="Arial"/>
                <w:color w:val="FF0000"/>
                <w:sz w:val="21"/>
                <w:szCs w:val="21"/>
              </w:rPr>
            </w:pPr>
          </w:p>
        </w:tc>
        <w:tc>
          <w:tcPr>
            <w:tcW w:w="217" w:type="dxa"/>
          </w:tcPr>
          <w:p w14:paraId="16ABB2E1" w14:textId="77777777" w:rsidR="002C0FD9" w:rsidRPr="00CA25CF" w:rsidRDefault="002C0FD9" w:rsidP="00CA25CF">
            <w:pPr>
              <w:rPr>
                <w:rFonts w:cs="Arial"/>
                <w:color w:val="FF0000"/>
                <w:sz w:val="21"/>
                <w:szCs w:val="21"/>
              </w:rPr>
            </w:pPr>
          </w:p>
        </w:tc>
        <w:tc>
          <w:tcPr>
            <w:tcW w:w="217" w:type="dxa"/>
          </w:tcPr>
          <w:p w14:paraId="53FA3236" w14:textId="77777777" w:rsidR="002C0FD9" w:rsidRPr="00CA25CF" w:rsidRDefault="002C0FD9" w:rsidP="00CA25CF">
            <w:pPr>
              <w:rPr>
                <w:rFonts w:cs="Arial"/>
                <w:color w:val="FF0000"/>
                <w:sz w:val="21"/>
                <w:szCs w:val="21"/>
              </w:rPr>
            </w:pPr>
          </w:p>
        </w:tc>
        <w:tc>
          <w:tcPr>
            <w:tcW w:w="217" w:type="dxa"/>
          </w:tcPr>
          <w:p w14:paraId="40651E9A" w14:textId="77777777" w:rsidR="002C0FD9" w:rsidRPr="00CA25CF" w:rsidRDefault="002C0FD9" w:rsidP="00CA25CF">
            <w:pPr>
              <w:rPr>
                <w:rFonts w:cs="Arial"/>
                <w:color w:val="FF0000"/>
                <w:sz w:val="21"/>
                <w:szCs w:val="21"/>
              </w:rPr>
            </w:pPr>
          </w:p>
        </w:tc>
        <w:tc>
          <w:tcPr>
            <w:tcW w:w="217" w:type="dxa"/>
          </w:tcPr>
          <w:p w14:paraId="0253E3C0" w14:textId="77777777" w:rsidR="002C0FD9" w:rsidRPr="00CA25CF" w:rsidRDefault="002C0FD9" w:rsidP="00CA25CF">
            <w:pPr>
              <w:rPr>
                <w:rFonts w:cs="Arial"/>
                <w:color w:val="FF0000"/>
                <w:sz w:val="21"/>
                <w:szCs w:val="21"/>
              </w:rPr>
            </w:pPr>
          </w:p>
        </w:tc>
        <w:tc>
          <w:tcPr>
            <w:tcW w:w="217" w:type="dxa"/>
          </w:tcPr>
          <w:p w14:paraId="6754DC25" w14:textId="77777777" w:rsidR="002C0FD9" w:rsidRPr="00CA25CF" w:rsidRDefault="002C0FD9" w:rsidP="00CA25CF">
            <w:pPr>
              <w:rPr>
                <w:rFonts w:cs="Arial"/>
                <w:color w:val="FF0000"/>
                <w:sz w:val="21"/>
                <w:szCs w:val="21"/>
              </w:rPr>
            </w:pPr>
          </w:p>
        </w:tc>
        <w:tc>
          <w:tcPr>
            <w:tcW w:w="217" w:type="dxa"/>
          </w:tcPr>
          <w:p w14:paraId="3D8E5568" w14:textId="77777777" w:rsidR="002C0FD9" w:rsidRPr="00CA25CF" w:rsidRDefault="002C0FD9" w:rsidP="00CA25CF">
            <w:pPr>
              <w:rPr>
                <w:rFonts w:cs="Arial"/>
                <w:color w:val="FF0000"/>
                <w:sz w:val="21"/>
                <w:szCs w:val="21"/>
              </w:rPr>
            </w:pPr>
          </w:p>
        </w:tc>
        <w:tc>
          <w:tcPr>
            <w:tcW w:w="217" w:type="dxa"/>
          </w:tcPr>
          <w:p w14:paraId="186F38B9" w14:textId="77777777" w:rsidR="002C0FD9" w:rsidRPr="00CA25CF" w:rsidRDefault="002C0FD9" w:rsidP="00CA25CF">
            <w:pPr>
              <w:rPr>
                <w:rFonts w:cs="Arial"/>
                <w:color w:val="FF0000"/>
                <w:sz w:val="21"/>
                <w:szCs w:val="21"/>
              </w:rPr>
            </w:pPr>
          </w:p>
        </w:tc>
        <w:tc>
          <w:tcPr>
            <w:tcW w:w="217" w:type="dxa"/>
          </w:tcPr>
          <w:p w14:paraId="7DDFBEAF" w14:textId="77777777" w:rsidR="002C0FD9" w:rsidRPr="00CA25CF" w:rsidRDefault="002C0FD9" w:rsidP="00CA25CF">
            <w:pPr>
              <w:rPr>
                <w:rFonts w:cs="Arial"/>
                <w:color w:val="FF0000"/>
                <w:sz w:val="21"/>
                <w:szCs w:val="21"/>
              </w:rPr>
            </w:pPr>
          </w:p>
        </w:tc>
        <w:tc>
          <w:tcPr>
            <w:tcW w:w="217" w:type="dxa"/>
          </w:tcPr>
          <w:p w14:paraId="0BA34998" w14:textId="77777777" w:rsidR="002C0FD9" w:rsidRPr="00CA25CF" w:rsidRDefault="002C0FD9" w:rsidP="00CA25CF">
            <w:pPr>
              <w:rPr>
                <w:rFonts w:cs="Arial"/>
                <w:color w:val="FF0000"/>
                <w:sz w:val="21"/>
                <w:szCs w:val="21"/>
              </w:rPr>
            </w:pPr>
          </w:p>
        </w:tc>
        <w:tc>
          <w:tcPr>
            <w:tcW w:w="217" w:type="dxa"/>
          </w:tcPr>
          <w:p w14:paraId="124B1607" w14:textId="77777777" w:rsidR="002C0FD9" w:rsidRPr="00CA25CF" w:rsidRDefault="002C0FD9" w:rsidP="00CA25CF">
            <w:pPr>
              <w:rPr>
                <w:rFonts w:cs="Arial"/>
                <w:color w:val="FF0000"/>
                <w:sz w:val="21"/>
                <w:szCs w:val="21"/>
              </w:rPr>
            </w:pPr>
          </w:p>
        </w:tc>
        <w:tc>
          <w:tcPr>
            <w:tcW w:w="217" w:type="dxa"/>
          </w:tcPr>
          <w:p w14:paraId="6598BACB" w14:textId="77777777" w:rsidR="002C0FD9" w:rsidRPr="00CA25CF" w:rsidRDefault="002C0FD9" w:rsidP="00CA25CF">
            <w:pPr>
              <w:rPr>
                <w:rFonts w:cs="Arial"/>
                <w:color w:val="FF0000"/>
                <w:sz w:val="21"/>
                <w:szCs w:val="21"/>
              </w:rPr>
            </w:pPr>
          </w:p>
        </w:tc>
        <w:tc>
          <w:tcPr>
            <w:tcW w:w="217" w:type="dxa"/>
          </w:tcPr>
          <w:p w14:paraId="2F42FD0D" w14:textId="77777777" w:rsidR="002C0FD9" w:rsidRPr="00CA25CF" w:rsidRDefault="002C0FD9" w:rsidP="00CA25CF">
            <w:pPr>
              <w:rPr>
                <w:rFonts w:cs="Arial"/>
                <w:color w:val="FF0000"/>
                <w:sz w:val="21"/>
                <w:szCs w:val="21"/>
              </w:rPr>
            </w:pPr>
          </w:p>
        </w:tc>
        <w:tc>
          <w:tcPr>
            <w:tcW w:w="217" w:type="dxa"/>
          </w:tcPr>
          <w:p w14:paraId="37F2A680" w14:textId="77777777" w:rsidR="002C0FD9" w:rsidRPr="00CA25CF" w:rsidRDefault="002C0FD9" w:rsidP="00CA25CF">
            <w:pPr>
              <w:rPr>
                <w:rFonts w:cs="Arial"/>
                <w:color w:val="FF0000"/>
                <w:sz w:val="21"/>
                <w:szCs w:val="21"/>
              </w:rPr>
            </w:pPr>
          </w:p>
        </w:tc>
        <w:tc>
          <w:tcPr>
            <w:tcW w:w="217" w:type="dxa"/>
          </w:tcPr>
          <w:p w14:paraId="72EA60FA" w14:textId="77777777" w:rsidR="002C0FD9" w:rsidRPr="00CA25CF" w:rsidRDefault="002C0FD9" w:rsidP="00CA25CF">
            <w:pPr>
              <w:rPr>
                <w:rFonts w:cs="Arial"/>
                <w:color w:val="FF0000"/>
                <w:sz w:val="21"/>
                <w:szCs w:val="21"/>
              </w:rPr>
            </w:pPr>
          </w:p>
        </w:tc>
        <w:tc>
          <w:tcPr>
            <w:tcW w:w="217" w:type="dxa"/>
          </w:tcPr>
          <w:p w14:paraId="249746EA" w14:textId="77777777" w:rsidR="002C0FD9" w:rsidRPr="00CA25CF" w:rsidRDefault="002C0FD9" w:rsidP="00CA25CF">
            <w:pPr>
              <w:rPr>
                <w:rFonts w:cs="Arial"/>
                <w:color w:val="FF0000"/>
                <w:sz w:val="21"/>
                <w:szCs w:val="21"/>
              </w:rPr>
            </w:pPr>
          </w:p>
        </w:tc>
        <w:tc>
          <w:tcPr>
            <w:tcW w:w="217" w:type="dxa"/>
          </w:tcPr>
          <w:p w14:paraId="5A884EA8" w14:textId="77777777" w:rsidR="002C0FD9" w:rsidRPr="00CA25CF" w:rsidRDefault="002C0FD9" w:rsidP="00CA25CF">
            <w:pPr>
              <w:rPr>
                <w:rFonts w:cs="Arial"/>
                <w:color w:val="FF0000"/>
                <w:sz w:val="21"/>
                <w:szCs w:val="21"/>
              </w:rPr>
            </w:pPr>
          </w:p>
        </w:tc>
        <w:tc>
          <w:tcPr>
            <w:tcW w:w="217" w:type="dxa"/>
          </w:tcPr>
          <w:p w14:paraId="3A3E6018" w14:textId="77777777" w:rsidR="002C0FD9" w:rsidRPr="00CA25CF" w:rsidRDefault="002C0FD9" w:rsidP="00CA25CF">
            <w:pPr>
              <w:rPr>
                <w:rFonts w:cs="Arial"/>
                <w:color w:val="FF0000"/>
                <w:sz w:val="21"/>
                <w:szCs w:val="21"/>
              </w:rPr>
            </w:pPr>
          </w:p>
        </w:tc>
        <w:tc>
          <w:tcPr>
            <w:tcW w:w="217" w:type="dxa"/>
          </w:tcPr>
          <w:p w14:paraId="05F94320" w14:textId="77777777" w:rsidR="002C0FD9" w:rsidRPr="00CA25CF" w:rsidRDefault="002C0FD9" w:rsidP="00CA25CF">
            <w:pPr>
              <w:rPr>
                <w:rFonts w:cs="Arial"/>
                <w:color w:val="FF0000"/>
                <w:sz w:val="21"/>
                <w:szCs w:val="21"/>
              </w:rPr>
            </w:pPr>
          </w:p>
        </w:tc>
      </w:tr>
      <w:tr w:rsidR="002C0FD9" w:rsidRPr="00A16219" w14:paraId="67E30724" w14:textId="77777777" w:rsidTr="002C0FD9">
        <w:trPr>
          <w:trHeight w:val="635"/>
        </w:trPr>
        <w:tc>
          <w:tcPr>
            <w:tcW w:w="515" w:type="dxa"/>
          </w:tcPr>
          <w:p w14:paraId="3F91BCAD" w14:textId="77777777" w:rsidR="002C0FD9" w:rsidRPr="00CA25CF" w:rsidRDefault="002C0FD9" w:rsidP="00CA25CF">
            <w:pPr>
              <w:rPr>
                <w:rFonts w:cs="Arial"/>
                <w:color w:val="FF0000"/>
                <w:sz w:val="21"/>
                <w:szCs w:val="21"/>
              </w:rPr>
            </w:pPr>
          </w:p>
        </w:tc>
        <w:tc>
          <w:tcPr>
            <w:tcW w:w="217" w:type="dxa"/>
          </w:tcPr>
          <w:p w14:paraId="5500069F" w14:textId="77777777" w:rsidR="002C0FD9" w:rsidRPr="00CA25CF" w:rsidRDefault="002C0FD9" w:rsidP="00CA25CF">
            <w:pPr>
              <w:rPr>
                <w:rFonts w:cs="Arial"/>
                <w:color w:val="FF0000"/>
                <w:sz w:val="21"/>
                <w:szCs w:val="21"/>
              </w:rPr>
            </w:pPr>
          </w:p>
        </w:tc>
        <w:tc>
          <w:tcPr>
            <w:tcW w:w="217" w:type="dxa"/>
          </w:tcPr>
          <w:p w14:paraId="7D0AF06D" w14:textId="77777777" w:rsidR="002C0FD9" w:rsidRPr="00CA25CF" w:rsidRDefault="002C0FD9" w:rsidP="00CA25CF">
            <w:pPr>
              <w:rPr>
                <w:rFonts w:cs="Arial"/>
                <w:color w:val="FF0000"/>
                <w:sz w:val="21"/>
                <w:szCs w:val="21"/>
              </w:rPr>
            </w:pPr>
          </w:p>
        </w:tc>
        <w:tc>
          <w:tcPr>
            <w:tcW w:w="217" w:type="dxa"/>
          </w:tcPr>
          <w:p w14:paraId="27B690AB" w14:textId="77777777" w:rsidR="002C0FD9" w:rsidRPr="00CA25CF" w:rsidRDefault="002C0FD9" w:rsidP="00CA25CF">
            <w:pPr>
              <w:rPr>
                <w:rFonts w:cs="Arial"/>
                <w:color w:val="FF0000"/>
                <w:sz w:val="21"/>
                <w:szCs w:val="21"/>
              </w:rPr>
            </w:pPr>
          </w:p>
        </w:tc>
        <w:tc>
          <w:tcPr>
            <w:tcW w:w="217" w:type="dxa"/>
          </w:tcPr>
          <w:p w14:paraId="21D8A865" w14:textId="77777777" w:rsidR="002C0FD9" w:rsidRPr="00CA25CF" w:rsidRDefault="002C0FD9" w:rsidP="00CA25CF">
            <w:pPr>
              <w:rPr>
                <w:rFonts w:cs="Arial"/>
                <w:color w:val="FF0000"/>
                <w:sz w:val="21"/>
                <w:szCs w:val="21"/>
              </w:rPr>
            </w:pPr>
          </w:p>
        </w:tc>
        <w:tc>
          <w:tcPr>
            <w:tcW w:w="217" w:type="dxa"/>
          </w:tcPr>
          <w:p w14:paraId="0FC0EDFB" w14:textId="77777777" w:rsidR="002C0FD9" w:rsidRPr="00CA25CF" w:rsidRDefault="002C0FD9" w:rsidP="00CA25CF">
            <w:pPr>
              <w:rPr>
                <w:rFonts w:cs="Arial"/>
                <w:color w:val="FF0000"/>
                <w:sz w:val="21"/>
                <w:szCs w:val="21"/>
              </w:rPr>
            </w:pPr>
          </w:p>
        </w:tc>
        <w:tc>
          <w:tcPr>
            <w:tcW w:w="217" w:type="dxa"/>
          </w:tcPr>
          <w:p w14:paraId="77766E01" w14:textId="77777777" w:rsidR="002C0FD9" w:rsidRPr="00CA25CF" w:rsidRDefault="002C0FD9" w:rsidP="00CA25CF">
            <w:pPr>
              <w:rPr>
                <w:rFonts w:cs="Arial"/>
                <w:color w:val="FF0000"/>
                <w:sz w:val="21"/>
                <w:szCs w:val="21"/>
              </w:rPr>
            </w:pPr>
          </w:p>
        </w:tc>
        <w:tc>
          <w:tcPr>
            <w:tcW w:w="217" w:type="dxa"/>
          </w:tcPr>
          <w:p w14:paraId="15670292" w14:textId="77777777" w:rsidR="002C0FD9" w:rsidRPr="00CA25CF" w:rsidRDefault="002C0FD9" w:rsidP="00CA25CF">
            <w:pPr>
              <w:rPr>
                <w:rFonts w:cs="Arial"/>
                <w:color w:val="FF0000"/>
                <w:sz w:val="21"/>
                <w:szCs w:val="21"/>
              </w:rPr>
            </w:pPr>
          </w:p>
        </w:tc>
        <w:tc>
          <w:tcPr>
            <w:tcW w:w="217" w:type="dxa"/>
          </w:tcPr>
          <w:p w14:paraId="2BDA453A" w14:textId="77777777" w:rsidR="002C0FD9" w:rsidRPr="00CA25CF" w:rsidRDefault="002C0FD9" w:rsidP="00CA25CF">
            <w:pPr>
              <w:rPr>
                <w:rFonts w:cs="Arial"/>
                <w:color w:val="FF0000"/>
                <w:sz w:val="21"/>
                <w:szCs w:val="21"/>
              </w:rPr>
            </w:pPr>
          </w:p>
        </w:tc>
        <w:tc>
          <w:tcPr>
            <w:tcW w:w="217" w:type="dxa"/>
          </w:tcPr>
          <w:p w14:paraId="6F9E7FA9" w14:textId="77777777" w:rsidR="002C0FD9" w:rsidRPr="00CA25CF" w:rsidRDefault="002C0FD9" w:rsidP="00CA25CF">
            <w:pPr>
              <w:rPr>
                <w:rFonts w:cs="Arial"/>
                <w:color w:val="FF0000"/>
                <w:sz w:val="21"/>
                <w:szCs w:val="21"/>
              </w:rPr>
            </w:pPr>
          </w:p>
        </w:tc>
        <w:tc>
          <w:tcPr>
            <w:tcW w:w="217" w:type="dxa"/>
          </w:tcPr>
          <w:p w14:paraId="2E945C13" w14:textId="77777777" w:rsidR="002C0FD9" w:rsidRPr="00CA25CF" w:rsidRDefault="002C0FD9" w:rsidP="00CA25CF">
            <w:pPr>
              <w:rPr>
                <w:rFonts w:cs="Arial"/>
                <w:color w:val="FF0000"/>
                <w:sz w:val="21"/>
                <w:szCs w:val="21"/>
              </w:rPr>
            </w:pPr>
          </w:p>
        </w:tc>
        <w:tc>
          <w:tcPr>
            <w:tcW w:w="217" w:type="dxa"/>
          </w:tcPr>
          <w:p w14:paraId="0C9D0B1D" w14:textId="77777777" w:rsidR="002C0FD9" w:rsidRPr="00CA25CF" w:rsidRDefault="002C0FD9" w:rsidP="00CA25CF">
            <w:pPr>
              <w:rPr>
                <w:rFonts w:cs="Arial"/>
                <w:color w:val="FF0000"/>
                <w:sz w:val="21"/>
                <w:szCs w:val="21"/>
              </w:rPr>
            </w:pPr>
          </w:p>
        </w:tc>
        <w:tc>
          <w:tcPr>
            <w:tcW w:w="217" w:type="dxa"/>
          </w:tcPr>
          <w:p w14:paraId="7FC01293" w14:textId="77777777" w:rsidR="002C0FD9" w:rsidRPr="00CA25CF" w:rsidRDefault="002C0FD9" w:rsidP="00CA25CF">
            <w:pPr>
              <w:rPr>
                <w:rFonts w:cs="Arial"/>
                <w:color w:val="FF0000"/>
                <w:sz w:val="21"/>
                <w:szCs w:val="21"/>
              </w:rPr>
            </w:pPr>
          </w:p>
        </w:tc>
        <w:tc>
          <w:tcPr>
            <w:tcW w:w="217" w:type="dxa"/>
          </w:tcPr>
          <w:p w14:paraId="069596B4" w14:textId="77777777" w:rsidR="002C0FD9" w:rsidRPr="00CA25CF" w:rsidRDefault="002C0FD9" w:rsidP="00CA25CF">
            <w:pPr>
              <w:rPr>
                <w:rFonts w:cs="Arial"/>
                <w:color w:val="FF0000"/>
                <w:sz w:val="21"/>
                <w:szCs w:val="21"/>
              </w:rPr>
            </w:pPr>
          </w:p>
        </w:tc>
        <w:tc>
          <w:tcPr>
            <w:tcW w:w="217" w:type="dxa"/>
          </w:tcPr>
          <w:p w14:paraId="33C33043" w14:textId="77777777" w:rsidR="002C0FD9" w:rsidRPr="00CA25CF" w:rsidRDefault="002C0FD9" w:rsidP="00CA25CF">
            <w:pPr>
              <w:rPr>
                <w:rFonts w:cs="Arial"/>
                <w:color w:val="FF0000"/>
                <w:sz w:val="21"/>
                <w:szCs w:val="21"/>
              </w:rPr>
            </w:pPr>
          </w:p>
        </w:tc>
        <w:tc>
          <w:tcPr>
            <w:tcW w:w="217" w:type="dxa"/>
          </w:tcPr>
          <w:p w14:paraId="621F4F02" w14:textId="77777777" w:rsidR="002C0FD9" w:rsidRPr="00CA25CF" w:rsidRDefault="002C0FD9" w:rsidP="00CA25CF">
            <w:pPr>
              <w:rPr>
                <w:rFonts w:cs="Arial"/>
                <w:color w:val="FF0000"/>
                <w:sz w:val="21"/>
                <w:szCs w:val="21"/>
              </w:rPr>
            </w:pPr>
          </w:p>
        </w:tc>
        <w:tc>
          <w:tcPr>
            <w:tcW w:w="217" w:type="dxa"/>
          </w:tcPr>
          <w:p w14:paraId="6626E34E" w14:textId="77777777" w:rsidR="002C0FD9" w:rsidRPr="00CA25CF" w:rsidRDefault="002C0FD9" w:rsidP="00CA25CF">
            <w:pPr>
              <w:rPr>
                <w:rFonts w:cs="Arial"/>
                <w:color w:val="FF0000"/>
                <w:sz w:val="21"/>
                <w:szCs w:val="21"/>
              </w:rPr>
            </w:pPr>
          </w:p>
        </w:tc>
        <w:tc>
          <w:tcPr>
            <w:tcW w:w="217" w:type="dxa"/>
          </w:tcPr>
          <w:p w14:paraId="7CEB1088" w14:textId="77777777" w:rsidR="002C0FD9" w:rsidRPr="00CA25CF" w:rsidRDefault="002C0FD9" w:rsidP="00CA25CF">
            <w:pPr>
              <w:rPr>
                <w:rFonts w:cs="Arial"/>
                <w:color w:val="FF0000"/>
                <w:sz w:val="21"/>
                <w:szCs w:val="21"/>
              </w:rPr>
            </w:pPr>
          </w:p>
        </w:tc>
        <w:tc>
          <w:tcPr>
            <w:tcW w:w="217" w:type="dxa"/>
          </w:tcPr>
          <w:p w14:paraId="60E63282" w14:textId="77777777" w:rsidR="002C0FD9" w:rsidRPr="00CA25CF" w:rsidRDefault="002C0FD9" w:rsidP="00CA25CF">
            <w:pPr>
              <w:rPr>
                <w:rFonts w:cs="Arial"/>
                <w:color w:val="FF0000"/>
                <w:sz w:val="21"/>
                <w:szCs w:val="21"/>
              </w:rPr>
            </w:pPr>
          </w:p>
        </w:tc>
        <w:tc>
          <w:tcPr>
            <w:tcW w:w="217" w:type="dxa"/>
          </w:tcPr>
          <w:p w14:paraId="7A2C7DDD" w14:textId="77777777" w:rsidR="002C0FD9" w:rsidRPr="00CA25CF" w:rsidRDefault="002C0FD9" w:rsidP="00CA25CF">
            <w:pPr>
              <w:rPr>
                <w:rFonts w:cs="Arial"/>
                <w:color w:val="FF0000"/>
                <w:sz w:val="21"/>
                <w:szCs w:val="21"/>
              </w:rPr>
            </w:pPr>
          </w:p>
        </w:tc>
        <w:tc>
          <w:tcPr>
            <w:tcW w:w="217" w:type="dxa"/>
          </w:tcPr>
          <w:p w14:paraId="17E582EB" w14:textId="77777777" w:rsidR="002C0FD9" w:rsidRPr="00CA25CF" w:rsidRDefault="002C0FD9" w:rsidP="00CA25CF">
            <w:pPr>
              <w:rPr>
                <w:rFonts w:cs="Arial"/>
                <w:color w:val="FF0000"/>
                <w:sz w:val="21"/>
                <w:szCs w:val="21"/>
              </w:rPr>
            </w:pPr>
          </w:p>
        </w:tc>
        <w:tc>
          <w:tcPr>
            <w:tcW w:w="217" w:type="dxa"/>
          </w:tcPr>
          <w:p w14:paraId="5ADC3FF8" w14:textId="77777777" w:rsidR="002C0FD9" w:rsidRPr="00CA25CF" w:rsidRDefault="002C0FD9" w:rsidP="00CA25CF">
            <w:pPr>
              <w:rPr>
                <w:rFonts w:cs="Arial"/>
                <w:color w:val="FF0000"/>
                <w:sz w:val="21"/>
                <w:szCs w:val="21"/>
              </w:rPr>
            </w:pPr>
          </w:p>
        </w:tc>
        <w:tc>
          <w:tcPr>
            <w:tcW w:w="217" w:type="dxa"/>
          </w:tcPr>
          <w:p w14:paraId="4E8EFBB0" w14:textId="77777777" w:rsidR="002C0FD9" w:rsidRPr="00CA25CF" w:rsidRDefault="002C0FD9" w:rsidP="00CA25CF">
            <w:pPr>
              <w:rPr>
                <w:rFonts w:cs="Arial"/>
                <w:color w:val="FF0000"/>
                <w:sz w:val="21"/>
                <w:szCs w:val="21"/>
              </w:rPr>
            </w:pPr>
          </w:p>
        </w:tc>
        <w:tc>
          <w:tcPr>
            <w:tcW w:w="217" w:type="dxa"/>
          </w:tcPr>
          <w:p w14:paraId="5E5A6CAC" w14:textId="77777777" w:rsidR="002C0FD9" w:rsidRPr="00CA25CF" w:rsidRDefault="002C0FD9" w:rsidP="00CA25CF">
            <w:pPr>
              <w:rPr>
                <w:rFonts w:cs="Arial"/>
                <w:color w:val="FF0000"/>
                <w:sz w:val="21"/>
                <w:szCs w:val="21"/>
              </w:rPr>
            </w:pPr>
          </w:p>
        </w:tc>
        <w:tc>
          <w:tcPr>
            <w:tcW w:w="217" w:type="dxa"/>
          </w:tcPr>
          <w:p w14:paraId="4E07E53D" w14:textId="77777777" w:rsidR="002C0FD9" w:rsidRPr="00CA25CF" w:rsidRDefault="002C0FD9" w:rsidP="00CA25CF">
            <w:pPr>
              <w:rPr>
                <w:rFonts w:cs="Arial"/>
                <w:color w:val="FF0000"/>
                <w:sz w:val="21"/>
                <w:szCs w:val="21"/>
              </w:rPr>
            </w:pPr>
          </w:p>
        </w:tc>
        <w:tc>
          <w:tcPr>
            <w:tcW w:w="217" w:type="dxa"/>
          </w:tcPr>
          <w:p w14:paraId="1FF23E70" w14:textId="77777777" w:rsidR="002C0FD9" w:rsidRPr="00CA25CF" w:rsidRDefault="002C0FD9" w:rsidP="00CA25CF">
            <w:pPr>
              <w:rPr>
                <w:rFonts w:cs="Arial"/>
                <w:color w:val="FF0000"/>
                <w:sz w:val="21"/>
                <w:szCs w:val="21"/>
              </w:rPr>
            </w:pPr>
          </w:p>
        </w:tc>
        <w:tc>
          <w:tcPr>
            <w:tcW w:w="217" w:type="dxa"/>
          </w:tcPr>
          <w:p w14:paraId="2B520A08" w14:textId="77777777" w:rsidR="002C0FD9" w:rsidRPr="00CA25CF" w:rsidRDefault="002C0FD9" w:rsidP="00CA25CF">
            <w:pPr>
              <w:rPr>
                <w:rFonts w:cs="Arial"/>
                <w:color w:val="FF0000"/>
                <w:sz w:val="21"/>
                <w:szCs w:val="21"/>
              </w:rPr>
            </w:pPr>
          </w:p>
        </w:tc>
        <w:tc>
          <w:tcPr>
            <w:tcW w:w="217" w:type="dxa"/>
          </w:tcPr>
          <w:p w14:paraId="0557A95B" w14:textId="77777777" w:rsidR="002C0FD9" w:rsidRPr="00CA25CF" w:rsidRDefault="002C0FD9" w:rsidP="00CA25CF">
            <w:pPr>
              <w:rPr>
                <w:rFonts w:cs="Arial"/>
                <w:color w:val="FF0000"/>
                <w:sz w:val="21"/>
                <w:szCs w:val="21"/>
              </w:rPr>
            </w:pPr>
          </w:p>
        </w:tc>
        <w:tc>
          <w:tcPr>
            <w:tcW w:w="217" w:type="dxa"/>
          </w:tcPr>
          <w:p w14:paraId="0F08B060" w14:textId="77777777" w:rsidR="002C0FD9" w:rsidRPr="00CA25CF" w:rsidRDefault="002C0FD9" w:rsidP="00CA25CF">
            <w:pPr>
              <w:rPr>
                <w:rFonts w:cs="Arial"/>
                <w:color w:val="FF0000"/>
                <w:sz w:val="21"/>
                <w:szCs w:val="21"/>
              </w:rPr>
            </w:pPr>
          </w:p>
        </w:tc>
        <w:tc>
          <w:tcPr>
            <w:tcW w:w="217" w:type="dxa"/>
          </w:tcPr>
          <w:p w14:paraId="5B62FBB6" w14:textId="77777777" w:rsidR="002C0FD9" w:rsidRPr="00CA25CF" w:rsidRDefault="002C0FD9" w:rsidP="00CA25CF">
            <w:pPr>
              <w:rPr>
                <w:rFonts w:cs="Arial"/>
                <w:color w:val="FF0000"/>
                <w:sz w:val="21"/>
                <w:szCs w:val="21"/>
              </w:rPr>
            </w:pPr>
          </w:p>
        </w:tc>
        <w:tc>
          <w:tcPr>
            <w:tcW w:w="217" w:type="dxa"/>
          </w:tcPr>
          <w:p w14:paraId="7F5F4EBA" w14:textId="77777777" w:rsidR="002C0FD9" w:rsidRPr="00CA25CF" w:rsidRDefault="002C0FD9" w:rsidP="00CA25CF">
            <w:pPr>
              <w:rPr>
                <w:rFonts w:cs="Arial"/>
                <w:color w:val="FF0000"/>
                <w:sz w:val="21"/>
                <w:szCs w:val="21"/>
              </w:rPr>
            </w:pPr>
          </w:p>
        </w:tc>
        <w:tc>
          <w:tcPr>
            <w:tcW w:w="217" w:type="dxa"/>
          </w:tcPr>
          <w:p w14:paraId="065C3F11" w14:textId="77777777" w:rsidR="002C0FD9" w:rsidRPr="00CA25CF" w:rsidRDefault="002C0FD9" w:rsidP="00CA25CF">
            <w:pPr>
              <w:rPr>
                <w:rFonts w:cs="Arial"/>
                <w:color w:val="FF0000"/>
                <w:sz w:val="21"/>
                <w:szCs w:val="21"/>
              </w:rPr>
            </w:pPr>
          </w:p>
        </w:tc>
        <w:tc>
          <w:tcPr>
            <w:tcW w:w="217" w:type="dxa"/>
          </w:tcPr>
          <w:p w14:paraId="1BEC2EA4" w14:textId="77777777" w:rsidR="002C0FD9" w:rsidRPr="00CA25CF" w:rsidRDefault="002C0FD9" w:rsidP="00CA25CF">
            <w:pPr>
              <w:rPr>
                <w:rFonts w:cs="Arial"/>
                <w:color w:val="FF0000"/>
                <w:sz w:val="21"/>
                <w:szCs w:val="21"/>
              </w:rPr>
            </w:pPr>
          </w:p>
        </w:tc>
        <w:tc>
          <w:tcPr>
            <w:tcW w:w="217" w:type="dxa"/>
          </w:tcPr>
          <w:p w14:paraId="4EC61DA6" w14:textId="77777777" w:rsidR="002C0FD9" w:rsidRPr="00CA25CF" w:rsidRDefault="002C0FD9" w:rsidP="00CA25CF">
            <w:pPr>
              <w:rPr>
                <w:rFonts w:cs="Arial"/>
                <w:color w:val="FF0000"/>
                <w:sz w:val="21"/>
                <w:szCs w:val="21"/>
              </w:rPr>
            </w:pPr>
          </w:p>
        </w:tc>
        <w:tc>
          <w:tcPr>
            <w:tcW w:w="217" w:type="dxa"/>
          </w:tcPr>
          <w:p w14:paraId="216C3B81" w14:textId="77777777" w:rsidR="002C0FD9" w:rsidRPr="00CA25CF" w:rsidRDefault="002C0FD9" w:rsidP="00CA25CF">
            <w:pPr>
              <w:rPr>
                <w:rFonts w:cs="Arial"/>
                <w:color w:val="FF0000"/>
                <w:sz w:val="21"/>
                <w:szCs w:val="21"/>
              </w:rPr>
            </w:pPr>
          </w:p>
        </w:tc>
        <w:tc>
          <w:tcPr>
            <w:tcW w:w="217" w:type="dxa"/>
          </w:tcPr>
          <w:p w14:paraId="5033814E" w14:textId="77777777" w:rsidR="002C0FD9" w:rsidRPr="00CA25CF" w:rsidRDefault="002C0FD9" w:rsidP="00CA25CF">
            <w:pPr>
              <w:rPr>
                <w:rFonts w:cs="Arial"/>
                <w:color w:val="FF0000"/>
                <w:sz w:val="21"/>
                <w:szCs w:val="21"/>
              </w:rPr>
            </w:pPr>
          </w:p>
        </w:tc>
        <w:tc>
          <w:tcPr>
            <w:tcW w:w="217" w:type="dxa"/>
          </w:tcPr>
          <w:p w14:paraId="62F46513" w14:textId="77777777" w:rsidR="002C0FD9" w:rsidRPr="00CA25CF" w:rsidRDefault="002C0FD9" w:rsidP="00CA25CF">
            <w:pPr>
              <w:rPr>
                <w:rFonts w:cs="Arial"/>
                <w:color w:val="FF0000"/>
                <w:sz w:val="21"/>
                <w:szCs w:val="21"/>
              </w:rPr>
            </w:pPr>
          </w:p>
        </w:tc>
        <w:tc>
          <w:tcPr>
            <w:tcW w:w="217" w:type="dxa"/>
          </w:tcPr>
          <w:p w14:paraId="54D67EA4" w14:textId="77777777" w:rsidR="002C0FD9" w:rsidRPr="00CA25CF" w:rsidRDefault="002C0FD9" w:rsidP="00CA25CF">
            <w:pPr>
              <w:rPr>
                <w:rFonts w:cs="Arial"/>
                <w:color w:val="FF0000"/>
                <w:sz w:val="21"/>
                <w:szCs w:val="21"/>
              </w:rPr>
            </w:pPr>
          </w:p>
        </w:tc>
        <w:tc>
          <w:tcPr>
            <w:tcW w:w="217" w:type="dxa"/>
          </w:tcPr>
          <w:p w14:paraId="43C53344" w14:textId="77777777" w:rsidR="002C0FD9" w:rsidRPr="00CA25CF" w:rsidRDefault="002C0FD9" w:rsidP="00CA25CF">
            <w:pPr>
              <w:rPr>
                <w:rFonts w:cs="Arial"/>
                <w:color w:val="FF0000"/>
                <w:sz w:val="21"/>
                <w:szCs w:val="21"/>
              </w:rPr>
            </w:pPr>
          </w:p>
        </w:tc>
        <w:tc>
          <w:tcPr>
            <w:tcW w:w="217" w:type="dxa"/>
          </w:tcPr>
          <w:p w14:paraId="7F4CA1CC" w14:textId="77777777" w:rsidR="002C0FD9" w:rsidRPr="00CA25CF" w:rsidRDefault="002C0FD9" w:rsidP="00CA25CF">
            <w:pPr>
              <w:rPr>
                <w:rFonts w:cs="Arial"/>
                <w:color w:val="FF0000"/>
                <w:sz w:val="21"/>
                <w:szCs w:val="21"/>
              </w:rPr>
            </w:pPr>
          </w:p>
        </w:tc>
        <w:tc>
          <w:tcPr>
            <w:tcW w:w="217" w:type="dxa"/>
          </w:tcPr>
          <w:p w14:paraId="39E8171B" w14:textId="77777777" w:rsidR="002C0FD9" w:rsidRPr="00CA25CF" w:rsidRDefault="002C0FD9" w:rsidP="00CA25CF">
            <w:pPr>
              <w:rPr>
                <w:rFonts w:cs="Arial"/>
                <w:color w:val="FF0000"/>
                <w:sz w:val="21"/>
                <w:szCs w:val="21"/>
              </w:rPr>
            </w:pPr>
          </w:p>
        </w:tc>
        <w:tc>
          <w:tcPr>
            <w:tcW w:w="217" w:type="dxa"/>
          </w:tcPr>
          <w:p w14:paraId="17CB345D" w14:textId="77777777" w:rsidR="002C0FD9" w:rsidRPr="00CA25CF" w:rsidRDefault="002C0FD9" w:rsidP="00CA25CF">
            <w:pPr>
              <w:rPr>
                <w:rFonts w:cs="Arial"/>
                <w:color w:val="FF0000"/>
                <w:sz w:val="21"/>
                <w:szCs w:val="21"/>
              </w:rPr>
            </w:pPr>
          </w:p>
        </w:tc>
        <w:tc>
          <w:tcPr>
            <w:tcW w:w="217" w:type="dxa"/>
          </w:tcPr>
          <w:p w14:paraId="69A4872F" w14:textId="77777777" w:rsidR="002C0FD9" w:rsidRPr="00CA25CF" w:rsidRDefault="002C0FD9" w:rsidP="00CA25CF">
            <w:pPr>
              <w:rPr>
                <w:rFonts w:cs="Arial"/>
                <w:color w:val="FF0000"/>
                <w:sz w:val="21"/>
                <w:szCs w:val="21"/>
              </w:rPr>
            </w:pPr>
          </w:p>
        </w:tc>
      </w:tr>
      <w:tr w:rsidR="002C0FD9" w:rsidRPr="00A16219" w14:paraId="617BA772" w14:textId="77777777" w:rsidTr="002C0FD9">
        <w:trPr>
          <w:trHeight w:val="635"/>
        </w:trPr>
        <w:tc>
          <w:tcPr>
            <w:tcW w:w="515" w:type="dxa"/>
          </w:tcPr>
          <w:p w14:paraId="0B95CD98" w14:textId="77777777" w:rsidR="002C0FD9" w:rsidRPr="00CA25CF" w:rsidRDefault="002C0FD9" w:rsidP="00CA25CF">
            <w:pPr>
              <w:rPr>
                <w:rFonts w:cs="Arial"/>
                <w:color w:val="FF0000"/>
                <w:sz w:val="21"/>
                <w:szCs w:val="21"/>
              </w:rPr>
            </w:pPr>
          </w:p>
        </w:tc>
        <w:tc>
          <w:tcPr>
            <w:tcW w:w="217" w:type="dxa"/>
          </w:tcPr>
          <w:p w14:paraId="0CFCE7B6" w14:textId="77777777" w:rsidR="002C0FD9" w:rsidRPr="00CA25CF" w:rsidRDefault="002C0FD9" w:rsidP="00CA25CF">
            <w:pPr>
              <w:rPr>
                <w:rFonts w:cs="Arial"/>
                <w:color w:val="FF0000"/>
                <w:sz w:val="21"/>
                <w:szCs w:val="21"/>
              </w:rPr>
            </w:pPr>
          </w:p>
        </w:tc>
        <w:tc>
          <w:tcPr>
            <w:tcW w:w="217" w:type="dxa"/>
          </w:tcPr>
          <w:p w14:paraId="5D51DA07" w14:textId="77777777" w:rsidR="002C0FD9" w:rsidRPr="00CA25CF" w:rsidRDefault="002C0FD9" w:rsidP="00CA25CF">
            <w:pPr>
              <w:rPr>
                <w:rFonts w:cs="Arial"/>
                <w:color w:val="FF0000"/>
                <w:sz w:val="21"/>
                <w:szCs w:val="21"/>
              </w:rPr>
            </w:pPr>
          </w:p>
        </w:tc>
        <w:tc>
          <w:tcPr>
            <w:tcW w:w="217" w:type="dxa"/>
          </w:tcPr>
          <w:p w14:paraId="28261F21" w14:textId="77777777" w:rsidR="002C0FD9" w:rsidRPr="00CA25CF" w:rsidRDefault="002C0FD9" w:rsidP="00CA25CF">
            <w:pPr>
              <w:rPr>
                <w:rFonts w:cs="Arial"/>
                <w:color w:val="FF0000"/>
                <w:sz w:val="21"/>
                <w:szCs w:val="21"/>
              </w:rPr>
            </w:pPr>
          </w:p>
        </w:tc>
        <w:tc>
          <w:tcPr>
            <w:tcW w:w="217" w:type="dxa"/>
          </w:tcPr>
          <w:p w14:paraId="5984EDA2" w14:textId="77777777" w:rsidR="002C0FD9" w:rsidRPr="00CA25CF" w:rsidRDefault="002C0FD9" w:rsidP="00CA25CF">
            <w:pPr>
              <w:rPr>
                <w:rFonts w:cs="Arial"/>
                <w:color w:val="FF0000"/>
                <w:sz w:val="21"/>
                <w:szCs w:val="21"/>
              </w:rPr>
            </w:pPr>
          </w:p>
        </w:tc>
        <w:tc>
          <w:tcPr>
            <w:tcW w:w="217" w:type="dxa"/>
          </w:tcPr>
          <w:p w14:paraId="5B9D45FA" w14:textId="77777777" w:rsidR="002C0FD9" w:rsidRPr="00CA25CF" w:rsidRDefault="002C0FD9" w:rsidP="00CA25CF">
            <w:pPr>
              <w:rPr>
                <w:rFonts w:cs="Arial"/>
                <w:color w:val="FF0000"/>
                <w:sz w:val="21"/>
                <w:szCs w:val="21"/>
              </w:rPr>
            </w:pPr>
          </w:p>
        </w:tc>
        <w:tc>
          <w:tcPr>
            <w:tcW w:w="217" w:type="dxa"/>
          </w:tcPr>
          <w:p w14:paraId="3B9277C4" w14:textId="77777777" w:rsidR="002C0FD9" w:rsidRPr="00CA25CF" w:rsidRDefault="002C0FD9" w:rsidP="00CA25CF">
            <w:pPr>
              <w:rPr>
                <w:rFonts w:cs="Arial"/>
                <w:color w:val="FF0000"/>
                <w:sz w:val="21"/>
                <w:szCs w:val="21"/>
              </w:rPr>
            </w:pPr>
          </w:p>
        </w:tc>
        <w:tc>
          <w:tcPr>
            <w:tcW w:w="217" w:type="dxa"/>
          </w:tcPr>
          <w:p w14:paraId="7D095BE9" w14:textId="77777777" w:rsidR="002C0FD9" w:rsidRPr="00CA25CF" w:rsidRDefault="002C0FD9" w:rsidP="00CA25CF">
            <w:pPr>
              <w:rPr>
                <w:rFonts w:cs="Arial"/>
                <w:color w:val="FF0000"/>
                <w:sz w:val="21"/>
                <w:szCs w:val="21"/>
              </w:rPr>
            </w:pPr>
          </w:p>
        </w:tc>
        <w:tc>
          <w:tcPr>
            <w:tcW w:w="217" w:type="dxa"/>
          </w:tcPr>
          <w:p w14:paraId="6B18054F" w14:textId="77777777" w:rsidR="002C0FD9" w:rsidRPr="00CA25CF" w:rsidRDefault="002C0FD9" w:rsidP="00CA25CF">
            <w:pPr>
              <w:rPr>
                <w:rFonts w:cs="Arial"/>
                <w:color w:val="FF0000"/>
                <w:sz w:val="21"/>
                <w:szCs w:val="21"/>
              </w:rPr>
            </w:pPr>
          </w:p>
        </w:tc>
        <w:tc>
          <w:tcPr>
            <w:tcW w:w="217" w:type="dxa"/>
          </w:tcPr>
          <w:p w14:paraId="139097B8" w14:textId="77777777" w:rsidR="002C0FD9" w:rsidRPr="00CA25CF" w:rsidRDefault="002C0FD9" w:rsidP="00CA25CF">
            <w:pPr>
              <w:rPr>
                <w:rFonts w:cs="Arial"/>
                <w:color w:val="FF0000"/>
                <w:sz w:val="21"/>
                <w:szCs w:val="21"/>
              </w:rPr>
            </w:pPr>
          </w:p>
        </w:tc>
        <w:tc>
          <w:tcPr>
            <w:tcW w:w="217" w:type="dxa"/>
          </w:tcPr>
          <w:p w14:paraId="2D19369A" w14:textId="77777777" w:rsidR="002C0FD9" w:rsidRPr="00CA25CF" w:rsidRDefault="002C0FD9" w:rsidP="00CA25CF">
            <w:pPr>
              <w:rPr>
                <w:rFonts w:cs="Arial"/>
                <w:color w:val="FF0000"/>
                <w:sz w:val="21"/>
                <w:szCs w:val="21"/>
              </w:rPr>
            </w:pPr>
          </w:p>
        </w:tc>
        <w:tc>
          <w:tcPr>
            <w:tcW w:w="217" w:type="dxa"/>
          </w:tcPr>
          <w:p w14:paraId="3B5073BC" w14:textId="77777777" w:rsidR="002C0FD9" w:rsidRPr="00CA25CF" w:rsidRDefault="002C0FD9" w:rsidP="00CA25CF">
            <w:pPr>
              <w:rPr>
                <w:rFonts w:cs="Arial"/>
                <w:color w:val="FF0000"/>
                <w:sz w:val="21"/>
                <w:szCs w:val="21"/>
              </w:rPr>
            </w:pPr>
          </w:p>
        </w:tc>
        <w:tc>
          <w:tcPr>
            <w:tcW w:w="217" w:type="dxa"/>
          </w:tcPr>
          <w:p w14:paraId="1874B935" w14:textId="77777777" w:rsidR="002C0FD9" w:rsidRPr="00CA25CF" w:rsidRDefault="002C0FD9" w:rsidP="00CA25CF">
            <w:pPr>
              <w:rPr>
                <w:rFonts w:cs="Arial"/>
                <w:color w:val="FF0000"/>
                <w:sz w:val="21"/>
                <w:szCs w:val="21"/>
              </w:rPr>
            </w:pPr>
          </w:p>
        </w:tc>
        <w:tc>
          <w:tcPr>
            <w:tcW w:w="217" w:type="dxa"/>
          </w:tcPr>
          <w:p w14:paraId="50F1EBC9" w14:textId="77777777" w:rsidR="002C0FD9" w:rsidRPr="00CA25CF" w:rsidRDefault="002C0FD9" w:rsidP="00CA25CF">
            <w:pPr>
              <w:rPr>
                <w:rFonts w:cs="Arial"/>
                <w:color w:val="FF0000"/>
                <w:sz w:val="21"/>
                <w:szCs w:val="21"/>
              </w:rPr>
            </w:pPr>
          </w:p>
        </w:tc>
        <w:tc>
          <w:tcPr>
            <w:tcW w:w="217" w:type="dxa"/>
          </w:tcPr>
          <w:p w14:paraId="6BEF6D6F" w14:textId="77777777" w:rsidR="002C0FD9" w:rsidRPr="00CA25CF" w:rsidRDefault="002C0FD9" w:rsidP="00CA25CF">
            <w:pPr>
              <w:rPr>
                <w:rFonts w:cs="Arial"/>
                <w:color w:val="FF0000"/>
                <w:sz w:val="21"/>
                <w:szCs w:val="21"/>
              </w:rPr>
            </w:pPr>
          </w:p>
        </w:tc>
        <w:tc>
          <w:tcPr>
            <w:tcW w:w="217" w:type="dxa"/>
          </w:tcPr>
          <w:p w14:paraId="5B463F59" w14:textId="77777777" w:rsidR="002C0FD9" w:rsidRPr="00CA25CF" w:rsidRDefault="002C0FD9" w:rsidP="00CA25CF">
            <w:pPr>
              <w:rPr>
                <w:rFonts w:cs="Arial"/>
                <w:color w:val="FF0000"/>
                <w:sz w:val="21"/>
                <w:szCs w:val="21"/>
              </w:rPr>
            </w:pPr>
          </w:p>
        </w:tc>
        <w:tc>
          <w:tcPr>
            <w:tcW w:w="217" w:type="dxa"/>
          </w:tcPr>
          <w:p w14:paraId="30F9151F" w14:textId="77777777" w:rsidR="002C0FD9" w:rsidRPr="00CA25CF" w:rsidRDefault="002C0FD9" w:rsidP="00CA25CF">
            <w:pPr>
              <w:rPr>
                <w:rFonts w:cs="Arial"/>
                <w:color w:val="FF0000"/>
                <w:sz w:val="21"/>
                <w:szCs w:val="21"/>
              </w:rPr>
            </w:pPr>
          </w:p>
        </w:tc>
        <w:tc>
          <w:tcPr>
            <w:tcW w:w="217" w:type="dxa"/>
          </w:tcPr>
          <w:p w14:paraId="5EAC0D4B" w14:textId="77777777" w:rsidR="002C0FD9" w:rsidRPr="00CA25CF" w:rsidRDefault="002C0FD9" w:rsidP="00CA25CF">
            <w:pPr>
              <w:rPr>
                <w:rFonts w:cs="Arial"/>
                <w:color w:val="FF0000"/>
                <w:sz w:val="21"/>
                <w:szCs w:val="21"/>
              </w:rPr>
            </w:pPr>
          </w:p>
        </w:tc>
        <w:tc>
          <w:tcPr>
            <w:tcW w:w="217" w:type="dxa"/>
          </w:tcPr>
          <w:p w14:paraId="0986D795" w14:textId="77777777" w:rsidR="002C0FD9" w:rsidRPr="00CA25CF" w:rsidRDefault="002C0FD9" w:rsidP="00CA25CF">
            <w:pPr>
              <w:rPr>
                <w:rFonts w:cs="Arial"/>
                <w:color w:val="FF0000"/>
                <w:sz w:val="21"/>
                <w:szCs w:val="21"/>
              </w:rPr>
            </w:pPr>
          </w:p>
        </w:tc>
        <w:tc>
          <w:tcPr>
            <w:tcW w:w="217" w:type="dxa"/>
          </w:tcPr>
          <w:p w14:paraId="150920BC" w14:textId="77777777" w:rsidR="002C0FD9" w:rsidRPr="00CA25CF" w:rsidRDefault="002C0FD9" w:rsidP="00CA25CF">
            <w:pPr>
              <w:rPr>
                <w:rFonts w:cs="Arial"/>
                <w:color w:val="FF0000"/>
                <w:sz w:val="21"/>
                <w:szCs w:val="21"/>
              </w:rPr>
            </w:pPr>
          </w:p>
        </w:tc>
        <w:tc>
          <w:tcPr>
            <w:tcW w:w="217" w:type="dxa"/>
          </w:tcPr>
          <w:p w14:paraId="1A398937" w14:textId="77777777" w:rsidR="002C0FD9" w:rsidRPr="00CA25CF" w:rsidRDefault="002C0FD9" w:rsidP="00CA25CF">
            <w:pPr>
              <w:rPr>
                <w:rFonts w:cs="Arial"/>
                <w:color w:val="FF0000"/>
                <w:sz w:val="21"/>
                <w:szCs w:val="21"/>
              </w:rPr>
            </w:pPr>
          </w:p>
        </w:tc>
        <w:tc>
          <w:tcPr>
            <w:tcW w:w="217" w:type="dxa"/>
          </w:tcPr>
          <w:p w14:paraId="2C51D04F" w14:textId="77777777" w:rsidR="002C0FD9" w:rsidRPr="00CA25CF" w:rsidRDefault="002C0FD9" w:rsidP="00CA25CF">
            <w:pPr>
              <w:rPr>
                <w:rFonts w:cs="Arial"/>
                <w:color w:val="FF0000"/>
                <w:sz w:val="21"/>
                <w:szCs w:val="21"/>
              </w:rPr>
            </w:pPr>
          </w:p>
        </w:tc>
        <w:tc>
          <w:tcPr>
            <w:tcW w:w="217" w:type="dxa"/>
          </w:tcPr>
          <w:p w14:paraId="59B12B8F" w14:textId="77777777" w:rsidR="002C0FD9" w:rsidRPr="00CA25CF" w:rsidRDefault="002C0FD9" w:rsidP="00CA25CF">
            <w:pPr>
              <w:rPr>
                <w:rFonts w:cs="Arial"/>
                <w:color w:val="FF0000"/>
                <w:sz w:val="21"/>
                <w:szCs w:val="21"/>
              </w:rPr>
            </w:pPr>
          </w:p>
        </w:tc>
        <w:tc>
          <w:tcPr>
            <w:tcW w:w="217" w:type="dxa"/>
          </w:tcPr>
          <w:p w14:paraId="7CE0E403" w14:textId="77777777" w:rsidR="002C0FD9" w:rsidRPr="00CA25CF" w:rsidRDefault="002C0FD9" w:rsidP="00CA25CF">
            <w:pPr>
              <w:rPr>
                <w:rFonts w:cs="Arial"/>
                <w:color w:val="FF0000"/>
                <w:sz w:val="21"/>
                <w:szCs w:val="21"/>
              </w:rPr>
            </w:pPr>
          </w:p>
        </w:tc>
        <w:tc>
          <w:tcPr>
            <w:tcW w:w="217" w:type="dxa"/>
          </w:tcPr>
          <w:p w14:paraId="5A9849D7" w14:textId="77777777" w:rsidR="002C0FD9" w:rsidRPr="00CA25CF" w:rsidRDefault="002C0FD9" w:rsidP="00CA25CF">
            <w:pPr>
              <w:rPr>
                <w:rFonts w:cs="Arial"/>
                <w:color w:val="FF0000"/>
                <w:sz w:val="21"/>
                <w:szCs w:val="21"/>
              </w:rPr>
            </w:pPr>
          </w:p>
        </w:tc>
        <w:tc>
          <w:tcPr>
            <w:tcW w:w="217" w:type="dxa"/>
          </w:tcPr>
          <w:p w14:paraId="1F559599" w14:textId="77777777" w:rsidR="002C0FD9" w:rsidRPr="00CA25CF" w:rsidRDefault="002C0FD9" w:rsidP="00CA25CF">
            <w:pPr>
              <w:rPr>
                <w:rFonts w:cs="Arial"/>
                <w:color w:val="FF0000"/>
                <w:sz w:val="21"/>
                <w:szCs w:val="21"/>
              </w:rPr>
            </w:pPr>
          </w:p>
        </w:tc>
        <w:tc>
          <w:tcPr>
            <w:tcW w:w="217" w:type="dxa"/>
          </w:tcPr>
          <w:p w14:paraId="3158D5EA" w14:textId="77777777" w:rsidR="002C0FD9" w:rsidRPr="00CA25CF" w:rsidRDefault="002C0FD9" w:rsidP="00CA25CF">
            <w:pPr>
              <w:rPr>
                <w:rFonts w:cs="Arial"/>
                <w:color w:val="FF0000"/>
                <w:sz w:val="21"/>
                <w:szCs w:val="21"/>
              </w:rPr>
            </w:pPr>
          </w:p>
        </w:tc>
        <w:tc>
          <w:tcPr>
            <w:tcW w:w="217" w:type="dxa"/>
          </w:tcPr>
          <w:p w14:paraId="381348DA" w14:textId="77777777" w:rsidR="002C0FD9" w:rsidRPr="00CA25CF" w:rsidRDefault="002C0FD9" w:rsidP="00CA25CF">
            <w:pPr>
              <w:rPr>
                <w:rFonts w:cs="Arial"/>
                <w:color w:val="FF0000"/>
                <w:sz w:val="21"/>
                <w:szCs w:val="21"/>
              </w:rPr>
            </w:pPr>
          </w:p>
        </w:tc>
        <w:tc>
          <w:tcPr>
            <w:tcW w:w="217" w:type="dxa"/>
          </w:tcPr>
          <w:p w14:paraId="56DE9AAD" w14:textId="77777777" w:rsidR="002C0FD9" w:rsidRPr="00CA25CF" w:rsidRDefault="002C0FD9" w:rsidP="00CA25CF">
            <w:pPr>
              <w:rPr>
                <w:rFonts w:cs="Arial"/>
                <w:color w:val="FF0000"/>
                <w:sz w:val="21"/>
                <w:szCs w:val="21"/>
              </w:rPr>
            </w:pPr>
          </w:p>
        </w:tc>
        <w:tc>
          <w:tcPr>
            <w:tcW w:w="217" w:type="dxa"/>
          </w:tcPr>
          <w:p w14:paraId="34E0C3A1" w14:textId="77777777" w:rsidR="002C0FD9" w:rsidRPr="00CA25CF" w:rsidRDefault="002C0FD9" w:rsidP="00CA25CF">
            <w:pPr>
              <w:rPr>
                <w:rFonts w:cs="Arial"/>
                <w:color w:val="FF0000"/>
                <w:sz w:val="21"/>
                <w:szCs w:val="21"/>
              </w:rPr>
            </w:pPr>
          </w:p>
        </w:tc>
        <w:tc>
          <w:tcPr>
            <w:tcW w:w="217" w:type="dxa"/>
          </w:tcPr>
          <w:p w14:paraId="2DBDB6BB" w14:textId="77777777" w:rsidR="002C0FD9" w:rsidRPr="00CA25CF" w:rsidRDefault="002C0FD9" w:rsidP="00CA25CF">
            <w:pPr>
              <w:rPr>
                <w:rFonts w:cs="Arial"/>
                <w:color w:val="FF0000"/>
                <w:sz w:val="21"/>
                <w:szCs w:val="21"/>
              </w:rPr>
            </w:pPr>
          </w:p>
        </w:tc>
        <w:tc>
          <w:tcPr>
            <w:tcW w:w="217" w:type="dxa"/>
          </w:tcPr>
          <w:p w14:paraId="6217E319" w14:textId="77777777" w:rsidR="002C0FD9" w:rsidRPr="00CA25CF" w:rsidRDefault="002C0FD9" w:rsidP="00CA25CF">
            <w:pPr>
              <w:rPr>
                <w:rFonts w:cs="Arial"/>
                <w:color w:val="FF0000"/>
                <w:sz w:val="21"/>
                <w:szCs w:val="21"/>
              </w:rPr>
            </w:pPr>
          </w:p>
        </w:tc>
        <w:tc>
          <w:tcPr>
            <w:tcW w:w="217" w:type="dxa"/>
          </w:tcPr>
          <w:p w14:paraId="497014A4" w14:textId="77777777" w:rsidR="002C0FD9" w:rsidRPr="00CA25CF" w:rsidRDefault="002C0FD9" w:rsidP="00CA25CF">
            <w:pPr>
              <w:rPr>
                <w:rFonts w:cs="Arial"/>
                <w:color w:val="FF0000"/>
                <w:sz w:val="21"/>
                <w:szCs w:val="21"/>
              </w:rPr>
            </w:pPr>
          </w:p>
        </w:tc>
        <w:tc>
          <w:tcPr>
            <w:tcW w:w="217" w:type="dxa"/>
          </w:tcPr>
          <w:p w14:paraId="6BD4BA42" w14:textId="77777777" w:rsidR="002C0FD9" w:rsidRPr="00CA25CF" w:rsidRDefault="002C0FD9" w:rsidP="00CA25CF">
            <w:pPr>
              <w:rPr>
                <w:rFonts w:cs="Arial"/>
                <w:color w:val="FF0000"/>
                <w:sz w:val="21"/>
                <w:szCs w:val="21"/>
              </w:rPr>
            </w:pPr>
          </w:p>
        </w:tc>
        <w:tc>
          <w:tcPr>
            <w:tcW w:w="217" w:type="dxa"/>
          </w:tcPr>
          <w:p w14:paraId="5AFA5848" w14:textId="77777777" w:rsidR="002C0FD9" w:rsidRPr="00CA25CF" w:rsidRDefault="002C0FD9" w:rsidP="00CA25CF">
            <w:pPr>
              <w:rPr>
                <w:rFonts w:cs="Arial"/>
                <w:color w:val="FF0000"/>
                <w:sz w:val="21"/>
                <w:szCs w:val="21"/>
              </w:rPr>
            </w:pPr>
          </w:p>
        </w:tc>
        <w:tc>
          <w:tcPr>
            <w:tcW w:w="217" w:type="dxa"/>
          </w:tcPr>
          <w:p w14:paraId="5119A7FC" w14:textId="77777777" w:rsidR="002C0FD9" w:rsidRPr="00CA25CF" w:rsidRDefault="002C0FD9" w:rsidP="00CA25CF">
            <w:pPr>
              <w:rPr>
                <w:rFonts w:cs="Arial"/>
                <w:color w:val="FF0000"/>
                <w:sz w:val="21"/>
                <w:szCs w:val="21"/>
              </w:rPr>
            </w:pPr>
          </w:p>
        </w:tc>
        <w:tc>
          <w:tcPr>
            <w:tcW w:w="217" w:type="dxa"/>
          </w:tcPr>
          <w:p w14:paraId="604E429D" w14:textId="77777777" w:rsidR="002C0FD9" w:rsidRPr="00CA25CF" w:rsidRDefault="002C0FD9" w:rsidP="00CA25CF">
            <w:pPr>
              <w:rPr>
                <w:rFonts w:cs="Arial"/>
                <w:color w:val="FF0000"/>
                <w:sz w:val="21"/>
                <w:szCs w:val="21"/>
              </w:rPr>
            </w:pPr>
          </w:p>
        </w:tc>
        <w:tc>
          <w:tcPr>
            <w:tcW w:w="217" w:type="dxa"/>
          </w:tcPr>
          <w:p w14:paraId="355E7999" w14:textId="77777777" w:rsidR="002C0FD9" w:rsidRPr="00CA25CF" w:rsidRDefault="002C0FD9" w:rsidP="00CA25CF">
            <w:pPr>
              <w:rPr>
                <w:rFonts w:cs="Arial"/>
                <w:color w:val="FF0000"/>
                <w:sz w:val="21"/>
                <w:szCs w:val="21"/>
              </w:rPr>
            </w:pPr>
          </w:p>
        </w:tc>
        <w:tc>
          <w:tcPr>
            <w:tcW w:w="217" w:type="dxa"/>
          </w:tcPr>
          <w:p w14:paraId="046BA007" w14:textId="77777777" w:rsidR="002C0FD9" w:rsidRPr="00CA25CF" w:rsidRDefault="002C0FD9" w:rsidP="00CA25CF">
            <w:pPr>
              <w:rPr>
                <w:rFonts w:cs="Arial"/>
                <w:color w:val="FF0000"/>
                <w:sz w:val="21"/>
                <w:szCs w:val="21"/>
              </w:rPr>
            </w:pPr>
          </w:p>
        </w:tc>
        <w:tc>
          <w:tcPr>
            <w:tcW w:w="217" w:type="dxa"/>
          </w:tcPr>
          <w:p w14:paraId="2FE6DDEC" w14:textId="77777777" w:rsidR="002C0FD9" w:rsidRPr="00CA25CF" w:rsidRDefault="002C0FD9" w:rsidP="00CA25CF">
            <w:pPr>
              <w:rPr>
                <w:rFonts w:cs="Arial"/>
                <w:color w:val="FF0000"/>
                <w:sz w:val="21"/>
                <w:szCs w:val="21"/>
              </w:rPr>
            </w:pPr>
          </w:p>
        </w:tc>
        <w:tc>
          <w:tcPr>
            <w:tcW w:w="217" w:type="dxa"/>
          </w:tcPr>
          <w:p w14:paraId="46DC751C" w14:textId="77777777" w:rsidR="002C0FD9" w:rsidRPr="00CA25CF" w:rsidRDefault="002C0FD9" w:rsidP="00CA25CF">
            <w:pPr>
              <w:rPr>
                <w:rFonts w:cs="Arial"/>
                <w:color w:val="FF0000"/>
                <w:sz w:val="21"/>
                <w:szCs w:val="21"/>
              </w:rPr>
            </w:pPr>
          </w:p>
        </w:tc>
        <w:tc>
          <w:tcPr>
            <w:tcW w:w="217" w:type="dxa"/>
          </w:tcPr>
          <w:p w14:paraId="12858CDD" w14:textId="77777777" w:rsidR="002C0FD9" w:rsidRPr="00CA25CF" w:rsidRDefault="002C0FD9" w:rsidP="00CA25CF">
            <w:pPr>
              <w:rPr>
                <w:rFonts w:cs="Arial"/>
                <w:color w:val="FF0000"/>
                <w:sz w:val="21"/>
                <w:szCs w:val="21"/>
              </w:rPr>
            </w:pPr>
          </w:p>
        </w:tc>
        <w:tc>
          <w:tcPr>
            <w:tcW w:w="217" w:type="dxa"/>
          </w:tcPr>
          <w:p w14:paraId="2879BE06" w14:textId="77777777" w:rsidR="002C0FD9" w:rsidRPr="00CA25CF" w:rsidRDefault="002C0FD9" w:rsidP="00CA25CF">
            <w:pPr>
              <w:rPr>
                <w:rFonts w:cs="Arial"/>
                <w:color w:val="FF0000"/>
                <w:sz w:val="21"/>
                <w:szCs w:val="21"/>
              </w:rPr>
            </w:pPr>
          </w:p>
        </w:tc>
      </w:tr>
      <w:tr w:rsidR="002C0FD9" w:rsidRPr="00A16219" w14:paraId="7971EB90" w14:textId="77777777" w:rsidTr="002C0FD9">
        <w:trPr>
          <w:trHeight w:val="635"/>
        </w:trPr>
        <w:tc>
          <w:tcPr>
            <w:tcW w:w="515" w:type="dxa"/>
          </w:tcPr>
          <w:p w14:paraId="5FD3B440" w14:textId="77777777" w:rsidR="002C0FD9" w:rsidRPr="00CA25CF" w:rsidRDefault="002C0FD9" w:rsidP="00CA25CF">
            <w:pPr>
              <w:rPr>
                <w:rFonts w:cs="Arial"/>
                <w:color w:val="FF0000"/>
                <w:sz w:val="21"/>
                <w:szCs w:val="21"/>
              </w:rPr>
            </w:pPr>
          </w:p>
        </w:tc>
        <w:tc>
          <w:tcPr>
            <w:tcW w:w="217" w:type="dxa"/>
          </w:tcPr>
          <w:p w14:paraId="57B6F468" w14:textId="77777777" w:rsidR="002C0FD9" w:rsidRPr="00CA25CF" w:rsidRDefault="002C0FD9" w:rsidP="00CA25CF">
            <w:pPr>
              <w:rPr>
                <w:rFonts w:cs="Arial"/>
                <w:color w:val="FF0000"/>
                <w:sz w:val="21"/>
                <w:szCs w:val="21"/>
              </w:rPr>
            </w:pPr>
          </w:p>
        </w:tc>
        <w:tc>
          <w:tcPr>
            <w:tcW w:w="217" w:type="dxa"/>
          </w:tcPr>
          <w:p w14:paraId="20CB2EF9" w14:textId="77777777" w:rsidR="002C0FD9" w:rsidRPr="00CA25CF" w:rsidRDefault="002C0FD9" w:rsidP="00CA25CF">
            <w:pPr>
              <w:rPr>
                <w:rFonts w:cs="Arial"/>
                <w:color w:val="FF0000"/>
                <w:sz w:val="21"/>
                <w:szCs w:val="21"/>
              </w:rPr>
            </w:pPr>
          </w:p>
        </w:tc>
        <w:tc>
          <w:tcPr>
            <w:tcW w:w="217" w:type="dxa"/>
          </w:tcPr>
          <w:p w14:paraId="2DD5BD3B" w14:textId="77777777" w:rsidR="002C0FD9" w:rsidRPr="00CA25CF" w:rsidRDefault="002C0FD9" w:rsidP="00CA25CF">
            <w:pPr>
              <w:rPr>
                <w:rFonts w:cs="Arial"/>
                <w:color w:val="FF0000"/>
                <w:sz w:val="21"/>
                <w:szCs w:val="21"/>
              </w:rPr>
            </w:pPr>
          </w:p>
        </w:tc>
        <w:tc>
          <w:tcPr>
            <w:tcW w:w="217" w:type="dxa"/>
          </w:tcPr>
          <w:p w14:paraId="7BC951CD" w14:textId="77777777" w:rsidR="002C0FD9" w:rsidRPr="00CA25CF" w:rsidRDefault="002C0FD9" w:rsidP="00CA25CF">
            <w:pPr>
              <w:rPr>
                <w:rFonts w:cs="Arial"/>
                <w:color w:val="FF0000"/>
                <w:sz w:val="21"/>
                <w:szCs w:val="21"/>
              </w:rPr>
            </w:pPr>
          </w:p>
        </w:tc>
        <w:tc>
          <w:tcPr>
            <w:tcW w:w="217" w:type="dxa"/>
          </w:tcPr>
          <w:p w14:paraId="75542FB6" w14:textId="77777777" w:rsidR="002C0FD9" w:rsidRPr="00CA25CF" w:rsidRDefault="002C0FD9" w:rsidP="00CA25CF">
            <w:pPr>
              <w:rPr>
                <w:rFonts w:cs="Arial"/>
                <w:color w:val="FF0000"/>
                <w:sz w:val="21"/>
                <w:szCs w:val="21"/>
              </w:rPr>
            </w:pPr>
          </w:p>
        </w:tc>
        <w:tc>
          <w:tcPr>
            <w:tcW w:w="217" w:type="dxa"/>
          </w:tcPr>
          <w:p w14:paraId="39B75E44" w14:textId="77777777" w:rsidR="002C0FD9" w:rsidRPr="00CA25CF" w:rsidRDefault="002C0FD9" w:rsidP="00CA25CF">
            <w:pPr>
              <w:rPr>
                <w:rFonts w:cs="Arial"/>
                <w:color w:val="FF0000"/>
                <w:sz w:val="21"/>
                <w:szCs w:val="21"/>
              </w:rPr>
            </w:pPr>
          </w:p>
        </w:tc>
        <w:tc>
          <w:tcPr>
            <w:tcW w:w="217" w:type="dxa"/>
          </w:tcPr>
          <w:p w14:paraId="4AA82800" w14:textId="77777777" w:rsidR="002C0FD9" w:rsidRPr="00CA25CF" w:rsidRDefault="002C0FD9" w:rsidP="00CA25CF">
            <w:pPr>
              <w:rPr>
                <w:rFonts w:cs="Arial"/>
                <w:color w:val="FF0000"/>
                <w:sz w:val="21"/>
                <w:szCs w:val="21"/>
              </w:rPr>
            </w:pPr>
          </w:p>
        </w:tc>
        <w:tc>
          <w:tcPr>
            <w:tcW w:w="217" w:type="dxa"/>
          </w:tcPr>
          <w:p w14:paraId="301364EA" w14:textId="77777777" w:rsidR="002C0FD9" w:rsidRPr="00CA25CF" w:rsidRDefault="002C0FD9" w:rsidP="00CA25CF">
            <w:pPr>
              <w:rPr>
                <w:rFonts w:cs="Arial"/>
                <w:color w:val="FF0000"/>
                <w:sz w:val="21"/>
                <w:szCs w:val="21"/>
              </w:rPr>
            </w:pPr>
          </w:p>
        </w:tc>
        <w:tc>
          <w:tcPr>
            <w:tcW w:w="217" w:type="dxa"/>
          </w:tcPr>
          <w:p w14:paraId="73132179" w14:textId="77777777" w:rsidR="002C0FD9" w:rsidRPr="00CA25CF" w:rsidRDefault="002C0FD9" w:rsidP="00CA25CF">
            <w:pPr>
              <w:rPr>
                <w:rFonts w:cs="Arial"/>
                <w:color w:val="FF0000"/>
                <w:sz w:val="21"/>
                <w:szCs w:val="21"/>
              </w:rPr>
            </w:pPr>
          </w:p>
        </w:tc>
        <w:tc>
          <w:tcPr>
            <w:tcW w:w="217" w:type="dxa"/>
          </w:tcPr>
          <w:p w14:paraId="3FF80F33" w14:textId="77777777" w:rsidR="002C0FD9" w:rsidRPr="00CA25CF" w:rsidRDefault="002C0FD9" w:rsidP="00CA25CF">
            <w:pPr>
              <w:rPr>
                <w:rFonts w:cs="Arial"/>
                <w:color w:val="FF0000"/>
                <w:sz w:val="21"/>
                <w:szCs w:val="21"/>
              </w:rPr>
            </w:pPr>
          </w:p>
        </w:tc>
        <w:tc>
          <w:tcPr>
            <w:tcW w:w="217" w:type="dxa"/>
          </w:tcPr>
          <w:p w14:paraId="2A6BF51D" w14:textId="77777777" w:rsidR="002C0FD9" w:rsidRPr="00CA25CF" w:rsidRDefault="002C0FD9" w:rsidP="00CA25CF">
            <w:pPr>
              <w:rPr>
                <w:rFonts w:cs="Arial"/>
                <w:color w:val="FF0000"/>
                <w:sz w:val="21"/>
                <w:szCs w:val="21"/>
              </w:rPr>
            </w:pPr>
          </w:p>
        </w:tc>
        <w:tc>
          <w:tcPr>
            <w:tcW w:w="217" w:type="dxa"/>
          </w:tcPr>
          <w:p w14:paraId="0AA72E5C" w14:textId="77777777" w:rsidR="002C0FD9" w:rsidRPr="00CA25CF" w:rsidRDefault="002C0FD9" w:rsidP="00CA25CF">
            <w:pPr>
              <w:rPr>
                <w:rFonts w:cs="Arial"/>
                <w:color w:val="FF0000"/>
                <w:sz w:val="21"/>
                <w:szCs w:val="21"/>
              </w:rPr>
            </w:pPr>
          </w:p>
        </w:tc>
        <w:tc>
          <w:tcPr>
            <w:tcW w:w="217" w:type="dxa"/>
          </w:tcPr>
          <w:p w14:paraId="4AAA2436" w14:textId="77777777" w:rsidR="002C0FD9" w:rsidRPr="00CA25CF" w:rsidRDefault="002C0FD9" w:rsidP="00CA25CF">
            <w:pPr>
              <w:rPr>
                <w:rFonts w:cs="Arial"/>
                <w:color w:val="FF0000"/>
                <w:sz w:val="21"/>
                <w:szCs w:val="21"/>
              </w:rPr>
            </w:pPr>
          </w:p>
        </w:tc>
        <w:tc>
          <w:tcPr>
            <w:tcW w:w="217" w:type="dxa"/>
          </w:tcPr>
          <w:p w14:paraId="7C3C0C92" w14:textId="77777777" w:rsidR="002C0FD9" w:rsidRPr="00CA25CF" w:rsidRDefault="002C0FD9" w:rsidP="00CA25CF">
            <w:pPr>
              <w:rPr>
                <w:rFonts w:cs="Arial"/>
                <w:color w:val="FF0000"/>
                <w:sz w:val="21"/>
                <w:szCs w:val="21"/>
              </w:rPr>
            </w:pPr>
          </w:p>
        </w:tc>
        <w:tc>
          <w:tcPr>
            <w:tcW w:w="217" w:type="dxa"/>
          </w:tcPr>
          <w:p w14:paraId="26BB3EE4" w14:textId="77777777" w:rsidR="002C0FD9" w:rsidRPr="00CA25CF" w:rsidRDefault="002C0FD9" w:rsidP="00CA25CF">
            <w:pPr>
              <w:rPr>
                <w:rFonts w:cs="Arial"/>
                <w:color w:val="FF0000"/>
                <w:sz w:val="21"/>
                <w:szCs w:val="21"/>
              </w:rPr>
            </w:pPr>
          </w:p>
        </w:tc>
        <w:tc>
          <w:tcPr>
            <w:tcW w:w="217" w:type="dxa"/>
          </w:tcPr>
          <w:p w14:paraId="7868826C" w14:textId="77777777" w:rsidR="002C0FD9" w:rsidRPr="00CA25CF" w:rsidRDefault="002C0FD9" w:rsidP="00CA25CF">
            <w:pPr>
              <w:rPr>
                <w:rFonts w:cs="Arial"/>
                <w:color w:val="FF0000"/>
                <w:sz w:val="21"/>
                <w:szCs w:val="21"/>
              </w:rPr>
            </w:pPr>
          </w:p>
        </w:tc>
        <w:tc>
          <w:tcPr>
            <w:tcW w:w="217" w:type="dxa"/>
          </w:tcPr>
          <w:p w14:paraId="5C606204" w14:textId="77777777" w:rsidR="002C0FD9" w:rsidRPr="00CA25CF" w:rsidRDefault="002C0FD9" w:rsidP="00CA25CF">
            <w:pPr>
              <w:rPr>
                <w:rFonts w:cs="Arial"/>
                <w:color w:val="FF0000"/>
                <w:sz w:val="21"/>
                <w:szCs w:val="21"/>
              </w:rPr>
            </w:pPr>
          </w:p>
        </w:tc>
        <w:tc>
          <w:tcPr>
            <w:tcW w:w="217" w:type="dxa"/>
          </w:tcPr>
          <w:p w14:paraId="789D2C29" w14:textId="77777777" w:rsidR="002C0FD9" w:rsidRPr="00CA25CF" w:rsidRDefault="002C0FD9" w:rsidP="00CA25CF">
            <w:pPr>
              <w:rPr>
                <w:rFonts w:cs="Arial"/>
                <w:color w:val="FF0000"/>
                <w:sz w:val="21"/>
                <w:szCs w:val="21"/>
              </w:rPr>
            </w:pPr>
          </w:p>
        </w:tc>
        <w:tc>
          <w:tcPr>
            <w:tcW w:w="217" w:type="dxa"/>
          </w:tcPr>
          <w:p w14:paraId="40B412A3" w14:textId="77777777" w:rsidR="002C0FD9" w:rsidRPr="00CA25CF" w:rsidRDefault="002C0FD9" w:rsidP="00CA25CF">
            <w:pPr>
              <w:rPr>
                <w:rFonts w:cs="Arial"/>
                <w:color w:val="FF0000"/>
                <w:sz w:val="21"/>
                <w:szCs w:val="21"/>
              </w:rPr>
            </w:pPr>
          </w:p>
        </w:tc>
        <w:tc>
          <w:tcPr>
            <w:tcW w:w="217" w:type="dxa"/>
          </w:tcPr>
          <w:p w14:paraId="573BC6B6" w14:textId="77777777" w:rsidR="002C0FD9" w:rsidRPr="00CA25CF" w:rsidRDefault="002C0FD9" w:rsidP="00CA25CF">
            <w:pPr>
              <w:rPr>
                <w:rFonts w:cs="Arial"/>
                <w:color w:val="FF0000"/>
                <w:sz w:val="21"/>
                <w:szCs w:val="21"/>
              </w:rPr>
            </w:pPr>
          </w:p>
        </w:tc>
        <w:tc>
          <w:tcPr>
            <w:tcW w:w="217" w:type="dxa"/>
          </w:tcPr>
          <w:p w14:paraId="2B43299B" w14:textId="77777777" w:rsidR="002C0FD9" w:rsidRPr="00CA25CF" w:rsidRDefault="002C0FD9" w:rsidP="00CA25CF">
            <w:pPr>
              <w:rPr>
                <w:rFonts w:cs="Arial"/>
                <w:color w:val="FF0000"/>
                <w:sz w:val="21"/>
                <w:szCs w:val="21"/>
              </w:rPr>
            </w:pPr>
          </w:p>
        </w:tc>
        <w:tc>
          <w:tcPr>
            <w:tcW w:w="217" w:type="dxa"/>
          </w:tcPr>
          <w:p w14:paraId="4A9FF1F4" w14:textId="77777777" w:rsidR="002C0FD9" w:rsidRPr="00CA25CF" w:rsidRDefault="002C0FD9" w:rsidP="00CA25CF">
            <w:pPr>
              <w:rPr>
                <w:rFonts w:cs="Arial"/>
                <w:color w:val="FF0000"/>
                <w:sz w:val="21"/>
                <w:szCs w:val="21"/>
              </w:rPr>
            </w:pPr>
          </w:p>
        </w:tc>
        <w:tc>
          <w:tcPr>
            <w:tcW w:w="217" w:type="dxa"/>
          </w:tcPr>
          <w:p w14:paraId="751204E4" w14:textId="77777777" w:rsidR="002C0FD9" w:rsidRPr="00CA25CF" w:rsidRDefault="002C0FD9" w:rsidP="00CA25CF">
            <w:pPr>
              <w:rPr>
                <w:rFonts w:cs="Arial"/>
                <w:color w:val="FF0000"/>
                <w:sz w:val="21"/>
                <w:szCs w:val="21"/>
              </w:rPr>
            </w:pPr>
          </w:p>
        </w:tc>
        <w:tc>
          <w:tcPr>
            <w:tcW w:w="217" w:type="dxa"/>
          </w:tcPr>
          <w:p w14:paraId="4F528435" w14:textId="77777777" w:rsidR="002C0FD9" w:rsidRPr="00CA25CF" w:rsidRDefault="002C0FD9" w:rsidP="00CA25CF">
            <w:pPr>
              <w:rPr>
                <w:rFonts w:cs="Arial"/>
                <w:color w:val="FF0000"/>
                <w:sz w:val="21"/>
                <w:szCs w:val="21"/>
              </w:rPr>
            </w:pPr>
          </w:p>
        </w:tc>
        <w:tc>
          <w:tcPr>
            <w:tcW w:w="217" w:type="dxa"/>
          </w:tcPr>
          <w:p w14:paraId="2BA6B5F4" w14:textId="77777777" w:rsidR="002C0FD9" w:rsidRPr="00CA25CF" w:rsidRDefault="002C0FD9" w:rsidP="00CA25CF">
            <w:pPr>
              <w:rPr>
                <w:rFonts w:cs="Arial"/>
                <w:color w:val="FF0000"/>
                <w:sz w:val="21"/>
                <w:szCs w:val="21"/>
              </w:rPr>
            </w:pPr>
          </w:p>
        </w:tc>
        <w:tc>
          <w:tcPr>
            <w:tcW w:w="217" w:type="dxa"/>
          </w:tcPr>
          <w:p w14:paraId="359F1D2B" w14:textId="77777777" w:rsidR="002C0FD9" w:rsidRPr="00CA25CF" w:rsidRDefault="002C0FD9" w:rsidP="00CA25CF">
            <w:pPr>
              <w:rPr>
                <w:rFonts w:cs="Arial"/>
                <w:color w:val="FF0000"/>
                <w:sz w:val="21"/>
                <w:szCs w:val="21"/>
              </w:rPr>
            </w:pPr>
          </w:p>
        </w:tc>
        <w:tc>
          <w:tcPr>
            <w:tcW w:w="217" w:type="dxa"/>
          </w:tcPr>
          <w:p w14:paraId="342ED80F" w14:textId="77777777" w:rsidR="002C0FD9" w:rsidRPr="00CA25CF" w:rsidRDefault="002C0FD9" w:rsidP="00CA25CF">
            <w:pPr>
              <w:rPr>
                <w:rFonts w:cs="Arial"/>
                <w:color w:val="FF0000"/>
                <w:sz w:val="21"/>
                <w:szCs w:val="21"/>
              </w:rPr>
            </w:pPr>
          </w:p>
        </w:tc>
        <w:tc>
          <w:tcPr>
            <w:tcW w:w="217" w:type="dxa"/>
          </w:tcPr>
          <w:p w14:paraId="04237E56" w14:textId="77777777" w:rsidR="002C0FD9" w:rsidRPr="00CA25CF" w:rsidRDefault="002C0FD9" w:rsidP="00CA25CF">
            <w:pPr>
              <w:rPr>
                <w:rFonts w:cs="Arial"/>
                <w:color w:val="FF0000"/>
                <w:sz w:val="21"/>
                <w:szCs w:val="21"/>
              </w:rPr>
            </w:pPr>
          </w:p>
        </w:tc>
        <w:tc>
          <w:tcPr>
            <w:tcW w:w="217" w:type="dxa"/>
          </w:tcPr>
          <w:p w14:paraId="60B25646" w14:textId="77777777" w:rsidR="002C0FD9" w:rsidRPr="00CA25CF" w:rsidRDefault="002C0FD9" w:rsidP="00CA25CF">
            <w:pPr>
              <w:rPr>
                <w:rFonts w:cs="Arial"/>
                <w:color w:val="FF0000"/>
                <w:sz w:val="21"/>
                <w:szCs w:val="21"/>
              </w:rPr>
            </w:pPr>
          </w:p>
        </w:tc>
        <w:tc>
          <w:tcPr>
            <w:tcW w:w="217" w:type="dxa"/>
          </w:tcPr>
          <w:p w14:paraId="34A49BA3" w14:textId="77777777" w:rsidR="002C0FD9" w:rsidRPr="00CA25CF" w:rsidRDefault="002C0FD9" w:rsidP="00CA25CF">
            <w:pPr>
              <w:rPr>
                <w:rFonts w:cs="Arial"/>
                <w:color w:val="FF0000"/>
                <w:sz w:val="21"/>
                <w:szCs w:val="21"/>
              </w:rPr>
            </w:pPr>
          </w:p>
        </w:tc>
        <w:tc>
          <w:tcPr>
            <w:tcW w:w="217" w:type="dxa"/>
          </w:tcPr>
          <w:p w14:paraId="29F39EBF" w14:textId="77777777" w:rsidR="002C0FD9" w:rsidRPr="00CA25CF" w:rsidRDefault="002C0FD9" w:rsidP="00CA25CF">
            <w:pPr>
              <w:rPr>
                <w:rFonts w:cs="Arial"/>
                <w:color w:val="FF0000"/>
                <w:sz w:val="21"/>
                <w:szCs w:val="21"/>
              </w:rPr>
            </w:pPr>
          </w:p>
        </w:tc>
        <w:tc>
          <w:tcPr>
            <w:tcW w:w="217" w:type="dxa"/>
          </w:tcPr>
          <w:p w14:paraId="021DD9C3" w14:textId="77777777" w:rsidR="002C0FD9" w:rsidRPr="00CA25CF" w:rsidRDefault="002C0FD9" w:rsidP="00CA25CF">
            <w:pPr>
              <w:rPr>
                <w:rFonts w:cs="Arial"/>
                <w:color w:val="FF0000"/>
                <w:sz w:val="21"/>
                <w:szCs w:val="21"/>
              </w:rPr>
            </w:pPr>
          </w:p>
        </w:tc>
        <w:tc>
          <w:tcPr>
            <w:tcW w:w="217" w:type="dxa"/>
          </w:tcPr>
          <w:p w14:paraId="4E37AF2F" w14:textId="77777777" w:rsidR="002C0FD9" w:rsidRPr="00CA25CF" w:rsidRDefault="002C0FD9" w:rsidP="00CA25CF">
            <w:pPr>
              <w:rPr>
                <w:rFonts w:cs="Arial"/>
                <w:color w:val="FF0000"/>
                <w:sz w:val="21"/>
                <w:szCs w:val="21"/>
              </w:rPr>
            </w:pPr>
          </w:p>
        </w:tc>
        <w:tc>
          <w:tcPr>
            <w:tcW w:w="217" w:type="dxa"/>
          </w:tcPr>
          <w:p w14:paraId="49487166" w14:textId="77777777" w:rsidR="002C0FD9" w:rsidRPr="00CA25CF" w:rsidRDefault="002C0FD9" w:rsidP="00CA25CF">
            <w:pPr>
              <w:rPr>
                <w:rFonts w:cs="Arial"/>
                <w:color w:val="FF0000"/>
                <w:sz w:val="21"/>
                <w:szCs w:val="21"/>
              </w:rPr>
            </w:pPr>
          </w:p>
        </w:tc>
        <w:tc>
          <w:tcPr>
            <w:tcW w:w="217" w:type="dxa"/>
          </w:tcPr>
          <w:p w14:paraId="7B331FEE" w14:textId="77777777" w:rsidR="002C0FD9" w:rsidRPr="00CA25CF" w:rsidRDefault="002C0FD9" w:rsidP="00CA25CF">
            <w:pPr>
              <w:rPr>
                <w:rFonts w:cs="Arial"/>
                <w:color w:val="FF0000"/>
                <w:sz w:val="21"/>
                <w:szCs w:val="21"/>
              </w:rPr>
            </w:pPr>
          </w:p>
        </w:tc>
        <w:tc>
          <w:tcPr>
            <w:tcW w:w="217" w:type="dxa"/>
          </w:tcPr>
          <w:p w14:paraId="735CF168" w14:textId="77777777" w:rsidR="002C0FD9" w:rsidRPr="00CA25CF" w:rsidRDefault="002C0FD9" w:rsidP="00CA25CF">
            <w:pPr>
              <w:rPr>
                <w:rFonts w:cs="Arial"/>
                <w:color w:val="FF0000"/>
                <w:sz w:val="21"/>
                <w:szCs w:val="21"/>
              </w:rPr>
            </w:pPr>
          </w:p>
        </w:tc>
        <w:tc>
          <w:tcPr>
            <w:tcW w:w="217" w:type="dxa"/>
          </w:tcPr>
          <w:p w14:paraId="4FA61E0A" w14:textId="77777777" w:rsidR="002C0FD9" w:rsidRPr="00CA25CF" w:rsidRDefault="002C0FD9" w:rsidP="00CA25CF">
            <w:pPr>
              <w:rPr>
                <w:rFonts w:cs="Arial"/>
                <w:color w:val="FF0000"/>
                <w:sz w:val="21"/>
                <w:szCs w:val="21"/>
              </w:rPr>
            </w:pPr>
          </w:p>
        </w:tc>
        <w:tc>
          <w:tcPr>
            <w:tcW w:w="217" w:type="dxa"/>
          </w:tcPr>
          <w:p w14:paraId="32DB37D5" w14:textId="77777777" w:rsidR="002C0FD9" w:rsidRPr="00CA25CF" w:rsidRDefault="002C0FD9" w:rsidP="00CA25CF">
            <w:pPr>
              <w:rPr>
                <w:rFonts w:cs="Arial"/>
                <w:color w:val="FF0000"/>
                <w:sz w:val="21"/>
                <w:szCs w:val="21"/>
              </w:rPr>
            </w:pPr>
          </w:p>
        </w:tc>
        <w:tc>
          <w:tcPr>
            <w:tcW w:w="217" w:type="dxa"/>
          </w:tcPr>
          <w:p w14:paraId="1EF9A3D3" w14:textId="77777777" w:rsidR="002C0FD9" w:rsidRPr="00CA25CF" w:rsidRDefault="002C0FD9" w:rsidP="00CA25CF">
            <w:pPr>
              <w:rPr>
                <w:rFonts w:cs="Arial"/>
                <w:color w:val="FF0000"/>
                <w:sz w:val="21"/>
                <w:szCs w:val="21"/>
              </w:rPr>
            </w:pPr>
          </w:p>
        </w:tc>
        <w:tc>
          <w:tcPr>
            <w:tcW w:w="217" w:type="dxa"/>
          </w:tcPr>
          <w:p w14:paraId="6A0E8707" w14:textId="77777777" w:rsidR="002C0FD9" w:rsidRPr="00CA25CF" w:rsidRDefault="002C0FD9" w:rsidP="00CA25CF">
            <w:pPr>
              <w:rPr>
                <w:rFonts w:cs="Arial"/>
                <w:color w:val="FF0000"/>
                <w:sz w:val="21"/>
                <w:szCs w:val="21"/>
              </w:rPr>
            </w:pPr>
          </w:p>
        </w:tc>
        <w:tc>
          <w:tcPr>
            <w:tcW w:w="217" w:type="dxa"/>
          </w:tcPr>
          <w:p w14:paraId="4A5F0C48" w14:textId="77777777" w:rsidR="002C0FD9" w:rsidRPr="00CA25CF" w:rsidRDefault="002C0FD9" w:rsidP="00CA25CF">
            <w:pPr>
              <w:rPr>
                <w:rFonts w:cs="Arial"/>
                <w:color w:val="FF0000"/>
                <w:sz w:val="21"/>
                <w:szCs w:val="21"/>
              </w:rPr>
            </w:pPr>
          </w:p>
        </w:tc>
        <w:tc>
          <w:tcPr>
            <w:tcW w:w="217" w:type="dxa"/>
          </w:tcPr>
          <w:p w14:paraId="3B66FFD9" w14:textId="77777777" w:rsidR="002C0FD9" w:rsidRPr="00CA25CF" w:rsidRDefault="002C0FD9" w:rsidP="00CA25CF">
            <w:pPr>
              <w:rPr>
                <w:rFonts w:cs="Arial"/>
                <w:color w:val="FF0000"/>
                <w:sz w:val="21"/>
                <w:szCs w:val="21"/>
              </w:rPr>
            </w:pPr>
          </w:p>
        </w:tc>
      </w:tr>
      <w:tr w:rsidR="002C0FD9" w:rsidRPr="00A16219" w14:paraId="7E6F0CA3" w14:textId="77777777" w:rsidTr="002C0FD9">
        <w:trPr>
          <w:trHeight w:val="635"/>
        </w:trPr>
        <w:tc>
          <w:tcPr>
            <w:tcW w:w="515" w:type="dxa"/>
          </w:tcPr>
          <w:p w14:paraId="2266FB4F" w14:textId="77777777" w:rsidR="002C0FD9" w:rsidRPr="00CA25CF" w:rsidRDefault="002C0FD9" w:rsidP="00CA25CF">
            <w:pPr>
              <w:rPr>
                <w:rFonts w:cs="Arial"/>
                <w:color w:val="FF0000"/>
                <w:sz w:val="21"/>
                <w:szCs w:val="21"/>
              </w:rPr>
            </w:pPr>
          </w:p>
        </w:tc>
        <w:tc>
          <w:tcPr>
            <w:tcW w:w="217" w:type="dxa"/>
          </w:tcPr>
          <w:p w14:paraId="63C3D340" w14:textId="77777777" w:rsidR="002C0FD9" w:rsidRPr="00CA25CF" w:rsidRDefault="002C0FD9" w:rsidP="00CA25CF">
            <w:pPr>
              <w:rPr>
                <w:rFonts w:cs="Arial"/>
                <w:color w:val="FF0000"/>
                <w:sz w:val="21"/>
                <w:szCs w:val="21"/>
              </w:rPr>
            </w:pPr>
          </w:p>
        </w:tc>
        <w:tc>
          <w:tcPr>
            <w:tcW w:w="217" w:type="dxa"/>
          </w:tcPr>
          <w:p w14:paraId="6A8C1803" w14:textId="77777777" w:rsidR="002C0FD9" w:rsidRPr="00CA25CF" w:rsidRDefault="002C0FD9" w:rsidP="00CA25CF">
            <w:pPr>
              <w:rPr>
                <w:rFonts w:cs="Arial"/>
                <w:color w:val="FF0000"/>
                <w:sz w:val="21"/>
                <w:szCs w:val="21"/>
              </w:rPr>
            </w:pPr>
          </w:p>
        </w:tc>
        <w:tc>
          <w:tcPr>
            <w:tcW w:w="217" w:type="dxa"/>
          </w:tcPr>
          <w:p w14:paraId="1B821C29" w14:textId="77777777" w:rsidR="002C0FD9" w:rsidRPr="00CA25CF" w:rsidRDefault="002C0FD9" w:rsidP="00CA25CF">
            <w:pPr>
              <w:rPr>
                <w:rFonts w:cs="Arial"/>
                <w:color w:val="FF0000"/>
                <w:sz w:val="21"/>
                <w:szCs w:val="21"/>
              </w:rPr>
            </w:pPr>
          </w:p>
        </w:tc>
        <w:tc>
          <w:tcPr>
            <w:tcW w:w="217" w:type="dxa"/>
          </w:tcPr>
          <w:p w14:paraId="697F080A" w14:textId="77777777" w:rsidR="002C0FD9" w:rsidRPr="00CA25CF" w:rsidRDefault="002C0FD9" w:rsidP="00CA25CF">
            <w:pPr>
              <w:rPr>
                <w:rFonts w:cs="Arial"/>
                <w:color w:val="FF0000"/>
                <w:sz w:val="21"/>
                <w:szCs w:val="21"/>
              </w:rPr>
            </w:pPr>
          </w:p>
        </w:tc>
        <w:tc>
          <w:tcPr>
            <w:tcW w:w="217" w:type="dxa"/>
          </w:tcPr>
          <w:p w14:paraId="49645BD9" w14:textId="77777777" w:rsidR="002C0FD9" w:rsidRPr="00CA25CF" w:rsidRDefault="002C0FD9" w:rsidP="00CA25CF">
            <w:pPr>
              <w:rPr>
                <w:rFonts w:cs="Arial"/>
                <w:color w:val="FF0000"/>
                <w:sz w:val="21"/>
                <w:szCs w:val="21"/>
              </w:rPr>
            </w:pPr>
          </w:p>
        </w:tc>
        <w:tc>
          <w:tcPr>
            <w:tcW w:w="217" w:type="dxa"/>
          </w:tcPr>
          <w:p w14:paraId="2A24631C" w14:textId="77777777" w:rsidR="002C0FD9" w:rsidRPr="00CA25CF" w:rsidRDefault="002C0FD9" w:rsidP="00CA25CF">
            <w:pPr>
              <w:rPr>
                <w:rFonts w:cs="Arial"/>
                <w:color w:val="FF0000"/>
                <w:sz w:val="21"/>
                <w:szCs w:val="21"/>
              </w:rPr>
            </w:pPr>
          </w:p>
        </w:tc>
        <w:tc>
          <w:tcPr>
            <w:tcW w:w="217" w:type="dxa"/>
          </w:tcPr>
          <w:p w14:paraId="50FAE364" w14:textId="77777777" w:rsidR="002C0FD9" w:rsidRPr="00CA25CF" w:rsidRDefault="002C0FD9" w:rsidP="00CA25CF">
            <w:pPr>
              <w:rPr>
                <w:rFonts w:cs="Arial"/>
                <w:color w:val="FF0000"/>
                <w:sz w:val="21"/>
                <w:szCs w:val="21"/>
              </w:rPr>
            </w:pPr>
          </w:p>
        </w:tc>
        <w:tc>
          <w:tcPr>
            <w:tcW w:w="217" w:type="dxa"/>
          </w:tcPr>
          <w:p w14:paraId="43F25256" w14:textId="77777777" w:rsidR="002C0FD9" w:rsidRPr="00CA25CF" w:rsidRDefault="002C0FD9" w:rsidP="00CA25CF">
            <w:pPr>
              <w:rPr>
                <w:rFonts w:cs="Arial"/>
                <w:color w:val="FF0000"/>
                <w:sz w:val="21"/>
                <w:szCs w:val="21"/>
              </w:rPr>
            </w:pPr>
          </w:p>
        </w:tc>
        <w:tc>
          <w:tcPr>
            <w:tcW w:w="217" w:type="dxa"/>
          </w:tcPr>
          <w:p w14:paraId="424D935F" w14:textId="77777777" w:rsidR="002C0FD9" w:rsidRPr="00CA25CF" w:rsidRDefault="002C0FD9" w:rsidP="00CA25CF">
            <w:pPr>
              <w:rPr>
                <w:rFonts w:cs="Arial"/>
                <w:color w:val="FF0000"/>
                <w:sz w:val="21"/>
                <w:szCs w:val="21"/>
              </w:rPr>
            </w:pPr>
          </w:p>
        </w:tc>
        <w:tc>
          <w:tcPr>
            <w:tcW w:w="217" w:type="dxa"/>
          </w:tcPr>
          <w:p w14:paraId="351B6D18" w14:textId="77777777" w:rsidR="002C0FD9" w:rsidRPr="00CA25CF" w:rsidRDefault="002C0FD9" w:rsidP="00CA25CF">
            <w:pPr>
              <w:rPr>
                <w:rFonts w:cs="Arial"/>
                <w:color w:val="FF0000"/>
                <w:sz w:val="21"/>
                <w:szCs w:val="21"/>
              </w:rPr>
            </w:pPr>
          </w:p>
        </w:tc>
        <w:tc>
          <w:tcPr>
            <w:tcW w:w="217" w:type="dxa"/>
          </w:tcPr>
          <w:p w14:paraId="7834F36E" w14:textId="77777777" w:rsidR="002C0FD9" w:rsidRPr="00CA25CF" w:rsidRDefault="002C0FD9" w:rsidP="00CA25CF">
            <w:pPr>
              <w:rPr>
                <w:rFonts w:cs="Arial"/>
                <w:color w:val="FF0000"/>
                <w:sz w:val="21"/>
                <w:szCs w:val="21"/>
              </w:rPr>
            </w:pPr>
          </w:p>
        </w:tc>
        <w:tc>
          <w:tcPr>
            <w:tcW w:w="217" w:type="dxa"/>
          </w:tcPr>
          <w:p w14:paraId="226BA844" w14:textId="77777777" w:rsidR="002C0FD9" w:rsidRPr="00CA25CF" w:rsidRDefault="002C0FD9" w:rsidP="00CA25CF">
            <w:pPr>
              <w:rPr>
                <w:rFonts w:cs="Arial"/>
                <w:color w:val="FF0000"/>
                <w:sz w:val="21"/>
                <w:szCs w:val="21"/>
              </w:rPr>
            </w:pPr>
          </w:p>
        </w:tc>
        <w:tc>
          <w:tcPr>
            <w:tcW w:w="217" w:type="dxa"/>
          </w:tcPr>
          <w:p w14:paraId="1723025C" w14:textId="77777777" w:rsidR="002C0FD9" w:rsidRPr="00CA25CF" w:rsidRDefault="002C0FD9" w:rsidP="00CA25CF">
            <w:pPr>
              <w:rPr>
                <w:rFonts w:cs="Arial"/>
                <w:color w:val="FF0000"/>
                <w:sz w:val="21"/>
                <w:szCs w:val="21"/>
              </w:rPr>
            </w:pPr>
          </w:p>
        </w:tc>
        <w:tc>
          <w:tcPr>
            <w:tcW w:w="217" w:type="dxa"/>
          </w:tcPr>
          <w:p w14:paraId="351E4C1A" w14:textId="77777777" w:rsidR="002C0FD9" w:rsidRPr="00CA25CF" w:rsidRDefault="002C0FD9" w:rsidP="00CA25CF">
            <w:pPr>
              <w:rPr>
                <w:rFonts w:cs="Arial"/>
                <w:color w:val="FF0000"/>
                <w:sz w:val="21"/>
                <w:szCs w:val="21"/>
              </w:rPr>
            </w:pPr>
          </w:p>
        </w:tc>
        <w:tc>
          <w:tcPr>
            <w:tcW w:w="217" w:type="dxa"/>
          </w:tcPr>
          <w:p w14:paraId="665A62A0" w14:textId="77777777" w:rsidR="002C0FD9" w:rsidRPr="00CA25CF" w:rsidRDefault="002C0FD9" w:rsidP="00CA25CF">
            <w:pPr>
              <w:rPr>
                <w:rFonts w:cs="Arial"/>
                <w:color w:val="FF0000"/>
                <w:sz w:val="21"/>
                <w:szCs w:val="21"/>
              </w:rPr>
            </w:pPr>
          </w:p>
        </w:tc>
        <w:tc>
          <w:tcPr>
            <w:tcW w:w="217" w:type="dxa"/>
          </w:tcPr>
          <w:p w14:paraId="34868485" w14:textId="77777777" w:rsidR="002C0FD9" w:rsidRPr="00CA25CF" w:rsidRDefault="002C0FD9" w:rsidP="00CA25CF">
            <w:pPr>
              <w:rPr>
                <w:rFonts w:cs="Arial"/>
                <w:color w:val="FF0000"/>
                <w:sz w:val="21"/>
                <w:szCs w:val="21"/>
              </w:rPr>
            </w:pPr>
          </w:p>
        </w:tc>
        <w:tc>
          <w:tcPr>
            <w:tcW w:w="217" w:type="dxa"/>
          </w:tcPr>
          <w:p w14:paraId="2796A77A" w14:textId="77777777" w:rsidR="002C0FD9" w:rsidRPr="00CA25CF" w:rsidRDefault="002C0FD9" w:rsidP="00CA25CF">
            <w:pPr>
              <w:rPr>
                <w:rFonts w:cs="Arial"/>
                <w:color w:val="FF0000"/>
                <w:sz w:val="21"/>
                <w:szCs w:val="21"/>
              </w:rPr>
            </w:pPr>
          </w:p>
        </w:tc>
        <w:tc>
          <w:tcPr>
            <w:tcW w:w="217" w:type="dxa"/>
          </w:tcPr>
          <w:p w14:paraId="59A3BFE5" w14:textId="77777777" w:rsidR="002C0FD9" w:rsidRPr="00CA25CF" w:rsidRDefault="002C0FD9" w:rsidP="00CA25CF">
            <w:pPr>
              <w:rPr>
                <w:rFonts w:cs="Arial"/>
                <w:color w:val="FF0000"/>
                <w:sz w:val="21"/>
                <w:szCs w:val="21"/>
              </w:rPr>
            </w:pPr>
          </w:p>
        </w:tc>
        <w:tc>
          <w:tcPr>
            <w:tcW w:w="217" w:type="dxa"/>
          </w:tcPr>
          <w:p w14:paraId="7A05A674" w14:textId="77777777" w:rsidR="002C0FD9" w:rsidRPr="00CA25CF" w:rsidRDefault="002C0FD9" w:rsidP="00CA25CF">
            <w:pPr>
              <w:rPr>
                <w:rFonts w:cs="Arial"/>
                <w:color w:val="FF0000"/>
                <w:sz w:val="21"/>
                <w:szCs w:val="21"/>
              </w:rPr>
            </w:pPr>
          </w:p>
        </w:tc>
        <w:tc>
          <w:tcPr>
            <w:tcW w:w="217" w:type="dxa"/>
          </w:tcPr>
          <w:p w14:paraId="45CFB06B" w14:textId="77777777" w:rsidR="002C0FD9" w:rsidRPr="00CA25CF" w:rsidRDefault="002C0FD9" w:rsidP="00CA25CF">
            <w:pPr>
              <w:rPr>
                <w:rFonts w:cs="Arial"/>
                <w:color w:val="FF0000"/>
                <w:sz w:val="21"/>
                <w:szCs w:val="21"/>
              </w:rPr>
            </w:pPr>
          </w:p>
        </w:tc>
        <w:tc>
          <w:tcPr>
            <w:tcW w:w="217" w:type="dxa"/>
          </w:tcPr>
          <w:p w14:paraId="4BAFD183" w14:textId="77777777" w:rsidR="002C0FD9" w:rsidRPr="00CA25CF" w:rsidRDefault="002C0FD9" w:rsidP="00CA25CF">
            <w:pPr>
              <w:rPr>
                <w:rFonts w:cs="Arial"/>
                <w:color w:val="FF0000"/>
                <w:sz w:val="21"/>
                <w:szCs w:val="21"/>
              </w:rPr>
            </w:pPr>
          </w:p>
        </w:tc>
        <w:tc>
          <w:tcPr>
            <w:tcW w:w="217" w:type="dxa"/>
          </w:tcPr>
          <w:p w14:paraId="330563DC" w14:textId="77777777" w:rsidR="002C0FD9" w:rsidRPr="00CA25CF" w:rsidRDefault="002C0FD9" w:rsidP="00CA25CF">
            <w:pPr>
              <w:rPr>
                <w:rFonts w:cs="Arial"/>
                <w:color w:val="FF0000"/>
                <w:sz w:val="21"/>
                <w:szCs w:val="21"/>
              </w:rPr>
            </w:pPr>
          </w:p>
        </w:tc>
        <w:tc>
          <w:tcPr>
            <w:tcW w:w="217" w:type="dxa"/>
          </w:tcPr>
          <w:p w14:paraId="70D4BD85" w14:textId="77777777" w:rsidR="002C0FD9" w:rsidRPr="00CA25CF" w:rsidRDefault="002C0FD9" w:rsidP="00CA25CF">
            <w:pPr>
              <w:rPr>
                <w:rFonts w:cs="Arial"/>
                <w:color w:val="FF0000"/>
                <w:sz w:val="21"/>
                <w:szCs w:val="21"/>
              </w:rPr>
            </w:pPr>
          </w:p>
        </w:tc>
        <w:tc>
          <w:tcPr>
            <w:tcW w:w="217" w:type="dxa"/>
          </w:tcPr>
          <w:p w14:paraId="2C7785E9" w14:textId="77777777" w:rsidR="002C0FD9" w:rsidRPr="00CA25CF" w:rsidRDefault="002C0FD9" w:rsidP="00CA25CF">
            <w:pPr>
              <w:rPr>
                <w:rFonts w:cs="Arial"/>
                <w:color w:val="FF0000"/>
                <w:sz w:val="21"/>
                <w:szCs w:val="21"/>
              </w:rPr>
            </w:pPr>
          </w:p>
        </w:tc>
        <w:tc>
          <w:tcPr>
            <w:tcW w:w="217" w:type="dxa"/>
          </w:tcPr>
          <w:p w14:paraId="00591962" w14:textId="77777777" w:rsidR="002C0FD9" w:rsidRPr="00CA25CF" w:rsidRDefault="002C0FD9" w:rsidP="00CA25CF">
            <w:pPr>
              <w:rPr>
                <w:rFonts w:cs="Arial"/>
                <w:color w:val="FF0000"/>
                <w:sz w:val="21"/>
                <w:szCs w:val="21"/>
              </w:rPr>
            </w:pPr>
          </w:p>
        </w:tc>
        <w:tc>
          <w:tcPr>
            <w:tcW w:w="217" w:type="dxa"/>
          </w:tcPr>
          <w:p w14:paraId="752F80FE" w14:textId="77777777" w:rsidR="002C0FD9" w:rsidRPr="00CA25CF" w:rsidRDefault="002C0FD9" w:rsidP="00CA25CF">
            <w:pPr>
              <w:rPr>
                <w:rFonts w:cs="Arial"/>
                <w:color w:val="FF0000"/>
                <w:sz w:val="21"/>
                <w:szCs w:val="21"/>
              </w:rPr>
            </w:pPr>
          </w:p>
        </w:tc>
        <w:tc>
          <w:tcPr>
            <w:tcW w:w="217" w:type="dxa"/>
          </w:tcPr>
          <w:p w14:paraId="3A74798D" w14:textId="77777777" w:rsidR="002C0FD9" w:rsidRPr="00CA25CF" w:rsidRDefault="002C0FD9" w:rsidP="00CA25CF">
            <w:pPr>
              <w:rPr>
                <w:rFonts w:cs="Arial"/>
                <w:color w:val="FF0000"/>
                <w:sz w:val="21"/>
                <w:szCs w:val="21"/>
              </w:rPr>
            </w:pPr>
          </w:p>
        </w:tc>
        <w:tc>
          <w:tcPr>
            <w:tcW w:w="217" w:type="dxa"/>
          </w:tcPr>
          <w:p w14:paraId="2167DFE1" w14:textId="77777777" w:rsidR="002C0FD9" w:rsidRPr="00CA25CF" w:rsidRDefault="002C0FD9" w:rsidP="00CA25CF">
            <w:pPr>
              <w:rPr>
                <w:rFonts w:cs="Arial"/>
                <w:color w:val="FF0000"/>
                <w:sz w:val="21"/>
                <w:szCs w:val="21"/>
              </w:rPr>
            </w:pPr>
          </w:p>
        </w:tc>
        <w:tc>
          <w:tcPr>
            <w:tcW w:w="217" w:type="dxa"/>
          </w:tcPr>
          <w:p w14:paraId="2904836C" w14:textId="77777777" w:rsidR="002C0FD9" w:rsidRPr="00CA25CF" w:rsidRDefault="002C0FD9" w:rsidP="00CA25CF">
            <w:pPr>
              <w:rPr>
                <w:rFonts w:cs="Arial"/>
                <w:color w:val="FF0000"/>
                <w:sz w:val="21"/>
                <w:szCs w:val="21"/>
              </w:rPr>
            </w:pPr>
          </w:p>
        </w:tc>
        <w:tc>
          <w:tcPr>
            <w:tcW w:w="217" w:type="dxa"/>
          </w:tcPr>
          <w:p w14:paraId="2D32810E" w14:textId="77777777" w:rsidR="002C0FD9" w:rsidRPr="00CA25CF" w:rsidRDefault="002C0FD9" w:rsidP="00CA25CF">
            <w:pPr>
              <w:rPr>
                <w:rFonts w:cs="Arial"/>
                <w:color w:val="FF0000"/>
                <w:sz w:val="21"/>
                <w:szCs w:val="21"/>
              </w:rPr>
            </w:pPr>
          </w:p>
        </w:tc>
        <w:tc>
          <w:tcPr>
            <w:tcW w:w="217" w:type="dxa"/>
          </w:tcPr>
          <w:p w14:paraId="058DC01E" w14:textId="77777777" w:rsidR="002C0FD9" w:rsidRPr="00CA25CF" w:rsidRDefault="002C0FD9" w:rsidP="00CA25CF">
            <w:pPr>
              <w:rPr>
                <w:rFonts w:cs="Arial"/>
                <w:color w:val="FF0000"/>
                <w:sz w:val="21"/>
                <w:szCs w:val="21"/>
              </w:rPr>
            </w:pPr>
          </w:p>
        </w:tc>
        <w:tc>
          <w:tcPr>
            <w:tcW w:w="217" w:type="dxa"/>
          </w:tcPr>
          <w:p w14:paraId="2A10040F" w14:textId="77777777" w:rsidR="002C0FD9" w:rsidRPr="00CA25CF" w:rsidRDefault="002C0FD9" w:rsidP="00CA25CF">
            <w:pPr>
              <w:rPr>
                <w:rFonts w:cs="Arial"/>
                <w:color w:val="FF0000"/>
                <w:sz w:val="21"/>
                <w:szCs w:val="21"/>
              </w:rPr>
            </w:pPr>
          </w:p>
        </w:tc>
        <w:tc>
          <w:tcPr>
            <w:tcW w:w="217" w:type="dxa"/>
          </w:tcPr>
          <w:p w14:paraId="43788007" w14:textId="77777777" w:rsidR="002C0FD9" w:rsidRPr="00CA25CF" w:rsidRDefault="002C0FD9" w:rsidP="00CA25CF">
            <w:pPr>
              <w:rPr>
                <w:rFonts w:cs="Arial"/>
                <w:color w:val="FF0000"/>
                <w:sz w:val="21"/>
                <w:szCs w:val="21"/>
              </w:rPr>
            </w:pPr>
          </w:p>
        </w:tc>
        <w:tc>
          <w:tcPr>
            <w:tcW w:w="217" w:type="dxa"/>
          </w:tcPr>
          <w:p w14:paraId="00D45873" w14:textId="77777777" w:rsidR="002C0FD9" w:rsidRPr="00CA25CF" w:rsidRDefault="002C0FD9" w:rsidP="00CA25CF">
            <w:pPr>
              <w:rPr>
                <w:rFonts w:cs="Arial"/>
                <w:color w:val="FF0000"/>
                <w:sz w:val="21"/>
                <w:szCs w:val="21"/>
              </w:rPr>
            </w:pPr>
          </w:p>
        </w:tc>
        <w:tc>
          <w:tcPr>
            <w:tcW w:w="217" w:type="dxa"/>
          </w:tcPr>
          <w:p w14:paraId="6D51E753" w14:textId="77777777" w:rsidR="002C0FD9" w:rsidRPr="00CA25CF" w:rsidRDefault="002C0FD9" w:rsidP="00CA25CF">
            <w:pPr>
              <w:rPr>
                <w:rFonts w:cs="Arial"/>
                <w:color w:val="FF0000"/>
                <w:sz w:val="21"/>
                <w:szCs w:val="21"/>
              </w:rPr>
            </w:pPr>
          </w:p>
        </w:tc>
        <w:tc>
          <w:tcPr>
            <w:tcW w:w="217" w:type="dxa"/>
          </w:tcPr>
          <w:p w14:paraId="7A245A27" w14:textId="77777777" w:rsidR="002C0FD9" w:rsidRPr="00CA25CF" w:rsidRDefault="002C0FD9" w:rsidP="00CA25CF">
            <w:pPr>
              <w:rPr>
                <w:rFonts w:cs="Arial"/>
                <w:color w:val="FF0000"/>
                <w:sz w:val="21"/>
                <w:szCs w:val="21"/>
              </w:rPr>
            </w:pPr>
          </w:p>
        </w:tc>
        <w:tc>
          <w:tcPr>
            <w:tcW w:w="217" w:type="dxa"/>
          </w:tcPr>
          <w:p w14:paraId="5FA39143" w14:textId="77777777" w:rsidR="002C0FD9" w:rsidRPr="00CA25CF" w:rsidRDefault="002C0FD9" w:rsidP="00CA25CF">
            <w:pPr>
              <w:rPr>
                <w:rFonts w:cs="Arial"/>
                <w:color w:val="FF0000"/>
                <w:sz w:val="21"/>
                <w:szCs w:val="21"/>
              </w:rPr>
            </w:pPr>
          </w:p>
        </w:tc>
        <w:tc>
          <w:tcPr>
            <w:tcW w:w="217" w:type="dxa"/>
          </w:tcPr>
          <w:p w14:paraId="2108A45D" w14:textId="77777777" w:rsidR="002C0FD9" w:rsidRPr="00CA25CF" w:rsidRDefault="002C0FD9" w:rsidP="00CA25CF">
            <w:pPr>
              <w:rPr>
                <w:rFonts w:cs="Arial"/>
                <w:color w:val="FF0000"/>
                <w:sz w:val="21"/>
                <w:szCs w:val="21"/>
              </w:rPr>
            </w:pPr>
          </w:p>
        </w:tc>
        <w:tc>
          <w:tcPr>
            <w:tcW w:w="217" w:type="dxa"/>
          </w:tcPr>
          <w:p w14:paraId="63964246" w14:textId="77777777" w:rsidR="002C0FD9" w:rsidRPr="00CA25CF" w:rsidRDefault="002C0FD9" w:rsidP="00CA25CF">
            <w:pPr>
              <w:rPr>
                <w:rFonts w:cs="Arial"/>
                <w:color w:val="FF0000"/>
                <w:sz w:val="21"/>
                <w:szCs w:val="21"/>
              </w:rPr>
            </w:pPr>
          </w:p>
        </w:tc>
        <w:tc>
          <w:tcPr>
            <w:tcW w:w="217" w:type="dxa"/>
          </w:tcPr>
          <w:p w14:paraId="16796401" w14:textId="77777777" w:rsidR="002C0FD9" w:rsidRPr="00CA25CF" w:rsidRDefault="002C0FD9" w:rsidP="00CA25CF">
            <w:pPr>
              <w:rPr>
                <w:rFonts w:cs="Arial"/>
                <w:color w:val="FF0000"/>
                <w:sz w:val="21"/>
                <w:szCs w:val="21"/>
              </w:rPr>
            </w:pPr>
          </w:p>
        </w:tc>
        <w:tc>
          <w:tcPr>
            <w:tcW w:w="217" w:type="dxa"/>
          </w:tcPr>
          <w:p w14:paraId="49FE3568" w14:textId="77777777" w:rsidR="002C0FD9" w:rsidRPr="00CA25CF" w:rsidRDefault="002C0FD9" w:rsidP="00CA25CF">
            <w:pPr>
              <w:rPr>
                <w:rFonts w:cs="Arial"/>
                <w:color w:val="FF0000"/>
                <w:sz w:val="21"/>
                <w:szCs w:val="21"/>
              </w:rPr>
            </w:pPr>
          </w:p>
        </w:tc>
        <w:tc>
          <w:tcPr>
            <w:tcW w:w="217" w:type="dxa"/>
          </w:tcPr>
          <w:p w14:paraId="3853B5B7" w14:textId="77777777" w:rsidR="002C0FD9" w:rsidRPr="00CA25CF" w:rsidRDefault="002C0FD9" w:rsidP="00CA25CF">
            <w:pPr>
              <w:rPr>
                <w:rFonts w:cs="Arial"/>
                <w:color w:val="FF0000"/>
                <w:sz w:val="21"/>
                <w:szCs w:val="21"/>
              </w:rPr>
            </w:pPr>
          </w:p>
        </w:tc>
      </w:tr>
      <w:tr w:rsidR="002C0FD9" w:rsidRPr="00A16219" w14:paraId="4F9A33D4" w14:textId="77777777" w:rsidTr="002C0FD9">
        <w:trPr>
          <w:trHeight w:val="635"/>
        </w:trPr>
        <w:tc>
          <w:tcPr>
            <w:tcW w:w="515" w:type="dxa"/>
          </w:tcPr>
          <w:p w14:paraId="0544BD48" w14:textId="77777777" w:rsidR="002C0FD9" w:rsidRPr="00CA25CF" w:rsidRDefault="002C0FD9" w:rsidP="00CA25CF">
            <w:pPr>
              <w:rPr>
                <w:rFonts w:cs="Arial"/>
                <w:color w:val="FF0000"/>
                <w:sz w:val="21"/>
                <w:szCs w:val="21"/>
              </w:rPr>
            </w:pPr>
          </w:p>
        </w:tc>
        <w:tc>
          <w:tcPr>
            <w:tcW w:w="217" w:type="dxa"/>
          </w:tcPr>
          <w:p w14:paraId="391E3492" w14:textId="77777777" w:rsidR="002C0FD9" w:rsidRPr="00CA25CF" w:rsidRDefault="002C0FD9" w:rsidP="00CA25CF">
            <w:pPr>
              <w:rPr>
                <w:rFonts w:cs="Arial"/>
                <w:color w:val="FF0000"/>
                <w:sz w:val="21"/>
                <w:szCs w:val="21"/>
              </w:rPr>
            </w:pPr>
          </w:p>
        </w:tc>
        <w:tc>
          <w:tcPr>
            <w:tcW w:w="217" w:type="dxa"/>
          </w:tcPr>
          <w:p w14:paraId="56D38E78" w14:textId="77777777" w:rsidR="002C0FD9" w:rsidRPr="00CA25CF" w:rsidRDefault="002C0FD9" w:rsidP="00CA25CF">
            <w:pPr>
              <w:rPr>
                <w:rFonts w:cs="Arial"/>
                <w:color w:val="FF0000"/>
                <w:sz w:val="21"/>
                <w:szCs w:val="21"/>
              </w:rPr>
            </w:pPr>
          </w:p>
        </w:tc>
        <w:tc>
          <w:tcPr>
            <w:tcW w:w="217" w:type="dxa"/>
          </w:tcPr>
          <w:p w14:paraId="0D0D6BBC" w14:textId="77777777" w:rsidR="002C0FD9" w:rsidRPr="00CA25CF" w:rsidRDefault="002C0FD9" w:rsidP="00CA25CF">
            <w:pPr>
              <w:rPr>
                <w:rFonts w:cs="Arial"/>
                <w:color w:val="FF0000"/>
                <w:sz w:val="21"/>
                <w:szCs w:val="21"/>
              </w:rPr>
            </w:pPr>
          </w:p>
        </w:tc>
        <w:tc>
          <w:tcPr>
            <w:tcW w:w="217" w:type="dxa"/>
          </w:tcPr>
          <w:p w14:paraId="56EAD27A" w14:textId="77777777" w:rsidR="002C0FD9" w:rsidRPr="00CA25CF" w:rsidRDefault="002C0FD9" w:rsidP="00CA25CF">
            <w:pPr>
              <w:rPr>
                <w:rFonts w:cs="Arial"/>
                <w:color w:val="FF0000"/>
                <w:sz w:val="21"/>
                <w:szCs w:val="21"/>
              </w:rPr>
            </w:pPr>
          </w:p>
        </w:tc>
        <w:tc>
          <w:tcPr>
            <w:tcW w:w="217" w:type="dxa"/>
          </w:tcPr>
          <w:p w14:paraId="09998198" w14:textId="77777777" w:rsidR="002C0FD9" w:rsidRPr="00CA25CF" w:rsidRDefault="002C0FD9" w:rsidP="00CA25CF">
            <w:pPr>
              <w:rPr>
                <w:rFonts w:cs="Arial"/>
                <w:color w:val="FF0000"/>
                <w:sz w:val="21"/>
                <w:szCs w:val="21"/>
              </w:rPr>
            </w:pPr>
          </w:p>
        </w:tc>
        <w:tc>
          <w:tcPr>
            <w:tcW w:w="217" w:type="dxa"/>
          </w:tcPr>
          <w:p w14:paraId="610D4D94" w14:textId="77777777" w:rsidR="002C0FD9" w:rsidRPr="00CA25CF" w:rsidRDefault="002C0FD9" w:rsidP="00CA25CF">
            <w:pPr>
              <w:rPr>
                <w:rFonts w:cs="Arial"/>
                <w:color w:val="FF0000"/>
                <w:sz w:val="21"/>
                <w:szCs w:val="21"/>
              </w:rPr>
            </w:pPr>
          </w:p>
        </w:tc>
        <w:tc>
          <w:tcPr>
            <w:tcW w:w="217" w:type="dxa"/>
          </w:tcPr>
          <w:p w14:paraId="56660ACB" w14:textId="77777777" w:rsidR="002C0FD9" w:rsidRPr="00CA25CF" w:rsidRDefault="002C0FD9" w:rsidP="00CA25CF">
            <w:pPr>
              <w:rPr>
                <w:rFonts w:cs="Arial"/>
                <w:color w:val="FF0000"/>
                <w:sz w:val="21"/>
                <w:szCs w:val="21"/>
              </w:rPr>
            </w:pPr>
          </w:p>
        </w:tc>
        <w:tc>
          <w:tcPr>
            <w:tcW w:w="217" w:type="dxa"/>
          </w:tcPr>
          <w:p w14:paraId="23B8FA65" w14:textId="77777777" w:rsidR="002C0FD9" w:rsidRPr="00CA25CF" w:rsidRDefault="002C0FD9" w:rsidP="00CA25CF">
            <w:pPr>
              <w:rPr>
                <w:rFonts w:cs="Arial"/>
                <w:color w:val="FF0000"/>
                <w:sz w:val="21"/>
                <w:szCs w:val="21"/>
              </w:rPr>
            </w:pPr>
          </w:p>
        </w:tc>
        <w:tc>
          <w:tcPr>
            <w:tcW w:w="217" w:type="dxa"/>
          </w:tcPr>
          <w:p w14:paraId="0A6AB6B5" w14:textId="77777777" w:rsidR="002C0FD9" w:rsidRPr="00CA25CF" w:rsidRDefault="002C0FD9" w:rsidP="00CA25CF">
            <w:pPr>
              <w:rPr>
                <w:rFonts w:cs="Arial"/>
                <w:color w:val="FF0000"/>
                <w:sz w:val="21"/>
                <w:szCs w:val="21"/>
              </w:rPr>
            </w:pPr>
          </w:p>
        </w:tc>
        <w:tc>
          <w:tcPr>
            <w:tcW w:w="217" w:type="dxa"/>
          </w:tcPr>
          <w:p w14:paraId="3AEFF234" w14:textId="77777777" w:rsidR="002C0FD9" w:rsidRPr="00CA25CF" w:rsidRDefault="002C0FD9" w:rsidP="00CA25CF">
            <w:pPr>
              <w:rPr>
                <w:rFonts w:cs="Arial"/>
                <w:color w:val="FF0000"/>
                <w:sz w:val="21"/>
                <w:szCs w:val="21"/>
              </w:rPr>
            </w:pPr>
          </w:p>
        </w:tc>
        <w:tc>
          <w:tcPr>
            <w:tcW w:w="217" w:type="dxa"/>
          </w:tcPr>
          <w:p w14:paraId="222B946D" w14:textId="77777777" w:rsidR="002C0FD9" w:rsidRPr="00CA25CF" w:rsidRDefault="002C0FD9" w:rsidP="00CA25CF">
            <w:pPr>
              <w:rPr>
                <w:rFonts w:cs="Arial"/>
                <w:color w:val="FF0000"/>
                <w:sz w:val="21"/>
                <w:szCs w:val="21"/>
              </w:rPr>
            </w:pPr>
          </w:p>
        </w:tc>
        <w:tc>
          <w:tcPr>
            <w:tcW w:w="217" w:type="dxa"/>
          </w:tcPr>
          <w:p w14:paraId="7CE9E3C6" w14:textId="77777777" w:rsidR="002C0FD9" w:rsidRPr="00CA25CF" w:rsidRDefault="002C0FD9" w:rsidP="00CA25CF">
            <w:pPr>
              <w:rPr>
                <w:rFonts w:cs="Arial"/>
                <w:color w:val="FF0000"/>
                <w:sz w:val="21"/>
                <w:szCs w:val="21"/>
              </w:rPr>
            </w:pPr>
          </w:p>
        </w:tc>
        <w:tc>
          <w:tcPr>
            <w:tcW w:w="217" w:type="dxa"/>
          </w:tcPr>
          <w:p w14:paraId="33D41C64" w14:textId="77777777" w:rsidR="002C0FD9" w:rsidRPr="00CA25CF" w:rsidRDefault="002C0FD9" w:rsidP="00CA25CF">
            <w:pPr>
              <w:rPr>
                <w:rFonts w:cs="Arial"/>
                <w:color w:val="FF0000"/>
                <w:sz w:val="21"/>
                <w:szCs w:val="21"/>
              </w:rPr>
            </w:pPr>
          </w:p>
        </w:tc>
        <w:tc>
          <w:tcPr>
            <w:tcW w:w="217" w:type="dxa"/>
          </w:tcPr>
          <w:p w14:paraId="6B51ECBC" w14:textId="77777777" w:rsidR="002C0FD9" w:rsidRPr="00CA25CF" w:rsidRDefault="002C0FD9" w:rsidP="00CA25CF">
            <w:pPr>
              <w:rPr>
                <w:rFonts w:cs="Arial"/>
                <w:color w:val="FF0000"/>
                <w:sz w:val="21"/>
                <w:szCs w:val="21"/>
              </w:rPr>
            </w:pPr>
          </w:p>
        </w:tc>
        <w:tc>
          <w:tcPr>
            <w:tcW w:w="217" w:type="dxa"/>
          </w:tcPr>
          <w:p w14:paraId="40F3E248" w14:textId="77777777" w:rsidR="002C0FD9" w:rsidRPr="00CA25CF" w:rsidRDefault="002C0FD9" w:rsidP="00CA25CF">
            <w:pPr>
              <w:rPr>
                <w:rFonts w:cs="Arial"/>
                <w:color w:val="FF0000"/>
                <w:sz w:val="21"/>
                <w:szCs w:val="21"/>
              </w:rPr>
            </w:pPr>
          </w:p>
        </w:tc>
        <w:tc>
          <w:tcPr>
            <w:tcW w:w="217" w:type="dxa"/>
          </w:tcPr>
          <w:p w14:paraId="673CB2E7" w14:textId="77777777" w:rsidR="002C0FD9" w:rsidRPr="00CA25CF" w:rsidRDefault="002C0FD9" w:rsidP="00CA25CF">
            <w:pPr>
              <w:rPr>
                <w:rFonts w:cs="Arial"/>
                <w:color w:val="FF0000"/>
                <w:sz w:val="21"/>
                <w:szCs w:val="21"/>
              </w:rPr>
            </w:pPr>
          </w:p>
        </w:tc>
        <w:tc>
          <w:tcPr>
            <w:tcW w:w="217" w:type="dxa"/>
          </w:tcPr>
          <w:p w14:paraId="1EA84473" w14:textId="77777777" w:rsidR="002C0FD9" w:rsidRPr="00CA25CF" w:rsidRDefault="002C0FD9" w:rsidP="00CA25CF">
            <w:pPr>
              <w:rPr>
                <w:rFonts w:cs="Arial"/>
                <w:color w:val="FF0000"/>
                <w:sz w:val="21"/>
                <w:szCs w:val="21"/>
              </w:rPr>
            </w:pPr>
          </w:p>
        </w:tc>
        <w:tc>
          <w:tcPr>
            <w:tcW w:w="217" w:type="dxa"/>
          </w:tcPr>
          <w:p w14:paraId="3856C545" w14:textId="77777777" w:rsidR="002C0FD9" w:rsidRPr="00CA25CF" w:rsidRDefault="002C0FD9" w:rsidP="00CA25CF">
            <w:pPr>
              <w:rPr>
                <w:rFonts w:cs="Arial"/>
                <w:color w:val="FF0000"/>
                <w:sz w:val="21"/>
                <w:szCs w:val="21"/>
              </w:rPr>
            </w:pPr>
          </w:p>
        </w:tc>
        <w:tc>
          <w:tcPr>
            <w:tcW w:w="217" w:type="dxa"/>
          </w:tcPr>
          <w:p w14:paraId="73DACB91" w14:textId="77777777" w:rsidR="002C0FD9" w:rsidRPr="00CA25CF" w:rsidRDefault="002C0FD9" w:rsidP="00CA25CF">
            <w:pPr>
              <w:rPr>
                <w:rFonts w:cs="Arial"/>
                <w:color w:val="FF0000"/>
                <w:sz w:val="21"/>
                <w:szCs w:val="21"/>
              </w:rPr>
            </w:pPr>
          </w:p>
        </w:tc>
        <w:tc>
          <w:tcPr>
            <w:tcW w:w="217" w:type="dxa"/>
          </w:tcPr>
          <w:p w14:paraId="2BC08246" w14:textId="77777777" w:rsidR="002C0FD9" w:rsidRPr="00CA25CF" w:rsidRDefault="002C0FD9" w:rsidP="00CA25CF">
            <w:pPr>
              <w:rPr>
                <w:rFonts w:cs="Arial"/>
                <w:color w:val="FF0000"/>
                <w:sz w:val="21"/>
                <w:szCs w:val="21"/>
              </w:rPr>
            </w:pPr>
          </w:p>
        </w:tc>
        <w:tc>
          <w:tcPr>
            <w:tcW w:w="217" w:type="dxa"/>
          </w:tcPr>
          <w:p w14:paraId="13527001" w14:textId="77777777" w:rsidR="002C0FD9" w:rsidRPr="00CA25CF" w:rsidRDefault="002C0FD9" w:rsidP="00CA25CF">
            <w:pPr>
              <w:rPr>
                <w:rFonts w:cs="Arial"/>
                <w:color w:val="FF0000"/>
                <w:sz w:val="21"/>
                <w:szCs w:val="21"/>
              </w:rPr>
            </w:pPr>
          </w:p>
        </w:tc>
        <w:tc>
          <w:tcPr>
            <w:tcW w:w="217" w:type="dxa"/>
          </w:tcPr>
          <w:p w14:paraId="5C9F8F28" w14:textId="77777777" w:rsidR="002C0FD9" w:rsidRPr="00CA25CF" w:rsidRDefault="002C0FD9" w:rsidP="00CA25CF">
            <w:pPr>
              <w:rPr>
                <w:rFonts w:cs="Arial"/>
                <w:color w:val="FF0000"/>
                <w:sz w:val="21"/>
                <w:szCs w:val="21"/>
              </w:rPr>
            </w:pPr>
          </w:p>
        </w:tc>
        <w:tc>
          <w:tcPr>
            <w:tcW w:w="217" w:type="dxa"/>
          </w:tcPr>
          <w:p w14:paraId="7043E598" w14:textId="77777777" w:rsidR="002C0FD9" w:rsidRPr="00CA25CF" w:rsidRDefault="002C0FD9" w:rsidP="00CA25CF">
            <w:pPr>
              <w:rPr>
                <w:rFonts w:cs="Arial"/>
                <w:color w:val="FF0000"/>
                <w:sz w:val="21"/>
                <w:szCs w:val="21"/>
              </w:rPr>
            </w:pPr>
          </w:p>
        </w:tc>
        <w:tc>
          <w:tcPr>
            <w:tcW w:w="217" w:type="dxa"/>
          </w:tcPr>
          <w:p w14:paraId="77CBDFEB" w14:textId="77777777" w:rsidR="002C0FD9" w:rsidRPr="00CA25CF" w:rsidRDefault="002C0FD9" w:rsidP="00CA25CF">
            <w:pPr>
              <w:rPr>
                <w:rFonts w:cs="Arial"/>
                <w:color w:val="FF0000"/>
                <w:sz w:val="21"/>
                <w:szCs w:val="21"/>
              </w:rPr>
            </w:pPr>
          </w:p>
        </w:tc>
        <w:tc>
          <w:tcPr>
            <w:tcW w:w="217" w:type="dxa"/>
          </w:tcPr>
          <w:p w14:paraId="635A2332" w14:textId="77777777" w:rsidR="002C0FD9" w:rsidRPr="00CA25CF" w:rsidRDefault="002C0FD9" w:rsidP="00CA25CF">
            <w:pPr>
              <w:rPr>
                <w:rFonts w:cs="Arial"/>
                <w:color w:val="FF0000"/>
                <w:sz w:val="21"/>
                <w:szCs w:val="21"/>
              </w:rPr>
            </w:pPr>
          </w:p>
        </w:tc>
        <w:tc>
          <w:tcPr>
            <w:tcW w:w="217" w:type="dxa"/>
          </w:tcPr>
          <w:p w14:paraId="14051380" w14:textId="77777777" w:rsidR="002C0FD9" w:rsidRPr="00CA25CF" w:rsidRDefault="002C0FD9" w:rsidP="00CA25CF">
            <w:pPr>
              <w:rPr>
                <w:rFonts w:cs="Arial"/>
                <w:color w:val="FF0000"/>
                <w:sz w:val="21"/>
                <w:szCs w:val="21"/>
              </w:rPr>
            </w:pPr>
          </w:p>
        </w:tc>
        <w:tc>
          <w:tcPr>
            <w:tcW w:w="217" w:type="dxa"/>
          </w:tcPr>
          <w:p w14:paraId="21C9E347" w14:textId="77777777" w:rsidR="002C0FD9" w:rsidRPr="00CA25CF" w:rsidRDefault="002C0FD9" w:rsidP="00CA25CF">
            <w:pPr>
              <w:rPr>
                <w:rFonts w:cs="Arial"/>
                <w:color w:val="FF0000"/>
                <w:sz w:val="21"/>
                <w:szCs w:val="21"/>
              </w:rPr>
            </w:pPr>
          </w:p>
        </w:tc>
        <w:tc>
          <w:tcPr>
            <w:tcW w:w="217" w:type="dxa"/>
          </w:tcPr>
          <w:p w14:paraId="5920E319" w14:textId="77777777" w:rsidR="002C0FD9" w:rsidRPr="00CA25CF" w:rsidRDefault="002C0FD9" w:rsidP="00CA25CF">
            <w:pPr>
              <w:rPr>
                <w:rFonts w:cs="Arial"/>
                <w:color w:val="FF0000"/>
                <w:sz w:val="21"/>
                <w:szCs w:val="21"/>
              </w:rPr>
            </w:pPr>
          </w:p>
        </w:tc>
        <w:tc>
          <w:tcPr>
            <w:tcW w:w="217" w:type="dxa"/>
          </w:tcPr>
          <w:p w14:paraId="5DB51AC9" w14:textId="77777777" w:rsidR="002C0FD9" w:rsidRPr="00CA25CF" w:rsidRDefault="002C0FD9" w:rsidP="00CA25CF">
            <w:pPr>
              <w:rPr>
                <w:rFonts w:cs="Arial"/>
                <w:color w:val="FF0000"/>
                <w:sz w:val="21"/>
                <w:szCs w:val="21"/>
              </w:rPr>
            </w:pPr>
          </w:p>
        </w:tc>
        <w:tc>
          <w:tcPr>
            <w:tcW w:w="217" w:type="dxa"/>
          </w:tcPr>
          <w:p w14:paraId="07D16FA8" w14:textId="77777777" w:rsidR="002C0FD9" w:rsidRPr="00CA25CF" w:rsidRDefault="002C0FD9" w:rsidP="00CA25CF">
            <w:pPr>
              <w:rPr>
                <w:rFonts w:cs="Arial"/>
                <w:color w:val="FF0000"/>
                <w:sz w:val="21"/>
                <w:szCs w:val="21"/>
              </w:rPr>
            </w:pPr>
          </w:p>
        </w:tc>
        <w:tc>
          <w:tcPr>
            <w:tcW w:w="217" w:type="dxa"/>
          </w:tcPr>
          <w:p w14:paraId="08B54352" w14:textId="77777777" w:rsidR="002C0FD9" w:rsidRPr="00CA25CF" w:rsidRDefault="002C0FD9" w:rsidP="00CA25CF">
            <w:pPr>
              <w:rPr>
                <w:rFonts w:cs="Arial"/>
                <w:color w:val="FF0000"/>
                <w:sz w:val="21"/>
                <w:szCs w:val="21"/>
              </w:rPr>
            </w:pPr>
          </w:p>
        </w:tc>
        <w:tc>
          <w:tcPr>
            <w:tcW w:w="217" w:type="dxa"/>
          </w:tcPr>
          <w:p w14:paraId="2CE4589D" w14:textId="77777777" w:rsidR="002C0FD9" w:rsidRPr="00CA25CF" w:rsidRDefault="002C0FD9" w:rsidP="00CA25CF">
            <w:pPr>
              <w:rPr>
                <w:rFonts w:cs="Arial"/>
                <w:color w:val="FF0000"/>
                <w:sz w:val="21"/>
                <w:szCs w:val="21"/>
              </w:rPr>
            </w:pPr>
          </w:p>
        </w:tc>
        <w:tc>
          <w:tcPr>
            <w:tcW w:w="217" w:type="dxa"/>
          </w:tcPr>
          <w:p w14:paraId="4F283EE0" w14:textId="77777777" w:rsidR="002C0FD9" w:rsidRPr="00CA25CF" w:rsidRDefault="002C0FD9" w:rsidP="00CA25CF">
            <w:pPr>
              <w:rPr>
                <w:rFonts w:cs="Arial"/>
                <w:color w:val="FF0000"/>
                <w:sz w:val="21"/>
                <w:szCs w:val="21"/>
              </w:rPr>
            </w:pPr>
          </w:p>
        </w:tc>
        <w:tc>
          <w:tcPr>
            <w:tcW w:w="217" w:type="dxa"/>
          </w:tcPr>
          <w:p w14:paraId="5600E7EC" w14:textId="77777777" w:rsidR="002C0FD9" w:rsidRPr="00CA25CF" w:rsidRDefault="002C0FD9" w:rsidP="00CA25CF">
            <w:pPr>
              <w:rPr>
                <w:rFonts w:cs="Arial"/>
                <w:color w:val="FF0000"/>
                <w:sz w:val="21"/>
                <w:szCs w:val="21"/>
              </w:rPr>
            </w:pPr>
          </w:p>
        </w:tc>
        <w:tc>
          <w:tcPr>
            <w:tcW w:w="217" w:type="dxa"/>
          </w:tcPr>
          <w:p w14:paraId="7BCE2CAF" w14:textId="77777777" w:rsidR="002C0FD9" w:rsidRPr="00CA25CF" w:rsidRDefault="002C0FD9" w:rsidP="00CA25CF">
            <w:pPr>
              <w:rPr>
                <w:rFonts w:cs="Arial"/>
                <w:color w:val="FF0000"/>
                <w:sz w:val="21"/>
                <w:szCs w:val="21"/>
              </w:rPr>
            </w:pPr>
          </w:p>
        </w:tc>
        <w:tc>
          <w:tcPr>
            <w:tcW w:w="217" w:type="dxa"/>
          </w:tcPr>
          <w:p w14:paraId="2F95419E" w14:textId="77777777" w:rsidR="002C0FD9" w:rsidRPr="00CA25CF" w:rsidRDefault="002C0FD9" w:rsidP="00CA25CF">
            <w:pPr>
              <w:rPr>
                <w:rFonts w:cs="Arial"/>
                <w:color w:val="FF0000"/>
                <w:sz w:val="21"/>
                <w:szCs w:val="21"/>
              </w:rPr>
            </w:pPr>
          </w:p>
        </w:tc>
        <w:tc>
          <w:tcPr>
            <w:tcW w:w="217" w:type="dxa"/>
          </w:tcPr>
          <w:p w14:paraId="0C03109C" w14:textId="77777777" w:rsidR="002C0FD9" w:rsidRPr="00CA25CF" w:rsidRDefault="002C0FD9" w:rsidP="00CA25CF">
            <w:pPr>
              <w:rPr>
                <w:rFonts w:cs="Arial"/>
                <w:color w:val="FF0000"/>
                <w:sz w:val="21"/>
                <w:szCs w:val="21"/>
              </w:rPr>
            </w:pPr>
          </w:p>
        </w:tc>
        <w:tc>
          <w:tcPr>
            <w:tcW w:w="217" w:type="dxa"/>
          </w:tcPr>
          <w:p w14:paraId="6CA0EBB7" w14:textId="77777777" w:rsidR="002C0FD9" w:rsidRPr="00CA25CF" w:rsidRDefault="002C0FD9" w:rsidP="00CA25CF">
            <w:pPr>
              <w:rPr>
                <w:rFonts w:cs="Arial"/>
                <w:color w:val="FF0000"/>
                <w:sz w:val="21"/>
                <w:szCs w:val="21"/>
              </w:rPr>
            </w:pPr>
          </w:p>
        </w:tc>
        <w:tc>
          <w:tcPr>
            <w:tcW w:w="217" w:type="dxa"/>
          </w:tcPr>
          <w:p w14:paraId="747FAA69" w14:textId="77777777" w:rsidR="002C0FD9" w:rsidRPr="00CA25CF" w:rsidRDefault="002C0FD9" w:rsidP="00CA25CF">
            <w:pPr>
              <w:rPr>
                <w:rFonts w:cs="Arial"/>
                <w:color w:val="FF0000"/>
                <w:sz w:val="21"/>
                <w:szCs w:val="21"/>
              </w:rPr>
            </w:pPr>
          </w:p>
        </w:tc>
        <w:tc>
          <w:tcPr>
            <w:tcW w:w="217" w:type="dxa"/>
          </w:tcPr>
          <w:p w14:paraId="60B983BD" w14:textId="77777777" w:rsidR="002C0FD9" w:rsidRPr="00CA25CF" w:rsidRDefault="002C0FD9" w:rsidP="00CA25CF">
            <w:pPr>
              <w:rPr>
                <w:rFonts w:cs="Arial"/>
                <w:color w:val="FF0000"/>
                <w:sz w:val="21"/>
                <w:szCs w:val="21"/>
              </w:rPr>
            </w:pPr>
          </w:p>
        </w:tc>
        <w:tc>
          <w:tcPr>
            <w:tcW w:w="217" w:type="dxa"/>
          </w:tcPr>
          <w:p w14:paraId="47FFE4C4" w14:textId="77777777" w:rsidR="002C0FD9" w:rsidRPr="00CA25CF" w:rsidRDefault="002C0FD9" w:rsidP="00CA25CF">
            <w:pPr>
              <w:rPr>
                <w:rFonts w:cs="Arial"/>
                <w:color w:val="FF0000"/>
                <w:sz w:val="21"/>
                <w:szCs w:val="21"/>
              </w:rPr>
            </w:pPr>
          </w:p>
        </w:tc>
        <w:tc>
          <w:tcPr>
            <w:tcW w:w="217" w:type="dxa"/>
          </w:tcPr>
          <w:p w14:paraId="3EF81DC0" w14:textId="77777777" w:rsidR="002C0FD9" w:rsidRPr="00CA25CF" w:rsidRDefault="002C0FD9" w:rsidP="00CA25CF">
            <w:pPr>
              <w:rPr>
                <w:rFonts w:cs="Arial"/>
                <w:color w:val="FF0000"/>
                <w:sz w:val="21"/>
                <w:szCs w:val="21"/>
              </w:rPr>
            </w:pPr>
          </w:p>
        </w:tc>
      </w:tr>
      <w:tr w:rsidR="002C0FD9" w:rsidRPr="00A16219" w14:paraId="5A535C4C" w14:textId="77777777" w:rsidTr="002C0FD9">
        <w:trPr>
          <w:trHeight w:val="635"/>
        </w:trPr>
        <w:tc>
          <w:tcPr>
            <w:tcW w:w="515" w:type="dxa"/>
          </w:tcPr>
          <w:p w14:paraId="69C32720" w14:textId="77777777" w:rsidR="002C0FD9" w:rsidRPr="00CA25CF" w:rsidRDefault="002C0FD9" w:rsidP="00CA25CF">
            <w:pPr>
              <w:rPr>
                <w:rFonts w:cs="Arial"/>
                <w:color w:val="FF0000"/>
                <w:sz w:val="21"/>
                <w:szCs w:val="21"/>
              </w:rPr>
            </w:pPr>
          </w:p>
        </w:tc>
        <w:tc>
          <w:tcPr>
            <w:tcW w:w="217" w:type="dxa"/>
          </w:tcPr>
          <w:p w14:paraId="7EC0F207" w14:textId="77777777" w:rsidR="002C0FD9" w:rsidRPr="00CA25CF" w:rsidRDefault="002C0FD9" w:rsidP="00CA25CF">
            <w:pPr>
              <w:rPr>
                <w:rFonts w:cs="Arial"/>
                <w:color w:val="FF0000"/>
                <w:sz w:val="21"/>
                <w:szCs w:val="21"/>
              </w:rPr>
            </w:pPr>
          </w:p>
        </w:tc>
        <w:tc>
          <w:tcPr>
            <w:tcW w:w="217" w:type="dxa"/>
          </w:tcPr>
          <w:p w14:paraId="4B11FCF7" w14:textId="77777777" w:rsidR="002C0FD9" w:rsidRPr="00CA25CF" w:rsidRDefault="002C0FD9" w:rsidP="00CA25CF">
            <w:pPr>
              <w:rPr>
                <w:rFonts w:cs="Arial"/>
                <w:color w:val="FF0000"/>
                <w:sz w:val="21"/>
                <w:szCs w:val="21"/>
              </w:rPr>
            </w:pPr>
          </w:p>
        </w:tc>
        <w:tc>
          <w:tcPr>
            <w:tcW w:w="217" w:type="dxa"/>
          </w:tcPr>
          <w:p w14:paraId="0C226454" w14:textId="77777777" w:rsidR="002C0FD9" w:rsidRPr="00CA25CF" w:rsidRDefault="002C0FD9" w:rsidP="00CA25CF">
            <w:pPr>
              <w:rPr>
                <w:rFonts w:cs="Arial"/>
                <w:color w:val="FF0000"/>
                <w:sz w:val="21"/>
                <w:szCs w:val="21"/>
              </w:rPr>
            </w:pPr>
          </w:p>
        </w:tc>
        <w:tc>
          <w:tcPr>
            <w:tcW w:w="217" w:type="dxa"/>
          </w:tcPr>
          <w:p w14:paraId="1E6FA0C4" w14:textId="77777777" w:rsidR="002C0FD9" w:rsidRPr="00CA25CF" w:rsidRDefault="002C0FD9" w:rsidP="00CA25CF">
            <w:pPr>
              <w:rPr>
                <w:rFonts w:cs="Arial"/>
                <w:color w:val="FF0000"/>
                <w:sz w:val="21"/>
                <w:szCs w:val="21"/>
              </w:rPr>
            </w:pPr>
          </w:p>
        </w:tc>
        <w:tc>
          <w:tcPr>
            <w:tcW w:w="217" w:type="dxa"/>
          </w:tcPr>
          <w:p w14:paraId="3B774629" w14:textId="77777777" w:rsidR="002C0FD9" w:rsidRPr="00CA25CF" w:rsidRDefault="002C0FD9" w:rsidP="00CA25CF">
            <w:pPr>
              <w:rPr>
                <w:rFonts w:cs="Arial"/>
                <w:color w:val="FF0000"/>
                <w:sz w:val="21"/>
                <w:szCs w:val="21"/>
              </w:rPr>
            </w:pPr>
          </w:p>
        </w:tc>
        <w:tc>
          <w:tcPr>
            <w:tcW w:w="217" w:type="dxa"/>
          </w:tcPr>
          <w:p w14:paraId="69CB6D41" w14:textId="77777777" w:rsidR="002C0FD9" w:rsidRPr="00CA25CF" w:rsidRDefault="002C0FD9" w:rsidP="00CA25CF">
            <w:pPr>
              <w:rPr>
                <w:rFonts w:cs="Arial"/>
                <w:color w:val="FF0000"/>
                <w:sz w:val="21"/>
                <w:szCs w:val="21"/>
              </w:rPr>
            </w:pPr>
          </w:p>
        </w:tc>
        <w:tc>
          <w:tcPr>
            <w:tcW w:w="217" w:type="dxa"/>
          </w:tcPr>
          <w:p w14:paraId="3C2B5910" w14:textId="77777777" w:rsidR="002C0FD9" w:rsidRPr="00CA25CF" w:rsidRDefault="002C0FD9" w:rsidP="00CA25CF">
            <w:pPr>
              <w:rPr>
                <w:rFonts w:cs="Arial"/>
                <w:color w:val="FF0000"/>
                <w:sz w:val="21"/>
                <w:szCs w:val="21"/>
              </w:rPr>
            </w:pPr>
          </w:p>
        </w:tc>
        <w:tc>
          <w:tcPr>
            <w:tcW w:w="217" w:type="dxa"/>
          </w:tcPr>
          <w:p w14:paraId="66049DB7" w14:textId="77777777" w:rsidR="002C0FD9" w:rsidRPr="00CA25CF" w:rsidRDefault="002C0FD9" w:rsidP="00CA25CF">
            <w:pPr>
              <w:rPr>
                <w:rFonts w:cs="Arial"/>
                <w:color w:val="FF0000"/>
                <w:sz w:val="21"/>
                <w:szCs w:val="21"/>
              </w:rPr>
            </w:pPr>
          </w:p>
        </w:tc>
        <w:tc>
          <w:tcPr>
            <w:tcW w:w="217" w:type="dxa"/>
          </w:tcPr>
          <w:p w14:paraId="5A236CB1" w14:textId="77777777" w:rsidR="002C0FD9" w:rsidRPr="00CA25CF" w:rsidRDefault="002C0FD9" w:rsidP="00CA25CF">
            <w:pPr>
              <w:rPr>
                <w:rFonts w:cs="Arial"/>
                <w:color w:val="FF0000"/>
                <w:sz w:val="21"/>
                <w:szCs w:val="21"/>
              </w:rPr>
            </w:pPr>
          </w:p>
        </w:tc>
        <w:tc>
          <w:tcPr>
            <w:tcW w:w="217" w:type="dxa"/>
          </w:tcPr>
          <w:p w14:paraId="1C0D9BC5" w14:textId="77777777" w:rsidR="002C0FD9" w:rsidRPr="00CA25CF" w:rsidRDefault="002C0FD9" w:rsidP="00CA25CF">
            <w:pPr>
              <w:rPr>
                <w:rFonts w:cs="Arial"/>
                <w:color w:val="FF0000"/>
                <w:sz w:val="21"/>
                <w:szCs w:val="21"/>
              </w:rPr>
            </w:pPr>
          </w:p>
        </w:tc>
        <w:tc>
          <w:tcPr>
            <w:tcW w:w="217" w:type="dxa"/>
          </w:tcPr>
          <w:p w14:paraId="511D8365" w14:textId="77777777" w:rsidR="002C0FD9" w:rsidRPr="00CA25CF" w:rsidRDefault="002C0FD9" w:rsidP="00CA25CF">
            <w:pPr>
              <w:rPr>
                <w:rFonts w:cs="Arial"/>
                <w:color w:val="FF0000"/>
                <w:sz w:val="21"/>
                <w:szCs w:val="21"/>
              </w:rPr>
            </w:pPr>
          </w:p>
        </w:tc>
        <w:tc>
          <w:tcPr>
            <w:tcW w:w="217" w:type="dxa"/>
          </w:tcPr>
          <w:p w14:paraId="7446A7AF" w14:textId="77777777" w:rsidR="002C0FD9" w:rsidRPr="00CA25CF" w:rsidRDefault="002C0FD9" w:rsidP="00CA25CF">
            <w:pPr>
              <w:rPr>
                <w:rFonts w:cs="Arial"/>
                <w:color w:val="FF0000"/>
                <w:sz w:val="21"/>
                <w:szCs w:val="21"/>
              </w:rPr>
            </w:pPr>
          </w:p>
        </w:tc>
        <w:tc>
          <w:tcPr>
            <w:tcW w:w="217" w:type="dxa"/>
          </w:tcPr>
          <w:p w14:paraId="559BD74A" w14:textId="77777777" w:rsidR="002C0FD9" w:rsidRPr="00CA25CF" w:rsidRDefault="002C0FD9" w:rsidP="00CA25CF">
            <w:pPr>
              <w:rPr>
                <w:rFonts w:cs="Arial"/>
                <w:color w:val="FF0000"/>
                <w:sz w:val="21"/>
                <w:szCs w:val="21"/>
              </w:rPr>
            </w:pPr>
          </w:p>
        </w:tc>
        <w:tc>
          <w:tcPr>
            <w:tcW w:w="217" w:type="dxa"/>
          </w:tcPr>
          <w:p w14:paraId="569F0F51" w14:textId="77777777" w:rsidR="002C0FD9" w:rsidRPr="00CA25CF" w:rsidRDefault="002C0FD9" w:rsidP="00CA25CF">
            <w:pPr>
              <w:rPr>
                <w:rFonts w:cs="Arial"/>
                <w:color w:val="FF0000"/>
                <w:sz w:val="21"/>
                <w:szCs w:val="21"/>
              </w:rPr>
            </w:pPr>
          </w:p>
        </w:tc>
        <w:tc>
          <w:tcPr>
            <w:tcW w:w="217" w:type="dxa"/>
          </w:tcPr>
          <w:p w14:paraId="2F1B83AC" w14:textId="77777777" w:rsidR="002C0FD9" w:rsidRPr="00CA25CF" w:rsidRDefault="002C0FD9" w:rsidP="00CA25CF">
            <w:pPr>
              <w:rPr>
                <w:rFonts w:cs="Arial"/>
                <w:color w:val="FF0000"/>
                <w:sz w:val="21"/>
                <w:szCs w:val="21"/>
              </w:rPr>
            </w:pPr>
          </w:p>
        </w:tc>
        <w:tc>
          <w:tcPr>
            <w:tcW w:w="217" w:type="dxa"/>
          </w:tcPr>
          <w:p w14:paraId="4D9730E1" w14:textId="77777777" w:rsidR="002C0FD9" w:rsidRPr="00CA25CF" w:rsidRDefault="002C0FD9" w:rsidP="00CA25CF">
            <w:pPr>
              <w:rPr>
                <w:rFonts w:cs="Arial"/>
                <w:color w:val="FF0000"/>
                <w:sz w:val="21"/>
                <w:szCs w:val="21"/>
              </w:rPr>
            </w:pPr>
          </w:p>
        </w:tc>
        <w:tc>
          <w:tcPr>
            <w:tcW w:w="217" w:type="dxa"/>
          </w:tcPr>
          <w:p w14:paraId="3C3B07F2" w14:textId="77777777" w:rsidR="002C0FD9" w:rsidRPr="00CA25CF" w:rsidRDefault="002C0FD9" w:rsidP="00CA25CF">
            <w:pPr>
              <w:rPr>
                <w:rFonts w:cs="Arial"/>
                <w:color w:val="FF0000"/>
                <w:sz w:val="21"/>
                <w:szCs w:val="21"/>
              </w:rPr>
            </w:pPr>
          </w:p>
        </w:tc>
        <w:tc>
          <w:tcPr>
            <w:tcW w:w="217" w:type="dxa"/>
          </w:tcPr>
          <w:p w14:paraId="3FACB172" w14:textId="77777777" w:rsidR="002C0FD9" w:rsidRPr="00CA25CF" w:rsidRDefault="002C0FD9" w:rsidP="00CA25CF">
            <w:pPr>
              <w:rPr>
                <w:rFonts w:cs="Arial"/>
                <w:color w:val="FF0000"/>
                <w:sz w:val="21"/>
                <w:szCs w:val="21"/>
              </w:rPr>
            </w:pPr>
          </w:p>
        </w:tc>
        <w:tc>
          <w:tcPr>
            <w:tcW w:w="217" w:type="dxa"/>
          </w:tcPr>
          <w:p w14:paraId="5F2036C8" w14:textId="77777777" w:rsidR="002C0FD9" w:rsidRPr="00CA25CF" w:rsidRDefault="002C0FD9" w:rsidP="00CA25CF">
            <w:pPr>
              <w:rPr>
                <w:rFonts w:cs="Arial"/>
                <w:color w:val="FF0000"/>
                <w:sz w:val="21"/>
                <w:szCs w:val="21"/>
              </w:rPr>
            </w:pPr>
          </w:p>
        </w:tc>
        <w:tc>
          <w:tcPr>
            <w:tcW w:w="217" w:type="dxa"/>
          </w:tcPr>
          <w:p w14:paraId="71E284B9" w14:textId="77777777" w:rsidR="002C0FD9" w:rsidRPr="00CA25CF" w:rsidRDefault="002C0FD9" w:rsidP="00CA25CF">
            <w:pPr>
              <w:rPr>
                <w:rFonts w:cs="Arial"/>
                <w:color w:val="FF0000"/>
                <w:sz w:val="21"/>
                <w:szCs w:val="21"/>
              </w:rPr>
            </w:pPr>
          </w:p>
        </w:tc>
        <w:tc>
          <w:tcPr>
            <w:tcW w:w="217" w:type="dxa"/>
          </w:tcPr>
          <w:p w14:paraId="1A0AA6E5" w14:textId="77777777" w:rsidR="002C0FD9" w:rsidRPr="00CA25CF" w:rsidRDefault="002C0FD9" w:rsidP="00CA25CF">
            <w:pPr>
              <w:rPr>
                <w:rFonts w:cs="Arial"/>
                <w:color w:val="FF0000"/>
                <w:sz w:val="21"/>
                <w:szCs w:val="21"/>
              </w:rPr>
            </w:pPr>
          </w:p>
        </w:tc>
        <w:tc>
          <w:tcPr>
            <w:tcW w:w="217" w:type="dxa"/>
          </w:tcPr>
          <w:p w14:paraId="25B15212" w14:textId="77777777" w:rsidR="002C0FD9" w:rsidRPr="00CA25CF" w:rsidRDefault="002C0FD9" w:rsidP="00CA25CF">
            <w:pPr>
              <w:rPr>
                <w:rFonts w:cs="Arial"/>
                <w:color w:val="FF0000"/>
                <w:sz w:val="21"/>
                <w:szCs w:val="21"/>
              </w:rPr>
            </w:pPr>
          </w:p>
        </w:tc>
        <w:tc>
          <w:tcPr>
            <w:tcW w:w="217" w:type="dxa"/>
          </w:tcPr>
          <w:p w14:paraId="1EA63CD4" w14:textId="77777777" w:rsidR="002C0FD9" w:rsidRPr="00CA25CF" w:rsidRDefault="002C0FD9" w:rsidP="00CA25CF">
            <w:pPr>
              <w:rPr>
                <w:rFonts w:cs="Arial"/>
                <w:color w:val="FF0000"/>
                <w:sz w:val="21"/>
                <w:szCs w:val="21"/>
              </w:rPr>
            </w:pPr>
          </w:p>
        </w:tc>
        <w:tc>
          <w:tcPr>
            <w:tcW w:w="217" w:type="dxa"/>
          </w:tcPr>
          <w:p w14:paraId="6A786502" w14:textId="77777777" w:rsidR="002C0FD9" w:rsidRPr="00CA25CF" w:rsidRDefault="002C0FD9" w:rsidP="00CA25CF">
            <w:pPr>
              <w:rPr>
                <w:rFonts w:cs="Arial"/>
                <w:color w:val="FF0000"/>
                <w:sz w:val="21"/>
                <w:szCs w:val="21"/>
              </w:rPr>
            </w:pPr>
          </w:p>
        </w:tc>
        <w:tc>
          <w:tcPr>
            <w:tcW w:w="217" w:type="dxa"/>
          </w:tcPr>
          <w:p w14:paraId="27C7EF52" w14:textId="77777777" w:rsidR="002C0FD9" w:rsidRPr="00CA25CF" w:rsidRDefault="002C0FD9" w:rsidP="00CA25CF">
            <w:pPr>
              <w:rPr>
                <w:rFonts w:cs="Arial"/>
                <w:color w:val="FF0000"/>
                <w:sz w:val="21"/>
                <w:szCs w:val="21"/>
              </w:rPr>
            </w:pPr>
          </w:p>
        </w:tc>
        <w:tc>
          <w:tcPr>
            <w:tcW w:w="217" w:type="dxa"/>
          </w:tcPr>
          <w:p w14:paraId="3C34DE5A" w14:textId="77777777" w:rsidR="002C0FD9" w:rsidRPr="00CA25CF" w:rsidRDefault="002C0FD9" w:rsidP="00CA25CF">
            <w:pPr>
              <w:rPr>
                <w:rFonts w:cs="Arial"/>
                <w:color w:val="FF0000"/>
                <w:sz w:val="21"/>
                <w:szCs w:val="21"/>
              </w:rPr>
            </w:pPr>
          </w:p>
        </w:tc>
        <w:tc>
          <w:tcPr>
            <w:tcW w:w="217" w:type="dxa"/>
          </w:tcPr>
          <w:p w14:paraId="5342FA10" w14:textId="77777777" w:rsidR="002C0FD9" w:rsidRPr="00CA25CF" w:rsidRDefault="002C0FD9" w:rsidP="00CA25CF">
            <w:pPr>
              <w:rPr>
                <w:rFonts w:cs="Arial"/>
                <w:color w:val="FF0000"/>
                <w:sz w:val="21"/>
                <w:szCs w:val="21"/>
              </w:rPr>
            </w:pPr>
          </w:p>
        </w:tc>
        <w:tc>
          <w:tcPr>
            <w:tcW w:w="217" w:type="dxa"/>
          </w:tcPr>
          <w:p w14:paraId="4B8009B5" w14:textId="77777777" w:rsidR="002C0FD9" w:rsidRPr="00CA25CF" w:rsidRDefault="002C0FD9" w:rsidP="00CA25CF">
            <w:pPr>
              <w:rPr>
                <w:rFonts w:cs="Arial"/>
                <w:color w:val="FF0000"/>
                <w:sz w:val="21"/>
                <w:szCs w:val="21"/>
              </w:rPr>
            </w:pPr>
          </w:p>
        </w:tc>
        <w:tc>
          <w:tcPr>
            <w:tcW w:w="217" w:type="dxa"/>
          </w:tcPr>
          <w:p w14:paraId="0A01530D" w14:textId="77777777" w:rsidR="002C0FD9" w:rsidRPr="00CA25CF" w:rsidRDefault="002C0FD9" w:rsidP="00CA25CF">
            <w:pPr>
              <w:rPr>
                <w:rFonts w:cs="Arial"/>
                <w:color w:val="FF0000"/>
                <w:sz w:val="21"/>
                <w:szCs w:val="21"/>
              </w:rPr>
            </w:pPr>
          </w:p>
        </w:tc>
        <w:tc>
          <w:tcPr>
            <w:tcW w:w="217" w:type="dxa"/>
          </w:tcPr>
          <w:p w14:paraId="6FDBDB95" w14:textId="77777777" w:rsidR="002C0FD9" w:rsidRPr="00CA25CF" w:rsidRDefault="002C0FD9" w:rsidP="00CA25CF">
            <w:pPr>
              <w:rPr>
                <w:rFonts w:cs="Arial"/>
                <w:color w:val="FF0000"/>
                <w:sz w:val="21"/>
                <w:szCs w:val="21"/>
              </w:rPr>
            </w:pPr>
          </w:p>
        </w:tc>
        <w:tc>
          <w:tcPr>
            <w:tcW w:w="217" w:type="dxa"/>
          </w:tcPr>
          <w:p w14:paraId="6083D65E" w14:textId="77777777" w:rsidR="002C0FD9" w:rsidRPr="00CA25CF" w:rsidRDefault="002C0FD9" w:rsidP="00CA25CF">
            <w:pPr>
              <w:rPr>
                <w:rFonts w:cs="Arial"/>
                <w:color w:val="FF0000"/>
                <w:sz w:val="21"/>
                <w:szCs w:val="21"/>
              </w:rPr>
            </w:pPr>
          </w:p>
        </w:tc>
        <w:tc>
          <w:tcPr>
            <w:tcW w:w="217" w:type="dxa"/>
          </w:tcPr>
          <w:p w14:paraId="3CC3BBED" w14:textId="77777777" w:rsidR="002C0FD9" w:rsidRPr="00CA25CF" w:rsidRDefault="002C0FD9" w:rsidP="00CA25CF">
            <w:pPr>
              <w:rPr>
                <w:rFonts w:cs="Arial"/>
                <w:color w:val="FF0000"/>
                <w:sz w:val="21"/>
                <w:szCs w:val="21"/>
              </w:rPr>
            </w:pPr>
          </w:p>
        </w:tc>
        <w:tc>
          <w:tcPr>
            <w:tcW w:w="217" w:type="dxa"/>
          </w:tcPr>
          <w:p w14:paraId="3C0D3C87" w14:textId="77777777" w:rsidR="002C0FD9" w:rsidRPr="00CA25CF" w:rsidRDefault="002C0FD9" w:rsidP="00CA25CF">
            <w:pPr>
              <w:rPr>
                <w:rFonts w:cs="Arial"/>
                <w:color w:val="FF0000"/>
                <w:sz w:val="21"/>
                <w:szCs w:val="21"/>
              </w:rPr>
            </w:pPr>
          </w:p>
        </w:tc>
        <w:tc>
          <w:tcPr>
            <w:tcW w:w="217" w:type="dxa"/>
          </w:tcPr>
          <w:p w14:paraId="62D7E12E" w14:textId="77777777" w:rsidR="002C0FD9" w:rsidRPr="00CA25CF" w:rsidRDefault="002C0FD9" w:rsidP="00CA25CF">
            <w:pPr>
              <w:rPr>
                <w:rFonts w:cs="Arial"/>
                <w:color w:val="FF0000"/>
                <w:sz w:val="21"/>
                <w:szCs w:val="21"/>
              </w:rPr>
            </w:pPr>
          </w:p>
        </w:tc>
        <w:tc>
          <w:tcPr>
            <w:tcW w:w="217" w:type="dxa"/>
          </w:tcPr>
          <w:p w14:paraId="0EE68F42" w14:textId="77777777" w:rsidR="002C0FD9" w:rsidRPr="00CA25CF" w:rsidRDefault="002C0FD9" w:rsidP="00CA25CF">
            <w:pPr>
              <w:rPr>
                <w:rFonts w:cs="Arial"/>
                <w:color w:val="FF0000"/>
                <w:sz w:val="21"/>
                <w:szCs w:val="21"/>
              </w:rPr>
            </w:pPr>
          </w:p>
        </w:tc>
        <w:tc>
          <w:tcPr>
            <w:tcW w:w="217" w:type="dxa"/>
          </w:tcPr>
          <w:p w14:paraId="3E129FE2" w14:textId="77777777" w:rsidR="002C0FD9" w:rsidRPr="00CA25CF" w:rsidRDefault="002C0FD9" w:rsidP="00CA25CF">
            <w:pPr>
              <w:rPr>
                <w:rFonts w:cs="Arial"/>
                <w:color w:val="FF0000"/>
                <w:sz w:val="21"/>
                <w:szCs w:val="21"/>
              </w:rPr>
            </w:pPr>
          </w:p>
        </w:tc>
        <w:tc>
          <w:tcPr>
            <w:tcW w:w="217" w:type="dxa"/>
          </w:tcPr>
          <w:p w14:paraId="6B8C70D3" w14:textId="77777777" w:rsidR="002C0FD9" w:rsidRPr="00CA25CF" w:rsidRDefault="002C0FD9" w:rsidP="00CA25CF">
            <w:pPr>
              <w:rPr>
                <w:rFonts w:cs="Arial"/>
                <w:color w:val="FF0000"/>
                <w:sz w:val="21"/>
                <w:szCs w:val="21"/>
              </w:rPr>
            </w:pPr>
          </w:p>
        </w:tc>
        <w:tc>
          <w:tcPr>
            <w:tcW w:w="217" w:type="dxa"/>
          </w:tcPr>
          <w:p w14:paraId="05D132AF" w14:textId="77777777" w:rsidR="002C0FD9" w:rsidRPr="00CA25CF" w:rsidRDefault="002C0FD9" w:rsidP="00CA25CF">
            <w:pPr>
              <w:rPr>
                <w:rFonts w:cs="Arial"/>
                <w:color w:val="FF0000"/>
                <w:sz w:val="21"/>
                <w:szCs w:val="21"/>
              </w:rPr>
            </w:pPr>
          </w:p>
        </w:tc>
        <w:tc>
          <w:tcPr>
            <w:tcW w:w="217" w:type="dxa"/>
          </w:tcPr>
          <w:p w14:paraId="459229EF" w14:textId="77777777" w:rsidR="002C0FD9" w:rsidRPr="00CA25CF" w:rsidRDefault="002C0FD9" w:rsidP="00CA25CF">
            <w:pPr>
              <w:rPr>
                <w:rFonts w:cs="Arial"/>
                <w:color w:val="FF0000"/>
                <w:sz w:val="21"/>
                <w:szCs w:val="21"/>
              </w:rPr>
            </w:pPr>
          </w:p>
        </w:tc>
        <w:tc>
          <w:tcPr>
            <w:tcW w:w="217" w:type="dxa"/>
          </w:tcPr>
          <w:p w14:paraId="135F7ECF" w14:textId="77777777" w:rsidR="002C0FD9" w:rsidRPr="00CA25CF" w:rsidRDefault="002C0FD9" w:rsidP="00CA25CF">
            <w:pPr>
              <w:rPr>
                <w:rFonts w:cs="Arial"/>
                <w:color w:val="FF0000"/>
                <w:sz w:val="21"/>
                <w:szCs w:val="21"/>
              </w:rPr>
            </w:pPr>
          </w:p>
        </w:tc>
        <w:tc>
          <w:tcPr>
            <w:tcW w:w="217" w:type="dxa"/>
          </w:tcPr>
          <w:p w14:paraId="51907B87" w14:textId="77777777" w:rsidR="002C0FD9" w:rsidRPr="00CA25CF" w:rsidRDefault="002C0FD9" w:rsidP="00CA25CF">
            <w:pPr>
              <w:rPr>
                <w:rFonts w:cs="Arial"/>
                <w:color w:val="FF0000"/>
                <w:sz w:val="21"/>
                <w:szCs w:val="21"/>
              </w:rPr>
            </w:pPr>
          </w:p>
        </w:tc>
        <w:tc>
          <w:tcPr>
            <w:tcW w:w="217" w:type="dxa"/>
          </w:tcPr>
          <w:p w14:paraId="2EDFC9F4" w14:textId="77777777" w:rsidR="002C0FD9" w:rsidRPr="00CA25CF" w:rsidRDefault="002C0FD9" w:rsidP="00CA25CF">
            <w:pPr>
              <w:rPr>
                <w:rFonts w:cs="Arial"/>
                <w:color w:val="FF0000"/>
                <w:sz w:val="21"/>
                <w:szCs w:val="21"/>
              </w:rPr>
            </w:pPr>
          </w:p>
        </w:tc>
      </w:tr>
      <w:tr w:rsidR="002C0FD9" w:rsidRPr="00A16219" w14:paraId="6946DD97" w14:textId="77777777" w:rsidTr="002C0FD9">
        <w:trPr>
          <w:trHeight w:val="635"/>
        </w:trPr>
        <w:tc>
          <w:tcPr>
            <w:tcW w:w="515" w:type="dxa"/>
          </w:tcPr>
          <w:p w14:paraId="4B08B476" w14:textId="77777777" w:rsidR="002C0FD9" w:rsidRPr="00CA25CF" w:rsidRDefault="002C0FD9" w:rsidP="00CA25CF">
            <w:pPr>
              <w:rPr>
                <w:rFonts w:cs="Arial"/>
                <w:color w:val="FF0000"/>
                <w:sz w:val="21"/>
                <w:szCs w:val="21"/>
              </w:rPr>
            </w:pPr>
          </w:p>
        </w:tc>
        <w:tc>
          <w:tcPr>
            <w:tcW w:w="217" w:type="dxa"/>
          </w:tcPr>
          <w:p w14:paraId="27FFFF71" w14:textId="77777777" w:rsidR="002C0FD9" w:rsidRPr="00CA25CF" w:rsidRDefault="002C0FD9" w:rsidP="00CA25CF">
            <w:pPr>
              <w:rPr>
                <w:rFonts w:cs="Arial"/>
                <w:color w:val="FF0000"/>
                <w:sz w:val="21"/>
                <w:szCs w:val="21"/>
              </w:rPr>
            </w:pPr>
          </w:p>
        </w:tc>
        <w:tc>
          <w:tcPr>
            <w:tcW w:w="217" w:type="dxa"/>
          </w:tcPr>
          <w:p w14:paraId="22F74D19" w14:textId="77777777" w:rsidR="002C0FD9" w:rsidRPr="00CA25CF" w:rsidRDefault="002C0FD9" w:rsidP="00CA25CF">
            <w:pPr>
              <w:rPr>
                <w:rFonts w:cs="Arial"/>
                <w:color w:val="FF0000"/>
                <w:sz w:val="21"/>
                <w:szCs w:val="21"/>
              </w:rPr>
            </w:pPr>
          </w:p>
        </w:tc>
        <w:tc>
          <w:tcPr>
            <w:tcW w:w="217" w:type="dxa"/>
          </w:tcPr>
          <w:p w14:paraId="045570A8" w14:textId="77777777" w:rsidR="002C0FD9" w:rsidRPr="00CA25CF" w:rsidRDefault="002C0FD9" w:rsidP="00CA25CF">
            <w:pPr>
              <w:rPr>
                <w:rFonts w:cs="Arial"/>
                <w:color w:val="FF0000"/>
                <w:sz w:val="21"/>
                <w:szCs w:val="21"/>
              </w:rPr>
            </w:pPr>
          </w:p>
        </w:tc>
        <w:tc>
          <w:tcPr>
            <w:tcW w:w="217" w:type="dxa"/>
          </w:tcPr>
          <w:p w14:paraId="5CCF95D3" w14:textId="77777777" w:rsidR="002C0FD9" w:rsidRPr="00CA25CF" w:rsidRDefault="002C0FD9" w:rsidP="00CA25CF">
            <w:pPr>
              <w:rPr>
                <w:rFonts w:cs="Arial"/>
                <w:color w:val="FF0000"/>
                <w:sz w:val="21"/>
                <w:szCs w:val="21"/>
              </w:rPr>
            </w:pPr>
          </w:p>
        </w:tc>
        <w:tc>
          <w:tcPr>
            <w:tcW w:w="217" w:type="dxa"/>
          </w:tcPr>
          <w:p w14:paraId="22B3B3B8" w14:textId="77777777" w:rsidR="002C0FD9" w:rsidRPr="00CA25CF" w:rsidRDefault="002C0FD9" w:rsidP="00CA25CF">
            <w:pPr>
              <w:rPr>
                <w:rFonts w:cs="Arial"/>
                <w:color w:val="FF0000"/>
                <w:sz w:val="21"/>
                <w:szCs w:val="21"/>
              </w:rPr>
            </w:pPr>
          </w:p>
        </w:tc>
        <w:tc>
          <w:tcPr>
            <w:tcW w:w="217" w:type="dxa"/>
          </w:tcPr>
          <w:p w14:paraId="63025B2E" w14:textId="77777777" w:rsidR="002C0FD9" w:rsidRPr="00CA25CF" w:rsidRDefault="002C0FD9" w:rsidP="00CA25CF">
            <w:pPr>
              <w:rPr>
                <w:rFonts w:cs="Arial"/>
                <w:color w:val="FF0000"/>
                <w:sz w:val="21"/>
                <w:szCs w:val="21"/>
              </w:rPr>
            </w:pPr>
          </w:p>
        </w:tc>
        <w:tc>
          <w:tcPr>
            <w:tcW w:w="217" w:type="dxa"/>
          </w:tcPr>
          <w:p w14:paraId="6C70DC89" w14:textId="77777777" w:rsidR="002C0FD9" w:rsidRPr="00CA25CF" w:rsidRDefault="002C0FD9" w:rsidP="00CA25CF">
            <w:pPr>
              <w:rPr>
                <w:rFonts w:cs="Arial"/>
                <w:color w:val="FF0000"/>
                <w:sz w:val="21"/>
                <w:szCs w:val="21"/>
              </w:rPr>
            </w:pPr>
          </w:p>
        </w:tc>
        <w:tc>
          <w:tcPr>
            <w:tcW w:w="217" w:type="dxa"/>
          </w:tcPr>
          <w:p w14:paraId="40C95208" w14:textId="77777777" w:rsidR="002C0FD9" w:rsidRPr="00CA25CF" w:rsidRDefault="002C0FD9" w:rsidP="00CA25CF">
            <w:pPr>
              <w:rPr>
                <w:rFonts w:cs="Arial"/>
                <w:color w:val="FF0000"/>
                <w:sz w:val="21"/>
                <w:szCs w:val="21"/>
              </w:rPr>
            </w:pPr>
          </w:p>
        </w:tc>
        <w:tc>
          <w:tcPr>
            <w:tcW w:w="217" w:type="dxa"/>
          </w:tcPr>
          <w:p w14:paraId="065CC3B8" w14:textId="77777777" w:rsidR="002C0FD9" w:rsidRPr="00CA25CF" w:rsidRDefault="002C0FD9" w:rsidP="00CA25CF">
            <w:pPr>
              <w:rPr>
                <w:rFonts w:cs="Arial"/>
                <w:color w:val="FF0000"/>
                <w:sz w:val="21"/>
                <w:szCs w:val="21"/>
              </w:rPr>
            </w:pPr>
          </w:p>
        </w:tc>
        <w:tc>
          <w:tcPr>
            <w:tcW w:w="217" w:type="dxa"/>
          </w:tcPr>
          <w:p w14:paraId="2FCD0FE9" w14:textId="77777777" w:rsidR="002C0FD9" w:rsidRPr="00CA25CF" w:rsidRDefault="002C0FD9" w:rsidP="00CA25CF">
            <w:pPr>
              <w:rPr>
                <w:rFonts w:cs="Arial"/>
                <w:color w:val="FF0000"/>
                <w:sz w:val="21"/>
                <w:szCs w:val="21"/>
              </w:rPr>
            </w:pPr>
          </w:p>
        </w:tc>
        <w:tc>
          <w:tcPr>
            <w:tcW w:w="217" w:type="dxa"/>
          </w:tcPr>
          <w:p w14:paraId="68E81B9C" w14:textId="77777777" w:rsidR="002C0FD9" w:rsidRPr="00CA25CF" w:rsidRDefault="002C0FD9" w:rsidP="00CA25CF">
            <w:pPr>
              <w:rPr>
                <w:rFonts w:cs="Arial"/>
                <w:color w:val="FF0000"/>
                <w:sz w:val="21"/>
                <w:szCs w:val="21"/>
              </w:rPr>
            </w:pPr>
          </w:p>
        </w:tc>
        <w:tc>
          <w:tcPr>
            <w:tcW w:w="217" w:type="dxa"/>
          </w:tcPr>
          <w:p w14:paraId="2B7811D4" w14:textId="77777777" w:rsidR="002C0FD9" w:rsidRPr="00CA25CF" w:rsidRDefault="002C0FD9" w:rsidP="00CA25CF">
            <w:pPr>
              <w:rPr>
                <w:rFonts w:cs="Arial"/>
                <w:color w:val="FF0000"/>
                <w:sz w:val="21"/>
                <w:szCs w:val="21"/>
              </w:rPr>
            </w:pPr>
          </w:p>
        </w:tc>
        <w:tc>
          <w:tcPr>
            <w:tcW w:w="217" w:type="dxa"/>
          </w:tcPr>
          <w:p w14:paraId="3850C9E8" w14:textId="77777777" w:rsidR="002C0FD9" w:rsidRPr="00CA25CF" w:rsidRDefault="002C0FD9" w:rsidP="00CA25CF">
            <w:pPr>
              <w:rPr>
                <w:rFonts w:cs="Arial"/>
                <w:color w:val="FF0000"/>
                <w:sz w:val="21"/>
                <w:szCs w:val="21"/>
              </w:rPr>
            </w:pPr>
          </w:p>
        </w:tc>
        <w:tc>
          <w:tcPr>
            <w:tcW w:w="217" w:type="dxa"/>
          </w:tcPr>
          <w:p w14:paraId="0E5EA599" w14:textId="77777777" w:rsidR="002C0FD9" w:rsidRPr="00CA25CF" w:rsidRDefault="002C0FD9" w:rsidP="00CA25CF">
            <w:pPr>
              <w:rPr>
                <w:rFonts w:cs="Arial"/>
                <w:color w:val="FF0000"/>
                <w:sz w:val="21"/>
                <w:szCs w:val="21"/>
              </w:rPr>
            </w:pPr>
          </w:p>
        </w:tc>
        <w:tc>
          <w:tcPr>
            <w:tcW w:w="217" w:type="dxa"/>
          </w:tcPr>
          <w:p w14:paraId="600389AA" w14:textId="77777777" w:rsidR="002C0FD9" w:rsidRPr="00CA25CF" w:rsidRDefault="002C0FD9" w:rsidP="00CA25CF">
            <w:pPr>
              <w:rPr>
                <w:rFonts w:cs="Arial"/>
                <w:color w:val="FF0000"/>
                <w:sz w:val="21"/>
                <w:szCs w:val="21"/>
              </w:rPr>
            </w:pPr>
          </w:p>
        </w:tc>
        <w:tc>
          <w:tcPr>
            <w:tcW w:w="217" w:type="dxa"/>
          </w:tcPr>
          <w:p w14:paraId="02C5299C" w14:textId="77777777" w:rsidR="002C0FD9" w:rsidRPr="00CA25CF" w:rsidRDefault="002C0FD9" w:rsidP="00CA25CF">
            <w:pPr>
              <w:rPr>
                <w:rFonts w:cs="Arial"/>
                <w:color w:val="FF0000"/>
                <w:sz w:val="21"/>
                <w:szCs w:val="21"/>
              </w:rPr>
            </w:pPr>
          </w:p>
        </w:tc>
        <w:tc>
          <w:tcPr>
            <w:tcW w:w="217" w:type="dxa"/>
          </w:tcPr>
          <w:p w14:paraId="60D9F9E5" w14:textId="77777777" w:rsidR="002C0FD9" w:rsidRPr="00CA25CF" w:rsidRDefault="002C0FD9" w:rsidP="00CA25CF">
            <w:pPr>
              <w:rPr>
                <w:rFonts w:cs="Arial"/>
                <w:color w:val="FF0000"/>
                <w:sz w:val="21"/>
                <w:szCs w:val="21"/>
              </w:rPr>
            </w:pPr>
          </w:p>
        </w:tc>
        <w:tc>
          <w:tcPr>
            <w:tcW w:w="217" w:type="dxa"/>
          </w:tcPr>
          <w:p w14:paraId="2554B730" w14:textId="77777777" w:rsidR="002C0FD9" w:rsidRPr="00CA25CF" w:rsidRDefault="002C0FD9" w:rsidP="00CA25CF">
            <w:pPr>
              <w:rPr>
                <w:rFonts w:cs="Arial"/>
                <w:color w:val="FF0000"/>
                <w:sz w:val="21"/>
                <w:szCs w:val="21"/>
              </w:rPr>
            </w:pPr>
          </w:p>
        </w:tc>
        <w:tc>
          <w:tcPr>
            <w:tcW w:w="217" w:type="dxa"/>
          </w:tcPr>
          <w:p w14:paraId="3E04739F" w14:textId="77777777" w:rsidR="002C0FD9" w:rsidRPr="00CA25CF" w:rsidRDefault="002C0FD9" w:rsidP="00CA25CF">
            <w:pPr>
              <w:rPr>
                <w:rFonts w:cs="Arial"/>
                <w:color w:val="FF0000"/>
                <w:sz w:val="21"/>
                <w:szCs w:val="21"/>
              </w:rPr>
            </w:pPr>
          </w:p>
        </w:tc>
        <w:tc>
          <w:tcPr>
            <w:tcW w:w="217" w:type="dxa"/>
          </w:tcPr>
          <w:p w14:paraId="4BD463AB" w14:textId="77777777" w:rsidR="002C0FD9" w:rsidRPr="00CA25CF" w:rsidRDefault="002C0FD9" w:rsidP="00CA25CF">
            <w:pPr>
              <w:rPr>
                <w:rFonts w:cs="Arial"/>
                <w:color w:val="FF0000"/>
                <w:sz w:val="21"/>
                <w:szCs w:val="21"/>
              </w:rPr>
            </w:pPr>
          </w:p>
        </w:tc>
        <w:tc>
          <w:tcPr>
            <w:tcW w:w="217" w:type="dxa"/>
          </w:tcPr>
          <w:p w14:paraId="2E0066D9" w14:textId="77777777" w:rsidR="002C0FD9" w:rsidRPr="00CA25CF" w:rsidRDefault="002C0FD9" w:rsidP="00CA25CF">
            <w:pPr>
              <w:rPr>
                <w:rFonts w:cs="Arial"/>
                <w:color w:val="FF0000"/>
                <w:sz w:val="21"/>
                <w:szCs w:val="21"/>
              </w:rPr>
            </w:pPr>
          </w:p>
        </w:tc>
        <w:tc>
          <w:tcPr>
            <w:tcW w:w="217" w:type="dxa"/>
          </w:tcPr>
          <w:p w14:paraId="6076507F" w14:textId="77777777" w:rsidR="002C0FD9" w:rsidRPr="00CA25CF" w:rsidRDefault="002C0FD9" w:rsidP="00CA25CF">
            <w:pPr>
              <w:rPr>
                <w:rFonts w:cs="Arial"/>
                <w:color w:val="FF0000"/>
                <w:sz w:val="21"/>
                <w:szCs w:val="21"/>
              </w:rPr>
            </w:pPr>
          </w:p>
        </w:tc>
        <w:tc>
          <w:tcPr>
            <w:tcW w:w="217" w:type="dxa"/>
          </w:tcPr>
          <w:p w14:paraId="35FB04C9" w14:textId="77777777" w:rsidR="002C0FD9" w:rsidRPr="00CA25CF" w:rsidRDefault="002C0FD9" w:rsidP="00CA25CF">
            <w:pPr>
              <w:rPr>
                <w:rFonts w:cs="Arial"/>
                <w:color w:val="FF0000"/>
                <w:sz w:val="21"/>
                <w:szCs w:val="21"/>
              </w:rPr>
            </w:pPr>
          </w:p>
        </w:tc>
        <w:tc>
          <w:tcPr>
            <w:tcW w:w="217" w:type="dxa"/>
          </w:tcPr>
          <w:p w14:paraId="79F35507" w14:textId="77777777" w:rsidR="002C0FD9" w:rsidRPr="00CA25CF" w:rsidRDefault="002C0FD9" w:rsidP="00CA25CF">
            <w:pPr>
              <w:rPr>
                <w:rFonts w:cs="Arial"/>
                <w:color w:val="FF0000"/>
                <w:sz w:val="21"/>
                <w:szCs w:val="21"/>
              </w:rPr>
            </w:pPr>
          </w:p>
        </w:tc>
        <w:tc>
          <w:tcPr>
            <w:tcW w:w="217" w:type="dxa"/>
          </w:tcPr>
          <w:p w14:paraId="0711EEB9" w14:textId="77777777" w:rsidR="002C0FD9" w:rsidRPr="00CA25CF" w:rsidRDefault="002C0FD9" w:rsidP="00CA25CF">
            <w:pPr>
              <w:rPr>
                <w:rFonts w:cs="Arial"/>
                <w:color w:val="FF0000"/>
                <w:sz w:val="21"/>
                <w:szCs w:val="21"/>
              </w:rPr>
            </w:pPr>
          </w:p>
        </w:tc>
        <w:tc>
          <w:tcPr>
            <w:tcW w:w="217" w:type="dxa"/>
          </w:tcPr>
          <w:p w14:paraId="55FFE860" w14:textId="77777777" w:rsidR="002C0FD9" w:rsidRPr="00CA25CF" w:rsidRDefault="002C0FD9" w:rsidP="00CA25CF">
            <w:pPr>
              <w:rPr>
                <w:rFonts w:cs="Arial"/>
                <w:color w:val="FF0000"/>
                <w:sz w:val="21"/>
                <w:szCs w:val="21"/>
              </w:rPr>
            </w:pPr>
          </w:p>
        </w:tc>
        <w:tc>
          <w:tcPr>
            <w:tcW w:w="217" w:type="dxa"/>
          </w:tcPr>
          <w:p w14:paraId="55829B6B" w14:textId="77777777" w:rsidR="002C0FD9" w:rsidRPr="00CA25CF" w:rsidRDefault="002C0FD9" w:rsidP="00CA25CF">
            <w:pPr>
              <w:rPr>
                <w:rFonts w:cs="Arial"/>
                <w:color w:val="FF0000"/>
                <w:sz w:val="21"/>
                <w:szCs w:val="21"/>
              </w:rPr>
            </w:pPr>
          </w:p>
        </w:tc>
        <w:tc>
          <w:tcPr>
            <w:tcW w:w="217" w:type="dxa"/>
          </w:tcPr>
          <w:p w14:paraId="0E912AF8" w14:textId="77777777" w:rsidR="002C0FD9" w:rsidRPr="00CA25CF" w:rsidRDefault="002C0FD9" w:rsidP="00CA25CF">
            <w:pPr>
              <w:rPr>
                <w:rFonts w:cs="Arial"/>
                <w:color w:val="FF0000"/>
                <w:sz w:val="21"/>
                <w:szCs w:val="21"/>
              </w:rPr>
            </w:pPr>
          </w:p>
        </w:tc>
        <w:tc>
          <w:tcPr>
            <w:tcW w:w="217" w:type="dxa"/>
          </w:tcPr>
          <w:p w14:paraId="722A306D" w14:textId="77777777" w:rsidR="002C0FD9" w:rsidRPr="00CA25CF" w:rsidRDefault="002C0FD9" w:rsidP="00CA25CF">
            <w:pPr>
              <w:rPr>
                <w:rFonts w:cs="Arial"/>
                <w:color w:val="FF0000"/>
                <w:sz w:val="21"/>
                <w:szCs w:val="21"/>
              </w:rPr>
            </w:pPr>
          </w:p>
        </w:tc>
        <w:tc>
          <w:tcPr>
            <w:tcW w:w="217" w:type="dxa"/>
          </w:tcPr>
          <w:p w14:paraId="5790B89D" w14:textId="77777777" w:rsidR="002C0FD9" w:rsidRPr="00CA25CF" w:rsidRDefault="002C0FD9" w:rsidP="00CA25CF">
            <w:pPr>
              <w:rPr>
                <w:rFonts w:cs="Arial"/>
                <w:color w:val="FF0000"/>
                <w:sz w:val="21"/>
                <w:szCs w:val="21"/>
              </w:rPr>
            </w:pPr>
          </w:p>
        </w:tc>
        <w:tc>
          <w:tcPr>
            <w:tcW w:w="217" w:type="dxa"/>
          </w:tcPr>
          <w:p w14:paraId="660731FB" w14:textId="77777777" w:rsidR="002C0FD9" w:rsidRPr="00CA25CF" w:rsidRDefault="002C0FD9" w:rsidP="00CA25CF">
            <w:pPr>
              <w:rPr>
                <w:rFonts w:cs="Arial"/>
                <w:color w:val="FF0000"/>
                <w:sz w:val="21"/>
                <w:szCs w:val="21"/>
              </w:rPr>
            </w:pPr>
          </w:p>
        </w:tc>
        <w:tc>
          <w:tcPr>
            <w:tcW w:w="217" w:type="dxa"/>
          </w:tcPr>
          <w:p w14:paraId="3D1546F2" w14:textId="77777777" w:rsidR="002C0FD9" w:rsidRPr="00CA25CF" w:rsidRDefault="002C0FD9" w:rsidP="00CA25CF">
            <w:pPr>
              <w:rPr>
                <w:rFonts w:cs="Arial"/>
                <w:color w:val="FF0000"/>
                <w:sz w:val="21"/>
                <w:szCs w:val="21"/>
              </w:rPr>
            </w:pPr>
          </w:p>
        </w:tc>
        <w:tc>
          <w:tcPr>
            <w:tcW w:w="217" w:type="dxa"/>
          </w:tcPr>
          <w:p w14:paraId="744F86CE" w14:textId="77777777" w:rsidR="002C0FD9" w:rsidRPr="00CA25CF" w:rsidRDefault="002C0FD9" w:rsidP="00CA25CF">
            <w:pPr>
              <w:rPr>
                <w:rFonts w:cs="Arial"/>
                <w:color w:val="FF0000"/>
                <w:sz w:val="21"/>
                <w:szCs w:val="21"/>
              </w:rPr>
            </w:pPr>
          </w:p>
        </w:tc>
        <w:tc>
          <w:tcPr>
            <w:tcW w:w="217" w:type="dxa"/>
          </w:tcPr>
          <w:p w14:paraId="29F38553" w14:textId="77777777" w:rsidR="002C0FD9" w:rsidRPr="00CA25CF" w:rsidRDefault="002C0FD9" w:rsidP="00CA25CF">
            <w:pPr>
              <w:rPr>
                <w:rFonts w:cs="Arial"/>
                <w:color w:val="FF0000"/>
                <w:sz w:val="21"/>
                <w:szCs w:val="21"/>
              </w:rPr>
            </w:pPr>
          </w:p>
        </w:tc>
        <w:tc>
          <w:tcPr>
            <w:tcW w:w="217" w:type="dxa"/>
          </w:tcPr>
          <w:p w14:paraId="7E4E779F" w14:textId="77777777" w:rsidR="002C0FD9" w:rsidRPr="00CA25CF" w:rsidRDefault="002C0FD9" w:rsidP="00CA25CF">
            <w:pPr>
              <w:rPr>
                <w:rFonts w:cs="Arial"/>
                <w:color w:val="FF0000"/>
                <w:sz w:val="21"/>
                <w:szCs w:val="21"/>
              </w:rPr>
            </w:pPr>
          </w:p>
        </w:tc>
        <w:tc>
          <w:tcPr>
            <w:tcW w:w="217" w:type="dxa"/>
          </w:tcPr>
          <w:p w14:paraId="235010FD" w14:textId="77777777" w:rsidR="002C0FD9" w:rsidRPr="00CA25CF" w:rsidRDefault="002C0FD9" w:rsidP="00CA25CF">
            <w:pPr>
              <w:rPr>
                <w:rFonts w:cs="Arial"/>
                <w:color w:val="FF0000"/>
                <w:sz w:val="21"/>
                <w:szCs w:val="21"/>
              </w:rPr>
            </w:pPr>
          </w:p>
        </w:tc>
        <w:tc>
          <w:tcPr>
            <w:tcW w:w="217" w:type="dxa"/>
          </w:tcPr>
          <w:p w14:paraId="51A887E9" w14:textId="77777777" w:rsidR="002C0FD9" w:rsidRPr="00CA25CF" w:rsidRDefault="002C0FD9" w:rsidP="00CA25CF">
            <w:pPr>
              <w:rPr>
                <w:rFonts w:cs="Arial"/>
                <w:color w:val="FF0000"/>
                <w:sz w:val="21"/>
                <w:szCs w:val="21"/>
              </w:rPr>
            </w:pPr>
          </w:p>
        </w:tc>
        <w:tc>
          <w:tcPr>
            <w:tcW w:w="217" w:type="dxa"/>
          </w:tcPr>
          <w:p w14:paraId="4972D2DB" w14:textId="77777777" w:rsidR="002C0FD9" w:rsidRPr="00CA25CF" w:rsidRDefault="002C0FD9" w:rsidP="00CA25CF">
            <w:pPr>
              <w:rPr>
                <w:rFonts w:cs="Arial"/>
                <w:color w:val="FF0000"/>
                <w:sz w:val="21"/>
                <w:szCs w:val="21"/>
              </w:rPr>
            </w:pPr>
          </w:p>
        </w:tc>
        <w:tc>
          <w:tcPr>
            <w:tcW w:w="217" w:type="dxa"/>
          </w:tcPr>
          <w:p w14:paraId="550FF3E6" w14:textId="77777777" w:rsidR="002C0FD9" w:rsidRPr="00CA25CF" w:rsidRDefault="002C0FD9" w:rsidP="00CA25CF">
            <w:pPr>
              <w:rPr>
                <w:rFonts w:cs="Arial"/>
                <w:color w:val="FF0000"/>
                <w:sz w:val="21"/>
                <w:szCs w:val="21"/>
              </w:rPr>
            </w:pPr>
          </w:p>
        </w:tc>
        <w:tc>
          <w:tcPr>
            <w:tcW w:w="217" w:type="dxa"/>
          </w:tcPr>
          <w:p w14:paraId="600C9E50" w14:textId="77777777" w:rsidR="002C0FD9" w:rsidRPr="00CA25CF" w:rsidRDefault="002C0FD9" w:rsidP="00CA25CF">
            <w:pPr>
              <w:rPr>
                <w:rFonts w:cs="Arial"/>
                <w:color w:val="FF0000"/>
                <w:sz w:val="21"/>
                <w:szCs w:val="21"/>
              </w:rPr>
            </w:pPr>
          </w:p>
        </w:tc>
        <w:tc>
          <w:tcPr>
            <w:tcW w:w="217" w:type="dxa"/>
          </w:tcPr>
          <w:p w14:paraId="5F224225" w14:textId="77777777" w:rsidR="002C0FD9" w:rsidRPr="00CA25CF" w:rsidRDefault="002C0FD9" w:rsidP="00CA25CF">
            <w:pPr>
              <w:rPr>
                <w:rFonts w:cs="Arial"/>
                <w:color w:val="FF0000"/>
                <w:sz w:val="21"/>
                <w:szCs w:val="21"/>
              </w:rPr>
            </w:pPr>
          </w:p>
        </w:tc>
        <w:tc>
          <w:tcPr>
            <w:tcW w:w="217" w:type="dxa"/>
          </w:tcPr>
          <w:p w14:paraId="4050728A" w14:textId="77777777" w:rsidR="002C0FD9" w:rsidRPr="00CA25CF" w:rsidRDefault="002C0FD9" w:rsidP="00CA25CF">
            <w:pPr>
              <w:rPr>
                <w:rFonts w:cs="Arial"/>
                <w:color w:val="FF0000"/>
                <w:sz w:val="21"/>
                <w:szCs w:val="21"/>
              </w:rPr>
            </w:pPr>
          </w:p>
        </w:tc>
      </w:tr>
      <w:tr w:rsidR="002C0FD9" w:rsidRPr="00A16219" w14:paraId="03BD1562" w14:textId="77777777" w:rsidTr="002C0FD9">
        <w:trPr>
          <w:trHeight w:val="635"/>
        </w:trPr>
        <w:tc>
          <w:tcPr>
            <w:tcW w:w="515" w:type="dxa"/>
          </w:tcPr>
          <w:p w14:paraId="5EAFD24E" w14:textId="77777777" w:rsidR="002C0FD9" w:rsidRPr="00CA25CF" w:rsidRDefault="002C0FD9" w:rsidP="00CA25CF">
            <w:pPr>
              <w:rPr>
                <w:rFonts w:cs="Arial"/>
                <w:color w:val="FF0000"/>
                <w:sz w:val="21"/>
                <w:szCs w:val="21"/>
              </w:rPr>
            </w:pPr>
          </w:p>
        </w:tc>
        <w:tc>
          <w:tcPr>
            <w:tcW w:w="217" w:type="dxa"/>
          </w:tcPr>
          <w:p w14:paraId="1A23DC1F" w14:textId="77777777" w:rsidR="002C0FD9" w:rsidRPr="00CA25CF" w:rsidRDefault="002C0FD9" w:rsidP="00CA25CF">
            <w:pPr>
              <w:rPr>
                <w:rFonts w:cs="Arial"/>
                <w:color w:val="FF0000"/>
                <w:sz w:val="21"/>
                <w:szCs w:val="21"/>
              </w:rPr>
            </w:pPr>
          </w:p>
        </w:tc>
        <w:tc>
          <w:tcPr>
            <w:tcW w:w="217" w:type="dxa"/>
          </w:tcPr>
          <w:p w14:paraId="6CC0464F" w14:textId="77777777" w:rsidR="002C0FD9" w:rsidRPr="00CA25CF" w:rsidRDefault="002C0FD9" w:rsidP="00CA25CF">
            <w:pPr>
              <w:rPr>
                <w:rFonts w:cs="Arial"/>
                <w:color w:val="FF0000"/>
                <w:sz w:val="21"/>
                <w:szCs w:val="21"/>
              </w:rPr>
            </w:pPr>
          </w:p>
        </w:tc>
        <w:tc>
          <w:tcPr>
            <w:tcW w:w="217" w:type="dxa"/>
          </w:tcPr>
          <w:p w14:paraId="2756359E" w14:textId="77777777" w:rsidR="002C0FD9" w:rsidRPr="00CA25CF" w:rsidRDefault="002C0FD9" w:rsidP="00CA25CF">
            <w:pPr>
              <w:rPr>
                <w:rFonts w:cs="Arial"/>
                <w:color w:val="FF0000"/>
                <w:sz w:val="21"/>
                <w:szCs w:val="21"/>
              </w:rPr>
            </w:pPr>
          </w:p>
        </w:tc>
        <w:tc>
          <w:tcPr>
            <w:tcW w:w="217" w:type="dxa"/>
          </w:tcPr>
          <w:p w14:paraId="3153BE0C" w14:textId="77777777" w:rsidR="002C0FD9" w:rsidRPr="00CA25CF" w:rsidRDefault="002C0FD9" w:rsidP="00CA25CF">
            <w:pPr>
              <w:rPr>
                <w:rFonts w:cs="Arial"/>
                <w:color w:val="FF0000"/>
                <w:sz w:val="21"/>
                <w:szCs w:val="21"/>
              </w:rPr>
            </w:pPr>
          </w:p>
        </w:tc>
        <w:tc>
          <w:tcPr>
            <w:tcW w:w="217" w:type="dxa"/>
          </w:tcPr>
          <w:p w14:paraId="74AEAF6B" w14:textId="77777777" w:rsidR="002C0FD9" w:rsidRPr="00CA25CF" w:rsidRDefault="002C0FD9" w:rsidP="00CA25CF">
            <w:pPr>
              <w:rPr>
                <w:rFonts w:cs="Arial"/>
                <w:color w:val="FF0000"/>
                <w:sz w:val="21"/>
                <w:szCs w:val="21"/>
              </w:rPr>
            </w:pPr>
          </w:p>
        </w:tc>
        <w:tc>
          <w:tcPr>
            <w:tcW w:w="217" w:type="dxa"/>
          </w:tcPr>
          <w:p w14:paraId="6C8C8CA3" w14:textId="77777777" w:rsidR="002C0FD9" w:rsidRPr="00CA25CF" w:rsidRDefault="002C0FD9" w:rsidP="00CA25CF">
            <w:pPr>
              <w:rPr>
                <w:rFonts w:cs="Arial"/>
                <w:color w:val="FF0000"/>
                <w:sz w:val="21"/>
                <w:szCs w:val="21"/>
              </w:rPr>
            </w:pPr>
          </w:p>
        </w:tc>
        <w:tc>
          <w:tcPr>
            <w:tcW w:w="217" w:type="dxa"/>
          </w:tcPr>
          <w:p w14:paraId="66FC314A" w14:textId="77777777" w:rsidR="002C0FD9" w:rsidRPr="00CA25CF" w:rsidRDefault="002C0FD9" w:rsidP="00CA25CF">
            <w:pPr>
              <w:rPr>
                <w:rFonts w:cs="Arial"/>
                <w:color w:val="FF0000"/>
                <w:sz w:val="21"/>
                <w:szCs w:val="21"/>
              </w:rPr>
            </w:pPr>
          </w:p>
        </w:tc>
        <w:tc>
          <w:tcPr>
            <w:tcW w:w="217" w:type="dxa"/>
          </w:tcPr>
          <w:p w14:paraId="73FBC942" w14:textId="77777777" w:rsidR="002C0FD9" w:rsidRPr="00CA25CF" w:rsidRDefault="002C0FD9" w:rsidP="00CA25CF">
            <w:pPr>
              <w:rPr>
                <w:rFonts w:cs="Arial"/>
                <w:color w:val="FF0000"/>
                <w:sz w:val="21"/>
                <w:szCs w:val="21"/>
              </w:rPr>
            </w:pPr>
          </w:p>
        </w:tc>
        <w:tc>
          <w:tcPr>
            <w:tcW w:w="217" w:type="dxa"/>
          </w:tcPr>
          <w:p w14:paraId="1D64DFF7" w14:textId="77777777" w:rsidR="002C0FD9" w:rsidRPr="00CA25CF" w:rsidRDefault="002C0FD9" w:rsidP="00CA25CF">
            <w:pPr>
              <w:rPr>
                <w:rFonts w:cs="Arial"/>
                <w:color w:val="FF0000"/>
                <w:sz w:val="21"/>
                <w:szCs w:val="21"/>
              </w:rPr>
            </w:pPr>
          </w:p>
        </w:tc>
        <w:tc>
          <w:tcPr>
            <w:tcW w:w="217" w:type="dxa"/>
          </w:tcPr>
          <w:p w14:paraId="41F0CB4A" w14:textId="77777777" w:rsidR="002C0FD9" w:rsidRPr="00CA25CF" w:rsidRDefault="002C0FD9" w:rsidP="00CA25CF">
            <w:pPr>
              <w:rPr>
                <w:rFonts w:cs="Arial"/>
                <w:color w:val="FF0000"/>
                <w:sz w:val="21"/>
                <w:szCs w:val="21"/>
              </w:rPr>
            </w:pPr>
          </w:p>
        </w:tc>
        <w:tc>
          <w:tcPr>
            <w:tcW w:w="217" w:type="dxa"/>
          </w:tcPr>
          <w:p w14:paraId="4DB3B770" w14:textId="77777777" w:rsidR="002C0FD9" w:rsidRPr="00CA25CF" w:rsidRDefault="002C0FD9" w:rsidP="00CA25CF">
            <w:pPr>
              <w:rPr>
                <w:rFonts w:cs="Arial"/>
                <w:color w:val="FF0000"/>
                <w:sz w:val="21"/>
                <w:szCs w:val="21"/>
              </w:rPr>
            </w:pPr>
          </w:p>
        </w:tc>
        <w:tc>
          <w:tcPr>
            <w:tcW w:w="217" w:type="dxa"/>
          </w:tcPr>
          <w:p w14:paraId="02913090" w14:textId="77777777" w:rsidR="002C0FD9" w:rsidRPr="00CA25CF" w:rsidRDefault="002C0FD9" w:rsidP="00CA25CF">
            <w:pPr>
              <w:rPr>
                <w:rFonts w:cs="Arial"/>
                <w:color w:val="FF0000"/>
                <w:sz w:val="21"/>
                <w:szCs w:val="21"/>
              </w:rPr>
            </w:pPr>
          </w:p>
        </w:tc>
        <w:tc>
          <w:tcPr>
            <w:tcW w:w="217" w:type="dxa"/>
          </w:tcPr>
          <w:p w14:paraId="1700B4DE" w14:textId="77777777" w:rsidR="002C0FD9" w:rsidRPr="00CA25CF" w:rsidRDefault="002C0FD9" w:rsidP="00CA25CF">
            <w:pPr>
              <w:rPr>
                <w:rFonts w:cs="Arial"/>
                <w:color w:val="FF0000"/>
                <w:sz w:val="21"/>
                <w:szCs w:val="21"/>
              </w:rPr>
            </w:pPr>
          </w:p>
        </w:tc>
        <w:tc>
          <w:tcPr>
            <w:tcW w:w="217" w:type="dxa"/>
          </w:tcPr>
          <w:p w14:paraId="1127771B" w14:textId="77777777" w:rsidR="002C0FD9" w:rsidRPr="00CA25CF" w:rsidRDefault="002C0FD9" w:rsidP="00CA25CF">
            <w:pPr>
              <w:rPr>
                <w:rFonts w:cs="Arial"/>
                <w:color w:val="FF0000"/>
                <w:sz w:val="21"/>
                <w:szCs w:val="21"/>
              </w:rPr>
            </w:pPr>
          </w:p>
        </w:tc>
        <w:tc>
          <w:tcPr>
            <w:tcW w:w="217" w:type="dxa"/>
          </w:tcPr>
          <w:p w14:paraId="3210F1BE" w14:textId="77777777" w:rsidR="002C0FD9" w:rsidRPr="00CA25CF" w:rsidRDefault="002C0FD9" w:rsidP="00CA25CF">
            <w:pPr>
              <w:rPr>
                <w:rFonts w:cs="Arial"/>
                <w:color w:val="FF0000"/>
                <w:sz w:val="21"/>
                <w:szCs w:val="21"/>
              </w:rPr>
            </w:pPr>
          </w:p>
        </w:tc>
        <w:tc>
          <w:tcPr>
            <w:tcW w:w="217" w:type="dxa"/>
          </w:tcPr>
          <w:p w14:paraId="4F16E2EF" w14:textId="77777777" w:rsidR="002C0FD9" w:rsidRPr="00CA25CF" w:rsidRDefault="002C0FD9" w:rsidP="00CA25CF">
            <w:pPr>
              <w:rPr>
                <w:rFonts w:cs="Arial"/>
                <w:color w:val="FF0000"/>
                <w:sz w:val="21"/>
                <w:szCs w:val="21"/>
              </w:rPr>
            </w:pPr>
          </w:p>
        </w:tc>
        <w:tc>
          <w:tcPr>
            <w:tcW w:w="217" w:type="dxa"/>
          </w:tcPr>
          <w:p w14:paraId="3C0CCDA8" w14:textId="77777777" w:rsidR="002C0FD9" w:rsidRPr="00CA25CF" w:rsidRDefault="002C0FD9" w:rsidP="00CA25CF">
            <w:pPr>
              <w:rPr>
                <w:rFonts w:cs="Arial"/>
                <w:color w:val="FF0000"/>
                <w:sz w:val="21"/>
                <w:szCs w:val="21"/>
              </w:rPr>
            </w:pPr>
          </w:p>
        </w:tc>
        <w:tc>
          <w:tcPr>
            <w:tcW w:w="217" w:type="dxa"/>
          </w:tcPr>
          <w:p w14:paraId="523A6FE9" w14:textId="77777777" w:rsidR="002C0FD9" w:rsidRPr="00CA25CF" w:rsidRDefault="002C0FD9" w:rsidP="00CA25CF">
            <w:pPr>
              <w:rPr>
                <w:rFonts w:cs="Arial"/>
                <w:color w:val="FF0000"/>
                <w:sz w:val="21"/>
                <w:szCs w:val="21"/>
              </w:rPr>
            </w:pPr>
          </w:p>
        </w:tc>
        <w:tc>
          <w:tcPr>
            <w:tcW w:w="217" w:type="dxa"/>
          </w:tcPr>
          <w:p w14:paraId="26E41B3B" w14:textId="77777777" w:rsidR="002C0FD9" w:rsidRPr="00CA25CF" w:rsidRDefault="002C0FD9" w:rsidP="00CA25CF">
            <w:pPr>
              <w:rPr>
                <w:rFonts w:cs="Arial"/>
                <w:color w:val="FF0000"/>
                <w:sz w:val="21"/>
                <w:szCs w:val="21"/>
              </w:rPr>
            </w:pPr>
          </w:p>
        </w:tc>
        <w:tc>
          <w:tcPr>
            <w:tcW w:w="217" w:type="dxa"/>
          </w:tcPr>
          <w:p w14:paraId="17F57B41" w14:textId="77777777" w:rsidR="002C0FD9" w:rsidRPr="00CA25CF" w:rsidRDefault="002C0FD9" w:rsidP="00CA25CF">
            <w:pPr>
              <w:rPr>
                <w:rFonts w:cs="Arial"/>
                <w:color w:val="FF0000"/>
                <w:sz w:val="21"/>
                <w:szCs w:val="21"/>
              </w:rPr>
            </w:pPr>
          </w:p>
        </w:tc>
        <w:tc>
          <w:tcPr>
            <w:tcW w:w="217" w:type="dxa"/>
          </w:tcPr>
          <w:p w14:paraId="3F8637C4" w14:textId="77777777" w:rsidR="002C0FD9" w:rsidRPr="00CA25CF" w:rsidRDefault="002C0FD9" w:rsidP="00CA25CF">
            <w:pPr>
              <w:rPr>
                <w:rFonts w:cs="Arial"/>
                <w:color w:val="FF0000"/>
                <w:sz w:val="21"/>
                <w:szCs w:val="21"/>
              </w:rPr>
            </w:pPr>
          </w:p>
        </w:tc>
        <w:tc>
          <w:tcPr>
            <w:tcW w:w="217" w:type="dxa"/>
          </w:tcPr>
          <w:p w14:paraId="1B163B2A" w14:textId="77777777" w:rsidR="002C0FD9" w:rsidRPr="00CA25CF" w:rsidRDefault="002C0FD9" w:rsidP="00CA25CF">
            <w:pPr>
              <w:rPr>
                <w:rFonts w:cs="Arial"/>
                <w:color w:val="FF0000"/>
                <w:sz w:val="21"/>
                <w:szCs w:val="21"/>
              </w:rPr>
            </w:pPr>
          </w:p>
        </w:tc>
        <w:tc>
          <w:tcPr>
            <w:tcW w:w="217" w:type="dxa"/>
          </w:tcPr>
          <w:p w14:paraId="3EE86F62" w14:textId="77777777" w:rsidR="002C0FD9" w:rsidRPr="00CA25CF" w:rsidRDefault="002C0FD9" w:rsidP="00CA25CF">
            <w:pPr>
              <w:rPr>
                <w:rFonts w:cs="Arial"/>
                <w:color w:val="FF0000"/>
                <w:sz w:val="21"/>
                <w:szCs w:val="21"/>
              </w:rPr>
            </w:pPr>
          </w:p>
        </w:tc>
        <w:tc>
          <w:tcPr>
            <w:tcW w:w="217" w:type="dxa"/>
          </w:tcPr>
          <w:p w14:paraId="7605D41F" w14:textId="77777777" w:rsidR="002C0FD9" w:rsidRPr="00CA25CF" w:rsidRDefault="002C0FD9" w:rsidP="00CA25CF">
            <w:pPr>
              <w:rPr>
                <w:rFonts w:cs="Arial"/>
                <w:color w:val="FF0000"/>
                <w:sz w:val="21"/>
                <w:szCs w:val="21"/>
              </w:rPr>
            </w:pPr>
          </w:p>
        </w:tc>
        <w:tc>
          <w:tcPr>
            <w:tcW w:w="217" w:type="dxa"/>
          </w:tcPr>
          <w:p w14:paraId="58A79B14" w14:textId="77777777" w:rsidR="002C0FD9" w:rsidRPr="00CA25CF" w:rsidRDefault="002C0FD9" w:rsidP="00CA25CF">
            <w:pPr>
              <w:rPr>
                <w:rFonts w:cs="Arial"/>
                <w:color w:val="FF0000"/>
                <w:sz w:val="21"/>
                <w:szCs w:val="21"/>
              </w:rPr>
            </w:pPr>
          </w:p>
        </w:tc>
        <w:tc>
          <w:tcPr>
            <w:tcW w:w="217" w:type="dxa"/>
          </w:tcPr>
          <w:p w14:paraId="30F524CF" w14:textId="77777777" w:rsidR="002C0FD9" w:rsidRPr="00CA25CF" w:rsidRDefault="002C0FD9" w:rsidP="00CA25CF">
            <w:pPr>
              <w:rPr>
                <w:rFonts w:cs="Arial"/>
                <w:color w:val="FF0000"/>
                <w:sz w:val="21"/>
                <w:szCs w:val="21"/>
              </w:rPr>
            </w:pPr>
          </w:p>
        </w:tc>
        <w:tc>
          <w:tcPr>
            <w:tcW w:w="217" w:type="dxa"/>
          </w:tcPr>
          <w:p w14:paraId="4791EB2C" w14:textId="77777777" w:rsidR="002C0FD9" w:rsidRPr="00CA25CF" w:rsidRDefault="002C0FD9" w:rsidP="00CA25CF">
            <w:pPr>
              <w:rPr>
                <w:rFonts w:cs="Arial"/>
                <w:color w:val="FF0000"/>
                <w:sz w:val="21"/>
                <w:szCs w:val="21"/>
              </w:rPr>
            </w:pPr>
          </w:p>
        </w:tc>
        <w:tc>
          <w:tcPr>
            <w:tcW w:w="217" w:type="dxa"/>
          </w:tcPr>
          <w:p w14:paraId="43F7C5E2" w14:textId="77777777" w:rsidR="002C0FD9" w:rsidRPr="00CA25CF" w:rsidRDefault="002C0FD9" w:rsidP="00CA25CF">
            <w:pPr>
              <w:rPr>
                <w:rFonts w:cs="Arial"/>
                <w:color w:val="FF0000"/>
                <w:sz w:val="21"/>
                <w:szCs w:val="21"/>
              </w:rPr>
            </w:pPr>
          </w:p>
        </w:tc>
        <w:tc>
          <w:tcPr>
            <w:tcW w:w="217" w:type="dxa"/>
          </w:tcPr>
          <w:p w14:paraId="136F5335" w14:textId="77777777" w:rsidR="002C0FD9" w:rsidRPr="00CA25CF" w:rsidRDefault="002C0FD9" w:rsidP="00CA25CF">
            <w:pPr>
              <w:rPr>
                <w:rFonts w:cs="Arial"/>
                <w:color w:val="FF0000"/>
                <w:sz w:val="21"/>
                <w:szCs w:val="21"/>
              </w:rPr>
            </w:pPr>
          </w:p>
        </w:tc>
        <w:tc>
          <w:tcPr>
            <w:tcW w:w="217" w:type="dxa"/>
          </w:tcPr>
          <w:p w14:paraId="30D7E582" w14:textId="77777777" w:rsidR="002C0FD9" w:rsidRPr="00CA25CF" w:rsidRDefault="002C0FD9" w:rsidP="00CA25CF">
            <w:pPr>
              <w:rPr>
                <w:rFonts w:cs="Arial"/>
                <w:color w:val="FF0000"/>
                <w:sz w:val="21"/>
                <w:szCs w:val="21"/>
              </w:rPr>
            </w:pPr>
          </w:p>
        </w:tc>
        <w:tc>
          <w:tcPr>
            <w:tcW w:w="217" w:type="dxa"/>
          </w:tcPr>
          <w:p w14:paraId="658C6A1E" w14:textId="77777777" w:rsidR="002C0FD9" w:rsidRPr="00CA25CF" w:rsidRDefault="002C0FD9" w:rsidP="00CA25CF">
            <w:pPr>
              <w:rPr>
                <w:rFonts w:cs="Arial"/>
                <w:color w:val="FF0000"/>
                <w:sz w:val="21"/>
                <w:szCs w:val="21"/>
              </w:rPr>
            </w:pPr>
          </w:p>
        </w:tc>
        <w:tc>
          <w:tcPr>
            <w:tcW w:w="217" w:type="dxa"/>
          </w:tcPr>
          <w:p w14:paraId="56CFDC16" w14:textId="77777777" w:rsidR="002C0FD9" w:rsidRPr="00CA25CF" w:rsidRDefault="002C0FD9" w:rsidP="00CA25CF">
            <w:pPr>
              <w:rPr>
                <w:rFonts w:cs="Arial"/>
                <w:color w:val="FF0000"/>
                <w:sz w:val="21"/>
                <w:szCs w:val="21"/>
              </w:rPr>
            </w:pPr>
          </w:p>
        </w:tc>
        <w:tc>
          <w:tcPr>
            <w:tcW w:w="217" w:type="dxa"/>
          </w:tcPr>
          <w:p w14:paraId="7F3B1400" w14:textId="77777777" w:rsidR="002C0FD9" w:rsidRPr="00CA25CF" w:rsidRDefault="002C0FD9" w:rsidP="00CA25CF">
            <w:pPr>
              <w:rPr>
                <w:rFonts w:cs="Arial"/>
                <w:color w:val="FF0000"/>
                <w:sz w:val="21"/>
                <w:szCs w:val="21"/>
              </w:rPr>
            </w:pPr>
          </w:p>
        </w:tc>
        <w:tc>
          <w:tcPr>
            <w:tcW w:w="217" w:type="dxa"/>
          </w:tcPr>
          <w:p w14:paraId="187B464E" w14:textId="77777777" w:rsidR="002C0FD9" w:rsidRPr="00CA25CF" w:rsidRDefault="002C0FD9" w:rsidP="00CA25CF">
            <w:pPr>
              <w:rPr>
                <w:rFonts w:cs="Arial"/>
                <w:color w:val="FF0000"/>
                <w:sz w:val="21"/>
                <w:szCs w:val="21"/>
              </w:rPr>
            </w:pPr>
          </w:p>
        </w:tc>
        <w:tc>
          <w:tcPr>
            <w:tcW w:w="217" w:type="dxa"/>
          </w:tcPr>
          <w:p w14:paraId="4C44CD04" w14:textId="77777777" w:rsidR="002C0FD9" w:rsidRPr="00CA25CF" w:rsidRDefault="002C0FD9" w:rsidP="00CA25CF">
            <w:pPr>
              <w:rPr>
                <w:rFonts w:cs="Arial"/>
                <w:color w:val="FF0000"/>
                <w:sz w:val="21"/>
                <w:szCs w:val="21"/>
              </w:rPr>
            </w:pPr>
          </w:p>
        </w:tc>
        <w:tc>
          <w:tcPr>
            <w:tcW w:w="217" w:type="dxa"/>
          </w:tcPr>
          <w:p w14:paraId="0679F284" w14:textId="77777777" w:rsidR="002C0FD9" w:rsidRPr="00CA25CF" w:rsidRDefault="002C0FD9" w:rsidP="00CA25CF">
            <w:pPr>
              <w:rPr>
                <w:rFonts w:cs="Arial"/>
                <w:color w:val="FF0000"/>
                <w:sz w:val="21"/>
                <w:szCs w:val="21"/>
              </w:rPr>
            </w:pPr>
          </w:p>
        </w:tc>
        <w:tc>
          <w:tcPr>
            <w:tcW w:w="217" w:type="dxa"/>
          </w:tcPr>
          <w:p w14:paraId="0F596030" w14:textId="77777777" w:rsidR="002C0FD9" w:rsidRPr="00CA25CF" w:rsidRDefault="002C0FD9" w:rsidP="00CA25CF">
            <w:pPr>
              <w:rPr>
                <w:rFonts w:cs="Arial"/>
                <w:color w:val="FF0000"/>
                <w:sz w:val="21"/>
                <w:szCs w:val="21"/>
              </w:rPr>
            </w:pPr>
          </w:p>
        </w:tc>
        <w:tc>
          <w:tcPr>
            <w:tcW w:w="217" w:type="dxa"/>
          </w:tcPr>
          <w:p w14:paraId="72CBC7AF" w14:textId="77777777" w:rsidR="002C0FD9" w:rsidRPr="00CA25CF" w:rsidRDefault="002C0FD9" w:rsidP="00CA25CF">
            <w:pPr>
              <w:rPr>
                <w:rFonts w:cs="Arial"/>
                <w:color w:val="FF0000"/>
                <w:sz w:val="21"/>
                <w:szCs w:val="21"/>
              </w:rPr>
            </w:pPr>
          </w:p>
        </w:tc>
        <w:tc>
          <w:tcPr>
            <w:tcW w:w="217" w:type="dxa"/>
          </w:tcPr>
          <w:p w14:paraId="0EB871E6" w14:textId="77777777" w:rsidR="002C0FD9" w:rsidRPr="00CA25CF" w:rsidRDefault="002C0FD9" w:rsidP="00CA25CF">
            <w:pPr>
              <w:rPr>
                <w:rFonts w:cs="Arial"/>
                <w:color w:val="FF0000"/>
                <w:sz w:val="21"/>
                <w:szCs w:val="21"/>
              </w:rPr>
            </w:pPr>
          </w:p>
        </w:tc>
        <w:tc>
          <w:tcPr>
            <w:tcW w:w="217" w:type="dxa"/>
          </w:tcPr>
          <w:p w14:paraId="54F638A1" w14:textId="77777777" w:rsidR="002C0FD9" w:rsidRPr="00CA25CF" w:rsidRDefault="002C0FD9" w:rsidP="00CA25CF">
            <w:pPr>
              <w:rPr>
                <w:rFonts w:cs="Arial"/>
                <w:color w:val="FF0000"/>
                <w:sz w:val="21"/>
                <w:szCs w:val="21"/>
              </w:rPr>
            </w:pPr>
          </w:p>
        </w:tc>
        <w:tc>
          <w:tcPr>
            <w:tcW w:w="217" w:type="dxa"/>
          </w:tcPr>
          <w:p w14:paraId="04E75B8C" w14:textId="77777777" w:rsidR="002C0FD9" w:rsidRPr="00CA25CF" w:rsidRDefault="002C0FD9" w:rsidP="00CA25CF">
            <w:pPr>
              <w:rPr>
                <w:rFonts w:cs="Arial"/>
                <w:color w:val="FF0000"/>
                <w:sz w:val="21"/>
                <w:szCs w:val="21"/>
              </w:rPr>
            </w:pPr>
          </w:p>
        </w:tc>
        <w:tc>
          <w:tcPr>
            <w:tcW w:w="217" w:type="dxa"/>
          </w:tcPr>
          <w:p w14:paraId="3AAFC248" w14:textId="77777777" w:rsidR="002C0FD9" w:rsidRPr="00CA25CF" w:rsidRDefault="002C0FD9" w:rsidP="00CA25CF">
            <w:pPr>
              <w:rPr>
                <w:rFonts w:cs="Arial"/>
                <w:color w:val="FF0000"/>
                <w:sz w:val="21"/>
                <w:szCs w:val="21"/>
              </w:rPr>
            </w:pPr>
          </w:p>
        </w:tc>
      </w:tr>
      <w:tr w:rsidR="002C0FD9" w:rsidRPr="00A16219" w14:paraId="24A5C59D" w14:textId="77777777" w:rsidTr="002C0FD9">
        <w:trPr>
          <w:trHeight w:val="635"/>
        </w:trPr>
        <w:tc>
          <w:tcPr>
            <w:tcW w:w="515" w:type="dxa"/>
          </w:tcPr>
          <w:p w14:paraId="07EA002F" w14:textId="77777777" w:rsidR="002C0FD9" w:rsidRPr="00CA25CF" w:rsidRDefault="002C0FD9" w:rsidP="00CA25CF">
            <w:pPr>
              <w:rPr>
                <w:rFonts w:cs="Arial"/>
                <w:color w:val="FF0000"/>
                <w:sz w:val="21"/>
                <w:szCs w:val="21"/>
              </w:rPr>
            </w:pPr>
          </w:p>
        </w:tc>
        <w:tc>
          <w:tcPr>
            <w:tcW w:w="217" w:type="dxa"/>
          </w:tcPr>
          <w:p w14:paraId="3715CBAA" w14:textId="77777777" w:rsidR="002C0FD9" w:rsidRPr="00CA25CF" w:rsidRDefault="002C0FD9" w:rsidP="00CA25CF">
            <w:pPr>
              <w:rPr>
                <w:rFonts w:cs="Arial"/>
                <w:color w:val="FF0000"/>
                <w:sz w:val="21"/>
                <w:szCs w:val="21"/>
              </w:rPr>
            </w:pPr>
          </w:p>
        </w:tc>
        <w:tc>
          <w:tcPr>
            <w:tcW w:w="217" w:type="dxa"/>
          </w:tcPr>
          <w:p w14:paraId="5A330243" w14:textId="77777777" w:rsidR="002C0FD9" w:rsidRPr="00CA25CF" w:rsidRDefault="002C0FD9" w:rsidP="00CA25CF">
            <w:pPr>
              <w:rPr>
                <w:rFonts w:cs="Arial"/>
                <w:color w:val="FF0000"/>
                <w:sz w:val="21"/>
                <w:szCs w:val="21"/>
              </w:rPr>
            </w:pPr>
          </w:p>
        </w:tc>
        <w:tc>
          <w:tcPr>
            <w:tcW w:w="217" w:type="dxa"/>
          </w:tcPr>
          <w:p w14:paraId="71EAA572" w14:textId="77777777" w:rsidR="002C0FD9" w:rsidRPr="00CA25CF" w:rsidRDefault="002C0FD9" w:rsidP="00CA25CF">
            <w:pPr>
              <w:rPr>
                <w:rFonts w:cs="Arial"/>
                <w:color w:val="FF0000"/>
                <w:sz w:val="21"/>
                <w:szCs w:val="21"/>
              </w:rPr>
            </w:pPr>
          </w:p>
        </w:tc>
        <w:tc>
          <w:tcPr>
            <w:tcW w:w="217" w:type="dxa"/>
          </w:tcPr>
          <w:p w14:paraId="51D9EFD6" w14:textId="77777777" w:rsidR="002C0FD9" w:rsidRPr="00CA25CF" w:rsidRDefault="002C0FD9" w:rsidP="00CA25CF">
            <w:pPr>
              <w:rPr>
                <w:rFonts w:cs="Arial"/>
                <w:color w:val="FF0000"/>
                <w:sz w:val="21"/>
                <w:szCs w:val="21"/>
              </w:rPr>
            </w:pPr>
          </w:p>
        </w:tc>
        <w:tc>
          <w:tcPr>
            <w:tcW w:w="217" w:type="dxa"/>
          </w:tcPr>
          <w:p w14:paraId="30D2D476" w14:textId="77777777" w:rsidR="002C0FD9" w:rsidRPr="00CA25CF" w:rsidRDefault="002C0FD9" w:rsidP="00CA25CF">
            <w:pPr>
              <w:rPr>
                <w:rFonts w:cs="Arial"/>
                <w:color w:val="FF0000"/>
                <w:sz w:val="21"/>
                <w:szCs w:val="21"/>
              </w:rPr>
            </w:pPr>
          </w:p>
        </w:tc>
        <w:tc>
          <w:tcPr>
            <w:tcW w:w="217" w:type="dxa"/>
          </w:tcPr>
          <w:p w14:paraId="232D860A" w14:textId="77777777" w:rsidR="002C0FD9" w:rsidRPr="00CA25CF" w:rsidRDefault="002C0FD9" w:rsidP="00CA25CF">
            <w:pPr>
              <w:rPr>
                <w:rFonts w:cs="Arial"/>
                <w:color w:val="FF0000"/>
                <w:sz w:val="21"/>
                <w:szCs w:val="21"/>
              </w:rPr>
            </w:pPr>
          </w:p>
        </w:tc>
        <w:tc>
          <w:tcPr>
            <w:tcW w:w="217" w:type="dxa"/>
          </w:tcPr>
          <w:p w14:paraId="247BF8F0" w14:textId="77777777" w:rsidR="002C0FD9" w:rsidRPr="00CA25CF" w:rsidRDefault="002C0FD9" w:rsidP="00CA25CF">
            <w:pPr>
              <w:rPr>
                <w:rFonts w:cs="Arial"/>
                <w:color w:val="FF0000"/>
                <w:sz w:val="21"/>
                <w:szCs w:val="21"/>
              </w:rPr>
            </w:pPr>
          </w:p>
        </w:tc>
        <w:tc>
          <w:tcPr>
            <w:tcW w:w="217" w:type="dxa"/>
          </w:tcPr>
          <w:p w14:paraId="4309D7B8" w14:textId="77777777" w:rsidR="002C0FD9" w:rsidRPr="00CA25CF" w:rsidRDefault="002C0FD9" w:rsidP="00CA25CF">
            <w:pPr>
              <w:rPr>
                <w:rFonts w:cs="Arial"/>
                <w:color w:val="FF0000"/>
                <w:sz w:val="21"/>
                <w:szCs w:val="21"/>
              </w:rPr>
            </w:pPr>
          </w:p>
        </w:tc>
        <w:tc>
          <w:tcPr>
            <w:tcW w:w="217" w:type="dxa"/>
          </w:tcPr>
          <w:p w14:paraId="6BA58116" w14:textId="77777777" w:rsidR="002C0FD9" w:rsidRPr="00CA25CF" w:rsidRDefault="002C0FD9" w:rsidP="00CA25CF">
            <w:pPr>
              <w:rPr>
                <w:rFonts w:cs="Arial"/>
                <w:color w:val="FF0000"/>
                <w:sz w:val="21"/>
                <w:szCs w:val="21"/>
              </w:rPr>
            </w:pPr>
          </w:p>
        </w:tc>
        <w:tc>
          <w:tcPr>
            <w:tcW w:w="217" w:type="dxa"/>
          </w:tcPr>
          <w:p w14:paraId="475621A0" w14:textId="77777777" w:rsidR="002C0FD9" w:rsidRPr="00CA25CF" w:rsidRDefault="002C0FD9" w:rsidP="00CA25CF">
            <w:pPr>
              <w:rPr>
                <w:rFonts w:cs="Arial"/>
                <w:color w:val="FF0000"/>
                <w:sz w:val="21"/>
                <w:szCs w:val="21"/>
              </w:rPr>
            </w:pPr>
          </w:p>
        </w:tc>
        <w:tc>
          <w:tcPr>
            <w:tcW w:w="217" w:type="dxa"/>
          </w:tcPr>
          <w:p w14:paraId="4E54E1E6" w14:textId="77777777" w:rsidR="002C0FD9" w:rsidRPr="00CA25CF" w:rsidRDefault="002C0FD9" w:rsidP="00CA25CF">
            <w:pPr>
              <w:rPr>
                <w:rFonts w:cs="Arial"/>
                <w:color w:val="FF0000"/>
                <w:sz w:val="21"/>
                <w:szCs w:val="21"/>
              </w:rPr>
            </w:pPr>
          </w:p>
        </w:tc>
        <w:tc>
          <w:tcPr>
            <w:tcW w:w="217" w:type="dxa"/>
          </w:tcPr>
          <w:p w14:paraId="296B082D" w14:textId="77777777" w:rsidR="002C0FD9" w:rsidRPr="00CA25CF" w:rsidRDefault="002C0FD9" w:rsidP="00CA25CF">
            <w:pPr>
              <w:rPr>
                <w:rFonts w:cs="Arial"/>
                <w:color w:val="FF0000"/>
                <w:sz w:val="21"/>
                <w:szCs w:val="21"/>
              </w:rPr>
            </w:pPr>
          </w:p>
        </w:tc>
        <w:tc>
          <w:tcPr>
            <w:tcW w:w="217" w:type="dxa"/>
          </w:tcPr>
          <w:p w14:paraId="0A25751A" w14:textId="77777777" w:rsidR="002C0FD9" w:rsidRPr="00CA25CF" w:rsidRDefault="002C0FD9" w:rsidP="00CA25CF">
            <w:pPr>
              <w:rPr>
                <w:rFonts w:cs="Arial"/>
                <w:color w:val="FF0000"/>
                <w:sz w:val="21"/>
                <w:szCs w:val="21"/>
              </w:rPr>
            </w:pPr>
          </w:p>
        </w:tc>
        <w:tc>
          <w:tcPr>
            <w:tcW w:w="217" w:type="dxa"/>
          </w:tcPr>
          <w:p w14:paraId="5A0A1640" w14:textId="77777777" w:rsidR="002C0FD9" w:rsidRPr="00CA25CF" w:rsidRDefault="002C0FD9" w:rsidP="00CA25CF">
            <w:pPr>
              <w:rPr>
                <w:rFonts w:cs="Arial"/>
                <w:color w:val="FF0000"/>
                <w:sz w:val="21"/>
                <w:szCs w:val="21"/>
              </w:rPr>
            </w:pPr>
          </w:p>
        </w:tc>
        <w:tc>
          <w:tcPr>
            <w:tcW w:w="217" w:type="dxa"/>
          </w:tcPr>
          <w:p w14:paraId="50046ABE" w14:textId="77777777" w:rsidR="002C0FD9" w:rsidRPr="00CA25CF" w:rsidRDefault="002C0FD9" w:rsidP="00CA25CF">
            <w:pPr>
              <w:rPr>
                <w:rFonts w:cs="Arial"/>
                <w:color w:val="FF0000"/>
                <w:sz w:val="21"/>
                <w:szCs w:val="21"/>
              </w:rPr>
            </w:pPr>
          </w:p>
        </w:tc>
        <w:tc>
          <w:tcPr>
            <w:tcW w:w="217" w:type="dxa"/>
          </w:tcPr>
          <w:p w14:paraId="547FDE87" w14:textId="77777777" w:rsidR="002C0FD9" w:rsidRPr="00CA25CF" w:rsidRDefault="002C0FD9" w:rsidP="00CA25CF">
            <w:pPr>
              <w:rPr>
                <w:rFonts w:cs="Arial"/>
                <w:color w:val="FF0000"/>
                <w:sz w:val="21"/>
                <w:szCs w:val="21"/>
              </w:rPr>
            </w:pPr>
          </w:p>
        </w:tc>
        <w:tc>
          <w:tcPr>
            <w:tcW w:w="217" w:type="dxa"/>
          </w:tcPr>
          <w:p w14:paraId="4888C346" w14:textId="77777777" w:rsidR="002C0FD9" w:rsidRPr="00CA25CF" w:rsidRDefault="002C0FD9" w:rsidP="00CA25CF">
            <w:pPr>
              <w:rPr>
                <w:rFonts w:cs="Arial"/>
                <w:color w:val="FF0000"/>
                <w:sz w:val="21"/>
                <w:szCs w:val="21"/>
              </w:rPr>
            </w:pPr>
          </w:p>
        </w:tc>
        <w:tc>
          <w:tcPr>
            <w:tcW w:w="217" w:type="dxa"/>
          </w:tcPr>
          <w:p w14:paraId="41B8334A" w14:textId="77777777" w:rsidR="002C0FD9" w:rsidRPr="00CA25CF" w:rsidRDefault="002C0FD9" w:rsidP="00CA25CF">
            <w:pPr>
              <w:rPr>
                <w:rFonts w:cs="Arial"/>
                <w:color w:val="FF0000"/>
                <w:sz w:val="21"/>
                <w:szCs w:val="21"/>
              </w:rPr>
            </w:pPr>
          </w:p>
        </w:tc>
        <w:tc>
          <w:tcPr>
            <w:tcW w:w="217" w:type="dxa"/>
          </w:tcPr>
          <w:p w14:paraId="52947613" w14:textId="77777777" w:rsidR="002C0FD9" w:rsidRPr="00CA25CF" w:rsidRDefault="002C0FD9" w:rsidP="00CA25CF">
            <w:pPr>
              <w:rPr>
                <w:rFonts w:cs="Arial"/>
                <w:color w:val="FF0000"/>
                <w:sz w:val="21"/>
                <w:szCs w:val="21"/>
              </w:rPr>
            </w:pPr>
          </w:p>
        </w:tc>
        <w:tc>
          <w:tcPr>
            <w:tcW w:w="217" w:type="dxa"/>
          </w:tcPr>
          <w:p w14:paraId="248288BA" w14:textId="77777777" w:rsidR="002C0FD9" w:rsidRPr="00CA25CF" w:rsidRDefault="002C0FD9" w:rsidP="00CA25CF">
            <w:pPr>
              <w:rPr>
                <w:rFonts w:cs="Arial"/>
                <w:color w:val="FF0000"/>
                <w:sz w:val="21"/>
                <w:szCs w:val="21"/>
              </w:rPr>
            </w:pPr>
          </w:p>
        </w:tc>
        <w:tc>
          <w:tcPr>
            <w:tcW w:w="217" w:type="dxa"/>
          </w:tcPr>
          <w:p w14:paraId="3EC40889" w14:textId="77777777" w:rsidR="002C0FD9" w:rsidRPr="00CA25CF" w:rsidRDefault="002C0FD9" w:rsidP="00CA25CF">
            <w:pPr>
              <w:rPr>
                <w:rFonts w:cs="Arial"/>
                <w:color w:val="FF0000"/>
                <w:sz w:val="21"/>
                <w:szCs w:val="21"/>
              </w:rPr>
            </w:pPr>
          </w:p>
        </w:tc>
        <w:tc>
          <w:tcPr>
            <w:tcW w:w="217" w:type="dxa"/>
          </w:tcPr>
          <w:p w14:paraId="018835C2" w14:textId="77777777" w:rsidR="002C0FD9" w:rsidRPr="00CA25CF" w:rsidRDefault="002C0FD9" w:rsidP="00CA25CF">
            <w:pPr>
              <w:rPr>
                <w:rFonts w:cs="Arial"/>
                <w:color w:val="FF0000"/>
                <w:sz w:val="21"/>
                <w:szCs w:val="21"/>
              </w:rPr>
            </w:pPr>
          </w:p>
        </w:tc>
        <w:tc>
          <w:tcPr>
            <w:tcW w:w="217" w:type="dxa"/>
          </w:tcPr>
          <w:p w14:paraId="6182F99D" w14:textId="77777777" w:rsidR="002C0FD9" w:rsidRPr="00CA25CF" w:rsidRDefault="002C0FD9" w:rsidP="00CA25CF">
            <w:pPr>
              <w:rPr>
                <w:rFonts w:cs="Arial"/>
                <w:color w:val="FF0000"/>
                <w:sz w:val="21"/>
                <w:szCs w:val="21"/>
              </w:rPr>
            </w:pPr>
          </w:p>
        </w:tc>
        <w:tc>
          <w:tcPr>
            <w:tcW w:w="217" w:type="dxa"/>
          </w:tcPr>
          <w:p w14:paraId="78AEE755" w14:textId="77777777" w:rsidR="002C0FD9" w:rsidRPr="00CA25CF" w:rsidRDefault="002C0FD9" w:rsidP="00CA25CF">
            <w:pPr>
              <w:rPr>
                <w:rFonts w:cs="Arial"/>
                <w:color w:val="FF0000"/>
                <w:sz w:val="21"/>
                <w:szCs w:val="21"/>
              </w:rPr>
            </w:pPr>
          </w:p>
        </w:tc>
        <w:tc>
          <w:tcPr>
            <w:tcW w:w="217" w:type="dxa"/>
          </w:tcPr>
          <w:p w14:paraId="68ED9160" w14:textId="77777777" w:rsidR="002C0FD9" w:rsidRPr="00CA25CF" w:rsidRDefault="002C0FD9" w:rsidP="00CA25CF">
            <w:pPr>
              <w:rPr>
                <w:rFonts w:cs="Arial"/>
                <w:color w:val="FF0000"/>
                <w:sz w:val="21"/>
                <w:szCs w:val="21"/>
              </w:rPr>
            </w:pPr>
          </w:p>
        </w:tc>
        <w:tc>
          <w:tcPr>
            <w:tcW w:w="217" w:type="dxa"/>
          </w:tcPr>
          <w:p w14:paraId="7CEF067C" w14:textId="77777777" w:rsidR="002C0FD9" w:rsidRPr="00CA25CF" w:rsidRDefault="002C0FD9" w:rsidP="00CA25CF">
            <w:pPr>
              <w:rPr>
                <w:rFonts w:cs="Arial"/>
                <w:color w:val="FF0000"/>
                <w:sz w:val="21"/>
                <w:szCs w:val="21"/>
              </w:rPr>
            </w:pPr>
          </w:p>
        </w:tc>
        <w:tc>
          <w:tcPr>
            <w:tcW w:w="217" w:type="dxa"/>
          </w:tcPr>
          <w:p w14:paraId="78D8B17D" w14:textId="77777777" w:rsidR="002C0FD9" w:rsidRPr="00CA25CF" w:rsidRDefault="002C0FD9" w:rsidP="00CA25CF">
            <w:pPr>
              <w:rPr>
                <w:rFonts w:cs="Arial"/>
                <w:color w:val="FF0000"/>
                <w:sz w:val="21"/>
                <w:szCs w:val="21"/>
              </w:rPr>
            </w:pPr>
          </w:p>
        </w:tc>
        <w:tc>
          <w:tcPr>
            <w:tcW w:w="217" w:type="dxa"/>
          </w:tcPr>
          <w:p w14:paraId="2C1DFE93" w14:textId="77777777" w:rsidR="002C0FD9" w:rsidRPr="00CA25CF" w:rsidRDefault="002C0FD9" w:rsidP="00CA25CF">
            <w:pPr>
              <w:rPr>
                <w:rFonts w:cs="Arial"/>
                <w:color w:val="FF0000"/>
                <w:sz w:val="21"/>
                <w:szCs w:val="21"/>
              </w:rPr>
            </w:pPr>
          </w:p>
        </w:tc>
        <w:tc>
          <w:tcPr>
            <w:tcW w:w="217" w:type="dxa"/>
          </w:tcPr>
          <w:p w14:paraId="15BC121D" w14:textId="77777777" w:rsidR="002C0FD9" w:rsidRPr="00CA25CF" w:rsidRDefault="002C0FD9" w:rsidP="00CA25CF">
            <w:pPr>
              <w:rPr>
                <w:rFonts w:cs="Arial"/>
                <w:color w:val="FF0000"/>
                <w:sz w:val="21"/>
                <w:szCs w:val="21"/>
              </w:rPr>
            </w:pPr>
          </w:p>
        </w:tc>
        <w:tc>
          <w:tcPr>
            <w:tcW w:w="217" w:type="dxa"/>
          </w:tcPr>
          <w:p w14:paraId="6B0FABAA" w14:textId="77777777" w:rsidR="002C0FD9" w:rsidRPr="00CA25CF" w:rsidRDefault="002C0FD9" w:rsidP="00CA25CF">
            <w:pPr>
              <w:rPr>
                <w:rFonts w:cs="Arial"/>
                <w:color w:val="FF0000"/>
                <w:sz w:val="21"/>
                <w:szCs w:val="21"/>
              </w:rPr>
            </w:pPr>
          </w:p>
        </w:tc>
        <w:tc>
          <w:tcPr>
            <w:tcW w:w="217" w:type="dxa"/>
          </w:tcPr>
          <w:p w14:paraId="53397D63" w14:textId="77777777" w:rsidR="002C0FD9" w:rsidRPr="00CA25CF" w:rsidRDefault="002C0FD9" w:rsidP="00CA25CF">
            <w:pPr>
              <w:rPr>
                <w:rFonts w:cs="Arial"/>
                <w:color w:val="FF0000"/>
                <w:sz w:val="21"/>
                <w:szCs w:val="21"/>
              </w:rPr>
            </w:pPr>
          </w:p>
        </w:tc>
        <w:tc>
          <w:tcPr>
            <w:tcW w:w="217" w:type="dxa"/>
          </w:tcPr>
          <w:p w14:paraId="5F8C16B4" w14:textId="77777777" w:rsidR="002C0FD9" w:rsidRPr="00CA25CF" w:rsidRDefault="002C0FD9" w:rsidP="00CA25CF">
            <w:pPr>
              <w:rPr>
                <w:rFonts w:cs="Arial"/>
                <w:color w:val="FF0000"/>
                <w:sz w:val="21"/>
                <w:szCs w:val="21"/>
              </w:rPr>
            </w:pPr>
          </w:p>
        </w:tc>
        <w:tc>
          <w:tcPr>
            <w:tcW w:w="217" w:type="dxa"/>
          </w:tcPr>
          <w:p w14:paraId="1C4FEC22" w14:textId="77777777" w:rsidR="002C0FD9" w:rsidRPr="00CA25CF" w:rsidRDefault="002C0FD9" w:rsidP="00CA25CF">
            <w:pPr>
              <w:rPr>
                <w:rFonts w:cs="Arial"/>
                <w:color w:val="FF0000"/>
                <w:sz w:val="21"/>
                <w:szCs w:val="21"/>
              </w:rPr>
            </w:pPr>
          </w:p>
        </w:tc>
        <w:tc>
          <w:tcPr>
            <w:tcW w:w="217" w:type="dxa"/>
          </w:tcPr>
          <w:p w14:paraId="412287AD" w14:textId="77777777" w:rsidR="002C0FD9" w:rsidRPr="00CA25CF" w:rsidRDefault="002C0FD9" w:rsidP="00CA25CF">
            <w:pPr>
              <w:rPr>
                <w:rFonts w:cs="Arial"/>
                <w:color w:val="FF0000"/>
                <w:sz w:val="21"/>
                <w:szCs w:val="21"/>
              </w:rPr>
            </w:pPr>
          </w:p>
        </w:tc>
        <w:tc>
          <w:tcPr>
            <w:tcW w:w="217" w:type="dxa"/>
          </w:tcPr>
          <w:p w14:paraId="64BBE1F2" w14:textId="77777777" w:rsidR="002C0FD9" w:rsidRPr="00CA25CF" w:rsidRDefault="002C0FD9" w:rsidP="00CA25CF">
            <w:pPr>
              <w:rPr>
                <w:rFonts w:cs="Arial"/>
                <w:color w:val="FF0000"/>
                <w:sz w:val="21"/>
                <w:szCs w:val="21"/>
              </w:rPr>
            </w:pPr>
          </w:p>
        </w:tc>
        <w:tc>
          <w:tcPr>
            <w:tcW w:w="217" w:type="dxa"/>
          </w:tcPr>
          <w:p w14:paraId="16D7E28C" w14:textId="77777777" w:rsidR="002C0FD9" w:rsidRPr="00CA25CF" w:rsidRDefault="002C0FD9" w:rsidP="00CA25CF">
            <w:pPr>
              <w:rPr>
                <w:rFonts w:cs="Arial"/>
                <w:color w:val="FF0000"/>
                <w:sz w:val="21"/>
                <w:szCs w:val="21"/>
              </w:rPr>
            </w:pPr>
          </w:p>
        </w:tc>
        <w:tc>
          <w:tcPr>
            <w:tcW w:w="217" w:type="dxa"/>
          </w:tcPr>
          <w:p w14:paraId="731AE255" w14:textId="77777777" w:rsidR="002C0FD9" w:rsidRPr="00CA25CF" w:rsidRDefault="002C0FD9" w:rsidP="00CA25CF">
            <w:pPr>
              <w:rPr>
                <w:rFonts w:cs="Arial"/>
                <w:color w:val="FF0000"/>
                <w:sz w:val="21"/>
                <w:szCs w:val="21"/>
              </w:rPr>
            </w:pPr>
          </w:p>
        </w:tc>
        <w:tc>
          <w:tcPr>
            <w:tcW w:w="217" w:type="dxa"/>
          </w:tcPr>
          <w:p w14:paraId="6969D009" w14:textId="77777777" w:rsidR="002C0FD9" w:rsidRPr="00CA25CF" w:rsidRDefault="002C0FD9" w:rsidP="00CA25CF">
            <w:pPr>
              <w:rPr>
                <w:rFonts w:cs="Arial"/>
                <w:color w:val="FF0000"/>
                <w:sz w:val="21"/>
                <w:szCs w:val="21"/>
              </w:rPr>
            </w:pPr>
          </w:p>
        </w:tc>
        <w:tc>
          <w:tcPr>
            <w:tcW w:w="217" w:type="dxa"/>
          </w:tcPr>
          <w:p w14:paraId="1B5EDE89" w14:textId="77777777" w:rsidR="002C0FD9" w:rsidRPr="00CA25CF" w:rsidRDefault="002C0FD9" w:rsidP="00CA25CF">
            <w:pPr>
              <w:rPr>
                <w:rFonts w:cs="Arial"/>
                <w:color w:val="FF0000"/>
                <w:sz w:val="21"/>
                <w:szCs w:val="21"/>
              </w:rPr>
            </w:pPr>
          </w:p>
        </w:tc>
        <w:tc>
          <w:tcPr>
            <w:tcW w:w="217" w:type="dxa"/>
          </w:tcPr>
          <w:p w14:paraId="218BEB83" w14:textId="77777777" w:rsidR="002C0FD9" w:rsidRPr="00CA25CF" w:rsidRDefault="002C0FD9" w:rsidP="00CA25CF">
            <w:pPr>
              <w:rPr>
                <w:rFonts w:cs="Arial"/>
                <w:color w:val="FF0000"/>
                <w:sz w:val="21"/>
                <w:szCs w:val="21"/>
              </w:rPr>
            </w:pPr>
          </w:p>
        </w:tc>
        <w:tc>
          <w:tcPr>
            <w:tcW w:w="217" w:type="dxa"/>
          </w:tcPr>
          <w:p w14:paraId="0FD6CDD8" w14:textId="77777777" w:rsidR="002C0FD9" w:rsidRPr="00CA25CF" w:rsidRDefault="002C0FD9" w:rsidP="00CA25CF">
            <w:pPr>
              <w:rPr>
                <w:rFonts w:cs="Arial"/>
                <w:color w:val="FF0000"/>
                <w:sz w:val="21"/>
                <w:szCs w:val="21"/>
              </w:rPr>
            </w:pPr>
          </w:p>
        </w:tc>
        <w:tc>
          <w:tcPr>
            <w:tcW w:w="217" w:type="dxa"/>
          </w:tcPr>
          <w:p w14:paraId="3EA3955C" w14:textId="77777777" w:rsidR="002C0FD9" w:rsidRPr="00CA25CF" w:rsidRDefault="002C0FD9" w:rsidP="00CA25CF">
            <w:pPr>
              <w:rPr>
                <w:rFonts w:cs="Arial"/>
                <w:color w:val="FF0000"/>
                <w:sz w:val="21"/>
                <w:szCs w:val="21"/>
              </w:rPr>
            </w:pPr>
          </w:p>
        </w:tc>
      </w:tr>
      <w:tr w:rsidR="002C0FD9" w:rsidRPr="00A16219" w14:paraId="771A8D51" w14:textId="77777777" w:rsidTr="002C0FD9">
        <w:trPr>
          <w:trHeight w:val="635"/>
        </w:trPr>
        <w:tc>
          <w:tcPr>
            <w:tcW w:w="515" w:type="dxa"/>
          </w:tcPr>
          <w:p w14:paraId="069ACDB0" w14:textId="77777777" w:rsidR="002C0FD9" w:rsidRPr="00CA25CF" w:rsidRDefault="002C0FD9" w:rsidP="00CA25CF">
            <w:pPr>
              <w:rPr>
                <w:rFonts w:cs="Arial"/>
                <w:color w:val="FF0000"/>
                <w:sz w:val="21"/>
                <w:szCs w:val="21"/>
              </w:rPr>
            </w:pPr>
          </w:p>
        </w:tc>
        <w:tc>
          <w:tcPr>
            <w:tcW w:w="217" w:type="dxa"/>
          </w:tcPr>
          <w:p w14:paraId="7BD18E82" w14:textId="77777777" w:rsidR="002C0FD9" w:rsidRPr="00CA25CF" w:rsidRDefault="002C0FD9" w:rsidP="00CA25CF">
            <w:pPr>
              <w:rPr>
                <w:rFonts w:cs="Arial"/>
                <w:color w:val="FF0000"/>
                <w:sz w:val="21"/>
                <w:szCs w:val="21"/>
              </w:rPr>
            </w:pPr>
          </w:p>
        </w:tc>
        <w:tc>
          <w:tcPr>
            <w:tcW w:w="217" w:type="dxa"/>
          </w:tcPr>
          <w:p w14:paraId="31550C8F" w14:textId="77777777" w:rsidR="002C0FD9" w:rsidRPr="00CA25CF" w:rsidRDefault="002C0FD9" w:rsidP="00CA25CF">
            <w:pPr>
              <w:rPr>
                <w:rFonts w:cs="Arial"/>
                <w:color w:val="FF0000"/>
                <w:sz w:val="21"/>
                <w:szCs w:val="21"/>
              </w:rPr>
            </w:pPr>
          </w:p>
        </w:tc>
        <w:tc>
          <w:tcPr>
            <w:tcW w:w="217" w:type="dxa"/>
          </w:tcPr>
          <w:p w14:paraId="26CFA30A" w14:textId="77777777" w:rsidR="002C0FD9" w:rsidRPr="00CA25CF" w:rsidRDefault="002C0FD9" w:rsidP="00CA25CF">
            <w:pPr>
              <w:rPr>
                <w:rFonts w:cs="Arial"/>
                <w:color w:val="FF0000"/>
                <w:sz w:val="21"/>
                <w:szCs w:val="21"/>
              </w:rPr>
            </w:pPr>
          </w:p>
        </w:tc>
        <w:tc>
          <w:tcPr>
            <w:tcW w:w="217" w:type="dxa"/>
          </w:tcPr>
          <w:p w14:paraId="06AE8F5A" w14:textId="77777777" w:rsidR="002C0FD9" w:rsidRPr="00CA25CF" w:rsidRDefault="002C0FD9" w:rsidP="00CA25CF">
            <w:pPr>
              <w:rPr>
                <w:rFonts w:cs="Arial"/>
                <w:color w:val="FF0000"/>
                <w:sz w:val="21"/>
                <w:szCs w:val="21"/>
              </w:rPr>
            </w:pPr>
          </w:p>
        </w:tc>
        <w:tc>
          <w:tcPr>
            <w:tcW w:w="217" w:type="dxa"/>
          </w:tcPr>
          <w:p w14:paraId="71BE2591" w14:textId="77777777" w:rsidR="002C0FD9" w:rsidRPr="00CA25CF" w:rsidRDefault="002C0FD9" w:rsidP="00CA25CF">
            <w:pPr>
              <w:rPr>
                <w:rFonts w:cs="Arial"/>
                <w:color w:val="FF0000"/>
                <w:sz w:val="21"/>
                <w:szCs w:val="21"/>
              </w:rPr>
            </w:pPr>
          </w:p>
        </w:tc>
        <w:tc>
          <w:tcPr>
            <w:tcW w:w="217" w:type="dxa"/>
          </w:tcPr>
          <w:p w14:paraId="26B41C85" w14:textId="77777777" w:rsidR="002C0FD9" w:rsidRPr="00CA25CF" w:rsidRDefault="002C0FD9" w:rsidP="00CA25CF">
            <w:pPr>
              <w:rPr>
                <w:rFonts w:cs="Arial"/>
                <w:color w:val="FF0000"/>
                <w:sz w:val="21"/>
                <w:szCs w:val="21"/>
              </w:rPr>
            </w:pPr>
          </w:p>
        </w:tc>
        <w:tc>
          <w:tcPr>
            <w:tcW w:w="217" w:type="dxa"/>
          </w:tcPr>
          <w:p w14:paraId="66B6E2EB" w14:textId="77777777" w:rsidR="002C0FD9" w:rsidRPr="00CA25CF" w:rsidRDefault="002C0FD9" w:rsidP="00CA25CF">
            <w:pPr>
              <w:rPr>
                <w:rFonts w:cs="Arial"/>
                <w:color w:val="FF0000"/>
                <w:sz w:val="21"/>
                <w:szCs w:val="21"/>
              </w:rPr>
            </w:pPr>
          </w:p>
        </w:tc>
        <w:tc>
          <w:tcPr>
            <w:tcW w:w="217" w:type="dxa"/>
          </w:tcPr>
          <w:p w14:paraId="112C51F4" w14:textId="77777777" w:rsidR="002C0FD9" w:rsidRPr="00CA25CF" w:rsidRDefault="002C0FD9" w:rsidP="00CA25CF">
            <w:pPr>
              <w:rPr>
                <w:rFonts w:cs="Arial"/>
                <w:color w:val="FF0000"/>
                <w:sz w:val="21"/>
                <w:szCs w:val="21"/>
              </w:rPr>
            </w:pPr>
          </w:p>
        </w:tc>
        <w:tc>
          <w:tcPr>
            <w:tcW w:w="217" w:type="dxa"/>
          </w:tcPr>
          <w:p w14:paraId="6C50A56D" w14:textId="77777777" w:rsidR="002C0FD9" w:rsidRPr="00CA25CF" w:rsidRDefault="002C0FD9" w:rsidP="00CA25CF">
            <w:pPr>
              <w:rPr>
                <w:rFonts w:cs="Arial"/>
                <w:color w:val="FF0000"/>
                <w:sz w:val="21"/>
                <w:szCs w:val="21"/>
              </w:rPr>
            </w:pPr>
          </w:p>
        </w:tc>
        <w:tc>
          <w:tcPr>
            <w:tcW w:w="217" w:type="dxa"/>
          </w:tcPr>
          <w:p w14:paraId="6CE731BE" w14:textId="77777777" w:rsidR="002C0FD9" w:rsidRPr="00CA25CF" w:rsidRDefault="002C0FD9" w:rsidP="00CA25CF">
            <w:pPr>
              <w:rPr>
                <w:rFonts w:cs="Arial"/>
                <w:color w:val="FF0000"/>
                <w:sz w:val="21"/>
                <w:szCs w:val="21"/>
              </w:rPr>
            </w:pPr>
          </w:p>
        </w:tc>
        <w:tc>
          <w:tcPr>
            <w:tcW w:w="217" w:type="dxa"/>
          </w:tcPr>
          <w:p w14:paraId="7C6C3C7B" w14:textId="77777777" w:rsidR="002C0FD9" w:rsidRPr="00CA25CF" w:rsidRDefault="002C0FD9" w:rsidP="00CA25CF">
            <w:pPr>
              <w:rPr>
                <w:rFonts w:cs="Arial"/>
                <w:color w:val="FF0000"/>
                <w:sz w:val="21"/>
                <w:szCs w:val="21"/>
              </w:rPr>
            </w:pPr>
          </w:p>
        </w:tc>
        <w:tc>
          <w:tcPr>
            <w:tcW w:w="217" w:type="dxa"/>
          </w:tcPr>
          <w:p w14:paraId="5F5941A1" w14:textId="77777777" w:rsidR="002C0FD9" w:rsidRPr="00CA25CF" w:rsidRDefault="002C0FD9" w:rsidP="00CA25CF">
            <w:pPr>
              <w:rPr>
                <w:rFonts w:cs="Arial"/>
                <w:color w:val="FF0000"/>
                <w:sz w:val="21"/>
                <w:szCs w:val="21"/>
              </w:rPr>
            </w:pPr>
          </w:p>
        </w:tc>
        <w:tc>
          <w:tcPr>
            <w:tcW w:w="217" w:type="dxa"/>
          </w:tcPr>
          <w:p w14:paraId="7E379C92" w14:textId="77777777" w:rsidR="002C0FD9" w:rsidRPr="00CA25CF" w:rsidRDefault="002C0FD9" w:rsidP="00CA25CF">
            <w:pPr>
              <w:rPr>
                <w:rFonts w:cs="Arial"/>
                <w:color w:val="FF0000"/>
                <w:sz w:val="21"/>
                <w:szCs w:val="21"/>
              </w:rPr>
            </w:pPr>
          </w:p>
        </w:tc>
        <w:tc>
          <w:tcPr>
            <w:tcW w:w="217" w:type="dxa"/>
          </w:tcPr>
          <w:p w14:paraId="367E7A23" w14:textId="77777777" w:rsidR="002C0FD9" w:rsidRPr="00CA25CF" w:rsidRDefault="002C0FD9" w:rsidP="00CA25CF">
            <w:pPr>
              <w:rPr>
                <w:rFonts w:cs="Arial"/>
                <w:color w:val="FF0000"/>
                <w:sz w:val="21"/>
                <w:szCs w:val="21"/>
              </w:rPr>
            </w:pPr>
          </w:p>
        </w:tc>
        <w:tc>
          <w:tcPr>
            <w:tcW w:w="217" w:type="dxa"/>
          </w:tcPr>
          <w:p w14:paraId="2D20562D" w14:textId="77777777" w:rsidR="002C0FD9" w:rsidRPr="00CA25CF" w:rsidRDefault="002C0FD9" w:rsidP="00CA25CF">
            <w:pPr>
              <w:rPr>
                <w:rFonts w:cs="Arial"/>
                <w:color w:val="FF0000"/>
                <w:sz w:val="21"/>
                <w:szCs w:val="21"/>
              </w:rPr>
            </w:pPr>
          </w:p>
        </w:tc>
        <w:tc>
          <w:tcPr>
            <w:tcW w:w="217" w:type="dxa"/>
          </w:tcPr>
          <w:p w14:paraId="4C96BE6F" w14:textId="77777777" w:rsidR="002C0FD9" w:rsidRPr="00CA25CF" w:rsidRDefault="002C0FD9" w:rsidP="00CA25CF">
            <w:pPr>
              <w:rPr>
                <w:rFonts w:cs="Arial"/>
                <w:color w:val="FF0000"/>
                <w:sz w:val="21"/>
                <w:szCs w:val="21"/>
              </w:rPr>
            </w:pPr>
          </w:p>
        </w:tc>
        <w:tc>
          <w:tcPr>
            <w:tcW w:w="217" w:type="dxa"/>
          </w:tcPr>
          <w:p w14:paraId="4E148A1B" w14:textId="77777777" w:rsidR="002C0FD9" w:rsidRPr="00CA25CF" w:rsidRDefault="002C0FD9" w:rsidP="00CA25CF">
            <w:pPr>
              <w:rPr>
                <w:rFonts w:cs="Arial"/>
                <w:color w:val="FF0000"/>
                <w:sz w:val="21"/>
                <w:szCs w:val="21"/>
              </w:rPr>
            </w:pPr>
          </w:p>
        </w:tc>
        <w:tc>
          <w:tcPr>
            <w:tcW w:w="217" w:type="dxa"/>
          </w:tcPr>
          <w:p w14:paraId="0503093A" w14:textId="77777777" w:rsidR="002C0FD9" w:rsidRPr="00CA25CF" w:rsidRDefault="002C0FD9" w:rsidP="00CA25CF">
            <w:pPr>
              <w:rPr>
                <w:rFonts w:cs="Arial"/>
                <w:color w:val="FF0000"/>
                <w:sz w:val="21"/>
                <w:szCs w:val="21"/>
              </w:rPr>
            </w:pPr>
          </w:p>
        </w:tc>
        <w:tc>
          <w:tcPr>
            <w:tcW w:w="217" w:type="dxa"/>
          </w:tcPr>
          <w:p w14:paraId="60859A42" w14:textId="77777777" w:rsidR="002C0FD9" w:rsidRPr="00CA25CF" w:rsidRDefault="002C0FD9" w:rsidP="00CA25CF">
            <w:pPr>
              <w:rPr>
                <w:rFonts w:cs="Arial"/>
                <w:color w:val="FF0000"/>
                <w:sz w:val="21"/>
                <w:szCs w:val="21"/>
              </w:rPr>
            </w:pPr>
          </w:p>
        </w:tc>
        <w:tc>
          <w:tcPr>
            <w:tcW w:w="217" w:type="dxa"/>
          </w:tcPr>
          <w:p w14:paraId="007BCBEB" w14:textId="77777777" w:rsidR="002C0FD9" w:rsidRPr="00CA25CF" w:rsidRDefault="002C0FD9" w:rsidP="00CA25CF">
            <w:pPr>
              <w:rPr>
                <w:rFonts w:cs="Arial"/>
                <w:color w:val="FF0000"/>
                <w:sz w:val="21"/>
                <w:szCs w:val="21"/>
              </w:rPr>
            </w:pPr>
          </w:p>
        </w:tc>
        <w:tc>
          <w:tcPr>
            <w:tcW w:w="217" w:type="dxa"/>
          </w:tcPr>
          <w:p w14:paraId="284AA61A" w14:textId="77777777" w:rsidR="002C0FD9" w:rsidRPr="00CA25CF" w:rsidRDefault="002C0FD9" w:rsidP="00CA25CF">
            <w:pPr>
              <w:rPr>
                <w:rFonts w:cs="Arial"/>
                <w:color w:val="FF0000"/>
                <w:sz w:val="21"/>
                <w:szCs w:val="21"/>
              </w:rPr>
            </w:pPr>
          </w:p>
        </w:tc>
        <w:tc>
          <w:tcPr>
            <w:tcW w:w="217" w:type="dxa"/>
          </w:tcPr>
          <w:p w14:paraId="52D301F8" w14:textId="77777777" w:rsidR="002C0FD9" w:rsidRPr="00CA25CF" w:rsidRDefault="002C0FD9" w:rsidP="00CA25CF">
            <w:pPr>
              <w:rPr>
                <w:rFonts w:cs="Arial"/>
                <w:color w:val="FF0000"/>
                <w:sz w:val="21"/>
                <w:szCs w:val="21"/>
              </w:rPr>
            </w:pPr>
          </w:p>
        </w:tc>
        <w:tc>
          <w:tcPr>
            <w:tcW w:w="217" w:type="dxa"/>
          </w:tcPr>
          <w:p w14:paraId="03FF7A3A" w14:textId="77777777" w:rsidR="002C0FD9" w:rsidRPr="00CA25CF" w:rsidRDefault="002C0FD9" w:rsidP="00CA25CF">
            <w:pPr>
              <w:rPr>
                <w:rFonts w:cs="Arial"/>
                <w:color w:val="FF0000"/>
                <w:sz w:val="21"/>
                <w:szCs w:val="21"/>
              </w:rPr>
            </w:pPr>
          </w:p>
        </w:tc>
        <w:tc>
          <w:tcPr>
            <w:tcW w:w="217" w:type="dxa"/>
          </w:tcPr>
          <w:p w14:paraId="7B00A6E2" w14:textId="77777777" w:rsidR="002C0FD9" w:rsidRPr="00CA25CF" w:rsidRDefault="002C0FD9" w:rsidP="00CA25CF">
            <w:pPr>
              <w:rPr>
                <w:rFonts w:cs="Arial"/>
                <w:color w:val="FF0000"/>
                <w:sz w:val="21"/>
                <w:szCs w:val="21"/>
              </w:rPr>
            </w:pPr>
          </w:p>
        </w:tc>
        <w:tc>
          <w:tcPr>
            <w:tcW w:w="217" w:type="dxa"/>
          </w:tcPr>
          <w:p w14:paraId="630F258F" w14:textId="77777777" w:rsidR="002C0FD9" w:rsidRPr="00CA25CF" w:rsidRDefault="002C0FD9" w:rsidP="00CA25CF">
            <w:pPr>
              <w:rPr>
                <w:rFonts w:cs="Arial"/>
                <w:color w:val="FF0000"/>
                <w:sz w:val="21"/>
                <w:szCs w:val="21"/>
              </w:rPr>
            </w:pPr>
          </w:p>
        </w:tc>
        <w:tc>
          <w:tcPr>
            <w:tcW w:w="217" w:type="dxa"/>
          </w:tcPr>
          <w:p w14:paraId="5720C9B9" w14:textId="77777777" w:rsidR="002C0FD9" w:rsidRPr="00CA25CF" w:rsidRDefault="002C0FD9" w:rsidP="00CA25CF">
            <w:pPr>
              <w:rPr>
                <w:rFonts w:cs="Arial"/>
                <w:color w:val="FF0000"/>
                <w:sz w:val="21"/>
                <w:szCs w:val="21"/>
              </w:rPr>
            </w:pPr>
          </w:p>
        </w:tc>
        <w:tc>
          <w:tcPr>
            <w:tcW w:w="217" w:type="dxa"/>
          </w:tcPr>
          <w:p w14:paraId="1FE791D4" w14:textId="77777777" w:rsidR="002C0FD9" w:rsidRPr="00CA25CF" w:rsidRDefault="002C0FD9" w:rsidP="00CA25CF">
            <w:pPr>
              <w:rPr>
                <w:rFonts w:cs="Arial"/>
                <w:color w:val="FF0000"/>
                <w:sz w:val="21"/>
                <w:szCs w:val="21"/>
              </w:rPr>
            </w:pPr>
          </w:p>
        </w:tc>
        <w:tc>
          <w:tcPr>
            <w:tcW w:w="217" w:type="dxa"/>
          </w:tcPr>
          <w:p w14:paraId="11D240C5" w14:textId="77777777" w:rsidR="002C0FD9" w:rsidRPr="00CA25CF" w:rsidRDefault="002C0FD9" w:rsidP="00CA25CF">
            <w:pPr>
              <w:rPr>
                <w:rFonts w:cs="Arial"/>
                <w:color w:val="FF0000"/>
                <w:sz w:val="21"/>
                <w:szCs w:val="21"/>
              </w:rPr>
            </w:pPr>
          </w:p>
        </w:tc>
        <w:tc>
          <w:tcPr>
            <w:tcW w:w="217" w:type="dxa"/>
          </w:tcPr>
          <w:p w14:paraId="4A0B755F" w14:textId="77777777" w:rsidR="002C0FD9" w:rsidRPr="00CA25CF" w:rsidRDefault="002C0FD9" w:rsidP="00CA25CF">
            <w:pPr>
              <w:rPr>
                <w:rFonts w:cs="Arial"/>
                <w:color w:val="FF0000"/>
                <w:sz w:val="21"/>
                <w:szCs w:val="21"/>
              </w:rPr>
            </w:pPr>
          </w:p>
        </w:tc>
        <w:tc>
          <w:tcPr>
            <w:tcW w:w="217" w:type="dxa"/>
          </w:tcPr>
          <w:p w14:paraId="34A29302" w14:textId="77777777" w:rsidR="002C0FD9" w:rsidRPr="00CA25CF" w:rsidRDefault="002C0FD9" w:rsidP="00CA25CF">
            <w:pPr>
              <w:rPr>
                <w:rFonts w:cs="Arial"/>
                <w:color w:val="FF0000"/>
                <w:sz w:val="21"/>
                <w:szCs w:val="21"/>
              </w:rPr>
            </w:pPr>
          </w:p>
        </w:tc>
        <w:tc>
          <w:tcPr>
            <w:tcW w:w="217" w:type="dxa"/>
          </w:tcPr>
          <w:p w14:paraId="5BEE70DE" w14:textId="77777777" w:rsidR="002C0FD9" w:rsidRPr="00CA25CF" w:rsidRDefault="002C0FD9" w:rsidP="00CA25CF">
            <w:pPr>
              <w:rPr>
                <w:rFonts w:cs="Arial"/>
                <w:color w:val="FF0000"/>
                <w:sz w:val="21"/>
                <w:szCs w:val="21"/>
              </w:rPr>
            </w:pPr>
          </w:p>
        </w:tc>
        <w:tc>
          <w:tcPr>
            <w:tcW w:w="217" w:type="dxa"/>
          </w:tcPr>
          <w:p w14:paraId="656CD6E1" w14:textId="77777777" w:rsidR="002C0FD9" w:rsidRPr="00CA25CF" w:rsidRDefault="002C0FD9" w:rsidP="00CA25CF">
            <w:pPr>
              <w:rPr>
                <w:rFonts w:cs="Arial"/>
                <w:color w:val="FF0000"/>
                <w:sz w:val="21"/>
                <w:szCs w:val="21"/>
              </w:rPr>
            </w:pPr>
          </w:p>
        </w:tc>
        <w:tc>
          <w:tcPr>
            <w:tcW w:w="217" w:type="dxa"/>
          </w:tcPr>
          <w:p w14:paraId="1B7C549A" w14:textId="77777777" w:rsidR="002C0FD9" w:rsidRPr="00CA25CF" w:rsidRDefault="002C0FD9" w:rsidP="00CA25CF">
            <w:pPr>
              <w:rPr>
                <w:rFonts w:cs="Arial"/>
                <w:color w:val="FF0000"/>
                <w:sz w:val="21"/>
                <w:szCs w:val="21"/>
              </w:rPr>
            </w:pPr>
          </w:p>
        </w:tc>
        <w:tc>
          <w:tcPr>
            <w:tcW w:w="217" w:type="dxa"/>
          </w:tcPr>
          <w:p w14:paraId="0BC649C7" w14:textId="77777777" w:rsidR="002C0FD9" w:rsidRPr="00CA25CF" w:rsidRDefault="002C0FD9" w:rsidP="00CA25CF">
            <w:pPr>
              <w:rPr>
                <w:rFonts w:cs="Arial"/>
                <w:color w:val="FF0000"/>
                <w:sz w:val="21"/>
                <w:szCs w:val="21"/>
              </w:rPr>
            </w:pPr>
          </w:p>
        </w:tc>
        <w:tc>
          <w:tcPr>
            <w:tcW w:w="217" w:type="dxa"/>
          </w:tcPr>
          <w:p w14:paraId="510902C0" w14:textId="77777777" w:rsidR="002C0FD9" w:rsidRPr="00CA25CF" w:rsidRDefault="002C0FD9" w:rsidP="00CA25CF">
            <w:pPr>
              <w:rPr>
                <w:rFonts w:cs="Arial"/>
                <w:color w:val="FF0000"/>
                <w:sz w:val="21"/>
                <w:szCs w:val="21"/>
              </w:rPr>
            </w:pPr>
          </w:p>
        </w:tc>
        <w:tc>
          <w:tcPr>
            <w:tcW w:w="217" w:type="dxa"/>
          </w:tcPr>
          <w:p w14:paraId="61BB6713" w14:textId="77777777" w:rsidR="002C0FD9" w:rsidRPr="00CA25CF" w:rsidRDefault="002C0FD9" w:rsidP="00CA25CF">
            <w:pPr>
              <w:rPr>
                <w:rFonts w:cs="Arial"/>
                <w:color w:val="FF0000"/>
                <w:sz w:val="21"/>
                <w:szCs w:val="21"/>
              </w:rPr>
            </w:pPr>
          </w:p>
        </w:tc>
        <w:tc>
          <w:tcPr>
            <w:tcW w:w="217" w:type="dxa"/>
          </w:tcPr>
          <w:p w14:paraId="6D6E303F" w14:textId="77777777" w:rsidR="002C0FD9" w:rsidRPr="00CA25CF" w:rsidRDefault="002C0FD9" w:rsidP="00CA25CF">
            <w:pPr>
              <w:rPr>
                <w:rFonts w:cs="Arial"/>
                <w:color w:val="FF0000"/>
                <w:sz w:val="21"/>
                <w:szCs w:val="21"/>
              </w:rPr>
            </w:pPr>
          </w:p>
        </w:tc>
        <w:tc>
          <w:tcPr>
            <w:tcW w:w="217" w:type="dxa"/>
          </w:tcPr>
          <w:p w14:paraId="373DD3C1" w14:textId="77777777" w:rsidR="002C0FD9" w:rsidRPr="00CA25CF" w:rsidRDefault="002C0FD9" w:rsidP="00CA25CF">
            <w:pPr>
              <w:rPr>
                <w:rFonts w:cs="Arial"/>
                <w:color w:val="FF0000"/>
                <w:sz w:val="21"/>
                <w:szCs w:val="21"/>
              </w:rPr>
            </w:pPr>
          </w:p>
        </w:tc>
        <w:tc>
          <w:tcPr>
            <w:tcW w:w="217" w:type="dxa"/>
          </w:tcPr>
          <w:p w14:paraId="59F1581F" w14:textId="77777777" w:rsidR="002C0FD9" w:rsidRPr="00CA25CF" w:rsidRDefault="002C0FD9" w:rsidP="00CA25CF">
            <w:pPr>
              <w:rPr>
                <w:rFonts w:cs="Arial"/>
                <w:color w:val="FF0000"/>
                <w:sz w:val="21"/>
                <w:szCs w:val="21"/>
              </w:rPr>
            </w:pPr>
          </w:p>
        </w:tc>
        <w:tc>
          <w:tcPr>
            <w:tcW w:w="217" w:type="dxa"/>
          </w:tcPr>
          <w:p w14:paraId="1ACE8245" w14:textId="77777777" w:rsidR="002C0FD9" w:rsidRPr="00CA25CF" w:rsidRDefault="002C0FD9" w:rsidP="00CA25CF">
            <w:pPr>
              <w:rPr>
                <w:rFonts w:cs="Arial"/>
                <w:color w:val="FF0000"/>
                <w:sz w:val="21"/>
                <w:szCs w:val="21"/>
              </w:rPr>
            </w:pPr>
          </w:p>
        </w:tc>
        <w:tc>
          <w:tcPr>
            <w:tcW w:w="217" w:type="dxa"/>
          </w:tcPr>
          <w:p w14:paraId="7F683ED8" w14:textId="77777777" w:rsidR="002C0FD9" w:rsidRPr="00CA25CF" w:rsidRDefault="002C0FD9" w:rsidP="00CA25CF">
            <w:pPr>
              <w:rPr>
                <w:rFonts w:cs="Arial"/>
                <w:color w:val="FF0000"/>
                <w:sz w:val="21"/>
                <w:szCs w:val="21"/>
              </w:rPr>
            </w:pPr>
          </w:p>
        </w:tc>
        <w:tc>
          <w:tcPr>
            <w:tcW w:w="217" w:type="dxa"/>
          </w:tcPr>
          <w:p w14:paraId="5D3FE3FF" w14:textId="77777777" w:rsidR="002C0FD9" w:rsidRPr="00CA25CF" w:rsidRDefault="002C0FD9" w:rsidP="00CA25CF">
            <w:pPr>
              <w:rPr>
                <w:rFonts w:cs="Arial"/>
                <w:color w:val="FF0000"/>
                <w:sz w:val="21"/>
                <w:szCs w:val="21"/>
              </w:rPr>
            </w:pPr>
          </w:p>
        </w:tc>
      </w:tr>
      <w:tr w:rsidR="002C0FD9" w:rsidRPr="00A16219" w14:paraId="27A052FD" w14:textId="77777777" w:rsidTr="002C0FD9">
        <w:trPr>
          <w:trHeight w:val="635"/>
        </w:trPr>
        <w:tc>
          <w:tcPr>
            <w:tcW w:w="515" w:type="dxa"/>
          </w:tcPr>
          <w:p w14:paraId="50AC5AE7" w14:textId="77777777" w:rsidR="002C0FD9" w:rsidRPr="00CA25CF" w:rsidRDefault="002C0FD9" w:rsidP="00CA25CF">
            <w:pPr>
              <w:rPr>
                <w:rFonts w:cs="Arial"/>
                <w:color w:val="FF0000"/>
                <w:sz w:val="21"/>
                <w:szCs w:val="21"/>
              </w:rPr>
            </w:pPr>
          </w:p>
        </w:tc>
        <w:tc>
          <w:tcPr>
            <w:tcW w:w="217" w:type="dxa"/>
          </w:tcPr>
          <w:p w14:paraId="7F284122" w14:textId="77777777" w:rsidR="002C0FD9" w:rsidRPr="00CA25CF" w:rsidRDefault="002C0FD9" w:rsidP="00CA25CF">
            <w:pPr>
              <w:rPr>
                <w:rFonts w:cs="Arial"/>
                <w:color w:val="FF0000"/>
                <w:sz w:val="21"/>
                <w:szCs w:val="21"/>
              </w:rPr>
            </w:pPr>
          </w:p>
        </w:tc>
        <w:tc>
          <w:tcPr>
            <w:tcW w:w="217" w:type="dxa"/>
          </w:tcPr>
          <w:p w14:paraId="4657A0CC" w14:textId="77777777" w:rsidR="002C0FD9" w:rsidRPr="00CA25CF" w:rsidRDefault="002C0FD9" w:rsidP="00CA25CF">
            <w:pPr>
              <w:rPr>
                <w:rFonts w:cs="Arial"/>
                <w:color w:val="FF0000"/>
                <w:sz w:val="21"/>
                <w:szCs w:val="21"/>
              </w:rPr>
            </w:pPr>
          </w:p>
        </w:tc>
        <w:tc>
          <w:tcPr>
            <w:tcW w:w="217" w:type="dxa"/>
          </w:tcPr>
          <w:p w14:paraId="2AC09E15" w14:textId="77777777" w:rsidR="002C0FD9" w:rsidRPr="00CA25CF" w:rsidRDefault="002C0FD9" w:rsidP="00CA25CF">
            <w:pPr>
              <w:rPr>
                <w:rFonts w:cs="Arial"/>
                <w:color w:val="FF0000"/>
                <w:sz w:val="21"/>
                <w:szCs w:val="21"/>
              </w:rPr>
            </w:pPr>
          </w:p>
        </w:tc>
        <w:tc>
          <w:tcPr>
            <w:tcW w:w="217" w:type="dxa"/>
          </w:tcPr>
          <w:p w14:paraId="3A7D5BA7" w14:textId="77777777" w:rsidR="002C0FD9" w:rsidRPr="00CA25CF" w:rsidRDefault="002C0FD9" w:rsidP="00CA25CF">
            <w:pPr>
              <w:rPr>
                <w:rFonts w:cs="Arial"/>
                <w:color w:val="FF0000"/>
                <w:sz w:val="21"/>
                <w:szCs w:val="21"/>
              </w:rPr>
            </w:pPr>
          </w:p>
        </w:tc>
        <w:tc>
          <w:tcPr>
            <w:tcW w:w="217" w:type="dxa"/>
          </w:tcPr>
          <w:p w14:paraId="7631EF34" w14:textId="77777777" w:rsidR="002C0FD9" w:rsidRPr="00CA25CF" w:rsidRDefault="002C0FD9" w:rsidP="00CA25CF">
            <w:pPr>
              <w:rPr>
                <w:rFonts w:cs="Arial"/>
                <w:color w:val="FF0000"/>
                <w:sz w:val="21"/>
                <w:szCs w:val="21"/>
              </w:rPr>
            </w:pPr>
          </w:p>
        </w:tc>
        <w:tc>
          <w:tcPr>
            <w:tcW w:w="217" w:type="dxa"/>
          </w:tcPr>
          <w:p w14:paraId="74B2A06A" w14:textId="77777777" w:rsidR="002C0FD9" w:rsidRPr="00CA25CF" w:rsidRDefault="002C0FD9" w:rsidP="00CA25CF">
            <w:pPr>
              <w:rPr>
                <w:rFonts w:cs="Arial"/>
                <w:color w:val="FF0000"/>
                <w:sz w:val="21"/>
                <w:szCs w:val="21"/>
              </w:rPr>
            </w:pPr>
          </w:p>
        </w:tc>
        <w:tc>
          <w:tcPr>
            <w:tcW w:w="217" w:type="dxa"/>
          </w:tcPr>
          <w:p w14:paraId="03C0EC63" w14:textId="77777777" w:rsidR="002C0FD9" w:rsidRPr="00CA25CF" w:rsidRDefault="002C0FD9" w:rsidP="00CA25CF">
            <w:pPr>
              <w:rPr>
                <w:rFonts w:cs="Arial"/>
                <w:color w:val="FF0000"/>
                <w:sz w:val="21"/>
                <w:szCs w:val="21"/>
              </w:rPr>
            </w:pPr>
          </w:p>
        </w:tc>
        <w:tc>
          <w:tcPr>
            <w:tcW w:w="217" w:type="dxa"/>
          </w:tcPr>
          <w:p w14:paraId="1B393868" w14:textId="77777777" w:rsidR="002C0FD9" w:rsidRPr="00CA25CF" w:rsidRDefault="002C0FD9" w:rsidP="00CA25CF">
            <w:pPr>
              <w:rPr>
                <w:rFonts w:cs="Arial"/>
                <w:color w:val="FF0000"/>
                <w:sz w:val="21"/>
                <w:szCs w:val="21"/>
              </w:rPr>
            </w:pPr>
          </w:p>
        </w:tc>
        <w:tc>
          <w:tcPr>
            <w:tcW w:w="217" w:type="dxa"/>
          </w:tcPr>
          <w:p w14:paraId="7D35A839" w14:textId="77777777" w:rsidR="002C0FD9" w:rsidRPr="00CA25CF" w:rsidRDefault="002C0FD9" w:rsidP="00CA25CF">
            <w:pPr>
              <w:rPr>
                <w:rFonts w:cs="Arial"/>
                <w:color w:val="FF0000"/>
                <w:sz w:val="21"/>
                <w:szCs w:val="21"/>
              </w:rPr>
            </w:pPr>
          </w:p>
        </w:tc>
        <w:tc>
          <w:tcPr>
            <w:tcW w:w="217" w:type="dxa"/>
          </w:tcPr>
          <w:p w14:paraId="0E8386A0" w14:textId="77777777" w:rsidR="002C0FD9" w:rsidRPr="00CA25CF" w:rsidRDefault="002C0FD9" w:rsidP="00CA25CF">
            <w:pPr>
              <w:rPr>
                <w:rFonts w:cs="Arial"/>
                <w:color w:val="FF0000"/>
                <w:sz w:val="21"/>
                <w:szCs w:val="21"/>
              </w:rPr>
            </w:pPr>
          </w:p>
        </w:tc>
        <w:tc>
          <w:tcPr>
            <w:tcW w:w="217" w:type="dxa"/>
          </w:tcPr>
          <w:p w14:paraId="66D05B99" w14:textId="77777777" w:rsidR="002C0FD9" w:rsidRPr="00CA25CF" w:rsidRDefault="002C0FD9" w:rsidP="00CA25CF">
            <w:pPr>
              <w:rPr>
                <w:rFonts w:cs="Arial"/>
                <w:color w:val="FF0000"/>
                <w:sz w:val="21"/>
                <w:szCs w:val="21"/>
              </w:rPr>
            </w:pPr>
          </w:p>
        </w:tc>
        <w:tc>
          <w:tcPr>
            <w:tcW w:w="217" w:type="dxa"/>
          </w:tcPr>
          <w:p w14:paraId="6256F49E" w14:textId="77777777" w:rsidR="002C0FD9" w:rsidRPr="00CA25CF" w:rsidRDefault="002C0FD9" w:rsidP="00CA25CF">
            <w:pPr>
              <w:rPr>
                <w:rFonts w:cs="Arial"/>
                <w:color w:val="FF0000"/>
                <w:sz w:val="21"/>
                <w:szCs w:val="21"/>
              </w:rPr>
            </w:pPr>
          </w:p>
        </w:tc>
        <w:tc>
          <w:tcPr>
            <w:tcW w:w="217" w:type="dxa"/>
          </w:tcPr>
          <w:p w14:paraId="3CF32ACA" w14:textId="77777777" w:rsidR="002C0FD9" w:rsidRPr="00CA25CF" w:rsidRDefault="002C0FD9" w:rsidP="00CA25CF">
            <w:pPr>
              <w:rPr>
                <w:rFonts w:cs="Arial"/>
                <w:color w:val="FF0000"/>
                <w:sz w:val="21"/>
                <w:szCs w:val="21"/>
              </w:rPr>
            </w:pPr>
          </w:p>
        </w:tc>
        <w:tc>
          <w:tcPr>
            <w:tcW w:w="217" w:type="dxa"/>
          </w:tcPr>
          <w:p w14:paraId="57BD559B" w14:textId="77777777" w:rsidR="002C0FD9" w:rsidRPr="00CA25CF" w:rsidRDefault="002C0FD9" w:rsidP="00CA25CF">
            <w:pPr>
              <w:rPr>
                <w:rFonts w:cs="Arial"/>
                <w:color w:val="FF0000"/>
                <w:sz w:val="21"/>
                <w:szCs w:val="21"/>
              </w:rPr>
            </w:pPr>
          </w:p>
        </w:tc>
        <w:tc>
          <w:tcPr>
            <w:tcW w:w="217" w:type="dxa"/>
          </w:tcPr>
          <w:p w14:paraId="158A0D6D" w14:textId="77777777" w:rsidR="002C0FD9" w:rsidRPr="00CA25CF" w:rsidRDefault="002C0FD9" w:rsidP="00CA25CF">
            <w:pPr>
              <w:rPr>
                <w:rFonts w:cs="Arial"/>
                <w:color w:val="FF0000"/>
                <w:sz w:val="21"/>
                <w:szCs w:val="21"/>
              </w:rPr>
            </w:pPr>
          </w:p>
        </w:tc>
        <w:tc>
          <w:tcPr>
            <w:tcW w:w="217" w:type="dxa"/>
          </w:tcPr>
          <w:p w14:paraId="6C31DA93" w14:textId="77777777" w:rsidR="002C0FD9" w:rsidRPr="00CA25CF" w:rsidRDefault="002C0FD9" w:rsidP="00CA25CF">
            <w:pPr>
              <w:rPr>
                <w:rFonts w:cs="Arial"/>
                <w:color w:val="FF0000"/>
                <w:sz w:val="21"/>
                <w:szCs w:val="21"/>
              </w:rPr>
            </w:pPr>
          </w:p>
        </w:tc>
        <w:tc>
          <w:tcPr>
            <w:tcW w:w="217" w:type="dxa"/>
          </w:tcPr>
          <w:p w14:paraId="4F9B1A49" w14:textId="77777777" w:rsidR="002C0FD9" w:rsidRPr="00CA25CF" w:rsidRDefault="002C0FD9" w:rsidP="00CA25CF">
            <w:pPr>
              <w:rPr>
                <w:rFonts w:cs="Arial"/>
                <w:color w:val="FF0000"/>
                <w:sz w:val="21"/>
                <w:szCs w:val="21"/>
              </w:rPr>
            </w:pPr>
          </w:p>
        </w:tc>
        <w:tc>
          <w:tcPr>
            <w:tcW w:w="217" w:type="dxa"/>
          </w:tcPr>
          <w:p w14:paraId="0C4C371E" w14:textId="77777777" w:rsidR="002C0FD9" w:rsidRPr="00CA25CF" w:rsidRDefault="002C0FD9" w:rsidP="00CA25CF">
            <w:pPr>
              <w:rPr>
                <w:rFonts w:cs="Arial"/>
                <w:color w:val="FF0000"/>
                <w:sz w:val="21"/>
                <w:szCs w:val="21"/>
              </w:rPr>
            </w:pPr>
          </w:p>
        </w:tc>
        <w:tc>
          <w:tcPr>
            <w:tcW w:w="217" w:type="dxa"/>
          </w:tcPr>
          <w:p w14:paraId="62EB3025" w14:textId="77777777" w:rsidR="002C0FD9" w:rsidRPr="00CA25CF" w:rsidRDefault="002C0FD9" w:rsidP="00CA25CF">
            <w:pPr>
              <w:rPr>
                <w:rFonts w:cs="Arial"/>
                <w:color w:val="FF0000"/>
                <w:sz w:val="21"/>
                <w:szCs w:val="21"/>
              </w:rPr>
            </w:pPr>
          </w:p>
        </w:tc>
        <w:tc>
          <w:tcPr>
            <w:tcW w:w="217" w:type="dxa"/>
          </w:tcPr>
          <w:p w14:paraId="73A2E8C2" w14:textId="77777777" w:rsidR="002C0FD9" w:rsidRPr="00CA25CF" w:rsidRDefault="002C0FD9" w:rsidP="00CA25CF">
            <w:pPr>
              <w:rPr>
                <w:rFonts w:cs="Arial"/>
                <w:color w:val="FF0000"/>
                <w:sz w:val="21"/>
                <w:szCs w:val="21"/>
              </w:rPr>
            </w:pPr>
          </w:p>
        </w:tc>
        <w:tc>
          <w:tcPr>
            <w:tcW w:w="217" w:type="dxa"/>
          </w:tcPr>
          <w:p w14:paraId="4BC85B34" w14:textId="77777777" w:rsidR="002C0FD9" w:rsidRPr="00CA25CF" w:rsidRDefault="002C0FD9" w:rsidP="00CA25CF">
            <w:pPr>
              <w:rPr>
                <w:rFonts w:cs="Arial"/>
                <w:color w:val="FF0000"/>
                <w:sz w:val="21"/>
                <w:szCs w:val="21"/>
              </w:rPr>
            </w:pPr>
          </w:p>
        </w:tc>
        <w:tc>
          <w:tcPr>
            <w:tcW w:w="217" w:type="dxa"/>
          </w:tcPr>
          <w:p w14:paraId="605FB5FA" w14:textId="77777777" w:rsidR="002C0FD9" w:rsidRPr="00CA25CF" w:rsidRDefault="002C0FD9" w:rsidP="00CA25CF">
            <w:pPr>
              <w:rPr>
                <w:rFonts w:cs="Arial"/>
                <w:color w:val="FF0000"/>
                <w:sz w:val="21"/>
                <w:szCs w:val="21"/>
              </w:rPr>
            </w:pPr>
          </w:p>
        </w:tc>
        <w:tc>
          <w:tcPr>
            <w:tcW w:w="217" w:type="dxa"/>
          </w:tcPr>
          <w:p w14:paraId="52D51ABA" w14:textId="77777777" w:rsidR="002C0FD9" w:rsidRPr="00CA25CF" w:rsidRDefault="002C0FD9" w:rsidP="00CA25CF">
            <w:pPr>
              <w:rPr>
                <w:rFonts w:cs="Arial"/>
                <w:color w:val="FF0000"/>
                <w:sz w:val="21"/>
                <w:szCs w:val="21"/>
              </w:rPr>
            </w:pPr>
          </w:p>
        </w:tc>
        <w:tc>
          <w:tcPr>
            <w:tcW w:w="217" w:type="dxa"/>
          </w:tcPr>
          <w:p w14:paraId="546F226B" w14:textId="77777777" w:rsidR="002C0FD9" w:rsidRPr="00CA25CF" w:rsidRDefault="002C0FD9" w:rsidP="00CA25CF">
            <w:pPr>
              <w:rPr>
                <w:rFonts w:cs="Arial"/>
                <w:color w:val="FF0000"/>
                <w:sz w:val="21"/>
                <w:szCs w:val="21"/>
              </w:rPr>
            </w:pPr>
          </w:p>
        </w:tc>
        <w:tc>
          <w:tcPr>
            <w:tcW w:w="217" w:type="dxa"/>
          </w:tcPr>
          <w:p w14:paraId="46883C56" w14:textId="77777777" w:rsidR="002C0FD9" w:rsidRPr="00CA25CF" w:rsidRDefault="002C0FD9" w:rsidP="00CA25CF">
            <w:pPr>
              <w:rPr>
                <w:rFonts w:cs="Arial"/>
                <w:color w:val="FF0000"/>
                <w:sz w:val="21"/>
                <w:szCs w:val="21"/>
              </w:rPr>
            </w:pPr>
          </w:p>
        </w:tc>
        <w:tc>
          <w:tcPr>
            <w:tcW w:w="217" w:type="dxa"/>
          </w:tcPr>
          <w:p w14:paraId="737F846F" w14:textId="77777777" w:rsidR="002C0FD9" w:rsidRPr="00CA25CF" w:rsidRDefault="002C0FD9" w:rsidP="00CA25CF">
            <w:pPr>
              <w:rPr>
                <w:rFonts w:cs="Arial"/>
                <w:color w:val="FF0000"/>
                <w:sz w:val="21"/>
                <w:szCs w:val="21"/>
              </w:rPr>
            </w:pPr>
          </w:p>
        </w:tc>
        <w:tc>
          <w:tcPr>
            <w:tcW w:w="217" w:type="dxa"/>
          </w:tcPr>
          <w:p w14:paraId="7E088451" w14:textId="77777777" w:rsidR="002C0FD9" w:rsidRPr="00CA25CF" w:rsidRDefault="002C0FD9" w:rsidP="00CA25CF">
            <w:pPr>
              <w:rPr>
                <w:rFonts w:cs="Arial"/>
                <w:color w:val="FF0000"/>
                <w:sz w:val="21"/>
                <w:szCs w:val="21"/>
              </w:rPr>
            </w:pPr>
          </w:p>
        </w:tc>
        <w:tc>
          <w:tcPr>
            <w:tcW w:w="217" w:type="dxa"/>
          </w:tcPr>
          <w:p w14:paraId="27C90A25" w14:textId="77777777" w:rsidR="002C0FD9" w:rsidRPr="00CA25CF" w:rsidRDefault="002C0FD9" w:rsidP="00CA25CF">
            <w:pPr>
              <w:rPr>
                <w:rFonts w:cs="Arial"/>
                <w:color w:val="FF0000"/>
                <w:sz w:val="21"/>
                <w:szCs w:val="21"/>
              </w:rPr>
            </w:pPr>
          </w:p>
        </w:tc>
        <w:tc>
          <w:tcPr>
            <w:tcW w:w="217" w:type="dxa"/>
          </w:tcPr>
          <w:p w14:paraId="6696E483" w14:textId="77777777" w:rsidR="002C0FD9" w:rsidRPr="00CA25CF" w:rsidRDefault="002C0FD9" w:rsidP="00CA25CF">
            <w:pPr>
              <w:rPr>
                <w:rFonts w:cs="Arial"/>
                <w:color w:val="FF0000"/>
                <w:sz w:val="21"/>
                <w:szCs w:val="21"/>
              </w:rPr>
            </w:pPr>
          </w:p>
        </w:tc>
        <w:tc>
          <w:tcPr>
            <w:tcW w:w="217" w:type="dxa"/>
          </w:tcPr>
          <w:p w14:paraId="45C962D6" w14:textId="77777777" w:rsidR="002C0FD9" w:rsidRPr="00CA25CF" w:rsidRDefault="002C0FD9" w:rsidP="00CA25CF">
            <w:pPr>
              <w:rPr>
                <w:rFonts w:cs="Arial"/>
                <w:color w:val="FF0000"/>
                <w:sz w:val="21"/>
                <w:szCs w:val="21"/>
              </w:rPr>
            </w:pPr>
          </w:p>
        </w:tc>
        <w:tc>
          <w:tcPr>
            <w:tcW w:w="217" w:type="dxa"/>
          </w:tcPr>
          <w:p w14:paraId="59E17F23" w14:textId="77777777" w:rsidR="002C0FD9" w:rsidRPr="00CA25CF" w:rsidRDefault="002C0FD9" w:rsidP="00CA25CF">
            <w:pPr>
              <w:rPr>
                <w:rFonts w:cs="Arial"/>
                <w:color w:val="FF0000"/>
                <w:sz w:val="21"/>
                <w:szCs w:val="21"/>
              </w:rPr>
            </w:pPr>
          </w:p>
        </w:tc>
        <w:tc>
          <w:tcPr>
            <w:tcW w:w="217" w:type="dxa"/>
          </w:tcPr>
          <w:p w14:paraId="3AD741EC" w14:textId="77777777" w:rsidR="002C0FD9" w:rsidRPr="00CA25CF" w:rsidRDefault="002C0FD9" w:rsidP="00CA25CF">
            <w:pPr>
              <w:rPr>
                <w:rFonts w:cs="Arial"/>
                <w:color w:val="FF0000"/>
                <w:sz w:val="21"/>
                <w:szCs w:val="21"/>
              </w:rPr>
            </w:pPr>
          </w:p>
        </w:tc>
        <w:tc>
          <w:tcPr>
            <w:tcW w:w="217" w:type="dxa"/>
          </w:tcPr>
          <w:p w14:paraId="6F08DD43" w14:textId="77777777" w:rsidR="002C0FD9" w:rsidRPr="00CA25CF" w:rsidRDefault="002C0FD9" w:rsidP="00CA25CF">
            <w:pPr>
              <w:rPr>
                <w:rFonts w:cs="Arial"/>
                <w:color w:val="FF0000"/>
                <w:sz w:val="21"/>
                <w:szCs w:val="21"/>
              </w:rPr>
            </w:pPr>
          </w:p>
        </w:tc>
        <w:tc>
          <w:tcPr>
            <w:tcW w:w="217" w:type="dxa"/>
          </w:tcPr>
          <w:p w14:paraId="421D4E13" w14:textId="77777777" w:rsidR="002C0FD9" w:rsidRPr="00CA25CF" w:rsidRDefault="002C0FD9" w:rsidP="00CA25CF">
            <w:pPr>
              <w:rPr>
                <w:rFonts w:cs="Arial"/>
                <w:color w:val="FF0000"/>
                <w:sz w:val="21"/>
                <w:szCs w:val="21"/>
              </w:rPr>
            </w:pPr>
          </w:p>
        </w:tc>
        <w:tc>
          <w:tcPr>
            <w:tcW w:w="217" w:type="dxa"/>
          </w:tcPr>
          <w:p w14:paraId="7948F69B" w14:textId="77777777" w:rsidR="002C0FD9" w:rsidRPr="00CA25CF" w:rsidRDefault="002C0FD9" w:rsidP="00CA25CF">
            <w:pPr>
              <w:rPr>
                <w:rFonts w:cs="Arial"/>
                <w:color w:val="FF0000"/>
                <w:sz w:val="21"/>
                <w:szCs w:val="21"/>
              </w:rPr>
            </w:pPr>
          </w:p>
        </w:tc>
        <w:tc>
          <w:tcPr>
            <w:tcW w:w="217" w:type="dxa"/>
          </w:tcPr>
          <w:p w14:paraId="7F2991FD" w14:textId="77777777" w:rsidR="002C0FD9" w:rsidRPr="00CA25CF" w:rsidRDefault="002C0FD9" w:rsidP="00CA25CF">
            <w:pPr>
              <w:rPr>
                <w:rFonts w:cs="Arial"/>
                <w:color w:val="FF0000"/>
                <w:sz w:val="21"/>
                <w:szCs w:val="21"/>
              </w:rPr>
            </w:pPr>
          </w:p>
        </w:tc>
        <w:tc>
          <w:tcPr>
            <w:tcW w:w="217" w:type="dxa"/>
          </w:tcPr>
          <w:p w14:paraId="78D29683" w14:textId="77777777" w:rsidR="002C0FD9" w:rsidRPr="00CA25CF" w:rsidRDefault="002C0FD9" w:rsidP="00CA25CF">
            <w:pPr>
              <w:rPr>
                <w:rFonts w:cs="Arial"/>
                <w:color w:val="FF0000"/>
                <w:sz w:val="21"/>
                <w:szCs w:val="21"/>
              </w:rPr>
            </w:pPr>
          </w:p>
        </w:tc>
        <w:tc>
          <w:tcPr>
            <w:tcW w:w="217" w:type="dxa"/>
          </w:tcPr>
          <w:p w14:paraId="41E50651" w14:textId="77777777" w:rsidR="002C0FD9" w:rsidRPr="00CA25CF" w:rsidRDefault="002C0FD9" w:rsidP="00CA25CF">
            <w:pPr>
              <w:rPr>
                <w:rFonts w:cs="Arial"/>
                <w:color w:val="FF0000"/>
                <w:sz w:val="21"/>
                <w:szCs w:val="21"/>
              </w:rPr>
            </w:pPr>
          </w:p>
        </w:tc>
        <w:tc>
          <w:tcPr>
            <w:tcW w:w="217" w:type="dxa"/>
          </w:tcPr>
          <w:p w14:paraId="0A302C78" w14:textId="77777777" w:rsidR="002C0FD9" w:rsidRPr="00CA25CF" w:rsidRDefault="002C0FD9" w:rsidP="00CA25CF">
            <w:pPr>
              <w:rPr>
                <w:rFonts w:cs="Arial"/>
                <w:color w:val="FF0000"/>
                <w:sz w:val="21"/>
                <w:szCs w:val="21"/>
              </w:rPr>
            </w:pPr>
          </w:p>
        </w:tc>
        <w:tc>
          <w:tcPr>
            <w:tcW w:w="217" w:type="dxa"/>
          </w:tcPr>
          <w:p w14:paraId="75269F4E" w14:textId="77777777" w:rsidR="002C0FD9" w:rsidRPr="00CA25CF" w:rsidRDefault="002C0FD9" w:rsidP="00CA25CF">
            <w:pPr>
              <w:rPr>
                <w:rFonts w:cs="Arial"/>
                <w:color w:val="FF0000"/>
                <w:sz w:val="21"/>
                <w:szCs w:val="21"/>
              </w:rPr>
            </w:pPr>
          </w:p>
        </w:tc>
        <w:tc>
          <w:tcPr>
            <w:tcW w:w="217" w:type="dxa"/>
          </w:tcPr>
          <w:p w14:paraId="65BA5783" w14:textId="77777777" w:rsidR="002C0FD9" w:rsidRPr="00CA25CF" w:rsidRDefault="002C0FD9" w:rsidP="00CA25CF">
            <w:pPr>
              <w:rPr>
                <w:rFonts w:cs="Arial"/>
                <w:color w:val="FF0000"/>
                <w:sz w:val="21"/>
                <w:szCs w:val="21"/>
              </w:rPr>
            </w:pPr>
          </w:p>
        </w:tc>
        <w:tc>
          <w:tcPr>
            <w:tcW w:w="217" w:type="dxa"/>
          </w:tcPr>
          <w:p w14:paraId="38BC3740" w14:textId="77777777" w:rsidR="002C0FD9" w:rsidRPr="00CA25CF" w:rsidRDefault="002C0FD9" w:rsidP="00CA25CF">
            <w:pPr>
              <w:rPr>
                <w:rFonts w:cs="Arial"/>
                <w:color w:val="FF0000"/>
                <w:sz w:val="21"/>
                <w:szCs w:val="21"/>
              </w:rPr>
            </w:pPr>
          </w:p>
        </w:tc>
      </w:tr>
      <w:tr w:rsidR="002C0FD9" w:rsidRPr="00A16219" w14:paraId="7DA7B472" w14:textId="77777777" w:rsidTr="002C0FD9">
        <w:trPr>
          <w:trHeight w:val="635"/>
        </w:trPr>
        <w:tc>
          <w:tcPr>
            <w:tcW w:w="515" w:type="dxa"/>
          </w:tcPr>
          <w:p w14:paraId="4C9C8B5A" w14:textId="77777777" w:rsidR="002C0FD9" w:rsidRPr="00CA25CF" w:rsidRDefault="002C0FD9" w:rsidP="00CA25CF">
            <w:pPr>
              <w:rPr>
                <w:rFonts w:cs="Arial"/>
                <w:color w:val="FF0000"/>
                <w:sz w:val="21"/>
                <w:szCs w:val="21"/>
              </w:rPr>
            </w:pPr>
          </w:p>
        </w:tc>
        <w:tc>
          <w:tcPr>
            <w:tcW w:w="217" w:type="dxa"/>
          </w:tcPr>
          <w:p w14:paraId="2C9AD490" w14:textId="77777777" w:rsidR="002C0FD9" w:rsidRPr="00CA25CF" w:rsidRDefault="002C0FD9" w:rsidP="00CA25CF">
            <w:pPr>
              <w:rPr>
                <w:rFonts w:cs="Arial"/>
                <w:color w:val="FF0000"/>
                <w:sz w:val="21"/>
                <w:szCs w:val="21"/>
              </w:rPr>
            </w:pPr>
          </w:p>
        </w:tc>
        <w:tc>
          <w:tcPr>
            <w:tcW w:w="217" w:type="dxa"/>
          </w:tcPr>
          <w:p w14:paraId="4AD95C1F" w14:textId="77777777" w:rsidR="002C0FD9" w:rsidRPr="00CA25CF" w:rsidRDefault="002C0FD9" w:rsidP="00CA25CF">
            <w:pPr>
              <w:rPr>
                <w:rFonts w:cs="Arial"/>
                <w:color w:val="FF0000"/>
                <w:sz w:val="21"/>
                <w:szCs w:val="21"/>
              </w:rPr>
            </w:pPr>
          </w:p>
        </w:tc>
        <w:tc>
          <w:tcPr>
            <w:tcW w:w="217" w:type="dxa"/>
          </w:tcPr>
          <w:p w14:paraId="0FAFF9DD" w14:textId="77777777" w:rsidR="002C0FD9" w:rsidRPr="00CA25CF" w:rsidRDefault="002C0FD9" w:rsidP="00CA25CF">
            <w:pPr>
              <w:rPr>
                <w:rFonts w:cs="Arial"/>
                <w:color w:val="FF0000"/>
                <w:sz w:val="21"/>
                <w:szCs w:val="21"/>
              </w:rPr>
            </w:pPr>
          </w:p>
        </w:tc>
        <w:tc>
          <w:tcPr>
            <w:tcW w:w="217" w:type="dxa"/>
          </w:tcPr>
          <w:p w14:paraId="6D115CA3" w14:textId="77777777" w:rsidR="002C0FD9" w:rsidRPr="00CA25CF" w:rsidRDefault="002C0FD9" w:rsidP="00CA25CF">
            <w:pPr>
              <w:rPr>
                <w:rFonts w:cs="Arial"/>
                <w:color w:val="FF0000"/>
                <w:sz w:val="21"/>
                <w:szCs w:val="21"/>
              </w:rPr>
            </w:pPr>
          </w:p>
        </w:tc>
        <w:tc>
          <w:tcPr>
            <w:tcW w:w="217" w:type="dxa"/>
          </w:tcPr>
          <w:p w14:paraId="4E1BD2BF" w14:textId="77777777" w:rsidR="002C0FD9" w:rsidRPr="00CA25CF" w:rsidRDefault="002C0FD9" w:rsidP="00CA25CF">
            <w:pPr>
              <w:rPr>
                <w:rFonts w:cs="Arial"/>
                <w:color w:val="FF0000"/>
                <w:sz w:val="21"/>
                <w:szCs w:val="21"/>
              </w:rPr>
            </w:pPr>
          </w:p>
        </w:tc>
        <w:tc>
          <w:tcPr>
            <w:tcW w:w="217" w:type="dxa"/>
          </w:tcPr>
          <w:p w14:paraId="1C70DB0E" w14:textId="77777777" w:rsidR="002C0FD9" w:rsidRPr="00CA25CF" w:rsidRDefault="002C0FD9" w:rsidP="00CA25CF">
            <w:pPr>
              <w:rPr>
                <w:rFonts w:cs="Arial"/>
                <w:color w:val="FF0000"/>
                <w:sz w:val="21"/>
                <w:szCs w:val="21"/>
              </w:rPr>
            </w:pPr>
          </w:p>
        </w:tc>
        <w:tc>
          <w:tcPr>
            <w:tcW w:w="217" w:type="dxa"/>
          </w:tcPr>
          <w:p w14:paraId="3090709E" w14:textId="77777777" w:rsidR="002C0FD9" w:rsidRPr="00CA25CF" w:rsidRDefault="002C0FD9" w:rsidP="00CA25CF">
            <w:pPr>
              <w:rPr>
                <w:rFonts w:cs="Arial"/>
                <w:color w:val="FF0000"/>
                <w:sz w:val="21"/>
                <w:szCs w:val="21"/>
              </w:rPr>
            </w:pPr>
          </w:p>
        </w:tc>
        <w:tc>
          <w:tcPr>
            <w:tcW w:w="217" w:type="dxa"/>
          </w:tcPr>
          <w:p w14:paraId="303D30A5" w14:textId="77777777" w:rsidR="002C0FD9" w:rsidRPr="00CA25CF" w:rsidRDefault="002C0FD9" w:rsidP="00CA25CF">
            <w:pPr>
              <w:rPr>
                <w:rFonts w:cs="Arial"/>
                <w:color w:val="FF0000"/>
                <w:sz w:val="21"/>
                <w:szCs w:val="21"/>
              </w:rPr>
            </w:pPr>
          </w:p>
        </w:tc>
        <w:tc>
          <w:tcPr>
            <w:tcW w:w="217" w:type="dxa"/>
          </w:tcPr>
          <w:p w14:paraId="367FFC37" w14:textId="77777777" w:rsidR="002C0FD9" w:rsidRPr="00CA25CF" w:rsidRDefault="002C0FD9" w:rsidP="00CA25CF">
            <w:pPr>
              <w:rPr>
                <w:rFonts w:cs="Arial"/>
                <w:color w:val="FF0000"/>
                <w:sz w:val="21"/>
                <w:szCs w:val="21"/>
              </w:rPr>
            </w:pPr>
          </w:p>
        </w:tc>
        <w:tc>
          <w:tcPr>
            <w:tcW w:w="217" w:type="dxa"/>
          </w:tcPr>
          <w:p w14:paraId="66FB8E63" w14:textId="77777777" w:rsidR="002C0FD9" w:rsidRPr="00CA25CF" w:rsidRDefault="002C0FD9" w:rsidP="00CA25CF">
            <w:pPr>
              <w:rPr>
                <w:rFonts w:cs="Arial"/>
                <w:color w:val="FF0000"/>
                <w:sz w:val="21"/>
                <w:szCs w:val="21"/>
              </w:rPr>
            </w:pPr>
          </w:p>
        </w:tc>
        <w:tc>
          <w:tcPr>
            <w:tcW w:w="217" w:type="dxa"/>
          </w:tcPr>
          <w:p w14:paraId="5B9265F2" w14:textId="77777777" w:rsidR="002C0FD9" w:rsidRPr="00CA25CF" w:rsidRDefault="002C0FD9" w:rsidP="00CA25CF">
            <w:pPr>
              <w:rPr>
                <w:rFonts w:cs="Arial"/>
                <w:color w:val="FF0000"/>
                <w:sz w:val="21"/>
                <w:szCs w:val="21"/>
              </w:rPr>
            </w:pPr>
          </w:p>
        </w:tc>
        <w:tc>
          <w:tcPr>
            <w:tcW w:w="217" w:type="dxa"/>
          </w:tcPr>
          <w:p w14:paraId="1A5DEA08" w14:textId="77777777" w:rsidR="002C0FD9" w:rsidRPr="00CA25CF" w:rsidRDefault="002C0FD9" w:rsidP="00CA25CF">
            <w:pPr>
              <w:rPr>
                <w:rFonts w:cs="Arial"/>
                <w:color w:val="FF0000"/>
                <w:sz w:val="21"/>
                <w:szCs w:val="21"/>
              </w:rPr>
            </w:pPr>
          </w:p>
        </w:tc>
        <w:tc>
          <w:tcPr>
            <w:tcW w:w="217" w:type="dxa"/>
          </w:tcPr>
          <w:p w14:paraId="1FE7E4B6" w14:textId="77777777" w:rsidR="002C0FD9" w:rsidRPr="00CA25CF" w:rsidRDefault="002C0FD9" w:rsidP="00CA25CF">
            <w:pPr>
              <w:rPr>
                <w:rFonts w:cs="Arial"/>
                <w:color w:val="FF0000"/>
                <w:sz w:val="21"/>
                <w:szCs w:val="21"/>
              </w:rPr>
            </w:pPr>
          </w:p>
        </w:tc>
        <w:tc>
          <w:tcPr>
            <w:tcW w:w="217" w:type="dxa"/>
          </w:tcPr>
          <w:p w14:paraId="1E3DEF9D" w14:textId="77777777" w:rsidR="002C0FD9" w:rsidRPr="00CA25CF" w:rsidRDefault="002C0FD9" w:rsidP="00CA25CF">
            <w:pPr>
              <w:rPr>
                <w:rFonts w:cs="Arial"/>
                <w:color w:val="FF0000"/>
                <w:sz w:val="21"/>
                <w:szCs w:val="21"/>
              </w:rPr>
            </w:pPr>
          </w:p>
        </w:tc>
        <w:tc>
          <w:tcPr>
            <w:tcW w:w="217" w:type="dxa"/>
          </w:tcPr>
          <w:p w14:paraId="491E172D" w14:textId="77777777" w:rsidR="002C0FD9" w:rsidRPr="00CA25CF" w:rsidRDefault="002C0FD9" w:rsidP="00CA25CF">
            <w:pPr>
              <w:rPr>
                <w:rFonts w:cs="Arial"/>
                <w:color w:val="FF0000"/>
                <w:sz w:val="21"/>
                <w:szCs w:val="21"/>
              </w:rPr>
            </w:pPr>
          </w:p>
        </w:tc>
        <w:tc>
          <w:tcPr>
            <w:tcW w:w="217" w:type="dxa"/>
          </w:tcPr>
          <w:p w14:paraId="226BFB95" w14:textId="77777777" w:rsidR="002C0FD9" w:rsidRPr="00CA25CF" w:rsidRDefault="002C0FD9" w:rsidP="00CA25CF">
            <w:pPr>
              <w:rPr>
                <w:rFonts w:cs="Arial"/>
                <w:color w:val="FF0000"/>
                <w:sz w:val="21"/>
                <w:szCs w:val="21"/>
              </w:rPr>
            </w:pPr>
          </w:p>
        </w:tc>
        <w:tc>
          <w:tcPr>
            <w:tcW w:w="217" w:type="dxa"/>
          </w:tcPr>
          <w:p w14:paraId="239F3BA0" w14:textId="77777777" w:rsidR="002C0FD9" w:rsidRPr="00CA25CF" w:rsidRDefault="002C0FD9" w:rsidP="00CA25CF">
            <w:pPr>
              <w:rPr>
                <w:rFonts w:cs="Arial"/>
                <w:color w:val="FF0000"/>
                <w:sz w:val="21"/>
                <w:szCs w:val="21"/>
              </w:rPr>
            </w:pPr>
          </w:p>
        </w:tc>
        <w:tc>
          <w:tcPr>
            <w:tcW w:w="217" w:type="dxa"/>
          </w:tcPr>
          <w:p w14:paraId="2EBF4151" w14:textId="77777777" w:rsidR="002C0FD9" w:rsidRPr="00CA25CF" w:rsidRDefault="002C0FD9" w:rsidP="00CA25CF">
            <w:pPr>
              <w:rPr>
                <w:rFonts w:cs="Arial"/>
                <w:color w:val="FF0000"/>
                <w:sz w:val="21"/>
                <w:szCs w:val="21"/>
              </w:rPr>
            </w:pPr>
          </w:p>
        </w:tc>
        <w:tc>
          <w:tcPr>
            <w:tcW w:w="217" w:type="dxa"/>
          </w:tcPr>
          <w:p w14:paraId="7A39923F" w14:textId="77777777" w:rsidR="002C0FD9" w:rsidRPr="00CA25CF" w:rsidRDefault="002C0FD9" w:rsidP="00CA25CF">
            <w:pPr>
              <w:rPr>
                <w:rFonts w:cs="Arial"/>
                <w:color w:val="FF0000"/>
                <w:sz w:val="21"/>
                <w:szCs w:val="21"/>
              </w:rPr>
            </w:pPr>
          </w:p>
        </w:tc>
        <w:tc>
          <w:tcPr>
            <w:tcW w:w="217" w:type="dxa"/>
          </w:tcPr>
          <w:p w14:paraId="0DAC6237" w14:textId="77777777" w:rsidR="002C0FD9" w:rsidRPr="00CA25CF" w:rsidRDefault="002C0FD9" w:rsidP="00CA25CF">
            <w:pPr>
              <w:rPr>
                <w:rFonts w:cs="Arial"/>
                <w:color w:val="FF0000"/>
                <w:sz w:val="21"/>
                <w:szCs w:val="21"/>
              </w:rPr>
            </w:pPr>
          </w:p>
        </w:tc>
        <w:tc>
          <w:tcPr>
            <w:tcW w:w="217" w:type="dxa"/>
          </w:tcPr>
          <w:p w14:paraId="29409E0A" w14:textId="77777777" w:rsidR="002C0FD9" w:rsidRPr="00CA25CF" w:rsidRDefault="002C0FD9" w:rsidP="00CA25CF">
            <w:pPr>
              <w:rPr>
                <w:rFonts w:cs="Arial"/>
                <w:color w:val="FF0000"/>
                <w:sz w:val="21"/>
                <w:szCs w:val="21"/>
              </w:rPr>
            </w:pPr>
          </w:p>
        </w:tc>
        <w:tc>
          <w:tcPr>
            <w:tcW w:w="217" w:type="dxa"/>
          </w:tcPr>
          <w:p w14:paraId="2EFBB91B" w14:textId="77777777" w:rsidR="002C0FD9" w:rsidRPr="00CA25CF" w:rsidRDefault="002C0FD9" w:rsidP="00CA25CF">
            <w:pPr>
              <w:rPr>
                <w:rFonts w:cs="Arial"/>
                <w:color w:val="FF0000"/>
                <w:sz w:val="21"/>
                <w:szCs w:val="21"/>
              </w:rPr>
            </w:pPr>
          </w:p>
        </w:tc>
        <w:tc>
          <w:tcPr>
            <w:tcW w:w="217" w:type="dxa"/>
          </w:tcPr>
          <w:p w14:paraId="09F901A0" w14:textId="77777777" w:rsidR="002C0FD9" w:rsidRPr="00CA25CF" w:rsidRDefault="002C0FD9" w:rsidP="00CA25CF">
            <w:pPr>
              <w:rPr>
                <w:rFonts w:cs="Arial"/>
                <w:color w:val="FF0000"/>
                <w:sz w:val="21"/>
                <w:szCs w:val="21"/>
              </w:rPr>
            </w:pPr>
          </w:p>
        </w:tc>
        <w:tc>
          <w:tcPr>
            <w:tcW w:w="217" w:type="dxa"/>
          </w:tcPr>
          <w:p w14:paraId="30C00F2C" w14:textId="77777777" w:rsidR="002C0FD9" w:rsidRPr="00CA25CF" w:rsidRDefault="002C0FD9" w:rsidP="00CA25CF">
            <w:pPr>
              <w:rPr>
                <w:rFonts w:cs="Arial"/>
                <w:color w:val="FF0000"/>
                <w:sz w:val="21"/>
                <w:szCs w:val="21"/>
              </w:rPr>
            </w:pPr>
          </w:p>
        </w:tc>
        <w:tc>
          <w:tcPr>
            <w:tcW w:w="217" w:type="dxa"/>
          </w:tcPr>
          <w:p w14:paraId="5312DFBA" w14:textId="77777777" w:rsidR="002C0FD9" w:rsidRPr="00CA25CF" w:rsidRDefault="002C0FD9" w:rsidP="00CA25CF">
            <w:pPr>
              <w:rPr>
                <w:rFonts w:cs="Arial"/>
                <w:color w:val="FF0000"/>
                <w:sz w:val="21"/>
                <w:szCs w:val="21"/>
              </w:rPr>
            </w:pPr>
          </w:p>
        </w:tc>
        <w:tc>
          <w:tcPr>
            <w:tcW w:w="217" w:type="dxa"/>
          </w:tcPr>
          <w:p w14:paraId="161DCD1F" w14:textId="77777777" w:rsidR="002C0FD9" w:rsidRPr="00CA25CF" w:rsidRDefault="002C0FD9" w:rsidP="00CA25CF">
            <w:pPr>
              <w:rPr>
                <w:rFonts w:cs="Arial"/>
                <w:color w:val="FF0000"/>
                <w:sz w:val="21"/>
                <w:szCs w:val="21"/>
              </w:rPr>
            </w:pPr>
          </w:p>
        </w:tc>
        <w:tc>
          <w:tcPr>
            <w:tcW w:w="217" w:type="dxa"/>
          </w:tcPr>
          <w:p w14:paraId="1052DCFB" w14:textId="77777777" w:rsidR="002C0FD9" w:rsidRPr="00CA25CF" w:rsidRDefault="002C0FD9" w:rsidP="00CA25CF">
            <w:pPr>
              <w:rPr>
                <w:rFonts w:cs="Arial"/>
                <w:color w:val="FF0000"/>
                <w:sz w:val="21"/>
                <w:szCs w:val="21"/>
              </w:rPr>
            </w:pPr>
          </w:p>
        </w:tc>
        <w:tc>
          <w:tcPr>
            <w:tcW w:w="217" w:type="dxa"/>
          </w:tcPr>
          <w:p w14:paraId="55F43DEF" w14:textId="77777777" w:rsidR="002C0FD9" w:rsidRPr="00CA25CF" w:rsidRDefault="002C0FD9" w:rsidP="00CA25CF">
            <w:pPr>
              <w:rPr>
                <w:rFonts w:cs="Arial"/>
                <w:color w:val="FF0000"/>
                <w:sz w:val="21"/>
                <w:szCs w:val="21"/>
              </w:rPr>
            </w:pPr>
          </w:p>
        </w:tc>
        <w:tc>
          <w:tcPr>
            <w:tcW w:w="217" w:type="dxa"/>
          </w:tcPr>
          <w:p w14:paraId="15F8CEDF" w14:textId="77777777" w:rsidR="002C0FD9" w:rsidRPr="00CA25CF" w:rsidRDefault="002C0FD9" w:rsidP="00CA25CF">
            <w:pPr>
              <w:rPr>
                <w:rFonts w:cs="Arial"/>
                <w:color w:val="FF0000"/>
                <w:sz w:val="21"/>
                <w:szCs w:val="21"/>
              </w:rPr>
            </w:pPr>
          </w:p>
        </w:tc>
        <w:tc>
          <w:tcPr>
            <w:tcW w:w="217" w:type="dxa"/>
          </w:tcPr>
          <w:p w14:paraId="0524FAB6" w14:textId="77777777" w:rsidR="002C0FD9" w:rsidRPr="00CA25CF" w:rsidRDefault="002C0FD9" w:rsidP="00CA25CF">
            <w:pPr>
              <w:rPr>
                <w:rFonts w:cs="Arial"/>
                <w:color w:val="FF0000"/>
                <w:sz w:val="21"/>
                <w:szCs w:val="21"/>
              </w:rPr>
            </w:pPr>
          </w:p>
        </w:tc>
        <w:tc>
          <w:tcPr>
            <w:tcW w:w="217" w:type="dxa"/>
          </w:tcPr>
          <w:p w14:paraId="76B2C658" w14:textId="77777777" w:rsidR="002C0FD9" w:rsidRPr="00CA25CF" w:rsidRDefault="002C0FD9" w:rsidP="00CA25CF">
            <w:pPr>
              <w:rPr>
                <w:rFonts w:cs="Arial"/>
                <w:color w:val="FF0000"/>
                <w:sz w:val="21"/>
                <w:szCs w:val="21"/>
              </w:rPr>
            </w:pPr>
          </w:p>
        </w:tc>
        <w:tc>
          <w:tcPr>
            <w:tcW w:w="217" w:type="dxa"/>
          </w:tcPr>
          <w:p w14:paraId="437020F2" w14:textId="77777777" w:rsidR="002C0FD9" w:rsidRPr="00CA25CF" w:rsidRDefault="002C0FD9" w:rsidP="00CA25CF">
            <w:pPr>
              <w:rPr>
                <w:rFonts w:cs="Arial"/>
                <w:color w:val="FF0000"/>
                <w:sz w:val="21"/>
                <w:szCs w:val="21"/>
              </w:rPr>
            </w:pPr>
          </w:p>
        </w:tc>
        <w:tc>
          <w:tcPr>
            <w:tcW w:w="217" w:type="dxa"/>
          </w:tcPr>
          <w:p w14:paraId="3FACAADF" w14:textId="77777777" w:rsidR="002C0FD9" w:rsidRPr="00CA25CF" w:rsidRDefault="002C0FD9" w:rsidP="00CA25CF">
            <w:pPr>
              <w:rPr>
                <w:rFonts w:cs="Arial"/>
                <w:color w:val="FF0000"/>
                <w:sz w:val="21"/>
                <w:szCs w:val="21"/>
              </w:rPr>
            </w:pPr>
          </w:p>
        </w:tc>
        <w:tc>
          <w:tcPr>
            <w:tcW w:w="217" w:type="dxa"/>
          </w:tcPr>
          <w:p w14:paraId="5E240760" w14:textId="77777777" w:rsidR="002C0FD9" w:rsidRPr="00CA25CF" w:rsidRDefault="002C0FD9" w:rsidP="00CA25CF">
            <w:pPr>
              <w:rPr>
                <w:rFonts w:cs="Arial"/>
                <w:color w:val="FF0000"/>
                <w:sz w:val="21"/>
                <w:szCs w:val="21"/>
              </w:rPr>
            </w:pPr>
          </w:p>
        </w:tc>
        <w:tc>
          <w:tcPr>
            <w:tcW w:w="217" w:type="dxa"/>
          </w:tcPr>
          <w:p w14:paraId="273BC9F7" w14:textId="77777777" w:rsidR="002C0FD9" w:rsidRPr="00CA25CF" w:rsidRDefault="002C0FD9" w:rsidP="00CA25CF">
            <w:pPr>
              <w:rPr>
                <w:rFonts w:cs="Arial"/>
                <w:color w:val="FF0000"/>
                <w:sz w:val="21"/>
                <w:szCs w:val="21"/>
              </w:rPr>
            </w:pPr>
          </w:p>
        </w:tc>
        <w:tc>
          <w:tcPr>
            <w:tcW w:w="217" w:type="dxa"/>
          </w:tcPr>
          <w:p w14:paraId="3BBFC546" w14:textId="77777777" w:rsidR="002C0FD9" w:rsidRPr="00CA25CF" w:rsidRDefault="002C0FD9" w:rsidP="00CA25CF">
            <w:pPr>
              <w:rPr>
                <w:rFonts w:cs="Arial"/>
                <w:color w:val="FF0000"/>
                <w:sz w:val="21"/>
                <w:szCs w:val="21"/>
              </w:rPr>
            </w:pPr>
          </w:p>
        </w:tc>
        <w:tc>
          <w:tcPr>
            <w:tcW w:w="217" w:type="dxa"/>
          </w:tcPr>
          <w:p w14:paraId="46FFDF47" w14:textId="77777777" w:rsidR="002C0FD9" w:rsidRPr="00CA25CF" w:rsidRDefault="002C0FD9" w:rsidP="00CA25CF">
            <w:pPr>
              <w:rPr>
                <w:rFonts w:cs="Arial"/>
                <w:color w:val="FF0000"/>
                <w:sz w:val="21"/>
                <w:szCs w:val="21"/>
              </w:rPr>
            </w:pPr>
          </w:p>
        </w:tc>
        <w:tc>
          <w:tcPr>
            <w:tcW w:w="217" w:type="dxa"/>
          </w:tcPr>
          <w:p w14:paraId="61258041" w14:textId="77777777" w:rsidR="002C0FD9" w:rsidRPr="00CA25CF" w:rsidRDefault="002C0FD9" w:rsidP="00CA25CF">
            <w:pPr>
              <w:rPr>
                <w:rFonts w:cs="Arial"/>
                <w:color w:val="FF0000"/>
                <w:sz w:val="21"/>
                <w:szCs w:val="21"/>
              </w:rPr>
            </w:pPr>
          </w:p>
        </w:tc>
        <w:tc>
          <w:tcPr>
            <w:tcW w:w="217" w:type="dxa"/>
          </w:tcPr>
          <w:p w14:paraId="76B6392B" w14:textId="77777777" w:rsidR="002C0FD9" w:rsidRPr="00CA25CF" w:rsidRDefault="002C0FD9" w:rsidP="00CA25CF">
            <w:pPr>
              <w:rPr>
                <w:rFonts w:cs="Arial"/>
                <w:color w:val="FF0000"/>
                <w:sz w:val="21"/>
                <w:szCs w:val="21"/>
              </w:rPr>
            </w:pPr>
          </w:p>
        </w:tc>
        <w:tc>
          <w:tcPr>
            <w:tcW w:w="217" w:type="dxa"/>
          </w:tcPr>
          <w:p w14:paraId="47BC149E" w14:textId="77777777" w:rsidR="002C0FD9" w:rsidRPr="00CA25CF" w:rsidRDefault="002C0FD9" w:rsidP="00CA25CF">
            <w:pPr>
              <w:rPr>
                <w:rFonts w:cs="Arial"/>
                <w:color w:val="FF0000"/>
                <w:sz w:val="21"/>
                <w:szCs w:val="21"/>
              </w:rPr>
            </w:pPr>
          </w:p>
        </w:tc>
        <w:tc>
          <w:tcPr>
            <w:tcW w:w="217" w:type="dxa"/>
          </w:tcPr>
          <w:p w14:paraId="156FBDC1" w14:textId="77777777" w:rsidR="002C0FD9" w:rsidRPr="00CA25CF" w:rsidRDefault="002C0FD9" w:rsidP="00CA25CF">
            <w:pPr>
              <w:rPr>
                <w:rFonts w:cs="Arial"/>
                <w:color w:val="FF0000"/>
                <w:sz w:val="21"/>
                <w:szCs w:val="21"/>
              </w:rPr>
            </w:pPr>
          </w:p>
        </w:tc>
        <w:tc>
          <w:tcPr>
            <w:tcW w:w="217" w:type="dxa"/>
          </w:tcPr>
          <w:p w14:paraId="7ACF4C1B" w14:textId="77777777" w:rsidR="002C0FD9" w:rsidRPr="00CA25CF" w:rsidRDefault="002C0FD9" w:rsidP="00CA25CF">
            <w:pPr>
              <w:rPr>
                <w:rFonts w:cs="Arial"/>
                <w:color w:val="FF0000"/>
                <w:sz w:val="21"/>
                <w:szCs w:val="21"/>
              </w:rPr>
            </w:pPr>
          </w:p>
        </w:tc>
      </w:tr>
      <w:tr w:rsidR="002C0FD9" w:rsidRPr="00A16219" w14:paraId="6A0A41A9" w14:textId="77777777" w:rsidTr="002C0FD9">
        <w:trPr>
          <w:trHeight w:val="635"/>
        </w:trPr>
        <w:tc>
          <w:tcPr>
            <w:tcW w:w="515" w:type="dxa"/>
          </w:tcPr>
          <w:p w14:paraId="25C2775F" w14:textId="77777777" w:rsidR="002C0FD9" w:rsidRPr="00CA25CF" w:rsidRDefault="002C0FD9" w:rsidP="00CA25CF">
            <w:pPr>
              <w:rPr>
                <w:rFonts w:cs="Arial"/>
                <w:color w:val="FF0000"/>
                <w:sz w:val="21"/>
                <w:szCs w:val="21"/>
              </w:rPr>
            </w:pPr>
          </w:p>
        </w:tc>
        <w:tc>
          <w:tcPr>
            <w:tcW w:w="217" w:type="dxa"/>
          </w:tcPr>
          <w:p w14:paraId="306A3807" w14:textId="77777777" w:rsidR="002C0FD9" w:rsidRPr="00CA25CF" w:rsidRDefault="002C0FD9" w:rsidP="00CA25CF">
            <w:pPr>
              <w:rPr>
                <w:rFonts w:cs="Arial"/>
                <w:color w:val="FF0000"/>
                <w:sz w:val="21"/>
                <w:szCs w:val="21"/>
              </w:rPr>
            </w:pPr>
          </w:p>
        </w:tc>
        <w:tc>
          <w:tcPr>
            <w:tcW w:w="217" w:type="dxa"/>
          </w:tcPr>
          <w:p w14:paraId="75F42714" w14:textId="77777777" w:rsidR="002C0FD9" w:rsidRPr="00CA25CF" w:rsidRDefault="002C0FD9" w:rsidP="00CA25CF">
            <w:pPr>
              <w:rPr>
                <w:rFonts w:cs="Arial"/>
                <w:color w:val="FF0000"/>
                <w:sz w:val="21"/>
                <w:szCs w:val="21"/>
              </w:rPr>
            </w:pPr>
          </w:p>
        </w:tc>
        <w:tc>
          <w:tcPr>
            <w:tcW w:w="217" w:type="dxa"/>
          </w:tcPr>
          <w:p w14:paraId="328C0F7F" w14:textId="77777777" w:rsidR="002C0FD9" w:rsidRPr="00CA25CF" w:rsidRDefault="002C0FD9" w:rsidP="00CA25CF">
            <w:pPr>
              <w:rPr>
                <w:rFonts w:cs="Arial"/>
                <w:color w:val="FF0000"/>
                <w:sz w:val="21"/>
                <w:szCs w:val="21"/>
              </w:rPr>
            </w:pPr>
          </w:p>
        </w:tc>
        <w:tc>
          <w:tcPr>
            <w:tcW w:w="217" w:type="dxa"/>
          </w:tcPr>
          <w:p w14:paraId="423B3DE6" w14:textId="77777777" w:rsidR="002C0FD9" w:rsidRPr="00CA25CF" w:rsidRDefault="002C0FD9" w:rsidP="00CA25CF">
            <w:pPr>
              <w:rPr>
                <w:rFonts w:cs="Arial"/>
                <w:color w:val="FF0000"/>
                <w:sz w:val="21"/>
                <w:szCs w:val="21"/>
              </w:rPr>
            </w:pPr>
          </w:p>
        </w:tc>
        <w:tc>
          <w:tcPr>
            <w:tcW w:w="217" w:type="dxa"/>
          </w:tcPr>
          <w:p w14:paraId="75C27452" w14:textId="77777777" w:rsidR="002C0FD9" w:rsidRPr="00CA25CF" w:rsidRDefault="002C0FD9" w:rsidP="00CA25CF">
            <w:pPr>
              <w:rPr>
                <w:rFonts w:cs="Arial"/>
                <w:color w:val="FF0000"/>
                <w:sz w:val="21"/>
                <w:szCs w:val="21"/>
              </w:rPr>
            </w:pPr>
          </w:p>
        </w:tc>
        <w:tc>
          <w:tcPr>
            <w:tcW w:w="217" w:type="dxa"/>
          </w:tcPr>
          <w:p w14:paraId="3FF570D7" w14:textId="77777777" w:rsidR="002C0FD9" w:rsidRPr="00CA25CF" w:rsidRDefault="002C0FD9" w:rsidP="00CA25CF">
            <w:pPr>
              <w:rPr>
                <w:rFonts w:cs="Arial"/>
                <w:color w:val="FF0000"/>
                <w:sz w:val="21"/>
                <w:szCs w:val="21"/>
              </w:rPr>
            </w:pPr>
          </w:p>
        </w:tc>
        <w:tc>
          <w:tcPr>
            <w:tcW w:w="217" w:type="dxa"/>
          </w:tcPr>
          <w:p w14:paraId="45F6B61B" w14:textId="77777777" w:rsidR="002C0FD9" w:rsidRPr="00CA25CF" w:rsidRDefault="002C0FD9" w:rsidP="00CA25CF">
            <w:pPr>
              <w:rPr>
                <w:rFonts w:cs="Arial"/>
                <w:color w:val="FF0000"/>
                <w:sz w:val="21"/>
                <w:szCs w:val="21"/>
              </w:rPr>
            </w:pPr>
          </w:p>
        </w:tc>
        <w:tc>
          <w:tcPr>
            <w:tcW w:w="217" w:type="dxa"/>
          </w:tcPr>
          <w:p w14:paraId="24B50705" w14:textId="77777777" w:rsidR="002C0FD9" w:rsidRPr="00CA25CF" w:rsidRDefault="002C0FD9" w:rsidP="00CA25CF">
            <w:pPr>
              <w:rPr>
                <w:rFonts w:cs="Arial"/>
                <w:color w:val="FF0000"/>
                <w:sz w:val="21"/>
                <w:szCs w:val="21"/>
              </w:rPr>
            </w:pPr>
          </w:p>
        </w:tc>
        <w:tc>
          <w:tcPr>
            <w:tcW w:w="217" w:type="dxa"/>
          </w:tcPr>
          <w:p w14:paraId="4FDB2328" w14:textId="77777777" w:rsidR="002C0FD9" w:rsidRPr="00CA25CF" w:rsidRDefault="002C0FD9" w:rsidP="00CA25CF">
            <w:pPr>
              <w:rPr>
                <w:rFonts w:cs="Arial"/>
                <w:color w:val="FF0000"/>
                <w:sz w:val="21"/>
                <w:szCs w:val="21"/>
              </w:rPr>
            </w:pPr>
          </w:p>
        </w:tc>
        <w:tc>
          <w:tcPr>
            <w:tcW w:w="217" w:type="dxa"/>
          </w:tcPr>
          <w:p w14:paraId="24E0954B" w14:textId="77777777" w:rsidR="002C0FD9" w:rsidRPr="00CA25CF" w:rsidRDefault="002C0FD9" w:rsidP="00CA25CF">
            <w:pPr>
              <w:rPr>
                <w:rFonts w:cs="Arial"/>
                <w:color w:val="FF0000"/>
                <w:sz w:val="21"/>
                <w:szCs w:val="21"/>
              </w:rPr>
            </w:pPr>
          </w:p>
        </w:tc>
        <w:tc>
          <w:tcPr>
            <w:tcW w:w="217" w:type="dxa"/>
          </w:tcPr>
          <w:p w14:paraId="56CC16F7" w14:textId="77777777" w:rsidR="002C0FD9" w:rsidRPr="00CA25CF" w:rsidRDefault="002C0FD9" w:rsidP="00CA25CF">
            <w:pPr>
              <w:rPr>
                <w:rFonts w:cs="Arial"/>
                <w:color w:val="FF0000"/>
                <w:sz w:val="21"/>
                <w:szCs w:val="21"/>
              </w:rPr>
            </w:pPr>
          </w:p>
        </w:tc>
        <w:tc>
          <w:tcPr>
            <w:tcW w:w="217" w:type="dxa"/>
          </w:tcPr>
          <w:p w14:paraId="6E99EED3" w14:textId="77777777" w:rsidR="002C0FD9" w:rsidRPr="00CA25CF" w:rsidRDefault="002C0FD9" w:rsidP="00CA25CF">
            <w:pPr>
              <w:rPr>
                <w:rFonts w:cs="Arial"/>
                <w:color w:val="FF0000"/>
                <w:sz w:val="21"/>
                <w:szCs w:val="21"/>
              </w:rPr>
            </w:pPr>
          </w:p>
        </w:tc>
        <w:tc>
          <w:tcPr>
            <w:tcW w:w="217" w:type="dxa"/>
          </w:tcPr>
          <w:p w14:paraId="226C007A" w14:textId="77777777" w:rsidR="002C0FD9" w:rsidRPr="00CA25CF" w:rsidRDefault="002C0FD9" w:rsidP="00CA25CF">
            <w:pPr>
              <w:rPr>
                <w:rFonts w:cs="Arial"/>
                <w:color w:val="FF0000"/>
                <w:sz w:val="21"/>
                <w:szCs w:val="21"/>
              </w:rPr>
            </w:pPr>
          </w:p>
        </w:tc>
        <w:tc>
          <w:tcPr>
            <w:tcW w:w="217" w:type="dxa"/>
          </w:tcPr>
          <w:p w14:paraId="245B0A7C" w14:textId="77777777" w:rsidR="002C0FD9" w:rsidRPr="00CA25CF" w:rsidRDefault="002C0FD9" w:rsidP="00CA25CF">
            <w:pPr>
              <w:rPr>
                <w:rFonts w:cs="Arial"/>
                <w:color w:val="FF0000"/>
                <w:sz w:val="21"/>
                <w:szCs w:val="21"/>
              </w:rPr>
            </w:pPr>
          </w:p>
        </w:tc>
        <w:tc>
          <w:tcPr>
            <w:tcW w:w="217" w:type="dxa"/>
          </w:tcPr>
          <w:p w14:paraId="53ADF96F" w14:textId="77777777" w:rsidR="002C0FD9" w:rsidRPr="00CA25CF" w:rsidRDefault="002C0FD9" w:rsidP="00CA25CF">
            <w:pPr>
              <w:rPr>
                <w:rFonts w:cs="Arial"/>
                <w:color w:val="FF0000"/>
                <w:sz w:val="21"/>
                <w:szCs w:val="21"/>
              </w:rPr>
            </w:pPr>
          </w:p>
        </w:tc>
        <w:tc>
          <w:tcPr>
            <w:tcW w:w="217" w:type="dxa"/>
          </w:tcPr>
          <w:p w14:paraId="5446EE9D" w14:textId="77777777" w:rsidR="002C0FD9" w:rsidRPr="00CA25CF" w:rsidRDefault="002C0FD9" w:rsidP="00CA25CF">
            <w:pPr>
              <w:rPr>
                <w:rFonts w:cs="Arial"/>
                <w:color w:val="FF0000"/>
                <w:sz w:val="21"/>
                <w:szCs w:val="21"/>
              </w:rPr>
            </w:pPr>
          </w:p>
        </w:tc>
        <w:tc>
          <w:tcPr>
            <w:tcW w:w="217" w:type="dxa"/>
          </w:tcPr>
          <w:p w14:paraId="403CEE54" w14:textId="77777777" w:rsidR="002C0FD9" w:rsidRPr="00CA25CF" w:rsidRDefault="002C0FD9" w:rsidP="00CA25CF">
            <w:pPr>
              <w:rPr>
                <w:rFonts w:cs="Arial"/>
                <w:color w:val="FF0000"/>
                <w:sz w:val="21"/>
                <w:szCs w:val="21"/>
              </w:rPr>
            </w:pPr>
          </w:p>
        </w:tc>
        <w:tc>
          <w:tcPr>
            <w:tcW w:w="217" w:type="dxa"/>
          </w:tcPr>
          <w:p w14:paraId="7C8FD891" w14:textId="77777777" w:rsidR="002C0FD9" w:rsidRPr="00CA25CF" w:rsidRDefault="002C0FD9" w:rsidP="00CA25CF">
            <w:pPr>
              <w:rPr>
                <w:rFonts w:cs="Arial"/>
                <w:color w:val="FF0000"/>
                <w:sz w:val="21"/>
                <w:szCs w:val="21"/>
              </w:rPr>
            </w:pPr>
          </w:p>
        </w:tc>
        <w:tc>
          <w:tcPr>
            <w:tcW w:w="217" w:type="dxa"/>
          </w:tcPr>
          <w:p w14:paraId="35741A87" w14:textId="77777777" w:rsidR="002C0FD9" w:rsidRPr="00CA25CF" w:rsidRDefault="002C0FD9" w:rsidP="00CA25CF">
            <w:pPr>
              <w:rPr>
                <w:rFonts w:cs="Arial"/>
                <w:color w:val="FF0000"/>
                <w:sz w:val="21"/>
                <w:szCs w:val="21"/>
              </w:rPr>
            </w:pPr>
          </w:p>
        </w:tc>
        <w:tc>
          <w:tcPr>
            <w:tcW w:w="217" w:type="dxa"/>
          </w:tcPr>
          <w:p w14:paraId="422A7D71" w14:textId="77777777" w:rsidR="002C0FD9" w:rsidRPr="00CA25CF" w:rsidRDefault="002C0FD9" w:rsidP="00CA25CF">
            <w:pPr>
              <w:rPr>
                <w:rFonts w:cs="Arial"/>
                <w:color w:val="FF0000"/>
                <w:sz w:val="21"/>
                <w:szCs w:val="21"/>
              </w:rPr>
            </w:pPr>
          </w:p>
        </w:tc>
        <w:tc>
          <w:tcPr>
            <w:tcW w:w="217" w:type="dxa"/>
          </w:tcPr>
          <w:p w14:paraId="731B2E11" w14:textId="77777777" w:rsidR="002C0FD9" w:rsidRPr="00CA25CF" w:rsidRDefault="002C0FD9" w:rsidP="00CA25CF">
            <w:pPr>
              <w:rPr>
                <w:rFonts w:cs="Arial"/>
                <w:color w:val="FF0000"/>
                <w:sz w:val="21"/>
                <w:szCs w:val="21"/>
              </w:rPr>
            </w:pPr>
          </w:p>
        </w:tc>
        <w:tc>
          <w:tcPr>
            <w:tcW w:w="217" w:type="dxa"/>
          </w:tcPr>
          <w:p w14:paraId="74C33018" w14:textId="77777777" w:rsidR="002C0FD9" w:rsidRPr="00CA25CF" w:rsidRDefault="002C0FD9" w:rsidP="00CA25CF">
            <w:pPr>
              <w:rPr>
                <w:rFonts w:cs="Arial"/>
                <w:color w:val="FF0000"/>
                <w:sz w:val="21"/>
                <w:szCs w:val="21"/>
              </w:rPr>
            </w:pPr>
          </w:p>
        </w:tc>
        <w:tc>
          <w:tcPr>
            <w:tcW w:w="217" w:type="dxa"/>
          </w:tcPr>
          <w:p w14:paraId="7F18F489" w14:textId="77777777" w:rsidR="002C0FD9" w:rsidRPr="00CA25CF" w:rsidRDefault="002C0FD9" w:rsidP="00CA25CF">
            <w:pPr>
              <w:rPr>
                <w:rFonts w:cs="Arial"/>
                <w:color w:val="FF0000"/>
                <w:sz w:val="21"/>
                <w:szCs w:val="21"/>
              </w:rPr>
            </w:pPr>
          </w:p>
        </w:tc>
        <w:tc>
          <w:tcPr>
            <w:tcW w:w="217" w:type="dxa"/>
          </w:tcPr>
          <w:p w14:paraId="7B6A3AA8" w14:textId="77777777" w:rsidR="002C0FD9" w:rsidRPr="00CA25CF" w:rsidRDefault="002C0FD9" w:rsidP="00CA25CF">
            <w:pPr>
              <w:rPr>
                <w:rFonts w:cs="Arial"/>
                <w:color w:val="FF0000"/>
                <w:sz w:val="21"/>
                <w:szCs w:val="21"/>
              </w:rPr>
            </w:pPr>
          </w:p>
        </w:tc>
        <w:tc>
          <w:tcPr>
            <w:tcW w:w="217" w:type="dxa"/>
          </w:tcPr>
          <w:p w14:paraId="355927DB" w14:textId="77777777" w:rsidR="002C0FD9" w:rsidRPr="00CA25CF" w:rsidRDefault="002C0FD9" w:rsidP="00CA25CF">
            <w:pPr>
              <w:rPr>
                <w:rFonts w:cs="Arial"/>
                <w:color w:val="FF0000"/>
                <w:sz w:val="21"/>
                <w:szCs w:val="21"/>
              </w:rPr>
            </w:pPr>
          </w:p>
        </w:tc>
        <w:tc>
          <w:tcPr>
            <w:tcW w:w="217" w:type="dxa"/>
          </w:tcPr>
          <w:p w14:paraId="385ADAE5" w14:textId="77777777" w:rsidR="002C0FD9" w:rsidRPr="00CA25CF" w:rsidRDefault="002C0FD9" w:rsidP="00CA25CF">
            <w:pPr>
              <w:rPr>
                <w:rFonts w:cs="Arial"/>
                <w:color w:val="FF0000"/>
                <w:sz w:val="21"/>
                <w:szCs w:val="21"/>
              </w:rPr>
            </w:pPr>
          </w:p>
        </w:tc>
        <w:tc>
          <w:tcPr>
            <w:tcW w:w="217" w:type="dxa"/>
          </w:tcPr>
          <w:p w14:paraId="108C50F8" w14:textId="77777777" w:rsidR="002C0FD9" w:rsidRPr="00CA25CF" w:rsidRDefault="002C0FD9" w:rsidP="00CA25CF">
            <w:pPr>
              <w:rPr>
                <w:rFonts w:cs="Arial"/>
                <w:color w:val="FF0000"/>
                <w:sz w:val="21"/>
                <w:szCs w:val="21"/>
              </w:rPr>
            </w:pPr>
          </w:p>
        </w:tc>
        <w:tc>
          <w:tcPr>
            <w:tcW w:w="217" w:type="dxa"/>
          </w:tcPr>
          <w:p w14:paraId="720B0266" w14:textId="77777777" w:rsidR="002C0FD9" w:rsidRPr="00CA25CF" w:rsidRDefault="002C0FD9" w:rsidP="00CA25CF">
            <w:pPr>
              <w:rPr>
                <w:rFonts w:cs="Arial"/>
                <w:color w:val="FF0000"/>
                <w:sz w:val="21"/>
                <w:szCs w:val="21"/>
              </w:rPr>
            </w:pPr>
          </w:p>
        </w:tc>
        <w:tc>
          <w:tcPr>
            <w:tcW w:w="217" w:type="dxa"/>
          </w:tcPr>
          <w:p w14:paraId="2B67E7C3" w14:textId="77777777" w:rsidR="002C0FD9" w:rsidRPr="00CA25CF" w:rsidRDefault="002C0FD9" w:rsidP="00CA25CF">
            <w:pPr>
              <w:rPr>
                <w:rFonts w:cs="Arial"/>
                <w:color w:val="FF0000"/>
                <w:sz w:val="21"/>
                <w:szCs w:val="21"/>
              </w:rPr>
            </w:pPr>
          </w:p>
        </w:tc>
        <w:tc>
          <w:tcPr>
            <w:tcW w:w="217" w:type="dxa"/>
          </w:tcPr>
          <w:p w14:paraId="4C32DC1C" w14:textId="77777777" w:rsidR="002C0FD9" w:rsidRPr="00CA25CF" w:rsidRDefault="002C0FD9" w:rsidP="00CA25CF">
            <w:pPr>
              <w:rPr>
                <w:rFonts w:cs="Arial"/>
                <w:color w:val="FF0000"/>
                <w:sz w:val="21"/>
                <w:szCs w:val="21"/>
              </w:rPr>
            </w:pPr>
          </w:p>
        </w:tc>
        <w:tc>
          <w:tcPr>
            <w:tcW w:w="217" w:type="dxa"/>
          </w:tcPr>
          <w:p w14:paraId="563307D2" w14:textId="77777777" w:rsidR="002C0FD9" w:rsidRPr="00CA25CF" w:rsidRDefault="002C0FD9" w:rsidP="00CA25CF">
            <w:pPr>
              <w:rPr>
                <w:rFonts w:cs="Arial"/>
                <w:color w:val="FF0000"/>
                <w:sz w:val="21"/>
                <w:szCs w:val="21"/>
              </w:rPr>
            </w:pPr>
          </w:p>
        </w:tc>
        <w:tc>
          <w:tcPr>
            <w:tcW w:w="217" w:type="dxa"/>
          </w:tcPr>
          <w:p w14:paraId="7EBFE178" w14:textId="77777777" w:rsidR="002C0FD9" w:rsidRPr="00CA25CF" w:rsidRDefault="002C0FD9" w:rsidP="00CA25CF">
            <w:pPr>
              <w:rPr>
                <w:rFonts w:cs="Arial"/>
                <w:color w:val="FF0000"/>
                <w:sz w:val="21"/>
                <w:szCs w:val="21"/>
              </w:rPr>
            </w:pPr>
          </w:p>
        </w:tc>
        <w:tc>
          <w:tcPr>
            <w:tcW w:w="217" w:type="dxa"/>
          </w:tcPr>
          <w:p w14:paraId="2239C529" w14:textId="77777777" w:rsidR="002C0FD9" w:rsidRPr="00CA25CF" w:rsidRDefault="002C0FD9" w:rsidP="00CA25CF">
            <w:pPr>
              <w:rPr>
                <w:rFonts w:cs="Arial"/>
                <w:color w:val="FF0000"/>
                <w:sz w:val="21"/>
                <w:szCs w:val="21"/>
              </w:rPr>
            </w:pPr>
          </w:p>
        </w:tc>
        <w:tc>
          <w:tcPr>
            <w:tcW w:w="217" w:type="dxa"/>
          </w:tcPr>
          <w:p w14:paraId="1D4D8672" w14:textId="77777777" w:rsidR="002C0FD9" w:rsidRPr="00CA25CF" w:rsidRDefault="002C0FD9" w:rsidP="00CA25CF">
            <w:pPr>
              <w:rPr>
                <w:rFonts w:cs="Arial"/>
                <w:color w:val="FF0000"/>
                <w:sz w:val="21"/>
                <w:szCs w:val="21"/>
              </w:rPr>
            </w:pPr>
          </w:p>
        </w:tc>
        <w:tc>
          <w:tcPr>
            <w:tcW w:w="217" w:type="dxa"/>
          </w:tcPr>
          <w:p w14:paraId="422B8101" w14:textId="77777777" w:rsidR="002C0FD9" w:rsidRPr="00CA25CF" w:rsidRDefault="002C0FD9" w:rsidP="00CA25CF">
            <w:pPr>
              <w:rPr>
                <w:rFonts w:cs="Arial"/>
                <w:color w:val="FF0000"/>
                <w:sz w:val="21"/>
                <w:szCs w:val="21"/>
              </w:rPr>
            </w:pPr>
          </w:p>
        </w:tc>
        <w:tc>
          <w:tcPr>
            <w:tcW w:w="217" w:type="dxa"/>
          </w:tcPr>
          <w:p w14:paraId="1A00E90B" w14:textId="77777777" w:rsidR="002C0FD9" w:rsidRPr="00CA25CF" w:rsidRDefault="002C0FD9" w:rsidP="00CA25CF">
            <w:pPr>
              <w:rPr>
                <w:rFonts w:cs="Arial"/>
                <w:color w:val="FF0000"/>
                <w:sz w:val="21"/>
                <w:szCs w:val="21"/>
              </w:rPr>
            </w:pPr>
          </w:p>
        </w:tc>
        <w:tc>
          <w:tcPr>
            <w:tcW w:w="217" w:type="dxa"/>
          </w:tcPr>
          <w:p w14:paraId="2FF91121" w14:textId="77777777" w:rsidR="002C0FD9" w:rsidRPr="00CA25CF" w:rsidRDefault="002C0FD9" w:rsidP="00CA25CF">
            <w:pPr>
              <w:rPr>
                <w:rFonts w:cs="Arial"/>
                <w:color w:val="FF0000"/>
                <w:sz w:val="21"/>
                <w:szCs w:val="21"/>
              </w:rPr>
            </w:pPr>
          </w:p>
        </w:tc>
        <w:tc>
          <w:tcPr>
            <w:tcW w:w="217" w:type="dxa"/>
          </w:tcPr>
          <w:p w14:paraId="0112F96E" w14:textId="77777777" w:rsidR="002C0FD9" w:rsidRPr="00CA25CF" w:rsidRDefault="002C0FD9" w:rsidP="00CA25CF">
            <w:pPr>
              <w:rPr>
                <w:rFonts w:cs="Arial"/>
                <w:color w:val="FF0000"/>
                <w:sz w:val="21"/>
                <w:szCs w:val="21"/>
              </w:rPr>
            </w:pPr>
          </w:p>
        </w:tc>
        <w:tc>
          <w:tcPr>
            <w:tcW w:w="217" w:type="dxa"/>
          </w:tcPr>
          <w:p w14:paraId="4FF7ADA7" w14:textId="77777777" w:rsidR="002C0FD9" w:rsidRPr="00CA25CF" w:rsidRDefault="002C0FD9" w:rsidP="00CA25CF">
            <w:pPr>
              <w:rPr>
                <w:rFonts w:cs="Arial"/>
                <w:color w:val="FF0000"/>
                <w:sz w:val="21"/>
                <w:szCs w:val="21"/>
              </w:rPr>
            </w:pPr>
          </w:p>
        </w:tc>
        <w:tc>
          <w:tcPr>
            <w:tcW w:w="217" w:type="dxa"/>
          </w:tcPr>
          <w:p w14:paraId="6BCDBE73" w14:textId="77777777" w:rsidR="002C0FD9" w:rsidRPr="00CA25CF" w:rsidRDefault="002C0FD9" w:rsidP="00CA25CF">
            <w:pPr>
              <w:rPr>
                <w:rFonts w:cs="Arial"/>
                <w:color w:val="FF0000"/>
                <w:sz w:val="21"/>
                <w:szCs w:val="21"/>
              </w:rPr>
            </w:pPr>
          </w:p>
        </w:tc>
        <w:tc>
          <w:tcPr>
            <w:tcW w:w="217" w:type="dxa"/>
          </w:tcPr>
          <w:p w14:paraId="4F1044D4" w14:textId="77777777" w:rsidR="002C0FD9" w:rsidRPr="00CA25CF" w:rsidRDefault="002C0FD9" w:rsidP="00CA25CF">
            <w:pPr>
              <w:rPr>
                <w:rFonts w:cs="Arial"/>
                <w:color w:val="FF0000"/>
                <w:sz w:val="21"/>
                <w:szCs w:val="21"/>
              </w:rPr>
            </w:pPr>
          </w:p>
        </w:tc>
        <w:tc>
          <w:tcPr>
            <w:tcW w:w="217" w:type="dxa"/>
          </w:tcPr>
          <w:p w14:paraId="3E2D4704" w14:textId="77777777" w:rsidR="002C0FD9" w:rsidRPr="00CA25CF" w:rsidRDefault="002C0FD9" w:rsidP="00CA25CF">
            <w:pPr>
              <w:rPr>
                <w:rFonts w:cs="Arial"/>
                <w:color w:val="FF0000"/>
                <w:sz w:val="21"/>
                <w:szCs w:val="21"/>
              </w:rPr>
            </w:pPr>
          </w:p>
        </w:tc>
      </w:tr>
      <w:tr w:rsidR="002C0FD9" w:rsidRPr="00A16219" w14:paraId="0DA00D6D" w14:textId="77777777" w:rsidTr="002C0FD9">
        <w:trPr>
          <w:trHeight w:val="635"/>
        </w:trPr>
        <w:tc>
          <w:tcPr>
            <w:tcW w:w="515" w:type="dxa"/>
          </w:tcPr>
          <w:p w14:paraId="2685EF1A" w14:textId="77777777" w:rsidR="002C0FD9" w:rsidRPr="00CA25CF" w:rsidRDefault="002C0FD9" w:rsidP="00CA25CF">
            <w:pPr>
              <w:rPr>
                <w:rFonts w:cs="Arial"/>
                <w:color w:val="FF0000"/>
                <w:sz w:val="21"/>
                <w:szCs w:val="21"/>
              </w:rPr>
            </w:pPr>
          </w:p>
        </w:tc>
        <w:tc>
          <w:tcPr>
            <w:tcW w:w="217" w:type="dxa"/>
          </w:tcPr>
          <w:p w14:paraId="7B3271D6" w14:textId="77777777" w:rsidR="002C0FD9" w:rsidRPr="00CA25CF" w:rsidRDefault="002C0FD9" w:rsidP="00CA25CF">
            <w:pPr>
              <w:rPr>
                <w:rFonts w:cs="Arial"/>
                <w:color w:val="FF0000"/>
                <w:sz w:val="21"/>
                <w:szCs w:val="21"/>
              </w:rPr>
            </w:pPr>
          </w:p>
        </w:tc>
        <w:tc>
          <w:tcPr>
            <w:tcW w:w="217" w:type="dxa"/>
          </w:tcPr>
          <w:p w14:paraId="59462430" w14:textId="77777777" w:rsidR="002C0FD9" w:rsidRPr="00CA25CF" w:rsidRDefault="002C0FD9" w:rsidP="00CA25CF">
            <w:pPr>
              <w:rPr>
                <w:rFonts w:cs="Arial"/>
                <w:color w:val="FF0000"/>
                <w:sz w:val="21"/>
                <w:szCs w:val="21"/>
              </w:rPr>
            </w:pPr>
          </w:p>
        </w:tc>
        <w:tc>
          <w:tcPr>
            <w:tcW w:w="217" w:type="dxa"/>
          </w:tcPr>
          <w:p w14:paraId="72E7329B" w14:textId="77777777" w:rsidR="002C0FD9" w:rsidRPr="00CA25CF" w:rsidRDefault="002C0FD9" w:rsidP="00CA25CF">
            <w:pPr>
              <w:rPr>
                <w:rFonts w:cs="Arial"/>
                <w:color w:val="FF0000"/>
                <w:sz w:val="21"/>
                <w:szCs w:val="21"/>
              </w:rPr>
            </w:pPr>
          </w:p>
        </w:tc>
        <w:tc>
          <w:tcPr>
            <w:tcW w:w="217" w:type="dxa"/>
          </w:tcPr>
          <w:p w14:paraId="2A8D571A" w14:textId="77777777" w:rsidR="002C0FD9" w:rsidRPr="00CA25CF" w:rsidRDefault="002C0FD9" w:rsidP="00CA25CF">
            <w:pPr>
              <w:rPr>
                <w:rFonts w:cs="Arial"/>
                <w:color w:val="FF0000"/>
                <w:sz w:val="21"/>
                <w:szCs w:val="21"/>
              </w:rPr>
            </w:pPr>
          </w:p>
        </w:tc>
        <w:tc>
          <w:tcPr>
            <w:tcW w:w="217" w:type="dxa"/>
          </w:tcPr>
          <w:p w14:paraId="0B533E6A" w14:textId="77777777" w:rsidR="002C0FD9" w:rsidRPr="00CA25CF" w:rsidRDefault="002C0FD9" w:rsidP="00CA25CF">
            <w:pPr>
              <w:rPr>
                <w:rFonts w:cs="Arial"/>
                <w:color w:val="FF0000"/>
                <w:sz w:val="21"/>
                <w:szCs w:val="21"/>
              </w:rPr>
            </w:pPr>
          </w:p>
        </w:tc>
        <w:tc>
          <w:tcPr>
            <w:tcW w:w="217" w:type="dxa"/>
          </w:tcPr>
          <w:p w14:paraId="138E244E" w14:textId="77777777" w:rsidR="002C0FD9" w:rsidRPr="00CA25CF" w:rsidRDefault="002C0FD9" w:rsidP="00CA25CF">
            <w:pPr>
              <w:rPr>
                <w:rFonts w:cs="Arial"/>
                <w:color w:val="FF0000"/>
                <w:sz w:val="21"/>
                <w:szCs w:val="21"/>
              </w:rPr>
            </w:pPr>
          </w:p>
        </w:tc>
        <w:tc>
          <w:tcPr>
            <w:tcW w:w="217" w:type="dxa"/>
          </w:tcPr>
          <w:p w14:paraId="4F1375DD" w14:textId="77777777" w:rsidR="002C0FD9" w:rsidRPr="00CA25CF" w:rsidRDefault="002C0FD9" w:rsidP="00CA25CF">
            <w:pPr>
              <w:rPr>
                <w:rFonts w:cs="Arial"/>
                <w:color w:val="FF0000"/>
                <w:sz w:val="21"/>
                <w:szCs w:val="21"/>
              </w:rPr>
            </w:pPr>
          </w:p>
        </w:tc>
        <w:tc>
          <w:tcPr>
            <w:tcW w:w="217" w:type="dxa"/>
          </w:tcPr>
          <w:p w14:paraId="389D7B99" w14:textId="77777777" w:rsidR="002C0FD9" w:rsidRPr="00CA25CF" w:rsidRDefault="002C0FD9" w:rsidP="00CA25CF">
            <w:pPr>
              <w:rPr>
                <w:rFonts w:cs="Arial"/>
                <w:color w:val="FF0000"/>
                <w:sz w:val="21"/>
                <w:szCs w:val="21"/>
              </w:rPr>
            </w:pPr>
          </w:p>
        </w:tc>
        <w:tc>
          <w:tcPr>
            <w:tcW w:w="217" w:type="dxa"/>
          </w:tcPr>
          <w:p w14:paraId="0C9B6E08" w14:textId="77777777" w:rsidR="002C0FD9" w:rsidRPr="00CA25CF" w:rsidRDefault="002C0FD9" w:rsidP="00CA25CF">
            <w:pPr>
              <w:rPr>
                <w:rFonts w:cs="Arial"/>
                <w:color w:val="FF0000"/>
                <w:sz w:val="21"/>
                <w:szCs w:val="21"/>
              </w:rPr>
            </w:pPr>
          </w:p>
        </w:tc>
        <w:tc>
          <w:tcPr>
            <w:tcW w:w="217" w:type="dxa"/>
          </w:tcPr>
          <w:p w14:paraId="41D8ED64" w14:textId="77777777" w:rsidR="002C0FD9" w:rsidRPr="00CA25CF" w:rsidRDefault="002C0FD9" w:rsidP="00CA25CF">
            <w:pPr>
              <w:rPr>
                <w:rFonts w:cs="Arial"/>
                <w:color w:val="FF0000"/>
                <w:sz w:val="21"/>
                <w:szCs w:val="21"/>
              </w:rPr>
            </w:pPr>
          </w:p>
        </w:tc>
        <w:tc>
          <w:tcPr>
            <w:tcW w:w="217" w:type="dxa"/>
          </w:tcPr>
          <w:p w14:paraId="3A17EFEB" w14:textId="77777777" w:rsidR="002C0FD9" w:rsidRPr="00CA25CF" w:rsidRDefault="002C0FD9" w:rsidP="00CA25CF">
            <w:pPr>
              <w:rPr>
                <w:rFonts w:cs="Arial"/>
                <w:color w:val="FF0000"/>
                <w:sz w:val="21"/>
                <w:szCs w:val="21"/>
              </w:rPr>
            </w:pPr>
          </w:p>
        </w:tc>
        <w:tc>
          <w:tcPr>
            <w:tcW w:w="217" w:type="dxa"/>
          </w:tcPr>
          <w:p w14:paraId="435BD500" w14:textId="77777777" w:rsidR="002C0FD9" w:rsidRPr="00CA25CF" w:rsidRDefault="002C0FD9" w:rsidP="00CA25CF">
            <w:pPr>
              <w:rPr>
                <w:rFonts w:cs="Arial"/>
                <w:color w:val="FF0000"/>
                <w:sz w:val="21"/>
                <w:szCs w:val="21"/>
              </w:rPr>
            </w:pPr>
          </w:p>
        </w:tc>
        <w:tc>
          <w:tcPr>
            <w:tcW w:w="217" w:type="dxa"/>
          </w:tcPr>
          <w:p w14:paraId="3507378B" w14:textId="77777777" w:rsidR="002C0FD9" w:rsidRPr="00CA25CF" w:rsidRDefault="002C0FD9" w:rsidP="00CA25CF">
            <w:pPr>
              <w:rPr>
                <w:rFonts w:cs="Arial"/>
                <w:color w:val="FF0000"/>
                <w:sz w:val="21"/>
                <w:szCs w:val="21"/>
              </w:rPr>
            </w:pPr>
          </w:p>
        </w:tc>
        <w:tc>
          <w:tcPr>
            <w:tcW w:w="217" w:type="dxa"/>
          </w:tcPr>
          <w:p w14:paraId="70EAA177" w14:textId="77777777" w:rsidR="002C0FD9" w:rsidRPr="00CA25CF" w:rsidRDefault="002C0FD9" w:rsidP="00CA25CF">
            <w:pPr>
              <w:rPr>
                <w:rFonts w:cs="Arial"/>
                <w:color w:val="FF0000"/>
                <w:sz w:val="21"/>
                <w:szCs w:val="21"/>
              </w:rPr>
            </w:pPr>
          </w:p>
        </w:tc>
        <w:tc>
          <w:tcPr>
            <w:tcW w:w="217" w:type="dxa"/>
          </w:tcPr>
          <w:p w14:paraId="7441477E" w14:textId="77777777" w:rsidR="002C0FD9" w:rsidRPr="00CA25CF" w:rsidRDefault="002C0FD9" w:rsidP="00CA25CF">
            <w:pPr>
              <w:rPr>
                <w:rFonts w:cs="Arial"/>
                <w:color w:val="FF0000"/>
                <w:sz w:val="21"/>
                <w:szCs w:val="21"/>
              </w:rPr>
            </w:pPr>
          </w:p>
        </w:tc>
        <w:tc>
          <w:tcPr>
            <w:tcW w:w="217" w:type="dxa"/>
          </w:tcPr>
          <w:p w14:paraId="076090F5" w14:textId="77777777" w:rsidR="002C0FD9" w:rsidRPr="00CA25CF" w:rsidRDefault="002C0FD9" w:rsidP="00CA25CF">
            <w:pPr>
              <w:rPr>
                <w:rFonts w:cs="Arial"/>
                <w:color w:val="FF0000"/>
                <w:sz w:val="21"/>
                <w:szCs w:val="21"/>
              </w:rPr>
            </w:pPr>
          </w:p>
        </w:tc>
        <w:tc>
          <w:tcPr>
            <w:tcW w:w="217" w:type="dxa"/>
          </w:tcPr>
          <w:p w14:paraId="1EA5B4F0" w14:textId="77777777" w:rsidR="002C0FD9" w:rsidRPr="00CA25CF" w:rsidRDefault="002C0FD9" w:rsidP="00CA25CF">
            <w:pPr>
              <w:rPr>
                <w:rFonts w:cs="Arial"/>
                <w:color w:val="FF0000"/>
                <w:sz w:val="21"/>
                <w:szCs w:val="21"/>
              </w:rPr>
            </w:pPr>
          </w:p>
        </w:tc>
        <w:tc>
          <w:tcPr>
            <w:tcW w:w="217" w:type="dxa"/>
          </w:tcPr>
          <w:p w14:paraId="561B1BED" w14:textId="77777777" w:rsidR="002C0FD9" w:rsidRPr="00CA25CF" w:rsidRDefault="002C0FD9" w:rsidP="00CA25CF">
            <w:pPr>
              <w:rPr>
                <w:rFonts w:cs="Arial"/>
                <w:color w:val="FF0000"/>
                <w:sz w:val="21"/>
                <w:szCs w:val="21"/>
              </w:rPr>
            </w:pPr>
          </w:p>
        </w:tc>
        <w:tc>
          <w:tcPr>
            <w:tcW w:w="217" w:type="dxa"/>
          </w:tcPr>
          <w:p w14:paraId="690B2A89" w14:textId="77777777" w:rsidR="002C0FD9" w:rsidRPr="00CA25CF" w:rsidRDefault="002C0FD9" w:rsidP="00CA25CF">
            <w:pPr>
              <w:rPr>
                <w:rFonts w:cs="Arial"/>
                <w:color w:val="FF0000"/>
                <w:sz w:val="21"/>
                <w:szCs w:val="21"/>
              </w:rPr>
            </w:pPr>
          </w:p>
        </w:tc>
        <w:tc>
          <w:tcPr>
            <w:tcW w:w="217" w:type="dxa"/>
          </w:tcPr>
          <w:p w14:paraId="6C6BC8FF" w14:textId="77777777" w:rsidR="002C0FD9" w:rsidRPr="00CA25CF" w:rsidRDefault="002C0FD9" w:rsidP="00CA25CF">
            <w:pPr>
              <w:rPr>
                <w:rFonts w:cs="Arial"/>
                <w:color w:val="FF0000"/>
                <w:sz w:val="21"/>
                <w:szCs w:val="21"/>
              </w:rPr>
            </w:pPr>
          </w:p>
        </w:tc>
        <w:tc>
          <w:tcPr>
            <w:tcW w:w="217" w:type="dxa"/>
          </w:tcPr>
          <w:p w14:paraId="7E0AC8CF" w14:textId="77777777" w:rsidR="002C0FD9" w:rsidRPr="00CA25CF" w:rsidRDefault="002C0FD9" w:rsidP="00CA25CF">
            <w:pPr>
              <w:rPr>
                <w:rFonts w:cs="Arial"/>
                <w:color w:val="FF0000"/>
                <w:sz w:val="21"/>
                <w:szCs w:val="21"/>
              </w:rPr>
            </w:pPr>
          </w:p>
        </w:tc>
        <w:tc>
          <w:tcPr>
            <w:tcW w:w="217" w:type="dxa"/>
          </w:tcPr>
          <w:p w14:paraId="7EC695DF" w14:textId="77777777" w:rsidR="002C0FD9" w:rsidRPr="00CA25CF" w:rsidRDefault="002C0FD9" w:rsidP="00CA25CF">
            <w:pPr>
              <w:rPr>
                <w:rFonts w:cs="Arial"/>
                <w:color w:val="FF0000"/>
                <w:sz w:val="21"/>
                <w:szCs w:val="21"/>
              </w:rPr>
            </w:pPr>
          </w:p>
        </w:tc>
        <w:tc>
          <w:tcPr>
            <w:tcW w:w="217" w:type="dxa"/>
          </w:tcPr>
          <w:p w14:paraId="237082C6" w14:textId="77777777" w:rsidR="002C0FD9" w:rsidRPr="00CA25CF" w:rsidRDefault="002C0FD9" w:rsidP="00CA25CF">
            <w:pPr>
              <w:rPr>
                <w:rFonts w:cs="Arial"/>
                <w:color w:val="FF0000"/>
                <w:sz w:val="21"/>
                <w:szCs w:val="21"/>
              </w:rPr>
            </w:pPr>
          </w:p>
        </w:tc>
        <w:tc>
          <w:tcPr>
            <w:tcW w:w="217" w:type="dxa"/>
          </w:tcPr>
          <w:p w14:paraId="2E55BC06" w14:textId="77777777" w:rsidR="002C0FD9" w:rsidRPr="00CA25CF" w:rsidRDefault="002C0FD9" w:rsidP="00CA25CF">
            <w:pPr>
              <w:rPr>
                <w:rFonts w:cs="Arial"/>
                <w:color w:val="FF0000"/>
                <w:sz w:val="21"/>
                <w:szCs w:val="21"/>
              </w:rPr>
            </w:pPr>
          </w:p>
        </w:tc>
        <w:tc>
          <w:tcPr>
            <w:tcW w:w="217" w:type="dxa"/>
          </w:tcPr>
          <w:p w14:paraId="2A1B00B5" w14:textId="77777777" w:rsidR="002C0FD9" w:rsidRPr="00CA25CF" w:rsidRDefault="002C0FD9" w:rsidP="00CA25CF">
            <w:pPr>
              <w:rPr>
                <w:rFonts w:cs="Arial"/>
                <w:color w:val="FF0000"/>
                <w:sz w:val="21"/>
                <w:szCs w:val="21"/>
              </w:rPr>
            </w:pPr>
          </w:p>
        </w:tc>
        <w:tc>
          <w:tcPr>
            <w:tcW w:w="217" w:type="dxa"/>
          </w:tcPr>
          <w:p w14:paraId="68F6E104" w14:textId="77777777" w:rsidR="002C0FD9" w:rsidRPr="00CA25CF" w:rsidRDefault="002C0FD9" w:rsidP="00CA25CF">
            <w:pPr>
              <w:rPr>
                <w:rFonts w:cs="Arial"/>
                <w:color w:val="FF0000"/>
                <w:sz w:val="21"/>
                <w:szCs w:val="21"/>
              </w:rPr>
            </w:pPr>
          </w:p>
        </w:tc>
        <w:tc>
          <w:tcPr>
            <w:tcW w:w="217" w:type="dxa"/>
          </w:tcPr>
          <w:p w14:paraId="6223384F" w14:textId="77777777" w:rsidR="002C0FD9" w:rsidRPr="00CA25CF" w:rsidRDefault="002C0FD9" w:rsidP="00CA25CF">
            <w:pPr>
              <w:rPr>
                <w:rFonts w:cs="Arial"/>
                <w:color w:val="FF0000"/>
                <w:sz w:val="21"/>
                <w:szCs w:val="21"/>
              </w:rPr>
            </w:pPr>
          </w:p>
        </w:tc>
        <w:tc>
          <w:tcPr>
            <w:tcW w:w="217" w:type="dxa"/>
          </w:tcPr>
          <w:p w14:paraId="7C341114" w14:textId="77777777" w:rsidR="002C0FD9" w:rsidRPr="00CA25CF" w:rsidRDefault="002C0FD9" w:rsidP="00CA25CF">
            <w:pPr>
              <w:rPr>
                <w:rFonts w:cs="Arial"/>
                <w:color w:val="FF0000"/>
                <w:sz w:val="21"/>
                <w:szCs w:val="21"/>
              </w:rPr>
            </w:pPr>
          </w:p>
        </w:tc>
        <w:tc>
          <w:tcPr>
            <w:tcW w:w="217" w:type="dxa"/>
          </w:tcPr>
          <w:p w14:paraId="7480190F" w14:textId="77777777" w:rsidR="002C0FD9" w:rsidRPr="00CA25CF" w:rsidRDefault="002C0FD9" w:rsidP="00CA25CF">
            <w:pPr>
              <w:rPr>
                <w:rFonts w:cs="Arial"/>
                <w:color w:val="FF0000"/>
                <w:sz w:val="21"/>
                <w:szCs w:val="21"/>
              </w:rPr>
            </w:pPr>
          </w:p>
        </w:tc>
        <w:tc>
          <w:tcPr>
            <w:tcW w:w="217" w:type="dxa"/>
          </w:tcPr>
          <w:p w14:paraId="714E4AC2" w14:textId="77777777" w:rsidR="002C0FD9" w:rsidRPr="00CA25CF" w:rsidRDefault="002C0FD9" w:rsidP="00CA25CF">
            <w:pPr>
              <w:rPr>
                <w:rFonts w:cs="Arial"/>
                <w:color w:val="FF0000"/>
                <w:sz w:val="21"/>
                <w:szCs w:val="21"/>
              </w:rPr>
            </w:pPr>
          </w:p>
        </w:tc>
        <w:tc>
          <w:tcPr>
            <w:tcW w:w="217" w:type="dxa"/>
          </w:tcPr>
          <w:p w14:paraId="6396ED7C" w14:textId="77777777" w:rsidR="002C0FD9" w:rsidRPr="00CA25CF" w:rsidRDefault="002C0FD9" w:rsidP="00CA25CF">
            <w:pPr>
              <w:rPr>
                <w:rFonts w:cs="Arial"/>
                <w:color w:val="FF0000"/>
                <w:sz w:val="21"/>
                <w:szCs w:val="21"/>
              </w:rPr>
            </w:pPr>
          </w:p>
        </w:tc>
        <w:tc>
          <w:tcPr>
            <w:tcW w:w="217" w:type="dxa"/>
          </w:tcPr>
          <w:p w14:paraId="30219560" w14:textId="77777777" w:rsidR="002C0FD9" w:rsidRPr="00CA25CF" w:rsidRDefault="002C0FD9" w:rsidP="00CA25CF">
            <w:pPr>
              <w:rPr>
                <w:rFonts w:cs="Arial"/>
                <w:color w:val="FF0000"/>
                <w:sz w:val="21"/>
                <w:szCs w:val="21"/>
              </w:rPr>
            </w:pPr>
          </w:p>
        </w:tc>
        <w:tc>
          <w:tcPr>
            <w:tcW w:w="217" w:type="dxa"/>
          </w:tcPr>
          <w:p w14:paraId="136C49DC" w14:textId="77777777" w:rsidR="002C0FD9" w:rsidRPr="00CA25CF" w:rsidRDefault="002C0FD9" w:rsidP="00CA25CF">
            <w:pPr>
              <w:rPr>
                <w:rFonts w:cs="Arial"/>
                <w:color w:val="FF0000"/>
                <w:sz w:val="21"/>
                <w:szCs w:val="21"/>
              </w:rPr>
            </w:pPr>
          </w:p>
        </w:tc>
        <w:tc>
          <w:tcPr>
            <w:tcW w:w="217" w:type="dxa"/>
          </w:tcPr>
          <w:p w14:paraId="3C5A496D" w14:textId="77777777" w:rsidR="002C0FD9" w:rsidRPr="00CA25CF" w:rsidRDefault="002C0FD9" w:rsidP="00CA25CF">
            <w:pPr>
              <w:rPr>
                <w:rFonts w:cs="Arial"/>
                <w:color w:val="FF0000"/>
                <w:sz w:val="21"/>
                <w:szCs w:val="21"/>
              </w:rPr>
            </w:pPr>
          </w:p>
        </w:tc>
        <w:tc>
          <w:tcPr>
            <w:tcW w:w="217" w:type="dxa"/>
          </w:tcPr>
          <w:p w14:paraId="6EBF9F87" w14:textId="77777777" w:rsidR="002C0FD9" w:rsidRPr="00CA25CF" w:rsidRDefault="002C0FD9" w:rsidP="00CA25CF">
            <w:pPr>
              <w:rPr>
                <w:rFonts w:cs="Arial"/>
                <w:color w:val="FF0000"/>
                <w:sz w:val="21"/>
                <w:szCs w:val="21"/>
              </w:rPr>
            </w:pPr>
          </w:p>
        </w:tc>
        <w:tc>
          <w:tcPr>
            <w:tcW w:w="217" w:type="dxa"/>
          </w:tcPr>
          <w:p w14:paraId="48580271" w14:textId="77777777" w:rsidR="002C0FD9" w:rsidRPr="00CA25CF" w:rsidRDefault="002C0FD9" w:rsidP="00CA25CF">
            <w:pPr>
              <w:rPr>
                <w:rFonts w:cs="Arial"/>
                <w:color w:val="FF0000"/>
                <w:sz w:val="21"/>
                <w:szCs w:val="21"/>
              </w:rPr>
            </w:pPr>
          </w:p>
        </w:tc>
        <w:tc>
          <w:tcPr>
            <w:tcW w:w="217" w:type="dxa"/>
          </w:tcPr>
          <w:p w14:paraId="73628163" w14:textId="77777777" w:rsidR="002C0FD9" w:rsidRPr="00CA25CF" w:rsidRDefault="002C0FD9" w:rsidP="00CA25CF">
            <w:pPr>
              <w:rPr>
                <w:rFonts w:cs="Arial"/>
                <w:color w:val="FF0000"/>
                <w:sz w:val="21"/>
                <w:szCs w:val="21"/>
              </w:rPr>
            </w:pPr>
          </w:p>
        </w:tc>
        <w:tc>
          <w:tcPr>
            <w:tcW w:w="217" w:type="dxa"/>
          </w:tcPr>
          <w:p w14:paraId="250AB917" w14:textId="77777777" w:rsidR="002C0FD9" w:rsidRPr="00CA25CF" w:rsidRDefault="002C0FD9" w:rsidP="00CA25CF">
            <w:pPr>
              <w:rPr>
                <w:rFonts w:cs="Arial"/>
                <w:color w:val="FF0000"/>
                <w:sz w:val="21"/>
                <w:szCs w:val="21"/>
              </w:rPr>
            </w:pPr>
          </w:p>
        </w:tc>
        <w:tc>
          <w:tcPr>
            <w:tcW w:w="217" w:type="dxa"/>
          </w:tcPr>
          <w:p w14:paraId="276B6014" w14:textId="77777777" w:rsidR="002C0FD9" w:rsidRPr="00CA25CF" w:rsidRDefault="002C0FD9" w:rsidP="00CA25CF">
            <w:pPr>
              <w:rPr>
                <w:rFonts w:cs="Arial"/>
                <w:color w:val="FF0000"/>
                <w:sz w:val="21"/>
                <w:szCs w:val="21"/>
              </w:rPr>
            </w:pPr>
          </w:p>
        </w:tc>
        <w:tc>
          <w:tcPr>
            <w:tcW w:w="217" w:type="dxa"/>
          </w:tcPr>
          <w:p w14:paraId="5D51A5FF" w14:textId="77777777" w:rsidR="002C0FD9" w:rsidRPr="00CA25CF" w:rsidRDefault="002C0FD9" w:rsidP="00CA25CF">
            <w:pPr>
              <w:rPr>
                <w:rFonts w:cs="Arial"/>
                <w:color w:val="FF0000"/>
                <w:sz w:val="21"/>
                <w:szCs w:val="21"/>
              </w:rPr>
            </w:pPr>
          </w:p>
        </w:tc>
        <w:tc>
          <w:tcPr>
            <w:tcW w:w="217" w:type="dxa"/>
          </w:tcPr>
          <w:p w14:paraId="205A1376" w14:textId="77777777" w:rsidR="002C0FD9" w:rsidRPr="00CA25CF" w:rsidRDefault="002C0FD9" w:rsidP="00CA25CF">
            <w:pPr>
              <w:rPr>
                <w:rFonts w:cs="Arial"/>
                <w:color w:val="FF0000"/>
                <w:sz w:val="21"/>
                <w:szCs w:val="21"/>
              </w:rPr>
            </w:pPr>
          </w:p>
        </w:tc>
        <w:tc>
          <w:tcPr>
            <w:tcW w:w="217" w:type="dxa"/>
          </w:tcPr>
          <w:p w14:paraId="3AA957F4" w14:textId="77777777" w:rsidR="002C0FD9" w:rsidRPr="00CA25CF" w:rsidRDefault="002C0FD9" w:rsidP="00CA25CF">
            <w:pPr>
              <w:rPr>
                <w:rFonts w:cs="Arial"/>
                <w:color w:val="FF0000"/>
                <w:sz w:val="21"/>
                <w:szCs w:val="21"/>
              </w:rPr>
            </w:pPr>
          </w:p>
        </w:tc>
      </w:tr>
      <w:tr w:rsidR="002C0FD9" w:rsidRPr="00A16219" w14:paraId="2C749A4F" w14:textId="77777777" w:rsidTr="002C0FD9">
        <w:trPr>
          <w:trHeight w:val="635"/>
        </w:trPr>
        <w:tc>
          <w:tcPr>
            <w:tcW w:w="515" w:type="dxa"/>
          </w:tcPr>
          <w:p w14:paraId="502FC3A5" w14:textId="77777777" w:rsidR="002C0FD9" w:rsidRPr="00CA25CF" w:rsidRDefault="002C0FD9" w:rsidP="00CA25CF">
            <w:pPr>
              <w:rPr>
                <w:rFonts w:cs="Arial"/>
                <w:color w:val="FF0000"/>
                <w:sz w:val="21"/>
                <w:szCs w:val="21"/>
              </w:rPr>
            </w:pPr>
          </w:p>
        </w:tc>
        <w:tc>
          <w:tcPr>
            <w:tcW w:w="217" w:type="dxa"/>
          </w:tcPr>
          <w:p w14:paraId="537181DC" w14:textId="77777777" w:rsidR="002C0FD9" w:rsidRPr="00CA25CF" w:rsidRDefault="002C0FD9" w:rsidP="00CA25CF">
            <w:pPr>
              <w:rPr>
                <w:rFonts w:cs="Arial"/>
                <w:color w:val="FF0000"/>
                <w:sz w:val="21"/>
                <w:szCs w:val="21"/>
              </w:rPr>
            </w:pPr>
          </w:p>
        </w:tc>
        <w:tc>
          <w:tcPr>
            <w:tcW w:w="217" w:type="dxa"/>
          </w:tcPr>
          <w:p w14:paraId="448FA47F" w14:textId="77777777" w:rsidR="002C0FD9" w:rsidRPr="00CA25CF" w:rsidRDefault="002C0FD9" w:rsidP="00CA25CF">
            <w:pPr>
              <w:rPr>
                <w:rFonts w:cs="Arial"/>
                <w:color w:val="FF0000"/>
                <w:sz w:val="21"/>
                <w:szCs w:val="21"/>
              </w:rPr>
            </w:pPr>
          </w:p>
        </w:tc>
        <w:tc>
          <w:tcPr>
            <w:tcW w:w="217" w:type="dxa"/>
          </w:tcPr>
          <w:p w14:paraId="55A6723A" w14:textId="77777777" w:rsidR="002C0FD9" w:rsidRPr="00CA25CF" w:rsidRDefault="002C0FD9" w:rsidP="00CA25CF">
            <w:pPr>
              <w:rPr>
                <w:rFonts w:cs="Arial"/>
                <w:color w:val="FF0000"/>
                <w:sz w:val="21"/>
                <w:szCs w:val="21"/>
              </w:rPr>
            </w:pPr>
          </w:p>
        </w:tc>
        <w:tc>
          <w:tcPr>
            <w:tcW w:w="217" w:type="dxa"/>
          </w:tcPr>
          <w:p w14:paraId="6D790FF5" w14:textId="77777777" w:rsidR="002C0FD9" w:rsidRPr="00CA25CF" w:rsidRDefault="002C0FD9" w:rsidP="00CA25CF">
            <w:pPr>
              <w:rPr>
                <w:rFonts w:cs="Arial"/>
                <w:color w:val="FF0000"/>
                <w:sz w:val="21"/>
                <w:szCs w:val="21"/>
              </w:rPr>
            </w:pPr>
          </w:p>
        </w:tc>
        <w:tc>
          <w:tcPr>
            <w:tcW w:w="217" w:type="dxa"/>
          </w:tcPr>
          <w:p w14:paraId="586611A1" w14:textId="77777777" w:rsidR="002C0FD9" w:rsidRPr="00CA25CF" w:rsidRDefault="002C0FD9" w:rsidP="00CA25CF">
            <w:pPr>
              <w:rPr>
                <w:rFonts w:cs="Arial"/>
                <w:color w:val="FF0000"/>
                <w:sz w:val="21"/>
                <w:szCs w:val="21"/>
              </w:rPr>
            </w:pPr>
          </w:p>
        </w:tc>
        <w:tc>
          <w:tcPr>
            <w:tcW w:w="217" w:type="dxa"/>
          </w:tcPr>
          <w:p w14:paraId="5EBF2F6B" w14:textId="77777777" w:rsidR="002C0FD9" w:rsidRPr="00CA25CF" w:rsidRDefault="002C0FD9" w:rsidP="00CA25CF">
            <w:pPr>
              <w:rPr>
                <w:rFonts w:cs="Arial"/>
                <w:color w:val="FF0000"/>
                <w:sz w:val="21"/>
                <w:szCs w:val="21"/>
              </w:rPr>
            </w:pPr>
          </w:p>
        </w:tc>
        <w:tc>
          <w:tcPr>
            <w:tcW w:w="217" w:type="dxa"/>
          </w:tcPr>
          <w:p w14:paraId="678B0538" w14:textId="77777777" w:rsidR="002C0FD9" w:rsidRPr="00CA25CF" w:rsidRDefault="002C0FD9" w:rsidP="00CA25CF">
            <w:pPr>
              <w:rPr>
                <w:rFonts w:cs="Arial"/>
                <w:color w:val="FF0000"/>
                <w:sz w:val="21"/>
                <w:szCs w:val="21"/>
              </w:rPr>
            </w:pPr>
          </w:p>
        </w:tc>
        <w:tc>
          <w:tcPr>
            <w:tcW w:w="217" w:type="dxa"/>
          </w:tcPr>
          <w:p w14:paraId="5B541E04" w14:textId="77777777" w:rsidR="002C0FD9" w:rsidRPr="00CA25CF" w:rsidRDefault="002C0FD9" w:rsidP="00CA25CF">
            <w:pPr>
              <w:rPr>
                <w:rFonts w:cs="Arial"/>
                <w:color w:val="FF0000"/>
                <w:sz w:val="21"/>
                <w:szCs w:val="21"/>
              </w:rPr>
            </w:pPr>
          </w:p>
        </w:tc>
        <w:tc>
          <w:tcPr>
            <w:tcW w:w="217" w:type="dxa"/>
          </w:tcPr>
          <w:p w14:paraId="45107624" w14:textId="77777777" w:rsidR="002C0FD9" w:rsidRPr="00CA25CF" w:rsidRDefault="002C0FD9" w:rsidP="00CA25CF">
            <w:pPr>
              <w:rPr>
                <w:rFonts w:cs="Arial"/>
                <w:color w:val="FF0000"/>
                <w:sz w:val="21"/>
                <w:szCs w:val="21"/>
              </w:rPr>
            </w:pPr>
          </w:p>
        </w:tc>
        <w:tc>
          <w:tcPr>
            <w:tcW w:w="217" w:type="dxa"/>
          </w:tcPr>
          <w:p w14:paraId="23911221" w14:textId="77777777" w:rsidR="002C0FD9" w:rsidRPr="00CA25CF" w:rsidRDefault="002C0FD9" w:rsidP="00CA25CF">
            <w:pPr>
              <w:rPr>
                <w:rFonts w:cs="Arial"/>
                <w:color w:val="FF0000"/>
                <w:sz w:val="21"/>
                <w:szCs w:val="21"/>
              </w:rPr>
            </w:pPr>
          </w:p>
        </w:tc>
        <w:tc>
          <w:tcPr>
            <w:tcW w:w="217" w:type="dxa"/>
          </w:tcPr>
          <w:p w14:paraId="0F7147AB" w14:textId="77777777" w:rsidR="002C0FD9" w:rsidRPr="00CA25CF" w:rsidRDefault="002C0FD9" w:rsidP="00CA25CF">
            <w:pPr>
              <w:rPr>
                <w:rFonts w:cs="Arial"/>
                <w:color w:val="FF0000"/>
                <w:sz w:val="21"/>
                <w:szCs w:val="21"/>
              </w:rPr>
            </w:pPr>
          </w:p>
        </w:tc>
        <w:tc>
          <w:tcPr>
            <w:tcW w:w="217" w:type="dxa"/>
          </w:tcPr>
          <w:p w14:paraId="07D73022" w14:textId="77777777" w:rsidR="002C0FD9" w:rsidRPr="00CA25CF" w:rsidRDefault="002C0FD9" w:rsidP="00CA25CF">
            <w:pPr>
              <w:rPr>
                <w:rFonts w:cs="Arial"/>
                <w:color w:val="FF0000"/>
                <w:sz w:val="21"/>
                <w:szCs w:val="21"/>
              </w:rPr>
            </w:pPr>
          </w:p>
        </w:tc>
        <w:tc>
          <w:tcPr>
            <w:tcW w:w="217" w:type="dxa"/>
          </w:tcPr>
          <w:p w14:paraId="655E46FD" w14:textId="77777777" w:rsidR="002C0FD9" w:rsidRPr="00CA25CF" w:rsidRDefault="002C0FD9" w:rsidP="00CA25CF">
            <w:pPr>
              <w:rPr>
                <w:rFonts w:cs="Arial"/>
                <w:color w:val="FF0000"/>
                <w:sz w:val="21"/>
                <w:szCs w:val="21"/>
              </w:rPr>
            </w:pPr>
          </w:p>
        </w:tc>
        <w:tc>
          <w:tcPr>
            <w:tcW w:w="217" w:type="dxa"/>
          </w:tcPr>
          <w:p w14:paraId="6CD6526A" w14:textId="77777777" w:rsidR="002C0FD9" w:rsidRPr="00CA25CF" w:rsidRDefault="002C0FD9" w:rsidP="00CA25CF">
            <w:pPr>
              <w:rPr>
                <w:rFonts w:cs="Arial"/>
                <w:color w:val="FF0000"/>
                <w:sz w:val="21"/>
                <w:szCs w:val="21"/>
              </w:rPr>
            </w:pPr>
          </w:p>
        </w:tc>
        <w:tc>
          <w:tcPr>
            <w:tcW w:w="217" w:type="dxa"/>
          </w:tcPr>
          <w:p w14:paraId="7524AC08" w14:textId="77777777" w:rsidR="002C0FD9" w:rsidRPr="00CA25CF" w:rsidRDefault="002C0FD9" w:rsidP="00CA25CF">
            <w:pPr>
              <w:rPr>
                <w:rFonts w:cs="Arial"/>
                <w:color w:val="FF0000"/>
                <w:sz w:val="21"/>
                <w:szCs w:val="21"/>
              </w:rPr>
            </w:pPr>
          </w:p>
        </w:tc>
        <w:tc>
          <w:tcPr>
            <w:tcW w:w="217" w:type="dxa"/>
          </w:tcPr>
          <w:p w14:paraId="1AE8B4F5" w14:textId="77777777" w:rsidR="002C0FD9" w:rsidRPr="00CA25CF" w:rsidRDefault="002C0FD9" w:rsidP="00CA25CF">
            <w:pPr>
              <w:rPr>
                <w:rFonts w:cs="Arial"/>
                <w:color w:val="FF0000"/>
                <w:sz w:val="21"/>
                <w:szCs w:val="21"/>
              </w:rPr>
            </w:pPr>
          </w:p>
        </w:tc>
        <w:tc>
          <w:tcPr>
            <w:tcW w:w="217" w:type="dxa"/>
          </w:tcPr>
          <w:p w14:paraId="6C72CCD4" w14:textId="77777777" w:rsidR="002C0FD9" w:rsidRPr="00CA25CF" w:rsidRDefault="002C0FD9" w:rsidP="00CA25CF">
            <w:pPr>
              <w:rPr>
                <w:rFonts w:cs="Arial"/>
                <w:color w:val="FF0000"/>
                <w:sz w:val="21"/>
                <w:szCs w:val="21"/>
              </w:rPr>
            </w:pPr>
          </w:p>
        </w:tc>
        <w:tc>
          <w:tcPr>
            <w:tcW w:w="217" w:type="dxa"/>
          </w:tcPr>
          <w:p w14:paraId="0B28D934" w14:textId="77777777" w:rsidR="002C0FD9" w:rsidRPr="00CA25CF" w:rsidRDefault="002C0FD9" w:rsidP="00CA25CF">
            <w:pPr>
              <w:rPr>
                <w:rFonts w:cs="Arial"/>
                <w:color w:val="FF0000"/>
                <w:sz w:val="21"/>
                <w:szCs w:val="21"/>
              </w:rPr>
            </w:pPr>
          </w:p>
        </w:tc>
        <w:tc>
          <w:tcPr>
            <w:tcW w:w="217" w:type="dxa"/>
          </w:tcPr>
          <w:p w14:paraId="392160DB" w14:textId="77777777" w:rsidR="002C0FD9" w:rsidRPr="00CA25CF" w:rsidRDefault="002C0FD9" w:rsidP="00CA25CF">
            <w:pPr>
              <w:rPr>
                <w:rFonts w:cs="Arial"/>
                <w:color w:val="FF0000"/>
                <w:sz w:val="21"/>
                <w:szCs w:val="21"/>
              </w:rPr>
            </w:pPr>
          </w:p>
        </w:tc>
        <w:tc>
          <w:tcPr>
            <w:tcW w:w="217" w:type="dxa"/>
          </w:tcPr>
          <w:p w14:paraId="508D778A" w14:textId="77777777" w:rsidR="002C0FD9" w:rsidRPr="00CA25CF" w:rsidRDefault="002C0FD9" w:rsidP="00CA25CF">
            <w:pPr>
              <w:rPr>
                <w:rFonts w:cs="Arial"/>
                <w:color w:val="FF0000"/>
                <w:sz w:val="21"/>
                <w:szCs w:val="21"/>
              </w:rPr>
            </w:pPr>
          </w:p>
        </w:tc>
        <w:tc>
          <w:tcPr>
            <w:tcW w:w="217" w:type="dxa"/>
          </w:tcPr>
          <w:p w14:paraId="5E2FDBFF" w14:textId="77777777" w:rsidR="002C0FD9" w:rsidRPr="00CA25CF" w:rsidRDefault="002C0FD9" w:rsidP="00CA25CF">
            <w:pPr>
              <w:rPr>
                <w:rFonts w:cs="Arial"/>
                <w:color w:val="FF0000"/>
                <w:sz w:val="21"/>
                <w:szCs w:val="21"/>
              </w:rPr>
            </w:pPr>
          </w:p>
        </w:tc>
        <w:tc>
          <w:tcPr>
            <w:tcW w:w="217" w:type="dxa"/>
          </w:tcPr>
          <w:p w14:paraId="6D17B0EE" w14:textId="77777777" w:rsidR="002C0FD9" w:rsidRPr="00CA25CF" w:rsidRDefault="002C0FD9" w:rsidP="00CA25CF">
            <w:pPr>
              <w:rPr>
                <w:rFonts w:cs="Arial"/>
                <w:color w:val="FF0000"/>
                <w:sz w:val="21"/>
                <w:szCs w:val="21"/>
              </w:rPr>
            </w:pPr>
          </w:p>
        </w:tc>
        <w:tc>
          <w:tcPr>
            <w:tcW w:w="217" w:type="dxa"/>
          </w:tcPr>
          <w:p w14:paraId="40EB9EDC" w14:textId="77777777" w:rsidR="002C0FD9" w:rsidRPr="00CA25CF" w:rsidRDefault="002C0FD9" w:rsidP="00CA25CF">
            <w:pPr>
              <w:rPr>
                <w:rFonts w:cs="Arial"/>
                <w:color w:val="FF0000"/>
                <w:sz w:val="21"/>
                <w:szCs w:val="21"/>
              </w:rPr>
            </w:pPr>
          </w:p>
        </w:tc>
        <w:tc>
          <w:tcPr>
            <w:tcW w:w="217" w:type="dxa"/>
          </w:tcPr>
          <w:p w14:paraId="2A3A3644" w14:textId="77777777" w:rsidR="002C0FD9" w:rsidRPr="00CA25CF" w:rsidRDefault="002C0FD9" w:rsidP="00CA25CF">
            <w:pPr>
              <w:rPr>
                <w:rFonts w:cs="Arial"/>
                <w:color w:val="FF0000"/>
                <w:sz w:val="21"/>
                <w:szCs w:val="21"/>
              </w:rPr>
            </w:pPr>
          </w:p>
        </w:tc>
        <w:tc>
          <w:tcPr>
            <w:tcW w:w="217" w:type="dxa"/>
          </w:tcPr>
          <w:p w14:paraId="1640881A" w14:textId="77777777" w:rsidR="002C0FD9" w:rsidRPr="00CA25CF" w:rsidRDefault="002C0FD9" w:rsidP="00CA25CF">
            <w:pPr>
              <w:rPr>
                <w:rFonts w:cs="Arial"/>
                <w:color w:val="FF0000"/>
                <w:sz w:val="21"/>
                <w:szCs w:val="21"/>
              </w:rPr>
            </w:pPr>
          </w:p>
        </w:tc>
        <w:tc>
          <w:tcPr>
            <w:tcW w:w="217" w:type="dxa"/>
          </w:tcPr>
          <w:p w14:paraId="44B2062B" w14:textId="77777777" w:rsidR="002C0FD9" w:rsidRPr="00CA25CF" w:rsidRDefault="002C0FD9" w:rsidP="00CA25CF">
            <w:pPr>
              <w:rPr>
                <w:rFonts w:cs="Arial"/>
                <w:color w:val="FF0000"/>
                <w:sz w:val="21"/>
                <w:szCs w:val="21"/>
              </w:rPr>
            </w:pPr>
          </w:p>
        </w:tc>
        <w:tc>
          <w:tcPr>
            <w:tcW w:w="217" w:type="dxa"/>
          </w:tcPr>
          <w:p w14:paraId="7CA3665A" w14:textId="77777777" w:rsidR="002C0FD9" w:rsidRPr="00CA25CF" w:rsidRDefault="002C0FD9" w:rsidP="00CA25CF">
            <w:pPr>
              <w:rPr>
                <w:rFonts w:cs="Arial"/>
                <w:color w:val="FF0000"/>
                <w:sz w:val="21"/>
                <w:szCs w:val="21"/>
              </w:rPr>
            </w:pPr>
          </w:p>
        </w:tc>
        <w:tc>
          <w:tcPr>
            <w:tcW w:w="217" w:type="dxa"/>
          </w:tcPr>
          <w:p w14:paraId="239A7685" w14:textId="77777777" w:rsidR="002C0FD9" w:rsidRPr="00CA25CF" w:rsidRDefault="002C0FD9" w:rsidP="00CA25CF">
            <w:pPr>
              <w:rPr>
                <w:rFonts w:cs="Arial"/>
                <w:color w:val="FF0000"/>
                <w:sz w:val="21"/>
                <w:szCs w:val="21"/>
              </w:rPr>
            </w:pPr>
          </w:p>
        </w:tc>
        <w:tc>
          <w:tcPr>
            <w:tcW w:w="217" w:type="dxa"/>
          </w:tcPr>
          <w:p w14:paraId="77C18E7A" w14:textId="77777777" w:rsidR="002C0FD9" w:rsidRPr="00CA25CF" w:rsidRDefault="002C0FD9" w:rsidP="00CA25CF">
            <w:pPr>
              <w:rPr>
                <w:rFonts w:cs="Arial"/>
                <w:color w:val="FF0000"/>
                <w:sz w:val="21"/>
                <w:szCs w:val="21"/>
              </w:rPr>
            </w:pPr>
          </w:p>
        </w:tc>
        <w:tc>
          <w:tcPr>
            <w:tcW w:w="217" w:type="dxa"/>
          </w:tcPr>
          <w:p w14:paraId="5783C712" w14:textId="77777777" w:rsidR="002C0FD9" w:rsidRPr="00CA25CF" w:rsidRDefault="002C0FD9" w:rsidP="00CA25CF">
            <w:pPr>
              <w:rPr>
                <w:rFonts w:cs="Arial"/>
                <w:color w:val="FF0000"/>
                <w:sz w:val="21"/>
                <w:szCs w:val="21"/>
              </w:rPr>
            </w:pPr>
          </w:p>
        </w:tc>
        <w:tc>
          <w:tcPr>
            <w:tcW w:w="217" w:type="dxa"/>
          </w:tcPr>
          <w:p w14:paraId="7578D4D4" w14:textId="77777777" w:rsidR="002C0FD9" w:rsidRPr="00CA25CF" w:rsidRDefault="002C0FD9" w:rsidP="00CA25CF">
            <w:pPr>
              <w:rPr>
                <w:rFonts w:cs="Arial"/>
                <w:color w:val="FF0000"/>
                <w:sz w:val="21"/>
                <w:szCs w:val="21"/>
              </w:rPr>
            </w:pPr>
          </w:p>
        </w:tc>
        <w:tc>
          <w:tcPr>
            <w:tcW w:w="217" w:type="dxa"/>
          </w:tcPr>
          <w:p w14:paraId="3789BA4F" w14:textId="77777777" w:rsidR="002C0FD9" w:rsidRPr="00CA25CF" w:rsidRDefault="002C0FD9" w:rsidP="00CA25CF">
            <w:pPr>
              <w:rPr>
                <w:rFonts w:cs="Arial"/>
                <w:color w:val="FF0000"/>
                <w:sz w:val="21"/>
                <w:szCs w:val="21"/>
              </w:rPr>
            </w:pPr>
          </w:p>
        </w:tc>
        <w:tc>
          <w:tcPr>
            <w:tcW w:w="217" w:type="dxa"/>
          </w:tcPr>
          <w:p w14:paraId="39BD34C1" w14:textId="77777777" w:rsidR="002C0FD9" w:rsidRPr="00CA25CF" w:rsidRDefault="002C0FD9" w:rsidP="00CA25CF">
            <w:pPr>
              <w:rPr>
                <w:rFonts w:cs="Arial"/>
                <w:color w:val="FF0000"/>
                <w:sz w:val="21"/>
                <w:szCs w:val="21"/>
              </w:rPr>
            </w:pPr>
          </w:p>
        </w:tc>
        <w:tc>
          <w:tcPr>
            <w:tcW w:w="217" w:type="dxa"/>
          </w:tcPr>
          <w:p w14:paraId="2A9D919A" w14:textId="77777777" w:rsidR="002C0FD9" w:rsidRPr="00CA25CF" w:rsidRDefault="002C0FD9" w:rsidP="00CA25CF">
            <w:pPr>
              <w:rPr>
                <w:rFonts w:cs="Arial"/>
                <w:color w:val="FF0000"/>
                <w:sz w:val="21"/>
                <w:szCs w:val="21"/>
              </w:rPr>
            </w:pPr>
          </w:p>
        </w:tc>
        <w:tc>
          <w:tcPr>
            <w:tcW w:w="217" w:type="dxa"/>
          </w:tcPr>
          <w:p w14:paraId="79E79157" w14:textId="77777777" w:rsidR="002C0FD9" w:rsidRPr="00CA25CF" w:rsidRDefault="002C0FD9" w:rsidP="00CA25CF">
            <w:pPr>
              <w:rPr>
                <w:rFonts w:cs="Arial"/>
                <w:color w:val="FF0000"/>
                <w:sz w:val="21"/>
                <w:szCs w:val="21"/>
              </w:rPr>
            </w:pPr>
          </w:p>
        </w:tc>
        <w:tc>
          <w:tcPr>
            <w:tcW w:w="217" w:type="dxa"/>
          </w:tcPr>
          <w:p w14:paraId="43BFB2FD" w14:textId="77777777" w:rsidR="002C0FD9" w:rsidRPr="00CA25CF" w:rsidRDefault="002C0FD9" w:rsidP="00CA25CF">
            <w:pPr>
              <w:rPr>
                <w:rFonts w:cs="Arial"/>
                <w:color w:val="FF0000"/>
                <w:sz w:val="21"/>
                <w:szCs w:val="21"/>
              </w:rPr>
            </w:pPr>
          </w:p>
        </w:tc>
        <w:tc>
          <w:tcPr>
            <w:tcW w:w="217" w:type="dxa"/>
          </w:tcPr>
          <w:p w14:paraId="2C425B78" w14:textId="77777777" w:rsidR="002C0FD9" w:rsidRPr="00CA25CF" w:rsidRDefault="002C0FD9" w:rsidP="00CA25CF">
            <w:pPr>
              <w:rPr>
                <w:rFonts w:cs="Arial"/>
                <w:color w:val="FF0000"/>
                <w:sz w:val="21"/>
                <w:szCs w:val="21"/>
              </w:rPr>
            </w:pPr>
          </w:p>
        </w:tc>
        <w:tc>
          <w:tcPr>
            <w:tcW w:w="217" w:type="dxa"/>
          </w:tcPr>
          <w:p w14:paraId="08BBCFFB" w14:textId="77777777" w:rsidR="002C0FD9" w:rsidRPr="00CA25CF" w:rsidRDefault="002C0FD9" w:rsidP="00CA25CF">
            <w:pPr>
              <w:rPr>
                <w:rFonts w:cs="Arial"/>
                <w:color w:val="FF0000"/>
                <w:sz w:val="21"/>
                <w:szCs w:val="21"/>
              </w:rPr>
            </w:pPr>
          </w:p>
        </w:tc>
        <w:tc>
          <w:tcPr>
            <w:tcW w:w="217" w:type="dxa"/>
          </w:tcPr>
          <w:p w14:paraId="28268B4E" w14:textId="77777777" w:rsidR="002C0FD9" w:rsidRPr="00CA25CF" w:rsidRDefault="002C0FD9" w:rsidP="00CA25CF">
            <w:pPr>
              <w:rPr>
                <w:rFonts w:cs="Arial"/>
                <w:color w:val="FF0000"/>
                <w:sz w:val="21"/>
                <w:szCs w:val="21"/>
              </w:rPr>
            </w:pPr>
          </w:p>
        </w:tc>
        <w:tc>
          <w:tcPr>
            <w:tcW w:w="217" w:type="dxa"/>
          </w:tcPr>
          <w:p w14:paraId="69BAEEDF" w14:textId="77777777" w:rsidR="002C0FD9" w:rsidRPr="00CA25CF" w:rsidRDefault="002C0FD9" w:rsidP="00CA25CF">
            <w:pPr>
              <w:rPr>
                <w:rFonts w:cs="Arial"/>
                <w:color w:val="FF0000"/>
                <w:sz w:val="21"/>
                <w:szCs w:val="21"/>
              </w:rPr>
            </w:pPr>
          </w:p>
        </w:tc>
        <w:tc>
          <w:tcPr>
            <w:tcW w:w="217" w:type="dxa"/>
          </w:tcPr>
          <w:p w14:paraId="436AE26A" w14:textId="77777777" w:rsidR="002C0FD9" w:rsidRPr="00CA25CF" w:rsidRDefault="002C0FD9" w:rsidP="00CA25CF">
            <w:pPr>
              <w:rPr>
                <w:rFonts w:cs="Arial"/>
                <w:color w:val="FF0000"/>
                <w:sz w:val="21"/>
                <w:szCs w:val="21"/>
              </w:rPr>
            </w:pPr>
          </w:p>
        </w:tc>
        <w:tc>
          <w:tcPr>
            <w:tcW w:w="217" w:type="dxa"/>
          </w:tcPr>
          <w:p w14:paraId="767CCA95" w14:textId="77777777" w:rsidR="002C0FD9" w:rsidRPr="00CA25CF" w:rsidRDefault="002C0FD9" w:rsidP="00CA25CF">
            <w:pPr>
              <w:rPr>
                <w:rFonts w:cs="Arial"/>
                <w:color w:val="FF0000"/>
                <w:sz w:val="21"/>
                <w:szCs w:val="21"/>
              </w:rPr>
            </w:pPr>
          </w:p>
        </w:tc>
      </w:tr>
      <w:tr w:rsidR="002C0FD9" w:rsidRPr="00A16219" w14:paraId="60AB8C68" w14:textId="77777777" w:rsidTr="002C0FD9">
        <w:trPr>
          <w:trHeight w:val="635"/>
        </w:trPr>
        <w:tc>
          <w:tcPr>
            <w:tcW w:w="515" w:type="dxa"/>
          </w:tcPr>
          <w:p w14:paraId="10509CFF" w14:textId="77777777" w:rsidR="002C0FD9" w:rsidRPr="00CA25CF" w:rsidRDefault="002C0FD9" w:rsidP="00CA25CF">
            <w:pPr>
              <w:rPr>
                <w:rFonts w:cs="Arial"/>
                <w:color w:val="FF0000"/>
                <w:sz w:val="21"/>
                <w:szCs w:val="21"/>
              </w:rPr>
            </w:pPr>
          </w:p>
        </w:tc>
        <w:tc>
          <w:tcPr>
            <w:tcW w:w="217" w:type="dxa"/>
          </w:tcPr>
          <w:p w14:paraId="7FA3A35F" w14:textId="77777777" w:rsidR="002C0FD9" w:rsidRPr="00CA25CF" w:rsidRDefault="002C0FD9" w:rsidP="00CA25CF">
            <w:pPr>
              <w:rPr>
                <w:rFonts w:cs="Arial"/>
                <w:color w:val="FF0000"/>
                <w:sz w:val="21"/>
                <w:szCs w:val="21"/>
              </w:rPr>
            </w:pPr>
          </w:p>
        </w:tc>
        <w:tc>
          <w:tcPr>
            <w:tcW w:w="217" w:type="dxa"/>
          </w:tcPr>
          <w:p w14:paraId="43BF7151" w14:textId="77777777" w:rsidR="002C0FD9" w:rsidRPr="00CA25CF" w:rsidRDefault="002C0FD9" w:rsidP="00CA25CF">
            <w:pPr>
              <w:rPr>
                <w:rFonts w:cs="Arial"/>
                <w:color w:val="FF0000"/>
                <w:sz w:val="21"/>
                <w:szCs w:val="21"/>
              </w:rPr>
            </w:pPr>
          </w:p>
        </w:tc>
        <w:tc>
          <w:tcPr>
            <w:tcW w:w="217" w:type="dxa"/>
          </w:tcPr>
          <w:p w14:paraId="226B095E" w14:textId="77777777" w:rsidR="002C0FD9" w:rsidRPr="00CA25CF" w:rsidRDefault="002C0FD9" w:rsidP="00CA25CF">
            <w:pPr>
              <w:rPr>
                <w:rFonts w:cs="Arial"/>
                <w:color w:val="FF0000"/>
                <w:sz w:val="21"/>
                <w:szCs w:val="21"/>
              </w:rPr>
            </w:pPr>
          </w:p>
        </w:tc>
        <w:tc>
          <w:tcPr>
            <w:tcW w:w="217" w:type="dxa"/>
          </w:tcPr>
          <w:p w14:paraId="7F5325EC" w14:textId="77777777" w:rsidR="002C0FD9" w:rsidRPr="00CA25CF" w:rsidRDefault="002C0FD9" w:rsidP="00CA25CF">
            <w:pPr>
              <w:rPr>
                <w:rFonts w:cs="Arial"/>
                <w:color w:val="FF0000"/>
                <w:sz w:val="21"/>
                <w:szCs w:val="21"/>
              </w:rPr>
            </w:pPr>
          </w:p>
        </w:tc>
        <w:tc>
          <w:tcPr>
            <w:tcW w:w="217" w:type="dxa"/>
          </w:tcPr>
          <w:p w14:paraId="33E2D994" w14:textId="77777777" w:rsidR="002C0FD9" w:rsidRPr="00CA25CF" w:rsidRDefault="002C0FD9" w:rsidP="00CA25CF">
            <w:pPr>
              <w:rPr>
                <w:rFonts w:cs="Arial"/>
                <w:color w:val="FF0000"/>
                <w:sz w:val="21"/>
                <w:szCs w:val="21"/>
              </w:rPr>
            </w:pPr>
          </w:p>
        </w:tc>
        <w:tc>
          <w:tcPr>
            <w:tcW w:w="217" w:type="dxa"/>
          </w:tcPr>
          <w:p w14:paraId="20C1CC92" w14:textId="77777777" w:rsidR="002C0FD9" w:rsidRPr="00CA25CF" w:rsidRDefault="002C0FD9" w:rsidP="00CA25CF">
            <w:pPr>
              <w:rPr>
                <w:rFonts w:cs="Arial"/>
                <w:color w:val="FF0000"/>
                <w:sz w:val="21"/>
                <w:szCs w:val="21"/>
              </w:rPr>
            </w:pPr>
          </w:p>
        </w:tc>
        <w:tc>
          <w:tcPr>
            <w:tcW w:w="217" w:type="dxa"/>
          </w:tcPr>
          <w:p w14:paraId="45D1D3A8" w14:textId="77777777" w:rsidR="002C0FD9" w:rsidRPr="00CA25CF" w:rsidRDefault="002C0FD9" w:rsidP="00CA25CF">
            <w:pPr>
              <w:rPr>
                <w:rFonts w:cs="Arial"/>
                <w:color w:val="FF0000"/>
                <w:sz w:val="21"/>
                <w:szCs w:val="21"/>
              </w:rPr>
            </w:pPr>
          </w:p>
        </w:tc>
        <w:tc>
          <w:tcPr>
            <w:tcW w:w="217" w:type="dxa"/>
          </w:tcPr>
          <w:p w14:paraId="1DB1ACF9" w14:textId="77777777" w:rsidR="002C0FD9" w:rsidRPr="00CA25CF" w:rsidRDefault="002C0FD9" w:rsidP="00CA25CF">
            <w:pPr>
              <w:rPr>
                <w:rFonts w:cs="Arial"/>
                <w:color w:val="FF0000"/>
                <w:sz w:val="21"/>
                <w:szCs w:val="21"/>
              </w:rPr>
            </w:pPr>
          </w:p>
        </w:tc>
        <w:tc>
          <w:tcPr>
            <w:tcW w:w="217" w:type="dxa"/>
          </w:tcPr>
          <w:p w14:paraId="4445973C" w14:textId="77777777" w:rsidR="002C0FD9" w:rsidRPr="00CA25CF" w:rsidRDefault="002C0FD9" w:rsidP="00CA25CF">
            <w:pPr>
              <w:rPr>
                <w:rFonts w:cs="Arial"/>
                <w:color w:val="FF0000"/>
                <w:sz w:val="21"/>
                <w:szCs w:val="21"/>
              </w:rPr>
            </w:pPr>
          </w:p>
        </w:tc>
        <w:tc>
          <w:tcPr>
            <w:tcW w:w="217" w:type="dxa"/>
          </w:tcPr>
          <w:p w14:paraId="3CC7BD47" w14:textId="77777777" w:rsidR="002C0FD9" w:rsidRPr="00CA25CF" w:rsidRDefault="002C0FD9" w:rsidP="00CA25CF">
            <w:pPr>
              <w:rPr>
                <w:rFonts w:cs="Arial"/>
                <w:color w:val="FF0000"/>
                <w:sz w:val="21"/>
                <w:szCs w:val="21"/>
              </w:rPr>
            </w:pPr>
          </w:p>
        </w:tc>
        <w:tc>
          <w:tcPr>
            <w:tcW w:w="217" w:type="dxa"/>
          </w:tcPr>
          <w:p w14:paraId="55B51685" w14:textId="77777777" w:rsidR="002C0FD9" w:rsidRPr="00CA25CF" w:rsidRDefault="002C0FD9" w:rsidP="00CA25CF">
            <w:pPr>
              <w:rPr>
                <w:rFonts w:cs="Arial"/>
                <w:color w:val="FF0000"/>
                <w:sz w:val="21"/>
                <w:szCs w:val="21"/>
              </w:rPr>
            </w:pPr>
          </w:p>
        </w:tc>
        <w:tc>
          <w:tcPr>
            <w:tcW w:w="217" w:type="dxa"/>
          </w:tcPr>
          <w:p w14:paraId="1F2DE255" w14:textId="77777777" w:rsidR="002C0FD9" w:rsidRPr="00CA25CF" w:rsidRDefault="002C0FD9" w:rsidP="00CA25CF">
            <w:pPr>
              <w:rPr>
                <w:rFonts w:cs="Arial"/>
                <w:color w:val="FF0000"/>
                <w:sz w:val="21"/>
                <w:szCs w:val="21"/>
              </w:rPr>
            </w:pPr>
          </w:p>
        </w:tc>
        <w:tc>
          <w:tcPr>
            <w:tcW w:w="217" w:type="dxa"/>
          </w:tcPr>
          <w:p w14:paraId="3E508D94" w14:textId="77777777" w:rsidR="002C0FD9" w:rsidRPr="00CA25CF" w:rsidRDefault="002C0FD9" w:rsidP="00CA25CF">
            <w:pPr>
              <w:rPr>
                <w:rFonts w:cs="Arial"/>
                <w:color w:val="FF0000"/>
                <w:sz w:val="21"/>
                <w:szCs w:val="21"/>
              </w:rPr>
            </w:pPr>
          </w:p>
        </w:tc>
        <w:tc>
          <w:tcPr>
            <w:tcW w:w="217" w:type="dxa"/>
          </w:tcPr>
          <w:p w14:paraId="3354312C" w14:textId="77777777" w:rsidR="002C0FD9" w:rsidRPr="00CA25CF" w:rsidRDefault="002C0FD9" w:rsidP="00CA25CF">
            <w:pPr>
              <w:rPr>
                <w:rFonts w:cs="Arial"/>
                <w:color w:val="FF0000"/>
                <w:sz w:val="21"/>
                <w:szCs w:val="21"/>
              </w:rPr>
            </w:pPr>
          </w:p>
        </w:tc>
        <w:tc>
          <w:tcPr>
            <w:tcW w:w="217" w:type="dxa"/>
          </w:tcPr>
          <w:p w14:paraId="3FEF269F" w14:textId="77777777" w:rsidR="002C0FD9" w:rsidRPr="00CA25CF" w:rsidRDefault="002C0FD9" w:rsidP="00CA25CF">
            <w:pPr>
              <w:rPr>
                <w:rFonts w:cs="Arial"/>
                <w:color w:val="FF0000"/>
                <w:sz w:val="21"/>
                <w:szCs w:val="21"/>
              </w:rPr>
            </w:pPr>
          </w:p>
        </w:tc>
        <w:tc>
          <w:tcPr>
            <w:tcW w:w="217" w:type="dxa"/>
          </w:tcPr>
          <w:p w14:paraId="54A98018" w14:textId="77777777" w:rsidR="002C0FD9" w:rsidRPr="00CA25CF" w:rsidRDefault="002C0FD9" w:rsidP="00CA25CF">
            <w:pPr>
              <w:rPr>
                <w:rFonts w:cs="Arial"/>
                <w:color w:val="FF0000"/>
                <w:sz w:val="21"/>
                <w:szCs w:val="21"/>
              </w:rPr>
            </w:pPr>
          </w:p>
        </w:tc>
        <w:tc>
          <w:tcPr>
            <w:tcW w:w="217" w:type="dxa"/>
          </w:tcPr>
          <w:p w14:paraId="05A40CDD" w14:textId="77777777" w:rsidR="002C0FD9" w:rsidRPr="00CA25CF" w:rsidRDefault="002C0FD9" w:rsidP="00CA25CF">
            <w:pPr>
              <w:rPr>
                <w:rFonts w:cs="Arial"/>
                <w:color w:val="FF0000"/>
                <w:sz w:val="21"/>
                <w:szCs w:val="21"/>
              </w:rPr>
            </w:pPr>
          </w:p>
        </w:tc>
        <w:tc>
          <w:tcPr>
            <w:tcW w:w="217" w:type="dxa"/>
          </w:tcPr>
          <w:p w14:paraId="018E1C3B" w14:textId="77777777" w:rsidR="002C0FD9" w:rsidRPr="00CA25CF" w:rsidRDefault="002C0FD9" w:rsidP="00CA25CF">
            <w:pPr>
              <w:rPr>
                <w:rFonts w:cs="Arial"/>
                <w:color w:val="FF0000"/>
                <w:sz w:val="21"/>
                <w:szCs w:val="21"/>
              </w:rPr>
            </w:pPr>
          </w:p>
        </w:tc>
        <w:tc>
          <w:tcPr>
            <w:tcW w:w="217" w:type="dxa"/>
          </w:tcPr>
          <w:p w14:paraId="43DDC1C6" w14:textId="77777777" w:rsidR="002C0FD9" w:rsidRPr="00CA25CF" w:rsidRDefault="002C0FD9" w:rsidP="00CA25CF">
            <w:pPr>
              <w:rPr>
                <w:rFonts w:cs="Arial"/>
                <w:color w:val="FF0000"/>
                <w:sz w:val="21"/>
                <w:szCs w:val="21"/>
              </w:rPr>
            </w:pPr>
          </w:p>
        </w:tc>
        <w:tc>
          <w:tcPr>
            <w:tcW w:w="217" w:type="dxa"/>
          </w:tcPr>
          <w:p w14:paraId="2D5FA791" w14:textId="77777777" w:rsidR="002C0FD9" w:rsidRPr="00CA25CF" w:rsidRDefault="002C0FD9" w:rsidP="00CA25CF">
            <w:pPr>
              <w:rPr>
                <w:rFonts w:cs="Arial"/>
                <w:color w:val="FF0000"/>
                <w:sz w:val="21"/>
                <w:szCs w:val="21"/>
              </w:rPr>
            </w:pPr>
          </w:p>
        </w:tc>
        <w:tc>
          <w:tcPr>
            <w:tcW w:w="217" w:type="dxa"/>
          </w:tcPr>
          <w:p w14:paraId="49AC346D" w14:textId="77777777" w:rsidR="002C0FD9" w:rsidRPr="00CA25CF" w:rsidRDefault="002C0FD9" w:rsidP="00CA25CF">
            <w:pPr>
              <w:rPr>
                <w:rFonts w:cs="Arial"/>
                <w:color w:val="FF0000"/>
                <w:sz w:val="21"/>
                <w:szCs w:val="21"/>
              </w:rPr>
            </w:pPr>
          </w:p>
        </w:tc>
        <w:tc>
          <w:tcPr>
            <w:tcW w:w="217" w:type="dxa"/>
          </w:tcPr>
          <w:p w14:paraId="6E640FC3" w14:textId="77777777" w:rsidR="002C0FD9" w:rsidRPr="00CA25CF" w:rsidRDefault="002C0FD9" w:rsidP="00CA25CF">
            <w:pPr>
              <w:rPr>
                <w:rFonts w:cs="Arial"/>
                <w:color w:val="FF0000"/>
                <w:sz w:val="21"/>
                <w:szCs w:val="21"/>
              </w:rPr>
            </w:pPr>
          </w:p>
        </w:tc>
        <w:tc>
          <w:tcPr>
            <w:tcW w:w="217" w:type="dxa"/>
          </w:tcPr>
          <w:p w14:paraId="0FBDA7B3" w14:textId="77777777" w:rsidR="002C0FD9" w:rsidRPr="00CA25CF" w:rsidRDefault="002C0FD9" w:rsidP="00CA25CF">
            <w:pPr>
              <w:rPr>
                <w:rFonts w:cs="Arial"/>
                <w:color w:val="FF0000"/>
                <w:sz w:val="21"/>
                <w:szCs w:val="21"/>
              </w:rPr>
            </w:pPr>
          </w:p>
        </w:tc>
        <w:tc>
          <w:tcPr>
            <w:tcW w:w="217" w:type="dxa"/>
          </w:tcPr>
          <w:p w14:paraId="79D73B3E" w14:textId="77777777" w:rsidR="002C0FD9" w:rsidRPr="00CA25CF" w:rsidRDefault="002C0FD9" w:rsidP="00CA25CF">
            <w:pPr>
              <w:rPr>
                <w:rFonts w:cs="Arial"/>
                <w:color w:val="FF0000"/>
                <w:sz w:val="21"/>
                <w:szCs w:val="21"/>
              </w:rPr>
            </w:pPr>
          </w:p>
        </w:tc>
        <w:tc>
          <w:tcPr>
            <w:tcW w:w="217" w:type="dxa"/>
          </w:tcPr>
          <w:p w14:paraId="5108A2B9" w14:textId="77777777" w:rsidR="002C0FD9" w:rsidRPr="00CA25CF" w:rsidRDefault="002C0FD9" w:rsidP="00CA25CF">
            <w:pPr>
              <w:rPr>
                <w:rFonts w:cs="Arial"/>
                <w:color w:val="FF0000"/>
                <w:sz w:val="21"/>
                <w:szCs w:val="21"/>
              </w:rPr>
            </w:pPr>
          </w:p>
        </w:tc>
        <w:tc>
          <w:tcPr>
            <w:tcW w:w="217" w:type="dxa"/>
          </w:tcPr>
          <w:p w14:paraId="53576DF2" w14:textId="77777777" w:rsidR="002C0FD9" w:rsidRPr="00CA25CF" w:rsidRDefault="002C0FD9" w:rsidP="00CA25CF">
            <w:pPr>
              <w:rPr>
                <w:rFonts w:cs="Arial"/>
                <w:color w:val="FF0000"/>
                <w:sz w:val="21"/>
                <w:szCs w:val="21"/>
              </w:rPr>
            </w:pPr>
          </w:p>
        </w:tc>
        <w:tc>
          <w:tcPr>
            <w:tcW w:w="217" w:type="dxa"/>
          </w:tcPr>
          <w:p w14:paraId="5C21B57A" w14:textId="77777777" w:rsidR="002C0FD9" w:rsidRPr="00CA25CF" w:rsidRDefault="002C0FD9" w:rsidP="00CA25CF">
            <w:pPr>
              <w:rPr>
                <w:rFonts w:cs="Arial"/>
                <w:color w:val="FF0000"/>
                <w:sz w:val="21"/>
                <w:szCs w:val="21"/>
              </w:rPr>
            </w:pPr>
          </w:p>
        </w:tc>
        <w:tc>
          <w:tcPr>
            <w:tcW w:w="217" w:type="dxa"/>
          </w:tcPr>
          <w:p w14:paraId="143BFDFD" w14:textId="77777777" w:rsidR="002C0FD9" w:rsidRPr="00CA25CF" w:rsidRDefault="002C0FD9" w:rsidP="00CA25CF">
            <w:pPr>
              <w:rPr>
                <w:rFonts w:cs="Arial"/>
                <w:color w:val="FF0000"/>
                <w:sz w:val="21"/>
                <w:szCs w:val="21"/>
              </w:rPr>
            </w:pPr>
          </w:p>
        </w:tc>
        <w:tc>
          <w:tcPr>
            <w:tcW w:w="217" w:type="dxa"/>
          </w:tcPr>
          <w:p w14:paraId="5C8B7F44" w14:textId="77777777" w:rsidR="002C0FD9" w:rsidRPr="00CA25CF" w:rsidRDefault="002C0FD9" w:rsidP="00CA25CF">
            <w:pPr>
              <w:rPr>
                <w:rFonts w:cs="Arial"/>
                <w:color w:val="FF0000"/>
                <w:sz w:val="21"/>
                <w:szCs w:val="21"/>
              </w:rPr>
            </w:pPr>
          </w:p>
        </w:tc>
        <w:tc>
          <w:tcPr>
            <w:tcW w:w="217" w:type="dxa"/>
          </w:tcPr>
          <w:p w14:paraId="6E9E41EC" w14:textId="77777777" w:rsidR="002C0FD9" w:rsidRPr="00CA25CF" w:rsidRDefault="002C0FD9" w:rsidP="00CA25CF">
            <w:pPr>
              <w:rPr>
                <w:rFonts w:cs="Arial"/>
                <w:color w:val="FF0000"/>
                <w:sz w:val="21"/>
                <w:szCs w:val="21"/>
              </w:rPr>
            </w:pPr>
          </w:p>
        </w:tc>
        <w:tc>
          <w:tcPr>
            <w:tcW w:w="217" w:type="dxa"/>
          </w:tcPr>
          <w:p w14:paraId="4853DBFE" w14:textId="77777777" w:rsidR="002C0FD9" w:rsidRPr="00CA25CF" w:rsidRDefault="002C0FD9" w:rsidP="00CA25CF">
            <w:pPr>
              <w:rPr>
                <w:rFonts w:cs="Arial"/>
                <w:color w:val="FF0000"/>
                <w:sz w:val="21"/>
                <w:szCs w:val="21"/>
              </w:rPr>
            </w:pPr>
          </w:p>
        </w:tc>
        <w:tc>
          <w:tcPr>
            <w:tcW w:w="217" w:type="dxa"/>
          </w:tcPr>
          <w:p w14:paraId="542B7045" w14:textId="77777777" w:rsidR="002C0FD9" w:rsidRPr="00CA25CF" w:rsidRDefault="002C0FD9" w:rsidP="00CA25CF">
            <w:pPr>
              <w:rPr>
                <w:rFonts w:cs="Arial"/>
                <w:color w:val="FF0000"/>
                <w:sz w:val="21"/>
                <w:szCs w:val="21"/>
              </w:rPr>
            </w:pPr>
          </w:p>
        </w:tc>
        <w:tc>
          <w:tcPr>
            <w:tcW w:w="217" w:type="dxa"/>
          </w:tcPr>
          <w:p w14:paraId="217EEE78" w14:textId="77777777" w:rsidR="002C0FD9" w:rsidRPr="00CA25CF" w:rsidRDefault="002C0FD9" w:rsidP="00CA25CF">
            <w:pPr>
              <w:rPr>
                <w:rFonts w:cs="Arial"/>
                <w:color w:val="FF0000"/>
                <w:sz w:val="21"/>
                <w:szCs w:val="21"/>
              </w:rPr>
            </w:pPr>
          </w:p>
        </w:tc>
        <w:tc>
          <w:tcPr>
            <w:tcW w:w="217" w:type="dxa"/>
          </w:tcPr>
          <w:p w14:paraId="1D8F3E8C" w14:textId="77777777" w:rsidR="002C0FD9" w:rsidRPr="00CA25CF" w:rsidRDefault="002C0FD9" w:rsidP="00CA25CF">
            <w:pPr>
              <w:rPr>
                <w:rFonts w:cs="Arial"/>
                <w:color w:val="FF0000"/>
                <w:sz w:val="21"/>
                <w:szCs w:val="21"/>
              </w:rPr>
            </w:pPr>
          </w:p>
        </w:tc>
        <w:tc>
          <w:tcPr>
            <w:tcW w:w="217" w:type="dxa"/>
          </w:tcPr>
          <w:p w14:paraId="1B5F493E" w14:textId="77777777" w:rsidR="002C0FD9" w:rsidRPr="00CA25CF" w:rsidRDefault="002C0FD9" w:rsidP="00CA25CF">
            <w:pPr>
              <w:rPr>
                <w:rFonts w:cs="Arial"/>
                <w:color w:val="FF0000"/>
                <w:sz w:val="21"/>
                <w:szCs w:val="21"/>
              </w:rPr>
            </w:pPr>
          </w:p>
        </w:tc>
        <w:tc>
          <w:tcPr>
            <w:tcW w:w="217" w:type="dxa"/>
          </w:tcPr>
          <w:p w14:paraId="318994D5" w14:textId="77777777" w:rsidR="002C0FD9" w:rsidRPr="00CA25CF" w:rsidRDefault="002C0FD9" w:rsidP="00CA25CF">
            <w:pPr>
              <w:rPr>
                <w:rFonts w:cs="Arial"/>
                <w:color w:val="FF0000"/>
                <w:sz w:val="21"/>
                <w:szCs w:val="21"/>
              </w:rPr>
            </w:pPr>
          </w:p>
        </w:tc>
        <w:tc>
          <w:tcPr>
            <w:tcW w:w="217" w:type="dxa"/>
          </w:tcPr>
          <w:p w14:paraId="061F89E5" w14:textId="77777777" w:rsidR="002C0FD9" w:rsidRPr="00CA25CF" w:rsidRDefault="002C0FD9" w:rsidP="00CA25CF">
            <w:pPr>
              <w:rPr>
                <w:rFonts w:cs="Arial"/>
                <w:color w:val="FF0000"/>
                <w:sz w:val="21"/>
                <w:szCs w:val="21"/>
              </w:rPr>
            </w:pPr>
          </w:p>
        </w:tc>
        <w:tc>
          <w:tcPr>
            <w:tcW w:w="217" w:type="dxa"/>
          </w:tcPr>
          <w:p w14:paraId="02F9D9DB" w14:textId="77777777" w:rsidR="002C0FD9" w:rsidRPr="00CA25CF" w:rsidRDefault="002C0FD9" w:rsidP="00CA25CF">
            <w:pPr>
              <w:rPr>
                <w:rFonts w:cs="Arial"/>
                <w:color w:val="FF0000"/>
                <w:sz w:val="21"/>
                <w:szCs w:val="21"/>
              </w:rPr>
            </w:pPr>
          </w:p>
        </w:tc>
        <w:tc>
          <w:tcPr>
            <w:tcW w:w="217" w:type="dxa"/>
          </w:tcPr>
          <w:p w14:paraId="46275ADC" w14:textId="77777777" w:rsidR="002C0FD9" w:rsidRPr="00CA25CF" w:rsidRDefault="002C0FD9" w:rsidP="00CA25CF">
            <w:pPr>
              <w:rPr>
                <w:rFonts w:cs="Arial"/>
                <w:color w:val="FF0000"/>
                <w:sz w:val="21"/>
                <w:szCs w:val="21"/>
              </w:rPr>
            </w:pPr>
          </w:p>
        </w:tc>
        <w:tc>
          <w:tcPr>
            <w:tcW w:w="217" w:type="dxa"/>
          </w:tcPr>
          <w:p w14:paraId="6ED57B85" w14:textId="77777777" w:rsidR="002C0FD9" w:rsidRPr="00CA25CF" w:rsidRDefault="002C0FD9" w:rsidP="00CA25CF">
            <w:pPr>
              <w:rPr>
                <w:rFonts w:cs="Arial"/>
                <w:color w:val="FF0000"/>
                <w:sz w:val="21"/>
                <w:szCs w:val="21"/>
              </w:rPr>
            </w:pPr>
          </w:p>
        </w:tc>
        <w:tc>
          <w:tcPr>
            <w:tcW w:w="217" w:type="dxa"/>
          </w:tcPr>
          <w:p w14:paraId="0EF086BE" w14:textId="77777777" w:rsidR="002C0FD9" w:rsidRPr="00CA25CF" w:rsidRDefault="002C0FD9" w:rsidP="00CA25CF">
            <w:pPr>
              <w:rPr>
                <w:rFonts w:cs="Arial"/>
                <w:color w:val="FF0000"/>
                <w:sz w:val="21"/>
                <w:szCs w:val="21"/>
              </w:rPr>
            </w:pPr>
          </w:p>
        </w:tc>
        <w:tc>
          <w:tcPr>
            <w:tcW w:w="217" w:type="dxa"/>
          </w:tcPr>
          <w:p w14:paraId="3C6DF061" w14:textId="77777777" w:rsidR="002C0FD9" w:rsidRPr="00CA25CF" w:rsidRDefault="002C0FD9" w:rsidP="00CA25CF">
            <w:pPr>
              <w:rPr>
                <w:rFonts w:cs="Arial"/>
                <w:color w:val="FF0000"/>
                <w:sz w:val="21"/>
                <w:szCs w:val="21"/>
              </w:rPr>
            </w:pPr>
          </w:p>
        </w:tc>
      </w:tr>
      <w:tr w:rsidR="002C0FD9" w:rsidRPr="00A16219" w14:paraId="2EC43E05" w14:textId="77777777" w:rsidTr="002C0FD9">
        <w:trPr>
          <w:trHeight w:val="635"/>
        </w:trPr>
        <w:tc>
          <w:tcPr>
            <w:tcW w:w="515" w:type="dxa"/>
          </w:tcPr>
          <w:p w14:paraId="30366373" w14:textId="77777777" w:rsidR="002C0FD9" w:rsidRPr="00CA25CF" w:rsidRDefault="002C0FD9" w:rsidP="00CA25CF">
            <w:pPr>
              <w:rPr>
                <w:rFonts w:cs="Arial"/>
                <w:color w:val="FF0000"/>
                <w:sz w:val="21"/>
                <w:szCs w:val="21"/>
              </w:rPr>
            </w:pPr>
          </w:p>
        </w:tc>
        <w:tc>
          <w:tcPr>
            <w:tcW w:w="217" w:type="dxa"/>
          </w:tcPr>
          <w:p w14:paraId="3191FB4F" w14:textId="77777777" w:rsidR="002C0FD9" w:rsidRPr="00CA25CF" w:rsidRDefault="002C0FD9" w:rsidP="00CA25CF">
            <w:pPr>
              <w:rPr>
                <w:rFonts w:cs="Arial"/>
                <w:color w:val="FF0000"/>
                <w:sz w:val="21"/>
                <w:szCs w:val="21"/>
              </w:rPr>
            </w:pPr>
          </w:p>
        </w:tc>
        <w:tc>
          <w:tcPr>
            <w:tcW w:w="217" w:type="dxa"/>
          </w:tcPr>
          <w:p w14:paraId="4862D8F2" w14:textId="77777777" w:rsidR="002C0FD9" w:rsidRPr="00CA25CF" w:rsidRDefault="002C0FD9" w:rsidP="00CA25CF">
            <w:pPr>
              <w:rPr>
                <w:rFonts w:cs="Arial"/>
                <w:color w:val="FF0000"/>
                <w:sz w:val="21"/>
                <w:szCs w:val="21"/>
              </w:rPr>
            </w:pPr>
          </w:p>
        </w:tc>
        <w:tc>
          <w:tcPr>
            <w:tcW w:w="217" w:type="dxa"/>
          </w:tcPr>
          <w:p w14:paraId="13298E30" w14:textId="77777777" w:rsidR="002C0FD9" w:rsidRPr="00CA25CF" w:rsidRDefault="002C0FD9" w:rsidP="00CA25CF">
            <w:pPr>
              <w:rPr>
                <w:rFonts w:cs="Arial"/>
                <w:color w:val="FF0000"/>
                <w:sz w:val="21"/>
                <w:szCs w:val="21"/>
              </w:rPr>
            </w:pPr>
          </w:p>
        </w:tc>
        <w:tc>
          <w:tcPr>
            <w:tcW w:w="217" w:type="dxa"/>
          </w:tcPr>
          <w:p w14:paraId="3C408BD9" w14:textId="77777777" w:rsidR="002C0FD9" w:rsidRPr="00CA25CF" w:rsidRDefault="002C0FD9" w:rsidP="00CA25CF">
            <w:pPr>
              <w:rPr>
                <w:rFonts w:cs="Arial"/>
                <w:color w:val="FF0000"/>
                <w:sz w:val="21"/>
                <w:szCs w:val="21"/>
              </w:rPr>
            </w:pPr>
          </w:p>
        </w:tc>
        <w:tc>
          <w:tcPr>
            <w:tcW w:w="217" w:type="dxa"/>
          </w:tcPr>
          <w:p w14:paraId="1341D774" w14:textId="77777777" w:rsidR="002C0FD9" w:rsidRPr="00CA25CF" w:rsidRDefault="002C0FD9" w:rsidP="00CA25CF">
            <w:pPr>
              <w:rPr>
                <w:rFonts w:cs="Arial"/>
                <w:color w:val="FF0000"/>
                <w:sz w:val="21"/>
                <w:szCs w:val="21"/>
              </w:rPr>
            </w:pPr>
          </w:p>
        </w:tc>
        <w:tc>
          <w:tcPr>
            <w:tcW w:w="217" w:type="dxa"/>
          </w:tcPr>
          <w:p w14:paraId="5FF34BE3" w14:textId="77777777" w:rsidR="002C0FD9" w:rsidRPr="00CA25CF" w:rsidRDefault="002C0FD9" w:rsidP="00CA25CF">
            <w:pPr>
              <w:rPr>
                <w:rFonts w:cs="Arial"/>
                <w:color w:val="FF0000"/>
                <w:sz w:val="21"/>
                <w:szCs w:val="21"/>
              </w:rPr>
            </w:pPr>
          </w:p>
        </w:tc>
        <w:tc>
          <w:tcPr>
            <w:tcW w:w="217" w:type="dxa"/>
          </w:tcPr>
          <w:p w14:paraId="13B34000" w14:textId="77777777" w:rsidR="002C0FD9" w:rsidRPr="00CA25CF" w:rsidRDefault="002C0FD9" w:rsidP="00CA25CF">
            <w:pPr>
              <w:rPr>
                <w:rFonts w:cs="Arial"/>
                <w:color w:val="FF0000"/>
                <w:sz w:val="21"/>
                <w:szCs w:val="21"/>
              </w:rPr>
            </w:pPr>
          </w:p>
        </w:tc>
        <w:tc>
          <w:tcPr>
            <w:tcW w:w="217" w:type="dxa"/>
          </w:tcPr>
          <w:p w14:paraId="5EAAEF21" w14:textId="77777777" w:rsidR="002C0FD9" w:rsidRPr="00CA25CF" w:rsidRDefault="002C0FD9" w:rsidP="00CA25CF">
            <w:pPr>
              <w:rPr>
                <w:rFonts w:cs="Arial"/>
                <w:color w:val="FF0000"/>
                <w:sz w:val="21"/>
                <w:szCs w:val="21"/>
              </w:rPr>
            </w:pPr>
          </w:p>
        </w:tc>
        <w:tc>
          <w:tcPr>
            <w:tcW w:w="217" w:type="dxa"/>
          </w:tcPr>
          <w:p w14:paraId="5EA4A87E" w14:textId="77777777" w:rsidR="002C0FD9" w:rsidRPr="00CA25CF" w:rsidRDefault="002C0FD9" w:rsidP="00CA25CF">
            <w:pPr>
              <w:rPr>
                <w:rFonts w:cs="Arial"/>
                <w:color w:val="FF0000"/>
                <w:sz w:val="21"/>
                <w:szCs w:val="21"/>
              </w:rPr>
            </w:pPr>
          </w:p>
        </w:tc>
        <w:tc>
          <w:tcPr>
            <w:tcW w:w="217" w:type="dxa"/>
          </w:tcPr>
          <w:p w14:paraId="6DE0CC00" w14:textId="77777777" w:rsidR="002C0FD9" w:rsidRPr="00CA25CF" w:rsidRDefault="002C0FD9" w:rsidP="00CA25CF">
            <w:pPr>
              <w:rPr>
                <w:rFonts w:cs="Arial"/>
                <w:color w:val="FF0000"/>
                <w:sz w:val="21"/>
                <w:szCs w:val="21"/>
              </w:rPr>
            </w:pPr>
          </w:p>
        </w:tc>
        <w:tc>
          <w:tcPr>
            <w:tcW w:w="217" w:type="dxa"/>
          </w:tcPr>
          <w:p w14:paraId="63FF2138" w14:textId="77777777" w:rsidR="002C0FD9" w:rsidRPr="00CA25CF" w:rsidRDefault="002C0FD9" w:rsidP="00CA25CF">
            <w:pPr>
              <w:rPr>
                <w:rFonts w:cs="Arial"/>
                <w:color w:val="FF0000"/>
                <w:sz w:val="21"/>
                <w:szCs w:val="21"/>
              </w:rPr>
            </w:pPr>
          </w:p>
        </w:tc>
        <w:tc>
          <w:tcPr>
            <w:tcW w:w="217" w:type="dxa"/>
          </w:tcPr>
          <w:p w14:paraId="4DAA5FE6" w14:textId="77777777" w:rsidR="002C0FD9" w:rsidRPr="00CA25CF" w:rsidRDefault="002C0FD9" w:rsidP="00CA25CF">
            <w:pPr>
              <w:rPr>
                <w:rFonts w:cs="Arial"/>
                <w:color w:val="FF0000"/>
                <w:sz w:val="21"/>
                <w:szCs w:val="21"/>
              </w:rPr>
            </w:pPr>
          </w:p>
        </w:tc>
        <w:tc>
          <w:tcPr>
            <w:tcW w:w="217" w:type="dxa"/>
          </w:tcPr>
          <w:p w14:paraId="1C2DCC61" w14:textId="77777777" w:rsidR="002C0FD9" w:rsidRPr="00CA25CF" w:rsidRDefault="002C0FD9" w:rsidP="00CA25CF">
            <w:pPr>
              <w:rPr>
                <w:rFonts w:cs="Arial"/>
                <w:color w:val="FF0000"/>
                <w:sz w:val="21"/>
                <w:szCs w:val="21"/>
              </w:rPr>
            </w:pPr>
          </w:p>
        </w:tc>
        <w:tc>
          <w:tcPr>
            <w:tcW w:w="217" w:type="dxa"/>
          </w:tcPr>
          <w:p w14:paraId="24066634" w14:textId="77777777" w:rsidR="002C0FD9" w:rsidRPr="00CA25CF" w:rsidRDefault="002C0FD9" w:rsidP="00CA25CF">
            <w:pPr>
              <w:rPr>
                <w:rFonts w:cs="Arial"/>
                <w:color w:val="FF0000"/>
                <w:sz w:val="21"/>
                <w:szCs w:val="21"/>
              </w:rPr>
            </w:pPr>
          </w:p>
        </w:tc>
        <w:tc>
          <w:tcPr>
            <w:tcW w:w="217" w:type="dxa"/>
          </w:tcPr>
          <w:p w14:paraId="248B9EE0" w14:textId="77777777" w:rsidR="002C0FD9" w:rsidRPr="00CA25CF" w:rsidRDefault="002C0FD9" w:rsidP="00CA25CF">
            <w:pPr>
              <w:rPr>
                <w:rFonts w:cs="Arial"/>
                <w:color w:val="FF0000"/>
                <w:sz w:val="21"/>
                <w:szCs w:val="21"/>
              </w:rPr>
            </w:pPr>
          </w:p>
        </w:tc>
        <w:tc>
          <w:tcPr>
            <w:tcW w:w="217" w:type="dxa"/>
          </w:tcPr>
          <w:p w14:paraId="1B5AC3E1" w14:textId="77777777" w:rsidR="002C0FD9" w:rsidRPr="00CA25CF" w:rsidRDefault="002C0FD9" w:rsidP="00CA25CF">
            <w:pPr>
              <w:rPr>
                <w:rFonts w:cs="Arial"/>
                <w:color w:val="FF0000"/>
                <w:sz w:val="21"/>
                <w:szCs w:val="21"/>
              </w:rPr>
            </w:pPr>
          </w:p>
        </w:tc>
        <w:tc>
          <w:tcPr>
            <w:tcW w:w="217" w:type="dxa"/>
          </w:tcPr>
          <w:p w14:paraId="041953AD" w14:textId="77777777" w:rsidR="002C0FD9" w:rsidRPr="00CA25CF" w:rsidRDefault="002C0FD9" w:rsidP="00CA25CF">
            <w:pPr>
              <w:rPr>
                <w:rFonts w:cs="Arial"/>
                <w:color w:val="FF0000"/>
                <w:sz w:val="21"/>
                <w:szCs w:val="21"/>
              </w:rPr>
            </w:pPr>
          </w:p>
        </w:tc>
        <w:tc>
          <w:tcPr>
            <w:tcW w:w="217" w:type="dxa"/>
          </w:tcPr>
          <w:p w14:paraId="5AABCB85" w14:textId="77777777" w:rsidR="002C0FD9" w:rsidRPr="00CA25CF" w:rsidRDefault="002C0FD9" w:rsidP="00CA25CF">
            <w:pPr>
              <w:rPr>
                <w:rFonts w:cs="Arial"/>
                <w:color w:val="FF0000"/>
                <w:sz w:val="21"/>
                <w:szCs w:val="21"/>
              </w:rPr>
            </w:pPr>
          </w:p>
        </w:tc>
        <w:tc>
          <w:tcPr>
            <w:tcW w:w="217" w:type="dxa"/>
          </w:tcPr>
          <w:p w14:paraId="0BAB8596" w14:textId="77777777" w:rsidR="002C0FD9" w:rsidRPr="00CA25CF" w:rsidRDefault="002C0FD9" w:rsidP="00CA25CF">
            <w:pPr>
              <w:rPr>
                <w:rFonts w:cs="Arial"/>
                <w:color w:val="FF0000"/>
                <w:sz w:val="21"/>
                <w:szCs w:val="21"/>
              </w:rPr>
            </w:pPr>
          </w:p>
        </w:tc>
        <w:tc>
          <w:tcPr>
            <w:tcW w:w="217" w:type="dxa"/>
          </w:tcPr>
          <w:p w14:paraId="4E307DEB" w14:textId="77777777" w:rsidR="002C0FD9" w:rsidRPr="00CA25CF" w:rsidRDefault="002C0FD9" w:rsidP="00CA25CF">
            <w:pPr>
              <w:rPr>
                <w:rFonts w:cs="Arial"/>
                <w:color w:val="FF0000"/>
                <w:sz w:val="21"/>
                <w:szCs w:val="21"/>
              </w:rPr>
            </w:pPr>
          </w:p>
        </w:tc>
        <w:tc>
          <w:tcPr>
            <w:tcW w:w="217" w:type="dxa"/>
          </w:tcPr>
          <w:p w14:paraId="355B8394" w14:textId="77777777" w:rsidR="002C0FD9" w:rsidRPr="00CA25CF" w:rsidRDefault="002C0FD9" w:rsidP="00CA25CF">
            <w:pPr>
              <w:rPr>
                <w:rFonts w:cs="Arial"/>
                <w:color w:val="FF0000"/>
                <w:sz w:val="21"/>
                <w:szCs w:val="21"/>
              </w:rPr>
            </w:pPr>
          </w:p>
        </w:tc>
        <w:tc>
          <w:tcPr>
            <w:tcW w:w="217" w:type="dxa"/>
          </w:tcPr>
          <w:p w14:paraId="12D38B20" w14:textId="77777777" w:rsidR="002C0FD9" w:rsidRPr="00CA25CF" w:rsidRDefault="002C0FD9" w:rsidP="00CA25CF">
            <w:pPr>
              <w:rPr>
                <w:rFonts w:cs="Arial"/>
                <w:color w:val="FF0000"/>
                <w:sz w:val="21"/>
                <w:szCs w:val="21"/>
              </w:rPr>
            </w:pPr>
          </w:p>
        </w:tc>
        <w:tc>
          <w:tcPr>
            <w:tcW w:w="217" w:type="dxa"/>
          </w:tcPr>
          <w:p w14:paraId="588D139B" w14:textId="77777777" w:rsidR="002C0FD9" w:rsidRPr="00CA25CF" w:rsidRDefault="002C0FD9" w:rsidP="00CA25CF">
            <w:pPr>
              <w:rPr>
                <w:rFonts w:cs="Arial"/>
                <w:color w:val="FF0000"/>
                <w:sz w:val="21"/>
                <w:szCs w:val="21"/>
              </w:rPr>
            </w:pPr>
          </w:p>
        </w:tc>
        <w:tc>
          <w:tcPr>
            <w:tcW w:w="217" w:type="dxa"/>
          </w:tcPr>
          <w:p w14:paraId="3735F800" w14:textId="77777777" w:rsidR="002C0FD9" w:rsidRPr="00CA25CF" w:rsidRDefault="002C0FD9" w:rsidP="00CA25CF">
            <w:pPr>
              <w:rPr>
                <w:rFonts w:cs="Arial"/>
                <w:color w:val="FF0000"/>
                <w:sz w:val="21"/>
                <w:szCs w:val="21"/>
              </w:rPr>
            </w:pPr>
          </w:p>
        </w:tc>
        <w:tc>
          <w:tcPr>
            <w:tcW w:w="217" w:type="dxa"/>
          </w:tcPr>
          <w:p w14:paraId="2C77F7E9" w14:textId="77777777" w:rsidR="002C0FD9" w:rsidRPr="00CA25CF" w:rsidRDefault="002C0FD9" w:rsidP="00CA25CF">
            <w:pPr>
              <w:rPr>
                <w:rFonts w:cs="Arial"/>
                <w:color w:val="FF0000"/>
                <w:sz w:val="21"/>
                <w:szCs w:val="21"/>
              </w:rPr>
            </w:pPr>
          </w:p>
        </w:tc>
        <w:tc>
          <w:tcPr>
            <w:tcW w:w="217" w:type="dxa"/>
          </w:tcPr>
          <w:p w14:paraId="116E6C4E" w14:textId="77777777" w:rsidR="002C0FD9" w:rsidRPr="00CA25CF" w:rsidRDefault="002C0FD9" w:rsidP="00CA25CF">
            <w:pPr>
              <w:rPr>
                <w:rFonts w:cs="Arial"/>
                <w:color w:val="FF0000"/>
                <w:sz w:val="21"/>
                <w:szCs w:val="21"/>
              </w:rPr>
            </w:pPr>
          </w:p>
        </w:tc>
        <w:tc>
          <w:tcPr>
            <w:tcW w:w="217" w:type="dxa"/>
          </w:tcPr>
          <w:p w14:paraId="543DAAD3" w14:textId="77777777" w:rsidR="002C0FD9" w:rsidRPr="00CA25CF" w:rsidRDefault="002C0FD9" w:rsidP="00CA25CF">
            <w:pPr>
              <w:rPr>
                <w:rFonts w:cs="Arial"/>
                <w:color w:val="FF0000"/>
                <w:sz w:val="21"/>
                <w:szCs w:val="21"/>
              </w:rPr>
            </w:pPr>
          </w:p>
        </w:tc>
        <w:tc>
          <w:tcPr>
            <w:tcW w:w="217" w:type="dxa"/>
          </w:tcPr>
          <w:p w14:paraId="5CCF4D39" w14:textId="77777777" w:rsidR="002C0FD9" w:rsidRPr="00CA25CF" w:rsidRDefault="002C0FD9" w:rsidP="00CA25CF">
            <w:pPr>
              <w:rPr>
                <w:rFonts w:cs="Arial"/>
                <w:color w:val="FF0000"/>
                <w:sz w:val="21"/>
                <w:szCs w:val="21"/>
              </w:rPr>
            </w:pPr>
          </w:p>
        </w:tc>
        <w:tc>
          <w:tcPr>
            <w:tcW w:w="217" w:type="dxa"/>
          </w:tcPr>
          <w:p w14:paraId="17D2651E" w14:textId="77777777" w:rsidR="002C0FD9" w:rsidRPr="00CA25CF" w:rsidRDefault="002C0FD9" w:rsidP="00CA25CF">
            <w:pPr>
              <w:rPr>
                <w:rFonts w:cs="Arial"/>
                <w:color w:val="FF0000"/>
                <w:sz w:val="21"/>
                <w:szCs w:val="21"/>
              </w:rPr>
            </w:pPr>
          </w:p>
        </w:tc>
        <w:tc>
          <w:tcPr>
            <w:tcW w:w="217" w:type="dxa"/>
          </w:tcPr>
          <w:p w14:paraId="7D7DE877" w14:textId="77777777" w:rsidR="002C0FD9" w:rsidRPr="00CA25CF" w:rsidRDefault="002C0FD9" w:rsidP="00CA25CF">
            <w:pPr>
              <w:rPr>
                <w:rFonts w:cs="Arial"/>
                <w:color w:val="FF0000"/>
                <w:sz w:val="21"/>
                <w:szCs w:val="21"/>
              </w:rPr>
            </w:pPr>
          </w:p>
        </w:tc>
        <w:tc>
          <w:tcPr>
            <w:tcW w:w="217" w:type="dxa"/>
          </w:tcPr>
          <w:p w14:paraId="624C22C0" w14:textId="77777777" w:rsidR="002C0FD9" w:rsidRPr="00CA25CF" w:rsidRDefault="002C0FD9" w:rsidP="00CA25CF">
            <w:pPr>
              <w:rPr>
                <w:rFonts w:cs="Arial"/>
                <w:color w:val="FF0000"/>
                <w:sz w:val="21"/>
                <w:szCs w:val="21"/>
              </w:rPr>
            </w:pPr>
          </w:p>
        </w:tc>
        <w:tc>
          <w:tcPr>
            <w:tcW w:w="217" w:type="dxa"/>
          </w:tcPr>
          <w:p w14:paraId="1DDE13D1" w14:textId="77777777" w:rsidR="002C0FD9" w:rsidRPr="00CA25CF" w:rsidRDefault="002C0FD9" w:rsidP="00CA25CF">
            <w:pPr>
              <w:rPr>
                <w:rFonts w:cs="Arial"/>
                <w:color w:val="FF0000"/>
                <w:sz w:val="21"/>
                <w:szCs w:val="21"/>
              </w:rPr>
            </w:pPr>
          </w:p>
        </w:tc>
        <w:tc>
          <w:tcPr>
            <w:tcW w:w="217" w:type="dxa"/>
          </w:tcPr>
          <w:p w14:paraId="6BAAFA43" w14:textId="77777777" w:rsidR="002C0FD9" w:rsidRPr="00CA25CF" w:rsidRDefault="002C0FD9" w:rsidP="00CA25CF">
            <w:pPr>
              <w:rPr>
                <w:rFonts w:cs="Arial"/>
                <w:color w:val="FF0000"/>
                <w:sz w:val="21"/>
                <w:szCs w:val="21"/>
              </w:rPr>
            </w:pPr>
          </w:p>
        </w:tc>
        <w:tc>
          <w:tcPr>
            <w:tcW w:w="217" w:type="dxa"/>
          </w:tcPr>
          <w:p w14:paraId="194FC52B" w14:textId="77777777" w:rsidR="002C0FD9" w:rsidRPr="00CA25CF" w:rsidRDefault="002C0FD9" w:rsidP="00CA25CF">
            <w:pPr>
              <w:rPr>
                <w:rFonts w:cs="Arial"/>
                <w:color w:val="FF0000"/>
                <w:sz w:val="21"/>
                <w:szCs w:val="21"/>
              </w:rPr>
            </w:pPr>
          </w:p>
        </w:tc>
        <w:tc>
          <w:tcPr>
            <w:tcW w:w="217" w:type="dxa"/>
          </w:tcPr>
          <w:p w14:paraId="244BBA98" w14:textId="77777777" w:rsidR="002C0FD9" w:rsidRPr="00CA25CF" w:rsidRDefault="002C0FD9" w:rsidP="00CA25CF">
            <w:pPr>
              <w:rPr>
                <w:rFonts w:cs="Arial"/>
                <w:color w:val="FF0000"/>
                <w:sz w:val="21"/>
                <w:szCs w:val="21"/>
              </w:rPr>
            </w:pPr>
          </w:p>
        </w:tc>
        <w:tc>
          <w:tcPr>
            <w:tcW w:w="217" w:type="dxa"/>
          </w:tcPr>
          <w:p w14:paraId="084226FF" w14:textId="77777777" w:rsidR="002C0FD9" w:rsidRPr="00CA25CF" w:rsidRDefault="002C0FD9" w:rsidP="00CA25CF">
            <w:pPr>
              <w:rPr>
                <w:rFonts w:cs="Arial"/>
                <w:color w:val="FF0000"/>
                <w:sz w:val="21"/>
                <w:szCs w:val="21"/>
              </w:rPr>
            </w:pPr>
          </w:p>
        </w:tc>
        <w:tc>
          <w:tcPr>
            <w:tcW w:w="217" w:type="dxa"/>
          </w:tcPr>
          <w:p w14:paraId="6CDECCF1" w14:textId="77777777" w:rsidR="002C0FD9" w:rsidRPr="00CA25CF" w:rsidRDefault="002C0FD9" w:rsidP="00CA25CF">
            <w:pPr>
              <w:rPr>
                <w:rFonts w:cs="Arial"/>
                <w:color w:val="FF0000"/>
                <w:sz w:val="21"/>
                <w:szCs w:val="21"/>
              </w:rPr>
            </w:pPr>
          </w:p>
        </w:tc>
        <w:tc>
          <w:tcPr>
            <w:tcW w:w="217" w:type="dxa"/>
          </w:tcPr>
          <w:p w14:paraId="3A691E41" w14:textId="77777777" w:rsidR="002C0FD9" w:rsidRPr="00CA25CF" w:rsidRDefault="002C0FD9" w:rsidP="00CA25CF">
            <w:pPr>
              <w:rPr>
                <w:rFonts w:cs="Arial"/>
                <w:color w:val="FF0000"/>
                <w:sz w:val="21"/>
                <w:szCs w:val="21"/>
              </w:rPr>
            </w:pPr>
          </w:p>
        </w:tc>
        <w:tc>
          <w:tcPr>
            <w:tcW w:w="217" w:type="dxa"/>
          </w:tcPr>
          <w:p w14:paraId="6DBA823F" w14:textId="77777777" w:rsidR="002C0FD9" w:rsidRPr="00CA25CF" w:rsidRDefault="002C0FD9" w:rsidP="00CA25CF">
            <w:pPr>
              <w:rPr>
                <w:rFonts w:cs="Arial"/>
                <w:color w:val="FF0000"/>
                <w:sz w:val="21"/>
                <w:szCs w:val="21"/>
              </w:rPr>
            </w:pPr>
          </w:p>
        </w:tc>
        <w:tc>
          <w:tcPr>
            <w:tcW w:w="217" w:type="dxa"/>
          </w:tcPr>
          <w:p w14:paraId="2723948A" w14:textId="77777777" w:rsidR="002C0FD9" w:rsidRPr="00CA25CF" w:rsidRDefault="002C0FD9" w:rsidP="00CA25CF">
            <w:pPr>
              <w:rPr>
                <w:rFonts w:cs="Arial"/>
                <w:color w:val="FF0000"/>
                <w:sz w:val="21"/>
                <w:szCs w:val="21"/>
              </w:rPr>
            </w:pPr>
          </w:p>
        </w:tc>
        <w:tc>
          <w:tcPr>
            <w:tcW w:w="217" w:type="dxa"/>
          </w:tcPr>
          <w:p w14:paraId="1B0629F5" w14:textId="77777777" w:rsidR="002C0FD9" w:rsidRPr="00CA25CF" w:rsidRDefault="002C0FD9" w:rsidP="00CA25CF">
            <w:pPr>
              <w:rPr>
                <w:rFonts w:cs="Arial"/>
                <w:color w:val="FF0000"/>
                <w:sz w:val="21"/>
                <w:szCs w:val="21"/>
              </w:rPr>
            </w:pPr>
          </w:p>
        </w:tc>
        <w:tc>
          <w:tcPr>
            <w:tcW w:w="217" w:type="dxa"/>
          </w:tcPr>
          <w:p w14:paraId="56845BD7" w14:textId="77777777" w:rsidR="002C0FD9" w:rsidRPr="00CA25CF" w:rsidRDefault="002C0FD9" w:rsidP="00CA25CF">
            <w:pPr>
              <w:rPr>
                <w:rFonts w:cs="Arial"/>
                <w:color w:val="FF0000"/>
                <w:sz w:val="21"/>
                <w:szCs w:val="21"/>
              </w:rPr>
            </w:pPr>
          </w:p>
        </w:tc>
      </w:tr>
      <w:tr w:rsidR="002C0FD9" w:rsidRPr="00A16219" w14:paraId="0F1413A7" w14:textId="77777777" w:rsidTr="002C0FD9">
        <w:trPr>
          <w:trHeight w:val="635"/>
        </w:trPr>
        <w:tc>
          <w:tcPr>
            <w:tcW w:w="515" w:type="dxa"/>
          </w:tcPr>
          <w:p w14:paraId="398C0368" w14:textId="77777777" w:rsidR="002C0FD9" w:rsidRPr="00CA25CF" w:rsidRDefault="002C0FD9" w:rsidP="00CA25CF">
            <w:pPr>
              <w:rPr>
                <w:rFonts w:cs="Arial"/>
                <w:color w:val="FF0000"/>
                <w:sz w:val="21"/>
                <w:szCs w:val="21"/>
              </w:rPr>
            </w:pPr>
          </w:p>
        </w:tc>
        <w:tc>
          <w:tcPr>
            <w:tcW w:w="217" w:type="dxa"/>
          </w:tcPr>
          <w:p w14:paraId="4B6B9275" w14:textId="77777777" w:rsidR="002C0FD9" w:rsidRPr="00CA25CF" w:rsidRDefault="002C0FD9" w:rsidP="00CA25CF">
            <w:pPr>
              <w:rPr>
                <w:rFonts w:cs="Arial"/>
                <w:color w:val="FF0000"/>
                <w:sz w:val="21"/>
                <w:szCs w:val="21"/>
              </w:rPr>
            </w:pPr>
          </w:p>
        </w:tc>
        <w:tc>
          <w:tcPr>
            <w:tcW w:w="217" w:type="dxa"/>
          </w:tcPr>
          <w:p w14:paraId="78DE7EFF" w14:textId="77777777" w:rsidR="002C0FD9" w:rsidRPr="00CA25CF" w:rsidRDefault="002C0FD9" w:rsidP="00CA25CF">
            <w:pPr>
              <w:rPr>
                <w:rFonts w:cs="Arial"/>
                <w:color w:val="FF0000"/>
                <w:sz w:val="21"/>
                <w:szCs w:val="21"/>
              </w:rPr>
            </w:pPr>
          </w:p>
        </w:tc>
        <w:tc>
          <w:tcPr>
            <w:tcW w:w="217" w:type="dxa"/>
          </w:tcPr>
          <w:p w14:paraId="0ABAFD71" w14:textId="77777777" w:rsidR="002C0FD9" w:rsidRPr="00CA25CF" w:rsidRDefault="002C0FD9" w:rsidP="00CA25CF">
            <w:pPr>
              <w:rPr>
                <w:rFonts w:cs="Arial"/>
                <w:color w:val="FF0000"/>
                <w:sz w:val="21"/>
                <w:szCs w:val="21"/>
              </w:rPr>
            </w:pPr>
          </w:p>
        </w:tc>
        <w:tc>
          <w:tcPr>
            <w:tcW w:w="217" w:type="dxa"/>
          </w:tcPr>
          <w:p w14:paraId="429994D1" w14:textId="77777777" w:rsidR="002C0FD9" w:rsidRPr="00CA25CF" w:rsidRDefault="002C0FD9" w:rsidP="00CA25CF">
            <w:pPr>
              <w:rPr>
                <w:rFonts w:cs="Arial"/>
                <w:color w:val="FF0000"/>
                <w:sz w:val="21"/>
                <w:szCs w:val="21"/>
              </w:rPr>
            </w:pPr>
          </w:p>
        </w:tc>
        <w:tc>
          <w:tcPr>
            <w:tcW w:w="217" w:type="dxa"/>
          </w:tcPr>
          <w:p w14:paraId="18EEFBAE" w14:textId="77777777" w:rsidR="002C0FD9" w:rsidRPr="00CA25CF" w:rsidRDefault="002C0FD9" w:rsidP="00CA25CF">
            <w:pPr>
              <w:rPr>
                <w:rFonts w:cs="Arial"/>
                <w:color w:val="FF0000"/>
                <w:sz w:val="21"/>
                <w:szCs w:val="21"/>
              </w:rPr>
            </w:pPr>
          </w:p>
        </w:tc>
        <w:tc>
          <w:tcPr>
            <w:tcW w:w="217" w:type="dxa"/>
          </w:tcPr>
          <w:p w14:paraId="233A0F50" w14:textId="77777777" w:rsidR="002C0FD9" w:rsidRPr="00CA25CF" w:rsidRDefault="002C0FD9" w:rsidP="00CA25CF">
            <w:pPr>
              <w:rPr>
                <w:rFonts w:cs="Arial"/>
                <w:color w:val="FF0000"/>
                <w:sz w:val="21"/>
                <w:szCs w:val="21"/>
              </w:rPr>
            </w:pPr>
          </w:p>
        </w:tc>
        <w:tc>
          <w:tcPr>
            <w:tcW w:w="217" w:type="dxa"/>
          </w:tcPr>
          <w:p w14:paraId="056A4662" w14:textId="77777777" w:rsidR="002C0FD9" w:rsidRPr="00CA25CF" w:rsidRDefault="002C0FD9" w:rsidP="00CA25CF">
            <w:pPr>
              <w:rPr>
                <w:rFonts w:cs="Arial"/>
                <w:color w:val="FF0000"/>
                <w:sz w:val="21"/>
                <w:szCs w:val="21"/>
              </w:rPr>
            </w:pPr>
          </w:p>
        </w:tc>
        <w:tc>
          <w:tcPr>
            <w:tcW w:w="217" w:type="dxa"/>
          </w:tcPr>
          <w:p w14:paraId="591ADAAB" w14:textId="77777777" w:rsidR="002C0FD9" w:rsidRPr="00CA25CF" w:rsidRDefault="002C0FD9" w:rsidP="00CA25CF">
            <w:pPr>
              <w:rPr>
                <w:rFonts w:cs="Arial"/>
                <w:color w:val="FF0000"/>
                <w:sz w:val="21"/>
                <w:szCs w:val="21"/>
              </w:rPr>
            </w:pPr>
          </w:p>
        </w:tc>
        <w:tc>
          <w:tcPr>
            <w:tcW w:w="217" w:type="dxa"/>
          </w:tcPr>
          <w:p w14:paraId="7643AD61" w14:textId="77777777" w:rsidR="002C0FD9" w:rsidRPr="00CA25CF" w:rsidRDefault="002C0FD9" w:rsidP="00CA25CF">
            <w:pPr>
              <w:rPr>
                <w:rFonts w:cs="Arial"/>
                <w:color w:val="FF0000"/>
                <w:sz w:val="21"/>
                <w:szCs w:val="21"/>
              </w:rPr>
            </w:pPr>
          </w:p>
        </w:tc>
        <w:tc>
          <w:tcPr>
            <w:tcW w:w="217" w:type="dxa"/>
          </w:tcPr>
          <w:p w14:paraId="1D5F6B96" w14:textId="77777777" w:rsidR="002C0FD9" w:rsidRPr="00CA25CF" w:rsidRDefault="002C0FD9" w:rsidP="00CA25CF">
            <w:pPr>
              <w:rPr>
                <w:rFonts w:cs="Arial"/>
                <w:color w:val="FF0000"/>
                <w:sz w:val="21"/>
                <w:szCs w:val="21"/>
              </w:rPr>
            </w:pPr>
          </w:p>
        </w:tc>
        <w:tc>
          <w:tcPr>
            <w:tcW w:w="217" w:type="dxa"/>
          </w:tcPr>
          <w:p w14:paraId="70AF0B04" w14:textId="77777777" w:rsidR="002C0FD9" w:rsidRPr="00CA25CF" w:rsidRDefault="002C0FD9" w:rsidP="00CA25CF">
            <w:pPr>
              <w:rPr>
                <w:rFonts w:cs="Arial"/>
                <w:color w:val="FF0000"/>
                <w:sz w:val="21"/>
                <w:szCs w:val="21"/>
              </w:rPr>
            </w:pPr>
          </w:p>
        </w:tc>
        <w:tc>
          <w:tcPr>
            <w:tcW w:w="217" w:type="dxa"/>
          </w:tcPr>
          <w:p w14:paraId="06469B22" w14:textId="77777777" w:rsidR="002C0FD9" w:rsidRPr="00CA25CF" w:rsidRDefault="002C0FD9" w:rsidP="00CA25CF">
            <w:pPr>
              <w:rPr>
                <w:rFonts w:cs="Arial"/>
                <w:color w:val="FF0000"/>
                <w:sz w:val="21"/>
                <w:szCs w:val="21"/>
              </w:rPr>
            </w:pPr>
          </w:p>
        </w:tc>
        <w:tc>
          <w:tcPr>
            <w:tcW w:w="217" w:type="dxa"/>
          </w:tcPr>
          <w:p w14:paraId="5DBA126F" w14:textId="77777777" w:rsidR="002C0FD9" w:rsidRPr="00CA25CF" w:rsidRDefault="002C0FD9" w:rsidP="00CA25CF">
            <w:pPr>
              <w:rPr>
                <w:rFonts w:cs="Arial"/>
                <w:color w:val="FF0000"/>
                <w:sz w:val="21"/>
                <w:szCs w:val="21"/>
              </w:rPr>
            </w:pPr>
          </w:p>
        </w:tc>
        <w:tc>
          <w:tcPr>
            <w:tcW w:w="217" w:type="dxa"/>
          </w:tcPr>
          <w:p w14:paraId="4662172C" w14:textId="77777777" w:rsidR="002C0FD9" w:rsidRPr="00CA25CF" w:rsidRDefault="002C0FD9" w:rsidP="00CA25CF">
            <w:pPr>
              <w:rPr>
                <w:rFonts w:cs="Arial"/>
                <w:color w:val="FF0000"/>
                <w:sz w:val="21"/>
                <w:szCs w:val="21"/>
              </w:rPr>
            </w:pPr>
          </w:p>
        </w:tc>
        <w:tc>
          <w:tcPr>
            <w:tcW w:w="217" w:type="dxa"/>
          </w:tcPr>
          <w:p w14:paraId="3C1FCD93" w14:textId="77777777" w:rsidR="002C0FD9" w:rsidRPr="00CA25CF" w:rsidRDefault="002C0FD9" w:rsidP="00CA25CF">
            <w:pPr>
              <w:rPr>
                <w:rFonts w:cs="Arial"/>
                <w:color w:val="FF0000"/>
                <w:sz w:val="21"/>
                <w:szCs w:val="21"/>
              </w:rPr>
            </w:pPr>
          </w:p>
        </w:tc>
        <w:tc>
          <w:tcPr>
            <w:tcW w:w="217" w:type="dxa"/>
          </w:tcPr>
          <w:p w14:paraId="2B1E4B08" w14:textId="77777777" w:rsidR="002C0FD9" w:rsidRPr="00CA25CF" w:rsidRDefault="002C0FD9" w:rsidP="00CA25CF">
            <w:pPr>
              <w:rPr>
                <w:rFonts w:cs="Arial"/>
                <w:color w:val="FF0000"/>
                <w:sz w:val="21"/>
                <w:szCs w:val="21"/>
              </w:rPr>
            </w:pPr>
          </w:p>
        </w:tc>
        <w:tc>
          <w:tcPr>
            <w:tcW w:w="217" w:type="dxa"/>
          </w:tcPr>
          <w:p w14:paraId="44314873" w14:textId="77777777" w:rsidR="002C0FD9" w:rsidRPr="00CA25CF" w:rsidRDefault="002C0FD9" w:rsidP="00CA25CF">
            <w:pPr>
              <w:rPr>
                <w:rFonts w:cs="Arial"/>
                <w:color w:val="FF0000"/>
                <w:sz w:val="21"/>
                <w:szCs w:val="21"/>
              </w:rPr>
            </w:pPr>
          </w:p>
        </w:tc>
        <w:tc>
          <w:tcPr>
            <w:tcW w:w="217" w:type="dxa"/>
          </w:tcPr>
          <w:p w14:paraId="31B535C0" w14:textId="77777777" w:rsidR="002C0FD9" w:rsidRPr="00CA25CF" w:rsidRDefault="002C0FD9" w:rsidP="00CA25CF">
            <w:pPr>
              <w:rPr>
                <w:rFonts w:cs="Arial"/>
                <w:color w:val="FF0000"/>
                <w:sz w:val="21"/>
                <w:szCs w:val="21"/>
              </w:rPr>
            </w:pPr>
          </w:p>
        </w:tc>
        <w:tc>
          <w:tcPr>
            <w:tcW w:w="217" w:type="dxa"/>
          </w:tcPr>
          <w:p w14:paraId="0FDBD5A7" w14:textId="77777777" w:rsidR="002C0FD9" w:rsidRPr="00CA25CF" w:rsidRDefault="002C0FD9" w:rsidP="00CA25CF">
            <w:pPr>
              <w:rPr>
                <w:rFonts w:cs="Arial"/>
                <w:color w:val="FF0000"/>
                <w:sz w:val="21"/>
                <w:szCs w:val="21"/>
              </w:rPr>
            </w:pPr>
          </w:p>
        </w:tc>
        <w:tc>
          <w:tcPr>
            <w:tcW w:w="217" w:type="dxa"/>
          </w:tcPr>
          <w:p w14:paraId="7FA02568" w14:textId="77777777" w:rsidR="002C0FD9" w:rsidRPr="00CA25CF" w:rsidRDefault="002C0FD9" w:rsidP="00CA25CF">
            <w:pPr>
              <w:rPr>
                <w:rFonts w:cs="Arial"/>
                <w:color w:val="FF0000"/>
                <w:sz w:val="21"/>
                <w:szCs w:val="21"/>
              </w:rPr>
            </w:pPr>
          </w:p>
        </w:tc>
        <w:tc>
          <w:tcPr>
            <w:tcW w:w="217" w:type="dxa"/>
          </w:tcPr>
          <w:p w14:paraId="3DC7FA65" w14:textId="77777777" w:rsidR="002C0FD9" w:rsidRPr="00CA25CF" w:rsidRDefault="002C0FD9" w:rsidP="00CA25CF">
            <w:pPr>
              <w:rPr>
                <w:rFonts w:cs="Arial"/>
                <w:color w:val="FF0000"/>
                <w:sz w:val="21"/>
                <w:szCs w:val="21"/>
              </w:rPr>
            </w:pPr>
          </w:p>
        </w:tc>
        <w:tc>
          <w:tcPr>
            <w:tcW w:w="217" w:type="dxa"/>
          </w:tcPr>
          <w:p w14:paraId="3BDDD905" w14:textId="77777777" w:rsidR="002C0FD9" w:rsidRPr="00CA25CF" w:rsidRDefault="002C0FD9" w:rsidP="00CA25CF">
            <w:pPr>
              <w:rPr>
                <w:rFonts w:cs="Arial"/>
                <w:color w:val="FF0000"/>
                <w:sz w:val="21"/>
                <w:szCs w:val="21"/>
              </w:rPr>
            </w:pPr>
          </w:p>
        </w:tc>
        <w:tc>
          <w:tcPr>
            <w:tcW w:w="217" w:type="dxa"/>
          </w:tcPr>
          <w:p w14:paraId="48DB76F9" w14:textId="77777777" w:rsidR="002C0FD9" w:rsidRPr="00CA25CF" w:rsidRDefault="002C0FD9" w:rsidP="00CA25CF">
            <w:pPr>
              <w:rPr>
                <w:rFonts w:cs="Arial"/>
                <w:color w:val="FF0000"/>
                <w:sz w:val="21"/>
                <w:szCs w:val="21"/>
              </w:rPr>
            </w:pPr>
          </w:p>
        </w:tc>
        <w:tc>
          <w:tcPr>
            <w:tcW w:w="217" w:type="dxa"/>
          </w:tcPr>
          <w:p w14:paraId="2670065A" w14:textId="77777777" w:rsidR="002C0FD9" w:rsidRPr="00CA25CF" w:rsidRDefault="002C0FD9" w:rsidP="00CA25CF">
            <w:pPr>
              <w:rPr>
                <w:rFonts w:cs="Arial"/>
                <w:color w:val="FF0000"/>
                <w:sz w:val="21"/>
                <w:szCs w:val="21"/>
              </w:rPr>
            </w:pPr>
          </w:p>
        </w:tc>
        <w:tc>
          <w:tcPr>
            <w:tcW w:w="217" w:type="dxa"/>
          </w:tcPr>
          <w:p w14:paraId="32B060A5" w14:textId="77777777" w:rsidR="002C0FD9" w:rsidRPr="00CA25CF" w:rsidRDefault="002C0FD9" w:rsidP="00CA25CF">
            <w:pPr>
              <w:rPr>
                <w:rFonts w:cs="Arial"/>
                <w:color w:val="FF0000"/>
                <w:sz w:val="21"/>
                <w:szCs w:val="21"/>
              </w:rPr>
            </w:pPr>
          </w:p>
        </w:tc>
        <w:tc>
          <w:tcPr>
            <w:tcW w:w="217" w:type="dxa"/>
          </w:tcPr>
          <w:p w14:paraId="33786B64" w14:textId="77777777" w:rsidR="002C0FD9" w:rsidRPr="00CA25CF" w:rsidRDefault="002C0FD9" w:rsidP="00CA25CF">
            <w:pPr>
              <w:rPr>
                <w:rFonts w:cs="Arial"/>
                <w:color w:val="FF0000"/>
                <w:sz w:val="21"/>
                <w:szCs w:val="21"/>
              </w:rPr>
            </w:pPr>
          </w:p>
        </w:tc>
        <w:tc>
          <w:tcPr>
            <w:tcW w:w="217" w:type="dxa"/>
          </w:tcPr>
          <w:p w14:paraId="2DBC9FD0" w14:textId="77777777" w:rsidR="002C0FD9" w:rsidRPr="00CA25CF" w:rsidRDefault="002C0FD9" w:rsidP="00CA25CF">
            <w:pPr>
              <w:rPr>
                <w:rFonts w:cs="Arial"/>
                <w:color w:val="FF0000"/>
                <w:sz w:val="21"/>
                <w:szCs w:val="21"/>
              </w:rPr>
            </w:pPr>
          </w:p>
        </w:tc>
        <w:tc>
          <w:tcPr>
            <w:tcW w:w="217" w:type="dxa"/>
          </w:tcPr>
          <w:p w14:paraId="384BC927" w14:textId="77777777" w:rsidR="002C0FD9" w:rsidRPr="00CA25CF" w:rsidRDefault="002C0FD9" w:rsidP="00CA25CF">
            <w:pPr>
              <w:rPr>
                <w:rFonts w:cs="Arial"/>
                <w:color w:val="FF0000"/>
                <w:sz w:val="21"/>
                <w:szCs w:val="21"/>
              </w:rPr>
            </w:pPr>
          </w:p>
        </w:tc>
        <w:tc>
          <w:tcPr>
            <w:tcW w:w="217" w:type="dxa"/>
          </w:tcPr>
          <w:p w14:paraId="4E70A7CC" w14:textId="77777777" w:rsidR="002C0FD9" w:rsidRPr="00CA25CF" w:rsidRDefault="002C0FD9" w:rsidP="00CA25CF">
            <w:pPr>
              <w:rPr>
                <w:rFonts w:cs="Arial"/>
                <w:color w:val="FF0000"/>
                <w:sz w:val="21"/>
                <w:szCs w:val="21"/>
              </w:rPr>
            </w:pPr>
          </w:p>
        </w:tc>
        <w:tc>
          <w:tcPr>
            <w:tcW w:w="217" w:type="dxa"/>
          </w:tcPr>
          <w:p w14:paraId="52E213A7" w14:textId="77777777" w:rsidR="002C0FD9" w:rsidRPr="00CA25CF" w:rsidRDefault="002C0FD9" w:rsidP="00CA25CF">
            <w:pPr>
              <w:rPr>
                <w:rFonts w:cs="Arial"/>
                <w:color w:val="FF0000"/>
                <w:sz w:val="21"/>
                <w:szCs w:val="21"/>
              </w:rPr>
            </w:pPr>
          </w:p>
        </w:tc>
        <w:tc>
          <w:tcPr>
            <w:tcW w:w="217" w:type="dxa"/>
          </w:tcPr>
          <w:p w14:paraId="4618BFA4" w14:textId="77777777" w:rsidR="002C0FD9" w:rsidRPr="00CA25CF" w:rsidRDefault="002C0FD9" w:rsidP="00CA25CF">
            <w:pPr>
              <w:rPr>
                <w:rFonts w:cs="Arial"/>
                <w:color w:val="FF0000"/>
                <w:sz w:val="21"/>
                <w:szCs w:val="21"/>
              </w:rPr>
            </w:pPr>
          </w:p>
        </w:tc>
        <w:tc>
          <w:tcPr>
            <w:tcW w:w="217" w:type="dxa"/>
          </w:tcPr>
          <w:p w14:paraId="3E7CC57A" w14:textId="77777777" w:rsidR="002C0FD9" w:rsidRPr="00CA25CF" w:rsidRDefault="002C0FD9" w:rsidP="00CA25CF">
            <w:pPr>
              <w:rPr>
                <w:rFonts w:cs="Arial"/>
                <w:color w:val="FF0000"/>
                <w:sz w:val="21"/>
                <w:szCs w:val="21"/>
              </w:rPr>
            </w:pPr>
          </w:p>
        </w:tc>
        <w:tc>
          <w:tcPr>
            <w:tcW w:w="217" w:type="dxa"/>
          </w:tcPr>
          <w:p w14:paraId="53B0BD6C" w14:textId="77777777" w:rsidR="002C0FD9" w:rsidRPr="00CA25CF" w:rsidRDefault="002C0FD9" w:rsidP="00CA25CF">
            <w:pPr>
              <w:rPr>
                <w:rFonts w:cs="Arial"/>
                <w:color w:val="FF0000"/>
                <w:sz w:val="21"/>
                <w:szCs w:val="21"/>
              </w:rPr>
            </w:pPr>
          </w:p>
        </w:tc>
        <w:tc>
          <w:tcPr>
            <w:tcW w:w="217" w:type="dxa"/>
          </w:tcPr>
          <w:p w14:paraId="3E5FCBD9" w14:textId="77777777" w:rsidR="002C0FD9" w:rsidRPr="00CA25CF" w:rsidRDefault="002C0FD9" w:rsidP="00CA25CF">
            <w:pPr>
              <w:rPr>
                <w:rFonts w:cs="Arial"/>
                <w:color w:val="FF0000"/>
                <w:sz w:val="21"/>
                <w:szCs w:val="21"/>
              </w:rPr>
            </w:pPr>
          </w:p>
        </w:tc>
        <w:tc>
          <w:tcPr>
            <w:tcW w:w="217" w:type="dxa"/>
          </w:tcPr>
          <w:p w14:paraId="7C1C2815" w14:textId="77777777" w:rsidR="002C0FD9" w:rsidRPr="00CA25CF" w:rsidRDefault="002C0FD9" w:rsidP="00CA25CF">
            <w:pPr>
              <w:rPr>
                <w:rFonts w:cs="Arial"/>
                <w:color w:val="FF0000"/>
                <w:sz w:val="21"/>
                <w:szCs w:val="21"/>
              </w:rPr>
            </w:pPr>
          </w:p>
        </w:tc>
        <w:tc>
          <w:tcPr>
            <w:tcW w:w="217" w:type="dxa"/>
          </w:tcPr>
          <w:p w14:paraId="5F3AAF2E" w14:textId="77777777" w:rsidR="002C0FD9" w:rsidRPr="00CA25CF" w:rsidRDefault="002C0FD9" w:rsidP="00CA25CF">
            <w:pPr>
              <w:rPr>
                <w:rFonts w:cs="Arial"/>
                <w:color w:val="FF0000"/>
                <w:sz w:val="21"/>
                <w:szCs w:val="21"/>
              </w:rPr>
            </w:pPr>
          </w:p>
        </w:tc>
        <w:tc>
          <w:tcPr>
            <w:tcW w:w="217" w:type="dxa"/>
          </w:tcPr>
          <w:p w14:paraId="695F53CC" w14:textId="77777777" w:rsidR="002C0FD9" w:rsidRPr="00CA25CF" w:rsidRDefault="002C0FD9" w:rsidP="00CA25CF">
            <w:pPr>
              <w:rPr>
                <w:rFonts w:cs="Arial"/>
                <w:color w:val="FF0000"/>
                <w:sz w:val="21"/>
                <w:szCs w:val="21"/>
              </w:rPr>
            </w:pPr>
          </w:p>
        </w:tc>
        <w:tc>
          <w:tcPr>
            <w:tcW w:w="217" w:type="dxa"/>
          </w:tcPr>
          <w:p w14:paraId="091E9C05" w14:textId="77777777" w:rsidR="002C0FD9" w:rsidRPr="00CA25CF" w:rsidRDefault="002C0FD9" w:rsidP="00CA25CF">
            <w:pPr>
              <w:rPr>
                <w:rFonts w:cs="Arial"/>
                <w:color w:val="FF0000"/>
                <w:sz w:val="21"/>
                <w:szCs w:val="21"/>
              </w:rPr>
            </w:pPr>
          </w:p>
        </w:tc>
        <w:tc>
          <w:tcPr>
            <w:tcW w:w="217" w:type="dxa"/>
          </w:tcPr>
          <w:p w14:paraId="7654164C" w14:textId="77777777" w:rsidR="002C0FD9" w:rsidRPr="00CA25CF" w:rsidRDefault="002C0FD9" w:rsidP="00CA25CF">
            <w:pPr>
              <w:rPr>
                <w:rFonts w:cs="Arial"/>
                <w:color w:val="FF0000"/>
                <w:sz w:val="21"/>
                <w:szCs w:val="21"/>
              </w:rPr>
            </w:pPr>
          </w:p>
        </w:tc>
        <w:tc>
          <w:tcPr>
            <w:tcW w:w="217" w:type="dxa"/>
          </w:tcPr>
          <w:p w14:paraId="12E86171" w14:textId="77777777" w:rsidR="002C0FD9" w:rsidRPr="00CA25CF" w:rsidRDefault="002C0FD9" w:rsidP="00CA25CF">
            <w:pPr>
              <w:rPr>
                <w:rFonts w:cs="Arial"/>
                <w:color w:val="FF0000"/>
                <w:sz w:val="21"/>
                <w:szCs w:val="21"/>
              </w:rPr>
            </w:pPr>
          </w:p>
        </w:tc>
        <w:tc>
          <w:tcPr>
            <w:tcW w:w="217" w:type="dxa"/>
          </w:tcPr>
          <w:p w14:paraId="77EEDAE1" w14:textId="77777777" w:rsidR="002C0FD9" w:rsidRPr="00CA25CF" w:rsidRDefault="002C0FD9" w:rsidP="00CA25CF">
            <w:pPr>
              <w:rPr>
                <w:rFonts w:cs="Arial"/>
                <w:color w:val="FF0000"/>
                <w:sz w:val="21"/>
                <w:szCs w:val="21"/>
              </w:rPr>
            </w:pPr>
          </w:p>
        </w:tc>
        <w:tc>
          <w:tcPr>
            <w:tcW w:w="217" w:type="dxa"/>
          </w:tcPr>
          <w:p w14:paraId="214FD7BC" w14:textId="77777777" w:rsidR="002C0FD9" w:rsidRPr="00CA25CF" w:rsidRDefault="002C0FD9" w:rsidP="00CA25CF">
            <w:pPr>
              <w:rPr>
                <w:rFonts w:cs="Arial"/>
                <w:color w:val="FF0000"/>
                <w:sz w:val="21"/>
                <w:szCs w:val="21"/>
              </w:rPr>
            </w:pPr>
          </w:p>
        </w:tc>
      </w:tr>
      <w:tr w:rsidR="002C0FD9" w:rsidRPr="00A16219" w14:paraId="3D0D9E82" w14:textId="77777777" w:rsidTr="002C0FD9">
        <w:trPr>
          <w:trHeight w:val="635"/>
        </w:trPr>
        <w:tc>
          <w:tcPr>
            <w:tcW w:w="515" w:type="dxa"/>
          </w:tcPr>
          <w:p w14:paraId="1042A4AB" w14:textId="77777777" w:rsidR="002C0FD9" w:rsidRPr="00CA25CF" w:rsidRDefault="002C0FD9" w:rsidP="00CA25CF">
            <w:pPr>
              <w:rPr>
                <w:rFonts w:cs="Arial"/>
                <w:color w:val="FF0000"/>
                <w:sz w:val="21"/>
                <w:szCs w:val="21"/>
              </w:rPr>
            </w:pPr>
          </w:p>
        </w:tc>
        <w:tc>
          <w:tcPr>
            <w:tcW w:w="217" w:type="dxa"/>
          </w:tcPr>
          <w:p w14:paraId="67B3F408" w14:textId="77777777" w:rsidR="002C0FD9" w:rsidRPr="00CA25CF" w:rsidRDefault="002C0FD9" w:rsidP="00CA25CF">
            <w:pPr>
              <w:rPr>
                <w:rFonts w:cs="Arial"/>
                <w:color w:val="FF0000"/>
                <w:sz w:val="21"/>
                <w:szCs w:val="21"/>
              </w:rPr>
            </w:pPr>
          </w:p>
        </w:tc>
        <w:tc>
          <w:tcPr>
            <w:tcW w:w="217" w:type="dxa"/>
          </w:tcPr>
          <w:p w14:paraId="7DA5D4C8" w14:textId="77777777" w:rsidR="002C0FD9" w:rsidRPr="00CA25CF" w:rsidRDefault="002C0FD9" w:rsidP="00CA25CF">
            <w:pPr>
              <w:rPr>
                <w:rFonts w:cs="Arial"/>
                <w:color w:val="FF0000"/>
                <w:sz w:val="21"/>
                <w:szCs w:val="21"/>
              </w:rPr>
            </w:pPr>
          </w:p>
        </w:tc>
        <w:tc>
          <w:tcPr>
            <w:tcW w:w="217" w:type="dxa"/>
          </w:tcPr>
          <w:p w14:paraId="5DE102DA" w14:textId="77777777" w:rsidR="002C0FD9" w:rsidRPr="00CA25CF" w:rsidRDefault="002C0FD9" w:rsidP="00CA25CF">
            <w:pPr>
              <w:rPr>
                <w:rFonts w:cs="Arial"/>
                <w:color w:val="FF0000"/>
                <w:sz w:val="21"/>
                <w:szCs w:val="21"/>
              </w:rPr>
            </w:pPr>
          </w:p>
        </w:tc>
        <w:tc>
          <w:tcPr>
            <w:tcW w:w="217" w:type="dxa"/>
          </w:tcPr>
          <w:p w14:paraId="1C374B53" w14:textId="77777777" w:rsidR="002C0FD9" w:rsidRPr="00CA25CF" w:rsidRDefault="002C0FD9" w:rsidP="00CA25CF">
            <w:pPr>
              <w:rPr>
                <w:rFonts w:cs="Arial"/>
                <w:color w:val="FF0000"/>
                <w:sz w:val="21"/>
                <w:szCs w:val="21"/>
              </w:rPr>
            </w:pPr>
          </w:p>
        </w:tc>
        <w:tc>
          <w:tcPr>
            <w:tcW w:w="217" w:type="dxa"/>
          </w:tcPr>
          <w:p w14:paraId="105178BC" w14:textId="77777777" w:rsidR="002C0FD9" w:rsidRPr="00CA25CF" w:rsidRDefault="002C0FD9" w:rsidP="00CA25CF">
            <w:pPr>
              <w:rPr>
                <w:rFonts w:cs="Arial"/>
                <w:color w:val="FF0000"/>
                <w:sz w:val="21"/>
                <w:szCs w:val="21"/>
              </w:rPr>
            </w:pPr>
          </w:p>
        </w:tc>
        <w:tc>
          <w:tcPr>
            <w:tcW w:w="217" w:type="dxa"/>
          </w:tcPr>
          <w:p w14:paraId="20918603" w14:textId="77777777" w:rsidR="002C0FD9" w:rsidRPr="00CA25CF" w:rsidRDefault="002C0FD9" w:rsidP="00CA25CF">
            <w:pPr>
              <w:rPr>
                <w:rFonts w:cs="Arial"/>
                <w:color w:val="FF0000"/>
                <w:sz w:val="21"/>
                <w:szCs w:val="21"/>
              </w:rPr>
            </w:pPr>
          </w:p>
        </w:tc>
        <w:tc>
          <w:tcPr>
            <w:tcW w:w="217" w:type="dxa"/>
          </w:tcPr>
          <w:p w14:paraId="09CEE009" w14:textId="77777777" w:rsidR="002C0FD9" w:rsidRPr="00CA25CF" w:rsidRDefault="002C0FD9" w:rsidP="00CA25CF">
            <w:pPr>
              <w:rPr>
                <w:rFonts w:cs="Arial"/>
                <w:color w:val="FF0000"/>
                <w:sz w:val="21"/>
                <w:szCs w:val="21"/>
              </w:rPr>
            </w:pPr>
          </w:p>
        </w:tc>
        <w:tc>
          <w:tcPr>
            <w:tcW w:w="217" w:type="dxa"/>
          </w:tcPr>
          <w:p w14:paraId="60755C8F" w14:textId="77777777" w:rsidR="002C0FD9" w:rsidRPr="00CA25CF" w:rsidRDefault="002C0FD9" w:rsidP="00CA25CF">
            <w:pPr>
              <w:rPr>
                <w:rFonts w:cs="Arial"/>
                <w:color w:val="FF0000"/>
                <w:sz w:val="21"/>
                <w:szCs w:val="21"/>
              </w:rPr>
            </w:pPr>
          </w:p>
        </w:tc>
        <w:tc>
          <w:tcPr>
            <w:tcW w:w="217" w:type="dxa"/>
          </w:tcPr>
          <w:p w14:paraId="116CC8FF" w14:textId="77777777" w:rsidR="002C0FD9" w:rsidRPr="00CA25CF" w:rsidRDefault="002C0FD9" w:rsidP="00CA25CF">
            <w:pPr>
              <w:rPr>
                <w:rFonts w:cs="Arial"/>
                <w:color w:val="FF0000"/>
                <w:sz w:val="21"/>
                <w:szCs w:val="21"/>
              </w:rPr>
            </w:pPr>
          </w:p>
        </w:tc>
        <w:tc>
          <w:tcPr>
            <w:tcW w:w="217" w:type="dxa"/>
          </w:tcPr>
          <w:p w14:paraId="15679975" w14:textId="77777777" w:rsidR="002C0FD9" w:rsidRPr="00CA25CF" w:rsidRDefault="002C0FD9" w:rsidP="00CA25CF">
            <w:pPr>
              <w:rPr>
                <w:rFonts w:cs="Arial"/>
                <w:color w:val="FF0000"/>
                <w:sz w:val="21"/>
                <w:szCs w:val="21"/>
              </w:rPr>
            </w:pPr>
          </w:p>
        </w:tc>
        <w:tc>
          <w:tcPr>
            <w:tcW w:w="217" w:type="dxa"/>
          </w:tcPr>
          <w:p w14:paraId="4276E789" w14:textId="77777777" w:rsidR="002C0FD9" w:rsidRPr="00CA25CF" w:rsidRDefault="002C0FD9" w:rsidP="00CA25CF">
            <w:pPr>
              <w:rPr>
                <w:rFonts w:cs="Arial"/>
                <w:color w:val="FF0000"/>
                <w:sz w:val="21"/>
                <w:szCs w:val="21"/>
              </w:rPr>
            </w:pPr>
          </w:p>
        </w:tc>
        <w:tc>
          <w:tcPr>
            <w:tcW w:w="217" w:type="dxa"/>
          </w:tcPr>
          <w:p w14:paraId="669D37ED" w14:textId="77777777" w:rsidR="002C0FD9" w:rsidRPr="00CA25CF" w:rsidRDefault="002C0FD9" w:rsidP="00CA25CF">
            <w:pPr>
              <w:rPr>
                <w:rFonts w:cs="Arial"/>
                <w:color w:val="FF0000"/>
                <w:sz w:val="21"/>
                <w:szCs w:val="21"/>
              </w:rPr>
            </w:pPr>
          </w:p>
        </w:tc>
        <w:tc>
          <w:tcPr>
            <w:tcW w:w="217" w:type="dxa"/>
          </w:tcPr>
          <w:p w14:paraId="3877720A" w14:textId="77777777" w:rsidR="002C0FD9" w:rsidRPr="00CA25CF" w:rsidRDefault="002C0FD9" w:rsidP="00CA25CF">
            <w:pPr>
              <w:rPr>
                <w:rFonts w:cs="Arial"/>
                <w:color w:val="FF0000"/>
                <w:sz w:val="21"/>
                <w:szCs w:val="21"/>
              </w:rPr>
            </w:pPr>
          </w:p>
        </w:tc>
        <w:tc>
          <w:tcPr>
            <w:tcW w:w="217" w:type="dxa"/>
          </w:tcPr>
          <w:p w14:paraId="595EB589" w14:textId="77777777" w:rsidR="002C0FD9" w:rsidRPr="00CA25CF" w:rsidRDefault="002C0FD9" w:rsidP="00CA25CF">
            <w:pPr>
              <w:rPr>
                <w:rFonts w:cs="Arial"/>
                <w:color w:val="FF0000"/>
                <w:sz w:val="21"/>
                <w:szCs w:val="21"/>
              </w:rPr>
            </w:pPr>
          </w:p>
        </w:tc>
        <w:tc>
          <w:tcPr>
            <w:tcW w:w="217" w:type="dxa"/>
          </w:tcPr>
          <w:p w14:paraId="216722B0" w14:textId="77777777" w:rsidR="002C0FD9" w:rsidRPr="00CA25CF" w:rsidRDefault="002C0FD9" w:rsidP="00CA25CF">
            <w:pPr>
              <w:rPr>
                <w:rFonts w:cs="Arial"/>
                <w:color w:val="FF0000"/>
                <w:sz w:val="21"/>
                <w:szCs w:val="21"/>
              </w:rPr>
            </w:pPr>
          </w:p>
        </w:tc>
        <w:tc>
          <w:tcPr>
            <w:tcW w:w="217" w:type="dxa"/>
          </w:tcPr>
          <w:p w14:paraId="0CAA6C38" w14:textId="77777777" w:rsidR="002C0FD9" w:rsidRPr="00CA25CF" w:rsidRDefault="002C0FD9" w:rsidP="00CA25CF">
            <w:pPr>
              <w:rPr>
                <w:rFonts w:cs="Arial"/>
                <w:color w:val="FF0000"/>
                <w:sz w:val="21"/>
                <w:szCs w:val="21"/>
              </w:rPr>
            </w:pPr>
          </w:p>
        </w:tc>
        <w:tc>
          <w:tcPr>
            <w:tcW w:w="217" w:type="dxa"/>
          </w:tcPr>
          <w:p w14:paraId="01064F41" w14:textId="77777777" w:rsidR="002C0FD9" w:rsidRPr="00CA25CF" w:rsidRDefault="002C0FD9" w:rsidP="00CA25CF">
            <w:pPr>
              <w:rPr>
                <w:rFonts w:cs="Arial"/>
                <w:color w:val="FF0000"/>
                <w:sz w:val="21"/>
                <w:szCs w:val="21"/>
              </w:rPr>
            </w:pPr>
          </w:p>
        </w:tc>
        <w:tc>
          <w:tcPr>
            <w:tcW w:w="217" w:type="dxa"/>
          </w:tcPr>
          <w:p w14:paraId="6A1B18D9" w14:textId="77777777" w:rsidR="002C0FD9" w:rsidRPr="00CA25CF" w:rsidRDefault="002C0FD9" w:rsidP="00CA25CF">
            <w:pPr>
              <w:rPr>
                <w:rFonts w:cs="Arial"/>
                <w:color w:val="FF0000"/>
                <w:sz w:val="21"/>
                <w:szCs w:val="21"/>
              </w:rPr>
            </w:pPr>
          </w:p>
        </w:tc>
        <w:tc>
          <w:tcPr>
            <w:tcW w:w="217" w:type="dxa"/>
          </w:tcPr>
          <w:p w14:paraId="2C952B6E" w14:textId="77777777" w:rsidR="002C0FD9" w:rsidRPr="00CA25CF" w:rsidRDefault="002C0FD9" w:rsidP="00CA25CF">
            <w:pPr>
              <w:rPr>
                <w:rFonts w:cs="Arial"/>
                <w:color w:val="FF0000"/>
                <w:sz w:val="21"/>
                <w:szCs w:val="21"/>
              </w:rPr>
            </w:pPr>
          </w:p>
        </w:tc>
        <w:tc>
          <w:tcPr>
            <w:tcW w:w="217" w:type="dxa"/>
          </w:tcPr>
          <w:p w14:paraId="71AFDDCB" w14:textId="77777777" w:rsidR="002C0FD9" w:rsidRPr="00CA25CF" w:rsidRDefault="002C0FD9" w:rsidP="00CA25CF">
            <w:pPr>
              <w:rPr>
                <w:rFonts w:cs="Arial"/>
                <w:color w:val="FF0000"/>
                <w:sz w:val="21"/>
                <w:szCs w:val="21"/>
              </w:rPr>
            </w:pPr>
          </w:p>
        </w:tc>
        <w:tc>
          <w:tcPr>
            <w:tcW w:w="217" w:type="dxa"/>
          </w:tcPr>
          <w:p w14:paraId="02DCB5DA" w14:textId="77777777" w:rsidR="002C0FD9" w:rsidRPr="00CA25CF" w:rsidRDefault="002C0FD9" w:rsidP="00CA25CF">
            <w:pPr>
              <w:rPr>
                <w:rFonts w:cs="Arial"/>
                <w:color w:val="FF0000"/>
                <w:sz w:val="21"/>
                <w:szCs w:val="21"/>
              </w:rPr>
            </w:pPr>
          </w:p>
        </w:tc>
        <w:tc>
          <w:tcPr>
            <w:tcW w:w="217" w:type="dxa"/>
          </w:tcPr>
          <w:p w14:paraId="68391E78" w14:textId="77777777" w:rsidR="002C0FD9" w:rsidRPr="00CA25CF" w:rsidRDefault="002C0FD9" w:rsidP="00CA25CF">
            <w:pPr>
              <w:rPr>
                <w:rFonts w:cs="Arial"/>
                <w:color w:val="FF0000"/>
                <w:sz w:val="21"/>
                <w:szCs w:val="21"/>
              </w:rPr>
            </w:pPr>
          </w:p>
        </w:tc>
        <w:tc>
          <w:tcPr>
            <w:tcW w:w="217" w:type="dxa"/>
          </w:tcPr>
          <w:p w14:paraId="7252DD3A" w14:textId="77777777" w:rsidR="002C0FD9" w:rsidRPr="00CA25CF" w:rsidRDefault="002C0FD9" w:rsidP="00CA25CF">
            <w:pPr>
              <w:rPr>
                <w:rFonts w:cs="Arial"/>
                <w:color w:val="FF0000"/>
                <w:sz w:val="21"/>
                <w:szCs w:val="21"/>
              </w:rPr>
            </w:pPr>
          </w:p>
        </w:tc>
        <w:tc>
          <w:tcPr>
            <w:tcW w:w="217" w:type="dxa"/>
          </w:tcPr>
          <w:p w14:paraId="6FFDDFAC" w14:textId="77777777" w:rsidR="002C0FD9" w:rsidRPr="00CA25CF" w:rsidRDefault="002C0FD9" w:rsidP="00CA25CF">
            <w:pPr>
              <w:rPr>
                <w:rFonts w:cs="Arial"/>
                <w:color w:val="FF0000"/>
                <w:sz w:val="21"/>
                <w:szCs w:val="21"/>
              </w:rPr>
            </w:pPr>
          </w:p>
        </w:tc>
        <w:tc>
          <w:tcPr>
            <w:tcW w:w="217" w:type="dxa"/>
          </w:tcPr>
          <w:p w14:paraId="797AAF02" w14:textId="77777777" w:rsidR="002C0FD9" w:rsidRPr="00CA25CF" w:rsidRDefault="002C0FD9" w:rsidP="00CA25CF">
            <w:pPr>
              <w:rPr>
                <w:rFonts w:cs="Arial"/>
                <w:color w:val="FF0000"/>
                <w:sz w:val="21"/>
                <w:szCs w:val="21"/>
              </w:rPr>
            </w:pPr>
          </w:p>
        </w:tc>
        <w:tc>
          <w:tcPr>
            <w:tcW w:w="217" w:type="dxa"/>
          </w:tcPr>
          <w:p w14:paraId="7298E4B9" w14:textId="77777777" w:rsidR="002C0FD9" w:rsidRPr="00CA25CF" w:rsidRDefault="002C0FD9" w:rsidP="00CA25CF">
            <w:pPr>
              <w:rPr>
                <w:rFonts w:cs="Arial"/>
                <w:color w:val="FF0000"/>
                <w:sz w:val="21"/>
                <w:szCs w:val="21"/>
              </w:rPr>
            </w:pPr>
          </w:p>
        </w:tc>
        <w:tc>
          <w:tcPr>
            <w:tcW w:w="217" w:type="dxa"/>
          </w:tcPr>
          <w:p w14:paraId="6E8B76EE" w14:textId="77777777" w:rsidR="002C0FD9" w:rsidRPr="00CA25CF" w:rsidRDefault="002C0FD9" w:rsidP="00CA25CF">
            <w:pPr>
              <w:rPr>
                <w:rFonts w:cs="Arial"/>
                <w:color w:val="FF0000"/>
                <w:sz w:val="21"/>
                <w:szCs w:val="21"/>
              </w:rPr>
            </w:pPr>
          </w:p>
        </w:tc>
        <w:tc>
          <w:tcPr>
            <w:tcW w:w="217" w:type="dxa"/>
          </w:tcPr>
          <w:p w14:paraId="775E6DB0" w14:textId="77777777" w:rsidR="002C0FD9" w:rsidRPr="00CA25CF" w:rsidRDefault="002C0FD9" w:rsidP="00CA25CF">
            <w:pPr>
              <w:rPr>
                <w:rFonts w:cs="Arial"/>
                <w:color w:val="FF0000"/>
                <w:sz w:val="21"/>
                <w:szCs w:val="21"/>
              </w:rPr>
            </w:pPr>
          </w:p>
        </w:tc>
        <w:tc>
          <w:tcPr>
            <w:tcW w:w="217" w:type="dxa"/>
          </w:tcPr>
          <w:p w14:paraId="7CA2E20F" w14:textId="77777777" w:rsidR="002C0FD9" w:rsidRPr="00CA25CF" w:rsidRDefault="002C0FD9" w:rsidP="00CA25CF">
            <w:pPr>
              <w:rPr>
                <w:rFonts w:cs="Arial"/>
                <w:color w:val="FF0000"/>
                <w:sz w:val="21"/>
                <w:szCs w:val="21"/>
              </w:rPr>
            </w:pPr>
          </w:p>
        </w:tc>
        <w:tc>
          <w:tcPr>
            <w:tcW w:w="217" w:type="dxa"/>
          </w:tcPr>
          <w:p w14:paraId="0FC753A9" w14:textId="77777777" w:rsidR="002C0FD9" w:rsidRPr="00CA25CF" w:rsidRDefault="002C0FD9" w:rsidP="00CA25CF">
            <w:pPr>
              <w:rPr>
                <w:rFonts w:cs="Arial"/>
                <w:color w:val="FF0000"/>
                <w:sz w:val="21"/>
                <w:szCs w:val="21"/>
              </w:rPr>
            </w:pPr>
          </w:p>
        </w:tc>
        <w:tc>
          <w:tcPr>
            <w:tcW w:w="217" w:type="dxa"/>
          </w:tcPr>
          <w:p w14:paraId="6CE137C2" w14:textId="77777777" w:rsidR="002C0FD9" w:rsidRPr="00CA25CF" w:rsidRDefault="002C0FD9" w:rsidP="00CA25CF">
            <w:pPr>
              <w:rPr>
                <w:rFonts w:cs="Arial"/>
                <w:color w:val="FF0000"/>
                <w:sz w:val="21"/>
                <w:szCs w:val="21"/>
              </w:rPr>
            </w:pPr>
          </w:p>
        </w:tc>
        <w:tc>
          <w:tcPr>
            <w:tcW w:w="217" w:type="dxa"/>
          </w:tcPr>
          <w:p w14:paraId="1725049E" w14:textId="77777777" w:rsidR="002C0FD9" w:rsidRPr="00CA25CF" w:rsidRDefault="002C0FD9" w:rsidP="00CA25CF">
            <w:pPr>
              <w:rPr>
                <w:rFonts w:cs="Arial"/>
                <w:color w:val="FF0000"/>
                <w:sz w:val="21"/>
                <w:szCs w:val="21"/>
              </w:rPr>
            </w:pPr>
          </w:p>
        </w:tc>
        <w:tc>
          <w:tcPr>
            <w:tcW w:w="217" w:type="dxa"/>
          </w:tcPr>
          <w:p w14:paraId="022ECD89" w14:textId="77777777" w:rsidR="002C0FD9" w:rsidRPr="00CA25CF" w:rsidRDefault="002C0FD9" w:rsidP="00CA25CF">
            <w:pPr>
              <w:rPr>
                <w:rFonts w:cs="Arial"/>
                <w:color w:val="FF0000"/>
                <w:sz w:val="21"/>
                <w:szCs w:val="21"/>
              </w:rPr>
            </w:pPr>
          </w:p>
        </w:tc>
        <w:tc>
          <w:tcPr>
            <w:tcW w:w="217" w:type="dxa"/>
          </w:tcPr>
          <w:p w14:paraId="588FB3B8" w14:textId="77777777" w:rsidR="002C0FD9" w:rsidRPr="00CA25CF" w:rsidRDefault="002C0FD9" w:rsidP="00CA25CF">
            <w:pPr>
              <w:rPr>
                <w:rFonts w:cs="Arial"/>
                <w:color w:val="FF0000"/>
                <w:sz w:val="21"/>
                <w:szCs w:val="21"/>
              </w:rPr>
            </w:pPr>
          </w:p>
        </w:tc>
        <w:tc>
          <w:tcPr>
            <w:tcW w:w="217" w:type="dxa"/>
          </w:tcPr>
          <w:p w14:paraId="1BEE8778" w14:textId="77777777" w:rsidR="002C0FD9" w:rsidRPr="00CA25CF" w:rsidRDefault="002C0FD9" w:rsidP="00CA25CF">
            <w:pPr>
              <w:rPr>
                <w:rFonts w:cs="Arial"/>
                <w:color w:val="FF0000"/>
                <w:sz w:val="21"/>
                <w:szCs w:val="21"/>
              </w:rPr>
            </w:pPr>
          </w:p>
        </w:tc>
        <w:tc>
          <w:tcPr>
            <w:tcW w:w="217" w:type="dxa"/>
          </w:tcPr>
          <w:p w14:paraId="28CFC71C" w14:textId="77777777" w:rsidR="002C0FD9" w:rsidRPr="00CA25CF" w:rsidRDefault="002C0FD9" w:rsidP="00CA25CF">
            <w:pPr>
              <w:rPr>
                <w:rFonts w:cs="Arial"/>
                <w:color w:val="FF0000"/>
                <w:sz w:val="21"/>
                <w:szCs w:val="21"/>
              </w:rPr>
            </w:pPr>
          </w:p>
        </w:tc>
        <w:tc>
          <w:tcPr>
            <w:tcW w:w="217" w:type="dxa"/>
          </w:tcPr>
          <w:p w14:paraId="46163FB5" w14:textId="77777777" w:rsidR="002C0FD9" w:rsidRPr="00CA25CF" w:rsidRDefault="002C0FD9" w:rsidP="00CA25CF">
            <w:pPr>
              <w:rPr>
                <w:rFonts w:cs="Arial"/>
                <w:color w:val="FF0000"/>
                <w:sz w:val="21"/>
                <w:szCs w:val="21"/>
              </w:rPr>
            </w:pPr>
          </w:p>
        </w:tc>
        <w:tc>
          <w:tcPr>
            <w:tcW w:w="217" w:type="dxa"/>
          </w:tcPr>
          <w:p w14:paraId="5E96E7FB" w14:textId="77777777" w:rsidR="002C0FD9" w:rsidRPr="00CA25CF" w:rsidRDefault="002C0FD9" w:rsidP="00CA25CF">
            <w:pPr>
              <w:rPr>
                <w:rFonts w:cs="Arial"/>
                <w:color w:val="FF0000"/>
                <w:sz w:val="21"/>
                <w:szCs w:val="21"/>
              </w:rPr>
            </w:pPr>
          </w:p>
        </w:tc>
        <w:tc>
          <w:tcPr>
            <w:tcW w:w="217" w:type="dxa"/>
          </w:tcPr>
          <w:p w14:paraId="5E4E713B" w14:textId="77777777" w:rsidR="002C0FD9" w:rsidRPr="00CA25CF" w:rsidRDefault="002C0FD9" w:rsidP="00CA25CF">
            <w:pPr>
              <w:rPr>
                <w:rFonts w:cs="Arial"/>
                <w:color w:val="FF0000"/>
                <w:sz w:val="21"/>
                <w:szCs w:val="21"/>
              </w:rPr>
            </w:pPr>
          </w:p>
        </w:tc>
        <w:tc>
          <w:tcPr>
            <w:tcW w:w="217" w:type="dxa"/>
          </w:tcPr>
          <w:p w14:paraId="025AD79A" w14:textId="77777777" w:rsidR="002C0FD9" w:rsidRPr="00CA25CF" w:rsidRDefault="002C0FD9" w:rsidP="00CA25CF">
            <w:pPr>
              <w:rPr>
                <w:rFonts w:cs="Arial"/>
                <w:color w:val="FF0000"/>
                <w:sz w:val="21"/>
                <w:szCs w:val="21"/>
              </w:rPr>
            </w:pPr>
          </w:p>
        </w:tc>
        <w:tc>
          <w:tcPr>
            <w:tcW w:w="217" w:type="dxa"/>
          </w:tcPr>
          <w:p w14:paraId="720DE963" w14:textId="77777777" w:rsidR="002C0FD9" w:rsidRPr="00CA25CF" w:rsidRDefault="002C0FD9" w:rsidP="00CA25CF">
            <w:pPr>
              <w:rPr>
                <w:rFonts w:cs="Arial"/>
                <w:color w:val="FF0000"/>
                <w:sz w:val="21"/>
                <w:szCs w:val="21"/>
              </w:rPr>
            </w:pPr>
          </w:p>
        </w:tc>
        <w:tc>
          <w:tcPr>
            <w:tcW w:w="217" w:type="dxa"/>
          </w:tcPr>
          <w:p w14:paraId="1ABF6EE2" w14:textId="77777777" w:rsidR="002C0FD9" w:rsidRPr="00CA25CF" w:rsidRDefault="002C0FD9" w:rsidP="00CA25CF">
            <w:pPr>
              <w:rPr>
                <w:rFonts w:cs="Arial"/>
                <w:color w:val="FF0000"/>
                <w:sz w:val="21"/>
                <w:szCs w:val="21"/>
              </w:rPr>
            </w:pPr>
          </w:p>
        </w:tc>
      </w:tr>
      <w:tr w:rsidR="002C0FD9" w:rsidRPr="00A16219" w14:paraId="7F12D7BD" w14:textId="77777777" w:rsidTr="002C0FD9">
        <w:trPr>
          <w:trHeight w:val="635"/>
        </w:trPr>
        <w:tc>
          <w:tcPr>
            <w:tcW w:w="515" w:type="dxa"/>
          </w:tcPr>
          <w:p w14:paraId="4E86A2DD" w14:textId="77777777" w:rsidR="002C0FD9" w:rsidRPr="00CA25CF" w:rsidRDefault="002C0FD9" w:rsidP="00CA25CF">
            <w:pPr>
              <w:rPr>
                <w:rFonts w:cs="Arial"/>
                <w:color w:val="FF0000"/>
                <w:sz w:val="21"/>
                <w:szCs w:val="21"/>
              </w:rPr>
            </w:pPr>
          </w:p>
        </w:tc>
        <w:tc>
          <w:tcPr>
            <w:tcW w:w="217" w:type="dxa"/>
          </w:tcPr>
          <w:p w14:paraId="1E22D69F" w14:textId="77777777" w:rsidR="002C0FD9" w:rsidRPr="00CA25CF" w:rsidRDefault="002C0FD9" w:rsidP="00CA25CF">
            <w:pPr>
              <w:rPr>
                <w:rFonts w:cs="Arial"/>
                <w:color w:val="FF0000"/>
                <w:sz w:val="21"/>
                <w:szCs w:val="21"/>
              </w:rPr>
            </w:pPr>
          </w:p>
        </w:tc>
        <w:tc>
          <w:tcPr>
            <w:tcW w:w="217" w:type="dxa"/>
          </w:tcPr>
          <w:p w14:paraId="39905F8A" w14:textId="77777777" w:rsidR="002C0FD9" w:rsidRPr="00CA25CF" w:rsidRDefault="002C0FD9" w:rsidP="00CA25CF">
            <w:pPr>
              <w:rPr>
                <w:rFonts w:cs="Arial"/>
                <w:color w:val="FF0000"/>
                <w:sz w:val="21"/>
                <w:szCs w:val="21"/>
              </w:rPr>
            </w:pPr>
          </w:p>
        </w:tc>
        <w:tc>
          <w:tcPr>
            <w:tcW w:w="217" w:type="dxa"/>
          </w:tcPr>
          <w:p w14:paraId="72ADF970" w14:textId="77777777" w:rsidR="002C0FD9" w:rsidRPr="00CA25CF" w:rsidRDefault="002C0FD9" w:rsidP="00CA25CF">
            <w:pPr>
              <w:rPr>
                <w:rFonts w:cs="Arial"/>
                <w:color w:val="FF0000"/>
                <w:sz w:val="21"/>
                <w:szCs w:val="21"/>
              </w:rPr>
            </w:pPr>
          </w:p>
        </w:tc>
        <w:tc>
          <w:tcPr>
            <w:tcW w:w="217" w:type="dxa"/>
          </w:tcPr>
          <w:p w14:paraId="17472265" w14:textId="77777777" w:rsidR="002C0FD9" w:rsidRPr="00CA25CF" w:rsidRDefault="002C0FD9" w:rsidP="00CA25CF">
            <w:pPr>
              <w:rPr>
                <w:rFonts w:cs="Arial"/>
                <w:color w:val="FF0000"/>
                <w:sz w:val="21"/>
                <w:szCs w:val="21"/>
              </w:rPr>
            </w:pPr>
          </w:p>
        </w:tc>
        <w:tc>
          <w:tcPr>
            <w:tcW w:w="217" w:type="dxa"/>
          </w:tcPr>
          <w:p w14:paraId="1EFF34F7" w14:textId="77777777" w:rsidR="002C0FD9" w:rsidRPr="00CA25CF" w:rsidRDefault="002C0FD9" w:rsidP="00CA25CF">
            <w:pPr>
              <w:rPr>
                <w:rFonts w:cs="Arial"/>
                <w:color w:val="FF0000"/>
                <w:sz w:val="21"/>
                <w:szCs w:val="21"/>
              </w:rPr>
            </w:pPr>
          </w:p>
        </w:tc>
        <w:tc>
          <w:tcPr>
            <w:tcW w:w="217" w:type="dxa"/>
          </w:tcPr>
          <w:p w14:paraId="3F9FAB04" w14:textId="77777777" w:rsidR="002C0FD9" w:rsidRPr="00CA25CF" w:rsidRDefault="002C0FD9" w:rsidP="00CA25CF">
            <w:pPr>
              <w:rPr>
                <w:rFonts w:cs="Arial"/>
                <w:color w:val="FF0000"/>
                <w:sz w:val="21"/>
                <w:szCs w:val="21"/>
              </w:rPr>
            </w:pPr>
          </w:p>
        </w:tc>
        <w:tc>
          <w:tcPr>
            <w:tcW w:w="217" w:type="dxa"/>
          </w:tcPr>
          <w:p w14:paraId="6B7096A3" w14:textId="77777777" w:rsidR="002C0FD9" w:rsidRPr="00CA25CF" w:rsidRDefault="002C0FD9" w:rsidP="00CA25CF">
            <w:pPr>
              <w:rPr>
                <w:rFonts w:cs="Arial"/>
                <w:color w:val="FF0000"/>
                <w:sz w:val="21"/>
                <w:szCs w:val="21"/>
              </w:rPr>
            </w:pPr>
          </w:p>
        </w:tc>
        <w:tc>
          <w:tcPr>
            <w:tcW w:w="217" w:type="dxa"/>
          </w:tcPr>
          <w:p w14:paraId="594FD16A" w14:textId="77777777" w:rsidR="002C0FD9" w:rsidRPr="00CA25CF" w:rsidRDefault="002C0FD9" w:rsidP="00CA25CF">
            <w:pPr>
              <w:rPr>
                <w:rFonts w:cs="Arial"/>
                <w:color w:val="FF0000"/>
                <w:sz w:val="21"/>
                <w:szCs w:val="21"/>
              </w:rPr>
            </w:pPr>
          </w:p>
        </w:tc>
        <w:tc>
          <w:tcPr>
            <w:tcW w:w="217" w:type="dxa"/>
          </w:tcPr>
          <w:p w14:paraId="6621C66B" w14:textId="77777777" w:rsidR="002C0FD9" w:rsidRPr="00CA25CF" w:rsidRDefault="002C0FD9" w:rsidP="00CA25CF">
            <w:pPr>
              <w:rPr>
                <w:rFonts w:cs="Arial"/>
                <w:color w:val="FF0000"/>
                <w:sz w:val="21"/>
                <w:szCs w:val="21"/>
              </w:rPr>
            </w:pPr>
          </w:p>
        </w:tc>
        <w:tc>
          <w:tcPr>
            <w:tcW w:w="217" w:type="dxa"/>
          </w:tcPr>
          <w:p w14:paraId="38C5DAD4" w14:textId="77777777" w:rsidR="002C0FD9" w:rsidRPr="00CA25CF" w:rsidRDefault="002C0FD9" w:rsidP="00CA25CF">
            <w:pPr>
              <w:rPr>
                <w:rFonts w:cs="Arial"/>
                <w:color w:val="FF0000"/>
                <w:sz w:val="21"/>
                <w:szCs w:val="21"/>
              </w:rPr>
            </w:pPr>
          </w:p>
        </w:tc>
        <w:tc>
          <w:tcPr>
            <w:tcW w:w="217" w:type="dxa"/>
          </w:tcPr>
          <w:p w14:paraId="1968B655" w14:textId="77777777" w:rsidR="002C0FD9" w:rsidRPr="00CA25CF" w:rsidRDefault="002C0FD9" w:rsidP="00CA25CF">
            <w:pPr>
              <w:rPr>
                <w:rFonts w:cs="Arial"/>
                <w:color w:val="FF0000"/>
                <w:sz w:val="21"/>
                <w:szCs w:val="21"/>
              </w:rPr>
            </w:pPr>
          </w:p>
        </w:tc>
        <w:tc>
          <w:tcPr>
            <w:tcW w:w="217" w:type="dxa"/>
          </w:tcPr>
          <w:p w14:paraId="6127A103" w14:textId="77777777" w:rsidR="002C0FD9" w:rsidRPr="00CA25CF" w:rsidRDefault="002C0FD9" w:rsidP="00CA25CF">
            <w:pPr>
              <w:rPr>
                <w:rFonts w:cs="Arial"/>
                <w:color w:val="FF0000"/>
                <w:sz w:val="21"/>
                <w:szCs w:val="21"/>
              </w:rPr>
            </w:pPr>
          </w:p>
        </w:tc>
        <w:tc>
          <w:tcPr>
            <w:tcW w:w="217" w:type="dxa"/>
          </w:tcPr>
          <w:p w14:paraId="4858CA87" w14:textId="77777777" w:rsidR="002C0FD9" w:rsidRPr="00CA25CF" w:rsidRDefault="002C0FD9" w:rsidP="00CA25CF">
            <w:pPr>
              <w:rPr>
                <w:rFonts w:cs="Arial"/>
                <w:color w:val="FF0000"/>
                <w:sz w:val="21"/>
                <w:szCs w:val="21"/>
              </w:rPr>
            </w:pPr>
          </w:p>
        </w:tc>
        <w:tc>
          <w:tcPr>
            <w:tcW w:w="217" w:type="dxa"/>
          </w:tcPr>
          <w:p w14:paraId="115E801A" w14:textId="77777777" w:rsidR="002C0FD9" w:rsidRPr="00CA25CF" w:rsidRDefault="002C0FD9" w:rsidP="00CA25CF">
            <w:pPr>
              <w:rPr>
                <w:rFonts w:cs="Arial"/>
                <w:color w:val="FF0000"/>
                <w:sz w:val="21"/>
                <w:szCs w:val="21"/>
              </w:rPr>
            </w:pPr>
          </w:p>
        </w:tc>
        <w:tc>
          <w:tcPr>
            <w:tcW w:w="217" w:type="dxa"/>
          </w:tcPr>
          <w:p w14:paraId="71651DDD" w14:textId="77777777" w:rsidR="002C0FD9" w:rsidRPr="00CA25CF" w:rsidRDefault="002C0FD9" w:rsidP="00CA25CF">
            <w:pPr>
              <w:rPr>
                <w:rFonts w:cs="Arial"/>
                <w:color w:val="FF0000"/>
                <w:sz w:val="21"/>
                <w:szCs w:val="21"/>
              </w:rPr>
            </w:pPr>
          </w:p>
        </w:tc>
        <w:tc>
          <w:tcPr>
            <w:tcW w:w="217" w:type="dxa"/>
          </w:tcPr>
          <w:p w14:paraId="4F379EDF" w14:textId="77777777" w:rsidR="002C0FD9" w:rsidRPr="00CA25CF" w:rsidRDefault="002C0FD9" w:rsidP="00CA25CF">
            <w:pPr>
              <w:rPr>
                <w:rFonts w:cs="Arial"/>
                <w:color w:val="FF0000"/>
                <w:sz w:val="21"/>
                <w:szCs w:val="21"/>
              </w:rPr>
            </w:pPr>
          </w:p>
        </w:tc>
        <w:tc>
          <w:tcPr>
            <w:tcW w:w="217" w:type="dxa"/>
          </w:tcPr>
          <w:p w14:paraId="23D6A6F5" w14:textId="77777777" w:rsidR="002C0FD9" w:rsidRPr="00CA25CF" w:rsidRDefault="002C0FD9" w:rsidP="00CA25CF">
            <w:pPr>
              <w:rPr>
                <w:rFonts w:cs="Arial"/>
                <w:color w:val="FF0000"/>
                <w:sz w:val="21"/>
                <w:szCs w:val="21"/>
              </w:rPr>
            </w:pPr>
          </w:p>
        </w:tc>
        <w:tc>
          <w:tcPr>
            <w:tcW w:w="217" w:type="dxa"/>
          </w:tcPr>
          <w:p w14:paraId="7CCFC597" w14:textId="77777777" w:rsidR="002C0FD9" w:rsidRPr="00CA25CF" w:rsidRDefault="002C0FD9" w:rsidP="00CA25CF">
            <w:pPr>
              <w:rPr>
                <w:rFonts w:cs="Arial"/>
                <w:color w:val="FF0000"/>
                <w:sz w:val="21"/>
                <w:szCs w:val="21"/>
              </w:rPr>
            </w:pPr>
          </w:p>
        </w:tc>
        <w:tc>
          <w:tcPr>
            <w:tcW w:w="217" w:type="dxa"/>
          </w:tcPr>
          <w:p w14:paraId="49DC21B9" w14:textId="77777777" w:rsidR="002C0FD9" w:rsidRPr="00CA25CF" w:rsidRDefault="002C0FD9" w:rsidP="00CA25CF">
            <w:pPr>
              <w:rPr>
                <w:rFonts w:cs="Arial"/>
                <w:color w:val="FF0000"/>
                <w:sz w:val="21"/>
                <w:szCs w:val="21"/>
              </w:rPr>
            </w:pPr>
          </w:p>
        </w:tc>
        <w:tc>
          <w:tcPr>
            <w:tcW w:w="217" w:type="dxa"/>
          </w:tcPr>
          <w:p w14:paraId="1D069764" w14:textId="77777777" w:rsidR="002C0FD9" w:rsidRPr="00CA25CF" w:rsidRDefault="002C0FD9" w:rsidP="00CA25CF">
            <w:pPr>
              <w:rPr>
                <w:rFonts w:cs="Arial"/>
                <w:color w:val="FF0000"/>
                <w:sz w:val="21"/>
                <w:szCs w:val="21"/>
              </w:rPr>
            </w:pPr>
          </w:p>
        </w:tc>
        <w:tc>
          <w:tcPr>
            <w:tcW w:w="217" w:type="dxa"/>
          </w:tcPr>
          <w:p w14:paraId="20EAA15C" w14:textId="77777777" w:rsidR="002C0FD9" w:rsidRPr="00CA25CF" w:rsidRDefault="002C0FD9" w:rsidP="00CA25CF">
            <w:pPr>
              <w:rPr>
                <w:rFonts w:cs="Arial"/>
                <w:color w:val="FF0000"/>
                <w:sz w:val="21"/>
                <w:szCs w:val="21"/>
              </w:rPr>
            </w:pPr>
          </w:p>
        </w:tc>
        <w:tc>
          <w:tcPr>
            <w:tcW w:w="217" w:type="dxa"/>
          </w:tcPr>
          <w:p w14:paraId="643D0B94" w14:textId="77777777" w:rsidR="002C0FD9" w:rsidRPr="00CA25CF" w:rsidRDefault="002C0FD9" w:rsidP="00CA25CF">
            <w:pPr>
              <w:rPr>
                <w:rFonts w:cs="Arial"/>
                <w:color w:val="FF0000"/>
                <w:sz w:val="21"/>
                <w:szCs w:val="21"/>
              </w:rPr>
            </w:pPr>
          </w:p>
        </w:tc>
        <w:tc>
          <w:tcPr>
            <w:tcW w:w="217" w:type="dxa"/>
          </w:tcPr>
          <w:p w14:paraId="14F21FB5" w14:textId="77777777" w:rsidR="002C0FD9" w:rsidRPr="00CA25CF" w:rsidRDefault="002C0FD9" w:rsidP="00CA25CF">
            <w:pPr>
              <w:rPr>
                <w:rFonts w:cs="Arial"/>
                <w:color w:val="FF0000"/>
                <w:sz w:val="21"/>
                <w:szCs w:val="21"/>
              </w:rPr>
            </w:pPr>
          </w:p>
        </w:tc>
        <w:tc>
          <w:tcPr>
            <w:tcW w:w="217" w:type="dxa"/>
          </w:tcPr>
          <w:p w14:paraId="27B72EA8" w14:textId="77777777" w:rsidR="002C0FD9" w:rsidRPr="00CA25CF" w:rsidRDefault="002C0FD9" w:rsidP="00CA25CF">
            <w:pPr>
              <w:rPr>
                <w:rFonts w:cs="Arial"/>
                <w:color w:val="FF0000"/>
                <w:sz w:val="21"/>
                <w:szCs w:val="21"/>
              </w:rPr>
            </w:pPr>
          </w:p>
        </w:tc>
        <w:tc>
          <w:tcPr>
            <w:tcW w:w="217" w:type="dxa"/>
          </w:tcPr>
          <w:p w14:paraId="3985BCF2" w14:textId="77777777" w:rsidR="002C0FD9" w:rsidRPr="00CA25CF" w:rsidRDefault="002C0FD9" w:rsidP="00CA25CF">
            <w:pPr>
              <w:rPr>
                <w:rFonts w:cs="Arial"/>
                <w:color w:val="FF0000"/>
                <w:sz w:val="21"/>
                <w:szCs w:val="21"/>
              </w:rPr>
            </w:pPr>
          </w:p>
        </w:tc>
        <w:tc>
          <w:tcPr>
            <w:tcW w:w="217" w:type="dxa"/>
          </w:tcPr>
          <w:p w14:paraId="5AAE688E" w14:textId="77777777" w:rsidR="002C0FD9" w:rsidRPr="00CA25CF" w:rsidRDefault="002C0FD9" w:rsidP="00CA25CF">
            <w:pPr>
              <w:rPr>
                <w:rFonts w:cs="Arial"/>
                <w:color w:val="FF0000"/>
                <w:sz w:val="21"/>
                <w:szCs w:val="21"/>
              </w:rPr>
            </w:pPr>
          </w:p>
        </w:tc>
        <w:tc>
          <w:tcPr>
            <w:tcW w:w="217" w:type="dxa"/>
          </w:tcPr>
          <w:p w14:paraId="6FEDE4DA" w14:textId="77777777" w:rsidR="002C0FD9" w:rsidRPr="00CA25CF" w:rsidRDefault="002C0FD9" w:rsidP="00CA25CF">
            <w:pPr>
              <w:rPr>
                <w:rFonts w:cs="Arial"/>
                <w:color w:val="FF0000"/>
                <w:sz w:val="21"/>
                <w:szCs w:val="21"/>
              </w:rPr>
            </w:pPr>
          </w:p>
        </w:tc>
        <w:tc>
          <w:tcPr>
            <w:tcW w:w="217" w:type="dxa"/>
          </w:tcPr>
          <w:p w14:paraId="14717429" w14:textId="77777777" w:rsidR="002C0FD9" w:rsidRPr="00CA25CF" w:rsidRDefault="002C0FD9" w:rsidP="00CA25CF">
            <w:pPr>
              <w:rPr>
                <w:rFonts w:cs="Arial"/>
                <w:color w:val="FF0000"/>
                <w:sz w:val="21"/>
                <w:szCs w:val="21"/>
              </w:rPr>
            </w:pPr>
          </w:p>
        </w:tc>
        <w:tc>
          <w:tcPr>
            <w:tcW w:w="217" w:type="dxa"/>
          </w:tcPr>
          <w:p w14:paraId="5F821133" w14:textId="77777777" w:rsidR="002C0FD9" w:rsidRPr="00CA25CF" w:rsidRDefault="002C0FD9" w:rsidP="00CA25CF">
            <w:pPr>
              <w:rPr>
                <w:rFonts w:cs="Arial"/>
                <w:color w:val="FF0000"/>
                <w:sz w:val="21"/>
                <w:szCs w:val="21"/>
              </w:rPr>
            </w:pPr>
          </w:p>
        </w:tc>
        <w:tc>
          <w:tcPr>
            <w:tcW w:w="217" w:type="dxa"/>
          </w:tcPr>
          <w:p w14:paraId="1BDAB63C" w14:textId="77777777" w:rsidR="002C0FD9" w:rsidRPr="00CA25CF" w:rsidRDefault="002C0FD9" w:rsidP="00CA25CF">
            <w:pPr>
              <w:rPr>
                <w:rFonts w:cs="Arial"/>
                <w:color w:val="FF0000"/>
                <w:sz w:val="21"/>
                <w:szCs w:val="21"/>
              </w:rPr>
            </w:pPr>
          </w:p>
        </w:tc>
        <w:tc>
          <w:tcPr>
            <w:tcW w:w="217" w:type="dxa"/>
          </w:tcPr>
          <w:p w14:paraId="308DD412" w14:textId="77777777" w:rsidR="002C0FD9" w:rsidRPr="00CA25CF" w:rsidRDefault="002C0FD9" w:rsidP="00CA25CF">
            <w:pPr>
              <w:rPr>
                <w:rFonts w:cs="Arial"/>
                <w:color w:val="FF0000"/>
                <w:sz w:val="21"/>
                <w:szCs w:val="21"/>
              </w:rPr>
            </w:pPr>
          </w:p>
        </w:tc>
        <w:tc>
          <w:tcPr>
            <w:tcW w:w="217" w:type="dxa"/>
          </w:tcPr>
          <w:p w14:paraId="4C0D79D3" w14:textId="77777777" w:rsidR="002C0FD9" w:rsidRPr="00CA25CF" w:rsidRDefault="002C0FD9" w:rsidP="00CA25CF">
            <w:pPr>
              <w:rPr>
                <w:rFonts w:cs="Arial"/>
                <w:color w:val="FF0000"/>
                <w:sz w:val="21"/>
                <w:szCs w:val="21"/>
              </w:rPr>
            </w:pPr>
          </w:p>
        </w:tc>
        <w:tc>
          <w:tcPr>
            <w:tcW w:w="217" w:type="dxa"/>
          </w:tcPr>
          <w:p w14:paraId="3C0771D6" w14:textId="77777777" w:rsidR="002C0FD9" w:rsidRPr="00CA25CF" w:rsidRDefault="002C0FD9" w:rsidP="00CA25CF">
            <w:pPr>
              <w:rPr>
                <w:rFonts w:cs="Arial"/>
                <w:color w:val="FF0000"/>
                <w:sz w:val="21"/>
                <w:szCs w:val="21"/>
              </w:rPr>
            </w:pPr>
          </w:p>
        </w:tc>
        <w:tc>
          <w:tcPr>
            <w:tcW w:w="217" w:type="dxa"/>
          </w:tcPr>
          <w:p w14:paraId="04A704F3" w14:textId="77777777" w:rsidR="002C0FD9" w:rsidRPr="00CA25CF" w:rsidRDefault="002C0FD9" w:rsidP="00CA25CF">
            <w:pPr>
              <w:rPr>
                <w:rFonts w:cs="Arial"/>
                <w:color w:val="FF0000"/>
                <w:sz w:val="21"/>
                <w:szCs w:val="21"/>
              </w:rPr>
            </w:pPr>
          </w:p>
        </w:tc>
        <w:tc>
          <w:tcPr>
            <w:tcW w:w="217" w:type="dxa"/>
          </w:tcPr>
          <w:p w14:paraId="16758877" w14:textId="77777777" w:rsidR="002C0FD9" w:rsidRPr="00CA25CF" w:rsidRDefault="002C0FD9" w:rsidP="00CA25CF">
            <w:pPr>
              <w:rPr>
                <w:rFonts w:cs="Arial"/>
                <w:color w:val="FF0000"/>
                <w:sz w:val="21"/>
                <w:szCs w:val="21"/>
              </w:rPr>
            </w:pPr>
          </w:p>
        </w:tc>
        <w:tc>
          <w:tcPr>
            <w:tcW w:w="217" w:type="dxa"/>
          </w:tcPr>
          <w:p w14:paraId="3600FAD3" w14:textId="77777777" w:rsidR="002C0FD9" w:rsidRPr="00CA25CF" w:rsidRDefault="002C0FD9" w:rsidP="00CA25CF">
            <w:pPr>
              <w:rPr>
                <w:rFonts w:cs="Arial"/>
                <w:color w:val="FF0000"/>
                <w:sz w:val="21"/>
                <w:szCs w:val="21"/>
              </w:rPr>
            </w:pPr>
          </w:p>
        </w:tc>
        <w:tc>
          <w:tcPr>
            <w:tcW w:w="217" w:type="dxa"/>
          </w:tcPr>
          <w:p w14:paraId="5EA32FF7" w14:textId="77777777" w:rsidR="002C0FD9" w:rsidRPr="00CA25CF" w:rsidRDefault="002C0FD9" w:rsidP="00CA25CF">
            <w:pPr>
              <w:rPr>
                <w:rFonts w:cs="Arial"/>
                <w:color w:val="FF0000"/>
                <w:sz w:val="21"/>
                <w:szCs w:val="21"/>
              </w:rPr>
            </w:pPr>
          </w:p>
        </w:tc>
        <w:tc>
          <w:tcPr>
            <w:tcW w:w="217" w:type="dxa"/>
          </w:tcPr>
          <w:p w14:paraId="3574033A" w14:textId="77777777" w:rsidR="002C0FD9" w:rsidRPr="00CA25CF" w:rsidRDefault="002C0FD9" w:rsidP="00CA25CF">
            <w:pPr>
              <w:rPr>
                <w:rFonts w:cs="Arial"/>
                <w:color w:val="FF0000"/>
                <w:sz w:val="21"/>
                <w:szCs w:val="21"/>
              </w:rPr>
            </w:pPr>
          </w:p>
        </w:tc>
        <w:tc>
          <w:tcPr>
            <w:tcW w:w="217" w:type="dxa"/>
          </w:tcPr>
          <w:p w14:paraId="3EACA282" w14:textId="77777777" w:rsidR="002C0FD9" w:rsidRPr="00CA25CF" w:rsidRDefault="002C0FD9" w:rsidP="00CA25CF">
            <w:pPr>
              <w:rPr>
                <w:rFonts w:cs="Arial"/>
                <w:color w:val="FF0000"/>
                <w:sz w:val="21"/>
                <w:szCs w:val="21"/>
              </w:rPr>
            </w:pPr>
          </w:p>
        </w:tc>
        <w:tc>
          <w:tcPr>
            <w:tcW w:w="217" w:type="dxa"/>
          </w:tcPr>
          <w:p w14:paraId="7FE33847" w14:textId="77777777" w:rsidR="002C0FD9" w:rsidRPr="00CA25CF" w:rsidRDefault="002C0FD9" w:rsidP="00CA25CF">
            <w:pPr>
              <w:rPr>
                <w:rFonts w:cs="Arial"/>
                <w:color w:val="FF0000"/>
                <w:sz w:val="21"/>
                <w:szCs w:val="21"/>
              </w:rPr>
            </w:pPr>
          </w:p>
        </w:tc>
        <w:tc>
          <w:tcPr>
            <w:tcW w:w="217" w:type="dxa"/>
          </w:tcPr>
          <w:p w14:paraId="4AF300F1" w14:textId="77777777" w:rsidR="002C0FD9" w:rsidRPr="00CA25CF" w:rsidRDefault="002C0FD9" w:rsidP="00CA25CF">
            <w:pPr>
              <w:rPr>
                <w:rFonts w:cs="Arial"/>
                <w:color w:val="FF0000"/>
                <w:sz w:val="21"/>
                <w:szCs w:val="21"/>
              </w:rPr>
            </w:pPr>
          </w:p>
        </w:tc>
        <w:tc>
          <w:tcPr>
            <w:tcW w:w="217" w:type="dxa"/>
          </w:tcPr>
          <w:p w14:paraId="6777EED9" w14:textId="77777777" w:rsidR="002C0FD9" w:rsidRPr="00CA25CF" w:rsidRDefault="002C0FD9" w:rsidP="00CA25CF">
            <w:pPr>
              <w:rPr>
                <w:rFonts w:cs="Arial"/>
                <w:color w:val="FF0000"/>
                <w:sz w:val="21"/>
                <w:szCs w:val="21"/>
              </w:rPr>
            </w:pPr>
          </w:p>
        </w:tc>
      </w:tr>
      <w:tr w:rsidR="002C0FD9" w:rsidRPr="00A16219" w14:paraId="4930786C" w14:textId="77777777" w:rsidTr="002C0FD9">
        <w:trPr>
          <w:trHeight w:val="635"/>
        </w:trPr>
        <w:tc>
          <w:tcPr>
            <w:tcW w:w="515" w:type="dxa"/>
          </w:tcPr>
          <w:p w14:paraId="10EB76DB" w14:textId="77777777" w:rsidR="002C0FD9" w:rsidRPr="00CA25CF" w:rsidRDefault="002C0FD9" w:rsidP="00CA25CF">
            <w:pPr>
              <w:rPr>
                <w:rFonts w:cs="Arial"/>
                <w:color w:val="FF0000"/>
                <w:sz w:val="21"/>
                <w:szCs w:val="21"/>
              </w:rPr>
            </w:pPr>
          </w:p>
        </w:tc>
        <w:tc>
          <w:tcPr>
            <w:tcW w:w="217" w:type="dxa"/>
          </w:tcPr>
          <w:p w14:paraId="343B7984" w14:textId="77777777" w:rsidR="002C0FD9" w:rsidRPr="00CA25CF" w:rsidRDefault="002C0FD9" w:rsidP="00CA25CF">
            <w:pPr>
              <w:rPr>
                <w:rFonts w:cs="Arial"/>
                <w:color w:val="FF0000"/>
                <w:sz w:val="21"/>
                <w:szCs w:val="21"/>
              </w:rPr>
            </w:pPr>
          </w:p>
        </w:tc>
        <w:tc>
          <w:tcPr>
            <w:tcW w:w="217" w:type="dxa"/>
          </w:tcPr>
          <w:p w14:paraId="68B17B24" w14:textId="77777777" w:rsidR="002C0FD9" w:rsidRPr="00CA25CF" w:rsidRDefault="002C0FD9" w:rsidP="00CA25CF">
            <w:pPr>
              <w:rPr>
                <w:rFonts w:cs="Arial"/>
                <w:color w:val="FF0000"/>
                <w:sz w:val="21"/>
                <w:szCs w:val="21"/>
              </w:rPr>
            </w:pPr>
          </w:p>
        </w:tc>
        <w:tc>
          <w:tcPr>
            <w:tcW w:w="217" w:type="dxa"/>
          </w:tcPr>
          <w:p w14:paraId="7BCE0B23" w14:textId="77777777" w:rsidR="002C0FD9" w:rsidRPr="00CA25CF" w:rsidRDefault="002C0FD9" w:rsidP="00CA25CF">
            <w:pPr>
              <w:rPr>
                <w:rFonts w:cs="Arial"/>
                <w:color w:val="FF0000"/>
                <w:sz w:val="21"/>
                <w:szCs w:val="21"/>
              </w:rPr>
            </w:pPr>
          </w:p>
        </w:tc>
        <w:tc>
          <w:tcPr>
            <w:tcW w:w="217" w:type="dxa"/>
          </w:tcPr>
          <w:p w14:paraId="2A8E2F9C" w14:textId="77777777" w:rsidR="002C0FD9" w:rsidRPr="00CA25CF" w:rsidRDefault="002C0FD9" w:rsidP="00CA25CF">
            <w:pPr>
              <w:rPr>
                <w:rFonts w:cs="Arial"/>
                <w:color w:val="FF0000"/>
                <w:sz w:val="21"/>
                <w:szCs w:val="21"/>
              </w:rPr>
            </w:pPr>
          </w:p>
        </w:tc>
        <w:tc>
          <w:tcPr>
            <w:tcW w:w="217" w:type="dxa"/>
          </w:tcPr>
          <w:p w14:paraId="2BC52ABF" w14:textId="77777777" w:rsidR="002C0FD9" w:rsidRPr="00CA25CF" w:rsidRDefault="002C0FD9" w:rsidP="00CA25CF">
            <w:pPr>
              <w:rPr>
                <w:rFonts w:cs="Arial"/>
                <w:color w:val="FF0000"/>
                <w:sz w:val="21"/>
                <w:szCs w:val="21"/>
              </w:rPr>
            </w:pPr>
          </w:p>
        </w:tc>
        <w:tc>
          <w:tcPr>
            <w:tcW w:w="217" w:type="dxa"/>
          </w:tcPr>
          <w:p w14:paraId="4605A845" w14:textId="77777777" w:rsidR="002C0FD9" w:rsidRPr="00CA25CF" w:rsidRDefault="002C0FD9" w:rsidP="00CA25CF">
            <w:pPr>
              <w:rPr>
                <w:rFonts w:cs="Arial"/>
                <w:color w:val="FF0000"/>
                <w:sz w:val="21"/>
                <w:szCs w:val="21"/>
              </w:rPr>
            </w:pPr>
          </w:p>
        </w:tc>
        <w:tc>
          <w:tcPr>
            <w:tcW w:w="217" w:type="dxa"/>
          </w:tcPr>
          <w:p w14:paraId="62153276" w14:textId="77777777" w:rsidR="002C0FD9" w:rsidRPr="00CA25CF" w:rsidRDefault="002C0FD9" w:rsidP="00CA25CF">
            <w:pPr>
              <w:rPr>
                <w:rFonts w:cs="Arial"/>
                <w:color w:val="FF0000"/>
                <w:sz w:val="21"/>
                <w:szCs w:val="21"/>
              </w:rPr>
            </w:pPr>
          </w:p>
        </w:tc>
        <w:tc>
          <w:tcPr>
            <w:tcW w:w="217" w:type="dxa"/>
          </w:tcPr>
          <w:p w14:paraId="623DB913" w14:textId="77777777" w:rsidR="002C0FD9" w:rsidRPr="00CA25CF" w:rsidRDefault="002C0FD9" w:rsidP="00CA25CF">
            <w:pPr>
              <w:rPr>
                <w:rFonts w:cs="Arial"/>
                <w:color w:val="FF0000"/>
                <w:sz w:val="21"/>
                <w:szCs w:val="21"/>
              </w:rPr>
            </w:pPr>
          </w:p>
        </w:tc>
        <w:tc>
          <w:tcPr>
            <w:tcW w:w="217" w:type="dxa"/>
          </w:tcPr>
          <w:p w14:paraId="74F1F06E" w14:textId="77777777" w:rsidR="002C0FD9" w:rsidRPr="00CA25CF" w:rsidRDefault="002C0FD9" w:rsidP="00CA25CF">
            <w:pPr>
              <w:rPr>
                <w:rFonts w:cs="Arial"/>
                <w:color w:val="FF0000"/>
                <w:sz w:val="21"/>
                <w:szCs w:val="21"/>
              </w:rPr>
            </w:pPr>
          </w:p>
        </w:tc>
        <w:tc>
          <w:tcPr>
            <w:tcW w:w="217" w:type="dxa"/>
          </w:tcPr>
          <w:p w14:paraId="00A1A6B3" w14:textId="77777777" w:rsidR="002C0FD9" w:rsidRPr="00CA25CF" w:rsidRDefault="002C0FD9" w:rsidP="00CA25CF">
            <w:pPr>
              <w:rPr>
                <w:rFonts w:cs="Arial"/>
                <w:color w:val="FF0000"/>
                <w:sz w:val="21"/>
                <w:szCs w:val="21"/>
              </w:rPr>
            </w:pPr>
          </w:p>
        </w:tc>
        <w:tc>
          <w:tcPr>
            <w:tcW w:w="217" w:type="dxa"/>
          </w:tcPr>
          <w:p w14:paraId="5484C25F" w14:textId="77777777" w:rsidR="002C0FD9" w:rsidRPr="00CA25CF" w:rsidRDefault="002C0FD9" w:rsidP="00CA25CF">
            <w:pPr>
              <w:rPr>
                <w:rFonts w:cs="Arial"/>
                <w:color w:val="FF0000"/>
                <w:sz w:val="21"/>
                <w:szCs w:val="21"/>
              </w:rPr>
            </w:pPr>
          </w:p>
        </w:tc>
        <w:tc>
          <w:tcPr>
            <w:tcW w:w="217" w:type="dxa"/>
          </w:tcPr>
          <w:p w14:paraId="042189D6" w14:textId="77777777" w:rsidR="002C0FD9" w:rsidRPr="00CA25CF" w:rsidRDefault="002C0FD9" w:rsidP="00CA25CF">
            <w:pPr>
              <w:rPr>
                <w:rFonts w:cs="Arial"/>
                <w:color w:val="FF0000"/>
                <w:sz w:val="21"/>
                <w:szCs w:val="21"/>
              </w:rPr>
            </w:pPr>
          </w:p>
        </w:tc>
        <w:tc>
          <w:tcPr>
            <w:tcW w:w="217" w:type="dxa"/>
          </w:tcPr>
          <w:p w14:paraId="15B19516" w14:textId="77777777" w:rsidR="002C0FD9" w:rsidRPr="00CA25CF" w:rsidRDefault="002C0FD9" w:rsidP="00CA25CF">
            <w:pPr>
              <w:rPr>
                <w:rFonts w:cs="Arial"/>
                <w:color w:val="FF0000"/>
                <w:sz w:val="21"/>
                <w:szCs w:val="21"/>
              </w:rPr>
            </w:pPr>
          </w:p>
        </w:tc>
        <w:tc>
          <w:tcPr>
            <w:tcW w:w="217" w:type="dxa"/>
          </w:tcPr>
          <w:p w14:paraId="58B12543" w14:textId="77777777" w:rsidR="002C0FD9" w:rsidRPr="00CA25CF" w:rsidRDefault="002C0FD9" w:rsidP="00CA25CF">
            <w:pPr>
              <w:rPr>
                <w:rFonts w:cs="Arial"/>
                <w:color w:val="FF0000"/>
                <w:sz w:val="21"/>
                <w:szCs w:val="21"/>
              </w:rPr>
            </w:pPr>
          </w:p>
        </w:tc>
        <w:tc>
          <w:tcPr>
            <w:tcW w:w="217" w:type="dxa"/>
          </w:tcPr>
          <w:p w14:paraId="1EEF64FE" w14:textId="77777777" w:rsidR="002C0FD9" w:rsidRPr="00CA25CF" w:rsidRDefault="002C0FD9" w:rsidP="00CA25CF">
            <w:pPr>
              <w:rPr>
                <w:rFonts w:cs="Arial"/>
                <w:color w:val="FF0000"/>
                <w:sz w:val="21"/>
                <w:szCs w:val="21"/>
              </w:rPr>
            </w:pPr>
          </w:p>
        </w:tc>
        <w:tc>
          <w:tcPr>
            <w:tcW w:w="217" w:type="dxa"/>
          </w:tcPr>
          <w:p w14:paraId="61021C18" w14:textId="77777777" w:rsidR="002C0FD9" w:rsidRPr="00CA25CF" w:rsidRDefault="002C0FD9" w:rsidP="00CA25CF">
            <w:pPr>
              <w:rPr>
                <w:rFonts w:cs="Arial"/>
                <w:color w:val="FF0000"/>
                <w:sz w:val="21"/>
                <w:szCs w:val="21"/>
              </w:rPr>
            </w:pPr>
          </w:p>
        </w:tc>
        <w:tc>
          <w:tcPr>
            <w:tcW w:w="217" w:type="dxa"/>
          </w:tcPr>
          <w:p w14:paraId="28FCAAEC" w14:textId="77777777" w:rsidR="002C0FD9" w:rsidRPr="00CA25CF" w:rsidRDefault="002C0FD9" w:rsidP="00CA25CF">
            <w:pPr>
              <w:rPr>
                <w:rFonts w:cs="Arial"/>
                <w:color w:val="FF0000"/>
                <w:sz w:val="21"/>
                <w:szCs w:val="21"/>
              </w:rPr>
            </w:pPr>
          </w:p>
        </w:tc>
        <w:tc>
          <w:tcPr>
            <w:tcW w:w="217" w:type="dxa"/>
          </w:tcPr>
          <w:p w14:paraId="0035F049" w14:textId="77777777" w:rsidR="002C0FD9" w:rsidRPr="00CA25CF" w:rsidRDefault="002C0FD9" w:rsidP="00CA25CF">
            <w:pPr>
              <w:rPr>
                <w:rFonts w:cs="Arial"/>
                <w:color w:val="FF0000"/>
                <w:sz w:val="21"/>
                <w:szCs w:val="21"/>
              </w:rPr>
            </w:pPr>
          </w:p>
        </w:tc>
        <w:tc>
          <w:tcPr>
            <w:tcW w:w="217" w:type="dxa"/>
          </w:tcPr>
          <w:p w14:paraId="304FDE1D" w14:textId="77777777" w:rsidR="002C0FD9" w:rsidRPr="00CA25CF" w:rsidRDefault="002C0FD9" w:rsidP="00CA25CF">
            <w:pPr>
              <w:rPr>
                <w:rFonts w:cs="Arial"/>
                <w:color w:val="FF0000"/>
                <w:sz w:val="21"/>
                <w:szCs w:val="21"/>
              </w:rPr>
            </w:pPr>
          </w:p>
        </w:tc>
        <w:tc>
          <w:tcPr>
            <w:tcW w:w="217" w:type="dxa"/>
          </w:tcPr>
          <w:p w14:paraId="0308BDDB" w14:textId="77777777" w:rsidR="002C0FD9" w:rsidRPr="00CA25CF" w:rsidRDefault="002C0FD9" w:rsidP="00CA25CF">
            <w:pPr>
              <w:rPr>
                <w:rFonts w:cs="Arial"/>
                <w:color w:val="FF0000"/>
                <w:sz w:val="21"/>
                <w:szCs w:val="21"/>
              </w:rPr>
            </w:pPr>
          </w:p>
        </w:tc>
        <w:tc>
          <w:tcPr>
            <w:tcW w:w="217" w:type="dxa"/>
          </w:tcPr>
          <w:p w14:paraId="016828B8" w14:textId="77777777" w:rsidR="002C0FD9" w:rsidRPr="00CA25CF" w:rsidRDefault="002C0FD9" w:rsidP="00CA25CF">
            <w:pPr>
              <w:rPr>
                <w:rFonts w:cs="Arial"/>
                <w:color w:val="FF0000"/>
                <w:sz w:val="21"/>
                <w:szCs w:val="21"/>
              </w:rPr>
            </w:pPr>
          </w:p>
        </w:tc>
        <w:tc>
          <w:tcPr>
            <w:tcW w:w="217" w:type="dxa"/>
          </w:tcPr>
          <w:p w14:paraId="13EECA21" w14:textId="77777777" w:rsidR="002C0FD9" w:rsidRPr="00CA25CF" w:rsidRDefault="002C0FD9" w:rsidP="00CA25CF">
            <w:pPr>
              <w:rPr>
                <w:rFonts w:cs="Arial"/>
                <w:color w:val="FF0000"/>
                <w:sz w:val="21"/>
                <w:szCs w:val="21"/>
              </w:rPr>
            </w:pPr>
          </w:p>
        </w:tc>
        <w:tc>
          <w:tcPr>
            <w:tcW w:w="217" w:type="dxa"/>
          </w:tcPr>
          <w:p w14:paraId="4ACD0FB3" w14:textId="77777777" w:rsidR="002C0FD9" w:rsidRPr="00CA25CF" w:rsidRDefault="002C0FD9" w:rsidP="00CA25CF">
            <w:pPr>
              <w:rPr>
                <w:rFonts w:cs="Arial"/>
                <w:color w:val="FF0000"/>
                <w:sz w:val="21"/>
                <w:szCs w:val="21"/>
              </w:rPr>
            </w:pPr>
          </w:p>
        </w:tc>
        <w:tc>
          <w:tcPr>
            <w:tcW w:w="217" w:type="dxa"/>
          </w:tcPr>
          <w:p w14:paraId="37E02A30" w14:textId="77777777" w:rsidR="002C0FD9" w:rsidRPr="00CA25CF" w:rsidRDefault="002C0FD9" w:rsidP="00CA25CF">
            <w:pPr>
              <w:rPr>
                <w:rFonts w:cs="Arial"/>
                <w:color w:val="FF0000"/>
                <w:sz w:val="21"/>
                <w:szCs w:val="21"/>
              </w:rPr>
            </w:pPr>
          </w:p>
        </w:tc>
        <w:tc>
          <w:tcPr>
            <w:tcW w:w="217" w:type="dxa"/>
          </w:tcPr>
          <w:p w14:paraId="2DBF4F87" w14:textId="77777777" w:rsidR="002C0FD9" w:rsidRPr="00CA25CF" w:rsidRDefault="002C0FD9" w:rsidP="00CA25CF">
            <w:pPr>
              <w:rPr>
                <w:rFonts w:cs="Arial"/>
                <w:color w:val="FF0000"/>
                <w:sz w:val="21"/>
                <w:szCs w:val="21"/>
              </w:rPr>
            </w:pPr>
          </w:p>
        </w:tc>
        <w:tc>
          <w:tcPr>
            <w:tcW w:w="217" w:type="dxa"/>
          </w:tcPr>
          <w:p w14:paraId="1F5AAA96" w14:textId="77777777" w:rsidR="002C0FD9" w:rsidRPr="00CA25CF" w:rsidRDefault="002C0FD9" w:rsidP="00CA25CF">
            <w:pPr>
              <w:rPr>
                <w:rFonts w:cs="Arial"/>
                <w:color w:val="FF0000"/>
                <w:sz w:val="21"/>
                <w:szCs w:val="21"/>
              </w:rPr>
            </w:pPr>
          </w:p>
        </w:tc>
        <w:tc>
          <w:tcPr>
            <w:tcW w:w="217" w:type="dxa"/>
          </w:tcPr>
          <w:p w14:paraId="744F0D56" w14:textId="77777777" w:rsidR="002C0FD9" w:rsidRPr="00CA25CF" w:rsidRDefault="002C0FD9" w:rsidP="00CA25CF">
            <w:pPr>
              <w:rPr>
                <w:rFonts w:cs="Arial"/>
                <w:color w:val="FF0000"/>
                <w:sz w:val="21"/>
                <w:szCs w:val="21"/>
              </w:rPr>
            </w:pPr>
          </w:p>
        </w:tc>
        <w:tc>
          <w:tcPr>
            <w:tcW w:w="217" w:type="dxa"/>
          </w:tcPr>
          <w:p w14:paraId="17BF9C13" w14:textId="77777777" w:rsidR="002C0FD9" w:rsidRPr="00CA25CF" w:rsidRDefault="002C0FD9" w:rsidP="00CA25CF">
            <w:pPr>
              <w:rPr>
                <w:rFonts w:cs="Arial"/>
                <w:color w:val="FF0000"/>
                <w:sz w:val="21"/>
                <w:szCs w:val="21"/>
              </w:rPr>
            </w:pPr>
          </w:p>
        </w:tc>
        <w:tc>
          <w:tcPr>
            <w:tcW w:w="217" w:type="dxa"/>
          </w:tcPr>
          <w:p w14:paraId="2CD333BC" w14:textId="77777777" w:rsidR="002C0FD9" w:rsidRPr="00CA25CF" w:rsidRDefault="002C0FD9" w:rsidP="00CA25CF">
            <w:pPr>
              <w:rPr>
                <w:rFonts w:cs="Arial"/>
                <w:color w:val="FF0000"/>
                <w:sz w:val="21"/>
                <w:szCs w:val="21"/>
              </w:rPr>
            </w:pPr>
          </w:p>
        </w:tc>
        <w:tc>
          <w:tcPr>
            <w:tcW w:w="217" w:type="dxa"/>
          </w:tcPr>
          <w:p w14:paraId="3D747AEE" w14:textId="77777777" w:rsidR="002C0FD9" w:rsidRPr="00CA25CF" w:rsidRDefault="002C0FD9" w:rsidP="00CA25CF">
            <w:pPr>
              <w:rPr>
                <w:rFonts w:cs="Arial"/>
                <w:color w:val="FF0000"/>
                <w:sz w:val="21"/>
                <w:szCs w:val="21"/>
              </w:rPr>
            </w:pPr>
          </w:p>
        </w:tc>
        <w:tc>
          <w:tcPr>
            <w:tcW w:w="217" w:type="dxa"/>
          </w:tcPr>
          <w:p w14:paraId="389CC8D0" w14:textId="77777777" w:rsidR="002C0FD9" w:rsidRPr="00CA25CF" w:rsidRDefault="002C0FD9" w:rsidP="00CA25CF">
            <w:pPr>
              <w:rPr>
                <w:rFonts w:cs="Arial"/>
                <w:color w:val="FF0000"/>
                <w:sz w:val="21"/>
                <w:szCs w:val="21"/>
              </w:rPr>
            </w:pPr>
          </w:p>
        </w:tc>
        <w:tc>
          <w:tcPr>
            <w:tcW w:w="217" w:type="dxa"/>
          </w:tcPr>
          <w:p w14:paraId="71D0B0EC" w14:textId="77777777" w:rsidR="002C0FD9" w:rsidRPr="00CA25CF" w:rsidRDefault="002C0FD9" w:rsidP="00CA25CF">
            <w:pPr>
              <w:rPr>
                <w:rFonts w:cs="Arial"/>
                <w:color w:val="FF0000"/>
                <w:sz w:val="21"/>
                <w:szCs w:val="21"/>
              </w:rPr>
            </w:pPr>
          </w:p>
        </w:tc>
        <w:tc>
          <w:tcPr>
            <w:tcW w:w="217" w:type="dxa"/>
          </w:tcPr>
          <w:p w14:paraId="6E203402" w14:textId="77777777" w:rsidR="002C0FD9" w:rsidRPr="00CA25CF" w:rsidRDefault="002C0FD9" w:rsidP="00CA25CF">
            <w:pPr>
              <w:rPr>
                <w:rFonts w:cs="Arial"/>
                <w:color w:val="FF0000"/>
                <w:sz w:val="21"/>
                <w:szCs w:val="21"/>
              </w:rPr>
            </w:pPr>
          </w:p>
        </w:tc>
        <w:tc>
          <w:tcPr>
            <w:tcW w:w="217" w:type="dxa"/>
          </w:tcPr>
          <w:p w14:paraId="64782EAE" w14:textId="77777777" w:rsidR="002C0FD9" w:rsidRPr="00CA25CF" w:rsidRDefault="002C0FD9" w:rsidP="00CA25CF">
            <w:pPr>
              <w:rPr>
                <w:rFonts w:cs="Arial"/>
                <w:color w:val="FF0000"/>
                <w:sz w:val="21"/>
                <w:szCs w:val="21"/>
              </w:rPr>
            </w:pPr>
          </w:p>
        </w:tc>
        <w:tc>
          <w:tcPr>
            <w:tcW w:w="217" w:type="dxa"/>
          </w:tcPr>
          <w:p w14:paraId="71A3B016" w14:textId="77777777" w:rsidR="002C0FD9" w:rsidRPr="00CA25CF" w:rsidRDefault="002C0FD9" w:rsidP="00CA25CF">
            <w:pPr>
              <w:rPr>
                <w:rFonts w:cs="Arial"/>
                <w:color w:val="FF0000"/>
                <w:sz w:val="21"/>
                <w:szCs w:val="21"/>
              </w:rPr>
            </w:pPr>
          </w:p>
        </w:tc>
        <w:tc>
          <w:tcPr>
            <w:tcW w:w="217" w:type="dxa"/>
          </w:tcPr>
          <w:p w14:paraId="2FA724E5" w14:textId="77777777" w:rsidR="002C0FD9" w:rsidRPr="00CA25CF" w:rsidRDefault="002C0FD9" w:rsidP="00CA25CF">
            <w:pPr>
              <w:rPr>
                <w:rFonts w:cs="Arial"/>
                <w:color w:val="FF0000"/>
                <w:sz w:val="21"/>
                <w:szCs w:val="21"/>
              </w:rPr>
            </w:pPr>
          </w:p>
        </w:tc>
        <w:tc>
          <w:tcPr>
            <w:tcW w:w="217" w:type="dxa"/>
          </w:tcPr>
          <w:p w14:paraId="3A3F240F" w14:textId="77777777" w:rsidR="002C0FD9" w:rsidRPr="00CA25CF" w:rsidRDefault="002C0FD9" w:rsidP="00CA25CF">
            <w:pPr>
              <w:rPr>
                <w:rFonts w:cs="Arial"/>
                <w:color w:val="FF0000"/>
                <w:sz w:val="21"/>
                <w:szCs w:val="21"/>
              </w:rPr>
            </w:pPr>
          </w:p>
        </w:tc>
        <w:tc>
          <w:tcPr>
            <w:tcW w:w="217" w:type="dxa"/>
          </w:tcPr>
          <w:p w14:paraId="23571623" w14:textId="77777777" w:rsidR="002C0FD9" w:rsidRPr="00CA25CF" w:rsidRDefault="002C0FD9" w:rsidP="00CA25CF">
            <w:pPr>
              <w:rPr>
                <w:rFonts w:cs="Arial"/>
                <w:color w:val="FF0000"/>
                <w:sz w:val="21"/>
                <w:szCs w:val="21"/>
              </w:rPr>
            </w:pPr>
          </w:p>
        </w:tc>
        <w:tc>
          <w:tcPr>
            <w:tcW w:w="217" w:type="dxa"/>
          </w:tcPr>
          <w:p w14:paraId="5EF90984" w14:textId="77777777" w:rsidR="002C0FD9" w:rsidRPr="00CA25CF" w:rsidRDefault="002C0FD9" w:rsidP="00CA25CF">
            <w:pPr>
              <w:rPr>
                <w:rFonts w:cs="Arial"/>
                <w:color w:val="FF0000"/>
                <w:sz w:val="21"/>
                <w:szCs w:val="21"/>
              </w:rPr>
            </w:pPr>
          </w:p>
        </w:tc>
        <w:tc>
          <w:tcPr>
            <w:tcW w:w="217" w:type="dxa"/>
          </w:tcPr>
          <w:p w14:paraId="12EEEDC3" w14:textId="77777777" w:rsidR="002C0FD9" w:rsidRPr="00CA25CF" w:rsidRDefault="002C0FD9" w:rsidP="00CA25CF">
            <w:pPr>
              <w:rPr>
                <w:rFonts w:cs="Arial"/>
                <w:color w:val="FF0000"/>
                <w:sz w:val="21"/>
                <w:szCs w:val="21"/>
              </w:rPr>
            </w:pPr>
          </w:p>
        </w:tc>
        <w:tc>
          <w:tcPr>
            <w:tcW w:w="217" w:type="dxa"/>
          </w:tcPr>
          <w:p w14:paraId="73241F63" w14:textId="77777777" w:rsidR="002C0FD9" w:rsidRPr="00CA25CF" w:rsidRDefault="002C0FD9" w:rsidP="00CA25CF">
            <w:pPr>
              <w:rPr>
                <w:rFonts w:cs="Arial"/>
                <w:color w:val="FF0000"/>
                <w:sz w:val="21"/>
                <w:szCs w:val="21"/>
              </w:rPr>
            </w:pPr>
          </w:p>
        </w:tc>
        <w:tc>
          <w:tcPr>
            <w:tcW w:w="217" w:type="dxa"/>
          </w:tcPr>
          <w:p w14:paraId="4BD51918" w14:textId="77777777" w:rsidR="002C0FD9" w:rsidRPr="00CA25CF" w:rsidRDefault="002C0FD9" w:rsidP="00CA25CF">
            <w:pPr>
              <w:rPr>
                <w:rFonts w:cs="Arial"/>
                <w:color w:val="FF0000"/>
                <w:sz w:val="21"/>
                <w:szCs w:val="21"/>
              </w:rPr>
            </w:pPr>
          </w:p>
        </w:tc>
      </w:tr>
      <w:tr w:rsidR="002C0FD9" w:rsidRPr="00A16219" w14:paraId="1389B28F" w14:textId="77777777" w:rsidTr="002C0FD9">
        <w:trPr>
          <w:trHeight w:val="635"/>
        </w:trPr>
        <w:tc>
          <w:tcPr>
            <w:tcW w:w="515" w:type="dxa"/>
          </w:tcPr>
          <w:p w14:paraId="6388A4BE" w14:textId="77777777" w:rsidR="002C0FD9" w:rsidRPr="00CA25CF" w:rsidRDefault="002C0FD9" w:rsidP="00CA25CF">
            <w:pPr>
              <w:rPr>
                <w:rFonts w:cs="Arial"/>
                <w:color w:val="FF0000"/>
                <w:sz w:val="21"/>
                <w:szCs w:val="21"/>
              </w:rPr>
            </w:pPr>
          </w:p>
        </w:tc>
        <w:tc>
          <w:tcPr>
            <w:tcW w:w="217" w:type="dxa"/>
          </w:tcPr>
          <w:p w14:paraId="0C25013E" w14:textId="77777777" w:rsidR="002C0FD9" w:rsidRPr="00CA25CF" w:rsidRDefault="002C0FD9" w:rsidP="00CA25CF">
            <w:pPr>
              <w:rPr>
                <w:rFonts w:cs="Arial"/>
                <w:color w:val="FF0000"/>
                <w:sz w:val="21"/>
                <w:szCs w:val="21"/>
              </w:rPr>
            </w:pPr>
          </w:p>
        </w:tc>
        <w:tc>
          <w:tcPr>
            <w:tcW w:w="217" w:type="dxa"/>
          </w:tcPr>
          <w:p w14:paraId="02AD5070" w14:textId="77777777" w:rsidR="002C0FD9" w:rsidRPr="00CA25CF" w:rsidRDefault="002C0FD9" w:rsidP="00CA25CF">
            <w:pPr>
              <w:rPr>
                <w:rFonts w:cs="Arial"/>
                <w:color w:val="FF0000"/>
                <w:sz w:val="21"/>
                <w:szCs w:val="21"/>
              </w:rPr>
            </w:pPr>
          </w:p>
        </w:tc>
        <w:tc>
          <w:tcPr>
            <w:tcW w:w="217" w:type="dxa"/>
          </w:tcPr>
          <w:p w14:paraId="4DF392E8" w14:textId="77777777" w:rsidR="002C0FD9" w:rsidRPr="00CA25CF" w:rsidRDefault="002C0FD9" w:rsidP="00CA25CF">
            <w:pPr>
              <w:rPr>
                <w:rFonts w:cs="Arial"/>
                <w:color w:val="FF0000"/>
                <w:sz w:val="21"/>
                <w:szCs w:val="21"/>
              </w:rPr>
            </w:pPr>
          </w:p>
        </w:tc>
        <w:tc>
          <w:tcPr>
            <w:tcW w:w="217" w:type="dxa"/>
          </w:tcPr>
          <w:p w14:paraId="1457AD4C" w14:textId="77777777" w:rsidR="002C0FD9" w:rsidRPr="00CA25CF" w:rsidRDefault="002C0FD9" w:rsidP="00CA25CF">
            <w:pPr>
              <w:rPr>
                <w:rFonts w:cs="Arial"/>
                <w:color w:val="FF0000"/>
                <w:sz w:val="21"/>
                <w:szCs w:val="21"/>
              </w:rPr>
            </w:pPr>
          </w:p>
        </w:tc>
        <w:tc>
          <w:tcPr>
            <w:tcW w:w="217" w:type="dxa"/>
          </w:tcPr>
          <w:p w14:paraId="029FED04" w14:textId="77777777" w:rsidR="002C0FD9" w:rsidRPr="00CA25CF" w:rsidRDefault="002C0FD9" w:rsidP="00CA25CF">
            <w:pPr>
              <w:rPr>
                <w:rFonts w:cs="Arial"/>
                <w:color w:val="FF0000"/>
                <w:sz w:val="21"/>
                <w:szCs w:val="21"/>
              </w:rPr>
            </w:pPr>
          </w:p>
        </w:tc>
        <w:tc>
          <w:tcPr>
            <w:tcW w:w="217" w:type="dxa"/>
          </w:tcPr>
          <w:p w14:paraId="4C5472F7" w14:textId="77777777" w:rsidR="002C0FD9" w:rsidRPr="00CA25CF" w:rsidRDefault="002C0FD9" w:rsidP="00CA25CF">
            <w:pPr>
              <w:rPr>
                <w:rFonts w:cs="Arial"/>
                <w:color w:val="FF0000"/>
                <w:sz w:val="21"/>
                <w:szCs w:val="21"/>
              </w:rPr>
            </w:pPr>
          </w:p>
        </w:tc>
        <w:tc>
          <w:tcPr>
            <w:tcW w:w="217" w:type="dxa"/>
          </w:tcPr>
          <w:p w14:paraId="5ECB56A2" w14:textId="77777777" w:rsidR="002C0FD9" w:rsidRPr="00CA25CF" w:rsidRDefault="002C0FD9" w:rsidP="00CA25CF">
            <w:pPr>
              <w:rPr>
                <w:rFonts w:cs="Arial"/>
                <w:color w:val="FF0000"/>
                <w:sz w:val="21"/>
                <w:szCs w:val="21"/>
              </w:rPr>
            </w:pPr>
          </w:p>
        </w:tc>
        <w:tc>
          <w:tcPr>
            <w:tcW w:w="217" w:type="dxa"/>
          </w:tcPr>
          <w:p w14:paraId="39C75AB8" w14:textId="77777777" w:rsidR="002C0FD9" w:rsidRPr="00CA25CF" w:rsidRDefault="002C0FD9" w:rsidP="00CA25CF">
            <w:pPr>
              <w:rPr>
                <w:rFonts w:cs="Arial"/>
                <w:color w:val="FF0000"/>
                <w:sz w:val="21"/>
                <w:szCs w:val="21"/>
              </w:rPr>
            </w:pPr>
          </w:p>
        </w:tc>
        <w:tc>
          <w:tcPr>
            <w:tcW w:w="217" w:type="dxa"/>
          </w:tcPr>
          <w:p w14:paraId="2FF024D4" w14:textId="77777777" w:rsidR="002C0FD9" w:rsidRPr="00CA25CF" w:rsidRDefault="002C0FD9" w:rsidP="00CA25CF">
            <w:pPr>
              <w:rPr>
                <w:rFonts w:cs="Arial"/>
                <w:color w:val="FF0000"/>
                <w:sz w:val="21"/>
                <w:szCs w:val="21"/>
              </w:rPr>
            </w:pPr>
          </w:p>
        </w:tc>
        <w:tc>
          <w:tcPr>
            <w:tcW w:w="217" w:type="dxa"/>
          </w:tcPr>
          <w:p w14:paraId="2AC1A6A5" w14:textId="77777777" w:rsidR="002C0FD9" w:rsidRPr="00CA25CF" w:rsidRDefault="002C0FD9" w:rsidP="00CA25CF">
            <w:pPr>
              <w:rPr>
                <w:rFonts w:cs="Arial"/>
                <w:color w:val="FF0000"/>
                <w:sz w:val="21"/>
                <w:szCs w:val="21"/>
              </w:rPr>
            </w:pPr>
          </w:p>
        </w:tc>
        <w:tc>
          <w:tcPr>
            <w:tcW w:w="217" w:type="dxa"/>
          </w:tcPr>
          <w:p w14:paraId="6222C24F" w14:textId="77777777" w:rsidR="002C0FD9" w:rsidRPr="00CA25CF" w:rsidRDefault="002C0FD9" w:rsidP="00CA25CF">
            <w:pPr>
              <w:rPr>
                <w:rFonts w:cs="Arial"/>
                <w:color w:val="FF0000"/>
                <w:sz w:val="21"/>
                <w:szCs w:val="21"/>
              </w:rPr>
            </w:pPr>
          </w:p>
        </w:tc>
        <w:tc>
          <w:tcPr>
            <w:tcW w:w="217" w:type="dxa"/>
          </w:tcPr>
          <w:p w14:paraId="6A853DA5" w14:textId="77777777" w:rsidR="002C0FD9" w:rsidRPr="00CA25CF" w:rsidRDefault="002C0FD9" w:rsidP="00CA25CF">
            <w:pPr>
              <w:rPr>
                <w:rFonts w:cs="Arial"/>
                <w:color w:val="FF0000"/>
                <w:sz w:val="21"/>
                <w:szCs w:val="21"/>
              </w:rPr>
            </w:pPr>
          </w:p>
        </w:tc>
        <w:tc>
          <w:tcPr>
            <w:tcW w:w="217" w:type="dxa"/>
          </w:tcPr>
          <w:p w14:paraId="149AC0D4" w14:textId="77777777" w:rsidR="002C0FD9" w:rsidRPr="00CA25CF" w:rsidRDefault="002C0FD9" w:rsidP="00CA25CF">
            <w:pPr>
              <w:rPr>
                <w:rFonts w:cs="Arial"/>
                <w:color w:val="FF0000"/>
                <w:sz w:val="21"/>
                <w:szCs w:val="21"/>
              </w:rPr>
            </w:pPr>
          </w:p>
        </w:tc>
        <w:tc>
          <w:tcPr>
            <w:tcW w:w="217" w:type="dxa"/>
          </w:tcPr>
          <w:p w14:paraId="0FE44F59" w14:textId="77777777" w:rsidR="002C0FD9" w:rsidRPr="00CA25CF" w:rsidRDefault="002C0FD9" w:rsidP="00CA25CF">
            <w:pPr>
              <w:rPr>
                <w:rFonts w:cs="Arial"/>
                <w:color w:val="FF0000"/>
                <w:sz w:val="21"/>
                <w:szCs w:val="21"/>
              </w:rPr>
            </w:pPr>
          </w:p>
        </w:tc>
        <w:tc>
          <w:tcPr>
            <w:tcW w:w="217" w:type="dxa"/>
          </w:tcPr>
          <w:p w14:paraId="44C4C400" w14:textId="77777777" w:rsidR="002C0FD9" w:rsidRPr="00CA25CF" w:rsidRDefault="002C0FD9" w:rsidP="00CA25CF">
            <w:pPr>
              <w:rPr>
                <w:rFonts w:cs="Arial"/>
                <w:color w:val="FF0000"/>
                <w:sz w:val="21"/>
                <w:szCs w:val="21"/>
              </w:rPr>
            </w:pPr>
          </w:p>
        </w:tc>
        <w:tc>
          <w:tcPr>
            <w:tcW w:w="217" w:type="dxa"/>
          </w:tcPr>
          <w:p w14:paraId="4BA01675" w14:textId="77777777" w:rsidR="002C0FD9" w:rsidRPr="00CA25CF" w:rsidRDefault="002C0FD9" w:rsidP="00CA25CF">
            <w:pPr>
              <w:rPr>
                <w:rFonts w:cs="Arial"/>
                <w:color w:val="FF0000"/>
                <w:sz w:val="21"/>
                <w:szCs w:val="21"/>
              </w:rPr>
            </w:pPr>
          </w:p>
        </w:tc>
        <w:tc>
          <w:tcPr>
            <w:tcW w:w="217" w:type="dxa"/>
          </w:tcPr>
          <w:p w14:paraId="578A53E7" w14:textId="77777777" w:rsidR="002C0FD9" w:rsidRPr="00CA25CF" w:rsidRDefault="002C0FD9" w:rsidP="00CA25CF">
            <w:pPr>
              <w:rPr>
                <w:rFonts w:cs="Arial"/>
                <w:color w:val="FF0000"/>
                <w:sz w:val="21"/>
                <w:szCs w:val="21"/>
              </w:rPr>
            </w:pPr>
          </w:p>
        </w:tc>
        <w:tc>
          <w:tcPr>
            <w:tcW w:w="217" w:type="dxa"/>
          </w:tcPr>
          <w:p w14:paraId="70C1B71B" w14:textId="77777777" w:rsidR="002C0FD9" w:rsidRPr="00CA25CF" w:rsidRDefault="002C0FD9" w:rsidP="00CA25CF">
            <w:pPr>
              <w:rPr>
                <w:rFonts w:cs="Arial"/>
                <w:color w:val="FF0000"/>
                <w:sz w:val="21"/>
                <w:szCs w:val="21"/>
              </w:rPr>
            </w:pPr>
          </w:p>
        </w:tc>
        <w:tc>
          <w:tcPr>
            <w:tcW w:w="217" w:type="dxa"/>
          </w:tcPr>
          <w:p w14:paraId="529A801E" w14:textId="77777777" w:rsidR="002C0FD9" w:rsidRPr="00CA25CF" w:rsidRDefault="002C0FD9" w:rsidP="00CA25CF">
            <w:pPr>
              <w:rPr>
                <w:rFonts w:cs="Arial"/>
                <w:color w:val="FF0000"/>
                <w:sz w:val="21"/>
                <w:szCs w:val="21"/>
              </w:rPr>
            </w:pPr>
          </w:p>
        </w:tc>
        <w:tc>
          <w:tcPr>
            <w:tcW w:w="217" w:type="dxa"/>
          </w:tcPr>
          <w:p w14:paraId="0C31DBBD" w14:textId="77777777" w:rsidR="002C0FD9" w:rsidRPr="00CA25CF" w:rsidRDefault="002C0FD9" w:rsidP="00CA25CF">
            <w:pPr>
              <w:rPr>
                <w:rFonts w:cs="Arial"/>
                <w:color w:val="FF0000"/>
                <w:sz w:val="21"/>
                <w:szCs w:val="21"/>
              </w:rPr>
            </w:pPr>
          </w:p>
        </w:tc>
        <w:tc>
          <w:tcPr>
            <w:tcW w:w="217" w:type="dxa"/>
          </w:tcPr>
          <w:p w14:paraId="6FC79728" w14:textId="77777777" w:rsidR="002C0FD9" w:rsidRPr="00CA25CF" w:rsidRDefault="002C0FD9" w:rsidP="00CA25CF">
            <w:pPr>
              <w:rPr>
                <w:rFonts w:cs="Arial"/>
                <w:color w:val="FF0000"/>
                <w:sz w:val="21"/>
                <w:szCs w:val="21"/>
              </w:rPr>
            </w:pPr>
          </w:p>
        </w:tc>
        <w:tc>
          <w:tcPr>
            <w:tcW w:w="217" w:type="dxa"/>
          </w:tcPr>
          <w:p w14:paraId="56FECDE5" w14:textId="77777777" w:rsidR="002C0FD9" w:rsidRPr="00CA25CF" w:rsidRDefault="002C0FD9" w:rsidP="00CA25CF">
            <w:pPr>
              <w:rPr>
                <w:rFonts w:cs="Arial"/>
                <w:color w:val="FF0000"/>
                <w:sz w:val="21"/>
                <w:szCs w:val="21"/>
              </w:rPr>
            </w:pPr>
          </w:p>
        </w:tc>
        <w:tc>
          <w:tcPr>
            <w:tcW w:w="217" w:type="dxa"/>
          </w:tcPr>
          <w:p w14:paraId="082DA77B" w14:textId="77777777" w:rsidR="002C0FD9" w:rsidRPr="00CA25CF" w:rsidRDefault="002C0FD9" w:rsidP="00CA25CF">
            <w:pPr>
              <w:rPr>
                <w:rFonts w:cs="Arial"/>
                <w:color w:val="FF0000"/>
                <w:sz w:val="21"/>
                <w:szCs w:val="21"/>
              </w:rPr>
            </w:pPr>
          </w:p>
        </w:tc>
        <w:tc>
          <w:tcPr>
            <w:tcW w:w="217" w:type="dxa"/>
          </w:tcPr>
          <w:p w14:paraId="5A7ED2A1" w14:textId="77777777" w:rsidR="002C0FD9" w:rsidRPr="00CA25CF" w:rsidRDefault="002C0FD9" w:rsidP="00CA25CF">
            <w:pPr>
              <w:rPr>
                <w:rFonts w:cs="Arial"/>
                <w:color w:val="FF0000"/>
                <w:sz w:val="21"/>
                <w:szCs w:val="21"/>
              </w:rPr>
            </w:pPr>
          </w:p>
        </w:tc>
        <w:tc>
          <w:tcPr>
            <w:tcW w:w="217" w:type="dxa"/>
          </w:tcPr>
          <w:p w14:paraId="4E634620" w14:textId="77777777" w:rsidR="002C0FD9" w:rsidRPr="00CA25CF" w:rsidRDefault="002C0FD9" w:rsidP="00CA25CF">
            <w:pPr>
              <w:rPr>
                <w:rFonts w:cs="Arial"/>
                <w:color w:val="FF0000"/>
                <w:sz w:val="21"/>
                <w:szCs w:val="21"/>
              </w:rPr>
            </w:pPr>
          </w:p>
        </w:tc>
        <w:tc>
          <w:tcPr>
            <w:tcW w:w="217" w:type="dxa"/>
          </w:tcPr>
          <w:p w14:paraId="51861915" w14:textId="77777777" w:rsidR="002C0FD9" w:rsidRPr="00CA25CF" w:rsidRDefault="002C0FD9" w:rsidP="00CA25CF">
            <w:pPr>
              <w:rPr>
                <w:rFonts w:cs="Arial"/>
                <w:color w:val="FF0000"/>
                <w:sz w:val="21"/>
                <w:szCs w:val="21"/>
              </w:rPr>
            </w:pPr>
          </w:p>
        </w:tc>
        <w:tc>
          <w:tcPr>
            <w:tcW w:w="217" w:type="dxa"/>
          </w:tcPr>
          <w:p w14:paraId="207D2435" w14:textId="77777777" w:rsidR="002C0FD9" w:rsidRPr="00CA25CF" w:rsidRDefault="002C0FD9" w:rsidP="00CA25CF">
            <w:pPr>
              <w:rPr>
                <w:rFonts w:cs="Arial"/>
                <w:color w:val="FF0000"/>
                <w:sz w:val="21"/>
                <w:szCs w:val="21"/>
              </w:rPr>
            </w:pPr>
          </w:p>
        </w:tc>
        <w:tc>
          <w:tcPr>
            <w:tcW w:w="217" w:type="dxa"/>
          </w:tcPr>
          <w:p w14:paraId="7BE2B61B" w14:textId="77777777" w:rsidR="002C0FD9" w:rsidRPr="00CA25CF" w:rsidRDefault="002C0FD9" w:rsidP="00CA25CF">
            <w:pPr>
              <w:rPr>
                <w:rFonts w:cs="Arial"/>
                <w:color w:val="FF0000"/>
                <w:sz w:val="21"/>
                <w:szCs w:val="21"/>
              </w:rPr>
            </w:pPr>
          </w:p>
        </w:tc>
        <w:tc>
          <w:tcPr>
            <w:tcW w:w="217" w:type="dxa"/>
          </w:tcPr>
          <w:p w14:paraId="43711422" w14:textId="77777777" w:rsidR="002C0FD9" w:rsidRPr="00CA25CF" w:rsidRDefault="002C0FD9" w:rsidP="00CA25CF">
            <w:pPr>
              <w:rPr>
                <w:rFonts w:cs="Arial"/>
                <w:color w:val="FF0000"/>
                <w:sz w:val="21"/>
                <w:szCs w:val="21"/>
              </w:rPr>
            </w:pPr>
          </w:p>
        </w:tc>
        <w:tc>
          <w:tcPr>
            <w:tcW w:w="217" w:type="dxa"/>
          </w:tcPr>
          <w:p w14:paraId="641E2C99" w14:textId="77777777" w:rsidR="002C0FD9" w:rsidRPr="00CA25CF" w:rsidRDefault="002C0FD9" w:rsidP="00CA25CF">
            <w:pPr>
              <w:rPr>
                <w:rFonts w:cs="Arial"/>
                <w:color w:val="FF0000"/>
                <w:sz w:val="21"/>
                <w:szCs w:val="21"/>
              </w:rPr>
            </w:pPr>
          </w:p>
        </w:tc>
        <w:tc>
          <w:tcPr>
            <w:tcW w:w="217" w:type="dxa"/>
          </w:tcPr>
          <w:p w14:paraId="74A1D806" w14:textId="77777777" w:rsidR="002C0FD9" w:rsidRPr="00CA25CF" w:rsidRDefault="002C0FD9" w:rsidP="00CA25CF">
            <w:pPr>
              <w:rPr>
                <w:rFonts w:cs="Arial"/>
                <w:color w:val="FF0000"/>
                <w:sz w:val="21"/>
                <w:szCs w:val="21"/>
              </w:rPr>
            </w:pPr>
          </w:p>
        </w:tc>
        <w:tc>
          <w:tcPr>
            <w:tcW w:w="217" w:type="dxa"/>
          </w:tcPr>
          <w:p w14:paraId="7FE95457" w14:textId="77777777" w:rsidR="002C0FD9" w:rsidRPr="00CA25CF" w:rsidRDefault="002C0FD9" w:rsidP="00CA25CF">
            <w:pPr>
              <w:rPr>
                <w:rFonts w:cs="Arial"/>
                <w:color w:val="FF0000"/>
                <w:sz w:val="21"/>
                <w:szCs w:val="21"/>
              </w:rPr>
            </w:pPr>
          </w:p>
        </w:tc>
        <w:tc>
          <w:tcPr>
            <w:tcW w:w="217" w:type="dxa"/>
          </w:tcPr>
          <w:p w14:paraId="355578AE" w14:textId="77777777" w:rsidR="002C0FD9" w:rsidRPr="00CA25CF" w:rsidRDefault="002C0FD9" w:rsidP="00CA25CF">
            <w:pPr>
              <w:rPr>
                <w:rFonts w:cs="Arial"/>
                <w:color w:val="FF0000"/>
                <w:sz w:val="21"/>
                <w:szCs w:val="21"/>
              </w:rPr>
            </w:pPr>
          </w:p>
        </w:tc>
        <w:tc>
          <w:tcPr>
            <w:tcW w:w="217" w:type="dxa"/>
          </w:tcPr>
          <w:p w14:paraId="2B03746B" w14:textId="77777777" w:rsidR="002C0FD9" w:rsidRPr="00CA25CF" w:rsidRDefault="002C0FD9" w:rsidP="00CA25CF">
            <w:pPr>
              <w:rPr>
                <w:rFonts w:cs="Arial"/>
                <w:color w:val="FF0000"/>
                <w:sz w:val="21"/>
                <w:szCs w:val="21"/>
              </w:rPr>
            </w:pPr>
          </w:p>
        </w:tc>
        <w:tc>
          <w:tcPr>
            <w:tcW w:w="217" w:type="dxa"/>
          </w:tcPr>
          <w:p w14:paraId="3E95F21B" w14:textId="77777777" w:rsidR="002C0FD9" w:rsidRPr="00CA25CF" w:rsidRDefault="002C0FD9" w:rsidP="00CA25CF">
            <w:pPr>
              <w:rPr>
                <w:rFonts w:cs="Arial"/>
                <w:color w:val="FF0000"/>
                <w:sz w:val="21"/>
                <w:szCs w:val="21"/>
              </w:rPr>
            </w:pPr>
          </w:p>
        </w:tc>
        <w:tc>
          <w:tcPr>
            <w:tcW w:w="217" w:type="dxa"/>
          </w:tcPr>
          <w:p w14:paraId="1975C95B" w14:textId="77777777" w:rsidR="002C0FD9" w:rsidRPr="00CA25CF" w:rsidRDefault="002C0FD9" w:rsidP="00CA25CF">
            <w:pPr>
              <w:rPr>
                <w:rFonts w:cs="Arial"/>
                <w:color w:val="FF0000"/>
                <w:sz w:val="21"/>
                <w:szCs w:val="21"/>
              </w:rPr>
            </w:pPr>
          </w:p>
        </w:tc>
        <w:tc>
          <w:tcPr>
            <w:tcW w:w="217" w:type="dxa"/>
          </w:tcPr>
          <w:p w14:paraId="56BA6FD7" w14:textId="77777777" w:rsidR="002C0FD9" w:rsidRPr="00CA25CF" w:rsidRDefault="002C0FD9" w:rsidP="00CA25CF">
            <w:pPr>
              <w:rPr>
                <w:rFonts w:cs="Arial"/>
                <w:color w:val="FF0000"/>
                <w:sz w:val="21"/>
                <w:szCs w:val="21"/>
              </w:rPr>
            </w:pPr>
          </w:p>
        </w:tc>
        <w:tc>
          <w:tcPr>
            <w:tcW w:w="217" w:type="dxa"/>
          </w:tcPr>
          <w:p w14:paraId="49616565" w14:textId="77777777" w:rsidR="002C0FD9" w:rsidRPr="00CA25CF" w:rsidRDefault="002C0FD9" w:rsidP="00CA25CF">
            <w:pPr>
              <w:rPr>
                <w:rFonts w:cs="Arial"/>
                <w:color w:val="FF0000"/>
                <w:sz w:val="21"/>
                <w:szCs w:val="21"/>
              </w:rPr>
            </w:pPr>
          </w:p>
        </w:tc>
        <w:tc>
          <w:tcPr>
            <w:tcW w:w="217" w:type="dxa"/>
          </w:tcPr>
          <w:p w14:paraId="387BA8D0" w14:textId="77777777" w:rsidR="002C0FD9" w:rsidRPr="00CA25CF" w:rsidRDefault="002C0FD9" w:rsidP="00CA25CF">
            <w:pPr>
              <w:rPr>
                <w:rFonts w:cs="Arial"/>
                <w:color w:val="FF0000"/>
                <w:sz w:val="21"/>
                <w:szCs w:val="21"/>
              </w:rPr>
            </w:pPr>
          </w:p>
        </w:tc>
        <w:tc>
          <w:tcPr>
            <w:tcW w:w="217" w:type="dxa"/>
          </w:tcPr>
          <w:p w14:paraId="7B07F439" w14:textId="77777777" w:rsidR="002C0FD9" w:rsidRPr="00CA25CF" w:rsidRDefault="002C0FD9" w:rsidP="00CA25CF">
            <w:pPr>
              <w:rPr>
                <w:rFonts w:cs="Arial"/>
                <w:color w:val="FF0000"/>
                <w:sz w:val="21"/>
                <w:szCs w:val="21"/>
              </w:rPr>
            </w:pPr>
          </w:p>
        </w:tc>
        <w:tc>
          <w:tcPr>
            <w:tcW w:w="217" w:type="dxa"/>
          </w:tcPr>
          <w:p w14:paraId="7B31258A" w14:textId="77777777" w:rsidR="002C0FD9" w:rsidRPr="00CA25CF" w:rsidRDefault="002C0FD9" w:rsidP="00CA25CF">
            <w:pPr>
              <w:rPr>
                <w:rFonts w:cs="Arial"/>
                <w:color w:val="FF0000"/>
                <w:sz w:val="21"/>
                <w:szCs w:val="21"/>
              </w:rPr>
            </w:pPr>
          </w:p>
        </w:tc>
        <w:tc>
          <w:tcPr>
            <w:tcW w:w="217" w:type="dxa"/>
          </w:tcPr>
          <w:p w14:paraId="277A227C" w14:textId="77777777" w:rsidR="002C0FD9" w:rsidRPr="00CA25CF" w:rsidRDefault="002C0FD9" w:rsidP="00CA25CF">
            <w:pPr>
              <w:rPr>
                <w:rFonts w:cs="Arial"/>
                <w:color w:val="FF0000"/>
                <w:sz w:val="21"/>
                <w:szCs w:val="21"/>
              </w:rPr>
            </w:pPr>
          </w:p>
        </w:tc>
      </w:tr>
      <w:tr w:rsidR="002C0FD9" w:rsidRPr="00A16219" w14:paraId="054DDC04" w14:textId="77777777" w:rsidTr="002C0FD9">
        <w:trPr>
          <w:trHeight w:val="635"/>
        </w:trPr>
        <w:tc>
          <w:tcPr>
            <w:tcW w:w="515" w:type="dxa"/>
          </w:tcPr>
          <w:p w14:paraId="2493E4AE" w14:textId="77777777" w:rsidR="002C0FD9" w:rsidRPr="00CA25CF" w:rsidRDefault="002C0FD9" w:rsidP="00CA25CF">
            <w:pPr>
              <w:rPr>
                <w:rFonts w:cs="Arial"/>
                <w:color w:val="FF0000"/>
                <w:sz w:val="21"/>
                <w:szCs w:val="21"/>
              </w:rPr>
            </w:pPr>
          </w:p>
        </w:tc>
        <w:tc>
          <w:tcPr>
            <w:tcW w:w="217" w:type="dxa"/>
          </w:tcPr>
          <w:p w14:paraId="58B89AAF" w14:textId="77777777" w:rsidR="002C0FD9" w:rsidRPr="00CA25CF" w:rsidRDefault="002C0FD9" w:rsidP="00CA25CF">
            <w:pPr>
              <w:rPr>
                <w:rFonts w:cs="Arial"/>
                <w:color w:val="FF0000"/>
                <w:sz w:val="21"/>
                <w:szCs w:val="21"/>
              </w:rPr>
            </w:pPr>
          </w:p>
        </w:tc>
        <w:tc>
          <w:tcPr>
            <w:tcW w:w="217" w:type="dxa"/>
          </w:tcPr>
          <w:p w14:paraId="3D13239C" w14:textId="77777777" w:rsidR="002C0FD9" w:rsidRPr="00CA25CF" w:rsidRDefault="002C0FD9" w:rsidP="00CA25CF">
            <w:pPr>
              <w:rPr>
                <w:rFonts w:cs="Arial"/>
                <w:color w:val="FF0000"/>
                <w:sz w:val="21"/>
                <w:szCs w:val="21"/>
              </w:rPr>
            </w:pPr>
          </w:p>
        </w:tc>
        <w:tc>
          <w:tcPr>
            <w:tcW w:w="217" w:type="dxa"/>
          </w:tcPr>
          <w:p w14:paraId="2249F110" w14:textId="77777777" w:rsidR="002C0FD9" w:rsidRPr="00CA25CF" w:rsidRDefault="002C0FD9" w:rsidP="00CA25CF">
            <w:pPr>
              <w:rPr>
                <w:rFonts w:cs="Arial"/>
                <w:color w:val="FF0000"/>
                <w:sz w:val="21"/>
                <w:szCs w:val="21"/>
              </w:rPr>
            </w:pPr>
          </w:p>
        </w:tc>
        <w:tc>
          <w:tcPr>
            <w:tcW w:w="217" w:type="dxa"/>
          </w:tcPr>
          <w:p w14:paraId="09B1C10B" w14:textId="77777777" w:rsidR="002C0FD9" w:rsidRPr="00CA25CF" w:rsidRDefault="002C0FD9" w:rsidP="00CA25CF">
            <w:pPr>
              <w:rPr>
                <w:rFonts w:cs="Arial"/>
                <w:color w:val="FF0000"/>
                <w:sz w:val="21"/>
                <w:szCs w:val="21"/>
              </w:rPr>
            </w:pPr>
          </w:p>
        </w:tc>
        <w:tc>
          <w:tcPr>
            <w:tcW w:w="217" w:type="dxa"/>
          </w:tcPr>
          <w:p w14:paraId="03476864" w14:textId="77777777" w:rsidR="002C0FD9" w:rsidRPr="00CA25CF" w:rsidRDefault="002C0FD9" w:rsidP="00CA25CF">
            <w:pPr>
              <w:rPr>
                <w:rFonts w:cs="Arial"/>
                <w:color w:val="FF0000"/>
                <w:sz w:val="21"/>
                <w:szCs w:val="21"/>
              </w:rPr>
            </w:pPr>
          </w:p>
        </w:tc>
        <w:tc>
          <w:tcPr>
            <w:tcW w:w="217" w:type="dxa"/>
          </w:tcPr>
          <w:p w14:paraId="657C69F1" w14:textId="77777777" w:rsidR="002C0FD9" w:rsidRPr="00CA25CF" w:rsidRDefault="002C0FD9" w:rsidP="00CA25CF">
            <w:pPr>
              <w:rPr>
                <w:rFonts w:cs="Arial"/>
                <w:color w:val="FF0000"/>
                <w:sz w:val="21"/>
                <w:szCs w:val="21"/>
              </w:rPr>
            </w:pPr>
          </w:p>
        </w:tc>
        <w:tc>
          <w:tcPr>
            <w:tcW w:w="217" w:type="dxa"/>
          </w:tcPr>
          <w:p w14:paraId="70F9236F" w14:textId="77777777" w:rsidR="002C0FD9" w:rsidRPr="00CA25CF" w:rsidRDefault="002C0FD9" w:rsidP="00CA25CF">
            <w:pPr>
              <w:rPr>
                <w:rFonts w:cs="Arial"/>
                <w:color w:val="FF0000"/>
                <w:sz w:val="21"/>
                <w:szCs w:val="21"/>
              </w:rPr>
            </w:pPr>
          </w:p>
        </w:tc>
        <w:tc>
          <w:tcPr>
            <w:tcW w:w="217" w:type="dxa"/>
          </w:tcPr>
          <w:p w14:paraId="20D144D9" w14:textId="77777777" w:rsidR="002C0FD9" w:rsidRPr="00CA25CF" w:rsidRDefault="002C0FD9" w:rsidP="00CA25CF">
            <w:pPr>
              <w:rPr>
                <w:rFonts w:cs="Arial"/>
                <w:color w:val="FF0000"/>
                <w:sz w:val="21"/>
                <w:szCs w:val="21"/>
              </w:rPr>
            </w:pPr>
          </w:p>
        </w:tc>
        <w:tc>
          <w:tcPr>
            <w:tcW w:w="217" w:type="dxa"/>
          </w:tcPr>
          <w:p w14:paraId="174B057D" w14:textId="77777777" w:rsidR="002C0FD9" w:rsidRPr="00CA25CF" w:rsidRDefault="002C0FD9" w:rsidP="00CA25CF">
            <w:pPr>
              <w:rPr>
                <w:rFonts w:cs="Arial"/>
                <w:color w:val="FF0000"/>
                <w:sz w:val="21"/>
                <w:szCs w:val="21"/>
              </w:rPr>
            </w:pPr>
          </w:p>
        </w:tc>
        <w:tc>
          <w:tcPr>
            <w:tcW w:w="217" w:type="dxa"/>
          </w:tcPr>
          <w:p w14:paraId="341E38EB" w14:textId="77777777" w:rsidR="002C0FD9" w:rsidRPr="00CA25CF" w:rsidRDefault="002C0FD9" w:rsidP="00CA25CF">
            <w:pPr>
              <w:rPr>
                <w:rFonts w:cs="Arial"/>
                <w:color w:val="FF0000"/>
                <w:sz w:val="21"/>
                <w:szCs w:val="21"/>
              </w:rPr>
            </w:pPr>
          </w:p>
        </w:tc>
        <w:tc>
          <w:tcPr>
            <w:tcW w:w="217" w:type="dxa"/>
          </w:tcPr>
          <w:p w14:paraId="067A652B" w14:textId="77777777" w:rsidR="002C0FD9" w:rsidRPr="00CA25CF" w:rsidRDefault="002C0FD9" w:rsidP="00CA25CF">
            <w:pPr>
              <w:rPr>
                <w:rFonts w:cs="Arial"/>
                <w:color w:val="FF0000"/>
                <w:sz w:val="21"/>
                <w:szCs w:val="21"/>
              </w:rPr>
            </w:pPr>
          </w:p>
        </w:tc>
        <w:tc>
          <w:tcPr>
            <w:tcW w:w="217" w:type="dxa"/>
          </w:tcPr>
          <w:p w14:paraId="2087D546" w14:textId="77777777" w:rsidR="002C0FD9" w:rsidRPr="00CA25CF" w:rsidRDefault="002C0FD9" w:rsidP="00CA25CF">
            <w:pPr>
              <w:rPr>
                <w:rFonts w:cs="Arial"/>
                <w:color w:val="FF0000"/>
                <w:sz w:val="21"/>
                <w:szCs w:val="21"/>
              </w:rPr>
            </w:pPr>
          </w:p>
        </w:tc>
        <w:tc>
          <w:tcPr>
            <w:tcW w:w="217" w:type="dxa"/>
          </w:tcPr>
          <w:p w14:paraId="160DB02E" w14:textId="77777777" w:rsidR="002C0FD9" w:rsidRPr="00CA25CF" w:rsidRDefault="002C0FD9" w:rsidP="00CA25CF">
            <w:pPr>
              <w:rPr>
                <w:rFonts w:cs="Arial"/>
                <w:color w:val="FF0000"/>
                <w:sz w:val="21"/>
                <w:szCs w:val="21"/>
              </w:rPr>
            </w:pPr>
          </w:p>
        </w:tc>
        <w:tc>
          <w:tcPr>
            <w:tcW w:w="217" w:type="dxa"/>
          </w:tcPr>
          <w:p w14:paraId="262C8EB5" w14:textId="77777777" w:rsidR="002C0FD9" w:rsidRPr="00CA25CF" w:rsidRDefault="002C0FD9" w:rsidP="00CA25CF">
            <w:pPr>
              <w:rPr>
                <w:rFonts w:cs="Arial"/>
                <w:color w:val="FF0000"/>
                <w:sz w:val="21"/>
                <w:szCs w:val="21"/>
              </w:rPr>
            </w:pPr>
          </w:p>
        </w:tc>
        <w:tc>
          <w:tcPr>
            <w:tcW w:w="217" w:type="dxa"/>
          </w:tcPr>
          <w:p w14:paraId="166B7FDC" w14:textId="77777777" w:rsidR="002C0FD9" w:rsidRPr="00CA25CF" w:rsidRDefault="002C0FD9" w:rsidP="00CA25CF">
            <w:pPr>
              <w:rPr>
                <w:rFonts w:cs="Arial"/>
                <w:color w:val="FF0000"/>
                <w:sz w:val="21"/>
                <w:szCs w:val="21"/>
              </w:rPr>
            </w:pPr>
          </w:p>
        </w:tc>
        <w:tc>
          <w:tcPr>
            <w:tcW w:w="217" w:type="dxa"/>
          </w:tcPr>
          <w:p w14:paraId="3514E70D" w14:textId="77777777" w:rsidR="002C0FD9" w:rsidRPr="00CA25CF" w:rsidRDefault="002C0FD9" w:rsidP="00CA25CF">
            <w:pPr>
              <w:rPr>
                <w:rFonts w:cs="Arial"/>
                <w:color w:val="FF0000"/>
                <w:sz w:val="21"/>
                <w:szCs w:val="21"/>
              </w:rPr>
            </w:pPr>
          </w:p>
        </w:tc>
        <w:tc>
          <w:tcPr>
            <w:tcW w:w="217" w:type="dxa"/>
          </w:tcPr>
          <w:p w14:paraId="7DF0A62D" w14:textId="77777777" w:rsidR="002C0FD9" w:rsidRPr="00CA25CF" w:rsidRDefault="002C0FD9" w:rsidP="00CA25CF">
            <w:pPr>
              <w:rPr>
                <w:rFonts w:cs="Arial"/>
                <w:color w:val="FF0000"/>
                <w:sz w:val="21"/>
                <w:szCs w:val="21"/>
              </w:rPr>
            </w:pPr>
          </w:p>
        </w:tc>
        <w:tc>
          <w:tcPr>
            <w:tcW w:w="217" w:type="dxa"/>
          </w:tcPr>
          <w:p w14:paraId="1423FEFE" w14:textId="77777777" w:rsidR="002C0FD9" w:rsidRPr="00CA25CF" w:rsidRDefault="002C0FD9" w:rsidP="00CA25CF">
            <w:pPr>
              <w:rPr>
                <w:rFonts w:cs="Arial"/>
                <w:color w:val="FF0000"/>
                <w:sz w:val="21"/>
                <w:szCs w:val="21"/>
              </w:rPr>
            </w:pPr>
          </w:p>
        </w:tc>
        <w:tc>
          <w:tcPr>
            <w:tcW w:w="217" w:type="dxa"/>
          </w:tcPr>
          <w:p w14:paraId="43FA064D" w14:textId="77777777" w:rsidR="002C0FD9" w:rsidRPr="00CA25CF" w:rsidRDefault="002C0FD9" w:rsidP="00CA25CF">
            <w:pPr>
              <w:rPr>
                <w:rFonts w:cs="Arial"/>
                <w:color w:val="FF0000"/>
                <w:sz w:val="21"/>
                <w:szCs w:val="21"/>
              </w:rPr>
            </w:pPr>
          </w:p>
        </w:tc>
        <w:tc>
          <w:tcPr>
            <w:tcW w:w="217" w:type="dxa"/>
          </w:tcPr>
          <w:p w14:paraId="69D0A25E" w14:textId="77777777" w:rsidR="002C0FD9" w:rsidRPr="00CA25CF" w:rsidRDefault="002C0FD9" w:rsidP="00CA25CF">
            <w:pPr>
              <w:rPr>
                <w:rFonts w:cs="Arial"/>
                <w:color w:val="FF0000"/>
                <w:sz w:val="21"/>
                <w:szCs w:val="21"/>
              </w:rPr>
            </w:pPr>
          </w:p>
        </w:tc>
        <w:tc>
          <w:tcPr>
            <w:tcW w:w="217" w:type="dxa"/>
          </w:tcPr>
          <w:p w14:paraId="03F1EDA8" w14:textId="77777777" w:rsidR="002C0FD9" w:rsidRPr="00CA25CF" w:rsidRDefault="002C0FD9" w:rsidP="00CA25CF">
            <w:pPr>
              <w:rPr>
                <w:rFonts w:cs="Arial"/>
                <w:color w:val="FF0000"/>
                <w:sz w:val="21"/>
                <w:szCs w:val="21"/>
              </w:rPr>
            </w:pPr>
          </w:p>
        </w:tc>
        <w:tc>
          <w:tcPr>
            <w:tcW w:w="217" w:type="dxa"/>
          </w:tcPr>
          <w:p w14:paraId="73370305" w14:textId="77777777" w:rsidR="002C0FD9" w:rsidRPr="00CA25CF" w:rsidRDefault="002C0FD9" w:rsidP="00CA25CF">
            <w:pPr>
              <w:rPr>
                <w:rFonts w:cs="Arial"/>
                <w:color w:val="FF0000"/>
                <w:sz w:val="21"/>
                <w:szCs w:val="21"/>
              </w:rPr>
            </w:pPr>
          </w:p>
        </w:tc>
        <w:tc>
          <w:tcPr>
            <w:tcW w:w="217" w:type="dxa"/>
          </w:tcPr>
          <w:p w14:paraId="207BD17A" w14:textId="77777777" w:rsidR="002C0FD9" w:rsidRPr="00CA25CF" w:rsidRDefault="002C0FD9" w:rsidP="00CA25CF">
            <w:pPr>
              <w:rPr>
                <w:rFonts w:cs="Arial"/>
                <w:color w:val="FF0000"/>
                <w:sz w:val="21"/>
                <w:szCs w:val="21"/>
              </w:rPr>
            </w:pPr>
          </w:p>
        </w:tc>
        <w:tc>
          <w:tcPr>
            <w:tcW w:w="217" w:type="dxa"/>
          </w:tcPr>
          <w:p w14:paraId="491FF622" w14:textId="77777777" w:rsidR="002C0FD9" w:rsidRPr="00CA25CF" w:rsidRDefault="002C0FD9" w:rsidP="00CA25CF">
            <w:pPr>
              <w:rPr>
                <w:rFonts w:cs="Arial"/>
                <w:color w:val="FF0000"/>
                <w:sz w:val="21"/>
                <w:szCs w:val="21"/>
              </w:rPr>
            </w:pPr>
          </w:p>
        </w:tc>
        <w:tc>
          <w:tcPr>
            <w:tcW w:w="217" w:type="dxa"/>
          </w:tcPr>
          <w:p w14:paraId="6A3254C2" w14:textId="77777777" w:rsidR="002C0FD9" w:rsidRPr="00CA25CF" w:rsidRDefault="002C0FD9" w:rsidP="00CA25CF">
            <w:pPr>
              <w:rPr>
                <w:rFonts w:cs="Arial"/>
                <w:color w:val="FF0000"/>
                <w:sz w:val="21"/>
                <w:szCs w:val="21"/>
              </w:rPr>
            </w:pPr>
          </w:p>
        </w:tc>
        <w:tc>
          <w:tcPr>
            <w:tcW w:w="217" w:type="dxa"/>
          </w:tcPr>
          <w:p w14:paraId="27EA9196" w14:textId="77777777" w:rsidR="002C0FD9" w:rsidRPr="00CA25CF" w:rsidRDefault="002C0FD9" w:rsidP="00CA25CF">
            <w:pPr>
              <w:rPr>
                <w:rFonts w:cs="Arial"/>
                <w:color w:val="FF0000"/>
                <w:sz w:val="21"/>
                <w:szCs w:val="21"/>
              </w:rPr>
            </w:pPr>
          </w:p>
        </w:tc>
        <w:tc>
          <w:tcPr>
            <w:tcW w:w="217" w:type="dxa"/>
          </w:tcPr>
          <w:p w14:paraId="6CDFEBAD" w14:textId="77777777" w:rsidR="002C0FD9" w:rsidRPr="00CA25CF" w:rsidRDefault="002C0FD9" w:rsidP="00CA25CF">
            <w:pPr>
              <w:rPr>
                <w:rFonts w:cs="Arial"/>
                <w:color w:val="FF0000"/>
                <w:sz w:val="21"/>
                <w:szCs w:val="21"/>
              </w:rPr>
            </w:pPr>
          </w:p>
        </w:tc>
        <w:tc>
          <w:tcPr>
            <w:tcW w:w="217" w:type="dxa"/>
          </w:tcPr>
          <w:p w14:paraId="656130ED" w14:textId="77777777" w:rsidR="002C0FD9" w:rsidRPr="00CA25CF" w:rsidRDefault="002C0FD9" w:rsidP="00CA25CF">
            <w:pPr>
              <w:rPr>
                <w:rFonts w:cs="Arial"/>
                <w:color w:val="FF0000"/>
                <w:sz w:val="21"/>
                <w:szCs w:val="21"/>
              </w:rPr>
            </w:pPr>
          </w:p>
        </w:tc>
        <w:tc>
          <w:tcPr>
            <w:tcW w:w="217" w:type="dxa"/>
          </w:tcPr>
          <w:p w14:paraId="5C9ECF49" w14:textId="77777777" w:rsidR="002C0FD9" w:rsidRPr="00CA25CF" w:rsidRDefault="002C0FD9" w:rsidP="00CA25CF">
            <w:pPr>
              <w:rPr>
                <w:rFonts w:cs="Arial"/>
                <w:color w:val="FF0000"/>
                <w:sz w:val="21"/>
                <w:szCs w:val="21"/>
              </w:rPr>
            </w:pPr>
          </w:p>
        </w:tc>
        <w:tc>
          <w:tcPr>
            <w:tcW w:w="217" w:type="dxa"/>
          </w:tcPr>
          <w:p w14:paraId="5382FF88" w14:textId="77777777" w:rsidR="002C0FD9" w:rsidRPr="00CA25CF" w:rsidRDefault="002C0FD9" w:rsidP="00CA25CF">
            <w:pPr>
              <w:rPr>
                <w:rFonts w:cs="Arial"/>
                <w:color w:val="FF0000"/>
                <w:sz w:val="21"/>
                <w:szCs w:val="21"/>
              </w:rPr>
            </w:pPr>
          </w:p>
        </w:tc>
        <w:tc>
          <w:tcPr>
            <w:tcW w:w="217" w:type="dxa"/>
          </w:tcPr>
          <w:p w14:paraId="6391E057" w14:textId="77777777" w:rsidR="002C0FD9" w:rsidRPr="00CA25CF" w:rsidRDefault="002C0FD9" w:rsidP="00CA25CF">
            <w:pPr>
              <w:rPr>
                <w:rFonts w:cs="Arial"/>
                <w:color w:val="FF0000"/>
                <w:sz w:val="21"/>
                <w:szCs w:val="21"/>
              </w:rPr>
            </w:pPr>
          </w:p>
        </w:tc>
        <w:tc>
          <w:tcPr>
            <w:tcW w:w="217" w:type="dxa"/>
          </w:tcPr>
          <w:p w14:paraId="6E5864EF" w14:textId="77777777" w:rsidR="002C0FD9" w:rsidRPr="00CA25CF" w:rsidRDefault="002C0FD9" w:rsidP="00CA25CF">
            <w:pPr>
              <w:rPr>
                <w:rFonts w:cs="Arial"/>
                <w:color w:val="FF0000"/>
                <w:sz w:val="21"/>
                <w:szCs w:val="21"/>
              </w:rPr>
            </w:pPr>
          </w:p>
        </w:tc>
        <w:tc>
          <w:tcPr>
            <w:tcW w:w="217" w:type="dxa"/>
          </w:tcPr>
          <w:p w14:paraId="50252447" w14:textId="77777777" w:rsidR="002C0FD9" w:rsidRPr="00CA25CF" w:rsidRDefault="002C0FD9" w:rsidP="00CA25CF">
            <w:pPr>
              <w:rPr>
                <w:rFonts w:cs="Arial"/>
                <w:color w:val="FF0000"/>
                <w:sz w:val="21"/>
                <w:szCs w:val="21"/>
              </w:rPr>
            </w:pPr>
          </w:p>
        </w:tc>
        <w:tc>
          <w:tcPr>
            <w:tcW w:w="217" w:type="dxa"/>
          </w:tcPr>
          <w:p w14:paraId="3BED9095" w14:textId="77777777" w:rsidR="002C0FD9" w:rsidRPr="00CA25CF" w:rsidRDefault="002C0FD9" w:rsidP="00CA25CF">
            <w:pPr>
              <w:rPr>
                <w:rFonts w:cs="Arial"/>
                <w:color w:val="FF0000"/>
                <w:sz w:val="21"/>
                <w:szCs w:val="21"/>
              </w:rPr>
            </w:pPr>
          </w:p>
        </w:tc>
        <w:tc>
          <w:tcPr>
            <w:tcW w:w="217" w:type="dxa"/>
          </w:tcPr>
          <w:p w14:paraId="23D08756" w14:textId="77777777" w:rsidR="002C0FD9" w:rsidRPr="00CA25CF" w:rsidRDefault="002C0FD9" w:rsidP="00CA25CF">
            <w:pPr>
              <w:rPr>
                <w:rFonts w:cs="Arial"/>
                <w:color w:val="FF0000"/>
                <w:sz w:val="21"/>
                <w:szCs w:val="21"/>
              </w:rPr>
            </w:pPr>
          </w:p>
        </w:tc>
        <w:tc>
          <w:tcPr>
            <w:tcW w:w="217" w:type="dxa"/>
          </w:tcPr>
          <w:p w14:paraId="11E4B49A" w14:textId="77777777" w:rsidR="002C0FD9" w:rsidRPr="00CA25CF" w:rsidRDefault="002C0FD9" w:rsidP="00CA25CF">
            <w:pPr>
              <w:rPr>
                <w:rFonts w:cs="Arial"/>
                <w:color w:val="FF0000"/>
                <w:sz w:val="21"/>
                <w:szCs w:val="21"/>
              </w:rPr>
            </w:pPr>
          </w:p>
        </w:tc>
        <w:tc>
          <w:tcPr>
            <w:tcW w:w="217" w:type="dxa"/>
          </w:tcPr>
          <w:p w14:paraId="0DF140EE" w14:textId="77777777" w:rsidR="002C0FD9" w:rsidRPr="00CA25CF" w:rsidRDefault="002C0FD9" w:rsidP="00CA25CF">
            <w:pPr>
              <w:rPr>
                <w:rFonts w:cs="Arial"/>
                <w:color w:val="FF0000"/>
                <w:sz w:val="21"/>
                <w:szCs w:val="21"/>
              </w:rPr>
            </w:pPr>
          </w:p>
        </w:tc>
        <w:tc>
          <w:tcPr>
            <w:tcW w:w="217" w:type="dxa"/>
          </w:tcPr>
          <w:p w14:paraId="7B549AC9" w14:textId="77777777" w:rsidR="002C0FD9" w:rsidRPr="00CA25CF" w:rsidRDefault="002C0FD9" w:rsidP="00CA25CF">
            <w:pPr>
              <w:rPr>
                <w:rFonts w:cs="Arial"/>
                <w:color w:val="FF0000"/>
                <w:sz w:val="21"/>
                <w:szCs w:val="21"/>
              </w:rPr>
            </w:pPr>
          </w:p>
        </w:tc>
        <w:tc>
          <w:tcPr>
            <w:tcW w:w="217" w:type="dxa"/>
          </w:tcPr>
          <w:p w14:paraId="77C3174A" w14:textId="77777777" w:rsidR="002C0FD9" w:rsidRPr="00CA25CF" w:rsidRDefault="002C0FD9" w:rsidP="00CA25CF">
            <w:pPr>
              <w:rPr>
                <w:rFonts w:cs="Arial"/>
                <w:color w:val="FF0000"/>
                <w:sz w:val="21"/>
                <w:szCs w:val="21"/>
              </w:rPr>
            </w:pPr>
          </w:p>
        </w:tc>
        <w:tc>
          <w:tcPr>
            <w:tcW w:w="217" w:type="dxa"/>
          </w:tcPr>
          <w:p w14:paraId="12615EE8" w14:textId="77777777" w:rsidR="002C0FD9" w:rsidRPr="00CA25CF" w:rsidRDefault="002C0FD9" w:rsidP="00CA25CF">
            <w:pPr>
              <w:rPr>
                <w:rFonts w:cs="Arial"/>
                <w:color w:val="FF0000"/>
                <w:sz w:val="21"/>
                <w:szCs w:val="21"/>
              </w:rPr>
            </w:pPr>
          </w:p>
        </w:tc>
        <w:tc>
          <w:tcPr>
            <w:tcW w:w="217" w:type="dxa"/>
          </w:tcPr>
          <w:p w14:paraId="3C82A8D9" w14:textId="77777777" w:rsidR="002C0FD9" w:rsidRPr="00CA25CF" w:rsidRDefault="002C0FD9" w:rsidP="00CA25CF">
            <w:pPr>
              <w:rPr>
                <w:rFonts w:cs="Arial"/>
                <w:color w:val="FF0000"/>
                <w:sz w:val="21"/>
                <w:szCs w:val="21"/>
              </w:rPr>
            </w:pPr>
          </w:p>
        </w:tc>
        <w:tc>
          <w:tcPr>
            <w:tcW w:w="217" w:type="dxa"/>
          </w:tcPr>
          <w:p w14:paraId="7B945A01" w14:textId="77777777" w:rsidR="002C0FD9" w:rsidRPr="00CA25CF" w:rsidRDefault="002C0FD9" w:rsidP="00CA25CF">
            <w:pPr>
              <w:rPr>
                <w:rFonts w:cs="Arial"/>
                <w:color w:val="FF0000"/>
                <w:sz w:val="21"/>
                <w:szCs w:val="21"/>
              </w:rPr>
            </w:pPr>
          </w:p>
        </w:tc>
      </w:tr>
      <w:tr w:rsidR="002C0FD9" w:rsidRPr="00A16219" w14:paraId="12BBE4B9" w14:textId="77777777" w:rsidTr="002C0FD9">
        <w:trPr>
          <w:trHeight w:val="635"/>
        </w:trPr>
        <w:tc>
          <w:tcPr>
            <w:tcW w:w="515" w:type="dxa"/>
          </w:tcPr>
          <w:p w14:paraId="16FE3E7A" w14:textId="77777777" w:rsidR="002C0FD9" w:rsidRPr="00CA25CF" w:rsidRDefault="002C0FD9" w:rsidP="00CA25CF">
            <w:pPr>
              <w:rPr>
                <w:rFonts w:cs="Arial"/>
                <w:color w:val="FF0000"/>
                <w:sz w:val="21"/>
                <w:szCs w:val="21"/>
              </w:rPr>
            </w:pPr>
          </w:p>
        </w:tc>
        <w:tc>
          <w:tcPr>
            <w:tcW w:w="217" w:type="dxa"/>
          </w:tcPr>
          <w:p w14:paraId="32AF8A90" w14:textId="77777777" w:rsidR="002C0FD9" w:rsidRPr="00CA25CF" w:rsidRDefault="002C0FD9" w:rsidP="00CA25CF">
            <w:pPr>
              <w:rPr>
                <w:rFonts w:cs="Arial"/>
                <w:color w:val="FF0000"/>
                <w:sz w:val="21"/>
                <w:szCs w:val="21"/>
              </w:rPr>
            </w:pPr>
          </w:p>
        </w:tc>
        <w:tc>
          <w:tcPr>
            <w:tcW w:w="217" w:type="dxa"/>
          </w:tcPr>
          <w:p w14:paraId="136391A7" w14:textId="77777777" w:rsidR="002C0FD9" w:rsidRPr="00CA25CF" w:rsidRDefault="002C0FD9" w:rsidP="00CA25CF">
            <w:pPr>
              <w:rPr>
                <w:rFonts w:cs="Arial"/>
                <w:color w:val="FF0000"/>
                <w:sz w:val="21"/>
                <w:szCs w:val="21"/>
              </w:rPr>
            </w:pPr>
          </w:p>
        </w:tc>
        <w:tc>
          <w:tcPr>
            <w:tcW w:w="217" w:type="dxa"/>
          </w:tcPr>
          <w:p w14:paraId="6DD77740" w14:textId="77777777" w:rsidR="002C0FD9" w:rsidRPr="00CA25CF" w:rsidRDefault="002C0FD9" w:rsidP="00CA25CF">
            <w:pPr>
              <w:rPr>
                <w:rFonts w:cs="Arial"/>
                <w:color w:val="FF0000"/>
                <w:sz w:val="21"/>
                <w:szCs w:val="21"/>
              </w:rPr>
            </w:pPr>
          </w:p>
        </w:tc>
        <w:tc>
          <w:tcPr>
            <w:tcW w:w="217" w:type="dxa"/>
          </w:tcPr>
          <w:p w14:paraId="7E06CC4E" w14:textId="77777777" w:rsidR="002C0FD9" w:rsidRPr="00CA25CF" w:rsidRDefault="002C0FD9" w:rsidP="00CA25CF">
            <w:pPr>
              <w:rPr>
                <w:rFonts w:cs="Arial"/>
                <w:color w:val="FF0000"/>
                <w:sz w:val="21"/>
                <w:szCs w:val="21"/>
              </w:rPr>
            </w:pPr>
          </w:p>
        </w:tc>
        <w:tc>
          <w:tcPr>
            <w:tcW w:w="217" w:type="dxa"/>
          </w:tcPr>
          <w:p w14:paraId="65D8C87D" w14:textId="77777777" w:rsidR="002C0FD9" w:rsidRPr="00CA25CF" w:rsidRDefault="002C0FD9" w:rsidP="00CA25CF">
            <w:pPr>
              <w:rPr>
                <w:rFonts w:cs="Arial"/>
                <w:color w:val="FF0000"/>
                <w:sz w:val="21"/>
                <w:szCs w:val="21"/>
              </w:rPr>
            </w:pPr>
          </w:p>
        </w:tc>
        <w:tc>
          <w:tcPr>
            <w:tcW w:w="217" w:type="dxa"/>
          </w:tcPr>
          <w:p w14:paraId="489062DD" w14:textId="77777777" w:rsidR="002C0FD9" w:rsidRPr="00CA25CF" w:rsidRDefault="002C0FD9" w:rsidP="00CA25CF">
            <w:pPr>
              <w:rPr>
                <w:rFonts w:cs="Arial"/>
                <w:color w:val="FF0000"/>
                <w:sz w:val="21"/>
                <w:szCs w:val="21"/>
              </w:rPr>
            </w:pPr>
          </w:p>
        </w:tc>
        <w:tc>
          <w:tcPr>
            <w:tcW w:w="217" w:type="dxa"/>
          </w:tcPr>
          <w:p w14:paraId="662D9100" w14:textId="77777777" w:rsidR="002C0FD9" w:rsidRPr="00CA25CF" w:rsidRDefault="002C0FD9" w:rsidP="00CA25CF">
            <w:pPr>
              <w:rPr>
                <w:rFonts w:cs="Arial"/>
                <w:color w:val="FF0000"/>
                <w:sz w:val="21"/>
                <w:szCs w:val="21"/>
              </w:rPr>
            </w:pPr>
          </w:p>
        </w:tc>
        <w:tc>
          <w:tcPr>
            <w:tcW w:w="217" w:type="dxa"/>
          </w:tcPr>
          <w:p w14:paraId="7D20893C" w14:textId="77777777" w:rsidR="002C0FD9" w:rsidRPr="00CA25CF" w:rsidRDefault="002C0FD9" w:rsidP="00CA25CF">
            <w:pPr>
              <w:rPr>
                <w:rFonts w:cs="Arial"/>
                <w:color w:val="FF0000"/>
                <w:sz w:val="21"/>
                <w:szCs w:val="21"/>
              </w:rPr>
            </w:pPr>
          </w:p>
        </w:tc>
        <w:tc>
          <w:tcPr>
            <w:tcW w:w="217" w:type="dxa"/>
          </w:tcPr>
          <w:p w14:paraId="643DB3A3" w14:textId="77777777" w:rsidR="002C0FD9" w:rsidRPr="00CA25CF" w:rsidRDefault="002C0FD9" w:rsidP="00CA25CF">
            <w:pPr>
              <w:rPr>
                <w:rFonts w:cs="Arial"/>
                <w:color w:val="FF0000"/>
                <w:sz w:val="21"/>
                <w:szCs w:val="21"/>
              </w:rPr>
            </w:pPr>
          </w:p>
        </w:tc>
        <w:tc>
          <w:tcPr>
            <w:tcW w:w="217" w:type="dxa"/>
          </w:tcPr>
          <w:p w14:paraId="2E21632F" w14:textId="77777777" w:rsidR="002C0FD9" w:rsidRPr="00CA25CF" w:rsidRDefault="002C0FD9" w:rsidP="00CA25CF">
            <w:pPr>
              <w:rPr>
                <w:rFonts w:cs="Arial"/>
                <w:color w:val="FF0000"/>
                <w:sz w:val="21"/>
                <w:szCs w:val="21"/>
              </w:rPr>
            </w:pPr>
          </w:p>
        </w:tc>
        <w:tc>
          <w:tcPr>
            <w:tcW w:w="217" w:type="dxa"/>
          </w:tcPr>
          <w:p w14:paraId="51E6DC4A" w14:textId="77777777" w:rsidR="002C0FD9" w:rsidRPr="00CA25CF" w:rsidRDefault="002C0FD9" w:rsidP="00CA25CF">
            <w:pPr>
              <w:rPr>
                <w:rFonts w:cs="Arial"/>
                <w:color w:val="FF0000"/>
                <w:sz w:val="21"/>
                <w:szCs w:val="21"/>
              </w:rPr>
            </w:pPr>
          </w:p>
        </w:tc>
        <w:tc>
          <w:tcPr>
            <w:tcW w:w="217" w:type="dxa"/>
          </w:tcPr>
          <w:p w14:paraId="209DD109" w14:textId="77777777" w:rsidR="002C0FD9" w:rsidRPr="00CA25CF" w:rsidRDefault="002C0FD9" w:rsidP="00CA25CF">
            <w:pPr>
              <w:rPr>
                <w:rFonts w:cs="Arial"/>
                <w:color w:val="FF0000"/>
                <w:sz w:val="21"/>
                <w:szCs w:val="21"/>
              </w:rPr>
            </w:pPr>
          </w:p>
        </w:tc>
        <w:tc>
          <w:tcPr>
            <w:tcW w:w="217" w:type="dxa"/>
          </w:tcPr>
          <w:p w14:paraId="61690B0D" w14:textId="77777777" w:rsidR="002C0FD9" w:rsidRPr="00CA25CF" w:rsidRDefault="002C0FD9" w:rsidP="00CA25CF">
            <w:pPr>
              <w:rPr>
                <w:rFonts w:cs="Arial"/>
                <w:color w:val="FF0000"/>
                <w:sz w:val="21"/>
                <w:szCs w:val="21"/>
              </w:rPr>
            </w:pPr>
          </w:p>
        </w:tc>
        <w:tc>
          <w:tcPr>
            <w:tcW w:w="217" w:type="dxa"/>
          </w:tcPr>
          <w:p w14:paraId="15D9E830" w14:textId="77777777" w:rsidR="002C0FD9" w:rsidRPr="00CA25CF" w:rsidRDefault="002C0FD9" w:rsidP="00CA25CF">
            <w:pPr>
              <w:rPr>
                <w:rFonts w:cs="Arial"/>
                <w:color w:val="FF0000"/>
                <w:sz w:val="21"/>
                <w:szCs w:val="21"/>
              </w:rPr>
            </w:pPr>
          </w:p>
        </w:tc>
        <w:tc>
          <w:tcPr>
            <w:tcW w:w="217" w:type="dxa"/>
          </w:tcPr>
          <w:p w14:paraId="63AD3394" w14:textId="77777777" w:rsidR="002C0FD9" w:rsidRPr="00CA25CF" w:rsidRDefault="002C0FD9" w:rsidP="00CA25CF">
            <w:pPr>
              <w:rPr>
                <w:rFonts w:cs="Arial"/>
                <w:color w:val="FF0000"/>
                <w:sz w:val="21"/>
                <w:szCs w:val="21"/>
              </w:rPr>
            </w:pPr>
          </w:p>
        </w:tc>
        <w:tc>
          <w:tcPr>
            <w:tcW w:w="217" w:type="dxa"/>
          </w:tcPr>
          <w:p w14:paraId="06A0B32C" w14:textId="77777777" w:rsidR="002C0FD9" w:rsidRPr="00CA25CF" w:rsidRDefault="002C0FD9" w:rsidP="00CA25CF">
            <w:pPr>
              <w:rPr>
                <w:rFonts w:cs="Arial"/>
                <w:color w:val="FF0000"/>
                <w:sz w:val="21"/>
                <w:szCs w:val="21"/>
              </w:rPr>
            </w:pPr>
          </w:p>
        </w:tc>
        <w:tc>
          <w:tcPr>
            <w:tcW w:w="217" w:type="dxa"/>
          </w:tcPr>
          <w:p w14:paraId="5E0662DE" w14:textId="77777777" w:rsidR="002C0FD9" w:rsidRPr="00CA25CF" w:rsidRDefault="002C0FD9" w:rsidP="00CA25CF">
            <w:pPr>
              <w:rPr>
                <w:rFonts w:cs="Arial"/>
                <w:color w:val="FF0000"/>
                <w:sz w:val="21"/>
                <w:szCs w:val="21"/>
              </w:rPr>
            </w:pPr>
          </w:p>
        </w:tc>
        <w:tc>
          <w:tcPr>
            <w:tcW w:w="217" w:type="dxa"/>
          </w:tcPr>
          <w:p w14:paraId="360BCE38" w14:textId="77777777" w:rsidR="002C0FD9" w:rsidRPr="00CA25CF" w:rsidRDefault="002C0FD9" w:rsidP="00CA25CF">
            <w:pPr>
              <w:rPr>
                <w:rFonts w:cs="Arial"/>
                <w:color w:val="FF0000"/>
                <w:sz w:val="21"/>
                <w:szCs w:val="21"/>
              </w:rPr>
            </w:pPr>
          </w:p>
        </w:tc>
        <w:tc>
          <w:tcPr>
            <w:tcW w:w="217" w:type="dxa"/>
          </w:tcPr>
          <w:p w14:paraId="7DF2FF93" w14:textId="77777777" w:rsidR="002C0FD9" w:rsidRPr="00CA25CF" w:rsidRDefault="002C0FD9" w:rsidP="00CA25CF">
            <w:pPr>
              <w:rPr>
                <w:rFonts w:cs="Arial"/>
                <w:color w:val="FF0000"/>
                <w:sz w:val="21"/>
                <w:szCs w:val="21"/>
              </w:rPr>
            </w:pPr>
          </w:p>
        </w:tc>
        <w:tc>
          <w:tcPr>
            <w:tcW w:w="217" w:type="dxa"/>
          </w:tcPr>
          <w:p w14:paraId="6E43A44F" w14:textId="77777777" w:rsidR="002C0FD9" w:rsidRPr="00CA25CF" w:rsidRDefault="002C0FD9" w:rsidP="00CA25CF">
            <w:pPr>
              <w:rPr>
                <w:rFonts w:cs="Arial"/>
                <w:color w:val="FF0000"/>
                <w:sz w:val="21"/>
                <w:szCs w:val="21"/>
              </w:rPr>
            </w:pPr>
          </w:p>
        </w:tc>
        <w:tc>
          <w:tcPr>
            <w:tcW w:w="217" w:type="dxa"/>
          </w:tcPr>
          <w:p w14:paraId="340358EB" w14:textId="77777777" w:rsidR="002C0FD9" w:rsidRPr="00CA25CF" w:rsidRDefault="002C0FD9" w:rsidP="00CA25CF">
            <w:pPr>
              <w:rPr>
                <w:rFonts w:cs="Arial"/>
                <w:color w:val="FF0000"/>
                <w:sz w:val="21"/>
                <w:szCs w:val="21"/>
              </w:rPr>
            </w:pPr>
          </w:p>
        </w:tc>
        <w:tc>
          <w:tcPr>
            <w:tcW w:w="217" w:type="dxa"/>
          </w:tcPr>
          <w:p w14:paraId="7F7710B3" w14:textId="77777777" w:rsidR="002C0FD9" w:rsidRPr="00CA25CF" w:rsidRDefault="002C0FD9" w:rsidP="00CA25CF">
            <w:pPr>
              <w:rPr>
                <w:rFonts w:cs="Arial"/>
                <w:color w:val="FF0000"/>
                <w:sz w:val="21"/>
                <w:szCs w:val="21"/>
              </w:rPr>
            </w:pPr>
          </w:p>
        </w:tc>
        <w:tc>
          <w:tcPr>
            <w:tcW w:w="217" w:type="dxa"/>
          </w:tcPr>
          <w:p w14:paraId="15C8A15C" w14:textId="77777777" w:rsidR="002C0FD9" w:rsidRPr="00CA25CF" w:rsidRDefault="002C0FD9" w:rsidP="00CA25CF">
            <w:pPr>
              <w:rPr>
                <w:rFonts w:cs="Arial"/>
                <w:color w:val="FF0000"/>
                <w:sz w:val="21"/>
                <w:szCs w:val="21"/>
              </w:rPr>
            </w:pPr>
          </w:p>
        </w:tc>
        <w:tc>
          <w:tcPr>
            <w:tcW w:w="217" w:type="dxa"/>
          </w:tcPr>
          <w:p w14:paraId="4CE30357" w14:textId="77777777" w:rsidR="002C0FD9" w:rsidRPr="00CA25CF" w:rsidRDefault="002C0FD9" w:rsidP="00CA25CF">
            <w:pPr>
              <w:rPr>
                <w:rFonts w:cs="Arial"/>
                <w:color w:val="FF0000"/>
                <w:sz w:val="21"/>
                <w:szCs w:val="21"/>
              </w:rPr>
            </w:pPr>
          </w:p>
        </w:tc>
        <w:tc>
          <w:tcPr>
            <w:tcW w:w="217" w:type="dxa"/>
          </w:tcPr>
          <w:p w14:paraId="3C03EDEF" w14:textId="77777777" w:rsidR="002C0FD9" w:rsidRPr="00CA25CF" w:rsidRDefault="002C0FD9" w:rsidP="00CA25CF">
            <w:pPr>
              <w:rPr>
                <w:rFonts w:cs="Arial"/>
                <w:color w:val="FF0000"/>
                <w:sz w:val="21"/>
                <w:szCs w:val="21"/>
              </w:rPr>
            </w:pPr>
          </w:p>
        </w:tc>
        <w:tc>
          <w:tcPr>
            <w:tcW w:w="217" w:type="dxa"/>
          </w:tcPr>
          <w:p w14:paraId="7DCBAEAE" w14:textId="77777777" w:rsidR="002C0FD9" w:rsidRPr="00CA25CF" w:rsidRDefault="002C0FD9" w:rsidP="00CA25CF">
            <w:pPr>
              <w:rPr>
                <w:rFonts w:cs="Arial"/>
                <w:color w:val="FF0000"/>
                <w:sz w:val="21"/>
                <w:szCs w:val="21"/>
              </w:rPr>
            </w:pPr>
          </w:p>
        </w:tc>
        <w:tc>
          <w:tcPr>
            <w:tcW w:w="217" w:type="dxa"/>
          </w:tcPr>
          <w:p w14:paraId="09F946A5" w14:textId="77777777" w:rsidR="002C0FD9" w:rsidRPr="00CA25CF" w:rsidRDefault="002C0FD9" w:rsidP="00CA25CF">
            <w:pPr>
              <w:rPr>
                <w:rFonts w:cs="Arial"/>
                <w:color w:val="FF0000"/>
                <w:sz w:val="21"/>
                <w:szCs w:val="21"/>
              </w:rPr>
            </w:pPr>
          </w:p>
        </w:tc>
        <w:tc>
          <w:tcPr>
            <w:tcW w:w="217" w:type="dxa"/>
          </w:tcPr>
          <w:p w14:paraId="3B17DDF7" w14:textId="77777777" w:rsidR="002C0FD9" w:rsidRPr="00CA25CF" w:rsidRDefault="002C0FD9" w:rsidP="00CA25CF">
            <w:pPr>
              <w:rPr>
                <w:rFonts w:cs="Arial"/>
                <w:color w:val="FF0000"/>
                <w:sz w:val="21"/>
                <w:szCs w:val="21"/>
              </w:rPr>
            </w:pPr>
          </w:p>
        </w:tc>
        <w:tc>
          <w:tcPr>
            <w:tcW w:w="217" w:type="dxa"/>
          </w:tcPr>
          <w:p w14:paraId="1DAB2526" w14:textId="77777777" w:rsidR="002C0FD9" w:rsidRPr="00CA25CF" w:rsidRDefault="002C0FD9" w:rsidP="00CA25CF">
            <w:pPr>
              <w:rPr>
                <w:rFonts w:cs="Arial"/>
                <w:color w:val="FF0000"/>
                <w:sz w:val="21"/>
                <w:szCs w:val="21"/>
              </w:rPr>
            </w:pPr>
          </w:p>
        </w:tc>
        <w:tc>
          <w:tcPr>
            <w:tcW w:w="217" w:type="dxa"/>
          </w:tcPr>
          <w:p w14:paraId="49BCE32B" w14:textId="77777777" w:rsidR="002C0FD9" w:rsidRPr="00CA25CF" w:rsidRDefault="002C0FD9" w:rsidP="00CA25CF">
            <w:pPr>
              <w:rPr>
                <w:rFonts w:cs="Arial"/>
                <w:color w:val="FF0000"/>
                <w:sz w:val="21"/>
                <w:szCs w:val="21"/>
              </w:rPr>
            </w:pPr>
          </w:p>
        </w:tc>
        <w:tc>
          <w:tcPr>
            <w:tcW w:w="217" w:type="dxa"/>
          </w:tcPr>
          <w:p w14:paraId="6E63C395" w14:textId="77777777" w:rsidR="002C0FD9" w:rsidRPr="00CA25CF" w:rsidRDefault="002C0FD9" w:rsidP="00CA25CF">
            <w:pPr>
              <w:rPr>
                <w:rFonts w:cs="Arial"/>
                <w:color w:val="FF0000"/>
                <w:sz w:val="21"/>
                <w:szCs w:val="21"/>
              </w:rPr>
            </w:pPr>
          </w:p>
        </w:tc>
        <w:tc>
          <w:tcPr>
            <w:tcW w:w="217" w:type="dxa"/>
          </w:tcPr>
          <w:p w14:paraId="0453189A" w14:textId="77777777" w:rsidR="002C0FD9" w:rsidRPr="00CA25CF" w:rsidRDefault="002C0FD9" w:rsidP="00CA25CF">
            <w:pPr>
              <w:rPr>
                <w:rFonts w:cs="Arial"/>
                <w:color w:val="FF0000"/>
                <w:sz w:val="21"/>
                <w:szCs w:val="21"/>
              </w:rPr>
            </w:pPr>
          </w:p>
        </w:tc>
        <w:tc>
          <w:tcPr>
            <w:tcW w:w="217" w:type="dxa"/>
          </w:tcPr>
          <w:p w14:paraId="02E38DF6" w14:textId="77777777" w:rsidR="002C0FD9" w:rsidRPr="00CA25CF" w:rsidRDefault="002C0FD9" w:rsidP="00CA25CF">
            <w:pPr>
              <w:rPr>
                <w:rFonts w:cs="Arial"/>
                <w:color w:val="FF0000"/>
                <w:sz w:val="21"/>
                <w:szCs w:val="21"/>
              </w:rPr>
            </w:pPr>
          </w:p>
        </w:tc>
        <w:tc>
          <w:tcPr>
            <w:tcW w:w="217" w:type="dxa"/>
          </w:tcPr>
          <w:p w14:paraId="6EC9CAD1" w14:textId="77777777" w:rsidR="002C0FD9" w:rsidRPr="00CA25CF" w:rsidRDefault="002C0FD9" w:rsidP="00CA25CF">
            <w:pPr>
              <w:rPr>
                <w:rFonts w:cs="Arial"/>
                <w:color w:val="FF0000"/>
                <w:sz w:val="21"/>
                <w:szCs w:val="21"/>
              </w:rPr>
            </w:pPr>
          </w:p>
        </w:tc>
        <w:tc>
          <w:tcPr>
            <w:tcW w:w="217" w:type="dxa"/>
          </w:tcPr>
          <w:p w14:paraId="4E769376" w14:textId="77777777" w:rsidR="002C0FD9" w:rsidRPr="00CA25CF" w:rsidRDefault="002C0FD9" w:rsidP="00CA25CF">
            <w:pPr>
              <w:rPr>
                <w:rFonts w:cs="Arial"/>
                <w:color w:val="FF0000"/>
                <w:sz w:val="21"/>
                <w:szCs w:val="21"/>
              </w:rPr>
            </w:pPr>
          </w:p>
        </w:tc>
        <w:tc>
          <w:tcPr>
            <w:tcW w:w="217" w:type="dxa"/>
          </w:tcPr>
          <w:p w14:paraId="3603F70D" w14:textId="77777777" w:rsidR="002C0FD9" w:rsidRPr="00CA25CF" w:rsidRDefault="002C0FD9" w:rsidP="00CA25CF">
            <w:pPr>
              <w:rPr>
                <w:rFonts w:cs="Arial"/>
                <w:color w:val="FF0000"/>
                <w:sz w:val="21"/>
                <w:szCs w:val="21"/>
              </w:rPr>
            </w:pPr>
          </w:p>
        </w:tc>
        <w:tc>
          <w:tcPr>
            <w:tcW w:w="217" w:type="dxa"/>
          </w:tcPr>
          <w:p w14:paraId="512977C0" w14:textId="77777777" w:rsidR="002C0FD9" w:rsidRPr="00CA25CF" w:rsidRDefault="002C0FD9" w:rsidP="00CA25CF">
            <w:pPr>
              <w:rPr>
                <w:rFonts w:cs="Arial"/>
                <w:color w:val="FF0000"/>
                <w:sz w:val="21"/>
                <w:szCs w:val="21"/>
              </w:rPr>
            </w:pPr>
          </w:p>
        </w:tc>
        <w:tc>
          <w:tcPr>
            <w:tcW w:w="217" w:type="dxa"/>
          </w:tcPr>
          <w:p w14:paraId="3EE3EC46" w14:textId="77777777" w:rsidR="002C0FD9" w:rsidRPr="00CA25CF" w:rsidRDefault="002C0FD9" w:rsidP="00CA25CF">
            <w:pPr>
              <w:rPr>
                <w:rFonts w:cs="Arial"/>
                <w:color w:val="FF0000"/>
                <w:sz w:val="21"/>
                <w:szCs w:val="21"/>
              </w:rPr>
            </w:pPr>
          </w:p>
        </w:tc>
        <w:tc>
          <w:tcPr>
            <w:tcW w:w="217" w:type="dxa"/>
          </w:tcPr>
          <w:p w14:paraId="48EC0602" w14:textId="77777777" w:rsidR="002C0FD9" w:rsidRPr="00CA25CF" w:rsidRDefault="002C0FD9" w:rsidP="00CA25CF">
            <w:pPr>
              <w:rPr>
                <w:rFonts w:cs="Arial"/>
                <w:color w:val="FF0000"/>
                <w:sz w:val="21"/>
                <w:szCs w:val="21"/>
              </w:rPr>
            </w:pPr>
          </w:p>
        </w:tc>
        <w:tc>
          <w:tcPr>
            <w:tcW w:w="217" w:type="dxa"/>
          </w:tcPr>
          <w:p w14:paraId="21AF46A2" w14:textId="77777777" w:rsidR="002C0FD9" w:rsidRPr="00CA25CF" w:rsidRDefault="002C0FD9" w:rsidP="00CA25CF">
            <w:pPr>
              <w:rPr>
                <w:rFonts w:cs="Arial"/>
                <w:color w:val="FF0000"/>
                <w:sz w:val="21"/>
                <w:szCs w:val="21"/>
              </w:rPr>
            </w:pPr>
          </w:p>
        </w:tc>
        <w:tc>
          <w:tcPr>
            <w:tcW w:w="217" w:type="dxa"/>
          </w:tcPr>
          <w:p w14:paraId="5C356867" w14:textId="77777777" w:rsidR="002C0FD9" w:rsidRPr="00CA25CF" w:rsidRDefault="002C0FD9" w:rsidP="00CA25CF">
            <w:pPr>
              <w:rPr>
                <w:rFonts w:cs="Arial"/>
                <w:color w:val="FF0000"/>
                <w:sz w:val="21"/>
                <w:szCs w:val="21"/>
              </w:rPr>
            </w:pPr>
          </w:p>
        </w:tc>
        <w:tc>
          <w:tcPr>
            <w:tcW w:w="217" w:type="dxa"/>
          </w:tcPr>
          <w:p w14:paraId="07F31010" w14:textId="77777777" w:rsidR="002C0FD9" w:rsidRPr="00CA25CF" w:rsidRDefault="002C0FD9" w:rsidP="00CA25CF">
            <w:pPr>
              <w:rPr>
                <w:rFonts w:cs="Arial"/>
                <w:color w:val="FF0000"/>
                <w:sz w:val="21"/>
                <w:szCs w:val="21"/>
              </w:rPr>
            </w:pPr>
          </w:p>
        </w:tc>
      </w:tr>
      <w:tr w:rsidR="002C0FD9" w:rsidRPr="00A16219" w14:paraId="1D735F46" w14:textId="77777777" w:rsidTr="002C0FD9">
        <w:trPr>
          <w:trHeight w:val="635"/>
        </w:trPr>
        <w:tc>
          <w:tcPr>
            <w:tcW w:w="515" w:type="dxa"/>
          </w:tcPr>
          <w:p w14:paraId="4D423571" w14:textId="77777777" w:rsidR="002C0FD9" w:rsidRPr="00CA25CF" w:rsidRDefault="002C0FD9" w:rsidP="00CA25CF">
            <w:pPr>
              <w:rPr>
                <w:rFonts w:cs="Arial"/>
                <w:color w:val="FF0000"/>
                <w:sz w:val="21"/>
                <w:szCs w:val="21"/>
              </w:rPr>
            </w:pPr>
          </w:p>
        </w:tc>
        <w:tc>
          <w:tcPr>
            <w:tcW w:w="217" w:type="dxa"/>
          </w:tcPr>
          <w:p w14:paraId="00091EA6" w14:textId="77777777" w:rsidR="002C0FD9" w:rsidRPr="00CA25CF" w:rsidRDefault="002C0FD9" w:rsidP="00CA25CF">
            <w:pPr>
              <w:rPr>
                <w:rFonts w:cs="Arial"/>
                <w:color w:val="FF0000"/>
                <w:sz w:val="21"/>
                <w:szCs w:val="21"/>
              </w:rPr>
            </w:pPr>
          </w:p>
        </w:tc>
        <w:tc>
          <w:tcPr>
            <w:tcW w:w="217" w:type="dxa"/>
          </w:tcPr>
          <w:p w14:paraId="78E97DAC" w14:textId="77777777" w:rsidR="002C0FD9" w:rsidRPr="00CA25CF" w:rsidRDefault="002C0FD9" w:rsidP="00CA25CF">
            <w:pPr>
              <w:rPr>
                <w:rFonts w:cs="Arial"/>
                <w:color w:val="FF0000"/>
                <w:sz w:val="21"/>
                <w:szCs w:val="21"/>
              </w:rPr>
            </w:pPr>
          </w:p>
        </w:tc>
        <w:tc>
          <w:tcPr>
            <w:tcW w:w="217" w:type="dxa"/>
          </w:tcPr>
          <w:p w14:paraId="3087389B" w14:textId="77777777" w:rsidR="002C0FD9" w:rsidRPr="00CA25CF" w:rsidRDefault="002C0FD9" w:rsidP="00CA25CF">
            <w:pPr>
              <w:rPr>
                <w:rFonts w:cs="Arial"/>
                <w:color w:val="FF0000"/>
                <w:sz w:val="21"/>
                <w:szCs w:val="21"/>
              </w:rPr>
            </w:pPr>
          </w:p>
        </w:tc>
        <w:tc>
          <w:tcPr>
            <w:tcW w:w="217" w:type="dxa"/>
          </w:tcPr>
          <w:p w14:paraId="4E9362DB" w14:textId="77777777" w:rsidR="002C0FD9" w:rsidRPr="00CA25CF" w:rsidRDefault="002C0FD9" w:rsidP="00CA25CF">
            <w:pPr>
              <w:rPr>
                <w:rFonts w:cs="Arial"/>
                <w:color w:val="FF0000"/>
                <w:sz w:val="21"/>
                <w:szCs w:val="21"/>
              </w:rPr>
            </w:pPr>
          </w:p>
        </w:tc>
        <w:tc>
          <w:tcPr>
            <w:tcW w:w="217" w:type="dxa"/>
          </w:tcPr>
          <w:p w14:paraId="07444F84" w14:textId="77777777" w:rsidR="002C0FD9" w:rsidRPr="00CA25CF" w:rsidRDefault="002C0FD9" w:rsidP="00CA25CF">
            <w:pPr>
              <w:rPr>
                <w:rFonts w:cs="Arial"/>
                <w:color w:val="FF0000"/>
                <w:sz w:val="21"/>
                <w:szCs w:val="21"/>
              </w:rPr>
            </w:pPr>
          </w:p>
        </w:tc>
        <w:tc>
          <w:tcPr>
            <w:tcW w:w="217" w:type="dxa"/>
          </w:tcPr>
          <w:p w14:paraId="62AB3A44" w14:textId="77777777" w:rsidR="002C0FD9" w:rsidRPr="00CA25CF" w:rsidRDefault="002C0FD9" w:rsidP="00CA25CF">
            <w:pPr>
              <w:rPr>
                <w:rFonts w:cs="Arial"/>
                <w:color w:val="FF0000"/>
                <w:sz w:val="21"/>
                <w:szCs w:val="21"/>
              </w:rPr>
            </w:pPr>
          </w:p>
        </w:tc>
        <w:tc>
          <w:tcPr>
            <w:tcW w:w="217" w:type="dxa"/>
          </w:tcPr>
          <w:p w14:paraId="5DE72F33" w14:textId="77777777" w:rsidR="002C0FD9" w:rsidRPr="00CA25CF" w:rsidRDefault="002C0FD9" w:rsidP="00CA25CF">
            <w:pPr>
              <w:rPr>
                <w:rFonts w:cs="Arial"/>
                <w:color w:val="FF0000"/>
                <w:sz w:val="21"/>
                <w:szCs w:val="21"/>
              </w:rPr>
            </w:pPr>
          </w:p>
        </w:tc>
        <w:tc>
          <w:tcPr>
            <w:tcW w:w="217" w:type="dxa"/>
          </w:tcPr>
          <w:p w14:paraId="090A91F8" w14:textId="77777777" w:rsidR="002C0FD9" w:rsidRPr="00CA25CF" w:rsidRDefault="002C0FD9" w:rsidP="00CA25CF">
            <w:pPr>
              <w:rPr>
                <w:rFonts w:cs="Arial"/>
                <w:color w:val="FF0000"/>
                <w:sz w:val="21"/>
                <w:szCs w:val="21"/>
              </w:rPr>
            </w:pPr>
          </w:p>
        </w:tc>
        <w:tc>
          <w:tcPr>
            <w:tcW w:w="217" w:type="dxa"/>
          </w:tcPr>
          <w:p w14:paraId="758E93C8" w14:textId="77777777" w:rsidR="002C0FD9" w:rsidRPr="00CA25CF" w:rsidRDefault="002C0FD9" w:rsidP="00CA25CF">
            <w:pPr>
              <w:rPr>
                <w:rFonts w:cs="Arial"/>
                <w:color w:val="FF0000"/>
                <w:sz w:val="21"/>
                <w:szCs w:val="21"/>
              </w:rPr>
            </w:pPr>
          </w:p>
        </w:tc>
        <w:tc>
          <w:tcPr>
            <w:tcW w:w="217" w:type="dxa"/>
          </w:tcPr>
          <w:p w14:paraId="79C864CD" w14:textId="77777777" w:rsidR="002C0FD9" w:rsidRPr="00CA25CF" w:rsidRDefault="002C0FD9" w:rsidP="00CA25CF">
            <w:pPr>
              <w:rPr>
                <w:rFonts w:cs="Arial"/>
                <w:color w:val="FF0000"/>
                <w:sz w:val="21"/>
                <w:szCs w:val="21"/>
              </w:rPr>
            </w:pPr>
          </w:p>
        </w:tc>
        <w:tc>
          <w:tcPr>
            <w:tcW w:w="217" w:type="dxa"/>
          </w:tcPr>
          <w:p w14:paraId="17D00423" w14:textId="77777777" w:rsidR="002C0FD9" w:rsidRPr="00CA25CF" w:rsidRDefault="002C0FD9" w:rsidP="00CA25CF">
            <w:pPr>
              <w:rPr>
                <w:rFonts w:cs="Arial"/>
                <w:color w:val="FF0000"/>
                <w:sz w:val="21"/>
                <w:szCs w:val="21"/>
              </w:rPr>
            </w:pPr>
          </w:p>
        </w:tc>
        <w:tc>
          <w:tcPr>
            <w:tcW w:w="217" w:type="dxa"/>
          </w:tcPr>
          <w:p w14:paraId="223B6957" w14:textId="77777777" w:rsidR="002C0FD9" w:rsidRPr="00CA25CF" w:rsidRDefault="002C0FD9" w:rsidP="00CA25CF">
            <w:pPr>
              <w:rPr>
                <w:rFonts w:cs="Arial"/>
                <w:color w:val="FF0000"/>
                <w:sz w:val="21"/>
                <w:szCs w:val="21"/>
              </w:rPr>
            </w:pPr>
          </w:p>
        </w:tc>
        <w:tc>
          <w:tcPr>
            <w:tcW w:w="217" w:type="dxa"/>
          </w:tcPr>
          <w:p w14:paraId="5C44F20A" w14:textId="77777777" w:rsidR="002C0FD9" w:rsidRPr="00CA25CF" w:rsidRDefault="002C0FD9" w:rsidP="00CA25CF">
            <w:pPr>
              <w:rPr>
                <w:rFonts w:cs="Arial"/>
                <w:color w:val="FF0000"/>
                <w:sz w:val="21"/>
                <w:szCs w:val="21"/>
              </w:rPr>
            </w:pPr>
          </w:p>
        </w:tc>
        <w:tc>
          <w:tcPr>
            <w:tcW w:w="217" w:type="dxa"/>
          </w:tcPr>
          <w:p w14:paraId="5C0655C1" w14:textId="77777777" w:rsidR="002C0FD9" w:rsidRPr="00CA25CF" w:rsidRDefault="002C0FD9" w:rsidP="00CA25CF">
            <w:pPr>
              <w:rPr>
                <w:rFonts w:cs="Arial"/>
                <w:color w:val="FF0000"/>
                <w:sz w:val="21"/>
                <w:szCs w:val="21"/>
              </w:rPr>
            </w:pPr>
          </w:p>
        </w:tc>
        <w:tc>
          <w:tcPr>
            <w:tcW w:w="217" w:type="dxa"/>
          </w:tcPr>
          <w:p w14:paraId="7A14AB12" w14:textId="77777777" w:rsidR="002C0FD9" w:rsidRPr="00CA25CF" w:rsidRDefault="002C0FD9" w:rsidP="00CA25CF">
            <w:pPr>
              <w:rPr>
                <w:rFonts w:cs="Arial"/>
                <w:color w:val="FF0000"/>
                <w:sz w:val="21"/>
                <w:szCs w:val="21"/>
              </w:rPr>
            </w:pPr>
          </w:p>
        </w:tc>
        <w:tc>
          <w:tcPr>
            <w:tcW w:w="217" w:type="dxa"/>
          </w:tcPr>
          <w:p w14:paraId="05F3C934" w14:textId="77777777" w:rsidR="002C0FD9" w:rsidRPr="00CA25CF" w:rsidRDefault="002C0FD9" w:rsidP="00CA25CF">
            <w:pPr>
              <w:rPr>
                <w:rFonts w:cs="Arial"/>
                <w:color w:val="FF0000"/>
                <w:sz w:val="21"/>
                <w:szCs w:val="21"/>
              </w:rPr>
            </w:pPr>
          </w:p>
        </w:tc>
        <w:tc>
          <w:tcPr>
            <w:tcW w:w="217" w:type="dxa"/>
          </w:tcPr>
          <w:p w14:paraId="747A8683" w14:textId="77777777" w:rsidR="002C0FD9" w:rsidRPr="00CA25CF" w:rsidRDefault="002C0FD9" w:rsidP="00CA25CF">
            <w:pPr>
              <w:rPr>
                <w:rFonts w:cs="Arial"/>
                <w:color w:val="FF0000"/>
                <w:sz w:val="21"/>
                <w:szCs w:val="21"/>
              </w:rPr>
            </w:pPr>
          </w:p>
        </w:tc>
        <w:tc>
          <w:tcPr>
            <w:tcW w:w="217" w:type="dxa"/>
          </w:tcPr>
          <w:p w14:paraId="1B873964" w14:textId="77777777" w:rsidR="002C0FD9" w:rsidRPr="00CA25CF" w:rsidRDefault="002C0FD9" w:rsidP="00CA25CF">
            <w:pPr>
              <w:rPr>
                <w:rFonts w:cs="Arial"/>
                <w:color w:val="FF0000"/>
                <w:sz w:val="21"/>
                <w:szCs w:val="21"/>
              </w:rPr>
            </w:pPr>
          </w:p>
        </w:tc>
        <w:tc>
          <w:tcPr>
            <w:tcW w:w="217" w:type="dxa"/>
          </w:tcPr>
          <w:p w14:paraId="2DB17716" w14:textId="77777777" w:rsidR="002C0FD9" w:rsidRPr="00CA25CF" w:rsidRDefault="002C0FD9" w:rsidP="00CA25CF">
            <w:pPr>
              <w:rPr>
                <w:rFonts w:cs="Arial"/>
                <w:color w:val="FF0000"/>
                <w:sz w:val="21"/>
                <w:szCs w:val="21"/>
              </w:rPr>
            </w:pPr>
          </w:p>
        </w:tc>
        <w:tc>
          <w:tcPr>
            <w:tcW w:w="217" w:type="dxa"/>
          </w:tcPr>
          <w:p w14:paraId="0C3264F5" w14:textId="77777777" w:rsidR="002C0FD9" w:rsidRPr="00CA25CF" w:rsidRDefault="002C0FD9" w:rsidP="00CA25CF">
            <w:pPr>
              <w:rPr>
                <w:rFonts w:cs="Arial"/>
                <w:color w:val="FF0000"/>
                <w:sz w:val="21"/>
                <w:szCs w:val="21"/>
              </w:rPr>
            </w:pPr>
          </w:p>
        </w:tc>
        <w:tc>
          <w:tcPr>
            <w:tcW w:w="217" w:type="dxa"/>
          </w:tcPr>
          <w:p w14:paraId="0457B5F1" w14:textId="77777777" w:rsidR="002C0FD9" w:rsidRPr="00CA25CF" w:rsidRDefault="002C0FD9" w:rsidP="00CA25CF">
            <w:pPr>
              <w:rPr>
                <w:rFonts w:cs="Arial"/>
                <w:color w:val="FF0000"/>
                <w:sz w:val="21"/>
                <w:szCs w:val="21"/>
              </w:rPr>
            </w:pPr>
          </w:p>
        </w:tc>
        <w:tc>
          <w:tcPr>
            <w:tcW w:w="217" w:type="dxa"/>
          </w:tcPr>
          <w:p w14:paraId="33EB951A" w14:textId="77777777" w:rsidR="002C0FD9" w:rsidRPr="00CA25CF" w:rsidRDefault="002C0FD9" w:rsidP="00CA25CF">
            <w:pPr>
              <w:rPr>
                <w:rFonts w:cs="Arial"/>
                <w:color w:val="FF0000"/>
                <w:sz w:val="21"/>
                <w:szCs w:val="21"/>
              </w:rPr>
            </w:pPr>
          </w:p>
        </w:tc>
        <w:tc>
          <w:tcPr>
            <w:tcW w:w="217" w:type="dxa"/>
          </w:tcPr>
          <w:p w14:paraId="6FC3C2E9" w14:textId="77777777" w:rsidR="002C0FD9" w:rsidRPr="00CA25CF" w:rsidRDefault="002C0FD9" w:rsidP="00CA25CF">
            <w:pPr>
              <w:rPr>
                <w:rFonts w:cs="Arial"/>
                <w:color w:val="FF0000"/>
                <w:sz w:val="21"/>
                <w:szCs w:val="21"/>
              </w:rPr>
            </w:pPr>
          </w:p>
        </w:tc>
        <w:tc>
          <w:tcPr>
            <w:tcW w:w="217" w:type="dxa"/>
          </w:tcPr>
          <w:p w14:paraId="441954E3" w14:textId="77777777" w:rsidR="002C0FD9" w:rsidRPr="00CA25CF" w:rsidRDefault="002C0FD9" w:rsidP="00CA25CF">
            <w:pPr>
              <w:rPr>
                <w:rFonts w:cs="Arial"/>
                <w:color w:val="FF0000"/>
                <w:sz w:val="21"/>
                <w:szCs w:val="21"/>
              </w:rPr>
            </w:pPr>
          </w:p>
        </w:tc>
        <w:tc>
          <w:tcPr>
            <w:tcW w:w="217" w:type="dxa"/>
          </w:tcPr>
          <w:p w14:paraId="1ADA660E" w14:textId="77777777" w:rsidR="002C0FD9" w:rsidRPr="00CA25CF" w:rsidRDefault="002C0FD9" w:rsidP="00CA25CF">
            <w:pPr>
              <w:rPr>
                <w:rFonts w:cs="Arial"/>
                <w:color w:val="FF0000"/>
                <w:sz w:val="21"/>
                <w:szCs w:val="21"/>
              </w:rPr>
            </w:pPr>
          </w:p>
        </w:tc>
        <w:tc>
          <w:tcPr>
            <w:tcW w:w="217" w:type="dxa"/>
          </w:tcPr>
          <w:p w14:paraId="4789D58B" w14:textId="77777777" w:rsidR="002C0FD9" w:rsidRPr="00CA25CF" w:rsidRDefault="002C0FD9" w:rsidP="00CA25CF">
            <w:pPr>
              <w:rPr>
                <w:rFonts w:cs="Arial"/>
                <w:color w:val="FF0000"/>
                <w:sz w:val="21"/>
                <w:szCs w:val="21"/>
              </w:rPr>
            </w:pPr>
          </w:p>
        </w:tc>
        <w:tc>
          <w:tcPr>
            <w:tcW w:w="217" w:type="dxa"/>
          </w:tcPr>
          <w:p w14:paraId="0DD200A7" w14:textId="77777777" w:rsidR="002C0FD9" w:rsidRPr="00CA25CF" w:rsidRDefault="002C0FD9" w:rsidP="00CA25CF">
            <w:pPr>
              <w:rPr>
                <w:rFonts w:cs="Arial"/>
                <w:color w:val="FF0000"/>
                <w:sz w:val="21"/>
                <w:szCs w:val="21"/>
              </w:rPr>
            </w:pPr>
          </w:p>
        </w:tc>
        <w:tc>
          <w:tcPr>
            <w:tcW w:w="217" w:type="dxa"/>
          </w:tcPr>
          <w:p w14:paraId="4C6FC143" w14:textId="77777777" w:rsidR="002C0FD9" w:rsidRPr="00CA25CF" w:rsidRDefault="002C0FD9" w:rsidP="00CA25CF">
            <w:pPr>
              <w:rPr>
                <w:rFonts w:cs="Arial"/>
                <w:color w:val="FF0000"/>
                <w:sz w:val="21"/>
                <w:szCs w:val="21"/>
              </w:rPr>
            </w:pPr>
          </w:p>
        </w:tc>
        <w:tc>
          <w:tcPr>
            <w:tcW w:w="217" w:type="dxa"/>
          </w:tcPr>
          <w:p w14:paraId="765602D3" w14:textId="77777777" w:rsidR="002C0FD9" w:rsidRPr="00CA25CF" w:rsidRDefault="002C0FD9" w:rsidP="00CA25CF">
            <w:pPr>
              <w:rPr>
                <w:rFonts w:cs="Arial"/>
                <w:color w:val="FF0000"/>
                <w:sz w:val="21"/>
                <w:szCs w:val="21"/>
              </w:rPr>
            </w:pPr>
          </w:p>
        </w:tc>
        <w:tc>
          <w:tcPr>
            <w:tcW w:w="217" w:type="dxa"/>
          </w:tcPr>
          <w:p w14:paraId="5CB75089" w14:textId="77777777" w:rsidR="002C0FD9" w:rsidRPr="00CA25CF" w:rsidRDefault="002C0FD9" w:rsidP="00CA25CF">
            <w:pPr>
              <w:rPr>
                <w:rFonts w:cs="Arial"/>
                <w:color w:val="FF0000"/>
                <w:sz w:val="21"/>
                <w:szCs w:val="21"/>
              </w:rPr>
            </w:pPr>
          </w:p>
        </w:tc>
        <w:tc>
          <w:tcPr>
            <w:tcW w:w="217" w:type="dxa"/>
          </w:tcPr>
          <w:p w14:paraId="7F998995" w14:textId="77777777" w:rsidR="002C0FD9" w:rsidRPr="00CA25CF" w:rsidRDefault="002C0FD9" w:rsidP="00CA25CF">
            <w:pPr>
              <w:rPr>
                <w:rFonts w:cs="Arial"/>
                <w:color w:val="FF0000"/>
                <w:sz w:val="21"/>
                <w:szCs w:val="21"/>
              </w:rPr>
            </w:pPr>
          </w:p>
        </w:tc>
        <w:tc>
          <w:tcPr>
            <w:tcW w:w="217" w:type="dxa"/>
          </w:tcPr>
          <w:p w14:paraId="404015F6" w14:textId="77777777" w:rsidR="002C0FD9" w:rsidRPr="00CA25CF" w:rsidRDefault="002C0FD9" w:rsidP="00CA25CF">
            <w:pPr>
              <w:rPr>
                <w:rFonts w:cs="Arial"/>
                <w:color w:val="FF0000"/>
                <w:sz w:val="21"/>
                <w:szCs w:val="21"/>
              </w:rPr>
            </w:pPr>
          </w:p>
        </w:tc>
        <w:tc>
          <w:tcPr>
            <w:tcW w:w="217" w:type="dxa"/>
          </w:tcPr>
          <w:p w14:paraId="7597495E" w14:textId="77777777" w:rsidR="002C0FD9" w:rsidRPr="00CA25CF" w:rsidRDefault="002C0FD9" w:rsidP="00CA25CF">
            <w:pPr>
              <w:rPr>
                <w:rFonts w:cs="Arial"/>
                <w:color w:val="FF0000"/>
                <w:sz w:val="21"/>
                <w:szCs w:val="21"/>
              </w:rPr>
            </w:pPr>
          </w:p>
        </w:tc>
        <w:tc>
          <w:tcPr>
            <w:tcW w:w="217" w:type="dxa"/>
          </w:tcPr>
          <w:p w14:paraId="47E69488" w14:textId="77777777" w:rsidR="002C0FD9" w:rsidRPr="00CA25CF" w:rsidRDefault="002C0FD9" w:rsidP="00CA25CF">
            <w:pPr>
              <w:rPr>
                <w:rFonts w:cs="Arial"/>
                <w:color w:val="FF0000"/>
                <w:sz w:val="21"/>
                <w:szCs w:val="21"/>
              </w:rPr>
            </w:pPr>
          </w:p>
        </w:tc>
        <w:tc>
          <w:tcPr>
            <w:tcW w:w="217" w:type="dxa"/>
          </w:tcPr>
          <w:p w14:paraId="73DD0922" w14:textId="77777777" w:rsidR="002C0FD9" w:rsidRPr="00CA25CF" w:rsidRDefault="002C0FD9" w:rsidP="00CA25CF">
            <w:pPr>
              <w:rPr>
                <w:rFonts w:cs="Arial"/>
                <w:color w:val="FF0000"/>
                <w:sz w:val="21"/>
                <w:szCs w:val="21"/>
              </w:rPr>
            </w:pPr>
          </w:p>
        </w:tc>
        <w:tc>
          <w:tcPr>
            <w:tcW w:w="217" w:type="dxa"/>
          </w:tcPr>
          <w:p w14:paraId="01B4547E" w14:textId="77777777" w:rsidR="002C0FD9" w:rsidRPr="00CA25CF" w:rsidRDefault="002C0FD9" w:rsidP="00CA25CF">
            <w:pPr>
              <w:rPr>
                <w:rFonts w:cs="Arial"/>
                <w:color w:val="FF0000"/>
                <w:sz w:val="21"/>
                <w:szCs w:val="21"/>
              </w:rPr>
            </w:pPr>
          </w:p>
        </w:tc>
        <w:tc>
          <w:tcPr>
            <w:tcW w:w="217" w:type="dxa"/>
          </w:tcPr>
          <w:p w14:paraId="7E1A11E7" w14:textId="77777777" w:rsidR="002C0FD9" w:rsidRPr="00CA25CF" w:rsidRDefault="002C0FD9" w:rsidP="00CA25CF">
            <w:pPr>
              <w:rPr>
                <w:rFonts w:cs="Arial"/>
                <w:color w:val="FF0000"/>
                <w:sz w:val="21"/>
                <w:szCs w:val="21"/>
              </w:rPr>
            </w:pPr>
          </w:p>
        </w:tc>
        <w:tc>
          <w:tcPr>
            <w:tcW w:w="217" w:type="dxa"/>
          </w:tcPr>
          <w:p w14:paraId="492DCA99" w14:textId="77777777" w:rsidR="002C0FD9" w:rsidRPr="00CA25CF" w:rsidRDefault="002C0FD9" w:rsidP="00CA25CF">
            <w:pPr>
              <w:rPr>
                <w:rFonts w:cs="Arial"/>
                <w:color w:val="FF0000"/>
                <w:sz w:val="21"/>
                <w:szCs w:val="21"/>
              </w:rPr>
            </w:pPr>
          </w:p>
        </w:tc>
        <w:tc>
          <w:tcPr>
            <w:tcW w:w="217" w:type="dxa"/>
          </w:tcPr>
          <w:p w14:paraId="7CC22DC3" w14:textId="77777777" w:rsidR="002C0FD9" w:rsidRPr="00CA25CF" w:rsidRDefault="002C0FD9" w:rsidP="00CA25CF">
            <w:pPr>
              <w:rPr>
                <w:rFonts w:cs="Arial"/>
                <w:color w:val="FF0000"/>
                <w:sz w:val="21"/>
                <w:szCs w:val="21"/>
              </w:rPr>
            </w:pPr>
          </w:p>
        </w:tc>
        <w:tc>
          <w:tcPr>
            <w:tcW w:w="217" w:type="dxa"/>
          </w:tcPr>
          <w:p w14:paraId="40629E68" w14:textId="77777777" w:rsidR="002C0FD9" w:rsidRPr="00CA25CF" w:rsidRDefault="002C0FD9" w:rsidP="00CA25CF">
            <w:pPr>
              <w:rPr>
                <w:rFonts w:cs="Arial"/>
                <w:color w:val="FF0000"/>
                <w:sz w:val="21"/>
                <w:szCs w:val="21"/>
              </w:rPr>
            </w:pPr>
          </w:p>
        </w:tc>
        <w:tc>
          <w:tcPr>
            <w:tcW w:w="217" w:type="dxa"/>
          </w:tcPr>
          <w:p w14:paraId="2263CC55" w14:textId="77777777" w:rsidR="002C0FD9" w:rsidRPr="00CA25CF" w:rsidRDefault="002C0FD9" w:rsidP="00CA25CF">
            <w:pPr>
              <w:rPr>
                <w:rFonts w:cs="Arial"/>
                <w:color w:val="FF0000"/>
                <w:sz w:val="21"/>
                <w:szCs w:val="21"/>
              </w:rPr>
            </w:pPr>
          </w:p>
        </w:tc>
        <w:tc>
          <w:tcPr>
            <w:tcW w:w="217" w:type="dxa"/>
          </w:tcPr>
          <w:p w14:paraId="69A29678" w14:textId="77777777" w:rsidR="002C0FD9" w:rsidRPr="00CA25CF" w:rsidRDefault="002C0FD9" w:rsidP="00CA25CF">
            <w:pPr>
              <w:rPr>
                <w:rFonts w:cs="Arial"/>
                <w:color w:val="FF0000"/>
                <w:sz w:val="21"/>
                <w:szCs w:val="21"/>
              </w:rPr>
            </w:pPr>
          </w:p>
        </w:tc>
      </w:tr>
      <w:tr w:rsidR="002C0FD9" w:rsidRPr="00A16219" w14:paraId="6F9F5CEB" w14:textId="77777777" w:rsidTr="002C0FD9">
        <w:trPr>
          <w:trHeight w:val="635"/>
        </w:trPr>
        <w:tc>
          <w:tcPr>
            <w:tcW w:w="515" w:type="dxa"/>
          </w:tcPr>
          <w:p w14:paraId="6E1AC68F" w14:textId="77777777" w:rsidR="002C0FD9" w:rsidRPr="00CA25CF" w:rsidRDefault="002C0FD9" w:rsidP="00CA25CF">
            <w:pPr>
              <w:rPr>
                <w:rFonts w:cs="Arial"/>
                <w:color w:val="FF0000"/>
                <w:sz w:val="21"/>
                <w:szCs w:val="21"/>
              </w:rPr>
            </w:pPr>
          </w:p>
        </w:tc>
        <w:tc>
          <w:tcPr>
            <w:tcW w:w="217" w:type="dxa"/>
          </w:tcPr>
          <w:p w14:paraId="14405CC1" w14:textId="77777777" w:rsidR="002C0FD9" w:rsidRPr="00CA25CF" w:rsidRDefault="002C0FD9" w:rsidP="00CA25CF">
            <w:pPr>
              <w:rPr>
                <w:rFonts w:cs="Arial"/>
                <w:color w:val="FF0000"/>
                <w:sz w:val="21"/>
                <w:szCs w:val="21"/>
              </w:rPr>
            </w:pPr>
          </w:p>
        </w:tc>
        <w:tc>
          <w:tcPr>
            <w:tcW w:w="217" w:type="dxa"/>
          </w:tcPr>
          <w:p w14:paraId="043314E2" w14:textId="77777777" w:rsidR="002C0FD9" w:rsidRPr="00CA25CF" w:rsidRDefault="002C0FD9" w:rsidP="00CA25CF">
            <w:pPr>
              <w:rPr>
                <w:rFonts w:cs="Arial"/>
                <w:color w:val="FF0000"/>
                <w:sz w:val="21"/>
                <w:szCs w:val="21"/>
              </w:rPr>
            </w:pPr>
          </w:p>
        </w:tc>
        <w:tc>
          <w:tcPr>
            <w:tcW w:w="217" w:type="dxa"/>
          </w:tcPr>
          <w:p w14:paraId="36B4E17E" w14:textId="77777777" w:rsidR="002C0FD9" w:rsidRPr="00CA25CF" w:rsidRDefault="002C0FD9" w:rsidP="00CA25CF">
            <w:pPr>
              <w:rPr>
                <w:rFonts w:cs="Arial"/>
                <w:color w:val="FF0000"/>
                <w:sz w:val="21"/>
                <w:szCs w:val="21"/>
              </w:rPr>
            </w:pPr>
          </w:p>
        </w:tc>
        <w:tc>
          <w:tcPr>
            <w:tcW w:w="217" w:type="dxa"/>
          </w:tcPr>
          <w:p w14:paraId="543B6BE0" w14:textId="77777777" w:rsidR="002C0FD9" w:rsidRPr="00CA25CF" w:rsidRDefault="002C0FD9" w:rsidP="00CA25CF">
            <w:pPr>
              <w:rPr>
                <w:rFonts w:cs="Arial"/>
                <w:color w:val="FF0000"/>
                <w:sz w:val="21"/>
                <w:szCs w:val="21"/>
              </w:rPr>
            </w:pPr>
          </w:p>
        </w:tc>
        <w:tc>
          <w:tcPr>
            <w:tcW w:w="217" w:type="dxa"/>
          </w:tcPr>
          <w:p w14:paraId="06A646B2" w14:textId="77777777" w:rsidR="002C0FD9" w:rsidRPr="00CA25CF" w:rsidRDefault="002C0FD9" w:rsidP="00CA25CF">
            <w:pPr>
              <w:rPr>
                <w:rFonts w:cs="Arial"/>
                <w:color w:val="FF0000"/>
                <w:sz w:val="21"/>
                <w:szCs w:val="21"/>
              </w:rPr>
            </w:pPr>
          </w:p>
        </w:tc>
        <w:tc>
          <w:tcPr>
            <w:tcW w:w="217" w:type="dxa"/>
          </w:tcPr>
          <w:p w14:paraId="33F2D7BB" w14:textId="77777777" w:rsidR="002C0FD9" w:rsidRPr="00CA25CF" w:rsidRDefault="002C0FD9" w:rsidP="00CA25CF">
            <w:pPr>
              <w:rPr>
                <w:rFonts w:cs="Arial"/>
                <w:color w:val="FF0000"/>
                <w:sz w:val="21"/>
                <w:szCs w:val="21"/>
              </w:rPr>
            </w:pPr>
          </w:p>
        </w:tc>
        <w:tc>
          <w:tcPr>
            <w:tcW w:w="217" w:type="dxa"/>
          </w:tcPr>
          <w:p w14:paraId="064AFC33" w14:textId="77777777" w:rsidR="002C0FD9" w:rsidRPr="00CA25CF" w:rsidRDefault="002C0FD9" w:rsidP="00CA25CF">
            <w:pPr>
              <w:rPr>
                <w:rFonts w:cs="Arial"/>
                <w:color w:val="FF0000"/>
                <w:sz w:val="21"/>
                <w:szCs w:val="21"/>
              </w:rPr>
            </w:pPr>
          </w:p>
        </w:tc>
        <w:tc>
          <w:tcPr>
            <w:tcW w:w="217" w:type="dxa"/>
          </w:tcPr>
          <w:p w14:paraId="05B9ED26" w14:textId="77777777" w:rsidR="002C0FD9" w:rsidRPr="00CA25CF" w:rsidRDefault="002C0FD9" w:rsidP="00CA25CF">
            <w:pPr>
              <w:rPr>
                <w:rFonts w:cs="Arial"/>
                <w:color w:val="FF0000"/>
                <w:sz w:val="21"/>
                <w:szCs w:val="21"/>
              </w:rPr>
            </w:pPr>
          </w:p>
        </w:tc>
        <w:tc>
          <w:tcPr>
            <w:tcW w:w="217" w:type="dxa"/>
          </w:tcPr>
          <w:p w14:paraId="48CB7C42" w14:textId="77777777" w:rsidR="002C0FD9" w:rsidRPr="00CA25CF" w:rsidRDefault="002C0FD9" w:rsidP="00CA25CF">
            <w:pPr>
              <w:rPr>
                <w:rFonts w:cs="Arial"/>
                <w:color w:val="FF0000"/>
                <w:sz w:val="21"/>
                <w:szCs w:val="21"/>
              </w:rPr>
            </w:pPr>
          </w:p>
        </w:tc>
        <w:tc>
          <w:tcPr>
            <w:tcW w:w="217" w:type="dxa"/>
          </w:tcPr>
          <w:p w14:paraId="416AC552" w14:textId="77777777" w:rsidR="002C0FD9" w:rsidRPr="00CA25CF" w:rsidRDefault="002C0FD9" w:rsidP="00CA25CF">
            <w:pPr>
              <w:rPr>
                <w:rFonts w:cs="Arial"/>
                <w:color w:val="FF0000"/>
                <w:sz w:val="21"/>
                <w:szCs w:val="21"/>
              </w:rPr>
            </w:pPr>
          </w:p>
        </w:tc>
        <w:tc>
          <w:tcPr>
            <w:tcW w:w="217" w:type="dxa"/>
          </w:tcPr>
          <w:p w14:paraId="3820B05C" w14:textId="77777777" w:rsidR="002C0FD9" w:rsidRPr="00CA25CF" w:rsidRDefault="002C0FD9" w:rsidP="00CA25CF">
            <w:pPr>
              <w:rPr>
                <w:rFonts w:cs="Arial"/>
                <w:color w:val="FF0000"/>
                <w:sz w:val="21"/>
                <w:szCs w:val="21"/>
              </w:rPr>
            </w:pPr>
          </w:p>
        </w:tc>
        <w:tc>
          <w:tcPr>
            <w:tcW w:w="217" w:type="dxa"/>
          </w:tcPr>
          <w:p w14:paraId="591A7D88" w14:textId="77777777" w:rsidR="002C0FD9" w:rsidRPr="00CA25CF" w:rsidRDefault="002C0FD9" w:rsidP="00CA25CF">
            <w:pPr>
              <w:rPr>
                <w:rFonts w:cs="Arial"/>
                <w:color w:val="FF0000"/>
                <w:sz w:val="21"/>
                <w:szCs w:val="21"/>
              </w:rPr>
            </w:pPr>
          </w:p>
        </w:tc>
        <w:tc>
          <w:tcPr>
            <w:tcW w:w="217" w:type="dxa"/>
          </w:tcPr>
          <w:p w14:paraId="684EA884" w14:textId="77777777" w:rsidR="002C0FD9" w:rsidRPr="00CA25CF" w:rsidRDefault="002C0FD9" w:rsidP="00CA25CF">
            <w:pPr>
              <w:rPr>
                <w:rFonts w:cs="Arial"/>
                <w:color w:val="FF0000"/>
                <w:sz w:val="21"/>
                <w:szCs w:val="21"/>
              </w:rPr>
            </w:pPr>
          </w:p>
        </w:tc>
        <w:tc>
          <w:tcPr>
            <w:tcW w:w="217" w:type="dxa"/>
          </w:tcPr>
          <w:p w14:paraId="2CA3AF30" w14:textId="77777777" w:rsidR="002C0FD9" w:rsidRPr="00CA25CF" w:rsidRDefault="002C0FD9" w:rsidP="00CA25CF">
            <w:pPr>
              <w:rPr>
                <w:rFonts w:cs="Arial"/>
                <w:color w:val="FF0000"/>
                <w:sz w:val="21"/>
                <w:szCs w:val="21"/>
              </w:rPr>
            </w:pPr>
          </w:p>
        </w:tc>
        <w:tc>
          <w:tcPr>
            <w:tcW w:w="217" w:type="dxa"/>
          </w:tcPr>
          <w:p w14:paraId="1E84991C" w14:textId="77777777" w:rsidR="002C0FD9" w:rsidRPr="00CA25CF" w:rsidRDefault="002C0FD9" w:rsidP="00CA25CF">
            <w:pPr>
              <w:rPr>
                <w:rFonts w:cs="Arial"/>
                <w:color w:val="FF0000"/>
                <w:sz w:val="21"/>
                <w:szCs w:val="21"/>
              </w:rPr>
            </w:pPr>
          </w:p>
        </w:tc>
        <w:tc>
          <w:tcPr>
            <w:tcW w:w="217" w:type="dxa"/>
          </w:tcPr>
          <w:p w14:paraId="5FF28463" w14:textId="77777777" w:rsidR="002C0FD9" w:rsidRPr="00CA25CF" w:rsidRDefault="002C0FD9" w:rsidP="00CA25CF">
            <w:pPr>
              <w:rPr>
                <w:rFonts w:cs="Arial"/>
                <w:color w:val="FF0000"/>
                <w:sz w:val="21"/>
                <w:szCs w:val="21"/>
              </w:rPr>
            </w:pPr>
          </w:p>
        </w:tc>
        <w:tc>
          <w:tcPr>
            <w:tcW w:w="217" w:type="dxa"/>
          </w:tcPr>
          <w:p w14:paraId="75CDB329" w14:textId="77777777" w:rsidR="002C0FD9" w:rsidRPr="00CA25CF" w:rsidRDefault="002C0FD9" w:rsidP="00CA25CF">
            <w:pPr>
              <w:rPr>
                <w:rFonts w:cs="Arial"/>
                <w:color w:val="FF0000"/>
                <w:sz w:val="21"/>
                <w:szCs w:val="21"/>
              </w:rPr>
            </w:pPr>
          </w:p>
        </w:tc>
        <w:tc>
          <w:tcPr>
            <w:tcW w:w="217" w:type="dxa"/>
          </w:tcPr>
          <w:p w14:paraId="6F5F2CFE" w14:textId="77777777" w:rsidR="002C0FD9" w:rsidRPr="00CA25CF" w:rsidRDefault="002C0FD9" w:rsidP="00CA25CF">
            <w:pPr>
              <w:rPr>
                <w:rFonts w:cs="Arial"/>
                <w:color w:val="FF0000"/>
                <w:sz w:val="21"/>
                <w:szCs w:val="21"/>
              </w:rPr>
            </w:pPr>
          </w:p>
        </w:tc>
        <w:tc>
          <w:tcPr>
            <w:tcW w:w="217" w:type="dxa"/>
          </w:tcPr>
          <w:p w14:paraId="314E0B47" w14:textId="77777777" w:rsidR="002C0FD9" w:rsidRPr="00CA25CF" w:rsidRDefault="002C0FD9" w:rsidP="00CA25CF">
            <w:pPr>
              <w:rPr>
                <w:rFonts w:cs="Arial"/>
                <w:color w:val="FF0000"/>
                <w:sz w:val="21"/>
                <w:szCs w:val="21"/>
              </w:rPr>
            </w:pPr>
          </w:p>
        </w:tc>
        <w:tc>
          <w:tcPr>
            <w:tcW w:w="217" w:type="dxa"/>
          </w:tcPr>
          <w:p w14:paraId="1A137824" w14:textId="77777777" w:rsidR="002C0FD9" w:rsidRPr="00CA25CF" w:rsidRDefault="002C0FD9" w:rsidP="00CA25CF">
            <w:pPr>
              <w:rPr>
                <w:rFonts w:cs="Arial"/>
                <w:color w:val="FF0000"/>
                <w:sz w:val="21"/>
                <w:szCs w:val="21"/>
              </w:rPr>
            </w:pPr>
          </w:p>
        </w:tc>
        <w:tc>
          <w:tcPr>
            <w:tcW w:w="217" w:type="dxa"/>
          </w:tcPr>
          <w:p w14:paraId="77F4AC48" w14:textId="77777777" w:rsidR="002C0FD9" w:rsidRPr="00CA25CF" w:rsidRDefault="002C0FD9" w:rsidP="00CA25CF">
            <w:pPr>
              <w:rPr>
                <w:rFonts w:cs="Arial"/>
                <w:color w:val="FF0000"/>
                <w:sz w:val="21"/>
                <w:szCs w:val="21"/>
              </w:rPr>
            </w:pPr>
          </w:p>
        </w:tc>
        <w:tc>
          <w:tcPr>
            <w:tcW w:w="217" w:type="dxa"/>
          </w:tcPr>
          <w:p w14:paraId="008230A2" w14:textId="77777777" w:rsidR="002C0FD9" w:rsidRPr="00CA25CF" w:rsidRDefault="002C0FD9" w:rsidP="00CA25CF">
            <w:pPr>
              <w:rPr>
                <w:rFonts w:cs="Arial"/>
                <w:color w:val="FF0000"/>
                <w:sz w:val="21"/>
                <w:szCs w:val="21"/>
              </w:rPr>
            </w:pPr>
          </w:p>
        </w:tc>
        <w:tc>
          <w:tcPr>
            <w:tcW w:w="217" w:type="dxa"/>
          </w:tcPr>
          <w:p w14:paraId="1D906EAD" w14:textId="77777777" w:rsidR="002C0FD9" w:rsidRPr="00CA25CF" w:rsidRDefault="002C0FD9" w:rsidP="00CA25CF">
            <w:pPr>
              <w:rPr>
                <w:rFonts w:cs="Arial"/>
                <w:color w:val="FF0000"/>
                <w:sz w:val="21"/>
                <w:szCs w:val="21"/>
              </w:rPr>
            </w:pPr>
          </w:p>
        </w:tc>
        <w:tc>
          <w:tcPr>
            <w:tcW w:w="217" w:type="dxa"/>
          </w:tcPr>
          <w:p w14:paraId="48F2A2B0" w14:textId="77777777" w:rsidR="002C0FD9" w:rsidRPr="00CA25CF" w:rsidRDefault="002C0FD9" w:rsidP="00CA25CF">
            <w:pPr>
              <w:rPr>
                <w:rFonts w:cs="Arial"/>
                <w:color w:val="FF0000"/>
                <w:sz w:val="21"/>
                <w:szCs w:val="21"/>
              </w:rPr>
            </w:pPr>
          </w:p>
        </w:tc>
        <w:tc>
          <w:tcPr>
            <w:tcW w:w="217" w:type="dxa"/>
          </w:tcPr>
          <w:p w14:paraId="1F5815FD" w14:textId="77777777" w:rsidR="002C0FD9" w:rsidRPr="00CA25CF" w:rsidRDefault="002C0FD9" w:rsidP="00CA25CF">
            <w:pPr>
              <w:rPr>
                <w:rFonts w:cs="Arial"/>
                <w:color w:val="FF0000"/>
                <w:sz w:val="21"/>
                <w:szCs w:val="21"/>
              </w:rPr>
            </w:pPr>
          </w:p>
        </w:tc>
        <w:tc>
          <w:tcPr>
            <w:tcW w:w="217" w:type="dxa"/>
          </w:tcPr>
          <w:p w14:paraId="11505731" w14:textId="77777777" w:rsidR="002C0FD9" w:rsidRPr="00CA25CF" w:rsidRDefault="002C0FD9" w:rsidP="00CA25CF">
            <w:pPr>
              <w:rPr>
                <w:rFonts w:cs="Arial"/>
                <w:color w:val="FF0000"/>
                <w:sz w:val="21"/>
                <w:szCs w:val="21"/>
              </w:rPr>
            </w:pPr>
          </w:p>
        </w:tc>
        <w:tc>
          <w:tcPr>
            <w:tcW w:w="217" w:type="dxa"/>
          </w:tcPr>
          <w:p w14:paraId="522DA2D4" w14:textId="77777777" w:rsidR="002C0FD9" w:rsidRPr="00CA25CF" w:rsidRDefault="002C0FD9" w:rsidP="00CA25CF">
            <w:pPr>
              <w:rPr>
                <w:rFonts w:cs="Arial"/>
                <w:color w:val="FF0000"/>
                <w:sz w:val="21"/>
                <w:szCs w:val="21"/>
              </w:rPr>
            </w:pPr>
          </w:p>
        </w:tc>
        <w:tc>
          <w:tcPr>
            <w:tcW w:w="217" w:type="dxa"/>
          </w:tcPr>
          <w:p w14:paraId="3BCC896A" w14:textId="77777777" w:rsidR="002C0FD9" w:rsidRPr="00CA25CF" w:rsidRDefault="002C0FD9" w:rsidP="00CA25CF">
            <w:pPr>
              <w:rPr>
                <w:rFonts w:cs="Arial"/>
                <w:color w:val="FF0000"/>
                <w:sz w:val="21"/>
                <w:szCs w:val="21"/>
              </w:rPr>
            </w:pPr>
          </w:p>
        </w:tc>
        <w:tc>
          <w:tcPr>
            <w:tcW w:w="217" w:type="dxa"/>
          </w:tcPr>
          <w:p w14:paraId="30C07EA7" w14:textId="77777777" w:rsidR="002C0FD9" w:rsidRPr="00CA25CF" w:rsidRDefault="002C0FD9" w:rsidP="00CA25CF">
            <w:pPr>
              <w:rPr>
                <w:rFonts w:cs="Arial"/>
                <w:color w:val="FF0000"/>
                <w:sz w:val="21"/>
                <w:szCs w:val="21"/>
              </w:rPr>
            </w:pPr>
          </w:p>
        </w:tc>
        <w:tc>
          <w:tcPr>
            <w:tcW w:w="217" w:type="dxa"/>
          </w:tcPr>
          <w:p w14:paraId="63C789A8" w14:textId="77777777" w:rsidR="002C0FD9" w:rsidRPr="00CA25CF" w:rsidRDefault="002C0FD9" w:rsidP="00CA25CF">
            <w:pPr>
              <w:rPr>
                <w:rFonts w:cs="Arial"/>
                <w:color w:val="FF0000"/>
                <w:sz w:val="21"/>
                <w:szCs w:val="21"/>
              </w:rPr>
            </w:pPr>
          </w:p>
        </w:tc>
        <w:tc>
          <w:tcPr>
            <w:tcW w:w="217" w:type="dxa"/>
          </w:tcPr>
          <w:p w14:paraId="78F8ECB0" w14:textId="77777777" w:rsidR="002C0FD9" w:rsidRPr="00CA25CF" w:rsidRDefault="002C0FD9" w:rsidP="00CA25CF">
            <w:pPr>
              <w:rPr>
                <w:rFonts w:cs="Arial"/>
                <w:color w:val="FF0000"/>
                <w:sz w:val="21"/>
                <w:szCs w:val="21"/>
              </w:rPr>
            </w:pPr>
          </w:p>
        </w:tc>
        <w:tc>
          <w:tcPr>
            <w:tcW w:w="217" w:type="dxa"/>
          </w:tcPr>
          <w:p w14:paraId="009D030B" w14:textId="77777777" w:rsidR="002C0FD9" w:rsidRPr="00CA25CF" w:rsidRDefault="002C0FD9" w:rsidP="00CA25CF">
            <w:pPr>
              <w:rPr>
                <w:rFonts w:cs="Arial"/>
                <w:color w:val="FF0000"/>
                <w:sz w:val="21"/>
                <w:szCs w:val="21"/>
              </w:rPr>
            </w:pPr>
          </w:p>
        </w:tc>
        <w:tc>
          <w:tcPr>
            <w:tcW w:w="217" w:type="dxa"/>
          </w:tcPr>
          <w:p w14:paraId="228A6E14" w14:textId="77777777" w:rsidR="002C0FD9" w:rsidRPr="00CA25CF" w:rsidRDefault="002C0FD9" w:rsidP="00CA25CF">
            <w:pPr>
              <w:rPr>
                <w:rFonts w:cs="Arial"/>
                <w:color w:val="FF0000"/>
                <w:sz w:val="21"/>
                <w:szCs w:val="21"/>
              </w:rPr>
            </w:pPr>
          </w:p>
        </w:tc>
        <w:tc>
          <w:tcPr>
            <w:tcW w:w="217" w:type="dxa"/>
          </w:tcPr>
          <w:p w14:paraId="33ADA7C5" w14:textId="77777777" w:rsidR="002C0FD9" w:rsidRPr="00CA25CF" w:rsidRDefault="002C0FD9" w:rsidP="00CA25CF">
            <w:pPr>
              <w:rPr>
                <w:rFonts w:cs="Arial"/>
                <w:color w:val="FF0000"/>
                <w:sz w:val="21"/>
                <w:szCs w:val="21"/>
              </w:rPr>
            </w:pPr>
          </w:p>
        </w:tc>
        <w:tc>
          <w:tcPr>
            <w:tcW w:w="217" w:type="dxa"/>
          </w:tcPr>
          <w:p w14:paraId="2809FFE1" w14:textId="77777777" w:rsidR="002C0FD9" w:rsidRPr="00CA25CF" w:rsidRDefault="002C0FD9" w:rsidP="00CA25CF">
            <w:pPr>
              <w:rPr>
                <w:rFonts w:cs="Arial"/>
                <w:color w:val="FF0000"/>
                <w:sz w:val="21"/>
                <w:szCs w:val="21"/>
              </w:rPr>
            </w:pPr>
          </w:p>
        </w:tc>
        <w:tc>
          <w:tcPr>
            <w:tcW w:w="217" w:type="dxa"/>
          </w:tcPr>
          <w:p w14:paraId="22AA2BA0" w14:textId="77777777" w:rsidR="002C0FD9" w:rsidRPr="00CA25CF" w:rsidRDefault="002C0FD9" w:rsidP="00CA25CF">
            <w:pPr>
              <w:rPr>
                <w:rFonts w:cs="Arial"/>
                <w:color w:val="FF0000"/>
                <w:sz w:val="21"/>
                <w:szCs w:val="21"/>
              </w:rPr>
            </w:pPr>
          </w:p>
        </w:tc>
        <w:tc>
          <w:tcPr>
            <w:tcW w:w="217" w:type="dxa"/>
          </w:tcPr>
          <w:p w14:paraId="755862E4" w14:textId="77777777" w:rsidR="002C0FD9" w:rsidRPr="00CA25CF" w:rsidRDefault="002C0FD9" w:rsidP="00CA25CF">
            <w:pPr>
              <w:rPr>
                <w:rFonts w:cs="Arial"/>
                <w:color w:val="FF0000"/>
                <w:sz w:val="21"/>
                <w:szCs w:val="21"/>
              </w:rPr>
            </w:pPr>
          </w:p>
        </w:tc>
        <w:tc>
          <w:tcPr>
            <w:tcW w:w="217" w:type="dxa"/>
          </w:tcPr>
          <w:p w14:paraId="5AD6AB24" w14:textId="77777777" w:rsidR="002C0FD9" w:rsidRPr="00CA25CF" w:rsidRDefault="002C0FD9" w:rsidP="00CA25CF">
            <w:pPr>
              <w:rPr>
                <w:rFonts w:cs="Arial"/>
                <w:color w:val="FF0000"/>
                <w:sz w:val="21"/>
                <w:szCs w:val="21"/>
              </w:rPr>
            </w:pPr>
          </w:p>
        </w:tc>
        <w:tc>
          <w:tcPr>
            <w:tcW w:w="217" w:type="dxa"/>
          </w:tcPr>
          <w:p w14:paraId="7870724B" w14:textId="77777777" w:rsidR="002C0FD9" w:rsidRPr="00CA25CF" w:rsidRDefault="002C0FD9" w:rsidP="00CA25CF">
            <w:pPr>
              <w:rPr>
                <w:rFonts w:cs="Arial"/>
                <w:color w:val="FF0000"/>
                <w:sz w:val="21"/>
                <w:szCs w:val="21"/>
              </w:rPr>
            </w:pPr>
          </w:p>
        </w:tc>
        <w:tc>
          <w:tcPr>
            <w:tcW w:w="217" w:type="dxa"/>
          </w:tcPr>
          <w:p w14:paraId="0CDDAEDF" w14:textId="77777777" w:rsidR="002C0FD9" w:rsidRPr="00CA25CF" w:rsidRDefault="002C0FD9" w:rsidP="00CA25CF">
            <w:pPr>
              <w:rPr>
                <w:rFonts w:cs="Arial"/>
                <w:color w:val="FF0000"/>
                <w:sz w:val="21"/>
                <w:szCs w:val="21"/>
              </w:rPr>
            </w:pPr>
          </w:p>
        </w:tc>
        <w:tc>
          <w:tcPr>
            <w:tcW w:w="217" w:type="dxa"/>
          </w:tcPr>
          <w:p w14:paraId="2F8A4BA6" w14:textId="77777777" w:rsidR="002C0FD9" w:rsidRPr="00CA25CF" w:rsidRDefault="002C0FD9" w:rsidP="00CA25CF">
            <w:pPr>
              <w:rPr>
                <w:rFonts w:cs="Arial"/>
                <w:color w:val="FF0000"/>
                <w:sz w:val="21"/>
                <w:szCs w:val="21"/>
              </w:rPr>
            </w:pPr>
          </w:p>
        </w:tc>
        <w:tc>
          <w:tcPr>
            <w:tcW w:w="217" w:type="dxa"/>
          </w:tcPr>
          <w:p w14:paraId="6784E057" w14:textId="77777777" w:rsidR="002C0FD9" w:rsidRPr="00CA25CF" w:rsidRDefault="002C0FD9" w:rsidP="00CA25CF">
            <w:pPr>
              <w:rPr>
                <w:rFonts w:cs="Arial"/>
                <w:color w:val="FF0000"/>
                <w:sz w:val="21"/>
                <w:szCs w:val="21"/>
              </w:rPr>
            </w:pPr>
          </w:p>
        </w:tc>
      </w:tr>
      <w:tr w:rsidR="002C0FD9" w:rsidRPr="00A16219" w14:paraId="15B9ED05" w14:textId="77777777" w:rsidTr="002C0FD9">
        <w:trPr>
          <w:trHeight w:val="635"/>
        </w:trPr>
        <w:tc>
          <w:tcPr>
            <w:tcW w:w="515" w:type="dxa"/>
          </w:tcPr>
          <w:p w14:paraId="4FBC921D" w14:textId="77777777" w:rsidR="002C0FD9" w:rsidRPr="00CA25CF" w:rsidRDefault="002C0FD9" w:rsidP="00CA25CF">
            <w:pPr>
              <w:rPr>
                <w:rFonts w:cs="Arial"/>
                <w:color w:val="FF0000"/>
                <w:sz w:val="21"/>
                <w:szCs w:val="21"/>
              </w:rPr>
            </w:pPr>
          </w:p>
        </w:tc>
        <w:tc>
          <w:tcPr>
            <w:tcW w:w="217" w:type="dxa"/>
          </w:tcPr>
          <w:p w14:paraId="103E4E36" w14:textId="77777777" w:rsidR="002C0FD9" w:rsidRPr="00CA25CF" w:rsidRDefault="002C0FD9" w:rsidP="00CA25CF">
            <w:pPr>
              <w:rPr>
                <w:rFonts w:cs="Arial"/>
                <w:color w:val="FF0000"/>
                <w:sz w:val="21"/>
                <w:szCs w:val="21"/>
              </w:rPr>
            </w:pPr>
          </w:p>
        </w:tc>
        <w:tc>
          <w:tcPr>
            <w:tcW w:w="217" w:type="dxa"/>
          </w:tcPr>
          <w:p w14:paraId="414B21C4" w14:textId="77777777" w:rsidR="002C0FD9" w:rsidRPr="00CA25CF" w:rsidRDefault="002C0FD9" w:rsidP="00CA25CF">
            <w:pPr>
              <w:rPr>
                <w:rFonts w:cs="Arial"/>
                <w:color w:val="FF0000"/>
                <w:sz w:val="21"/>
                <w:szCs w:val="21"/>
              </w:rPr>
            </w:pPr>
          </w:p>
        </w:tc>
        <w:tc>
          <w:tcPr>
            <w:tcW w:w="217" w:type="dxa"/>
          </w:tcPr>
          <w:p w14:paraId="7A5B4639" w14:textId="77777777" w:rsidR="002C0FD9" w:rsidRPr="00CA25CF" w:rsidRDefault="002C0FD9" w:rsidP="00CA25CF">
            <w:pPr>
              <w:rPr>
                <w:rFonts w:cs="Arial"/>
                <w:color w:val="FF0000"/>
                <w:sz w:val="21"/>
                <w:szCs w:val="21"/>
              </w:rPr>
            </w:pPr>
          </w:p>
        </w:tc>
        <w:tc>
          <w:tcPr>
            <w:tcW w:w="217" w:type="dxa"/>
          </w:tcPr>
          <w:p w14:paraId="1AA1F9BC" w14:textId="77777777" w:rsidR="002C0FD9" w:rsidRPr="00CA25CF" w:rsidRDefault="002C0FD9" w:rsidP="00CA25CF">
            <w:pPr>
              <w:rPr>
                <w:rFonts w:cs="Arial"/>
                <w:color w:val="FF0000"/>
                <w:sz w:val="21"/>
                <w:szCs w:val="21"/>
              </w:rPr>
            </w:pPr>
          </w:p>
        </w:tc>
        <w:tc>
          <w:tcPr>
            <w:tcW w:w="217" w:type="dxa"/>
          </w:tcPr>
          <w:p w14:paraId="52F672E5" w14:textId="77777777" w:rsidR="002C0FD9" w:rsidRPr="00CA25CF" w:rsidRDefault="002C0FD9" w:rsidP="00CA25CF">
            <w:pPr>
              <w:rPr>
                <w:rFonts w:cs="Arial"/>
                <w:color w:val="FF0000"/>
                <w:sz w:val="21"/>
                <w:szCs w:val="21"/>
              </w:rPr>
            </w:pPr>
          </w:p>
        </w:tc>
        <w:tc>
          <w:tcPr>
            <w:tcW w:w="217" w:type="dxa"/>
          </w:tcPr>
          <w:p w14:paraId="53A28D9D" w14:textId="77777777" w:rsidR="002C0FD9" w:rsidRPr="00CA25CF" w:rsidRDefault="002C0FD9" w:rsidP="00CA25CF">
            <w:pPr>
              <w:rPr>
                <w:rFonts w:cs="Arial"/>
                <w:color w:val="FF0000"/>
                <w:sz w:val="21"/>
                <w:szCs w:val="21"/>
              </w:rPr>
            </w:pPr>
          </w:p>
        </w:tc>
        <w:tc>
          <w:tcPr>
            <w:tcW w:w="217" w:type="dxa"/>
          </w:tcPr>
          <w:p w14:paraId="1E1F9262" w14:textId="77777777" w:rsidR="002C0FD9" w:rsidRPr="00CA25CF" w:rsidRDefault="002C0FD9" w:rsidP="00CA25CF">
            <w:pPr>
              <w:rPr>
                <w:rFonts w:cs="Arial"/>
                <w:color w:val="FF0000"/>
                <w:sz w:val="21"/>
                <w:szCs w:val="21"/>
              </w:rPr>
            </w:pPr>
          </w:p>
        </w:tc>
        <w:tc>
          <w:tcPr>
            <w:tcW w:w="217" w:type="dxa"/>
          </w:tcPr>
          <w:p w14:paraId="3C3F84FB" w14:textId="77777777" w:rsidR="002C0FD9" w:rsidRPr="00CA25CF" w:rsidRDefault="002C0FD9" w:rsidP="00CA25CF">
            <w:pPr>
              <w:rPr>
                <w:rFonts w:cs="Arial"/>
                <w:color w:val="FF0000"/>
                <w:sz w:val="21"/>
                <w:szCs w:val="21"/>
              </w:rPr>
            </w:pPr>
          </w:p>
        </w:tc>
        <w:tc>
          <w:tcPr>
            <w:tcW w:w="217" w:type="dxa"/>
          </w:tcPr>
          <w:p w14:paraId="6BDD60AE" w14:textId="77777777" w:rsidR="002C0FD9" w:rsidRPr="00CA25CF" w:rsidRDefault="002C0FD9" w:rsidP="00CA25CF">
            <w:pPr>
              <w:rPr>
                <w:rFonts w:cs="Arial"/>
                <w:color w:val="FF0000"/>
                <w:sz w:val="21"/>
                <w:szCs w:val="21"/>
              </w:rPr>
            </w:pPr>
          </w:p>
        </w:tc>
        <w:tc>
          <w:tcPr>
            <w:tcW w:w="217" w:type="dxa"/>
          </w:tcPr>
          <w:p w14:paraId="26D2E8B3" w14:textId="77777777" w:rsidR="002C0FD9" w:rsidRPr="00CA25CF" w:rsidRDefault="002C0FD9" w:rsidP="00CA25CF">
            <w:pPr>
              <w:rPr>
                <w:rFonts w:cs="Arial"/>
                <w:color w:val="FF0000"/>
                <w:sz w:val="21"/>
                <w:szCs w:val="21"/>
              </w:rPr>
            </w:pPr>
          </w:p>
        </w:tc>
        <w:tc>
          <w:tcPr>
            <w:tcW w:w="217" w:type="dxa"/>
          </w:tcPr>
          <w:p w14:paraId="0435EDAD" w14:textId="77777777" w:rsidR="002C0FD9" w:rsidRPr="00CA25CF" w:rsidRDefault="002C0FD9" w:rsidP="00CA25CF">
            <w:pPr>
              <w:rPr>
                <w:rFonts w:cs="Arial"/>
                <w:color w:val="FF0000"/>
                <w:sz w:val="21"/>
                <w:szCs w:val="21"/>
              </w:rPr>
            </w:pPr>
          </w:p>
        </w:tc>
        <w:tc>
          <w:tcPr>
            <w:tcW w:w="217" w:type="dxa"/>
          </w:tcPr>
          <w:p w14:paraId="23EBC6BD" w14:textId="77777777" w:rsidR="002C0FD9" w:rsidRPr="00CA25CF" w:rsidRDefault="002C0FD9" w:rsidP="00CA25CF">
            <w:pPr>
              <w:rPr>
                <w:rFonts w:cs="Arial"/>
                <w:color w:val="FF0000"/>
                <w:sz w:val="21"/>
                <w:szCs w:val="21"/>
              </w:rPr>
            </w:pPr>
          </w:p>
        </w:tc>
        <w:tc>
          <w:tcPr>
            <w:tcW w:w="217" w:type="dxa"/>
          </w:tcPr>
          <w:p w14:paraId="2733FFAD" w14:textId="77777777" w:rsidR="002C0FD9" w:rsidRPr="00CA25CF" w:rsidRDefault="002C0FD9" w:rsidP="00CA25CF">
            <w:pPr>
              <w:rPr>
                <w:rFonts w:cs="Arial"/>
                <w:color w:val="FF0000"/>
                <w:sz w:val="21"/>
                <w:szCs w:val="21"/>
              </w:rPr>
            </w:pPr>
          </w:p>
        </w:tc>
        <w:tc>
          <w:tcPr>
            <w:tcW w:w="217" w:type="dxa"/>
          </w:tcPr>
          <w:p w14:paraId="10E46079" w14:textId="77777777" w:rsidR="002C0FD9" w:rsidRPr="00CA25CF" w:rsidRDefault="002C0FD9" w:rsidP="00CA25CF">
            <w:pPr>
              <w:rPr>
                <w:rFonts w:cs="Arial"/>
                <w:color w:val="FF0000"/>
                <w:sz w:val="21"/>
                <w:szCs w:val="21"/>
              </w:rPr>
            </w:pPr>
          </w:p>
        </w:tc>
        <w:tc>
          <w:tcPr>
            <w:tcW w:w="217" w:type="dxa"/>
          </w:tcPr>
          <w:p w14:paraId="2455C685" w14:textId="77777777" w:rsidR="002C0FD9" w:rsidRPr="00CA25CF" w:rsidRDefault="002C0FD9" w:rsidP="00CA25CF">
            <w:pPr>
              <w:rPr>
                <w:rFonts w:cs="Arial"/>
                <w:color w:val="FF0000"/>
                <w:sz w:val="21"/>
                <w:szCs w:val="21"/>
              </w:rPr>
            </w:pPr>
          </w:p>
        </w:tc>
        <w:tc>
          <w:tcPr>
            <w:tcW w:w="217" w:type="dxa"/>
          </w:tcPr>
          <w:p w14:paraId="09AD9783" w14:textId="77777777" w:rsidR="002C0FD9" w:rsidRPr="00CA25CF" w:rsidRDefault="002C0FD9" w:rsidP="00CA25CF">
            <w:pPr>
              <w:rPr>
                <w:rFonts w:cs="Arial"/>
                <w:color w:val="FF0000"/>
                <w:sz w:val="21"/>
                <w:szCs w:val="21"/>
              </w:rPr>
            </w:pPr>
          </w:p>
        </w:tc>
        <w:tc>
          <w:tcPr>
            <w:tcW w:w="217" w:type="dxa"/>
          </w:tcPr>
          <w:p w14:paraId="639A4318" w14:textId="77777777" w:rsidR="002C0FD9" w:rsidRPr="00CA25CF" w:rsidRDefault="002C0FD9" w:rsidP="00CA25CF">
            <w:pPr>
              <w:rPr>
                <w:rFonts w:cs="Arial"/>
                <w:color w:val="FF0000"/>
                <w:sz w:val="21"/>
                <w:szCs w:val="21"/>
              </w:rPr>
            </w:pPr>
          </w:p>
        </w:tc>
        <w:tc>
          <w:tcPr>
            <w:tcW w:w="217" w:type="dxa"/>
          </w:tcPr>
          <w:p w14:paraId="300CED00" w14:textId="77777777" w:rsidR="002C0FD9" w:rsidRPr="00CA25CF" w:rsidRDefault="002C0FD9" w:rsidP="00CA25CF">
            <w:pPr>
              <w:rPr>
                <w:rFonts w:cs="Arial"/>
                <w:color w:val="FF0000"/>
                <w:sz w:val="21"/>
                <w:szCs w:val="21"/>
              </w:rPr>
            </w:pPr>
          </w:p>
        </w:tc>
        <w:tc>
          <w:tcPr>
            <w:tcW w:w="217" w:type="dxa"/>
          </w:tcPr>
          <w:p w14:paraId="7AECE772" w14:textId="77777777" w:rsidR="002C0FD9" w:rsidRPr="00CA25CF" w:rsidRDefault="002C0FD9" w:rsidP="00CA25CF">
            <w:pPr>
              <w:rPr>
                <w:rFonts w:cs="Arial"/>
                <w:color w:val="FF0000"/>
                <w:sz w:val="21"/>
                <w:szCs w:val="21"/>
              </w:rPr>
            </w:pPr>
          </w:p>
        </w:tc>
        <w:tc>
          <w:tcPr>
            <w:tcW w:w="217" w:type="dxa"/>
          </w:tcPr>
          <w:p w14:paraId="6D78076F" w14:textId="77777777" w:rsidR="002C0FD9" w:rsidRPr="00CA25CF" w:rsidRDefault="002C0FD9" w:rsidP="00CA25CF">
            <w:pPr>
              <w:rPr>
                <w:rFonts w:cs="Arial"/>
                <w:color w:val="FF0000"/>
                <w:sz w:val="21"/>
                <w:szCs w:val="21"/>
              </w:rPr>
            </w:pPr>
          </w:p>
        </w:tc>
        <w:tc>
          <w:tcPr>
            <w:tcW w:w="217" w:type="dxa"/>
          </w:tcPr>
          <w:p w14:paraId="30C2134E" w14:textId="77777777" w:rsidR="002C0FD9" w:rsidRPr="00CA25CF" w:rsidRDefault="002C0FD9" w:rsidP="00CA25CF">
            <w:pPr>
              <w:rPr>
                <w:rFonts w:cs="Arial"/>
                <w:color w:val="FF0000"/>
                <w:sz w:val="21"/>
                <w:szCs w:val="21"/>
              </w:rPr>
            </w:pPr>
          </w:p>
        </w:tc>
        <w:tc>
          <w:tcPr>
            <w:tcW w:w="217" w:type="dxa"/>
          </w:tcPr>
          <w:p w14:paraId="206B530E" w14:textId="77777777" w:rsidR="002C0FD9" w:rsidRPr="00CA25CF" w:rsidRDefault="002C0FD9" w:rsidP="00CA25CF">
            <w:pPr>
              <w:rPr>
                <w:rFonts w:cs="Arial"/>
                <w:color w:val="FF0000"/>
                <w:sz w:val="21"/>
                <w:szCs w:val="21"/>
              </w:rPr>
            </w:pPr>
          </w:p>
        </w:tc>
        <w:tc>
          <w:tcPr>
            <w:tcW w:w="217" w:type="dxa"/>
          </w:tcPr>
          <w:p w14:paraId="505E1102" w14:textId="77777777" w:rsidR="002C0FD9" w:rsidRPr="00CA25CF" w:rsidRDefault="002C0FD9" w:rsidP="00CA25CF">
            <w:pPr>
              <w:rPr>
                <w:rFonts w:cs="Arial"/>
                <w:color w:val="FF0000"/>
                <w:sz w:val="21"/>
                <w:szCs w:val="21"/>
              </w:rPr>
            </w:pPr>
          </w:p>
        </w:tc>
        <w:tc>
          <w:tcPr>
            <w:tcW w:w="217" w:type="dxa"/>
          </w:tcPr>
          <w:p w14:paraId="43BF5A29" w14:textId="77777777" w:rsidR="002C0FD9" w:rsidRPr="00CA25CF" w:rsidRDefault="002C0FD9" w:rsidP="00CA25CF">
            <w:pPr>
              <w:rPr>
                <w:rFonts w:cs="Arial"/>
                <w:color w:val="FF0000"/>
                <w:sz w:val="21"/>
                <w:szCs w:val="21"/>
              </w:rPr>
            </w:pPr>
          </w:p>
        </w:tc>
        <w:tc>
          <w:tcPr>
            <w:tcW w:w="217" w:type="dxa"/>
          </w:tcPr>
          <w:p w14:paraId="1EF2A7F8" w14:textId="77777777" w:rsidR="002C0FD9" w:rsidRPr="00CA25CF" w:rsidRDefault="002C0FD9" w:rsidP="00CA25CF">
            <w:pPr>
              <w:rPr>
                <w:rFonts w:cs="Arial"/>
                <w:color w:val="FF0000"/>
                <w:sz w:val="21"/>
                <w:szCs w:val="21"/>
              </w:rPr>
            </w:pPr>
          </w:p>
        </w:tc>
        <w:tc>
          <w:tcPr>
            <w:tcW w:w="217" w:type="dxa"/>
          </w:tcPr>
          <w:p w14:paraId="5E229D19" w14:textId="77777777" w:rsidR="002C0FD9" w:rsidRPr="00CA25CF" w:rsidRDefault="002C0FD9" w:rsidP="00CA25CF">
            <w:pPr>
              <w:rPr>
                <w:rFonts w:cs="Arial"/>
                <w:color w:val="FF0000"/>
                <w:sz w:val="21"/>
                <w:szCs w:val="21"/>
              </w:rPr>
            </w:pPr>
          </w:p>
        </w:tc>
        <w:tc>
          <w:tcPr>
            <w:tcW w:w="217" w:type="dxa"/>
          </w:tcPr>
          <w:p w14:paraId="70F1B746" w14:textId="77777777" w:rsidR="002C0FD9" w:rsidRPr="00CA25CF" w:rsidRDefault="002C0FD9" w:rsidP="00CA25CF">
            <w:pPr>
              <w:rPr>
                <w:rFonts w:cs="Arial"/>
                <w:color w:val="FF0000"/>
                <w:sz w:val="21"/>
                <w:szCs w:val="21"/>
              </w:rPr>
            </w:pPr>
          </w:p>
        </w:tc>
        <w:tc>
          <w:tcPr>
            <w:tcW w:w="217" w:type="dxa"/>
          </w:tcPr>
          <w:p w14:paraId="0410E78D" w14:textId="77777777" w:rsidR="002C0FD9" w:rsidRPr="00CA25CF" w:rsidRDefault="002C0FD9" w:rsidP="00CA25CF">
            <w:pPr>
              <w:rPr>
                <w:rFonts w:cs="Arial"/>
                <w:color w:val="FF0000"/>
                <w:sz w:val="21"/>
                <w:szCs w:val="21"/>
              </w:rPr>
            </w:pPr>
          </w:p>
        </w:tc>
        <w:tc>
          <w:tcPr>
            <w:tcW w:w="217" w:type="dxa"/>
          </w:tcPr>
          <w:p w14:paraId="178FCE16" w14:textId="77777777" w:rsidR="002C0FD9" w:rsidRPr="00CA25CF" w:rsidRDefault="002C0FD9" w:rsidP="00CA25CF">
            <w:pPr>
              <w:rPr>
                <w:rFonts w:cs="Arial"/>
                <w:color w:val="FF0000"/>
                <w:sz w:val="21"/>
                <w:szCs w:val="21"/>
              </w:rPr>
            </w:pPr>
          </w:p>
        </w:tc>
        <w:tc>
          <w:tcPr>
            <w:tcW w:w="217" w:type="dxa"/>
          </w:tcPr>
          <w:p w14:paraId="02E1EEDF" w14:textId="77777777" w:rsidR="002C0FD9" w:rsidRPr="00CA25CF" w:rsidRDefault="002C0FD9" w:rsidP="00CA25CF">
            <w:pPr>
              <w:rPr>
                <w:rFonts w:cs="Arial"/>
                <w:color w:val="FF0000"/>
                <w:sz w:val="21"/>
                <w:szCs w:val="21"/>
              </w:rPr>
            </w:pPr>
          </w:p>
        </w:tc>
        <w:tc>
          <w:tcPr>
            <w:tcW w:w="217" w:type="dxa"/>
          </w:tcPr>
          <w:p w14:paraId="3095A26D" w14:textId="77777777" w:rsidR="002C0FD9" w:rsidRPr="00CA25CF" w:rsidRDefault="002C0FD9" w:rsidP="00CA25CF">
            <w:pPr>
              <w:rPr>
                <w:rFonts w:cs="Arial"/>
                <w:color w:val="FF0000"/>
                <w:sz w:val="21"/>
                <w:szCs w:val="21"/>
              </w:rPr>
            </w:pPr>
          </w:p>
        </w:tc>
        <w:tc>
          <w:tcPr>
            <w:tcW w:w="217" w:type="dxa"/>
          </w:tcPr>
          <w:p w14:paraId="7784F907" w14:textId="77777777" w:rsidR="002C0FD9" w:rsidRPr="00CA25CF" w:rsidRDefault="002C0FD9" w:rsidP="00CA25CF">
            <w:pPr>
              <w:rPr>
                <w:rFonts w:cs="Arial"/>
                <w:color w:val="FF0000"/>
                <w:sz w:val="21"/>
                <w:szCs w:val="21"/>
              </w:rPr>
            </w:pPr>
          </w:p>
        </w:tc>
        <w:tc>
          <w:tcPr>
            <w:tcW w:w="217" w:type="dxa"/>
          </w:tcPr>
          <w:p w14:paraId="435272AF" w14:textId="77777777" w:rsidR="002C0FD9" w:rsidRPr="00CA25CF" w:rsidRDefault="002C0FD9" w:rsidP="00CA25CF">
            <w:pPr>
              <w:rPr>
                <w:rFonts w:cs="Arial"/>
                <w:color w:val="FF0000"/>
                <w:sz w:val="21"/>
                <w:szCs w:val="21"/>
              </w:rPr>
            </w:pPr>
          </w:p>
        </w:tc>
        <w:tc>
          <w:tcPr>
            <w:tcW w:w="217" w:type="dxa"/>
          </w:tcPr>
          <w:p w14:paraId="4D06880D" w14:textId="77777777" w:rsidR="002C0FD9" w:rsidRPr="00CA25CF" w:rsidRDefault="002C0FD9" w:rsidP="00CA25CF">
            <w:pPr>
              <w:rPr>
                <w:rFonts w:cs="Arial"/>
                <w:color w:val="FF0000"/>
                <w:sz w:val="21"/>
                <w:szCs w:val="21"/>
              </w:rPr>
            </w:pPr>
          </w:p>
        </w:tc>
        <w:tc>
          <w:tcPr>
            <w:tcW w:w="217" w:type="dxa"/>
          </w:tcPr>
          <w:p w14:paraId="0E9E4AD2" w14:textId="77777777" w:rsidR="002C0FD9" w:rsidRPr="00CA25CF" w:rsidRDefault="002C0FD9" w:rsidP="00CA25CF">
            <w:pPr>
              <w:rPr>
                <w:rFonts w:cs="Arial"/>
                <w:color w:val="FF0000"/>
                <w:sz w:val="21"/>
                <w:szCs w:val="21"/>
              </w:rPr>
            </w:pPr>
          </w:p>
        </w:tc>
        <w:tc>
          <w:tcPr>
            <w:tcW w:w="217" w:type="dxa"/>
          </w:tcPr>
          <w:p w14:paraId="69A90393" w14:textId="77777777" w:rsidR="002C0FD9" w:rsidRPr="00CA25CF" w:rsidRDefault="002C0FD9" w:rsidP="00CA25CF">
            <w:pPr>
              <w:rPr>
                <w:rFonts w:cs="Arial"/>
                <w:color w:val="FF0000"/>
                <w:sz w:val="21"/>
                <w:szCs w:val="21"/>
              </w:rPr>
            </w:pPr>
          </w:p>
        </w:tc>
        <w:tc>
          <w:tcPr>
            <w:tcW w:w="217" w:type="dxa"/>
          </w:tcPr>
          <w:p w14:paraId="13FAFB77" w14:textId="77777777" w:rsidR="002C0FD9" w:rsidRPr="00CA25CF" w:rsidRDefault="002C0FD9" w:rsidP="00CA25CF">
            <w:pPr>
              <w:rPr>
                <w:rFonts w:cs="Arial"/>
                <w:color w:val="FF0000"/>
                <w:sz w:val="21"/>
                <w:szCs w:val="21"/>
              </w:rPr>
            </w:pPr>
          </w:p>
        </w:tc>
        <w:tc>
          <w:tcPr>
            <w:tcW w:w="217" w:type="dxa"/>
          </w:tcPr>
          <w:p w14:paraId="1E8DCEA3" w14:textId="77777777" w:rsidR="002C0FD9" w:rsidRPr="00CA25CF" w:rsidRDefault="002C0FD9" w:rsidP="00CA25CF">
            <w:pPr>
              <w:rPr>
                <w:rFonts w:cs="Arial"/>
                <w:color w:val="FF0000"/>
                <w:sz w:val="21"/>
                <w:szCs w:val="21"/>
              </w:rPr>
            </w:pPr>
          </w:p>
        </w:tc>
        <w:tc>
          <w:tcPr>
            <w:tcW w:w="217" w:type="dxa"/>
          </w:tcPr>
          <w:p w14:paraId="413D04DA" w14:textId="77777777" w:rsidR="002C0FD9" w:rsidRPr="00CA25CF" w:rsidRDefault="002C0FD9" w:rsidP="00CA25CF">
            <w:pPr>
              <w:rPr>
                <w:rFonts w:cs="Arial"/>
                <w:color w:val="FF0000"/>
                <w:sz w:val="21"/>
                <w:szCs w:val="21"/>
              </w:rPr>
            </w:pPr>
          </w:p>
        </w:tc>
        <w:tc>
          <w:tcPr>
            <w:tcW w:w="217" w:type="dxa"/>
          </w:tcPr>
          <w:p w14:paraId="5CEFFD87" w14:textId="77777777" w:rsidR="002C0FD9" w:rsidRPr="00CA25CF" w:rsidRDefault="002C0FD9" w:rsidP="00CA25CF">
            <w:pPr>
              <w:rPr>
                <w:rFonts w:cs="Arial"/>
                <w:color w:val="FF0000"/>
                <w:sz w:val="21"/>
                <w:szCs w:val="21"/>
              </w:rPr>
            </w:pPr>
          </w:p>
        </w:tc>
        <w:tc>
          <w:tcPr>
            <w:tcW w:w="217" w:type="dxa"/>
          </w:tcPr>
          <w:p w14:paraId="7DDE182E" w14:textId="77777777" w:rsidR="002C0FD9" w:rsidRPr="00CA25CF" w:rsidRDefault="002C0FD9" w:rsidP="00CA25CF">
            <w:pPr>
              <w:rPr>
                <w:rFonts w:cs="Arial"/>
                <w:color w:val="FF0000"/>
                <w:sz w:val="21"/>
                <w:szCs w:val="21"/>
              </w:rPr>
            </w:pPr>
          </w:p>
        </w:tc>
        <w:tc>
          <w:tcPr>
            <w:tcW w:w="217" w:type="dxa"/>
          </w:tcPr>
          <w:p w14:paraId="4C528B61" w14:textId="77777777" w:rsidR="002C0FD9" w:rsidRPr="00CA25CF" w:rsidRDefault="002C0FD9" w:rsidP="00CA25CF">
            <w:pPr>
              <w:rPr>
                <w:rFonts w:cs="Arial"/>
                <w:color w:val="FF0000"/>
                <w:sz w:val="21"/>
                <w:szCs w:val="21"/>
              </w:rPr>
            </w:pPr>
          </w:p>
        </w:tc>
      </w:tr>
    </w:tbl>
    <w:p w14:paraId="561AE6E6" w14:textId="77777777" w:rsidR="00E90423" w:rsidRPr="00A16219" w:rsidRDefault="00E90423" w:rsidP="00E90423">
      <w:pPr>
        <w:spacing w:after="0" w:line="240" w:lineRule="auto"/>
        <w:rPr>
          <w:rFonts w:eastAsia="Times New Roman" w:cs="Arial"/>
        </w:rPr>
      </w:pPr>
    </w:p>
    <w:tbl>
      <w:tblPr>
        <w:tblStyle w:val="TableGrid2"/>
        <w:tblpPr w:leftFromText="180" w:rightFromText="180" w:vertAnchor="text" w:horzAnchor="margin" w:tblpY="-58"/>
        <w:tblW w:w="0" w:type="auto"/>
        <w:tblLook w:val="04A0" w:firstRow="1" w:lastRow="0" w:firstColumn="1" w:lastColumn="0" w:noHBand="0" w:noVBand="1"/>
      </w:tblPr>
      <w:tblGrid>
        <w:gridCol w:w="9629"/>
      </w:tblGrid>
      <w:tr w:rsidR="004A59E7" w:rsidRPr="00A16219" w14:paraId="20B374E2" w14:textId="77777777" w:rsidTr="004A59E7">
        <w:trPr>
          <w:trHeight w:val="416"/>
        </w:trPr>
        <w:tc>
          <w:tcPr>
            <w:tcW w:w="13858" w:type="dxa"/>
            <w:shd w:val="clear" w:color="auto" w:fill="B4C6E7" w:themeFill="accent1" w:themeFillTint="66"/>
          </w:tcPr>
          <w:p w14:paraId="1DAEB61E" w14:textId="0F034D70" w:rsidR="004A59E7" w:rsidRDefault="004A59E7" w:rsidP="004A59E7">
            <w:pPr>
              <w:numPr>
                <w:ilvl w:val="0"/>
                <w:numId w:val="10"/>
              </w:numPr>
              <w:rPr>
                <w:rFonts w:cs="Arial"/>
                <w:b/>
                <w:bCs/>
                <w:sz w:val="22"/>
                <w:szCs w:val="22"/>
              </w:rPr>
            </w:pPr>
            <w:r w:rsidRPr="00A16219">
              <w:rPr>
                <w:rFonts w:cs="Arial"/>
                <w:b/>
                <w:bCs/>
                <w:sz w:val="22"/>
                <w:szCs w:val="22"/>
              </w:rPr>
              <w:t xml:space="preserve">Document- B: The cultural and behavioural expectations of studying for a degree in </w:t>
            </w:r>
            <w:r w:rsidR="004B0136">
              <w:rPr>
                <w:rFonts w:cs="Arial"/>
                <w:b/>
                <w:bCs/>
                <w:sz w:val="22"/>
                <w:szCs w:val="22"/>
              </w:rPr>
              <w:t>Business</w:t>
            </w:r>
            <w:r w:rsidR="00D25376">
              <w:rPr>
                <w:rFonts w:cs="Arial"/>
                <w:b/>
                <w:bCs/>
                <w:sz w:val="22"/>
                <w:szCs w:val="22"/>
              </w:rPr>
              <w:t xml:space="preserve"> </w:t>
            </w:r>
            <w:r w:rsidR="00D25376" w:rsidRPr="00A16219">
              <w:rPr>
                <w:rFonts w:cs="Arial"/>
                <w:b/>
                <w:bCs/>
                <w:sz w:val="22"/>
                <w:szCs w:val="22"/>
              </w:rPr>
              <w:t>and</w:t>
            </w:r>
            <w:r w:rsidRPr="00A16219">
              <w:rPr>
                <w:rFonts w:cs="Arial"/>
                <w:b/>
                <w:bCs/>
                <w:sz w:val="22"/>
                <w:szCs w:val="22"/>
              </w:rPr>
              <w:t xml:space="preserve"> </w:t>
            </w:r>
            <w:r w:rsidR="004B0136">
              <w:rPr>
                <w:rFonts w:cs="Arial"/>
                <w:b/>
                <w:bCs/>
                <w:sz w:val="22"/>
                <w:szCs w:val="22"/>
              </w:rPr>
              <w:t>Tourism</w:t>
            </w:r>
            <w:r w:rsidR="00D25376">
              <w:rPr>
                <w:rFonts w:cs="Arial"/>
                <w:b/>
                <w:bCs/>
                <w:sz w:val="22"/>
                <w:szCs w:val="22"/>
              </w:rPr>
              <w:t xml:space="preserve"> </w:t>
            </w:r>
            <w:r w:rsidR="004B0136">
              <w:rPr>
                <w:rFonts w:cs="Arial"/>
                <w:b/>
                <w:bCs/>
                <w:sz w:val="22"/>
                <w:szCs w:val="22"/>
              </w:rPr>
              <w:t>M</w:t>
            </w:r>
            <w:r w:rsidR="00293BE3" w:rsidRPr="00A16219">
              <w:rPr>
                <w:rFonts w:cs="Arial"/>
                <w:b/>
                <w:bCs/>
                <w:sz w:val="22"/>
                <w:szCs w:val="22"/>
              </w:rPr>
              <w:t>anagement.</w:t>
            </w:r>
            <w:r w:rsidR="00293BE3">
              <w:rPr>
                <w:rFonts w:cs="Arial"/>
                <w:b/>
                <w:bCs/>
                <w:sz w:val="22"/>
                <w:szCs w:val="22"/>
              </w:rPr>
              <w:t xml:space="preserve"> (700 Words)</w:t>
            </w:r>
          </w:p>
          <w:p w14:paraId="1A3DD9BF" w14:textId="77777777" w:rsidR="00293BE3" w:rsidRPr="00A16219" w:rsidRDefault="00293BE3" w:rsidP="004A59E7">
            <w:pPr>
              <w:numPr>
                <w:ilvl w:val="0"/>
                <w:numId w:val="10"/>
              </w:numPr>
              <w:rPr>
                <w:rFonts w:cs="Arial"/>
                <w:b/>
                <w:bCs/>
                <w:sz w:val="22"/>
                <w:szCs w:val="22"/>
              </w:rPr>
            </w:pPr>
          </w:p>
          <w:p w14:paraId="33AD76CD" w14:textId="1EBEED9F" w:rsidR="004A59E7" w:rsidRPr="00A16219" w:rsidRDefault="004A59E7" w:rsidP="004A59E7">
            <w:pPr>
              <w:numPr>
                <w:ilvl w:val="0"/>
                <w:numId w:val="10"/>
              </w:numPr>
              <w:rPr>
                <w:rFonts w:cs="Arial"/>
                <w:b/>
                <w:bCs/>
                <w:sz w:val="22"/>
                <w:szCs w:val="22"/>
              </w:rPr>
            </w:pPr>
          </w:p>
        </w:tc>
      </w:tr>
      <w:tr w:rsidR="004A59E7" w:rsidRPr="00A16219" w14:paraId="448C0988" w14:textId="77777777" w:rsidTr="004A59E7">
        <w:trPr>
          <w:trHeight w:val="514"/>
        </w:trPr>
        <w:tc>
          <w:tcPr>
            <w:tcW w:w="13858" w:type="dxa"/>
          </w:tcPr>
          <w:p w14:paraId="2ABE6657" w14:textId="47758E46" w:rsidR="004A59E7" w:rsidRPr="009651D6" w:rsidRDefault="004A59E7" w:rsidP="009651D6">
            <w:pPr>
              <w:rPr>
                <w:rFonts w:cs="Arial"/>
                <w:b/>
                <w:bCs/>
                <w:i/>
                <w:iCs/>
                <w:sz w:val="22"/>
                <w:szCs w:val="22"/>
              </w:rPr>
            </w:pPr>
            <w:r w:rsidRPr="00A16219">
              <w:rPr>
                <w:rFonts w:cs="Arial"/>
                <w:b/>
                <w:bCs/>
                <w:sz w:val="22"/>
                <w:szCs w:val="22"/>
              </w:rPr>
              <w:t>i. Reflection of Learning</w:t>
            </w:r>
          </w:p>
          <w:p w14:paraId="1F1A0705" w14:textId="2EAC802F" w:rsidR="00F179A5" w:rsidRPr="00A16219" w:rsidRDefault="00F179A5" w:rsidP="004A59E7">
            <w:pPr>
              <w:rPr>
                <w:rFonts w:cs="Arial"/>
                <w:b/>
                <w:bCs/>
                <w:sz w:val="22"/>
                <w:szCs w:val="22"/>
              </w:rPr>
            </w:pPr>
          </w:p>
        </w:tc>
      </w:tr>
      <w:tr w:rsidR="004A59E7" w:rsidRPr="00A16219" w14:paraId="430D4847" w14:textId="77777777" w:rsidTr="004A59E7">
        <w:tc>
          <w:tcPr>
            <w:tcW w:w="13858" w:type="dxa"/>
          </w:tcPr>
          <w:p w14:paraId="50B3A05C" w14:textId="6200A8DB" w:rsidR="004A59E7" w:rsidRPr="0076219E" w:rsidRDefault="004A59E7" w:rsidP="0076219E">
            <w:pPr>
              <w:jc w:val="both"/>
              <w:rPr>
                <w:rFonts w:cs="Arial"/>
                <w:color w:val="FF0000"/>
                <w:sz w:val="21"/>
                <w:szCs w:val="21"/>
              </w:rPr>
            </w:pPr>
          </w:p>
          <w:p w14:paraId="4AD4263B" w14:textId="125E2203" w:rsidR="00EA7CB3" w:rsidRPr="00EA7CB3" w:rsidRDefault="00EA7CB3" w:rsidP="00EA7CB3">
            <w:pPr>
              <w:rPr>
                <w:rFonts w:cs="Arial"/>
                <w:color w:val="FF0000"/>
                <w:sz w:val="21"/>
                <w:szCs w:val="21"/>
              </w:rPr>
            </w:pPr>
            <w:r w:rsidRPr="00EA7CB3">
              <w:rPr>
                <w:rFonts w:cs="Arial"/>
                <w:color w:val="FF0000"/>
                <w:sz w:val="21"/>
                <w:szCs w:val="21"/>
              </w:rPr>
              <w:t xml:space="preserve">Cultural and behaviour Student learning in the field of business and tourism management is heavily influenced by cultural and </w:t>
            </w:r>
            <w:r w:rsidR="004B676A" w:rsidRPr="00EA7CB3">
              <w:rPr>
                <w:rFonts w:cs="Arial"/>
                <w:color w:val="FF0000"/>
                <w:sz w:val="21"/>
                <w:szCs w:val="21"/>
              </w:rPr>
              <w:t>behavioural</w:t>
            </w:r>
            <w:r w:rsidRPr="00EA7CB3">
              <w:rPr>
                <w:rFonts w:cs="Arial"/>
                <w:color w:val="FF0000"/>
                <w:sz w:val="21"/>
                <w:szCs w:val="21"/>
              </w:rPr>
              <w:t xml:space="preserve"> norms. Understanding different cultural norms and expectations is essential to succeeding in these fields in today's interconnected world. As noted by Bassot (2020), students pursuing these fields frequently come into contact with people from different backgrounds on a local and international level. It is therefore essential to be sensitive to cultural differences and flexible when building relationships, conducting business, and providing excellent customer service.</w:t>
            </w:r>
          </w:p>
          <w:p w14:paraId="47CB9587" w14:textId="77777777" w:rsidR="00EA7CB3" w:rsidRPr="00EA7CB3" w:rsidRDefault="00EA7CB3" w:rsidP="00EA7CB3">
            <w:pPr>
              <w:rPr>
                <w:rFonts w:cs="Arial"/>
                <w:color w:val="FF0000"/>
                <w:sz w:val="21"/>
                <w:szCs w:val="21"/>
              </w:rPr>
            </w:pPr>
            <w:r w:rsidRPr="00EA7CB3">
              <w:rPr>
                <w:rFonts w:cs="Arial"/>
                <w:color w:val="FF0000"/>
                <w:sz w:val="21"/>
                <w:szCs w:val="21"/>
              </w:rPr>
              <w:t xml:space="preserve"> </w:t>
            </w:r>
          </w:p>
          <w:p w14:paraId="68342BB1" w14:textId="0C9AD259" w:rsidR="00EA7CB3" w:rsidRPr="00EA7CB3" w:rsidRDefault="00EA7CB3" w:rsidP="00EA7CB3">
            <w:pPr>
              <w:rPr>
                <w:rFonts w:cs="Arial"/>
                <w:color w:val="FF0000"/>
                <w:sz w:val="21"/>
                <w:szCs w:val="21"/>
              </w:rPr>
            </w:pPr>
            <w:r w:rsidRPr="00EA7CB3">
              <w:rPr>
                <w:rFonts w:cs="Arial"/>
                <w:color w:val="FF0000"/>
                <w:sz w:val="21"/>
                <w:szCs w:val="21"/>
              </w:rPr>
              <w:t xml:space="preserve">Furthermore, </w:t>
            </w:r>
            <w:r w:rsidR="00165B8B" w:rsidRPr="00EA7CB3">
              <w:rPr>
                <w:rFonts w:cs="Arial"/>
                <w:color w:val="FF0000"/>
                <w:sz w:val="21"/>
                <w:szCs w:val="21"/>
              </w:rPr>
              <w:t>behaviour</w:t>
            </w:r>
            <w:r w:rsidRPr="00EA7CB3">
              <w:rPr>
                <w:rFonts w:cs="Arial"/>
                <w:color w:val="FF0000"/>
                <w:sz w:val="21"/>
                <w:szCs w:val="21"/>
              </w:rPr>
              <w:t xml:space="preserve"> expectations in Business and Tourism Management programs go beyond cultural competence. Additionally, students must demonstrate professionalism, strong communication abilities, leadership abilities, and a customer-focused attitude. These qualities are essential for performing well not just in academic contexts but also </w:t>
            </w:r>
          </w:p>
          <w:p w14:paraId="347D025D" w14:textId="77777777" w:rsidR="00EA7CB3" w:rsidRPr="00EA7CB3" w:rsidRDefault="00EA7CB3" w:rsidP="00EA7CB3">
            <w:pPr>
              <w:rPr>
                <w:rFonts w:cs="Arial"/>
                <w:color w:val="FF0000"/>
                <w:sz w:val="21"/>
                <w:szCs w:val="21"/>
              </w:rPr>
            </w:pPr>
          </w:p>
          <w:p w14:paraId="3AD07431" w14:textId="518E6F03" w:rsidR="00EA7CB3" w:rsidRPr="00EA7CB3" w:rsidRDefault="00EA7CB3" w:rsidP="00EA7CB3">
            <w:pPr>
              <w:rPr>
                <w:rFonts w:cs="Arial"/>
                <w:color w:val="FF0000"/>
                <w:sz w:val="21"/>
                <w:szCs w:val="21"/>
              </w:rPr>
            </w:pPr>
            <w:r w:rsidRPr="00EA7CB3">
              <w:rPr>
                <w:rFonts w:cs="Arial"/>
                <w:color w:val="FF0000"/>
                <w:sz w:val="21"/>
                <w:szCs w:val="21"/>
              </w:rPr>
              <w:t xml:space="preserve">These cultural and </w:t>
            </w:r>
            <w:r w:rsidR="00165B8B" w:rsidRPr="00EA7CB3">
              <w:rPr>
                <w:rFonts w:cs="Arial"/>
                <w:color w:val="FF0000"/>
                <w:sz w:val="21"/>
                <w:szCs w:val="21"/>
              </w:rPr>
              <w:t>behavioural</w:t>
            </w:r>
            <w:r w:rsidRPr="00EA7CB3">
              <w:rPr>
                <w:rFonts w:cs="Arial"/>
                <w:color w:val="FF0000"/>
                <w:sz w:val="21"/>
                <w:szCs w:val="21"/>
              </w:rPr>
              <w:t xml:space="preserve"> norms will have a significant impact on upcoming business and tourism management students. The need for professionals who can successfully navigate cultural differences and thrive in diverse environments will only increase as the world grows more interconnected. Students who possess strong interpersonal and cultural awareness will therefore have an advantage in the job market. </w:t>
            </w:r>
          </w:p>
          <w:p w14:paraId="6A063D70" w14:textId="77777777" w:rsidR="00EA7CB3" w:rsidRPr="00EA7CB3" w:rsidRDefault="00EA7CB3" w:rsidP="00EA7CB3">
            <w:pPr>
              <w:rPr>
                <w:rFonts w:cs="Arial"/>
                <w:color w:val="FF0000"/>
                <w:sz w:val="21"/>
                <w:szCs w:val="21"/>
              </w:rPr>
            </w:pPr>
          </w:p>
          <w:p w14:paraId="56F0DABB" w14:textId="3D536B33" w:rsidR="004A59E7" w:rsidRPr="0076219E" w:rsidRDefault="00EA7CB3" w:rsidP="0076219E">
            <w:pPr>
              <w:jc w:val="both"/>
              <w:rPr>
                <w:rFonts w:cs="Arial"/>
                <w:color w:val="FF0000"/>
                <w:sz w:val="21"/>
                <w:szCs w:val="21"/>
              </w:rPr>
            </w:pPr>
            <w:r w:rsidRPr="00EA7CB3">
              <w:rPr>
                <w:rFonts w:cs="Arial"/>
                <w:color w:val="FF0000"/>
                <w:sz w:val="21"/>
                <w:szCs w:val="21"/>
              </w:rPr>
              <w:t xml:space="preserve">In addition, the importance of </w:t>
            </w:r>
            <w:r w:rsidR="00165B8B" w:rsidRPr="00EA7CB3">
              <w:rPr>
                <w:rFonts w:cs="Arial"/>
                <w:color w:val="FF0000"/>
                <w:sz w:val="21"/>
                <w:szCs w:val="21"/>
              </w:rPr>
              <w:t>behavioural</w:t>
            </w:r>
            <w:r w:rsidRPr="00EA7CB3">
              <w:rPr>
                <w:rFonts w:cs="Arial"/>
                <w:color w:val="FF0000"/>
                <w:sz w:val="21"/>
                <w:szCs w:val="21"/>
              </w:rPr>
              <w:t xml:space="preserve"> expectations is highlighted by the quick advancement of technology and the growth of digital platforms in the travel and business industries. Students need to understand the significance of providing exceptional customer service and maintaining a positive professional image in a world where online reputation and customer feedback have the power to make or break a business. Success in these industries depends on one's capacity to adjust to rapidly changing consumer preferences and technological advancements.</w:t>
            </w:r>
          </w:p>
          <w:p w14:paraId="161BC97C" w14:textId="1755F050" w:rsidR="004A59E7" w:rsidRPr="00A16219" w:rsidRDefault="004A59E7" w:rsidP="004A59E7">
            <w:pPr>
              <w:rPr>
                <w:rFonts w:cs="Arial"/>
                <w:b/>
                <w:bCs/>
                <w:color w:val="FF0000"/>
                <w:sz w:val="22"/>
                <w:szCs w:val="22"/>
              </w:rPr>
            </w:pPr>
          </w:p>
        </w:tc>
      </w:tr>
      <w:tr w:rsidR="004A59E7" w:rsidRPr="00A16219" w14:paraId="6C297F23" w14:textId="77777777" w:rsidTr="004A59E7">
        <w:trPr>
          <w:trHeight w:val="675"/>
        </w:trPr>
        <w:tc>
          <w:tcPr>
            <w:tcW w:w="13858" w:type="dxa"/>
          </w:tcPr>
          <w:p w14:paraId="69F79A56" w14:textId="34CBE85A" w:rsidR="004A59E7" w:rsidRPr="004B676A" w:rsidRDefault="004A59E7" w:rsidP="004B676A">
            <w:pPr>
              <w:rPr>
                <w:rFonts w:cs="Arial"/>
                <w:b/>
                <w:bCs/>
                <w:sz w:val="22"/>
                <w:szCs w:val="22"/>
              </w:rPr>
            </w:pPr>
            <w:r w:rsidRPr="00A16219">
              <w:rPr>
                <w:rFonts w:cs="Arial"/>
                <w:b/>
                <w:bCs/>
                <w:sz w:val="22"/>
                <w:szCs w:val="22"/>
              </w:rPr>
              <w:t>ii. Future Implications</w:t>
            </w:r>
          </w:p>
          <w:p w14:paraId="50948119" w14:textId="10CB7FEE" w:rsidR="00356990" w:rsidRPr="00A16219" w:rsidRDefault="00356990" w:rsidP="004A59E7">
            <w:pPr>
              <w:rPr>
                <w:rFonts w:cs="Arial"/>
                <w:color w:val="FF0000"/>
                <w:sz w:val="22"/>
                <w:szCs w:val="22"/>
              </w:rPr>
            </w:pPr>
          </w:p>
        </w:tc>
      </w:tr>
      <w:tr w:rsidR="004A59E7" w:rsidRPr="00A16219" w14:paraId="512DE62F" w14:textId="77777777" w:rsidTr="004A59E7">
        <w:tc>
          <w:tcPr>
            <w:tcW w:w="13858" w:type="dxa"/>
          </w:tcPr>
          <w:p w14:paraId="10D9A224" w14:textId="4EDA2951" w:rsidR="00FD1A7A" w:rsidRPr="00FD1A7A" w:rsidRDefault="00FD1A7A" w:rsidP="00FD1A7A">
            <w:pPr>
              <w:rPr>
                <w:rFonts w:cs="Arial"/>
                <w:color w:val="FF0000"/>
                <w:sz w:val="21"/>
                <w:szCs w:val="21"/>
              </w:rPr>
            </w:pPr>
          </w:p>
          <w:p w14:paraId="0DAD6CA6" w14:textId="4E146572" w:rsidR="004A59E7" w:rsidRPr="0076219E" w:rsidRDefault="00FD1A7A" w:rsidP="00973BBB">
            <w:pPr>
              <w:jc w:val="both"/>
              <w:rPr>
                <w:rFonts w:cs="Arial"/>
                <w:color w:val="FF0000"/>
                <w:sz w:val="21"/>
                <w:szCs w:val="21"/>
              </w:rPr>
            </w:pPr>
            <w:r w:rsidRPr="00FD1A7A">
              <w:rPr>
                <w:rFonts w:cs="Arial"/>
                <w:color w:val="FF0000"/>
                <w:sz w:val="21"/>
                <w:szCs w:val="21"/>
              </w:rPr>
              <w:t xml:space="preserve">Furthermore, future students need to think about how their actions will affect society and the environment as ethical and sustainable business and tourism practices become more and more important. The requirements for accountable written by </w:t>
            </w:r>
            <w:r w:rsidR="002663BA" w:rsidRPr="00FD1A7A">
              <w:rPr>
                <w:rFonts w:cs="Arial"/>
                <w:color w:val="FF0000"/>
                <w:sz w:val="21"/>
                <w:szCs w:val="21"/>
              </w:rPr>
              <w:t>Basset</w:t>
            </w:r>
            <w:r w:rsidRPr="00FD1A7A">
              <w:rPr>
                <w:rFonts w:cs="Arial"/>
                <w:color w:val="FF0000"/>
                <w:sz w:val="21"/>
                <w:szCs w:val="21"/>
              </w:rPr>
              <w:t xml:space="preserve"> (2020), looks at the </w:t>
            </w:r>
            <w:r w:rsidR="002663BA" w:rsidRPr="00FD1A7A">
              <w:rPr>
                <w:rFonts w:cs="Arial"/>
                <w:color w:val="FF0000"/>
                <w:sz w:val="21"/>
                <w:szCs w:val="21"/>
              </w:rPr>
              <w:t>behavioural</w:t>
            </w:r>
            <w:r w:rsidRPr="00FD1A7A">
              <w:rPr>
                <w:rFonts w:cs="Arial"/>
                <w:color w:val="FF0000"/>
                <w:sz w:val="21"/>
                <w:szCs w:val="21"/>
              </w:rPr>
              <w:t xml:space="preserve"> and cultural norms that are expected in the study of business and tourism management. These expectations, which call for cultural competency and adaptability, are critical for students to meet as they navigate globalised industries. To create relationships and deliver high-quality service, students must communicate effectively with a variety of people both locally and abroad. In addition to cultural awareness, professionalism, effective communication, leadership, and customer service are critical in these domains. These behaviours are essential not only in academic environments but also in the highly competitive post-graduation job market. Future business and tourism management students need to be aware of the growing need for workers with strong interpersonal skills, a strong sense of cultural awareness, and the ability to thrive in a variety of settings. Furthermore, the development of technology highlights how crucial it is </w:t>
            </w:r>
            <w:r w:rsidR="006828FB" w:rsidRPr="00FD1A7A">
              <w:rPr>
                <w:rFonts w:cs="Arial"/>
                <w:color w:val="FF0000"/>
                <w:sz w:val="21"/>
                <w:szCs w:val="21"/>
              </w:rPr>
              <w:t xml:space="preserve">to </w:t>
            </w:r>
            <w:r w:rsidR="00FD0EFF" w:rsidRPr="00FD1A7A">
              <w:rPr>
                <w:rFonts w:cs="Arial"/>
                <w:color w:val="FF0000"/>
                <w:sz w:val="21"/>
                <w:szCs w:val="21"/>
              </w:rPr>
              <w:t>adjust.</w:t>
            </w:r>
            <w:r w:rsidRPr="00FD1A7A">
              <w:rPr>
                <w:rFonts w:cs="Arial"/>
                <w:color w:val="FF0000"/>
                <w:sz w:val="21"/>
                <w:szCs w:val="21"/>
              </w:rPr>
              <w:t xml:space="preserve"> </w:t>
            </w:r>
          </w:p>
        </w:tc>
      </w:tr>
      <w:tr w:rsidR="004A59E7" w:rsidRPr="00A16219" w14:paraId="302FF44F" w14:textId="77777777" w:rsidTr="004A59E7">
        <w:tc>
          <w:tcPr>
            <w:tcW w:w="13858" w:type="dxa"/>
          </w:tcPr>
          <w:p w14:paraId="68E476A8" w14:textId="77777777" w:rsidR="004A59E7" w:rsidRPr="00A16219" w:rsidRDefault="004A59E7" w:rsidP="004A59E7">
            <w:pPr>
              <w:rPr>
                <w:rFonts w:cs="Arial"/>
                <w:b/>
                <w:bCs/>
                <w:i/>
                <w:iCs/>
                <w:sz w:val="22"/>
                <w:szCs w:val="22"/>
              </w:rPr>
            </w:pPr>
            <w:r w:rsidRPr="00A16219">
              <w:rPr>
                <w:rFonts w:cs="Arial"/>
                <w:b/>
                <w:bCs/>
                <w:sz w:val="22"/>
                <w:szCs w:val="22"/>
              </w:rPr>
              <w:t>iii. Implementation</w:t>
            </w:r>
          </w:p>
          <w:p w14:paraId="2DA8323F" w14:textId="6529CA04" w:rsidR="004A59E7" w:rsidRDefault="004A59E7" w:rsidP="004A59E7">
            <w:pPr>
              <w:rPr>
                <w:rFonts w:cs="Arial"/>
                <w:i/>
                <w:iCs/>
                <w:color w:val="FF0000"/>
                <w:sz w:val="22"/>
                <w:szCs w:val="22"/>
              </w:rPr>
            </w:pPr>
          </w:p>
          <w:p w14:paraId="32603722" w14:textId="5AE8BD04" w:rsidR="00356990" w:rsidRPr="00A16219" w:rsidRDefault="00356990" w:rsidP="004A59E7">
            <w:pPr>
              <w:rPr>
                <w:rFonts w:cs="Arial"/>
                <w:i/>
                <w:iCs/>
                <w:color w:val="FF0000"/>
                <w:sz w:val="22"/>
                <w:szCs w:val="22"/>
              </w:rPr>
            </w:pPr>
          </w:p>
        </w:tc>
      </w:tr>
      <w:tr w:rsidR="004A59E7" w:rsidRPr="00A16219" w14:paraId="322B5B7B" w14:textId="77777777" w:rsidTr="004A59E7">
        <w:trPr>
          <w:trHeight w:val="823"/>
        </w:trPr>
        <w:tc>
          <w:tcPr>
            <w:tcW w:w="13858" w:type="dxa"/>
          </w:tcPr>
          <w:p w14:paraId="01802846" w14:textId="79CE64DC" w:rsidR="004A59E7" w:rsidRPr="00A16219" w:rsidRDefault="0018432C" w:rsidP="004A59E7">
            <w:pPr>
              <w:rPr>
                <w:rFonts w:cs="Arial"/>
                <w:color w:val="FF0000"/>
                <w:sz w:val="22"/>
                <w:szCs w:val="22"/>
              </w:rPr>
            </w:pPr>
            <w:r>
              <w:rPr>
                <w:rFonts w:cs="Arial"/>
                <w:color w:val="FF0000"/>
                <w:sz w:val="22"/>
                <w:szCs w:val="22"/>
              </w:rPr>
              <w:t xml:space="preserve">Mastering </w:t>
            </w:r>
            <w:r w:rsidR="00BB4063" w:rsidRPr="00BB4063">
              <w:rPr>
                <w:rFonts w:cs="Arial"/>
                <w:color w:val="FF0000"/>
                <w:sz w:val="22"/>
                <w:szCs w:val="22"/>
              </w:rPr>
              <w:t>implementation skills, embodying social awareness, honing collaboration abilities, and staying attuned to industry trends are essential for success. By embodying these qualities, students equip themselves with the necessary skills for a rewarding career. The evolving nature of these traits demands students to be adaptable and proactive in their education. Overall, comprehending and putting into practice these social and behavioral traits are essential for students pursuing a degree in Commerce and Tourism Management to excel in this dynamic and competitive field.</w:t>
            </w:r>
          </w:p>
          <w:p w14:paraId="0C3396C3" w14:textId="41FA3445" w:rsidR="004A59E7" w:rsidRPr="00C86E4B" w:rsidRDefault="004A59E7" w:rsidP="00C86E4B">
            <w:pPr>
              <w:rPr>
                <w:rFonts w:cs="Arial"/>
                <w:color w:val="FF0000"/>
                <w:sz w:val="22"/>
                <w:szCs w:val="22"/>
              </w:rPr>
            </w:pPr>
          </w:p>
        </w:tc>
      </w:tr>
    </w:tbl>
    <w:p w14:paraId="2C7E06BD" w14:textId="79D55660" w:rsidR="00723EDC" w:rsidRPr="00A16219" w:rsidRDefault="00723EDC" w:rsidP="00E90423">
      <w:pPr>
        <w:spacing w:after="0" w:line="240" w:lineRule="auto"/>
        <w:rPr>
          <w:rFonts w:eastAsia="Times New Roman" w:cs="Arial"/>
        </w:rPr>
      </w:pPr>
    </w:p>
    <w:p w14:paraId="085F994A" w14:textId="289C7507" w:rsidR="00723EDC" w:rsidRDefault="00723EDC" w:rsidP="00E90423">
      <w:pPr>
        <w:spacing w:after="0" w:line="240" w:lineRule="auto"/>
        <w:rPr>
          <w:rFonts w:eastAsia="Times New Roman" w:cs="Arial"/>
        </w:rPr>
      </w:pPr>
    </w:p>
    <w:p w14:paraId="154254BA" w14:textId="2CB92C7A" w:rsidR="00356990" w:rsidRDefault="00356990" w:rsidP="00E90423">
      <w:pPr>
        <w:spacing w:after="0" w:line="240" w:lineRule="auto"/>
        <w:rPr>
          <w:rFonts w:eastAsia="Times New Roman" w:cs="Arial"/>
        </w:rPr>
      </w:pPr>
    </w:p>
    <w:p w14:paraId="56EC140B" w14:textId="39C9CE07" w:rsidR="00356990" w:rsidRDefault="00356990" w:rsidP="00E90423">
      <w:pPr>
        <w:spacing w:after="0" w:line="240" w:lineRule="auto"/>
        <w:rPr>
          <w:rFonts w:eastAsia="Times New Roman" w:cs="Arial"/>
        </w:rPr>
      </w:pPr>
    </w:p>
    <w:p w14:paraId="0DF1A8D4" w14:textId="0AE68F08" w:rsidR="00356990" w:rsidRDefault="00356990" w:rsidP="00E90423">
      <w:pPr>
        <w:spacing w:after="0" w:line="240" w:lineRule="auto"/>
        <w:rPr>
          <w:rFonts w:eastAsia="Times New Roman" w:cs="Arial"/>
        </w:rPr>
      </w:pPr>
    </w:p>
    <w:p w14:paraId="4A09DA5B" w14:textId="770AB497" w:rsidR="00356990" w:rsidRDefault="00356990" w:rsidP="00E90423">
      <w:pPr>
        <w:spacing w:after="0" w:line="240" w:lineRule="auto"/>
        <w:rPr>
          <w:rFonts w:eastAsia="Times New Roman" w:cs="Arial"/>
        </w:rPr>
      </w:pPr>
    </w:p>
    <w:p w14:paraId="70BEF565" w14:textId="68D91D4C" w:rsidR="00356990" w:rsidRDefault="00356990" w:rsidP="00E90423">
      <w:pPr>
        <w:spacing w:after="0" w:line="240" w:lineRule="auto"/>
        <w:rPr>
          <w:rFonts w:eastAsia="Times New Roman" w:cs="Arial"/>
        </w:rPr>
      </w:pPr>
    </w:p>
    <w:p w14:paraId="6C45E551" w14:textId="507B462B" w:rsidR="00356990" w:rsidRDefault="00356990" w:rsidP="00E90423">
      <w:pPr>
        <w:spacing w:after="0" w:line="240" w:lineRule="auto"/>
        <w:rPr>
          <w:rFonts w:eastAsia="Times New Roman" w:cs="Arial"/>
        </w:rPr>
      </w:pPr>
    </w:p>
    <w:p w14:paraId="243FAF46" w14:textId="3A33C721" w:rsidR="00356990" w:rsidRDefault="00356990" w:rsidP="00E90423">
      <w:pPr>
        <w:spacing w:after="0" w:line="240" w:lineRule="auto"/>
        <w:rPr>
          <w:rFonts w:eastAsia="Times New Roman" w:cs="Arial"/>
        </w:rPr>
      </w:pPr>
    </w:p>
    <w:p w14:paraId="6F6B0764" w14:textId="78076F53" w:rsidR="00356990" w:rsidRDefault="00356990" w:rsidP="00E90423">
      <w:pPr>
        <w:spacing w:after="0" w:line="240" w:lineRule="auto"/>
        <w:rPr>
          <w:rFonts w:eastAsia="Times New Roman" w:cs="Arial"/>
        </w:rPr>
      </w:pPr>
    </w:p>
    <w:p w14:paraId="5046C7DA" w14:textId="466DC40C" w:rsidR="00356990" w:rsidRDefault="00356990" w:rsidP="00E90423">
      <w:pPr>
        <w:spacing w:after="0" w:line="240" w:lineRule="auto"/>
        <w:rPr>
          <w:rFonts w:eastAsia="Times New Roman" w:cs="Arial"/>
        </w:rPr>
      </w:pPr>
    </w:p>
    <w:p w14:paraId="54923368" w14:textId="77777777" w:rsidR="00356990" w:rsidRPr="00A16219" w:rsidRDefault="00356990" w:rsidP="00E90423">
      <w:pPr>
        <w:spacing w:after="0" w:line="240" w:lineRule="auto"/>
        <w:rPr>
          <w:rFonts w:eastAsia="Times New Roman" w:cs="Arial"/>
        </w:rPr>
      </w:pPr>
    </w:p>
    <w:p w14:paraId="7B278AC9" w14:textId="77777777" w:rsidR="00E90423" w:rsidRPr="00A16219" w:rsidRDefault="00E90423" w:rsidP="00E90423">
      <w:pPr>
        <w:spacing w:after="0" w:line="240" w:lineRule="auto"/>
        <w:rPr>
          <w:rFonts w:eastAsia="Times New Roman" w:cs="Arial"/>
        </w:rPr>
      </w:pPr>
    </w:p>
    <w:tbl>
      <w:tblPr>
        <w:tblStyle w:val="TableGrid2"/>
        <w:tblW w:w="0" w:type="auto"/>
        <w:tblLook w:val="04A0" w:firstRow="1" w:lastRow="0" w:firstColumn="1" w:lastColumn="0" w:noHBand="0" w:noVBand="1"/>
      </w:tblPr>
      <w:tblGrid>
        <w:gridCol w:w="9629"/>
      </w:tblGrid>
      <w:tr w:rsidR="00E90423" w:rsidRPr="00A16219" w14:paraId="4976A4E0" w14:textId="77777777" w:rsidTr="0026221A">
        <w:tc>
          <w:tcPr>
            <w:tcW w:w="14176" w:type="dxa"/>
            <w:shd w:val="clear" w:color="auto" w:fill="B4C6E7" w:themeFill="accent1" w:themeFillTint="66"/>
          </w:tcPr>
          <w:p w14:paraId="74E1C8B5" w14:textId="2046F954" w:rsidR="00E90423" w:rsidRDefault="0026221A" w:rsidP="00E90423">
            <w:pPr>
              <w:numPr>
                <w:ilvl w:val="0"/>
                <w:numId w:val="10"/>
              </w:numPr>
              <w:rPr>
                <w:rFonts w:cs="Arial"/>
                <w:b/>
                <w:bCs/>
                <w:sz w:val="22"/>
                <w:szCs w:val="22"/>
              </w:rPr>
            </w:pPr>
            <w:r w:rsidRPr="00A16219">
              <w:rPr>
                <w:rFonts w:cs="Arial"/>
                <w:b/>
                <w:bCs/>
                <w:sz w:val="22"/>
                <w:szCs w:val="22"/>
              </w:rPr>
              <w:t xml:space="preserve">Document- </w:t>
            </w:r>
            <w:r w:rsidR="00E90423" w:rsidRPr="00A16219">
              <w:rPr>
                <w:rFonts w:cs="Arial"/>
                <w:b/>
                <w:bCs/>
                <w:sz w:val="22"/>
                <w:szCs w:val="22"/>
              </w:rPr>
              <w:t>C</w:t>
            </w:r>
            <w:r w:rsidRPr="00A16219">
              <w:rPr>
                <w:rFonts w:cs="Arial"/>
                <w:b/>
                <w:bCs/>
                <w:sz w:val="22"/>
                <w:szCs w:val="22"/>
              </w:rPr>
              <w:t xml:space="preserve">: </w:t>
            </w:r>
            <w:r w:rsidR="00E90423" w:rsidRPr="00A16219">
              <w:rPr>
                <w:rFonts w:cs="Arial"/>
                <w:b/>
                <w:bCs/>
                <w:sz w:val="22"/>
                <w:szCs w:val="22"/>
              </w:rPr>
              <w:t xml:space="preserve">The importance of peer-to-peer support and team working to enhance learning </w:t>
            </w:r>
            <w:r w:rsidRPr="00A16219">
              <w:rPr>
                <w:rFonts w:cs="Arial"/>
                <w:b/>
                <w:bCs/>
                <w:sz w:val="22"/>
                <w:szCs w:val="22"/>
              </w:rPr>
              <w:t>experience.</w:t>
            </w:r>
            <w:r w:rsidR="00293BE3">
              <w:rPr>
                <w:rFonts w:cs="Arial"/>
                <w:b/>
                <w:bCs/>
                <w:sz w:val="22"/>
                <w:szCs w:val="22"/>
              </w:rPr>
              <w:t xml:space="preserve"> (700 Words)</w:t>
            </w:r>
          </w:p>
          <w:p w14:paraId="5DD7C37C" w14:textId="77777777" w:rsidR="00293BE3" w:rsidRPr="00293BE3" w:rsidRDefault="00293BE3" w:rsidP="00E90423">
            <w:pPr>
              <w:numPr>
                <w:ilvl w:val="0"/>
                <w:numId w:val="10"/>
              </w:numPr>
              <w:rPr>
                <w:rFonts w:cs="Arial"/>
                <w:b/>
                <w:bCs/>
                <w:sz w:val="22"/>
                <w:szCs w:val="22"/>
              </w:rPr>
            </w:pPr>
          </w:p>
          <w:p w14:paraId="398BF65A" w14:textId="0069C61C" w:rsidR="0026221A" w:rsidRPr="00A16219" w:rsidRDefault="0026221A" w:rsidP="00E90423">
            <w:pPr>
              <w:rPr>
                <w:rFonts w:cs="Arial"/>
                <w:b/>
                <w:bCs/>
                <w:sz w:val="22"/>
                <w:szCs w:val="22"/>
              </w:rPr>
            </w:pPr>
          </w:p>
        </w:tc>
      </w:tr>
      <w:tr w:rsidR="00E90423" w:rsidRPr="00A16219" w14:paraId="0A274FE7" w14:textId="77777777" w:rsidTr="0061509F">
        <w:tc>
          <w:tcPr>
            <w:tcW w:w="14176" w:type="dxa"/>
          </w:tcPr>
          <w:p w14:paraId="679FF878" w14:textId="74FC6D9A" w:rsidR="00E90423" w:rsidRPr="00A16219" w:rsidRDefault="00A20C7D" w:rsidP="00A20C7D">
            <w:pPr>
              <w:rPr>
                <w:rFonts w:cs="Arial"/>
                <w:b/>
                <w:bCs/>
                <w:i/>
                <w:iCs/>
                <w:sz w:val="22"/>
                <w:szCs w:val="22"/>
              </w:rPr>
            </w:pPr>
            <w:r w:rsidRPr="00A16219">
              <w:rPr>
                <w:rFonts w:cs="Arial"/>
                <w:b/>
                <w:bCs/>
                <w:sz w:val="22"/>
                <w:szCs w:val="22"/>
              </w:rPr>
              <w:t>i. Reflection</w:t>
            </w:r>
            <w:r w:rsidR="00E90423" w:rsidRPr="00A16219">
              <w:rPr>
                <w:rFonts w:cs="Arial"/>
                <w:b/>
                <w:bCs/>
                <w:sz w:val="22"/>
                <w:szCs w:val="22"/>
              </w:rPr>
              <w:t xml:space="preserve"> of Learning</w:t>
            </w:r>
            <w:r w:rsidR="00E90423" w:rsidRPr="00A16219">
              <w:rPr>
                <w:rFonts w:cs="Arial"/>
                <w:i/>
                <w:iCs/>
                <w:sz w:val="22"/>
                <w:szCs w:val="22"/>
              </w:rPr>
              <w:t>:</w:t>
            </w:r>
            <w:r w:rsidR="00E90423" w:rsidRPr="00A16219">
              <w:rPr>
                <w:rFonts w:cs="Arial"/>
                <w:b/>
                <w:bCs/>
                <w:i/>
                <w:iCs/>
                <w:sz w:val="22"/>
                <w:szCs w:val="22"/>
              </w:rPr>
              <w:t xml:space="preserve"> </w:t>
            </w:r>
          </w:p>
          <w:p w14:paraId="7F0BFE4A" w14:textId="266B8324" w:rsidR="00E90423" w:rsidRPr="00A16219" w:rsidRDefault="00E90423" w:rsidP="00E90423">
            <w:pPr>
              <w:rPr>
                <w:rFonts w:cs="Arial"/>
                <w:i/>
                <w:iCs/>
                <w:sz w:val="22"/>
                <w:szCs w:val="22"/>
              </w:rPr>
            </w:pPr>
          </w:p>
        </w:tc>
      </w:tr>
      <w:tr w:rsidR="00E90423" w:rsidRPr="00A16219" w14:paraId="1FCF6723" w14:textId="77777777" w:rsidTr="0061509F">
        <w:tc>
          <w:tcPr>
            <w:tcW w:w="14176" w:type="dxa"/>
          </w:tcPr>
          <w:p w14:paraId="2130FD81" w14:textId="77777777" w:rsidR="00E90423" w:rsidRPr="00A16219" w:rsidRDefault="00E90423" w:rsidP="00E90423">
            <w:pPr>
              <w:rPr>
                <w:rFonts w:cs="Arial"/>
                <w:sz w:val="22"/>
                <w:szCs w:val="22"/>
              </w:rPr>
            </w:pPr>
          </w:p>
          <w:p w14:paraId="349C833C" w14:textId="50D68631" w:rsidR="00E90423" w:rsidRPr="004367F8" w:rsidRDefault="00E90423" w:rsidP="004367F8">
            <w:pPr>
              <w:jc w:val="both"/>
              <w:rPr>
                <w:rFonts w:cs="Arial"/>
                <w:color w:val="FF0000"/>
                <w:sz w:val="21"/>
                <w:szCs w:val="21"/>
              </w:rPr>
            </w:pPr>
          </w:p>
          <w:p w14:paraId="6171E9C6" w14:textId="77777777" w:rsidR="00387F67" w:rsidRPr="00387F67" w:rsidRDefault="00387F67" w:rsidP="00387F67">
            <w:pPr>
              <w:rPr>
                <w:rFonts w:cs="Arial"/>
                <w:color w:val="FF0000"/>
                <w:sz w:val="21"/>
                <w:szCs w:val="21"/>
              </w:rPr>
            </w:pPr>
            <w:r w:rsidRPr="00387F67">
              <w:rPr>
                <w:rFonts w:cs="Arial"/>
                <w:color w:val="FF0000"/>
                <w:sz w:val="21"/>
                <w:szCs w:val="21"/>
              </w:rPr>
              <w:t>Enter text here. Peer support and teamwork are essential for improving students' educational experiences. Students can share ideas, knowledge, and perspectives with one another through peer collaboration, which deepens their understanding of the subject. Students can also benefit from each other's strengths and shortcomings by supporting and guiding one another when necessary.</w:t>
            </w:r>
          </w:p>
          <w:p w14:paraId="6A222B97" w14:textId="77777777" w:rsidR="00387F67" w:rsidRPr="00387F67" w:rsidRDefault="00387F67" w:rsidP="00387F67">
            <w:pPr>
              <w:rPr>
                <w:rFonts w:cs="Arial"/>
                <w:color w:val="FF0000"/>
                <w:sz w:val="21"/>
                <w:szCs w:val="21"/>
              </w:rPr>
            </w:pPr>
            <w:r w:rsidRPr="00387F67">
              <w:rPr>
                <w:rFonts w:cs="Arial"/>
                <w:color w:val="FF0000"/>
                <w:sz w:val="21"/>
                <w:szCs w:val="21"/>
              </w:rPr>
              <w:t xml:space="preserve"> </w:t>
            </w:r>
          </w:p>
          <w:p w14:paraId="3BEF37D1" w14:textId="77777777" w:rsidR="00387F67" w:rsidRPr="00387F67" w:rsidRDefault="00387F67" w:rsidP="00387F67">
            <w:pPr>
              <w:rPr>
                <w:rFonts w:cs="Arial"/>
                <w:color w:val="FF0000"/>
                <w:sz w:val="21"/>
                <w:szCs w:val="21"/>
              </w:rPr>
            </w:pPr>
            <w:r w:rsidRPr="00387F67">
              <w:rPr>
                <w:rFonts w:cs="Arial"/>
                <w:color w:val="FF0000"/>
                <w:sz w:val="21"/>
                <w:szCs w:val="21"/>
              </w:rPr>
              <w:t>Additionally, teamwork enables students to acquire critical cooperation and communication skills as well as the capacity to function well in a group environment. Collaborating in groups teaches students how to assign responsibilities, find solutions to issues, and reach decisions as a group—abilities that are useful in both academic and professional settings.</w:t>
            </w:r>
          </w:p>
          <w:p w14:paraId="633D1F58" w14:textId="77777777" w:rsidR="00387F67" w:rsidRPr="00387F67" w:rsidRDefault="00387F67" w:rsidP="00387F67">
            <w:pPr>
              <w:rPr>
                <w:rFonts w:cs="Arial"/>
                <w:color w:val="FF0000"/>
                <w:sz w:val="21"/>
                <w:szCs w:val="21"/>
              </w:rPr>
            </w:pPr>
            <w:r w:rsidRPr="00387F67">
              <w:rPr>
                <w:rFonts w:cs="Arial"/>
                <w:color w:val="FF0000"/>
                <w:sz w:val="21"/>
                <w:szCs w:val="21"/>
              </w:rPr>
              <w:t xml:space="preserve"> </w:t>
            </w:r>
          </w:p>
          <w:p w14:paraId="3AE86BAE" w14:textId="1784A4BE" w:rsidR="00387F67" w:rsidRPr="00387F67" w:rsidRDefault="00387F67" w:rsidP="00387F67">
            <w:pPr>
              <w:rPr>
                <w:rFonts w:cs="Arial"/>
                <w:color w:val="FF0000"/>
                <w:sz w:val="21"/>
                <w:szCs w:val="21"/>
              </w:rPr>
            </w:pPr>
            <w:r w:rsidRPr="00387F67">
              <w:rPr>
                <w:rFonts w:cs="Arial"/>
                <w:color w:val="FF0000"/>
                <w:sz w:val="21"/>
                <w:szCs w:val="21"/>
              </w:rPr>
              <w:t xml:space="preserve">Peer support </w:t>
            </w:r>
            <w:r w:rsidR="00060034" w:rsidRPr="00387F67">
              <w:rPr>
                <w:rFonts w:cs="Arial"/>
                <w:color w:val="FF0000"/>
                <w:sz w:val="21"/>
                <w:szCs w:val="21"/>
              </w:rPr>
              <w:t>and-teamwork</w:t>
            </w:r>
            <w:r w:rsidRPr="00387F67">
              <w:rPr>
                <w:rFonts w:cs="Arial"/>
                <w:color w:val="FF0000"/>
                <w:sz w:val="21"/>
                <w:szCs w:val="21"/>
              </w:rPr>
              <w:t xml:space="preserve"> are crucial elements of the learning process that promote critical thinking, active engagement, and</w:t>
            </w:r>
          </w:p>
          <w:p w14:paraId="0177BD98" w14:textId="77777777" w:rsidR="00387F67" w:rsidRPr="00387F67" w:rsidRDefault="00387F67" w:rsidP="00387F67">
            <w:pPr>
              <w:rPr>
                <w:rFonts w:cs="Arial"/>
                <w:color w:val="FF0000"/>
                <w:sz w:val="21"/>
                <w:szCs w:val="21"/>
              </w:rPr>
            </w:pPr>
            <w:r w:rsidRPr="00387F67">
              <w:rPr>
                <w:rFonts w:cs="Arial"/>
                <w:color w:val="FF0000"/>
                <w:sz w:val="21"/>
                <w:szCs w:val="21"/>
              </w:rPr>
              <w:t xml:space="preserve"> </w:t>
            </w:r>
          </w:p>
          <w:p w14:paraId="69B1195A" w14:textId="77777777" w:rsidR="00387F67" w:rsidRPr="00387F67" w:rsidRDefault="00387F67" w:rsidP="00387F67">
            <w:pPr>
              <w:rPr>
                <w:rFonts w:cs="Arial"/>
                <w:color w:val="FF0000"/>
                <w:sz w:val="21"/>
                <w:szCs w:val="21"/>
              </w:rPr>
            </w:pPr>
          </w:p>
          <w:p w14:paraId="4A26872F" w14:textId="77777777" w:rsidR="00387F67" w:rsidRPr="00387F67" w:rsidRDefault="00387F67" w:rsidP="00387F67">
            <w:pPr>
              <w:rPr>
                <w:rFonts w:cs="Arial"/>
                <w:color w:val="FF0000"/>
                <w:sz w:val="21"/>
                <w:szCs w:val="21"/>
              </w:rPr>
            </w:pPr>
            <w:r w:rsidRPr="00387F67">
              <w:rPr>
                <w:rFonts w:cs="Arial"/>
                <w:color w:val="FF0000"/>
                <w:sz w:val="21"/>
                <w:szCs w:val="21"/>
              </w:rPr>
              <w:t>It is essential that educational institutions keep encouraging teamwork and peer support as essential components of their curricula in the future. Students gain from this not just academically but also in terms of the development of critical interpersonal abilities like empathy, cooperation, and communication. Peer support can be an effective tool for fostering a sense of community and belonging among students, which can boost motivation and engagement levels and ultimately improve academic performance.</w:t>
            </w:r>
          </w:p>
          <w:p w14:paraId="431CF42F" w14:textId="77777777" w:rsidR="00387F67" w:rsidRPr="00387F67" w:rsidRDefault="00387F67" w:rsidP="00387F67">
            <w:pPr>
              <w:rPr>
                <w:rFonts w:cs="Arial"/>
                <w:color w:val="FF0000"/>
                <w:sz w:val="21"/>
                <w:szCs w:val="21"/>
              </w:rPr>
            </w:pPr>
            <w:r w:rsidRPr="00387F67">
              <w:rPr>
                <w:rFonts w:cs="Arial"/>
                <w:color w:val="FF0000"/>
                <w:sz w:val="21"/>
                <w:szCs w:val="21"/>
              </w:rPr>
              <w:t xml:space="preserve"> </w:t>
            </w:r>
          </w:p>
          <w:p w14:paraId="736366FE" w14:textId="28AD5EE8" w:rsidR="00E90423" w:rsidRPr="004367F8" w:rsidRDefault="00387F67" w:rsidP="004367F8">
            <w:pPr>
              <w:jc w:val="both"/>
              <w:rPr>
                <w:rFonts w:cs="Arial"/>
                <w:color w:val="FF0000"/>
                <w:sz w:val="21"/>
                <w:szCs w:val="21"/>
              </w:rPr>
            </w:pPr>
            <w:r w:rsidRPr="00387F67">
              <w:rPr>
                <w:rFonts w:cs="Arial"/>
                <w:color w:val="FF0000"/>
                <w:sz w:val="21"/>
                <w:szCs w:val="21"/>
              </w:rPr>
              <w:t xml:space="preserve">All things considered, fostering a supportive and stimulating learning environment for students both now and in the future requires a strong emphasis on teamwork and peer-to-peer assistance. Teachers who understand the value of these teamwork techniques can help students acquire the abilities and mindset needed to be successful in both their academic and professional </w:t>
            </w:r>
            <w:r w:rsidR="00557CE7" w:rsidRPr="00387F67">
              <w:rPr>
                <w:rFonts w:cs="Arial"/>
                <w:color w:val="FF0000"/>
                <w:sz w:val="21"/>
                <w:szCs w:val="21"/>
              </w:rPr>
              <w:t>endeavours</w:t>
            </w:r>
            <w:r w:rsidRPr="00387F67">
              <w:rPr>
                <w:rFonts w:cs="Arial"/>
                <w:color w:val="FF0000"/>
                <w:sz w:val="21"/>
                <w:szCs w:val="21"/>
              </w:rPr>
              <w:t>.</w:t>
            </w:r>
          </w:p>
          <w:p w14:paraId="497EC81A" w14:textId="77777777" w:rsidR="00E90423" w:rsidRPr="00A16219" w:rsidRDefault="00E90423" w:rsidP="00E90423">
            <w:pPr>
              <w:rPr>
                <w:rFonts w:cs="Arial"/>
                <w:sz w:val="22"/>
                <w:szCs w:val="22"/>
              </w:rPr>
            </w:pPr>
          </w:p>
        </w:tc>
      </w:tr>
      <w:tr w:rsidR="00E90423" w:rsidRPr="00A16219" w14:paraId="047DA7B3" w14:textId="77777777" w:rsidTr="0061509F">
        <w:tc>
          <w:tcPr>
            <w:tcW w:w="14176" w:type="dxa"/>
          </w:tcPr>
          <w:p w14:paraId="72B46D72" w14:textId="76FA821F" w:rsidR="00E90423" w:rsidRPr="00A16219" w:rsidRDefault="00A20C7D" w:rsidP="00A20C7D">
            <w:pPr>
              <w:rPr>
                <w:rFonts w:cs="Arial"/>
                <w:b/>
                <w:bCs/>
                <w:sz w:val="22"/>
                <w:szCs w:val="22"/>
              </w:rPr>
            </w:pPr>
            <w:r w:rsidRPr="00A16219">
              <w:rPr>
                <w:rFonts w:cs="Arial"/>
                <w:b/>
                <w:bCs/>
                <w:sz w:val="22"/>
                <w:szCs w:val="22"/>
              </w:rPr>
              <w:t xml:space="preserve">ii. </w:t>
            </w:r>
            <w:r w:rsidR="00E90423" w:rsidRPr="00A16219">
              <w:rPr>
                <w:rFonts w:cs="Arial"/>
                <w:b/>
                <w:bCs/>
                <w:sz w:val="22"/>
                <w:szCs w:val="22"/>
              </w:rPr>
              <w:t>Future Implications</w:t>
            </w:r>
            <w:r w:rsidRPr="00A16219">
              <w:rPr>
                <w:rFonts w:cs="Arial"/>
                <w:b/>
                <w:bCs/>
                <w:sz w:val="22"/>
                <w:szCs w:val="22"/>
              </w:rPr>
              <w:t>:</w:t>
            </w:r>
          </w:p>
          <w:p w14:paraId="0ED7B66A" w14:textId="52AF62D9" w:rsidR="00E90423" w:rsidRPr="00A16219" w:rsidRDefault="00E90423" w:rsidP="00E90423">
            <w:pPr>
              <w:rPr>
                <w:rFonts w:cs="Arial"/>
                <w:i/>
                <w:iCs/>
                <w:sz w:val="22"/>
                <w:szCs w:val="22"/>
              </w:rPr>
            </w:pPr>
          </w:p>
        </w:tc>
      </w:tr>
      <w:tr w:rsidR="00E90423" w:rsidRPr="00A16219" w14:paraId="5E61D8C1" w14:textId="77777777" w:rsidTr="0061509F">
        <w:tc>
          <w:tcPr>
            <w:tcW w:w="14176" w:type="dxa"/>
          </w:tcPr>
          <w:p w14:paraId="166F08CA" w14:textId="2851E459" w:rsidR="00F868B2" w:rsidRPr="00F868B2" w:rsidRDefault="00F868B2" w:rsidP="00060034">
            <w:pPr>
              <w:jc w:val="both"/>
              <w:rPr>
                <w:rFonts w:cs="Arial"/>
                <w:color w:val="FF0000"/>
                <w:sz w:val="21"/>
                <w:szCs w:val="21"/>
              </w:rPr>
            </w:pPr>
          </w:p>
          <w:p w14:paraId="3CB0F3E4" w14:textId="77777777" w:rsidR="00F868B2" w:rsidRPr="00F868B2" w:rsidRDefault="00F868B2" w:rsidP="00F868B2">
            <w:pPr>
              <w:rPr>
                <w:rFonts w:cs="Arial"/>
                <w:color w:val="FF0000"/>
                <w:sz w:val="21"/>
                <w:szCs w:val="21"/>
              </w:rPr>
            </w:pPr>
          </w:p>
          <w:p w14:paraId="46BFEDB0" w14:textId="295E9F47" w:rsidR="00E90423" w:rsidRPr="004367F8" w:rsidRDefault="00F868B2" w:rsidP="004367F8">
            <w:pPr>
              <w:jc w:val="both"/>
              <w:rPr>
                <w:rFonts w:cs="Arial"/>
                <w:color w:val="FF0000"/>
                <w:sz w:val="21"/>
                <w:szCs w:val="21"/>
              </w:rPr>
            </w:pPr>
            <w:r w:rsidRPr="00F868B2">
              <w:rPr>
                <w:rFonts w:cs="Arial"/>
                <w:color w:val="FF0000"/>
                <w:sz w:val="21"/>
                <w:szCs w:val="21"/>
              </w:rPr>
              <w:t xml:space="preserve">Enter text </w:t>
            </w:r>
            <w:r w:rsidR="006F7EBC" w:rsidRPr="00F868B2">
              <w:rPr>
                <w:rFonts w:cs="Arial"/>
                <w:color w:val="FF0000"/>
                <w:sz w:val="21"/>
                <w:szCs w:val="21"/>
              </w:rPr>
              <w:t>here. Collaborative</w:t>
            </w:r>
            <w:r w:rsidRPr="00F868B2">
              <w:rPr>
                <w:rFonts w:cs="Arial"/>
                <w:color w:val="FF0000"/>
                <w:sz w:val="21"/>
                <w:szCs w:val="21"/>
              </w:rPr>
              <w:t xml:space="preserve"> efforts and peer support are critical to enhancing the educational process. Working together with peers makes it possible to share perspectives, ideas, and knowledge, which improves the effectiveness and engagement of the learning process. Active participation is </w:t>
            </w:r>
            <w:r w:rsidR="006F7EBC" w:rsidRPr="00F868B2">
              <w:rPr>
                <w:rFonts w:cs="Arial"/>
                <w:color w:val="FF0000"/>
                <w:sz w:val="21"/>
                <w:szCs w:val="21"/>
              </w:rPr>
              <w:t>encouraged,</w:t>
            </w:r>
            <w:r w:rsidRPr="00F868B2">
              <w:rPr>
                <w:rFonts w:cs="Arial"/>
                <w:color w:val="FF0000"/>
                <w:sz w:val="21"/>
                <w:szCs w:val="21"/>
              </w:rPr>
              <w:t xml:space="preserve"> and a sense of community is created through this interaction. Important abilities like problem-solving, cooperation, and communication are also developed via teamwork and are essential in both professional and academic contexts. There are significant long-term effects from placing a strong emphasis on collaboration and peer support in the classroom. Early development of these abilities equips people for future opportunities and challenges. In the end, putting an emphasis on peer-to-peer assistance and teamwork not only improves the educational process but also gives people the tools they need to succeed in their future </w:t>
            </w:r>
            <w:r w:rsidR="006F7EBC" w:rsidRPr="00F868B2">
              <w:rPr>
                <w:rFonts w:cs="Arial"/>
                <w:color w:val="FF0000"/>
                <w:sz w:val="21"/>
                <w:szCs w:val="21"/>
              </w:rPr>
              <w:t>endeavours</w:t>
            </w:r>
            <w:r w:rsidRPr="00F868B2">
              <w:rPr>
                <w:rFonts w:cs="Arial"/>
                <w:color w:val="FF0000"/>
                <w:sz w:val="21"/>
                <w:szCs w:val="21"/>
              </w:rPr>
              <w:t>.</w:t>
            </w:r>
          </w:p>
          <w:p w14:paraId="4C0E5F10" w14:textId="77777777" w:rsidR="00E90423" w:rsidRPr="00A16219" w:rsidRDefault="00E90423" w:rsidP="00E90423">
            <w:pPr>
              <w:rPr>
                <w:rFonts w:cs="Arial"/>
                <w:sz w:val="22"/>
                <w:szCs w:val="22"/>
              </w:rPr>
            </w:pPr>
          </w:p>
        </w:tc>
      </w:tr>
      <w:tr w:rsidR="00E90423" w:rsidRPr="00A16219" w14:paraId="772D97E3" w14:textId="77777777" w:rsidTr="0061509F">
        <w:tc>
          <w:tcPr>
            <w:tcW w:w="14176" w:type="dxa"/>
          </w:tcPr>
          <w:p w14:paraId="6AC54C30" w14:textId="7C1FDA9E" w:rsidR="00E90423" w:rsidRPr="00A16219" w:rsidRDefault="003D609C" w:rsidP="003D609C">
            <w:pPr>
              <w:rPr>
                <w:rFonts w:cs="Arial"/>
                <w:b/>
                <w:bCs/>
                <w:i/>
                <w:iCs/>
                <w:sz w:val="22"/>
                <w:szCs w:val="22"/>
              </w:rPr>
            </w:pPr>
            <w:r w:rsidRPr="00A16219">
              <w:rPr>
                <w:rFonts w:cs="Arial"/>
                <w:b/>
                <w:bCs/>
                <w:sz w:val="22"/>
                <w:szCs w:val="22"/>
              </w:rPr>
              <w:t xml:space="preserve">iii. </w:t>
            </w:r>
            <w:r w:rsidR="00E90423" w:rsidRPr="00A16219">
              <w:rPr>
                <w:rFonts w:cs="Arial"/>
                <w:b/>
                <w:bCs/>
                <w:sz w:val="22"/>
                <w:szCs w:val="22"/>
              </w:rPr>
              <w:t>Implementation</w:t>
            </w:r>
          </w:p>
          <w:p w14:paraId="2E08B2BE" w14:textId="1ED13075" w:rsidR="00E90423" w:rsidRPr="00A16219" w:rsidRDefault="00E90423" w:rsidP="00E90423">
            <w:pPr>
              <w:rPr>
                <w:rFonts w:cs="Arial"/>
                <w:i/>
                <w:iCs/>
                <w:color w:val="FF0000"/>
                <w:sz w:val="22"/>
                <w:szCs w:val="22"/>
              </w:rPr>
            </w:pPr>
          </w:p>
          <w:p w14:paraId="1EBDECAE" w14:textId="77777777" w:rsidR="00E90423" w:rsidRPr="00A16219" w:rsidRDefault="00E90423" w:rsidP="00E90423">
            <w:pPr>
              <w:rPr>
                <w:rFonts w:cs="Arial"/>
                <w:sz w:val="22"/>
                <w:szCs w:val="22"/>
              </w:rPr>
            </w:pPr>
          </w:p>
        </w:tc>
      </w:tr>
      <w:tr w:rsidR="00E90423" w:rsidRPr="00A16219" w14:paraId="2C254FB4" w14:textId="77777777" w:rsidTr="004367F8">
        <w:trPr>
          <w:trHeight w:val="564"/>
        </w:trPr>
        <w:tc>
          <w:tcPr>
            <w:tcW w:w="14176" w:type="dxa"/>
          </w:tcPr>
          <w:p w14:paraId="5B332831" w14:textId="2FFAA2AC" w:rsidR="00E90423" w:rsidRPr="004367F8" w:rsidRDefault="00E90423" w:rsidP="004367F8">
            <w:pPr>
              <w:jc w:val="both"/>
              <w:rPr>
                <w:rFonts w:cs="Arial"/>
                <w:color w:val="FF0000"/>
                <w:sz w:val="21"/>
                <w:szCs w:val="21"/>
              </w:rPr>
            </w:pPr>
          </w:p>
          <w:p w14:paraId="2FBFE9F6" w14:textId="3B2AD3F1" w:rsidR="00582900" w:rsidRPr="00582900" w:rsidRDefault="00582900" w:rsidP="00582900">
            <w:pPr>
              <w:rPr>
                <w:rFonts w:cs="Arial"/>
              </w:rPr>
            </w:pPr>
          </w:p>
          <w:p w14:paraId="707F61F9" w14:textId="77777777" w:rsidR="00582900" w:rsidRPr="00582900" w:rsidRDefault="00582900" w:rsidP="00582900">
            <w:pPr>
              <w:rPr>
                <w:rFonts w:cs="Arial"/>
              </w:rPr>
            </w:pPr>
          </w:p>
          <w:p w14:paraId="61DE84F7" w14:textId="4F853DD7" w:rsidR="00582900" w:rsidRPr="00582900" w:rsidRDefault="00582900" w:rsidP="00582900">
            <w:pPr>
              <w:rPr>
                <w:rFonts w:cs="Arial"/>
              </w:rPr>
            </w:pPr>
            <w:r w:rsidRPr="00582900">
              <w:rPr>
                <w:rFonts w:cs="Arial"/>
              </w:rPr>
              <w:t xml:space="preserve">B. </w:t>
            </w:r>
            <w:r w:rsidR="00730AC7" w:rsidRPr="00582900">
              <w:rPr>
                <w:rFonts w:cs="Arial"/>
              </w:rPr>
              <w:t>Basset</w:t>
            </w:r>
            <w:r w:rsidRPr="00582900">
              <w:rPr>
                <w:rFonts w:cs="Arial"/>
              </w:rPr>
              <w:t xml:space="preserve"> (2020). 3. Edition of The Reflective Journal. Bloomsbury Academic, London.</w:t>
            </w:r>
          </w:p>
          <w:p w14:paraId="309FED25" w14:textId="77777777" w:rsidR="00582900" w:rsidRPr="00582900" w:rsidRDefault="00582900" w:rsidP="00582900">
            <w:pPr>
              <w:rPr>
                <w:rFonts w:cs="Arial"/>
              </w:rPr>
            </w:pPr>
            <w:r w:rsidRPr="00582900">
              <w:rPr>
                <w:rFonts w:cs="Arial"/>
              </w:rPr>
              <w:t>Enter text here.</w:t>
            </w:r>
          </w:p>
          <w:p w14:paraId="5499D24A" w14:textId="7C769C4F" w:rsidR="00E90423" w:rsidRPr="00A16219" w:rsidRDefault="00582900" w:rsidP="004367F8">
            <w:pPr>
              <w:jc w:val="both"/>
              <w:rPr>
                <w:rFonts w:cs="Arial"/>
                <w:sz w:val="22"/>
                <w:szCs w:val="22"/>
              </w:rPr>
            </w:pPr>
            <w:r w:rsidRPr="00582900">
              <w:rPr>
                <w:rFonts w:cs="Arial"/>
              </w:rPr>
              <w:t xml:space="preserve">A careful implementation plan is necessary to improve the learning process through peer-to-peer support and teamwork. This entails setting up collaborative opportunities for students to share knowledge and develop new skills, such as group projects, conversations, and peer tutoring. It is essential to create a welcoming atmosphere that values community and teamwork. Giving people communication, conflict resolution, and teamwork training gives them the tools they need to work well together. Facilitating proactive involvement and engagement in collaborative tasks enhances the educational experience even more. Institutions can create a dynamic and interactive learning environment that encourages collaboration, critical thinking, and personal growth in students by incorporating peer-to-peer support and teamwork into their educational </w:t>
            </w:r>
            <w:r w:rsidR="00730AC7" w:rsidRPr="00582900">
              <w:rPr>
                <w:rFonts w:cs="Arial"/>
              </w:rPr>
              <w:t>practices.</w:t>
            </w:r>
          </w:p>
        </w:tc>
      </w:tr>
    </w:tbl>
    <w:p w14:paraId="15292992" w14:textId="672C8414" w:rsidR="004367F8" w:rsidRDefault="004367F8" w:rsidP="00723EDC">
      <w:pPr>
        <w:shd w:val="clear" w:color="auto" w:fill="FFFFFF" w:themeFill="background1"/>
        <w:spacing w:after="0" w:line="360" w:lineRule="auto"/>
        <w:rPr>
          <w:rFonts w:eastAsia="Times New Roman" w:cs="Arial"/>
          <w:i/>
          <w:iCs/>
        </w:rPr>
      </w:pPr>
    </w:p>
    <w:p w14:paraId="31D3DC64" w14:textId="77777777" w:rsidR="004367F8" w:rsidRPr="00A16219" w:rsidRDefault="004367F8" w:rsidP="00723EDC">
      <w:pPr>
        <w:shd w:val="clear" w:color="auto" w:fill="FFFFFF" w:themeFill="background1"/>
        <w:spacing w:after="0" w:line="360" w:lineRule="auto"/>
        <w:rPr>
          <w:rFonts w:cs="Arial"/>
          <w:b/>
          <w:bCs/>
          <w:i/>
          <w:iCs/>
          <w:shd w:val="clear" w:color="auto" w:fill="FFFFFF" w:themeFill="background1"/>
        </w:rPr>
      </w:pPr>
    </w:p>
    <w:p w14:paraId="41CEE7C5" w14:textId="09DCC9A1" w:rsidR="004367F8" w:rsidRPr="00293BE3" w:rsidRDefault="00723EDC" w:rsidP="00723EDC">
      <w:pPr>
        <w:shd w:val="clear" w:color="auto" w:fill="FFFFFF" w:themeFill="background1"/>
        <w:spacing w:after="0" w:line="360" w:lineRule="auto"/>
        <w:rPr>
          <w:rFonts w:cs="Arial"/>
          <w:b/>
          <w:bCs/>
          <w:i/>
          <w:iCs/>
        </w:rPr>
      </w:pPr>
      <w:r w:rsidRPr="00A16219">
        <w:rPr>
          <w:rFonts w:cs="Arial"/>
          <w:b/>
          <w:bCs/>
          <w:i/>
          <w:iCs/>
          <w:shd w:val="clear" w:color="auto" w:fill="FFFFFF" w:themeFill="background1"/>
        </w:rPr>
        <w:t>Identify strengths, weaknesses, opportunities, and threats in relation to your learning and completion of your degree as a stud</w:t>
      </w:r>
      <w:r w:rsidRPr="00A16219">
        <w:rPr>
          <w:rFonts w:cs="Arial"/>
          <w:b/>
          <w:bCs/>
          <w:i/>
          <w:iCs/>
        </w:rPr>
        <w:t>ent.</w:t>
      </w:r>
    </w:p>
    <w:tbl>
      <w:tblPr>
        <w:tblStyle w:val="TableGrid2"/>
        <w:tblW w:w="0" w:type="auto"/>
        <w:tblLook w:val="04A0" w:firstRow="1" w:lastRow="0" w:firstColumn="1" w:lastColumn="0" w:noHBand="0" w:noVBand="1"/>
      </w:tblPr>
      <w:tblGrid>
        <w:gridCol w:w="9629"/>
      </w:tblGrid>
      <w:tr w:rsidR="00E90423" w:rsidRPr="00A16219" w14:paraId="1F46D8E1" w14:textId="77777777" w:rsidTr="00856997">
        <w:trPr>
          <w:trHeight w:val="667"/>
        </w:trPr>
        <w:tc>
          <w:tcPr>
            <w:tcW w:w="13950" w:type="dxa"/>
            <w:shd w:val="clear" w:color="auto" w:fill="B4C6E7" w:themeFill="accent1" w:themeFillTint="66"/>
          </w:tcPr>
          <w:p w14:paraId="1BE61852" w14:textId="7111BD1D" w:rsidR="00293BE3" w:rsidRPr="00A16219" w:rsidRDefault="00FF6271" w:rsidP="00293BE3">
            <w:pPr>
              <w:numPr>
                <w:ilvl w:val="0"/>
                <w:numId w:val="10"/>
              </w:numPr>
              <w:rPr>
                <w:rFonts w:cs="Arial"/>
                <w:b/>
                <w:bCs/>
                <w:sz w:val="22"/>
                <w:szCs w:val="22"/>
              </w:rPr>
            </w:pPr>
            <w:r w:rsidRPr="00A16219">
              <w:rPr>
                <w:rFonts w:cs="Arial"/>
                <w:b/>
                <w:bCs/>
                <w:sz w:val="22"/>
                <w:szCs w:val="22"/>
                <w:shd w:val="clear" w:color="auto" w:fill="B4C6E7" w:themeFill="accent1" w:themeFillTint="66"/>
              </w:rPr>
              <w:t xml:space="preserve">Document- D: </w:t>
            </w:r>
            <w:r w:rsidR="00A70ED6" w:rsidRPr="00A16219">
              <w:rPr>
                <w:rFonts w:cs="Arial"/>
                <w:b/>
                <w:bCs/>
                <w:sz w:val="22"/>
                <w:szCs w:val="22"/>
                <w:shd w:val="clear" w:color="auto" w:fill="B4C6E7" w:themeFill="accent1" w:themeFillTint="66"/>
              </w:rPr>
              <w:t>SWOT analysis</w:t>
            </w:r>
            <w:r w:rsidR="00293BE3">
              <w:rPr>
                <w:rFonts w:cs="Arial"/>
                <w:b/>
                <w:bCs/>
                <w:sz w:val="22"/>
                <w:szCs w:val="22"/>
                <w:shd w:val="clear" w:color="auto" w:fill="B4C6E7" w:themeFill="accent1" w:themeFillTint="66"/>
              </w:rPr>
              <w:t xml:space="preserve"> </w:t>
            </w:r>
            <w:r w:rsidR="00293BE3">
              <w:rPr>
                <w:rFonts w:cs="Arial"/>
                <w:b/>
                <w:bCs/>
                <w:sz w:val="22"/>
                <w:szCs w:val="22"/>
              </w:rPr>
              <w:t>(400 Words)</w:t>
            </w:r>
          </w:p>
          <w:p w14:paraId="1AB14F95" w14:textId="4417582A" w:rsidR="00E90423" w:rsidRPr="00A16219" w:rsidRDefault="00E90423" w:rsidP="00E90423">
            <w:pPr>
              <w:spacing w:line="360" w:lineRule="auto"/>
              <w:rPr>
                <w:rFonts w:cs="Arial"/>
                <w:b/>
                <w:bCs/>
                <w:sz w:val="22"/>
                <w:szCs w:val="22"/>
                <w:shd w:val="clear" w:color="auto" w:fill="FFFFFF"/>
              </w:rPr>
            </w:pPr>
          </w:p>
        </w:tc>
      </w:tr>
      <w:tr w:rsidR="00E90423" w:rsidRPr="00A16219" w14:paraId="7A878A9E" w14:textId="77777777" w:rsidTr="00856997">
        <w:trPr>
          <w:trHeight w:val="1268"/>
        </w:trPr>
        <w:tc>
          <w:tcPr>
            <w:tcW w:w="13950" w:type="dxa"/>
          </w:tcPr>
          <w:p w14:paraId="63E59B66" w14:textId="1AE31E45" w:rsidR="00E90423" w:rsidRPr="00A16219" w:rsidRDefault="00437D0E" w:rsidP="00B35D8B">
            <w:pPr>
              <w:spacing w:line="360" w:lineRule="auto"/>
              <w:rPr>
                <w:rFonts w:cs="Arial"/>
                <w:i/>
                <w:iCs/>
                <w:color w:val="FF0000"/>
                <w:sz w:val="22"/>
                <w:szCs w:val="22"/>
                <w:shd w:val="clear" w:color="auto" w:fill="FFFFFF"/>
              </w:rPr>
            </w:pPr>
            <w:r w:rsidRPr="00A16219">
              <w:rPr>
                <w:rFonts w:cs="Arial"/>
                <w:b/>
                <w:bCs/>
                <w:sz w:val="22"/>
                <w:szCs w:val="22"/>
              </w:rPr>
              <w:t xml:space="preserve">i. </w:t>
            </w:r>
            <w:r w:rsidR="00E90423" w:rsidRPr="00A16219">
              <w:rPr>
                <w:rFonts w:cs="Arial"/>
                <w:b/>
                <w:bCs/>
                <w:sz w:val="22"/>
                <w:szCs w:val="22"/>
              </w:rPr>
              <w:t>Strengths</w:t>
            </w:r>
          </w:p>
        </w:tc>
      </w:tr>
      <w:tr w:rsidR="00E90423" w:rsidRPr="00A16219" w14:paraId="0C9D4BFF" w14:textId="77777777" w:rsidTr="00856997">
        <w:tc>
          <w:tcPr>
            <w:tcW w:w="13950" w:type="dxa"/>
          </w:tcPr>
          <w:p w14:paraId="22E28A98" w14:textId="5D03FE67" w:rsidR="00E90423" w:rsidRPr="00A16219" w:rsidRDefault="00E90423" w:rsidP="00FF6271">
            <w:pPr>
              <w:rPr>
                <w:rFonts w:cs="Arial"/>
                <w:color w:val="FF0000"/>
                <w:sz w:val="22"/>
                <w:szCs w:val="22"/>
              </w:rPr>
            </w:pPr>
          </w:p>
          <w:p w14:paraId="35622236" w14:textId="77777777" w:rsidR="00862A27" w:rsidRPr="00862A27" w:rsidRDefault="00862A27" w:rsidP="00862A27">
            <w:pPr>
              <w:rPr>
                <w:rFonts w:cs="Arial"/>
                <w:color w:val="FF0000"/>
              </w:rPr>
            </w:pPr>
            <w:r w:rsidRPr="00862A27">
              <w:rPr>
                <w:rFonts w:cs="Arial"/>
                <w:color w:val="FF0000"/>
              </w:rPr>
              <w:t>Swot analysis (Strength) The significance of introspection and self-awareness for enhancing one's personal and professional growth is covered by Gibb (1988). Students can evaluate their own strengths, weaknesses, opportunities, and threats in their academic journey by conducting a SWOT analysis in this context.</w:t>
            </w:r>
          </w:p>
          <w:p w14:paraId="10C747F0" w14:textId="77777777" w:rsidR="00862A27" w:rsidRPr="00862A27" w:rsidRDefault="00862A27" w:rsidP="00862A27">
            <w:pPr>
              <w:rPr>
                <w:rFonts w:cs="Arial"/>
                <w:color w:val="FF0000"/>
              </w:rPr>
            </w:pPr>
            <w:r w:rsidRPr="00862A27">
              <w:rPr>
                <w:rFonts w:cs="Arial"/>
                <w:color w:val="FF0000"/>
              </w:rPr>
              <w:t xml:space="preserve"> </w:t>
            </w:r>
          </w:p>
          <w:p w14:paraId="4472CD7E" w14:textId="7182DD84" w:rsidR="00E90423" w:rsidRDefault="00862A27" w:rsidP="004A59E7">
            <w:pPr>
              <w:rPr>
                <w:rFonts w:cs="Arial"/>
                <w:color w:val="FF0000"/>
                <w:sz w:val="22"/>
                <w:szCs w:val="22"/>
              </w:rPr>
            </w:pPr>
            <w:r w:rsidRPr="00862A27">
              <w:rPr>
                <w:rFonts w:cs="Arial"/>
                <w:color w:val="FF0000"/>
              </w:rPr>
              <w:t xml:space="preserve">To start with, I think that one of my main advantages as a student is my tenacity and strong work ethic. I always try my hardest and put in the work necessary to be successful in my academic </w:t>
            </w:r>
            <w:r w:rsidR="007240E2" w:rsidRPr="00862A27">
              <w:rPr>
                <w:rFonts w:cs="Arial"/>
                <w:color w:val="FF0000"/>
              </w:rPr>
              <w:t>endeavours</w:t>
            </w:r>
            <w:r w:rsidRPr="00862A27">
              <w:rPr>
                <w:rFonts w:cs="Arial"/>
                <w:color w:val="FF0000"/>
              </w:rPr>
              <w:t xml:space="preserve">. I also have good </w:t>
            </w:r>
            <w:r w:rsidR="00B461A7" w:rsidRPr="00862A27">
              <w:rPr>
                <w:rFonts w:cs="Arial"/>
                <w:color w:val="FF0000"/>
              </w:rPr>
              <w:t>organisational</w:t>
            </w:r>
            <w:r w:rsidRPr="00862A27">
              <w:rPr>
                <w:rFonts w:cs="Arial"/>
                <w:color w:val="FF0000"/>
              </w:rPr>
              <w:t xml:space="preserve"> and discipline skills, which aid in keeping me on top of my workload and due dates. I've been able to succeed academically and earn good grades thanks to these attributes.</w:t>
            </w:r>
          </w:p>
          <w:p w14:paraId="74CD8CBE" w14:textId="60089617" w:rsidR="00F179A5" w:rsidRPr="00A16219" w:rsidRDefault="00F179A5" w:rsidP="004A59E7">
            <w:pPr>
              <w:rPr>
                <w:rFonts w:cs="Arial"/>
                <w:color w:val="FF0000"/>
                <w:sz w:val="22"/>
                <w:szCs w:val="22"/>
              </w:rPr>
            </w:pPr>
          </w:p>
        </w:tc>
      </w:tr>
      <w:tr w:rsidR="00E90423" w:rsidRPr="00A16219" w14:paraId="20595045" w14:textId="77777777" w:rsidTr="00856997">
        <w:tc>
          <w:tcPr>
            <w:tcW w:w="13950" w:type="dxa"/>
          </w:tcPr>
          <w:p w14:paraId="09792751" w14:textId="5981CD07" w:rsidR="00E90423" w:rsidRPr="00A16219" w:rsidRDefault="00437D0E" w:rsidP="00E90423">
            <w:pPr>
              <w:spacing w:line="360" w:lineRule="auto"/>
              <w:rPr>
                <w:rFonts w:cs="Arial"/>
                <w:b/>
                <w:bCs/>
                <w:sz w:val="22"/>
                <w:szCs w:val="22"/>
              </w:rPr>
            </w:pPr>
            <w:r w:rsidRPr="00A16219">
              <w:rPr>
                <w:rFonts w:cs="Arial"/>
                <w:b/>
                <w:bCs/>
                <w:sz w:val="22"/>
                <w:szCs w:val="22"/>
              </w:rPr>
              <w:t xml:space="preserve">ii. </w:t>
            </w:r>
            <w:r w:rsidR="00E90423" w:rsidRPr="00A16219">
              <w:rPr>
                <w:rFonts w:cs="Arial"/>
                <w:b/>
                <w:bCs/>
                <w:sz w:val="22"/>
                <w:szCs w:val="22"/>
              </w:rPr>
              <w:t>Weaknesses</w:t>
            </w:r>
          </w:p>
          <w:p w14:paraId="7A65DF84" w14:textId="1138B445" w:rsidR="00E90423" w:rsidRPr="00A16219" w:rsidRDefault="00E90423" w:rsidP="00437D0E">
            <w:pPr>
              <w:rPr>
                <w:rFonts w:cs="Arial"/>
                <w:i/>
                <w:iCs/>
                <w:color w:val="FF0000"/>
                <w:sz w:val="22"/>
                <w:szCs w:val="22"/>
              </w:rPr>
            </w:pPr>
          </w:p>
          <w:p w14:paraId="07E61251" w14:textId="1021C3EC" w:rsidR="00437D0E" w:rsidRPr="00A16219" w:rsidRDefault="00437D0E" w:rsidP="00437D0E">
            <w:pPr>
              <w:rPr>
                <w:rFonts w:cs="Arial"/>
                <w:i/>
                <w:iCs/>
                <w:color w:val="FF0000"/>
                <w:sz w:val="22"/>
                <w:szCs w:val="22"/>
                <w:shd w:val="clear" w:color="auto" w:fill="FFFFFF"/>
              </w:rPr>
            </w:pPr>
          </w:p>
        </w:tc>
      </w:tr>
      <w:tr w:rsidR="00E90423" w:rsidRPr="00A16219" w14:paraId="38C35696" w14:textId="77777777" w:rsidTr="00856997">
        <w:tc>
          <w:tcPr>
            <w:tcW w:w="13950" w:type="dxa"/>
          </w:tcPr>
          <w:p w14:paraId="16017098" w14:textId="2B3BEC1D" w:rsidR="0055164C" w:rsidRPr="0055164C" w:rsidRDefault="0055164C" w:rsidP="00513799">
            <w:pPr>
              <w:rPr>
                <w:rFonts w:cs="Arial"/>
                <w:color w:val="FF0000"/>
              </w:rPr>
            </w:pPr>
          </w:p>
          <w:p w14:paraId="504938A1" w14:textId="77777777" w:rsidR="0055164C" w:rsidRPr="0055164C" w:rsidRDefault="0055164C" w:rsidP="0055164C">
            <w:pPr>
              <w:rPr>
                <w:rFonts w:cs="Arial"/>
                <w:color w:val="FF0000"/>
              </w:rPr>
            </w:pPr>
          </w:p>
          <w:p w14:paraId="1CA46B53" w14:textId="56C7A998" w:rsidR="00E90423" w:rsidRDefault="0055164C" w:rsidP="0016349C">
            <w:pPr>
              <w:rPr>
                <w:rFonts w:cs="Arial"/>
                <w:color w:val="FF0000"/>
                <w:sz w:val="22"/>
                <w:szCs w:val="22"/>
              </w:rPr>
            </w:pPr>
            <w:r w:rsidRPr="0055164C">
              <w:rPr>
                <w:rFonts w:cs="Arial"/>
                <w:color w:val="FF0000"/>
              </w:rPr>
              <w:t>However, my propensity to put things off is one of my flaws as a student. I frequently have trouble managing my time and tend to wait until the last minute, which can cause stress and result in poor quality work. I know that I can do better in this area, and I'm working hard to strengthen my time management abilities in order to address this shortcoming.</w:t>
            </w:r>
          </w:p>
          <w:p w14:paraId="7114746C" w14:textId="03422C26" w:rsidR="00F179A5" w:rsidRPr="00A16219" w:rsidRDefault="00F179A5" w:rsidP="0016349C">
            <w:pPr>
              <w:rPr>
                <w:rFonts w:cs="Arial"/>
                <w:color w:val="FF0000"/>
                <w:sz w:val="22"/>
                <w:szCs w:val="22"/>
                <w:shd w:val="clear" w:color="auto" w:fill="FFFFFF"/>
              </w:rPr>
            </w:pPr>
          </w:p>
        </w:tc>
      </w:tr>
      <w:tr w:rsidR="00E90423" w:rsidRPr="00A16219" w14:paraId="0948EF33" w14:textId="77777777" w:rsidTr="00856997">
        <w:tc>
          <w:tcPr>
            <w:tcW w:w="13950" w:type="dxa"/>
          </w:tcPr>
          <w:p w14:paraId="5D8BD663" w14:textId="78F925C5" w:rsidR="00E90423" w:rsidRDefault="00437D0E" w:rsidP="00F36A0D">
            <w:pPr>
              <w:spacing w:line="360" w:lineRule="auto"/>
              <w:rPr>
                <w:rFonts w:cs="Arial"/>
                <w:i/>
                <w:iCs/>
                <w:color w:val="FF0000"/>
                <w:sz w:val="22"/>
                <w:szCs w:val="22"/>
              </w:rPr>
            </w:pPr>
            <w:r w:rsidRPr="00A16219">
              <w:rPr>
                <w:rFonts w:cs="Arial"/>
                <w:b/>
                <w:bCs/>
                <w:sz w:val="22"/>
                <w:szCs w:val="22"/>
              </w:rPr>
              <w:t xml:space="preserve">iii. </w:t>
            </w:r>
            <w:r w:rsidR="00F36A0D">
              <w:rPr>
                <w:rFonts w:cs="Arial"/>
                <w:b/>
                <w:bCs/>
                <w:sz w:val="22"/>
                <w:szCs w:val="22"/>
              </w:rPr>
              <w:t xml:space="preserve">Opportunities </w:t>
            </w:r>
          </w:p>
          <w:p w14:paraId="23EAFF18" w14:textId="758DD75C" w:rsidR="00F179A5" w:rsidRPr="00A16219" w:rsidRDefault="00F179A5" w:rsidP="004367F8">
            <w:pPr>
              <w:rPr>
                <w:rFonts w:cs="Arial"/>
                <w:i/>
                <w:iCs/>
                <w:color w:val="FF0000"/>
                <w:sz w:val="22"/>
                <w:szCs w:val="22"/>
              </w:rPr>
            </w:pPr>
          </w:p>
        </w:tc>
      </w:tr>
      <w:tr w:rsidR="00E90423" w:rsidRPr="00A16219" w14:paraId="3C5CB485" w14:textId="77777777" w:rsidTr="00856997">
        <w:tc>
          <w:tcPr>
            <w:tcW w:w="13950" w:type="dxa"/>
          </w:tcPr>
          <w:p w14:paraId="644A9AC1" w14:textId="0F89B600" w:rsidR="00E90423" w:rsidRDefault="00DB092E" w:rsidP="009E2164">
            <w:pPr>
              <w:rPr>
                <w:rFonts w:cs="Arial"/>
                <w:color w:val="FF0000"/>
                <w:sz w:val="22"/>
                <w:szCs w:val="22"/>
              </w:rPr>
            </w:pPr>
            <w:r w:rsidRPr="00DB092E">
              <w:rPr>
                <w:rFonts w:cs="Arial"/>
                <w:color w:val="FF0000"/>
                <w:sz w:val="22"/>
                <w:szCs w:val="22"/>
              </w:rPr>
              <w:t xml:space="preserve">Opportunities In a SWOT analysis, opportunities are outside variables that have the potential to benefit a company or a person. Potential areas for development, enhancement, or advancement are among these variables. Market trends, technology developments, alterations to regulations, or new alliances can all present opportunities. </w:t>
            </w:r>
            <w:r w:rsidR="00895423" w:rsidRPr="00DB092E">
              <w:rPr>
                <w:rFonts w:cs="Arial"/>
                <w:color w:val="FF0000"/>
                <w:sz w:val="22"/>
                <w:szCs w:val="22"/>
              </w:rPr>
              <w:t>Organisations</w:t>
            </w:r>
            <w:r w:rsidRPr="00DB092E">
              <w:rPr>
                <w:rFonts w:cs="Arial"/>
                <w:color w:val="FF0000"/>
                <w:sz w:val="22"/>
                <w:szCs w:val="22"/>
              </w:rPr>
              <w:t xml:space="preserve"> can innovate, broaden their reach, and obtain a competitive edge by identifying and seizing these chances. Opportunities for people can take the form of chances for networking, skill improvement, career advancement, or personal development. Accepting these chances can result in achievement, originality, and general contentment. To take full advantage of opportunities, one must be vigilant and proactive in spotting and acting upon them as they present themselves. </w:t>
            </w:r>
            <w:r w:rsidR="00A35C99" w:rsidRPr="00DB092E">
              <w:rPr>
                <w:rFonts w:cs="Arial"/>
                <w:color w:val="FF0000"/>
                <w:sz w:val="22"/>
                <w:szCs w:val="22"/>
              </w:rPr>
              <w:t>Recognise</w:t>
            </w:r>
            <w:r w:rsidRPr="00DB092E">
              <w:rPr>
                <w:rFonts w:cs="Arial"/>
                <w:color w:val="FF0000"/>
                <w:sz w:val="22"/>
                <w:szCs w:val="22"/>
              </w:rPr>
              <w:t xml:space="preserve"> and act upon opportunities as they present themselves in order to take full advantage of them.</w:t>
            </w:r>
          </w:p>
          <w:p w14:paraId="7DAEF793" w14:textId="6AB60780" w:rsidR="00F179A5" w:rsidRPr="00A16219" w:rsidRDefault="00F179A5" w:rsidP="0016349C">
            <w:pPr>
              <w:rPr>
                <w:rFonts w:cs="Arial"/>
                <w:color w:val="FF0000"/>
                <w:sz w:val="22"/>
                <w:szCs w:val="22"/>
              </w:rPr>
            </w:pPr>
          </w:p>
        </w:tc>
      </w:tr>
      <w:tr w:rsidR="00E90423" w:rsidRPr="00A16219" w14:paraId="2802A466" w14:textId="77777777" w:rsidTr="00856997">
        <w:tc>
          <w:tcPr>
            <w:tcW w:w="13950" w:type="dxa"/>
          </w:tcPr>
          <w:p w14:paraId="4B861E5E" w14:textId="121DA026" w:rsidR="00E90423" w:rsidRPr="00A16219" w:rsidRDefault="00437D0E" w:rsidP="00437D0E">
            <w:pPr>
              <w:spacing w:line="360" w:lineRule="auto"/>
              <w:rPr>
                <w:rFonts w:cs="Arial"/>
                <w:b/>
                <w:bCs/>
                <w:sz w:val="22"/>
                <w:szCs w:val="22"/>
              </w:rPr>
            </w:pPr>
            <w:r w:rsidRPr="00A16219">
              <w:rPr>
                <w:rFonts w:cs="Arial"/>
                <w:b/>
                <w:bCs/>
                <w:sz w:val="22"/>
                <w:szCs w:val="22"/>
              </w:rPr>
              <w:t xml:space="preserve">iv. </w:t>
            </w:r>
            <w:r w:rsidR="00E90423" w:rsidRPr="00A16219">
              <w:rPr>
                <w:rFonts w:cs="Arial"/>
                <w:b/>
                <w:bCs/>
                <w:sz w:val="22"/>
                <w:szCs w:val="22"/>
              </w:rPr>
              <w:t>Threats</w:t>
            </w:r>
          </w:p>
          <w:p w14:paraId="42A3BC4A" w14:textId="2991A19A" w:rsidR="00E90423" w:rsidRDefault="00E90423" w:rsidP="00F179A5">
            <w:pPr>
              <w:rPr>
                <w:rFonts w:cs="Arial"/>
                <w:i/>
                <w:iCs/>
                <w:color w:val="FF0000"/>
                <w:sz w:val="22"/>
                <w:szCs w:val="22"/>
              </w:rPr>
            </w:pPr>
          </w:p>
          <w:p w14:paraId="7347E3FF" w14:textId="46A1A780" w:rsidR="00F179A5" w:rsidRPr="00A16219" w:rsidRDefault="00F179A5" w:rsidP="00F179A5">
            <w:pPr>
              <w:rPr>
                <w:rFonts w:cs="Arial"/>
                <w:color w:val="FF0000"/>
                <w:sz w:val="22"/>
                <w:szCs w:val="22"/>
                <w:shd w:val="clear" w:color="auto" w:fill="FFFFFF"/>
              </w:rPr>
            </w:pPr>
          </w:p>
        </w:tc>
      </w:tr>
      <w:tr w:rsidR="00E90423" w:rsidRPr="00A16219" w14:paraId="6CF80BEF" w14:textId="77777777" w:rsidTr="00856997">
        <w:tc>
          <w:tcPr>
            <w:tcW w:w="13950" w:type="dxa"/>
          </w:tcPr>
          <w:p w14:paraId="4DEAA240" w14:textId="488C3166" w:rsidR="00655AB6" w:rsidRPr="00655AB6" w:rsidRDefault="00655AB6" w:rsidP="00513799">
            <w:pPr>
              <w:rPr>
                <w:rFonts w:cs="Arial"/>
                <w:color w:val="FF0000"/>
              </w:rPr>
            </w:pPr>
          </w:p>
          <w:p w14:paraId="3D5F43E5" w14:textId="454FF597" w:rsidR="00655AB6" w:rsidRPr="00655AB6" w:rsidRDefault="00655AB6" w:rsidP="00655AB6">
            <w:pPr>
              <w:rPr>
                <w:rFonts w:cs="Arial"/>
                <w:color w:val="FF0000"/>
              </w:rPr>
            </w:pPr>
          </w:p>
          <w:p w14:paraId="0ABC8F72" w14:textId="77777777" w:rsidR="00655AB6" w:rsidRPr="00655AB6" w:rsidRDefault="00655AB6" w:rsidP="00655AB6">
            <w:pPr>
              <w:rPr>
                <w:rFonts w:cs="Arial"/>
                <w:color w:val="FF0000"/>
              </w:rPr>
            </w:pPr>
          </w:p>
          <w:p w14:paraId="7ED7C76D" w14:textId="08D90F58" w:rsidR="00655AB6" w:rsidRPr="00655AB6" w:rsidRDefault="00655AB6" w:rsidP="00655AB6">
            <w:pPr>
              <w:rPr>
                <w:rFonts w:cs="Arial"/>
                <w:color w:val="FF0000"/>
              </w:rPr>
            </w:pPr>
            <w:r w:rsidRPr="00655AB6">
              <w:rPr>
                <w:rFonts w:cs="Arial"/>
                <w:color w:val="FF0000"/>
              </w:rPr>
              <w:t xml:space="preserve">External factors like financial limitations, personal challenges, and unforeseen events can potentially </w:t>
            </w:r>
            <w:r w:rsidR="00513799" w:rsidRPr="00655AB6">
              <w:rPr>
                <w:rFonts w:cs="Arial"/>
                <w:color w:val="FF0000"/>
              </w:rPr>
              <w:t>jeopardise</w:t>
            </w:r>
            <w:r w:rsidRPr="00655AB6">
              <w:rPr>
                <w:rFonts w:cs="Arial"/>
                <w:color w:val="FF0000"/>
              </w:rPr>
              <w:t xml:space="preserve"> my academic success. It is crucial that I recognize these possible risks and create plans to lessen them. This could entail asking for help from instructors or academic advisors, handling money sensibly, and placing a high value on my wellbeing and self-care.</w:t>
            </w:r>
          </w:p>
          <w:p w14:paraId="370A9796" w14:textId="77777777" w:rsidR="00655AB6" w:rsidRPr="00655AB6" w:rsidRDefault="00655AB6" w:rsidP="00655AB6">
            <w:pPr>
              <w:rPr>
                <w:rFonts w:cs="Arial"/>
                <w:color w:val="FF0000"/>
              </w:rPr>
            </w:pPr>
            <w:r w:rsidRPr="00655AB6">
              <w:rPr>
                <w:rFonts w:cs="Arial"/>
                <w:color w:val="FF0000"/>
              </w:rPr>
              <w:t xml:space="preserve"> </w:t>
            </w:r>
          </w:p>
          <w:p w14:paraId="688EBC97" w14:textId="64BB4AE6" w:rsidR="00E90423" w:rsidRDefault="00655AB6" w:rsidP="00F179A5">
            <w:pPr>
              <w:rPr>
                <w:rFonts w:cs="Arial"/>
                <w:color w:val="FF0000"/>
                <w:sz w:val="22"/>
                <w:szCs w:val="22"/>
              </w:rPr>
            </w:pPr>
            <w:r w:rsidRPr="00655AB6">
              <w:rPr>
                <w:rFonts w:cs="Arial"/>
                <w:color w:val="FF0000"/>
              </w:rPr>
              <w:t>To sum up, performing a SWOT analysis as a student has given me important insights into my opportunities, threats, weaknesses, and strengths. By making the most of my opportunities, strengthening my areas of weakness, and utilising my strengths.</w:t>
            </w:r>
          </w:p>
          <w:p w14:paraId="60F68924" w14:textId="3F382921" w:rsidR="00F179A5" w:rsidRPr="00A16219" w:rsidRDefault="00F179A5" w:rsidP="00F179A5">
            <w:pPr>
              <w:rPr>
                <w:rFonts w:cs="Arial"/>
                <w:color w:val="FF0000"/>
                <w:sz w:val="22"/>
                <w:szCs w:val="22"/>
              </w:rPr>
            </w:pPr>
          </w:p>
        </w:tc>
      </w:tr>
    </w:tbl>
    <w:p w14:paraId="7819A257" w14:textId="77777777" w:rsidR="00856997" w:rsidRPr="00411C06" w:rsidRDefault="00856997" w:rsidP="00856997">
      <w:pPr>
        <w:rPr>
          <w:rFonts w:ascii="Calibri" w:hAnsi="Calibri" w:cs="Calibri"/>
          <w:b/>
          <w:bCs/>
          <w:sz w:val="28"/>
          <w:szCs w:val="28"/>
          <w:u w:val="single"/>
        </w:rPr>
      </w:pPr>
      <w:r w:rsidRPr="00411C06">
        <w:rPr>
          <w:rFonts w:ascii="Calibri" w:hAnsi="Calibri" w:cs="Calibri"/>
          <w:b/>
          <w:bCs/>
          <w:sz w:val="28"/>
          <w:szCs w:val="28"/>
          <w:u w:val="single"/>
        </w:rPr>
        <w:t>References</w:t>
      </w:r>
    </w:p>
    <w:p w14:paraId="1D858731" w14:textId="3143C05D" w:rsidR="00A06870" w:rsidRPr="00721481" w:rsidRDefault="00856997" w:rsidP="00721481">
      <w:pPr>
        <w:pStyle w:val="ListParagraph"/>
        <w:numPr>
          <w:ilvl w:val="0"/>
          <w:numId w:val="2"/>
        </w:numPr>
        <w:rPr>
          <w:rFonts w:ascii="Calibri" w:hAnsi="Calibri" w:cs="Calibri"/>
          <w:b/>
          <w:bCs/>
          <w:i/>
          <w:iCs/>
          <w:color w:val="FF0000"/>
          <w:sz w:val="24"/>
          <w:szCs w:val="24"/>
        </w:rPr>
      </w:pPr>
      <w:r w:rsidRPr="00730D50">
        <w:rPr>
          <w:rFonts w:ascii="Calibri" w:hAnsi="Calibri" w:cs="Calibri"/>
          <w:b/>
          <w:bCs/>
          <w:i/>
          <w:iCs/>
          <w:color w:val="FF0000"/>
          <w:sz w:val="24"/>
          <w:szCs w:val="24"/>
        </w:rPr>
        <w:t xml:space="preserve">Include </w:t>
      </w:r>
      <w:r w:rsidRPr="00730D50">
        <w:rPr>
          <w:rFonts w:ascii="Calibri" w:hAnsi="Calibri" w:cs="Calibri"/>
          <w:b/>
          <w:bCs/>
          <w:i/>
          <w:iCs/>
          <w:color w:val="FF0000"/>
          <w:sz w:val="24"/>
          <w:szCs w:val="24"/>
          <w:u w:val="single"/>
        </w:rPr>
        <w:t>10</w:t>
      </w:r>
      <w:r w:rsidRPr="00730D50">
        <w:rPr>
          <w:rFonts w:ascii="Calibri" w:hAnsi="Calibri" w:cs="Calibri"/>
          <w:b/>
          <w:bCs/>
          <w:i/>
          <w:iCs/>
          <w:color w:val="FF0000"/>
          <w:sz w:val="24"/>
          <w:szCs w:val="24"/>
        </w:rPr>
        <w:t xml:space="preserve"> references </w:t>
      </w:r>
      <w:r w:rsidR="00721481">
        <w:rPr>
          <w:rFonts w:ascii="Calibri" w:hAnsi="Calibri" w:cs="Calibri"/>
          <w:b/>
          <w:bCs/>
          <w:i/>
          <w:iCs/>
          <w:color w:val="FF0000"/>
          <w:sz w:val="24"/>
          <w:szCs w:val="24"/>
        </w:rPr>
        <w:t>here.</w:t>
      </w:r>
    </w:p>
    <w:p w14:paraId="6774F0BC" w14:textId="77777777" w:rsidR="00856997" w:rsidRPr="00A06870" w:rsidRDefault="00856997" w:rsidP="00856997">
      <w:pPr>
        <w:rPr>
          <w:rFonts w:ascii="Calibri" w:eastAsia="Calibri" w:hAnsi="Calibri" w:cs="Calibri"/>
          <w:b/>
          <w:i/>
          <w:sz w:val="28"/>
          <w:szCs w:val="28"/>
          <w:u w:val="single"/>
        </w:rPr>
      </w:pPr>
      <w:r w:rsidRPr="00A06870">
        <w:rPr>
          <w:rFonts w:ascii="Calibri" w:eastAsia="Calibri" w:hAnsi="Calibri" w:cs="Calibri"/>
          <w:b/>
          <w:i/>
          <w:sz w:val="28"/>
          <w:szCs w:val="28"/>
          <w:u w:val="single"/>
        </w:rPr>
        <w:t>Instruction to students:</w:t>
      </w:r>
    </w:p>
    <w:p w14:paraId="335BA62B" w14:textId="61D52573" w:rsidR="00856997" w:rsidRPr="00730D50" w:rsidRDefault="00856997" w:rsidP="00856997">
      <w:pPr>
        <w:numPr>
          <w:ilvl w:val="0"/>
          <w:numId w:val="9"/>
        </w:numPr>
        <w:spacing w:after="0" w:line="240" w:lineRule="auto"/>
        <w:contextualSpacing/>
        <w:rPr>
          <w:rFonts w:ascii="Calibri" w:eastAsia="Calibri" w:hAnsi="Calibri" w:cs="Calibri"/>
          <w:b/>
          <w:bCs/>
          <w:sz w:val="24"/>
          <w:szCs w:val="24"/>
          <w:u w:val="single"/>
        </w:rPr>
      </w:pPr>
      <w:r w:rsidRPr="00730D50">
        <w:rPr>
          <w:rFonts w:ascii="Calibri" w:eastAsia="Calibri" w:hAnsi="Calibri" w:cs="Calibri"/>
          <w:sz w:val="24"/>
          <w:szCs w:val="24"/>
        </w:rPr>
        <w:t xml:space="preserve">Prior to final submission please </w:t>
      </w:r>
      <w:r w:rsidRPr="00730D50">
        <w:rPr>
          <w:rFonts w:ascii="Calibri" w:eastAsia="Calibri" w:hAnsi="Calibri" w:cs="Calibri"/>
          <w:b/>
          <w:bCs/>
          <w:i/>
          <w:sz w:val="24"/>
          <w:szCs w:val="24"/>
        </w:rPr>
        <w:t xml:space="preserve">delete </w:t>
      </w:r>
      <w:r w:rsidRPr="00730D50">
        <w:rPr>
          <w:rFonts w:ascii="Calibri" w:eastAsia="Calibri" w:hAnsi="Calibri" w:cs="Calibri"/>
          <w:b/>
          <w:bCs/>
          <w:i/>
          <w:color w:val="FF0000"/>
          <w:sz w:val="24"/>
          <w:szCs w:val="24"/>
          <w:u w:val="single"/>
        </w:rPr>
        <w:t>the red highlighted</w:t>
      </w:r>
      <w:r w:rsidRPr="00730D50">
        <w:rPr>
          <w:rFonts w:ascii="Calibri" w:eastAsia="Calibri" w:hAnsi="Calibri" w:cs="Calibri"/>
          <w:b/>
          <w:bCs/>
          <w:color w:val="FF0000"/>
          <w:sz w:val="24"/>
          <w:szCs w:val="24"/>
          <w:u w:val="single"/>
        </w:rPr>
        <w:t xml:space="preserve"> </w:t>
      </w:r>
      <w:r w:rsidRPr="00730D50">
        <w:rPr>
          <w:rFonts w:ascii="Calibri" w:eastAsia="Calibri" w:hAnsi="Calibri" w:cs="Calibri"/>
          <w:b/>
          <w:bCs/>
          <w:i/>
          <w:iCs/>
          <w:color w:val="FF0000"/>
          <w:sz w:val="24"/>
          <w:szCs w:val="24"/>
          <w:u w:val="single"/>
        </w:rPr>
        <w:t xml:space="preserve">instructions </w:t>
      </w:r>
      <w:r w:rsidRPr="00730D50">
        <w:rPr>
          <w:rFonts w:ascii="Calibri" w:eastAsia="Calibri" w:hAnsi="Calibri" w:cs="Calibri"/>
          <w:b/>
          <w:bCs/>
          <w:color w:val="FF0000"/>
          <w:sz w:val="24"/>
          <w:szCs w:val="24"/>
          <w:u w:val="single"/>
        </w:rPr>
        <w:t>from the table</w:t>
      </w:r>
      <w:r w:rsidRPr="00730D50">
        <w:rPr>
          <w:rFonts w:ascii="Calibri" w:eastAsia="Calibri" w:hAnsi="Calibri" w:cs="Calibri"/>
          <w:b/>
          <w:bCs/>
          <w:sz w:val="24"/>
          <w:szCs w:val="24"/>
          <w:u w:val="single"/>
        </w:rPr>
        <w:t>.</w:t>
      </w:r>
    </w:p>
    <w:p w14:paraId="5E028959" w14:textId="77777777" w:rsidR="00856997" w:rsidRPr="00730D50" w:rsidRDefault="00856997" w:rsidP="00856997">
      <w:pPr>
        <w:numPr>
          <w:ilvl w:val="0"/>
          <w:numId w:val="9"/>
        </w:numPr>
        <w:spacing w:after="0" w:line="240" w:lineRule="auto"/>
        <w:contextualSpacing/>
        <w:rPr>
          <w:rFonts w:ascii="Calibri" w:eastAsia="Calibri" w:hAnsi="Calibri" w:cs="Calibri"/>
          <w:sz w:val="24"/>
          <w:szCs w:val="24"/>
        </w:rPr>
      </w:pPr>
      <w:r w:rsidRPr="00730D50">
        <w:rPr>
          <w:rFonts w:ascii="Calibri" w:eastAsia="Calibri" w:hAnsi="Calibri" w:cs="Calibri"/>
          <w:sz w:val="24"/>
          <w:szCs w:val="24"/>
        </w:rPr>
        <w:t>Use as many additional pages as needed.</w:t>
      </w:r>
    </w:p>
    <w:p w14:paraId="225C1159" w14:textId="780B5F7A" w:rsidR="00856997" w:rsidRPr="00730D50" w:rsidRDefault="00856997" w:rsidP="00856997">
      <w:pPr>
        <w:numPr>
          <w:ilvl w:val="0"/>
          <w:numId w:val="9"/>
        </w:numPr>
        <w:spacing w:after="0" w:line="240" w:lineRule="auto"/>
        <w:contextualSpacing/>
        <w:rPr>
          <w:rFonts w:ascii="Calibri" w:eastAsia="Calibri" w:hAnsi="Calibri" w:cs="Calibri"/>
          <w:sz w:val="24"/>
          <w:szCs w:val="24"/>
        </w:rPr>
      </w:pPr>
      <w:r w:rsidRPr="00730D50">
        <w:rPr>
          <w:rFonts w:ascii="Calibri" w:eastAsia="Calibri" w:hAnsi="Calibri" w:cs="Calibri"/>
          <w:sz w:val="24"/>
          <w:szCs w:val="24"/>
        </w:rPr>
        <w:t>E-portfolio is worth 100% of overall mark.</w:t>
      </w:r>
    </w:p>
    <w:p w14:paraId="6A2A2BCC" w14:textId="77777777" w:rsidR="00E90423" w:rsidRDefault="00E90423" w:rsidP="00F36B6E"/>
    <w:p w14:paraId="2E8D58FD" w14:textId="7BB8D54B" w:rsidR="00DF1B4A" w:rsidRDefault="00DF1B4A" w:rsidP="00F36B6E">
      <w:pPr>
        <w:tabs>
          <w:tab w:val="left" w:pos="2730"/>
        </w:tabs>
      </w:pPr>
    </w:p>
    <w:p w14:paraId="7CDB8D70" w14:textId="0DCDF0CF" w:rsidR="0055382B" w:rsidRDefault="0055382B" w:rsidP="00F36B6E">
      <w:pPr>
        <w:tabs>
          <w:tab w:val="left" w:pos="2730"/>
        </w:tabs>
      </w:pPr>
    </w:p>
    <w:p w14:paraId="309BF710" w14:textId="6A61EDB0" w:rsidR="0055382B" w:rsidRDefault="0055382B" w:rsidP="00F36B6E">
      <w:pPr>
        <w:tabs>
          <w:tab w:val="left" w:pos="2730"/>
        </w:tabs>
      </w:pPr>
    </w:p>
    <w:p w14:paraId="49E860B7" w14:textId="72D315E8" w:rsidR="0055382B" w:rsidRDefault="0055382B" w:rsidP="00F36B6E">
      <w:pPr>
        <w:tabs>
          <w:tab w:val="left" w:pos="2730"/>
        </w:tabs>
      </w:pPr>
    </w:p>
    <w:p w14:paraId="26FC65C9" w14:textId="3BD99747" w:rsidR="0055382B" w:rsidRDefault="0055382B" w:rsidP="00F36B6E">
      <w:pPr>
        <w:tabs>
          <w:tab w:val="left" w:pos="2730"/>
        </w:tabs>
      </w:pPr>
    </w:p>
    <w:p w14:paraId="258D4EAB" w14:textId="390FC1B9" w:rsidR="0055382B" w:rsidRDefault="0055382B" w:rsidP="00F36B6E">
      <w:pPr>
        <w:tabs>
          <w:tab w:val="left" w:pos="2730"/>
        </w:tabs>
      </w:pPr>
    </w:p>
    <w:p w14:paraId="2C87BA9D" w14:textId="6E0EDBCB" w:rsidR="0055382B" w:rsidRDefault="0055382B" w:rsidP="00F36B6E">
      <w:pPr>
        <w:tabs>
          <w:tab w:val="left" w:pos="2730"/>
        </w:tabs>
      </w:pPr>
    </w:p>
    <w:p w14:paraId="4B12F4E1" w14:textId="31493893" w:rsidR="0055382B" w:rsidRDefault="0055382B" w:rsidP="00F36B6E">
      <w:pPr>
        <w:tabs>
          <w:tab w:val="left" w:pos="2730"/>
        </w:tabs>
      </w:pPr>
    </w:p>
    <w:p w14:paraId="610C3B43" w14:textId="2D4A6DB4" w:rsidR="0055382B" w:rsidRDefault="0055382B" w:rsidP="00F36B6E">
      <w:pPr>
        <w:tabs>
          <w:tab w:val="left" w:pos="2730"/>
        </w:tabs>
      </w:pPr>
    </w:p>
    <w:p w14:paraId="1B5F6F9B" w14:textId="37493F49" w:rsidR="0055382B" w:rsidRDefault="0055382B" w:rsidP="00F36B6E">
      <w:pPr>
        <w:tabs>
          <w:tab w:val="left" w:pos="2730"/>
        </w:tabs>
      </w:pPr>
    </w:p>
    <w:p w14:paraId="100DB348" w14:textId="78A389E0" w:rsidR="0055382B" w:rsidRDefault="0055382B" w:rsidP="00F36B6E">
      <w:pPr>
        <w:tabs>
          <w:tab w:val="left" w:pos="2730"/>
        </w:tabs>
      </w:pPr>
    </w:p>
    <w:p w14:paraId="34ED4379" w14:textId="0D423E6B" w:rsidR="0055382B" w:rsidRDefault="0055382B" w:rsidP="00F36B6E">
      <w:pPr>
        <w:tabs>
          <w:tab w:val="left" w:pos="2730"/>
        </w:tabs>
      </w:pPr>
    </w:p>
    <w:p w14:paraId="416150F5" w14:textId="4D6BA8C9" w:rsidR="0055382B" w:rsidRDefault="0055382B" w:rsidP="00F36B6E">
      <w:pPr>
        <w:tabs>
          <w:tab w:val="left" w:pos="2730"/>
        </w:tabs>
      </w:pPr>
    </w:p>
    <w:p w14:paraId="3637026F" w14:textId="776526E0" w:rsidR="0055382B" w:rsidRDefault="0055382B" w:rsidP="00F36B6E">
      <w:pPr>
        <w:tabs>
          <w:tab w:val="left" w:pos="2730"/>
        </w:tabs>
      </w:pPr>
    </w:p>
    <w:p w14:paraId="7E91554F" w14:textId="2882B44F" w:rsidR="0055382B" w:rsidRDefault="0055382B" w:rsidP="00F36B6E">
      <w:pPr>
        <w:tabs>
          <w:tab w:val="left" w:pos="2730"/>
        </w:tabs>
      </w:pPr>
    </w:p>
    <w:p w14:paraId="394BF0E0" w14:textId="77777777" w:rsidR="0055382B" w:rsidRDefault="0055382B" w:rsidP="00F36B6E">
      <w:pPr>
        <w:tabs>
          <w:tab w:val="left" w:pos="2730"/>
        </w:tabs>
      </w:pPr>
    </w:p>
    <w:sectPr w:rsidR="0055382B" w:rsidSect="00AE2E24">
      <w:pgSz w:w="11907" w:h="16840" w:code="9"/>
      <w:pgMar w:top="1440" w:right="1134"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D9EC" w14:textId="77777777" w:rsidR="00AE2E24" w:rsidRDefault="00AE2E24" w:rsidP="008A7BD2">
      <w:pPr>
        <w:spacing w:after="0" w:line="240" w:lineRule="auto"/>
      </w:pPr>
      <w:r>
        <w:separator/>
      </w:r>
    </w:p>
  </w:endnote>
  <w:endnote w:type="continuationSeparator" w:id="0">
    <w:p w14:paraId="626667C5" w14:textId="77777777" w:rsidR="00AE2E24" w:rsidRDefault="00AE2E24" w:rsidP="008A7BD2">
      <w:pPr>
        <w:spacing w:after="0" w:line="240" w:lineRule="auto"/>
      </w:pPr>
      <w:r>
        <w:continuationSeparator/>
      </w:r>
    </w:p>
  </w:endnote>
  <w:endnote w:type="continuationNotice" w:id="1">
    <w:p w14:paraId="799C82FC" w14:textId="77777777" w:rsidR="00AE2E24" w:rsidRDefault="00AE2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Lt BT">
    <w:altName w:val="Calibri"/>
    <w:panose1 w:val="020B0604020202020204"/>
    <w:charset w:val="00"/>
    <w:family w:val="swiss"/>
    <w:pitch w:val="variable"/>
    <w:sig w:usb0="00000087" w:usb1="00000000" w:usb2="00000000" w:usb3="00000000" w:csb0="0000001B"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00546"/>
      <w:docPartObj>
        <w:docPartGallery w:val="Page Numbers (Bottom of Page)"/>
        <w:docPartUnique/>
      </w:docPartObj>
    </w:sdtPr>
    <w:sdtEndPr>
      <w:rPr>
        <w:noProof/>
      </w:rPr>
    </w:sdtEndPr>
    <w:sdtContent>
      <w:p w14:paraId="08EB4694" w14:textId="1278A4B9" w:rsidR="009477F9" w:rsidRDefault="009477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DF66D" w14:textId="48192D4A" w:rsidR="00A92C6D" w:rsidRDefault="00A92C6D" w:rsidP="00624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A6D5" w14:textId="77777777" w:rsidR="00AE2E24" w:rsidRDefault="00AE2E24" w:rsidP="008A7BD2">
      <w:pPr>
        <w:spacing w:after="0" w:line="240" w:lineRule="auto"/>
      </w:pPr>
      <w:r>
        <w:separator/>
      </w:r>
    </w:p>
  </w:footnote>
  <w:footnote w:type="continuationSeparator" w:id="0">
    <w:p w14:paraId="5A7AD795" w14:textId="77777777" w:rsidR="00AE2E24" w:rsidRDefault="00AE2E24" w:rsidP="008A7BD2">
      <w:pPr>
        <w:spacing w:after="0" w:line="240" w:lineRule="auto"/>
      </w:pPr>
      <w:r>
        <w:continuationSeparator/>
      </w:r>
    </w:p>
  </w:footnote>
  <w:footnote w:type="continuationNotice" w:id="1">
    <w:p w14:paraId="56928436" w14:textId="77777777" w:rsidR="00AE2E24" w:rsidRDefault="00AE2E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102C" w14:textId="3E6904D3" w:rsidR="00E857BA" w:rsidRDefault="00E857BA">
    <w:pPr>
      <w:pStyle w:val="Header"/>
      <w:jc w:val="center"/>
    </w:pPr>
  </w:p>
  <w:p w14:paraId="685146A5" w14:textId="7B99E556" w:rsidR="008A7BD2" w:rsidRDefault="008A7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4C6"/>
    <w:multiLevelType w:val="hybridMultilevel"/>
    <w:tmpl w:val="44D655EC"/>
    <w:lvl w:ilvl="0" w:tplc="8004A8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D30D6"/>
    <w:multiLevelType w:val="hybridMultilevel"/>
    <w:tmpl w:val="C27C9DE2"/>
    <w:lvl w:ilvl="0" w:tplc="5AC0E744">
      <w:start w:val="1"/>
      <w:numFmt w:val="lowerRoman"/>
      <w:lvlText w:val="%1."/>
      <w:lvlJc w:val="right"/>
      <w:pPr>
        <w:ind w:left="1077" w:hanging="720"/>
      </w:pPr>
      <w:rPr>
        <w:b w:val="0"/>
        <w:bCs/>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2" w15:restartNumberingAfterBreak="0">
    <w:nsid w:val="0A2154CB"/>
    <w:multiLevelType w:val="hybridMultilevel"/>
    <w:tmpl w:val="2564F06C"/>
    <w:lvl w:ilvl="0" w:tplc="2C90013E">
      <w:start w:val="1"/>
      <w:numFmt w:val="upperLetter"/>
      <w:lvlText w:val="%1."/>
      <w:lvlJc w:val="left"/>
      <w:pPr>
        <w:ind w:left="717" w:hanging="360"/>
      </w:pPr>
      <w:rPr>
        <w:rFonts w:hint="default"/>
        <w:b/>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 w15:restartNumberingAfterBreak="0">
    <w:nsid w:val="0D983801"/>
    <w:multiLevelType w:val="hybridMultilevel"/>
    <w:tmpl w:val="C242F0D8"/>
    <w:lvl w:ilvl="0" w:tplc="184A2C32">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176035"/>
    <w:multiLevelType w:val="hybridMultilevel"/>
    <w:tmpl w:val="8D16006E"/>
    <w:lvl w:ilvl="0" w:tplc="D33C66A6">
      <w:start w:val="1"/>
      <w:numFmt w:val="lowerRoman"/>
      <w:lvlText w:val="%1."/>
      <w:lvlJc w:val="left"/>
      <w:pPr>
        <w:ind w:left="1077" w:hanging="720"/>
      </w:pPr>
      <w:rPr>
        <w:rFonts w:eastAsia="Calibri" w:hint="default"/>
        <w:b w:val="0"/>
        <w:u w:val="single"/>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14A959A3"/>
    <w:multiLevelType w:val="hybridMultilevel"/>
    <w:tmpl w:val="E9529B74"/>
    <w:lvl w:ilvl="0" w:tplc="565458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E0BF7"/>
    <w:multiLevelType w:val="hybridMultilevel"/>
    <w:tmpl w:val="5A4454DE"/>
    <w:lvl w:ilvl="0" w:tplc="2E84E108">
      <w:start w:val="1"/>
      <w:numFmt w:val="lowerRoman"/>
      <w:lvlText w:val="%1."/>
      <w:lvlJc w:val="left"/>
      <w:pPr>
        <w:ind w:left="720" w:hanging="720"/>
      </w:pPr>
      <w:rPr>
        <w:rFonts w:eastAsia="Calibri" w:hint="default"/>
        <w:b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2A5A67"/>
    <w:multiLevelType w:val="hybridMultilevel"/>
    <w:tmpl w:val="B76644A0"/>
    <w:lvl w:ilvl="0" w:tplc="A44449B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F6E093D"/>
    <w:multiLevelType w:val="hybridMultilevel"/>
    <w:tmpl w:val="03A63816"/>
    <w:lvl w:ilvl="0" w:tplc="EB2C99DE">
      <w:start w:val="1"/>
      <w:numFmt w:val="lowerRoman"/>
      <w:lvlText w:val="%1."/>
      <w:lvlJc w:val="right"/>
      <w:pPr>
        <w:ind w:left="1210" w:hanging="360"/>
      </w:pPr>
      <w:rPr>
        <w:rFonts w:hint="default"/>
        <w:b w:val="0"/>
        <w:bCs w:val="0"/>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22EE2C28"/>
    <w:multiLevelType w:val="hybridMultilevel"/>
    <w:tmpl w:val="C9E4E0D2"/>
    <w:lvl w:ilvl="0" w:tplc="EE526298">
      <w:start w:val="1"/>
      <w:numFmt w:val="lowerRoman"/>
      <w:lvlText w:val="%1."/>
      <w:lvlJc w:val="left"/>
      <w:pPr>
        <w:ind w:left="1440" w:hanging="720"/>
      </w:pPr>
      <w:rPr>
        <w:rFonts w:eastAsia="Calibri" w:hint="default"/>
        <w:b w:val="0"/>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42C5C18"/>
    <w:multiLevelType w:val="hybridMultilevel"/>
    <w:tmpl w:val="BD2E20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032C46"/>
    <w:multiLevelType w:val="hybridMultilevel"/>
    <w:tmpl w:val="B80C21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8E73E3"/>
    <w:multiLevelType w:val="hybridMultilevel"/>
    <w:tmpl w:val="41107DA0"/>
    <w:lvl w:ilvl="0" w:tplc="27C62574">
      <w:start w:val="1"/>
      <w:numFmt w:val="lowerRoman"/>
      <w:lvlText w:val="%1."/>
      <w:lvlJc w:val="left"/>
      <w:pPr>
        <w:ind w:left="1077" w:hanging="72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15:restartNumberingAfterBreak="0">
    <w:nsid w:val="27BA31A3"/>
    <w:multiLevelType w:val="multilevel"/>
    <w:tmpl w:val="0A2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B471D"/>
    <w:multiLevelType w:val="hybridMultilevel"/>
    <w:tmpl w:val="6B7839C8"/>
    <w:lvl w:ilvl="0" w:tplc="35F44B34">
      <w:start w:val="1"/>
      <w:numFmt w:val="lowerRoman"/>
      <w:lvlText w:val="%1."/>
      <w:lvlJc w:val="right"/>
      <w:pPr>
        <w:ind w:left="1080" w:hanging="360"/>
      </w:pPr>
      <w:rPr>
        <w:rFonts w:ascii="Arial" w:eastAsia="Calibri" w:hAnsi="Arial" w:cs="Arial"/>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B31032"/>
    <w:multiLevelType w:val="hybridMultilevel"/>
    <w:tmpl w:val="E27C6DDE"/>
    <w:lvl w:ilvl="0" w:tplc="19088BAC">
      <w:start w:val="1"/>
      <w:numFmt w:val="lowerRoman"/>
      <w:lvlText w:val="%1."/>
      <w:lvlJc w:val="left"/>
      <w:pPr>
        <w:ind w:left="1077" w:hanging="720"/>
      </w:pPr>
      <w:rPr>
        <w:rFonts w:cstheme="minorBidi"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6" w15:restartNumberingAfterBreak="0">
    <w:nsid w:val="2CB562A7"/>
    <w:multiLevelType w:val="hybridMultilevel"/>
    <w:tmpl w:val="9260F0B6"/>
    <w:lvl w:ilvl="0" w:tplc="822442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D80762"/>
    <w:multiLevelType w:val="hybridMultilevel"/>
    <w:tmpl w:val="FDE62046"/>
    <w:lvl w:ilvl="0" w:tplc="99B40B96">
      <w:start w:val="1"/>
      <w:numFmt w:val="upperLetter"/>
      <w:lvlText w:val="%1."/>
      <w:lvlJc w:val="left"/>
      <w:pPr>
        <w:ind w:left="717" w:hanging="360"/>
      </w:pPr>
      <w:rPr>
        <w:rFonts w:cstheme="minorBidi" w:hint="default"/>
        <w:b/>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39250669"/>
    <w:multiLevelType w:val="hybridMultilevel"/>
    <w:tmpl w:val="7E34179E"/>
    <w:lvl w:ilvl="0" w:tplc="CAB06950">
      <w:start w:val="1"/>
      <w:numFmt w:val="lowerRoman"/>
      <w:lvlText w:val="%1."/>
      <w:lvlJc w:val="left"/>
      <w:pPr>
        <w:ind w:left="720" w:hanging="720"/>
      </w:pPr>
      <w:rPr>
        <w:rFonts w:eastAsia="Calibri" w:hint="default"/>
        <w:b w:val="0"/>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BF132C"/>
    <w:multiLevelType w:val="hybridMultilevel"/>
    <w:tmpl w:val="5C767AF2"/>
    <w:lvl w:ilvl="0" w:tplc="FFFFFFFF">
      <w:start w:val="1"/>
      <w:numFmt w:val="lowerRoman"/>
      <w:lvlText w:val="%1."/>
      <w:lvlJc w:val="right"/>
      <w:pPr>
        <w:ind w:left="717" w:hanging="360"/>
      </w:pPr>
      <w:rPr>
        <w:rFonts w:ascii="Arial" w:eastAsia="Calibri" w:hAnsi="Arial" w:cs="Arial"/>
        <w:b w:val="0"/>
        <w:bCs w:val="0"/>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20" w15:restartNumberingAfterBreak="0">
    <w:nsid w:val="41B32969"/>
    <w:multiLevelType w:val="multilevel"/>
    <w:tmpl w:val="9CF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405A8"/>
    <w:multiLevelType w:val="hybridMultilevel"/>
    <w:tmpl w:val="537AE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9A6630"/>
    <w:multiLevelType w:val="hybridMultilevel"/>
    <w:tmpl w:val="E8E42268"/>
    <w:lvl w:ilvl="0" w:tplc="FFFFFFFF">
      <w:start w:val="1"/>
      <w:numFmt w:val="lowerRoman"/>
      <w:lvlText w:val="%1."/>
      <w:lvlJc w:val="right"/>
      <w:pPr>
        <w:ind w:left="1077" w:hanging="720"/>
      </w:pPr>
      <w:rPr>
        <w:rFonts w:ascii="Arial" w:eastAsiaTheme="minorHAnsi" w:hAnsi="Arial" w:cs="Arial"/>
        <w:b w:val="0"/>
        <w:bCs/>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3" w15:restartNumberingAfterBreak="0">
    <w:nsid w:val="51190216"/>
    <w:multiLevelType w:val="hybridMultilevel"/>
    <w:tmpl w:val="4AD8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1020A4"/>
    <w:multiLevelType w:val="hybridMultilevel"/>
    <w:tmpl w:val="F2C2A0EA"/>
    <w:lvl w:ilvl="0" w:tplc="A60E129A">
      <w:start w:val="1"/>
      <w:numFmt w:val="lowerRoman"/>
      <w:lvlText w:val="%1."/>
      <w:lvlJc w:val="left"/>
      <w:pPr>
        <w:ind w:left="720" w:hanging="72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E302D7"/>
    <w:multiLevelType w:val="hybridMultilevel"/>
    <w:tmpl w:val="D00CFE18"/>
    <w:lvl w:ilvl="0" w:tplc="08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 w15:restartNumberingAfterBreak="0">
    <w:nsid w:val="61C352F2"/>
    <w:multiLevelType w:val="hybridMultilevel"/>
    <w:tmpl w:val="E5F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761545"/>
    <w:multiLevelType w:val="hybridMultilevel"/>
    <w:tmpl w:val="F11C505C"/>
    <w:lvl w:ilvl="0" w:tplc="81948FBE">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F87146"/>
    <w:multiLevelType w:val="hybridMultilevel"/>
    <w:tmpl w:val="B0845E3A"/>
    <w:lvl w:ilvl="0" w:tplc="61DE1704">
      <w:start w:val="1"/>
      <w:numFmt w:val="upperLetter"/>
      <w:lvlText w:val="%1)"/>
      <w:lvlJc w:val="left"/>
      <w:pPr>
        <w:ind w:left="717" w:hanging="360"/>
      </w:pPr>
      <w:rPr>
        <w:rFonts w:hint="default"/>
        <w:b/>
        <w:bCs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0" w15:restartNumberingAfterBreak="0">
    <w:nsid w:val="6F4322A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0F008F"/>
    <w:multiLevelType w:val="hybridMultilevel"/>
    <w:tmpl w:val="424001A8"/>
    <w:lvl w:ilvl="0" w:tplc="0CB6F5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C130A8"/>
    <w:multiLevelType w:val="hybridMultilevel"/>
    <w:tmpl w:val="FBF24096"/>
    <w:lvl w:ilvl="0" w:tplc="4DE49BD0">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183B98"/>
    <w:multiLevelType w:val="hybridMultilevel"/>
    <w:tmpl w:val="B62E8794"/>
    <w:lvl w:ilvl="0" w:tplc="9B14BE8C">
      <w:start w:val="1"/>
      <w:numFmt w:val="upperLetter"/>
      <w:lvlText w:val="%1)"/>
      <w:lvlJc w:val="left"/>
      <w:pPr>
        <w:ind w:left="0" w:hanging="360"/>
      </w:pPr>
      <w:rPr>
        <w:rFonts w:hint="default"/>
        <w:b/>
        <w:bCs/>
        <w:sz w:val="24"/>
        <w:szCs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5" w15:restartNumberingAfterBreak="0">
    <w:nsid w:val="7AE85AFA"/>
    <w:multiLevelType w:val="hybridMultilevel"/>
    <w:tmpl w:val="FBB4F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32880"/>
    <w:multiLevelType w:val="hybridMultilevel"/>
    <w:tmpl w:val="F9885E60"/>
    <w:lvl w:ilvl="0" w:tplc="C6C4FAF4">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1857827">
    <w:abstractNumId w:val="25"/>
  </w:num>
  <w:num w:numId="2" w16cid:durableId="640158903">
    <w:abstractNumId w:val="33"/>
  </w:num>
  <w:num w:numId="3" w16cid:durableId="1818573130">
    <w:abstractNumId w:val="27"/>
  </w:num>
  <w:num w:numId="4" w16cid:durableId="669724080">
    <w:abstractNumId w:val="26"/>
  </w:num>
  <w:num w:numId="5" w16cid:durableId="207844601">
    <w:abstractNumId w:val="21"/>
  </w:num>
  <w:num w:numId="6" w16cid:durableId="835270263">
    <w:abstractNumId w:val="1"/>
  </w:num>
  <w:num w:numId="7" w16cid:durableId="1425151103">
    <w:abstractNumId w:val="14"/>
  </w:num>
  <w:num w:numId="8" w16cid:durableId="139465742">
    <w:abstractNumId w:val="8"/>
  </w:num>
  <w:num w:numId="9" w16cid:durableId="968391628">
    <w:abstractNumId w:val="35"/>
  </w:num>
  <w:num w:numId="10" w16cid:durableId="620963101">
    <w:abstractNumId w:val="34"/>
  </w:num>
  <w:num w:numId="11" w16cid:durableId="1800344093">
    <w:abstractNumId w:val="29"/>
  </w:num>
  <w:num w:numId="12" w16cid:durableId="1919827602">
    <w:abstractNumId w:val="3"/>
  </w:num>
  <w:num w:numId="13" w16cid:durableId="1965578877">
    <w:abstractNumId w:val="5"/>
  </w:num>
  <w:num w:numId="14" w16cid:durableId="463473497">
    <w:abstractNumId w:val="22"/>
  </w:num>
  <w:num w:numId="15" w16cid:durableId="1325627258">
    <w:abstractNumId w:val="17"/>
  </w:num>
  <w:num w:numId="16" w16cid:durableId="85270726">
    <w:abstractNumId w:val="15"/>
  </w:num>
  <w:num w:numId="17" w16cid:durableId="843201444">
    <w:abstractNumId w:val="19"/>
  </w:num>
  <w:num w:numId="18" w16cid:durableId="881399979">
    <w:abstractNumId w:val="12"/>
  </w:num>
  <w:num w:numId="19" w16cid:durableId="1781292904">
    <w:abstractNumId w:val="4"/>
  </w:num>
  <w:num w:numId="20" w16cid:durableId="1208224694">
    <w:abstractNumId w:val="18"/>
  </w:num>
  <w:num w:numId="21" w16cid:durableId="1965574174">
    <w:abstractNumId w:val="9"/>
  </w:num>
  <w:num w:numId="22" w16cid:durableId="1566642775">
    <w:abstractNumId w:val="6"/>
  </w:num>
  <w:num w:numId="23" w16cid:durableId="828058623">
    <w:abstractNumId w:val="2"/>
  </w:num>
  <w:num w:numId="24" w16cid:durableId="1510022601">
    <w:abstractNumId w:val="13"/>
  </w:num>
  <w:num w:numId="25" w16cid:durableId="780803471">
    <w:abstractNumId w:val="20"/>
  </w:num>
  <w:num w:numId="26" w16cid:durableId="1110009944">
    <w:abstractNumId w:val="16"/>
  </w:num>
  <w:num w:numId="27" w16cid:durableId="1156338769">
    <w:abstractNumId w:val="36"/>
  </w:num>
  <w:num w:numId="28" w16cid:durableId="1595093536">
    <w:abstractNumId w:val="32"/>
  </w:num>
  <w:num w:numId="29" w16cid:durableId="912617267">
    <w:abstractNumId w:val="24"/>
  </w:num>
  <w:num w:numId="30" w16cid:durableId="866331378">
    <w:abstractNumId w:val="28"/>
  </w:num>
  <w:num w:numId="31" w16cid:durableId="55713558">
    <w:abstractNumId w:val="7"/>
  </w:num>
  <w:num w:numId="32" w16cid:durableId="1502773176">
    <w:abstractNumId w:val="31"/>
  </w:num>
  <w:num w:numId="33" w16cid:durableId="84496627">
    <w:abstractNumId w:val="0"/>
  </w:num>
  <w:num w:numId="34" w16cid:durableId="832797399">
    <w:abstractNumId w:val="23"/>
  </w:num>
  <w:num w:numId="35" w16cid:durableId="1000503856">
    <w:abstractNumId w:val="11"/>
  </w:num>
  <w:num w:numId="36" w16cid:durableId="1378049415">
    <w:abstractNumId w:val="10"/>
  </w:num>
  <w:num w:numId="37" w16cid:durableId="34289963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jY3Nza3MDM3szRQ0lEKTi0uzszPAykwrAUAkruSrywAAAA="/>
  </w:docVars>
  <w:rsids>
    <w:rsidRoot w:val="008A7BD2"/>
    <w:rsid w:val="000012DD"/>
    <w:rsid w:val="0000401C"/>
    <w:rsid w:val="0000503E"/>
    <w:rsid w:val="00010276"/>
    <w:rsid w:val="00013C04"/>
    <w:rsid w:val="0001565C"/>
    <w:rsid w:val="00016D5B"/>
    <w:rsid w:val="000201DC"/>
    <w:rsid w:val="000213A4"/>
    <w:rsid w:val="00023BB6"/>
    <w:rsid w:val="00025C23"/>
    <w:rsid w:val="000313DC"/>
    <w:rsid w:val="00033590"/>
    <w:rsid w:val="00034CC3"/>
    <w:rsid w:val="00036B22"/>
    <w:rsid w:val="00040869"/>
    <w:rsid w:val="00040BBD"/>
    <w:rsid w:val="00041B53"/>
    <w:rsid w:val="00043499"/>
    <w:rsid w:val="0004381D"/>
    <w:rsid w:val="00044AE5"/>
    <w:rsid w:val="00045C64"/>
    <w:rsid w:val="00046D65"/>
    <w:rsid w:val="00046D95"/>
    <w:rsid w:val="000471F4"/>
    <w:rsid w:val="00047D10"/>
    <w:rsid w:val="00054617"/>
    <w:rsid w:val="00055008"/>
    <w:rsid w:val="00057D7B"/>
    <w:rsid w:val="00060034"/>
    <w:rsid w:val="00062001"/>
    <w:rsid w:val="000639E5"/>
    <w:rsid w:val="00065D1E"/>
    <w:rsid w:val="000668B5"/>
    <w:rsid w:val="00067788"/>
    <w:rsid w:val="00071A9B"/>
    <w:rsid w:val="00072A95"/>
    <w:rsid w:val="000738C2"/>
    <w:rsid w:val="00074AC9"/>
    <w:rsid w:val="000762DB"/>
    <w:rsid w:val="00076DC2"/>
    <w:rsid w:val="00077A08"/>
    <w:rsid w:val="00083284"/>
    <w:rsid w:val="00085AFA"/>
    <w:rsid w:val="000869B9"/>
    <w:rsid w:val="00086CC5"/>
    <w:rsid w:val="0008762A"/>
    <w:rsid w:val="0009011E"/>
    <w:rsid w:val="000904EF"/>
    <w:rsid w:val="00090DCA"/>
    <w:rsid w:val="00092772"/>
    <w:rsid w:val="000950EB"/>
    <w:rsid w:val="00095549"/>
    <w:rsid w:val="00095ED9"/>
    <w:rsid w:val="00097D1E"/>
    <w:rsid w:val="000A0916"/>
    <w:rsid w:val="000A0BE1"/>
    <w:rsid w:val="000A1785"/>
    <w:rsid w:val="000A2412"/>
    <w:rsid w:val="000A30BC"/>
    <w:rsid w:val="000A3684"/>
    <w:rsid w:val="000A4B5D"/>
    <w:rsid w:val="000B1B06"/>
    <w:rsid w:val="000B1FC1"/>
    <w:rsid w:val="000B2EF9"/>
    <w:rsid w:val="000B4A20"/>
    <w:rsid w:val="000B5D5A"/>
    <w:rsid w:val="000C1214"/>
    <w:rsid w:val="000D4289"/>
    <w:rsid w:val="000D4CA2"/>
    <w:rsid w:val="000E27D7"/>
    <w:rsid w:val="000E3CBE"/>
    <w:rsid w:val="000E6FA1"/>
    <w:rsid w:val="000E7E22"/>
    <w:rsid w:val="000F019A"/>
    <w:rsid w:val="000F159B"/>
    <w:rsid w:val="000F5366"/>
    <w:rsid w:val="000F6608"/>
    <w:rsid w:val="000F6AD0"/>
    <w:rsid w:val="000F75E8"/>
    <w:rsid w:val="00103867"/>
    <w:rsid w:val="0010467C"/>
    <w:rsid w:val="00110EF1"/>
    <w:rsid w:val="001110D1"/>
    <w:rsid w:val="001113B1"/>
    <w:rsid w:val="001119EF"/>
    <w:rsid w:val="0011297C"/>
    <w:rsid w:val="00113004"/>
    <w:rsid w:val="00115C59"/>
    <w:rsid w:val="001179ED"/>
    <w:rsid w:val="0012090B"/>
    <w:rsid w:val="001212FE"/>
    <w:rsid w:val="0012451F"/>
    <w:rsid w:val="00134198"/>
    <w:rsid w:val="00134FDB"/>
    <w:rsid w:val="00135668"/>
    <w:rsid w:val="00135B06"/>
    <w:rsid w:val="001360FD"/>
    <w:rsid w:val="00136957"/>
    <w:rsid w:val="001454F9"/>
    <w:rsid w:val="00151787"/>
    <w:rsid w:val="00153C6C"/>
    <w:rsid w:val="00155406"/>
    <w:rsid w:val="001557AF"/>
    <w:rsid w:val="00160586"/>
    <w:rsid w:val="00161707"/>
    <w:rsid w:val="00163263"/>
    <w:rsid w:val="0016349C"/>
    <w:rsid w:val="00163BF3"/>
    <w:rsid w:val="00163C3A"/>
    <w:rsid w:val="0016496F"/>
    <w:rsid w:val="00165770"/>
    <w:rsid w:val="00165B8B"/>
    <w:rsid w:val="00167FF1"/>
    <w:rsid w:val="00173544"/>
    <w:rsid w:val="0018063B"/>
    <w:rsid w:val="00181F0D"/>
    <w:rsid w:val="0018432C"/>
    <w:rsid w:val="00184A3A"/>
    <w:rsid w:val="0018629B"/>
    <w:rsid w:val="001879D8"/>
    <w:rsid w:val="0019166E"/>
    <w:rsid w:val="0019187E"/>
    <w:rsid w:val="00194012"/>
    <w:rsid w:val="00197930"/>
    <w:rsid w:val="001A1239"/>
    <w:rsid w:val="001A14F0"/>
    <w:rsid w:val="001A347A"/>
    <w:rsid w:val="001A50B9"/>
    <w:rsid w:val="001A5D0C"/>
    <w:rsid w:val="001A6BD6"/>
    <w:rsid w:val="001A724A"/>
    <w:rsid w:val="001A7355"/>
    <w:rsid w:val="001A77D0"/>
    <w:rsid w:val="001B0E94"/>
    <w:rsid w:val="001B33C8"/>
    <w:rsid w:val="001B3785"/>
    <w:rsid w:val="001C0270"/>
    <w:rsid w:val="001C0E11"/>
    <w:rsid w:val="001C200B"/>
    <w:rsid w:val="001C4291"/>
    <w:rsid w:val="001C528C"/>
    <w:rsid w:val="001C6447"/>
    <w:rsid w:val="001D38F5"/>
    <w:rsid w:val="001D4617"/>
    <w:rsid w:val="001E3048"/>
    <w:rsid w:val="001E374A"/>
    <w:rsid w:val="001E6A41"/>
    <w:rsid w:val="001F0481"/>
    <w:rsid w:val="001F3339"/>
    <w:rsid w:val="001F6993"/>
    <w:rsid w:val="00203D68"/>
    <w:rsid w:val="00205D6B"/>
    <w:rsid w:val="00207831"/>
    <w:rsid w:val="0021019C"/>
    <w:rsid w:val="002113C3"/>
    <w:rsid w:val="00213EBE"/>
    <w:rsid w:val="00215E14"/>
    <w:rsid w:val="0021615F"/>
    <w:rsid w:val="00216FF1"/>
    <w:rsid w:val="0022080D"/>
    <w:rsid w:val="00222EBF"/>
    <w:rsid w:val="002237D0"/>
    <w:rsid w:val="0022412C"/>
    <w:rsid w:val="002248C6"/>
    <w:rsid w:val="00224D38"/>
    <w:rsid w:val="00231E7B"/>
    <w:rsid w:val="00233D17"/>
    <w:rsid w:val="00235478"/>
    <w:rsid w:val="002530CE"/>
    <w:rsid w:val="0026221A"/>
    <w:rsid w:val="0026349D"/>
    <w:rsid w:val="002663BA"/>
    <w:rsid w:val="00266A3A"/>
    <w:rsid w:val="00267316"/>
    <w:rsid w:val="0026756C"/>
    <w:rsid w:val="002679BC"/>
    <w:rsid w:val="0027130D"/>
    <w:rsid w:val="00280A29"/>
    <w:rsid w:val="00282C2A"/>
    <w:rsid w:val="00282F98"/>
    <w:rsid w:val="0028321A"/>
    <w:rsid w:val="00283509"/>
    <w:rsid w:val="00284DE4"/>
    <w:rsid w:val="0029021A"/>
    <w:rsid w:val="00290800"/>
    <w:rsid w:val="00291412"/>
    <w:rsid w:val="00291713"/>
    <w:rsid w:val="00292DC8"/>
    <w:rsid w:val="00293BE3"/>
    <w:rsid w:val="002956E9"/>
    <w:rsid w:val="002A2FFF"/>
    <w:rsid w:val="002A4717"/>
    <w:rsid w:val="002A5794"/>
    <w:rsid w:val="002A5BF3"/>
    <w:rsid w:val="002A5CC7"/>
    <w:rsid w:val="002A6CDF"/>
    <w:rsid w:val="002B3479"/>
    <w:rsid w:val="002B3875"/>
    <w:rsid w:val="002B39F5"/>
    <w:rsid w:val="002B7798"/>
    <w:rsid w:val="002C0FD9"/>
    <w:rsid w:val="002C189B"/>
    <w:rsid w:val="002C20DA"/>
    <w:rsid w:val="002C5230"/>
    <w:rsid w:val="002C7E50"/>
    <w:rsid w:val="002D21BB"/>
    <w:rsid w:val="002D7E7B"/>
    <w:rsid w:val="002E0D74"/>
    <w:rsid w:val="002E202D"/>
    <w:rsid w:val="002E4FB9"/>
    <w:rsid w:val="002F0546"/>
    <w:rsid w:val="002F09BD"/>
    <w:rsid w:val="002F1E72"/>
    <w:rsid w:val="002F4991"/>
    <w:rsid w:val="00304A19"/>
    <w:rsid w:val="003056F0"/>
    <w:rsid w:val="00307158"/>
    <w:rsid w:val="00307C7C"/>
    <w:rsid w:val="00310458"/>
    <w:rsid w:val="00313582"/>
    <w:rsid w:val="00316354"/>
    <w:rsid w:val="00317525"/>
    <w:rsid w:val="003218AF"/>
    <w:rsid w:val="00321F28"/>
    <w:rsid w:val="00322163"/>
    <w:rsid w:val="00323272"/>
    <w:rsid w:val="0032336D"/>
    <w:rsid w:val="00323B70"/>
    <w:rsid w:val="003274E9"/>
    <w:rsid w:val="00333CD9"/>
    <w:rsid w:val="00337420"/>
    <w:rsid w:val="0033774E"/>
    <w:rsid w:val="00340ED1"/>
    <w:rsid w:val="0034497E"/>
    <w:rsid w:val="00344A9A"/>
    <w:rsid w:val="003501F1"/>
    <w:rsid w:val="003526DB"/>
    <w:rsid w:val="00356990"/>
    <w:rsid w:val="003604C2"/>
    <w:rsid w:val="0036071B"/>
    <w:rsid w:val="0036346B"/>
    <w:rsid w:val="00364706"/>
    <w:rsid w:val="00364B23"/>
    <w:rsid w:val="003671A5"/>
    <w:rsid w:val="00371C3B"/>
    <w:rsid w:val="00372093"/>
    <w:rsid w:val="00372F5F"/>
    <w:rsid w:val="003732D5"/>
    <w:rsid w:val="003816DE"/>
    <w:rsid w:val="00382AC9"/>
    <w:rsid w:val="00387983"/>
    <w:rsid w:val="00387BF0"/>
    <w:rsid w:val="00387F67"/>
    <w:rsid w:val="00390870"/>
    <w:rsid w:val="00391742"/>
    <w:rsid w:val="00394B5B"/>
    <w:rsid w:val="003A0290"/>
    <w:rsid w:val="003A1674"/>
    <w:rsid w:val="003A1A38"/>
    <w:rsid w:val="003A3D8A"/>
    <w:rsid w:val="003A56E0"/>
    <w:rsid w:val="003A7576"/>
    <w:rsid w:val="003B1B84"/>
    <w:rsid w:val="003B1DB6"/>
    <w:rsid w:val="003C0AB9"/>
    <w:rsid w:val="003C25DB"/>
    <w:rsid w:val="003C2DC6"/>
    <w:rsid w:val="003C4162"/>
    <w:rsid w:val="003C6E0A"/>
    <w:rsid w:val="003D47E1"/>
    <w:rsid w:val="003D609C"/>
    <w:rsid w:val="003E0556"/>
    <w:rsid w:val="003E23A6"/>
    <w:rsid w:val="003F19E0"/>
    <w:rsid w:val="003F2208"/>
    <w:rsid w:val="003F3B58"/>
    <w:rsid w:val="003F5561"/>
    <w:rsid w:val="003F556F"/>
    <w:rsid w:val="003F5CE2"/>
    <w:rsid w:val="003F5D14"/>
    <w:rsid w:val="003F6F67"/>
    <w:rsid w:val="003F7BD8"/>
    <w:rsid w:val="00402B02"/>
    <w:rsid w:val="00405B29"/>
    <w:rsid w:val="00407A06"/>
    <w:rsid w:val="0041128C"/>
    <w:rsid w:val="00411C06"/>
    <w:rsid w:val="0041253F"/>
    <w:rsid w:val="004139FA"/>
    <w:rsid w:val="00415924"/>
    <w:rsid w:val="00423316"/>
    <w:rsid w:val="0042433C"/>
    <w:rsid w:val="00427441"/>
    <w:rsid w:val="00427924"/>
    <w:rsid w:val="00430684"/>
    <w:rsid w:val="00431028"/>
    <w:rsid w:val="0043660A"/>
    <w:rsid w:val="004367F8"/>
    <w:rsid w:val="004373B4"/>
    <w:rsid w:val="00437C3C"/>
    <w:rsid w:val="00437D0E"/>
    <w:rsid w:val="00441162"/>
    <w:rsid w:val="00446658"/>
    <w:rsid w:val="004511D8"/>
    <w:rsid w:val="00451EC7"/>
    <w:rsid w:val="00451F91"/>
    <w:rsid w:val="00452F0D"/>
    <w:rsid w:val="0045428A"/>
    <w:rsid w:val="00456078"/>
    <w:rsid w:val="00461059"/>
    <w:rsid w:val="00461B07"/>
    <w:rsid w:val="00462BFE"/>
    <w:rsid w:val="0046357D"/>
    <w:rsid w:val="00472A97"/>
    <w:rsid w:val="004735C5"/>
    <w:rsid w:val="00480263"/>
    <w:rsid w:val="00481B15"/>
    <w:rsid w:val="00482F99"/>
    <w:rsid w:val="004852F3"/>
    <w:rsid w:val="00485423"/>
    <w:rsid w:val="00493272"/>
    <w:rsid w:val="004954B6"/>
    <w:rsid w:val="004A2E21"/>
    <w:rsid w:val="004A39D9"/>
    <w:rsid w:val="004A4DC4"/>
    <w:rsid w:val="004A59E7"/>
    <w:rsid w:val="004A75B8"/>
    <w:rsid w:val="004A7952"/>
    <w:rsid w:val="004B0136"/>
    <w:rsid w:val="004B1161"/>
    <w:rsid w:val="004B5505"/>
    <w:rsid w:val="004B55CC"/>
    <w:rsid w:val="004B5CAE"/>
    <w:rsid w:val="004B5F5C"/>
    <w:rsid w:val="004B676A"/>
    <w:rsid w:val="004B7B84"/>
    <w:rsid w:val="004C27AF"/>
    <w:rsid w:val="004C4C5D"/>
    <w:rsid w:val="004D2145"/>
    <w:rsid w:val="004D237D"/>
    <w:rsid w:val="004D41D1"/>
    <w:rsid w:val="004D4F1B"/>
    <w:rsid w:val="004D66C1"/>
    <w:rsid w:val="004D720C"/>
    <w:rsid w:val="004E0721"/>
    <w:rsid w:val="004E18D6"/>
    <w:rsid w:val="004E3962"/>
    <w:rsid w:val="004E699D"/>
    <w:rsid w:val="004E72B4"/>
    <w:rsid w:val="004E7A88"/>
    <w:rsid w:val="004F170C"/>
    <w:rsid w:val="004F3134"/>
    <w:rsid w:val="004F3BA3"/>
    <w:rsid w:val="004F41BB"/>
    <w:rsid w:val="004F474C"/>
    <w:rsid w:val="004F66F0"/>
    <w:rsid w:val="005064AC"/>
    <w:rsid w:val="005116D4"/>
    <w:rsid w:val="00513381"/>
    <w:rsid w:val="00513799"/>
    <w:rsid w:val="00514CCA"/>
    <w:rsid w:val="00515C71"/>
    <w:rsid w:val="00516FA8"/>
    <w:rsid w:val="00524CA1"/>
    <w:rsid w:val="00526C9E"/>
    <w:rsid w:val="0053127C"/>
    <w:rsid w:val="00531670"/>
    <w:rsid w:val="0053174E"/>
    <w:rsid w:val="00532D4E"/>
    <w:rsid w:val="00533063"/>
    <w:rsid w:val="005336CF"/>
    <w:rsid w:val="00545126"/>
    <w:rsid w:val="0054671F"/>
    <w:rsid w:val="00546F5C"/>
    <w:rsid w:val="0055164C"/>
    <w:rsid w:val="005519FB"/>
    <w:rsid w:val="005529E2"/>
    <w:rsid w:val="0055382B"/>
    <w:rsid w:val="00553C24"/>
    <w:rsid w:val="00557CE7"/>
    <w:rsid w:val="005605C0"/>
    <w:rsid w:val="005609DD"/>
    <w:rsid w:val="0056204D"/>
    <w:rsid w:val="005640FE"/>
    <w:rsid w:val="00565E1F"/>
    <w:rsid w:val="00573730"/>
    <w:rsid w:val="005763A8"/>
    <w:rsid w:val="00576757"/>
    <w:rsid w:val="00576EB1"/>
    <w:rsid w:val="00580AA9"/>
    <w:rsid w:val="005810A2"/>
    <w:rsid w:val="00582263"/>
    <w:rsid w:val="00582900"/>
    <w:rsid w:val="00583038"/>
    <w:rsid w:val="005851CD"/>
    <w:rsid w:val="0058735E"/>
    <w:rsid w:val="0059353D"/>
    <w:rsid w:val="0059764F"/>
    <w:rsid w:val="005A0CC8"/>
    <w:rsid w:val="005A0FFB"/>
    <w:rsid w:val="005A22D9"/>
    <w:rsid w:val="005A4B25"/>
    <w:rsid w:val="005A62BE"/>
    <w:rsid w:val="005B1251"/>
    <w:rsid w:val="005B1D27"/>
    <w:rsid w:val="005B3E52"/>
    <w:rsid w:val="005B4179"/>
    <w:rsid w:val="005B5019"/>
    <w:rsid w:val="005B5B61"/>
    <w:rsid w:val="005C0FCD"/>
    <w:rsid w:val="005C1429"/>
    <w:rsid w:val="005C3FD9"/>
    <w:rsid w:val="005C5268"/>
    <w:rsid w:val="005D1DB0"/>
    <w:rsid w:val="005D2AFB"/>
    <w:rsid w:val="005D323D"/>
    <w:rsid w:val="005D3821"/>
    <w:rsid w:val="005D42F8"/>
    <w:rsid w:val="005D4DE7"/>
    <w:rsid w:val="005D6622"/>
    <w:rsid w:val="005D6BCA"/>
    <w:rsid w:val="005D750B"/>
    <w:rsid w:val="005E1322"/>
    <w:rsid w:val="005E1418"/>
    <w:rsid w:val="005E3F3E"/>
    <w:rsid w:val="005F3615"/>
    <w:rsid w:val="005F4A62"/>
    <w:rsid w:val="005F6670"/>
    <w:rsid w:val="005F6DE0"/>
    <w:rsid w:val="0060247D"/>
    <w:rsid w:val="00603216"/>
    <w:rsid w:val="00603446"/>
    <w:rsid w:val="00606C37"/>
    <w:rsid w:val="006106CA"/>
    <w:rsid w:val="00611DF6"/>
    <w:rsid w:val="00622695"/>
    <w:rsid w:val="00624BCC"/>
    <w:rsid w:val="00626323"/>
    <w:rsid w:val="00630350"/>
    <w:rsid w:val="006320F6"/>
    <w:rsid w:val="0063428B"/>
    <w:rsid w:val="00636682"/>
    <w:rsid w:val="00637B3D"/>
    <w:rsid w:val="006416EB"/>
    <w:rsid w:val="00642234"/>
    <w:rsid w:val="006446F6"/>
    <w:rsid w:val="006451D1"/>
    <w:rsid w:val="006511ED"/>
    <w:rsid w:val="00652488"/>
    <w:rsid w:val="00654E23"/>
    <w:rsid w:val="00655AB6"/>
    <w:rsid w:val="00655F43"/>
    <w:rsid w:val="00657AB8"/>
    <w:rsid w:val="00660964"/>
    <w:rsid w:val="00670209"/>
    <w:rsid w:val="0068144E"/>
    <w:rsid w:val="0068179E"/>
    <w:rsid w:val="006828FB"/>
    <w:rsid w:val="006859B9"/>
    <w:rsid w:val="00685E62"/>
    <w:rsid w:val="00690D75"/>
    <w:rsid w:val="00691A52"/>
    <w:rsid w:val="006927AB"/>
    <w:rsid w:val="00693403"/>
    <w:rsid w:val="00697604"/>
    <w:rsid w:val="00697B29"/>
    <w:rsid w:val="006A35E8"/>
    <w:rsid w:val="006A4CD2"/>
    <w:rsid w:val="006A4FA5"/>
    <w:rsid w:val="006B01F6"/>
    <w:rsid w:val="006B1223"/>
    <w:rsid w:val="006B453A"/>
    <w:rsid w:val="006B4A9C"/>
    <w:rsid w:val="006B732F"/>
    <w:rsid w:val="006C2A11"/>
    <w:rsid w:val="006C62FE"/>
    <w:rsid w:val="006D1253"/>
    <w:rsid w:val="006D26CE"/>
    <w:rsid w:val="006D4675"/>
    <w:rsid w:val="006D76CA"/>
    <w:rsid w:val="006E07E8"/>
    <w:rsid w:val="006E0908"/>
    <w:rsid w:val="006E6F35"/>
    <w:rsid w:val="006F41E6"/>
    <w:rsid w:val="006F7EBC"/>
    <w:rsid w:val="00702F2F"/>
    <w:rsid w:val="007054C8"/>
    <w:rsid w:val="007058F0"/>
    <w:rsid w:val="00713A2B"/>
    <w:rsid w:val="00713BD7"/>
    <w:rsid w:val="00717822"/>
    <w:rsid w:val="00721481"/>
    <w:rsid w:val="00721EE2"/>
    <w:rsid w:val="00723EDC"/>
    <w:rsid w:val="007240E2"/>
    <w:rsid w:val="00726E8E"/>
    <w:rsid w:val="00726F52"/>
    <w:rsid w:val="00730AC7"/>
    <w:rsid w:val="00730D50"/>
    <w:rsid w:val="0073188A"/>
    <w:rsid w:val="0073379C"/>
    <w:rsid w:val="00733C9D"/>
    <w:rsid w:val="007343CF"/>
    <w:rsid w:val="00734F9C"/>
    <w:rsid w:val="00735274"/>
    <w:rsid w:val="00735E64"/>
    <w:rsid w:val="00742ADF"/>
    <w:rsid w:val="00742AEB"/>
    <w:rsid w:val="00746584"/>
    <w:rsid w:val="00747FCC"/>
    <w:rsid w:val="007504F3"/>
    <w:rsid w:val="007510BC"/>
    <w:rsid w:val="0075479C"/>
    <w:rsid w:val="007566EF"/>
    <w:rsid w:val="007604B2"/>
    <w:rsid w:val="0076219E"/>
    <w:rsid w:val="00764AA7"/>
    <w:rsid w:val="00767D45"/>
    <w:rsid w:val="00771202"/>
    <w:rsid w:val="0077398E"/>
    <w:rsid w:val="00776819"/>
    <w:rsid w:val="0077713B"/>
    <w:rsid w:val="007776FD"/>
    <w:rsid w:val="007779CA"/>
    <w:rsid w:val="007837D0"/>
    <w:rsid w:val="00785E09"/>
    <w:rsid w:val="007936EC"/>
    <w:rsid w:val="007A0660"/>
    <w:rsid w:val="007A06F2"/>
    <w:rsid w:val="007A2952"/>
    <w:rsid w:val="007A2B45"/>
    <w:rsid w:val="007A3BDE"/>
    <w:rsid w:val="007B0759"/>
    <w:rsid w:val="007B3883"/>
    <w:rsid w:val="007C43FD"/>
    <w:rsid w:val="007C57F7"/>
    <w:rsid w:val="007C62EA"/>
    <w:rsid w:val="007D1F98"/>
    <w:rsid w:val="007D332E"/>
    <w:rsid w:val="007D38EF"/>
    <w:rsid w:val="007D4738"/>
    <w:rsid w:val="007D4C83"/>
    <w:rsid w:val="007E3898"/>
    <w:rsid w:val="007E4789"/>
    <w:rsid w:val="007F06CA"/>
    <w:rsid w:val="007F3679"/>
    <w:rsid w:val="007F3D79"/>
    <w:rsid w:val="007F3EEE"/>
    <w:rsid w:val="007F7C5D"/>
    <w:rsid w:val="00800C20"/>
    <w:rsid w:val="00803734"/>
    <w:rsid w:val="008037F5"/>
    <w:rsid w:val="00803F39"/>
    <w:rsid w:val="00807D9C"/>
    <w:rsid w:val="0081011A"/>
    <w:rsid w:val="00810B13"/>
    <w:rsid w:val="00811531"/>
    <w:rsid w:val="008123FA"/>
    <w:rsid w:val="00814B6C"/>
    <w:rsid w:val="00815461"/>
    <w:rsid w:val="00817C9C"/>
    <w:rsid w:val="00820B94"/>
    <w:rsid w:val="00824FB7"/>
    <w:rsid w:val="00825096"/>
    <w:rsid w:val="00826860"/>
    <w:rsid w:val="008315DD"/>
    <w:rsid w:val="00841EDA"/>
    <w:rsid w:val="00842F1F"/>
    <w:rsid w:val="00843FD4"/>
    <w:rsid w:val="0084490B"/>
    <w:rsid w:val="0084510C"/>
    <w:rsid w:val="0084754E"/>
    <w:rsid w:val="00850262"/>
    <w:rsid w:val="0085093A"/>
    <w:rsid w:val="008509A7"/>
    <w:rsid w:val="00851D6D"/>
    <w:rsid w:val="00856997"/>
    <w:rsid w:val="00857467"/>
    <w:rsid w:val="008607E1"/>
    <w:rsid w:val="00862A27"/>
    <w:rsid w:val="00862E53"/>
    <w:rsid w:val="0086572E"/>
    <w:rsid w:val="00866A88"/>
    <w:rsid w:val="0087349C"/>
    <w:rsid w:val="00874232"/>
    <w:rsid w:val="00881C51"/>
    <w:rsid w:val="00883814"/>
    <w:rsid w:val="00884923"/>
    <w:rsid w:val="008858FA"/>
    <w:rsid w:val="00885B96"/>
    <w:rsid w:val="0088620B"/>
    <w:rsid w:val="00887A00"/>
    <w:rsid w:val="00894CC3"/>
    <w:rsid w:val="00895423"/>
    <w:rsid w:val="0089743D"/>
    <w:rsid w:val="008A16FC"/>
    <w:rsid w:val="008A178D"/>
    <w:rsid w:val="008A1E28"/>
    <w:rsid w:val="008A232B"/>
    <w:rsid w:val="008A33E6"/>
    <w:rsid w:val="008A45EE"/>
    <w:rsid w:val="008A7BD2"/>
    <w:rsid w:val="008B2C48"/>
    <w:rsid w:val="008B3F07"/>
    <w:rsid w:val="008B566B"/>
    <w:rsid w:val="008B77B7"/>
    <w:rsid w:val="008C0809"/>
    <w:rsid w:val="008C3CBB"/>
    <w:rsid w:val="008C6094"/>
    <w:rsid w:val="008C66CF"/>
    <w:rsid w:val="008D19FF"/>
    <w:rsid w:val="008D2B4C"/>
    <w:rsid w:val="008D4665"/>
    <w:rsid w:val="008D5FBD"/>
    <w:rsid w:val="008D6061"/>
    <w:rsid w:val="008D662C"/>
    <w:rsid w:val="008D6CBE"/>
    <w:rsid w:val="008E05D4"/>
    <w:rsid w:val="008E17AA"/>
    <w:rsid w:val="008E4FC4"/>
    <w:rsid w:val="008E709E"/>
    <w:rsid w:val="008E7843"/>
    <w:rsid w:val="008F51FE"/>
    <w:rsid w:val="008F7449"/>
    <w:rsid w:val="008F7D11"/>
    <w:rsid w:val="009008A1"/>
    <w:rsid w:val="00901EF4"/>
    <w:rsid w:val="00903198"/>
    <w:rsid w:val="00904F8A"/>
    <w:rsid w:val="00907023"/>
    <w:rsid w:val="00911CEA"/>
    <w:rsid w:val="00917B6E"/>
    <w:rsid w:val="00920444"/>
    <w:rsid w:val="00920D95"/>
    <w:rsid w:val="00921C73"/>
    <w:rsid w:val="009234B5"/>
    <w:rsid w:val="009245EE"/>
    <w:rsid w:val="00926D9D"/>
    <w:rsid w:val="009303B3"/>
    <w:rsid w:val="00930E37"/>
    <w:rsid w:val="00931AB3"/>
    <w:rsid w:val="00934956"/>
    <w:rsid w:val="009363CC"/>
    <w:rsid w:val="0093723F"/>
    <w:rsid w:val="00941E5C"/>
    <w:rsid w:val="0094404A"/>
    <w:rsid w:val="00945A93"/>
    <w:rsid w:val="009477F9"/>
    <w:rsid w:val="00951C55"/>
    <w:rsid w:val="00953121"/>
    <w:rsid w:val="00953E33"/>
    <w:rsid w:val="00954564"/>
    <w:rsid w:val="009572BB"/>
    <w:rsid w:val="00963EAF"/>
    <w:rsid w:val="0096430B"/>
    <w:rsid w:val="009651D6"/>
    <w:rsid w:val="00965449"/>
    <w:rsid w:val="00971E06"/>
    <w:rsid w:val="00973BBB"/>
    <w:rsid w:val="00976CD6"/>
    <w:rsid w:val="00983129"/>
    <w:rsid w:val="009859E2"/>
    <w:rsid w:val="00986AEA"/>
    <w:rsid w:val="0099242E"/>
    <w:rsid w:val="00992869"/>
    <w:rsid w:val="0099691E"/>
    <w:rsid w:val="009A082E"/>
    <w:rsid w:val="009A1B96"/>
    <w:rsid w:val="009A5411"/>
    <w:rsid w:val="009A622B"/>
    <w:rsid w:val="009A622C"/>
    <w:rsid w:val="009A71EF"/>
    <w:rsid w:val="009A79CC"/>
    <w:rsid w:val="009B1084"/>
    <w:rsid w:val="009B132A"/>
    <w:rsid w:val="009B16D1"/>
    <w:rsid w:val="009B1E9F"/>
    <w:rsid w:val="009B2570"/>
    <w:rsid w:val="009B3729"/>
    <w:rsid w:val="009B5B4D"/>
    <w:rsid w:val="009B60C7"/>
    <w:rsid w:val="009B68E9"/>
    <w:rsid w:val="009C021D"/>
    <w:rsid w:val="009C0B25"/>
    <w:rsid w:val="009C1D29"/>
    <w:rsid w:val="009C34B8"/>
    <w:rsid w:val="009C4FAC"/>
    <w:rsid w:val="009D053A"/>
    <w:rsid w:val="009D3DB5"/>
    <w:rsid w:val="009D4F5F"/>
    <w:rsid w:val="009D57BD"/>
    <w:rsid w:val="009D7470"/>
    <w:rsid w:val="009D7E82"/>
    <w:rsid w:val="009E1CDD"/>
    <w:rsid w:val="009E2164"/>
    <w:rsid w:val="009E33A8"/>
    <w:rsid w:val="009E452F"/>
    <w:rsid w:val="009E5723"/>
    <w:rsid w:val="009E7D26"/>
    <w:rsid w:val="009F5458"/>
    <w:rsid w:val="00A06870"/>
    <w:rsid w:val="00A074AB"/>
    <w:rsid w:val="00A11B2B"/>
    <w:rsid w:val="00A121C0"/>
    <w:rsid w:val="00A1409C"/>
    <w:rsid w:val="00A15C20"/>
    <w:rsid w:val="00A16219"/>
    <w:rsid w:val="00A165EA"/>
    <w:rsid w:val="00A17009"/>
    <w:rsid w:val="00A178E8"/>
    <w:rsid w:val="00A20C7D"/>
    <w:rsid w:val="00A218A6"/>
    <w:rsid w:val="00A22C95"/>
    <w:rsid w:val="00A23D85"/>
    <w:rsid w:val="00A26B0C"/>
    <w:rsid w:val="00A300D1"/>
    <w:rsid w:val="00A35C99"/>
    <w:rsid w:val="00A37104"/>
    <w:rsid w:val="00A371AC"/>
    <w:rsid w:val="00A3766A"/>
    <w:rsid w:val="00A37C3F"/>
    <w:rsid w:val="00A4245E"/>
    <w:rsid w:val="00A4349C"/>
    <w:rsid w:val="00A44996"/>
    <w:rsid w:val="00A45609"/>
    <w:rsid w:val="00A45D37"/>
    <w:rsid w:val="00A47BFC"/>
    <w:rsid w:val="00A47C70"/>
    <w:rsid w:val="00A502F9"/>
    <w:rsid w:val="00A51490"/>
    <w:rsid w:val="00A5187B"/>
    <w:rsid w:val="00A53227"/>
    <w:rsid w:val="00A554C0"/>
    <w:rsid w:val="00A55DD0"/>
    <w:rsid w:val="00A566CF"/>
    <w:rsid w:val="00A64301"/>
    <w:rsid w:val="00A64B2A"/>
    <w:rsid w:val="00A70ED6"/>
    <w:rsid w:val="00A764B3"/>
    <w:rsid w:val="00A77903"/>
    <w:rsid w:val="00A838B4"/>
    <w:rsid w:val="00A85374"/>
    <w:rsid w:val="00A90DAB"/>
    <w:rsid w:val="00A9118C"/>
    <w:rsid w:val="00A91C47"/>
    <w:rsid w:val="00A924D4"/>
    <w:rsid w:val="00A92C6D"/>
    <w:rsid w:val="00A92D81"/>
    <w:rsid w:val="00A93558"/>
    <w:rsid w:val="00A94875"/>
    <w:rsid w:val="00AA3685"/>
    <w:rsid w:val="00AB01CA"/>
    <w:rsid w:val="00AB0742"/>
    <w:rsid w:val="00AB0782"/>
    <w:rsid w:val="00AB0D7B"/>
    <w:rsid w:val="00AB13A9"/>
    <w:rsid w:val="00AB2ECF"/>
    <w:rsid w:val="00AB7831"/>
    <w:rsid w:val="00AB7A52"/>
    <w:rsid w:val="00AC0560"/>
    <w:rsid w:val="00AC135B"/>
    <w:rsid w:val="00AC37A8"/>
    <w:rsid w:val="00AC3A05"/>
    <w:rsid w:val="00AC6400"/>
    <w:rsid w:val="00AD3C98"/>
    <w:rsid w:val="00AD7A9D"/>
    <w:rsid w:val="00AE0F84"/>
    <w:rsid w:val="00AE2E24"/>
    <w:rsid w:val="00AE40BB"/>
    <w:rsid w:val="00AE5F3A"/>
    <w:rsid w:val="00AE623A"/>
    <w:rsid w:val="00AE7675"/>
    <w:rsid w:val="00AF4186"/>
    <w:rsid w:val="00AF5EF6"/>
    <w:rsid w:val="00AF5F34"/>
    <w:rsid w:val="00AF625C"/>
    <w:rsid w:val="00B0224B"/>
    <w:rsid w:val="00B0400E"/>
    <w:rsid w:val="00B054CF"/>
    <w:rsid w:val="00B06EDB"/>
    <w:rsid w:val="00B13E8E"/>
    <w:rsid w:val="00B14458"/>
    <w:rsid w:val="00B14DE7"/>
    <w:rsid w:val="00B25430"/>
    <w:rsid w:val="00B31E62"/>
    <w:rsid w:val="00B32657"/>
    <w:rsid w:val="00B3365D"/>
    <w:rsid w:val="00B35D8B"/>
    <w:rsid w:val="00B40509"/>
    <w:rsid w:val="00B4110A"/>
    <w:rsid w:val="00B4474C"/>
    <w:rsid w:val="00B46124"/>
    <w:rsid w:val="00B461A7"/>
    <w:rsid w:val="00B514BB"/>
    <w:rsid w:val="00B51566"/>
    <w:rsid w:val="00B54897"/>
    <w:rsid w:val="00B556E9"/>
    <w:rsid w:val="00B564E8"/>
    <w:rsid w:val="00B61805"/>
    <w:rsid w:val="00B6382C"/>
    <w:rsid w:val="00B647DB"/>
    <w:rsid w:val="00B64AE1"/>
    <w:rsid w:val="00B67155"/>
    <w:rsid w:val="00B67458"/>
    <w:rsid w:val="00B70659"/>
    <w:rsid w:val="00B7271F"/>
    <w:rsid w:val="00B74435"/>
    <w:rsid w:val="00B746FF"/>
    <w:rsid w:val="00B7479A"/>
    <w:rsid w:val="00B76AD2"/>
    <w:rsid w:val="00B80033"/>
    <w:rsid w:val="00B81F0A"/>
    <w:rsid w:val="00B84933"/>
    <w:rsid w:val="00B90663"/>
    <w:rsid w:val="00B93614"/>
    <w:rsid w:val="00B945BB"/>
    <w:rsid w:val="00B95F50"/>
    <w:rsid w:val="00BA26D0"/>
    <w:rsid w:val="00BB0A45"/>
    <w:rsid w:val="00BB19DC"/>
    <w:rsid w:val="00BB4063"/>
    <w:rsid w:val="00BC1792"/>
    <w:rsid w:val="00BC3251"/>
    <w:rsid w:val="00BC3F14"/>
    <w:rsid w:val="00BC52AD"/>
    <w:rsid w:val="00BC7DB3"/>
    <w:rsid w:val="00BD0107"/>
    <w:rsid w:val="00BD13D1"/>
    <w:rsid w:val="00BD5CA3"/>
    <w:rsid w:val="00BD68C1"/>
    <w:rsid w:val="00BD6C1B"/>
    <w:rsid w:val="00BD6C1D"/>
    <w:rsid w:val="00BD6E8E"/>
    <w:rsid w:val="00BD7130"/>
    <w:rsid w:val="00BD7A2D"/>
    <w:rsid w:val="00BE10E6"/>
    <w:rsid w:val="00BE4943"/>
    <w:rsid w:val="00BE7224"/>
    <w:rsid w:val="00BF0C16"/>
    <w:rsid w:val="00BF47CB"/>
    <w:rsid w:val="00BF6836"/>
    <w:rsid w:val="00C06AF9"/>
    <w:rsid w:val="00C06DFF"/>
    <w:rsid w:val="00C10509"/>
    <w:rsid w:val="00C1170D"/>
    <w:rsid w:val="00C117DF"/>
    <w:rsid w:val="00C11D51"/>
    <w:rsid w:val="00C11DE5"/>
    <w:rsid w:val="00C13B0A"/>
    <w:rsid w:val="00C24042"/>
    <w:rsid w:val="00C244F9"/>
    <w:rsid w:val="00C254E8"/>
    <w:rsid w:val="00C2766A"/>
    <w:rsid w:val="00C27B13"/>
    <w:rsid w:val="00C30AD2"/>
    <w:rsid w:val="00C33024"/>
    <w:rsid w:val="00C334B5"/>
    <w:rsid w:val="00C34623"/>
    <w:rsid w:val="00C357CA"/>
    <w:rsid w:val="00C37303"/>
    <w:rsid w:val="00C4008B"/>
    <w:rsid w:val="00C402D3"/>
    <w:rsid w:val="00C404A6"/>
    <w:rsid w:val="00C430B5"/>
    <w:rsid w:val="00C432B6"/>
    <w:rsid w:val="00C437BE"/>
    <w:rsid w:val="00C45CE8"/>
    <w:rsid w:val="00C46F71"/>
    <w:rsid w:val="00C51AC2"/>
    <w:rsid w:val="00C53E8B"/>
    <w:rsid w:val="00C541B5"/>
    <w:rsid w:val="00C6120D"/>
    <w:rsid w:val="00C629FC"/>
    <w:rsid w:val="00C72525"/>
    <w:rsid w:val="00C740E7"/>
    <w:rsid w:val="00C750F1"/>
    <w:rsid w:val="00C77089"/>
    <w:rsid w:val="00C80C16"/>
    <w:rsid w:val="00C86E4B"/>
    <w:rsid w:val="00C930DF"/>
    <w:rsid w:val="00C9402F"/>
    <w:rsid w:val="00C94A06"/>
    <w:rsid w:val="00C9539F"/>
    <w:rsid w:val="00C95C67"/>
    <w:rsid w:val="00C97FBB"/>
    <w:rsid w:val="00CA25CF"/>
    <w:rsid w:val="00CA2AA6"/>
    <w:rsid w:val="00CA5064"/>
    <w:rsid w:val="00CA64BC"/>
    <w:rsid w:val="00CB1B16"/>
    <w:rsid w:val="00CB3050"/>
    <w:rsid w:val="00CB3C4F"/>
    <w:rsid w:val="00CB4B81"/>
    <w:rsid w:val="00CB630A"/>
    <w:rsid w:val="00CC494E"/>
    <w:rsid w:val="00CC57E3"/>
    <w:rsid w:val="00CD4AE2"/>
    <w:rsid w:val="00CD648C"/>
    <w:rsid w:val="00CD7E39"/>
    <w:rsid w:val="00CE10CB"/>
    <w:rsid w:val="00CE16BB"/>
    <w:rsid w:val="00CE3AB2"/>
    <w:rsid w:val="00CE535C"/>
    <w:rsid w:val="00CE57A0"/>
    <w:rsid w:val="00CE6314"/>
    <w:rsid w:val="00CE7F82"/>
    <w:rsid w:val="00CF15CC"/>
    <w:rsid w:val="00CF1AE2"/>
    <w:rsid w:val="00CF1EB9"/>
    <w:rsid w:val="00CF2776"/>
    <w:rsid w:val="00CF33FD"/>
    <w:rsid w:val="00D0033D"/>
    <w:rsid w:val="00D008BC"/>
    <w:rsid w:val="00D04AFA"/>
    <w:rsid w:val="00D04D85"/>
    <w:rsid w:val="00D05956"/>
    <w:rsid w:val="00D06776"/>
    <w:rsid w:val="00D06B30"/>
    <w:rsid w:val="00D077AA"/>
    <w:rsid w:val="00D10244"/>
    <w:rsid w:val="00D14153"/>
    <w:rsid w:val="00D14DAB"/>
    <w:rsid w:val="00D14E6E"/>
    <w:rsid w:val="00D15ADC"/>
    <w:rsid w:val="00D17278"/>
    <w:rsid w:val="00D17AE9"/>
    <w:rsid w:val="00D201DC"/>
    <w:rsid w:val="00D21860"/>
    <w:rsid w:val="00D227BA"/>
    <w:rsid w:val="00D22E2A"/>
    <w:rsid w:val="00D246D4"/>
    <w:rsid w:val="00D24C80"/>
    <w:rsid w:val="00D2508E"/>
    <w:rsid w:val="00D25376"/>
    <w:rsid w:val="00D26A9A"/>
    <w:rsid w:val="00D3073F"/>
    <w:rsid w:val="00D33AA9"/>
    <w:rsid w:val="00D36DAF"/>
    <w:rsid w:val="00D404E8"/>
    <w:rsid w:val="00D436EC"/>
    <w:rsid w:val="00D44D6D"/>
    <w:rsid w:val="00D504FF"/>
    <w:rsid w:val="00D53AC1"/>
    <w:rsid w:val="00D54E36"/>
    <w:rsid w:val="00D5637D"/>
    <w:rsid w:val="00D60FB0"/>
    <w:rsid w:val="00D61A33"/>
    <w:rsid w:val="00D63CE8"/>
    <w:rsid w:val="00D64FC3"/>
    <w:rsid w:val="00D678B3"/>
    <w:rsid w:val="00D7096C"/>
    <w:rsid w:val="00D714F4"/>
    <w:rsid w:val="00D734EA"/>
    <w:rsid w:val="00D80368"/>
    <w:rsid w:val="00D8042B"/>
    <w:rsid w:val="00D80B7F"/>
    <w:rsid w:val="00D812CC"/>
    <w:rsid w:val="00D81661"/>
    <w:rsid w:val="00D82F0E"/>
    <w:rsid w:val="00D84963"/>
    <w:rsid w:val="00D85340"/>
    <w:rsid w:val="00D87C79"/>
    <w:rsid w:val="00D93259"/>
    <w:rsid w:val="00D9495A"/>
    <w:rsid w:val="00D94BBC"/>
    <w:rsid w:val="00D95811"/>
    <w:rsid w:val="00DA0A85"/>
    <w:rsid w:val="00DA3DD7"/>
    <w:rsid w:val="00DA4FA3"/>
    <w:rsid w:val="00DA6D76"/>
    <w:rsid w:val="00DB092E"/>
    <w:rsid w:val="00DB2553"/>
    <w:rsid w:val="00DB60D9"/>
    <w:rsid w:val="00DB701F"/>
    <w:rsid w:val="00DB7BB8"/>
    <w:rsid w:val="00DC4114"/>
    <w:rsid w:val="00DC5680"/>
    <w:rsid w:val="00DD0E19"/>
    <w:rsid w:val="00DE0519"/>
    <w:rsid w:val="00DF1B4A"/>
    <w:rsid w:val="00DF4322"/>
    <w:rsid w:val="00DF5563"/>
    <w:rsid w:val="00E024E8"/>
    <w:rsid w:val="00E1118A"/>
    <w:rsid w:val="00E13E4E"/>
    <w:rsid w:val="00E14767"/>
    <w:rsid w:val="00E225ED"/>
    <w:rsid w:val="00E2660D"/>
    <w:rsid w:val="00E3357F"/>
    <w:rsid w:val="00E3607C"/>
    <w:rsid w:val="00E36E76"/>
    <w:rsid w:val="00E413F0"/>
    <w:rsid w:val="00E42CD4"/>
    <w:rsid w:val="00E46121"/>
    <w:rsid w:val="00E502AA"/>
    <w:rsid w:val="00E53167"/>
    <w:rsid w:val="00E54D24"/>
    <w:rsid w:val="00E642E3"/>
    <w:rsid w:val="00E71008"/>
    <w:rsid w:val="00E72808"/>
    <w:rsid w:val="00E7343D"/>
    <w:rsid w:val="00E75849"/>
    <w:rsid w:val="00E816C1"/>
    <w:rsid w:val="00E84A3F"/>
    <w:rsid w:val="00E857BA"/>
    <w:rsid w:val="00E85DC2"/>
    <w:rsid w:val="00E86D4A"/>
    <w:rsid w:val="00E90423"/>
    <w:rsid w:val="00E90BA9"/>
    <w:rsid w:val="00E96C9C"/>
    <w:rsid w:val="00E970D6"/>
    <w:rsid w:val="00E971BD"/>
    <w:rsid w:val="00EA1788"/>
    <w:rsid w:val="00EA1979"/>
    <w:rsid w:val="00EA495E"/>
    <w:rsid w:val="00EA5C87"/>
    <w:rsid w:val="00EA7550"/>
    <w:rsid w:val="00EA7CB3"/>
    <w:rsid w:val="00EB6428"/>
    <w:rsid w:val="00EB7068"/>
    <w:rsid w:val="00EC1FD8"/>
    <w:rsid w:val="00EC2AE3"/>
    <w:rsid w:val="00EC3087"/>
    <w:rsid w:val="00EC7C1A"/>
    <w:rsid w:val="00ED0200"/>
    <w:rsid w:val="00ED2243"/>
    <w:rsid w:val="00ED2C43"/>
    <w:rsid w:val="00ED457D"/>
    <w:rsid w:val="00ED4EA8"/>
    <w:rsid w:val="00EE1F2E"/>
    <w:rsid w:val="00EE22F4"/>
    <w:rsid w:val="00EE29B8"/>
    <w:rsid w:val="00EE5425"/>
    <w:rsid w:val="00EE5990"/>
    <w:rsid w:val="00EE5A0B"/>
    <w:rsid w:val="00EE6028"/>
    <w:rsid w:val="00EF40F8"/>
    <w:rsid w:val="00EF6D56"/>
    <w:rsid w:val="00F0182F"/>
    <w:rsid w:val="00F02B1B"/>
    <w:rsid w:val="00F04A0A"/>
    <w:rsid w:val="00F05E49"/>
    <w:rsid w:val="00F05E4E"/>
    <w:rsid w:val="00F11F58"/>
    <w:rsid w:val="00F12D1E"/>
    <w:rsid w:val="00F14D5A"/>
    <w:rsid w:val="00F179A5"/>
    <w:rsid w:val="00F23D02"/>
    <w:rsid w:val="00F248E8"/>
    <w:rsid w:val="00F25EF6"/>
    <w:rsid w:val="00F26C53"/>
    <w:rsid w:val="00F26E23"/>
    <w:rsid w:val="00F2733B"/>
    <w:rsid w:val="00F33B87"/>
    <w:rsid w:val="00F35D82"/>
    <w:rsid w:val="00F36A0D"/>
    <w:rsid w:val="00F36B6E"/>
    <w:rsid w:val="00F41137"/>
    <w:rsid w:val="00F41B62"/>
    <w:rsid w:val="00F42C15"/>
    <w:rsid w:val="00F43AB1"/>
    <w:rsid w:val="00F50AA7"/>
    <w:rsid w:val="00F50E7B"/>
    <w:rsid w:val="00F515FB"/>
    <w:rsid w:val="00F51E91"/>
    <w:rsid w:val="00F536D4"/>
    <w:rsid w:val="00F56112"/>
    <w:rsid w:val="00F5657C"/>
    <w:rsid w:val="00F56E1E"/>
    <w:rsid w:val="00F57229"/>
    <w:rsid w:val="00F57BAB"/>
    <w:rsid w:val="00F6166F"/>
    <w:rsid w:val="00F62821"/>
    <w:rsid w:val="00F63E95"/>
    <w:rsid w:val="00F66CD0"/>
    <w:rsid w:val="00F737FE"/>
    <w:rsid w:val="00F750FB"/>
    <w:rsid w:val="00F75502"/>
    <w:rsid w:val="00F76034"/>
    <w:rsid w:val="00F8097F"/>
    <w:rsid w:val="00F80E98"/>
    <w:rsid w:val="00F81973"/>
    <w:rsid w:val="00F8315C"/>
    <w:rsid w:val="00F835DE"/>
    <w:rsid w:val="00F836AB"/>
    <w:rsid w:val="00F8653B"/>
    <w:rsid w:val="00F868B2"/>
    <w:rsid w:val="00F9789B"/>
    <w:rsid w:val="00FA0A0E"/>
    <w:rsid w:val="00FA11DF"/>
    <w:rsid w:val="00FA1CFE"/>
    <w:rsid w:val="00FA32E6"/>
    <w:rsid w:val="00FA3F2E"/>
    <w:rsid w:val="00FA72A1"/>
    <w:rsid w:val="00FB3D8F"/>
    <w:rsid w:val="00FB4FD0"/>
    <w:rsid w:val="00FB5942"/>
    <w:rsid w:val="00FB6213"/>
    <w:rsid w:val="00FB646E"/>
    <w:rsid w:val="00FB7475"/>
    <w:rsid w:val="00FC0AB3"/>
    <w:rsid w:val="00FC6925"/>
    <w:rsid w:val="00FC7C64"/>
    <w:rsid w:val="00FD0EFF"/>
    <w:rsid w:val="00FD1A7A"/>
    <w:rsid w:val="00FD45A3"/>
    <w:rsid w:val="00FE42DF"/>
    <w:rsid w:val="00FE6257"/>
    <w:rsid w:val="00FF0983"/>
    <w:rsid w:val="00FF253C"/>
    <w:rsid w:val="00FF2F0D"/>
    <w:rsid w:val="00FF5DB0"/>
    <w:rsid w:val="00FF5FE4"/>
    <w:rsid w:val="00FF6271"/>
    <w:rsid w:val="02772856"/>
    <w:rsid w:val="03BA4CC7"/>
    <w:rsid w:val="04DD71DD"/>
    <w:rsid w:val="0679423E"/>
    <w:rsid w:val="07C62725"/>
    <w:rsid w:val="07D131F8"/>
    <w:rsid w:val="0CB88A27"/>
    <w:rsid w:val="0D9D9A56"/>
    <w:rsid w:val="13F09674"/>
    <w:rsid w:val="14A7A78B"/>
    <w:rsid w:val="184D181D"/>
    <w:rsid w:val="1B2F8903"/>
    <w:rsid w:val="2688399F"/>
    <w:rsid w:val="2BD76989"/>
    <w:rsid w:val="2C31D6B1"/>
    <w:rsid w:val="330240B0"/>
    <w:rsid w:val="33A28FF9"/>
    <w:rsid w:val="37F3E8AA"/>
    <w:rsid w:val="40DFE30F"/>
    <w:rsid w:val="458D8CE2"/>
    <w:rsid w:val="4A2D9FC9"/>
    <w:rsid w:val="4C587B6B"/>
    <w:rsid w:val="4EFE359C"/>
    <w:rsid w:val="509A05FD"/>
    <w:rsid w:val="50D65401"/>
    <w:rsid w:val="53C5CEA9"/>
    <w:rsid w:val="553D7D85"/>
    <w:rsid w:val="57D495DF"/>
    <w:rsid w:val="5C417EE4"/>
    <w:rsid w:val="5E619366"/>
    <w:rsid w:val="633AF7F4"/>
    <w:rsid w:val="635DD9DF"/>
    <w:rsid w:val="6B31A6A3"/>
    <w:rsid w:val="6FD51E2B"/>
    <w:rsid w:val="74735C10"/>
    <w:rsid w:val="758521A7"/>
    <w:rsid w:val="779F8A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9F34"/>
  <w15:chartTrackingRefBased/>
  <w15:docId w15:val="{A69CA762-7E8E-48CC-B470-A4FAF39A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6B"/>
    <w:rPr>
      <w:rFonts w:ascii="Arial" w:hAnsi="Arial"/>
    </w:rPr>
  </w:style>
  <w:style w:type="paragraph" w:styleId="Heading1">
    <w:name w:val="heading 1"/>
    <w:basedOn w:val="Normal"/>
    <w:next w:val="Normal"/>
    <w:link w:val="Heading1Char"/>
    <w:uiPriority w:val="9"/>
    <w:qFormat/>
    <w:rsid w:val="00F3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D2"/>
    <w:pPr>
      <w:keepNext/>
      <w:keepLines/>
      <w:spacing w:before="360" w:after="120"/>
      <w:outlineLvl w:val="1"/>
    </w:pPr>
    <w:rPr>
      <w:rFonts w:eastAsiaTheme="majorEastAsia" w:cs="Arial"/>
      <w:b/>
      <w:sz w:val="28"/>
      <w:szCs w:val="28"/>
    </w:rPr>
  </w:style>
  <w:style w:type="paragraph" w:styleId="Heading3">
    <w:name w:val="heading 3"/>
    <w:basedOn w:val="Normal"/>
    <w:next w:val="Normal"/>
    <w:link w:val="Heading3Char"/>
    <w:uiPriority w:val="9"/>
    <w:unhideWhenUsed/>
    <w:qFormat/>
    <w:rsid w:val="00F41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BD2"/>
    <w:rPr>
      <w:rFonts w:ascii="Arial" w:eastAsiaTheme="majorEastAsia" w:hAnsi="Arial" w:cs="Arial"/>
      <w:b/>
      <w:sz w:val="28"/>
      <w:szCs w:val="28"/>
    </w:rPr>
  </w:style>
  <w:style w:type="table" w:styleId="TableGrid">
    <w:name w:val="Table Grid"/>
    <w:basedOn w:val="TableNormal"/>
    <w:uiPriority w:val="59"/>
    <w:rsid w:val="008A7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BD2"/>
    <w:pPr>
      <w:numPr>
        <w:numId w:val="1"/>
      </w:numPr>
      <w:tabs>
        <w:tab w:val="left" w:pos="3168"/>
      </w:tabs>
      <w:spacing w:after="120"/>
      <w:ind w:left="714" w:hanging="357"/>
    </w:pPr>
  </w:style>
  <w:style w:type="character" w:styleId="Hyperlink">
    <w:name w:val="Hyperlink"/>
    <w:basedOn w:val="DefaultParagraphFont"/>
    <w:uiPriority w:val="99"/>
    <w:unhideWhenUsed/>
    <w:rsid w:val="008A7BD2"/>
    <w:rPr>
      <w:color w:val="0563C1" w:themeColor="hyperlink"/>
      <w:u w:val="single"/>
    </w:rPr>
  </w:style>
  <w:style w:type="paragraph" w:customStyle="1" w:styleId="Default">
    <w:name w:val="Default"/>
    <w:rsid w:val="008A7BD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A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BD2"/>
    <w:rPr>
      <w:rFonts w:ascii="Arial" w:hAnsi="Arial"/>
    </w:rPr>
  </w:style>
  <w:style w:type="paragraph" w:styleId="Footer">
    <w:name w:val="footer"/>
    <w:basedOn w:val="Normal"/>
    <w:link w:val="FooterChar"/>
    <w:uiPriority w:val="99"/>
    <w:unhideWhenUsed/>
    <w:rsid w:val="008A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BD2"/>
    <w:rPr>
      <w:rFonts w:ascii="Arial" w:hAnsi="Arial"/>
    </w:rPr>
  </w:style>
  <w:style w:type="paragraph" w:styleId="BalloonText">
    <w:name w:val="Balloon Text"/>
    <w:basedOn w:val="Normal"/>
    <w:link w:val="BalloonTextChar"/>
    <w:uiPriority w:val="99"/>
    <w:semiHidden/>
    <w:unhideWhenUsed/>
    <w:rsid w:val="008A7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BD2"/>
    <w:rPr>
      <w:rFonts w:ascii="Segoe UI" w:hAnsi="Segoe UI" w:cs="Segoe UI"/>
      <w:sz w:val="18"/>
      <w:szCs w:val="18"/>
    </w:rPr>
  </w:style>
  <w:style w:type="table" w:customStyle="1" w:styleId="TableGrid1">
    <w:name w:val="Table Grid1"/>
    <w:basedOn w:val="TableNormal"/>
    <w:next w:val="TableGrid"/>
    <w:uiPriority w:val="59"/>
    <w:rsid w:val="000A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7E82"/>
    <w:rPr>
      <w:color w:val="605E5C"/>
      <w:shd w:val="clear" w:color="auto" w:fill="E1DFDD"/>
    </w:rPr>
  </w:style>
  <w:style w:type="character" w:customStyle="1" w:styleId="Heading1Char">
    <w:name w:val="Heading 1 Char"/>
    <w:basedOn w:val="DefaultParagraphFont"/>
    <w:link w:val="Heading1"/>
    <w:uiPriority w:val="9"/>
    <w:rsid w:val="00F36B6E"/>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728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72808"/>
  </w:style>
  <w:style w:type="character" w:customStyle="1" w:styleId="eop">
    <w:name w:val="eop"/>
    <w:basedOn w:val="DefaultParagraphFont"/>
    <w:rsid w:val="00E72808"/>
  </w:style>
  <w:style w:type="table" w:customStyle="1" w:styleId="TableGrid2">
    <w:name w:val="Table Grid2"/>
    <w:basedOn w:val="TableNormal"/>
    <w:next w:val="TableGrid"/>
    <w:uiPriority w:val="59"/>
    <w:rsid w:val="00E9042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113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41137"/>
    <w:rPr>
      <w:b/>
      <w:bCs/>
    </w:rPr>
  </w:style>
  <w:style w:type="paragraph" w:customStyle="1" w:styleId="Caption1">
    <w:name w:val="Caption1"/>
    <w:basedOn w:val="Normal"/>
    <w:rsid w:val="00F411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andard-view-style">
    <w:name w:val="standard-view-style"/>
    <w:basedOn w:val="DefaultParagraphFont"/>
    <w:rsid w:val="00F41137"/>
  </w:style>
  <w:style w:type="character" w:customStyle="1" w:styleId="databasename">
    <w:name w:val="databasename"/>
    <w:basedOn w:val="DefaultParagraphFont"/>
    <w:rsid w:val="00F41137"/>
  </w:style>
  <w:style w:type="character" w:styleId="FollowedHyperlink">
    <w:name w:val="FollowedHyperlink"/>
    <w:basedOn w:val="DefaultParagraphFont"/>
    <w:uiPriority w:val="99"/>
    <w:semiHidden/>
    <w:unhideWhenUsed/>
    <w:rsid w:val="005F4A62"/>
    <w:rPr>
      <w:color w:val="954F72" w:themeColor="followedHyperlink"/>
      <w:u w:val="single"/>
    </w:rPr>
  </w:style>
  <w:style w:type="table" w:customStyle="1" w:styleId="TableGrid3">
    <w:name w:val="Table Grid3"/>
    <w:basedOn w:val="TableNormal"/>
    <w:next w:val="TableGrid"/>
    <w:uiPriority w:val="39"/>
    <w:rsid w:val="00726E8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3381">
      <w:bodyDiv w:val="1"/>
      <w:marLeft w:val="0"/>
      <w:marRight w:val="0"/>
      <w:marTop w:val="0"/>
      <w:marBottom w:val="0"/>
      <w:divBdr>
        <w:top w:val="none" w:sz="0" w:space="0" w:color="auto"/>
        <w:left w:val="none" w:sz="0" w:space="0" w:color="auto"/>
        <w:bottom w:val="none" w:sz="0" w:space="0" w:color="auto"/>
        <w:right w:val="none" w:sz="0" w:space="0" w:color="auto"/>
      </w:divBdr>
      <w:divsChild>
        <w:div w:id="913585439">
          <w:marLeft w:val="0"/>
          <w:marRight w:val="0"/>
          <w:marTop w:val="0"/>
          <w:marBottom w:val="0"/>
          <w:divBdr>
            <w:top w:val="none" w:sz="0" w:space="0" w:color="auto"/>
            <w:left w:val="none" w:sz="0" w:space="0" w:color="auto"/>
            <w:bottom w:val="none" w:sz="0" w:space="0" w:color="auto"/>
            <w:right w:val="none" w:sz="0" w:space="0" w:color="auto"/>
          </w:divBdr>
        </w:div>
      </w:divsChild>
    </w:div>
    <w:div w:id="114061025">
      <w:bodyDiv w:val="1"/>
      <w:marLeft w:val="0"/>
      <w:marRight w:val="0"/>
      <w:marTop w:val="0"/>
      <w:marBottom w:val="0"/>
      <w:divBdr>
        <w:top w:val="none" w:sz="0" w:space="0" w:color="auto"/>
        <w:left w:val="none" w:sz="0" w:space="0" w:color="auto"/>
        <w:bottom w:val="none" w:sz="0" w:space="0" w:color="auto"/>
        <w:right w:val="none" w:sz="0" w:space="0" w:color="auto"/>
      </w:divBdr>
    </w:div>
    <w:div w:id="231282577">
      <w:bodyDiv w:val="1"/>
      <w:marLeft w:val="0"/>
      <w:marRight w:val="0"/>
      <w:marTop w:val="0"/>
      <w:marBottom w:val="0"/>
      <w:divBdr>
        <w:top w:val="none" w:sz="0" w:space="0" w:color="auto"/>
        <w:left w:val="none" w:sz="0" w:space="0" w:color="auto"/>
        <w:bottom w:val="none" w:sz="0" w:space="0" w:color="auto"/>
        <w:right w:val="none" w:sz="0" w:space="0" w:color="auto"/>
      </w:divBdr>
    </w:div>
    <w:div w:id="237247220">
      <w:bodyDiv w:val="1"/>
      <w:marLeft w:val="0"/>
      <w:marRight w:val="0"/>
      <w:marTop w:val="0"/>
      <w:marBottom w:val="0"/>
      <w:divBdr>
        <w:top w:val="none" w:sz="0" w:space="0" w:color="auto"/>
        <w:left w:val="none" w:sz="0" w:space="0" w:color="auto"/>
        <w:bottom w:val="none" w:sz="0" w:space="0" w:color="auto"/>
        <w:right w:val="none" w:sz="0" w:space="0" w:color="auto"/>
      </w:divBdr>
    </w:div>
    <w:div w:id="240912935">
      <w:bodyDiv w:val="1"/>
      <w:marLeft w:val="0"/>
      <w:marRight w:val="0"/>
      <w:marTop w:val="0"/>
      <w:marBottom w:val="0"/>
      <w:divBdr>
        <w:top w:val="none" w:sz="0" w:space="0" w:color="auto"/>
        <w:left w:val="none" w:sz="0" w:space="0" w:color="auto"/>
        <w:bottom w:val="none" w:sz="0" w:space="0" w:color="auto"/>
        <w:right w:val="none" w:sz="0" w:space="0" w:color="auto"/>
      </w:divBdr>
      <w:divsChild>
        <w:div w:id="313340201">
          <w:marLeft w:val="-1350"/>
          <w:marRight w:val="0"/>
          <w:marTop w:val="75"/>
          <w:marBottom w:val="0"/>
          <w:divBdr>
            <w:top w:val="none" w:sz="0" w:space="0" w:color="auto"/>
            <w:left w:val="none" w:sz="0" w:space="0" w:color="auto"/>
            <w:bottom w:val="none" w:sz="0" w:space="0" w:color="auto"/>
            <w:right w:val="none" w:sz="0" w:space="0" w:color="auto"/>
          </w:divBdr>
        </w:div>
      </w:divsChild>
    </w:div>
    <w:div w:id="296692609">
      <w:bodyDiv w:val="1"/>
      <w:marLeft w:val="0"/>
      <w:marRight w:val="0"/>
      <w:marTop w:val="0"/>
      <w:marBottom w:val="0"/>
      <w:divBdr>
        <w:top w:val="none" w:sz="0" w:space="0" w:color="auto"/>
        <w:left w:val="none" w:sz="0" w:space="0" w:color="auto"/>
        <w:bottom w:val="none" w:sz="0" w:space="0" w:color="auto"/>
        <w:right w:val="none" w:sz="0" w:space="0" w:color="auto"/>
      </w:divBdr>
    </w:div>
    <w:div w:id="353968903">
      <w:bodyDiv w:val="1"/>
      <w:marLeft w:val="0"/>
      <w:marRight w:val="0"/>
      <w:marTop w:val="0"/>
      <w:marBottom w:val="0"/>
      <w:divBdr>
        <w:top w:val="none" w:sz="0" w:space="0" w:color="auto"/>
        <w:left w:val="none" w:sz="0" w:space="0" w:color="auto"/>
        <w:bottom w:val="none" w:sz="0" w:space="0" w:color="auto"/>
        <w:right w:val="none" w:sz="0" w:space="0" w:color="auto"/>
      </w:divBdr>
      <w:divsChild>
        <w:div w:id="310527335">
          <w:marLeft w:val="547"/>
          <w:marRight w:val="0"/>
          <w:marTop w:val="0"/>
          <w:marBottom w:val="0"/>
          <w:divBdr>
            <w:top w:val="none" w:sz="0" w:space="0" w:color="auto"/>
            <w:left w:val="none" w:sz="0" w:space="0" w:color="auto"/>
            <w:bottom w:val="none" w:sz="0" w:space="0" w:color="auto"/>
            <w:right w:val="none" w:sz="0" w:space="0" w:color="auto"/>
          </w:divBdr>
        </w:div>
      </w:divsChild>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396783064">
      <w:bodyDiv w:val="1"/>
      <w:marLeft w:val="0"/>
      <w:marRight w:val="0"/>
      <w:marTop w:val="0"/>
      <w:marBottom w:val="0"/>
      <w:divBdr>
        <w:top w:val="none" w:sz="0" w:space="0" w:color="auto"/>
        <w:left w:val="none" w:sz="0" w:space="0" w:color="auto"/>
        <w:bottom w:val="none" w:sz="0" w:space="0" w:color="auto"/>
        <w:right w:val="none" w:sz="0" w:space="0" w:color="auto"/>
      </w:divBdr>
    </w:div>
    <w:div w:id="432744574">
      <w:bodyDiv w:val="1"/>
      <w:marLeft w:val="0"/>
      <w:marRight w:val="0"/>
      <w:marTop w:val="0"/>
      <w:marBottom w:val="0"/>
      <w:divBdr>
        <w:top w:val="none" w:sz="0" w:space="0" w:color="auto"/>
        <w:left w:val="none" w:sz="0" w:space="0" w:color="auto"/>
        <w:bottom w:val="none" w:sz="0" w:space="0" w:color="auto"/>
        <w:right w:val="none" w:sz="0" w:space="0" w:color="auto"/>
      </w:divBdr>
    </w:div>
    <w:div w:id="448932483">
      <w:bodyDiv w:val="1"/>
      <w:marLeft w:val="0"/>
      <w:marRight w:val="0"/>
      <w:marTop w:val="0"/>
      <w:marBottom w:val="0"/>
      <w:divBdr>
        <w:top w:val="none" w:sz="0" w:space="0" w:color="auto"/>
        <w:left w:val="none" w:sz="0" w:space="0" w:color="auto"/>
        <w:bottom w:val="none" w:sz="0" w:space="0" w:color="auto"/>
        <w:right w:val="none" w:sz="0" w:space="0" w:color="auto"/>
      </w:divBdr>
    </w:div>
    <w:div w:id="735014113">
      <w:bodyDiv w:val="1"/>
      <w:marLeft w:val="0"/>
      <w:marRight w:val="0"/>
      <w:marTop w:val="0"/>
      <w:marBottom w:val="0"/>
      <w:divBdr>
        <w:top w:val="none" w:sz="0" w:space="0" w:color="auto"/>
        <w:left w:val="none" w:sz="0" w:space="0" w:color="auto"/>
        <w:bottom w:val="none" w:sz="0" w:space="0" w:color="auto"/>
        <w:right w:val="none" w:sz="0" w:space="0" w:color="auto"/>
      </w:divBdr>
    </w:div>
    <w:div w:id="841970068">
      <w:bodyDiv w:val="1"/>
      <w:marLeft w:val="0"/>
      <w:marRight w:val="0"/>
      <w:marTop w:val="0"/>
      <w:marBottom w:val="0"/>
      <w:divBdr>
        <w:top w:val="none" w:sz="0" w:space="0" w:color="auto"/>
        <w:left w:val="none" w:sz="0" w:space="0" w:color="auto"/>
        <w:bottom w:val="none" w:sz="0" w:space="0" w:color="auto"/>
        <w:right w:val="none" w:sz="0" w:space="0" w:color="auto"/>
      </w:divBdr>
      <w:divsChild>
        <w:div w:id="1130703168">
          <w:marLeft w:val="0"/>
          <w:marRight w:val="0"/>
          <w:marTop w:val="0"/>
          <w:marBottom w:val="0"/>
          <w:divBdr>
            <w:top w:val="none" w:sz="0" w:space="0" w:color="auto"/>
            <w:left w:val="none" w:sz="0" w:space="0" w:color="auto"/>
            <w:bottom w:val="none" w:sz="0" w:space="0" w:color="auto"/>
            <w:right w:val="none" w:sz="0" w:space="0" w:color="auto"/>
          </w:divBdr>
          <w:divsChild>
            <w:div w:id="1734542124">
              <w:marLeft w:val="-75"/>
              <w:marRight w:val="0"/>
              <w:marTop w:val="30"/>
              <w:marBottom w:val="30"/>
              <w:divBdr>
                <w:top w:val="none" w:sz="0" w:space="0" w:color="auto"/>
                <w:left w:val="none" w:sz="0" w:space="0" w:color="auto"/>
                <w:bottom w:val="none" w:sz="0" w:space="0" w:color="auto"/>
                <w:right w:val="none" w:sz="0" w:space="0" w:color="auto"/>
              </w:divBdr>
              <w:divsChild>
                <w:div w:id="1021009751">
                  <w:marLeft w:val="0"/>
                  <w:marRight w:val="0"/>
                  <w:marTop w:val="0"/>
                  <w:marBottom w:val="0"/>
                  <w:divBdr>
                    <w:top w:val="none" w:sz="0" w:space="0" w:color="auto"/>
                    <w:left w:val="none" w:sz="0" w:space="0" w:color="auto"/>
                    <w:bottom w:val="none" w:sz="0" w:space="0" w:color="auto"/>
                    <w:right w:val="none" w:sz="0" w:space="0" w:color="auto"/>
                  </w:divBdr>
                  <w:divsChild>
                    <w:div w:id="1396926032">
                      <w:marLeft w:val="0"/>
                      <w:marRight w:val="0"/>
                      <w:marTop w:val="0"/>
                      <w:marBottom w:val="0"/>
                      <w:divBdr>
                        <w:top w:val="none" w:sz="0" w:space="0" w:color="auto"/>
                        <w:left w:val="none" w:sz="0" w:space="0" w:color="auto"/>
                        <w:bottom w:val="none" w:sz="0" w:space="0" w:color="auto"/>
                        <w:right w:val="none" w:sz="0" w:space="0" w:color="auto"/>
                      </w:divBdr>
                    </w:div>
                  </w:divsChild>
                </w:div>
                <w:div w:id="1601792586">
                  <w:marLeft w:val="0"/>
                  <w:marRight w:val="0"/>
                  <w:marTop w:val="0"/>
                  <w:marBottom w:val="0"/>
                  <w:divBdr>
                    <w:top w:val="none" w:sz="0" w:space="0" w:color="auto"/>
                    <w:left w:val="none" w:sz="0" w:space="0" w:color="auto"/>
                    <w:bottom w:val="none" w:sz="0" w:space="0" w:color="auto"/>
                    <w:right w:val="none" w:sz="0" w:space="0" w:color="auto"/>
                  </w:divBdr>
                  <w:divsChild>
                    <w:div w:id="1246263307">
                      <w:marLeft w:val="0"/>
                      <w:marRight w:val="0"/>
                      <w:marTop w:val="0"/>
                      <w:marBottom w:val="0"/>
                      <w:divBdr>
                        <w:top w:val="none" w:sz="0" w:space="0" w:color="auto"/>
                        <w:left w:val="none" w:sz="0" w:space="0" w:color="auto"/>
                        <w:bottom w:val="none" w:sz="0" w:space="0" w:color="auto"/>
                        <w:right w:val="none" w:sz="0" w:space="0" w:color="auto"/>
                      </w:divBdr>
                      <w:divsChild>
                        <w:div w:id="742262463">
                          <w:marLeft w:val="0"/>
                          <w:marRight w:val="0"/>
                          <w:marTop w:val="0"/>
                          <w:marBottom w:val="0"/>
                          <w:divBdr>
                            <w:top w:val="none" w:sz="0" w:space="0" w:color="auto"/>
                            <w:left w:val="none" w:sz="0" w:space="0" w:color="auto"/>
                            <w:bottom w:val="none" w:sz="0" w:space="0" w:color="auto"/>
                            <w:right w:val="none" w:sz="0" w:space="0" w:color="auto"/>
                          </w:divBdr>
                          <w:divsChild>
                            <w:div w:id="656685168">
                              <w:marLeft w:val="0"/>
                              <w:marRight w:val="0"/>
                              <w:marTop w:val="0"/>
                              <w:marBottom w:val="0"/>
                              <w:divBdr>
                                <w:top w:val="none" w:sz="0" w:space="0" w:color="auto"/>
                                <w:left w:val="none" w:sz="0" w:space="0" w:color="auto"/>
                                <w:bottom w:val="none" w:sz="0" w:space="0" w:color="auto"/>
                                <w:right w:val="none" w:sz="0" w:space="0" w:color="auto"/>
                              </w:divBdr>
                              <w:divsChild>
                                <w:div w:id="1716807795">
                                  <w:marLeft w:val="0"/>
                                  <w:marRight w:val="0"/>
                                  <w:marTop w:val="0"/>
                                  <w:marBottom w:val="0"/>
                                  <w:divBdr>
                                    <w:top w:val="none" w:sz="0" w:space="0" w:color="auto"/>
                                    <w:left w:val="none" w:sz="0" w:space="0" w:color="auto"/>
                                    <w:bottom w:val="none" w:sz="0" w:space="0" w:color="auto"/>
                                    <w:right w:val="none" w:sz="0" w:space="0" w:color="auto"/>
                                  </w:divBdr>
                                  <w:divsChild>
                                    <w:div w:id="907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956">
                      <w:marLeft w:val="0"/>
                      <w:marRight w:val="0"/>
                      <w:marTop w:val="0"/>
                      <w:marBottom w:val="0"/>
                      <w:divBdr>
                        <w:top w:val="none" w:sz="0" w:space="0" w:color="auto"/>
                        <w:left w:val="none" w:sz="0" w:space="0" w:color="auto"/>
                        <w:bottom w:val="none" w:sz="0" w:space="0" w:color="auto"/>
                        <w:right w:val="none" w:sz="0" w:space="0" w:color="auto"/>
                      </w:divBdr>
                    </w:div>
                  </w:divsChild>
                </w:div>
                <w:div w:id="2067484264">
                  <w:marLeft w:val="0"/>
                  <w:marRight w:val="0"/>
                  <w:marTop w:val="0"/>
                  <w:marBottom w:val="0"/>
                  <w:divBdr>
                    <w:top w:val="none" w:sz="0" w:space="0" w:color="auto"/>
                    <w:left w:val="none" w:sz="0" w:space="0" w:color="auto"/>
                    <w:bottom w:val="none" w:sz="0" w:space="0" w:color="auto"/>
                    <w:right w:val="none" w:sz="0" w:space="0" w:color="auto"/>
                  </w:divBdr>
                  <w:divsChild>
                    <w:div w:id="292247354">
                      <w:marLeft w:val="0"/>
                      <w:marRight w:val="0"/>
                      <w:marTop w:val="0"/>
                      <w:marBottom w:val="0"/>
                      <w:divBdr>
                        <w:top w:val="none" w:sz="0" w:space="0" w:color="auto"/>
                        <w:left w:val="none" w:sz="0" w:space="0" w:color="auto"/>
                        <w:bottom w:val="none" w:sz="0" w:space="0" w:color="auto"/>
                        <w:right w:val="none" w:sz="0" w:space="0" w:color="auto"/>
                      </w:divBdr>
                      <w:divsChild>
                        <w:div w:id="1683819211">
                          <w:marLeft w:val="0"/>
                          <w:marRight w:val="0"/>
                          <w:marTop w:val="30"/>
                          <w:marBottom w:val="30"/>
                          <w:divBdr>
                            <w:top w:val="none" w:sz="0" w:space="0" w:color="auto"/>
                            <w:left w:val="none" w:sz="0" w:space="0" w:color="auto"/>
                            <w:bottom w:val="none" w:sz="0" w:space="0" w:color="auto"/>
                            <w:right w:val="none" w:sz="0" w:space="0" w:color="auto"/>
                          </w:divBdr>
                          <w:divsChild>
                            <w:div w:id="328096341">
                              <w:marLeft w:val="0"/>
                              <w:marRight w:val="0"/>
                              <w:marTop w:val="0"/>
                              <w:marBottom w:val="0"/>
                              <w:divBdr>
                                <w:top w:val="none" w:sz="0" w:space="0" w:color="auto"/>
                                <w:left w:val="none" w:sz="0" w:space="0" w:color="auto"/>
                                <w:bottom w:val="none" w:sz="0" w:space="0" w:color="auto"/>
                                <w:right w:val="none" w:sz="0" w:space="0" w:color="auto"/>
                              </w:divBdr>
                              <w:divsChild>
                                <w:div w:id="946698269">
                                  <w:marLeft w:val="0"/>
                                  <w:marRight w:val="0"/>
                                  <w:marTop w:val="0"/>
                                  <w:marBottom w:val="0"/>
                                  <w:divBdr>
                                    <w:top w:val="none" w:sz="0" w:space="0" w:color="auto"/>
                                    <w:left w:val="none" w:sz="0" w:space="0" w:color="auto"/>
                                    <w:bottom w:val="none" w:sz="0" w:space="0" w:color="auto"/>
                                    <w:right w:val="none" w:sz="0" w:space="0" w:color="auto"/>
                                  </w:divBdr>
                                </w:div>
                              </w:divsChild>
                            </w:div>
                            <w:div w:id="1362852535">
                              <w:marLeft w:val="0"/>
                              <w:marRight w:val="0"/>
                              <w:marTop w:val="0"/>
                              <w:marBottom w:val="0"/>
                              <w:divBdr>
                                <w:top w:val="none" w:sz="0" w:space="0" w:color="auto"/>
                                <w:left w:val="none" w:sz="0" w:space="0" w:color="auto"/>
                                <w:bottom w:val="none" w:sz="0" w:space="0" w:color="auto"/>
                                <w:right w:val="none" w:sz="0" w:space="0" w:color="auto"/>
                              </w:divBdr>
                              <w:divsChild>
                                <w:div w:id="299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219">
                      <w:marLeft w:val="0"/>
                      <w:marRight w:val="0"/>
                      <w:marTop w:val="0"/>
                      <w:marBottom w:val="0"/>
                      <w:divBdr>
                        <w:top w:val="none" w:sz="0" w:space="0" w:color="auto"/>
                        <w:left w:val="none" w:sz="0" w:space="0" w:color="auto"/>
                        <w:bottom w:val="none" w:sz="0" w:space="0" w:color="auto"/>
                        <w:right w:val="none" w:sz="0" w:space="0" w:color="auto"/>
                      </w:divBdr>
                    </w:div>
                  </w:divsChild>
                </w:div>
                <w:div w:id="124548530">
                  <w:marLeft w:val="0"/>
                  <w:marRight w:val="0"/>
                  <w:marTop w:val="0"/>
                  <w:marBottom w:val="0"/>
                  <w:divBdr>
                    <w:top w:val="none" w:sz="0" w:space="0" w:color="auto"/>
                    <w:left w:val="none" w:sz="0" w:space="0" w:color="auto"/>
                    <w:bottom w:val="none" w:sz="0" w:space="0" w:color="auto"/>
                    <w:right w:val="none" w:sz="0" w:space="0" w:color="auto"/>
                  </w:divBdr>
                  <w:divsChild>
                    <w:div w:id="1799495625">
                      <w:marLeft w:val="0"/>
                      <w:marRight w:val="0"/>
                      <w:marTop w:val="0"/>
                      <w:marBottom w:val="0"/>
                      <w:divBdr>
                        <w:top w:val="none" w:sz="0" w:space="0" w:color="auto"/>
                        <w:left w:val="none" w:sz="0" w:space="0" w:color="auto"/>
                        <w:bottom w:val="none" w:sz="0" w:space="0" w:color="auto"/>
                        <w:right w:val="none" w:sz="0" w:space="0" w:color="auto"/>
                      </w:divBdr>
                      <w:divsChild>
                        <w:div w:id="155342109">
                          <w:marLeft w:val="0"/>
                          <w:marRight w:val="0"/>
                          <w:marTop w:val="0"/>
                          <w:marBottom w:val="0"/>
                          <w:divBdr>
                            <w:top w:val="none" w:sz="0" w:space="0" w:color="auto"/>
                            <w:left w:val="none" w:sz="0" w:space="0" w:color="auto"/>
                            <w:bottom w:val="none" w:sz="0" w:space="0" w:color="auto"/>
                            <w:right w:val="none" w:sz="0" w:space="0" w:color="auto"/>
                          </w:divBdr>
                          <w:divsChild>
                            <w:div w:id="1801264350">
                              <w:marLeft w:val="0"/>
                              <w:marRight w:val="0"/>
                              <w:marTop w:val="0"/>
                              <w:marBottom w:val="0"/>
                              <w:divBdr>
                                <w:top w:val="none" w:sz="0" w:space="0" w:color="auto"/>
                                <w:left w:val="none" w:sz="0" w:space="0" w:color="auto"/>
                                <w:bottom w:val="none" w:sz="0" w:space="0" w:color="auto"/>
                                <w:right w:val="none" w:sz="0" w:space="0" w:color="auto"/>
                              </w:divBdr>
                              <w:divsChild>
                                <w:div w:id="2032026962">
                                  <w:marLeft w:val="0"/>
                                  <w:marRight w:val="0"/>
                                  <w:marTop w:val="0"/>
                                  <w:marBottom w:val="0"/>
                                  <w:divBdr>
                                    <w:top w:val="none" w:sz="0" w:space="0" w:color="auto"/>
                                    <w:left w:val="none" w:sz="0" w:space="0" w:color="auto"/>
                                    <w:bottom w:val="none" w:sz="0" w:space="0" w:color="auto"/>
                                    <w:right w:val="none" w:sz="0" w:space="0" w:color="auto"/>
                                  </w:divBdr>
                                  <w:divsChild>
                                    <w:div w:id="2835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0567">
                      <w:marLeft w:val="0"/>
                      <w:marRight w:val="0"/>
                      <w:marTop w:val="0"/>
                      <w:marBottom w:val="0"/>
                      <w:divBdr>
                        <w:top w:val="none" w:sz="0" w:space="0" w:color="auto"/>
                        <w:left w:val="none" w:sz="0" w:space="0" w:color="auto"/>
                        <w:bottom w:val="none" w:sz="0" w:space="0" w:color="auto"/>
                        <w:right w:val="none" w:sz="0" w:space="0" w:color="auto"/>
                      </w:divBdr>
                    </w:div>
                  </w:divsChild>
                </w:div>
                <w:div w:id="1748460331">
                  <w:marLeft w:val="0"/>
                  <w:marRight w:val="0"/>
                  <w:marTop w:val="0"/>
                  <w:marBottom w:val="0"/>
                  <w:divBdr>
                    <w:top w:val="none" w:sz="0" w:space="0" w:color="auto"/>
                    <w:left w:val="none" w:sz="0" w:space="0" w:color="auto"/>
                    <w:bottom w:val="none" w:sz="0" w:space="0" w:color="auto"/>
                    <w:right w:val="none" w:sz="0" w:space="0" w:color="auto"/>
                  </w:divBdr>
                  <w:divsChild>
                    <w:div w:id="12697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47721">
      <w:bodyDiv w:val="1"/>
      <w:marLeft w:val="0"/>
      <w:marRight w:val="0"/>
      <w:marTop w:val="0"/>
      <w:marBottom w:val="0"/>
      <w:divBdr>
        <w:top w:val="none" w:sz="0" w:space="0" w:color="auto"/>
        <w:left w:val="none" w:sz="0" w:space="0" w:color="auto"/>
        <w:bottom w:val="none" w:sz="0" w:space="0" w:color="auto"/>
        <w:right w:val="none" w:sz="0" w:space="0" w:color="auto"/>
      </w:divBdr>
    </w:div>
    <w:div w:id="1154225291">
      <w:bodyDiv w:val="1"/>
      <w:marLeft w:val="0"/>
      <w:marRight w:val="0"/>
      <w:marTop w:val="0"/>
      <w:marBottom w:val="0"/>
      <w:divBdr>
        <w:top w:val="none" w:sz="0" w:space="0" w:color="auto"/>
        <w:left w:val="none" w:sz="0" w:space="0" w:color="auto"/>
        <w:bottom w:val="none" w:sz="0" w:space="0" w:color="auto"/>
        <w:right w:val="none" w:sz="0" w:space="0" w:color="auto"/>
      </w:divBdr>
    </w:div>
    <w:div w:id="1214466867">
      <w:bodyDiv w:val="1"/>
      <w:marLeft w:val="0"/>
      <w:marRight w:val="0"/>
      <w:marTop w:val="0"/>
      <w:marBottom w:val="0"/>
      <w:divBdr>
        <w:top w:val="none" w:sz="0" w:space="0" w:color="auto"/>
        <w:left w:val="none" w:sz="0" w:space="0" w:color="auto"/>
        <w:bottom w:val="none" w:sz="0" w:space="0" w:color="auto"/>
        <w:right w:val="none" w:sz="0" w:space="0" w:color="auto"/>
      </w:divBdr>
    </w:div>
    <w:div w:id="1359355975">
      <w:bodyDiv w:val="1"/>
      <w:marLeft w:val="0"/>
      <w:marRight w:val="0"/>
      <w:marTop w:val="0"/>
      <w:marBottom w:val="0"/>
      <w:divBdr>
        <w:top w:val="none" w:sz="0" w:space="0" w:color="auto"/>
        <w:left w:val="none" w:sz="0" w:space="0" w:color="auto"/>
        <w:bottom w:val="none" w:sz="0" w:space="0" w:color="auto"/>
        <w:right w:val="none" w:sz="0" w:space="0" w:color="auto"/>
      </w:divBdr>
    </w:div>
    <w:div w:id="1451778115">
      <w:bodyDiv w:val="1"/>
      <w:marLeft w:val="0"/>
      <w:marRight w:val="0"/>
      <w:marTop w:val="0"/>
      <w:marBottom w:val="0"/>
      <w:divBdr>
        <w:top w:val="none" w:sz="0" w:space="0" w:color="auto"/>
        <w:left w:val="none" w:sz="0" w:space="0" w:color="auto"/>
        <w:bottom w:val="none" w:sz="0" w:space="0" w:color="auto"/>
        <w:right w:val="none" w:sz="0" w:space="0" w:color="auto"/>
      </w:divBdr>
      <w:divsChild>
        <w:div w:id="962886140">
          <w:marLeft w:val="0"/>
          <w:marRight w:val="0"/>
          <w:marTop w:val="0"/>
          <w:marBottom w:val="0"/>
          <w:divBdr>
            <w:top w:val="none" w:sz="0" w:space="0" w:color="auto"/>
            <w:left w:val="none" w:sz="0" w:space="0" w:color="auto"/>
            <w:bottom w:val="none" w:sz="0" w:space="0" w:color="auto"/>
            <w:right w:val="none" w:sz="0" w:space="0" w:color="auto"/>
          </w:divBdr>
        </w:div>
      </w:divsChild>
    </w:div>
    <w:div w:id="1811971777">
      <w:bodyDiv w:val="1"/>
      <w:marLeft w:val="0"/>
      <w:marRight w:val="0"/>
      <w:marTop w:val="0"/>
      <w:marBottom w:val="0"/>
      <w:divBdr>
        <w:top w:val="none" w:sz="0" w:space="0" w:color="auto"/>
        <w:left w:val="none" w:sz="0" w:space="0" w:color="auto"/>
        <w:bottom w:val="none" w:sz="0" w:space="0" w:color="auto"/>
        <w:right w:val="none" w:sz="0" w:space="0" w:color="auto"/>
      </w:divBdr>
      <w:divsChild>
        <w:div w:id="792141772">
          <w:marLeft w:val="0"/>
          <w:marRight w:val="0"/>
          <w:marTop w:val="0"/>
          <w:marBottom w:val="0"/>
          <w:divBdr>
            <w:top w:val="none" w:sz="0" w:space="0" w:color="auto"/>
            <w:left w:val="none" w:sz="0" w:space="0" w:color="auto"/>
            <w:bottom w:val="none" w:sz="0" w:space="0" w:color="auto"/>
            <w:right w:val="none" w:sz="0" w:space="0" w:color="auto"/>
          </w:divBdr>
        </w:div>
      </w:divsChild>
    </w:div>
    <w:div w:id="1847818352">
      <w:bodyDiv w:val="1"/>
      <w:marLeft w:val="0"/>
      <w:marRight w:val="0"/>
      <w:marTop w:val="0"/>
      <w:marBottom w:val="0"/>
      <w:divBdr>
        <w:top w:val="none" w:sz="0" w:space="0" w:color="auto"/>
        <w:left w:val="none" w:sz="0" w:space="0" w:color="auto"/>
        <w:bottom w:val="none" w:sz="0" w:space="0" w:color="auto"/>
        <w:right w:val="none" w:sz="0" w:space="0" w:color="auto"/>
      </w:divBdr>
    </w:div>
    <w:div w:id="2027514626">
      <w:bodyDiv w:val="1"/>
      <w:marLeft w:val="0"/>
      <w:marRight w:val="0"/>
      <w:marTop w:val="0"/>
      <w:marBottom w:val="0"/>
      <w:divBdr>
        <w:top w:val="none" w:sz="0" w:space="0" w:color="auto"/>
        <w:left w:val="none" w:sz="0" w:space="0" w:color="auto"/>
        <w:bottom w:val="none" w:sz="0" w:space="0" w:color="auto"/>
        <w:right w:val="none" w:sz="0" w:space="0" w:color="auto"/>
      </w:divBdr>
    </w:div>
    <w:div w:id="2031836135">
      <w:bodyDiv w:val="1"/>
      <w:marLeft w:val="0"/>
      <w:marRight w:val="0"/>
      <w:marTop w:val="0"/>
      <w:marBottom w:val="0"/>
      <w:divBdr>
        <w:top w:val="none" w:sz="0" w:space="0" w:color="auto"/>
        <w:left w:val="none" w:sz="0" w:space="0" w:color="auto"/>
        <w:bottom w:val="none" w:sz="0" w:space="0" w:color="auto"/>
        <w:right w:val="none" w:sz="0" w:space="0" w:color="auto"/>
      </w:divBdr>
    </w:div>
    <w:div w:id="21385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01C6E70FBBDC4C8C2EA5B32A7B7C0E"/>
        <w:category>
          <w:name w:val="General"/>
          <w:gallery w:val="placeholder"/>
        </w:category>
        <w:types>
          <w:type w:val="bbPlcHdr"/>
        </w:types>
        <w:behaviors>
          <w:behavior w:val="content"/>
        </w:behaviors>
        <w:guid w:val="{163C3126-9DBF-5840-A2C0-8C421965127A}"/>
      </w:docPartPr>
      <w:docPartBody>
        <w:p w:rsidR="00000000" w:rsidRDefault="006B27A4">
          <w:pPr>
            <w:pStyle w:val="1401C6E70FBBDC4C8C2EA5B32A7B7C0E"/>
          </w:pPr>
          <w:r w:rsidRPr="008D632E">
            <w:rPr>
              <w:rStyle w:val="PlaceholderText"/>
            </w:rPr>
            <w:t>Choose an item.</w:t>
          </w:r>
        </w:p>
      </w:docPartBody>
    </w:docPart>
    <w:docPart>
      <w:docPartPr>
        <w:name w:val="6360B9A3B787384F9D4AA0D2203875D4"/>
        <w:category>
          <w:name w:val="General"/>
          <w:gallery w:val="placeholder"/>
        </w:category>
        <w:types>
          <w:type w:val="bbPlcHdr"/>
        </w:types>
        <w:behaviors>
          <w:behavior w:val="content"/>
        </w:behaviors>
        <w:guid w:val="{4AD295EA-2C02-1D44-B1BB-C5EB9786A952}"/>
      </w:docPartPr>
      <w:docPartBody>
        <w:p w:rsidR="00000000" w:rsidRDefault="006B27A4">
          <w:pPr>
            <w:pStyle w:val="6360B9A3B787384F9D4AA0D2203875D4"/>
          </w:pPr>
          <w:r w:rsidRPr="008D632E">
            <w:rPr>
              <w:rStyle w:val="PlaceholderText"/>
            </w:rPr>
            <w:t>Choose an item.</w:t>
          </w:r>
        </w:p>
      </w:docPartBody>
    </w:docPart>
    <w:docPart>
      <w:docPartPr>
        <w:name w:val="C113C1B5135EED4587FA07153CB8270E"/>
        <w:category>
          <w:name w:val="General"/>
          <w:gallery w:val="placeholder"/>
        </w:category>
        <w:types>
          <w:type w:val="bbPlcHdr"/>
        </w:types>
        <w:behaviors>
          <w:behavior w:val="content"/>
        </w:behaviors>
        <w:guid w:val="{8B769C13-4E04-A04D-BAE9-F24EF5F19ED6}"/>
      </w:docPartPr>
      <w:docPartBody>
        <w:p w:rsidR="00000000" w:rsidRDefault="006B27A4">
          <w:pPr>
            <w:pStyle w:val="C113C1B5135EED4587FA07153CB8270E"/>
          </w:pPr>
          <w:r w:rsidRPr="008D632E">
            <w:rPr>
              <w:rStyle w:val="PlaceholderText"/>
            </w:rPr>
            <w:t>Choose an item.</w:t>
          </w:r>
        </w:p>
      </w:docPartBody>
    </w:docPart>
    <w:docPart>
      <w:docPartPr>
        <w:name w:val="B85AD01B96DAAA4496A7B289C632C388"/>
        <w:category>
          <w:name w:val="General"/>
          <w:gallery w:val="placeholder"/>
        </w:category>
        <w:types>
          <w:type w:val="bbPlcHdr"/>
        </w:types>
        <w:behaviors>
          <w:behavior w:val="content"/>
        </w:behaviors>
        <w:guid w:val="{058A3DC2-AE5A-5341-9C46-9B98C9BF4A13}"/>
      </w:docPartPr>
      <w:docPartBody>
        <w:p w:rsidR="00000000" w:rsidRDefault="006B27A4">
          <w:pPr>
            <w:pStyle w:val="B85AD01B96DAAA4496A7B289C632C388"/>
          </w:pPr>
          <w:r w:rsidRPr="008D632E">
            <w:rPr>
              <w:rStyle w:val="PlaceholderText"/>
            </w:rPr>
            <w:t>Choose an item.</w:t>
          </w:r>
        </w:p>
      </w:docPartBody>
    </w:docPart>
    <w:docPart>
      <w:docPartPr>
        <w:name w:val="EC83EBA06B78144FB870119D3875B3A8"/>
        <w:category>
          <w:name w:val="General"/>
          <w:gallery w:val="placeholder"/>
        </w:category>
        <w:types>
          <w:type w:val="bbPlcHdr"/>
        </w:types>
        <w:behaviors>
          <w:behavior w:val="content"/>
        </w:behaviors>
        <w:guid w:val="{EAF7CFF5-B7E5-094E-B336-F72F5F05BFE8}"/>
      </w:docPartPr>
      <w:docPartBody>
        <w:p w:rsidR="00000000" w:rsidRDefault="006B27A4">
          <w:pPr>
            <w:pStyle w:val="EC83EBA06B78144FB870119D3875B3A8"/>
          </w:pPr>
          <w:r w:rsidRPr="00651AD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Lt BT">
    <w:altName w:val="Calibri"/>
    <w:panose1 w:val="020B0604020202020204"/>
    <w:charset w:val="00"/>
    <w:family w:val="swiss"/>
    <w:pitch w:val="variable"/>
    <w:sig w:usb0="00000087" w:usb1="00000000" w:usb2="00000000" w:usb3="00000000" w:csb0="0000001B" w:csb1="00000000"/>
  </w:font>
  <w:font w:name="Bookman Old Style">
    <w:panose1 w:val="020506040505050202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A4"/>
    <w:rsid w:val="00231D03"/>
    <w:rsid w:val="00314F03"/>
    <w:rsid w:val="0035552C"/>
    <w:rsid w:val="00594846"/>
    <w:rsid w:val="006B27A4"/>
    <w:rsid w:val="00784D5E"/>
    <w:rsid w:val="008C5396"/>
    <w:rsid w:val="00B35DF2"/>
    <w:rsid w:val="00C13974"/>
    <w:rsid w:val="00E62B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7A4"/>
    <w:rPr>
      <w:color w:val="808080"/>
    </w:rPr>
  </w:style>
  <w:style w:type="paragraph" w:customStyle="1" w:styleId="1401C6E70FBBDC4C8C2EA5B32A7B7C0E">
    <w:name w:val="1401C6E70FBBDC4C8C2EA5B32A7B7C0E"/>
    <w:pPr>
      <w:spacing w:line="278" w:lineRule="auto"/>
    </w:pPr>
    <w:rPr>
      <w:sz w:val="24"/>
      <w:szCs w:val="24"/>
    </w:rPr>
  </w:style>
  <w:style w:type="paragraph" w:customStyle="1" w:styleId="6360B9A3B787384F9D4AA0D2203875D4">
    <w:name w:val="6360B9A3B787384F9D4AA0D2203875D4"/>
    <w:pPr>
      <w:spacing w:line="278" w:lineRule="auto"/>
    </w:pPr>
    <w:rPr>
      <w:sz w:val="24"/>
      <w:szCs w:val="24"/>
    </w:rPr>
  </w:style>
  <w:style w:type="paragraph" w:customStyle="1" w:styleId="C113C1B5135EED4587FA07153CB8270E">
    <w:name w:val="C113C1B5135EED4587FA07153CB8270E"/>
    <w:pPr>
      <w:spacing w:line="278" w:lineRule="auto"/>
    </w:pPr>
    <w:rPr>
      <w:sz w:val="24"/>
      <w:szCs w:val="24"/>
    </w:rPr>
  </w:style>
  <w:style w:type="paragraph" w:customStyle="1" w:styleId="B85AD01B96DAAA4496A7B289C632C388">
    <w:name w:val="B85AD01B96DAAA4496A7B289C632C388"/>
    <w:pPr>
      <w:spacing w:line="278" w:lineRule="auto"/>
    </w:pPr>
    <w:rPr>
      <w:sz w:val="24"/>
      <w:szCs w:val="24"/>
    </w:rPr>
  </w:style>
  <w:style w:type="paragraph" w:customStyle="1" w:styleId="EC83EBA06B78144FB870119D3875B3A8">
    <w:name w:val="EC83EBA06B78144FB870119D3875B3A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6C37D28C9ECF4993655717F183F3B6" ma:contentTypeVersion="10" ma:contentTypeDescription="Create a new document." ma:contentTypeScope="" ma:versionID="b82475add843c9a5f3420912445273d0">
  <xsd:schema xmlns:xsd="http://www.w3.org/2001/XMLSchema" xmlns:xs="http://www.w3.org/2001/XMLSchema" xmlns:p="http://schemas.microsoft.com/office/2006/metadata/properties" xmlns:ns3="49b56391-2a70-4792-aea9-86815340d9c1" xmlns:ns4="7d97836a-1a7b-4e7d-8fb6-771fdf9102e4" targetNamespace="http://schemas.microsoft.com/office/2006/metadata/properties" ma:root="true" ma:fieldsID="dc3bf71d412eaf83af815cdd8a48a3fd" ns3:_="" ns4:_="">
    <xsd:import namespace="49b56391-2a70-4792-aea9-86815340d9c1"/>
    <xsd:import namespace="7d97836a-1a7b-4e7d-8fb6-771fdf9102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56391-2a70-4792-aea9-86815340d9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7836a-1a7b-4e7d-8fb6-771fdf9102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F776-A843-444A-A397-AEDC02715E34}">
  <ds:schemaRefs>
    <ds:schemaRef ds:uri="http://schemas.microsoft.com/office/2006/metadata/contentType"/>
    <ds:schemaRef ds:uri="http://schemas.microsoft.com/office/2006/metadata/properties/metaAttributes"/>
    <ds:schemaRef ds:uri="http://www.w3.org/2000/xmlns/"/>
    <ds:schemaRef ds:uri="http://www.w3.org/2001/XMLSchema"/>
    <ds:schemaRef ds:uri="49b56391-2a70-4792-aea9-86815340d9c1"/>
    <ds:schemaRef ds:uri="7d97836a-1a7b-4e7d-8fb6-771fdf9102e4"/>
  </ds:schemaRefs>
</ds:datastoreItem>
</file>

<file path=customXml/itemProps2.xml><?xml version="1.0" encoding="utf-8"?>
<ds:datastoreItem xmlns:ds="http://schemas.openxmlformats.org/officeDocument/2006/customXml" ds:itemID="{830D20C8-621F-43CE-97D0-84504B8FF751}">
  <ds:schemaRefs>
    <ds:schemaRef ds:uri="http://schemas.microsoft.com/sharepoint/v3/contenttype/forms"/>
  </ds:schemaRefs>
</ds:datastoreItem>
</file>

<file path=customXml/itemProps3.xml><?xml version="1.0" encoding="utf-8"?>
<ds:datastoreItem xmlns:ds="http://schemas.openxmlformats.org/officeDocument/2006/customXml" ds:itemID="{1D690B3F-8487-49BD-BB82-B0CF8D821ECF}">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21841432-C9FB-6641-B3F8-29094413AB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10909</Words>
  <Characters>62185</Characters>
  <Application>Microsoft Office Word</Application>
  <DocSecurity>0</DocSecurity>
  <Lines>518</Lines>
  <Paragraphs>145</Paragraphs>
  <ScaleCrop>false</ScaleCrop>
  <Company/>
  <LinksUpToDate>false</LinksUpToDate>
  <CharactersWithSpaces>72949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Moore</dc:creator>
  <cp:keywords/>
  <dc:description/>
  <cp:lastModifiedBy>Taha Elhag Koko</cp:lastModifiedBy>
  <cp:revision>89</cp:revision>
  <dcterms:created xsi:type="dcterms:W3CDTF">2024-03-04T13:57:00Z</dcterms:created>
  <dcterms:modified xsi:type="dcterms:W3CDTF">2024-03-28T01:54:00Z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0x010100076C37D28C9ECF4993655717F183F3B6</vt:lpwstr>
  </property>
</Properties>
</file>